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rsidR="00461082" w:rsidRDefault="08163013" w:rsidP="00461082">
      <w:pPr>
        <w:pStyle w:val="Nadpis1"/>
        <w:jc w:val="center"/>
        <w:rPr>
          <w:lang w:val="cs-CZ"/>
        </w:rPr>
      </w:pPr>
      <w:bookmarkStart w:id="0" w:name="_Toc180231640"/>
      <w:bookmarkStart w:id="1" w:name="_Toc36144129"/>
      <w:r>
        <w:rPr>
          <w:lang w:val="cs-CZ"/>
        </w:rPr>
        <w:t>Hermeneutika objektivity III.</w:t>
      </w:r>
      <w:bookmarkEnd w:id="0"/>
    </w:p>
    <w:p w:rsidR="08163013" w:rsidRPr="08017214" w:rsidRDefault="08163013" w:rsidP="00461082">
      <w:pPr>
        <w:pStyle w:val="Nadpis1"/>
        <w:jc w:val="center"/>
        <w:rPr>
          <w:lang w:val="cs-CZ"/>
        </w:rPr>
      </w:pPr>
      <w:bookmarkStart w:id="2" w:name="_Toc180231641"/>
      <w:r>
        <w:rPr>
          <w:lang w:val="cs-CZ"/>
        </w:rPr>
        <w:t>Tragikomedie scholastické moderny</w:t>
      </w:r>
      <w:bookmarkEnd w:id="1"/>
      <w:bookmarkEnd w:id="2"/>
    </w:p>
    <w:p w:rsidR="08163013" w:rsidRDefault="08163013" w:rsidP="00461082">
      <w:pPr>
        <w:jc w:val="center"/>
        <w:rPr>
          <w:b/>
          <w:sz w:val="28"/>
          <w:szCs w:val="28"/>
          <w:lang w:eastAsia="en-US"/>
        </w:rPr>
      </w:pPr>
    </w:p>
    <w:p w:rsidR="08163013" w:rsidRPr="08512793" w:rsidRDefault="08163013" w:rsidP="00461082">
      <w:pPr>
        <w:jc w:val="center"/>
        <w:rPr>
          <w:b/>
          <w:sz w:val="28"/>
          <w:szCs w:val="28"/>
          <w:lang w:eastAsia="en-US"/>
        </w:rPr>
      </w:pPr>
      <w:r w:rsidRPr="08512793">
        <w:rPr>
          <w:b/>
          <w:sz w:val="28"/>
          <w:szCs w:val="28"/>
          <w:lang w:eastAsia="en-US"/>
        </w:rPr>
        <w:t>Václav Umlauf</w:t>
      </w:r>
    </w:p>
    <w:p w:rsidR="08163013" w:rsidRDefault="08163013" w:rsidP="08163013">
      <w:pPr>
        <w:jc w:val="right"/>
        <w:rPr>
          <w:i/>
        </w:rPr>
      </w:pPr>
    </w:p>
    <w:p w:rsidR="08163013" w:rsidRPr="081A0645" w:rsidRDefault="08163013" w:rsidP="08163013">
      <w:pPr>
        <w:rPr>
          <w:i/>
        </w:rPr>
      </w:pPr>
    </w:p>
    <w:p w:rsidR="005D2C7E" w:rsidRDefault="002A6D1E" w:rsidP="007025C3">
      <w:r>
        <w:br w:type="page"/>
      </w:r>
      <w:r w:rsidR="00441FEB">
        <w:lastRenderedPageBreak/>
        <w:t xml:space="preserve">Poslední díl studie </w:t>
      </w:r>
      <w:r w:rsidR="00C8141D">
        <w:t xml:space="preserve">popisuje </w:t>
      </w:r>
      <w:r w:rsidR="00441FEB">
        <w:t>objektivit</w:t>
      </w:r>
      <w:r w:rsidR="00C8141D">
        <w:t xml:space="preserve">u v </w:t>
      </w:r>
      <w:r w:rsidR="00441FEB">
        <w:t xml:space="preserve">plné odkrytosti </w:t>
      </w:r>
      <w:r w:rsidR="00C8141D">
        <w:t>dějin myšlení</w:t>
      </w:r>
      <w:r w:rsidR="00441FEB">
        <w:t xml:space="preserve">. </w:t>
      </w:r>
      <w:r w:rsidR="00441FEB">
        <w:rPr>
          <w:rStyle w:val="Zkladntext158dkovn0pt"/>
          <w:color w:val="auto"/>
          <w:spacing w:val="0"/>
          <w:sz w:val="24"/>
          <w:lang w:val="cs-CZ"/>
        </w:rPr>
        <w:t xml:space="preserve">Hermeneutická triáda dějinnosti, dějin a historie je vedená odkrytou cestou slunce po obloze a skrytou cestou téhož slunce v říši stínů. Cesta po stopách zcela skrytého archegetického dativu a pak i vytěsněného </w:t>
      </w:r>
      <w:r w:rsidR="00441FEB">
        <w:t xml:space="preserve">metafyzického </w:t>
      </w:r>
      <w:r w:rsidR="00441FEB">
        <w:rPr>
          <w:rStyle w:val="Zkladntext158dkovn0pt"/>
          <w:color w:val="auto"/>
          <w:spacing w:val="0"/>
          <w:sz w:val="24"/>
          <w:lang w:val="cs-CZ"/>
        </w:rPr>
        <w:t xml:space="preserve">dativu. Pořadí </w:t>
      </w:r>
      <w:r w:rsidR="00D5378B">
        <w:rPr>
          <w:rStyle w:val="Zkladntext158dkovn0pt"/>
          <w:color w:val="auto"/>
          <w:spacing w:val="0"/>
          <w:sz w:val="24"/>
          <w:lang w:val="cs-CZ"/>
        </w:rPr>
        <w:t xml:space="preserve">v rámci </w:t>
      </w:r>
      <w:r w:rsidR="00441FEB">
        <w:rPr>
          <w:rStyle w:val="Zkladntext158dkovn0pt"/>
          <w:color w:val="auto"/>
          <w:spacing w:val="0"/>
          <w:sz w:val="24"/>
          <w:lang w:val="cs-CZ"/>
        </w:rPr>
        <w:t>donace bytí je dané úpadkem moudrosti. Postupný zánik moudrosti ve filosofi a její souča</w:t>
      </w:r>
      <w:r w:rsidR="00E446DD">
        <w:rPr>
          <w:rStyle w:val="Zkladntext158dkovn0pt"/>
          <w:color w:val="auto"/>
          <w:spacing w:val="0"/>
          <w:sz w:val="24"/>
          <w:lang w:val="cs-CZ"/>
        </w:rPr>
        <w:t>sná přeměna na ideologie</w:t>
      </w:r>
      <w:r w:rsidR="00441FEB">
        <w:rPr>
          <w:rStyle w:val="Zkladntext158dkovn0pt"/>
          <w:color w:val="auto"/>
          <w:spacing w:val="0"/>
          <w:sz w:val="24"/>
          <w:lang w:val="cs-CZ"/>
        </w:rPr>
        <w:t xml:space="preserve"> určuje pořadí hermenutického zkoumání v modu </w:t>
      </w:r>
      <w:r w:rsidR="00441FEB" w:rsidRPr="00062FA2">
        <w:rPr>
          <w:rStyle w:val="Zkladntext158dkovn0pt"/>
          <w:i/>
          <w:color w:val="auto"/>
          <w:spacing w:val="0"/>
          <w:sz w:val="24"/>
          <w:lang w:val="cs-CZ"/>
        </w:rPr>
        <w:t>per prius</w:t>
      </w:r>
      <w:r w:rsidR="00441FEB">
        <w:rPr>
          <w:rStyle w:val="Zkladntext158dkovn0pt"/>
          <w:color w:val="auto"/>
          <w:spacing w:val="0"/>
          <w:sz w:val="24"/>
          <w:lang w:val="cs-CZ"/>
        </w:rPr>
        <w:t xml:space="preserve"> a </w:t>
      </w:r>
      <w:r w:rsidR="00441FEB" w:rsidRPr="00062FA2">
        <w:rPr>
          <w:rStyle w:val="Zkladntext158dkovn0pt"/>
          <w:i/>
          <w:color w:val="auto"/>
          <w:spacing w:val="0"/>
          <w:sz w:val="24"/>
          <w:lang w:val="cs-CZ"/>
        </w:rPr>
        <w:t>per posterius</w:t>
      </w:r>
      <w:r w:rsidR="00441FEB">
        <w:rPr>
          <w:rStyle w:val="Zkladntext158dkovn0pt"/>
          <w:i/>
          <w:color w:val="auto"/>
          <w:spacing w:val="0"/>
          <w:sz w:val="24"/>
          <w:lang w:val="cs-CZ"/>
        </w:rPr>
        <w:fldChar w:fldCharType="begin"/>
      </w:r>
      <w:r w:rsidR="00441FEB">
        <w:instrText xml:space="preserve"> XE "predikace:</w:instrText>
      </w:r>
      <w:r w:rsidR="00441FEB" w:rsidRPr="00844845">
        <w:rPr>
          <w:rStyle w:val="Zkladntext158dkovn0pt"/>
          <w:i/>
          <w:color w:val="auto"/>
          <w:spacing w:val="0"/>
          <w:sz w:val="24"/>
          <w:lang w:val="cs-CZ"/>
        </w:rPr>
        <w:instrText>per posterius</w:instrText>
      </w:r>
      <w:r w:rsidR="00441FEB">
        <w:instrText xml:space="preserve">" </w:instrText>
      </w:r>
      <w:r w:rsidR="00441FEB">
        <w:rPr>
          <w:rStyle w:val="Zkladntext158dkovn0pt"/>
          <w:i/>
          <w:color w:val="auto"/>
          <w:spacing w:val="0"/>
          <w:sz w:val="24"/>
          <w:lang w:val="cs-CZ"/>
        </w:rPr>
        <w:fldChar w:fldCharType="end"/>
      </w:r>
      <w:r w:rsidR="00441FEB">
        <w:rPr>
          <w:rStyle w:val="Zkladntext158dkovn0pt"/>
          <w:color w:val="auto"/>
          <w:spacing w:val="0"/>
          <w:sz w:val="24"/>
          <w:lang w:val="cs-CZ"/>
        </w:rPr>
        <w:t>.</w:t>
      </w:r>
      <w:r w:rsidR="005D2C7E">
        <w:rPr>
          <w:rStyle w:val="Zkladntext158dkovn0pt"/>
          <w:color w:val="auto"/>
          <w:spacing w:val="0"/>
          <w:sz w:val="24"/>
          <w:lang w:val="cs-CZ"/>
        </w:rPr>
        <w:t xml:space="preserve"> </w:t>
      </w:r>
      <w:r w:rsidR="005D2C7E">
        <w:t>Archaická hermeneutika má božský úkol zachránit fenomény, protože to je poslední filosoficky důležité orákulum dané v Delfách před jejich zánikem (OBJ I, kap. 1.3.3). Toto umění patří k archaickému poslání hermeneutiky danému orákulem z Delf</w:t>
      </w:r>
      <w:r w:rsidR="005D2C7E">
        <w:fldChar w:fldCharType="begin"/>
      </w:r>
      <w:r w:rsidR="005D2C7E">
        <w:instrText xml:space="preserve"> XE "</w:instrText>
      </w:r>
      <w:r w:rsidR="005D2C7E" w:rsidRPr="08EF04A7">
        <w:instrText>Delfy</w:instrText>
      </w:r>
      <w:r w:rsidR="005D2C7E">
        <w:instrText xml:space="preserve">" </w:instrText>
      </w:r>
      <w:r w:rsidR="005D2C7E">
        <w:fldChar w:fldCharType="end"/>
      </w:r>
      <w:r w:rsidR="005D2C7E">
        <w:t xml:space="preserve"> o moudrém Sokratovi. Předložené zkoumání </w:t>
      </w:r>
      <w:r w:rsidR="00C92762">
        <w:t xml:space="preserve">hledá základní </w:t>
      </w:r>
      <w:r w:rsidR="00441FEB" w:rsidRPr="00273106">
        <w:rPr>
          <w:rStyle w:val="Zkladntext158dkovn0pt"/>
          <w:color w:val="auto"/>
          <w:spacing w:val="0"/>
          <w:sz w:val="24"/>
          <w:lang w:val="cs-CZ"/>
        </w:rPr>
        <w:t xml:space="preserve">určení </w:t>
      </w:r>
      <w:r w:rsidR="00BD63FA">
        <w:rPr>
          <w:rStyle w:val="Zkladntext158dkovn0pt"/>
          <w:color w:val="auto"/>
          <w:spacing w:val="0"/>
          <w:sz w:val="24"/>
          <w:lang w:val="cs-CZ"/>
        </w:rPr>
        <w:t xml:space="preserve">bytí pomocí </w:t>
      </w:r>
      <w:r w:rsidR="00C92762">
        <w:rPr>
          <w:rStyle w:val="Zkladntext158dkovn0pt"/>
          <w:color w:val="auto"/>
          <w:spacing w:val="0"/>
          <w:sz w:val="24"/>
          <w:lang w:val="cs-CZ"/>
        </w:rPr>
        <w:t xml:space="preserve">důležitých </w:t>
      </w:r>
      <w:r w:rsidR="00441FEB">
        <w:rPr>
          <w:iCs/>
        </w:rPr>
        <w:t>znamení</w:t>
      </w:r>
      <w:r w:rsidR="00BC379C">
        <w:rPr>
          <w:iCs/>
        </w:rPr>
        <w:t xml:space="preserve"> (</w:t>
      </w:r>
      <w:r w:rsidR="00BC379C" w:rsidRPr="089233DC">
        <w:rPr>
          <w:i/>
          <w:iCs/>
        </w:rPr>
        <w:t>hérmaion</w:t>
      </w:r>
      <w:r w:rsidR="00BC379C">
        <w:rPr>
          <w:iCs/>
        </w:rPr>
        <w:t>) na cestě moudrosti</w:t>
      </w:r>
      <w:r w:rsidR="00441FEB">
        <w:rPr>
          <w:iCs/>
        </w:rPr>
        <w:t xml:space="preserve">. </w:t>
      </w:r>
      <w:r w:rsidR="00441FEB">
        <w:t xml:space="preserve">Kritické myšlení rozlišuje s Parmenidem a s bohyní Pravdy důležitá sématická znamení </w:t>
      </w:r>
      <w:r w:rsidR="00441FEB" w:rsidRPr="08E61EEB">
        <w:t>(σήματ' ἔασι πολλὰ</w:t>
      </w:r>
      <w:r w:rsidR="00441FEB">
        <w:t>, B</w:t>
      </w:r>
      <w:r w:rsidR="00441FEB" w:rsidRPr="08E61EEB">
        <w:t xml:space="preserve"> 8.2‒3</w:t>
      </w:r>
      <w:r w:rsidR="00441FEB">
        <w:fldChar w:fldCharType="begin"/>
      </w:r>
      <w:r w:rsidR="00441FEB">
        <w:instrText xml:space="preserve"> XE "Parmenides:</w:instrText>
      </w:r>
      <w:r w:rsidR="00441FEB" w:rsidRPr="087361DB">
        <w:instrText>B 8.2‒3</w:instrText>
      </w:r>
      <w:r w:rsidR="00441FEB">
        <w:instrText xml:space="preserve">" </w:instrText>
      </w:r>
      <w:r w:rsidR="00441FEB">
        <w:fldChar w:fldCharType="end"/>
      </w:r>
      <w:r w:rsidR="00441FEB" w:rsidRPr="08E61EEB">
        <w:t>)</w:t>
      </w:r>
      <w:r w:rsidR="00441FEB">
        <w:t xml:space="preserve"> daná na cestě zvané </w:t>
      </w:r>
      <w:r w:rsidR="00C92762">
        <w:t>„</w:t>
      </w:r>
      <w:r w:rsidR="00441FEB" w:rsidRPr="00136109">
        <w:rPr>
          <w:i/>
        </w:rPr>
        <w:t>via Modernorum</w:t>
      </w:r>
      <w:r w:rsidR="00C92762">
        <w:t>“</w:t>
      </w:r>
      <w:r w:rsidR="00441FEB">
        <w:t xml:space="preserve">. Nejdůležitější znamení, která indikují vznik </w:t>
      </w:r>
      <w:r w:rsidR="00441FEB" w:rsidRPr="00026E81">
        <w:t>objektivity</w:t>
      </w:r>
      <w:r w:rsidR="00441FEB">
        <w:t>,</w:t>
      </w:r>
      <w:r w:rsidR="00441FEB" w:rsidRPr="00026E81">
        <w:t xml:space="preserve"> se objevil</w:t>
      </w:r>
      <w:r w:rsidR="00441FEB">
        <w:t>a</w:t>
      </w:r>
      <w:r w:rsidR="00441FEB" w:rsidRPr="00026E81">
        <w:t xml:space="preserve"> na počátku nové gigantomachie</w:t>
      </w:r>
      <w:r w:rsidR="00441FEB">
        <w:rPr>
          <w:rStyle w:val="Zkladntext158dkovn0pt"/>
          <w:color w:val="auto"/>
          <w:spacing w:val="0"/>
          <w:sz w:val="24"/>
          <w:lang w:val="cs-CZ"/>
        </w:rPr>
        <w:fldChar w:fldCharType="begin"/>
      </w:r>
      <w:r w:rsidR="00441FEB">
        <w:instrText xml:space="preserve"> XE "</w:instrText>
      </w:r>
      <w:r w:rsidR="00441FEB" w:rsidRPr="00D600ED">
        <w:instrText>substance:gigantomachie</w:instrText>
      </w:r>
      <w:r w:rsidR="00441FEB">
        <w:instrText xml:space="preserve">" </w:instrText>
      </w:r>
      <w:r w:rsidR="00441FEB">
        <w:rPr>
          <w:rStyle w:val="Zkladntext158dkovn0pt"/>
          <w:color w:val="auto"/>
          <w:spacing w:val="0"/>
          <w:sz w:val="24"/>
          <w:lang w:val="cs-CZ"/>
        </w:rPr>
        <w:fldChar w:fldCharType="end"/>
      </w:r>
      <w:r w:rsidR="00441FEB" w:rsidRPr="00026E81">
        <w:t xml:space="preserve"> mezi prvním </w:t>
      </w:r>
      <w:r w:rsidR="00A404EA">
        <w:t>a druhým averroismem po roce 123</w:t>
      </w:r>
      <w:r w:rsidR="00441FEB" w:rsidRPr="00026E81">
        <w:t xml:space="preserve">0. </w:t>
      </w:r>
      <w:r w:rsidR="00441FEB">
        <w:t xml:space="preserve">Tato znamení jsou v případě naší studie daná obranným mechanismem </w:t>
      </w:r>
      <w:r w:rsidR="006941F9">
        <w:t>inverze do opaku (</w:t>
      </w:r>
      <w:r w:rsidR="00441FEB" w:rsidRPr="089962C6">
        <w:rPr>
          <w:i/>
        </w:rPr>
        <w:t>Verkehrung ins Gegenteil</w:t>
      </w:r>
      <w:r w:rsidR="006941F9">
        <w:rPr>
          <w:i/>
        </w:rPr>
        <w:fldChar w:fldCharType="begin"/>
      </w:r>
      <w:r w:rsidR="006941F9">
        <w:instrText xml:space="preserve"> XE "</w:instrText>
      </w:r>
      <w:r w:rsidR="006941F9" w:rsidRPr="00A37B2A">
        <w:rPr>
          <w:i/>
        </w:rPr>
        <w:instrText>Verkehrung ins Gegenteil</w:instrText>
      </w:r>
      <w:r w:rsidR="006941F9">
        <w:instrText xml:space="preserve">" </w:instrText>
      </w:r>
      <w:r w:rsidR="006941F9">
        <w:rPr>
          <w:i/>
        </w:rPr>
        <w:fldChar w:fldCharType="end"/>
      </w:r>
      <w:r w:rsidR="006941F9">
        <w:t xml:space="preserve">), </w:t>
      </w:r>
      <w:r w:rsidR="00441FEB">
        <w:t xml:space="preserve">který vytěsnil hyparchický smysl první substance z myšlení moderny. Objektivní analytická filosofie je fundamentálně slepá ke kauzálně </w:t>
      </w:r>
      <w:r w:rsidR="003A1020">
        <w:t xml:space="preserve">působící </w:t>
      </w:r>
      <w:r w:rsidR="00441FEB">
        <w:t xml:space="preserve">substanci </w:t>
      </w:r>
      <w:r w:rsidR="00532C6C">
        <w:t xml:space="preserve">zkoumané </w:t>
      </w:r>
      <w:r w:rsidR="00441FEB">
        <w:t xml:space="preserve">ve </w:t>
      </w:r>
      <w:r w:rsidR="00441FEB" w:rsidRPr="089C7836">
        <w:rPr>
          <w:i/>
        </w:rPr>
        <w:t>Druhých analytikách</w:t>
      </w:r>
      <w:r w:rsidR="00441FEB">
        <w:t>. Objektivně určené bloudění rozumu (</w:t>
      </w:r>
      <w:r w:rsidR="00441FEB" w:rsidRPr="089C7836">
        <w:rPr>
          <w:i/>
        </w:rPr>
        <w:t>Irr</w:t>
      </w:r>
      <w:r w:rsidR="00441FEB">
        <w:rPr>
          <w:i/>
        </w:rPr>
        <w:t>e</w:t>
      </w:r>
      <w:r w:rsidR="00441FEB">
        <w:rPr>
          <w:i/>
        </w:rPr>
        <w:fldChar w:fldCharType="begin"/>
      </w:r>
      <w:r w:rsidR="00441FEB">
        <w:instrText xml:space="preserve"> XE "</w:instrText>
      </w:r>
      <w:r w:rsidR="00441FEB" w:rsidRPr="00746091">
        <w:rPr>
          <w:i/>
        </w:rPr>
        <w:instrText>Irre</w:instrText>
      </w:r>
      <w:r w:rsidR="00441FEB">
        <w:instrText xml:space="preserve">" </w:instrText>
      </w:r>
      <w:r w:rsidR="00441FEB">
        <w:rPr>
          <w:i/>
        </w:rPr>
        <w:fldChar w:fldCharType="end"/>
      </w:r>
      <w:r w:rsidR="00441FEB">
        <w:t xml:space="preserve">) je dáno skrze zakládající formy </w:t>
      </w:r>
      <w:r w:rsidR="00441FEB" w:rsidRPr="089C7836">
        <w:rPr>
          <w:i/>
        </w:rPr>
        <w:t>Oxfor</w:t>
      </w:r>
      <w:r w:rsidR="00441FEB">
        <w:rPr>
          <w:i/>
        </w:rPr>
        <w:t>dian F</w:t>
      </w:r>
      <w:r w:rsidR="00441FEB" w:rsidRPr="089C7836">
        <w:rPr>
          <w:i/>
        </w:rPr>
        <w:t>allacy</w:t>
      </w:r>
      <w:r w:rsidR="00441FEB">
        <w:t xml:space="preserve">. Mytologický </w:t>
      </w:r>
      <w:r w:rsidR="00441FEB" w:rsidRPr="080F7969">
        <w:rPr>
          <w:i/>
        </w:rPr>
        <w:t>modus ponens</w:t>
      </w:r>
      <w:r w:rsidR="00441FEB">
        <w:rPr>
          <w:i/>
        </w:rPr>
        <w:fldChar w:fldCharType="begin"/>
      </w:r>
      <w:r w:rsidR="00441FEB">
        <w:instrText xml:space="preserve"> XE "</w:instrText>
      </w:r>
      <w:r w:rsidR="00441FEB" w:rsidRPr="08802C2F">
        <w:rPr>
          <w:i/>
        </w:rPr>
        <w:instrText>modus ponens</w:instrText>
      </w:r>
      <w:r w:rsidR="00441FEB">
        <w:instrText xml:space="preserve">" </w:instrText>
      </w:r>
      <w:r w:rsidR="00441FEB">
        <w:rPr>
          <w:i/>
        </w:rPr>
        <w:fldChar w:fldCharType="end"/>
      </w:r>
      <w:r w:rsidR="00441FEB">
        <w:t xml:space="preserve"> objektivity spočívá na dvou základních omylech. Za prvé. Moderna ztratila vazbu na reálné bytí první substance. Za druhé. V moderně už neexistuje reálná osoba</w:t>
      </w:r>
      <w:r w:rsidR="00812009">
        <w:t>. M</w:t>
      </w:r>
      <w:r w:rsidR="00441FEB">
        <w:t>od</w:t>
      </w:r>
      <w:r w:rsidR="00812009">
        <w:t>us nereálné supozice a pluralita</w:t>
      </w:r>
      <w:r w:rsidR="00441FEB">
        <w:t xml:space="preserve"> substancí v člověku vytvořil</w:t>
      </w:r>
      <w:r w:rsidR="00812009">
        <w:t>y</w:t>
      </w:r>
      <w:r w:rsidR="00441FEB">
        <w:t xml:space="preserve"> neexistující moderní subjekt. Tímto dvojím zatměním první substance vytvořena nová vazba „</w:t>
      </w:r>
      <w:proofErr w:type="gramStart"/>
      <w:r w:rsidR="00441FEB">
        <w:t>subjekt</w:t>
      </w:r>
      <w:proofErr w:type="gramEnd"/>
      <w:r w:rsidR="00441FEB">
        <w:t>–</w:t>
      </w:r>
      <w:proofErr w:type="gramStart"/>
      <w:r w:rsidR="00441FEB">
        <w:t>objekt</w:t>
      </w:r>
      <w:proofErr w:type="gramEnd"/>
      <w:r w:rsidR="00441FEB">
        <w:t>“, v níž jsou oba zakládající členy dány mytickým způsobem.</w:t>
      </w:r>
      <w:r w:rsidR="007025C3">
        <w:t xml:space="preserve"> </w:t>
      </w:r>
      <w:r w:rsidR="084B0E8B">
        <w:t>Hermene</w:t>
      </w:r>
      <w:r w:rsidR="08645B21">
        <w:t>u</w:t>
      </w:r>
      <w:r w:rsidR="084B0E8B">
        <w:t>tika objekti</w:t>
      </w:r>
      <w:r w:rsidR="08B0447B">
        <w:t>v</w:t>
      </w:r>
      <w:r w:rsidR="084B0E8B">
        <w:t>i</w:t>
      </w:r>
      <w:r w:rsidR="08B0447B">
        <w:t>ty p</w:t>
      </w:r>
      <w:r w:rsidR="08323F9D">
        <w:t>ředchozí</w:t>
      </w:r>
      <w:r w:rsidR="08B0447B">
        <w:t>ho</w:t>
      </w:r>
      <w:r w:rsidR="08323F9D">
        <w:t xml:space="preserve"> </w:t>
      </w:r>
      <w:r w:rsidR="080C674B">
        <w:t>díl</w:t>
      </w:r>
      <w:r w:rsidR="08B0447B">
        <w:t>u</w:t>
      </w:r>
      <w:r w:rsidR="080C674B">
        <w:t xml:space="preserve"> </w:t>
      </w:r>
      <w:r w:rsidR="08432979">
        <w:t>sledoval</w:t>
      </w:r>
      <w:r w:rsidR="08B0447B">
        <w:t>a</w:t>
      </w:r>
      <w:r w:rsidR="08432979">
        <w:t xml:space="preserve"> tragiku západního aristotelismu a </w:t>
      </w:r>
      <w:r w:rsidR="080C674B">
        <w:t xml:space="preserve">první dějství </w:t>
      </w:r>
      <w:r w:rsidR="084B0E8B">
        <w:t xml:space="preserve">vítězné </w:t>
      </w:r>
      <w:r w:rsidR="080C674B">
        <w:t>tragikomedie Moderních</w:t>
      </w:r>
      <w:r w:rsidR="08432979">
        <w:t xml:space="preserve">. </w:t>
      </w:r>
      <w:r w:rsidR="008F1464">
        <w:t>Roger Bacon sledoval krok za krokem vznik vznik moderny v Rufusově filosofické škole, kterou prohlásil za šílený spolek (</w:t>
      </w:r>
      <w:r w:rsidR="008F1464" w:rsidRPr="00273106">
        <w:rPr>
          <w:i/>
          <w:szCs w:val="15"/>
        </w:rPr>
        <w:t>insaniunt contra veritatem</w:t>
      </w:r>
      <w:r w:rsidR="008F1464">
        <w:rPr>
          <w:i/>
        </w:rPr>
        <w:fldChar w:fldCharType="begin"/>
      </w:r>
      <w:r w:rsidR="008F1464">
        <w:instrText xml:space="preserve"> XE "druhý</w:instrText>
      </w:r>
      <w:r w:rsidR="008F1464" w:rsidRPr="005B7E92">
        <w:instrText xml:space="preserve"> averroismu</w:instrText>
      </w:r>
      <w:r w:rsidR="008F1464">
        <w:instrText xml:space="preserve">s:kritika Bacona" </w:instrText>
      </w:r>
      <w:r w:rsidR="008F1464">
        <w:rPr>
          <w:i/>
        </w:rPr>
        <w:fldChar w:fldCharType="end"/>
      </w:r>
      <w:r w:rsidR="008F1464">
        <w:rPr>
          <w:i/>
        </w:rPr>
        <w:t xml:space="preserve">; </w:t>
      </w:r>
      <w:r w:rsidR="008F1464" w:rsidRPr="08150767">
        <w:t>OBJ II, kap. 3.4.2</w:t>
      </w:r>
      <w:r w:rsidR="008F1464">
        <w:t xml:space="preserve">). Paranoické, schizofrenické a démonické rysy moderny je třeba vyložit v modu pythické hermeneutiky, která sleduje archaické působení Múz, </w:t>
      </w:r>
      <w:r w:rsidR="005D2C7E">
        <w:t xml:space="preserve">a ne objektivní </w:t>
      </w:r>
      <w:r w:rsidR="00FA4CE5">
        <w:t xml:space="preserve">zmatek </w:t>
      </w:r>
      <w:r w:rsidR="008D2A47">
        <w:t xml:space="preserve">subjektivně působících </w:t>
      </w:r>
      <w:r w:rsidR="005D2C7E">
        <w:t>Fúrií.</w:t>
      </w:r>
    </w:p>
    <w:p w:rsidR="00266ED6" w:rsidRDefault="0821078B" w:rsidP="00E80B34">
      <w:pPr>
        <w:ind w:firstLine="397"/>
      </w:pPr>
      <w:r>
        <w:lastRenderedPageBreak/>
        <w:t>Manifestace objektivní substance představuje původní dějinnou událost (</w:t>
      </w:r>
      <w:r w:rsidRPr="08FD6630">
        <w:rPr>
          <w:i/>
        </w:rPr>
        <w:t>Ereignis</w:t>
      </w:r>
      <w:r>
        <w:rPr>
          <w:i/>
        </w:rPr>
        <w:fldChar w:fldCharType="begin"/>
      </w:r>
      <w:r>
        <w:instrText xml:space="preserve"> XE "</w:instrText>
      </w:r>
      <w:r w:rsidRPr="08F607A0">
        <w:rPr>
          <w:i/>
        </w:rPr>
        <w:instrText>Ereignis</w:instrText>
      </w:r>
      <w:r>
        <w:instrText xml:space="preserve">" </w:instrText>
      </w:r>
      <w:r>
        <w:rPr>
          <w:i/>
        </w:rPr>
        <w:fldChar w:fldCharType="end"/>
      </w:r>
      <w:r>
        <w:t xml:space="preserve">), která zakládá dějiny moderní metafyziky. </w:t>
      </w:r>
      <w:r w:rsidR="08F55783">
        <w:t xml:space="preserve">Příchod druhého averroismu změnil smysl jsoucna na objektivitu, která způsobila zatmění první substance. </w:t>
      </w:r>
      <w:r w:rsidR="002C7469">
        <w:t xml:space="preserve">Metafyzická donace bytí daná podle Platona </w:t>
      </w:r>
      <w:r w:rsidR="08F55783">
        <w:t xml:space="preserve">se </w:t>
      </w:r>
      <w:r w:rsidR="00573DB9">
        <w:t xml:space="preserve">dává </w:t>
      </w:r>
      <w:r w:rsidR="08F55783">
        <w:t>v</w:t>
      </w:r>
      <w:r w:rsidR="00573DB9">
        <w:t xml:space="preserve"> epoše </w:t>
      </w:r>
      <w:r w:rsidR="08F55783">
        <w:t xml:space="preserve">zatmění první substance </w:t>
      </w:r>
      <w:r w:rsidR="00FF041F">
        <w:t>v nové podobě</w:t>
      </w:r>
      <w:r w:rsidR="08F55783">
        <w:t xml:space="preserve">. Ideu </w:t>
      </w:r>
      <w:r w:rsidR="008407EC">
        <w:t xml:space="preserve">nahradilo jsoucno třetího druhu. Tato neexistující entita se manifestuje </w:t>
      </w:r>
      <w:r w:rsidR="08F55783">
        <w:t>v modu objektivní parous</w:t>
      </w:r>
      <w:r w:rsidR="00BD2DDC">
        <w:t>ie, která je dána v</w:t>
      </w:r>
      <w:r w:rsidR="005359B8">
        <w:t xml:space="preserve"> absolutní </w:t>
      </w:r>
      <w:r w:rsidR="00BD2DDC">
        <w:t xml:space="preserve">přítomnosti </w:t>
      </w:r>
      <w:r w:rsidR="008407EC">
        <w:t xml:space="preserve">moderního </w:t>
      </w:r>
      <w:r w:rsidR="00BD2DDC">
        <w:t>subjektu</w:t>
      </w:r>
      <w:r w:rsidR="08F55783">
        <w:t xml:space="preserve">. </w:t>
      </w:r>
      <w:r w:rsidR="081551F1">
        <w:t xml:space="preserve">Aristotelský </w:t>
      </w:r>
      <w:r w:rsidR="081942A4">
        <w:t xml:space="preserve">metafyzický </w:t>
      </w:r>
      <w:r w:rsidR="08832D07">
        <w:t xml:space="preserve">dativ </w:t>
      </w:r>
      <w:r w:rsidR="08980098">
        <w:t xml:space="preserve">je </w:t>
      </w:r>
      <w:r w:rsidR="081551F1">
        <w:t xml:space="preserve">naopak </w:t>
      </w:r>
      <w:r w:rsidR="08980098">
        <w:t>vyjádřený minulostním působením reálné první substance</w:t>
      </w:r>
      <w:r w:rsidR="00CD6380">
        <w:t xml:space="preserve"> (</w:t>
      </w:r>
      <w:r w:rsidR="00CD6380" w:rsidRPr="08364F97">
        <w:t>τό τί ἦν εἶναι</w:t>
      </w:r>
      <w:r w:rsidR="00CD6380">
        <w:fldChar w:fldCharType="begin"/>
      </w:r>
      <w:r w:rsidR="00CD6380">
        <w:instrText xml:space="preserve"> XE "</w:instrText>
      </w:r>
      <w:r w:rsidR="00CD6380" w:rsidRPr="08D57ABC">
        <w:instrText>τό τί ἦν εἶναι</w:instrText>
      </w:r>
      <w:r w:rsidR="00CD6380">
        <w:instrText xml:space="preserve">" </w:instrText>
      </w:r>
      <w:r w:rsidR="00CD6380">
        <w:fldChar w:fldCharType="end"/>
      </w:r>
      <w:r w:rsidR="00CD6380">
        <w:t>)</w:t>
      </w:r>
      <w:r w:rsidR="08980098">
        <w:t xml:space="preserve">, která je přítomná skrze poznané bytí a skrze </w:t>
      </w:r>
      <w:r w:rsidR="009F191A">
        <w:t xml:space="preserve">adekvátní </w:t>
      </w:r>
      <w:r w:rsidR="00E83B1F">
        <w:t>predikaci</w:t>
      </w:r>
      <w:r w:rsidR="08980098">
        <w:t xml:space="preserve">. Epocha </w:t>
      </w:r>
      <w:r w:rsidR="08832D07">
        <w:t>objektivní zapomenutosti první substance (</w:t>
      </w:r>
      <w:r w:rsidR="08832D07" w:rsidRPr="086F4958">
        <w:rPr>
          <w:i/>
        </w:rPr>
        <w:t>Seinsvergessenheit</w:t>
      </w:r>
      <w:r w:rsidR="08832D07">
        <w:rPr>
          <w:i/>
        </w:rPr>
        <w:fldChar w:fldCharType="begin"/>
      </w:r>
      <w:r w:rsidR="08832D07">
        <w:instrText xml:space="preserve"> XE "</w:instrText>
      </w:r>
      <w:r w:rsidR="08832D07" w:rsidRPr="08B55D9F">
        <w:rPr>
          <w:i/>
        </w:rPr>
        <w:instrText>Seinsvergessenheit</w:instrText>
      </w:r>
      <w:r w:rsidR="08832D07">
        <w:instrText xml:space="preserve">" </w:instrText>
      </w:r>
      <w:r w:rsidR="08832D07">
        <w:rPr>
          <w:i/>
        </w:rPr>
        <w:fldChar w:fldCharType="end"/>
      </w:r>
      <w:r w:rsidR="08832D07">
        <w:t xml:space="preserve">) </w:t>
      </w:r>
      <w:r w:rsidR="08196964">
        <w:t xml:space="preserve">vzala logickou esenci jako základ </w:t>
      </w:r>
      <w:r w:rsidR="00226B0C">
        <w:t xml:space="preserve">pro </w:t>
      </w:r>
      <w:r w:rsidR="00483710">
        <w:t xml:space="preserve">novou </w:t>
      </w:r>
      <w:r w:rsidR="08832D07">
        <w:t>donaci smyslu jsoucna</w:t>
      </w:r>
      <w:r w:rsidR="08196964">
        <w:t xml:space="preserve">. Tím vznikla v mysli </w:t>
      </w:r>
      <w:r w:rsidR="007956DA">
        <w:t>moderních iluminátů</w:t>
      </w:r>
      <w:r w:rsidR="08196964">
        <w:t xml:space="preserve"> </w:t>
      </w:r>
      <w:r w:rsidR="08832D07">
        <w:t xml:space="preserve">univerzální parousie jsoucna třetího druhu. Grossetestem a Rufusem ustavený </w:t>
      </w:r>
      <w:r w:rsidR="08832D07" w:rsidRPr="08541B4B">
        <w:rPr>
          <w:i/>
        </w:rPr>
        <w:t>Ereignis</w:t>
      </w:r>
      <w:r w:rsidR="08832D07">
        <w:t xml:space="preserve"> bytí jsoucna </w:t>
      </w:r>
      <w:r w:rsidR="00E64F1E">
        <w:t xml:space="preserve">jako </w:t>
      </w:r>
      <w:r w:rsidR="00E64F1E" w:rsidRPr="00E64F1E">
        <w:rPr>
          <w:i/>
        </w:rPr>
        <w:t>tertium ens</w:t>
      </w:r>
      <w:r w:rsidR="00E64F1E">
        <w:t xml:space="preserve"> </w:t>
      </w:r>
      <w:r w:rsidR="08832D07">
        <w:t xml:space="preserve">se zásadně liší od kategoriální reprezentace hyparchického bytí první substance. </w:t>
      </w:r>
      <w:r w:rsidR="08F55783">
        <w:t>První substance je v</w:t>
      </w:r>
      <w:r w:rsidR="08F52DCD">
        <w:t xml:space="preserve"> aristotelském </w:t>
      </w:r>
      <w:r w:rsidR="08F55783">
        <w:t xml:space="preserve">modu </w:t>
      </w:r>
      <w:r w:rsidR="08F55783" w:rsidRPr="08541B4B">
        <w:rPr>
          <w:i/>
        </w:rPr>
        <w:t>per prius</w:t>
      </w:r>
      <w:r w:rsidR="08F55783">
        <w:t xml:space="preserve"> dána hyparchicky a v modu </w:t>
      </w:r>
      <w:r w:rsidR="08F55783" w:rsidRPr="08541B4B">
        <w:rPr>
          <w:i/>
        </w:rPr>
        <w:t>per posterius</w:t>
      </w:r>
      <w:r w:rsidR="08F55783">
        <w:t xml:space="preserve"> je univerzálně predikována skrze </w:t>
      </w:r>
      <w:r w:rsidR="08980098">
        <w:t>druhou substanci</w:t>
      </w:r>
      <w:r w:rsidR="08F55783">
        <w:t xml:space="preserve">. Tuto závislost </w:t>
      </w:r>
      <w:r w:rsidR="006F7D53">
        <w:t xml:space="preserve">metafyzického </w:t>
      </w:r>
      <w:r w:rsidR="08F55783">
        <w:t xml:space="preserve">myšlení na </w:t>
      </w:r>
      <w:r w:rsidR="006F7D53">
        <w:t xml:space="preserve">reálném </w:t>
      </w:r>
      <w:r w:rsidR="08F55783">
        <w:t xml:space="preserve">bytí jsoucna vyjadřoval v aristotelské </w:t>
      </w:r>
      <w:r w:rsidR="006F7D53">
        <w:t xml:space="preserve">filosofii </w:t>
      </w:r>
      <w:r w:rsidR="08402A9E">
        <w:t xml:space="preserve">základní </w:t>
      </w:r>
      <w:r w:rsidR="08F55783">
        <w:t xml:space="preserve">axiom </w:t>
      </w:r>
      <w:r w:rsidR="006F7D53">
        <w:t>„</w:t>
      </w:r>
      <w:r w:rsidR="08A649EB">
        <w:rPr>
          <w:i/>
        </w:rPr>
        <w:t>ex in</w:t>
      </w:r>
      <w:r w:rsidR="08F55783" w:rsidRPr="08812A48">
        <w:rPr>
          <w:i/>
        </w:rPr>
        <w:t>mediatis</w:t>
      </w:r>
      <w:r w:rsidR="006F7D53">
        <w:t>“</w:t>
      </w:r>
      <w:r w:rsidR="08F55783">
        <w:fldChar w:fldCharType="begin"/>
      </w:r>
      <w:r w:rsidR="08F55783">
        <w:instrText xml:space="preserve"> XE "</w:instrText>
      </w:r>
      <w:r w:rsidR="08F55783" w:rsidRPr="00342C7E">
        <w:instrText xml:space="preserve">princip </w:instrText>
      </w:r>
      <w:r w:rsidR="08A649EB">
        <w:rPr>
          <w:i/>
        </w:rPr>
        <w:instrText>ex in</w:instrText>
      </w:r>
      <w:r w:rsidR="08F55783" w:rsidRPr="007D1242">
        <w:rPr>
          <w:i/>
        </w:rPr>
        <w:instrText>mediatis</w:instrText>
      </w:r>
      <w:r w:rsidR="08F55783">
        <w:instrText xml:space="preserve">" </w:instrText>
      </w:r>
      <w:r w:rsidR="08F55783">
        <w:fldChar w:fldCharType="end"/>
      </w:r>
      <w:r w:rsidR="08F55783">
        <w:t>. Rufus</w:t>
      </w:r>
      <w:r w:rsidR="00445818">
        <w:t xml:space="preserve">ova </w:t>
      </w:r>
      <w:r w:rsidR="08F55783">
        <w:t>vytvořil objektivní donaci smyslu jsoucna v novém typu parousie dané jako s</w:t>
      </w:r>
      <w:r w:rsidR="00F32B5F">
        <w:t>imulákrum Aristotelovy donace</w:t>
      </w:r>
      <w:r w:rsidR="08F55783">
        <w:t xml:space="preserve">. Jsoucno třetího druhu se zjevuje v mysli ilumináta přímo a bezprostředně ve vlastním bytí daném </w:t>
      </w:r>
      <w:r w:rsidR="08F55783" w:rsidRPr="08812A48">
        <w:rPr>
          <w:i/>
        </w:rPr>
        <w:t>simpliciter</w:t>
      </w:r>
      <w:r w:rsidR="08F55783">
        <w:t xml:space="preserve"> a </w:t>
      </w:r>
      <w:r w:rsidR="08F55783" w:rsidRPr="08812A48">
        <w:rPr>
          <w:i/>
        </w:rPr>
        <w:t>per se</w:t>
      </w:r>
      <w:r w:rsidR="08F55783">
        <w:t xml:space="preserve">. </w:t>
      </w:r>
      <w:r w:rsidR="08402A9E">
        <w:t xml:space="preserve">Novým zdrojem principu </w:t>
      </w:r>
      <w:r w:rsidR="00445818">
        <w:t>„</w:t>
      </w:r>
      <w:r w:rsidR="08402A9E" w:rsidRPr="08402A9E">
        <w:rPr>
          <w:i/>
        </w:rPr>
        <w:t>ex inmediatis</w:t>
      </w:r>
      <w:r w:rsidR="00445818">
        <w:t>“</w:t>
      </w:r>
      <w:r w:rsidR="08402A9E">
        <w:t xml:space="preserve"> se stal moderní subjekt poznání. </w:t>
      </w:r>
      <w:r w:rsidR="00445818">
        <w:t>Rufusem vyt</w:t>
      </w:r>
      <w:r w:rsidR="00395FAD">
        <w:t>vořil</w:t>
      </w:r>
      <w:r w:rsidR="00445818">
        <w:t xml:space="preserve"> </w:t>
      </w:r>
      <w:r w:rsidR="00445818" w:rsidRPr="00445818">
        <w:t>objektivní</w:t>
      </w:r>
      <w:r w:rsidR="00395FAD">
        <w:t xml:space="preserve"> donaci jsoucna vyjádřenou</w:t>
      </w:r>
      <w:r w:rsidR="00445818">
        <w:t xml:space="preserve"> termínem „</w:t>
      </w:r>
      <w:r w:rsidR="00445818" w:rsidRPr="00445818">
        <w:rPr>
          <w:i/>
        </w:rPr>
        <w:t>species obiecti exsistentis</w:t>
      </w:r>
      <w:r w:rsidR="00445818">
        <w:rPr>
          <w:i/>
        </w:rPr>
        <w:fldChar w:fldCharType="begin"/>
      </w:r>
      <w:r w:rsidR="00445818">
        <w:instrText xml:space="preserve"> XE "</w:instrText>
      </w:r>
      <w:r w:rsidR="00445818" w:rsidRPr="00C05196">
        <w:rPr>
          <w:i/>
        </w:rPr>
        <w:instrText>species</w:instrText>
      </w:r>
      <w:r w:rsidR="00445818" w:rsidRPr="00C05196">
        <w:instrText xml:space="preserve"> </w:instrText>
      </w:r>
      <w:r w:rsidR="00445818" w:rsidRPr="00C05196">
        <w:rPr>
          <w:i/>
        </w:rPr>
        <w:instrText>obiecti exsistentis</w:instrText>
      </w:r>
      <w:r w:rsidR="00445818">
        <w:instrText xml:space="preserve">" </w:instrText>
      </w:r>
      <w:r w:rsidR="00445818">
        <w:rPr>
          <w:i/>
        </w:rPr>
        <w:fldChar w:fldCharType="end"/>
      </w:r>
      <w:r w:rsidR="00445818">
        <w:t>“</w:t>
      </w:r>
      <w:r w:rsidR="00395FAD">
        <w:t xml:space="preserve">. Takto utvořená objektivní substance </w:t>
      </w:r>
      <w:r w:rsidR="00445818" w:rsidRPr="00445818">
        <w:t>vytěsnil</w:t>
      </w:r>
      <w:r w:rsidR="00445818">
        <w:t>a</w:t>
      </w:r>
      <w:r w:rsidR="00445818" w:rsidRPr="00445818">
        <w:t xml:space="preserve"> prioritu aristotelské první substance. </w:t>
      </w:r>
      <w:r w:rsidR="009E288B">
        <w:t>O</w:t>
      </w:r>
      <w:r w:rsidR="0867423B">
        <w:t>bjektivní simulákru</w:t>
      </w:r>
      <w:r w:rsidR="009E288B">
        <w:t>m</w:t>
      </w:r>
      <w:r w:rsidR="0867423B">
        <w:t xml:space="preserve"> hylemorfické substance </w:t>
      </w:r>
      <w:r w:rsidR="08432979">
        <w:t>začalo</w:t>
      </w:r>
      <w:r w:rsidR="08B428D4">
        <w:t xml:space="preserve"> </w:t>
      </w:r>
      <w:r w:rsidR="080742D6">
        <w:t xml:space="preserve">dominovat v </w:t>
      </w:r>
      <w:r w:rsidR="08B428D4">
        <w:t>některých škol</w:t>
      </w:r>
      <w:r w:rsidR="080742D6">
        <w:t>ách</w:t>
      </w:r>
      <w:r w:rsidR="08827281">
        <w:t xml:space="preserve"> v Paříži a zejména na Oxfordu. </w:t>
      </w:r>
      <w:r w:rsidR="08C77CED">
        <w:t xml:space="preserve">Vytěsnění </w:t>
      </w:r>
      <w:r w:rsidR="081942A4">
        <w:t xml:space="preserve">metafyzického </w:t>
      </w:r>
      <w:r w:rsidR="08C77CED">
        <w:t xml:space="preserve">dativu skrze jeho objektivní formu </w:t>
      </w:r>
      <w:r w:rsidR="004B7E1B">
        <w:t xml:space="preserve">vytvořilo novou formu </w:t>
      </w:r>
      <w:r w:rsidR="08DF4E8C" w:rsidRPr="00273106">
        <w:rPr>
          <w:i/>
        </w:rPr>
        <w:t>Lichtung</w:t>
      </w:r>
      <w:r w:rsidR="08DF4E8C">
        <w:rPr>
          <w:i/>
        </w:rPr>
        <w:fldChar w:fldCharType="begin"/>
      </w:r>
      <w:r w:rsidR="08DF4E8C">
        <w:instrText xml:space="preserve"> XE "</w:instrText>
      </w:r>
      <w:r w:rsidR="08DF4E8C" w:rsidRPr="00F56646">
        <w:rPr>
          <w:i/>
        </w:rPr>
        <w:instrText>Lichtung:</w:instrText>
      </w:r>
      <w:r w:rsidR="08DF4E8C">
        <w:instrText xml:space="preserve">metafyzika" </w:instrText>
      </w:r>
      <w:r w:rsidR="08DF4E8C">
        <w:rPr>
          <w:i/>
        </w:rPr>
        <w:fldChar w:fldCharType="end"/>
      </w:r>
      <w:r w:rsidR="005E6000">
        <w:t xml:space="preserve"> pravdy a nepravdy vztažené k bytí jsoucna</w:t>
      </w:r>
      <w:r w:rsidR="00F770EA">
        <w:t xml:space="preserve">. Tím vzniklo nové místo vědění, </w:t>
      </w:r>
      <w:r w:rsidR="08DF4E8C" w:rsidRPr="00273106">
        <w:t>odkud vychází moderní věd</w:t>
      </w:r>
      <w:r w:rsidR="081C4EE7">
        <w:t>a a nihilistická metafyzika</w:t>
      </w:r>
      <w:r w:rsidR="088D6E62">
        <w:t xml:space="preserve"> (</w:t>
      </w:r>
      <w:r w:rsidR="088D6E62" w:rsidRPr="088D6E62">
        <w:rPr>
          <w:i/>
        </w:rPr>
        <w:t>ortus scientiarum</w:t>
      </w:r>
      <w:r w:rsidR="088D6E62">
        <w:rPr>
          <w:i/>
        </w:rPr>
        <w:fldChar w:fldCharType="begin"/>
      </w:r>
      <w:r w:rsidR="088D6E62">
        <w:instrText xml:space="preserve"> XE "</w:instrText>
      </w:r>
      <w:r w:rsidR="088D6E62" w:rsidRPr="086A1655">
        <w:rPr>
          <w:i/>
        </w:rPr>
        <w:instrText>ortus scientiarum</w:instrText>
      </w:r>
      <w:r w:rsidR="088D6E62">
        <w:instrText xml:space="preserve">" </w:instrText>
      </w:r>
      <w:r w:rsidR="088D6E62">
        <w:rPr>
          <w:i/>
        </w:rPr>
        <w:fldChar w:fldCharType="end"/>
      </w:r>
      <w:r w:rsidR="088D6E62">
        <w:t>)</w:t>
      </w:r>
      <w:r w:rsidR="08DF4E8C" w:rsidRPr="00273106">
        <w:t>.</w:t>
      </w:r>
      <w:r w:rsidR="08DF4E8C">
        <w:t xml:space="preserve"> </w:t>
      </w:r>
      <w:r w:rsidR="08C67717" w:rsidRPr="00273106">
        <w:rPr>
          <w:rStyle w:val="Zkladntext158dkovn0pt"/>
          <w:color w:val="auto"/>
          <w:spacing w:val="0"/>
          <w:sz w:val="24"/>
          <w:lang w:val="cs-CZ"/>
        </w:rPr>
        <w:t xml:space="preserve">Hermeneutika objektivity aplikovala </w:t>
      </w:r>
      <w:r w:rsidR="00755FF2">
        <w:rPr>
          <w:rStyle w:val="Zkladntext158dkovn0pt"/>
          <w:color w:val="auto"/>
          <w:spacing w:val="0"/>
          <w:sz w:val="24"/>
          <w:lang w:val="cs-CZ"/>
        </w:rPr>
        <w:t>Heideggerovy pojmy (</w:t>
      </w:r>
      <w:r w:rsidR="08C67717" w:rsidRPr="00273106">
        <w:rPr>
          <w:rStyle w:val="Zkladntext158dkovn0pt"/>
          <w:i/>
          <w:color w:val="auto"/>
          <w:spacing w:val="0"/>
          <w:sz w:val="24"/>
          <w:lang w:val="cs-CZ"/>
        </w:rPr>
        <w:t>Ereignis</w:t>
      </w:r>
      <w:r w:rsidR="08C67717" w:rsidRPr="00273106">
        <w:rPr>
          <w:rStyle w:val="Zkladntext158dkovn0pt"/>
          <w:color w:val="auto"/>
          <w:spacing w:val="0"/>
          <w:sz w:val="24"/>
          <w:lang w:val="cs-CZ"/>
        </w:rPr>
        <w:t xml:space="preserve">, </w:t>
      </w:r>
      <w:r w:rsidR="08C67717" w:rsidRPr="00273106">
        <w:rPr>
          <w:rStyle w:val="Zkladntext158dkovn0pt"/>
          <w:i/>
          <w:color w:val="auto"/>
          <w:spacing w:val="0"/>
          <w:sz w:val="24"/>
          <w:lang w:val="cs-CZ"/>
        </w:rPr>
        <w:t>Irre</w:t>
      </w:r>
      <w:r w:rsidR="08C67717" w:rsidRPr="00273106">
        <w:rPr>
          <w:rStyle w:val="Zkladntext158dkovn0pt"/>
          <w:color w:val="auto"/>
          <w:spacing w:val="0"/>
          <w:sz w:val="24"/>
          <w:lang w:val="cs-CZ"/>
        </w:rPr>
        <w:t xml:space="preserve">, </w:t>
      </w:r>
      <w:r w:rsidR="08C67717" w:rsidRPr="00273106">
        <w:rPr>
          <w:rStyle w:val="Zkladntext158dkovn0pt"/>
          <w:i/>
          <w:color w:val="auto"/>
          <w:spacing w:val="0"/>
          <w:sz w:val="24"/>
          <w:lang w:val="cs-CZ"/>
        </w:rPr>
        <w:t>Irrtum</w:t>
      </w:r>
      <w:r w:rsidR="08C67717" w:rsidRPr="00273106">
        <w:rPr>
          <w:rStyle w:val="Zkladntext158dkovn0pt"/>
          <w:color w:val="auto"/>
          <w:spacing w:val="0"/>
          <w:sz w:val="24"/>
          <w:lang w:val="cs-CZ"/>
        </w:rPr>
        <w:t xml:space="preserve">, </w:t>
      </w:r>
      <w:r w:rsidR="08C67717" w:rsidRPr="00273106">
        <w:rPr>
          <w:rStyle w:val="Zkladntext158dkovn0pt"/>
          <w:i/>
          <w:color w:val="auto"/>
          <w:spacing w:val="0"/>
          <w:sz w:val="24"/>
          <w:lang w:val="cs-CZ"/>
        </w:rPr>
        <w:t>Seinsvergessenheit</w:t>
      </w:r>
      <w:r w:rsidR="00755FF2">
        <w:rPr>
          <w:rStyle w:val="Zkladntext158dkovn0pt"/>
          <w:color w:val="auto"/>
          <w:spacing w:val="0"/>
          <w:sz w:val="24"/>
          <w:lang w:val="cs-CZ"/>
        </w:rPr>
        <w:t>) k vysv</w:t>
      </w:r>
      <w:r w:rsidR="00741EB3">
        <w:rPr>
          <w:rStyle w:val="Zkladntext158dkovn0pt"/>
          <w:color w:val="auto"/>
          <w:spacing w:val="0"/>
          <w:sz w:val="24"/>
          <w:lang w:val="cs-CZ"/>
        </w:rPr>
        <w:t>ě</w:t>
      </w:r>
      <w:r w:rsidR="00755FF2">
        <w:rPr>
          <w:rStyle w:val="Zkladntext158dkovn0pt"/>
          <w:color w:val="auto"/>
          <w:spacing w:val="0"/>
          <w:sz w:val="24"/>
          <w:lang w:val="cs-CZ"/>
        </w:rPr>
        <w:t xml:space="preserve">tlení </w:t>
      </w:r>
      <w:r w:rsidR="00825F34">
        <w:rPr>
          <w:rStyle w:val="Zkladntext158dkovn0pt"/>
          <w:color w:val="auto"/>
          <w:spacing w:val="0"/>
          <w:sz w:val="24"/>
          <w:lang w:val="cs-CZ"/>
        </w:rPr>
        <w:t xml:space="preserve">nové </w:t>
      </w:r>
      <w:r w:rsidR="00C80E37">
        <w:t>gigantomachie o substanci</w:t>
      </w:r>
      <w:r w:rsidR="00825F34">
        <w:t xml:space="preserve">, která </w:t>
      </w:r>
      <w:r w:rsidR="00D1293D">
        <w:t>vznikla n</w:t>
      </w:r>
      <w:r w:rsidR="00C80E37">
        <w:t xml:space="preserve">a latinském Západě na začátku 13. století. </w:t>
      </w:r>
      <w:r w:rsidR="00CE68C8">
        <w:t xml:space="preserve">Z původní události donace dvojnásobně skrytého bytí </w:t>
      </w:r>
      <w:r w:rsidR="00CE68C8" w:rsidRPr="00273106">
        <w:t>vychází nové for</w:t>
      </w:r>
      <w:r w:rsidR="00B50BC6">
        <w:t>my západní metafyziky</w:t>
      </w:r>
      <w:r w:rsidR="00CE68C8" w:rsidRPr="00273106">
        <w:t xml:space="preserve">. </w:t>
      </w:r>
      <w:r w:rsidR="08C67717" w:rsidRPr="00273106">
        <w:t xml:space="preserve">Dosud málo známý konflikt výkladů </w:t>
      </w:r>
      <w:r w:rsidR="08C67717">
        <w:t xml:space="preserve">Aristotela </w:t>
      </w:r>
      <w:r w:rsidR="08C67717">
        <w:rPr>
          <w:i/>
        </w:rPr>
        <w:t>ad mentem Averrois</w:t>
      </w:r>
      <w:r w:rsidR="08C67717">
        <w:rPr>
          <w:i/>
        </w:rPr>
        <w:fldChar w:fldCharType="begin"/>
      </w:r>
      <w:r w:rsidR="08C67717">
        <w:instrText xml:space="preserve"> XE "</w:instrText>
      </w:r>
      <w:r w:rsidR="08C67717">
        <w:rPr>
          <w:i/>
        </w:rPr>
        <w:instrText>ad mentem Averrois</w:instrText>
      </w:r>
      <w:r w:rsidR="08C67717">
        <w:instrText xml:space="preserve">" </w:instrText>
      </w:r>
      <w:r w:rsidR="08C67717">
        <w:rPr>
          <w:i/>
        </w:rPr>
        <w:fldChar w:fldCharType="end"/>
      </w:r>
      <w:r w:rsidR="08C67717">
        <w:t xml:space="preserve"> </w:t>
      </w:r>
      <w:r w:rsidR="08C67717" w:rsidRPr="00273106">
        <w:t xml:space="preserve">odhaluje </w:t>
      </w:r>
      <w:r w:rsidR="0067578A">
        <w:t xml:space="preserve">skryté součtveří </w:t>
      </w:r>
      <w:r w:rsidR="0067578A" w:rsidRPr="00273106">
        <w:t>(</w:t>
      </w:r>
      <w:r w:rsidR="0067578A" w:rsidRPr="00273106">
        <w:rPr>
          <w:i/>
        </w:rPr>
        <w:t>Geviert</w:t>
      </w:r>
      <w:r w:rsidR="0067578A">
        <w:rPr>
          <w:i/>
        </w:rPr>
        <w:fldChar w:fldCharType="begin"/>
      </w:r>
      <w:r w:rsidR="0067578A">
        <w:instrText xml:space="preserve"> XE "</w:instrText>
      </w:r>
      <w:r w:rsidR="0067578A" w:rsidRPr="00C65563">
        <w:rPr>
          <w:i/>
        </w:rPr>
        <w:instrText>Geviert</w:instrText>
      </w:r>
      <w:r w:rsidR="0067578A">
        <w:instrText xml:space="preserve">" </w:instrText>
      </w:r>
      <w:r w:rsidR="0067578A">
        <w:rPr>
          <w:i/>
        </w:rPr>
        <w:fldChar w:fldCharType="end"/>
      </w:r>
      <w:r w:rsidR="0067578A">
        <w:t xml:space="preserve">) </w:t>
      </w:r>
      <w:r w:rsidR="0017529F">
        <w:t xml:space="preserve">bytí </w:t>
      </w:r>
      <w:r w:rsidR="0017529F">
        <w:lastRenderedPageBreak/>
        <w:t>jsoucna, které založilo dějinně určené místo ne/pravdy (</w:t>
      </w:r>
      <w:r w:rsidR="0067578A" w:rsidRPr="0067578A">
        <w:rPr>
          <w:i/>
        </w:rPr>
        <w:t>Lichtung</w:t>
      </w:r>
      <w:r w:rsidR="0017529F">
        <w:t xml:space="preserve">) </w:t>
      </w:r>
      <w:r w:rsidR="004B1862">
        <w:t xml:space="preserve">odkud pochází </w:t>
      </w:r>
      <w:r w:rsidR="00991BCA">
        <w:t xml:space="preserve">moderní </w:t>
      </w:r>
      <w:r w:rsidR="004B1862">
        <w:t>metafyzika</w:t>
      </w:r>
      <w:r w:rsidR="00E80B34">
        <w:t xml:space="preserve"> (OBJ II, kap. 3). </w:t>
      </w:r>
      <w:r w:rsidR="08C67717">
        <w:rPr>
          <w:rStyle w:val="st"/>
        </w:rPr>
        <w:t xml:space="preserve">Hermeneutika sledovala </w:t>
      </w:r>
      <w:r w:rsidR="086B4442">
        <w:rPr>
          <w:rStyle w:val="st"/>
        </w:rPr>
        <w:t>myto</w:t>
      </w:r>
      <w:r w:rsidR="00CB791A">
        <w:rPr>
          <w:rStyle w:val="st"/>
        </w:rPr>
        <w:t xml:space="preserve">logickou </w:t>
      </w:r>
      <w:r w:rsidR="08C67717">
        <w:rPr>
          <w:rStyle w:val="st"/>
        </w:rPr>
        <w:t xml:space="preserve">kosmogenezi </w:t>
      </w:r>
      <w:r w:rsidR="086B4442">
        <w:rPr>
          <w:rStyle w:val="st"/>
        </w:rPr>
        <w:t xml:space="preserve">objektivně dané atomární </w:t>
      </w:r>
      <w:r w:rsidR="08C67717">
        <w:rPr>
          <w:rStyle w:val="st"/>
        </w:rPr>
        <w:t xml:space="preserve">substance z několika perspektiv daných apollinskou sémantikou pravdy a </w:t>
      </w:r>
      <w:r w:rsidR="007A531F">
        <w:rPr>
          <w:rStyle w:val="st"/>
        </w:rPr>
        <w:t>nepravdy</w:t>
      </w:r>
      <w:r w:rsidR="08C67717">
        <w:rPr>
          <w:rStyle w:val="st"/>
        </w:rPr>
        <w:t xml:space="preserve">. </w:t>
      </w:r>
      <w:r w:rsidR="007A531F">
        <w:rPr>
          <w:rStyle w:val="st"/>
        </w:rPr>
        <w:t xml:space="preserve">Substance jako </w:t>
      </w:r>
      <w:r w:rsidR="08C67717" w:rsidRPr="08BE5210">
        <w:rPr>
          <w:rStyle w:val="st"/>
          <w:i/>
        </w:rPr>
        <w:t>tertium ens</w:t>
      </w:r>
      <w:r w:rsidR="08C67717">
        <w:rPr>
          <w:rStyle w:val="st"/>
        </w:rPr>
        <w:t xml:space="preserve"> se </w:t>
      </w:r>
      <w:r w:rsidR="084F5AE2">
        <w:rPr>
          <w:rStyle w:val="st"/>
        </w:rPr>
        <w:t xml:space="preserve">poprvé </w:t>
      </w:r>
      <w:r w:rsidR="007A531F">
        <w:rPr>
          <w:rStyle w:val="st"/>
        </w:rPr>
        <w:t>vynořila</w:t>
      </w:r>
      <w:r w:rsidR="08C67717">
        <w:rPr>
          <w:rStyle w:val="st"/>
        </w:rPr>
        <w:t xml:space="preserve"> </w:t>
      </w:r>
      <w:r w:rsidR="084F5AE2">
        <w:rPr>
          <w:rStyle w:val="st"/>
        </w:rPr>
        <w:t xml:space="preserve">ve druhé polovině 12. století </w:t>
      </w:r>
      <w:r w:rsidR="08C67717">
        <w:rPr>
          <w:rStyle w:val="st"/>
        </w:rPr>
        <w:t xml:space="preserve">skrze porretánskou klasifikaci, která třídí nominálně určené esence. </w:t>
      </w:r>
      <w:r w:rsidR="088804D1" w:rsidRPr="00273106">
        <w:t xml:space="preserve">Anselm </w:t>
      </w:r>
      <w:r w:rsidR="009D4C2F">
        <w:t xml:space="preserve">založil </w:t>
      </w:r>
      <w:r w:rsidR="088804D1" w:rsidRPr="00273106">
        <w:t>pravdu jako hierarchii esencí daných i ve věcech (</w:t>
      </w:r>
      <w:r w:rsidR="088804D1" w:rsidRPr="00273106">
        <w:rPr>
          <w:i/>
        </w:rPr>
        <w:t>veritas et rectitudo sunt in rerum essentia</w:t>
      </w:r>
      <w:r w:rsidR="088336A4">
        <w:rPr>
          <w:i/>
        </w:rPr>
        <w:t xml:space="preserve">; </w:t>
      </w:r>
      <w:r w:rsidR="088336A4">
        <w:rPr>
          <w:szCs w:val="24"/>
        </w:rPr>
        <w:t>OBJ I, k</w:t>
      </w:r>
      <w:r w:rsidR="088336A4" w:rsidRPr="088336A4">
        <w:rPr>
          <w:szCs w:val="24"/>
        </w:rPr>
        <w:t>ap. 1.2</w:t>
      </w:r>
      <w:r w:rsidR="088804D1" w:rsidRPr="00273106">
        <w:t xml:space="preserve">). </w:t>
      </w:r>
      <w:r w:rsidR="088804D1">
        <w:t xml:space="preserve">Canterburský arcibiskup </w:t>
      </w:r>
      <w:r w:rsidR="088804D1" w:rsidRPr="00273106">
        <w:t>pojal existenci jako povolání do bytí sk</w:t>
      </w:r>
      <w:r w:rsidR="088804D1">
        <w:t>rze vůli stvořitele, což tvoří deontologické</w:t>
      </w:r>
      <w:r w:rsidR="088804D1" w:rsidRPr="00273106">
        <w:t xml:space="preserve"> pojetí pravdy jako bohem dané oprávnění existence (</w:t>
      </w:r>
      <w:r w:rsidR="088804D1" w:rsidRPr="00273106">
        <w:rPr>
          <w:i/>
        </w:rPr>
        <w:t>quod debet esse, recte est</w:t>
      </w:r>
      <w:r w:rsidR="088804D1" w:rsidRPr="00273106">
        <w:t>). Deontologické</w:t>
      </w:r>
      <w:r w:rsidR="088804D1">
        <w:fldChar w:fldCharType="begin"/>
      </w:r>
      <w:r w:rsidR="088804D1">
        <w:instrText xml:space="preserve"> XE "pravda:</w:instrText>
      </w:r>
      <w:r w:rsidR="088804D1" w:rsidRPr="00961944">
        <w:instrText>deontologi</w:instrText>
      </w:r>
      <w:r w:rsidR="088804D1">
        <w:instrText xml:space="preserve">e" </w:instrText>
      </w:r>
      <w:r w:rsidR="088804D1">
        <w:fldChar w:fldCharType="end"/>
      </w:r>
      <w:r w:rsidR="088804D1" w:rsidRPr="00273106">
        <w:t xml:space="preserve"> pojetí pravdy </w:t>
      </w:r>
      <w:r w:rsidR="088804D1">
        <w:t xml:space="preserve">transformované do ontoteologického scénáře </w:t>
      </w:r>
      <w:r w:rsidR="088804D1" w:rsidRPr="00273106">
        <w:rPr>
          <w:i/>
        </w:rPr>
        <w:t>Nominales</w:t>
      </w:r>
      <w:r w:rsidR="088804D1">
        <w:t xml:space="preserve"> </w:t>
      </w:r>
      <w:r w:rsidR="088804D1" w:rsidRPr="00273106">
        <w:t>způsobilo zásadní krizi poznání</w:t>
      </w:r>
      <w:r w:rsidR="00434300">
        <w:t>. Ta se prohloubila p</w:t>
      </w:r>
      <w:r w:rsidR="088804D1">
        <w:t>říchodem Avicenn</w:t>
      </w:r>
      <w:r w:rsidR="00CD30C2">
        <w:t xml:space="preserve">ovy metafyziky </w:t>
      </w:r>
      <w:r w:rsidR="00434300">
        <w:t xml:space="preserve">etablované </w:t>
      </w:r>
      <w:r w:rsidR="00CD3217">
        <w:t>v</w:t>
      </w:r>
      <w:r w:rsidR="088804D1">
        <w:t xml:space="preserve"> prostředí překladatelů Toledské školy</w:t>
      </w:r>
      <w:r w:rsidR="088804D1" w:rsidRPr="00273106">
        <w:t xml:space="preserve">. </w:t>
      </w:r>
      <w:r w:rsidR="088804D1">
        <w:t>Nasv</w:t>
      </w:r>
      <w:r w:rsidR="00FB4936">
        <w:t xml:space="preserve">ícení smyslu jsoucna jde zezadu a </w:t>
      </w:r>
      <w:r w:rsidR="00CD30C2">
        <w:t xml:space="preserve">vytváří </w:t>
      </w:r>
      <w:r w:rsidR="085917D7">
        <w:t>jsoucn</w:t>
      </w:r>
      <w:r w:rsidR="00CD30C2">
        <w:t>o</w:t>
      </w:r>
      <w:r w:rsidR="085917D7">
        <w:t xml:space="preserve"> třetího druhu</w:t>
      </w:r>
      <w:r w:rsidR="00FB4936">
        <w:t xml:space="preserve">. Toto </w:t>
      </w:r>
      <w:r w:rsidR="00FB4936" w:rsidRPr="00FB4936">
        <w:rPr>
          <w:i/>
        </w:rPr>
        <w:t>tertium ens</w:t>
      </w:r>
      <w:r w:rsidR="00FB4936">
        <w:t xml:space="preserve"> </w:t>
      </w:r>
      <w:r w:rsidR="085917D7">
        <w:t xml:space="preserve">je exemplárně dáno nejprve v kosmickém činném intelektu </w:t>
      </w:r>
      <w:r w:rsidR="00B43FAB">
        <w:t>a později objektivně v moderním bohu</w:t>
      </w:r>
      <w:r w:rsidR="085917D7">
        <w:t xml:space="preserve">. </w:t>
      </w:r>
      <w:r w:rsidR="088804D1">
        <w:t xml:space="preserve">Vinou tohoto </w:t>
      </w:r>
      <w:r w:rsidR="0852025D">
        <w:t>„</w:t>
      </w:r>
      <w:r w:rsidR="088804D1">
        <w:t>šíleného</w:t>
      </w:r>
      <w:r w:rsidR="0852025D">
        <w:t>“</w:t>
      </w:r>
      <w:r w:rsidR="088804D1" w:rsidRPr="00273106">
        <w:t xml:space="preserve"> pojetí moderny (</w:t>
      </w:r>
      <w:r w:rsidR="00A80CBD">
        <w:t xml:space="preserve">viz </w:t>
      </w:r>
      <w:proofErr w:type="gramStart"/>
      <w:r w:rsidR="00A80CBD">
        <w:t>citovaní</w:t>
      </w:r>
      <w:proofErr w:type="gramEnd"/>
      <w:r w:rsidR="088804D1">
        <w:t xml:space="preserve"> </w:t>
      </w:r>
      <w:r w:rsidR="088804D1" w:rsidRPr="00273106">
        <w:t>Godfrey</w:t>
      </w:r>
      <w:r w:rsidR="088804D1">
        <w:t xml:space="preserve"> a Bacon) se začal zkoumat nárok a oprávnění </w:t>
      </w:r>
      <w:r w:rsidR="088804D1" w:rsidRPr="00273106">
        <w:t>každé kontingentně d</w:t>
      </w:r>
      <w:r w:rsidR="088804D1">
        <w:t>ané první substance</w:t>
      </w:r>
      <w:r w:rsidR="088804D1">
        <w:fldChar w:fldCharType="begin"/>
      </w:r>
      <w:r w:rsidR="088804D1">
        <w:instrText xml:space="preserve"> XE "</w:instrText>
      </w:r>
      <w:r w:rsidR="088804D1" w:rsidRPr="00DE2A32">
        <w:instrText>substance</w:instrText>
      </w:r>
      <w:r w:rsidR="088804D1">
        <w:instrText xml:space="preserve">:první" </w:instrText>
      </w:r>
      <w:r w:rsidR="088804D1">
        <w:fldChar w:fldCharType="end"/>
      </w:r>
      <w:r w:rsidR="088804D1">
        <w:t xml:space="preserve"> na existenci (</w:t>
      </w:r>
      <w:r w:rsidR="088804D1" w:rsidRPr="082325AD">
        <w:rPr>
          <w:i/>
        </w:rPr>
        <w:t>rectitudo</w:t>
      </w:r>
      <w:r w:rsidR="088804D1">
        <w:t xml:space="preserve">). </w:t>
      </w:r>
      <w:r w:rsidR="08113F01">
        <w:t xml:space="preserve">Uzávorkováním </w:t>
      </w:r>
      <w:r w:rsidR="081942A4">
        <w:t xml:space="preserve">metafyzického </w:t>
      </w:r>
      <w:r w:rsidR="08113F01">
        <w:t xml:space="preserve">dativu vzniklo paranoické pojetí světa naruby. </w:t>
      </w:r>
      <w:r w:rsidR="08AE1F1E">
        <w:t>Tzv. „s</w:t>
      </w:r>
      <w:r w:rsidR="08113F01">
        <w:t>ilné</w:t>
      </w:r>
      <w:r w:rsidR="08AE1F1E">
        <w:t>“</w:t>
      </w:r>
      <w:r w:rsidR="00947A77">
        <w:t xml:space="preserve"> myšlení moderny</w:t>
      </w:r>
      <w:r w:rsidR="08113F01">
        <w:t xml:space="preserve"> produkuje </w:t>
      </w:r>
      <w:r w:rsidR="00130DFD">
        <w:t>„</w:t>
      </w:r>
      <w:r w:rsidR="08113F01" w:rsidRPr="00CB1C7E">
        <w:rPr>
          <w:i/>
        </w:rPr>
        <w:t>ens ratum</w:t>
      </w:r>
      <w:r w:rsidR="00130DFD">
        <w:t>“</w:t>
      </w:r>
      <w:r w:rsidR="08113F01">
        <w:t xml:space="preserve"> a tím určuje </w:t>
      </w:r>
      <w:r w:rsidR="08AE1F1E">
        <w:t>„</w:t>
      </w:r>
      <w:r w:rsidR="08113F01">
        <w:t>slabou</w:t>
      </w:r>
      <w:r w:rsidR="08AE1F1E">
        <w:t>“</w:t>
      </w:r>
      <w:r w:rsidR="08113F01">
        <w:t xml:space="preserve"> realitu danou jako </w:t>
      </w:r>
      <w:r w:rsidR="00130DFD">
        <w:t>„</w:t>
      </w:r>
      <w:r w:rsidR="08113F01" w:rsidRPr="00CB1C7E">
        <w:rPr>
          <w:i/>
        </w:rPr>
        <w:t>ens debile</w:t>
      </w:r>
      <w:r w:rsidR="00130DFD">
        <w:t>“</w:t>
      </w:r>
      <w:r w:rsidR="08113F01">
        <w:t xml:space="preserve">. </w:t>
      </w:r>
      <w:r w:rsidR="08113F01" w:rsidRPr="00273106">
        <w:t xml:space="preserve">Západní subjekt </w:t>
      </w:r>
      <w:r w:rsidR="087F460E">
        <w:t xml:space="preserve">vytváří </w:t>
      </w:r>
      <w:r w:rsidR="08113F01" w:rsidRPr="00273106">
        <w:t xml:space="preserve">metafyziku sám </w:t>
      </w:r>
      <w:r w:rsidR="087F460E">
        <w:t>ze sebe</w:t>
      </w:r>
      <w:r w:rsidR="08113F01" w:rsidRPr="00273106">
        <w:t xml:space="preserve">, což ukázalo pojetí </w:t>
      </w:r>
      <w:r w:rsidR="08113F01">
        <w:t>myto</w:t>
      </w:r>
      <w:r w:rsidR="00F62170">
        <w:t xml:space="preserve">logické </w:t>
      </w:r>
      <w:r w:rsidR="08113F01" w:rsidRPr="00273106">
        <w:t xml:space="preserve">vědy </w:t>
      </w:r>
      <w:r w:rsidR="00F62170">
        <w:t xml:space="preserve">ve školách </w:t>
      </w:r>
      <w:r w:rsidR="08113F01" w:rsidRPr="00273106">
        <w:t xml:space="preserve">prvních </w:t>
      </w:r>
      <w:r w:rsidR="08113F01" w:rsidRPr="00273106">
        <w:rPr>
          <w:i/>
        </w:rPr>
        <w:t>Modernorum</w:t>
      </w:r>
      <w:r w:rsidR="08113F01" w:rsidRPr="00273106">
        <w:t>.</w:t>
      </w:r>
      <w:r w:rsidR="08113F01">
        <w:t xml:space="preserve"> </w:t>
      </w:r>
      <w:r w:rsidR="088804D1">
        <w:t xml:space="preserve">Předešlý díl ukázal, jak škola druhého averroismu pod vlivem </w:t>
      </w:r>
      <w:r w:rsidR="088804D1" w:rsidRPr="084F3A7C">
        <w:rPr>
          <w:i/>
        </w:rPr>
        <w:t>Oxfordian Fallacy</w:t>
      </w:r>
      <w:r w:rsidR="088804D1">
        <w:t xml:space="preserve"> předělala Anselmovu deontologii do </w:t>
      </w:r>
      <w:r w:rsidR="00411EA1">
        <w:t xml:space="preserve">nové </w:t>
      </w:r>
      <w:r w:rsidR="088804D1">
        <w:t xml:space="preserve">metafyzické formy </w:t>
      </w:r>
      <w:r w:rsidR="00411EA1">
        <w:t>jsoucna (</w:t>
      </w:r>
      <w:r w:rsidR="088804D1" w:rsidRPr="006F7103">
        <w:rPr>
          <w:i/>
        </w:rPr>
        <w:t>scibile</w:t>
      </w:r>
      <w:r w:rsidR="00411EA1">
        <w:t xml:space="preserve">). </w:t>
      </w:r>
      <w:r w:rsidR="088804D1">
        <w:t xml:space="preserve">Matematika dala věcem objektivně a evidentně dané oprávnění v modu </w:t>
      </w:r>
      <w:r w:rsidR="00214C19">
        <w:t>„</w:t>
      </w:r>
      <w:proofErr w:type="gramStart"/>
      <w:r w:rsidR="088804D1" w:rsidRPr="081525D9">
        <w:rPr>
          <w:i/>
        </w:rPr>
        <w:t>semel</w:t>
      </w:r>
      <w:proofErr w:type="gramEnd"/>
      <w:r w:rsidR="088804D1" w:rsidRPr="081525D9">
        <w:rPr>
          <w:i/>
        </w:rPr>
        <w:t>–</w:t>
      </w:r>
      <w:proofErr w:type="gramStart"/>
      <w:r w:rsidR="088804D1" w:rsidRPr="081525D9">
        <w:rPr>
          <w:i/>
        </w:rPr>
        <w:t>semper</w:t>
      </w:r>
      <w:proofErr w:type="gramEnd"/>
      <w:r w:rsidR="00214C19">
        <w:t>“, aby zajistila „</w:t>
      </w:r>
      <w:r w:rsidR="088804D1">
        <w:t>reálnou</w:t>
      </w:r>
      <w:r w:rsidR="00214C19">
        <w:t>“</w:t>
      </w:r>
      <w:r w:rsidR="088804D1">
        <w:t xml:space="preserve"> existenci </w:t>
      </w:r>
      <w:r w:rsidR="00214C19">
        <w:t xml:space="preserve">moderního </w:t>
      </w:r>
      <w:r w:rsidR="00214C19" w:rsidRPr="00214C19">
        <w:rPr>
          <w:i/>
        </w:rPr>
        <w:t>scibile</w:t>
      </w:r>
      <w:r w:rsidR="00214C19">
        <w:t xml:space="preserve">. Je třeba stále vytvářet simulákrum reálného světa, protože </w:t>
      </w:r>
      <w:r w:rsidR="002603C1">
        <w:t xml:space="preserve">hyparchická existence prvních substancí </w:t>
      </w:r>
      <w:r w:rsidR="00214C19">
        <w:t xml:space="preserve">je </w:t>
      </w:r>
      <w:r w:rsidR="002603C1">
        <w:t>dána</w:t>
      </w:r>
      <w:r w:rsidR="00214C19">
        <w:t xml:space="preserve"> </w:t>
      </w:r>
      <w:r w:rsidR="00A13C8C">
        <w:t>n</w:t>
      </w:r>
      <w:r w:rsidR="088804D1">
        <w:t xml:space="preserve">ahodile a nejistě. </w:t>
      </w:r>
      <w:r w:rsidR="08113F01">
        <w:t xml:space="preserve">Moderna se </w:t>
      </w:r>
      <w:r w:rsidR="08F112BF">
        <w:t>zabydlela v</w:t>
      </w:r>
      <w:r w:rsidR="00FA10BE">
        <w:t> objektivním simulákru platónské jeskyně</w:t>
      </w:r>
      <w:r w:rsidR="08F112BF">
        <w:t>. I</w:t>
      </w:r>
      <w:r w:rsidR="088804D1">
        <w:t xml:space="preserve">lumináti opustili tisíciletou moudrost sledující reálnou dráhu slunce po obloze a přestali se zajímat o reálné zatmění slunce. </w:t>
      </w:r>
      <w:r w:rsidR="001534BB">
        <w:t>Po smrti moderního boha v 19. století</w:t>
      </w:r>
      <w:r w:rsidR="001534BB" w:rsidRPr="08186496">
        <w:t xml:space="preserve"> </w:t>
      </w:r>
      <w:r w:rsidR="001534BB">
        <w:t>převzala m</w:t>
      </w:r>
      <w:r w:rsidR="088804D1">
        <w:t>atematika tuto deontologickou roli</w:t>
      </w:r>
      <w:r w:rsidR="001534BB">
        <w:t xml:space="preserve">. </w:t>
      </w:r>
      <w:r w:rsidR="088804D1">
        <w:t>Modernisté zavedli ko</w:t>
      </w:r>
      <w:r w:rsidR="00F2304B">
        <w:rPr>
          <w:rStyle w:val="st"/>
        </w:rPr>
        <w:t xml:space="preserve">mbinaci latinského avicennismu, který spojili </w:t>
      </w:r>
      <w:r w:rsidR="088804D1">
        <w:rPr>
          <w:rStyle w:val="st"/>
        </w:rPr>
        <w:t>s</w:t>
      </w:r>
      <w:r w:rsidR="00F2304B">
        <w:rPr>
          <w:rStyle w:val="st"/>
        </w:rPr>
        <w:t xml:space="preserve"> falešně </w:t>
      </w:r>
      <w:r w:rsidR="088804D1">
        <w:rPr>
          <w:rStyle w:val="st"/>
        </w:rPr>
        <w:t>pochopenou metafyzikou Averroese podle Toledské školy.</w:t>
      </w:r>
      <w:r w:rsidR="08A15494">
        <w:rPr>
          <w:rStyle w:val="st"/>
        </w:rPr>
        <w:t xml:space="preserve"> </w:t>
      </w:r>
      <w:r w:rsidR="08A15494">
        <w:t xml:space="preserve">Škola druhého averroismu založila konkrétní </w:t>
      </w:r>
      <w:r w:rsidR="08A15494" w:rsidRPr="00273106">
        <w:rPr>
          <w:i/>
        </w:rPr>
        <w:t>Wirkungsgeschichte</w:t>
      </w:r>
      <w:r w:rsidR="08A15494" w:rsidRPr="00273106">
        <w:t xml:space="preserve"> epochálního omylu moderny a postmoderny</w:t>
      </w:r>
      <w:r w:rsidR="08A15494">
        <w:t xml:space="preserve">. </w:t>
      </w:r>
      <w:r w:rsidR="08A15494" w:rsidRPr="00273106">
        <w:t xml:space="preserve">Skupina </w:t>
      </w:r>
      <w:r w:rsidR="08A15494">
        <w:t xml:space="preserve">modernistů shromážděná </w:t>
      </w:r>
      <w:r w:rsidR="08A15494" w:rsidRPr="00273106">
        <w:t xml:space="preserve">kolem redakce </w:t>
      </w:r>
      <w:r w:rsidR="08A15494" w:rsidRPr="00273106">
        <w:rPr>
          <w:i/>
        </w:rPr>
        <w:t>Summa Halensis</w:t>
      </w:r>
      <w:r w:rsidR="08A15494">
        <w:rPr>
          <w:i/>
        </w:rPr>
        <w:fldChar w:fldCharType="begin"/>
      </w:r>
      <w:r w:rsidR="08A15494">
        <w:instrText xml:space="preserve"> XE "</w:instrText>
      </w:r>
      <w:r w:rsidR="08A15494" w:rsidRPr="00F14A6F">
        <w:rPr>
          <w:i/>
        </w:rPr>
        <w:instrText>Summa Halensis</w:instrText>
      </w:r>
      <w:r w:rsidR="08A15494">
        <w:instrText xml:space="preserve">" </w:instrText>
      </w:r>
      <w:r w:rsidR="08A15494">
        <w:rPr>
          <w:i/>
        </w:rPr>
        <w:fldChar w:fldCharType="end"/>
      </w:r>
      <w:r w:rsidR="08A15494" w:rsidRPr="00273106">
        <w:t xml:space="preserve"> sehrála rozhodující úlohu při vzniku objektivity</w:t>
      </w:r>
      <w:r w:rsidR="08A15494">
        <w:t xml:space="preserve">. Tito </w:t>
      </w:r>
      <w:r w:rsidR="08A15494">
        <w:lastRenderedPageBreak/>
        <w:t xml:space="preserve">mendikantští akademičtí ilumináti </w:t>
      </w:r>
      <w:r w:rsidR="00162733">
        <w:t xml:space="preserve">neoficiálně </w:t>
      </w:r>
      <w:r w:rsidR="08A15494">
        <w:t xml:space="preserve">působili </w:t>
      </w:r>
      <w:r w:rsidR="08A15494" w:rsidRPr="00273106">
        <w:t xml:space="preserve">v Paříži </w:t>
      </w:r>
      <w:r w:rsidR="08A15494">
        <w:t>do roku 1255, kdy žebravé řády dostaly vlastní fakultu na Pařížské univerzitě.</w:t>
      </w:r>
    </w:p>
    <w:p w:rsidR="00D17DAD" w:rsidRDefault="08A15494" w:rsidP="00E80B34">
      <w:pPr>
        <w:ind w:firstLine="397"/>
      </w:pPr>
      <w:r>
        <w:rPr>
          <w:rStyle w:val="Zvraznn"/>
          <w:i w:val="0"/>
        </w:rPr>
        <w:t>Nové kolo sporu mezi prvním a druhým averroismem začíná hned po smrti biskupa Alverna v roce 1250. Za artisty na Rue de Fou</w:t>
      </w:r>
      <w:r w:rsidR="005324DA">
        <w:rPr>
          <w:rStyle w:val="Zvraznn"/>
          <w:i w:val="0"/>
        </w:rPr>
        <w:t>a</w:t>
      </w:r>
      <w:r w:rsidR="006E0C67">
        <w:rPr>
          <w:rStyle w:val="Zvraznn"/>
          <w:i w:val="0"/>
        </w:rPr>
        <w:t>rre jej vedl</w:t>
      </w:r>
      <w:r>
        <w:rPr>
          <w:rStyle w:val="Zvraznn"/>
          <w:i w:val="0"/>
        </w:rPr>
        <w:t xml:space="preserve"> </w:t>
      </w:r>
      <w:r>
        <w:t>Guillelmus</w:t>
      </w:r>
      <w:r w:rsidRPr="00E735C5">
        <w:t xml:space="preserve"> de </w:t>
      </w:r>
      <w:r w:rsidRPr="00E735C5">
        <w:rPr>
          <w:szCs w:val="16"/>
        </w:rPr>
        <w:t xml:space="preserve">Sancto </w:t>
      </w:r>
      <w:r w:rsidRPr="00E735C5">
        <w:rPr>
          <w:szCs w:val="19"/>
        </w:rPr>
        <w:t>Amore</w:t>
      </w:r>
      <w:r>
        <w:rPr>
          <w:szCs w:val="19"/>
        </w:rPr>
        <w:fldChar w:fldCharType="begin"/>
      </w:r>
      <w:r>
        <w:instrText xml:space="preserve"> XE "</w:instrText>
      </w:r>
      <w:r w:rsidRPr="003B256A">
        <w:instrText xml:space="preserve"> </w:instrText>
      </w:r>
      <w:r>
        <w:instrText>Guillelmus</w:instrText>
      </w:r>
      <w:r w:rsidRPr="00E51395">
        <w:instrText xml:space="preserve"> de Sancto Amore</w:instrText>
      </w:r>
      <w:r>
        <w:instrText xml:space="preserve">" </w:instrText>
      </w:r>
      <w:r>
        <w:rPr>
          <w:szCs w:val="19"/>
        </w:rPr>
        <w:fldChar w:fldCharType="end"/>
      </w:r>
      <w:r>
        <w:rPr>
          <w:szCs w:val="19"/>
        </w:rPr>
        <w:t xml:space="preserve"> a</w:t>
      </w:r>
      <w:r>
        <w:t xml:space="preserve"> jeho žáci Gérard d'Abbeville</w:t>
      </w:r>
      <w:r>
        <w:fldChar w:fldCharType="begin"/>
      </w:r>
      <w:r>
        <w:instrText xml:space="preserve"> XE "</w:instrText>
      </w:r>
      <w:r w:rsidRPr="00E57453">
        <w:instrText>Gérard d'Abbeville</w:instrText>
      </w:r>
      <w:r>
        <w:instrText xml:space="preserve">" </w:instrText>
      </w:r>
      <w:r>
        <w:fldChar w:fldCharType="end"/>
      </w:r>
      <w:r>
        <w:t xml:space="preserve"> a Nicolas de Lisieux</w:t>
      </w:r>
      <w:r>
        <w:fldChar w:fldCharType="begin"/>
      </w:r>
      <w:r>
        <w:instrText xml:space="preserve"> XE "</w:instrText>
      </w:r>
      <w:r w:rsidRPr="00256659">
        <w:instrText>Nicolas de Lisieux</w:instrText>
      </w:r>
      <w:r>
        <w:instrText xml:space="preserve">" </w:instrText>
      </w:r>
      <w:r>
        <w:fldChar w:fldCharType="end"/>
      </w:r>
      <w:r>
        <w:t>. Magistr a rektor Guillelmus</w:t>
      </w:r>
      <w:r w:rsidRPr="00E735C5">
        <w:t xml:space="preserve"> de </w:t>
      </w:r>
      <w:r w:rsidRPr="00E735C5">
        <w:rPr>
          <w:szCs w:val="16"/>
        </w:rPr>
        <w:t xml:space="preserve">Sancto </w:t>
      </w:r>
      <w:r w:rsidRPr="00E735C5">
        <w:rPr>
          <w:szCs w:val="19"/>
        </w:rPr>
        <w:t>Amore</w:t>
      </w:r>
      <w:r>
        <w:t xml:space="preserve"> </w:t>
      </w:r>
      <w:r w:rsidR="009037A5">
        <w:t>ze školy prvního averroismu vedl</w:t>
      </w:r>
      <w:r>
        <w:t xml:space="preserve"> tažení proti modernistům z řad mendikantský</w:t>
      </w:r>
      <w:r w:rsidR="009037A5">
        <w:t>ch řádů v letech 1253‒56, kdy byl</w:t>
      </w:r>
      <w:r>
        <w:t xml:space="preserve"> z Pařížské univerzity vyloučen (</w:t>
      </w:r>
      <w:r w:rsidR="08F112BF">
        <w:t>OBJ III, kap. 4</w:t>
      </w:r>
      <w:r>
        <w:t xml:space="preserve">.1.2). </w:t>
      </w:r>
      <w:r w:rsidRPr="00273106">
        <w:t xml:space="preserve">Bacon neubránil první averroismus </w:t>
      </w:r>
      <w:r>
        <w:t xml:space="preserve">v </w:t>
      </w:r>
      <w:r w:rsidRPr="00273106">
        <w:t>Oxfordu</w:t>
      </w:r>
      <w:r>
        <w:t xml:space="preserve"> a nakonec ztroskotala i Sigerova škola v Paříži. P</w:t>
      </w:r>
      <w:r w:rsidRPr="00273106">
        <w:t>oslední rytíř prvního averroismu William Ockham</w:t>
      </w:r>
      <w:r>
        <w:t xml:space="preserve"> </w:t>
      </w:r>
      <w:r w:rsidRPr="00273106">
        <w:t xml:space="preserve">již </w:t>
      </w:r>
      <w:r>
        <w:t xml:space="preserve">marně </w:t>
      </w:r>
      <w:r w:rsidRPr="00273106">
        <w:t>bojoval proti scotistické škole</w:t>
      </w:r>
      <w:r>
        <w:t xml:space="preserve"> v Oxfordu</w:t>
      </w:r>
      <w:r w:rsidRPr="00273106">
        <w:t xml:space="preserve">. Modernisté </w:t>
      </w:r>
      <w:r>
        <w:t xml:space="preserve">asimilovali Ockhamovu filosofii ke svému obrazu v rámci </w:t>
      </w:r>
      <w:r w:rsidR="086F0A73">
        <w:t xml:space="preserve">aristotelismu </w:t>
      </w:r>
      <w:r>
        <w:t>d</w:t>
      </w:r>
      <w:r w:rsidR="080409D3">
        <w:t xml:space="preserve">anému skrze </w:t>
      </w:r>
      <w:r w:rsidR="080409D3" w:rsidRPr="080409D3">
        <w:rPr>
          <w:i/>
        </w:rPr>
        <w:t>Oxfordian Fallacy</w:t>
      </w:r>
      <w:r>
        <w:t xml:space="preserve">. </w:t>
      </w:r>
      <w:r w:rsidRPr="00273106">
        <w:t>Nietz</w:t>
      </w:r>
      <w:r>
        <w:t>s</w:t>
      </w:r>
      <w:r w:rsidRPr="00273106">
        <w:t>che</w:t>
      </w:r>
      <w:r>
        <w:fldChar w:fldCharType="begin"/>
      </w:r>
      <w:r>
        <w:instrText xml:space="preserve"> XE "</w:instrText>
      </w:r>
      <w:r w:rsidRPr="0083745B">
        <w:instrText>Nietz</w:instrText>
      </w:r>
      <w:r>
        <w:instrText>s</w:instrText>
      </w:r>
      <w:r w:rsidRPr="0083745B">
        <w:instrText>che, F.</w:instrText>
      </w:r>
      <w:r>
        <w:instrText xml:space="preserve">" </w:instrText>
      </w:r>
      <w:r>
        <w:fldChar w:fldCharType="end"/>
      </w:r>
      <w:r>
        <w:t xml:space="preserve"> </w:t>
      </w:r>
      <w:r w:rsidR="00491901">
        <w:t>následoval Rogera Bacona a kritizoval</w:t>
      </w:r>
      <w:r>
        <w:t xml:space="preserve"> v roli </w:t>
      </w:r>
      <w:r w:rsidRPr="00273106">
        <w:rPr>
          <w:i/>
        </w:rPr>
        <w:t>Bachonus redivivus</w:t>
      </w:r>
      <w:r w:rsidR="00491901">
        <w:t xml:space="preserve"> neoplatonskou postmodernu. P</w:t>
      </w:r>
      <w:r>
        <w:t xml:space="preserve">rohlásil v díle </w:t>
      </w:r>
      <w:r w:rsidRPr="003B19F8">
        <w:rPr>
          <w:i/>
        </w:rPr>
        <w:t>Zur Genealogie der Moral</w:t>
      </w:r>
      <w:r w:rsidRPr="00273106">
        <w:t xml:space="preserve">, že lest </w:t>
      </w:r>
      <w:r>
        <w:t xml:space="preserve">metafyzicky </w:t>
      </w:r>
      <w:r w:rsidRPr="00273106">
        <w:t xml:space="preserve">slabých a zjemněle inteligentních </w:t>
      </w:r>
      <w:r>
        <w:t xml:space="preserve">sofistů </w:t>
      </w:r>
      <w:r w:rsidR="086F0A73">
        <w:t xml:space="preserve">a akademiků </w:t>
      </w:r>
      <w:r>
        <w:t>m</w:t>
      </w:r>
      <w:r w:rsidRPr="00273106">
        <w:t>ěla ohromný dějinný úspěch.</w:t>
      </w:r>
      <w:r w:rsidRPr="00273106">
        <w:rPr>
          <w:rStyle w:val="Znakapoznpodarou"/>
        </w:rPr>
        <w:footnoteReference w:id="1"/>
      </w:r>
      <w:r w:rsidRPr="00273106">
        <w:t xml:space="preserve"> </w:t>
      </w:r>
      <w:r>
        <w:t>Jeho citát</w:t>
      </w:r>
      <w:r w:rsidRPr="00273106">
        <w:t xml:space="preserve"> </w:t>
      </w:r>
      <w:r>
        <w:t>ohledně res</w:t>
      </w:r>
      <w:r w:rsidRPr="08A91618">
        <w:t>entimentu</w:t>
      </w:r>
      <w:r>
        <w:t xml:space="preserve"> platoniků a ironickou poklonu jejich technické šikovnosti </w:t>
      </w:r>
      <w:r w:rsidRPr="00273106">
        <w:t>je třeba posunout do avicennovské moderny</w:t>
      </w:r>
      <w:r>
        <w:t xml:space="preserve"> a do mocenského zápasu vrcholícího na Pařížské univerzitě v letech 1255</w:t>
      </w:r>
      <w:r>
        <w:rPr>
          <w:rFonts w:cs="Calibri"/>
        </w:rPr>
        <w:t>─</w:t>
      </w:r>
      <w:r>
        <w:t xml:space="preserve">56. Učení Latiníci vybaveni tímto typem resentimentu a mocenské šikovnosti byli zejména Rufus, </w:t>
      </w:r>
      <w:r w:rsidRPr="00273106">
        <w:t>Kilwardby</w:t>
      </w:r>
      <w:r>
        <w:t xml:space="preserve"> a Bonaventura</w:t>
      </w:r>
      <w:r w:rsidRPr="00273106">
        <w:t>.</w:t>
      </w:r>
      <w:r>
        <w:rPr>
          <w:rStyle w:val="st"/>
        </w:rPr>
        <w:t xml:space="preserve"> </w:t>
      </w:r>
      <w:r w:rsidR="088804D1">
        <w:rPr>
          <w:rStyle w:val="st"/>
        </w:rPr>
        <w:t xml:space="preserve">Metafyzika prvních </w:t>
      </w:r>
      <w:r w:rsidR="088804D1" w:rsidRPr="08341987">
        <w:rPr>
          <w:rStyle w:val="st"/>
          <w:i/>
        </w:rPr>
        <w:t>Modernorum</w:t>
      </w:r>
      <w:r w:rsidR="088804D1">
        <w:rPr>
          <w:rStyle w:val="st"/>
        </w:rPr>
        <w:t xml:space="preserve"> zvýšila produkci myto</w:t>
      </w:r>
      <w:r w:rsidR="00C862CC">
        <w:rPr>
          <w:rStyle w:val="st"/>
        </w:rPr>
        <w:t xml:space="preserve">logických entit </w:t>
      </w:r>
      <w:r w:rsidR="007C50B8">
        <w:rPr>
          <w:rStyle w:val="st"/>
        </w:rPr>
        <w:t xml:space="preserve">všeho druhu </w:t>
      </w:r>
      <w:r w:rsidR="088804D1">
        <w:rPr>
          <w:rStyle w:val="st"/>
        </w:rPr>
        <w:t xml:space="preserve">po založení mendikantské katedry na Pařížské univerzitě (1255). </w:t>
      </w:r>
      <w:r w:rsidR="088804D1">
        <w:t xml:space="preserve">Produkce objektivních simuláker je dána skrze </w:t>
      </w:r>
      <w:r w:rsidR="088804D1" w:rsidRPr="00273106">
        <w:t>jistot</w:t>
      </w:r>
      <w:r w:rsidR="088804D1">
        <w:t>u</w:t>
      </w:r>
      <w:r w:rsidR="088804D1" w:rsidRPr="00273106">
        <w:t xml:space="preserve"> </w:t>
      </w:r>
      <w:r w:rsidR="088804D1">
        <w:t xml:space="preserve">moderního </w:t>
      </w:r>
      <w:r w:rsidR="088804D1" w:rsidRPr="00273106">
        <w:t>subjektu</w:t>
      </w:r>
      <w:r w:rsidR="088804D1">
        <w:t xml:space="preserve">, který </w:t>
      </w:r>
      <w:r w:rsidR="088804D1" w:rsidRPr="00273106">
        <w:t>asimiluj</w:t>
      </w:r>
      <w:r w:rsidR="088804D1">
        <w:t>e</w:t>
      </w:r>
      <w:r w:rsidR="088804D1" w:rsidRPr="00273106">
        <w:t xml:space="preserve"> externí svět v modu </w:t>
      </w:r>
      <w:r w:rsidR="088804D1">
        <w:t xml:space="preserve">objektivní </w:t>
      </w:r>
      <w:r w:rsidR="088804D1" w:rsidRPr="00273106">
        <w:t xml:space="preserve">univocity a </w:t>
      </w:r>
      <w:r w:rsidR="088804D1">
        <w:t>subjektivní v</w:t>
      </w:r>
      <w:r w:rsidR="088804D1" w:rsidRPr="00273106">
        <w:t>ůle k moci</w:t>
      </w:r>
      <w:r w:rsidR="088804D1">
        <w:t>.</w:t>
      </w:r>
      <w:r w:rsidR="00C31341">
        <w:t xml:space="preserve"> Škola </w:t>
      </w:r>
      <w:r w:rsidR="00C31341" w:rsidRPr="00C31341">
        <w:rPr>
          <w:i/>
        </w:rPr>
        <w:t>sophistae</w:t>
      </w:r>
      <w:r w:rsidR="00C31341">
        <w:t xml:space="preserve"> </w:t>
      </w:r>
      <w:r w:rsidR="086460A0" w:rsidRPr="08623606">
        <w:rPr>
          <w:i/>
        </w:rPr>
        <w:t>Latini</w:t>
      </w:r>
      <w:r w:rsidR="086460A0">
        <w:t xml:space="preserve"> z Oxfordu </w:t>
      </w:r>
      <w:r w:rsidR="086460A0" w:rsidRPr="00273106">
        <w:t xml:space="preserve">a </w:t>
      </w:r>
      <w:r w:rsidR="00C31341">
        <w:t xml:space="preserve">škola nominalistů </w:t>
      </w:r>
      <w:r w:rsidR="00510196">
        <w:t>zn</w:t>
      </w:r>
      <w:r w:rsidR="000B3CAD">
        <w:t>ám</w:t>
      </w:r>
      <w:r w:rsidR="00510196">
        <w:t xml:space="preserve">ých jako </w:t>
      </w:r>
      <w:r w:rsidR="086460A0" w:rsidRPr="08623606">
        <w:rPr>
          <w:i/>
        </w:rPr>
        <w:t>Grammatici</w:t>
      </w:r>
      <w:r w:rsidR="086460A0">
        <w:t xml:space="preserve"> z Paříže </w:t>
      </w:r>
      <w:r w:rsidR="08B167B6">
        <w:t>uchopili</w:t>
      </w:r>
      <w:r w:rsidR="086460A0">
        <w:t xml:space="preserve"> </w:t>
      </w:r>
      <w:r w:rsidR="00C31341">
        <w:t>„</w:t>
      </w:r>
      <w:proofErr w:type="gramStart"/>
      <w:r w:rsidR="00C31341">
        <w:t>substanci</w:t>
      </w:r>
      <w:proofErr w:type="gramEnd"/>
      <w:r w:rsidR="00C31341">
        <w:t>–</w:t>
      </w:r>
      <w:proofErr w:type="gramStart"/>
      <w:r w:rsidR="086460A0" w:rsidRPr="088E3368">
        <w:rPr>
          <w:i/>
        </w:rPr>
        <w:t>individuum</w:t>
      </w:r>
      <w:proofErr w:type="gramEnd"/>
      <w:r w:rsidR="00C31341">
        <w:t>“</w:t>
      </w:r>
      <w:r w:rsidR="086460A0">
        <w:t xml:space="preserve"> </w:t>
      </w:r>
      <w:r w:rsidR="08B167B6">
        <w:t>zcela univočně</w:t>
      </w:r>
      <w:r w:rsidR="00C31341">
        <w:t>,</w:t>
      </w:r>
      <w:r w:rsidR="08B167B6" w:rsidRPr="00273106">
        <w:t xml:space="preserve"> </w:t>
      </w:r>
      <w:r w:rsidR="086460A0" w:rsidRPr="00273106">
        <w:t>v rámci logické abstrakce</w:t>
      </w:r>
      <w:r w:rsidR="086460A0">
        <w:t xml:space="preserve">. Tento </w:t>
      </w:r>
      <w:r w:rsidR="086460A0" w:rsidRPr="085943AF">
        <w:rPr>
          <w:i/>
        </w:rPr>
        <w:t>modus ponens</w:t>
      </w:r>
      <w:r w:rsidR="086460A0">
        <w:rPr>
          <w:rStyle w:val="addmd"/>
          <w:i/>
        </w:rPr>
        <w:fldChar w:fldCharType="begin"/>
      </w:r>
      <w:r w:rsidR="086460A0">
        <w:instrText xml:space="preserve"> XE "</w:instrText>
      </w:r>
      <w:r w:rsidR="086460A0" w:rsidRPr="085943AF">
        <w:rPr>
          <w:i/>
        </w:rPr>
        <w:instrText>modus ponens</w:instrText>
      </w:r>
      <w:r w:rsidR="086460A0">
        <w:instrText xml:space="preserve">" </w:instrText>
      </w:r>
      <w:r w:rsidR="086460A0">
        <w:rPr>
          <w:rStyle w:val="addmd"/>
          <w:i/>
        </w:rPr>
        <w:fldChar w:fldCharType="end"/>
      </w:r>
      <w:r w:rsidR="086460A0">
        <w:t xml:space="preserve"> pro jsoucno třetího druhu je daný v modu </w:t>
      </w:r>
      <w:r w:rsidR="086460A0" w:rsidRPr="00273106">
        <w:rPr>
          <w:i/>
        </w:rPr>
        <w:t>absolute</w:t>
      </w:r>
      <w:r w:rsidR="086460A0" w:rsidRPr="00273106">
        <w:t xml:space="preserve">, tedy mimo </w:t>
      </w:r>
      <w:r w:rsidR="086460A0">
        <w:t xml:space="preserve">univoční kategoriální </w:t>
      </w:r>
      <w:r w:rsidR="086460A0" w:rsidRPr="00273106">
        <w:t xml:space="preserve">vazbu na hyparchickou první substanci. </w:t>
      </w:r>
      <w:r w:rsidR="08423B5F">
        <w:t xml:space="preserve">Předešlá matrice ukázala vznik </w:t>
      </w:r>
      <w:r w:rsidR="08423B5F" w:rsidRPr="08C53DAA">
        <w:rPr>
          <w:i/>
        </w:rPr>
        <w:t>Oxfordian Fallacy</w:t>
      </w:r>
      <w:r w:rsidR="0805679D">
        <w:rPr>
          <w:i/>
        </w:rPr>
        <w:fldChar w:fldCharType="begin"/>
      </w:r>
      <w:r w:rsidR="0805679D">
        <w:instrText xml:space="preserve"> XE "</w:instrText>
      </w:r>
      <w:r w:rsidR="0805679D" w:rsidRPr="08220D4E">
        <w:rPr>
          <w:i/>
        </w:rPr>
        <w:instrText>Oxfordian Fallacy</w:instrText>
      </w:r>
      <w:r w:rsidR="0805679D">
        <w:instrText xml:space="preserve">" </w:instrText>
      </w:r>
      <w:r w:rsidR="0805679D">
        <w:rPr>
          <w:i/>
        </w:rPr>
        <w:fldChar w:fldCharType="end"/>
      </w:r>
      <w:r w:rsidR="08423B5F" w:rsidRPr="08C53DAA">
        <w:rPr>
          <w:i/>
        </w:rPr>
        <w:t xml:space="preserve"> </w:t>
      </w:r>
      <w:r w:rsidR="08423B5F">
        <w:t xml:space="preserve">v epochálním </w:t>
      </w:r>
      <w:r w:rsidR="08423B5F" w:rsidRPr="08C53DAA">
        <w:rPr>
          <w:i/>
        </w:rPr>
        <w:t>Irrtum</w:t>
      </w:r>
      <w:r w:rsidR="08423B5F">
        <w:t xml:space="preserve"> daném první generací modernistů v Oxfordu. </w:t>
      </w:r>
      <w:r w:rsidR="086460A0">
        <w:t xml:space="preserve">Sofisté ze školy druhého averroismu </w:t>
      </w:r>
      <w:r w:rsidR="086460A0" w:rsidRPr="00273106">
        <w:t xml:space="preserve">kombinovali </w:t>
      </w:r>
      <w:r w:rsidR="086460A0">
        <w:t>neoplatonsk</w:t>
      </w:r>
      <w:r w:rsidR="086460A0" w:rsidRPr="00273106">
        <w:t xml:space="preserve">ý statut univerzálií s </w:t>
      </w:r>
      <w:r w:rsidR="086460A0">
        <w:t xml:space="preserve">materií třetího druhu </w:t>
      </w:r>
      <w:r w:rsidR="086460A0" w:rsidRPr="00273106">
        <w:t xml:space="preserve">a </w:t>
      </w:r>
      <w:r w:rsidR="086460A0">
        <w:t xml:space="preserve">tím </w:t>
      </w:r>
      <w:r w:rsidR="086460A0" w:rsidRPr="00273106">
        <w:t xml:space="preserve">vytvořili </w:t>
      </w:r>
      <w:r w:rsidR="086460A0">
        <w:t>celou sérii objektivních určení substance</w:t>
      </w:r>
      <w:r w:rsidR="086460A0" w:rsidRPr="00273106">
        <w:t xml:space="preserve">. Navíc vybavili </w:t>
      </w:r>
      <w:r w:rsidR="086460A0" w:rsidRPr="00273106">
        <w:lastRenderedPageBreak/>
        <w:t>univ</w:t>
      </w:r>
      <w:r w:rsidR="086460A0">
        <w:t xml:space="preserve">erzália </w:t>
      </w:r>
      <w:r w:rsidR="005F1DBF">
        <w:t xml:space="preserve">hypostázovanými </w:t>
      </w:r>
      <w:r w:rsidR="086460A0">
        <w:t>akcidenty jak</w:t>
      </w:r>
      <w:r w:rsidR="005F1DBF">
        <w:t>o habitus, rozsažnost, kvantita, které se predikovaly jako druhé substance. T</w:t>
      </w:r>
      <w:r w:rsidR="086460A0">
        <w:t>ím dali atomární substanci třetího druhu (</w:t>
      </w:r>
      <w:r w:rsidR="086460A0" w:rsidRPr="081D6A1B">
        <w:rPr>
          <w:i/>
        </w:rPr>
        <w:t>individuum</w:t>
      </w:r>
      <w:r w:rsidR="086460A0">
        <w:rPr>
          <w:i/>
        </w:rPr>
        <w:t>, concretum</w:t>
      </w:r>
      <w:r w:rsidR="086460A0">
        <w:t>) novou form</w:t>
      </w:r>
      <w:r w:rsidR="086460A0" w:rsidRPr="00273106">
        <w:t xml:space="preserve">u </w:t>
      </w:r>
      <w:r w:rsidR="086460A0">
        <w:t>„</w:t>
      </w:r>
      <w:r w:rsidR="086460A0" w:rsidRPr="00273106">
        <w:t>individuální</w:t>
      </w:r>
      <w:r w:rsidR="086460A0">
        <w:t>“ a „konkrétní“</w:t>
      </w:r>
      <w:r w:rsidR="086460A0" w:rsidRPr="00273106">
        <w:t xml:space="preserve"> subsistence</w:t>
      </w:r>
      <w:r w:rsidR="086460A0">
        <w:fldChar w:fldCharType="begin"/>
      </w:r>
      <w:r w:rsidR="086460A0">
        <w:instrText xml:space="preserve"> XE "</w:instrText>
      </w:r>
      <w:r w:rsidR="086460A0" w:rsidRPr="001D1E42">
        <w:instrText>subsistence</w:instrText>
      </w:r>
      <w:r w:rsidR="086460A0">
        <w:instrText xml:space="preserve">:druhý averroismus" </w:instrText>
      </w:r>
      <w:r w:rsidR="086460A0">
        <w:fldChar w:fldCharType="end"/>
      </w:r>
      <w:r w:rsidR="086460A0">
        <w:t>. Všechny tyto změny zavedly ve škole druhého averroismu produkci nových</w:t>
      </w:r>
      <w:r w:rsidR="086460A0" w:rsidRPr="00273106">
        <w:t xml:space="preserve"> </w:t>
      </w:r>
      <w:r w:rsidR="086460A0">
        <w:t xml:space="preserve">forem jsoucna třetího druhu. </w:t>
      </w:r>
      <w:r w:rsidR="08B60D2C">
        <w:t xml:space="preserve">Tento podivuhodný výkon oxfordské </w:t>
      </w:r>
      <w:r w:rsidR="08B60D2C" w:rsidRPr="00F933B8">
        <w:rPr>
          <w:i/>
        </w:rPr>
        <w:t>intelligentia spiritualis</w:t>
      </w:r>
      <w:r w:rsidR="08B60D2C">
        <w:rPr>
          <w:i/>
        </w:rPr>
        <w:fldChar w:fldCharType="begin"/>
      </w:r>
      <w:r w:rsidR="08B60D2C">
        <w:instrText xml:space="preserve"> XE "</w:instrText>
      </w:r>
      <w:r w:rsidR="08B60D2C" w:rsidRPr="00BB4885">
        <w:rPr>
          <w:i/>
        </w:rPr>
        <w:instrText>intelligentia spiritualis</w:instrText>
      </w:r>
      <w:r w:rsidR="08B60D2C">
        <w:instrText xml:space="preserve">" </w:instrText>
      </w:r>
      <w:r w:rsidR="08B60D2C">
        <w:rPr>
          <w:i/>
        </w:rPr>
        <w:fldChar w:fldCharType="end"/>
      </w:r>
      <w:r w:rsidR="08B60D2C">
        <w:t xml:space="preserve"> způsobil ve spojení s pařížskými akademickými ilumináty kolem Bonaventury vznik moderní metafyziky. </w:t>
      </w:r>
      <w:r w:rsidR="08D66BE2">
        <w:t xml:space="preserve">Školy </w:t>
      </w:r>
      <w:r w:rsidR="08D66BE2" w:rsidRPr="00273106">
        <w:t xml:space="preserve">porretánů a </w:t>
      </w:r>
      <w:r w:rsidR="08D66BE2" w:rsidRPr="00273106">
        <w:rPr>
          <w:i/>
        </w:rPr>
        <w:t>Nominales</w:t>
      </w:r>
      <w:r w:rsidR="08D66BE2">
        <w:t xml:space="preserve"> zanikly a přešly v letech 1240</w:t>
      </w:r>
      <w:r w:rsidR="08D66BE2">
        <w:rPr>
          <w:rFonts w:cs="Calibri"/>
        </w:rPr>
        <w:t>─</w:t>
      </w:r>
      <w:r w:rsidR="08D66BE2">
        <w:t xml:space="preserve">55 do nově ustavené </w:t>
      </w:r>
      <w:r w:rsidR="08D66BE2" w:rsidRPr="089A1F02">
        <w:rPr>
          <w:i/>
        </w:rPr>
        <w:t>via Modernorum</w:t>
      </w:r>
      <w:r w:rsidR="00D17DAD">
        <w:t>.</w:t>
      </w:r>
    </w:p>
    <w:p w:rsidR="00DC470D" w:rsidRPr="085917D7" w:rsidRDefault="08DA29FB" w:rsidP="00D8281A">
      <w:pPr>
        <w:ind w:firstLine="397"/>
      </w:pPr>
      <w:r>
        <w:t xml:space="preserve">Archeologie objektivity našla v metafyzice </w:t>
      </w:r>
      <w:r w:rsidRPr="00A87A2B">
        <w:rPr>
          <w:i/>
        </w:rPr>
        <w:t>Modernorum</w:t>
      </w:r>
      <w:r>
        <w:t xml:space="preserve"> zák</w:t>
      </w:r>
      <w:r w:rsidR="00486CB6">
        <w:t xml:space="preserve">ladní způsob, jak se dějinně </w:t>
      </w:r>
      <w:r>
        <w:t xml:space="preserve">odhaluje v modu metafyzické </w:t>
      </w:r>
      <w:r w:rsidR="00486CB6">
        <w:rPr>
          <w:i/>
        </w:rPr>
        <w:t>a</w:t>
      </w:r>
      <w:r w:rsidRPr="004A2745">
        <w:rPr>
          <w:i/>
        </w:rPr>
        <w:t>létheia</w:t>
      </w:r>
      <w:r w:rsidR="000E154E">
        <w:t xml:space="preserve"> moderní smysl bytí jsoucna</w:t>
      </w:r>
      <w:r>
        <w:t xml:space="preserve">. </w:t>
      </w:r>
      <w:r w:rsidR="08652B55">
        <w:t xml:space="preserve">Přechody dativů (archegetický, </w:t>
      </w:r>
      <w:r w:rsidR="081942A4">
        <w:t>principiální, metafyzický</w:t>
      </w:r>
      <w:r w:rsidR="08652B55">
        <w:t xml:space="preserve">, objektivní) ukazují Hésiodovo pojetí múzické dějinnosti dané od zlatého věku k současnému úpadku. Podobným způsobem analyzuje archaická hermeneutika tragikomedii moderny. </w:t>
      </w:r>
      <w:r w:rsidR="089618C1">
        <w:t>Averroes umírá na sklonku 12. století. V této době začínají latinští obhájci aristotelismu v Blundově škole podobnou bitvu za pravdivé poznání první substance. Spor o substanci se vede od roku 1225 přímým odvoláním na metafyziku Averroese. Objektivní moderna vytěsnila klasickou metafyziku pomocí Freudova</w:t>
      </w:r>
      <w:r w:rsidR="089618C1">
        <w:fldChar w:fldCharType="begin"/>
      </w:r>
      <w:r w:rsidR="089618C1">
        <w:instrText xml:space="preserve"> XE "</w:instrText>
      </w:r>
      <w:r w:rsidR="089618C1" w:rsidRPr="00091A9D">
        <w:instrText>Freud, S.</w:instrText>
      </w:r>
      <w:r w:rsidR="089618C1">
        <w:instrText xml:space="preserve">" </w:instrText>
      </w:r>
      <w:r w:rsidR="089618C1">
        <w:fldChar w:fldCharType="end"/>
      </w:r>
      <w:r w:rsidR="089618C1">
        <w:t xml:space="preserve"> obranného mechanismu </w:t>
      </w:r>
      <w:r w:rsidR="089618C1" w:rsidRPr="00622D11">
        <w:rPr>
          <w:rStyle w:val="Zvraznn"/>
        </w:rPr>
        <w:t>Verkehrung ins Gegenteil</w:t>
      </w:r>
      <w:r w:rsidR="087F3DAE">
        <w:rPr>
          <w:rStyle w:val="Zvraznn"/>
        </w:rPr>
        <w:t xml:space="preserve"> </w:t>
      </w:r>
      <w:r w:rsidR="087F3DAE" w:rsidRPr="087F3DAE">
        <w:rPr>
          <w:szCs w:val="24"/>
        </w:rPr>
        <w:t>(</w:t>
      </w:r>
      <w:r w:rsidR="087F3DAE">
        <w:rPr>
          <w:szCs w:val="24"/>
        </w:rPr>
        <w:t>OBJ I, k</w:t>
      </w:r>
      <w:r w:rsidR="087F3DAE" w:rsidRPr="087F3DAE">
        <w:rPr>
          <w:szCs w:val="24"/>
        </w:rPr>
        <w:t>ap.</w:t>
      </w:r>
      <w:r w:rsidR="087F3DAE">
        <w:rPr>
          <w:szCs w:val="24"/>
        </w:rPr>
        <w:t xml:space="preserve"> 1</w:t>
      </w:r>
      <w:r w:rsidR="087F3DAE" w:rsidRPr="087F3DAE">
        <w:rPr>
          <w:szCs w:val="24"/>
        </w:rPr>
        <w:t>.2)</w:t>
      </w:r>
      <w:r w:rsidR="089618C1">
        <w:rPr>
          <w:rStyle w:val="Zvraznn"/>
        </w:rPr>
        <w:fldChar w:fldCharType="begin"/>
      </w:r>
      <w:r w:rsidR="089618C1">
        <w:instrText xml:space="preserve"> XE "</w:instrText>
      </w:r>
      <w:r w:rsidR="089618C1" w:rsidRPr="0089394E">
        <w:rPr>
          <w:rStyle w:val="Zvraznn"/>
        </w:rPr>
        <w:instrText>Verkehrung ins Gegenteil</w:instrText>
      </w:r>
      <w:r w:rsidR="089618C1">
        <w:instrText xml:space="preserve">" </w:instrText>
      </w:r>
      <w:r w:rsidR="089618C1">
        <w:rPr>
          <w:rStyle w:val="Zvraznn"/>
        </w:rPr>
        <w:fldChar w:fldCharType="end"/>
      </w:r>
      <w:r w:rsidR="089618C1">
        <w:rPr>
          <w:rStyle w:val="Zvraznn"/>
          <w:i w:val="0"/>
        </w:rPr>
        <w:t xml:space="preserve">. </w:t>
      </w:r>
      <w:r w:rsidR="089618C1">
        <w:t>Hermeneutika sleduje apollinskou sémantiku vytěsněné pravdy aristotel</w:t>
      </w:r>
      <w:r w:rsidR="00600C49">
        <w:t xml:space="preserve">ismu, která nyní působí pouze ve filosofické Léthé. </w:t>
      </w:r>
      <w:r w:rsidR="089618C1">
        <w:rPr>
          <w:rStyle w:val="Zvraznn"/>
          <w:i w:val="0"/>
        </w:rPr>
        <w:t xml:space="preserve">Aristoteles se stal na Oxfordu okolo roku 1235 obětním beránkem, který na sebe vzal všechny sofistické omyly </w:t>
      </w:r>
      <w:r w:rsidR="089618C1" w:rsidRPr="008342E0">
        <w:rPr>
          <w:rStyle w:val="Zvraznn"/>
        </w:rPr>
        <w:t>Modernorum</w:t>
      </w:r>
      <w:r w:rsidR="089618C1">
        <w:rPr>
          <w:rStyle w:val="Zvraznn"/>
          <w:i w:val="0"/>
        </w:rPr>
        <w:t>. Díky působení oxfordských logických analytiků typu Rufuse to byl po roce 1250 už jen Averroes.</w:t>
      </w:r>
      <w:r w:rsidR="086D4CA3">
        <w:rPr>
          <w:rStyle w:val="Zvraznn"/>
          <w:i w:val="0"/>
        </w:rPr>
        <w:t xml:space="preserve"> </w:t>
      </w:r>
      <w:r w:rsidR="089618C1">
        <w:rPr>
          <w:rStyle w:val="Zvraznn"/>
          <w:i w:val="0"/>
        </w:rPr>
        <w:t xml:space="preserve">Spor o tzv. „averroismus“ se stal viditelným sémantickým znamením vytěsnění první substance. </w:t>
      </w:r>
      <w:r w:rsidR="086D4CA3">
        <w:rPr>
          <w:rStyle w:val="Zvraznn"/>
          <w:i w:val="0"/>
        </w:rPr>
        <w:t xml:space="preserve">Averroes jako nejlepší komentátor </w:t>
      </w:r>
      <w:r w:rsidR="086D4CA3" w:rsidRPr="08C03C67">
        <w:rPr>
          <w:rStyle w:val="Zvraznn"/>
        </w:rPr>
        <w:t>Corpus Aristotelicum</w:t>
      </w:r>
      <w:r w:rsidR="086D4CA3">
        <w:rPr>
          <w:rStyle w:val="Zvraznn"/>
          <w:i w:val="0"/>
        </w:rPr>
        <w:t xml:space="preserve"> se stal po Aristotelovi novým obětním beránkem moderny. </w:t>
      </w:r>
      <w:r w:rsidR="089618C1">
        <w:rPr>
          <w:rStyle w:val="Zvraznn"/>
          <w:i w:val="0"/>
        </w:rPr>
        <w:t xml:space="preserve">Tuto tragikomickou gigantomachii vítězně vybojovanou </w:t>
      </w:r>
      <w:r w:rsidR="005A4CCF">
        <w:rPr>
          <w:rStyle w:val="Zvraznn"/>
          <w:i w:val="0"/>
        </w:rPr>
        <w:t xml:space="preserve">modernisty </w:t>
      </w:r>
      <w:r w:rsidR="089618C1">
        <w:rPr>
          <w:rStyle w:val="Zvraznn"/>
          <w:i w:val="0"/>
        </w:rPr>
        <w:t xml:space="preserve">řídí bohyně Pomsty a Chaosu. </w:t>
      </w:r>
      <w:r w:rsidR="00B63553">
        <w:rPr>
          <w:rStyle w:val="Zvraznn"/>
          <w:i w:val="0"/>
        </w:rPr>
        <w:t xml:space="preserve">Metafyzika moderny je </w:t>
      </w:r>
      <w:r w:rsidR="005A4CCF" w:rsidRPr="005A4CCF">
        <w:rPr>
          <w:rStyle w:val="Zvraznn"/>
          <w:i w:val="0"/>
        </w:rPr>
        <w:t>postaven</w:t>
      </w:r>
      <w:r w:rsidR="00B63553">
        <w:rPr>
          <w:rStyle w:val="Zvraznn"/>
          <w:i w:val="0"/>
        </w:rPr>
        <w:t>a</w:t>
      </w:r>
      <w:r w:rsidR="005A4CCF" w:rsidRPr="005A4CCF">
        <w:rPr>
          <w:rStyle w:val="Zvraznn"/>
          <w:i w:val="0"/>
        </w:rPr>
        <w:t xml:space="preserve"> na paranoidním subjektu </w:t>
      </w:r>
      <w:r w:rsidR="00B63553">
        <w:rPr>
          <w:rStyle w:val="Zvraznn"/>
          <w:i w:val="0"/>
        </w:rPr>
        <w:t xml:space="preserve">a </w:t>
      </w:r>
      <w:r w:rsidR="005A4CCF" w:rsidRPr="005A4CCF">
        <w:rPr>
          <w:rStyle w:val="Zvraznn"/>
          <w:i w:val="0"/>
        </w:rPr>
        <w:t xml:space="preserve">moderní logika </w:t>
      </w:r>
      <w:r w:rsidR="00B63553">
        <w:rPr>
          <w:rStyle w:val="Zvraznn"/>
          <w:i w:val="0"/>
        </w:rPr>
        <w:t xml:space="preserve">se </w:t>
      </w:r>
      <w:r w:rsidR="005A4CCF" w:rsidRPr="005A4CCF">
        <w:rPr>
          <w:rStyle w:val="Zvraznn"/>
          <w:i w:val="0"/>
        </w:rPr>
        <w:t>stala démonickou v důsledku příchodu budoucího Antikrista (OBJ II, kap. 3.</w:t>
      </w:r>
      <w:r w:rsidR="00B63553">
        <w:rPr>
          <w:rStyle w:val="Zvraznn"/>
          <w:i w:val="0"/>
        </w:rPr>
        <w:t xml:space="preserve">1.3). Pak je jasné, že </w:t>
      </w:r>
      <w:r w:rsidR="005A4CCF" w:rsidRPr="005A4CCF">
        <w:rPr>
          <w:rStyle w:val="Zvraznn"/>
          <w:i w:val="0"/>
        </w:rPr>
        <w:t>démonické síly moderního Ch</w:t>
      </w:r>
      <w:r w:rsidR="005A4CCF">
        <w:rPr>
          <w:rStyle w:val="Zvraznn"/>
          <w:i w:val="0"/>
        </w:rPr>
        <w:t xml:space="preserve">aosu </w:t>
      </w:r>
      <w:r w:rsidR="00B63553">
        <w:rPr>
          <w:rStyle w:val="Zvraznn"/>
          <w:i w:val="0"/>
        </w:rPr>
        <w:t>dostaly zcela subjektivní a logický charakter</w:t>
      </w:r>
      <w:r w:rsidR="005A4CCF">
        <w:rPr>
          <w:rStyle w:val="Zvraznn"/>
          <w:i w:val="0"/>
        </w:rPr>
        <w:t xml:space="preserve">. </w:t>
      </w:r>
      <w:r w:rsidR="08652B55">
        <w:t>Kosmogonie objektivity není nic jiného než myt</w:t>
      </w:r>
      <w:r w:rsidR="00EB6BFC">
        <w:t xml:space="preserve">ické </w:t>
      </w:r>
      <w:r w:rsidR="08652B55">
        <w:t xml:space="preserve">tvoření světa v akademickém modu </w:t>
      </w:r>
      <w:r w:rsidR="08652B55" w:rsidRPr="08F1051A">
        <w:rPr>
          <w:i/>
        </w:rPr>
        <w:t>ex nihilo</w:t>
      </w:r>
      <w:r w:rsidR="00AB3D12">
        <w:t xml:space="preserve">, který vznikl </w:t>
      </w:r>
      <w:r w:rsidR="08652B55">
        <w:t xml:space="preserve">pod vlivem </w:t>
      </w:r>
      <w:r w:rsidR="08AE4D47">
        <w:t>akademicky vzdělaných Fúrií</w:t>
      </w:r>
      <w:r w:rsidR="08652B55">
        <w:t xml:space="preserve">. </w:t>
      </w:r>
      <w:r w:rsidR="08D609F5">
        <w:t xml:space="preserve">Hermenenutika druhého dílu </w:t>
      </w:r>
      <w:r w:rsidR="08777FB6">
        <w:t xml:space="preserve">podrobně </w:t>
      </w:r>
      <w:r w:rsidR="08D609F5">
        <w:t>ukázala základní způsob, jak došlo k zaned</w:t>
      </w:r>
      <w:r w:rsidR="08777FB6">
        <w:t xml:space="preserve">bání metafyzické predikace. </w:t>
      </w:r>
      <w:r w:rsidR="08953609">
        <w:t xml:space="preserve">Klasická metafyzika dokládá donaci bytí (Heideggerovo </w:t>
      </w:r>
      <w:r w:rsidR="08953609" w:rsidRPr="006079C1">
        <w:rPr>
          <w:i/>
        </w:rPr>
        <w:t>Anwesen</w:t>
      </w:r>
      <w:r w:rsidR="08953609">
        <w:t xml:space="preserve">, </w:t>
      </w:r>
      <w:r w:rsidR="08953609" w:rsidRPr="006079C1">
        <w:rPr>
          <w:i/>
        </w:rPr>
        <w:lastRenderedPageBreak/>
        <w:t>Gabe</w:t>
      </w:r>
      <w:r w:rsidR="08953609">
        <w:t xml:space="preserve">, </w:t>
      </w:r>
      <w:r w:rsidR="08953609" w:rsidRPr="006079C1">
        <w:rPr>
          <w:i/>
        </w:rPr>
        <w:t>Es gibt</w:t>
      </w:r>
      <w:r w:rsidR="08953609">
        <w:rPr>
          <w:i/>
        </w:rPr>
        <w:fldChar w:fldCharType="begin"/>
      </w:r>
      <w:r w:rsidR="08953609">
        <w:instrText xml:space="preserve"> XE "</w:instrText>
      </w:r>
      <w:r w:rsidR="08953609" w:rsidRPr="00524E1F">
        <w:rPr>
          <w:i/>
        </w:rPr>
        <w:instrText>Es gibt</w:instrText>
      </w:r>
      <w:r w:rsidR="08953609">
        <w:instrText xml:space="preserve">" </w:instrText>
      </w:r>
      <w:r w:rsidR="08953609">
        <w:rPr>
          <w:i/>
        </w:rPr>
        <w:fldChar w:fldCharType="end"/>
      </w:r>
      <w:r w:rsidR="08953609">
        <w:t xml:space="preserve">) skrze tak či onak konfigurovaný smysl jsoucna zpřítomněný ve scholastické gigantomachii o substanci. </w:t>
      </w:r>
      <w:r w:rsidR="08DC78BE">
        <w:t xml:space="preserve">Vlivné školy </w:t>
      </w:r>
      <w:r w:rsidR="08DC78BE" w:rsidRPr="08AC39E2">
        <w:rPr>
          <w:i/>
        </w:rPr>
        <w:t>Nominales</w:t>
      </w:r>
      <w:r w:rsidR="08DC78BE">
        <w:t xml:space="preserve"> začaly číst </w:t>
      </w:r>
      <w:r w:rsidR="08DC78BE" w:rsidRPr="08AC39E2">
        <w:rPr>
          <w:i/>
        </w:rPr>
        <w:t>Druhé analytiky</w:t>
      </w:r>
      <w:r w:rsidR="08DC78BE">
        <w:t xml:space="preserve"> v univočním paradigmatu logiky. </w:t>
      </w:r>
      <w:r w:rsidR="08953609">
        <w:t xml:space="preserve">Moderna zrušila </w:t>
      </w:r>
      <w:r w:rsidR="08D609F5">
        <w:t xml:space="preserve">pojetí pravdy jako adekvace vázané </w:t>
      </w:r>
      <w:r w:rsidR="08851B75">
        <w:t xml:space="preserve">na působení </w:t>
      </w:r>
      <w:r w:rsidR="081942A4">
        <w:t xml:space="preserve">metafyzického </w:t>
      </w:r>
      <w:r w:rsidR="08851B75">
        <w:t xml:space="preserve">dativu. </w:t>
      </w:r>
      <w:r w:rsidR="08F01D1C">
        <w:t xml:space="preserve">Grossetesteho </w:t>
      </w:r>
      <w:r w:rsidR="00D136A1">
        <w:t>„</w:t>
      </w:r>
      <w:r w:rsidR="08851B75" w:rsidRPr="085A3D24">
        <w:rPr>
          <w:i/>
        </w:rPr>
        <w:t>obscurity</w:t>
      </w:r>
      <w:r w:rsidR="00D136A1">
        <w:t>“</w:t>
      </w:r>
      <w:r w:rsidR="08767D39">
        <w:t xml:space="preserve"> navázala</w:t>
      </w:r>
      <w:r w:rsidR="08851B75">
        <w:t xml:space="preserve"> na temnotu</w:t>
      </w:r>
      <w:r w:rsidR="08851B75">
        <w:rPr>
          <w:i/>
        </w:rPr>
        <w:fldChar w:fldCharType="begin"/>
      </w:r>
      <w:r w:rsidR="08851B75">
        <w:instrText xml:space="preserve"> XE "</w:instrText>
      </w:r>
      <w:r w:rsidR="08851B75" w:rsidRPr="000E608A">
        <w:instrText>zatmění:substance</w:instrText>
      </w:r>
      <w:r w:rsidR="08851B75">
        <w:instrText xml:space="preserve">" </w:instrText>
      </w:r>
      <w:r w:rsidR="08851B75">
        <w:rPr>
          <w:i/>
        </w:rPr>
        <w:fldChar w:fldCharType="end"/>
      </w:r>
      <w:r w:rsidR="08851B75">
        <w:t xml:space="preserve"> Avicennovy metafyziky (OBJ I, kap. 2.4.1) </w:t>
      </w:r>
      <w:r w:rsidR="08767D39">
        <w:t>a zavedla objektivní</w:t>
      </w:r>
      <w:r w:rsidR="08851B75">
        <w:t xml:space="preserve"> </w:t>
      </w:r>
      <w:r w:rsidR="08767D39">
        <w:t>statut</w:t>
      </w:r>
      <w:r w:rsidR="08851B75" w:rsidRPr="00273106">
        <w:t xml:space="preserve"> hyparchické predikace</w:t>
      </w:r>
      <w:r w:rsidR="08670106">
        <w:t xml:space="preserve">. Rufus a další </w:t>
      </w:r>
      <w:r w:rsidR="00342BE2">
        <w:t xml:space="preserve">modernisté </w:t>
      </w:r>
      <w:r w:rsidR="08670106">
        <w:t xml:space="preserve">chybně vyložili klíčovou část vědeckého důkazu ve </w:t>
      </w:r>
      <w:r w:rsidR="08670106" w:rsidRPr="08670106">
        <w:rPr>
          <w:i/>
        </w:rPr>
        <w:t>Druhých analytikách</w:t>
      </w:r>
      <w:r w:rsidR="08670106">
        <w:t xml:space="preserve"> </w:t>
      </w:r>
      <w:r w:rsidR="08851B75" w:rsidRPr="00273106">
        <w:t>(ὑπάρχει τοῖς πράγμασιν</w:t>
      </w:r>
      <w:r w:rsidR="08851B75">
        <w:t xml:space="preserve">, </w:t>
      </w:r>
      <w:r w:rsidR="08851B75" w:rsidRPr="00273106">
        <w:rPr>
          <w:i/>
        </w:rPr>
        <w:t>Anal. Post</w:t>
      </w:r>
      <w:r w:rsidR="08851B75" w:rsidRPr="00273106">
        <w:t>. 73b28</w:t>
      </w:r>
      <w:r w:rsidR="08851B75">
        <w:fldChar w:fldCharType="begin"/>
      </w:r>
      <w:r w:rsidR="08851B75">
        <w:instrText xml:space="preserve"> XE "Aristoteles:</w:instrText>
      </w:r>
      <w:r w:rsidR="08851B75" w:rsidRPr="002B6D36">
        <w:rPr>
          <w:i/>
        </w:rPr>
        <w:instrText>Anal. Post</w:instrText>
      </w:r>
      <w:r w:rsidR="08851B75" w:rsidRPr="002B6D36">
        <w:instrText>. 73b28</w:instrText>
      </w:r>
      <w:r w:rsidR="08851B75">
        <w:instrText xml:space="preserve">" </w:instrText>
      </w:r>
      <w:r w:rsidR="08851B75">
        <w:fldChar w:fldCharType="end"/>
      </w:r>
      <w:r w:rsidR="08851B75" w:rsidRPr="00273106">
        <w:t>)</w:t>
      </w:r>
      <w:r w:rsidR="08851B75">
        <w:t xml:space="preserve">. </w:t>
      </w:r>
      <w:r w:rsidR="081942A4">
        <w:t xml:space="preserve">Metafyzický </w:t>
      </w:r>
      <w:r w:rsidR="08851B75">
        <w:t xml:space="preserve">dativ dějinně skrytého bytí jsoucna </w:t>
      </w:r>
      <w:r w:rsidR="08F84C6D">
        <w:t xml:space="preserve">je </w:t>
      </w:r>
      <w:r w:rsidR="08851B75">
        <w:t xml:space="preserve">vztažený k věcem ve dvojím modu </w:t>
      </w:r>
      <w:r w:rsidR="08F84C6D">
        <w:t xml:space="preserve">logické a metafyzické </w:t>
      </w:r>
      <w:r w:rsidR="08851B75">
        <w:t xml:space="preserve">predikace </w:t>
      </w:r>
      <w:r w:rsidR="001C4631" w:rsidRPr="00E944E5">
        <w:t xml:space="preserve">(καθ' αὑτὰ δὲ διττῶς, </w:t>
      </w:r>
      <w:r w:rsidR="001C4631" w:rsidRPr="00E944E5">
        <w:rPr>
          <w:i/>
        </w:rPr>
        <w:t>Anal. Post.</w:t>
      </w:r>
      <w:r w:rsidR="001C4631" w:rsidRPr="00E944E5">
        <w:t xml:space="preserve"> 84a12</w:t>
      </w:r>
      <w:r w:rsidR="001C4631" w:rsidRPr="00E944E5">
        <w:rPr>
          <w:szCs w:val="24"/>
        </w:rPr>
        <w:fldChar w:fldCharType="begin"/>
      </w:r>
      <w:r w:rsidR="001C4631" w:rsidRPr="00E944E5">
        <w:rPr>
          <w:szCs w:val="24"/>
        </w:rPr>
        <w:instrText xml:space="preserve"> XE "Aristoteles:</w:instrText>
      </w:r>
      <w:r w:rsidR="001C4631" w:rsidRPr="00E944E5">
        <w:rPr>
          <w:i/>
          <w:szCs w:val="24"/>
        </w:rPr>
        <w:instrText>Anal</w:instrText>
      </w:r>
      <w:r w:rsidR="001C4631" w:rsidRPr="00E944E5">
        <w:rPr>
          <w:szCs w:val="24"/>
        </w:rPr>
        <w:instrText xml:space="preserve">. </w:instrText>
      </w:r>
      <w:r w:rsidR="001C4631" w:rsidRPr="00E944E5">
        <w:rPr>
          <w:i/>
          <w:szCs w:val="24"/>
        </w:rPr>
        <w:instrText>Post</w:instrText>
      </w:r>
      <w:r w:rsidR="001C4631" w:rsidRPr="00E944E5">
        <w:rPr>
          <w:szCs w:val="24"/>
        </w:rPr>
        <w:instrText xml:space="preserve">. 84a12" </w:instrText>
      </w:r>
      <w:r w:rsidR="001C4631" w:rsidRPr="00E944E5">
        <w:rPr>
          <w:szCs w:val="24"/>
        </w:rPr>
        <w:fldChar w:fldCharType="end"/>
      </w:r>
      <w:r w:rsidR="001C4631" w:rsidRPr="00E944E5">
        <w:t>)</w:t>
      </w:r>
      <w:r w:rsidR="08F84C6D">
        <w:t xml:space="preserve">. Toto dvojí určení vědeckého důkazu </w:t>
      </w:r>
      <w:r w:rsidR="08851B75">
        <w:t xml:space="preserve">indikuje původní modus Heideggerova </w:t>
      </w:r>
      <w:r w:rsidR="007405B7">
        <w:t>„</w:t>
      </w:r>
      <w:r w:rsidR="08851B75" w:rsidRPr="00DC4809">
        <w:rPr>
          <w:i/>
        </w:rPr>
        <w:t>Es gibt</w:t>
      </w:r>
      <w:r w:rsidR="007405B7">
        <w:t>“</w:t>
      </w:r>
      <w:r w:rsidR="08851B75">
        <w:rPr>
          <w:i/>
        </w:rPr>
        <w:fldChar w:fldCharType="begin"/>
      </w:r>
      <w:r w:rsidR="08851B75">
        <w:instrText xml:space="preserve"> XE "</w:instrText>
      </w:r>
      <w:r w:rsidR="08851B75" w:rsidRPr="00524E1F">
        <w:rPr>
          <w:i/>
        </w:rPr>
        <w:instrText>Es gibt</w:instrText>
      </w:r>
      <w:r w:rsidR="08851B75">
        <w:instrText xml:space="preserve">" </w:instrText>
      </w:r>
      <w:r w:rsidR="08851B75">
        <w:rPr>
          <w:i/>
        </w:rPr>
        <w:fldChar w:fldCharType="end"/>
      </w:r>
      <w:r w:rsidR="08F84C6D">
        <w:t xml:space="preserve"> pro moderní metafyzický </w:t>
      </w:r>
      <w:r w:rsidR="001E5ABF">
        <w:t xml:space="preserve">omyl </w:t>
      </w:r>
      <w:r w:rsidR="086950EE">
        <w:t>(OBJ II, kap. 3.1.1)</w:t>
      </w:r>
      <w:r w:rsidR="08F84C6D">
        <w:t xml:space="preserve">. </w:t>
      </w:r>
      <w:r w:rsidR="08DC78BE">
        <w:t>Dějiny filosofie dané po roce 1250 na Oxfordu posílají původní počátek (</w:t>
      </w:r>
      <w:r w:rsidR="001E5ABF">
        <w:rPr>
          <w:i/>
        </w:rPr>
        <w:t>Beginn</w:t>
      </w:r>
      <w:r w:rsidR="08DC78BE">
        <w:t xml:space="preserve">) aristotelské metafyziky do první formy epochální skrytosti. </w:t>
      </w:r>
      <w:r w:rsidR="085E5004">
        <w:t xml:space="preserve">První dějství objektivní tragikomedie </w:t>
      </w:r>
      <w:r w:rsidR="005814A6">
        <w:t>je dán</w:t>
      </w:r>
      <w:r w:rsidR="00D8281A">
        <w:t>o</w:t>
      </w:r>
      <w:r w:rsidR="005814A6">
        <w:t xml:space="preserve"> v </w:t>
      </w:r>
      <w:r w:rsidR="085E5004">
        <w:t>myšlení</w:t>
      </w:r>
      <w:r w:rsidR="085E5004" w:rsidRPr="08075C57">
        <w:t xml:space="preserve"> </w:t>
      </w:r>
      <w:r w:rsidR="085E5004">
        <w:t>Rufus</w:t>
      </w:r>
      <w:r w:rsidR="005814A6">
        <w:t>e</w:t>
      </w:r>
      <w:r w:rsidR="085E5004">
        <w:t xml:space="preserve">, </w:t>
      </w:r>
      <w:r w:rsidR="00863F1E">
        <w:rPr>
          <w:rStyle w:val="expandableitem"/>
        </w:rPr>
        <w:t xml:space="preserve">Kilwardbyho </w:t>
      </w:r>
      <w:r w:rsidR="005814A6">
        <w:t>a Bonaventury</w:t>
      </w:r>
      <w:r w:rsidR="085E5004">
        <w:t xml:space="preserve">. </w:t>
      </w:r>
      <w:r w:rsidR="08DC78BE">
        <w:t xml:space="preserve">Roger Bacon přesně viděl, datoval a popsal tragickou situaci myšlení </w:t>
      </w:r>
      <w:r w:rsidR="08977FBC">
        <w:t>současníků jak v</w:t>
      </w:r>
      <w:r w:rsidR="004145BE">
        <w:t> </w:t>
      </w:r>
      <w:r w:rsidR="08977FBC">
        <w:t>Oxfordu</w:t>
      </w:r>
      <w:r w:rsidR="004145BE">
        <w:t>,</w:t>
      </w:r>
      <w:r w:rsidR="08977FBC">
        <w:t xml:space="preserve"> tak v Paříži. </w:t>
      </w:r>
      <w:r w:rsidR="08FF4502">
        <w:t xml:space="preserve">Metafyzické určení pravdy existuje od Grossetesteho a pak i Rufusovy interpretace </w:t>
      </w:r>
      <w:r w:rsidR="08FF4502" w:rsidRPr="08F84C6D">
        <w:rPr>
          <w:i/>
        </w:rPr>
        <w:t>Druhých analytik</w:t>
      </w:r>
      <w:r w:rsidR="08FF4502">
        <w:t xml:space="preserve"> </w:t>
      </w:r>
      <w:r w:rsidR="08767D39">
        <w:t>ve d</w:t>
      </w:r>
      <w:r w:rsidR="08A0322B">
        <w:t>v</w:t>
      </w:r>
      <w:r w:rsidR="08767D39">
        <w:t xml:space="preserve">ojí podobě: </w:t>
      </w:r>
      <w:r w:rsidR="08FF4502">
        <w:t xml:space="preserve">buď jako aristotelské </w:t>
      </w:r>
      <w:r w:rsidR="08FF4502" w:rsidRPr="089E7325">
        <w:rPr>
          <w:i/>
        </w:rPr>
        <w:t>adaequatio</w:t>
      </w:r>
      <w:r w:rsidR="08FF4502">
        <w:t xml:space="preserve"> nebo jako moderní </w:t>
      </w:r>
      <w:r w:rsidR="08FF4502" w:rsidRPr="089E7325">
        <w:rPr>
          <w:i/>
        </w:rPr>
        <w:t>coaequatio</w:t>
      </w:r>
      <w:r w:rsidR="08FF4502">
        <w:t xml:space="preserve">. </w:t>
      </w:r>
      <w:r w:rsidR="08501B12">
        <w:t xml:space="preserve">Zkoumané dějinné mezníky manifestují dvojí hyparchickou danost smyslu jsoucího v podobě nauky prvního </w:t>
      </w:r>
      <w:r w:rsidR="08C00E46">
        <w:t>a druhého averorismu.</w:t>
      </w:r>
      <w:r w:rsidR="08911136">
        <w:t xml:space="preserve"> </w:t>
      </w:r>
      <w:r w:rsidR="08661C5B">
        <w:t xml:space="preserve">Hermeneutika vyšetřuje </w:t>
      </w:r>
      <w:r w:rsidR="08CF625D">
        <w:t xml:space="preserve">tuto </w:t>
      </w:r>
      <w:r w:rsidR="08661C5B">
        <w:t xml:space="preserve">dichotonomii </w:t>
      </w:r>
      <w:r w:rsidR="08886E81">
        <w:t xml:space="preserve">dějinně dané </w:t>
      </w:r>
      <w:r w:rsidR="08661C5B">
        <w:t>pravdy tím,</w:t>
      </w:r>
      <w:r w:rsidR="0099076D">
        <w:t xml:space="preserve"> že ukáže na její skrytý smysl.</w:t>
      </w:r>
      <w:r w:rsidR="00D8281A">
        <w:t xml:space="preserve"> </w:t>
      </w:r>
      <w:r w:rsidR="00DC470D">
        <w:t xml:space="preserve">Tragikomická verze </w:t>
      </w:r>
      <w:r w:rsidR="00DC470D" w:rsidRPr="08636B7F">
        <w:rPr>
          <w:i/>
        </w:rPr>
        <w:t>modus pone</w:t>
      </w:r>
      <w:r w:rsidR="00DC470D">
        <w:rPr>
          <w:i/>
        </w:rPr>
        <w:t>n</w:t>
      </w:r>
      <w:r w:rsidR="00DC470D" w:rsidRPr="08636B7F">
        <w:rPr>
          <w:i/>
        </w:rPr>
        <w:t>s</w:t>
      </w:r>
      <w:r w:rsidR="00DC470D">
        <w:rPr>
          <w:i/>
        </w:rPr>
        <w:fldChar w:fldCharType="begin"/>
      </w:r>
      <w:r w:rsidR="00DC470D">
        <w:instrText xml:space="preserve"> XE "</w:instrText>
      </w:r>
      <w:r w:rsidR="00DC470D" w:rsidRPr="08022128">
        <w:rPr>
          <w:i/>
        </w:rPr>
        <w:instrText>modus ponens</w:instrText>
      </w:r>
      <w:r w:rsidR="00DC470D">
        <w:instrText xml:space="preserve">" </w:instrText>
      </w:r>
      <w:r w:rsidR="00DC470D">
        <w:rPr>
          <w:i/>
        </w:rPr>
        <w:fldChar w:fldCharType="end"/>
      </w:r>
      <w:r w:rsidR="00DC470D">
        <w:t xml:space="preserve"> spočívá na jasně daném metafyzickém omylu. Logická abstrakce nemůže nahradit metafyzickou abstrakci, která jako jediná zajišťuje deduktivní vědecký důkaz. Ten je daný v modu metafyzického dativu navázaného na kauzalitu první substance. Tato zakládající událost aristotelské vědy a tím i pravdivé výpovědi o první substanci je konstatována ve středním členu deduktivního soudu (</w:t>
      </w:r>
      <w:r w:rsidR="00DC470D">
        <w:rPr>
          <w:i/>
        </w:rPr>
        <w:t>ex in</w:t>
      </w:r>
      <w:r w:rsidR="00DC470D" w:rsidRPr="08D4707C">
        <w:rPr>
          <w:i/>
        </w:rPr>
        <w:t>mediatis</w:t>
      </w:r>
      <w:r w:rsidR="00DC470D">
        <w:fldChar w:fldCharType="begin"/>
      </w:r>
      <w:r w:rsidR="00DC470D">
        <w:instrText xml:space="preserve"> XE "</w:instrText>
      </w:r>
      <w:r w:rsidR="00DC470D" w:rsidRPr="00342C7E">
        <w:instrText xml:space="preserve">princip </w:instrText>
      </w:r>
      <w:r w:rsidR="00DC470D">
        <w:rPr>
          <w:i/>
        </w:rPr>
        <w:instrText>ex in</w:instrText>
      </w:r>
      <w:r w:rsidR="00DC470D" w:rsidRPr="007D1242">
        <w:rPr>
          <w:i/>
        </w:rPr>
        <w:instrText>mediatis</w:instrText>
      </w:r>
      <w:r w:rsidR="00DC470D">
        <w:instrText xml:space="preserve">" </w:instrText>
      </w:r>
      <w:r w:rsidR="00DC470D">
        <w:fldChar w:fldCharType="end"/>
      </w:r>
      <w:r w:rsidR="00DC470D">
        <w:t xml:space="preserve">). Kauzalitu vázanou na </w:t>
      </w:r>
      <w:r w:rsidR="00DC470D" w:rsidRPr="085514E7">
        <w:rPr>
          <w:i/>
        </w:rPr>
        <w:t>quidditas</w:t>
      </w:r>
      <w:r w:rsidR="00DC470D">
        <w:t xml:space="preserve"> ve středním členu vědeckého důkazu nahradila esence daná v logické abstrakci. Tím se stalo, že místo kategoriálně predikovaného působení metafyzického dativu</w:t>
      </w:r>
      <w:r w:rsidR="00DC470D">
        <w:fldChar w:fldCharType="begin"/>
      </w:r>
      <w:r w:rsidR="00DC470D">
        <w:instrText xml:space="preserve"> XE "</w:instrText>
      </w:r>
      <w:r w:rsidR="00DC470D">
        <w:rPr>
          <w:i/>
        </w:rPr>
        <w:instrText>dativus metaphysi</w:instrText>
      </w:r>
      <w:r w:rsidR="00DC470D" w:rsidRPr="085514E7">
        <w:rPr>
          <w:i/>
        </w:rPr>
        <w:instrText>cus</w:instrText>
      </w:r>
      <w:r w:rsidR="00DC470D">
        <w:instrText xml:space="preserve">" </w:instrText>
      </w:r>
      <w:r w:rsidR="00DC470D">
        <w:fldChar w:fldCharType="end"/>
      </w:r>
      <w:r w:rsidR="00DC470D">
        <w:t xml:space="preserve"> vznikla metafyzicky nepravdivá dedukce daná pouze na úrovni logických závěrů. Analytičtí logikové a moderní ilumináti jsou zaslepeni světlem shůry darovaného intelektu-slunce, proto predikují jsoucna třetího druhu jako první substance</w:t>
      </w:r>
      <w:r w:rsidR="00DC470D" w:rsidRPr="003B7526">
        <w:t>.</w:t>
      </w:r>
      <w:r w:rsidR="00DC470D">
        <w:t xml:space="preserve"> Latinští modernisté v Oxfordu inspirovaní Grossetestem zrušili původní metafyzickou </w:t>
      </w:r>
      <w:r w:rsidR="00DC470D">
        <w:lastRenderedPageBreak/>
        <w:t xml:space="preserve">diferenci danou </w:t>
      </w:r>
      <w:r w:rsidR="00DC470D">
        <w:rPr>
          <w:rStyle w:val="TextpoznpodarouChar"/>
        </w:rPr>
        <w:t xml:space="preserve">dvojí povahou univerzálií </w:t>
      </w:r>
      <w:r w:rsidR="00DC470D" w:rsidRPr="00273106">
        <w:t>(καθ' αὑτὰ δὲ διττῶς</w:t>
      </w:r>
      <w:r w:rsidR="00DC470D">
        <w:t xml:space="preserve">, </w:t>
      </w:r>
      <w:r w:rsidR="00DC470D" w:rsidRPr="009B084A">
        <w:rPr>
          <w:i/>
        </w:rPr>
        <w:t>Anal</w:t>
      </w:r>
      <w:r w:rsidR="00DC470D">
        <w:t xml:space="preserve">. </w:t>
      </w:r>
      <w:r w:rsidR="00DC470D" w:rsidRPr="009B084A">
        <w:rPr>
          <w:i/>
        </w:rPr>
        <w:t>Post</w:t>
      </w:r>
      <w:r w:rsidR="00DC470D">
        <w:t>. 84a12</w:t>
      </w:r>
      <w:r w:rsidR="00DC470D">
        <w:fldChar w:fldCharType="begin"/>
      </w:r>
      <w:r w:rsidR="00DC470D">
        <w:instrText xml:space="preserve"> XE "Aristoteles:</w:instrText>
      </w:r>
      <w:r w:rsidR="00DC470D" w:rsidRPr="00BF0563">
        <w:rPr>
          <w:i/>
        </w:rPr>
        <w:instrText>Anal</w:instrText>
      </w:r>
      <w:r w:rsidR="00DC470D" w:rsidRPr="00BF0563">
        <w:instrText xml:space="preserve">. </w:instrText>
      </w:r>
      <w:r w:rsidR="00DC470D" w:rsidRPr="00BF0563">
        <w:rPr>
          <w:i/>
        </w:rPr>
        <w:instrText>Post</w:instrText>
      </w:r>
      <w:r w:rsidR="00DC470D" w:rsidRPr="00BF0563">
        <w:instrText>. 84a12</w:instrText>
      </w:r>
      <w:r w:rsidR="00DC470D">
        <w:instrText xml:space="preserve">" </w:instrText>
      </w:r>
      <w:r w:rsidR="00DC470D">
        <w:fldChar w:fldCharType="end"/>
      </w:r>
      <w:r w:rsidR="00DC470D" w:rsidRPr="00273106">
        <w:t>)</w:t>
      </w:r>
      <w:r w:rsidR="00DC470D">
        <w:t xml:space="preserve">. Supozice daná logicky vytěsnila metafyzickou impozici od prvních substancí. Tuto formu mylného </w:t>
      </w:r>
      <w:r w:rsidR="00DC470D" w:rsidRPr="087A35B7">
        <w:rPr>
          <w:i/>
        </w:rPr>
        <w:t>modus ponens</w:t>
      </w:r>
      <w:r w:rsidR="00DC470D">
        <w:t xml:space="preserve"> odmítly klasické logické školy jako typický příklad sofismatu „</w:t>
      </w:r>
      <w:r w:rsidR="00DC470D" w:rsidRPr="00404AB6">
        <w:rPr>
          <w:i/>
        </w:rPr>
        <w:t>fallacia</w:t>
      </w:r>
      <w:r w:rsidR="00DC470D" w:rsidRPr="00404AB6">
        <w:t xml:space="preserve"> </w:t>
      </w:r>
      <w:r w:rsidR="00DC470D" w:rsidRPr="00404AB6">
        <w:rPr>
          <w:i/>
        </w:rPr>
        <w:t>a dicto simpliciter ad dictum secundum quid</w:t>
      </w:r>
      <w:r w:rsidR="00DC470D">
        <w:t>“</w:t>
      </w:r>
      <w:r w:rsidR="00DC470D">
        <w:rPr>
          <w:i/>
        </w:rPr>
        <w:t xml:space="preserve"> </w:t>
      </w:r>
      <w:r w:rsidR="00DC470D">
        <w:rPr>
          <w:i/>
        </w:rPr>
        <w:fldChar w:fldCharType="begin"/>
      </w:r>
      <w:r w:rsidR="00DC470D">
        <w:instrText xml:space="preserve"> XE "</w:instrText>
      </w:r>
      <w:r w:rsidR="00DC470D" w:rsidRPr="00404AB6">
        <w:rPr>
          <w:i/>
        </w:rPr>
        <w:instrText>fallacia</w:instrText>
      </w:r>
      <w:r w:rsidR="00DC470D" w:rsidRPr="00404AB6">
        <w:instrText xml:space="preserve"> </w:instrText>
      </w:r>
      <w:r w:rsidR="00DC470D" w:rsidRPr="00404AB6">
        <w:rPr>
          <w:i/>
        </w:rPr>
        <w:instrText>a dicto simpliciter ad dictum secundum quid</w:instrText>
      </w:r>
      <w:r w:rsidR="00DC470D">
        <w:instrText xml:space="preserve">" </w:instrText>
      </w:r>
      <w:r w:rsidR="00DC470D">
        <w:rPr>
          <w:i/>
        </w:rPr>
        <w:fldChar w:fldCharType="end"/>
      </w:r>
      <w:r w:rsidR="00DC470D">
        <w:t xml:space="preserve"> (OBJ II, kap. 3.3.1). Chybnou četbu Aristotela a Komentátora v modu logického </w:t>
      </w:r>
      <w:r w:rsidR="00DC470D" w:rsidRPr="08834827">
        <w:rPr>
          <w:i/>
        </w:rPr>
        <w:t>modus ponens</w:t>
      </w:r>
      <w:r w:rsidR="00DC470D">
        <w:t xml:space="preserve"> odsoudili všichni význační představitelé školy prvního averroismu, kteří působili na Pařížské univerzitě do roku 1250. Predikace v modu </w:t>
      </w:r>
      <w:r w:rsidR="00DC470D" w:rsidRPr="085A618C">
        <w:rPr>
          <w:i/>
        </w:rPr>
        <w:t>Oxfordian Fallacy</w:t>
      </w:r>
      <w:r w:rsidR="00DC470D">
        <w:fldChar w:fldCharType="begin"/>
      </w:r>
      <w:r w:rsidR="00DC470D">
        <w:instrText xml:space="preserve"> XE "</w:instrText>
      </w:r>
      <w:r w:rsidR="00DC470D" w:rsidRPr="085A618C">
        <w:rPr>
          <w:i/>
        </w:rPr>
        <w:instrText>Oxfordian Fallacy</w:instrText>
      </w:r>
      <w:r w:rsidR="00DC470D">
        <w:instrText xml:space="preserve">" </w:instrText>
      </w:r>
      <w:r w:rsidR="00DC470D">
        <w:fldChar w:fldCharType="end"/>
      </w:r>
      <w:r w:rsidR="00DC470D">
        <w:t xml:space="preserve"> vytěsnila metafyzickou esenci tím, že modernisté dali místo aristotelské </w:t>
      </w:r>
      <w:r w:rsidR="00DC470D" w:rsidRPr="085A618C">
        <w:rPr>
          <w:i/>
        </w:rPr>
        <w:t>quidditas</w:t>
      </w:r>
      <w:r w:rsidR="00DC470D">
        <w:t xml:space="preserve"> její objektivní simulákrum. Modernu neřídí pravda opřená o realitu, ale systém generalizované produkce subjektivně založených poznatků (</w:t>
      </w:r>
      <w:r w:rsidR="00DC470D" w:rsidRPr="08163E16">
        <w:rPr>
          <w:i/>
        </w:rPr>
        <w:t>factum</w:t>
      </w:r>
      <w:r w:rsidR="00DC470D">
        <w:t xml:space="preserve">). Škola </w:t>
      </w:r>
      <w:r w:rsidR="00DC470D" w:rsidRPr="088326F6">
        <w:rPr>
          <w:i/>
        </w:rPr>
        <w:t>Nominales</w:t>
      </w:r>
      <w:r w:rsidR="00DC470D">
        <w:t xml:space="preserve"> zavedla objektivní soustavu poznatků v rámci nového </w:t>
      </w:r>
      <w:r w:rsidR="00DC470D">
        <w:rPr>
          <w:i/>
        </w:rPr>
        <w:t>A</w:t>
      </w:r>
      <w:r w:rsidR="00DC470D" w:rsidRPr="00B23D44">
        <w:rPr>
          <w:i/>
        </w:rPr>
        <w:t>rbor Porphyriana</w:t>
      </w:r>
      <w:r w:rsidR="004364A5">
        <w:t xml:space="preserve"> daného produkcí </w:t>
      </w:r>
      <w:r w:rsidR="00DC470D">
        <w:t xml:space="preserve">moderních jsoucen všeho druhu. Objektivní množení a digitální skladování postmoderních </w:t>
      </w:r>
      <w:r w:rsidR="00DC470D" w:rsidRPr="00DB7C4C">
        <w:rPr>
          <w:i/>
        </w:rPr>
        <w:t>scibil</w:t>
      </w:r>
      <w:r w:rsidR="00DC470D">
        <w:rPr>
          <w:i/>
        </w:rPr>
        <w:t>ia</w:t>
      </w:r>
      <w:r w:rsidR="00DC470D">
        <w:t xml:space="preserve"> běží skrze pohyb specifické diference jazykových, binárních a digitálních opozic. Tato objektivní dialektika se ve</w:t>
      </w:r>
      <w:r w:rsidR="00DC470D" w:rsidRPr="00356888">
        <w:t xml:space="preserve"> Foucaultově genealogii vědění proměnila v nový druh věd o člověku založený na principu produkce. </w:t>
      </w:r>
      <w:r w:rsidR="00DC470D">
        <w:t>Po smrti moderního boha už zbyl jen jeho pilný a všeho schopný smrtelný producent. Esenciální poznání je dáno exemplárně a věčně, proto determinuje kontingentní a podřízený svět skrze demiurgickou činnost moderního boha a člověka. Historie Britského impéria ukazuje v modu „</w:t>
      </w:r>
      <w:r w:rsidR="00DC470D" w:rsidRPr="085B3A6D">
        <w:rPr>
          <w:i/>
        </w:rPr>
        <w:t>de fine</w:t>
      </w:r>
      <w:r w:rsidR="00DC470D">
        <w:t>“ skrytý začátek (</w:t>
      </w:r>
      <w:r w:rsidR="00DC470D" w:rsidRPr="006B60AC">
        <w:rPr>
          <w:i/>
        </w:rPr>
        <w:t>Beginn</w:t>
      </w:r>
      <w:r w:rsidR="00DC470D">
        <w:t xml:space="preserve">) objektivity dané skrze </w:t>
      </w:r>
      <w:r w:rsidR="00DC470D" w:rsidRPr="08544EE9">
        <w:rPr>
          <w:i/>
        </w:rPr>
        <w:t>Oxfo</w:t>
      </w:r>
      <w:r w:rsidR="00DC470D">
        <w:rPr>
          <w:i/>
        </w:rPr>
        <w:t>r</w:t>
      </w:r>
      <w:r w:rsidR="00DC470D" w:rsidRPr="08544EE9">
        <w:rPr>
          <w:i/>
        </w:rPr>
        <w:t>dian Fallacy</w:t>
      </w:r>
      <w:r w:rsidR="00DC470D">
        <w:t>. Zašlou slávu tohoto simulákra završuje v nihilistické epoše myšlení jeho anglo-saský koloniální klon na druhé straně Atlantiku. Nyní žijeme v epoše metafyzického nihilismu, který objektivně manifestuje konec moderny. Nihilistická dekonstr</w:t>
      </w:r>
      <w:r w:rsidR="00335831">
        <w:t xml:space="preserve">ukce jakékokoliv pevného smyslu, dnes </w:t>
      </w:r>
      <w:r w:rsidR="00DC470D">
        <w:t>vázaného i na pouhé zdání objektivní substance</w:t>
      </w:r>
      <w:r w:rsidR="00335831">
        <w:t>,</w:t>
      </w:r>
      <w:r w:rsidR="00DC470D">
        <w:t xml:space="preserve"> zvěstuje v modu tragikomedie konec moderní metafyziky.</w:t>
      </w:r>
    </w:p>
    <w:p w:rsidR="08490D0E" w:rsidRPr="00430B1E" w:rsidRDefault="081330A2" w:rsidP="00430B1E">
      <w:pPr>
        <w:ind w:firstLine="397"/>
      </w:pPr>
      <w:r>
        <w:t xml:space="preserve">Místem zjevování objektivity v jejím apollinském </w:t>
      </w:r>
      <w:r w:rsidRPr="083E5BD9">
        <w:rPr>
          <w:i/>
        </w:rPr>
        <w:t>Lichtung</w:t>
      </w:r>
      <w:r>
        <w:t xml:space="preserve"> se stala </w:t>
      </w:r>
      <w:r w:rsidR="00512FBF">
        <w:t>zvláštní pseudo-substance</w:t>
      </w:r>
      <w:r>
        <w:t xml:space="preserve"> </w:t>
      </w:r>
      <w:r w:rsidR="007A3CF8">
        <w:t xml:space="preserve">daná </w:t>
      </w:r>
      <w:r>
        <w:t xml:space="preserve">ve formě </w:t>
      </w:r>
      <w:r w:rsidRPr="08CB4B0E">
        <w:rPr>
          <w:i/>
        </w:rPr>
        <w:t>intellectus possib</w:t>
      </w:r>
      <w:r>
        <w:rPr>
          <w:i/>
        </w:rPr>
        <w:t>i</w:t>
      </w:r>
      <w:r w:rsidRPr="08CB4B0E">
        <w:rPr>
          <w:i/>
        </w:rPr>
        <w:t>lis</w:t>
      </w:r>
      <w:r>
        <w:t xml:space="preserve">. </w:t>
      </w:r>
      <w:r w:rsidR="0811524C" w:rsidRPr="00273106">
        <w:t xml:space="preserve">Zásadní </w:t>
      </w:r>
      <w:r w:rsidR="0811524C" w:rsidRPr="00273106">
        <w:rPr>
          <w:rStyle w:val="Zkladntext158dkovn0pt"/>
          <w:color w:val="auto"/>
          <w:spacing w:val="0"/>
          <w:sz w:val="24"/>
          <w:lang w:val="cs-CZ"/>
        </w:rPr>
        <w:t xml:space="preserve">otázkou </w:t>
      </w:r>
      <w:r w:rsidR="0811524C">
        <w:rPr>
          <w:rStyle w:val="Zkladntext158dkovn0pt"/>
          <w:color w:val="auto"/>
          <w:spacing w:val="0"/>
          <w:sz w:val="24"/>
          <w:lang w:val="cs-CZ"/>
        </w:rPr>
        <w:t>se stalo zje</w:t>
      </w:r>
      <w:r w:rsidR="0811524C" w:rsidRPr="00273106">
        <w:rPr>
          <w:rStyle w:val="Zkladntext158dkovn0pt"/>
          <w:color w:val="auto"/>
          <w:spacing w:val="0"/>
          <w:sz w:val="24"/>
          <w:lang w:val="cs-CZ"/>
        </w:rPr>
        <w:t>vování smyslu jsoucna vzhledem k</w:t>
      </w:r>
      <w:r w:rsidR="0811524C">
        <w:rPr>
          <w:rStyle w:val="Zkladntext158dkovn0pt"/>
          <w:color w:val="auto"/>
          <w:spacing w:val="0"/>
          <w:sz w:val="24"/>
          <w:lang w:val="cs-CZ"/>
        </w:rPr>
        <w:t xml:space="preserve"> mediační roli </w:t>
      </w:r>
      <w:r w:rsidR="0811524C" w:rsidRPr="00273106">
        <w:rPr>
          <w:rStyle w:val="Zkladntext158dkovn0pt"/>
          <w:i/>
          <w:color w:val="auto"/>
          <w:spacing w:val="0"/>
          <w:sz w:val="24"/>
          <w:lang w:val="cs-CZ"/>
        </w:rPr>
        <w:t>intellectus possibilis</w:t>
      </w:r>
      <w:r w:rsidR="0811524C">
        <w:rPr>
          <w:rStyle w:val="Zkladntext158dkovn0pt"/>
          <w:i/>
          <w:color w:val="auto"/>
          <w:spacing w:val="0"/>
          <w:sz w:val="24"/>
          <w:lang w:val="cs-CZ"/>
        </w:rPr>
        <w:fldChar w:fldCharType="begin"/>
      </w:r>
      <w:r w:rsidR="0811524C">
        <w:instrText xml:space="preserve"> XE "</w:instrText>
      </w:r>
      <w:r w:rsidR="0811524C" w:rsidRPr="00770D02">
        <w:rPr>
          <w:i/>
        </w:rPr>
        <w:instrText>intellectus possibilis</w:instrText>
      </w:r>
      <w:r w:rsidR="0811524C">
        <w:rPr>
          <w:i/>
        </w:rPr>
        <w:instrText>:</w:instrText>
      </w:r>
      <w:r w:rsidR="0811524C">
        <w:instrText xml:space="preserve">Averroes" </w:instrText>
      </w:r>
      <w:r w:rsidR="0811524C">
        <w:rPr>
          <w:rStyle w:val="Zkladntext158dkovn0pt"/>
          <w:i/>
          <w:color w:val="auto"/>
          <w:spacing w:val="0"/>
          <w:sz w:val="24"/>
          <w:lang w:val="cs-CZ"/>
        </w:rPr>
        <w:fldChar w:fldCharType="end"/>
      </w:r>
      <w:r w:rsidR="0811524C">
        <w:rPr>
          <w:rStyle w:val="Zkladntext158dkovn0pt"/>
          <w:color w:val="auto"/>
          <w:spacing w:val="0"/>
          <w:sz w:val="24"/>
          <w:lang w:val="cs-CZ"/>
        </w:rPr>
        <w:t xml:space="preserve">, jak ji určil </w:t>
      </w:r>
      <w:r w:rsidR="08F805DB">
        <w:rPr>
          <w:rStyle w:val="Zkladntext158dkovn0pt"/>
          <w:color w:val="auto"/>
          <w:spacing w:val="0"/>
          <w:sz w:val="24"/>
          <w:lang w:val="cs-CZ"/>
        </w:rPr>
        <w:t xml:space="preserve">Averroesův </w:t>
      </w:r>
      <w:r w:rsidR="0811524C">
        <w:rPr>
          <w:rStyle w:val="Zkladntext158dkovn0pt"/>
          <w:color w:val="auto"/>
          <w:spacing w:val="0"/>
          <w:sz w:val="24"/>
          <w:lang w:val="cs-CZ"/>
        </w:rPr>
        <w:t xml:space="preserve">magistrální výklad </w:t>
      </w:r>
      <w:r w:rsidR="0811524C" w:rsidRPr="08E2004B">
        <w:rPr>
          <w:rStyle w:val="Zkladntext158dkovn0pt"/>
          <w:i/>
          <w:color w:val="auto"/>
          <w:spacing w:val="0"/>
          <w:sz w:val="24"/>
          <w:lang w:val="cs-CZ"/>
        </w:rPr>
        <w:t>De anima</w:t>
      </w:r>
      <w:r w:rsidR="0868212D">
        <w:rPr>
          <w:rStyle w:val="Zkladntext158dkovn0pt"/>
          <w:color w:val="auto"/>
          <w:spacing w:val="0"/>
          <w:sz w:val="24"/>
          <w:lang w:val="cs-CZ"/>
        </w:rPr>
        <w:t xml:space="preserve"> (OBJ I, kap. 2.4.3</w:t>
      </w:r>
      <w:r w:rsidR="0811524C">
        <w:rPr>
          <w:rStyle w:val="Zkladntext158dkovn0pt"/>
          <w:color w:val="auto"/>
          <w:spacing w:val="0"/>
          <w:sz w:val="24"/>
          <w:lang w:val="cs-CZ"/>
        </w:rPr>
        <w:t>)</w:t>
      </w:r>
      <w:r w:rsidR="0811524C" w:rsidRPr="00273106">
        <w:rPr>
          <w:rStyle w:val="Zkladntext158dkovn0pt"/>
          <w:color w:val="auto"/>
          <w:spacing w:val="0"/>
          <w:sz w:val="24"/>
          <w:lang w:val="cs-CZ"/>
        </w:rPr>
        <w:t>.</w:t>
      </w:r>
      <w:r w:rsidR="0811524C">
        <w:rPr>
          <w:rStyle w:val="Zkladntext158dkovn0pt"/>
          <w:color w:val="auto"/>
          <w:spacing w:val="0"/>
          <w:sz w:val="24"/>
          <w:lang w:val="cs-CZ"/>
        </w:rPr>
        <w:t xml:space="preserve"> </w:t>
      </w:r>
      <w:r w:rsidR="083B5DAF">
        <w:t>M</w:t>
      </w:r>
      <w:r w:rsidR="08163013">
        <w:t xml:space="preserve">ediační funkce </w:t>
      </w:r>
      <w:r w:rsidR="083B5DAF">
        <w:t xml:space="preserve">receptivního intelektu </w:t>
      </w:r>
      <w:r w:rsidR="08163013">
        <w:t>v podobě intelektuální</w:t>
      </w:r>
      <w:r w:rsidR="084A1CDE">
        <w:t xml:space="preserve">ho diafanum dává základní fenomenologický způsob, </w:t>
      </w:r>
      <w:r w:rsidR="08163013">
        <w:t>jak</w:t>
      </w:r>
      <w:r w:rsidR="084A1CDE">
        <w:t xml:space="preserve"> </w:t>
      </w:r>
      <w:r w:rsidR="08163013">
        <w:t xml:space="preserve">poznáváme svět v modu aristotelské adekvace. </w:t>
      </w:r>
      <w:r w:rsidR="08597070">
        <w:t>R</w:t>
      </w:r>
      <w:r w:rsidR="082B3895">
        <w:t xml:space="preserve">ufus vytvořil </w:t>
      </w:r>
      <w:r w:rsidR="085C4D7F">
        <w:t xml:space="preserve">v letech </w:t>
      </w:r>
      <w:r w:rsidR="08EF0D1F">
        <w:t>1235</w:t>
      </w:r>
      <w:r w:rsidR="08EF0D1F">
        <w:rPr>
          <w:rFonts w:cs="Calibri"/>
        </w:rPr>
        <w:t>─</w:t>
      </w:r>
      <w:r w:rsidR="08EF0D1F">
        <w:t xml:space="preserve">40 </w:t>
      </w:r>
      <w:r w:rsidR="082B3895">
        <w:t>novou definici</w:t>
      </w:r>
      <w:r w:rsidR="08163013" w:rsidRPr="00273106">
        <w:t xml:space="preserve"> </w:t>
      </w:r>
      <w:r w:rsidR="08163013" w:rsidRPr="00273106">
        <w:rPr>
          <w:i/>
        </w:rPr>
        <w:t>intellectus possibilis</w:t>
      </w:r>
      <w:r w:rsidR="08163013" w:rsidRPr="00273106">
        <w:t xml:space="preserve"> </w:t>
      </w:r>
      <w:r w:rsidR="004737FD">
        <w:t xml:space="preserve">jako </w:t>
      </w:r>
      <w:r w:rsidR="082B3895">
        <w:t>sofistické simulákr</w:t>
      </w:r>
      <w:r w:rsidR="004737FD">
        <w:t>um</w:t>
      </w:r>
      <w:r w:rsidR="007A3CF8">
        <w:t xml:space="preserve"> Averroesova pojmu</w:t>
      </w:r>
      <w:r w:rsidR="082B3895">
        <w:t>. Nová forma receptivního intelektu vznikla na základě Dinantova</w:t>
      </w:r>
      <w:r w:rsidR="08F30F33">
        <w:fldChar w:fldCharType="begin"/>
      </w:r>
      <w:r w:rsidR="08F30F33">
        <w:instrText xml:space="preserve"> XE "</w:instrText>
      </w:r>
      <w:r w:rsidR="08F30F33" w:rsidRPr="08BE28E6">
        <w:instrText>David z Dinantu</w:instrText>
      </w:r>
      <w:r w:rsidR="08F30F33">
        <w:instrText xml:space="preserve">" </w:instrText>
      </w:r>
      <w:r w:rsidR="08F30F33">
        <w:fldChar w:fldCharType="end"/>
      </w:r>
      <w:r w:rsidR="082B3895">
        <w:t xml:space="preserve"> </w:t>
      </w:r>
      <w:r w:rsidR="082B3895">
        <w:lastRenderedPageBreak/>
        <w:t xml:space="preserve">panteistického výkladu </w:t>
      </w:r>
      <w:r w:rsidR="082B3895" w:rsidRPr="082B3895">
        <w:rPr>
          <w:i/>
        </w:rPr>
        <w:t>De anima</w:t>
      </w:r>
      <w:r w:rsidR="08F30F33">
        <w:t xml:space="preserve"> (OBJ II, kap. 2.1.3). </w:t>
      </w:r>
      <w:r w:rsidR="085F4A97">
        <w:t xml:space="preserve">Hermeneutika </w:t>
      </w:r>
      <w:r w:rsidR="00C76CF4">
        <w:t xml:space="preserve">sledovala výklad </w:t>
      </w:r>
      <w:r w:rsidR="085F4A97">
        <w:t>Komentátora</w:t>
      </w:r>
      <w:r w:rsidR="00C76CF4">
        <w:t xml:space="preserve"> a ukázala</w:t>
      </w:r>
      <w:r w:rsidR="085F4A97">
        <w:t xml:space="preserve">, že Dinantova forma </w:t>
      </w:r>
      <w:r w:rsidR="082D18E0">
        <w:t xml:space="preserve">panteistického </w:t>
      </w:r>
      <w:r w:rsidR="085F4A97">
        <w:t xml:space="preserve">intelektu vytvořila </w:t>
      </w:r>
      <w:r w:rsidR="085F4A97" w:rsidRPr="00273106">
        <w:t xml:space="preserve">objektivního dvojníka </w:t>
      </w:r>
      <w:r w:rsidR="085F4A97">
        <w:t>neoplatonsk</w:t>
      </w:r>
      <w:r w:rsidR="085F4A97" w:rsidRPr="00273106">
        <w:t xml:space="preserve">ého a Avicennova </w:t>
      </w:r>
      <w:r w:rsidR="085F4A97" w:rsidRPr="00273106">
        <w:rPr>
          <w:i/>
        </w:rPr>
        <w:t>intellectus materialis</w:t>
      </w:r>
      <w:r w:rsidR="085F4A97">
        <w:rPr>
          <w:i/>
        </w:rPr>
        <w:fldChar w:fldCharType="begin"/>
      </w:r>
      <w:r w:rsidR="085F4A97">
        <w:instrText xml:space="preserve"> XE "</w:instrText>
      </w:r>
      <w:r w:rsidR="085F4A97" w:rsidRPr="00BE489A">
        <w:rPr>
          <w:i/>
        </w:rPr>
        <w:instrText>intellectus materialis:</w:instrText>
      </w:r>
      <w:r w:rsidR="085F4A97" w:rsidRPr="00BE489A">
        <w:instrText>Avicenna</w:instrText>
      </w:r>
      <w:r w:rsidR="085F4A97">
        <w:instrText xml:space="preserve">" </w:instrText>
      </w:r>
      <w:r w:rsidR="085F4A97">
        <w:rPr>
          <w:i/>
        </w:rPr>
        <w:fldChar w:fldCharType="end"/>
      </w:r>
      <w:r w:rsidR="085F4A97">
        <w:t xml:space="preserve">. </w:t>
      </w:r>
      <w:r w:rsidR="08D21DDA">
        <w:t xml:space="preserve">Dinantovu substanční a kosmickou verzi </w:t>
      </w:r>
      <w:r w:rsidR="08D21DDA" w:rsidRPr="08F30F33">
        <w:rPr>
          <w:i/>
        </w:rPr>
        <w:t>intellectus possibilis</w:t>
      </w:r>
      <w:r w:rsidR="08D21DDA">
        <w:t xml:space="preserve"> odmítli zakladatelé prvního averroismu shromáždění kolem Blundovy školy v </w:t>
      </w:r>
      <w:r w:rsidR="08D21DDA" w:rsidRPr="08334F4E">
        <w:rPr>
          <w:i/>
        </w:rPr>
        <w:t>École cathédrale de Paris</w:t>
      </w:r>
      <w:r w:rsidR="08D21DDA">
        <w:t>. Tato kated</w:t>
      </w:r>
      <w:r w:rsidR="088E44F2">
        <w:t xml:space="preserve">rální škola v Paříži opatrovala </w:t>
      </w:r>
      <w:r w:rsidR="08D21DDA">
        <w:t>dědictví Abelarda</w:t>
      </w:r>
      <w:r w:rsidR="00534E9D">
        <w:t>,</w:t>
      </w:r>
      <w:r w:rsidR="08D21DDA">
        <w:t xml:space="preserve"> a t</w:t>
      </w:r>
      <w:r w:rsidR="088E44F2">
        <w:t>ím i bagdádského Domu mo</w:t>
      </w:r>
      <w:r w:rsidR="080B07F2">
        <w:t>udrosti. D</w:t>
      </w:r>
      <w:r w:rsidR="088E44F2">
        <w:t xml:space="preserve">íky </w:t>
      </w:r>
      <w:r w:rsidR="08D21DDA">
        <w:t xml:space="preserve">vyhrané bitvě nad modernisty ze škol </w:t>
      </w:r>
      <w:r w:rsidR="08D21DDA" w:rsidRPr="08A56CFE">
        <w:rPr>
          <w:i/>
        </w:rPr>
        <w:t>Nominales</w:t>
      </w:r>
      <w:r w:rsidR="08D21DDA">
        <w:t xml:space="preserve"> </w:t>
      </w:r>
      <w:r w:rsidR="088E44F2">
        <w:t xml:space="preserve">a panteismu Dinanta </w:t>
      </w:r>
      <w:r w:rsidR="080B07F2">
        <w:t xml:space="preserve">se </w:t>
      </w:r>
      <w:r w:rsidR="088E44F2">
        <w:t>stali</w:t>
      </w:r>
      <w:r w:rsidR="08D21DDA">
        <w:t xml:space="preserve"> </w:t>
      </w:r>
      <w:r w:rsidR="080B07F2">
        <w:t xml:space="preserve">představitelé této školy </w:t>
      </w:r>
      <w:r w:rsidR="08D21DDA">
        <w:t>z</w:t>
      </w:r>
      <w:r w:rsidR="088E44F2">
        <w:t xml:space="preserve">akladateli </w:t>
      </w:r>
      <w:r w:rsidR="08D21DDA">
        <w:t>Pařížské univerzity</w:t>
      </w:r>
      <w:r w:rsidR="088E44F2">
        <w:t xml:space="preserve"> uznané papežským právem v roce 1215</w:t>
      </w:r>
      <w:r w:rsidR="08D21DDA">
        <w:t xml:space="preserve">. </w:t>
      </w:r>
      <w:r w:rsidR="08EE36A1">
        <w:t xml:space="preserve">Rufus převzal Dinantovo </w:t>
      </w:r>
      <w:r w:rsidR="080F7C80">
        <w:t>simulákrum</w:t>
      </w:r>
      <w:r w:rsidR="00E00343">
        <w:t xml:space="preserve"> a </w:t>
      </w:r>
      <w:r w:rsidR="080F7C80">
        <w:t xml:space="preserve">převedl jej do </w:t>
      </w:r>
      <w:r w:rsidR="08BE4634">
        <w:t xml:space="preserve">modernistické nauky o </w:t>
      </w:r>
      <w:r w:rsidR="08EE36A1">
        <w:t>univer</w:t>
      </w:r>
      <w:r w:rsidR="080F7C80">
        <w:t>z</w:t>
      </w:r>
      <w:r w:rsidR="081379B0">
        <w:t>álním</w:t>
      </w:r>
      <w:r w:rsidR="00E00343">
        <w:t xml:space="preserve"> hylemorfismu. Nakonec </w:t>
      </w:r>
      <w:r w:rsidR="08EE36A1">
        <w:t>tento nesmys</w:t>
      </w:r>
      <w:r w:rsidR="080F7C80">
        <w:t xml:space="preserve">l připsal </w:t>
      </w:r>
      <w:r w:rsidR="00E00343">
        <w:t xml:space="preserve">samotnému </w:t>
      </w:r>
      <w:r w:rsidR="080F7C80">
        <w:t>Averro</w:t>
      </w:r>
      <w:r w:rsidR="08EE36A1">
        <w:t>e</w:t>
      </w:r>
      <w:r w:rsidR="080F7C80">
        <w:t>s</w:t>
      </w:r>
      <w:r w:rsidR="08EE36A1">
        <w:t>ovi</w:t>
      </w:r>
      <w:r w:rsidR="082850F4">
        <w:t xml:space="preserve"> (</w:t>
      </w:r>
      <w:r w:rsidR="082850F4">
        <w:rPr>
          <w:szCs w:val="24"/>
        </w:rPr>
        <w:t>OBJ II, Kap. 3.3</w:t>
      </w:r>
      <w:r w:rsidR="082850F4" w:rsidRPr="082850F4">
        <w:rPr>
          <w:szCs w:val="24"/>
        </w:rPr>
        <w:t>.3</w:t>
      </w:r>
      <w:r w:rsidR="082850F4">
        <w:rPr>
          <w:szCs w:val="24"/>
        </w:rPr>
        <w:t>)</w:t>
      </w:r>
      <w:r w:rsidR="08EE36A1">
        <w:t xml:space="preserve">. </w:t>
      </w:r>
      <w:r w:rsidR="08EC3DC0">
        <w:t xml:space="preserve">Objektivní verze </w:t>
      </w:r>
      <w:r w:rsidR="08EC3DC0" w:rsidRPr="00273106">
        <w:rPr>
          <w:i/>
        </w:rPr>
        <w:t>intellectus possibilis</w:t>
      </w:r>
      <w:r w:rsidR="08EC3DC0" w:rsidRPr="00273106">
        <w:t xml:space="preserve"> </w:t>
      </w:r>
      <w:r w:rsidR="08EC3DC0">
        <w:t xml:space="preserve">předložená v Rufusově díle </w:t>
      </w:r>
      <w:r w:rsidR="08EC3DC0" w:rsidRPr="009E62C4">
        <w:rPr>
          <w:i/>
        </w:rPr>
        <w:t>Contra Averroem</w:t>
      </w:r>
      <w:r w:rsidR="08EC3DC0">
        <w:t xml:space="preserve"> představuje </w:t>
      </w:r>
      <w:r w:rsidR="08EC3DC0" w:rsidRPr="00273106">
        <w:t>modern</w:t>
      </w:r>
      <w:r w:rsidR="00E00343">
        <w:t xml:space="preserve">í sofistiku, která reviduje </w:t>
      </w:r>
      <w:r w:rsidR="08EC3DC0">
        <w:t>Averroe</w:t>
      </w:r>
      <w:r w:rsidR="08EC3DC0" w:rsidRPr="00273106">
        <w:t xml:space="preserve">sův termín </w:t>
      </w:r>
      <w:r w:rsidR="00E00343">
        <w:t xml:space="preserve">tím, že jej zdvojuje do nové podoby. </w:t>
      </w:r>
      <w:r w:rsidR="085572A8">
        <w:t>První představitelé druhého averroismu převedli synkretistický systém neoplatonismu Toledské školy</w:t>
      </w:r>
      <w:r w:rsidR="085572A8">
        <w:fldChar w:fldCharType="begin"/>
      </w:r>
      <w:r w:rsidR="085572A8">
        <w:instrText xml:space="preserve"> XE "</w:instrText>
      </w:r>
      <w:r w:rsidR="085572A8" w:rsidRPr="006975E6">
        <w:instrText>Toledská škola</w:instrText>
      </w:r>
      <w:r w:rsidR="085572A8">
        <w:instrText xml:space="preserve">" </w:instrText>
      </w:r>
      <w:r w:rsidR="085572A8">
        <w:fldChar w:fldCharType="end"/>
      </w:r>
      <w:r w:rsidR="085572A8">
        <w:t xml:space="preserve"> do </w:t>
      </w:r>
      <w:r w:rsidR="009B7B6E">
        <w:t xml:space="preserve">první formy </w:t>
      </w:r>
      <w:r w:rsidR="085572A8">
        <w:t xml:space="preserve">analytické filosofie. Klíčovou roli přitom hrálo učení o univerzálním hylemorfismu. </w:t>
      </w:r>
      <w:r w:rsidR="082850F4">
        <w:t>Nový intelektuální idol moderny je vytvořen</w:t>
      </w:r>
      <w:r w:rsidR="082850F4" w:rsidRPr="00273106">
        <w:t xml:space="preserve"> pomocí spirituálně dané látky podle Avicebrona</w:t>
      </w:r>
      <w:r w:rsidR="082850F4">
        <w:t xml:space="preserve"> (OBJ II, kap. 3.2). </w:t>
      </w:r>
      <w:r w:rsidR="085572A8">
        <w:t xml:space="preserve">Oxfordští </w:t>
      </w:r>
      <w:r w:rsidR="00F56719">
        <w:t xml:space="preserve">modernisté spojili </w:t>
      </w:r>
      <w:r w:rsidR="085572A8">
        <w:t>pomocí této myto</w:t>
      </w:r>
      <w:r w:rsidR="00F56719">
        <w:t xml:space="preserve">logie </w:t>
      </w:r>
      <w:r w:rsidR="085572A8">
        <w:t xml:space="preserve">Avicennovu </w:t>
      </w:r>
      <w:r w:rsidR="00CC052F">
        <w:t>metafyzika</w:t>
      </w:r>
      <w:r w:rsidR="00F56719">
        <w:t xml:space="preserve"> </w:t>
      </w:r>
      <w:r w:rsidR="085572A8">
        <w:t xml:space="preserve">a Averroesovu </w:t>
      </w:r>
      <w:r w:rsidR="00F56719">
        <w:t>„</w:t>
      </w:r>
      <w:r w:rsidR="085572A8">
        <w:t>meta</w:t>
      </w:r>
      <w:r w:rsidR="00F56719">
        <w:t>-</w:t>
      </w:r>
      <w:r w:rsidR="085572A8">
        <w:t>fyziku</w:t>
      </w:r>
      <w:r w:rsidR="00F56719">
        <w:t>“</w:t>
      </w:r>
      <w:r w:rsidR="085572A8">
        <w:t xml:space="preserve">. </w:t>
      </w:r>
      <w:r w:rsidR="085572A8" w:rsidRPr="00273106">
        <w:t xml:space="preserve">Univoční určení materie a tělesa v </w:t>
      </w:r>
      <w:r w:rsidR="085572A8">
        <w:t xml:space="preserve">porretánském hypostázovaném </w:t>
      </w:r>
      <w:r w:rsidR="085572A8" w:rsidRPr="00273106">
        <w:t xml:space="preserve">modu </w:t>
      </w:r>
      <w:r w:rsidR="085572A8">
        <w:t>(</w:t>
      </w:r>
      <w:r w:rsidR="085572A8" w:rsidRPr="00273106">
        <w:rPr>
          <w:i/>
        </w:rPr>
        <w:t>quod est</w:t>
      </w:r>
      <w:r w:rsidR="085572A8" w:rsidRPr="00381C0F">
        <w:t xml:space="preserve">) </w:t>
      </w:r>
      <w:r w:rsidR="085572A8">
        <w:t>definovalo materii jako čistou esenci</w:t>
      </w:r>
      <w:r w:rsidR="085572A8" w:rsidRPr="00273106">
        <w:t xml:space="preserve"> a </w:t>
      </w:r>
      <w:r w:rsidR="00A773A8">
        <w:t>potenci. Takto dané individuum se predikuje</w:t>
      </w:r>
      <w:r w:rsidR="085572A8">
        <w:t xml:space="preserve"> v kategoriálním modu substance (Rufusovo </w:t>
      </w:r>
      <w:r w:rsidR="085572A8" w:rsidRPr="000C0C8D">
        <w:rPr>
          <w:i/>
        </w:rPr>
        <w:t>concretum</w:t>
      </w:r>
      <w:r w:rsidR="085572A8">
        <w:t>)</w:t>
      </w:r>
      <w:r w:rsidR="085572A8">
        <w:fldChar w:fldCharType="begin"/>
      </w:r>
      <w:r w:rsidR="085572A8">
        <w:instrText xml:space="preserve"> XE "</w:instrText>
      </w:r>
      <w:r w:rsidR="085572A8" w:rsidRPr="0097446C">
        <w:instrText>těleso:</w:instrText>
      </w:r>
      <w:r w:rsidR="085572A8" w:rsidRPr="000C0C8D">
        <w:rPr>
          <w:i/>
        </w:rPr>
        <w:instrText>concretum</w:instrText>
      </w:r>
      <w:r w:rsidR="085572A8">
        <w:instrText xml:space="preserve">" </w:instrText>
      </w:r>
      <w:r w:rsidR="085572A8">
        <w:fldChar w:fldCharType="end"/>
      </w:r>
      <w:r w:rsidR="085572A8" w:rsidRPr="00273106">
        <w:t xml:space="preserve">. </w:t>
      </w:r>
      <w:r w:rsidR="085572A8">
        <w:t xml:space="preserve">Tím vznikly dějiny „konkrétního jsoucna“ a nastala moderní epocha nihilistické věcnosti dané objektivně. </w:t>
      </w:r>
      <w:r w:rsidR="08163013">
        <w:t xml:space="preserve">Univerzální hylemorfismus </w:t>
      </w:r>
      <w:r w:rsidR="007F5037">
        <w:t>zdvojil realitu</w:t>
      </w:r>
      <w:r w:rsidR="08163013">
        <w:t xml:space="preserve">, </w:t>
      </w:r>
      <w:r w:rsidR="007F5037">
        <w:t>poznání a pravdu</w:t>
      </w:r>
      <w:r w:rsidR="00FB6EBB">
        <w:t xml:space="preserve"> v analytickém</w:t>
      </w:r>
      <w:r w:rsidR="00FB6EBB" w:rsidRPr="00273106">
        <w:t xml:space="preserve"> výklad</w:t>
      </w:r>
      <w:r w:rsidR="00FB6EBB">
        <w:t>u</w:t>
      </w:r>
      <w:r w:rsidR="00FB6EBB" w:rsidRPr="00273106">
        <w:t xml:space="preserve"> </w:t>
      </w:r>
      <w:r w:rsidR="00FB6EBB" w:rsidRPr="00A35B72">
        <w:rPr>
          <w:i/>
        </w:rPr>
        <w:t>Druhých analytik</w:t>
      </w:r>
      <w:r w:rsidR="007F5037">
        <w:t xml:space="preserve">. </w:t>
      </w:r>
      <w:r w:rsidR="08163013" w:rsidRPr="00273106">
        <w:t xml:space="preserve">Albert </w:t>
      </w:r>
      <w:r w:rsidR="007F5037">
        <w:t xml:space="preserve">to </w:t>
      </w:r>
      <w:r w:rsidR="08163013" w:rsidRPr="00273106">
        <w:t>prohlásil za směšné.</w:t>
      </w:r>
      <w:r w:rsidR="08163013">
        <w:t xml:space="preserve"> </w:t>
      </w:r>
      <w:r w:rsidR="08115B73">
        <w:t xml:space="preserve">Filosofie a věda </w:t>
      </w:r>
      <w:r w:rsidR="08115B73" w:rsidRPr="00273106">
        <w:t>dostal</w:t>
      </w:r>
      <w:r w:rsidR="08115B73">
        <w:t>a</w:t>
      </w:r>
      <w:r w:rsidR="08115B73" w:rsidRPr="00273106">
        <w:t xml:space="preserve"> </w:t>
      </w:r>
      <w:r w:rsidR="08115B73">
        <w:t xml:space="preserve">v letech 1245‒50 novou podobu </w:t>
      </w:r>
      <w:r w:rsidR="08115B73" w:rsidRPr="00273106">
        <w:t>skrze aktivitu</w:t>
      </w:r>
      <w:r w:rsidR="08115B73">
        <w:t xml:space="preserve"> myslitelů, kteří podle Bacona šílí proti pravdě</w:t>
      </w:r>
      <w:r w:rsidR="08115B73" w:rsidRPr="00273106">
        <w:t xml:space="preserve"> (</w:t>
      </w:r>
      <w:r w:rsidR="08115B73">
        <w:t xml:space="preserve">OBJ II, </w:t>
      </w:r>
      <w:r w:rsidR="08115B73" w:rsidRPr="00273106">
        <w:t>ka</w:t>
      </w:r>
      <w:r w:rsidR="08115B73">
        <w:t>p. 3.4.2</w:t>
      </w:r>
      <w:r w:rsidR="08115B73" w:rsidRPr="00273106">
        <w:t>).</w:t>
      </w:r>
      <w:r w:rsidR="08115B73">
        <w:t xml:space="preserve"> </w:t>
      </w:r>
      <w:r w:rsidR="08645ADA">
        <w:t>Od roku 1255 už začíná historická etapa sporu o averroismus</w:t>
      </w:r>
      <w:r w:rsidR="08645ADA" w:rsidRPr="08241BDD">
        <w:t xml:space="preserve"> </w:t>
      </w:r>
      <w:r w:rsidR="08645ADA">
        <w:t xml:space="preserve">produkovaného dějinnou </w:t>
      </w:r>
      <w:r w:rsidR="08645ADA" w:rsidRPr="00804508">
        <w:rPr>
          <w:i/>
        </w:rPr>
        <w:t>Irre</w:t>
      </w:r>
      <w:r w:rsidR="08645ADA">
        <w:rPr>
          <w:i/>
        </w:rPr>
        <w:fldChar w:fldCharType="begin"/>
      </w:r>
      <w:r w:rsidR="08645ADA">
        <w:instrText xml:space="preserve"> XE "</w:instrText>
      </w:r>
      <w:r w:rsidR="08645ADA" w:rsidRPr="00B21659">
        <w:rPr>
          <w:i/>
        </w:rPr>
        <w:instrText>Irre</w:instrText>
      </w:r>
      <w:r w:rsidR="08645ADA">
        <w:instrText xml:space="preserve">" </w:instrText>
      </w:r>
      <w:r w:rsidR="08645ADA">
        <w:rPr>
          <w:i/>
        </w:rPr>
        <w:fldChar w:fldCharType="end"/>
      </w:r>
      <w:r w:rsidR="08645ADA">
        <w:t xml:space="preserve"> moderny, kterou popisují následující matrice.</w:t>
      </w:r>
      <w:r w:rsidR="08A15494">
        <w:t xml:space="preserve"> </w:t>
      </w:r>
      <w:r w:rsidR="08163013">
        <w:rPr>
          <w:rStyle w:val="Zvraznn"/>
          <w:i w:val="0"/>
        </w:rPr>
        <w:t>P</w:t>
      </w:r>
      <w:r w:rsidR="08163013" w:rsidRPr="00273106">
        <w:t xml:space="preserve">o vítězství </w:t>
      </w:r>
      <w:r w:rsidR="08163013">
        <w:t xml:space="preserve">moderny v Paříži </w:t>
      </w:r>
      <w:r w:rsidR="08163013" w:rsidRPr="00273106">
        <w:t xml:space="preserve">se manifestuje </w:t>
      </w:r>
      <w:r w:rsidR="08163013">
        <w:t xml:space="preserve">vytěsněná první substance již </w:t>
      </w:r>
      <w:r w:rsidR="08163013" w:rsidRPr="00273106">
        <w:t>pouze</w:t>
      </w:r>
      <w:r w:rsidR="08163013">
        <w:t xml:space="preserve"> nepřímo, skrze skryté </w:t>
      </w:r>
      <w:r w:rsidR="08163013" w:rsidRPr="00273106">
        <w:t>působení dějin</w:t>
      </w:r>
      <w:r w:rsidR="08163013">
        <w:t xml:space="preserve">nosti v modu objektivního </w:t>
      </w:r>
      <w:r w:rsidR="08163013" w:rsidRPr="00804508">
        <w:rPr>
          <w:i/>
        </w:rPr>
        <w:t>Irrtum</w:t>
      </w:r>
      <w:r w:rsidR="08163013">
        <w:t xml:space="preserve">. </w:t>
      </w:r>
      <w:r w:rsidR="00430B1E">
        <w:t>Od roku</w:t>
      </w:r>
      <w:r w:rsidR="08632A7E">
        <w:t xml:space="preserve"> 1255 </w:t>
      </w:r>
      <w:r w:rsidR="08163013">
        <w:t xml:space="preserve">se metafyzika </w:t>
      </w:r>
      <w:r w:rsidR="08163013" w:rsidRPr="005B360B">
        <w:rPr>
          <w:i/>
        </w:rPr>
        <w:t>Modernorum</w:t>
      </w:r>
      <w:r w:rsidR="08163013">
        <w:t xml:space="preserve"> dostává na světlo </w:t>
      </w:r>
      <w:r w:rsidR="00430B1E">
        <w:t>pozitivní ontické historie díky sporům o tzv. „averroismus“. Duns Scotus dotvořil n</w:t>
      </w:r>
      <w:r w:rsidR="00A04795">
        <w:t xml:space="preserve">ovou metafyziku </w:t>
      </w:r>
      <w:r w:rsidR="00A04795" w:rsidRPr="00A04795">
        <w:rPr>
          <w:i/>
        </w:rPr>
        <w:t>Moderno</w:t>
      </w:r>
      <w:r w:rsidR="00430B1E" w:rsidRPr="00A04795">
        <w:rPr>
          <w:i/>
        </w:rPr>
        <w:t>rum</w:t>
      </w:r>
      <w:r w:rsidR="00430B1E">
        <w:t xml:space="preserve"> do plné objektivní podoby</w:t>
      </w:r>
      <w:r w:rsidR="00EB63CA">
        <w:t xml:space="preserve">. </w:t>
      </w:r>
      <w:r w:rsidR="08163013">
        <w:t xml:space="preserve">Pozitivní mediavelistika </w:t>
      </w:r>
      <w:r w:rsidR="081C257E">
        <w:t xml:space="preserve">definuje </w:t>
      </w:r>
      <w:r w:rsidR="08163013">
        <w:t xml:space="preserve">jeho </w:t>
      </w:r>
      <w:r w:rsidR="00400427">
        <w:t xml:space="preserve">nauku </w:t>
      </w:r>
      <w:r w:rsidR="08B828E3">
        <w:t xml:space="preserve">jako </w:t>
      </w:r>
      <w:r w:rsidR="00EB63CA">
        <w:t>tzv. „</w:t>
      </w:r>
      <w:r w:rsidR="08B828E3">
        <w:t>druhý začátek metafyziky</w:t>
      </w:r>
      <w:r w:rsidR="00EB63CA">
        <w:t>“</w:t>
      </w:r>
      <w:r w:rsidR="08B828E3">
        <w:t>.</w:t>
      </w:r>
    </w:p>
    <w:p w:rsidR="08163013" w:rsidRPr="00347238" w:rsidRDefault="08163013" w:rsidP="00347238">
      <w:pPr>
        <w:pStyle w:val="Nadpis1"/>
      </w:pPr>
      <w:r>
        <w:br w:type="page"/>
      </w:r>
      <w:bookmarkStart w:id="3" w:name="_Toc36144130"/>
      <w:bookmarkStart w:id="4" w:name="_Toc180231642"/>
      <w:r w:rsidRPr="00347238">
        <w:lastRenderedPageBreak/>
        <w:t>4. Objektivní ontoteologie moderny (Matrice IV)</w:t>
      </w:r>
      <w:bookmarkEnd w:id="3"/>
      <w:bookmarkEnd w:id="4"/>
    </w:p>
    <w:p w:rsidR="006013B3" w:rsidRDefault="084F64DF" w:rsidP="00D52C5E">
      <w:r>
        <w:t xml:space="preserve">Hermeneutika </w:t>
      </w:r>
      <w:r w:rsidR="008F2A48">
        <w:t xml:space="preserve">explikuje </w:t>
      </w:r>
      <w:r w:rsidR="08E079BD">
        <w:t xml:space="preserve">ve třetí </w:t>
      </w:r>
      <w:r>
        <w:t xml:space="preserve">části archeologie </w:t>
      </w:r>
      <w:r w:rsidR="008F2A48">
        <w:t>objektivity nihilistický způsob, který charakterizuje moderní donaci</w:t>
      </w:r>
      <w:r>
        <w:t xml:space="preserve"> smyslu jsoucna. Výklad plné odkrytosti objektivity </w:t>
      </w:r>
      <w:r w:rsidR="00C46FF8">
        <w:t>završuje hermeneutickou triádu</w:t>
      </w:r>
      <w:r>
        <w:t xml:space="preserve"> dějinnosti, dějin a historie. </w:t>
      </w:r>
      <w:r w:rsidR="00CF5D59">
        <w:t>M</w:t>
      </w:r>
      <w:r w:rsidR="081942A4">
        <w:t xml:space="preserve">etafyzický </w:t>
      </w:r>
      <w:r w:rsidR="08163013">
        <w:t xml:space="preserve">dativ indikuje </w:t>
      </w:r>
      <w:r w:rsidR="00DF611C">
        <w:t>donaci</w:t>
      </w:r>
      <w:r w:rsidR="08163013">
        <w:t xml:space="preserve"> </w:t>
      </w:r>
      <w:r w:rsidR="00DF611C">
        <w:t xml:space="preserve">bytí jako </w:t>
      </w:r>
      <w:r w:rsidR="08163013">
        <w:t>jsoucna</w:t>
      </w:r>
      <w:r w:rsidR="00DF611C">
        <w:t xml:space="preserve">, což znamená, že jde o </w:t>
      </w:r>
      <w:r w:rsidR="00CF5D59">
        <w:t xml:space="preserve">událost již </w:t>
      </w:r>
      <w:r w:rsidR="08163013">
        <w:t>plně skrytého bytí (</w:t>
      </w:r>
      <w:r w:rsidR="08163013" w:rsidRPr="08BC5D4F">
        <w:rPr>
          <w:i/>
        </w:rPr>
        <w:t>Ereignis</w:t>
      </w:r>
      <w:r w:rsidR="08163013">
        <w:t xml:space="preserve">). </w:t>
      </w:r>
      <w:r w:rsidR="008F2A48">
        <w:t xml:space="preserve">Metafyzicky určené </w:t>
      </w:r>
      <w:r w:rsidR="08D63FBC">
        <w:t xml:space="preserve">jsoucno si přivlastňuje </w:t>
      </w:r>
      <w:r w:rsidR="08163013">
        <w:t>původní</w:t>
      </w:r>
      <w:r w:rsidR="008F2A48">
        <w:t xml:space="preserve"> bytí určené </w:t>
      </w:r>
      <w:r w:rsidR="00B06874">
        <w:t xml:space="preserve">božskými Múzami </w:t>
      </w:r>
      <w:r w:rsidR="008F2A48">
        <w:t>(</w:t>
      </w:r>
      <w:r w:rsidR="008F2A48" w:rsidRPr="008F2A48">
        <w:rPr>
          <w:i/>
        </w:rPr>
        <w:t>dativus archegeticus</w:t>
      </w:r>
      <w:r w:rsidR="00B06874">
        <w:t xml:space="preserve">) nebo jako bytí </w:t>
      </w:r>
      <w:r w:rsidR="008F2A48">
        <w:t>v první filosofii (</w:t>
      </w:r>
      <w:r w:rsidR="008F2A48" w:rsidRPr="008F2A48">
        <w:rPr>
          <w:i/>
        </w:rPr>
        <w:t>dativus principalis</w:t>
      </w:r>
      <w:r w:rsidR="008F2A48">
        <w:t xml:space="preserve">) již zcela odcizeným způsobem. Platonova metafyzika </w:t>
      </w:r>
      <w:r w:rsidR="08D63FBC">
        <w:t xml:space="preserve">vytváří parousii ideového smyslu jako </w:t>
      </w:r>
      <w:r w:rsidR="08163013">
        <w:t>zde a nyní dané přítomnosti jsoucího (</w:t>
      </w:r>
      <w:r w:rsidR="08163013" w:rsidRPr="08BC5D4F">
        <w:t>οὐσία</w:t>
      </w:r>
      <w:r w:rsidR="08163013">
        <w:t>). Neoplatonikové a po nich latinští modernisté vytvořili ka</w:t>
      </w:r>
      <w:r w:rsidR="00853033">
        <w:t>uzálně působící substanci třetího druhu danou</w:t>
      </w:r>
      <w:r w:rsidR="08163013">
        <w:t xml:space="preserve"> jako atomární </w:t>
      </w:r>
      <w:r w:rsidR="00CE73C5">
        <w:t>„</w:t>
      </w:r>
      <w:proofErr w:type="gramStart"/>
      <w:r w:rsidR="00CE73C5">
        <w:t>substance</w:t>
      </w:r>
      <w:proofErr w:type="gramEnd"/>
      <w:r w:rsidR="00CE73C5">
        <w:t>–</w:t>
      </w:r>
      <w:proofErr w:type="gramStart"/>
      <w:r w:rsidR="00962190">
        <w:rPr>
          <w:i/>
        </w:rPr>
        <w:t>species</w:t>
      </w:r>
      <w:proofErr w:type="gramEnd"/>
      <w:r w:rsidR="00CE73C5">
        <w:t>“</w:t>
      </w:r>
      <w:r w:rsidR="08163013">
        <w:t xml:space="preserve"> (</w:t>
      </w:r>
      <w:r w:rsidR="083B2051">
        <w:t xml:space="preserve">OBJ II, </w:t>
      </w:r>
      <w:r w:rsidR="08163013">
        <w:t>kap. 1.3.1). Tuto parousii atomární substance danou v</w:t>
      </w:r>
      <w:r w:rsidR="00590E23">
        <w:t xml:space="preserve"> mysli pak </w:t>
      </w:r>
      <w:r w:rsidR="087D7AA0">
        <w:t xml:space="preserve">kontempluje </w:t>
      </w:r>
      <w:r w:rsidR="08163013">
        <w:t xml:space="preserve">moderní sofista a predikuje </w:t>
      </w:r>
      <w:r w:rsidR="087D7AA0">
        <w:t xml:space="preserve">ji </w:t>
      </w:r>
      <w:r w:rsidR="00CE73C5">
        <w:t>pomocí aristotelských kategorií</w:t>
      </w:r>
      <w:r w:rsidR="08163013">
        <w:t xml:space="preserve">. </w:t>
      </w:r>
      <w:r w:rsidR="00704D3C">
        <w:t xml:space="preserve">První substance se změnila na moderní </w:t>
      </w:r>
      <w:r w:rsidR="00704D3C" w:rsidRPr="00704D3C">
        <w:rPr>
          <w:i/>
        </w:rPr>
        <w:t>tertium ens</w:t>
      </w:r>
      <w:r w:rsidR="00704D3C">
        <w:t xml:space="preserve">. </w:t>
      </w:r>
      <w:r w:rsidR="08163013">
        <w:t xml:space="preserve">Poznání </w:t>
      </w:r>
      <w:r w:rsidR="00704D3C">
        <w:t xml:space="preserve">tohoto </w:t>
      </w:r>
      <w:r w:rsidR="08163013">
        <w:t>objektivně daného j</w:t>
      </w:r>
      <w:r w:rsidR="00704D3C">
        <w:t xml:space="preserve">soucna běží skrze akt iluminace, kdy je </w:t>
      </w:r>
      <w:r w:rsidR="00704D3C" w:rsidRPr="00704D3C">
        <w:rPr>
          <w:i/>
        </w:rPr>
        <w:t>tertium ens</w:t>
      </w:r>
      <w:r w:rsidR="00704D3C">
        <w:t xml:space="preserve"> osvětleno </w:t>
      </w:r>
      <w:r w:rsidR="00C47ED3">
        <w:t>skrze hypostázovaný intelekt</w:t>
      </w:r>
      <w:r w:rsidR="00704D3C">
        <w:t>.</w:t>
      </w:r>
      <w:r w:rsidR="08163013">
        <w:t xml:space="preserve"> Tento </w:t>
      </w:r>
      <w:r w:rsidR="00F86AB0">
        <w:t xml:space="preserve">mytologický </w:t>
      </w:r>
      <w:r w:rsidR="08163013">
        <w:t xml:space="preserve">postup ukazuje </w:t>
      </w:r>
      <w:r w:rsidR="006B4F3C">
        <w:t xml:space="preserve">zásadní </w:t>
      </w:r>
      <w:r w:rsidR="08163013">
        <w:t>perverzi původního cíle a z</w:t>
      </w:r>
      <w:r w:rsidR="008F2A48">
        <w:t>aměření Aristotelovy metafyziky</w:t>
      </w:r>
      <w:r w:rsidR="00272485">
        <w:t xml:space="preserve">. Tuto formu první filosofie bránila </w:t>
      </w:r>
      <w:r w:rsidR="008F2A48">
        <w:t>škola prvního averroismu „</w:t>
      </w:r>
      <w:r w:rsidR="08163013">
        <w:rPr>
          <w:i/>
        </w:rPr>
        <w:t>ad</w:t>
      </w:r>
      <w:r w:rsidR="08163013" w:rsidRPr="08341C6C">
        <w:rPr>
          <w:i/>
        </w:rPr>
        <w:t xml:space="preserve"> mentem Averrois</w:t>
      </w:r>
      <w:r w:rsidR="008F2A48">
        <w:t>“</w:t>
      </w:r>
      <w:r w:rsidR="08163013">
        <w:rPr>
          <w:i/>
        </w:rPr>
        <w:fldChar w:fldCharType="begin"/>
      </w:r>
      <w:r w:rsidR="08163013">
        <w:instrText xml:space="preserve"> XE "</w:instrText>
      </w:r>
      <w:r w:rsidR="08163013" w:rsidRPr="08462250">
        <w:rPr>
          <w:i/>
        </w:rPr>
        <w:instrText>ad mentem Averrois</w:instrText>
      </w:r>
      <w:r w:rsidR="08163013">
        <w:instrText xml:space="preserve">" </w:instrText>
      </w:r>
      <w:r w:rsidR="08163013">
        <w:rPr>
          <w:i/>
        </w:rPr>
        <w:fldChar w:fldCharType="end"/>
      </w:r>
      <w:r w:rsidR="08163013">
        <w:t xml:space="preserve">. </w:t>
      </w:r>
      <w:r w:rsidR="00BD0E9D">
        <w:t>M</w:t>
      </w:r>
      <w:r w:rsidR="08163013">
        <w:t xml:space="preserve">oderna </w:t>
      </w:r>
      <w:r w:rsidR="00DD3D74">
        <w:t>zrušila původní smysl Aris</w:t>
      </w:r>
      <w:r w:rsidR="08163013">
        <w:t>totelovy m</w:t>
      </w:r>
      <w:r w:rsidR="08163013" w:rsidRPr="08AD53E7">
        <w:t>etafyziky</w:t>
      </w:r>
      <w:r w:rsidR="08163013">
        <w:t xml:space="preserve"> </w:t>
      </w:r>
      <w:r w:rsidR="00DD3D74">
        <w:t xml:space="preserve">tím, že provedla </w:t>
      </w:r>
      <w:r w:rsidR="08163013">
        <w:t xml:space="preserve">zatmění první substance a </w:t>
      </w:r>
      <w:r w:rsidR="00DD3D74">
        <w:t xml:space="preserve">nechala </w:t>
      </w:r>
      <w:r w:rsidR="08163013">
        <w:t>zmize</w:t>
      </w:r>
      <w:r w:rsidR="00DD3D74">
        <w:t xml:space="preserve">t reálnou osobu jako první </w:t>
      </w:r>
      <w:r w:rsidR="08163013">
        <w:t>substan</w:t>
      </w:r>
      <w:r w:rsidR="001E2A9B">
        <w:t xml:space="preserve">ci. Hermeneutická archeologie </w:t>
      </w:r>
      <w:r w:rsidR="00DD3D74">
        <w:t>provádí jménem Aristotela a Komentátora metafyzickou obžalobu</w:t>
      </w:r>
      <w:r w:rsidR="08163013">
        <w:t xml:space="preserve"> (κατηγορία) moderny a postmoderny</w:t>
      </w:r>
      <w:r w:rsidR="00DD3D74">
        <w:t xml:space="preserve">. Tato kritika musí být provedena </w:t>
      </w:r>
      <w:r w:rsidR="08163013">
        <w:t xml:space="preserve">v modu </w:t>
      </w:r>
      <w:r w:rsidR="08377FA8">
        <w:t xml:space="preserve">aristotelské </w:t>
      </w:r>
      <w:r w:rsidR="08163013">
        <w:t>predikace</w:t>
      </w:r>
      <w:r w:rsidR="007D22F8">
        <w:t>. K</w:t>
      </w:r>
      <w:r w:rsidR="00DD3D74">
        <w:t xml:space="preserve">ategoriální </w:t>
      </w:r>
      <w:r w:rsidR="007D22F8">
        <w:t xml:space="preserve">výpovědi </w:t>
      </w:r>
      <w:r w:rsidR="00DD3D74">
        <w:t>sled</w:t>
      </w:r>
      <w:r w:rsidR="007D22F8">
        <w:t>ují</w:t>
      </w:r>
      <w:r w:rsidR="0052514C">
        <w:t xml:space="preserve"> </w:t>
      </w:r>
      <w:r w:rsidR="00DD3D74">
        <w:t>nasvícení jsoucna zepř</w:t>
      </w:r>
      <w:r w:rsidR="00317236">
        <w:t>edu, od reálných</w:t>
      </w:r>
      <w:r w:rsidR="00DD3D74">
        <w:t xml:space="preserve"> první</w:t>
      </w:r>
      <w:r w:rsidR="00317236">
        <w:t>ch substancí</w:t>
      </w:r>
      <w:r w:rsidR="00DD3D74">
        <w:t>.</w:t>
      </w:r>
      <w:r w:rsidR="005B499B">
        <w:t xml:space="preserve"> </w:t>
      </w:r>
      <w:r w:rsidR="00317236">
        <w:t>Skutečná moudrost</w:t>
      </w:r>
      <w:r w:rsidR="005B499B">
        <w:t xml:space="preserve"> sleduje </w:t>
      </w:r>
      <w:r w:rsidR="08163013">
        <w:t>cestu slunce jako Ody</w:t>
      </w:r>
      <w:r w:rsidR="005B499B">
        <w:t xml:space="preserve">sseus, Parmenides a Hérakleitos. Archaická hermeneutika proto </w:t>
      </w:r>
      <w:r w:rsidR="08163013">
        <w:t>nemůže sejít do chaosu podsvětí</w:t>
      </w:r>
      <w:r w:rsidR="08017ED4">
        <w:t xml:space="preserve">, kde Parmenidem </w:t>
      </w:r>
      <w:r w:rsidR="00F1650A">
        <w:t xml:space="preserve">zmínění </w:t>
      </w:r>
      <w:r w:rsidR="08017ED4">
        <w:t>dvojhlavci chodí bezcílně tam a zase zpět</w:t>
      </w:r>
      <w:r w:rsidR="08163013">
        <w:t xml:space="preserve">. </w:t>
      </w:r>
      <w:r w:rsidR="08872A4E">
        <w:t>S</w:t>
      </w:r>
      <w:r w:rsidR="08A944FD">
        <w:t>lunce prochází podzemním cyklem v říši moderních stínů myšlení</w:t>
      </w:r>
      <w:r w:rsidR="08333EE2">
        <w:t xml:space="preserve"> </w:t>
      </w:r>
      <w:r w:rsidR="08377FA8">
        <w:t xml:space="preserve">také </w:t>
      </w:r>
      <w:r w:rsidR="08333EE2">
        <w:t xml:space="preserve">jen jedním směrem. Proto </w:t>
      </w:r>
      <w:r w:rsidR="08A944FD">
        <w:t xml:space="preserve">i v epoše </w:t>
      </w:r>
      <w:r w:rsidR="08872A4E">
        <w:t xml:space="preserve">současné </w:t>
      </w:r>
      <w:r w:rsidR="08A10F1D">
        <w:t xml:space="preserve">iracionality </w:t>
      </w:r>
      <w:r w:rsidR="08A944FD">
        <w:t>se pohyb mú</w:t>
      </w:r>
      <w:r w:rsidR="08A10F1D">
        <w:t>z</w:t>
      </w:r>
      <w:r w:rsidR="08A944FD">
        <w:t>i</w:t>
      </w:r>
      <w:r w:rsidR="08A10F1D">
        <w:t>c</w:t>
      </w:r>
      <w:r w:rsidR="08A944FD">
        <w:t xml:space="preserve">kého </w:t>
      </w:r>
      <w:r w:rsidR="00EC6366">
        <w:t xml:space="preserve">porozumění </w:t>
      </w:r>
      <w:r w:rsidR="08A944FD">
        <w:t xml:space="preserve">děje pouze jedním směrem: od archegetického </w:t>
      </w:r>
      <w:r w:rsidR="00374217">
        <w:t xml:space="preserve">a principálního </w:t>
      </w:r>
      <w:r w:rsidR="08A944FD">
        <w:t xml:space="preserve">dativu k jeho </w:t>
      </w:r>
      <w:r w:rsidR="081942A4">
        <w:t xml:space="preserve">metafyzické </w:t>
      </w:r>
      <w:r w:rsidR="08A944FD">
        <w:t xml:space="preserve">verzi dané v klasické metafyzice a pak </w:t>
      </w:r>
      <w:r w:rsidR="08E664EF">
        <w:t xml:space="preserve">k </w:t>
      </w:r>
      <w:r w:rsidR="08A944FD">
        <w:t>jeho o</w:t>
      </w:r>
      <w:r w:rsidR="08A10F1D">
        <w:t>bjek</w:t>
      </w:r>
      <w:r w:rsidR="08A944FD">
        <w:t>tivní verzi dané v moderně.</w:t>
      </w:r>
      <w:r w:rsidR="08E664EF">
        <w:t xml:space="preserve"> </w:t>
      </w:r>
      <w:r w:rsidR="08B10872">
        <w:t>Archeologie objektivity se vrátila k původní sémantice Delf</w:t>
      </w:r>
      <w:r w:rsidR="005B499B">
        <w:t xml:space="preserve"> </w:t>
      </w:r>
      <w:r w:rsidR="08B10872">
        <w:t xml:space="preserve">a k Sokratovu </w:t>
      </w:r>
      <w:r w:rsidR="00095E62">
        <w:t xml:space="preserve">hledání božské </w:t>
      </w:r>
      <w:r w:rsidR="08B10872">
        <w:t xml:space="preserve">pravdy. </w:t>
      </w:r>
      <w:r w:rsidR="08E664EF">
        <w:t xml:space="preserve">Úvodní prolegomena jasně vysvětlila, proč je </w:t>
      </w:r>
      <w:r w:rsidR="08A944FD">
        <w:t>třeba metodicky zhasnout moderní a postmoderní temnotu myšlení</w:t>
      </w:r>
      <w:r w:rsidR="00561C82">
        <w:t>. Filosofické pohádky servírované Platonem pro osvícené akademiky nejsou dostatečně pravdivé.</w:t>
      </w:r>
      <w:r w:rsidR="00B04611">
        <w:t xml:space="preserve"> V</w:t>
      </w:r>
      <w:r w:rsidR="00B04611" w:rsidRPr="00ED5579">
        <w:t xml:space="preserve">ýše zmíněný základ objektivity </w:t>
      </w:r>
      <w:r w:rsidR="00B04611">
        <w:t xml:space="preserve">daný </w:t>
      </w:r>
      <w:r w:rsidR="00B04611" w:rsidRPr="00ED5579">
        <w:t xml:space="preserve">na latinském Západě je třeba interpretovat podle </w:t>
      </w:r>
      <w:r w:rsidR="00B04611" w:rsidRPr="00ED5579">
        <w:lastRenderedPageBreak/>
        <w:t>archegetick</w:t>
      </w:r>
      <w:r w:rsidR="00B04611">
        <w:t>ého dativu (</w:t>
      </w:r>
      <w:r w:rsidR="00B04611" w:rsidRPr="00984CAC">
        <w:rPr>
          <w:i/>
        </w:rPr>
        <w:t>dativus arche</w:t>
      </w:r>
      <w:r w:rsidR="00B04611">
        <w:rPr>
          <w:i/>
        </w:rPr>
        <w:t>ge</w:t>
      </w:r>
      <w:r w:rsidR="00B04611" w:rsidRPr="00984CAC">
        <w:rPr>
          <w:i/>
        </w:rPr>
        <w:t>ticus</w:t>
      </w:r>
      <w:r w:rsidR="00B04611">
        <w:rPr>
          <w:i/>
        </w:rPr>
        <w:fldChar w:fldCharType="begin"/>
      </w:r>
      <w:r w:rsidR="00B04611">
        <w:instrText xml:space="preserve"> XE "</w:instrText>
      </w:r>
      <w:r w:rsidR="00B04611" w:rsidRPr="008E3872">
        <w:rPr>
          <w:i/>
        </w:rPr>
        <w:instrText>dativus archegeticus</w:instrText>
      </w:r>
      <w:r w:rsidR="00B04611">
        <w:instrText xml:space="preserve">" </w:instrText>
      </w:r>
      <w:r w:rsidR="00B04611">
        <w:rPr>
          <w:i/>
        </w:rPr>
        <w:fldChar w:fldCharType="end"/>
      </w:r>
      <w:r w:rsidR="00B04611">
        <w:t>), tedy jako dějinné</w:t>
      </w:r>
      <w:r w:rsidR="00B04611" w:rsidRPr="00ED5579">
        <w:t xml:space="preserve"> působení objektivně neexistujících Furií. </w:t>
      </w:r>
      <w:r w:rsidR="00B04611">
        <w:t>Tyto démonické síly Chaosu dostaly akademické vzdělání a plně subjektivní charakter založený na paranoické formě iluminace. Subjektivně-démonické síly intelektuálního Chaosu se plně usídlily na Oxfordu v letech 1230</w:t>
      </w:r>
      <w:r w:rsidR="00B04611">
        <w:rPr>
          <w:rFonts w:cs="Calibri"/>
        </w:rPr>
        <w:t>─</w:t>
      </w:r>
      <w:r w:rsidR="00B04611">
        <w:t>35, společně s objektivně neexistujícím Eliášovým krkavcem</w:t>
      </w:r>
      <w:r w:rsidR="00B04611">
        <w:fldChar w:fldCharType="begin"/>
      </w:r>
      <w:r w:rsidR="00B04611">
        <w:instrText xml:space="preserve"> XE "</w:instrText>
      </w:r>
      <w:r w:rsidR="00B04611" w:rsidRPr="08E97A43">
        <w:instrText>Eliáš</w:instrText>
      </w:r>
      <w:r w:rsidR="00B04611">
        <w:instrText>ův</w:instrText>
      </w:r>
      <w:r w:rsidR="00B04611" w:rsidRPr="08E97A43">
        <w:instrText xml:space="preserve"> krkav</w:instrText>
      </w:r>
      <w:r w:rsidR="00B04611">
        <w:instrText xml:space="preserve">ec" </w:instrText>
      </w:r>
      <w:r w:rsidR="00B04611">
        <w:fldChar w:fldCharType="end"/>
      </w:r>
      <w:r w:rsidR="00B04611">
        <w:t xml:space="preserve"> (OBJ II, kap. 3.3.3). Zatmění první substance umožnilo plnou odhalenost (</w:t>
      </w:r>
      <w:r w:rsidR="00B04611" w:rsidRPr="00722B91">
        <w:rPr>
          <w:i/>
        </w:rPr>
        <w:t>alétheia</w:t>
      </w:r>
      <w:r w:rsidR="00B04611">
        <w:t xml:space="preserve">) objektivního jsoucna danou založením moderní vědy </w:t>
      </w:r>
      <w:r w:rsidR="00B04611" w:rsidRPr="00273106">
        <w:t xml:space="preserve">skrze Kilwardbyho </w:t>
      </w:r>
      <w:r w:rsidR="00B04611">
        <w:t xml:space="preserve">dílo </w:t>
      </w:r>
      <w:r w:rsidR="00B04611" w:rsidRPr="00273106">
        <w:rPr>
          <w:i/>
        </w:rPr>
        <w:t>De ortu scientiarum</w:t>
      </w:r>
      <w:r w:rsidR="00B04611">
        <w:t xml:space="preserve"> (OBJ II, kap. 3.4.2). Svět se pozoruje v subjektivně daném zrcadle (</w:t>
      </w:r>
      <w:r w:rsidR="00B04611" w:rsidRPr="00D80882">
        <w:rPr>
          <w:i/>
        </w:rPr>
        <w:t>speculum</w:t>
      </w:r>
      <w:r w:rsidR="00B04611">
        <w:t>), které je vytvořeno pomocí logické abstrakce a matematické analogie</w:t>
      </w:r>
      <w:r w:rsidR="00B04611" w:rsidRPr="00273106">
        <w:t>.</w:t>
      </w:r>
      <w:r w:rsidR="00B04611">
        <w:t xml:space="preserve"> Spekulativní moderna </w:t>
      </w:r>
      <w:r w:rsidR="00B04611" w:rsidRPr="00273106">
        <w:t>asimilovala</w:t>
      </w:r>
      <w:r w:rsidR="00B04611">
        <w:t xml:space="preserve"> svět ke svému paranoickému obrazu a tím vytvořila teorii jedné pravdy dané v modu </w:t>
      </w:r>
      <w:r w:rsidR="00B04611" w:rsidRPr="00D80882">
        <w:rPr>
          <w:i/>
        </w:rPr>
        <w:t>absolute</w:t>
      </w:r>
      <w:r w:rsidR="00B04611">
        <w:t xml:space="preserve">. Vznik moderní vědy v modu dějinně ustavené objektivity v modu epochálního </w:t>
      </w:r>
      <w:r w:rsidR="00B04611" w:rsidRPr="08907B1D">
        <w:rPr>
          <w:i/>
        </w:rPr>
        <w:t>Irrtum</w:t>
      </w:r>
      <w:r w:rsidR="00B04611">
        <w:t xml:space="preserve"> lze datovat kolem roku 1250 na Oxfordu. Mytologická forma moderní vědy vznikla nekritickým užitím predikace „</w:t>
      </w:r>
      <w:r w:rsidR="00B04611" w:rsidRPr="00B23D44">
        <w:rPr>
          <w:i/>
        </w:rPr>
        <w:t>in artificialibus</w:t>
      </w:r>
      <w:r w:rsidR="00B04611">
        <w:t xml:space="preserve">“, která generovala řadu sofismat v modu </w:t>
      </w:r>
      <w:r w:rsidR="00B04611" w:rsidRPr="08463EFB">
        <w:rPr>
          <w:i/>
        </w:rPr>
        <w:t>Oxfordian Fallacy</w:t>
      </w:r>
      <w:r w:rsidR="0060014A">
        <w:t xml:space="preserve">. Pojetí jedné pravdy jako </w:t>
      </w:r>
      <w:r w:rsidR="00B04611" w:rsidRPr="08C648D5">
        <w:rPr>
          <w:i/>
        </w:rPr>
        <w:t>veritas</w:t>
      </w:r>
      <w:r w:rsidR="00B04611">
        <w:t xml:space="preserve"> sjednotilo metafyziku a teologii do nového projektu objektivně pojaté ontoteologie. Moderní smysl substance vznikl jako vědomá </w:t>
      </w:r>
      <w:r w:rsidR="00B04611" w:rsidRPr="08C53DAA">
        <w:rPr>
          <w:i/>
        </w:rPr>
        <w:t>epoché</w:t>
      </w:r>
      <w:r w:rsidR="00B04611">
        <w:t xml:space="preserve"> aristotelské první substanc</w:t>
      </w:r>
      <w:r w:rsidR="00A77AE5">
        <w:t>e v deontologickém imperativu m</w:t>
      </w:r>
      <w:r w:rsidR="00B04611">
        <w:t>odern</w:t>
      </w:r>
      <w:r w:rsidR="00A77AE5">
        <w:t>y</w:t>
      </w:r>
      <w:r w:rsidR="00B04611">
        <w:t>. Myto</w:t>
      </w:r>
      <w:r w:rsidR="00AA3FC3">
        <w:t xml:space="preserve">logické </w:t>
      </w:r>
      <w:r w:rsidR="00B04611">
        <w:t>myšlení vytěsnilo realitu a poslalo smysl první substance do skryté dějinnosti bytí (</w:t>
      </w:r>
      <w:r w:rsidR="00594E30" w:rsidRPr="00594E30">
        <w:t>Léthé</w:t>
      </w:r>
      <w:r w:rsidR="00B04611">
        <w:t xml:space="preserve">, </w:t>
      </w:r>
      <w:r w:rsidR="00B04611" w:rsidRPr="08C96CC0">
        <w:rPr>
          <w:i/>
          <w:szCs w:val="24"/>
        </w:rPr>
        <w:t>Seinsvergessenheit</w:t>
      </w:r>
      <w:r w:rsidR="00B04611">
        <w:rPr>
          <w:i/>
          <w:szCs w:val="24"/>
          <w:lang w:val="de-LU"/>
        </w:rPr>
        <w:fldChar w:fldCharType="begin"/>
      </w:r>
      <w:r w:rsidR="00B04611">
        <w:instrText xml:space="preserve"> XE "</w:instrText>
      </w:r>
      <w:r w:rsidR="00B04611" w:rsidRPr="08C96CC0">
        <w:rPr>
          <w:i/>
          <w:szCs w:val="24"/>
        </w:rPr>
        <w:instrText>Seinsvergessenheit</w:instrText>
      </w:r>
      <w:r w:rsidR="00B04611">
        <w:instrText xml:space="preserve">" </w:instrText>
      </w:r>
      <w:r w:rsidR="00B04611">
        <w:rPr>
          <w:i/>
          <w:szCs w:val="24"/>
          <w:lang w:val="de-LU"/>
        </w:rPr>
        <w:fldChar w:fldCharType="end"/>
      </w:r>
      <w:r w:rsidR="00B04611">
        <w:rPr>
          <w:szCs w:val="24"/>
        </w:rPr>
        <w:t>)</w:t>
      </w:r>
      <w:r w:rsidR="00B04611">
        <w:t>. Objektivita vznikla zatměním první substance v epochální události (</w:t>
      </w:r>
      <w:r w:rsidR="00B04611" w:rsidRPr="08865DDD">
        <w:rPr>
          <w:i/>
        </w:rPr>
        <w:t>Ereignis</w:t>
      </w:r>
      <w:r w:rsidR="00B04611">
        <w:rPr>
          <w:i/>
        </w:rPr>
        <w:fldChar w:fldCharType="begin"/>
      </w:r>
      <w:r w:rsidR="00B04611">
        <w:instrText xml:space="preserve"> XE "</w:instrText>
      </w:r>
      <w:r w:rsidR="00B04611" w:rsidRPr="08FB07FE">
        <w:rPr>
          <w:i/>
        </w:rPr>
        <w:instrText>Ereignis</w:instrText>
      </w:r>
      <w:r w:rsidR="00B04611">
        <w:instrText xml:space="preserve">" </w:instrText>
      </w:r>
      <w:r w:rsidR="00B04611">
        <w:rPr>
          <w:i/>
        </w:rPr>
        <w:fldChar w:fldCharType="end"/>
      </w:r>
      <w:r w:rsidR="00B04611">
        <w:t>) metafyzického založení (</w:t>
      </w:r>
      <w:r w:rsidR="00B04611" w:rsidRPr="00F23B77">
        <w:rPr>
          <w:i/>
        </w:rPr>
        <w:t>Gründung</w:t>
      </w:r>
      <w:r w:rsidR="00B04611">
        <w:rPr>
          <w:i/>
        </w:rPr>
        <w:fldChar w:fldCharType="begin"/>
      </w:r>
      <w:r w:rsidR="00B04611">
        <w:instrText xml:space="preserve"> XE "</w:instrText>
      </w:r>
      <w:r w:rsidR="00B04611" w:rsidRPr="08AB72DF">
        <w:rPr>
          <w:i/>
        </w:rPr>
        <w:instrText>Gründung</w:instrText>
      </w:r>
      <w:r w:rsidR="00B04611">
        <w:instrText xml:space="preserve">" </w:instrText>
      </w:r>
      <w:r w:rsidR="00B04611">
        <w:rPr>
          <w:i/>
        </w:rPr>
        <w:fldChar w:fldCharType="end"/>
      </w:r>
      <w:r w:rsidR="00B04611">
        <w:t>) moderny. Heideggerovy termíny naznačují, že jde o událost samotného bytí, které se dvojnásobně vzdálilo od svého původního smyslu a pravdy. Vznik platonismu způsobil první ústup archaicky viděného bytí do skrytosti (</w:t>
      </w:r>
      <w:r w:rsidR="00B04611" w:rsidRPr="08156D9D">
        <w:rPr>
          <w:i/>
        </w:rPr>
        <w:t>Seinsverlassenheit</w:t>
      </w:r>
      <w:r w:rsidR="00B04611">
        <w:rPr>
          <w:i/>
        </w:rPr>
        <w:fldChar w:fldCharType="begin"/>
      </w:r>
      <w:r w:rsidR="00B04611">
        <w:instrText xml:space="preserve"> XE "</w:instrText>
      </w:r>
      <w:r w:rsidR="00B04611" w:rsidRPr="08B3103B">
        <w:rPr>
          <w:i/>
        </w:rPr>
        <w:instrText>Seinsverlassenheit</w:instrText>
      </w:r>
      <w:r w:rsidR="00B04611">
        <w:instrText xml:space="preserve">" </w:instrText>
      </w:r>
      <w:r w:rsidR="00B04611">
        <w:rPr>
          <w:i/>
        </w:rPr>
        <w:fldChar w:fldCharType="end"/>
      </w:r>
      <w:r w:rsidR="00B04611">
        <w:t>)</w:t>
      </w:r>
      <w:r w:rsidR="004A75B2">
        <w:t>. Tento dějinný počátek (</w:t>
      </w:r>
      <w:r w:rsidR="004A75B2" w:rsidRPr="0017704A">
        <w:rPr>
          <w:i/>
        </w:rPr>
        <w:t>Anfang</w:t>
      </w:r>
      <w:r w:rsidR="004A75B2">
        <w:t>) plně realizuje své skryté historické možnosti (</w:t>
      </w:r>
      <w:r w:rsidR="004A75B2" w:rsidRPr="0017704A">
        <w:rPr>
          <w:i/>
        </w:rPr>
        <w:t>Beginn</w:t>
      </w:r>
      <w:r w:rsidR="004A75B2">
        <w:rPr>
          <w:i/>
        </w:rPr>
        <w:fldChar w:fldCharType="begin"/>
      </w:r>
      <w:r w:rsidR="004A75B2">
        <w:instrText xml:space="preserve"> XE "objektivita:</w:instrText>
      </w:r>
      <w:r w:rsidR="004A75B2" w:rsidRPr="008E6400">
        <w:rPr>
          <w:i/>
        </w:rPr>
        <w:instrText>Anfang</w:instrText>
      </w:r>
      <w:r w:rsidR="004A75B2">
        <w:instrText>/</w:instrText>
      </w:r>
      <w:r w:rsidR="004A75B2" w:rsidRPr="008E6400">
        <w:rPr>
          <w:i/>
        </w:rPr>
        <w:instrText>Beginn</w:instrText>
      </w:r>
      <w:r w:rsidR="004A75B2">
        <w:instrText xml:space="preserve">" </w:instrText>
      </w:r>
      <w:r w:rsidR="004A75B2">
        <w:rPr>
          <w:i/>
        </w:rPr>
        <w:fldChar w:fldCharType="end"/>
      </w:r>
      <w:r w:rsidR="004A75B2">
        <w:t>) v průběhu dalších gigantomachií o substanci. V</w:t>
      </w:r>
      <w:r w:rsidR="00B04611">
        <w:t>znik objektivní metafyziky otázku po bytí definitivně uzavřel jako nesmyslnou (</w:t>
      </w:r>
      <w:r w:rsidR="00B04611" w:rsidRPr="08156D9D">
        <w:rPr>
          <w:i/>
        </w:rPr>
        <w:t>Seinsvergessenheit</w:t>
      </w:r>
      <w:r w:rsidR="00B04611">
        <w:rPr>
          <w:i/>
        </w:rPr>
        <w:fldChar w:fldCharType="begin"/>
      </w:r>
      <w:r w:rsidR="00B04611">
        <w:instrText xml:space="preserve"> XE "</w:instrText>
      </w:r>
      <w:r w:rsidR="00B04611" w:rsidRPr="08E11CF3">
        <w:rPr>
          <w:i/>
        </w:rPr>
        <w:instrText>Seinsvergessenheit</w:instrText>
      </w:r>
      <w:r w:rsidR="00B04611">
        <w:instrText xml:space="preserve">" </w:instrText>
      </w:r>
      <w:r w:rsidR="00B04611">
        <w:rPr>
          <w:i/>
        </w:rPr>
        <w:fldChar w:fldCharType="end"/>
      </w:r>
      <w:r w:rsidR="00B04611">
        <w:t>).</w:t>
      </w:r>
      <w:r w:rsidR="004A75B2">
        <w:t xml:space="preserve"> </w:t>
      </w:r>
      <w:r w:rsidR="00B04611">
        <w:t>Dějinný způsob bytí jsoucna přešel do objektivní manifestace jsoucna třetího druhu (</w:t>
      </w:r>
      <w:r w:rsidR="00B04611" w:rsidRPr="000616D4">
        <w:rPr>
          <w:i/>
        </w:rPr>
        <w:t>scibile</w:t>
      </w:r>
      <w:r w:rsidR="00B04611">
        <w:t xml:space="preserve">, </w:t>
      </w:r>
      <w:r w:rsidR="00B04611" w:rsidRPr="000616D4">
        <w:rPr>
          <w:i/>
        </w:rPr>
        <w:t>positum</w:t>
      </w:r>
      <w:r w:rsidR="00B04611">
        <w:t xml:space="preserve">). Vědění latinských sofistů představuje technicky danou šikovnost v modu </w:t>
      </w:r>
      <w:r w:rsidR="00B04611" w:rsidRPr="08943686">
        <w:rPr>
          <w:i/>
        </w:rPr>
        <w:t>Ge-Stell</w:t>
      </w:r>
      <w:r w:rsidR="00B04611">
        <w:rPr>
          <w:i/>
        </w:rPr>
        <w:fldChar w:fldCharType="begin"/>
      </w:r>
      <w:r w:rsidR="00B04611">
        <w:instrText xml:space="preserve"> XE "</w:instrText>
      </w:r>
      <w:r w:rsidR="00B04611" w:rsidRPr="08DF6361">
        <w:rPr>
          <w:i/>
        </w:rPr>
        <w:instrText>Ge-Stell</w:instrText>
      </w:r>
      <w:r w:rsidR="00B04611">
        <w:instrText xml:space="preserve">" </w:instrText>
      </w:r>
      <w:r w:rsidR="00B04611">
        <w:rPr>
          <w:i/>
        </w:rPr>
        <w:fldChar w:fldCharType="end"/>
      </w:r>
      <w:r w:rsidR="00B04611">
        <w:t xml:space="preserve"> (OBJ I, kap. 1.2), proto se objektivní vědění prosazuje hlavně mocensky a dogmaticky. </w:t>
      </w:r>
    </w:p>
    <w:p w:rsidR="00E7111C" w:rsidRPr="00561C82" w:rsidRDefault="0814096C" w:rsidP="006013B3">
      <w:pPr>
        <w:ind w:firstLine="360"/>
      </w:pPr>
      <w:r>
        <w:t>Oba p</w:t>
      </w:r>
      <w:r w:rsidR="08163013">
        <w:t xml:space="preserve">ředchozí </w:t>
      </w:r>
      <w:r>
        <w:t xml:space="preserve">díly </w:t>
      </w:r>
      <w:r w:rsidR="08163013">
        <w:t>ukázal</w:t>
      </w:r>
      <w:r>
        <w:t>y</w:t>
      </w:r>
      <w:r w:rsidR="08163013">
        <w:t xml:space="preserve"> základní </w:t>
      </w:r>
      <w:r w:rsidR="00EA5419" w:rsidRPr="00EA5419">
        <w:rPr>
          <w:i/>
        </w:rPr>
        <w:t>modus operandi</w:t>
      </w:r>
      <w:r w:rsidR="00EA5419">
        <w:t xml:space="preserve">, který použily </w:t>
      </w:r>
      <w:r w:rsidR="08163013">
        <w:t xml:space="preserve">akademicky a analyticky </w:t>
      </w:r>
      <w:proofErr w:type="gramStart"/>
      <w:r w:rsidR="08163013">
        <w:t>vzdělané  Fúrie</w:t>
      </w:r>
      <w:proofErr w:type="gramEnd"/>
      <w:r w:rsidR="08163013">
        <w:fldChar w:fldCharType="begin"/>
      </w:r>
      <w:r w:rsidR="08163013">
        <w:instrText xml:space="preserve"> XE "Eríny</w:instrText>
      </w:r>
      <w:r w:rsidR="08163013" w:rsidRPr="087A5013">
        <w:instrText>je</w:instrText>
      </w:r>
      <w:r w:rsidR="08163013">
        <w:instrText xml:space="preserve">" </w:instrText>
      </w:r>
      <w:r w:rsidR="08163013">
        <w:fldChar w:fldCharType="end"/>
      </w:r>
      <w:r w:rsidR="00EA5419">
        <w:t xml:space="preserve">, aby </w:t>
      </w:r>
      <w:r>
        <w:t xml:space="preserve">zincenovaly </w:t>
      </w:r>
      <w:r w:rsidR="085A174C">
        <w:t xml:space="preserve">tragikomedii moderní metafyziky a </w:t>
      </w:r>
      <w:r w:rsidR="085A174C">
        <w:lastRenderedPageBreak/>
        <w:t>objektivity. Vinou chybného výkladu Aristotela a Komentátora došlo k</w:t>
      </w:r>
      <w:r w:rsidR="08163013">
        <w:t xml:space="preserve"> zatmění první substance</w:t>
      </w:r>
      <w:r w:rsidR="00D26CE9">
        <w:t xml:space="preserve">, což je forma moderní </w:t>
      </w:r>
      <w:r w:rsidR="00D26CE9" w:rsidRPr="08C24B02">
        <w:rPr>
          <w:i/>
        </w:rPr>
        <w:t>epoché</w:t>
      </w:r>
      <w:r w:rsidR="00D26CE9">
        <w:t xml:space="preserve">. </w:t>
      </w:r>
      <w:r w:rsidR="084F7885">
        <w:t xml:space="preserve">Dialog </w:t>
      </w:r>
      <w:r w:rsidR="084F7885" w:rsidRPr="084F7885">
        <w:rPr>
          <w:i/>
        </w:rPr>
        <w:t>Sofistes</w:t>
      </w:r>
      <w:r w:rsidR="009F363F">
        <w:t xml:space="preserve"> ukazuje důsledky zdvojení reality </w:t>
      </w:r>
      <w:r w:rsidR="08C24B02">
        <w:t xml:space="preserve">v modu </w:t>
      </w:r>
      <w:r w:rsidR="084F7885" w:rsidRPr="084F7885">
        <w:rPr>
          <w:i/>
        </w:rPr>
        <w:t>eídolon</w:t>
      </w:r>
      <w:r w:rsidR="08C24B02">
        <w:t xml:space="preserve">. </w:t>
      </w:r>
      <w:r w:rsidR="009F363F">
        <w:t>I</w:t>
      </w:r>
      <w:r w:rsidR="08C24B02">
        <w:t xml:space="preserve">dolatrie objektivity založila </w:t>
      </w:r>
      <w:r w:rsidR="009F363F">
        <w:t xml:space="preserve">novou </w:t>
      </w:r>
      <w:r w:rsidR="08C24B02">
        <w:t xml:space="preserve">epochu </w:t>
      </w:r>
      <w:r w:rsidR="00337C02">
        <w:t>západ</w:t>
      </w:r>
      <w:r w:rsidR="00D142E9">
        <w:t>ní</w:t>
      </w:r>
      <w:r w:rsidR="00337C02">
        <w:t xml:space="preserve"> ci</w:t>
      </w:r>
      <w:r w:rsidR="00D142E9">
        <w:t>vi</w:t>
      </w:r>
      <w:r w:rsidR="00337C02">
        <w:t xml:space="preserve">lizace vinou fatálního </w:t>
      </w:r>
      <w:r w:rsidR="084F7885">
        <w:t>nepoc</w:t>
      </w:r>
      <w:r w:rsidR="0080747B">
        <w:t>hopení archaické a aristotelské filosofie</w:t>
      </w:r>
      <w:r w:rsidR="009F363F">
        <w:t>.</w:t>
      </w:r>
      <w:r w:rsidR="009F363F" w:rsidRPr="009F363F">
        <w:t xml:space="preserve"> </w:t>
      </w:r>
      <w:r w:rsidR="009F363F">
        <w:t>Moderní zatmění rozumu vz</w:t>
      </w:r>
      <w:r w:rsidR="009D09C7">
        <w:t xml:space="preserve">niklo tím, že byl zrušen postup </w:t>
      </w:r>
      <w:r w:rsidR="009F363F">
        <w:t xml:space="preserve">deduktivního vědeckého důkazu </w:t>
      </w:r>
      <w:r w:rsidR="009F363F">
        <w:rPr>
          <w:szCs w:val="24"/>
          <w:lang w:val="de-DE"/>
        </w:rPr>
        <w:t>(</w:t>
      </w:r>
      <w:r w:rsidR="009F363F">
        <w:rPr>
          <w:i/>
          <w:szCs w:val="24"/>
          <w:lang w:val="de-DE"/>
        </w:rPr>
        <w:t>demonstratio</w:t>
      </w:r>
      <w:r w:rsidR="009F363F">
        <w:rPr>
          <w:szCs w:val="24"/>
          <w:lang w:val="de-DE"/>
        </w:rPr>
        <w:t xml:space="preserve">) </w:t>
      </w:r>
      <w:r w:rsidR="009F363F">
        <w:t xml:space="preserve">podaný ve </w:t>
      </w:r>
      <w:r w:rsidR="009F363F" w:rsidRPr="08A8566E">
        <w:rPr>
          <w:i/>
        </w:rPr>
        <w:t>Druhých analytikách</w:t>
      </w:r>
      <w:r w:rsidR="009F363F">
        <w:rPr>
          <w:szCs w:val="24"/>
          <w:lang w:val="de-DE"/>
        </w:rPr>
        <w:t>.</w:t>
      </w:r>
      <w:r w:rsidR="00E7111C">
        <w:rPr>
          <w:szCs w:val="24"/>
          <w:lang w:val="de-DE"/>
        </w:rPr>
        <w:t xml:space="preserve"> </w:t>
      </w:r>
      <w:r w:rsidR="00E7111C" w:rsidRPr="000C3EC7">
        <w:rPr>
          <w:rStyle w:val="st"/>
        </w:rPr>
        <w:t>Objektivita ustavená v</w:t>
      </w:r>
      <w:r w:rsidR="00B057E4">
        <w:rPr>
          <w:rStyle w:val="st"/>
        </w:rPr>
        <w:t xml:space="preserve"> logickém </w:t>
      </w:r>
      <w:r w:rsidR="00E7111C" w:rsidRPr="000C3EC7">
        <w:rPr>
          <w:rStyle w:val="st"/>
        </w:rPr>
        <w:t>modu vyloučeného třetího je výhradně</w:t>
      </w:r>
      <w:r w:rsidR="00E7111C">
        <w:rPr>
          <w:rStyle w:val="st"/>
        </w:rPr>
        <w:t xml:space="preserve"> pravdou jako moderní </w:t>
      </w:r>
      <w:r w:rsidR="00E7111C" w:rsidRPr="000C3EC7">
        <w:rPr>
          <w:rStyle w:val="st"/>
          <w:i/>
        </w:rPr>
        <w:t>veritas</w:t>
      </w:r>
      <w:r w:rsidR="00E7111C">
        <w:rPr>
          <w:rStyle w:val="st"/>
        </w:rPr>
        <w:t xml:space="preserve">. </w:t>
      </w:r>
      <w:r w:rsidR="0011501D">
        <w:rPr>
          <w:rStyle w:val="st"/>
        </w:rPr>
        <w:t>V</w:t>
      </w:r>
      <w:r w:rsidR="00E7111C">
        <w:rPr>
          <w:rStyle w:val="st"/>
        </w:rPr>
        <w:t>yloučením archaické podoby pravdy zůst</w:t>
      </w:r>
      <w:r w:rsidR="0011501D">
        <w:rPr>
          <w:rStyle w:val="st"/>
        </w:rPr>
        <w:t xml:space="preserve">ala </w:t>
      </w:r>
      <w:r w:rsidR="00E7111C">
        <w:rPr>
          <w:rStyle w:val="st"/>
        </w:rPr>
        <w:t>z</w:t>
      </w:r>
      <w:r w:rsidR="00E7111C" w:rsidRPr="0064271B">
        <w:rPr>
          <w:rStyle w:val="st"/>
        </w:rPr>
        <w:t>cela skryta božská komedie</w:t>
      </w:r>
      <w:r w:rsidR="00E7111C">
        <w:rPr>
          <w:rStyle w:val="st"/>
        </w:rPr>
        <w:fldChar w:fldCharType="begin"/>
      </w:r>
      <w:r w:rsidR="00E7111C">
        <w:instrText xml:space="preserve"> XE "</w:instrText>
      </w:r>
      <w:r w:rsidR="00E7111C" w:rsidRPr="086E62DC">
        <w:rPr>
          <w:rStyle w:val="st"/>
        </w:rPr>
        <w:instrText>božská komedie</w:instrText>
      </w:r>
      <w:r w:rsidR="00E7111C">
        <w:instrText xml:space="preserve">" </w:instrText>
      </w:r>
      <w:r w:rsidR="00E7111C">
        <w:rPr>
          <w:rStyle w:val="st"/>
        </w:rPr>
        <w:fldChar w:fldCharType="end"/>
      </w:r>
      <w:r w:rsidR="00E7111C" w:rsidRPr="0064271B">
        <w:rPr>
          <w:rStyle w:val="st"/>
        </w:rPr>
        <w:t xml:space="preserve"> </w:t>
      </w:r>
      <w:r w:rsidR="00E7111C">
        <w:rPr>
          <w:rStyle w:val="st"/>
        </w:rPr>
        <w:t xml:space="preserve">Múz </w:t>
      </w:r>
      <w:r w:rsidR="0011501D">
        <w:rPr>
          <w:rStyle w:val="st"/>
        </w:rPr>
        <w:t xml:space="preserve">daná </w:t>
      </w:r>
      <w:r w:rsidR="00E7111C" w:rsidRPr="0064271B">
        <w:rPr>
          <w:rStyle w:val="st"/>
        </w:rPr>
        <w:t xml:space="preserve">v modu </w:t>
      </w:r>
      <w:r w:rsidR="00E7111C" w:rsidRPr="0064271B">
        <w:rPr>
          <w:rStyle w:val="st"/>
          <w:i/>
        </w:rPr>
        <w:t>a/létheia</w:t>
      </w:r>
      <w:r w:rsidR="00E7111C">
        <w:rPr>
          <w:rStyle w:val="st"/>
          <w:i/>
        </w:rPr>
        <w:fldChar w:fldCharType="begin"/>
      </w:r>
      <w:r w:rsidR="00E7111C">
        <w:instrText xml:space="preserve"> XE "</w:instrText>
      </w:r>
      <w:r w:rsidR="00E7111C" w:rsidRPr="000E091A">
        <w:rPr>
          <w:rStyle w:val="st"/>
          <w:i/>
        </w:rPr>
        <w:instrText>a/létheia</w:instrText>
      </w:r>
      <w:r w:rsidR="00E7111C">
        <w:instrText xml:space="preserve">" </w:instrText>
      </w:r>
      <w:r w:rsidR="00E7111C">
        <w:rPr>
          <w:rStyle w:val="st"/>
          <w:i/>
        </w:rPr>
        <w:fldChar w:fldCharType="end"/>
      </w:r>
      <w:r w:rsidR="00E7111C">
        <w:rPr>
          <w:rStyle w:val="st"/>
        </w:rPr>
        <w:t xml:space="preserve">, která konstituuje </w:t>
      </w:r>
      <w:r w:rsidR="0011501D">
        <w:rPr>
          <w:rStyle w:val="st"/>
        </w:rPr>
        <w:t>porozumění moudrých smrtelníků</w:t>
      </w:r>
      <w:r w:rsidR="00E7111C" w:rsidRPr="0064271B">
        <w:rPr>
          <w:rStyle w:val="st"/>
        </w:rPr>
        <w:t xml:space="preserve">. </w:t>
      </w:r>
      <w:r w:rsidR="00E7111C">
        <w:rPr>
          <w:rStyle w:val="st"/>
        </w:rPr>
        <w:t xml:space="preserve">Etapu myšlení zahájenou skrze </w:t>
      </w:r>
      <w:r w:rsidR="00E7111C" w:rsidRPr="00DB3975">
        <w:rPr>
          <w:rStyle w:val="st"/>
          <w:i/>
        </w:rPr>
        <w:t>Oxfordian Fallacy</w:t>
      </w:r>
      <w:r w:rsidR="00E7111C">
        <w:rPr>
          <w:rStyle w:val="st"/>
        </w:rPr>
        <w:t xml:space="preserve"> </w:t>
      </w:r>
      <w:r w:rsidR="00E7111C" w:rsidRPr="00273106">
        <w:rPr>
          <w:rStyle w:val="st"/>
        </w:rPr>
        <w:t xml:space="preserve">uzavírá Nietzscheho metafyzický nihilismus a neopozitivismus všech současných analytických směrů </w:t>
      </w:r>
      <w:r w:rsidR="00E7111C">
        <w:rPr>
          <w:rStyle w:val="st"/>
        </w:rPr>
        <w:t>filosofie, včetně Husserlovy fenomenologie</w:t>
      </w:r>
      <w:r w:rsidR="00E7111C" w:rsidRPr="00273106">
        <w:rPr>
          <w:rStyle w:val="st"/>
        </w:rPr>
        <w:t>.</w:t>
      </w:r>
      <w:r w:rsidR="00E7111C">
        <w:rPr>
          <w:rStyle w:val="st"/>
        </w:rPr>
        <w:t xml:space="preserve"> </w:t>
      </w:r>
      <w:r w:rsidR="00CC1FDD">
        <w:rPr>
          <w:rStyle w:val="st"/>
        </w:rPr>
        <w:t xml:space="preserve">Po definici esence jako první substance začala v plné míře platit Foucaultova analýza nihilistického humanismu, v němž jsou vědy o člověku dány </w:t>
      </w:r>
      <w:r w:rsidR="00CC1FDD" w:rsidRPr="087226E5">
        <w:rPr>
          <w:rStyle w:val="st"/>
          <w:i/>
        </w:rPr>
        <w:t>ad hoc</w:t>
      </w:r>
      <w:r w:rsidR="00CC1FDD">
        <w:rPr>
          <w:rStyle w:val="st"/>
        </w:rPr>
        <w:t xml:space="preserve"> skrze strukturu stále nových strukturálních diferencí. Objektivní </w:t>
      </w:r>
      <w:r w:rsidR="00CC1FDD">
        <w:t>diference a chaotické skřížení různorodých procesů vytvářejí pod vedením a</w:t>
      </w:r>
      <w:r w:rsidR="00D43719">
        <w:t xml:space="preserve">kademicky schopných Fúrií nový </w:t>
      </w:r>
      <w:r w:rsidR="00CC1FDD" w:rsidRPr="008152D3">
        <w:rPr>
          <w:i/>
        </w:rPr>
        <w:t>Ereignis</w:t>
      </w:r>
      <w:r w:rsidR="00CC1FDD">
        <w:t xml:space="preserve"> jako událost nihilistického vědění (</w:t>
      </w:r>
      <w:r w:rsidR="00CC1FDD" w:rsidRPr="002C29B7">
        <w:rPr>
          <w:i/>
        </w:rPr>
        <w:t>le «</w:t>
      </w:r>
      <w:r w:rsidR="00CC1FDD">
        <w:rPr>
          <w:i/>
        </w:rPr>
        <w:t> </w:t>
      </w:r>
      <w:r w:rsidR="00CC1FDD" w:rsidRPr="002C29B7">
        <w:rPr>
          <w:i/>
        </w:rPr>
        <w:t>lieu</w:t>
      </w:r>
      <w:r w:rsidR="00CC1FDD">
        <w:rPr>
          <w:i/>
        </w:rPr>
        <w:t> </w:t>
      </w:r>
      <w:r w:rsidR="00CC1FDD" w:rsidRPr="002C29B7">
        <w:rPr>
          <w:i/>
        </w:rPr>
        <w:t>» de l'événement</w:t>
      </w:r>
      <w:r w:rsidR="00CC1FDD">
        <w:t>).</w:t>
      </w:r>
      <w:r w:rsidR="00CC1FDD" w:rsidRPr="009D461F">
        <w:rPr>
          <w:szCs w:val="24"/>
          <w:vertAlign w:val="superscript"/>
        </w:rPr>
        <w:footnoteReference w:id="2"/>
      </w:r>
      <w:r w:rsidR="00CC1FDD">
        <w:t xml:space="preserve"> </w:t>
      </w:r>
      <w:r w:rsidR="00CC1FDD">
        <w:rPr>
          <w:rStyle w:val="st"/>
        </w:rPr>
        <w:t xml:space="preserve">Moderní věda v modu pravdy jako </w:t>
      </w:r>
      <w:r w:rsidR="00CC1FDD" w:rsidRPr="00517E8B">
        <w:rPr>
          <w:rStyle w:val="st"/>
          <w:i/>
        </w:rPr>
        <w:t>veritas</w:t>
      </w:r>
      <w:r w:rsidR="00CC1FDD">
        <w:rPr>
          <w:rStyle w:val="st"/>
          <w:i/>
        </w:rPr>
        <w:fldChar w:fldCharType="begin"/>
      </w:r>
      <w:r w:rsidR="00CC1FDD">
        <w:instrText xml:space="preserve"> XE "pravda:</w:instrText>
      </w:r>
      <w:r w:rsidR="00CC1FDD" w:rsidRPr="000D1582">
        <w:rPr>
          <w:rStyle w:val="st"/>
          <w:i/>
        </w:rPr>
        <w:instrText>veritas</w:instrText>
      </w:r>
      <w:r w:rsidR="00CC1FDD">
        <w:instrText xml:space="preserve">" </w:instrText>
      </w:r>
      <w:r w:rsidR="00CC1FDD">
        <w:rPr>
          <w:rStyle w:val="st"/>
          <w:i/>
        </w:rPr>
        <w:fldChar w:fldCharType="end"/>
      </w:r>
      <w:r w:rsidR="00CC1FDD">
        <w:rPr>
          <w:rStyle w:val="st"/>
        </w:rPr>
        <w:t xml:space="preserve"> zkoumá, co je objektivně jsoucí. </w:t>
      </w:r>
      <w:r w:rsidR="00CC1FDD" w:rsidRPr="00D61F7A">
        <w:rPr>
          <w:rStyle w:val="st"/>
        </w:rPr>
        <w:t>Tento typ ontické a navíc zcela subjektivní pravdy nemůže následovat ontologické chápání bytí (</w:t>
      </w:r>
      <w:r w:rsidR="00CC1FDD" w:rsidRPr="00D61F7A">
        <w:rPr>
          <w:rStyle w:val="st"/>
          <w:i/>
        </w:rPr>
        <w:t>Vor-blickbahn</w:t>
      </w:r>
      <w:r w:rsidR="00CC1FDD">
        <w:rPr>
          <w:rStyle w:val="st"/>
          <w:i/>
        </w:rPr>
        <w:fldChar w:fldCharType="begin"/>
      </w:r>
      <w:r w:rsidR="00CC1FDD">
        <w:instrText xml:space="preserve"> XE "</w:instrText>
      </w:r>
      <w:r w:rsidR="00CC1FDD" w:rsidRPr="002168AE">
        <w:rPr>
          <w:rStyle w:val="st"/>
          <w:i/>
        </w:rPr>
        <w:instrText>Vor-blickbahn</w:instrText>
      </w:r>
      <w:r w:rsidR="00CC1FDD">
        <w:instrText xml:space="preserve">" </w:instrText>
      </w:r>
      <w:r w:rsidR="00CC1FDD">
        <w:rPr>
          <w:rStyle w:val="st"/>
          <w:i/>
        </w:rPr>
        <w:fldChar w:fldCharType="end"/>
      </w:r>
      <w:r w:rsidR="00CC1FDD" w:rsidRPr="00D61F7A">
        <w:rPr>
          <w:rStyle w:val="st"/>
        </w:rPr>
        <w:t xml:space="preserve">) na způsob </w:t>
      </w:r>
      <w:r w:rsidR="00CC1FDD" w:rsidRPr="00D61F7A">
        <w:rPr>
          <w:rStyle w:val="st"/>
          <w:i/>
        </w:rPr>
        <w:t>alétheia</w:t>
      </w:r>
      <w:r w:rsidR="00301A2F">
        <w:rPr>
          <w:rStyle w:val="st"/>
        </w:rPr>
        <w:t>. T</w:t>
      </w:r>
      <w:r w:rsidR="00CC1FDD">
        <w:rPr>
          <w:rStyle w:val="st"/>
        </w:rPr>
        <w:t xml:space="preserve">ento typ </w:t>
      </w:r>
      <w:r w:rsidR="00301A2F">
        <w:rPr>
          <w:rStyle w:val="st"/>
        </w:rPr>
        <w:t xml:space="preserve">pravdy není </w:t>
      </w:r>
      <w:r w:rsidR="00CC1FDD">
        <w:rPr>
          <w:rStyle w:val="st"/>
        </w:rPr>
        <w:t>objektivní</w:t>
      </w:r>
      <w:r w:rsidR="00301A2F">
        <w:rPr>
          <w:rStyle w:val="st"/>
        </w:rPr>
        <w:t xml:space="preserve">, proto </w:t>
      </w:r>
      <w:r w:rsidR="00CC1FDD">
        <w:rPr>
          <w:rStyle w:val="st"/>
        </w:rPr>
        <w:t>ne</w:t>
      </w:r>
      <w:r w:rsidR="00CC1FDD" w:rsidRPr="00D61F7A">
        <w:rPr>
          <w:rStyle w:val="st"/>
        </w:rPr>
        <w:t xml:space="preserve">tvoří </w:t>
      </w:r>
      <w:r w:rsidR="00301A2F">
        <w:rPr>
          <w:rStyle w:val="st"/>
        </w:rPr>
        <w:t xml:space="preserve">pozitivní </w:t>
      </w:r>
      <w:r w:rsidR="00301A2F" w:rsidRPr="00301A2F">
        <w:rPr>
          <w:rStyle w:val="st"/>
          <w:i/>
        </w:rPr>
        <w:t>veritas</w:t>
      </w:r>
      <w:r w:rsidR="00301A2F">
        <w:rPr>
          <w:rStyle w:val="st"/>
        </w:rPr>
        <w:t xml:space="preserve"> současné objektivní </w:t>
      </w:r>
      <w:r w:rsidR="00CC1FDD" w:rsidRPr="00D61F7A">
        <w:rPr>
          <w:rStyle w:val="st"/>
        </w:rPr>
        <w:t xml:space="preserve">filosofie. </w:t>
      </w:r>
      <w:r w:rsidR="00E7111C">
        <w:rPr>
          <w:rStyle w:val="st"/>
        </w:rPr>
        <w:t xml:space="preserve">Tyto postmoderní typy </w:t>
      </w:r>
      <w:r w:rsidR="00E7111C" w:rsidRPr="00A17F4C">
        <w:rPr>
          <w:rStyle w:val="st"/>
          <w:i/>
        </w:rPr>
        <w:t>scibile</w:t>
      </w:r>
      <w:r w:rsidR="00E7111C">
        <w:rPr>
          <w:rStyle w:val="st"/>
        </w:rPr>
        <w:t xml:space="preserve"> vyvedl do epochální zjevnosti jsoucna </w:t>
      </w:r>
      <w:r w:rsidR="00E7111C" w:rsidRPr="00273106">
        <w:rPr>
          <w:rStyle w:val="st"/>
        </w:rPr>
        <w:t>produktivní omyl prvních mode</w:t>
      </w:r>
      <w:r w:rsidR="00E7111C">
        <w:rPr>
          <w:rStyle w:val="st"/>
        </w:rPr>
        <w:t xml:space="preserve">rnistů. A tento omyl začali jejich nástupci chápat jako vědecké dogma. </w:t>
      </w:r>
      <w:r w:rsidR="00E7111C" w:rsidRPr="009E1C4B">
        <w:rPr>
          <w:rStyle w:val="st"/>
        </w:rPr>
        <w:t xml:space="preserve">Tento druh moderní exegeze v mnoha ohledech určil budoucí vývoj </w:t>
      </w:r>
      <w:r w:rsidR="00E7111C">
        <w:rPr>
          <w:rStyle w:val="st"/>
        </w:rPr>
        <w:t>objektivity. Aristotelikové</w:t>
      </w:r>
      <w:r w:rsidR="00E7111C" w:rsidRPr="009E1C4B">
        <w:rPr>
          <w:rStyle w:val="st"/>
        </w:rPr>
        <w:t xml:space="preserve"> prováděl</w:t>
      </w:r>
      <w:r w:rsidR="00E7111C">
        <w:rPr>
          <w:rStyle w:val="st"/>
        </w:rPr>
        <w:t>i</w:t>
      </w:r>
      <w:r w:rsidR="00E7111C" w:rsidRPr="009E1C4B">
        <w:rPr>
          <w:rStyle w:val="st"/>
        </w:rPr>
        <w:t xml:space="preserve"> gigantomachii </w:t>
      </w:r>
      <w:r w:rsidR="00E7111C">
        <w:rPr>
          <w:rStyle w:val="st"/>
        </w:rPr>
        <w:t>o substanci</w:t>
      </w:r>
      <w:r w:rsidR="00E7111C">
        <w:fldChar w:fldCharType="begin"/>
      </w:r>
      <w:r w:rsidR="00E7111C">
        <w:instrText xml:space="preserve"> XE "</w:instrText>
      </w:r>
      <w:r w:rsidR="00E7111C" w:rsidRPr="00646FE5">
        <w:instrText>substance:gigantomachie</w:instrText>
      </w:r>
      <w:r w:rsidR="00E7111C">
        <w:instrText xml:space="preserve">" </w:instrText>
      </w:r>
      <w:r w:rsidR="00E7111C">
        <w:fldChar w:fldCharType="end"/>
      </w:r>
      <w:r w:rsidR="00E7111C">
        <w:rPr>
          <w:rStyle w:val="st"/>
        </w:rPr>
        <w:t xml:space="preserve"> po svém a moderní </w:t>
      </w:r>
      <w:r w:rsidR="00E7111C" w:rsidRPr="009E1C4B">
        <w:rPr>
          <w:rStyle w:val="st"/>
        </w:rPr>
        <w:t xml:space="preserve">sofisté </w:t>
      </w:r>
      <w:r w:rsidR="00E7111C">
        <w:rPr>
          <w:rStyle w:val="st"/>
        </w:rPr>
        <w:t>také po svém. P</w:t>
      </w:r>
      <w:r w:rsidR="00E7111C" w:rsidRPr="009E1C4B">
        <w:rPr>
          <w:rStyle w:val="st"/>
        </w:rPr>
        <w:t xml:space="preserve">ařížský biskup Alvernus </w:t>
      </w:r>
      <w:r w:rsidR="00EB6CAC">
        <w:rPr>
          <w:rStyle w:val="st"/>
        </w:rPr>
        <w:t>popsal ve svých dílech gigantomachii obou skupin</w:t>
      </w:r>
      <w:r w:rsidR="00020343">
        <w:rPr>
          <w:rStyle w:val="st"/>
        </w:rPr>
        <w:t xml:space="preserve">, kterou lze </w:t>
      </w:r>
      <w:r w:rsidR="00EB6CAC">
        <w:rPr>
          <w:rStyle w:val="st"/>
        </w:rPr>
        <w:t>datova</w:t>
      </w:r>
      <w:r w:rsidR="00020343">
        <w:rPr>
          <w:rStyle w:val="st"/>
        </w:rPr>
        <w:t>t</w:t>
      </w:r>
      <w:r w:rsidR="00EB6CAC">
        <w:rPr>
          <w:rStyle w:val="st"/>
        </w:rPr>
        <w:t xml:space="preserve"> okolo roku </w:t>
      </w:r>
      <w:r w:rsidR="00E7111C" w:rsidRPr="009E1C4B">
        <w:rPr>
          <w:rStyle w:val="st"/>
        </w:rPr>
        <w:t xml:space="preserve">1240. Zatmění první substance rostlo </w:t>
      </w:r>
      <w:r w:rsidR="00E7111C">
        <w:rPr>
          <w:rStyle w:val="st"/>
        </w:rPr>
        <w:t>stejnou měrou</w:t>
      </w:r>
      <w:r w:rsidR="00E7111C" w:rsidRPr="009E1C4B">
        <w:rPr>
          <w:rStyle w:val="st"/>
        </w:rPr>
        <w:t xml:space="preserve">, jako se </w:t>
      </w:r>
      <w:r w:rsidR="00E7111C">
        <w:rPr>
          <w:rStyle w:val="st"/>
        </w:rPr>
        <w:t xml:space="preserve">zvětšovalo </w:t>
      </w:r>
      <w:r w:rsidR="00E7111C" w:rsidRPr="009E1C4B">
        <w:rPr>
          <w:rStyle w:val="st"/>
        </w:rPr>
        <w:t xml:space="preserve">nepochopení, které se týkalo původního výkladu astronomického zatmění </w:t>
      </w:r>
      <w:r w:rsidR="00E7111C">
        <w:rPr>
          <w:rStyle w:val="st"/>
        </w:rPr>
        <w:t>s</w:t>
      </w:r>
      <w:r w:rsidR="00E7111C" w:rsidRPr="009E1C4B">
        <w:rPr>
          <w:rStyle w:val="st"/>
        </w:rPr>
        <w:t>lunce v</w:t>
      </w:r>
      <w:r w:rsidR="00E7111C">
        <w:rPr>
          <w:rStyle w:val="st"/>
        </w:rPr>
        <w:t>e</w:t>
      </w:r>
      <w:r w:rsidR="00E7111C" w:rsidRPr="009E1C4B">
        <w:rPr>
          <w:rStyle w:val="st"/>
        </w:rPr>
        <w:t xml:space="preserve"> </w:t>
      </w:r>
      <w:r w:rsidR="00E7111C" w:rsidRPr="009E1C4B">
        <w:rPr>
          <w:rStyle w:val="st"/>
          <w:i/>
        </w:rPr>
        <w:t>Druhých analytikách</w:t>
      </w:r>
      <w:r w:rsidR="00E7111C">
        <w:fldChar w:fldCharType="begin"/>
      </w:r>
      <w:r w:rsidR="00E7111C">
        <w:instrText xml:space="preserve"> XE "zatmění</w:instrText>
      </w:r>
      <w:r w:rsidR="00E7111C" w:rsidRPr="082526E0">
        <w:rPr>
          <w:i/>
        </w:rPr>
        <w:instrText>:Druhé analytiky</w:instrText>
      </w:r>
      <w:r w:rsidR="00E7111C">
        <w:instrText xml:space="preserve">" </w:instrText>
      </w:r>
      <w:r w:rsidR="00E7111C">
        <w:fldChar w:fldCharType="end"/>
      </w:r>
      <w:r w:rsidR="00E7111C" w:rsidRPr="009E1C4B">
        <w:rPr>
          <w:rStyle w:val="st"/>
        </w:rPr>
        <w:t xml:space="preserve">. </w:t>
      </w:r>
      <w:r w:rsidR="00E7111C">
        <w:t xml:space="preserve">Naopak stále více </w:t>
      </w:r>
      <w:r w:rsidR="00F86928">
        <w:t xml:space="preserve">působila </w:t>
      </w:r>
      <w:r w:rsidR="00E7111C">
        <w:lastRenderedPageBreak/>
        <w:t xml:space="preserve">evidentní definice trojúhelníka daná skrze matematickou abstrakci. </w:t>
      </w:r>
      <w:r w:rsidR="00E7111C" w:rsidRPr="00273106">
        <w:rPr>
          <w:rStyle w:val="st"/>
        </w:rPr>
        <w:t>Prom</w:t>
      </w:r>
      <w:r w:rsidR="00E7111C">
        <w:rPr>
          <w:rStyle w:val="st"/>
        </w:rPr>
        <w:t>ěna metafyziky vytvořila</w:t>
      </w:r>
      <w:r w:rsidR="00E7111C" w:rsidRPr="00273106">
        <w:rPr>
          <w:rStyle w:val="st"/>
        </w:rPr>
        <w:t xml:space="preserve"> jsoucno jako objektivně syntetizovan</w:t>
      </w:r>
      <w:r w:rsidR="00E7111C">
        <w:rPr>
          <w:rStyle w:val="st"/>
        </w:rPr>
        <w:t>ý</w:t>
      </w:r>
      <w:r w:rsidR="00E7111C" w:rsidRPr="00273106">
        <w:rPr>
          <w:rStyle w:val="st"/>
        </w:rPr>
        <w:t xml:space="preserve"> </w:t>
      </w:r>
      <w:r w:rsidR="00E7111C">
        <w:rPr>
          <w:rStyle w:val="st"/>
        </w:rPr>
        <w:t xml:space="preserve">a </w:t>
      </w:r>
      <w:r w:rsidR="00E7111C" w:rsidRPr="00273106">
        <w:rPr>
          <w:rStyle w:val="st"/>
        </w:rPr>
        <w:t>pl</w:t>
      </w:r>
      <w:r w:rsidR="00E7111C">
        <w:rPr>
          <w:rStyle w:val="st"/>
        </w:rPr>
        <w:t>ně evidentní poznatek (</w:t>
      </w:r>
      <w:r w:rsidR="00E7111C" w:rsidRPr="00991220">
        <w:rPr>
          <w:rStyle w:val="st"/>
          <w:i/>
        </w:rPr>
        <w:t>scibile</w:t>
      </w:r>
      <w:r w:rsidR="00E7111C">
        <w:rPr>
          <w:rStyle w:val="st"/>
          <w:i/>
        </w:rPr>
        <w:fldChar w:fldCharType="begin"/>
      </w:r>
      <w:r w:rsidR="00E7111C">
        <w:instrText xml:space="preserve"> XE "</w:instrText>
      </w:r>
      <w:r w:rsidR="00E7111C" w:rsidRPr="00AA4F67">
        <w:rPr>
          <w:i/>
        </w:rPr>
        <w:instrText>scibile</w:instrText>
      </w:r>
      <w:r w:rsidR="00E7111C">
        <w:instrText xml:space="preserve">:moderna" </w:instrText>
      </w:r>
      <w:r w:rsidR="00E7111C">
        <w:rPr>
          <w:rStyle w:val="st"/>
          <w:i/>
        </w:rPr>
        <w:fldChar w:fldCharType="end"/>
      </w:r>
      <w:r w:rsidR="00E7111C">
        <w:rPr>
          <w:rStyle w:val="st"/>
        </w:rPr>
        <w:t xml:space="preserve">). Toto simulákrum první substance vzniká v aktu sebereflexe intelektu </w:t>
      </w:r>
      <w:r w:rsidR="00E7111C" w:rsidRPr="00273106">
        <w:rPr>
          <w:rStyle w:val="st"/>
        </w:rPr>
        <w:t>osvíceného</w:t>
      </w:r>
      <w:r w:rsidR="00E7111C">
        <w:rPr>
          <w:rStyle w:val="st"/>
        </w:rPr>
        <w:t xml:space="preserve"> samo sebou</w:t>
      </w:r>
      <w:r w:rsidR="00E7111C" w:rsidRPr="00273106">
        <w:rPr>
          <w:rStyle w:val="st"/>
        </w:rPr>
        <w:t xml:space="preserve">. </w:t>
      </w:r>
      <w:r w:rsidR="00E7111C">
        <w:rPr>
          <w:rStyle w:val="st"/>
        </w:rPr>
        <w:t>Založení nové metafyziky změnilo skrytost bytí danou Platonovým podobenstvím o jeskyni (</w:t>
      </w:r>
      <w:r w:rsidR="00E7111C" w:rsidRPr="006F46E7">
        <w:rPr>
          <w:rStyle w:val="st"/>
          <w:i/>
        </w:rPr>
        <w:t>Seinsverlassenheit</w:t>
      </w:r>
      <w:r w:rsidR="00E7111C">
        <w:rPr>
          <w:rStyle w:val="st"/>
          <w:i/>
        </w:rPr>
        <w:fldChar w:fldCharType="begin"/>
      </w:r>
      <w:r w:rsidR="00E7111C">
        <w:instrText xml:space="preserve"> XE "</w:instrText>
      </w:r>
      <w:r w:rsidR="00E7111C" w:rsidRPr="00B542DE">
        <w:rPr>
          <w:i/>
        </w:rPr>
        <w:instrText>Seinsverlassenheit</w:instrText>
      </w:r>
      <w:r w:rsidR="00E7111C">
        <w:instrText xml:space="preserve">" </w:instrText>
      </w:r>
      <w:r w:rsidR="00E7111C">
        <w:rPr>
          <w:rStyle w:val="st"/>
          <w:i/>
        </w:rPr>
        <w:fldChar w:fldCharType="end"/>
      </w:r>
      <w:r w:rsidR="00D1625C">
        <w:rPr>
          <w:rStyle w:val="st"/>
        </w:rPr>
        <w:t xml:space="preserve">). Vzniklo zatmění první substance, které je dáno </w:t>
      </w:r>
      <w:r w:rsidR="00E7111C">
        <w:rPr>
          <w:rStyle w:val="st"/>
        </w:rPr>
        <w:t>jako úmyslná volba latinských sofistů (</w:t>
      </w:r>
      <w:r w:rsidR="00E7111C" w:rsidRPr="006F46E7">
        <w:rPr>
          <w:rStyle w:val="st"/>
          <w:i/>
        </w:rPr>
        <w:t>Seinsvergessenheit</w:t>
      </w:r>
      <w:r w:rsidR="00E7111C">
        <w:rPr>
          <w:rStyle w:val="st"/>
        </w:rPr>
        <w:t xml:space="preserve">). </w:t>
      </w:r>
      <w:r w:rsidR="00E7111C" w:rsidRPr="00273106">
        <w:t>T</w:t>
      </w:r>
      <w:r w:rsidR="00E7111C">
        <w:t xml:space="preserve">ato metafyzická volba první vědy postavené proti Aristotelovi a Komentátorovi </w:t>
      </w:r>
      <w:r w:rsidR="00E7111C" w:rsidRPr="00273106">
        <w:t>určuje prvn</w:t>
      </w:r>
      <w:r w:rsidR="00E7111C">
        <w:t>í modernu vzniklou v letech 1235‒40</w:t>
      </w:r>
      <w:r w:rsidR="00E7111C" w:rsidRPr="00273106">
        <w:t xml:space="preserve"> </w:t>
      </w:r>
      <w:r w:rsidR="00E7111C">
        <w:t xml:space="preserve">na Oxfordu a v Paříži. Důsledky této základní volby Moderních utváří dějiny </w:t>
      </w:r>
      <w:r w:rsidR="00E7111C" w:rsidRPr="00273106">
        <w:t xml:space="preserve">postmoderny </w:t>
      </w:r>
      <w:r w:rsidR="00E7111C">
        <w:t>od 17. století</w:t>
      </w:r>
      <w:r w:rsidR="00E7111C" w:rsidRPr="00273106">
        <w:t xml:space="preserve"> a současného </w:t>
      </w:r>
      <w:r w:rsidR="00E7111C">
        <w:t xml:space="preserve">metafyzického </w:t>
      </w:r>
      <w:r w:rsidR="00E7111C" w:rsidRPr="00273106">
        <w:t>nihilismu.</w:t>
      </w:r>
      <w:r w:rsidR="00E7111C">
        <w:t xml:space="preserve"> Rufusovy pokusy o vytvořené objektivní predikace a poznání světa v díle </w:t>
      </w:r>
      <w:r w:rsidR="00E7111C" w:rsidRPr="00273106">
        <w:rPr>
          <w:i/>
        </w:rPr>
        <w:t>Speculum animae</w:t>
      </w:r>
      <w:r w:rsidR="00E7111C" w:rsidRPr="00273106">
        <w:t xml:space="preserve"> </w:t>
      </w:r>
      <w:r w:rsidR="00E7111C">
        <w:t xml:space="preserve">skončily jeho odchodem z Paříže (OBJ II, kap. 3.3.4). </w:t>
      </w:r>
      <w:r w:rsidR="00D50C31">
        <w:t>Následná g</w:t>
      </w:r>
      <w:r w:rsidR="00E7111C">
        <w:t>enerace modernistů musela vytvořit kategoriální predikaci pro jsoucno třetího druhu</w:t>
      </w:r>
      <w:r w:rsidR="00E7111C" w:rsidRPr="00273106">
        <w:t>.</w:t>
      </w:r>
      <w:r w:rsidR="00E7111C">
        <w:t xml:space="preserve"> </w:t>
      </w:r>
    </w:p>
    <w:p w:rsidR="00604725" w:rsidRDefault="00FE7256" w:rsidP="003112A8">
      <w:pPr>
        <w:ind w:firstLine="397"/>
      </w:pPr>
      <w:r>
        <w:t xml:space="preserve">Opět je třeba sáhnout k základnímu fenomenologickému rozdílu mezi tím, jak je dána objektivní danost fenoménu a jak </w:t>
      </w:r>
      <w:r w:rsidRPr="00273106">
        <w:t>tato danost vstupuje do pole zjevování</w:t>
      </w:r>
      <w:r>
        <w:t xml:space="preserve"> (SZ </w:t>
      </w:r>
      <w:r w:rsidRPr="00273106">
        <w:t>27</w:t>
      </w:r>
      <w:r>
        <w:fldChar w:fldCharType="begin"/>
      </w:r>
      <w:r>
        <w:instrText xml:space="preserve"> XE "Heidegger:SZ 27" </w:instrText>
      </w:r>
      <w:r>
        <w:fldChar w:fldCharType="end"/>
      </w:r>
      <w:r w:rsidRPr="00273106">
        <w:t>).</w:t>
      </w:r>
      <w:r>
        <w:t xml:space="preserve"> Triadická struktura dějinnosti, dějin a historie má základ v triadické struktuře porozumění. </w:t>
      </w:r>
      <w:r w:rsidRPr="00273106">
        <w:t xml:space="preserve">Heideggerem odhalený trojí smysl jsoucna </w:t>
      </w:r>
      <w:r>
        <w:rPr>
          <w:rFonts w:eastAsia="AGaramondPro-Regular"/>
          <w:szCs w:val="21"/>
        </w:rPr>
        <w:t xml:space="preserve">je </w:t>
      </w:r>
      <w:r w:rsidRPr="00273106">
        <w:t>podaný v hermeneutice fakticity</w:t>
      </w:r>
      <w:r>
        <w:fldChar w:fldCharType="begin"/>
      </w:r>
      <w:r>
        <w:instrText xml:space="preserve"> XE "</w:instrText>
      </w:r>
      <w:r w:rsidRPr="00380B35">
        <w:instrText>hermeneutika:fakticity</w:instrText>
      </w:r>
      <w:r>
        <w:instrText xml:space="preserve">" </w:instrText>
      </w:r>
      <w:r>
        <w:fldChar w:fldCharType="end"/>
      </w:r>
      <w:r w:rsidRPr="00273106">
        <w:t xml:space="preserve"> (</w:t>
      </w:r>
      <w:r w:rsidRPr="00273106">
        <w:rPr>
          <w:rFonts w:eastAsia="AGaramondPro-Italic"/>
          <w:szCs w:val="21"/>
        </w:rPr>
        <w:t xml:space="preserve">GA </w:t>
      </w:r>
      <w:r>
        <w:rPr>
          <w:rFonts w:eastAsia="AGaramondPro-Italic"/>
          <w:szCs w:val="21"/>
        </w:rPr>
        <w:t>60</w:t>
      </w:r>
      <w:r w:rsidRPr="00273106">
        <w:rPr>
          <w:rFonts w:eastAsia="AGaramondPro-Italic"/>
          <w:szCs w:val="21"/>
        </w:rPr>
        <w:t>)</w:t>
      </w:r>
      <w:r>
        <w:rPr>
          <w:rFonts w:eastAsia="AGaramondPro-Regular"/>
          <w:szCs w:val="21"/>
        </w:rPr>
        <w:t xml:space="preserve">. </w:t>
      </w:r>
      <w:r>
        <w:t>Objektivní smysl bytí jsoucna (</w:t>
      </w:r>
      <w:r>
        <w:rPr>
          <w:i/>
          <w:iCs/>
        </w:rPr>
        <w:t>Gehaltsinn</w:t>
      </w:r>
      <w:r>
        <w:rPr>
          <w:i/>
          <w:iCs/>
        </w:rPr>
        <w:fldChar w:fldCharType="begin"/>
      </w:r>
      <w:r>
        <w:instrText xml:space="preserve"> XE "</w:instrText>
      </w:r>
      <w:r w:rsidRPr="08DE2F65">
        <w:rPr>
          <w:i/>
          <w:iCs/>
        </w:rPr>
        <w:instrText>Gehaltsinn</w:instrText>
      </w:r>
      <w:r>
        <w:instrText xml:space="preserve">" </w:instrText>
      </w:r>
      <w:r>
        <w:rPr>
          <w:i/>
          <w:iCs/>
        </w:rPr>
        <w:fldChar w:fldCharType="end"/>
      </w:r>
      <w:r>
        <w:t xml:space="preserve">) zásadně závisí na dvojím přístupu ke světu charakterizovaném Pavlovým napomenutím v </w:t>
      </w:r>
      <w:r w:rsidRPr="00C45BFC">
        <w:rPr>
          <w:i/>
        </w:rPr>
        <w:t>Prvním listu Korintským</w:t>
      </w:r>
      <w:r>
        <w:t xml:space="preserve"> (</w:t>
      </w:r>
      <w:r>
        <w:rPr>
          <w:i/>
          <w:iCs/>
        </w:rPr>
        <w:t>1 Kor</w:t>
      </w:r>
      <w:r>
        <w:t xml:space="preserve"> 7:29-31</w:t>
      </w:r>
      <w:r>
        <w:fldChar w:fldCharType="begin"/>
      </w:r>
      <w:r>
        <w:instrText xml:space="preserve"> XE "</w:instrText>
      </w:r>
      <w:r w:rsidRPr="00C76BEA">
        <w:instrText xml:space="preserve"> </w:instrText>
      </w:r>
      <w:r>
        <w:instrText>Nový zákon:</w:instrText>
      </w:r>
      <w:r w:rsidRPr="0046213D">
        <w:rPr>
          <w:iCs/>
        </w:rPr>
        <w:instrText xml:space="preserve">1 </w:instrText>
      </w:r>
      <w:r w:rsidRPr="08AA64AF">
        <w:rPr>
          <w:i/>
          <w:iCs/>
        </w:rPr>
        <w:instrText>Kor</w:instrText>
      </w:r>
      <w:r>
        <w:instrText xml:space="preserve"> 7.</w:instrText>
      </w:r>
      <w:r w:rsidRPr="007F23CB">
        <w:instrText>29-31</w:instrText>
      </w:r>
      <w:r>
        <w:instrText xml:space="preserve">" </w:instrText>
      </w:r>
      <w:r>
        <w:fldChar w:fldCharType="end"/>
      </w:r>
      <w:r>
        <w:t xml:space="preserve">). Kdo užívají věcí tohoto světa, mají žít tak, jako by je neužívali. Toto dvojaké vztahování ke světu v modu sebezapomenutého </w:t>
      </w:r>
      <w:r w:rsidRPr="00D30D9E">
        <w:rPr>
          <w:i/>
        </w:rPr>
        <w:t>Man</w:t>
      </w:r>
      <w:r>
        <w:t xml:space="preserve"> a bdělého </w:t>
      </w:r>
      <w:r w:rsidRPr="00D30D9E">
        <w:rPr>
          <w:i/>
        </w:rPr>
        <w:t>Dasein</w:t>
      </w:r>
      <w:r>
        <w:t xml:space="preserve">  stojí na eschatologické</w:t>
      </w:r>
      <w:r>
        <w:fldChar w:fldCharType="begin"/>
      </w:r>
      <w:r>
        <w:instrText xml:space="preserve"> XE "eschatologie" </w:instrText>
      </w:r>
      <w:r>
        <w:fldChar w:fldCharType="end"/>
      </w:r>
      <w:r>
        <w:t xml:space="preserve"> přítomnosti pravdy jako archaické odkrytosti (</w:t>
      </w:r>
      <w:r>
        <w:rPr>
          <w:i/>
          <w:iCs/>
        </w:rPr>
        <w:t>Bezugsinn</w:t>
      </w:r>
      <w:r>
        <w:rPr>
          <w:i/>
          <w:iCs/>
        </w:rPr>
        <w:fldChar w:fldCharType="begin"/>
      </w:r>
      <w:r>
        <w:instrText xml:space="preserve"> XE "</w:instrText>
      </w:r>
      <w:r>
        <w:rPr>
          <w:i/>
          <w:iCs/>
        </w:rPr>
        <w:instrText>Bezugsinn</w:instrText>
      </w:r>
      <w:r>
        <w:instrText xml:space="preserve">" </w:instrText>
      </w:r>
      <w:r>
        <w:rPr>
          <w:i/>
          <w:iCs/>
        </w:rPr>
        <w:fldChar w:fldCharType="end"/>
      </w:r>
      <w:r>
        <w:t>). Pavel křesťanům vysvětluje v modu nového archegetického dativu, jak žít v časech přicházejícího konce této epochy (</w:t>
      </w:r>
      <w:r>
        <w:rPr>
          <w:i/>
          <w:iCs/>
        </w:rPr>
        <w:t>Vollzugsinn</w:t>
      </w:r>
      <w:r>
        <w:rPr>
          <w:i/>
          <w:iCs/>
        </w:rPr>
        <w:fldChar w:fldCharType="begin"/>
      </w:r>
      <w:r>
        <w:instrText xml:space="preserve"> XE "</w:instrText>
      </w:r>
      <w:r>
        <w:rPr>
          <w:i/>
          <w:iCs/>
        </w:rPr>
        <w:instrText>Vollzugs</w:instrText>
      </w:r>
      <w:r w:rsidRPr="083A096B">
        <w:rPr>
          <w:i/>
          <w:iCs/>
        </w:rPr>
        <w:instrText>inn</w:instrText>
      </w:r>
      <w:r>
        <w:instrText xml:space="preserve">" </w:instrText>
      </w:r>
      <w:r>
        <w:rPr>
          <w:i/>
          <w:iCs/>
        </w:rPr>
        <w:fldChar w:fldCharType="end"/>
      </w:r>
      <w:r>
        <w:t>). Zmíněný trojúhelník vztahů představuje základní objev nové hermeneutiky dané na základě nového intencionálního uchopení světa. Poprvé jej najdeme v přednáškách ze zimního semestru 1919/20, v pasáži věnované tzv. „interpretativnímu porozumění“ (</w:t>
      </w:r>
      <w:r w:rsidRPr="00B14686">
        <w:rPr>
          <w:iCs/>
        </w:rPr>
        <w:t>GA</w:t>
      </w:r>
      <w:r>
        <w:t xml:space="preserve"> 58, 261</w:t>
      </w:r>
      <w:r>
        <w:fldChar w:fldCharType="begin"/>
      </w:r>
      <w:r>
        <w:instrText xml:space="preserve"> XE "Heidegger:</w:instrText>
      </w:r>
      <w:r w:rsidRPr="00B64E28">
        <w:rPr>
          <w:iCs/>
        </w:rPr>
        <w:instrText>GA</w:instrText>
      </w:r>
      <w:r>
        <w:instrText xml:space="preserve"> 58, 261" </w:instrText>
      </w:r>
      <w:r>
        <w:fldChar w:fldCharType="end"/>
      </w:r>
      <w:r>
        <w:t xml:space="preserve">). Výsledná formulace triadického porozumění </w:t>
      </w:r>
      <w:r>
        <w:rPr>
          <w:i/>
        </w:rPr>
        <w:fldChar w:fldCharType="begin"/>
      </w:r>
      <w:r>
        <w:instrText xml:space="preserve"> XE "hermeneutické </w:instrText>
      </w:r>
      <w:r w:rsidRPr="00DF689A">
        <w:rPr>
          <w:i/>
        </w:rPr>
        <w:instrText>Wie</w:instrText>
      </w:r>
      <w:r>
        <w:rPr>
          <w:i/>
        </w:rPr>
        <w:instrText>:</w:instrText>
      </w:r>
      <w:r>
        <w:instrText xml:space="preserve">Heidegger" </w:instrText>
      </w:r>
      <w:r>
        <w:rPr>
          <w:i/>
        </w:rPr>
        <w:fldChar w:fldCharType="end"/>
      </w:r>
      <w:r>
        <w:t xml:space="preserve">je kompletně dána na začátku díla </w:t>
      </w:r>
      <w:r w:rsidRPr="00C717E2">
        <w:rPr>
          <w:i/>
        </w:rPr>
        <w:t>Sein und Zeit</w:t>
      </w:r>
      <w:r>
        <w:t>.</w:t>
      </w:r>
      <w:r w:rsidRPr="00273106">
        <w:rPr>
          <w:rStyle w:val="Znakapoznpodarou"/>
        </w:rPr>
        <w:footnoteReference w:id="3"/>
      </w:r>
      <w:r>
        <w:t xml:space="preserve"> Z hlediska múzického </w:t>
      </w:r>
      <w:r>
        <w:lastRenderedPageBreak/>
        <w:t>porozumění dějinnosti platí, že původní bytí jsoucna skrze mystérijní, múzický a tragický smysl dějinnosti (</w:t>
      </w:r>
      <w:r>
        <w:rPr>
          <w:i/>
        </w:rPr>
        <w:t>Vollzug</w:t>
      </w:r>
      <w:r w:rsidRPr="089E7325">
        <w:rPr>
          <w:i/>
        </w:rPr>
        <w:t>sinn</w:t>
      </w:r>
      <w:r>
        <w:rPr>
          <w:i/>
        </w:rPr>
        <w:fldChar w:fldCharType="begin"/>
      </w:r>
      <w:r>
        <w:instrText xml:space="preserve"> XE "</w:instrText>
      </w:r>
      <w:r>
        <w:rPr>
          <w:i/>
        </w:rPr>
        <w:instrText>Vollzug</w:instrText>
      </w:r>
      <w:r w:rsidRPr="08DE3F52">
        <w:rPr>
          <w:i/>
        </w:rPr>
        <w:instrText>sinn</w:instrText>
      </w:r>
      <w:r>
        <w:instrText xml:space="preserve">" </w:instrText>
      </w:r>
      <w:r>
        <w:rPr>
          <w:i/>
        </w:rPr>
        <w:fldChar w:fldCharType="end"/>
      </w:r>
      <w:r>
        <w:rPr>
          <w:i/>
        </w:rPr>
        <w:t>, Erfragtes</w:t>
      </w:r>
      <w:r>
        <w:t>) se dává v dějinách myšlení ve dvou figurách odhalenosti metafyziky (</w:t>
      </w:r>
      <w:r>
        <w:rPr>
          <w:i/>
        </w:rPr>
        <w:t>Bezugsinn, Befragtes</w:t>
      </w:r>
      <w:r>
        <w:t>). Objektivita zkoumá jen ontický fenomén objektivity, který je navíc zatížen všemi předešlými omyly a blouděním moderny (</w:t>
      </w:r>
      <w:r w:rsidRPr="000834EE">
        <w:rPr>
          <w:i/>
        </w:rPr>
        <w:t>Gehaltsinn</w:t>
      </w:r>
      <w:r>
        <w:t xml:space="preserve">, </w:t>
      </w:r>
      <w:r w:rsidRPr="00290583">
        <w:rPr>
          <w:i/>
        </w:rPr>
        <w:t>Gefragtes</w:t>
      </w:r>
      <w:r>
        <w:t xml:space="preserve">). Rozdíl mezi metafyzikou Averroese a Avicenny vyložil v prvním dílu rozdílnou donaci bytí jsoucna danou podle Heideggera. Pravda dostala v dějinách latinské scholastiky dvojí pojetí: aristotelské a moderní. Výkonem dvojího dějinného porozumění danému vzhledem k substanci vznikla škola prvního a druhého averroismu. Reprezentati jedné a druhé školy pak produkovali na základě dvojího výkladu </w:t>
      </w:r>
      <w:r w:rsidRPr="08DB1C08">
        <w:rPr>
          <w:i/>
        </w:rPr>
        <w:t>Druhých analytik</w:t>
      </w:r>
      <w:r>
        <w:t xml:space="preserve"> dvojí pojetí pravdy jako </w:t>
      </w:r>
      <w:r w:rsidRPr="089E7325">
        <w:rPr>
          <w:i/>
        </w:rPr>
        <w:t>veritas</w:t>
      </w:r>
      <w:r>
        <w:t xml:space="preserve">. </w:t>
      </w:r>
      <w:r w:rsidRPr="00315326">
        <w:t xml:space="preserve">Buď se tak dělo v modu aristotelské pravdy jako </w:t>
      </w:r>
      <w:r w:rsidRPr="00315326">
        <w:rPr>
          <w:i/>
        </w:rPr>
        <w:t>adaequatio</w:t>
      </w:r>
      <w:r w:rsidRPr="00315326">
        <w:t>, kdy je druhá substance vystavena tváří v</w:t>
      </w:r>
      <w:r>
        <w:t> </w:t>
      </w:r>
      <w:r w:rsidRPr="00315326">
        <w:t>tvář</w:t>
      </w:r>
      <w:r>
        <w:t xml:space="preserve"> realitě skrze impozici specifického</w:t>
      </w:r>
      <w:r w:rsidRPr="00315326">
        <w:t xml:space="preserve"> význam</w:t>
      </w:r>
      <w:r>
        <w:t>u</w:t>
      </w:r>
      <w:r w:rsidRPr="00315326">
        <w:t xml:space="preserve">. Nebo to bylo provedeno expozicí </w:t>
      </w:r>
      <w:r>
        <w:t>smylu ustaveného</w:t>
      </w:r>
      <w:r w:rsidRPr="00315326">
        <w:t xml:space="preserve"> zezadu</w:t>
      </w:r>
      <w:r>
        <w:t xml:space="preserve"> skrze logickou supozici</w:t>
      </w:r>
      <w:r w:rsidRPr="00315326">
        <w:t xml:space="preserve">, a to pomocí moderní pravdy jako </w:t>
      </w:r>
      <w:r w:rsidRPr="00B67A17">
        <w:rPr>
          <w:i/>
        </w:rPr>
        <w:t>coaequatio</w:t>
      </w:r>
      <w:r w:rsidRPr="00315326">
        <w:t xml:space="preserve"> (Rufus). </w:t>
      </w:r>
      <w:r>
        <w:t xml:space="preserve">V tomto případě </w:t>
      </w:r>
      <w:r w:rsidRPr="00315326">
        <w:t xml:space="preserve">vzniká metafyzika </w:t>
      </w:r>
      <w:r w:rsidRPr="001E5792">
        <w:rPr>
          <w:i/>
        </w:rPr>
        <w:t>tertium ens</w:t>
      </w:r>
      <w:r w:rsidRPr="00315326">
        <w:t xml:space="preserve"> jako směs</w:t>
      </w:r>
      <w:r>
        <w:t xml:space="preserve">i první a druhé substance </w:t>
      </w:r>
      <w:r w:rsidRPr="087F4913">
        <w:rPr>
          <w:szCs w:val="24"/>
        </w:rPr>
        <w:t>(</w:t>
      </w:r>
      <w:r>
        <w:rPr>
          <w:i/>
          <w:szCs w:val="24"/>
        </w:rPr>
        <w:t>Gehalt</w:t>
      </w:r>
      <w:r w:rsidRPr="087F4913">
        <w:rPr>
          <w:i/>
          <w:szCs w:val="24"/>
        </w:rPr>
        <w:t>sinn</w:t>
      </w:r>
      <w:r>
        <w:rPr>
          <w:i/>
          <w:szCs w:val="24"/>
          <w:lang w:val="de-LU"/>
        </w:rPr>
        <w:fldChar w:fldCharType="begin"/>
      </w:r>
      <w:r>
        <w:instrText xml:space="preserve"> XE "</w:instrText>
      </w:r>
      <w:r w:rsidRPr="087F4913">
        <w:rPr>
          <w:i/>
          <w:szCs w:val="24"/>
        </w:rPr>
        <w:instrText>Gehaltsinn</w:instrText>
      </w:r>
      <w:r>
        <w:instrText xml:space="preserve">" </w:instrText>
      </w:r>
      <w:r>
        <w:rPr>
          <w:i/>
          <w:szCs w:val="24"/>
          <w:lang w:val="de-LU"/>
        </w:rPr>
        <w:fldChar w:fldCharType="end"/>
      </w:r>
      <w:r w:rsidRPr="087F4913">
        <w:rPr>
          <w:szCs w:val="24"/>
        </w:rPr>
        <w:t xml:space="preserve">). </w:t>
      </w:r>
      <w:r>
        <w:t xml:space="preserve">Přechod objektivity do plné formy epochální odkrytosti zajistil akademický iluminát Rufus a jeho modernistická škola, kterou v Paříži etablovali Bonaventura a Pecham. Pravda nové metafyziky je absolutní, protože logická abstrakce není vázaná ani na realitu, ani na kauzální působení prvních substancí. Pozitivně vykazatelná nauka v modu objektivního </w:t>
      </w:r>
      <w:r w:rsidRPr="00E41780">
        <w:rPr>
          <w:i/>
        </w:rPr>
        <w:t>Irrtum</w:t>
      </w:r>
      <w:r>
        <w:t xml:space="preserve"> představuje historickou danost, kterou odhalilo hermeneutické zkoumání ontologických dějin metafyziky (</w:t>
      </w:r>
      <w:r>
        <w:rPr>
          <w:i/>
        </w:rPr>
        <w:t>Beginn</w:t>
      </w:r>
      <w:r>
        <w:rPr>
          <w:i/>
        </w:rPr>
        <w:fldChar w:fldCharType="begin"/>
      </w:r>
      <w:r>
        <w:instrText xml:space="preserve"> XE "</w:instrText>
      </w:r>
      <w:r>
        <w:rPr>
          <w:i/>
        </w:rPr>
        <w:instrText>Beginn</w:instrText>
      </w:r>
      <w:r>
        <w:instrText xml:space="preserve">" </w:instrText>
      </w:r>
      <w:r>
        <w:rPr>
          <w:i/>
        </w:rPr>
        <w:fldChar w:fldCharType="end"/>
      </w:r>
      <w:r>
        <w:t>), které založily ontickou historii objektivity. Změnou pravdy v dějinách metafyziky vznikl historický problém tzv. „dvojí pravdy“, který se naplno projevil ve sporech Pařížské univerzity v letech 1270</w:t>
      </w:r>
      <w:r>
        <w:rPr>
          <w:rFonts w:cs="Calibri"/>
        </w:rPr>
        <w:t>─</w:t>
      </w:r>
      <w:r>
        <w:t>77. Postupným vyložením trojí podoby porozumění (</w:t>
      </w:r>
      <w:r>
        <w:rPr>
          <w:i/>
        </w:rPr>
        <w:t>Vollzug</w:t>
      </w:r>
      <w:r w:rsidRPr="00941C1C">
        <w:rPr>
          <w:i/>
        </w:rPr>
        <w:t>sinn</w:t>
      </w:r>
      <w:r>
        <w:rPr>
          <w:i/>
        </w:rPr>
        <w:t>, Bezugs</w:t>
      </w:r>
      <w:r w:rsidRPr="008D7E92">
        <w:rPr>
          <w:i/>
        </w:rPr>
        <w:t>inn</w:t>
      </w:r>
      <w:r>
        <w:t xml:space="preserve">, </w:t>
      </w:r>
      <w:r>
        <w:rPr>
          <w:i/>
        </w:rPr>
        <w:t>Gehal</w:t>
      </w:r>
      <w:r w:rsidRPr="00514123">
        <w:rPr>
          <w:i/>
        </w:rPr>
        <w:t>tsinn</w:t>
      </w:r>
      <w:r>
        <w:t>) v hermeneutickém trojúhelníku dějinnosti, dějin a objektivní historie je načrtnuta trojí struk</w:t>
      </w:r>
      <w:r w:rsidR="00B36315">
        <w:t>tura hermeneutického porozumění, které zakládá fenomén</w:t>
      </w:r>
      <w:r>
        <w:t xml:space="preserve"> objektivity.</w:t>
      </w:r>
      <w:r w:rsidR="003112A8">
        <w:t xml:space="preserve"> </w:t>
      </w:r>
      <w:r w:rsidR="00743929" w:rsidRPr="00743929">
        <w:t xml:space="preserve">Hermeneutika musí zkoumat vizi objektivního světa vytvořenou </w:t>
      </w:r>
      <w:r w:rsidR="00743929">
        <w:t xml:space="preserve">skrze </w:t>
      </w:r>
      <w:proofErr w:type="gramStart"/>
      <w:r w:rsidR="00743929" w:rsidRPr="00743929">
        <w:rPr>
          <w:i/>
          <w:iCs/>
        </w:rPr>
        <w:t>via</w:t>
      </w:r>
      <w:proofErr w:type="gramEnd"/>
      <w:r w:rsidR="00743929" w:rsidRPr="00743929">
        <w:rPr>
          <w:i/>
          <w:iCs/>
        </w:rPr>
        <w:t xml:space="preserve"> Modernorum</w:t>
      </w:r>
      <w:r w:rsidR="00743929" w:rsidRPr="00743929">
        <w:t xml:space="preserve">. Modernisté jsou osvíceni slunečním intelektem, který září v mysli </w:t>
      </w:r>
      <w:r w:rsidR="00192761">
        <w:t xml:space="preserve">akademických </w:t>
      </w:r>
      <w:r w:rsidR="00743929" w:rsidRPr="00743929">
        <w:rPr>
          <w:iCs/>
        </w:rPr>
        <w:t>iluminátů</w:t>
      </w:r>
      <w:r w:rsidR="00743929" w:rsidRPr="00743929">
        <w:t xml:space="preserve">. </w:t>
      </w:r>
      <w:r w:rsidR="00743929">
        <w:t>Ti v</w:t>
      </w:r>
      <w:r w:rsidR="00743929" w:rsidRPr="00743929">
        <w:t>yšli z platónské jes</w:t>
      </w:r>
      <w:r w:rsidR="00743929">
        <w:t xml:space="preserve">kyně od příchodu neoplatonismu. </w:t>
      </w:r>
      <w:r w:rsidR="00535687">
        <w:t>O</w:t>
      </w:r>
      <w:r w:rsidR="08163013">
        <w:t>bjektivní donace jsoucn</w:t>
      </w:r>
      <w:r w:rsidR="00535687">
        <w:t>a</w:t>
      </w:r>
      <w:r w:rsidR="08163013">
        <w:t xml:space="preserve"> </w:t>
      </w:r>
      <w:r w:rsidR="00535687">
        <w:t>za</w:t>
      </w:r>
      <w:r w:rsidR="08163013" w:rsidRPr="00273106">
        <w:t>l</w:t>
      </w:r>
      <w:r w:rsidR="00535687">
        <w:t xml:space="preserve">ožila </w:t>
      </w:r>
      <w:r w:rsidR="08163013" w:rsidRPr="00273106">
        <w:t>dějin</w:t>
      </w:r>
      <w:r w:rsidR="08163013">
        <w:t xml:space="preserve">y filosofického </w:t>
      </w:r>
      <w:r w:rsidR="08163013" w:rsidRPr="00273106">
        <w:t>myšlení</w:t>
      </w:r>
      <w:r w:rsidR="08163013">
        <w:t xml:space="preserve"> prvních </w:t>
      </w:r>
      <w:r w:rsidR="08163013" w:rsidRPr="00B23BB7">
        <w:rPr>
          <w:i/>
        </w:rPr>
        <w:t>Modernorum</w:t>
      </w:r>
      <w:r w:rsidR="08163013">
        <w:rPr>
          <w:i/>
        </w:rPr>
        <w:t xml:space="preserve"> </w:t>
      </w:r>
      <w:r w:rsidR="08163013" w:rsidRPr="08CC384F">
        <w:t xml:space="preserve">v </w:t>
      </w:r>
      <w:r w:rsidR="08163013">
        <w:t xml:space="preserve">dějinném </w:t>
      </w:r>
      <w:r w:rsidR="08163013" w:rsidRPr="08CC384F">
        <w:t>modu</w:t>
      </w:r>
      <w:r w:rsidR="08163013">
        <w:t xml:space="preserve"> </w:t>
      </w:r>
      <w:r w:rsidR="08163013">
        <w:rPr>
          <w:i/>
        </w:rPr>
        <w:t>a</w:t>
      </w:r>
      <w:r w:rsidR="08163013" w:rsidRPr="08CC384F">
        <w:rPr>
          <w:i/>
        </w:rPr>
        <w:t>létheia</w:t>
      </w:r>
      <w:r w:rsidR="00FB7964">
        <w:t xml:space="preserve">. </w:t>
      </w:r>
      <w:r w:rsidR="00666FAA" w:rsidRPr="00666FAA">
        <w:t xml:space="preserve">Tato objektivně skrytá </w:t>
      </w:r>
      <w:r w:rsidR="00666FAA">
        <w:t xml:space="preserve">dějinnost </w:t>
      </w:r>
      <w:r w:rsidR="00666FAA" w:rsidRPr="00666FAA">
        <w:t xml:space="preserve">daná na úrovni ontologie určuje ontické dějiny </w:t>
      </w:r>
      <w:r w:rsidR="00666FAA" w:rsidRPr="00666FAA">
        <w:lastRenderedPageBreak/>
        <w:t xml:space="preserve">moderny. </w:t>
      </w:r>
      <w:r w:rsidR="004A6724">
        <w:t xml:space="preserve">Druhý </w:t>
      </w:r>
      <w:r w:rsidR="00666FAA">
        <w:t>díl</w:t>
      </w:r>
      <w:r w:rsidR="00666FAA" w:rsidRPr="00666FAA">
        <w:t xml:space="preserve"> zkoumal dějiny filosofie postavené na prom</w:t>
      </w:r>
      <w:r w:rsidR="00D54ECE">
        <w:t xml:space="preserve">ěně pravdy. Aristotelská teorie pravdy, později </w:t>
      </w:r>
      <w:r w:rsidR="00666FAA">
        <w:t>daná „</w:t>
      </w:r>
      <w:r w:rsidR="00666FAA" w:rsidRPr="00666FAA">
        <w:rPr>
          <w:i/>
        </w:rPr>
        <w:t>ad mentem Averrois</w:t>
      </w:r>
      <w:r w:rsidR="00666FAA">
        <w:t>“ jako k</w:t>
      </w:r>
      <w:r w:rsidR="00666FAA" w:rsidRPr="00666FAA">
        <w:t>orespondence skutečnosti a rozumu</w:t>
      </w:r>
      <w:r w:rsidR="00D54ECE">
        <w:t>,</w:t>
      </w:r>
      <w:r w:rsidR="00666FAA" w:rsidRPr="00666FAA">
        <w:t xml:space="preserve"> se proměnila v pozitivně determinovanou </w:t>
      </w:r>
      <w:r w:rsidR="00666FAA" w:rsidRPr="00666FAA">
        <w:rPr>
          <w:i/>
        </w:rPr>
        <w:t>veritas</w:t>
      </w:r>
      <w:r w:rsidR="00666FAA" w:rsidRPr="00666FAA">
        <w:t xml:space="preserve">. </w:t>
      </w:r>
      <w:r w:rsidR="00967676">
        <w:t xml:space="preserve">Donace </w:t>
      </w:r>
      <w:r w:rsidR="00967676" w:rsidRPr="00967676">
        <w:t xml:space="preserve">objektivně konstituované </w:t>
      </w:r>
      <w:r w:rsidR="00967676">
        <w:t xml:space="preserve">esence </w:t>
      </w:r>
      <w:r w:rsidR="00967676" w:rsidRPr="00967676">
        <w:t xml:space="preserve">se rozhodujícím způsobem týká metafyzického </w:t>
      </w:r>
      <w:r w:rsidR="00967676">
        <w:t>bytí jsoucna</w:t>
      </w:r>
      <w:r w:rsidR="00967676" w:rsidRPr="00967676">
        <w:t xml:space="preserve">. </w:t>
      </w:r>
      <w:r w:rsidR="00967676">
        <w:t xml:space="preserve">Nové místo </w:t>
      </w:r>
      <w:r w:rsidR="00967676" w:rsidRPr="00967676">
        <w:t xml:space="preserve">pravdy a nepravdy </w:t>
      </w:r>
      <w:r w:rsidR="00967676">
        <w:t>(</w:t>
      </w:r>
      <w:r w:rsidR="00967676" w:rsidRPr="00967676">
        <w:rPr>
          <w:i/>
        </w:rPr>
        <w:t>Lichtung</w:t>
      </w:r>
      <w:r w:rsidR="00967676">
        <w:t xml:space="preserve">) v moderní metafyzice </w:t>
      </w:r>
      <w:r w:rsidR="00967676" w:rsidRPr="00967676">
        <w:t xml:space="preserve">je dáno přechodem od metafyzického k objektivnímu dativu. </w:t>
      </w:r>
      <w:r w:rsidR="005C0DAA">
        <w:t xml:space="preserve">Moderna provádí </w:t>
      </w:r>
      <w:r w:rsidR="005C0DAA">
        <w:rPr>
          <w:szCs w:val="24"/>
          <w:lang w:val="de-DE"/>
        </w:rPr>
        <w:t>assimilaci (</w:t>
      </w:r>
      <w:r w:rsidR="005C0DAA" w:rsidRPr="00AE5E78">
        <w:rPr>
          <w:i/>
          <w:szCs w:val="24"/>
          <w:lang w:val="de-DE"/>
        </w:rPr>
        <w:t>colligatio, collecta</w:t>
      </w:r>
      <w:r w:rsidR="005C0DAA">
        <w:rPr>
          <w:szCs w:val="24"/>
          <w:lang w:val="de-DE"/>
        </w:rPr>
        <w:t xml:space="preserve">) vší myslitelné </w:t>
      </w:r>
      <w:r w:rsidR="005C0DAA">
        <w:t>esenciálně určené jsoucnosti. Pravda jako mytická asimilace běží v rámci objektivně určeného přísunu jsoucna třetího druhu mezi demiurgickým subjektem a jím vytvořeným objektem (</w:t>
      </w:r>
      <w:r w:rsidR="005C0DAA" w:rsidRPr="009F4358">
        <w:rPr>
          <w:i/>
        </w:rPr>
        <w:t>Ge-Stell</w:t>
      </w:r>
      <w:r w:rsidR="005C0DAA">
        <w:t>). Ba</w:t>
      </w:r>
      <w:r w:rsidR="005911A0">
        <w:t xml:space="preserve">con proto prohlásil Rufuse, </w:t>
      </w:r>
      <w:r w:rsidR="005C0DAA">
        <w:t>filosofického zakladatele moderny</w:t>
      </w:r>
      <w:r w:rsidR="005911A0">
        <w:t>,</w:t>
      </w:r>
      <w:r w:rsidR="005C0DAA">
        <w:t xml:space="preserve"> za šíleného myslitele. </w:t>
      </w:r>
      <w:r w:rsidR="00ED0B68">
        <w:t>Myšlení metafyziků jako Rufus rozpoznalo nový akt donace jsoucna v podobě esence. Tito modernisté nutně museli změnit systém kategoriál</w:t>
      </w:r>
      <w:r w:rsidR="009F4358">
        <w:t>ních výpovědí o druhé substanci</w:t>
      </w:r>
      <w:r w:rsidR="00920260">
        <w:t>, p</w:t>
      </w:r>
      <w:r w:rsidR="009F4358">
        <w:t>roto</w:t>
      </w:r>
      <w:r w:rsidR="00920260">
        <w:t>že</w:t>
      </w:r>
      <w:r w:rsidR="009F4358">
        <w:t xml:space="preserve"> </w:t>
      </w:r>
      <w:r w:rsidR="00920260">
        <w:t xml:space="preserve">zrušili </w:t>
      </w:r>
      <w:r w:rsidR="009F4358">
        <w:t xml:space="preserve">pojetí aristotelské pravdy jako </w:t>
      </w:r>
      <w:r w:rsidR="009F4358" w:rsidRPr="08642C26">
        <w:rPr>
          <w:i/>
        </w:rPr>
        <w:t>adaequatio</w:t>
      </w:r>
      <w:r w:rsidR="00920260">
        <w:t>. Predikace</w:t>
      </w:r>
      <w:r w:rsidR="009F4358">
        <w:t xml:space="preserve"> mezi různými druhy esencí </w:t>
      </w:r>
      <w:r w:rsidR="00920260">
        <w:t>dostala od Rufuse novou</w:t>
      </w:r>
      <w:r w:rsidR="009F4358">
        <w:t xml:space="preserve"> form</w:t>
      </w:r>
      <w:r w:rsidR="00920260">
        <w:t>u</w:t>
      </w:r>
      <w:r w:rsidR="009F4358">
        <w:t xml:space="preserve"> </w:t>
      </w:r>
      <w:r w:rsidR="00ED0B68">
        <w:t>korespondence</w:t>
      </w:r>
      <w:r w:rsidR="009F4358">
        <w:t xml:space="preserve"> v rámci pravdy jako </w:t>
      </w:r>
      <w:r w:rsidR="009F4358">
        <w:rPr>
          <w:i/>
        </w:rPr>
        <w:t>coa</w:t>
      </w:r>
      <w:r w:rsidR="009F4358" w:rsidRPr="00405A7D">
        <w:rPr>
          <w:i/>
        </w:rPr>
        <w:t>equatio</w:t>
      </w:r>
      <w:r w:rsidR="009F4358">
        <w:rPr>
          <w:i/>
        </w:rPr>
        <w:fldChar w:fldCharType="begin"/>
      </w:r>
      <w:r w:rsidR="009F4358">
        <w:instrText xml:space="preserve"> XE "pravda:</w:instrText>
      </w:r>
      <w:r w:rsidR="009F4358" w:rsidRPr="00E11E1F">
        <w:rPr>
          <w:i/>
        </w:rPr>
        <w:instrText>coaequatio</w:instrText>
      </w:r>
      <w:r w:rsidR="009F4358">
        <w:instrText xml:space="preserve">" </w:instrText>
      </w:r>
      <w:r w:rsidR="009F4358">
        <w:rPr>
          <w:i/>
        </w:rPr>
        <w:fldChar w:fldCharType="end"/>
      </w:r>
      <w:r w:rsidR="00604725">
        <w:t>.</w:t>
      </w:r>
    </w:p>
    <w:p w:rsidR="08163013" w:rsidRPr="08C71180" w:rsidRDefault="00604725" w:rsidP="00656E40">
      <w:pPr>
        <w:ind w:firstLine="360"/>
      </w:pPr>
      <w:r>
        <w:t xml:space="preserve">Modernisté </w:t>
      </w:r>
      <w:r w:rsidRPr="00273106">
        <w:t>odpov</w:t>
      </w:r>
      <w:r>
        <w:t xml:space="preserve">ěděli </w:t>
      </w:r>
      <w:r w:rsidRPr="00273106">
        <w:t>v řádu bytí jsoucího na klasické danosti latinského dativu</w:t>
      </w:r>
      <w:r>
        <w:t xml:space="preserve">, což byla </w:t>
      </w:r>
      <w:r w:rsidRPr="00273106">
        <w:t>gramatic</w:t>
      </w:r>
      <w:r>
        <w:t>ká kategorie předaná Prisciánem (OBJ II, kap. 1.1).</w:t>
      </w:r>
      <w:r w:rsidRPr="00967676">
        <w:t xml:space="preserve"> </w:t>
      </w:r>
      <w:r w:rsidRPr="00273106">
        <w:t xml:space="preserve">Tento </w:t>
      </w:r>
      <w:r>
        <w:t xml:space="preserve">hermeneutický </w:t>
      </w:r>
      <w:r w:rsidRPr="00273106">
        <w:t xml:space="preserve">dativ </w:t>
      </w:r>
      <w:r>
        <w:t xml:space="preserve">označený termínem </w:t>
      </w:r>
      <w:r w:rsidR="00D00BB6">
        <w:t>„</w:t>
      </w:r>
      <w:r w:rsidRPr="00110B48">
        <w:rPr>
          <w:i/>
        </w:rPr>
        <w:t>dativus obiectivus</w:t>
      </w:r>
      <w:r w:rsidR="00D00BB6">
        <w:t>“</w:t>
      </w:r>
      <w:r>
        <w:rPr>
          <w:i/>
        </w:rPr>
        <w:fldChar w:fldCharType="begin"/>
      </w:r>
      <w:r>
        <w:instrText xml:space="preserve"> XE "</w:instrText>
      </w:r>
      <w:r w:rsidRPr="08BB24F7">
        <w:rPr>
          <w:i/>
        </w:rPr>
        <w:instrText>dativus obiectivus</w:instrText>
      </w:r>
      <w:r>
        <w:instrText xml:space="preserve">" </w:instrText>
      </w:r>
      <w:r>
        <w:rPr>
          <w:i/>
        </w:rPr>
        <w:fldChar w:fldCharType="end"/>
      </w:r>
      <w:r>
        <w:t xml:space="preserve"> </w:t>
      </w:r>
      <w:r w:rsidRPr="00273106">
        <w:t xml:space="preserve">poukazuje na událost </w:t>
      </w:r>
      <w:r>
        <w:t xml:space="preserve">zpřítomnění </w:t>
      </w:r>
      <w:r w:rsidRPr="00273106">
        <w:t>bytí jsoucna (</w:t>
      </w:r>
      <w:r w:rsidRPr="00273106">
        <w:rPr>
          <w:i/>
        </w:rPr>
        <w:t>Ereignis</w:t>
      </w:r>
      <w:r>
        <w:t xml:space="preserve">) v modu </w:t>
      </w:r>
      <w:r w:rsidRPr="00273106">
        <w:t xml:space="preserve">dějinné formy skrytosti a odkrytosti </w:t>
      </w:r>
      <w:r w:rsidR="00445E63">
        <w:t>zjevené skrze metafyzickou substanci</w:t>
      </w:r>
      <w:r>
        <w:t xml:space="preserve"> (</w:t>
      </w:r>
      <w:r>
        <w:rPr>
          <w:i/>
        </w:rPr>
        <w:t>a</w:t>
      </w:r>
      <w:r w:rsidRPr="08CC384F">
        <w:rPr>
          <w:i/>
        </w:rPr>
        <w:t>létheia</w:t>
      </w:r>
      <w:r>
        <w:rPr>
          <w:i/>
        </w:rPr>
        <w:fldChar w:fldCharType="begin"/>
      </w:r>
      <w:r>
        <w:instrText xml:space="preserve"> XE "</w:instrText>
      </w:r>
      <w:r w:rsidRPr="08F77517">
        <w:rPr>
          <w:i/>
        </w:rPr>
        <w:instrText>a/létheia</w:instrText>
      </w:r>
      <w:r>
        <w:instrText xml:space="preserve">" </w:instrText>
      </w:r>
      <w:r>
        <w:rPr>
          <w:i/>
        </w:rPr>
        <w:fldChar w:fldCharType="end"/>
      </w:r>
      <w:r>
        <w:t xml:space="preserve">). </w:t>
      </w:r>
      <w:r w:rsidR="08004E19">
        <w:t>Akt d</w:t>
      </w:r>
      <w:r w:rsidR="08163013">
        <w:t>onace je v řecké a latinské</w:t>
      </w:r>
      <w:r w:rsidR="08163013" w:rsidRPr="00273106">
        <w:t xml:space="preserve"> </w:t>
      </w:r>
      <w:r w:rsidR="08004E19">
        <w:t>gramatice vyjádřen</w:t>
      </w:r>
      <w:r w:rsidR="08163013">
        <w:t xml:space="preserve"> dativem (</w:t>
      </w:r>
      <w:r w:rsidR="08163013">
        <w:rPr>
          <w:rStyle w:val="st"/>
        </w:rPr>
        <w:t xml:space="preserve">δοτικὴ πτῶσις, </w:t>
      </w:r>
      <w:r w:rsidR="08163013">
        <w:rPr>
          <w:i/>
          <w:iCs/>
        </w:rPr>
        <w:t>casus dativus</w:t>
      </w:r>
      <w:r w:rsidR="08163013">
        <w:t>). Dionysius Thrax</w:t>
      </w:r>
      <w:r w:rsidR="08163013">
        <w:fldChar w:fldCharType="begin"/>
      </w:r>
      <w:r w:rsidR="08163013">
        <w:instrText xml:space="preserve"> XE "</w:instrText>
      </w:r>
      <w:r w:rsidR="08163013" w:rsidRPr="08CA19E7">
        <w:instrText>Dionysius Thrax</w:instrText>
      </w:r>
      <w:r w:rsidR="08163013">
        <w:instrText xml:space="preserve">" </w:instrText>
      </w:r>
      <w:r w:rsidR="08163013">
        <w:fldChar w:fldCharType="end"/>
      </w:r>
      <w:r w:rsidR="08163013">
        <w:t xml:space="preserve"> používá v klasickém díle věnovaném umění pravdivé mluvy pro dativ termín označující zaslání dopisu nějakému adresátovi (δοτικὴ ἐπισταλτική, </w:t>
      </w:r>
      <w:r w:rsidR="08163013" w:rsidRPr="08144119">
        <w:rPr>
          <w:i/>
        </w:rPr>
        <w:t>Ars Grammati</w:t>
      </w:r>
      <w:r w:rsidR="08163013">
        <w:rPr>
          <w:i/>
        </w:rPr>
        <w:t>c</w:t>
      </w:r>
      <w:r w:rsidR="08163013" w:rsidRPr="08144119">
        <w:rPr>
          <w:i/>
        </w:rPr>
        <w:t>a</w:t>
      </w:r>
      <w:r w:rsidR="08163013">
        <w:t xml:space="preserve"> 1.31.7</w:t>
      </w:r>
      <w:r w:rsidR="08163013">
        <w:fldChar w:fldCharType="begin"/>
      </w:r>
      <w:r w:rsidR="08163013">
        <w:instrText xml:space="preserve"> XE "</w:instrText>
      </w:r>
      <w:r w:rsidR="08163013" w:rsidRPr="08144119">
        <w:instrText xml:space="preserve"> </w:instrText>
      </w:r>
      <w:r w:rsidR="08163013">
        <w:instrText>Dionysius Thrax:</w:instrText>
      </w:r>
      <w:r w:rsidR="08163013" w:rsidRPr="082E0F6F">
        <w:rPr>
          <w:i/>
        </w:rPr>
        <w:instrText>Ars Grammatia</w:instrText>
      </w:r>
      <w:r w:rsidR="08163013" w:rsidRPr="082E0F6F">
        <w:instrText xml:space="preserve"> 1.31.7</w:instrText>
      </w:r>
      <w:r w:rsidR="08163013">
        <w:instrText xml:space="preserve">" </w:instrText>
      </w:r>
      <w:r w:rsidR="08163013">
        <w:fldChar w:fldCharType="end"/>
      </w:r>
      <w:r w:rsidR="08163013">
        <w:t xml:space="preserve">). Múzická forma epistulárního dativu vede </w:t>
      </w:r>
      <w:r w:rsidR="08416ECF">
        <w:t>hermeneu</w:t>
      </w:r>
      <w:r w:rsidR="086B2588">
        <w:t>tický výklad objektivity. P</w:t>
      </w:r>
      <w:r w:rsidR="08416ECF">
        <w:t xml:space="preserve">ůvodní smysl </w:t>
      </w:r>
      <w:r w:rsidR="081942A4">
        <w:t>objektivity vyja</w:t>
      </w:r>
      <w:r w:rsidR="086B2588">
        <w:t>dřuje</w:t>
      </w:r>
      <w:r w:rsidR="00DF2A29">
        <w:t xml:space="preserve"> epistolární </w:t>
      </w:r>
      <w:r w:rsidR="086B2588">
        <w:t>dativ</w:t>
      </w:r>
      <w:r w:rsidR="00E65A22">
        <w:t xml:space="preserve">. Ten je </w:t>
      </w:r>
      <w:r w:rsidR="08416ECF">
        <w:t>vztažen</w:t>
      </w:r>
      <w:r w:rsidR="08163013">
        <w:t xml:space="preserve"> k archaické donaci smys</w:t>
      </w:r>
      <w:r w:rsidR="085B7CE1">
        <w:t xml:space="preserve">lu směrem od </w:t>
      </w:r>
      <w:r w:rsidR="00AE49E4">
        <w:t xml:space="preserve">trvale </w:t>
      </w:r>
      <w:r w:rsidR="085B7CE1">
        <w:t xml:space="preserve">skrytého </w:t>
      </w:r>
      <w:r w:rsidR="00F85A36">
        <w:t>odesílatele</w:t>
      </w:r>
      <w:r w:rsidR="085B7CE1">
        <w:t xml:space="preserve">. Tuto skrytost původní plnosti </w:t>
      </w:r>
      <w:r w:rsidR="00CF2142">
        <w:t>b</w:t>
      </w:r>
      <w:r w:rsidR="085B7CE1">
        <w:t xml:space="preserve">ytí </w:t>
      </w:r>
      <w:r w:rsidR="00CF2142">
        <w:t>obsahuje múzické</w:t>
      </w:r>
      <w:r w:rsidR="001E129D">
        <w:t xml:space="preserve"> a t</w:t>
      </w:r>
      <w:r w:rsidR="00CF2142">
        <w:t>ragické pojetí pravdy</w:t>
      </w:r>
      <w:r w:rsidR="001E129D">
        <w:t>, které je pak uchopen</w:t>
      </w:r>
      <w:r w:rsidR="00CF2142">
        <w:t>o</w:t>
      </w:r>
      <w:r w:rsidR="001E129D">
        <w:t xml:space="preserve"> v rámci </w:t>
      </w:r>
      <w:r w:rsidR="085B7CE1">
        <w:t>séma</w:t>
      </w:r>
      <w:r w:rsidR="080D6456">
        <w:t>n</w:t>
      </w:r>
      <w:r w:rsidR="085B7CE1">
        <w:t>ti</w:t>
      </w:r>
      <w:r w:rsidR="001E129D">
        <w:t>ky</w:t>
      </w:r>
      <w:r w:rsidR="00CF2142">
        <w:t xml:space="preserve">. </w:t>
      </w:r>
      <w:r w:rsidR="08163013">
        <w:t>Moderní subjekt se stal novým adresátem</w:t>
      </w:r>
      <w:r w:rsidR="088C3B9C">
        <w:t xml:space="preserve"> původní formy</w:t>
      </w:r>
      <w:r w:rsidR="080D6456">
        <w:t xml:space="preserve"> pravdy, kterou myslitelky zapřel a tragikomicky </w:t>
      </w:r>
      <w:r w:rsidR="00780289">
        <w:t>deformoval</w:t>
      </w:r>
      <w:r w:rsidR="080D6456">
        <w:t xml:space="preserve">. </w:t>
      </w:r>
      <w:r w:rsidR="08864D93">
        <w:t xml:space="preserve">Hermeneutika sleduje osudy tohoto </w:t>
      </w:r>
      <w:r w:rsidR="08864D93" w:rsidRPr="088E1C35">
        <w:rPr>
          <w:i/>
        </w:rPr>
        <w:t>translatio studiorum</w:t>
      </w:r>
      <w:r w:rsidR="08864D93">
        <w:rPr>
          <w:i/>
        </w:rPr>
        <w:fldChar w:fldCharType="begin"/>
      </w:r>
      <w:r w:rsidR="08864D93">
        <w:instrText xml:space="preserve"> XE "</w:instrText>
      </w:r>
      <w:r w:rsidR="08864D93" w:rsidRPr="08F20858">
        <w:rPr>
          <w:i/>
        </w:rPr>
        <w:instrText>translatio studiorum</w:instrText>
      </w:r>
      <w:r w:rsidR="08864D93">
        <w:instrText xml:space="preserve">" </w:instrText>
      </w:r>
      <w:r w:rsidR="08864D93">
        <w:rPr>
          <w:i/>
        </w:rPr>
        <w:fldChar w:fldCharType="end"/>
      </w:r>
      <w:r w:rsidR="00A735C8">
        <w:t xml:space="preserve"> v</w:t>
      </w:r>
      <w:r w:rsidR="002B3E23">
        <w:t> západním m</w:t>
      </w:r>
      <w:r w:rsidR="00A735C8">
        <w:t>yšlení.</w:t>
      </w:r>
      <w:r w:rsidR="00656E40">
        <w:t xml:space="preserve"> </w:t>
      </w:r>
      <w:r w:rsidR="08163013">
        <w:t xml:space="preserve">Nová kategorizace </w:t>
      </w:r>
      <w:r w:rsidR="004460FB">
        <w:t xml:space="preserve">analyzuje </w:t>
      </w:r>
      <w:r w:rsidR="08163013">
        <w:t xml:space="preserve">dějinnou událost donace objektivního bytí jsoucna v modu </w:t>
      </w:r>
      <w:r w:rsidR="08163013" w:rsidRPr="08091DBC">
        <w:rPr>
          <w:i/>
        </w:rPr>
        <w:t>dativus obiectivus</w:t>
      </w:r>
      <w:r w:rsidR="0817035E">
        <w:t xml:space="preserve">. Tato donace </w:t>
      </w:r>
      <w:r w:rsidR="08163013">
        <w:t>z</w:t>
      </w:r>
      <w:r w:rsidR="08E75281">
        <w:t>akládá moderní formy metafyziky</w:t>
      </w:r>
      <w:r w:rsidR="08163013">
        <w:t>.</w:t>
      </w:r>
      <w:r w:rsidR="005C3176">
        <w:t xml:space="preserve"> </w:t>
      </w:r>
      <w:r w:rsidR="08163013">
        <w:t xml:space="preserve">Nepřítomné bytí jsoucna, jehož pravda a nepravda je </w:t>
      </w:r>
      <w:r w:rsidR="08163013">
        <w:lastRenderedPageBreak/>
        <w:t>spravovaná Múzami (</w:t>
      </w:r>
      <w:r w:rsidR="08163013" w:rsidRPr="080A033F">
        <w:rPr>
          <w:i/>
        </w:rPr>
        <w:t>Theog</w:t>
      </w:r>
      <w:r w:rsidR="08163013">
        <w:t>. 27</w:t>
      </w:r>
      <w:r w:rsidR="08163013">
        <w:fldChar w:fldCharType="begin"/>
      </w:r>
      <w:r w:rsidR="08163013">
        <w:instrText xml:space="preserve"> XE "Hesiod:</w:instrText>
      </w:r>
      <w:r w:rsidR="08163013" w:rsidRPr="08476996">
        <w:rPr>
          <w:i/>
        </w:rPr>
        <w:instrText>Theogonie</w:instrText>
      </w:r>
      <w:r w:rsidR="08163013">
        <w:instrText xml:space="preserve"> 27" </w:instrText>
      </w:r>
      <w:r w:rsidR="08163013">
        <w:fldChar w:fldCharType="end"/>
      </w:r>
      <w:r w:rsidR="08163013">
        <w:t xml:space="preserve">), posílá moudrým smrtelníkům </w:t>
      </w:r>
      <w:r w:rsidR="001127DB" w:rsidRPr="00BB1A21">
        <w:rPr>
          <w:szCs w:val="24"/>
        </w:rPr>
        <w:t xml:space="preserve">(δοτικὴ </w:t>
      </w:r>
      <w:r w:rsidR="001127DB" w:rsidRPr="00A62A4D">
        <w:rPr>
          <w:szCs w:val="24"/>
        </w:rPr>
        <w:t>ἐπισταλτική</w:t>
      </w:r>
      <w:r w:rsidR="001127DB" w:rsidRPr="00BB1A21">
        <w:rPr>
          <w:szCs w:val="24"/>
        </w:rPr>
        <w:t xml:space="preserve">, </w:t>
      </w:r>
      <w:r w:rsidR="001127DB" w:rsidRPr="00BB1A21">
        <w:rPr>
          <w:i/>
          <w:iCs/>
          <w:szCs w:val="24"/>
        </w:rPr>
        <w:t>casus dativus</w:t>
      </w:r>
      <w:r w:rsidR="001127DB" w:rsidRPr="00BB1A21">
        <w:rPr>
          <w:szCs w:val="24"/>
        </w:rPr>
        <w:t>)</w:t>
      </w:r>
      <w:r w:rsidR="001127DB">
        <w:rPr>
          <w:szCs w:val="24"/>
        </w:rPr>
        <w:t xml:space="preserve"> </w:t>
      </w:r>
      <w:r w:rsidR="08163013">
        <w:t xml:space="preserve">tragický a pythický dopis </w:t>
      </w:r>
      <w:r w:rsidR="08E22431">
        <w:t xml:space="preserve">ze skryté dějinnosti do odkrytých dějin. </w:t>
      </w:r>
      <w:r w:rsidR="000C4AB5">
        <w:t xml:space="preserve">Poslední adresáti, kteří ještě </w:t>
      </w:r>
      <w:r w:rsidR="009B4C9E">
        <w:t>rozuměli</w:t>
      </w:r>
      <w:r w:rsidR="000C4AB5">
        <w:t xml:space="preserve"> tomuto</w:t>
      </w:r>
      <w:r w:rsidR="002E50D4">
        <w:t xml:space="preserve"> dopisu, byli</w:t>
      </w:r>
      <w:r w:rsidR="000C4AB5">
        <w:t xml:space="preserve"> autoři řeckých tragédií. </w:t>
      </w:r>
      <w:r w:rsidR="08E22431">
        <w:t xml:space="preserve">Dějiny </w:t>
      </w:r>
      <w:r w:rsidR="08E22431" w:rsidRPr="08E22431">
        <w:rPr>
          <w:i/>
        </w:rPr>
        <w:t>Modernorum</w:t>
      </w:r>
      <w:r w:rsidR="08E22431">
        <w:t xml:space="preserve"> jsou dány jako historický sled na sebe navazující</w:t>
      </w:r>
      <w:r w:rsidR="087E1108">
        <w:t>c</w:t>
      </w:r>
      <w:r w:rsidR="08E22431">
        <w:t>h forem o</w:t>
      </w:r>
      <w:r w:rsidR="08163013">
        <w:t xml:space="preserve">bjektivního dativu. </w:t>
      </w:r>
      <w:r w:rsidR="00963634" w:rsidRPr="00963634">
        <w:t xml:space="preserve">Tyto nihilistické formy modernity je třeba interpretovat archaickým způsobem, který odkazuje k zakládající události </w:t>
      </w:r>
      <w:r w:rsidR="00963634">
        <w:t xml:space="preserve">určené skrze </w:t>
      </w:r>
      <w:r w:rsidR="00963634" w:rsidRPr="00963634">
        <w:rPr>
          <w:i/>
          <w:iCs/>
        </w:rPr>
        <w:t>dativus archegeticus</w:t>
      </w:r>
      <w:r w:rsidR="00963634" w:rsidRPr="00963634">
        <w:t>. Archegetický dativ v</w:t>
      </w:r>
      <w:r w:rsidR="00963634">
        <w:t xml:space="preserve"> múzickém </w:t>
      </w:r>
      <w:r w:rsidR="00963634" w:rsidRPr="00963634">
        <w:t xml:space="preserve">smyslu </w:t>
      </w:r>
      <w:r w:rsidR="00963634">
        <w:t>„</w:t>
      </w:r>
      <w:r w:rsidR="00963634" w:rsidRPr="00963634">
        <w:rPr>
          <w:i/>
          <w:iCs/>
        </w:rPr>
        <w:t>casus dativus</w:t>
      </w:r>
      <w:r w:rsidR="00963634">
        <w:rPr>
          <w:iCs/>
        </w:rPr>
        <w:t>“</w:t>
      </w:r>
      <w:r w:rsidR="00963634" w:rsidRPr="00963634">
        <w:t xml:space="preserve"> je v </w:t>
      </w:r>
      <w:r w:rsidR="00963634">
        <w:t>Homérově díle přítomen jako znamení</w:t>
      </w:r>
      <w:r w:rsidR="00963634" w:rsidRPr="00963634">
        <w:t>. Hermeneu</w:t>
      </w:r>
      <w:r w:rsidR="00963634">
        <w:t>tická archeologie se musí spr</w:t>
      </w:r>
      <w:r w:rsidR="00A166EC">
        <w:t>á</w:t>
      </w:r>
      <w:r w:rsidR="00963634">
        <w:t xml:space="preserve">vně zahájit stavbu nového Domu moudrosti a k tomu musí nasbírat </w:t>
      </w:r>
      <w:r w:rsidR="00963634" w:rsidRPr="00963634">
        <w:t xml:space="preserve">vhodné kameny (αἱμασιάς τε λέγων, </w:t>
      </w:r>
      <w:r w:rsidR="00963634" w:rsidRPr="00963634">
        <w:rPr>
          <w:i/>
          <w:iCs/>
        </w:rPr>
        <w:t>Odys</w:t>
      </w:r>
      <w:r w:rsidR="00963634" w:rsidRPr="00963634">
        <w:t>. 18.359</w:t>
      </w:r>
      <w:r w:rsidR="00261C8E">
        <w:fldChar w:fldCharType="begin"/>
      </w:r>
      <w:r w:rsidR="00261C8E">
        <w:instrText xml:space="preserve"> XE "Homer:</w:instrText>
      </w:r>
      <w:r w:rsidR="00261C8E" w:rsidRPr="08A970A6">
        <w:rPr>
          <w:i/>
        </w:rPr>
        <w:instrText>Odys</w:instrText>
      </w:r>
      <w:r w:rsidR="00261C8E" w:rsidRPr="087E4B80">
        <w:instrText>. 18.359</w:instrText>
      </w:r>
      <w:r w:rsidR="00261C8E">
        <w:instrText xml:space="preserve">" </w:instrText>
      </w:r>
      <w:r w:rsidR="00261C8E">
        <w:fldChar w:fldCharType="end"/>
      </w:r>
      <w:r w:rsidR="00963634" w:rsidRPr="00963634">
        <w:t>). Kritériu</w:t>
      </w:r>
      <w:r w:rsidR="00856229">
        <w:t>m tohoto archaického sběru znamení</w:t>
      </w:r>
      <w:r w:rsidR="00963634" w:rsidRPr="00963634">
        <w:t xml:space="preserve"> </w:t>
      </w:r>
      <w:r w:rsidR="00963634">
        <w:t>(</w:t>
      </w:r>
      <w:r w:rsidR="00963634">
        <w:rPr>
          <w:rStyle w:val="ky2igmncmogjharherah"/>
        </w:rPr>
        <w:t>λέγειν</w:t>
      </w:r>
      <w:r w:rsidR="00963634">
        <w:t xml:space="preserve">) </w:t>
      </w:r>
      <w:r w:rsidR="00963634" w:rsidRPr="00963634">
        <w:t>je třeba objasnit p</w:t>
      </w:r>
      <w:r w:rsidR="00963634">
        <w:t>odle Heideggerova termínu „</w:t>
      </w:r>
      <w:r w:rsidR="00963634" w:rsidRPr="00963634">
        <w:rPr>
          <w:i/>
        </w:rPr>
        <w:t>Lese</w:t>
      </w:r>
      <w:r w:rsidR="00963634">
        <w:t>“</w:t>
      </w:r>
      <w:r w:rsidR="00963634" w:rsidRPr="00963634">
        <w:t>.</w:t>
      </w:r>
      <w:r w:rsidR="00963634">
        <w:rPr>
          <w:rStyle w:val="Znakapoznpodarou"/>
          <w:szCs w:val="24"/>
        </w:rPr>
        <w:footnoteReference w:id="4"/>
      </w:r>
      <w:r w:rsidR="005422E6">
        <w:t xml:space="preserve"> </w:t>
      </w:r>
      <w:r w:rsidR="007C37C0">
        <w:t>A</w:t>
      </w:r>
      <w:r w:rsidR="08163013">
        <w:t>rchaick</w:t>
      </w:r>
      <w:r w:rsidR="007C37C0">
        <w:t>ý výběr</w:t>
      </w:r>
      <w:r w:rsidR="08163013">
        <w:t xml:space="preserve"> znamení </w:t>
      </w:r>
      <w:r w:rsidR="007C37C0">
        <w:t xml:space="preserve">v modu </w:t>
      </w:r>
      <w:r w:rsidR="08163013">
        <w:t xml:space="preserve">múzické pravdy a nepravdy určuje apofantická kategorizace. Archaická hermeneutika se vrací v epoše dokonané sofistiky k původní gramatické signifikaci a kategorizaci </w:t>
      </w:r>
      <w:r w:rsidR="08163013" w:rsidRPr="00273106">
        <w:t>dativu</w:t>
      </w:r>
      <w:r w:rsidR="08163013">
        <w:t xml:space="preserve"> v jeho základní kazuistice. </w:t>
      </w:r>
      <w:r w:rsidR="08997D19">
        <w:t>G</w:t>
      </w:r>
      <w:r w:rsidR="08163013">
        <w:t>ramatická kategorizace je determinována od hyparchické formy</w:t>
      </w:r>
      <w:r w:rsidR="08163013" w:rsidRPr="00273106">
        <w:t xml:space="preserve"> bytí </w:t>
      </w:r>
      <w:r w:rsidR="08163013">
        <w:t>jsoucna, která je od roku 1250 manifestována jako o</w:t>
      </w:r>
      <w:r w:rsidR="08163013" w:rsidRPr="00273106">
        <w:t xml:space="preserve">bjektivní </w:t>
      </w:r>
      <w:r w:rsidR="08163013" w:rsidRPr="00CD1DAA">
        <w:rPr>
          <w:i/>
        </w:rPr>
        <w:t>ens</w:t>
      </w:r>
      <w:r w:rsidR="08163013" w:rsidRPr="00273106">
        <w:t>.</w:t>
      </w:r>
      <w:r w:rsidR="08163013">
        <w:t xml:space="preserve"> Hermeneutika objektivity návratem k počátku smysluplné řeči v modu nové gramatologie </w:t>
      </w:r>
      <w:r w:rsidR="08AE68A2">
        <w:t xml:space="preserve">podává </w:t>
      </w:r>
      <w:r w:rsidR="08163013">
        <w:t>novou tabulku kategorií podle múzické formy predikace.</w:t>
      </w:r>
      <w:r w:rsidR="087F60E9">
        <w:t xml:space="preserve"> Struktura </w:t>
      </w:r>
      <w:r w:rsidR="08064A82">
        <w:t xml:space="preserve">Heideggerových </w:t>
      </w:r>
      <w:r w:rsidR="087F60E9">
        <w:t>existenciálů</w:t>
      </w:r>
      <w:r w:rsidR="087F60E9">
        <w:fldChar w:fldCharType="begin"/>
      </w:r>
      <w:r w:rsidR="087F60E9">
        <w:instrText xml:space="preserve"> XE "</w:instrText>
      </w:r>
      <w:r w:rsidR="087F60E9" w:rsidRPr="005B70D6">
        <w:instrText>existenciály</w:instrText>
      </w:r>
      <w:r w:rsidR="087F60E9">
        <w:instrText xml:space="preserve">" </w:instrText>
      </w:r>
      <w:r w:rsidR="087F60E9">
        <w:fldChar w:fldCharType="end"/>
      </w:r>
      <w:r w:rsidR="087F60E9">
        <w:t xml:space="preserve"> </w:t>
      </w:r>
      <w:r w:rsidR="00245905">
        <w:t xml:space="preserve">v díle </w:t>
      </w:r>
      <w:r w:rsidR="00245905" w:rsidRPr="00245905">
        <w:rPr>
          <w:i/>
        </w:rPr>
        <w:t>Sein und Zeit</w:t>
      </w:r>
      <w:r w:rsidR="00245905">
        <w:t xml:space="preserve"> rovněž odhaluje d</w:t>
      </w:r>
      <w:r w:rsidR="087F60E9">
        <w:t xml:space="preserve">ějinnou </w:t>
      </w:r>
      <w:r w:rsidR="00245905">
        <w:t xml:space="preserve">podobu </w:t>
      </w:r>
      <w:r w:rsidR="087F60E9">
        <w:t xml:space="preserve">objektivity </w:t>
      </w:r>
      <w:r w:rsidR="085C387D">
        <w:t xml:space="preserve">v její pravdě </w:t>
      </w:r>
      <w:r w:rsidR="00D427A8">
        <w:t xml:space="preserve">jako </w:t>
      </w:r>
      <w:r w:rsidR="00245905" w:rsidRPr="00E12118">
        <w:rPr>
          <w:i/>
        </w:rPr>
        <w:t>alétheia</w:t>
      </w:r>
      <w:r w:rsidR="00245905">
        <w:rPr>
          <w:i/>
        </w:rPr>
        <w:fldChar w:fldCharType="begin"/>
      </w:r>
      <w:r w:rsidR="00245905">
        <w:instrText xml:space="preserve"> XE "</w:instrText>
      </w:r>
      <w:r w:rsidR="00245905" w:rsidRPr="08294D0D">
        <w:rPr>
          <w:i/>
        </w:rPr>
        <w:instrText>alétheia</w:instrText>
      </w:r>
      <w:r w:rsidR="00245905">
        <w:instrText xml:space="preserve">" </w:instrText>
      </w:r>
      <w:r w:rsidR="00245905">
        <w:rPr>
          <w:i/>
        </w:rPr>
        <w:fldChar w:fldCharType="end"/>
      </w:r>
      <w:r w:rsidR="00245905">
        <w:t xml:space="preserve">. </w:t>
      </w:r>
      <w:r w:rsidR="08170CC6">
        <w:t xml:space="preserve">Nová tabulka kategorií podává výklad dějinného způsobu, </w:t>
      </w:r>
      <w:r w:rsidR="000E69B7">
        <w:t>„</w:t>
      </w:r>
      <w:r w:rsidR="08170CC6">
        <w:t>jak</w:t>
      </w:r>
      <w:r w:rsidR="000E69B7">
        <w:t>“</w:t>
      </w:r>
      <w:r w:rsidR="08170CC6">
        <w:t xml:space="preserve"> se dává </w:t>
      </w:r>
      <w:r w:rsidR="0065530E">
        <w:t xml:space="preserve">číst </w:t>
      </w:r>
      <w:r w:rsidR="08170CC6">
        <w:t xml:space="preserve">bytí </w:t>
      </w:r>
      <w:r w:rsidR="007C37C0">
        <w:t xml:space="preserve">metafyzického jsoucna </w:t>
      </w:r>
      <w:r w:rsidR="08170CC6">
        <w:t xml:space="preserve">skrze predikativní strukturu </w:t>
      </w:r>
      <w:r w:rsidR="08170CC6" w:rsidRPr="004D26D1">
        <w:rPr>
          <w:i/>
        </w:rPr>
        <w:t>dativus obiectivus</w:t>
      </w:r>
      <w:r w:rsidR="08170CC6">
        <w:rPr>
          <w:i/>
        </w:rPr>
        <w:fldChar w:fldCharType="begin"/>
      </w:r>
      <w:r w:rsidR="08170CC6">
        <w:instrText xml:space="preserve"> XE "objektivita:</w:instrText>
      </w:r>
      <w:r w:rsidR="08170CC6" w:rsidRPr="00FE069E">
        <w:rPr>
          <w:i/>
        </w:rPr>
        <w:instrText>dativus obiectivus</w:instrText>
      </w:r>
      <w:r w:rsidR="08170CC6">
        <w:instrText xml:space="preserve">" </w:instrText>
      </w:r>
      <w:r w:rsidR="08170CC6">
        <w:rPr>
          <w:i/>
        </w:rPr>
        <w:fldChar w:fldCharType="end"/>
      </w:r>
      <w:r w:rsidR="08170CC6">
        <w:t>.</w:t>
      </w:r>
      <w:r w:rsidR="003923F6">
        <w:t xml:space="preserve"> Kategorizace objektivně určeného jsoucna sleduje klasické gramatické významy</w:t>
      </w:r>
      <w:r w:rsidR="003923F6" w:rsidRPr="00273106">
        <w:t xml:space="preserve"> latinského dativu</w:t>
      </w:r>
      <w:r w:rsidR="003923F6">
        <w:t xml:space="preserve">. </w:t>
      </w:r>
      <w:r w:rsidR="007C14C4" w:rsidRPr="007C14C4">
        <w:t xml:space="preserve">Hermeneutika </w:t>
      </w:r>
      <w:r w:rsidR="007C14C4">
        <w:t>po Heideggerovi</w:t>
      </w:r>
      <w:r w:rsidR="007C14C4" w:rsidRPr="007C14C4">
        <w:t xml:space="preserve"> musí zkoumat </w:t>
      </w:r>
      <w:r w:rsidR="007C14C4">
        <w:t>dějnnou danost (</w:t>
      </w:r>
      <w:r w:rsidR="007C14C4" w:rsidRPr="007C14C4">
        <w:rPr>
          <w:i/>
        </w:rPr>
        <w:t>herme</w:t>
      </w:r>
      <w:r w:rsidR="00C61733">
        <w:rPr>
          <w:i/>
        </w:rPr>
        <w:t>neu</w:t>
      </w:r>
      <w:r w:rsidR="007C14C4" w:rsidRPr="007C14C4">
        <w:rPr>
          <w:i/>
        </w:rPr>
        <w:t>tisches „Wie“</w:t>
      </w:r>
      <w:r w:rsidR="007C14C4">
        <w:t xml:space="preserve">) zkoumaných jevů v modu </w:t>
      </w:r>
      <w:r w:rsidR="007C14C4" w:rsidRPr="007C14C4">
        <w:rPr>
          <w:i/>
        </w:rPr>
        <w:t>Bezugssinn</w:t>
      </w:r>
      <w:r w:rsidR="007C14C4">
        <w:t xml:space="preserve"> a </w:t>
      </w:r>
      <w:r w:rsidR="007C14C4" w:rsidRPr="007C14C4">
        <w:rPr>
          <w:i/>
        </w:rPr>
        <w:t>Vollzugsssinn</w:t>
      </w:r>
      <w:r w:rsidR="007C14C4">
        <w:t>. V rámci objektivní donace esence určené gramatickým dativem (</w:t>
      </w:r>
      <w:r w:rsidR="007C14C4">
        <w:rPr>
          <w:rStyle w:val="st"/>
        </w:rPr>
        <w:t xml:space="preserve">δοτικὴ πτῶσις, </w:t>
      </w:r>
      <w:r w:rsidR="007C14C4">
        <w:rPr>
          <w:i/>
          <w:iCs/>
        </w:rPr>
        <w:t>casus dativus</w:t>
      </w:r>
      <w:r w:rsidR="006756D4">
        <w:t xml:space="preserve">) je třeba zachránit </w:t>
      </w:r>
      <w:r w:rsidR="00E9533F">
        <w:t xml:space="preserve">kategoriální </w:t>
      </w:r>
      <w:r w:rsidR="007C14C4">
        <w:t>fenomény</w:t>
      </w:r>
      <w:r w:rsidR="006756D4">
        <w:t>, které se skrývají v následující</w:t>
      </w:r>
      <w:r w:rsidR="00E9533F">
        <w:t>c</w:t>
      </w:r>
      <w:r w:rsidR="006756D4">
        <w:t>h otázkách</w:t>
      </w:r>
      <w:r w:rsidR="007C14C4">
        <w:t xml:space="preserve">. </w:t>
      </w:r>
    </w:p>
    <w:p w:rsidR="08163013" w:rsidRPr="00273106" w:rsidRDefault="08163013" w:rsidP="00544A63">
      <w:pPr>
        <w:numPr>
          <w:ilvl w:val="0"/>
          <w:numId w:val="4"/>
        </w:numPr>
      </w:pPr>
      <w:r>
        <w:lastRenderedPageBreak/>
        <w:t>J</w:t>
      </w:r>
      <w:r w:rsidRPr="00273106">
        <w:t xml:space="preserve">ak </w:t>
      </w:r>
      <w:r w:rsidR="00400ACB">
        <w:t xml:space="preserve">bytí metafyzického jsoucna přišlo k objektivní </w:t>
      </w:r>
      <w:r w:rsidRPr="00273106">
        <w:t>jsoucnost</w:t>
      </w:r>
      <w:r w:rsidR="00400ACB">
        <w:t>i</w:t>
      </w:r>
      <w:r w:rsidRPr="00273106">
        <w:t xml:space="preserve"> (</w:t>
      </w:r>
      <w:r w:rsidRPr="00273106">
        <w:rPr>
          <w:i/>
        </w:rPr>
        <w:t>d</w:t>
      </w:r>
      <w:r w:rsidRPr="00273106">
        <w:rPr>
          <w:i/>
          <w:iCs/>
        </w:rPr>
        <w:t>ativus possessivus</w:t>
      </w:r>
      <w:r>
        <w:rPr>
          <w:i/>
          <w:iCs/>
        </w:rPr>
        <w:fldChar w:fldCharType="begin"/>
      </w:r>
      <w:r>
        <w:instrText xml:space="preserve"> XE "</w:instrText>
      </w:r>
      <w:r w:rsidRPr="00461B3F">
        <w:rPr>
          <w:i/>
        </w:rPr>
        <w:instrText>d</w:instrText>
      </w:r>
      <w:r w:rsidRPr="00461B3F">
        <w:rPr>
          <w:i/>
          <w:iCs/>
        </w:rPr>
        <w:instrText>ativus possessivus</w:instrText>
      </w:r>
      <w:r>
        <w:instrText xml:space="preserve">" </w:instrText>
      </w:r>
      <w:r>
        <w:rPr>
          <w:i/>
          <w:iCs/>
        </w:rPr>
        <w:fldChar w:fldCharType="end"/>
      </w:r>
      <w:r w:rsidRPr="00273106">
        <w:rPr>
          <w:iCs/>
        </w:rPr>
        <w:t>)</w:t>
      </w:r>
      <w:r w:rsidR="0026118A">
        <w:rPr>
          <w:iCs/>
        </w:rPr>
        <w:t>?</w:t>
      </w:r>
    </w:p>
    <w:p w:rsidR="08163013" w:rsidRPr="00273106" w:rsidRDefault="08163013" w:rsidP="00544A63">
      <w:pPr>
        <w:numPr>
          <w:ilvl w:val="0"/>
          <w:numId w:val="3"/>
        </w:numPr>
        <w:rPr>
          <w:iCs/>
        </w:rPr>
      </w:pPr>
      <w:r>
        <w:rPr>
          <w:iCs/>
        </w:rPr>
        <w:t>J</w:t>
      </w:r>
      <w:r w:rsidRPr="00273106">
        <w:rPr>
          <w:iCs/>
        </w:rPr>
        <w:t xml:space="preserve">ak </w:t>
      </w:r>
      <w:r>
        <w:rPr>
          <w:iCs/>
        </w:rPr>
        <w:t xml:space="preserve">subjekt přivádí objektivní </w:t>
      </w:r>
      <w:r w:rsidRPr="00273106">
        <w:rPr>
          <w:iCs/>
        </w:rPr>
        <w:t xml:space="preserve">jsoucno do dějinné </w:t>
      </w:r>
      <w:r w:rsidR="000A10FC">
        <w:rPr>
          <w:iCs/>
        </w:rPr>
        <w:t xml:space="preserve">odhalenosti jako </w:t>
      </w:r>
      <w:r w:rsidR="000A10FC" w:rsidRPr="000A10FC">
        <w:rPr>
          <w:i/>
          <w:iCs/>
        </w:rPr>
        <w:t>veritas</w:t>
      </w:r>
      <w:r w:rsidR="000A10FC">
        <w:rPr>
          <w:iCs/>
        </w:rPr>
        <w:t xml:space="preserve"> v rámci </w:t>
      </w:r>
      <w:r w:rsidRPr="00273106">
        <w:rPr>
          <w:iCs/>
        </w:rPr>
        <w:t>prvního a druhého averroismu (</w:t>
      </w:r>
      <w:r w:rsidRPr="00273106">
        <w:rPr>
          <w:i/>
          <w:iCs/>
        </w:rPr>
        <w:t>dativus auctoris</w:t>
      </w:r>
      <w:r>
        <w:rPr>
          <w:i/>
          <w:iCs/>
        </w:rPr>
        <w:fldChar w:fldCharType="begin"/>
      </w:r>
      <w:r>
        <w:instrText xml:space="preserve"> XE "</w:instrText>
      </w:r>
      <w:r w:rsidRPr="00C5228F">
        <w:rPr>
          <w:i/>
          <w:iCs/>
        </w:rPr>
        <w:instrText>dativus auctoris</w:instrText>
      </w:r>
      <w:r>
        <w:instrText xml:space="preserve">" </w:instrText>
      </w:r>
      <w:r>
        <w:rPr>
          <w:i/>
          <w:iCs/>
        </w:rPr>
        <w:fldChar w:fldCharType="end"/>
      </w:r>
      <w:r w:rsidRPr="00273106">
        <w:rPr>
          <w:iCs/>
        </w:rPr>
        <w:t>)</w:t>
      </w:r>
      <w:r w:rsidR="0026118A">
        <w:rPr>
          <w:iCs/>
        </w:rPr>
        <w:t>?</w:t>
      </w:r>
    </w:p>
    <w:p w:rsidR="08163013" w:rsidRPr="00273106" w:rsidRDefault="08163013" w:rsidP="00544A63">
      <w:pPr>
        <w:numPr>
          <w:ilvl w:val="0"/>
          <w:numId w:val="3"/>
        </w:numPr>
        <w:rPr>
          <w:iCs/>
        </w:rPr>
      </w:pPr>
      <w:r>
        <w:rPr>
          <w:iCs/>
        </w:rPr>
        <w:t xml:space="preserve">V </w:t>
      </w:r>
      <w:r w:rsidRPr="00273106">
        <w:rPr>
          <w:iCs/>
        </w:rPr>
        <w:t xml:space="preserve">jaké ontoteologické struktuře vystupuje </w:t>
      </w:r>
      <w:r>
        <w:rPr>
          <w:iCs/>
        </w:rPr>
        <w:t xml:space="preserve">objektivní jsoucno </w:t>
      </w:r>
      <w:r w:rsidRPr="00273106">
        <w:rPr>
          <w:iCs/>
        </w:rPr>
        <w:t xml:space="preserve">vzhledem k </w:t>
      </w:r>
      <w:r>
        <w:rPr>
          <w:iCs/>
        </w:rPr>
        <w:t xml:space="preserve">modernímu </w:t>
      </w:r>
      <w:r w:rsidR="00D93E2B">
        <w:rPr>
          <w:iCs/>
        </w:rPr>
        <w:t>bohu jako d</w:t>
      </w:r>
      <w:r w:rsidRPr="00273106">
        <w:rPr>
          <w:iCs/>
        </w:rPr>
        <w:t>árci forem (</w:t>
      </w:r>
      <w:r w:rsidRPr="00273106">
        <w:rPr>
          <w:i/>
          <w:iCs/>
        </w:rPr>
        <w:t>dativus finalis</w:t>
      </w:r>
      <w:r>
        <w:rPr>
          <w:i/>
          <w:iCs/>
        </w:rPr>
        <w:fldChar w:fldCharType="begin"/>
      </w:r>
      <w:r>
        <w:instrText xml:space="preserve"> XE "</w:instrText>
      </w:r>
      <w:r w:rsidRPr="008729B1">
        <w:rPr>
          <w:i/>
          <w:iCs/>
        </w:rPr>
        <w:instrText>dativus finalis</w:instrText>
      </w:r>
      <w:r>
        <w:instrText xml:space="preserve">" </w:instrText>
      </w:r>
      <w:r>
        <w:rPr>
          <w:i/>
          <w:iCs/>
        </w:rPr>
        <w:fldChar w:fldCharType="end"/>
      </w:r>
      <w:r w:rsidRPr="00273106">
        <w:rPr>
          <w:iCs/>
        </w:rPr>
        <w:t>)</w:t>
      </w:r>
      <w:r w:rsidR="0026118A">
        <w:rPr>
          <w:iCs/>
        </w:rPr>
        <w:t>?</w:t>
      </w:r>
    </w:p>
    <w:p w:rsidR="08163013" w:rsidRPr="00273106" w:rsidRDefault="08163013" w:rsidP="00544A63">
      <w:pPr>
        <w:numPr>
          <w:ilvl w:val="0"/>
          <w:numId w:val="3"/>
        </w:numPr>
        <w:rPr>
          <w:iCs/>
        </w:rPr>
      </w:pPr>
      <w:r>
        <w:rPr>
          <w:iCs/>
        </w:rPr>
        <w:t>J</w:t>
      </w:r>
      <w:r w:rsidRPr="00273106">
        <w:rPr>
          <w:iCs/>
        </w:rPr>
        <w:t xml:space="preserve">ak se objektivní </w:t>
      </w:r>
      <w:r>
        <w:rPr>
          <w:iCs/>
        </w:rPr>
        <w:t xml:space="preserve">jsoucno </w:t>
      </w:r>
      <w:r w:rsidRPr="00273106">
        <w:rPr>
          <w:iCs/>
        </w:rPr>
        <w:t>stalo univerzální mírou všeho jsoucího (</w:t>
      </w:r>
      <w:r w:rsidRPr="00273106">
        <w:rPr>
          <w:i/>
          <w:iCs/>
        </w:rPr>
        <w:t>dativus mensurae</w:t>
      </w:r>
      <w:r>
        <w:rPr>
          <w:i/>
          <w:iCs/>
        </w:rPr>
        <w:fldChar w:fldCharType="begin"/>
      </w:r>
      <w:r>
        <w:instrText xml:space="preserve"> XE "</w:instrText>
      </w:r>
      <w:r w:rsidRPr="002353D7">
        <w:rPr>
          <w:i/>
          <w:iCs/>
        </w:rPr>
        <w:instrText>dativus mensurae</w:instrText>
      </w:r>
      <w:r>
        <w:instrText xml:space="preserve">" </w:instrText>
      </w:r>
      <w:r>
        <w:rPr>
          <w:i/>
          <w:iCs/>
        </w:rPr>
        <w:fldChar w:fldCharType="end"/>
      </w:r>
      <w:r w:rsidRPr="00273106">
        <w:rPr>
          <w:iCs/>
        </w:rPr>
        <w:t>)</w:t>
      </w:r>
      <w:r w:rsidR="0026118A">
        <w:rPr>
          <w:iCs/>
        </w:rPr>
        <w:t>?</w:t>
      </w:r>
    </w:p>
    <w:p w:rsidR="08163013" w:rsidRPr="08C8043A" w:rsidRDefault="08163013" w:rsidP="00544A63">
      <w:pPr>
        <w:numPr>
          <w:ilvl w:val="0"/>
          <w:numId w:val="3"/>
        </w:numPr>
        <w:rPr>
          <w:iCs/>
        </w:rPr>
      </w:pPr>
      <w:r>
        <w:rPr>
          <w:iCs/>
        </w:rPr>
        <w:t>J</w:t>
      </w:r>
      <w:r w:rsidRPr="00273106">
        <w:rPr>
          <w:iCs/>
        </w:rPr>
        <w:t xml:space="preserve">ak </w:t>
      </w:r>
      <w:r>
        <w:rPr>
          <w:iCs/>
        </w:rPr>
        <w:t>objektivní metafyzika</w:t>
      </w:r>
      <w:r w:rsidRPr="00273106">
        <w:rPr>
          <w:iCs/>
        </w:rPr>
        <w:t xml:space="preserve"> vyřešila či anulovala </w:t>
      </w:r>
      <w:r>
        <w:rPr>
          <w:iCs/>
        </w:rPr>
        <w:t>spory předešlých generací</w:t>
      </w:r>
      <w:r w:rsidRPr="00273106">
        <w:rPr>
          <w:iCs/>
        </w:rPr>
        <w:t xml:space="preserve"> </w:t>
      </w:r>
      <w:r>
        <w:rPr>
          <w:iCs/>
        </w:rPr>
        <w:t xml:space="preserve">prvního a druhého averroismu </w:t>
      </w:r>
      <w:r w:rsidRPr="00273106">
        <w:rPr>
          <w:iCs/>
        </w:rPr>
        <w:t>(</w:t>
      </w:r>
      <w:r w:rsidRPr="00273106">
        <w:rPr>
          <w:i/>
          <w:iCs/>
        </w:rPr>
        <w:t>dativus incommodi</w:t>
      </w:r>
      <w:r>
        <w:rPr>
          <w:i/>
          <w:iCs/>
        </w:rPr>
        <w:fldChar w:fldCharType="begin"/>
      </w:r>
      <w:r>
        <w:instrText xml:space="preserve"> XE "</w:instrText>
      </w:r>
      <w:r w:rsidRPr="00C265A3">
        <w:rPr>
          <w:i/>
          <w:iCs/>
        </w:rPr>
        <w:instrText>dativus incommodi</w:instrText>
      </w:r>
      <w:r>
        <w:instrText xml:space="preserve">" </w:instrText>
      </w:r>
      <w:r>
        <w:rPr>
          <w:i/>
          <w:iCs/>
        </w:rPr>
        <w:fldChar w:fldCharType="end"/>
      </w:r>
      <w:r w:rsidRPr="00273106">
        <w:rPr>
          <w:iCs/>
        </w:rPr>
        <w:t>)</w:t>
      </w:r>
      <w:r w:rsidR="00E76587">
        <w:rPr>
          <w:iCs/>
        </w:rPr>
        <w:t>?</w:t>
      </w:r>
    </w:p>
    <w:p w:rsidR="08163013" w:rsidRDefault="08163013" w:rsidP="00544A63">
      <w:pPr>
        <w:numPr>
          <w:ilvl w:val="0"/>
          <w:numId w:val="3"/>
        </w:numPr>
        <w:rPr>
          <w:iCs/>
        </w:rPr>
      </w:pPr>
      <w:r>
        <w:rPr>
          <w:iCs/>
        </w:rPr>
        <w:t>J</w:t>
      </w:r>
      <w:r w:rsidRPr="00273106">
        <w:rPr>
          <w:iCs/>
        </w:rPr>
        <w:t xml:space="preserve">ak se </w:t>
      </w:r>
      <w:r>
        <w:rPr>
          <w:iCs/>
        </w:rPr>
        <w:t xml:space="preserve">objektivně definované jsoucno </w:t>
      </w:r>
      <w:r w:rsidRPr="00273106">
        <w:rPr>
          <w:iCs/>
        </w:rPr>
        <w:t>s</w:t>
      </w:r>
      <w:r w:rsidR="00150A67">
        <w:rPr>
          <w:iCs/>
        </w:rPr>
        <w:t xml:space="preserve">talo nástrojem novověké vědy a </w:t>
      </w:r>
      <w:r w:rsidRPr="00273106">
        <w:rPr>
          <w:iCs/>
        </w:rPr>
        <w:t>techniky (</w:t>
      </w:r>
      <w:r w:rsidRPr="00273106">
        <w:rPr>
          <w:i/>
          <w:iCs/>
        </w:rPr>
        <w:t>dativus instrumenti</w:t>
      </w:r>
      <w:r>
        <w:rPr>
          <w:i/>
          <w:iCs/>
        </w:rPr>
        <w:fldChar w:fldCharType="begin"/>
      </w:r>
      <w:r>
        <w:instrText xml:space="preserve"> XE "</w:instrText>
      </w:r>
      <w:r w:rsidRPr="00BD4DF9">
        <w:rPr>
          <w:i/>
          <w:iCs/>
        </w:rPr>
        <w:instrText>dativus instrumenti</w:instrText>
      </w:r>
      <w:r>
        <w:instrText xml:space="preserve">" </w:instrText>
      </w:r>
      <w:r>
        <w:rPr>
          <w:i/>
          <w:iCs/>
        </w:rPr>
        <w:fldChar w:fldCharType="end"/>
      </w:r>
      <w:r w:rsidRPr="00273106">
        <w:rPr>
          <w:iCs/>
        </w:rPr>
        <w:t>)</w:t>
      </w:r>
      <w:r w:rsidR="00E76587">
        <w:rPr>
          <w:iCs/>
        </w:rPr>
        <w:t>?</w:t>
      </w:r>
    </w:p>
    <w:p w:rsidR="08163013" w:rsidRDefault="08163013" w:rsidP="00544A63">
      <w:pPr>
        <w:numPr>
          <w:ilvl w:val="0"/>
          <w:numId w:val="3"/>
        </w:numPr>
        <w:rPr>
          <w:iCs/>
        </w:rPr>
      </w:pPr>
      <w:r>
        <w:rPr>
          <w:iCs/>
        </w:rPr>
        <w:t>J</w:t>
      </w:r>
      <w:r w:rsidRPr="00273106">
        <w:rPr>
          <w:iCs/>
        </w:rPr>
        <w:t xml:space="preserve">ak </w:t>
      </w:r>
      <w:r>
        <w:rPr>
          <w:iCs/>
        </w:rPr>
        <w:t xml:space="preserve">objektivní jsoucno </w:t>
      </w:r>
      <w:r w:rsidRPr="00273106">
        <w:rPr>
          <w:iCs/>
        </w:rPr>
        <w:t xml:space="preserve">vytvořilo </w:t>
      </w:r>
      <w:r>
        <w:rPr>
          <w:iCs/>
        </w:rPr>
        <w:t xml:space="preserve">kapitalistický </w:t>
      </w:r>
      <w:r w:rsidRPr="00273106">
        <w:rPr>
          <w:i/>
          <w:iCs/>
        </w:rPr>
        <w:t>Weltanschauung</w:t>
      </w:r>
      <w:r w:rsidRPr="00273106">
        <w:rPr>
          <w:iCs/>
        </w:rPr>
        <w:t xml:space="preserve"> moderny (</w:t>
      </w:r>
      <w:r w:rsidRPr="00273106">
        <w:rPr>
          <w:i/>
          <w:iCs/>
        </w:rPr>
        <w:t>dativus modi</w:t>
      </w:r>
      <w:r>
        <w:rPr>
          <w:i/>
          <w:iCs/>
        </w:rPr>
        <w:fldChar w:fldCharType="begin"/>
      </w:r>
      <w:r>
        <w:instrText xml:space="preserve"> XE "</w:instrText>
      </w:r>
      <w:r w:rsidRPr="00AC18E0">
        <w:rPr>
          <w:i/>
          <w:iCs/>
        </w:rPr>
        <w:instrText>dativus modi</w:instrText>
      </w:r>
      <w:r>
        <w:instrText xml:space="preserve">" </w:instrText>
      </w:r>
      <w:r>
        <w:rPr>
          <w:i/>
          <w:iCs/>
        </w:rPr>
        <w:fldChar w:fldCharType="end"/>
      </w:r>
      <w:r w:rsidRPr="00273106">
        <w:rPr>
          <w:iCs/>
        </w:rPr>
        <w:t>)</w:t>
      </w:r>
      <w:r w:rsidR="00C12EE7">
        <w:rPr>
          <w:iCs/>
        </w:rPr>
        <w:t>?</w:t>
      </w:r>
    </w:p>
    <w:p w:rsidR="08163013" w:rsidRPr="00A77766" w:rsidRDefault="08163013" w:rsidP="00544A63">
      <w:pPr>
        <w:numPr>
          <w:ilvl w:val="0"/>
          <w:numId w:val="3"/>
        </w:numPr>
        <w:rPr>
          <w:iCs/>
        </w:rPr>
      </w:pPr>
      <w:r>
        <w:rPr>
          <w:iCs/>
        </w:rPr>
        <w:t>J</w:t>
      </w:r>
      <w:r w:rsidRPr="00273106">
        <w:rPr>
          <w:iCs/>
        </w:rPr>
        <w:t xml:space="preserve">ak </w:t>
      </w:r>
      <w:r>
        <w:rPr>
          <w:iCs/>
        </w:rPr>
        <w:t xml:space="preserve">objektivně pojaté vědění </w:t>
      </w:r>
      <w:r w:rsidR="005352B6">
        <w:rPr>
          <w:iCs/>
        </w:rPr>
        <w:t xml:space="preserve">ničí lidstvo a celou zemi </w:t>
      </w:r>
      <w:r w:rsidRPr="00273106">
        <w:rPr>
          <w:iCs/>
        </w:rPr>
        <w:t xml:space="preserve">ve světových válkách skrze </w:t>
      </w:r>
      <w:r>
        <w:rPr>
          <w:iCs/>
        </w:rPr>
        <w:t xml:space="preserve">slepou </w:t>
      </w:r>
      <w:r w:rsidRPr="00273106">
        <w:rPr>
          <w:iCs/>
        </w:rPr>
        <w:t>instrumentální racionalitu, nihilismus techniky a vulgární ekonomismus současného korporátního fašismu (</w:t>
      </w:r>
      <w:r w:rsidRPr="00273106">
        <w:rPr>
          <w:i/>
          <w:iCs/>
        </w:rPr>
        <w:t>dativus ethicus</w:t>
      </w:r>
      <w:r>
        <w:rPr>
          <w:i/>
          <w:iCs/>
        </w:rPr>
        <w:fldChar w:fldCharType="begin"/>
      </w:r>
      <w:r>
        <w:instrText xml:space="preserve"> XE "</w:instrText>
      </w:r>
      <w:r w:rsidRPr="00945F2F">
        <w:rPr>
          <w:i/>
          <w:iCs/>
        </w:rPr>
        <w:instrText>dativus ethicus</w:instrText>
      </w:r>
      <w:r>
        <w:instrText xml:space="preserve">" </w:instrText>
      </w:r>
      <w:r>
        <w:rPr>
          <w:i/>
          <w:iCs/>
        </w:rPr>
        <w:fldChar w:fldCharType="end"/>
      </w:r>
      <w:r>
        <w:rPr>
          <w:iCs/>
        </w:rPr>
        <w:t>)</w:t>
      </w:r>
      <w:r w:rsidR="00092897">
        <w:rPr>
          <w:iCs/>
        </w:rPr>
        <w:t>?</w:t>
      </w:r>
    </w:p>
    <w:p w:rsidR="004E6CBA" w:rsidRPr="007D0D03" w:rsidRDefault="083B109B" w:rsidP="004E6CBA">
      <w:pPr>
        <w:rPr>
          <w:rStyle w:val="Zkladntext158dkovn0pt"/>
          <w:color w:val="auto"/>
          <w:spacing w:val="0"/>
          <w:sz w:val="24"/>
          <w:szCs w:val="20"/>
          <w:shd w:val="clear" w:color="auto" w:fill="auto"/>
          <w:lang w:val="cs-CZ"/>
        </w:rPr>
      </w:pPr>
      <w:r>
        <w:t>Sběr dějinné pravdy a nepravdy objektivity</w:t>
      </w:r>
      <w:r w:rsidR="002A5E0C">
        <w:t xml:space="preserve"> (</w:t>
      </w:r>
      <w:r w:rsidR="002A5E0C">
        <w:rPr>
          <w:rStyle w:val="ky2igmncmogjharherah"/>
        </w:rPr>
        <w:t xml:space="preserve">λέγειν, </w:t>
      </w:r>
      <w:r w:rsidR="002A5E0C" w:rsidRPr="002A5E0C">
        <w:rPr>
          <w:rStyle w:val="ky2igmncmogjharherah"/>
          <w:i/>
        </w:rPr>
        <w:t>Lese</w:t>
      </w:r>
      <w:r w:rsidR="002A5E0C">
        <w:t>)</w:t>
      </w:r>
      <w:r>
        <w:t xml:space="preserve"> je daný dvojím fenomenologickým způsobem, jak běží výkon porozumění v modu </w:t>
      </w:r>
      <w:r w:rsidR="000706F8">
        <w:rPr>
          <w:i/>
        </w:rPr>
        <w:t>Bezugsinn</w:t>
      </w:r>
      <w:r>
        <w:rPr>
          <w:i/>
        </w:rPr>
        <w:fldChar w:fldCharType="begin"/>
      </w:r>
      <w:r>
        <w:instrText xml:space="preserve"> XE "</w:instrText>
      </w:r>
      <w:r w:rsidR="007E4FB3">
        <w:rPr>
          <w:i/>
        </w:rPr>
        <w:instrText>Bezugsinn</w:instrText>
      </w:r>
      <w:r>
        <w:instrText xml:space="preserve">" </w:instrText>
      </w:r>
      <w:r>
        <w:rPr>
          <w:i/>
        </w:rPr>
        <w:fldChar w:fldCharType="end"/>
      </w:r>
      <w:r w:rsidR="08270CE9">
        <w:t xml:space="preserve">. </w:t>
      </w:r>
      <w:r w:rsidR="00B505AA">
        <w:t>Nová kategorizace daná archaicky se tím zcela oddělila od objektivní asimilace neexistujících jsoucen třetího druhu (</w:t>
      </w:r>
      <w:r w:rsidR="00B505AA" w:rsidRPr="00B505AA">
        <w:rPr>
          <w:i/>
        </w:rPr>
        <w:t>colligatio</w:t>
      </w:r>
      <w:r w:rsidR="00B505AA">
        <w:t xml:space="preserve">). Výklad zcela pominul výčet ontických vlastností objektivní esence („co“ je dáno, </w:t>
      </w:r>
      <w:r w:rsidR="00B505AA" w:rsidRPr="00B505AA">
        <w:rPr>
          <w:i/>
        </w:rPr>
        <w:t>Gehaltsinn</w:t>
      </w:r>
      <w:r w:rsidR="006C26C8">
        <w:rPr>
          <w:i/>
        </w:rPr>
        <w:fldChar w:fldCharType="begin"/>
      </w:r>
      <w:r w:rsidR="006C26C8">
        <w:instrText xml:space="preserve"> XE "</w:instrText>
      </w:r>
      <w:r w:rsidR="006C26C8" w:rsidRPr="000F273E">
        <w:rPr>
          <w:i/>
        </w:rPr>
        <w:instrText>Gehaltsinn</w:instrText>
      </w:r>
      <w:r w:rsidR="006C26C8">
        <w:instrText xml:space="preserve">" </w:instrText>
      </w:r>
      <w:r w:rsidR="006C26C8">
        <w:rPr>
          <w:i/>
        </w:rPr>
        <w:fldChar w:fldCharType="end"/>
      </w:r>
      <w:r w:rsidR="003D6382">
        <w:t xml:space="preserve">). Nyní se </w:t>
      </w:r>
      <w:r w:rsidR="00B505AA">
        <w:t xml:space="preserve">zkoumá dějinný způsob, „jak“ se </w:t>
      </w:r>
      <w:r w:rsidR="0071037D">
        <w:t>má číst (</w:t>
      </w:r>
      <w:r w:rsidR="0071037D" w:rsidRPr="00ED1E73">
        <w:t>λέγειν</w:t>
      </w:r>
      <w:r w:rsidR="0071037D">
        <w:t xml:space="preserve">) </w:t>
      </w:r>
      <w:r w:rsidR="006256F4">
        <w:t>„na-</w:t>
      </w:r>
      <w:r w:rsidR="00B505AA">
        <w:t>bytí</w:t>
      </w:r>
      <w:r w:rsidR="006256F4">
        <w:t>“ (</w:t>
      </w:r>
      <w:r w:rsidR="006256F4" w:rsidRPr="006256F4">
        <w:rPr>
          <w:i/>
        </w:rPr>
        <w:t>Anwesen</w:t>
      </w:r>
      <w:r w:rsidR="006256F4">
        <w:t>)</w:t>
      </w:r>
      <w:r w:rsidR="00B505AA">
        <w:t xml:space="preserve"> esence</w:t>
      </w:r>
      <w:r w:rsidR="006516BF">
        <w:t xml:space="preserve"> skrze tabulku kategorií určenou gramatickými formami objektivního dativu</w:t>
      </w:r>
      <w:r w:rsidR="007D0D03">
        <w:t xml:space="preserve">. </w:t>
      </w:r>
      <w:r w:rsidR="007D0D03" w:rsidRPr="007D0D03">
        <w:t xml:space="preserve">Musíme prozkoumat </w:t>
      </w:r>
      <w:r w:rsidR="007D0D03">
        <w:t xml:space="preserve">dějinný </w:t>
      </w:r>
      <w:r w:rsidR="007D0D03" w:rsidRPr="007D0D03">
        <w:t>způsob, jak</w:t>
      </w:r>
      <w:r w:rsidR="007D0D03">
        <w:t xml:space="preserve"> </w:t>
      </w:r>
      <w:r w:rsidR="007D0D03" w:rsidRPr="007D0D03">
        <w:t xml:space="preserve">je </w:t>
      </w:r>
      <w:r w:rsidR="00C540F7">
        <w:t xml:space="preserve">nová </w:t>
      </w:r>
      <w:r w:rsidR="007D0D03">
        <w:t xml:space="preserve">esence </w:t>
      </w:r>
      <w:r w:rsidR="007D0D03" w:rsidRPr="007D0D03">
        <w:t>za</w:t>
      </w:r>
      <w:r w:rsidR="007D0D03">
        <w:t xml:space="preserve">budována </w:t>
      </w:r>
      <w:r w:rsidR="007D0D03" w:rsidRPr="007D0D03">
        <w:t xml:space="preserve">do </w:t>
      </w:r>
      <w:r w:rsidR="003E68F0">
        <w:t xml:space="preserve">zakládajícího </w:t>
      </w:r>
      <w:r w:rsidR="002C70FE">
        <w:t xml:space="preserve">kamene </w:t>
      </w:r>
      <w:r w:rsidR="007D0D03" w:rsidRPr="007D0D03">
        <w:t>v moderním Domě šílenství (αἱ</w:t>
      </w:r>
      <w:r w:rsidR="002E0604">
        <w:t xml:space="preserve">μασιάς τε λέγων). Jeho původní moudrou formu </w:t>
      </w:r>
      <w:r w:rsidR="007D0D03">
        <w:t>založ</w:t>
      </w:r>
      <w:r w:rsidR="002E0604">
        <w:t>il Homér správnou četbou božských znamení</w:t>
      </w:r>
      <w:r w:rsidR="007D0D03">
        <w:t xml:space="preserve">. </w:t>
      </w:r>
      <w:r w:rsidR="08270CE9">
        <w:t xml:space="preserve">Hermeneutická archeologie </w:t>
      </w:r>
      <w:r w:rsidR="00E52DB5">
        <w:t xml:space="preserve">sleduje </w:t>
      </w:r>
      <w:r w:rsidR="00E52DB5" w:rsidRPr="00E52DB5">
        <w:rPr>
          <w:i/>
          <w:lang w:eastAsia="en-US"/>
        </w:rPr>
        <w:t>Wirkungsgeschichte</w:t>
      </w:r>
      <w:r w:rsidR="00E52DB5">
        <w:rPr>
          <w:lang w:eastAsia="en-US"/>
        </w:rPr>
        <w:t xml:space="preserve"> </w:t>
      </w:r>
      <w:r w:rsidR="00E52DB5">
        <w:t xml:space="preserve">metafyzického </w:t>
      </w:r>
      <w:r w:rsidR="003E1A83">
        <w:t>dativ</w:t>
      </w:r>
      <w:r w:rsidR="00E52DB5">
        <w:t xml:space="preserve">u; proto </w:t>
      </w:r>
      <w:r w:rsidR="08270CE9">
        <w:t>urč</w:t>
      </w:r>
      <w:r w:rsidR="00E52DB5">
        <w:t xml:space="preserve">uje </w:t>
      </w:r>
      <w:r w:rsidR="003E1A83">
        <w:t xml:space="preserve">kategorizaci objektivního dativu </w:t>
      </w:r>
      <w:r w:rsidR="00375C4E">
        <w:t>na základě Aristotelovy</w:t>
      </w:r>
      <w:r>
        <w:t xml:space="preserve"> </w:t>
      </w:r>
      <w:r w:rsidRPr="084751B0">
        <w:rPr>
          <w:i/>
        </w:rPr>
        <w:t>Metafyziky</w:t>
      </w:r>
      <w:r>
        <w:t xml:space="preserve"> (OBJ I, kap. 1.2)</w:t>
      </w:r>
      <w:r w:rsidR="009E1621">
        <w:t>.</w:t>
      </w:r>
      <w:r w:rsidR="004E6CBA">
        <w:t xml:space="preserve"> </w:t>
      </w:r>
      <w:r w:rsidR="082A6F9B">
        <w:t xml:space="preserve">Dějiny latinské scholastiky dosvědčují </w:t>
      </w:r>
      <w:r w:rsidR="08991449">
        <w:t xml:space="preserve">zásadní </w:t>
      </w:r>
      <w:r>
        <w:t xml:space="preserve">rozdíl mezi klasickou </w:t>
      </w:r>
      <w:r w:rsidRPr="08416004">
        <w:rPr>
          <w:i/>
        </w:rPr>
        <w:t>paideía</w:t>
      </w:r>
      <w:r>
        <w:t xml:space="preserve"> školy prvního averroismu a moderní </w:t>
      </w:r>
      <w:r w:rsidRPr="08416004">
        <w:rPr>
          <w:i/>
        </w:rPr>
        <w:t>apaideusía</w:t>
      </w:r>
      <w:r>
        <w:t xml:space="preserve"> školy druhého averroismu. Moderna zavedla celou sérii jsoucen třetího druhu a tím zrušila platnost aristotelského principu o vyloučeném třetím. Nová diference je </w:t>
      </w:r>
      <w:r>
        <w:lastRenderedPageBreak/>
        <w:t xml:space="preserve">daná po nástupu </w:t>
      </w:r>
      <w:r w:rsidRPr="08972119">
        <w:rPr>
          <w:i/>
        </w:rPr>
        <w:t>via Modernorum</w:t>
      </w:r>
      <w:r>
        <w:rPr>
          <w:i/>
        </w:rPr>
        <w:fldChar w:fldCharType="begin"/>
      </w:r>
      <w:r>
        <w:instrText xml:space="preserve"> XE "</w:instrText>
      </w:r>
      <w:r w:rsidRPr="083F6834">
        <w:rPr>
          <w:i/>
        </w:rPr>
        <w:instrText>via Modernorum</w:instrText>
      </w:r>
      <w:r>
        <w:instrText xml:space="preserve">" </w:instrText>
      </w:r>
      <w:r>
        <w:rPr>
          <w:i/>
        </w:rPr>
        <w:fldChar w:fldCharType="end"/>
      </w:r>
      <w:r>
        <w:t xml:space="preserve"> rozdílem mezi </w:t>
      </w:r>
      <w:r w:rsidRPr="08416004">
        <w:rPr>
          <w:i/>
        </w:rPr>
        <w:t>paideía</w:t>
      </w:r>
      <w:r>
        <w:rPr>
          <w:i/>
        </w:rPr>
        <w:fldChar w:fldCharType="begin"/>
      </w:r>
      <w:r>
        <w:instrText xml:space="preserve"> XE "</w:instrText>
      </w:r>
      <w:r w:rsidRPr="085615AB">
        <w:rPr>
          <w:i/>
        </w:rPr>
        <w:instrText>paideía</w:instrText>
      </w:r>
      <w:r>
        <w:instrText xml:space="preserve">" </w:instrText>
      </w:r>
      <w:r>
        <w:rPr>
          <w:i/>
        </w:rPr>
        <w:fldChar w:fldCharType="end"/>
      </w:r>
      <w:r>
        <w:t xml:space="preserve"> klasické aristotelské filosofie a moderní analytickou a nihilistickou </w:t>
      </w:r>
      <w:r w:rsidRPr="08416004">
        <w:rPr>
          <w:i/>
        </w:rPr>
        <w:t>apaideusía</w:t>
      </w:r>
      <w:r>
        <w:rPr>
          <w:i/>
        </w:rPr>
        <w:fldChar w:fldCharType="begin"/>
      </w:r>
      <w:r>
        <w:instrText xml:space="preserve"> XE "</w:instrText>
      </w:r>
      <w:r w:rsidRPr="08874AB0">
        <w:rPr>
          <w:i/>
        </w:rPr>
        <w:instrText>apaideusía</w:instrText>
      </w:r>
      <w:r>
        <w:instrText xml:space="preserve">" </w:instrText>
      </w:r>
      <w:r>
        <w:rPr>
          <w:i/>
        </w:rPr>
        <w:fldChar w:fldCharType="end"/>
      </w:r>
      <w:r>
        <w:t xml:space="preserve"> danou v modu </w:t>
      </w:r>
      <w:r w:rsidRPr="08F14E34">
        <w:rPr>
          <w:i/>
        </w:rPr>
        <w:t>Oxfo</w:t>
      </w:r>
      <w:r>
        <w:rPr>
          <w:i/>
        </w:rPr>
        <w:t>r</w:t>
      </w:r>
      <w:r w:rsidRPr="08F14E34">
        <w:rPr>
          <w:i/>
        </w:rPr>
        <w:t>dian Fallacy</w:t>
      </w:r>
      <w:r>
        <w:t xml:space="preserve">. </w:t>
      </w:r>
      <w:r w:rsidR="08163013" w:rsidRPr="00273106">
        <w:rPr>
          <w:iCs/>
        </w:rPr>
        <w:t xml:space="preserve">Dějinnost skrytá </w:t>
      </w:r>
      <w:r w:rsidR="08163013">
        <w:rPr>
          <w:iCs/>
        </w:rPr>
        <w:t>v</w:t>
      </w:r>
      <w:r w:rsidR="009D52F5">
        <w:rPr>
          <w:iCs/>
        </w:rPr>
        <w:t xml:space="preserve"> kategoriích </w:t>
      </w:r>
      <w:r w:rsidR="08337AF5">
        <w:rPr>
          <w:iCs/>
        </w:rPr>
        <w:t>objektivního d</w:t>
      </w:r>
      <w:r w:rsidR="08163013">
        <w:rPr>
          <w:rStyle w:val="Zkladntext158dkovn0pt"/>
          <w:color w:val="auto"/>
          <w:spacing w:val="0"/>
          <w:sz w:val="24"/>
          <w:lang w:val="cs-CZ"/>
        </w:rPr>
        <w:t>ativu určuje dě</w:t>
      </w:r>
      <w:r w:rsidR="006663CF">
        <w:rPr>
          <w:rStyle w:val="Zkladntext158dkovn0pt"/>
          <w:color w:val="auto"/>
          <w:spacing w:val="0"/>
          <w:sz w:val="24"/>
          <w:lang w:val="cs-CZ"/>
        </w:rPr>
        <w:t xml:space="preserve">jiny objektivity v modu múzické, </w:t>
      </w:r>
      <w:r w:rsidR="08987716">
        <w:rPr>
          <w:rStyle w:val="Zkladntext158dkovn0pt"/>
          <w:color w:val="auto"/>
          <w:spacing w:val="0"/>
          <w:sz w:val="24"/>
          <w:lang w:val="cs-CZ"/>
        </w:rPr>
        <w:t>tragické</w:t>
      </w:r>
      <w:r w:rsidR="006663CF">
        <w:rPr>
          <w:rStyle w:val="Zkladntext158dkovn0pt"/>
          <w:color w:val="auto"/>
          <w:spacing w:val="0"/>
          <w:sz w:val="24"/>
          <w:lang w:val="cs-CZ"/>
        </w:rPr>
        <w:t xml:space="preserve"> a aristotelské </w:t>
      </w:r>
      <w:r w:rsidR="08163013">
        <w:rPr>
          <w:rStyle w:val="Zkladntext158dkovn0pt"/>
          <w:color w:val="auto"/>
          <w:spacing w:val="0"/>
          <w:sz w:val="24"/>
          <w:lang w:val="cs-CZ"/>
        </w:rPr>
        <w:t xml:space="preserve">obžaloby </w:t>
      </w:r>
      <w:r w:rsidR="00DF26F7">
        <w:rPr>
          <w:szCs w:val="24"/>
          <w:lang w:val="de-DE"/>
        </w:rPr>
        <w:t>(κατηγορία)</w:t>
      </w:r>
      <w:r w:rsidR="004E6CBA">
        <w:rPr>
          <w:rStyle w:val="Zkladntext158dkovn0pt"/>
          <w:color w:val="auto"/>
          <w:spacing w:val="0"/>
          <w:sz w:val="24"/>
          <w:lang w:val="cs-CZ"/>
        </w:rPr>
        <w:t>.</w:t>
      </w:r>
    </w:p>
    <w:p w:rsidR="007932B3" w:rsidRPr="007932B3" w:rsidRDefault="00002166" w:rsidP="00F81972">
      <w:pPr>
        <w:ind w:firstLine="397"/>
      </w:pPr>
      <w:r>
        <w:rPr>
          <w:rStyle w:val="Zkladntext158dkovn0pt"/>
          <w:color w:val="auto"/>
          <w:spacing w:val="0"/>
          <w:sz w:val="24"/>
          <w:lang w:val="cs-CZ"/>
        </w:rPr>
        <w:t xml:space="preserve">Spis </w:t>
      </w:r>
      <w:r w:rsidRPr="00002166">
        <w:rPr>
          <w:rStyle w:val="Zkladntext158dkovn0pt"/>
          <w:i/>
          <w:color w:val="auto"/>
          <w:spacing w:val="0"/>
          <w:sz w:val="24"/>
          <w:lang w:val="cs-CZ"/>
        </w:rPr>
        <w:t>Kategorie</w:t>
      </w:r>
      <w:r>
        <w:rPr>
          <w:rStyle w:val="Zkladntext158dkovn0pt"/>
          <w:color w:val="auto"/>
          <w:spacing w:val="0"/>
          <w:sz w:val="24"/>
          <w:lang w:val="cs-CZ"/>
        </w:rPr>
        <w:t xml:space="preserve"> hrál kritickou roli </w:t>
      </w:r>
      <w:r w:rsidR="08E83A9D">
        <w:rPr>
          <w:rStyle w:val="Zkladntext158dkovn0pt"/>
          <w:color w:val="auto"/>
          <w:spacing w:val="0"/>
          <w:sz w:val="24"/>
          <w:lang w:val="cs-CZ"/>
        </w:rPr>
        <w:t>vzhledem k</w:t>
      </w:r>
      <w:r w:rsidR="009B0C49">
        <w:rPr>
          <w:rStyle w:val="Zkladntext158dkovn0pt"/>
          <w:color w:val="auto"/>
          <w:spacing w:val="0"/>
          <w:sz w:val="24"/>
          <w:lang w:val="cs-CZ"/>
        </w:rPr>
        <w:t xml:space="preserve"> neoplatonikům a školám </w:t>
      </w:r>
      <w:r w:rsidR="009B0C49" w:rsidRPr="006717B8">
        <w:rPr>
          <w:i/>
        </w:rPr>
        <w:t>sophistae Latini</w:t>
      </w:r>
      <w:r w:rsidR="08163013">
        <w:rPr>
          <w:rStyle w:val="Zkladntext158dkovn0pt"/>
          <w:color w:val="auto"/>
          <w:spacing w:val="0"/>
          <w:sz w:val="24"/>
          <w:lang w:val="cs-CZ"/>
        </w:rPr>
        <w:t>.</w:t>
      </w:r>
      <w:r w:rsidR="08341305">
        <w:rPr>
          <w:rStyle w:val="Zkladntext158dkovn0pt"/>
          <w:color w:val="auto"/>
          <w:spacing w:val="0"/>
          <w:sz w:val="24"/>
          <w:lang w:val="cs-CZ"/>
        </w:rPr>
        <w:t xml:space="preserve"> </w:t>
      </w:r>
      <w:r w:rsidR="08163013">
        <w:t xml:space="preserve">Proto stojí na prvním místě </w:t>
      </w:r>
      <w:r w:rsidR="0844111D">
        <w:t xml:space="preserve">výklad </w:t>
      </w:r>
      <w:r w:rsidR="08163013">
        <w:t xml:space="preserve">objektivní </w:t>
      </w:r>
      <w:r w:rsidR="08163013">
        <w:rPr>
          <w:rStyle w:val="Zkladntext158dkovn0pt"/>
          <w:color w:val="auto"/>
          <w:spacing w:val="0"/>
          <w:sz w:val="24"/>
          <w:lang w:val="cs-CZ"/>
        </w:rPr>
        <w:t>donac</w:t>
      </w:r>
      <w:r w:rsidR="00400FA4">
        <w:rPr>
          <w:rStyle w:val="Zkladntext158dkovn0pt"/>
          <w:color w:val="auto"/>
          <w:spacing w:val="0"/>
          <w:sz w:val="24"/>
          <w:lang w:val="cs-CZ"/>
        </w:rPr>
        <w:t>e jsoucn</w:t>
      </w:r>
      <w:r w:rsidR="00823B77">
        <w:rPr>
          <w:rStyle w:val="Zkladntext158dkovn0pt"/>
          <w:color w:val="auto"/>
          <w:spacing w:val="0"/>
          <w:sz w:val="24"/>
          <w:lang w:val="cs-CZ"/>
        </w:rPr>
        <w:t xml:space="preserve">a </w:t>
      </w:r>
      <w:r w:rsidR="08163013" w:rsidRPr="00273106">
        <w:t>(</w:t>
      </w:r>
      <w:r w:rsidR="08163013" w:rsidRPr="00273106">
        <w:rPr>
          <w:i/>
        </w:rPr>
        <w:t>dativus possessivus</w:t>
      </w:r>
      <w:r w:rsidR="08163013">
        <w:rPr>
          <w:i/>
        </w:rPr>
        <w:fldChar w:fldCharType="begin"/>
      </w:r>
      <w:r w:rsidR="08163013">
        <w:instrText xml:space="preserve"> XE "</w:instrText>
      </w:r>
      <w:r w:rsidR="08163013" w:rsidRPr="00461B3F">
        <w:rPr>
          <w:i/>
        </w:rPr>
        <w:instrText>dativus possessivus</w:instrText>
      </w:r>
      <w:r w:rsidR="08163013">
        <w:instrText xml:space="preserve">" </w:instrText>
      </w:r>
      <w:r w:rsidR="08163013">
        <w:rPr>
          <w:i/>
        </w:rPr>
        <w:fldChar w:fldCharType="end"/>
      </w:r>
      <w:r w:rsidR="08163013" w:rsidRPr="00273106">
        <w:t xml:space="preserve">). </w:t>
      </w:r>
      <w:r w:rsidR="00C83097" w:rsidRPr="00C83097">
        <w:t>Kategori</w:t>
      </w:r>
      <w:r w:rsidR="00C83097">
        <w:t xml:space="preserve">ální </w:t>
      </w:r>
      <w:r w:rsidR="00C83097" w:rsidRPr="00C83097">
        <w:t>výklad musí vycházet z</w:t>
      </w:r>
      <w:r w:rsidR="00C83097">
        <w:t xml:space="preserve"> primárního postavení </w:t>
      </w:r>
      <w:r w:rsidR="00C83097" w:rsidRPr="00C83097">
        <w:t xml:space="preserve">druhé substance, která obsahuje </w:t>
      </w:r>
      <w:r w:rsidR="00C83097">
        <w:t xml:space="preserve">poslední generickou </w:t>
      </w:r>
      <w:r w:rsidR="00C83097" w:rsidRPr="00C83097">
        <w:t>j</w:t>
      </w:r>
      <w:r w:rsidR="00C83097">
        <w:t>ednotu smyslu jsoucna</w:t>
      </w:r>
      <w:r w:rsidR="00C83097" w:rsidRPr="00C83097">
        <w:t xml:space="preserve">. </w:t>
      </w:r>
      <w:r w:rsidR="08163013">
        <w:t xml:space="preserve">Přivlastňující dativ </w:t>
      </w:r>
      <w:r w:rsidR="00FF24AB">
        <w:t xml:space="preserve">moderního subjektu </w:t>
      </w:r>
      <w:r w:rsidR="08163013">
        <w:t>hraje roli Aristo</w:t>
      </w:r>
      <w:r w:rsidR="088571DC">
        <w:t xml:space="preserve">telova </w:t>
      </w:r>
      <w:r w:rsidR="081942A4">
        <w:t xml:space="preserve">metafyzického </w:t>
      </w:r>
      <w:r w:rsidR="088571DC">
        <w:t>dativu</w:t>
      </w:r>
      <w:r w:rsidR="00CB0942">
        <w:t xml:space="preserve">, který určuje </w:t>
      </w:r>
      <w:r w:rsidR="00CB0942" w:rsidRPr="00CB0942">
        <w:rPr>
          <w:i/>
        </w:rPr>
        <w:t>quidditas</w:t>
      </w:r>
      <w:r w:rsidR="00CB0942">
        <w:t xml:space="preserve"> druhé substance</w:t>
      </w:r>
      <w:r w:rsidR="08BB7AA6">
        <w:t xml:space="preserve">. Moderna vytvořila v epoše tragikomedie </w:t>
      </w:r>
      <w:r w:rsidR="001F6429">
        <w:t xml:space="preserve">rozumu </w:t>
      </w:r>
      <w:r w:rsidR="08BB7AA6">
        <w:t xml:space="preserve">epochálně účinné simulákrum aristotelského </w:t>
      </w:r>
      <w:r w:rsidR="081942A4">
        <w:t xml:space="preserve">metafyzického </w:t>
      </w:r>
      <w:r w:rsidR="08163013">
        <w:t>dativu</w:t>
      </w:r>
      <w:r w:rsidR="08AF189C">
        <w:t xml:space="preserve"> v modu nové </w:t>
      </w:r>
      <w:r w:rsidR="08AF189C" w:rsidRPr="08AF189C">
        <w:rPr>
          <w:i/>
        </w:rPr>
        <w:t>quidditas</w:t>
      </w:r>
      <w:r w:rsidR="08150E5D">
        <w:rPr>
          <w:i/>
        </w:rPr>
        <w:fldChar w:fldCharType="begin"/>
      </w:r>
      <w:r w:rsidR="08150E5D">
        <w:instrText xml:space="preserve"> XE "</w:instrText>
      </w:r>
      <w:r w:rsidR="08150E5D" w:rsidRPr="08B83DC3">
        <w:rPr>
          <w:i/>
        </w:rPr>
        <w:instrText>quidditas</w:instrText>
      </w:r>
      <w:r w:rsidR="08150E5D">
        <w:instrText xml:space="preserve">" </w:instrText>
      </w:r>
      <w:r w:rsidR="08150E5D">
        <w:rPr>
          <w:i/>
        </w:rPr>
        <w:fldChar w:fldCharType="end"/>
      </w:r>
      <w:r w:rsidR="08163013">
        <w:t xml:space="preserve">. </w:t>
      </w:r>
      <w:r w:rsidR="08163013" w:rsidRPr="00273106">
        <w:t xml:space="preserve">Akt přivlastnění a předání pravdy bytí do bytí jsoucna (Heideggerovo </w:t>
      </w:r>
      <w:r w:rsidR="08163013">
        <w:rPr>
          <w:i/>
        </w:rPr>
        <w:t>E</w:t>
      </w:r>
      <w:r w:rsidR="08163013" w:rsidRPr="00273106">
        <w:rPr>
          <w:i/>
        </w:rPr>
        <w:t>r-eignen</w:t>
      </w:r>
      <w:r w:rsidR="0865374E">
        <w:rPr>
          <w:i/>
        </w:rPr>
        <w:fldChar w:fldCharType="begin"/>
      </w:r>
      <w:r w:rsidR="0865374E">
        <w:instrText xml:space="preserve"> XE "</w:instrText>
      </w:r>
      <w:r w:rsidR="0865374E" w:rsidRPr="08CA1D0E">
        <w:rPr>
          <w:i/>
        </w:rPr>
        <w:instrText>Er-eignen</w:instrText>
      </w:r>
      <w:r w:rsidR="0865374E">
        <w:instrText xml:space="preserve">" </w:instrText>
      </w:r>
      <w:r w:rsidR="0865374E">
        <w:rPr>
          <w:i/>
        </w:rPr>
        <w:fldChar w:fldCharType="end"/>
      </w:r>
      <w:r w:rsidR="08163013" w:rsidRPr="00273106">
        <w:t>) je založen skrze výše uvedené g</w:t>
      </w:r>
      <w:r w:rsidR="08163013">
        <w:t xml:space="preserve">ramatické kategorie. Takto manifestovaná objektivita má dvě formy metafyzické predikace dané </w:t>
      </w:r>
      <w:r w:rsidR="08163013">
        <w:rPr>
          <w:rStyle w:val="TextpoznpodarouChar"/>
        </w:rPr>
        <w:t>dvojí povahou univerzálií (</w:t>
      </w:r>
      <w:r w:rsidR="08163013" w:rsidRPr="08C20BBB">
        <w:rPr>
          <w:i/>
        </w:rPr>
        <w:t xml:space="preserve">Anal. Post. </w:t>
      </w:r>
      <w:r w:rsidR="08163013" w:rsidRPr="08C20BBB">
        <w:t>84a12</w:t>
      </w:r>
      <w:r w:rsidR="08163013" w:rsidRPr="08A41502">
        <w:fldChar w:fldCharType="begin"/>
      </w:r>
      <w:r w:rsidR="08163013" w:rsidRPr="08A41502">
        <w:instrText xml:space="preserve"> XE "Aristoteles:</w:instrText>
      </w:r>
      <w:r w:rsidR="08163013" w:rsidRPr="08C01DC4">
        <w:rPr>
          <w:i/>
        </w:rPr>
        <w:instrText>Anal. Post.</w:instrText>
      </w:r>
      <w:r w:rsidR="08163013">
        <w:instrText xml:space="preserve"> 84a12</w:instrText>
      </w:r>
      <w:r w:rsidR="08163013" w:rsidRPr="08A41502">
        <w:instrText xml:space="preserve">" </w:instrText>
      </w:r>
      <w:r w:rsidR="08163013" w:rsidRPr="08A41502">
        <w:fldChar w:fldCharType="end"/>
      </w:r>
      <w:r w:rsidR="08163013">
        <w:rPr>
          <w:rStyle w:val="TextpoznpodarouChar"/>
        </w:rPr>
        <w:t>)</w:t>
      </w:r>
      <w:r w:rsidR="001033E2">
        <w:rPr>
          <w:rStyle w:val="TextpoznpodarouChar"/>
        </w:rPr>
        <w:t xml:space="preserve">, a to buď </w:t>
      </w:r>
      <w:r w:rsidR="08163013">
        <w:t>v</w:t>
      </w:r>
      <w:r w:rsidR="001033E2">
        <w:t xml:space="preserve">e škole </w:t>
      </w:r>
      <w:r w:rsidR="08163013">
        <w:t>první</w:t>
      </w:r>
      <w:r w:rsidR="001033E2">
        <w:t xml:space="preserve">ho </w:t>
      </w:r>
      <w:r w:rsidR="08163013">
        <w:t xml:space="preserve">nebo </w:t>
      </w:r>
      <w:r w:rsidR="001033E2">
        <w:t xml:space="preserve">ve </w:t>
      </w:r>
      <w:r w:rsidR="08163013">
        <w:t>druhé</w:t>
      </w:r>
      <w:r w:rsidR="001033E2">
        <w:t>ho</w:t>
      </w:r>
      <w:r w:rsidR="08163013">
        <w:t xml:space="preserve"> averroismu (</w:t>
      </w:r>
      <w:r w:rsidR="000706F8">
        <w:rPr>
          <w:i/>
        </w:rPr>
        <w:t>Bezugsinn</w:t>
      </w:r>
      <w:r w:rsidR="0865374E">
        <w:rPr>
          <w:i/>
        </w:rPr>
        <w:fldChar w:fldCharType="begin"/>
      </w:r>
      <w:r w:rsidR="0865374E">
        <w:instrText xml:space="preserve"> XE "</w:instrText>
      </w:r>
      <w:r w:rsidR="007E4FB3">
        <w:rPr>
          <w:i/>
        </w:rPr>
        <w:instrText>Bezugsinn</w:instrText>
      </w:r>
      <w:r w:rsidR="0865374E">
        <w:instrText xml:space="preserve">" </w:instrText>
      </w:r>
      <w:r w:rsidR="0865374E">
        <w:rPr>
          <w:i/>
        </w:rPr>
        <w:fldChar w:fldCharType="end"/>
      </w:r>
      <w:r w:rsidR="08163013">
        <w:t>). Produkce myšlení v dvou školách metafyziky dává výslednou podobu pozitivní a objektivní historické pravdy</w:t>
      </w:r>
      <w:r w:rsidR="00F53AB6">
        <w:t xml:space="preserve">. Ta ukazuje </w:t>
      </w:r>
      <w:r w:rsidR="08163013">
        <w:t>v</w:t>
      </w:r>
      <w:r w:rsidR="00FA0AAB">
        <w:t> předchůdném dějinném porozumění daném „</w:t>
      </w:r>
      <w:r w:rsidR="08163013" w:rsidRPr="084D1EAC">
        <w:rPr>
          <w:i/>
        </w:rPr>
        <w:t>de fine</w:t>
      </w:r>
      <w:r w:rsidR="00FA0AAB" w:rsidRPr="00FA0AAB">
        <w:t>“</w:t>
      </w:r>
      <w:r w:rsidR="08163013" w:rsidRPr="00FA0AAB">
        <w:t xml:space="preserve"> </w:t>
      </w:r>
      <w:r w:rsidR="00FA0AAB" w:rsidRPr="00E67175">
        <w:t>(</w:t>
      </w:r>
      <w:r w:rsidR="00FA0AAB" w:rsidRPr="00E67175">
        <w:rPr>
          <w:i/>
        </w:rPr>
        <w:t>Vor-blickbahn</w:t>
      </w:r>
      <w:r w:rsidR="00FA0AAB" w:rsidRPr="00E67175">
        <w:t>)</w:t>
      </w:r>
      <w:r w:rsidR="00E67175">
        <w:t xml:space="preserve">, tedy skrze </w:t>
      </w:r>
      <w:r w:rsidR="00F53AB6">
        <w:t>současný nihilismus moderní metafyziky</w:t>
      </w:r>
      <w:r w:rsidR="08163013">
        <w:t xml:space="preserve"> (</w:t>
      </w:r>
      <w:r w:rsidR="08163013">
        <w:rPr>
          <w:i/>
        </w:rPr>
        <w:t>Gehal</w:t>
      </w:r>
      <w:r w:rsidR="08163013" w:rsidRPr="00514123">
        <w:rPr>
          <w:i/>
        </w:rPr>
        <w:t>tsinn</w:t>
      </w:r>
      <w:r w:rsidR="08DD05AB">
        <w:rPr>
          <w:i/>
        </w:rPr>
        <w:fldChar w:fldCharType="begin"/>
      </w:r>
      <w:r w:rsidR="08DD05AB">
        <w:instrText xml:space="preserve"> XE "</w:instrText>
      </w:r>
      <w:r w:rsidR="08DD05AB" w:rsidRPr="08666A66">
        <w:rPr>
          <w:i/>
        </w:rPr>
        <w:instrText>Gehaltsinn</w:instrText>
      </w:r>
      <w:r w:rsidR="08DD05AB">
        <w:instrText xml:space="preserve">" </w:instrText>
      </w:r>
      <w:r w:rsidR="08DD05AB">
        <w:rPr>
          <w:i/>
        </w:rPr>
        <w:fldChar w:fldCharType="end"/>
      </w:r>
      <w:r w:rsidR="08163013">
        <w:t xml:space="preserve">). </w:t>
      </w:r>
      <w:r w:rsidR="00CC19E7">
        <w:t xml:space="preserve">Mytická a všeobecně chápaná </w:t>
      </w:r>
      <w:r w:rsidR="00FA0AAB">
        <w:t xml:space="preserve">esence </w:t>
      </w:r>
      <w:r w:rsidR="00FA0AAB" w:rsidRPr="00FA0AAB">
        <w:t xml:space="preserve">modernity </w:t>
      </w:r>
      <w:r w:rsidR="0090793C">
        <w:t xml:space="preserve">v ontickém modu </w:t>
      </w:r>
      <w:r w:rsidR="00FA0AAB" w:rsidRPr="00FA0AAB">
        <w:t xml:space="preserve">je </w:t>
      </w:r>
      <w:r w:rsidR="00FA0AAB">
        <w:t xml:space="preserve">tedy </w:t>
      </w:r>
      <w:r w:rsidR="00FA0AAB" w:rsidRPr="00FA0AAB">
        <w:t xml:space="preserve">analyzována metodologicky správně, tj. jako </w:t>
      </w:r>
      <w:r w:rsidR="00FA0AAB">
        <w:t xml:space="preserve">poslední a definitivní </w:t>
      </w:r>
      <w:r w:rsidR="00FA0AAB" w:rsidRPr="00FA0AAB">
        <w:t>fenomén</w:t>
      </w:r>
      <w:r w:rsidR="00CC19E7">
        <w:t xml:space="preserve"> </w:t>
      </w:r>
      <w:r w:rsidR="00D43C34">
        <w:t xml:space="preserve">předloženého </w:t>
      </w:r>
      <w:r w:rsidR="00CC19E7">
        <w:t>zkoumání</w:t>
      </w:r>
      <w:r w:rsidR="00FA0AAB" w:rsidRPr="00FA0AAB">
        <w:t>.</w:t>
      </w:r>
      <w:r w:rsidR="0090793C">
        <w:t xml:space="preserve"> Smysl daný objektivním asimilačním zmatkem moderny (</w:t>
      </w:r>
      <w:r w:rsidR="0090793C">
        <w:rPr>
          <w:i/>
        </w:rPr>
        <w:t>Gehal</w:t>
      </w:r>
      <w:r w:rsidR="0090793C" w:rsidRPr="00514123">
        <w:rPr>
          <w:i/>
        </w:rPr>
        <w:t>tsinn</w:t>
      </w:r>
      <w:r w:rsidR="0090793C">
        <w:t>) je vyložen jako výsledný výkon ději</w:t>
      </w:r>
      <w:r w:rsidR="00762AFF">
        <w:t>n</w:t>
      </w:r>
      <w:r w:rsidR="0090793C">
        <w:t>ně určeného smysl</w:t>
      </w:r>
      <w:r w:rsidR="00172C9C">
        <w:t>u</w:t>
      </w:r>
      <w:r w:rsidR="0090793C">
        <w:t xml:space="preserve"> metafyzického jsoucna (</w:t>
      </w:r>
      <w:r w:rsidR="0090793C" w:rsidRPr="0090793C">
        <w:rPr>
          <w:i/>
        </w:rPr>
        <w:t>Vollzugssinn</w:t>
      </w:r>
      <w:r w:rsidR="0090793C">
        <w:t xml:space="preserve">). </w:t>
      </w:r>
      <w:r w:rsidR="08217972">
        <w:t xml:space="preserve">Čtvrtá a pátá </w:t>
      </w:r>
      <w:r w:rsidR="08163013">
        <w:t>matrice ukáže</w:t>
      </w:r>
      <w:r w:rsidR="08163013" w:rsidRPr="00273106">
        <w:t xml:space="preserve">, jak se postupně realizoval metafyzický potenciál </w:t>
      </w:r>
      <w:r w:rsidR="08163013">
        <w:t xml:space="preserve">objektivního </w:t>
      </w:r>
      <w:r w:rsidR="08DF7D77">
        <w:t>dativu.</w:t>
      </w:r>
      <w:r w:rsidR="082C00C3">
        <w:t xml:space="preserve"> </w:t>
      </w:r>
      <w:r w:rsidR="08163013">
        <w:t xml:space="preserve">Celkový výčet </w:t>
      </w:r>
      <w:r w:rsidR="00305D89">
        <w:t xml:space="preserve">dativem určených kategorií </w:t>
      </w:r>
      <w:r w:rsidR="08163013">
        <w:t>daných v modu múzické obžaloby moderny ukazuje, že Rufuso</w:t>
      </w:r>
      <w:r w:rsidR="08163013" w:rsidRPr="00273106">
        <w:t>v</w:t>
      </w:r>
      <w:r w:rsidR="08163013">
        <w:t xml:space="preserve">y metafyzické inovace a </w:t>
      </w:r>
      <w:r w:rsidR="08163013" w:rsidRPr="00273106">
        <w:t xml:space="preserve">nástup </w:t>
      </w:r>
      <w:r w:rsidR="08163013">
        <w:t xml:space="preserve">vědecké formy </w:t>
      </w:r>
      <w:r w:rsidR="08163013" w:rsidRPr="00273106">
        <w:rPr>
          <w:i/>
        </w:rPr>
        <w:t>Oxfordian Fallacy</w:t>
      </w:r>
      <w:r w:rsidR="08163013">
        <w:t xml:space="preserve"> u Kilwardbyho samy o sobě </w:t>
      </w:r>
      <w:r w:rsidR="08163013" w:rsidRPr="00273106">
        <w:t xml:space="preserve">nezaložily </w:t>
      </w:r>
      <w:r w:rsidR="08163013">
        <w:t xml:space="preserve">globální účinnost moderny. </w:t>
      </w:r>
      <w:r w:rsidR="088C4E9F">
        <w:t>B</w:t>
      </w:r>
      <w:r w:rsidR="088C4E9F" w:rsidRPr="00273106">
        <w:t xml:space="preserve">ez mocenského nátlaku by nedošlo k zavedení objektivity jako vládnoucího </w:t>
      </w:r>
      <w:r w:rsidR="088C4E9F" w:rsidRPr="00273106">
        <w:rPr>
          <w:i/>
        </w:rPr>
        <w:t>Weltanschauung</w:t>
      </w:r>
      <w:r w:rsidR="088C4E9F">
        <w:rPr>
          <w:i/>
        </w:rPr>
        <w:fldChar w:fldCharType="begin"/>
      </w:r>
      <w:r w:rsidR="088C4E9F">
        <w:instrText xml:space="preserve"> XE "</w:instrText>
      </w:r>
      <w:r w:rsidR="088C4E9F" w:rsidRPr="001E5389">
        <w:rPr>
          <w:i/>
        </w:rPr>
        <w:instrText>Weltanschauung</w:instrText>
      </w:r>
      <w:r w:rsidR="088C4E9F">
        <w:instrText xml:space="preserve">" </w:instrText>
      </w:r>
      <w:r w:rsidR="088C4E9F">
        <w:rPr>
          <w:i/>
        </w:rPr>
        <w:fldChar w:fldCharType="end"/>
      </w:r>
      <w:r w:rsidR="088C4E9F">
        <w:rPr>
          <w:i/>
        </w:rPr>
        <w:t xml:space="preserve"> </w:t>
      </w:r>
      <w:r w:rsidR="088C4E9F">
        <w:t>daného nejprve v církevníc</w:t>
      </w:r>
      <w:r w:rsidR="088C4E9F" w:rsidRPr="08707EF0">
        <w:t xml:space="preserve">h </w:t>
      </w:r>
      <w:r w:rsidR="088C4E9F">
        <w:t xml:space="preserve">akademických </w:t>
      </w:r>
      <w:r w:rsidR="088C4E9F" w:rsidRPr="08707EF0">
        <w:t>kruzích.</w:t>
      </w:r>
      <w:r w:rsidR="088C4E9F">
        <w:t xml:space="preserve"> </w:t>
      </w:r>
      <w:r w:rsidR="002D1CDB">
        <w:t xml:space="preserve">Pod vlivem moderních, katolicky </w:t>
      </w:r>
      <w:r w:rsidR="00A6722D">
        <w:t xml:space="preserve">a </w:t>
      </w:r>
      <w:r w:rsidR="001A08AB">
        <w:t>objektivně (</w:t>
      </w:r>
      <w:r w:rsidR="001A08AB">
        <w:rPr>
          <w:rStyle w:val="ky2igmncmogjharherah"/>
        </w:rPr>
        <w:t>καθόλου</w:t>
      </w:r>
      <w:r w:rsidR="001A08AB">
        <w:t xml:space="preserve">) </w:t>
      </w:r>
      <w:r w:rsidR="002D1CDB">
        <w:t xml:space="preserve">vychovaných </w:t>
      </w:r>
      <w:r w:rsidR="08890BEB">
        <w:t>Fúrií</w:t>
      </w:r>
      <w:r w:rsidR="002D1CDB">
        <w:t>,</w:t>
      </w:r>
      <w:r w:rsidR="08890BEB">
        <w:t xml:space="preserve"> drží gnostický iluminát </w:t>
      </w:r>
      <w:r w:rsidR="001A08AB">
        <w:t xml:space="preserve">svou </w:t>
      </w:r>
      <w:r w:rsidR="08890BEB">
        <w:t>pravdu objektivně absolutně</w:t>
      </w:r>
      <w:r w:rsidR="00640E91">
        <w:t>. Poznání celku světa j</w:t>
      </w:r>
      <w:r w:rsidR="00DF3B40">
        <w:t xml:space="preserve">e dáno </w:t>
      </w:r>
      <w:r w:rsidR="08890BEB">
        <w:t xml:space="preserve">v modu </w:t>
      </w:r>
      <w:r w:rsidR="08890BEB">
        <w:lastRenderedPageBreak/>
        <w:t>jistoty a evidence dané jako svrchovaná</w:t>
      </w:r>
      <w:r w:rsidR="08890BEB" w:rsidRPr="00273106">
        <w:t xml:space="preserve"> </w:t>
      </w:r>
      <w:r w:rsidR="08890BEB">
        <w:t>správnost v modu jedné ontoteologické pravdy</w:t>
      </w:r>
      <w:r w:rsidR="00554D3E">
        <w:t xml:space="preserve"> j</w:t>
      </w:r>
      <w:r w:rsidR="000A6EC4">
        <w:t>a</w:t>
      </w:r>
      <w:r w:rsidR="00554D3E">
        <w:t>k</w:t>
      </w:r>
      <w:r w:rsidR="000A6EC4">
        <w:t>o „</w:t>
      </w:r>
      <w:r w:rsidR="000A6EC4" w:rsidRPr="00880CFD">
        <w:rPr>
          <w:i/>
        </w:rPr>
        <w:t>summa</w:t>
      </w:r>
      <w:r w:rsidR="000A6EC4">
        <w:t xml:space="preserve"> </w:t>
      </w:r>
      <w:r w:rsidR="000A6EC4" w:rsidRPr="00ED5C71">
        <w:rPr>
          <w:i/>
        </w:rPr>
        <w:t>veritas</w:t>
      </w:r>
      <w:r w:rsidR="000A6EC4">
        <w:rPr>
          <w:i/>
        </w:rPr>
        <w:t>“</w:t>
      </w:r>
      <w:r w:rsidR="08890BEB">
        <w:t>. P</w:t>
      </w:r>
      <w:r w:rsidR="08890BEB" w:rsidRPr="00273106">
        <w:t xml:space="preserve">roto </w:t>
      </w:r>
      <w:r w:rsidR="08890BEB">
        <w:t xml:space="preserve">musí moderní subjekt tuto asimilační a iluminační formu nepravdy </w:t>
      </w:r>
      <w:r w:rsidR="08890BEB" w:rsidRPr="00273106">
        <w:t xml:space="preserve">chránit </w:t>
      </w:r>
      <w:r w:rsidR="002205F4">
        <w:t xml:space="preserve">zásadně </w:t>
      </w:r>
      <w:r w:rsidR="08890BEB" w:rsidRPr="00273106">
        <w:t xml:space="preserve">mocensky. </w:t>
      </w:r>
      <w:r w:rsidR="08890BEB">
        <w:t>Moderní vědění se stalo globální mocí proto, že není metafyzicky pravdivé v modu adekvace reality a intelektu. Ochranu pravdy nemůže moderní iluminát provozovat silou myšlení podle</w:t>
      </w:r>
      <w:r w:rsidR="00B96C21">
        <w:t xml:space="preserve"> metafyzické moudrosti </w:t>
      </w:r>
      <w:r w:rsidR="00CF69B8">
        <w:t>filosofů, jako</w:t>
      </w:r>
      <w:r w:rsidR="00C96B6D">
        <w:t xml:space="preserve"> byl Aristotel</w:t>
      </w:r>
      <w:r w:rsidR="00B96C21">
        <w:t>e</w:t>
      </w:r>
      <w:r w:rsidR="00C96B6D">
        <w:t>s a Ko</w:t>
      </w:r>
      <w:r w:rsidR="08890BEB">
        <w:t>mentátor</w:t>
      </w:r>
      <w:r w:rsidR="00C96B6D">
        <w:t xml:space="preserve">. Ti </w:t>
      </w:r>
      <w:r w:rsidR="08890BEB">
        <w:t xml:space="preserve">hledali pravdu skrze </w:t>
      </w:r>
      <w:r w:rsidR="081942A4">
        <w:t xml:space="preserve">metafyzický </w:t>
      </w:r>
      <w:r w:rsidR="08890BEB">
        <w:t xml:space="preserve">dativ. Albert </w:t>
      </w:r>
      <w:r w:rsidR="08DA1D5E">
        <w:t xml:space="preserve">a Bacon </w:t>
      </w:r>
      <w:r w:rsidR="0878035D">
        <w:t xml:space="preserve">celoživotně </w:t>
      </w:r>
      <w:r w:rsidR="00CF69B8">
        <w:t>vykládali aristotelismus „</w:t>
      </w:r>
      <w:r w:rsidR="00CF69B8" w:rsidRPr="00060BD8">
        <w:rPr>
          <w:i/>
        </w:rPr>
        <w:t>ad mentem Averrois</w:t>
      </w:r>
      <w:r w:rsidR="00CF69B8">
        <w:t>“ proti modernistům</w:t>
      </w:r>
      <w:r w:rsidR="08890BEB">
        <w:t xml:space="preserve">. Učení </w:t>
      </w:r>
      <w:r w:rsidR="08DA1D5E">
        <w:t xml:space="preserve">a sofistiští </w:t>
      </w:r>
      <w:r w:rsidR="08890BEB">
        <w:t xml:space="preserve">Latiníci </w:t>
      </w:r>
      <w:r w:rsidR="08DA1D5E">
        <w:t>podle Alberta</w:t>
      </w:r>
      <w:r w:rsidR="08664698">
        <w:t xml:space="preserve"> </w:t>
      </w:r>
      <w:r w:rsidR="08890BEB">
        <w:t xml:space="preserve">nemají vědecké pojetí </w:t>
      </w:r>
      <w:r w:rsidR="08890BEB" w:rsidRPr="00273106">
        <w:t>pravdy (</w:t>
      </w:r>
      <w:r w:rsidR="08890BEB" w:rsidRPr="00273106">
        <w:rPr>
          <w:i/>
        </w:rPr>
        <w:t>scientiam veritatis nec ostendunt</w:t>
      </w:r>
      <w:r w:rsidR="08890BEB" w:rsidRPr="00273106">
        <w:t>)</w:t>
      </w:r>
      <w:r w:rsidR="08890BEB">
        <w:t xml:space="preserve"> a </w:t>
      </w:r>
      <w:r w:rsidR="00A10C3F">
        <w:t>nepredikují kauzalitu reálných věcí</w:t>
      </w:r>
      <w:r w:rsidR="08890BEB" w:rsidRPr="00273106">
        <w:t xml:space="preserve"> (</w:t>
      </w:r>
      <w:r w:rsidR="08890BEB" w:rsidRPr="00273106">
        <w:rPr>
          <w:i/>
        </w:rPr>
        <w:t>nec verbis propriis attingunt</w:t>
      </w:r>
      <w:r w:rsidR="08343F78">
        <w:t>; OBJ II, kap. 2</w:t>
      </w:r>
      <w:r w:rsidR="08890BEB" w:rsidRPr="08BD5916">
        <w:t>.4.3</w:t>
      </w:r>
      <w:r w:rsidR="08890BEB" w:rsidRPr="00273106">
        <w:t>).</w:t>
      </w:r>
      <w:r w:rsidR="08890BEB">
        <w:t xml:space="preserve"> Akademickou modernu a hlavně postmodernu vede při ochraně objektivní pravdy dané iracionálně stejně iracionální pud sebezáchovy (Spinozův </w:t>
      </w:r>
      <w:r w:rsidR="08890BEB" w:rsidRPr="00F96DBF">
        <w:rPr>
          <w:i/>
        </w:rPr>
        <w:t>conatus</w:t>
      </w:r>
      <w:r w:rsidR="08343F78">
        <w:t>, kap. 4</w:t>
      </w:r>
      <w:r w:rsidR="08890BEB" w:rsidRPr="08AC49EB">
        <w:t>.1.1</w:t>
      </w:r>
      <w:r w:rsidR="08890BEB">
        <w:rPr>
          <w:i/>
        </w:rPr>
        <w:fldChar w:fldCharType="begin"/>
      </w:r>
      <w:r w:rsidR="08890BEB">
        <w:instrText xml:space="preserve"> XE "</w:instrText>
      </w:r>
      <w:r w:rsidR="08890BEB" w:rsidRPr="008842C0">
        <w:rPr>
          <w:i/>
        </w:rPr>
        <w:instrText>conatus</w:instrText>
      </w:r>
      <w:r w:rsidR="08890BEB">
        <w:instrText xml:space="preserve">" </w:instrText>
      </w:r>
      <w:r w:rsidR="08890BEB">
        <w:rPr>
          <w:i/>
        </w:rPr>
        <w:fldChar w:fldCharType="end"/>
      </w:r>
      <w:r w:rsidR="08890BEB">
        <w:t xml:space="preserve">). Moderna potřebuje držet iracionální výklad světa a osoby podaný skrze </w:t>
      </w:r>
      <w:r w:rsidR="08890BEB" w:rsidRPr="08103E0D">
        <w:rPr>
          <w:i/>
        </w:rPr>
        <w:t>Oxfordian Fallacy</w:t>
      </w:r>
      <w:r w:rsidR="08890BEB">
        <w:t xml:space="preserve">. Osoba je moderně rozštěpena na několik schizofrenických substancí a realitu vnímá v paranoickém schématu poznání. </w:t>
      </w:r>
      <w:r w:rsidR="08163013" w:rsidRPr="009C1BB7">
        <w:t>Z hlediska aristotelské adekvační teorie pravdy byl nový druh jsoucna zcela absurdn</w:t>
      </w:r>
      <w:r w:rsidR="00E24540" w:rsidRPr="009C1BB7">
        <w:t>í a moderní pojetí pravdy také.</w:t>
      </w:r>
      <w:r w:rsidR="009C1BB7" w:rsidRPr="009C1BB7">
        <w:t xml:space="preserve"> Přivlastnění světa prostřednictvím </w:t>
      </w:r>
      <w:r w:rsidR="00E549D6">
        <w:t xml:space="preserve">současného </w:t>
      </w:r>
      <w:r w:rsidR="009C1BB7" w:rsidRPr="009C1BB7">
        <w:rPr>
          <w:i/>
        </w:rPr>
        <w:t>dativus possessivus</w:t>
      </w:r>
      <w:r w:rsidR="009C1BB7">
        <w:rPr>
          <w:i/>
        </w:rPr>
        <w:fldChar w:fldCharType="begin"/>
      </w:r>
      <w:r w:rsidR="009C1BB7">
        <w:instrText xml:space="preserve"> XE "</w:instrText>
      </w:r>
      <w:r w:rsidR="009C1BB7" w:rsidRPr="007A6785">
        <w:rPr>
          <w:i/>
        </w:rPr>
        <w:instrText>dativus possessivus</w:instrText>
      </w:r>
      <w:r w:rsidR="009C1BB7">
        <w:instrText xml:space="preserve">" </w:instrText>
      </w:r>
      <w:r w:rsidR="009C1BB7">
        <w:rPr>
          <w:i/>
        </w:rPr>
        <w:fldChar w:fldCharType="end"/>
      </w:r>
      <w:r w:rsidR="009C1BB7" w:rsidRPr="009C1BB7">
        <w:t xml:space="preserve"> znamená imperativ shromažďovat a manipulovat </w:t>
      </w:r>
      <w:r w:rsidR="00E549D6" w:rsidRPr="009C1BB7">
        <w:t>v</w:t>
      </w:r>
      <w:r w:rsidR="00E549D6">
        <w:t> </w:t>
      </w:r>
      <w:r w:rsidR="00E549D6" w:rsidRPr="009C1BB7">
        <w:t>databázích</w:t>
      </w:r>
      <w:r w:rsidR="00E549D6">
        <w:t xml:space="preserve"> </w:t>
      </w:r>
      <w:r w:rsidR="009C1BB7" w:rsidRPr="009C1BB7">
        <w:t xml:space="preserve">veškeré </w:t>
      </w:r>
      <w:r w:rsidR="009C1BB7" w:rsidRPr="009C1BB7">
        <w:rPr>
          <w:i/>
        </w:rPr>
        <w:t>tertium ens</w:t>
      </w:r>
      <w:r w:rsidR="009C1BB7" w:rsidRPr="009C1BB7">
        <w:t xml:space="preserve"> vytvořené </w:t>
      </w:r>
      <w:r w:rsidR="00E549D6">
        <w:t>nihilistickým subjektem</w:t>
      </w:r>
      <w:r w:rsidR="009C1BB7" w:rsidRPr="009C1BB7">
        <w:t xml:space="preserve">. Postmoderní pravda </w:t>
      </w:r>
      <w:r w:rsidR="00B76A48">
        <w:t>s</w:t>
      </w:r>
      <w:r w:rsidR="009C1BB7" w:rsidRPr="009C1BB7">
        <w:t xml:space="preserve">končí jako </w:t>
      </w:r>
      <w:r w:rsidR="00B76A48">
        <w:t xml:space="preserve">plná asimilace </w:t>
      </w:r>
      <w:r w:rsidR="003D0E16">
        <w:t xml:space="preserve">světa </w:t>
      </w:r>
      <w:r w:rsidR="00B76A48">
        <w:t xml:space="preserve">a stejně tak </w:t>
      </w:r>
      <w:r w:rsidR="0043743E">
        <w:t>dopadne i celá Země</w:t>
      </w:r>
      <w:r w:rsidR="009C1BB7" w:rsidRPr="009C1BB7">
        <w:t xml:space="preserve">. Místo skutečného světa </w:t>
      </w:r>
      <w:r w:rsidR="00B76A48">
        <w:t>začne</w:t>
      </w:r>
      <w:r w:rsidR="009C1BB7">
        <w:t xml:space="preserve"> vládnout jeho digitální simulá</w:t>
      </w:r>
      <w:r w:rsidR="009C1BB7" w:rsidRPr="009C1BB7">
        <w:t>krum.</w:t>
      </w:r>
      <w:r w:rsidR="007932B3">
        <w:t xml:space="preserve"> Jestli se </w:t>
      </w:r>
      <w:r w:rsidR="00F84166">
        <w:t xml:space="preserve">nihilistickým </w:t>
      </w:r>
      <w:r w:rsidR="007932B3" w:rsidRPr="007932B3">
        <w:t xml:space="preserve">Furiím </w:t>
      </w:r>
      <w:r w:rsidR="007932B3">
        <w:t>v</w:t>
      </w:r>
      <w:r w:rsidR="0027252D">
        <w:t xml:space="preserve"> sociopatické podobě </w:t>
      </w:r>
      <w:r w:rsidR="00F84166">
        <w:t xml:space="preserve">jednoho promile </w:t>
      </w:r>
      <w:r w:rsidR="007932B3" w:rsidRPr="007932B3">
        <w:t xml:space="preserve">skutečně </w:t>
      </w:r>
      <w:r w:rsidR="00F84166">
        <w:t>podaří dotáhnout so</w:t>
      </w:r>
      <w:r w:rsidR="00C02ED3">
        <w:t>u</w:t>
      </w:r>
      <w:r w:rsidR="00F84166">
        <w:t>časný n</w:t>
      </w:r>
      <w:r w:rsidR="000D3459">
        <w:t>i</w:t>
      </w:r>
      <w:r w:rsidR="00F84166">
        <w:t>hilismu</w:t>
      </w:r>
      <w:r w:rsidR="000D3459">
        <w:t>s</w:t>
      </w:r>
      <w:r w:rsidR="00F84166">
        <w:t xml:space="preserve"> do vítězného konce, </w:t>
      </w:r>
      <w:r w:rsidR="007932B3" w:rsidRPr="007932B3">
        <w:t xml:space="preserve">pak </w:t>
      </w:r>
      <w:r w:rsidR="007932B3">
        <w:t xml:space="preserve">si žádné </w:t>
      </w:r>
      <w:r w:rsidR="00F84166">
        <w:t xml:space="preserve">konkrétní a </w:t>
      </w:r>
      <w:r w:rsidR="000D3459">
        <w:t xml:space="preserve">mnohonásobně </w:t>
      </w:r>
      <w:r w:rsidR="00F84166">
        <w:t xml:space="preserve">rozpolcené </w:t>
      </w:r>
      <w:r w:rsidR="007932B3" w:rsidRPr="007932B3">
        <w:rPr>
          <w:i/>
        </w:rPr>
        <w:t>individuum</w:t>
      </w:r>
      <w:r w:rsidR="007932B3">
        <w:t xml:space="preserve"> ani neuvědomí</w:t>
      </w:r>
      <w:r w:rsidR="007932B3" w:rsidRPr="007932B3">
        <w:t xml:space="preserve">, že </w:t>
      </w:r>
      <w:r w:rsidR="007932B3">
        <w:t>reálný svět už přestal exitovat</w:t>
      </w:r>
      <w:r w:rsidR="007932B3" w:rsidRPr="007932B3">
        <w:t>.</w:t>
      </w:r>
    </w:p>
    <w:p w:rsidR="000878F0" w:rsidRDefault="08163013" w:rsidP="008538CB">
      <w:pPr>
        <w:ind w:firstLine="397"/>
      </w:pPr>
      <w:r w:rsidRPr="00273106">
        <w:t xml:space="preserve">Po pádu první substance do epochální </w:t>
      </w:r>
      <w:r w:rsidR="00594E30" w:rsidRPr="00594E30">
        <w:t>Léthé</w:t>
      </w:r>
      <w:r w:rsidRPr="00273106">
        <w:t xml:space="preserve"> metafyziky zakládá pravdu </w:t>
      </w:r>
      <w:r>
        <w:t xml:space="preserve">pouze moderní </w:t>
      </w:r>
      <w:r w:rsidRPr="00273106">
        <w:t>subjekt</w:t>
      </w:r>
      <w:r>
        <w:t xml:space="preserve">. Proto je třeba zjistit, jak moderní </w:t>
      </w:r>
      <w:r>
        <w:rPr>
          <w:iCs/>
        </w:rPr>
        <w:t xml:space="preserve">subjekt přivádí </w:t>
      </w:r>
      <w:r w:rsidRPr="00273106">
        <w:rPr>
          <w:iCs/>
        </w:rPr>
        <w:t xml:space="preserve">nové jsoucno </w:t>
      </w:r>
      <w:r>
        <w:rPr>
          <w:iCs/>
        </w:rPr>
        <w:t>třetího druhu do objektivního a</w:t>
      </w:r>
      <w:r w:rsidRPr="00273106">
        <w:rPr>
          <w:iCs/>
        </w:rPr>
        <w:t>verroismu (</w:t>
      </w:r>
      <w:r w:rsidRPr="00273106">
        <w:rPr>
          <w:i/>
          <w:iCs/>
        </w:rPr>
        <w:t>dativus auctoris</w:t>
      </w:r>
      <w:r>
        <w:rPr>
          <w:i/>
          <w:iCs/>
        </w:rPr>
        <w:fldChar w:fldCharType="begin"/>
      </w:r>
      <w:r>
        <w:instrText xml:space="preserve"> XE "</w:instrText>
      </w:r>
      <w:r w:rsidRPr="00C5228F">
        <w:rPr>
          <w:i/>
          <w:iCs/>
        </w:rPr>
        <w:instrText>dativus auctoris</w:instrText>
      </w:r>
      <w:r>
        <w:instrText xml:space="preserve">" </w:instrText>
      </w:r>
      <w:r>
        <w:rPr>
          <w:i/>
          <w:iCs/>
        </w:rPr>
        <w:fldChar w:fldCharType="end"/>
      </w:r>
      <w:r w:rsidRPr="00273106">
        <w:rPr>
          <w:iCs/>
        </w:rPr>
        <w:t>)</w:t>
      </w:r>
      <w:r>
        <w:rPr>
          <w:iCs/>
        </w:rPr>
        <w:t xml:space="preserve">. </w:t>
      </w:r>
      <w:r>
        <w:t>Moderní subjekt musí z podstaty objektivního Oid</w:t>
      </w:r>
      <w:r w:rsidR="00285CAD">
        <w:t>ipova komplexu určujícího jeho ex</w:t>
      </w:r>
      <w:r>
        <w:t xml:space="preserve">istenci a vědění držet moderní pojetí pravdy jako asimilace za každou cenu. Jinak by </w:t>
      </w:r>
      <w:r w:rsidR="00503387">
        <w:t xml:space="preserve">se </w:t>
      </w:r>
      <w:r>
        <w:t xml:space="preserve">zhroutilo objektivní vidění světa </w:t>
      </w:r>
      <w:r w:rsidR="08E00C3F">
        <w:t xml:space="preserve">dané </w:t>
      </w:r>
      <w:r>
        <w:t>v</w:t>
      </w:r>
      <w:r w:rsidR="08E00C3F">
        <w:t xml:space="preserve"> původním porretánském </w:t>
      </w:r>
      <w:r>
        <w:t xml:space="preserve">modu </w:t>
      </w:r>
      <w:r w:rsidR="008348AE">
        <w:t>„</w:t>
      </w:r>
      <w:r w:rsidRPr="00225A68">
        <w:rPr>
          <w:i/>
        </w:rPr>
        <w:t>discrete videamus</w:t>
      </w:r>
      <w:r w:rsidR="008348AE">
        <w:t>“</w:t>
      </w:r>
      <w:r w:rsidR="08E00C3F">
        <w:t xml:space="preserve"> (OBJ II, kap. 1.4). </w:t>
      </w:r>
      <w:r>
        <w:t xml:space="preserve">A toto paranoické vědění produkuje globální moc Západu podle postmoderního okřídleného </w:t>
      </w:r>
      <w:r w:rsidR="0803475C">
        <w:t xml:space="preserve">a zcela pythického </w:t>
      </w:r>
      <w:r>
        <w:t xml:space="preserve">hesla </w:t>
      </w:r>
      <w:r w:rsidR="0068512E">
        <w:t>„</w:t>
      </w:r>
      <w:r w:rsidRPr="083F6FAB">
        <w:rPr>
          <w:rStyle w:val="st"/>
          <w:i/>
        </w:rPr>
        <w:t>scientia potentia est</w:t>
      </w:r>
      <w:r w:rsidR="0068512E">
        <w:rPr>
          <w:rStyle w:val="st"/>
        </w:rPr>
        <w:t>“</w:t>
      </w:r>
      <w:r w:rsidR="00CF0F52">
        <w:rPr>
          <w:rStyle w:val="st"/>
        </w:rPr>
        <w:t xml:space="preserve"> </w:t>
      </w:r>
      <w:r w:rsidR="00CF0F52">
        <w:t xml:space="preserve">(OBJ II, kap. 3.5). </w:t>
      </w:r>
      <w:r w:rsidR="0809319D">
        <w:t>Aristoteles a jeho škola dobře v</w:t>
      </w:r>
      <w:r w:rsidR="00AE6E63">
        <w:t xml:space="preserve">ěděli, že potencialita </w:t>
      </w:r>
      <w:r w:rsidR="00FE6203">
        <w:t xml:space="preserve">vědění </w:t>
      </w:r>
      <w:r w:rsidR="00AE6E63">
        <w:t xml:space="preserve">není aktuální </w:t>
      </w:r>
      <w:r w:rsidR="007B4D3B">
        <w:t>realita</w:t>
      </w:r>
      <w:r w:rsidR="00AE6E63">
        <w:t xml:space="preserve"> světa</w:t>
      </w:r>
      <w:r w:rsidR="0809319D">
        <w:t xml:space="preserve">. </w:t>
      </w:r>
      <w:r>
        <w:t xml:space="preserve">Múzická hermeneutika připomíná </w:t>
      </w:r>
      <w:r>
        <w:lastRenderedPageBreak/>
        <w:t xml:space="preserve">záměnu původní aristotelské potence na novou formu globální slepé moci, která se prohlásila skrze moderní vůli za první substanci </w:t>
      </w:r>
      <w:r w:rsidRPr="000E7E5C">
        <w:t>par excellence</w:t>
      </w:r>
      <w:r w:rsidR="08191D3A">
        <w:rPr>
          <w:i/>
        </w:rPr>
        <w:t xml:space="preserve"> </w:t>
      </w:r>
      <w:r w:rsidR="08191D3A" w:rsidRPr="08191D3A">
        <w:rPr>
          <w:szCs w:val="24"/>
        </w:rPr>
        <w:t>(</w:t>
      </w:r>
      <w:r w:rsidR="08191D3A" w:rsidRPr="08191D3A">
        <w:rPr>
          <w:i/>
          <w:szCs w:val="24"/>
        </w:rPr>
        <w:t>Ge-stell</w:t>
      </w:r>
      <w:r w:rsidR="00D31E7A">
        <w:rPr>
          <w:i/>
          <w:szCs w:val="24"/>
        </w:rPr>
        <w:fldChar w:fldCharType="begin"/>
      </w:r>
      <w:r w:rsidR="00D31E7A">
        <w:instrText xml:space="preserve"> XE "</w:instrText>
      </w:r>
      <w:r w:rsidR="00D31E7A" w:rsidRPr="007E14F6">
        <w:rPr>
          <w:i/>
          <w:szCs w:val="24"/>
        </w:rPr>
        <w:instrText>Ge-stell</w:instrText>
      </w:r>
      <w:r w:rsidR="00D31E7A">
        <w:instrText xml:space="preserve">" </w:instrText>
      </w:r>
      <w:r w:rsidR="00D31E7A">
        <w:rPr>
          <w:i/>
          <w:szCs w:val="24"/>
        </w:rPr>
        <w:fldChar w:fldCharType="end"/>
      </w:r>
      <w:r w:rsidR="08191D3A" w:rsidRPr="08191D3A">
        <w:rPr>
          <w:szCs w:val="24"/>
        </w:rPr>
        <w:t>)</w:t>
      </w:r>
      <w:r>
        <w:t>. F</w:t>
      </w:r>
      <w:r w:rsidRPr="00273106">
        <w:t xml:space="preserve">ilosofie </w:t>
      </w:r>
      <w:r>
        <w:t xml:space="preserve">se </w:t>
      </w:r>
      <w:r w:rsidRPr="00273106">
        <w:t xml:space="preserve">stala </w:t>
      </w:r>
      <w:r>
        <w:t>od Anselma neoplatonskou ontoteologií</w:t>
      </w:r>
      <w:r w:rsidRPr="08494DB0">
        <w:t xml:space="preserve"> </w:t>
      </w:r>
      <w:r>
        <w:t xml:space="preserve">napojenou na deontologickou podobu dogmaticky dané </w:t>
      </w:r>
      <w:r w:rsidRPr="08494DB0">
        <w:rPr>
          <w:i/>
        </w:rPr>
        <w:t>Unified Science</w:t>
      </w:r>
      <w:r>
        <w:t xml:space="preserve">. Předávání tohoto moderního pokladu vědění běželo skrze </w:t>
      </w:r>
      <w:r w:rsidR="082D67D3">
        <w:t xml:space="preserve">scholastický </w:t>
      </w:r>
      <w:r>
        <w:t xml:space="preserve">systém </w:t>
      </w:r>
      <w:r w:rsidR="002A56BB">
        <w:t>vzdělání (</w:t>
      </w:r>
      <w:r w:rsidRPr="082842E3">
        <w:rPr>
          <w:i/>
        </w:rPr>
        <w:t>ratio studiorum</w:t>
      </w:r>
      <w:r w:rsidR="002A56BB">
        <w:t xml:space="preserve">), </w:t>
      </w:r>
      <w:r>
        <w:t xml:space="preserve">které popisuje </w:t>
      </w:r>
      <w:r w:rsidRPr="00273106">
        <w:t xml:space="preserve">Heideggerův pojem </w:t>
      </w:r>
      <w:r w:rsidR="00F31C30">
        <w:t>„</w:t>
      </w:r>
      <w:r w:rsidRPr="00273106">
        <w:rPr>
          <w:i/>
          <w:iCs/>
        </w:rPr>
        <w:t>Bildung</w:t>
      </w:r>
      <w:r w:rsidR="00F31C30">
        <w:rPr>
          <w:iCs/>
        </w:rPr>
        <w:t>“</w:t>
      </w:r>
      <w:r>
        <w:rPr>
          <w:i/>
        </w:rPr>
        <w:fldChar w:fldCharType="begin"/>
      </w:r>
      <w:r>
        <w:instrText xml:space="preserve"> XE "pravda:</w:instrText>
      </w:r>
      <w:r w:rsidRPr="009E0517">
        <w:rPr>
          <w:i/>
        </w:rPr>
        <w:instrText>Bildung</w:instrText>
      </w:r>
      <w:r>
        <w:instrText xml:space="preserve">" </w:instrText>
      </w:r>
      <w:r>
        <w:rPr>
          <w:i/>
        </w:rPr>
        <w:fldChar w:fldCharType="end"/>
      </w:r>
      <w:r>
        <w:t xml:space="preserve"> </w:t>
      </w:r>
      <w:r w:rsidRPr="00273106">
        <w:t>v ná</w:t>
      </w:r>
      <w:r>
        <w:t xml:space="preserve">vaznosti na řecký výraz </w:t>
      </w:r>
      <w:r w:rsidR="00F31C30">
        <w:t>„</w:t>
      </w:r>
      <w:r>
        <w:t>παιδεία</w:t>
      </w:r>
      <w:r w:rsidR="00F31C30">
        <w:t>“</w:t>
      </w:r>
      <w:r>
        <w:t xml:space="preserve"> (</w:t>
      </w:r>
      <w:r w:rsidR="08B112A9">
        <w:t xml:space="preserve">OBJ I, </w:t>
      </w:r>
      <w:r>
        <w:t xml:space="preserve">kap. 1). Moderna </w:t>
      </w:r>
      <w:r w:rsidRPr="00273106">
        <w:t>potřebovala mocenské stru</w:t>
      </w:r>
      <w:r>
        <w:t>ktury k zajištění nároku moderní pravdy ustavené prvními latinskými sofisty proti Abelardovi (</w:t>
      </w:r>
      <w:r w:rsidR="082D67D3">
        <w:t>OBJ II, kap. 1</w:t>
      </w:r>
      <w:r>
        <w:t>.3). Konstituci a průběh druhého kola sporu o dvojí pravdu</w:t>
      </w:r>
      <w:r w:rsidRPr="008E02F5">
        <w:t xml:space="preserve"> </w:t>
      </w:r>
      <w:r>
        <w:fldChar w:fldCharType="begin"/>
      </w:r>
      <w:r>
        <w:instrText xml:space="preserve"> XE "</w:instrText>
      </w:r>
      <w:r w:rsidRPr="00F50036">
        <w:instrText>teorie dvojí pravdy</w:instrText>
      </w:r>
      <w:r>
        <w:instrText xml:space="preserve">" </w:instrText>
      </w:r>
      <w:r>
        <w:fldChar w:fldCharType="end"/>
      </w:r>
      <w:r>
        <w:t xml:space="preserve">ukáže hermeneutika existenciálů vázaných na epochálně modifikovaný </w:t>
      </w:r>
      <w:r w:rsidRPr="004D26D1">
        <w:rPr>
          <w:i/>
        </w:rPr>
        <w:t>dativus obiectivus</w:t>
      </w:r>
      <w:r>
        <w:rPr>
          <w:i/>
        </w:rPr>
        <w:fldChar w:fldCharType="begin"/>
      </w:r>
      <w:r>
        <w:instrText xml:space="preserve"> XE "</w:instrText>
      </w:r>
      <w:r w:rsidRPr="00343046">
        <w:rPr>
          <w:i/>
        </w:rPr>
        <w:instrText>d</w:instrText>
      </w:r>
      <w:r w:rsidRPr="00343046">
        <w:rPr>
          <w:i/>
          <w:iCs/>
        </w:rPr>
        <w:instrText>ativus obiectivus</w:instrText>
      </w:r>
      <w:r>
        <w:instrText xml:space="preserve">" </w:instrText>
      </w:r>
      <w:r>
        <w:rPr>
          <w:i/>
        </w:rPr>
        <w:fldChar w:fldCharType="end"/>
      </w:r>
      <w:r w:rsidRPr="00273106">
        <w:t xml:space="preserve">. Filosofie přestala být pravdivá ve smyslu </w:t>
      </w:r>
      <w:r>
        <w:t>Averroes</w:t>
      </w:r>
      <w:r w:rsidRPr="00273106">
        <w:t xml:space="preserve">ova </w:t>
      </w:r>
      <w:r w:rsidRPr="00273106">
        <w:rPr>
          <w:i/>
        </w:rPr>
        <w:t>proportio</w:t>
      </w:r>
      <w:r>
        <w:rPr>
          <w:i/>
        </w:rPr>
        <w:fldChar w:fldCharType="begin"/>
      </w:r>
      <w:r>
        <w:instrText xml:space="preserve"> XE "pravda:</w:instrText>
      </w:r>
      <w:r w:rsidRPr="00150722">
        <w:rPr>
          <w:i/>
        </w:rPr>
        <w:instrText>proportio</w:instrText>
      </w:r>
      <w:r>
        <w:instrText xml:space="preserve">" </w:instrText>
      </w:r>
      <w:r>
        <w:rPr>
          <w:i/>
        </w:rPr>
        <w:fldChar w:fldCharType="end"/>
      </w:r>
      <w:r w:rsidRPr="00273106">
        <w:t xml:space="preserve"> a stala se správností ve smyslu Anselmova </w:t>
      </w:r>
      <w:r w:rsidRPr="00273106">
        <w:rPr>
          <w:i/>
        </w:rPr>
        <w:t>rectitudo</w:t>
      </w:r>
      <w:r w:rsidRPr="00273106">
        <w:t xml:space="preserve">. </w:t>
      </w:r>
      <w:r w:rsidR="08CE680F">
        <w:t xml:space="preserve">Otázka po pravdě byla změněna na mocenskou otázku, kdo </w:t>
      </w:r>
      <w:r w:rsidR="00F61102">
        <w:t xml:space="preserve">určuje aktuálně daný deontologický </w:t>
      </w:r>
      <w:r w:rsidR="00437B7B">
        <w:t xml:space="preserve">(a dnes už jen ideologický) </w:t>
      </w:r>
      <w:r w:rsidR="00F61102">
        <w:t>imperatif</w:t>
      </w:r>
      <w:r w:rsidR="08CE680F">
        <w:t xml:space="preserve">. </w:t>
      </w:r>
      <w:r w:rsidR="082F3DE9">
        <w:t xml:space="preserve">Imperativní metafyzická vůle v Anselmově modu </w:t>
      </w:r>
      <w:r w:rsidR="00D20706">
        <w:t>„</w:t>
      </w:r>
      <w:r w:rsidR="082F3DE9" w:rsidRPr="002B34DA">
        <w:rPr>
          <w:i/>
        </w:rPr>
        <w:t>debet esse</w:t>
      </w:r>
      <w:r w:rsidR="00D20706">
        <w:t>“</w:t>
      </w:r>
      <w:r w:rsidR="082F3DE9">
        <w:t xml:space="preserve"> </w:t>
      </w:r>
      <w:r w:rsidR="082F3DE9">
        <w:fldChar w:fldCharType="begin"/>
      </w:r>
      <w:r w:rsidR="082F3DE9">
        <w:instrText xml:space="preserve"> XE "</w:instrText>
      </w:r>
      <w:r w:rsidR="082F3DE9" w:rsidRPr="0007206B">
        <w:instrText>metafyzika:vůle</w:instrText>
      </w:r>
      <w:r w:rsidR="082F3DE9">
        <w:instrText xml:space="preserve">" </w:instrText>
      </w:r>
      <w:r w:rsidR="082F3DE9">
        <w:fldChar w:fldCharType="end"/>
      </w:r>
      <w:r w:rsidR="082F3DE9">
        <w:t xml:space="preserve">se prosadila proti klasickému pojetí pravdy jako adekvace reálné věci a intelektu, který prosazoval první averorismus. </w:t>
      </w:r>
      <w:r>
        <w:t xml:space="preserve">Univerzální rovnost (Rufusovo </w:t>
      </w:r>
      <w:r w:rsidRPr="00852941">
        <w:rPr>
          <w:i/>
        </w:rPr>
        <w:t>coaequatio</w:t>
      </w:r>
      <w:r>
        <w:rPr>
          <w:i/>
        </w:rPr>
        <w:fldChar w:fldCharType="begin"/>
      </w:r>
      <w:r>
        <w:instrText xml:space="preserve"> XE "pravda:</w:instrText>
      </w:r>
      <w:r w:rsidRPr="00E11E1F">
        <w:rPr>
          <w:i/>
        </w:rPr>
        <w:instrText>coaequatio</w:instrText>
      </w:r>
      <w:r>
        <w:instrText xml:space="preserve">" </w:instrText>
      </w:r>
      <w:r>
        <w:rPr>
          <w:i/>
        </w:rPr>
        <w:fldChar w:fldCharType="end"/>
      </w:r>
      <w:r>
        <w:t>) je dána výlučně v</w:t>
      </w:r>
      <w:r w:rsidRPr="00273106">
        <w:t xml:space="preserve"> subjektu a </w:t>
      </w:r>
      <w:r>
        <w:t xml:space="preserve">vyplývá </w:t>
      </w:r>
      <w:r w:rsidRPr="00273106">
        <w:t xml:space="preserve">z jeho suverénního oprávnění dávat jsoucnu smysl z vlastní formy správnosti. </w:t>
      </w:r>
      <w:r>
        <w:t>Z</w:t>
      </w:r>
      <w:r w:rsidRPr="00273106">
        <w:t>avedení mat</w:t>
      </w:r>
      <w:r>
        <w:t>e</w:t>
      </w:r>
      <w:r w:rsidRPr="00273106">
        <w:t xml:space="preserve">rie třetího druhu na způsob Avicebrona a vytvoření intelektu jako hylemorfické substance třetího druhu </w:t>
      </w:r>
      <w:r>
        <w:t xml:space="preserve">způsobilo, že </w:t>
      </w:r>
      <w:r w:rsidRPr="00273106">
        <w:t>mocenská a ideologická intervence do filosofie</w:t>
      </w:r>
      <w:r>
        <w:t xml:space="preserve"> se stala</w:t>
      </w:r>
      <w:r w:rsidRPr="00273106">
        <w:t xml:space="preserve"> </w:t>
      </w:r>
      <w:r w:rsidRPr="00273106">
        <w:rPr>
          <w:i/>
        </w:rPr>
        <w:t>conditio sina qua non</w:t>
      </w:r>
      <w:r w:rsidRPr="00273106">
        <w:t xml:space="preserve">. Jestliže císařovy nové šaty neexistují, </w:t>
      </w:r>
      <w:r>
        <w:t xml:space="preserve">pak </w:t>
      </w:r>
      <w:r w:rsidRPr="00273106">
        <w:t xml:space="preserve">musíme donutit </w:t>
      </w:r>
      <w:r>
        <w:t xml:space="preserve">kritické </w:t>
      </w:r>
      <w:r w:rsidRPr="00273106">
        <w:t>myslitele alespoň k mlčení, například skrze vykonstruovaný spo</w:t>
      </w:r>
      <w:r>
        <w:t xml:space="preserve">r o </w:t>
      </w:r>
      <w:r w:rsidRPr="00273106">
        <w:t xml:space="preserve">averroismus. A toto mlčení rozumu musí trvat tak dlouho, dokud si nahý císař modernistů neopatří nový oblek. </w:t>
      </w:r>
      <w:r>
        <w:t xml:space="preserve">Tuto krejčovskou </w:t>
      </w:r>
      <w:r w:rsidRPr="00273106">
        <w:t xml:space="preserve">zakázku intelektuálně nahých </w:t>
      </w:r>
      <w:r w:rsidRPr="00273106">
        <w:rPr>
          <w:i/>
        </w:rPr>
        <w:t>Modernorum</w:t>
      </w:r>
      <w:r w:rsidRPr="00273106">
        <w:t xml:space="preserve"> splnil </w:t>
      </w:r>
      <w:r>
        <w:t xml:space="preserve">Duns Scotus založením nové metafyziky na začátku 14. století. </w:t>
      </w:r>
      <w:r w:rsidR="000878F0">
        <w:t xml:space="preserve">Mocenský spor o </w:t>
      </w:r>
      <w:r w:rsidR="000878F0" w:rsidRPr="00273106">
        <w:t>averrois</w:t>
      </w:r>
      <w:r w:rsidR="000878F0">
        <w:t>mus</w:t>
      </w:r>
      <w:r w:rsidR="000878F0" w:rsidRPr="00273106">
        <w:t xml:space="preserve"> byl </w:t>
      </w:r>
      <w:r w:rsidR="000878F0">
        <w:t xml:space="preserve">dějinně nevyhnutelný, protože založil epochální účinnost objektivní sofistiky. Mocenská rozhodnutí církevních a akademických institucí zásadně pomohla nastolit v modu epochální </w:t>
      </w:r>
      <w:r w:rsidR="000878F0" w:rsidRPr="0087512F">
        <w:rPr>
          <w:i/>
        </w:rPr>
        <w:t>Irre</w:t>
      </w:r>
      <w:r w:rsidR="000878F0">
        <w:t xml:space="preserve"> specifickou formu objektivního myšlení zvanou </w:t>
      </w:r>
      <w:r w:rsidR="000878F0" w:rsidRPr="0087512F">
        <w:rPr>
          <w:i/>
        </w:rPr>
        <w:t>via Modernorum</w:t>
      </w:r>
      <w:r w:rsidR="000878F0">
        <w:t xml:space="preserve">, skrze </w:t>
      </w:r>
      <w:r w:rsidR="007A29AF">
        <w:t>niž</w:t>
      </w:r>
      <w:r w:rsidR="000878F0">
        <w:t xml:space="preserve"> vznikly objektivní dějiny latinského Západu v modu </w:t>
      </w:r>
      <w:r w:rsidR="000878F0" w:rsidRPr="003A725A">
        <w:rPr>
          <w:i/>
        </w:rPr>
        <w:t>Irrtum</w:t>
      </w:r>
      <w:r w:rsidR="000878F0">
        <w:rPr>
          <w:i/>
        </w:rPr>
        <w:fldChar w:fldCharType="begin"/>
      </w:r>
      <w:r w:rsidR="000878F0">
        <w:instrText xml:space="preserve"> XE "</w:instrText>
      </w:r>
      <w:r w:rsidR="000878F0" w:rsidRPr="0833390E">
        <w:rPr>
          <w:i/>
        </w:rPr>
        <w:instrText>Irrtum</w:instrText>
      </w:r>
      <w:r w:rsidR="000878F0">
        <w:instrText xml:space="preserve">" </w:instrText>
      </w:r>
      <w:r w:rsidR="000878F0">
        <w:rPr>
          <w:i/>
        </w:rPr>
        <w:fldChar w:fldCharType="end"/>
      </w:r>
      <w:r w:rsidR="000878F0">
        <w:t xml:space="preserve">. </w:t>
      </w:r>
      <w:r w:rsidR="008538CB">
        <w:t>Hermeneutická predikace</w:t>
      </w:r>
      <w:r w:rsidR="000878F0">
        <w:t xml:space="preserve"> </w:t>
      </w:r>
      <w:r w:rsidR="008538CB">
        <w:t xml:space="preserve">kategorií vzniklých z kompletních forem gramatického dativu </w:t>
      </w:r>
      <w:r w:rsidR="000878F0">
        <w:t xml:space="preserve">ukazuje </w:t>
      </w:r>
      <w:r w:rsidR="008538CB">
        <w:t>celkový dějinný smysl (</w:t>
      </w:r>
      <w:r w:rsidR="000878F0">
        <w:rPr>
          <w:i/>
        </w:rPr>
        <w:t>Vollzug</w:t>
      </w:r>
      <w:r w:rsidR="000878F0" w:rsidRPr="004917AF">
        <w:rPr>
          <w:i/>
        </w:rPr>
        <w:t>sinn</w:t>
      </w:r>
      <w:r w:rsidR="000878F0">
        <w:rPr>
          <w:i/>
        </w:rPr>
        <w:fldChar w:fldCharType="begin"/>
      </w:r>
      <w:r w:rsidR="000878F0">
        <w:instrText xml:space="preserve"> XE "</w:instrText>
      </w:r>
      <w:r w:rsidR="000878F0">
        <w:rPr>
          <w:i/>
        </w:rPr>
        <w:instrText>Vollzug</w:instrText>
      </w:r>
      <w:r w:rsidR="000878F0" w:rsidRPr="08C30BDF">
        <w:rPr>
          <w:i/>
        </w:rPr>
        <w:instrText>sinn</w:instrText>
      </w:r>
      <w:r w:rsidR="000878F0">
        <w:instrText xml:space="preserve">" </w:instrText>
      </w:r>
      <w:r w:rsidR="000878F0">
        <w:rPr>
          <w:i/>
        </w:rPr>
        <w:fldChar w:fldCharType="end"/>
      </w:r>
      <w:r w:rsidR="008538CB">
        <w:t>)</w:t>
      </w:r>
      <w:r w:rsidR="000878F0">
        <w:t xml:space="preserve"> objektivního dativu. Moderní vůle k vědění a vůle k moci jdou ruku v ruce. Latinský Západ </w:t>
      </w:r>
      <w:r w:rsidR="000878F0">
        <w:lastRenderedPageBreak/>
        <w:t>statečně nese toto paranoické břímě moderní vědy a moci schizofrenického bílého muže (</w:t>
      </w:r>
      <w:r w:rsidR="000878F0" w:rsidRPr="00F96DBF">
        <w:rPr>
          <w:i/>
        </w:rPr>
        <w:t>White Man's Burden</w:t>
      </w:r>
      <w:r w:rsidR="000878F0">
        <w:fldChar w:fldCharType="begin"/>
      </w:r>
      <w:r w:rsidR="000878F0">
        <w:instrText xml:space="preserve"> XE "</w:instrText>
      </w:r>
      <w:r w:rsidR="000878F0" w:rsidRPr="00F96DBF">
        <w:rPr>
          <w:i/>
        </w:rPr>
        <w:instrText>White Man's Burden</w:instrText>
      </w:r>
      <w:r w:rsidR="000878F0">
        <w:instrText xml:space="preserve">" </w:instrText>
      </w:r>
      <w:r w:rsidR="000878F0">
        <w:fldChar w:fldCharType="end"/>
      </w:r>
      <w:r w:rsidR="000878F0">
        <w:t>) u</w:t>
      </w:r>
      <w:r w:rsidR="008538CB">
        <w:t>ž po celá staletí. Nejprve chápal</w:t>
      </w:r>
      <w:r w:rsidR="000878F0">
        <w:t xml:space="preserve"> svůj dějinný </w:t>
      </w:r>
      <w:r w:rsidR="00FB5AF8">
        <w:t>„</w:t>
      </w:r>
      <w:r w:rsidR="000878F0" w:rsidRPr="08247F7E">
        <w:rPr>
          <w:i/>
        </w:rPr>
        <w:t>conatus</w:t>
      </w:r>
      <w:r w:rsidR="00FB5AF8">
        <w:t>“</w:t>
      </w:r>
      <w:r w:rsidR="000878F0">
        <w:t xml:space="preserve"> jako eschatologický úkol moderního scholastika a později kolonizujícího bílého muže. Tento osvícenec silou imperialistického rozumu a demiurgické industriální vůle krotí či anihiluje příslušné démony v koloniích (</w:t>
      </w:r>
      <w:r w:rsidR="000878F0" w:rsidRPr="00701C5A">
        <w:rPr>
          <w:i/>
        </w:rPr>
        <w:t>half-devil and half-child</w:t>
      </w:r>
      <w:r w:rsidR="000878F0">
        <w:t xml:space="preserve">; OBJ II, kap. 3.5). Dnes pod vedením neoliberálních Fúrií </w:t>
      </w:r>
      <w:r w:rsidR="00662739">
        <w:t xml:space="preserve">instrumentalizuje </w:t>
      </w:r>
      <w:r w:rsidR="000878F0">
        <w:t xml:space="preserve">podobný systém paranoického myšlení tzv. „terorismus“. Imperiální Západ pomohl vytvořit tyto ideologicky ovládané Fúrie v bývalých koloniích a také je pro své potřeby manipuluje. </w:t>
      </w:r>
      <w:r w:rsidR="00A26EF2">
        <w:t xml:space="preserve">Hermeneutická archeologie </w:t>
      </w:r>
      <w:r w:rsidR="000878F0">
        <w:t xml:space="preserve">sleduje skrytý způsob, jak vznikla dějinně účinná forma objektivního jsoucna. Tím je daný metodologický základ pro </w:t>
      </w:r>
      <w:r w:rsidR="00A26EF2">
        <w:t>stavbu nového Do</w:t>
      </w:r>
      <w:r w:rsidR="000878F0">
        <w:t>m</w:t>
      </w:r>
      <w:r w:rsidR="00A26EF2">
        <w:t>u</w:t>
      </w:r>
      <w:r w:rsidR="000878F0">
        <w:t xml:space="preserve"> moudrosti. </w:t>
      </w:r>
      <w:r w:rsidR="005264B8">
        <w:t>V posledních časech lidstva (</w:t>
      </w:r>
      <w:r w:rsidR="005264B8" w:rsidRPr="005264B8">
        <w:rPr>
          <w:i/>
        </w:rPr>
        <w:t>novissimum</w:t>
      </w:r>
      <w:r w:rsidR="005264B8">
        <w:t xml:space="preserve">) </w:t>
      </w:r>
      <w:r w:rsidR="00A26EF2">
        <w:t>je třeba hledat m</w:t>
      </w:r>
      <w:r w:rsidR="000878F0">
        <w:t>oudrost po vzoru této zaniklé instituc</w:t>
      </w:r>
      <w:r w:rsidR="00A26EF2">
        <w:t>e</w:t>
      </w:r>
      <w:r w:rsidR="000878F0">
        <w:t xml:space="preserve"> v Bagdádu (</w:t>
      </w:r>
      <w:r w:rsidR="000878F0" w:rsidRPr="002A74F0">
        <w:rPr>
          <w:i/>
        </w:rPr>
        <w:t>Bajt al-Hikma</w:t>
      </w:r>
      <w:r w:rsidR="000878F0">
        <w:rPr>
          <w:i/>
        </w:rPr>
        <w:fldChar w:fldCharType="begin"/>
      </w:r>
      <w:r w:rsidR="000878F0">
        <w:instrText xml:space="preserve"> XE "</w:instrText>
      </w:r>
      <w:r w:rsidR="000878F0" w:rsidRPr="002A74F0">
        <w:rPr>
          <w:i/>
        </w:rPr>
        <w:instrText>Bajt al-Hikma</w:instrText>
      </w:r>
      <w:r w:rsidR="000878F0">
        <w:instrText xml:space="preserve">" </w:instrText>
      </w:r>
      <w:r w:rsidR="000878F0">
        <w:rPr>
          <w:i/>
        </w:rPr>
        <w:fldChar w:fldCharType="end"/>
      </w:r>
      <w:r w:rsidR="000878F0">
        <w:t xml:space="preserve">, OBJ I, kap. 2.1.1). </w:t>
      </w:r>
      <w:r w:rsidR="00072C77" w:rsidRPr="00072C77">
        <w:t xml:space="preserve">Moderní subjekt, který ze sebe </w:t>
      </w:r>
      <w:r w:rsidR="00072C77">
        <w:t xml:space="preserve">udělal </w:t>
      </w:r>
      <w:r w:rsidR="00072C77" w:rsidRPr="00072C77">
        <w:t xml:space="preserve">zcela nihilistického dárce smyslu, </w:t>
      </w:r>
      <w:r w:rsidR="00072C77">
        <w:t>je třeba n</w:t>
      </w:r>
      <w:r w:rsidR="00072C77" w:rsidRPr="00072C77">
        <w:t>ahradit</w:t>
      </w:r>
      <w:r w:rsidR="00072C77">
        <w:t xml:space="preserve"> novým </w:t>
      </w:r>
      <w:r w:rsidR="00072C77" w:rsidRPr="00072C77">
        <w:rPr>
          <w:i/>
        </w:rPr>
        <w:t>dativus auctoris</w:t>
      </w:r>
      <w:r w:rsidR="00072C77" w:rsidRPr="00072C77">
        <w:t xml:space="preserve"> založeným na moudrosti. </w:t>
      </w:r>
      <w:r w:rsidR="000878F0">
        <w:t>A stavění společného Domu moudrosti je reálná činnost</w:t>
      </w:r>
      <w:r w:rsidR="00A670C2">
        <w:t>, a ne asimilace virt</w:t>
      </w:r>
      <w:r w:rsidR="00252AD2">
        <w:t>u</w:t>
      </w:r>
      <w:r w:rsidR="00A670C2">
        <w:t>álních nesmyslů</w:t>
      </w:r>
      <w:r w:rsidR="000878F0">
        <w:t xml:space="preserve">. Musí být provedena v modu Homérovy a Dantovy </w:t>
      </w:r>
      <w:r w:rsidR="000878F0" w:rsidRPr="0853440B">
        <w:rPr>
          <w:i/>
        </w:rPr>
        <w:t>poiésis</w:t>
      </w:r>
      <w:r w:rsidR="000878F0">
        <w:t xml:space="preserve"> vedené Múzami, a ne jako objektivní moderní mytopoetika vedená zběsilými Fúriemi</w:t>
      </w:r>
      <w:r w:rsidR="00785605">
        <w:t xml:space="preserve"> v subjektivním převleku</w:t>
      </w:r>
      <w:r w:rsidR="000878F0">
        <w:t xml:space="preserve">. </w:t>
      </w:r>
    </w:p>
    <w:p w:rsidR="088E460D" w:rsidRDefault="088E460D" w:rsidP="08DF7D77">
      <w:pPr>
        <w:ind w:firstLine="397"/>
      </w:pPr>
    </w:p>
    <w:p w:rsidR="08163013" w:rsidRPr="00347238" w:rsidRDefault="0830339D" w:rsidP="00347238">
      <w:pPr>
        <w:pStyle w:val="Nadpis2"/>
      </w:pPr>
      <w:bookmarkStart w:id="5" w:name="_Toc36144131"/>
      <w:r>
        <w:rPr>
          <w:lang w:val="cs-CZ"/>
        </w:rPr>
        <w:br w:type="page"/>
      </w:r>
      <w:bookmarkStart w:id="6" w:name="_Toc180231643"/>
      <w:r w:rsidR="08163013" w:rsidRPr="00347238">
        <w:lastRenderedPageBreak/>
        <w:t>4.1 Ontoteologická struktura objektivity (Bonaventura z Bagnoreggia)</w:t>
      </w:r>
      <w:bookmarkEnd w:id="5"/>
      <w:bookmarkEnd w:id="6"/>
    </w:p>
    <w:p w:rsidR="00946EB2" w:rsidRDefault="08FD69BF" w:rsidP="08163013">
      <w:r>
        <w:t>Z hlediska kategoriální pre</w:t>
      </w:r>
      <w:r w:rsidR="00DD4914">
        <w:t xml:space="preserve">dikace </w:t>
      </w:r>
      <w:r w:rsidR="0047567D">
        <w:t xml:space="preserve">podle </w:t>
      </w:r>
      <w:r w:rsidR="00DD4914">
        <w:t>objektivního dativu hrál</w:t>
      </w:r>
      <w:r>
        <w:t xml:space="preserve"> klíčovou roli františkán </w:t>
      </w:r>
      <w:r w:rsidRPr="00273106">
        <w:t>Bonaventura</w:t>
      </w:r>
      <w:r w:rsidR="084B3C16">
        <w:fldChar w:fldCharType="begin"/>
      </w:r>
      <w:r w:rsidR="084B3C16">
        <w:instrText xml:space="preserve"> XE "</w:instrText>
      </w:r>
      <w:r w:rsidR="084B3C16" w:rsidRPr="084F2B3B">
        <w:instrText xml:space="preserve">Bonaventura, viz </w:instrText>
      </w:r>
      <w:r w:rsidR="084B3C16" w:rsidRPr="084B3C16">
        <w:rPr>
          <w:i/>
        </w:rPr>
        <w:instrText>Index locorum</w:instrText>
      </w:r>
      <w:r w:rsidR="084B3C16">
        <w:instrText xml:space="preserve">" </w:instrText>
      </w:r>
      <w:r w:rsidR="084B3C16">
        <w:fldChar w:fldCharType="end"/>
      </w:r>
      <w:r>
        <w:t xml:space="preserve"> </w:t>
      </w:r>
      <w:r>
        <w:rPr>
          <w:rStyle w:val="st"/>
        </w:rPr>
        <w:t>z Bagnoreggia</w:t>
      </w:r>
      <w:r>
        <w:t xml:space="preserve"> (</w:t>
      </w:r>
      <w:r w:rsidRPr="088A6A15">
        <w:t>Giovanni di Fidanza</w:t>
      </w:r>
      <w:r>
        <w:rPr>
          <w:rStyle w:val="st"/>
        </w:rPr>
        <w:t>, †1274</w:t>
      </w:r>
      <w:r>
        <w:t>). Tento charismatický učenec</w:t>
      </w:r>
      <w:r w:rsidR="00635E12">
        <w:t>, světec</w:t>
      </w:r>
      <w:r>
        <w:t xml:space="preserve"> a církevní organizátor </w:t>
      </w:r>
      <w:r w:rsidRPr="00273106">
        <w:t>zásadním způsobem ovlivni</w:t>
      </w:r>
      <w:r w:rsidR="00823090">
        <w:t xml:space="preserve">l vznik moderní objektivity. Navíc založil </w:t>
      </w:r>
      <w:r>
        <w:t>k</w:t>
      </w:r>
      <w:r w:rsidR="00823090">
        <w:rPr>
          <w:iCs/>
        </w:rPr>
        <w:t>apitalistický náhled</w:t>
      </w:r>
      <w:r w:rsidR="00F257FF">
        <w:rPr>
          <w:iCs/>
        </w:rPr>
        <w:t xml:space="preserve"> na svět tím, že vytvořil</w:t>
      </w:r>
      <w:r w:rsidRPr="00273106">
        <w:rPr>
          <w:iCs/>
        </w:rPr>
        <w:t xml:space="preserve"> </w:t>
      </w:r>
      <w:r w:rsidR="00F257FF">
        <w:rPr>
          <w:iCs/>
        </w:rPr>
        <w:t xml:space="preserve">nový </w:t>
      </w:r>
      <w:r w:rsidR="00035BBC">
        <w:rPr>
          <w:iCs/>
        </w:rPr>
        <w:t xml:space="preserve">smysl </w:t>
      </w:r>
      <w:r w:rsidRPr="00273106">
        <w:rPr>
          <w:iCs/>
        </w:rPr>
        <w:t>celk</w:t>
      </w:r>
      <w:r w:rsidR="00035BBC">
        <w:rPr>
          <w:iCs/>
        </w:rPr>
        <w:t>u</w:t>
      </w:r>
      <w:r w:rsidRPr="00273106">
        <w:rPr>
          <w:iCs/>
        </w:rPr>
        <w:t xml:space="preserve"> jsoucna (</w:t>
      </w:r>
      <w:r w:rsidRPr="00273106">
        <w:rPr>
          <w:i/>
          <w:iCs/>
        </w:rPr>
        <w:t>dativus modi</w:t>
      </w:r>
      <w:r>
        <w:rPr>
          <w:i/>
          <w:iCs/>
        </w:rPr>
        <w:fldChar w:fldCharType="begin"/>
      </w:r>
      <w:r>
        <w:instrText xml:space="preserve"> XE "</w:instrText>
      </w:r>
      <w:r w:rsidRPr="00AC18E0">
        <w:rPr>
          <w:i/>
          <w:iCs/>
        </w:rPr>
        <w:instrText>dativus modi</w:instrText>
      </w:r>
      <w:r>
        <w:instrText xml:space="preserve">" </w:instrText>
      </w:r>
      <w:r>
        <w:rPr>
          <w:i/>
          <w:iCs/>
        </w:rPr>
        <w:fldChar w:fldCharType="end"/>
      </w:r>
      <w:r w:rsidRPr="00273106">
        <w:rPr>
          <w:iCs/>
        </w:rPr>
        <w:t>)</w:t>
      </w:r>
      <w:r>
        <w:rPr>
          <w:iCs/>
        </w:rPr>
        <w:t xml:space="preserve">. </w:t>
      </w:r>
      <w:r>
        <w:t xml:space="preserve">Hermeneutika musí </w:t>
      </w:r>
      <w:r w:rsidRPr="00273106">
        <w:t>vyložit</w:t>
      </w:r>
      <w:r>
        <w:t xml:space="preserve"> základní</w:t>
      </w:r>
      <w:r w:rsidRPr="00273106">
        <w:t xml:space="preserve"> </w:t>
      </w:r>
      <w:r>
        <w:t xml:space="preserve">principy objektivní metafyziky tohoto hlavního reprezentanta druhého averroismu na Pařížské univerzitě. Jeho myšlení </w:t>
      </w:r>
      <w:r w:rsidRPr="00273106">
        <w:t xml:space="preserve">se </w:t>
      </w:r>
      <w:r>
        <w:t xml:space="preserve">stalo v modu </w:t>
      </w:r>
      <w:r w:rsidRPr="00273106">
        <w:rPr>
          <w:i/>
        </w:rPr>
        <w:t>felix culpa</w:t>
      </w:r>
      <w:r w:rsidRPr="00273106">
        <w:t xml:space="preserve"> </w:t>
      </w:r>
      <w:r>
        <w:t xml:space="preserve">objektivním kapitálem </w:t>
      </w:r>
      <w:r w:rsidRPr="00273106">
        <w:t>západní civilizace.</w:t>
      </w:r>
      <w:r>
        <w:t xml:space="preserve"> Tento výřečný a sebevědový organizátor akademického a círk</w:t>
      </w:r>
      <w:r w:rsidR="003B297A">
        <w:t>evního života přebral</w:t>
      </w:r>
      <w:r>
        <w:t xml:space="preserve"> univerzální hylemorfismus</w:t>
      </w:r>
      <w:r>
        <w:fldChar w:fldCharType="begin"/>
      </w:r>
      <w:r>
        <w:instrText xml:space="preserve"> XE "</w:instrText>
      </w:r>
      <w:r w:rsidRPr="005619B2">
        <w:instrText>univerzální hylemorfismus</w:instrText>
      </w:r>
      <w:r>
        <w:instrText xml:space="preserve">" </w:instrText>
      </w:r>
      <w:r>
        <w:fldChar w:fldCharType="end"/>
      </w:r>
      <w:r>
        <w:t xml:space="preserve"> </w:t>
      </w:r>
      <w:r w:rsidRPr="00273106">
        <w:t>oxfor</w:t>
      </w:r>
      <w:r>
        <w:t>dské školy</w:t>
      </w:r>
      <w:r w:rsidRPr="00273106">
        <w:t xml:space="preserve"> </w:t>
      </w:r>
      <w:r w:rsidR="003B297A">
        <w:t xml:space="preserve">a </w:t>
      </w:r>
      <w:r w:rsidR="001727B2">
        <w:t xml:space="preserve">oficiálně </w:t>
      </w:r>
      <w:r w:rsidR="003B297A">
        <w:t>zavedl</w:t>
      </w:r>
      <w:r>
        <w:t xml:space="preserve"> </w:t>
      </w:r>
      <w:r w:rsidR="003B297A">
        <w:t xml:space="preserve">myšlení </w:t>
      </w:r>
      <w:r w:rsidR="003B297A" w:rsidRPr="00BF0466">
        <w:rPr>
          <w:i/>
        </w:rPr>
        <w:t>Oxfordian Fallacy</w:t>
      </w:r>
      <w:r w:rsidR="003B297A">
        <w:rPr>
          <w:i/>
        </w:rPr>
        <w:fldChar w:fldCharType="begin"/>
      </w:r>
      <w:r w:rsidR="003B297A">
        <w:instrText xml:space="preserve"> XE "</w:instrText>
      </w:r>
      <w:r w:rsidR="003B297A" w:rsidRPr="0015798D">
        <w:rPr>
          <w:i/>
        </w:rPr>
        <w:instrText>Oxfordian Fallacy:</w:instrText>
      </w:r>
      <w:r w:rsidR="003B297A">
        <w:instrText>Bon</w:instrText>
      </w:r>
      <w:r w:rsidR="003B297A" w:rsidRPr="00666C0A">
        <w:instrText>aventura</w:instrText>
      </w:r>
      <w:r w:rsidR="003B297A">
        <w:instrText xml:space="preserve">" </w:instrText>
      </w:r>
      <w:r w:rsidR="003B297A">
        <w:rPr>
          <w:i/>
        </w:rPr>
        <w:fldChar w:fldCharType="end"/>
      </w:r>
      <w:r w:rsidR="003B297A">
        <w:rPr>
          <w:i/>
        </w:rPr>
        <w:t xml:space="preserve"> </w:t>
      </w:r>
      <w:r w:rsidR="001727B2">
        <w:t>na Pařížskou univerzitu</w:t>
      </w:r>
      <w:r w:rsidR="003B297A">
        <w:t xml:space="preserve">. </w:t>
      </w:r>
      <w:r>
        <w:t xml:space="preserve">Inspiraci našel u Rufuse a Kilwardbyho, kteří dělali magisterská studia v Paříži </w:t>
      </w:r>
      <w:r w:rsidR="00C60876">
        <w:t xml:space="preserve">ve stejnou dobu, </w:t>
      </w:r>
      <w:r>
        <w:t xml:space="preserve">kdy zde </w:t>
      </w:r>
      <w:r w:rsidRPr="00273106">
        <w:t>Bonaventura</w:t>
      </w:r>
      <w:r>
        <w:t xml:space="preserve"> zahájil bakalářská studia filosofie (1236). Do řádu Menších bratří vstoupil v roce 1243 a magistrem se stal v roce 1248. Prostředí filosofických a teologických </w:t>
      </w:r>
      <w:r w:rsidR="08F43165">
        <w:t>modernistů</w:t>
      </w:r>
      <w:r>
        <w:t xml:space="preserve"> sdružených v Paříži kolem Bonaventury při redakci</w:t>
      </w:r>
      <w:r w:rsidRPr="00273106">
        <w:t xml:space="preserve"> </w:t>
      </w:r>
      <w:r w:rsidRPr="00273106">
        <w:rPr>
          <w:i/>
        </w:rPr>
        <w:t>Summa Halensis</w:t>
      </w:r>
      <w:r>
        <w:rPr>
          <w:i/>
        </w:rPr>
        <w:fldChar w:fldCharType="begin"/>
      </w:r>
      <w:r>
        <w:instrText xml:space="preserve"> XE "</w:instrText>
      </w:r>
      <w:r w:rsidRPr="00F14A6F">
        <w:rPr>
          <w:i/>
        </w:rPr>
        <w:instrText>Summa Halensis</w:instrText>
      </w:r>
      <w:r>
        <w:instrText xml:space="preserve">" </w:instrText>
      </w:r>
      <w:r>
        <w:rPr>
          <w:i/>
        </w:rPr>
        <w:fldChar w:fldCharType="end"/>
      </w:r>
      <w:r w:rsidRPr="00273106">
        <w:t xml:space="preserve"> </w:t>
      </w:r>
      <w:r>
        <w:t xml:space="preserve">vykazuje společné znaky, které </w:t>
      </w:r>
      <w:r w:rsidRPr="00273106">
        <w:t xml:space="preserve">popisují </w:t>
      </w:r>
      <w:r>
        <w:t xml:space="preserve">současné </w:t>
      </w:r>
      <w:r w:rsidRPr="00273106">
        <w:t>studie věnované tehdejším filosofickým školám.</w:t>
      </w:r>
      <w:r w:rsidRPr="00273106">
        <w:rPr>
          <w:rStyle w:val="Znakapoznpodarou"/>
        </w:rPr>
        <w:footnoteReference w:id="5"/>
      </w:r>
      <w:r w:rsidRPr="00273106">
        <w:t xml:space="preserve"> </w:t>
      </w:r>
      <w:r>
        <w:t xml:space="preserve">Hermeneutiku zajímá, jak myšlení </w:t>
      </w:r>
      <w:r w:rsidR="005C7F7B">
        <w:t xml:space="preserve">těchto </w:t>
      </w:r>
      <w:r w:rsidRPr="00C379B9">
        <w:rPr>
          <w:i/>
        </w:rPr>
        <w:t>Modernorum</w:t>
      </w:r>
      <w:r>
        <w:t xml:space="preserve"> </w:t>
      </w:r>
      <w:r w:rsidR="00E10850">
        <w:t xml:space="preserve">odpovídá výše uvedeným kategoriím </w:t>
      </w:r>
      <w:r>
        <w:t xml:space="preserve">objektivního dativu. Bonaventura hraje ve </w:t>
      </w:r>
      <w:r w:rsidRPr="00273106">
        <w:t xml:space="preserve">vývoji </w:t>
      </w:r>
      <w:r>
        <w:t xml:space="preserve">objektivity klíčovou roli ze tří </w:t>
      </w:r>
      <w:r w:rsidRPr="00273106">
        <w:t xml:space="preserve">zásadních důvodů: </w:t>
      </w:r>
      <w:r w:rsidR="00281E23">
        <w:t xml:space="preserve">vytvořil novou </w:t>
      </w:r>
      <w:r w:rsidRPr="00273106">
        <w:t>substanc</w:t>
      </w:r>
      <w:r w:rsidR="00281E23">
        <w:t>i</w:t>
      </w:r>
      <w:r w:rsidRPr="00273106">
        <w:t xml:space="preserve"> třetího druhu</w:t>
      </w:r>
      <w:r w:rsidR="00281E23">
        <w:t xml:space="preserve">; zavedl novou formu moderního </w:t>
      </w:r>
      <w:r w:rsidRPr="00273106">
        <w:t>subjektu</w:t>
      </w:r>
      <w:r w:rsidR="00281E23">
        <w:t xml:space="preserve">; navrhl </w:t>
      </w:r>
      <w:r w:rsidRPr="00273106">
        <w:t xml:space="preserve">první </w:t>
      </w:r>
      <w:r w:rsidR="00281E23">
        <w:t xml:space="preserve">kompletní </w:t>
      </w:r>
      <w:r w:rsidRPr="00273106">
        <w:t>strukturu objektivní ontoteologie.</w:t>
      </w:r>
      <w:r w:rsidRPr="084A07CC">
        <w:rPr>
          <w:szCs w:val="14"/>
        </w:rPr>
        <w:t xml:space="preserve"> </w:t>
      </w:r>
      <w:r w:rsidR="006E68D6">
        <w:rPr>
          <w:szCs w:val="14"/>
        </w:rPr>
        <w:t>Pro v</w:t>
      </w:r>
      <w:r>
        <w:rPr>
          <w:szCs w:val="14"/>
        </w:rPr>
        <w:t xml:space="preserve">ýklad </w:t>
      </w:r>
      <w:r w:rsidR="006E68D6">
        <w:rPr>
          <w:szCs w:val="14"/>
        </w:rPr>
        <w:t xml:space="preserve">objektivity je důležité Bonaventurovo pojetí </w:t>
      </w:r>
      <w:r w:rsidR="00962190">
        <w:rPr>
          <w:i/>
          <w:szCs w:val="14"/>
        </w:rPr>
        <w:t>species</w:t>
      </w:r>
      <w:r>
        <w:rPr>
          <w:szCs w:val="14"/>
        </w:rPr>
        <w:t xml:space="preserve">, </w:t>
      </w:r>
      <w:r w:rsidR="006E68D6">
        <w:rPr>
          <w:szCs w:val="14"/>
        </w:rPr>
        <w:t xml:space="preserve">jeho teologický hylemorfismus objektivní </w:t>
      </w:r>
      <w:r>
        <w:rPr>
          <w:szCs w:val="14"/>
        </w:rPr>
        <w:t xml:space="preserve">látky a formy a </w:t>
      </w:r>
      <w:r w:rsidR="006E68D6">
        <w:rPr>
          <w:szCs w:val="14"/>
        </w:rPr>
        <w:t>celková stavba jeho novátorské metafyziky</w:t>
      </w:r>
      <w:r w:rsidR="00E35116">
        <w:rPr>
          <w:szCs w:val="14"/>
        </w:rPr>
        <w:t>. Bonaventura začlenil</w:t>
      </w:r>
      <w:r w:rsidR="00E35116" w:rsidRPr="00E35116">
        <w:rPr>
          <w:szCs w:val="14"/>
        </w:rPr>
        <w:t xml:space="preserve"> univerzální hylemorfismus</w:t>
      </w:r>
      <w:r w:rsidR="00E35116">
        <w:fldChar w:fldCharType="begin"/>
      </w:r>
      <w:r w:rsidR="00E35116">
        <w:instrText xml:space="preserve"> XE "</w:instrText>
      </w:r>
      <w:r w:rsidR="00E35116" w:rsidRPr="00423560">
        <w:instrText>univerzální hylemorfismus</w:instrText>
      </w:r>
      <w:r w:rsidR="00E35116">
        <w:instrText xml:space="preserve">" </w:instrText>
      </w:r>
      <w:r w:rsidR="00E35116">
        <w:fldChar w:fldCharType="end"/>
      </w:r>
      <w:r w:rsidR="00E35116" w:rsidRPr="00E35116">
        <w:rPr>
          <w:szCs w:val="14"/>
        </w:rPr>
        <w:t xml:space="preserve"> do teologické a mystické predik</w:t>
      </w:r>
      <w:r w:rsidR="00E35116">
        <w:rPr>
          <w:szCs w:val="14"/>
        </w:rPr>
        <w:t>a</w:t>
      </w:r>
      <w:r w:rsidR="00E35116" w:rsidRPr="00E35116">
        <w:rPr>
          <w:szCs w:val="14"/>
        </w:rPr>
        <w:t xml:space="preserve">ce </w:t>
      </w:r>
      <w:r w:rsidR="00E35116">
        <w:rPr>
          <w:szCs w:val="14"/>
        </w:rPr>
        <w:t>provedené „</w:t>
      </w:r>
      <w:r w:rsidR="00E35116" w:rsidRPr="00E35116">
        <w:rPr>
          <w:i/>
          <w:szCs w:val="14"/>
        </w:rPr>
        <w:t xml:space="preserve">ad </w:t>
      </w:r>
      <w:proofErr w:type="gramStart"/>
      <w:r w:rsidR="00E35116" w:rsidRPr="00E35116">
        <w:rPr>
          <w:i/>
          <w:szCs w:val="14"/>
        </w:rPr>
        <w:t>unum</w:t>
      </w:r>
      <w:proofErr w:type="gramEnd"/>
      <w:r w:rsidR="00E35116">
        <w:rPr>
          <w:szCs w:val="14"/>
        </w:rPr>
        <w:t>“</w:t>
      </w:r>
      <w:r w:rsidR="00E35116" w:rsidRPr="00E35116">
        <w:rPr>
          <w:szCs w:val="14"/>
        </w:rPr>
        <w:t>. Tato nová verze křesťanského n</w:t>
      </w:r>
      <w:r w:rsidR="00E35116">
        <w:rPr>
          <w:szCs w:val="14"/>
        </w:rPr>
        <w:t>eo</w:t>
      </w:r>
      <w:r w:rsidR="00E35116" w:rsidRPr="00E35116">
        <w:rPr>
          <w:szCs w:val="14"/>
        </w:rPr>
        <w:t>platonismu vytvořila novou jednotu by</w:t>
      </w:r>
      <w:r w:rsidR="00E35116">
        <w:rPr>
          <w:szCs w:val="14"/>
        </w:rPr>
        <w:t>tí, která byla vytvořena podle a</w:t>
      </w:r>
      <w:r w:rsidR="00E35116" w:rsidRPr="00E35116">
        <w:rPr>
          <w:szCs w:val="14"/>
        </w:rPr>
        <w:t>ristotelianism</w:t>
      </w:r>
      <w:r w:rsidR="00E35116">
        <w:rPr>
          <w:szCs w:val="14"/>
        </w:rPr>
        <w:t xml:space="preserve">u založeného na Oxfordském omylu. </w:t>
      </w:r>
      <w:r w:rsidRPr="00273106">
        <w:t xml:space="preserve">Teoretický základ </w:t>
      </w:r>
      <w:r w:rsidR="00914224">
        <w:t xml:space="preserve">jeho školy </w:t>
      </w:r>
      <w:r w:rsidRPr="00273106">
        <w:t xml:space="preserve">druhého averroismu je dán v </w:t>
      </w:r>
      <w:r>
        <w:lastRenderedPageBreak/>
        <w:t xml:space="preserve">Bonaventurově </w:t>
      </w:r>
      <w:r w:rsidRPr="00273106">
        <w:t>komentáři k Sentencím (</w:t>
      </w:r>
      <w:r w:rsidRPr="00273106">
        <w:rPr>
          <w:i/>
        </w:rPr>
        <w:t>Commentaria in quatuor libros Sententiarum</w:t>
      </w:r>
      <w:r w:rsidR="00CF11D3">
        <w:t xml:space="preserve">, 1248‒55). </w:t>
      </w:r>
      <w:r>
        <w:rPr>
          <w:i/>
        </w:rPr>
        <w:t>D</w:t>
      </w:r>
      <w:r w:rsidRPr="00273106">
        <w:rPr>
          <w:i/>
        </w:rPr>
        <w:t>octor seraphicus</w:t>
      </w:r>
      <w:r w:rsidRPr="00273106">
        <w:t xml:space="preserve"> </w:t>
      </w:r>
      <w:r w:rsidR="00CF11D3">
        <w:t xml:space="preserve">vydal celou řadu </w:t>
      </w:r>
      <w:r w:rsidRPr="00273106">
        <w:t>pedagogický</w:t>
      </w:r>
      <w:r w:rsidR="00CF11D3">
        <w:t xml:space="preserve">ch </w:t>
      </w:r>
      <w:r w:rsidRPr="00273106">
        <w:t>a teologický</w:t>
      </w:r>
      <w:r w:rsidR="00CF11D3">
        <w:t xml:space="preserve">ch </w:t>
      </w:r>
      <w:r w:rsidRPr="00273106">
        <w:t>spis</w:t>
      </w:r>
      <w:r w:rsidR="00CF11D3">
        <w:t>ů</w:t>
      </w:r>
      <w:r w:rsidRPr="00273106">
        <w:t xml:space="preserve">, z nichž je nejznámější dílo </w:t>
      </w:r>
      <w:r w:rsidRPr="00273106">
        <w:rPr>
          <w:i/>
        </w:rPr>
        <w:t>Itinerarium mentis in Deum</w:t>
      </w:r>
      <w:r w:rsidRPr="00273106">
        <w:t xml:space="preserve"> (1259). Polemiku s prvním averroismem uzavírá v sérii pařížských kázání </w:t>
      </w:r>
      <w:r>
        <w:t xml:space="preserve">z </w:t>
      </w:r>
      <w:r w:rsidR="00904031">
        <w:t>února a března 1268, která jsou shrnuta ve spisu</w:t>
      </w:r>
      <w:r w:rsidRPr="08DB4DA3">
        <w:rPr>
          <w:i/>
        </w:rPr>
        <w:t xml:space="preserve"> </w:t>
      </w:r>
      <w:r w:rsidRPr="00273106">
        <w:rPr>
          <w:i/>
        </w:rPr>
        <w:t>Collationes de septem donis Spiritus Sancti</w:t>
      </w:r>
      <w:r w:rsidRPr="00273106">
        <w:t xml:space="preserve">. Jednání a myšlení regenta </w:t>
      </w:r>
      <w:r>
        <w:t xml:space="preserve">františkánských </w:t>
      </w:r>
      <w:r w:rsidRPr="00273106">
        <w:t>studi</w:t>
      </w:r>
      <w:r>
        <w:t xml:space="preserve">í, kazatele, teologa, mystika, </w:t>
      </w:r>
      <w:r w:rsidRPr="00273106">
        <w:t xml:space="preserve">generála </w:t>
      </w:r>
      <w:r>
        <w:t xml:space="preserve">františkánů a katolického světce </w:t>
      </w:r>
      <w:r w:rsidRPr="00273106">
        <w:t>založilo celou školu myslitelů hlásících se ke druhému averroismu.</w:t>
      </w:r>
    </w:p>
    <w:p w:rsidR="00935E4C" w:rsidRDefault="08163013" w:rsidP="00DB23FF">
      <w:pPr>
        <w:ind w:firstLine="397"/>
      </w:pPr>
      <w:r>
        <w:t xml:space="preserve">Ofenzíva modernistů začala v Paříži hned po smrti biskupa Alverna. </w:t>
      </w:r>
      <w:r w:rsidRPr="00273106">
        <w:t xml:space="preserve">Druhý averroismus </w:t>
      </w:r>
      <w:r>
        <w:t xml:space="preserve">zrušil </w:t>
      </w:r>
      <w:r w:rsidRPr="00273106">
        <w:t xml:space="preserve">v </w:t>
      </w:r>
      <w:r>
        <w:t>predikaci</w:t>
      </w:r>
      <w:r w:rsidRPr="00273106">
        <w:t xml:space="preserve"> </w:t>
      </w:r>
      <w:r w:rsidRPr="00273106">
        <w:rPr>
          <w:i/>
        </w:rPr>
        <w:t>per prius</w:t>
      </w:r>
      <w:r>
        <w:rPr>
          <w:i/>
        </w:rPr>
        <w:fldChar w:fldCharType="begin"/>
      </w:r>
      <w:r>
        <w:instrText xml:space="preserve"> XE "</w:instrText>
      </w:r>
      <w:r w:rsidRPr="00776BC7">
        <w:instrText>predikace:</w:instrText>
      </w:r>
      <w:r w:rsidRPr="00776BC7">
        <w:rPr>
          <w:i/>
        </w:rPr>
        <w:instrText>per prius</w:instrText>
      </w:r>
      <w:r>
        <w:instrText xml:space="preserve">" </w:instrText>
      </w:r>
      <w:r>
        <w:rPr>
          <w:i/>
        </w:rPr>
        <w:fldChar w:fldCharType="end"/>
      </w:r>
      <w:r w:rsidRPr="00273106">
        <w:t xml:space="preserve"> </w:t>
      </w:r>
      <w:r>
        <w:t>klasické kategoriální určení</w:t>
      </w:r>
      <w:r w:rsidRPr="00273106">
        <w:t xml:space="preserve"> </w:t>
      </w:r>
      <w:r>
        <w:t xml:space="preserve">podle </w:t>
      </w:r>
      <w:r w:rsidRPr="00273106">
        <w:t>existující substance</w:t>
      </w:r>
      <w:r>
        <w:t>,</w:t>
      </w:r>
      <w:r w:rsidRPr="00273106">
        <w:t xml:space="preserve"> jako </w:t>
      </w:r>
      <w:r w:rsidR="0083251F">
        <w:t xml:space="preserve">to </w:t>
      </w:r>
      <w:r>
        <w:t>měl Aristoteles</w:t>
      </w:r>
      <w:r w:rsidRPr="00273106">
        <w:t xml:space="preserve"> a </w:t>
      </w:r>
      <w:r>
        <w:t>Averroes</w:t>
      </w:r>
      <w:r w:rsidRPr="00273106">
        <w:t xml:space="preserve">. Východiskem nové metafyziky se stalo určení esence a formy </w:t>
      </w:r>
      <w:r w:rsidR="00FA4611">
        <w:t xml:space="preserve">podle </w:t>
      </w:r>
      <w:r w:rsidRPr="00273106">
        <w:t>Avicenn</w:t>
      </w:r>
      <w:r w:rsidR="00FA4611">
        <w:t xml:space="preserve">ovy metafyziky. Nová škola druhého averroismu do ní </w:t>
      </w:r>
      <w:r w:rsidRPr="00273106">
        <w:t>integroval</w:t>
      </w:r>
      <w:r w:rsidR="00FA4611">
        <w:t>a</w:t>
      </w:r>
      <w:r w:rsidRPr="00273106">
        <w:t xml:space="preserve"> Aristotelovo schéma „potence‒akt“</w:t>
      </w:r>
      <w:r w:rsidR="00FA4611">
        <w:t>, které spojila s hylemorfickou substancí</w:t>
      </w:r>
      <w:r w:rsidRPr="00273106">
        <w:t xml:space="preserve"> třetího druhu.</w:t>
      </w:r>
      <w:r w:rsidRPr="00B666C8">
        <w:rPr>
          <w:iCs/>
        </w:rPr>
        <w:t xml:space="preserve"> </w:t>
      </w:r>
      <w:r>
        <w:rPr>
          <w:iCs/>
        </w:rPr>
        <w:t xml:space="preserve">Avicenna </w:t>
      </w:r>
      <w:r w:rsidR="009A0BDC" w:rsidRPr="009A0BDC">
        <w:rPr>
          <w:iCs/>
        </w:rPr>
        <w:t>změnil Alfarab</w:t>
      </w:r>
      <w:r w:rsidR="009A0BDC">
        <w:rPr>
          <w:iCs/>
        </w:rPr>
        <w:t xml:space="preserve">ího </w:t>
      </w:r>
      <w:r w:rsidR="009A0BDC" w:rsidRPr="009A0BDC">
        <w:rPr>
          <w:iCs/>
        </w:rPr>
        <w:t>koncept</w:t>
      </w:r>
      <w:r w:rsidR="009A0BDC">
        <w:rPr>
          <w:iCs/>
        </w:rPr>
        <w:t xml:space="preserve"> „</w:t>
      </w:r>
      <w:r w:rsidR="009A0BDC" w:rsidRPr="009A0BDC">
        <w:rPr>
          <w:i/>
          <w:iCs/>
        </w:rPr>
        <w:t>aliud esse</w:t>
      </w:r>
      <w:r w:rsidR="009A0BDC">
        <w:rPr>
          <w:iCs/>
        </w:rPr>
        <w:t xml:space="preserve">“ </w:t>
      </w:r>
      <w:r w:rsidR="009A0BDC" w:rsidRPr="009A0BDC">
        <w:rPr>
          <w:iCs/>
        </w:rPr>
        <w:t xml:space="preserve">na </w:t>
      </w:r>
      <w:r w:rsidR="009A0BDC">
        <w:rPr>
          <w:iCs/>
        </w:rPr>
        <w:t>první formu objektivního jsoucna (OBJ I</w:t>
      </w:r>
      <w:r w:rsidR="009A0BDC" w:rsidRPr="009A0BDC">
        <w:rPr>
          <w:iCs/>
        </w:rPr>
        <w:t xml:space="preserve">, ch. 2.3.2). Vytvoření nového </w:t>
      </w:r>
      <w:r w:rsidR="009A0BDC">
        <w:rPr>
          <w:iCs/>
        </w:rPr>
        <w:t xml:space="preserve">druhu </w:t>
      </w:r>
      <w:r w:rsidR="009A0BDC" w:rsidRPr="009A0BDC">
        <w:rPr>
          <w:i/>
          <w:iCs/>
        </w:rPr>
        <w:t>tertium ens</w:t>
      </w:r>
      <w:r w:rsidR="009A0BDC" w:rsidRPr="009A0BDC">
        <w:rPr>
          <w:iCs/>
        </w:rPr>
        <w:t xml:space="preserve"> na základě generické formy </w:t>
      </w:r>
      <w:r w:rsidR="009A0BDC">
        <w:rPr>
          <w:iCs/>
        </w:rPr>
        <w:t xml:space="preserve">jsoucnosti </w:t>
      </w:r>
      <w:r w:rsidR="009A0BDC" w:rsidRPr="009A0BDC">
        <w:rPr>
          <w:iCs/>
        </w:rPr>
        <w:t>(</w:t>
      </w:r>
      <w:r w:rsidR="009A0BDC" w:rsidRPr="009A0BDC">
        <w:rPr>
          <w:i/>
          <w:iCs/>
        </w:rPr>
        <w:t>hoc esse tantum</w:t>
      </w:r>
      <w:r w:rsidR="009A0BDC" w:rsidRPr="009A0BDC">
        <w:rPr>
          <w:iCs/>
        </w:rPr>
        <w:t xml:space="preserve">) </w:t>
      </w:r>
      <w:r w:rsidR="009A0BDC">
        <w:rPr>
          <w:iCs/>
        </w:rPr>
        <w:t xml:space="preserve">založilo </w:t>
      </w:r>
      <w:r w:rsidR="009A0BDC" w:rsidRPr="009A0BDC">
        <w:rPr>
          <w:iCs/>
        </w:rPr>
        <w:t xml:space="preserve">první případ </w:t>
      </w:r>
      <w:r w:rsidR="009A0BDC">
        <w:rPr>
          <w:iCs/>
        </w:rPr>
        <w:t xml:space="preserve">objektivního </w:t>
      </w:r>
      <w:r w:rsidR="009A0BDC" w:rsidRPr="009A0BDC">
        <w:rPr>
          <w:i/>
          <w:iCs/>
        </w:rPr>
        <w:t>dativus possessivus</w:t>
      </w:r>
      <w:r w:rsidR="009A0BDC" w:rsidRPr="009A0BDC">
        <w:rPr>
          <w:iCs/>
        </w:rPr>
        <w:t xml:space="preserve">, který </w:t>
      </w:r>
      <w:r w:rsidR="009A0BDC">
        <w:rPr>
          <w:iCs/>
        </w:rPr>
        <w:t xml:space="preserve">pak </w:t>
      </w:r>
      <w:r w:rsidR="009A0BDC" w:rsidRPr="009A0BDC">
        <w:rPr>
          <w:iCs/>
        </w:rPr>
        <w:t>převzal latinský Západ.</w:t>
      </w:r>
      <w:r w:rsidR="007C3529">
        <w:rPr>
          <w:iCs/>
        </w:rPr>
        <w:t xml:space="preserve"> </w:t>
      </w:r>
      <w:r w:rsidR="00835F3F">
        <w:t>Bonaventurova ontoteologická metafyzice vytvořila p</w:t>
      </w:r>
      <w:r>
        <w:t>rvní form</w:t>
      </w:r>
      <w:r w:rsidR="00835F3F">
        <w:t>u</w:t>
      </w:r>
      <w:r>
        <w:t xml:space="preserve"> </w:t>
      </w:r>
      <w:r w:rsidR="00630704">
        <w:t xml:space="preserve">dějinně </w:t>
      </w:r>
      <w:r w:rsidRPr="00273106">
        <w:rPr>
          <w:i/>
        </w:rPr>
        <w:t>dativus possessivus</w:t>
      </w:r>
      <w:r>
        <w:rPr>
          <w:i/>
        </w:rPr>
        <w:fldChar w:fldCharType="begin"/>
      </w:r>
      <w:r>
        <w:instrText xml:space="preserve"> XE "</w:instrText>
      </w:r>
      <w:r w:rsidRPr="00461B3F">
        <w:rPr>
          <w:i/>
        </w:rPr>
        <w:instrText>d</w:instrText>
      </w:r>
      <w:r w:rsidRPr="00461B3F">
        <w:rPr>
          <w:i/>
          <w:iCs/>
        </w:rPr>
        <w:instrText>ativus possessivus</w:instrText>
      </w:r>
      <w:r>
        <w:instrText xml:space="preserve">" </w:instrText>
      </w:r>
      <w:r>
        <w:rPr>
          <w:i/>
        </w:rPr>
        <w:fldChar w:fldCharType="end"/>
      </w:r>
      <w:r w:rsidR="00835F3F">
        <w:t xml:space="preserve">, který byl </w:t>
      </w:r>
      <w:r>
        <w:t>navázan</w:t>
      </w:r>
      <w:r w:rsidR="00835F3F">
        <w:t>ý</w:t>
      </w:r>
      <w:r>
        <w:t xml:space="preserve"> na Rufusův </w:t>
      </w:r>
      <w:r w:rsidR="00835F3F">
        <w:t>pojem „</w:t>
      </w:r>
      <w:r w:rsidR="00962190">
        <w:rPr>
          <w:i/>
        </w:rPr>
        <w:t>species</w:t>
      </w:r>
      <w:r>
        <w:rPr>
          <w:i/>
        </w:rPr>
        <w:t xml:space="preserve"> obiecti exsistentis</w:t>
      </w:r>
      <w:r w:rsidR="00835F3F">
        <w:t>“</w:t>
      </w:r>
      <w:r>
        <w:rPr>
          <w:i/>
        </w:rPr>
        <w:fldChar w:fldCharType="begin"/>
      </w:r>
      <w:r>
        <w:instrText xml:space="preserve"> XE "</w:instrText>
      </w:r>
      <w:r>
        <w:rPr>
          <w:i/>
        </w:rPr>
        <w:instrText>species obiecti exsistentis</w:instrText>
      </w:r>
      <w:r>
        <w:instrText xml:space="preserve">" </w:instrText>
      </w:r>
      <w:r>
        <w:rPr>
          <w:i/>
        </w:rPr>
        <w:fldChar w:fldCharType="end"/>
      </w:r>
      <w:r>
        <w:t>.</w:t>
      </w:r>
      <w:r w:rsidRPr="002D5C99">
        <w:t xml:space="preserve"> </w:t>
      </w:r>
      <w:r>
        <w:t xml:space="preserve">Předešlá matrice vyložila první kolo sporu modernistů s aristoteliky prvního averroismu </w:t>
      </w:r>
      <w:r w:rsidR="0043024A">
        <w:t xml:space="preserve">během let </w:t>
      </w:r>
      <w:r>
        <w:t>12</w:t>
      </w:r>
      <w:r w:rsidR="0043024A">
        <w:t>25–</w:t>
      </w:r>
      <w:r>
        <w:t>45</w:t>
      </w:r>
      <w:r w:rsidR="00D920ED">
        <w:t>. M</w:t>
      </w:r>
      <w:r>
        <w:t>oderna prohrála</w:t>
      </w:r>
      <w:r w:rsidR="00D920ED">
        <w:t xml:space="preserve"> první kolo gigantomachie v Paříži, Rufus a Kildwardby se stáhli</w:t>
      </w:r>
      <w:r>
        <w:t xml:space="preserve"> </w:t>
      </w:r>
      <w:r w:rsidR="00687D5C">
        <w:t>do akademických postů</w:t>
      </w:r>
      <w:r>
        <w:t xml:space="preserve"> v Oxfordu. Pravděpodobně v témže roce Rufus publikuje v Paříži neúspěšnou obranu modernistických tezí v díle </w:t>
      </w:r>
      <w:r w:rsidRPr="007E05FF">
        <w:rPr>
          <w:i/>
        </w:rPr>
        <w:t>Speculum animae</w:t>
      </w:r>
      <w:r w:rsidR="00397E06">
        <w:t xml:space="preserve">. </w:t>
      </w:r>
      <w:r>
        <w:t xml:space="preserve">Kilwardby odchází </w:t>
      </w:r>
      <w:r w:rsidR="00397E06">
        <w:t xml:space="preserve">zpět </w:t>
      </w:r>
      <w:r>
        <w:t xml:space="preserve">na Oxford po intervenci Alberta proti škole druhého averroismu publikovanou v díle </w:t>
      </w:r>
      <w:r w:rsidRPr="08214D79">
        <w:rPr>
          <w:i/>
        </w:rPr>
        <w:t>De homine</w:t>
      </w:r>
      <w:r>
        <w:t xml:space="preserve">. </w:t>
      </w:r>
      <w:r w:rsidR="00CC6BF9">
        <w:t xml:space="preserve">V téže době </w:t>
      </w:r>
      <w:r>
        <w:t xml:space="preserve">Bonaventura </w:t>
      </w:r>
      <w:r w:rsidR="00CC6BF9">
        <w:t xml:space="preserve">následuje </w:t>
      </w:r>
      <w:r w:rsidR="002028C2">
        <w:t xml:space="preserve">umírněný neoplatonismus </w:t>
      </w:r>
      <w:r w:rsidRPr="00273106">
        <w:t xml:space="preserve">Filipa Kancléře a </w:t>
      </w:r>
      <w:r w:rsidR="00CC6BF9">
        <w:t xml:space="preserve">zakládá první školu </w:t>
      </w:r>
      <w:r w:rsidRPr="00273106">
        <w:t>druhého averroismu</w:t>
      </w:r>
      <w:r w:rsidR="00892F10">
        <w:t xml:space="preserve"> v Paříži. Tamější modernisté se shromáždili </w:t>
      </w:r>
      <w:r w:rsidR="00892F10" w:rsidRPr="00273106">
        <w:t>po odchodu Alexandra</w:t>
      </w:r>
      <w:r w:rsidR="00892F10">
        <w:fldChar w:fldCharType="begin"/>
      </w:r>
      <w:r w:rsidR="00892F10">
        <w:instrText xml:space="preserve"> XE "Alexander, Halský" </w:instrText>
      </w:r>
      <w:r w:rsidR="00892F10">
        <w:fldChar w:fldCharType="end"/>
      </w:r>
      <w:r w:rsidR="00892F10" w:rsidRPr="00273106">
        <w:t xml:space="preserve"> Halského </w:t>
      </w:r>
      <w:r w:rsidR="00892F10">
        <w:t xml:space="preserve">(†1245), aby společně pracovali na </w:t>
      </w:r>
      <w:r>
        <w:t xml:space="preserve">redakci </w:t>
      </w:r>
      <w:r w:rsidRPr="00273106">
        <w:rPr>
          <w:i/>
        </w:rPr>
        <w:t>Summa Halensis</w:t>
      </w:r>
      <w:r w:rsidRPr="00273106">
        <w:t>.</w:t>
      </w:r>
      <w:r>
        <w:t xml:space="preserve"> Shrňme v základních bodech postup nové generace školy druhého averroismu. </w:t>
      </w:r>
      <w:r w:rsidR="001E4CE0">
        <w:t xml:space="preserve">Tak zvaní </w:t>
      </w:r>
      <w:r w:rsidR="001E4CE0" w:rsidRPr="00FC6AA5">
        <w:rPr>
          <w:i/>
        </w:rPr>
        <w:t>sophistae Latini</w:t>
      </w:r>
      <w:r>
        <w:t xml:space="preserve"> z Oxfordu přišli po roce 1235 na studia do Paříže</w:t>
      </w:r>
      <w:r w:rsidRPr="00196D48">
        <w:t xml:space="preserve"> </w:t>
      </w:r>
      <w:r>
        <w:t>a zde potkali ve škole Fi</w:t>
      </w:r>
      <w:r w:rsidR="007B7AF6">
        <w:t>lipa Kancléře formu avicennismu. Pro ně byla zvláště důležitá metoda m</w:t>
      </w:r>
      <w:r>
        <w:t xml:space="preserve">etafyzického </w:t>
      </w:r>
      <w:r w:rsidRPr="00F3016F">
        <w:rPr>
          <w:i/>
        </w:rPr>
        <w:t>resolutio</w:t>
      </w:r>
      <w:r>
        <w:rPr>
          <w:i/>
        </w:rPr>
        <w:fldChar w:fldCharType="begin"/>
      </w:r>
      <w:r>
        <w:instrText xml:space="preserve"> XE "</w:instrText>
      </w:r>
      <w:r w:rsidRPr="00111E9E">
        <w:rPr>
          <w:i/>
        </w:rPr>
        <w:instrText>resolutio</w:instrText>
      </w:r>
      <w:r>
        <w:rPr>
          <w:i/>
        </w:rPr>
        <w:instrText>:</w:instrText>
      </w:r>
      <w:r w:rsidRPr="007D3515">
        <w:instrText>druhý averroismus</w:instrText>
      </w:r>
      <w:r>
        <w:instrText xml:space="preserve">" </w:instrText>
      </w:r>
      <w:r>
        <w:rPr>
          <w:i/>
        </w:rPr>
        <w:fldChar w:fldCharType="end"/>
      </w:r>
      <w:r w:rsidR="007B7AF6">
        <w:t xml:space="preserve">, která </w:t>
      </w:r>
      <w:r w:rsidR="007A7FA3">
        <w:t xml:space="preserve">založila </w:t>
      </w:r>
      <w:r w:rsidR="007B7AF6">
        <w:t>predik</w:t>
      </w:r>
      <w:r w:rsidR="007A7FA3">
        <w:t xml:space="preserve">aci </w:t>
      </w:r>
      <w:r w:rsidR="007B7AF6">
        <w:t>nejvyšších rod</w:t>
      </w:r>
      <w:r w:rsidR="007A7FA3">
        <w:t>ů</w:t>
      </w:r>
      <w:r w:rsidR="00625328">
        <w:t xml:space="preserve"> jsoucna. </w:t>
      </w:r>
      <w:r w:rsidR="00145F4E" w:rsidRPr="00145F4E">
        <w:t>Prvním a nejdůležitějším prvkem nové metafyziky byla interoperabilita nejvyšší</w:t>
      </w:r>
      <w:r w:rsidR="00145F4E">
        <w:t>ch amfibolií</w:t>
      </w:r>
      <w:r w:rsidR="00145F4E" w:rsidRPr="00145F4E">
        <w:t xml:space="preserve"> popsan</w:t>
      </w:r>
      <w:r w:rsidR="00145F4E">
        <w:t xml:space="preserve">ých </w:t>
      </w:r>
      <w:r w:rsidR="00145F4E">
        <w:lastRenderedPageBreak/>
        <w:t>F</w:t>
      </w:r>
      <w:r w:rsidR="00145F4E" w:rsidRPr="00145F4E">
        <w:t>ilipem (</w:t>
      </w:r>
      <w:r w:rsidR="00145F4E" w:rsidRPr="00145F4E">
        <w:rPr>
          <w:i/>
        </w:rPr>
        <w:t>ens, unum bonum</w:t>
      </w:r>
      <w:r w:rsidR="00145F4E" w:rsidRPr="00145F4E">
        <w:t xml:space="preserve">). </w:t>
      </w:r>
      <w:r w:rsidR="001C2BEB">
        <w:t>J</w:t>
      </w:r>
      <w:r w:rsidR="00145F4E">
        <w:t>ednoduchá jsoucnost Avicenny</w:t>
      </w:r>
      <w:r w:rsidR="00145F4E" w:rsidRPr="00145F4E">
        <w:t xml:space="preserve"> byla rozlišena v nejvyšš</w:t>
      </w:r>
      <w:r w:rsidR="00087FA5">
        <w:t xml:space="preserve">ích rodech, které nelze dále </w:t>
      </w:r>
      <w:r w:rsidR="00145F4E" w:rsidRPr="00145F4E">
        <w:t>dělit (</w:t>
      </w:r>
      <w:r w:rsidR="00145F4E" w:rsidRPr="00145F4E">
        <w:rPr>
          <w:i/>
        </w:rPr>
        <w:t>individuum</w:t>
      </w:r>
      <w:r w:rsidR="00145F4E" w:rsidRPr="00145F4E">
        <w:t>). Amfibolická predik</w:t>
      </w:r>
      <w:r w:rsidR="00145F4E">
        <w:t>ace Filipových transcendentálií byla provedena v režimu „</w:t>
      </w:r>
      <w:r w:rsidR="00145F4E" w:rsidRPr="00145F4E">
        <w:rPr>
          <w:i/>
        </w:rPr>
        <w:t>in primis</w:t>
      </w:r>
      <w:r w:rsidR="00145F4E">
        <w:t>“</w:t>
      </w:r>
      <w:r w:rsidR="00145F4E" w:rsidRPr="00145F4E">
        <w:t xml:space="preserve"> (OBJ II, ch. 2.3.2). Nejvyšší třída amfibolických </w:t>
      </w:r>
      <w:r w:rsidR="00145F4E">
        <w:t xml:space="preserve">individuí byla zavedena do univerza </w:t>
      </w:r>
      <w:r w:rsidR="00145F4E" w:rsidRPr="003C7A59">
        <w:rPr>
          <w:i/>
        </w:rPr>
        <w:t>Oxfordian Fallacy</w:t>
      </w:r>
      <w:r w:rsidR="00145F4E">
        <w:t xml:space="preserve"> tím, že </w:t>
      </w:r>
      <w:r w:rsidR="003C7A59">
        <w:t xml:space="preserve">tato individua </w:t>
      </w:r>
      <w:r w:rsidR="00145F4E">
        <w:t>přijal</w:t>
      </w:r>
      <w:r w:rsidR="003C7A59">
        <w:t>a</w:t>
      </w:r>
      <w:r w:rsidR="00145F4E">
        <w:t xml:space="preserve"> </w:t>
      </w:r>
      <w:r w:rsidR="00145F4E" w:rsidRPr="00145F4E">
        <w:t xml:space="preserve">objektivní určení </w:t>
      </w:r>
      <w:r w:rsidR="00145F4E">
        <w:t xml:space="preserve">zavedením </w:t>
      </w:r>
      <w:r w:rsidR="00145F4E" w:rsidRPr="00145F4E">
        <w:t>univerzální</w:t>
      </w:r>
      <w:r w:rsidR="00145F4E">
        <w:t xml:space="preserve">ho </w:t>
      </w:r>
      <w:r w:rsidR="00145F4E" w:rsidRPr="00145F4E">
        <w:t>hylemo</w:t>
      </w:r>
      <w:r w:rsidR="00145F4E">
        <w:t>rfismu</w:t>
      </w:r>
      <w:r w:rsidR="00CD7B06">
        <w:t>.</w:t>
      </w:r>
      <w:r w:rsidR="00CD7B06" w:rsidRPr="00145F4E">
        <w:t>Tento druh predik</w:t>
      </w:r>
      <w:r w:rsidR="00CD7B06">
        <w:t>ace byl přenesen na termín „</w:t>
      </w:r>
      <w:r w:rsidR="00CD7B06" w:rsidRPr="00145F4E">
        <w:rPr>
          <w:i/>
        </w:rPr>
        <w:t>concretum</w:t>
      </w:r>
      <w:r w:rsidR="00CD7B06">
        <w:t>“</w:t>
      </w:r>
      <w:r w:rsidR="00CD7B06" w:rsidRPr="00145F4E">
        <w:t xml:space="preserve"> zpracovaný Rufusem (OBJ II, ch. 3.3.2). </w:t>
      </w:r>
      <w:r w:rsidR="00145F4E" w:rsidRPr="00145F4E">
        <w:t>Trans</w:t>
      </w:r>
      <w:r w:rsidR="00145F4E">
        <w:t xml:space="preserve">cendentální určení </w:t>
      </w:r>
      <w:r w:rsidR="003C7A59">
        <w:t xml:space="preserve">jsoucna jako </w:t>
      </w:r>
      <w:r w:rsidR="003C7A59" w:rsidRPr="003C7A59">
        <w:rPr>
          <w:i/>
        </w:rPr>
        <w:t>res</w:t>
      </w:r>
      <w:r w:rsidR="003C7A59" w:rsidRPr="00145F4E">
        <w:t xml:space="preserve"> </w:t>
      </w:r>
      <w:r w:rsidR="00145F4E">
        <w:t>(Filip K</w:t>
      </w:r>
      <w:r w:rsidR="00145F4E" w:rsidRPr="00145F4E">
        <w:t xml:space="preserve">ancléř) </w:t>
      </w:r>
      <w:r w:rsidR="003C7A59">
        <w:t>dostalo objektivní kauzalitu</w:t>
      </w:r>
      <w:r w:rsidR="00145F4E" w:rsidRPr="00145F4E">
        <w:t xml:space="preserve"> </w:t>
      </w:r>
      <w:r w:rsidR="003C7A59">
        <w:t>jako moderní</w:t>
      </w:r>
      <w:r w:rsidR="00145F4E" w:rsidRPr="00145F4E">
        <w:t xml:space="preserve"> </w:t>
      </w:r>
      <w:r w:rsidR="003C7A59">
        <w:t>„</w:t>
      </w:r>
      <w:r w:rsidR="003C7A59" w:rsidRPr="003C7A59">
        <w:rPr>
          <w:i/>
        </w:rPr>
        <w:t>concretum</w:t>
      </w:r>
      <w:r w:rsidR="003C7A59">
        <w:t xml:space="preserve">“ </w:t>
      </w:r>
      <w:r w:rsidR="00145F4E" w:rsidRPr="00145F4E">
        <w:t xml:space="preserve">(Rufus) </w:t>
      </w:r>
      <w:r w:rsidR="003C7A59">
        <w:t xml:space="preserve">a tato kombinace se </w:t>
      </w:r>
      <w:r w:rsidR="00145F4E" w:rsidRPr="00145F4E">
        <w:t xml:space="preserve">spojila do nové </w:t>
      </w:r>
      <w:r w:rsidR="003C7A59">
        <w:t xml:space="preserve">formy </w:t>
      </w:r>
      <w:r w:rsidR="003C7A59" w:rsidRPr="003C7A59">
        <w:rPr>
          <w:i/>
        </w:rPr>
        <w:t>tertium ens</w:t>
      </w:r>
      <w:r w:rsidR="003C7A59">
        <w:t xml:space="preserve"> určené mysticky a teologicky </w:t>
      </w:r>
      <w:r w:rsidR="00145F4E" w:rsidRPr="00145F4E">
        <w:t>(Bonaventura).</w:t>
      </w:r>
      <w:r w:rsidR="00BB7EFD">
        <w:t xml:space="preserve"> </w:t>
      </w:r>
      <w:r w:rsidR="00625328">
        <w:t xml:space="preserve">Hermeneutika musí sledovat celou sérii </w:t>
      </w:r>
      <w:r w:rsidR="00BB7EFD">
        <w:t xml:space="preserve">staletých </w:t>
      </w:r>
      <w:r w:rsidR="00625328">
        <w:t>omylů (</w:t>
      </w:r>
      <w:r w:rsidR="00625328" w:rsidRPr="00625328">
        <w:rPr>
          <w:i/>
        </w:rPr>
        <w:t>Irrtum</w:t>
      </w:r>
      <w:r w:rsidR="00625328">
        <w:t xml:space="preserve">), která nakonec založila moderní metafyziku Bonaventury v jejím </w:t>
      </w:r>
      <w:r w:rsidR="00BB7EFD">
        <w:t xml:space="preserve">zcela specifickém </w:t>
      </w:r>
      <w:r w:rsidR="00625328">
        <w:t>mytologickém narrativu (</w:t>
      </w:r>
      <w:r w:rsidR="00625328" w:rsidRPr="00625328">
        <w:rPr>
          <w:i/>
        </w:rPr>
        <w:t>Irre</w:t>
      </w:r>
      <w:r w:rsidR="00625328">
        <w:t>).</w:t>
      </w:r>
      <w:r w:rsidR="00BB7EFD">
        <w:t xml:space="preserve"> </w:t>
      </w:r>
      <w:r>
        <w:t>Univoční predikace</w:t>
      </w:r>
      <w:r w:rsidRPr="00273106">
        <w:t xml:space="preserve"> transcendentálií</w:t>
      </w:r>
      <w:r>
        <w:t xml:space="preserve"> způsobila</w:t>
      </w:r>
      <w:r w:rsidRPr="00273106">
        <w:t xml:space="preserve">, </w:t>
      </w:r>
      <w:r>
        <w:t xml:space="preserve">že objektivní mody jsoucna jsou </w:t>
      </w:r>
      <w:r w:rsidRPr="00273106">
        <w:t xml:space="preserve">v rámci posledního stupně </w:t>
      </w:r>
      <w:r w:rsidRPr="00273106">
        <w:rPr>
          <w:i/>
        </w:rPr>
        <w:t>resolutio</w:t>
      </w:r>
      <w:r w:rsidRPr="00273106">
        <w:t xml:space="preserve"> převoditelné jed</w:t>
      </w:r>
      <w:r>
        <w:t>en na druhý (</w:t>
      </w:r>
      <w:r w:rsidR="08027B89">
        <w:t xml:space="preserve">OBJ II, </w:t>
      </w:r>
      <w:r>
        <w:t xml:space="preserve">kap. </w:t>
      </w:r>
      <w:r w:rsidR="08027B89">
        <w:t>2</w:t>
      </w:r>
      <w:r>
        <w:t>.3</w:t>
      </w:r>
      <w:r w:rsidRPr="00273106">
        <w:t xml:space="preserve">). Rufus přebral </w:t>
      </w:r>
      <w:r>
        <w:t xml:space="preserve">tyto moderní výdobytky </w:t>
      </w:r>
      <w:r w:rsidRPr="00273106">
        <w:t>zanikající</w:t>
      </w:r>
      <w:r>
        <w:t xml:space="preserve">ch </w:t>
      </w:r>
      <w:r w:rsidRPr="00273106">
        <w:t xml:space="preserve">škol </w:t>
      </w:r>
      <w:r w:rsidRPr="00273106">
        <w:rPr>
          <w:i/>
        </w:rPr>
        <w:t>Nominales</w:t>
      </w:r>
      <w:r w:rsidRPr="00273106">
        <w:t xml:space="preserve"> </w:t>
      </w:r>
      <w:r>
        <w:t xml:space="preserve">exponované na příkladu díla </w:t>
      </w:r>
      <w:r>
        <w:rPr>
          <w:i/>
        </w:rPr>
        <w:t>Dialogus Ratii et Ever</w:t>
      </w:r>
      <w:r w:rsidRPr="00273106">
        <w:rPr>
          <w:i/>
        </w:rPr>
        <w:t>ardi</w:t>
      </w:r>
      <w:r w:rsidRPr="00273106">
        <w:t>.</w:t>
      </w:r>
      <w:r>
        <w:t xml:space="preserve"> </w:t>
      </w:r>
      <w:r w:rsidR="008A7730">
        <w:t>Rufus p</w:t>
      </w:r>
      <w:r w:rsidRPr="00273106">
        <w:t>oužil nu</w:t>
      </w:r>
      <w:r>
        <w:t xml:space="preserve">merickou jednotu pro predikaci </w:t>
      </w:r>
      <w:r w:rsidR="004B7B81">
        <w:t>„</w:t>
      </w:r>
      <w:r w:rsidRPr="00273106">
        <w:rPr>
          <w:i/>
        </w:rPr>
        <w:t xml:space="preserve">ad </w:t>
      </w:r>
      <w:proofErr w:type="gramStart"/>
      <w:r w:rsidRPr="00273106">
        <w:rPr>
          <w:i/>
        </w:rPr>
        <w:t>unum</w:t>
      </w:r>
      <w:proofErr w:type="gramEnd"/>
      <w:r w:rsidR="004B7B81">
        <w:t>“</w:t>
      </w:r>
      <w:r w:rsidRPr="00273106">
        <w:t xml:space="preserve"> a vzal číslo jako </w:t>
      </w:r>
      <w:r>
        <w:t xml:space="preserve">individuální jsoucno třetího druhu </w:t>
      </w:r>
      <w:r w:rsidRPr="00273106">
        <w:t>(</w:t>
      </w:r>
      <w:r w:rsidR="08027B89">
        <w:t>OBJ II, kap. 3</w:t>
      </w:r>
      <w:r w:rsidRPr="00273106">
        <w:t>.3.2).</w:t>
      </w:r>
      <w:r>
        <w:t xml:space="preserve"> Nasvícení </w:t>
      </w:r>
      <w:r w:rsidR="00FB1A63">
        <w:t xml:space="preserve">jsoucna </w:t>
      </w:r>
      <w:r>
        <w:t xml:space="preserve">zezadu spojili oxfordští porretáni s komentáři </w:t>
      </w:r>
      <w:r w:rsidRPr="00334E5F">
        <w:rPr>
          <w:i/>
        </w:rPr>
        <w:t>Kategorií</w:t>
      </w:r>
      <w:r>
        <w:t xml:space="preserve"> typu Jana Paguse a Mikuláše z Paříže (</w:t>
      </w:r>
      <w:r w:rsidR="084D73B7">
        <w:t>OBJ II, kap. 3</w:t>
      </w:r>
      <w:r>
        <w:t xml:space="preserve">.1.2). Predikace </w:t>
      </w:r>
      <w:r w:rsidRPr="00273106">
        <w:t xml:space="preserve">esence a </w:t>
      </w:r>
      <w:r w:rsidR="00962190">
        <w:rPr>
          <w:i/>
        </w:rPr>
        <w:t>species</w:t>
      </w:r>
      <w:r>
        <w:t xml:space="preserve"> v novém systému kategorií je dána vzhledem k individuu. Neoplatonská atomární substance nahradila aristotelskou druhou substanci</w:t>
      </w:r>
      <w:r w:rsidR="00F16B8F">
        <w:t xml:space="preserve">. Modernisté začali predikovat </w:t>
      </w:r>
      <w:r>
        <w:t>individuu</w:t>
      </w:r>
      <w:r w:rsidR="00F16B8F">
        <w:t>m</w:t>
      </w:r>
      <w:r>
        <w:t xml:space="preserve"> </w:t>
      </w:r>
      <w:r w:rsidR="00F16B8F">
        <w:t xml:space="preserve">a jeho hypostázované vlastnosti ve formě apozice, a to </w:t>
      </w:r>
      <w:r>
        <w:t xml:space="preserve">skrze avicennistickou komitaci. Moderní predikace spisu </w:t>
      </w:r>
      <w:r w:rsidRPr="00334E5F">
        <w:rPr>
          <w:i/>
        </w:rPr>
        <w:t>Kategorie</w:t>
      </w:r>
      <w:r>
        <w:t xml:space="preserve"> rozšířená i v Paříži se spojila s naukou o transcendentáliích, kterou zavedla škola Filipa Kancléře. </w:t>
      </w:r>
      <w:r w:rsidR="00334271">
        <w:t>U</w:t>
      </w:r>
      <w:r w:rsidR="00C158E1">
        <w:t>nivoční</w:t>
      </w:r>
      <w:r w:rsidRPr="00273106">
        <w:t xml:space="preserve"> pojetí substance </w:t>
      </w:r>
      <w:r>
        <w:t xml:space="preserve">třetího druhu </w:t>
      </w:r>
      <w:r w:rsidRPr="08D4195B">
        <w:t>(</w:t>
      </w:r>
      <w:r w:rsidRPr="08DD741F">
        <w:rPr>
          <w:i/>
        </w:rPr>
        <w:t>hoc aliquid</w:t>
      </w:r>
      <w:r w:rsidRPr="08D4195B">
        <w:fldChar w:fldCharType="begin"/>
      </w:r>
      <w:r w:rsidRPr="08D4195B">
        <w:instrText xml:space="preserve"> XE "</w:instrText>
      </w:r>
      <w:r w:rsidRPr="08D4195B">
        <w:rPr>
          <w:i/>
        </w:rPr>
        <w:instrText>hoc aliquid</w:instrText>
      </w:r>
      <w:r w:rsidRPr="08D4195B">
        <w:instrText xml:space="preserve">:moderna" </w:instrText>
      </w:r>
      <w:r w:rsidRPr="08D4195B">
        <w:fldChar w:fldCharType="end"/>
      </w:r>
      <w:r w:rsidRPr="08D4195B">
        <w:t>)</w:t>
      </w:r>
      <w:r w:rsidRPr="00273106">
        <w:t xml:space="preserve"> </w:t>
      </w:r>
      <w:r w:rsidR="00334271">
        <w:t xml:space="preserve">se </w:t>
      </w:r>
      <w:r w:rsidR="00C158E1">
        <w:t xml:space="preserve">tím </w:t>
      </w:r>
      <w:r w:rsidR="00334271">
        <w:t xml:space="preserve">rozšířilo </w:t>
      </w:r>
      <w:r w:rsidRPr="00273106">
        <w:t>na celou škálu</w:t>
      </w:r>
      <w:r w:rsidR="00C158E1">
        <w:t xml:space="preserve"> úplně libovolně d</w:t>
      </w:r>
      <w:r>
        <w:t xml:space="preserve">aných </w:t>
      </w:r>
      <w:r w:rsidRPr="00273106">
        <w:t>určení jsoucna</w:t>
      </w:r>
      <w:r w:rsidR="00334271">
        <w:t xml:space="preserve">. To </w:t>
      </w:r>
      <w:r w:rsidRPr="00273106">
        <w:t xml:space="preserve">způsobilo skupině </w:t>
      </w:r>
      <w:r>
        <w:t xml:space="preserve">latinských </w:t>
      </w:r>
      <w:r w:rsidRPr="00273106">
        <w:t xml:space="preserve">sofistů </w:t>
      </w:r>
      <w:r>
        <w:t xml:space="preserve">řadu interpretačních </w:t>
      </w:r>
      <w:r w:rsidRPr="00273106">
        <w:t>problém</w:t>
      </w:r>
      <w:r>
        <w:t>ů</w:t>
      </w:r>
      <w:r w:rsidR="00C158E1">
        <w:t xml:space="preserve"> a byli označeni za šílené myslitele</w:t>
      </w:r>
      <w:r>
        <w:t>. Základní filosofické pojmy přestaly mít v obou školách stejný obsah, což vedlo mimo jiné i k zásadní krizi teologie (</w:t>
      </w:r>
      <w:r w:rsidR="08670604">
        <w:t>OBJ II, kap. 3</w:t>
      </w:r>
      <w:r>
        <w:t xml:space="preserve">.4.3). Po rozšíření nauky o univerzálním hylemorfismu z Oxfordu do Paříže už mnohé rozdíly obou škol už nešlo řešit jinak než </w:t>
      </w:r>
      <w:r w:rsidR="00512D5B">
        <w:t>zásahem externí autority</w:t>
      </w:r>
      <w:r>
        <w:t xml:space="preserve">. </w:t>
      </w:r>
      <w:r w:rsidR="00DB66CF">
        <w:t xml:space="preserve">Nietzsche by řekl, že moderna řeší filosofii opravdovým kladivem, třeba na čarodějnice. </w:t>
      </w:r>
      <w:r w:rsidRPr="00273106">
        <w:t xml:space="preserve">Bonaventura </w:t>
      </w:r>
      <w:r w:rsidR="00C158E1">
        <w:t xml:space="preserve">následoval </w:t>
      </w:r>
      <w:r w:rsidRPr="00273106">
        <w:t>Rufus</w:t>
      </w:r>
      <w:r w:rsidR="00C158E1">
        <w:t xml:space="preserve">e a optoval pro </w:t>
      </w:r>
      <w:r>
        <w:t xml:space="preserve">moderní </w:t>
      </w:r>
      <w:r w:rsidRPr="00273106">
        <w:rPr>
          <w:i/>
        </w:rPr>
        <w:t>resolutio</w:t>
      </w:r>
      <w:r>
        <w:rPr>
          <w:i/>
        </w:rPr>
        <w:fldChar w:fldCharType="begin"/>
      </w:r>
      <w:r>
        <w:instrText xml:space="preserve"> XE "</w:instrText>
      </w:r>
      <w:r w:rsidRPr="00111E9E">
        <w:rPr>
          <w:i/>
        </w:rPr>
        <w:instrText>resolutio</w:instrText>
      </w:r>
      <w:r>
        <w:rPr>
          <w:i/>
        </w:rPr>
        <w:instrText>:</w:instrText>
      </w:r>
      <w:r w:rsidRPr="007D3515">
        <w:instrText>Bonaventura</w:instrText>
      </w:r>
      <w:r>
        <w:instrText xml:space="preserve">" </w:instrText>
      </w:r>
      <w:r>
        <w:rPr>
          <w:i/>
        </w:rPr>
        <w:fldChar w:fldCharType="end"/>
      </w:r>
      <w:r w:rsidR="00C158E1">
        <w:t xml:space="preserve">. Tím se dostal do zásadního konfliktu s </w:t>
      </w:r>
      <w:r w:rsidR="00C158E1" w:rsidRPr="00273106">
        <w:t>pojetí</w:t>
      </w:r>
      <w:r w:rsidR="00C158E1">
        <w:t>m</w:t>
      </w:r>
      <w:r w:rsidR="00C158E1" w:rsidRPr="00273106">
        <w:t xml:space="preserve"> univerzálií</w:t>
      </w:r>
      <w:r w:rsidR="00C158E1">
        <w:t xml:space="preserve"> podle </w:t>
      </w:r>
      <w:r w:rsidRPr="00273106">
        <w:t xml:space="preserve">Aristotela a </w:t>
      </w:r>
      <w:r w:rsidR="00C158E1">
        <w:t xml:space="preserve">Averroése, které jsou </w:t>
      </w:r>
      <w:r>
        <w:t>dan</w:t>
      </w:r>
      <w:r w:rsidR="00C158E1">
        <w:t xml:space="preserve">é </w:t>
      </w:r>
      <w:r>
        <w:t>pouze v mysli. Nová forma deduk</w:t>
      </w:r>
      <w:r w:rsidR="00D931B7">
        <w:t>ce nepotřebuje k zajištění pravdy impozici významu z </w:t>
      </w:r>
      <w:r>
        <w:t>existence</w:t>
      </w:r>
      <w:r w:rsidR="00D931B7">
        <w:t xml:space="preserve"> prvních substancí</w:t>
      </w:r>
      <w:r>
        <w:t xml:space="preserve">, ale z </w:t>
      </w:r>
      <w:r>
        <w:lastRenderedPageBreak/>
        <w:t>hypostázované esence</w:t>
      </w:r>
      <w:r w:rsidR="00D931B7">
        <w:t xml:space="preserve"> dané skrze </w:t>
      </w:r>
      <w:r w:rsidR="005E4661">
        <w:t xml:space="preserve">supozici logickou (Rufus) a </w:t>
      </w:r>
      <w:r w:rsidR="00D931B7">
        <w:t xml:space="preserve">ontoteologickou </w:t>
      </w:r>
      <w:r w:rsidR="005E4661">
        <w:t>(Bonaventura)</w:t>
      </w:r>
      <w:r w:rsidR="00935E4C">
        <w:t>.</w:t>
      </w:r>
      <w:r w:rsidR="003A473B">
        <w:t xml:space="preserve"> </w:t>
      </w:r>
      <w:r w:rsidR="003A473B" w:rsidRPr="003A473B">
        <w:t>Shrňme hlavní změny</w:t>
      </w:r>
      <w:r w:rsidR="003A473B">
        <w:t xml:space="preserve"> v Bonaventurově škole druhého a</w:t>
      </w:r>
      <w:r w:rsidR="003A473B" w:rsidRPr="003A473B">
        <w:t>verroismu</w:t>
      </w:r>
      <w:r w:rsidR="002B0D10">
        <w:t xml:space="preserve"> vzhledem k prvním třem kategoriím objektivního dativu</w:t>
      </w:r>
      <w:r w:rsidR="003A473B" w:rsidRPr="003A473B">
        <w:t xml:space="preserve">. </w:t>
      </w:r>
      <w:r w:rsidR="003A473B">
        <w:t>Tito modernisté v</w:t>
      </w:r>
      <w:r w:rsidR="003A473B" w:rsidRPr="003A473B">
        <w:t xml:space="preserve">ytvořili novou architekturu avicennistické </w:t>
      </w:r>
      <w:r w:rsidR="003A473B">
        <w:t>metafyziky „jsoucího jako jsoucího“</w:t>
      </w:r>
      <w:r w:rsidR="003A473B" w:rsidRPr="003A473B">
        <w:t xml:space="preserve"> (</w:t>
      </w:r>
      <w:r w:rsidR="003A473B" w:rsidRPr="003A473B">
        <w:rPr>
          <w:i/>
        </w:rPr>
        <w:t>ens inquantum ens</w:t>
      </w:r>
      <w:r w:rsidR="003A473B">
        <w:rPr>
          <w:i/>
        </w:rPr>
        <w:fldChar w:fldCharType="begin"/>
      </w:r>
      <w:r w:rsidR="003A473B">
        <w:instrText xml:space="preserve"> XE "</w:instrText>
      </w:r>
      <w:r w:rsidR="003A473B" w:rsidRPr="00E25AC0">
        <w:rPr>
          <w:i/>
        </w:rPr>
        <w:instrText>ens inquantum ens</w:instrText>
      </w:r>
      <w:r w:rsidR="003A473B">
        <w:instrText xml:space="preserve">" </w:instrText>
      </w:r>
      <w:r w:rsidR="003A473B">
        <w:rPr>
          <w:i/>
        </w:rPr>
        <w:fldChar w:fldCharType="end"/>
      </w:r>
      <w:r w:rsidR="003A473B" w:rsidRPr="003A473B">
        <w:t>). Čisté bytí Avicenny ve formě transcendentálního rodu bylo přeměněno</w:t>
      </w:r>
      <w:r w:rsidR="003A473B">
        <w:t xml:space="preserve"> na nový druh metafyzického jsoucna</w:t>
      </w:r>
      <w:r w:rsidR="003A473B" w:rsidRPr="003A473B">
        <w:t>. T</w:t>
      </w:r>
      <w:r w:rsidR="003A473B">
        <w:t xml:space="preserve">oto pseudoaristotelské </w:t>
      </w:r>
      <w:r w:rsidR="003A473B" w:rsidRPr="003A473B">
        <w:rPr>
          <w:i/>
        </w:rPr>
        <w:t>individuum</w:t>
      </w:r>
      <w:r w:rsidR="003A473B">
        <w:t xml:space="preserve"> si přivlastnilo generické bytí Avicenny, a tím se přemenilo na novou formu objektivní jsoucnosti </w:t>
      </w:r>
      <w:r w:rsidR="003A473B" w:rsidRPr="003A473B">
        <w:t>(</w:t>
      </w:r>
      <w:r w:rsidR="003A473B" w:rsidRPr="003A473B">
        <w:rPr>
          <w:i/>
        </w:rPr>
        <w:t>dativus possessivus</w:t>
      </w:r>
      <w:r w:rsidR="003A473B">
        <w:rPr>
          <w:i/>
        </w:rPr>
        <w:fldChar w:fldCharType="begin"/>
      </w:r>
      <w:r w:rsidR="003A473B">
        <w:instrText xml:space="preserve"> XE "</w:instrText>
      </w:r>
      <w:r w:rsidR="003A473B" w:rsidRPr="00120BD1">
        <w:rPr>
          <w:i/>
        </w:rPr>
        <w:instrText>dativus possessivus</w:instrText>
      </w:r>
      <w:r w:rsidR="003A473B">
        <w:instrText xml:space="preserve">" </w:instrText>
      </w:r>
      <w:r w:rsidR="003A473B">
        <w:rPr>
          <w:i/>
        </w:rPr>
        <w:fldChar w:fldCharType="end"/>
      </w:r>
      <w:r w:rsidR="003A473B" w:rsidRPr="003A473B">
        <w:t xml:space="preserve">). </w:t>
      </w:r>
      <w:r w:rsidR="003A473B">
        <w:t xml:space="preserve">Pak museli </w:t>
      </w:r>
      <w:r w:rsidR="00374938">
        <w:t xml:space="preserve">pařížští ilumináti </w:t>
      </w:r>
      <w:r w:rsidR="003A473B" w:rsidRPr="003A473B">
        <w:t>vytvoři</w:t>
      </w:r>
      <w:r w:rsidR="003A473B">
        <w:t>t</w:t>
      </w:r>
      <w:r w:rsidR="003A473B" w:rsidRPr="003A473B">
        <w:t xml:space="preserve"> objektivní </w:t>
      </w:r>
      <w:r w:rsidR="003A473B">
        <w:t xml:space="preserve">formu </w:t>
      </w:r>
      <w:r w:rsidR="003A473B" w:rsidRPr="003A473B">
        <w:rPr>
          <w:i/>
        </w:rPr>
        <w:t>intellectus possibilis</w:t>
      </w:r>
      <w:r w:rsidR="003A473B" w:rsidRPr="003A473B">
        <w:t xml:space="preserve">, aby </w:t>
      </w:r>
      <w:r w:rsidR="003A473B">
        <w:t xml:space="preserve">mohli </w:t>
      </w:r>
      <w:r w:rsidR="003A473B" w:rsidRPr="003A473B">
        <w:t>rozpozna</w:t>
      </w:r>
      <w:r w:rsidR="003A473B">
        <w:t>t</w:t>
      </w:r>
      <w:r w:rsidR="003A473B" w:rsidRPr="003A473B">
        <w:t xml:space="preserve"> </w:t>
      </w:r>
      <w:r w:rsidR="003A473B">
        <w:t xml:space="preserve">jejich </w:t>
      </w:r>
      <w:r w:rsidR="00374938">
        <w:t xml:space="preserve">vlastní </w:t>
      </w:r>
      <w:r w:rsidR="003A473B" w:rsidRPr="003A473B">
        <w:t xml:space="preserve">objektivní jsoucno třetího druhu. </w:t>
      </w:r>
      <w:r w:rsidR="00374938" w:rsidRPr="00374938">
        <w:rPr>
          <w:i/>
        </w:rPr>
        <w:t>Suum cuique</w:t>
      </w:r>
      <w:r w:rsidR="00374938">
        <w:t xml:space="preserve">. </w:t>
      </w:r>
      <w:r w:rsidR="003A473B" w:rsidRPr="003A473B">
        <w:t xml:space="preserve">Aktivita nového </w:t>
      </w:r>
      <w:r w:rsidR="003A473B" w:rsidRPr="003A473B">
        <w:rPr>
          <w:i/>
        </w:rPr>
        <w:t>intellectus possibilis</w:t>
      </w:r>
      <w:r w:rsidR="003A473B" w:rsidRPr="003A473B">
        <w:t xml:space="preserve"> vytvořila individuální </w:t>
      </w:r>
      <w:r w:rsidR="002A137E">
        <w:t xml:space="preserve">simulákrum </w:t>
      </w:r>
      <w:r w:rsidR="003A473B" w:rsidRPr="003A473B">
        <w:t>první substance zasazené do ontoteologického rámce jedné pravdy</w:t>
      </w:r>
      <w:r w:rsidR="00374938">
        <w:t xml:space="preserve"> jako objektivní </w:t>
      </w:r>
      <w:r w:rsidR="00374938" w:rsidRPr="00374938">
        <w:rPr>
          <w:i/>
        </w:rPr>
        <w:t>veritas</w:t>
      </w:r>
      <w:r w:rsidR="003A473B" w:rsidRPr="003A473B">
        <w:t xml:space="preserve">. Bonaventura pak tuto substanci třetího druhu </w:t>
      </w:r>
      <w:r w:rsidR="002A137E">
        <w:t>zavedl do demiurgické, filos</w:t>
      </w:r>
      <w:r w:rsidR="003A473B" w:rsidRPr="003A473B">
        <w:t>oficky a teologicky dané predik</w:t>
      </w:r>
      <w:r w:rsidR="002A137E">
        <w:t>aci „</w:t>
      </w:r>
      <w:r w:rsidR="003A473B" w:rsidRPr="002A137E">
        <w:rPr>
          <w:i/>
        </w:rPr>
        <w:t>in artificialibus</w:t>
      </w:r>
      <w:r w:rsidR="002A137E">
        <w:t>“</w:t>
      </w:r>
      <w:r w:rsidR="008359C7">
        <w:fldChar w:fldCharType="begin"/>
      </w:r>
      <w:r w:rsidR="008359C7">
        <w:instrText xml:space="preserve"> XE "</w:instrText>
      </w:r>
      <w:r w:rsidR="008359C7" w:rsidRPr="00CA5683">
        <w:instrText xml:space="preserve">predikace </w:instrText>
      </w:r>
      <w:r w:rsidR="008359C7" w:rsidRPr="00CA5683">
        <w:rPr>
          <w:i/>
        </w:rPr>
        <w:instrText>in artificialibus</w:instrText>
      </w:r>
      <w:r w:rsidR="008359C7">
        <w:instrText xml:space="preserve">" </w:instrText>
      </w:r>
      <w:r w:rsidR="008359C7">
        <w:fldChar w:fldCharType="end"/>
      </w:r>
      <w:r w:rsidR="002A137E">
        <w:t>. Moderní západní s</w:t>
      </w:r>
      <w:r w:rsidR="003A473B" w:rsidRPr="003A473B">
        <w:t xml:space="preserve">ubjekt </w:t>
      </w:r>
      <w:r w:rsidR="002A137E">
        <w:t xml:space="preserve">tím přinesl do křesťanské akademické </w:t>
      </w:r>
      <w:r w:rsidR="003A473B" w:rsidRPr="003A473B">
        <w:t xml:space="preserve">mytologie </w:t>
      </w:r>
      <w:r w:rsidR="0095732D">
        <w:t xml:space="preserve">pravdu </w:t>
      </w:r>
      <w:r w:rsidR="003A473B" w:rsidRPr="003A473B">
        <w:t xml:space="preserve">jako </w:t>
      </w:r>
      <w:r w:rsidR="0095732D" w:rsidRPr="003A473B">
        <w:t xml:space="preserve">objektivní </w:t>
      </w:r>
      <w:r w:rsidR="003A473B" w:rsidRPr="0095732D">
        <w:rPr>
          <w:i/>
        </w:rPr>
        <w:t>veritas</w:t>
      </w:r>
      <w:r w:rsidR="003A473B" w:rsidRPr="003A473B">
        <w:t xml:space="preserve"> </w:t>
      </w:r>
      <w:r w:rsidR="0095732D">
        <w:t>druhého a</w:t>
      </w:r>
      <w:r w:rsidR="003A473B" w:rsidRPr="003A473B">
        <w:t>verroismu (</w:t>
      </w:r>
      <w:r w:rsidR="003A473B" w:rsidRPr="0095732D">
        <w:rPr>
          <w:i/>
        </w:rPr>
        <w:t>dativus auctoris</w:t>
      </w:r>
      <w:r w:rsidR="0095732D">
        <w:rPr>
          <w:i/>
        </w:rPr>
        <w:fldChar w:fldCharType="begin"/>
      </w:r>
      <w:r w:rsidR="0095732D">
        <w:instrText xml:space="preserve"> XE "</w:instrText>
      </w:r>
      <w:r w:rsidR="0095732D" w:rsidRPr="00B428AD">
        <w:rPr>
          <w:i/>
        </w:rPr>
        <w:instrText>dativus auctoris</w:instrText>
      </w:r>
      <w:r w:rsidR="0095732D">
        <w:instrText xml:space="preserve">" </w:instrText>
      </w:r>
      <w:r w:rsidR="0095732D">
        <w:rPr>
          <w:i/>
        </w:rPr>
        <w:fldChar w:fldCharType="end"/>
      </w:r>
      <w:r w:rsidR="003A473B" w:rsidRPr="003A473B">
        <w:t xml:space="preserve">). Poslední inovace se týká </w:t>
      </w:r>
      <w:r w:rsidR="003A473B" w:rsidRPr="0095732D">
        <w:rPr>
          <w:i/>
        </w:rPr>
        <w:t>dativus finalis</w:t>
      </w:r>
      <w:r w:rsidR="008359C7">
        <w:rPr>
          <w:i/>
        </w:rPr>
        <w:fldChar w:fldCharType="begin"/>
      </w:r>
      <w:r w:rsidR="008359C7">
        <w:instrText xml:space="preserve"> XE "</w:instrText>
      </w:r>
      <w:r w:rsidR="008359C7" w:rsidRPr="00423B55">
        <w:rPr>
          <w:i/>
        </w:rPr>
        <w:instrText>dativus finalis</w:instrText>
      </w:r>
      <w:r w:rsidR="008359C7">
        <w:instrText xml:space="preserve">" </w:instrText>
      </w:r>
      <w:r w:rsidR="008359C7">
        <w:rPr>
          <w:i/>
        </w:rPr>
        <w:fldChar w:fldCharType="end"/>
      </w:r>
      <w:r w:rsidR="00C96281">
        <w:t>. Výše zmíněná o</w:t>
      </w:r>
      <w:r w:rsidR="003A473B" w:rsidRPr="003A473B">
        <w:t xml:space="preserve">ntoteologická struktura </w:t>
      </w:r>
      <w:r w:rsidR="00C96281">
        <w:t xml:space="preserve">křesťanské scientologie tvoří oblast objektivního bytí, které dostává </w:t>
      </w:r>
      <w:r w:rsidR="00C96281" w:rsidRPr="00C96281">
        <w:rPr>
          <w:i/>
        </w:rPr>
        <w:t>ultima ratio</w:t>
      </w:r>
      <w:r w:rsidR="00C96281">
        <w:t xml:space="preserve"> ve vztahu k modernímu b</w:t>
      </w:r>
      <w:r w:rsidR="003A473B" w:rsidRPr="003A473B">
        <w:t>ohu jako tvůrci forem</w:t>
      </w:r>
      <w:r w:rsidR="00D76EE0">
        <w:t xml:space="preserve"> (</w:t>
      </w:r>
      <w:r w:rsidR="00D76EE0">
        <w:rPr>
          <w:i/>
        </w:rPr>
        <w:t>d</w:t>
      </w:r>
      <w:r w:rsidR="00D76EE0" w:rsidRPr="00A30785">
        <w:rPr>
          <w:i/>
        </w:rPr>
        <w:t>ator formarum</w:t>
      </w:r>
      <w:r w:rsidR="008359C7">
        <w:rPr>
          <w:i/>
        </w:rPr>
        <w:fldChar w:fldCharType="begin"/>
      </w:r>
      <w:r w:rsidR="008359C7">
        <w:instrText xml:space="preserve"> XE "</w:instrText>
      </w:r>
      <w:r w:rsidR="008359C7" w:rsidRPr="00113DCF">
        <w:rPr>
          <w:i/>
        </w:rPr>
        <w:instrText>dator formarum</w:instrText>
      </w:r>
      <w:r w:rsidR="008359C7">
        <w:instrText xml:space="preserve">" </w:instrText>
      </w:r>
      <w:r w:rsidR="008359C7">
        <w:rPr>
          <w:i/>
        </w:rPr>
        <w:fldChar w:fldCharType="end"/>
      </w:r>
      <w:r w:rsidR="00D76EE0">
        <w:t>)</w:t>
      </w:r>
      <w:r w:rsidR="003A473B" w:rsidRPr="003A473B">
        <w:t>. Tímto způsobem Bonaventur</w:t>
      </w:r>
      <w:r w:rsidR="0050294E">
        <w:t>a a jeho následovníci založili křesťanský diakosmos z</w:t>
      </w:r>
      <w:r w:rsidR="003A473B" w:rsidRPr="003A473B">
        <w:t>ápadn</w:t>
      </w:r>
      <w:r w:rsidR="0036150B">
        <w:t>í metafyziky. Nový d</w:t>
      </w:r>
      <w:r w:rsidR="003A473B" w:rsidRPr="003A473B">
        <w:t xml:space="preserve">iakosmos </w:t>
      </w:r>
      <w:r w:rsidR="0036150B">
        <w:t xml:space="preserve">křesťanských neoplatoniků </w:t>
      </w:r>
      <w:r w:rsidR="003A473B" w:rsidRPr="003A473B">
        <w:t xml:space="preserve">byl rozdělen do dvou pater podle </w:t>
      </w:r>
      <w:r w:rsidR="00DC4061">
        <w:t xml:space="preserve">dvojí </w:t>
      </w:r>
      <w:r w:rsidR="003A473B" w:rsidRPr="003A473B">
        <w:t xml:space="preserve">činnosti nadpřirozeného Stvořitele a jeho pilného </w:t>
      </w:r>
      <w:r w:rsidR="00DC4061">
        <w:t>přirozeného demiurga</w:t>
      </w:r>
      <w:r w:rsidR="003A473B" w:rsidRPr="003A473B">
        <w:t>.</w:t>
      </w:r>
      <w:r w:rsidR="00DB23FF">
        <w:t xml:space="preserve"> Tak vznikla první říše</w:t>
      </w:r>
      <w:r w:rsidR="00DB23FF" w:rsidRPr="00DB23FF">
        <w:t xml:space="preserve"> mystických modernistů; druhá </w:t>
      </w:r>
      <w:r w:rsidR="00DB23FF">
        <w:t xml:space="preserve">říše </w:t>
      </w:r>
      <w:r w:rsidR="00DB23FF" w:rsidRPr="00DB23FF">
        <w:t xml:space="preserve">byla </w:t>
      </w:r>
      <w:r w:rsidR="00DB23FF">
        <w:t xml:space="preserve">dána skrze </w:t>
      </w:r>
      <w:r w:rsidR="00DB23FF" w:rsidRPr="00DB23FF">
        <w:t xml:space="preserve">imperiální kolonie v éře kapitalismu; </w:t>
      </w:r>
      <w:r w:rsidR="001E3021">
        <w:t xml:space="preserve">nacistický </w:t>
      </w:r>
      <w:r w:rsidR="00DB23FF" w:rsidRPr="00DB23FF">
        <w:rPr>
          <w:i/>
        </w:rPr>
        <w:t>Drittes Reich</w:t>
      </w:r>
      <w:r w:rsidR="00DB23FF">
        <w:t xml:space="preserve"> byl</w:t>
      </w:r>
      <w:r w:rsidR="00DB23FF" w:rsidRPr="00DB23FF">
        <w:t xml:space="preserve"> zničen </w:t>
      </w:r>
      <w:r w:rsidR="00DB23FF">
        <w:t>ve Druhé světové válce</w:t>
      </w:r>
      <w:r w:rsidR="00D50925">
        <w:t>. Čtvrtý</w:t>
      </w:r>
      <w:r w:rsidR="00DB23FF">
        <w:t xml:space="preserve"> </w:t>
      </w:r>
      <w:r w:rsidR="00D50925" w:rsidRPr="00D50925">
        <w:rPr>
          <w:i/>
        </w:rPr>
        <w:t>Reich</w:t>
      </w:r>
      <w:r w:rsidR="00D50925">
        <w:t xml:space="preserve"> </w:t>
      </w:r>
      <w:r w:rsidR="001E3021">
        <w:t xml:space="preserve">neonacistických </w:t>
      </w:r>
      <w:r w:rsidR="00DB23FF">
        <w:t>i</w:t>
      </w:r>
      <w:r w:rsidR="00DB23FF" w:rsidRPr="00DB23FF">
        <w:t>luminátů se formuje právě teď, v</w:t>
      </w:r>
      <w:r w:rsidR="00424185">
        <w:t xml:space="preserve"> epoše </w:t>
      </w:r>
      <w:r w:rsidR="00DB23FF" w:rsidRPr="00DB23FF">
        <w:t>metafyzického nihilismu</w:t>
      </w:r>
      <w:r w:rsidR="002E70E0">
        <w:t xml:space="preserve"> a </w:t>
      </w:r>
      <w:r w:rsidR="002E70E0" w:rsidRPr="002E70E0">
        <w:rPr>
          <w:i/>
        </w:rPr>
        <w:t>proxy-wars</w:t>
      </w:r>
      <w:r w:rsidR="002E70E0">
        <w:t xml:space="preserve">. </w:t>
      </w:r>
      <w:r w:rsidR="00633BC3" w:rsidRPr="00633BC3">
        <w:t>Posloupnost říší řeší otázku, jak objektivní metafyzika zrušila spory předchozích generací modernistů (</w:t>
      </w:r>
      <w:r w:rsidR="00633BC3" w:rsidRPr="00633BC3">
        <w:rPr>
          <w:i/>
        </w:rPr>
        <w:t>dativus incommodi</w:t>
      </w:r>
      <w:r w:rsidR="00633BC3">
        <w:rPr>
          <w:i/>
        </w:rPr>
        <w:fldChar w:fldCharType="begin"/>
      </w:r>
      <w:r w:rsidR="00633BC3">
        <w:instrText xml:space="preserve"> XE "</w:instrText>
      </w:r>
      <w:r w:rsidR="00633BC3" w:rsidRPr="002F2901">
        <w:rPr>
          <w:i/>
        </w:rPr>
        <w:instrText>dativus incommodi</w:instrText>
      </w:r>
      <w:r w:rsidR="00633BC3">
        <w:instrText xml:space="preserve">" </w:instrText>
      </w:r>
      <w:r w:rsidR="00633BC3">
        <w:rPr>
          <w:i/>
        </w:rPr>
        <w:fldChar w:fldCharType="end"/>
      </w:r>
      <w:r w:rsidR="00633BC3" w:rsidRPr="00633BC3">
        <w:t xml:space="preserve">). </w:t>
      </w:r>
      <w:r w:rsidR="00633BC3">
        <w:t xml:space="preserve">Vědění </w:t>
      </w:r>
      <w:r w:rsidR="00633BC3" w:rsidRPr="00633BC3">
        <w:t xml:space="preserve">založené na mytologické tvořivosti </w:t>
      </w:r>
      <w:r w:rsidR="00633BC3">
        <w:t xml:space="preserve">dané jako sebezáchovný </w:t>
      </w:r>
      <w:r w:rsidR="00633BC3" w:rsidRPr="00633BC3">
        <w:rPr>
          <w:i/>
        </w:rPr>
        <w:t>conatus</w:t>
      </w:r>
      <w:r w:rsidR="00902C18">
        <w:rPr>
          <w:i/>
        </w:rPr>
        <w:fldChar w:fldCharType="begin"/>
      </w:r>
      <w:r w:rsidR="00902C18">
        <w:instrText xml:space="preserve"> XE "</w:instrText>
      </w:r>
      <w:r w:rsidR="00902C18" w:rsidRPr="00155105">
        <w:rPr>
          <w:i/>
        </w:rPr>
        <w:instrText>conatus</w:instrText>
      </w:r>
      <w:r w:rsidR="00902C18">
        <w:instrText xml:space="preserve">" </w:instrText>
      </w:r>
      <w:r w:rsidR="00902C18">
        <w:rPr>
          <w:i/>
        </w:rPr>
        <w:fldChar w:fldCharType="end"/>
      </w:r>
      <w:r w:rsidR="00633BC3" w:rsidRPr="00633BC3">
        <w:t xml:space="preserve"> modernity</w:t>
      </w:r>
      <w:r w:rsidR="00565B4A">
        <w:t xml:space="preserve">, navíc </w:t>
      </w:r>
      <w:r w:rsidR="00902C18">
        <w:t>říz</w:t>
      </w:r>
      <w:r w:rsidR="00520586">
        <w:t>ený subje</w:t>
      </w:r>
      <w:r w:rsidR="00902C18">
        <w:t xml:space="preserve">ktivně </w:t>
      </w:r>
      <w:r w:rsidR="00565B4A">
        <w:t xml:space="preserve">určenými </w:t>
      </w:r>
      <w:r w:rsidR="00902C18">
        <w:t>Fúriemi</w:t>
      </w:r>
      <w:r w:rsidR="00565B4A">
        <w:t>,</w:t>
      </w:r>
      <w:r w:rsidR="00902C18">
        <w:t xml:space="preserve"> tvoří </w:t>
      </w:r>
      <w:r w:rsidR="005757C1">
        <w:t xml:space="preserve">objektivně </w:t>
      </w:r>
      <w:r w:rsidR="00633BC3" w:rsidRPr="00633BC3">
        <w:t>šílen</w:t>
      </w:r>
      <w:r w:rsidR="00020D3E">
        <w:t>ou moc</w:t>
      </w:r>
      <w:r w:rsidR="00633BC3" w:rsidRPr="00633BC3">
        <w:t>.</w:t>
      </w:r>
    </w:p>
    <w:p w:rsidR="00FF6001" w:rsidRDefault="00935E4C" w:rsidP="00FF6001">
      <w:pPr>
        <w:ind w:firstLine="397"/>
      </w:pPr>
      <w:r>
        <w:t xml:space="preserve">Skupina modernistů </w:t>
      </w:r>
      <w:r w:rsidRPr="00935E4C">
        <w:rPr>
          <w:i/>
        </w:rPr>
        <w:t>sui generis</w:t>
      </w:r>
      <w:r>
        <w:t xml:space="preserve">, která </w:t>
      </w:r>
      <w:r w:rsidR="08163013">
        <w:t>redig</w:t>
      </w:r>
      <w:r>
        <w:t xml:space="preserve">ovala </w:t>
      </w:r>
      <w:r w:rsidR="08163013">
        <w:t xml:space="preserve">pod vedením Bonaventury dílo </w:t>
      </w:r>
      <w:r w:rsidR="08163013">
        <w:rPr>
          <w:i/>
        </w:rPr>
        <w:t>Summa H</w:t>
      </w:r>
      <w:r w:rsidR="08163013" w:rsidRPr="00391D78">
        <w:rPr>
          <w:i/>
        </w:rPr>
        <w:t>alensis</w:t>
      </w:r>
      <w:r w:rsidR="08163013">
        <w:rPr>
          <w:i/>
        </w:rPr>
        <w:fldChar w:fldCharType="begin"/>
      </w:r>
      <w:r w:rsidR="08163013">
        <w:instrText xml:space="preserve"> XE "</w:instrText>
      </w:r>
      <w:r w:rsidR="08163013" w:rsidRPr="00F14A6F">
        <w:rPr>
          <w:i/>
        </w:rPr>
        <w:instrText>Summa Halensis</w:instrText>
      </w:r>
      <w:r w:rsidR="08163013">
        <w:instrText xml:space="preserve">" </w:instrText>
      </w:r>
      <w:r w:rsidR="08163013">
        <w:rPr>
          <w:i/>
        </w:rPr>
        <w:fldChar w:fldCharType="end"/>
      </w:r>
      <w:r>
        <w:t>, měla</w:t>
      </w:r>
      <w:r w:rsidR="08163013">
        <w:t xml:space="preserve"> okolo roku 1245 k dispozici všechny základní stavební kameny k založení nové metafyziky</w:t>
      </w:r>
      <w:r w:rsidR="08163013">
        <w:fldChar w:fldCharType="begin"/>
      </w:r>
      <w:r w:rsidR="08163013">
        <w:instrText xml:space="preserve"> XE "</w:instrText>
      </w:r>
      <w:r w:rsidR="08163013" w:rsidRPr="009B46D2">
        <w:instrText>objektivita:vznik</w:instrText>
      </w:r>
      <w:r w:rsidR="08163013">
        <w:instrText xml:space="preserve">" </w:instrText>
      </w:r>
      <w:r w:rsidR="08163013">
        <w:fldChar w:fldCharType="end"/>
      </w:r>
      <w:r w:rsidR="08163013">
        <w:t xml:space="preserve">. Škola druhého averroismu zahájila své působení za Filipa Kancléře a vytvořila systém ontoteologie založený na </w:t>
      </w:r>
      <w:r w:rsidR="08163013">
        <w:lastRenderedPageBreak/>
        <w:t>neoplatonském synkretismu Toledské školy</w:t>
      </w:r>
      <w:r w:rsidR="08163013">
        <w:fldChar w:fldCharType="begin"/>
      </w:r>
      <w:r w:rsidR="08163013">
        <w:instrText xml:space="preserve"> XE "</w:instrText>
      </w:r>
      <w:r w:rsidR="08163013" w:rsidRPr="00D06A11">
        <w:instrText>Toledská škola</w:instrText>
      </w:r>
      <w:r w:rsidR="08163013">
        <w:instrText xml:space="preserve">" </w:instrText>
      </w:r>
      <w:r w:rsidR="08163013">
        <w:fldChar w:fldCharType="end"/>
      </w:r>
      <w:r w:rsidR="00AA1EE5">
        <w:t>. B</w:t>
      </w:r>
      <w:r w:rsidR="08163013">
        <w:t>iskup Alvernus</w:t>
      </w:r>
      <w:r w:rsidR="00AA1EE5">
        <w:t xml:space="preserve"> tuto školu odsoudil </w:t>
      </w:r>
      <w:r w:rsidR="006924BE">
        <w:t xml:space="preserve">v rámci kritiky učení </w:t>
      </w:r>
      <w:r w:rsidR="00AA1EE5">
        <w:t>„</w:t>
      </w:r>
      <w:r w:rsidR="00AA1EE5" w:rsidRPr="001E05C2">
        <w:rPr>
          <w:i/>
          <w:lang w:eastAsia="en-US"/>
        </w:rPr>
        <w:t>sequaces Aristotelis</w:t>
      </w:r>
      <w:r w:rsidR="00AA1EE5">
        <w:rPr>
          <w:lang w:eastAsia="en-US"/>
        </w:rPr>
        <w:t>“</w:t>
      </w:r>
      <w:r w:rsidR="08163013">
        <w:t xml:space="preserve">. </w:t>
      </w:r>
      <w:r w:rsidR="08163013" w:rsidRPr="00273106">
        <w:t xml:space="preserve">Univoční postup transcendentální predikace skrze </w:t>
      </w:r>
      <w:r w:rsidR="08163013">
        <w:t>neoplatonsky pojatá amf</w:t>
      </w:r>
      <w:r w:rsidR="08163013" w:rsidRPr="00F54400">
        <w:t>ibolia</w:t>
      </w:r>
      <w:r w:rsidR="08163013">
        <w:fldChar w:fldCharType="begin"/>
      </w:r>
      <w:r w:rsidR="08163013">
        <w:instrText xml:space="preserve"> XE "</w:instrText>
      </w:r>
      <w:r w:rsidR="08163013" w:rsidRPr="00820D18">
        <w:instrText>amfibolia</w:instrText>
      </w:r>
      <w:r w:rsidR="08163013">
        <w:instrText xml:space="preserve">" </w:instrText>
      </w:r>
      <w:r w:rsidR="08163013">
        <w:fldChar w:fldCharType="end"/>
      </w:r>
      <w:r w:rsidR="08163013" w:rsidRPr="00273106">
        <w:t xml:space="preserve"> zavedl do západní filosofie </w:t>
      </w:r>
      <w:r w:rsidR="08163013">
        <w:t>Al</w:t>
      </w:r>
      <w:r w:rsidR="08163013">
        <w:noBreakHyphen/>
        <w:t>Fárábí (</w:t>
      </w:r>
      <w:r w:rsidR="08670604">
        <w:t xml:space="preserve">OBJ I, </w:t>
      </w:r>
      <w:r w:rsidR="08163013">
        <w:t xml:space="preserve">kap. 2.1.1) a po něm tuto nauku upravil </w:t>
      </w:r>
      <w:r w:rsidR="08163013" w:rsidRPr="00273106">
        <w:t xml:space="preserve">Avicenna. </w:t>
      </w:r>
      <w:r w:rsidR="00016A68">
        <w:t xml:space="preserve">Tento druh „vyšší“ </w:t>
      </w:r>
      <w:r w:rsidR="00016A68" w:rsidRPr="00016A68">
        <w:t xml:space="preserve">metafyziky předpokládá </w:t>
      </w:r>
      <w:r w:rsidR="00016A68">
        <w:t xml:space="preserve">iluminaci </w:t>
      </w:r>
      <w:r w:rsidR="00016A68" w:rsidRPr="00016A68">
        <w:t xml:space="preserve">intelektu </w:t>
      </w:r>
      <w:r w:rsidR="00016A68">
        <w:t xml:space="preserve">danou </w:t>
      </w:r>
      <w:r w:rsidR="00016A68" w:rsidRPr="00016A68">
        <w:t xml:space="preserve">zezadu, </w:t>
      </w:r>
      <w:r w:rsidR="00016A68">
        <w:t xml:space="preserve">od </w:t>
      </w:r>
      <w:r w:rsidR="00016A68" w:rsidRPr="00016A68">
        <w:t>hypost</w:t>
      </w:r>
      <w:r w:rsidR="00016A68">
        <w:t>ázovaných forem a exemplarů</w:t>
      </w:r>
      <w:r w:rsidR="00016A68" w:rsidRPr="00016A68">
        <w:t>.</w:t>
      </w:r>
      <w:r w:rsidR="00016A68">
        <w:t xml:space="preserve"> </w:t>
      </w:r>
      <w:r w:rsidR="08163013">
        <w:t xml:space="preserve">Škola </w:t>
      </w:r>
      <w:r w:rsidR="08163013" w:rsidRPr="002D37F6">
        <w:rPr>
          <w:i/>
        </w:rPr>
        <w:t>Nominales</w:t>
      </w:r>
      <w:r w:rsidR="08163013">
        <w:t xml:space="preserve"> </w:t>
      </w:r>
      <w:r w:rsidR="08163013" w:rsidRPr="00273106">
        <w:t xml:space="preserve">posunula metafyziku do oblasti </w:t>
      </w:r>
      <w:r w:rsidR="00C21D51">
        <w:t>pojmů „</w:t>
      </w:r>
      <w:r w:rsidR="08163013" w:rsidRPr="00273106">
        <w:rPr>
          <w:i/>
        </w:rPr>
        <w:t>mensura</w:t>
      </w:r>
      <w:r w:rsidR="00C21D51">
        <w:t>“</w:t>
      </w:r>
      <w:r w:rsidR="08163013" w:rsidRPr="00273106">
        <w:t xml:space="preserve"> a </w:t>
      </w:r>
      <w:r w:rsidR="00C21D51">
        <w:t>„</w:t>
      </w:r>
      <w:r w:rsidR="08163013" w:rsidRPr="00273106">
        <w:rPr>
          <w:i/>
        </w:rPr>
        <w:t>numerus</w:t>
      </w:r>
      <w:r w:rsidR="00C21D51">
        <w:t>“</w:t>
      </w:r>
      <w:r w:rsidR="08163013" w:rsidRPr="00273106">
        <w:t xml:space="preserve"> určených matematickou abstrakcí</w:t>
      </w:r>
      <w:r w:rsidR="08163013">
        <w:fldChar w:fldCharType="begin"/>
      </w:r>
      <w:r w:rsidR="08163013">
        <w:instrText xml:space="preserve"> XE "abstrakce:matematická" </w:instrText>
      </w:r>
      <w:r w:rsidR="08163013">
        <w:fldChar w:fldCharType="end"/>
      </w:r>
      <w:r w:rsidR="08163013">
        <w:t xml:space="preserve">. Zrušení metafyzického patra abstrakce </w:t>
      </w:r>
      <w:r w:rsidR="000C730E">
        <w:t>dané</w:t>
      </w:r>
      <w:r w:rsidR="00AC75D3">
        <w:t xml:space="preserve"> skrze impozici byl fatální krok. Modernisté nebyli schopni </w:t>
      </w:r>
      <w:r w:rsidR="08163013" w:rsidRPr="00273106">
        <w:t xml:space="preserve">rozlišovat mezi </w:t>
      </w:r>
      <w:r w:rsidR="08163013">
        <w:t xml:space="preserve">působením </w:t>
      </w:r>
      <w:r w:rsidR="08163013" w:rsidRPr="00273106">
        <w:t>aktuální</w:t>
      </w:r>
      <w:r w:rsidR="08163013">
        <w:t>ch</w:t>
      </w:r>
      <w:r w:rsidR="08163013" w:rsidRPr="00273106">
        <w:t xml:space="preserve"> substancí a mezi obecnými </w:t>
      </w:r>
      <w:r w:rsidR="08163013">
        <w:t xml:space="preserve">určeními druhé </w:t>
      </w:r>
      <w:r w:rsidR="08163013" w:rsidRPr="00273106">
        <w:t>substance.</w:t>
      </w:r>
      <w:r w:rsidR="08163013">
        <w:t xml:space="preserve"> </w:t>
      </w:r>
      <w:r w:rsidR="08163013" w:rsidRPr="00273106">
        <w:t>Matematické a geometrické kvality (</w:t>
      </w:r>
      <w:r w:rsidR="08163013" w:rsidRPr="00273106">
        <w:rPr>
          <w:i/>
        </w:rPr>
        <w:t>numerus</w:t>
      </w:r>
      <w:r w:rsidR="08163013" w:rsidRPr="00273106">
        <w:t xml:space="preserve">, </w:t>
      </w:r>
      <w:r w:rsidR="08163013" w:rsidRPr="00273106">
        <w:rPr>
          <w:i/>
        </w:rPr>
        <w:t>quantitas</w:t>
      </w:r>
      <w:r w:rsidR="08163013" w:rsidRPr="00273106">
        <w:t xml:space="preserve">, </w:t>
      </w:r>
      <w:r w:rsidR="08163013" w:rsidRPr="00273106">
        <w:rPr>
          <w:i/>
        </w:rPr>
        <w:t>extensio</w:t>
      </w:r>
      <w:r w:rsidR="08163013" w:rsidRPr="00273106">
        <w:t xml:space="preserve">) začaly v porretánské škole hrát roli nových </w:t>
      </w:r>
      <w:r w:rsidR="08163013">
        <w:t xml:space="preserve">amfibolických </w:t>
      </w:r>
      <w:r w:rsidR="08163013" w:rsidRPr="00273106">
        <w:t xml:space="preserve">určení jsoucna </w:t>
      </w:r>
      <w:r w:rsidR="08163013">
        <w:t xml:space="preserve">podle Avicenny </w:t>
      </w:r>
      <w:r w:rsidR="08163013" w:rsidRPr="00273106">
        <w:t>(</w:t>
      </w:r>
      <w:r w:rsidR="08A009ED">
        <w:t>OBJ II, kap. 1</w:t>
      </w:r>
      <w:r w:rsidR="08163013" w:rsidRPr="00273106">
        <w:t>.5).</w:t>
      </w:r>
      <w:r w:rsidR="08163013">
        <w:t xml:space="preserve"> Bonaventurova role v etablování objektivity </w:t>
      </w:r>
      <w:r w:rsidR="00816C59">
        <w:t>byla nezbytná. Akademičtí ilumináti v jeho „škole“</w:t>
      </w:r>
      <w:r w:rsidR="00816C59" w:rsidRPr="00816C59">
        <w:t xml:space="preserve"> (tj. redakční skupině</w:t>
      </w:r>
      <w:r w:rsidR="006F2D81">
        <w:t xml:space="preserve">) </w:t>
      </w:r>
      <w:r w:rsidR="00816C59" w:rsidRPr="00816C59">
        <w:t>byli p</w:t>
      </w:r>
      <w:r w:rsidR="00816C59">
        <w:t>rvními modernisty v letech 1245–</w:t>
      </w:r>
      <w:r w:rsidR="00816C59" w:rsidRPr="00816C59">
        <w:t>50</w:t>
      </w:r>
      <w:r w:rsidR="006F2D81">
        <w:t xml:space="preserve"> na Pařížské univerzitě</w:t>
      </w:r>
      <w:r w:rsidR="00816C59" w:rsidRPr="00816C59">
        <w:t>.</w:t>
      </w:r>
      <w:r w:rsidR="00816C59">
        <w:t xml:space="preserve"> </w:t>
      </w:r>
      <w:r w:rsidR="00E925F8">
        <w:t xml:space="preserve">Tato škola </w:t>
      </w:r>
      <w:r w:rsidR="00FE5FB4">
        <w:t xml:space="preserve">reformovaných </w:t>
      </w:r>
      <w:r w:rsidR="00E925F8" w:rsidRPr="00E925F8">
        <w:rPr>
          <w:i/>
        </w:rPr>
        <w:t>sophistae Latini</w:t>
      </w:r>
      <w:r w:rsidR="00E925F8">
        <w:t xml:space="preserve"> hrdě držela </w:t>
      </w:r>
      <w:r w:rsidR="006F2D81">
        <w:t xml:space="preserve">jako jediná </w:t>
      </w:r>
      <w:r w:rsidR="00E925F8">
        <w:t>prapor druhého averroismu</w:t>
      </w:r>
      <w:r w:rsidR="006F2D81">
        <w:t xml:space="preserve"> v Paříži</w:t>
      </w:r>
      <w:r w:rsidR="00E925F8">
        <w:t xml:space="preserve">. </w:t>
      </w:r>
      <w:r w:rsidR="08163013">
        <w:t xml:space="preserve">Po smrti biskupa Alverna </w:t>
      </w:r>
      <w:r w:rsidR="08163013">
        <w:rPr>
          <w:szCs w:val="14"/>
        </w:rPr>
        <w:t xml:space="preserve">vznikl nepřekročitelný </w:t>
      </w:r>
      <w:r w:rsidR="08163013" w:rsidRPr="00273106">
        <w:rPr>
          <w:szCs w:val="14"/>
        </w:rPr>
        <w:t xml:space="preserve">rozdíl mezi prvním a druhým averroismem v otázce abstrakce, </w:t>
      </w:r>
      <w:r w:rsidR="00962190">
        <w:rPr>
          <w:i/>
          <w:szCs w:val="14"/>
        </w:rPr>
        <w:t>species</w:t>
      </w:r>
      <w:r w:rsidR="08163013" w:rsidRPr="00273106">
        <w:rPr>
          <w:szCs w:val="14"/>
        </w:rPr>
        <w:t>, duše a intelektu.</w:t>
      </w:r>
      <w:r w:rsidR="005F3035">
        <w:rPr>
          <w:szCs w:val="14"/>
        </w:rPr>
        <w:t xml:space="preserve"> Bonaventurova š</w:t>
      </w:r>
      <w:r w:rsidR="08163013">
        <w:t xml:space="preserve">kola druhého averroismu </w:t>
      </w:r>
      <w:r w:rsidR="005F3035">
        <w:t xml:space="preserve">strádala v těchto krutých letech na univerzitě v Paříži, kterou </w:t>
      </w:r>
      <w:r w:rsidR="08163013">
        <w:t>ovláda</w:t>
      </w:r>
      <w:r w:rsidR="005F3035">
        <w:t xml:space="preserve">li magistři ze školy </w:t>
      </w:r>
      <w:r w:rsidR="08163013">
        <w:t>první</w:t>
      </w:r>
      <w:r w:rsidR="005F3035">
        <w:t xml:space="preserve">ho averroismu. Tito ilumináti byli označeni za filosofické blázny a měli před očima varovný příklad Rufusova díla </w:t>
      </w:r>
      <w:r w:rsidR="005F3035" w:rsidRPr="005F3035">
        <w:rPr>
          <w:i/>
        </w:rPr>
        <w:t>Speculum animae</w:t>
      </w:r>
      <w:r w:rsidR="005F3035">
        <w:t>. Zakladatel modernismu své bizarní myšlenky neobhájil a musel se z Paříže vedené „</w:t>
      </w:r>
      <w:r w:rsidR="005F3035" w:rsidRPr="005F3035">
        <w:rPr>
          <w:i/>
        </w:rPr>
        <w:t>ad mentem Averrois</w:t>
      </w:r>
      <w:r w:rsidR="005F3035">
        <w:t>“ vrátit zpět do bašty vedené „</w:t>
      </w:r>
      <w:r w:rsidR="005F3035" w:rsidRPr="005F3035">
        <w:rPr>
          <w:i/>
        </w:rPr>
        <w:t>ad mentem Oxfordian Fallacy</w:t>
      </w:r>
      <w:r w:rsidR="005F3035">
        <w:t>“. T</w:t>
      </w:r>
      <w:r w:rsidR="0037415A">
        <w:t>ragikomedii objektivity drž</w:t>
      </w:r>
      <w:r w:rsidR="005F3035">
        <w:t xml:space="preserve">í ve svých rukou akademické Fúrie. V </w:t>
      </w:r>
      <w:r w:rsidR="08163013">
        <w:t xml:space="preserve">letech 1245‒50 </w:t>
      </w:r>
      <w:r w:rsidR="08A009ED">
        <w:t xml:space="preserve">bývala </w:t>
      </w:r>
      <w:r w:rsidR="08163013">
        <w:t xml:space="preserve">mohla skupina mendikantů kolem Kilwardbyho a Bonaventura najít nový výklad metafyziky </w:t>
      </w:r>
      <w:r w:rsidR="004B004B">
        <w:t>„</w:t>
      </w:r>
      <w:r w:rsidR="08163013" w:rsidRPr="00CC7A9A">
        <w:rPr>
          <w:i/>
        </w:rPr>
        <w:t>ad mentem Averrois</w:t>
      </w:r>
      <w:r w:rsidR="004B004B">
        <w:t>“</w:t>
      </w:r>
      <w:r w:rsidR="08163013">
        <w:rPr>
          <w:i/>
        </w:rPr>
        <w:t xml:space="preserve"> </w:t>
      </w:r>
      <w:r w:rsidR="08163013" w:rsidRPr="08340EAD">
        <w:t>podle Sicilské školy</w:t>
      </w:r>
      <w:r w:rsidR="08163013">
        <w:rPr>
          <w:i/>
        </w:rPr>
        <w:fldChar w:fldCharType="begin"/>
      </w:r>
      <w:r w:rsidR="08163013">
        <w:instrText xml:space="preserve"> XE "</w:instrText>
      </w:r>
      <w:r w:rsidR="08163013" w:rsidRPr="002F1871">
        <w:rPr>
          <w:i/>
        </w:rPr>
        <w:instrText>ad mentem Averrois</w:instrText>
      </w:r>
      <w:r w:rsidR="08163013">
        <w:instrText xml:space="preserve">" </w:instrText>
      </w:r>
      <w:r w:rsidR="08163013">
        <w:rPr>
          <w:i/>
        </w:rPr>
        <w:fldChar w:fldCharType="end"/>
      </w:r>
      <w:r w:rsidR="08163013">
        <w:t xml:space="preserve">. </w:t>
      </w:r>
      <w:r w:rsidR="0886156B">
        <w:t xml:space="preserve">To se ale nestalo. </w:t>
      </w:r>
      <w:r w:rsidR="08163013">
        <w:t xml:space="preserve">Tato pětiletka akademické skrytosti druhého averroismu rozhodla o osudu latinského Západu. Akademičtí ilumináti vyrazili po smrti biskupa Alverna také v Paříži do útoku proti </w:t>
      </w:r>
      <w:r w:rsidR="08F65E33">
        <w:t>„</w:t>
      </w:r>
      <w:r w:rsidR="08163013">
        <w:t>heretikovi Averroesovi</w:t>
      </w:r>
      <w:r w:rsidR="08F65E33">
        <w:t>“</w:t>
      </w:r>
      <w:r w:rsidR="00FF6001">
        <w:t xml:space="preserve">. </w:t>
      </w:r>
      <w:r w:rsidR="00FF6001" w:rsidRPr="00FF6001">
        <w:t>Založili modernu na biblickém základ</w:t>
      </w:r>
      <w:r w:rsidR="00FF6001">
        <w:t xml:space="preserve">ě jako novou mytologii </w:t>
      </w:r>
      <w:r w:rsidR="00FF6001" w:rsidRPr="00FF6001">
        <w:rPr>
          <w:i/>
        </w:rPr>
        <w:t>Modernorum</w:t>
      </w:r>
      <w:r w:rsidR="00FF6001" w:rsidRPr="00FF6001">
        <w:t>, která se později stala objektivní metafyzikou. Tato ve</w:t>
      </w:r>
      <w:r w:rsidR="00FF6001">
        <w:t>rze objektivity tvoří současný i</w:t>
      </w:r>
      <w:r w:rsidR="00FF6001" w:rsidRPr="00FF6001">
        <w:t>tiner</w:t>
      </w:r>
      <w:r w:rsidR="00FF6001">
        <w:t xml:space="preserve">ář </w:t>
      </w:r>
      <w:r w:rsidR="00FF6001" w:rsidRPr="00FF6001">
        <w:t xml:space="preserve">latinského Západu v různých sekulárních formách. </w:t>
      </w:r>
      <w:r w:rsidR="00FF6001">
        <w:t xml:space="preserve">V této době už </w:t>
      </w:r>
      <w:r w:rsidR="00FF6001" w:rsidRPr="00FF6001">
        <w:t>byla tato mytologická forma metafyziky z islámu definitivně vy</w:t>
      </w:r>
      <w:r w:rsidR="00FF6001">
        <w:t>loučena, protože vedla k smrti b</w:t>
      </w:r>
      <w:r w:rsidR="00FF6001" w:rsidRPr="00FF6001">
        <w:t xml:space="preserve">oha v moderním </w:t>
      </w:r>
      <w:r w:rsidR="00FF6001" w:rsidRPr="00FF6001">
        <w:lastRenderedPageBreak/>
        <w:t>myšlení.</w:t>
      </w:r>
      <w:bookmarkStart w:id="7" w:name="_Toc36144132"/>
      <w:r w:rsidR="006A3B53">
        <w:t xml:space="preserve"> Mystik a světec Bonaventura sehrál v tragikomedii Múz klíčovou roli, protože zavedl moderního boha na jeho postmoderní popraviště.</w:t>
      </w:r>
    </w:p>
    <w:p w:rsidR="08163013" w:rsidRPr="00273106" w:rsidRDefault="00347238" w:rsidP="005934C7">
      <w:pPr>
        <w:pStyle w:val="Nadpis3"/>
      </w:pPr>
      <w:r>
        <w:br w:type="page"/>
      </w:r>
      <w:bookmarkStart w:id="8" w:name="_Toc180231644"/>
      <w:r w:rsidR="08163013">
        <w:lastRenderedPageBreak/>
        <w:t>4</w:t>
      </w:r>
      <w:r w:rsidR="08163013" w:rsidRPr="00273106">
        <w:t xml:space="preserve">.1.1 </w:t>
      </w:r>
      <w:r w:rsidR="08163013">
        <w:t>Vznik o</w:t>
      </w:r>
      <w:r w:rsidR="08163013" w:rsidRPr="00273106">
        <w:t>ntoteologick</w:t>
      </w:r>
      <w:r w:rsidR="08163013">
        <w:t>é metafyziky</w:t>
      </w:r>
      <w:bookmarkEnd w:id="7"/>
      <w:bookmarkEnd w:id="8"/>
    </w:p>
    <w:p w:rsidR="08163013" w:rsidRPr="00273106" w:rsidRDefault="08163013" w:rsidP="08163013">
      <w:r>
        <w:rPr>
          <w:szCs w:val="14"/>
        </w:rPr>
        <w:t xml:space="preserve">Začněme výkladem poznání u Bonaventury, protože ukazuje epochálně nový způsob, jak objektivita přišla ke svému zakládajícímu dativu </w:t>
      </w:r>
      <w:r w:rsidRPr="00273106">
        <w:t>(</w:t>
      </w:r>
      <w:r w:rsidRPr="00273106">
        <w:rPr>
          <w:i/>
        </w:rPr>
        <w:t>d</w:t>
      </w:r>
      <w:r w:rsidRPr="00273106">
        <w:rPr>
          <w:i/>
          <w:iCs/>
        </w:rPr>
        <w:t>ativus possessivus</w:t>
      </w:r>
      <w:r>
        <w:rPr>
          <w:i/>
          <w:iCs/>
        </w:rPr>
        <w:fldChar w:fldCharType="begin"/>
      </w:r>
      <w:r>
        <w:instrText xml:space="preserve"> XE "</w:instrText>
      </w:r>
      <w:r w:rsidRPr="00461B3F">
        <w:rPr>
          <w:i/>
        </w:rPr>
        <w:instrText>d</w:instrText>
      </w:r>
      <w:r w:rsidRPr="00461B3F">
        <w:rPr>
          <w:i/>
          <w:iCs/>
        </w:rPr>
        <w:instrText>ativus possessivus</w:instrText>
      </w:r>
      <w:r>
        <w:instrText xml:space="preserve">" </w:instrText>
      </w:r>
      <w:r>
        <w:rPr>
          <w:i/>
          <w:iCs/>
        </w:rPr>
        <w:fldChar w:fldCharType="end"/>
      </w:r>
      <w:r w:rsidRPr="00273106">
        <w:rPr>
          <w:iCs/>
        </w:rPr>
        <w:t>)</w:t>
      </w:r>
      <w:r>
        <w:rPr>
          <w:szCs w:val="14"/>
        </w:rPr>
        <w:t>. Nová d</w:t>
      </w:r>
      <w:r>
        <w:t xml:space="preserve">edukce vědy je provedena </w:t>
      </w:r>
      <w:r w:rsidRPr="00273106">
        <w:t xml:space="preserve">na základě </w:t>
      </w:r>
      <w:r>
        <w:t xml:space="preserve">osvícené </w:t>
      </w:r>
      <w:r w:rsidRPr="00273106">
        <w:t>mysli, která vidí v rámci pravdy-</w:t>
      </w:r>
      <w:r w:rsidRPr="00273106">
        <w:rPr>
          <w:i/>
        </w:rPr>
        <w:t>rectitudo</w:t>
      </w:r>
      <w:r w:rsidRPr="00273106">
        <w:t xml:space="preserve"> do kreativní regule samotného </w:t>
      </w:r>
      <w:r>
        <w:t>stvořitele</w:t>
      </w:r>
      <w:r>
        <w:fldChar w:fldCharType="begin"/>
      </w:r>
      <w:r>
        <w:instrText xml:space="preserve"> XE "</w:instrText>
      </w:r>
      <w:r w:rsidRPr="00B83CB8">
        <w:instrText>regule</w:instrText>
      </w:r>
      <w:r>
        <w:instrText xml:space="preserve">:stvořitele" </w:instrText>
      </w:r>
      <w:r>
        <w:fldChar w:fldCharType="end"/>
      </w:r>
      <w:r>
        <w:t xml:space="preserve"> a pak ji aplikuje v mysli sekundárního </w:t>
      </w:r>
      <w:r w:rsidRPr="00273106">
        <w:t xml:space="preserve">tvůrce. </w:t>
      </w:r>
      <w:r>
        <w:t xml:space="preserve">Termín </w:t>
      </w:r>
      <w:r w:rsidRPr="00273106">
        <w:rPr>
          <w:i/>
        </w:rPr>
        <w:t>intellectus resolvens</w:t>
      </w:r>
      <w:r>
        <w:rPr>
          <w:i/>
        </w:rPr>
        <w:fldChar w:fldCharType="begin"/>
      </w:r>
      <w:r>
        <w:instrText xml:space="preserve"> XE "</w:instrText>
      </w:r>
      <w:r w:rsidRPr="0011539A">
        <w:rPr>
          <w:i/>
        </w:rPr>
        <w:instrText>intellectus resolvens</w:instrText>
      </w:r>
      <w:r>
        <w:instrText xml:space="preserve">" </w:instrText>
      </w:r>
      <w:r>
        <w:rPr>
          <w:i/>
        </w:rPr>
        <w:fldChar w:fldCharType="end"/>
      </w:r>
      <w:r w:rsidRPr="00273106">
        <w:t xml:space="preserve"> ukazuje </w:t>
      </w:r>
      <w:r>
        <w:t>náhled</w:t>
      </w:r>
      <w:r w:rsidRPr="00273106">
        <w:t xml:space="preserve"> </w:t>
      </w:r>
      <w:r>
        <w:t xml:space="preserve">na jsoucno </w:t>
      </w:r>
      <w:r w:rsidRPr="00273106">
        <w:t xml:space="preserve">skrze spojení </w:t>
      </w:r>
      <w:r>
        <w:t xml:space="preserve">různých </w:t>
      </w:r>
      <w:r w:rsidRPr="00273106">
        <w:t xml:space="preserve">forem </w:t>
      </w:r>
      <w:r w:rsidRPr="00273106">
        <w:rPr>
          <w:i/>
        </w:rPr>
        <w:t>resolutio</w:t>
      </w:r>
      <w:r>
        <w:t xml:space="preserve">. </w:t>
      </w:r>
      <w:r w:rsidRPr="00273106">
        <w:t>Následující pasáž obsahuje jádro Bonave</w:t>
      </w:r>
      <w:r>
        <w:t>n</w:t>
      </w:r>
      <w:r w:rsidRPr="00273106">
        <w:t>turovy trinitární metafyziky</w:t>
      </w:r>
      <w:r>
        <w:t xml:space="preserve"> v podání jeho žáků (</w:t>
      </w:r>
      <w:r w:rsidRPr="00F87D04">
        <w:rPr>
          <w:i/>
        </w:rPr>
        <w:t xml:space="preserve">Dubium </w:t>
      </w:r>
      <w:r>
        <w:t xml:space="preserve">I). Mistrova škola podává </w:t>
      </w:r>
      <w:r w:rsidRPr="00273106">
        <w:t xml:space="preserve">moderní </w:t>
      </w:r>
      <w:r w:rsidRPr="00273106">
        <w:rPr>
          <w:i/>
        </w:rPr>
        <w:t>Lichtung</w:t>
      </w:r>
      <w:r w:rsidRPr="00273106">
        <w:t xml:space="preserve"> jsoucna v jeho </w:t>
      </w:r>
      <w:r>
        <w:t xml:space="preserve">objektivní </w:t>
      </w:r>
      <w:r w:rsidRPr="00273106">
        <w:t>pravdě a nepravdě</w:t>
      </w:r>
      <w:r w:rsidRPr="08AB408D">
        <w:t xml:space="preserve"> </w:t>
      </w:r>
      <w:r>
        <w:t xml:space="preserve">v modu první </w:t>
      </w:r>
      <w:r w:rsidRPr="0868467A">
        <w:rPr>
          <w:i/>
        </w:rPr>
        <w:t>Wirkungsgeschichte</w:t>
      </w:r>
      <w:r>
        <w:t xml:space="preserve"> Bonaventurova myšlení.</w:t>
      </w:r>
      <w:r w:rsidRPr="00273106">
        <w:t xml:space="preserve"> </w:t>
      </w:r>
    </w:p>
    <w:p w:rsidR="08163013" w:rsidRPr="00AF6221" w:rsidRDefault="08163013" w:rsidP="08163013">
      <w:pPr>
        <w:pStyle w:val="Citace"/>
        <w:rPr>
          <w:noProof/>
          <w:lang w:val="cs-CZ"/>
        </w:rPr>
      </w:pPr>
      <w:r w:rsidRPr="00273106">
        <w:rPr>
          <w:noProof/>
          <w:lang w:val="cs-CZ"/>
        </w:rPr>
        <w:t>„</w:t>
      </w:r>
      <w:r>
        <w:rPr>
          <w:noProof/>
          <w:lang w:val="cs-CZ"/>
        </w:rPr>
        <w:t>Dále je možné porozumět věci skrze něco jiného, a to skrze přímý náhled intelektu (</w:t>
      </w:r>
      <w:r w:rsidRPr="00AD28D0">
        <w:rPr>
          <w:i/>
          <w:noProof/>
          <w:lang w:val="cs-CZ"/>
        </w:rPr>
        <w:t>intellectu resolvente</w:t>
      </w:r>
      <w:r>
        <w:rPr>
          <w:noProof/>
          <w:lang w:val="cs-CZ"/>
        </w:rPr>
        <w:t>). Tento intelekt nazírá to, co je ve věci podstatné (</w:t>
      </w:r>
      <w:r w:rsidRPr="00AD28D0">
        <w:rPr>
          <w:i/>
          <w:noProof/>
          <w:lang w:val="cs-CZ"/>
        </w:rPr>
        <w:t>rei essentialia</w:t>
      </w:r>
      <w:r>
        <w:rPr>
          <w:noProof/>
          <w:lang w:val="cs-CZ"/>
        </w:rPr>
        <w:t>) a může pochopit subjekt i mimo jeho reálné působení (</w:t>
      </w:r>
      <w:r w:rsidRPr="00AD28D0">
        <w:rPr>
          <w:i/>
          <w:noProof/>
          <w:lang w:val="cs-CZ"/>
        </w:rPr>
        <w:t>subiectum sine propria passione</w:t>
      </w:r>
      <w:r>
        <w:rPr>
          <w:noProof/>
          <w:lang w:val="cs-CZ"/>
        </w:rPr>
        <w:t>). A to se může dít dvojím způsobem: buď skrze plně nazírající intelekt (</w:t>
      </w:r>
      <w:r w:rsidRPr="00683606">
        <w:rPr>
          <w:i/>
          <w:noProof/>
        </w:rPr>
        <w:t>i</w:t>
      </w:r>
      <w:r>
        <w:rPr>
          <w:i/>
          <w:noProof/>
        </w:rPr>
        <w:t>ntellectu resolvente plene et p</w:t>
      </w:r>
      <w:r w:rsidRPr="00683606">
        <w:rPr>
          <w:i/>
          <w:noProof/>
        </w:rPr>
        <w:t>e</w:t>
      </w:r>
      <w:r>
        <w:rPr>
          <w:i/>
          <w:noProof/>
          <w:lang w:val="cs-CZ"/>
        </w:rPr>
        <w:t>r</w:t>
      </w:r>
      <w:r w:rsidRPr="00683606">
        <w:rPr>
          <w:i/>
          <w:noProof/>
        </w:rPr>
        <w:t>fecte</w:t>
      </w:r>
      <w:r>
        <w:rPr>
          <w:noProof/>
          <w:lang w:val="cs-CZ"/>
        </w:rPr>
        <w:t xml:space="preserve">), nebo skrze </w:t>
      </w:r>
      <w:r w:rsidR="00C71B5C">
        <w:rPr>
          <w:noProof/>
          <w:lang w:val="cs-CZ"/>
        </w:rPr>
        <w:t xml:space="preserve">slabý </w:t>
      </w:r>
      <w:r>
        <w:rPr>
          <w:noProof/>
          <w:lang w:val="cs-CZ"/>
        </w:rPr>
        <w:t>intelekt nazírající pouze částečně (</w:t>
      </w:r>
      <w:r w:rsidRPr="087B5382">
        <w:rPr>
          <w:i/>
          <w:noProof/>
        </w:rPr>
        <w:t>intellectu deficiente et resolvente semiplene</w:t>
      </w:r>
      <w:r>
        <w:rPr>
          <w:noProof/>
          <w:lang w:val="cs-CZ"/>
        </w:rPr>
        <w:t xml:space="preserve">). </w:t>
      </w:r>
      <w:r w:rsidR="00F135E0">
        <w:rPr>
          <w:noProof/>
          <w:lang w:val="cs-CZ"/>
        </w:rPr>
        <w:t xml:space="preserve">Nedokonalé </w:t>
      </w:r>
      <w:r>
        <w:rPr>
          <w:noProof/>
          <w:lang w:val="cs-CZ"/>
        </w:rPr>
        <w:t xml:space="preserve">nazírání </w:t>
      </w:r>
      <w:r w:rsidR="00BF7A4C">
        <w:rPr>
          <w:noProof/>
          <w:lang w:val="cs-CZ"/>
        </w:rPr>
        <w:t xml:space="preserve">slabého </w:t>
      </w:r>
      <w:r w:rsidR="00991E8D">
        <w:rPr>
          <w:noProof/>
          <w:lang w:val="cs-CZ"/>
        </w:rPr>
        <w:t>intelektu chápe jsoucno v jeho obecnosti</w:t>
      </w:r>
      <w:r>
        <w:rPr>
          <w:noProof/>
          <w:lang w:val="cs-CZ"/>
        </w:rPr>
        <w:t xml:space="preserve"> (</w:t>
      </w:r>
      <w:r w:rsidRPr="084F0A9A">
        <w:rPr>
          <w:i/>
          <w:noProof/>
          <w:lang w:val="cs-CZ"/>
        </w:rPr>
        <w:t>aliquid</w:t>
      </w:r>
      <w:r>
        <w:rPr>
          <w:noProof/>
          <w:lang w:val="cs-CZ"/>
        </w:rPr>
        <w:t>), ale nikoliv v jeho primární podobě jsoucnosti (</w:t>
      </w:r>
      <w:r w:rsidRPr="00EF70A2">
        <w:rPr>
          <w:i/>
          <w:noProof/>
        </w:rPr>
        <w:t>non intellecto primo ente</w:t>
      </w:r>
      <w:r>
        <w:rPr>
          <w:noProof/>
          <w:lang w:val="cs-CZ"/>
        </w:rPr>
        <w:t xml:space="preserve">). Plně nazírající intelekt chápe každé jsoucno </w:t>
      </w:r>
      <w:r w:rsidR="00E12661">
        <w:rPr>
          <w:noProof/>
          <w:lang w:val="cs-CZ"/>
        </w:rPr>
        <w:t xml:space="preserve">nejprve od </w:t>
      </w:r>
      <w:r>
        <w:rPr>
          <w:noProof/>
          <w:lang w:val="cs-CZ"/>
        </w:rPr>
        <w:t>první</w:t>
      </w:r>
      <w:r w:rsidR="00E12661">
        <w:rPr>
          <w:noProof/>
          <w:lang w:val="cs-CZ"/>
        </w:rPr>
        <w:t>ho</w:t>
      </w:r>
      <w:r>
        <w:rPr>
          <w:noProof/>
          <w:lang w:val="cs-CZ"/>
        </w:rPr>
        <w:t xml:space="preserve"> určení jsoucna.“ </w:t>
      </w:r>
      <w:r>
        <w:rPr>
          <w:rStyle w:val="Znakapoznpodarou"/>
        </w:rPr>
        <w:footnoteReference w:id="6"/>
      </w:r>
    </w:p>
    <w:p w:rsidR="006310FE" w:rsidRDefault="08163013" w:rsidP="08163013">
      <w:r>
        <w:t>Metafyzick</w:t>
      </w:r>
      <w:r w:rsidR="009017A2">
        <w:t xml:space="preserve">á stavba </w:t>
      </w:r>
      <w:r>
        <w:t>jsoucn</w:t>
      </w:r>
      <w:r w:rsidR="009017A2">
        <w:t xml:space="preserve">a je rozdělena do </w:t>
      </w:r>
      <w:r>
        <w:t>dvou základních kategorií</w:t>
      </w:r>
      <w:r w:rsidRPr="00273106">
        <w:t xml:space="preserve"> intelektu</w:t>
      </w:r>
      <w:r w:rsidR="009017A2">
        <w:t>. První sorta intelektu poznává svět skrze abstrakci reálných věcí</w:t>
      </w:r>
      <w:r>
        <w:t xml:space="preserve"> </w:t>
      </w:r>
      <w:r w:rsidRPr="00273106">
        <w:t>(</w:t>
      </w:r>
      <w:r w:rsidRPr="00273106">
        <w:rPr>
          <w:i/>
        </w:rPr>
        <w:t>ad intellectum apprehendentem</w:t>
      </w:r>
      <w:r>
        <w:t>)</w:t>
      </w:r>
      <w:r w:rsidR="009017A2">
        <w:t xml:space="preserve">. Druhá sorta už má poznání jako </w:t>
      </w:r>
      <w:r w:rsidR="00E05783">
        <w:t>přímý náhled</w:t>
      </w:r>
      <w:r w:rsidR="009017A2">
        <w:t xml:space="preserve"> do podstaty věcí</w:t>
      </w:r>
      <w:r>
        <w:t xml:space="preserve"> (</w:t>
      </w:r>
      <w:r w:rsidRPr="00273106">
        <w:rPr>
          <w:i/>
        </w:rPr>
        <w:t>ad intellectum resolventem</w:t>
      </w:r>
      <w:r w:rsidRPr="00273106">
        <w:t xml:space="preserve">). </w:t>
      </w:r>
      <w:r>
        <w:t xml:space="preserve">Citát </w:t>
      </w:r>
      <w:r w:rsidRPr="00273106">
        <w:t>nejprve popisuje nižší formu pasivního intelektu (</w:t>
      </w:r>
      <w:r w:rsidRPr="00273106">
        <w:rPr>
          <w:i/>
        </w:rPr>
        <w:t>intellectus apprehendens</w:t>
      </w:r>
      <w:r>
        <w:t xml:space="preserve">), která provádí první formu poznání. První forma vědy je daná v modu Grossetesteho a Rufusovy empirické </w:t>
      </w:r>
      <w:r w:rsidRPr="007126D6">
        <w:rPr>
          <w:i/>
        </w:rPr>
        <w:t>scientia</w:t>
      </w:r>
      <w:r>
        <w:t xml:space="preserve"> skrze impozici významu od smyslově poznaných prvních substancí (</w:t>
      </w:r>
      <w:r w:rsidRPr="00273106">
        <w:rPr>
          <w:i/>
        </w:rPr>
        <w:t>resolutio naturalis</w:t>
      </w:r>
      <w:r w:rsidRPr="00273106">
        <w:t>). První abstrakce je vázaná na poznání materiální substance a jejích účinků (</w:t>
      </w:r>
      <w:r w:rsidRPr="00273106">
        <w:rPr>
          <w:i/>
        </w:rPr>
        <w:t>non potest intelligi aliquid sine aliquo</w:t>
      </w:r>
      <w:r w:rsidRPr="00273106">
        <w:t>)</w:t>
      </w:r>
      <w:r>
        <w:t xml:space="preserve">. V </w:t>
      </w:r>
      <w:r w:rsidRPr="00273106">
        <w:t xml:space="preserve">této </w:t>
      </w:r>
      <w:r>
        <w:t xml:space="preserve">empirické danosti </w:t>
      </w:r>
      <w:r w:rsidR="00962190">
        <w:rPr>
          <w:i/>
        </w:rPr>
        <w:t>species</w:t>
      </w:r>
      <w:r w:rsidRPr="00273106">
        <w:rPr>
          <w:i/>
        </w:rPr>
        <w:t xml:space="preserve"> </w:t>
      </w:r>
      <w:r w:rsidRPr="00273106">
        <w:t>není esence věci nazírána přímo. Střední člen soudu univočně predikuje v rámci druhé substance externí kauzální účinek prvních substancí v reálu (</w:t>
      </w:r>
      <w:r w:rsidRPr="00273106">
        <w:rPr>
          <w:i/>
        </w:rPr>
        <w:t>intelligi effectus</w:t>
      </w:r>
      <w:r w:rsidRPr="00273106">
        <w:t>). První úroveň abstrakce (</w:t>
      </w:r>
      <w:r w:rsidRPr="00273106">
        <w:rPr>
          <w:i/>
        </w:rPr>
        <w:t>primo modo</w:t>
      </w:r>
      <w:r w:rsidRPr="00273106">
        <w:t xml:space="preserve">) na </w:t>
      </w:r>
      <w:r w:rsidRPr="00273106">
        <w:lastRenderedPageBreak/>
        <w:t xml:space="preserve">úrovni </w:t>
      </w:r>
      <w:r w:rsidRPr="00273106">
        <w:rPr>
          <w:i/>
        </w:rPr>
        <w:t xml:space="preserve">intellectus apprehendens </w:t>
      </w:r>
      <w:r w:rsidRPr="00273106">
        <w:t xml:space="preserve"> vytváří smysl jsoucího na způsob již vyložených </w:t>
      </w:r>
      <w:r w:rsidRPr="00215A5A">
        <w:rPr>
          <w:i/>
        </w:rPr>
        <w:t>Druhých analytik</w:t>
      </w:r>
      <w:r w:rsidRPr="00273106">
        <w:t xml:space="preserve"> podle prvního averroismu u Alberta (</w:t>
      </w:r>
      <w:r w:rsidR="089E74C7">
        <w:t>OBJ II, kap. 2</w:t>
      </w:r>
      <w:r w:rsidRPr="00273106">
        <w:t>.1.1)</w:t>
      </w:r>
      <w:r>
        <w:t xml:space="preserve"> nebo podle Grossetesteho verze </w:t>
      </w:r>
      <w:r w:rsidRPr="00E11D1B">
        <w:rPr>
          <w:i/>
        </w:rPr>
        <w:t>scientia</w:t>
      </w:r>
      <w:r>
        <w:t xml:space="preserve"> (</w:t>
      </w:r>
      <w:r w:rsidR="089E74C7">
        <w:t>OBJ II, kap. 3</w:t>
      </w:r>
      <w:r>
        <w:t xml:space="preserve">.1.1). </w:t>
      </w:r>
      <w:r w:rsidRPr="00273106">
        <w:t xml:space="preserve">Ale </w:t>
      </w:r>
      <w:r>
        <w:t xml:space="preserve">citované </w:t>
      </w:r>
      <w:r w:rsidRPr="00273106">
        <w:rPr>
          <w:i/>
        </w:rPr>
        <w:t>resolutio</w:t>
      </w:r>
      <w:r w:rsidRPr="00273106">
        <w:t xml:space="preserve">  </w:t>
      </w:r>
      <w:r w:rsidRPr="00273106">
        <w:rPr>
          <w:i/>
        </w:rPr>
        <w:t>naturalis</w:t>
      </w:r>
      <w:r>
        <w:rPr>
          <w:i/>
        </w:rPr>
        <w:fldChar w:fldCharType="begin"/>
      </w:r>
      <w:r>
        <w:instrText xml:space="preserve"> XE "</w:instrText>
      </w:r>
      <w:r w:rsidRPr="00E90D36">
        <w:rPr>
          <w:i/>
        </w:rPr>
        <w:instrText>resolutio</w:instrText>
      </w:r>
      <w:r w:rsidRPr="00E90D36">
        <w:instrText>:</w:instrText>
      </w:r>
      <w:r w:rsidRPr="00E90D36">
        <w:rPr>
          <w:i/>
        </w:rPr>
        <w:instrText>naturalis</w:instrText>
      </w:r>
      <w:r>
        <w:instrText xml:space="preserve">" </w:instrText>
      </w:r>
      <w:r>
        <w:rPr>
          <w:i/>
        </w:rPr>
        <w:fldChar w:fldCharType="end"/>
      </w:r>
      <w:r w:rsidRPr="00273106">
        <w:rPr>
          <w:i/>
        </w:rPr>
        <w:t xml:space="preserve"> </w:t>
      </w:r>
      <w:r w:rsidRPr="0020049B">
        <w:t>chápe</w:t>
      </w:r>
      <w:r>
        <w:rPr>
          <w:i/>
        </w:rPr>
        <w:t xml:space="preserve"> </w:t>
      </w:r>
      <w:r w:rsidRPr="00273106">
        <w:t xml:space="preserve">Aristotelovo </w:t>
      </w:r>
      <w:r w:rsidRPr="00273106">
        <w:rPr>
          <w:i/>
        </w:rPr>
        <w:t>demonstratio</w:t>
      </w:r>
      <w:r>
        <w:rPr>
          <w:i/>
        </w:rPr>
        <w:fldChar w:fldCharType="begin"/>
      </w:r>
      <w:r>
        <w:instrText xml:space="preserve"> XE "</w:instrText>
      </w:r>
      <w:r w:rsidRPr="004E6075">
        <w:rPr>
          <w:i/>
        </w:rPr>
        <w:instrText>demonstratio:</w:instrText>
      </w:r>
      <w:r w:rsidRPr="0030460A">
        <w:instrText>Bonaventura</w:instrText>
      </w:r>
      <w:r>
        <w:instrText xml:space="preserve">" </w:instrText>
      </w:r>
      <w:r>
        <w:rPr>
          <w:i/>
        </w:rPr>
        <w:fldChar w:fldCharType="end"/>
      </w:r>
      <w:r w:rsidRPr="00273106">
        <w:t xml:space="preserve"> </w:t>
      </w:r>
      <w:r>
        <w:t xml:space="preserve">pouze na nižším patře </w:t>
      </w:r>
      <w:r w:rsidRPr="00273106">
        <w:t xml:space="preserve">poznání </w:t>
      </w:r>
      <w:r>
        <w:t xml:space="preserve">v rámci sekundární kauzality </w:t>
      </w:r>
      <w:r w:rsidR="00C05099">
        <w:t xml:space="preserve">dané </w:t>
      </w:r>
      <w:r>
        <w:t xml:space="preserve">na úrovni prvních substancí. Pařížský propagátor Rufusovy verze </w:t>
      </w:r>
      <w:r w:rsidRPr="0013317F">
        <w:rPr>
          <w:i/>
        </w:rPr>
        <w:t>Oxfordian Fallacy</w:t>
      </w:r>
      <w:r>
        <w:t xml:space="preserve"> zruší ve druhé fázi abstrakce impozici významu od reálné věci. Empiricky založené poznání je nedokonalé a poznává abstrakci pouze od reálné a proto proměnlivé hylemorfické substance. Přirozenému náhledu na celek aktuálního kontigentního jsoucna chybí přímý náhled do </w:t>
      </w:r>
      <w:r w:rsidRPr="00273106">
        <w:t xml:space="preserve">primární příčiny poznané v její </w:t>
      </w:r>
      <w:r>
        <w:t xml:space="preserve">věčné </w:t>
      </w:r>
      <w:r w:rsidRPr="00273106">
        <w:t xml:space="preserve">esenci. První pojetí abstrakce odpovídá Aristotelovi, ale druhé </w:t>
      </w:r>
      <w:r>
        <w:t xml:space="preserve">patro vidění moderního ilumináta </w:t>
      </w:r>
      <w:r w:rsidRPr="00273106">
        <w:t xml:space="preserve">již představuje </w:t>
      </w:r>
      <w:r>
        <w:t xml:space="preserve">Avicennův a Grossetesteho </w:t>
      </w:r>
      <w:r w:rsidRPr="00273106">
        <w:t>přímý náhled na esence</w:t>
      </w:r>
      <w:r>
        <w:t xml:space="preserve"> (</w:t>
      </w:r>
      <w:r w:rsidRPr="006365F3">
        <w:rPr>
          <w:i/>
        </w:rPr>
        <w:t>intellectus resolvens</w:t>
      </w:r>
      <w:r>
        <w:rPr>
          <w:i/>
        </w:rPr>
        <w:fldChar w:fldCharType="begin"/>
      </w:r>
      <w:r>
        <w:instrText xml:space="preserve"> XE "</w:instrText>
      </w:r>
      <w:r w:rsidRPr="0011539A">
        <w:rPr>
          <w:i/>
        </w:rPr>
        <w:instrText>intellectus resolvens</w:instrText>
      </w:r>
      <w:r>
        <w:instrText xml:space="preserve">" </w:instrText>
      </w:r>
      <w:r>
        <w:rPr>
          <w:i/>
        </w:rPr>
        <w:fldChar w:fldCharType="end"/>
      </w:r>
      <w:r>
        <w:t>)</w:t>
      </w:r>
      <w:r w:rsidRPr="00273106">
        <w:t>.</w:t>
      </w:r>
    </w:p>
    <w:p w:rsidR="009F1FCC" w:rsidRDefault="006310FE" w:rsidP="00070708">
      <w:pPr>
        <w:ind w:firstLine="397"/>
      </w:pPr>
      <w:r>
        <w:t>Ilumináti</w:t>
      </w:r>
      <w:r w:rsidR="08163013">
        <w:t xml:space="preserve"> </w:t>
      </w:r>
      <w:r>
        <w:t>pozorují s</w:t>
      </w:r>
      <w:r w:rsidR="08163013">
        <w:t>vět skrze avicennistickou denudaci, tedy odděleně (</w:t>
      </w:r>
      <w:r w:rsidR="08163013" w:rsidRPr="08717B4A">
        <w:rPr>
          <w:i/>
        </w:rPr>
        <w:t>absolute</w:t>
      </w:r>
      <w:r w:rsidR="08163013">
        <w:t>) od aristotelské abstrakce</w:t>
      </w:r>
      <w:r w:rsidR="08163013">
        <w:fldChar w:fldCharType="begin"/>
      </w:r>
      <w:r w:rsidR="08163013">
        <w:instrText xml:space="preserve"> XE "abstrakce:Bonaventura" </w:instrText>
      </w:r>
      <w:r w:rsidR="08163013">
        <w:fldChar w:fldCharType="end"/>
      </w:r>
      <w:r w:rsidR="08163013">
        <w:t xml:space="preserve">. </w:t>
      </w:r>
      <w:r w:rsidR="08163013" w:rsidRPr="00273106">
        <w:t xml:space="preserve">Po smyslové abstrakci v rámci </w:t>
      </w:r>
      <w:r w:rsidR="08163013" w:rsidRPr="00273106">
        <w:rPr>
          <w:i/>
        </w:rPr>
        <w:t>resolutio</w:t>
      </w:r>
      <w:r w:rsidR="08163013" w:rsidRPr="00273106">
        <w:t xml:space="preserve">  </w:t>
      </w:r>
      <w:r w:rsidR="08163013" w:rsidRPr="00273106">
        <w:rPr>
          <w:i/>
        </w:rPr>
        <w:t>naturalis</w:t>
      </w:r>
      <w:r w:rsidR="08163013" w:rsidRPr="00273106">
        <w:t xml:space="preserve"> následuje přímé nazírání esence věcí</w:t>
      </w:r>
      <w:r w:rsidR="08163013">
        <w:t xml:space="preserve"> ve dvou stupních</w:t>
      </w:r>
      <w:r w:rsidR="08163013" w:rsidRPr="00273106">
        <w:t xml:space="preserve">. Bonaventura přebírá oxfordské pojetí </w:t>
      </w:r>
      <w:r w:rsidR="003644E1">
        <w:t xml:space="preserve">intelektu </w:t>
      </w:r>
      <w:r w:rsidR="08163013" w:rsidRPr="00273106">
        <w:t xml:space="preserve">jako přímého náhledu </w:t>
      </w:r>
      <w:r w:rsidR="08163013">
        <w:t xml:space="preserve">porretánských </w:t>
      </w:r>
      <w:r w:rsidR="08163013" w:rsidRPr="00273106">
        <w:t>esencí (</w:t>
      </w:r>
      <w:r w:rsidR="08163013" w:rsidRPr="00273106">
        <w:rPr>
          <w:i/>
        </w:rPr>
        <w:t>intellectus considerat ea quae sunt rei essentialia</w:t>
      </w:r>
      <w:r w:rsidR="08163013" w:rsidRPr="00273106">
        <w:t>)</w:t>
      </w:r>
      <w:r w:rsidR="08163013">
        <w:t xml:space="preserve">. Bonaventura vytváří </w:t>
      </w:r>
      <w:r w:rsidR="08163013" w:rsidRPr="00273106">
        <w:t>nový typ nazíravého intelektu (</w:t>
      </w:r>
      <w:r w:rsidR="08163013" w:rsidRPr="00273106">
        <w:rPr>
          <w:i/>
        </w:rPr>
        <w:t>intellectus</w:t>
      </w:r>
      <w:r w:rsidR="08163013" w:rsidRPr="00273106">
        <w:t xml:space="preserve"> </w:t>
      </w:r>
      <w:r w:rsidR="08163013" w:rsidRPr="00273106">
        <w:rPr>
          <w:i/>
        </w:rPr>
        <w:t>resolvens</w:t>
      </w:r>
      <w:r w:rsidR="08163013" w:rsidRPr="00273106">
        <w:t>)</w:t>
      </w:r>
      <w:r w:rsidR="08163013">
        <w:t>, v němž vzniklo</w:t>
      </w:r>
      <w:r w:rsidR="08163013" w:rsidRPr="00273106">
        <w:t xml:space="preserve"> </w:t>
      </w:r>
      <w:r w:rsidR="08163013">
        <w:t xml:space="preserve">nové </w:t>
      </w:r>
      <w:r w:rsidR="08163013" w:rsidRPr="00273106">
        <w:t xml:space="preserve">patro </w:t>
      </w:r>
      <w:r w:rsidR="08163013">
        <w:t xml:space="preserve">náhledu na celek jsoucího </w:t>
      </w:r>
      <w:r w:rsidR="08163013" w:rsidRPr="00273106">
        <w:t xml:space="preserve">ve dvou stupních </w:t>
      </w:r>
      <w:r w:rsidR="08163013">
        <w:t xml:space="preserve">metafyzické </w:t>
      </w:r>
      <w:r w:rsidR="08163013" w:rsidRPr="00273106">
        <w:t>abstrakce (</w:t>
      </w:r>
      <w:r w:rsidR="08163013" w:rsidRPr="00273106">
        <w:rPr>
          <w:i/>
        </w:rPr>
        <w:t>resolutio</w:t>
      </w:r>
      <w:r w:rsidR="08163013" w:rsidRPr="00273106">
        <w:t xml:space="preserve">  </w:t>
      </w:r>
      <w:r w:rsidR="08163013" w:rsidRPr="00273106">
        <w:rPr>
          <w:i/>
        </w:rPr>
        <w:t>semiplena</w:t>
      </w:r>
      <w:r w:rsidR="08163013" w:rsidRPr="00273106">
        <w:t xml:space="preserve">, </w:t>
      </w:r>
      <w:r w:rsidR="08163013" w:rsidRPr="00273106">
        <w:rPr>
          <w:i/>
        </w:rPr>
        <w:t>plena</w:t>
      </w:r>
      <w:r w:rsidR="08163013" w:rsidRPr="00273106">
        <w:t>). Citát chápe první nedokonalý stupeň tohoto intelektu ve shodě s Avicennou na metafyzickém stupni abstrakce (</w:t>
      </w:r>
      <w:r w:rsidR="08163013" w:rsidRPr="00273106">
        <w:rPr>
          <w:i/>
        </w:rPr>
        <w:t>intellectus resolvens semiplene</w:t>
      </w:r>
      <w:r w:rsidR="08163013" w:rsidRPr="00273106">
        <w:t xml:space="preserve">). Na </w:t>
      </w:r>
      <w:r w:rsidR="08163013">
        <w:t xml:space="preserve">této </w:t>
      </w:r>
      <w:r w:rsidR="08163013" w:rsidRPr="00273106">
        <w:t>úrovni začíná e</w:t>
      </w:r>
      <w:r w:rsidR="08163013">
        <w:t>tapa objektivního určení esence, kterou</w:t>
      </w:r>
      <w:r w:rsidR="08163013" w:rsidRPr="00273106">
        <w:t xml:space="preserve"> osvícená mystická mysl nazírá již bez </w:t>
      </w:r>
      <w:r w:rsidR="00A15082">
        <w:t xml:space="preserve">empirických </w:t>
      </w:r>
      <w:r w:rsidR="08163013" w:rsidRPr="00273106">
        <w:t xml:space="preserve">určení </w:t>
      </w:r>
      <w:r w:rsidR="00A15082">
        <w:t xml:space="preserve">první </w:t>
      </w:r>
      <w:r w:rsidR="08163013" w:rsidRPr="00273106">
        <w:t>substance (</w:t>
      </w:r>
      <w:r w:rsidR="08163013" w:rsidRPr="00273106">
        <w:rPr>
          <w:i/>
        </w:rPr>
        <w:t>subiectum sine propria passione</w:t>
      </w:r>
      <w:r w:rsidR="08163013" w:rsidRPr="00273106">
        <w:t xml:space="preserve">). </w:t>
      </w:r>
      <w:r w:rsidR="0017432F" w:rsidRPr="0017432F">
        <w:t>Hlavní rozdíl oproti prvnímu averroismu spočívá v tom, že toto osvícení jsoucna přichází zezadu, neboť logický a mystický předpoklad esencí může sám určit první stupeň es</w:t>
      </w:r>
      <w:r w:rsidR="0017432F">
        <w:t>enciálního vidění. Bonaventurovo</w:t>
      </w:r>
      <w:r w:rsidR="0017432F" w:rsidRPr="0017432F">
        <w:t xml:space="preserve"> </w:t>
      </w:r>
      <w:r w:rsidR="0017432F" w:rsidRPr="0017432F">
        <w:rPr>
          <w:i/>
        </w:rPr>
        <w:t>resolutio</w:t>
      </w:r>
      <w:r w:rsidR="0017432F" w:rsidRPr="0017432F">
        <w:t xml:space="preserve"> nepotřebuje aristotelskou abstrakci a implikaci, a proto je naprosto moderní.</w:t>
      </w:r>
      <w:r w:rsidR="0017432F">
        <w:t xml:space="preserve"> Bonaventura nenazírá aristotelskou druhou substanci, ale avicennovskou essenci. </w:t>
      </w:r>
      <w:r w:rsidR="004E04C7">
        <w:t xml:space="preserve">Bacon ze školy prvního averroismu přesně viděl, v čem je základní omyl školy </w:t>
      </w:r>
      <w:r w:rsidR="004E04C7" w:rsidRPr="004E04C7">
        <w:rPr>
          <w:i/>
        </w:rPr>
        <w:t>sophistate Latini</w:t>
      </w:r>
      <w:r w:rsidR="004E04C7">
        <w:t>, kterou založil Rufus v Oxfrodu a pak převzal Bonaventura v Paříži. Jejich n</w:t>
      </w:r>
      <w:r w:rsidR="08163013" w:rsidRPr="00273106">
        <w:t xml:space="preserve">áhled přímo vnímá základní určení </w:t>
      </w:r>
      <w:r w:rsidR="00D42FD2">
        <w:t xml:space="preserve">esence </w:t>
      </w:r>
      <w:r w:rsidR="004E04C7">
        <w:t>podle Avicenny</w:t>
      </w:r>
      <w:r w:rsidR="08163013" w:rsidRPr="00273106">
        <w:t>, a</w:t>
      </w:r>
      <w:r w:rsidR="08163013">
        <w:t>le</w:t>
      </w:r>
      <w:r w:rsidR="00854BDE">
        <w:t xml:space="preserve"> předstírá, že prov</w:t>
      </w:r>
      <w:r w:rsidR="004E04C7">
        <w:t xml:space="preserve">ádí </w:t>
      </w:r>
      <w:r w:rsidR="08163013" w:rsidRPr="00273106">
        <w:t xml:space="preserve">kategoriální určení </w:t>
      </w:r>
      <w:r w:rsidR="00854BDE">
        <w:t xml:space="preserve">druhé </w:t>
      </w:r>
      <w:r w:rsidR="08163013" w:rsidRPr="00273106">
        <w:t>substance</w:t>
      </w:r>
      <w:r w:rsidR="004E04C7">
        <w:t xml:space="preserve"> podle Aristotela</w:t>
      </w:r>
      <w:r w:rsidR="00FB2110">
        <w:t xml:space="preserve">. </w:t>
      </w:r>
      <w:r w:rsidR="00FB2110" w:rsidRPr="00FB2110">
        <w:t>V t</w:t>
      </w:r>
      <w:r w:rsidR="00FB2110">
        <w:t>ragikomedii rozumu inscenované M</w:t>
      </w:r>
      <w:r w:rsidR="00FB2110" w:rsidRPr="00FB2110">
        <w:t>úzami vidí objektivní dvouh</w:t>
      </w:r>
      <w:r w:rsidR="00FB2110">
        <w:t>laví myslitelé všech dob totéž „</w:t>
      </w:r>
      <w:r w:rsidR="00FB2110" w:rsidRPr="00FB2110">
        <w:rPr>
          <w:i/>
        </w:rPr>
        <w:t xml:space="preserve">aliquid </w:t>
      </w:r>
      <w:r w:rsidR="00FB2110" w:rsidRPr="00FB2110">
        <w:rPr>
          <w:i/>
        </w:rPr>
        <w:lastRenderedPageBreak/>
        <w:t>esse</w:t>
      </w:r>
      <w:r w:rsidR="00FB2110">
        <w:t>“</w:t>
      </w:r>
      <w:r w:rsidR="00FB2110" w:rsidRPr="00FB2110">
        <w:t xml:space="preserve"> jako mytologické </w:t>
      </w:r>
      <w:r w:rsidR="00FB2110" w:rsidRPr="00FB2110">
        <w:rPr>
          <w:i/>
        </w:rPr>
        <w:t>tertium ens</w:t>
      </w:r>
      <w:r w:rsidR="00FB2110" w:rsidRPr="00FB2110">
        <w:t xml:space="preserve"> </w:t>
      </w:r>
      <w:r w:rsidR="00FB2110">
        <w:rPr>
          <w:szCs w:val="24"/>
        </w:rPr>
        <w:t>(</w:t>
      </w:r>
      <w:r w:rsidR="00FB2110" w:rsidRPr="00FB2110">
        <w:rPr>
          <w:i/>
          <w:szCs w:val="24"/>
        </w:rPr>
        <w:t>Gehaltssinn</w:t>
      </w:r>
      <w:r w:rsidR="00FB2110" w:rsidRPr="00FB2110">
        <w:rPr>
          <w:i/>
          <w:szCs w:val="24"/>
        </w:rPr>
        <w:fldChar w:fldCharType="begin"/>
      </w:r>
      <w:r w:rsidR="00FB2110" w:rsidRPr="00FB2110">
        <w:rPr>
          <w:i/>
        </w:rPr>
        <w:instrText xml:space="preserve"> XE "</w:instrText>
      </w:r>
      <w:r w:rsidR="00FB2110" w:rsidRPr="00FB2110">
        <w:rPr>
          <w:i/>
          <w:szCs w:val="24"/>
        </w:rPr>
        <w:instrText>Gehaltssinn</w:instrText>
      </w:r>
      <w:r w:rsidR="00FB2110" w:rsidRPr="00FB2110">
        <w:rPr>
          <w:i/>
        </w:rPr>
        <w:instrText xml:space="preserve">" </w:instrText>
      </w:r>
      <w:r w:rsidR="00FB2110" w:rsidRPr="00FB2110">
        <w:rPr>
          <w:i/>
          <w:szCs w:val="24"/>
        </w:rPr>
        <w:fldChar w:fldCharType="end"/>
      </w:r>
      <w:r w:rsidR="00FB2110">
        <w:rPr>
          <w:szCs w:val="24"/>
        </w:rPr>
        <w:t>)</w:t>
      </w:r>
      <w:r w:rsidR="00FB2110" w:rsidRPr="00FB2110">
        <w:t xml:space="preserve">. Archaická hermeneutika musí sledovat </w:t>
      </w:r>
      <w:r w:rsidR="00FB2110">
        <w:t xml:space="preserve">cestu </w:t>
      </w:r>
      <w:r w:rsidR="00FB2110" w:rsidRPr="00FB2110">
        <w:rPr>
          <w:i/>
        </w:rPr>
        <w:t>alétheia</w:t>
      </w:r>
      <w:r w:rsidR="00FB2110">
        <w:t xml:space="preserve">; proto musí zachránit </w:t>
      </w:r>
      <w:r w:rsidR="00FB2110" w:rsidRPr="00FB2110">
        <w:t>dva</w:t>
      </w:r>
      <w:r w:rsidR="00FB2110">
        <w:t xml:space="preserve"> zásadně odlišné jevy v modu odlišné reference </w:t>
      </w:r>
      <w:r w:rsidR="00FB2110" w:rsidRPr="00FB2110">
        <w:t>smyslu</w:t>
      </w:r>
      <w:r w:rsidR="00FB2110">
        <w:t xml:space="preserve"> </w:t>
      </w:r>
      <w:r w:rsidR="00FB2110">
        <w:rPr>
          <w:lang w:eastAsia="en-US"/>
        </w:rPr>
        <w:t>(</w:t>
      </w:r>
      <w:r w:rsidR="00FB2110" w:rsidRPr="001E5303">
        <w:rPr>
          <w:i/>
          <w:szCs w:val="24"/>
        </w:rPr>
        <w:t>Bezugssinn</w:t>
      </w:r>
      <w:r w:rsidR="00FB2110" w:rsidRPr="001E5303">
        <w:rPr>
          <w:i/>
          <w:szCs w:val="24"/>
        </w:rPr>
        <w:fldChar w:fldCharType="begin"/>
      </w:r>
      <w:r w:rsidR="00FB2110" w:rsidRPr="001E5303">
        <w:rPr>
          <w:i/>
        </w:rPr>
        <w:instrText xml:space="preserve"> XE "</w:instrText>
      </w:r>
      <w:r w:rsidR="00FB2110" w:rsidRPr="001E5303">
        <w:rPr>
          <w:i/>
          <w:szCs w:val="24"/>
        </w:rPr>
        <w:instrText>Bezugssinn</w:instrText>
      </w:r>
      <w:r w:rsidR="00FB2110" w:rsidRPr="001E5303">
        <w:rPr>
          <w:i/>
        </w:rPr>
        <w:instrText xml:space="preserve">" </w:instrText>
      </w:r>
      <w:r w:rsidR="00FB2110" w:rsidRPr="001E5303">
        <w:rPr>
          <w:i/>
          <w:szCs w:val="24"/>
        </w:rPr>
        <w:fldChar w:fldCharType="end"/>
      </w:r>
      <w:r w:rsidR="00FB2110">
        <w:rPr>
          <w:szCs w:val="24"/>
        </w:rPr>
        <w:t xml:space="preserve"> </w:t>
      </w:r>
      <w:r w:rsidR="00FB2110">
        <w:rPr>
          <w:lang w:eastAsia="en-US"/>
        </w:rPr>
        <w:t>)</w:t>
      </w:r>
      <w:r w:rsidR="00FB2110" w:rsidRPr="00FB2110">
        <w:t xml:space="preserve">. </w:t>
      </w:r>
      <w:r w:rsidR="00FB2110">
        <w:t>Modernímu epochálnímu omylu (</w:t>
      </w:r>
      <w:r w:rsidR="00FB2110" w:rsidRPr="00FB2110">
        <w:rPr>
          <w:i/>
        </w:rPr>
        <w:t>Irrtum</w:t>
      </w:r>
      <w:r w:rsidR="00FB2110">
        <w:t xml:space="preserve">) </w:t>
      </w:r>
      <w:r w:rsidR="08163013">
        <w:t xml:space="preserve">odpovídá </w:t>
      </w:r>
      <w:r w:rsidR="00FB2110">
        <w:t xml:space="preserve">náhled </w:t>
      </w:r>
      <w:r w:rsidR="08163013">
        <w:t xml:space="preserve">jednoduchých objektivních forem přímo nazíraných i v reálných věcech ve smyslu Avicennovy </w:t>
      </w:r>
      <w:r w:rsidR="08163013" w:rsidRPr="009F663C">
        <w:rPr>
          <w:i/>
        </w:rPr>
        <w:t>equinitas tantum</w:t>
      </w:r>
      <w:r w:rsidR="08163013">
        <w:rPr>
          <w:i/>
        </w:rPr>
        <w:fldChar w:fldCharType="begin"/>
      </w:r>
      <w:r w:rsidR="08163013">
        <w:instrText xml:space="preserve"> XE "</w:instrText>
      </w:r>
      <w:r w:rsidR="08163013" w:rsidRPr="009F663C">
        <w:rPr>
          <w:i/>
        </w:rPr>
        <w:instrText>equinitas tantum</w:instrText>
      </w:r>
      <w:r w:rsidR="08163013">
        <w:instrText xml:space="preserve">" </w:instrText>
      </w:r>
      <w:r w:rsidR="08163013">
        <w:rPr>
          <w:i/>
        </w:rPr>
        <w:fldChar w:fldCharType="end"/>
      </w:r>
      <w:r w:rsidR="08163013">
        <w:t>. N</w:t>
      </w:r>
      <w:r w:rsidR="08163013" w:rsidRPr="00273106">
        <w:t xml:space="preserve">a další úrovni </w:t>
      </w:r>
      <w:r w:rsidR="08163013" w:rsidRPr="00737AE9">
        <w:rPr>
          <w:i/>
        </w:rPr>
        <w:t>resolutio plena</w:t>
      </w:r>
      <w:r w:rsidR="08163013">
        <w:rPr>
          <w:i/>
        </w:rPr>
        <w:fldChar w:fldCharType="begin"/>
      </w:r>
      <w:r w:rsidR="08163013">
        <w:instrText xml:space="preserve"> XE "</w:instrText>
      </w:r>
      <w:r w:rsidR="08163013" w:rsidRPr="00F831BE">
        <w:rPr>
          <w:i/>
        </w:rPr>
        <w:instrText>resolutio:plena</w:instrText>
      </w:r>
      <w:r w:rsidR="08163013">
        <w:instrText xml:space="preserve">" </w:instrText>
      </w:r>
      <w:r w:rsidR="08163013">
        <w:rPr>
          <w:i/>
        </w:rPr>
        <w:fldChar w:fldCharType="end"/>
      </w:r>
      <w:r w:rsidR="08163013">
        <w:t xml:space="preserve"> </w:t>
      </w:r>
      <w:r w:rsidR="08163013" w:rsidRPr="00273106">
        <w:t xml:space="preserve">již mysticky osvícený intelekt na způsob Avicennova </w:t>
      </w:r>
      <w:r w:rsidR="08163013" w:rsidRPr="00273106">
        <w:rPr>
          <w:i/>
        </w:rPr>
        <w:t>intellectus sanctus</w:t>
      </w:r>
      <w:r w:rsidR="08163013">
        <w:rPr>
          <w:i/>
        </w:rPr>
        <w:fldChar w:fldCharType="begin"/>
      </w:r>
      <w:r w:rsidR="08163013">
        <w:instrText xml:space="preserve"> XE "</w:instrText>
      </w:r>
      <w:r w:rsidR="08163013" w:rsidRPr="00473DEE">
        <w:rPr>
          <w:i/>
        </w:rPr>
        <w:instrText>intellectus sanctus</w:instrText>
      </w:r>
      <w:r w:rsidR="08163013">
        <w:instrText xml:space="preserve">" </w:instrText>
      </w:r>
      <w:r w:rsidR="08163013">
        <w:rPr>
          <w:i/>
        </w:rPr>
        <w:fldChar w:fldCharType="end"/>
      </w:r>
      <w:r w:rsidR="08163013" w:rsidRPr="00273106">
        <w:t xml:space="preserve"> nazírá ony kosmologické síly zmíněné Dionýsiem Areopagitou </w:t>
      </w:r>
      <w:r w:rsidR="00B9760D">
        <w:t xml:space="preserve">jako poslední úroveň </w:t>
      </w:r>
      <w:r w:rsidR="00B9760D" w:rsidRPr="00B9760D">
        <w:rPr>
          <w:i/>
        </w:rPr>
        <w:t>resolutio</w:t>
      </w:r>
      <w:r w:rsidR="00B9760D">
        <w:t xml:space="preserve">, které vede k </w:t>
      </w:r>
      <w:r w:rsidR="08163013" w:rsidRPr="00273106">
        <w:t xml:space="preserve">Jednomu. </w:t>
      </w:r>
      <w:r w:rsidR="00070708" w:rsidRPr="00070708">
        <w:t>Tato úroveň mystického chápání pracuje s metafyzickým poznáním, které operuje s</w:t>
      </w:r>
      <w:r w:rsidR="00070708">
        <w:t xml:space="preserve"> určením </w:t>
      </w:r>
      <w:r w:rsidR="00070708" w:rsidRPr="00070708">
        <w:t>bytí v Avi</w:t>
      </w:r>
      <w:r w:rsidR="00070708">
        <w:t>cennově modu</w:t>
      </w:r>
      <w:r w:rsidR="08163013">
        <w:t xml:space="preserve"> </w:t>
      </w:r>
      <w:r w:rsidR="08163013" w:rsidRPr="00273106">
        <w:rPr>
          <w:i/>
        </w:rPr>
        <w:t>ens inquantum ens</w:t>
      </w:r>
      <w:r w:rsidR="08163013">
        <w:rPr>
          <w:i/>
        </w:rPr>
        <w:fldChar w:fldCharType="begin"/>
      </w:r>
      <w:r w:rsidR="08163013">
        <w:instrText xml:space="preserve"> XE "</w:instrText>
      </w:r>
      <w:r w:rsidR="08163013" w:rsidRPr="005424E2">
        <w:rPr>
          <w:i/>
        </w:rPr>
        <w:instrText>ens inquantum ens</w:instrText>
      </w:r>
      <w:r w:rsidR="08163013">
        <w:instrText xml:space="preserve">" </w:instrText>
      </w:r>
      <w:r w:rsidR="08163013">
        <w:rPr>
          <w:i/>
        </w:rPr>
        <w:fldChar w:fldCharType="end"/>
      </w:r>
      <w:r w:rsidR="08163013">
        <w:t xml:space="preserve">. </w:t>
      </w:r>
      <w:r w:rsidR="00F97866" w:rsidRPr="00F97866">
        <w:t xml:space="preserve">Jde o kontemplaci prvních principů </w:t>
      </w:r>
      <w:r w:rsidR="00F97866">
        <w:t xml:space="preserve">bytí </w:t>
      </w:r>
      <w:r w:rsidR="00F97866" w:rsidRPr="00F97866">
        <w:t>(</w:t>
      </w:r>
      <w:r w:rsidR="00F97866" w:rsidRPr="00F97866">
        <w:rPr>
          <w:i/>
        </w:rPr>
        <w:t>intellecto primo ente</w:t>
      </w:r>
      <w:r w:rsidR="00F97866" w:rsidRPr="00F97866">
        <w:t xml:space="preserve">). </w:t>
      </w:r>
      <w:r w:rsidR="00F97866">
        <w:t>Nyní se ke slovu dostává škola K</w:t>
      </w:r>
      <w:r w:rsidR="00F97866" w:rsidRPr="00F97866">
        <w:t xml:space="preserve">ancléře </w:t>
      </w:r>
      <w:r w:rsidR="00F97866">
        <w:t>Filipa</w:t>
      </w:r>
      <w:r w:rsidR="00F97866" w:rsidRPr="00F97866">
        <w:t xml:space="preserve">. Tento </w:t>
      </w:r>
      <w:r w:rsidR="00F97866">
        <w:t xml:space="preserve">náhled </w:t>
      </w:r>
      <w:r w:rsidR="00F97866" w:rsidRPr="00F97866">
        <w:t xml:space="preserve">odděluje nejvyšší rody bytí od předcházejícího stupně pouze napůl osvíceného </w:t>
      </w:r>
      <w:r w:rsidR="00F97866">
        <w:t>intelektu</w:t>
      </w:r>
      <w:r w:rsidR="00F97866" w:rsidRPr="00F97866">
        <w:t>.</w:t>
      </w:r>
      <w:r w:rsidR="00F97866">
        <w:t xml:space="preserve"> </w:t>
      </w:r>
      <w:r w:rsidR="004D5E05">
        <w:t>S</w:t>
      </w:r>
      <w:r w:rsidR="00F97866">
        <w:t xml:space="preserve">labý intelekt </w:t>
      </w:r>
      <w:r w:rsidR="08163013" w:rsidRPr="00273106">
        <w:t xml:space="preserve">jde k </w:t>
      </w:r>
      <w:r w:rsidR="08163013">
        <w:t xml:space="preserve">poznání čistých forem </w:t>
      </w:r>
      <w:r w:rsidR="08163013" w:rsidRPr="00273106">
        <w:t xml:space="preserve">skrze </w:t>
      </w:r>
      <w:r w:rsidR="00F41FCA">
        <w:t xml:space="preserve">abstrakci </w:t>
      </w:r>
      <w:r w:rsidR="08163013">
        <w:t>esencí z reálných věcí</w:t>
      </w:r>
      <w:r w:rsidR="08163013" w:rsidRPr="00273106">
        <w:t xml:space="preserve">. </w:t>
      </w:r>
      <w:r w:rsidR="08163013">
        <w:t xml:space="preserve">Nejvyšší </w:t>
      </w:r>
      <w:r w:rsidR="08163013" w:rsidRPr="00273106">
        <w:t xml:space="preserve">stupeň nazíravého </w:t>
      </w:r>
      <w:r w:rsidR="08163013">
        <w:t>intelektu již kontempluje vlastnosti jsoucna na úrovni plné jednoty</w:t>
      </w:r>
      <w:r w:rsidR="08163013" w:rsidRPr="00273106">
        <w:t>, která vylučuje nižší formy abstrakce a sekundárních kauzálních účinků (</w:t>
      </w:r>
      <w:r w:rsidR="08163013" w:rsidRPr="00273106">
        <w:rPr>
          <w:i/>
        </w:rPr>
        <w:t>intellectus resolvens plene et perfecte</w:t>
      </w:r>
      <w:r w:rsidR="08163013" w:rsidRPr="00273106">
        <w:t xml:space="preserve">). </w:t>
      </w:r>
      <w:r w:rsidR="08163013">
        <w:t xml:space="preserve">Mystik se dívá bohu přes rameno směrem do stvoření v modu nejvyššího stupně </w:t>
      </w:r>
      <w:r w:rsidR="08163013" w:rsidRPr="00EA3D2A">
        <w:rPr>
          <w:i/>
        </w:rPr>
        <w:t>resolutio</w:t>
      </w:r>
      <w:r w:rsidR="08163013">
        <w:t xml:space="preserve">. </w:t>
      </w:r>
      <w:r w:rsidR="009F1FCC" w:rsidRPr="009F1FCC">
        <w:t xml:space="preserve">Usazen v tomto výsadním postavení, může </w:t>
      </w:r>
      <w:r w:rsidR="009F1FCC">
        <w:t xml:space="preserve">modernista </w:t>
      </w:r>
      <w:r w:rsidR="009F1FCC" w:rsidRPr="009F1FCC">
        <w:t xml:space="preserve">provádět </w:t>
      </w:r>
      <w:r w:rsidR="009F1FCC">
        <w:t xml:space="preserve">mystickou </w:t>
      </w:r>
      <w:r w:rsidR="009F1FCC" w:rsidRPr="009F1FCC">
        <w:t xml:space="preserve">dedukci tím, že vyvede </w:t>
      </w:r>
      <w:r w:rsidR="009F1FCC">
        <w:t xml:space="preserve">objektivní </w:t>
      </w:r>
      <w:r w:rsidR="009F1FCC" w:rsidRPr="009F1FCC">
        <w:t>entity z původní jednoty v</w:t>
      </w:r>
      <w:r w:rsidR="009F1FCC">
        <w:t> b</w:t>
      </w:r>
      <w:r w:rsidR="009F1FCC" w:rsidRPr="009F1FCC">
        <w:t>ohu</w:t>
      </w:r>
      <w:r w:rsidR="009F1FCC">
        <w:t xml:space="preserve"> jako dárce objektivně intendovaných forem</w:t>
      </w:r>
      <w:r w:rsidR="009F1FCC" w:rsidRPr="009F1FCC">
        <w:t xml:space="preserve">. </w:t>
      </w:r>
      <w:r w:rsidR="005C160E" w:rsidRPr="005C160E">
        <w:t>Duns Scotus představil plnou podobu této objektivní dedukce, neboť v jeho době byl modernistický císař již p</w:t>
      </w:r>
      <w:r w:rsidR="005C160E">
        <w:t>olonahý ve svých nových šatech</w:t>
      </w:r>
      <w:r w:rsidR="009F1FCC" w:rsidRPr="009F1FCC">
        <w:t xml:space="preserve">. </w:t>
      </w:r>
    </w:p>
    <w:p w:rsidR="00C9649E" w:rsidRDefault="08163013" w:rsidP="006B69E9">
      <w:pPr>
        <w:ind w:firstLine="397"/>
      </w:pPr>
      <w:r w:rsidRPr="00273106">
        <w:t>Bonaventurova interpretace Aristotela ukazuje nasvícení jsoucna zezadu, skrze mystický náhled činného intelektu (</w:t>
      </w:r>
      <w:r w:rsidRPr="00273106">
        <w:rPr>
          <w:i/>
        </w:rPr>
        <w:t>secundum supremam aciem intellectus agentis</w:t>
      </w:r>
      <w:r w:rsidRPr="00273106">
        <w:t>).</w:t>
      </w:r>
      <w:r w:rsidRPr="00273106">
        <w:rPr>
          <w:rStyle w:val="Znakapoznpodarou"/>
        </w:rPr>
        <w:footnoteReference w:id="7"/>
      </w:r>
      <w:r w:rsidRPr="00273106">
        <w:t xml:space="preserve"> Kontingentní poznání </w:t>
      </w:r>
      <w:r w:rsidR="008E1822">
        <w:t xml:space="preserve">kauzality </w:t>
      </w:r>
      <w:r w:rsidRPr="00273106">
        <w:t>na úrovni první</w:t>
      </w:r>
      <w:r w:rsidR="008E1822">
        <w:t>ch substancí</w:t>
      </w:r>
      <w:r w:rsidRPr="00273106">
        <w:t xml:space="preserve"> nemá dos</w:t>
      </w:r>
      <w:r>
        <w:t xml:space="preserve">tatečnou míru univerzality, aby </w:t>
      </w:r>
      <w:r w:rsidRPr="00273106">
        <w:t xml:space="preserve">vidělo </w:t>
      </w:r>
      <w:r w:rsidR="008E1822">
        <w:t xml:space="preserve">kausalitu </w:t>
      </w:r>
      <w:r>
        <w:t xml:space="preserve">v její hypostázované podobě božího exemplaru </w:t>
      </w:r>
      <w:r w:rsidRPr="00273106">
        <w:t>(</w:t>
      </w:r>
      <w:r w:rsidRPr="00273106">
        <w:rPr>
          <w:i/>
        </w:rPr>
        <w:t>non intellecta causa</w:t>
      </w:r>
      <w:r w:rsidRPr="00273106">
        <w:t xml:space="preserve">). </w:t>
      </w:r>
      <w:r>
        <w:t>Díky iluminaci se modernista stává skutečným metafyzikem a mystikem, protože poznává všechna jsoucna skrze jednotu danou na úrovni věčných principů a prvních forem bytí. Jde o typické paradigma Toledské školy</w:t>
      </w:r>
      <w:r w:rsidR="08F64041">
        <w:fldChar w:fldCharType="begin"/>
      </w:r>
      <w:r w:rsidR="08F64041">
        <w:instrText xml:space="preserve"> XE "</w:instrText>
      </w:r>
      <w:r w:rsidR="08F64041" w:rsidRPr="08AE5C7A">
        <w:instrText>Toledská škola</w:instrText>
      </w:r>
      <w:r w:rsidR="08F64041">
        <w:instrText xml:space="preserve">" </w:instrText>
      </w:r>
      <w:r w:rsidR="08F64041">
        <w:fldChar w:fldCharType="end"/>
      </w:r>
      <w:r>
        <w:t xml:space="preserve"> provádějící synkretismus neoplatonského </w:t>
      </w:r>
      <w:r>
        <w:lastRenderedPageBreak/>
        <w:t xml:space="preserve">aristotelismu podle Avicenny. Uzávorkování principu </w:t>
      </w:r>
      <w:r w:rsidR="00C75437">
        <w:t>„</w:t>
      </w:r>
      <w:r w:rsidR="081B1474" w:rsidRPr="081B1474">
        <w:rPr>
          <w:i/>
        </w:rPr>
        <w:t>ex inmediatis</w:t>
      </w:r>
      <w:r w:rsidR="00C75437">
        <w:t>“</w:t>
      </w:r>
      <w:r w:rsidR="08274F38">
        <w:fldChar w:fldCharType="begin"/>
      </w:r>
      <w:r w:rsidR="08274F38">
        <w:instrText xml:space="preserve"> XE "</w:instrText>
      </w:r>
      <w:r w:rsidR="08274F38" w:rsidRPr="00102BFE">
        <w:instrText xml:space="preserve">princip </w:instrText>
      </w:r>
      <w:r w:rsidR="08274F38">
        <w:rPr>
          <w:i/>
        </w:rPr>
        <w:instrText>ex in</w:instrText>
      </w:r>
      <w:r w:rsidR="08274F38" w:rsidRPr="00134584">
        <w:rPr>
          <w:i/>
        </w:rPr>
        <w:instrText>mediatis</w:instrText>
      </w:r>
      <w:r w:rsidR="08274F38">
        <w:instrText xml:space="preserve">" </w:instrText>
      </w:r>
      <w:r w:rsidR="08274F38">
        <w:fldChar w:fldCharType="end"/>
      </w:r>
      <w:r w:rsidR="081B1474">
        <w:t xml:space="preserve"> </w:t>
      </w:r>
      <w:r w:rsidRPr="00273106">
        <w:t xml:space="preserve">tvoří základ </w:t>
      </w:r>
      <w:r w:rsidRPr="00273106">
        <w:rPr>
          <w:i/>
        </w:rPr>
        <w:t>Oxfordian Fallacy</w:t>
      </w:r>
      <w:r w:rsidRPr="00273106">
        <w:t xml:space="preserve">, kterou analyzovala třetí matrice </w:t>
      </w:r>
      <w:r>
        <w:t>u Grossetesteho, Rufuse a Kilwardbyho</w:t>
      </w:r>
      <w:r w:rsidRPr="00273106">
        <w:t xml:space="preserve">. Bonaventura </w:t>
      </w:r>
      <w:r>
        <w:t xml:space="preserve">přebírá jejich </w:t>
      </w:r>
      <w:r w:rsidRPr="00273106">
        <w:t xml:space="preserve">výklad </w:t>
      </w:r>
      <w:r w:rsidR="0088286D">
        <w:t>středního členu deduktivního syllogismu. Moderní vědecký důkaz je založený na přímém</w:t>
      </w:r>
      <w:r w:rsidRPr="00273106">
        <w:t xml:space="preserve"> náhled</w:t>
      </w:r>
      <w:r w:rsidR="0088286D">
        <w:t>u</w:t>
      </w:r>
      <w:r w:rsidRPr="00273106">
        <w:t xml:space="preserve"> e</w:t>
      </w:r>
      <w:r w:rsidR="0088286D">
        <w:t>sencí</w:t>
      </w:r>
      <w:r>
        <w:t xml:space="preserve"> v kauzálním modu</w:t>
      </w:r>
      <w:r w:rsidRPr="00273106">
        <w:t xml:space="preserve">. </w:t>
      </w:r>
      <w:r>
        <w:t xml:space="preserve">Rufusův analytický výklad </w:t>
      </w:r>
      <w:r w:rsidRPr="00BA7C8B">
        <w:rPr>
          <w:i/>
        </w:rPr>
        <w:t>Druhých analytik</w:t>
      </w:r>
      <w:r>
        <w:t xml:space="preserve"> </w:t>
      </w:r>
      <w:r w:rsidRPr="00273106">
        <w:t>chápe kauzalitu univočně v náhled</w:t>
      </w:r>
      <w:r>
        <w:t xml:space="preserve">u univerzální esence, která je zásadně </w:t>
      </w:r>
      <w:r w:rsidRPr="00273106">
        <w:t xml:space="preserve">oddělena od </w:t>
      </w:r>
      <w:r>
        <w:t xml:space="preserve">nižšího poznání </w:t>
      </w:r>
      <w:r w:rsidRPr="00273106">
        <w:t>první</w:t>
      </w:r>
      <w:r w:rsidR="002F11CC">
        <w:t>ch</w:t>
      </w:r>
      <w:r w:rsidRPr="00273106">
        <w:t xml:space="preserve"> substanc</w:t>
      </w:r>
      <w:r w:rsidR="002F11CC">
        <w:t>í</w:t>
      </w:r>
      <w:r>
        <w:t xml:space="preserve"> (</w:t>
      </w:r>
      <w:r w:rsidR="08CF44EA">
        <w:t>OBJ II, kap. 3</w:t>
      </w:r>
      <w:r>
        <w:t>.3.1)</w:t>
      </w:r>
      <w:r w:rsidR="002F4973">
        <w:t>. Bonaventur</w:t>
      </w:r>
      <w:r w:rsidRPr="00273106">
        <w:t xml:space="preserve">a </w:t>
      </w:r>
      <w:r w:rsidR="002F4973">
        <w:t xml:space="preserve">má </w:t>
      </w:r>
      <w:r w:rsidRPr="00273106">
        <w:t>na prvním stupni poznání pouze kontingentní podobnost (</w:t>
      </w:r>
      <w:r w:rsidRPr="00273106">
        <w:rPr>
          <w:i/>
        </w:rPr>
        <w:t>similitudo</w:t>
      </w:r>
      <w:r w:rsidRPr="00273106">
        <w:t xml:space="preserve">) s věčnými božími exemplary, </w:t>
      </w:r>
      <w:r>
        <w:t xml:space="preserve">což ukazuje termín </w:t>
      </w:r>
      <w:r w:rsidR="002F4973">
        <w:t>„</w:t>
      </w:r>
      <w:r w:rsidRPr="00273106">
        <w:rPr>
          <w:i/>
          <w:szCs w:val="7"/>
        </w:rPr>
        <w:t>directio naturalis</w:t>
      </w:r>
      <w:r w:rsidR="002F4973">
        <w:rPr>
          <w:szCs w:val="7"/>
        </w:rPr>
        <w:t>“</w:t>
      </w:r>
      <w:r w:rsidRPr="00273106">
        <w:t xml:space="preserve">. </w:t>
      </w:r>
      <w:r>
        <w:t xml:space="preserve">Moderna má vzhledem k realitě hylemorfické první substance pouhé </w:t>
      </w:r>
      <w:r w:rsidRPr="001665B0">
        <w:rPr>
          <w:i/>
        </w:rPr>
        <w:t>directio</w:t>
      </w:r>
      <w:r>
        <w:t xml:space="preserve"> mysli</w:t>
      </w:r>
      <w:r w:rsidR="007E4051">
        <w:t>. První averroismus Blundovy</w:t>
      </w:r>
      <w:r>
        <w:t xml:space="preserve"> školy </w:t>
      </w:r>
      <w:r w:rsidR="007E4051">
        <w:t xml:space="preserve">založil </w:t>
      </w:r>
      <w:r>
        <w:t xml:space="preserve">poznání </w:t>
      </w:r>
      <w:r w:rsidR="007E4051">
        <w:t>na kauzální determinaci, která jako jediná zajišťuje</w:t>
      </w:r>
      <w:r>
        <w:t xml:space="preserve"> plnou adekvaci reality a intelektu</w:t>
      </w:r>
      <w:r w:rsidR="007E4051">
        <w:t>. Poznání se aktualizuje s</w:t>
      </w:r>
      <w:r>
        <w:t xml:space="preserve">krze </w:t>
      </w:r>
      <w:r w:rsidR="00962190">
        <w:rPr>
          <w:i/>
        </w:rPr>
        <w:t>species</w:t>
      </w:r>
      <w:r>
        <w:t xml:space="preserve"> </w:t>
      </w:r>
      <w:r w:rsidR="007E4051" w:rsidRPr="007E4051">
        <w:rPr>
          <w:i/>
        </w:rPr>
        <w:t>sensibilis</w:t>
      </w:r>
      <w:r w:rsidR="007E4051">
        <w:t>. Tomu odpovídá dvojí intencionalita</w:t>
      </w:r>
      <w:r>
        <w:t xml:space="preserve"> poznání daného nejprve ve smyslech a pak v intelektu (</w:t>
      </w:r>
      <w:r w:rsidR="08CF44EA">
        <w:t xml:space="preserve">OBJ II, </w:t>
      </w:r>
      <w:r>
        <w:t>kap.</w:t>
      </w:r>
      <w:r w:rsidR="08CF44EA">
        <w:t xml:space="preserve"> 2</w:t>
      </w:r>
      <w:r>
        <w:t xml:space="preserve">.1.2). </w:t>
      </w:r>
      <w:r w:rsidR="00572684">
        <w:t>O</w:t>
      </w:r>
      <w:r>
        <w:t>bě pojetí pravdy</w:t>
      </w:r>
      <w:r w:rsidR="00572684">
        <w:t xml:space="preserve"> se zásadně liší</w:t>
      </w:r>
      <w:r>
        <w:t xml:space="preserve">. </w:t>
      </w:r>
      <w:r w:rsidR="00572684">
        <w:t>P</w:t>
      </w:r>
      <w:r w:rsidR="00D744AD">
        <w:t>ravda</w:t>
      </w:r>
      <w:r>
        <w:t xml:space="preserve"> </w:t>
      </w:r>
      <w:r w:rsidR="00D744AD">
        <w:t xml:space="preserve">jako </w:t>
      </w:r>
      <w:r>
        <w:t>Rufusov</w:t>
      </w:r>
      <w:r w:rsidR="00D744AD">
        <w:t>o</w:t>
      </w:r>
      <w:r>
        <w:t xml:space="preserve"> </w:t>
      </w:r>
      <w:r w:rsidRPr="00020598">
        <w:rPr>
          <w:i/>
        </w:rPr>
        <w:t>coaequatio</w:t>
      </w:r>
      <w:r>
        <w:rPr>
          <w:i/>
        </w:rPr>
        <w:fldChar w:fldCharType="begin"/>
      </w:r>
      <w:r>
        <w:instrText xml:space="preserve"> XE "pravda:</w:instrText>
      </w:r>
      <w:r w:rsidRPr="00E11E1F">
        <w:rPr>
          <w:i/>
        </w:rPr>
        <w:instrText>coaequatio</w:instrText>
      </w:r>
      <w:r>
        <w:instrText xml:space="preserve">" </w:instrText>
      </w:r>
      <w:r>
        <w:rPr>
          <w:i/>
        </w:rPr>
        <w:fldChar w:fldCharType="end"/>
      </w:r>
      <w:r w:rsidRPr="00273106">
        <w:t xml:space="preserve"> nemůže </w:t>
      </w:r>
      <w:r w:rsidR="00274DEB">
        <w:t>začít na základní formě</w:t>
      </w:r>
      <w:r w:rsidRPr="00273106">
        <w:t xml:space="preserve"> abstrakce</w:t>
      </w:r>
      <w:r w:rsidR="00274DEB">
        <w:t xml:space="preserve">, tj. </w:t>
      </w:r>
      <w:r w:rsidRPr="00273106">
        <w:t xml:space="preserve">na první stupni </w:t>
      </w:r>
      <w:r w:rsidR="00274DEB">
        <w:t xml:space="preserve">Bonaventurova </w:t>
      </w:r>
      <w:r w:rsidRPr="00273106">
        <w:rPr>
          <w:i/>
        </w:rPr>
        <w:t>resolutio</w:t>
      </w:r>
      <w:r w:rsidRPr="00273106">
        <w:t xml:space="preserve">, protože </w:t>
      </w:r>
      <w:r w:rsidR="00511AB2">
        <w:t xml:space="preserve">tato úroveň </w:t>
      </w:r>
      <w:r w:rsidRPr="00273106">
        <w:t xml:space="preserve">je determinována smyslovým poznáním. </w:t>
      </w:r>
      <w:r>
        <w:t xml:space="preserve">Bonaventura výslovně </w:t>
      </w:r>
      <w:r w:rsidR="08007759">
        <w:t>definuje dvojí pojetí abstrakce</w:t>
      </w:r>
      <w:r>
        <w:rPr>
          <w:i/>
          <w:szCs w:val="14"/>
        </w:rPr>
        <w:fldChar w:fldCharType="begin"/>
      </w:r>
      <w:r>
        <w:instrText xml:space="preserve"> XE "abstrakce:</w:instrText>
      </w:r>
      <w:r w:rsidRPr="00134584">
        <w:instrText>Bonaventura</w:instrText>
      </w:r>
      <w:r>
        <w:instrText xml:space="preserve">" </w:instrText>
      </w:r>
      <w:r>
        <w:rPr>
          <w:i/>
          <w:szCs w:val="14"/>
        </w:rPr>
        <w:fldChar w:fldCharType="end"/>
      </w:r>
      <w:r w:rsidR="00AD65B3">
        <w:rPr>
          <w:szCs w:val="14"/>
        </w:rPr>
        <w:t xml:space="preserve">. První je </w:t>
      </w:r>
      <w:r w:rsidR="00AD65B3">
        <w:t>daná</w:t>
      </w:r>
      <w:r>
        <w:t xml:space="preserve"> aristotelskou abstrakcí (</w:t>
      </w:r>
      <w:r w:rsidRPr="006D3579">
        <w:rPr>
          <w:i/>
        </w:rPr>
        <w:t>a</w:t>
      </w:r>
      <w:r>
        <w:t xml:space="preserve"> </w:t>
      </w:r>
      <w:r w:rsidRPr="000B1FB1">
        <w:rPr>
          <w:i/>
        </w:rPr>
        <w:t>natura rei</w:t>
      </w:r>
      <w:r w:rsidRPr="00B60C13">
        <w:t>)</w:t>
      </w:r>
      <w:r w:rsidR="00AD65B3">
        <w:t xml:space="preserve">; druhá tvoří </w:t>
      </w:r>
      <w:r w:rsidRPr="006B6A25">
        <w:t xml:space="preserve">vyšší patro avicennovské denudace </w:t>
      </w:r>
      <w:r>
        <w:t>(</w:t>
      </w:r>
      <w:r w:rsidRPr="006D3579">
        <w:rPr>
          <w:i/>
        </w:rPr>
        <w:t>ab</w:t>
      </w:r>
      <w:r>
        <w:t xml:space="preserve"> </w:t>
      </w:r>
      <w:r w:rsidRPr="000B1FB1">
        <w:rPr>
          <w:i/>
        </w:rPr>
        <w:t>intellectu nostro</w:t>
      </w:r>
      <w:r>
        <w:t>).</w:t>
      </w:r>
      <w:r w:rsidRPr="00273106">
        <w:rPr>
          <w:rStyle w:val="Znakapoznpodarou"/>
        </w:rPr>
        <w:footnoteReference w:id="8"/>
      </w:r>
      <w:r>
        <w:t xml:space="preserve"> Citát ukazuje, že věc je definována skrze dvojí smysl bytí (</w:t>
      </w:r>
      <w:r w:rsidRPr="00255975">
        <w:rPr>
          <w:i/>
        </w:rPr>
        <w:t>sub duplici ratione</w:t>
      </w:r>
      <w:r>
        <w:t>)</w:t>
      </w:r>
      <w:r w:rsidR="00EB2A07">
        <w:t>. S</w:t>
      </w:r>
      <w:r>
        <w:t xml:space="preserve">ubsistence v modu </w:t>
      </w:r>
      <w:r w:rsidR="00EB2A07">
        <w:t>„</w:t>
      </w:r>
      <w:r w:rsidRPr="00834160">
        <w:rPr>
          <w:i/>
        </w:rPr>
        <w:t>sub quo</w:t>
      </w:r>
      <w:r w:rsidR="00EB2A07">
        <w:t>“</w:t>
      </w:r>
      <w:r>
        <w:t xml:space="preserve"> se vztahuje k bytí autonomní </w:t>
      </w:r>
      <w:r w:rsidR="00EB2A07">
        <w:t>„</w:t>
      </w:r>
      <w:proofErr w:type="gramStart"/>
      <w:r w:rsidR="00EB2A07">
        <w:t>formy</w:t>
      </w:r>
      <w:proofErr w:type="gramEnd"/>
      <w:r w:rsidR="00EB2A07">
        <w:t>–</w:t>
      </w:r>
      <w:proofErr w:type="gramStart"/>
      <w:r>
        <w:t>esence</w:t>
      </w:r>
      <w:proofErr w:type="gramEnd"/>
      <w:r w:rsidR="00EB2A07">
        <w:t>“</w:t>
      </w:r>
      <w:r>
        <w:t xml:space="preserve"> nazírané přímo. Architektura nižší a vyšší pravdy je dána podle a</w:t>
      </w:r>
      <w:r>
        <w:rPr>
          <w:szCs w:val="14"/>
        </w:rPr>
        <w:t xml:space="preserve">vicennovského </w:t>
      </w:r>
      <w:r w:rsidRPr="00054557">
        <w:rPr>
          <w:i/>
          <w:szCs w:val="14"/>
        </w:rPr>
        <w:t>denudatio</w:t>
      </w:r>
      <w:r>
        <w:rPr>
          <w:i/>
          <w:szCs w:val="14"/>
        </w:rPr>
        <w:fldChar w:fldCharType="begin"/>
      </w:r>
      <w:r>
        <w:instrText xml:space="preserve"> XE "</w:instrText>
      </w:r>
      <w:r w:rsidRPr="00C23100">
        <w:rPr>
          <w:i/>
        </w:rPr>
        <w:instrText>denudatio</w:instrText>
      </w:r>
      <w:r>
        <w:rPr>
          <w:i/>
        </w:rPr>
        <w:instrText>:</w:instrText>
      </w:r>
      <w:r w:rsidRPr="00134584">
        <w:instrText>Bonaventura</w:instrText>
      </w:r>
      <w:r>
        <w:instrText xml:space="preserve">" </w:instrText>
      </w:r>
      <w:r>
        <w:rPr>
          <w:i/>
          <w:szCs w:val="14"/>
        </w:rPr>
        <w:fldChar w:fldCharType="end"/>
      </w:r>
      <w:r w:rsidR="00D750DE">
        <w:rPr>
          <w:szCs w:val="14"/>
        </w:rPr>
        <w:t xml:space="preserve">. První averroismus odmítl tento postup, protože nedává </w:t>
      </w:r>
      <w:r>
        <w:rPr>
          <w:szCs w:val="14"/>
        </w:rPr>
        <w:t xml:space="preserve">plnohodnotnou dedukci </w:t>
      </w:r>
      <w:r w:rsidR="00D750DE">
        <w:rPr>
          <w:szCs w:val="14"/>
        </w:rPr>
        <w:t xml:space="preserve">nutnou </w:t>
      </w:r>
      <w:r w:rsidR="006B69E9">
        <w:rPr>
          <w:szCs w:val="14"/>
        </w:rPr>
        <w:t xml:space="preserve">pro vědecké poznání reality. </w:t>
      </w:r>
      <w:r w:rsidR="006B69E9" w:rsidRPr="006B69E9">
        <w:rPr>
          <w:szCs w:val="14"/>
        </w:rPr>
        <w:t>Denudace se týká pouze formálního vymezení esencí jako trojúhelníku. Jednoznačný vědecký důkaz musí být založen na kauzalitě, která působí na úrovni hyparchických substancí.</w:t>
      </w:r>
      <w:r w:rsidR="006B69E9">
        <w:rPr>
          <w:szCs w:val="14"/>
        </w:rPr>
        <w:t xml:space="preserve"> </w:t>
      </w:r>
      <w:r w:rsidRPr="00273106">
        <w:t xml:space="preserve">Bonaventura </w:t>
      </w:r>
      <w:r>
        <w:t>přebírá Grossetesteho teorii slabého intelektu</w:t>
      </w:r>
      <w:r w:rsidRPr="00273106">
        <w:t xml:space="preserve"> (</w:t>
      </w:r>
      <w:r w:rsidRPr="00273106">
        <w:rPr>
          <w:i/>
        </w:rPr>
        <w:t>intellectus debilis</w:t>
      </w:r>
      <w:r>
        <w:rPr>
          <w:i/>
        </w:rPr>
        <w:fldChar w:fldCharType="begin"/>
      </w:r>
      <w:r>
        <w:instrText xml:space="preserve"> XE "</w:instrText>
      </w:r>
      <w:r w:rsidRPr="08BB1AD9">
        <w:rPr>
          <w:i/>
        </w:rPr>
        <w:instrText>intellectus debilis</w:instrText>
      </w:r>
      <w:r>
        <w:instrText xml:space="preserve">" </w:instrText>
      </w:r>
      <w:r>
        <w:rPr>
          <w:i/>
        </w:rPr>
        <w:fldChar w:fldCharType="end"/>
      </w:r>
      <w:r w:rsidRPr="00273106">
        <w:t xml:space="preserve">) odkázaného na proces </w:t>
      </w:r>
      <w:r>
        <w:t xml:space="preserve">empirického poznání </w:t>
      </w:r>
      <w:r w:rsidRPr="00273106">
        <w:t>reálných věcí</w:t>
      </w:r>
      <w:r>
        <w:t xml:space="preserve"> a </w:t>
      </w:r>
      <w:r w:rsidR="00310B2D">
        <w:t>na smyslovou abstrakci</w:t>
      </w:r>
      <w:r>
        <w:t xml:space="preserve"> (</w:t>
      </w:r>
      <w:r w:rsidR="08250A71">
        <w:t>OBJ II, kap. 3</w:t>
      </w:r>
      <w:r>
        <w:t xml:space="preserve">.1.1). </w:t>
      </w:r>
      <w:r w:rsidR="00E44E40">
        <w:t>M</w:t>
      </w:r>
      <w:r>
        <w:t xml:space="preserve">ystický </w:t>
      </w:r>
      <w:r w:rsidRPr="00273106">
        <w:t xml:space="preserve">intelekt </w:t>
      </w:r>
      <w:r w:rsidRPr="00273106">
        <w:rPr>
          <w:i/>
        </w:rPr>
        <w:t>Modernorum</w:t>
      </w:r>
      <w:r w:rsidRPr="00273106">
        <w:t xml:space="preserve"> má přímý náhled </w:t>
      </w:r>
      <w:r w:rsidR="00E44E40">
        <w:t xml:space="preserve">do podstat </w:t>
      </w:r>
      <w:r w:rsidR="00C9649E">
        <w:t xml:space="preserve">věcí </w:t>
      </w:r>
      <w:r w:rsidRPr="00273106">
        <w:t>a reálné věc</w:t>
      </w:r>
      <w:r w:rsidR="00C9649E">
        <w:t>i potřebuje jen tak mimochodem.</w:t>
      </w:r>
    </w:p>
    <w:p w:rsidR="08163013" w:rsidRPr="00BA3B34" w:rsidRDefault="08163013" w:rsidP="00597724">
      <w:pPr>
        <w:rPr>
          <w:szCs w:val="14"/>
        </w:rPr>
      </w:pPr>
      <w:r>
        <w:lastRenderedPageBreak/>
        <w:t>Dv</w:t>
      </w:r>
      <w:r w:rsidR="00517C47">
        <w:t>ě patra intuice</w:t>
      </w:r>
      <w:r>
        <w:t>, abstrakce a poznání světa (</w:t>
      </w:r>
      <w:r w:rsidRPr="00D06360">
        <w:rPr>
          <w:i/>
        </w:rPr>
        <w:t>resolutio</w:t>
      </w:r>
      <w:r>
        <w:t>)</w:t>
      </w:r>
      <w:r w:rsidR="00517C47">
        <w:t xml:space="preserve"> ukazují</w:t>
      </w:r>
      <w:r>
        <w:t xml:space="preserve">, že poznání vyjádřené skrze termín </w:t>
      </w:r>
      <w:r w:rsidR="00517C47">
        <w:t>„</w:t>
      </w:r>
      <w:r w:rsidR="003D2472">
        <w:rPr>
          <w:i/>
        </w:rPr>
        <w:t>intellectio</w:t>
      </w:r>
      <w:r w:rsidR="00517C47">
        <w:t xml:space="preserve">“ </w:t>
      </w:r>
      <w:r>
        <w:t>ne</w:t>
      </w:r>
      <w:r w:rsidR="00517C47">
        <w:t>může být stejné pro první a druhý averorismus</w:t>
      </w:r>
      <w:r w:rsidRPr="00273106">
        <w:t>. Ve druhém averroismu tento termín označuje</w:t>
      </w:r>
      <w:r>
        <w:t xml:space="preserve"> neoplatonskou denudaci. P</w:t>
      </w:r>
      <w:r w:rsidRPr="00273106">
        <w:t>rvní averroismus zásadně odmítá</w:t>
      </w:r>
      <w:r>
        <w:t xml:space="preserve"> denudaci pro definici pravdy jako adekvace</w:t>
      </w:r>
      <w:r w:rsidR="002466B2">
        <w:t xml:space="preserve">. Moderní teorie pravdy </w:t>
      </w:r>
      <w:r w:rsidRPr="00273106">
        <w:t xml:space="preserve">není určena </w:t>
      </w:r>
      <w:r>
        <w:t xml:space="preserve">impozicí </w:t>
      </w:r>
      <w:r w:rsidRPr="00273106">
        <w:t>od první substance</w:t>
      </w:r>
      <w:r w:rsidR="002466B2">
        <w:t xml:space="preserve">, proto </w:t>
      </w:r>
      <w:r>
        <w:t xml:space="preserve">vytváří pouze ekvivoční či analogickou jednotu poznání. Hermeneutika plně souhlasí se závěrem Rohmera </w:t>
      </w:r>
      <w:r>
        <w:fldChar w:fldCharType="begin"/>
      </w:r>
      <w:r>
        <w:instrText xml:space="preserve"> XE "</w:instrText>
      </w:r>
      <w:r w:rsidRPr="00324349">
        <w:instrText>Rohmer</w:instrText>
      </w:r>
      <w:r>
        <w:instrText xml:space="preserve">, J." </w:instrText>
      </w:r>
      <w:r>
        <w:fldChar w:fldCharType="end"/>
      </w:r>
      <w:r>
        <w:t>ohledně procesu abstrakce u prvních františkánských magistrů (Rupella, Bonaventura).</w:t>
      </w:r>
      <w:r w:rsidRPr="00273106">
        <w:rPr>
          <w:rStyle w:val="Znakapoznpodarou"/>
          <w:szCs w:val="14"/>
        </w:rPr>
        <w:footnoteReference w:id="9"/>
      </w:r>
      <w:r w:rsidR="00597724">
        <w:t xml:space="preserve"> </w:t>
      </w:r>
      <w:r w:rsidR="00597724" w:rsidRPr="00597724">
        <w:t>Bonaventura dává přednost přímému vidění esencí, k</w:t>
      </w:r>
      <w:r w:rsidR="00597724">
        <w:t>teré leží mimo smyslové poznání</w:t>
      </w:r>
      <w:r w:rsidR="00597724" w:rsidRPr="00597724">
        <w:t>. Dvojí povaha bytí vysvětluje (</w:t>
      </w:r>
      <w:r w:rsidR="00597724" w:rsidRPr="00597724">
        <w:rPr>
          <w:i/>
        </w:rPr>
        <w:t>Bezugssinn</w:t>
      </w:r>
      <w:r w:rsidR="00597724">
        <w:rPr>
          <w:i/>
        </w:rPr>
        <w:fldChar w:fldCharType="begin"/>
      </w:r>
      <w:r w:rsidR="00597724">
        <w:instrText xml:space="preserve"> XE "</w:instrText>
      </w:r>
      <w:r w:rsidR="00597724" w:rsidRPr="00281B65">
        <w:rPr>
          <w:i/>
        </w:rPr>
        <w:instrText>Bezugssinn</w:instrText>
      </w:r>
      <w:r w:rsidR="00597724">
        <w:instrText xml:space="preserve">" </w:instrText>
      </w:r>
      <w:r w:rsidR="00597724">
        <w:rPr>
          <w:i/>
        </w:rPr>
        <w:fldChar w:fldCharType="end"/>
      </w:r>
      <w:r w:rsidR="00597724" w:rsidRPr="00597724">
        <w:t>), p</w:t>
      </w:r>
      <w:r w:rsidR="00597724">
        <w:t>roč není možné používat termín „</w:t>
      </w:r>
      <w:r w:rsidR="00597724" w:rsidRPr="00597724">
        <w:rPr>
          <w:i/>
        </w:rPr>
        <w:t>species</w:t>
      </w:r>
      <w:r w:rsidR="00597724">
        <w:t>“</w:t>
      </w:r>
      <w:r w:rsidR="00597724" w:rsidRPr="00597724">
        <w:t xml:space="preserve"> </w:t>
      </w:r>
      <w:r w:rsidR="00597724">
        <w:t xml:space="preserve">společně </w:t>
      </w:r>
      <w:r w:rsidR="00597724" w:rsidRPr="00597724">
        <w:t>pro první a druhý averroismus (</w:t>
      </w:r>
      <w:r w:rsidR="00597724" w:rsidRPr="00597724">
        <w:rPr>
          <w:i/>
        </w:rPr>
        <w:t>Gehaltsinn</w:t>
      </w:r>
      <w:r w:rsidR="00597724">
        <w:rPr>
          <w:i/>
        </w:rPr>
        <w:fldChar w:fldCharType="begin"/>
      </w:r>
      <w:r w:rsidR="00597724">
        <w:instrText xml:space="preserve"> XE "</w:instrText>
      </w:r>
      <w:r w:rsidR="00597724" w:rsidRPr="0078095A">
        <w:rPr>
          <w:i/>
        </w:rPr>
        <w:instrText>Gehaltsinn</w:instrText>
      </w:r>
      <w:r w:rsidR="00597724">
        <w:instrText xml:space="preserve">" </w:instrText>
      </w:r>
      <w:r w:rsidR="00597724">
        <w:rPr>
          <w:i/>
        </w:rPr>
        <w:fldChar w:fldCharType="end"/>
      </w:r>
      <w:r w:rsidR="00597724" w:rsidRPr="00597724">
        <w:t>). Zvláště po úplném oddělení obou metafyz</w:t>
      </w:r>
      <w:r w:rsidR="00597724">
        <w:t>ik, k němuž došlo po roce 1250</w:t>
      </w:r>
      <w:r>
        <w:fldChar w:fldCharType="begin"/>
      </w:r>
      <w:r>
        <w:instrText xml:space="preserve"> XE "</w:instrText>
      </w:r>
      <w:r w:rsidRPr="00E936D6">
        <w:instrText>species:dvojí určení</w:instrText>
      </w:r>
      <w:r>
        <w:instrText xml:space="preserve">" </w:instrText>
      </w:r>
      <w:r>
        <w:fldChar w:fldCharType="end"/>
      </w:r>
      <w:r w:rsidR="00BA3B34">
        <w:rPr>
          <w:szCs w:val="14"/>
        </w:rPr>
        <w:t>. Ontoteologické založení pojmu „</w:t>
      </w:r>
      <w:r w:rsidR="00BA3B34" w:rsidRPr="00BA3B34">
        <w:rPr>
          <w:i/>
          <w:szCs w:val="14"/>
        </w:rPr>
        <w:t>species</w:t>
      </w:r>
      <w:r w:rsidR="00BA3B34">
        <w:rPr>
          <w:szCs w:val="14"/>
        </w:rPr>
        <w:t xml:space="preserve">“ </w:t>
      </w:r>
      <w:r w:rsidR="00BA3B34" w:rsidRPr="00BA3B34">
        <w:rPr>
          <w:szCs w:val="14"/>
        </w:rPr>
        <w:t>u Bonaventury odhaluje zásadní rozdíl mezi prvním a dru</w:t>
      </w:r>
      <w:r w:rsidR="00BA3B34">
        <w:rPr>
          <w:szCs w:val="14"/>
        </w:rPr>
        <w:t>hým averroismem. Přímo nazíraná „</w:t>
      </w:r>
      <w:r w:rsidR="00BA3B34" w:rsidRPr="00BA3B34">
        <w:rPr>
          <w:i/>
          <w:szCs w:val="14"/>
        </w:rPr>
        <w:t>species innata</w:t>
      </w:r>
      <w:r w:rsidR="00BA3B34">
        <w:t>“</w:t>
      </w:r>
      <w:r w:rsidR="00BA3B34">
        <w:rPr>
          <w:i/>
        </w:rPr>
        <w:fldChar w:fldCharType="begin"/>
      </w:r>
      <w:r w:rsidR="00BA3B34">
        <w:instrText xml:space="preserve"> XE "</w:instrText>
      </w:r>
      <w:r w:rsidR="00BA3B34" w:rsidRPr="00D770FF">
        <w:rPr>
          <w:i/>
        </w:rPr>
        <w:instrText>species innata</w:instrText>
      </w:r>
      <w:r w:rsidR="00BA3B34">
        <w:instrText xml:space="preserve">" </w:instrText>
      </w:r>
      <w:r w:rsidR="00BA3B34">
        <w:rPr>
          <w:i/>
        </w:rPr>
        <w:fldChar w:fldCharType="end"/>
      </w:r>
      <w:r w:rsidR="00BA3B34">
        <w:rPr>
          <w:szCs w:val="14"/>
        </w:rPr>
        <w:t>“</w:t>
      </w:r>
      <w:r w:rsidR="00BA3B34" w:rsidRPr="00BA3B34">
        <w:rPr>
          <w:szCs w:val="14"/>
        </w:rPr>
        <w:t xml:space="preserve"> </w:t>
      </w:r>
      <w:r w:rsidR="00BA3B34">
        <w:rPr>
          <w:szCs w:val="14"/>
        </w:rPr>
        <w:t>je převzata</w:t>
      </w:r>
      <w:r w:rsidR="00BA3B34" w:rsidRPr="00BA3B34">
        <w:rPr>
          <w:szCs w:val="14"/>
        </w:rPr>
        <w:t xml:space="preserve"> od Augustina, zejména z jeho díla </w:t>
      </w:r>
      <w:r w:rsidR="00BA3B34" w:rsidRPr="00BA3B34">
        <w:rPr>
          <w:i/>
          <w:szCs w:val="14"/>
        </w:rPr>
        <w:t>De Trinitate</w:t>
      </w:r>
      <w:r w:rsidR="00BA3B34" w:rsidRPr="00BA3B34">
        <w:rPr>
          <w:szCs w:val="14"/>
        </w:rPr>
        <w:t xml:space="preserve">. </w:t>
      </w:r>
      <w:r>
        <w:t>Tento s</w:t>
      </w:r>
      <w:r w:rsidRPr="00273106">
        <w:t xml:space="preserve">pis odděluje přímé a vrozené poznání těchto </w:t>
      </w:r>
      <w:r>
        <w:t>neoplatonsk</w:t>
      </w:r>
      <w:r w:rsidRPr="00273106">
        <w:t>ých entit od abstraktně poznaného rodu a od druhu (</w:t>
      </w:r>
      <w:r w:rsidRPr="00273106">
        <w:rPr>
          <w:i/>
        </w:rPr>
        <w:t xml:space="preserve">juxta speciem vel </w:t>
      </w:r>
      <w:r w:rsidR="00962190">
        <w:rPr>
          <w:i/>
        </w:rPr>
        <w:t>genus</w:t>
      </w:r>
      <w:r w:rsidRPr="005C5321">
        <w:t>)</w:t>
      </w:r>
      <w:r>
        <w:t>.</w:t>
      </w:r>
      <w:r w:rsidRPr="00273106">
        <w:rPr>
          <w:rStyle w:val="Znakapoznpodarou"/>
        </w:rPr>
        <w:footnoteReference w:id="10"/>
      </w:r>
      <w:r>
        <w:t xml:space="preserve"> Klíčovým termínem z citované části </w:t>
      </w:r>
      <w:r w:rsidRPr="005C5321">
        <w:rPr>
          <w:i/>
        </w:rPr>
        <w:t>De Trinitate</w:t>
      </w:r>
      <w:r>
        <w:t xml:space="preserve"> se stala podobnost daná skrze mystické pravidlo vtiskující neoplatonskou podobnost vyšších forem do naší duše (</w:t>
      </w:r>
      <w:r w:rsidRPr="00273106">
        <w:rPr>
          <w:i/>
        </w:rPr>
        <w:t>per regulam similitudinis</w:t>
      </w:r>
      <w:r>
        <w:t>). Mystický a neoplatonský imperativ podobnosti trojičního Stvořitele a stvoření v modu mystické adekvace (</w:t>
      </w:r>
      <w:r w:rsidRPr="00DF185D">
        <w:rPr>
          <w:i/>
        </w:rPr>
        <w:t>regula</w:t>
      </w:r>
      <w:r>
        <w:t xml:space="preserve">) zakládá ve stvoření trinitární strukturu skrze přímý eidetický náhled těchto neoplatonských </w:t>
      </w:r>
      <w:r w:rsidR="00962190">
        <w:rPr>
          <w:i/>
        </w:rPr>
        <w:t>species</w:t>
      </w:r>
      <w:r>
        <w:t xml:space="preserve"> a rodů (</w:t>
      </w:r>
      <w:r w:rsidRPr="00513E15">
        <w:rPr>
          <w:i/>
        </w:rPr>
        <w:t>specialem vel generalem notitiam</w:t>
      </w:r>
      <w:r>
        <w:t xml:space="preserve">). Augustin </w:t>
      </w:r>
      <w:r w:rsidRPr="00273106">
        <w:t xml:space="preserve">zavádí </w:t>
      </w:r>
      <w:r>
        <w:t xml:space="preserve">skrze </w:t>
      </w:r>
      <w:r w:rsidR="00DA6F7D">
        <w:t>„</w:t>
      </w:r>
      <w:r>
        <w:t>regulované</w:t>
      </w:r>
      <w:r w:rsidR="00DA6F7D">
        <w:t>“</w:t>
      </w:r>
      <w:r>
        <w:t xml:space="preserve"> pojetí pravdy jako mystické podobnosti Stvořitele a stvoření ontoteologický </w:t>
      </w:r>
      <w:r w:rsidRPr="00273106">
        <w:t xml:space="preserve">model </w:t>
      </w:r>
      <w:r w:rsidR="00050728">
        <w:t xml:space="preserve">pravdy jako </w:t>
      </w:r>
      <w:r w:rsidRPr="006D4595">
        <w:rPr>
          <w:i/>
        </w:rPr>
        <w:t>similitudo</w:t>
      </w:r>
      <w:r w:rsidR="00DA6F7D">
        <w:t xml:space="preserve">. Ten </w:t>
      </w:r>
      <w:r w:rsidRPr="00273106">
        <w:t>přev</w:t>
      </w:r>
      <w:r w:rsidR="00DA6F7D">
        <w:t xml:space="preserve">zal </w:t>
      </w:r>
      <w:r w:rsidRPr="00273106">
        <w:t>Anselm</w:t>
      </w:r>
      <w:r>
        <w:t xml:space="preserve"> a po něm B</w:t>
      </w:r>
      <w:r w:rsidRPr="00273106">
        <w:t>onaventura</w:t>
      </w:r>
      <w:r>
        <w:t xml:space="preserve">. Serafínský učitel </w:t>
      </w:r>
      <w:r w:rsidRPr="00273106">
        <w:t xml:space="preserve">tvrdí, že máme vrozenou ideu </w:t>
      </w:r>
      <w:r w:rsidR="08320729">
        <w:t xml:space="preserve">ve formě </w:t>
      </w:r>
      <w:r w:rsidR="00962190">
        <w:rPr>
          <w:i/>
        </w:rPr>
        <w:t>species</w:t>
      </w:r>
      <w:r w:rsidRPr="00273106">
        <w:rPr>
          <w:i/>
        </w:rPr>
        <w:t xml:space="preserve"> innata</w:t>
      </w:r>
      <w:r w:rsidRPr="00273106">
        <w:t xml:space="preserve">, stejně jako je později dána karteziánská idea boha v nás. </w:t>
      </w:r>
      <w:r w:rsidR="003A4677">
        <w:t>Moderní b</w:t>
      </w:r>
      <w:r w:rsidRPr="00273106">
        <w:rPr>
          <w:szCs w:val="14"/>
        </w:rPr>
        <w:t xml:space="preserve">ůh je garantem univočního pojetí </w:t>
      </w:r>
      <w:r w:rsidR="00962190">
        <w:rPr>
          <w:i/>
          <w:szCs w:val="14"/>
        </w:rPr>
        <w:t>species</w:t>
      </w:r>
      <w:r w:rsidR="003A4677">
        <w:rPr>
          <w:szCs w:val="14"/>
        </w:rPr>
        <w:t xml:space="preserve">. </w:t>
      </w:r>
      <w:r w:rsidR="003A4677" w:rsidRPr="003A4677">
        <w:rPr>
          <w:szCs w:val="14"/>
        </w:rPr>
        <w:t xml:space="preserve">Toto důležité mytologické </w:t>
      </w:r>
      <w:r w:rsidR="003A4677" w:rsidRPr="003A4677">
        <w:rPr>
          <w:i/>
          <w:szCs w:val="14"/>
        </w:rPr>
        <w:t>factum</w:t>
      </w:r>
      <w:r w:rsidR="003A4677" w:rsidRPr="003A4677">
        <w:rPr>
          <w:szCs w:val="14"/>
        </w:rPr>
        <w:t xml:space="preserve"> vysvětluje, jak se ontoteologická struktura objektivního bytí </w:t>
      </w:r>
      <w:r w:rsidR="002A1A80">
        <w:rPr>
          <w:szCs w:val="14"/>
        </w:rPr>
        <w:t>kategorizuje vzhledem k modernímu b</w:t>
      </w:r>
      <w:r w:rsidR="003A4677" w:rsidRPr="003A4677">
        <w:rPr>
          <w:szCs w:val="14"/>
        </w:rPr>
        <w:t>ohu jako dárci forem (</w:t>
      </w:r>
      <w:r w:rsidR="003A4677" w:rsidRPr="000874C5">
        <w:rPr>
          <w:i/>
          <w:szCs w:val="14"/>
        </w:rPr>
        <w:t>dativus finalis</w:t>
      </w:r>
      <w:r w:rsidR="00932D15">
        <w:rPr>
          <w:i/>
          <w:szCs w:val="14"/>
        </w:rPr>
        <w:fldChar w:fldCharType="begin"/>
      </w:r>
      <w:r w:rsidR="00932D15">
        <w:instrText xml:space="preserve"> XE "</w:instrText>
      </w:r>
      <w:r w:rsidR="00932D15" w:rsidRPr="006D5AA1">
        <w:rPr>
          <w:i/>
          <w:szCs w:val="14"/>
        </w:rPr>
        <w:instrText xml:space="preserve">dativus </w:instrText>
      </w:r>
      <w:r w:rsidR="00932D15" w:rsidRPr="006D5AA1">
        <w:rPr>
          <w:i/>
          <w:szCs w:val="14"/>
        </w:rPr>
        <w:lastRenderedPageBreak/>
        <w:instrText>finalis</w:instrText>
      </w:r>
      <w:r w:rsidR="00932D15">
        <w:instrText xml:space="preserve">" </w:instrText>
      </w:r>
      <w:r w:rsidR="00932D15">
        <w:rPr>
          <w:i/>
          <w:szCs w:val="14"/>
        </w:rPr>
        <w:fldChar w:fldCharType="end"/>
      </w:r>
      <w:r w:rsidR="003A4677" w:rsidRPr="003A4677">
        <w:rPr>
          <w:szCs w:val="14"/>
        </w:rPr>
        <w:t>).</w:t>
      </w:r>
      <w:r w:rsidR="002A1A80">
        <w:rPr>
          <w:szCs w:val="14"/>
        </w:rPr>
        <w:t xml:space="preserve"> Bůh </w:t>
      </w:r>
      <w:r w:rsidRPr="00273106">
        <w:rPr>
          <w:szCs w:val="14"/>
        </w:rPr>
        <w:t xml:space="preserve">díky světlu božského intelektu kontempluje </w:t>
      </w:r>
      <w:r>
        <w:rPr>
          <w:szCs w:val="14"/>
        </w:rPr>
        <w:t xml:space="preserve">tato </w:t>
      </w:r>
      <w:r w:rsidR="00962190">
        <w:rPr>
          <w:i/>
          <w:szCs w:val="14"/>
        </w:rPr>
        <w:t>species</w:t>
      </w:r>
      <w:r w:rsidRPr="00273106">
        <w:rPr>
          <w:szCs w:val="14"/>
        </w:rPr>
        <w:t xml:space="preserve"> v nejjasnější podobě.</w:t>
      </w:r>
      <w:r>
        <w:rPr>
          <w:szCs w:val="14"/>
        </w:rPr>
        <w:t xml:space="preserve"> Následující citát ukazuje moderní ontoteologickou strukturu metafyziky</w:t>
      </w:r>
      <w:r w:rsidR="003E205C">
        <w:rPr>
          <w:szCs w:val="14"/>
        </w:rPr>
        <w:t xml:space="preserve">. Jednota </w:t>
      </w:r>
      <w:r>
        <w:rPr>
          <w:szCs w:val="14"/>
        </w:rPr>
        <w:t xml:space="preserve">jsoucna </w:t>
      </w:r>
      <w:r w:rsidR="003E205C">
        <w:rPr>
          <w:szCs w:val="14"/>
        </w:rPr>
        <w:t xml:space="preserve">vzniká nasvícením </w:t>
      </w:r>
      <w:r>
        <w:rPr>
          <w:szCs w:val="14"/>
        </w:rPr>
        <w:t>od božího intelektu.</w:t>
      </w:r>
      <w:r w:rsidRPr="008475FE">
        <w:t xml:space="preserve"> </w:t>
      </w:r>
      <w:r w:rsidRPr="00273106">
        <w:t xml:space="preserve">Přímým ozářením </w:t>
      </w:r>
      <w:r w:rsidR="009F2B75">
        <w:t xml:space="preserve">lidského </w:t>
      </w:r>
      <w:r w:rsidRPr="00273106">
        <w:t xml:space="preserve">intelektu od božího zdroje pravdy se garantuje univocita </w:t>
      </w:r>
      <w:r w:rsidR="00962190" w:rsidRPr="00C52620">
        <w:t>species</w:t>
      </w:r>
      <w:r w:rsidRPr="00273106">
        <w:t xml:space="preserve"> jak v </w:t>
      </w:r>
      <w:r w:rsidR="008D4D07">
        <w:t xml:space="preserve">mysli, tak </w:t>
      </w:r>
      <w:r w:rsidRPr="00273106">
        <w:t>v realitě.</w:t>
      </w:r>
    </w:p>
    <w:p w:rsidR="08163013" w:rsidRDefault="08163013" w:rsidP="08163013">
      <w:pPr>
        <w:pStyle w:val="Citace"/>
        <w:rPr>
          <w:lang w:val="cs-CZ"/>
        </w:rPr>
      </w:pPr>
      <w:r w:rsidRPr="00273106">
        <w:rPr>
          <w:noProof/>
          <w:szCs w:val="17"/>
        </w:rPr>
        <w:t>„</w:t>
      </w:r>
      <w:r>
        <w:rPr>
          <w:noProof/>
          <w:szCs w:val="17"/>
          <w:lang w:val="cs-CZ"/>
        </w:rPr>
        <w:t xml:space="preserve">Podle mínění všech učitelů církve je Kristus vnitřním poznáním a každá pravda je dána pouze skrze něj, nikoliv v mluveném jazyce, ale osvícením zevnitř. Proto je nutné, aby měl sám v sobě nejjasnější </w:t>
      </w:r>
      <w:r w:rsidR="00962190">
        <w:rPr>
          <w:i/>
          <w:noProof/>
          <w:szCs w:val="17"/>
          <w:lang w:val="cs-CZ"/>
        </w:rPr>
        <w:t>species</w:t>
      </w:r>
      <w:r>
        <w:rPr>
          <w:noProof/>
          <w:szCs w:val="17"/>
          <w:lang w:val="cs-CZ"/>
        </w:rPr>
        <w:t xml:space="preserve"> (</w:t>
      </w:r>
      <w:r w:rsidRPr="005910BA">
        <w:rPr>
          <w:i/>
          <w:noProof/>
        </w:rPr>
        <w:t xml:space="preserve">habeat </w:t>
      </w:r>
      <w:r w:rsidRPr="005910BA">
        <w:rPr>
          <w:i/>
          <w:noProof/>
          <w:szCs w:val="15"/>
        </w:rPr>
        <w:t xml:space="preserve">clarissimas </w:t>
      </w:r>
      <w:r w:rsidR="00962190">
        <w:rPr>
          <w:i/>
          <w:noProof/>
          <w:szCs w:val="13"/>
        </w:rPr>
        <w:t>species</w:t>
      </w:r>
      <w:r w:rsidRPr="005910BA">
        <w:rPr>
          <w:i/>
          <w:noProof/>
          <w:szCs w:val="13"/>
        </w:rPr>
        <w:t xml:space="preserve"> </w:t>
      </w:r>
      <w:r w:rsidRPr="005910BA">
        <w:rPr>
          <w:i/>
          <w:noProof/>
          <w:szCs w:val="16"/>
        </w:rPr>
        <w:t xml:space="preserve">apud </w:t>
      </w:r>
      <w:r w:rsidRPr="005910BA">
        <w:rPr>
          <w:i/>
          <w:noProof/>
          <w:szCs w:val="12"/>
        </w:rPr>
        <w:t>se</w:t>
      </w:r>
      <w:r>
        <w:rPr>
          <w:noProof/>
          <w:szCs w:val="17"/>
          <w:lang w:val="cs-CZ"/>
        </w:rPr>
        <w:t>), které nemůže přijmout od nikoho jiného. On sám je vnitřn</w:t>
      </w:r>
      <w:r w:rsidR="00884070">
        <w:rPr>
          <w:noProof/>
          <w:szCs w:val="17"/>
          <w:lang w:val="cs-CZ"/>
        </w:rPr>
        <w:t xml:space="preserve">í podstatou každé lidské duše; skrze </w:t>
      </w:r>
      <w:r>
        <w:rPr>
          <w:noProof/>
          <w:szCs w:val="17"/>
          <w:lang w:val="cs-CZ"/>
        </w:rPr>
        <w:t xml:space="preserve">jeho nejjasnější </w:t>
      </w:r>
      <w:r w:rsidR="00962190" w:rsidRPr="00884070">
        <w:rPr>
          <w:noProof/>
          <w:szCs w:val="17"/>
          <w:lang w:val="cs-CZ"/>
        </w:rPr>
        <w:t>species</w:t>
      </w:r>
      <w:r>
        <w:rPr>
          <w:noProof/>
          <w:szCs w:val="17"/>
          <w:lang w:val="cs-CZ"/>
        </w:rPr>
        <w:t xml:space="preserve"> </w:t>
      </w:r>
      <w:r w:rsidR="00884070">
        <w:rPr>
          <w:noProof/>
          <w:szCs w:val="17"/>
          <w:lang w:val="cs-CZ"/>
        </w:rPr>
        <w:t xml:space="preserve">se </w:t>
      </w:r>
      <w:r>
        <w:rPr>
          <w:noProof/>
          <w:szCs w:val="17"/>
          <w:lang w:val="cs-CZ"/>
        </w:rPr>
        <w:t xml:space="preserve">osvětlují naše </w:t>
      </w:r>
      <w:r w:rsidR="00962190" w:rsidRPr="00884070">
        <w:rPr>
          <w:noProof/>
          <w:szCs w:val="17"/>
          <w:lang w:val="cs-CZ"/>
        </w:rPr>
        <w:t>species</w:t>
      </w:r>
      <w:r>
        <w:rPr>
          <w:noProof/>
          <w:szCs w:val="17"/>
          <w:lang w:val="cs-CZ"/>
        </w:rPr>
        <w:t xml:space="preserve"> v intelektu (</w:t>
      </w:r>
      <w:r w:rsidRPr="00EA5E51">
        <w:rPr>
          <w:i/>
          <w:noProof/>
          <w:szCs w:val="13"/>
        </w:rPr>
        <w:t xml:space="preserve">suis </w:t>
      </w:r>
      <w:r w:rsidRPr="00EA5E51">
        <w:rPr>
          <w:i/>
          <w:noProof/>
        </w:rPr>
        <w:t xml:space="preserve">speciebus </w:t>
      </w:r>
      <w:r w:rsidRPr="00EA5E51">
        <w:rPr>
          <w:i/>
          <w:noProof/>
          <w:szCs w:val="13"/>
        </w:rPr>
        <w:t xml:space="preserve">clarissimis refulget </w:t>
      </w:r>
      <w:r w:rsidRPr="00EA5E51">
        <w:rPr>
          <w:i/>
          <w:noProof/>
          <w:szCs w:val="15"/>
        </w:rPr>
        <w:t xml:space="preserve">super </w:t>
      </w:r>
      <w:r w:rsidR="00962190">
        <w:rPr>
          <w:i/>
          <w:noProof/>
          <w:szCs w:val="13"/>
        </w:rPr>
        <w:t>species</w:t>
      </w:r>
      <w:r w:rsidRPr="00EA5E51">
        <w:rPr>
          <w:i/>
          <w:noProof/>
          <w:szCs w:val="13"/>
        </w:rPr>
        <w:t xml:space="preserve"> </w:t>
      </w:r>
      <w:r w:rsidRPr="00EA5E51">
        <w:rPr>
          <w:i/>
          <w:noProof/>
          <w:szCs w:val="12"/>
        </w:rPr>
        <w:t>intellectus nostri</w:t>
      </w:r>
      <w:r>
        <w:rPr>
          <w:noProof/>
          <w:szCs w:val="17"/>
          <w:lang w:val="cs-CZ"/>
        </w:rPr>
        <w:t xml:space="preserve">).“ </w:t>
      </w:r>
      <w:r>
        <w:rPr>
          <w:rStyle w:val="Znakapoznpodarou"/>
          <w:szCs w:val="14"/>
        </w:rPr>
        <w:footnoteReference w:id="11"/>
      </w:r>
    </w:p>
    <w:p w:rsidR="00205E8F" w:rsidRDefault="08163013" w:rsidP="00205E8F">
      <w:r w:rsidRPr="00273106">
        <w:t xml:space="preserve">Nejjasnější a tím i nejracionálnější a nejpravdivější </w:t>
      </w:r>
      <w:r w:rsidR="00962190" w:rsidRPr="00CF7EA6">
        <w:t>species</w:t>
      </w:r>
      <w:r w:rsidRPr="00273106">
        <w:t xml:space="preserve"> (</w:t>
      </w:r>
      <w:r w:rsidRPr="00273106">
        <w:rPr>
          <w:i/>
          <w:szCs w:val="15"/>
        </w:rPr>
        <w:t xml:space="preserve">clarissimas </w:t>
      </w:r>
      <w:r w:rsidR="00962190">
        <w:rPr>
          <w:i/>
          <w:szCs w:val="13"/>
        </w:rPr>
        <w:t>species</w:t>
      </w:r>
      <w:r w:rsidRPr="00273106">
        <w:rPr>
          <w:szCs w:val="13"/>
        </w:rPr>
        <w:t xml:space="preserve">) </w:t>
      </w:r>
      <w:r w:rsidRPr="00273106">
        <w:t>pocházejí od jednoho přesažného zdroje, který duši ozařuje zevnitř (</w:t>
      </w:r>
      <w:r w:rsidRPr="00273106">
        <w:rPr>
          <w:i/>
          <w:szCs w:val="12"/>
        </w:rPr>
        <w:t>in</w:t>
      </w:r>
      <w:r w:rsidRPr="00273106">
        <w:rPr>
          <w:i/>
          <w:szCs w:val="13"/>
        </w:rPr>
        <w:t>terius illustrando</w:t>
      </w:r>
      <w:r w:rsidRPr="00273106">
        <w:t xml:space="preserve">). Poznání první substance není </w:t>
      </w:r>
      <w:r>
        <w:t xml:space="preserve">dáno skrze </w:t>
      </w:r>
      <w:r w:rsidRPr="00273106">
        <w:t>abstrakc</w:t>
      </w:r>
      <w:r>
        <w:t>i ukončenou v produkcí</w:t>
      </w:r>
      <w:r w:rsidRPr="00273106">
        <w:t xml:space="preserve"> </w:t>
      </w:r>
      <w:r w:rsidR="00962190">
        <w:rPr>
          <w:i/>
        </w:rPr>
        <w:t>species</w:t>
      </w:r>
      <w:r w:rsidRPr="00273106">
        <w:rPr>
          <w:i/>
        </w:rPr>
        <w:t xml:space="preserve"> intelligibilis</w:t>
      </w:r>
      <w:r>
        <w:t xml:space="preserve"> jako v prvním averroismu</w:t>
      </w:r>
      <w:r w:rsidRPr="00273106">
        <w:t xml:space="preserve">. </w:t>
      </w:r>
      <w:r>
        <w:t xml:space="preserve">Nazíráním moderní hypostázované </w:t>
      </w:r>
      <w:r w:rsidR="00962190" w:rsidRPr="0070363B">
        <w:t>species</w:t>
      </w:r>
      <w:r>
        <w:t xml:space="preserve"> vznikne v rámci výše uvedené duality </w:t>
      </w:r>
      <w:r w:rsidRPr="007742F5">
        <w:rPr>
          <w:i/>
        </w:rPr>
        <w:t>resolutio</w:t>
      </w:r>
      <w:r>
        <w:rPr>
          <w:i/>
        </w:rPr>
        <w:fldChar w:fldCharType="begin"/>
      </w:r>
      <w:r>
        <w:instrText xml:space="preserve"> XE "</w:instrText>
      </w:r>
      <w:r w:rsidRPr="00111E9E">
        <w:rPr>
          <w:i/>
        </w:rPr>
        <w:instrText>resolutio</w:instrText>
      </w:r>
      <w:r>
        <w:rPr>
          <w:i/>
        </w:rPr>
        <w:instrText>:</w:instrText>
      </w:r>
      <w:r w:rsidRPr="007D3515">
        <w:instrText>Bonaventura</w:instrText>
      </w:r>
      <w:r>
        <w:instrText xml:space="preserve">" </w:instrText>
      </w:r>
      <w:r>
        <w:rPr>
          <w:i/>
        </w:rPr>
        <w:fldChar w:fldCharType="end"/>
      </w:r>
      <w:r>
        <w:t xml:space="preserve"> dvojí pojetí pravdy jako Anselmovy </w:t>
      </w:r>
      <w:r w:rsidRPr="007742F5">
        <w:rPr>
          <w:i/>
        </w:rPr>
        <w:t>similitudo</w:t>
      </w:r>
      <w:r>
        <w:t xml:space="preserve"> a </w:t>
      </w:r>
      <w:r w:rsidRPr="007742F5">
        <w:rPr>
          <w:i/>
        </w:rPr>
        <w:t>veritas</w:t>
      </w:r>
      <w:r>
        <w:t xml:space="preserve">. </w:t>
      </w:r>
      <w:r w:rsidRPr="00273106">
        <w:t xml:space="preserve">Obě formy </w:t>
      </w:r>
      <w:r>
        <w:t xml:space="preserve">pravdy </w:t>
      </w:r>
      <w:r w:rsidRPr="00273106">
        <w:t xml:space="preserve">mají </w:t>
      </w:r>
      <w:r>
        <w:t xml:space="preserve">odlišný </w:t>
      </w:r>
      <w:r w:rsidRPr="00273106">
        <w:t xml:space="preserve">charakter daný v rámci </w:t>
      </w:r>
      <w:r>
        <w:t>ro</w:t>
      </w:r>
      <w:r w:rsidR="000D79CD">
        <w:t>zdílného náhledu na reálnou věc</w:t>
      </w:r>
      <w:r w:rsidR="00863F32">
        <w:t xml:space="preserve">. </w:t>
      </w:r>
      <w:r w:rsidR="000D79CD">
        <w:t>Interní pravda věci jako podobnost (</w:t>
      </w:r>
      <w:r w:rsidR="000D79CD" w:rsidRPr="00273106">
        <w:rPr>
          <w:i/>
        </w:rPr>
        <w:t>similitudo rei</w:t>
      </w:r>
      <w:r w:rsidR="000D79CD">
        <w:t xml:space="preserve">) </w:t>
      </w:r>
      <w:r w:rsidR="00863F32">
        <w:t>vzniká tím, že je vyvedena</w:t>
      </w:r>
      <w:r>
        <w:t xml:space="preserve"> od boží pravdy (</w:t>
      </w:r>
      <w:r w:rsidRPr="00273106">
        <w:rPr>
          <w:i/>
        </w:rPr>
        <w:t>impressio veritatis</w:t>
      </w:r>
      <w:r>
        <w:t>)</w:t>
      </w:r>
      <w:r w:rsidRPr="00273106">
        <w:t xml:space="preserve">. </w:t>
      </w:r>
      <w:r w:rsidR="0051397E">
        <w:t xml:space="preserve">Tím vznikla teorie </w:t>
      </w:r>
      <w:r>
        <w:t xml:space="preserve">dvojí </w:t>
      </w:r>
      <w:r w:rsidRPr="00273106">
        <w:t>pravdy</w:t>
      </w:r>
      <w:r w:rsidR="0051397E">
        <w:fldChar w:fldCharType="begin"/>
      </w:r>
      <w:r w:rsidR="0051397E">
        <w:instrText xml:space="preserve"> XE "</w:instrText>
      </w:r>
      <w:r w:rsidR="0051397E" w:rsidRPr="00C3035F">
        <w:instrText>teorie dvojí pravdy</w:instrText>
      </w:r>
      <w:r w:rsidR="0051397E">
        <w:instrText xml:space="preserve">" </w:instrText>
      </w:r>
      <w:r w:rsidR="0051397E">
        <w:fldChar w:fldCharType="end"/>
      </w:r>
      <w:r w:rsidRPr="00273106">
        <w:t xml:space="preserve"> </w:t>
      </w:r>
      <w:r w:rsidR="009503F8">
        <w:t>ve dvou registrech (</w:t>
      </w:r>
      <w:r w:rsidR="009503F8" w:rsidRPr="00255975">
        <w:rPr>
          <w:i/>
        </w:rPr>
        <w:t>sub duplici ratione</w:t>
      </w:r>
      <w:r w:rsidR="009503F8">
        <w:t xml:space="preserve">). První patro tvoří </w:t>
      </w:r>
      <w:r>
        <w:t>aristotelská ad</w:t>
      </w:r>
      <w:r w:rsidR="009503F8">
        <w:t xml:space="preserve">ekvace daná pro ilumináty pouze jako smyslová </w:t>
      </w:r>
      <w:r w:rsidR="009503F8" w:rsidRPr="009503F8">
        <w:rPr>
          <w:i/>
        </w:rPr>
        <w:t>similitudo</w:t>
      </w:r>
      <w:r w:rsidR="009503F8">
        <w:t xml:space="preserve"> intelektu a věci. Na druhém patře je skutečná </w:t>
      </w:r>
      <w:r w:rsidR="009503F8" w:rsidRPr="009503F8">
        <w:rPr>
          <w:i/>
        </w:rPr>
        <w:t>veritas</w:t>
      </w:r>
      <w:r w:rsidR="009503F8">
        <w:t xml:space="preserve"> daná přímým náhledem od </w:t>
      </w:r>
      <w:r w:rsidR="00B35761">
        <w:t>moderního boha jako nejv</w:t>
      </w:r>
      <w:r w:rsidR="009503F8">
        <w:t>y</w:t>
      </w:r>
      <w:r w:rsidR="00B35761">
        <w:t>š</w:t>
      </w:r>
      <w:r w:rsidR="00443009">
        <w:t xml:space="preserve">šího zdroje pravdy. </w:t>
      </w:r>
      <w:r w:rsidR="0051397E">
        <w:t xml:space="preserve">Takto dané pojetí pravdy bylo pro </w:t>
      </w:r>
      <w:r w:rsidRPr="00273106">
        <w:t>první averroismus</w:t>
      </w:r>
      <w:r w:rsidR="0051397E">
        <w:t xml:space="preserve"> zásadně nepřijatelné</w:t>
      </w:r>
      <w:r w:rsidR="00443009">
        <w:t>, protože zcela popírá závěry CMDA dané „</w:t>
      </w:r>
      <w:r w:rsidR="00443009" w:rsidRPr="00443009">
        <w:rPr>
          <w:i/>
        </w:rPr>
        <w:t>ad mentem Averrois</w:t>
      </w:r>
      <w:r w:rsidR="00443009">
        <w:t xml:space="preserve">“. </w:t>
      </w:r>
      <w:r w:rsidR="00CB1E6B" w:rsidRPr="00CB1E6B">
        <w:t>Tuto teorii dvojí pravdy je třeba posuzovat v dvojí perspektivě ontologického porozumění (</w:t>
      </w:r>
      <w:r w:rsidR="00CB1E6B" w:rsidRPr="00CB1E6B">
        <w:rPr>
          <w:i/>
        </w:rPr>
        <w:t>Vor-blickbahn</w:t>
      </w:r>
      <w:r w:rsidR="00CB1E6B">
        <w:rPr>
          <w:i/>
        </w:rPr>
        <w:fldChar w:fldCharType="begin"/>
      </w:r>
      <w:r w:rsidR="00CB1E6B">
        <w:instrText xml:space="preserve"> XE "</w:instrText>
      </w:r>
      <w:r w:rsidR="00CB1E6B" w:rsidRPr="002405CD">
        <w:rPr>
          <w:i/>
        </w:rPr>
        <w:instrText>Vor-blickbahn</w:instrText>
      </w:r>
      <w:r w:rsidR="00CB1E6B">
        <w:instrText xml:space="preserve">" </w:instrText>
      </w:r>
      <w:r w:rsidR="00CB1E6B">
        <w:rPr>
          <w:i/>
        </w:rPr>
        <w:fldChar w:fldCharType="end"/>
      </w:r>
      <w:r w:rsidR="00CB1E6B" w:rsidRPr="00CB1E6B">
        <w:t xml:space="preserve">). V tomto případě musíme teorii dvojí pravdy považovat za dvě různé formy smyslu </w:t>
      </w:r>
      <w:r w:rsidR="00CB1E6B">
        <w:t>z hlediska refrence (</w:t>
      </w:r>
      <w:r w:rsidR="00CB1E6B" w:rsidRPr="0050426D">
        <w:rPr>
          <w:i/>
          <w:szCs w:val="24"/>
        </w:rPr>
        <w:t>Bezugssinn</w:t>
      </w:r>
      <w:r w:rsidR="00CB1E6B">
        <w:rPr>
          <w:i/>
          <w:szCs w:val="24"/>
        </w:rPr>
        <w:fldChar w:fldCharType="begin"/>
      </w:r>
      <w:r w:rsidR="00CB1E6B">
        <w:instrText xml:space="preserve"> XE "</w:instrText>
      </w:r>
      <w:r w:rsidR="00CB1E6B" w:rsidRPr="009305E1">
        <w:rPr>
          <w:i/>
          <w:szCs w:val="24"/>
        </w:rPr>
        <w:instrText>Bezugssinn</w:instrText>
      </w:r>
      <w:r w:rsidR="00CB1E6B">
        <w:instrText xml:space="preserve">" </w:instrText>
      </w:r>
      <w:r w:rsidR="00CB1E6B">
        <w:rPr>
          <w:i/>
          <w:szCs w:val="24"/>
        </w:rPr>
        <w:fldChar w:fldCharType="end"/>
      </w:r>
      <w:r w:rsidR="00CB1E6B">
        <w:t>),</w:t>
      </w:r>
      <w:r w:rsidR="00CB1E6B" w:rsidRPr="00CB1E6B">
        <w:t xml:space="preserve"> a nikoli za společný objektivní jev (</w:t>
      </w:r>
      <w:r w:rsidR="00CB1E6B" w:rsidRPr="001F7B69">
        <w:rPr>
          <w:i/>
          <w:szCs w:val="24"/>
        </w:rPr>
        <w:t>Gehaltsinn</w:t>
      </w:r>
      <w:r w:rsidR="00CB1E6B">
        <w:rPr>
          <w:i/>
          <w:szCs w:val="24"/>
        </w:rPr>
        <w:fldChar w:fldCharType="begin"/>
      </w:r>
      <w:r w:rsidR="00CB1E6B">
        <w:instrText xml:space="preserve"> XE "</w:instrText>
      </w:r>
      <w:r w:rsidR="00CB1E6B" w:rsidRPr="00133816">
        <w:rPr>
          <w:i/>
          <w:szCs w:val="24"/>
        </w:rPr>
        <w:instrText>Gehaltsinn</w:instrText>
      </w:r>
      <w:r w:rsidR="00CB1E6B">
        <w:instrText xml:space="preserve">" </w:instrText>
      </w:r>
      <w:r w:rsidR="00CB1E6B">
        <w:rPr>
          <w:i/>
          <w:szCs w:val="24"/>
        </w:rPr>
        <w:fldChar w:fldCharType="end"/>
      </w:r>
      <w:r w:rsidR="00CB1E6B" w:rsidRPr="00CB1E6B">
        <w:t xml:space="preserve">), </w:t>
      </w:r>
      <w:r w:rsidR="00CB1E6B">
        <w:t xml:space="preserve">protože ten tvoří jen </w:t>
      </w:r>
      <w:r w:rsidR="00CB1E6B" w:rsidRPr="00CB1E6B">
        <w:t xml:space="preserve">falešný druh </w:t>
      </w:r>
      <w:r w:rsidR="00CB1E6B" w:rsidRPr="00CB1E6B">
        <w:rPr>
          <w:i/>
        </w:rPr>
        <w:t>tertium ens</w:t>
      </w:r>
      <w:r w:rsidR="00CB1E6B" w:rsidRPr="00CB1E6B">
        <w:t xml:space="preserve">. Toto dvojí pojetí pravdy (jako </w:t>
      </w:r>
      <w:r w:rsidR="000C63FD" w:rsidRPr="0050426D">
        <w:rPr>
          <w:i/>
          <w:szCs w:val="24"/>
        </w:rPr>
        <w:t>Bezugssinn</w:t>
      </w:r>
      <w:r w:rsidR="00CB1E6B" w:rsidRPr="00CB1E6B">
        <w:t>) se stalo skutečným a objektivně neviditelným základem slavného sporu z roku 1277.</w:t>
      </w:r>
    </w:p>
    <w:p w:rsidR="08163013" w:rsidRPr="00630103" w:rsidRDefault="08163013" w:rsidP="00205E8F">
      <w:pPr>
        <w:ind w:firstLine="397"/>
      </w:pPr>
      <w:r>
        <w:lastRenderedPageBreak/>
        <w:t xml:space="preserve">Následující citát otevírá cestu k </w:t>
      </w:r>
      <w:proofErr w:type="gramStart"/>
      <w:r>
        <w:t>Descartově</w:t>
      </w:r>
      <w:proofErr w:type="gramEnd"/>
      <w:r>
        <w:t xml:space="preserve"> pojetí intelektu a duše, v níž září vrozená </w:t>
      </w:r>
      <w:r w:rsidR="00962190" w:rsidRPr="001D175D">
        <w:t>species</w:t>
      </w:r>
      <w:r>
        <w:t xml:space="preserve"> jako imanentně a evidentně nazíraný význam.</w:t>
      </w:r>
      <w:r w:rsidRPr="00273106">
        <w:t xml:space="preserve"> </w:t>
      </w:r>
      <w:r>
        <w:t xml:space="preserve">Rozdíl mezi první a druhou </w:t>
      </w:r>
      <w:r w:rsidR="00962190" w:rsidRPr="001D175D">
        <w:t>species</w:t>
      </w:r>
      <w:r>
        <w:t xml:space="preserve"> daný v modu dvojího kauzálního původu dává dvojí pojetí pravdy v bohu a v člověku. </w:t>
      </w:r>
    </w:p>
    <w:p w:rsidR="08163013" w:rsidRPr="000B7E5B" w:rsidRDefault="08163013" w:rsidP="08163013">
      <w:pPr>
        <w:pStyle w:val="Citace"/>
        <w:rPr>
          <w:noProof/>
          <w:lang w:val="cs-CZ"/>
        </w:rPr>
      </w:pPr>
      <w:r w:rsidRPr="00273106">
        <w:rPr>
          <w:noProof/>
          <w:lang w:val="cs-CZ"/>
        </w:rPr>
        <w:t>„</w:t>
      </w:r>
      <w:r>
        <w:rPr>
          <w:noProof/>
          <w:lang w:val="cs-CZ"/>
        </w:rPr>
        <w:t xml:space="preserve">Vrozenou </w:t>
      </w:r>
      <w:r w:rsidR="00962190">
        <w:rPr>
          <w:i/>
          <w:noProof/>
          <w:lang w:val="cs-CZ"/>
        </w:rPr>
        <w:t>species</w:t>
      </w:r>
      <w:r>
        <w:rPr>
          <w:noProof/>
          <w:lang w:val="cs-CZ"/>
        </w:rPr>
        <w:t xml:space="preserve"> (</w:t>
      </w:r>
      <w:r w:rsidR="00962190">
        <w:rPr>
          <w:i/>
          <w:noProof/>
          <w:lang w:val="cs-CZ"/>
        </w:rPr>
        <w:t>species</w:t>
      </w:r>
      <w:r w:rsidRPr="0086772F">
        <w:rPr>
          <w:i/>
          <w:noProof/>
        </w:rPr>
        <w:t xml:space="preserve"> </w:t>
      </w:r>
      <w:r w:rsidRPr="0086772F">
        <w:rPr>
          <w:i/>
          <w:noProof/>
          <w:szCs w:val="7"/>
        </w:rPr>
        <w:t>innata</w:t>
      </w:r>
      <w:r>
        <w:rPr>
          <w:noProof/>
          <w:lang w:val="cs-CZ"/>
        </w:rPr>
        <w:t>) je možno chápat dvojím způsobem. Buď jako pouhou podobnost (</w:t>
      </w:r>
      <w:r w:rsidRPr="00273106">
        <w:rPr>
          <w:i/>
          <w:noProof/>
          <w:lang w:val="cs-CZ"/>
        </w:rPr>
        <w:t xml:space="preserve">similitudo </w:t>
      </w:r>
      <w:r w:rsidRPr="00273106">
        <w:rPr>
          <w:i/>
          <w:noProof/>
          <w:szCs w:val="9"/>
          <w:lang w:val="cs-CZ"/>
        </w:rPr>
        <w:t>tantum</w:t>
      </w:r>
      <w:r>
        <w:rPr>
          <w:noProof/>
          <w:lang w:val="cs-CZ"/>
        </w:rPr>
        <w:t xml:space="preserve">) jako například </w:t>
      </w:r>
      <w:r w:rsidR="00962190">
        <w:rPr>
          <w:i/>
          <w:noProof/>
          <w:lang w:val="cs-CZ"/>
        </w:rPr>
        <w:t>species</w:t>
      </w:r>
      <w:r>
        <w:rPr>
          <w:noProof/>
          <w:lang w:val="cs-CZ"/>
        </w:rPr>
        <w:t xml:space="preserve"> kamene, nebo jako podobnost, která má nějakou  pravdivost sama v sobě (</w:t>
      </w:r>
      <w:r w:rsidRPr="004C04A8">
        <w:rPr>
          <w:i/>
          <w:noProof/>
        </w:rPr>
        <w:t xml:space="preserve">veritas </w:t>
      </w:r>
      <w:r w:rsidRPr="004C04A8">
        <w:rPr>
          <w:i/>
          <w:noProof/>
          <w:szCs w:val="7"/>
        </w:rPr>
        <w:t>in se ipsa</w:t>
      </w:r>
      <w:r>
        <w:rPr>
          <w:noProof/>
          <w:lang w:val="cs-CZ"/>
        </w:rPr>
        <w:t xml:space="preserve">). První </w:t>
      </w:r>
      <w:r w:rsidR="00962190">
        <w:rPr>
          <w:i/>
          <w:noProof/>
          <w:lang w:val="cs-CZ"/>
        </w:rPr>
        <w:t>species</w:t>
      </w:r>
      <w:r>
        <w:rPr>
          <w:noProof/>
          <w:lang w:val="cs-CZ"/>
        </w:rPr>
        <w:t xml:space="preserve"> je dána jako smyslový obraz a od ní se vytváří obraz v duši, která je původně prázdná. Druhá </w:t>
      </w:r>
      <w:r w:rsidR="00962190">
        <w:rPr>
          <w:i/>
          <w:noProof/>
          <w:lang w:val="cs-CZ"/>
        </w:rPr>
        <w:t>species</w:t>
      </w:r>
      <w:r>
        <w:rPr>
          <w:noProof/>
          <w:lang w:val="cs-CZ"/>
        </w:rPr>
        <w:t xml:space="preserve">  je otisk nějaké nejvyšší pravdy do duše (</w:t>
      </w:r>
      <w:r w:rsidRPr="006B27F7">
        <w:rPr>
          <w:i/>
          <w:noProof/>
        </w:rPr>
        <w:t xml:space="preserve">impressio </w:t>
      </w:r>
      <w:r w:rsidRPr="006B27F7">
        <w:rPr>
          <w:i/>
          <w:noProof/>
          <w:szCs w:val="7"/>
        </w:rPr>
        <w:t xml:space="preserve">aliqua </w:t>
      </w:r>
      <w:r w:rsidRPr="006B27F7">
        <w:rPr>
          <w:i/>
          <w:noProof/>
          <w:szCs w:val="10"/>
        </w:rPr>
        <w:t xml:space="preserve">summae </w:t>
      </w:r>
      <w:r w:rsidRPr="006B27F7">
        <w:rPr>
          <w:i/>
          <w:noProof/>
          <w:szCs w:val="7"/>
        </w:rPr>
        <w:t xml:space="preserve">veritatis in </w:t>
      </w:r>
      <w:r w:rsidRPr="006B27F7">
        <w:rPr>
          <w:i/>
          <w:noProof/>
          <w:szCs w:val="9"/>
        </w:rPr>
        <w:t>anima</w:t>
      </w:r>
      <w:r>
        <w:rPr>
          <w:noProof/>
          <w:lang w:val="cs-CZ"/>
        </w:rPr>
        <w:t xml:space="preserve">) ve formě milosti dané v duši, která do svého působení dostane určující světlo poznání a určitý přirozený směr poznání.“ </w:t>
      </w:r>
      <w:r>
        <w:rPr>
          <w:rStyle w:val="Znakapoznpodarou"/>
        </w:rPr>
        <w:footnoteReference w:id="12"/>
      </w:r>
    </w:p>
    <w:p w:rsidR="00876493" w:rsidRDefault="08163013" w:rsidP="08163013">
      <w:r>
        <w:t>Citát ukazuje integraci</w:t>
      </w:r>
      <w:r w:rsidRPr="00273106">
        <w:t xml:space="preserve"> aristotelského pojetí abstrakce do univočního pojetí </w:t>
      </w:r>
      <w:r w:rsidR="00962190">
        <w:rPr>
          <w:i/>
        </w:rPr>
        <w:t>species</w:t>
      </w:r>
      <w:r w:rsidRPr="00273106">
        <w:t xml:space="preserve"> </w:t>
      </w:r>
      <w:r>
        <w:t>třetího druhu</w:t>
      </w:r>
      <w:r w:rsidRPr="00273106">
        <w:t xml:space="preserve">. </w:t>
      </w:r>
      <w:r>
        <w:t xml:space="preserve">Systém dvojí pravdy vznikl </w:t>
      </w:r>
      <w:r w:rsidRPr="00273106">
        <w:t>rozdíl</w:t>
      </w:r>
      <w:r>
        <w:t>em</w:t>
      </w:r>
      <w:r w:rsidRPr="00273106">
        <w:t xml:space="preserve"> mezi podobností danou v procesu abstrakce od smyslů (</w:t>
      </w:r>
      <w:r w:rsidRPr="00273106">
        <w:rPr>
          <w:i/>
        </w:rPr>
        <w:t xml:space="preserve">similitudo </w:t>
      </w:r>
      <w:r w:rsidRPr="00273106">
        <w:rPr>
          <w:i/>
          <w:szCs w:val="9"/>
        </w:rPr>
        <w:t>tantum</w:t>
      </w:r>
      <w:r w:rsidRPr="00273106">
        <w:t xml:space="preserve">) a </w:t>
      </w:r>
      <w:r>
        <w:t xml:space="preserve">mezi </w:t>
      </w:r>
      <w:r w:rsidRPr="00273106">
        <w:t>podobnost</w:t>
      </w:r>
      <w:r>
        <w:t>í</w:t>
      </w:r>
      <w:r w:rsidRPr="00273106">
        <w:t xml:space="preserve"> danou vzhledem k vyšší pravdě, kterou </w:t>
      </w:r>
      <w:r>
        <w:t xml:space="preserve">přímo nazíraná </w:t>
      </w:r>
      <w:r w:rsidR="00962190">
        <w:rPr>
          <w:i/>
        </w:rPr>
        <w:t>species</w:t>
      </w:r>
      <w:r w:rsidRPr="00273106">
        <w:t xml:space="preserve"> zde a nyní zpřítomňuje (</w:t>
      </w:r>
      <w:r w:rsidRPr="00273106">
        <w:rPr>
          <w:i/>
        </w:rPr>
        <w:t xml:space="preserve">veritas </w:t>
      </w:r>
      <w:r w:rsidRPr="00273106">
        <w:rPr>
          <w:i/>
          <w:szCs w:val="7"/>
        </w:rPr>
        <w:t>in se ipsa</w:t>
      </w:r>
      <w:r w:rsidRPr="00273106">
        <w:t>). Abstrakce dává pouze podobnost mysli a věci na způsob smyslového zobrazení</w:t>
      </w:r>
      <w:r>
        <w:t xml:space="preserve"> </w:t>
      </w:r>
      <w:r w:rsidRPr="00273106">
        <w:t>(</w:t>
      </w:r>
      <w:r w:rsidRPr="00273106">
        <w:rPr>
          <w:i/>
        </w:rPr>
        <w:t>p</w:t>
      </w:r>
      <w:r w:rsidRPr="00273106">
        <w:rPr>
          <w:i/>
          <w:szCs w:val="9"/>
        </w:rPr>
        <w:t xml:space="preserve">rima </w:t>
      </w:r>
      <w:r w:rsidR="00962190">
        <w:rPr>
          <w:i/>
          <w:szCs w:val="7"/>
        </w:rPr>
        <w:t>species</w:t>
      </w:r>
      <w:r w:rsidRPr="00273106">
        <w:rPr>
          <w:i/>
          <w:szCs w:val="7"/>
        </w:rPr>
        <w:t xml:space="preserve"> est sicut pictura</w:t>
      </w:r>
      <w:r w:rsidRPr="00273106">
        <w:t>), ale nikoliv plnou pravdu o věci</w:t>
      </w:r>
      <w:r>
        <w:t xml:space="preserve"> danou v boží mysli</w:t>
      </w:r>
      <w:r w:rsidRPr="00273106">
        <w:t xml:space="preserve">. </w:t>
      </w:r>
      <w:r>
        <w:t xml:space="preserve">Bonaventurova </w:t>
      </w:r>
      <w:r w:rsidR="00962190">
        <w:rPr>
          <w:i/>
        </w:rPr>
        <w:t>species</w:t>
      </w:r>
      <w:r w:rsidRPr="00273106">
        <w:t xml:space="preserve"> </w:t>
      </w:r>
      <w:r>
        <w:t xml:space="preserve">dostala dvojí podobu podle toho, jaké </w:t>
      </w:r>
      <w:r w:rsidRPr="08F5715E">
        <w:rPr>
          <w:i/>
        </w:rPr>
        <w:t>resolutio</w:t>
      </w:r>
      <w:r>
        <w:t xml:space="preserve"> ji tvoří (</w:t>
      </w:r>
      <w:r w:rsidRPr="082B2E7D">
        <w:rPr>
          <w:i/>
        </w:rPr>
        <w:t>per similitudinem</w:t>
      </w:r>
      <w:r>
        <w:t xml:space="preserve">, </w:t>
      </w:r>
      <w:r w:rsidRPr="082B2E7D">
        <w:rPr>
          <w:i/>
        </w:rPr>
        <w:t>per essentiam</w:t>
      </w:r>
      <w:r>
        <w:t xml:space="preserve">). Pokud </w:t>
      </w:r>
      <w:r w:rsidR="00962190">
        <w:rPr>
          <w:i/>
        </w:rPr>
        <w:t>species</w:t>
      </w:r>
      <w:r w:rsidRPr="00273106">
        <w:t xml:space="preserve"> </w:t>
      </w:r>
      <w:r>
        <w:t xml:space="preserve">vzniká abstrakcí </w:t>
      </w:r>
      <w:r w:rsidRPr="00273106">
        <w:t xml:space="preserve">ze smyslů </w:t>
      </w:r>
      <w:r>
        <w:t xml:space="preserve">v modu </w:t>
      </w:r>
      <w:r w:rsidRPr="082B2E7D">
        <w:rPr>
          <w:i/>
        </w:rPr>
        <w:t>per similitudinem</w:t>
      </w:r>
      <w:r>
        <w:t xml:space="preserve">, pak </w:t>
      </w:r>
      <w:r w:rsidRPr="00273106">
        <w:t xml:space="preserve">determinuje duši a pasivní intelekt jako Aristotelova </w:t>
      </w:r>
      <w:r w:rsidRPr="00273106">
        <w:rPr>
          <w:i/>
        </w:rPr>
        <w:t>tabula rasa</w:t>
      </w:r>
      <w:r>
        <w:rPr>
          <w:i/>
        </w:rPr>
        <w:fldChar w:fldCharType="begin"/>
      </w:r>
      <w:r>
        <w:instrText xml:space="preserve"> XE "</w:instrText>
      </w:r>
      <w:r w:rsidRPr="00CE6D17">
        <w:rPr>
          <w:i/>
        </w:rPr>
        <w:instrText>tabula rasa</w:instrText>
      </w:r>
      <w:r>
        <w:instrText xml:space="preserve">" </w:instrText>
      </w:r>
      <w:r>
        <w:rPr>
          <w:i/>
        </w:rPr>
        <w:fldChar w:fldCharType="end"/>
      </w:r>
      <w:r w:rsidRPr="00273106">
        <w:rPr>
          <w:i/>
        </w:rPr>
        <w:t xml:space="preserve"> </w:t>
      </w:r>
      <w:r>
        <w:t xml:space="preserve">a zakládá přirozené poznání </w:t>
      </w:r>
      <w:r w:rsidRPr="00273106">
        <w:t>(</w:t>
      </w:r>
      <w:r w:rsidRPr="00273106">
        <w:rPr>
          <w:i/>
          <w:szCs w:val="7"/>
        </w:rPr>
        <w:t>directio naturalis</w:t>
      </w:r>
      <w:r w:rsidRPr="00273106">
        <w:t>). Jenže tato abstrakce nemá nárok na plnost pravdy</w:t>
      </w:r>
      <w:r>
        <w:t xml:space="preserve"> jako Anselmova </w:t>
      </w:r>
      <w:r w:rsidRPr="00090504">
        <w:rPr>
          <w:i/>
        </w:rPr>
        <w:t>rectitudo</w:t>
      </w:r>
      <w:r w:rsidRPr="00273106">
        <w:t xml:space="preserve">. Teprve </w:t>
      </w:r>
      <w:r>
        <w:t xml:space="preserve">eidetický náhled v modu </w:t>
      </w:r>
      <w:r w:rsidRPr="082B2E7D">
        <w:rPr>
          <w:i/>
        </w:rPr>
        <w:t>per essentiam</w:t>
      </w:r>
      <w:r>
        <w:t xml:space="preserve"> </w:t>
      </w:r>
      <w:r w:rsidRPr="00273106">
        <w:t xml:space="preserve">vytváří v duši </w:t>
      </w:r>
      <w:r>
        <w:t xml:space="preserve">plný náhled pravdy. Pak platí, že stejná </w:t>
      </w:r>
      <w:r w:rsidR="00962190">
        <w:rPr>
          <w:i/>
        </w:rPr>
        <w:t>species</w:t>
      </w:r>
      <w:r>
        <w:t xml:space="preserve"> zjevuje více než jen aristotelskou pravdu jako adekvaci</w:t>
      </w:r>
      <w:r w:rsidRPr="00273106">
        <w:t xml:space="preserve">. </w:t>
      </w:r>
      <w:r>
        <w:t xml:space="preserve">Pravda je dána na druhé úrovni nasvícením zezadu, kdy </w:t>
      </w:r>
      <w:r w:rsidR="00962190">
        <w:rPr>
          <w:i/>
        </w:rPr>
        <w:t>species</w:t>
      </w:r>
      <w:r>
        <w:t xml:space="preserve"> symbolizuje vyšší pravdu danou od boha </w:t>
      </w:r>
      <w:r w:rsidRPr="00273106">
        <w:t>(</w:t>
      </w:r>
      <w:r w:rsidRPr="00273106">
        <w:rPr>
          <w:i/>
          <w:szCs w:val="9"/>
        </w:rPr>
        <w:t xml:space="preserve">secunda </w:t>
      </w:r>
      <w:r w:rsidR="00962190">
        <w:rPr>
          <w:i/>
          <w:szCs w:val="7"/>
        </w:rPr>
        <w:t>species</w:t>
      </w:r>
      <w:r w:rsidRPr="00273106">
        <w:rPr>
          <w:i/>
          <w:szCs w:val="7"/>
        </w:rPr>
        <w:t xml:space="preserve"> est </w:t>
      </w:r>
      <w:r w:rsidRPr="00273106">
        <w:rPr>
          <w:i/>
        </w:rPr>
        <w:t xml:space="preserve">impressio </w:t>
      </w:r>
      <w:r w:rsidRPr="00273106">
        <w:rPr>
          <w:i/>
          <w:szCs w:val="7"/>
        </w:rPr>
        <w:t xml:space="preserve">aliqua </w:t>
      </w:r>
      <w:r w:rsidRPr="00273106">
        <w:rPr>
          <w:i/>
          <w:szCs w:val="10"/>
        </w:rPr>
        <w:t xml:space="preserve">summae </w:t>
      </w:r>
      <w:r w:rsidRPr="00273106">
        <w:rPr>
          <w:i/>
          <w:szCs w:val="7"/>
        </w:rPr>
        <w:t xml:space="preserve">veritatis in </w:t>
      </w:r>
      <w:r w:rsidRPr="00273106">
        <w:rPr>
          <w:i/>
          <w:szCs w:val="9"/>
        </w:rPr>
        <w:t>anima</w:t>
      </w:r>
      <w:r w:rsidRPr="00273106">
        <w:t>)</w:t>
      </w:r>
      <w:r>
        <w:t xml:space="preserve">. Integrací mystického nazírání a přirozeného poznání vznikla první podoba univoční </w:t>
      </w:r>
      <w:r w:rsidRPr="00273106">
        <w:t xml:space="preserve">ontoteologie </w:t>
      </w:r>
      <w:r w:rsidRPr="00273106">
        <w:rPr>
          <w:i/>
        </w:rPr>
        <w:t>Modernorum</w:t>
      </w:r>
      <w:r>
        <w:rPr>
          <w:i/>
        </w:rPr>
        <w:t>.</w:t>
      </w:r>
      <w:r w:rsidRPr="00273106">
        <w:t xml:space="preserve"> </w:t>
      </w:r>
      <w:r>
        <w:t xml:space="preserve">Empirický význam </w:t>
      </w:r>
      <w:r w:rsidR="00962190" w:rsidRPr="009766DA">
        <w:t>species</w:t>
      </w:r>
      <w:r>
        <w:t xml:space="preserve"> je dán v modu kontingence a nejistoty, protože vzniká procesem aristotelské abstrakce </w:t>
      </w:r>
      <w:r w:rsidRPr="00273106">
        <w:t xml:space="preserve">v rámci pouhé smyslové podobnosti. </w:t>
      </w:r>
      <w:r>
        <w:t xml:space="preserve">Abstrahovaná </w:t>
      </w:r>
      <w:r w:rsidR="00962190" w:rsidRPr="009766DA">
        <w:t>species</w:t>
      </w:r>
      <w:r>
        <w:t xml:space="preserve"> ukazuje jen neoplatonskou podobnost s pravdou a ne skutečnou pravdu. Připomeňme </w:t>
      </w:r>
      <w:r w:rsidRPr="00273106">
        <w:t>oxfordsk</w:t>
      </w:r>
      <w:r>
        <w:t xml:space="preserve">ý </w:t>
      </w:r>
      <w:r w:rsidRPr="00273106">
        <w:t xml:space="preserve">výklad </w:t>
      </w:r>
      <w:r w:rsidRPr="000C2ADF">
        <w:rPr>
          <w:i/>
        </w:rPr>
        <w:t>Druhých analytik</w:t>
      </w:r>
      <w:r w:rsidRPr="00273106">
        <w:t xml:space="preserve"> </w:t>
      </w:r>
      <w:r>
        <w:t xml:space="preserve">s uzávorkováním významu </w:t>
      </w:r>
      <w:r w:rsidRPr="00273106">
        <w:t>reálné substance</w:t>
      </w:r>
      <w:r>
        <w:fldChar w:fldCharType="begin"/>
      </w:r>
      <w:r>
        <w:instrText xml:space="preserve"> XE "</w:instrText>
      </w:r>
      <w:r w:rsidRPr="00DE2A32">
        <w:instrText>substance</w:instrText>
      </w:r>
      <w:r>
        <w:instrText xml:space="preserve">:Bonaventura" </w:instrText>
      </w:r>
      <w:r>
        <w:fldChar w:fldCharType="end"/>
      </w:r>
      <w:r w:rsidRPr="00273106">
        <w:t xml:space="preserve">, </w:t>
      </w:r>
      <w:r>
        <w:t xml:space="preserve">kterou nakonec </w:t>
      </w:r>
      <w:r>
        <w:lastRenderedPageBreak/>
        <w:t>Kilwardby vyloučil</w:t>
      </w:r>
      <w:r w:rsidRPr="00273106">
        <w:t xml:space="preserve"> ze šesti axionů poznání</w:t>
      </w:r>
      <w:r>
        <w:t xml:space="preserve"> kvůli jejímu kontingentnímu výskytu</w:t>
      </w:r>
      <w:r w:rsidRPr="00273106">
        <w:t>. Bo</w:t>
      </w:r>
      <w:r>
        <w:t xml:space="preserve">naventura navazuje na Rufusovu </w:t>
      </w:r>
      <w:r w:rsidR="0041449F">
        <w:t>„</w:t>
      </w:r>
      <w:r w:rsidRPr="00273106">
        <w:t>neposlušnost materie</w:t>
      </w:r>
      <w:r w:rsidR="0041449F">
        <w:t>“</w:t>
      </w:r>
      <w:r>
        <w:fldChar w:fldCharType="begin"/>
      </w:r>
      <w:r>
        <w:instrText xml:space="preserve"> XE "</w:instrText>
      </w:r>
      <w:r w:rsidRPr="0035112A">
        <w:instrText>materie:neposlušnost</w:instrText>
      </w:r>
      <w:r>
        <w:instrText xml:space="preserve">" </w:instrText>
      </w:r>
      <w:r>
        <w:fldChar w:fldCharType="end"/>
      </w:r>
      <w:r>
        <w:t xml:space="preserve"> </w:t>
      </w:r>
      <w:r w:rsidRPr="00273106">
        <w:t>(</w:t>
      </w:r>
      <w:r w:rsidR="08A82631">
        <w:t>OBJ II, kap. 3</w:t>
      </w:r>
      <w:r w:rsidRPr="00273106">
        <w:t>.3.2)</w:t>
      </w:r>
      <w:r>
        <w:t xml:space="preserve">, která tvoří základní leitmotiv moderny skrze eliminaci první substance a skrze dobývání světa v modu objektivní asimilace vlastních </w:t>
      </w:r>
      <w:r w:rsidRPr="08D810D1">
        <w:rPr>
          <w:i/>
        </w:rPr>
        <w:t>scibile</w:t>
      </w:r>
      <w:r w:rsidRPr="00273106">
        <w:t xml:space="preserve">. </w:t>
      </w:r>
      <w:r w:rsidR="00D479A8">
        <w:t>Tato „</w:t>
      </w:r>
      <w:proofErr w:type="gramStart"/>
      <w:r w:rsidR="00D479A8">
        <w:t>s</w:t>
      </w:r>
      <w:r w:rsidRPr="00273106">
        <w:t>ubstance</w:t>
      </w:r>
      <w:proofErr w:type="gramEnd"/>
      <w:r w:rsidR="00D479A8">
        <w:t>–</w:t>
      </w:r>
      <w:proofErr w:type="gramStart"/>
      <w:r>
        <w:t>esence</w:t>
      </w:r>
      <w:proofErr w:type="gramEnd"/>
      <w:r w:rsidR="00D479A8">
        <w:t>“</w:t>
      </w:r>
      <w:r>
        <w:t xml:space="preserve"> je </w:t>
      </w:r>
      <w:r w:rsidRPr="00273106">
        <w:t xml:space="preserve">daná </w:t>
      </w:r>
      <w:r>
        <w:t xml:space="preserve">u boha </w:t>
      </w:r>
      <w:r w:rsidRPr="00273106">
        <w:t>trvale</w:t>
      </w:r>
      <w:r>
        <w:t xml:space="preserve"> a je nahlížená přímo v modu pravdy dané </w:t>
      </w:r>
      <w:r w:rsidR="00D479A8">
        <w:t>„</w:t>
      </w:r>
      <w:r w:rsidRPr="00273106">
        <w:rPr>
          <w:i/>
        </w:rPr>
        <w:t>semel</w:t>
      </w:r>
      <w:r>
        <w:rPr>
          <w:i/>
        </w:rPr>
        <w:t>‒</w:t>
      </w:r>
      <w:r w:rsidRPr="00273106">
        <w:rPr>
          <w:i/>
        </w:rPr>
        <w:t>semper</w:t>
      </w:r>
      <w:r w:rsidR="00D479A8" w:rsidRPr="002E4993">
        <w:t>“</w:t>
      </w:r>
      <w:r w:rsidRPr="00273106">
        <w:rPr>
          <w:i/>
        </w:rPr>
        <w:t xml:space="preserve"> </w:t>
      </w:r>
      <w:r w:rsidR="00D479A8">
        <w:t xml:space="preserve">podle </w:t>
      </w:r>
      <w:r>
        <w:t xml:space="preserve">porretánské školy </w:t>
      </w:r>
      <w:r w:rsidRPr="00273106">
        <w:rPr>
          <w:i/>
        </w:rPr>
        <w:t>Nominales</w:t>
      </w:r>
      <w:r>
        <w:rPr>
          <w:i/>
        </w:rPr>
        <w:fldChar w:fldCharType="begin"/>
      </w:r>
      <w:r>
        <w:instrText xml:space="preserve"> XE "predikace:</w:instrText>
      </w:r>
      <w:r w:rsidRPr="006F1348">
        <w:rPr>
          <w:i/>
        </w:rPr>
        <w:instrText>semel‒semper</w:instrText>
      </w:r>
      <w:r>
        <w:instrText xml:space="preserve">" </w:instrText>
      </w:r>
      <w:r>
        <w:rPr>
          <w:i/>
        </w:rPr>
        <w:fldChar w:fldCharType="end"/>
      </w:r>
      <w:r>
        <w:t xml:space="preserve">. Přímo nahlížená </w:t>
      </w:r>
      <w:r w:rsidR="00340E3B">
        <w:t>„</w:t>
      </w:r>
      <w:r w:rsidR="00962190">
        <w:rPr>
          <w:i/>
          <w:szCs w:val="7"/>
        </w:rPr>
        <w:t>species</w:t>
      </w:r>
      <w:r w:rsidR="00340E3B">
        <w:rPr>
          <w:i/>
          <w:szCs w:val="7"/>
        </w:rPr>
        <w:t>–</w:t>
      </w:r>
      <w:r>
        <w:rPr>
          <w:i/>
          <w:szCs w:val="7"/>
        </w:rPr>
        <w:t>essentia</w:t>
      </w:r>
      <w:r w:rsidR="00340E3B">
        <w:rPr>
          <w:szCs w:val="7"/>
        </w:rPr>
        <w:t>“</w:t>
      </w:r>
      <w:r w:rsidRPr="00273106">
        <w:rPr>
          <w:i/>
          <w:szCs w:val="7"/>
        </w:rPr>
        <w:t xml:space="preserve"> </w:t>
      </w:r>
      <w:r>
        <w:rPr>
          <w:szCs w:val="7"/>
        </w:rPr>
        <w:t xml:space="preserve">je </w:t>
      </w:r>
      <w:r w:rsidRPr="00273106">
        <w:t>ozářena z permanent</w:t>
      </w:r>
      <w:r>
        <w:t>n</w:t>
      </w:r>
      <w:r w:rsidRPr="00273106">
        <w:t>ího zdroje</w:t>
      </w:r>
      <w:r>
        <w:t xml:space="preserve"> pravdy</w:t>
      </w:r>
      <w:r w:rsidRPr="00273106">
        <w:t>, který vede poznání duše</w:t>
      </w:r>
      <w:r>
        <w:t>. Avicennovská denudace odděluje evidentní náh</w:t>
      </w:r>
      <w:r w:rsidR="00E21300">
        <w:t>led esence od smyslově poznávaných</w:t>
      </w:r>
      <w:r w:rsidRPr="00273106">
        <w:t xml:space="preserve"> věc</w:t>
      </w:r>
      <w:r w:rsidR="00E21300">
        <w:t>í. Ty manifestují věčné esence</w:t>
      </w:r>
      <w:r>
        <w:t xml:space="preserve"> </w:t>
      </w:r>
      <w:r w:rsidR="00E21300">
        <w:t xml:space="preserve">jen kontigentně, </w:t>
      </w:r>
      <w:r>
        <w:t xml:space="preserve">v neposlušné materii. Denudace přesunula objekt </w:t>
      </w:r>
      <w:r w:rsidRPr="00273106">
        <w:t>poznání do sfé</w:t>
      </w:r>
      <w:r w:rsidR="00876493">
        <w:t>ry objektivního určení jsoucna.</w:t>
      </w:r>
    </w:p>
    <w:p w:rsidR="08163013" w:rsidRDefault="08163013" w:rsidP="00876493">
      <w:pPr>
        <w:ind w:firstLine="397"/>
      </w:pPr>
      <w:r>
        <w:t>Stejná věc má dvě podoby pravdy, stejně intelekt a duše mají ve druhém avicennismu dvě tváře podle učení Prokla, které převzal Avicenna (</w:t>
      </w:r>
      <w:r w:rsidR="08FC7EF1">
        <w:t xml:space="preserve">OBJ I, </w:t>
      </w:r>
      <w:r>
        <w:t xml:space="preserve">kap. 2.3.1). </w:t>
      </w:r>
      <w:r w:rsidRPr="00273106">
        <w:t xml:space="preserve">Intelekt se skrze věc </w:t>
      </w:r>
      <w:r w:rsidR="002622D1">
        <w:t xml:space="preserve">spojuje </w:t>
      </w:r>
      <w:r w:rsidRPr="00273106">
        <w:t xml:space="preserve">s vyšší pravdou nazíranou přímo od božího zdroje. </w:t>
      </w:r>
      <w:r>
        <w:t xml:space="preserve">Pravda jako adekvace má jen zdánlivě aristotelský charakter, protože zrušila donaci smyslu podle </w:t>
      </w:r>
      <w:r w:rsidR="081942A4">
        <w:t xml:space="preserve">metafyzického </w:t>
      </w:r>
      <w:r>
        <w:t xml:space="preserve">dativu. Proto první averroismus zásadně odmítl sofistiku Latiníků. </w:t>
      </w:r>
      <w:r w:rsidRPr="00273106">
        <w:t xml:space="preserve">Dialektika mezi oběma druhy </w:t>
      </w:r>
      <w:r w:rsidR="00962190">
        <w:rPr>
          <w:i/>
        </w:rPr>
        <w:t>species</w:t>
      </w:r>
      <w:r w:rsidRPr="00273106">
        <w:t xml:space="preserve"> u</w:t>
      </w:r>
      <w:r w:rsidR="009775A3">
        <w:t>kazuje, že věc poznaná v </w:t>
      </w:r>
      <w:proofErr w:type="gramStart"/>
      <w:r w:rsidR="009775A3">
        <w:t>pravdě</w:t>
      </w:r>
      <w:proofErr w:type="gramEnd"/>
      <w:r w:rsidR="009775A3">
        <w:t>–</w:t>
      </w:r>
      <w:proofErr w:type="gramStart"/>
      <w:r w:rsidRPr="00273106">
        <w:rPr>
          <w:i/>
        </w:rPr>
        <w:t>similitudo</w:t>
      </w:r>
      <w:proofErr w:type="gramEnd"/>
      <w:r w:rsidRPr="00273106">
        <w:t xml:space="preserve"> tvo</w:t>
      </w:r>
      <w:r w:rsidR="009775A3">
        <w:t>ří pouze indikátor vyšší pravdy–</w:t>
      </w:r>
      <w:r w:rsidRPr="08B07FD3">
        <w:rPr>
          <w:i/>
        </w:rPr>
        <w:t>essentia</w:t>
      </w:r>
      <w:r w:rsidRPr="00273106">
        <w:t xml:space="preserve">. </w:t>
      </w:r>
      <w:r>
        <w:t xml:space="preserve">Tím vznikla teorie dvojí pravdy založená na dvojím náhledu na </w:t>
      </w:r>
      <w:r w:rsidR="00962190" w:rsidRPr="00EA2A09">
        <w:t>species</w:t>
      </w:r>
      <w:r>
        <w:t xml:space="preserve">. </w:t>
      </w:r>
      <w:r w:rsidRPr="00273106">
        <w:t>Bonaventura má podobnou definici pravdy</w:t>
      </w:r>
      <w:r w:rsidR="00E73EE6">
        <w:t xml:space="preserve"> jako </w:t>
      </w:r>
      <w:r w:rsidR="08FC7EF1">
        <w:rPr>
          <w:i/>
        </w:rPr>
        <w:t>co</w:t>
      </w:r>
      <w:r>
        <w:rPr>
          <w:i/>
        </w:rPr>
        <w:t>a</w:t>
      </w:r>
      <w:r w:rsidRPr="00B846B2">
        <w:rPr>
          <w:i/>
        </w:rPr>
        <w:t>equatio</w:t>
      </w:r>
      <w:r>
        <w:rPr>
          <w:i/>
        </w:rPr>
        <w:fldChar w:fldCharType="begin"/>
      </w:r>
      <w:r>
        <w:instrText xml:space="preserve"> XE "pravda:</w:instrText>
      </w:r>
      <w:r w:rsidR="08FC7EF1">
        <w:rPr>
          <w:i/>
        </w:rPr>
        <w:instrText>co</w:instrText>
      </w:r>
      <w:r>
        <w:rPr>
          <w:i/>
        </w:rPr>
        <w:instrText>a</w:instrText>
      </w:r>
      <w:r w:rsidRPr="00E11E1F">
        <w:rPr>
          <w:i/>
        </w:rPr>
        <w:instrText>equatio</w:instrText>
      </w:r>
      <w:r>
        <w:instrText xml:space="preserve">" </w:instrText>
      </w:r>
      <w:r>
        <w:rPr>
          <w:i/>
        </w:rPr>
        <w:fldChar w:fldCharType="end"/>
      </w:r>
      <w:r>
        <w:t xml:space="preserve"> </w:t>
      </w:r>
      <w:r w:rsidRPr="00273106">
        <w:t xml:space="preserve">jako </w:t>
      </w:r>
      <w:r w:rsidR="00E73EE6">
        <w:t xml:space="preserve">měl </w:t>
      </w:r>
      <w:r w:rsidRPr="00273106">
        <w:t xml:space="preserve">Rufus a stejně jako on se výslovně odvolává na Anselmovo </w:t>
      </w:r>
      <w:r w:rsidRPr="00273106">
        <w:rPr>
          <w:i/>
        </w:rPr>
        <w:t>rectitudo</w:t>
      </w:r>
      <w:r w:rsidRPr="00273106">
        <w:t>.</w:t>
      </w:r>
      <w:r w:rsidRPr="00BC6663">
        <w:t xml:space="preserve"> </w:t>
      </w:r>
    </w:p>
    <w:p w:rsidR="08163013" w:rsidRDefault="08163013" w:rsidP="08163013">
      <w:pPr>
        <w:pStyle w:val="Citace"/>
      </w:pPr>
      <w:r>
        <w:t>„Anselm tvrdí, že 'pravda je správnost daná pouze ve vnímající mysli' (</w:t>
      </w:r>
      <w:r>
        <w:rPr>
          <w:i/>
        </w:rPr>
        <w:t>rectitudo sola mente percept</w:t>
      </w:r>
      <w:r w:rsidRPr="007222CD">
        <w:rPr>
          <w:i/>
        </w:rPr>
        <w:t>ibilis</w:t>
      </w:r>
      <w:r>
        <w:t>). Správnosti nemůže odpovídat nic jiného než to, co je správné</w:t>
      </w:r>
      <w:r>
        <w:rPr>
          <w:lang w:val="cs-CZ"/>
        </w:rPr>
        <w:t xml:space="preserve"> (</w:t>
      </w:r>
      <w:r w:rsidRPr="08106084">
        <w:rPr>
          <w:i/>
        </w:rPr>
        <w:t>rectitudini non potest aequari nisi rectum</w:t>
      </w:r>
      <w:r>
        <w:rPr>
          <w:lang w:val="cs-CZ"/>
        </w:rPr>
        <w:t>)</w:t>
      </w:r>
      <w:r>
        <w:t xml:space="preserve">. Pokud se náš intelelekt připodobňuje pravdě, nutně se stává správným. </w:t>
      </w:r>
      <w:r>
        <w:rPr>
          <w:lang w:val="cs-CZ"/>
        </w:rPr>
        <w:t xml:space="preserve">Připodobnění se děje skrze </w:t>
      </w:r>
      <w:r>
        <w:t>aktuální konverz</w:t>
      </w:r>
      <w:r>
        <w:rPr>
          <w:lang w:val="cs-CZ"/>
        </w:rPr>
        <w:t xml:space="preserve">i </w:t>
      </w:r>
      <w:r>
        <w:t>intelektu k pravdě. A pravda daná aktuálně je definována jako 'adekvace věci a intelektu' (</w:t>
      </w:r>
      <w:r w:rsidRPr="007222CD">
        <w:rPr>
          <w:i/>
        </w:rPr>
        <w:t>adaequatio rei et intellectus</w:t>
      </w:r>
      <w:r>
        <w:t>).“ </w:t>
      </w:r>
      <w:r w:rsidRPr="00273106">
        <w:rPr>
          <w:rStyle w:val="Znakapoznpodarou"/>
        </w:rPr>
        <w:footnoteReference w:id="13"/>
      </w:r>
    </w:p>
    <w:p w:rsidR="00A96F95" w:rsidRDefault="08163013" w:rsidP="08163013">
      <w:r>
        <w:t xml:space="preserve">Nasvícení pravdy jde zezadu a adekvace je dána v aktu správnosti mysli vzhledem k věčným </w:t>
      </w:r>
      <w:r w:rsidR="00962190">
        <w:rPr>
          <w:i/>
        </w:rPr>
        <w:t>species</w:t>
      </w:r>
      <w:r>
        <w:fldChar w:fldCharType="begin"/>
      </w:r>
      <w:r>
        <w:instrText xml:space="preserve"> XE "</w:instrText>
      </w:r>
      <w:r w:rsidRPr="000B3F38">
        <w:instrText>zjevování:nasvícení zezadu</w:instrText>
      </w:r>
      <w:r>
        <w:instrText xml:space="preserve">" </w:instrText>
      </w:r>
      <w:r>
        <w:fldChar w:fldCharType="end"/>
      </w:r>
      <w:r>
        <w:t xml:space="preserve">. Nový náhled na smysl jsoucna zakládá novou predikaci </w:t>
      </w:r>
      <w:r w:rsidRPr="00752C9D">
        <w:rPr>
          <w:i/>
        </w:rPr>
        <w:t>per prius</w:t>
      </w:r>
      <w:r>
        <w:t xml:space="preserve"> a </w:t>
      </w:r>
      <w:r w:rsidRPr="00752C9D">
        <w:rPr>
          <w:i/>
        </w:rPr>
        <w:t>per posterius</w:t>
      </w:r>
      <w:r>
        <w:t xml:space="preserve"> v neoplatonském modu Toledské školy, v němž je pravda dána nasvícením reálného jsoucna v modu správnosti. </w:t>
      </w:r>
      <w:r w:rsidR="08FC6716">
        <w:t xml:space="preserve">Pravda jako </w:t>
      </w:r>
      <w:r w:rsidR="08FC6716" w:rsidRPr="08FC6716">
        <w:rPr>
          <w:i/>
        </w:rPr>
        <w:t>coaequatio</w:t>
      </w:r>
      <w:r w:rsidR="08FC6716">
        <w:t xml:space="preserve"> vychází z </w:t>
      </w:r>
      <w:r w:rsidR="0841489C">
        <w:t>pr</w:t>
      </w:r>
      <w:r w:rsidR="08FC6716">
        <w:t xml:space="preserve">eexistence věčných Forem a na tom nemůže nic změnit ani </w:t>
      </w:r>
      <w:r w:rsidR="08D01A89">
        <w:t xml:space="preserve">použitý </w:t>
      </w:r>
      <w:r w:rsidR="08FC6716">
        <w:t xml:space="preserve">aristotelský termín. </w:t>
      </w:r>
      <w:r>
        <w:lastRenderedPageBreak/>
        <w:t>Klíčová věta o tom, že správnosti nemůže odpovídat nic jiného než to, co je správné (</w:t>
      </w:r>
      <w:r w:rsidRPr="08106084">
        <w:rPr>
          <w:i/>
        </w:rPr>
        <w:t>rectitudini non potest aequari nisi rectum</w:t>
      </w:r>
      <w:r>
        <w:t xml:space="preserve">) vyřadila smyslové poznání v procesu pravdy jako adekvace. Bacon odmítl Anselmovu definici </w:t>
      </w:r>
      <w:r w:rsidR="00122ACE">
        <w:t>„</w:t>
      </w:r>
      <w:r>
        <w:rPr>
          <w:i/>
        </w:rPr>
        <w:t>rectitudo sola mente percept</w:t>
      </w:r>
      <w:r w:rsidRPr="007222CD">
        <w:rPr>
          <w:i/>
        </w:rPr>
        <w:t>ibilis</w:t>
      </w:r>
      <w:r w:rsidR="00122ACE">
        <w:t>“</w:t>
      </w:r>
      <w:r>
        <w:t xml:space="preserve"> jako sofistickou (</w:t>
      </w:r>
      <w:r w:rsidR="08BF2C74">
        <w:t>OBJ II, kap. 3</w:t>
      </w:r>
      <w:r>
        <w:t xml:space="preserve">.3.2). </w:t>
      </w:r>
      <w:r w:rsidRPr="00273106">
        <w:t xml:space="preserve">V prvním </w:t>
      </w:r>
      <w:r>
        <w:t>averroismu Sicilské školy</w:t>
      </w:r>
      <w:r>
        <w:fldChar w:fldCharType="begin"/>
      </w:r>
      <w:r>
        <w:instrText xml:space="preserve"> XE "</w:instrText>
      </w:r>
      <w:r w:rsidRPr="00206CCD">
        <w:instrText>Sicilská škola</w:instrText>
      </w:r>
      <w:r>
        <w:instrText xml:space="preserve">" </w:instrText>
      </w:r>
      <w:r>
        <w:fldChar w:fldCharType="end"/>
      </w:r>
      <w:r>
        <w:t xml:space="preserve"> </w:t>
      </w:r>
      <w:r w:rsidRPr="00273106">
        <w:t xml:space="preserve">existuje jasný rozdíl mezi </w:t>
      </w:r>
      <w:r>
        <w:t xml:space="preserve">kategoriální supozicí </w:t>
      </w:r>
      <w:r w:rsidRPr="00273106">
        <w:t xml:space="preserve">v rámci rodu a mezi výkonem poznání daném </w:t>
      </w:r>
      <w:r>
        <w:t xml:space="preserve">hyparchickou impozicí od </w:t>
      </w:r>
      <w:r w:rsidRPr="00273106">
        <w:t>první substance</w:t>
      </w:r>
      <w:r>
        <w:fldChar w:fldCharType="begin"/>
      </w:r>
      <w:r>
        <w:instrText xml:space="preserve"> XE "supozice:první averroismus" </w:instrText>
      </w:r>
      <w:r>
        <w:fldChar w:fldCharType="end"/>
      </w:r>
      <w:r w:rsidR="00CF56A3">
        <w:t xml:space="preserve"> na species</w:t>
      </w:r>
      <w:r w:rsidRPr="00273106">
        <w:t xml:space="preserve">. Jinak by nemohlo vzniknout pojetí pravdy jako adekvace </w:t>
      </w:r>
      <w:r w:rsidR="003A3CE2">
        <w:t>první a druhé substance</w:t>
      </w:r>
      <w:r w:rsidRPr="00273106">
        <w:t xml:space="preserve">. Ve druhém </w:t>
      </w:r>
      <w:r>
        <w:t xml:space="preserve">averroismu tvoří aristotelská </w:t>
      </w:r>
      <w:r w:rsidRPr="00273106">
        <w:t>adekvace pouze první stupeň poznání</w:t>
      </w:r>
      <w:r>
        <w:t xml:space="preserve"> (</w:t>
      </w:r>
      <w:r w:rsidRPr="003352A8">
        <w:rPr>
          <w:i/>
        </w:rPr>
        <w:t>similitudo tantum</w:t>
      </w:r>
      <w:r>
        <w:t>)</w:t>
      </w:r>
      <w:r w:rsidRPr="00273106">
        <w:t xml:space="preserve">. </w:t>
      </w:r>
      <w:r>
        <w:t>M</w:t>
      </w:r>
      <w:r w:rsidRPr="00273106">
        <w:t xml:space="preserve">ysl </w:t>
      </w:r>
      <w:r>
        <w:t xml:space="preserve">ilumináta </w:t>
      </w:r>
      <w:r w:rsidRPr="00273106">
        <w:t xml:space="preserve">zpřítomňuje v aktu evidentního náhledu </w:t>
      </w:r>
      <w:r w:rsidR="00EB33D4">
        <w:t xml:space="preserve">dvě formy </w:t>
      </w:r>
      <w:r w:rsidR="00EB33D4" w:rsidRPr="00536C70">
        <w:rPr>
          <w:i/>
        </w:rPr>
        <w:t xml:space="preserve">tertium ens </w:t>
      </w:r>
      <w:r w:rsidR="00EB33D4">
        <w:t>v </w:t>
      </w:r>
      <w:r w:rsidRPr="00273106">
        <w:t>intelektu</w:t>
      </w:r>
      <w:r w:rsidR="00EB33D4">
        <w:t>. Pravda je daná</w:t>
      </w:r>
      <w:r w:rsidRPr="00273106">
        <w:t xml:space="preserve"> v rámci Anselmova </w:t>
      </w:r>
      <w:r w:rsidRPr="00273106">
        <w:rPr>
          <w:i/>
        </w:rPr>
        <w:t>rectitudo</w:t>
      </w:r>
      <w:r w:rsidRPr="00273106">
        <w:t xml:space="preserve"> a v rámci </w:t>
      </w:r>
      <w:r>
        <w:t xml:space="preserve">Rufusovy univerzální rovnosti </w:t>
      </w:r>
      <w:r w:rsidR="00962190" w:rsidRPr="00136FCC">
        <w:t>species</w:t>
      </w:r>
      <w:r w:rsidRPr="00273106">
        <w:t xml:space="preserve">. Bonaventura drží model druhého averroismu </w:t>
      </w:r>
      <w:r>
        <w:t xml:space="preserve">daný </w:t>
      </w:r>
      <w:r w:rsidRPr="00273106">
        <w:t>ozáření</w:t>
      </w:r>
      <w:r>
        <w:t>m</w:t>
      </w:r>
      <w:r w:rsidRPr="00273106">
        <w:t xml:space="preserve"> smyslu jsoucna zezadu, od transcendentního zdroje významu daného mimo aktuální věc.</w:t>
      </w:r>
      <w:r>
        <w:t xml:space="preserve"> </w:t>
      </w:r>
      <w:r w:rsidRPr="00273106">
        <w:t xml:space="preserve">Bonaventura nemá </w:t>
      </w:r>
      <w:r>
        <w:t xml:space="preserve">ani </w:t>
      </w:r>
      <w:r w:rsidRPr="00273106">
        <w:t xml:space="preserve">pojetí abstrakce, ani pojetí intelektu podle </w:t>
      </w:r>
      <w:r>
        <w:rPr>
          <w:i/>
        </w:rPr>
        <w:t xml:space="preserve">De anima. </w:t>
      </w:r>
      <w:r w:rsidRPr="080F1685">
        <w:t>Reálné</w:t>
      </w:r>
      <w:r>
        <w:t xml:space="preserve"> poznání od smyslů nedeterminuje intelekt, pouze mu dosvědčuje již daný náhled na exemplární </w:t>
      </w:r>
      <w:r w:rsidR="00962190" w:rsidRPr="00326D83">
        <w:t>species</w:t>
      </w:r>
      <w:r>
        <w:t xml:space="preserve">. Jde o stejný scénář jako v případě poznání Rufusova </w:t>
      </w:r>
      <w:r w:rsidRPr="00295DE7">
        <w:rPr>
          <w:i/>
        </w:rPr>
        <w:t>scibile</w:t>
      </w:r>
      <w:r>
        <w:t xml:space="preserve">. Proto </w:t>
      </w:r>
      <w:r w:rsidRPr="00273106">
        <w:t xml:space="preserve">nemá </w:t>
      </w:r>
      <w:r w:rsidR="00962190">
        <w:rPr>
          <w:i/>
        </w:rPr>
        <w:t>species</w:t>
      </w:r>
      <w:r w:rsidRPr="00273106">
        <w:rPr>
          <w:i/>
        </w:rPr>
        <w:t xml:space="preserve"> </w:t>
      </w:r>
      <w:r>
        <w:t xml:space="preserve">ve druhém averroismu </w:t>
      </w:r>
      <w:r w:rsidRPr="00273106">
        <w:t xml:space="preserve">stejný význam jako </w:t>
      </w:r>
      <w:r w:rsidR="00962190">
        <w:rPr>
          <w:i/>
        </w:rPr>
        <w:t>species</w:t>
      </w:r>
      <w:r w:rsidRPr="00273106">
        <w:rPr>
          <w:i/>
        </w:rPr>
        <w:t xml:space="preserve"> intelligibilis</w:t>
      </w:r>
      <w:r w:rsidRPr="00273106">
        <w:t xml:space="preserve"> v CMDA (</w:t>
      </w:r>
      <w:r w:rsidR="08BF2C74">
        <w:t xml:space="preserve">OBJ I, </w:t>
      </w:r>
      <w:r w:rsidRPr="00273106">
        <w:t xml:space="preserve">kap. 2.4.2). </w:t>
      </w:r>
      <w:r>
        <w:t xml:space="preserve">Definice </w:t>
      </w:r>
      <w:r w:rsidR="00962190">
        <w:rPr>
          <w:i/>
        </w:rPr>
        <w:t>species</w:t>
      </w:r>
      <w:r>
        <w:t xml:space="preserve"> je dána v modu porretánského jsoucna třetího druhu, které je univočně nazíráno jak v </w:t>
      </w:r>
      <w:proofErr w:type="gramStart"/>
      <w:r>
        <w:t>intelektu tak</w:t>
      </w:r>
      <w:proofErr w:type="gramEnd"/>
      <w:r>
        <w:t xml:space="preserve"> ve věcech. Bonaventurova definice </w:t>
      </w:r>
      <w:r w:rsidR="00962190">
        <w:rPr>
          <w:i/>
        </w:rPr>
        <w:t>species</w:t>
      </w:r>
      <w:r>
        <w:rPr>
          <w:i/>
        </w:rPr>
        <w:fldChar w:fldCharType="begin"/>
      </w:r>
      <w:r>
        <w:instrText xml:space="preserve"> XE "</w:instrText>
      </w:r>
      <w:r w:rsidRPr="00374FA1">
        <w:rPr>
          <w:i/>
        </w:rPr>
        <w:instrText>species sensibilis</w:instrText>
      </w:r>
      <w:r>
        <w:instrText xml:space="preserve">" </w:instrText>
      </w:r>
      <w:r>
        <w:rPr>
          <w:i/>
        </w:rPr>
        <w:fldChar w:fldCharType="end"/>
      </w:r>
      <w:r>
        <w:t xml:space="preserve"> není založena na intencionální recepci jako to má Aristotelova</w:t>
      </w:r>
      <w:r w:rsidRPr="00273106">
        <w:t xml:space="preserve"> </w:t>
      </w:r>
      <w:r>
        <w:rPr>
          <w:i/>
        </w:rPr>
        <w:t xml:space="preserve">De anima </w:t>
      </w:r>
      <w:r>
        <w:t>(</w:t>
      </w:r>
      <w:r w:rsidRPr="00273106">
        <w:rPr>
          <w:i/>
        </w:rPr>
        <w:t>speciem existentem in materia praeter materiam</w:t>
      </w:r>
      <w:r>
        <w:t>)</w:t>
      </w:r>
      <w:r w:rsidRPr="00273106">
        <w:t>.</w:t>
      </w:r>
      <w:r>
        <w:rPr>
          <w:rStyle w:val="Znakapoznpodarou"/>
        </w:rPr>
        <w:footnoteReference w:id="14"/>
      </w:r>
      <w:r>
        <w:t xml:space="preserve"> Citovaná formulace ukazuje, že </w:t>
      </w:r>
      <w:r w:rsidR="00962190" w:rsidRPr="00A96F95">
        <w:t>species</w:t>
      </w:r>
      <w:r w:rsidRPr="00273106">
        <w:t xml:space="preserve"> </w:t>
      </w:r>
      <w:r>
        <w:t>představu</w:t>
      </w:r>
      <w:r w:rsidRPr="00273106">
        <w:t xml:space="preserve">je pouze kontigentní výskyt </w:t>
      </w:r>
      <w:r>
        <w:t xml:space="preserve">univoční </w:t>
      </w:r>
      <w:r w:rsidR="00962190" w:rsidRPr="00A96F95">
        <w:t>species</w:t>
      </w:r>
      <w:r>
        <w:t xml:space="preserve">, která </w:t>
      </w:r>
      <w:r w:rsidRPr="00273106">
        <w:t xml:space="preserve">přesahuje do </w:t>
      </w:r>
      <w:r>
        <w:t xml:space="preserve">hylemorfické </w:t>
      </w:r>
      <w:r w:rsidRPr="00273106">
        <w:t>materie (</w:t>
      </w:r>
      <w:r w:rsidRPr="00273106">
        <w:rPr>
          <w:i/>
        </w:rPr>
        <w:t>in materia</w:t>
      </w:r>
      <w:r w:rsidR="00A96F95">
        <w:t>).</w:t>
      </w:r>
    </w:p>
    <w:p w:rsidR="001F71DA" w:rsidRDefault="006561AA" w:rsidP="00A96F95">
      <w:pPr>
        <w:ind w:firstLine="397"/>
      </w:pPr>
      <w:r>
        <w:t>Bonaventur n</w:t>
      </w:r>
      <w:r w:rsidR="00A96F95">
        <w:t xml:space="preserve">avíc </w:t>
      </w:r>
      <w:r>
        <w:t xml:space="preserve">tvrdí, </w:t>
      </w:r>
      <w:r w:rsidR="00A96F95">
        <w:t xml:space="preserve">že každá </w:t>
      </w:r>
      <w:r w:rsidR="08163013">
        <w:t xml:space="preserve">forma je mnohem stabilněji dána </w:t>
      </w:r>
      <w:r w:rsidR="08163013" w:rsidRPr="00273106">
        <w:t>v rámci spirituální materie, která existuje mimo běžnou materii (</w:t>
      </w:r>
      <w:r w:rsidR="08163013" w:rsidRPr="00273106">
        <w:rPr>
          <w:i/>
        </w:rPr>
        <w:t>praeter materiam</w:t>
      </w:r>
      <w:r w:rsidR="08163013" w:rsidRPr="00273106">
        <w:t xml:space="preserve">). </w:t>
      </w:r>
      <w:r w:rsidR="08163013">
        <w:t xml:space="preserve">Univerzální hylemorfismus doplnil </w:t>
      </w:r>
      <w:r w:rsidR="08163013" w:rsidRPr="00C816A2">
        <w:rPr>
          <w:i/>
        </w:rPr>
        <w:t>Oxfordian Fallacy</w:t>
      </w:r>
      <w:r w:rsidR="08163013">
        <w:rPr>
          <w:i/>
        </w:rPr>
        <w:fldChar w:fldCharType="begin"/>
      </w:r>
      <w:r w:rsidR="08163013">
        <w:instrText xml:space="preserve"> XE "</w:instrText>
      </w:r>
      <w:r w:rsidR="08163013" w:rsidRPr="0015798D">
        <w:rPr>
          <w:i/>
        </w:rPr>
        <w:instrText>Oxfordian Fallacy:</w:instrText>
      </w:r>
      <w:r w:rsidR="08163013" w:rsidRPr="000D1ABD">
        <w:instrText>Bonaventura</w:instrText>
      </w:r>
      <w:r w:rsidR="08163013">
        <w:instrText xml:space="preserve">" </w:instrText>
      </w:r>
      <w:r w:rsidR="08163013">
        <w:rPr>
          <w:i/>
        </w:rPr>
        <w:fldChar w:fldCharType="end"/>
      </w:r>
      <w:r w:rsidR="08163013">
        <w:t xml:space="preserve"> a vytváří dvě patra reality a poznání. Vznikem tohoto specifického simulákra</w:t>
      </w:r>
      <w:r w:rsidR="08163013">
        <w:fldChar w:fldCharType="begin"/>
      </w:r>
      <w:r w:rsidR="08163013">
        <w:instrText xml:space="preserve"> XE "</w:instrText>
      </w:r>
      <w:r w:rsidR="08163013" w:rsidRPr="00C2134D">
        <w:instrText>simulákrum</w:instrText>
      </w:r>
      <w:r w:rsidR="08163013">
        <w:instrText xml:space="preserve">" </w:instrText>
      </w:r>
      <w:r w:rsidR="08163013">
        <w:fldChar w:fldCharType="end"/>
      </w:r>
      <w:r w:rsidR="08163013">
        <w:t xml:space="preserve"> </w:t>
      </w:r>
      <w:r w:rsidR="08163013" w:rsidRPr="00273106">
        <w:t xml:space="preserve">je zajištěna objektivní existence </w:t>
      </w:r>
      <w:r w:rsidR="00962190" w:rsidRPr="00116C3E">
        <w:t>species</w:t>
      </w:r>
      <w:r w:rsidR="08163013" w:rsidRPr="00273106">
        <w:t xml:space="preserve"> v rámci univočního </w:t>
      </w:r>
      <w:r w:rsidR="00F07889">
        <w:t xml:space="preserve">pojetí pro </w:t>
      </w:r>
      <w:r w:rsidR="08163013" w:rsidRPr="00273106">
        <w:t xml:space="preserve">první substance, </w:t>
      </w:r>
      <w:r w:rsidR="00F07889">
        <w:t xml:space="preserve">i pro </w:t>
      </w:r>
      <w:r w:rsidR="08163013" w:rsidRPr="00273106">
        <w:t xml:space="preserve">univerzálie. </w:t>
      </w:r>
      <w:r w:rsidR="08163013">
        <w:t xml:space="preserve">Esenciální forma </w:t>
      </w:r>
      <w:r w:rsidR="00962190" w:rsidRPr="00541E7D">
        <w:t>species</w:t>
      </w:r>
      <w:r w:rsidR="08163013" w:rsidRPr="00273106">
        <w:t xml:space="preserve"> je </w:t>
      </w:r>
      <w:r w:rsidR="001F71DA">
        <w:t xml:space="preserve">pojata </w:t>
      </w:r>
      <w:r w:rsidR="08163013" w:rsidRPr="00273106">
        <w:t xml:space="preserve">v rámci </w:t>
      </w:r>
      <w:r w:rsidR="08163013">
        <w:t>Porfyri</w:t>
      </w:r>
      <w:r w:rsidR="08163013" w:rsidRPr="00273106">
        <w:t xml:space="preserve">ova stromu podle výše uvedeného dělení </w:t>
      </w:r>
      <w:r w:rsidR="08163013" w:rsidRPr="00273106">
        <w:rPr>
          <w:i/>
        </w:rPr>
        <w:t>Nominales</w:t>
      </w:r>
      <w:r w:rsidR="08163013">
        <w:t xml:space="preserve"> a porretánů</w:t>
      </w:r>
      <w:r w:rsidR="08F92E4A">
        <w:fldChar w:fldCharType="begin"/>
      </w:r>
      <w:r w:rsidR="08F92E4A">
        <w:instrText xml:space="preserve"> XE "</w:instrText>
      </w:r>
      <w:r w:rsidR="08F92E4A" w:rsidRPr="08215F9C">
        <w:instrText>porretáni</w:instrText>
      </w:r>
      <w:r w:rsidR="08F92E4A">
        <w:instrText xml:space="preserve">" </w:instrText>
      </w:r>
      <w:r w:rsidR="08F92E4A">
        <w:fldChar w:fldCharType="end"/>
      </w:r>
      <w:r w:rsidR="08163013">
        <w:t xml:space="preserve">. </w:t>
      </w:r>
    </w:p>
    <w:p w:rsidR="005E1F9A" w:rsidRDefault="001F71DA" w:rsidP="001F71DA">
      <w:pPr>
        <w:ind w:firstLine="397"/>
      </w:pPr>
      <w:r w:rsidRPr="001F71DA">
        <w:lastRenderedPageBreak/>
        <w:t xml:space="preserve">První povaha </w:t>
      </w:r>
      <w:r>
        <w:t xml:space="preserve">species </w:t>
      </w:r>
      <w:r w:rsidRPr="001F71DA">
        <w:t xml:space="preserve">vytváří </w:t>
      </w:r>
      <w:r>
        <w:t xml:space="preserve">jejich </w:t>
      </w:r>
      <w:r w:rsidRPr="001F71DA">
        <w:t xml:space="preserve">poznávací formu prostřednictvím aristotelské abstrakce v empiricky poznávající duši jako </w:t>
      </w:r>
      <w:r w:rsidRPr="001F71DA">
        <w:rPr>
          <w:i/>
        </w:rPr>
        <w:t>tabula nuda</w:t>
      </w:r>
      <w:r w:rsidRPr="001F71DA">
        <w:t xml:space="preserve">. </w:t>
      </w:r>
      <w:r>
        <w:t>D</w:t>
      </w:r>
      <w:r w:rsidR="08163013">
        <w:t xml:space="preserve">ruhý </w:t>
      </w:r>
      <w:r w:rsidR="08E20216">
        <w:t xml:space="preserve">náhled </w:t>
      </w:r>
      <w:r w:rsidR="08163013">
        <w:t xml:space="preserve">už nazírá totéž </w:t>
      </w:r>
      <w:r w:rsidR="00962190" w:rsidRPr="001F71DA">
        <w:t>species</w:t>
      </w:r>
      <w:r w:rsidR="08163013">
        <w:t xml:space="preserve"> v jeho věčně dané esenci jako přímý náhled na trvalou a exemplární poznatelnou formu. </w:t>
      </w:r>
      <w:r w:rsidR="08163013">
        <w:fldChar w:fldCharType="begin"/>
      </w:r>
      <w:r w:rsidR="08163013">
        <w:instrText xml:space="preserve"> XE "</w:instrText>
      </w:r>
      <w:r w:rsidR="08163013" w:rsidRPr="08891294">
        <w:rPr>
          <w:i/>
        </w:rPr>
        <w:instrText>species</w:instrText>
      </w:r>
      <w:r w:rsidR="08163013" w:rsidRPr="0099252F">
        <w:instrText>:Bonaventura</w:instrText>
      </w:r>
      <w:r w:rsidR="08163013">
        <w:instrText xml:space="preserve">" </w:instrText>
      </w:r>
      <w:r w:rsidR="08163013">
        <w:fldChar w:fldCharType="end"/>
      </w:r>
      <w:r w:rsidR="08163013">
        <w:t xml:space="preserve">Podstata </w:t>
      </w:r>
      <w:r w:rsidR="00962190">
        <w:rPr>
          <w:i/>
        </w:rPr>
        <w:t>species</w:t>
      </w:r>
      <w:r w:rsidR="08163013">
        <w:t xml:space="preserve"> má status hypostázovaného porretánského jsoucna, které se někde a nějak aktualizuje kontingentně a pak je i smyslově poznatelné. P</w:t>
      </w:r>
      <w:r w:rsidR="08163013" w:rsidRPr="00273106">
        <w:t xml:space="preserve">oznání </w:t>
      </w:r>
      <w:r w:rsidR="08163013">
        <w:t xml:space="preserve">je pak </w:t>
      </w:r>
      <w:r w:rsidR="08163013" w:rsidRPr="00273106">
        <w:t>různě pravdivé podle rozdílu mezi</w:t>
      </w:r>
      <w:r w:rsidR="08163013">
        <w:t xml:space="preserve"> aristotelskou pravdou danou abstrakcí (</w:t>
      </w:r>
      <w:r w:rsidR="08163013" w:rsidRPr="082B2E7D">
        <w:rPr>
          <w:i/>
        </w:rPr>
        <w:t>per similitudinem</w:t>
      </w:r>
      <w:r w:rsidR="08163013">
        <w:t>) a avicennistickou pravdou danou denudací (</w:t>
      </w:r>
      <w:r w:rsidR="08163013" w:rsidRPr="082B2E7D">
        <w:rPr>
          <w:i/>
        </w:rPr>
        <w:t>per essentiam</w:t>
      </w:r>
      <w:r w:rsidR="08163013">
        <w:t>)</w:t>
      </w:r>
      <w:r w:rsidR="08163013" w:rsidRPr="00273106">
        <w:t xml:space="preserve">. Smyslová </w:t>
      </w:r>
      <w:r w:rsidR="00962190">
        <w:rPr>
          <w:i/>
        </w:rPr>
        <w:t>species</w:t>
      </w:r>
      <w:r w:rsidR="08163013">
        <w:t xml:space="preserve"> jsou jen </w:t>
      </w:r>
      <w:r w:rsidR="00F41793">
        <w:t xml:space="preserve">vedlejší </w:t>
      </w:r>
      <w:r w:rsidR="08163013" w:rsidRPr="00273106">
        <w:t>podmínkou autonomního poznání</w:t>
      </w:r>
      <w:r w:rsidR="00056D03">
        <w:t xml:space="preserve">. To obejde i </w:t>
      </w:r>
      <w:r w:rsidR="08163013">
        <w:t xml:space="preserve">bez </w:t>
      </w:r>
      <w:proofErr w:type="gramStart"/>
      <w:r w:rsidR="08163013">
        <w:t>smyslů , pokud</w:t>
      </w:r>
      <w:proofErr w:type="gramEnd"/>
      <w:r w:rsidR="08163013">
        <w:t xml:space="preserve"> vystupuje k vyšší pravdě. Intelekt je aktualizován aktem iluminace z odděleného typu poznání daného náhledem esencí. P</w:t>
      </w:r>
      <w:r w:rsidR="08163013" w:rsidRPr="00273106">
        <w:t xml:space="preserve">roto bere abstrakci danou v prvním averroismu pouze jako sekundární </w:t>
      </w:r>
      <w:r w:rsidR="00D04370">
        <w:t>nástroj poznání</w:t>
      </w:r>
      <w:r w:rsidR="08163013" w:rsidRPr="00273106">
        <w:t xml:space="preserve">. První model tohoto poznání přinesl </w:t>
      </w:r>
      <w:r w:rsidR="08163013">
        <w:t xml:space="preserve">do Paříže </w:t>
      </w:r>
      <w:r w:rsidR="08163013" w:rsidRPr="00273106">
        <w:t xml:space="preserve">Rufusův </w:t>
      </w:r>
      <w:r w:rsidR="08163013">
        <w:t xml:space="preserve">a Kilwardbyho </w:t>
      </w:r>
      <w:r w:rsidR="08163013" w:rsidRPr="00273106">
        <w:t xml:space="preserve">komentář ke </w:t>
      </w:r>
      <w:r w:rsidR="08163013" w:rsidRPr="005B5444">
        <w:rPr>
          <w:i/>
        </w:rPr>
        <w:t>Druhým analytikám</w:t>
      </w:r>
      <w:r w:rsidR="08163013" w:rsidRPr="00273106">
        <w:t xml:space="preserve">. </w:t>
      </w:r>
      <w:r w:rsidR="08163013">
        <w:t>Bonaventura rozšiřuje jejich výklad do moderní ontoteologické struktury dané objektivně. P</w:t>
      </w:r>
      <w:r w:rsidR="08163013" w:rsidRPr="00273106">
        <w:t xml:space="preserve">redikaci </w:t>
      </w:r>
      <w:r w:rsidR="08163013" w:rsidRPr="00273106">
        <w:rPr>
          <w:i/>
        </w:rPr>
        <w:t>per prius</w:t>
      </w:r>
      <w:r w:rsidR="08163013" w:rsidRPr="00273106">
        <w:t xml:space="preserve"> určuje primát autonomní formy dané podle </w:t>
      </w:r>
      <w:r w:rsidR="08163013">
        <w:t>neoplatonsk</w:t>
      </w:r>
      <w:r w:rsidR="08163013" w:rsidRPr="00273106">
        <w:t xml:space="preserve">é </w:t>
      </w:r>
      <w:r w:rsidR="08163013" w:rsidRPr="00273106">
        <w:rPr>
          <w:i/>
        </w:rPr>
        <w:t>Liber de causis</w:t>
      </w:r>
      <w:r w:rsidR="08163013">
        <w:rPr>
          <w:i/>
        </w:rPr>
        <w:fldChar w:fldCharType="begin"/>
      </w:r>
      <w:r w:rsidR="08163013">
        <w:instrText xml:space="preserve"> XE "</w:instrText>
      </w:r>
      <w:r w:rsidR="08163013" w:rsidRPr="00C46BD8">
        <w:rPr>
          <w:i/>
        </w:rPr>
        <w:instrText>Liber de causis</w:instrText>
      </w:r>
      <w:r w:rsidR="08163013">
        <w:instrText xml:space="preserve">" </w:instrText>
      </w:r>
      <w:r w:rsidR="08163013">
        <w:rPr>
          <w:i/>
        </w:rPr>
        <w:fldChar w:fldCharType="end"/>
      </w:r>
      <w:r w:rsidR="08163013" w:rsidRPr="00273106">
        <w:t xml:space="preserve">, a nikoliv </w:t>
      </w:r>
      <w:r w:rsidR="08163013">
        <w:t xml:space="preserve">podle </w:t>
      </w:r>
      <w:r w:rsidR="08163013" w:rsidRPr="00273106">
        <w:t xml:space="preserve">aktuální existence první substance jako u Aristotela a </w:t>
      </w:r>
      <w:r w:rsidR="08163013">
        <w:t>Averroes</w:t>
      </w:r>
      <w:r w:rsidR="08163013" w:rsidRPr="00273106">
        <w:t>e.</w:t>
      </w:r>
      <w:r w:rsidR="08163013" w:rsidRPr="00273106">
        <w:rPr>
          <w:rStyle w:val="Znakapoznpodarou"/>
        </w:rPr>
        <w:footnoteReference w:id="15"/>
      </w:r>
      <w:r w:rsidR="08163013" w:rsidRPr="00273106">
        <w:t xml:space="preserve"> Determinace </w:t>
      </w:r>
      <w:r w:rsidR="00962190">
        <w:rPr>
          <w:i/>
        </w:rPr>
        <w:t>species</w:t>
      </w:r>
      <w:r w:rsidR="08163013" w:rsidRPr="00273106">
        <w:t xml:space="preserve"> není dána od první substance v reálu, ale od vrozené ideje </w:t>
      </w:r>
      <w:r w:rsidR="00962190">
        <w:rPr>
          <w:i/>
        </w:rPr>
        <w:t>species</w:t>
      </w:r>
      <w:r w:rsidR="08163013" w:rsidRPr="00273106">
        <w:t xml:space="preserve"> (</w:t>
      </w:r>
      <w:r w:rsidR="00962190">
        <w:rPr>
          <w:i/>
        </w:rPr>
        <w:t>species</w:t>
      </w:r>
      <w:r w:rsidR="08163013" w:rsidRPr="00273106">
        <w:rPr>
          <w:i/>
        </w:rPr>
        <w:t xml:space="preserve"> innata</w:t>
      </w:r>
      <w:r w:rsidR="08163013">
        <w:rPr>
          <w:i/>
        </w:rPr>
        <w:fldChar w:fldCharType="begin"/>
      </w:r>
      <w:r w:rsidR="08163013">
        <w:instrText xml:space="preserve"> XE "</w:instrText>
      </w:r>
      <w:r w:rsidR="08163013" w:rsidRPr="00D770FF">
        <w:rPr>
          <w:i/>
        </w:rPr>
        <w:instrText>species innata</w:instrText>
      </w:r>
      <w:r w:rsidR="08163013">
        <w:instrText xml:space="preserve">" </w:instrText>
      </w:r>
      <w:r w:rsidR="08163013">
        <w:rPr>
          <w:i/>
        </w:rPr>
        <w:fldChar w:fldCharType="end"/>
      </w:r>
      <w:r w:rsidR="08163013" w:rsidRPr="00273106">
        <w:t xml:space="preserve">), kterou Descartes vyměnil za vrozenou ideu </w:t>
      </w:r>
      <w:r w:rsidR="00A71F36">
        <w:t xml:space="preserve">moderního </w:t>
      </w:r>
      <w:r w:rsidR="08163013" w:rsidRPr="00273106">
        <w:t xml:space="preserve">boha v nás. </w:t>
      </w:r>
      <w:r w:rsidR="08163013">
        <w:t>Akt dvojího náhledu determinuje scénář moderního a postmoderního poznání jako eidetické evidence</w:t>
      </w:r>
      <w:r w:rsidR="08163013">
        <w:fldChar w:fldCharType="begin"/>
      </w:r>
      <w:r w:rsidR="08163013">
        <w:instrText xml:space="preserve"> XE "vidění:eidetické" </w:instrText>
      </w:r>
      <w:r w:rsidR="08163013">
        <w:fldChar w:fldCharType="end"/>
      </w:r>
      <w:r w:rsidR="08163013">
        <w:t xml:space="preserve"> </w:t>
      </w:r>
      <w:r w:rsidR="003F053B">
        <w:t xml:space="preserve">nazírané skrze </w:t>
      </w:r>
      <w:r w:rsidR="08163013" w:rsidRPr="005D5852">
        <w:rPr>
          <w:i/>
        </w:rPr>
        <w:t>cogito</w:t>
      </w:r>
      <w:r w:rsidR="08163013">
        <w:t xml:space="preserve"> (Descartes, Husserl). Bytí vrozené</w:t>
      </w:r>
      <w:r w:rsidR="08163013" w:rsidRPr="00273106">
        <w:t xml:space="preserve"> </w:t>
      </w:r>
      <w:r w:rsidR="00962190">
        <w:rPr>
          <w:i/>
        </w:rPr>
        <w:t>species</w:t>
      </w:r>
      <w:r w:rsidR="08163013" w:rsidRPr="00273106">
        <w:t xml:space="preserve"> se predikuje v ontoteologickém modu </w:t>
      </w:r>
      <w:r w:rsidR="08163013" w:rsidRPr="00273106">
        <w:rPr>
          <w:i/>
        </w:rPr>
        <w:t>per prius</w:t>
      </w:r>
      <w:r w:rsidR="08163013" w:rsidRPr="00273106">
        <w:t xml:space="preserve"> a v duši je dáno přímo, nasvícením intelektu </w:t>
      </w:r>
      <w:r w:rsidR="08163013">
        <w:t>zezadu, od božího exemplaru</w:t>
      </w:r>
      <w:r w:rsidR="005E1F9A">
        <w:t>.</w:t>
      </w:r>
    </w:p>
    <w:p w:rsidR="08163013" w:rsidRPr="00273106" w:rsidRDefault="08163013" w:rsidP="001F71DA">
      <w:pPr>
        <w:ind w:firstLine="397"/>
      </w:pPr>
      <w:r>
        <w:t xml:space="preserve">Tento interpretační výkon stojí za bližší analýzu, protože umožnil dějinné působení moderny. </w:t>
      </w:r>
      <w:r w:rsidR="08E20216">
        <w:t xml:space="preserve">Moderní </w:t>
      </w:r>
      <w:r>
        <w:t>Bonaventura dokázal najít nový druh predikace tam, kde Rufusovi chyběly nástroje k vytvoření konkrétní predikace</w:t>
      </w:r>
      <w:r>
        <w:fldChar w:fldCharType="begin"/>
      </w:r>
      <w:r>
        <w:instrText xml:space="preserve"> XE "</w:instrText>
      </w:r>
      <w:r w:rsidRPr="009E7F23">
        <w:instrText>predikace:konkrétní</w:instrText>
      </w:r>
      <w:r>
        <w:instrText xml:space="preserve">" </w:instrText>
      </w:r>
      <w:r>
        <w:fldChar w:fldCharType="end"/>
      </w:r>
      <w:r>
        <w:t xml:space="preserve"> (</w:t>
      </w:r>
      <w:r w:rsidRPr="00273106">
        <w:rPr>
          <w:i/>
        </w:rPr>
        <w:t>neque secundum concretionem habentur simplicia vocabula</w:t>
      </w:r>
      <w:r w:rsidR="08225169">
        <w:t>; OBJ II, kap. 3</w:t>
      </w:r>
      <w:r>
        <w:t>.3.4). Rufus</w:t>
      </w:r>
      <w:r w:rsidR="002D1171">
        <w:t xml:space="preserve"> vytvořil </w:t>
      </w:r>
      <w:r>
        <w:t xml:space="preserve">rovnost </w:t>
      </w:r>
      <w:r w:rsidR="00962190" w:rsidRPr="002D1171">
        <w:t>species</w:t>
      </w:r>
      <w:r>
        <w:t xml:space="preserve"> třetího druhu (</w:t>
      </w:r>
      <w:r w:rsidRPr="00D05884">
        <w:rPr>
          <w:i/>
        </w:rPr>
        <w:t>coaequatio</w:t>
      </w:r>
      <w:r>
        <w:t>)</w:t>
      </w:r>
      <w:r w:rsidR="002D1171">
        <w:t xml:space="preserve">. Bonaventura </w:t>
      </w:r>
      <w:r>
        <w:t xml:space="preserve">je </w:t>
      </w:r>
      <w:r w:rsidR="002D1171">
        <w:t xml:space="preserve">poslal do </w:t>
      </w:r>
      <w:r>
        <w:t>první</w:t>
      </w:r>
      <w:r w:rsidR="002D1171">
        <w:t>ho patra</w:t>
      </w:r>
      <w:r>
        <w:t xml:space="preserve"> podobnosti </w:t>
      </w:r>
      <w:r w:rsidRPr="00273106">
        <w:t xml:space="preserve">podle Aristotelovy abstrakce </w:t>
      </w:r>
      <w:r w:rsidR="00962190">
        <w:rPr>
          <w:i/>
        </w:rPr>
        <w:t>species</w:t>
      </w:r>
      <w:r w:rsidRPr="00273106">
        <w:rPr>
          <w:i/>
        </w:rPr>
        <w:t xml:space="preserve"> sensibilis</w:t>
      </w:r>
      <w:r w:rsidRPr="00273106">
        <w:t xml:space="preserve"> a </w:t>
      </w:r>
      <w:r w:rsidRPr="00273106">
        <w:rPr>
          <w:i/>
        </w:rPr>
        <w:t>intelligibilis</w:t>
      </w:r>
      <w:r w:rsidR="002D1171">
        <w:t xml:space="preserve">. Tato </w:t>
      </w:r>
      <w:r>
        <w:t xml:space="preserve">nižší forma náhledu </w:t>
      </w:r>
      <w:r w:rsidR="002D1171">
        <w:t xml:space="preserve">ale </w:t>
      </w:r>
      <w:r w:rsidRPr="00273106">
        <w:t xml:space="preserve">dojde </w:t>
      </w:r>
      <w:r w:rsidR="002D1171">
        <w:t xml:space="preserve">pouze </w:t>
      </w:r>
      <w:r w:rsidRPr="00273106">
        <w:t>ke kontingent</w:t>
      </w:r>
      <w:r w:rsidR="002D1171">
        <w:t>nímu poznání čistých</w:t>
      </w:r>
      <w:r w:rsidRPr="00273106">
        <w:t xml:space="preserve"> for</w:t>
      </w:r>
      <w:r w:rsidR="002D1171">
        <w:t>em a esencí</w:t>
      </w:r>
      <w:r w:rsidRPr="00273106">
        <w:t xml:space="preserve">. </w:t>
      </w:r>
      <w:r w:rsidR="00D648BB">
        <w:t>Bonaven</w:t>
      </w:r>
      <w:r w:rsidR="004D6A77">
        <w:t xml:space="preserve">tura tím vytvořil kategoriální predikaci o dvou patrech, kde dal sofistický základ podle </w:t>
      </w:r>
      <w:r w:rsidR="004D6A77">
        <w:lastRenderedPageBreak/>
        <w:t xml:space="preserve">Aristotelslových </w:t>
      </w:r>
      <w:r w:rsidR="004D6A77">
        <w:rPr>
          <w:i/>
        </w:rPr>
        <w:t>Kategor</w:t>
      </w:r>
      <w:r w:rsidR="004D6A77" w:rsidRPr="004D6A77">
        <w:rPr>
          <w:i/>
        </w:rPr>
        <w:t>ií</w:t>
      </w:r>
      <w:r w:rsidR="004D6A77">
        <w:t xml:space="preserve"> a tím formálně odpověděl na devastující část kritiky prvního averroismu, který modernisty pokládal za filosofické blázny. Ale ve skutečnosti Bonave</w:t>
      </w:r>
      <w:r w:rsidR="00D648BB">
        <w:t>n</w:t>
      </w:r>
      <w:r w:rsidR="004D6A77">
        <w:t xml:space="preserve">tura pracuje se scénářem nasvícení Rufusových </w:t>
      </w:r>
      <w:r w:rsidR="00F51222" w:rsidRPr="00766750">
        <w:rPr>
          <w:i/>
        </w:rPr>
        <w:t>scibilia</w:t>
      </w:r>
      <w:r w:rsidR="00F51222">
        <w:t xml:space="preserve"> </w:t>
      </w:r>
      <w:r w:rsidR="004D6A77">
        <w:t>zezadu</w:t>
      </w:r>
      <w:r w:rsidR="00911AE1">
        <w:t>,</w:t>
      </w:r>
      <w:r w:rsidR="004D6A77">
        <w:t xml:space="preserve"> skrze přímou intuici ilumináta. Pak ale žádnou kategoriální predikaci nepotřebuje, jen moderní a postmoderní dialektické dělení a třídění významů v rámci </w:t>
      </w:r>
      <w:r w:rsidR="004D6A77" w:rsidRPr="004D6A77">
        <w:rPr>
          <w:i/>
        </w:rPr>
        <w:t>Arbor Porphyriana</w:t>
      </w:r>
      <w:r w:rsidR="004D6A77">
        <w:rPr>
          <w:i/>
        </w:rPr>
        <w:fldChar w:fldCharType="begin"/>
      </w:r>
      <w:r w:rsidR="004D6A77">
        <w:instrText xml:space="preserve"> XE "</w:instrText>
      </w:r>
      <w:r w:rsidR="004D6A77" w:rsidRPr="00446936">
        <w:rPr>
          <w:i/>
        </w:rPr>
        <w:instrText>Arbor Porphyriana</w:instrText>
      </w:r>
      <w:r w:rsidR="004D6A77">
        <w:instrText xml:space="preserve">" </w:instrText>
      </w:r>
      <w:r w:rsidR="004D6A77">
        <w:rPr>
          <w:i/>
        </w:rPr>
        <w:fldChar w:fldCharType="end"/>
      </w:r>
      <w:r w:rsidR="00902381">
        <w:t xml:space="preserve">. </w:t>
      </w:r>
      <w:r w:rsidR="002D1171">
        <w:t>P</w:t>
      </w:r>
      <w:r>
        <w:t xml:space="preserve">ravdivé poznání sestupuje systémem dedukce podle </w:t>
      </w:r>
      <w:r w:rsidRPr="08EA1231">
        <w:rPr>
          <w:i/>
        </w:rPr>
        <w:t>Liber de causis</w:t>
      </w:r>
      <w:r>
        <w:t xml:space="preserve"> od esenciálního náhledu vyšších forem k nižším. </w:t>
      </w:r>
    </w:p>
    <w:p w:rsidR="08163013" w:rsidRPr="00F44E3B" w:rsidRDefault="08163013" w:rsidP="08163013">
      <w:pPr>
        <w:pStyle w:val="Citace"/>
        <w:rPr>
          <w:noProof/>
          <w:szCs w:val="24"/>
          <w:lang w:val="cs-CZ"/>
        </w:rPr>
      </w:pPr>
      <w:r w:rsidRPr="00273106">
        <w:rPr>
          <w:noProof/>
          <w:szCs w:val="24"/>
          <w:lang w:val="cs-CZ"/>
        </w:rPr>
        <w:t>„</w:t>
      </w:r>
      <w:r>
        <w:rPr>
          <w:noProof/>
          <w:szCs w:val="24"/>
          <w:lang w:val="cs-CZ"/>
        </w:rPr>
        <w:t>Intelekt je pravdivý, pokud poznává, jak je věc dána</w:t>
      </w:r>
      <w:r w:rsidR="082A09F0">
        <w:rPr>
          <w:noProof/>
          <w:szCs w:val="24"/>
          <w:lang w:val="cs-CZ"/>
        </w:rPr>
        <w:t xml:space="preserve"> </w:t>
      </w:r>
      <w:r w:rsidR="082A09F0" w:rsidRPr="00D10BB4">
        <w:rPr>
          <w:lang w:val="cs-CZ"/>
        </w:rPr>
        <w:t>(</w:t>
      </w:r>
      <w:r w:rsidR="082A09F0" w:rsidRPr="00D71C36">
        <w:rPr>
          <w:i/>
          <w:noProof/>
        </w:rPr>
        <w:t>sicut est in re</w:t>
      </w:r>
      <w:r w:rsidR="082A09F0" w:rsidRPr="00D10BB4">
        <w:rPr>
          <w:lang w:val="cs-CZ"/>
        </w:rPr>
        <w:t>)</w:t>
      </w:r>
      <w:r>
        <w:rPr>
          <w:noProof/>
          <w:szCs w:val="24"/>
          <w:lang w:val="cs-CZ"/>
        </w:rPr>
        <w:t>. Kdyby nepoznával, jak je věc doopravdy dána, byl by falešný a marný.  Jak racionální filosof tak i metafyzik tvrdí, že diference jsou extrahovány z rodu jako potence. Proto je nutné (</w:t>
      </w:r>
      <w:r w:rsidRPr="00306A00">
        <w:rPr>
          <w:i/>
          <w:noProof/>
          <w:szCs w:val="24"/>
          <w:lang w:val="cs-CZ"/>
        </w:rPr>
        <w:t>ergo oportet</w:t>
      </w:r>
      <w:r>
        <w:rPr>
          <w:noProof/>
          <w:szCs w:val="24"/>
          <w:lang w:val="cs-CZ"/>
        </w:rPr>
        <w:t>), aby byly takto dány i v samotné věci (</w:t>
      </w:r>
      <w:r w:rsidRPr="0071630D">
        <w:rPr>
          <w:i/>
          <w:noProof/>
        </w:rPr>
        <w:t>ita sit in re</w:t>
      </w:r>
      <w:r>
        <w:rPr>
          <w:noProof/>
          <w:szCs w:val="24"/>
          <w:lang w:val="cs-CZ"/>
        </w:rPr>
        <w:t>), protože formy méně univerzální přicházejí do bytí směrem od forem více univerzálních (</w:t>
      </w:r>
      <w:r w:rsidRPr="08530460">
        <w:rPr>
          <w:i/>
          <w:noProof/>
        </w:rPr>
        <w:t>exeant in esse a formis magis universalibus</w:t>
      </w:r>
      <w:r>
        <w:rPr>
          <w:noProof/>
          <w:szCs w:val="24"/>
          <w:lang w:val="cs-CZ"/>
        </w:rPr>
        <w:t xml:space="preserve">). Jinak by úvahy logiků a filosofů byly úplně marné.“ </w:t>
      </w:r>
      <w:r>
        <w:rPr>
          <w:rStyle w:val="Znakapoznpodarou"/>
        </w:rPr>
        <w:footnoteReference w:id="16"/>
      </w:r>
    </w:p>
    <w:p w:rsidR="009F6006" w:rsidRDefault="08EF7F55" w:rsidP="009F6006">
      <w:r>
        <w:t>První averroismus zásadně odmítá tezi</w:t>
      </w:r>
      <w:r w:rsidR="00CF4B65">
        <w:t xml:space="preserve"> modernistů</w:t>
      </w:r>
      <w:r>
        <w:t>, že by v reálné věci (</w:t>
      </w:r>
      <w:r w:rsidRPr="08EF7F55">
        <w:rPr>
          <w:i/>
        </w:rPr>
        <w:t>in re</w:t>
      </w:r>
      <w:r w:rsidR="00CF4B65">
        <w:t xml:space="preserve">) </w:t>
      </w:r>
      <w:proofErr w:type="gramStart"/>
      <w:r w:rsidR="00CF4B65">
        <w:t>existovaly</w:t>
      </w:r>
      <w:proofErr w:type="gramEnd"/>
      <w:r>
        <w:t xml:space="preserve"> univerzální určení. </w:t>
      </w:r>
      <w:r w:rsidR="009E571C">
        <w:t>Citát založil</w:t>
      </w:r>
      <w:r w:rsidR="08163013">
        <w:t xml:space="preserve"> </w:t>
      </w:r>
      <w:r w:rsidR="08163013" w:rsidRPr="00273106">
        <w:t xml:space="preserve">pojetí </w:t>
      </w:r>
      <w:r w:rsidR="08163013">
        <w:t xml:space="preserve">objektivní </w:t>
      </w:r>
      <w:r w:rsidR="08163013" w:rsidRPr="00273106">
        <w:t>vědecké dedukce</w:t>
      </w:r>
      <w:r w:rsidR="08163013">
        <w:fldChar w:fldCharType="begin"/>
      </w:r>
      <w:r w:rsidR="08163013">
        <w:instrText xml:space="preserve"> XE "</w:instrText>
      </w:r>
      <w:r w:rsidR="08163013" w:rsidRPr="00443810">
        <w:instrText>dedukce:Bonaventura</w:instrText>
      </w:r>
      <w:r w:rsidR="08163013">
        <w:instrText xml:space="preserve">" </w:instrText>
      </w:r>
      <w:r w:rsidR="08163013">
        <w:fldChar w:fldCharType="end"/>
      </w:r>
      <w:r w:rsidR="08163013" w:rsidRPr="00273106">
        <w:t xml:space="preserve">, </w:t>
      </w:r>
      <w:r w:rsidR="009E571C">
        <w:t xml:space="preserve">v níž </w:t>
      </w:r>
      <w:r w:rsidR="08163013" w:rsidRPr="00273106">
        <w:t xml:space="preserve">bytí nižších forem </w:t>
      </w:r>
      <w:r w:rsidR="08163013">
        <w:t xml:space="preserve">vychází z bytí </w:t>
      </w:r>
      <w:r w:rsidR="08163013" w:rsidRPr="00273106">
        <w:t>vyšší</w:t>
      </w:r>
      <w:r w:rsidR="08163013">
        <w:t>ch</w:t>
      </w:r>
      <w:r w:rsidR="08163013" w:rsidRPr="00273106">
        <w:t xml:space="preserve"> univerzální</w:t>
      </w:r>
      <w:r w:rsidR="08163013">
        <w:t>ch</w:t>
      </w:r>
      <w:r w:rsidR="08163013" w:rsidRPr="00273106">
        <w:t xml:space="preserve"> for</w:t>
      </w:r>
      <w:r w:rsidR="08163013">
        <w:t>e</w:t>
      </w:r>
      <w:r w:rsidR="08163013" w:rsidRPr="00273106">
        <w:t>m (</w:t>
      </w:r>
      <w:r w:rsidR="08163013" w:rsidRPr="00273106">
        <w:rPr>
          <w:i/>
          <w:szCs w:val="24"/>
        </w:rPr>
        <w:t>formae minus universales exeant in esse a formis magis universalibus</w:t>
      </w:r>
      <w:r w:rsidR="08163013">
        <w:t xml:space="preserve">). První věta potvrzuje </w:t>
      </w:r>
      <w:r w:rsidR="08163013" w:rsidRPr="00273106">
        <w:t xml:space="preserve">model pravdy jako Rufusova </w:t>
      </w:r>
      <w:r w:rsidR="08163013" w:rsidRPr="00273106">
        <w:rPr>
          <w:i/>
        </w:rPr>
        <w:t>coaequatio</w:t>
      </w:r>
      <w:r w:rsidR="08163013">
        <w:rPr>
          <w:i/>
        </w:rPr>
        <w:fldChar w:fldCharType="begin"/>
      </w:r>
      <w:r w:rsidR="08163013">
        <w:instrText xml:space="preserve"> XE "pravda:</w:instrText>
      </w:r>
      <w:r w:rsidR="08163013" w:rsidRPr="00E11E1F">
        <w:rPr>
          <w:i/>
        </w:rPr>
        <w:instrText>coaequatio</w:instrText>
      </w:r>
      <w:r w:rsidR="08163013">
        <w:instrText xml:space="preserve">" </w:instrText>
      </w:r>
      <w:r w:rsidR="08163013">
        <w:rPr>
          <w:i/>
        </w:rPr>
        <w:fldChar w:fldCharType="end"/>
      </w:r>
      <w:r w:rsidR="005A2BC3">
        <w:t>. R</w:t>
      </w:r>
      <w:r w:rsidR="08163013">
        <w:t xml:space="preserve">eálné věci přímo a v univočním modu </w:t>
      </w:r>
      <w:r w:rsidR="005A2BC3">
        <w:t>obsahují u</w:t>
      </w:r>
      <w:r w:rsidR="08163013">
        <w:t xml:space="preserve">niverzální diference dané </w:t>
      </w:r>
      <w:r w:rsidR="005A2BC3">
        <w:t>jako r</w:t>
      </w:r>
      <w:r w:rsidR="08163013">
        <w:t xml:space="preserve">odově </w:t>
      </w:r>
      <w:r w:rsidR="005A2BC3">
        <w:t xml:space="preserve">určené </w:t>
      </w:r>
      <w:r w:rsidR="08163013" w:rsidRPr="00273106">
        <w:t>esenc</w:t>
      </w:r>
      <w:r w:rsidR="005A2BC3">
        <w:t xml:space="preserve">e </w:t>
      </w:r>
      <w:r w:rsidR="08163013" w:rsidRPr="00273106">
        <w:t>(</w:t>
      </w:r>
      <w:r w:rsidR="08163013" w:rsidRPr="00273106">
        <w:rPr>
          <w:i/>
          <w:szCs w:val="24"/>
        </w:rPr>
        <w:t>differentias extrahi de potentia generis</w:t>
      </w:r>
      <w:r w:rsidR="08163013" w:rsidRPr="00273106">
        <w:t xml:space="preserve">). </w:t>
      </w:r>
      <w:r w:rsidR="00C43572">
        <w:t>Filosof jako pravý iluminát (</w:t>
      </w:r>
      <w:r w:rsidR="00C43572" w:rsidRPr="00C43572">
        <w:rPr>
          <w:i/>
          <w:noProof/>
        </w:rPr>
        <w:t>metaphysicus</w:t>
      </w:r>
      <w:r w:rsidR="00C43572">
        <w:t>) má čistý moderní a později karteziánský intelekt (</w:t>
      </w:r>
      <w:r w:rsidR="00C43572" w:rsidRPr="00273106">
        <w:rPr>
          <w:i/>
          <w:szCs w:val="24"/>
        </w:rPr>
        <w:t>intellectus, si verus est</w:t>
      </w:r>
      <w:r w:rsidR="00C43572">
        <w:t xml:space="preserve">), který tato </w:t>
      </w:r>
      <w:r w:rsidR="08163013">
        <w:t xml:space="preserve">univerzální </w:t>
      </w:r>
      <w:r w:rsidR="00962190" w:rsidRPr="00C43572">
        <w:t>species</w:t>
      </w:r>
      <w:r w:rsidR="08163013">
        <w:t xml:space="preserve"> </w:t>
      </w:r>
      <w:r w:rsidR="00C43572">
        <w:t xml:space="preserve">vidí všude kolem sebe. Pak </w:t>
      </w:r>
      <w:r w:rsidR="08163013">
        <w:t xml:space="preserve">jejich správnost </w:t>
      </w:r>
      <w:r w:rsidR="00C43572">
        <w:t xml:space="preserve">jen </w:t>
      </w:r>
      <w:r w:rsidR="08163013">
        <w:t xml:space="preserve">sekundárně potvrzuje </w:t>
      </w:r>
      <w:r w:rsidR="08163013" w:rsidRPr="00273106">
        <w:t>prostřednictvím externí věci (</w:t>
      </w:r>
      <w:r w:rsidR="08163013" w:rsidRPr="00273106">
        <w:rPr>
          <w:i/>
          <w:szCs w:val="24"/>
        </w:rPr>
        <w:t>intelligit, sicut est in re</w:t>
      </w:r>
      <w:r w:rsidR="00C43572">
        <w:t xml:space="preserve">). </w:t>
      </w:r>
      <w:r w:rsidR="08163013">
        <w:t xml:space="preserve">Hylemorfická první substance jen exemplifikuje přímo nahlíženou objektivní pravdu. </w:t>
      </w:r>
      <w:r w:rsidR="00C43572">
        <w:t>Naopak onen přírodní aristotelský filosof slabšího ducha (</w:t>
      </w:r>
      <w:r w:rsidR="00C43572" w:rsidRPr="00C43572">
        <w:rPr>
          <w:i/>
          <w:noProof/>
        </w:rPr>
        <w:t>rationalis philosophus</w:t>
      </w:r>
      <w:r w:rsidR="00C43572">
        <w:t>) musí jít složitou cestou abstzrakce a kategoriální predikace, aby vůbec něco aspoň trochu pravdivě poznal. Je úplně jasné, že podobná nauka vyvoala napstré zděšení u skutečných filosofů, což byli do roku 1255 sekulární artisté v Paříži jako Guillelmus</w:t>
      </w:r>
      <w:r w:rsidR="00C43572" w:rsidRPr="00E735C5">
        <w:t xml:space="preserve"> de </w:t>
      </w:r>
      <w:r w:rsidR="00C43572" w:rsidRPr="00E735C5">
        <w:rPr>
          <w:szCs w:val="16"/>
        </w:rPr>
        <w:t xml:space="preserve">Sancto </w:t>
      </w:r>
      <w:r w:rsidR="00C43572" w:rsidRPr="00E735C5">
        <w:rPr>
          <w:szCs w:val="19"/>
        </w:rPr>
        <w:t>Amore</w:t>
      </w:r>
      <w:r w:rsidR="00C43572">
        <w:rPr>
          <w:szCs w:val="19"/>
        </w:rPr>
        <w:fldChar w:fldCharType="begin"/>
      </w:r>
      <w:r w:rsidR="00C43572">
        <w:instrText xml:space="preserve"> XE "</w:instrText>
      </w:r>
      <w:r w:rsidR="00C43572" w:rsidRPr="003B256A">
        <w:instrText xml:space="preserve"> </w:instrText>
      </w:r>
      <w:r w:rsidR="00C43572">
        <w:instrText>Guillelmus</w:instrText>
      </w:r>
      <w:r w:rsidR="00C43572" w:rsidRPr="00E51395">
        <w:instrText xml:space="preserve"> de Sancto Amore</w:instrText>
      </w:r>
      <w:r w:rsidR="00C43572">
        <w:instrText xml:space="preserve">" </w:instrText>
      </w:r>
      <w:r w:rsidR="00C43572">
        <w:rPr>
          <w:szCs w:val="19"/>
        </w:rPr>
        <w:fldChar w:fldCharType="end"/>
      </w:r>
      <w:r w:rsidR="00C43572">
        <w:t xml:space="preserve"> a jeho žáci.</w:t>
      </w:r>
      <w:r w:rsidR="001631CF">
        <w:t xml:space="preserve"> </w:t>
      </w:r>
      <w:r w:rsidR="08163013">
        <w:t>Rufus jako první modernista dosadil do poznání supozici esence z mysli (</w:t>
      </w:r>
      <w:r w:rsidR="08163013" w:rsidRPr="081107D6">
        <w:rPr>
          <w:i/>
        </w:rPr>
        <w:t>ubi</w:t>
      </w:r>
      <w:r w:rsidR="08163013" w:rsidRPr="00273106">
        <w:rPr>
          <w:i/>
        </w:rPr>
        <w:t xml:space="preserve"> est subiectum, non ostenditur, </w:t>
      </w:r>
      <w:r w:rsidR="08163013" w:rsidRPr="00273106">
        <w:rPr>
          <w:i/>
        </w:rPr>
        <w:lastRenderedPageBreak/>
        <w:t>sed supponitur</w:t>
      </w:r>
      <w:r w:rsidRPr="08EF7F55">
        <w:t>; OBJ II,</w:t>
      </w:r>
      <w:r>
        <w:rPr>
          <w:i/>
        </w:rPr>
        <w:t xml:space="preserve"> </w:t>
      </w:r>
      <w:r>
        <w:t>kap. 3</w:t>
      </w:r>
      <w:r w:rsidR="001631CF">
        <w:t>.3.1). Bonaventura udělal</w:t>
      </w:r>
      <w:r w:rsidR="08163013">
        <w:t xml:space="preserve"> totéž, protože citovaná </w:t>
      </w:r>
      <w:r w:rsidR="001631CF">
        <w:t>„</w:t>
      </w:r>
      <w:r w:rsidR="08163013" w:rsidRPr="083D3A9B">
        <w:rPr>
          <w:i/>
        </w:rPr>
        <w:t>res</w:t>
      </w:r>
      <w:r w:rsidR="001631CF">
        <w:t>“</w:t>
      </w:r>
      <w:r w:rsidR="08163013">
        <w:t xml:space="preserve"> má význam univerzální hypostáze a její predikace je dána esenciálně v modu supozice platné pro logickou abstrakci </w:t>
      </w:r>
      <w:r w:rsidR="005C3A48" w:rsidRPr="00273106">
        <w:t>(ἐν τῷ τί ἐστιν ὑπάρχουσιν αὐτοῖς</w:t>
      </w:r>
      <w:r w:rsidR="005C3A48">
        <w:t xml:space="preserve">, </w:t>
      </w:r>
      <w:r w:rsidR="00FA5684" w:rsidRPr="00953286">
        <w:rPr>
          <w:i/>
        </w:rPr>
        <w:t>Anal. Post</w:t>
      </w:r>
      <w:r w:rsidR="00FA5684">
        <w:t xml:space="preserve">. </w:t>
      </w:r>
      <w:r w:rsidR="005C3A48">
        <w:t>84a14</w:t>
      </w:r>
      <w:r w:rsidR="005C3A48">
        <w:fldChar w:fldCharType="begin"/>
      </w:r>
      <w:r w:rsidR="005C3A48">
        <w:instrText xml:space="preserve"> XE "Aristoteles:</w:instrText>
      </w:r>
      <w:r w:rsidR="005C3A48" w:rsidRPr="088C0C39">
        <w:rPr>
          <w:i/>
        </w:rPr>
        <w:instrText>Anal. Post</w:instrText>
      </w:r>
      <w:r w:rsidR="005C3A48">
        <w:instrText xml:space="preserve">. 84a14" </w:instrText>
      </w:r>
      <w:r w:rsidR="005C3A48">
        <w:fldChar w:fldCharType="end"/>
      </w:r>
      <w:r w:rsidR="005C3A48" w:rsidRPr="00273106">
        <w:t>)</w:t>
      </w:r>
      <w:r w:rsidR="08163013">
        <w:t xml:space="preserve">. </w:t>
      </w:r>
      <w:r w:rsidR="005C3A48">
        <w:rPr>
          <w:szCs w:val="24"/>
        </w:rPr>
        <w:t xml:space="preserve">Bonaventura šel cestou </w:t>
      </w:r>
      <w:r w:rsidR="005C3A48" w:rsidRPr="005C3A48">
        <w:rPr>
          <w:i/>
          <w:szCs w:val="24"/>
        </w:rPr>
        <w:t>Oxfordian Fallacy</w:t>
      </w:r>
      <w:r w:rsidR="005C3A48">
        <w:rPr>
          <w:szCs w:val="24"/>
        </w:rPr>
        <w:t xml:space="preserve">, která v zakládajícím pojetí Grossetesteho (OBJ II, kap. 3.1.1) nepochopila metafyzický smysl </w:t>
      </w:r>
      <w:r w:rsidR="005C3A48">
        <w:t>určení „</w:t>
      </w:r>
      <w:r w:rsidR="005C3A48" w:rsidRPr="00273106">
        <w:t>ἐν τῷ</w:t>
      </w:r>
      <w:r w:rsidR="005C3A48">
        <w:t>“ napojené na metafyzickou determinaci „</w:t>
      </w:r>
      <w:r w:rsidR="005C3A48" w:rsidRPr="00273106">
        <w:t>αὐτοῖς</w:t>
      </w:r>
      <w:r w:rsidR="005C3A48">
        <w:t>“ (</w:t>
      </w:r>
      <w:r w:rsidR="005C3A48" w:rsidRPr="00273106">
        <w:rPr>
          <w:i/>
        </w:rPr>
        <w:t>Anal. Post</w:t>
      </w:r>
      <w:r w:rsidR="005C3A48">
        <w:t>. 84a12</w:t>
      </w:r>
      <w:r w:rsidR="005C3A48">
        <w:fldChar w:fldCharType="begin"/>
      </w:r>
      <w:r w:rsidR="005C3A48">
        <w:instrText xml:space="preserve"> XE "Aristoteles:</w:instrText>
      </w:r>
      <w:r w:rsidR="005C3A48" w:rsidRPr="088C0C39">
        <w:rPr>
          <w:i/>
        </w:rPr>
        <w:instrText>Anal. Post</w:instrText>
      </w:r>
      <w:r w:rsidR="005C3A48" w:rsidRPr="088C0C39">
        <w:instrText>. 84a12</w:instrText>
      </w:r>
      <w:r w:rsidR="005C3A48">
        <w:instrText xml:space="preserve">" </w:instrText>
      </w:r>
      <w:r w:rsidR="005C3A48">
        <w:fldChar w:fldCharType="end"/>
      </w:r>
      <w:r w:rsidR="005C3A48">
        <w:t>). Správně vytvořený vědecký důkaz má jít od „</w:t>
      </w:r>
      <w:r w:rsidR="005C3A48" w:rsidRPr="00273106">
        <w:t>ἐνυπάρχει ἐν τῷ</w:t>
      </w:r>
      <w:r w:rsidR="005C3A48">
        <w:t>“ (a13) směrem k „</w:t>
      </w:r>
      <w:r w:rsidR="005C3A48" w:rsidRPr="00273106">
        <w:t>ὑπάρχουσιν αὐτοῖς</w:t>
      </w:r>
      <w:r w:rsidR="005C3A48">
        <w:t>“ (a14). Bonaventura jako správný „</w:t>
      </w:r>
      <w:r w:rsidR="005C3A48" w:rsidRPr="005C3A48">
        <w:rPr>
          <w:i/>
        </w:rPr>
        <w:t>metaphysicus</w:t>
      </w:r>
      <w:r w:rsidR="005C3A48">
        <w:t>“ dělá katolickou filosofii</w:t>
      </w:r>
      <w:r w:rsidR="00432539">
        <w:t xml:space="preserve"> jednu generaci po založení </w:t>
      </w:r>
      <w:r w:rsidR="00432539" w:rsidRPr="00432539">
        <w:rPr>
          <w:i/>
        </w:rPr>
        <w:t>Oxf</w:t>
      </w:r>
      <w:r w:rsidR="005C3A48" w:rsidRPr="00432539">
        <w:rPr>
          <w:i/>
        </w:rPr>
        <w:t>o</w:t>
      </w:r>
      <w:r w:rsidR="00432539" w:rsidRPr="00432539">
        <w:rPr>
          <w:i/>
        </w:rPr>
        <w:t>r</w:t>
      </w:r>
      <w:r w:rsidR="005C3A48" w:rsidRPr="00432539">
        <w:rPr>
          <w:i/>
        </w:rPr>
        <w:t>dian Fallacy</w:t>
      </w:r>
      <w:r w:rsidR="008564F6">
        <w:t>. P</w:t>
      </w:r>
      <w:r w:rsidR="005C3A48">
        <w:t>ak je jasné, že tento nekritický filosofický iluminát bere chybné</w:t>
      </w:r>
      <w:r w:rsidR="00BC054D">
        <w:t xml:space="preserve"> učení </w:t>
      </w:r>
      <w:r w:rsidR="008564F6">
        <w:t xml:space="preserve">Oxfordu </w:t>
      </w:r>
      <w:r w:rsidR="00BC054D">
        <w:t xml:space="preserve">jako filosofické dogma. </w:t>
      </w:r>
      <w:r w:rsidR="08163013">
        <w:t>Pak není pr</w:t>
      </w:r>
      <w:r w:rsidR="005B14A5">
        <w:t>oblém udělat dedukci metafyziky</w:t>
      </w:r>
      <w:r w:rsidR="08163013">
        <w:t xml:space="preserve"> a poznání </w:t>
      </w:r>
      <w:r w:rsidR="009554FC">
        <w:t>stylem „</w:t>
      </w:r>
      <w:r w:rsidR="08163013" w:rsidRPr="08530460">
        <w:rPr>
          <w:i/>
        </w:rPr>
        <w:t>modo geometrico</w:t>
      </w:r>
      <w:r w:rsidR="009554FC">
        <w:t>“</w:t>
      </w:r>
      <w:r w:rsidR="08163013">
        <w:rPr>
          <w:i/>
        </w:rPr>
        <w:fldChar w:fldCharType="begin"/>
      </w:r>
      <w:r w:rsidR="08163013">
        <w:instrText xml:space="preserve"> XE "</w:instrText>
      </w:r>
      <w:r w:rsidR="08163013" w:rsidRPr="086F6EEE">
        <w:rPr>
          <w:i/>
        </w:rPr>
        <w:instrText>modo geometrico</w:instrText>
      </w:r>
      <w:r w:rsidR="08163013">
        <w:instrText xml:space="preserve">" </w:instrText>
      </w:r>
      <w:r w:rsidR="08163013">
        <w:rPr>
          <w:i/>
        </w:rPr>
        <w:fldChar w:fldCharType="end"/>
      </w:r>
      <w:r w:rsidR="08163013">
        <w:t xml:space="preserve">. V plně pravdivém poznání vychází </w:t>
      </w:r>
      <w:r w:rsidR="08163013" w:rsidRPr="00273106">
        <w:t xml:space="preserve">esence </w:t>
      </w:r>
      <w:r w:rsidR="08163013">
        <w:t>z vyšší formy porretánské „exsistence“ a sestupuje do kontingentně aktuální první substance (</w:t>
      </w:r>
      <w:r w:rsidR="08163013" w:rsidRPr="00273106">
        <w:rPr>
          <w:i/>
          <w:szCs w:val="24"/>
        </w:rPr>
        <w:t>exeant in esse</w:t>
      </w:r>
      <w:r w:rsidR="08163013">
        <w:t xml:space="preserve">). </w:t>
      </w:r>
      <w:r w:rsidR="001B65D2">
        <w:t>D</w:t>
      </w:r>
      <w:r w:rsidR="08163013">
        <w:t xml:space="preserve">ruhý výskyt </w:t>
      </w:r>
      <w:r w:rsidR="001B65D2">
        <w:t xml:space="preserve">této esence </w:t>
      </w:r>
      <w:r w:rsidR="08163013">
        <w:t>v</w:t>
      </w:r>
      <w:r w:rsidR="001B65D2">
        <w:t> </w:t>
      </w:r>
      <w:r w:rsidR="08163013">
        <w:t>pomíjiv</w:t>
      </w:r>
      <w:r w:rsidR="001B65D2">
        <w:t xml:space="preserve">ých </w:t>
      </w:r>
      <w:r w:rsidR="08163013">
        <w:t>první</w:t>
      </w:r>
      <w:r w:rsidR="001B65D2">
        <w:t>ch substancích</w:t>
      </w:r>
      <w:r w:rsidR="08163013">
        <w:t>, již není tak důležitý</w:t>
      </w:r>
      <w:r w:rsidR="001B65D2">
        <w:t>. P</w:t>
      </w:r>
      <w:r w:rsidR="08163013">
        <w:t xml:space="preserve">rimární způsob bytí jsoucna je dán v modu moderního </w:t>
      </w:r>
      <w:r w:rsidR="00771425">
        <w:t>„</w:t>
      </w:r>
      <w:r w:rsidR="08163013">
        <w:rPr>
          <w:i/>
        </w:rPr>
        <w:t>exsister</w:t>
      </w:r>
      <w:r w:rsidR="08163013" w:rsidRPr="00EA4F1A">
        <w:rPr>
          <w:i/>
        </w:rPr>
        <w:t>e</w:t>
      </w:r>
      <w:r w:rsidR="00771425">
        <w:t>“</w:t>
      </w:r>
      <w:r w:rsidR="08163013">
        <w:rPr>
          <w:i/>
        </w:rPr>
        <w:fldChar w:fldCharType="begin"/>
      </w:r>
      <w:r w:rsidR="08163013">
        <w:instrText xml:space="preserve"> XE "</w:instrText>
      </w:r>
      <w:r w:rsidR="08163013">
        <w:rPr>
          <w:i/>
        </w:rPr>
        <w:instrText>exsister</w:instrText>
      </w:r>
      <w:r w:rsidR="08163013" w:rsidRPr="009A1A72">
        <w:rPr>
          <w:i/>
        </w:rPr>
        <w:instrText>e</w:instrText>
      </w:r>
      <w:r w:rsidR="08163013">
        <w:instrText xml:space="preserve">" </w:instrText>
      </w:r>
      <w:r w:rsidR="08163013">
        <w:rPr>
          <w:i/>
        </w:rPr>
        <w:fldChar w:fldCharType="end"/>
      </w:r>
      <w:r w:rsidR="08163013" w:rsidRPr="00273106">
        <w:t xml:space="preserve">. </w:t>
      </w:r>
      <w:r w:rsidR="08163013">
        <w:t xml:space="preserve">Bonaventura </w:t>
      </w:r>
      <w:r w:rsidR="08163013" w:rsidRPr="00273106">
        <w:t xml:space="preserve">bere za základ metafyzického poznání již známé dělení </w:t>
      </w:r>
      <w:r w:rsidR="08163013" w:rsidRPr="00273106">
        <w:rPr>
          <w:i/>
        </w:rPr>
        <w:t>Nominales</w:t>
      </w:r>
      <w:r w:rsidR="08163013" w:rsidRPr="00273106">
        <w:t xml:space="preserve"> podle </w:t>
      </w:r>
      <w:r w:rsidR="08163013">
        <w:t>Porfyri</w:t>
      </w:r>
      <w:r w:rsidR="08163013" w:rsidRPr="00273106">
        <w:t>ova stromu</w:t>
      </w:r>
      <w:r w:rsidR="00B6538B">
        <w:t xml:space="preserve">. Dělení univerzálií pak běží skrze extrakci rodových diferencí </w:t>
      </w:r>
      <w:r w:rsidR="08163013" w:rsidRPr="00273106">
        <w:t>(</w:t>
      </w:r>
      <w:r w:rsidR="08163013" w:rsidRPr="00273106">
        <w:rPr>
          <w:i/>
        </w:rPr>
        <w:t>differentias extrahi de potentia generis</w:t>
      </w:r>
      <w:r w:rsidR="08163013" w:rsidRPr="00273106">
        <w:t xml:space="preserve">). </w:t>
      </w:r>
      <w:r w:rsidR="08163013">
        <w:t>Objektivní p</w:t>
      </w:r>
      <w:r w:rsidR="08163013" w:rsidRPr="00273106">
        <w:t xml:space="preserve">oznání </w:t>
      </w:r>
      <w:r w:rsidR="08163013">
        <w:t>jsoucna (</w:t>
      </w:r>
      <w:r w:rsidR="08163013" w:rsidRPr="00273106">
        <w:rPr>
          <w:i/>
        </w:rPr>
        <w:t>in re</w:t>
      </w:r>
      <w:r w:rsidR="08163013" w:rsidRPr="00026B1E">
        <w:t>)</w:t>
      </w:r>
      <w:r w:rsidR="08163013">
        <w:rPr>
          <w:i/>
        </w:rPr>
        <w:t xml:space="preserve"> </w:t>
      </w:r>
      <w:r w:rsidR="08163013" w:rsidRPr="00273106">
        <w:t xml:space="preserve">podle </w:t>
      </w:r>
      <w:r w:rsidR="08163013">
        <w:t xml:space="preserve">plnosti </w:t>
      </w:r>
      <w:r w:rsidR="08163013" w:rsidRPr="00273106">
        <w:t xml:space="preserve">pravdy se </w:t>
      </w:r>
      <w:r w:rsidR="08163013">
        <w:t xml:space="preserve">proto zásadně </w:t>
      </w:r>
      <w:r w:rsidR="08163013" w:rsidRPr="00273106">
        <w:t xml:space="preserve">liší od </w:t>
      </w:r>
      <w:r w:rsidR="08163013">
        <w:t xml:space="preserve">poznání </w:t>
      </w:r>
      <w:r w:rsidR="08163013" w:rsidRPr="00273106">
        <w:t xml:space="preserve">kontingentní pravdy jako pouhého </w:t>
      </w:r>
      <w:r w:rsidR="08163013" w:rsidRPr="00273106">
        <w:rPr>
          <w:i/>
        </w:rPr>
        <w:t>similitudo</w:t>
      </w:r>
      <w:r w:rsidR="08163013" w:rsidRPr="00273106">
        <w:t>.</w:t>
      </w:r>
    </w:p>
    <w:p w:rsidR="00646156" w:rsidRDefault="009F6006" w:rsidP="005D6493">
      <w:pPr>
        <w:ind w:firstLine="397"/>
      </w:pPr>
      <w:r>
        <w:t xml:space="preserve">Formulace výše uvedeného citátu je velmi důležitá, protože odhaluje moderní podobu </w:t>
      </w:r>
      <w:r w:rsidRPr="009F6006">
        <w:rPr>
          <w:i/>
        </w:rPr>
        <w:t>dativus obiectivus</w:t>
      </w:r>
      <w:r>
        <w:rPr>
          <w:i/>
        </w:rPr>
        <w:fldChar w:fldCharType="begin"/>
      </w:r>
      <w:r>
        <w:instrText xml:space="preserve"> XE "</w:instrText>
      </w:r>
      <w:r w:rsidRPr="00A26875">
        <w:rPr>
          <w:i/>
        </w:rPr>
        <w:instrText>dativus obiectivus</w:instrText>
      </w:r>
      <w:r>
        <w:instrText xml:space="preserve">" </w:instrText>
      </w:r>
      <w:r>
        <w:rPr>
          <w:i/>
        </w:rPr>
        <w:fldChar w:fldCharType="end"/>
      </w:r>
      <w:r>
        <w:t xml:space="preserve">. Zkoumali jsme způsob, jakým se metafyzické jsoucno stává </w:t>
      </w:r>
      <w:r w:rsidRPr="009F6006">
        <w:rPr>
          <w:i/>
        </w:rPr>
        <w:t>tertium ens</w:t>
      </w:r>
      <w:r>
        <w:t xml:space="preserve"> jako specifická objektivní entita (</w:t>
      </w:r>
      <w:r w:rsidRPr="009F6006">
        <w:rPr>
          <w:i/>
        </w:rPr>
        <w:t>dativus possessivus</w:t>
      </w:r>
      <w:r>
        <w:rPr>
          <w:i/>
        </w:rPr>
        <w:fldChar w:fldCharType="begin"/>
      </w:r>
      <w:r>
        <w:instrText xml:space="preserve"> XE "</w:instrText>
      </w:r>
      <w:r w:rsidRPr="008E1437">
        <w:rPr>
          <w:i/>
        </w:rPr>
        <w:instrText>dativus possessivus</w:instrText>
      </w:r>
      <w:r>
        <w:instrText xml:space="preserve">" </w:instrText>
      </w:r>
      <w:r>
        <w:rPr>
          <w:i/>
        </w:rPr>
        <w:fldChar w:fldCharType="end"/>
      </w:r>
      <w:r>
        <w:t xml:space="preserve">). Citát dokonce odhaluje způsob, jakým subjekt uvádí objektivní jsoucno do odkrytosti jako </w:t>
      </w:r>
      <w:r w:rsidRPr="009F6006">
        <w:rPr>
          <w:i/>
        </w:rPr>
        <w:t>veritas</w:t>
      </w:r>
      <w:r>
        <w:t xml:space="preserve"> moderní dogmatické ontoteologie (</w:t>
      </w:r>
      <w:r w:rsidRPr="009F6006">
        <w:rPr>
          <w:i/>
        </w:rPr>
        <w:t>dativus auctoris</w:t>
      </w:r>
      <w:r>
        <w:rPr>
          <w:i/>
        </w:rPr>
        <w:fldChar w:fldCharType="begin"/>
      </w:r>
      <w:r>
        <w:instrText xml:space="preserve"> XE "</w:instrText>
      </w:r>
      <w:r w:rsidRPr="00767F41">
        <w:rPr>
          <w:i/>
        </w:rPr>
        <w:instrText>dativus auctoris</w:instrText>
      </w:r>
      <w:r>
        <w:instrText xml:space="preserve">" </w:instrText>
      </w:r>
      <w:r>
        <w:rPr>
          <w:i/>
        </w:rPr>
        <w:fldChar w:fldCharType="end"/>
      </w:r>
      <w:r>
        <w:t>). Bonaventura vytvořil novou podobu přísunu jsoucna k subjektu (</w:t>
      </w:r>
      <w:r w:rsidRPr="009F6006">
        <w:rPr>
          <w:i/>
        </w:rPr>
        <w:t>Ge-Stell</w:t>
      </w:r>
      <w:r>
        <w:rPr>
          <w:i/>
        </w:rPr>
        <w:fldChar w:fldCharType="begin"/>
      </w:r>
      <w:r>
        <w:instrText xml:space="preserve"> XE "</w:instrText>
      </w:r>
      <w:r w:rsidRPr="00D262C2">
        <w:rPr>
          <w:i/>
        </w:rPr>
        <w:instrText>Ge-Stell</w:instrText>
      </w:r>
      <w:r>
        <w:instrText xml:space="preserve">" </w:instrText>
      </w:r>
      <w:r>
        <w:rPr>
          <w:i/>
        </w:rPr>
        <w:fldChar w:fldCharType="end"/>
      </w:r>
      <w:r>
        <w:t xml:space="preserve">). </w:t>
      </w:r>
      <w:r w:rsidR="00B91DAD">
        <w:t xml:space="preserve">Osvícený </w:t>
      </w:r>
      <w:r w:rsidR="00B91DAD" w:rsidRPr="00B91DAD">
        <w:t xml:space="preserve">metafyzik nepotřebuje reálný svět k tomu, aby vybudoval první ontoteologickou </w:t>
      </w:r>
      <w:r w:rsidR="00B91DAD">
        <w:t xml:space="preserve">říši </w:t>
      </w:r>
      <w:r w:rsidR="00B91DAD" w:rsidRPr="00B91DAD">
        <w:t xml:space="preserve">moderního ducha. </w:t>
      </w:r>
      <w:r w:rsidR="00B91DAD">
        <w:t>Pos</w:t>
      </w:r>
      <w:r w:rsidR="00B91DAD" w:rsidRPr="00B91DAD">
        <w:t>tav</w:t>
      </w:r>
      <w:r w:rsidR="00B91DAD">
        <w:t>il se na místo moderního b</w:t>
      </w:r>
      <w:r w:rsidR="00B91DAD" w:rsidRPr="00B91DAD">
        <w:t xml:space="preserve">oha jako dárce </w:t>
      </w:r>
      <w:r w:rsidR="00B91DAD">
        <w:t xml:space="preserve">avicennových objektivních </w:t>
      </w:r>
      <w:r w:rsidR="00B91DAD" w:rsidRPr="00B91DAD">
        <w:t>for</w:t>
      </w:r>
      <w:r w:rsidR="00B91DAD">
        <w:t>em</w:t>
      </w:r>
      <w:r w:rsidR="00B91DAD" w:rsidRPr="00B91DAD">
        <w:t>. Smysl jsoucího si pak přivlastňuje od sebe samého</w:t>
      </w:r>
      <w:r w:rsidR="00F12D90">
        <w:t xml:space="preserve"> (</w:t>
      </w:r>
      <w:r w:rsidR="00F12D90" w:rsidRPr="00F12D90">
        <w:rPr>
          <w:i/>
        </w:rPr>
        <w:t>Er-eignen</w:t>
      </w:r>
      <w:r w:rsidR="00F12D90">
        <w:rPr>
          <w:i/>
        </w:rPr>
        <w:fldChar w:fldCharType="begin"/>
      </w:r>
      <w:r w:rsidR="00F12D90">
        <w:instrText xml:space="preserve"> XE "</w:instrText>
      </w:r>
      <w:r w:rsidR="00F12D90" w:rsidRPr="00AE4E65">
        <w:rPr>
          <w:i/>
        </w:rPr>
        <w:instrText>Er-eignen</w:instrText>
      </w:r>
      <w:r w:rsidR="00F12D90">
        <w:instrText xml:space="preserve">" </w:instrText>
      </w:r>
      <w:r w:rsidR="00F12D90">
        <w:rPr>
          <w:i/>
        </w:rPr>
        <w:fldChar w:fldCharType="end"/>
      </w:r>
      <w:r w:rsidR="00F12D90" w:rsidRPr="00B91DAD">
        <w:t>)</w:t>
      </w:r>
      <w:r w:rsidR="00B91DAD" w:rsidRPr="00B91DAD">
        <w:t xml:space="preserve">, </w:t>
      </w:r>
      <w:r w:rsidR="00F12D90">
        <w:t>protože nyní chápe</w:t>
      </w:r>
      <w:r w:rsidR="00B91DAD" w:rsidRPr="00B91DAD">
        <w:t xml:space="preserve"> </w:t>
      </w:r>
      <w:r w:rsidR="00F12D90">
        <w:t>celek bytí jsoucna</w:t>
      </w:r>
      <w:r w:rsidR="001A481D">
        <w:t xml:space="preserve"> božským a holistickým způsobem</w:t>
      </w:r>
      <w:r w:rsidR="00B91DAD" w:rsidRPr="00B91DAD">
        <w:t xml:space="preserve">. </w:t>
      </w:r>
      <w:r w:rsidR="00F12D90">
        <w:t xml:space="preserve">Smysl bytí jako moderní </w:t>
      </w:r>
      <w:r w:rsidR="00F12D90" w:rsidRPr="009F6006">
        <w:rPr>
          <w:i/>
        </w:rPr>
        <w:t>resolutio</w:t>
      </w:r>
      <w:r w:rsidR="000C6D55">
        <w:rPr>
          <w:i/>
          <w:szCs w:val="24"/>
        </w:rPr>
        <w:fldChar w:fldCharType="begin"/>
      </w:r>
      <w:r w:rsidR="000C6D55">
        <w:instrText xml:space="preserve"> XE "</w:instrText>
      </w:r>
      <w:r w:rsidR="000C6D55" w:rsidRPr="008911B0">
        <w:rPr>
          <w:i/>
          <w:szCs w:val="24"/>
        </w:rPr>
        <w:instrText>resolutio</w:instrText>
      </w:r>
      <w:r w:rsidR="000C6D55" w:rsidRPr="0000626B">
        <w:rPr>
          <w:szCs w:val="24"/>
        </w:rPr>
        <w:instrText>:Bonaventura</w:instrText>
      </w:r>
      <w:r w:rsidR="000C6D55">
        <w:instrText xml:space="preserve">" </w:instrText>
      </w:r>
      <w:r w:rsidR="000C6D55">
        <w:rPr>
          <w:i/>
          <w:szCs w:val="24"/>
        </w:rPr>
        <w:fldChar w:fldCharType="end"/>
      </w:r>
      <w:r w:rsidR="00F12D90">
        <w:t xml:space="preserve"> </w:t>
      </w:r>
      <w:r w:rsidR="00022B19">
        <w:t xml:space="preserve">nyní plně </w:t>
      </w:r>
      <w:r w:rsidR="00F12D90">
        <w:t>vychází z osvíceného subjektu (</w:t>
      </w:r>
      <w:r w:rsidR="00F12D90" w:rsidRPr="009F6006">
        <w:rPr>
          <w:i/>
        </w:rPr>
        <w:t>metaphysicus</w:t>
      </w:r>
      <w:r w:rsidR="00F12D90">
        <w:t>)</w:t>
      </w:r>
      <w:r w:rsidR="00B91DAD" w:rsidRPr="00B91DAD">
        <w:t xml:space="preserve">. </w:t>
      </w:r>
      <w:r w:rsidR="08163013">
        <w:t xml:space="preserve">Dedukce pravdy od trvalé formy k pomíjivé realitě </w:t>
      </w:r>
      <w:r w:rsidR="08163013">
        <w:lastRenderedPageBreak/>
        <w:t xml:space="preserve">uvedená slůvkem </w:t>
      </w:r>
      <w:r w:rsidR="08163013" w:rsidRPr="0071630D">
        <w:rPr>
          <w:i/>
        </w:rPr>
        <w:t>ergo</w:t>
      </w:r>
      <w:r w:rsidR="08163013">
        <w:rPr>
          <w:i/>
        </w:rPr>
        <w:t xml:space="preserve"> oportet</w:t>
      </w:r>
      <w:r w:rsidR="08163013">
        <w:t xml:space="preserve"> a je napojená na přací konjuktiv (</w:t>
      </w:r>
      <w:r w:rsidR="08163013" w:rsidRPr="00E405DC">
        <w:rPr>
          <w:i/>
        </w:rPr>
        <w:t>sit in re</w:t>
      </w:r>
      <w:r w:rsidR="08163013">
        <w:t xml:space="preserve">). Zbožné přání moderního ilumináta konjunktivně ukazuje, že to, co je dáno </w:t>
      </w:r>
      <w:r w:rsidR="00973C62">
        <w:t>„</w:t>
      </w:r>
      <w:r w:rsidR="08163013" w:rsidRPr="004F05F4">
        <w:rPr>
          <w:i/>
        </w:rPr>
        <w:t>in re</w:t>
      </w:r>
      <w:r w:rsidR="00973C62">
        <w:t>“</w:t>
      </w:r>
      <w:r w:rsidR="08163013">
        <w:t>, není akt reálné subsistence první substance</w:t>
      </w:r>
      <w:r w:rsidR="08163013">
        <w:fldChar w:fldCharType="begin"/>
      </w:r>
      <w:r w:rsidR="08163013">
        <w:instrText xml:space="preserve"> XE "</w:instrText>
      </w:r>
      <w:r w:rsidR="08163013" w:rsidRPr="001D1E42">
        <w:instrText>subsistence</w:instrText>
      </w:r>
      <w:r w:rsidR="08163013">
        <w:instrText xml:space="preserve">:Bonaventura" </w:instrText>
      </w:r>
      <w:r w:rsidR="08163013">
        <w:fldChar w:fldCharType="end"/>
      </w:r>
      <w:r w:rsidR="08163013">
        <w:t>, ale individualizace př</w:t>
      </w:r>
      <w:r w:rsidR="004A69AE">
        <w:t xml:space="preserve">edem dané porretánské hypostáze. Ta je přesazena </w:t>
      </w:r>
      <w:r w:rsidR="08163013">
        <w:t>z věčného bytí for</w:t>
      </w:r>
      <w:r w:rsidR="004A69AE">
        <w:t>em (</w:t>
      </w:r>
      <w:r w:rsidR="004A69AE" w:rsidRPr="004A69AE">
        <w:rPr>
          <w:i/>
        </w:rPr>
        <w:t>exsistere</w:t>
      </w:r>
      <w:r w:rsidR="004A69AE">
        <w:t>) d</w:t>
      </w:r>
      <w:r w:rsidR="08163013">
        <w:t xml:space="preserve">o kontigentního modu </w:t>
      </w:r>
      <w:r w:rsidR="004A69AE">
        <w:t>téhož „</w:t>
      </w:r>
      <w:r w:rsidR="08163013" w:rsidRPr="00C56EFB">
        <w:rPr>
          <w:i/>
        </w:rPr>
        <w:t>exsistere</w:t>
      </w:r>
      <w:r w:rsidR="004A69AE">
        <w:t>“</w:t>
      </w:r>
      <w:r w:rsidR="08163013">
        <w:rPr>
          <w:i/>
        </w:rPr>
        <w:fldChar w:fldCharType="begin"/>
      </w:r>
      <w:r w:rsidR="08163013">
        <w:instrText xml:space="preserve"> XE "</w:instrText>
      </w:r>
      <w:r w:rsidR="08163013" w:rsidRPr="008E07A9">
        <w:rPr>
          <w:i/>
        </w:rPr>
        <w:instrText>exsistere</w:instrText>
      </w:r>
      <w:r w:rsidR="08163013">
        <w:instrText xml:space="preserve">" </w:instrText>
      </w:r>
      <w:r w:rsidR="08163013">
        <w:rPr>
          <w:i/>
        </w:rPr>
        <w:fldChar w:fldCharType="end"/>
      </w:r>
      <w:r w:rsidR="007736DE">
        <w:t xml:space="preserve"> ve věcech.</w:t>
      </w:r>
      <w:r w:rsidR="08163013">
        <w:t xml:space="preserve"> Existence je sofisticky vyměněna za esenci, která je navíc dána v modu </w:t>
      </w:r>
      <w:r w:rsidR="00C732CD">
        <w:t>on</w:t>
      </w:r>
      <w:r w:rsidR="08163013">
        <w:t>t</w:t>
      </w:r>
      <w:r w:rsidR="00C732CD">
        <w:t>ot</w:t>
      </w:r>
      <w:r w:rsidR="08163013">
        <w:t>eologické</w:t>
      </w:r>
      <w:r w:rsidR="00C732CD">
        <w:t>ho</w:t>
      </w:r>
      <w:r w:rsidR="08163013">
        <w:t xml:space="preserve"> dogmat</w:t>
      </w:r>
      <w:r w:rsidR="00C732CD">
        <w:t>u</w:t>
      </w:r>
      <w:r w:rsidR="08163013">
        <w:t>. Myto</w:t>
      </w:r>
      <w:r w:rsidR="00C56239">
        <w:t xml:space="preserve">logická </w:t>
      </w:r>
      <w:r w:rsidR="08163013">
        <w:t xml:space="preserve">ontoteologie nahradila kritickou metafyziku pomocí zbožného přání. </w:t>
      </w:r>
      <w:r w:rsidR="005A6847">
        <w:t xml:space="preserve">Fúrie jako trestajícící síly Pomsty za ztrátu zdravéího rozumu daly moderně skutečně solidní chaotický základ skrze takto utvořený </w:t>
      </w:r>
      <w:r w:rsidR="005A6847" w:rsidRPr="005A6847">
        <w:rPr>
          <w:i/>
        </w:rPr>
        <w:t>dativus auctoris</w:t>
      </w:r>
      <w:r w:rsidR="005A6847">
        <w:t xml:space="preserve"> a </w:t>
      </w:r>
      <w:r w:rsidR="005A6847" w:rsidRPr="005A6847">
        <w:rPr>
          <w:i/>
        </w:rPr>
        <w:t>dativus finalis</w:t>
      </w:r>
      <w:r w:rsidR="005A6847">
        <w:rPr>
          <w:i/>
        </w:rPr>
        <w:fldChar w:fldCharType="begin"/>
      </w:r>
      <w:r w:rsidR="005A6847">
        <w:instrText xml:space="preserve"> XE "</w:instrText>
      </w:r>
      <w:r w:rsidR="005A6847" w:rsidRPr="00100710">
        <w:rPr>
          <w:i/>
        </w:rPr>
        <w:instrText>dativus finalis</w:instrText>
      </w:r>
      <w:r w:rsidR="005A6847">
        <w:instrText xml:space="preserve">" </w:instrText>
      </w:r>
      <w:r w:rsidR="005A6847">
        <w:rPr>
          <w:i/>
        </w:rPr>
        <w:fldChar w:fldCharType="end"/>
      </w:r>
      <w:r w:rsidR="005A6847">
        <w:t xml:space="preserve">. </w:t>
      </w:r>
      <w:r w:rsidR="000F4E80">
        <w:t xml:space="preserve">První </w:t>
      </w:r>
      <w:r w:rsidR="08163013">
        <w:t xml:space="preserve">zbožná lest akademického ilumináta </w:t>
      </w:r>
      <w:r w:rsidR="005A6847">
        <w:t xml:space="preserve">(později známá jako </w:t>
      </w:r>
      <w:r w:rsidR="00B2490E">
        <w:t xml:space="preserve">Hegelova </w:t>
      </w:r>
      <w:r w:rsidR="005A6847">
        <w:t>„</w:t>
      </w:r>
      <w:r w:rsidR="005A6847" w:rsidRPr="005A6847">
        <w:rPr>
          <w:i/>
        </w:rPr>
        <w:t>List der Vernun</w:t>
      </w:r>
      <w:r w:rsidR="005A6847">
        <w:rPr>
          <w:i/>
        </w:rPr>
        <w:t>ft</w:t>
      </w:r>
      <w:r w:rsidR="005A6847">
        <w:t xml:space="preserve">“) </w:t>
      </w:r>
      <w:r w:rsidR="004023DD">
        <w:t xml:space="preserve">je </w:t>
      </w:r>
      <w:r w:rsidR="08163013">
        <w:t xml:space="preserve">daná v nové formě kategorální predikace </w:t>
      </w:r>
      <w:r w:rsidR="004023DD">
        <w:t>a založila</w:t>
      </w:r>
      <w:r w:rsidR="08163013">
        <w:t xml:space="preserve"> moderní vidění světa v modu objektivního metafyzického </w:t>
      </w:r>
      <w:r w:rsidR="08163013" w:rsidRPr="00306A00">
        <w:rPr>
          <w:i/>
        </w:rPr>
        <w:t>Irrtum</w:t>
      </w:r>
      <w:r w:rsidR="00540C78">
        <w:t xml:space="preserve">. </w:t>
      </w:r>
      <w:r w:rsidR="08163013" w:rsidRPr="00273106">
        <w:t xml:space="preserve">Bonaventura bez problémů přijímá </w:t>
      </w:r>
      <w:r w:rsidR="00B82275">
        <w:t xml:space="preserve">pro poznání </w:t>
      </w:r>
      <w:r w:rsidR="08163013">
        <w:t xml:space="preserve">i </w:t>
      </w:r>
      <w:r w:rsidR="08163013" w:rsidRPr="00273106">
        <w:t xml:space="preserve">základní předpoklad </w:t>
      </w:r>
      <w:r w:rsidR="08163013">
        <w:rPr>
          <w:i/>
        </w:rPr>
        <w:t>De anima</w:t>
      </w:r>
      <w:r w:rsidR="08163013" w:rsidRPr="00273106">
        <w:t xml:space="preserve"> </w:t>
      </w:r>
      <w:r w:rsidR="08163013">
        <w:t>daný nasvícením smyslu jsoucna zepředu</w:t>
      </w:r>
      <w:r w:rsidR="08163013" w:rsidRPr="00273106">
        <w:t>, tj. od aktuálně dané první substance afikující smysly a pak i receptivně-syntetický intelekt. P</w:t>
      </w:r>
      <w:r w:rsidR="08163013">
        <w:t>roto tvrdí, že poznání vrozené</w:t>
      </w:r>
      <w:r w:rsidR="08163013" w:rsidRPr="00273106">
        <w:t xml:space="preserve"> </w:t>
      </w:r>
      <w:r w:rsidR="00962190" w:rsidRPr="00B82275">
        <w:t>species</w:t>
      </w:r>
      <w:r w:rsidR="08163013" w:rsidRPr="00273106">
        <w:t xml:space="preserve"> začíná u reálného smyslového poznání. </w:t>
      </w:r>
      <w:r w:rsidR="00B82275" w:rsidRPr="00B82275">
        <w:t>Toto poznání nakonec vede i myšlení aristotelského přírodního filosofa (</w:t>
      </w:r>
      <w:r w:rsidR="00B82275" w:rsidRPr="00B82275">
        <w:rPr>
          <w:i/>
        </w:rPr>
        <w:t>rationalis philosophus</w:t>
      </w:r>
      <w:r w:rsidR="00B82275" w:rsidRPr="00B82275">
        <w:t xml:space="preserve">) v modu </w:t>
      </w:r>
      <w:r w:rsidR="00B82275" w:rsidRPr="00B82275">
        <w:rPr>
          <w:i/>
        </w:rPr>
        <w:t>per posterius</w:t>
      </w:r>
      <w:r w:rsidR="00B82275" w:rsidRPr="00B82275">
        <w:t xml:space="preserve"> k poznání vyššího světa, k pravdě</w:t>
      </w:r>
      <w:r w:rsidR="00B82275">
        <w:t xml:space="preserve"> exemplaria a božského zjevení. </w:t>
      </w:r>
      <w:r w:rsidR="08163013">
        <w:t>Dráha náhledu (</w:t>
      </w:r>
      <w:r w:rsidR="00B82275">
        <w:rPr>
          <w:i/>
        </w:rPr>
        <w:t>Vor-</w:t>
      </w:r>
      <w:r w:rsidR="08163013" w:rsidRPr="00FD4747">
        <w:rPr>
          <w:i/>
        </w:rPr>
        <w:t>blickbahn</w:t>
      </w:r>
      <w:r w:rsidR="08163013">
        <w:rPr>
          <w:i/>
        </w:rPr>
        <w:fldChar w:fldCharType="begin"/>
      </w:r>
      <w:r w:rsidR="08163013">
        <w:instrText xml:space="preserve"> XE "</w:instrText>
      </w:r>
      <w:r w:rsidR="08163013">
        <w:rPr>
          <w:i/>
        </w:rPr>
        <w:instrText>Vor-</w:instrText>
      </w:r>
      <w:r w:rsidR="08163013" w:rsidRPr="000C66F2">
        <w:rPr>
          <w:i/>
        </w:rPr>
        <w:instrText>b</w:instrText>
      </w:r>
      <w:r w:rsidR="08163013" w:rsidRPr="000C66F2">
        <w:rPr>
          <w:i/>
          <w:iCs/>
        </w:rPr>
        <w:instrText>lickbahn</w:instrText>
      </w:r>
      <w:r w:rsidR="08163013">
        <w:rPr>
          <w:iCs/>
        </w:rPr>
        <w:instrText>:Bonaventura</w:instrText>
      </w:r>
      <w:r w:rsidR="08163013">
        <w:instrText xml:space="preserve">" </w:instrText>
      </w:r>
      <w:r w:rsidR="08163013">
        <w:rPr>
          <w:i/>
        </w:rPr>
        <w:fldChar w:fldCharType="end"/>
      </w:r>
      <w:r w:rsidR="08163013">
        <w:t xml:space="preserve">) a tím i pořadí predikace </w:t>
      </w:r>
      <w:r w:rsidR="08163013" w:rsidRPr="00FD4747">
        <w:rPr>
          <w:i/>
        </w:rPr>
        <w:t>per prius</w:t>
      </w:r>
      <w:r w:rsidR="08163013">
        <w:t xml:space="preserve"> je dáno tím, zda </w:t>
      </w:r>
      <w:r w:rsidR="00962190" w:rsidRPr="00F734F7">
        <w:t>species</w:t>
      </w:r>
      <w:r w:rsidR="08163013">
        <w:t xml:space="preserve"> nahlížíme z pozice boha nebo stvoření. Tím vznikne dvojí pojetí predikace </w:t>
      </w:r>
      <w:r w:rsidR="08163013" w:rsidRPr="00FD4747">
        <w:rPr>
          <w:i/>
        </w:rPr>
        <w:t>per prius</w:t>
      </w:r>
      <w:r w:rsidR="08163013">
        <w:t xml:space="preserve"> a </w:t>
      </w:r>
      <w:r w:rsidR="08163013" w:rsidRPr="00FD4747">
        <w:rPr>
          <w:i/>
        </w:rPr>
        <w:t>per posterius</w:t>
      </w:r>
      <w:r w:rsidR="08163013">
        <w:t xml:space="preserve"> podle kanonického textu </w:t>
      </w:r>
      <w:r w:rsidR="08163013" w:rsidRPr="003357E1">
        <w:rPr>
          <w:i/>
        </w:rPr>
        <w:t>Cat</w:t>
      </w:r>
      <w:r w:rsidR="08163013">
        <w:t xml:space="preserve">. </w:t>
      </w:r>
      <w:proofErr w:type="gramStart"/>
      <w:r w:rsidR="08163013" w:rsidRPr="00273106">
        <w:t>2a11</w:t>
      </w:r>
      <w:proofErr w:type="gramEnd"/>
      <w:r w:rsidR="08163013" w:rsidRPr="00273106">
        <w:t>–</w:t>
      </w:r>
      <w:proofErr w:type="gramStart"/>
      <w:r w:rsidR="08163013" w:rsidRPr="00273106">
        <w:t>16</w:t>
      </w:r>
      <w:proofErr w:type="gramEnd"/>
      <w:r w:rsidR="08163013">
        <w:fldChar w:fldCharType="begin"/>
      </w:r>
      <w:r w:rsidR="08163013">
        <w:instrText xml:space="preserve"> XE "Aristoteles:</w:instrText>
      </w:r>
      <w:r w:rsidR="08163013" w:rsidRPr="00A319C3">
        <w:rPr>
          <w:i/>
        </w:rPr>
        <w:instrText>Cat</w:instrText>
      </w:r>
      <w:r w:rsidR="08163013" w:rsidRPr="00A319C3">
        <w:instrText>. 2a11–16</w:instrText>
      </w:r>
      <w:r w:rsidR="08163013">
        <w:instrText xml:space="preserve">" </w:instrText>
      </w:r>
      <w:r w:rsidR="08163013">
        <w:fldChar w:fldCharType="end"/>
      </w:r>
      <w:r w:rsidR="08163013">
        <w:t>, který dostal objektivní význam v modu nové ontoteologie. O</w:t>
      </w:r>
      <w:r w:rsidR="08163013" w:rsidRPr="00273106">
        <w:t xml:space="preserve">bjektivní </w:t>
      </w:r>
      <w:r w:rsidR="08163013">
        <w:t>jsoucno vzniká ve druhém averroismu Rufuse tím, že forma přesáhne (</w:t>
      </w:r>
      <w:r w:rsidR="08163013" w:rsidRPr="0084045C">
        <w:rPr>
          <w:i/>
        </w:rPr>
        <w:t>exsistit</w:t>
      </w:r>
      <w:r w:rsidR="08163013">
        <w:t xml:space="preserve">) </w:t>
      </w:r>
      <w:r w:rsidR="08163013" w:rsidRPr="00273106">
        <w:t xml:space="preserve">skrze </w:t>
      </w:r>
      <w:r w:rsidR="08163013" w:rsidRPr="00273106">
        <w:rPr>
          <w:i/>
        </w:rPr>
        <w:t>informatio</w:t>
      </w:r>
      <w:r w:rsidR="08163013">
        <w:rPr>
          <w:i/>
        </w:rPr>
        <w:fldChar w:fldCharType="begin"/>
      </w:r>
      <w:r w:rsidR="08163013">
        <w:instrText xml:space="preserve"> XE "</w:instrText>
      </w:r>
      <w:r w:rsidR="08163013" w:rsidRPr="00BA0B31">
        <w:rPr>
          <w:i/>
        </w:rPr>
        <w:instrText>informatio</w:instrText>
      </w:r>
      <w:r w:rsidR="08163013">
        <w:instrText xml:space="preserve">" </w:instrText>
      </w:r>
      <w:r w:rsidR="08163013">
        <w:rPr>
          <w:i/>
        </w:rPr>
        <w:fldChar w:fldCharType="end"/>
      </w:r>
      <w:r w:rsidR="08163013" w:rsidRPr="00273106">
        <w:t xml:space="preserve"> </w:t>
      </w:r>
      <w:r w:rsidR="08163013">
        <w:t xml:space="preserve">do materie </w:t>
      </w:r>
      <w:r w:rsidR="08163013" w:rsidRPr="00273106">
        <w:t>třetího druhu</w:t>
      </w:r>
      <w:r w:rsidR="08163013">
        <w:t xml:space="preserve"> (</w:t>
      </w:r>
      <w:r w:rsidR="08EF7F55">
        <w:t>OBJ II, kap. 3</w:t>
      </w:r>
      <w:r w:rsidR="08163013">
        <w:t>.3.2)</w:t>
      </w:r>
      <w:r w:rsidR="08163013" w:rsidRPr="00273106">
        <w:t>.</w:t>
      </w:r>
      <w:r w:rsidR="08163013">
        <w:t xml:space="preserve"> </w:t>
      </w:r>
      <w:r w:rsidR="08163013" w:rsidRPr="00273106">
        <w:t>Spojením univerzální materie třetího druhu a univerzální formy tř</w:t>
      </w:r>
      <w:r w:rsidR="08163013">
        <w:t xml:space="preserve">etího druhu vznikne univerzální, </w:t>
      </w:r>
      <w:r w:rsidR="08163013" w:rsidRPr="00273106">
        <w:t>plně objektivní entita. R</w:t>
      </w:r>
      <w:r w:rsidR="08163013">
        <w:t xml:space="preserve">ufus v citované pasáži ohledně </w:t>
      </w:r>
      <w:r w:rsidR="007F567D">
        <w:t>„</w:t>
      </w:r>
      <w:r w:rsidR="00962190">
        <w:rPr>
          <w:i/>
        </w:rPr>
        <w:t>species</w:t>
      </w:r>
      <w:r w:rsidR="08163013">
        <w:rPr>
          <w:i/>
        </w:rPr>
        <w:t xml:space="preserve"> obiecti exsistentis</w:t>
      </w:r>
      <w:r w:rsidR="007F567D">
        <w:t>“</w:t>
      </w:r>
      <w:r w:rsidR="08163013">
        <w:rPr>
          <w:i/>
        </w:rPr>
        <w:fldChar w:fldCharType="begin"/>
      </w:r>
      <w:r w:rsidR="08163013">
        <w:instrText xml:space="preserve"> XE "</w:instrText>
      </w:r>
      <w:r w:rsidR="08163013">
        <w:rPr>
          <w:i/>
        </w:rPr>
        <w:instrText>species obiecti exsistentis</w:instrText>
      </w:r>
      <w:r w:rsidR="08163013">
        <w:instrText xml:space="preserve">" </w:instrText>
      </w:r>
      <w:r w:rsidR="08163013">
        <w:rPr>
          <w:i/>
        </w:rPr>
        <w:fldChar w:fldCharType="end"/>
      </w:r>
      <w:r w:rsidR="08163013" w:rsidRPr="00273106">
        <w:t xml:space="preserve"> prohlásil, že mu chybí potřebné kategorie myšlení k tomu, aby založil metafyzickou </w:t>
      </w:r>
      <w:r w:rsidR="080929EA">
        <w:t>determinaci nového typu jsoucna</w:t>
      </w:r>
      <w:r w:rsidR="08163013" w:rsidRPr="00273106">
        <w:t xml:space="preserve">. </w:t>
      </w:r>
      <w:r w:rsidR="08163013">
        <w:t xml:space="preserve">Roli univerzální míry jsoucnosti hraje moderně pojatá </w:t>
      </w:r>
      <w:r w:rsidR="00B844F5">
        <w:t>„</w:t>
      </w:r>
      <w:proofErr w:type="gramStart"/>
      <w:r w:rsidR="00E90AE2">
        <w:rPr>
          <w:i/>
        </w:rPr>
        <w:t>species</w:t>
      </w:r>
      <w:proofErr w:type="gramEnd"/>
      <w:r w:rsidR="00E90AE2">
        <w:rPr>
          <w:i/>
        </w:rPr>
        <w:t>–</w:t>
      </w:r>
      <w:proofErr w:type="gramStart"/>
      <w:r w:rsidR="00E90AE2">
        <w:rPr>
          <w:i/>
        </w:rPr>
        <w:t>essentia</w:t>
      </w:r>
      <w:proofErr w:type="gramEnd"/>
      <w:r w:rsidR="00B844F5">
        <w:t>“</w:t>
      </w:r>
      <w:r w:rsidR="00FD5A7E">
        <w:t xml:space="preserve">, kterou zavedl Rufus. Rufusovo </w:t>
      </w:r>
      <w:r w:rsidR="00FD5A7E" w:rsidRPr="00743F3E">
        <w:rPr>
          <w:i/>
          <w:szCs w:val="24"/>
        </w:rPr>
        <w:t>concretum</w:t>
      </w:r>
      <w:r w:rsidR="00FD5A7E">
        <w:rPr>
          <w:szCs w:val="24"/>
        </w:rPr>
        <w:t xml:space="preserve"> </w:t>
      </w:r>
      <w:r w:rsidR="00FD5A7E">
        <w:t>bylo integrováno do Kilwardbyho metafyziky esence. Tato integrace založila novou metafyziku</w:t>
      </w:r>
      <w:r w:rsidR="00FD5A7E">
        <w:fldChar w:fldCharType="begin"/>
      </w:r>
      <w:r w:rsidR="00FD5A7E">
        <w:instrText xml:space="preserve"> XE "</w:instrText>
      </w:r>
      <w:r w:rsidR="00FD5A7E" w:rsidRPr="00352B46">
        <w:instrText>metafyzika:ontoteologie</w:instrText>
      </w:r>
      <w:r w:rsidR="00FD5A7E">
        <w:instrText xml:space="preserve">" </w:instrText>
      </w:r>
      <w:r w:rsidR="00FD5A7E">
        <w:fldChar w:fldCharType="end"/>
      </w:r>
      <w:r w:rsidR="00FD5A7E">
        <w:t xml:space="preserve"> moderny. </w:t>
      </w:r>
      <w:r w:rsidR="00FD5A7E" w:rsidRPr="00273106">
        <w:t xml:space="preserve">Bonaventura </w:t>
      </w:r>
      <w:r w:rsidR="00FD5A7E">
        <w:t xml:space="preserve">převedl „exsistenci“ Rufuse do ontoteologického narativu. Tím </w:t>
      </w:r>
      <w:r w:rsidR="08163013">
        <w:t>překonal Rufuse, protože se vrá</w:t>
      </w:r>
      <w:r w:rsidR="00FD5A7E">
        <w:t>til až k Al-Fárábímu a integroval</w:t>
      </w:r>
      <w:r w:rsidR="08163013">
        <w:t xml:space="preserve"> aristotelskou abstrakci do ontoteologické predikace </w:t>
      </w:r>
      <w:r w:rsidR="08163013">
        <w:lastRenderedPageBreak/>
        <w:t xml:space="preserve">neoplatonismu daného augustiniánsky. Aristotelská </w:t>
      </w:r>
      <w:r w:rsidR="00962190" w:rsidRPr="00FD5A7E">
        <w:t>species</w:t>
      </w:r>
      <w:r w:rsidR="08163013">
        <w:rPr>
          <w:i/>
        </w:rPr>
        <w:t xml:space="preserve"> </w:t>
      </w:r>
      <w:r w:rsidR="08163013">
        <w:t>daná v abstrakci determinuje výskyt v hylemorfické substanci v modu podobnos</w:t>
      </w:r>
      <w:r w:rsidR="08CE7CC1">
        <w:t xml:space="preserve">ti, protože </w:t>
      </w:r>
      <w:r w:rsidR="085C133F">
        <w:t xml:space="preserve">aristotelik </w:t>
      </w:r>
      <w:r w:rsidR="08CE7CC1">
        <w:t>se na jsoucno dívá</w:t>
      </w:r>
      <w:r w:rsidR="08163013">
        <w:t xml:space="preserve"> ze strany stvoření. Avicennovská </w:t>
      </w:r>
      <w:r w:rsidR="00E90AE2">
        <w:t>„</w:t>
      </w:r>
      <w:proofErr w:type="gramStart"/>
      <w:r w:rsidR="00962190">
        <w:rPr>
          <w:i/>
        </w:rPr>
        <w:t>species</w:t>
      </w:r>
      <w:proofErr w:type="gramEnd"/>
      <w:r w:rsidR="00E90AE2">
        <w:rPr>
          <w:i/>
        </w:rPr>
        <w:t>–</w:t>
      </w:r>
      <w:proofErr w:type="gramStart"/>
      <w:r w:rsidR="08163013">
        <w:rPr>
          <w:i/>
        </w:rPr>
        <w:t>essentia</w:t>
      </w:r>
      <w:proofErr w:type="gramEnd"/>
      <w:r w:rsidR="00E90AE2" w:rsidRPr="00E90AE2">
        <w:t>“</w:t>
      </w:r>
      <w:r w:rsidR="08163013">
        <w:rPr>
          <w:i/>
        </w:rPr>
        <w:t xml:space="preserve"> </w:t>
      </w:r>
      <w:r w:rsidR="08163013">
        <w:t xml:space="preserve">je </w:t>
      </w:r>
      <w:r w:rsidR="00076C6D">
        <w:t xml:space="preserve">determinovaná skrze </w:t>
      </w:r>
      <w:r w:rsidR="08163013">
        <w:t>denu</w:t>
      </w:r>
      <w:r w:rsidR="00076C6D">
        <w:t>daci</w:t>
      </w:r>
      <w:r w:rsidR="08FB74EE">
        <w:t xml:space="preserve"> o jedno patro výše. </w:t>
      </w:r>
      <w:proofErr w:type="gramStart"/>
      <w:r w:rsidR="08FB74EE">
        <w:t>M</w:t>
      </w:r>
      <w:r w:rsidR="08CE7CC1">
        <w:t xml:space="preserve">odernisté </w:t>
      </w:r>
      <w:r w:rsidR="08163013">
        <w:t>dív</w:t>
      </w:r>
      <w:r w:rsidR="08CE7CC1">
        <w:t>ají</w:t>
      </w:r>
      <w:proofErr w:type="gramEnd"/>
      <w:r w:rsidR="08163013">
        <w:t xml:space="preserve"> na stvoření s boží pe</w:t>
      </w:r>
      <w:r w:rsidR="08CE7CC1">
        <w:t>rspektivy a k tomu nepotřebují</w:t>
      </w:r>
      <w:r w:rsidR="08163013">
        <w:t xml:space="preserve"> smyslovu zkušenost. Esence jako porretánská hypostáze může být dána v modu </w:t>
      </w:r>
      <w:r w:rsidR="08163013" w:rsidRPr="00E67098">
        <w:rPr>
          <w:i/>
        </w:rPr>
        <w:t>per prius</w:t>
      </w:r>
      <w:r w:rsidR="08163013">
        <w:t xml:space="preserve">, pokud na aristotelskou </w:t>
      </w:r>
      <w:r w:rsidR="00962190">
        <w:rPr>
          <w:i/>
        </w:rPr>
        <w:t>species</w:t>
      </w:r>
      <w:r w:rsidR="08163013">
        <w:t xml:space="preserve"> pohlédne objektivní intelekt moderního ilumináta skrze denudaci</w:t>
      </w:r>
      <w:r w:rsidR="08163013" w:rsidRPr="085801E6">
        <w:t xml:space="preserve"> </w:t>
      </w:r>
      <w:r w:rsidR="08163013">
        <w:t xml:space="preserve">v modu Avicennova </w:t>
      </w:r>
      <w:r w:rsidR="00A50AF4">
        <w:t>„</w:t>
      </w:r>
      <w:r w:rsidR="08163013" w:rsidRPr="00896139">
        <w:rPr>
          <w:i/>
        </w:rPr>
        <w:t>hoc esse tantum</w:t>
      </w:r>
      <w:r w:rsidR="00A50AF4">
        <w:t>“</w:t>
      </w:r>
      <w:r w:rsidR="08163013">
        <w:t xml:space="preserve">. Pro určení </w:t>
      </w:r>
      <w:r w:rsidR="00962190" w:rsidRPr="00A50AF4">
        <w:t>species</w:t>
      </w:r>
      <w:r w:rsidR="08163013">
        <w:t xml:space="preserve"> je tedy třeba vědět, z jaké hermeneutické dráhy náhledu (</w:t>
      </w:r>
      <w:r w:rsidR="08163013" w:rsidRPr="085801E6">
        <w:rPr>
          <w:i/>
        </w:rPr>
        <w:t>Vor-blickbahn</w:t>
      </w:r>
      <w:r w:rsidR="08163013">
        <w:t>) na ně pohlížíme. Avicennova iluminace a Aristotelova abstrakce nemají stejnou míru pravdivosti</w:t>
      </w:r>
      <w:r w:rsidR="08163013">
        <w:fldChar w:fldCharType="begin"/>
      </w:r>
      <w:r w:rsidR="08163013">
        <w:instrText xml:space="preserve"> XE "</w:instrText>
      </w:r>
      <w:r w:rsidR="08163013" w:rsidRPr="000D539F">
        <w:instrText>species:dvojí určení</w:instrText>
      </w:r>
      <w:r w:rsidR="08163013">
        <w:instrText xml:space="preserve">" </w:instrText>
      </w:r>
      <w:r w:rsidR="08163013">
        <w:fldChar w:fldCharType="end"/>
      </w:r>
      <w:r w:rsidR="08163013">
        <w:t>. Skutečně pravdivé p</w:t>
      </w:r>
      <w:r w:rsidR="08163013" w:rsidRPr="00273106">
        <w:t xml:space="preserve">oznání </w:t>
      </w:r>
      <w:r w:rsidR="08281892">
        <w:t xml:space="preserve">moderny </w:t>
      </w:r>
      <w:r w:rsidR="08163013">
        <w:t>nezačíná u smyslů. D</w:t>
      </w:r>
      <w:r w:rsidR="08163013" w:rsidRPr="00273106">
        <w:t xml:space="preserve">uše poznává </w:t>
      </w:r>
      <w:r w:rsidR="00962190">
        <w:rPr>
          <w:i/>
        </w:rPr>
        <w:t>species</w:t>
      </w:r>
      <w:r w:rsidR="08163013">
        <w:t xml:space="preserve"> třetího druhu a </w:t>
      </w:r>
      <w:r w:rsidR="08163013" w:rsidRPr="00273106">
        <w:t xml:space="preserve">sebe sama </w:t>
      </w:r>
      <w:r w:rsidR="08163013">
        <w:t xml:space="preserve">skrze denudaci, </w:t>
      </w:r>
      <w:r w:rsidR="00646156">
        <w:t>stejně jako u Avicenny.</w:t>
      </w:r>
    </w:p>
    <w:p w:rsidR="08163013" w:rsidRDefault="08163013" w:rsidP="002F04ED">
      <w:pPr>
        <w:ind w:firstLine="397"/>
      </w:pPr>
      <w:r>
        <w:t xml:space="preserve">Averroesovy komentáře </w:t>
      </w:r>
      <w:r w:rsidRPr="00273106">
        <w:t>Aristotela změnil</w:t>
      </w:r>
      <w:r>
        <w:t>y</w:t>
      </w:r>
      <w:r w:rsidRPr="00273106">
        <w:t xml:space="preserve"> schéma</w:t>
      </w:r>
      <w:r>
        <w:t xml:space="preserve"> poznání </w:t>
      </w:r>
      <w:r w:rsidRPr="00310650">
        <w:rPr>
          <w:i/>
        </w:rPr>
        <w:t>Modernorum</w:t>
      </w:r>
      <w:r>
        <w:t xml:space="preserve"> pouze </w:t>
      </w:r>
      <w:r w:rsidR="00646156">
        <w:t>nepatrně. D</w:t>
      </w:r>
      <w:r>
        <w:t xml:space="preserve">ruhý averroismus ovlivněný spisy </w:t>
      </w:r>
      <w:r w:rsidRPr="0057158C">
        <w:rPr>
          <w:i/>
        </w:rPr>
        <w:t>De anima</w:t>
      </w:r>
      <w:r>
        <w:t xml:space="preserve"> a CMDA sofisticky přidal k avicennovské denudaci i proces aristotelského poznání daný abstrakcí od smyslů. To je typický synkretismus Toledské školy</w:t>
      </w:r>
      <w:r>
        <w:fldChar w:fldCharType="begin"/>
      </w:r>
      <w:r>
        <w:instrText xml:space="preserve"> XE "</w:instrText>
      </w:r>
      <w:r w:rsidRPr="00D80911">
        <w:instrText>Toledská škola</w:instrText>
      </w:r>
      <w:r>
        <w:instrText xml:space="preserve">" </w:instrText>
      </w:r>
      <w:r>
        <w:fldChar w:fldCharType="end"/>
      </w:r>
      <w:r>
        <w:t>, která nebyla schopna rozlišit mezi odlišnými projekty metafyziky podle Avicenny a podle Averroese. Dvojí náhled na místo, odkud se dává smysl jsoucna</w:t>
      </w:r>
      <w:r w:rsidR="08236C82">
        <w:t xml:space="preserve"> (Heideggerovo </w:t>
      </w:r>
      <w:r w:rsidR="08236C82" w:rsidRPr="08236C82">
        <w:rPr>
          <w:i/>
        </w:rPr>
        <w:t>Lichtung</w:t>
      </w:r>
      <w:r w:rsidR="08236C82">
        <w:rPr>
          <w:i/>
        </w:rPr>
        <w:fldChar w:fldCharType="begin"/>
      </w:r>
      <w:r w:rsidR="08236C82">
        <w:instrText xml:space="preserve"> XE "</w:instrText>
      </w:r>
      <w:r w:rsidR="08236C82" w:rsidRPr="087D02A6">
        <w:rPr>
          <w:i/>
        </w:rPr>
        <w:instrText>Lichtung</w:instrText>
      </w:r>
      <w:r w:rsidR="08236C82">
        <w:instrText xml:space="preserve">" </w:instrText>
      </w:r>
      <w:r w:rsidR="08236C82">
        <w:rPr>
          <w:i/>
        </w:rPr>
        <w:fldChar w:fldCharType="end"/>
      </w:r>
      <w:r w:rsidR="08236C82">
        <w:t>)</w:t>
      </w:r>
      <w:r>
        <w:t xml:space="preserve">, vytváří moderní kolektu dvou pojetí abstrakce. Stejné pojetí dvojí abstrakce měl Augustin a Avicenna, takže moderna nemusela měnit po příchodu Averroese </w:t>
      </w:r>
      <w:r w:rsidR="08D42B0A">
        <w:t xml:space="preserve">v avicennistickém převleku Toletánů </w:t>
      </w:r>
      <w:r>
        <w:t xml:space="preserve">vůbec nic. </w:t>
      </w:r>
      <w:r w:rsidR="002F04ED" w:rsidRPr="002F04ED">
        <w:t>Byl to typický neop</w:t>
      </w:r>
      <w:r w:rsidR="002F04ED">
        <w:t xml:space="preserve">latónský postup, kdy se výklad </w:t>
      </w:r>
      <w:r w:rsidR="002F04ED" w:rsidRPr="002F04ED">
        <w:rPr>
          <w:i/>
        </w:rPr>
        <w:t>Kategorií</w:t>
      </w:r>
      <w:r w:rsidR="002F04ED" w:rsidRPr="002F04ED">
        <w:t>, který podal</w:t>
      </w:r>
      <w:r w:rsidR="002F04ED">
        <w:t>a</w:t>
      </w:r>
      <w:r w:rsidR="002F04ED" w:rsidRPr="002F04ED">
        <w:t xml:space="preserve"> </w:t>
      </w:r>
      <w:r w:rsidR="002F04ED">
        <w:rPr>
          <w:i/>
        </w:rPr>
        <w:t>Isagogé</w:t>
      </w:r>
      <w:r w:rsidR="002F04ED" w:rsidRPr="002F04ED">
        <w:t>, považoval za první stupeň vyšší filozofie. Aristoteles nebyl dostatečně hluboký</w:t>
      </w:r>
      <w:r w:rsidR="002F04ED">
        <w:t xml:space="preserve"> na to</w:t>
      </w:r>
      <w:r w:rsidR="002F04ED" w:rsidRPr="002F04ED">
        <w:t>, aby se vyrovnal s mystérii Pythagora a J</w:t>
      </w:r>
      <w:r w:rsidR="002F04ED">
        <w:t xml:space="preserve">amblicha (OBJ I, kap. 1.3.3). </w:t>
      </w:r>
      <w:r>
        <w:t>Nic zásadního neměnila ani škola prvního averroismu po příchodu Averroese na latinský Západ, ale z úplně jiného důvodu (</w:t>
      </w:r>
      <w:r w:rsidR="08A50CB2">
        <w:t>OBj II, kap. 2</w:t>
      </w:r>
      <w:r>
        <w:t>.2.1). Ve škole druhého averroismu modifikované Bonaventurou rozšířila aristotelská abstrakce a Averroesova pravda jako adekv</w:t>
      </w:r>
      <w:r w:rsidR="0071567B">
        <w:t xml:space="preserve">ace již danou Avicennovu pravdu jako </w:t>
      </w:r>
      <w:r w:rsidRPr="00430C49">
        <w:rPr>
          <w:i/>
        </w:rPr>
        <w:t>certitudo</w:t>
      </w:r>
      <w:r w:rsidR="0071567B">
        <w:t xml:space="preserve">, Anselmovu pravdu jako </w:t>
      </w:r>
      <w:r w:rsidRPr="00430C49">
        <w:rPr>
          <w:i/>
        </w:rPr>
        <w:t>rectitudo</w:t>
      </w:r>
      <w:r>
        <w:t xml:space="preserve"> a Rufusovo pojetí pravdy jako </w:t>
      </w:r>
      <w:r w:rsidRPr="00970F9F">
        <w:rPr>
          <w:i/>
        </w:rPr>
        <w:t>coaequatio</w:t>
      </w:r>
      <w:r>
        <w:t xml:space="preserve">. Moderna </w:t>
      </w:r>
      <w:r w:rsidR="002C0A94">
        <w:t xml:space="preserve">objektivně </w:t>
      </w:r>
      <w:r>
        <w:t xml:space="preserve">porovnala jeden a tentýž typ </w:t>
      </w:r>
      <w:r w:rsidR="00962190" w:rsidRPr="002C0A94">
        <w:t>species</w:t>
      </w:r>
      <w:r>
        <w:t xml:space="preserve"> daný mystickým či evidentním náhledem s jeho kontigentní podobou danou skrze abstrakci směrem od smyslově vnímaných věcí. Moderní </w:t>
      </w:r>
      <w:r w:rsidRPr="00273106">
        <w:rPr>
          <w:i/>
        </w:rPr>
        <w:t>similitudo</w:t>
      </w:r>
      <w:r w:rsidRPr="00273106">
        <w:t xml:space="preserve"> věci a intelektu není dáno skrze determinaci intelektu od </w:t>
      </w:r>
      <w:r>
        <w:t xml:space="preserve">reálné </w:t>
      </w:r>
      <w:r w:rsidRPr="00273106">
        <w:t>věci</w:t>
      </w:r>
      <w:r>
        <w:t>, ale skrze rektifikaci již známé pravdy, kterou hylemorfická věc v realitě přítomňuje jen temně a nejasně jako v zrcadle (</w:t>
      </w:r>
      <w:r w:rsidRPr="00A427E0">
        <w:rPr>
          <w:i/>
        </w:rPr>
        <w:t>p</w:t>
      </w:r>
      <w:r w:rsidRPr="00A427E0">
        <w:rPr>
          <w:i/>
          <w:szCs w:val="9"/>
        </w:rPr>
        <w:t xml:space="preserve">rima </w:t>
      </w:r>
      <w:r w:rsidR="00962190">
        <w:rPr>
          <w:i/>
          <w:szCs w:val="7"/>
        </w:rPr>
        <w:t>species</w:t>
      </w:r>
      <w:r w:rsidRPr="00A427E0">
        <w:rPr>
          <w:i/>
          <w:szCs w:val="7"/>
        </w:rPr>
        <w:t xml:space="preserve"> est sicut pictura</w:t>
      </w:r>
      <w:r>
        <w:t xml:space="preserve">). A </w:t>
      </w:r>
      <w:r>
        <w:lastRenderedPageBreak/>
        <w:t>smyslové obrazy klamou, jak víme od Platona a od Descarta. Postmoderní Descartes</w:t>
      </w:r>
      <w:r>
        <w:fldChar w:fldCharType="begin"/>
      </w:r>
      <w:r>
        <w:instrText xml:space="preserve"> XE "</w:instrText>
      </w:r>
      <w:r w:rsidRPr="00917EC8">
        <w:instrText>Descartes, R.</w:instrText>
      </w:r>
      <w:r>
        <w:instrText xml:space="preserve">" </w:instrText>
      </w:r>
      <w:r>
        <w:fldChar w:fldCharType="end"/>
      </w:r>
      <w:r>
        <w:t xml:space="preserve"> tento rozdíl obou náhledů na vnější a vnitřní </w:t>
      </w:r>
      <w:r w:rsidR="00962190">
        <w:rPr>
          <w:i/>
        </w:rPr>
        <w:t>species</w:t>
      </w:r>
      <w:r>
        <w:t xml:space="preserve"> traktuje skrze přechod od první ke druhé meditaci. </w:t>
      </w:r>
      <w:r w:rsidRPr="00273106">
        <w:t xml:space="preserve">Bonaventurův náhled na jsoucno ukazuje </w:t>
      </w:r>
      <w:r>
        <w:t>ontoteologickou metafyziku jedné pravdy</w:t>
      </w:r>
      <w:r w:rsidRPr="00273106">
        <w:t xml:space="preserve"> nastolující univocitu jsoucna v rámci </w:t>
      </w:r>
      <w:r>
        <w:t>neoplatonsk</w:t>
      </w:r>
      <w:r w:rsidRPr="00273106">
        <w:t>ého aristotelismu předaného Avicen</w:t>
      </w:r>
      <w:r>
        <w:t>nou a dalšími velikány falsafy.</w:t>
      </w:r>
    </w:p>
    <w:p w:rsidR="08163013" w:rsidRPr="00273106" w:rsidRDefault="08163013" w:rsidP="08163013">
      <w:r>
        <w:tab/>
        <w:t>Moderní koncept jistého jsoucna</w:t>
      </w:r>
      <w:r w:rsidRPr="00273106">
        <w:t xml:space="preserve"> </w:t>
      </w:r>
      <w:r>
        <w:t xml:space="preserve">nasvítil smysl jsoucího od nové formy metafyzického </w:t>
      </w:r>
      <w:r w:rsidRPr="00C224FC">
        <w:rPr>
          <w:i/>
        </w:rPr>
        <w:t>resolutio</w:t>
      </w:r>
      <w:r>
        <w:rPr>
          <w:i/>
        </w:rPr>
        <w:fldChar w:fldCharType="begin"/>
      </w:r>
      <w:r>
        <w:instrText xml:space="preserve"> XE "</w:instrText>
      </w:r>
      <w:r w:rsidRPr="00111E9E">
        <w:rPr>
          <w:i/>
        </w:rPr>
        <w:instrText>resolutio</w:instrText>
      </w:r>
      <w:r>
        <w:rPr>
          <w:i/>
        </w:rPr>
        <w:instrText>:</w:instrText>
      </w:r>
      <w:r w:rsidRPr="007D3515">
        <w:instrText>Bonaventura</w:instrText>
      </w:r>
      <w:r>
        <w:instrText xml:space="preserve">" </w:instrText>
      </w:r>
      <w:r>
        <w:rPr>
          <w:i/>
        </w:rPr>
        <w:fldChar w:fldCharType="end"/>
      </w:r>
      <w:r w:rsidRPr="00273106">
        <w:t xml:space="preserve">. Bonaventura byl </w:t>
      </w:r>
      <w:r>
        <w:t>po Kilwardbym další modernista</w:t>
      </w:r>
      <w:r w:rsidRPr="00273106">
        <w:t xml:space="preserve">, který </w:t>
      </w:r>
      <w:r>
        <w:t xml:space="preserve">ustavil sofistické </w:t>
      </w:r>
      <w:r w:rsidRPr="00273106">
        <w:t xml:space="preserve">pojetí </w:t>
      </w:r>
      <w:r w:rsidRPr="00273106">
        <w:rPr>
          <w:i/>
        </w:rPr>
        <w:t>ens ratum</w:t>
      </w:r>
      <w:r>
        <w:rPr>
          <w:i/>
        </w:rPr>
        <w:fldChar w:fldCharType="begin"/>
      </w:r>
      <w:r>
        <w:instrText xml:space="preserve"> XE "</w:instrText>
      </w:r>
      <w:r w:rsidRPr="00B2798F">
        <w:rPr>
          <w:rStyle w:val="addmd"/>
          <w:i/>
        </w:rPr>
        <w:instrText>ens ratum:</w:instrText>
      </w:r>
      <w:r>
        <w:instrText xml:space="preserve">Bonaventura" </w:instrText>
      </w:r>
      <w:r>
        <w:rPr>
          <w:i/>
        </w:rPr>
        <w:fldChar w:fldCharType="end"/>
      </w:r>
      <w:r w:rsidRPr="00273106">
        <w:t>.</w:t>
      </w:r>
      <w:r>
        <w:t xml:space="preserve"> Albertova kritika ohledně </w:t>
      </w:r>
      <w:r w:rsidRPr="00064B0B">
        <w:rPr>
          <w:i/>
        </w:rPr>
        <w:t>ens ratum</w:t>
      </w:r>
      <w:r>
        <w:t xml:space="preserve"> </w:t>
      </w:r>
      <w:r w:rsidRPr="00273106">
        <w:t>(</w:t>
      </w:r>
      <w:r w:rsidR="08E248EE">
        <w:t>OBJ II, kap. 2</w:t>
      </w:r>
      <w:r w:rsidRPr="00273106">
        <w:t>.4.3)</w:t>
      </w:r>
      <w:r>
        <w:t xml:space="preserve"> míří nejen na Kilwardbyho, ale i na Bonaventuru, protože i on zrušil kategoriální impozici od první substance</w:t>
      </w:r>
      <w:r w:rsidRPr="00273106">
        <w:t>.</w:t>
      </w:r>
      <w:r>
        <w:t xml:space="preserve"> Následující citace z komentáře Bonaventurových žáků (</w:t>
      </w:r>
      <w:r w:rsidRPr="00177250">
        <w:rPr>
          <w:i/>
        </w:rPr>
        <w:t>Dubium I</w:t>
      </w:r>
      <w:r>
        <w:t xml:space="preserve">) poprvé obsahuje kompletní strukturu určení moderní </w:t>
      </w:r>
      <w:r w:rsidR="005D0B1D">
        <w:t>„</w:t>
      </w:r>
      <w:r w:rsidR="005D0B1D" w:rsidRPr="005D0B1D">
        <w:rPr>
          <w:i/>
        </w:rPr>
        <w:t>res</w:t>
      </w:r>
      <w:r w:rsidR="005D0B1D">
        <w:t xml:space="preserve">“ </w:t>
      </w:r>
      <w:r>
        <w:t xml:space="preserve">v </w:t>
      </w:r>
      <w:r w:rsidR="005D0B1D">
        <w:t>modu objektivně pojaté reality.</w:t>
      </w:r>
    </w:p>
    <w:p w:rsidR="08163013" w:rsidRPr="00977391" w:rsidRDefault="08163013" w:rsidP="08163013">
      <w:pPr>
        <w:pStyle w:val="Citace"/>
        <w:rPr>
          <w:noProof/>
          <w:lang w:val="cs-CZ"/>
        </w:rPr>
      </w:pPr>
      <w:r w:rsidRPr="00273106">
        <w:rPr>
          <w:noProof/>
          <w:lang w:val="cs-CZ"/>
        </w:rPr>
        <w:t>„</w:t>
      </w:r>
      <w:r>
        <w:rPr>
          <w:noProof/>
          <w:lang w:val="cs-CZ"/>
        </w:rPr>
        <w:t xml:space="preserve">Určení jsoucna v rámci věci je možné definovat v modu </w:t>
      </w:r>
      <w:r w:rsidR="00C86FD0">
        <w:rPr>
          <w:noProof/>
          <w:lang w:val="cs-CZ"/>
        </w:rPr>
        <w:t>obecniny</w:t>
      </w:r>
      <w:r>
        <w:rPr>
          <w:noProof/>
          <w:lang w:val="cs-CZ"/>
        </w:rPr>
        <w:t xml:space="preserve">, v modu kategoriálního </w:t>
      </w:r>
      <w:r w:rsidR="00C86FD0">
        <w:rPr>
          <w:noProof/>
          <w:lang w:val="cs-CZ"/>
        </w:rPr>
        <w:t xml:space="preserve">určení </w:t>
      </w:r>
      <w:r>
        <w:rPr>
          <w:noProof/>
          <w:lang w:val="cs-CZ"/>
        </w:rPr>
        <w:t xml:space="preserve">a objektivně daného </w:t>
      </w:r>
      <w:r w:rsidR="00C86FD0">
        <w:rPr>
          <w:noProof/>
          <w:lang w:val="cs-CZ"/>
        </w:rPr>
        <w:t xml:space="preserve">určení </w:t>
      </w:r>
      <w:r>
        <w:rPr>
          <w:noProof/>
          <w:lang w:val="cs-CZ"/>
        </w:rPr>
        <w:t>(</w:t>
      </w:r>
      <w:r w:rsidRPr="00D317CE">
        <w:rPr>
          <w:i/>
          <w:noProof/>
          <w:szCs w:val="13"/>
          <w:lang w:val="cs-CZ"/>
        </w:rPr>
        <w:t xml:space="preserve">res </w:t>
      </w:r>
      <w:r w:rsidRPr="00D317CE">
        <w:rPr>
          <w:i/>
          <w:noProof/>
          <w:szCs w:val="12"/>
          <w:lang w:val="cs-CZ"/>
        </w:rPr>
        <w:t xml:space="preserve">accipitur </w:t>
      </w:r>
      <w:r w:rsidRPr="00D317CE">
        <w:rPr>
          <w:i/>
          <w:noProof/>
          <w:lang w:val="cs-CZ"/>
        </w:rPr>
        <w:t xml:space="preserve">communiter et </w:t>
      </w:r>
      <w:r w:rsidRPr="00D317CE">
        <w:rPr>
          <w:i/>
          <w:noProof/>
          <w:szCs w:val="14"/>
          <w:lang w:val="cs-CZ"/>
        </w:rPr>
        <w:t xml:space="preserve">proprie </w:t>
      </w:r>
      <w:r w:rsidRPr="00D317CE">
        <w:rPr>
          <w:i/>
          <w:noProof/>
          <w:szCs w:val="11"/>
          <w:lang w:val="cs-CZ"/>
        </w:rPr>
        <w:t xml:space="preserve">et </w:t>
      </w:r>
      <w:r w:rsidRPr="00D317CE">
        <w:rPr>
          <w:i/>
          <w:noProof/>
          <w:szCs w:val="16"/>
          <w:lang w:val="cs-CZ"/>
        </w:rPr>
        <w:t>magis p</w:t>
      </w:r>
      <w:r w:rsidRPr="00D317CE">
        <w:rPr>
          <w:i/>
          <w:noProof/>
          <w:szCs w:val="13"/>
          <w:lang w:val="cs-CZ"/>
        </w:rPr>
        <w:t>roprie</w:t>
      </w:r>
      <w:r>
        <w:rPr>
          <w:noProof/>
          <w:lang w:val="cs-CZ"/>
        </w:rPr>
        <w:t>). Věc v obecném určení je chápána z hlediska esenciální věcnosti dané věci (</w:t>
      </w:r>
      <w:r w:rsidRPr="00E12078">
        <w:rPr>
          <w:i/>
          <w:noProof/>
          <w:szCs w:val="12"/>
        </w:rPr>
        <w:t xml:space="preserve">dicitur </w:t>
      </w:r>
      <w:r w:rsidRPr="00E12078">
        <w:rPr>
          <w:i/>
          <w:noProof/>
          <w:szCs w:val="13"/>
        </w:rPr>
        <w:t xml:space="preserve">a reor, </w:t>
      </w:r>
      <w:r w:rsidRPr="00E12078">
        <w:rPr>
          <w:i/>
          <w:noProof/>
          <w:szCs w:val="11"/>
        </w:rPr>
        <w:t>reris</w:t>
      </w:r>
      <w:r>
        <w:rPr>
          <w:noProof/>
          <w:lang w:val="cs-CZ"/>
        </w:rPr>
        <w:t>). Tak je definováno vše v oboru poznání, ať je věc dána tímto způsobem v mysli, nebo i v realitě. Věc predikovaná ve vlastním modu (</w:t>
      </w:r>
      <w:r w:rsidRPr="00136E61">
        <w:rPr>
          <w:i/>
          <w:noProof/>
          <w:lang w:val="cs-CZ"/>
        </w:rPr>
        <w:t>proprie dicitur</w:t>
      </w:r>
      <w:r>
        <w:rPr>
          <w:noProof/>
          <w:lang w:val="cs-CZ"/>
        </w:rPr>
        <w:t>) je predikovaná jako zajištěná v reálném bytí (</w:t>
      </w:r>
      <w:r w:rsidRPr="00D317CE">
        <w:rPr>
          <w:i/>
          <w:noProof/>
          <w:szCs w:val="12"/>
          <w:lang w:val="cs-CZ"/>
        </w:rPr>
        <w:t xml:space="preserve">dicitur res </w:t>
      </w:r>
      <w:r w:rsidRPr="00D317CE">
        <w:rPr>
          <w:i/>
          <w:noProof/>
          <w:szCs w:val="14"/>
          <w:lang w:val="cs-CZ"/>
        </w:rPr>
        <w:t>a ratus, rata</w:t>
      </w:r>
      <w:r w:rsidRPr="00D317CE">
        <w:rPr>
          <w:i/>
          <w:noProof/>
          <w:szCs w:val="7"/>
          <w:lang w:val="cs-CZ"/>
        </w:rPr>
        <w:t xml:space="preserve">, </w:t>
      </w:r>
      <w:r w:rsidRPr="00D317CE">
        <w:rPr>
          <w:i/>
          <w:noProof/>
          <w:szCs w:val="16"/>
          <w:lang w:val="cs-CZ"/>
        </w:rPr>
        <w:t>ratum</w:t>
      </w:r>
      <w:r>
        <w:rPr>
          <w:noProof/>
          <w:lang w:val="cs-CZ"/>
        </w:rPr>
        <w:t>), což znamená v externí realitě dané jako substance (</w:t>
      </w:r>
      <w:r w:rsidRPr="00D317CE">
        <w:rPr>
          <w:i/>
          <w:noProof/>
          <w:lang w:val="cs-CZ"/>
        </w:rPr>
        <w:t>ens in se</w:t>
      </w:r>
      <w:r>
        <w:rPr>
          <w:noProof/>
          <w:lang w:val="cs-CZ"/>
        </w:rPr>
        <w:t>) nebo jako akcident (</w:t>
      </w:r>
      <w:r w:rsidRPr="00D317CE">
        <w:rPr>
          <w:i/>
          <w:noProof/>
          <w:lang w:val="cs-CZ"/>
        </w:rPr>
        <w:t>in alio</w:t>
      </w:r>
      <w:r>
        <w:rPr>
          <w:noProof/>
          <w:lang w:val="cs-CZ"/>
        </w:rPr>
        <w:t>). V tomto modu je věc konvertibilní s pojmem 'jsoucno'. Třetí způsob vyjadřuje jsoucno v modu objektivně daného propria (</w:t>
      </w:r>
      <w:r w:rsidRPr="00103D51">
        <w:rPr>
          <w:i/>
          <w:noProof/>
          <w:szCs w:val="12"/>
        </w:rPr>
        <w:t xml:space="preserve">res </w:t>
      </w:r>
      <w:r w:rsidRPr="00103D51">
        <w:rPr>
          <w:i/>
          <w:noProof/>
          <w:szCs w:val="16"/>
        </w:rPr>
        <w:t xml:space="preserve">magis </w:t>
      </w:r>
      <w:r w:rsidRPr="00103D51">
        <w:rPr>
          <w:i/>
          <w:noProof/>
          <w:szCs w:val="14"/>
        </w:rPr>
        <w:t>proprie</w:t>
      </w:r>
      <w:r>
        <w:rPr>
          <w:noProof/>
          <w:lang w:val="cs-CZ"/>
        </w:rPr>
        <w:t>). Predikace tohoto jistého bytí jsoucna (</w:t>
      </w:r>
      <w:r w:rsidRPr="006E45A3">
        <w:rPr>
          <w:i/>
          <w:noProof/>
          <w:lang w:val="cs-CZ"/>
        </w:rPr>
        <w:t>ens ratum</w:t>
      </w:r>
      <w:r>
        <w:rPr>
          <w:noProof/>
          <w:lang w:val="cs-CZ"/>
        </w:rPr>
        <w:t xml:space="preserve">) je dána vzhledem k tomu, co je jsoucno v jeho esenciální jsoucnosti dané </w:t>
      </w:r>
      <w:r w:rsidR="08544CEA">
        <w:rPr>
          <w:noProof/>
          <w:lang w:val="cs-CZ"/>
        </w:rPr>
        <w:t xml:space="preserve">nezměnitelně </w:t>
      </w:r>
      <w:r>
        <w:rPr>
          <w:noProof/>
          <w:lang w:val="cs-CZ"/>
        </w:rPr>
        <w:t>skrze sebe samu (</w:t>
      </w:r>
      <w:r w:rsidRPr="006E45A3">
        <w:rPr>
          <w:i/>
          <w:noProof/>
          <w:szCs w:val="16"/>
          <w:lang w:val="cs-CZ"/>
        </w:rPr>
        <w:t xml:space="preserve">ratum </w:t>
      </w:r>
      <w:r w:rsidRPr="006E45A3">
        <w:rPr>
          <w:i/>
          <w:noProof/>
          <w:szCs w:val="12"/>
          <w:lang w:val="cs-CZ"/>
        </w:rPr>
        <w:t xml:space="preserve">dicitur </w:t>
      </w:r>
      <w:r w:rsidRPr="006E45A3">
        <w:rPr>
          <w:i/>
          <w:noProof/>
          <w:szCs w:val="11"/>
          <w:lang w:val="cs-CZ"/>
        </w:rPr>
        <w:t xml:space="preserve">illud </w:t>
      </w:r>
      <w:r w:rsidRPr="006E45A3">
        <w:rPr>
          <w:i/>
          <w:noProof/>
          <w:lang w:val="cs-CZ"/>
        </w:rPr>
        <w:t xml:space="preserve">quod </w:t>
      </w:r>
      <w:r w:rsidRPr="006E45A3">
        <w:rPr>
          <w:i/>
          <w:noProof/>
          <w:szCs w:val="11"/>
          <w:lang w:val="cs-CZ"/>
        </w:rPr>
        <w:t xml:space="preserve">est </w:t>
      </w:r>
      <w:r w:rsidRPr="006E45A3">
        <w:rPr>
          <w:i/>
          <w:noProof/>
          <w:szCs w:val="13"/>
          <w:lang w:val="cs-CZ"/>
        </w:rPr>
        <w:t xml:space="preserve">ens </w:t>
      </w:r>
      <w:r w:rsidRPr="006E45A3">
        <w:rPr>
          <w:i/>
          <w:noProof/>
          <w:szCs w:val="10"/>
          <w:lang w:val="cs-CZ"/>
        </w:rPr>
        <w:t xml:space="preserve">per </w:t>
      </w:r>
      <w:r w:rsidRPr="006E45A3">
        <w:rPr>
          <w:i/>
          <w:noProof/>
          <w:szCs w:val="12"/>
          <w:lang w:val="cs-CZ"/>
        </w:rPr>
        <w:t xml:space="preserve">se </w:t>
      </w:r>
      <w:r w:rsidRPr="006E45A3">
        <w:rPr>
          <w:i/>
          <w:noProof/>
          <w:szCs w:val="11"/>
          <w:lang w:val="cs-CZ"/>
        </w:rPr>
        <w:t xml:space="preserve">et </w:t>
      </w:r>
      <w:r w:rsidRPr="006E45A3">
        <w:rPr>
          <w:i/>
          <w:noProof/>
          <w:szCs w:val="14"/>
          <w:lang w:val="cs-CZ"/>
        </w:rPr>
        <w:t>fixum</w:t>
      </w:r>
      <w:r>
        <w:rPr>
          <w:noProof/>
          <w:lang w:val="cs-CZ"/>
        </w:rPr>
        <w:t>). Takto lze věc predikovat pouze vzhledem ke stvoření (</w:t>
      </w:r>
      <w:r w:rsidRPr="00EA1458">
        <w:rPr>
          <w:i/>
          <w:noProof/>
          <w:szCs w:val="12"/>
        </w:rPr>
        <w:t xml:space="preserve">res dicitur </w:t>
      </w:r>
      <w:r w:rsidRPr="00EA1458">
        <w:rPr>
          <w:i/>
          <w:noProof/>
          <w:szCs w:val="14"/>
        </w:rPr>
        <w:t xml:space="preserve">solum de </w:t>
      </w:r>
      <w:r w:rsidRPr="00EA1458">
        <w:rPr>
          <w:i/>
          <w:szCs w:val="12"/>
        </w:rPr>
        <w:t>creat</w:t>
      </w:r>
      <w:r w:rsidRPr="00EA1458">
        <w:rPr>
          <w:i/>
          <w:noProof/>
          <w:szCs w:val="12"/>
        </w:rPr>
        <w:t>uris</w:t>
      </w:r>
      <w:r>
        <w:rPr>
          <w:noProof/>
          <w:lang w:val="cs-CZ"/>
        </w:rPr>
        <w:t>) a k subsistentním substancím (</w:t>
      </w:r>
      <w:r w:rsidRPr="00EA1458">
        <w:rPr>
          <w:i/>
          <w:noProof/>
          <w:szCs w:val="12"/>
        </w:rPr>
        <w:t xml:space="preserve">substantiis </w:t>
      </w:r>
      <w:r w:rsidRPr="00EA1458">
        <w:rPr>
          <w:i/>
          <w:noProof/>
          <w:szCs w:val="13"/>
        </w:rPr>
        <w:t xml:space="preserve">per </w:t>
      </w:r>
      <w:r w:rsidRPr="00EA1458">
        <w:rPr>
          <w:i/>
          <w:noProof/>
          <w:szCs w:val="11"/>
        </w:rPr>
        <w:t xml:space="preserve">se </w:t>
      </w:r>
      <w:r w:rsidRPr="00EA1458">
        <w:rPr>
          <w:i/>
          <w:noProof/>
          <w:szCs w:val="13"/>
        </w:rPr>
        <w:t>entibus</w:t>
      </w:r>
      <w:r>
        <w:rPr>
          <w:noProof/>
          <w:lang w:val="cs-CZ"/>
        </w:rPr>
        <w:t xml:space="preserve">).“ </w:t>
      </w:r>
      <w:r>
        <w:rPr>
          <w:rStyle w:val="Znakapoznpodarou"/>
        </w:rPr>
        <w:footnoteReference w:id="17"/>
      </w:r>
    </w:p>
    <w:p w:rsidR="00412C17" w:rsidRDefault="005D0B1D" w:rsidP="08163013">
      <w:pPr>
        <w:rPr>
          <w:szCs w:val="24"/>
        </w:rPr>
      </w:pPr>
      <w:r>
        <w:t xml:space="preserve">Třetí modus predikace ukazuje plnou odkrytost objektivity v kompletním systému nové kategoriální predikace zasazené do systému avicennistické ontoteologie. </w:t>
      </w:r>
      <w:r w:rsidR="08163013">
        <w:t>N</w:t>
      </w:r>
      <w:r w:rsidR="08163013" w:rsidRPr="00273106">
        <w:t>a rozdíl od prvního averroi</w:t>
      </w:r>
      <w:r w:rsidR="08163013">
        <w:t>sm</w:t>
      </w:r>
      <w:r w:rsidR="08163013" w:rsidRPr="00273106">
        <w:t xml:space="preserve">u </w:t>
      </w:r>
      <w:r w:rsidR="08163013">
        <w:t>c</w:t>
      </w:r>
      <w:r w:rsidR="08163013" w:rsidRPr="00273106">
        <w:t xml:space="preserve">itát začíná </w:t>
      </w:r>
      <w:r w:rsidR="08163013">
        <w:t xml:space="preserve">avicennovským </w:t>
      </w:r>
      <w:r w:rsidR="08163013" w:rsidRPr="00273106">
        <w:t>určením věci v nejširším smyslu (</w:t>
      </w:r>
      <w:r w:rsidR="08163013" w:rsidRPr="00273106">
        <w:rPr>
          <w:i/>
        </w:rPr>
        <w:t>communiter</w:t>
      </w:r>
      <w:r w:rsidR="08163013" w:rsidRPr="00273106">
        <w:t>), tedy směrem od poznávajícího intelektu (</w:t>
      </w:r>
      <w:r w:rsidR="08163013" w:rsidRPr="00273106">
        <w:rPr>
          <w:i/>
          <w:szCs w:val="16"/>
        </w:rPr>
        <w:t xml:space="preserve">omne </w:t>
      </w:r>
      <w:r w:rsidR="08163013" w:rsidRPr="00273106">
        <w:rPr>
          <w:i/>
          <w:szCs w:val="11"/>
        </w:rPr>
        <w:t>illud</w:t>
      </w:r>
      <w:r w:rsidR="08163013" w:rsidRPr="00273106">
        <w:rPr>
          <w:i/>
          <w:szCs w:val="5"/>
        </w:rPr>
        <w:t xml:space="preserve">, </w:t>
      </w:r>
      <w:r w:rsidR="08163013" w:rsidRPr="00273106">
        <w:rPr>
          <w:i/>
        </w:rPr>
        <w:t xml:space="preserve">quod </w:t>
      </w:r>
      <w:r w:rsidR="08163013" w:rsidRPr="00273106">
        <w:rPr>
          <w:i/>
          <w:szCs w:val="12"/>
        </w:rPr>
        <w:t xml:space="preserve">cadit </w:t>
      </w:r>
      <w:r w:rsidR="08163013" w:rsidRPr="00273106">
        <w:rPr>
          <w:i/>
          <w:szCs w:val="11"/>
        </w:rPr>
        <w:t>in co</w:t>
      </w:r>
      <w:r w:rsidR="08163013" w:rsidRPr="00273106">
        <w:rPr>
          <w:i/>
          <w:szCs w:val="12"/>
        </w:rPr>
        <w:t>gnitione</w:t>
      </w:r>
      <w:r w:rsidR="08163013" w:rsidRPr="00273106">
        <w:t xml:space="preserve">). </w:t>
      </w:r>
      <w:r w:rsidR="08163013">
        <w:t>D</w:t>
      </w:r>
      <w:r w:rsidR="08163013" w:rsidRPr="00273106">
        <w:t xml:space="preserve">ruhé určení </w:t>
      </w:r>
      <w:r w:rsidR="08163013" w:rsidRPr="00273106">
        <w:rPr>
          <w:i/>
        </w:rPr>
        <w:t>ens ratum</w:t>
      </w:r>
      <w:r w:rsidR="08163013">
        <w:t xml:space="preserve"> jde ke klasickému aristot</w:t>
      </w:r>
      <w:r w:rsidR="082E73BA">
        <w:t>elskému pojetí první substance.</w:t>
      </w:r>
      <w:r w:rsidR="08880EA8">
        <w:t xml:space="preserve"> </w:t>
      </w:r>
      <w:r w:rsidR="08880EA8" w:rsidRPr="08880EA8">
        <w:rPr>
          <w:szCs w:val="24"/>
        </w:rPr>
        <w:lastRenderedPageBreak/>
        <w:t>Důležitá je třetí, tj. objektivní forma predikace</w:t>
      </w:r>
      <w:r w:rsidR="08E43D32">
        <w:rPr>
          <w:szCs w:val="24"/>
        </w:rPr>
        <w:t xml:space="preserve">, kdy je </w:t>
      </w:r>
      <w:r w:rsidR="08E43D32">
        <w:t xml:space="preserve">určení jsoucna dáno v modu </w:t>
      </w:r>
      <w:r w:rsidR="08E43D32" w:rsidRPr="00D317CE">
        <w:rPr>
          <w:i/>
          <w:szCs w:val="16"/>
        </w:rPr>
        <w:t>magis p</w:t>
      </w:r>
      <w:r w:rsidR="08E43D32" w:rsidRPr="00D317CE">
        <w:rPr>
          <w:i/>
          <w:szCs w:val="13"/>
        </w:rPr>
        <w:t>roprie</w:t>
      </w:r>
      <w:r w:rsidR="08E43D32">
        <w:rPr>
          <w:szCs w:val="13"/>
        </w:rPr>
        <w:t xml:space="preserve">. </w:t>
      </w:r>
      <w:r w:rsidR="08163013">
        <w:t xml:space="preserve">Po zrušení </w:t>
      </w:r>
      <w:r w:rsidR="081942A4">
        <w:t xml:space="preserve">metafyzického </w:t>
      </w:r>
      <w:r w:rsidR="08163013">
        <w:t>dativu splynulo bytí první a druhé substance do nominalické formy kategoriální predikace</w:t>
      </w:r>
      <w:r w:rsidR="08163013" w:rsidRPr="00273106">
        <w:t>.</w:t>
      </w:r>
      <w:r w:rsidR="08163013">
        <w:t xml:space="preserve"> Toto jsoucno třetího druhu </w:t>
      </w:r>
      <w:r w:rsidR="087B0ACD">
        <w:t xml:space="preserve">„exsistuje“ </w:t>
      </w:r>
      <w:r w:rsidR="08163013">
        <w:t>v nové amfibolní predikaci jako univerzálie i jako jednotlivina</w:t>
      </w:r>
      <w:r w:rsidR="005068F9">
        <w:t>. Bonaventura t</w:t>
      </w:r>
      <w:r w:rsidR="0041618A">
        <w:t>v</w:t>
      </w:r>
      <w:r w:rsidR="005068F9">
        <w:t xml:space="preserve">rdí, že toto </w:t>
      </w:r>
      <w:r w:rsidR="005068F9" w:rsidRPr="005068F9">
        <w:rPr>
          <w:i/>
        </w:rPr>
        <w:t>tertium ens</w:t>
      </w:r>
      <w:r w:rsidR="005068F9">
        <w:t xml:space="preserve"> </w:t>
      </w:r>
      <w:r w:rsidR="08163013">
        <w:t>je konvertibilní s aristotelskou predikací na úrovni druhé substance (</w:t>
      </w:r>
      <w:r w:rsidR="08163013" w:rsidRPr="00F41C6B">
        <w:rPr>
          <w:i/>
          <w:szCs w:val="14"/>
        </w:rPr>
        <w:t xml:space="preserve">hoc </w:t>
      </w:r>
      <w:r w:rsidR="08163013" w:rsidRPr="00F41C6B">
        <w:rPr>
          <w:i/>
          <w:szCs w:val="17"/>
        </w:rPr>
        <w:t xml:space="preserve">modo </w:t>
      </w:r>
      <w:r w:rsidR="08163013" w:rsidRPr="00F41C6B">
        <w:rPr>
          <w:i/>
          <w:szCs w:val="13"/>
        </w:rPr>
        <w:t xml:space="preserve">res convertitur </w:t>
      </w:r>
      <w:r w:rsidR="08163013" w:rsidRPr="00F41C6B">
        <w:rPr>
          <w:i/>
          <w:szCs w:val="17"/>
        </w:rPr>
        <w:t xml:space="preserve">cum </w:t>
      </w:r>
      <w:r w:rsidR="08163013" w:rsidRPr="00F41C6B">
        <w:rPr>
          <w:i/>
          <w:szCs w:val="11"/>
        </w:rPr>
        <w:t>ente</w:t>
      </w:r>
      <w:r w:rsidR="08163013">
        <w:t xml:space="preserve">). </w:t>
      </w:r>
      <w:r w:rsidR="08E43D32">
        <w:t xml:space="preserve">Tato forma </w:t>
      </w:r>
      <w:r w:rsidR="083A328D">
        <w:t xml:space="preserve">objektivní konverse </w:t>
      </w:r>
      <w:r w:rsidR="00FE6242">
        <w:t>univerz</w:t>
      </w:r>
      <w:r w:rsidR="00982092">
        <w:t xml:space="preserve">álního určení </w:t>
      </w:r>
      <w:r w:rsidR="083A328D">
        <w:t>jsouc</w:t>
      </w:r>
      <w:r w:rsidR="08E43D32">
        <w:t>na</w:t>
      </w:r>
      <w:r w:rsidR="083A328D">
        <w:t xml:space="preserve"> a reálné věci</w:t>
      </w:r>
      <w:r w:rsidR="08E43D32">
        <w:t xml:space="preserve"> je v aristotelské predikaci </w:t>
      </w:r>
      <w:r w:rsidR="00FE6242">
        <w:t>naprostý nesmysl</w:t>
      </w:r>
      <w:r w:rsidR="08E43D32">
        <w:t xml:space="preserve">. </w:t>
      </w:r>
      <w:r w:rsidR="08163013">
        <w:rPr>
          <w:szCs w:val="13"/>
        </w:rPr>
        <w:t xml:space="preserve">První averroismus nemůže mít jsoucno třetího druhu a tím ani objektivní predikaci. </w:t>
      </w:r>
      <w:r w:rsidR="08163013" w:rsidRPr="00273106">
        <w:t xml:space="preserve">První </w:t>
      </w:r>
      <w:r w:rsidR="08163013">
        <w:t xml:space="preserve">substance v reálu je jasně oddělena </w:t>
      </w:r>
      <w:r w:rsidR="08163013" w:rsidRPr="00273106">
        <w:t xml:space="preserve">od poznaného jsoucna v mysli. Bonaventura začíná určení jsoucna ne </w:t>
      </w:r>
      <w:r w:rsidR="08163013">
        <w:t xml:space="preserve">z aktuální </w:t>
      </w:r>
      <w:r w:rsidR="08163013" w:rsidRPr="00273106">
        <w:t xml:space="preserve">reality, ale z </w:t>
      </w:r>
      <w:r w:rsidR="08163013">
        <w:t xml:space="preserve">bohem osvíceného </w:t>
      </w:r>
      <w:r w:rsidR="08163013" w:rsidRPr="00273106">
        <w:t>intelektu</w:t>
      </w:r>
      <w:r w:rsidR="08163013">
        <w:t xml:space="preserve">. Proto mu </w:t>
      </w:r>
      <w:r w:rsidR="08163013" w:rsidRPr="00273106">
        <w:t xml:space="preserve">splývá jedinečné bytí první substance </w:t>
      </w:r>
      <w:r w:rsidR="08163013">
        <w:t>(</w:t>
      </w:r>
      <w:r w:rsidR="08163013" w:rsidRPr="00273106">
        <w:rPr>
          <w:i/>
          <w:szCs w:val="12"/>
        </w:rPr>
        <w:t xml:space="preserve">est </w:t>
      </w:r>
      <w:r w:rsidR="08163013" w:rsidRPr="00273106">
        <w:rPr>
          <w:i/>
          <w:szCs w:val="11"/>
        </w:rPr>
        <w:t xml:space="preserve">in </w:t>
      </w:r>
      <w:r w:rsidR="08163013" w:rsidRPr="00273106">
        <w:rPr>
          <w:i/>
          <w:szCs w:val="16"/>
        </w:rPr>
        <w:t xml:space="preserve">rerum </w:t>
      </w:r>
      <w:r w:rsidR="08163013" w:rsidRPr="00273106">
        <w:rPr>
          <w:i/>
          <w:szCs w:val="13"/>
        </w:rPr>
        <w:t>natura</w:t>
      </w:r>
      <w:r w:rsidR="08163013">
        <w:t xml:space="preserve">) </w:t>
      </w:r>
      <w:r w:rsidR="08163013" w:rsidRPr="00273106">
        <w:t>a její univerzální poznání v mysli (</w:t>
      </w:r>
      <w:r w:rsidR="08163013" w:rsidRPr="00273106">
        <w:rPr>
          <w:i/>
          <w:szCs w:val="11"/>
        </w:rPr>
        <w:t xml:space="preserve">est in </w:t>
      </w:r>
      <w:r w:rsidR="08163013">
        <w:rPr>
          <w:i/>
          <w:szCs w:val="12"/>
        </w:rPr>
        <w:t>cognitione</w:t>
      </w:r>
      <w:r w:rsidR="08163013" w:rsidRPr="00273106">
        <w:t xml:space="preserve">). Toto objektivní určení věci </w:t>
      </w:r>
      <w:r w:rsidR="000277E6">
        <w:t xml:space="preserve">je </w:t>
      </w:r>
      <w:r w:rsidR="08163013" w:rsidRPr="00273106">
        <w:t>dané od esenciálně dané věcnosti (</w:t>
      </w:r>
      <w:r w:rsidR="08163013" w:rsidRPr="00273106">
        <w:rPr>
          <w:i/>
          <w:szCs w:val="12"/>
        </w:rPr>
        <w:t xml:space="preserve">res </w:t>
      </w:r>
      <w:r w:rsidR="08163013" w:rsidRPr="00273106">
        <w:rPr>
          <w:i/>
          <w:szCs w:val="14"/>
        </w:rPr>
        <w:t>a ratus, rata</w:t>
      </w:r>
      <w:r w:rsidR="08163013" w:rsidRPr="00273106">
        <w:rPr>
          <w:i/>
          <w:szCs w:val="7"/>
        </w:rPr>
        <w:t xml:space="preserve">, </w:t>
      </w:r>
      <w:r w:rsidR="08163013" w:rsidRPr="00273106">
        <w:rPr>
          <w:i/>
          <w:szCs w:val="16"/>
        </w:rPr>
        <w:t>ratum</w:t>
      </w:r>
      <w:r w:rsidR="08163013" w:rsidRPr="00273106">
        <w:t>)</w:t>
      </w:r>
      <w:r w:rsidR="00FD54E4">
        <w:t>. Nová</w:t>
      </w:r>
      <w:r w:rsidR="000277E6">
        <w:t xml:space="preserve"> „věc“ tím dostala </w:t>
      </w:r>
      <w:r w:rsidR="08163013" w:rsidRPr="00273106">
        <w:t xml:space="preserve">statut konkrétní a konvertibilní univerzálie </w:t>
      </w:r>
      <w:r w:rsidR="000277E6">
        <w:t xml:space="preserve">určené </w:t>
      </w:r>
      <w:r w:rsidR="08163013" w:rsidRPr="00273106">
        <w:t xml:space="preserve">v modu </w:t>
      </w:r>
      <w:r w:rsidR="08163013">
        <w:t xml:space="preserve">objektivního </w:t>
      </w:r>
      <w:r w:rsidR="000277E6">
        <w:t xml:space="preserve">jsoucna </w:t>
      </w:r>
      <w:r w:rsidR="08163013">
        <w:t>(</w:t>
      </w:r>
      <w:r w:rsidR="08163013" w:rsidRPr="00103D51">
        <w:rPr>
          <w:i/>
          <w:szCs w:val="12"/>
        </w:rPr>
        <w:t xml:space="preserve">res </w:t>
      </w:r>
      <w:r w:rsidR="08163013" w:rsidRPr="00103D51">
        <w:rPr>
          <w:i/>
          <w:szCs w:val="16"/>
        </w:rPr>
        <w:t xml:space="preserve">magis </w:t>
      </w:r>
      <w:r w:rsidR="08163013" w:rsidRPr="00103D51">
        <w:rPr>
          <w:i/>
          <w:szCs w:val="14"/>
        </w:rPr>
        <w:t>proprie</w:t>
      </w:r>
      <w:r w:rsidR="08163013">
        <w:t xml:space="preserve">). Tuto objektivní proprietu pro bytí jsoucna poprvé ustavil Avicenna. Smysl jsoucna je dán pro myšlení ve smyslu Rufusova </w:t>
      </w:r>
      <w:r w:rsidR="08163013" w:rsidRPr="003C70DF">
        <w:rPr>
          <w:i/>
        </w:rPr>
        <w:t>concretum</w:t>
      </w:r>
      <w:r w:rsidR="08163013">
        <w:rPr>
          <w:i/>
        </w:rPr>
        <w:fldChar w:fldCharType="begin"/>
      </w:r>
      <w:r w:rsidR="08163013">
        <w:instrText xml:space="preserve"> XE "</w:instrText>
      </w:r>
      <w:r w:rsidR="08163013" w:rsidRPr="00B759F5">
        <w:rPr>
          <w:i/>
        </w:rPr>
        <w:instrText>concretum</w:instrText>
      </w:r>
      <w:r w:rsidR="08163013">
        <w:instrText xml:space="preserve">" </w:instrText>
      </w:r>
      <w:r w:rsidR="08163013">
        <w:rPr>
          <w:i/>
        </w:rPr>
        <w:fldChar w:fldCharType="end"/>
      </w:r>
      <w:r w:rsidR="08163013">
        <w:t xml:space="preserve"> a Bonaventurova </w:t>
      </w:r>
      <w:r w:rsidR="08163013" w:rsidRPr="003C70DF">
        <w:rPr>
          <w:i/>
        </w:rPr>
        <w:t>factum</w:t>
      </w:r>
      <w:r w:rsidR="08163013">
        <w:rPr>
          <w:i/>
        </w:rPr>
        <w:fldChar w:fldCharType="begin"/>
      </w:r>
      <w:r w:rsidR="08163013">
        <w:instrText xml:space="preserve"> XE "</w:instrText>
      </w:r>
      <w:r w:rsidR="08163013" w:rsidRPr="0012277B">
        <w:rPr>
          <w:i/>
        </w:rPr>
        <w:instrText>factum</w:instrText>
      </w:r>
      <w:r w:rsidR="08163013">
        <w:instrText xml:space="preserve">" </w:instrText>
      </w:r>
      <w:r w:rsidR="08163013">
        <w:rPr>
          <w:i/>
        </w:rPr>
        <w:fldChar w:fldCharType="end"/>
      </w:r>
      <w:r w:rsidR="08163013">
        <w:t xml:space="preserve">, které zakládá nové jsoucno třetího druhu. </w:t>
      </w:r>
      <w:r w:rsidR="007504DC">
        <w:t>Rufus vytvořil první p</w:t>
      </w:r>
      <w:r w:rsidR="08163013">
        <w:t>římý náhled do avicennistických a objektivních esencí</w:t>
      </w:r>
      <w:r w:rsidR="007504DC">
        <w:t xml:space="preserve">. Tím </w:t>
      </w:r>
      <w:r w:rsidR="08163013">
        <w:t>způsobil, že k</w:t>
      </w:r>
      <w:r w:rsidR="007504DC">
        <w:t xml:space="preserve"> určení </w:t>
      </w:r>
      <w:r w:rsidR="08163013">
        <w:t xml:space="preserve">třetího a zcela objektivně jistého způsobu bytí už není třeba ani aristotelská abstrakce, ani aristotelská kategoriální predikace. Objektivně nazíranou věc lze </w:t>
      </w:r>
      <w:r w:rsidR="009A24C4">
        <w:t xml:space="preserve">kategorizovat </w:t>
      </w:r>
      <w:r w:rsidR="08163013">
        <w:t>pouze vzhledem ke stvoření (</w:t>
      </w:r>
      <w:r w:rsidR="08163013" w:rsidRPr="00EA1458">
        <w:rPr>
          <w:i/>
          <w:szCs w:val="12"/>
        </w:rPr>
        <w:t xml:space="preserve">res dicitur </w:t>
      </w:r>
      <w:r w:rsidR="08163013" w:rsidRPr="00EA1458">
        <w:rPr>
          <w:i/>
          <w:szCs w:val="14"/>
        </w:rPr>
        <w:t xml:space="preserve">solum de </w:t>
      </w:r>
      <w:r w:rsidR="08163013" w:rsidRPr="00EA1458">
        <w:rPr>
          <w:i/>
          <w:szCs w:val="12"/>
        </w:rPr>
        <w:t>creaturis</w:t>
      </w:r>
      <w:r w:rsidR="08163013">
        <w:t>) a k subsistentním substancím (</w:t>
      </w:r>
      <w:r w:rsidR="08163013" w:rsidRPr="00EA1458">
        <w:rPr>
          <w:i/>
          <w:szCs w:val="12"/>
        </w:rPr>
        <w:t xml:space="preserve">substantiis </w:t>
      </w:r>
      <w:r w:rsidR="08163013" w:rsidRPr="00EA1458">
        <w:rPr>
          <w:i/>
          <w:szCs w:val="13"/>
        </w:rPr>
        <w:t xml:space="preserve">per </w:t>
      </w:r>
      <w:r w:rsidR="08163013" w:rsidRPr="00EA1458">
        <w:rPr>
          <w:i/>
          <w:szCs w:val="11"/>
        </w:rPr>
        <w:t xml:space="preserve">se </w:t>
      </w:r>
      <w:r w:rsidR="08163013" w:rsidRPr="00EA1458">
        <w:rPr>
          <w:i/>
          <w:szCs w:val="13"/>
        </w:rPr>
        <w:t>entibus</w:t>
      </w:r>
      <w:r w:rsidR="08163013">
        <w:t xml:space="preserve">). </w:t>
      </w:r>
      <w:r w:rsidR="081366CB" w:rsidRPr="081366CB">
        <w:rPr>
          <w:szCs w:val="24"/>
        </w:rPr>
        <w:t xml:space="preserve">Bonaventura </w:t>
      </w:r>
      <w:r w:rsidR="00437158">
        <w:rPr>
          <w:szCs w:val="24"/>
        </w:rPr>
        <w:t>vytvo</w:t>
      </w:r>
      <w:r w:rsidR="081366CB">
        <w:rPr>
          <w:szCs w:val="24"/>
        </w:rPr>
        <w:t>řil nový druh univo</w:t>
      </w:r>
      <w:r w:rsidR="081366CB" w:rsidRPr="081366CB">
        <w:rPr>
          <w:szCs w:val="24"/>
        </w:rPr>
        <w:t xml:space="preserve">čně dané predikace, </w:t>
      </w:r>
      <w:r w:rsidR="081366CB">
        <w:rPr>
          <w:szCs w:val="24"/>
        </w:rPr>
        <w:t xml:space="preserve">která </w:t>
      </w:r>
      <w:r w:rsidR="00A5265B">
        <w:rPr>
          <w:szCs w:val="24"/>
        </w:rPr>
        <w:t xml:space="preserve">kategorizuje </w:t>
      </w:r>
      <w:r w:rsidR="081366CB">
        <w:rPr>
          <w:szCs w:val="24"/>
        </w:rPr>
        <w:t>na stejné úrovni jak hylemorfické substance, tak intelektuální kosmické formy. Tím vznikla první kompetní podoba ontoteologie</w:t>
      </w:r>
      <w:r w:rsidR="088D3E6E">
        <w:rPr>
          <w:szCs w:val="24"/>
        </w:rPr>
        <w:fldChar w:fldCharType="begin"/>
      </w:r>
      <w:r w:rsidR="088D3E6E">
        <w:instrText xml:space="preserve"> XE "</w:instrText>
      </w:r>
      <w:r w:rsidR="088D3E6E" w:rsidRPr="08EC337E">
        <w:rPr>
          <w:szCs w:val="24"/>
        </w:rPr>
        <w:instrText>ontoteologie</w:instrText>
      </w:r>
      <w:r w:rsidR="088D3E6E">
        <w:instrText xml:space="preserve">" </w:instrText>
      </w:r>
      <w:r w:rsidR="088D3E6E">
        <w:rPr>
          <w:szCs w:val="24"/>
        </w:rPr>
        <w:fldChar w:fldCharType="end"/>
      </w:r>
      <w:r w:rsidR="081366CB">
        <w:rPr>
          <w:szCs w:val="24"/>
        </w:rPr>
        <w:t xml:space="preserve"> pod egidou je</w:t>
      </w:r>
      <w:r w:rsidR="00412C17">
        <w:rPr>
          <w:szCs w:val="24"/>
        </w:rPr>
        <w:t>dné a jediné objektivní pravdy.</w:t>
      </w:r>
    </w:p>
    <w:p w:rsidR="00FF0F8C" w:rsidRDefault="081366CB" w:rsidP="00412C17">
      <w:pPr>
        <w:ind w:firstLine="397"/>
        <w:rPr>
          <w:iCs/>
        </w:rPr>
      </w:pPr>
      <w:r>
        <w:rPr>
          <w:szCs w:val="24"/>
        </w:rPr>
        <w:t>První ave</w:t>
      </w:r>
      <w:r w:rsidR="083B449C">
        <w:rPr>
          <w:szCs w:val="24"/>
        </w:rPr>
        <w:t>rroismus považoval takovou predi</w:t>
      </w:r>
      <w:r>
        <w:rPr>
          <w:szCs w:val="24"/>
        </w:rPr>
        <w:t>k</w:t>
      </w:r>
      <w:r w:rsidR="083B449C">
        <w:rPr>
          <w:szCs w:val="24"/>
        </w:rPr>
        <w:t>aci</w:t>
      </w:r>
      <w:r>
        <w:rPr>
          <w:szCs w:val="24"/>
        </w:rPr>
        <w:t xml:space="preserve"> za totální nesmysl</w:t>
      </w:r>
      <w:r w:rsidR="083C322E">
        <w:rPr>
          <w:szCs w:val="24"/>
        </w:rPr>
        <w:t>, protože člověk není ani bůh, ani anděl</w:t>
      </w:r>
      <w:r>
        <w:rPr>
          <w:szCs w:val="24"/>
        </w:rPr>
        <w:t xml:space="preserve">. </w:t>
      </w:r>
      <w:r w:rsidR="08163013">
        <w:t xml:space="preserve">Emancipací od Aristotelovy metafyziky vznikla kompletní figura </w:t>
      </w:r>
      <w:r w:rsidR="00C17738">
        <w:t>moderní m</w:t>
      </w:r>
      <w:r w:rsidR="08163013">
        <w:t>yto</w:t>
      </w:r>
      <w:r w:rsidR="00C17738">
        <w:t>logie</w:t>
      </w:r>
      <w:r w:rsidR="08163013">
        <w:t xml:space="preserve">. </w:t>
      </w:r>
      <w:r w:rsidR="00C17738">
        <w:t xml:space="preserve">Objektivní </w:t>
      </w:r>
      <w:r w:rsidR="08163013" w:rsidRPr="00F60F2E">
        <w:rPr>
          <w:i/>
        </w:rPr>
        <w:t>factum</w:t>
      </w:r>
      <w:r w:rsidR="08163013">
        <w:t xml:space="preserve"> </w:t>
      </w:r>
      <w:r w:rsidR="00C17738">
        <w:t xml:space="preserve">je </w:t>
      </w:r>
      <w:r w:rsidR="08163013">
        <w:t>definované jako potence demiurgického subjektu</w:t>
      </w:r>
      <w:r w:rsidR="00FA47EE">
        <w:t xml:space="preserve"> </w:t>
      </w:r>
      <w:r w:rsidR="00FA47EE">
        <w:rPr>
          <w:szCs w:val="24"/>
        </w:rPr>
        <w:t>(</w:t>
      </w:r>
      <w:r w:rsidR="00FA47EE" w:rsidRPr="00C130B9">
        <w:rPr>
          <w:i/>
          <w:szCs w:val="24"/>
        </w:rPr>
        <w:t>dativus auctoris</w:t>
      </w:r>
      <w:r w:rsidR="00FA47EE">
        <w:rPr>
          <w:i/>
          <w:szCs w:val="24"/>
        </w:rPr>
        <w:fldChar w:fldCharType="begin"/>
      </w:r>
      <w:r w:rsidR="00FA47EE">
        <w:instrText xml:space="preserve"> XE "</w:instrText>
      </w:r>
      <w:r w:rsidR="00FA47EE" w:rsidRPr="00776211">
        <w:rPr>
          <w:i/>
          <w:szCs w:val="24"/>
        </w:rPr>
        <w:instrText>dativus auctoris</w:instrText>
      </w:r>
      <w:r w:rsidR="00FA47EE">
        <w:instrText xml:space="preserve">" </w:instrText>
      </w:r>
      <w:r w:rsidR="00FA47EE">
        <w:rPr>
          <w:i/>
          <w:szCs w:val="24"/>
        </w:rPr>
        <w:fldChar w:fldCharType="end"/>
      </w:r>
      <w:r w:rsidR="00FA47EE">
        <w:rPr>
          <w:szCs w:val="24"/>
        </w:rPr>
        <w:t xml:space="preserve">). Toto jsoucno pak </w:t>
      </w:r>
      <w:r w:rsidR="08163013">
        <w:t>expanduje (</w:t>
      </w:r>
      <w:r w:rsidR="08163013" w:rsidRPr="003C70DF">
        <w:rPr>
          <w:i/>
        </w:rPr>
        <w:t>exsistit</w:t>
      </w:r>
      <w:r w:rsidR="08163013">
        <w:t>) do epochálního určení vědy, techniky a kapitalismu. Bonaventura zahájil epochu moderny tím, že jsoucno vybavil myto</w:t>
      </w:r>
      <w:r w:rsidR="00A40CF1">
        <w:t xml:space="preserve">logicky </w:t>
      </w:r>
      <w:r w:rsidR="08163013">
        <w:t>založenou fakticitou. Výše uvedený přací konjuktiv (</w:t>
      </w:r>
      <w:r w:rsidR="08163013" w:rsidRPr="00B906D2">
        <w:rPr>
          <w:i/>
        </w:rPr>
        <w:t>ergo oportet, quod ita sit in re</w:t>
      </w:r>
      <w:r w:rsidR="08163013">
        <w:t xml:space="preserve">) spojený s tímto citátem ukazuje epochálně nový demiurgický způsob, jak </w:t>
      </w:r>
      <w:r w:rsidR="08163013">
        <w:lastRenderedPageBreak/>
        <w:t>moderní subjekt objektivně ratifikoval ideální smysl jsoucna myšlený moderním bohem</w:t>
      </w:r>
      <w:r w:rsidR="00C34BE4">
        <w:t xml:space="preserve"> (</w:t>
      </w:r>
      <w:r w:rsidR="00C34BE4" w:rsidRPr="00C34BE4">
        <w:rPr>
          <w:i/>
        </w:rPr>
        <w:t>dativus finalis</w:t>
      </w:r>
      <w:r w:rsidR="00C34BE4">
        <w:rPr>
          <w:i/>
        </w:rPr>
        <w:fldChar w:fldCharType="begin"/>
      </w:r>
      <w:r w:rsidR="00C34BE4">
        <w:instrText xml:space="preserve"> XE "</w:instrText>
      </w:r>
      <w:r w:rsidR="00C34BE4" w:rsidRPr="00434E97">
        <w:rPr>
          <w:i/>
        </w:rPr>
        <w:instrText>dativus finalis</w:instrText>
      </w:r>
      <w:r w:rsidR="00C34BE4">
        <w:instrText xml:space="preserve">" </w:instrText>
      </w:r>
      <w:r w:rsidR="00C34BE4">
        <w:rPr>
          <w:i/>
        </w:rPr>
        <w:fldChar w:fldCharType="end"/>
      </w:r>
      <w:r w:rsidR="00C34BE4">
        <w:t>)</w:t>
      </w:r>
      <w:r w:rsidR="08163013">
        <w:t xml:space="preserve">. Jsoucnost je nyní dána v novém kategoriálním modu </w:t>
      </w:r>
      <w:r w:rsidR="08163013" w:rsidRPr="00273106">
        <w:rPr>
          <w:i/>
          <w:szCs w:val="16"/>
        </w:rPr>
        <w:t>magis p</w:t>
      </w:r>
      <w:r w:rsidR="08163013" w:rsidRPr="00273106">
        <w:rPr>
          <w:i/>
          <w:szCs w:val="13"/>
        </w:rPr>
        <w:t>roprie</w:t>
      </w:r>
      <w:r w:rsidR="08163013">
        <w:rPr>
          <w:szCs w:val="13"/>
        </w:rPr>
        <w:t>, kdy jsoucno dostává pevnost (</w:t>
      </w:r>
      <w:r w:rsidR="08163013" w:rsidRPr="006E45A3">
        <w:rPr>
          <w:i/>
          <w:szCs w:val="16"/>
        </w:rPr>
        <w:t xml:space="preserve">ratum </w:t>
      </w:r>
      <w:r w:rsidR="08163013" w:rsidRPr="006E45A3">
        <w:rPr>
          <w:i/>
          <w:szCs w:val="12"/>
        </w:rPr>
        <w:t>dicitur</w:t>
      </w:r>
      <w:r w:rsidR="08163013">
        <w:rPr>
          <w:szCs w:val="13"/>
        </w:rPr>
        <w:t xml:space="preserve">) skrze objektivně založenou </w:t>
      </w:r>
      <w:r w:rsidR="08163013">
        <w:t>esenciální jsoucnost (</w:t>
      </w:r>
      <w:r w:rsidR="08163013" w:rsidRPr="006E45A3">
        <w:rPr>
          <w:i/>
        </w:rPr>
        <w:t xml:space="preserve">quod </w:t>
      </w:r>
      <w:r w:rsidR="08163013" w:rsidRPr="006E45A3">
        <w:rPr>
          <w:i/>
          <w:szCs w:val="11"/>
        </w:rPr>
        <w:t xml:space="preserve">est </w:t>
      </w:r>
      <w:r w:rsidR="08163013" w:rsidRPr="006E45A3">
        <w:rPr>
          <w:i/>
          <w:szCs w:val="13"/>
        </w:rPr>
        <w:t xml:space="preserve">ens </w:t>
      </w:r>
      <w:r w:rsidR="08163013" w:rsidRPr="006E45A3">
        <w:rPr>
          <w:i/>
          <w:szCs w:val="10"/>
        </w:rPr>
        <w:t xml:space="preserve">per </w:t>
      </w:r>
      <w:r w:rsidR="08163013" w:rsidRPr="006E45A3">
        <w:rPr>
          <w:i/>
          <w:szCs w:val="12"/>
        </w:rPr>
        <w:t xml:space="preserve">se </w:t>
      </w:r>
      <w:r w:rsidR="08163013" w:rsidRPr="006E45A3">
        <w:rPr>
          <w:i/>
          <w:szCs w:val="11"/>
        </w:rPr>
        <w:t xml:space="preserve">et </w:t>
      </w:r>
      <w:r w:rsidR="08163013" w:rsidRPr="006E45A3">
        <w:rPr>
          <w:i/>
          <w:szCs w:val="14"/>
        </w:rPr>
        <w:t>fixum</w:t>
      </w:r>
      <w:r w:rsidR="08163013">
        <w:t>). V nové fixaci jsoucnosti dané fakticky platí konverze věci a jsoucna v univočním smyslu</w:t>
      </w:r>
      <w:r w:rsidR="00152E2A">
        <w:t xml:space="preserve">. Je </w:t>
      </w:r>
      <w:r w:rsidR="08163013">
        <w:t>ratifikovaná subjektem</w:t>
      </w:r>
      <w:r w:rsidR="00152E2A">
        <w:t xml:space="preserve"> (</w:t>
      </w:r>
      <w:r w:rsidR="00152E2A" w:rsidRPr="009A5014">
        <w:rPr>
          <w:i/>
        </w:rPr>
        <w:t>Ge-Stell</w:t>
      </w:r>
      <w:r w:rsidR="00152E2A">
        <w:rPr>
          <w:i/>
        </w:rPr>
        <w:fldChar w:fldCharType="begin"/>
      </w:r>
      <w:r w:rsidR="00152E2A">
        <w:instrText xml:space="preserve"> XE "</w:instrText>
      </w:r>
      <w:r w:rsidR="00152E2A" w:rsidRPr="000776A2">
        <w:rPr>
          <w:i/>
        </w:rPr>
        <w:instrText>Ge-Stell</w:instrText>
      </w:r>
      <w:r w:rsidR="00152E2A">
        <w:instrText xml:space="preserve">" </w:instrText>
      </w:r>
      <w:r w:rsidR="00152E2A">
        <w:rPr>
          <w:i/>
        </w:rPr>
        <w:fldChar w:fldCharType="end"/>
      </w:r>
      <w:r w:rsidR="00152E2A">
        <w:t>)</w:t>
      </w:r>
      <w:r w:rsidR="08163013">
        <w:t>, a ne impozicí významu od první substance. Stvoření objektivního smyslu smyslu jsoucna je nutno číst podle moderny, v němž má primát porretánská hypostázovaná věc</w:t>
      </w:r>
      <w:r w:rsidR="08163013" w:rsidRPr="00273106">
        <w:t xml:space="preserve">. </w:t>
      </w:r>
      <w:r w:rsidR="08163013">
        <w:t xml:space="preserve">Z hlediska </w:t>
      </w:r>
      <w:r w:rsidR="08163013" w:rsidRPr="00DC64AF">
        <w:rPr>
          <w:i/>
        </w:rPr>
        <w:t>dativus obiectivus</w:t>
      </w:r>
      <w:r w:rsidR="08163013">
        <w:rPr>
          <w:i/>
        </w:rPr>
        <w:fldChar w:fldCharType="begin"/>
      </w:r>
      <w:r w:rsidR="08163013">
        <w:instrText xml:space="preserve"> XE "</w:instrText>
      </w:r>
      <w:r w:rsidR="08163013" w:rsidRPr="00343046">
        <w:rPr>
          <w:i/>
        </w:rPr>
        <w:instrText>d</w:instrText>
      </w:r>
      <w:r w:rsidR="08163013" w:rsidRPr="00343046">
        <w:rPr>
          <w:i/>
          <w:iCs/>
        </w:rPr>
        <w:instrText>ativus obiectivus</w:instrText>
      </w:r>
      <w:r w:rsidR="08163013">
        <w:instrText xml:space="preserve">" </w:instrText>
      </w:r>
      <w:r w:rsidR="08163013">
        <w:rPr>
          <w:i/>
        </w:rPr>
        <w:fldChar w:fldCharType="end"/>
      </w:r>
      <w:r w:rsidR="08387594">
        <w:t xml:space="preserve"> (kap. 4</w:t>
      </w:r>
      <w:r w:rsidR="08163013">
        <w:t xml:space="preserve">) došlo k zásadní změně způsobu, jak </w:t>
      </w:r>
      <w:r w:rsidR="006E78A3">
        <w:t xml:space="preserve">metafyzická </w:t>
      </w:r>
      <w:r w:rsidR="006E78A3" w:rsidRPr="00273106">
        <w:t xml:space="preserve">jsoucnost </w:t>
      </w:r>
      <w:r w:rsidR="006E78A3">
        <w:t xml:space="preserve">dostala </w:t>
      </w:r>
      <w:r w:rsidR="08163013" w:rsidRPr="00273106">
        <w:t>objektivní</w:t>
      </w:r>
      <w:r w:rsidR="006E78A3">
        <w:t xml:space="preserve"> proprium </w:t>
      </w:r>
      <w:r w:rsidR="08163013" w:rsidRPr="00273106">
        <w:t>(</w:t>
      </w:r>
      <w:r w:rsidR="08163013" w:rsidRPr="00273106">
        <w:rPr>
          <w:i/>
        </w:rPr>
        <w:t>d</w:t>
      </w:r>
      <w:r w:rsidR="08163013" w:rsidRPr="00273106">
        <w:rPr>
          <w:i/>
          <w:iCs/>
        </w:rPr>
        <w:t>ativus possessivus</w:t>
      </w:r>
      <w:r w:rsidR="08163013">
        <w:rPr>
          <w:i/>
          <w:iCs/>
        </w:rPr>
        <w:fldChar w:fldCharType="begin"/>
      </w:r>
      <w:r w:rsidR="08163013">
        <w:instrText xml:space="preserve"> XE "</w:instrText>
      </w:r>
      <w:r w:rsidR="08163013" w:rsidRPr="00461B3F">
        <w:rPr>
          <w:i/>
        </w:rPr>
        <w:instrText>d</w:instrText>
      </w:r>
      <w:r w:rsidR="08163013" w:rsidRPr="00461B3F">
        <w:rPr>
          <w:i/>
          <w:iCs/>
        </w:rPr>
        <w:instrText>ativus possessivus</w:instrText>
      </w:r>
      <w:r w:rsidR="08163013">
        <w:instrText xml:space="preserve">" </w:instrText>
      </w:r>
      <w:r w:rsidR="08163013">
        <w:rPr>
          <w:i/>
          <w:iCs/>
        </w:rPr>
        <w:fldChar w:fldCharType="end"/>
      </w:r>
      <w:r w:rsidR="08163013" w:rsidRPr="00273106">
        <w:rPr>
          <w:iCs/>
        </w:rPr>
        <w:t>)</w:t>
      </w:r>
      <w:r w:rsidR="08163013">
        <w:rPr>
          <w:iCs/>
        </w:rPr>
        <w:t xml:space="preserve">. </w:t>
      </w:r>
      <w:r w:rsidR="08163013">
        <w:t xml:space="preserve">Nové určení jsoucna jako objektivní </w:t>
      </w:r>
      <w:r w:rsidR="00833324">
        <w:t>„</w:t>
      </w:r>
      <w:r w:rsidR="08163013" w:rsidRPr="00BF10E1">
        <w:rPr>
          <w:i/>
        </w:rPr>
        <w:t>res</w:t>
      </w:r>
      <w:r w:rsidR="00833324">
        <w:t>“</w:t>
      </w:r>
      <w:r w:rsidR="08163013">
        <w:t xml:space="preserve"> založilo objektivní </w:t>
      </w:r>
      <w:r w:rsidR="00833324">
        <w:t xml:space="preserve">kauzalitu </w:t>
      </w:r>
      <w:r w:rsidR="08163013">
        <w:t xml:space="preserve">moderní metafyziky. </w:t>
      </w:r>
      <w:r w:rsidR="08163013">
        <w:rPr>
          <w:iCs/>
        </w:rPr>
        <w:t xml:space="preserve">Demiurgické přivlastňování smyslu jsoucna se váže na působení druhého existenciálu popisujícího způsob, jak moderní subjekt přivádí objektivní </w:t>
      </w:r>
      <w:r w:rsidR="08163013" w:rsidRPr="00273106">
        <w:rPr>
          <w:iCs/>
        </w:rPr>
        <w:t xml:space="preserve">jsoucno do </w:t>
      </w:r>
      <w:r w:rsidR="08163013">
        <w:rPr>
          <w:iCs/>
        </w:rPr>
        <w:t>dějinného působení (</w:t>
      </w:r>
      <w:r w:rsidR="08163013" w:rsidRPr="00273106">
        <w:rPr>
          <w:i/>
          <w:iCs/>
        </w:rPr>
        <w:t>dativus auctoris</w:t>
      </w:r>
      <w:r w:rsidR="08163013">
        <w:rPr>
          <w:i/>
          <w:iCs/>
        </w:rPr>
        <w:fldChar w:fldCharType="begin"/>
      </w:r>
      <w:r w:rsidR="08163013">
        <w:instrText xml:space="preserve"> XE "</w:instrText>
      </w:r>
      <w:r w:rsidR="08163013" w:rsidRPr="00C5228F">
        <w:rPr>
          <w:i/>
          <w:iCs/>
        </w:rPr>
        <w:instrText>dativus auctoris</w:instrText>
      </w:r>
      <w:r w:rsidR="08163013">
        <w:instrText xml:space="preserve">" </w:instrText>
      </w:r>
      <w:r w:rsidR="08163013">
        <w:rPr>
          <w:i/>
          <w:iCs/>
        </w:rPr>
        <w:fldChar w:fldCharType="end"/>
      </w:r>
      <w:r w:rsidR="08163013" w:rsidRPr="00273106">
        <w:rPr>
          <w:iCs/>
        </w:rPr>
        <w:t>)</w:t>
      </w:r>
      <w:r w:rsidR="08163013">
        <w:rPr>
          <w:iCs/>
        </w:rPr>
        <w:t xml:space="preserve">. Fakticita objektivní jsoucnosti vytvořená moderním subjektem v modu supozice nahradila kategoriální význam druhé substance dané impozicí </w:t>
      </w:r>
      <w:r w:rsidR="00FF0F8C">
        <w:rPr>
          <w:iCs/>
        </w:rPr>
        <w:t>od hyparchické první substance.</w:t>
      </w:r>
    </w:p>
    <w:p w:rsidR="08163013" w:rsidRPr="00273106" w:rsidRDefault="08163013" w:rsidP="00412C17">
      <w:pPr>
        <w:ind w:firstLine="397"/>
      </w:pPr>
      <w:r>
        <w:rPr>
          <w:iCs/>
        </w:rPr>
        <w:t>Citovaný komentář k</w:t>
      </w:r>
      <w:r w:rsidR="00FF0F8C">
        <w:rPr>
          <w:iCs/>
        </w:rPr>
        <w:t xml:space="preserve"> </w:t>
      </w:r>
      <w:r>
        <w:rPr>
          <w:iCs/>
        </w:rPr>
        <w:t>Sentencí</w:t>
      </w:r>
      <w:r w:rsidR="00FF0F8C">
        <w:rPr>
          <w:iCs/>
        </w:rPr>
        <w:t>m</w:t>
      </w:r>
      <w:r>
        <w:rPr>
          <w:iCs/>
        </w:rPr>
        <w:t xml:space="preserve"> z</w:t>
      </w:r>
      <w:r w:rsidR="00FF0F8C">
        <w:rPr>
          <w:iCs/>
        </w:rPr>
        <w:t xml:space="preserve"> tohoto zásadního důvodu zakložil</w:t>
      </w:r>
      <w:r>
        <w:rPr>
          <w:iCs/>
        </w:rPr>
        <w:t xml:space="preserve"> po roce 1252 modernu jako ontoteologický systém</w:t>
      </w:r>
      <w:r>
        <w:fldChar w:fldCharType="begin"/>
      </w:r>
      <w:r>
        <w:instrText xml:space="preserve"> XE "ontoteologie:Bonaventura" </w:instrText>
      </w:r>
      <w:r>
        <w:fldChar w:fldCharType="end"/>
      </w:r>
      <w:r w:rsidR="00FF0F8C">
        <w:t xml:space="preserve">. </w:t>
      </w:r>
      <w:r w:rsidR="00F90528">
        <w:t xml:space="preserve">Tento úkol </w:t>
      </w:r>
      <w:r>
        <w:rPr>
          <w:iCs/>
        </w:rPr>
        <w:t xml:space="preserve">nezvládl Rufus v díle </w:t>
      </w:r>
      <w:r w:rsidRPr="005245E7">
        <w:rPr>
          <w:i/>
          <w:iCs/>
        </w:rPr>
        <w:t>Speculum animae</w:t>
      </w:r>
      <w:r>
        <w:rPr>
          <w:iCs/>
        </w:rPr>
        <w:t xml:space="preserve">. Ale </w:t>
      </w:r>
      <w:r w:rsidR="002924F9">
        <w:rPr>
          <w:iCs/>
        </w:rPr>
        <w:t xml:space="preserve">Rufus </w:t>
      </w:r>
      <w:r>
        <w:rPr>
          <w:iCs/>
        </w:rPr>
        <w:t>byl u toho, když jeho žák psal komentář</w:t>
      </w:r>
      <w:r w:rsidR="002924F9">
        <w:rPr>
          <w:iCs/>
        </w:rPr>
        <w:t>e</w:t>
      </w:r>
      <w:r>
        <w:rPr>
          <w:iCs/>
        </w:rPr>
        <w:t xml:space="preserve"> k Sentencím a </w:t>
      </w:r>
      <w:r w:rsidR="00F90528">
        <w:rPr>
          <w:iCs/>
        </w:rPr>
        <w:t xml:space="preserve">podpořil </w:t>
      </w:r>
      <w:r w:rsidR="00A5016B">
        <w:t xml:space="preserve">Bonaventuru </w:t>
      </w:r>
      <w:r>
        <w:rPr>
          <w:iCs/>
        </w:rPr>
        <w:t xml:space="preserve">svou autoritou na františkánské koleji v Paříži. </w:t>
      </w:r>
      <w:r>
        <w:t xml:space="preserve">Termín </w:t>
      </w:r>
      <w:r w:rsidRPr="00273106">
        <w:rPr>
          <w:i/>
        </w:rPr>
        <w:t>ens ratum</w:t>
      </w:r>
      <w:r w:rsidRPr="00273106">
        <w:t xml:space="preserve"> a odvozené varianty (</w:t>
      </w:r>
      <w:r w:rsidRPr="00273106">
        <w:rPr>
          <w:i/>
        </w:rPr>
        <w:t>res a reor reris</w:t>
      </w:r>
      <w:r w:rsidRPr="00273106">
        <w:t xml:space="preserve">) budou mít velkou budoucnost u Henryho z </w:t>
      </w:r>
      <w:proofErr w:type="gramStart"/>
      <w:r w:rsidRPr="00273106">
        <w:t>Gentu</w:t>
      </w:r>
      <w:proofErr w:type="gramEnd"/>
      <w:r w:rsidRPr="00273106">
        <w:t xml:space="preserve"> a Dunse Scota. </w:t>
      </w:r>
      <w:r>
        <w:t xml:space="preserve">Nový koncept minimálního jsoucna stojí v zásadním rozporu s pojetím prvního averroismu. Citovali jsme Albertovu kritiku Latiníků ohledně </w:t>
      </w:r>
      <w:r w:rsidR="007C54DB">
        <w:t>„</w:t>
      </w:r>
      <w:r w:rsidRPr="00273106">
        <w:rPr>
          <w:i/>
        </w:rPr>
        <w:t>esse ratum</w:t>
      </w:r>
      <w:r w:rsidR="007C54DB">
        <w:t>“</w:t>
      </w:r>
      <w:r>
        <w:rPr>
          <w:i/>
        </w:rPr>
        <w:fldChar w:fldCharType="begin"/>
      </w:r>
      <w:r>
        <w:instrText xml:space="preserve"> XE "</w:instrText>
      </w:r>
      <w:r w:rsidRPr="00AD770D">
        <w:rPr>
          <w:i/>
        </w:rPr>
        <w:instrText>esse ratum</w:instrText>
      </w:r>
      <w:r>
        <w:instrText xml:space="preserve">" </w:instrText>
      </w:r>
      <w:r>
        <w:rPr>
          <w:i/>
        </w:rPr>
        <w:fldChar w:fldCharType="end"/>
      </w:r>
      <w:r w:rsidR="007C54DB">
        <w:t>. K</w:t>
      </w:r>
      <w:r>
        <w:t xml:space="preserve">ritik latinského averroismu </w:t>
      </w:r>
      <w:r w:rsidR="007C54DB">
        <w:t xml:space="preserve">je </w:t>
      </w:r>
      <w:r w:rsidRPr="00273106">
        <w:t xml:space="preserve">definoval v modu </w:t>
      </w:r>
      <w:r w:rsidRPr="00273106">
        <w:rPr>
          <w:i/>
        </w:rPr>
        <w:t>per prius</w:t>
      </w:r>
      <w:r w:rsidRPr="00273106">
        <w:t xml:space="preserve"> </w:t>
      </w:r>
      <w:r>
        <w:t xml:space="preserve">pouze </w:t>
      </w:r>
      <w:r w:rsidRPr="00273106">
        <w:t>vzhledem k první substanci (</w:t>
      </w:r>
      <w:r w:rsidR="08225365">
        <w:t>OBJ II, kap. 2</w:t>
      </w:r>
      <w:r w:rsidRPr="00273106">
        <w:t>.4.3).</w:t>
      </w:r>
      <w:r>
        <w:t xml:space="preserve"> </w:t>
      </w:r>
      <w:r w:rsidRPr="00273106">
        <w:t xml:space="preserve">Co má první averroismus jako první, totiž reálnou substanci, to má druhý averroismus v řádu moderní predikace až </w:t>
      </w:r>
      <w:r w:rsidR="001C6699">
        <w:t xml:space="preserve">jako </w:t>
      </w:r>
      <w:r w:rsidRPr="00273106">
        <w:t>poslední.</w:t>
      </w:r>
      <w:r>
        <w:t xml:space="preserve"> Bytí jsoucna se definitivně oddělilo od hyparchického bytí první substance</w:t>
      </w:r>
      <w:r>
        <w:fldChar w:fldCharType="begin"/>
      </w:r>
      <w:r>
        <w:instrText xml:space="preserve"> XE "</w:instrText>
      </w:r>
      <w:r w:rsidRPr="001A6EA1">
        <w:instrText>substance:první</w:instrText>
      </w:r>
      <w:r>
        <w:instrText xml:space="preserve">" </w:instrText>
      </w:r>
      <w:r>
        <w:fldChar w:fldCharType="end"/>
      </w:r>
      <w:r>
        <w:t xml:space="preserve">, která se stala univočně pojatou věcí predikovanou kategoriálně v modu nerozlišené první a druhé substance. Nové pojetí jsoucna přišlo do ontoteologického scénáře křesťanské metafyziky, kterou vytvořil až Bonaventura. Vesmír vznikl podle Bible z ničeho, pouhým voluntaristickým záměrem Tvůrce. Moderní sofistika objektivně naplnila mystický fakt Janova evangelia: </w:t>
      </w:r>
      <w:r w:rsidRPr="00506CF8">
        <w:t>„</w:t>
      </w:r>
      <w:r w:rsidRPr="00506CF8">
        <w:rPr>
          <w:i/>
        </w:rPr>
        <w:t>Verbum caro factum est, et habitavit in nobis</w:t>
      </w:r>
      <w:r w:rsidRPr="00506CF8">
        <w:t>.“ (Jn</w:t>
      </w:r>
      <w:r>
        <w:rPr>
          <w:rStyle w:val="st"/>
        </w:rPr>
        <w:t xml:space="preserve"> 1:14</w:t>
      </w:r>
      <w:r w:rsidR="08225365">
        <w:rPr>
          <w:rStyle w:val="st"/>
        </w:rPr>
        <w:fldChar w:fldCharType="begin"/>
      </w:r>
      <w:r w:rsidR="08225365">
        <w:instrText xml:space="preserve"> XE "</w:instrText>
      </w:r>
      <w:r w:rsidR="08225365" w:rsidRPr="0827469C">
        <w:instrText>Nový zákon:Jn</w:instrText>
      </w:r>
      <w:r w:rsidR="08225365" w:rsidRPr="0827469C">
        <w:rPr>
          <w:rStyle w:val="st"/>
        </w:rPr>
        <w:instrText xml:space="preserve"> 1</w:instrText>
      </w:r>
      <w:r w:rsidR="08225365">
        <w:instrText xml:space="preserve">, </w:instrText>
      </w:r>
      <w:r w:rsidR="08225365" w:rsidRPr="0827469C">
        <w:rPr>
          <w:rStyle w:val="st"/>
        </w:rPr>
        <w:instrText>14</w:instrText>
      </w:r>
      <w:r w:rsidR="08225365">
        <w:instrText xml:space="preserve">" </w:instrText>
      </w:r>
      <w:r w:rsidR="08225365">
        <w:rPr>
          <w:rStyle w:val="st"/>
        </w:rPr>
        <w:fldChar w:fldCharType="end"/>
      </w:r>
      <w:r>
        <w:rPr>
          <w:rStyle w:val="st"/>
        </w:rPr>
        <w:t xml:space="preserve">) </w:t>
      </w:r>
      <w:r>
        <w:lastRenderedPageBreak/>
        <w:t xml:space="preserve">Metafyzický náhled na objektivní </w:t>
      </w:r>
      <w:r w:rsidR="00D04C88">
        <w:t xml:space="preserve">realitu je vzatý </w:t>
      </w:r>
      <w:r>
        <w:t xml:space="preserve">z pozice </w:t>
      </w:r>
      <w:r w:rsidRPr="00616094">
        <w:rPr>
          <w:i/>
        </w:rPr>
        <w:t>creatio ex nihilo</w:t>
      </w:r>
      <w:r>
        <w:rPr>
          <w:i/>
        </w:rPr>
        <w:fldChar w:fldCharType="begin"/>
      </w:r>
      <w:r>
        <w:instrText xml:space="preserve"> XE "</w:instrText>
      </w:r>
      <w:r w:rsidRPr="00807116">
        <w:rPr>
          <w:i/>
        </w:rPr>
        <w:instrText>creatio ex nihilo</w:instrText>
      </w:r>
      <w:r>
        <w:instrText xml:space="preserve">" </w:instrText>
      </w:r>
      <w:r>
        <w:rPr>
          <w:i/>
        </w:rPr>
        <w:fldChar w:fldCharType="end"/>
      </w:r>
      <w:r w:rsidR="004D2E22">
        <w:t xml:space="preserve">, což </w:t>
      </w:r>
      <w:r>
        <w:t>vytvořil</w:t>
      </w:r>
      <w:r w:rsidR="004D2E22">
        <w:t>o</w:t>
      </w:r>
      <w:r>
        <w:t xml:space="preserve"> </w:t>
      </w:r>
      <w:r w:rsidR="002A7DD6" w:rsidRPr="002A7DD6">
        <w:rPr>
          <w:i/>
        </w:rPr>
        <w:t>ipso facto</w:t>
      </w:r>
      <w:r w:rsidR="002A7DD6">
        <w:t xml:space="preserve"> </w:t>
      </w:r>
      <w:r>
        <w:t>nihilistickou metafyziku Západu. N</w:t>
      </w:r>
      <w:r w:rsidRPr="00273106">
        <w:t xml:space="preserve">ásledující citát </w:t>
      </w:r>
      <w:r>
        <w:t xml:space="preserve">definuje </w:t>
      </w:r>
      <w:r w:rsidRPr="00273106">
        <w:t>univocitu jsoucna na úrovni nominální signifikac</w:t>
      </w:r>
      <w:r>
        <w:t xml:space="preserve">e odvozené z logického záporu </w:t>
      </w:r>
      <w:r w:rsidRPr="00273106">
        <w:t>nicoty.</w:t>
      </w:r>
      <w:r w:rsidRPr="00280B6A">
        <w:t xml:space="preserve"> </w:t>
      </w:r>
      <w:r>
        <w:t>Hybnou silou poznání již není reálná existence první substance, ale demiurgická vůle moderního ilumináta osvícená formální logikou.</w:t>
      </w:r>
    </w:p>
    <w:p w:rsidR="08163013" w:rsidRDefault="08163013" w:rsidP="08163013">
      <w:pPr>
        <w:pStyle w:val="Citace"/>
      </w:pPr>
      <w:r w:rsidRPr="00273106">
        <w:rPr>
          <w:noProof/>
          <w:lang w:val="cs-CZ"/>
        </w:rPr>
        <w:t>„</w:t>
      </w:r>
      <w:r>
        <w:rPr>
          <w:noProof/>
          <w:lang w:val="cs-CZ"/>
        </w:rPr>
        <w:t xml:space="preserve">Všechno, co chápe intelekt, je jsoucno; nebo vše chápe skrze smyslovou představivost danou vzhledem k reálnému jsoucnu. Každý význam a pravda řeči signifikuje </w:t>
      </w:r>
      <w:r w:rsidRPr="00233B9F">
        <w:rPr>
          <w:i/>
          <w:noProof/>
          <w:lang w:val="cs-CZ"/>
        </w:rPr>
        <w:t>simpliciter</w:t>
      </w:r>
      <w:r>
        <w:rPr>
          <w:noProof/>
          <w:lang w:val="cs-CZ"/>
        </w:rPr>
        <w:t xml:space="preserve"> vzhledem ke jsoucnu. Proto říkáme 'Petr jest', a to vzhledem ke jsoucnu. Propozice vztažená k minulosti je dána vzhledem k jejímu řádu daném v přítomnosti. Podobně </w:t>
      </w:r>
      <w:r w:rsidR="0055565A">
        <w:rPr>
          <w:noProof/>
          <w:lang w:val="cs-CZ"/>
        </w:rPr>
        <w:t xml:space="preserve">je dána </w:t>
      </w:r>
      <w:r>
        <w:rPr>
          <w:noProof/>
          <w:lang w:val="cs-CZ"/>
        </w:rPr>
        <w:t>propozice vzhledem k budoucnosti, a také negativní propozice. Když říkáme 'César neexistuje', i tak existuje jiné jsoucno, které není Césarem (</w:t>
      </w:r>
      <w:r w:rsidRPr="00AB55B3">
        <w:rPr>
          <w:i/>
          <w:noProof/>
        </w:rPr>
        <w:t>aliquod enim ens est, quod non est Caesar</w:t>
      </w:r>
      <w:r>
        <w:rPr>
          <w:noProof/>
          <w:lang w:val="cs-CZ"/>
        </w:rPr>
        <w:t>), což platí i o jiných významech. Podobně můžeme říci, že chiméra není jednorožec (</w:t>
      </w:r>
      <w:r w:rsidRPr="00AB55B3">
        <w:rPr>
          <w:i/>
          <w:noProof/>
        </w:rPr>
        <w:t>chimaera non est hircocervus</w:t>
      </w:r>
      <w:r>
        <w:rPr>
          <w:noProof/>
          <w:lang w:val="cs-CZ"/>
        </w:rPr>
        <w:t>)</w:t>
      </w:r>
      <w:r w:rsidRPr="00273106">
        <w:rPr>
          <w:noProof/>
          <w:lang w:val="cs-CZ"/>
        </w:rPr>
        <w:t xml:space="preserve">.“ </w:t>
      </w:r>
      <w:r>
        <w:rPr>
          <w:rStyle w:val="Znakapoznpodarou"/>
        </w:rPr>
        <w:footnoteReference w:id="18"/>
      </w:r>
    </w:p>
    <w:p w:rsidR="08163013" w:rsidRDefault="08163013" w:rsidP="08163013">
      <w:r>
        <w:t xml:space="preserve">Nyní se vraťme k originální části </w:t>
      </w:r>
      <w:r w:rsidRPr="008E5A82">
        <w:rPr>
          <w:i/>
        </w:rPr>
        <w:t>De inte</w:t>
      </w:r>
      <w:r>
        <w:rPr>
          <w:i/>
        </w:rPr>
        <w:t>r</w:t>
      </w:r>
      <w:r w:rsidRPr="008E5A82">
        <w:rPr>
          <w:i/>
        </w:rPr>
        <w:t>pretatione</w:t>
      </w:r>
      <w:r>
        <w:rPr>
          <w:i/>
        </w:rPr>
        <w:t xml:space="preserve"> </w:t>
      </w:r>
      <w:r>
        <w:t>16a16‒19, kterou parafrázuje výše uvedený Bonaventurův citát.</w:t>
      </w:r>
      <w:r>
        <w:rPr>
          <w:rStyle w:val="Znakapoznpodarou"/>
        </w:rPr>
        <w:footnoteReference w:id="19"/>
      </w:r>
      <w:r>
        <w:t xml:space="preserve"> </w:t>
      </w:r>
      <w:r w:rsidR="005A1A21">
        <w:t>Bonaventura má s</w:t>
      </w:r>
      <w:r>
        <w:t>ignifikac</w:t>
      </w:r>
      <w:r w:rsidR="005A1A21">
        <w:t xml:space="preserve">i </w:t>
      </w:r>
      <w:r>
        <w:t>dán</w:t>
      </w:r>
      <w:r w:rsidR="005A1A21">
        <w:t>u</w:t>
      </w:r>
      <w:r>
        <w:t xml:space="preserve"> nasvícením zezadu</w:t>
      </w:r>
      <w:r w:rsidR="005A1A21">
        <w:t>,</w:t>
      </w:r>
      <w:r>
        <w:t xml:space="preserve"> od </w:t>
      </w:r>
      <w:r w:rsidR="003567FC">
        <w:t>„</w:t>
      </w:r>
      <w:proofErr w:type="gramStart"/>
      <w:r w:rsidR="003567FC">
        <w:t>esence</w:t>
      </w:r>
      <w:proofErr w:type="gramEnd"/>
      <w:r w:rsidR="003567FC">
        <w:t>–</w:t>
      </w:r>
      <w:proofErr w:type="gramStart"/>
      <w:r w:rsidR="00962190" w:rsidRPr="003567FC">
        <w:t>species</w:t>
      </w:r>
      <w:proofErr w:type="gramEnd"/>
      <w:r w:rsidR="003567FC">
        <w:t>“</w:t>
      </w:r>
      <w:r w:rsidR="005A1A21">
        <w:t xml:space="preserve">. </w:t>
      </w:r>
      <w:r>
        <w:t xml:space="preserve">Aristoteles </w:t>
      </w:r>
      <w:r w:rsidR="005A1A21">
        <w:t>vytváří první význam i</w:t>
      </w:r>
      <w:r w:rsidR="00196361">
        <w:t>mpozic</w:t>
      </w:r>
      <w:r w:rsidR="005A1A21">
        <w:t>í</w:t>
      </w:r>
      <w:r w:rsidR="00196361">
        <w:t xml:space="preserve"> </w:t>
      </w:r>
      <w:r>
        <w:t xml:space="preserve">danou </w:t>
      </w:r>
      <w:r w:rsidR="00196361">
        <w:t xml:space="preserve">od </w:t>
      </w:r>
      <w:r>
        <w:t>hyparchic</w:t>
      </w:r>
      <w:r w:rsidR="00196361">
        <w:t>kých substancí</w:t>
      </w:r>
      <w:r>
        <w:t xml:space="preserve">. </w:t>
      </w:r>
      <w:r w:rsidR="00C4482F" w:rsidRPr="005A1A21">
        <w:t>Metafyzika chiméry je v tomto systému nemožná, protože logická supozice vy</w:t>
      </w:r>
      <w:r w:rsidR="00C4482F">
        <w:t>tváří pouze homonymní význam (Abe</w:t>
      </w:r>
      <w:r w:rsidR="00C4482F" w:rsidRPr="005A1A21">
        <w:t xml:space="preserve">lardovo </w:t>
      </w:r>
      <w:r w:rsidR="00C4482F" w:rsidRPr="005A1A21">
        <w:rPr>
          <w:i/>
        </w:rPr>
        <w:t>opinabile</w:t>
      </w:r>
      <w:r w:rsidR="00C4482F" w:rsidRPr="005A1A21">
        <w:t>).</w:t>
      </w:r>
      <w:r w:rsidR="00C4482F">
        <w:t xml:space="preserve"> </w:t>
      </w:r>
      <w:r>
        <w:t>Bonaventura chápe poslední nedělitelné jsoucno tím, že jej logickým záporem odliší od jiného, což je typická pozice Avicenny (</w:t>
      </w:r>
      <w:r w:rsidR="08E25BA7">
        <w:t xml:space="preserve">OBJ I, </w:t>
      </w:r>
      <w:r>
        <w:t xml:space="preserve">kap. 2.3.2). </w:t>
      </w:r>
      <w:r w:rsidRPr="00273106">
        <w:t>První postřeh poznání jde k čistému jsoucnu (</w:t>
      </w:r>
      <w:r w:rsidRPr="00273106">
        <w:rPr>
          <w:i/>
        </w:rPr>
        <w:t xml:space="preserve">omne quod intellectus </w:t>
      </w:r>
      <w:proofErr w:type="gramStart"/>
      <w:r w:rsidRPr="00273106">
        <w:rPr>
          <w:i/>
        </w:rPr>
        <w:t>capit... est</w:t>
      </w:r>
      <w:proofErr w:type="gramEnd"/>
      <w:r w:rsidRPr="00273106">
        <w:rPr>
          <w:i/>
        </w:rPr>
        <w:t xml:space="preserve"> ens</w:t>
      </w:r>
      <w:r w:rsidRPr="00273106">
        <w:t>). Proto i pouze nominální definice, pokud je pravdivá</w:t>
      </w:r>
      <w:r>
        <w:t xml:space="preserve"> (</w:t>
      </w:r>
      <w:r w:rsidRPr="00273106">
        <w:rPr>
          <w:i/>
        </w:rPr>
        <w:t>veritas orationis significantis</w:t>
      </w:r>
      <w:r>
        <w:t>)</w:t>
      </w:r>
      <w:r w:rsidRPr="00273106">
        <w:t>, musí obsahovat minimální míru jsoucnosti (</w:t>
      </w:r>
      <w:r w:rsidRPr="00273106">
        <w:rPr>
          <w:i/>
        </w:rPr>
        <w:t>fundatur simpliciter super ens</w:t>
      </w:r>
      <w:r w:rsidRPr="00273106">
        <w:t xml:space="preserve">). </w:t>
      </w:r>
      <w:r>
        <w:t>Z hlediska formálně určené minimální míry jsoucnosti je pak úplně jedno, jestli definice postihuje neexistujícího jednorožce</w:t>
      </w:r>
      <w:r>
        <w:fldChar w:fldCharType="begin"/>
      </w:r>
      <w:r>
        <w:instrText xml:space="preserve"> XE "</w:instrText>
      </w:r>
      <w:r w:rsidRPr="00CA09E1">
        <w:instrText>chiméra</w:instrText>
      </w:r>
      <w:r>
        <w:instrText xml:space="preserve">" </w:instrText>
      </w:r>
      <w:r>
        <w:fldChar w:fldCharType="end"/>
      </w:r>
      <w:r>
        <w:t xml:space="preserve">, nebo reálnou věc. Jsoucno jako moderní </w:t>
      </w:r>
      <w:r w:rsidRPr="00F26DFC">
        <w:t>individuum</w:t>
      </w:r>
      <w:r>
        <w:t xml:space="preserve"> v logickém modu „toto zde“ je formálně odlišné od jiného, což zakládá jeho minimální, ale zato maximálně jistou a věčnou identitu (</w:t>
      </w:r>
      <w:r w:rsidRPr="005A49D3">
        <w:rPr>
          <w:i/>
        </w:rPr>
        <w:t>aliquod enim ens est, quod non est Caesar</w:t>
      </w:r>
      <w:r>
        <w:t>).</w:t>
      </w:r>
      <w:r w:rsidRPr="009F58F5">
        <w:t xml:space="preserve"> </w:t>
      </w:r>
      <w:r w:rsidRPr="00273106">
        <w:t>Časový horizont nemá vliv na nominální jsoucno</w:t>
      </w:r>
      <w:r>
        <w:t>st</w:t>
      </w:r>
      <w:r w:rsidRPr="00273106">
        <w:t xml:space="preserve">, protože </w:t>
      </w:r>
      <w:r>
        <w:t xml:space="preserve">u moderního boha </w:t>
      </w:r>
      <w:r w:rsidRPr="00273106">
        <w:t xml:space="preserve">vždy </w:t>
      </w:r>
      <w:r w:rsidRPr="00273106">
        <w:lastRenderedPageBreak/>
        <w:t>zůstane nějaká minimální míra definičního určení této jsoucnosti.</w:t>
      </w:r>
      <w:r>
        <w:t xml:space="preserve"> Klíčové je poslední určení jsoucna „Césara“ a „chiméry“. Jedno neexistující jsoucno</w:t>
      </w:r>
      <w:r w:rsidR="00325025">
        <w:t xml:space="preserve"> (</w:t>
      </w:r>
      <w:r w:rsidR="00924A65">
        <w:t>chiméra</w:t>
      </w:r>
      <w:r w:rsidR="00325025">
        <w:t>)</w:t>
      </w:r>
      <w:r>
        <w:t xml:space="preserve"> je odlišné od jiného neexistujícího jsoucna</w:t>
      </w:r>
      <w:r w:rsidR="00325025">
        <w:t xml:space="preserve"> (</w:t>
      </w:r>
      <w:r w:rsidR="00924A65">
        <w:t>jednorožec</w:t>
      </w:r>
      <w:r w:rsidR="00325025">
        <w:t>)</w:t>
      </w:r>
      <w:r>
        <w:t xml:space="preserve"> a jejich formální odlišnost dokazuje jejich původní totožnost </w:t>
      </w:r>
      <w:r w:rsidRPr="00273106">
        <w:t>(</w:t>
      </w:r>
      <w:r w:rsidRPr="00273106">
        <w:rPr>
          <w:i/>
        </w:rPr>
        <w:t>chimaera non est hircocervus</w:t>
      </w:r>
      <w:r w:rsidRPr="00273106">
        <w:t>)</w:t>
      </w:r>
      <w:r>
        <w:t xml:space="preserve">. </w:t>
      </w:r>
      <w:r w:rsidRPr="00273106">
        <w:t xml:space="preserve">Obě bájné bytosti neexistují, ale jejich nominální jsoucnost je dána v minimální míře podle logického principu </w:t>
      </w:r>
      <w:r>
        <w:t>vyloučeného třetího</w:t>
      </w:r>
      <w:r w:rsidR="0833306C">
        <w:t xml:space="preserve"> (A</w:t>
      </w:r>
      <w:r w:rsidR="00402213">
        <w:t> </w:t>
      </w:r>
      <w:r w:rsidR="0833306C">
        <w:t>≠</w:t>
      </w:r>
      <w:r w:rsidR="00402213">
        <w:t> </w:t>
      </w:r>
      <w:r w:rsidR="08C01DB1">
        <w:t>non A)</w:t>
      </w:r>
      <w:r w:rsidRPr="00273106">
        <w:t>.</w:t>
      </w:r>
      <w:r>
        <w:t xml:space="preserve"> Tím jsou chiméra</w:t>
      </w:r>
      <w:r>
        <w:fldChar w:fldCharType="begin"/>
      </w:r>
      <w:r>
        <w:instrText xml:space="preserve"> XE "</w:instrText>
      </w:r>
      <w:r w:rsidRPr="009316B3">
        <w:instrText>chiméra</w:instrText>
      </w:r>
      <w:r>
        <w:instrText xml:space="preserve">" </w:instrText>
      </w:r>
      <w:r>
        <w:fldChar w:fldCharType="end"/>
      </w:r>
      <w:r>
        <w:t xml:space="preserve"> i jednorožec vybaveny základní mírou jsoucnosti a identity v modu objektivního </w:t>
      </w:r>
      <w:r w:rsidRPr="00E94089">
        <w:rPr>
          <w:i/>
        </w:rPr>
        <w:t>ens ratum</w:t>
      </w:r>
      <w:r>
        <w:rPr>
          <w:i/>
        </w:rPr>
        <w:fldChar w:fldCharType="begin"/>
      </w:r>
      <w:r>
        <w:instrText xml:space="preserve"> XE "</w:instrText>
      </w:r>
      <w:r w:rsidRPr="00F061CF">
        <w:rPr>
          <w:i/>
        </w:rPr>
        <w:instrText>ens ratum</w:instrText>
      </w:r>
      <w:r>
        <w:instrText xml:space="preserve">" </w:instrText>
      </w:r>
      <w:r>
        <w:rPr>
          <w:i/>
        </w:rPr>
        <w:fldChar w:fldCharType="end"/>
      </w:r>
      <w:r>
        <w:t xml:space="preserve">. Obě jsoucna dostávají minimální míru hypostázované jsoucnosti </w:t>
      </w:r>
      <w:r w:rsidRPr="00273106">
        <w:t xml:space="preserve">pouhou </w:t>
      </w:r>
      <w:r>
        <w:t xml:space="preserve">vzájemnou </w:t>
      </w:r>
      <w:r w:rsidRPr="00273106">
        <w:t>diferencí</w:t>
      </w:r>
      <w:r>
        <w:t xml:space="preserve"> (</w:t>
      </w:r>
      <w:r w:rsidRPr="00B408B5">
        <w:rPr>
          <w:i/>
        </w:rPr>
        <w:t>non est</w:t>
      </w:r>
      <w:r>
        <w:t>)</w:t>
      </w:r>
      <w:r w:rsidRPr="00273106">
        <w:t>.</w:t>
      </w:r>
      <w:r>
        <w:t xml:space="preserve"> </w:t>
      </w:r>
      <w:r w:rsidR="00A70CDB">
        <w:t>Bonaventura</w:t>
      </w:r>
      <w:r w:rsidR="00A8763D">
        <w:t xml:space="preserve"> zavedl</w:t>
      </w:r>
      <w:r w:rsidR="00A70CDB">
        <w:t xml:space="preserve"> první „metafyziku chiméry</w:t>
      </w:r>
      <w:r w:rsidR="00A70CDB">
        <w:fldChar w:fldCharType="begin"/>
      </w:r>
      <w:r w:rsidR="00A70CDB">
        <w:instrText xml:space="preserve"> XE "metafyzika</w:instrText>
      </w:r>
      <w:r w:rsidR="00A70CDB" w:rsidRPr="00DF21EA">
        <w:instrText xml:space="preserve"> chiméry</w:instrText>
      </w:r>
      <w:r w:rsidR="00A70CDB">
        <w:instrText xml:space="preserve">" </w:instrText>
      </w:r>
      <w:r w:rsidR="00A70CDB">
        <w:fldChar w:fldCharType="end"/>
      </w:r>
      <w:r w:rsidR="00A70CDB">
        <w:t>“</w:t>
      </w:r>
      <w:r w:rsidR="00A70CDB" w:rsidRPr="00A70CDB">
        <w:t xml:space="preserve"> tím, že redukoval všechny druhy bytí na formálně minimální </w:t>
      </w:r>
      <w:r w:rsidR="00A70CDB">
        <w:t xml:space="preserve">porci </w:t>
      </w:r>
      <w:r w:rsidR="00A70CDB" w:rsidRPr="00A70CDB">
        <w:t>bytí (</w:t>
      </w:r>
      <w:r w:rsidR="00A70CDB" w:rsidRPr="00A70CDB">
        <w:rPr>
          <w:i/>
        </w:rPr>
        <w:t>ens ratum</w:t>
      </w:r>
      <w:r w:rsidR="00A70CDB" w:rsidRPr="00A70CDB">
        <w:t xml:space="preserve">). Tento avicenistický druh </w:t>
      </w:r>
      <w:r w:rsidR="00A70CDB" w:rsidRPr="00A70CDB">
        <w:rPr>
          <w:i/>
        </w:rPr>
        <w:t>tertium ens</w:t>
      </w:r>
      <w:r w:rsidR="00A70CDB" w:rsidRPr="00A70CDB">
        <w:t xml:space="preserve"> je dán logickou supozicí, která odděluje jedno individuum od druhého. Nová predikace našla základní kategoriální </w:t>
      </w:r>
      <w:r w:rsidR="00A70CDB">
        <w:t>určení</w:t>
      </w:r>
      <w:r w:rsidR="00BB7A3D">
        <w:t>, které</w:t>
      </w:r>
      <w:r w:rsidR="00A70CDB">
        <w:t xml:space="preserve"> stanovilo</w:t>
      </w:r>
      <w:r w:rsidR="00A70CDB" w:rsidRPr="00A70CDB">
        <w:t xml:space="preserve"> objektivní jsoucno jako univerzální míru všech věcí (</w:t>
      </w:r>
      <w:r w:rsidR="00A70CDB" w:rsidRPr="00A70CDB">
        <w:rPr>
          <w:i/>
        </w:rPr>
        <w:t>dativus mensurae</w:t>
      </w:r>
      <w:r w:rsidR="00A70CDB">
        <w:rPr>
          <w:i/>
        </w:rPr>
        <w:fldChar w:fldCharType="begin"/>
      </w:r>
      <w:r w:rsidR="00A70CDB">
        <w:instrText xml:space="preserve"> XE "</w:instrText>
      </w:r>
      <w:r w:rsidR="00A70CDB" w:rsidRPr="00E81969">
        <w:rPr>
          <w:i/>
        </w:rPr>
        <w:instrText>dativus mensurae</w:instrText>
      </w:r>
      <w:r w:rsidR="00A70CDB">
        <w:instrText xml:space="preserve">" </w:instrText>
      </w:r>
      <w:r w:rsidR="00A70CDB">
        <w:rPr>
          <w:i/>
        </w:rPr>
        <w:fldChar w:fldCharType="end"/>
      </w:r>
      <w:r w:rsidR="00A70CDB" w:rsidRPr="00A70CDB">
        <w:t>).</w:t>
      </w:r>
      <w:r w:rsidR="00A70CDB">
        <w:t xml:space="preserve"> </w:t>
      </w:r>
      <w:r>
        <w:t xml:space="preserve">Citát predikuje hypostázovanou minimální </w:t>
      </w:r>
      <w:r w:rsidRPr="00273106">
        <w:t xml:space="preserve">jsoucnost </w:t>
      </w:r>
      <w:r>
        <w:t xml:space="preserve">dvojím způsobem. Objektivní signifikace jsoucna vzniká skrze abstrahovaná </w:t>
      </w:r>
      <w:r w:rsidR="00962190">
        <w:rPr>
          <w:i/>
        </w:rPr>
        <w:t>species</w:t>
      </w:r>
      <w:r>
        <w:t xml:space="preserve"> od aktuálních substancí (</w:t>
      </w:r>
      <w:r w:rsidRPr="00A32F7E">
        <w:rPr>
          <w:i/>
        </w:rPr>
        <w:t>per comparationem ad ens</w:t>
      </w:r>
      <w:r>
        <w:t xml:space="preserve">), a také v modu přímého náhledu na celek jsoucna </w:t>
      </w:r>
      <w:r w:rsidRPr="00273106">
        <w:t>(</w:t>
      </w:r>
      <w:r w:rsidRPr="00273106">
        <w:rPr>
          <w:i/>
        </w:rPr>
        <w:t>in ordine ad ens</w:t>
      </w:r>
      <w:r>
        <w:t>).</w:t>
      </w:r>
      <w:r w:rsidRPr="00273106">
        <w:t xml:space="preserve"> Bonaventura </w:t>
      </w:r>
      <w:r>
        <w:t xml:space="preserve">už moderně používá termín </w:t>
      </w:r>
      <w:r w:rsidR="00792FFC">
        <w:t>„</w:t>
      </w:r>
      <w:r w:rsidRPr="00273106">
        <w:rPr>
          <w:i/>
        </w:rPr>
        <w:t>esse ad</w:t>
      </w:r>
      <w:r w:rsidR="00792FFC">
        <w:t>“</w:t>
      </w:r>
      <w:r>
        <w:rPr>
          <w:i/>
        </w:rPr>
        <w:fldChar w:fldCharType="begin"/>
      </w:r>
      <w:r>
        <w:instrText xml:space="preserve"> XE "</w:instrText>
      </w:r>
      <w:r w:rsidRPr="008F3381">
        <w:rPr>
          <w:i/>
        </w:rPr>
        <w:instrText>esse ad:</w:instrText>
      </w:r>
      <w:r w:rsidRPr="08AD2512">
        <w:instrText>Bonaventura</w:instrText>
      </w:r>
      <w:r>
        <w:instrText xml:space="preserve">" </w:instrText>
      </w:r>
      <w:r>
        <w:rPr>
          <w:i/>
        </w:rPr>
        <w:fldChar w:fldCharType="end"/>
      </w:r>
      <w:r>
        <w:t xml:space="preserve">, který založil skrze Simplikia objektivní metafyziku Oliviho a Henryho z </w:t>
      </w:r>
      <w:proofErr w:type="gramStart"/>
      <w:r>
        <w:t>Gentu</w:t>
      </w:r>
      <w:proofErr w:type="gramEnd"/>
      <w:r>
        <w:t xml:space="preserve">. Scotův pojem </w:t>
      </w:r>
      <w:r w:rsidRPr="00273106">
        <w:rPr>
          <w:i/>
        </w:rPr>
        <w:t>aliquitas</w:t>
      </w:r>
      <w:r>
        <w:rPr>
          <w:i/>
        </w:rPr>
        <w:fldChar w:fldCharType="begin"/>
      </w:r>
      <w:r>
        <w:instrText xml:space="preserve"> XE "</w:instrText>
      </w:r>
      <w:r w:rsidRPr="00D248E6">
        <w:rPr>
          <w:i/>
        </w:rPr>
        <w:instrText>aliquitas</w:instrText>
      </w:r>
      <w:r>
        <w:instrText xml:space="preserve">" </w:instrText>
      </w:r>
      <w:r>
        <w:rPr>
          <w:i/>
        </w:rPr>
        <w:fldChar w:fldCharType="end"/>
      </w:r>
      <w:r w:rsidRPr="00273106">
        <w:t xml:space="preserve"> </w:t>
      </w:r>
      <w:r>
        <w:t>rozšíří</w:t>
      </w:r>
      <w:r w:rsidRPr="00273106">
        <w:t xml:space="preserve"> tuto </w:t>
      </w:r>
      <w:r>
        <w:t xml:space="preserve">signifikaci </w:t>
      </w:r>
      <w:r w:rsidRPr="00273106">
        <w:t xml:space="preserve">do </w:t>
      </w:r>
      <w:r>
        <w:t xml:space="preserve">moderní </w:t>
      </w:r>
      <w:r w:rsidR="08606CF8">
        <w:t>metafyziky (kap. 5</w:t>
      </w:r>
      <w:r w:rsidRPr="00273106">
        <w:t>.3</w:t>
      </w:r>
      <w:r>
        <w:t xml:space="preserve">.2). </w:t>
      </w:r>
      <w:r w:rsidR="00C752F1">
        <w:t xml:space="preserve">Pod vlivem </w:t>
      </w:r>
      <w:r w:rsidR="00C752F1" w:rsidRPr="00C752F1">
        <w:rPr>
          <w:i/>
        </w:rPr>
        <w:t>Oxfordian Fallacy</w:t>
      </w:r>
      <w:r w:rsidR="00C752F1">
        <w:t xml:space="preserve"> podle </w:t>
      </w:r>
      <w:r w:rsidR="00C752F1" w:rsidRPr="00C752F1">
        <w:t>Rufus</w:t>
      </w:r>
      <w:r w:rsidR="00C752F1">
        <w:t>e</w:t>
      </w:r>
      <w:r w:rsidR="00C752F1" w:rsidRPr="00C752F1">
        <w:t xml:space="preserve"> a Kilwardby</w:t>
      </w:r>
      <w:r w:rsidR="00C752F1">
        <w:t>ho</w:t>
      </w:r>
      <w:r w:rsidR="00C752F1" w:rsidRPr="00C752F1">
        <w:t xml:space="preserve">, Bonaventura sloučil dva způsoby univocity dané </w:t>
      </w:r>
      <w:r w:rsidR="00C752F1" w:rsidRPr="00731942">
        <w:rPr>
          <w:i/>
        </w:rPr>
        <w:t>simpliciter</w:t>
      </w:r>
      <w:r w:rsidR="00C752F1" w:rsidRPr="00C752F1">
        <w:t>, které jsou uvedeny odlišně v první a druhé triádě poznávac</w:t>
      </w:r>
      <w:r w:rsidR="00D073B9">
        <w:t xml:space="preserve">ích principů podle </w:t>
      </w:r>
      <w:r w:rsidR="00D073B9" w:rsidRPr="00D073B9">
        <w:rPr>
          <w:i/>
        </w:rPr>
        <w:t>Druhých analytik</w:t>
      </w:r>
      <w:r w:rsidR="00C752F1" w:rsidRPr="00C752F1">
        <w:t xml:space="preserve">. </w:t>
      </w:r>
      <w:r>
        <w:t xml:space="preserve">Moderna </w:t>
      </w:r>
      <w:r w:rsidRPr="00273106">
        <w:t xml:space="preserve">nepotřebuje zkoumat </w:t>
      </w:r>
      <w:r w:rsidRPr="00273106">
        <w:rPr>
          <w:i/>
        </w:rPr>
        <w:t>actus essendi</w:t>
      </w:r>
      <w:r>
        <w:rPr>
          <w:i/>
        </w:rPr>
        <w:fldChar w:fldCharType="begin"/>
      </w:r>
      <w:r>
        <w:instrText xml:space="preserve"> XE "</w:instrText>
      </w:r>
      <w:r w:rsidRPr="006D3950">
        <w:rPr>
          <w:i/>
        </w:rPr>
        <w:instrText>actus essendi</w:instrText>
      </w:r>
      <w:r>
        <w:instrText xml:space="preserve">" </w:instrText>
      </w:r>
      <w:r>
        <w:rPr>
          <w:i/>
        </w:rPr>
        <w:fldChar w:fldCharType="end"/>
      </w:r>
      <w:r w:rsidRPr="00273106">
        <w:t xml:space="preserve"> reálné substance jako základ jednoty</w:t>
      </w:r>
      <w:r w:rsidR="006646E3">
        <w:t>. Z</w:t>
      </w:r>
      <w:r>
        <w:t>a kontingentní jednotou substancí existuje mysticky nazíraný vztah k</w:t>
      </w:r>
      <w:r w:rsidR="081D398A">
        <w:t xml:space="preserve"> objektivnímu </w:t>
      </w:r>
      <w:r>
        <w:t>Jednomu</w:t>
      </w:r>
      <w:r w:rsidR="00550807">
        <w:t xml:space="preserve">. </w:t>
      </w:r>
      <w:r w:rsidR="00550807" w:rsidRPr="00550807">
        <w:t>Objektivní entity vž</w:t>
      </w:r>
      <w:r w:rsidR="00550807">
        <w:t>dy a jistě existují v moderním b</w:t>
      </w:r>
      <w:r w:rsidR="00550807" w:rsidRPr="00550807">
        <w:t>ohu, stejně jako jednou jistě přijde Antikrist</w:t>
      </w:r>
      <w:r w:rsidR="00550807">
        <w:fldChar w:fldCharType="begin"/>
      </w:r>
      <w:r w:rsidR="00550807">
        <w:instrText xml:space="preserve"> XE "</w:instrText>
      </w:r>
      <w:r w:rsidR="00550807" w:rsidRPr="00C25D22">
        <w:instrText>Antikrist</w:instrText>
      </w:r>
      <w:r w:rsidR="00550807">
        <w:instrText xml:space="preserve">" </w:instrText>
      </w:r>
      <w:r w:rsidR="00550807">
        <w:fldChar w:fldCharType="end"/>
      </w:r>
      <w:r w:rsidR="00550807" w:rsidRPr="00550807">
        <w:t xml:space="preserve">. Grosseteste poprvé změnil božský plán spásy na moderní logiku (OBJ II, kap. 3.1.2). </w:t>
      </w:r>
      <w:r>
        <w:t xml:space="preserve">V postmoderně Leibnize přišla místo Antikrista matematika a zajistila formálně stejnou </w:t>
      </w:r>
      <w:r w:rsidR="00BA2206">
        <w:t xml:space="preserve">uniformitu </w:t>
      </w:r>
      <w:r w:rsidR="00294838">
        <w:t xml:space="preserve">jsoucna. Mystická moderna </w:t>
      </w:r>
      <w:r>
        <w:t>zajistila ontote</w:t>
      </w:r>
      <w:r w:rsidR="08D80F8D">
        <w:t>o</w:t>
      </w:r>
      <w:r>
        <w:t xml:space="preserve">logický horizont jistoty bytí a pravdivosti mimo reálný svět. </w:t>
      </w:r>
      <w:r w:rsidRPr="00273106">
        <w:t>Rod</w:t>
      </w:r>
      <w:r>
        <w:t>ová jednota</w:t>
      </w:r>
      <w:r w:rsidRPr="00273106">
        <w:t xml:space="preserve"> </w:t>
      </w:r>
      <w:r>
        <w:t xml:space="preserve">je </w:t>
      </w:r>
      <w:r w:rsidRPr="00273106">
        <w:t>určen</w:t>
      </w:r>
      <w:r>
        <w:t>a</w:t>
      </w:r>
      <w:r w:rsidRPr="00273106">
        <w:t xml:space="preserve"> v rámci </w:t>
      </w:r>
      <w:r>
        <w:t>kategoriální univocity dané logickou a matematickou abstrakcí. Numericky daná</w:t>
      </w:r>
      <w:r w:rsidRPr="00273106">
        <w:t xml:space="preserve"> jednot</w:t>
      </w:r>
      <w:r>
        <w:t>a zakládá d</w:t>
      </w:r>
      <w:r w:rsidRPr="00273106">
        <w:t>efinitivní měřítko všeho jsoucího</w:t>
      </w:r>
      <w:r>
        <w:t>.</w:t>
      </w:r>
      <w:r w:rsidRPr="08672C99">
        <w:t xml:space="preserve"> </w:t>
      </w:r>
      <w:r w:rsidR="00C71AB9">
        <w:t>Arist</w:t>
      </w:r>
      <w:r w:rsidR="004B22C4">
        <w:t>otelův spis</w:t>
      </w:r>
      <w:r w:rsidR="00C71AB9">
        <w:t xml:space="preserve"> </w:t>
      </w:r>
      <w:r w:rsidR="00C71AB9" w:rsidRPr="004B30B0">
        <w:rPr>
          <w:i/>
        </w:rPr>
        <w:t>Kategorie</w:t>
      </w:r>
      <w:r w:rsidR="00C71AB9">
        <w:t xml:space="preserve"> </w:t>
      </w:r>
      <w:r w:rsidR="004B22C4">
        <w:t>definuje</w:t>
      </w:r>
      <w:r w:rsidR="00C71AB9">
        <w:t xml:space="preserve"> univotu danou skrze rodově určenou jednotu významu v rámci druhé substance. Moderna transcendovala </w:t>
      </w:r>
      <w:r w:rsidR="00C71AB9">
        <w:lastRenderedPageBreak/>
        <w:t xml:space="preserve">kategoriální predikaci tím, že místo generické jednoty určené metafyzikou impozicí </w:t>
      </w:r>
      <w:r w:rsidR="0075496D">
        <w:t xml:space="preserve">zavedla </w:t>
      </w:r>
      <w:r w:rsidR="00C71AB9">
        <w:t>neoplatonskou jednotu danou jako „</w:t>
      </w:r>
      <w:r w:rsidR="00C71AB9" w:rsidRPr="00C71AB9">
        <w:rPr>
          <w:i/>
        </w:rPr>
        <w:t>numerus</w:t>
      </w:r>
      <w:r w:rsidR="00C71AB9">
        <w:t>“ porretánů a Rufuse</w:t>
      </w:r>
      <w:r w:rsidR="0075496D">
        <w:t xml:space="preserve">. </w:t>
      </w:r>
      <w:r w:rsidR="00DA6C8E">
        <w:t>M</w:t>
      </w:r>
      <w:r w:rsidR="00C71AB9">
        <w:t xml:space="preserve">atematická analogie </w:t>
      </w:r>
      <w:r w:rsidR="00DA6C8E">
        <w:t xml:space="preserve">je ale </w:t>
      </w:r>
      <w:r w:rsidR="00C71AB9">
        <w:t>dána na základě logické supozice. Pak není třeba svět pravdivě poznávat (první averroismus), ale přesně matematicky modelovat (druhý averroismus).</w:t>
      </w:r>
      <w:r w:rsidR="00DA6C8E">
        <w:t xml:space="preserve"> </w:t>
      </w:r>
      <w:r>
        <w:t xml:space="preserve">První averroismus </w:t>
      </w:r>
      <w:r w:rsidRPr="00273106">
        <w:t xml:space="preserve">bránil autentického Aristotela, Boethia a </w:t>
      </w:r>
      <w:r>
        <w:t>Averroes</w:t>
      </w:r>
      <w:r w:rsidRPr="00273106">
        <w:t xml:space="preserve">e, jež </w:t>
      </w:r>
      <w:r>
        <w:t xml:space="preserve">důsledně </w:t>
      </w:r>
      <w:r w:rsidRPr="00273106">
        <w:t>rozlišovali mezi matematickou a metafyzickou abstrakcí.</w:t>
      </w:r>
      <w:r>
        <w:t xml:space="preserve"> </w:t>
      </w:r>
      <w:r w:rsidR="00FB774F">
        <w:t>Filip</w:t>
      </w:r>
      <w:r w:rsidR="00FB774F" w:rsidRPr="00273106">
        <w:t xml:space="preserve"> </w:t>
      </w:r>
      <w:r w:rsidR="00FB774F">
        <w:t>Kancléř etabloval n</w:t>
      </w:r>
      <w:r>
        <w:t>eoplatonsk</w:t>
      </w:r>
      <w:r w:rsidRPr="00273106">
        <w:t xml:space="preserve">á </w:t>
      </w:r>
      <w:r>
        <w:t>analogi</w:t>
      </w:r>
      <w:r w:rsidR="00FB774F">
        <w:t xml:space="preserve">i </w:t>
      </w:r>
      <w:r>
        <w:t xml:space="preserve">jako predikace </w:t>
      </w:r>
      <w:r w:rsidR="00FB774F">
        <w:t>„</w:t>
      </w:r>
      <w:r w:rsidRPr="00273106">
        <w:rPr>
          <w:i/>
        </w:rPr>
        <w:t xml:space="preserve">ad </w:t>
      </w:r>
      <w:proofErr w:type="gramStart"/>
      <w:r w:rsidRPr="00273106">
        <w:rPr>
          <w:i/>
        </w:rPr>
        <w:t>unum</w:t>
      </w:r>
      <w:proofErr w:type="gramEnd"/>
      <w:r w:rsidR="00FB774F">
        <w:t>“</w:t>
      </w:r>
      <w:r w:rsidRPr="00273106">
        <w:t xml:space="preserve">, která vytváří </w:t>
      </w:r>
      <w:r>
        <w:t>transcendentální jednotu jsoucna inspirovanou platonskými nejvyššími rody a porretánskými hypostázemi (</w:t>
      </w:r>
      <w:r w:rsidR="081D398A">
        <w:t>OBJ II, kap. 2</w:t>
      </w:r>
      <w:r>
        <w:t>.3.2)</w:t>
      </w:r>
      <w:r w:rsidRPr="00273106">
        <w:t>.</w:t>
      </w:r>
      <w:r w:rsidRPr="08672C99">
        <w:t xml:space="preserve"> </w:t>
      </w:r>
      <w:r w:rsidR="00A31B74" w:rsidRPr="00A31B74">
        <w:t>J</w:t>
      </w:r>
      <w:r w:rsidR="00A31B74">
        <w:t>soucno se stalo nová porretánská hypostází jako stalo číselně definované</w:t>
      </w:r>
      <w:r w:rsidR="00A31B74" w:rsidRPr="00A31B74">
        <w:t xml:space="preserve"> Jedn</w:t>
      </w:r>
      <w:r w:rsidR="00A31B74">
        <w:t>o</w:t>
      </w:r>
      <w:r w:rsidR="00A31B74" w:rsidRPr="00A31B74">
        <w:t>. Bonaventura nalezl nejvyšší a nejobecnější míru v</w:t>
      </w:r>
      <w:r w:rsidR="004C631B">
        <w:t>šech moderních individuí. Simulá</w:t>
      </w:r>
      <w:r w:rsidR="00A31B74" w:rsidRPr="00A31B74">
        <w:t xml:space="preserve">krum skutečnosti je ustaveno </w:t>
      </w:r>
      <w:r w:rsidR="00FA4840">
        <w:t xml:space="preserve">touto </w:t>
      </w:r>
      <w:r w:rsidR="00A31B74" w:rsidRPr="00A31B74">
        <w:t xml:space="preserve">moderní predikací </w:t>
      </w:r>
      <w:r w:rsidR="00A31B74" w:rsidRPr="004C631B">
        <w:rPr>
          <w:i/>
        </w:rPr>
        <w:t>per prius</w:t>
      </w:r>
      <w:r w:rsidR="00A31B74" w:rsidRPr="00A31B74">
        <w:t xml:space="preserve">, která </w:t>
      </w:r>
      <w:r w:rsidR="004C631B">
        <w:t>zakládá objektivní jednotu</w:t>
      </w:r>
      <w:r w:rsidR="004C631B" w:rsidRPr="00A31B74">
        <w:t xml:space="preserve"> bytí</w:t>
      </w:r>
      <w:r w:rsidR="00FA4840">
        <w:t xml:space="preserve"> </w:t>
      </w:r>
      <w:r w:rsidR="004C631B">
        <w:t>individuálně a numericky</w:t>
      </w:r>
      <w:r>
        <w:t>.</w:t>
      </w:r>
    </w:p>
    <w:p w:rsidR="08163013" w:rsidRPr="00273106" w:rsidRDefault="08163013" w:rsidP="08163013">
      <w:pPr>
        <w:pStyle w:val="Citace"/>
        <w:rPr>
          <w:noProof/>
        </w:rPr>
      </w:pPr>
      <w:r>
        <w:t>„</w:t>
      </w:r>
      <w:r w:rsidRPr="00273106">
        <w:rPr>
          <w:noProof/>
        </w:rPr>
        <w:t>V substanci jako rodu je tedy nějaká jednota, kterou se měří všechna jsoucna uvnitř tohoto rodu (</w:t>
      </w:r>
      <w:r w:rsidRPr="00273106">
        <w:rPr>
          <w:i/>
          <w:noProof/>
        </w:rPr>
        <w:t>quo mensurantur omnia in illo genere</w:t>
      </w:r>
      <w:r w:rsidRPr="00273106">
        <w:rPr>
          <w:noProof/>
        </w:rPr>
        <w:t>).</w:t>
      </w:r>
      <w:r>
        <w:t xml:space="preserve"> To však nemůže být vnější princip</w:t>
      </w:r>
      <w:r>
        <w:rPr>
          <w:lang w:val="cs-CZ"/>
        </w:rPr>
        <w:t xml:space="preserve"> (</w:t>
      </w:r>
      <w:r w:rsidRPr="00273106">
        <w:rPr>
          <w:i/>
        </w:rPr>
        <w:t>non potest esse principium extrinsecum</w:t>
      </w:r>
      <w:r>
        <w:rPr>
          <w:lang w:val="cs-CZ"/>
        </w:rPr>
        <w:t>)</w:t>
      </w:r>
      <w:r>
        <w:t xml:space="preserve">, protože pak by věci účastí na této míře byly buď větší nebo menší.“ </w:t>
      </w:r>
      <w:r w:rsidRPr="00273106">
        <w:rPr>
          <w:rStyle w:val="Znakapoznpodarou"/>
          <w:lang w:val="cs-CZ"/>
        </w:rPr>
        <w:footnoteReference w:id="20"/>
      </w:r>
    </w:p>
    <w:p w:rsidR="00176376" w:rsidRDefault="08163013" w:rsidP="08163013">
      <w:r>
        <w:t>Rufusův výklad</w:t>
      </w:r>
      <w:r w:rsidRPr="00273106">
        <w:t xml:space="preserve"> </w:t>
      </w:r>
      <w:r w:rsidRPr="009E61D6">
        <w:rPr>
          <w:i/>
        </w:rPr>
        <w:t>Druhých analytik</w:t>
      </w:r>
      <w:r w:rsidRPr="00273106">
        <w:t xml:space="preserve"> </w:t>
      </w:r>
      <w:r>
        <w:t xml:space="preserve">a Kilwardbyho </w:t>
      </w:r>
      <w:r w:rsidRPr="006B6C7A">
        <w:rPr>
          <w:i/>
        </w:rPr>
        <w:t>De ortu scientiarum</w:t>
      </w:r>
      <w:r>
        <w:t xml:space="preserve"> zavedly univerzalitu</w:t>
      </w:r>
      <w:r w:rsidRPr="00273106">
        <w:t xml:space="preserve"> čísla </w:t>
      </w:r>
      <w:r>
        <w:t xml:space="preserve">do definice individua, </w:t>
      </w:r>
      <w:r w:rsidRPr="00273106">
        <w:t>což</w:t>
      </w:r>
      <w:r>
        <w:t xml:space="preserve"> přebírá Bonaventura v určení aritmetické jednoty (</w:t>
      </w:r>
      <w:r w:rsidRPr="00072253">
        <w:rPr>
          <w:i/>
        </w:rPr>
        <w:t>unum</w:t>
      </w:r>
      <w:r>
        <w:t xml:space="preserve">) </w:t>
      </w:r>
      <w:r w:rsidRPr="00273106">
        <w:t>jako základu generické jednoty (</w:t>
      </w:r>
      <w:r w:rsidRPr="00273106">
        <w:rPr>
          <w:i/>
        </w:rPr>
        <w:t>in genere substantiae est unum aliquod</w:t>
      </w:r>
      <w:r w:rsidRPr="00273106">
        <w:t>).</w:t>
      </w:r>
      <w:r>
        <w:t xml:space="preserve"> </w:t>
      </w:r>
      <w:r w:rsidRPr="00273106">
        <w:t xml:space="preserve">Bonaventura </w:t>
      </w:r>
      <w:r>
        <w:t xml:space="preserve">po vzoru Rufuse </w:t>
      </w:r>
      <w:r w:rsidRPr="00273106">
        <w:t>zdůrazňuje, že princip numericky pojaté míry je interní princip</w:t>
      </w:r>
      <w:r w:rsidR="00F650D5">
        <w:t xml:space="preserve"> </w:t>
      </w:r>
      <w:r w:rsidR="00F650D5" w:rsidRPr="00273106">
        <w:t>(</w:t>
      </w:r>
      <w:r w:rsidR="00F650D5" w:rsidRPr="00273106">
        <w:rPr>
          <w:i/>
        </w:rPr>
        <w:t>non potest esse principium extrinsecum</w:t>
      </w:r>
      <w:r w:rsidR="00F650D5" w:rsidRPr="00273106">
        <w:t>)</w:t>
      </w:r>
      <w:r w:rsidRPr="00273106">
        <w:t xml:space="preserve"> daný na úrovni substance</w:t>
      </w:r>
      <w:r>
        <w:fldChar w:fldCharType="begin"/>
      </w:r>
      <w:r>
        <w:instrText xml:space="preserve"> XE "</w:instrText>
      </w:r>
      <w:r w:rsidRPr="00DE2A32">
        <w:instrText>substance</w:instrText>
      </w:r>
      <w:r>
        <w:instrText xml:space="preserve">:matematická" </w:instrText>
      </w:r>
      <w:r>
        <w:fldChar w:fldCharType="end"/>
      </w:r>
      <w:r w:rsidRPr="00273106">
        <w:t xml:space="preserve"> definované jako genus </w:t>
      </w:r>
      <w:r w:rsidR="00F650D5" w:rsidRPr="00273106">
        <w:t>(</w:t>
      </w:r>
      <w:r w:rsidR="00F650D5">
        <w:rPr>
          <w:i/>
        </w:rPr>
        <w:t>in genere substantiae</w:t>
      </w:r>
      <w:r w:rsidR="00F650D5">
        <w:t>)</w:t>
      </w:r>
      <w:r w:rsidRPr="00273106">
        <w:t xml:space="preserve">. </w:t>
      </w:r>
      <w:r>
        <w:t>Aritmetický počet jako interní míra jsoucna založil imanentní</w:t>
      </w:r>
      <w:r w:rsidRPr="00273106">
        <w:t xml:space="preserve"> </w:t>
      </w:r>
      <w:r>
        <w:t>a analogickou jednotu</w:t>
      </w:r>
      <w:r w:rsidRPr="00273106">
        <w:t xml:space="preserve"> </w:t>
      </w:r>
      <w:r>
        <w:t>danou vzhledem k nejvyššímu měřítku jsoucna (</w:t>
      </w:r>
      <w:r w:rsidRPr="00BD6A3D">
        <w:rPr>
          <w:i/>
        </w:rPr>
        <w:t>unum aliquod, quo mensurantur</w:t>
      </w:r>
      <w:r>
        <w:t xml:space="preserve">). </w:t>
      </w:r>
      <w:r w:rsidR="0056017D" w:rsidRPr="0056017D">
        <w:t xml:space="preserve">Nový </w:t>
      </w:r>
      <w:r w:rsidR="0056017D" w:rsidRPr="0056017D">
        <w:rPr>
          <w:i/>
        </w:rPr>
        <w:t>actus essendi</w:t>
      </w:r>
      <w:r w:rsidR="00616973">
        <w:rPr>
          <w:i/>
        </w:rPr>
        <w:fldChar w:fldCharType="begin"/>
      </w:r>
      <w:r w:rsidR="00616973">
        <w:instrText xml:space="preserve"> XE "</w:instrText>
      </w:r>
      <w:r w:rsidR="00616973" w:rsidRPr="00443427">
        <w:rPr>
          <w:i/>
        </w:rPr>
        <w:instrText>actus essendi</w:instrText>
      </w:r>
      <w:r w:rsidR="00616973">
        <w:instrText xml:space="preserve">" </w:instrText>
      </w:r>
      <w:r w:rsidR="00616973">
        <w:rPr>
          <w:i/>
        </w:rPr>
        <w:fldChar w:fldCharType="end"/>
      </w:r>
      <w:r w:rsidR="0056017D" w:rsidRPr="0056017D">
        <w:t xml:space="preserve"> je označen slovem </w:t>
      </w:r>
      <w:r w:rsidR="0056017D">
        <w:t>„</w:t>
      </w:r>
      <w:r w:rsidR="0056017D" w:rsidRPr="0056017D">
        <w:rPr>
          <w:i/>
        </w:rPr>
        <w:t>quo</w:t>
      </w:r>
      <w:r w:rsidR="0056017D">
        <w:t>“</w:t>
      </w:r>
      <w:r w:rsidR="0056017D" w:rsidRPr="0056017D">
        <w:t xml:space="preserve">, které navazuje na </w:t>
      </w:r>
      <w:r w:rsidR="0056017D" w:rsidRPr="0056017D">
        <w:rPr>
          <w:i/>
        </w:rPr>
        <w:t>dativus possessivus</w:t>
      </w:r>
      <w:r w:rsidR="00616973">
        <w:rPr>
          <w:i/>
        </w:rPr>
        <w:fldChar w:fldCharType="begin"/>
      </w:r>
      <w:r w:rsidR="00616973">
        <w:instrText xml:space="preserve"> XE "</w:instrText>
      </w:r>
      <w:r w:rsidR="00616973" w:rsidRPr="00E66C0A">
        <w:rPr>
          <w:i/>
        </w:rPr>
        <w:instrText>dativus possessivus</w:instrText>
      </w:r>
      <w:r w:rsidR="00616973">
        <w:instrText xml:space="preserve">" </w:instrText>
      </w:r>
      <w:r w:rsidR="00616973">
        <w:rPr>
          <w:i/>
        </w:rPr>
        <w:fldChar w:fldCharType="end"/>
      </w:r>
      <w:r w:rsidR="0056017D" w:rsidRPr="0056017D">
        <w:t>, zavedený matematickou analogií. B</w:t>
      </w:r>
      <w:r w:rsidR="0056017D">
        <w:t>onaventura naplňuje amfibolickou predikaci transcendentálií vypracovanou</w:t>
      </w:r>
      <w:r w:rsidR="0056017D" w:rsidRPr="0056017D">
        <w:t xml:space="preserve"> Filipem Kancléřem tím, že je </w:t>
      </w:r>
      <w:r w:rsidR="0056017D">
        <w:t xml:space="preserve">spojil </w:t>
      </w:r>
      <w:r w:rsidR="00616973">
        <w:t>s</w:t>
      </w:r>
      <w:r w:rsidR="0056017D" w:rsidRPr="0056017D">
        <w:t xml:space="preserve"> Ruf</w:t>
      </w:r>
      <w:r w:rsidR="0056017D">
        <w:t>us</w:t>
      </w:r>
      <w:r w:rsidR="0056017D" w:rsidRPr="0056017D">
        <w:t xml:space="preserve">ovým matematickým </w:t>
      </w:r>
      <w:r w:rsidR="0056017D" w:rsidRPr="0056017D">
        <w:rPr>
          <w:i/>
        </w:rPr>
        <w:t>concretum</w:t>
      </w:r>
      <w:r w:rsidR="00616973">
        <w:rPr>
          <w:i/>
        </w:rPr>
        <w:fldChar w:fldCharType="begin"/>
      </w:r>
      <w:r w:rsidR="00616973">
        <w:instrText xml:space="preserve"> XE "</w:instrText>
      </w:r>
      <w:r w:rsidR="00616973" w:rsidRPr="002D34DA">
        <w:rPr>
          <w:i/>
        </w:rPr>
        <w:instrText>concretum</w:instrText>
      </w:r>
      <w:r w:rsidR="00616973">
        <w:instrText xml:space="preserve">" </w:instrText>
      </w:r>
      <w:r w:rsidR="00616973">
        <w:rPr>
          <w:i/>
        </w:rPr>
        <w:fldChar w:fldCharType="end"/>
      </w:r>
      <w:r w:rsidR="0056017D">
        <w:t>. Tím vznikla nová substance třetího druhu, která se predikuje v ontoteologickém scénáři metafyziky. Tato „</w:t>
      </w:r>
      <w:proofErr w:type="gramStart"/>
      <w:r w:rsidR="0056017D" w:rsidRPr="0056017D">
        <w:rPr>
          <w:i/>
        </w:rPr>
        <w:t>chimaera</w:t>
      </w:r>
      <w:proofErr w:type="gramEnd"/>
      <w:r w:rsidR="0056017D" w:rsidRPr="0056017D">
        <w:rPr>
          <w:i/>
        </w:rPr>
        <w:t>–</w:t>
      </w:r>
      <w:proofErr w:type="gramStart"/>
      <w:r w:rsidR="0056017D" w:rsidRPr="0056017D">
        <w:rPr>
          <w:i/>
        </w:rPr>
        <w:t>hircocervus</w:t>
      </w:r>
      <w:proofErr w:type="gramEnd"/>
      <w:r w:rsidR="0056017D">
        <w:t>“</w:t>
      </w:r>
      <w:r w:rsidR="0056017D" w:rsidRPr="0056017D">
        <w:t xml:space="preserve"> je nyní pojímán</w:t>
      </w:r>
      <w:r w:rsidR="0056017D">
        <w:t>a</w:t>
      </w:r>
      <w:r w:rsidR="0056017D" w:rsidRPr="0056017D">
        <w:t xml:space="preserve"> jako </w:t>
      </w:r>
      <w:r w:rsidR="0056017D" w:rsidRPr="0056017D">
        <w:lastRenderedPageBreak/>
        <w:t>druhá aristotelská substance</w:t>
      </w:r>
      <w:r w:rsidR="00BC24C5">
        <w:t>, která „exsistuje“</w:t>
      </w:r>
      <w:r w:rsidR="0056017D" w:rsidRPr="0056017D">
        <w:t xml:space="preserve"> na úrovni rodu. </w:t>
      </w:r>
      <w:r w:rsidR="00176376" w:rsidRPr="00176376">
        <w:t xml:space="preserve">Kategorizace objektivního bytí na základě </w:t>
      </w:r>
      <w:r w:rsidR="00176376" w:rsidRPr="00176376">
        <w:rPr>
          <w:i/>
        </w:rPr>
        <w:t>dativus mensurae</w:t>
      </w:r>
      <w:r w:rsidR="00176376">
        <w:rPr>
          <w:i/>
        </w:rPr>
        <w:fldChar w:fldCharType="begin"/>
      </w:r>
      <w:r w:rsidR="00176376">
        <w:instrText xml:space="preserve"> XE "</w:instrText>
      </w:r>
      <w:r w:rsidR="00176376" w:rsidRPr="008047CC">
        <w:rPr>
          <w:i/>
        </w:rPr>
        <w:instrText>dativus mensurae</w:instrText>
      </w:r>
      <w:r w:rsidR="00176376">
        <w:instrText xml:space="preserve">" </w:instrText>
      </w:r>
      <w:r w:rsidR="00176376">
        <w:rPr>
          <w:i/>
        </w:rPr>
        <w:fldChar w:fldCharType="end"/>
      </w:r>
      <w:r w:rsidR="00176376" w:rsidRPr="00176376">
        <w:t xml:space="preserve"> je nyní dokončena. Druhá substance je redukována na porret</w:t>
      </w:r>
      <w:r w:rsidR="00176376">
        <w:t>áns</w:t>
      </w:r>
      <w:r w:rsidR="00176376" w:rsidRPr="00176376">
        <w:t xml:space="preserve">ké </w:t>
      </w:r>
      <w:r w:rsidR="00176376" w:rsidRPr="00176376">
        <w:rPr>
          <w:i/>
        </w:rPr>
        <w:t>individuum</w:t>
      </w:r>
      <w:r w:rsidR="00176376" w:rsidRPr="00176376">
        <w:t xml:space="preserve">; toto </w:t>
      </w:r>
      <w:r w:rsidR="00176376" w:rsidRPr="00176376">
        <w:rPr>
          <w:i/>
        </w:rPr>
        <w:t>individuum</w:t>
      </w:r>
      <w:r w:rsidR="00176376" w:rsidRPr="00176376">
        <w:t xml:space="preserve"> je logickou operací založenou na vyloučeném třetím redukováno na minimální Avicennovo jsoucno jako jsoucno (</w:t>
      </w:r>
      <w:r w:rsidR="00176376" w:rsidRPr="00176376">
        <w:rPr>
          <w:i/>
        </w:rPr>
        <w:t>ens ratum</w:t>
      </w:r>
      <w:r w:rsidR="00176376" w:rsidRPr="00176376">
        <w:t xml:space="preserve">); toto minimální jsoucno je numericky jedno a může založit </w:t>
      </w:r>
      <w:r w:rsidR="00176376">
        <w:t xml:space="preserve">moderní </w:t>
      </w:r>
      <w:r w:rsidR="00176376" w:rsidRPr="00176376">
        <w:t xml:space="preserve">metafyziku chiméry. </w:t>
      </w:r>
      <w:r w:rsidR="002A5397" w:rsidRPr="002A5397">
        <w:t xml:space="preserve">Toto mytologické zvíře je jedno (matematická analogie) a </w:t>
      </w:r>
      <w:r w:rsidR="002A5397">
        <w:t xml:space="preserve">má </w:t>
      </w:r>
      <w:r w:rsidR="002A5397" w:rsidRPr="002A5397">
        <w:t>minimálně určené bytí (logická analogie). Moderní subjekt vytvořil mytologický svět stvořený podle svého nihilistického obrazu.</w:t>
      </w:r>
    </w:p>
    <w:p w:rsidR="08163013" w:rsidRPr="00273106" w:rsidRDefault="08163013" w:rsidP="00AA0332">
      <w:pPr>
        <w:ind w:firstLine="397"/>
      </w:pPr>
      <w:r>
        <w:t>Do analogické stavby jsoucna definované neoplatonským vztahem k Jednomu přišla i materie třetího druhu</w:t>
      </w:r>
      <w:r w:rsidR="003538FA">
        <w:t>,</w:t>
      </w:r>
      <w:r>
        <w:t xml:space="preserve"> nově definovaná podle univerzálního hylemorfismu</w:t>
      </w:r>
      <w:r>
        <w:fldChar w:fldCharType="begin"/>
      </w:r>
      <w:r>
        <w:instrText xml:space="preserve"> XE "</w:instrText>
      </w:r>
      <w:r w:rsidRPr="00423560">
        <w:instrText>univerzální hylemorfismus</w:instrText>
      </w:r>
      <w:r>
        <w:instrText xml:space="preserve">" </w:instrText>
      </w:r>
      <w:r>
        <w:fldChar w:fldCharType="end"/>
      </w:r>
      <w:r>
        <w:t xml:space="preserve">. </w:t>
      </w:r>
      <w:r w:rsidRPr="00273106">
        <w:t>Kritické studie analyzující pojetí materie v první polovině 13. stol. etablovaly základní rozdíl mezi dvěma školami (Palhoriès</w:t>
      </w:r>
      <w:r w:rsidRPr="00273106">
        <w:rPr>
          <w:rFonts w:ascii="ArialMT" w:eastAsia="Times New Roman" w:hAnsi="ArialMT" w:cs="ArialMT"/>
          <w:sz w:val="18"/>
          <w:szCs w:val="18"/>
        </w:rPr>
        <w:t xml:space="preserve"> </w:t>
      </w:r>
      <w:r w:rsidRPr="00273106">
        <w:t xml:space="preserve">1912). Křesťanský aristotelismus chápal </w:t>
      </w:r>
      <w:r w:rsidR="00EB0926">
        <w:t>„</w:t>
      </w:r>
      <w:r w:rsidRPr="00273106">
        <w:rPr>
          <w:i/>
        </w:rPr>
        <w:t>ens creatum</w:t>
      </w:r>
      <w:r w:rsidR="00EB0926">
        <w:t>“</w:t>
      </w:r>
      <w:r w:rsidRPr="00273106">
        <w:t xml:space="preserve"> skrze diferenci mezi formou a látk</w:t>
      </w:r>
      <w:r w:rsidR="001819F3">
        <w:t>ou determinovanou v rámci reálných</w:t>
      </w:r>
      <w:r w:rsidRPr="00273106">
        <w:t xml:space="preserve"> substanc</w:t>
      </w:r>
      <w:r w:rsidR="001819F3">
        <w:t>í</w:t>
      </w:r>
      <w:r w:rsidRPr="00273106">
        <w:t>. Křesťanský neoplatonismus a avicennismus rozšířený ve františkánských školách preferoval diferenci mezi esencí (</w:t>
      </w:r>
      <w:r w:rsidRPr="00273106">
        <w:rPr>
          <w:i/>
        </w:rPr>
        <w:t>quod est</w:t>
      </w:r>
      <w:r w:rsidRPr="00273106">
        <w:t>) a existencí (</w:t>
      </w:r>
      <w:r w:rsidRPr="00273106">
        <w:rPr>
          <w:i/>
        </w:rPr>
        <w:t>quo est</w:t>
      </w:r>
      <w:r>
        <w:rPr>
          <w:i/>
        </w:rPr>
        <w:fldChar w:fldCharType="begin"/>
      </w:r>
      <w:r>
        <w:instrText xml:space="preserve"> XE "</w:instrText>
      </w:r>
      <w:r w:rsidRPr="003C4F2E">
        <w:rPr>
          <w:i/>
        </w:rPr>
        <w:instrText>quo est</w:instrText>
      </w:r>
      <w:r>
        <w:instrText xml:space="preserve">" </w:instrText>
      </w:r>
      <w:r>
        <w:rPr>
          <w:i/>
        </w:rPr>
        <w:fldChar w:fldCharType="end"/>
      </w:r>
      <w:r w:rsidRPr="00273106">
        <w:t>).</w:t>
      </w:r>
      <w:r>
        <w:t xml:space="preserve"> </w:t>
      </w:r>
      <w:r w:rsidR="00AA0332">
        <w:t xml:space="preserve">Z hlediska hermeneutiky tím došlo k redukci reálné substance na moderní individuum. </w:t>
      </w:r>
      <w:r w:rsidR="00C42E77">
        <w:t>Jednorožec a chiméra tvoří objektivně reálnou substanci zvanou „zvíře“</w:t>
      </w:r>
      <w:r w:rsidR="00C87341">
        <w:t xml:space="preserve"> ve stejném stylu jako porretánská mrtvola může objektivně chodit</w:t>
      </w:r>
      <w:r w:rsidR="00C42E77">
        <w:t xml:space="preserve">. </w:t>
      </w:r>
      <w:r w:rsidRPr="00273106">
        <w:t>Bonaventura převzal Avicebronovo pojetí materie a spojil je s univočním pojetím tělesa chápaného jako substance třetího dru</w:t>
      </w:r>
      <w:r w:rsidR="0884279B">
        <w:t>hu (OBJ II, kap. 3</w:t>
      </w:r>
      <w:r w:rsidRPr="00273106">
        <w:t xml:space="preserve">.2). Tento vývoj potvrzuje i citovaná Palhorièsova studie </w:t>
      </w:r>
      <w:r>
        <w:t xml:space="preserve">skrze univoční význam </w:t>
      </w:r>
      <w:r w:rsidR="00657DB7">
        <w:t xml:space="preserve">abstraktního </w:t>
      </w:r>
      <w:r>
        <w:t xml:space="preserve">tělesa a látky </w:t>
      </w:r>
      <w:r w:rsidRPr="00273106">
        <w:t>(</w:t>
      </w:r>
      <w:r w:rsidRPr="00273106">
        <w:rPr>
          <w:i/>
        </w:rPr>
        <w:t>matériel et corporel avaient fini par ne plus présenter qu'un seul sens</w:t>
      </w:r>
      <w:r>
        <w:t xml:space="preserve">, p. 183). </w:t>
      </w:r>
      <w:r w:rsidRPr="00273106">
        <w:t>Opět je třeba se vrátit k Avicennovi, který tento vývoj abstraktní rozsažnosti tělesa otevřel pro latinský Západ</w:t>
      </w:r>
      <w:r>
        <w:t xml:space="preserve">. Materie </w:t>
      </w:r>
      <w:r w:rsidRPr="00273106">
        <w:t>třetího druhu</w:t>
      </w:r>
      <w:r>
        <w:t xml:space="preserve"> </w:t>
      </w:r>
      <w:r w:rsidRPr="00273106">
        <w:t xml:space="preserve">v modu </w:t>
      </w:r>
      <w:r w:rsidRPr="00273106">
        <w:rPr>
          <w:i/>
        </w:rPr>
        <w:t>per prius</w:t>
      </w:r>
      <w:r w:rsidRPr="00273106">
        <w:t xml:space="preserve"> </w:t>
      </w:r>
      <w:r>
        <w:t xml:space="preserve">není </w:t>
      </w:r>
      <w:r w:rsidRPr="00273106">
        <w:t>definována vztahem k substanci, ale vzhledem k esenci a k formě</w:t>
      </w:r>
      <w:r>
        <w:fldChar w:fldCharType="begin"/>
      </w:r>
      <w:r>
        <w:instrText xml:space="preserve"> XE "</w:instrText>
      </w:r>
      <w:r w:rsidRPr="00A46644">
        <w:instrText>materie:objektivní</w:instrText>
      </w:r>
      <w:r>
        <w:instrText xml:space="preserve">" </w:instrText>
      </w:r>
      <w:r>
        <w:fldChar w:fldCharType="end"/>
      </w:r>
      <w:r w:rsidRPr="00273106">
        <w:t>.</w:t>
      </w:r>
    </w:p>
    <w:p w:rsidR="08163013" w:rsidRDefault="08163013" w:rsidP="08163013">
      <w:pPr>
        <w:pStyle w:val="Citace"/>
      </w:pPr>
      <w:r w:rsidRPr="00273106">
        <w:rPr>
          <w:noProof/>
        </w:rPr>
        <w:t>„</w:t>
      </w:r>
      <w:r w:rsidR="00860BED">
        <w:rPr>
          <w:noProof/>
          <w:lang w:val="cs-CZ"/>
        </w:rPr>
        <w:t xml:space="preserve">Vzhledem ke své essenci jako univerzální potenci je materie </w:t>
      </w:r>
      <w:r>
        <w:rPr>
          <w:noProof/>
          <w:lang w:val="cs-CZ"/>
        </w:rPr>
        <w:t xml:space="preserve">zbavena </w:t>
      </w:r>
      <w:r w:rsidR="00860BED">
        <w:rPr>
          <w:noProof/>
          <w:lang w:val="cs-CZ"/>
        </w:rPr>
        <w:t>jakékoliv formy</w:t>
      </w:r>
      <w:r>
        <w:rPr>
          <w:noProof/>
          <w:lang w:val="cs-CZ"/>
        </w:rPr>
        <w:t>. A z tohoto formálního hlediska je formou materie její vlastní schopnost nebo potence (</w:t>
      </w:r>
      <w:r w:rsidRPr="00D71DA8">
        <w:rPr>
          <w:i/>
          <w:noProof/>
        </w:rPr>
        <w:t>ipsa formarum capacitas sive possibilitas est sibi pro forma</w:t>
      </w:r>
      <w:r>
        <w:rPr>
          <w:noProof/>
          <w:lang w:val="cs-CZ"/>
        </w:rPr>
        <w:t>)... Proto je nemožné, aby existovala materie zcela mimo formu.</w:t>
      </w:r>
      <w:r w:rsidRPr="00273106">
        <w:rPr>
          <w:noProof/>
        </w:rPr>
        <w:t xml:space="preserve">“ </w:t>
      </w:r>
      <w:r>
        <w:rPr>
          <w:rStyle w:val="Znakapoznpodarou"/>
        </w:rPr>
        <w:footnoteReference w:id="21"/>
      </w:r>
    </w:p>
    <w:p w:rsidR="08163013" w:rsidRPr="00273106" w:rsidRDefault="00EC6D58" w:rsidP="08163013">
      <w:r>
        <w:lastRenderedPageBreak/>
        <w:t>Sofisma</w:t>
      </w:r>
      <w:r w:rsidRPr="00EC6D58">
        <w:t xml:space="preserve"> mě</w:t>
      </w:r>
      <w:r>
        <w:t>ní čistou potencialitu v hypostázovanou „</w:t>
      </w:r>
      <w:proofErr w:type="gramStart"/>
      <w:r>
        <w:t>substanci</w:t>
      </w:r>
      <w:proofErr w:type="gramEnd"/>
      <w:r>
        <w:t>–</w:t>
      </w:r>
      <w:proofErr w:type="gramStart"/>
      <w:r>
        <w:t>esenci</w:t>
      </w:r>
      <w:proofErr w:type="gramEnd"/>
      <w:r>
        <w:t>“</w:t>
      </w:r>
      <w:r w:rsidRPr="00EC6D58">
        <w:t xml:space="preserve">. </w:t>
      </w:r>
      <w:r w:rsidR="08163013" w:rsidRPr="00273106">
        <w:t xml:space="preserve">Bonaventura chápe esenci materie univočně </w:t>
      </w:r>
      <w:r w:rsidR="00112B43">
        <w:t>jako čistou potenci</w:t>
      </w:r>
      <w:r w:rsidR="08163013" w:rsidRPr="00273106">
        <w:t xml:space="preserve"> (</w:t>
      </w:r>
      <w:r w:rsidR="08163013" w:rsidRPr="00273106">
        <w:rPr>
          <w:i/>
        </w:rPr>
        <w:t>per possibilitatem omnimodam</w:t>
      </w:r>
      <w:r w:rsidR="08163013" w:rsidRPr="00273106">
        <w:t>), kterou vztahuje k</w:t>
      </w:r>
      <w:r w:rsidR="003E598C">
        <w:t xml:space="preserve"> univerzální </w:t>
      </w:r>
      <w:r w:rsidR="08163013" w:rsidRPr="00273106">
        <w:t xml:space="preserve">možnosti </w:t>
      </w:r>
      <w:r w:rsidR="08163013">
        <w:t>přijmout</w:t>
      </w:r>
      <w:r w:rsidR="08163013" w:rsidRPr="00273106">
        <w:t xml:space="preserve"> jakákoliv formální určení</w:t>
      </w:r>
      <w:r w:rsidR="08163013">
        <w:t xml:space="preserve"> (</w:t>
      </w:r>
      <w:r w:rsidR="08163013" w:rsidRPr="00D71DA8">
        <w:rPr>
          <w:i/>
        </w:rPr>
        <w:t>est sibi pro forma</w:t>
      </w:r>
      <w:r w:rsidR="08163013">
        <w:t>)</w:t>
      </w:r>
      <w:r w:rsidR="08163013" w:rsidRPr="00273106">
        <w:t xml:space="preserve">. </w:t>
      </w:r>
      <w:r w:rsidR="00D54C3C" w:rsidRPr="00D54C3C">
        <w:t xml:space="preserve">Sofistika se skrývá v tom, že </w:t>
      </w:r>
      <w:r w:rsidR="00D54C3C">
        <w:t xml:space="preserve">citát </w:t>
      </w:r>
      <w:r w:rsidR="00D54C3C" w:rsidRPr="00D54C3C">
        <w:t xml:space="preserve">mění </w:t>
      </w:r>
      <w:r w:rsidR="00D54C3C">
        <w:t>aristotelské pojetí materie n</w:t>
      </w:r>
      <w:r w:rsidR="00D54C3C" w:rsidRPr="00D54C3C">
        <w:t xml:space="preserve">a </w:t>
      </w:r>
      <w:r w:rsidR="00D54C3C">
        <w:t>porretánskou esenci (</w:t>
      </w:r>
      <w:r w:rsidR="00D54C3C" w:rsidRPr="00D54C3C">
        <w:rPr>
          <w:i/>
        </w:rPr>
        <w:t>materia secundum sui essentiam</w:t>
      </w:r>
      <w:r w:rsidR="00D54C3C" w:rsidRPr="00D54C3C">
        <w:t xml:space="preserve">), místo aby ji </w:t>
      </w:r>
      <w:r w:rsidR="00D54C3C">
        <w:t xml:space="preserve">definval ve vztahu </w:t>
      </w:r>
      <w:r w:rsidR="00D54C3C" w:rsidRPr="00D54C3C">
        <w:t xml:space="preserve">k hylemorfní substanci. </w:t>
      </w:r>
      <w:r w:rsidR="08163013">
        <w:t xml:space="preserve">Materie dostala objektivní určení v rámci moderně definované kapacity </w:t>
      </w:r>
      <w:r w:rsidR="08163013" w:rsidRPr="00273106">
        <w:t>(</w:t>
      </w:r>
      <w:r w:rsidR="08163013" w:rsidRPr="00273106">
        <w:rPr>
          <w:i/>
        </w:rPr>
        <w:t>capacitas sive possibilitas formarum</w:t>
      </w:r>
      <w:r w:rsidR="08163013" w:rsidRPr="00273106">
        <w:t>)</w:t>
      </w:r>
      <w:r w:rsidR="00D54C3C">
        <w:t xml:space="preserve">. </w:t>
      </w:r>
      <w:r w:rsidR="00D54C3C" w:rsidRPr="00D54C3C">
        <w:t xml:space="preserve">Pak je citát z Palhorièse správný, protože Bonaventura manipuluje se dvěma substancemi třetího druhu: jedna je prezentována jako </w:t>
      </w:r>
      <w:r w:rsidR="00D54C3C">
        <w:t xml:space="preserve">materie </w:t>
      </w:r>
      <w:r w:rsidR="00D54C3C" w:rsidRPr="00D54C3C">
        <w:t>a druhá jak</w:t>
      </w:r>
      <w:r w:rsidR="00D54C3C">
        <w:t xml:space="preserve">o individuální druhá substance, </w:t>
      </w:r>
      <w:r w:rsidR="00D54C3C" w:rsidRPr="00D54C3C">
        <w:t>tedy</w:t>
      </w:r>
      <w:r w:rsidR="00D54C3C">
        <w:t xml:space="preserve"> </w:t>
      </w:r>
      <w:r w:rsidR="00D54C3C" w:rsidRPr="00D54C3C">
        <w:t>objektivní těl</w:t>
      </w:r>
      <w:r w:rsidR="00D54C3C">
        <w:t>eso</w:t>
      </w:r>
      <w:r w:rsidR="00D54C3C" w:rsidRPr="00D54C3C">
        <w:t xml:space="preserve">. </w:t>
      </w:r>
      <w:r w:rsidR="08163013">
        <w:t xml:space="preserve">První averroismus rozhodně odmítl </w:t>
      </w:r>
      <w:r w:rsidR="00C541C5">
        <w:t xml:space="preserve">jakokouliv potentialitu </w:t>
      </w:r>
      <w:r w:rsidR="08163013">
        <w:t xml:space="preserve">definovanou </w:t>
      </w:r>
      <w:r w:rsidR="00C541C5">
        <w:t>substanciálně</w:t>
      </w:r>
      <w:r w:rsidR="08163013">
        <w:t xml:space="preserve">. </w:t>
      </w:r>
      <w:r w:rsidR="00C541C5">
        <w:t>Rufus zavedl potenci</w:t>
      </w:r>
      <w:r w:rsidR="08163013">
        <w:t xml:space="preserve"> </w:t>
      </w:r>
      <w:r w:rsidR="00C541C5">
        <w:t xml:space="preserve">jako substanci </w:t>
      </w:r>
      <w:r w:rsidR="08163013">
        <w:t>(</w:t>
      </w:r>
      <w:r w:rsidR="08163013" w:rsidRPr="08561A18">
        <w:rPr>
          <w:i/>
        </w:rPr>
        <w:t>potentia substantial</w:t>
      </w:r>
      <w:r w:rsidR="08163013">
        <w:rPr>
          <w:i/>
        </w:rPr>
        <w:t>i</w:t>
      </w:r>
      <w:r w:rsidR="08163013" w:rsidRPr="08561A18">
        <w:rPr>
          <w:i/>
        </w:rPr>
        <w:t>s</w:t>
      </w:r>
      <w:r w:rsidR="08163013">
        <w:t xml:space="preserve">). Pak není žádný problém </w:t>
      </w:r>
      <w:r w:rsidR="00C541C5">
        <w:t xml:space="preserve">pro Bonaventuru, aby vzal </w:t>
      </w:r>
      <w:r w:rsidR="08163013">
        <w:t>materii jako substanciální potenci. Proto d</w:t>
      </w:r>
      <w:r w:rsidR="08163013" w:rsidRPr="00273106">
        <w:t>alší věta dodává, že materie nikdy nemůže existovat mimo nějakou formu (</w:t>
      </w:r>
      <w:r w:rsidR="08163013" w:rsidRPr="00273106">
        <w:rPr>
          <w:i/>
        </w:rPr>
        <w:t>impossibile est materiam informem existere</w:t>
      </w:r>
      <w:r w:rsidR="08163013" w:rsidRPr="00273106">
        <w:t xml:space="preserve">). </w:t>
      </w:r>
      <w:r w:rsidR="006A66D7" w:rsidRPr="006A66D7">
        <w:t>S</w:t>
      </w:r>
      <w:r w:rsidR="006A66D7">
        <w:t xml:space="preserve">ofistika je opět zřejmá, neboť „forma“ </w:t>
      </w:r>
      <w:r w:rsidR="006A66D7" w:rsidRPr="006A66D7">
        <w:t xml:space="preserve">je </w:t>
      </w:r>
      <w:r w:rsidR="006A66D7" w:rsidRPr="006A66D7">
        <w:rPr>
          <w:i/>
        </w:rPr>
        <w:t>tertium ens</w:t>
      </w:r>
      <w:r w:rsidR="006A66D7" w:rsidRPr="006A66D7">
        <w:t xml:space="preserve">, které </w:t>
      </w:r>
      <w:r w:rsidR="006A66D7">
        <w:t xml:space="preserve">měl </w:t>
      </w:r>
      <w:r w:rsidR="006A66D7" w:rsidRPr="006A66D7">
        <w:t xml:space="preserve">Rufus </w:t>
      </w:r>
      <w:r w:rsidR="006A66D7">
        <w:t>jako „</w:t>
      </w:r>
      <w:r w:rsidR="006A66D7" w:rsidRPr="006A66D7">
        <w:rPr>
          <w:i/>
        </w:rPr>
        <w:t>concretum</w:t>
      </w:r>
      <w:r w:rsidR="006A66D7">
        <w:t>“</w:t>
      </w:r>
      <w:r w:rsidR="006A66D7" w:rsidRPr="006A66D7">
        <w:t xml:space="preserve">. Výsledkem takového spojení obou </w:t>
      </w:r>
      <w:r w:rsidR="006A66D7" w:rsidRPr="006A66D7">
        <w:rPr>
          <w:i/>
        </w:rPr>
        <w:t>tertium ens</w:t>
      </w:r>
      <w:r w:rsidR="006A66D7" w:rsidRPr="006A66D7">
        <w:t xml:space="preserve"> j</w:t>
      </w:r>
      <w:r w:rsidR="006A66D7">
        <w:t>e simulá</w:t>
      </w:r>
      <w:r w:rsidR="00C42E77">
        <w:t xml:space="preserve">krum hylemorfní substance. </w:t>
      </w:r>
      <w:r w:rsidR="08163013" w:rsidRPr="00273106">
        <w:t>Druhý averroismus šel cestou porretánských logických škol</w:t>
      </w:r>
      <w:r w:rsidR="08163013">
        <w:t xml:space="preserve"> hájících primát </w:t>
      </w:r>
      <w:r w:rsidR="08163013" w:rsidRPr="00273106">
        <w:t>univoční logické abstrakce</w:t>
      </w:r>
      <w:r w:rsidR="08163013">
        <w:t xml:space="preserve">. Bonaventurova škola definovala materii třetího druhu logickým záporem od nicoty. </w:t>
      </w:r>
      <w:r w:rsidR="08163013" w:rsidRPr="00273106">
        <w:t xml:space="preserve">Následující pasáž ukazuje </w:t>
      </w:r>
      <w:r w:rsidR="08163013">
        <w:t xml:space="preserve">již </w:t>
      </w:r>
      <w:r w:rsidR="08163013" w:rsidRPr="00273106">
        <w:t>p</w:t>
      </w:r>
      <w:r w:rsidR="08163013">
        <w:t>lně objektivní určení materie v modu unifikované porretánské hypostáze dané jako kvazi-substance</w:t>
      </w:r>
      <w:r w:rsidR="08163013">
        <w:fldChar w:fldCharType="begin"/>
      </w:r>
      <w:r w:rsidR="08163013">
        <w:instrText xml:space="preserve"> XE "</w:instrText>
      </w:r>
      <w:r w:rsidR="08163013" w:rsidRPr="00DE2A32">
        <w:instrText>substance</w:instrText>
      </w:r>
      <w:r w:rsidR="08163013">
        <w:instrText xml:space="preserve">:Bonaventura" </w:instrText>
      </w:r>
      <w:r w:rsidR="08163013">
        <w:fldChar w:fldCharType="end"/>
      </w:r>
      <w:r w:rsidR="08163013">
        <w:t xml:space="preserve"> v modu matematického </w:t>
      </w:r>
      <w:r w:rsidR="08163013" w:rsidRPr="00F17583">
        <w:rPr>
          <w:i/>
        </w:rPr>
        <w:t>unum</w:t>
      </w:r>
      <w:r w:rsidR="08163013" w:rsidRPr="00273106">
        <w:t>.</w:t>
      </w:r>
    </w:p>
    <w:p w:rsidR="08163013" w:rsidRDefault="08163013" w:rsidP="08163013">
      <w:pPr>
        <w:pStyle w:val="Citace"/>
      </w:pPr>
      <w:r w:rsidRPr="00273106">
        <w:rPr>
          <w:noProof/>
          <w:lang w:val="cs-CZ"/>
        </w:rPr>
        <w:t>„</w:t>
      </w:r>
      <w:r>
        <w:rPr>
          <w:noProof/>
          <w:lang w:val="cs-CZ"/>
        </w:rPr>
        <w:t xml:space="preserve">Materie je zajisté jsoucno v potenci a ze své esence nemá žádnou aktualitu, žádnou formu, a tím není individualizovatelná. </w:t>
      </w:r>
      <w:r w:rsidR="00BB3085">
        <w:rPr>
          <w:noProof/>
          <w:lang w:val="cs-CZ"/>
        </w:rPr>
        <w:t>Nemá žádnou distinci(</w:t>
      </w:r>
      <w:r w:rsidR="00BB3085" w:rsidRPr="0027004D">
        <w:rPr>
          <w:i/>
          <w:noProof/>
        </w:rPr>
        <w:t>nullam distinctionem habet</w:t>
      </w:r>
      <w:r w:rsidR="00BB3085">
        <w:rPr>
          <w:noProof/>
          <w:lang w:val="cs-CZ"/>
        </w:rPr>
        <w:t xml:space="preserve">) kromě faktu, že stojí mimo nicotu </w:t>
      </w:r>
      <w:r>
        <w:rPr>
          <w:noProof/>
          <w:lang w:val="cs-CZ"/>
        </w:rPr>
        <w:t>(</w:t>
      </w:r>
      <w:r w:rsidRPr="00C07E1D">
        <w:rPr>
          <w:i/>
          <w:noProof/>
        </w:rPr>
        <w:t>non est nihil</w:t>
      </w:r>
      <w:r>
        <w:rPr>
          <w:noProof/>
          <w:lang w:val="cs-CZ"/>
        </w:rPr>
        <w:t>)</w:t>
      </w:r>
      <w:r w:rsidR="00BB3085">
        <w:rPr>
          <w:noProof/>
          <w:lang w:val="cs-CZ"/>
        </w:rPr>
        <w:t xml:space="preserve">; </w:t>
      </w:r>
      <w:r>
        <w:rPr>
          <w:noProof/>
          <w:lang w:val="cs-CZ"/>
        </w:rPr>
        <w:t>pak nutně stojí i mimo mnohost a je numericky jednotná (</w:t>
      </w:r>
      <w:r w:rsidRPr="00595715">
        <w:rPr>
          <w:i/>
          <w:noProof/>
        </w:rPr>
        <w:t>ita numero una</w:t>
      </w:r>
      <w:r>
        <w:rPr>
          <w:noProof/>
          <w:lang w:val="cs-CZ"/>
        </w:rPr>
        <w:t>)</w:t>
      </w:r>
      <w:r w:rsidRPr="00273106">
        <w:rPr>
          <w:noProof/>
          <w:lang w:val="cs-CZ"/>
        </w:rPr>
        <w:t xml:space="preserve">.“ </w:t>
      </w:r>
      <w:r>
        <w:rPr>
          <w:rStyle w:val="Znakapoznpodarou"/>
        </w:rPr>
        <w:footnoteReference w:id="22"/>
      </w:r>
    </w:p>
    <w:p w:rsidR="00583C5A" w:rsidRDefault="08163013" w:rsidP="00583C5A">
      <w:r w:rsidRPr="00273106">
        <w:t>Materie je jsoucnem daným pouze v potenci (</w:t>
      </w:r>
      <w:r w:rsidRPr="00273106">
        <w:rPr>
          <w:i/>
        </w:rPr>
        <w:t>omnino est ens in potentia</w:t>
      </w:r>
      <w:r w:rsidRPr="00273106">
        <w:t xml:space="preserve">) a z hlediska této minimální dávky jsoucnosti „je něčím“ </w:t>
      </w:r>
      <w:r>
        <w:t xml:space="preserve">pouze </w:t>
      </w:r>
      <w:r w:rsidRPr="00273106">
        <w:t xml:space="preserve">vzhledem k úplné nicotě </w:t>
      </w:r>
      <w:r w:rsidRPr="00273106">
        <w:rPr>
          <w:sz w:val="26"/>
        </w:rPr>
        <w:t>(</w:t>
      </w:r>
      <w:r w:rsidRPr="00273106">
        <w:rPr>
          <w:i/>
        </w:rPr>
        <w:t>non est nihil</w:t>
      </w:r>
      <w:r>
        <w:rPr>
          <w:i/>
        </w:rPr>
        <w:fldChar w:fldCharType="begin"/>
      </w:r>
      <w:r>
        <w:instrText xml:space="preserve"> XE "</w:instrText>
      </w:r>
      <w:r w:rsidRPr="00684581">
        <w:instrText>nihilismus</w:instrText>
      </w:r>
      <w:r>
        <w:instrText xml:space="preserve">" </w:instrText>
      </w:r>
      <w:r>
        <w:rPr>
          <w:i/>
        </w:rPr>
        <w:fldChar w:fldCharType="end"/>
      </w:r>
      <w:r w:rsidRPr="00273106">
        <w:rPr>
          <w:sz w:val="26"/>
        </w:rPr>
        <w:t>)</w:t>
      </w:r>
      <w:r w:rsidRPr="00273106">
        <w:t xml:space="preserve">. </w:t>
      </w:r>
      <w:r w:rsidR="000263D6">
        <w:t>Tato první forma „</w:t>
      </w:r>
      <w:r w:rsidR="000263D6" w:rsidRPr="000263D6">
        <w:rPr>
          <w:i/>
        </w:rPr>
        <w:t>informatio</w:t>
      </w:r>
      <w:r w:rsidR="000263D6">
        <w:t>“</w:t>
      </w:r>
      <w:r w:rsidR="000263D6" w:rsidRPr="000263D6">
        <w:t xml:space="preserve"> </w:t>
      </w:r>
      <w:r w:rsidR="000263D6">
        <w:t xml:space="preserve">založila </w:t>
      </w:r>
      <w:r w:rsidR="000263D6" w:rsidRPr="000263D6">
        <w:rPr>
          <w:i/>
        </w:rPr>
        <w:t>dativus mensurae</w:t>
      </w:r>
      <w:r w:rsidR="000263D6" w:rsidRPr="000263D6">
        <w:t xml:space="preserve"> na základě moderní metafyziky, která </w:t>
      </w:r>
      <w:r w:rsidR="000263D6">
        <w:t xml:space="preserve">navazovala na definici </w:t>
      </w:r>
      <w:r w:rsidR="000263D6" w:rsidRPr="000263D6">
        <w:rPr>
          <w:i/>
        </w:rPr>
        <w:t>individuum</w:t>
      </w:r>
      <w:r w:rsidR="000263D6">
        <w:t xml:space="preserve"> podle </w:t>
      </w:r>
      <w:r w:rsidR="000263D6" w:rsidRPr="000263D6">
        <w:rPr>
          <w:i/>
        </w:rPr>
        <w:t>Isagog</w:t>
      </w:r>
      <w:r w:rsidR="000263D6">
        <w:rPr>
          <w:i/>
        </w:rPr>
        <w:t>é</w:t>
      </w:r>
      <w:r w:rsidR="000263D6" w:rsidRPr="000263D6">
        <w:t>. Ve věku do</w:t>
      </w:r>
      <w:r w:rsidR="000263D6">
        <w:t>vršeného nihilismu se z tohoto „</w:t>
      </w:r>
      <w:r w:rsidR="000263D6" w:rsidRPr="000263D6">
        <w:rPr>
          <w:i/>
        </w:rPr>
        <w:t>informatio</w:t>
      </w:r>
      <w:r w:rsidR="000263D6">
        <w:t>“</w:t>
      </w:r>
      <w:r w:rsidR="000263D6" w:rsidRPr="000263D6">
        <w:t xml:space="preserve"> stala binární informatika. Bit jako nejjednodušší jednotka </w:t>
      </w:r>
      <w:r w:rsidR="000263D6" w:rsidRPr="000263D6">
        <w:lastRenderedPageBreak/>
        <w:t xml:space="preserve">v číselné soustavě obsahuje pouze dvě hodnoty (0 a 1), které tvoří současnou podobu </w:t>
      </w:r>
      <w:r w:rsidR="000263D6" w:rsidRPr="000263D6">
        <w:rPr>
          <w:i/>
        </w:rPr>
        <w:t>dativus mensurae</w:t>
      </w:r>
      <w:r w:rsidR="000263D6" w:rsidRPr="000263D6">
        <w:t xml:space="preserve">. </w:t>
      </w:r>
      <w:r w:rsidR="08E40AE0">
        <w:t>Dialektickou bi</w:t>
      </w:r>
      <w:r>
        <w:t xml:space="preserve">valenci mezi </w:t>
      </w:r>
      <w:r w:rsidR="00542FD0">
        <w:t>„</w:t>
      </w:r>
      <w:r w:rsidRPr="00273106">
        <w:rPr>
          <w:i/>
        </w:rPr>
        <w:t>nihil</w:t>
      </w:r>
      <w:r w:rsidRPr="00273106">
        <w:t>‒</w:t>
      </w:r>
      <w:r w:rsidRPr="00273106">
        <w:rPr>
          <w:i/>
        </w:rPr>
        <w:t>aliquid</w:t>
      </w:r>
      <w:r w:rsidR="00542FD0">
        <w:t>“</w:t>
      </w:r>
      <w:r w:rsidRPr="00273106">
        <w:t xml:space="preserve"> převedli první modernisté do metafyziky</w:t>
      </w:r>
      <w:r w:rsidR="00542FD0">
        <w:t>. T</w:t>
      </w:r>
      <w:r>
        <w:t xml:space="preserve">ato forma minimální existence zajištěná pouze logickým vyloučením třetího je predikována v </w:t>
      </w:r>
      <w:r w:rsidRPr="00273106">
        <w:t xml:space="preserve">modu </w:t>
      </w:r>
      <w:r w:rsidRPr="00273106">
        <w:rPr>
          <w:i/>
        </w:rPr>
        <w:t>per prius</w:t>
      </w:r>
      <w:r w:rsidRPr="00273106">
        <w:t xml:space="preserve"> </w:t>
      </w:r>
      <w:r>
        <w:t xml:space="preserve">v rámci metafyzického určení jsoucna jako </w:t>
      </w:r>
      <w:r w:rsidR="00542FD0">
        <w:t>„</w:t>
      </w:r>
      <w:r w:rsidRPr="00712437">
        <w:rPr>
          <w:i/>
        </w:rPr>
        <w:t>ens inquantum ens</w:t>
      </w:r>
      <w:r w:rsidR="00542FD0">
        <w:t>“</w:t>
      </w:r>
      <w:r>
        <w:rPr>
          <w:i/>
        </w:rPr>
        <w:fldChar w:fldCharType="begin"/>
      </w:r>
      <w:r>
        <w:instrText xml:space="preserve"> XE "</w:instrText>
      </w:r>
      <w:r w:rsidRPr="005424E2">
        <w:rPr>
          <w:i/>
        </w:rPr>
        <w:instrText>ens inquantum ens</w:instrText>
      </w:r>
      <w:r>
        <w:instrText xml:space="preserve">" </w:instrText>
      </w:r>
      <w:r>
        <w:rPr>
          <w:i/>
        </w:rPr>
        <w:fldChar w:fldCharType="end"/>
      </w:r>
      <w:r w:rsidRPr="00273106">
        <w:t>.</w:t>
      </w:r>
      <w:r>
        <w:t xml:space="preserve"> </w:t>
      </w:r>
      <w:r w:rsidR="00C96F2E">
        <w:t xml:space="preserve">Bonaventura vytvořil </w:t>
      </w:r>
      <w:r w:rsidR="00C96F2E" w:rsidRPr="00C96F2E">
        <w:rPr>
          <w:i/>
        </w:rPr>
        <w:t>ex nihilo</w:t>
      </w:r>
      <w:r w:rsidR="00C96F2E">
        <w:t xml:space="preserve"> minimální a absolutně jisté jsoucno (Rufusovo „</w:t>
      </w:r>
      <w:r w:rsidR="00C96F2E" w:rsidRPr="00C96F2E">
        <w:rPr>
          <w:i/>
        </w:rPr>
        <w:t>scibile</w:t>
      </w:r>
      <w:r w:rsidR="00C96F2E">
        <w:t xml:space="preserve">“), které určil skrze matematickou predikaci. Pak toto </w:t>
      </w:r>
      <w:r w:rsidR="00C96F2E" w:rsidRPr="00C96F2E">
        <w:rPr>
          <w:i/>
        </w:rPr>
        <w:t>scibile</w:t>
      </w:r>
      <w:r w:rsidR="00C96F2E">
        <w:t xml:space="preserve"> vzal a přidal k němu stejně mytologickou materii danou jako essenci (Rufusovo „</w:t>
      </w:r>
      <w:r w:rsidR="00C96F2E" w:rsidRPr="00C96F2E">
        <w:rPr>
          <w:i/>
        </w:rPr>
        <w:t>concretum</w:t>
      </w:r>
      <w:r w:rsidR="00C96F2E">
        <w:t>“). Výsledkem je nové hylemorfické jsoucno třetího druhu (Rufusovo „</w:t>
      </w:r>
      <w:r w:rsidR="00C96F2E" w:rsidRPr="00C96F2E">
        <w:rPr>
          <w:i/>
        </w:rPr>
        <w:t>species obiecti existentis</w:t>
      </w:r>
      <w:r w:rsidR="00C96F2E">
        <w:t xml:space="preserve">“), které má Bonaventura jako objektivní matematizovanou substanci. </w:t>
      </w:r>
      <w:r>
        <w:t xml:space="preserve">Toto individuální a konkrétní numerické </w:t>
      </w:r>
      <w:r w:rsidRPr="00C73BBC">
        <w:rPr>
          <w:i/>
        </w:rPr>
        <w:t>unum</w:t>
      </w:r>
      <w:r w:rsidR="00C96F2E">
        <w:t xml:space="preserve"> jako substance tím zapadlo </w:t>
      </w:r>
      <w:r w:rsidRPr="00273106">
        <w:t>do objektivní struktury reality vytvořené Rufusem</w:t>
      </w:r>
      <w:r>
        <w:t xml:space="preserve"> v díle </w:t>
      </w:r>
      <w:r w:rsidRPr="00216A84">
        <w:rPr>
          <w:i/>
        </w:rPr>
        <w:t>Speculum animae</w:t>
      </w:r>
      <w:r w:rsidRPr="00273106">
        <w:t>.</w:t>
      </w:r>
      <w:r>
        <w:t xml:space="preserve"> Původní zdroj spojení </w:t>
      </w:r>
      <w:r w:rsidRPr="008B2EA6">
        <w:rPr>
          <w:i/>
        </w:rPr>
        <w:t>materia prima</w:t>
      </w:r>
      <w:r>
        <w:rPr>
          <w:i/>
        </w:rPr>
        <w:fldChar w:fldCharType="begin"/>
      </w:r>
      <w:r>
        <w:instrText xml:space="preserve"> XE "</w:instrText>
      </w:r>
      <w:r w:rsidRPr="08D704BF">
        <w:instrText>materie</w:instrText>
      </w:r>
      <w:r>
        <w:rPr>
          <w:i/>
        </w:rPr>
        <w:instrText xml:space="preserve">:materia </w:instrText>
      </w:r>
      <w:r w:rsidRPr="006D194D">
        <w:rPr>
          <w:i/>
        </w:rPr>
        <w:instrText>prima</w:instrText>
      </w:r>
      <w:r>
        <w:instrText xml:space="preserve">" </w:instrText>
      </w:r>
      <w:r>
        <w:rPr>
          <w:i/>
        </w:rPr>
        <w:fldChar w:fldCharType="end"/>
      </w:r>
      <w:r>
        <w:t xml:space="preserve"> jako čisté potence dané substanciálně našel druhý averroismus skrze avicennistický výklad spisu </w:t>
      </w:r>
      <w:r>
        <w:rPr>
          <w:i/>
        </w:rPr>
        <w:t>De substantia o</w:t>
      </w:r>
      <w:r w:rsidRPr="00B57122">
        <w:rPr>
          <w:i/>
        </w:rPr>
        <w:t>rbis</w:t>
      </w:r>
      <w:r w:rsidRPr="0882713E">
        <w:t xml:space="preserve"> </w:t>
      </w:r>
      <w:r>
        <w:t>daném v korpusu Toledské školy.</w:t>
      </w:r>
      <w:r w:rsidRPr="00273106">
        <w:rPr>
          <w:rStyle w:val="Znakapoznpodarou"/>
        </w:rPr>
        <w:footnoteReference w:id="23"/>
      </w:r>
      <w:r>
        <w:t xml:space="preserve"> Poslední diference na úrovni čisté </w:t>
      </w:r>
      <w:r w:rsidRPr="000825A3">
        <w:rPr>
          <w:i/>
        </w:rPr>
        <w:t>materia prima</w:t>
      </w:r>
      <w:r>
        <w:t xml:space="preserve"> už má pro modernisty z hlediska určení látky substanciální charakter</w:t>
      </w:r>
      <w:r w:rsidR="00345A0C">
        <w:t>. Primární materie je porretánskou</w:t>
      </w:r>
      <w:r>
        <w:t xml:space="preserve"> hypostází</w:t>
      </w:r>
      <w:r w:rsidR="00CD7A32">
        <w:t xml:space="preserve">. </w:t>
      </w:r>
      <w:r w:rsidR="00CD7A32" w:rsidRPr="00CD7A32">
        <w:t>Toto ind</w:t>
      </w:r>
      <w:r w:rsidR="00CD7A32">
        <w:t xml:space="preserve">ividuum nabízí svou podstatu k „materiálnímu“ a tedy potenciálnímu </w:t>
      </w:r>
      <w:r w:rsidR="00CD7A32" w:rsidRPr="00CD7A32">
        <w:t>dělení</w:t>
      </w:r>
      <w:r w:rsidR="00345A0C">
        <w:t xml:space="preserve"> </w:t>
      </w:r>
      <w:r>
        <w:t>(</w:t>
      </w:r>
      <w:r w:rsidR="00CD7A32">
        <w:t>„</w:t>
      </w:r>
      <w:r w:rsidRPr="000825A3">
        <w:rPr>
          <w:i/>
        </w:rPr>
        <w:t xml:space="preserve">being potential is the essential differentia of </w:t>
      </w:r>
      <w:proofErr w:type="gramStart"/>
      <w:r w:rsidRPr="000825A3">
        <w:rPr>
          <w:i/>
        </w:rPr>
        <w:t>prime</w:t>
      </w:r>
      <w:proofErr w:type="gramEnd"/>
      <w:r w:rsidRPr="000825A3">
        <w:rPr>
          <w:i/>
        </w:rPr>
        <w:t xml:space="preserve"> matter</w:t>
      </w:r>
      <w:r w:rsidR="00CD7A32">
        <w:t>“</w:t>
      </w:r>
      <w:r>
        <w:t xml:space="preserve">). Materie </w:t>
      </w:r>
      <w:r w:rsidR="08294573">
        <w:t xml:space="preserve">byla individualizována a </w:t>
      </w:r>
      <w:r>
        <w:t xml:space="preserve">definuje </w:t>
      </w:r>
      <w:r w:rsidR="08294573">
        <w:t xml:space="preserve">se </w:t>
      </w:r>
      <w:r>
        <w:t xml:space="preserve">v ontoteologickém scénáři stvoření </w:t>
      </w:r>
      <w:r w:rsidRPr="00FF528A">
        <w:rPr>
          <w:i/>
        </w:rPr>
        <w:t>ex nihilo</w:t>
      </w:r>
      <w:r>
        <w:t xml:space="preserve">, tedy pouze </w:t>
      </w:r>
      <w:r w:rsidR="0006129A">
        <w:t xml:space="preserve">skrze diferenci vzhledem </w:t>
      </w:r>
      <w:r>
        <w:t xml:space="preserve">k nicotě. </w:t>
      </w:r>
      <w:r w:rsidRPr="00273106">
        <w:t xml:space="preserve">Bonaventura zdůrazňuje, že na rozdíl od rodu a druhu </w:t>
      </w:r>
      <w:r>
        <w:t>daného v rámci klasické substance</w:t>
      </w:r>
      <w:r>
        <w:fldChar w:fldCharType="begin"/>
      </w:r>
      <w:r>
        <w:instrText xml:space="preserve"> XE "</w:instrText>
      </w:r>
      <w:r w:rsidRPr="00DE2A32">
        <w:instrText>substance</w:instrText>
      </w:r>
      <w:r>
        <w:instrText xml:space="preserve">:objektivní" </w:instrText>
      </w:r>
      <w:r>
        <w:fldChar w:fldCharType="end"/>
      </w:r>
      <w:r>
        <w:t xml:space="preserve"> </w:t>
      </w:r>
      <w:r w:rsidRPr="00273106">
        <w:t xml:space="preserve">je materie ve své podstatě jen čistou </w:t>
      </w:r>
      <w:r>
        <w:t xml:space="preserve">esenciální </w:t>
      </w:r>
      <w:r w:rsidRPr="00273106">
        <w:t>potencí (</w:t>
      </w:r>
      <w:r w:rsidRPr="00273106">
        <w:rPr>
          <w:i/>
        </w:rPr>
        <w:t>per sui essentiam nullum habet actum</w:t>
      </w:r>
      <w:r w:rsidRPr="00273106">
        <w:t xml:space="preserve">). </w:t>
      </w:r>
      <w:r>
        <w:t>Logické odloučení od nicoty</w:t>
      </w:r>
      <w:r w:rsidR="00841FA0">
        <w:t xml:space="preserve"> v</w:t>
      </w:r>
      <w:r w:rsidR="00E93AB3">
        <w:t xml:space="preserve">ytváří </w:t>
      </w:r>
      <w:r w:rsidR="0091701D">
        <w:t>konečné pořadí v rámci Porfý</w:t>
      </w:r>
      <w:r>
        <w:t>riova stromu univerzálií</w:t>
      </w:r>
      <w:r w:rsidR="00E93AB3">
        <w:t xml:space="preserve">. První materie je poslední </w:t>
      </w:r>
      <w:r>
        <w:t>porretánské</w:t>
      </w:r>
      <w:r w:rsidR="00E93AB3">
        <w:t xml:space="preserve"> individuum jako „</w:t>
      </w:r>
      <w:r w:rsidR="00E93AB3" w:rsidRPr="00E93AB3">
        <w:rPr>
          <w:i/>
        </w:rPr>
        <w:t>unum</w:t>
      </w:r>
      <w:r w:rsidR="00E93AB3">
        <w:t xml:space="preserve">“. Tím je primární materie definována </w:t>
      </w:r>
      <w:r>
        <w:t xml:space="preserve">numericky </w:t>
      </w:r>
      <w:r w:rsidR="00E93AB3">
        <w:t>jako atomární substance</w:t>
      </w:r>
      <w:r w:rsidR="00F443FE">
        <w:t xml:space="preserve"> a </w:t>
      </w:r>
      <w:r w:rsidR="00737F18">
        <w:t>j</w:t>
      </w:r>
      <w:r>
        <w:t>e nahlížena v modu matematické abstrakce</w:t>
      </w:r>
      <w:r>
        <w:fldChar w:fldCharType="begin"/>
      </w:r>
      <w:r>
        <w:instrText xml:space="preserve"> XE "</w:instrText>
      </w:r>
      <w:r w:rsidRPr="00A824F0">
        <w:instrText>abstrakce:matematická</w:instrText>
      </w:r>
      <w:r>
        <w:instrText xml:space="preserve">" </w:instrText>
      </w:r>
      <w:r>
        <w:fldChar w:fldCharType="end"/>
      </w:r>
      <w:r>
        <w:t xml:space="preserve"> jako </w:t>
      </w:r>
      <w:r w:rsidRPr="00273106">
        <w:t>numericky jednotná (</w:t>
      </w:r>
      <w:r w:rsidRPr="00273106">
        <w:rPr>
          <w:i/>
        </w:rPr>
        <w:t>est una numero</w:t>
      </w:r>
      <w:r w:rsidRPr="00273106">
        <w:t>).</w:t>
      </w:r>
      <w:r>
        <w:t xml:space="preserve"> </w:t>
      </w:r>
      <w:r w:rsidRPr="00273106">
        <w:t xml:space="preserve">Sama o sobě je objektivní materie nedokonalou jednotou čisté </w:t>
      </w:r>
      <w:r w:rsidRPr="00273106">
        <w:lastRenderedPageBreak/>
        <w:t>potence, proto ji Bonaventura</w:t>
      </w:r>
      <w:r w:rsidRPr="00273106">
        <w:rPr>
          <w:b/>
        </w:rPr>
        <w:t xml:space="preserve"> </w:t>
      </w:r>
      <w:r w:rsidRPr="00273106">
        <w:t xml:space="preserve">určuje jako </w:t>
      </w:r>
      <w:r w:rsidRPr="00273106">
        <w:rPr>
          <w:i/>
        </w:rPr>
        <w:t>medium</w:t>
      </w:r>
      <w:r w:rsidRPr="00273106">
        <w:t xml:space="preserve"> mezi bytím a nebytím.</w:t>
      </w:r>
      <w:r>
        <w:rPr>
          <w:rStyle w:val="Znakapoznpodarou"/>
        </w:rPr>
        <w:footnoteReference w:id="24"/>
      </w:r>
      <w:r>
        <w:t xml:space="preserve">  Primární materie </w:t>
      </w:r>
      <w:r w:rsidRPr="00273106">
        <w:t xml:space="preserve">je esenciálně jedna, což vytváří jak jednotu </w:t>
      </w:r>
      <w:r>
        <w:t>signifikace, tak i metafyzické určení substance</w:t>
      </w:r>
      <w:r w:rsidRPr="00273106">
        <w:t xml:space="preserve">. </w:t>
      </w:r>
      <w:r w:rsidR="0091701D" w:rsidRPr="00273106">
        <w:t xml:space="preserve">Logickým oddělením od nejsoucna </w:t>
      </w:r>
      <w:r w:rsidR="0091701D">
        <w:t xml:space="preserve">v rámci věty o vyloučeném třetím </w:t>
      </w:r>
      <w:r w:rsidR="0091701D" w:rsidRPr="00273106">
        <w:t>dostala materie třetího druhu základní ontologickou konsistenci</w:t>
      </w:r>
      <w:r w:rsidR="0091701D">
        <w:t xml:space="preserve"> danou v modu matematické abstrakce a poslední jednoty. </w:t>
      </w:r>
      <w:r w:rsidRPr="00273106">
        <w:t>Materie je definov</w:t>
      </w:r>
      <w:r>
        <w:t xml:space="preserve">ána v Bonaventurově škole plně </w:t>
      </w:r>
      <w:r w:rsidRPr="00273106">
        <w:rPr>
          <w:i/>
        </w:rPr>
        <w:t>indeterminate</w:t>
      </w:r>
      <w:r w:rsidRPr="00273106">
        <w:t xml:space="preserve"> s minimální porcí jsoucnosti oddělené pouze od nicoty</w:t>
      </w:r>
      <w:r>
        <w:t xml:space="preserve"> (</w:t>
      </w:r>
      <w:r w:rsidRPr="08064B4B">
        <w:rPr>
          <w:i/>
          <w:szCs w:val="14"/>
        </w:rPr>
        <w:t xml:space="preserve">medium </w:t>
      </w:r>
      <w:r w:rsidRPr="08064B4B">
        <w:rPr>
          <w:i/>
          <w:szCs w:val="11"/>
        </w:rPr>
        <w:t xml:space="preserve">inter </w:t>
      </w:r>
      <w:r w:rsidRPr="08064B4B">
        <w:rPr>
          <w:i/>
          <w:szCs w:val="12"/>
        </w:rPr>
        <w:t xml:space="preserve">aliquid </w:t>
      </w:r>
      <w:r w:rsidRPr="08064B4B">
        <w:rPr>
          <w:i/>
          <w:szCs w:val="11"/>
        </w:rPr>
        <w:t>et nihil</w:t>
      </w:r>
      <w:r>
        <w:t>)</w:t>
      </w:r>
      <w:r w:rsidRPr="00273106">
        <w:t>.</w:t>
      </w:r>
      <w:r w:rsidRPr="00273106">
        <w:rPr>
          <w:rStyle w:val="Znakapoznpodarou"/>
        </w:rPr>
        <w:footnoteReference w:id="25"/>
      </w:r>
      <w:r>
        <w:t xml:space="preserve">  </w:t>
      </w:r>
      <w:r w:rsidR="00583C5A" w:rsidRPr="00583C5A">
        <w:t xml:space="preserve">V Bonaventurově komentáři k Sentencím dostala Augustinova </w:t>
      </w:r>
      <w:r w:rsidR="00583C5A">
        <w:t xml:space="preserve">materie nové </w:t>
      </w:r>
      <w:r w:rsidR="00583C5A" w:rsidRPr="00583C5A">
        <w:t>určení</w:t>
      </w:r>
      <w:r w:rsidR="00583C5A">
        <w:t xml:space="preserve"> jsoucna </w:t>
      </w:r>
      <w:r w:rsidR="00583C5A" w:rsidRPr="00583C5A">
        <w:t xml:space="preserve">třetího druhu. Toto kvantum objektivně subsistující </w:t>
      </w:r>
      <w:r w:rsidR="005A13A0">
        <w:t>esence</w:t>
      </w:r>
      <w:r w:rsidR="00583C5A" w:rsidRPr="00583C5A">
        <w:t xml:space="preserve"> je konkrétně a individuálně určeno pouze svým vztahem k čisté nicotě. Připomeňme, že takové určení </w:t>
      </w:r>
      <w:r w:rsidR="005269BD">
        <w:t>esence</w:t>
      </w:r>
      <w:r w:rsidR="00583C5A" w:rsidRPr="00583C5A">
        <w:t xml:space="preserve"> bylo provedeno v rámci </w:t>
      </w:r>
      <w:r w:rsidR="005269BD">
        <w:t xml:space="preserve">moderní </w:t>
      </w:r>
      <w:r w:rsidR="00583C5A" w:rsidRPr="00583C5A">
        <w:t>fyziky, která byla vypracována v neoplatonských školách (OBJ I, kap. 1.3.3). Bonaventura vytvořil první kvantovou teorii západního nihilismu tím, že v</w:t>
      </w:r>
      <w:r w:rsidR="000E46F8">
        <w:t>ytvořil logicky determinovanou „substanci“</w:t>
      </w:r>
      <w:r w:rsidR="00583C5A" w:rsidRPr="00583C5A">
        <w:t>. Toto kvantum mytologické hmoty, které je neomezené a definované mate</w:t>
      </w:r>
      <w:r w:rsidR="000E46F8">
        <w:t>matickou analogií, bylo prvním „</w:t>
      </w:r>
      <w:r w:rsidR="000E46F8" w:rsidRPr="000E46F8">
        <w:rPr>
          <w:i/>
        </w:rPr>
        <w:t>ens ratum</w:t>
      </w:r>
      <w:r w:rsidR="000E46F8">
        <w:rPr>
          <w:i/>
        </w:rPr>
        <w:fldChar w:fldCharType="begin"/>
      </w:r>
      <w:r w:rsidR="000E46F8">
        <w:instrText xml:space="preserve"> XE "</w:instrText>
      </w:r>
      <w:r w:rsidR="000E46F8" w:rsidRPr="00AA0A4F">
        <w:rPr>
          <w:i/>
        </w:rPr>
        <w:instrText>ens ratum</w:instrText>
      </w:r>
      <w:r w:rsidR="000E46F8">
        <w:instrText xml:space="preserve">" </w:instrText>
      </w:r>
      <w:r w:rsidR="000E46F8">
        <w:rPr>
          <w:i/>
        </w:rPr>
        <w:fldChar w:fldCharType="end"/>
      </w:r>
      <w:r w:rsidR="000E46F8">
        <w:t>“</w:t>
      </w:r>
      <w:r w:rsidR="00583C5A" w:rsidRPr="00583C5A">
        <w:t xml:space="preserve"> moderní fyziky.</w:t>
      </w:r>
    </w:p>
    <w:p w:rsidR="002E2205" w:rsidRDefault="08163013" w:rsidP="000E46F8">
      <w:pPr>
        <w:ind w:firstLine="397"/>
      </w:pPr>
      <w:r w:rsidRPr="00273106">
        <w:t xml:space="preserve">Definici materie jako minimální porce jsoucnosti </w:t>
      </w:r>
      <w:r>
        <w:t xml:space="preserve">Bonaventurovi žáci </w:t>
      </w:r>
      <w:r w:rsidRPr="00273106">
        <w:t>napojili nejen na Augustina, ale i na Aristotela.</w:t>
      </w:r>
      <w:r>
        <w:t xml:space="preserve"> </w:t>
      </w:r>
      <w:r w:rsidRPr="00273106">
        <w:t>Nihilismus západní metafyziky začíná u Bonaventury, což dokazuje scholion přidané k</w:t>
      </w:r>
      <w:r w:rsidR="002A2937">
        <w:t xml:space="preserve"> původnímu </w:t>
      </w:r>
      <w:r w:rsidRPr="00273106">
        <w:t>textu.</w:t>
      </w:r>
      <w:r w:rsidRPr="00273106">
        <w:rPr>
          <w:rStyle w:val="Znakapoznpodarou"/>
        </w:rPr>
        <w:footnoteReference w:id="26"/>
      </w:r>
      <w:r w:rsidRPr="00273106">
        <w:t xml:space="preserve"> </w:t>
      </w:r>
      <w:r w:rsidR="009E302C">
        <w:t xml:space="preserve">Nihilistická, ale substanční </w:t>
      </w:r>
      <w:r>
        <w:t xml:space="preserve">materie </w:t>
      </w:r>
      <w:r w:rsidR="009E302C">
        <w:t xml:space="preserve">se </w:t>
      </w:r>
      <w:r w:rsidR="001B7D66">
        <w:t>stala středním</w:t>
      </w:r>
      <w:r>
        <w:t xml:space="preserve"> člen</w:t>
      </w:r>
      <w:r w:rsidR="009E302C">
        <w:t>em</w:t>
      </w:r>
      <w:r>
        <w:t xml:space="preserve"> </w:t>
      </w:r>
      <w:r w:rsidR="009E302C">
        <w:t>(</w:t>
      </w:r>
      <w:r w:rsidR="009E302C" w:rsidRPr="009E302C">
        <w:rPr>
          <w:i/>
        </w:rPr>
        <w:t>medium</w:t>
      </w:r>
      <w:r w:rsidR="009E302C">
        <w:t xml:space="preserve">) </w:t>
      </w:r>
      <w:r>
        <w:t xml:space="preserve">vědeckého soudu </w:t>
      </w:r>
      <w:r w:rsidR="009E302C">
        <w:t xml:space="preserve">vytvořeného </w:t>
      </w:r>
      <w:r>
        <w:t xml:space="preserve">v modu </w:t>
      </w:r>
      <w:r w:rsidRPr="08064B4B">
        <w:rPr>
          <w:i/>
        </w:rPr>
        <w:t>Oxfordian Fallacy</w:t>
      </w:r>
      <w:r>
        <w:t xml:space="preserve">. Materie vzatá jako čistá esence tvoří objektivní </w:t>
      </w:r>
      <w:r w:rsidRPr="008E0311">
        <w:rPr>
          <w:i/>
        </w:rPr>
        <w:t>medium</w:t>
      </w:r>
      <w:r>
        <w:rPr>
          <w:i/>
        </w:rPr>
        <w:fldChar w:fldCharType="begin"/>
      </w:r>
      <w:r>
        <w:instrText xml:space="preserve"> XE "</w:instrText>
      </w:r>
      <w:r w:rsidRPr="001618A5">
        <w:rPr>
          <w:i/>
        </w:rPr>
        <w:instrText>medium:</w:instrText>
      </w:r>
      <w:r w:rsidRPr="00334908">
        <w:instrText>Bonaventura</w:instrText>
      </w:r>
      <w:r>
        <w:instrText xml:space="preserve">" </w:instrText>
      </w:r>
      <w:r>
        <w:rPr>
          <w:i/>
        </w:rPr>
        <w:fldChar w:fldCharType="end"/>
      </w:r>
      <w:r>
        <w:t xml:space="preserve"> mezi jsoucnem a nejsoucnem, protože má absolutně minimální jsoucnost zajištěnou logicky a tím zcela nepochybně (</w:t>
      </w:r>
      <w:r w:rsidRPr="00F304A4">
        <w:rPr>
          <w:i/>
        </w:rPr>
        <w:t>ens ratum</w:t>
      </w:r>
      <w:r>
        <w:rPr>
          <w:i/>
        </w:rPr>
        <w:fldChar w:fldCharType="begin"/>
      </w:r>
      <w:r>
        <w:instrText xml:space="preserve"> XE "</w:instrText>
      </w:r>
      <w:r w:rsidRPr="00B2798F">
        <w:rPr>
          <w:rStyle w:val="addmd"/>
          <w:i/>
        </w:rPr>
        <w:instrText>ens ratum:</w:instrText>
      </w:r>
      <w:r w:rsidRPr="00334908">
        <w:rPr>
          <w:rStyle w:val="addmd"/>
        </w:rPr>
        <w:instrText>Bonaventura</w:instrText>
      </w:r>
      <w:r>
        <w:instrText xml:space="preserve">" </w:instrText>
      </w:r>
      <w:r>
        <w:rPr>
          <w:i/>
        </w:rPr>
        <w:fldChar w:fldCharType="end"/>
      </w:r>
      <w:r>
        <w:t xml:space="preserve">). Bonaventura zakládá postmoderní nihilistickou metafyziku, v níž je určení jsoucna jako </w:t>
      </w:r>
      <w:r w:rsidRPr="08F070F7">
        <w:rPr>
          <w:i/>
        </w:rPr>
        <w:t>ens ratum</w:t>
      </w:r>
      <w:r>
        <w:t xml:space="preserve"> nepochybně zajištěno pohybem pouhé logické diference dané rozdílem mezi </w:t>
      </w:r>
      <w:r w:rsidR="005F37D0">
        <w:t>„</w:t>
      </w:r>
      <w:r w:rsidR="005F37D0">
        <w:rPr>
          <w:i/>
        </w:rPr>
        <w:t>aliqui</w:t>
      </w:r>
      <w:r w:rsidRPr="083B6DC8">
        <w:rPr>
          <w:i/>
        </w:rPr>
        <w:t>d</w:t>
      </w:r>
      <w:r w:rsidR="005F37D0">
        <w:t>“</w:t>
      </w:r>
      <w:r>
        <w:t xml:space="preserve"> a </w:t>
      </w:r>
      <w:r w:rsidR="005F37D0">
        <w:t>„</w:t>
      </w:r>
      <w:r w:rsidRPr="083B6DC8">
        <w:rPr>
          <w:i/>
        </w:rPr>
        <w:t>nihil</w:t>
      </w:r>
      <w:r w:rsidR="005F37D0">
        <w:t>“</w:t>
      </w:r>
      <w:r>
        <w:t>. Podobně „materiálním“ způsobem definuje nihilistický metafyzik Derrida</w:t>
      </w:r>
      <w:r w:rsidR="089049B1">
        <w:fldChar w:fldCharType="begin"/>
      </w:r>
      <w:r w:rsidR="089049B1">
        <w:instrText xml:space="preserve"> XE "</w:instrText>
      </w:r>
      <w:r w:rsidR="089049B1" w:rsidRPr="080C288E">
        <w:instrText>Derrida, J.</w:instrText>
      </w:r>
      <w:r w:rsidR="089049B1">
        <w:instrText xml:space="preserve">" </w:instrText>
      </w:r>
      <w:r w:rsidR="089049B1">
        <w:fldChar w:fldCharType="end"/>
      </w:r>
      <w:r>
        <w:t xml:space="preserve"> současnou </w:t>
      </w:r>
      <w:r>
        <w:lastRenderedPageBreak/>
        <w:t xml:space="preserve">formu </w:t>
      </w:r>
      <w:r w:rsidRPr="0081249E">
        <w:t>poznání</w:t>
      </w:r>
      <w:r>
        <w:t xml:space="preserve">. Objektivní význam daný </w:t>
      </w:r>
      <w:r w:rsidRPr="00B13613">
        <w:rPr>
          <w:i/>
        </w:rPr>
        <w:t>ex nihilo</w:t>
      </w:r>
      <w:r>
        <w:rPr>
          <w:i/>
        </w:rPr>
        <w:fldChar w:fldCharType="begin"/>
      </w:r>
      <w:r>
        <w:instrText xml:space="preserve"> XE "</w:instrText>
      </w:r>
      <w:r w:rsidRPr="00953CD8">
        <w:rPr>
          <w:i/>
        </w:rPr>
        <w:instrText>creatio ex nihilo</w:instrText>
      </w:r>
      <w:r>
        <w:instrText xml:space="preserve">" </w:instrText>
      </w:r>
      <w:r>
        <w:rPr>
          <w:i/>
        </w:rPr>
        <w:fldChar w:fldCharType="end"/>
      </w:r>
      <w:r>
        <w:t xml:space="preserve"> </w:t>
      </w:r>
      <w:r w:rsidR="085B4E4D">
        <w:t xml:space="preserve">vzniká </w:t>
      </w:r>
      <w:r>
        <w:t xml:space="preserve">pouhým pohybem </w:t>
      </w:r>
      <w:r w:rsidRPr="003E6FD4">
        <w:rPr>
          <w:i/>
        </w:rPr>
        <w:t>différance</w:t>
      </w:r>
      <w:r>
        <w:rPr>
          <w:i/>
        </w:rPr>
        <w:fldChar w:fldCharType="begin"/>
      </w:r>
      <w:r>
        <w:instrText xml:space="preserve"> XE "</w:instrText>
      </w:r>
      <w:r w:rsidRPr="00186FE1">
        <w:rPr>
          <w:i/>
        </w:rPr>
        <w:instrText>différance</w:instrText>
      </w:r>
      <w:r>
        <w:instrText xml:space="preserve">" </w:instrText>
      </w:r>
      <w:r>
        <w:rPr>
          <w:i/>
        </w:rPr>
        <w:fldChar w:fldCharType="end"/>
      </w:r>
      <w:r>
        <w:t xml:space="preserve"> vzaté v avicennovském náhledu </w:t>
      </w:r>
      <w:r w:rsidRPr="003E6FD4">
        <w:rPr>
          <w:i/>
        </w:rPr>
        <w:t>hoc esse tantum</w:t>
      </w:r>
      <w:r>
        <w:t xml:space="preserve">. Nové určení materie a věci skrze primární diferenci od nicoty založilo </w:t>
      </w:r>
      <w:r w:rsidRPr="00273106">
        <w:t xml:space="preserve">mix čisté možnosti a </w:t>
      </w:r>
      <w:r>
        <w:t xml:space="preserve">zvláštní formy substanční </w:t>
      </w:r>
      <w:r w:rsidRPr="00273106">
        <w:t xml:space="preserve">aktuality dané mimo </w:t>
      </w:r>
      <w:r>
        <w:t xml:space="preserve">Aristotelovu </w:t>
      </w:r>
      <w:r w:rsidRPr="00273106">
        <w:t xml:space="preserve">první substanci. </w:t>
      </w:r>
      <w:r>
        <w:t>Kombinace m</w:t>
      </w:r>
      <w:r w:rsidRPr="00273106">
        <w:t>aterie</w:t>
      </w:r>
      <w:r>
        <w:t>, věci, čísla a prvního jsoucna</w:t>
      </w:r>
      <w:r w:rsidRPr="00273106">
        <w:t xml:space="preserve"> je v</w:t>
      </w:r>
      <w:r>
        <w:t xml:space="preserve"> této sféře </w:t>
      </w:r>
      <w:r w:rsidRPr="00273106">
        <w:t xml:space="preserve">minimální jsoucnosti jedna, formálně jednoduchá, homogenní. A hlavně je esenciálně nekonečná </w:t>
      </w:r>
      <w:r>
        <w:t xml:space="preserve">ze sebe samotné </w:t>
      </w:r>
      <w:r w:rsidRPr="00273106">
        <w:t>(</w:t>
      </w:r>
      <w:r w:rsidRPr="00273106">
        <w:rPr>
          <w:i/>
        </w:rPr>
        <w:t>de se est infinita</w:t>
      </w:r>
      <w:r w:rsidRPr="00273106">
        <w:t>)</w:t>
      </w:r>
      <w:r>
        <w:t xml:space="preserve">, a proto </w:t>
      </w:r>
      <w:r w:rsidRPr="00273106">
        <w:t>je schopná přijmout libovolná formální určení (</w:t>
      </w:r>
      <w:r w:rsidRPr="00273106">
        <w:rPr>
          <w:i/>
        </w:rPr>
        <w:t>ad formas infinitas</w:t>
      </w:r>
      <w:r w:rsidRPr="00273106">
        <w:t>).</w:t>
      </w:r>
      <w:r>
        <w:rPr>
          <w:rStyle w:val="Znakapoznpodarou"/>
        </w:rPr>
        <w:footnoteReference w:id="27"/>
      </w:r>
      <w:r w:rsidRPr="00273106">
        <w:t xml:space="preserve"> Citov</w:t>
      </w:r>
      <w:r>
        <w:t xml:space="preserve">aná definice materie třetího druhu v termínu </w:t>
      </w:r>
      <w:r w:rsidR="009A61B1">
        <w:t>„</w:t>
      </w:r>
      <w:r w:rsidRPr="00273106">
        <w:rPr>
          <w:i/>
        </w:rPr>
        <w:t>de se est infinita</w:t>
      </w:r>
      <w:r w:rsidR="004E365D">
        <w:t>“</w:t>
      </w:r>
      <w:r>
        <w:t xml:space="preserve"> založila formálně-objektivní</w:t>
      </w:r>
      <w:r w:rsidRPr="00273106">
        <w:t xml:space="preserve"> </w:t>
      </w:r>
      <w:r>
        <w:t xml:space="preserve">pojem </w:t>
      </w:r>
      <w:r w:rsidRPr="00273106">
        <w:t xml:space="preserve">nekonečnosti </w:t>
      </w:r>
      <w:r>
        <w:fldChar w:fldCharType="begin"/>
      </w:r>
      <w:r>
        <w:instrText xml:space="preserve"> XE "objektivita:nekonečné univerzum" </w:instrText>
      </w:r>
      <w:r>
        <w:fldChar w:fldCharType="end"/>
      </w:r>
      <w:r>
        <w:t>nezbytný</w:t>
      </w:r>
      <w:r w:rsidRPr="00273106">
        <w:t xml:space="preserve"> pro západní vědu</w:t>
      </w:r>
      <w:r>
        <w:fldChar w:fldCharType="begin"/>
      </w:r>
      <w:r>
        <w:instrText xml:space="preserve"> XE "</w:instrText>
      </w:r>
      <w:r w:rsidRPr="007269EB">
        <w:instrText>materie:objektivní</w:instrText>
      </w:r>
      <w:r>
        <w:instrText xml:space="preserve">" </w:instrText>
      </w:r>
      <w:r>
        <w:fldChar w:fldCharType="end"/>
      </w:r>
      <w:r w:rsidRPr="00273106">
        <w:t>.</w:t>
      </w:r>
      <w:r>
        <w:t xml:space="preserve"> Moderní idea nekonečnosti vznikla kolem 1250 ve druhém averroismu díky modernímu pojetí materie jako univočně pojatého jsoucna třetího druhu daného v rámci matematické abstrakce</w:t>
      </w:r>
      <w:r>
        <w:fldChar w:fldCharType="begin"/>
      </w:r>
      <w:r>
        <w:instrText xml:space="preserve"> XE "</w:instrText>
      </w:r>
      <w:r w:rsidRPr="00A824F0">
        <w:instrText>abstrakce:matematická</w:instrText>
      </w:r>
      <w:r>
        <w:instrText xml:space="preserve">" </w:instrText>
      </w:r>
      <w:r>
        <w:fldChar w:fldCharType="end"/>
      </w:r>
      <w:r>
        <w:t xml:space="preserve"> (Grosseteste, Rufus, Bonaventura). Bonaventurova m</w:t>
      </w:r>
      <w:r w:rsidRPr="00273106">
        <w:t>aterie</w:t>
      </w:r>
      <w:r>
        <w:fldChar w:fldCharType="begin"/>
      </w:r>
      <w:r>
        <w:instrText xml:space="preserve"> XE "</w:instrText>
      </w:r>
      <w:r w:rsidRPr="00FB2F41">
        <w:instrText>materie:Bonaventura</w:instrText>
      </w:r>
      <w:r>
        <w:instrText xml:space="preserve">" </w:instrText>
      </w:r>
      <w:r>
        <w:fldChar w:fldCharType="end"/>
      </w:r>
      <w:r w:rsidRPr="00273106">
        <w:t xml:space="preserve"> definovaná v podobě esence třetího druhu a čisté </w:t>
      </w:r>
      <w:r w:rsidR="004641AF">
        <w:t xml:space="preserve">hypostázované </w:t>
      </w:r>
      <w:r w:rsidRPr="00273106">
        <w:t xml:space="preserve">potence je nedělitelná, věčná ve smyslu absence vznikání a zanikání, homogenní, nekompletně jednotná (Krause 1888, 7‒12). Díky </w:t>
      </w:r>
      <w:r>
        <w:t xml:space="preserve">této </w:t>
      </w:r>
      <w:r w:rsidRPr="00273106">
        <w:t xml:space="preserve">fundamentální </w:t>
      </w:r>
      <w:r>
        <w:t xml:space="preserve">fratiškánské </w:t>
      </w:r>
      <w:r w:rsidRPr="00273106">
        <w:t xml:space="preserve">chudobě dané mimo jakékoliv </w:t>
      </w:r>
      <w:r w:rsidR="00C3219B">
        <w:t xml:space="preserve">vnější </w:t>
      </w:r>
      <w:r w:rsidRPr="00273106">
        <w:t xml:space="preserve">určení čeká tato </w:t>
      </w:r>
      <w:r w:rsidR="00C3219B">
        <w:t>„</w:t>
      </w:r>
      <w:r w:rsidRPr="0070732D">
        <w:rPr>
          <w:i/>
        </w:rPr>
        <w:t>materia spiritualis</w:t>
      </w:r>
      <w:r w:rsidR="00C3219B">
        <w:t>“</w:t>
      </w:r>
      <w:r>
        <w:rPr>
          <w:i/>
        </w:rPr>
        <w:fldChar w:fldCharType="begin"/>
      </w:r>
      <w:r>
        <w:instrText xml:space="preserve"> XE "</w:instrText>
      </w:r>
      <w:r w:rsidRPr="08A516BF">
        <w:instrText>materie</w:instrText>
      </w:r>
      <w:r>
        <w:rPr>
          <w:i/>
        </w:rPr>
        <w:instrText xml:space="preserve">:materia </w:instrText>
      </w:r>
      <w:r w:rsidRPr="00612581">
        <w:rPr>
          <w:i/>
        </w:rPr>
        <w:instrText>spiritualis</w:instrText>
      </w:r>
      <w:r>
        <w:instrText xml:space="preserve">" </w:instrText>
      </w:r>
      <w:r>
        <w:rPr>
          <w:i/>
        </w:rPr>
        <w:fldChar w:fldCharType="end"/>
      </w:r>
      <w:r>
        <w:t xml:space="preserve"> </w:t>
      </w:r>
      <w:r w:rsidRPr="00273106">
        <w:t>na přijetí jakékoliv formy: od boha, od člověka nebo od přírody.</w:t>
      </w:r>
      <w:r>
        <w:t xml:space="preserve"> E</w:t>
      </w:r>
      <w:r w:rsidRPr="00273106">
        <w:t>senciálně pojatá materie</w:t>
      </w:r>
      <w:r w:rsidR="009A20F2">
        <w:t xml:space="preserve"> je </w:t>
      </w:r>
      <w:r w:rsidRPr="00273106">
        <w:t>daná pouze v modu potence</w:t>
      </w:r>
      <w:r w:rsidR="009A20F2">
        <w:t xml:space="preserve">. Tato materie </w:t>
      </w:r>
      <w:r w:rsidRPr="00273106">
        <w:t xml:space="preserve">dostala paradoxní vlastnosti neslučitelné s aristotelským </w:t>
      </w:r>
      <w:r w:rsidR="009A20F2">
        <w:t>určením</w:t>
      </w:r>
      <w:r w:rsidRPr="00273106">
        <w:t xml:space="preserve">. </w:t>
      </w:r>
      <w:r>
        <w:t>L</w:t>
      </w:r>
      <w:r w:rsidR="00C33559">
        <w:t xml:space="preserve">átka dostala objektivní aktualizaci tím, že se stala </w:t>
      </w:r>
      <w:r w:rsidRPr="00273106">
        <w:t>kvazi-substancí</w:t>
      </w:r>
      <w:r w:rsidR="00C33559">
        <w:t xml:space="preserve"> (</w:t>
      </w:r>
      <w:r w:rsidR="00C33559" w:rsidRPr="002B544C">
        <w:rPr>
          <w:i/>
        </w:rPr>
        <w:t>aliquid</w:t>
      </w:r>
      <w:r w:rsidR="00C33559">
        <w:t>). Navíc tato materie d</w:t>
      </w:r>
      <w:r>
        <w:t xml:space="preserve">ostala hypostázovanou </w:t>
      </w:r>
      <w:r w:rsidR="00C33559">
        <w:t>kauzalitu jako numericky určené „</w:t>
      </w:r>
      <w:proofErr w:type="gramStart"/>
      <w:r w:rsidR="00C33559" w:rsidRPr="00C33559">
        <w:rPr>
          <w:i/>
        </w:rPr>
        <w:t>concretum</w:t>
      </w:r>
      <w:proofErr w:type="gramEnd"/>
      <w:r w:rsidR="00C33559">
        <w:t>–</w:t>
      </w:r>
      <w:proofErr w:type="gramStart"/>
      <w:r>
        <w:t>substance</w:t>
      </w:r>
      <w:proofErr w:type="gramEnd"/>
      <w:r w:rsidR="00C33559">
        <w:t>“</w:t>
      </w:r>
      <w:r w:rsidR="002E2205">
        <w:t>.</w:t>
      </w:r>
    </w:p>
    <w:p w:rsidR="08163013" w:rsidRPr="00266908" w:rsidRDefault="08163013" w:rsidP="00266908">
      <w:pPr>
        <w:ind w:firstLine="397"/>
      </w:pPr>
      <w:r>
        <w:t xml:space="preserve">Vznik objektivní formy materie navázané na matematizuaci světa proto koriguje závěry studie o vzniku moderní vědy </w:t>
      </w:r>
      <w:r w:rsidR="00D92B85">
        <w:t xml:space="preserve">dané </w:t>
      </w:r>
      <w:r>
        <w:t>přechodem od uzavřeného světa k nekonečnému vesmíru (Koyré</w:t>
      </w:r>
      <w:r>
        <w:fldChar w:fldCharType="begin"/>
      </w:r>
      <w:r>
        <w:instrText xml:space="preserve"> XE "</w:instrText>
      </w:r>
      <w:r w:rsidRPr="002F7E68">
        <w:instrText>Koyré, A.</w:instrText>
      </w:r>
      <w:r>
        <w:instrText xml:space="preserve">" </w:instrText>
      </w:r>
      <w:r>
        <w:fldChar w:fldCharType="end"/>
      </w:r>
      <w:r>
        <w:t xml:space="preserve"> 1957). Tato studie popsala pouze postmoderní založení vědy skrze Galileiho a Descarta</w:t>
      </w:r>
      <w:r>
        <w:fldChar w:fldCharType="begin"/>
      </w:r>
      <w:r>
        <w:instrText xml:space="preserve"> XE "</w:instrText>
      </w:r>
      <w:r w:rsidRPr="004146C6">
        <w:rPr>
          <w:rStyle w:val="addmd"/>
        </w:rPr>
        <w:instrText>Descartes, R.</w:instrText>
      </w:r>
      <w:r>
        <w:instrText xml:space="preserve">" </w:instrText>
      </w:r>
      <w:r>
        <w:fldChar w:fldCharType="end"/>
      </w:r>
      <w:r>
        <w:t xml:space="preserve">, nikoliv původní založení moderní vědy v metafyzice </w:t>
      </w:r>
      <w:r w:rsidRPr="001A3C8E">
        <w:rPr>
          <w:i/>
        </w:rPr>
        <w:t>Modernorum</w:t>
      </w:r>
      <w:r>
        <w:t xml:space="preserve"> dané skrze </w:t>
      </w:r>
      <w:r w:rsidRPr="001A3C8E">
        <w:rPr>
          <w:i/>
        </w:rPr>
        <w:t>Oxfordian Fallacy</w:t>
      </w:r>
      <w:r>
        <w:t xml:space="preserve">. </w:t>
      </w:r>
      <w:r w:rsidRPr="00273106">
        <w:t xml:space="preserve">Věda dostala </w:t>
      </w:r>
      <w:r>
        <w:t xml:space="preserve">skrze materii třetího druhu </w:t>
      </w:r>
      <w:r w:rsidRPr="00273106">
        <w:t>epochálně nové</w:t>
      </w:r>
      <w:r>
        <w:t xml:space="preserve"> </w:t>
      </w:r>
      <w:r w:rsidRPr="001C2608">
        <w:rPr>
          <w:i/>
        </w:rPr>
        <w:t>scibile</w:t>
      </w:r>
      <w:r w:rsidR="004A275C">
        <w:t xml:space="preserve">. </w:t>
      </w:r>
      <w:r w:rsidR="009C7259">
        <w:t xml:space="preserve">Toto „materiální“ těleso </w:t>
      </w:r>
      <w:r w:rsidR="004A275C">
        <w:t xml:space="preserve">dostalo </w:t>
      </w:r>
      <w:r w:rsidRPr="00273106">
        <w:t xml:space="preserve">v rámci druhého averroismu </w:t>
      </w:r>
      <w:r>
        <w:t xml:space="preserve">(Rufus, Kilwardy, Bonaventura) statut druhé substance a tím i příslušnou kategoriální predikaci. </w:t>
      </w:r>
      <w:r w:rsidRPr="00273106">
        <w:t>Objektivně viděná látka dostala esenciální definici v rámci substance (</w:t>
      </w:r>
      <w:r w:rsidRPr="00273106">
        <w:rPr>
          <w:i/>
        </w:rPr>
        <w:t xml:space="preserve">per sui </w:t>
      </w:r>
      <w:r w:rsidRPr="00273106">
        <w:rPr>
          <w:i/>
        </w:rPr>
        <w:lastRenderedPageBreak/>
        <w:t>essentiam</w:t>
      </w:r>
      <w:r w:rsidRPr="00273106">
        <w:t xml:space="preserve">). </w:t>
      </w:r>
      <w:r w:rsidR="00252FF4">
        <w:t xml:space="preserve">Moderní </w:t>
      </w:r>
      <w:r w:rsidRPr="00273106">
        <w:t>subjekt plně determinuje</w:t>
      </w:r>
      <w:r>
        <w:t xml:space="preserve"> objektivní </w:t>
      </w:r>
      <w:r w:rsidRPr="00273106">
        <w:t>materii</w:t>
      </w:r>
      <w:r w:rsidRPr="006A0A57">
        <w:t xml:space="preserve"> </w:t>
      </w:r>
      <w:r w:rsidR="00252FF4">
        <w:t xml:space="preserve">na základě kategoriálních určení </w:t>
      </w:r>
      <w:r w:rsidR="00252FF4" w:rsidRPr="00252FF4">
        <w:rPr>
          <w:i/>
        </w:rPr>
        <w:t>dativus obiectivus</w:t>
      </w:r>
      <w:r w:rsidR="00252FF4">
        <w:t>.</w:t>
      </w:r>
      <w:r>
        <w:t xml:space="preserve"> </w:t>
      </w:r>
      <w:r w:rsidR="002B5F9D">
        <w:t xml:space="preserve">Moderní </w:t>
      </w:r>
      <w:r>
        <w:t xml:space="preserve">simulákrum </w:t>
      </w:r>
      <w:r w:rsidR="002B5F9D">
        <w:t xml:space="preserve">materie </w:t>
      </w:r>
      <w:r w:rsidR="002B61C7">
        <w:t>existuje</w:t>
      </w:r>
      <w:r>
        <w:t xml:space="preserve"> pouze v modu objektivního </w:t>
      </w:r>
      <w:r w:rsidRPr="00E85A6A">
        <w:rPr>
          <w:i/>
        </w:rPr>
        <w:t>factum</w:t>
      </w:r>
      <w:r>
        <w:rPr>
          <w:i/>
        </w:rPr>
        <w:fldChar w:fldCharType="begin"/>
      </w:r>
      <w:r>
        <w:instrText xml:space="preserve"> XE "</w:instrText>
      </w:r>
      <w:r w:rsidRPr="0012277B">
        <w:rPr>
          <w:i/>
        </w:rPr>
        <w:instrText>factum</w:instrText>
      </w:r>
      <w:r>
        <w:instrText xml:space="preserve">" </w:instrText>
      </w:r>
      <w:r>
        <w:rPr>
          <w:i/>
        </w:rPr>
        <w:fldChar w:fldCharType="end"/>
      </w:r>
      <w:r w:rsidRPr="00273106">
        <w:t xml:space="preserve">, protože látka </w:t>
      </w:r>
      <w:r>
        <w:t>třetího druhu reálně</w:t>
      </w:r>
      <w:r w:rsidR="0054411A">
        <w:t xml:space="preserve"> neexistuje. Objektivní materie</w:t>
      </w:r>
      <w:r>
        <w:fldChar w:fldCharType="begin"/>
      </w:r>
      <w:r>
        <w:instrText xml:space="preserve"> XE "</w:instrText>
      </w:r>
      <w:r w:rsidRPr="004032B6">
        <w:instrText>materie:Bonaventura</w:instrText>
      </w:r>
      <w:r>
        <w:instrText xml:space="preserve">" </w:instrText>
      </w:r>
      <w:r>
        <w:fldChar w:fldCharType="end"/>
      </w:r>
      <w:r w:rsidR="0054411A">
        <w:t xml:space="preserve"> </w:t>
      </w:r>
      <w:r>
        <w:t xml:space="preserve">klasifikovaná Bonaventurou se dává ve třech stupních hypostázované jsoucnosti: 1) </w:t>
      </w:r>
      <w:r w:rsidR="0054411A">
        <w:t>čistá</w:t>
      </w:r>
      <w:r w:rsidRPr="00273106">
        <w:t xml:space="preserve"> </w:t>
      </w:r>
      <w:r w:rsidR="0054411A">
        <w:t>„</w:t>
      </w:r>
      <w:proofErr w:type="gramStart"/>
      <w:r w:rsidRPr="00273106">
        <w:t>potence</w:t>
      </w:r>
      <w:proofErr w:type="gramEnd"/>
      <w:r w:rsidR="0054411A">
        <w:t>–</w:t>
      </w:r>
      <w:proofErr w:type="gramStart"/>
      <w:r>
        <w:t>substance</w:t>
      </w:r>
      <w:proofErr w:type="gramEnd"/>
      <w:r w:rsidR="0054411A">
        <w:t>“</w:t>
      </w:r>
      <w:r w:rsidRPr="00273106">
        <w:t xml:space="preserve"> </w:t>
      </w:r>
      <w:r w:rsidR="0054411A">
        <w:t>daná</w:t>
      </w:r>
      <w:r>
        <w:t xml:space="preserve"> matematickou jednotou a </w:t>
      </w:r>
      <w:r w:rsidR="0054411A">
        <w:t>oddělená</w:t>
      </w:r>
      <w:r w:rsidRPr="00273106">
        <w:t xml:space="preserve"> logickým záporem od nicoty (</w:t>
      </w:r>
      <w:r w:rsidRPr="00273106">
        <w:rPr>
          <w:i/>
        </w:rPr>
        <w:t>materia prima</w:t>
      </w:r>
      <w:r w:rsidRPr="00273106">
        <w:t xml:space="preserve">); </w:t>
      </w:r>
      <w:r>
        <w:t xml:space="preserve">2) aktuální součást </w:t>
      </w:r>
      <w:r w:rsidRPr="00273106">
        <w:t>hylemorfické substance (</w:t>
      </w:r>
      <w:r w:rsidRPr="00273106">
        <w:rPr>
          <w:i/>
        </w:rPr>
        <w:t>materia materialis</w:t>
      </w:r>
      <w:r w:rsidRPr="00273106">
        <w:t xml:space="preserve">); </w:t>
      </w:r>
      <w:r>
        <w:t xml:space="preserve">3) univerzální hylemorfická materie zakládající </w:t>
      </w:r>
      <w:r w:rsidRPr="00273106">
        <w:t>bytí oddělených forem</w:t>
      </w:r>
      <w:r>
        <w:t xml:space="preserve">, která je nazíraná skrze denudaci </w:t>
      </w:r>
      <w:r w:rsidRPr="00273106">
        <w:t>(</w:t>
      </w:r>
      <w:r w:rsidRPr="00273106">
        <w:rPr>
          <w:i/>
        </w:rPr>
        <w:t>materia spiritualis</w:t>
      </w:r>
      <w:r w:rsidRPr="00273106">
        <w:t>).</w:t>
      </w:r>
      <w:r>
        <w:t xml:space="preserve"> </w:t>
      </w:r>
      <w:r w:rsidRPr="00273106">
        <w:t>Z hlediska moderny vznikla první forma objektivně pojaté látky</w:t>
      </w:r>
      <w:r w:rsidR="00A40E75">
        <w:t xml:space="preserve"> jako </w:t>
      </w:r>
      <w:r w:rsidRPr="00273106">
        <w:t>čisté jsoucnosti definova</w:t>
      </w:r>
      <w:r w:rsidR="00A40E75">
        <w:t xml:space="preserve">né formálním rozdílem od nicoty. Objektivní materie ve trojím pojetí </w:t>
      </w:r>
      <w:r w:rsidR="00A40E75" w:rsidRPr="00B4023B">
        <w:rPr>
          <w:szCs w:val="24"/>
          <w:lang w:val="en-US"/>
        </w:rPr>
        <w:t>(</w:t>
      </w:r>
      <w:r w:rsidR="00A40E75" w:rsidRPr="00B4023B">
        <w:rPr>
          <w:i/>
          <w:szCs w:val="24"/>
          <w:lang w:val="en-US"/>
        </w:rPr>
        <w:t>scibile, concretum species obiecti existentis</w:t>
      </w:r>
      <w:r w:rsidR="00A40E75" w:rsidRPr="00B4023B">
        <w:rPr>
          <w:szCs w:val="24"/>
          <w:lang w:val="en-US"/>
        </w:rPr>
        <w:t xml:space="preserve">) </w:t>
      </w:r>
      <w:r w:rsidR="00A40E75" w:rsidRPr="00A40E75">
        <w:rPr>
          <w:szCs w:val="24"/>
          <w:lang w:val="en-US"/>
        </w:rPr>
        <w:t xml:space="preserve">tvoří neomezené kontinuum, které lze predikovat jako matematicky, fyzikálně či jinak </w:t>
      </w:r>
      <w:r w:rsidR="00A40E75">
        <w:rPr>
          <w:szCs w:val="24"/>
          <w:lang w:val="en-US"/>
        </w:rPr>
        <w:t xml:space="preserve">esenciálně určené </w:t>
      </w:r>
      <w:r w:rsidR="00A40E75" w:rsidRPr="00A40E75">
        <w:rPr>
          <w:szCs w:val="24"/>
          <w:lang w:val="en-US"/>
        </w:rPr>
        <w:t xml:space="preserve">poznání. </w:t>
      </w:r>
      <w:r>
        <w:t>Toto materiální kontinuum vybavené františk</w:t>
      </w:r>
      <w:r w:rsidR="000815BC">
        <w:t>ánsk</w:t>
      </w:r>
      <w:r>
        <w:t xml:space="preserve">ou </w:t>
      </w:r>
      <w:r w:rsidR="000815BC">
        <w:t xml:space="preserve">potencialitou chudoby </w:t>
      </w:r>
      <w:r>
        <w:t xml:space="preserve">ve formě objektivního </w:t>
      </w:r>
      <w:r w:rsidRPr="00064142">
        <w:rPr>
          <w:i/>
        </w:rPr>
        <w:t>scibile</w:t>
      </w:r>
      <w:r>
        <w:t xml:space="preserve"> jde od </w:t>
      </w:r>
      <w:r w:rsidR="00EB117A">
        <w:t xml:space="preserve">objektivní </w:t>
      </w:r>
      <w:r w:rsidRPr="00025D60">
        <w:rPr>
          <w:i/>
        </w:rPr>
        <w:t>materia prima</w:t>
      </w:r>
      <w:r>
        <w:t xml:space="preserve"> </w:t>
      </w:r>
      <w:r>
        <w:rPr>
          <w:i/>
        </w:rPr>
        <w:fldChar w:fldCharType="begin"/>
      </w:r>
      <w:r>
        <w:instrText xml:space="preserve"> XE "</w:instrText>
      </w:r>
      <w:r w:rsidRPr="08D704BF">
        <w:instrText>materie</w:instrText>
      </w:r>
      <w:r>
        <w:rPr>
          <w:i/>
        </w:rPr>
        <w:instrText xml:space="preserve">:materia </w:instrText>
      </w:r>
      <w:r w:rsidRPr="006D194D">
        <w:rPr>
          <w:i/>
        </w:rPr>
        <w:instrText>prima</w:instrText>
      </w:r>
      <w:r>
        <w:instrText xml:space="preserve">" </w:instrText>
      </w:r>
      <w:r>
        <w:rPr>
          <w:i/>
        </w:rPr>
        <w:fldChar w:fldCharType="end"/>
      </w:r>
      <w:r>
        <w:t>až ke spirituální materii čistých hypostázovaných forem.</w:t>
      </w:r>
      <w:r w:rsidR="00E83C63">
        <w:t xml:space="preserve"> </w:t>
      </w:r>
      <w:r w:rsidR="00E83C63" w:rsidRPr="00E83C63">
        <w:t>Moderní fyzika získala svůj teoretický základ díky modernímu subjek</w:t>
      </w:r>
      <w:r w:rsidR="00E83C63">
        <w:t xml:space="preserve">tu tvořícímu mytologický svět. </w:t>
      </w:r>
      <w:r w:rsidRPr="00273106">
        <w:t xml:space="preserve">Konfúzi dogmatické mytologie, ontoteologie a metafyziky doslova vystihuje </w:t>
      </w:r>
      <w:r>
        <w:t xml:space="preserve">Bonaventurův pojem </w:t>
      </w:r>
      <w:r w:rsidRPr="00273106">
        <w:rPr>
          <w:i/>
        </w:rPr>
        <w:t>materia confusa</w:t>
      </w:r>
      <w:r>
        <w:rPr>
          <w:i/>
        </w:rPr>
        <w:fldChar w:fldCharType="begin"/>
      </w:r>
      <w:r>
        <w:instrText xml:space="preserve"> XE "</w:instrText>
      </w:r>
      <w:r w:rsidRPr="00811DEB">
        <w:instrText>materie</w:instrText>
      </w:r>
      <w:r w:rsidRPr="0045256F">
        <w:rPr>
          <w:i/>
        </w:rPr>
        <w:instrText>:materia confusa</w:instrText>
      </w:r>
      <w:r>
        <w:instrText xml:space="preserve">" </w:instrText>
      </w:r>
      <w:r>
        <w:rPr>
          <w:i/>
        </w:rPr>
        <w:fldChar w:fldCharType="end"/>
      </w:r>
      <w:r w:rsidRPr="00273106">
        <w:t>.</w:t>
      </w:r>
      <w:r w:rsidRPr="00273106">
        <w:rPr>
          <w:rStyle w:val="Znakapoznpodarou"/>
        </w:rPr>
        <w:footnoteReference w:id="28"/>
      </w:r>
      <w:r w:rsidRPr="00273106">
        <w:t xml:space="preserve"> Základ této specifické materie třetího druhu tvoří temnota světa daná na počátku stvoření (</w:t>
      </w:r>
      <w:r w:rsidRPr="00F14FA8">
        <w:rPr>
          <w:i/>
        </w:rPr>
        <w:t>Gen</w:t>
      </w:r>
      <w:r w:rsidRPr="00273106">
        <w:t xml:space="preserve"> 1:2</w:t>
      </w:r>
      <w:r>
        <w:fldChar w:fldCharType="begin"/>
      </w:r>
      <w:r>
        <w:instrText xml:space="preserve"> XE "Starý zákon:</w:instrText>
      </w:r>
      <w:r w:rsidRPr="0046213D">
        <w:instrText>Gn</w:instrText>
      </w:r>
      <w:r>
        <w:instrText xml:space="preserve"> 1.</w:instrText>
      </w:r>
      <w:r w:rsidRPr="00530D29">
        <w:instrText>2</w:instrText>
      </w:r>
      <w:r>
        <w:instrText xml:space="preserve">" </w:instrText>
      </w:r>
      <w:r>
        <w:fldChar w:fldCharType="end"/>
      </w:r>
      <w:r>
        <w:t xml:space="preserve">). </w:t>
      </w:r>
      <w:r w:rsidRPr="00273106">
        <w:t xml:space="preserve">Augustin </w:t>
      </w:r>
      <w:r w:rsidR="0022361B">
        <w:t xml:space="preserve">vzal tuto </w:t>
      </w:r>
      <w:r w:rsidRPr="00273106">
        <w:t xml:space="preserve">nejasnou mytologickou látku známou již ze sumerského eposu </w:t>
      </w:r>
      <w:r w:rsidRPr="00273106">
        <w:rPr>
          <w:i/>
        </w:rPr>
        <w:t>Enuma Eliš</w:t>
      </w:r>
      <w:r w:rsidRPr="00273106">
        <w:t xml:space="preserve"> </w:t>
      </w:r>
      <w:r w:rsidR="0022361B">
        <w:t xml:space="preserve">a použil ji </w:t>
      </w:r>
      <w:r>
        <w:t xml:space="preserve">proti Manichejcům v pojmu </w:t>
      </w:r>
      <w:r w:rsidR="009256B7">
        <w:t>„</w:t>
      </w:r>
      <w:r w:rsidRPr="00273106">
        <w:rPr>
          <w:i/>
        </w:rPr>
        <w:t>terra incomposita</w:t>
      </w:r>
      <w:r w:rsidR="009256B7">
        <w:t>“</w:t>
      </w:r>
      <w:r w:rsidRPr="00273106">
        <w:t xml:space="preserve">. Bonaventura tento </w:t>
      </w:r>
      <w:r>
        <w:t xml:space="preserve">mytologický a později i teologický </w:t>
      </w:r>
      <w:r w:rsidRPr="00273106">
        <w:t>termín zasadil do aristotelského scénáře metafyziky</w:t>
      </w:r>
      <w:r>
        <w:t>.</w:t>
      </w:r>
      <w:r w:rsidRPr="00273106">
        <w:t xml:space="preserve"> Zavedením </w:t>
      </w:r>
      <w:r w:rsidR="00266908">
        <w:t xml:space="preserve">mýtické </w:t>
      </w:r>
      <w:r w:rsidRPr="00273106">
        <w:t>formy materie vzniklo nové</w:t>
      </w:r>
      <w:r>
        <w:t xml:space="preserve"> jsoucno třetího druhu</w:t>
      </w:r>
      <w:r w:rsidR="00266908">
        <w:t xml:space="preserve">, které se usadilo </w:t>
      </w:r>
      <w:r w:rsidR="00266908" w:rsidRPr="00266908">
        <w:t xml:space="preserve">v křesťanské ontoteologii a moderní fyzice. </w:t>
      </w:r>
      <w:r>
        <w:t xml:space="preserve">Konfúzní materie </w:t>
      </w:r>
      <w:r w:rsidRPr="00273106">
        <w:t xml:space="preserve">doplňuje stejně problematickou </w:t>
      </w:r>
      <w:r w:rsidRPr="00273106">
        <w:rPr>
          <w:i/>
        </w:rPr>
        <w:t>materia spiritualis</w:t>
      </w:r>
      <w:r w:rsidRPr="00273106">
        <w:t xml:space="preserve"> </w:t>
      </w:r>
      <w:r>
        <w:rPr>
          <w:i/>
        </w:rPr>
        <w:fldChar w:fldCharType="begin"/>
      </w:r>
      <w:r>
        <w:instrText xml:space="preserve"> XE "</w:instrText>
      </w:r>
      <w:r w:rsidRPr="08A516BF">
        <w:instrText>materie</w:instrText>
      </w:r>
      <w:r>
        <w:rPr>
          <w:i/>
        </w:rPr>
        <w:instrText xml:space="preserve">:materia </w:instrText>
      </w:r>
      <w:r w:rsidRPr="00612581">
        <w:rPr>
          <w:i/>
        </w:rPr>
        <w:instrText>spiritualis</w:instrText>
      </w:r>
      <w:r>
        <w:instrText xml:space="preserve">" </w:instrText>
      </w:r>
      <w:r>
        <w:rPr>
          <w:i/>
        </w:rPr>
        <w:fldChar w:fldCharType="end"/>
      </w:r>
      <w:r w:rsidRPr="00273106">
        <w:t>danou v intelektu</w:t>
      </w:r>
      <w:r>
        <w:t xml:space="preserve"> a mix obojího vytváří </w:t>
      </w:r>
      <w:r w:rsidRPr="00273106">
        <w:t>no</w:t>
      </w:r>
      <w:r>
        <w:t>vou hierarchii jsoucna</w:t>
      </w:r>
      <w:r w:rsidRPr="00273106">
        <w:t>.</w:t>
      </w:r>
      <w:r>
        <w:t xml:space="preserve"> Moderní materie dostala kapacitu přijmout formu od jakéhokoliv demiurga</w:t>
      </w:r>
      <w:r>
        <w:fldChar w:fldCharType="begin"/>
      </w:r>
      <w:r>
        <w:instrText xml:space="preserve"> XE "</w:instrText>
      </w:r>
      <w:r w:rsidRPr="005C2F4A">
        <w:rPr>
          <w:rStyle w:val="addmd"/>
        </w:rPr>
        <w:instrText>demiurg</w:instrText>
      </w:r>
      <w:r>
        <w:instrText xml:space="preserve">" </w:instrText>
      </w:r>
      <w:r>
        <w:fldChar w:fldCharType="end"/>
      </w:r>
      <w:r>
        <w:t>, což ukazuje základní</w:t>
      </w:r>
      <w:r w:rsidRPr="00273106">
        <w:t xml:space="preserve"> puzení látky k formě (</w:t>
      </w:r>
      <w:r w:rsidRPr="00273106">
        <w:rPr>
          <w:i/>
        </w:rPr>
        <w:t>appetitus</w:t>
      </w:r>
      <w:r>
        <w:rPr>
          <w:i/>
        </w:rPr>
        <w:fldChar w:fldCharType="begin"/>
      </w:r>
      <w:r>
        <w:instrText xml:space="preserve"> XE "</w:instrText>
      </w:r>
      <w:r w:rsidRPr="007E6333">
        <w:rPr>
          <w:i/>
        </w:rPr>
        <w:instrText>appetitus</w:instrText>
      </w:r>
      <w:r>
        <w:instrText xml:space="preserve">" </w:instrText>
      </w:r>
      <w:r>
        <w:rPr>
          <w:i/>
        </w:rPr>
        <w:fldChar w:fldCharType="end"/>
      </w:r>
      <w:r w:rsidRPr="00273106">
        <w:t>).</w:t>
      </w:r>
      <w:r>
        <w:t xml:space="preserve"> Aristotelský zdroj pro chtění v rámci </w:t>
      </w:r>
      <w:r w:rsidRPr="008F1E01">
        <w:rPr>
          <w:i/>
        </w:rPr>
        <w:t>appetitus</w:t>
      </w:r>
      <w:r>
        <w:t xml:space="preserve"> spočívá v kombinaci rodových a </w:t>
      </w:r>
      <w:r>
        <w:lastRenderedPageBreak/>
        <w:t xml:space="preserve">specifických </w:t>
      </w:r>
      <w:r w:rsidRPr="0009289C">
        <w:t xml:space="preserve">určení </w:t>
      </w:r>
      <w:r>
        <w:t xml:space="preserve">daných v definici animální žádostivosti podle </w:t>
      </w:r>
      <w:r w:rsidRPr="00837E3C">
        <w:rPr>
          <w:i/>
        </w:rPr>
        <w:t>De anima</w:t>
      </w:r>
      <w:r>
        <w:t>.</w:t>
      </w:r>
      <w:r w:rsidRPr="00273106">
        <w:rPr>
          <w:rStyle w:val="Znakapoznpodarou"/>
        </w:rPr>
        <w:footnoteReference w:id="29"/>
      </w:r>
      <w:r w:rsidRPr="00273106">
        <w:t xml:space="preserve"> Definice objektivní materie skrze </w:t>
      </w:r>
      <w:r w:rsidRPr="00273106">
        <w:rPr>
          <w:i/>
        </w:rPr>
        <w:t>appetitus</w:t>
      </w:r>
      <w:r w:rsidRPr="00273106">
        <w:t xml:space="preserve"> následuje Rufusovo </w:t>
      </w:r>
      <w:r>
        <w:t xml:space="preserve">přesahování </w:t>
      </w:r>
      <w:r w:rsidRPr="00273106">
        <w:t xml:space="preserve">materie do </w:t>
      </w:r>
      <w:r>
        <w:t xml:space="preserve">moderní </w:t>
      </w:r>
      <w:r w:rsidRPr="00273106">
        <w:t>formy „ex</w:t>
      </w:r>
      <w:r>
        <w:t>s</w:t>
      </w:r>
      <w:r w:rsidRPr="00273106">
        <w:t>istence“ dané esenciální a formální aktualizací formy.</w:t>
      </w:r>
    </w:p>
    <w:p w:rsidR="08163013" w:rsidRPr="00222FC8" w:rsidRDefault="08163013" w:rsidP="08163013">
      <w:pPr>
        <w:pStyle w:val="Citace"/>
        <w:rPr>
          <w:noProof/>
          <w:lang w:val="cs-CZ"/>
        </w:rPr>
      </w:pPr>
      <w:r w:rsidRPr="00273106">
        <w:rPr>
          <w:noProof/>
          <w:lang w:val="cs-CZ"/>
        </w:rPr>
        <w:t>„</w:t>
      </w:r>
      <w:r>
        <w:rPr>
          <w:noProof/>
          <w:lang w:val="cs-CZ"/>
        </w:rPr>
        <w:t xml:space="preserve">A nyní k námitce, že  [objektivní] jednotlivina složená z </w:t>
      </w:r>
      <w:r w:rsidR="08311E57">
        <w:t>[</w:t>
      </w:r>
      <w:r w:rsidR="08311E57">
        <w:rPr>
          <w:lang w:val="cs-CZ"/>
        </w:rPr>
        <w:t>hypostázované</w:t>
      </w:r>
      <w:r w:rsidR="08311E57">
        <w:t>]</w:t>
      </w:r>
      <w:r w:rsidR="08311E57">
        <w:rPr>
          <w:lang w:val="cs-CZ"/>
        </w:rPr>
        <w:t xml:space="preserve"> </w:t>
      </w:r>
      <w:r>
        <w:rPr>
          <w:noProof/>
          <w:lang w:val="cs-CZ"/>
        </w:rPr>
        <w:t xml:space="preserve">materie a </w:t>
      </w:r>
      <w:r w:rsidR="08311E57">
        <w:t>[</w:t>
      </w:r>
      <w:r w:rsidR="08311E57">
        <w:rPr>
          <w:lang w:val="cs-CZ"/>
        </w:rPr>
        <w:t>hypostázované</w:t>
      </w:r>
      <w:r w:rsidR="08311E57">
        <w:t>]</w:t>
      </w:r>
      <w:r w:rsidR="08311E57">
        <w:rPr>
          <w:lang w:val="cs-CZ"/>
        </w:rPr>
        <w:t xml:space="preserve"> </w:t>
      </w:r>
      <w:r>
        <w:rPr>
          <w:noProof/>
          <w:lang w:val="cs-CZ"/>
        </w:rPr>
        <w:t>formy je reálné jsoucno, což by vytvořilo jsoucno třetího druhu (</w:t>
      </w:r>
      <w:r w:rsidRPr="00CA3075">
        <w:rPr>
          <w:i/>
          <w:noProof/>
        </w:rPr>
        <w:t>ita venit ad constitutionem tertii</w:t>
      </w:r>
      <w:r>
        <w:rPr>
          <w:noProof/>
          <w:lang w:val="cs-CZ"/>
        </w:rPr>
        <w:t>). Toto není pravda obecně, ale jen tehdy, pokud materie završí touhu formy a forma završí touhu materie (</w:t>
      </w:r>
      <w:r w:rsidRPr="000533C5">
        <w:rPr>
          <w:i/>
          <w:noProof/>
        </w:rPr>
        <w:t>materia terminat omnem appetitum formae, et forma omnem appetitum materiae</w:t>
      </w:r>
      <w:r>
        <w:rPr>
          <w:noProof/>
          <w:lang w:val="cs-CZ"/>
        </w:rPr>
        <w:t>). Toto dění není dané vzhledem k něčemu vnějšímu (</w:t>
      </w:r>
      <w:r w:rsidRPr="00725102">
        <w:rPr>
          <w:i/>
          <w:noProof/>
        </w:rPr>
        <w:t>non est appetitus ad aliquid extra</w:t>
      </w:r>
      <w:r>
        <w:rPr>
          <w:noProof/>
          <w:lang w:val="cs-CZ"/>
        </w:rPr>
        <w:t>), ani pouhá možnost jednotliviny (</w:t>
      </w:r>
      <w:r w:rsidRPr="000533C5">
        <w:rPr>
          <w:i/>
          <w:noProof/>
        </w:rPr>
        <w:t>nec possibilitas ad compositionem</w:t>
      </w:r>
      <w:r>
        <w:rPr>
          <w:noProof/>
          <w:lang w:val="cs-CZ"/>
        </w:rPr>
        <w:t xml:space="preserve">), protože předchází chtění a inklinace dané v reálných jednotlivinách.“ </w:t>
      </w:r>
      <w:r>
        <w:rPr>
          <w:rStyle w:val="Znakapoznpodarou"/>
        </w:rPr>
        <w:footnoteReference w:id="30"/>
      </w:r>
    </w:p>
    <w:p w:rsidR="08163013" w:rsidRDefault="08163013" w:rsidP="08163013">
      <w:r>
        <w:t xml:space="preserve">Bonaventura </w:t>
      </w:r>
      <w:r w:rsidRPr="00273106">
        <w:t xml:space="preserve">rozšířil Aristotelovu </w:t>
      </w:r>
      <w:r w:rsidR="00363E31" w:rsidRPr="00273106">
        <w:t xml:space="preserve">na celek stvoření </w:t>
      </w:r>
      <w:r w:rsidRPr="00273106">
        <w:t xml:space="preserve">žádostivost </w:t>
      </w:r>
      <w:r w:rsidR="08423D1B">
        <w:t>(</w:t>
      </w:r>
      <w:r w:rsidR="08423D1B" w:rsidRPr="00273106">
        <w:t>ὄρεξις</w:t>
      </w:r>
      <w:r w:rsidR="00363E31">
        <w:t>), kterou s</w:t>
      </w:r>
      <w:r w:rsidRPr="00273106">
        <w:t>toik</w:t>
      </w:r>
      <w:r w:rsidR="00363E31">
        <w:t xml:space="preserve">ové </w:t>
      </w:r>
      <w:r w:rsidRPr="00273106">
        <w:t>s</w:t>
      </w:r>
      <w:r w:rsidR="00363E31">
        <w:t>pojili s</w:t>
      </w:r>
      <w:r w:rsidRPr="00273106">
        <w:t xml:space="preserve"> entelechií a s pohybem živých bytostí (ὁρμή).</w:t>
      </w:r>
      <w:r w:rsidR="08790315">
        <w:t xml:space="preserve"> </w:t>
      </w:r>
      <w:r w:rsidR="08790315" w:rsidRPr="08790315">
        <w:rPr>
          <w:szCs w:val="24"/>
        </w:rPr>
        <w:t xml:space="preserve">Rufusův pojem </w:t>
      </w:r>
      <w:r w:rsidR="001C036E">
        <w:rPr>
          <w:szCs w:val="24"/>
        </w:rPr>
        <w:t>„</w:t>
      </w:r>
      <w:r w:rsidR="08790315" w:rsidRPr="08790315">
        <w:rPr>
          <w:i/>
          <w:szCs w:val="24"/>
        </w:rPr>
        <w:t>informatio</w:t>
      </w:r>
      <w:r w:rsidR="001C036E">
        <w:rPr>
          <w:szCs w:val="24"/>
        </w:rPr>
        <w:t>“</w:t>
      </w:r>
      <w:r w:rsidR="08790315" w:rsidRPr="08790315">
        <w:rPr>
          <w:szCs w:val="24"/>
        </w:rPr>
        <w:t xml:space="preserve"> (</w:t>
      </w:r>
      <w:r w:rsidR="0814519B">
        <w:rPr>
          <w:szCs w:val="24"/>
        </w:rPr>
        <w:t>OBJ II, k</w:t>
      </w:r>
      <w:r w:rsidR="08790315" w:rsidRPr="08790315">
        <w:rPr>
          <w:szCs w:val="24"/>
        </w:rPr>
        <w:t xml:space="preserve">ap. 3.3.2) dostal nový význam v ontoteologické struktuře metafyziky. </w:t>
      </w:r>
      <w:r>
        <w:t xml:space="preserve">Apetit </w:t>
      </w:r>
      <w:r w:rsidR="08C647F2">
        <w:t xml:space="preserve">této </w:t>
      </w:r>
      <w:r w:rsidR="00E00C9E">
        <w:t>moderní informálně</w:t>
      </w:r>
      <w:r>
        <w:t xml:space="preserve"> pojaté materie po bohatší a vyšší formě umožnil novověké třídění světa, které od 17. století provozují všechny postmoderní vědy</w:t>
      </w:r>
      <w:r w:rsidRPr="00273106">
        <w:t>.</w:t>
      </w:r>
      <w:r>
        <w:t xml:space="preserve"> Chtivost k formě je dána jako nová transcendentální vlastnost „materiálně“ založeného jsoucna. Spinoza</w:t>
      </w:r>
      <w:r w:rsidR="08C76B9C">
        <w:fldChar w:fldCharType="begin"/>
      </w:r>
      <w:r w:rsidR="08C76B9C">
        <w:instrText xml:space="preserve"> XE "</w:instrText>
      </w:r>
      <w:r w:rsidR="08C76B9C" w:rsidRPr="083D651D">
        <w:instrText>Spinoza, B.</w:instrText>
      </w:r>
      <w:r w:rsidR="08C76B9C">
        <w:instrText xml:space="preserve">" </w:instrText>
      </w:r>
      <w:r w:rsidR="08C76B9C">
        <w:fldChar w:fldCharType="end"/>
      </w:r>
      <w:r>
        <w:t xml:space="preserve"> převedl původní chtivost moderny na nové metafyzické určení </w:t>
      </w:r>
      <w:r w:rsidRPr="00741FDA">
        <w:rPr>
          <w:i/>
        </w:rPr>
        <w:t>ens inquantum ens</w:t>
      </w:r>
      <w:r>
        <w:rPr>
          <w:i/>
        </w:rPr>
        <w:fldChar w:fldCharType="begin"/>
      </w:r>
      <w:r>
        <w:instrText xml:space="preserve"> XE "</w:instrText>
      </w:r>
      <w:r w:rsidRPr="005424E2">
        <w:rPr>
          <w:i/>
        </w:rPr>
        <w:instrText>ens inquantum ens</w:instrText>
      </w:r>
      <w:r>
        <w:instrText xml:space="preserve">" </w:instrText>
      </w:r>
      <w:r>
        <w:rPr>
          <w:i/>
        </w:rPr>
        <w:fldChar w:fldCharType="end"/>
      </w:r>
      <w:r>
        <w:t xml:space="preserve">. Z hypostázovaného appetitu k formě vznikl v postmoderně </w:t>
      </w:r>
      <w:r w:rsidRPr="00F111B8">
        <w:rPr>
          <w:i/>
        </w:rPr>
        <w:t>conatus</w:t>
      </w:r>
      <w:r>
        <w:rPr>
          <w:i/>
        </w:rPr>
        <w:fldChar w:fldCharType="begin"/>
      </w:r>
      <w:r>
        <w:instrText xml:space="preserve"> XE "</w:instrText>
      </w:r>
      <w:r w:rsidRPr="00D9787C">
        <w:rPr>
          <w:i/>
        </w:rPr>
        <w:instrText>conatus</w:instrText>
      </w:r>
      <w:r>
        <w:instrText xml:space="preserve">" </w:instrText>
      </w:r>
      <w:r>
        <w:rPr>
          <w:i/>
        </w:rPr>
        <w:fldChar w:fldCharType="end"/>
      </w:r>
      <w:r>
        <w:t xml:space="preserve"> jsoucna</w:t>
      </w:r>
      <w:r w:rsidR="009B463B">
        <w:t>, které mytologicky hledá subjektem darované objektivní bytí</w:t>
      </w:r>
      <w:r>
        <w:t>. Spinozova novověká forma jsoucna třetího druhu definuje jakékoliv postmoderní individuum jako univočně pojatou „věc“ (</w:t>
      </w:r>
      <w:r w:rsidRPr="00A41448">
        <w:rPr>
          <w:i/>
        </w:rPr>
        <w:t>res</w:t>
      </w:r>
      <w:r>
        <w:t>), která usiluje to, aby si podržela bytí (</w:t>
      </w:r>
      <w:r w:rsidRPr="00157F50">
        <w:rPr>
          <w:i/>
          <w:szCs w:val="24"/>
        </w:rPr>
        <w:t>unaquaeque res, quantum in se est, in suo esse perseverare conatur</w:t>
      </w:r>
      <w:r>
        <w:rPr>
          <w:szCs w:val="24"/>
        </w:rPr>
        <w:t xml:space="preserve">; </w:t>
      </w:r>
      <w:r w:rsidRPr="009453E0">
        <w:rPr>
          <w:i/>
          <w:szCs w:val="24"/>
        </w:rPr>
        <w:t>Ethica</w:t>
      </w:r>
      <w:r>
        <w:rPr>
          <w:szCs w:val="24"/>
        </w:rPr>
        <w:t xml:space="preserve"> III, arg. 6</w:t>
      </w:r>
      <w:r>
        <w:rPr>
          <w:szCs w:val="24"/>
        </w:rPr>
        <w:fldChar w:fldCharType="begin"/>
      </w:r>
      <w:r>
        <w:instrText xml:space="preserve"> XE "Spinoza:</w:instrText>
      </w:r>
      <w:r w:rsidRPr="00D36AD0">
        <w:rPr>
          <w:i/>
          <w:szCs w:val="24"/>
        </w:rPr>
        <w:instrText>Ethica</w:instrText>
      </w:r>
      <w:r w:rsidRPr="00D36AD0">
        <w:rPr>
          <w:szCs w:val="24"/>
        </w:rPr>
        <w:instrText xml:space="preserve"> III, arg. 6</w:instrText>
      </w:r>
      <w:r>
        <w:instrText xml:space="preserve">" </w:instrText>
      </w:r>
      <w:r>
        <w:rPr>
          <w:szCs w:val="24"/>
        </w:rPr>
        <w:fldChar w:fldCharType="end"/>
      </w:r>
      <w:r>
        <w:rPr>
          <w:szCs w:val="24"/>
        </w:rPr>
        <w:t>).</w:t>
      </w:r>
      <w:r>
        <w:t xml:space="preserve"> Toto postmoderní určení jsoucna hypostázovalo </w:t>
      </w:r>
      <w:r w:rsidRPr="00A8499B">
        <w:rPr>
          <w:i/>
        </w:rPr>
        <w:t>appetitus</w:t>
      </w:r>
      <w:r>
        <w:t xml:space="preserve"> ve formě pudu sebezáchovy, který Spinozův současník Hobbes potřeboval pro teorie společenské smlouvy. Nihilistická forma současného myšlení tento pud sebezáchovy instrumentalizovala do podoby globální systému </w:t>
      </w:r>
      <w:r>
        <w:lastRenderedPageBreak/>
        <w:t xml:space="preserve">spotřeby, moci a manipulace, který tvoří současný </w:t>
      </w:r>
      <w:r w:rsidRPr="007B4D5B">
        <w:rPr>
          <w:i/>
        </w:rPr>
        <w:t>conatus</w:t>
      </w:r>
      <w:r>
        <w:t xml:space="preserve"> planetární moci jednoho procenta současných iluminátů</w:t>
      </w:r>
      <w:r w:rsidR="009B463B">
        <w:t xml:space="preserve"> </w:t>
      </w:r>
      <w:r w:rsidR="009B463B">
        <w:rPr>
          <w:szCs w:val="24"/>
          <w:lang w:val="de-DE"/>
        </w:rPr>
        <w:t>(</w:t>
      </w:r>
      <w:r w:rsidR="009B463B" w:rsidRPr="003D512C">
        <w:rPr>
          <w:i/>
          <w:szCs w:val="24"/>
          <w:lang w:val="de-DE"/>
        </w:rPr>
        <w:t>dativus ethicus</w:t>
      </w:r>
      <w:r w:rsidR="009B463B">
        <w:rPr>
          <w:i/>
          <w:szCs w:val="24"/>
          <w:lang w:val="de-DE"/>
        </w:rPr>
        <w:fldChar w:fldCharType="begin"/>
      </w:r>
      <w:r w:rsidR="009B463B">
        <w:instrText xml:space="preserve"> XE "</w:instrText>
      </w:r>
      <w:r w:rsidR="009B463B" w:rsidRPr="008C3C7D">
        <w:rPr>
          <w:i/>
          <w:szCs w:val="24"/>
          <w:lang w:val="de-DE"/>
        </w:rPr>
        <w:instrText>dativus ethicus</w:instrText>
      </w:r>
      <w:r w:rsidR="009B463B">
        <w:instrText xml:space="preserve">" </w:instrText>
      </w:r>
      <w:r w:rsidR="009B463B">
        <w:rPr>
          <w:i/>
          <w:szCs w:val="24"/>
          <w:lang w:val="de-DE"/>
        </w:rPr>
        <w:fldChar w:fldCharType="end"/>
      </w:r>
      <w:r w:rsidR="009B463B">
        <w:rPr>
          <w:szCs w:val="24"/>
          <w:lang w:val="de-DE"/>
        </w:rPr>
        <w:t>)</w:t>
      </w:r>
      <w:r>
        <w:t>.</w:t>
      </w:r>
    </w:p>
    <w:p w:rsidR="08163013" w:rsidRPr="00273106" w:rsidRDefault="08163013" w:rsidP="08163013">
      <w:r>
        <w:tab/>
      </w:r>
      <w:r w:rsidRPr="00273106">
        <w:t xml:space="preserve">Bonaventura musí k objektivní definici materie najít také zvláštní druh objektivní formy. Teprve </w:t>
      </w:r>
      <w:r>
        <w:t xml:space="preserve">spojení materie a formy třetího druhu </w:t>
      </w:r>
      <w:r w:rsidRPr="00273106">
        <w:t xml:space="preserve">založí novou </w:t>
      </w:r>
      <w:r>
        <w:t>kvazi-</w:t>
      </w:r>
      <w:r w:rsidRPr="00273106">
        <w:t xml:space="preserve">substanci určující myšlení následující epochy </w:t>
      </w:r>
      <w:r w:rsidRPr="00273106">
        <w:rPr>
          <w:i/>
        </w:rPr>
        <w:t>Modernorum</w:t>
      </w:r>
      <w:r w:rsidRPr="00273106">
        <w:t xml:space="preserve">. Bonaventura se inspiroval </w:t>
      </w:r>
      <w:r>
        <w:t xml:space="preserve">Rufusem, jehož verze </w:t>
      </w:r>
      <w:r w:rsidRPr="00393374">
        <w:rPr>
          <w:i/>
        </w:rPr>
        <w:t>Oxfordian Fallacy</w:t>
      </w:r>
      <w:r>
        <w:t xml:space="preserve"> představuje </w:t>
      </w:r>
      <w:r w:rsidRPr="00273106">
        <w:t>formu v její primární esencialitě</w:t>
      </w:r>
      <w:r>
        <w:t xml:space="preserve"> jako </w:t>
      </w:r>
      <w:r w:rsidRPr="00273106">
        <w:t xml:space="preserve">čisté </w:t>
      </w:r>
      <w:r w:rsidRPr="00273106">
        <w:rPr>
          <w:i/>
        </w:rPr>
        <w:t>scibile</w:t>
      </w:r>
      <w:r w:rsidRPr="00273106">
        <w:t>. Vraťme se k</w:t>
      </w:r>
      <w:r w:rsidR="009B463B">
        <w:t xml:space="preserve"> </w:t>
      </w:r>
      <w:r w:rsidRPr="00273106">
        <w:t>porretánů</w:t>
      </w:r>
      <w:r w:rsidR="009B463B">
        <w:t>m</w:t>
      </w:r>
      <w:r w:rsidRPr="00273106">
        <w:t xml:space="preserve">, kteří univočně spojili </w:t>
      </w:r>
      <w:r w:rsidR="009B463B">
        <w:t>nominálně určené</w:t>
      </w:r>
      <w:r w:rsidRPr="00273106">
        <w:t xml:space="preserve"> první substance</w:t>
      </w:r>
      <w:r>
        <w:fldChar w:fldCharType="begin"/>
      </w:r>
      <w:r>
        <w:instrText xml:space="preserve"> XE "</w:instrText>
      </w:r>
      <w:r w:rsidRPr="00DE2A32">
        <w:instrText>substance</w:instrText>
      </w:r>
      <w:r>
        <w:instrText xml:space="preserve">:porretáni" </w:instrText>
      </w:r>
      <w:r>
        <w:fldChar w:fldCharType="end"/>
      </w:r>
      <w:r w:rsidRPr="00273106">
        <w:t xml:space="preserve"> (</w:t>
      </w:r>
      <w:r w:rsidRPr="00273106">
        <w:rPr>
          <w:i/>
        </w:rPr>
        <w:t>unitas nominis</w:t>
      </w:r>
      <w:r w:rsidRPr="00273106">
        <w:t xml:space="preserve">) a kategoriální </w:t>
      </w:r>
      <w:r w:rsidR="009B463B">
        <w:t>výpovědi n</w:t>
      </w:r>
      <w:r w:rsidRPr="00273106">
        <w:t xml:space="preserve">a úrovni druhé substance </w:t>
      </w:r>
      <w:r w:rsidR="009B463B">
        <w:t>(</w:t>
      </w:r>
      <w:r w:rsidRPr="00273106">
        <w:rPr>
          <w:i/>
        </w:rPr>
        <w:t>unitas enuntiabilis</w:t>
      </w:r>
      <w:r w:rsidRPr="00273106">
        <w:t xml:space="preserve">). Viz </w:t>
      </w:r>
      <w:r>
        <w:t xml:space="preserve">uvedenou polemiku ze </w:t>
      </w:r>
      <w:r w:rsidRPr="00273106">
        <w:t xml:space="preserve">spisu </w:t>
      </w:r>
      <w:r w:rsidRPr="00273106">
        <w:rPr>
          <w:i/>
        </w:rPr>
        <w:t>Dialectica</w:t>
      </w:r>
      <w:r w:rsidRPr="00273106">
        <w:t>, která shr</w:t>
      </w:r>
      <w:r>
        <w:t xml:space="preserve">nuje Abelardův spor s Gilbertem. Aberlad odmítl porretánskou verzi specifické individuace, protože individální predikace nemá žádné místo v systému aristotelských Kategorií </w:t>
      </w:r>
      <w:r w:rsidRPr="00273106">
        <w:t>(</w:t>
      </w:r>
      <w:r w:rsidRPr="00273106">
        <w:rPr>
          <w:i/>
        </w:rPr>
        <w:t xml:space="preserve">substantiales etiam sint speciebus secundum </w:t>
      </w:r>
      <w:r w:rsidR="00962190">
        <w:rPr>
          <w:i/>
        </w:rPr>
        <w:t>species</w:t>
      </w:r>
      <w:r w:rsidRPr="00273106">
        <w:rPr>
          <w:i/>
        </w:rPr>
        <w:t>, non secundum individua</w:t>
      </w:r>
      <w:r w:rsidR="08611EDE">
        <w:t>; OBJ II,</w:t>
      </w:r>
      <w:r w:rsidRPr="00273106">
        <w:t xml:space="preserve"> </w:t>
      </w:r>
      <w:r w:rsidR="08611EDE">
        <w:t>kap. 1</w:t>
      </w:r>
      <w:r>
        <w:t>.3</w:t>
      </w:r>
      <w:r w:rsidRPr="00273106">
        <w:t>).</w:t>
      </w:r>
      <w:r>
        <w:t xml:space="preserve"> První averroismus po vzoru Abelarda odmítne jakákoliv kategoriální určení absolutně čisté potence. Pojmy jako </w:t>
      </w:r>
      <w:r w:rsidRPr="086C5E3E">
        <w:rPr>
          <w:i/>
        </w:rPr>
        <w:t>materia prima</w:t>
      </w:r>
      <w:r>
        <w:t xml:space="preserve"> nelze predikovat</w:t>
      </w:r>
      <w:r w:rsidR="00855EAC">
        <w:t xml:space="preserve"> v kategoriálních soudech</w:t>
      </w:r>
      <w:r>
        <w:t>, ale pouze signifikovat</w:t>
      </w:r>
      <w:r w:rsidR="00855EAC">
        <w:t xml:space="preserve"> v mluvě</w:t>
      </w:r>
      <w:r>
        <w:t xml:space="preserve">, což v klasické logice není totéž. </w:t>
      </w:r>
      <w:r w:rsidR="00F85D87">
        <w:t>Termín „</w:t>
      </w:r>
      <w:r w:rsidR="00F85D87" w:rsidRPr="00F85D87">
        <w:rPr>
          <w:i/>
        </w:rPr>
        <w:t>i</w:t>
      </w:r>
      <w:r w:rsidR="08612DDC" w:rsidRPr="00F85D87">
        <w:rPr>
          <w:i/>
        </w:rPr>
        <w:t>ndividuum</w:t>
      </w:r>
      <w:r w:rsidR="00F85D87">
        <w:t>“</w:t>
      </w:r>
      <w:r w:rsidR="08612DDC">
        <w:t xml:space="preserve"> patří výlu</w:t>
      </w:r>
      <w:r w:rsidR="087A71E0">
        <w:t xml:space="preserve">čně do nominální predikace, protože je univerzálie a nemá kategoriální (tj. hyparchický) vztah k první substanci jako </w:t>
      </w:r>
      <w:r w:rsidR="00F85D87">
        <w:t xml:space="preserve">má </w:t>
      </w:r>
      <w:r w:rsidR="00962190" w:rsidRPr="00F64E78">
        <w:t>species</w:t>
      </w:r>
      <w:r w:rsidR="087A71E0">
        <w:t xml:space="preserve"> </w:t>
      </w:r>
      <w:r w:rsidR="087A71E0" w:rsidRPr="087A71E0">
        <w:rPr>
          <w:szCs w:val="24"/>
        </w:rPr>
        <w:t xml:space="preserve">(OBJ I, Kap. 1.3). </w:t>
      </w:r>
      <w:r w:rsidR="08155AD4">
        <w:rPr>
          <w:szCs w:val="24"/>
        </w:rPr>
        <w:t>Stejně tak i p</w:t>
      </w:r>
      <w:r>
        <w:t xml:space="preserve">otence je univerzální koncept daný pouze v mysli. </w:t>
      </w:r>
      <w:r w:rsidRPr="00273106">
        <w:t xml:space="preserve">Kategoriální určení je predikováno v modu </w:t>
      </w:r>
      <w:r w:rsidRPr="00273106">
        <w:rPr>
          <w:i/>
        </w:rPr>
        <w:t>per prius</w:t>
      </w:r>
      <w:r w:rsidRPr="00273106">
        <w:t xml:space="preserve"> a </w:t>
      </w:r>
      <w:r w:rsidRPr="00273106">
        <w:rPr>
          <w:i/>
        </w:rPr>
        <w:t>univoce</w:t>
      </w:r>
      <w:r w:rsidRPr="00273106">
        <w:t xml:space="preserve"> vzhledem k bytí první substance dané mimo poznávací mysl hylemorficky, aktuálně a </w:t>
      </w:r>
      <w:r w:rsidRPr="00273106">
        <w:rPr>
          <w:i/>
        </w:rPr>
        <w:t>simpliciter</w:t>
      </w:r>
      <w:r w:rsidRPr="00273106">
        <w:t>. Všechna</w:t>
      </w:r>
      <w:r>
        <w:t xml:space="preserve"> univerzální </w:t>
      </w:r>
      <w:r w:rsidRPr="00273106">
        <w:t xml:space="preserve">určení jsou vzhledem k bytí </w:t>
      </w:r>
      <w:r>
        <w:t xml:space="preserve">druhé </w:t>
      </w:r>
      <w:r w:rsidRPr="00273106">
        <w:t xml:space="preserve">substance buď dána akcidentálně v modu </w:t>
      </w:r>
      <w:r w:rsidRPr="00273106">
        <w:rPr>
          <w:i/>
        </w:rPr>
        <w:t>per posterius</w:t>
      </w:r>
      <w:r w:rsidRPr="00273106">
        <w:t>, nebo jsou už jen ekvivoční</w:t>
      </w:r>
      <w:r>
        <w:t xml:space="preserve">. Ale pouhé </w:t>
      </w:r>
      <w:r w:rsidRPr="08B41599">
        <w:rPr>
          <w:i/>
        </w:rPr>
        <w:t>opinabile</w:t>
      </w:r>
      <w:r>
        <w:rPr>
          <w:i/>
        </w:rPr>
        <w:fldChar w:fldCharType="begin"/>
      </w:r>
      <w:r>
        <w:instrText xml:space="preserve"> XE "</w:instrText>
      </w:r>
      <w:r w:rsidRPr="08C94BA6">
        <w:rPr>
          <w:i/>
        </w:rPr>
        <w:instrText>opinabile</w:instrText>
      </w:r>
      <w:r>
        <w:instrText xml:space="preserve">" </w:instrText>
      </w:r>
      <w:r>
        <w:rPr>
          <w:i/>
        </w:rPr>
        <w:fldChar w:fldCharType="end"/>
      </w:r>
      <w:r>
        <w:t xml:space="preserve"> nebo koncept daný jen v mysli leží </w:t>
      </w:r>
      <w:r w:rsidRPr="00273106">
        <w:t>mimo zájem vědeckého poznání</w:t>
      </w:r>
      <w:r>
        <w:t xml:space="preserve"> daného v deduktivním </w:t>
      </w:r>
      <w:r w:rsidRPr="000E09E6">
        <w:rPr>
          <w:i/>
        </w:rPr>
        <w:t>demon</w:t>
      </w:r>
      <w:r>
        <w:rPr>
          <w:i/>
        </w:rPr>
        <w:t>s</w:t>
      </w:r>
      <w:r w:rsidRPr="000E09E6">
        <w:rPr>
          <w:i/>
        </w:rPr>
        <w:t>tratio</w:t>
      </w:r>
      <w:r>
        <w:rPr>
          <w:i/>
        </w:rPr>
        <w:fldChar w:fldCharType="begin"/>
      </w:r>
      <w:r>
        <w:instrText xml:space="preserve"> XE "</w:instrText>
      </w:r>
      <w:r w:rsidRPr="004E6075">
        <w:rPr>
          <w:i/>
        </w:rPr>
        <w:instrText>demonstratio:</w:instrText>
      </w:r>
      <w:r>
        <w:instrText xml:space="preserve">Abelard" </w:instrText>
      </w:r>
      <w:r>
        <w:rPr>
          <w:i/>
        </w:rPr>
        <w:fldChar w:fldCharType="end"/>
      </w:r>
      <w:r>
        <w:t xml:space="preserve"> určeném podle kauzality první substance</w:t>
      </w:r>
      <w:r w:rsidRPr="00273106">
        <w:t>.</w:t>
      </w:r>
      <w:r>
        <w:t xml:space="preserve"> </w:t>
      </w:r>
      <w:r w:rsidRPr="00273106">
        <w:t xml:space="preserve">Podle prvního averroismu </w:t>
      </w:r>
      <w:r>
        <w:t>představuje substanciální predikace pouhé potence jasný nesmysl</w:t>
      </w:r>
      <w:r>
        <w:fldChar w:fldCharType="begin"/>
      </w:r>
      <w:r>
        <w:instrText xml:space="preserve"> XE "</w:instrText>
      </w:r>
      <w:r w:rsidRPr="009C2B7D">
        <w:instrText>sofisma člověk-mrtvola</w:instrText>
      </w:r>
      <w:r>
        <w:instrText xml:space="preserve">" </w:instrText>
      </w:r>
      <w:r>
        <w:fldChar w:fldCharType="end"/>
      </w:r>
      <w:r>
        <w:t xml:space="preserve">, protože to by mrtvola byla člověkem. Kategoriální predikaci potence </w:t>
      </w:r>
      <w:r w:rsidRPr="00273106">
        <w:t xml:space="preserve">odmítl první averroismus </w:t>
      </w:r>
      <w:r>
        <w:t xml:space="preserve">Blundovy školy už </w:t>
      </w:r>
      <w:r w:rsidRPr="00273106">
        <w:t xml:space="preserve">kolem 1225 </w:t>
      </w:r>
      <w:r>
        <w:t xml:space="preserve">na základě klasického učení peripatetiků zprostředkovaného Boethiem a Abelardem </w:t>
      </w:r>
      <w:r w:rsidRPr="00273106">
        <w:t>(</w:t>
      </w:r>
      <w:r w:rsidR="08C931AF">
        <w:t>OBJ II, kap. 2</w:t>
      </w:r>
      <w:r w:rsidRPr="00273106">
        <w:t>.2</w:t>
      </w:r>
      <w:r>
        <w:t>.1</w:t>
      </w:r>
      <w:r w:rsidRPr="00273106">
        <w:t>)</w:t>
      </w:r>
      <w:r>
        <w:t xml:space="preserve">. Druhý averroismus postupuje jinak, což ukázala </w:t>
      </w:r>
      <w:r w:rsidRPr="00273106">
        <w:t>objektivní predikace materie a formy</w:t>
      </w:r>
      <w:r>
        <w:t xml:space="preserve"> na Oxfordu od 1240</w:t>
      </w:r>
      <w:r w:rsidRPr="00273106">
        <w:t xml:space="preserve">. </w:t>
      </w:r>
      <w:r>
        <w:t xml:space="preserve">Matematizace jsoucna zavedla nový typ </w:t>
      </w:r>
      <w:r w:rsidRPr="00273106">
        <w:t>kategori</w:t>
      </w:r>
      <w:r>
        <w:t xml:space="preserve">í a </w:t>
      </w:r>
      <w:r w:rsidRPr="00273106">
        <w:t>poslal</w:t>
      </w:r>
      <w:r>
        <w:t>a</w:t>
      </w:r>
      <w:r w:rsidRPr="00273106">
        <w:t xml:space="preserve"> </w:t>
      </w:r>
      <w:r>
        <w:t xml:space="preserve">moderní </w:t>
      </w:r>
      <w:r w:rsidRPr="08976076">
        <w:rPr>
          <w:i/>
        </w:rPr>
        <w:t>informatio</w:t>
      </w:r>
      <w:r w:rsidRPr="00273106">
        <w:t xml:space="preserve"> </w:t>
      </w:r>
      <w:r>
        <w:t>do metafyziky</w:t>
      </w:r>
      <w:r>
        <w:rPr>
          <w:i/>
        </w:rPr>
        <w:fldChar w:fldCharType="begin"/>
      </w:r>
      <w:r>
        <w:instrText xml:space="preserve"> XE "</w:instrText>
      </w:r>
      <w:r w:rsidRPr="00ED0748">
        <w:rPr>
          <w:i/>
        </w:rPr>
        <w:instrText>via Modernorum</w:instrText>
      </w:r>
      <w:r>
        <w:instrText xml:space="preserve">" </w:instrText>
      </w:r>
      <w:r>
        <w:rPr>
          <w:i/>
        </w:rPr>
        <w:fldChar w:fldCharType="end"/>
      </w:r>
      <w:r w:rsidRPr="00273106">
        <w:t>.</w:t>
      </w:r>
      <w:r>
        <w:t xml:space="preserve"> Následující citát ukazuje vznik ontoteologické formy objektivního jsoucna</w:t>
      </w:r>
      <w:r>
        <w:fldChar w:fldCharType="begin"/>
      </w:r>
      <w:r>
        <w:instrText xml:space="preserve"> XE "</w:instrText>
      </w:r>
      <w:r w:rsidRPr="00977D3B">
        <w:instrText>ontoteologie:Bonaventura</w:instrText>
      </w:r>
      <w:r>
        <w:instrText xml:space="preserve">" </w:instrText>
      </w:r>
      <w:r>
        <w:fldChar w:fldCharType="end"/>
      </w:r>
      <w:r>
        <w:t xml:space="preserve">. </w:t>
      </w:r>
    </w:p>
    <w:p w:rsidR="08163013" w:rsidRDefault="08163013" w:rsidP="08163013">
      <w:pPr>
        <w:pStyle w:val="Citace"/>
      </w:pPr>
      <w:r w:rsidRPr="00273106">
        <w:rPr>
          <w:noProof/>
          <w:lang w:val="cs-CZ"/>
        </w:rPr>
        <w:lastRenderedPageBreak/>
        <w:t>„</w:t>
      </w:r>
      <w:r>
        <w:rPr>
          <w:noProof/>
          <w:lang w:val="cs-CZ"/>
        </w:rPr>
        <w:t>Formálně pojatou esenci je možné chápat tak, že je v potenciální materii dána nejen latentně (</w:t>
      </w:r>
      <w:r w:rsidRPr="00964AE5">
        <w:rPr>
          <w:i/>
          <w:noProof/>
        </w:rPr>
        <w:t>non solum latentes</w:t>
      </w:r>
      <w:r>
        <w:rPr>
          <w:noProof/>
          <w:lang w:val="cs-CZ"/>
        </w:rPr>
        <w:t>), ale bytuje v potenci (</w:t>
      </w:r>
      <w:r w:rsidRPr="00964AE5">
        <w:rPr>
          <w:i/>
          <w:noProof/>
        </w:rPr>
        <w:t>sed entes in potentia</w:t>
      </w:r>
      <w:r>
        <w:rPr>
          <w:noProof/>
          <w:lang w:val="cs-CZ"/>
        </w:rPr>
        <w:t xml:space="preserve">). Tak materie obsahuje v primárním stavu </w:t>
      </w:r>
      <w:r w:rsidR="083B67F3">
        <w:rPr>
          <w:noProof/>
          <w:lang w:val="cs-CZ"/>
        </w:rPr>
        <w:t xml:space="preserve">primární </w:t>
      </w:r>
      <w:r>
        <w:rPr>
          <w:noProof/>
          <w:lang w:val="cs-CZ"/>
        </w:rPr>
        <w:t>definice všech forem (</w:t>
      </w:r>
      <w:r w:rsidRPr="00B75E30">
        <w:rPr>
          <w:i/>
          <w:noProof/>
        </w:rPr>
        <w:t>materia habeat in se seminales omnium formarum rationes</w:t>
      </w:r>
      <w:r>
        <w:rPr>
          <w:noProof/>
          <w:lang w:val="cs-CZ"/>
        </w:rPr>
        <w:t xml:space="preserve">). V tom se shoduje jak filosofie, tak posvátná Písma, že tato </w:t>
      </w:r>
      <w:r w:rsidR="083B67F3">
        <w:rPr>
          <w:noProof/>
          <w:lang w:val="cs-CZ"/>
        </w:rPr>
        <w:t>primární určení (</w:t>
      </w:r>
      <w:r w:rsidR="083B67F3" w:rsidRPr="083B67F3">
        <w:rPr>
          <w:i/>
          <w:noProof/>
          <w:lang w:val="cs-CZ"/>
        </w:rPr>
        <w:t>rationes</w:t>
      </w:r>
      <w:r w:rsidR="083B67F3">
        <w:rPr>
          <w:noProof/>
          <w:lang w:val="cs-CZ"/>
        </w:rPr>
        <w:t xml:space="preserve">) </w:t>
      </w:r>
      <w:r>
        <w:rPr>
          <w:noProof/>
          <w:lang w:val="cs-CZ"/>
        </w:rPr>
        <w:t>jsou skrze jednání agenta vyvedena do aktuality (</w:t>
      </w:r>
      <w:r w:rsidRPr="004D4B57">
        <w:rPr>
          <w:i/>
          <w:noProof/>
          <w:szCs w:val="13"/>
        </w:rPr>
        <w:t xml:space="preserve">per </w:t>
      </w:r>
      <w:r w:rsidRPr="004D4B57">
        <w:rPr>
          <w:i/>
          <w:noProof/>
          <w:szCs w:val="14"/>
        </w:rPr>
        <w:t xml:space="preserve">actionem </w:t>
      </w:r>
      <w:r w:rsidRPr="004D4B57">
        <w:rPr>
          <w:i/>
          <w:noProof/>
          <w:szCs w:val="12"/>
        </w:rPr>
        <w:t xml:space="preserve">agentis </w:t>
      </w:r>
      <w:r w:rsidRPr="004D4B57">
        <w:rPr>
          <w:i/>
          <w:noProof/>
          <w:szCs w:val="14"/>
        </w:rPr>
        <w:t xml:space="preserve">educerentur </w:t>
      </w:r>
      <w:r w:rsidRPr="004D4B57">
        <w:rPr>
          <w:i/>
          <w:noProof/>
          <w:szCs w:val="11"/>
        </w:rPr>
        <w:t xml:space="preserve">in </w:t>
      </w:r>
      <w:r w:rsidRPr="004D4B57">
        <w:rPr>
          <w:i/>
          <w:noProof/>
          <w:szCs w:val="14"/>
        </w:rPr>
        <w:t>actum</w:t>
      </w:r>
      <w:r>
        <w:rPr>
          <w:noProof/>
          <w:lang w:val="cs-CZ"/>
        </w:rPr>
        <w:t>)</w:t>
      </w:r>
      <w:r w:rsidRPr="00273106">
        <w:rPr>
          <w:noProof/>
          <w:lang w:val="cs-CZ"/>
        </w:rPr>
        <w:t xml:space="preserve">.“ </w:t>
      </w:r>
      <w:r>
        <w:rPr>
          <w:rStyle w:val="Znakapoznpodarou"/>
        </w:rPr>
        <w:footnoteReference w:id="31"/>
      </w:r>
    </w:p>
    <w:p w:rsidR="00943D62" w:rsidRDefault="08163013" w:rsidP="08163013">
      <w:r w:rsidRPr="00273106">
        <w:t xml:space="preserve">První averroismus by souhlasil s ekvivočním </w:t>
      </w:r>
      <w:r>
        <w:t xml:space="preserve">pojetím látky </w:t>
      </w:r>
      <w:r w:rsidRPr="00273106">
        <w:t>skryté v čisté možnosti</w:t>
      </w:r>
      <w:r>
        <w:t xml:space="preserve"> (</w:t>
      </w:r>
      <w:r w:rsidRPr="00273106">
        <w:rPr>
          <w:i/>
        </w:rPr>
        <w:t>latentes in potentia</w:t>
      </w:r>
      <w:r>
        <w:t>)</w:t>
      </w:r>
      <w:r w:rsidRPr="00273106">
        <w:t xml:space="preserve">. To je klasická Aristotelova definice </w:t>
      </w:r>
      <w:r w:rsidRPr="00273106">
        <w:rPr>
          <w:i/>
        </w:rPr>
        <w:t>materia prima</w:t>
      </w:r>
      <w:r>
        <w:t xml:space="preserve"> daná jako čistý koncept v mysli. </w:t>
      </w:r>
      <w:r w:rsidRPr="00273106">
        <w:t xml:space="preserve">Bonaventura </w:t>
      </w:r>
      <w:r>
        <w:t xml:space="preserve">však </w:t>
      </w:r>
      <w:r w:rsidRPr="00273106">
        <w:t>tuto potenci vybavuje po vzoru Avice</w:t>
      </w:r>
      <w:r w:rsidR="006976C3">
        <w:t>nny zvláštním druhem jsoucnosti, kdy materie</w:t>
      </w:r>
      <w:r w:rsidRPr="00273106">
        <w:t xml:space="preserve"> </w:t>
      </w:r>
      <w:r w:rsidR="006976C3">
        <w:t xml:space="preserve">dostala </w:t>
      </w:r>
      <w:r w:rsidRPr="00273106">
        <w:t xml:space="preserve">subsistenci </w:t>
      </w:r>
      <w:r w:rsidR="006976C3">
        <w:t xml:space="preserve">určenou skrze hypostázovanou </w:t>
      </w:r>
      <w:r w:rsidRPr="00273106">
        <w:t>potenci (</w:t>
      </w:r>
      <w:r w:rsidRPr="00273106">
        <w:rPr>
          <w:i/>
        </w:rPr>
        <w:t>entes in potentia</w:t>
      </w:r>
      <w:r w:rsidRPr="00273106">
        <w:t xml:space="preserve">). </w:t>
      </w:r>
      <w:r>
        <w:t>Potence se stala jsoucnem dosazeným do amfibolní predikace</w:t>
      </w:r>
      <w:r>
        <w:fldChar w:fldCharType="begin"/>
      </w:r>
      <w:r>
        <w:instrText xml:space="preserve"> XE "</w:instrText>
      </w:r>
      <w:r w:rsidRPr="08E332A3">
        <w:instrText>predikace:amfibolní</w:instrText>
      </w:r>
      <w:r>
        <w:instrText xml:space="preserve">" </w:instrText>
      </w:r>
      <w:r>
        <w:fldChar w:fldCharType="end"/>
      </w:r>
      <w:r>
        <w:t>, což odpovídá definici materie podle Filopona</w:t>
      </w:r>
      <w:r w:rsidRPr="00273106">
        <w:t xml:space="preserve"> </w:t>
      </w:r>
      <w:r>
        <w:t>a Simplikia</w:t>
      </w:r>
      <w:r w:rsidRPr="00273106">
        <w:t xml:space="preserve"> </w:t>
      </w:r>
      <w:r>
        <w:t xml:space="preserve">jako neoplatonského </w:t>
      </w:r>
      <w:r w:rsidRPr="00273106">
        <w:t>j</w:t>
      </w:r>
      <w:r>
        <w:t xml:space="preserve">soucna třetího druhu. Toto určení materie přebírá Avicennovo </w:t>
      </w:r>
      <w:r w:rsidRPr="00273106">
        <w:t>formální určení esenciality definující věc z hlediska minimální jsoucnosti (</w:t>
      </w:r>
      <w:r w:rsidRPr="00273106">
        <w:rPr>
          <w:rStyle w:val="addmd"/>
          <w:i/>
        </w:rPr>
        <w:t>non esset ita, tunc non esset res</w:t>
      </w:r>
      <w:r w:rsidR="083B67F3">
        <w:rPr>
          <w:rStyle w:val="addmd"/>
        </w:rPr>
        <w:t xml:space="preserve">; OBJ I, </w:t>
      </w:r>
      <w:r w:rsidRPr="00273106">
        <w:rPr>
          <w:rStyle w:val="addmd"/>
        </w:rPr>
        <w:t>kap. 2.3.2</w:t>
      </w:r>
      <w:r w:rsidRPr="00273106">
        <w:t xml:space="preserve">). </w:t>
      </w:r>
      <w:r w:rsidR="00A61F60">
        <w:t>Bonaventura vzal tuto „</w:t>
      </w:r>
      <w:proofErr w:type="gramStart"/>
      <w:r w:rsidR="00A61F60">
        <w:t>potenci</w:t>
      </w:r>
      <w:proofErr w:type="gramEnd"/>
      <w:r w:rsidR="00A61F60">
        <w:t>–</w:t>
      </w:r>
      <w:proofErr w:type="gramStart"/>
      <w:r w:rsidR="00962190" w:rsidRPr="00A61F60">
        <w:t>species</w:t>
      </w:r>
      <w:proofErr w:type="gramEnd"/>
      <w:r w:rsidR="00A61F60">
        <w:t>“</w:t>
      </w:r>
      <w:r w:rsidRPr="00273106">
        <w:t xml:space="preserve"> </w:t>
      </w:r>
      <w:r w:rsidR="00A61F60">
        <w:t xml:space="preserve">a </w:t>
      </w:r>
      <w:r w:rsidRPr="00273106">
        <w:t>naroub</w:t>
      </w:r>
      <w:r w:rsidR="00A61F60">
        <w:t>a</w:t>
      </w:r>
      <w:r w:rsidRPr="00273106">
        <w:t>va</w:t>
      </w:r>
      <w:r w:rsidR="00A61F60">
        <w:t xml:space="preserve">l ji </w:t>
      </w:r>
      <w:r w:rsidRPr="00273106">
        <w:t xml:space="preserve">na </w:t>
      </w:r>
      <w:r>
        <w:t xml:space="preserve">numericky definovanou </w:t>
      </w:r>
      <w:r w:rsidRPr="00273106">
        <w:t>substanci třetího druhu</w:t>
      </w:r>
      <w:r w:rsidR="00A61F60">
        <w:t xml:space="preserve">. Tím </w:t>
      </w:r>
      <w:r w:rsidRPr="00273106">
        <w:t>vznikla esenciální enti</w:t>
      </w:r>
      <w:r w:rsidR="009C5F1D">
        <w:t>ta chápaná jako pseudo-aktuatuální věc</w:t>
      </w:r>
      <w:r w:rsidRPr="00273106">
        <w:t>, čili „subsistence něčeho“ (</w:t>
      </w:r>
      <w:r w:rsidRPr="00273106">
        <w:rPr>
          <w:i/>
        </w:rPr>
        <w:t>entes</w:t>
      </w:r>
      <w:r w:rsidRPr="00273106">
        <w:t xml:space="preserve">) ve smyslu minimální porce jsoucnosti. </w:t>
      </w:r>
      <w:r>
        <w:t xml:space="preserve">Tato minimální dávka jsoucnosti daná v moderním </w:t>
      </w:r>
      <w:r w:rsidRPr="08327532">
        <w:rPr>
          <w:i/>
        </w:rPr>
        <w:t>tertium ens</w:t>
      </w:r>
      <w:r w:rsidR="00A21507">
        <w:t xml:space="preserve"> jako „</w:t>
      </w:r>
      <w:proofErr w:type="gramStart"/>
      <w:r w:rsidR="00A21507">
        <w:t>materii</w:t>
      </w:r>
      <w:proofErr w:type="gramEnd"/>
      <w:r w:rsidR="00A21507">
        <w:t>–</w:t>
      </w:r>
      <w:proofErr w:type="gramStart"/>
      <w:r w:rsidR="00A21507">
        <w:t>esenci</w:t>
      </w:r>
      <w:proofErr w:type="gramEnd"/>
      <w:r w:rsidR="00A21507">
        <w:t>–</w:t>
      </w:r>
      <w:r>
        <w:t>potenci“ je formována neoplatonským způsobem, skrze stoické a později i Augustinovy racionální formy (</w:t>
      </w:r>
      <w:r w:rsidRPr="00273106">
        <w:rPr>
          <w:i/>
        </w:rPr>
        <w:t>seminales omnium formarum rationes</w:t>
      </w:r>
      <w:r>
        <w:t xml:space="preserve">). </w:t>
      </w:r>
      <w:r w:rsidRPr="00273106">
        <w:t xml:space="preserve">Citát vybavuje </w:t>
      </w:r>
      <w:r w:rsidR="00A24738">
        <w:t xml:space="preserve">objektivní materii </w:t>
      </w:r>
      <w:r w:rsidRPr="00273106">
        <w:t xml:space="preserve">danou jako </w:t>
      </w:r>
      <w:r w:rsidRPr="00273106">
        <w:rPr>
          <w:i/>
        </w:rPr>
        <w:t>scibile</w:t>
      </w:r>
      <w:r>
        <w:rPr>
          <w:i/>
        </w:rPr>
        <w:fldChar w:fldCharType="begin"/>
      </w:r>
      <w:r>
        <w:instrText xml:space="preserve"> XE "</w:instrText>
      </w:r>
      <w:r w:rsidRPr="00AA4F67">
        <w:rPr>
          <w:i/>
        </w:rPr>
        <w:instrText>scibile</w:instrText>
      </w:r>
      <w:r>
        <w:rPr>
          <w:i/>
        </w:rPr>
        <w:instrText>:</w:instrText>
      </w:r>
      <w:r w:rsidRPr="008062FA">
        <w:instrText>Bonaventura</w:instrText>
      </w:r>
      <w:r>
        <w:instrText xml:space="preserve">" </w:instrText>
      </w:r>
      <w:r>
        <w:rPr>
          <w:i/>
        </w:rPr>
        <w:fldChar w:fldCharType="end"/>
      </w:r>
      <w:r w:rsidRPr="00273106">
        <w:t xml:space="preserve"> i zvláštním druhem </w:t>
      </w:r>
      <w:r>
        <w:t xml:space="preserve">racionální formy. Tato forma </w:t>
      </w:r>
      <w:r w:rsidRPr="00273106">
        <w:t xml:space="preserve">existuje před jakoukoliv aktuální </w:t>
      </w:r>
      <w:r w:rsidR="00376A0F">
        <w:t xml:space="preserve">hylemorfickou formou </w:t>
      </w:r>
      <w:r w:rsidRPr="00273106">
        <w:t>(</w:t>
      </w:r>
      <w:r w:rsidRPr="00273106">
        <w:rPr>
          <w:i/>
        </w:rPr>
        <w:t>materia habeat in se rationes</w:t>
      </w:r>
      <w:r w:rsidRPr="00273106">
        <w:t>)</w:t>
      </w:r>
      <w:r>
        <w:t xml:space="preserve">. </w:t>
      </w:r>
      <w:r w:rsidR="00A91C49">
        <w:t>Reálná m</w:t>
      </w:r>
      <w:r>
        <w:t xml:space="preserve">aterie dostává tyto </w:t>
      </w:r>
      <w:proofErr w:type="gramStart"/>
      <w:r>
        <w:t>formy</w:t>
      </w:r>
      <w:proofErr w:type="gramEnd"/>
      <w:r w:rsidR="00A91C49">
        <w:t>–</w:t>
      </w:r>
      <w:proofErr w:type="gramStart"/>
      <w:r w:rsidR="00A91C49" w:rsidRPr="00D24C84">
        <w:rPr>
          <w:i/>
          <w:szCs w:val="24"/>
          <w:lang w:val="de-DE"/>
        </w:rPr>
        <w:t>rationes</w:t>
      </w:r>
      <w:proofErr w:type="gramEnd"/>
      <w:r>
        <w:t xml:space="preserve"> jako první informaci (</w:t>
      </w:r>
      <w:r w:rsidRPr="00273106">
        <w:rPr>
          <w:i/>
        </w:rPr>
        <w:t>sibi a primaria conditione inditas</w:t>
      </w:r>
      <w:r w:rsidRPr="00273106">
        <w:t>)</w:t>
      </w:r>
      <w:r w:rsidR="00943D62">
        <w:t>.</w:t>
      </w:r>
    </w:p>
    <w:p w:rsidR="00F94F6F" w:rsidRDefault="08163013" w:rsidP="00943D62">
      <w:pPr>
        <w:ind w:firstLine="397"/>
      </w:pPr>
      <w:r w:rsidRPr="00273106">
        <w:t xml:space="preserve">Podle prvního averroismu nemohou být </w:t>
      </w:r>
      <w:r>
        <w:t xml:space="preserve">žádná specifická </w:t>
      </w:r>
      <w:r w:rsidRPr="00273106">
        <w:t xml:space="preserve">určení součástí aktu bytí první substance, protože ta je dána </w:t>
      </w:r>
      <w:r w:rsidRPr="00273106">
        <w:rPr>
          <w:i/>
        </w:rPr>
        <w:t>simpliciter</w:t>
      </w:r>
      <w:r w:rsidRPr="00273106">
        <w:t xml:space="preserve">, tedy mimo univerzália. Druhý averroismus </w:t>
      </w:r>
      <w:r w:rsidR="009F1B8B">
        <w:t xml:space="preserve">dal univerzálie do věcí. To </w:t>
      </w:r>
      <w:r>
        <w:t xml:space="preserve">ukazuje postavení objektivních </w:t>
      </w:r>
      <w:r w:rsidRPr="00273106">
        <w:rPr>
          <w:i/>
        </w:rPr>
        <w:t>rationes</w:t>
      </w:r>
      <w:r>
        <w:t>, které existují imanentně dokonce i v čisté materii (</w:t>
      </w:r>
      <w:r w:rsidRPr="00273106">
        <w:rPr>
          <w:i/>
        </w:rPr>
        <w:t xml:space="preserve">habeat in </w:t>
      </w:r>
      <w:proofErr w:type="gramStart"/>
      <w:r w:rsidRPr="00273106">
        <w:rPr>
          <w:i/>
        </w:rPr>
        <w:t>se</w:t>
      </w:r>
      <w:proofErr w:type="gramEnd"/>
      <w:r>
        <w:t>)</w:t>
      </w:r>
      <w:r w:rsidRPr="00273106">
        <w:t>. Ratio jako forma třetího druhu je dáno přímo do materie směrem od primordiální roviny smyslu, jež tvoří základní podmínku všeho jsoucího.</w:t>
      </w:r>
      <w:r>
        <w:t xml:space="preserve"> Moderní </w:t>
      </w:r>
      <w:r w:rsidRPr="08686819">
        <w:rPr>
          <w:i/>
        </w:rPr>
        <w:t>informatio</w:t>
      </w:r>
      <w:r>
        <w:t xml:space="preserve"> čili vtisknutí pseudo-formy do pseudo-látky provádí příslušný demiurg</w:t>
      </w:r>
      <w:r w:rsidR="00E274FF">
        <w:t xml:space="preserve">. Ten žije </w:t>
      </w:r>
      <w:r>
        <w:t xml:space="preserve">v objektivním diakosmu </w:t>
      </w:r>
      <w:r w:rsidR="00E274FF">
        <w:t xml:space="preserve">(dnes v mediálním matrixu) a </w:t>
      </w:r>
      <w:r>
        <w:t>tvoří atomární substanc</w:t>
      </w:r>
      <w:r w:rsidR="00E274FF">
        <w:t>e</w:t>
      </w:r>
      <w:r>
        <w:t xml:space="preserve"> </w:t>
      </w:r>
      <w:r>
        <w:lastRenderedPageBreak/>
        <w:t>třetího druhu (</w:t>
      </w:r>
      <w:r w:rsidRPr="00BF36AE">
        <w:rPr>
          <w:i/>
          <w:szCs w:val="13"/>
        </w:rPr>
        <w:t xml:space="preserve">per </w:t>
      </w:r>
      <w:r w:rsidRPr="00BF36AE">
        <w:rPr>
          <w:i/>
          <w:szCs w:val="14"/>
        </w:rPr>
        <w:t xml:space="preserve">actionem </w:t>
      </w:r>
      <w:r w:rsidRPr="00BF36AE">
        <w:rPr>
          <w:i/>
          <w:szCs w:val="12"/>
        </w:rPr>
        <w:t xml:space="preserve">agentis </w:t>
      </w:r>
      <w:r w:rsidRPr="00BF36AE">
        <w:rPr>
          <w:i/>
          <w:szCs w:val="14"/>
        </w:rPr>
        <w:t xml:space="preserve">educerentur </w:t>
      </w:r>
      <w:r w:rsidRPr="00BF36AE">
        <w:rPr>
          <w:i/>
          <w:szCs w:val="11"/>
        </w:rPr>
        <w:t xml:space="preserve">in </w:t>
      </w:r>
      <w:r w:rsidRPr="00BF36AE">
        <w:rPr>
          <w:i/>
          <w:szCs w:val="14"/>
        </w:rPr>
        <w:t>actum</w:t>
      </w:r>
      <w:r>
        <w:t xml:space="preserve">). </w:t>
      </w:r>
      <w:r w:rsidR="008418BB">
        <w:t>Bacon napadl t</w:t>
      </w:r>
      <w:r>
        <w:t xml:space="preserve">ento sofistický konstrukt v jeho kritice moderní predikace </w:t>
      </w:r>
      <w:r w:rsidR="008418BB">
        <w:t>„</w:t>
      </w:r>
      <w:r w:rsidRPr="00BF36AE">
        <w:rPr>
          <w:i/>
        </w:rPr>
        <w:t>in artificialibus</w:t>
      </w:r>
      <w:r w:rsidR="008418BB">
        <w:t>“ (</w:t>
      </w:r>
      <w:r w:rsidR="008418BB" w:rsidRPr="00F247EE">
        <w:rPr>
          <w:i/>
        </w:rPr>
        <w:t>hoc materia artificialis de artificialibus predicatur</w:t>
      </w:r>
      <w:r w:rsidR="008418BB">
        <w:t>; OBJ II, kap. 2.4.3)</w:t>
      </w:r>
      <w:r w:rsidR="008418BB" w:rsidRPr="00273106">
        <w:t>.</w:t>
      </w:r>
      <w:r w:rsidR="008418BB">
        <w:t xml:space="preserve"> Bonaventrua byl určitě jeden z cílů této kritiky. </w:t>
      </w:r>
      <w:r w:rsidRPr="00273106">
        <w:t>Nové jsoucno třetího druhu je determinováno v rámci explicitní ontoteologické struktury (</w:t>
      </w:r>
      <w:r w:rsidRPr="00273106">
        <w:rPr>
          <w:i/>
        </w:rPr>
        <w:t>illud concordat et philosophiae et sacrae Scripturae</w:t>
      </w:r>
      <w:r w:rsidRPr="00273106">
        <w:t>).</w:t>
      </w:r>
      <w:r>
        <w:t xml:space="preserve"> Tím vzniká nová matematizovaná podoba objektivního jsoucna, jejíž primární o</w:t>
      </w:r>
      <w:r w:rsidRPr="00273106">
        <w:t>ntoteologická determinace</w:t>
      </w:r>
      <w:r>
        <w:t xml:space="preserve"> a formace leží v boží mysli v </w:t>
      </w:r>
      <w:r w:rsidRPr="00273106">
        <w:t>podobě Grossestestových archetypů (</w:t>
      </w:r>
      <w:r w:rsidR="0814372F">
        <w:t>OBJ II, kap. 3</w:t>
      </w:r>
      <w:r w:rsidRPr="00273106">
        <w:t>.1.1)</w:t>
      </w:r>
      <w:r>
        <w:t xml:space="preserve">. Serafínský myslitel </w:t>
      </w:r>
      <w:r w:rsidRPr="00273106">
        <w:t xml:space="preserve">sledující linii </w:t>
      </w:r>
      <w:r>
        <w:t xml:space="preserve">moderních oxfordských </w:t>
      </w:r>
      <w:r w:rsidRPr="00273106">
        <w:rPr>
          <w:i/>
        </w:rPr>
        <w:t>Nominales</w:t>
      </w:r>
      <w:r w:rsidRPr="00273106">
        <w:t xml:space="preserve"> nemá problém s translací teologické pseudo-formy do materie třetího druhu, protože to před ním prove</w:t>
      </w:r>
      <w:r>
        <w:t>dl jak F</w:t>
      </w:r>
      <w:r w:rsidRPr="00273106">
        <w:t>iloponus</w:t>
      </w:r>
      <w:r>
        <w:fldChar w:fldCharType="begin"/>
      </w:r>
      <w:r>
        <w:instrText xml:space="preserve"> XE "</w:instrText>
      </w:r>
      <w:r w:rsidRPr="00CC545C">
        <w:instrText>Filoponus</w:instrText>
      </w:r>
      <w:r>
        <w:instrText xml:space="preserve">" </w:instrText>
      </w:r>
      <w:r>
        <w:fldChar w:fldCharType="end"/>
      </w:r>
      <w:r w:rsidR="08C35F17">
        <w:t xml:space="preserve">, </w:t>
      </w:r>
      <w:r w:rsidRPr="00273106">
        <w:t>Avicenna</w:t>
      </w:r>
      <w:r>
        <w:t xml:space="preserve"> a po nich Rufus a Kilwardby</w:t>
      </w:r>
      <w:r w:rsidRPr="00273106">
        <w:t xml:space="preserve">. </w:t>
      </w:r>
      <w:r>
        <w:t>P</w:t>
      </w:r>
      <w:r w:rsidRPr="00273106">
        <w:t>ředchůdná racionalita váz</w:t>
      </w:r>
      <w:r w:rsidR="00315E4B">
        <w:t xml:space="preserve">aná na koncept látky jako hypostázované </w:t>
      </w:r>
      <w:r w:rsidRPr="00273106">
        <w:t>potence tvoří základ všec</w:t>
      </w:r>
      <w:r>
        <w:t xml:space="preserve">h forem </w:t>
      </w:r>
      <w:r w:rsidRPr="00273106">
        <w:t>(</w:t>
      </w:r>
      <w:r w:rsidRPr="00273106">
        <w:rPr>
          <w:i/>
        </w:rPr>
        <w:t>omnium formarum</w:t>
      </w:r>
      <w:r w:rsidRPr="00273106">
        <w:t xml:space="preserve">). Díky </w:t>
      </w:r>
      <w:r w:rsidR="00FE5570">
        <w:t xml:space="preserve">takto </w:t>
      </w:r>
      <w:r>
        <w:t xml:space="preserve">hypostázované </w:t>
      </w:r>
      <w:r w:rsidRPr="00273106">
        <w:t xml:space="preserve">primární látce tvoří </w:t>
      </w:r>
      <w:r w:rsidRPr="00273106">
        <w:rPr>
          <w:i/>
        </w:rPr>
        <w:t>rationes seminales</w:t>
      </w:r>
      <w:r>
        <w:rPr>
          <w:i/>
        </w:rPr>
        <w:fldChar w:fldCharType="begin"/>
      </w:r>
      <w:r>
        <w:instrText xml:space="preserve"> XE "</w:instrText>
      </w:r>
      <w:r w:rsidRPr="00842B74">
        <w:rPr>
          <w:i/>
        </w:rPr>
        <w:instrText>rationes seminales</w:instrText>
      </w:r>
      <w:r>
        <w:instrText xml:space="preserve">" </w:instrText>
      </w:r>
      <w:r>
        <w:rPr>
          <w:i/>
        </w:rPr>
        <w:fldChar w:fldCharType="end"/>
      </w:r>
      <w:r w:rsidRPr="00273106">
        <w:t xml:space="preserve"> původní </w:t>
      </w:r>
      <w:r>
        <w:t>rovinu</w:t>
      </w:r>
      <w:r w:rsidR="00FE5570">
        <w:t xml:space="preserve"> bytí</w:t>
      </w:r>
      <w:r>
        <w:t xml:space="preserve">. Bonaventura převzal Rufusovo </w:t>
      </w:r>
      <w:r w:rsidRPr="00C05729">
        <w:rPr>
          <w:i/>
        </w:rPr>
        <w:t>informatio</w:t>
      </w:r>
      <w:r>
        <w:rPr>
          <w:i/>
        </w:rPr>
        <w:fldChar w:fldCharType="begin"/>
      </w:r>
      <w:r>
        <w:instrText xml:space="preserve"> XE "</w:instrText>
      </w:r>
      <w:r w:rsidRPr="00CA0B48">
        <w:rPr>
          <w:i/>
        </w:rPr>
        <w:instrText>informatio</w:instrText>
      </w:r>
      <w:r>
        <w:instrText xml:space="preserve">" </w:instrText>
      </w:r>
      <w:r>
        <w:rPr>
          <w:i/>
        </w:rPr>
        <w:fldChar w:fldCharType="end"/>
      </w:r>
      <w:r>
        <w:t xml:space="preserve"> a dal objektivně pojatou látku do ontoteologické struktury </w:t>
      </w:r>
      <w:r w:rsidRPr="00F00B5F">
        <w:rPr>
          <w:i/>
        </w:rPr>
        <w:t>rationes</w:t>
      </w:r>
      <w:r>
        <w:t xml:space="preserve"> sestupujích od boha. </w:t>
      </w:r>
      <w:r w:rsidRPr="00273106">
        <w:t>Spojením formy a látky třetího druhu</w:t>
      </w:r>
      <w:r>
        <w:t xml:space="preserve"> vznikla nová pseudo-substance daná ve smyslu Rufusova </w:t>
      </w:r>
      <w:r w:rsidR="004577BD">
        <w:t>„</w:t>
      </w:r>
      <w:r w:rsidR="004577BD">
        <w:rPr>
          <w:i/>
        </w:rPr>
        <w:t>exsistere</w:t>
      </w:r>
      <w:r w:rsidR="004577BD">
        <w:t xml:space="preserve">“, </w:t>
      </w:r>
      <w:r>
        <w:t xml:space="preserve">která zakládá </w:t>
      </w:r>
      <w:r w:rsidRPr="00273106">
        <w:t>reálnou existenc</w:t>
      </w:r>
      <w:r>
        <w:t>i</w:t>
      </w:r>
      <w:r w:rsidRPr="00273106">
        <w:t xml:space="preserve"> </w:t>
      </w:r>
      <w:r>
        <w:t xml:space="preserve">kontingentní </w:t>
      </w:r>
      <w:r w:rsidRPr="00273106">
        <w:t xml:space="preserve">první substance. </w:t>
      </w:r>
      <w:r>
        <w:t>Látka třetího druhu je informována formou třetího druhu danou jako exemplar. Tato moderní konjunkce objektivní materie a formy dostala podobu a</w:t>
      </w:r>
      <w:r w:rsidRPr="00273106">
        <w:t xml:space="preserve">ristotelské kategoriální predikace </w:t>
      </w:r>
      <w:r>
        <w:t xml:space="preserve">dané </w:t>
      </w:r>
      <w:r w:rsidRPr="00273106">
        <w:rPr>
          <w:i/>
        </w:rPr>
        <w:t>per prius</w:t>
      </w:r>
      <w:r w:rsidRPr="00273106">
        <w:t>.</w:t>
      </w:r>
      <w:r>
        <w:t xml:space="preserve"> Nové jsoucno třetího druhu vzniklo tím, že Bonaventura </w:t>
      </w:r>
      <w:r w:rsidRPr="00273106">
        <w:t xml:space="preserve">přidal k potenci </w:t>
      </w:r>
      <w:r>
        <w:t xml:space="preserve">materie </w:t>
      </w:r>
      <w:r w:rsidRPr="00273106">
        <w:t xml:space="preserve">také </w:t>
      </w:r>
      <w:r>
        <w:t xml:space="preserve">formální výměr esence </w:t>
      </w:r>
      <w:r w:rsidRPr="00273106">
        <w:t xml:space="preserve">dané </w:t>
      </w:r>
      <w:r>
        <w:t>v mysli božího agenta</w:t>
      </w:r>
      <w:r w:rsidRPr="00CE413E">
        <w:t xml:space="preserve"> </w:t>
      </w:r>
      <w:proofErr w:type="gramStart"/>
      <w:r w:rsidRPr="00273106">
        <w:t xml:space="preserve">jako </w:t>
      </w:r>
      <w:r>
        <w:t xml:space="preserve"> věčné</w:t>
      </w:r>
      <w:proofErr w:type="gramEnd"/>
      <w:r>
        <w:t xml:space="preserve"> </w:t>
      </w:r>
      <w:r w:rsidRPr="00273106">
        <w:t>species</w:t>
      </w:r>
      <w:r>
        <w:t xml:space="preserve"> (</w:t>
      </w:r>
      <w:r w:rsidRPr="00CE413E">
        <w:rPr>
          <w:i/>
        </w:rPr>
        <w:t>ratio</w:t>
      </w:r>
      <w:r>
        <w:rPr>
          <w:i/>
        </w:rPr>
        <w:t xml:space="preserve"> exemplaris</w:t>
      </w:r>
      <w:r>
        <w:t>)</w:t>
      </w:r>
      <w:r>
        <w:rPr>
          <w:i/>
        </w:rPr>
        <w:fldChar w:fldCharType="begin"/>
      </w:r>
      <w:r>
        <w:instrText xml:space="preserve"> XE "exemplar" </w:instrText>
      </w:r>
      <w:r>
        <w:rPr>
          <w:i/>
        </w:rPr>
        <w:fldChar w:fldCharType="end"/>
      </w:r>
      <w:r w:rsidRPr="00273106">
        <w:t>.</w:t>
      </w:r>
      <w:r>
        <w:t xml:space="preserve"> Pseudo</w:t>
      </w:r>
      <w:r>
        <w:noBreakHyphen/>
        <w:t>materie je k přijetí objektivních forem na úrovni stvoření (</w:t>
      </w:r>
      <w:r w:rsidRPr="00371E17">
        <w:rPr>
          <w:i/>
        </w:rPr>
        <w:t>ratio seminalis</w:t>
      </w:r>
      <w:r>
        <w:t>) disponována potřebným apetitem. Demiurg posílá primární formy do materie třetího druhu v modu objektivního tvoření</w:t>
      </w:r>
      <w:r>
        <w:fldChar w:fldCharType="begin"/>
      </w:r>
      <w:r>
        <w:instrText xml:space="preserve"> XE "</w:instrText>
      </w:r>
      <w:r w:rsidRPr="005C2F4A">
        <w:rPr>
          <w:rStyle w:val="addmd"/>
        </w:rPr>
        <w:instrText>demiurg</w:instrText>
      </w:r>
      <w:r>
        <w:instrText xml:space="preserve">" </w:instrText>
      </w:r>
      <w:r>
        <w:fldChar w:fldCharType="end"/>
      </w:r>
      <w:r>
        <w:t>. První objektivní a proto mysticky pojatá informatika pracuje na úrovni hylemorfického objektivního simulákra</w:t>
      </w:r>
      <w:r>
        <w:fldChar w:fldCharType="begin"/>
      </w:r>
      <w:r>
        <w:instrText xml:space="preserve"> XE "</w:instrText>
      </w:r>
      <w:r w:rsidRPr="00C2134D">
        <w:instrText>simulákrum</w:instrText>
      </w:r>
      <w:r>
        <w:instrText xml:space="preserve">" </w:instrText>
      </w:r>
      <w:r>
        <w:fldChar w:fldCharType="end"/>
      </w:r>
      <w:r>
        <w:t>, které dostalo potřebný apetit k přijetí hypostázované porretánské formy třetího druhu.</w:t>
      </w:r>
      <w:r w:rsidRPr="085518FD">
        <w:t xml:space="preserve"> </w:t>
      </w:r>
      <w:r>
        <w:t>Toto nové simulákrum zahájilo po Rufusovi informatickou revoluci Západu (</w:t>
      </w:r>
      <w:r w:rsidR="086522B4">
        <w:t>OBJ II, kap. 3</w:t>
      </w:r>
      <w:r>
        <w:t xml:space="preserve">.3.2). Hermeneutika tím našla původní </w:t>
      </w:r>
      <w:r w:rsidRPr="005155BA">
        <w:rPr>
          <w:i/>
        </w:rPr>
        <w:t>Lichtung</w:t>
      </w:r>
      <w:r>
        <w:t xml:space="preserve"> nepravd</w:t>
      </w:r>
      <w:r w:rsidR="00EB73A4">
        <w:t xml:space="preserve">y, která založila </w:t>
      </w:r>
      <w:r>
        <w:t>objektivní informatik</w:t>
      </w:r>
      <w:r w:rsidR="00EB73A4">
        <w:t>u</w:t>
      </w:r>
      <w:r>
        <w:fldChar w:fldCharType="begin"/>
      </w:r>
      <w:r>
        <w:instrText xml:space="preserve"> XE "</w:instrText>
      </w:r>
      <w:r w:rsidRPr="0023606C">
        <w:instrText>informatika</w:instrText>
      </w:r>
      <w:r>
        <w:instrText xml:space="preserve">" </w:instrText>
      </w:r>
      <w:r>
        <w:fldChar w:fldCharType="end"/>
      </w:r>
      <w:r w:rsidR="00F94F6F">
        <w:t>.</w:t>
      </w:r>
    </w:p>
    <w:p w:rsidR="08163013" w:rsidRPr="00273106" w:rsidRDefault="08163013" w:rsidP="006129D5">
      <w:pPr>
        <w:ind w:firstLine="397"/>
        <w:rPr>
          <w:szCs w:val="14"/>
        </w:rPr>
      </w:pPr>
      <w:r>
        <w:t xml:space="preserve">Bonaventura </w:t>
      </w:r>
      <w:r w:rsidR="00F94F6F">
        <w:t xml:space="preserve">vložil </w:t>
      </w:r>
      <w:r>
        <w:t xml:space="preserve">Rufusovo formální </w:t>
      </w:r>
      <w:r w:rsidRPr="00B10DC5">
        <w:rPr>
          <w:i/>
        </w:rPr>
        <w:t>scibile</w:t>
      </w:r>
      <w:r>
        <w:t xml:space="preserve"> v řádu </w:t>
      </w:r>
      <w:r w:rsidRPr="00B10DC5">
        <w:rPr>
          <w:i/>
        </w:rPr>
        <w:t>informatio</w:t>
      </w:r>
      <w:r>
        <w:rPr>
          <w:i/>
        </w:rPr>
        <w:fldChar w:fldCharType="begin"/>
      </w:r>
      <w:r>
        <w:instrText xml:space="preserve"> XE "</w:instrText>
      </w:r>
      <w:r w:rsidRPr="0888608A">
        <w:rPr>
          <w:i/>
        </w:rPr>
        <w:instrText>informatio</w:instrText>
      </w:r>
      <w:r>
        <w:instrText xml:space="preserve">" </w:instrText>
      </w:r>
      <w:r>
        <w:rPr>
          <w:i/>
        </w:rPr>
        <w:fldChar w:fldCharType="end"/>
      </w:r>
      <w:r>
        <w:t xml:space="preserve"> do ontoteo</w:t>
      </w:r>
      <w:r w:rsidR="00F94F6F">
        <w:t>logické struktury, a tím vytvořil</w:t>
      </w:r>
      <w:r>
        <w:t xml:space="preserve"> křesťanskou verzi neoplatonského diakosmu. </w:t>
      </w:r>
      <w:r w:rsidRPr="00273106">
        <w:t xml:space="preserve">Kombinace formy a materie třetího druhu predikovaná v rámci nominalistického dělení </w:t>
      </w:r>
      <w:r w:rsidR="00962190">
        <w:rPr>
          <w:i/>
        </w:rPr>
        <w:lastRenderedPageBreak/>
        <w:t>genus</w:t>
      </w:r>
      <w:r w:rsidRPr="00273106">
        <w:t xml:space="preserve"> a </w:t>
      </w:r>
      <w:r w:rsidR="00962190">
        <w:rPr>
          <w:i/>
        </w:rPr>
        <w:t>species</w:t>
      </w:r>
      <w:r w:rsidRPr="00273106">
        <w:t xml:space="preserve"> odlišuje objektivní formu univerzality </w:t>
      </w:r>
      <w:r>
        <w:t>(</w:t>
      </w:r>
      <w:r w:rsidRPr="00FA66DA">
        <w:rPr>
          <w:i/>
        </w:rPr>
        <w:t xml:space="preserve">ratio </w:t>
      </w:r>
      <w:r>
        <w:rPr>
          <w:i/>
        </w:rPr>
        <w:t xml:space="preserve">exemplaris, </w:t>
      </w:r>
      <w:r w:rsidRPr="00FA66DA">
        <w:rPr>
          <w:i/>
        </w:rPr>
        <w:t>seminalis</w:t>
      </w:r>
      <w:r>
        <w:t xml:space="preserve">) </w:t>
      </w:r>
      <w:r w:rsidRPr="00273106">
        <w:t xml:space="preserve">od </w:t>
      </w:r>
      <w:r>
        <w:t>platon</w:t>
      </w:r>
      <w:r w:rsidRPr="00273106">
        <w:t>ských</w:t>
      </w:r>
      <w:r>
        <w:t xml:space="preserve"> idejí</w:t>
      </w:r>
      <w:r w:rsidRPr="00273106">
        <w:t xml:space="preserve">. Změnu proti neoplatonismu ukazuje postavení univerzálií, které Bonaventura odmítl redukovat na </w:t>
      </w:r>
      <w:r>
        <w:t>platonské</w:t>
      </w:r>
      <w:r w:rsidRPr="00273106">
        <w:t xml:space="preserve"> ideje. </w:t>
      </w:r>
      <w:r>
        <w:t xml:space="preserve">Rozchod s čistým platonismem, v němž ideje fungují jako oddělené subsistentní formy, zásadně pomohl prosadit </w:t>
      </w:r>
      <w:r w:rsidR="00945392">
        <w:t>objektivitu</w:t>
      </w:r>
      <w:r w:rsidRPr="002D5EC9">
        <w:t xml:space="preserve"> </w:t>
      </w:r>
      <w:r>
        <w:t xml:space="preserve">v po roce 1250. </w:t>
      </w:r>
      <w:r>
        <w:rPr>
          <w:szCs w:val="14"/>
        </w:rPr>
        <w:t>P</w:t>
      </w:r>
      <w:r w:rsidRPr="00273106">
        <w:rPr>
          <w:szCs w:val="14"/>
        </w:rPr>
        <w:t>rvní averrorismus považuje za základní znak univerzálních významů jejich modus daný skrze abstrakci,</w:t>
      </w:r>
      <w:r>
        <w:rPr>
          <w:szCs w:val="14"/>
        </w:rPr>
        <w:t xml:space="preserve"> </w:t>
      </w:r>
      <w:r w:rsidRPr="00273106">
        <w:rPr>
          <w:szCs w:val="14"/>
        </w:rPr>
        <w:t xml:space="preserve">proto existují pouze v lidském intelektu. </w:t>
      </w:r>
      <w:r w:rsidRPr="00273106">
        <w:t xml:space="preserve">Bonaventura nemá žádný problém s přijetím Aristotelovy kritiky </w:t>
      </w:r>
      <w:r>
        <w:t>Platonových</w:t>
      </w:r>
      <w:r w:rsidRPr="00273106">
        <w:t xml:space="preserve"> idejí, a dokonce bere i pojetí univerzálie dané </w:t>
      </w:r>
      <w:r>
        <w:t xml:space="preserve">pouze </w:t>
      </w:r>
      <w:r w:rsidRPr="00273106">
        <w:t>v mysli. Objektivní forma jsoucna daná v termín</w:t>
      </w:r>
      <w:r>
        <w:t xml:space="preserve">u </w:t>
      </w:r>
      <w:r w:rsidR="009A3FAA">
        <w:t>„</w:t>
      </w:r>
      <w:r w:rsidRPr="00273106">
        <w:rPr>
          <w:i/>
        </w:rPr>
        <w:t>ratio seminalis</w:t>
      </w:r>
      <w:r w:rsidR="009A3FAA">
        <w:t>“</w:t>
      </w:r>
      <w:r w:rsidRPr="00273106">
        <w:t xml:space="preserve"> </w:t>
      </w:r>
      <w:r>
        <w:t xml:space="preserve">totiž </w:t>
      </w:r>
      <w:r w:rsidRPr="00273106">
        <w:t>není ani jedno ani druhé</w:t>
      </w:r>
      <w:r>
        <w:t xml:space="preserve">, viz Avicennovo pojetí </w:t>
      </w:r>
      <w:r w:rsidR="009A3FAA">
        <w:t>„</w:t>
      </w:r>
      <w:r w:rsidRPr="009179F9">
        <w:rPr>
          <w:i/>
        </w:rPr>
        <w:t>hoc esse tantum</w:t>
      </w:r>
      <w:r w:rsidR="009A3FAA">
        <w:t>“</w:t>
      </w:r>
      <w:r>
        <w:rPr>
          <w:i/>
        </w:rPr>
        <w:fldChar w:fldCharType="begin"/>
      </w:r>
      <w:r>
        <w:instrText xml:space="preserve"> XE "</w:instrText>
      </w:r>
      <w:r w:rsidRPr="005A071C">
        <w:rPr>
          <w:i/>
          <w:lang w:eastAsia="en-US"/>
        </w:rPr>
        <w:instrText>hoc esse tantum</w:instrText>
      </w:r>
      <w:r>
        <w:instrText xml:space="preserve">" </w:instrText>
      </w:r>
      <w:r>
        <w:rPr>
          <w:i/>
        </w:rPr>
        <w:fldChar w:fldCharType="end"/>
      </w:r>
      <w:r>
        <w:t xml:space="preserve"> (</w:t>
      </w:r>
      <w:r w:rsidR="08696941">
        <w:t xml:space="preserve">OBJ I, </w:t>
      </w:r>
      <w:r w:rsidRPr="00273106">
        <w:t>kap. 2.3.2</w:t>
      </w:r>
      <w:r>
        <w:t>)</w:t>
      </w:r>
      <w:r w:rsidRPr="00273106">
        <w:t>.</w:t>
      </w:r>
      <w:r>
        <w:t xml:space="preserve"> </w:t>
      </w:r>
      <w:r w:rsidR="006129D5">
        <w:t>K</w:t>
      </w:r>
      <w:r w:rsidRPr="00273106">
        <w:rPr>
          <w:szCs w:val="14"/>
        </w:rPr>
        <w:t xml:space="preserve">vůli materii třetího druhu obsahuje </w:t>
      </w:r>
      <w:r>
        <w:rPr>
          <w:szCs w:val="14"/>
        </w:rPr>
        <w:t xml:space="preserve">seminální </w:t>
      </w:r>
      <w:r w:rsidR="00962190" w:rsidRPr="006129D5">
        <w:rPr>
          <w:szCs w:val="14"/>
        </w:rPr>
        <w:t>species</w:t>
      </w:r>
      <w:r>
        <w:rPr>
          <w:szCs w:val="14"/>
        </w:rPr>
        <w:t xml:space="preserve"> </w:t>
      </w:r>
      <w:r w:rsidRPr="00273106">
        <w:rPr>
          <w:szCs w:val="14"/>
        </w:rPr>
        <w:t>jiný dru</w:t>
      </w:r>
      <w:r w:rsidR="006129D5">
        <w:rPr>
          <w:szCs w:val="14"/>
        </w:rPr>
        <w:t>h určení mimo abstrahující mysl</w:t>
      </w:r>
      <w:r w:rsidRPr="00273106">
        <w:rPr>
          <w:szCs w:val="14"/>
        </w:rPr>
        <w:t>. Bonaventura vytvořil nové určení jsoucna</w:t>
      </w:r>
      <w:r w:rsidR="006129D5">
        <w:rPr>
          <w:szCs w:val="14"/>
        </w:rPr>
        <w:t xml:space="preserve"> mimo </w:t>
      </w:r>
      <w:r>
        <w:rPr>
          <w:szCs w:val="14"/>
        </w:rPr>
        <w:t>platonské</w:t>
      </w:r>
      <w:r w:rsidRPr="00273106">
        <w:rPr>
          <w:szCs w:val="14"/>
        </w:rPr>
        <w:t xml:space="preserve"> pojetí univerzálií</w:t>
      </w:r>
      <w:r w:rsidR="006129D5">
        <w:rPr>
          <w:szCs w:val="14"/>
        </w:rPr>
        <w:t xml:space="preserve"> jako </w:t>
      </w:r>
      <w:r>
        <w:rPr>
          <w:szCs w:val="14"/>
        </w:rPr>
        <w:t>idejí</w:t>
      </w:r>
      <w:r w:rsidRPr="00273106">
        <w:rPr>
          <w:szCs w:val="14"/>
        </w:rPr>
        <w:t xml:space="preserve"> daných </w:t>
      </w:r>
      <w:r w:rsidRPr="00273106">
        <w:rPr>
          <w:i/>
          <w:szCs w:val="14"/>
        </w:rPr>
        <w:t>realiter</w:t>
      </w:r>
      <w:r w:rsidRPr="00273106">
        <w:rPr>
          <w:szCs w:val="14"/>
        </w:rPr>
        <w:t xml:space="preserve"> a </w:t>
      </w:r>
      <w:r w:rsidR="006129D5">
        <w:rPr>
          <w:szCs w:val="14"/>
        </w:rPr>
        <w:t xml:space="preserve">mimo </w:t>
      </w:r>
      <w:r w:rsidRPr="00273106">
        <w:rPr>
          <w:szCs w:val="14"/>
        </w:rPr>
        <w:t xml:space="preserve">aristotelské pojetí obecnin daných </w:t>
      </w:r>
      <w:r w:rsidRPr="00273106">
        <w:rPr>
          <w:i/>
          <w:szCs w:val="14"/>
        </w:rPr>
        <w:t>universaliter</w:t>
      </w:r>
      <w:r w:rsidRPr="00273106">
        <w:rPr>
          <w:szCs w:val="14"/>
        </w:rPr>
        <w:t xml:space="preserve"> </w:t>
      </w:r>
      <w:r>
        <w:rPr>
          <w:szCs w:val="14"/>
        </w:rPr>
        <w:t xml:space="preserve">a </w:t>
      </w:r>
      <w:r w:rsidRPr="00E158A9">
        <w:rPr>
          <w:i/>
          <w:szCs w:val="14"/>
        </w:rPr>
        <w:t>potentialiter</w:t>
      </w:r>
      <w:r>
        <w:rPr>
          <w:szCs w:val="14"/>
        </w:rPr>
        <w:t xml:space="preserve"> </w:t>
      </w:r>
      <w:r w:rsidRPr="00273106">
        <w:rPr>
          <w:szCs w:val="14"/>
        </w:rPr>
        <w:t xml:space="preserve">v mysli poznávajícího. </w:t>
      </w:r>
      <w:r w:rsidR="006129D5">
        <w:t>První patro esencí</w:t>
      </w:r>
      <w:r w:rsidR="000D374D">
        <w:t xml:space="preserve"> </w:t>
      </w:r>
      <w:r w:rsidRPr="00273106">
        <w:t xml:space="preserve">obsahuje </w:t>
      </w:r>
      <w:r w:rsidR="000D374D">
        <w:t>exemplary</w:t>
      </w:r>
      <w:r w:rsidR="000D374D" w:rsidRPr="00273106">
        <w:t xml:space="preserve"> </w:t>
      </w:r>
      <w:r w:rsidR="00BC31BD">
        <w:t xml:space="preserve">v </w:t>
      </w:r>
      <w:r w:rsidRPr="00273106">
        <w:t>boží mysl</w:t>
      </w:r>
      <w:r w:rsidR="000D374D">
        <w:t>i</w:t>
      </w:r>
      <w:r w:rsidRPr="00273106">
        <w:t xml:space="preserve"> </w:t>
      </w:r>
      <w:r w:rsidR="00BC31BD">
        <w:t xml:space="preserve">dané </w:t>
      </w:r>
      <w:r w:rsidRPr="00273106">
        <w:t>buď v čistém nazírán</w:t>
      </w:r>
      <w:r>
        <w:t>í</w:t>
      </w:r>
      <w:r w:rsidR="00135124">
        <w:t>,</w:t>
      </w:r>
      <w:r>
        <w:t xml:space="preserve"> nebo ve stvořitelském aktu. T</w:t>
      </w:r>
      <w:r w:rsidRPr="00273106">
        <w:t xml:space="preserve">yto esence jsou </w:t>
      </w:r>
      <w:r w:rsidR="08776A84">
        <w:t xml:space="preserve">ve stvoření </w:t>
      </w:r>
      <w:r w:rsidRPr="00273106">
        <w:t>reprodukovány skrze objektivní formy (</w:t>
      </w:r>
      <w:r w:rsidRPr="00273106">
        <w:rPr>
          <w:i/>
        </w:rPr>
        <w:t>rationes seminales</w:t>
      </w:r>
      <w:r w:rsidRPr="00273106">
        <w:t xml:space="preserve">) a jsou poznatelné přímým filosofickým náhledem, včetně přímého poznání prvního patra čistě božích idejí, které dává bůh </w:t>
      </w:r>
      <w:r>
        <w:t xml:space="preserve">člověku </w:t>
      </w:r>
      <w:r w:rsidRPr="00273106">
        <w:t xml:space="preserve">pomocí </w:t>
      </w:r>
      <w:r>
        <w:t xml:space="preserve">nadpřirozené </w:t>
      </w:r>
      <w:r w:rsidRPr="00273106">
        <w:t>iluminace</w:t>
      </w:r>
      <w:r>
        <w:fldChar w:fldCharType="begin"/>
      </w:r>
      <w:r>
        <w:instrText xml:space="preserve"> XE "</w:instrText>
      </w:r>
      <w:r w:rsidRPr="00A84D78">
        <w:instrText>iluminace</w:instrText>
      </w:r>
      <w:r>
        <w:instrText xml:space="preserve">" </w:instrText>
      </w:r>
      <w:r>
        <w:fldChar w:fldCharType="end"/>
      </w:r>
      <w:r w:rsidRPr="00273106">
        <w:t>. Podobnost není dána vztahem k reálné věci</w:t>
      </w:r>
      <w:r>
        <w:t xml:space="preserve">, ale náhledem absolutního </w:t>
      </w:r>
      <w:r w:rsidRPr="00285FFA">
        <w:rPr>
          <w:i/>
        </w:rPr>
        <w:t>scibile</w:t>
      </w:r>
      <w:r>
        <w:t xml:space="preserve"> odděleného od kontingentní</w:t>
      </w:r>
      <w:r w:rsidR="0000527D">
        <w:t>ch</w:t>
      </w:r>
      <w:r>
        <w:t xml:space="preserve"> první</w:t>
      </w:r>
      <w:r w:rsidR="0000527D">
        <w:t>ch substancí</w:t>
      </w:r>
      <w:r>
        <w:t>.</w:t>
      </w:r>
      <w:r w:rsidRPr="001C4B1C">
        <w:t xml:space="preserve"> </w:t>
      </w:r>
      <w:r w:rsidRPr="00273106">
        <w:rPr>
          <w:szCs w:val="14"/>
        </w:rPr>
        <w:t xml:space="preserve">Produkce objektivního určení jsoucna v podobě </w:t>
      </w:r>
      <w:r w:rsidRPr="00273106">
        <w:rPr>
          <w:i/>
          <w:szCs w:val="11"/>
        </w:rPr>
        <w:t xml:space="preserve">ratio </w:t>
      </w:r>
      <w:r w:rsidRPr="00273106">
        <w:rPr>
          <w:i/>
        </w:rPr>
        <w:t>seminalis</w:t>
      </w:r>
      <w:r w:rsidRPr="00273106">
        <w:t xml:space="preserve"> </w:t>
      </w:r>
      <w:r w:rsidRPr="00273106">
        <w:rPr>
          <w:szCs w:val="14"/>
        </w:rPr>
        <w:t xml:space="preserve">znovu uvede na scénu proces individuace </w:t>
      </w:r>
      <w:r>
        <w:rPr>
          <w:szCs w:val="14"/>
        </w:rPr>
        <w:t>vytvořený porretány (</w:t>
      </w:r>
      <w:r w:rsidR="08B628C8">
        <w:rPr>
          <w:szCs w:val="14"/>
        </w:rPr>
        <w:t>OBJ II, kap. 1</w:t>
      </w:r>
      <w:r>
        <w:rPr>
          <w:szCs w:val="14"/>
        </w:rPr>
        <w:t>.5)</w:t>
      </w:r>
      <w:r w:rsidRPr="00273106">
        <w:rPr>
          <w:szCs w:val="14"/>
        </w:rPr>
        <w:t>. Bonaventurovým vzorem je Rufusův p</w:t>
      </w:r>
      <w:r>
        <w:rPr>
          <w:szCs w:val="14"/>
        </w:rPr>
        <w:t xml:space="preserve">ojem </w:t>
      </w:r>
      <w:r w:rsidRPr="00273106">
        <w:rPr>
          <w:i/>
          <w:szCs w:val="14"/>
        </w:rPr>
        <w:t>concretum</w:t>
      </w:r>
      <w:r>
        <w:rPr>
          <w:i/>
          <w:szCs w:val="14"/>
        </w:rPr>
        <w:fldChar w:fldCharType="begin"/>
      </w:r>
      <w:r>
        <w:instrText xml:space="preserve"> XE "</w:instrText>
      </w:r>
      <w:r w:rsidRPr="00B759F5">
        <w:rPr>
          <w:i/>
        </w:rPr>
        <w:instrText>concretum</w:instrText>
      </w:r>
      <w:r>
        <w:instrText xml:space="preserve">" </w:instrText>
      </w:r>
      <w:r>
        <w:rPr>
          <w:i/>
          <w:szCs w:val="14"/>
        </w:rPr>
        <w:fldChar w:fldCharType="end"/>
      </w:r>
      <w:r>
        <w:rPr>
          <w:szCs w:val="14"/>
        </w:rPr>
        <w:t xml:space="preserve"> a jeho konkrétní predikace (</w:t>
      </w:r>
      <w:r w:rsidR="08B628C8">
        <w:rPr>
          <w:szCs w:val="14"/>
        </w:rPr>
        <w:t>OBJ II, kap. 3</w:t>
      </w:r>
      <w:r>
        <w:rPr>
          <w:szCs w:val="14"/>
        </w:rPr>
        <w:t>.3.2</w:t>
      </w:r>
      <w:r w:rsidRPr="00273106">
        <w:rPr>
          <w:szCs w:val="14"/>
        </w:rPr>
        <w:t>).</w:t>
      </w:r>
      <w:r>
        <w:rPr>
          <w:szCs w:val="14"/>
        </w:rPr>
        <w:t xml:space="preserve"> Opět je ve hře univocita porretánských hypostází, které jsou univočně dány v mysli i v realitě. Vznik objektivního individua ukazuje tento citát.</w:t>
      </w:r>
    </w:p>
    <w:p w:rsidR="08163013" w:rsidRPr="00F22FCC" w:rsidRDefault="08163013" w:rsidP="08163013">
      <w:pPr>
        <w:pStyle w:val="Citace"/>
        <w:rPr>
          <w:noProof/>
          <w:szCs w:val="16"/>
          <w:lang w:val="cs-CZ"/>
        </w:rPr>
      </w:pPr>
      <w:r w:rsidRPr="00273106">
        <w:rPr>
          <w:noProof/>
          <w:szCs w:val="16"/>
          <w:lang w:val="cs-CZ"/>
        </w:rPr>
        <w:t>„</w:t>
      </w:r>
      <w:r>
        <w:rPr>
          <w:noProof/>
          <w:szCs w:val="16"/>
          <w:lang w:val="cs-CZ"/>
        </w:rPr>
        <w:t xml:space="preserve">Proto se neliší univerzální forma a forma daná v jednotlivině skrze abstrakci od materie a konkretizací v materii. Liší se přidáním </w:t>
      </w:r>
      <w:r>
        <w:rPr>
          <w:lang w:val="cs-CZ"/>
        </w:rPr>
        <w:t xml:space="preserve">jedné formy k druhé </w:t>
      </w:r>
      <w:r>
        <w:rPr>
          <w:noProof/>
          <w:szCs w:val="16"/>
          <w:lang w:val="cs-CZ"/>
        </w:rPr>
        <w:t xml:space="preserve">v modu více či méně završeného individua. Jeho znakem je to, že v řádu rodů a druhů je tato forma </w:t>
      </w:r>
      <w:r w:rsidR="00962190">
        <w:rPr>
          <w:i/>
          <w:noProof/>
          <w:szCs w:val="16"/>
          <w:lang w:val="cs-CZ"/>
        </w:rPr>
        <w:t>species</w:t>
      </w:r>
      <w:r>
        <w:rPr>
          <w:noProof/>
          <w:szCs w:val="16"/>
          <w:lang w:val="cs-CZ"/>
        </w:rPr>
        <w:t xml:space="preserve"> dána nejúplnějším a nejkompletnějším způsobem. Vzhledem k takto danému individuu představuje genericky daná forma  jsoucno v potenci a je přivedena do </w:t>
      </w:r>
      <w:r w:rsidR="08D27345">
        <w:rPr>
          <w:noProof/>
          <w:szCs w:val="16"/>
          <w:lang w:val="cs-CZ"/>
        </w:rPr>
        <w:t xml:space="preserve">objektivní </w:t>
      </w:r>
      <w:r>
        <w:rPr>
          <w:noProof/>
          <w:szCs w:val="16"/>
          <w:lang w:val="cs-CZ"/>
        </w:rPr>
        <w:t>aktuality skrze přidanou diferenci (</w:t>
      </w:r>
      <w:r w:rsidRPr="08755CF4">
        <w:rPr>
          <w:i/>
          <w:noProof/>
          <w:szCs w:val="8"/>
        </w:rPr>
        <w:t xml:space="preserve">fit </w:t>
      </w:r>
      <w:r w:rsidRPr="08755CF4">
        <w:rPr>
          <w:i/>
          <w:noProof/>
        </w:rPr>
        <w:t xml:space="preserve">magis </w:t>
      </w:r>
      <w:r w:rsidRPr="08755CF4">
        <w:rPr>
          <w:i/>
          <w:noProof/>
          <w:szCs w:val="12"/>
        </w:rPr>
        <w:t xml:space="preserve">in </w:t>
      </w:r>
      <w:r w:rsidRPr="08755CF4">
        <w:rPr>
          <w:i/>
          <w:noProof/>
        </w:rPr>
        <w:t xml:space="preserve">actu </w:t>
      </w:r>
      <w:r w:rsidRPr="08755CF4">
        <w:rPr>
          <w:i/>
          <w:noProof/>
          <w:szCs w:val="13"/>
        </w:rPr>
        <w:t xml:space="preserve">per differentiam </w:t>
      </w:r>
      <w:r w:rsidRPr="08755CF4">
        <w:rPr>
          <w:i/>
          <w:noProof/>
          <w:szCs w:val="10"/>
        </w:rPr>
        <w:t xml:space="preserve">sibi </w:t>
      </w:r>
      <w:r w:rsidRPr="08755CF4">
        <w:rPr>
          <w:i/>
          <w:noProof/>
        </w:rPr>
        <w:t>superadditam</w:t>
      </w:r>
      <w:r>
        <w:rPr>
          <w:noProof/>
          <w:szCs w:val="16"/>
          <w:lang w:val="cs-CZ"/>
        </w:rPr>
        <w:t xml:space="preserve">).“ </w:t>
      </w:r>
      <w:r>
        <w:rPr>
          <w:rStyle w:val="Znakapoznpodarou"/>
          <w:szCs w:val="14"/>
        </w:rPr>
        <w:footnoteReference w:id="32"/>
      </w:r>
    </w:p>
    <w:p w:rsidR="00624027" w:rsidRDefault="00C94403" w:rsidP="08163013">
      <w:pPr>
        <w:rPr>
          <w:szCs w:val="14"/>
        </w:rPr>
      </w:pPr>
      <w:r>
        <w:rPr>
          <w:szCs w:val="14"/>
        </w:rPr>
        <w:lastRenderedPageBreak/>
        <w:t xml:space="preserve">Nová </w:t>
      </w:r>
      <w:r w:rsidR="08163013" w:rsidRPr="00273106">
        <w:rPr>
          <w:szCs w:val="14"/>
        </w:rPr>
        <w:t xml:space="preserve">predikace </w:t>
      </w:r>
      <w:r>
        <w:rPr>
          <w:szCs w:val="14"/>
        </w:rPr>
        <w:t xml:space="preserve">mimo universália a mimo smyslově vnímané věci se vztahuje k objektivní formě </w:t>
      </w:r>
      <w:r>
        <w:rPr>
          <w:szCs w:val="24"/>
        </w:rPr>
        <w:t>(</w:t>
      </w:r>
      <w:r w:rsidRPr="00984E0E">
        <w:rPr>
          <w:i/>
          <w:szCs w:val="24"/>
        </w:rPr>
        <w:t>forma singularis</w:t>
      </w:r>
      <w:r>
        <w:rPr>
          <w:szCs w:val="24"/>
        </w:rPr>
        <w:t xml:space="preserve">), která je predikován skrze hypostázované diference </w:t>
      </w:r>
      <w:r w:rsidR="08163013" w:rsidRPr="00273106">
        <w:rPr>
          <w:szCs w:val="14"/>
        </w:rPr>
        <w:t xml:space="preserve">v rámci </w:t>
      </w:r>
      <w:r w:rsidR="08163013">
        <w:rPr>
          <w:szCs w:val="14"/>
        </w:rPr>
        <w:t>Porfyri</w:t>
      </w:r>
      <w:r w:rsidR="08163013" w:rsidRPr="00273106">
        <w:rPr>
          <w:szCs w:val="14"/>
        </w:rPr>
        <w:t>ova stromu (</w:t>
      </w:r>
      <w:r w:rsidR="08163013" w:rsidRPr="00273106">
        <w:rPr>
          <w:i/>
          <w:szCs w:val="12"/>
        </w:rPr>
        <w:t xml:space="preserve">differunt </w:t>
      </w:r>
      <w:r w:rsidR="08163013" w:rsidRPr="00273106">
        <w:rPr>
          <w:i/>
          <w:szCs w:val="13"/>
        </w:rPr>
        <w:t xml:space="preserve">per </w:t>
      </w:r>
      <w:r w:rsidR="08163013" w:rsidRPr="00273106">
        <w:rPr>
          <w:i/>
          <w:szCs w:val="14"/>
        </w:rPr>
        <w:t xml:space="preserve">additionem </w:t>
      </w:r>
      <w:r w:rsidR="08163013" w:rsidRPr="00273106">
        <w:rPr>
          <w:i/>
          <w:szCs w:val="13"/>
        </w:rPr>
        <w:t xml:space="preserve">unius </w:t>
      </w:r>
      <w:r w:rsidR="08163013" w:rsidRPr="00273106">
        <w:rPr>
          <w:i/>
          <w:szCs w:val="14"/>
        </w:rPr>
        <w:t xml:space="preserve">ad </w:t>
      </w:r>
      <w:r w:rsidR="08163013" w:rsidRPr="00273106">
        <w:rPr>
          <w:i/>
          <w:szCs w:val="13"/>
        </w:rPr>
        <w:t>alteram</w:t>
      </w:r>
      <w:r w:rsidR="08163013" w:rsidRPr="00273106">
        <w:rPr>
          <w:szCs w:val="14"/>
        </w:rPr>
        <w:t>). Bonaventura tvrdí, že nová forma obsahuje i determinaci danou materiálně. To ji odlišuje od nemateriálních univerzálií vzniklých abstrakcí od materie (</w:t>
      </w:r>
      <w:r w:rsidR="08163013" w:rsidRPr="00273106">
        <w:rPr>
          <w:i/>
          <w:szCs w:val="13"/>
        </w:rPr>
        <w:t>per abstra</w:t>
      </w:r>
      <w:r w:rsidR="08163013" w:rsidRPr="00273106">
        <w:rPr>
          <w:i/>
          <w:szCs w:val="14"/>
        </w:rPr>
        <w:t>ctionem</w:t>
      </w:r>
      <w:r w:rsidR="08163013" w:rsidRPr="00273106">
        <w:rPr>
          <w:szCs w:val="14"/>
        </w:rPr>
        <w:t>) a také od jednotlivin daných hylemorficky (</w:t>
      </w:r>
      <w:r w:rsidR="08163013" w:rsidRPr="00273106">
        <w:rPr>
          <w:i/>
          <w:szCs w:val="14"/>
        </w:rPr>
        <w:t xml:space="preserve">concretionem </w:t>
      </w:r>
      <w:r w:rsidR="08163013" w:rsidRPr="00273106">
        <w:rPr>
          <w:i/>
          <w:szCs w:val="10"/>
        </w:rPr>
        <w:t xml:space="preserve">in </w:t>
      </w:r>
      <w:r w:rsidR="08163013" w:rsidRPr="00273106">
        <w:rPr>
          <w:i/>
          <w:szCs w:val="13"/>
        </w:rPr>
        <w:t>materia</w:t>
      </w:r>
      <w:r w:rsidR="08163013" w:rsidRPr="00273106">
        <w:rPr>
          <w:szCs w:val="14"/>
        </w:rPr>
        <w:t xml:space="preserve">). </w:t>
      </w:r>
      <w:r w:rsidR="009444A0">
        <w:rPr>
          <w:szCs w:val="14"/>
        </w:rPr>
        <w:t xml:space="preserve">Takové univerzálie </w:t>
      </w:r>
      <w:r w:rsidR="08163013">
        <w:rPr>
          <w:szCs w:val="14"/>
        </w:rPr>
        <w:t xml:space="preserve">nemohou být více či méně kompletní, protože jsou dány pouze jako potenciální koncepty poznávající mysli. </w:t>
      </w:r>
      <w:r w:rsidR="08163013" w:rsidRPr="00273106">
        <w:rPr>
          <w:szCs w:val="14"/>
        </w:rPr>
        <w:t>Látka se stala novým druhem jsoucna, které se p</w:t>
      </w:r>
      <w:r w:rsidR="08163013">
        <w:rPr>
          <w:szCs w:val="14"/>
        </w:rPr>
        <w:t xml:space="preserve">řičítá formě na způsob substanční hypostáze či esence </w:t>
      </w:r>
      <w:r w:rsidR="08163013" w:rsidRPr="00273106">
        <w:rPr>
          <w:szCs w:val="14"/>
        </w:rPr>
        <w:t>(</w:t>
      </w:r>
      <w:r w:rsidR="086C0029" w:rsidRPr="086C0029">
        <w:rPr>
          <w:i/>
        </w:rPr>
        <w:t>per differentiam sibi superadditam</w:t>
      </w:r>
      <w:r w:rsidR="08163013">
        <w:rPr>
          <w:szCs w:val="14"/>
        </w:rPr>
        <w:t xml:space="preserve">). </w:t>
      </w:r>
      <w:r w:rsidR="00D359DD">
        <w:rPr>
          <w:szCs w:val="14"/>
        </w:rPr>
        <w:t>Zásadní rozdíl mezi prvním a druhým averroismem tvoří hypostázované určení potence, která se začala predikovat jako druhá substance v objektivním modu více a méně (</w:t>
      </w:r>
      <w:r w:rsidR="00D359DD" w:rsidRPr="00642AC4">
        <w:rPr>
          <w:i/>
          <w:szCs w:val="13"/>
        </w:rPr>
        <w:t xml:space="preserve">per </w:t>
      </w:r>
      <w:r w:rsidR="00D359DD" w:rsidRPr="00642AC4">
        <w:rPr>
          <w:i/>
          <w:szCs w:val="14"/>
        </w:rPr>
        <w:t xml:space="preserve">magis </w:t>
      </w:r>
      <w:r w:rsidR="00D359DD" w:rsidRPr="00642AC4">
        <w:rPr>
          <w:i/>
        </w:rPr>
        <w:t xml:space="preserve">completum et </w:t>
      </w:r>
      <w:r w:rsidR="00D359DD" w:rsidRPr="00642AC4">
        <w:rPr>
          <w:i/>
          <w:szCs w:val="13"/>
        </w:rPr>
        <w:t xml:space="preserve">minus </w:t>
      </w:r>
      <w:r w:rsidR="00D359DD" w:rsidRPr="00642AC4">
        <w:rPr>
          <w:i/>
          <w:szCs w:val="14"/>
        </w:rPr>
        <w:t>completum</w:t>
      </w:r>
      <w:r w:rsidR="00D359DD">
        <w:rPr>
          <w:szCs w:val="14"/>
        </w:rPr>
        <w:t xml:space="preserve">). </w:t>
      </w:r>
      <w:r w:rsidR="00847650">
        <w:rPr>
          <w:szCs w:val="14"/>
        </w:rPr>
        <w:t xml:space="preserve">Tento postup vychází z neoplatonského výkladu </w:t>
      </w:r>
      <w:r w:rsidR="00847650" w:rsidRPr="00847650">
        <w:rPr>
          <w:i/>
          <w:szCs w:val="14"/>
        </w:rPr>
        <w:t>Kategorií</w:t>
      </w:r>
      <w:r w:rsidR="00847650">
        <w:rPr>
          <w:szCs w:val="14"/>
        </w:rPr>
        <w:t>. Neoplatonikové vytvořili</w:t>
      </w:r>
      <w:r w:rsidR="00847650" w:rsidRPr="00847650">
        <w:rPr>
          <w:szCs w:val="14"/>
        </w:rPr>
        <w:t xml:space="preserve"> nejvyšší rody jsoucna, aby podle hierarchie autonomně existujících forem (OBJ I, kap. 1.3.2) </w:t>
      </w:r>
      <w:r w:rsidR="00847650">
        <w:rPr>
          <w:szCs w:val="14"/>
        </w:rPr>
        <w:t xml:space="preserve">umožnili </w:t>
      </w:r>
      <w:r w:rsidR="00847650" w:rsidRPr="00847650">
        <w:rPr>
          <w:szCs w:val="14"/>
        </w:rPr>
        <w:t xml:space="preserve">jejich účast na </w:t>
      </w:r>
      <w:r w:rsidR="00847650">
        <w:rPr>
          <w:szCs w:val="14"/>
        </w:rPr>
        <w:t xml:space="preserve">bytí </w:t>
      </w:r>
      <w:r w:rsidR="00847650" w:rsidRPr="00847650">
        <w:rPr>
          <w:szCs w:val="14"/>
        </w:rPr>
        <w:t>Jedno</w:t>
      </w:r>
      <w:r w:rsidR="00847650">
        <w:rPr>
          <w:szCs w:val="14"/>
        </w:rPr>
        <w:t>ho</w:t>
      </w:r>
      <w:r w:rsidR="00847650" w:rsidRPr="00847650">
        <w:rPr>
          <w:szCs w:val="14"/>
        </w:rPr>
        <w:t xml:space="preserve">. Porretáni to převzali a tyto </w:t>
      </w:r>
      <w:r w:rsidR="00847650">
        <w:rPr>
          <w:szCs w:val="14"/>
        </w:rPr>
        <w:t xml:space="preserve">subsistentní </w:t>
      </w:r>
      <w:r w:rsidR="00847650" w:rsidRPr="00847650">
        <w:rPr>
          <w:szCs w:val="14"/>
        </w:rPr>
        <w:t xml:space="preserve">formy vložili do predikace podle </w:t>
      </w:r>
      <w:r w:rsidR="00856836">
        <w:rPr>
          <w:szCs w:val="14"/>
        </w:rPr>
        <w:t>„</w:t>
      </w:r>
      <w:r w:rsidR="00847650" w:rsidRPr="00847650">
        <w:rPr>
          <w:i/>
          <w:szCs w:val="14"/>
        </w:rPr>
        <w:t>magis</w:t>
      </w:r>
      <w:r w:rsidR="00847650" w:rsidRPr="00847650">
        <w:rPr>
          <w:szCs w:val="14"/>
        </w:rPr>
        <w:t xml:space="preserve"> </w:t>
      </w:r>
      <w:r w:rsidR="00856836" w:rsidRPr="00856836">
        <w:rPr>
          <w:i/>
          <w:szCs w:val="14"/>
        </w:rPr>
        <w:t>et</w:t>
      </w:r>
      <w:r w:rsidR="00847650" w:rsidRPr="00847650">
        <w:rPr>
          <w:szCs w:val="14"/>
        </w:rPr>
        <w:t xml:space="preserve"> </w:t>
      </w:r>
      <w:r w:rsidR="00847650" w:rsidRPr="00847650">
        <w:rPr>
          <w:i/>
          <w:szCs w:val="14"/>
        </w:rPr>
        <w:t>minus</w:t>
      </w:r>
      <w:r w:rsidR="00856836">
        <w:rPr>
          <w:szCs w:val="14"/>
        </w:rPr>
        <w:t>“</w:t>
      </w:r>
      <w:r w:rsidR="00847650" w:rsidRPr="00847650">
        <w:rPr>
          <w:szCs w:val="14"/>
        </w:rPr>
        <w:t xml:space="preserve"> (OBJ II, kap. 1.4).</w:t>
      </w:r>
      <w:r w:rsidR="00847650">
        <w:rPr>
          <w:szCs w:val="14"/>
        </w:rPr>
        <w:t xml:space="preserve"> </w:t>
      </w:r>
      <w:r w:rsidR="00F80F08">
        <w:rPr>
          <w:szCs w:val="14"/>
        </w:rPr>
        <w:t xml:space="preserve">Bonaventura k těm formám přidal spirituální materii podle universálního hylemorfismu, a tím vytvořil první kompletní formu objektivní predikace. </w:t>
      </w:r>
      <w:r w:rsidR="08163013">
        <w:rPr>
          <w:szCs w:val="14"/>
        </w:rPr>
        <w:t>P</w:t>
      </w:r>
      <w:r w:rsidR="08163013" w:rsidRPr="00273106">
        <w:rPr>
          <w:szCs w:val="14"/>
        </w:rPr>
        <w:t xml:space="preserve">aralelní vesmír </w:t>
      </w:r>
      <w:r w:rsidR="08163013">
        <w:rPr>
          <w:szCs w:val="14"/>
        </w:rPr>
        <w:t xml:space="preserve">začal </w:t>
      </w:r>
      <w:r w:rsidR="08163013" w:rsidRPr="00273106">
        <w:rPr>
          <w:szCs w:val="14"/>
        </w:rPr>
        <w:t>produk</w:t>
      </w:r>
      <w:r w:rsidR="08163013">
        <w:rPr>
          <w:szCs w:val="14"/>
        </w:rPr>
        <w:t xml:space="preserve">ovat </w:t>
      </w:r>
      <w:r w:rsidR="08163013" w:rsidRPr="00273106">
        <w:rPr>
          <w:szCs w:val="14"/>
        </w:rPr>
        <w:t xml:space="preserve">objektivní </w:t>
      </w:r>
      <w:r w:rsidR="08163013">
        <w:rPr>
          <w:szCs w:val="14"/>
        </w:rPr>
        <w:t>jsoucno na způsob demiurga</w:t>
      </w:r>
      <w:r w:rsidR="08163013">
        <w:rPr>
          <w:szCs w:val="14"/>
        </w:rPr>
        <w:fldChar w:fldCharType="begin"/>
      </w:r>
      <w:r w:rsidR="08163013">
        <w:instrText xml:space="preserve"> XE "</w:instrText>
      </w:r>
      <w:r w:rsidR="08163013" w:rsidRPr="005C2F4A">
        <w:rPr>
          <w:rStyle w:val="addmd"/>
        </w:rPr>
        <w:instrText>demiurg</w:instrText>
      </w:r>
      <w:r w:rsidR="08163013">
        <w:instrText xml:space="preserve">" </w:instrText>
      </w:r>
      <w:r w:rsidR="08163013">
        <w:rPr>
          <w:szCs w:val="14"/>
        </w:rPr>
        <w:fldChar w:fldCharType="end"/>
      </w:r>
      <w:r w:rsidR="08163013">
        <w:rPr>
          <w:szCs w:val="14"/>
        </w:rPr>
        <w:t xml:space="preserve"> z dialogu </w:t>
      </w:r>
      <w:r w:rsidR="08163013" w:rsidRPr="00A971E3">
        <w:rPr>
          <w:i/>
          <w:szCs w:val="14"/>
        </w:rPr>
        <w:t>Timaios</w:t>
      </w:r>
      <w:r w:rsidR="08163013">
        <w:rPr>
          <w:szCs w:val="14"/>
        </w:rPr>
        <w:fldChar w:fldCharType="begin"/>
      </w:r>
      <w:r w:rsidR="08163013">
        <w:instrText xml:space="preserve"> XE "dialog </w:instrText>
      </w:r>
      <w:r w:rsidR="08163013" w:rsidRPr="081325FA">
        <w:rPr>
          <w:i/>
        </w:rPr>
        <w:instrText>Timaios</w:instrText>
      </w:r>
      <w:r w:rsidR="08163013">
        <w:instrText xml:space="preserve">" </w:instrText>
      </w:r>
      <w:r w:rsidR="08163013">
        <w:rPr>
          <w:szCs w:val="14"/>
        </w:rPr>
        <w:fldChar w:fldCharType="end"/>
      </w:r>
      <w:r w:rsidR="08163013">
        <w:rPr>
          <w:szCs w:val="14"/>
        </w:rPr>
        <w:t xml:space="preserve">. První averroismus jednoznačně odmítl přidat toto </w:t>
      </w:r>
      <w:r w:rsidR="08D27345">
        <w:rPr>
          <w:szCs w:val="14"/>
        </w:rPr>
        <w:t xml:space="preserve">objektivní </w:t>
      </w:r>
      <w:r w:rsidR="00B40B58">
        <w:rPr>
          <w:szCs w:val="14"/>
        </w:rPr>
        <w:t xml:space="preserve">určení </w:t>
      </w:r>
      <w:r w:rsidR="00062F18">
        <w:rPr>
          <w:szCs w:val="14"/>
        </w:rPr>
        <w:t xml:space="preserve">formy a látky </w:t>
      </w:r>
      <w:r w:rsidR="00B40B58">
        <w:rPr>
          <w:szCs w:val="14"/>
        </w:rPr>
        <w:t>k universálním významům daným v mysli</w:t>
      </w:r>
      <w:r w:rsidR="08163013">
        <w:rPr>
          <w:szCs w:val="14"/>
        </w:rPr>
        <w:t xml:space="preserve">. </w:t>
      </w:r>
      <w:r w:rsidR="00EF1A17">
        <w:rPr>
          <w:szCs w:val="14"/>
        </w:rPr>
        <w:t>Druhá</w:t>
      </w:r>
      <w:r w:rsidR="08163013">
        <w:rPr>
          <w:szCs w:val="14"/>
        </w:rPr>
        <w:t xml:space="preserve"> substance </w:t>
      </w:r>
      <w:r w:rsidR="08233F54">
        <w:rPr>
          <w:szCs w:val="14"/>
        </w:rPr>
        <w:t>ne</w:t>
      </w:r>
      <w:r w:rsidR="08163013">
        <w:rPr>
          <w:szCs w:val="14"/>
        </w:rPr>
        <w:t xml:space="preserve">může mít více či méně </w:t>
      </w:r>
      <w:r w:rsidR="00C93FFB">
        <w:rPr>
          <w:szCs w:val="14"/>
        </w:rPr>
        <w:t xml:space="preserve">univerzálně </w:t>
      </w:r>
      <w:r w:rsidR="08163013">
        <w:rPr>
          <w:szCs w:val="14"/>
        </w:rPr>
        <w:t xml:space="preserve">určenou formu, protože existuje pouze v mysli a je dána v pouhé možnosti. Bonaventura seřadil objektivní jsoucno podle avicennovské </w:t>
      </w:r>
      <w:r w:rsidR="08163013" w:rsidRPr="00273106">
        <w:rPr>
          <w:szCs w:val="14"/>
        </w:rPr>
        <w:t xml:space="preserve">gradace automních esencí a forem. </w:t>
      </w:r>
      <w:r w:rsidR="08163013">
        <w:rPr>
          <w:szCs w:val="14"/>
        </w:rPr>
        <w:t xml:space="preserve">Paralelní vesmír dostal základní strukturu a řád v modu kategoriální predikace „dříve“ a „potom“ vázaném na predikaci </w:t>
      </w:r>
      <w:r w:rsidR="00624027">
        <w:rPr>
          <w:szCs w:val="14"/>
        </w:rPr>
        <w:t>objektivních hypostází.</w:t>
      </w:r>
    </w:p>
    <w:p w:rsidR="08163013" w:rsidRPr="00CA35FE" w:rsidRDefault="08163013" w:rsidP="004B3147">
      <w:pPr>
        <w:ind w:firstLine="397"/>
        <w:rPr>
          <w:szCs w:val="14"/>
        </w:rPr>
      </w:pPr>
      <w:r>
        <w:rPr>
          <w:szCs w:val="14"/>
        </w:rPr>
        <w:t xml:space="preserve">Tato geniální fabulace podle Bible, mystiky a filosofie vytvořila nové </w:t>
      </w:r>
      <w:r w:rsidRPr="00084ACA">
        <w:rPr>
          <w:i/>
          <w:szCs w:val="14"/>
        </w:rPr>
        <w:t>resolutio</w:t>
      </w:r>
      <w:r w:rsidR="004B3147">
        <w:rPr>
          <w:i/>
          <w:szCs w:val="14"/>
        </w:rPr>
        <w:fldChar w:fldCharType="begin"/>
      </w:r>
      <w:r w:rsidR="004B3147">
        <w:instrText xml:space="preserve"> XE "</w:instrText>
      </w:r>
      <w:r w:rsidR="004B3147" w:rsidRPr="00DA6BCA">
        <w:rPr>
          <w:i/>
          <w:szCs w:val="14"/>
        </w:rPr>
        <w:instrText>resolutio</w:instrText>
      </w:r>
      <w:r w:rsidR="004B3147">
        <w:instrText xml:space="preserve">" </w:instrText>
      </w:r>
      <w:r w:rsidR="004B3147">
        <w:rPr>
          <w:i/>
          <w:szCs w:val="14"/>
        </w:rPr>
        <w:fldChar w:fldCharType="end"/>
      </w:r>
      <w:r>
        <w:rPr>
          <w:szCs w:val="14"/>
        </w:rPr>
        <w:t xml:space="preserve"> jsoucna třetího druhu</w:t>
      </w:r>
      <w:r w:rsidR="004B3147">
        <w:rPr>
          <w:szCs w:val="14"/>
        </w:rPr>
        <w:t xml:space="preserve">. </w:t>
      </w:r>
      <w:r w:rsidR="004B3147" w:rsidRPr="000933A8">
        <w:rPr>
          <w:szCs w:val="24"/>
        </w:rPr>
        <w:t xml:space="preserve">Bonaventura </w:t>
      </w:r>
      <w:r w:rsidR="004B3147">
        <w:rPr>
          <w:szCs w:val="24"/>
        </w:rPr>
        <w:t xml:space="preserve">založil po </w:t>
      </w:r>
      <w:r w:rsidR="004B3147" w:rsidRPr="000933A8">
        <w:rPr>
          <w:szCs w:val="24"/>
        </w:rPr>
        <w:t>Kilwardby</w:t>
      </w:r>
      <w:r w:rsidR="004B3147">
        <w:rPr>
          <w:szCs w:val="24"/>
        </w:rPr>
        <w:t>m</w:t>
      </w:r>
      <w:r w:rsidR="004B3147" w:rsidRPr="000933A8">
        <w:rPr>
          <w:szCs w:val="24"/>
        </w:rPr>
        <w:t xml:space="preserve"> </w:t>
      </w:r>
      <w:r w:rsidR="004B3147">
        <w:rPr>
          <w:szCs w:val="24"/>
        </w:rPr>
        <w:t>objektivní vědu Západu tím, že vědu etabloval do ontotheologické struktury kategoriální predikace dané „</w:t>
      </w:r>
      <w:r w:rsidR="004B3147" w:rsidRPr="004B3147">
        <w:rPr>
          <w:i/>
          <w:szCs w:val="24"/>
        </w:rPr>
        <w:t>per prius</w:t>
      </w:r>
      <w:r w:rsidR="004B3147">
        <w:rPr>
          <w:i/>
          <w:szCs w:val="24"/>
        </w:rPr>
        <w:t xml:space="preserve"> </w:t>
      </w:r>
      <w:r w:rsidR="004B3147" w:rsidRPr="004B3147">
        <w:rPr>
          <w:i/>
          <w:szCs w:val="24"/>
        </w:rPr>
        <w:t>–</w:t>
      </w:r>
      <w:r w:rsidR="004B3147">
        <w:rPr>
          <w:i/>
          <w:szCs w:val="24"/>
        </w:rPr>
        <w:t xml:space="preserve"> </w:t>
      </w:r>
      <w:r w:rsidR="004B3147" w:rsidRPr="004B3147">
        <w:rPr>
          <w:i/>
          <w:szCs w:val="24"/>
        </w:rPr>
        <w:t>per posterius</w:t>
      </w:r>
      <w:r w:rsidR="004B3147">
        <w:rPr>
          <w:szCs w:val="24"/>
        </w:rPr>
        <w:t xml:space="preserve">“. </w:t>
      </w:r>
      <w:r w:rsidRPr="00273106">
        <w:rPr>
          <w:szCs w:val="14"/>
        </w:rPr>
        <w:t>Hiera</w:t>
      </w:r>
      <w:r>
        <w:rPr>
          <w:szCs w:val="14"/>
        </w:rPr>
        <w:t>r</w:t>
      </w:r>
      <w:r w:rsidRPr="00273106">
        <w:rPr>
          <w:szCs w:val="14"/>
        </w:rPr>
        <w:t xml:space="preserve">chicky daný smysl jsoucna </w:t>
      </w:r>
      <w:r>
        <w:rPr>
          <w:szCs w:val="14"/>
        </w:rPr>
        <w:t xml:space="preserve">bylo </w:t>
      </w:r>
      <w:r w:rsidRPr="00273106">
        <w:rPr>
          <w:szCs w:val="14"/>
        </w:rPr>
        <w:t xml:space="preserve">možné zavést proto, že esenciální predikace je dána univočně a </w:t>
      </w:r>
      <w:r w:rsidRPr="00273106">
        <w:rPr>
          <w:i/>
          <w:szCs w:val="14"/>
        </w:rPr>
        <w:t>per prius</w:t>
      </w:r>
      <w:r w:rsidRPr="00273106">
        <w:rPr>
          <w:szCs w:val="14"/>
        </w:rPr>
        <w:t xml:space="preserve"> nejprve v rodu (</w:t>
      </w:r>
      <w:r w:rsidRPr="00273106">
        <w:rPr>
          <w:i/>
          <w:szCs w:val="16"/>
        </w:rPr>
        <w:t xml:space="preserve">forma </w:t>
      </w:r>
      <w:r w:rsidRPr="00273106">
        <w:rPr>
          <w:i/>
          <w:szCs w:val="13"/>
        </w:rPr>
        <w:t xml:space="preserve">vero generis respectu </w:t>
      </w:r>
      <w:r w:rsidRPr="00273106">
        <w:rPr>
          <w:i/>
          <w:szCs w:val="10"/>
        </w:rPr>
        <w:t xml:space="preserve">illius </w:t>
      </w:r>
      <w:r w:rsidRPr="00273106">
        <w:rPr>
          <w:i/>
          <w:szCs w:val="11"/>
        </w:rPr>
        <w:t xml:space="preserve">est </w:t>
      </w:r>
      <w:r w:rsidRPr="00273106">
        <w:rPr>
          <w:i/>
          <w:szCs w:val="13"/>
        </w:rPr>
        <w:t>ens in potentia</w:t>
      </w:r>
      <w:r w:rsidRPr="00273106">
        <w:rPr>
          <w:szCs w:val="14"/>
        </w:rPr>
        <w:t xml:space="preserve">). </w:t>
      </w:r>
      <w:r w:rsidR="008723FD">
        <w:rPr>
          <w:szCs w:val="14"/>
        </w:rPr>
        <w:t>Bonaventura odmítl</w:t>
      </w:r>
      <w:r w:rsidRPr="00273106">
        <w:rPr>
          <w:szCs w:val="14"/>
        </w:rPr>
        <w:t xml:space="preserve"> neoplatonismus knihy </w:t>
      </w:r>
      <w:r w:rsidRPr="00273106">
        <w:rPr>
          <w:i/>
          <w:szCs w:val="14"/>
        </w:rPr>
        <w:t>Liber de causis</w:t>
      </w:r>
      <w:r>
        <w:rPr>
          <w:i/>
          <w:szCs w:val="14"/>
        </w:rPr>
        <w:fldChar w:fldCharType="begin"/>
      </w:r>
      <w:r>
        <w:instrText xml:space="preserve"> </w:instrText>
      </w:r>
      <w:r>
        <w:lastRenderedPageBreak/>
        <w:instrText>XE "</w:instrText>
      </w:r>
      <w:r w:rsidRPr="00C46BD8">
        <w:rPr>
          <w:i/>
        </w:rPr>
        <w:instrText>Liber de causis</w:instrText>
      </w:r>
      <w:r>
        <w:instrText xml:space="preserve">" </w:instrText>
      </w:r>
      <w:r>
        <w:rPr>
          <w:i/>
          <w:szCs w:val="14"/>
        </w:rPr>
        <w:fldChar w:fldCharType="end"/>
      </w:r>
      <w:r w:rsidR="008723FD">
        <w:rPr>
          <w:szCs w:val="14"/>
        </w:rPr>
        <w:t xml:space="preserve">. Tam platí, že </w:t>
      </w:r>
      <w:r w:rsidRPr="00273106">
        <w:rPr>
          <w:szCs w:val="14"/>
        </w:rPr>
        <w:t xml:space="preserve">oddělená </w:t>
      </w:r>
      <w:r w:rsidR="008723FD">
        <w:rPr>
          <w:szCs w:val="14"/>
        </w:rPr>
        <w:t xml:space="preserve">první substance plně determinuje </w:t>
      </w:r>
      <w:r w:rsidRPr="00273106">
        <w:rPr>
          <w:szCs w:val="14"/>
        </w:rPr>
        <w:t xml:space="preserve">nižší formy. </w:t>
      </w:r>
      <w:r>
        <w:rPr>
          <w:szCs w:val="14"/>
        </w:rPr>
        <w:t xml:space="preserve">Predikace jsoucnosti v modu </w:t>
      </w:r>
      <w:r w:rsidRPr="00286E56">
        <w:rPr>
          <w:i/>
          <w:szCs w:val="14"/>
        </w:rPr>
        <w:t>magis</w:t>
      </w:r>
      <w:r>
        <w:rPr>
          <w:szCs w:val="14"/>
        </w:rPr>
        <w:t xml:space="preserve"> a </w:t>
      </w:r>
      <w:r w:rsidRPr="00286E56">
        <w:rPr>
          <w:i/>
          <w:szCs w:val="14"/>
        </w:rPr>
        <w:t>minus</w:t>
      </w:r>
      <w:r>
        <w:rPr>
          <w:szCs w:val="14"/>
        </w:rPr>
        <w:t xml:space="preserve"> nyní běží objektivně</w:t>
      </w:r>
      <w:r>
        <w:rPr>
          <w:szCs w:val="14"/>
        </w:rPr>
        <w:fldChar w:fldCharType="begin"/>
      </w:r>
      <w:r>
        <w:instrText xml:space="preserve"> XE "</w:instrText>
      </w:r>
      <w:r w:rsidRPr="005C50AF">
        <w:instrText>predikace:objektivní</w:instrText>
      </w:r>
      <w:r>
        <w:instrText xml:space="preserve">" </w:instrText>
      </w:r>
      <w:r>
        <w:rPr>
          <w:szCs w:val="14"/>
        </w:rPr>
        <w:fldChar w:fldCharType="end"/>
      </w:r>
      <w:r>
        <w:rPr>
          <w:szCs w:val="14"/>
        </w:rPr>
        <w:t>, proto</w:t>
      </w:r>
      <w:r w:rsidR="006B264D">
        <w:rPr>
          <w:szCs w:val="14"/>
        </w:rPr>
        <w:t>že je vztažena pouze k</w:t>
      </w:r>
      <w:r w:rsidR="00A078A6">
        <w:rPr>
          <w:szCs w:val="14"/>
        </w:rPr>
        <w:t xml:space="preserve"> exemplarům </w:t>
      </w:r>
      <w:r>
        <w:rPr>
          <w:szCs w:val="14"/>
        </w:rPr>
        <w:t>a k</w:t>
      </w:r>
      <w:r w:rsidR="006B264D">
        <w:rPr>
          <w:szCs w:val="14"/>
        </w:rPr>
        <w:t> </w:t>
      </w:r>
      <w:r w:rsidR="006B264D" w:rsidRPr="006B264D">
        <w:rPr>
          <w:i/>
          <w:szCs w:val="14"/>
        </w:rPr>
        <w:t>rationes seminales</w:t>
      </w:r>
      <w:r>
        <w:rPr>
          <w:szCs w:val="14"/>
        </w:rPr>
        <w:t xml:space="preserve">, a nikoliv k odděleným kosmickým formám nebo platonským idejím. </w:t>
      </w:r>
      <w:r w:rsidRPr="00273106">
        <w:rPr>
          <w:szCs w:val="14"/>
        </w:rPr>
        <w:t>Bonavent</w:t>
      </w:r>
      <w:r>
        <w:rPr>
          <w:szCs w:val="14"/>
        </w:rPr>
        <w:t>ura má ont</w:t>
      </w:r>
      <w:r w:rsidRPr="00273106">
        <w:rPr>
          <w:szCs w:val="14"/>
        </w:rPr>
        <w:t xml:space="preserve">oteologický scénář </w:t>
      </w:r>
      <w:r>
        <w:rPr>
          <w:szCs w:val="14"/>
        </w:rPr>
        <w:t xml:space="preserve">objektivního dělení celku jsoucna </w:t>
      </w:r>
      <w:r w:rsidRPr="00273106">
        <w:rPr>
          <w:szCs w:val="14"/>
        </w:rPr>
        <w:t xml:space="preserve">skrze Avicebronovu materii třetího druhu. Tato objektivně (a nikoliv </w:t>
      </w:r>
      <w:r>
        <w:rPr>
          <w:szCs w:val="14"/>
        </w:rPr>
        <w:t>neoplatonsk</w:t>
      </w:r>
      <w:r w:rsidRPr="00273106">
        <w:rPr>
          <w:szCs w:val="14"/>
        </w:rPr>
        <w:t>y) určená forma se aktualizuje skrze transcendentální určení pseudo</w:t>
      </w:r>
      <w:r w:rsidRPr="00273106">
        <w:rPr>
          <w:szCs w:val="14"/>
        </w:rPr>
        <w:noBreakHyphen/>
        <w:t>materie (</w:t>
      </w:r>
      <w:r w:rsidRPr="00273106">
        <w:rPr>
          <w:i/>
          <w:szCs w:val="8"/>
        </w:rPr>
        <w:t xml:space="preserve">fit </w:t>
      </w:r>
      <w:r w:rsidRPr="00273106">
        <w:rPr>
          <w:i/>
        </w:rPr>
        <w:t xml:space="preserve">magis </w:t>
      </w:r>
      <w:r w:rsidRPr="00273106">
        <w:rPr>
          <w:i/>
          <w:szCs w:val="12"/>
        </w:rPr>
        <w:t xml:space="preserve">in </w:t>
      </w:r>
      <w:r w:rsidRPr="00273106">
        <w:rPr>
          <w:i/>
        </w:rPr>
        <w:t>actu</w:t>
      </w:r>
      <w:r w:rsidRPr="00273106">
        <w:rPr>
          <w:szCs w:val="14"/>
        </w:rPr>
        <w:t xml:space="preserve">). Předlohou </w:t>
      </w:r>
      <w:r>
        <w:rPr>
          <w:szCs w:val="14"/>
        </w:rPr>
        <w:t xml:space="preserve">objektivace je </w:t>
      </w:r>
      <w:r w:rsidR="00CC24DD">
        <w:rPr>
          <w:szCs w:val="14"/>
        </w:rPr>
        <w:t>škola</w:t>
      </w:r>
      <w:r w:rsidRPr="00273106">
        <w:rPr>
          <w:szCs w:val="14"/>
        </w:rPr>
        <w:t xml:space="preserve"> </w:t>
      </w:r>
      <w:r w:rsidRPr="00273106">
        <w:rPr>
          <w:i/>
          <w:szCs w:val="14"/>
        </w:rPr>
        <w:t xml:space="preserve">Nominales </w:t>
      </w:r>
      <w:r w:rsidR="00CC24DD">
        <w:rPr>
          <w:szCs w:val="14"/>
        </w:rPr>
        <w:t xml:space="preserve">a její </w:t>
      </w:r>
      <w:r w:rsidRPr="00273106">
        <w:rPr>
          <w:szCs w:val="14"/>
        </w:rPr>
        <w:t>dělení transcendentálií v rámci</w:t>
      </w:r>
      <w:r w:rsidRPr="00273106">
        <w:rPr>
          <w:i/>
          <w:szCs w:val="14"/>
        </w:rPr>
        <w:t xml:space="preserve"> Arbor Porphyriana</w:t>
      </w:r>
      <w:r>
        <w:rPr>
          <w:i/>
          <w:szCs w:val="14"/>
        </w:rPr>
        <w:fldChar w:fldCharType="begin"/>
      </w:r>
      <w:r>
        <w:instrText xml:space="preserve"> XE "</w:instrText>
      </w:r>
      <w:r w:rsidRPr="00227C7B">
        <w:rPr>
          <w:i/>
        </w:rPr>
        <w:instrText>Arbor Porphyriana</w:instrText>
      </w:r>
      <w:r>
        <w:instrText xml:space="preserve">" </w:instrText>
      </w:r>
      <w:r>
        <w:rPr>
          <w:i/>
          <w:szCs w:val="14"/>
        </w:rPr>
        <w:fldChar w:fldCharType="end"/>
      </w:r>
      <w:r>
        <w:rPr>
          <w:szCs w:val="14"/>
        </w:rPr>
        <w:t xml:space="preserve"> (</w:t>
      </w:r>
      <w:r w:rsidR="08310ECA">
        <w:rPr>
          <w:szCs w:val="14"/>
        </w:rPr>
        <w:t xml:space="preserve">OBJ II, </w:t>
      </w:r>
      <w:r>
        <w:rPr>
          <w:szCs w:val="14"/>
        </w:rPr>
        <w:t>kap.</w:t>
      </w:r>
      <w:r w:rsidR="08310ECA">
        <w:rPr>
          <w:szCs w:val="14"/>
        </w:rPr>
        <w:t xml:space="preserve"> 1</w:t>
      </w:r>
      <w:r w:rsidRPr="00273106">
        <w:rPr>
          <w:szCs w:val="14"/>
        </w:rPr>
        <w:t xml:space="preserve">.4). </w:t>
      </w:r>
      <w:r>
        <w:rPr>
          <w:szCs w:val="14"/>
        </w:rPr>
        <w:t>V Paříži jej praktikovala kolem roku 1240 škola Gramatiků</w:t>
      </w:r>
      <w:r>
        <w:rPr>
          <w:szCs w:val="14"/>
        </w:rPr>
        <w:fldChar w:fldCharType="begin"/>
      </w:r>
      <w:r>
        <w:instrText xml:space="preserve"> XE "druhý averroism</w:instrText>
      </w:r>
      <w:r w:rsidRPr="00F66A74">
        <w:instrText>u</w:instrText>
      </w:r>
      <w:r>
        <w:instrText>s</w:instrText>
      </w:r>
      <w:r w:rsidRPr="00F66A74">
        <w:instrText>:</w:instrText>
      </w:r>
      <w:r w:rsidRPr="00B810DA">
        <w:rPr>
          <w:i/>
        </w:rPr>
        <w:instrText>Grammatici</w:instrText>
      </w:r>
      <w:r>
        <w:instrText xml:space="preserve">" </w:instrText>
      </w:r>
      <w:r>
        <w:rPr>
          <w:szCs w:val="14"/>
        </w:rPr>
        <w:fldChar w:fldCharType="end"/>
      </w:r>
      <w:r>
        <w:rPr>
          <w:szCs w:val="14"/>
        </w:rPr>
        <w:t>, kterou odmítl Alvernus (</w:t>
      </w:r>
      <w:r w:rsidR="08310ECA">
        <w:rPr>
          <w:szCs w:val="14"/>
        </w:rPr>
        <w:t>OBJ II, kap. 2</w:t>
      </w:r>
      <w:r>
        <w:rPr>
          <w:szCs w:val="14"/>
        </w:rPr>
        <w:t xml:space="preserve">.3.2). </w:t>
      </w:r>
      <w:r w:rsidRPr="00273106">
        <w:rPr>
          <w:szCs w:val="14"/>
        </w:rPr>
        <w:t>Na konci dělení rodu a druhu vznikne objektivně dané individuum, které</w:t>
      </w:r>
      <w:r w:rsidR="005E49F3">
        <w:rPr>
          <w:szCs w:val="14"/>
        </w:rPr>
        <w:t xml:space="preserve"> </w:t>
      </w:r>
      <w:proofErr w:type="gramStart"/>
      <w:r w:rsidR="005E49F3">
        <w:rPr>
          <w:szCs w:val="14"/>
        </w:rPr>
        <w:t xml:space="preserve">dostalo </w:t>
      </w:r>
      <w:r w:rsidRPr="00273106">
        <w:rPr>
          <w:szCs w:val="14"/>
        </w:rPr>
        <w:t xml:space="preserve"> pseudo-aktualitu</w:t>
      </w:r>
      <w:proofErr w:type="gramEnd"/>
      <w:r w:rsidRPr="00273106">
        <w:rPr>
          <w:szCs w:val="14"/>
        </w:rPr>
        <w:t xml:space="preserve"> prv</w:t>
      </w:r>
      <w:r>
        <w:rPr>
          <w:szCs w:val="14"/>
        </w:rPr>
        <w:t>ní substance</w:t>
      </w:r>
      <w:r>
        <w:rPr>
          <w:szCs w:val="14"/>
        </w:rPr>
        <w:fldChar w:fldCharType="begin"/>
      </w:r>
      <w:r>
        <w:instrText xml:space="preserve"> XE "</w:instrText>
      </w:r>
      <w:r w:rsidRPr="00DE2A32">
        <w:instrText>substance</w:instrText>
      </w:r>
      <w:r>
        <w:instrText xml:space="preserve">:atomární" </w:instrText>
      </w:r>
      <w:r>
        <w:rPr>
          <w:szCs w:val="14"/>
        </w:rPr>
        <w:fldChar w:fldCharType="end"/>
      </w:r>
      <w:r>
        <w:rPr>
          <w:szCs w:val="14"/>
        </w:rPr>
        <w:t>. První jsoucno tohoto druhu vytvořil Rufus (</w:t>
      </w:r>
      <w:r w:rsidR="00962190">
        <w:rPr>
          <w:i/>
          <w:szCs w:val="14"/>
        </w:rPr>
        <w:t>species</w:t>
      </w:r>
      <w:r>
        <w:rPr>
          <w:i/>
          <w:szCs w:val="14"/>
        </w:rPr>
        <w:t xml:space="preserve"> obiecti exsistentis</w:t>
      </w:r>
      <w:r>
        <w:rPr>
          <w:i/>
          <w:szCs w:val="14"/>
        </w:rPr>
        <w:fldChar w:fldCharType="begin"/>
      </w:r>
      <w:r>
        <w:instrText xml:space="preserve"> XE "</w:instrText>
      </w:r>
      <w:r>
        <w:rPr>
          <w:i/>
          <w:szCs w:val="14"/>
        </w:rPr>
        <w:instrText>species obiecti exsistentis</w:instrText>
      </w:r>
      <w:r>
        <w:instrText xml:space="preserve">" </w:instrText>
      </w:r>
      <w:r>
        <w:rPr>
          <w:i/>
          <w:szCs w:val="14"/>
        </w:rPr>
        <w:fldChar w:fldCharType="end"/>
      </w:r>
      <w:r w:rsidR="08310ECA">
        <w:rPr>
          <w:szCs w:val="14"/>
        </w:rPr>
        <w:t>; OBJ II, kap. 3</w:t>
      </w:r>
      <w:r>
        <w:rPr>
          <w:szCs w:val="14"/>
        </w:rPr>
        <w:t>.3.4). Bacon pozoroval vznik druhého averroismu ve františkánských kolejích Oxfordu a Paříže</w:t>
      </w:r>
      <w:r w:rsidR="00D27FC0">
        <w:rPr>
          <w:szCs w:val="14"/>
        </w:rPr>
        <w:t>. Proto prohlásil</w:t>
      </w:r>
      <w:r>
        <w:rPr>
          <w:szCs w:val="14"/>
        </w:rPr>
        <w:t xml:space="preserve"> produkci paralelního světa v mysli iluminátů za čisté šílenství (</w:t>
      </w:r>
      <w:r w:rsidRPr="009A39DE">
        <w:rPr>
          <w:i/>
          <w:szCs w:val="14"/>
        </w:rPr>
        <w:t>insaniunt contra veritatem</w:t>
      </w:r>
      <w:r>
        <w:rPr>
          <w:i/>
        </w:rPr>
        <w:fldChar w:fldCharType="begin"/>
      </w:r>
      <w:r>
        <w:instrText xml:space="preserve"> XE "druhý</w:instrText>
      </w:r>
      <w:r w:rsidRPr="005B7E92">
        <w:instrText xml:space="preserve"> averroismu</w:instrText>
      </w:r>
      <w:r>
        <w:instrText xml:space="preserve">s:kritika Bacona" </w:instrText>
      </w:r>
      <w:r>
        <w:rPr>
          <w:i/>
        </w:rPr>
        <w:fldChar w:fldCharType="end"/>
      </w:r>
      <w:r w:rsidR="08393958">
        <w:rPr>
          <w:szCs w:val="14"/>
        </w:rPr>
        <w:t>; OBJ II, kap. 3</w:t>
      </w:r>
      <w:r>
        <w:rPr>
          <w:szCs w:val="14"/>
        </w:rPr>
        <w:t>.4.2). Albert tyto ilumináty kritizoval jako averroisty kvůli vytvoření simulákra</w:t>
      </w:r>
      <w:r>
        <w:rPr>
          <w:szCs w:val="14"/>
        </w:rPr>
        <w:fldChar w:fldCharType="begin"/>
      </w:r>
      <w:r>
        <w:instrText xml:space="preserve"> XE "</w:instrText>
      </w:r>
      <w:r w:rsidRPr="00C2134D">
        <w:instrText>simulákrum</w:instrText>
      </w:r>
      <w:r>
        <w:instrText xml:space="preserve">" </w:instrText>
      </w:r>
      <w:r>
        <w:rPr>
          <w:szCs w:val="14"/>
        </w:rPr>
        <w:fldChar w:fldCharType="end"/>
      </w:r>
      <w:r>
        <w:rPr>
          <w:szCs w:val="14"/>
        </w:rPr>
        <w:t xml:space="preserve"> první substance a p</w:t>
      </w:r>
      <w:r w:rsidRPr="00273106">
        <w:rPr>
          <w:szCs w:val="14"/>
        </w:rPr>
        <w:t>ovažoval tento způsob poznání univerzálií pomocí materie t</w:t>
      </w:r>
      <w:r>
        <w:rPr>
          <w:szCs w:val="14"/>
        </w:rPr>
        <w:t>řetího druhu za čistý nesmysl. V</w:t>
      </w:r>
      <w:r w:rsidRPr="00273106">
        <w:rPr>
          <w:szCs w:val="14"/>
        </w:rPr>
        <w:t xml:space="preserve">iz jeho polemiku ohledně </w:t>
      </w:r>
      <w:r w:rsidRPr="00273106">
        <w:rPr>
          <w:i/>
        </w:rPr>
        <w:t>opinio Latinorum</w:t>
      </w:r>
      <w:r>
        <w:rPr>
          <w:i/>
        </w:rPr>
        <w:fldChar w:fldCharType="begin"/>
      </w:r>
      <w:r>
        <w:instrText xml:space="preserve"> XE "druhý averroismus:</w:instrText>
      </w:r>
      <w:r w:rsidRPr="00894CD6">
        <w:rPr>
          <w:i/>
        </w:rPr>
        <w:instrText>opinio Latinorum</w:instrText>
      </w:r>
      <w:r>
        <w:instrText xml:space="preserve">" </w:instrText>
      </w:r>
      <w:r>
        <w:rPr>
          <w:i/>
        </w:rPr>
        <w:fldChar w:fldCharType="end"/>
      </w:r>
      <w:r w:rsidRPr="00273106">
        <w:rPr>
          <w:szCs w:val="14"/>
        </w:rPr>
        <w:t xml:space="preserve"> (</w:t>
      </w:r>
      <w:r w:rsidR="08393958">
        <w:rPr>
          <w:szCs w:val="14"/>
        </w:rPr>
        <w:t>OBJ II, kap. 2</w:t>
      </w:r>
      <w:r w:rsidRPr="00273106">
        <w:rPr>
          <w:szCs w:val="14"/>
        </w:rPr>
        <w:t xml:space="preserve">.4.3). </w:t>
      </w:r>
      <w:r>
        <w:rPr>
          <w:szCs w:val="14"/>
        </w:rPr>
        <w:t xml:space="preserve">Ale sofistické slovo se v moderně stalo objektivním tělem a začalo přebývat mezi námi v podobě nové atomární substance. </w:t>
      </w:r>
      <w:r w:rsidRPr="00273106">
        <w:t>Mystický teolog a duchovní otec moderny dal metafyzice nový střední člen poznávacího soudu (</w:t>
      </w:r>
      <w:r w:rsidRPr="00273106">
        <w:rPr>
          <w:i/>
        </w:rPr>
        <w:t>medium</w:t>
      </w:r>
      <w:r>
        <w:rPr>
          <w:i/>
        </w:rPr>
        <w:fldChar w:fldCharType="begin"/>
      </w:r>
      <w:r>
        <w:instrText xml:space="preserve"> XE "</w:instrText>
      </w:r>
      <w:r w:rsidRPr="001618A5">
        <w:rPr>
          <w:i/>
        </w:rPr>
        <w:instrText>medium:</w:instrText>
      </w:r>
      <w:r>
        <w:instrText xml:space="preserve">Bonaventura" </w:instrText>
      </w:r>
      <w:r>
        <w:rPr>
          <w:i/>
        </w:rPr>
        <w:fldChar w:fldCharType="end"/>
      </w:r>
      <w:r w:rsidRPr="00273106">
        <w:t>), a tím vytvořil novou formu objektivity. Vznik nové metafyziky dokládá tato citace z jeho díla</w:t>
      </w:r>
      <w:r w:rsidR="001B16C4">
        <w:t xml:space="preserve"> </w:t>
      </w:r>
      <w:r w:rsidR="001B16C4" w:rsidRPr="00273106">
        <w:rPr>
          <w:i/>
          <w:noProof/>
        </w:rPr>
        <w:t>Collationes in Hexaëmeron</w:t>
      </w:r>
      <w:r w:rsidRPr="00273106">
        <w:t>.</w:t>
      </w:r>
    </w:p>
    <w:p w:rsidR="08163013" w:rsidRDefault="08163013" w:rsidP="08163013">
      <w:pPr>
        <w:pStyle w:val="Citace"/>
      </w:pPr>
      <w:r w:rsidRPr="00135EE5">
        <w:t>„To je střední člen soudu zakládající metafyziku</w:t>
      </w:r>
      <w:r>
        <w:rPr>
          <w:lang w:val="cs-CZ"/>
        </w:rPr>
        <w:t xml:space="preserve"> (</w:t>
      </w:r>
      <w:r w:rsidRPr="00553449">
        <w:rPr>
          <w:i/>
          <w:noProof/>
        </w:rPr>
        <w:t>medium metaphysicum reducens</w:t>
      </w:r>
      <w:r>
        <w:rPr>
          <w:lang w:val="cs-CZ"/>
        </w:rPr>
        <w:t>)</w:t>
      </w:r>
      <w:r w:rsidRPr="00135EE5">
        <w:t>, a to je celá naše me</w:t>
      </w:r>
      <w:r>
        <w:t>tafyzika</w:t>
      </w:r>
      <w:r w:rsidR="00182B5F">
        <w:rPr>
          <w:lang w:val="cs-CZ"/>
        </w:rPr>
        <w:t>:</w:t>
      </w:r>
      <w:r>
        <w:rPr>
          <w:lang w:val="cs-CZ"/>
        </w:rPr>
        <w:t xml:space="preserve"> </w:t>
      </w:r>
      <w:r w:rsidRPr="00135EE5">
        <w:t>z emanace, z exemplarity, ze završení daného ozářením spirituálním sv</w:t>
      </w:r>
      <w:r>
        <w:t>ětle</w:t>
      </w:r>
      <w:r>
        <w:rPr>
          <w:lang w:val="cs-CZ"/>
        </w:rPr>
        <w:t>m, a t</w:t>
      </w:r>
      <w:r w:rsidRPr="00135EE5">
        <w:t xml:space="preserve">ak </w:t>
      </w:r>
      <w:r>
        <w:rPr>
          <w:lang w:val="cs-CZ"/>
        </w:rPr>
        <w:t xml:space="preserve">je </w:t>
      </w:r>
      <w:r w:rsidRPr="00135EE5">
        <w:t>přivedena k nejvyššímu</w:t>
      </w:r>
      <w:r w:rsidR="00182B5F">
        <w:rPr>
          <w:lang w:val="cs-CZ"/>
        </w:rPr>
        <w:t xml:space="preserve"> cíli</w:t>
      </w:r>
      <w:r w:rsidRPr="00135EE5">
        <w:t>. A t</w:t>
      </w:r>
      <w:r>
        <w:rPr>
          <w:lang w:val="cs-CZ"/>
        </w:rPr>
        <w:t xml:space="preserve">ímto způsobem se staneš </w:t>
      </w:r>
      <w:r w:rsidRPr="00135EE5">
        <w:t xml:space="preserve">pravým metafyzikem.“ </w:t>
      </w:r>
      <w:r>
        <w:rPr>
          <w:rStyle w:val="Znakapoznpodarou"/>
        </w:rPr>
        <w:footnoteReference w:id="33"/>
      </w:r>
    </w:p>
    <w:p w:rsidR="08163013" w:rsidRDefault="08163013" w:rsidP="08163013">
      <w:r w:rsidRPr="00273106">
        <w:t>Smysl jsoucna je přiveden k Ježíši Kristu jako jedinému prostř</w:t>
      </w:r>
      <w:r>
        <w:t xml:space="preserve">edníku mezi bohem a člověkem. Kdo </w:t>
      </w:r>
      <w:r w:rsidRPr="00273106">
        <w:t>pozná</w:t>
      </w:r>
      <w:r>
        <w:t xml:space="preserve"> toto mysticko-filosofické </w:t>
      </w:r>
      <w:r w:rsidRPr="00B74551">
        <w:rPr>
          <w:i/>
        </w:rPr>
        <w:t>medium</w:t>
      </w:r>
      <w:r w:rsidRPr="00273106">
        <w:t xml:space="preserve">, ten se stane skutečným metafyzikem. </w:t>
      </w:r>
      <w:r w:rsidRPr="00273106">
        <w:lastRenderedPageBreak/>
        <w:t>Serafínský učitel tvrdí, že vědecké poznání kulminuje ve Zjevení, jehož pravdy jsou nad roz</w:t>
      </w:r>
      <w:r>
        <w:t xml:space="preserve">umem, ale nikoliv proti rozumu. </w:t>
      </w:r>
      <w:r w:rsidRPr="00273106">
        <w:t xml:space="preserve">Nasvícení zezadu ve dvojí formě </w:t>
      </w:r>
      <w:r>
        <w:t xml:space="preserve">objektivity </w:t>
      </w:r>
      <w:r w:rsidRPr="00273106">
        <w:t>(</w:t>
      </w:r>
      <w:r w:rsidRPr="002E4F3D">
        <w:rPr>
          <w:i/>
        </w:rPr>
        <w:t>ratio</w:t>
      </w:r>
      <w:r>
        <w:t xml:space="preserve"> </w:t>
      </w:r>
      <w:r w:rsidRPr="00273106">
        <w:rPr>
          <w:i/>
        </w:rPr>
        <w:t>exemplar</w:t>
      </w:r>
      <w:r>
        <w:rPr>
          <w:i/>
        </w:rPr>
        <w:t>is</w:t>
      </w:r>
      <w:r w:rsidRPr="00273106">
        <w:t xml:space="preserve">, </w:t>
      </w:r>
      <w:r w:rsidRPr="00273106">
        <w:rPr>
          <w:i/>
        </w:rPr>
        <w:t>seminalis</w:t>
      </w:r>
      <w:r w:rsidRPr="00273106">
        <w:t xml:space="preserve">) dává intelektu dostatečnou jistotu poznání vyjádřenou novým postavením středního členu v demonstrativním </w:t>
      </w:r>
      <w:r>
        <w:t>sylogismu (</w:t>
      </w:r>
      <w:r>
        <w:rPr>
          <w:i/>
        </w:rPr>
        <w:t>h</w:t>
      </w:r>
      <w:r w:rsidRPr="00273106">
        <w:rPr>
          <w:i/>
        </w:rPr>
        <w:t>aec est tota nostra metaphysica</w:t>
      </w:r>
      <w:r>
        <w:t>)</w:t>
      </w:r>
      <w:r w:rsidRPr="00273106">
        <w:t>. Ontoteologická konstrukce založená na mystické teologii</w:t>
      </w:r>
      <w:r>
        <w:t xml:space="preserve"> a na logic</w:t>
      </w:r>
      <w:r w:rsidR="08675FFE">
        <w:t>e</w:t>
      </w:r>
      <w:r>
        <w:t xml:space="preserve"> </w:t>
      </w:r>
      <w:r w:rsidRPr="00273106">
        <w:t>etab</w:t>
      </w:r>
      <w:r>
        <w:t xml:space="preserve">lovala objektivní smysl jsoucna. </w:t>
      </w:r>
      <w:r w:rsidRPr="00273106">
        <w:rPr>
          <w:szCs w:val="14"/>
        </w:rPr>
        <w:t>Výše vyložený trojí statut jsoucna (</w:t>
      </w:r>
      <w:r w:rsidR="00A9005A">
        <w:rPr>
          <w:szCs w:val="14"/>
        </w:rPr>
        <w:t>reálný, univerzální, objektivní</w:t>
      </w:r>
      <w:r w:rsidRPr="00273106">
        <w:rPr>
          <w:szCs w:val="14"/>
        </w:rPr>
        <w:t xml:space="preserve">) potřebuje univoční </w:t>
      </w:r>
      <w:r w:rsidR="00962190" w:rsidRPr="009F4D57">
        <w:rPr>
          <w:szCs w:val="14"/>
        </w:rPr>
        <w:t>species</w:t>
      </w:r>
      <w:r w:rsidR="009F4D57">
        <w:rPr>
          <w:szCs w:val="14"/>
        </w:rPr>
        <w:t xml:space="preserve"> jako jsoucno</w:t>
      </w:r>
      <w:r>
        <w:rPr>
          <w:szCs w:val="14"/>
        </w:rPr>
        <w:t xml:space="preserve"> třetího druhu. Jen tak může </w:t>
      </w:r>
      <w:r w:rsidRPr="00273106">
        <w:rPr>
          <w:szCs w:val="14"/>
        </w:rPr>
        <w:t xml:space="preserve">fungovat projekt moderní metafyziky v kompletní predikaci </w:t>
      </w:r>
      <w:r w:rsidRPr="00273106">
        <w:rPr>
          <w:i/>
          <w:szCs w:val="14"/>
        </w:rPr>
        <w:t>per prius</w:t>
      </w:r>
      <w:r w:rsidRPr="00273106">
        <w:rPr>
          <w:szCs w:val="14"/>
        </w:rPr>
        <w:t xml:space="preserve"> a </w:t>
      </w:r>
      <w:r w:rsidRPr="00273106">
        <w:rPr>
          <w:i/>
          <w:szCs w:val="14"/>
        </w:rPr>
        <w:t>per posterius</w:t>
      </w:r>
      <w:r w:rsidRPr="00273106">
        <w:rPr>
          <w:szCs w:val="14"/>
        </w:rPr>
        <w:t xml:space="preserve">. Tuto jednotnou predikaci v rámci nové ontotelogie podávají Bonaventurova kázání a mysticko-teologické spisy z pozdního období jeho myšlení. Stejně jako ve škole </w:t>
      </w:r>
      <w:r w:rsidRPr="00273106">
        <w:rPr>
          <w:i/>
          <w:szCs w:val="14"/>
        </w:rPr>
        <w:t>Nominales</w:t>
      </w:r>
      <w:r w:rsidRPr="00273106">
        <w:rPr>
          <w:szCs w:val="14"/>
        </w:rPr>
        <w:t xml:space="preserve"> představuje esenciálně pojaté species ve formě ontoteologického </w:t>
      </w:r>
      <w:r w:rsidRPr="00273106">
        <w:rPr>
          <w:i/>
          <w:szCs w:val="14"/>
        </w:rPr>
        <w:t>scibile</w:t>
      </w:r>
      <w:r>
        <w:rPr>
          <w:i/>
          <w:szCs w:val="14"/>
        </w:rPr>
        <w:fldChar w:fldCharType="begin"/>
      </w:r>
      <w:r>
        <w:instrText xml:space="preserve"> XE "</w:instrText>
      </w:r>
      <w:r w:rsidRPr="00AA4F67">
        <w:rPr>
          <w:i/>
        </w:rPr>
        <w:instrText>scibile</w:instrText>
      </w:r>
      <w:r>
        <w:instrText xml:space="preserve">:Bonaventura" </w:instrText>
      </w:r>
      <w:r>
        <w:rPr>
          <w:i/>
          <w:szCs w:val="14"/>
        </w:rPr>
        <w:fldChar w:fldCharType="end"/>
      </w:r>
      <w:r w:rsidRPr="00273106">
        <w:rPr>
          <w:szCs w:val="14"/>
        </w:rPr>
        <w:t xml:space="preserve"> základní klíč k objektivnímu poznání reality.</w:t>
      </w:r>
      <w:r>
        <w:t xml:space="preserve"> </w:t>
      </w:r>
      <w:r w:rsidR="00681D20" w:rsidRPr="00681D20">
        <w:t>Zdůvodnění objektivity je založeno na vůli moderního Boha a později na vůli moderního demiurga.</w:t>
      </w:r>
    </w:p>
    <w:p w:rsidR="08163013" w:rsidRDefault="08163013" w:rsidP="08163013">
      <w:pPr>
        <w:pStyle w:val="Citace"/>
      </w:pPr>
      <w:r w:rsidRPr="00273106">
        <w:rPr>
          <w:noProof/>
        </w:rPr>
        <w:t>„</w:t>
      </w:r>
      <w:r>
        <w:t>Pak je možné signifikovat dobrotu v potenci, stejně jako exemplar vyjadřuje jsoucnost věci. Ne tím, že by věc existovala, ale proto, že bůh ji může stvořit. A v bohu nemůže být nic, co by nepoznával se svým souhlasem</w:t>
      </w:r>
      <w:r>
        <w:rPr>
          <w:lang w:val="cs-CZ"/>
        </w:rPr>
        <w:t xml:space="preserve"> (</w:t>
      </w:r>
      <w:r w:rsidRPr="007865D5">
        <w:rPr>
          <w:i/>
          <w:noProof/>
        </w:rPr>
        <w:t>nihil est in Deo, nisi quod cognoscit notitia approbationis</w:t>
      </w:r>
      <w:r>
        <w:rPr>
          <w:lang w:val="cs-CZ"/>
        </w:rPr>
        <w:t>)</w:t>
      </w:r>
      <w:r>
        <w:t xml:space="preserve">. Tak také poznává všechno dobro, protože buď existuje nebo </w:t>
      </w:r>
      <w:r>
        <w:rPr>
          <w:lang w:val="cs-CZ"/>
        </w:rPr>
        <w:t xml:space="preserve">ho </w:t>
      </w:r>
      <w:r>
        <w:t>může uděl</w:t>
      </w:r>
      <w:r>
        <w:rPr>
          <w:lang w:val="cs-CZ"/>
        </w:rPr>
        <w:t>at (</w:t>
      </w:r>
      <w:r w:rsidRPr="000167D9">
        <w:rPr>
          <w:i/>
          <w:noProof/>
        </w:rPr>
        <w:t>quod est vel quod potest facere</w:t>
      </w:r>
      <w:r>
        <w:rPr>
          <w:lang w:val="cs-CZ"/>
        </w:rPr>
        <w:t>), protože má jeho exemplar. Ale tento</w:t>
      </w:r>
      <w:r>
        <w:t xml:space="preserve"> </w:t>
      </w:r>
      <w:r>
        <w:rPr>
          <w:lang w:val="cs-CZ"/>
        </w:rPr>
        <w:t xml:space="preserve">druh </w:t>
      </w:r>
      <w:r>
        <w:t>exemplar</w:t>
      </w:r>
      <w:r>
        <w:rPr>
          <w:lang w:val="cs-CZ"/>
        </w:rPr>
        <w:t xml:space="preserve">u </w:t>
      </w:r>
      <w:r>
        <w:t xml:space="preserve">je </w:t>
      </w:r>
      <w:r>
        <w:rPr>
          <w:lang w:val="cs-CZ"/>
        </w:rPr>
        <w:t xml:space="preserve">dán pouze </w:t>
      </w:r>
      <w:r>
        <w:t xml:space="preserve">v bohu.“ </w:t>
      </w:r>
      <w:r>
        <w:rPr>
          <w:rStyle w:val="Znakapoznpodarou"/>
        </w:rPr>
        <w:footnoteReference w:id="34"/>
      </w:r>
    </w:p>
    <w:p w:rsidR="003D317E" w:rsidRDefault="08163013" w:rsidP="08163013">
      <w:r w:rsidRPr="00273106">
        <w:t>Vůle stvořitele či tvůrce v</w:t>
      </w:r>
      <w:r>
        <w:t xml:space="preserve"> její</w:t>
      </w:r>
      <w:r w:rsidRPr="00273106">
        <w:t xml:space="preserve"> </w:t>
      </w:r>
      <w:r>
        <w:t>formální</w:t>
      </w:r>
      <w:r w:rsidRPr="00273106">
        <w:t xml:space="preserve"> </w:t>
      </w:r>
      <w:r>
        <w:t>schopnosti či potenci (</w:t>
      </w:r>
      <w:r w:rsidRPr="00273106">
        <w:rPr>
          <w:i/>
        </w:rPr>
        <w:t>posse</w:t>
      </w:r>
      <w:r>
        <w:t>) a volní</w:t>
      </w:r>
      <w:r w:rsidRPr="00273106">
        <w:t xml:space="preserve"> přitakání k zamýšlenému dílu (</w:t>
      </w:r>
      <w:r w:rsidRPr="00273106">
        <w:rPr>
          <w:i/>
        </w:rPr>
        <w:t>notitia approbationis</w:t>
      </w:r>
      <w:r w:rsidRPr="00273106">
        <w:t>) s</w:t>
      </w:r>
      <w:r>
        <w:t>e poprvé v dějinách Západu staly</w:t>
      </w:r>
      <w:r w:rsidRPr="00273106">
        <w:t xml:space="preserve"> základním metafyzickým určením jsoucna.</w:t>
      </w:r>
      <w:r>
        <w:t xml:space="preserve"> První averroismus dobře ví, že boha může vědeckým kritickým rozumem zkoumat pouze jako první příčinu, ale nic víc. Druhý averroismus se inspiroval matematicko-geometrickým univerzem podle dialogu </w:t>
      </w:r>
      <w:r w:rsidRPr="00531DF3">
        <w:rPr>
          <w:i/>
        </w:rPr>
        <w:t>Timaios</w:t>
      </w:r>
      <w:r>
        <w:fldChar w:fldCharType="begin"/>
      </w:r>
      <w:r>
        <w:instrText xml:space="preserve"> XE "dialog </w:instrText>
      </w:r>
      <w:r w:rsidRPr="081325FA">
        <w:rPr>
          <w:i/>
        </w:rPr>
        <w:instrText>Timaios</w:instrText>
      </w:r>
      <w:r>
        <w:instrText xml:space="preserve">" </w:instrText>
      </w:r>
      <w:r>
        <w:fldChar w:fldCharType="end"/>
      </w:r>
      <w:r>
        <w:t xml:space="preserve">. </w:t>
      </w:r>
      <w:r w:rsidR="00F472CF">
        <w:t>Objektivně určená e</w:t>
      </w:r>
      <w:r w:rsidRPr="00273106">
        <w:t xml:space="preserve">ntita </w:t>
      </w:r>
      <w:r w:rsidR="00F472CF">
        <w:t>jako exemplárně-objektivní</w:t>
      </w:r>
      <w:r>
        <w:t xml:space="preserve"> </w:t>
      </w:r>
      <w:r w:rsidRPr="007205FB">
        <w:rPr>
          <w:i/>
        </w:rPr>
        <w:t>scibile</w:t>
      </w:r>
      <w:r w:rsidRPr="00273106">
        <w:t xml:space="preserve"> </w:t>
      </w:r>
      <w:r>
        <w:t>(</w:t>
      </w:r>
      <w:r w:rsidRPr="00273106">
        <w:rPr>
          <w:i/>
        </w:rPr>
        <w:t xml:space="preserve">ratio </w:t>
      </w:r>
      <w:r>
        <w:rPr>
          <w:i/>
        </w:rPr>
        <w:t>exemplaris</w:t>
      </w:r>
      <w:r>
        <w:rPr>
          <w:i/>
        </w:rPr>
        <w:fldChar w:fldCharType="begin"/>
      </w:r>
      <w:r>
        <w:instrText xml:space="preserve"> XE "</w:instrText>
      </w:r>
      <w:r w:rsidRPr="00625FC8">
        <w:instrText>exemplar</w:instrText>
      </w:r>
      <w:r>
        <w:instrText xml:space="preserve">" </w:instrText>
      </w:r>
      <w:r>
        <w:rPr>
          <w:i/>
        </w:rPr>
        <w:fldChar w:fldCharType="end"/>
      </w:r>
      <w:r w:rsidRPr="00273106">
        <w:t>) je determin</w:t>
      </w:r>
      <w:r>
        <w:t xml:space="preserve">ovaná božím záměrem něco tvořit. </w:t>
      </w:r>
      <w:r w:rsidR="004F7543" w:rsidRPr="004F7543">
        <w:t xml:space="preserve">Bonaventura </w:t>
      </w:r>
      <w:r w:rsidR="004F7543">
        <w:t>určil metafyziku skrze tvořivou vůli demiurga</w:t>
      </w:r>
      <w:r w:rsidR="004F7543" w:rsidRPr="004F7543">
        <w:t xml:space="preserve">. </w:t>
      </w:r>
      <w:r>
        <w:t xml:space="preserve">Tato klíčová </w:t>
      </w:r>
      <w:r w:rsidR="004F7543">
        <w:t xml:space="preserve">teze </w:t>
      </w:r>
      <w:r>
        <w:t>dále rozvinutá Olivim a Scotem ukazuje novou sféru stvořitelské sféry v bohu, která zakládá nové pojetí jsoucna (</w:t>
      </w:r>
      <w:r w:rsidRPr="00273106">
        <w:rPr>
          <w:i/>
        </w:rPr>
        <w:t>exemplar connotat rei entitatem</w:t>
      </w:r>
      <w:r>
        <w:t xml:space="preserve">). </w:t>
      </w:r>
      <w:r w:rsidR="00872581">
        <w:t>O</w:t>
      </w:r>
      <w:r>
        <w:t xml:space="preserve">bjektivní </w:t>
      </w:r>
      <w:r w:rsidR="00872581">
        <w:t xml:space="preserve">povaha </w:t>
      </w:r>
      <w:r>
        <w:t xml:space="preserve">nestvořených jsoucen v bohu odpovídá zdvojení bytí podle Porfýriova výkladu dialogu </w:t>
      </w:r>
      <w:r w:rsidRPr="0844200E">
        <w:rPr>
          <w:i/>
        </w:rPr>
        <w:t>Parmenides</w:t>
      </w:r>
      <w:r>
        <w:t xml:space="preserve"> </w:t>
      </w:r>
      <w:r w:rsidRPr="00273106">
        <w:t>(</w:t>
      </w:r>
      <w:r w:rsidR="08896373">
        <w:t xml:space="preserve">OBJ I, </w:t>
      </w:r>
      <w:r>
        <w:t xml:space="preserve">kap. 1.3.1). Exemplar </w:t>
      </w:r>
      <w:r w:rsidR="000166EF">
        <w:t xml:space="preserve">je dán jako </w:t>
      </w:r>
      <w:r>
        <w:t xml:space="preserve">objektivní </w:t>
      </w:r>
      <w:r w:rsidRPr="00261941">
        <w:rPr>
          <w:i/>
        </w:rPr>
        <w:lastRenderedPageBreak/>
        <w:t>factum</w:t>
      </w:r>
      <w:r>
        <w:rPr>
          <w:i/>
        </w:rPr>
        <w:fldChar w:fldCharType="begin"/>
      </w:r>
      <w:r>
        <w:instrText xml:space="preserve"> XE "objektivita:</w:instrText>
      </w:r>
      <w:r w:rsidRPr="00E17B41">
        <w:rPr>
          <w:i/>
        </w:rPr>
        <w:instrText>factum</w:instrText>
      </w:r>
      <w:r>
        <w:instrText xml:space="preserve">" </w:instrText>
      </w:r>
      <w:r>
        <w:rPr>
          <w:i/>
        </w:rPr>
        <w:fldChar w:fldCharType="end"/>
      </w:r>
      <w:r>
        <w:t xml:space="preserve"> </w:t>
      </w:r>
      <w:r w:rsidR="000166EF">
        <w:t xml:space="preserve">skrze </w:t>
      </w:r>
      <w:r w:rsidR="001E2CBC">
        <w:t xml:space="preserve">jsoucno jako </w:t>
      </w:r>
      <w:r w:rsidR="00270492">
        <w:t>hypostázovaný vztah</w:t>
      </w:r>
      <w:r w:rsidR="000166EF">
        <w:t xml:space="preserve"> </w:t>
      </w:r>
      <w:r w:rsidR="00270492">
        <w:t>(</w:t>
      </w:r>
      <w:r w:rsidR="000166EF" w:rsidRPr="003679F8">
        <w:rPr>
          <w:i/>
          <w:szCs w:val="24"/>
          <w:lang w:val="de-DE"/>
        </w:rPr>
        <w:t>esse ad</w:t>
      </w:r>
      <w:r w:rsidR="000166EF">
        <w:rPr>
          <w:i/>
          <w:szCs w:val="24"/>
          <w:lang w:val="de-DE"/>
        </w:rPr>
        <w:fldChar w:fldCharType="begin"/>
      </w:r>
      <w:r w:rsidR="000166EF">
        <w:instrText xml:space="preserve"> XE "</w:instrText>
      </w:r>
      <w:r w:rsidR="000166EF" w:rsidRPr="00052523">
        <w:rPr>
          <w:i/>
          <w:szCs w:val="24"/>
          <w:lang w:val="de-DE"/>
        </w:rPr>
        <w:instrText>esse ad</w:instrText>
      </w:r>
      <w:r w:rsidR="000166EF">
        <w:instrText xml:space="preserve">" </w:instrText>
      </w:r>
      <w:r w:rsidR="000166EF">
        <w:rPr>
          <w:i/>
          <w:szCs w:val="24"/>
          <w:lang w:val="de-DE"/>
        </w:rPr>
        <w:fldChar w:fldCharType="end"/>
      </w:r>
      <w:r w:rsidR="00270492">
        <w:rPr>
          <w:szCs w:val="24"/>
          <w:lang w:val="de-DE"/>
        </w:rPr>
        <w:t>)</w:t>
      </w:r>
      <w:r w:rsidR="000166EF">
        <w:rPr>
          <w:szCs w:val="24"/>
          <w:lang w:val="de-DE"/>
        </w:rPr>
        <w:t>, který vytvořil Simplikius (OBJ I, kap. 1.3.2)</w:t>
      </w:r>
      <w:r w:rsidR="001E2CBC">
        <w:rPr>
          <w:szCs w:val="24"/>
          <w:lang w:val="de-DE"/>
        </w:rPr>
        <w:t>. Jeho</w:t>
      </w:r>
      <w:r w:rsidR="001E2CBC" w:rsidRPr="001E2CBC">
        <w:rPr>
          <w:szCs w:val="24"/>
          <w:lang w:val="de-DE"/>
        </w:rPr>
        <w:t xml:space="preserve"> rel</w:t>
      </w:r>
      <w:r w:rsidR="001E2CBC">
        <w:rPr>
          <w:szCs w:val="24"/>
          <w:lang w:val="de-DE"/>
        </w:rPr>
        <w:t>ativní bytí závisí výhradně na b</w:t>
      </w:r>
      <w:r w:rsidR="001E2CBC" w:rsidRPr="001E2CBC">
        <w:rPr>
          <w:szCs w:val="24"/>
          <w:lang w:val="de-DE"/>
        </w:rPr>
        <w:t>oží vůli. On obdařuje tuto zamýšlenou entitu univerzálním objektivním bytím dan</w:t>
      </w:r>
      <w:r w:rsidR="001E2CBC">
        <w:rPr>
          <w:szCs w:val="24"/>
          <w:lang w:val="de-DE"/>
        </w:rPr>
        <w:t xml:space="preserve">ým mezi čistým bytím a nebytím </w:t>
      </w:r>
      <w:r>
        <w:t>(</w:t>
      </w:r>
      <w:r w:rsidRPr="00273106">
        <w:rPr>
          <w:i/>
        </w:rPr>
        <w:t>non quia sit, sed quia Deus potest eam facere</w:t>
      </w:r>
      <w:r w:rsidRPr="00273106">
        <w:t xml:space="preserve">). Možnost daná pouze v mysli </w:t>
      </w:r>
      <w:r>
        <w:t>demiurga</w:t>
      </w:r>
      <w:r>
        <w:fldChar w:fldCharType="begin"/>
      </w:r>
      <w:r>
        <w:instrText xml:space="preserve"> XE "</w:instrText>
      </w:r>
      <w:r w:rsidRPr="005C2F4A">
        <w:rPr>
          <w:rStyle w:val="addmd"/>
        </w:rPr>
        <w:instrText>demiurg</w:instrText>
      </w:r>
      <w:r>
        <w:instrText xml:space="preserve">" </w:instrText>
      </w:r>
      <w:r>
        <w:fldChar w:fldCharType="end"/>
      </w:r>
      <w:r>
        <w:t xml:space="preserve"> </w:t>
      </w:r>
      <w:r w:rsidRPr="00273106">
        <w:t>se stala základem racionální struktury reality</w:t>
      </w:r>
      <w:r>
        <w:t xml:space="preserve"> (</w:t>
      </w:r>
      <w:r w:rsidRPr="001A6B9F">
        <w:rPr>
          <w:i/>
        </w:rPr>
        <w:t>illius habet exemplar</w:t>
      </w:r>
      <w:r>
        <w:t>)</w:t>
      </w:r>
      <w:r w:rsidRPr="00273106">
        <w:t>. Přitakání k tomut</w:t>
      </w:r>
      <w:r>
        <w:t>o</w:t>
      </w:r>
      <w:r w:rsidRPr="00273106">
        <w:t xml:space="preserve"> </w:t>
      </w:r>
      <w:r>
        <w:t xml:space="preserve">volnímu či intencionálnímu </w:t>
      </w:r>
      <w:r w:rsidRPr="00273106">
        <w:t>záměru (</w:t>
      </w:r>
      <w:r w:rsidRPr="00273106">
        <w:rPr>
          <w:i/>
        </w:rPr>
        <w:t>notitia approbationis</w:t>
      </w:r>
      <w:r w:rsidRPr="00273106">
        <w:t xml:space="preserve">) pak zakládá bytí </w:t>
      </w:r>
      <w:r w:rsidR="00573616">
        <w:t xml:space="preserve">jako </w:t>
      </w:r>
      <w:r w:rsidRPr="00273106">
        <w:t>potenci i aktualit</w:t>
      </w:r>
      <w:r w:rsidR="00573616">
        <w:t>u</w:t>
      </w:r>
      <w:r w:rsidRPr="00273106">
        <w:t xml:space="preserve">. Bonaventura </w:t>
      </w:r>
      <w:r w:rsidR="004D302C">
        <w:t xml:space="preserve">tvrdí, </w:t>
      </w:r>
      <w:r w:rsidRPr="00273106">
        <w:t xml:space="preserve">že podobný úkon </w:t>
      </w:r>
      <w:r>
        <w:t xml:space="preserve">exemplární demiurgické </w:t>
      </w:r>
      <w:r w:rsidRPr="00273106">
        <w:t>vůle je možný jen v bohu (</w:t>
      </w:r>
      <w:r w:rsidRPr="00273106">
        <w:rPr>
          <w:i/>
        </w:rPr>
        <w:t>tantum est in Deo</w:t>
      </w:r>
      <w:r w:rsidRPr="00273106">
        <w:t>)</w:t>
      </w:r>
      <w:r w:rsidR="004D302C">
        <w:t>. A</w:t>
      </w:r>
      <w:r w:rsidRPr="00273106">
        <w:t xml:space="preserve">le </w:t>
      </w:r>
      <w:r>
        <w:t>post</w:t>
      </w:r>
      <w:r w:rsidRPr="00273106">
        <w:t xml:space="preserve">moderna si </w:t>
      </w:r>
      <w:r>
        <w:t xml:space="preserve">po smrti moderního boha </w:t>
      </w:r>
      <w:r w:rsidRPr="00273106">
        <w:t>už nekladla</w:t>
      </w:r>
      <w:r>
        <w:t xml:space="preserve"> žádná </w:t>
      </w:r>
      <w:r w:rsidRPr="00273106">
        <w:t>omezení</w:t>
      </w:r>
      <w:r>
        <w:rPr>
          <w:color w:val="000000"/>
        </w:rPr>
        <w:fldChar w:fldCharType="begin"/>
      </w:r>
      <w:r>
        <w:instrText xml:space="preserve"> XE "smrt boha" </w:instrText>
      </w:r>
      <w:r>
        <w:rPr>
          <w:color w:val="000000"/>
        </w:rPr>
        <w:fldChar w:fldCharType="end"/>
      </w:r>
      <w:r>
        <w:t xml:space="preserve">. </w:t>
      </w:r>
      <w:r w:rsidR="00C95A3F">
        <w:t>Pojem „</w:t>
      </w:r>
      <w:r w:rsidR="00C95A3F" w:rsidRPr="00C95A3F">
        <w:rPr>
          <w:i/>
        </w:rPr>
        <w:t>notitia approbationis</w:t>
      </w:r>
      <w:r w:rsidR="00C95A3F">
        <w:t>“</w:t>
      </w:r>
      <w:r w:rsidR="00C95A3F" w:rsidRPr="00C95A3F">
        <w:t xml:space="preserve"> má zásadní význam pro založení objektivní metafyziky, neboť umožňuje spojení nejdůležitějších kategoriálních určení</w:t>
      </w:r>
      <w:r w:rsidR="00C95A3F">
        <w:t xml:space="preserve"> daných v rámci </w:t>
      </w:r>
      <w:r w:rsidR="00C95A3F" w:rsidRPr="00C95A3F">
        <w:rPr>
          <w:i/>
        </w:rPr>
        <w:t>dativus obiectivus</w:t>
      </w:r>
      <w:r w:rsidR="00C95A3F">
        <w:rPr>
          <w:i/>
        </w:rPr>
        <w:fldChar w:fldCharType="begin"/>
      </w:r>
      <w:r w:rsidR="00C95A3F">
        <w:instrText xml:space="preserve"> XE "</w:instrText>
      </w:r>
      <w:r w:rsidR="00C95A3F" w:rsidRPr="005F22C8">
        <w:rPr>
          <w:i/>
        </w:rPr>
        <w:instrText>dativus obiectivus</w:instrText>
      </w:r>
      <w:r w:rsidR="00C95A3F">
        <w:instrText xml:space="preserve">" </w:instrText>
      </w:r>
      <w:r w:rsidR="00C95A3F">
        <w:rPr>
          <w:i/>
        </w:rPr>
        <w:fldChar w:fldCharType="end"/>
      </w:r>
      <w:r w:rsidR="00C95A3F">
        <w:t xml:space="preserve">. Metafyzické jsoucno </w:t>
      </w:r>
      <w:r w:rsidR="00C95A3F" w:rsidRPr="00C95A3F">
        <w:t xml:space="preserve">se stává objektivním </w:t>
      </w:r>
      <w:r w:rsidR="00C95A3F">
        <w:t xml:space="preserve">jsoucnem </w:t>
      </w:r>
      <w:r w:rsidR="00C95A3F" w:rsidRPr="00C95A3F">
        <w:t>na základě demiurgické vůle (</w:t>
      </w:r>
      <w:r w:rsidR="00C95A3F" w:rsidRPr="00C95A3F">
        <w:rPr>
          <w:i/>
        </w:rPr>
        <w:t>dativus possessivus</w:t>
      </w:r>
      <w:r w:rsidR="00C95A3F">
        <w:rPr>
          <w:i/>
        </w:rPr>
        <w:fldChar w:fldCharType="begin"/>
      </w:r>
      <w:r w:rsidR="00C95A3F">
        <w:instrText xml:space="preserve"> XE "</w:instrText>
      </w:r>
      <w:r w:rsidR="00C95A3F" w:rsidRPr="00261652">
        <w:rPr>
          <w:i/>
        </w:rPr>
        <w:instrText>dativus possessivus</w:instrText>
      </w:r>
      <w:r w:rsidR="00C95A3F">
        <w:instrText xml:space="preserve">" </w:instrText>
      </w:r>
      <w:r w:rsidR="00C95A3F">
        <w:rPr>
          <w:i/>
        </w:rPr>
        <w:fldChar w:fldCharType="end"/>
      </w:r>
      <w:r w:rsidR="00C95A3F" w:rsidRPr="00C95A3F">
        <w:t xml:space="preserve">). Zdroj této vůle je v moderním subjektu, který objektivní jsoucno uvádí do </w:t>
      </w:r>
      <w:r w:rsidR="00C95A3F">
        <w:t>od</w:t>
      </w:r>
      <w:r w:rsidR="00C95A3F" w:rsidRPr="00C95A3F">
        <w:t xml:space="preserve">krytosti dané jako objektivní </w:t>
      </w:r>
      <w:r w:rsidR="00C95A3F" w:rsidRPr="00C95A3F">
        <w:rPr>
          <w:i/>
        </w:rPr>
        <w:t>veritas</w:t>
      </w:r>
      <w:r w:rsidR="00C95A3F" w:rsidRPr="00C95A3F">
        <w:t xml:space="preserve"> (</w:t>
      </w:r>
      <w:r w:rsidR="00C95A3F" w:rsidRPr="00C95A3F">
        <w:rPr>
          <w:i/>
        </w:rPr>
        <w:t>dativus auctoris</w:t>
      </w:r>
      <w:r w:rsidR="00C95A3F">
        <w:rPr>
          <w:i/>
        </w:rPr>
        <w:fldChar w:fldCharType="begin"/>
      </w:r>
      <w:r w:rsidR="00C95A3F">
        <w:instrText xml:space="preserve"> XE "</w:instrText>
      </w:r>
      <w:r w:rsidR="00C95A3F" w:rsidRPr="00086C08">
        <w:rPr>
          <w:i/>
        </w:rPr>
        <w:instrText>dativus auctoris</w:instrText>
      </w:r>
      <w:r w:rsidR="00C95A3F">
        <w:instrText xml:space="preserve">" </w:instrText>
      </w:r>
      <w:r w:rsidR="00C95A3F">
        <w:rPr>
          <w:i/>
        </w:rPr>
        <w:fldChar w:fldCharType="end"/>
      </w:r>
      <w:r w:rsidR="00C95A3F" w:rsidRPr="00C95A3F">
        <w:t>). Exemplárně ustavená ontoteologická str</w:t>
      </w:r>
      <w:r w:rsidR="00C95A3F">
        <w:t>uktura se vztahuje k modernímu b</w:t>
      </w:r>
      <w:r w:rsidR="00C95A3F" w:rsidRPr="00C95A3F">
        <w:t>ohu jako ultima ratio této objektivity (</w:t>
      </w:r>
      <w:r w:rsidR="00C95A3F" w:rsidRPr="00C95A3F">
        <w:rPr>
          <w:i/>
        </w:rPr>
        <w:t>dativus finalis</w:t>
      </w:r>
      <w:r w:rsidR="00C95A3F">
        <w:rPr>
          <w:i/>
        </w:rPr>
        <w:fldChar w:fldCharType="begin"/>
      </w:r>
      <w:r w:rsidR="00C95A3F">
        <w:instrText xml:space="preserve"> XE "</w:instrText>
      </w:r>
      <w:r w:rsidR="00C95A3F" w:rsidRPr="00C53AFE">
        <w:rPr>
          <w:i/>
        </w:rPr>
        <w:instrText>dativus finalis</w:instrText>
      </w:r>
      <w:r w:rsidR="00C95A3F">
        <w:instrText xml:space="preserve">" </w:instrText>
      </w:r>
      <w:r w:rsidR="00C95A3F">
        <w:rPr>
          <w:i/>
        </w:rPr>
        <w:fldChar w:fldCharType="end"/>
      </w:r>
      <w:r w:rsidR="00C95A3F" w:rsidRPr="00C95A3F">
        <w:t>). Aristotelova metafyzika přijatá v učení Komentátora je zbytečná, protože nová predikace vychází z úplně jiného zdroje než hyparchická první substance (</w:t>
      </w:r>
      <w:r w:rsidR="00C95A3F" w:rsidRPr="00C95A3F">
        <w:rPr>
          <w:i/>
        </w:rPr>
        <w:t>dativus incommodi</w:t>
      </w:r>
      <w:r w:rsidR="00C95A3F">
        <w:rPr>
          <w:i/>
        </w:rPr>
        <w:fldChar w:fldCharType="begin"/>
      </w:r>
      <w:r w:rsidR="00C95A3F">
        <w:instrText xml:space="preserve"> XE "</w:instrText>
      </w:r>
      <w:r w:rsidR="00C95A3F" w:rsidRPr="00011BD2">
        <w:rPr>
          <w:i/>
        </w:rPr>
        <w:instrText>dativus incommodi</w:instrText>
      </w:r>
      <w:r w:rsidR="00C95A3F">
        <w:instrText xml:space="preserve">" </w:instrText>
      </w:r>
      <w:r w:rsidR="00C95A3F">
        <w:rPr>
          <w:i/>
        </w:rPr>
        <w:fldChar w:fldCharType="end"/>
      </w:r>
      <w:r w:rsidR="00C95A3F" w:rsidRPr="00C95A3F">
        <w:t xml:space="preserve">). </w:t>
      </w:r>
      <w:r>
        <w:t xml:space="preserve">Moderna </w:t>
      </w:r>
      <w:r w:rsidR="006C371F">
        <w:t xml:space="preserve">objektivně </w:t>
      </w:r>
      <w:r>
        <w:t>pokládá za realitu to</w:t>
      </w:r>
      <w:r w:rsidR="006C371F">
        <w:t>,</w:t>
      </w:r>
      <w:r>
        <w:t xml:space="preserve"> k čemu se přikloní svým souhlasem v</w:t>
      </w:r>
      <w:r w:rsidR="00491613">
        <w:t> mytologickém m</w:t>
      </w:r>
      <w:r>
        <w:t xml:space="preserve">odu </w:t>
      </w:r>
      <w:r w:rsidR="006C371F">
        <w:t>„</w:t>
      </w:r>
      <w:r w:rsidRPr="00273106">
        <w:rPr>
          <w:i/>
        </w:rPr>
        <w:t>notitia approbationis</w:t>
      </w:r>
      <w:r w:rsidR="006C371F">
        <w:t>“</w:t>
      </w:r>
      <w:r>
        <w:t xml:space="preserve">. </w:t>
      </w:r>
      <w:r w:rsidR="003D7C4D">
        <w:t>Kouzelné zaříkávadlo démonického souhlasu (</w:t>
      </w:r>
      <w:r w:rsidR="003D7C4D" w:rsidRPr="00C95A3F">
        <w:rPr>
          <w:i/>
        </w:rPr>
        <w:t>notitia approbationis</w:t>
      </w:r>
      <w:r w:rsidR="003D7C4D">
        <w:t>) vzniklo za tiché úč</w:t>
      </w:r>
      <w:r w:rsidR="003D317E">
        <w:t>asti mysticky založených Fúrií.</w:t>
      </w:r>
    </w:p>
    <w:p w:rsidR="08163013" w:rsidRDefault="003D7C4D" w:rsidP="00323F32">
      <w:pPr>
        <w:ind w:firstLine="397"/>
      </w:pPr>
      <w:r>
        <w:t xml:space="preserve">Bohyně akademické Pomsty změnily </w:t>
      </w:r>
      <w:r w:rsidR="00AA649C">
        <w:t>adresu</w:t>
      </w:r>
      <w:r>
        <w:t xml:space="preserve"> a přestěhovaly se z dobytého </w:t>
      </w:r>
      <w:r w:rsidR="00515750">
        <w:t>Oxf</w:t>
      </w:r>
      <w:r>
        <w:t>o</w:t>
      </w:r>
      <w:r w:rsidR="00515750">
        <w:t>r</w:t>
      </w:r>
      <w:r>
        <w:t xml:space="preserve">du do dosud nedobyté Paříže, kde skrytě působily v přelomové epoše 1250–55. </w:t>
      </w:r>
      <w:r w:rsidR="00CA165D">
        <w:t xml:space="preserve">Ontoteologická konstrukce moderní metafyziky skončila v čistém nihilismu současnosti. Démonicky manipulovaný souhlas přešel </w:t>
      </w:r>
      <w:r w:rsidRPr="08374F09">
        <w:t xml:space="preserve">po smrti boha </w:t>
      </w:r>
      <w:r w:rsidRPr="08374F09">
        <w:rPr>
          <w:i/>
        </w:rPr>
        <w:t>Modernorum</w:t>
      </w:r>
      <w:r w:rsidRPr="08374F09">
        <w:t xml:space="preserve"> </w:t>
      </w:r>
      <w:r>
        <w:t>na akademiky, bankstery a politiky. Ti společně s jedním procentem iluminátů všeho druhu vytvářejí současné simulákrum objektivně dané reality</w:t>
      </w:r>
      <w:r w:rsidR="001E46DD">
        <w:t xml:space="preserve"> </w:t>
      </w:r>
      <w:r w:rsidR="001E46DD">
        <w:rPr>
          <w:szCs w:val="24"/>
          <w:lang w:val="de-DE"/>
        </w:rPr>
        <w:t>(</w:t>
      </w:r>
      <w:r w:rsidR="001E46DD" w:rsidRPr="00C860DC">
        <w:rPr>
          <w:i/>
          <w:szCs w:val="24"/>
          <w:lang w:val="de-DE"/>
        </w:rPr>
        <w:t>dativus ethicus</w:t>
      </w:r>
      <w:r w:rsidR="001E46DD">
        <w:rPr>
          <w:i/>
          <w:szCs w:val="24"/>
          <w:lang w:val="de-DE"/>
        </w:rPr>
        <w:fldChar w:fldCharType="begin"/>
      </w:r>
      <w:r w:rsidR="001E46DD">
        <w:instrText xml:space="preserve"> XE "</w:instrText>
      </w:r>
      <w:r w:rsidR="001E46DD" w:rsidRPr="000C5A1F">
        <w:rPr>
          <w:i/>
          <w:szCs w:val="24"/>
          <w:lang w:val="de-DE"/>
        </w:rPr>
        <w:instrText>dativus ethicus</w:instrText>
      </w:r>
      <w:r w:rsidR="001E46DD">
        <w:instrText xml:space="preserve">" </w:instrText>
      </w:r>
      <w:r w:rsidR="001E46DD">
        <w:rPr>
          <w:i/>
          <w:szCs w:val="24"/>
          <w:lang w:val="de-DE"/>
        </w:rPr>
        <w:fldChar w:fldCharType="end"/>
      </w:r>
      <w:r w:rsidR="001E46DD">
        <w:rPr>
          <w:szCs w:val="24"/>
          <w:lang w:val="de-DE"/>
        </w:rPr>
        <w:t>)</w:t>
      </w:r>
      <w:r>
        <w:t>.</w:t>
      </w:r>
      <w:r w:rsidR="00CA165D">
        <w:t xml:space="preserve"> </w:t>
      </w:r>
      <w:r w:rsidR="08163013">
        <w:t xml:space="preserve">Současný Západ </w:t>
      </w:r>
      <w:r w:rsidR="00B36CE8">
        <w:t xml:space="preserve">řízený mediálními manipulacemi </w:t>
      </w:r>
      <w:r w:rsidR="08163013">
        <w:t xml:space="preserve">a pravdami typu </w:t>
      </w:r>
      <w:r w:rsidR="08163013" w:rsidRPr="084864A8">
        <w:rPr>
          <w:i/>
        </w:rPr>
        <w:t>post-truths</w:t>
      </w:r>
      <w:r w:rsidR="08163013">
        <w:rPr>
          <w:i/>
        </w:rPr>
        <w:fldChar w:fldCharType="begin"/>
      </w:r>
      <w:r w:rsidR="08163013">
        <w:instrText xml:space="preserve"> XE "</w:instrText>
      </w:r>
      <w:r w:rsidR="08163013" w:rsidRPr="087A7C1F">
        <w:rPr>
          <w:i/>
        </w:rPr>
        <w:instrText>post-truths</w:instrText>
      </w:r>
      <w:r w:rsidR="08163013">
        <w:instrText xml:space="preserve">" </w:instrText>
      </w:r>
      <w:r w:rsidR="08163013">
        <w:rPr>
          <w:i/>
        </w:rPr>
        <w:fldChar w:fldCharType="end"/>
      </w:r>
      <w:r w:rsidR="08163013">
        <w:t xml:space="preserve"> nemůže zapřít nihilistický </w:t>
      </w:r>
      <w:r w:rsidR="08163013" w:rsidRPr="00B22FA2">
        <w:rPr>
          <w:i/>
        </w:rPr>
        <w:t>Ereignis</w:t>
      </w:r>
      <w:r w:rsidR="08163013">
        <w:rPr>
          <w:i/>
        </w:rPr>
        <w:fldChar w:fldCharType="begin"/>
      </w:r>
      <w:r w:rsidR="08163013">
        <w:instrText xml:space="preserve"> XE "</w:instrText>
      </w:r>
      <w:r w:rsidR="08163013" w:rsidRPr="00120BB2">
        <w:rPr>
          <w:i/>
        </w:rPr>
        <w:instrText>Ereignis</w:instrText>
      </w:r>
      <w:r w:rsidR="08163013">
        <w:instrText xml:space="preserve">" </w:instrText>
      </w:r>
      <w:r w:rsidR="08163013">
        <w:rPr>
          <w:i/>
        </w:rPr>
        <w:fldChar w:fldCharType="end"/>
      </w:r>
      <w:r w:rsidR="08163013">
        <w:t xml:space="preserve"> svého vzniku daný zatměním první substance. </w:t>
      </w:r>
      <w:r w:rsidR="000C68D1">
        <w:t>Roger Bacon</w:t>
      </w:r>
      <w:r w:rsidR="006656D6">
        <w:fldChar w:fldCharType="begin"/>
      </w:r>
      <w:r w:rsidR="006656D6">
        <w:instrText xml:space="preserve"> XE "</w:instrText>
      </w:r>
      <w:r w:rsidR="006656D6" w:rsidRPr="00190647">
        <w:instrText>Bacon, R.</w:instrText>
      </w:r>
      <w:r w:rsidR="006656D6">
        <w:instrText xml:space="preserve">" </w:instrText>
      </w:r>
      <w:r w:rsidR="006656D6">
        <w:fldChar w:fldCharType="end"/>
      </w:r>
      <w:r w:rsidR="000C68D1">
        <w:t xml:space="preserve"> byl h</w:t>
      </w:r>
      <w:r w:rsidR="08163013">
        <w:t xml:space="preserve">lavním svědkem proniknutí této objektivní </w:t>
      </w:r>
      <w:r w:rsidR="000C68D1">
        <w:t xml:space="preserve">mytologie do </w:t>
      </w:r>
      <w:r w:rsidR="000C68D1">
        <w:lastRenderedPageBreak/>
        <w:t>filosofie</w:t>
      </w:r>
      <w:r w:rsidR="08163013">
        <w:t xml:space="preserve">. </w:t>
      </w:r>
      <w:r w:rsidR="006656D6">
        <w:t xml:space="preserve">Tento vynikající </w:t>
      </w:r>
      <w:r w:rsidR="08163013" w:rsidRPr="00273106">
        <w:t>aristotelik a obhájce</w:t>
      </w:r>
      <w:r w:rsidR="00102E8E">
        <w:t xml:space="preserve"> prvního averroismu kritizoval demiurgickou povahu </w:t>
      </w:r>
      <w:r w:rsidR="08163013" w:rsidRPr="00273106">
        <w:t>Bonaventurovy ontoteo</w:t>
      </w:r>
      <w:r w:rsidR="08163013">
        <w:t xml:space="preserve">logie publikované po roce 1250. </w:t>
      </w:r>
      <w:r w:rsidR="08163013" w:rsidRPr="00273106">
        <w:t xml:space="preserve">Bacon kriticky </w:t>
      </w:r>
      <w:r w:rsidR="08163013">
        <w:t>hodnotil školu</w:t>
      </w:r>
      <w:r w:rsidR="08163013" w:rsidRPr="00273106">
        <w:t xml:space="preserve"> </w:t>
      </w:r>
      <w:r w:rsidR="08163013">
        <w:t xml:space="preserve">následovníků </w:t>
      </w:r>
      <w:r w:rsidR="08163013" w:rsidRPr="00273106">
        <w:t>Alexandra</w:t>
      </w:r>
      <w:r w:rsidR="08163013">
        <w:fldChar w:fldCharType="begin"/>
      </w:r>
      <w:r w:rsidR="08163013">
        <w:instrText xml:space="preserve"> XE "Alexander, Halský</w:instrText>
      </w:r>
      <w:r w:rsidR="08163013" w:rsidRPr="005C0795">
        <w:instrText>.</w:instrText>
      </w:r>
      <w:r w:rsidR="08163013">
        <w:instrText xml:space="preserve">" </w:instrText>
      </w:r>
      <w:r w:rsidR="08163013">
        <w:fldChar w:fldCharType="end"/>
      </w:r>
      <w:r w:rsidR="08163013" w:rsidRPr="00273106">
        <w:t xml:space="preserve"> Halského a zásadně se od ní oddělil, viz jeho kritika </w:t>
      </w:r>
      <w:r w:rsidR="08163013">
        <w:t xml:space="preserve">kompilátorů </w:t>
      </w:r>
      <w:r w:rsidR="08163013" w:rsidRPr="00273106">
        <w:rPr>
          <w:i/>
        </w:rPr>
        <w:t>Summa Halensis</w:t>
      </w:r>
      <w:r w:rsidR="08163013">
        <w:rPr>
          <w:i/>
        </w:rPr>
        <w:fldChar w:fldCharType="begin"/>
      </w:r>
      <w:r w:rsidR="08163013">
        <w:instrText xml:space="preserve"> XE "</w:instrText>
      </w:r>
      <w:r w:rsidR="08163013" w:rsidRPr="00F14A6F">
        <w:rPr>
          <w:i/>
        </w:rPr>
        <w:instrText>Summa Halensis</w:instrText>
      </w:r>
      <w:r w:rsidR="08163013">
        <w:instrText xml:space="preserve">" </w:instrText>
      </w:r>
      <w:r w:rsidR="08163013">
        <w:rPr>
          <w:i/>
        </w:rPr>
        <w:fldChar w:fldCharType="end"/>
      </w:r>
      <w:r w:rsidR="08163013">
        <w:t xml:space="preserve"> (</w:t>
      </w:r>
      <w:r w:rsidR="08B82290">
        <w:t>OBJ II, kap. 3</w:t>
      </w:r>
      <w:r w:rsidR="08163013">
        <w:t>.4.3). V</w:t>
      </w:r>
      <w:r w:rsidR="08163013" w:rsidRPr="00273106">
        <w:t xml:space="preserve">znik </w:t>
      </w:r>
      <w:r w:rsidR="08163013">
        <w:t xml:space="preserve">moderny </w:t>
      </w:r>
      <w:r w:rsidR="08163013" w:rsidRPr="00273106">
        <w:t xml:space="preserve">sledoval krok za krokem </w:t>
      </w:r>
      <w:r w:rsidR="001C53F5">
        <w:t xml:space="preserve">na </w:t>
      </w:r>
      <w:r w:rsidR="08163013">
        <w:t>Oxford</w:t>
      </w:r>
      <w:r w:rsidR="001C53F5">
        <w:t xml:space="preserve">u a </w:t>
      </w:r>
      <w:r w:rsidR="08163013">
        <w:t>pak v Paříži, kde se stal františkánským terciářem asi roku 1256</w:t>
      </w:r>
      <w:r w:rsidR="08163013" w:rsidRPr="00273106">
        <w:t xml:space="preserve">. Bacon v citovaném komentáři </w:t>
      </w:r>
      <w:r w:rsidR="08163013" w:rsidRPr="003478CC">
        <w:rPr>
          <w:i/>
        </w:rPr>
        <w:t>Metafyziky</w:t>
      </w:r>
      <w:r w:rsidR="08163013" w:rsidRPr="00273106">
        <w:t xml:space="preserve"> odmítl statut univerzálie jako singulární obecniny</w:t>
      </w:r>
      <w:r w:rsidR="00A37697">
        <w:t xml:space="preserve"> a oddělil</w:t>
      </w:r>
      <w:r w:rsidR="08163013">
        <w:t xml:space="preserve"> hyleformickou materii první substance od intendované univerzální materie jako pouhé dispozice</w:t>
      </w:r>
      <w:r w:rsidR="08163013" w:rsidRPr="00273106">
        <w:t xml:space="preserve"> mysli (</w:t>
      </w:r>
      <w:r w:rsidR="08163013" w:rsidRPr="00273106">
        <w:rPr>
          <w:i/>
        </w:rPr>
        <w:t>dispositio solum</w:t>
      </w:r>
      <w:r w:rsidR="08163013" w:rsidRPr="00273106">
        <w:t>)</w:t>
      </w:r>
      <w:r w:rsidR="08163013">
        <w:t>.</w:t>
      </w:r>
      <w:r w:rsidR="00FE1EED" w:rsidRPr="00273106">
        <w:rPr>
          <w:rStyle w:val="Znakapoznpodarou"/>
        </w:rPr>
        <w:footnoteReference w:id="35"/>
      </w:r>
      <w:r w:rsidR="08163013">
        <w:t xml:space="preserve"> Tento koncept netvoří aktuálně danou přirozenost nebo esenci</w:t>
      </w:r>
      <w:r w:rsidR="08163013" w:rsidRPr="00273106">
        <w:t xml:space="preserve"> (</w:t>
      </w:r>
      <w:r w:rsidR="08163013" w:rsidRPr="00273106">
        <w:rPr>
          <w:i/>
        </w:rPr>
        <w:t>natura vel essentia</w:t>
      </w:r>
      <w:r w:rsidR="08163013" w:rsidRPr="00273106">
        <w:t>).</w:t>
      </w:r>
      <w:r w:rsidR="08163013">
        <w:t xml:space="preserve"> Moderna inspirovaná </w:t>
      </w:r>
      <w:r w:rsidR="08163013" w:rsidRPr="00273106">
        <w:rPr>
          <w:i/>
        </w:rPr>
        <w:t>Oxfordian Fallacy</w:t>
      </w:r>
      <w:r w:rsidR="08163013">
        <w:t xml:space="preserve"> </w:t>
      </w:r>
      <w:r w:rsidR="08163013" w:rsidRPr="00273106">
        <w:t>vytváří ve středním členu soudu pojem kauzality třetího druhu vázaný na esenci</w:t>
      </w:r>
      <w:r w:rsidR="009A7A42">
        <w:t>. Modernisté</w:t>
      </w:r>
      <w:r w:rsidR="004871D3">
        <w:t xml:space="preserve"> tím odmítl</w:t>
      </w:r>
      <w:r w:rsidR="009A7A42">
        <w:t>i</w:t>
      </w:r>
      <w:r w:rsidR="004871D3">
        <w:t xml:space="preserve"> vědecký důkaz založený kauzalitě prvních substancí, </w:t>
      </w:r>
      <w:r w:rsidR="08163013" w:rsidRPr="00273106">
        <w:t xml:space="preserve">jak to požadují </w:t>
      </w:r>
      <w:r w:rsidR="08163013" w:rsidRPr="0886570D">
        <w:rPr>
          <w:i/>
        </w:rPr>
        <w:t>Druhé analytiky</w:t>
      </w:r>
      <w:r w:rsidR="00CC5078">
        <w:t>. Bacon marně upozorňuje l</w:t>
      </w:r>
      <w:r w:rsidR="08163013" w:rsidRPr="00273106">
        <w:t xml:space="preserve">atinské sofisty na to, že podle Aristotela a </w:t>
      </w:r>
      <w:r w:rsidR="08163013">
        <w:t>Averroes</w:t>
      </w:r>
      <w:r w:rsidR="08163013" w:rsidRPr="00273106">
        <w:t xml:space="preserve">e je predikace univerzálních významů je možná pouze v modu </w:t>
      </w:r>
      <w:r w:rsidR="08163013" w:rsidRPr="00273106">
        <w:rPr>
          <w:i/>
        </w:rPr>
        <w:t>per posterius</w:t>
      </w:r>
      <w:r w:rsidR="08163013" w:rsidRPr="00273106">
        <w:t xml:space="preserve">, a že univerzálie jsou ve věcech pouze potenciálně. Bacon </w:t>
      </w:r>
      <w:r w:rsidR="08163013">
        <w:t xml:space="preserve">proti Rufusovi a Kilwardbymu </w:t>
      </w:r>
      <w:r w:rsidR="08163013" w:rsidRPr="00273106">
        <w:t xml:space="preserve">definuje tři mody univerzálií: potenciálně ve věcech, univerzální poznání v mysli a dále jako </w:t>
      </w:r>
      <w:r w:rsidR="08163013" w:rsidRPr="00273106">
        <w:rPr>
          <w:i/>
        </w:rPr>
        <w:t>medium</w:t>
      </w:r>
      <w:r w:rsidR="08163013">
        <w:rPr>
          <w:i/>
        </w:rPr>
        <w:fldChar w:fldCharType="begin"/>
      </w:r>
      <w:r w:rsidR="08163013">
        <w:instrText xml:space="preserve"> XE "spor o univerzália" </w:instrText>
      </w:r>
      <w:r w:rsidR="08163013">
        <w:rPr>
          <w:i/>
        </w:rPr>
        <w:fldChar w:fldCharType="end"/>
      </w:r>
      <w:r w:rsidR="08163013" w:rsidRPr="00273106">
        <w:t xml:space="preserve"> v demonstrativním soudu, kde univočně vyjadřují univerzální metafyzickou kauzalitu vědecky poznaného působení singulárních substancí. </w:t>
      </w:r>
      <w:r w:rsidR="006F19C1">
        <w:t>U</w:t>
      </w:r>
      <w:r w:rsidR="006F19C1" w:rsidRPr="00273106">
        <w:t>niverzália nemají</w:t>
      </w:r>
      <w:r w:rsidR="006F19C1">
        <w:t xml:space="preserve"> ž</w:t>
      </w:r>
      <w:r w:rsidR="08163013" w:rsidRPr="00273106">
        <w:t>ádné další určení z hlediska metafyziky</w:t>
      </w:r>
      <w:r w:rsidR="006F19C1">
        <w:t xml:space="preserve">, protože každé </w:t>
      </w:r>
      <w:r w:rsidR="006F19C1" w:rsidRPr="006F19C1">
        <w:rPr>
          <w:i/>
        </w:rPr>
        <w:t>tertium ens</w:t>
      </w:r>
      <w:r w:rsidR="006F19C1">
        <w:t xml:space="preserve"> je filosofický nesmysl</w:t>
      </w:r>
      <w:r w:rsidR="08163013" w:rsidRPr="00273106">
        <w:t>.</w:t>
      </w:r>
      <w:r w:rsidR="00DD2DA9">
        <w:t xml:space="preserve"> </w:t>
      </w:r>
      <w:r w:rsidR="08163013">
        <w:t xml:space="preserve">Obhajoba </w:t>
      </w:r>
      <w:r w:rsidR="081942A4">
        <w:t xml:space="preserve">metafyzického </w:t>
      </w:r>
      <w:r w:rsidR="08163013">
        <w:t>dativu</w:t>
      </w:r>
      <w:r w:rsidR="08163013">
        <w:fldChar w:fldCharType="begin"/>
      </w:r>
      <w:r w:rsidR="08163013">
        <w:instrText xml:space="preserve"> XE "</w:instrText>
      </w:r>
      <w:r w:rsidR="081942A4">
        <w:rPr>
          <w:i/>
        </w:rPr>
        <w:instrText>dativus metaphysi</w:instrText>
      </w:r>
      <w:r w:rsidR="08163013" w:rsidRPr="08590FF0">
        <w:rPr>
          <w:i/>
        </w:rPr>
        <w:instrText>cus</w:instrText>
      </w:r>
      <w:r w:rsidR="08163013">
        <w:instrText xml:space="preserve">" </w:instrText>
      </w:r>
      <w:r w:rsidR="08163013">
        <w:fldChar w:fldCharType="end"/>
      </w:r>
      <w:r w:rsidR="08163013">
        <w:t xml:space="preserve"> vysvětluje modernistům smysl kanonického místa (</w:t>
      </w:r>
      <w:r w:rsidR="08163013" w:rsidRPr="00FC5D31">
        <w:rPr>
          <w:i/>
        </w:rPr>
        <w:t>Cat</w:t>
      </w:r>
      <w:r w:rsidR="08163013">
        <w:t>. 2a14‒16</w:t>
      </w:r>
      <w:r w:rsidR="08163013">
        <w:fldChar w:fldCharType="begin"/>
      </w:r>
      <w:r w:rsidR="08163013">
        <w:instrText xml:space="preserve"> XE "Aristoteles:</w:instrText>
      </w:r>
      <w:r w:rsidR="08163013" w:rsidRPr="00A40A03">
        <w:rPr>
          <w:i/>
        </w:rPr>
        <w:instrText>Cat</w:instrText>
      </w:r>
      <w:r w:rsidR="08163013" w:rsidRPr="00A40A03">
        <w:instrText>. 2a14‒16</w:instrText>
      </w:r>
      <w:r w:rsidR="08163013">
        <w:instrText xml:space="preserve">" </w:instrText>
      </w:r>
      <w:r w:rsidR="08163013">
        <w:fldChar w:fldCharType="end"/>
      </w:r>
      <w:r w:rsidR="008943E3">
        <w:t>) zakládajícího dvojí kategoriální predikaci.</w:t>
      </w:r>
      <w:r w:rsidR="08163013" w:rsidRPr="08A076F6">
        <w:t xml:space="preserve"> </w:t>
      </w:r>
      <w:r w:rsidR="00704576" w:rsidRPr="00704576">
        <w:t xml:space="preserve">Třetí typ predikace je již </w:t>
      </w:r>
      <w:r w:rsidR="00DD5591">
        <w:t xml:space="preserve">univerzální, ale je dán kauzálně určenou </w:t>
      </w:r>
      <w:r w:rsidR="00704576" w:rsidRPr="00704576">
        <w:t>imp</w:t>
      </w:r>
      <w:r w:rsidR="00DD5591">
        <w:t xml:space="preserve">ozicí </w:t>
      </w:r>
      <w:r w:rsidR="00704576" w:rsidRPr="00704576">
        <w:t>(</w:t>
      </w:r>
      <w:r w:rsidR="00704576" w:rsidRPr="00704576">
        <w:rPr>
          <w:i/>
        </w:rPr>
        <w:t>universale per causalitatem</w:t>
      </w:r>
      <w:r w:rsidR="00704576" w:rsidRPr="00704576">
        <w:t xml:space="preserve">; OBJ II, kap. 3.2), což z něj činí zvláštní třetí skupinu. </w:t>
      </w:r>
      <w:r w:rsidR="00DD2DA9">
        <w:t>Další determinace univerzálií</w:t>
      </w:r>
      <w:r w:rsidR="08163013" w:rsidRPr="00273106">
        <w:t>, kterou používá druhý averroismus, j</w:t>
      </w:r>
      <w:r w:rsidR="08163013">
        <w:t>e podle Bacona nesmysl.</w:t>
      </w:r>
    </w:p>
    <w:p w:rsidR="08163013" w:rsidRPr="00FC5D31" w:rsidRDefault="08163013" w:rsidP="08163013">
      <w:pPr>
        <w:pStyle w:val="Citace"/>
        <w:rPr>
          <w:lang w:val="cs-CZ"/>
        </w:rPr>
      </w:pPr>
      <w:r w:rsidRPr="0047157D">
        <w:t>„</w:t>
      </w:r>
      <w:r w:rsidRPr="0047157D">
        <w:rPr>
          <w:lang w:val="cs-CZ"/>
        </w:rPr>
        <w:t xml:space="preserve">Univerzália </w:t>
      </w:r>
      <w:r w:rsidRPr="0047157D">
        <w:t>nemohou</w:t>
      </w:r>
      <w:r w:rsidRPr="0047157D">
        <w:rPr>
          <w:lang w:val="cs-CZ"/>
        </w:rPr>
        <w:t xml:space="preserve"> mít čtvrtý způsob existence, protože bytí něčeho univerzálního by bylo aktuálně dáno v reálných jednotlivinách, a nebylo by pouhá potence. V univerzáliích potence předchází aktualitu. Ale to, co je vzhledem k univerzáliím dáno jako druhotné, to je ve skutečnosti </w:t>
      </w:r>
      <w:r w:rsidRPr="0047157D">
        <w:rPr>
          <w:lang w:val="cs-CZ"/>
        </w:rPr>
        <w:lastRenderedPageBreak/>
        <w:t>dáno jako první. Proto je nejprve d</w:t>
      </w:r>
      <w:r w:rsidR="00C375E2">
        <w:rPr>
          <w:lang w:val="cs-CZ"/>
        </w:rPr>
        <w:t>áno aktuální bytí, a pak potencialita</w:t>
      </w:r>
      <w:r w:rsidRPr="0047157D">
        <w:rPr>
          <w:lang w:val="cs-CZ"/>
        </w:rPr>
        <w:t xml:space="preserve"> (</w:t>
      </w:r>
      <w:r w:rsidRPr="0047157D">
        <w:rPr>
          <w:i/>
        </w:rPr>
        <w:t>posito actu ponitur potentia</w:t>
      </w:r>
      <w:r w:rsidRPr="0047157D">
        <w:rPr>
          <w:lang w:val="cs-CZ"/>
        </w:rPr>
        <w:t>).“ </w:t>
      </w:r>
      <w:r>
        <w:rPr>
          <w:rStyle w:val="Znakapoznpodarou"/>
        </w:rPr>
        <w:footnoteReference w:id="36"/>
      </w:r>
    </w:p>
    <w:p w:rsidR="08163013" w:rsidRDefault="08163013" w:rsidP="08163013">
      <w:r w:rsidRPr="00273106">
        <w:t xml:space="preserve">Čtvrtá predikace </w:t>
      </w:r>
      <w:r w:rsidRPr="00273106">
        <w:rPr>
          <w:i/>
        </w:rPr>
        <w:t>Modernorum</w:t>
      </w:r>
      <w:r w:rsidRPr="00273106">
        <w:t xml:space="preserve"> patří podle Bacona jen do ekvivočního významu, tj. mimo oblast demonst</w:t>
      </w:r>
      <w:r>
        <w:t>r</w:t>
      </w:r>
      <w:r w:rsidRPr="00273106">
        <w:t xml:space="preserve">ativního soudu </w:t>
      </w:r>
      <w:r w:rsidRPr="00025696">
        <w:rPr>
          <w:i/>
        </w:rPr>
        <w:t>Druhých analytik</w:t>
      </w:r>
      <w:r w:rsidRPr="00273106">
        <w:t xml:space="preserve"> založených na reál</w:t>
      </w:r>
      <w:r>
        <w:t>né kauzalitě prvních substancí. Moderna predikuje</w:t>
      </w:r>
      <w:r w:rsidRPr="00273106">
        <w:t xml:space="preserve"> </w:t>
      </w:r>
      <w:r>
        <w:t xml:space="preserve">univerzálii v modu </w:t>
      </w:r>
      <w:r w:rsidR="004C5AAC" w:rsidRPr="004C5AAC">
        <w:rPr>
          <w:i/>
        </w:rPr>
        <w:t>actus essendi</w:t>
      </w:r>
      <w:r w:rsidR="004C5AAC">
        <w:rPr>
          <w:i/>
        </w:rPr>
        <w:fldChar w:fldCharType="begin"/>
      </w:r>
      <w:r w:rsidR="004C5AAC">
        <w:instrText xml:space="preserve"> XE "</w:instrText>
      </w:r>
      <w:r w:rsidR="004C5AAC" w:rsidRPr="00D3607D">
        <w:rPr>
          <w:i/>
        </w:rPr>
        <w:instrText>actus essendi</w:instrText>
      </w:r>
      <w:r w:rsidR="004C5AAC">
        <w:instrText xml:space="preserve">" </w:instrText>
      </w:r>
      <w:r w:rsidR="004C5AAC">
        <w:rPr>
          <w:i/>
        </w:rPr>
        <w:fldChar w:fldCharType="end"/>
      </w:r>
      <w:r w:rsidR="004C5AAC">
        <w:t xml:space="preserve"> v</w:t>
      </w:r>
      <w:r w:rsidRPr="00273106">
        <w:t xml:space="preserve"> několika in</w:t>
      </w:r>
      <w:r w:rsidR="006721CC">
        <w:t>dividuálních substancích současně</w:t>
      </w:r>
      <w:r w:rsidRPr="00273106">
        <w:t xml:space="preserve">. </w:t>
      </w:r>
      <w:r w:rsidR="004C5AAC" w:rsidRPr="004C5AAC">
        <w:t>Je to nesmysl, protože každá skutečná věc stojí ve své vlastní existenci</w:t>
      </w:r>
      <w:r w:rsidR="006721CC">
        <w:t xml:space="preserve"> </w:t>
      </w:r>
      <w:r w:rsidR="00BD4D81">
        <w:t xml:space="preserve">a universalita by přestala existovat </w:t>
      </w:r>
      <w:r w:rsidR="006721CC" w:rsidRPr="00273106">
        <w:t>(</w:t>
      </w:r>
      <w:r w:rsidR="006721CC" w:rsidRPr="00273106">
        <w:rPr>
          <w:i/>
        </w:rPr>
        <w:t>universale quod esset in pluribus actu</w:t>
      </w:r>
      <w:r w:rsidR="006721CC" w:rsidRPr="00273106">
        <w:t>)</w:t>
      </w:r>
      <w:r w:rsidR="004C5AAC" w:rsidRPr="004C5AAC">
        <w:t>.</w:t>
      </w:r>
      <w:r w:rsidR="004C5AAC">
        <w:t xml:space="preserve"> </w:t>
      </w:r>
      <w:r w:rsidRPr="00273106">
        <w:t xml:space="preserve">První substance mají aktualitu </w:t>
      </w:r>
      <w:r w:rsidRPr="00273106">
        <w:rPr>
          <w:i/>
        </w:rPr>
        <w:t xml:space="preserve">per </w:t>
      </w:r>
      <w:proofErr w:type="gramStart"/>
      <w:r w:rsidRPr="00273106">
        <w:rPr>
          <w:i/>
        </w:rPr>
        <w:t>se</w:t>
      </w:r>
      <w:proofErr w:type="gramEnd"/>
      <w:r w:rsidRPr="00273106">
        <w:t xml:space="preserve">, a ne z lidského aktu poznání. Člověk myšlením realitu danou </w:t>
      </w:r>
      <w:r w:rsidRPr="00273106">
        <w:rPr>
          <w:i/>
        </w:rPr>
        <w:t>actualiter</w:t>
      </w:r>
      <w:r w:rsidRPr="00273106">
        <w:t xml:space="preserve"> nevytváří, ale </w:t>
      </w:r>
      <w:r>
        <w:t>pravdivě poznáv</w:t>
      </w:r>
      <w:r w:rsidRPr="00273106">
        <w:t xml:space="preserve">á. </w:t>
      </w:r>
      <w:r>
        <w:t xml:space="preserve">Bacon obhajuje minulostní charakter poznání daný v aristotelské </w:t>
      </w:r>
      <w:r w:rsidRPr="08B34CE5">
        <w:rPr>
          <w:i/>
        </w:rPr>
        <w:t>quidditas</w:t>
      </w:r>
      <w:r>
        <w:rPr>
          <w:i/>
        </w:rPr>
        <w:fldChar w:fldCharType="begin"/>
      </w:r>
      <w:r>
        <w:instrText xml:space="preserve"> XE "</w:instrText>
      </w:r>
      <w:r w:rsidRPr="087927E7">
        <w:rPr>
          <w:i/>
        </w:rPr>
        <w:instrText>quidditas</w:instrText>
      </w:r>
      <w:r>
        <w:instrText xml:space="preserve">" </w:instrText>
      </w:r>
      <w:r>
        <w:rPr>
          <w:i/>
        </w:rPr>
        <w:fldChar w:fldCharType="end"/>
      </w:r>
      <w:r>
        <w:t xml:space="preserve"> proti objektivní parousii iluminátů. P</w:t>
      </w:r>
      <w:r w:rsidRPr="00273106">
        <w:t xml:space="preserve">redikace </w:t>
      </w:r>
      <w:r w:rsidRPr="00273106">
        <w:rPr>
          <w:i/>
        </w:rPr>
        <w:t>in artificialibus</w:t>
      </w:r>
      <w:r>
        <w:fldChar w:fldCharType="begin"/>
      </w:r>
      <w:r>
        <w:instrText xml:space="preserve"> XE "</w:instrText>
      </w:r>
      <w:r w:rsidRPr="001B7686">
        <w:instrText>predikace:</w:instrText>
      </w:r>
      <w:r w:rsidRPr="003B0E20">
        <w:rPr>
          <w:i/>
        </w:rPr>
        <w:instrText>in artificialibus</w:instrText>
      </w:r>
      <w:r>
        <w:instrText xml:space="preserve">" </w:instrText>
      </w:r>
      <w:r>
        <w:fldChar w:fldCharType="end"/>
      </w:r>
      <w:r w:rsidRPr="00273106">
        <w:t xml:space="preserve"> nezakládá efektivní kauzalitu traktovanou ve </w:t>
      </w:r>
      <w:r w:rsidRPr="0036108D">
        <w:rPr>
          <w:i/>
        </w:rPr>
        <w:t>Druhých analytikách</w:t>
      </w:r>
      <w:r w:rsidRPr="00273106">
        <w:t>, ale pouze exemplární nebo finální kauzalitu.</w:t>
      </w:r>
      <w:r>
        <w:t xml:space="preserve"> Poznání na úrovni metafory</w:t>
      </w:r>
      <w:r w:rsidR="00A76AE8">
        <w:t xml:space="preserve">, analogie </w:t>
      </w:r>
      <w:r w:rsidRPr="00273106">
        <w:t xml:space="preserve">a </w:t>
      </w:r>
      <w:r w:rsidR="00D70FF1">
        <w:t>mytologie</w:t>
      </w:r>
      <w:r w:rsidRPr="00273106">
        <w:t xml:space="preserve"> nem</w:t>
      </w:r>
      <w:r w:rsidR="00A76AE8">
        <w:t xml:space="preserve">ůže </w:t>
      </w:r>
      <w:r w:rsidRPr="00273106">
        <w:t>podle Bacona a Alber</w:t>
      </w:r>
      <w:r>
        <w:t xml:space="preserve">ta zakládat </w:t>
      </w:r>
      <w:r w:rsidR="00CE15F0">
        <w:t xml:space="preserve">deduktivně </w:t>
      </w:r>
      <w:r w:rsidR="00A76AE8">
        <w:t xml:space="preserve">definovanou </w:t>
      </w:r>
      <w:r>
        <w:t xml:space="preserve">vědu. Vzpomeňme </w:t>
      </w:r>
      <w:r w:rsidRPr="00273106">
        <w:t>Albertovu kritiku ave</w:t>
      </w:r>
      <w:r>
        <w:t xml:space="preserve">rroistů kvůli zcela absurdnímu procesu poznání </w:t>
      </w:r>
      <w:r w:rsidRPr="00273106">
        <w:t>(</w:t>
      </w:r>
      <w:r w:rsidRPr="00273106">
        <w:rPr>
          <w:i/>
        </w:rPr>
        <w:t>quidam Latini naturam animae nescientes hoc confinxerunt</w:t>
      </w:r>
      <w:r w:rsidR="08A11AB4">
        <w:t>; OBJ II, kap. 2</w:t>
      </w:r>
      <w:r w:rsidRPr="00273106">
        <w:t xml:space="preserve">.4.3). Bonaventurova škola </w:t>
      </w:r>
      <w:r>
        <w:t xml:space="preserve">vytvořila objektivní neoplatonismus pro filosofický </w:t>
      </w:r>
      <w:r w:rsidR="08A11AB4">
        <w:t xml:space="preserve">a církevní </w:t>
      </w:r>
      <w:r>
        <w:t>lid</w:t>
      </w:r>
      <w:r w:rsidR="007076FB">
        <w:t xml:space="preserve">. </w:t>
      </w:r>
      <w:r w:rsidR="007076FB" w:rsidRPr="007076FB">
        <w:t xml:space="preserve">Bacon to uvedl </w:t>
      </w:r>
      <w:r w:rsidR="00D460D2">
        <w:t xml:space="preserve">jasně </w:t>
      </w:r>
      <w:r w:rsidR="007076FB" w:rsidRPr="007076FB">
        <w:t xml:space="preserve">v souvislosti s </w:t>
      </w:r>
      <w:r w:rsidR="007076FB">
        <w:t xml:space="preserve">Rufusovým vlivem na bídně </w:t>
      </w:r>
      <w:r w:rsidR="007076FB" w:rsidRPr="007076FB">
        <w:t>vzdělané modernisty</w:t>
      </w:r>
      <w:r w:rsidR="007076FB">
        <w:t xml:space="preserve"> </w:t>
      </w:r>
      <w:r>
        <w:t>(</w:t>
      </w:r>
      <w:r w:rsidRPr="08F31B03">
        <w:rPr>
          <w:i/>
          <w:szCs w:val="16"/>
        </w:rPr>
        <w:t>famosissimus</w:t>
      </w:r>
      <w:r w:rsidRPr="00273106">
        <w:rPr>
          <w:i/>
        </w:rPr>
        <w:t xml:space="preserve"> apud </w:t>
      </w:r>
      <w:r w:rsidRPr="00273106">
        <w:rPr>
          <w:i/>
          <w:szCs w:val="15"/>
        </w:rPr>
        <w:t xml:space="preserve">stultam </w:t>
      </w:r>
      <w:r w:rsidRPr="00273106">
        <w:rPr>
          <w:i/>
          <w:szCs w:val="16"/>
        </w:rPr>
        <w:t>multitudinem</w:t>
      </w:r>
      <w:r w:rsidR="08ED02E6">
        <w:t>; OBJ II, kap. 3</w:t>
      </w:r>
      <w:r>
        <w:t xml:space="preserve">.2). </w:t>
      </w:r>
      <w:r w:rsidRPr="00273106">
        <w:t xml:space="preserve">Ontoteologická stavba jsoucna třetího druhu obnovila ontoteologické zásvětí předtím dané </w:t>
      </w:r>
      <w:r>
        <w:t xml:space="preserve">jako </w:t>
      </w:r>
      <w:r w:rsidRPr="00273106">
        <w:t>Jamblichův διάκοσμος</w:t>
      </w:r>
      <w:r>
        <w:fldChar w:fldCharType="begin"/>
      </w:r>
      <w:r>
        <w:instrText xml:space="preserve"> XE "</w:instrText>
      </w:r>
      <w:r w:rsidRPr="00E4022D">
        <w:instrText>diakosmos</w:instrText>
      </w:r>
      <w:r>
        <w:instrText xml:space="preserve">" </w:instrText>
      </w:r>
      <w:r>
        <w:fldChar w:fldCharType="end"/>
      </w:r>
      <w:r w:rsidRPr="00273106">
        <w:t>, mezisvět-</w:t>
      </w:r>
      <w:r w:rsidRPr="00273106">
        <w:rPr>
          <w:i/>
        </w:rPr>
        <w:t>barzach</w:t>
      </w:r>
      <w:r w:rsidRPr="00273106">
        <w:t xml:space="preserve"> v Koránu</w:t>
      </w:r>
      <w:r>
        <w:fldChar w:fldCharType="begin"/>
      </w:r>
      <w:r>
        <w:instrText xml:space="preserve"> XE "</w:instrText>
      </w:r>
      <w:r w:rsidRPr="009C3FDD">
        <w:instrText>Korán</w:instrText>
      </w:r>
      <w:r>
        <w:instrText xml:space="preserve">" </w:instrText>
      </w:r>
      <w:r>
        <w:fldChar w:fldCharType="end"/>
      </w:r>
      <w:r w:rsidRPr="00273106">
        <w:t xml:space="preserve">, Avicennovo </w:t>
      </w:r>
      <w:r w:rsidRPr="00273106">
        <w:rPr>
          <w:i/>
        </w:rPr>
        <w:t>hoc esse tantum</w:t>
      </w:r>
      <w:r>
        <w:rPr>
          <w:i/>
        </w:rPr>
        <w:fldChar w:fldCharType="begin"/>
      </w:r>
      <w:r>
        <w:instrText xml:space="preserve"> XE "</w:instrText>
      </w:r>
      <w:r w:rsidRPr="005A071C">
        <w:rPr>
          <w:i/>
          <w:lang w:eastAsia="en-US"/>
        </w:rPr>
        <w:instrText>hoc esse tantum</w:instrText>
      </w:r>
      <w:r>
        <w:instrText xml:space="preserve">" </w:instrText>
      </w:r>
      <w:r>
        <w:rPr>
          <w:i/>
        </w:rPr>
        <w:fldChar w:fldCharType="end"/>
      </w:r>
      <w:r>
        <w:t xml:space="preserve"> (</w:t>
      </w:r>
      <w:r w:rsidR="082E792D">
        <w:t xml:space="preserve">OBJ I, </w:t>
      </w:r>
      <w:r>
        <w:t xml:space="preserve">kap. 2.3.3). </w:t>
      </w:r>
      <w:r w:rsidRPr="00273106">
        <w:t xml:space="preserve">Předešlá matrice objektivity ukázala, že první averroismus toto zásvětí </w:t>
      </w:r>
      <w:r>
        <w:t xml:space="preserve">mystické </w:t>
      </w:r>
      <w:r w:rsidRPr="00273106">
        <w:t>ontoteologie zrušil</w:t>
      </w:r>
      <w:r w:rsidR="00C36748">
        <w:t xml:space="preserve">. </w:t>
      </w:r>
      <w:r w:rsidRPr="00273106">
        <w:t xml:space="preserve">John Blund </w:t>
      </w:r>
      <w:r w:rsidR="00C36748" w:rsidRPr="00273106">
        <w:t xml:space="preserve">vyloučil </w:t>
      </w:r>
      <w:r w:rsidRPr="00273106">
        <w:t xml:space="preserve">jsoucno třetího druhu </w:t>
      </w:r>
      <w:r w:rsidR="00C36748" w:rsidRPr="00273106">
        <w:t xml:space="preserve">novým výkladem </w:t>
      </w:r>
      <w:r w:rsidR="00C36748">
        <w:rPr>
          <w:i/>
        </w:rPr>
        <w:t>De anima</w:t>
      </w:r>
      <w:r w:rsidR="00C36748" w:rsidRPr="00273106">
        <w:t xml:space="preserve"> </w:t>
      </w:r>
      <w:r w:rsidRPr="00273106">
        <w:t>(</w:t>
      </w:r>
      <w:r w:rsidR="082E792D">
        <w:t>OBJ II, kap. 2</w:t>
      </w:r>
      <w:r w:rsidRPr="00273106">
        <w:t>.1). Bonaventura toto zásvětí vytváří pomocí nové ontoteologie</w:t>
      </w:r>
      <w:r>
        <w:t xml:space="preserve"> dané objektivně</w:t>
      </w:r>
      <w:r w:rsidRPr="00273106">
        <w:t xml:space="preserve">. Bacon zásadně odmítl </w:t>
      </w:r>
      <w:r>
        <w:t xml:space="preserve">projekt </w:t>
      </w:r>
      <w:r w:rsidRPr="00273106">
        <w:t xml:space="preserve">sofistických </w:t>
      </w:r>
      <w:r w:rsidRPr="00273106">
        <w:rPr>
          <w:i/>
        </w:rPr>
        <w:t>Modernorum</w:t>
      </w:r>
      <w:r w:rsidR="00C36748">
        <w:t>. K</w:t>
      </w:r>
      <w:r w:rsidRPr="00273106">
        <w:t>ontaminovali teologii filosofickým neoplatonismem</w:t>
      </w:r>
      <w:r w:rsidR="00C36748">
        <w:t xml:space="preserve"> </w:t>
      </w:r>
      <w:r w:rsidRPr="00273106">
        <w:t xml:space="preserve">a </w:t>
      </w:r>
      <w:r w:rsidR="00C36748">
        <w:t xml:space="preserve">z člověka udělali </w:t>
      </w:r>
      <w:r>
        <w:t>tvůrce</w:t>
      </w:r>
      <w:r w:rsidR="00C36748">
        <w:t>m</w:t>
      </w:r>
      <w:r>
        <w:t xml:space="preserve"> jsoucna třetího druhu</w:t>
      </w:r>
      <w:r w:rsidRPr="00273106">
        <w:t>.</w:t>
      </w:r>
      <w:r>
        <w:t xml:space="preserve"> Tím byla rovněž odmítnuta teze</w:t>
      </w:r>
      <w:r w:rsidRPr="00273106">
        <w:t xml:space="preserve">, že by </w:t>
      </w:r>
      <w:r>
        <w:t xml:space="preserve">podobná verze </w:t>
      </w:r>
      <w:r w:rsidRPr="00273106">
        <w:t>filosofie měla ovládat teologii (</w:t>
      </w:r>
      <w:r w:rsidRPr="00273106">
        <w:rPr>
          <w:i/>
        </w:rPr>
        <w:t>philosophia dominatur in usu theologiam</w:t>
      </w:r>
      <w:r w:rsidR="080257C9">
        <w:t>; OBJ II, kap 3</w:t>
      </w:r>
      <w:r w:rsidRPr="00A50106">
        <w:t>.4.3</w:t>
      </w:r>
      <w:r w:rsidRPr="00273106">
        <w:t>).</w:t>
      </w:r>
      <w:r>
        <w:t xml:space="preserve"> Zásadním jádrem sporu se stal výše uvedený statut </w:t>
      </w:r>
      <w:r w:rsidR="00962190">
        <w:rPr>
          <w:i/>
        </w:rPr>
        <w:t>species</w:t>
      </w:r>
      <w:r>
        <w:t xml:space="preserve">, který ve škole moderních </w:t>
      </w:r>
      <w:r>
        <w:lastRenderedPageBreak/>
        <w:t xml:space="preserve">myslitelů dostal objektivní charakter. </w:t>
      </w:r>
      <w:r w:rsidRPr="00273106">
        <w:t>Bonaventura</w:t>
      </w:r>
      <w:r>
        <w:t xml:space="preserve"> s</w:t>
      </w:r>
      <w:r w:rsidRPr="00273106">
        <w:t xml:space="preserve">pojil analytické pojetí </w:t>
      </w:r>
      <w:r w:rsidRPr="0036108D">
        <w:rPr>
          <w:i/>
        </w:rPr>
        <w:t>Druhých analytik</w:t>
      </w:r>
      <w:r w:rsidRPr="00273106">
        <w:t xml:space="preserve"> s univočním pojetím jsoucna prosazovaného </w:t>
      </w:r>
      <w:r>
        <w:t xml:space="preserve">pařížskou </w:t>
      </w:r>
      <w:r w:rsidRPr="00273106">
        <w:t xml:space="preserve">větví </w:t>
      </w:r>
      <w:r w:rsidRPr="00273106">
        <w:rPr>
          <w:i/>
        </w:rPr>
        <w:t>Nominales</w:t>
      </w:r>
      <w:r>
        <w:rPr>
          <w:i/>
        </w:rPr>
        <w:t xml:space="preserve"> </w:t>
      </w:r>
      <w:r w:rsidRPr="0036108D">
        <w:t>daných ve školách Gramatiků</w:t>
      </w:r>
      <w:r>
        <w:rPr>
          <w:i/>
        </w:rPr>
        <w:fldChar w:fldCharType="begin"/>
      </w:r>
      <w:r>
        <w:instrText xml:space="preserve"> XE "</w:instrText>
      </w:r>
      <w:r w:rsidRPr="0015798D">
        <w:rPr>
          <w:i/>
        </w:rPr>
        <w:instrText>Oxfordian Fallacy:</w:instrText>
      </w:r>
      <w:r w:rsidRPr="006E1D4D">
        <w:instrText>Bonaventura</w:instrText>
      </w:r>
      <w:r>
        <w:instrText xml:space="preserve">" </w:instrText>
      </w:r>
      <w:r>
        <w:rPr>
          <w:i/>
        </w:rPr>
        <w:fldChar w:fldCharType="end"/>
      </w:r>
      <w:r w:rsidRPr="00273106">
        <w:t xml:space="preserve">. Tímto </w:t>
      </w:r>
      <w:r w:rsidR="00931FA0">
        <w:t xml:space="preserve">modernistickým </w:t>
      </w:r>
      <w:r w:rsidR="00931FA0" w:rsidRPr="00931FA0">
        <w:rPr>
          <w:i/>
        </w:rPr>
        <w:t>copulatio</w:t>
      </w:r>
      <w:r w:rsidR="00931FA0">
        <w:t xml:space="preserve"> vznikla </w:t>
      </w:r>
      <w:r w:rsidR="00931FA0" w:rsidRPr="00273106">
        <w:t xml:space="preserve">nová série </w:t>
      </w:r>
      <w:r w:rsidR="00931FA0">
        <w:t xml:space="preserve">kategoriálních </w:t>
      </w:r>
      <w:r w:rsidR="00931FA0" w:rsidRPr="00273106">
        <w:t>určení jsoucna</w:t>
      </w:r>
      <w:r w:rsidR="00931FA0">
        <w:t xml:space="preserve"> třetího druhu, která založila novou </w:t>
      </w:r>
      <w:r w:rsidRPr="00273106">
        <w:t>ontoteologie</w:t>
      </w:r>
      <w:r w:rsidR="00931FA0">
        <w:t>. Ta byla vázaná</w:t>
      </w:r>
      <w:r>
        <w:t xml:space="preserve"> na demiurgickou aktivitu vůle schopné tvořit. </w:t>
      </w:r>
      <w:r w:rsidRPr="00273106">
        <w:t xml:space="preserve">Statut tvůrce </w:t>
      </w:r>
      <w:r>
        <w:t xml:space="preserve">určující smysl jsoucna z pozice demiurgické vůle je z hlediska filosofie totálně problematický, </w:t>
      </w:r>
      <w:r w:rsidRPr="00273106">
        <w:t xml:space="preserve">což dobře viděl Bacon a Albert. </w:t>
      </w:r>
      <w:r w:rsidR="00E34059" w:rsidRPr="00273106">
        <w:t xml:space="preserve">Proto oba rozhodně odsoudili vpád </w:t>
      </w:r>
      <w:r w:rsidR="00E34059">
        <w:t xml:space="preserve">modernistické </w:t>
      </w:r>
      <w:r w:rsidR="00E34059" w:rsidRPr="00273106">
        <w:t>filosofie</w:t>
      </w:r>
      <w:r w:rsidR="00E34059">
        <w:t xml:space="preserve"> </w:t>
      </w:r>
      <w:r w:rsidR="00E34059" w:rsidRPr="00273106">
        <w:t>do teologie.</w:t>
      </w:r>
      <w:r w:rsidR="00E34059">
        <w:t xml:space="preserve"> </w:t>
      </w:r>
      <w:r>
        <w:t>S</w:t>
      </w:r>
      <w:r w:rsidRPr="00273106">
        <w:t>ofistic</w:t>
      </w:r>
      <w:r w:rsidR="00FC3B49">
        <w:t>ké</w:t>
      </w:r>
      <w:r w:rsidRPr="00273106">
        <w:t xml:space="preserve"> </w:t>
      </w:r>
      <w:proofErr w:type="gramStart"/>
      <w:r w:rsidRPr="00273106">
        <w:t>výklad</w:t>
      </w:r>
      <w:r w:rsidR="00FC3B49">
        <w:t>y</w:t>
      </w:r>
      <w:proofErr w:type="gramEnd"/>
      <w:r w:rsidRPr="00273106">
        <w:t xml:space="preserve"> </w:t>
      </w:r>
      <w:r>
        <w:t xml:space="preserve">aristotelismu v rámci nově vzniklého averroismu Bonaventurovy školy </w:t>
      </w:r>
      <w:r w:rsidRPr="00273106">
        <w:t xml:space="preserve">donutil </w:t>
      </w:r>
      <w:proofErr w:type="gramStart"/>
      <w:r w:rsidRPr="00273106">
        <w:t>Bacona</w:t>
      </w:r>
      <w:proofErr w:type="gramEnd"/>
      <w:r w:rsidRPr="00273106">
        <w:t xml:space="preserve"> a Alberta, aby po roce 1250 postupně vyložili originální </w:t>
      </w:r>
      <w:r w:rsidR="001E0C20">
        <w:t xml:space="preserve">smysl </w:t>
      </w:r>
      <w:r>
        <w:t>aristotelského Korpusu.</w:t>
      </w:r>
      <w:r w:rsidR="00E34059">
        <w:t xml:space="preserve"> Duns Scotus jasně viděl, že </w:t>
      </w:r>
      <w:r w:rsidR="00B928DC">
        <w:t xml:space="preserve">Bonaventurův projekt </w:t>
      </w:r>
      <w:r w:rsidR="00E34059">
        <w:t xml:space="preserve">moderní metafyziky nemá budoucnost. Proto vzal pro poznání nikoliv vůli, ale tomistickou verzi semiaverroismu a tu napojil na Avicennovu metafyziku. </w:t>
      </w:r>
    </w:p>
    <w:p w:rsidR="08163013" w:rsidRDefault="08163013" w:rsidP="0870456C">
      <w:r w:rsidRPr="00273106">
        <w:t xml:space="preserve"> </w:t>
      </w:r>
    </w:p>
    <w:p w:rsidR="08163013" w:rsidRPr="00273106" w:rsidRDefault="00CA6257" w:rsidP="08163013">
      <w:pPr>
        <w:pStyle w:val="Nadpis3"/>
      </w:pPr>
      <w:bookmarkStart w:id="9" w:name="_Toc36144133"/>
      <w:r>
        <w:br w:type="page"/>
      </w:r>
      <w:bookmarkStart w:id="10" w:name="_Toc180231645"/>
      <w:r w:rsidR="08163013">
        <w:lastRenderedPageBreak/>
        <w:t>4.1.2</w:t>
      </w:r>
      <w:r w:rsidR="08163013" w:rsidRPr="00273106">
        <w:t xml:space="preserve"> </w:t>
      </w:r>
      <w:r w:rsidR="08163013">
        <w:t xml:space="preserve">Založení </w:t>
      </w:r>
      <w:r w:rsidR="08163013" w:rsidRPr="00273106">
        <w:t>objektivního averroismu</w:t>
      </w:r>
      <w:bookmarkEnd w:id="9"/>
      <w:bookmarkEnd w:id="10"/>
    </w:p>
    <w:p w:rsidR="00541D90" w:rsidRDefault="00CA6257" w:rsidP="00541D90">
      <w:r w:rsidRPr="00273106">
        <w:t xml:space="preserve">Expozice </w:t>
      </w:r>
      <w:r w:rsidRPr="00273106">
        <w:rPr>
          <w:i/>
        </w:rPr>
        <w:t>Oxfordian Fallacy</w:t>
      </w:r>
      <w:r w:rsidRPr="00273106">
        <w:t xml:space="preserve"> </w:t>
      </w:r>
      <w:r w:rsidR="00657278">
        <w:t>zkoumala</w:t>
      </w:r>
      <w:r w:rsidRPr="00273106">
        <w:t xml:space="preserve"> </w:t>
      </w:r>
      <w:r w:rsidR="0035532D">
        <w:t xml:space="preserve">původní </w:t>
      </w:r>
      <w:r w:rsidRPr="00273106">
        <w:rPr>
          <w:i/>
        </w:rPr>
        <w:t>Lichtung</w:t>
      </w:r>
      <w:r w:rsidRPr="00273106">
        <w:t xml:space="preserve"> </w:t>
      </w:r>
      <w:r w:rsidR="00657278">
        <w:t xml:space="preserve">pravdy a nepravdy </w:t>
      </w:r>
      <w:r w:rsidR="00544461">
        <w:t xml:space="preserve">latinské moderny </w:t>
      </w:r>
      <w:r w:rsidRPr="00273106">
        <w:t>kolem 1235</w:t>
      </w:r>
      <w:r>
        <w:t>‒</w:t>
      </w:r>
      <w:r w:rsidR="00544461">
        <w:t>45</w:t>
      </w:r>
      <w:r>
        <w:t xml:space="preserve"> skrze působení Rufuse </w:t>
      </w:r>
      <w:r w:rsidR="00FA657B">
        <w:t xml:space="preserve">a </w:t>
      </w:r>
      <w:r w:rsidR="00FA657B">
        <w:rPr>
          <w:szCs w:val="24"/>
        </w:rPr>
        <w:t xml:space="preserve">Kilwardbyho </w:t>
      </w:r>
      <w:r>
        <w:t xml:space="preserve">v Oxfordu a v Paříži. Dějinná </w:t>
      </w:r>
      <w:r w:rsidRPr="00273106">
        <w:t>odkrytost (</w:t>
      </w:r>
      <w:r w:rsidRPr="00E12118">
        <w:rPr>
          <w:i/>
        </w:rPr>
        <w:t>alétheia</w:t>
      </w:r>
      <w:r w:rsidRPr="00273106">
        <w:t xml:space="preserve">) </w:t>
      </w:r>
      <w:r w:rsidR="00070F09">
        <w:t>objektivity začala</w:t>
      </w:r>
      <w:r>
        <w:t xml:space="preserve"> mezi léty 1245‒</w:t>
      </w:r>
      <w:r w:rsidR="00D6527B">
        <w:t>55</w:t>
      </w:r>
      <w:r w:rsidRPr="00273106">
        <w:t xml:space="preserve"> sporem mezi prvním a </w:t>
      </w:r>
      <w:r w:rsidR="001808BF">
        <w:t>druhým averroismem</w:t>
      </w:r>
      <w:r w:rsidRPr="00273106">
        <w:t>.</w:t>
      </w:r>
      <w:r>
        <w:t xml:space="preserve"> </w:t>
      </w:r>
      <w:r w:rsidRPr="00273106">
        <w:t xml:space="preserve">Zavedení </w:t>
      </w:r>
      <w:r w:rsidR="006558F1">
        <w:t xml:space="preserve">nové </w:t>
      </w:r>
      <w:r>
        <w:t>metafyzik</w:t>
      </w:r>
      <w:r w:rsidR="006558F1">
        <w:t xml:space="preserve">y </w:t>
      </w:r>
      <w:r w:rsidRPr="00273106">
        <w:t xml:space="preserve">způsobilo, že následující generace Bonaventurových žáků jako </w:t>
      </w:r>
      <w:r>
        <w:t>Pecham</w:t>
      </w:r>
      <w:r w:rsidRPr="00273106">
        <w:t xml:space="preserve"> musela bránit ontoteologickou stavbu nové metafyziky proti klasickým aristotelikům.</w:t>
      </w:r>
      <w:r>
        <w:t xml:space="preserve"> </w:t>
      </w:r>
      <w:r w:rsidR="00A975D1" w:rsidRPr="00273106">
        <w:t xml:space="preserve">Bonaventura </w:t>
      </w:r>
      <w:r w:rsidR="00A975D1">
        <w:t xml:space="preserve">komponoval </w:t>
      </w:r>
      <w:r w:rsidR="00A975D1" w:rsidRPr="00273106">
        <w:t xml:space="preserve">druhý averroismus ve výslovné opozici jak vůči </w:t>
      </w:r>
      <w:r w:rsidR="00A975D1">
        <w:t>Averroes</w:t>
      </w:r>
      <w:r w:rsidR="00A975D1" w:rsidRPr="00273106">
        <w:t>ovi, tak i vůči klasickému aristotelismu</w:t>
      </w:r>
      <w:r w:rsidR="00A975D1">
        <w:t xml:space="preserve"> a tak </w:t>
      </w:r>
      <w:r w:rsidR="00CF0D39">
        <w:t>pokračoval v sofistice oxfordského druhého averroismu, který hned na počátku odsoudil Grosseteste (</w:t>
      </w:r>
      <w:r w:rsidR="00CF0D39" w:rsidRPr="08FD6244">
        <w:rPr>
          <w:szCs w:val="24"/>
        </w:rPr>
        <w:t xml:space="preserve">OBJ II, </w:t>
      </w:r>
      <w:r w:rsidR="00CF0D39">
        <w:t xml:space="preserve">kap. 3.4.2). </w:t>
      </w:r>
      <w:r w:rsidR="00A975D1" w:rsidRPr="00273106">
        <w:t xml:space="preserve">Bonaventura </w:t>
      </w:r>
      <w:r w:rsidR="00A975D1">
        <w:t>n</w:t>
      </w:r>
      <w:r w:rsidRPr="00273106">
        <w:t xml:space="preserve">apadl </w:t>
      </w:r>
      <w:r w:rsidR="000E015F">
        <w:t xml:space="preserve">Komentátora </w:t>
      </w:r>
      <w:r w:rsidRPr="00273106">
        <w:t xml:space="preserve">z pozice reformovaného avicennismu, a tím začal oficiální spor o </w:t>
      </w:r>
      <w:r>
        <w:t>Averroes</w:t>
      </w:r>
      <w:r w:rsidR="00CF0D39">
        <w:t>e jako „heretické</w:t>
      </w:r>
      <w:r w:rsidRPr="00273106">
        <w:t>h</w:t>
      </w:r>
      <w:r w:rsidR="00CF0D39">
        <w:t>o“ filosofa</w:t>
      </w:r>
      <w:r w:rsidRPr="00273106">
        <w:t xml:space="preserve">. Modernisté udělali z Aristotela </w:t>
      </w:r>
      <w:r>
        <w:t>a Averroese falešné křesťany, aby je mohli odsoudit jako heretiky</w:t>
      </w:r>
      <w:r w:rsidRPr="00273106">
        <w:t>. Negativní recepci Aristotela jako „nejhoršího“ (</w:t>
      </w:r>
      <w:r w:rsidRPr="00273106">
        <w:rPr>
          <w:i/>
        </w:rPr>
        <w:t>pessimus</w:t>
      </w:r>
      <w:r w:rsidRPr="00273106">
        <w:t xml:space="preserve">) metafyzika a přírodovědce známe od mnohých františkánských magistrů 13. a 14. století (Mahoney 1988). </w:t>
      </w:r>
      <w:r>
        <w:t xml:space="preserve">Předchozí matrice ukázaly, že epochální určení jsoucna se musí týkat nového způsobu poznání, jehož centrální koncept představuje Averroesův </w:t>
      </w:r>
      <w:r w:rsidRPr="0089039D">
        <w:rPr>
          <w:i/>
        </w:rPr>
        <w:t>intellectus possibilis</w:t>
      </w:r>
      <w:r>
        <w:rPr>
          <w:i/>
        </w:rPr>
        <w:fldChar w:fldCharType="begin"/>
      </w:r>
      <w:r>
        <w:instrText xml:space="preserve"> XE "</w:instrText>
      </w:r>
      <w:r w:rsidRPr="00770D02">
        <w:rPr>
          <w:i/>
        </w:rPr>
        <w:instrText>intellectus possibilis</w:instrText>
      </w:r>
      <w:r>
        <w:rPr>
          <w:i/>
        </w:rPr>
        <w:instrText>:</w:instrText>
      </w:r>
      <w:r>
        <w:instrText xml:space="preserve">Averroes" </w:instrText>
      </w:r>
      <w:r>
        <w:rPr>
          <w:i/>
        </w:rPr>
        <w:fldChar w:fldCharType="end"/>
      </w:r>
      <w:r>
        <w:t xml:space="preserve">. </w:t>
      </w:r>
      <w:r w:rsidR="00F47D45" w:rsidRPr="00F47D45">
        <w:t xml:space="preserve">Spor o možný intelekt odhaluje skutečnou povahu sporu mezi prvním a druhým averroismem. </w:t>
      </w:r>
      <w:r w:rsidR="00F47D45">
        <w:t>P</w:t>
      </w:r>
      <w:r w:rsidRPr="00273106">
        <w:t>rvní averroism</w:t>
      </w:r>
      <w:r w:rsidR="00F47D45">
        <w:t xml:space="preserve">us </w:t>
      </w:r>
      <w:r w:rsidRPr="00273106">
        <w:t>měl v Paříži silné intelektuální zázemí a půlstoletou tradici od Johna Blunda a</w:t>
      </w:r>
      <w:r>
        <w:t xml:space="preserve">ž do </w:t>
      </w:r>
      <w:r w:rsidRPr="00273106">
        <w:t>biskupa Alverna</w:t>
      </w:r>
      <w:r>
        <w:t xml:space="preserve">. Bonaventura hájil objektivní vizi filosofie proti škole prvního averroismu </w:t>
      </w:r>
      <w:r w:rsidR="005F2672">
        <w:t>zastoupenou mysliteli, jako</w:t>
      </w:r>
      <w:r>
        <w:t xml:space="preserve"> byl Bacon, Albert a po smrti Alverna také Siger z Brabantu</w:t>
      </w:r>
      <w:r w:rsidRPr="00273106">
        <w:t xml:space="preserve">. Citovaný Bacon udal rok 1250 jako </w:t>
      </w:r>
      <w:r w:rsidRPr="00273106">
        <w:rPr>
          <w:i/>
        </w:rPr>
        <w:t>terminus post quem</w:t>
      </w:r>
      <w:r w:rsidRPr="00273106">
        <w:t xml:space="preserve"> vzniku zásadních sporů ohledně interpretace Aristotelova korpusu (</w:t>
      </w:r>
      <w:r w:rsidRPr="0874062B">
        <w:rPr>
          <w:szCs w:val="24"/>
        </w:rPr>
        <w:t xml:space="preserve">OBJ II, </w:t>
      </w:r>
      <w:r>
        <w:t>kap. 3</w:t>
      </w:r>
      <w:r w:rsidRPr="00273106">
        <w:t xml:space="preserve">.2). </w:t>
      </w:r>
      <w:r w:rsidR="006F34C3">
        <w:t>K</w:t>
      </w:r>
      <w:r w:rsidR="006F34C3" w:rsidRPr="00273106">
        <w:t>onflikt mezi</w:t>
      </w:r>
      <w:r w:rsidR="006F34C3">
        <w:t xml:space="preserve"> prvním a druhým averroismem o </w:t>
      </w:r>
      <w:r w:rsidR="006F34C3" w:rsidRPr="00273106">
        <w:t xml:space="preserve">výklad </w:t>
      </w:r>
      <w:r w:rsidR="006F34C3">
        <w:t>Averroes</w:t>
      </w:r>
      <w:r w:rsidR="006F34C3" w:rsidRPr="00273106">
        <w:t>e</w:t>
      </w:r>
      <w:r w:rsidR="006F34C3">
        <w:t xml:space="preserve"> se táhl další dvě </w:t>
      </w:r>
      <w:r w:rsidRPr="00273106">
        <w:t>dekád</w:t>
      </w:r>
      <w:r w:rsidR="006F34C3">
        <w:t>y</w:t>
      </w:r>
      <w:r w:rsidR="00503C85">
        <w:t xml:space="preserve">. </w:t>
      </w:r>
      <w:r w:rsidRPr="00273106">
        <w:t>Základní pojmy metafyziky (</w:t>
      </w:r>
      <w:r>
        <w:rPr>
          <w:i/>
        </w:rPr>
        <w:t>species</w:t>
      </w:r>
      <w:r w:rsidRPr="00273106">
        <w:t>, materie, forma, aktualita, esence, existence, pravda atd.) přestaly mít shodný význam a rozdělily se podle té či oné školy myšlení</w:t>
      </w:r>
      <w:r>
        <w:fldChar w:fldCharType="begin"/>
      </w:r>
      <w:r>
        <w:instrText xml:space="preserve"> XE "te</w:instrText>
      </w:r>
      <w:r w:rsidRPr="006F03A7">
        <w:instrText>orie dvojí pravdy</w:instrText>
      </w:r>
      <w:r>
        <w:instrText xml:space="preserve">" </w:instrText>
      </w:r>
      <w:r>
        <w:fldChar w:fldCharType="end"/>
      </w:r>
      <w:r>
        <w:t>.</w:t>
      </w:r>
      <w:r w:rsidRPr="00CE43CA">
        <w:t xml:space="preserve"> </w:t>
      </w:r>
      <w:r w:rsidRPr="009C0545">
        <w:t xml:space="preserve">Metafyzická dichotomie mezi prvním a druhým averroismem obsahuje jádro sporu o </w:t>
      </w:r>
      <w:r>
        <w:t>dvojí pravdu</w:t>
      </w:r>
      <w:r>
        <w:fldChar w:fldCharType="begin"/>
      </w:r>
      <w:r>
        <w:instrText xml:space="preserve"> XE "</w:instrText>
      </w:r>
      <w:r w:rsidRPr="00F50036">
        <w:instrText>teorie dvojí pravdy</w:instrText>
      </w:r>
      <w:r>
        <w:instrText xml:space="preserve">" </w:instrText>
      </w:r>
      <w:r>
        <w:fldChar w:fldCharType="end"/>
      </w:r>
      <w:r w:rsidRPr="009C0545">
        <w:t xml:space="preserve"> zmiňovanou v úvodu </w:t>
      </w:r>
      <w:r w:rsidR="00FC0BE2">
        <w:t xml:space="preserve">odsouzení </w:t>
      </w:r>
      <w:r w:rsidRPr="009C0545">
        <w:t>z b</w:t>
      </w:r>
      <w:r>
        <w:t>řezna 1277</w:t>
      </w:r>
      <w:r>
        <w:fldChar w:fldCharType="begin"/>
      </w:r>
      <w:r>
        <w:instrText xml:space="preserve"> XE "</w:instrText>
      </w:r>
      <w:r w:rsidRPr="00BE1252">
        <w:instrText>odsouzení 1277</w:instrText>
      </w:r>
      <w:r>
        <w:instrText xml:space="preserve">" </w:instrText>
      </w:r>
      <w:r>
        <w:fldChar w:fldCharType="end"/>
      </w:r>
      <w:r>
        <w:t xml:space="preserve">. </w:t>
      </w:r>
      <w:r w:rsidRPr="00273106">
        <w:t xml:space="preserve">Autority prvního averroismu odmítly akademicky diskutovat s tehdejšími představiteli </w:t>
      </w:r>
      <w:r w:rsidR="00626280">
        <w:t xml:space="preserve">školy </w:t>
      </w:r>
      <w:r w:rsidR="00B12BF7" w:rsidRPr="001329D1">
        <w:rPr>
          <w:i/>
          <w:szCs w:val="24"/>
        </w:rPr>
        <w:t>sophistae</w:t>
      </w:r>
      <w:r w:rsidR="00B12BF7">
        <w:rPr>
          <w:szCs w:val="24"/>
        </w:rPr>
        <w:t xml:space="preserve"> </w:t>
      </w:r>
      <w:r w:rsidR="00B12BF7">
        <w:rPr>
          <w:i/>
          <w:szCs w:val="24"/>
        </w:rPr>
        <w:t>Latini</w:t>
      </w:r>
      <w:r w:rsidRPr="00273106">
        <w:t xml:space="preserve">. Polemika v dílech kolínských představitelů prvního averroismu je dána hlavně v rétorickém stylu </w:t>
      </w:r>
      <w:r w:rsidRPr="00273106">
        <w:rPr>
          <w:rStyle w:val="st"/>
          <w:i/>
        </w:rPr>
        <w:t xml:space="preserve">oratio </w:t>
      </w:r>
      <w:r w:rsidRPr="00273106">
        <w:rPr>
          <w:rStyle w:val="st"/>
          <w:bCs/>
          <w:i/>
        </w:rPr>
        <w:t>obliqua</w:t>
      </w:r>
      <w:r w:rsidRPr="00273106">
        <w:t xml:space="preserve">. Albert a Akvinský označovali filosofické protivníky generickým označením </w:t>
      </w:r>
      <w:r w:rsidRPr="00273106">
        <w:rPr>
          <w:i/>
        </w:rPr>
        <w:t>quidam</w:t>
      </w:r>
      <w:r>
        <w:t xml:space="preserve"> </w:t>
      </w:r>
      <w:r w:rsidRPr="00273106">
        <w:t xml:space="preserve">nebo </w:t>
      </w:r>
      <w:r w:rsidRPr="00273106">
        <w:rPr>
          <w:i/>
        </w:rPr>
        <w:t>Latini</w:t>
      </w:r>
      <w:r w:rsidRPr="00273106">
        <w:t xml:space="preserve">. Oba vážení dominikáni se tím liší od Bacona </w:t>
      </w:r>
      <w:r w:rsidRPr="00273106">
        <w:lastRenderedPageBreak/>
        <w:t>usazeného na Oxfordu</w:t>
      </w:r>
      <w:r>
        <w:t xml:space="preserve"> a v Paříži</w:t>
      </w:r>
      <w:r w:rsidRPr="00273106">
        <w:t xml:space="preserve">. Tento </w:t>
      </w:r>
      <w:r>
        <w:t xml:space="preserve">františkánský terciář </w:t>
      </w:r>
      <w:r w:rsidRPr="00273106">
        <w:t>usazený v centru druhého avicennismu</w:t>
      </w:r>
      <w:r w:rsidR="001B24C7">
        <w:t xml:space="preserve"> byl </w:t>
      </w:r>
      <w:r w:rsidRPr="00273106">
        <w:t>postižený zákazem publikace a univerzitního vyučování</w:t>
      </w:r>
      <w:r w:rsidR="001B24C7">
        <w:t>.</w:t>
      </w:r>
      <w:r w:rsidR="001B24C7" w:rsidRPr="00273106">
        <w:rPr>
          <w:rStyle w:val="Znakapoznpodarou"/>
        </w:rPr>
        <w:footnoteReference w:id="37"/>
      </w:r>
      <w:r w:rsidR="001B24C7">
        <w:t xml:space="preserve"> Bacon </w:t>
      </w:r>
      <w:r w:rsidRPr="00273106">
        <w:t xml:space="preserve">si </w:t>
      </w:r>
      <w:r>
        <w:t>během druhého pařížského</w:t>
      </w:r>
      <w:r w:rsidRPr="00273106">
        <w:t xml:space="preserve"> pobytu </w:t>
      </w:r>
      <w:r>
        <w:t xml:space="preserve">(asi 1256‒80) </w:t>
      </w:r>
      <w:r w:rsidRPr="00273106">
        <w:t>už nebral žádné servítky</w:t>
      </w:r>
      <w:r w:rsidR="001B24C7">
        <w:t>, v</w:t>
      </w:r>
      <w:r w:rsidRPr="00273106">
        <w:t xml:space="preserve">iz citované </w:t>
      </w:r>
      <w:r w:rsidR="001B24C7">
        <w:t xml:space="preserve">pasáže v díle </w:t>
      </w:r>
      <w:r w:rsidRPr="00273106">
        <w:rPr>
          <w:i/>
        </w:rPr>
        <w:t>Opus minus</w:t>
      </w:r>
      <w:r w:rsidR="001B24C7">
        <w:t xml:space="preserve"> </w:t>
      </w:r>
      <w:r w:rsidRPr="00273106">
        <w:t>(</w:t>
      </w:r>
      <w:r w:rsidRPr="084C0C60">
        <w:rPr>
          <w:szCs w:val="24"/>
        </w:rPr>
        <w:t xml:space="preserve">OBJ II, </w:t>
      </w:r>
      <w:r w:rsidRPr="00273106">
        <w:t xml:space="preserve">kap. </w:t>
      </w:r>
      <w:r>
        <w:t>3</w:t>
      </w:r>
      <w:r w:rsidRPr="00273106">
        <w:t>.4.3). Spor mezi Bonaventurovou školou a mezi prvním averorismem Bacona a Alberta není přímo doložen</w:t>
      </w:r>
      <w:r w:rsidR="00DC2EA9">
        <w:t>a. A</w:t>
      </w:r>
      <w:r w:rsidRPr="00273106">
        <w:t xml:space="preserve">nimozita sekulárních magistrů na Pařížské univerzitě </w:t>
      </w:r>
      <w:r w:rsidR="00DC2EA9">
        <w:t xml:space="preserve">začala hned po </w:t>
      </w:r>
      <w:r w:rsidR="0041368E" w:rsidRPr="00273106">
        <w:t>nástupu</w:t>
      </w:r>
      <w:r w:rsidRPr="00273106">
        <w:t xml:space="preserve"> nové vlny učenců ze žebravých řádů</w:t>
      </w:r>
      <w:r w:rsidR="00DC2EA9">
        <w:t xml:space="preserve">. Dominikánští a františkánští magistři </w:t>
      </w:r>
      <w:r w:rsidRPr="00273106">
        <w:t xml:space="preserve">neukazovali </w:t>
      </w:r>
      <w:r w:rsidR="00DC2EA9">
        <w:t xml:space="preserve">žádné </w:t>
      </w:r>
      <w:r w:rsidR="00A50F5A">
        <w:t xml:space="preserve">veřejné </w:t>
      </w:r>
      <w:r w:rsidR="00DC2EA9">
        <w:t>spory se školou prvního averroismu</w:t>
      </w:r>
      <w:r w:rsidRPr="00273106">
        <w:t>. Bonaventura jako generál řádu navíc v interních a v externích sporech o evangelijní chudobu (kolem 1253‒57) zdůrazňoval význam františkánské řehole</w:t>
      </w:r>
      <w:r>
        <w:fldChar w:fldCharType="begin"/>
      </w:r>
      <w:r>
        <w:instrText xml:space="preserve"> XE "</w:instrText>
      </w:r>
      <w:r w:rsidRPr="00B83CB8">
        <w:instrText>regule</w:instrText>
      </w:r>
      <w:r>
        <w:instrText xml:space="preserve">:františkánská" </w:instrText>
      </w:r>
      <w:r>
        <w:fldChar w:fldCharType="end"/>
      </w:r>
      <w:r w:rsidRPr="00273106">
        <w:t>. Její následování ve formě řeholních slibů znamená jednak vyhnutí se skandálu a jednak náhled do pravdy, a tím i spásu.</w:t>
      </w:r>
      <w:r w:rsidRPr="00273106">
        <w:rPr>
          <w:rStyle w:val="Znakapoznpodarou"/>
        </w:rPr>
        <w:footnoteReference w:id="38"/>
      </w:r>
      <w:r>
        <w:t xml:space="preserve"> Citované heslo </w:t>
      </w:r>
      <w:r w:rsidR="00FC5077">
        <w:t>„</w:t>
      </w:r>
      <w:r w:rsidRPr="00273106">
        <w:rPr>
          <w:i/>
        </w:rPr>
        <w:t>Regulae tenemur</w:t>
      </w:r>
      <w:r w:rsidR="00FC5077">
        <w:t>“</w:t>
      </w:r>
      <w:r w:rsidRPr="00273106">
        <w:t xml:space="preserve"> dalo karte</w:t>
      </w:r>
      <w:r>
        <w:t>ziánské sekulární moderně její regulérní</w:t>
      </w:r>
      <w:r w:rsidRPr="00273106">
        <w:t xml:space="preserve"> spásu</w:t>
      </w:r>
      <w:r w:rsidR="00D16329">
        <w:t>. Bonaventurova ontoteologická</w:t>
      </w:r>
      <w:r w:rsidRPr="00273106">
        <w:t xml:space="preserve"> objektivitu </w:t>
      </w:r>
      <w:r w:rsidR="00D16329">
        <w:t xml:space="preserve">se sdílela </w:t>
      </w:r>
      <w:r w:rsidRPr="00273106">
        <w:t xml:space="preserve">společně se skromností a umírněností původních františkánských </w:t>
      </w:r>
      <w:r w:rsidRPr="00273106">
        <w:rPr>
          <w:i/>
        </w:rPr>
        <w:t>Regulae</w:t>
      </w:r>
      <w:r w:rsidRPr="00273106">
        <w:t xml:space="preserve">. </w:t>
      </w:r>
      <w:r>
        <w:t xml:space="preserve">Albert a Bacon tvrdili, že s moderními sofisty </w:t>
      </w:r>
      <w:r w:rsidR="00C8567F">
        <w:t xml:space="preserve">filosoficky </w:t>
      </w:r>
      <w:r>
        <w:t xml:space="preserve">diskutovat nelze. </w:t>
      </w:r>
      <w:r w:rsidRPr="00273106">
        <w:t xml:space="preserve">Představitelé druhého averroismu nutně produkovali i nové teoretické koncepty, které etablovaly </w:t>
      </w:r>
      <w:r>
        <w:t xml:space="preserve">objektivní </w:t>
      </w:r>
      <w:r w:rsidRPr="00273106">
        <w:t xml:space="preserve">vlastnosti jsoucna proti kritice prvního averroismu. Nová nauka neměla oporu v dosavadní tradici myšlení, proto sofističtí </w:t>
      </w:r>
      <w:r w:rsidRPr="00273106">
        <w:rPr>
          <w:i/>
        </w:rPr>
        <w:t>Moderni</w:t>
      </w:r>
      <w:r>
        <w:rPr>
          <w:i/>
        </w:rPr>
        <w:fldChar w:fldCharType="begin"/>
      </w:r>
      <w:r>
        <w:instrText xml:space="preserve"> XE "</w:instrText>
      </w:r>
      <w:r w:rsidRPr="00B46F32">
        <w:instrText>averroismus:</w:instrText>
      </w:r>
      <w:r w:rsidRPr="001B4875">
        <w:rPr>
          <w:i/>
        </w:rPr>
        <w:instrText>Moderni</w:instrText>
      </w:r>
      <w:r>
        <w:instrText xml:space="preserve">" </w:instrText>
      </w:r>
      <w:r>
        <w:rPr>
          <w:i/>
        </w:rPr>
        <w:fldChar w:fldCharType="end"/>
      </w:r>
      <w:r w:rsidRPr="00273106">
        <w:t xml:space="preserve"> </w:t>
      </w:r>
      <w:r>
        <w:t xml:space="preserve">provedli </w:t>
      </w:r>
      <w:r w:rsidRPr="00273106">
        <w:t xml:space="preserve">dvojí revoluci. </w:t>
      </w:r>
      <w:r>
        <w:t>Modernisté d</w:t>
      </w:r>
      <w:r w:rsidRPr="00273106">
        <w:t>ali starým termínům nový smysl a tam, kde bylo tř</w:t>
      </w:r>
      <w:r>
        <w:t xml:space="preserve">eba, ustavili zcela nové pojmy. </w:t>
      </w:r>
      <w:r w:rsidR="00C93D7B">
        <w:t xml:space="preserve">Skrytá fáze </w:t>
      </w:r>
      <w:r w:rsidRPr="00273106">
        <w:t xml:space="preserve">objektivity </w:t>
      </w:r>
      <w:r w:rsidR="00C93D7B">
        <w:t xml:space="preserve">byla </w:t>
      </w:r>
      <w:r w:rsidRPr="00273106">
        <w:t xml:space="preserve">ukončené </w:t>
      </w:r>
      <w:r w:rsidR="00C93D7B">
        <w:t xml:space="preserve">roku </w:t>
      </w:r>
      <w:r w:rsidRPr="00273106">
        <w:t>1250</w:t>
      </w:r>
      <w:r w:rsidR="00C93D7B">
        <w:t xml:space="preserve"> a pak začala její </w:t>
      </w:r>
      <w:r>
        <w:t xml:space="preserve">dějinně účinnou </w:t>
      </w:r>
      <w:r w:rsidR="00C93D7B">
        <w:t>fáze</w:t>
      </w:r>
      <w:r w:rsidRPr="00273106">
        <w:t xml:space="preserve"> </w:t>
      </w:r>
      <w:r w:rsidR="00C93D7B">
        <w:t>daná výstavbou</w:t>
      </w:r>
      <w:r w:rsidRPr="00273106">
        <w:t xml:space="preserve"> nové metafyziky</w:t>
      </w:r>
      <w:r>
        <w:rPr>
          <w:i/>
        </w:rPr>
        <w:fldChar w:fldCharType="begin"/>
      </w:r>
      <w:r>
        <w:instrText xml:space="preserve"> XE "objektivita:</w:instrText>
      </w:r>
      <w:r w:rsidRPr="008E6400">
        <w:rPr>
          <w:i/>
        </w:rPr>
        <w:instrText>Anfang</w:instrText>
      </w:r>
      <w:r>
        <w:instrText>/</w:instrText>
      </w:r>
      <w:r w:rsidRPr="008E6400">
        <w:rPr>
          <w:i/>
        </w:rPr>
        <w:instrText>Beginn</w:instrText>
      </w:r>
      <w:r>
        <w:instrText xml:space="preserve">" </w:instrText>
      </w:r>
      <w:r>
        <w:rPr>
          <w:i/>
        </w:rPr>
        <w:fldChar w:fldCharType="end"/>
      </w:r>
      <w:r>
        <w:t xml:space="preserve">. </w:t>
      </w:r>
      <w:r w:rsidR="00735817" w:rsidRPr="00273106">
        <w:t xml:space="preserve">Generace filosofů z let 1250‒70 převedla smysl jsoucna </w:t>
      </w:r>
      <w:r w:rsidR="00735817">
        <w:t xml:space="preserve">k vládě </w:t>
      </w:r>
      <w:r w:rsidR="00735817" w:rsidRPr="00273106">
        <w:t>moderního demiurgického subjektu</w:t>
      </w:r>
      <w:r w:rsidR="00735817">
        <w:t xml:space="preserve">. </w:t>
      </w:r>
      <w:r w:rsidRPr="00273106">
        <w:t xml:space="preserve">Historie druhého averroismu jako vítězného pochodu po </w:t>
      </w:r>
      <w:proofErr w:type="gramStart"/>
      <w:r w:rsidRPr="00273106">
        <w:rPr>
          <w:i/>
        </w:rPr>
        <w:t>via</w:t>
      </w:r>
      <w:proofErr w:type="gramEnd"/>
      <w:r w:rsidRPr="00273106">
        <w:rPr>
          <w:i/>
        </w:rPr>
        <w:t xml:space="preserve"> Modernorum</w:t>
      </w:r>
      <w:r>
        <w:rPr>
          <w:i/>
        </w:rPr>
        <w:fldChar w:fldCharType="begin"/>
      </w:r>
      <w:r>
        <w:instrText xml:space="preserve"> XE "</w:instrText>
      </w:r>
      <w:r w:rsidRPr="00ED0748">
        <w:rPr>
          <w:i/>
        </w:rPr>
        <w:instrText>via Modernorum</w:instrText>
      </w:r>
      <w:r>
        <w:instrText xml:space="preserve">" </w:instrText>
      </w:r>
      <w:r>
        <w:rPr>
          <w:i/>
        </w:rPr>
        <w:fldChar w:fldCharType="end"/>
      </w:r>
      <w:r w:rsidRPr="00273106">
        <w:t xml:space="preserve"> ukazuje, že objektivně silný intelekt </w:t>
      </w:r>
      <w:r>
        <w:t xml:space="preserve">člověka </w:t>
      </w:r>
      <w:r w:rsidRPr="00273106">
        <w:t xml:space="preserve">porazil „slabou“ realitu a determinoval </w:t>
      </w:r>
      <w:r w:rsidR="003F0268">
        <w:t>„</w:t>
      </w:r>
      <w:r w:rsidRPr="00273106">
        <w:rPr>
          <w:i/>
        </w:rPr>
        <w:t>ens ratum</w:t>
      </w:r>
      <w:r w:rsidR="003F0268">
        <w:t>“</w:t>
      </w:r>
      <w:r>
        <w:t xml:space="preserve"> po svém. </w:t>
      </w:r>
      <w:r w:rsidRPr="00273106">
        <w:t xml:space="preserve">Integrální výklad Aristotelova korpusu (Albert, Bacon) se stal </w:t>
      </w:r>
      <w:r>
        <w:t xml:space="preserve">v prvním kole sporu </w:t>
      </w:r>
      <w:r w:rsidRPr="00273106">
        <w:t>důstojnou filosofickou odpovědí na mylné názory učených magistrů druhého averroismu.</w:t>
      </w:r>
      <w:r w:rsidR="00541D90">
        <w:t xml:space="preserve"> </w:t>
      </w:r>
      <w:r w:rsidR="08163013">
        <w:t xml:space="preserve">Bonaventurova škola rozpoutala společně s Kilwardbym na Oxfordu </w:t>
      </w:r>
      <w:r w:rsidR="08163013">
        <w:lastRenderedPageBreak/>
        <w:t xml:space="preserve">falešný spor o averroismus, který zakládá epochální podobu moderní </w:t>
      </w:r>
      <w:r w:rsidR="08163013" w:rsidRPr="00620F4A">
        <w:rPr>
          <w:i/>
        </w:rPr>
        <w:t>Seinsvergessenheit</w:t>
      </w:r>
      <w:r w:rsidR="08163013">
        <w:rPr>
          <w:i/>
        </w:rPr>
        <w:fldChar w:fldCharType="begin"/>
      </w:r>
      <w:r w:rsidR="08163013">
        <w:instrText xml:space="preserve"> XE "</w:instrText>
      </w:r>
      <w:r w:rsidR="08163013" w:rsidRPr="003B3CCF">
        <w:rPr>
          <w:i/>
        </w:rPr>
        <w:instrText>Seinsvergessenheit</w:instrText>
      </w:r>
      <w:r w:rsidR="08163013">
        <w:instrText xml:space="preserve">" </w:instrText>
      </w:r>
      <w:r w:rsidR="08163013">
        <w:rPr>
          <w:i/>
        </w:rPr>
        <w:fldChar w:fldCharType="end"/>
      </w:r>
      <w:r w:rsidR="08163013">
        <w:t xml:space="preserve">. </w:t>
      </w:r>
      <w:r w:rsidR="08B87278">
        <w:t xml:space="preserve">Pravdivá </w:t>
      </w:r>
      <w:r w:rsidR="08163013">
        <w:t>odkrytost sporu mezi oběma školami je dána v projektu autentického humanismu a skrze v</w:t>
      </w:r>
      <w:r w:rsidR="08163013" w:rsidRPr="00273106">
        <w:t>znik západního intelektuála</w:t>
      </w:r>
      <w:r w:rsidR="08163013">
        <w:t xml:space="preserve"> typu artistů z Rue du Fouarre. Kritické hledání filosofické pravdy těchto sekulárních kněží se stalo vzorem intelektuální práce pro následující staletí v modu pravdy jako adekvace. Siger a jeho kolegové obhájili původní filosofický a kritický základ evropské vzdělanosti, který společně založili ve falsafě Druhý mistr a Komentátor (</w:t>
      </w:r>
      <w:r w:rsidR="08120CBD">
        <w:t xml:space="preserve">OBJ I, </w:t>
      </w:r>
      <w:r w:rsidR="08163013">
        <w:t>kap. 2.4.4)</w:t>
      </w:r>
      <w:r w:rsidR="08163013">
        <w:fldChar w:fldCharType="begin"/>
      </w:r>
      <w:r w:rsidR="08163013">
        <w:instrText xml:space="preserve"> XE "</w:instrText>
      </w:r>
      <w:r w:rsidR="08163013" w:rsidRPr="08AF78F1">
        <w:instrText>sekularizace</w:instrText>
      </w:r>
      <w:r w:rsidR="08163013">
        <w:instrText xml:space="preserve">" </w:instrText>
      </w:r>
      <w:r w:rsidR="08163013">
        <w:fldChar w:fldCharType="end"/>
      </w:r>
      <w:r w:rsidR="08163013">
        <w:t>. Tato a následují</w:t>
      </w:r>
      <w:r w:rsidR="00541D90">
        <w:t>c</w:t>
      </w:r>
      <w:r w:rsidR="08163013">
        <w:t>í matrice ukáže, jak magistři z Rue du F</w:t>
      </w:r>
      <w:r w:rsidR="087D5FF0">
        <w:t xml:space="preserve">ouarre provedli proces skutečného založení </w:t>
      </w:r>
      <w:r w:rsidR="08163013">
        <w:t xml:space="preserve">vědy podle </w:t>
      </w:r>
      <w:r w:rsidR="08163013" w:rsidRPr="08F46851">
        <w:rPr>
          <w:i/>
        </w:rPr>
        <w:t>Druhých analytik</w:t>
      </w:r>
      <w:r w:rsidR="08BF17FE">
        <w:t>. Ten</w:t>
      </w:r>
      <w:r w:rsidR="088A4F43">
        <w:t>to vývoj</w:t>
      </w:r>
      <w:r w:rsidR="08BF17FE">
        <w:t xml:space="preserve"> </w:t>
      </w:r>
      <w:r w:rsidR="08163013">
        <w:t>bohužel zastavila sofistická moderna v březnu 1277</w:t>
      </w:r>
      <w:r w:rsidR="08163013">
        <w:fldChar w:fldCharType="begin"/>
      </w:r>
      <w:r w:rsidR="08163013">
        <w:instrText xml:space="preserve"> XE "</w:instrText>
      </w:r>
      <w:r w:rsidR="08163013" w:rsidRPr="085C4D30">
        <w:instrText>odsouzení 1277</w:instrText>
      </w:r>
      <w:r w:rsidR="08163013">
        <w:instrText xml:space="preserve">" </w:instrText>
      </w:r>
      <w:r w:rsidR="08163013">
        <w:fldChar w:fldCharType="end"/>
      </w:r>
      <w:r w:rsidR="08163013">
        <w:t xml:space="preserve"> pojetím jedné dogmaticky dané pravdy ontoteologie. </w:t>
      </w:r>
    </w:p>
    <w:p w:rsidR="00D82834" w:rsidRDefault="08163013" w:rsidP="0025309A">
      <w:pPr>
        <w:ind w:firstLine="397"/>
      </w:pPr>
      <w:r>
        <w:t xml:space="preserve">Proces sofistické </w:t>
      </w:r>
      <w:r w:rsidR="00684741">
        <w:t>subjekti</w:t>
      </w:r>
      <w:r w:rsidR="00830414">
        <w:t xml:space="preserve">vizace </w:t>
      </w:r>
      <w:r>
        <w:t xml:space="preserve">západní vědy podle </w:t>
      </w:r>
      <w:r w:rsidRPr="08880A62">
        <w:rPr>
          <w:i/>
        </w:rPr>
        <w:t>Ox</w:t>
      </w:r>
      <w:r>
        <w:rPr>
          <w:i/>
        </w:rPr>
        <w:t>f</w:t>
      </w:r>
      <w:r w:rsidRPr="08880A62">
        <w:rPr>
          <w:i/>
        </w:rPr>
        <w:t>o</w:t>
      </w:r>
      <w:r>
        <w:rPr>
          <w:i/>
        </w:rPr>
        <w:t>r</w:t>
      </w:r>
      <w:r w:rsidRPr="08880A62">
        <w:rPr>
          <w:i/>
        </w:rPr>
        <w:t>dian Fallacy</w:t>
      </w:r>
      <w:r>
        <w:t xml:space="preserve"> těsně souvisí s vývojem averroismu. </w:t>
      </w:r>
      <w:r w:rsidRPr="00273106">
        <w:t xml:space="preserve">Jednoznačně kritický a zamítavý výklad </w:t>
      </w:r>
      <w:r>
        <w:t>Averroes</w:t>
      </w:r>
      <w:r w:rsidRPr="00273106">
        <w:t xml:space="preserve">e lze </w:t>
      </w:r>
      <w:r>
        <w:t>po výpadu Kilwardbyho na Oxfordu (</w:t>
      </w:r>
      <w:r w:rsidR="08617136">
        <w:t>OBJ II, kap. 3</w:t>
      </w:r>
      <w:r>
        <w:t xml:space="preserve">.4.2) </w:t>
      </w:r>
      <w:r w:rsidRPr="00273106">
        <w:t>datovat od Bonaventurova komentáře k</w:t>
      </w:r>
      <w:r>
        <w:t xml:space="preserve">e druhé knize </w:t>
      </w:r>
      <w:r w:rsidRPr="00270ADC">
        <w:rPr>
          <w:iCs/>
        </w:rPr>
        <w:t>Sentencí</w:t>
      </w:r>
      <w:r w:rsidRPr="00273106">
        <w:t xml:space="preserve">, který radikalizuje zamítavé stanovisko Rufuse známé z díla </w:t>
      </w:r>
      <w:r w:rsidRPr="00273106">
        <w:rPr>
          <w:i/>
        </w:rPr>
        <w:t>Contra Averroem</w:t>
      </w:r>
      <w:r w:rsidRPr="00273106">
        <w:t xml:space="preserve"> (</w:t>
      </w:r>
      <w:r w:rsidR="08617136">
        <w:t>OBJ II, kap. 3</w:t>
      </w:r>
      <w:r w:rsidRPr="00273106">
        <w:t xml:space="preserve">.3.3). </w:t>
      </w:r>
      <w:r>
        <w:t>Tím byla překonána neoplatonská syntéza Toledské školy platná zhruba do roku 1250</w:t>
      </w:r>
      <w:r>
        <w:fldChar w:fldCharType="begin"/>
      </w:r>
      <w:r>
        <w:instrText xml:space="preserve"> XE "</w:instrText>
      </w:r>
      <w:r w:rsidRPr="00553A88">
        <w:instrText>Toledská škola</w:instrText>
      </w:r>
      <w:r>
        <w:instrText xml:space="preserve">" </w:instrText>
      </w:r>
      <w:r>
        <w:fldChar w:fldCharType="end"/>
      </w:r>
      <w:r>
        <w:t xml:space="preserve">. Nový výklad zavrhl učení prvního averroismu podané </w:t>
      </w:r>
      <w:r>
        <w:rPr>
          <w:i/>
        </w:rPr>
        <w:t>ad mentem Averrois</w:t>
      </w:r>
      <w:r>
        <w:rPr>
          <w:i/>
        </w:rPr>
        <w:fldChar w:fldCharType="begin"/>
      </w:r>
      <w:r>
        <w:instrText xml:space="preserve"> XE "</w:instrText>
      </w:r>
      <w:r>
        <w:rPr>
          <w:i/>
        </w:rPr>
        <w:instrText>ad mentem Averrois</w:instrText>
      </w:r>
      <w:r>
        <w:instrText xml:space="preserve">" </w:instrText>
      </w:r>
      <w:r>
        <w:rPr>
          <w:i/>
        </w:rPr>
        <w:fldChar w:fldCharType="end"/>
      </w:r>
      <w:r>
        <w:t xml:space="preserve"> podle Toledské (Grosseteste, Rufus) nebo Sicilské školy</w:t>
      </w:r>
      <w:r>
        <w:fldChar w:fldCharType="begin"/>
      </w:r>
      <w:r>
        <w:instrText xml:space="preserve"> XE "</w:instrText>
      </w:r>
      <w:r w:rsidRPr="00613615">
        <w:instrText>Sicilská škola</w:instrText>
      </w:r>
      <w:r>
        <w:instrText xml:space="preserve">" </w:instrText>
      </w:r>
      <w:r>
        <w:fldChar w:fldCharType="end"/>
      </w:r>
      <w:r>
        <w:t xml:space="preserve"> (Alvernus, Bacon, Albert). Moderna a postmoderna provedla návrat k neoplatonskému Avicennovi v podání porretánských škol </w:t>
      </w:r>
      <w:r w:rsidRPr="089A13E3">
        <w:rPr>
          <w:i/>
        </w:rPr>
        <w:t>Nominales</w:t>
      </w:r>
      <w:r>
        <w:t>, které integrovala do nového projektu objektivní metafyzik</w:t>
      </w:r>
      <w:r w:rsidR="003F3358">
        <w:t xml:space="preserve">y. </w:t>
      </w:r>
      <w:r>
        <w:t>Anonym</w:t>
      </w:r>
      <w:r w:rsidR="007D633D">
        <w:t xml:space="preserve">ní dílo </w:t>
      </w:r>
      <w:r w:rsidRPr="08A83D78">
        <w:rPr>
          <w:i/>
        </w:rPr>
        <w:t xml:space="preserve">Summa philosophiae </w:t>
      </w:r>
      <w:r w:rsidR="00D34584">
        <w:t>dal</w:t>
      </w:r>
      <w:r w:rsidR="007D633D">
        <w:t>o</w:t>
      </w:r>
      <w:r w:rsidR="00D34584">
        <w:t xml:space="preserve"> </w:t>
      </w:r>
      <w:r>
        <w:t xml:space="preserve">Avicennovu metafyziku jako základ moderny, protože jako jediná </w:t>
      </w:r>
      <w:r w:rsidRPr="00273106">
        <w:t>odporoval</w:t>
      </w:r>
      <w:r>
        <w:t>a</w:t>
      </w:r>
      <w:r w:rsidRPr="00273106">
        <w:t xml:space="preserve"> </w:t>
      </w:r>
      <w:r>
        <w:t>n</w:t>
      </w:r>
      <w:r w:rsidRPr="00273106">
        <w:t>ázorům předešlých věků (</w:t>
      </w:r>
      <w:r w:rsidRPr="00273106">
        <w:rPr>
          <w:i/>
        </w:rPr>
        <w:t>inter veteres</w:t>
      </w:r>
      <w:r w:rsidR="089705AB">
        <w:t>; OBJ II, kap. 3</w:t>
      </w:r>
      <w:r w:rsidRPr="08395308">
        <w:t>.1.3)</w:t>
      </w:r>
      <w:r>
        <w:t xml:space="preserve">. Toto </w:t>
      </w:r>
      <w:r w:rsidR="00A23226">
        <w:t>„</w:t>
      </w:r>
      <w:r w:rsidRPr="083744FE">
        <w:rPr>
          <w:i/>
        </w:rPr>
        <w:t>revolutio</w:t>
      </w:r>
      <w:r w:rsidR="00A23226">
        <w:t>“</w:t>
      </w:r>
      <w:r>
        <w:t xml:space="preserve"> křesťanské moderny, čili otočení latinské vzdělanosti zpět do filosofických pohádek dialogu </w:t>
      </w:r>
      <w:r w:rsidRPr="083744FE">
        <w:rPr>
          <w:i/>
        </w:rPr>
        <w:t>Timaios</w:t>
      </w:r>
      <w:r>
        <w:t xml:space="preserve">, </w:t>
      </w:r>
      <w:r w:rsidR="0025309A">
        <w:t xml:space="preserve">se neobešlo bez tvrdých střetů. </w:t>
      </w:r>
      <w:r>
        <w:t>Po smrti biskupa Alverna začal otevřený střet mendikantů a sekulárních artistů na Pařížské univerzitě. Spor mezi prvním a druhým averroismem eskaloval do teologie a dogmatiky</w:t>
      </w:r>
      <w:r w:rsidRPr="08674044">
        <w:t xml:space="preserve"> </w:t>
      </w:r>
      <w:r>
        <w:t>skrze sofistický útok na Komentátora. Rufusova filosofická škola pod vedením Bonaventury se ustavila jako samostatná škola na nově zřízené univerzitní katedře</w:t>
      </w:r>
      <w:r w:rsidRPr="00273106">
        <w:t xml:space="preserve"> mendikantských řádů</w:t>
      </w:r>
      <w:r w:rsidR="00B61789">
        <w:t>. Tato první fak</w:t>
      </w:r>
      <w:r w:rsidR="00A23226">
        <w:t xml:space="preserve">ulta </w:t>
      </w:r>
      <w:r w:rsidR="00B61789">
        <w:t xml:space="preserve">vskutku </w:t>
      </w:r>
      <w:r w:rsidR="00A23226">
        <w:t xml:space="preserve">moderních umění </w:t>
      </w:r>
      <w:r>
        <w:t xml:space="preserve">vznikla papežskou bulou </w:t>
      </w:r>
      <w:r w:rsidRPr="00273106">
        <w:rPr>
          <w:i/>
        </w:rPr>
        <w:t>Quasi lignum vitae</w:t>
      </w:r>
      <w:r w:rsidRPr="00273106">
        <w:t xml:space="preserve"> (</w:t>
      </w:r>
      <w:r>
        <w:t>14. 4. 1255). Tato bula vydaná deset dní po začátku pontifikátu papeže Alexandra IV. zrušila předešlou bulu zemřelého papeže Innocenta IV. vydanou ve prospěch sekulárních magistrů zastoupených ve sporu rektorem Wilhelmem (</w:t>
      </w:r>
      <w:r w:rsidRPr="005A0B04">
        <w:rPr>
          <w:i/>
        </w:rPr>
        <w:t>Etsi animarum</w:t>
      </w:r>
      <w:r>
        <w:t xml:space="preserve">, 21. 10. </w:t>
      </w:r>
      <w:r>
        <w:lastRenderedPageBreak/>
        <w:t>1254). Komentátoři si dobře všimli posunu ve fraseologii Alexandra IV., který v nové bule využil papežskou plenipotenci nad univerzitou k prosazení mocenských požadavků.</w:t>
      </w:r>
      <w:r>
        <w:rPr>
          <w:rStyle w:val="Znakapoznpodarou"/>
        </w:rPr>
        <w:footnoteReference w:id="39"/>
      </w:r>
      <w:r>
        <w:t xml:space="preserve"> Papež podpořil filosofické sofisty v jejich sporu se školou prvního averroismu tím, že změnil akademické podmínky pro udělování </w:t>
      </w:r>
      <w:r w:rsidRPr="001E490E">
        <w:rPr>
          <w:i/>
        </w:rPr>
        <w:t>licentia docendi</w:t>
      </w:r>
      <w:r>
        <w:t xml:space="preserve">. Za této situace dané papežským potlačením akademického protestu sekulárních magistrů na Rue du Fouarre se pravděpodobně stal magistrem jak Rufus, tak Bonavenura. Vzhledem k již vyložené povaze celého sporu to byl naprosto nutný krok, aby mohla moderna nastoupit na svou vítěznou cestu. Ve stejném roce, kdy vznikla mendikantská větev modernistů na Pařížské univerzitě, nařídili artističtí sekulární magistři z Rue du Fouarre povinnou výuku spisu </w:t>
      </w:r>
      <w:r w:rsidRPr="00D96FC6">
        <w:rPr>
          <w:i/>
        </w:rPr>
        <w:t>De anima</w:t>
      </w:r>
      <w:r>
        <w:t xml:space="preserve"> (1255). Obhájci autentické sekularizované vědy museli zabránit desinterpretacím tohoto spisu na nově zřízené katedře </w:t>
      </w:r>
      <w:r w:rsidR="00412234">
        <w:t xml:space="preserve">moderních </w:t>
      </w:r>
      <w:r>
        <w:t>iluminátů. Autentičtí aristotelikové především hájili jednotu osoby zásadně nutnou pro křesťanskou věrouku. S obranou jednoty osoby a její svobodné existence stál a padal smysl Pařížské univerzity založené Blundovou školu ve sporu proti neoplatonskému aristotelismu Davida z Dinantu (</w:t>
      </w:r>
      <w:r w:rsidR="086F3F5D">
        <w:t>OBJ II, kap. 2</w:t>
      </w:r>
      <w:r>
        <w:t>.1.3). Aristotelikové museli akademicky jednat proti mocensky postupujícím sofistům, kterým se rozpadl člověk na specifickou mrtvolu složenou z několika substancí a místo reálného světa poznávali vlastní mytopoetické představy. A ve stejném roce vrcholí oficiální spor mezi mendikanty a artisty v Rue du Fouarre, které zastupoval magistr Guillelmus</w:t>
      </w:r>
      <w:r w:rsidRPr="00E735C5">
        <w:t xml:space="preserve"> de </w:t>
      </w:r>
      <w:r w:rsidRPr="00E735C5">
        <w:rPr>
          <w:szCs w:val="16"/>
        </w:rPr>
        <w:t xml:space="preserve">Sancto </w:t>
      </w:r>
      <w:r w:rsidRPr="00E735C5">
        <w:rPr>
          <w:szCs w:val="19"/>
        </w:rPr>
        <w:t>Amore</w:t>
      </w:r>
      <w:r>
        <w:rPr>
          <w:szCs w:val="19"/>
        </w:rPr>
        <w:fldChar w:fldCharType="begin"/>
      </w:r>
      <w:r>
        <w:instrText xml:space="preserve"> XE "</w:instrText>
      </w:r>
      <w:r w:rsidRPr="003B256A">
        <w:instrText xml:space="preserve"> </w:instrText>
      </w:r>
      <w:r>
        <w:instrText>Guillelmus</w:instrText>
      </w:r>
      <w:r w:rsidRPr="00E51395">
        <w:instrText xml:space="preserve"> de Sancto Amore</w:instrText>
      </w:r>
      <w:r>
        <w:instrText xml:space="preserve">" </w:instrText>
      </w:r>
      <w:r>
        <w:rPr>
          <w:szCs w:val="19"/>
        </w:rPr>
        <w:fldChar w:fldCharType="end"/>
      </w:r>
      <w:r>
        <w:rPr>
          <w:szCs w:val="19"/>
        </w:rPr>
        <w:t>,</w:t>
      </w:r>
      <w:r>
        <w:t xml:space="preserve"> mluvčí sekulárních artistických magistrů a známý komentátor </w:t>
      </w:r>
      <w:r w:rsidRPr="00C42ED2">
        <w:rPr>
          <w:i/>
        </w:rPr>
        <w:t>Prvních</w:t>
      </w:r>
      <w:r>
        <w:t xml:space="preserve"> i </w:t>
      </w:r>
      <w:r w:rsidRPr="00C42ED2">
        <w:rPr>
          <w:i/>
        </w:rPr>
        <w:t>Druhých analytik</w:t>
      </w:r>
      <w:r>
        <w:rPr>
          <w:szCs w:val="19"/>
        </w:rPr>
        <w:t xml:space="preserve">. </w:t>
      </w:r>
      <w:r>
        <w:t xml:space="preserve">Doufejme, že Wilhelmovy komentáře k </w:t>
      </w:r>
      <w:r w:rsidRPr="00301A8E">
        <w:rPr>
          <w:i/>
        </w:rPr>
        <w:t>Analytikám</w:t>
      </w:r>
      <w:r>
        <w:t xml:space="preserve"> po jejich kritickém vydání ukáží, že tento magistr patřil ke škole prvního averroismu.</w:t>
      </w:r>
      <w:r>
        <w:rPr>
          <w:rStyle w:val="Znakapoznpodarou"/>
        </w:rPr>
        <w:footnoteReference w:id="40"/>
      </w:r>
      <w:r>
        <w:t xml:space="preserve"> Tím by se našel chybějící výklad </w:t>
      </w:r>
      <w:r w:rsidRPr="00301A8E">
        <w:rPr>
          <w:i/>
        </w:rPr>
        <w:t>Druhých analytik</w:t>
      </w:r>
      <w:r>
        <w:t xml:space="preserve"> z této školy. Wilhelmův spis </w:t>
      </w:r>
      <w:r w:rsidRPr="00E735C5">
        <w:rPr>
          <w:i/>
          <w:szCs w:val="18"/>
        </w:rPr>
        <w:t xml:space="preserve">De </w:t>
      </w:r>
      <w:r w:rsidRPr="00E735C5">
        <w:rPr>
          <w:i/>
        </w:rPr>
        <w:t xml:space="preserve">periculis </w:t>
      </w:r>
      <w:r w:rsidRPr="00E735C5">
        <w:rPr>
          <w:i/>
          <w:szCs w:val="16"/>
        </w:rPr>
        <w:t xml:space="preserve">novissimorum </w:t>
      </w:r>
      <w:r w:rsidRPr="003B6710">
        <w:rPr>
          <w:i/>
          <w:szCs w:val="17"/>
        </w:rPr>
        <w:t>temporum</w:t>
      </w:r>
      <w:r>
        <w:rPr>
          <w:szCs w:val="17"/>
        </w:rPr>
        <w:t xml:space="preserve"> (1256) </w:t>
      </w:r>
      <w:r w:rsidRPr="003B6710">
        <w:rPr>
          <w:szCs w:val="17"/>
        </w:rPr>
        <w:t>zpochybňuje</w:t>
      </w:r>
      <w:r>
        <w:rPr>
          <w:szCs w:val="17"/>
        </w:rPr>
        <w:t xml:space="preserve"> učitelskou autoritu mendikantských magistrů na Pařížské univerzitě a </w:t>
      </w:r>
      <w:r>
        <w:rPr>
          <w:szCs w:val="17"/>
        </w:rPr>
        <w:lastRenderedPageBreak/>
        <w:t>napadá jimi hájené principy evangelické chudoby.</w:t>
      </w:r>
      <w:r>
        <w:rPr>
          <w:rStyle w:val="Znakapoznpodarou"/>
          <w:szCs w:val="17"/>
        </w:rPr>
        <w:footnoteReference w:id="41"/>
      </w:r>
      <w:r>
        <w:rPr>
          <w:szCs w:val="17"/>
        </w:rPr>
        <w:t xml:space="preserve"> </w:t>
      </w:r>
      <w:r>
        <w:t xml:space="preserve">Po útoku na averroistické představitele mendikantských řádů musel tento magistr a rektor odejít z artistické fakulty do akademického vyhnanství v roce 1256. Anonymní dílo sonetů </w:t>
      </w:r>
      <w:r w:rsidRPr="00782728">
        <w:rPr>
          <w:i/>
        </w:rPr>
        <w:t>Il Fiore</w:t>
      </w:r>
      <w:r>
        <w:t xml:space="preserve"> (asi 1286) líčí Wilhelma jako oběť mendikantských řádů společně se Sigerem z Brabantu </w:t>
      </w:r>
      <w:r w:rsidR="00902AF8">
        <w:t>(</w:t>
      </w:r>
      <w:r w:rsidR="00902AF8" w:rsidRPr="00782728">
        <w:rPr>
          <w:i/>
        </w:rPr>
        <w:t>Il Fiore</w:t>
      </w:r>
      <w:r w:rsidR="00113316">
        <w:t xml:space="preserve"> </w:t>
      </w:r>
      <w:r w:rsidR="00902AF8">
        <w:t>92.9‒14)</w:t>
      </w:r>
      <w:r>
        <w:t xml:space="preserve"> Tažení sekulárních filosofů proti modernistům v letech 1253‒55 skončilo stejně neslavně jako akademická dráha Sigera z Brabantu. Wilhelmovi </w:t>
      </w:r>
      <w:r>
        <w:rPr>
          <w:szCs w:val="17"/>
        </w:rPr>
        <w:t xml:space="preserve">žáci </w:t>
      </w:r>
      <w:r>
        <w:t>Gérard d'Abbeville</w:t>
      </w:r>
      <w:r>
        <w:fldChar w:fldCharType="begin"/>
      </w:r>
      <w:r>
        <w:instrText xml:space="preserve"> XE "</w:instrText>
      </w:r>
      <w:r w:rsidRPr="0007578A">
        <w:instrText>Gérard d'Abbeville</w:instrText>
      </w:r>
      <w:r>
        <w:instrText xml:space="preserve">" </w:instrText>
      </w:r>
      <w:r>
        <w:fldChar w:fldCharType="end"/>
      </w:r>
      <w:r>
        <w:t xml:space="preserve"> a Nicolas de Lisieux</w:t>
      </w:r>
      <w:r>
        <w:fldChar w:fldCharType="begin"/>
      </w:r>
      <w:r>
        <w:instrText xml:space="preserve"> XE "</w:instrText>
      </w:r>
      <w:r w:rsidRPr="002A3A50">
        <w:instrText>Nicolas de Lisieux</w:instrText>
      </w:r>
      <w:r>
        <w:instrText xml:space="preserve">" </w:instrText>
      </w:r>
      <w:r>
        <w:fldChar w:fldCharType="end"/>
      </w:r>
      <w:r>
        <w:t xml:space="preserve"> pokračovali v kritice mendikantských Modernistů, proto museli odejít společně s rektorem Rue du Fouarre </w:t>
      </w:r>
      <w:r>
        <w:rPr>
          <w:szCs w:val="17"/>
        </w:rPr>
        <w:t>(Baeumker 1898, 62‒64).</w:t>
      </w:r>
      <w:r>
        <w:t xml:space="preserve"> Tato trojice magistrů tvořila jádro skupiny prvního averroismu později zvané po jejím vrcholném představiteli Sigerovi z Brabantu termínem „sigerovci“ (</w:t>
      </w:r>
      <w:r w:rsidRPr="00F314E2">
        <w:rPr>
          <w:i/>
        </w:rPr>
        <w:t>pars Sigeri</w:t>
      </w:r>
      <w:r>
        <w:t>)</w:t>
      </w:r>
      <w:r>
        <w:rPr>
          <w:i/>
        </w:rPr>
        <w:fldChar w:fldCharType="begin"/>
      </w:r>
      <w:r>
        <w:instrText xml:space="preserve"> XE "</w:instrText>
      </w:r>
      <w:r w:rsidRPr="00F457C1">
        <w:instrText>první averroismus</w:instrText>
      </w:r>
      <w:r w:rsidRPr="00B52EEE">
        <w:rPr>
          <w:i/>
        </w:rPr>
        <w:instrText>:pars Sigeri</w:instrText>
      </w:r>
      <w:r>
        <w:instrText xml:space="preserve">" </w:instrText>
      </w:r>
      <w:r>
        <w:rPr>
          <w:i/>
        </w:rPr>
        <w:fldChar w:fldCharType="end"/>
      </w:r>
      <w:r>
        <w:t xml:space="preserve">. Siger byl rektorem pařížských sekulárních artistů v kritické fázi sporu po roce 1270 a dopadl stejně jako magistr Wilhelm. Sigerův brilantní rozbor </w:t>
      </w:r>
      <w:r w:rsidRPr="00AA1D7F">
        <w:rPr>
          <w:i/>
        </w:rPr>
        <w:t>De anima</w:t>
      </w:r>
      <w:r>
        <w:t xml:space="preserve"> a jeho kritiku Akvinského a Alberta rozebírá další matrice. Útok modernistů na sekulární magistry v Rue du Fouarre byl nevyhnutelný, protože logika vyloučeného třetího přešla do mocenského zápasu. Bašta kritického myšlení sekulární kněží a magistrů vykládajících </w:t>
      </w:r>
      <w:r w:rsidR="00995342" w:rsidRPr="006D6B9E">
        <w:rPr>
          <w:i/>
          <w:szCs w:val="24"/>
        </w:rPr>
        <w:t>Corpus</w:t>
      </w:r>
      <w:r w:rsidR="00995342">
        <w:rPr>
          <w:szCs w:val="24"/>
        </w:rPr>
        <w:t xml:space="preserve"> </w:t>
      </w:r>
      <w:r w:rsidR="00995342" w:rsidRPr="00CE6212">
        <w:rPr>
          <w:i/>
          <w:szCs w:val="24"/>
        </w:rPr>
        <w:t>Aristotelicum</w:t>
      </w:r>
      <w:r w:rsidR="00995342">
        <w:rPr>
          <w:szCs w:val="24"/>
        </w:rPr>
        <w:t xml:space="preserve"> </w:t>
      </w:r>
      <w:r>
        <w:t>podle Komentátora musela padnout, protože jen za tuto cenu mohla sofistická moderna dobýt latinský Západ. Po zničení sekulárních magistrů na Rue du Fouarre nastoupila nová verze sekularizace ukončená smrtí moderního boha a d</w:t>
      </w:r>
      <w:r w:rsidR="00D82834">
        <w:t>nešním metafyzickým nihilismem.</w:t>
      </w:r>
    </w:p>
    <w:p w:rsidR="00B659DB" w:rsidRDefault="00D82834" w:rsidP="00D87D29">
      <w:pPr>
        <w:ind w:firstLine="397"/>
      </w:pPr>
      <w:r w:rsidRPr="00D82834">
        <w:t>Rok 1255 představuje v mnoha ohledech rozhodující zlom ve vývoji sporu mezi prvním a druhým averroismem. Vlivný a charismatický magistr Bonaventura spolu s Ruf</w:t>
      </w:r>
      <w:r>
        <w:t>us</w:t>
      </w:r>
      <w:r w:rsidRPr="00D82834">
        <w:t>em, který v té době působil v Paříži, zahájili novou fázi sporu mezi oběma školami. Nová vlna druhého averroismu pod Bonaventurovým vedením zahájila útok na Averroese. Bonaventurova a Rufusova škola</w:t>
      </w:r>
      <w:r>
        <w:t xml:space="preserve"> vytvořila averroistický obraz K</w:t>
      </w:r>
      <w:r w:rsidRPr="00D82834">
        <w:t xml:space="preserve">omentátora podle vlastního pokřiveného myšlení. </w:t>
      </w:r>
      <w:r>
        <w:t xml:space="preserve">Toto diabolické stvoření </w:t>
      </w:r>
      <w:r w:rsidRPr="00D82834">
        <w:t xml:space="preserve">bylo skutečně strašné; </w:t>
      </w:r>
      <w:r>
        <w:t xml:space="preserve">proto </w:t>
      </w:r>
      <w:r w:rsidRPr="00D82834">
        <w:t>museli prohlás</w:t>
      </w:r>
      <w:r>
        <w:t xml:space="preserve">it svůj vlastní výtvor za kacířský. </w:t>
      </w:r>
      <w:r w:rsidR="08163013">
        <w:t xml:space="preserve">Modernisté odmítli averroistickou nauku o numericky odděleném </w:t>
      </w:r>
      <w:r w:rsidR="08163013">
        <w:lastRenderedPageBreak/>
        <w:t>intelektu</w:t>
      </w:r>
      <w:r w:rsidR="08163013">
        <w:fldChar w:fldCharType="begin"/>
      </w:r>
      <w:r w:rsidR="08163013">
        <w:instrText xml:space="preserve"> XE "</w:instrText>
      </w:r>
      <w:r w:rsidR="08163013" w:rsidRPr="00207ECC">
        <w:instrText>intelekt:numericky jednotný</w:instrText>
      </w:r>
      <w:r w:rsidR="08163013">
        <w:instrText xml:space="preserve">" </w:instrText>
      </w:r>
      <w:r w:rsidR="08163013">
        <w:fldChar w:fldCharType="end"/>
      </w:r>
      <w:r w:rsidR="08163013">
        <w:t>, kterou sami vytvořili. Proto museli podniknout sofistikovaný útok na vlastní simulákrum podle Freudova</w:t>
      </w:r>
      <w:r w:rsidR="08163013">
        <w:fldChar w:fldCharType="begin"/>
      </w:r>
      <w:r w:rsidR="08163013">
        <w:instrText xml:space="preserve"> XE "Freud, S</w:instrText>
      </w:r>
      <w:r w:rsidR="08163013" w:rsidRPr="003E4B5A">
        <w:instrText>.</w:instrText>
      </w:r>
      <w:r w:rsidR="08163013">
        <w:instrText xml:space="preserve">" </w:instrText>
      </w:r>
      <w:r w:rsidR="08163013">
        <w:fldChar w:fldCharType="end"/>
      </w:r>
      <w:r w:rsidR="08163013">
        <w:t xml:space="preserve"> obranného mechanismu </w:t>
      </w:r>
      <w:r w:rsidR="08163013" w:rsidRPr="00622D11">
        <w:rPr>
          <w:rStyle w:val="Zvraznn"/>
        </w:rPr>
        <w:t>Verkehrung ins Gegenteil</w:t>
      </w:r>
      <w:r w:rsidR="08163013">
        <w:rPr>
          <w:rStyle w:val="Zvraznn"/>
        </w:rPr>
        <w:fldChar w:fldCharType="begin"/>
      </w:r>
      <w:r w:rsidR="08163013">
        <w:instrText xml:space="preserve"> XE "</w:instrText>
      </w:r>
      <w:r w:rsidR="08163013" w:rsidRPr="0089394E">
        <w:rPr>
          <w:rStyle w:val="Zvraznn"/>
        </w:rPr>
        <w:instrText>Verkehrung ins Gegenteil</w:instrText>
      </w:r>
      <w:r w:rsidR="08163013">
        <w:instrText xml:space="preserve">" </w:instrText>
      </w:r>
      <w:r w:rsidR="08163013">
        <w:rPr>
          <w:rStyle w:val="Zvraznn"/>
        </w:rPr>
        <w:fldChar w:fldCharType="end"/>
      </w:r>
      <w:r w:rsidR="08163013">
        <w:rPr>
          <w:rStyle w:val="Zvraznn"/>
          <w:i w:val="0"/>
        </w:rPr>
        <w:t xml:space="preserve">. </w:t>
      </w:r>
      <w:r w:rsidR="08163013" w:rsidRPr="00273106">
        <w:t xml:space="preserve">Na rozdíl od implicitně křesťanské koncepce </w:t>
      </w:r>
      <w:r w:rsidR="08163013">
        <w:t xml:space="preserve">neoplatonského </w:t>
      </w:r>
      <w:r w:rsidR="08163013" w:rsidRPr="00273106">
        <w:t>Avicenny není možné harm</w:t>
      </w:r>
      <w:r w:rsidR="08163013">
        <w:t xml:space="preserve">onizovat Averroesovu aristotelskou metafyziku ani </w:t>
      </w:r>
      <w:r w:rsidR="08163013" w:rsidRPr="00273106">
        <w:t xml:space="preserve">s </w:t>
      </w:r>
      <w:r w:rsidR="08163013">
        <w:t xml:space="preserve">augustinianimem, ani s </w:t>
      </w:r>
      <w:r w:rsidR="08163013" w:rsidRPr="00273106">
        <w:t>neoplatonismem</w:t>
      </w:r>
      <w:r w:rsidR="08163013">
        <w:t xml:space="preserve">, ani </w:t>
      </w:r>
      <w:r w:rsidR="08163013" w:rsidRPr="00273106">
        <w:t xml:space="preserve">s </w:t>
      </w:r>
      <w:r w:rsidR="08163013">
        <w:t>neoplatonsk</w:t>
      </w:r>
      <w:r w:rsidR="08163013" w:rsidRPr="00273106">
        <w:t>ým proudem středověké falsafy (Avempace</w:t>
      </w:r>
      <w:r w:rsidR="08163013">
        <w:fldChar w:fldCharType="begin"/>
      </w:r>
      <w:r w:rsidR="08163013">
        <w:instrText xml:space="preserve"> XE "</w:instrText>
      </w:r>
      <w:r w:rsidR="08163013" w:rsidRPr="00762D06">
        <w:rPr>
          <w:iCs/>
        </w:rPr>
        <w:instrText>Avempace</w:instrText>
      </w:r>
      <w:r w:rsidR="08163013">
        <w:instrText xml:space="preserve">" </w:instrText>
      </w:r>
      <w:r w:rsidR="08163013">
        <w:fldChar w:fldCharType="end"/>
      </w:r>
      <w:r w:rsidR="08163013" w:rsidRPr="00273106">
        <w:t>)</w:t>
      </w:r>
      <w:r w:rsidR="08163013">
        <w:t xml:space="preserve">, ani s neoplatonským proudem </w:t>
      </w:r>
      <w:r w:rsidR="08163013" w:rsidRPr="00273106">
        <w:t>židovské moudrosti (Avicebron</w:t>
      </w:r>
      <w:r w:rsidR="08163013">
        <w:fldChar w:fldCharType="begin"/>
      </w:r>
      <w:r w:rsidR="08163013">
        <w:instrText xml:space="preserve"> XE "</w:instrText>
      </w:r>
      <w:r w:rsidR="08163013" w:rsidRPr="006968B2">
        <w:instrText>Avicebron</w:instrText>
      </w:r>
      <w:r w:rsidR="08163013">
        <w:instrText xml:space="preserve">" </w:instrText>
      </w:r>
      <w:r w:rsidR="08163013">
        <w:fldChar w:fldCharType="end"/>
      </w:r>
      <w:r w:rsidR="08163013" w:rsidRPr="00273106">
        <w:t xml:space="preserve">). </w:t>
      </w:r>
      <w:r w:rsidR="08163013">
        <w:t xml:space="preserve">Totéž ovšem už dávno před Bonaventurou konstatoval biskup Alvenus, a proto oddělil Averroese jako nejvznešenějšího filosofa od neoplatonských </w:t>
      </w:r>
      <w:r w:rsidR="08163013">
        <w:rPr>
          <w:i/>
        </w:rPr>
        <w:t>sequaces Ar</w:t>
      </w:r>
      <w:r w:rsidR="08163013" w:rsidRPr="00CD594E">
        <w:rPr>
          <w:i/>
        </w:rPr>
        <w:t>i</w:t>
      </w:r>
      <w:r w:rsidR="08163013">
        <w:rPr>
          <w:i/>
        </w:rPr>
        <w:t>s</w:t>
      </w:r>
      <w:r w:rsidR="08163013" w:rsidRPr="00CD594E">
        <w:rPr>
          <w:i/>
        </w:rPr>
        <w:t>totelis</w:t>
      </w:r>
      <w:r w:rsidR="08163013">
        <w:rPr>
          <w:i/>
        </w:rPr>
        <w:fldChar w:fldCharType="begin"/>
      </w:r>
      <w:r w:rsidR="08163013">
        <w:instrText xml:space="preserve"> XE "druhý averroismus:</w:instrText>
      </w:r>
      <w:r w:rsidR="08163013" w:rsidRPr="00B81DDF">
        <w:rPr>
          <w:i/>
        </w:rPr>
        <w:instrText>sequaces Aristotelis</w:instrText>
      </w:r>
      <w:r w:rsidR="08163013">
        <w:instrText xml:space="preserve">" </w:instrText>
      </w:r>
      <w:r w:rsidR="08163013">
        <w:rPr>
          <w:i/>
        </w:rPr>
        <w:fldChar w:fldCharType="end"/>
      </w:r>
      <w:r w:rsidR="08163013">
        <w:t xml:space="preserve"> (</w:t>
      </w:r>
      <w:r w:rsidR="08660DA3">
        <w:t>OBJ II, kap. 2</w:t>
      </w:r>
      <w:r w:rsidR="08163013" w:rsidRPr="00273106">
        <w:t>.3</w:t>
      </w:r>
      <w:r w:rsidR="08163013">
        <w:t>.1). Vzdělaný kancléř Pařížské univerzity odmítl útok na jednotu osoby jako herezi</w:t>
      </w:r>
      <w:r w:rsidR="08163013" w:rsidRPr="08E275A1">
        <w:t xml:space="preserve"> </w:t>
      </w:r>
      <w:r w:rsidR="08163013">
        <w:t>a odsoudil je jménem autentického aristotelismu Blundovy školy. Křesťanské určení člověka se bránilo skrze tehdy importované spisy Averroese (</w:t>
      </w:r>
      <w:r w:rsidR="08660DA3">
        <w:t>OBJ II, kap. 2</w:t>
      </w:r>
      <w:r w:rsidR="08163013">
        <w:t xml:space="preserve">.3.1). Proto Rufus neuspěl s obviněními ve spise </w:t>
      </w:r>
      <w:r w:rsidR="08163013" w:rsidRPr="004C4715">
        <w:rPr>
          <w:i/>
        </w:rPr>
        <w:t>Contra Averroem</w:t>
      </w:r>
      <w:r w:rsidR="08163013">
        <w:t xml:space="preserve"> (asi 1236) v Paříži a proto selhala i jeho pařížská apologie </w:t>
      </w:r>
      <w:r w:rsidR="08163013" w:rsidRPr="004C4715">
        <w:rPr>
          <w:i/>
        </w:rPr>
        <w:t>Speculum animae</w:t>
      </w:r>
      <w:r w:rsidR="08163013">
        <w:t xml:space="preserve"> (asi 1245). Změna v hodnocení Komentátora po smrti biskupa Alverna byla téměř okamžitá. Škola druhého averroismu na Pařížské univerzitě mohla vyjít po smrti tohoto kancléře univerzity z akademické ilegality, která trvala více než jednu dekádu.</w:t>
      </w:r>
      <w:r w:rsidR="00D87D29">
        <w:t xml:space="preserve"> </w:t>
      </w:r>
      <w:r w:rsidR="08163013">
        <w:t xml:space="preserve">Útok modernistů na Averroesovo simulákrum indikuje epochální </w:t>
      </w:r>
      <w:r w:rsidR="08FE7908">
        <w:t xml:space="preserve">nástup </w:t>
      </w:r>
      <w:r w:rsidR="08163013">
        <w:t xml:space="preserve">nové metafyziky a pro hermeneutickou archeologii indikuje místo a dobu </w:t>
      </w:r>
      <w:r w:rsidR="0043507B">
        <w:t xml:space="preserve">oficiálního </w:t>
      </w:r>
      <w:r w:rsidR="08163013">
        <w:t xml:space="preserve">vzniku </w:t>
      </w:r>
      <w:r w:rsidR="08163013" w:rsidRPr="00C63BE5">
        <w:rPr>
          <w:i/>
        </w:rPr>
        <w:t>via Modernorum</w:t>
      </w:r>
      <w:r w:rsidR="08163013">
        <w:t xml:space="preserve">. Bonaventurova škola začíná vědecké </w:t>
      </w:r>
      <w:r w:rsidR="08163013" w:rsidRPr="08AA7656">
        <w:rPr>
          <w:i/>
        </w:rPr>
        <w:t>revolutio</w:t>
      </w:r>
      <w:r w:rsidR="08163013">
        <w:t xml:space="preserve"> na akademické půdě tím, že po Alvernově smrti zahajuje oficiální útok na averroistického</w:t>
      </w:r>
      <w:r w:rsidR="08163013" w:rsidRPr="00273106">
        <w:t xml:space="preserve"> </w:t>
      </w:r>
      <w:r w:rsidR="08163013">
        <w:t>Averroes</w:t>
      </w:r>
      <w:r w:rsidR="08163013" w:rsidRPr="00273106">
        <w:t>e</w:t>
      </w:r>
      <w:r w:rsidR="08163013">
        <w:t>. Modernisté kritizují</w:t>
      </w:r>
      <w:r w:rsidR="08163013" w:rsidRPr="00273106">
        <w:t xml:space="preserve"> zejména </w:t>
      </w:r>
      <w:r w:rsidR="08163013">
        <w:t>Averroes</w:t>
      </w:r>
      <w:r w:rsidR="08163013" w:rsidRPr="00273106">
        <w:t xml:space="preserve">ovo odmítnutí </w:t>
      </w:r>
      <w:r w:rsidR="08163013">
        <w:t>neoplatonsk</w:t>
      </w:r>
      <w:r w:rsidR="08163013" w:rsidRPr="00273106">
        <w:t xml:space="preserve">ých exemplarů, teorii o </w:t>
      </w:r>
      <w:r w:rsidR="00E2199E">
        <w:t xml:space="preserve">filosoficky možném </w:t>
      </w:r>
      <w:r w:rsidR="08163013" w:rsidRPr="00273106">
        <w:t>věčném trvání světa a údajnou numerickou jedn</w:t>
      </w:r>
      <w:r w:rsidR="08163013">
        <w:t xml:space="preserve">otu intelektu pro všechny lidi. Bonaventurovy přednášky začaly filosofický spor mezi sekulárními aristoteliky z Rue du Fouarre a řádovými modernisty soustředěnými kolem magistirů připravujících založení samostatné katedry mendikantských řádů. Škola prvního averroismu na Rue du Fouarre zásadně kritizovala Rufusovo a Bonaventurovo překroucení Averroesovy nauky a zavedení </w:t>
      </w:r>
      <w:r w:rsidR="00263888">
        <w:t xml:space="preserve">plurality </w:t>
      </w:r>
      <w:r w:rsidR="08163013">
        <w:t xml:space="preserve">substancí v člověku. Albert jako eminentní žák Blundovy a Alvernovy školy se </w:t>
      </w:r>
      <w:r w:rsidR="008142F2">
        <w:t xml:space="preserve">přidal </w:t>
      </w:r>
      <w:r w:rsidR="08163013">
        <w:t>na stranu magistrů z Rue du Fouarre a diplomaticky a akademicky podpořil jejich kritiku modernistů</w:t>
      </w:r>
      <w:r w:rsidR="00EB1869">
        <w:t xml:space="preserve">. Ale protože sám patřil do dominikánskéhé řádu, </w:t>
      </w:r>
      <w:r w:rsidR="08163013">
        <w:t xml:space="preserve">žádného z těchto magistrů přímo nejmenoval. Roger Bacon </w:t>
      </w:r>
      <w:r w:rsidR="08FE7908">
        <w:lastRenderedPageBreak/>
        <w:t xml:space="preserve">pronásledovaný modernisty </w:t>
      </w:r>
      <w:r w:rsidR="08163013">
        <w:t>tyto ohledy naštěstí neměl</w:t>
      </w:r>
      <w:r w:rsidR="00784F3B">
        <w:t>. P</w:t>
      </w:r>
      <w:r w:rsidR="08163013">
        <w:t xml:space="preserve">roto nám zachoval průběh a aktéry této gigantomachie o substanci, která rozhodla o </w:t>
      </w:r>
      <w:r w:rsidR="00B659DB">
        <w:t>dalším osudu latinského Západu.</w:t>
      </w:r>
    </w:p>
    <w:p w:rsidR="08163013" w:rsidRPr="00273106" w:rsidRDefault="08163013" w:rsidP="00D87D29">
      <w:pPr>
        <w:ind w:firstLine="397"/>
      </w:pPr>
      <w:r>
        <w:t xml:space="preserve">Bonaventura </w:t>
      </w:r>
      <w:r w:rsidR="00B659DB">
        <w:t xml:space="preserve">začal přednášet </w:t>
      </w:r>
      <w:r>
        <w:t>od roku 1245</w:t>
      </w:r>
      <w:r w:rsidR="00B659DB">
        <w:t xml:space="preserve">. Tehdy musel dodržovat </w:t>
      </w:r>
      <w:r>
        <w:t xml:space="preserve">výnos biskupa Alverna, který zakázal vyučovat heretickou nauku o působení </w:t>
      </w:r>
      <w:r w:rsidR="00E43F81">
        <w:t xml:space="preserve">odděleného </w:t>
      </w:r>
      <w:r>
        <w:t>kosmického intelektu na lidské poznání. Toto bylo třeba držet a zároveň musel Komentátor</w:t>
      </w:r>
      <w:r w:rsidR="00CE505C">
        <w:t>s</w:t>
      </w:r>
      <w:r>
        <w:t xml:space="preserve"> </w:t>
      </w:r>
      <w:r w:rsidR="00034073">
        <w:t xml:space="preserve">v podobě </w:t>
      </w:r>
      <w:r w:rsidR="00A91C0C">
        <w:t>„</w:t>
      </w:r>
      <w:r w:rsidRPr="00326468">
        <w:rPr>
          <w:i/>
        </w:rPr>
        <w:t>philosophus nobilis</w:t>
      </w:r>
      <w:r>
        <w:rPr>
          <w:i/>
        </w:rPr>
        <w:t>si</w:t>
      </w:r>
      <w:r w:rsidRPr="00326468">
        <w:rPr>
          <w:i/>
        </w:rPr>
        <w:t>mus</w:t>
      </w:r>
      <w:r w:rsidR="00A91C0C">
        <w:t>“</w:t>
      </w:r>
      <w:r>
        <w:t xml:space="preserve"> </w:t>
      </w:r>
      <w:r w:rsidR="00034073">
        <w:t xml:space="preserve">změnit </w:t>
      </w:r>
      <w:r>
        <w:t xml:space="preserve">na heretika v modu </w:t>
      </w:r>
      <w:r w:rsidR="00A91C0C">
        <w:t>„</w:t>
      </w:r>
      <w:r w:rsidRPr="00326468">
        <w:rPr>
          <w:i/>
        </w:rPr>
        <w:t>philos</w:t>
      </w:r>
      <w:r>
        <w:rPr>
          <w:i/>
        </w:rPr>
        <w:t>o</w:t>
      </w:r>
      <w:r w:rsidRPr="00326468">
        <w:rPr>
          <w:i/>
        </w:rPr>
        <w:t>phus pessimus</w:t>
      </w:r>
      <w:r w:rsidR="00A91C0C">
        <w:t>“</w:t>
      </w:r>
      <w:r>
        <w:t xml:space="preserve">. Teorie poznání daná denudací a iluminací potřebovala hypostázovaný a substanční </w:t>
      </w:r>
      <w:r w:rsidRPr="005B41A8">
        <w:rPr>
          <w:i/>
        </w:rPr>
        <w:t>intellectus agens</w:t>
      </w:r>
      <w:r>
        <w:t xml:space="preserve">, který působil na lidskou receptivní složku intelektu danou v potenci. Toto simulákrum odděleného intelektu se škola </w:t>
      </w:r>
      <w:r w:rsidRPr="08625391">
        <w:rPr>
          <w:i/>
        </w:rPr>
        <w:t>sophistae Latini</w:t>
      </w:r>
      <w:r>
        <w:t xml:space="preserve"> zoufale a marně snažila oddělit od kosmické formy </w:t>
      </w:r>
      <w:r w:rsidRPr="08625391">
        <w:rPr>
          <w:i/>
        </w:rPr>
        <w:t>intellectus agens</w:t>
      </w:r>
      <w:r w:rsidR="005F0848">
        <w:t>. Alvernus prohlásil tento intelekt za heretickou nauku</w:t>
      </w:r>
      <w:r>
        <w:t xml:space="preserve"> </w:t>
      </w:r>
      <w:r w:rsidR="005F0848">
        <w:t xml:space="preserve">podle </w:t>
      </w:r>
      <w:r>
        <w:t>pante</w:t>
      </w:r>
      <w:r w:rsidR="005F0848">
        <w:t>ismu</w:t>
      </w:r>
      <w:r>
        <w:t xml:space="preserve"> Davida z Dinantu</w:t>
      </w:r>
      <w:r>
        <w:fldChar w:fldCharType="begin"/>
      </w:r>
      <w:r>
        <w:instrText xml:space="preserve"> XE "</w:instrText>
      </w:r>
      <w:r w:rsidRPr="08444E4F">
        <w:instrText>David z Dinantu</w:instrText>
      </w:r>
      <w:r>
        <w:instrText xml:space="preserve">" </w:instrText>
      </w:r>
      <w:r>
        <w:fldChar w:fldCharType="end"/>
      </w:r>
      <w:r>
        <w:t xml:space="preserve">. Moderní </w:t>
      </w:r>
      <w:r w:rsidR="00842C7E">
        <w:t>„</w:t>
      </w:r>
      <w:r w:rsidRPr="0096198A">
        <w:rPr>
          <w:i/>
        </w:rPr>
        <w:t>sequaces Aristotelis</w:t>
      </w:r>
      <w:r w:rsidR="00842C7E">
        <w:t>“</w:t>
      </w:r>
      <w:r>
        <w:t xml:space="preserve"> mohli držet pluralitu forem v člověku a univerzální hylemorfismus jen za tu cenu, že nepadne primát Avicennovy metafyziky</w:t>
      </w:r>
      <w:r w:rsidR="00A56778">
        <w:t xml:space="preserve">. Jenže ten byl </w:t>
      </w:r>
      <w:r>
        <w:t xml:space="preserve">daný emanací hypostázovaných forem </w:t>
      </w:r>
      <w:r w:rsidR="006208AD">
        <w:t>ze</w:t>
      </w:r>
      <w:r>
        <w:t xml:space="preserve"> substanční</w:t>
      </w:r>
      <w:r w:rsidR="006208AD">
        <w:t>ho a odděleného činného</w:t>
      </w:r>
      <w:r>
        <w:t xml:space="preserve"> intelekt</w:t>
      </w:r>
      <w:r w:rsidR="006208AD">
        <w:t xml:space="preserve">u </w:t>
      </w:r>
      <w:r w:rsidR="006208AD">
        <w:rPr>
          <w:szCs w:val="24"/>
        </w:rPr>
        <w:t>(</w:t>
      </w:r>
      <w:r w:rsidR="006208AD" w:rsidRPr="00E04D97">
        <w:rPr>
          <w:i/>
          <w:szCs w:val="24"/>
        </w:rPr>
        <w:t>Dator formarum</w:t>
      </w:r>
      <w:r w:rsidR="006208AD">
        <w:rPr>
          <w:i/>
          <w:szCs w:val="24"/>
        </w:rPr>
        <w:fldChar w:fldCharType="begin"/>
      </w:r>
      <w:r w:rsidR="006208AD">
        <w:instrText xml:space="preserve"> XE "</w:instrText>
      </w:r>
      <w:r w:rsidR="006208AD" w:rsidRPr="009E4976">
        <w:rPr>
          <w:i/>
          <w:szCs w:val="24"/>
        </w:rPr>
        <w:instrText>Dator formarum</w:instrText>
      </w:r>
      <w:r w:rsidR="006208AD">
        <w:instrText xml:space="preserve">" </w:instrText>
      </w:r>
      <w:r w:rsidR="006208AD">
        <w:rPr>
          <w:i/>
          <w:szCs w:val="24"/>
        </w:rPr>
        <w:fldChar w:fldCharType="end"/>
      </w:r>
      <w:r w:rsidR="006208AD">
        <w:rPr>
          <w:szCs w:val="24"/>
        </w:rPr>
        <w:t>)</w:t>
      </w:r>
      <w:r>
        <w:t>. Avicennův neoplatonismus nesený Toledskou školou zásadně kritizoval Blund a po něm Sicilská škola</w:t>
      </w:r>
      <w:r>
        <w:fldChar w:fldCharType="begin"/>
      </w:r>
      <w:r>
        <w:instrText xml:space="preserve"> XE "</w:instrText>
      </w:r>
      <w:r w:rsidRPr="0078713A">
        <w:instrText>Sicilská škola</w:instrText>
      </w:r>
      <w:r>
        <w:instrText xml:space="preserve">" </w:instrText>
      </w:r>
      <w:r>
        <w:fldChar w:fldCharType="end"/>
      </w:r>
      <w:r>
        <w:t xml:space="preserve"> prvního averroismu, která ovládala Pařížskou univerzitu do roku 1250. Útok na Averroese jako averroistu proto mohl oficiálně zač</w:t>
      </w:r>
      <w:r w:rsidR="004C39A5">
        <w:t xml:space="preserve">ít až po smrti biskupa Alverna. </w:t>
      </w:r>
      <w:r>
        <w:t xml:space="preserve">Druhá fáze boje proti Averroesovi začala po druhém příchodu Rufuse do františkánské koleje </w:t>
      </w:r>
      <w:r w:rsidR="08E23068">
        <w:t xml:space="preserve">v Paříži </w:t>
      </w:r>
      <w:r>
        <w:t xml:space="preserve">po roce 1253, kde už působil Bonaventura ve funkci regenta studií. Bonaventura s Rufusem vytvořili averroistické simulákrum Averroese, které spojili s avicennistickou naukou o numericky jednotném intelektu daném v modu univerzálního hylemorfismu. První verzi sofistické kritiky </w:t>
      </w:r>
      <w:r w:rsidRPr="00273106">
        <w:t xml:space="preserve">podává následující </w:t>
      </w:r>
      <w:r>
        <w:t xml:space="preserve">část Bonaventurova </w:t>
      </w:r>
      <w:r w:rsidRPr="00273106">
        <w:t xml:space="preserve">komentáře k </w:t>
      </w:r>
      <w:r>
        <w:t xml:space="preserve">druhým </w:t>
      </w:r>
      <w:r w:rsidRPr="00273106">
        <w:t>Sentencím</w:t>
      </w:r>
      <w:r>
        <w:t xml:space="preserve"> psaná kolem roku 1252</w:t>
      </w:r>
      <w:r w:rsidRPr="00273106">
        <w:t>.</w:t>
      </w:r>
      <w:r>
        <w:t xml:space="preserve"> </w:t>
      </w:r>
    </w:p>
    <w:p w:rsidR="08163013" w:rsidRPr="00057BE5" w:rsidRDefault="08163013" w:rsidP="08163013">
      <w:pPr>
        <w:pStyle w:val="Citace"/>
        <w:rPr>
          <w:noProof/>
          <w:lang w:val="cs-CZ"/>
        </w:rPr>
      </w:pPr>
      <w:r w:rsidRPr="00273106">
        <w:rPr>
          <w:noProof/>
          <w:lang w:val="cs-CZ"/>
        </w:rPr>
        <w:t>„</w:t>
      </w:r>
      <w:r>
        <w:rPr>
          <w:noProof/>
          <w:lang w:val="cs-CZ"/>
        </w:rPr>
        <w:t xml:space="preserve">Duše je prý neporušitelná, není třeba ji individualizovat, protože </w:t>
      </w:r>
      <w:r w:rsidR="089A4433">
        <w:rPr>
          <w:noProof/>
          <w:lang w:val="cs-CZ"/>
        </w:rPr>
        <w:t xml:space="preserve">může být dána pouze </w:t>
      </w:r>
      <w:r w:rsidR="00A53587">
        <w:rPr>
          <w:noProof/>
          <w:lang w:val="cs-CZ"/>
        </w:rPr>
        <w:t xml:space="preserve">v numericky jednom </w:t>
      </w:r>
      <w:r w:rsidR="089A4433">
        <w:rPr>
          <w:noProof/>
          <w:lang w:val="cs-CZ"/>
        </w:rPr>
        <w:t xml:space="preserve">exempláři </w:t>
      </w:r>
      <w:r>
        <w:rPr>
          <w:noProof/>
          <w:lang w:val="cs-CZ"/>
        </w:rPr>
        <w:t>(</w:t>
      </w:r>
      <w:r w:rsidRPr="007F30C4">
        <w:rPr>
          <w:rStyle w:val="CittHTML"/>
          <w:iCs w:val="0"/>
          <w:noProof/>
          <w:lang w:val="cs-CZ"/>
        </w:rPr>
        <w:t>una numero conservari possit</w:t>
      </w:r>
      <w:r w:rsidR="00D232A9">
        <w:rPr>
          <w:noProof/>
          <w:lang w:val="cs-CZ"/>
        </w:rPr>
        <w:t>). T</w:t>
      </w:r>
      <w:r>
        <w:rPr>
          <w:noProof/>
          <w:lang w:val="cs-CZ"/>
        </w:rPr>
        <w:t xml:space="preserve">o byla Komentátorova pozice v jeho komentáři k </w:t>
      </w:r>
      <w:r w:rsidRPr="00771C2D">
        <w:rPr>
          <w:i/>
          <w:noProof/>
          <w:lang w:val="cs-CZ"/>
        </w:rPr>
        <w:t>De anima</w:t>
      </w:r>
      <w:r>
        <w:rPr>
          <w:noProof/>
          <w:lang w:val="cs-CZ"/>
        </w:rPr>
        <w:t>. (...) Kdykoliv se takové pojetí zastává, je to nejhorší zlo a hereze (</w:t>
      </w:r>
      <w:r w:rsidRPr="002839ED">
        <w:rPr>
          <w:i/>
          <w:noProof/>
        </w:rPr>
        <w:t>pessima est et haeretica</w:t>
      </w:r>
      <w:r>
        <w:rPr>
          <w:noProof/>
          <w:lang w:val="cs-CZ"/>
        </w:rPr>
        <w:t xml:space="preserve">). Jde totiž proti křesťanskému náboženství, protože odnímá spravedlivou odměnu za dobro a za zlo. To by nebylo možné, kdyby duše byla numericky jednotná pro všechny lidi. A také je to proti zdravému rozumu. Je jasné, že intelektuální část duše může být inteligibilní jen v modu dokonalosti člověka, v tom, čím je člověkem.“ </w:t>
      </w:r>
      <w:r>
        <w:rPr>
          <w:rStyle w:val="Znakapoznpodarou"/>
        </w:rPr>
        <w:footnoteReference w:id="42"/>
      </w:r>
    </w:p>
    <w:p w:rsidR="0050667B" w:rsidRDefault="08163013" w:rsidP="08163013">
      <w:r w:rsidRPr="00273106">
        <w:lastRenderedPageBreak/>
        <w:t xml:space="preserve">Hned první věta ukazuje, že </w:t>
      </w:r>
      <w:r>
        <w:t>Averroes</w:t>
      </w:r>
      <w:r w:rsidRPr="00273106">
        <w:t xml:space="preserve"> musel být </w:t>
      </w:r>
      <w:r>
        <w:t xml:space="preserve">panteistický </w:t>
      </w:r>
      <w:proofErr w:type="gramStart"/>
      <w:r w:rsidR="009036BA">
        <w:t>myslitel jako</w:t>
      </w:r>
      <w:proofErr w:type="gramEnd"/>
      <w:r w:rsidR="009036BA">
        <w:t xml:space="preserve"> byl </w:t>
      </w:r>
      <w:r>
        <w:t>odsouzen</w:t>
      </w:r>
      <w:r w:rsidR="009036BA">
        <w:t>ý David</w:t>
      </w:r>
      <w:r>
        <w:t xml:space="preserve"> z</w:t>
      </w:r>
      <w:r w:rsidR="009036BA">
        <w:t> </w:t>
      </w:r>
      <w:r>
        <w:t>Dinantu</w:t>
      </w:r>
      <w:r w:rsidR="009036BA">
        <w:t xml:space="preserve">. Jeho </w:t>
      </w:r>
      <w:r w:rsidRPr="00273106">
        <w:t xml:space="preserve">pojetí duše podle Bonaventury vykazuje všechny znaky </w:t>
      </w:r>
      <w:r>
        <w:t>platonské</w:t>
      </w:r>
      <w:r w:rsidRPr="00273106">
        <w:t xml:space="preserve"> ideje (</w:t>
      </w:r>
      <w:r w:rsidRPr="00273106">
        <w:rPr>
          <w:rStyle w:val="CittHTML"/>
          <w:iCs w:val="0"/>
        </w:rPr>
        <w:t>incorruptibilis, non indiget multiplicari, cum una numero conservari possit</w:t>
      </w:r>
      <w:r w:rsidRPr="00273106">
        <w:t xml:space="preserve">). </w:t>
      </w:r>
      <w:r>
        <w:t xml:space="preserve">Nesmysl o numerické jednotě duše způsobil, že Averroes se stal nejen averroistou, ale i moderním heretikem. A </w:t>
      </w:r>
      <w:r w:rsidRPr="00273106">
        <w:t xml:space="preserve">závěr </w:t>
      </w:r>
      <w:r>
        <w:t xml:space="preserve">sofisticky konstatuje, že </w:t>
      </w:r>
      <w:r w:rsidR="00E34828">
        <w:t xml:space="preserve">pojem </w:t>
      </w:r>
      <w:r w:rsidRPr="00273106">
        <w:t>in</w:t>
      </w:r>
      <w:r>
        <w:t xml:space="preserve">telektuální duše </w:t>
      </w:r>
      <w:r w:rsidR="00E34828">
        <w:t xml:space="preserve">je vzat </w:t>
      </w:r>
      <w:r>
        <w:t xml:space="preserve">ve smyslu </w:t>
      </w:r>
      <w:r w:rsidR="00E34828">
        <w:t xml:space="preserve">jejího </w:t>
      </w:r>
      <w:r>
        <w:t>výkonu (</w:t>
      </w:r>
      <w:r w:rsidRPr="00273106">
        <w:rPr>
          <w:i/>
        </w:rPr>
        <w:t>anima intellectiva, ut intellectiva</w:t>
      </w:r>
      <w:r w:rsidR="00E34828">
        <w:t xml:space="preserve">); stejně tak </w:t>
      </w:r>
      <w:r>
        <w:t xml:space="preserve">završení </w:t>
      </w:r>
      <w:r w:rsidRPr="00273106">
        <w:t xml:space="preserve">v člověku </w:t>
      </w:r>
      <w:r>
        <w:t>(</w:t>
      </w:r>
      <w:r w:rsidRPr="08A43CC6">
        <w:rPr>
          <w:i/>
        </w:rPr>
        <w:t>perfectio hominis</w:t>
      </w:r>
      <w:r w:rsidR="00E34828">
        <w:t>) je dáno</w:t>
      </w:r>
      <w:r>
        <w:t xml:space="preserve"> z hlediska porretánské definice člověka </w:t>
      </w:r>
      <w:r w:rsidRPr="00273106">
        <w:t>(</w:t>
      </w:r>
      <w:r w:rsidRPr="00273106">
        <w:rPr>
          <w:i/>
        </w:rPr>
        <w:t xml:space="preserve">secundum quod </w:t>
      </w:r>
      <w:r w:rsidRPr="00273106">
        <w:rPr>
          <w:i/>
          <w:iCs/>
        </w:rPr>
        <w:t>homo</w:t>
      </w:r>
      <w:r w:rsidRPr="00273106">
        <w:t xml:space="preserve">). Bonaventura přiřazuje Komentátora ke stoupencům </w:t>
      </w:r>
      <w:r>
        <w:t xml:space="preserve">moderní </w:t>
      </w:r>
      <w:r w:rsidRPr="00273106">
        <w:t xml:space="preserve">nauky o numericky jednotném intelektu </w:t>
      </w:r>
      <w:r>
        <w:fldChar w:fldCharType="begin"/>
      </w:r>
      <w:r>
        <w:instrText xml:space="preserve"> XE "intelekt:numer</w:instrText>
      </w:r>
      <w:r w:rsidRPr="00AD2EDC">
        <w:instrText>i</w:instrText>
      </w:r>
      <w:r>
        <w:instrText>c</w:instrText>
      </w:r>
      <w:r w:rsidRPr="00AD2EDC">
        <w:instrText>ky jedn</w:instrText>
      </w:r>
      <w:r>
        <w:instrText xml:space="preserve">otný" </w:instrText>
      </w:r>
      <w:r>
        <w:fldChar w:fldCharType="end"/>
      </w:r>
      <w:r w:rsidRPr="00273106">
        <w:t>ve všech l</w:t>
      </w:r>
      <w:r>
        <w:t xml:space="preserve">idech a považuje jeho učení za </w:t>
      </w:r>
      <w:r w:rsidRPr="00273106">
        <w:rPr>
          <w:i/>
        </w:rPr>
        <w:t>pessima, heretica, contra christianam religionem</w:t>
      </w:r>
      <w:r w:rsidRPr="00273106">
        <w:t>.</w:t>
      </w:r>
      <w:r>
        <w:t xml:space="preserve"> Bonaventura z tohoto arabského aristotelika udělal nejprve neoplatonika, pak porretána na způsob univerzálního hylemorfismu, pak křesťana a pak jej odsoudil jako heretika. Tento demagogický postup odsoudil Grossseteste, když </w:t>
      </w:r>
      <w:r w:rsidR="08E34BDC">
        <w:t xml:space="preserve">napadl </w:t>
      </w:r>
      <w:r>
        <w:t xml:space="preserve">Rufusovu školu </w:t>
      </w:r>
      <w:r w:rsidR="08E34BDC">
        <w:t xml:space="preserve">za kritiku </w:t>
      </w:r>
      <w:r>
        <w:t>Aristotela na Oxfordu kolem 1235 (</w:t>
      </w:r>
      <w:r w:rsidR="08E34BDC">
        <w:t>OBJ II, kap. 3</w:t>
      </w:r>
      <w:r>
        <w:t xml:space="preserve">.1.2). Znovu je vidět </w:t>
      </w:r>
      <w:r w:rsidRPr="00614254">
        <w:rPr>
          <w:i/>
        </w:rPr>
        <w:t>Wirku</w:t>
      </w:r>
      <w:r>
        <w:rPr>
          <w:i/>
        </w:rPr>
        <w:t>n</w:t>
      </w:r>
      <w:r w:rsidRPr="00614254">
        <w:rPr>
          <w:i/>
        </w:rPr>
        <w:t>gsgeschi</w:t>
      </w:r>
      <w:r>
        <w:rPr>
          <w:i/>
        </w:rPr>
        <w:t>ch</w:t>
      </w:r>
      <w:r w:rsidRPr="00614254">
        <w:rPr>
          <w:i/>
        </w:rPr>
        <w:t>te</w:t>
      </w:r>
      <w:r>
        <w:t xml:space="preserve"> druhého averorismu skrze Rufusovo a Kilwardbyho působení v Oxfordu a pak v Paříži. Kritika Filosofa se vyměnila za kritiku Komentátora. Argument o anulaci osobní odpovědnosti za skutky skrze spravedlivou odměnu za dobro a za zlo poprvé použil Alvernus proti latinským sofistům ze školy druhého averroismu, kteří definovali intelekt jako substanci v modu univerzálního hylemorfismu, a tím jej dělali numericky jednotný (</w:t>
      </w:r>
      <w:r w:rsidR="08A364C5">
        <w:t>OBJ II, kap. 2</w:t>
      </w:r>
      <w:r>
        <w:t>.3.3). Alvernus se přitom opíral o učení Averroese jako nejvznešenějšího filosofa, který vytvořil autententickou verzi aristotelismu, která byla jako jediná s</w:t>
      </w:r>
      <w:r w:rsidR="0050667B">
        <w:t>lučitelná s křesťanskou naukou.</w:t>
      </w:r>
    </w:p>
    <w:p w:rsidR="08163013" w:rsidRPr="00273106" w:rsidRDefault="08163013" w:rsidP="00010E22">
      <w:pPr>
        <w:ind w:firstLine="397"/>
      </w:pPr>
      <w:r>
        <w:t>Bonaventu</w:t>
      </w:r>
      <w:r w:rsidR="0050667B">
        <w:t>ra vzal</w:t>
      </w:r>
      <w:r>
        <w:t xml:space="preserve"> stejnou argumentaci a demagogicky ji postavil proti Komentátorovi. Tím bylo zaděláno od roku 1252 na zásadní spor mendikantů a sekulárních magistrů. První averroismus v osobě Alberta konstatoval, že s</w:t>
      </w:r>
      <w:r w:rsidRPr="00273106">
        <w:t xml:space="preserve"> </w:t>
      </w:r>
      <w:r>
        <w:t>naukou o numericky jednotném intelektu v modu univerálního hylemorfismu se nemá cenu zabývat. S</w:t>
      </w:r>
      <w:r w:rsidRPr="00273106">
        <w:t>o</w:t>
      </w:r>
      <w:r>
        <w:t xml:space="preserve">fistika Latiníků je úplně nesmyslná a pochází od myslitelů, kteří nepochopili Averroesův spis CMDA </w:t>
      </w:r>
      <w:r w:rsidRPr="00273106">
        <w:t>(</w:t>
      </w:r>
      <w:r w:rsidRPr="00273106">
        <w:rPr>
          <w:i/>
        </w:rPr>
        <w:t>non reputo opinionem, sed ridiculum</w:t>
      </w:r>
      <w:r w:rsidR="08A364C5">
        <w:t>; OBJ II, kap. 2</w:t>
      </w:r>
      <w:r w:rsidRPr="00273106">
        <w:t>.4.3)</w:t>
      </w:r>
      <w:r>
        <w:t>. Albertův s</w:t>
      </w:r>
      <w:r w:rsidRPr="00273106">
        <w:t xml:space="preserve">pis </w:t>
      </w:r>
      <w:r w:rsidRPr="00273106">
        <w:rPr>
          <w:i/>
        </w:rPr>
        <w:t>De unitate intellectus</w:t>
      </w:r>
      <w:r>
        <w:t xml:space="preserve"> psaný asi roku 1256 </w:t>
      </w:r>
      <w:r w:rsidRPr="00273106">
        <w:t xml:space="preserve">představuje poslední pokus o dialog s představiteli </w:t>
      </w:r>
      <w:r w:rsidR="00D35341" w:rsidRPr="00606B13">
        <w:rPr>
          <w:i/>
          <w:szCs w:val="24"/>
        </w:rPr>
        <w:t>doctores</w:t>
      </w:r>
      <w:r w:rsidR="00D35341">
        <w:rPr>
          <w:szCs w:val="24"/>
        </w:rPr>
        <w:t xml:space="preserve"> </w:t>
      </w:r>
      <w:r w:rsidR="00D35341">
        <w:rPr>
          <w:i/>
          <w:szCs w:val="24"/>
        </w:rPr>
        <w:t>Latini</w:t>
      </w:r>
      <w:r w:rsidR="00D35341" w:rsidRPr="004D17AA">
        <w:rPr>
          <w:szCs w:val="24"/>
        </w:rPr>
        <w:t xml:space="preserve"> </w:t>
      </w:r>
      <w:r w:rsidRPr="00273106">
        <w:t>v otázce výk</w:t>
      </w:r>
      <w:r>
        <w:t>ladu intelektu a poznání (</w:t>
      </w:r>
      <w:r w:rsidR="08A364C5">
        <w:t>OBJ II, kap. 2</w:t>
      </w:r>
      <w:r>
        <w:t>.4.3</w:t>
      </w:r>
      <w:r w:rsidRPr="00273106">
        <w:t xml:space="preserve">). </w:t>
      </w:r>
      <w:r>
        <w:t xml:space="preserve">Pak tento učenec </w:t>
      </w:r>
      <w:r w:rsidRPr="00273106">
        <w:t xml:space="preserve">nad </w:t>
      </w:r>
      <w:r>
        <w:t xml:space="preserve">touto </w:t>
      </w:r>
      <w:r w:rsidRPr="00273106">
        <w:t xml:space="preserve">skupinou </w:t>
      </w:r>
      <w:r>
        <w:t>sofistů na Pařížské univerzitě již zlomil hůl a nevěřil</w:t>
      </w:r>
      <w:r w:rsidRPr="00273106">
        <w:t xml:space="preserve"> na smysluplný dialog s druhým averroismem. </w:t>
      </w:r>
      <w:r w:rsidRPr="00273106">
        <w:lastRenderedPageBreak/>
        <w:t xml:space="preserve">Tomu odpovídá i další průběh </w:t>
      </w:r>
      <w:r>
        <w:t xml:space="preserve">již otevřeného sporu </w:t>
      </w:r>
      <w:r w:rsidRPr="00273106">
        <w:t>s</w:t>
      </w:r>
      <w:r>
        <w:t xml:space="preserve">e skupinou modernistických </w:t>
      </w:r>
      <w:r w:rsidRPr="007F09FD">
        <w:rPr>
          <w:i/>
        </w:rPr>
        <w:t>Averroistae</w:t>
      </w:r>
      <w:r>
        <w:t xml:space="preserve"> po 1260, který </w:t>
      </w:r>
      <w:r w:rsidR="001A0E74">
        <w:t xml:space="preserve">popisují </w:t>
      </w:r>
      <w:r>
        <w:t>pozdní spisy Bacona (</w:t>
      </w:r>
      <w:r w:rsidR="08791162">
        <w:t>OBJ II, kap. 3</w:t>
      </w:r>
      <w:r w:rsidRPr="00273106">
        <w:t xml:space="preserve">.2). </w:t>
      </w:r>
      <w:r w:rsidR="00392319" w:rsidRPr="00392319">
        <w:t xml:space="preserve">Nová </w:t>
      </w:r>
      <w:r w:rsidR="00392319">
        <w:t xml:space="preserve">a velmi rozmanitá </w:t>
      </w:r>
      <w:r w:rsidR="00392319" w:rsidRPr="00392319">
        <w:t xml:space="preserve">skupina sofistických a učených latiníků vznikla kolem roku 1260. Pocházeli ze skupiny </w:t>
      </w:r>
      <w:r w:rsidR="00392319">
        <w:t>semi</w:t>
      </w:r>
      <w:r w:rsidR="00392319" w:rsidRPr="00392319">
        <w:t>averroistických myslitelů</w:t>
      </w:r>
      <w:r w:rsidR="00392319">
        <w:t xml:space="preserve"> z okruhu sekulárních magistrů (Henry z </w:t>
      </w:r>
      <w:proofErr w:type="gramStart"/>
      <w:r w:rsidR="00392319">
        <w:t>Gentu</w:t>
      </w:r>
      <w:proofErr w:type="gramEnd"/>
      <w:r w:rsidR="00392319">
        <w:t>)</w:t>
      </w:r>
      <w:r w:rsidR="00392319" w:rsidRPr="00392319">
        <w:t xml:space="preserve">. Připojili se k okruhu mendikantů a náboženských akademiků, kteří odmítali avicenistický neoplatonismus a dualismus substancí v člověku (Aegidius Romanus, Tomáš Akvinský). Oba posledně jmenovaní </w:t>
      </w:r>
      <w:r w:rsidR="00392319">
        <w:t>semi</w:t>
      </w:r>
      <w:r w:rsidR="00392319" w:rsidRPr="00392319">
        <w:t xml:space="preserve">averroisté tvořili součást prvního averroismu. Kritizovali modernisty, ale jako averroisté převzali učení o </w:t>
      </w:r>
      <w:r w:rsidR="00392319">
        <w:t>averroistickém Averroesovi</w:t>
      </w:r>
      <w:r w:rsidR="00392319" w:rsidRPr="00392319">
        <w:t>, kte</w:t>
      </w:r>
      <w:r w:rsidR="00392319">
        <w:t xml:space="preserve">ré zavedli Rufus a Bonaventura. </w:t>
      </w:r>
      <w:r w:rsidR="00DB2776">
        <w:t xml:space="preserve">Siger z Brabantu odsoudil jménem prvního averroismu chybný výklad CMDA podle </w:t>
      </w:r>
      <w:r>
        <w:t>Aegidi</w:t>
      </w:r>
      <w:r w:rsidR="00DB2776">
        <w:t xml:space="preserve">a </w:t>
      </w:r>
      <w:r>
        <w:t xml:space="preserve">a </w:t>
      </w:r>
      <w:r w:rsidR="00DB2776">
        <w:t>Akvinského</w:t>
      </w:r>
      <w:r>
        <w:t xml:space="preserve">. Hermeneutika dala tomuto brilantnímu aristotelikovi čestný titul </w:t>
      </w:r>
      <w:r w:rsidRPr="081132E2">
        <w:rPr>
          <w:i/>
        </w:rPr>
        <w:t>Doctor</w:t>
      </w:r>
      <w:r>
        <w:t xml:space="preserve"> </w:t>
      </w:r>
      <w:r w:rsidRPr="086B59CC">
        <w:rPr>
          <w:i/>
        </w:rPr>
        <w:t>Invidiosus</w:t>
      </w:r>
      <w:r>
        <w:rPr>
          <w:i/>
        </w:rPr>
        <w:fldChar w:fldCharType="begin"/>
      </w:r>
      <w:r>
        <w:instrText xml:space="preserve"> XE "</w:instrText>
      </w:r>
      <w:r w:rsidRPr="081132E2">
        <w:rPr>
          <w:i/>
        </w:rPr>
        <w:instrText>Doctor</w:instrText>
      </w:r>
      <w:r w:rsidRPr="08987B56">
        <w:rPr>
          <w:i/>
        </w:rPr>
        <w:instrText xml:space="preserve"> Invidiosus</w:instrText>
      </w:r>
      <w:r>
        <w:instrText xml:space="preserve">" </w:instrText>
      </w:r>
      <w:r>
        <w:rPr>
          <w:i/>
        </w:rPr>
        <w:fldChar w:fldCharType="end"/>
      </w:r>
      <w:r>
        <w:t xml:space="preserve"> </w:t>
      </w:r>
      <w:r w:rsidR="00883189">
        <w:t xml:space="preserve">(Dante) </w:t>
      </w:r>
      <w:r>
        <w:t xml:space="preserve">a vrátila mu titul </w:t>
      </w:r>
      <w:r>
        <w:rPr>
          <w:i/>
        </w:rPr>
        <w:t>Exposit</w:t>
      </w:r>
      <w:r w:rsidRPr="086B59CC">
        <w:rPr>
          <w:i/>
        </w:rPr>
        <w:t>or Novus</w:t>
      </w:r>
      <w:r>
        <w:rPr>
          <w:i/>
        </w:rPr>
        <w:fldChar w:fldCharType="begin"/>
      </w:r>
      <w:r>
        <w:instrText xml:space="preserve"> XE "</w:instrText>
      </w:r>
      <w:r w:rsidRPr="083E6058">
        <w:rPr>
          <w:i/>
        </w:rPr>
        <w:instrText>Expositor Novus</w:instrText>
      </w:r>
      <w:r>
        <w:instrText xml:space="preserve">" </w:instrText>
      </w:r>
      <w:r>
        <w:rPr>
          <w:i/>
        </w:rPr>
        <w:fldChar w:fldCharType="end"/>
      </w:r>
      <w:r>
        <w:t xml:space="preserve"> získaný v akademické</w:t>
      </w:r>
      <w:r w:rsidR="085B3264">
        <w:t>m klání proti Akvinskému (kap. 4</w:t>
      </w:r>
      <w:r>
        <w:t xml:space="preserve">.4.3). Tento titul Sigerovi upřela moderna po perfektně provedeném </w:t>
      </w:r>
      <w:r w:rsidRPr="086B59CC">
        <w:rPr>
          <w:i/>
        </w:rPr>
        <w:t>damnatio memoriae</w:t>
      </w:r>
      <w:r>
        <w:rPr>
          <w:i/>
        </w:rPr>
        <w:fldChar w:fldCharType="begin"/>
      </w:r>
      <w:r>
        <w:instrText xml:space="preserve"> XE "</w:instrText>
      </w:r>
      <w:r w:rsidRPr="08A638C7">
        <w:rPr>
          <w:i/>
        </w:rPr>
        <w:instrText>damnatio memoriae</w:instrText>
      </w:r>
      <w:r>
        <w:instrText xml:space="preserve">" </w:instrText>
      </w:r>
      <w:r>
        <w:rPr>
          <w:i/>
        </w:rPr>
        <w:fldChar w:fldCharType="end"/>
      </w:r>
      <w:r>
        <w:t>. Předchozí kapitola ukázala</w:t>
      </w:r>
      <w:r w:rsidRPr="00273106">
        <w:t xml:space="preserve">, že Bonaventurův projekt </w:t>
      </w:r>
      <w:r>
        <w:t xml:space="preserve">ontoteologicky </w:t>
      </w:r>
      <w:r w:rsidRPr="00273106">
        <w:t xml:space="preserve">pojaté metafyziky je spojen s biblickou teologií a s kristologickými dogmaty. </w:t>
      </w:r>
      <w:r w:rsidR="00010E22" w:rsidRPr="00010E22">
        <w:t xml:space="preserve">To je další důvod, proč Aristotelova a Averroova metafyzika patří podle tohoto církevního doktora na smetiště dějin. Oba navrhli světský způsob </w:t>
      </w:r>
      <w:r w:rsidR="00010E22">
        <w:t xml:space="preserve">porozumění </w:t>
      </w:r>
      <w:r w:rsidR="00010E22" w:rsidRPr="00010E22">
        <w:t xml:space="preserve">a oddělili teologii od filosofie. </w:t>
      </w:r>
      <w:r w:rsidR="00A55B72">
        <w:t>Citát ukazuje nauku duši postavenou</w:t>
      </w:r>
      <w:r>
        <w:t xml:space="preserve"> v jasném rozporu s jednotou osoby</w:t>
      </w:r>
      <w:r w:rsidR="00A55B72">
        <w:t xml:space="preserve">. To </w:t>
      </w:r>
      <w:r>
        <w:t xml:space="preserve">ukazuje, že </w:t>
      </w:r>
      <w:r w:rsidRPr="00273106">
        <w:t xml:space="preserve">Bonaventura patří do skupiny odmítnutých </w:t>
      </w:r>
      <w:r w:rsidR="00A55B72" w:rsidRPr="009E76A3">
        <w:rPr>
          <w:i/>
          <w:szCs w:val="24"/>
          <w:lang w:val="de-DE"/>
        </w:rPr>
        <w:t>sophistae Latini</w:t>
      </w:r>
      <w:r w:rsidRPr="00273106">
        <w:t xml:space="preserve">. </w:t>
      </w:r>
      <w:r>
        <w:t xml:space="preserve">Pařížský františkán </w:t>
      </w:r>
      <w:r w:rsidRPr="00273106">
        <w:t xml:space="preserve">se přihlásil k tradici substanciální definice duše, kterou na Oxfordu kolem 1240 prosazoval Adam z Buckfieldu a Rufus </w:t>
      </w:r>
      <w:r>
        <w:t xml:space="preserve">z Cornwallu </w:t>
      </w:r>
      <w:r w:rsidRPr="00273106">
        <w:t>(</w:t>
      </w:r>
      <w:r w:rsidR="08E74646">
        <w:t>OBJ II, kap. 3</w:t>
      </w:r>
      <w:r w:rsidRPr="00273106">
        <w:t>.2).</w:t>
      </w:r>
      <w:r>
        <w:t xml:space="preserve"> Podle univerzálního hylemorfismu</w:t>
      </w:r>
      <w:r>
        <w:fldChar w:fldCharType="begin"/>
      </w:r>
      <w:r>
        <w:instrText xml:space="preserve"> XE "</w:instrText>
      </w:r>
      <w:r w:rsidRPr="00423560">
        <w:instrText>univerzální hylemorfismus</w:instrText>
      </w:r>
      <w:r>
        <w:instrText xml:space="preserve">" </w:instrText>
      </w:r>
      <w:r>
        <w:fldChar w:fldCharType="end"/>
      </w:r>
      <w:r>
        <w:t xml:space="preserve"> prosazovaného Bonaventurou musí být lidská duše jako substance</w:t>
      </w:r>
      <w:r>
        <w:fldChar w:fldCharType="begin"/>
      </w:r>
      <w:r>
        <w:instrText xml:space="preserve"> XE "osoba:pluralita substancí" </w:instrText>
      </w:r>
      <w:r>
        <w:fldChar w:fldCharType="end"/>
      </w:r>
      <w:r>
        <w:t xml:space="preserve"> materiální povahy, protože je kompozicí esence a existence.</w:t>
      </w:r>
    </w:p>
    <w:p w:rsidR="08163013" w:rsidRPr="00584494" w:rsidRDefault="08163013" w:rsidP="08163013">
      <w:pPr>
        <w:pStyle w:val="Citace"/>
        <w:rPr>
          <w:noProof/>
          <w:lang w:val="cs-CZ"/>
        </w:rPr>
      </w:pPr>
      <w:r>
        <w:rPr>
          <w:noProof/>
          <w:lang w:val="cs-CZ"/>
        </w:rPr>
        <w:t>„Rozumová duše, protože je substancí (</w:t>
      </w:r>
      <w:r w:rsidRPr="007F4325">
        <w:rPr>
          <w:i/>
          <w:noProof/>
          <w:lang w:val="cs-CZ"/>
        </w:rPr>
        <w:t>hoc aliquid</w:t>
      </w:r>
      <w:r>
        <w:rPr>
          <w:noProof/>
          <w:lang w:val="cs-CZ"/>
        </w:rPr>
        <w:t>), je jako taková zrozena k tomu, aby jednala a zakoušela, hýbala a byla pohybována (</w:t>
      </w:r>
      <w:r w:rsidRPr="007F4325">
        <w:rPr>
          <w:i/>
          <w:noProof/>
          <w:lang w:val="cs-CZ"/>
        </w:rPr>
        <w:t>per se nata subsistere et agere et pati</w:t>
      </w:r>
      <w:r>
        <w:rPr>
          <w:noProof/>
          <w:lang w:val="cs-CZ"/>
        </w:rPr>
        <w:t>). Má sama v sobě základ své existence a materiální princip (</w:t>
      </w:r>
      <w:r w:rsidRPr="00C346F7">
        <w:rPr>
          <w:i/>
          <w:noProof/>
          <w:lang w:val="cs-CZ"/>
        </w:rPr>
        <w:t>habet intra se fundamentum suae existentiae et principium materiale</w:t>
      </w:r>
      <w:r>
        <w:rPr>
          <w:noProof/>
          <w:lang w:val="cs-CZ"/>
        </w:rPr>
        <w:t>), od něho má akt existence (</w:t>
      </w:r>
      <w:r w:rsidRPr="00644A0B">
        <w:rPr>
          <w:i/>
          <w:noProof/>
          <w:lang w:val="cs-CZ"/>
        </w:rPr>
        <w:t>a quo habet existere</w:t>
      </w:r>
      <w:r>
        <w:rPr>
          <w:noProof/>
          <w:lang w:val="cs-CZ"/>
        </w:rPr>
        <w:t>), a formální princip (</w:t>
      </w:r>
      <w:r w:rsidRPr="005F2F3F">
        <w:rPr>
          <w:i/>
          <w:noProof/>
          <w:lang w:val="cs-CZ"/>
        </w:rPr>
        <w:t>et formale</w:t>
      </w:r>
      <w:r>
        <w:rPr>
          <w:noProof/>
          <w:lang w:val="cs-CZ"/>
        </w:rPr>
        <w:t>), od něhož má bytí (</w:t>
      </w:r>
      <w:r w:rsidRPr="00644A0B">
        <w:rPr>
          <w:i/>
          <w:noProof/>
          <w:lang w:val="cs-CZ"/>
        </w:rPr>
        <w:t>a quo habet esse</w:t>
      </w:r>
      <w:r>
        <w:rPr>
          <w:noProof/>
          <w:lang w:val="cs-CZ"/>
        </w:rPr>
        <w:t>). O zvířeti toto nelze tvrdit, protože je založeno tělesně.“ </w:t>
      </w:r>
      <w:r>
        <w:rPr>
          <w:rStyle w:val="Znakapoznpodarou"/>
        </w:rPr>
        <w:footnoteReference w:id="43"/>
      </w:r>
    </w:p>
    <w:p w:rsidR="08163013" w:rsidRPr="00273106" w:rsidRDefault="08163013" w:rsidP="08163013">
      <w:r w:rsidRPr="00273106">
        <w:lastRenderedPageBreak/>
        <w:t>Lidská duše je definována na základě Boethiovy</w:t>
      </w:r>
      <w:r>
        <w:fldChar w:fldCharType="begin"/>
      </w:r>
      <w:r>
        <w:instrText xml:space="preserve"> XE "</w:instrText>
      </w:r>
      <w:r w:rsidRPr="00DB7E6F">
        <w:instrText>Boethius, A</w:instrText>
      </w:r>
      <w:r>
        <w:instrText xml:space="preserve">nicius" </w:instrText>
      </w:r>
      <w:r>
        <w:fldChar w:fldCharType="end"/>
      </w:r>
      <w:r w:rsidRPr="00273106">
        <w:t xml:space="preserve"> diference mezi esencí a existencí (</w:t>
      </w:r>
      <w:r w:rsidRPr="00273106">
        <w:rPr>
          <w:i/>
        </w:rPr>
        <w:t>quo est</w:t>
      </w:r>
      <w:r>
        <w:rPr>
          <w:i/>
        </w:rPr>
        <w:fldChar w:fldCharType="begin"/>
      </w:r>
      <w:r>
        <w:instrText xml:space="preserve"> XE "</w:instrText>
      </w:r>
      <w:r w:rsidRPr="003C4F2E">
        <w:rPr>
          <w:i/>
        </w:rPr>
        <w:instrText>quo est</w:instrText>
      </w:r>
      <w:r>
        <w:instrText xml:space="preserve">" </w:instrText>
      </w:r>
      <w:r>
        <w:rPr>
          <w:i/>
        </w:rPr>
        <w:fldChar w:fldCharType="end"/>
      </w:r>
      <w:r w:rsidRPr="00273106">
        <w:rPr>
          <w:i/>
        </w:rPr>
        <w:t xml:space="preserve"> et quod est</w:t>
      </w:r>
      <w:r w:rsidRPr="00273106">
        <w:t xml:space="preserve">). Reálná subsistence této individuální </w:t>
      </w:r>
      <w:r>
        <w:t xml:space="preserve">první </w:t>
      </w:r>
      <w:r w:rsidRPr="00273106">
        <w:t>substance (</w:t>
      </w:r>
      <w:r w:rsidRPr="00273106">
        <w:rPr>
          <w:i/>
        </w:rPr>
        <w:t>hoc aliquid</w:t>
      </w:r>
      <w:r w:rsidRPr="00273106">
        <w:t xml:space="preserve">) </w:t>
      </w:r>
      <w:r>
        <w:t xml:space="preserve">obsahuje </w:t>
      </w:r>
      <w:r w:rsidRPr="00273106">
        <w:t xml:space="preserve">duši člověka ve smyslu </w:t>
      </w:r>
      <w:r>
        <w:t xml:space="preserve">automnomního </w:t>
      </w:r>
      <w:r w:rsidRPr="00273106">
        <w:t>aktu existence</w:t>
      </w:r>
      <w:r>
        <w:t xml:space="preserve"> v těle (</w:t>
      </w:r>
      <w:r w:rsidRPr="00DA151D">
        <w:rPr>
          <w:i/>
        </w:rPr>
        <w:t>principium materiale, a quo habet existere</w:t>
      </w:r>
      <w:r>
        <w:t>). Duše je sama o sobě hylemorfická substance a forma schopná věčné existence (</w:t>
      </w:r>
      <w:r w:rsidRPr="00644A0B">
        <w:rPr>
          <w:i/>
        </w:rPr>
        <w:t>a quo habet esse</w:t>
      </w:r>
      <w:r>
        <w:t xml:space="preserve">). Toto bytí duše jako autonomní hypostázované </w:t>
      </w:r>
      <w:r w:rsidR="00096390">
        <w:t>„</w:t>
      </w:r>
      <w:proofErr w:type="gramStart"/>
      <w:r w:rsidR="00096390">
        <w:t>formy</w:t>
      </w:r>
      <w:proofErr w:type="gramEnd"/>
      <w:r w:rsidR="00096390">
        <w:t>–</w:t>
      </w:r>
      <w:proofErr w:type="gramStart"/>
      <w:r>
        <w:t>substance</w:t>
      </w:r>
      <w:proofErr w:type="gramEnd"/>
      <w:r w:rsidR="00096390">
        <w:t>“</w:t>
      </w:r>
      <w:r>
        <w:t xml:space="preserve"> ji odděluje od zvířete. </w:t>
      </w:r>
      <w:r w:rsidRPr="00273106">
        <w:t xml:space="preserve">Albert toto </w:t>
      </w:r>
      <w:r>
        <w:t xml:space="preserve">sofistické </w:t>
      </w:r>
      <w:r w:rsidRPr="00273106">
        <w:t xml:space="preserve">odvolání na Boethiovu definici substance zásadně odmítá pro definici jak duše, tak samozřejmě i </w:t>
      </w:r>
      <w:r>
        <w:t>pro definici intelektu. V</w:t>
      </w:r>
      <w:r w:rsidRPr="00273106">
        <w:t xml:space="preserve">iz </w:t>
      </w:r>
      <w:r>
        <w:t xml:space="preserve">citovanou část </w:t>
      </w:r>
      <w:r w:rsidRPr="00273106">
        <w:t>jeho komentáře (</w:t>
      </w:r>
      <w:r w:rsidRPr="00273106">
        <w:rPr>
          <w:i/>
        </w:rPr>
        <w:t>dicunt Boetium dicere, quod in omni quod est circa primum, est hoc et hoc</w:t>
      </w:r>
      <w:r>
        <w:rPr>
          <w:i/>
        </w:rPr>
        <w:t xml:space="preserve">; </w:t>
      </w:r>
      <w:r w:rsidR="08E74646">
        <w:t>OBJ II, kap. 2</w:t>
      </w:r>
      <w:r w:rsidRPr="009D0D34">
        <w:t>.4.3</w:t>
      </w:r>
      <w:r w:rsidRPr="00273106">
        <w:t xml:space="preserve">). Substanční definicí duše se Bonaventura přidal ke škole druhého averroismu vládnoucí na Oxfordu, protože odmítl Avicennovu definici duše jako </w:t>
      </w:r>
      <w:r>
        <w:t xml:space="preserve">pouhé </w:t>
      </w:r>
      <w:r w:rsidRPr="00273106">
        <w:t>formy</w:t>
      </w:r>
      <w:r>
        <w:t xml:space="preserve"> a změnil ji v modu univerzálního hylemorfismu na samostatnou substanci</w:t>
      </w:r>
      <w:r w:rsidRPr="00273106">
        <w:t xml:space="preserve">. </w:t>
      </w:r>
      <w:r>
        <w:t xml:space="preserve">Nyní je jasné, koho napadl Albert v probíhající hádce prvního averroismu s modernistickými mendikanty. </w:t>
      </w:r>
      <w:r w:rsidRPr="00273106">
        <w:t xml:space="preserve">Bonaventura </w:t>
      </w:r>
      <w:r>
        <w:t xml:space="preserve">navíc </w:t>
      </w:r>
      <w:r w:rsidRPr="00273106">
        <w:t xml:space="preserve">považuje určení subsistence duše podle Buckfielda a Rufuse za nedostatečné a přidává k substanční definici duše další určení podle </w:t>
      </w:r>
      <w:r w:rsidRPr="00273106">
        <w:rPr>
          <w:i/>
        </w:rPr>
        <w:t>materia spiritualis</w:t>
      </w:r>
      <w:r>
        <w:rPr>
          <w:i/>
        </w:rPr>
        <w:fldChar w:fldCharType="begin"/>
      </w:r>
      <w:r>
        <w:instrText xml:space="preserve"> XE "</w:instrText>
      </w:r>
      <w:r w:rsidRPr="08A516BF">
        <w:instrText>materie</w:instrText>
      </w:r>
      <w:r>
        <w:rPr>
          <w:i/>
        </w:rPr>
        <w:instrText xml:space="preserve">:materia </w:instrText>
      </w:r>
      <w:r w:rsidRPr="00612581">
        <w:rPr>
          <w:i/>
        </w:rPr>
        <w:instrText>spiritualis</w:instrText>
      </w:r>
      <w:r>
        <w:instrText xml:space="preserve">" </w:instrText>
      </w:r>
      <w:r>
        <w:rPr>
          <w:i/>
        </w:rPr>
        <w:fldChar w:fldCharType="end"/>
      </w:r>
      <w:r w:rsidRPr="00273106">
        <w:t>. Možná je vůbec prvním autorem druhého averroismu, který šel tak daleko v objektivizaci duše a intelektu. Následující citát u</w:t>
      </w:r>
      <w:r>
        <w:t>kazuje jeden ze zdrojů sporu o averroismus</w:t>
      </w:r>
      <w:r w:rsidRPr="00273106">
        <w:t>. Duše a intelekt se staly Rufusovým objektivním jsoucnem</w:t>
      </w:r>
      <w:r>
        <w:t xml:space="preserve"> a </w:t>
      </w:r>
      <w:r w:rsidRPr="00273106">
        <w:t>substancí</w:t>
      </w:r>
      <w:r>
        <w:t xml:space="preserve"> třetího druhu</w:t>
      </w:r>
      <w:r w:rsidRPr="00273106">
        <w:t xml:space="preserve">. </w:t>
      </w:r>
    </w:p>
    <w:p w:rsidR="08163013" w:rsidRPr="00ED2336" w:rsidRDefault="08163013" w:rsidP="08163013">
      <w:pPr>
        <w:pStyle w:val="Citace"/>
        <w:rPr>
          <w:noProof/>
          <w:lang w:val="cs-CZ"/>
        </w:rPr>
      </w:pPr>
      <w:r w:rsidRPr="00273106">
        <w:rPr>
          <w:noProof/>
        </w:rPr>
        <w:t>„</w:t>
      </w:r>
      <w:r>
        <w:rPr>
          <w:noProof/>
          <w:lang w:val="cs-CZ"/>
        </w:rPr>
        <w:t>Princip, od něhož je určena existence každého stvoření jako takového (</w:t>
      </w:r>
      <w:r w:rsidRPr="00ED2336">
        <w:rPr>
          <w:i/>
          <w:noProof/>
        </w:rPr>
        <w:t>fixa existentia creaturae in se</w:t>
      </w:r>
      <w:r>
        <w:rPr>
          <w:noProof/>
          <w:lang w:val="cs-CZ"/>
        </w:rPr>
        <w:t>), je dán materiálně. Proto je nutno připustit, že i lidská duše je složena z materie (</w:t>
      </w:r>
      <w:r w:rsidRPr="00D328C4">
        <w:rPr>
          <w:i/>
          <w:noProof/>
        </w:rPr>
        <w:t>animam humanam materiam habere</w:t>
      </w:r>
      <w:r>
        <w:rPr>
          <w:noProof/>
          <w:lang w:val="cs-CZ"/>
        </w:rPr>
        <w:t>). Ale tato materie stojí nad bytím materie dané rozsažností, podléhající zbavenosti a porušitelnosti. Proto se jedná o spirituální materii (</w:t>
      </w:r>
      <w:r w:rsidRPr="00D328C4">
        <w:rPr>
          <w:i/>
          <w:noProof/>
        </w:rPr>
        <w:t>dicitur materia spiritualis</w:t>
      </w:r>
      <w:r>
        <w:rPr>
          <w:noProof/>
          <w:lang w:val="cs-CZ"/>
        </w:rPr>
        <w:t xml:space="preserve">).“ </w:t>
      </w:r>
      <w:r>
        <w:rPr>
          <w:rStyle w:val="Znakapoznpodarou"/>
        </w:rPr>
        <w:footnoteReference w:id="44"/>
      </w:r>
    </w:p>
    <w:p w:rsidR="00EB4B76" w:rsidRDefault="08163013" w:rsidP="08163013">
      <w:r>
        <w:t>Forma musí přecházet</w:t>
      </w:r>
      <w:r w:rsidRPr="00273106">
        <w:t xml:space="preserve"> do materie (viz Rufusovo </w:t>
      </w:r>
      <w:r w:rsidRPr="00273106">
        <w:rPr>
          <w:i/>
        </w:rPr>
        <w:t>exsistere</w:t>
      </w:r>
      <w:r>
        <w:rPr>
          <w:i/>
        </w:rPr>
        <w:fldChar w:fldCharType="begin"/>
      </w:r>
      <w:r>
        <w:instrText xml:space="preserve"> XE "</w:instrText>
      </w:r>
      <w:r w:rsidRPr="008E07A9">
        <w:rPr>
          <w:i/>
        </w:rPr>
        <w:instrText>exsistere</w:instrText>
      </w:r>
      <w:r>
        <w:instrText xml:space="preserve">" </w:instrText>
      </w:r>
      <w:r>
        <w:rPr>
          <w:i/>
        </w:rPr>
        <w:fldChar w:fldCharType="end"/>
      </w:r>
      <w:r w:rsidRPr="00273106">
        <w:t>), protože jen tak je zajištěna stabilita existence (</w:t>
      </w:r>
      <w:r w:rsidRPr="00273106">
        <w:rPr>
          <w:i/>
        </w:rPr>
        <w:t>fixa existentia</w:t>
      </w:r>
      <w:r w:rsidRPr="00273106">
        <w:t xml:space="preserve">). </w:t>
      </w:r>
      <w:r w:rsidR="00AE7FD9">
        <w:t>Objektivně daná</w:t>
      </w:r>
      <w:r>
        <w:t xml:space="preserve"> existence</w:t>
      </w:r>
      <w:r w:rsidR="00C279AF">
        <w:t xml:space="preserve"> třetího druhu odpovídá Rufusovu</w:t>
      </w:r>
      <w:r>
        <w:t xml:space="preserve"> </w:t>
      </w:r>
      <w:r w:rsidR="00757415">
        <w:t>„</w:t>
      </w:r>
      <w:r w:rsidR="00962190">
        <w:rPr>
          <w:i/>
        </w:rPr>
        <w:t>species</w:t>
      </w:r>
      <w:r>
        <w:rPr>
          <w:i/>
        </w:rPr>
        <w:t xml:space="preserve"> obiecti exsistentis</w:t>
      </w:r>
      <w:r w:rsidR="00757415">
        <w:t>“</w:t>
      </w:r>
      <w:r>
        <w:rPr>
          <w:i/>
        </w:rPr>
        <w:fldChar w:fldCharType="begin"/>
      </w:r>
      <w:r>
        <w:instrText xml:space="preserve"> XE "</w:instrText>
      </w:r>
      <w:r>
        <w:rPr>
          <w:i/>
        </w:rPr>
        <w:instrText>species obiecti exsistentis</w:instrText>
      </w:r>
      <w:r>
        <w:instrText xml:space="preserve">" </w:instrText>
      </w:r>
      <w:r>
        <w:rPr>
          <w:i/>
        </w:rPr>
        <w:fldChar w:fldCharType="end"/>
      </w:r>
      <w:r>
        <w:t xml:space="preserve"> (</w:t>
      </w:r>
      <w:r w:rsidR="08E74646">
        <w:t>OBJ II, kap. 3</w:t>
      </w:r>
      <w:r>
        <w:t xml:space="preserve">.3.4). </w:t>
      </w:r>
      <w:r w:rsidRPr="00273106">
        <w:t>Spirituální materie (</w:t>
      </w:r>
      <w:r w:rsidRPr="00273106">
        <w:rPr>
          <w:i/>
        </w:rPr>
        <w:t>materia spiritualis</w:t>
      </w:r>
      <w:r w:rsidRPr="00273106">
        <w:t xml:space="preserve">) </w:t>
      </w:r>
      <w:r w:rsidR="00150CA9">
        <w:t xml:space="preserve">zakládá </w:t>
      </w:r>
      <w:r w:rsidRPr="00273106">
        <w:t>subsistenci lidské duše jako nemateriálního substrátu</w:t>
      </w:r>
      <w:r w:rsidR="00150CA9">
        <w:t xml:space="preserve">, čili </w:t>
      </w:r>
      <w:r>
        <w:t>jako „exsis</w:t>
      </w:r>
      <w:r w:rsidRPr="00273106">
        <w:t>tující</w:t>
      </w:r>
      <w:r>
        <w:t>“</w:t>
      </w:r>
      <w:r w:rsidR="00150CA9">
        <w:t xml:space="preserve"> substanci</w:t>
      </w:r>
      <w:r>
        <w:fldChar w:fldCharType="begin"/>
      </w:r>
      <w:r>
        <w:instrText xml:space="preserve"> XE "</w:instrText>
      </w:r>
      <w:r w:rsidRPr="00DE2A32">
        <w:instrText>substance</w:instrText>
      </w:r>
      <w:r>
        <w:instrText xml:space="preserve">:duše" </w:instrText>
      </w:r>
      <w:r>
        <w:fldChar w:fldCharType="end"/>
      </w:r>
      <w:r w:rsidRPr="00273106">
        <w:t xml:space="preserve">. </w:t>
      </w:r>
      <w:r>
        <w:t>Učení o plurality substancí v člověku se převedlo z Oxfordu do Paříže. M</w:t>
      </w:r>
      <w:r w:rsidRPr="00273106">
        <w:t xml:space="preserve">aterie daná mimo </w:t>
      </w:r>
      <w:r w:rsidR="00F16CA0">
        <w:t xml:space="preserve">tělesnou </w:t>
      </w:r>
      <w:r w:rsidRPr="00273106">
        <w:lastRenderedPageBreak/>
        <w:t>rozsažnost (</w:t>
      </w:r>
      <w:r w:rsidRPr="00273106">
        <w:rPr>
          <w:i/>
        </w:rPr>
        <w:t>supra esse extensionis</w:t>
      </w:r>
      <w:r>
        <w:t>) objektivně fixuje</w:t>
      </w:r>
      <w:r w:rsidRPr="00273106">
        <w:t xml:space="preserve"> existenci</w:t>
      </w:r>
      <w:r>
        <w:t>, což ukázal spor Alberta s učenými Latiníky o</w:t>
      </w:r>
      <w:r w:rsidR="00555ACA">
        <w:t>hledně</w:t>
      </w:r>
      <w:r>
        <w:t xml:space="preserve"> </w:t>
      </w:r>
      <w:r w:rsidR="00F16CA0">
        <w:t>„</w:t>
      </w:r>
      <w:r w:rsidRPr="00273106">
        <w:rPr>
          <w:i/>
        </w:rPr>
        <w:t>esse ratum</w:t>
      </w:r>
      <w:r w:rsidR="00F16CA0">
        <w:t>“</w:t>
      </w:r>
      <w:r>
        <w:rPr>
          <w:i/>
        </w:rPr>
        <w:fldChar w:fldCharType="begin"/>
      </w:r>
      <w:r>
        <w:instrText xml:space="preserve"> XE "</w:instrText>
      </w:r>
      <w:r w:rsidRPr="00AD770D">
        <w:rPr>
          <w:i/>
        </w:rPr>
        <w:instrText>esse ratum</w:instrText>
      </w:r>
      <w:r>
        <w:instrText xml:space="preserve">" </w:instrText>
      </w:r>
      <w:r>
        <w:rPr>
          <w:i/>
        </w:rPr>
        <w:fldChar w:fldCharType="end"/>
      </w:r>
      <w:r w:rsidRPr="00273106">
        <w:t xml:space="preserve"> (</w:t>
      </w:r>
      <w:r w:rsidR="08E74646">
        <w:t>OBJ II, kap. 2</w:t>
      </w:r>
      <w:r w:rsidRPr="00273106">
        <w:t xml:space="preserve">.4.3). </w:t>
      </w:r>
      <w:r>
        <w:t>Tím vznikly v člověku tři substance (hylemorfická, duše a intelekt), což Albert v citovaných spisech psaných okolo roku 12</w:t>
      </w:r>
      <w:r w:rsidR="00EB4B76">
        <w:t>55 považuje za totální nesmysl.</w:t>
      </w:r>
    </w:p>
    <w:p w:rsidR="08163013" w:rsidRPr="00273106" w:rsidRDefault="08163013" w:rsidP="00EB4B76">
      <w:pPr>
        <w:ind w:firstLine="397"/>
      </w:pPr>
      <w:r w:rsidRPr="00273106">
        <w:t xml:space="preserve">Bonaventurova hylemorfická teorie duše obsahuje </w:t>
      </w:r>
      <w:r>
        <w:t>všechny základní znaky</w:t>
      </w:r>
      <w:r w:rsidR="00831E0A">
        <w:t xml:space="preserve">, </w:t>
      </w:r>
      <w:r w:rsidR="00BD763C">
        <w:t>které kritizovaly</w:t>
      </w:r>
      <w:r>
        <w:t xml:space="preserve"> </w:t>
      </w:r>
      <w:r w:rsidRPr="00273106">
        <w:t>Al</w:t>
      </w:r>
      <w:r w:rsidR="00831E0A">
        <w:t>bertovy</w:t>
      </w:r>
      <w:r>
        <w:t xml:space="preserve"> spisy proti averroistům. Duše je individuální substancí, je definována skrze sofisticky užitou </w:t>
      </w:r>
      <w:r w:rsidRPr="00273106">
        <w:t>Boethiovu diferenci</w:t>
      </w:r>
      <w:r>
        <w:t xml:space="preserve"> a tato hylemorfická pseudo-substance obsahuje na intelektuální úrovni také </w:t>
      </w:r>
      <w:r w:rsidRPr="00273106">
        <w:t xml:space="preserve">spirituální materii. Proto musí Bonaventura změnit </w:t>
      </w:r>
      <w:r>
        <w:t xml:space="preserve">nejen </w:t>
      </w:r>
      <w:r w:rsidRPr="00273106">
        <w:t>Aristotelovu</w:t>
      </w:r>
      <w:r>
        <w:t>,</w:t>
      </w:r>
      <w:r w:rsidRPr="00273106">
        <w:t xml:space="preserve"> </w:t>
      </w:r>
      <w:r>
        <w:t xml:space="preserve">a dokonce i Avicennovu </w:t>
      </w:r>
      <w:r w:rsidRPr="00273106">
        <w:t xml:space="preserve">tezi, že lidská intelektuální duše je nemateriální forma těla. </w:t>
      </w:r>
      <w:r>
        <w:t xml:space="preserve">Následující citát ukazuje základní omyl moderny vytvářející averroistické simulákrum </w:t>
      </w:r>
      <w:r w:rsidRPr="080E6B09">
        <w:rPr>
          <w:i/>
        </w:rPr>
        <w:t>intellectus possibilis</w:t>
      </w:r>
      <w:r>
        <w:t xml:space="preserve">. </w:t>
      </w:r>
      <w:r w:rsidRPr="00273106">
        <w:t>Základní vlastnosti intelektu jako neporušitelnost a oddělenost od materie (</w:t>
      </w:r>
      <w:r w:rsidRPr="00273106">
        <w:rPr>
          <w:i/>
        </w:rPr>
        <w:t>intellectus est impassibilis et impermixtus</w:t>
      </w:r>
      <w:r w:rsidRPr="00273106">
        <w:t xml:space="preserve">) je třeba upravit vzhledem k nově zavedené  </w:t>
      </w:r>
      <w:r w:rsidRPr="00273106">
        <w:rPr>
          <w:i/>
        </w:rPr>
        <w:t>materia spiritualis</w:t>
      </w:r>
      <w:r w:rsidRPr="00273106">
        <w:t>.</w:t>
      </w:r>
    </w:p>
    <w:p w:rsidR="08163013" w:rsidRPr="00576CFC" w:rsidRDefault="08163013" w:rsidP="08163013">
      <w:pPr>
        <w:pStyle w:val="Citace"/>
        <w:rPr>
          <w:noProof/>
          <w:lang w:val="cs-CZ"/>
        </w:rPr>
      </w:pPr>
      <w:r w:rsidRPr="00273106">
        <w:rPr>
          <w:noProof/>
          <w:lang w:val="cs-CZ"/>
        </w:rPr>
        <w:t>„</w:t>
      </w:r>
      <w:r>
        <w:rPr>
          <w:noProof/>
          <w:lang w:val="cs-CZ"/>
        </w:rPr>
        <w:t>Těm, kteří namítají, že intekt je nemateriální a oddělený od smyslů, je třeba říci, že Filosof odnímá fyzickou materii z intelektu ve smyslu privace a možnosti změny v jiné jsoucno. Ale neodnímá intelektu univerzální určení materie (</w:t>
      </w:r>
      <w:r w:rsidRPr="008F05A5">
        <w:rPr>
          <w:i/>
          <w:noProof/>
        </w:rPr>
        <w:t>non removet materiam universaliter</w:t>
      </w:r>
      <w:r>
        <w:rPr>
          <w:noProof/>
          <w:lang w:val="cs-CZ"/>
        </w:rPr>
        <w:t>). Ale naopak tvrdí, že intelekt má podstatu, skrze níž aktivně tvoří a pasivně přijímá (</w:t>
      </w:r>
      <w:r w:rsidRPr="00576CFC">
        <w:rPr>
          <w:i/>
          <w:noProof/>
          <w:lang w:val="cs-CZ"/>
        </w:rPr>
        <w:t>natura, qua est facere, et qua est fieri</w:t>
      </w:r>
      <w:r>
        <w:rPr>
          <w:noProof/>
          <w:lang w:val="cs-CZ"/>
        </w:rPr>
        <w:t xml:space="preserve">).“ </w:t>
      </w:r>
      <w:r>
        <w:rPr>
          <w:rStyle w:val="Znakapoznpodarou"/>
        </w:rPr>
        <w:footnoteReference w:id="45"/>
      </w:r>
    </w:p>
    <w:p w:rsidR="0004594C" w:rsidRDefault="08163013" w:rsidP="08163013">
      <w:r w:rsidRPr="00273106">
        <w:t>Citát chápe nemateriálnost intelektu v rámci substance, tedy jako nepřítomnost změny dané na materiálním substrátu (</w:t>
      </w:r>
      <w:r w:rsidRPr="00273106">
        <w:rPr>
          <w:i/>
        </w:rPr>
        <w:t>sub privatione et sub potentia ad transmutationem</w:t>
      </w:r>
      <w:r w:rsidRPr="00273106">
        <w:t xml:space="preserve">). Bonaventura </w:t>
      </w:r>
      <w:r>
        <w:t xml:space="preserve">vyznávající univerzální hylemorfismus </w:t>
      </w:r>
      <w:r w:rsidRPr="00273106">
        <w:t xml:space="preserve">musí chránit materiální povahu </w:t>
      </w:r>
      <w:r>
        <w:t xml:space="preserve">duše a </w:t>
      </w:r>
      <w:r w:rsidRPr="00273106">
        <w:t>intelektu jako nezávisle existující substance. V rozporu s aristotelismem další věta dodává, že prý i podle Aristotela platí teze o univerzálně dané materii</w:t>
      </w:r>
      <w:r>
        <w:t xml:space="preserve"> </w:t>
      </w:r>
      <w:r w:rsidRPr="00273106">
        <w:t>(</w:t>
      </w:r>
      <w:proofErr w:type="gramStart"/>
      <w:r w:rsidRPr="00273106">
        <w:rPr>
          <w:i/>
        </w:rPr>
        <w:t>Philosophus... non</w:t>
      </w:r>
      <w:proofErr w:type="gramEnd"/>
      <w:r w:rsidRPr="00273106">
        <w:rPr>
          <w:i/>
        </w:rPr>
        <w:t xml:space="preserve"> removet</w:t>
      </w:r>
      <w:r w:rsidRPr="08DB6D6E">
        <w:rPr>
          <w:i/>
        </w:rPr>
        <w:t xml:space="preserve"> </w:t>
      </w:r>
      <w:r w:rsidRPr="00273106">
        <w:rPr>
          <w:i/>
        </w:rPr>
        <w:t>materiam universaliter</w:t>
      </w:r>
      <w:r>
        <w:t>)</w:t>
      </w:r>
      <w:r w:rsidRPr="00273106">
        <w:t xml:space="preserve">. </w:t>
      </w:r>
      <w:r>
        <w:t xml:space="preserve">Bonaventura vytvořil dualistický výklad klíčové pasáže o dvou složkách intelektu </w:t>
      </w:r>
      <w:r w:rsidRPr="086E1483">
        <w:t xml:space="preserve">(νοῦς τῷ πάντα γίνεσθαι, ὁ δὲ τῷ πάντα ποιεῖν, </w:t>
      </w:r>
      <w:r w:rsidRPr="086E1483">
        <w:rPr>
          <w:i/>
        </w:rPr>
        <w:t>De anima</w:t>
      </w:r>
      <w:r w:rsidRPr="086E1483">
        <w:t xml:space="preserve"> 430a14‒15</w:t>
      </w:r>
      <w:r>
        <w:fldChar w:fldCharType="begin"/>
      </w:r>
      <w:r>
        <w:instrText xml:space="preserve"> XE "Aristoteles:</w:instrText>
      </w:r>
      <w:r w:rsidRPr="081E4C56">
        <w:rPr>
          <w:i/>
        </w:rPr>
        <w:instrText>De anima</w:instrText>
      </w:r>
      <w:r w:rsidRPr="081E4C56">
        <w:instrText xml:space="preserve"> 430a14‒15</w:instrText>
      </w:r>
      <w:r>
        <w:instrText xml:space="preserve">" </w:instrText>
      </w:r>
      <w:r>
        <w:fldChar w:fldCharType="end"/>
      </w:r>
      <w:r w:rsidRPr="086E1483">
        <w:t>)</w:t>
      </w:r>
      <w:r>
        <w:t xml:space="preserve">. </w:t>
      </w:r>
      <w:r w:rsidRPr="00273106">
        <w:t xml:space="preserve">Bonaventura ztotožňuje </w:t>
      </w:r>
      <w:r>
        <w:t xml:space="preserve">univerzálně danou </w:t>
      </w:r>
      <w:r w:rsidRPr="00273106">
        <w:t xml:space="preserve">materii </w:t>
      </w:r>
      <w:r>
        <w:t xml:space="preserve">třetího druhu </w:t>
      </w:r>
      <w:r w:rsidRPr="00273106">
        <w:t>s receptivní potencí duše (</w:t>
      </w:r>
      <w:proofErr w:type="gramStart"/>
      <w:r w:rsidRPr="00273106">
        <w:rPr>
          <w:i/>
        </w:rPr>
        <w:t>natura... qua</w:t>
      </w:r>
      <w:proofErr w:type="gramEnd"/>
      <w:r w:rsidRPr="00273106">
        <w:rPr>
          <w:i/>
        </w:rPr>
        <w:t xml:space="preserve"> est fieri</w:t>
      </w:r>
      <w:r>
        <w:t xml:space="preserve">). </w:t>
      </w:r>
      <w:r w:rsidR="00073370">
        <w:t xml:space="preserve">Možný </w:t>
      </w:r>
      <w:r w:rsidRPr="00273106">
        <w:t xml:space="preserve">intelekt </w:t>
      </w:r>
      <w:r w:rsidR="00073370">
        <w:t xml:space="preserve">je </w:t>
      </w:r>
      <w:r w:rsidR="008A2D18">
        <w:t xml:space="preserve">jako druhá forma </w:t>
      </w:r>
      <w:r w:rsidR="008A2D18" w:rsidRPr="00273106">
        <w:t>materie</w:t>
      </w:r>
      <w:r w:rsidR="008A2D18">
        <w:t xml:space="preserve">, proto je </w:t>
      </w:r>
      <w:r w:rsidRPr="00273106">
        <w:t xml:space="preserve">receptivní </w:t>
      </w:r>
      <w:r>
        <w:t>podobným způsobem</w:t>
      </w:r>
      <w:r w:rsidRPr="00244519">
        <w:t xml:space="preserve"> </w:t>
      </w:r>
      <w:r w:rsidRPr="00273106">
        <w:t>(</w:t>
      </w:r>
      <w:r w:rsidRPr="00273106">
        <w:rPr>
          <w:i/>
        </w:rPr>
        <w:t>similiter</w:t>
      </w:r>
      <w:r w:rsidR="008A2D18">
        <w:t>)</w:t>
      </w:r>
      <w:r w:rsidRPr="00273106">
        <w:t>.</w:t>
      </w:r>
      <w:r>
        <w:t xml:space="preserve"> Tuto schopnost duše </w:t>
      </w:r>
      <w:r>
        <w:lastRenderedPageBreak/>
        <w:t>Averroes</w:t>
      </w:r>
      <w:r w:rsidRPr="00273106">
        <w:t xml:space="preserve"> </w:t>
      </w:r>
      <w:r>
        <w:t xml:space="preserve">definuje jako </w:t>
      </w:r>
      <w:r w:rsidRPr="00273106">
        <w:t xml:space="preserve">jako </w:t>
      </w:r>
      <w:r w:rsidRPr="00273106">
        <w:rPr>
          <w:i/>
        </w:rPr>
        <w:t>intellectus possibilis</w:t>
      </w:r>
      <w:r>
        <w:t xml:space="preserve">, který je samozřejmě nemateriální a není součástí smyslově determinovaného poznání. Simulákrum materie v modu univerzálního hylemorfismu tento spor sofisticky vyřešilo, protože místo reálné materie dalo do definice jejího moderního dvojníka v objektivním modu </w:t>
      </w:r>
      <w:r w:rsidRPr="08CA7009">
        <w:rPr>
          <w:i/>
        </w:rPr>
        <w:t>similiter</w:t>
      </w:r>
      <w:r>
        <w:t xml:space="preserve">. Připomeňme klíčovou citaci CMDA ohledně </w:t>
      </w:r>
      <w:r w:rsidRPr="0022715C">
        <w:rPr>
          <w:i/>
        </w:rPr>
        <w:t xml:space="preserve">intellectus </w:t>
      </w:r>
      <w:r w:rsidRPr="08DE743E">
        <w:rPr>
          <w:i/>
        </w:rPr>
        <w:t>materialis</w:t>
      </w:r>
      <w:r>
        <w:t xml:space="preserve">, </w:t>
      </w:r>
      <w:r w:rsidRPr="00F42759">
        <w:t>v</w:t>
      </w:r>
      <w:r>
        <w:t xml:space="preserve"> níž termíny </w:t>
      </w:r>
      <w:r w:rsidRPr="005E0864">
        <w:rPr>
          <w:i/>
        </w:rPr>
        <w:t>consimile</w:t>
      </w:r>
      <w:r>
        <w:t xml:space="preserve"> a </w:t>
      </w:r>
      <w:r w:rsidRPr="005E0864">
        <w:rPr>
          <w:i/>
        </w:rPr>
        <w:t>simile</w:t>
      </w:r>
      <w:r>
        <w:t xml:space="preserve"> odmítají pojetí duše a intelektu jako substance</w:t>
      </w:r>
      <w:r>
        <w:rPr>
          <w:i/>
        </w:rPr>
        <w:fldChar w:fldCharType="begin"/>
      </w:r>
      <w:r>
        <w:instrText xml:space="preserve"> XE "</w:instrText>
      </w:r>
      <w:r w:rsidRPr="00191848">
        <w:rPr>
          <w:i/>
        </w:rPr>
        <w:instrText>quartum genus</w:instrText>
      </w:r>
      <w:r>
        <w:instrText xml:space="preserve">" </w:instrText>
      </w:r>
      <w:r>
        <w:rPr>
          <w:i/>
        </w:rPr>
        <w:fldChar w:fldCharType="end"/>
      </w:r>
      <w:r>
        <w:t>.</w:t>
      </w:r>
      <w:r w:rsidRPr="00273106">
        <w:rPr>
          <w:rStyle w:val="Znakapoznpodarou"/>
        </w:rPr>
        <w:footnoteReference w:id="46"/>
      </w:r>
      <w:r>
        <w:t xml:space="preserve"> Sofistickým výkladem </w:t>
      </w:r>
      <w:r>
        <w:rPr>
          <w:i/>
        </w:rPr>
        <w:t>De anima</w:t>
      </w:r>
      <w:r w:rsidRPr="00273106">
        <w:t xml:space="preserve"> se </w:t>
      </w:r>
      <w:r>
        <w:t xml:space="preserve">Bonaventura dostal do zásadního sporu s aristotelismem, což magistři na Rue du Fouarre dobře věděli. Tento význačný modernista </w:t>
      </w:r>
      <w:r w:rsidR="00CC47AD">
        <w:t xml:space="preserve">vyřešil </w:t>
      </w:r>
      <w:r w:rsidRPr="00273106">
        <w:t xml:space="preserve">diferenci mezi pasivní a aktivní </w:t>
      </w:r>
      <w:r>
        <w:t xml:space="preserve">schopností </w:t>
      </w:r>
      <w:r w:rsidRPr="00273106">
        <w:t xml:space="preserve">duše </w:t>
      </w:r>
      <w:r w:rsidR="00CC47AD">
        <w:t xml:space="preserve">tím, že </w:t>
      </w:r>
      <w:r w:rsidRPr="00273106">
        <w:t xml:space="preserve">místo ní </w:t>
      </w:r>
      <w:r w:rsidR="082D0792">
        <w:t>vytvořil materiální a intelektuální substanci</w:t>
      </w:r>
      <w:r w:rsidRPr="00273106">
        <w:t xml:space="preserve">. </w:t>
      </w:r>
      <w:r w:rsidR="00393640" w:rsidRPr="00393640">
        <w:t xml:space="preserve">Spis CMDA definuje </w:t>
      </w:r>
      <w:r w:rsidR="00393640" w:rsidRPr="00393640">
        <w:rPr>
          <w:i/>
        </w:rPr>
        <w:t>intellectus possibilis</w:t>
      </w:r>
      <w:r w:rsidR="00393640" w:rsidRPr="00393640">
        <w:t xml:space="preserve"> jako nehmotnou schopnost </w:t>
      </w:r>
      <w:r w:rsidR="00393640" w:rsidRPr="00393640">
        <w:rPr>
          <w:i/>
        </w:rPr>
        <w:t>anima intellectiva</w:t>
      </w:r>
      <w:r w:rsidR="00393640" w:rsidRPr="00393640">
        <w:t xml:space="preserve"> (OBJ II, kap. 2.4.3). Nejde ani o formu, nýbrž o pouhou potenciální schopnost duše, neboť duše je formou těla.</w:t>
      </w:r>
      <w:r w:rsidR="00393640">
        <w:t xml:space="preserve"> </w:t>
      </w:r>
      <w:r w:rsidRPr="00273106">
        <w:t xml:space="preserve">Protože duše je nemateriální povahy, pak </w:t>
      </w:r>
      <w:r>
        <w:t xml:space="preserve">padla pod stůl </w:t>
      </w:r>
      <w:r w:rsidRPr="00273106">
        <w:t>klasick</w:t>
      </w:r>
      <w:r>
        <w:t>á</w:t>
      </w:r>
      <w:r w:rsidRPr="00273106">
        <w:t xml:space="preserve"> </w:t>
      </w:r>
      <w:r w:rsidR="000870A6">
        <w:t xml:space="preserve">aristotelská </w:t>
      </w:r>
      <w:r w:rsidRPr="00273106">
        <w:t>definic</w:t>
      </w:r>
      <w:r>
        <w:t>e</w:t>
      </w:r>
      <w:r w:rsidRPr="00273106">
        <w:t xml:space="preserve"> </w:t>
      </w:r>
      <w:r>
        <w:t>materie</w:t>
      </w:r>
      <w:r w:rsidR="000870A6">
        <w:t>. N</w:t>
      </w:r>
      <w:r>
        <w:t>ahradila ji Avicebronova</w:t>
      </w:r>
      <w:r w:rsidRPr="00273106">
        <w:t xml:space="preserve"> materi</w:t>
      </w:r>
      <w:r>
        <w:t>e</w:t>
      </w:r>
      <w:r w:rsidRPr="00273106">
        <w:t xml:space="preserve"> jako </w:t>
      </w:r>
      <w:r w:rsidRPr="00F720F4">
        <w:rPr>
          <w:i/>
        </w:rPr>
        <w:t>tertium ens</w:t>
      </w:r>
      <w:r w:rsidRPr="00273106">
        <w:t xml:space="preserve">, kterou </w:t>
      </w:r>
      <w:r>
        <w:t xml:space="preserve">moderna </w:t>
      </w:r>
      <w:r w:rsidRPr="00273106">
        <w:t xml:space="preserve">chápe univerzálně </w:t>
      </w:r>
      <w:r w:rsidR="0004594C">
        <w:t>a spirituálně.</w:t>
      </w:r>
      <w:r w:rsidR="00C40567">
        <w:t xml:space="preserve"> Z hlediska aristotelismu je pojetí materie třetího druhu jasný sofistický omyl</w:t>
      </w:r>
      <w:r w:rsidR="00C40567" w:rsidRPr="00273106">
        <w:t xml:space="preserve">, a to z několika důvodů. Spis </w:t>
      </w:r>
      <w:r w:rsidR="00C40567" w:rsidRPr="002A2A16">
        <w:rPr>
          <w:i/>
        </w:rPr>
        <w:t>Metafyzika</w:t>
      </w:r>
      <w:r w:rsidR="00C40567" w:rsidRPr="00273106">
        <w:t xml:space="preserve"> skutečně dává </w:t>
      </w:r>
      <w:r w:rsidR="00C40567" w:rsidRPr="00273106">
        <w:rPr>
          <w:i/>
        </w:rPr>
        <w:t>prima materia</w:t>
      </w:r>
      <w:r w:rsidR="00C40567">
        <w:rPr>
          <w:i/>
        </w:rPr>
        <w:fldChar w:fldCharType="begin"/>
      </w:r>
      <w:r w:rsidR="00C40567">
        <w:instrText xml:space="preserve"> XE "</w:instrText>
      </w:r>
      <w:r w:rsidR="00C40567" w:rsidRPr="08D704BF">
        <w:instrText>materie</w:instrText>
      </w:r>
      <w:r w:rsidR="00C40567">
        <w:rPr>
          <w:i/>
        </w:rPr>
        <w:instrText xml:space="preserve">:materia </w:instrText>
      </w:r>
      <w:r w:rsidR="00C40567" w:rsidRPr="006D194D">
        <w:rPr>
          <w:i/>
        </w:rPr>
        <w:instrText>prima</w:instrText>
      </w:r>
      <w:r w:rsidR="00C40567">
        <w:instrText xml:space="preserve">" </w:instrText>
      </w:r>
      <w:r w:rsidR="00C40567">
        <w:rPr>
          <w:i/>
        </w:rPr>
        <w:fldChar w:fldCharType="end"/>
      </w:r>
      <w:r w:rsidR="00C40567" w:rsidRPr="00273106">
        <w:t xml:space="preserve"> statut univerzálně pojaté látky. Ale příklad bronzu jako materiálního substrátu daného primárně a </w:t>
      </w:r>
      <w:r w:rsidR="00C40567">
        <w:t xml:space="preserve">univerzálně </w:t>
      </w:r>
      <w:r w:rsidR="00C40567" w:rsidRPr="00273106">
        <w:t>(ὅλως πρώτη) pro všechny bronzové předměty (</w:t>
      </w:r>
      <w:r w:rsidR="00C40567" w:rsidRPr="00273106">
        <w:rPr>
          <w:i/>
        </w:rPr>
        <w:t>Met</w:t>
      </w:r>
      <w:r w:rsidR="00C40567" w:rsidRPr="00273106">
        <w:t>. 1015a9</w:t>
      </w:r>
      <w:r w:rsidR="00C40567">
        <w:fldChar w:fldCharType="begin"/>
      </w:r>
      <w:r w:rsidR="00C40567">
        <w:instrText xml:space="preserve"> XE "Aristoteles</w:instrText>
      </w:r>
      <w:r w:rsidR="00C40567" w:rsidRPr="00EA4EF6">
        <w:rPr>
          <w:i/>
        </w:rPr>
        <w:instrText>:Met</w:instrText>
      </w:r>
      <w:r w:rsidR="00C40567" w:rsidRPr="00EA4EF6">
        <w:instrText>. 1015a9</w:instrText>
      </w:r>
      <w:r w:rsidR="00C40567">
        <w:instrText xml:space="preserve">" </w:instrText>
      </w:r>
      <w:r w:rsidR="00C40567">
        <w:fldChar w:fldCharType="end"/>
      </w:r>
      <w:r w:rsidR="00C40567" w:rsidRPr="00273106">
        <w:t xml:space="preserve">) ukazuje, že </w:t>
      </w:r>
      <w:r w:rsidR="00C40567">
        <w:t>Aristoteles</w:t>
      </w:r>
      <w:r w:rsidR="00C40567" w:rsidRPr="00273106">
        <w:t xml:space="preserve"> chápe i tuto látku buď materiálně, n</w:t>
      </w:r>
      <w:r w:rsidR="00C40567">
        <w:t>ebo jako pouhý koncept v mysli. Materie nemůže být jsoucno třetího druhu, protože v této podobě nemá jak být. Následující p</w:t>
      </w:r>
      <w:r w:rsidR="00C40567" w:rsidRPr="00273106">
        <w:t xml:space="preserve">oznámka ukazuje snad jedinou pasáž z </w:t>
      </w:r>
      <w:r w:rsidR="00C40567" w:rsidRPr="002A2A16">
        <w:rPr>
          <w:i/>
        </w:rPr>
        <w:t>Metafyziky</w:t>
      </w:r>
      <w:r w:rsidR="00C40567" w:rsidRPr="00273106">
        <w:t>, odkud by šlo nepřímo odvodit vztah první látky k duši jako substanci.</w:t>
      </w:r>
      <w:r w:rsidR="00C40567" w:rsidRPr="00273106">
        <w:rPr>
          <w:rStyle w:val="Znakapoznpodarou"/>
        </w:rPr>
        <w:footnoteReference w:id="47"/>
      </w:r>
      <w:r w:rsidR="00C40567" w:rsidRPr="00273106">
        <w:t xml:space="preserve"> Text </w:t>
      </w:r>
      <w:r w:rsidR="00C40567">
        <w:t xml:space="preserve">definuje </w:t>
      </w:r>
      <w:r w:rsidR="00C40567" w:rsidRPr="00273106">
        <w:t xml:space="preserve">substanciální </w:t>
      </w:r>
      <w:r w:rsidR="00C40567">
        <w:t xml:space="preserve">predikáty </w:t>
      </w:r>
      <w:r w:rsidR="00C40567" w:rsidRPr="00273106">
        <w:t>(„člověk“, „duše“, „tělo“) a akcidentální atribut</w:t>
      </w:r>
      <w:r w:rsidR="00C40567">
        <w:t xml:space="preserve">y („vzdělaný“, </w:t>
      </w:r>
      <w:r w:rsidR="00C40567" w:rsidRPr="00273106">
        <w:t xml:space="preserve">„bílý“) vzhledem ke druhé substanci jako poslednímu substrátu </w:t>
      </w:r>
      <w:r w:rsidR="00C40567">
        <w:t xml:space="preserve">kategoriálních určení. Tuto predikaci materie </w:t>
      </w:r>
      <w:r w:rsidR="006C5955">
        <w:t xml:space="preserve">spis </w:t>
      </w:r>
      <w:r w:rsidR="00C40567" w:rsidRPr="00273106">
        <w:t>odděluje od její aktualizace v rámci materiální substance</w:t>
      </w:r>
      <w:r w:rsidR="00C40567">
        <w:fldChar w:fldCharType="begin"/>
      </w:r>
      <w:r w:rsidR="00C40567">
        <w:instrText xml:space="preserve"> XE "</w:instrText>
      </w:r>
      <w:r w:rsidR="00C40567" w:rsidRPr="00DE2A32">
        <w:instrText>substance</w:instrText>
      </w:r>
      <w:r w:rsidR="00C40567">
        <w:instrText xml:space="preserve">:Aristoteles" </w:instrText>
      </w:r>
      <w:r w:rsidR="00C40567">
        <w:fldChar w:fldCharType="end"/>
      </w:r>
      <w:r w:rsidR="00C40567" w:rsidRPr="00273106">
        <w:t xml:space="preserve"> (οὐσία ὑλική, </w:t>
      </w:r>
      <w:r w:rsidR="00C40567" w:rsidRPr="001B45D5">
        <w:rPr>
          <w:i/>
        </w:rPr>
        <w:t>Met</w:t>
      </w:r>
      <w:r w:rsidR="00C40567" w:rsidRPr="00273106">
        <w:t>. 1049a36</w:t>
      </w:r>
      <w:r w:rsidR="00C40567">
        <w:fldChar w:fldCharType="begin"/>
      </w:r>
      <w:r w:rsidR="00C40567">
        <w:instrText xml:space="preserve"> XE "Aristoteles</w:instrText>
      </w:r>
      <w:r w:rsidR="00C40567" w:rsidRPr="00EA4EF6">
        <w:rPr>
          <w:i/>
        </w:rPr>
        <w:instrText>:Met</w:instrText>
      </w:r>
      <w:r w:rsidR="00C40567">
        <w:instrText xml:space="preserve">. 1049a36" </w:instrText>
      </w:r>
      <w:r w:rsidR="00C40567">
        <w:fldChar w:fldCharType="end"/>
      </w:r>
      <w:r w:rsidR="00C40567" w:rsidRPr="00273106">
        <w:t xml:space="preserve">). </w:t>
      </w:r>
      <w:r w:rsidR="00C40567" w:rsidRPr="00273106">
        <w:lastRenderedPageBreak/>
        <w:t>První látka je ale v obou případech pouze na straně reálně existujících substancí jako primární základ dalších určení (τί ἐστι πρῶτον)</w:t>
      </w:r>
      <w:r w:rsidR="00C40567">
        <w:t xml:space="preserve"> a </w:t>
      </w:r>
      <w:r w:rsidR="00C40567" w:rsidRPr="00273106">
        <w:t>první substance jako jednotlivé věci (τόδε τι</w:t>
      </w:r>
      <w:r w:rsidR="00C40567">
        <w:fldChar w:fldCharType="begin"/>
      </w:r>
      <w:r w:rsidR="00C40567">
        <w:instrText xml:space="preserve"> XE "</w:instrText>
      </w:r>
      <w:r w:rsidR="00C40567" w:rsidRPr="00E373E1">
        <w:instrText>substance:τόδε τι</w:instrText>
      </w:r>
      <w:r w:rsidR="00C40567">
        <w:instrText xml:space="preserve">" </w:instrText>
      </w:r>
      <w:r w:rsidR="00C40567">
        <w:fldChar w:fldCharType="end"/>
      </w:r>
      <w:r w:rsidR="00C40567" w:rsidRPr="00273106">
        <w:t xml:space="preserve">). </w:t>
      </w:r>
      <w:r w:rsidR="00C40567">
        <w:t xml:space="preserve">Modernisté jako Bonaventura a po nich Descartes převzali </w:t>
      </w:r>
      <w:r w:rsidR="00C40567" w:rsidRPr="00273106">
        <w:t xml:space="preserve">od neoplatoniků </w:t>
      </w:r>
      <w:r w:rsidR="00C40567">
        <w:t xml:space="preserve">a porretánů </w:t>
      </w:r>
      <w:r w:rsidR="00C40567" w:rsidRPr="00273106">
        <w:t xml:space="preserve">koncept </w:t>
      </w:r>
      <w:r w:rsidR="00C40567">
        <w:t>hypostázovaných jsoucen třetího druhu</w:t>
      </w:r>
      <w:r w:rsidR="00C40567" w:rsidRPr="00273106">
        <w:t xml:space="preserve">. </w:t>
      </w:r>
      <w:r w:rsidR="00C40567">
        <w:t xml:space="preserve">Člověka jako první substanci skládají či rozkládají jako kostky domina na jednotlivé hypostáze, které mají samy o sobě charakter první substance. </w:t>
      </w:r>
      <w:r w:rsidR="00C40567" w:rsidRPr="00273106">
        <w:t xml:space="preserve">Obě citace </w:t>
      </w:r>
      <w:r w:rsidR="007A4E22">
        <w:t>z Bonaventurova komentáře ke D</w:t>
      </w:r>
      <w:r w:rsidR="00C40567">
        <w:t xml:space="preserve">ruhé knize Sentencí ukazují, že útok na Averroese je spojen s pojetím duše, které je neslučitelné s koncepcí CMDA a má všechny znaky herezí, které Alvernus odmítl u skupiny </w:t>
      </w:r>
      <w:r w:rsidR="00CF541D">
        <w:t>„</w:t>
      </w:r>
      <w:r w:rsidR="00C40567" w:rsidRPr="0893730C">
        <w:rPr>
          <w:i/>
        </w:rPr>
        <w:t>sequaces Aristotelis</w:t>
      </w:r>
      <w:r w:rsidR="00CF541D">
        <w:t>“</w:t>
      </w:r>
      <w:r w:rsidR="00C40567">
        <w:t>. D</w:t>
      </w:r>
      <w:r w:rsidR="00C40567" w:rsidRPr="00273106">
        <w:t xml:space="preserve">uše jako forma představuje </w:t>
      </w:r>
      <w:r w:rsidR="00C40567">
        <w:t xml:space="preserve">podle Blundovy školy </w:t>
      </w:r>
      <w:r w:rsidR="00C40567" w:rsidRPr="00273106">
        <w:t xml:space="preserve">entelechický princip oživující formy pro organismus jako </w:t>
      </w:r>
      <w:r w:rsidR="00C40567">
        <w:t xml:space="preserve">holistický </w:t>
      </w:r>
      <w:r w:rsidR="00C40567" w:rsidRPr="00273106">
        <w:t>celek</w:t>
      </w:r>
      <w:r w:rsidR="00D0151E">
        <w:t>, viz Abelardovův termín</w:t>
      </w:r>
      <w:r w:rsidR="00C40567">
        <w:t xml:space="preserve"> </w:t>
      </w:r>
      <w:r w:rsidR="00874FAF">
        <w:t>„</w:t>
      </w:r>
      <w:r w:rsidR="00C40567">
        <w:rPr>
          <w:i/>
        </w:rPr>
        <w:t>totum inte</w:t>
      </w:r>
      <w:r w:rsidR="00C40567" w:rsidRPr="08A74D47">
        <w:rPr>
          <w:i/>
        </w:rPr>
        <w:t>grum</w:t>
      </w:r>
      <w:r w:rsidR="00874FAF">
        <w:t>“</w:t>
      </w:r>
      <w:r w:rsidR="00C206C3">
        <w:t xml:space="preserve"> </w:t>
      </w:r>
      <w:r w:rsidR="00C206C3">
        <w:rPr>
          <w:szCs w:val="24"/>
          <w:lang w:val="de-DE"/>
        </w:rPr>
        <w:t>(OBJ II, Kap. 1.3)</w:t>
      </w:r>
      <w:r w:rsidR="00C40567">
        <w:t xml:space="preserve">. </w:t>
      </w:r>
      <w:r w:rsidR="00A64EAB">
        <w:t>V</w:t>
      </w:r>
      <w:r w:rsidR="00C40567">
        <w:t xml:space="preserve"> době kritického myšlení </w:t>
      </w:r>
      <w:r w:rsidR="005C3696">
        <w:t xml:space="preserve">opřeného o zdravý rozum </w:t>
      </w:r>
      <w:r w:rsidR="00C40567">
        <w:t xml:space="preserve">nemohla tvořit </w:t>
      </w:r>
      <w:r w:rsidR="00A64EAB">
        <w:t xml:space="preserve">definici osoby </w:t>
      </w:r>
      <w:r w:rsidR="00C40567">
        <w:t>moderní sbírka hypostází a pochybných substancí</w:t>
      </w:r>
      <w:r w:rsidR="00874FAF">
        <w:t>, jak je tomu dnes</w:t>
      </w:r>
      <w:r w:rsidR="00C40567">
        <w:t xml:space="preserve">. </w:t>
      </w:r>
    </w:p>
    <w:p w:rsidR="08163013" w:rsidRPr="00273106" w:rsidRDefault="0004594C" w:rsidP="00C40567">
      <w:pPr>
        <w:ind w:firstLine="397"/>
      </w:pPr>
      <w:r>
        <w:t xml:space="preserve">Zavedením spirituální materii do sporu o averroismus </w:t>
      </w:r>
      <w:r w:rsidR="08163013">
        <w:t>Bonaventura zavedl další objektivně určený nesmysl tradovaný až po dnešek</w:t>
      </w:r>
      <w:r>
        <w:t xml:space="preserve">. Jde o numerickou jednotu či </w:t>
      </w:r>
      <w:r w:rsidR="00026ED8">
        <w:t xml:space="preserve">numerickou </w:t>
      </w:r>
      <w:r>
        <w:t>mnohost</w:t>
      </w:r>
      <w:r w:rsidR="08163013">
        <w:t xml:space="preserve"> intelektu</w:t>
      </w:r>
      <w:r w:rsidR="08163013">
        <w:fldChar w:fldCharType="begin"/>
      </w:r>
      <w:r w:rsidR="08163013">
        <w:instrText xml:space="preserve"> XE "</w:instrText>
      </w:r>
      <w:r w:rsidR="08163013" w:rsidRPr="008A4812">
        <w:instrText>intelekt:numericky jednotný</w:instrText>
      </w:r>
      <w:r w:rsidR="08163013">
        <w:instrText xml:space="preserve">" </w:instrText>
      </w:r>
      <w:r w:rsidR="08163013">
        <w:fldChar w:fldCharType="end"/>
      </w:r>
      <w:r w:rsidR="08163013">
        <w:t xml:space="preserve">. </w:t>
      </w:r>
      <w:r>
        <w:t xml:space="preserve">Zavedením </w:t>
      </w:r>
      <w:r w:rsidRPr="0004594C">
        <w:t xml:space="preserve">této sofistické teorie objektivisté velmi chytře zakryli původní bod, kterým byla nesprávná </w:t>
      </w:r>
      <w:r>
        <w:t xml:space="preserve">nebo správná interpretace CMDA. </w:t>
      </w:r>
      <w:r w:rsidR="08163013">
        <w:t xml:space="preserve">Averroes by odmítl tezi o numerické individualizaci intelektu skrze materii jako naprostý nesmysl. </w:t>
      </w:r>
      <w:r w:rsidR="00C40567">
        <w:t xml:space="preserve">Radikální forma </w:t>
      </w:r>
      <w:r w:rsidR="08163013" w:rsidRPr="00273106">
        <w:t xml:space="preserve">druhého averroismu </w:t>
      </w:r>
      <w:r w:rsidR="00C40567">
        <w:t xml:space="preserve">exportovaná z Oxfordu definuje </w:t>
      </w:r>
      <w:r w:rsidR="00C40567" w:rsidRPr="00C40567">
        <w:rPr>
          <w:i/>
        </w:rPr>
        <w:t>anima intellectiva</w:t>
      </w:r>
      <w:r w:rsidR="00C40567">
        <w:t xml:space="preserve"> jako složeninu dvou substancí daných v rámci univezálního hylemorfismu: Bonaventura má hypostázovenou pseudo-materiální duši a stejně tak i intelekt. Tím v </w:t>
      </w:r>
      <w:r w:rsidR="08163013" w:rsidRPr="00273106">
        <w:t>otázce plur</w:t>
      </w:r>
      <w:r w:rsidR="00C40567">
        <w:t xml:space="preserve">ality substančních určení duše </w:t>
      </w:r>
      <w:r w:rsidR="08163013" w:rsidRPr="00273106">
        <w:t xml:space="preserve">zrušil </w:t>
      </w:r>
      <w:r w:rsidR="08163013">
        <w:t xml:space="preserve">dokonce i </w:t>
      </w:r>
      <w:r w:rsidR="08163013" w:rsidRPr="00273106">
        <w:t xml:space="preserve">Avicennovu definici duše jako primární formy těla. </w:t>
      </w:r>
      <w:r w:rsidR="00C40567">
        <w:t xml:space="preserve">Tato teze by zrušila dokonce i neoplatonský statut intelektu, který je zásadně nemateriální povahy. </w:t>
      </w:r>
      <w:r w:rsidR="08163013">
        <w:t>Univerzální a přitom substanciální m</w:t>
      </w:r>
      <w:r w:rsidR="08163013" w:rsidRPr="00273106">
        <w:t xml:space="preserve">aterie </w:t>
      </w:r>
      <w:r w:rsidR="08163013">
        <w:t xml:space="preserve">objektivně </w:t>
      </w:r>
      <w:r w:rsidR="08163013" w:rsidRPr="00273106">
        <w:t xml:space="preserve">zajišťuje, že duše díky spirituální povaze </w:t>
      </w:r>
      <w:r w:rsidR="08163013">
        <w:t xml:space="preserve">materie </w:t>
      </w:r>
      <w:r w:rsidR="08163013" w:rsidRPr="00273106">
        <w:t xml:space="preserve">nemá </w:t>
      </w:r>
      <w:r w:rsidR="08163013" w:rsidRPr="00273106">
        <w:rPr>
          <w:i/>
        </w:rPr>
        <w:t xml:space="preserve">extensio </w:t>
      </w:r>
      <w:r w:rsidR="004B4AB7">
        <w:t>mate</w:t>
      </w:r>
      <w:r w:rsidR="004B4AB7" w:rsidRPr="004B4AB7">
        <w:t>riálního</w:t>
      </w:r>
      <w:r w:rsidR="004B4AB7">
        <w:rPr>
          <w:i/>
        </w:rPr>
        <w:t xml:space="preserve"> </w:t>
      </w:r>
      <w:r w:rsidR="08163013">
        <w:t xml:space="preserve">tělesa. To umožňuje definovat duši jako porretánskou substanci a numericky ji oddělit </w:t>
      </w:r>
      <w:r w:rsidR="08163013" w:rsidRPr="00273106">
        <w:t xml:space="preserve">od ostatních forem, včetně </w:t>
      </w:r>
      <w:r w:rsidR="08163013">
        <w:t xml:space="preserve">rozsažného hylemorfického </w:t>
      </w:r>
      <w:r w:rsidR="08163013" w:rsidRPr="00273106">
        <w:t xml:space="preserve">těla. </w:t>
      </w:r>
      <w:r w:rsidR="08163013">
        <w:t xml:space="preserve">První averrosimus Alberta a Bacona považoval toto pojetí osoby za směšné nebo šílené. Albert argumentuje proti modernistům dokonce i z pozice Avicenny, který měl duši pouze jako formu těla, a ne jako </w:t>
      </w:r>
      <w:r w:rsidR="085C6C35">
        <w:t xml:space="preserve">hylemorfickou </w:t>
      </w:r>
      <w:r w:rsidR="08163013">
        <w:t xml:space="preserve">substanci. </w:t>
      </w:r>
      <w:r w:rsidR="08163013" w:rsidRPr="00273106">
        <w:t>Albert zdůraznil v citované kritice</w:t>
      </w:r>
      <w:r w:rsidR="08163013">
        <w:t xml:space="preserve"> univerzálního hylemorfismu</w:t>
      </w:r>
      <w:r w:rsidR="08163013" w:rsidRPr="00273106">
        <w:t xml:space="preserve">, že Latiníci chápou Avicennovu definici </w:t>
      </w:r>
      <w:r w:rsidR="08163013">
        <w:t xml:space="preserve">duše </w:t>
      </w:r>
      <w:r w:rsidR="08163013" w:rsidRPr="00273106">
        <w:t>jako substa</w:t>
      </w:r>
      <w:r w:rsidR="08163013">
        <w:t xml:space="preserve">nci </w:t>
      </w:r>
      <w:r w:rsidR="08163013" w:rsidRPr="00457D97">
        <w:t>(</w:t>
      </w:r>
      <w:r w:rsidR="08163013" w:rsidRPr="00D166AE">
        <w:rPr>
          <w:i/>
        </w:rPr>
        <w:t>hoc aliquid</w:t>
      </w:r>
      <w:r w:rsidR="08163013" w:rsidRPr="00457D97">
        <w:fldChar w:fldCharType="begin"/>
      </w:r>
      <w:r w:rsidR="08163013" w:rsidRPr="00457D97">
        <w:instrText xml:space="preserve"> XE "</w:instrText>
      </w:r>
      <w:r w:rsidR="08163013" w:rsidRPr="00457D97">
        <w:rPr>
          <w:i/>
        </w:rPr>
        <w:instrText>hoc aliquid</w:instrText>
      </w:r>
      <w:r w:rsidR="08163013" w:rsidRPr="00457D97">
        <w:instrText xml:space="preserve">:Avicenna" </w:instrText>
      </w:r>
      <w:r w:rsidR="08163013" w:rsidRPr="00457D97">
        <w:fldChar w:fldCharType="end"/>
      </w:r>
      <w:r w:rsidR="08163013" w:rsidRPr="00457D97">
        <w:t xml:space="preserve">), </w:t>
      </w:r>
      <w:r w:rsidR="08163013">
        <w:t xml:space="preserve">zatímco on ji měl pouze jako formu. Proto Grosseteste odsoudil Rufusovu školu v Oxfordu, která </w:t>
      </w:r>
      <w:r w:rsidR="08163013">
        <w:lastRenderedPageBreak/>
        <w:t xml:space="preserve">zavedla tento </w:t>
      </w:r>
      <w:r w:rsidR="003766EE">
        <w:t>moderní dualismus po roce 1235</w:t>
      </w:r>
      <w:r w:rsidR="08163013">
        <w:t>. Bonaventura bránil v Paříži toto substanční pojetí duše v modu univerzálního hyleforfismu.</w:t>
      </w:r>
      <w:r w:rsidR="08163013">
        <w:rPr>
          <w:rStyle w:val="Znakapoznpodarou"/>
        </w:rPr>
        <w:footnoteReference w:id="48"/>
      </w:r>
      <w:r w:rsidR="08163013">
        <w:t xml:space="preserve"> Jeho komentář tvrdí v sofistické shodě s </w:t>
      </w:r>
      <w:proofErr w:type="gramStart"/>
      <w:r w:rsidR="08163013" w:rsidRPr="005C6E35">
        <w:rPr>
          <w:i/>
        </w:rPr>
        <w:t>De</w:t>
      </w:r>
      <w:proofErr w:type="gramEnd"/>
      <w:r w:rsidR="08163013" w:rsidRPr="005C6E35">
        <w:rPr>
          <w:i/>
        </w:rPr>
        <w:t xml:space="preserve"> anima</w:t>
      </w:r>
      <w:r w:rsidR="08163013">
        <w:t xml:space="preserve">, že objektivní definice duše v modu univerzálního hylemorfismu vyhovuje definici intelektuální lidské duše dané v modu </w:t>
      </w:r>
      <w:r w:rsidR="00143161">
        <w:t>„</w:t>
      </w:r>
      <w:r w:rsidR="08163013" w:rsidRPr="00325BB6">
        <w:rPr>
          <w:i/>
        </w:rPr>
        <w:t>inmixtus</w:t>
      </w:r>
      <w:r w:rsidR="00143161">
        <w:t>“</w:t>
      </w:r>
      <w:r w:rsidR="08163013">
        <w:t xml:space="preserve">. Objektivně materiální duše není složena s částí daných v rámci klasické materie. </w:t>
      </w:r>
    </w:p>
    <w:p w:rsidR="08163013" w:rsidRPr="00637343" w:rsidRDefault="08163013" w:rsidP="08163013">
      <w:pPr>
        <w:pStyle w:val="Citace"/>
        <w:rPr>
          <w:noProof/>
        </w:rPr>
      </w:pPr>
      <w:r w:rsidRPr="00273106">
        <w:rPr>
          <w:noProof/>
          <w:lang w:val="cs-CZ"/>
        </w:rPr>
        <w:t>„</w:t>
      </w:r>
      <w:r>
        <w:rPr>
          <w:noProof/>
          <w:lang w:val="cs-CZ"/>
        </w:rPr>
        <w:t xml:space="preserve">Duše tedy není nemateriální vzhledem k jiným formám ve smyslu jí vlastních částí, protože takové části by potřebovaly jiné </w:t>
      </w:r>
      <w:r w:rsidR="08533876">
        <w:rPr>
          <w:noProof/>
          <w:lang w:val="cs-CZ"/>
        </w:rPr>
        <w:t xml:space="preserve">části </w:t>
      </w:r>
      <w:r>
        <w:rPr>
          <w:noProof/>
          <w:lang w:val="cs-CZ"/>
        </w:rPr>
        <w:t xml:space="preserve">ke svému završení. Takovým typem složeniny je reálné bytí věci vzaté o </w:t>
      </w:r>
      <w:r w:rsidR="00452EF3">
        <w:rPr>
          <w:noProof/>
          <w:lang w:val="cs-CZ"/>
        </w:rPr>
        <w:t xml:space="preserve">sobě. Duše je </w:t>
      </w:r>
      <w:r>
        <w:rPr>
          <w:noProof/>
          <w:lang w:val="cs-CZ"/>
        </w:rPr>
        <w:t xml:space="preserve">materiální </w:t>
      </w:r>
      <w:r w:rsidR="00452EF3">
        <w:rPr>
          <w:noProof/>
          <w:lang w:val="cs-CZ"/>
        </w:rPr>
        <w:t xml:space="preserve">mnohem jednodušším způsobem </w:t>
      </w:r>
      <w:r>
        <w:rPr>
          <w:noProof/>
          <w:lang w:val="cs-CZ"/>
        </w:rPr>
        <w:t>(</w:t>
      </w:r>
      <w:r w:rsidRPr="003B271D">
        <w:rPr>
          <w:i/>
          <w:noProof/>
          <w:lang w:val="cs-CZ"/>
        </w:rPr>
        <w:t>simplicior est</w:t>
      </w:r>
      <w:r>
        <w:rPr>
          <w:noProof/>
          <w:lang w:val="cs-CZ"/>
        </w:rPr>
        <w:t>) proto, že jí chybí kvantitativní určení částí (</w:t>
      </w:r>
      <w:r w:rsidRPr="00AE31D8">
        <w:rPr>
          <w:i/>
          <w:noProof/>
          <w:szCs w:val="13"/>
        </w:rPr>
        <w:t xml:space="preserve">ad privationem </w:t>
      </w:r>
      <w:r w:rsidRPr="00AE31D8">
        <w:rPr>
          <w:i/>
          <w:noProof/>
          <w:szCs w:val="14"/>
        </w:rPr>
        <w:t xml:space="preserve">partium </w:t>
      </w:r>
      <w:r w:rsidRPr="00AE31D8">
        <w:rPr>
          <w:i/>
          <w:noProof/>
          <w:szCs w:val="13"/>
        </w:rPr>
        <w:t>quanti</w:t>
      </w:r>
      <w:r w:rsidRPr="00AE31D8">
        <w:rPr>
          <w:i/>
          <w:noProof/>
          <w:szCs w:val="14"/>
        </w:rPr>
        <w:t>tativarum</w:t>
      </w:r>
      <w:r>
        <w:rPr>
          <w:noProof/>
          <w:lang w:val="cs-CZ"/>
        </w:rPr>
        <w:t xml:space="preserve">).“ </w:t>
      </w:r>
      <w:r>
        <w:rPr>
          <w:rStyle w:val="Znakapoznpodarou"/>
        </w:rPr>
        <w:footnoteReference w:id="49"/>
      </w:r>
    </w:p>
    <w:p w:rsidR="08163013" w:rsidRPr="00273106" w:rsidRDefault="08163013" w:rsidP="08163013">
      <w:r w:rsidRPr="00273106">
        <w:t xml:space="preserve">Díky své materiální jednoduchosti duše </w:t>
      </w:r>
      <w:r>
        <w:t xml:space="preserve">existuje </w:t>
      </w:r>
      <w:r w:rsidRPr="002D2E34">
        <w:rPr>
          <w:i/>
        </w:rPr>
        <w:t>simpliciter</w:t>
      </w:r>
      <w:r>
        <w:t xml:space="preserve"> jako hypostázovaná a subsistentní forma, která je individualizována v modu </w:t>
      </w:r>
      <w:r w:rsidRPr="002D2E34">
        <w:rPr>
          <w:i/>
        </w:rPr>
        <w:t>materia spiritualis</w:t>
      </w:r>
      <w:r>
        <w:t>. Akt subsistence</w:t>
      </w:r>
      <w:r>
        <w:fldChar w:fldCharType="begin"/>
      </w:r>
      <w:r>
        <w:instrText xml:space="preserve"> XE "</w:instrText>
      </w:r>
      <w:r w:rsidRPr="001D1E42">
        <w:instrText>subsistence</w:instrText>
      </w:r>
      <w:r>
        <w:instrText xml:space="preserve">:duše" </w:instrText>
      </w:r>
      <w:r>
        <w:fldChar w:fldCharType="end"/>
      </w:r>
      <w:r>
        <w:t xml:space="preserve"> je vázán</w:t>
      </w:r>
      <w:r w:rsidRPr="00273106">
        <w:t xml:space="preserve"> na duši jako </w:t>
      </w:r>
      <w:r w:rsidR="08533876">
        <w:t>kvazi-</w:t>
      </w:r>
      <w:r w:rsidRPr="00273106">
        <w:t xml:space="preserve">substanci složenou z formy a z látky třetího druhu. Bonaventura v další odpovědi na námitky výslovně odmítne kritiku prvního averroismu, který </w:t>
      </w:r>
      <w:r>
        <w:t xml:space="preserve">definuje pouze </w:t>
      </w:r>
      <w:r w:rsidRPr="00273106">
        <w:t xml:space="preserve">hylemorfickou substanci </w:t>
      </w:r>
      <w:r>
        <w:t xml:space="preserve">a neuznává žádné </w:t>
      </w:r>
      <w:r w:rsidRPr="00273106">
        <w:t xml:space="preserve">jsoucno třetího druhu. </w:t>
      </w:r>
      <w:r>
        <w:t xml:space="preserve">Nové pojetí vytvořilo duši jako jsoucno třetího druhu, viz předešlé námitky Alberta a Bacona. Následující citát </w:t>
      </w:r>
      <w:r w:rsidRPr="00273106">
        <w:t xml:space="preserve">představuje </w:t>
      </w:r>
      <w:r>
        <w:t>filosofické jádro sporu o averroismus dané publikací Bonaventurova prvního komentáře k Sentencím z let 1252‒53. Jeho</w:t>
      </w:r>
      <w:r w:rsidR="005C23CB">
        <w:t xml:space="preserve"> publikace rozpoutala akademické</w:t>
      </w:r>
      <w:r>
        <w:t xml:space="preserve"> spor</w:t>
      </w:r>
      <w:r w:rsidR="005C23CB">
        <w:t>y</w:t>
      </w:r>
      <w:r w:rsidR="00CE3F75">
        <w:t xml:space="preserve"> na Pařížské univerzitě</w:t>
      </w:r>
      <w:r>
        <w:t>,</w:t>
      </w:r>
      <w:r w:rsidR="005C23CB">
        <w:t xml:space="preserve"> které</w:t>
      </w:r>
      <w:r w:rsidRPr="00273106">
        <w:t xml:space="preserve"> </w:t>
      </w:r>
      <w:r w:rsidR="000C6DA9">
        <w:t xml:space="preserve">se </w:t>
      </w:r>
      <w:r>
        <w:t xml:space="preserve">následně </w:t>
      </w:r>
      <w:r w:rsidR="000C6DA9">
        <w:t xml:space="preserve">změnily v </w:t>
      </w:r>
      <w:r w:rsidR="005C23CB">
        <w:t>mocenský boj</w:t>
      </w:r>
      <w:r w:rsidRPr="00D76B13">
        <w:t xml:space="preserve"> </w:t>
      </w:r>
      <w:r w:rsidR="000F0A88">
        <w:t xml:space="preserve">v letech </w:t>
      </w:r>
      <w:r>
        <w:t>1255</w:t>
      </w:r>
      <w:r w:rsidR="000F0A88">
        <w:t>–56</w:t>
      </w:r>
      <w:r>
        <w:t xml:space="preserve">. Pak modernisté zvítězili zřízením vlastní katedry a zahájili úspěšnou cestu k rozpadu Pařížské univerzity, která kopírovala rozpad osoby </w:t>
      </w:r>
      <w:r w:rsidR="08533876">
        <w:t xml:space="preserve">ve škole </w:t>
      </w:r>
      <w:r w:rsidRPr="08C3243B">
        <w:rPr>
          <w:i/>
        </w:rPr>
        <w:t>Modernorum</w:t>
      </w:r>
      <w:r>
        <w:t xml:space="preserve">. Moderní dualismus duše a těla má následující charakter. </w:t>
      </w:r>
    </w:p>
    <w:p w:rsidR="08163013" w:rsidRPr="00222FC8" w:rsidRDefault="08163013" w:rsidP="08163013">
      <w:pPr>
        <w:pStyle w:val="Citace"/>
        <w:rPr>
          <w:noProof/>
          <w:lang w:val="cs-CZ"/>
        </w:rPr>
      </w:pPr>
      <w:r w:rsidRPr="00273106">
        <w:rPr>
          <w:noProof/>
          <w:lang w:val="cs-CZ"/>
        </w:rPr>
        <w:t>„</w:t>
      </w:r>
      <w:r>
        <w:rPr>
          <w:noProof/>
          <w:lang w:val="cs-CZ"/>
        </w:rPr>
        <w:t>Duše je složena z materie a z formy (</w:t>
      </w:r>
      <w:r w:rsidRPr="00AA19D2">
        <w:rPr>
          <w:i/>
          <w:noProof/>
        </w:rPr>
        <w:t>anima rationalis compositionem habeat ex materia et forma</w:t>
      </w:r>
      <w:r>
        <w:rPr>
          <w:noProof/>
          <w:lang w:val="cs-CZ"/>
        </w:rPr>
        <w:t>) a má touhu (</w:t>
      </w:r>
      <w:r w:rsidRPr="00F4458D">
        <w:rPr>
          <w:i/>
          <w:noProof/>
          <w:lang w:val="cs-CZ"/>
        </w:rPr>
        <w:t>appetitum</w:t>
      </w:r>
      <w:r>
        <w:rPr>
          <w:noProof/>
          <w:lang w:val="cs-CZ"/>
        </w:rPr>
        <w:t>) k završení přirozeného těla. Stejně tak fyzické tělo se skládá jako jednotlivina z materie a formy, které mají touhu (</w:t>
      </w:r>
      <w:r w:rsidRPr="00F4458D">
        <w:rPr>
          <w:i/>
          <w:noProof/>
          <w:lang w:val="cs-CZ"/>
        </w:rPr>
        <w:t>appetitum</w:t>
      </w:r>
      <w:r>
        <w:rPr>
          <w:noProof/>
          <w:lang w:val="cs-CZ"/>
        </w:rPr>
        <w:t xml:space="preserve">) po držení duše.“ </w:t>
      </w:r>
      <w:r>
        <w:rPr>
          <w:rStyle w:val="Znakapoznpodarou"/>
        </w:rPr>
        <w:footnoteReference w:id="50"/>
      </w:r>
    </w:p>
    <w:p w:rsidR="007B3B0D" w:rsidRDefault="08163013" w:rsidP="08163013">
      <w:r w:rsidRPr="00273106">
        <w:lastRenderedPageBreak/>
        <w:t xml:space="preserve">Bonaventura ví, že v metafyzice existuje </w:t>
      </w:r>
      <w:r>
        <w:t xml:space="preserve">reálně a aktuálně </w:t>
      </w:r>
      <w:r w:rsidRPr="00273106">
        <w:t>pouze první substance (</w:t>
      </w:r>
      <w:r w:rsidRPr="00273106">
        <w:rPr>
          <w:i/>
        </w:rPr>
        <w:t>ens completum</w:t>
      </w:r>
      <w:r w:rsidRPr="00273106">
        <w:t>)</w:t>
      </w:r>
      <w:r>
        <w:t>, která je univerzálně predikována ve druhé substanci</w:t>
      </w:r>
      <w:r w:rsidRPr="00273106">
        <w:t xml:space="preserve">. Podle prvního averroismu je všechno ostatní kategoricky vyloučeno pod </w:t>
      </w:r>
      <w:r>
        <w:t xml:space="preserve">logickým trestem </w:t>
      </w:r>
      <w:r w:rsidRPr="00273106">
        <w:t>vyloučeného třetího (</w:t>
      </w:r>
      <w:r w:rsidRPr="00273106">
        <w:rPr>
          <w:i/>
        </w:rPr>
        <w:t>ita venit ad constitutionem tertii</w:t>
      </w:r>
      <w:r w:rsidRPr="00273106">
        <w:t>).</w:t>
      </w:r>
      <w:r>
        <w:t xml:space="preserve"> V modu </w:t>
      </w:r>
      <w:r w:rsidRPr="00222FC8">
        <w:rPr>
          <w:i/>
        </w:rPr>
        <w:t xml:space="preserve">per se </w:t>
      </w:r>
      <w:r>
        <w:t xml:space="preserve">a </w:t>
      </w:r>
      <w:r w:rsidRPr="00222FC8">
        <w:rPr>
          <w:i/>
        </w:rPr>
        <w:t>simpliciter</w:t>
      </w:r>
      <w:r w:rsidR="00A961BC">
        <w:t xml:space="preserve"> existují pouze reálné</w:t>
      </w:r>
      <w:r>
        <w:t xml:space="preserve"> první nebo kategoriální druh</w:t>
      </w:r>
      <w:r w:rsidR="00A961BC">
        <w:t>é</w:t>
      </w:r>
      <w:r>
        <w:t xml:space="preserve"> substance. </w:t>
      </w:r>
      <w:r w:rsidRPr="00273106">
        <w:t>Bonaventura s tímto kategorickým tvrzením souhlasí jen částečně (</w:t>
      </w:r>
      <w:r w:rsidRPr="00273106">
        <w:rPr>
          <w:i/>
        </w:rPr>
        <w:t>hoc non est verum generaliter</w:t>
      </w:r>
      <w:r w:rsidRPr="00273106">
        <w:t>). Proto vytvořil po v</w:t>
      </w:r>
      <w:r>
        <w:t>zoru Rufusova</w:t>
      </w:r>
      <w:r w:rsidRPr="00273106">
        <w:t xml:space="preserve"> </w:t>
      </w:r>
      <w:r>
        <w:t>objektivního</w:t>
      </w:r>
      <w:r w:rsidRPr="00273106">
        <w:t xml:space="preserve"> </w:t>
      </w:r>
      <w:r>
        <w:t xml:space="preserve">jsoucna třetího druhu </w:t>
      </w:r>
      <w:r w:rsidRPr="00273106">
        <w:t>i odpo</w:t>
      </w:r>
      <w:r>
        <w:t>vídající moderní subjekt třetího druhu. Duše je definována v modu univerzálního hyleformismu jako nová substance třetího druhu (</w:t>
      </w:r>
      <w:r w:rsidRPr="00AA19D2">
        <w:rPr>
          <w:i/>
        </w:rPr>
        <w:t>anima rationalis compositionem habeat ex materia et forma</w:t>
      </w:r>
      <w:r>
        <w:t xml:space="preserve">). </w:t>
      </w:r>
      <w:r w:rsidR="002C6AB7" w:rsidRPr="002C6AB7">
        <w:t xml:space="preserve">Objektivní Adam moderny vznikl </w:t>
      </w:r>
      <w:r w:rsidR="002C6AB7" w:rsidRPr="00440A86">
        <w:rPr>
          <w:i/>
        </w:rPr>
        <w:t>ex nihilo</w:t>
      </w:r>
      <w:r w:rsidR="002C6AB7">
        <w:rPr>
          <w:i/>
        </w:rPr>
        <w:fldChar w:fldCharType="begin"/>
      </w:r>
      <w:r w:rsidR="002C6AB7">
        <w:instrText xml:space="preserve"> XE "</w:instrText>
      </w:r>
      <w:r w:rsidR="002C6AB7" w:rsidRPr="00976B77">
        <w:rPr>
          <w:i/>
        </w:rPr>
        <w:instrText>creatio ex nihilo</w:instrText>
      </w:r>
      <w:r w:rsidR="002C6AB7">
        <w:instrText xml:space="preserve">" </w:instrText>
      </w:r>
      <w:r w:rsidR="002C6AB7">
        <w:rPr>
          <w:i/>
        </w:rPr>
        <w:fldChar w:fldCharType="end"/>
      </w:r>
      <w:r w:rsidR="002C6AB7" w:rsidRPr="002C6AB7">
        <w:t xml:space="preserve"> tím, že přijal duchovní hmotu a mytologickou formu, aby zahájil svou záz</w:t>
      </w:r>
      <w:r w:rsidR="004F059A">
        <w:t>račnou existenci v moderní filos</w:t>
      </w:r>
      <w:r w:rsidR="002C6AB7" w:rsidRPr="002C6AB7">
        <w:t xml:space="preserve">ofii. </w:t>
      </w:r>
      <w:r w:rsidR="003F4771">
        <w:t xml:space="preserve">Bonaventura převyprávěl platonský mýtus a ještě mnohem starší mýtus o dvou polovinách člověka, které se konečně složí dohromady díky naplněné touze jednoho </w:t>
      </w:r>
      <w:r w:rsidR="003F4771" w:rsidRPr="003F4771">
        <w:rPr>
          <w:i/>
        </w:rPr>
        <w:t>tertium ens</w:t>
      </w:r>
      <w:r w:rsidR="003F4771">
        <w:t xml:space="preserve"> po druhém. </w:t>
      </w:r>
      <w:r>
        <w:t xml:space="preserve">Duše </w:t>
      </w:r>
      <w:r w:rsidRPr="00273106">
        <w:t xml:space="preserve">ukončí svůj hlad po </w:t>
      </w:r>
      <w:r>
        <w:t>těle (</w:t>
      </w:r>
      <w:r w:rsidRPr="085C12CC">
        <w:rPr>
          <w:i/>
        </w:rPr>
        <w:t>appetitum tamen habet ad perficiendam corporalem naturam</w:t>
      </w:r>
      <w:r>
        <w:t>)</w:t>
      </w:r>
      <w:r w:rsidRPr="00273106">
        <w:t xml:space="preserve"> a </w:t>
      </w:r>
      <w:r>
        <w:t>tělo</w:t>
      </w:r>
      <w:r w:rsidR="0083794E">
        <w:t xml:space="preserve"> dojde k završení v</w:t>
      </w:r>
      <w:r w:rsidRPr="00273106">
        <w:t xml:space="preserve"> </w:t>
      </w:r>
      <w:r>
        <w:t xml:space="preserve">duši jako </w:t>
      </w:r>
      <w:r w:rsidRPr="00273106">
        <w:t>formě</w:t>
      </w:r>
      <w:r>
        <w:t xml:space="preserve"> (</w:t>
      </w:r>
      <w:r w:rsidRPr="085C12CC">
        <w:rPr>
          <w:i/>
        </w:rPr>
        <w:t>appetitum ad suscipiendam animam</w:t>
      </w:r>
      <w:r>
        <w:t>)</w:t>
      </w:r>
      <w:r w:rsidRPr="00273106">
        <w:t xml:space="preserve">. </w:t>
      </w:r>
      <w:r>
        <w:t>V</w:t>
      </w:r>
      <w:r w:rsidRPr="00273106">
        <w:t xml:space="preserve">še běží </w:t>
      </w:r>
      <w:r>
        <w:t>neoplatonsk</w:t>
      </w:r>
      <w:r w:rsidRPr="00273106">
        <w:t xml:space="preserve">ém scénáři dvou </w:t>
      </w:r>
      <w:r>
        <w:t xml:space="preserve">hypostázovaných porretánských substancí. Obě subsistentní </w:t>
      </w:r>
      <w:r w:rsidR="00B82009">
        <w:t xml:space="preserve">entity </w:t>
      </w:r>
      <w:r w:rsidRPr="00273106">
        <w:t>se hledají tak dlo</w:t>
      </w:r>
      <w:r w:rsidR="00B82009">
        <w:t>uho, až se najdou, protože každá</w:t>
      </w:r>
      <w:r w:rsidRPr="00273106">
        <w:t xml:space="preserve"> z </w:t>
      </w:r>
      <w:r>
        <w:t xml:space="preserve">nich má </w:t>
      </w:r>
      <w:r w:rsidRPr="00273106">
        <w:rPr>
          <w:i/>
        </w:rPr>
        <w:t>appetitus</w:t>
      </w:r>
      <w:r>
        <w:rPr>
          <w:i/>
        </w:rPr>
        <w:fldChar w:fldCharType="begin"/>
      </w:r>
      <w:r>
        <w:instrText xml:space="preserve"> XE "</w:instrText>
      </w:r>
      <w:r w:rsidRPr="007E6333">
        <w:rPr>
          <w:i/>
        </w:rPr>
        <w:instrText>appetitus</w:instrText>
      </w:r>
      <w:r>
        <w:instrText xml:space="preserve">" </w:instrText>
      </w:r>
      <w:r>
        <w:rPr>
          <w:i/>
        </w:rPr>
        <w:fldChar w:fldCharType="end"/>
      </w:r>
      <w:r w:rsidRPr="00273106">
        <w:t xml:space="preserve"> po </w:t>
      </w:r>
      <w:r>
        <w:t>druhé</w:t>
      </w:r>
      <w:r w:rsidR="00B82009">
        <w:t xml:space="preserve"> entitě.</w:t>
      </w:r>
      <w:r w:rsidRPr="00273106">
        <w:t xml:space="preserve"> </w:t>
      </w:r>
      <w:r>
        <w:t xml:space="preserve">Stejný scénář platí pro duši i pro tělo, protože obě jsou hylemorfické složeniny. </w:t>
      </w:r>
      <w:r w:rsidRPr="00273106">
        <w:t xml:space="preserve">V perspektivě mystického smyslu </w:t>
      </w:r>
      <w:r w:rsidR="00057A37" w:rsidRPr="000E47E2">
        <w:rPr>
          <w:i/>
          <w:szCs w:val="24"/>
        </w:rPr>
        <w:t>Cantica canticorum</w:t>
      </w:r>
      <w:r w:rsidRPr="00273106">
        <w:t xml:space="preserve"> již milenka nehledá milence, ale probuzená duše hledá Krista, stejně jako celá církev coby nevěsta Kristova.</w:t>
      </w:r>
      <w:r>
        <w:t xml:space="preserve"> To byl </w:t>
      </w:r>
      <w:r w:rsidRPr="00273106">
        <w:t xml:space="preserve">výklad </w:t>
      </w:r>
      <w:r w:rsidRPr="00B06C55">
        <w:rPr>
          <w:i/>
        </w:rPr>
        <w:t>Písně písní</w:t>
      </w:r>
      <w:r>
        <w:t xml:space="preserve"> od </w:t>
      </w:r>
      <w:r w:rsidRPr="00273106">
        <w:t>zakladatele cisterciáckého řádu Bernarda z Clairvaux</w:t>
      </w:r>
      <w:r>
        <w:fldChar w:fldCharType="begin"/>
      </w:r>
      <w:r>
        <w:instrText xml:space="preserve"> XE "</w:instrText>
      </w:r>
      <w:r w:rsidRPr="00824EFA">
        <w:instrText>Bernard z Clairvaux</w:instrText>
      </w:r>
      <w:r>
        <w:instrText xml:space="preserve">" </w:instrText>
      </w:r>
      <w:r>
        <w:fldChar w:fldCharType="end"/>
      </w:r>
      <w:r w:rsidRPr="00273106">
        <w:t xml:space="preserve"> </w:t>
      </w:r>
      <w:r>
        <w:t xml:space="preserve">v jeho kázáních okolo roku </w:t>
      </w:r>
      <w:r w:rsidRPr="008A37AA">
        <w:t>1135</w:t>
      </w:r>
      <w:r w:rsidRPr="00273106">
        <w:t xml:space="preserve"> (</w:t>
      </w:r>
      <w:r w:rsidRPr="00273106">
        <w:rPr>
          <w:i/>
        </w:rPr>
        <w:t>Sermones in Cantica canticorum</w:t>
      </w:r>
      <w:r w:rsidRPr="00273106">
        <w:t xml:space="preserve">). </w:t>
      </w:r>
      <w:r w:rsidR="007B3B0D">
        <w:t xml:space="preserve">Literárně nadaný </w:t>
      </w:r>
      <w:r w:rsidR="007B3B0D" w:rsidRPr="00273106">
        <w:t xml:space="preserve">Bonaventura předělal do metafyziky biblickou </w:t>
      </w:r>
      <w:r w:rsidR="007B3B0D" w:rsidRPr="00B06C55">
        <w:rPr>
          <w:i/>
        </w:rPr>
        <w:t>Píseň písní</w:t>
      </w:r>
      <w:r w:rsidR="007B3B0D" w:rsidRPr="00273106">
        <w:t xml:space="preserve">, která patřila k základnímu repertoáru mystické četby Písma. </w:t>
      </w:r>
    </w:p>
    <w:p w:rsidR="00D52527" w:rsidRDefault="08163013" w:rsidP="08163013">
      <w:r>
        <w:tab/>
      </w:r>
      <w:r w:rsidR="003F3358">
        <w:t>Předešlé matrice vyložily dv</w:t>
      </w:r>
      <w:r w:rsidR="00802825">
        <w:t xml:space="preserve">ojí formu </w:t>
      </w:r>
      <w:r w:rsidR="003F3358" w:rsidRPr="00273106">
        <w:t>odkrytosti (</w:t>
      </w:r>
      <w:r w:rsidR="00A70A07">
        <w:rPr>
          <w:i/>
        </w:rPr>
        <w:t>a</w:t>
      </w:r>
      <w:r w:rsidR="003F3358" w:rsidRPr="00273106">
        <w:rPr>
          <w:i/>
        </w:rPr>
        <w:t>létheia</w:t>
      </w:r>
      <w:r w:rsidR="003F3358">
        <w:rPr>
          <w:i/>
        </w:rPr>
        <w:fldChar w:fldCharType="begin"/>
      </w:r>
      <w:r w:rsidR="003F3358">
        <w:instrText xml:space="preserve"> XE "</w:instrText>
      </w:r>
      <w:r w:rsidR="00A70A07">
        <w:rPr>
          <w:i/>
          <w:lang w:eastAsia="en-US"/>
        </w:rPr>
        <w:instrText>a</w:instrText>
      </w:r>
      <w:r w:rsidR="003F3358" w:rsidRPr="08937E60">
        <w:rPr>
          <w:i/>
          <w:lang w:eastAsia="en-US"/>
        </w:rPr>
        <w:instrText>létheia</w:instrText>
      </w:r>
      <w:r w:rsidR="003F3358">
        <w:instrText xml:space="preserve">" </w:instrText>
      </w:r>
      <w:r w:rsidR="003F3358">
        <w:rPr>
          <w:i/>
        </w:rPr>
        <w:fldChar w:fldCharType="end"/>
      </w:r>
      <w:r w:rsidR="003F3358" w:rsidRPr="00273106">
        <w:t>)</w:t>
      </w:r>
      <w:r w:rsidR="003F3358">
        <w:t xml:space="preserve"> původní Averroesovy metafyziky podle Toledské a podle Sicilské školy. </w:t>
      </w:r>
      <w:r w:rsidR="003F3358" w:rsidRPr="00273106">
        <w:t>Hermeneutik</w:t>
      </w:r>
      <w:r w:rsidR="003F3358">
        <w:t xml:space="preserve">a musí zjistit, </w:t>
      </w:r>
      <w:proofErr w:type="gramStart"/>
      <w:r w:rsidR="002161AF">
        <w:t xml:space="preserve">jak </w:t>
      </w:r>
      <w:r w:rsidR="003F3358" w:rsidRPr="00273106">
        <w:t xml:space="preserve"> spadá</w:t>
      </w:r>
      <w:proofErr w:type="gramEnd"/>
      <w:r w:rsidR="003F3358" w:rsidRPr="00273106">
        <w:t xml:space="preserve"> Bonaventurovo pojetí receptivně-syntetizujícího i</w:t>
      </w:r>
      <w:r w:rsidR="003F3358">
        <w:t xml:space="preserve">ntelektu pod Albertovu kritiku shrnutou v odmítnuté nauce zvané </w:t>
      </w:r>
      <w:r w:rsidR="00485B9F">
        <w:t>„</w:t>
      </w:r>
      <w:r w:rsidR="003F3358" w:rsidRPr="00273106">
        <w:rPr>
          <w:i/>
        </w:rPr>
        <w:t>opinio Latinorum</w:t>
      </w:r>
      <w:r w:rsidR="00485B9F">
        <w:t>“</w:t>
      </w:r>
      <w:r w:rsidR="003F3358">
        <w:rPr>
          <w:i/>
        </w:rPr>
        <w:fldChar w:fldCharType="begin"/>
      </w:r>
      <w:r w:rsidR="003F3358">
        <w:instrText xml:space="preserve"> XE "druhý averroismus:</w:instrText>
      </w:r>
      <w:r w:rsidR="003F3358" w:rsidRPr="00894CD6">
        <w:rPr>
          <w:i/>
        </w:rPr>
        <w:instrText>opinio Latinorum</w:instrText>
      </w:r>
      <w:r w:rsidR="003F3358">
        <w:instrText xml:space="preserve">" </w:instrText>
      </w:r>
      <w:r w:rsidR="003F3358">
        <w:rPr>
          <w:i/>
        </w:rPr>
        <w:fldChar w:fldCharType="end"/>
      </w:r>
      <w:r w:rsidR="003F3358">
        <w:t xml:space="preserve">. </w:t>
      </w:r>
      <w:r>
        <w:t>Bonaventura po odmítnutí Averroese jako heretika n</w:t>
      </w:r>
      <w:r w:rsidRPr="00273106">
        <w:t xml:space="preserve">eviděl rozdíl mezi </w:t>
      </w:r>
      <w:r w:rsidRPr="00273106">
        <w:rPr>
          <w:i/>
        </w:rPr>
        <w:t>tertium</w:t>
      </w:r>
      <w:r w:rsidRPr="00273106">
        <w:t xml:space="preserve"> a </w:t>
      </w:r>
      <w:r w:rsidRPr="00273106">
        <w:rPr>
          <w:i/>
        </w:rPr>
        <w:t xml:space="preserve">quartum </w:t>
      </w:r>
      <w:r w:rsidR="00962190">
        <w:rPr>
          <w:i/>
        </w:rPr>
        <w:t>genus</w:t>
      </w:r>
      <w:r w:rsidR="009161CD">
        <w:t xml:space="preserve"> podle CMDA. Definice </w:t>
      </w:r>
      <w:r>
        <w:t xml:space="preserve">člověka </w:t>
      </w:r>
      <w:r w:rsidRPr="00273106">
        <w:t xml:space="preserve">se </w:t>
      </w:r>
      <w:r w:rsidR="009161CD">
        <w:t>r</w:t>
      </w:r>
      <w:r w:rsidRPr="00273106">
        <w:t>ozpadl</w:t>
      </w:r>
      <w:r w:rsidR="009161CD">
        <w:t>a</w:t>
      </w:r>
      <w:r w:rsidRPr="00273106">
        <w:t xml:space="preserve"> na dvě oddělené </w:t>
      </w:r>
      <w:r w:rsidR="009161CD">
        <w:t>substance</w:t>
      </w:r>
      <w:r w:rsidRPr="00273106">
        <w:t>.</w:t>
      </w:r>
      <w:r>
        <w:t xml:space="preserve"> </w:t>
      </w:r>
      <w:r w:rsidRPr="00273106">
        <w:t>Duše definovaná jako substance</w:t>
      </w:r>
      <w:r>
        <w:fldChar w:fldCharType="begin"/>
      </w:r>
      <w:r>
        <w:instrText xml:space="preserve"> XE "</w:instrText>
      </w:r>
      <w:r w:rsidRPr="00DE2A32">
        <w:instrText>substance</w:instrText>
      </w:r>
      <w:r>
        <w:instrText xml:space="preserve">:duše" </w:instrText>
      </w:r>
      <w:r>
        <w:fldChar w:fldCharType="end"/>
      </w:r>
      <w:r w:rsidRPr="00273106">
        <w:t xml:space="preserve"> třetího druhu </w:t>
      </w:r>
      <w:r>
        <w:t xml:space="preserve">nemá jak </w:t>
      </w:r>
      <w:r w:rsidRPr="00273106">
        <w:t xml:space="preserve">existovat. </w:t>
      </w:r>
      <w:r>
        <w:t xml:space="preserve">Averroesovo pojetí nemateriálního intelektu jako schopnosti duše se zásadně liší od </w:t>
      </w:r>
      <w:r>
        <w:lastRenderedPageBreak/>
        <w:t xml:space="preserve">Bonaventurova pojetí intelektu jako substance. Serafínský učitel patřil ke skupině Alvernem odmítnutých </w:t>
      </w:r>
      <w:r w:rsidRPr="00D82099">
        <w:rPr>
          <w:i/>
        </w:rPr>
        <w:t>sophistae Latini</w:t>
      </w:r>
      <w:r>
        <w:rPr>
          <w:i/>
        </w:rPr>
        <w:fldChar w:fldCharType="begin"/>
      </w:r>
      <w:r>
        <w:instrText xml:space="preserve"> XE "</w:instrText>
      </w:r>
      <w:r w:rsidRPr="00EC0AF4">
        <w:rPr>
          <w:i/>
          <w:lang w:eastAsia="en-US"/>
        </w:rPr>
        <w:instrText>sophistae Latini</w:instrText>
      </w:r>
      <w:r>
        <w:instrText xml:space="preserve">" </w:instrText>
      </w:r>
      <w:r>
        <w:rPr>
          <w:i/>
        </w:rPr>
        <w:fldChar w:fldCharType="end"/>
      </w:r>
      <w:r>
        <w:t xml:space="preserve"> a z chybně ustaveného dualismu sofisticky obvinil Averroese. </w:t>
      </w:r>
      <w:r w:rsidR="008332C8">
        <w:t>Představitelé prvního averroismu jako první začali používat t</w:t>
      </w:r>
      <w:r>
        <w:t xml:space="preserve">ermín </w:t>
      </w:r>
      <w:r w:rsidR="009161CD">
        <w:t>„</w:t>
      </w:r>
      <w:r w:rsidRPr="08961972">
        <w:rPr>
          <w:i/>
        </w:rPr>
        <w:t>Averroistae</w:t>
      </w:r>
      <w:r w:rsidR="009161CD">
        <w:t>“</w:t>
      </w:r>
      <w:r>
        <w:rPr>
          <w:i/>
        </w:rPr>
        <w:fldChar w:fldCharType="begin"/>
      </w:r>
      <w:r>
        <w:instrText xml:space="preserve"> XE "</w:instrText>
      </w:r>
      <w:r w:rsidRPr="088E1BC9">
        <w:instrText>druhý averroismus</w:instrText>
      </w:r>
      <w:r w:rsidRPr="08E31FF8">
        <w:rPr>
          <w:i/>
        </w:rPr>
        <w:instrText>:Averroistae</w:instrText>
      </w:r>
      <w:r>
        <w:instrText xml:space="preserve">" </w:instrText>
      </w:r>
      <w:r>
        <w:rPr>
          <w:i/>
        </w:rPr>
        <w:fldChar w:fldCharType="end"/>
      </w:r>
      <w:r>
        <w:t xml:space="preserve"> pro skupinu latinských sofistů kolem Bonaventury a Rufuse</w:t>
      </w:r>
      <w:r w:rsidR="008332C8">
        <w:t xml:space="preserve">. To bylo </w:t>
      </w:r>
      <w:r>
        <w:t xml:space="preserve">v době první bitvy o ovládnutí artistické fakulty na Rue du Fouarre v letech 1253‒55. Základní námitka prvního averroismu sledujícího linii CMDA se týká jednoty osoby, která se rozpadla na dvě nebo </w:t>
      </w:r>
      <w:r w:rsidR="08454CAA">
        <w:t>tři substance</w:t>
      </w:r>
      <w:r>
        <w:t>.</w:t>
      </w:r>
      <w:r w:rsidRPr="00273106">
        <w:t xml:space="preserve"> </w:t>
      </w:r>
      <w:r>
        <w:t xml:space="preserve">Spojení substancí do celku osoby má navíc pouze </w:t>
      </w:r>
      <w:r w:rsidRPr="00273106">
        <w:t>akcidentální</w:t>
      </w:r>
      <w:r>
        <w:t>,</w:t>
      </w:r>
      <w:r w:rsidRPr="00273106">
        <w:t xml:space="preserve"> a ne esenciální charakter. </w:t>
      </w:r>
      <w:r>
        <w:t>J</w:t>
      </w:r>
      <w:r w:rsidRPr="00273106">
        <w:t xml:space="preserve">ednota těla a duše </w:t>
      </w:r>
      <w:r>
        <w:t xml:space="preserve">u Bonaventury se definuje podle neoplatonského </w:t>
      </w:r>
      <w:r w:rsidRPr="00856032">
        <w:rPr>
          <w:i/>
        </w:rPr>
        <w:t>colligatio</w:t>
      </w:r>
      <w:r>
        <w:t>. Spojení těla a duše jako dvou substancí je dáno</w:t>
      </w:r>
      <w:r w:rsidRPr="00273106">
        <w:t xml:space="preserve"> pouze na úrovni </w:t>
      </w:r>
      <w:r w:rsidRPr="00273106">
        <w:rPr>
          <w:i/>
        </w:rPr>
        <w:t>appetitus</w:t>
      </w:r>
      <w:r>
        <w:rPr>
          <w:i/>
        </w:rPr>
        <w:fldChar w:fldCharType="begin"/>
      </w:r>
      <w:r>
        <w:instrText xml:space="preserve"> XE "</w:instrText>
      </w:r>
      <w:r w:rsidRPr="007E6333">
        <w:rPr>
          <w:i/>
        </w:rPr>
        <w:instrText>appetitus</w:instrText>
      </w:r>
      <w:r>
        <w:instrText xml:space="preserve">" </w:instrText>
      </w:r>
      <w:r>
        <w:rPr>
          <w:i/>
        </w:rPr>
        <w:fldChar w:fldCharType="end"/>
      </w:r>
      <w:r w:rsidRPr="00273106">
        <w:t xml:space="preserve"> vztaženého k tělu, které chce </w:t>
      </w:r>
      <w:r>
        <w:t>přijmout</w:t>
      </w:r>
      <w:r w:rsidRPr="00273106">
        <w:t xml:space="preserve"> duši jako formu (</w:t>
      </w:r>
      <w:r w:rsidRPr="00273106">
        <w:rPr>
          <w:i/>
        </w:rPr>
        <w:t>habet appetitum ad suscipiendam animam</w:t>
      </w:r>
      <w:r w:rsidRPr="00273106">
        <w:t xml:space="preserve">). </w:t>
      </w:r>
      <w:r>
        <w:t xml:space="preserve">Důvod nepřímé jednoty osoby je daný moderním averroismem. Materiální a nemateriální substance nemá žádný způsob, jak by se mohla spojit přímo. Teorie apetitu ukázala, že </w:t>
      </w:r>
      <w:r w:rsidR="00587D50">
        <w:t xml:space="preserve">Bonaventura </w:t>
      </w:r>
      <w:r w:rsidRPr="00273106">
        <w:t xml:space="preserve">chápe jednotu člověka jako primární metafyzickou dispozici vloženou do dvou oddělených substancí ve formě </w:t>
      </w:r>
      <w:r>
        <w:t xml:space="preserve">neoplatonské a mysticko-křesťanské symboliky </w:t>
      </w:r>
      <w:r w:rsidRPr="00273106">
        <w:t>(</w:t>
      </w:r>
      <w:r w:rsidRPr="00273106">
        <w:rPr>
          <w:i/>
        </w:rPr>
        <w:t>praeexigit in componentibus appetitum et inclinationem</w:t>
      </w:r>
      <w:r w:rsidRPr="00273106">
        <w:t xml:space="preserve">). Tato </w:t>
      </w:r>
      <w:r>
        <w:t xml:space="preserve">symbolická jednota člověka v modu </w:t>
      </w:r>
      <w:r w:rsidRPr="08AF67D9">
        <w:rPr>
          <w:i/>
        </w:rPr>
        <w:t>inclinatio</w:t>
      </w:r>
      <w:r>
        <w:t xml:space="preserve"> sleduje dialog </w:t>
      </w:r>
      <w:r w:rsidRPr="00207E68">
        <w:rPr>
          <w:i/>
        </w:rPr>
        <w:t>Symposion</w:t>
      </w:r>
      <w:r>
        <w:t>, v němž muž a žena eroticky hledá svou chybějící polovinu (</w:t>
      </w:r>
      <w:r w:rsidRPr="0005015D">
        <w:t xml:space="preserve">ἕκαστος οὖν ἡμῶν ἐστιν ἀνθρώπου </w:t>
      </w:r>
      <w:proofErr w:type="gramStart"/>
      <w:r w:rsidRPr="0005015D">
        <w:t>σύμβολον</w:t>
      </w:r>
      <w:r>
        <w:t>...ἐξ</w:t>
      </w:r>
      <w:proofErr w:type="gramEnd"/>
      <w:r>
        <w:t xml:space="preserve"> ἑνὸς δύο, </w:t>
      </w:r>
      <w:r w:rsidRPr="0005015D">
        <w:rPr>
          <w:i/>
        </w:rPr>
        <w:t>Symp</w:t>
      </w:r>
      <w:r>
        <w:t>. 191d1‒5</w:t>
      </w:r>
      <w:r w:rsidR="08D94059">
        <w:fldChar w:fldCharType="begin"/>
      </w:r>
      <w:r w:rsidR="08D94059">
        <w:instrText xml:space="preserve"> XE "Platon:</w:instrText>
      </w:r>
      <w:r w:rsidR="08D94059" w:rsidRPr="088359E7">
        <w:rPr>
          <w:i/>
        </w:rPr>
        <w:instrText>Symp</w:instrText>
      </w:r>
      <w:r w:rsidR="08D94059" w:rsidRPr="088359E7">
        <w:instrText>. 191d1‒5</w:instrText>
      </w:r>
      <w:r w:rsidR="08D94059">
        <w:instrText xml:space="preserve">" </w:instrText>
      </w:r>
      <w:r w:rsidR="08D94059">
        <w:fldChar w:fldCharType="end"/>
      </w:r>
      <w:r>
        <w:t xml:space="preserve">). Jednota moderního subjektu je dána </w:t>
      </w:r>
      <w:r w:rsidR="00B90CB2">
        <w:t>jako p</w:t>
      </w:r>
      <w:r w:rsidR="00B90CB2">
        <w:rPr>
          <w:szCs w:val="24"/>
        </w:rPr>
        <w:t xml:space="preserve">latonské </w:t>
      </w:r>
      <w:r w:rsidR="00B90CB2">
        <w:rPr>
          <w:i/>
          <w:szCs w:val="24"/>
        </w:rPr>
        <w:t>s</w:t>
      </w:r>
      <w:r w:rsidR="00B90CB2">
        <w:rPr>
          <w:rFonts w:cs="Calibri"/>
          <w:i/>
          <w:szCs w:val="24"/>
        </w:rPr>
        <w:t>ý</w:t>
      </w:r>
      <w:r w:rsidR="00B90CB2" w:rsidRPr="00680463">
        <w:rPr>
          <w:i/>
          <w:szCs w:val="24"/>
        </w:rPr>
        <w:t>mbolon</w:t>
      </w:r>
      <w:r>
        <w:t xml:space="preserve">, </w:t>
      </w:r>
      <w:r w:rsidR="002F2715">
        <w:t>což modernímu humanismu „člověka–</w:t>
      </w:r>
      <w:r>
        <w:t>mrtvoly</w:t>
      </w:r>
      <w:r w:rsidR="002F2715">
        <w:t>“</w:t>
      </w:r>
      <w:r>
        <w:t xml:space="preserve"> zcela postačuje. Bonaventurova definice osoby není </w:t>
      </w:r>
      <w:r w:rsidRPr="00273106">
        <w:t xml:space="preserve">dána </w:t>
      </w:r>
      <w:r>
        <w:t>aristotelsky</w:t>
      </w:r>
      <w:r w:rsidR="009A5A92">
        <w:t xml:space="preserve">, tedy </w:t>
      </w:r>
      <w:r w:rsidRPr="00273106">
        <w:t>na úrovni entelechie individuální první substance</w:t>
      </w:r>
      <w:r>
        <w:t xml:space="preserve"> dané hylemorficky. </w:t>
      </w:r>
      <w:r w:rsidRPr="00273106">
        <w:t>Bonaventura rozdělil s</w:t>
      </w:r>
      <w:r>
        <w:t>ubstanciální formu osoby na pluralitu hypostázovaných substancí postavených na principu univerzálního hylemorfismu</w:t>
      </w:r>
      <w:r>
        <w:fldChar w:fldCharType="begin"/>
      </w:r>
      <w:r>
        <w:instrText xml:space="preserve"> XE "</w:instrText>
      </w:r>
      <w:r w:rsidRPr="00423560">
        <w:instrText>univerzální hylemorfismus</w:instrText>
      </w:r>
      <w:r>
        <w:instrText xml:space="preserve">" </w:instrText>
      </w:r>
      <w:r>
        <w:fldChar w:fldCharType="end"/>
      </w:r>
      <w:r w:rsidRPr="00273106">
        <w:t xml:space="preserve">. </w:t>
      </w:r>
      <w:r>
        <w:t xml:space="preserve">Vznik </w:t>
      </w:r>
      <w:r w:rsidR="08287CFD">
        <w:t xml:space="preserve">moderního </w:t>
      </w:r>
      <w:r>
        <w:t xml:space="preserve">dualismu duše a těla je vidět na klasické větě z </w:t>
      </w:r>
      <w:r w:rsidRPr="08753707">
        <w:rPr>
          <w:i/>
        </w:rPr>
        <w:t>Kategorií</w:t>
      </w:r>
      <w:r>
        <w:t xml:space="preserve">, </w:t>
      </w:r>
      <w:r w:rsidRPr="084B2931">
        <w:rPr>
          <w:i/>
        </w:rPr>
        <w:t>Druhých analytik</w:t>
      </w:r>
      <w:r>
        <w:t xml:space="preserve"> a </w:t>
      </w:r>
      <w:r w:rsidRPr="084B2931">
        <w:rPr>
          <w:i/>
        </w:rPr>
        <w:t>De anima</w:t>
      </w:r>
      <w:r>
        <w:rPr>
          <w:i/>
        </w:rPr>
        <w:t xml:space="preserve"> </w:t>
      </w:r>
      <w:r>
        <w:t>414b31</w:t>
      </w:r>
      <w:r>
        <w:fldChar w:fldCharType="begin"/>
      </w:r>
      <w:r>
        <w:instrText xml:space="preserve"> XE "Aristoteles:</w:instrText>
      </w:r>
      <w:r w:rsidRPr="08105A2D">
        <w:rPr>
          <w:i/>
        </w:rPr>
        <w:instrText xml:space="preserve">De anima </w:instrText>
      </w:r>
      <w:r>
        <w:instrText xml:space="preserve">414b31" </w:instrText>
      </w:r>
      <w:r>
        <w:fldChar w:fldCharType="end"/>
      </w:r>
      <w:r>
        <w:t xml:space="preserve">, která pro spojení různorodých vlastností duše a těla používá přirovnání o </w:t>
      </w:r>
      <w:r w:rsidRPr="00273106">
        <w:t>trojúhelník</w:t>
      </w:r>
      <w:r>
        <w:t>u</w:t>
      </w:r>
      <w:r w:rsidRPr="00273106">
        <w:t xml:space="preserve"> v</w:t>
      </w:r>
      <w:r>
        <w:t xml:space="preserve">epsaném </w:t>
      </w:r>
      <w:r w:rsidRPr="00273106">
        <w:t xml:space="preserve">do </w:t>
      </w:r>
      <w:r>
        <w:t>čtyř</w:t>
      </w:r>
      <w:r w:rsidRPr="00273106">
        <w:t>úhelníka</w:t>
      </w:r>
      <w:r>
        <w:t>. Rozdíl mezi výkladem této pasáže mezi Janem z la Rochelle (</w:t>
      </w:r>
      <w:r w:rsidRPr="088E55A1">
        <w:rPr>
          <w:i/>
        </w:rPr>
        <w:t>Summa de anima</w:t>
      </w:r>
      <w:r>
        <w:t>, cap. 26, 6‒</w:t>
      </w:r>
      <w:r w:rsidRPr="088E55A1">
        <w:t>13</w:t>
      </w:r>
      <w:r w:rsidR="082956F0">
        <w:fldChar w:fldCharType="begin"/>
      </w:r>
      <w:r w:rsidR="082956F0">
        <w:instrText xml:space="preserve"> XE "La Rochelle:</w:instrText>
      </w:r>
      <w:r w:rsidR="082956F0" w:rsidRPr="08D37210">
        <w:rPr>
          <w:i/>
        </w:rPr>
        <w:instrText>Summa de anima</w:instrText>
      </w:r>
      <w:r w:rsidR="082956F0" w:rsidRPr="08D37210">
        <w:instrText>, cap. 26, 6‒13</w:instrText>
      </w:r>
      <w:r w:rsidR="082956F0">
        <w:instrText xml:space="preserve">" </w:instrText>
      </w:r>
      <w:r w:rsidR="082956F0">
        <w:fldChar w:fldCharType="end"/>
      </w:r>
      <w:r w:rsidRPr="088E55A1">
        <w:t>)</w:t>
      </w:r>
      <w:r>
        <w:t xml:space="preserve"> a Rufusem (</w:t>
      </w:r>
      <w:r w:rsidRPr="08095231">
        <w:rPr>
          <w:i/>
        </w:rPr>
        <w:t>In De anima</w:t>
      </w:r>
      <w:r>
        <w:t xml:space="preserve"> 1.1.7</w:t>
      </w:r>
      <w:r w:rsidR="082956F0">
        <w:fldChar w:fldCharType="begin"/>
      </w:r>
      <w:r w:rsidR="082956F0">
        <w:instrText xml:space="preserve"> XE "Rufus:</w:instrText>
      </w:r>
      <w:r w:rsidR="082956F0" w:rsidRPr="08610F0B">
        <w:rPr>
          <w:i/>
        </w:rPr>
        <w:instrText>In De anima</w:instrText>
      </w:r>
      <w:r w:rsidR="082956F0" w:rsidRPr="08610F0B">
        <w:instrText xml:space="preserve"> 1.1.7</w:instrText>
      </w:r>
      <w:r w:rsidR="082956F0">
        <w:instrText xml:space="preserve">" </w:instrText>
      </w:r>
      <w:r w:rsidR="082956F0">
        <w:fldChar w:fldCharType="end"/>
      </w:r>
      <w:r w:rsidR="082956F0">
        <w:t xml:space="preserve">) </w:t>
      </w:r>
      <w:r>
        <w:t xml:space="preserve">ukazuje, že </w:t>
      </w:r>
      <w:r w:rsidR="00A4145E">
        <w:t>jednota</w:t>
      </w:r>
      <w:r>
        <w:t xml:space="preserve"> moderního subjektu </w:t>
      </w:r>
      <w:r w:rsidR="00A4145E">
        <w:t xml:space="preserve">byla </w:t>
      </w:r>
      <w:r w:rsidR="0043246C">
        <w:t xml:space="preserve">tehdy </w:t>
      </w:r>
      <w:r w:rsidR="00A4145E">
        <w:t xml:space="preserve">dána </w:t>
      </w:r>
      <w:r>
        <w:t xml:space="preserve">v modu geometrické abstrakce </w:t>
      </w:r>
      <w:r w:rsidR="08287CFD">
        <w:t xml:space="preserve">jak v Paříži, tak v </w:t>
      </w:r>
      <w:r>
        <w:t>Oxfordu. G</w:t>
      </w:r>
      <w:r w:rsidRPr="00273106">
        <w:t xml:space="preserve">enerace </w:t>
      </w:r>
      <w:r>
        <w:t xml:space="preserve">pařížských </w:t>
      </w:r>
      <w:r w:rsidRPr="00273106">
        <w:t xml:space="preserve">objektivistů z řad druhého averroismu </w:t>
      </w:r>
      <w:r>
        <w:t xml:space="preserve">ovlivněná argumentací </w:t>
      </w:r>
      <w:r w:rsidRPr="00CD3ACF">
        <w:rPr>
          <w:i/>
        </w:rPr>
        <w:t>Oxfordian Fallacy</w:t>
      </w:r>
      <w:r>
        <w:t xml:space="preserve"> změnila </w:t>
      </w:r>
      <w:r>
        <w:lastRenderedPageBreak/>
        <w:t xml:space="preserve">mystické spojení duše a těla v modu </w:t>
      </w:r>
      <w:r w:rsidRPr="089E0A4F">
        <w:rPr>
          <w:i/>
        </w:rPr>
        <w:t>inclinatio</w:t>
      </w:r>
      <w:r w:rsidR="08876762">
        <w:t xml:space="preserve"> na analyticko-geometrickou</w:t>
      </w:r>
      <w:r>
        <w:t xml:space="preserve"> dedukci. </w:t>
      </w:r>
      <w:r w:rsidR="00AC5616">
        <w:t xml:space="preserve">Bonaventura přebral </w:t>
      </w:r>
      <w:r>
        <w:t xml:space="preserve">Rufusovo pojetí analytické jednoty </w:t>
      </w:r>
      <w:r w:rsidR="08337964">
        <w:t xml:space="preserve">osoby </w:t>
      </w:r>
      <w:r w:rsidR="00AC5616">
        <w:t>a tím spustil</w:t>
      </w:r>
      <w:r>
        <w:t xml:space="preserve"> </w:t>
      </w:r>
      <w:r w:rsidR="00272FFC">
        <w:t xml:space="preserve">další </w:t>
      </w:r>
      <w:r>
        <w:t>vlnu polemiky o jednotu osoby.</w:t>
      </w:r>
      <w:r w:rsidRPr="00273106">
        <w:rPr>
          <w:rStyle w:val="Znakapoznpodarou"/>
        </w:rPr>
        <w:footnoteReference w:id="51"/>
      </w:r>
      <w:r>
        <w:t xml:space="preserve"> Citované místo Bonaventurova komentáře k Sentencím založilo hojně diskutovaný argument jednoty forem v následném sporu o averroismus kolem 1270. </w:t>
      </w:r>
      <w:r w:rsidR="00272FFC">
        <w:t xml:space="preserve">Albert používá v duchu prvního averroismu </w:t>
      </w:r>
      <w:r>
        <w:t xml:space="preserve">Bonaventurou citovaný argument z </w:t>
      </w:r>
      <w:proofErr w:type="gramStart"/>
      <w:r w:rsidRPr="0097173F">
        <w:rPr>
          <w:i/>
        </w:rPr>
        <w:t>De</w:t>
      </w:r>
      <w:proofErr w:type="gramEnd"/>
      <w:r w:rsidRPr="0097173F">
        <w:rPr>
          <w:i/>
        </w:rPr>
        <w:t xml:space="preserve"> anima</w:t>
      </w:r>
      <w:r>
        <w:t xml:space="preserve"> 414b31</w:t>
      </w:r>
      <w:r>
        <w:fldChar w:fldCharType="begin"/>
      </w:r>
      <w:r>
        <w:instrText xml:space="preserve"> XE "Aristoteles:</w:instrText>
      </w:r>
      <w:r w:rsidRPr="000B2167">
        <w:rPr>
          <w:i/>
        </w:rPr>
        <w:instrText>De anima</w:instrText>
      </w:r>
      <w:r>
        <w:instrText xml:space="preserve"> </w:instrText>
      </w:r>
      <w:r w:rsidRPr="000B2167">
        <w:instrText>414b31</w:instrText>
      </w:r>
      <w:r>
        <w:instrText xml:space="preserve">" </w:instrText>
      </w:r>
      <w:r>
        <w:fldChar w:fldCharType="end"/>
      </w:r>
      <w:r>
        <w:t xml:space="preserve"> v</w:t>
      </w:r>
      <w:r w:rsidR="00272FFC">
        <w:t xml:space="preserve"> jeho </w:t>
      </w:r>
      <w:r>
        <w:t xml:space="preserve">komentáři </w:t>
      </w:r>
      <w:r w:rsidRPr="009808BD">
        <w:rPr>
          <w:i/>
        </w:rPr>
        <w:t>De anima</w:t>
      </w:r>
      <w:r>
        <w:t xml:space="preserve"> (</w:t>
      </w:r>
      <w:r w:rsidR="08D94059" w:rsidRPr="08D94059">
        <w:rPr>
          <w:i/>
        </w:rPr>
        <w:t>In De anima</w:t>
      </w:r>
      <w:r w:rsidR="08D94059">
        <w:t xml:space="preserve"> </w:t>
      </w:r>
      <w:r>
        <w:t>5, 126a</w:t>
      </w:r>
      <w:r w:rsidR="08D94059">
        <w:fldChar w:fldCharType="begin"/>
      </w:r>
      <w:r w:rsidR="08D94059">
        <w:instrText xml:space="preserve"> XE "</w:instrText>
      </w:r>
      <w:r w:rsidR="08D94059" w:rsidRPr="084E000D">
        <w:rPr>
          <w:i/>
        </w:rPr>
        <w:instrText>Albert:In De anima</w:instrText>
      </w:r>
      <w:r w:rsidR="08D94059" w:rsidRPr="084E000D">
        <w:instrText xml:space="preserve"> 5, 126a</w:instrText>
      </w:r>
      <w:r w:rsidR="08D94059">
        <w:instrText xml:space="preserve">" </w:instrText>
      </w:r>
      <w:r w:rsidR="08D94059">
        <w:fldChar w:fldCharType="end"/>
      </w:r>
      <w:r>
        <w:t xml:space="preserve">). Jenže Albert používá v duchu CMDA pouze termín </w:t>
      </w:r>
      <w:r w:rsidRPr="0843249E">
        <w:rPr>
          <w:i/>
        </w:rPr>
        <w:t>quidditas</w:t>
      </w:r>
      <w:r>
        <w:rPr>
          <w:i/>
        </w:rPr>
        <w:fldChar w:fldCharType="begin"/>
      </w:r>
      <w:r>
        <w:instrText xml:space="preserve"> XE "</w:instrText>
      </w:r>
      <w:r w:rsidRPr="08170AE2">
        <w:rPr>
          <w:i/>
        </w:rPr>
        <w:instrText>quidditas</w:instrText>
      </w:r>
      <w:r>
        <w:instrText xml:space="preserve">" </w:instrText>
      </w:r>
      <w:r>
        <w:rPr>
          <w:i/>
        </w:rPr>
        <w:fldChar w:fldCharType="end"/>
      </w:r>
      <w:r>
        <w:t xml:space="preserve"> a tím vypovídá o intelektu a duševních schopnostech v modu </w:t>
      </w:r>
      <w:r w:rsidRPr="0843249E">
        <w:rPr>
          <w:i/>
        </w:rPr>
        <w:t xml:space="preserve">quartum </w:t>
      </w:r>
      <w:r w:rsidR="00962190">
        <w:rPr>
          <w:i/>
        </w:rPr>
        <w:t>genus</w:t>
      </w:r>
      <w:r>
        <w:t xml:space="preserve"> daném v minulostním rázu predikace původně určené existenciálním aktem osoby (</w:t>
      </w:r>
      <w:r w:rsidRPr="08EA04FB">
        <w:rPr>
          <w:i/>
        </w:rPr>
        <w:t xml:space="preserve">tertium </w:t>
      </w:r>
      <w:r w:rsidR="00962190">
        <w:rPr>
          <w:i/>
        </w:rPr>
        <w:t>genus</w:t>
      </w:r>
      <w:r>
        <w:t xml:space="preserve">). Pak přirovnání platí ve </w:t>
      </w:r>
      <w:r w:rsidR="00C32A00">
        <w:t xml:space="preserve">univočním </w:t>
      </w:r>
      <w:r>
        <w:t>generickém modu logické abstrakce</w:t>
      </w:r>
      <w:r w:rsidR="00C32A00">
        <w:t>, což je chyba, na kterou Alberta upozornil Siger (kap. 4.4.4)</w:t>
      </w:r>
      <w:r>
        <w:t>. Semiaverroista Akvinský už používá tuto dedukci univočně, protože chápe intelekt jako hypostázovanou formu (</w:t>
      </w:r>
      <w:r w:rsidRPr="009703A2">
        <w:rPr>
          <w:i/>
        </w:rPr>
        <w:t xml:space="preserve">Quaestiones disputatae </w:t>
      </w:r>
      <w:proofErr w:type="gramStart"/>
      <w:r w:rsidRPr="009703A2">
        <w:rPr>
          <w:i/>
        </w:rPr>
        <w:t>De  anima</w:t>
      </w:r>
      <w:proofErr w:type="gramEnd"/>
      <w:r>
        <w:t>, q. 8</w:t>
      </w:r>
      <w:r>
        <w:fldChar w:fldCharType="begin"/>
      </w:r>
      <w:r>
        <w:instrText xml:space="preserve"> XE "Akvinský:</w:instrText>
      </w:r>
      <w:r w:rsidRPr="00A15045">
        <w:rPr>
          <w:i/>
        </w:rPr>
        <w:instrText xml:space="preserve">Quaestiones disputatae </w:instrText>
      </w:r>
      <w:proofErr w:type="gramStart"/>
      <w:r w:rsidRPr="00A15045">
        <w:rPr>
          <w:i/>
        </w:rPr>
        <w:instrText>De  anima</w:instrText>
      </w:r>
      <w:proofErr w:type="gramEnd"/>
      <w:r w:rsidR="08D94059" w:rsidRPr="08D94059">
        <w:instrText>, q. 8</w:instrText>
      </w:r>
      <w:r>
        <w:instrText xml:space="preserve">" </w:instrText>
      </w:r>
      <w:r>
        <w:fldChar w:fldCharType="end"/>
      </w:r>
      <w:r>
        <w:t xml:space="preserve">; </w:t>
      </w:r>
      <w:r>
        <w:rPr>
          <w:i/>
        </w:rPr>
        <w:t>De unitate intell</w:t>
      </w:r>
      <w:r w:rsidRPr="00584383">
        <w:rPr>
          <w:i/>
        </w:rPr>
        <w:t>ectu</w:t>
      </w:r>
      <w:r>
        <w:rPr>
          <w:i/>
        </w:rPr>
        <w:t xml:space="preserve">s </w:t>
      </w:r>
      <w:r>
        <w:t>2.49</w:t>
      </w:r>
      <w:r>
        <w:fldChar w:fldCharType="begin"/>
      </w:r>
      <w:r>
        <w:instrText xml:space="preserve"> XE "Akvinský:</w:instrText>
      </w:r>
      <w:r>
        <w:rPr>
          <w:i/>
        </w:rPr>
        <w:instrText>De unitate intellectus</w:instrText>
      </w:r>
      <w:r w:rsidR="08D94059">
        <w:rPr>
          <w:i/>
        </w:rPr>
        <w:instrText xml:space="preserve"> </w:instrText>
      </w:r>
      <w:r w:rsidR="08D94059" w:rsidRPr="08D94059">
        <w:instrText>2.49</w:instrText>
      </w:r>
      <w:r>
        <w:instrText xml:space="preserve">" </w:instrText>
      </w:r>
      <w:r>
        <w:fldChar w:fldCharType="end"/>
      </w:r>
      <w:r>
        <w:t xml:space="preserve">). </w:t>
      </w:r>
      <w:r w:rsidR="00403FC1">
        <w:t xml:space="preserve">V každém případě bylo pro Alberta i Akvinského zcela nepřijatelné </w:t>
      </w:r>
      <w:r w:rsidRPr="00273106">
        <w:t xml:space="preserve">pojetí </w:t>
      </w:r>
      <w:r>
        <w:t>člověka jako pochybné složeniny dvou či tří substancí</w:t>
      </w:r>
      <w:r w:rsidR="00403FC1">
        <w:t xml:space="preserve">, </w:t>
      </w:r>
      <w:r w:rsidRPr="00273106">
        <w:t xml:space="preserve">protože </w:t>
      </w:r>
      <w:r w:rsidR="00403FC1">
        <w:t xml:space="preserve">by </w:t>
      </w:r>
      <w:r w:rsidRPr="00273106">
        <w:t xml:space="preserve">zrušilo </w:t>
      </w:r>
      <w:r>
        <w:t xml:space="preserve">substanční </w:t>
      </w:r>
      <w:r w:rsidRPr="00273106">
        <w:t>jednotu lidské osoby</w:t>
      </w:r>
      <w:r>
        <w:fldChar w:fldCharType="begin"/>
      </w:r>
      <w:r>
        <w:instrText xml:space="preserve"> XE "</w:instrText>
      </w:r>
      <w:r w:rsidRPr="00B04197">
        <w:instrText>osoba:první averroismus</w:instrText>
      </w:r>
      <w:r>
        <w:instrText xml:space="preserve">" </w:instrText>
      </w:r>
      <w:r>
        <w:fldChar w:fldCharType="end"/>
      </w:r>
      <w:r w:rsidRPr="00273106">
        <w:t>.</w:t>
      </w:r>
      <w:r w:rsidR="008B2B12">
        <w:t xml:space="preserve"> Bonaventura ve falešném </w:t>
      </w:r>
      <w:r>
        <w:t xml:space="preserve">modu univocity převedl geomerický důkaz do úplně jiného rodu daného existenciálním výkonem existence. Taková jednota osoby byla pro první averroismus čistou sofistikou, protože popřela smysl </w:t>
      </w:r>
      <w:r w:rsidRPr="08256560">
        <w:rPr>
          <w:i/>
        </w:rPr>
        <w:t>Druhých analytik</w:t>
      </w:r>
      <w:r>
        <w:t xml:space="preserve">. Výukou a publikací prvních dvou částí Bonaventurových </w:t>
      </w:r>
      <w:r w:rsidR="00764EC2">
        <w:t xml:space="preserve">komentářů k </w:t>
      </w:r>
      <w:r w:rsidRPr="00764EC2">
        <w:t>Sentencí</w:t>
      </w:r>
      <w:r w:rsidR="00764EC2">
        <w:t>m</w:t>
      </w:r>
      <w:r>
        <w:t xml:space="preserve"> vznikl nejpozději okolo roku 1253</w:t>
      </w:r>
      <w:r w:rsidRPr="00273106">
        <w:t xml:space="preserve"> </w:t>
      </w:r>
      <w:r>
        <w:t xml:space="preserve">nový </w:t>
      </w:r>
      <w:r w:rsidRPr="00273106">
        <w:t>spor o pluralitu substancí v člověku</w:t>
      </w:r>
      <w:r>
        <w:t xml:space="preserve"> na Pařížské univerzitě</w:t>
      </w:r>
      <w:r w:rsidR="00764EC2">
        <w:t xml:space="preserve">. Ten se </w:t>
      </w:r>
      <w:r>
        <w:t>prohloubil příchod</w:t>
      </w:r>
      <w:r w:rsidR="00764EC2">
        <w:t>rm</w:t>
      </w:r>
      <w:r>
        <w:t xml:space="preserve"> moderního sofisty Rufuse z Oxfordu do Paříže v témže roce. </w:t>
      </w:r>
      <w:r w:rsidR="00B92265" w:rsidRPr="00B92265">
        <w:t xml:space="preserve">Magistři v Rue du Fouarre hájili filosofickou jednotu reálně existující osoby tím, že predikovali reálnou osobu na základě impozice, tj. jako </w:t>
      </w:r>
      <w:r w:rsidR="00B92265" w:rsidRPr="00B92265">
        <w:rPr>
          <w:i/>
        </w:rPr>
        <w:t>tertium genus</w:t>
      </w:r>
      <w:r w:rsidR="00B92265" w:rsidRPr="00B92265">
        <w:t xml:space="preserve">, v existenciálním modu </w:t>
      </w:r>
      <w:r w:rsidR="00B92265">
        <w:t>„</w:t>
      </w:r>
      <w:r w:rsidR="00B92265" w:rsidRPr="00B92265">
        <w:rPr>
          <w:i/>
        </w:rPr>
        <w:t>ipse</w:t>
      </w:r>
      <w:r w:rsidR="00B92265">
        <w:t>“</w:t>
      </w:r>
      <w:r w:rsidR="00B92265" w:rsidRPr="00B92265">
        <w:t xml:space="preserve"> podle CMDA. </w:t>
      </w:r>
      <w:r>
        <w:t xml:space="preserve">Moderna daná v pařížské škole </w:t>
      </w:r>
      <w:r w:rsidRPr="08D509E4">
        <w:rPr>
          <w:i/>
        </w:rPr>
        <w:t>Averroistae</w:t>
      </w:r>
      <w:r>
        <w:t xml:space="preserve"> přip</w:t>
      </w:r>
      <w:r w:rsidR="00F23441">
        <w:t xml:space="preserve">ravovala </w:t>
      </w:r>
      <w:r>
        <w:t>vznik n</w:t>
      </w:r>
      <w:r w:rsidR="00F23441">
        <w:t xml:space="preserve">ové katedry zřízené v roce 1255. V této době </w:t>
      </w:r>
      <w:r>
        <w:t xml:space="preserve">vytvořila oficiální averroismus, který předtím hlásali Rufus a Kilwardby v Oxfordu po roce 1250. Pak tito moderní </w:t>
      </w:r>
      <w:r w:rsidRPr="08513E74">
        <w:rPr>
          <w:i/>
        </w:rPr>
        <w:t>sophistate Latini</w:t>
      </w:r>
      <w:r>
        <w:t xml:space="preserve"> obvinili </w:t>
      </w:r>
      <w:r>
        <w:lastRenderedPageBreak/>
        <w:t xml:space="preserve">Averroese z vlastní chyby pomocí obranného mechanismu </w:t>
      </w:r>
      <w:r w:rsidRPr="08FD6B1A">
        <w:rPr>
          <w:i/>
        </w:rPr>
        <w:t>Verkehrung ins Gege</w:t>
      </w:r>
      <w:r>
        <w:rPr>
          <w:i/>
        </w:rPr>
        <w:t>n</w:t>
      </w:r>
      <w:r w:rsidRPr="08FD6B1A">
        <w:rPr>
          <w:i/>
        </w:rPr>
        <w:t>teil</w:t>
      </w:r>
      <w:r>
        <w:rPr>
          <w:i/>
        </w:rPr>
        <w:fldChar w:fldCharType="begin"/>
      </w:r>
      <w:r>
        <w:instrText xml:space="preserve"> XE "</w:instrText>
      </w:r>
      <w:r w:rsidRPr="08331DF6">
        <w:rPr>
          <w:i/>
        </w:rPr>
        <w:instrText>Verkehrung ins Gegenteil</w:instrText>
      </w:r>
      <w:r>
        <w:instrText xml:space="preserve">" </w:instrText>
      </w:r>
      <w:r>
        <w:rPr>
          <w:i/>
        </w:rPr>
        <w:fldChar w:fldCharType="end"/>
      </w:r>
      <w:r w:rsidR="00D52527">
        <w:t>.</w:t>
      </w:r>
    </w:p>
    <w:p w:rsidR="00D97E3A" w:rsidRDefault="00D52527" w:rsidP="00FB3CE9">
      <w:pPr>
        <w:ind w:firstLine="397"/>
      </w:pPr>
      <w:r>
        <w:t>U</w:t>
      </w:r>
      <w:r w:rsidRPr="00273106">
        <w:t>vedli jsme odmítavé sta</w:t>
      </w:r>
      <w:r>
        <w:t xml:space="preserve">novisko Alberta a jeho kritiku vzhledem k </w:t>
      </w:r>
      <w:r w:rsidRPr="00273106">
        <w:rPr>
          <w:i/>
        </w:rPr>
        <w:t>opinio Latinorum</w:t>
      </w:r>
      <w:r>
        <w:rPr>
          <w:i/>
        </w:rPr>
        <w:fldChar w:fldCharType="begin"/>
      </w:r>
      <w:r>
        <w:instrText xml:space="preserve"> XE "druhý averroismus:</w:instrText>
      </w:r>
      <w:r w:rsidRPr="00894CD6">
        <w:rPr>
          <w:i/>
        </w:rPr>
        <w:instrText>opinio Latinorum</w:instrText>
      </w:r>
      <w:r>
        <w:instrText xml:space="preserve">" </w:instrText>
      </w:r>
      <w:r>
        <w:rPr>
          <w:i/>
        </w:rPr>
        <w:fldChar w:fldCharType="end"/>
      </w:r>
      <w:r>
        <w:rPr>
          <w:i/>
        </w:rPr>
        <w:t xml:space="preserve"> </w:t>
      </w:r>
      <w:r w:rsidRPr="00D52527">
        <w:t>ohledně</w:t>
      </w:r>
      <w:r>
        <w:rPr>
          <w:i/>
        </w:rPr>
        <w:t xml:space="preserve"> </w:t>
      </w:r>
      <w:r>
        <w:t>plurality substancí v člověku</w:t>
      </w:r>
      <w:r w:rsidR="08163013" w:rsidRPr="00273106">
        <w:t xml:space="preserve">. Receptivní složka intelektu není substance ze dvou důvodů. </w:t>
      </w:r>
      <w:r w:rsidR="08163013">
        <w:t xml:space="preserve">Za prvé. Aristotelská jednota </w:t>
      </w:r>
      <w:r w:rsidR="080A5F7C">
        <w:t xml:space="preserve">nemateriálního </w:t>
      </w:r>
      <w:r w:rsidR="08163013">
        <w:t xml:space="preserve">intelektu a </w:t>
      </w:r>
      <w:r w:rsidR="080A5F7C">
        <w:t xml:space="preserve">materiálního </w:t>
      </w:r>
      <w:r w:rsidR="08163013">
        <w:t xml:space="preserve">těla je dána v modu </w:t>
      </w:r>
      <w:r w:rsidR="08163013" w:rsidRPr="00273106">
        <w:rPr>
          <w:i/>
        </w:rPr>
        <w:t>proportio</w:t>
      </w:r>
      <w:r w:rsidR="08163013" w:rsidRPr="00273106">
        <w:t>, což zakládá pojetí pravdy jako adekvace věci a intelektu</w:t>
      </w:r>
      <w:r w:rsidR="08163013">
        <w:t>. Toto pojetí pravdy</w:t>
      </w:r>
      <w:r w:rsidR="08642C26">
        <w:t>-</w:t>
      </w:r>
      <w:r w:rsidR="08642C26" w:rsidRPr="08642C26">
        <w:rPr>
          <w:i/>
        </w:rPr>
        <w:t>adaequatio</w:t>
      </w:r>
      <w:r w:rsidR="08163013">
        <w:t xml:space="preserve"> určující vědecké poznání osoby vylučuje </w:t>
      </w:r>
      <w:r w:rsidR="08163013" w:rsidRPr="00273106">
        <w:t>pravdu-</w:t>
      </w:r>
      <w:r w:rsidR="08163013">
        <w:rPr>
          <w:i/>
        </w:rPr>
        <w:t>coa</w:t>
      </w:r>
      <w:r w:rsidR="08163013" w:rsidRPr="00405A7D">
        <w:rPr>
          <w:i/>
        </w:rPr>
        <w:t>equatio</w:t>
      </w:r>
      <w:r w:rsidR="08163013">
        <w:rPr>
          <w:i/>
        </w:rPr>
        <w:fldChar w:fldCharType="begin"/>
      </w:r>
      <w:r w:rsidR="08163013">
        <w:instrText xml:space="preserve"> XE "pravda:</w:instrText>
      </w:r>
      <w:r w:rsidR="08163013" w:rsidRPr="00E11E1F">
        <w:rPr>
          <w:i/>
        </w:rPr>
        <w:instrText>coaequatio</w:instrText>
      </w:r>
      <w:r w:rsidR="08163013">
        <w:instrText xml:space="preserve">" </w:instrText>
      </w:r>
      <w:r w:rsidR="08163013">
        <w:rPr>
          <w:i/>
        </w:rPr>
        <w:fldChar w:fldCharType="end"/>
      </w:r>
      <w:r w:rsidR="08163013" w:rsidRPr="00273106">
        <w:t xml:space="preserve"> nebo pravdu-</w:t>
      </w:r>
      <w:r w:rsidR="08163013" w:rsidRPr="00273106">
        <w:rPr>
          <w:i/>
        </w:rPr>
        <w:t>rectitudo</w:t>
      </w:r>
      <w:r w:rsidR="08163013">
        <w:t xml:space="preserve">, které jsou </w:t>
      </w:r>
      <w:r w:rsidR="08163013" w:rsidRPr="00273106">
        <w:t xml:space="preserve">dané v univočním rámci </w:t>
      </w:r>
      <w:r w:rsidR="08163013">
        <w:t xml:space="preserve">hypostázovaných </w:t>
      </w:r>
      <w:r w:rsidR="00962190">
        <w:rPr>
          <w:i/>
        </w:rPr>
        <w:t>genus</w:t>
      </w:r>
      <w:r w:rsidR="08163013" w:rsidRPr="00273106">
        <w:t xml:space="preserve"> a </w:t>
      </w:r>
      <w:r w:rsidR="00962190">
        <w:rPr>
          <w:i/>
        </w:rPr>
        <w:t>species</w:t>
      </w:r>
      <w:r w:rsidR="08163013" w:rsidRPr="00273106">
        <w:t>. Za d</w:t>
      </w:r>
      <w:r w:rsidR="08163013">
        <w:t xml:space="preserve">ruhé. Podobnost intelektuálního a smyslového poznání podle CMDA zajišťuje formální kauzalita daná skrze diafanum </w:t>
      </w:r>
      <w:r w:rsidR="08163013" w:rsidRPr="00273106">
        <w:t>v pasivním intelektu (</w:t>
      </w:r>
      <w:r w:rsidR="08163013" w:rsidRPr="00273106">
        <w:rPr>
          <w:i/>
        </w:rPr>
        <w:t>simile formae</w:t>
      </w:r>
      <w:r w:rsidR="08163013" w:rsidRPr="00273106">
        <w:t xml:space="preserve">, </w:t>
      </w:r>
      <w:r w:rsidR="08163013" w:rsidRPr="00273106">
        <w:rPr>
          <w:i/>
        </w:rPr>
        <w:t>simile materiae</w:t>
      </w:r>
      <w:r w:rsidR="08163013" w:rsidRPr="00273106">
        <w:t xml:space="preserve">). </w:t>
      </w:r>
      <w:r w:rsidR="00840C30" w:rsidRPr="00840C30">
        <w:t>Všechny typy mystických a mytologických</w:t>
      </w:r>
      <w:r w:rsidR="00840C30">
        <w:fldChar w:fldCharType="begin"/>
      </w:r>
      <w:r w:rsidR="00840C30">
        <w:instrText xml:space="preserve"> XE "mytologie" </w:instrText>
      </w:r>
      <w:r w:rsidR="00840C30">
        <w:fldChar w:fldCharType="end"/>
      </w:r>
      <w:r w:rsidR="00840C30" w:rsidRPr="00840C30">
        <w:t xml:space="preserve"> analogií, které definují jednotu člověka, představují pouze metaforick</w:t>
      </w:r>
      <w:r w:rsidR="00840C30">
        <w:t>ou homonymní podobnost. Taková „jednota“</w:t>
      </w:r>
      <w:r w:rsidR="00840C30" w:rsidRPr="00840C30">
        <w:t xml:space="preserve"> nemůže založit kategorickou predikaci Aristotela a Averroese a jeho školy v Rue du Fouarre, protože pro ni není k</w:t>
      </w:r>
      <w:r w:rsidR="00840C30">
        <w:t xml:space="preserve"> dispozici žádný vědecký důkaz. </w:t>
      </w:r>
      <w:r w:rsidR="08163013">
        <w:t>Kritická aristotelská filosofie nemůže žít z platonských pohádek</w:t>
      </w:r>
      <w:r w:rsidR="08163013" w:rsidRPr="08E0751B">
        <w:t xml:space="preserve"> </w:t>
      </w:r>
      <w:r w:rsidR="08163013">
        <w:t xml:space="preserve">pro zbožný akademický lid. Protože osoba existuje jako jedna hyparchická substance, tak musí být predikována jako jedna univočně daná druhá substance. Jednota poznání musí mít kauzální spojení s realitou, jinak není pravdivá v aristotelském pojetí vědeckého deduktivního důkazu. Proto má </w:t>
      </w:r>
      <w:r w:rsidR="08163013" w:rsidRPr="00E53BD6">
        <w:rPr>
          <w:i/>
        </w:rPr>
        <w:t>intellectus possibilis</w:t>
      </w:r>
      <w:r w:rsidR="00EA05B4">
        <w:rPr>
          <w:i/>
        </w:rPr>
        <w:fldChar w:fldCharType="begin"/>
      </w:r>
      <w:r w:rsidR="00EA05B4">
        <w:instrText xml:space="preserve"> XE "</w:instrText>
      </w:r>
      <w:r w:rsidR="00EA05B4" w:rsidRPr="00B76C31">
        <w:rPr>
          <w:i/>
        </w:rPr>
        <w:instrText>intellectus possibilis</w:instrText>
      </w:r>
      <w:r w:rsidR="00EA05B4">
        <w:rPr>
          <w:i/>
        </w:rPr>
        <w:instrText>:</w:instrText>
      </w:r>
      <w:r w:rsidR="00EA05B4" w:rsidRPr="00030254">
        <w:instrText>Bonaventura</w:instrText>
      </w:r>
      <w:r w:rsidR="00EA05B4">
        <w:instrText xml:space="preserve">" </w:instrText>
      </w:r>
      <w:r w:rsidR="00EA05B4">
        <w:rPr>
          <w:i/>
        </w:rPr>
        <w:fldChar w:fldCharType="end"/>
      </w:r>
      <w:r w:rsidR="08163013">
        <w:t xml:space="preserve"> nemateriální povahu duševní potence dané v těle a není substancí. </w:t>
      </w:r>
      <w:r w:rsidR="08163013" w:rsidRPr="00273106">
        <w:t>Bonaventura odmítl prv</w:t>
      </w:r>
      <w:r w:rsidR="00EA05B4">
        <w:t>ní</w:t>
      </w:r>
      <w:r w:rsidR="08163013">
        <w:t xml:space="preserve"> averroismu</w:t>
      </w:r>
      <w:r w:rsidR="00EA05B4">
        <w:t>s</w:t>
      </w:r>
      <w:r w:rsidR="08163013">
        <w:t xml:space="preserve">, protože </w:t>
      </w:r>
      <w:r w:rsidR="00EA05B4">
        <w:t xml:space="preserve">měl </w:t>
      </w:r>
      <w:r w:rsidR="08163013">
        <w:t>dualitou dvou, či dokonce tří substancí</w:t>
      </w:r>
      <w:r w:rsidR="00EA05B4">
        <w:t xml:space="preserve"> v člověku</w:t>
      </w:r>
      <w:r w:rsidR="08163013">
        <w:t xml:space="preserve">. Serafínský učitel </w:t>
      </w:r>
      <w:r w:rsidR="08163013" w:rsidRPr="00273106">
        <w:t>ale nemá žádný problém, jak argumentačně odmítnout numerickou jednotu intelektu</w:t>
      </w:r>
      <w:r w:rsidR="08163013">
        <w:t xml:space="preserve"> ve všech lidech</w:t>
      </w:r>
      <w:r w:rsidR="08163013" w:rsidRPr="00273106">
        <w:t xml:space="preserve">, kterou mylně připsal </w:t>
      </w:r>
      <w:r w:rsidR="08163013">
        <w:t>Averroes</w:t>
      </w:r>
      <w:r w:rsidR="08163013" w:rsidRPr="00273106">
        <w:t xml:space="preserve">ovi. Nemateriální intelekt je </w:t>
      </w:r>
      <w:r w:rsidR="08163013">
        <w:t xml:space="preserve">přece </w:t>
      </w:r>
      <w:r w:rsidR="08163013" w:rsidRPr="00273106">
        <w:t>individualizovaný skrze spirituální materii. Navíc je jeho individualita dána jako subsistence</w:t>
      </w:r>
      <w:r w:rsidR="08163013">
        <w:fldChar w:fldCharType="begin"/>
      </w:r>
      <w:r w:rsidR="08163013">
        <w:instrText xml:space="preserve"> XE "</w:instrText>
      </w:r>
      <w:r w:rsidR="08163013" w:rsidRPr="001D1E42">
        <w:instrText>subsistence</w:instrText>
      </w:r>
      <w:r w:rsidR="08163013">
        <w:instrText xml:space="preserve">:intelekt" </w:instrText>
      </w:r>
      <w:r w:rsidR="08163013">
        <w:fldChar w:fldCharType="end"/>
      </w:r>
      <w:r w:rsidR="08163013" w:rsidRPr="00273106">
        <w:t xml:space="preserve"> v základním boethiovském rozlišení mezi esencí a existencí.</w:t>
      </w:r>
      <w:r w:rsidR="08163013">
        <w:t xml:space="preserve"> Zavedením individualizace intelektu skrze objektivní formu materie vznikl zcela zbytečný </w:t>
      </w:r>
      <w:r w:rsidR="08163013" w:rsidRPr="00273106">
        <w:t>a falešný spor o numerickou jednotu intelektu</w:t>
      </w:r>
      <w:r w:rsidR="08163013">
        <w:t>. Toto simulákrum přičetli moderní sofisté jako Rufus a Bonaventura samotnému Averroesovi vinou zásadní neznalosti jeho filosofie</w:t>
      </w:r>
      <w:r w:rsidR="08163013" w:rsidRPr="00273106">
        <w:t xml:space="preserve">. Albert všechny základní postuláty </w:t>
      </w:r>
      <w:r w:rsidR="08163013">
        <w:t>Averroes</w:t>
      </w:r>
      <w:r w:rsidR="0094657F">
        <w:t xml:space="preserve">e integroval už ve spise </w:t>
      </w:r>
      <w:r w:rsidR="08163013" w:rsidRPr="00273106">
        <w:rPr>
          <w:i/>
        </w:rPr>
        <w:t>De homine</w:t>
      </w:r>
      <w:r w:rsidR="08163013" w:rsidRPr="00273106">
        <w:t xml:space="preserve"> do figury spekulativního intelektu (</w:t>
      </w:r>
      <w:r w:rsidR="08163013" w:rsidRPr="00273106">
        <w:rPr>
          <w:i/>
        </w:rPr>
        <w:t>intellectus speculativus</w:t>
      </w:r>
      <w:r w:rsidR="08163013">
        <w:rPr>
          <w:i/>
        </w:rPr>
        <w:fldChar w:fldCharType="begin"/>
      </w:r>
      <w:r w:rsidR="08163013">
        <w:instrText xml:space="preserve"> XE "</w:instrText>
      </w:r>
      <w:r w:rsidR="08163013" w:rsidRPr="00E2134B">
        <w:rPr>
          <w:i/>
        </w:rPr>
        <w:instrText>intellectus speculativus:</w:instrText>
      </w:r>
      <w:r w:rsidR="08163013" w:rsidRPr="00E2134B">
        <w:instrText>A</w:instrText>
      </w:r>
      <w:r w:rsidR="08163013">
        <w:instrText xml:space="preserve">lbert" </w:instrText>
      </w:r>
      <w:r w:rsidR="08163013">
        <w:rPr>
          <w:i/>
        </w:rPr>
        <w:fldChar w:fldCharType="end"/>
      </w:r>
      <w:r w:rsidR="08163013" w:rsidRPr="00273106">
        <w:t>), který provádí syntézu individuálního myšlení a univerzálního obsahu (</w:t>
      </w:r>
      <w:r w:rsidR="083A78D5">
        <w:t>OB II, kap. 2</w:t>
      </w:r>
      <w:r w:rsidR="08163013" w:rsidRPr="00273106">
        <w:t xml:space="preserve">.4.2). </w:t>
      </w:r>
      <w:r w:rsidR="08163013">
        <w:t xml:space="preserve">Po </w:t>
      </w:r>
      <w:r w:rsidR="08163013">
        <w:lastRenderedPageBreak/>
        <w:t>publikaci první části tohoto spisu byl Albert jmenován m</w:t>
      </w:r>
      <w:r w:rsidR="00FB3CE9">
        <w:t>agistrem na Pařížské univerzitě</w:t>
      </w:r>
      <w:r w:rsidR="08163013">
        <w:t xml:space="preserve">. Spis </w:t>
      </w:r>
      <w:r w:rsidR="0094657F" w:rsidRPr="00273106">
        <w:rPr>
          <w:i/>
        </w:rPr>
        <w:t>De homine</w:t>
      </w:r>
      <w:r w:rsidR="0094657F" w:rsidRPr="00273106">
        <w:t xml:space="preserve"> </w:t>
      </w:r>
      <w:r w:rsidR="08163013">
        <w:t xml:space="preserve">byl psaný v Paříži ve stejné době, kdy se </w:t>
      </w:r>
      <w:r w:rsidR="0094657F">
        <w:t xml:space="preserve">zde </w:t>
      </w:r>
      <w:r w:rsidR="08163013">
        <w:t xml:space="preserve">šířila první verze </w:t>
      </w:r>
      <w:r w:rsidR="08163013" w:rsidRPr="00B353F3">
        <w:rPr>
          <w:i/>
        </w:rPr>
        <w:t>Oxfordian Fallacy</w:t>
      </w:r>
      <w:r w:rsidR="08163013">
        <w:rPr>
          <w:i/>
        </w:rPr>
        <w:fldChar w:fldCharType="begin"/>
      </w:r>
      <w:r w:rsidR="08163013">
        <w:instrText xml:space="preserve"> XE "</w:instrText>
      </w:r>
      <w:r w:rsidR="08163013" w:rsidRPr="0015798D">
        <w:rPr>
          <w:i/>
        </w:rPr>
        <w:instrText>Oxfordian Fallacy:</w:instrText>
      </w:r>
      <w:r w:rsidR="08163013" w:rsidRPr="00030254">
        <w:instrText>Rufus</w:instrText>
      </w:r>
      <w:r w:rsidR="08163013">
        <w:instrText xml:space="preserve">" </w:instrText>
      </w:r>
      <w:r w:rsidR="08163013">
        <w:rPr>
          <w:i/>
        </w:rPr>
        <w:fldChar w:fldCharType="end"/>
      </w:r>
      <w:r w:rsidR="0094657F">
        <w:t xml:space="preserve"> skrze Rufuse a Kilwardbyho. A v téže době </w:t>
      </w:r>
      <w:r w:rsidR="08163013">
        <w:t xml:space="preserve">v okruhu kompilárorů </w:t>
      </w:r>
      <w:r w:rsidR="08163013">
        <w:rPr>
          <w:i/>
        </w:rPr>
        <w:t>Summa H</w:t>
      </w:r>
      <w:r w:rsidR="08163013" w:rsidRPr="008E64EC">
        <w:rPr>
          <w:i/>
        </w:rPr>
        <w:t>alensis</w:t>
      </w:r>
      <w:r w:rsidR="08163013">
        <w:rPr>
          <w:i/>
        </w:rPr>
        <w:fldChar w:fldCharType="begin"/>
      </w:r>
      <w:r w:rsidR="08163013">
        <w:instrText xml:space="preserve"> XE "</w:instrText>
      </w:r>
      <w:r w:rsidR="08163013" w:rsidRPr="00791132">
        <w:rPr>
          <w:i/>
        </w:rPr>
        <w:instrText>Summa Halensis</w:instrText>
      </w:r>
      <w:r w:rsidR="08163013">
        <w:instrText xml:space="preserve">" </w:instrText>
      </w:r>
      <w:r w:rsidR="08163013">
        <w:rPr>
          <w:i/>
        </w:rPr>
        <w:fldChar w:fldCharType="end"/>
      </w:r>
      <w:r w:rsidR="08163013">
        <w:t xml:space="preserve"> začal vznikat averroismus Bonaventurovy školy, který šel do akademického světa </w:t>
      </w:r>
      <w:r w:rsidR="0094657F">
        <w:t xml:space="preserve">po roce </w:t>
      </w:r>
      <w:r w:rsidR="08163013">
        <w:t>1245. Toho roku začal Bonaventura oficiální výuku na Pařížské univerzitě. Ve stejném roce dochází k</w:t>
      </w:r>
      <w:r w:rsidR="00FB3CE9">
        <w:t xml:space="preserve"> výměně františkánského </w:t>
      </w:r>
      <w:r w:rsidR="00FB3CE9" w:rsidRPr="00FB3CE9">
        <w:rPr>
          <w:i/>
        </w:rPr>
        <w:t>magister</w:t>
      </w:r>
      <w:r w:rsidR="08163013" w:rsidRPr="00FB3CE9">
        <w:rPr>
          <w:i/>
        </w:rPr>
        <w:t xml:space="preserve"> regens</w:t>
      </w:r>
      <w:r w:rsidR="08163013">
        <w:t xml:space="preserve"> a akademicky poražený Rufus odchází brzy nato zpět do Oxfordu. Ze stejného důvodu a v témže roce odchází do Oxfordu z pařížské dominikánské koleje také poražený Kilwardby po kritice Alberta. Proto Bacon datuje vznik modernistických nauk v Oxfordu roku 1250</w:t>
      </w:r>
      <w:r w:rsidR="005857A9">
        <w:t>. To byla doba</w:t>
      </w:r>
      <w:r w:rsidR="00C220AE">
        <w:t xml:space="preserve"> 1245–50</w:t>
      </w:r>
      <w:r w:rsidR="005857A9">
        <w:t xml:space="preserve">, kdy </w:t>
      </w:r>
      <w:r w:rsidR="00F81C3E">
        <w:t>modernisté museli opustit Paříž a šli zpět do Oxfordu</w:t>
      </w:r>
      <w:r w:rsidR="08163013">
        <w:t>. Pilní ilumináti Bonaventura a Rufus úspěšně zavedli hypostázované pojetí duše a intelektu v modu univerzálního hylemorfismu</w:t>
      </w:r>
      <w:r w:rsidR="08163013" w:rsidRPr="0028350A">
        <w:t xml:space="preserve"> </w:t>
      </w:r>
      <w:r w:rsidR="08163013">
        <w:t>v na Pařížské univerzitě</w:t>
      </w:r>
      <w:r w:rsidR="08163013" w:rsidRPr="080476D8">
        <w:t xml:space="preserve"> </w:t>
      </w:r>
      <w:r w:rsidR="08163013">
        <w:t xml:space="preserve">letech 1253‒55. Albert už byl v této době v Kolíně a považoval toto řešení druhého averroismu za naprosto </w:t>
      </w:r>
      <w:r w:rsidR="08163013" w:rsidRPr="00273106">
        <w:t>sm</w:t>
      </w:r>
      <w:r w:rsidR="08163013">
        <w:t>ěšné, proto odmítl s modernisty akademicky diskutovat</w:t>
      </w:r>
      <w:r w:rsidR="08163013" w:rsidRPr="00273106">
        <w:t xml:space="preserve">. </w:t>
      </w:r>
      <w:r w:rsidR="08163013">
        <w:t>V Kolíně na dominikánském řádovém učilišti to šlo klidně udělat, ale nikoliv na Pařížské univerzitě. Důvod byl uvedený výše, totiž zavedení univerzálního hylemorfismu</w:t>
      </w:r>
      <w:r w:rsidR="08163013">
        <w:fldChar w:fldCharType="begin"/>
      </w:r>
      <w:r w:rsidR="08163013">
        <w:instrText xml:space="preserve"> XE "</w:instrText>
      </w:r>
      <w:r w:rsidR="08163013" w:rsidRPr="00423560">
        <w:instrText>univerzální hylemorfismus</w:instrText>
      </w:r>
      <w:r w:rsidR="08163013">
        <w:instrText xml:space="preserve">" </w:instrText>
      </w:r>
      <w:r w:rsidR="08163013">
        <w:fldChar w:fldCharType="end"/>
      </w:r>
      <w:r w:rsidR="08163013">
        <w:t xml:space="preserve"> a plurality substancí v člověku, které </w:t>
      </w:r>
      <w:proofErr w:type="gramStart"/>
      <w:r w:rsidR="08163013">
        <w:t>přišlo</w:t>
      </w:r>
      <w:proofErr w:type="gramEnd"/>
      <w:r w:rsidR="08163013">
        <w:t xml:space="preserve"> z Oxfordu do Paříže </w:t>
      </w:r>
      <w:proofErr w:type="gramStart"/>
      <w:r w:rsidR="08163013">
        <w:t>založilo</w:t>
      </w:r>
      <w:proofErr w:type="gramEnd"/>
      <w:r w:rsidR="08163013">
        <w:t xml:space="preserve"> školu </w:t>
      </w:r>
      <w:r w:rsidR="08163013" w:rsidRPr="088E1BC9">
        <w:rPr>
          <w:i/>
        </w:rPr>
        <w:t>Averroistae</w:t>
      </w:r>
      <w:r w:rsidR="08163013">
        <w:t xml:space="preserve">. Učení </w:t>
      </w:r>
      <w:r w:rsidR="08163013" w:rsidRPr="00273106">
        <w:t xml:space="preserve">Latiníci podle </w:t>
      </w:r>
      <w:r w:rsidR="08163013">
        <w:t xml:space="preserve">vůdčích představitelů </w:t>
      </w:r>
      <w:r w:rsidR="08163013" w:rsidRPr="00273106">
        <w:t xml:space="preserve">prvního averroismu </w:t>
      </w:r>
      <w:r w:rsidR="08163013">
        <w:t>v Paříži kolem 1240‒50 nepochopili Komentátora a tím ani Aristotela. Proto p</w:t>
      </w:r>
      <w:r w:rsidR="08163013" w:rsidRPr="00273106">
        <w:t xml:space="preserve">ředložili </w:t>
      </w:r>
      <w:r w:rsidR="08163013">
        <w:t xml:space="preserve">ve filosofii </w:t>
      </w:r>
      <w:r w:rsidR="08163013" w:rsidRPr="00273106">
        <w:t xml:space="preserve">rozpory takového rázu, že </w:t>
      </w:r>
      <w:r w:rsidR="08163013">
        <w:t xml:space="preserve">jejich omyly </w:t>
      </w:r>
      <w:r w:rsidR="08163013" w:rsidRPr="00273106">
        <w:t>zničily podstatu metafyziky jako první vědy</w:t>
      </w:r>
      <w:r w:rsidR="08163013">
        <w:t xml:space="preserve"> a ohrozily základy křesťanského pojetí člověka, které hájil biskup Alvernus</w:t>
      </w:r>
      <w:r w:rsidR="08163013" w:rsidRPr="00273106">
        <w:t xml:space="preserve">. </w:t>
      </w:r>
      <w:r w:rsidR="08163013">
        <w:t xml:space="preserve">To byl zásadní důvod, proč proti modernistům nevystoupil jen Bacon a Albert, ale výše uvedení sekulární magistři z Rue de  Fouarre. Aristotelikové </w:t>
      </w:r>
      <w:r w:rsidR="003532F4">
        <w:t xml:space="preserve">museli </w:t>
      </w:r>
      <w:r w:rsidR="08163013">
        <w:t xml:space="preserve">proti moderním averroistům bránit odkaz Alverna jako biskupa a kancléře univerzity. Cílem jejich kritiky bylo především </w:t>
      </w:r>
      <w:r w:rsidR="08163013" w:rsidRPr="00273106">
        <w:t>Bonaventurovo učení o jednotě intelektu</w:t>
      </w:r>
      <w:r w:rsidR="08163013">
        <w:t xml:space="preserve"> známé z jeho druhé knihy Sentencí publikované okolo roku 1252. A toto pojetí začali mendikanti oficiálně přednášet na vlastní fakultě zřízené roku 1255</w:t>
      </w:r>
      <w:r w:rsidR="08163013" w:rsidRPr="00273106">
        <w:t xml:space="preserve">. Důrazem na hyleformickou jednotu duše </w:t>
      </w:r>
      <w:r w:rsidR="08163013">
        <w:t xml:space="preserve">a intelektu </w:t>
      </w:r>
      <w:r w:rsidR="08163013" w:rsidRPr="00273106">
        <w:t xml:space="preserve">jako </w:t>
      </w:r>
      <w:r w:rsidR="00BB7899">
        <w:t>„</w:t>
      </w:r>
      <w:r w:rsidR="08163013" w:rsidRPr="00273106">
        <w:rPr>
          <w:i/>
        </w:rPr>
        <w:t>hoc aliquid</w:t>
      </w:r>
      <w:r w:rsidR="00BB7899">
        <w:t>“</w:t>
      </w:r>
      <w:r w:rsidR="08163013">
        <w:rPr>
          <w:i/>
        </w:rPr>
        <w:fldChar w:fldCharType="begin"/>
      </w:r>
      <w:r w:rsidR="08163013">
        <w:instrText xml:space="preserve"> XE "substance:duše" </w:instrText>
      </w:r>
      <w:r w:rsidR="08163013">
        <w:rPr>
          <w:i/>
        </w:rPr>
        <w:fldChar w:fldCharType="end"/>
      </w:r>
      <w:r w:rsidR="08163013" w:rsidRPr="00273106">
        <w:t xml:space="preserve"> si </w:t>
      </w:r>
      <w:r w:rsidR="08163013">
        <w:t xml:space="preserve">druhý averroismus </w:t>
      </w:r>
      <w:r w:rsidR="08163013" w:rsidRPr="00273106">
        <w:t>zahradil cestu, jak uchopit rozdíl mezi pasivní a aktivní potencí je</w:t>
      </w:r>
      <w:r w:rsidR="08163013">
        <w:t xml:space="preserve">dnoho a téhož intelektu v modu </w:t>
      </w:r>
      <w:r w:rsidR="00BB7899">
        <w:t>„</w:t>
      </w:r>
      <w:r w:rsidR="08163013" w:rsidRPr="00082ED4">
        <w:rPr>
          <w:i/>
        </w:rPr>
        <w:t>potentia</w:t>
      </w:r>
      <w:r w:rsidR="08163013">
        <w:t>‒</w:t>
      </w:r>
      <w:r w:rsidR="08163013" w:rsidRPr="00082ED4">
        <w:rPr>
          <w:i/>
        </w:rPr>
        <w:t>actus</w:t>
      </w:r>
      <w:r w:rsidR="00BB7899">
        <w:t>“</w:t>
      </w:r>
      <w:r w:rsidR="08163013" w:rsidRPr="00273106">
        <w:t>. Tento rozdíl tvoří zásadní část argumentace prvního averroismu sledujícího linii CMDA</w:t>
      </w:r>
      <w:r w:rsidR="08163013">
        <w:t xml:space="preserve"> podle Sicilské školy</w:t>
      </w:r>
      <w:r w:rsidR="08163013">
        <w:fldChar w:fldCharType="begin"/>
      </w:r>
      <w:r w:rsidR="08163013">
        <w:instrText xml:space="preserve"> XE "</w:instrText>
      </w:r>
      <w:r w:rsidR="08163013" w:rsidRPr="000E5AD4">
        <w:instrText>Sicilská škola</w:instrText>
      </w:r>
      <w:r w:rsidR="08163013">
        <w:instrText xml:space="preserve">" </w:instrText>
      </w:r>
      <w:r w:rsidR="08163013">
        <w:fldChar w:fldCharType="end"/>
      </w:r>
      <w:r w:rsidR="00D97E3A">
        <w:t>.</w:t>
      </w:r>
    </w:p>
    <w:p w:rsidR="08163013" w:rsidRPr="08A4315F" w:rsidRDefault="08163013" w:rsidP="00FB3CE9">
      <w:pPr>
        <w:ind w:firstLine="397"/>
      </w:pPr>
      <w:r w:rsidRPr="00273106">
        <w:lastRenderedPageBreak/>
        <w:t>Bonaventura vy</w:t>
      </w:r>
      <w:r w:rsidR="00D97E3A">
        <w:t xml:space="preserve">šel </w:t>
      </w:r>
      <w:r w:rsidRPr="00273106">
        <w:t>z obecně konstatovatelné nemateriality intele</w:t>
      </w:r>
      <w:r>
        <w:t>ktu jako aktuální formy, což je typické pojetí Toledské školy</w:t>
      </w:r>
      <w:r>
        <w:fldChar w:fldCharType="begin"/>
      </w:r>
      <w:r>
        <w:instrText xml:space="preserve"> XE "</w:instrText>
      </w:r>
      <w:r w:rsidRPr="00D00CC8">
        <w:instrText>Toledská škola</w:instrText>
      </w:r>
      <w:r>
        <w:instrText xml:space="preserve">" </w:instrText>
      </w:r>
      <w:r>
        <w:fldChar w:fldCharType="end"/>
      </w:r>
      <w:r w:rsidRPr="00273106">
        <w:t xml:space="preserve">. </w:t>
      </w:r>
      <w:r>
        <w:t>Moderna nemá definici duše jako formy těla</w:t>
      </w:r>
      <w:r w:rsidR="00F05835">
        <w:t xml:space="preserve">; její </w:t>
      </w:r>
      <w:r>
        <w:t>pojetí d</w:t>
      </w:r>
      <w:r w:rsidRPr="00273106">
        <w:t>uše jako substance obsa</w:t>
      </w:r>
      <w:r>
        <w:t>huje nedělitelný mix potence a aktu</w:t>
      </w:r>
      <w:r w:rsidRPr="00273106">
        <w:t xml:space="preserve">. První averroismus rozdíl </w:t>
      </w:r>
      <w:r>
        <w:t>mezi oběma výkony poznání p</w:t>
      </w:r>
      <w:r w:rsidRPr="00273106">
        <w:t xml:space="preserve">ochopitelně má, protože duše není substance, ale forma těla vykonávající pluralitu různých výkonů, pasivních i aktivních. Serafínský učitel vyvedl </w:t>
      </w:r>
      <w:r>
        <w:t xml:space="preserve">v modu Rufusova univerzálního hylemorfismu </w:t>
      </w:r>
      <w:r w:rsidRPr="00273106">
        <w:t>klíčovou diferenci mezi pasivní a aktivní složkou mimo nemateriální intelekt</w:t>
      </w:r>
      <w:r>
        <w:t xml:space="preserve"> do spirituálně pojaté materie. Materii třetího druhu pojal v rámci Rufusovy </w:t>
      </w:r>
      <w:r w:rsidRPr="00EC65F3">
        <w:rPr>
          <w:i/>
        </w:rPr>
        <w:t>potentia substantialis</w:t>
      </w:r>
      <w:r>
        <w:rPr>
          <w:i/>
        </w:rPr>
        <w:fldChar w:fldCharType="begin"/>
      </w:r>
      <w:r>
        <w:instrText xml:space="preserve"> XE "</w:instrText>
      </w:r>
      <w:r w:rsidRPr="00263A8E">
        <w:rPr>
          <w:i/>
        </w:rPr>
        <w:instrText>potentia substantialis</w:instrText>
      </w:r>
      <w:r>
        <w:instrText xml:space="preserve">" </w:instrText>
      </w:r>
      <w:r>
        <w:rPr>
          <w:i/>
        </w:rPr>
        <w:fldChar w:fldCharType="end"/>
      </w:r>
      <w:r>
        <w:t>, a navíc ji identifikoval se spirituální materií</w:t>
      </w:r>
      <w:r w:rsidRPr="00273106">
        <w:t xml:space="preserve">. </w:t>
      </w:r>
      <w:r>
        <w:t xml:space="preserve">Pak dostal moderní </w:t>
      </w:r>
      <w:r w:rsidRPr="00EC65F3">
        <w:rPr>
          <w:i/>
        </w:rPr>
        <w:t>intellectus possibilis</w:t>
      </w:r>
      <w:r w:rsidR="005C055C">
        <w:t xml:space="preserve"> </w:t>
      </w:r>
      <w:r>
        <w:t>objektivně-materiální charakter substance</w:t>
      </w:r>
      <w:r w:rsidR="005C055C">
        <w:t xml:space="preserve"> dané jako </w:t>
      </w:r>
      <w:r w:rsidR="005C055C" w:rsidRPr="005C055C">
        <w:rPr>
          <w:i/>
        </w:rPr>
        <w:t>tertium ens</w:t>
      </w:r>
      <w:r>
        <w:rPr>
          <w:i/>
        </w:rPr>
        <w:fldChar w:fldCharType="begin"/>
      </w:r>
      <w:r>
        <w:instrText xml:space="preserve"> XE "</w:instrText>
      </w:r>
      <w:r w:rsidRPr="00BE489A">
        <w:rPr>
          <w:i/>
        </w:rPr>
        <w:instrText>intellectus materialis:</w:instrText>
      </w:r>
      <w:r w:rsidRPr="0075302E">
        <w:instrText>moderna</w:instrText>
      </w:r>
      <w:r>
        <w:instrText xml:space="preserve">" </w:instrText>
      </w:r>
      <w:r>
        <w:rPr>
          <w:i/>
        </w:rPr>
        <w:fldChar w:fldCharType="end"/>
      </w:r>
      <w:r>
        <w:t xml:space="preserve">. Do substanciálního modu </w:t>
      </w:r>
      <w:r w:rsidRPr="00EC65F3">
        <w:rPr>
          <w:i/>
        </w:rPr>
        <w:t>intellectus possibilis</w:t>
      </w:r>
      <w:r>
        <w:t xml:space="preserve"> se dostal mix </w:t>
      </w:r>
      <w:r w:rsidRPr="00273106">
        <w:t>potence</w:t>
      </w:r>
      <w:r>
        <w:t xml:space="preserve"> a aktuality, který </w:t>
      </w:r>
      <w:r w:rsidR="08F04374">
        <w:t>se numericky individualizoval skrze spirituální materii</w:t>
      </w:r>
      <w:r>
        <w:t xml:space="preserve">. </w:t>
      </w:r>
      <w:r w:rsidRPr="00273106">
        <w:t xml:space="preserve">Bonaventura dal </w:t>
      </w:r>
      <w:r>
        <w:t xml:space="preserve">čistě </w:t>
      </w:r>
      <w:r w:rsidRPr="00273106">
        <w:t xml:space="preserve">receptivní schopnost intelektu o jedno patro dolů, to jest do materiálně založené smyslovosti. Tím předělal </w:t>
      </w:r>
      <w:r>
        <w:t>Averroes</w:t>
      </w:r>
      <w:r w:rsidRPr="00273106">
        <w:t xml:space="preserve">ův </w:t>
      </w:r>
      <w:r w:rsidRPr="00273106">
        <w:rPr>
          <w:i/>
        </w:rPr>
        <w:t>intellectus possibilis</w:t>
      </w:r>
      <w:r w:rsidRPr="00273106">
        <w:t xml:space="preserve"> na smyslový a materiálně založený </w:t>
      </w:r>
      <w:r w:rsidRPr="005D3ABF">
        <w:rPr>
          <w:i/>
        </w:rPr>
        <w:t>intellectus materialis</w:t>
      </w:r>
      <w:r>
        <w:t xml:space="preserve"> podle Alexandra</w:t>
      </w:r>
      <w:r>
        <w:fldChar w:fldCharType="begin"/>
      </w:r>
      <w:r>
        <w:instrText xml:space="preserve"> XE "Alexander, Afrodisias" </w:instrText>
      </w:r>
      <w:r>
        <w:fldChar w:fldCharType="end"/>
      </w:r>
      <w:r>
        <w:t xml:space="preserve"> a Themistia (</w:t>
      </w:r>
      <w:r w:rsidRPr="00273106">
        <w:t>νοῦς ὑλικ</w:t>
      </w:r>
      <w:r>
        <w:t>ός)</w:t>
      </w:r>
      <w:r>
        <w:fldChar w:fldCharType="begin"/>
      </w:r>
      <w:r>
        <w:instrText xml:space="preserve"> XE "</w:instrText>
      </w:r>
      <w:r w:rsidRPr="002255E5">
        <w:instrText>Themistius</w:instrText>
      </w:r>
      <w:r>
        <w:instrText xml:space="preserve">" </w:instrText>
      </w:r>
      <w:r>
        <w:fldChar w:fldCharType="end"/>
      </w:r>
      <w:r>
        <w:t>. A naopak duši povýšil o jedno patro nahoru a přidal ji ke kosmickým inteligencím se sofistickým odvoláním na Averroese.</w:t>
      </w:r>
      <w:r w:rsidRPr="088A5D2D">
        <w:t xml:space="preserve"> </w:t>
      </w:r>
      <w:r w:rsidRPr="00273106">
        <w:t>Aristotel</w:t>
      </w:r>
      <w:r>
        <w:t xml:space="preserve">ova </w:t>
      </w:r>
      <w:r w:rsidRPr="00F7376C">
        <w:rPr>
          <w:i/>
        </w:rPr>
        <w:t>Fyzika</w:t>
      </w:r>
      <w:r>
        <w:t xml:space="preserve"> komentovaná Averroesem (</w:t>
      </w:r>
      <w:r w:rsidRPr="00107260">
        <w:rPr>
          <w:i/>
        </w:rPr>
        <w:t>In Phys</w:t>
      </w:r>
      <w:r>
        <w:t>. III, q. 9</w:t>
      </w:r>
      <w:r>
        <w:fldChar w:fldCharType="begin"/>
      </w:r>
      <w:r>
        <w:instrText xml:space="preserve"> XE "Averroes:</w:instrText>
      </w:r>
      <w:r w:rsidRPr="006B68A1">
        <w:rPr>
          <w:i/>
        </w:rPr>
        <w:instrText>In Phys</w:instrText>
      </w:r>
      <w:r w:rsidRPr="006B68A1">
        <w:instrText>. III, q. 9</w:instrText>
      </w:r>
      <w:r>
        <w:instrText xml:space="preserve">" </w:instrText>
      </w:r>
      <w:r>
        <w:fldChar w:fldCharType="end"/>
      </w:r>
      <w:r>
        <w:t xml:space="preserve">) vylučuje čistou potenci </w:t>
      </w:r>
      <w:r w:rsidRPr="00273106">
        <w:t>u hvězdných nemateriálních substancí (</w:t>
      </w:r>
      <w:r w:rsidRPr="00273106">
        <w:rPr>
          <w:i/>
          <w:szCs w:val="11"/>
        </w:rPr>
        <w:t xml:space="preserve">in </w:t>
      </w:r>
      <w:r w:rsidRPr="00273106">
        <w:rPr>
          <w:i/>
          <w:szCs w:val="13"/>
        </w:rPr>
        <w:t xml:space="preserve">perpetuis </w:t>
      </w:r>
      <w:r w:rsidRPr="00273106">
        <w:rPr>
          <w:i/>
          <w:szCs w:val="14"/>
        </w:rPr>
        <w:t xml:space="preserve">non </w:t>
      </w:r>
      <w:r w:rsidRPr="00273106">
        <w:rPr>
          <w:i/>
          <w:szCs w:val="11"/>
        </w:rPr>
        <w:t xml:space="preserve">differt </w:t>
      </w:r>
      <w:r w:rsidRPr="00273106">
        <w:rPr>
          <w:i/>
          <w:szCs w:val="14"/>
        </w:rPr>
        <w:t xml:space="preserve">esse </w:t>
      </w:r>
      <w:r w:rsidRPr="00273106">
        <w:rPr>
          <w:i/>
          <w:szCs w:val="11"/>
        </w:rPr>
        <w:t xml:space="preserve">et </w:t>
      </w:r>
      <w:r w:rsidRPr="00273106">
        <w:rPr>
          <w:i/>
          <w:szCs w:val="14"/>
        </w:rPr>
        <w:t>posse</w:t>
      </w:r>
      <w:r w:rsidRPr="00273106">
        <w:t>)</w:t>
      </w:r>
      <w:r>
        <w:t xml:space="preserve">. Bonaventura </w:t>
      </w:r>
      <w:r w:rsidRPr="00273106">
        <w:t>použi</w:t>
      </w:r>
      <w:r>
        <w:t xml:space="preserve">l tento argument v </w:t>
      </w:r>
      <w:r w:rsidRPr="00273106">
        <w:t>sofistickém významu</w:t>
      </w:r>
      <w:r>
        <w:t xml:space="preserve"> vzhledem k materiální podstatě duše v modu </w:t>
      </w:r>
      <w:r w:rsidRPr="00FF47F6">
        <w:rPr>
          <w:i/>
        </w:rPr>
        <w:t>materia spiritualis</w:t>
      </w:r>
      <w:r>
        <w:rPr>
          <w:i/>
        </w:rPr>
        <w:fldChar w:fldCharType="begin"/>
      </w:r>
      <w:r>
        <w:instrText xml:space="preserve"> XE "</w:instrText>
      </w:r>
      <w:r w:rsidRPr="08A516BF">
        <w:instrText>materie</w:instrText>
      </w:r>
      <w:r>
        <w:rPr>
          <w:i/>
        </w:rPr>
        <w:instrText xml:space="preserve">:materia </w:instrText>
      </w:r>
      <w:r w:rsidRPr="00612581">
        <w:rPr>
          <w:i/>
        </w:rPr>
        <w:instrText>spiritualis</w:instrText>
      </w:r>
      <w:r>
        <w:instrText xml:space="preserve">" </w:instrText>
      </w:r>
      <w:r>
        <w:rPr>
          <w:i/>
        </w:rPr>
        <w:fldChar w:fldCharType="end"/>
      </w:r>
      <w:r>
        <w:t xml:space="preserve"> definované podle Davida z Dinantu skrze konjunkci lidského </w:t>
      </w:r>
      <w:r w:rsidRPr="08204799">
        <w:rPr>
          <w:i/>
        </w:rPr>
        <w:t>intellectus materialis</w:t>
      </w:r>
      <w:r>
        <w:t xml:space="preserve"> s jeho kosmickým dvojníkem daným jako kosmická potence. Tato primární kosmická materie vytváří kosmický intelekt třetího druhu daný jako mix kosmického </w:t>
      </w:r>
      <w:r w:rsidRPr="08E574B0">
        <w:rPr>
          <w:i/>
        </w:rPr>
        <w:t>intellectus agens</w:t>
      </w:r>
      <w:r>
        <w:t xml:space="preserve"> a </w:t>
      </w:r>
      <w:r w:rsidRPr="08E574B0">
        <w:rPr>
          <w:i/>
        </w:rPr>
        <w:t>possibilis</w:t>
      </w:r>
      <w:r>
        <w:t xml:space="preserve">. Podle Aristotela a Averroese nemůže být substanční </w:t>
      </w:r>
      <w:r w:rsidRPr="00273106">
        <w:t>aktualit</w:t>
      </w:r>
      <w:r>
        <w:t xml:space="preserve">a </w:t>
      </w:r>
      <w:r w:rsidRPr="00273106">
        <w:t>vztažen</w:t>
      </w:r>
      <w:r>
        <w:t>a</w:t>
      </w:r>
      <w:r w:rsidRPr="00273106">
        <w:t xml:space="preserve"> k definici lidské duše</w:t>
      </w:r>
      <w:r>
        <w:t xml:space="preserve">. Kvůli tělesnosti nemáme metafyzické bytí </w:t>
      </w:r>
      <w:r w:rsidRPr="00273106">
        <w:t>nemateriální hvězdné inteligence</w:t>
      </w:r>
      <w:r>
        <w:t>, která je čistou subsistentní a plně aktuální formou</w:t>
      </w:r>
      <w:r w:rsidRPr="00273106">
        <w:t xml:space="preserve">. </w:t>
      </w:r>
      <w:r>
        <w:t xml:space="preserve">Grosseteste použil odkaz na nejstarší latinský doložený Averroesův komentář </w:t>
      </w:r>
      <w:r w:rsidRPr="086276FC">
        <w:rPr>
          <w:i/>
        </w:rPr>
        <w:t>Fyziky</w:t>
      </w:r>
      <w:r>
        <w:t xml:space="preserve"> </w:t>
      </w:r>
      <w:r w:rsidRPr="08412596">
        <w:t xml:space="preserve">proti první verzi </w:t>
      </w:r>
      <w:r w:rsidR="000A234B">
        <w:t xml:space="preserve">moderního </w:t>
      </w:r>
      <w:r>
        <w:t>averroismu na Oxfordu (</w:t>
      </w:r>
      <w:r w:rsidR="08580F40">
        <w:t>OBJ II, kap. 3</w:t>
      </w:r>
      <w:r>
        <w:t xml:space="preserve">.2). A jako autor spisu </w:t>
      </w:r>
      <w:r>
        <w:rPr>
          <w:i/>
        </w:rPr>
        <w:t>De anima et de potenciis eius</w:t>
      </w:r>
      <w:r>
        <w:t xml:space="preserve"> argumentoval podobným způsobem proti rozpadu osoby u porretánů. Vznik moderního averroismu daného sofistickým výkladem Averroese ukazuje tento citát.</w:t>
      </w:r>
    </w:p>
    <w:p w:rsidR="08163013" w:rsidRDefault="08163013" w:rsidP="08163013">
      <w:pPr>
        <w:pStyle w:val="Citace"/>
      </w:pPr>
      <w:r w:rsidRPr="00273106">
        <w:rPr>
          <w:noProof/>
          <w:szCs w:val="9"/>
          <w:lang w:val="cs-CZ"/>
        </w:rPr>
        <w:lastRenderedPageBreak/>
        <w:t>„</w:t>
      </w:r>
      <w:r>
        <w:rPr>
          <w:noProof/>
          <w:szCs w:val="9"/>
          <w:lang w:val="cs-CZ"/>
        </w:rPr>
        <w:t xml:space="preserve">Filosof tvrdí, že </w:t>
      </w:r>
      <w:r>
        <w:rPr>
          <w:noProof/>
          <w:szCs w:val="10"/>
          <w:lang w:val="cs-CZ"/>
        </w:rPr>
        <w:t>'ve věčných substancích se neliší aktualita od potence</w:t>
      </w:r>
      <w:r>
        <w:rPr>
          <w:noProof/>
          <w:szCs w:val="14"/>
          <w:lang w:val="cs-CZ"/>
        </w:rPr>
        <w:t xml:space="preserve">'. Pak se neliší ani akt a potence, a tím spíše nižší a vyšší míra potence. A duše je věčná, stejně jako její intelekt. Pak není žádný rozdíl mezi </w:t>
      </w:r>
      <w:r w:rsidR="006968D9">
        <w:rPr>
          <w:noProof/>
          <w:szCs w:val="14"/>
          <w:lang w:val="cs-CZ"/>
        </w:rPr>
        <w:t xml:space="preserve">receptivní </w:t>
      </w:r>
      <w:r>
        <w:rPr>
          <w:noProof/>
          <w:szCs w:val="14"/>
          <w:lang w:val="cs-CZ"/>
        </w:rPr>
        <w:t>a aktivní částí duše (</w:t>
      </w:r>
      <w:r w:rsidRPr="00C43DBF">
        <w:rPr>
          <w:i/>
          <w:noProof/>
          <w:szCs w:val="14"/>
        </w:rPr>
        <w:t xml:space="preserve">non </w:t>
      </w:r>
      <w:r w:rsidRPr="00C43DBF">
        <w:rPr>
          <w:i/>
          <w:noProof/>
          <w:szCs w:val="11"/>
        </w:rPr>
        <w:t xml:space="preserve">est </w:t>
      </w:r>
      <w:r w:rsidRPr="00C43DBF">
        <w:rPr>
          <w:i/>
          <w:noProof/>
        </w:rPr>
        <w:t xml:space="preserve">differentia potentiae </w:t>
      </w:r>
      <w:r w:rsidRPr="00C43DBF">
        <w:rPr>
          <w:i/>
          <w:noProof/>
          <w:szCs w:val="11"/>
        </w:rPr>
        <w:t xml:space="preserve">possibilis </w:t>
      </w:r>
      <w:r w:rsidRPr="00C43DBF">
        <w:rPr>
          <w:i/>
          <w:noProof/>
          <w:szCs w:val="14"/>
        </w:rPr>
        <w:t>ad agentem</w:t>
      </w:r>
      <w:r>
        <w:rPr>
          <w:noProof/>
          <w:szCs w:val="14"/>
          <w:lang w:val="cs-CZ"/>
        </w:rPr>
        <w:t>).“ </w:t>
      </w:r>
      <w:r>
        <w:rPr>
          <w:rStyle w:val="Znakapoznpodarou"/>
        </w:rPr>
        <w:footnoteReference w:id="52"/>
      </w:r>
    </w:p>
    <w:p w:rsidR="08163013" w:rsidRDefault="08163013" w:rsidP="08163013">
      <w:r w:rsidRPr="00273106">
        <w:t>Bonaventura se nezdržuje detaily Aristotelovy argumentace a zdůrazňuje vlastní sofistický závěr, který potřebuje k obhájení duše jako substance</w:t>
      </w:r>
      <w:r>
        <w:t xml:space="preserve"> třetího druhu</w:t>
      </w:r>
      <w:r w:rsidRPr="00273106">
        <w:t xml:space="preserve">. Každá substance obsahuje směs aktuality a potenciality. </w:t>
      </w:r>
      <w:r>
        <w:t xml:space="preserve">Intelekt a duše jsou individuálními lidskými a kosmickými substancemi </w:t>
      </w:r>
      <w:r w:rsidRPr="000A14A3">
        <w:rPr>
          <w:i/>
        </w:rPr>
        <w:t>sui generis</w:t>
      </w:r>
      <w:r>
        <w:t>, proto mají potenci i aktualitu danou objektivně-univerzálně a subjektivně-hylemorficky. Citát zavedl do duše a i</w:t>
      </w:r>
      <w:r w:rsidR="00BB3ECC">
        <w:t xml:space="preserve">ntelektu materii třetího druhu </w:t>
      </w:r>
      <w:r>
        <w:t xml:space="preserve">ve formě hypostázované univerzální, a přitom individuální </w:t>
      </w:r>
      <w:r w:rsidR="00BB3ECC">
        <w:t>„</w:t>
      </w:r>
      <w:proofErr w:type="gramStart"/>
      <w:r w:rsidR="00BB3ECC">
        <w:t>potence</w:t>
      </w:r>
      <w:proofErr w:type="gramEnd"/>
      <w:r w:rsidR="00BB3ECC">
        <w:t>–</w:t>
      </w:r>
      <w:proofErr w:type="gramStart"/>
      <w:r>
        <w:t>substance</w:t>
      </w:r>
      <w:proofErr w:type="gramEnd"/>
      <w:r w:rsidR="00BB3ECC">
        <w:t>“</w:t>
      </w:r>
      <w:r>
        <w:t xml:space="preserve">. Tímto mixem přestala </w:t>
      </w:r>
      <w:r w:rsidRPr="00273106">
        <w:t xml:space="preserve">existovat Aristotelem a </w:t>
      </w:r>
      <w:r>
        <w:t>Averroes</w:t>
      </w:r>
      <w:r w:rsidRPr="00273106">
        <w:t>em zdůrazněná diference mezi recepti</w:t>
      </w:r>
      <w:r>
        <w:t>vní a syntetickou složkou inte</w:t>
      </w:r>
      <w:r w:rsidRPr="00273106">
        <w:t>lektu (</w:t>
      </w:r>
      <w:r w:rsidRPr="00273106">
        <w:rPr>
          <w:i/>
          <w:szCs w:val="13"/>
        </w:rPr>
        <w:t xml:space="preserve">ergo </w:t>
      </w:r>
      <w:r w:rsidRPr="00273106">
        <w:rPr>
          <w:i/>
          <w:szCs w:val="14"/>
        </w:rPr>
        <w:t xml:space="preserve">non </w:t>
      </w:r>
      <w:r w:rsidRPr="00273106">
        <w:rPr>
          <w:i/>
          <w:szCs w:val="11"/>
        </w:rPr>
        <w:t xml:space="preserve">est </w:t>
      </w:r>
      <w:r w:rsidRPr="00273106">
        <w:rPr>
          <w:i/>
        </w:rPr>
        <w:t xml:space="preserve">differentia potentiae </w:t>
      </w:r>
      <w:r w:rsidRPr="00273106">
        <w:rPr>
          <w:i/>
          <w:szCs w:val="11"/>
        </w:rPr>
        <w:t xml:space="preserve">possibilis </w:t>
      </w:r>
      <w:r w:rsidRPr="00273106">
        <w:rPr>
          <w:i/>
          <w:szCs w:val="14"/>
        </w:rPr>
        <w:t xml:space="preserve">ad </w:t>
      </w:r>
      <w:proofErr w:type="gramStart"/>
      <w:r w:rsidRPr="00273106">
        <w:rPr>
          <w:i/>
          <w:szCs w:val="14"/>
        </w:rPr>
        <w:t>agentem</w:t>
      </w:r>
      <w:proofErr w:type="gramEnd"/>
      <w:r w:rsidRPr="00273106">
        <w:t>)</w:t>
      </w:r>
      <w:r>
        <w:t xml:space="preserve">. Akvinský vzal Bonaventurovu argumentaci pro nebeské inteligence s tím, že obsahují jako stvořená jsoucna mix potence a aktuality. Pak s odvoláním na Komentátora vytvořil nové simulákrum komického </w:t>
      </w:r>
      <w:r w:rsidRPr="083967FC">
        <w:rPr>
          <w:i/>
        </w:rPr>
        <w:t>intellectus possibilis</w:t>
      </w:r>
      <w:r>
        <w:t xml:space="preserve"> a připsal jej ave</w:t>
      </w:r>
      <w:r w:rsidR="08916F51">
        <w:t>rroistickému Averroesovi (kap. 4</w:t>
      </w:r>
      <w:r>
        <w:t>.5.1). Moderna šla cestou a</w:t>
      </w:r>
      <w:r w:rsidRPr="00273106">
        <w:t>lexandrovců</w:t>
      </w:r>
      <w:r>
        <w:fldChar w:fldCharType="begin"/>
      </w:r>
      <w:r>
        <w:instrText xml:space="preserve"> XE "alexandrovci" </w:instrText>
      </w:r>
      <w:r>
        <w:fldChar w:fldCharType="end"/>
      </w:r>
      <w:r w:rsidRPr="00273106">
        <w:t xml:space="preserve">, </w:t>
      </w:r>
      <w:r w:rsidR="00311109">
        <w:t xml:space="preserve">což </w:t>
      </w:r>
      <w:r w:rsidRPr="00273106">
        <w:t xml:space="preserve">odmítl jak </w:t>
      </w:r>
      <w:r>
        <w:t>Averroes</w:t>
      </w:r>
      <w:r w:rsidRPr="00273106">
        <w:t xml:space="preserve">, tak i Albert. </w:t>
      </w:r>
      <w:r>
        <w:t xml:space="preserve">Analyzovali jsme příslušné </w:t>
      </w:r>
      <w:r w:rsidRPr="00273106">
        <w:t>pasáž</w:t>
      </w:r>
      <w:r>
        <w:t>e</w:t>
      </w:r>
      <w:r w:rsidRPr="00273106">
        <w:t xml:space="preserve"> CMDA, v níž </w:t>
      </w:r>
      <w:r>
        <w:t>Averroes</w:t>
      </w:r>
      <w:r w:rsidRPr="00273106">
        <w:t xml:space="preserve"> odmítá status </w:t>
      </w:r>
      <w:r w:rsidRPr="00273106">
        <w:rPr>
          <w:i/>
        </w:rPr>
        <w:t>intellectus possibilis</w:t>
      </w:r>
      <w:r w:rsidRPr="00273106">
        <w:t xml:space="preserve"> redukovaného na pouhý </w:t>
      </w:r>
      <w:r w:rsidRPr="00273106">
        <w:rPr>
          <w:i/>
        </w:rPr>
        <w:t>intellectus materialis</w:t>
      </w:r>
      <w:r w:rsidRPr="00273106">
        <w:t>, jak to má Alexander Afrodisias</w:t>
      </w:r>
      <w:r>
        <w:fldChar w:fldCharType="begin"/>
      </w:r>
      <w:r>
        <w:instrText xml:space="preserve"> XE "</w:instrText>
      </w:r>
      <w:r w:rsidRPr="00C0679D">
        <w:instrText>A</w:instrText>
      </w:r>
      <w:r>
        <w:instrText xml:space="preserve">lexander, Afrodisias" </w:instrText>
      </w:r>
      <w:r>
        <w:fldChar w:fldCharType="end"/>
      </w:r>
      <w:r>
        <w:t xml:space="preserve"> (</w:t>
      </w:r>
      <w:r w:rsidR="08916F51">
        <w:t xml:space="preserve">OBJ I, </w:t>
      </w:r>
      <w:r w:rsidRPr="00273106">
        <w:rPr>
          <w:rStyle w:val="Zkladntext158dkovn0pt"/>
          <w:color w:val="auto"/>
          <w:spacing w:val="0"/>
          <w:sz w:val="24"/>
          <w:lang w:val="cs-CZ"/>
        </w:rPr>
        <w:t>kap. 2.4.2</w:t>
      </w:r>
      <w:r>
        <w:t>)</w:t>
      </w:r>
      <w:r w:rsidRPr="00273106">
        <w:t xml:space="preserve">. </w:t>
      </w:r>
      <w:r>
        <w:t>Averroes</w:t>
      </w:r>
      <w:r w:rsidRPr="00273106">
        <w:t xml:space="preserve"> argument</w:t>
      </w:r>
      <w:r w:rsidR="009E21FF">
        <w:t xml:space="preserve">oval </w:t>
      </w:r>
      <w:r w:rsidRPr="00273106">
        <w:t xml:space="preserve">proti </w:t>
      </w:r>
      <w:r>
        <w:t xml:space="preserve">Themistiovi, </w:t>
      </w:r>
      <w:r w:rsidRPr="00273106">
        <w:t xml:space="preserve">Theofrastovi a proti jejich </w:t>
      </w:r>
      <w:r>
        <w:t xml:space="preserve">moderní </w:t>
      </w:r>
      <w:r w:rsidRPr="00273106">
        <w:t>verzi ve falsafě (Ibn Bája</w:t>
      </w:r>
      <w:r>
        <w:fldChar w:fldCharType="begin"/>
      </w:r>
      <w:r>
        <w:instrText xml:space="preserve"> XE "</w:instrText>
      </w:r>
      <w:r w:rsidRPr="007039DF">
        <w:instrText>Ibn Bája</w:instrText>
      </w:r>
      <w:r>
        <w:instrText xml:space="preserve">" </w:instrText>
      </w:r>
      <w:r>
        <w:fldChar w:fldCharType="end"/>
      </w:r>
      <w:r w:rsidRPr="00273106">
        <w:t xml:space="preserve">, Avicenna) </w:t>
      </w:r>
      <w:r w:rsidR="009E21FF">
        <w:t>s tím</w:t>
      </w:r>
      <w:r w:rsidRPr="00273106">
        <w:t xml:space="preserve">, že pasivní intelekt v člověku </w:t>
      </w:r>
      <w:r>
        <w:t xml:space="preserve">nemůže být </w:t>
      </w:r>
      <w:r w:rsidRPr="00273106">
        <w:t>substance (</w:t>
      </w:r>
      <w:r w:rsidRPr="00273106">
        <w:rPr>
          <w:i/>
        </w:rPr>
        <w:t>hoc aliquid</w:t>
      </w:r>
      <w:r w:rsidRPr="00273106">
        <w:t xml:space="preserve">). První averroismus zavedl diferenci mezi pasivitou a aktivou do </w:t>
      </w:r>
      <w:r w:rsidR="001E0A9E">
        <w:t xml:space="preserve">personalizovaného </w:t>
      </w:r>
      <w:r w:rsidRPr="00273106">
        <w:t>nemateriálního intelektu (</w:t>
      </w:r>
      <w:r w:rsidRPr="00273106">
        <w:rPr>
          <w:i/>
        </w:rPr>
        <w:t>intellectus</w:t>
      </w:r>
      <w:r w:rsidRPr="00273106">
        <w:t xml:space="preserve"> </w:t>
      </w:r>
      <w:r w:rsidRPr="00273106">
        <w:rPr>
          <w:i/>
        </w:rPr>
        <w:t>possibilis</w:t>
      </w:r>
      <w:r w:rsidRPr="00273106">
        <w:t xml:space="preserve">, </w:t>
      </w:r>
      <w:r w:rsidRPr="00273106">
        <w:rPr>
          <w:i/>
        </w:rPr>
        <w:t>agens</w:t>
      </w:r>
      <w:r>
        <w:t>). T</w:t>
      </w:r>
      <w:r w:rsidRPr="00273106">
        <w:t xml:space="preserve">yto jasně </w:t>
      </w:r>
      <w:r>
        <w:t xml:space="preserve">odlišení </w:t>
      </w:r>
      <w:r w:rsidRPr="00273106">
        <w:t>výkony intelektu byly sjednoceny v aktuálním aktu bytí hylemorfické substance (</w:t>
      </w:r>
      <w:r w:rsidRPr="00273106">
        <w:rPr>
          <w:i/>
        </w:rPr>
        <w:t>intellectus speculativus</w:t>
      </w:r>
      <w:r>
        <w:rPr>
          <w:i/>
        </w:rPr>
        <w:fldChar w:fldCharType="begin"/>
      </w:r>
      <w:r>
        <w:instrText xml:space="preserve"> XE "</w:instrText>
      </w:r>
      <w:r w:rsidRPr="00E2134B">
        <w:rPr>
          <w:i/>
        </w:rPr>
        <w:instrText>intellectus speculativus</w:instrText>
      </w:r>
      <w:r>
        <w:instrText xml:space="preserve">" </w:instrText>
      </w:r>
      <w:r>
        <w:rPr>
          <w:i/>
        </w:rPr>
        <w:fldChar w:fldCharType="end"/>
      </w:r>
      <w:r w:rsidRPr="00273106">
        <w:t>).</w:t>
      </w:r>
      <w:r w:rsidRPr="00852E7D">
        <w:t xml:space="preserve"> </w:t>
      </w:r>
      <w:r w:rsidRPr="00273106">
        <w:t xml:space="preserve">Mimo </w:t>
      </w:r>
      <w:r>
        <w:t>řešení Averroes</w:t>
      </w:r>
      <w:r w:rsidRPr="00273106">
        <w:t xml:space="preserve">e </w:t>
      </w:r>
      <w:r>
        <w:t xml:space="preserve">jiná opravdová vize </w:t>
      </w:r>
      <w:r w:rsidRPr="00273106">
        <w:t>substanc</w:t>
      </w:r>
      <w:r>
        <w:t>iální jednoty člověka neexistovala a dodnes neexistuje</w:t>
      </w:r>
      <w:r w:rsidRPr="00273106">
        <w:t xml:space="preserve">, což </w:t>
      </w:r>
      <w:r>
        <w:t>tvrdili</w:t>
      </w:r>
      <w:r w:rsidRPr="00273106">
        <w:t xml:space="preserve"> představitelé prvního averroismu</w:t>
      </w:r>
      <w:r>
        <w:t xml:space="preserve"> od samého začátku. Modernímu Bonaventurovi </w:t>
      </w:r>
      <w:r w:rsidRPr="00273106">
        <w:t>se osoba rozpadla na dvě komplementární substance</w:t>
      </w:r>
      <w:r>
        <w:t xml:space="preserve"> spojené symbolickým apetitem</w:t>
      </w:r>
      <w:r>
        <w:fldChar w:fldCharType="begin"/>
      </w:r>
      <w:r>
        <w:instrText xml:space="preserve"> XE "</w:instrText>
      </w:r>
      <w:r w:rsidRPr="00071B24">
        <w:instrText>osoba:dualismus</w:instrText>
      </w:r>
      <w:r>
        <w:instrText xml:space="preserve">" </w:instrText>
      </w:r>
      <w:r>
        <w:fldChar w:fldCharType="end"/>
      </w:r>
      <w:r>
        <w:t xml:space="preserve">. Tělo je dané hylemorficky tělesně, intelekt a duše existují hylemorficky objektivně. </w:t>
      </w:r>
      <w:r w:rsidRPr="00273106">
        <w:t xml:space="preserve">Duše jako nemateriální substance typu </w:t>
      </w:r>
      <w:r w:rsidR="00B63466">
        <w:t>„</w:t>
      </w:r>
      <w:r w:rsidRPr="00273106">
        <w:rPr>
          <w:i/>
        </w:rPr>
        <w:t xml:space="preserve">hoc </w:t>
      </w:r>
      <w:r w:rsidRPr="00273106">
        <w:rPr>
          <w:i/>
        </w:rPr>
        <w:lastRenderedPageBreak/>
        <w:t>aliquid</w:t>
      </w:r>
      <w:r w:rsidR="00B63466">
        <w:t>“</w:t>
      </w:r>
      <w:r w:rsidRPr="00273106">
        <w:t xml:space="preserve"> nemůže </w:t>
      </w:r>
      <w:r>
        <w:t xml:space="preserve">mít v moderně čistě pasivní potenci </w:t>
      </w:r>
      <w:r w:rsidRPr="00273106">
        <w:t xml:space="preserve">na způsob Aristotelova intelektu jako </w:t>
      </w:r>
      <w:r w:rsidRPr="00273106">
        <w:rPr>
          <w:i/>
        </w:rPr>
        <w:t>tabula rasa</w:t>
      </w:r>
      <w:r>
        <w:rPr>
          <w:i/>
        </w:rPr>
        <w:fldChar w:fldCharType="begin"/>
      </w:r>
      <w:r>
        <w:instrText xml:space="preserve"> XE "</w:instrText>
      </w:r>
      <w:r w:rsidRPr="00CE6D17">
        <w:rPr>
          <w:i/>
        </w:rPr>
        <w:instrText>tabula rasa</w:instrText>
      </w:r>
      <w:r>
        <w:instrText xml:space="preserve">" </w:instrText>
      </w:r>
      <w:r>
        <w:rPr>
          <w:i/>
        </w:rPr>
        <w:fldChar w:fldCharType="end"/>
      </w:r>
      <w:r>
        <w:t xml:space="preserve"> nebo čistého </w:t>
      </w:r>
      <w:r w:rsidR="00B63466">
        <w:t>aktu jako „</w:t>
      </w:r>
      <w:r w:rsidRPr="00B9225A">
        <w:rPr>
          <w:i/>
        </w:rPr>
        <w:t>fieri</w:t>
      </w:r>
      <w:r w:rsidR="00B63466">
        <w:t>“</w:t>
      </w:r>
      <w:r>
        <w:t xml:space="preserve">. </w:t>
      </w:r>
      <w:r w:rsidRPr="00273106">
        <w:t xml:space="preserve">Jenže poznání intelektu musí být </w:t>
      </w:r>
      <w:r w:rsidR="08230B86">
        <w:t xml:space="preserve">podle Aristotela </w:t>
      </w:r>
      <w:r>
        <w:t>čistě receptivní</w:t>
      </w:r>
      <w:r w:rsidRPr="00273106">
        <w:t xml:space="preserve"> i v intelektuální složce, jinak by</w:t>
      </w:r>
      <w:r>
        <w:t xml:space="preserve"> intelekt poznával jen sám sebe</w:t>
      </w:r>
      <w:r>
        <w:fldChar w:fldCharType="begin"/>
      </w:r>
      <w:r>
        <w:instrText xml:space="preserve"> XE "</w:instrText>
      </w:r>
      <w:r w:rsidRPr="007804B8">
        <w:instrText>intelekt:</w:instrText>
      </w:r>
      <w:r w:rsidRPr="002F1398">
        <w:rPr>
          <w:i/>
        </w:rPr>
        <w:instrText>esse/fieri</w:instrText>
      </w:r>
      <w:r>
        <w:instrText xml:space="preserve">" </w:instrText>
      </w:r>
      <w:r>
        <w:fldChar w:fldCharType="end"/>
      </w:r>
      <w:r w:rsidR="08230B86">
        <w:t>, a nikoliv svět.</w:t>
      </w:r>
      <w:r>
        <w:t xml:space="preserve"> </w:t>
      </w:r>
      <w:r w:rsidRPr="00273106">
        <w:t xml:space="preserve">Serafínský učitel nemá teorii duše jako </w:t>
      </w:r>
      <w:r w:rsidRPr="00273106">
        <w:rPr>
          <w:i/>
        </w:rPr>
        <w:t>tabula rasa</w:t>
      </w:r>
      <w:r w:rsidRPr="00273106">
        <w:t xml:space="preserve"> a má jiné pojetí intelektu než Aristotelova </w:t>
      </w:r>
      <w:r>
        <w:rPr>
          <w:i/>
        </w:rPr>
        <w:t>De anima</w:t>
      </w:r>
      <w:r w:rsidRPr="00273106">
        <w:t xml:space="preserve"> a následně první averroismus. Citace z </w:t>
      </w:r>
      <w:proofErr w:type="gramStart"/>
      <w:r>
        <w:rPr>
          <w:i/>
        </w:rPr>
        <w:t>De</w:t>
      </w:r>
      <w:proofErr w:type="gramEnd"/>
      <w:r>
        <w:rPr>
          <w:i/>
        </w:rPr>
        <w:t xml:space="preserve"> anima</w:t>
      </w:r>
      <w:r w:rsidRPr="00273106">
        <w:t xml:space="preserve"> jsou vzaty do </w:t>
      </w:r>
      <w:r>
        <w:t xml:space="preserve">objektivistického paradigmatu </w:t>
      </w:r>
      <w:r w:rsidRPr="00273106">
        <w:t xml:space="preserve">abstrakce a </w:t>
      </w:r>
      <w:r>
        <w:t xml:space="preserve">do hypostázovaného </w:t>
      </w:r>
      <w:r w:rsidRPr="00273106">
        <w:t>poznání</w:t>
      </w:r>
      <w:r>
        <w:t xml:space="preserve"> podle Avicenny a podle oxfordských porretánů vedených Rufusem</w:t>
      </w:r>
      <w:r w:rsidRPr="00273106">
        <w:t>.</w:t>
      </w:r>
      <w:r>
        <w:t xml:space="preserve"> Latinská </w:t>
      </w:r>
      <w:r w:rsidRPr="00273106">
        <w:t>modern</w:t>
      </w:r>
      <w:r>
        <w:t>a</w:t>
      </w:r>
      <w:r w:rsidRPr="00273106">
        <w:t xml:space="preserve"> </w:t>
      </w:r>
      <w:r>
        <w:t xml:space="preserve">a karteziánská postmoderna </w:t>
      </w:r>
      <w:r w:rsidRPr="00273106">
        <w:t>in</w:t>
      </w:r>
      <w:r>
        <w:t>spirovaná neoplatonsk</w:t>
      </w:r>
      <w:r w:rsidRPr="00273106">
        <w:t xml:space="preserve">ou falsafou </w:t>
      </w:r>
      <w:r>
        <w:t xml:space="preserve">rozdělila </w:t>
      </w:r>
      <w:r w:rsidRPr="00273106">
        <w:t>o</w:t>
      </w:r>
      <w:r>
        <w:t>sobu na dvě či více nesourodých hypostází a k</w:t>
      </w:r>
      <w:r w:rsidRPr="00273106">
        <w:t xml:space="preserve">aždá </w:t>
      </w:r>
      <w:r>
        <w:t xml:space="preserve">z těchto porretánských substancí dostala </w:t>
      </w:r>
      <w:r w:rsidRPr="00273106">
        <w:t>vlastní akt subsistence</w:t>
      </w:r>
      <w:r>
        <w:fldChar w:fldCharType="begin"/>
      </w:r>
      <w:r>
        <w:instrText xml:space="preserve"> XE "osoba:dualismus" </w:instrText>
      </w:r>
      <w:r>
        <w:fldChar w:fldCharType="end"/>
      </w:r>
      <w:r w:rsidRPr="00273106">
        <w:t>.</w:t>
      </w:r>
      <w:r>
        <w:t xml:space="preserve"> </w:t>
      </w:r>
      <w:r w:rsidRPr="00273106">
        <w:t xml:space="preserve">Moderní alexandrovec Bonaventura </w:t>
      </w:r>
      <w:r>
        <w:t>razí cestu postmodernímu Descartovi.</w:t>
      </w:r>
    </w:p>
    <w:p w:rsidR="08163013" w:rsidRPr="00273106" w:rsidRDefault="08163013" w:rsidP="08163013">
      <w:r>
        <w:tab/>
        <w:t xml:space="preserve">Moderní averroismus postavený na aristotelismu Davida z Dinantu ohrozil křesťanskou nauku o jednotě osoby. Toto nebezpečí velmi dobře viděli klasicky vzdělaní artističtí </w:t>
      </w:r>
      <w:proofErr w:type="gramStart"/>
      <w:r>
        <w:t>magistři a proto</w:t>
      </w:r>
      <w:proofErr w:type="gramEnd"/>
      <w:r>
        <w:t xml:space="preserve"> je zásadně odmítli po vzoru biskupa Alverna. </w:t>
      </w:r>
      <w:r w:rsidRPr="00273106">
        <w:t xml:space="preserve">Místo Aristotela je hlavní autoritou </w:t>
      </w:r>
      <w:r>
        <w:t xml:space="preserve">modernistů neoplatonský </w:t>
      </w:r>
      <w:r w:rsidRPr="00273106">
        <w:t>Augustin.</w:t>
      </w:r>
      <w:r>
        <w:t xml:space="preserve"> </w:t>
      </w:r>
      <w:r w:rsidRPr="00273106">
        <w:t xml:space="preserve">Když dva říkají totéž, není to totéž, viz klasická citace </w:t>
      </w:r>
      <w:r>
        <w:rPr>
          <w:i/>
        </w:rPr>
        <w:t>De anima</w:t>
      </w:r>
      <w:r w:rsidRPr="00273106">
        <w:t xml:space="preserve"> o primátu smyslového poznání determinujícího intelekt (</w:t>
      </w:r>
      <w:r w:rsidRPr="00273106">
        <w:rPr>
          <w:i/>
        </w:rPr>
        <w:t>nihil est in intellectu, quod prius non fuerit in sensu</w:t>
      </w:r>
      <w:r w:rsidRPr="00273106">
        <w:t>).</w:t>
      </w:r>
      <w:r>
        <w:rPr>
          <w:rStyle w:val="Znakapoznpodarou"/>
        </w:rPr>
        <w:footnoteReference w:id="53"/>
      </w:r>
      <w:r w:rsidRPr="00273106">
        <w:t xml:space="preserve"> </w:t>
      </w:r>
      <w:proofErr w:type="gramStart"/>
      <w:r w:rsidRPr="00273106">
        <w:t>Bonaventura</w:t>
      </w:r>
      <w:proofErr w:type="gramEnd"/>
      <w:r w:rsidRPr="00273106">
        <w:t xml:space="preserve"> chápe Aristotelovu </w:t>
      </w:r>
      <w:proofErr w:type="gramStart"/>
      <w:r w:rsidRPr="00273106">
        <w:rPr>
          <w:i/>
        </w:rPr>
        <w:t>tabula</w:t>
      </w:r>
      <w:proofErr w:type="gramEnd"/>
      <w:r w:rsidRPr="00273106">
        <w:rPr>
          <w:i/>
        </w:rPr>
        <w:t xml:space="preserve"> rasa</w:t>
      </w:r>
      <w:r w:rsidRPr="00273106">
        <w:t xml:space="preserve"> podle </w:t>
      </w:r>
      <w:r>
        <w:t>neoplatonsk</w:t>
      </w:r>
      <w:r w:rsidRPr="00273106">
        <w:t>ého Augustina, proto omezuje platnost této věty pouze na první patro poznání dané podobností v rámci smyslové abstrakce (</w:t>
      </w:r>
      <w:r w:rsidRPr="00273106">
        <w:rPr>
          <w:i/>
        </w:rPr>
        <w:t>esse in anima per similitudinem abstractam</w:t>
      </w:r>
      <w:r w:rsidRPr="00273106">
        <w:t>). Klíčová je sofistická úprava Aristotelovy teze daná hned v následující větě. Filosof je sice pochválen za své předešlé tvrzení (</w:t>
      </w:r>
      <w:r w:rsidRPr="00273106">
        <w:rPr>
          <w:i/>
        </w:rPr>
        <w:t>valde notabiliter dicit Philosophus, quod in anima nihil scriptum est</w:t>
      </w:r>
      <w:r>
        <w:t>). A</w:t>
      </w:r>
      <w:r w:rsidRPr="00273106">
        <w:t xml:space="preserve">le následující část avicennisticky omezuje tuto </w:t>
      </w:r>
      <w:r>
        <w:t>Aristot</w:t>
      </w:r>
      <w:r w:rsidRPr="00273106">
        <w:t>e</w:t>
      </w:r>
      <w:r>
        <w:t>l</w:t>
      </w:r>
      <w:r w:rsidRPr="00273106">
        <w:t xml:space="preserve">ovu poučku nikoliv na </w:t>
      </w:r>
      <w:proofErr w:type="gramStart"/>
      <w:r w:rsidRPr="00273106">
        <w:rPr>
          <w:i/>
        </w:rPr>
        <w:t>tabula</w:t>
      </w:r>
      <w:proofErr w:type="gramEnd"/>
      <w:r w:rsidRPr="00273106">
        <w:rPr>
          <w:i/>
        </w:rPr>
        <w:t xml:space="preserve"> rasa</w:t>
      </w:r>
      <w:r w:rsidRPr="00273106">
        <w:t xml:space="preserve"> jako takovou (což je autentický výklad prvního averroismu), ale pouze na smyslově dané obsahy  (</w:t>
      </w:r>
      <w:r w:rsidRPr="00273106">
        <w:rPr>
          <w:i/>
        </w:rPr>
        <w:t>nulla est in ea pictura vel similitudo abstracta</w:t>
      </w:r>
      <w:r w:rsidRPr="00273106">
        <w:t xml:space="preserve">). Bonaventura předpokládá podle teze o </w:t>
      </w:r>
      <w:r>
        <w:t xml:space="preserve">Avicennově </w:t>
      </w:r>
      <w:r w:rsidRPr="00273106">
        <w:t>„létají</w:t>
      </w:r>
      <w:r>
        <w:t>cí</w:t>
      </w:r>
      <w:r w:rsidRPr="00273106">
        <w:t>m muži</w:t>
      </w:r>
      <w:r>
        <w:fldChar w:fldCharType="begin"/>
      </w:r>
      <w:r>
        <w:instrText xml:space="preserve"> XE "</w:instrText>
      </w:r>
      <w:r w:rsidRPr="00532638">
        <w:instrText>létající muž</w:instrText>
      </w:r>
      <w:r>
        <w:instrText xml:space="preserve">" </w:instrText>
      </w:r>
      <w:r>
        <w:fldChar w:fldCharType="end"/>
      </w:r>
      <w:r w:rsidRPr="00273106">
        <w:t xml:space="preserve">“, že </w:t>
      </w:r>
      <w:r>
        <w:t xml:space="preserve">hypostázovaná a subsistentní </w:t>
      </w:r>
      <w:r w:rsidRPr="00273106">
        <w:t xml:space="preserve">duše má svou aktualitu mysli danou mimo proces </w:t>
      </w:r>
      <w:r>
        <w:t xml:space="preserve">smyslové </w:t>
      </w:r>
      <w:r w:rsidRPr="00273106">
        <w:t xml:space="preserve">abstrakce. </w:t>
      </w:r>
      <w:r>
        <w:t xml:space="preserve">První principy poznání </w:t>
      </w:r>
      <w:r w:rsidRPr="00273106">
        <w:t xml:space="preserve">jsou </w:t>
      </w:r>
      <w:r>
        <w:t xml:space="preserve">podle Avicenny a Augustina </w:t>
      </w:r>
      <w:r w:rsidRPr="00273106">
        <w:t>v duši dány trvale</w:t>
      </w:r>
      <w:r w:rsidRPr="08FF6A20">
        <w:t xml:space="preserve"> </w:t>
      </w:r>
      <w:r>
        <w:t xml:space="preserve">skrze iluminaci a skrze </w:t>
      </w:r>
      <w:r w:rsidRPr="08946D7A">
        <w:rPr>
          <w:i/>
        </w:rPr>
        <w:lastRenderedPageBreak/>
        <w:t>memoria</w:t>
      </w:r>
      <w:r w:rsidRPr="00273106">
        <w:t xml:space="preserve">. </w:t>
      </w:r>
      <w:r>
        <w:t>R</w:t>
      </w:r>
      <w:r w:rsidRPr="00273106">
        <w:t xml:space="preserve">eálná věc nemůže </w:t>
      </w:r>
      <w:r>
        <w:t xml:space="preserve">zcela pravdivě </w:t>
      </w:r>
      <w:r w:rsidRPr="00273106">
        <w:t xml:space="preserve">určovat poznání, </w:t>
      </w:r>
      <w:r>
        <w:t xml:space="preserve">protože </w:t>
      </w:r>
      <w:r w:rsidRPr="00273106">
        <w:t>na to je příliš kontigentní. Stvořená duše musí být nasvícena od božího zdroje</w:t>
      </w:r>
      <w:r>
        <w:t xml:space="preserve"> poznání</w:t>
      </w:r>
      <w:r w:rsidRPr="00273106">
        <w:t>, který prázdné duši vtiskne svůj díl božské pravdy (</w:t>
      </w:r>
      <w:r w:rsidRPr="00273106">
        <w:rPr>
          <w:i/>
        </w:rPr>
        <w:t>veritas in corde hominum naturaliter est impressa</w:t>
      </w:r>
      <w:r w:rsidRPr="00273106">
        <w:t>). Pak se shoduje autorita filosofie a Písma (</w:t>
      </w:r>
      <w:r w:rsidRPr="00273106">
        <w:rPr>
          <w:i/>
        </w:rPr>
        <w:t>dicuntur esse in anima ad modum scripturae</w:t>
      </w:r>
      <w:r w:rsidRPr="00273106">
        <w:t xml:space="preserve">). Receptivní složka duše je nasvícena </w:t>
      </w:r>
      <w:r>
        <w:t xml:space="preserve">od moderního boha-slunce </w:t>
      </w:r>
      <w:r w:rsidRPr="00273106">
        <w:t>(</w:t>
      </w:r>
      <w:r w:rsidRPr="00273106">
        <w:rPr>
          <w:i/>
        </w:rPr>
        <w:t>inseruit nobis Deus naturale judicatorium, ubi quid sit lucis</w:t>
      </w:r>
      <w:r w:rsidRPr="00273106">
        <w:t xml:space="preserve">). Znovu je vidět výklad </w:t>
      </w:r>
      <w:r>
        <w:rPr>
          <w:i/>
        </w:rPr>
        <w:t>De anima</w:t>
      </w:r>
      <w:r w:rsidRPr="00273106">
        <w:t xml:space="preserve"> podle druhého averroismu</w:t>
      </w:r>
      <w:r>
        <w:t xml:space="preserve"> a podle Augustina</w:t>
      </w:r>
      <w:r w:rsidRPr="00273106">
        <w:t>. Intelekt za pomoci věci konstatuje podobnost smyslové formy a jejího věčného ratia (</w:t>
      </w:r>
      <w:r w:rsidRPr="00273106">
        <w:rPr>
          <w:i/>
        </w:rPr>
        <w:t>similitudo abstracta</w:t>
      </w:r>
      <w:r w:rsidRPr="00273106">
        <w:t xml:space="preserve">). </w:t>
      </w:r>
      <w:r>
        <w:t xml:space="preserve">Tím je dáno </w:t>
      </w:r>
      <w:r w:rsidRPr="00273106">
        <w:t>dvojí vtisknutí veritativních obsahů, které ale nemají stejnou hodnotu pravdivosti. Determinace poznání zepředu od reálné věci platí pouze pro první patro podobnosti</w:t>
      </w:r>
      <w:r>
        <w:t xml:space="preserve"> dané aristotelsky</w:t>
      </w:r>
      <w:r w:rsidRPr="00273106">
        <w:t>.</w:t>
      </w:r>
      <w:r>
        <w:t xml:space="preserve"> Model nasvícení jsou</w:t>
      </w:r>
      <w:r w:rsidR="08FD166E">
        <w:t xml:space="preserve">cna zezadu ukazuje hermeneutický způsob, jak </w:t>
      </w:r>
      <w:r>
        <w:t xml:space="preserve">je jsoucno dáno. </w:t>
      </w:r>
      <w:r w:rsidRPr="00273106">
        <w:t xml:space="preserve">Augustiniánským avicennistům chyběl </w:t>
      </w:r>
      <w:r>
        <w:t xml:space="preserve">podle Gilsona </w:t>
      </w:r>
      <w:r w:rsidRPr="00273106">
        <w:t xml:space="preserve">základní </w:t>
      </w:r>
      <w:r>
        <w:t xml:space="preserve">náhled </w:t>
      </w:r>
      <w:r w:rsidRPr="00273106">
        <w:t>k ustavení aristotelsky pojaté adekvace věci a intelektu.</w:t>
      </w:r>
      <w:r w:rsidRPr="00273106">
        <w:rPr>
          <w:rStyle w:val="Znakapoznpodarou"/>
        </w:rPr>
        <w:footnoteReference w:id="54"/>
      </w:r>
      <w:r>
        <w:t xml:space="preserve"> Moderna odmítla </w:t>
      </w:r>
      <w:r w:rsidRPr="00273106">
        <w:t xml:space="preserve">přijmout pasivní princip intelektu </w:t>
      </w:r>
      <w:r>
        <w:t xml:space="preserve">daný </w:t>
      </w:r>
      <w:r w:rsidRPr="00273106">
        <w:t>v rámci jeho nemate</w:t>
      </w:r>
      <w:r>
        <w:t>riální povahy</w:t>
      </w:r>
      <w:r w:rsidRPr="00273106">
        <w:t xml:space="preserve">. Gilsonova studie přesně charakterizuje základní dilemata Bonaventurových žáků, aniž by autor použil pro označení této školy termín „druhý averroismus“. </w:t>
      </w:r>
      <w:r>
        <w:t xml:space="preserve">Vzniklo </w:t>
      </w:r>
      <w:r w:rsidRPr="00273106">
        <w:t xml:space="preserve">pojetí vědy jako </w:t>
      </w:r>
      <w:r w:rsidRPr="00273106">
        <w:rPr>
          <w:i/>
        </w:rPr>
        <w:t>scientia certitudinalis</w:t>
      </w:r>
      <w:r w:rsidRPr="00273106">
        <w:t xml:space="preserve">, která potřebuje </w:t>
      </w:r>
      <w:r w:rsidRPr="00273106">
        <w:rPr>
          <w:i/>
        </w:rPr>
        <w:t>illuminatio</w:t>
      </w:r>
      <w:r w:rsidRPr="00273106">
        <w:t xml:space="preserve"> </w:t>
      </w:r>
      <w:r>
        <w:fldChar w:fldCharType="begin"/>
      </w:r>
      <w:r>
        <w:instrText xml:space="preserve"> XE "</w:instrText>
      </w:r>
      <w:r w:rsidRPr="00123221">
        <w:instrText>iluminace</w:instrText>
      </w:r>
      <w:r>
        <w:instrText xml:space="preserve">" </w:instrText>
      </w:r>
      <w:r>
        <w:fldChar w:fldCharType="end"/>
      </w:r>
      <w:r w:rsidRPr="00273106">
        <w:t>mimo první substanci, c</w:t>
      </w:r>
      <w:r>
        <w:t xml:space="preserve">ož první averroismus (Gilsonem mylně redukovaný na </w:t>
      </w:r>
      <w:r w:rsidRPr="00273106">
        <w:t>tomismus</w:t>
      </w:r>
      <w:r>
        <w:fldChar w:fldCharType="begin"/>
      </w:r>
      <w:r>
        <w:instrText xml:space="preserve"> XE "</w:instrText>
      </w:r>
      <w:r w:rsidRPr="0813533C">
        <w:instrText>tomismus</w:instrText>
      </w:r>
      <w:r>
        <w:instrText xml:space="preserve">" </w:instrText>
      </w:r>
      <w:r>
        <w:fldChar w:fldCharType="end"/>
      </w:r>
      <w:r w:rsidRPr="00273106">
        <w:t>) zásadně odmítl.</w:t>
      </w:r>
      <w:r>
        <w:t xml:space="preserve"> Jádro sporu dané nejasným statutem </w:t>
      </w:r>
      <w:r w:rsidRPr="000B7AC8">
        <w:rPr>
          <w:i/>
        </w:rPr>
        <w:t>intellectus possibilis</w:t>
      </w:r>
      <w:r>
        <w:t xml:space="preserve"> bylo v další dekádě už zcela vytěsněno vinou epochálního </w:t>
      </w:r>
      <w:r w:rsidRPr="00A06530">
        <w:rPr>
          <w:i/>
        </w:rPr>
        <w:t>Irrtum</w:t>
      </w:r>
      <w:r>
        <w:t xml:space="preserve"> moderny. Averroes a první averroismus odmítl </w:t>
      </w:r>
      <w:r w:rsidRPr="00584729">
        <w:rPr>
          <w:i/>
        </w:rPr>
        <w:t>obscurity</w:t>
      </w:r>
      <w:r>
        <w:rPr>
          <w:i/>
        </w:rPr>
        <w:fldChar w:fldCharType="begin"/>
      </w:r>
      <w:r>
        <w:instrText xml:space="preserve"> XE "</w:instrText>
      </w:r>
      <w:r w:rsidRPr="000E608A">
        <w:instrText>zatmění:substance</w:instrText>
      </w:r>
      <w:r>
        <w:instrText xml:space="preserve">" </w:instrText>
      </w:r>
      <w:r>
        <w:rPr>
          <w:i/>
        </w:rPr>
        <w:fldChar w:fldCharType="end"/>
      </w:r>
      <w:r>
        <w:t xml:space="preserve"> Avicenny a moderních avicennistických současníků. Ale mytopoetika jedné pravdy a jedné vědy byla silnější než kritický rozum aristoteliků. Ti nezabránili epochálnímu zatmění první substance zahájené Porfyriovým výkladem </w:t>
      </w:r>
      <w:r w:rsidRPr="006B4583">
        <w:rPr>
          <w:i/>
        </w:rPr>
        <w:t>Kategorií</w:t>
      </w:r>
      <w:r>
        <w:t xml:space="preserve"> (</w:t>
      </w:r>
      <w:r w:rsidR="08092218">
        <w:t xml:space="preserve">OBJ I, </w:t>
      </w:r>
      <w:r>
        <w:t>kap. 1.3)</w:t>
      </w:r>
      <w:r w:rsidRPr="00273106">
        <w:t>.</w:t>
      </w:r>
      <w:r w:rsidRPr="000E43DA">
        <w:t xml:space="preserve"> </w:t>
      </w:r>
      <w:r w:rsidRPr="00273106">
        <w:t xml:space="preserve">Klíčem k </w:t>
      </w:r>
      <w:r>
        <w:t xml:space="preserve">modernímu </w:t>
      </w:r>
      <w:r w:rsidRPr="00273106">
        <w:t xml:space="preserve">určení </w:t>
      </w:r>
      <w:r>
        <w:t xml:space="preserve">receptivního </w:t>
      </w:r>
      <w:r w:rsidRPr="00273106">
        <w:t xml:space="preserve">intelektu se stává potence </w:t>
      </w:r>
      <w:r>
        <w:t xml:space="preserve">hypostázovaného </w:t>
      </w:r>
      <w:r w:rsidRPr="00273106">
        <w:t xml:space="preserve">intelektu </w:t>
      </w:r>
      <w:r>
        <w:t>schopného reprezentovat již daná</w:t>
      </w:r>
      <w:r w:rsidRPr="00273106">
        <w:t xml:space="preserve"> </w:t>
      </w:r>
      <w:r w:rsidR="00962190">
        <w:rPr>
          <w:i/>
        </w:rPr>
        <w:t>species</w:t>
      </w:r>
      <w:r w:rsidRPr="00273106">
        <w:t xml:space="preserve"> na smyslové nebo na intelektuální úrovni poznání.</w:t>
      </w:r>
    </w:p>
    <w:p w:rsidR="08163013" w:rsidRDefault="08163013" w:rsidP="08163013">
      <w:pPr>
        <w:pStyle w:val="Citace"/>
      </w:pPr>
      <w:r w:rsidRPr="00273106">
        <w:rPr>
          <w:noProof/>
          <w:szCs w:val="10"/>
          <w:lang w:val="cs-CZ"/>
        </w:rPr>
        <w:t>„</w:t>
      </w:r>
      <w:r>
        <w:rPr>
          <w:noProof/>
          <w:szCs w:val="10"/>
          <w:lang w:val="cs-CZ"/>
        </w:rPr>
        <w:t xml:space="preserve">Buď aktivní intelekt rozumí nebo ne. Jestli ne, pak jej nelze nazývat intelektem nebo intelektuální schopností. Jestliže rozumí, pak platí, že intelekt nemůže rozumět ničemu jinému mimo sebe, tedy pouze </w:t>
      </w:r>
      <w:r w:rsidR="00962190">
        <w:rPr>
          <w:i/>
          <w:noProof/>
          <w:szCs w:val="10"/>
          <w:lang w:val="cs-CZ"/>
        </w:rPr>
        <w:t>species</w:t>
      </w:r>
      <w:r>
        <w:rPr>
          <w:noProof/>
          <w:szCs w:val="10"/>
          <w:lang w:val="cs-CZ"/>
        </w:rPr>
        <w:t xml:space="preserve">, která má v sobě a porovná je mezi sebou. Všechno, co může být pojato jako </w:t>
      </w:r>
      <w:r w:rsidR="00962190">
        <w:rPr>
          <w:i/>
          <w:noProof/>
          <w:szCs w:val="10"/>
          <w:lang w:val="cs-CZ"/>
        </w:rPr>
        <w:t>species</w:t>
      </w:r>
      <w:r>
        <w:rPr>
          <w:noProof/>
          <w:szCs w:val="10"/>
          <w:lang w:val="cs-CZ"/>
        </w:rPr>
        <w:t xml:space="preserve">, je </w:t>
      </w:r>
      <w:r>
        <w:rPr>
          <w:noProof/>
          <w:szCs w:val="10"/>
          <w:lang w:val="cs-CZ"/>
        </w:rPr>
        <w:lastRenderedPageBreak/>
        <w:t>nějakým způsobem potencí. Proto i činný intelekt je do jisté míry možný</w:t>
      </w:r>
      <w:r w:rsidR="00FB0AA6">
        <w:rPr>
          <w:noProof/>
          <w:szCs w:val="10"/>
          <w:lang w:val="cs-CZ"/>
        </w:rPr>
        <w:t xml:space="preserve"> intelekt </w:t>
      </w:r>
      <w:r w:rsidR="00FB0AA6">
        <w:t>(</w:t>
      </w:r>
      <w:r w:rsidR="00FB0AA6" w:rsidRPr="005B3251">
        <w:rPr>
          <w:i/>
          <w:noProof/>
        </w:rPr>
        <w:t xml:space="preserve">intellectus agens est aliquo </w:t>
      </w:r>
      <w:r w:rsidR="00FB0AA6" w:rsidRPr="005B3251">
        <w:rPr>
          <w:i/>
          <w:noProof/>
          <w:szCs w:val="16"/>
        </w:rPr>
        <w:t xml:space="preserve">modo </w:t>
      </w:r>
      <w:r w:rsidR="00FB0AA6" w:rsidRPr="005B3251">
        <w:rPr>
          <w:i/>
          <w:noProof/>
        </w:rPr>
        <w:t>possibilis</w:t>
      </w:r>
      <w:r w:rsidR="00FB0AA6">
        <w:t>)</w:t>
      </w:r>
      <w:r>
        <w:rPr>
          <w:noProof/>
          <w:szCs w:val="10"/>
          <w:lang w:val="cs-CZ"/>
        </w:rPr>
        <w:t>. Proto nemůže být esenciálně oddělen od možného intelektu (</w:t>
      </w:r>
      <w:r w:rsidRPr="004D5CE7">
        <w:rPr>
          <w:i/>
          <w:noProof/>
          <w:szCs w:val="14"/>
        </w:rPr>
        <w:t xml:space="preserve">non </w:t>
      </w:r>
      <w:r w:rsidRPr="004D5CE7">
        <w:rPr>
          <w:i/>
          <w:noProof/>
        </w:rPr>
        <w:t>dividi</w:t>
      </w:r>
      <w:r w:rsidRPr="004D5CE7">
        <w:rPr>
          <w:i/>
          <w:noProof/>
          <w:szCs w:val="12"/>
        </w:rPr>
        <w:t xml:space="preserve">tur </w:t>
      </w:r>
      <w:r w:rsidRPr="004D5CE7">
        <w:rPr>
          <w:i/>
          <w:noProof/>
        </w:rPr>
        <w:t xml:space="preserve">per essentiam </w:t>
      </w:r>
      <w:r w:rsidRPr="004D5CE7">
        <w:rPr>
          <w:i/>
          <w:noProof/>
          <w:szCs w:val="12"/>
        </w:rPr>
        <w:t xml:space="preserve">a </w:t>
      </w:r>
      <w:r w:rsidRPr="004D5CE7">
        <w:rPr>
          <w:i/>
          <w:noProof/>
        </w:rPr>
        <w:t>possibili</w:t>
      </w:r>
      <w:r>
        <w:rPr>
          <w:noProof/>
          <w:szCs w:val="10"/>
          <w:lang w:val="cs-CZ"/>
        </w:rPr>
        <w:t xml:space="preserve">).“ </w:t>
      </w:r>
      <w:r>
        <w:rPr>
          <w:rStyle w:val="Znakapoznpodarou"/>
        </w:rPr>
        <w:footnoteReference w:id="55"/>
      </w:r>
    </w:p>
    <w:p w:rsidR="004267BB" w:rsidRDefault="08163013" w:rsidP="08E42647">
      <w:r w:rsidRPr="00273106">
        <w:t xml:space="preserve">Bonaventura ruší </w:t>
      </w:r>
      <w:r>
        <w:t xml:space="preserve">receptivní </w:t>
      </w:r>
      <w:r w:rsidR="002D5422">
        <w:t xml:space="preserve">povahu </w:t>
      </w:r>
      <w:r w:rsidRPr="00273106">
        <w:rPr>
          <w:i/>
        </w:rPr>
        <w:t>intellectus possibilis</w:t>
      </w:r>
      <w:r>
        <w:t xml:space="preserve"> a dělá z něj aktuálně danou </w:t>
      </w:r>
      <w:r w:rsidR="002D5422">
        <w:t xml:space="preserve">vlastnost, </w:t>
      </w:r>
      <w:r w:rsidRPr="00273106">
        <w:t xml:space="preserve">potenciálně schopnou přijímat univerzální </w:t>
      </w:r>
      <w:r w:rsidR="00962190">
        <w:rPr>
          <w:i/>
        </w:rPr>
        <w:t>species</w:t>
      </w:r>
      <w:r>
        <w:t xml:space="preserve"> jako taková</w:t>
      </w:r>
      <w:r w:rsidRPr="00273106">
        <w:t xml:space="preserve"> (</w:t>
      </w:r>
      <w:r w:rsidRPr="00273106">
        <w:rPr>
          <w:i/>
          <w:szCs w:val="16"/>
        </w:rPr>
        <w:t xml:space="preserve">omne </w:t>
      </w:r>
      <w:r w:rsidRPr="00273106">
        <w:rPr>
          <w:i/>
          <w:szCs w:val="11"/>
        </w:rPr>
        <w:t xml:space="preserve">illud </w:t>
      </w:r>
      <w:r w:rsidRPr="00273106">
        <w:rPr>
          <w:i/>
          <w:szCs w:val="15"/>
        </w:rPr>
        <w:t xml:space="preserve">quod </w:t>
      </w:r>
      <w:r w:rsidRPr="00273106">
        <w:rPr>
          <w:i/>
          <w:szCs w:val="11"/>
        </w:rPr>
        <w:t xml:space="preserve">est </w:t>
      </w:r>
      <w:r w:rsidRPr="00273106">
        <w:rPr>
          <w:i/>
          <w:szCs w:val="12"/>
        </w:rPr>
        <w:t xml:space="preserve">susceptibile </w:t>
      </w:r>
      <w:r w:rsidRPr="00273106">
        <w:rPr>
          <w:i/>
          <w:szCs w:val="11"/>
        </w:rPr>
        <w:t>speciei</w:t>
      </w:r>
      <w:r w:rsidRPr="00273106">
        <w:t xml:space="preserve">). Místo individuální receptivity </w:t>
      </w:r>
      <w:r w:rsidRPr="00273106">
        <w:rPr>
          <w:i/>
        </w:rPr>
        <w:t>intellectus possibilis</w:t>
      </w:r>
      <w:r w:rsidRPr="00273106">
        <w:t xml:space="preserve"> </w:t>
      </w:r>
      <w:r>
        <w:t>jako schopnosti duše vznikla receptivita jako kontigentní vlastnost (</w:t>
      </w:r>
      <w:r w:rsidRPr="008A7658">
        <w:rPr>
          <w:i/>
        </w:rPr>
        <w:t>aliquo modo</w:t>
      </w:r>
      <w:r>
        <w:t xml:space="preserve">) poznání. Přijetí </w:t>
      </w:r>
      <w:r w:rsidR="00962190">
        <w:rPr>
          <w:i/>
        </w:rPr>
        <w:t>species</w:t>
      </w:r>
      <w:r>
        <w:t xml:space="preserve"> je v </w:t>
      </w:r>
      <w:r w:rsidRPr="00061DD0">
        <w:rPr>
          <w:i/>
        </w:rPr>
        <w:t>intellectus agens</w:t>
      </w:r>
      <w:r>
        <w:rPr>
          <w:i/>
        </w:rPr>
        <w:fldChar w:fldCharType="begin"/>
      </w:r>
      <w:r>
        <w:instrText xml:space="preserve"> XE "</w:instrText>
      </w:r>
      <w:r w:rsidRPr="00490D32">
        <w:rPr>
          <w:i/>
        </w:rPr>
        <w:instrText>intellectus agens:</w:instrText>
      </w:r>
      <w:r w:rsidRPr="00AE29C6">
        <w:instrText>Bonaventura</w:instrText>
      </w:r>
      <w:r>
        <w:instrText xml:space="preserve"> " </w:instrText>
      </w:r>
      <w:r>
        <w:rPr>
          <w:i/>
        </w:rPr>
        <w:fldChar w:fldCharType="end"/>
      </w:r>
      <w:r>
        <w:t xml:space="preserve"> dáno mnohem lépe. Z hlediska </w:t>
      </w:r>
      <w:r w:rsidRPr="00273106">
        <w:t xml:space="preserve">prvního averroismu jde </w:t>
      </w:r>
      <w:r>
        <w:t xml:space="preserve">o </w:t>
      </w:r>
      <w:r w:rsidRPr="00273106">
        <w:t>nes</w:t>
      </w:r>
      <w:r w:rsidR="08792D36">
        <w:t xml:space="preserve">myslné tvrzení. </w:t>
      </w:r>
      <w:r w:rsidR="00BD3112">
        <w:t xml:space="preserve">Koncept </w:t>
      </w:r>
      <w:r w:rsidRPr="00273106">
        <w:rPr>
          <w:i/>
        </w:rPr>
        <w:t>intellectus agens</w:t>
      </w:r>
      <w:r>
        <w:rPr>
          <w:i/>
        </w:rPr>
        <w:fldChar w:fldCharType="begin"/>
      </w:r>
      <w:r>
        <w:instrText xml:space="preserve"> XE "</w:instrText>
      </w:r>
      <w:r w:rsidRPr="00490D32">
        <w:rPr>
          <w:i/>
        </w:rPr>
        <w:instrText>intellectus agens:</w:instrText>
      </w:r>
      <w:r w:rsidRPr="00481252">
        <w:instrText>Bonaventura</w:instrText>
      </w:r>
      <w:r>
        <w:instrText xml:space="preserve">" </w:instrText>
      </w:r>
      <w:r>
        <w:rPr>
          <w:i/>
        </w:rPr>
        <w:fldChar w:fldCharType="end"/>
      </w:r>
      <w:r w:rsidRPr="00273106">
        <w:t xml:space="preserve"> se esenciálně neliší od </w:t>
      </w:r>
      <w:r w:rsidR="00A4713B" w:rsidRPr="00273106">
        <w:rPr>
          <w:i/>
        </w:rPr>
        <w:t xml:space="preserve">intellectus </w:t>
      </w:r>
      <w:r w:rsidRPr="00273106">
        <w:rPr>
          <w:i/>
        </w:rPr>
        <w:t>possibilis</w:t>
      </w:r>
      <w:r w:rsidRPr="00273106">
        <w:t xml:space="preserve"> ani v prvním averroismu (</w:t>
      </w:r>
      <w:r w:rsidRPr="00273106">
        <w:rPr>
          <w:i/>
          <w:szCs w:val="14"/>
        </w:rPr>
        <w:t xml:space="preserve">non </w:t>
      </w:r>
      <w:r w:rsidRPr="00273106">
        <w:rPr>
          <w:i/>
          <w:szCs w:val="11"/>
        </w:rPr>
        <w:t>dividi</w:t>
      </w:r>
      <w:r w:rsidRPr="00273106">
        <w:rPr>
          <w:i/>
          <w:szCs w:val="12"/>
        </w:rPr>
        <w:t xml:space="preserve">tur </w:t>
      </w:r>
      <w:r w:rsidRPr="00273106">
        <w:rPr>
          <w:i/>
        </w:rPr>
        <w:t xml:space="preserve">per essentiam </w:t>
      </w:r>
      <w:r w:rsidRPr="00273106">
        <w:rPr>
          <w:i/>
          <w:szCs w:val="12"/>
        </w:rPr>
        <w:t xml:space="preserve">a </w:t>
      </w:r>
      <w:r w:rsidRPr="00273106">
        <w:rPr>
          <w:i/>
          <w:szCs w:val="11"/>
        </w:rPr>
        <w:t>possibili</w:t>
      </w:r>
      <w:r>
        <w:t>), protože ani jeden z</w:t>
      </w:r>
      <w:r w:rsidR="00BD3112">
        <w:t xml:space="preserve"> těcho </w:t>
      </w:r>
      <w:r>
        <w:t xml:space="preserve">intelektů není substance. </w:t>
      </w:r>
      <w:r w:rsidR="08792D36">
        <w:t xml:space="preserve">Takže jde o chybné a nesmyslné tvrzení. </w:t>
      </w:r>
      <w:r w:rsidRPr="00273106">
        <w:t xml:space="preserve">První averroismus má intelekt </w:t>
      </w:r>
      <w:r>
        <w:t>v duši daný jako schopnost existující osoby. P</w:t>
      </w:r>
      <w:r w:rsidRPr="00273106">
        <w:t xml:space="preserve">redikace </w:t>
      </w:r>
      <w:r>
        <w:t xml:space="preserve">intelektu jako </w:t>
      </w:r>
      <w:r w:rsidRPr="00273106">
        <w:t xml:space="preserve">substance by popřela celou argumentaci CMDA. </w:t>
      </w:r>
      <w:r>
        <w:t xml:space="preserve">Tato existenciální schopnost daná jako </w:t>
      </w:r>
      <w:r w:rsidRPr="08D92970">
        <w:rPr>
          <w:i/>
        </w:rPr>
        <w:t>actus</w:t>
      </w:r>
      <w:r>
        <w:t xml:space="preserve"> představuje formu aktuálního </w:t>
      </w:r>
      <w:r w:rsidR="00A56476" w:rsidRPr="00171829">
        <w:rPr>
          <w:i/>
          <w:szCs w:val="24"/>
        </w:rPr>
        <w:t>actus essendi</w:t>
      </w:r>
      <w:r w:rsidR="00A56476">
        <w:rPr>
          <w:i/>
          <w:szCs w:val="24"/>
        </w:rPr>
        <w:fldChar w:fldCharType="begin"/>
      </w:r>
      <w:r w:rsidR="00A56476">
        <w:instrText xml:space="preserve"> XE "</w:instrText>
      </w:r>
      <w:r w:rsidR="00A56476" w:rsidRPr="00CE7562">
        <w:rPr>
          <w:i/>
          <w:szCs w:val="24"/>
        </w:rPr>
        <w:instrText>actus essendi</w:instrText>
      </w:r>
      <w:r w:rsidR="00A56476">
        <w:instrText xml:space="preserve">" </w:instrText>
      </w:r>
      <w:r w:rsidR="00A56476">
        <w:rPr>
          <w:i/>
          <w:szCs w:val="24"/>
        </w:rPr>
        <w:fldChar w:fldCharType="end"/>
      </w:r>
      <w:r w:rsidR="00A56476">
        <w:rPr>
          <w:i/>
          <w:szCs w:val="24"/>
        </w:rPr>
        <w:t xml:space="preserve"> </w:t>
      </w:r>
      <w:r>
        <w:t>entelechické první substance</w:t>
      </w:r>
      <w:r w:rsidR="08792D36">
        <w:t xml:space="preserve">. Duše je aktuální a jedinečná </w:t>
      </w:r>
      <w:r w:rsidR="089272F1">
        <w:t xml:space="preserve">forma osoby jako </w:t>
      </w:r>
      <w:r w:rsidR="082776CC">
        <w:t xml:space="preserve">živé </w:t>
      </w:r>
      <w:r w:rsidR="089272F1">
        <w:t>substance</w:t>
      </w:r>
      <w:r w:rsidRPr="00273106">
        <w:t xml:space="preserve">, která ve svém </w:t>
      </w:r>
      <w:r>
        <w:t xml:space="preserve">jedinečném bytí </w:t>
      </w:r>
      <w:r w:rsidRPr="00273106">
        <w:t xml:space="preserve">postupně aktualizuje různé </w:t>
      </w:r>
      <w:r>
        <w:t>duševní schopnosti dané v těle</w:t>
      </w:r>
      <w:r w:rsidRPr="00273106">
        <w:t xml:space="preserve">. Citát </w:t>
      </w:r>
      <w:r w:rsidR="003E00CB">
        <w:t xml:space="preserve">Bonaventury </w:t>
      </w:r>
      <w:r>
        <w:t xml:space="preserve">vychází z předešlých definicí duše jako individualizované substance a </w:t>
      </w:r>
      <w:r w:rsidRPr="00273106">
        <w:t>trvá na substanciální jednotě obou intelektů (</w:t>
      </w:r>
      <w:r w:rsidRPr="00273106">
        <w:rPr>
          <w:i/>
        </w:rPr>
        <w:t xml:space="preserve">ergo </w:t>
      </w:r>
      <w:r w:rsidRPr="00273106">
        <w:rPr>
          <w:i/>
          <w:szCs w:val="11"/>
        </w:rPr>
        <w:t xml:space="preserve">intellectus </w:t>
      </w:r>
      <w:r w:rsidRPr="00273106">
        <w:rPr>
          <w:i/>
          <w:szCs w:val="14"/>
        </w:rPr>
        <w:t xml:space="preserve">agens </w:t>
      </w:r>
      <w:r w:rsidRPr="00273106">
        <w:rPr>
          <w:i/>
          <w:szCs w:val="11"/>
        </w:rPr>
        <w:t xml:space="preserve">est </w:t>
      </w:r>
      <w:r w:rsidRPr="00273106">
        <w:rPr>
          <w:i/>
        </w:rPr>
        <w:t xml:space="preserve">aliquo </w:t>
      </w:r>
      <w:r w:rsidRPr="00273106">
        <w:rPr>
          <w:i/>
          <w:szCs w:val="16"/>
        </w:rPr>
        <w:t xml:space="preserve">modo </w:t>
      </w:r>
      <w:r w:rsidRPr="00273106">
        <w:rPr>
          <w:i/>
          <w:szCs w:val="11"/>
        </w:rPr>
        <w:t>possibilis</w:t>
      </w:r>
      <w:r w:rsidRPr="00273106">
        <w:t xml:space="preserve">). </w:t>
      </w:r>
      <w:r>
        <w:t xml:space="preserve">Tvrzení </w:t>
      </w:r>
      <w:r w:rsidR="003E00CB">
        <w:t>„</w:t>
      </w:r>
      <w:r w:rsidRPr="00A6737B">
        <w:rPr>
          <w:i/>
        </w:rPr>
        <w:t>aliquo modo</w:t>
      </w:r>
      <w:r w:rsidR="003E00CB">
        <w:t>“</w:t>
      </w:r>
      <w:r>
        <w:t xml:space="preserve"> patří do řádu perfekce kosmických forem, kdy lidský činný intelekt potřebuje na rozdíl od dokonalých kosmických inteligencí-forem i receptivní a podobně hypostázovaný </w:t>
      </w:r>
      <w:r w:rsidRPr="00A6737B">
        <w:rPr>
          <w:i/>
        </w:rPr>
        <w:t>intellectus possibilis</w:t>
      </w:r>
      <w:r>
        <w:t xml:space="preserve">.  Možný intelekt pak slouží jako spirituální materie, do níž se neoplatonsky vtiskují vyšší formy. Poznání není definováno skrze rozdíl mezi receptivní potencí a aktivní syntézou v jedné a téže </w:t>
      </w:r>
      <w:r w:rsidRPr="00A6737B">
        <w:rPr>
          <w:i/>
        </w:rPr>
        <w:t>anima intellectiva</w:t>
      </w:r>
      <w:r>
        <w:t>, jako to měl první averroismus. Moderna po vzoru Davida z Dinantu</w:t>
      </w:r>
      <w:r>
        <w:fldChar w:fldCharType="begin"/>
      </w:r>
      <w:r>
        <w:instrText xml:space="preserve"> XE "</w:instrText>
      </w:r>
      <w:r w:rsidRPr="089B7CB8">
        <w:instrText>David z Dinantu</w:instrText>
      </w:r>
      <w:r>
        <w:instrText xml:space="preserve">" </w:instrText>
      </w:r>
      <w:r>
        <w:fldChar w:fldCharType="end"/>
      </w:r>
      <w:r w:rsidR="005976AB">
        <w:t xml:space="preserve"> vytvořila dva </w:t>
      </w:r>
      <w:proofErr w:type="gramStart"/>
      <w:r w:rsidR="005976AB">
        <w:t>intelekty</w:t>
      </w:r>
      <w:proofErr w:type="gramEnd"/>
      <w:r w:rsidR="005976AB">
        <w:t>–</w:t>
      </w:r>
      <w:proofErr w:type="gramStart"/>
      <w:r w:rsidR="00962190" w:rsidRPr="005976AB">
        <w:t>species</w:t>
      </w:r>
      <w:proofErr w:type="gramEnd"/>
      <w:r>
        <w:t xml:space="preserve"> jako porretánské hypostáze a </w:t>
      </w:r>
      <w:r w:rsidRPr="00273106">
        <w:t>kvazi-materiální substanc</w:t>
      </w:r>
      <w:r>
        <w:t>e</w:t>
      </w:r>
      <w:r w:rsidRPr="00273106">
        <w:t xml:space="preserve"> třetího druhu</w:t>
      </w:r>
      <w:r>
        <w:t>, které na kosmické úrovni připsala averroistickému Averroesovi</w:t>
      </w:r>
      <w:r w:rsidRPr="00273106">
        <w:t xml:space="preserve">. </w:t>
      </w:r>
      <w:r w:rsidR="082B2670">
        <w:t xml:space="preserve">Vyšší intelekt v člověku nazírá </w:t>
      </w:r>
      <w:r w:rsidR="00962190">
        <w:rPr>
          <w:i/>
        </w:rPr>
        <w:t>species</w:t>
      </w:r>
      <w:r w:rsidR="082B2670">
        <w:t xml:space="preserve"> přímo skrze iluminaci bohem nebo kosmickým intelektem. V tomto smyslu je pak </w:t>
      </w:r>
      <w:r w:rsidR="082B2670" w:rsidRPr="00416939">
        <w:rPr>
          <w:i/>
        </w:rPr>
        <w:t>intellectus possibilis</w:t>
      </w:r>
      <w:r w:rsidR="082B2670">
        <w:t xml:space="preserve"> jen </w:t>
      </w:r>
      <w:r w:rsidR="007D04FB">
        <w:t xml:space="preserve">jako </w:t>
      </w:r>
      <w:r w:rsidR="082B2670">
        <w:t xml:space="preserve">omezená kapacita </w:t>
      </w:r>
      <w:r w:rsidR="082B2670">
        <w:rPr>
          <w:i/>
        </w:rPr>
        <w:t>intel</w:t>
      </w:r>
      <w:r w:rsidR="082B2670" w:rsidRPr="00416939">
        <w:rPr>
          <w:i/>
        </w:rPr>
        <w:t>l</w:t>
      </w:r>
      <w:r w:rsidR="007D04FB">
        <w:rPr>
          <w:i/>
        </w:rPr>
        <w:t>e</w:t>
      </w:r>
      <w:r w:rsidR="082B2670" w:rsidRPr="00416939">
        <w:rPr>
          <w:i/>
        </w:rPr>
        <w:t>ctus agens</w:t>
      </w:r>
      <w:r w:rsidR="082B2670">
        <w:t xml:space="preserve">. V tomto </w:t>
      </w:r>
      <w:r w:rsidR="082B2670">
        <w:lastRenderedPageBreak/>
        <w:t xml:space="preserve">scénáři nemá </w:t>
      </w:r>
      <w:r w:rsidR="082B2670" w:rsidRPr="00416939">
        <w:rPr>
          <w:i/>
        </w:rPr>
        <w:t>intellectus possibilis</w:t>
      </w:r>
      <w:r w:rsidR="082B2670">
        <w:t xml:space="preserve"> vlastní činnost a tvoří součást činného intelektu jako jeho potence. Nižší intelekt, daný jako aristotelský </w:t>
      </w:r>
      <w:r w:rsidR="082B2670" w:rsidRPr="082776CC">
        <w:rPr>
          <w:i/>
        </w:rPr>
        <w:t>intellectus materialis</w:t>
      </w:r>
      <w:r w:rsidR="08580F40">
        <w:rPr>
          <w:i/>
          <w:szCs w:val="24"/>
          <w:lang w:val="de-DE"/>
        </w:rPr>
        <w:fldChar w:fldCharType="begin"/>
      </w:r>
      <w:r w:rsidR="08580F40">
        <w:instrText xml:space="preserve"> XE "</w:instrText>
      </w:r>
      <w:r w:rsidR="08580F40" w:rsidRPr="08F82A48">
        <w:rPr>
          <w:i/>
          <w:szCs w:val="24"/>
        </w:rPr>
        <w:instrText>intellectus materialis</w:instrText>
      </w:r>
      <w:r w:rsidR="08580F40" w:rsidRPr="08F82A48">
        <w:rPr>
          <w:szCs w:val="24"/>
        </w:rPr>
        <w:instrText>:Bonavetura</w:instrText>
      </w:r>
      <w:r w:rsidR="08580F40">
        <w:instrText xml:space="preserve">" </w:instrText>
      </w:r>
      <w:r w:rsidR="08580F40">
        <w:rPr>
          <w:i/>
          <w:szCs w:val="24"/>
          <w:lang w:val="de-DE"/>
        </w:rPr>
        <w:fldChar w:fldCharType="end"/>
      </w:r>
      <w:r w:rsidR="082B2670" w:rsidRPr="082776CC">
        <w:rPr>
          <w:i/>
        </w:rPr>
        <w:t xml:space="preserve"> </w:t>
      </w:r>
      <w:r w:rsidR="082B2670">
        <w:t xml:space="preserve">tato </w:t>
      </w:r>
      <w:r w:rsidR="00962190">
        <w:rPr>
          <w:i/>
        </w:rPr>
        <w:t>species</w:t>
      </w:r>
      <w:r w:rsidR="082B2670">
        <w:t xml:space="preserve"> aktualizuje abstrakcí od věcí. Ale to je nižší stupeň intelektuálního poznání, který musí být završen v činnosti </w:t>
      </w:r>
      <w:r w:rsidR="007D04FB">
        <w:t xml:space="preserve">nemateriálního </w:t>
      </w:r>
      <w:r w:rsidR="082B2670" w:rsidRPr="00416939">
        <w:rPr>
          <w:i/>
        </w:rPr>
        <w:t>intellectus agens</w:t>
      </w:r>
      <w:r w:rsidR="082B2670">
        <w:t xml:space="preserve">. </w:t>
      </w:r>
      <w:r>
        <w:t xml:space="preserve">Pak platí v modu univerzálního hyleformismu, že materiální </w:t>
      </w:r>
      <w:r w:rsidRPr="089D4729">
        <w:rPr>
          <w:i/>
        </w:rPr>
        <w:t>intellectus possibilis</w:t>
      </w:r>
      <w:r w:rsidR="08580F40">
        <w:rPr>
          <w:i/>
          <w:szCs w:val="24"/>
          <w:lang w:val="de-DE"/>
        </w:rPr>
        <w:fldChar w:fldCharType="begin"/>
      </w:r>
      <w:r w:rsidR="08580F40">
        <w:instrText xml:space="preserve"> XE "</w:instrText>
      </w:r>
      <w:r w:rsidR="08580F40" w:rsidRPr="08F82A48">
        <w:rPr>
          <w:i/>
          <w:szCs w:val="24"/>
        </w:rPr>
        <w:instrText>intellectus possibilis</w:instrText>
      </w:r>
      <w:r w:rsidR="08580F40" w:rsidRPr="08F82A48">
        <w:rPr>
          <w:szCs w:val="24"/>
        </w:rPr>
        <w:instrText>:Bonavetura</w:instrText>
      </w:r>
      <w:r w:rsidR="08580F40">
        <w:instrText xml:space="preserve">" </w:instrText>
      </w:r>
      <w:r w:rsidR="08580F40">
        <w:rPr>
          <w:i/>
          <w:szCs w:val="24"/>
          <w:lang w:val="de-DE"/>
        </w:rPr>
        <w:fldChar w:fldCharType="end"/>
      </w:r>
      <w:r>
        <w:t xml:space="preserve"> poznává porretánská </w:t>
      </w:r>
      <w:r w:rsidR="00962190">
        <w:rPr>
          <w:i/>
        </w:rPr>
        <w:t>species</w:t>
      </w:r>
      <w:r>
        <w:t xml:space="preserve"> ve formálně stejném modu jako </w:t>
      </w:r>
      <w:r w:rsidRPr="08FB46C3">
        <w:rPr>
          <w:i/>
        </w:rPr>
        <w:t>intellectus agens</w:t>
      </w:r>
      <w:r w:rsidR="08580F40">
        <w:rPr>
          <w:i/>
          <w:szCs w:val="24"/>
          <w:lang w:val="de-DE"/>
        </w:rPr>
        <w:fldChar w:fldCharType="begin"/>
      </w:r>
      <w:r w:rsidR="08580F40">
        <w:instrText xml:space="preserve"> XE "</w:instrText>
      </w:r>
      <w:r w:rsidR="08580F40" w:rsidRPr="08F82A48">
        <w:rPr>
          <w:i/>
          <w:szCs w:val="24"/>
        </w:rPr>
        <w:instrText>intellectus agens</w:instrText>
      </w:r>
      <w:r w:rsidR="08580F40" w:rsidRPr="08F82A48">
        <w:rPr>
          <w:szCs w:val="24"/>
        </w:rPr>
        <w:instrText>:Bonavetura</w:instrText>
      </w:r>
      <w:r w:rsidR="08580F40">
        <w:instrText xml:space="preserve">" </w:instrText>
      </w:r>
      <w:r w:rsidR="08580F40">
        <w:rPr>
          <w:i/>
          <w:szCs w:val="24"/>
          <w:lang w:val="de-DE"/>
        </w:rPr>
        <w:fldChar w:fldCharType="end"/>
      </w:r>
      <w:r>
        <w:t>. Ale pro svou vyšší míru potenciality a proměnlivosti</w:t>
      </w:r>
      <w:r w:rsidR="007D04FB">
        <w:t xml:space="preserve"> dané aristotelskou abstrakcí</w:t>
      </w:r>
      <w:r>
        <w:t xml:space="preserve"> nepoznává </w:t>
      </w:r>
      <w:r w:rsidR="007D04FB">
        <w:t xml:space="preserve">materiální </w:t>
      </w:r>
      <w:r w:rsidR="007D04FB">
        <w:rPr>
          <w:i/>
          <w:szCs w:val="24"/>
          <w:lang w:val="de-DE"/>
        </w:rPr>
        <w:t xml:space="preserve">intellectus possibilis </w:t>
      </w:r>
      <w:r w:rsidR="007D04FB">
        <w:rPr>
          <w:szCs w:val="24"/>
          <w:lang w:val="de-DE"/>
        </w:rPr>
        <w:t xml:space="preserve">věci </w:t>
      </w:r>
      <w:r>
        <w:t>stejně dokonale jako činný intelekt, který tvoří v</w:t>
      </w:r>
      <w:r w:rsidR="08C427B4">
        <w:t xml:space="preserve"> duši samostatnou hypostázi. Obě formy intelektu </w:t>
      </w:r>
      <w:r>
        <w:t>jsou zaměnitelné z hlediska své funkce, protože dělají totéž</w:t>
      </w:r>
      <w:r w:rsidR="004267BB">
        <w:t>, ale v jiné míře potenciality.</w:t>
      </w:r>
    </w:p>
    <w:p w:rsidR="08E42647" w:rsidRPr="08E42647" w:rsidRDefault="08163013" w:rsidP="00EE3CA4">
      <w:pPr>
        <w:ind w:firstLine="397"/>
      </w:pPr>
      <w:r>
        <w:t>Proto Bonaventura kritizuje averroistického Averroese. Ten prý tvrdí, že v</w:t>
      </w:r>
      <w:r w:rsidRPr="00273106">
        <w:t xml:space="preserve"> </w:t>
      </w:r>
      <w:r>
        <w:t xml:space="preserve">duši jako </w:t>
      </w:r>
      <w:r w:rsidRPr="00273106">
        <w:t>sub</w:t>
      </w:r>
      <w:r>
        <w:t xml:space="preserve">stanci jsou dvě subsistentní hypostáze, jedna </w:t>
      </w:r>
      <w:r w:rsidRPr="00273106">
        <w:t xml:space="preserve">čistě potenciální a druhá čistě aktivní. </w:t>
      </w:r>
      <w:r>
        <w:t xml:space="preserve">Modernisté odmítají dělení substanciálního intelektu na dvě další substance, stejně jako první averroismus. Ale Komentátor nemá intelekt ani jako formu (tou je duše), natož jako substanci. Zavedením spirituální materie dostali modernisté potenci přímo do </w:t>
      </w:r>
      <w:proofErr w:type="gramStart"/>
      <w:r>
        <w:t>aktivního</w:t>
      </w:r>
      <w:proofErr w:type="gramEnd"/>
      <w:r>
        <w:t xml:space="preserve"> intelektu-substance a tím jej rozdělili na dvě patra podle vyšší a nižší  potenciality. Hypostázováním duše a intelektu jako aktuální substance s</w:t>
      </w:r>
      <w:r w:rsidRPr="00273106">
        <w:t xml:space="preserve">e </w:t>
      </w:r>
      <w:r>
        <w:t xml:space="preserve">Bonaventura </w:t>
      </w:r>
      <w:r w:rsidRPr="00273106">
        <w:t xml:space="preserve">připravil o zásadní možnost, jak intelekt </w:t>
      </w:r>
      <w:r w:rsidR="008D5827">
        <w:t xml:space="preserve">personalizovat </w:t>
      </w:r>
      <w:r w:rsidRPr="00273106">
        <w:t xml:space="preserve">pomocí metafyzického rozdílu mezi </w:t>
      </w:r>
      <w:r>
        <w:t xml:space="preserve">receptivní a syntetickou schopností </w:t>
      </w:r>
      <w:r w:rsidRPr="08DC4499">
        <w:rPr>
          <w:i/>
        </w:rPr>
        <w:t>anima intellectiva</w:t>
      </w:r>
      <w:r>
        <w:t xml:space="preserve"> </w:t>
      </w:r>
      <w:r w:rsidR="008D5827">
        <w:t xml:space="preserve">jako jedinečné </w:t>
      </w:r>
      <w:r w:rsidRPr="00273106">
        <w:t>formy</w:t>
      </w:r>
      <w:r w:rsidR="008D5827">
        <w:t xml:space="preserve"> těla</w:t>
      </w:r>
      <w:r w:rsidRPr="00273106">
        <w:t xml:space="preserve">. </w:t>
      </w:r>
      <w:r w:rsidR="0092479A">
        <w:t xml:space="preserve">A duši jako formu měl </w:t>
      </w:r>
      <w:r>
        <w:t>i Avicenna. Albert a Bacon upozorňovali</w:t>
      </w:r>
      <w:r w:rsidRPr="00224683">
        <w:t xml:space="preserve"> </w:t>
      </w:r>
      <w:r>
        <w:t xml:space="preserve">modernisty, že jejich pojetí duše není v souladu dokonce ani s Avicennovou definicí duše jako formy těla podle Toledské školy </w:t>
      </w:r>
      <w:r w:rsidR="08767BF1">
        <w:t>(OBJ II, kap. 2</w:t>
      </w:r>
      <w:r>
        <w:t xml:space="preserve">.2.1). </w:t>
      </w:r>
      <w:r w:rsidR="00A103B2">
        <w:t xml:space="preserve">Debata </w:t>
      </w:r>
      <w:r w:rsidRPr="00273106">
        <w:t xml:space="preserve">se týká statutu </w:t>
      </w:r>
      <w:r w:rsidR="00962190" w:rsidRPr="00A103B2">
        <w:t>species</w:t>
      </w:r>
      <w:r>
        <w:t xml:space="preserve"> řešeného v předešlé kapitole</w:t>
      </w:r>
      <w:r w:rsidRPr="00273106">
        <w:t xml:space="preserve">. </w:t>
      </w:r>
      <w:r>
        <w:t>Aristotelská</w:t>
      </w:r>
      <w:r w:rsidRPr="00273106">
        <w:t xml:space="preserve"> </w:t>
      </w:r>
      <w:r w:rsidR="00962190">
        <w:rPr>
          <w:i/>
        </w:rPr>
        <w:t>species</w:t>
      </w:r>
      <w:r w:rsidRPr="00273106">
        <w:rPr>
          <w:i/>
        </w:rPr>
        <w:t xml:space="preserve"> intelligibilis</w:t>
      </w:r>
      <w:r>
        <w:t xml:space="preserve"> a nominalistická</w:t>
      </w:r>
      <w:r w:rsidRPr="00273106">
        <w:t xml:space="preserve"> </w:t>
      </w:r>
      <w:r w:rsidR="00962190">
        <w:rPr>
          <w:i/>
        </w:rPr>
        <w:t>species</w:t>
      </w:r>
      <w:r w:rsidRPr="00273106">
        <w:t xml:space="preserve"> jako univerzálně-individuální </w:t>
      </w:r>
      <w:r w:rsidRPr="00273106">
        <w:rPr>
          <w:i/>
        </w:rPr>
        <w:t>scibile</w:t>
      </w:r>
      <w:r>
        <w:t xml:space="preserve"> mají</w:t>
      </w:r>
      <w:r w:rsidRPr="00273106">
        <w:t xml:space="preserve"> odlišný </w:t>
      </w:r>
      <w:r>
        <w:t>metafyzický statut</w:t>
      </w:r>
      <w:r>
        <w:fldChar w:fldCharType="begin"/>
      </w:r>
      <w:r>
        <w:instrText xml:space="preserve"> XE "</w:instrText>
      </w:r>
      <w:r w:rsidRPr="00D843A2">
        <w:instrText>species:dvojí určení</w:instrText>
      </w:r>
      <w:r>
        <w:instrText xml:space="preserve">" </w:instrText>
      </w:r>
      <w:r>
        <w:fldChar w:fldCharType="end"/>
      </w:r>
      <w:r w:rsidRPr="00273106">
        <w:t xml:space="preserve">. </w:t>
      </w:r>
      <w:r>
        <w:t xml:space="preserve">Moderna v epoše zatmění první substance potřebuje receptivní složku poznání v duši jen pro smyslovou představivost, proto odmítla </w:t>
      </w:r>
      <w:r w:rsidR="080B751F">
        <w:t xml:space="preserve">nejdůležitější </w:t>
      </w:r>
      <w:r>
        <w:t xml:space="preserve">závěry CMDA. </w:t>
      </w:r>
      <w:r w:rsidR="00B37D03" w:rsidRPr="00B37D03">
        <w:t xml:space="preserve">Moderní intelekt individualizovaný (nikoli personalizovaný) prostřednictvím mytologické </w:t>
      </w:r>
      <w:r w:rsidR="00B37D03" w:rsidRPr="00B37D03">
        <w:rPr>
          <w:i/>
          <w:iCs/>
        </w:rPr>
        <w:t>materia spiritualis</w:t>
      </w:r>
      <w:r w:rsidR="00B37D03">
        <w:rPr>
          <w:i/>
        </w:rPr>
        <w:fldChar w:fldCharType="begin"/>
      </w:r>
      <w:r w:rsidR="00B37D03">
        <w:instrText xml:space="preserve"> XE "</w:instrText>
      </w:r>
      <w:r w:rsidR="00B37D03" w:rsidRPr="08A516BF">
        <w:instrText>materie</w:instrText>
      </w:r>
      <w:r w:rsidR="00B37D03">
        <w:rPr>
          <w:i/>
        </w:rPr>
        <w:instrText xml:space="preserve">:materia </w:instrText>
      </w:r>
      <w:r w:rsidR="00B37D03" w:rsidRPr="00612581">
        <w:rPr>
          <w:i/>
        </w:rPr>
        <w:instrText>spiritualis</w:instrText>
      </w:r>
      <w:r w:rsidR="00B37D03">
        <w:instrText xml:space="preserve">" </w:instrText>
      </w:r>
      <w:r w:rsidR="00B37D03">
        <w:rPr>
          <w:i/>
        </w:rPr>
        <w:fldChar w:fldCharType="end"/>
      </w:r>
      <w:r w:rsidR="00B37D03" w:rsidRPr="00B37D03">
        <w:t xml:space="preserve"> rozpoznává existující druhy dané </w:t>
      </w:r>
      <w:r w:rsidR="00B37D03">
        <w:t xml:space="preserve">univočně jak v duši, tak v realitě </w:t>
      </w:r>
      <w:r w:rsidRPr="00273106">
        <w:t>(</w:t>
      </w:r>
      <w:r w:rsidRPr="00273106">
        <w:rPr>
          <w:i/>
          <w:szCs w:val="14"/>
        </w:rPr>
        <w:t xml:space="preserve">speciem </w:t>
      </w:r>
      <w:r w:rsidRPr="00273106">
        <w:rPr>
          <w:i/>
          <w:szCs w:val="10"/>
        </w:rPr>
        <w:t xml:space="preserve">illius </w:t>
      </w:r>
      <w:r w:rsidRPr="00273106">
        <w:rPr>
          <w:i/>
          <w:szCs w:val="12"/>
        </w:rPr>
        <w:t xml:space="preserve">habeat </w:t>
      </w:r>
      <w:r w:rsidRPr="00273106">
        <w:rPr>
          <w:i/>
          <w:szCs w:val="11"/>
        </w:rPr>
        <w:t xml:space="preserve">in </w:t>
      </w:r>
      <w:proofErr w:type="gramStart"/>
      <w:r w:rsidRPr="00273106">
        <w:rPr>
          <w:i/>
          <w:szCs w:val="12"/>
        </w:rPr>
        <w:t>se</w:t>
      </w:r>
      <w:proofErr w:type="gramEnd"/>
      <w:r w:rsidRPr="00273106">
        <w:rPr>
          <w:i/>
          <w:szCs w:val="12"/>
        </w:rPr>
        <w:t xml:space="preserve"> </w:t>
      </w:r>
      <w:r w:rsidRPr="00273106">
        <w:rPr>
          <w:i/>
          <w:szCs w:val="11"/>
        </w:rPr>
        <w:t xml:space="preserve">et </w:t>
      </w:r>
      <w:r w:rsidRPr="00273106">
        <w:rPr>
          <w:i/>
          <w:szCs w:val="14"/>
        </w:rPr>
        <w:t xml:space="preserve">penes </w:t>
      </w:r>
      <w:r w:rsidRPr="00273106">
        <w:rPr>
          <w:i/>
          <w:szCs w:val="10"/>
        </w:rPr>
        <w:t>se</w:t>
      </w:r>
      <w:r w:rsidR="0024745F">
        <w:t xml:space="preserve">). </w:t>
      </w:r>
      <w:r w:rsidR="0024745F" w:rsidRPr="0024745F">
        <w:t xml:space="preserve">Moderní intelekt je zcela schizofrenní; místo dvou schopností chápání (pasivní, aktivní) </w:t>
      </w:r>
      <w:r w:rsidR="0024745F">
        <w:t xml:space="preserve">je rozdělen na </w:t>
      </w:r>
      <w:r w:rsidR="0024745F" w:rsidRPr="0024745F">
        <w:t>dvě nesmyslné substance.</w:t>
      </w:r>
      <w:r w:rsidR="0024745F">
        <w:t xml:space="preserve"> Universálně h</w:t>
      </w:r>
      <w:r w:rsidRPr="00273106">
        <w:t xml:space="preserve">ylemorfická </w:t>
      </w:r>
      <w:r w:rsidR="00C73C6F">
        <w:t>„</w:t>
      </w:r>
      <w:r w:rsidRPr="00273106">
        <w:t>nematerialita</w:t>
      </w:r>
      <w:r w:rsidR="00C73C6F">
        <w:t>“</w:t>
      </w:r>
      <w:r w:rsidRPr="00273106">
        <w:t xml:space="preserve"> </w:t>
      </w:r>
      <w:r w:rsidRPr="00273106">
        <w:lastRenderedPageBreak/>
        <w:t xml:space="preserve">intelektu zrcadlí díky </w:t>
      </w:r>
      <w:r w:rsidR="00F76B86">
        <w:t xml:space="preserve">dvojí </w:t>
      </w:r>
      <w:r w:rsidRPr="00273106">
        <w:t xml:space="preserve">materialitě všechna poznávaná </w:t>
      </w:r>
      <w:r w:rsidR="00962190">
        <w:rPr>
          <w:i/>
        </w:rPr>
        <w:t>species</w:t>
      </w:r>
      <w:r w:rsidRPr="00273106">
        <w:t xml:space="preserve">, a to na dvou odlišných úrovních: smyslové a rozumové. </w:t>
      </w:r>
      <w:r>
        <w:t>Smyslově je duše poznává přes proces aristotelské abstrakce, intelektuálně skrze avicennovskou denudaci. Recepce se liší mírou potence a kontingence, kterou první a druhý náhled obsahuje. Proto má rozumová úroveň poznání dva odlišné stupně vyložené v předešlené kapitole (</w:t>
      </w:r>
      <w:r w:rsidRPr="00F705BC">
        <w:rPr>
          <w:i/>
        </w:rPr>
        <w:t>intellectus resolvens plene</w:t>
      </w:r>
      <w:r>
        <w:t xml:space="preserve">, </w:t>
      </w:r>
      <w:r w:rsidRPr="00F705BC">
        <w:rPr>
          <w:i/>
        </w:rPr>
        <w:t>semiplene</w:t>
      </w:r>
      <w:r>
        <w:t xml:space="preserve">). Aktivní </w:t>
      </w:r>
      <w:r w:rsidRPr="0089111E">
        <w:rPr>
          <w:i/>
        </w:rPr>
        <w:t>intellectus agens</w:t>
      </w:r>
      <w:r>
        <w:t xml:space="preserve"> zrcadlí trvalé formy v aktu přímého náhledu. Receptivní intelekt přijímá tyto formy skrze jejich kontigentní výskyt ve </w:t>
      </w:r>
      <w:r w:rsidR="00962190" w:rsidRPr="00BD4FF2">
        <w:t>species</w:t>
      </w:r>
      <w:r>
        <w:t xml:space="preserve"> daných </w:t>
      </w:r>
      <w:r w:rsidR="00BD4FF2">
        <w:t>v hylemorfických substancích (universália „</w:t>
      </w:r>
      <w:r w:rsidR="00BD4FF2" w:rsidRPr="00BD4FF2">
        <w:rPr>
          <w:i/>
        </w:rPr>
        <w:t>in re</w:t>
      </w:r>
      <w:r w:rsidR="00BD4FF2">
        <w:t>“).</w:t>
      </w:r>
      <w:r>
        <w:t xml:space="preserve"> Grosseteste </w:t>
      </w:r>
      <w:r w:rsidR="00195E27">
        <w:t xml:space="preserve">zavedl </w:t>
      </w:r>
      <w:r w:rsidR="0079402A">
        <w:t>t</w:t>
      </w:r>
      <w:r w:rsidR="00195E27">
        <w:t>ento rozdíl mezi přímým náhledem a úsudkem v</w:t>
      </w:r>
      <w:r w:rsidR="0079402A">
        <w:t xml:space="preserve"> gnoseologickém </w:t>
      </w:r>
      <w:r w:rsidR="00195E27">
        <w:t>dualismu „</w:t>
      </w:r>
      <w:proofErr w:type="gramStart"/>
      <w:r w:rsidR="00195E27" w:rsidRPr="00F22B23">
        <w:rPr>
          <w:i/>
          <w:szCs w:val="24"/>
        </w:rPr>
        <w:t>intellectus</w:t>
      </w:r>
      <w:proofErr w:type="gramEnd"/>
      <w:r w:rsidR="00195E27" w:rsidRPr="00F22B23">
        <w:rPr>
          <w:rFonts w:cs="Calibri"/>
          <w:i/>
          <w:szCs w:val="24"/>
        </w:rPr>
        <w:t>—</w:t>
      </w:r>
      <w:proofErr w:type="gramStart"/>
      <w:r w:rsidR="00195E27" w:rsidRPr="00F22B23">
        <w:rPr>
          <w:i/>
          <w:szCs w:val="24"/>
        </w:rPr>
        <w:t>scientia</w:t>
      </w:r>
      <w:proofErr w:type="gramEnd"/>
      <w:r w:rsidR="00195E27" w:rsidRPr="00195E27">
        <w:rPr>
          <w:szCs w:val="24"/>
        </w:rPr>
        <w:t>“</w:t>
      </w:r>
      <w:r w:rsidR="00195E27">
        <w:rPr>
          <w:i/>
          <w:szCs w:val="24"/>
        </w:rPr>
        <w:t xml:space="preserve"> </w:t>
      </w:r>
      <w:r>
        <w:t>(</w:t>
      </w:r>
      <w:r w:rsidR="08BA310E">
        <w:t>OBJ II, kap. 3</w:t>
      </w:r>
      <w:r>
        <w:t xml:space="preserve">.1.1). Předešlý </w:t>
      </w:r>
      <w:r w:rsidRPr="00273106">
        <w:t xml:space="preserve">rozbor Rufusova díla </w:t>
      </w:r>
      <w:r w:rsidRPr="00273106">
        <w:rPr>
          <w:i/>
        </w:rPr>
        <w:t>Speculum animae</w:t>
      </w:r>
      <w:r>
        <w:rPr>
          <w:i/>
        </w:rPr>
        <w:t xml:space="preserve"> </w:t>
      </w:r>
      <w:r w:rsidRPr="00527F4B">
        <w:t>ukázal</w:t>
      </w:r>
      <w:r>
        <w:t>,</w:t>
      </w:r>
      <w:r w:rsidRPr="00527F4B">
        <w:t xml:space="preserve"> jak</w:t>
      </w:r>
      <w:r>
        <w:t xml:space="preserve"> moderní intelekt spekulativně</w:t>
      </w:r>
      <w:r w:rsidRPr="00273106">
        <w:t xml:space="preserve"> zrcad</w:t>
      </w:r>
      <w:r>
        <w:t xml:space="preserve">lí vnější realitu skrze univoční </w:t>
      </w:r>
      <w:r w:rsidRPr="006166F1">
        <w:rPr>
          <w:i/>
        </w:rPr>
        <w:t>scibile</w:t>
      </w:r>
      <w:r>
        <w:t xml:space="preserve">. Poznává nejprve </w:t>
      </w:r>
      <w:r w:rsidRPr="00273106">
        <w:t>interní obsahy, formy a ese</w:t>
      </w:r>
      <w:r>
        <w:t>nce dané v aktu přímého náhledu, které následně a kontingentně zrcadlí i smyslová realita (</w:t>
      </w:r>
      <w:r w:rsidR="08BA310E">
        <w:t>OBJ II, kap. 3</w:t>
      </w:r>
      <w:r>
        <w:t>.3.4</w:t>
      </w:r>
      <w:r w:rsidRPr="00273106">
        <w:t xml:space="preserve">). Bonaventura vyměnil individuální receptivní potenci duše jako formy těla za </w:t>
      </w:r>
      <w:r>
        <w:t>habituální schopnost intelektu</w:t>
      </w:r>
      <w:r w:rsidR="0079402A">
        <w:t>. Ten p</w:t>
      </w:r>
      <w:r>
        <w:t xml:space="preserve">řijímá objektivní </w:t>
      </w:r>
      <w:r w:rsidR="00962190">
        <w:rPr>
          <w:i/>
        </w:rPr>
        <w:t>species</w:t>
      </w:r>
      <w:r w:rsidRPr="00273106">
        <w:t xml:space="preserve"> </w:t>
      </w:r>
      <w:r>
        <w:t xml:space="preserve">a </w:t>
      </w:r>
      <w:r w:rsidRPr="00A97D4B">
        <w:rPr>
          <w:i/>
        </w:rPr>
        <w:t>scibile</w:t>
      </w:r>
      <w:r w:rsidRPr="00273106">
        <w:t>.</w:t>
      </w:r>
      <w:r>
        <w:t xml:space="preserve"> Toto zrcadlení objektivních </w:t>
      </w:r>
      <w:r w:rsidR="00962190">
        <w:rPr>
          <w:i/>
        </w:rPr>
        <w:t>species</w:t>
      </w:r>
      <w:r>
        <w:t xml:space="preserve"> jako univerzálních jednotlivin v duši odmítl Albert v </w:t>
      </w:r>
      <w:proofErr w:type="gramStart"/>
      <w:r w:rsidRPr="00EA717E">
        <w:rPr>
          <w:i/>
        </w:rPr>
        <w:t>De</w:t>
      </w:r>
      <w:proofErr w:type="gramEnd"/>
      <w:r w:rsidRPr="00EA717E">
        <w:rPr>
          <w:i/>
        </w:rPr>
        <w:t xml:space="preserve"> homine</w:t>
      </w:r>
      <w:r>
        <w:t xml:space="preserve">, protože nejde o vědecký způsob poznání podle </w:t>
      </w:r>
      <w:r w:rsidRPr="006166F1">
        <w:rPr>
          <w:i/>
        </w:rPr>
        <w:t>Druhých analytik</w:t>
      </w:r>
      <w:r>
        <w:t xml:space="preserve">. Viz citovaný rozdíl mezi </w:t>
      </w:r>
      <w:r w:rsidR="00962190">
        <w:rPr>
          <w:i/>
        </w:rPr>
        <w:t>species</w:t>
      </w:r>
      <w:r>
        <w:t xml:space="preserve"> jako </w:t>
      </w:r>
      <w:r w:rsidR="00DF7A5F">
        <w:t>„</w:t>
      </w:r>
      <w:r w:rsidRPr="001E1DD4">
        <w:rPr>
          <w:i/>
        </w:rPr>
        <w:t>ratio rei</w:t>
      </w:r>
      <w:r w:rsidR="00DF7A5F">
        <w:t>“</w:t>
      </w:r>
      <w:r>
        <w:t xml:space="preserve"> a jako </w:t>
      </w:r>
      <w:r w:rsidR="00DF7A5F">
        <w:t>„</w:t>
      </w:r>
      <w:r w:rsidRPr="00EA717E">
        <w:rPr>
          <w:i/>
        </w:rPr>
        <w:t>accidens animae</w:t>
      </w:r>
      <w:r w:rsidR="00DF7A5F">
        <w:t>“</w:t>
      </w:r>
      <w:r>
        <w:t xml:space="preserve"> (</w:t>
      </w:r>
      <w:r w:rsidR="08BA310E">
        <w:t>OBJ II, kap. 2</w:t>
      </w:r>
      <w:r>
        <w:t xml:space="preserve">.1.2). Bonaventura </w:t>
      </w:r>
      <w:r w:rsidR="00033F7E">
        <w:t xml:space="preserve">změnil </w:t>
      </w:r>
      <w:r w:rsidRPr="00273106">
        <w:t xml:space="preserve">receptivní intelekt </w:t>
      </w:r>
      <w:r>
        <w:t xml:space="preserve">daného u Averroese </w:t>
      </w:r>
      <w:r w:rsidRPr="00273106">
        <w:t xml:space="preserve">jako </w:t>
      </w:r>
      <w:r>
        <w:t xml:space="preserve">schopnost duše </w:t>
      </w:r>
      <w:r w:rsidR="00033F7E">
        <w:t xml:space="preserve">na </w:t>
      </w:r>
      <w:r>
        <w:t>substanciálně pojat</w:t>
      </w:r>
      <w:r w:rsidR="00033F7E">
        <w:t xml:space="preserve">ý </w:t>
      </w:r>
      <w:r>
        <w:t>pasivní a aktivní</w:t>
      </w:r>
      <w:r w:rsidR="00033F7E">
        <w:t xml:space="preserve"> </w:t>
      </w:r>
      <w:r>
        <w:t>intelekt. První averroismus zásadně odmítl Bonaventurovu substanciální definici intelektu</w:t>
      </w:r>
      <w:r w:rsidR="00B07019">
        <w:t xml:space="preserve">. Osoba nemůže být dána jako </w:t>
      </w:r>
      <w:r>
        <w:t>sofistické spojení obou složek poznání do moderního intelektu jako pseudo-mater</w:t>
      </w:r>
      <w:r w:rsidR="00B6089D">
        <w:t xml:space="preserve">iální substance třetího druhu. </w:t>
      </w:r>
      <w:r w:rsidR="00C65116" w:rsidRPr="00C65116">
        <w:t xml:space="preserve">Z hlediska potence a aktu jsou obě intelektuální schopnosti součástí </w:t>
      </w:r>
      <w:r w:rsidR="00C65116" w:rsidRPr="00C65116">
        <w:rPr>
          <w:i/>
          <w:iCs/>
        </w:rPr>
        <w:t>anima intellectiva</w:t>
      </w:r>
      <w:r w:rsidR="00C65116" w:rsidRPr="00C65116">
        <w:t xml:space="preserve">. Navíc obě schopnosti musí být od sebe zásadně odděleny, pokud jde o jejich činnost. </w:t>
      </w:r>
      <w:r w:rsidR="00C65116">
        <w:t>J</w:t>
      </w:r>
      <w:r>
        <w:t xml:space="preserve">inak by padlo pojetí pravdy jako adekvace. </w:t>
      </w:r>
      <w:r w:rsidRPr="00273106">
        <w:t xml:space="preserve">Rozdíl mezi </w:t>
      </w:r>
      <w:r w:rsidRPr="00273106">
        <w:rPr>
          <w:i/>
        </w:rPr>
        <w:t>intellectus</w:t>
      </w:r>
      <w:r w:rsidRPr="00273106">
        <w:t xml:space="preserve"> </w:t>
      </w:r>
      <w:r w:rsidRPr="00273106">
        <w:rPr>
          <w:i/>
        </w:rPr>
        <w:t>possibilis</w:t>
      </w:r>
      <w:r w:rsidRPr="00273106">
        <w:t xml:space="preserve"> a </w:t>
      </w:r>
      <w:r w:rsidRPr="00273106">
        <w:rPr>
          <w:i/>
        </w:rPr>
        <w:t>agens</w:t>
      </w:r>
      <w:r w:rsidRPr="00273106">
        <w:t xml:space="preserve"> spočívá u prvního </w:t>
      </w:r>
      <w:r>
        <w:t>aver</w:t>
      </w:r>
      <w:r w:rsidRPr="00273106">
        <w:t>r</w:t>
      </w:r>
      <w:r>
        <w:t>o</w:t>
      </w:r>
      <w:r w:rsidRPr="00273106">
        <w:t xml:space="preserve">ismu na metafyzické diferenci mezi potencí </w:t>
      </w:r>
      <w:r>
        <w:t xml:space="preserve">poznání </w:t>
      </w:r>
      <w:r w:rsidRPr="00273106">
        <w:t>a aktualitou</w:t>
      </w:r>
      <w:r>
        <w:t xml:space="preserve"> poznání danou v rámci jedné duše jako nemateriální formy</w:t>
      </w:r>
      <w:r w:rsidRPr="00273106">
        <w:t xml:space="preserve">. Schopnost každé </w:t>
      </w:r>
      <w:r>
        <w:t xml:space="preserve">duše (i animální) je </w:t>
      </w:r>
      <w:r w:rsidRPr="00273106">
        <w:t xml:space="preserve">aktivní </w:t>
      </w:r>
      <w:r w:rsidR="004248FC">
        <w:t xml:space="preserve">a </w:t>
      </w:r>
      <w:r w:rsidRPr="00273106">
        <w:t xml:space="preserve">pasivní </w:t>
      </w:r>
      <w:r w:rsidRPr="00273106">
        <w:rPr>
          <w:i/>
        </w:rPr>
        <w:t>operatio</w:t>
      </w:r>
      <w:r w:rsidR="004248FC">
        <w:t xml:space="preserve">. Oba </w:t>
      </w:r>
      <w:r>
        <w:t xml:space="preserve">výkony duše </w:t>
      </w:r>
      <w:r w:rsidR="004248FC">
        <w:t xml:space="preserve">jsou </w:t>
      </w:r>
      <w:r w:rsidRPr="00273106">
        <w:t xml:space="preserve">jasně odděleny z hlediska potence nebo aktu. Bonaventura tuto diferenci zrušil a nahradil ji </w:t>
      </w:r>
      <w:r>
        <w:t xml:space="preserve">moderní </w:t>
      </w:r>
      <w:r w:rsidRPr="00273106">
        <w:t xml:space="preserve">diferencí mezi </w:t>
      </w:r>
      <w:r>
        <w:t xml:space="preserve">trvalou </w:t>
      </w:r>
      <w:r w:rsidRPr="00273106">
        <w:t xml:space="preserve">esencí a </w:t>
      </w:r>
      <w:r>
        <w:t xml:space="preserve">kontingentní </w:t>
      </w:r>
      <w:r w:rsidRPr="00273106">
        <w:t>existencí</w:t>
      </w:r>
      <w:r>
        <w:t xml:space="preserve">. Obě formy „exsistence“ připsal porretánským hypostázím a Rufusovu jsoucnu třetího druhu v modu univerzálního hylemorfismu. Svět moderny a postmoderny je plný hypostázovaných esencí, které se dají libovolně skládat a rozkládat a nacházejí se v různém stupni subsistence (věčné, </w:t>
      </w:r>
      <w:r>
        <w:lastRenderedPageBreak/>
        <w:t xml:space="preserve">objektivní, smyslové). Koncept </w:t>
      </w:r>
      <w:r w:rsidRPr="005E5D65">
        <w:rPr>
          <w:i/>
        </w:rPr>
        <w:t>exsistere</w:t>
      </w:r>
      <w:r>
        <w:rPr>
          <w:i/>
        </w:rPr>
        <w:fldChar w:fldCharType="begin"/>
      </w:r>
      <w:r>
        <w:instrText xml:space="preserve"> XE "</w:instrText>
      </w:r>
      <w:r w:rsidRPr="008E07A9">
        <w:rPr>
          <w:i/>
        </w:rPr>
        <w:instrText>exsistere</w:instrText>
      </w:r>
      <w:r>
        <w:instrText xml:space="preserve">" </w:instrText>
      </w:r>
      <w:r>
        <w:rPr>
          <w:i/>
        </w:rPr>
        <w:fldChar w:fldCharType="end"/>
      </w:r>
      <w:r>
        <w:t xml:space="preserve"> daný v </w:t>
      </w:r>
      <w:r w:rsidRPr="00A738A3">
        <w:rPr>
          <w:i/>
        </w:rPr>
        <w:t>Oxfordian Fallacy</w:t>
      </w:r>
      <w:r>
        <w:t xml:space="preserve"> vidí svět a duši jinak než první averroismus. Zavedením habituální složky intelektu jako hypostázovaného poznání daného v modu </w:t>
      </w:r>
      <w:r w:rsidRPr="002013B4">
        <w:rPr>
          <w:i/>
        </w:rPr>
        <w:t>per prius</w:t>
      </w:r>
      <w:r>
        <w:t xml:space="preserve"> před jakýmkoliv kontingentním poznáním se stal Bonaventura objektivním averroistou. Proto zahajuje kolem roku 1252 radikální útok na Averroese na Pařížské univerzitě. Tento františkán navazuje na pařížské dílo sofisty Rufuse, který </w:t>
      </w:r>
      <w:r w:rsidR="08926D9B">
        <w:t>odešel poražen zpět do Oxfordu.</w:t>
      </w:r>
      <w:r w:rsidR="08E42647">
        <w:t xml:space="preserve"> Sekulární magistři, Albert Veliký a biskup Alvernus jako kancléř univerzity v roce 1250 vyhnali Rufuse z Paříže jako sofistu, který učí filosofickou nauku na samé hranici hereze Davida z Dinantu (OBJ II, kap. 3.2). Tento pilný modernista v klidu přežil na františkánském a dominikánském Oxfordu, kde vychoval další generaci modernistů. Pak se pět let vrátil na Pařížskou univerzitu a měl papežskou </w:t>
      </w:r>
      <w:r w:rsidR="08E42647" w:rsidRPr="007703AD">
        <w:rPr>
          <w:i/>
        </w:rPr>
        <w:t xml:space="preserve">licentia </w:t>
      </w:r>
      <w:r w:rsidR="08E42647">
        <w:rPr>
          <w:i/>
        </w:rPr>
        <w:t xml:space="preserve">ubique </w:t>
      </w:r>
      <w:r w:rsidR="08E42647" w:rsidRPr="007703AD">
        <w:rPr>
          <w:i/>
        </w:rPr>
        <w:t>docendi</w:t>
      </w:r>
      <w:r w:rsidR="08E42647">
        <w:t xml:space="preserve"> na hlásání moderní sofistiky. </w:t>
      </w:r>
      <w:r w:rsidR="007B7D8B" w:rsidRPr="00EE3CA4">
        <w:t xml:space="preserve">Rufus byl s největší pravděpodobností </w:t>
      </w:r>
      <w:r w:rsidR="007B7D8B">
        <w:t xml:space="preserve">jmenován </w:t>
      </w:r>
      <w:r w:rsidR="007B7D8B" w:rsidRPr="00EE3CA4">
        <w:t>magistr</w:t>
      </w:r>
      <w:r w:rsidR="007B7D8B">
        <w:t>em</w:t>
      </w:r>
      <w:r w:rsidR="007B7D8B" w:rsidRPr="00EE3CA4">
        <w:t xml:space="preserve"> mendikantské fakulty kolem roku 1255, hned po jejím založení papežským dekretem. To bylo jasn</w:t>
      </w:r>
      <w:r w:rsidR="007B7D8B">
        <w:t>é vyhlášení války klasické filos</w:t>
      </w:r>
      <w:r w:rsidR="007B7D8B" w:rsidRPr="00EE3CA4">
        <w:t xml:space="preserve">ofii. </w:t>
      </w:r>
      <w:r w:rsidR="007B7D8B">
        <w:t xml:space="preserve">Tím </w:t>
      </w:r>
      <w:r w:rsidR="007B7D8B" w:rsidRPr="00EE3CA4">
        <w:t xml:space="preserve">je </w:t>
      </w:r>
      <w:r w:rsidR="007B7D8B">
        <w:t xml:space="preserve">zcela </w:t>
      </w:r>
      <w:r w:rsidR="007B7D8B" w:rsidRPr="00EE3CA4">
        <w:t>pochopit</w:t>
      </w:r>
      <w:r w:rsidR="007B7D8B">
        <w:t>elná skutečná povaha sporu v letech 1255–</w:t>
      </w:r>
      <w:r w:rsidR="007B7D8B" w:rsidRPr="00EE3CA4">
        <w:t>56 mezi aristoteliky z Rue du Fou</w:t>
      </w:r>
      <w:r w:rsidR="007B7D8B">
        <w:t xml:space="preserve">arre a akademickými mendikanty. Aristotelská logika vyloučeného třetího byla jasná: pokud budou v Paříži vyučovat sofisté jako Rufus, pak tam nemají kritičtí aristotelikové co dělat. </w:t>
      </w:r>
    </w:p>
    <w:p w:rsidR="08163013" w:rsidRPr="00273106" w:rsidRDefault="08163013" w:rsidP="00163A5B">
      <w:pPr>
        <w:ind w:firstLine="397"/>
      </w:pPr>
      <w:r>
        <w:t xml:space="preserve">Bonaventura </w:t>
      </w:r>
      <w:r w:rsidR="08B80D83">
        <w:t xml:space="preserve">v linii Rufuse </w:t>
      </w:r>
      <w:r>
        <w:t>z</w:t>
      </w:r>
      <w:r w:rsidRPr="00273106">
        <w:t xml:space="preserve">rušil </w:t>
      </w:r>
      <w:r w:rsidR="005D3C9A">
        <w:t xml:space="preserve">personalizovaný </w:t>
      </w:r>
      <w:r w:rsidRPr="00273106">
        <w:t xml:space="preserve">výkon </w:t>
      </w:r>
      <w:r w:rsidRPr="00273106">
        <w:rPr>
          <w:i/>
        </w:rPr>
        <w:t>intellectus possibilis</w:t>
      </w:r>
      <w:r w:rsidRPr="00273106">
        <w:t xml:space="preserve"> a nahradil jej pouhou abstraktní možností poznání danou jako zrcadlení objektivně daného </w:t>
      </w:r>
      <w:r w:rsidR="00962190">
        <w:rPr>
          <w:i/>
        </w:rPr>
        <w:t>species</w:t>
      </w:r>
      <w:r>
        <w:t xml:space="preserve"> </w:t>
      </w:r>
      <w:r w:rsidRPr="00273106">
        <w:t>v mysli</w:t>
      </w:r>
      <w:r>
        <w:t xml:space="preserve">. Kontemplaci trvalých forem doplňuje abstrakce a denudace stejných </w:t>
      </w:r>
      <w:r w:rsidR="00962190">
        <w:rPr>
          <w:i/>
        </w:rPr>
        <w:t>species</w:t>
      </w:r>
      <w:r>
        <w:t xml:space="preserve"> daných kontingentně v realitě</w:t>
      </w:r>
      <w:r w:rsidRPr="00273106">
        <w:t xml:space="preserve">. </w:t>
      </w:r>
      <w:r>
        <w:t xml:space="preserve">Přímý náhled dodatečně verifikuje poznání již dané v modu Augustinova a Anselmova </w:t>
      </w:r>
      <w:r w:rsidRPr="0825369D">
        <w:rPr>
          <w:i/>
        </w:rPr>
        <w:t>rectitudo</w:t>
      </w:r>
      <w:r>
        <w:t xml:space="preserve"> v dalším kroku s filosofickým náhledem Avicenny</w:t>
      </w:r>
      <w:r w:rsidR="00163A5B">
        <w:t xml:space="preserve"> (</w:t>
      </w:r>
      <w:r w:rsidR="00163A5B" w:rsidRPr="0825369D">
        <w:rPr>
          <w:i/>
        </w:rPr>
        <w:t>hoc esse tantum</w:t>
      </w:r>
      <w:r w:rsidR="00163A5B">
        <w:rPr>
          <w:i/>
        </w:rPr>
        <w:fldChar w:fldCharType="begin"/>
      </w:r>
      <w:r w:rsidR="00163A5B">
        <w:instrText xml:space="preserve"> XE "</w:instrText>
      </w:r>
      <w:r w:rsidR="00163A5B" w:rsidRPr="088113AB">
        <w:rPr>
          <w:i/>
        </w:rPr>
        <w:instrText>hoc esse tantum</w:instrText>
      </w:r>
      <w:r w:rsidR="00163A5B">
        <w:instrText xml:space="preserve">" </w:instrText>
      </w:r>
      <w:r w:rsidR="00163A5B">
        <w:rPr>
          <w:i/>
        </w:rPr>
        <w:fldChar w:fldCharType="end"/>
      </w:r>
      <w:r w:rsidR="00163A5B">
        <w:t>). Bonaventura přímo pozoruje porretánská</w:t>
      </w:r>
      <w:r>
        <w:t xml:space="preserve"> </w:t>
      </w:r>
      <w:r w:rsidR="00962190">
        <w:rPr>
          <w:i/>
        </w:rPr>
        <w:t>species</w:t>
      </w:r>
      <w:r>
        <w:t xml:space="preserve"> </w:t>
      </w:r>
      <w:r w:rsidR="00163A5B">
        <w:t xml:space="preserve">v </w:t>
      </w:r>
      <w:r>
        <w:t>první</w:t>
      </w:r>
      <w:r w:rsidR="00163A5B">
        <w:t>ch substancích. Moderní d</w:t>
      </w:r>
      <w:r>
        <w:t xml:space="preserve">iskrétním viděním </w:t>
      </w:r>
      <w:r w:rsidR="00163A5B">
        <w:rPr>
          <w:szCs w:val="24"/>
          <w:lang w:val="de-DE"/>
        </w:rPr>
        <w:t>(</w:t>
      </w:r>
      <w:r w:rsidR="00163A5B" w:rsidRPr="006966BA">
        <w:rPr>
          <w:i/>
          <w:szCs w:val="24"/>
          <w:lang w:val="de-DE"/>
        </w:rPr>
        <w:t>discrete videamus</w:t>
      </w:r>
      <w:r w:rsidR="00163A5B">
        <w:rPr>
          <w:szCs w:val="24"/>
          <w:lang w:val="de-DE"/>
        </w:rPr>
        <w:t xml:space="preserve">) </w:t>
      </w:r>
      <w:r>
        <w:t xml:space="preserve">neexistujících </w:t>
      </w:r>
      <w:r w:rsidRPr="08891DE0">
        <w:rPr>
          <w:i/>
        </w:rPr>
        <w:t>tertium ens</w:t>
      </w:r>
      <w:r>
        <w:t xml:space="preserve"> vznikla </w:t>
      </w:r>
      <w:r w:rsidR="00163A5B">
        <w:t xml:space="preserve">podoba jedné pravdy jako moderní asimilace jsoucen třetího druhu. Jedná se o </w:t>
      </w:r>
      <w:r>
        <w:t xml:space="preserve">Rufusovo a Bonaventurovo </w:t>
      </w:r>
      <w:r w:rsidRPr="0825369D">
        <w:rPr>
          <w:i/>
        </w:rPr>
        <w:t>coaequatio</w:t>
      </w:r>
      <w:r>
        <w:t xml:space="preserve"> dané v modu </w:t>
      </w:r>
      <w:r w:rsidR="00163A5B">
        <w:t xml:space="preserve">pravdy jako </w:t>
      </w:r>
      <w:r>
        <w:t xml:space="preserve">teologicko-mystické </w:t>
      </w:r>
      <w:r w:rsidRPr="0825369D">
        <w:rPr>
          <w:i/>
        </w:rPr>
        <w:t>rectitudo</w:t>
      </w:r>
      <w:r>
        <w:t xml:space="preserve"> a </w:t>
      </w:r>
      <w:r w:rsidR="08501CC6">
        <w:t xml:space="preserve">avicennovské </w:t>
      </w:r>
      <w:r w:rsidRPr="0825369D">
        <w:rPr>
          <w:i/>
        </w:rPr>
        <w:t>certitudo</w:t>
      </w:r>
      <w:r>
        <w:t xml:space="preserve">. Citát ukazuje objektivní postavení </w:t>
      </w:r>
      <w:r w:rsidR="00962190">
        <w:rPr>
          <w:i/>
        </w:rPr>
        <w:t>species</w:t>
      </w:r>
      <w:r>
        <w:t xml:space="preserve"> chápaných naprosto univočně vzhledem k realitě, ke smyslům a k oběma schopnostem intelektu.</w:t>
      </w:r>
    </w:p>
    <w:p w:rsidR="08163013" w:rsidRPr="00970061" w:rsidRDefault="08163013" w:rsidP="08163013">
      <w:pPr>
        <w:pStyle w:val="Citace"/>
        <w:rPr>
          <w:noProof/>
          <w:lang w:val="cs-CZ"/>
        </w:rPr>
      </w:pPr>
      <w:r w:rsidRPr="00273106">
        <w:rPr>
          <w:noProof/>
          <w:lang w:val="cs-CZ"/>
        </w:rPr>
        <w:t>„</w:t>
      </w:r>
      <w:r>
        <w:rPr>
          <w:noProof/>
          <w:lang w:val="cs-CZ"/>
        </w:rPr>
        <w:t xml:space="preserve">Činný intelekt uchopuje formy a možný intelekt uchopuje materii, protože možný intelekt je určen k přijetí a aktivní intelekt je určen k abstrakci. Ale ani možný intelekt není plně pasivní, protože se musí obrátit ke </w:t>
      </w:r>
      <w:r w:rsidR="00962190">
        <w:rPr>
          <w:i/>
          <w:noProof/>
          <w:lang w:val="cs-CZ"/>
        </w:rPr>
        <w:t>species</w:t>
      </w:r>
      <w:r>
        <w:rPr>
          <w:noProof/>
          <w:lang w:val="cs-CZ"/>
        </w:rPr>
        <w:t xml:space="preserve">, které existuje v představivosti. V aktu konverze provedeném s pomocí činného intelektu musí tato </w:t>
      </w:r>
      <w:r w:rsidR="00962190">
        <w:rPr>
          <w:i/>
          <w:noProof/>
          <w:lang w:val="cs-CZ"/>
        </w:rPr>
        <w:t>species</w:t>
      </w:r>
      <w:r>
        <w:rPr>
          <w:noProof/>
          <w:lang w:val="cs-CZ"/>
        </w:rPr>
        <w:t xml:space="preserve"> přijmout a musí o nich provést akt souzení. Stejně tak aktivní intelekt není </w:t>
      </w:r>
      <w:r>
        <w:rPr>
          <w:noProof/>
          <w:lang w:val="cs-CZ"/>
        </w:rPr>
        <w:lastRenderedPageBreak/>
        <w:t xml:space="preserve">plně v aktu. Nemůže porozumět ničemu mimo sebe, pokud není podpořen směrem od </w:t>
      </w:r>
      <w:r w:rsidR="00962190">
        <w:rPr>
          <w:i/>
          <w:noProof/>
          <w:lang w:val="cs-CZ"/>
        </w:rPr>
        <w:t>species</w:t>
      </w:r>
      <w:r>
        <w:rPr>
          <w:noProof/>
          <w:lang w:val="cs-CZ"/>
        </w:rPr>
        <w:t xml:space="preserve">, která jsou abstrahována od fantasmatu a činný intelekt se s nimi musí spojit.“ </w:t>
      </w:r>
      <w:r>
        <w:rPr>
          <w:rStyle w:val="Znakapoznpodarou"/>
        </w:rPr>
        <w:footnoteReference w:id="56"/>
      </w:r>
    </w:p>
    <w:p w:rsidR="00176323" w:rsidRDefault="00472181" w:rsidP="08163013">
      <w:r w:rsidRPr="00472181">
        <w:t>Začněme typickou vět</w:t>
      </w:r>
      <w:r>
        <w:t xml:space="preserve">ou prvního averroismu, která </w:t>
      </w:r>
      <w:r w:rsidRPr="00472181">
        <w:t xml:space="preserve">zmiňuje </w:t>
      </w:r>
      <w:r>
        <w:t>species, jež jsou abstrahována</w:t>
      </w:r>
      <w:r w:rsidR="00723326">
        <w:t xml:space="preserve"> z fantasmat </w:t>
      </w:r>
      <w:r w:rsidR="08163013" w:rsidRPr="00273106">
        <w:t>(</w:t>
      </w:r>
      <w:r w:rsidR="08163013" w:rsidRPr="00273106">
        <w:rPr>
          <w:i/>
          <w:szCs w:val="13"/>
        </w:rPr>
        <w:t xml:space="preserve">adiuvetur a </w:t>
      </w:r>
      <w:r w:rsidR="08163013" w:rsidRPr="00273106">
        <w:rPr>
          <w:i/>
          <w:szCs w:val="12"/>
        </w:rPr>
        <w:t>spe</w:t>
      </w:r>
      <w:r w:rsidR="08163013" w:rsidRPr="00273106">
        <w:rPr>
          <w:i/>
          <w:szCs w:val="11"/>
        </w:rPr>
        <w:t xml:space="preserve">cie, </w:t>
      </w:r>
      <w:r w:rsidR="08163013" w:rsidRPr="00273106">
        <w:rPr>
          <w:i/>
          <w:szCs w:val="14"/>
        </w:rPr>
        <w:t xml:space="preserve">quae </w:t>
      </w:r>
      <w:r w:rsidR="08163013" w:rsidRPr="00273106">
        <w:rPr>
          <w:i/>
          <w:szCs w:val="12"/>
        </w:rPr>
        <w:t xml:space="preserve">abstracta a </w:t>
      </w:r>
      <w:r w:rsidR="08163013" w:rsidRPr="00273106">
        <w:rPr>
          <w:i/>
          <w:szCs w:val="14"/>
        </w:rPr>
        <w:t>phantasmate</w:t>
      </w:r>
      <w:r w:rsidR="08163013" w:rsidRPr="00273106">
        <w:t xml:space="preserve">). </w:t>
      </w:r>
      <w:r w:rsidR="08163013">
        <w:t xml:space="preserve">Slovo </w:t>
      </w:r>
      <w:r w:rsidR="00447AC0">
        <w:t>„</w:t>
      </w:r>
      <w:r w:rsidR="00962190">
        <w:rPr>
          <w:i/>
        </w:rPr>
        <w:t>species</w:t>
      </w:r>
      <w:r w:rsidR="00447AC0">
        <w:t>“</w:t>
      </w:r>
      <w:r w:rsidR="08163013">
        <w:t xml:space="preserve"> označuje objektivní hypostázi, nikoliv smyslová a inteligibilní </w:t>
      </w:r>
      <w:r w:rsidR="00962190" w:rsidRPr="00447AC0">
        <w:t>species</w:t>
      </w:r>
      <w:r w:rsidR="08163013">
        <w:t xml:space="preserve"> prvního averroismu. Ve </w:t>
      </w:r>
      <w:r w:rsidR="08163013" w:rsidRPr="00273106">
        <w:t xml:space="preserve">druhém averroismu není </w:t>
      </w:r>
      <w:r w:rsidR="08163013" w:rsidRPr="00273106">
        <w:rPr>
          <w:i/>
        </w:rPr>
        <w:t>intellectus possibilis</w:t>
      </w:r>
      <w:r w:rsidR="08163013">
        <w:rPr>
          <w:i/>
        </w:rPr>
        <w:fldChar w:fldCharType="begin"/>
      </w:r>
      <w:r w:rsidR="08163013">
        <w:instrText xml:space="preserve"> XE "</w:instrText>
      </w:r>
      <w:r w:rsidR="08163013" w:rsidRPr="00770D02">
        <w:rPr>
          <w:i/>
        </w:rPr>
        <w:instrText>intellectus possibilis</w:instrText>
      </w:r>
      <w:r w:rsidR="08163013">
        <w:rPr>
          <w:i/>
        </w:rPr>
        <w:instrText>:</w:instrText>
      </w:r>
      <w:r w:rsidR="08163013" w:rsidRPr="00612D71">
        <w:instrText>Bonaventura</w:instrText>
      </w:r>
      <w:r w:rsidR="08163013">
        <w:instrText xml:space="preserve">" </w:instrText>
      </w:r>
      <w:r w:rsidR="08163013">
        <w:rPr>
          <w:i/>
        </w:rPr>
        <w:fldChar w:fldCharType="end"/>
      </w:r>
      <w:r w:rsidR="08163013" w:rsidRPr="00273106">
        <w:t xml:space="preserve"> plně receptivní (</w:t>
      </w:r>
      <w:r w:rsidR="08163013" w:rsidRPr="00273106">
        <w:rPr>
          <w:i/>
          <w:szCs w:val="13"/>
        </w:rPr>
        <w:t xml:space="preserve">nec </w:t>
      </w:r>
      <w:r w:rsidR="08163013" w:rsidRPr="00273106">
        <w:rPr>
          <w:i/>
          <w:szCs w:val="11"/>
        </w:rPr>
        <w:t xml:space="preserve">intellectus possibilis est </w:t>
      </w:r>
      <w:r w:rsidR="08163013" w:rsidRPr="00273106">
        <w:rPr>
          <w:i/>
        </w:rPr>
        <w:t xml:space="preserve">pure </w:t>
      </w:r>
      <w:r w:rsidR="08163013" w:rsidRPr="00273106">
        <w:rPr>
          <w:i/>
          <w:szCs w:val="14"/>
        </w:rPr>
        <w:t>passivus</w:t>
      </w:r>
      <w:r w:rsidR="08163013" w:rsidRPr="00273106">
        <w:t xml:space="preserve">), </w:t>
      </w:r>
      <w:r w:rsidR="08163013">
        <w:t xml:space="preserve">protože neprovádí intencionální akt recepce </w:t>
      </w:r>
      <w:r w:rsidR="004E7BBC" w:rsidRPr="00CF6907">
        <w:rPr>
          <w:i/>
          <w:lang w:eastAsia="en-US"/>
        </w:rPr>
        <w:t>species sensibilis</w:t>
      </w:r>
      <w:r w:rsidR="004E7BBC">
        <w:rPr>
          <w:i/>
          <w:lang w:eastAsia="en-US"/>
        </w:rPr>
        <w:t xml:space="preserve"> </w:t>
      </w:r>
      <w:r w:rsidR="08163013">
        <w:t>ze smyslů</w:t>
      </w:r>
      <w:r w:rsidR="08163013" w:rsidRPr="00273106">
        <w:t xml:space="preserve">. </w:t>
      </w:r>
      <w:r w:rsidR="08163013">
        <w:t xml:space="preserve">Není to třeba, protože </w:t>
      </w:r>
      <w:r w:rsidR="00962190" w:rsidRPr="00B4787E">
        <w:t>species</w:t>
      </w:r>
      <w:r w:rsidR="08163013">
        <w:t xml:space="preserve"> je jsoucnem třetího druhu a je možné ji poznat </w:t>
      </w:r>
      <w:r w:rsidR="08630915">
        <w:t xml:space="preserve">přímým náhledem do její esence. To je typická pozice podle nauky Al-Farábího, který dal jako rovnocenné poznání v intelektu vzniklé nasvícením zezadu i zepředu </w:t>
      </w:r>
      <w:r w:rsidR="08630915" w:rsidRPr="08F82A48">
        <w:rPr>
          <w:szCs w:val="24"/>
        </w:rPr>
        <w:t xml:space="preserve">(OBJ I, kap. 2.1.2). </w:t>
      </w:r>
      <w:r w:rsidR="08163013" w:rsidRPr="00273106">
        <w:t xml:space="preserve">Ale duše musí být </w:t>
      </w:r>
      <w:r w:rsidR="00B45F28">
        <w:t xml:space="preserve">radikálně </w:t>
      </w:r>
      <w:r w:rsidR="08163013" w:rsidRPr="00273106">
        <w:t>pasivn</w:t>
      </w:r>
      <w:r w:rsidR="00B45F28">
        <w:t>í,</w:t>
      </w:r>
      <w:r w:rsidR="08163013" w:rsidRPr="00273106">
        <w:rPr>
          <w:rStyle w:val="FontStyle129"/>
          <w:sz w:val="24"/>
        </w:rPr>
        <w:t xml:space="preserve"> </w:t>
      </w:r>
      <w:r w:rsidR="08163013" w:rsidRPr="00273106">
        <w:t xml:space="preserve">jinak není schopna univerzálního poznání. Viz základní námitku, kterou biskup Alvernus nebo </w:t>
      </w:r>
      <w:r w:rsidR="08163013">
        <w:t xml:space="preserve">Albert jako </w:t>
      </w:r>
      <w:r w:rsidR="08163013" w:rsidRPr="00273106">
        <w:t xml:space="preserve">význačný představitel prvního averroismu </w:t>
      </w:r>
      <w:r w:rsidR="08163013">
        <w:t>adresoval</w:t>
      </w:r>
      <w:r w:rsidR="08163013" w:rsidRPr="00273106">
        <w:t xml:space="preserve"> Rufusovi v Paříži kolem 1245 (</w:t>
      </w:r>
      <w:r w:rsidR="08A95EE6">
        <w:t>OBJ II, kap. 3</w:t>
      </w:r>
      <w:r w:rsidR="08163013" w:rsidRPr="00273106">
        <w:t xml:space="preserve">.3.4). </w:t>
      </w:r>
      <w:r w:rsidR="08163013">
        <w:t>Bonaventura popřel čistou pasivitu receptivního intelektu a nemá intencionalitu v podobě zprostředkujícího diafanum podle CMDA (</w:t>
      </w:r>
      <w:r w:rsidR="08A95EE6">
        <w:t xml:space="preserve">OBJ I, </w:t>
      </w:r>
      <w:r w:rsidR="08163013">
        <w:t>kap. 2.4.4)</w:t>
      </w:r>
      <w:r w:rsidR="08163013" w:rsidRPr="00273106">
        <w:t>. Bonaventura má stejný problém jako Rufus</w:t>
      </w:r>
      <w:r w:rsidR="08163013">
        <w:t xml:space="preserve"> a dostal okolo roku 1252 </w:t>
      </w:r>
      <w:r w:rsidR="08BF3B68">
        <w:t xml:space="preserve">asi </w:t>
      </w:r>
      <w:r w:rsidR="08163013">
        <w:t xml:space="preserve">podobnou námitku od magistra a rektora Wilhelma nebo jiných artistů na Rue du Fouarre. </w:t>
      </w:r>
      <w:r w:rsidR="08163013" w:rsidRPr="00273106">
        <w:t xml:space="preserve">Citovaný  </w:t>
      </w:r>
      <w:r w:rsidR="08163013" w:rsidRPr="00273106">
        <w:rPr>
          <w:i/>
        </w:rPr>
        <w:t>intellectus possibilis</w:t>
      </w:r>
      <w:r w:rsidR="08163013" w:rsidRPr="00273106">
        <w:t xml:space="preserve"> provádí s pomocí aktivního intelektu akt </w:t>
      </w:r>
      <w:r w:rsidR="08163013">
        <w:t>souze</w:t>
      </w:r>
      <w:r w:rsidR="08163013" w:rsidRPr="00273106">
        <w:t>ní, což popírá jeho pasivitu (</w:t>
      </w:r>
      <w:r w:rsidR="08163013" w:rsidRPr="08352432">
        <w:rPr>
          <w:i/>
          <w:szCs w:val="11"/>
        </w:rPr>
        <w:t xml:space="preserve">se </w:t>
      </w:r>
      <w:r w:rsidR="08163013" w:rsidRPr="08352432">
        <w:rPr>
          <w:i/>
          <w:szCs w:val="13"/>
        </w:rPr>
        <w:t>con</w:t>
      </w:r>
      <w:r w:rsidR="08163013" w:rsidRPr="08352432">
        <w:rPr>
          <w:i/>
          <w:szCs w:val="12"/>
        </w:rPr>
        <w:t>vertere</w:t>
      </w:r>
      <w:r w:rsidR="08163013" w:rsidRPr="08352432">
        <w:rPr>
          <w:i/>
          <w:szCs w:val="7"/>
        </w:rPr>
        <w:t xml:space="preserve">, </w:t>
      </w:r>
      <w:r w:rsidR="08163013" w:rsidRPr="08352432">
        <w:rPr>
          <w:i/>
          <w:szCs w:val="11"/>
        </w:rPr>
        <w:t xml:space="preserve">et </w:t>
      </w:r>
      <w:r w:rsidR="08163013" w:rsidRPr="08352432">
        <w:rPr>
          <w:i/>
          <w:szCs w:val="14"/>
        </w:rPr>
        <w:t xml:space="preserve">convertendo </w:t>
      </w:r>
      <w:r w:rsidR="08163013" w:rsidRPr="08352432">
        <w:rPr>
          <w:i/>
          <w:szCs w:val="13"/>
        </w:rPr>
        <w:t xml:space="preserve">per </w:t>
      </w:r>
      <w:r w:rsidR="08163013" w:rsidRPr="08352432">
        <w:rPr>
          <w:i/>
          <w:szCs w:val="14"/>
        </w:rPr>
        <w:t xml:space="preserve">auxilium </w:t>
      </w:r>
      <w:r w:rsidR="08163013" w:rsidRPr="08352432">
        <w:rPr>
          <w:i/>
          <w:szCs w:val="11"/>
        </w:rPr>
        <w:t xml:space="preserve">intellectus </w:t>
      </w:r>
      <w:r w:rsidR="08163013" w:rsidRPr="08352432">
        <w:rPr>
          <w:i/>
          <w:szCs w:val="12"/>
        </w:rPr>
        <w:t xml:space="preserve">agentis illam </w:t>
      </w:r>
      <w:r w:rsidR="08163013" w:rsidRPr="08352432">
        <w:rPr>
          <w:i/>
          <w:szCs w:val="13"/>
        </w:rPr>
        <w:t>suscipere</w:t>
      </w:r>
      <w:r w:rsidR="08163013" w:rsidRPr="08352432">
        <w:rPr>
          <w:i/>
          <w:szCs w:val="6"/>
        </w:rPr>
        <w:t xml:space="preserve">, et </w:t>
      </w:r>
      <w:r w:rsidR="08163013" w:rsidRPr="08352432">
        <w:rPr>
          <w:i/>
          <w:szCs w:val="14"/>
        </w:rPr>
        <w:t xml:space="preserve">de </w:t>
      </w:r>
      <w:r w:rsidR="08163013" w:rsidRPr="08352432">
        <w:rPr>
          <w:i/>
          <w:szCs w:val="13"/>
        </w:rPr>
        <w:t>ea iudicare</w:t>
      </w:r>
      <w:r w:rsidR="08163013">
        <w:rPr>
          <w:szCs w:val="13"/>
        </w:rPr>
        <w:t xml:space="preserve">). Citovaná pasáž je klíčová pro vznik moderního dualismus a asimilační teorie pravdy, protože upírá přenos aktuality ze smyslové species do inteligibilní. </w:t>
      </w:r>
      <w:r w:rsidR="0081583F">
        <w:rPr>
          <w:szCs w:val="13"/>
        </w:rPr>
        <w:t>U</w:t>
      </w:r>
      <w:r w:rsidR="08163013">
        <w:t xml:space="preserve">nivoční </w:t>
      </w:r>
      <w:r w:rsidR="00962190" w:rsidRPr="0081583F">
        <w:t>species</w:t>
      </w:r>
      <w:r w:rsidR="08163013">
        <w:t xml:space="preserve"> přicházejí </w:t>
      </w:r>
      <w:r w:rsidR="0081583F">
        <w:t>intelektu současně</w:t>
      </w:r>
      <w:r w:rsidR="08163013">
        <w:t xml:space="preserve">: jedna </w:t>
      </w:r>
      <w:r w:rsidR="0081583F">
        <w:t>species je objektivně-materiální (a tudíž kontingentní) a druhá objektivně-formální (a tudíž evidentní</w:t>
      </w:r>
      <w:r w:rsidR="08163013">
        <w:t xml:space="preserve">). </w:t>
      </w:r>
      <w:r w:rsidR="08163013" w:rsidRPr="00273106">
        <w:t>Stejně tak není aktivní intelekt čistě aktivní (</w:t>
      </w:r>
      <w:r w:rsidR="08163013" w:rsidRPr="00273106">
        <w:rPr>
          <w:i/>
          <w:szCs w:val="13"/>
        </w:rPr>
        <w:t xml:space="preserve">nec </w:t>
      </w:r>
      <w:r w:rsidR="08163013" w:rsidRPr="00273106">
        <w:rPr>
          <w:i/>
          <w:szCs w:val="11"/>
        </w:rPr>
        <w:t xml:space="preserve">intellectus </w:t>
      </w:r>
      <w:r w:rsidR="08163013" w:rsidRPr="00273106">
        <w:rPr>
          <w:i/>
          <w:szCs w:val="13"/>
        </w:rPr>
        <w:t xml:space="preserve">agens </w:t>
      </w:r>
      <w:r w:rsidR="08163013" w:rsidRPr="00273106">
        <w:rPr>
          <w:i/>
          <w:szCs w:val="11"/>
        </w:rPr>
        <w:t xml:space="preserve">est </w:t>
      </w:r>
      <w:r w:rsidR="08163013" w:rsidRPr="00273106">
        <w:rPr>
          <w:i/>
          <w:szCs w:val="16"/>
        </w:rPr>
        <w:t xml:space="preserve">omnino </w:t>
      </w:r>
      <w:r w:rsidR="08163013" w:rsidRPr="00273106">
        <w:rPr>
          <w:i/>
          <w:szCs w:val="12"/>
        </w:rPr>
        <w:t xml:space="preserve">in </w:t>
      </w:r>
      <w:r w:rsidR="08163013" w:rsidRPr="00273106">
        <w:rPr>
          <w:i/>
          <w:szCs w:val="14"/>
        </w:rPr>
        <w:t>actu</w:t>
      </w:r>
      <w:r w:rsidR="08163013" w:rsidRPr="00273106">
        <w:t xml:space="preserve">), protože pasivně přijímá </w:t>
      </w:r>
      <w:r w:rsidR="00962190">
        <w:rPr>
          <w:i/>
        </w:rPr>
        <w:t>species</w:t>
      </w:r>
      <w:r w:rsidR="08163013">
        <w:t xml:space="preserve"> </w:t>
      </w:r>
      <w:r w:rsidR="08163013" w:rsidRPr="00273106">
        <w:t>(</w:t>
      </w:r>
      <w:r w:rsidR="08163013" w:rsidRPr="00273106">
        <w:rPr>
          <w:i/>
          <w:szCs w:val="13"/>
        </w:rPr>
        <w:t xml:space="preserve">adiuvetur a </w:t>
      </w:r>
      <w:r w:rsidR="08163013" w:rsidRPr="00273106">
        <w:rPr>
          <w:i/>
          <w:szCs w:val="12"/>
        </w:rPr>
        <w:t>spe</w:t>
      </w:r>
      <w:r w:rsidR="08163013" w:rsidRPr="00273106">
        <w:rPr>
          <w:i/>
          <w:szCs w:val="11"/>
        </w:rPr>
        <w:t>cie</w:t>
      </w:r>
      <w:r w:rsidR="08163013" w:rsidRPr="00273106">
        <w:t xml:space="preserve">), což by měl </w:t>
      </w:r>
      <w:r w:rsidR="08163013">
        <w:t xml:space="preserve">podle </w:t>
      </w:r>
      <w:r w:rsidR="08163013" w:rsidRPr="08CA711B">
        <w:rPr>
          <w:i/>
        </w:rPr>
        <w:t>De anima</w:t>
      </w:r>
      <w:r w:rsidR="08163013">
        <w:t xml:space="preserve"> </w:t>
      </w:r>
      <w:r w:rsidR="08163013" w:rsidRPr="00273106">
        <w:t>dělat pasivní intelekt. Aktivní intelekt je jen zdánlivě odkázaný na pasivní slo</w:t>
      </w:r>
      <w:r w:rsidR="08163013">
        <w:t>žku, protože o</w:t>
      </w:r>
      <w:r w:rsidR="08163013" w:rsidRPr="00273106">
        <w:t xml:space="preserve">bě formy dělají ve skutečnosti totéž. </w:t>
      </w:r>
      <w:r w:rsidR="08163013">
        <w:t xml:space="preserve">Důvodem je averroistické pojetí intelektu jako potenciálně-aktuální substance </w:t>
      </w:r>
      <w:r w:rsidR="00176323">
        <w:t>třetího druhu analyzované výše.</w:t>
      </w:r>
    </w:p>
    <w:p w:rsidR="08163013" w:rsidRPr="00273106" w:rsidRDefault="08163013" w:rsidP="006F2EC6">
      <w:pPr>
        <w:ind w:firstLine="397"/>
      </w:pPr>
      <w:r>
        <w:lastRenderedPageBreak/>
        <w:t>Následný spor o poznání světa měl zásadní pova</w:t>
      </w:r>
      <w:r w:rsidR="00E02FE8">
        <w:t>hu. Moderna ohrozila křesťanskou jednotu</w:t>
      </w:r>
      <w:r>
        <w:t xml:space="preserve"> osoby, která se rozpadla na dvě nesourodé moderní substance. </w:t>
      </w:r>
      <w:r w:rsidRPr="00273106">
        <w:t xml:space="preserve">Bonaventurův a Rufusův pasivní intelekt má aktivní schopnost vyjít ze sebe a vlastní silou se obrací ke </w:t>
      </w:r>
      <w:r w:rsidR="00962190">
        <w:rPr>
          <w:i/>
        </w:rPr>
        <w:t>species</w:t>
      </w:r>
      <w:r w:rsidRPr="00273106">
        <w:t xml:space="preserve"> </w:t>
      </w:r>
      <w:r>
        <w:t xml:space="preserve">uloženém v augustiniánském typu představivosti a paměti </w:t>
      </w:r>
      <w:r w:rsidRPr="00273106">
        <w:t>(</w:t>
      </w:r>
      <w:r w:rsidRPr="00273106">
        <w:rPr>
          <w:i/>
          <w:szCs w:val="11"/>
        </w:rPr>
        <w:t xml:space="preserve">se </w:t>
      </w:r>
      <w:proofErr w:type="gramStart"/>
      <w:r w:rsidRPr="00273106">
        <w:rPr>
          <w:i/>
          <w:szCs w:val="13"/>
        </w:rPr>
        <w:t>con</w:t>
      </w:r>
      <w:r>
        <w:rPr>
          <w:i/>
          <w:szCs w:val="12"/>
        </w:rPr>
        <w:t>vertere</w:t>
      </w:r>
      <w:r w:rsidRPr="00273106">
        <w:rPr>
          <w:i/>
          <w:szCs w:val="12"/>
        </w:rPr>
        <w:t>...</w:t>
      </w:r>
      <w:r w:rsidRPr="00273106">
        <w:rPr>
          <w:i/>
          <w:szCs w:val="14"/>
        </w:rPr>
        <w:t>supra</w:t>
      </w:r>
      <w:proofErr w:type="gramEnd"/>
      <w:r w:rsidRPr="00273106">
        <w:rPr>
          <w:i/>
          <w:szCs w:val="14"/>
        </w:rPr>
        <w:t xml:space="preserve"> speciem </w:t>
      </w:r>
      <w:r w:rsidRPr="00273106">
        <w:rPr>
          <w:i/>
          <w:szCs w:val="13"/>
        </w:rPr>
        <w:t xml:space="preserve">existentem </w:t>
      </w:r>
      <w:r w:rsidRPr="00273106">
        <w:rPr>
          <w:i/>
          <w:szCs w:val="10"/>
        </w:rPr>
        <w:t xml:space="preserve">in </w:t>
      </w:r>
      <w:r w:rsidRPr="00273106">
        <w:rPr>
          <w:i/>
          <w:szCs w:val="14"/>
        </w:rPr>
        <w:t>phantasmate</w:t>
      </w:r>
      <w:r>
        <w:t xml:space="preserve">). </w:t>
      </w:r>
      <w:r w:rsidR="009C25AC" w:rsidRPr="009C25AC">
        <w:t>Tato aktualizovaná subsistence intelektu</w:t>
      </w:r>
      <w:r w:rsidR="009C25AC">
        <w:fldChar w:fldCharType="begin"/>
      </w:r>
      <w:r w:rsidR="009C25AC">
        <w:instrText xml:space="preserve"> XE "</w:instrText>
      </w:r>
      <w:r w:rsidR="009C25AC" w:rsidRPr="001D1E42">
        <w:instrText>subsistence</w:instrText>
      </w:r>
      <w:r w:rsidR="009C25AC">
        <w:instrText xml:space="preserve">:intelekt" </w:instrText>
      </w:r>
      <w:r w:rsidR="009C25AC">
        <w:fldChar w:fldCharType="end"/>
      </w:r>
      <w:r w:rsidR="009C25AC" w:rsidRPr="009C25AC">
        <w:t xml:space="preserve"> je klíčovým problémem druhého averroismu a objektivity jako celku, neboť představuje hlavní </w:t>
      </w:r>
      <w:r w:rsidR="009C25AC">
        <w:t xml:space="preserve">problém </w:t>
      </w:r>
      <w:r w:rsidR="009C25AC" w:rsidRPr="009C25AC">
        <w:rPr>
          <w:i/>
          <w:iCs/>
        </w:rPr>
        <w:t>dativus auctoris</w:t>
      </w:r>
      <w:r w:rsidR="009C25AC">
        <w:rPr>
          <w:i/>
          <w:iCs/>
        </w:rPr>
        <w:fldChar w:fldCharType="begin"/>
      </w:r>
      <w:r w:rsidR="009C25AC">
        <w:instrText xml:space="preserve"> XE "</w:instrText>
      </w:r>
      <w:r w:rsidR="009C25AC" w:rsidRPr="00644479">
        <w:rPr>
          <w:i/>
          <w:iCs/>
        </w:rPr>
        <w:instrText>dativus auctoris</w:instrText>
      </w:r>
      <w:r w:rsidR="009C25AC">
        <w:instrText xml:space="preserve">" </w:instrText>
      </w:r>
      <w:r w:rsidR="009C25AC">
        <w:rPr>
          <w:i/>
          <w:iCs/>
        </w:rPr>
        <w:fldChar w:fldCharType="end"/>
      </w:r>
      <w:r w:rsidR="009C25AC" w:rsidRPr="009C25AC">
        <w:t xml:space="preserve">. </w:t>
      </w:r>
      <w:r>
        <w:t>Paranoický a schizofrenický m</w:t>
      </w:r>
      <w:r w:rsidRPr="00273106">
        <w:t xml:space="preserve">oderní subjekt </w:t>
      </w:r>
      <w:r>
        <w:t xml:space="preserve">je </w:t>
      </w:r>
      <w:r w:rsidRPr="00273106">
        <w:t xml:space="preserve">od počátku </w:t>
      </w:r>
      <w:r w:rsidR="08B57759">
        <w:t xml:space="preserve">autonomním </w:t>
      </w:r>
      <w:r w:rsidRPr="00273106">
        <w:t xml:space="preserve">tvůrcem reality, místo aby </w:t>
      </w:r>
      <w:r>
        <w:t xml:space="preserve">realitu </w:t>
      </w:r>
      <w:r w:rsidRPr="00273106">
        <w:t>poznával</w:t>
      </w:r>
      <w:r>
        <w:t xml:space="preserve"> v modu archaického dativu</w:t>
      </w:r>
      <w:r>
        <w:fldChar w:fldCharType="begin"/>
      </w:r>
      <w:r>
        <w:instrText xml:space="preserve"> XE "</w:instrText>
      </w:r>
      <w:r w:rsidRPr="08D914E3">
        <w:rPr>
          <w:i/>
        </w:rPr>
        <w:instrText xml:space="preserve">dativus </w:instrText>
      </w:r>
      <w:r w:rsidR="081942A4">
        <w:rPr>
          <w:i/>
        </w:rPr>
        <w:instrText>metaphysicus</w:instrText>
      </w:r>
      <w:r>
        <w:instrText xml:space="preserve">" </w:instrText>
      </w:r>
      <w:r>
        <w:fldChar w:fldCharType="end"/>
      </w:r>
      <w:r>
        <w:t xml:space="preserve"> vázaného na plně receptivní schopnost </w:t>
      </w:r>
      <w:r w:rsidRPr="086B21CD">
        <w:rPr>
          <w:i/>
        </w:rPr>
        <w:t>intellectus possibilis</w:t>
      </w:r>
      <w:r w:rsidRPr="00273106">
        <w:t>. Tím se stala čistě receptivní složka</w:t>
      </w:r>
      <w:r>
        <w:t xml:space="preserve"> i</w:t>
      </w:r>
      <w:r w:rsidR="08C159FD">
        <w:t>ntelektu v duši zbytečnou. Aktu</w:t>
      </w:r>
      <w:r>
        <w:t xml:space="preserve">alizace nepřichází </w:t>
      </w:r>
      <w:r w:rsidR="089B2E48">
        <w:t xml:space="preserve">plně </w:t>
      </w:r>
      <w:r>
        <w:t xml:space="preserve">ze smyslové zkušenosti, protože moderní </w:t>
      </w:r>
      <w:r w:rsidRPr="08F934B1">
        <w:rPr>
          <w:i/>
        </w:rPr>
        <w:t>intellectus possibilis</w:t>
      </w:r>
      <w:r>
        <w:t xml:space="preserve"> ji má ap</w:t>
      </w:r>
      <w:r w:rsidR="00D5676D">
        <w:t>riorně sám v sobě, viz Rufus</w:t>
      </w:r>
      <w:r w:rsidR="00BC7EF1">
        <w:t>ův pojem „</w:t>
      </w:r>
      <w:r w:rsidRPr="08F934B1">
        <w:rPr>
          <w:i/>
        </w:rPr>
        <w:t>potentia substantialis</w:t>
      </w:r>
      <w:r w:rsidR="00BC7EF1">
        <w:t>“</w:t>
      </w:r>
      <w:r w:rsidR="08112544">
        <w:t xml:space="preserve"> (OBJ II, kap. 3.3.1).</w:t>
      </w:r>
      <w:r w:rsidR="08480D61">
        <w:t xml:space="preserve"> </w:t>
      </w:r>
      <w:r w:rsidRPr="00273106">
        <w:t>Objektivn</w:t>
      </w:r>
      <w:r w:rsidR="000E5DC9">
        <w:t>ě daná</w:t>
      </w:r>
      <w:r>
        <w:t xml:space="preserve"> </w:t>
      </w:r>
      <w:r w:rsidR="00962190" w:rsidRPr="000E5DC9">
        <w:t>species</w:t>
      </w:r>
      <w:r w:rsidR="000E5DC9">
        <w:t xml:space="preserve"> přesahují</w:t>
      </w:r>
      <w:r w:rsidRPr="00273106">
        <w:t xml:space="preserve"> (</w:t>
      </w:r>
      <w:r w:rsidRPr="00273106">
        <w:rPr>
          <w:i/>
        </w:rPr>
        <w:t>exsistit</w:t>
      </w:r>
      <w:r>
        <w:t xml:space="preserve">) </w:t>
      </w:r>
      <w:r w:rsidRPr="00273106">
        <w:t xml:space="preserve">do smyslové zkušenosti </w:t>
      </w:r>
      <w:r>
        <w:t xml:space="preserve">z </w:t>
      </w:r>
      <w:r w:rsidRPr="00273106">
        <w:t xml:space="preserve">objektivní </w:t>
      </w:r>
      <w:r>
        <w:t xml:space="preserve">a </w:t>
      </w:r>
      <w:r w:rsidRPr="00273106">
        <w:t xml:space="preserve">univerzální </w:t>
      </w:r>
      <w:r>
        <w:t>„</w:t>
      </w:r>
      <w:r w:rsidRPr="00273106">
        <w:t>ex</w:t>
      </w:r>
      <w:r>
        <w:t>s</w:t>
      </w:r>
      <w:r w:rsidRPr="00273106">
        <w:t>istence</w:t>
      </w:r>
      <w:r>
        <w:t>“</w:t>
      </w:r>
      <w:r w:rsidRPr="00273106">
        <w:t xml:space="preserve"> (</w:t>
      </w:r>
      <w:r w:rsidRPr="00273106">
        <w:rPr>
          <w:i/>
          <w:szCs w:val="14"/>
        </w:rPr>
        <w:t xml:space="preserve">speciem </w:t>
      </w:r>
      <w:r w:rsidRPr="00273106">
        <w:rPr>
          <w:i/>
          <w:szCs w:val="13"/>
        </w:rPr>
        <w:t xml:space="preserve">existentem </w:t>
      </w:r>
      <w:r w:rsidRPr="00273106">
        <w:rPr>
          <w:i/>
          <w:szCs w:val="10"/>
        </w:rPr>
        <w:t xml:space="preserve">in </w:t>
      </w:r>
      <w:r w:rsidRPr="00273106">
        <w:rPr>
          <w:i/>
          <w:szCs w:val="14"/>
        </w:rPr>
        <w:t>phantasmate</w:t>
      </w:r>
      <w:r w:rsidRPr="00273106">
        <w:t xml:space="preserve">). </w:t>
      </w:r>
      <w:r>
        <w:t xml:space="preserve">Podle prvního averroismu nemůže </w:t>
      </w:r>
      <w:r w:rsidR="00962190" w:rsidRPr="00C74435">
        <w:t>species</w:t>
      </w:r>
      <w:r>
        <w:t xml:space="preserve"> existovat ani v imaginaci ani v intelektu, protože není porretánská substance třetího druhu, ale pouze potenciální a univerzální poznávací forma nutná pro aktivní syntézu pojmu. Rozdíl mezi </w:t>
      </w:r>
      <w:r w:rsidRPr="00071882">
        <w:rPr>
          <w:i/>
        </w:rPr>
        <w:t>intellectus possibilis</w:t>
      </w:r>
      <w:r>
        <w:t xml:space="preserve"> a </w:t>
      </w:r>
      <w:r w:rsidRPr="00071882">
        <w:rPr>
          <w:i/>
        </w:rPr>
        <w:t>agens</w:t>
      </w:r>
      <w:r>
        <w:t xml:space="preserve"> je u Bonaventury dán rozdílem mezi dvěma patry poznání, nikoliv rozdílem mezi dvěma schopnostmi duše. Na nejvyšším patře je eidetické poznání dané na úrovni trvalé hypostatické unie</w:t>
      </w:r>
      <w:r>
        <w:fldChar w:fldCharType="begin"/>
      </w:r>
      <w:r>
        <w:instrText xml:space="preserve"> XE "</w:instrText>
      </w:r>
      <w:r w:rsidRPr="007C58C2">
        <w:instrText>hypostatická unie</w:instrText>
      </w:r>
      <w:r>
        <w:instrText xml:space="preserve">" </w:instrText>
      </w:r>
      <w:r>
        <w:fldChar w:fldCharType="end"/>
      </w:r>
      <w:r>
        <w:t xml:space="preserve"> s porretánskými species (</w:t>
      </w:r>
      <w:r w:rsidRPr="00B77DE8">
        <w:rPr>
          <w:i/>
        </w:rPr>
        <w:t>intellectus agens</w:t>
      </w:r>
      <w:r>
        <w:t xml:space="preserve">). Na druhém nižším patře je pouze kontingentní poznání těchto </w:t>
      </w:r>
      <w:r w:rsidR="00962190" w:rsidRPr="00C74435">
        <w:t>species</w:t>
      </w:r>
      <w:r>
        <w:t xml:space="preserve"> abstrahovaných skrze smysly od reálné věci (</w:t>
      </w:r>
      <w:r w:rsidRPr="00B77DE8">
        <w:rPr>
          <w:i/>
        </w:rPr>
        <w:t>intellectus possib</w:t>
      </w:r>
      <w:r>
        <w:rPr>
          <w:i/>
        </w:rPr>
        <w:t>i</w:t>
      </w:r>
      <w:r w:rsidRPr="00B77DE8">
        <w:rPr>
          <w:i/>
        </w:rPr>
        <w:t>lis seu materialis</w:t>
      </w:r>
      <w:r>
        <w:t xml:space="preserve">). Descartes tuto dualistickou verzi moderního poznání převede do postmoderny. </w:t>
      </w:r>
      <w:r w:rsidR="006F2EC6" w:rsidRPr="006F2EC6">
        <w:t xml:space="preserve">Zrušením čistě receptivního intelektu jako schopnosti duše Bonaventura zrušil jedinou možnost osobního poznání. Nemůže zachovat </w:t>
      </w:r>
      <w:r w:rsidR="006F2EC6">
        <w:t xml:space="preserve">ani </w:t>
      </w:r>
      <w:r w:rsidR="006F2EC6" w:rsidRPr="006F2EC6">
        <w:t xml:space="preserve">teorii pravdy jako </w:t>
      </w:r>
      <w:r w:rsidR="006F2EC6">
        <w:rPr>
          <w:i/>
          <w:iCs/>
        </w:rPr>
        <w:t>proportio</w:t>
      </w:r>
      <w:r w:rsidR="006F2EC6" w:rsidRPr="006F2EC6">
        <w:t xml:space="preserve"> mezi osobními smysly a osobním intelektem</w:t>
      </w:r>
      <w:r w:rsidR="006F2EC6">
        <w:t xml:space="preserve"> </w:t>
      </w:r>
      <w:r w:rsidR="006F2EC6" w:rsidRPr="006F2EC6">
        <w:rPr>
          <w:iCs/>
        </w:rPr>
        <w:t>(</w:t>
      </w:r>
      <w:r w:rsidR="006F2EC6">
        <w:rPr>
          <w:i/>
          <w:iCs/>
        </w:rPr>
        <w:t xml:space="preserve">tertium genus </w:t>
      </w:r>
      <w:r w:rsidR="006F2EC6" w:rsidRPr="006F2EC6">
        <w:rPr>
          <w:iCs/>
        </w:rPr>
        <w:t>v CMDA</w:t>
      </w:r>
      <w:r w:rsidR="006F2EC6" w:rsidRPr="006F2EC6">
        <w:t xml:space="preserve">). </w:t>
      </w:r>
      <w:r w:rsidRPr="00273106">
        <w:t xml:space="preserve">Citát Bonaventury ukazuje, že tento latinský učenec nevidí žádný podstatný rozdíl mezi aktivní a pasivní složkou intelektu. Dělení mezi jednotlivými způsoby poznání </w:t>
      </w:r>
      <w:r>
        <w:t xml:space="preserve">determinuje buď </w:t>
      </w:r>
      <w:r w:rsidRPr="00273106">
        <w:t xml:space="preserve">první </w:t>
      </w:r>
      <w:r>
        <w:t xml:space="preserve">forma receptivní abstrakce </w:t>
      </w:r>
      <w:r w:rsidR="00962190" w:rsidRPr="00D25D82">
        <w:t>species</w:t>
      </w:r>
      <w:r>
        <w:t xml:space="preserve"> z reality (</w:t>
      </w:r>
      <w:r w:rsidRPr="00852698">
        <w:rPr>
          <w:i/>
        </w:rPr>
        <w:t>abstractio</w:t>
      </w:r>
      <w:r>
        <w:t xml:space="preserve">), nebo druhá forma přímého </w:t>
      </w:r>
      <w:r w:rsidRPr="00273106">
        <w:t>intelektuální</w:t>
      </w:r>
      <w:r>
        <w:t xml:space="preserve">ho náhledu stejných </w:t>
      </w:r>
      <w:r w:rsidR="00962190" w:rsidRPr="005B0356">
        <w:t>species</w:t>
      </w:r>
      <w:r>
        <w:t xml:space="preserve"> </w:t>
      </w:r>
      <w:r w:rsidR="005B0356">
        <w:t>jako hypostatických</w:t>
      </w:r>
      <w:r>
        <w:t xml:space="preserve"> objektivní</w:t>
      </w:r>
      <w:r w:rsidR="005B0356">
        <w:t>ch esencí</w:t>
      </w:r>
      <w:r>
        <w:t xml:space="preserve"> (</w:t>
      </w:r>
      <w:r w:rsidRPr="00852698">
        <w:rPr>
          <w:i/>
        </w:rPr>
        <w:t>denudatio</w:t>
      </w:r>
      <w:r>
        <w:rPr>
          <w:i/>
        </w:rPr>
        <w:fldChar w:fldCharType="begin"/>
      </w:r>
      <w:r>
        <w:instrText xml:space="preserve"> XE "abstrakce:Bonaventura" </w:instrText>
      </w:r>
      <w:r>
        <w:rPr>
          <w:i/>
        </w:rPr>
        <w:fldChar w:fldCharType="end"/>
      </w:r>
      <w:r>
        <w:t>)</w:t>
      </w:r>
      <w:r w:rsidRPr="00273106">
        <w:t xml:space="preserve">. Dvojí abstrakci na úrovni intelektu z pochopitelných důvodů první averroismus zásadně odmítl, protože předpokládá avicennovské nasvícení jsoucna zezadu, od tak či onak </w:t>
      </w:r>
      <w:r w:rsidRPr="00273106">
        <w:lastRenderedPageBreak/>
        <w:t>odděleného činného intelektu</w:t>
      </w:r>
      <w:r>
        <w:t xml:space="preserve">. </w:t>
      </w:r>
      <w:r w:rsidR="002E074B">
        <w:t xml:space="preserve">Rufusova a Bonaventurova objektivita je sofisticky napojena na proces poznání podle </w:t>
      </w:r>
      <w:r w:rsidR="002E074B" w:rsidRPr="087E686D">
        <w:rPr>
          <w:i/>
        </w:rPr>
        <w:t>De anima</w:t>
      </w:r>
      <w:r w:rsidR="002E074B">
        <w:rPr>
          <w:i/>
        </w:rPr>
        <w:t xml:space="preserve"> </w:t>
      </w:r>
      <w:r w:rsidR="002E074B">
        <w:t>a představuje avicennistickou verzi averroismu</w:t>
      </w:r>
      <w:r>
        <w:t xml:space="preserve">. </w:t>
      </w:r>
      <w:r w:rsidR="002E074B">
        <w:t>P</w:t>
      </w:r>
      <w:r>
        <w:t xml:space="preserve">oznání běží emanačně a komitačně </w:t>
      </w:r>
      <w:r w:rsidRPr="00273106">
        <w:t>přímo od boha</w:t>
      </w:r>
      <w:r>
        <w:t xml:space="preserve"> jako Avicennova dárce forem</w:t>
      </w:r>
      <w:r>
        <w:rPr>
          <w:i/>
        </w:rPr>
        <w:fldChar w:fldCharType="begin"/>
      </w:r>
      <w:r>
        <w:instrText xml:space="preserve"> XE "</w:instrText>
      </w:r>
      <w:r w:rsidR="001342FE">
        <w:rPr>
          <w:i/>
        </w:rPr>
        <w:instrText>dator formarum</w:instrText>
      </w:r>
      <w:r>
        <w:instrText xml:space="preserve">" </w:instrText>
      </w:r>
      <w:r>
        <w:rPr>
          <w:i/>
        </w:rPr>
        <w:fldChar w:fldCharType="end"/>
      </w:r>
      <w:r w:rsidRPr="00273106">
        <w:t xml:space="preserve">. Bonaventura odmítl koncept boha jako </w:t>
      </w:r>
      <w:r>
        <w:t>oddělený činný intelekt vysílající do stvoření proud hypostázovaných forem (</w:t>
      </w:r>
      <w:r w:rsidR="001342FE">
        <w:rPr>
          <w:i/>
        </w:rPr>
        <w:t>dator formarum</w:t>
      </w:r>
      <w:r>
        <w:t xml:space="preserve">). Tím </w:t>
      </w:r>
      <w:r w:rsidRPr="00273106">
        <w:t>by připusti</w:t>
      </w:r>
      <w:r>
        <w:t>l</w:t>
      </w:r>
      <w:r w:rsidRPr="00273106">
        <w:t xml:space="preserve"> existenci univerzálií mimo věci a </w:t>
      </w:r>
      <w:r>
        <w:t xml:space="preserve">musel by </w:t>
      </w:r>
      <w:r w:rsidRPr="00273106">
        <w:t xml:space="preserve">přijmout celou </w:t>
      </w:r>
      <w:r>
        <w:t>neoplatonsk</w:t>
      </w:r>
      <w:r w:rsidRPr="00273106">
        <w:t xml:space="preserve">ou </w:t>
      </w:r>
      <w:r>
        <w:t xml:space="preserve">emanační </w:t>
      </w:r>
      <w:r w:rsidRPr="00273106">
        <w:t xml:space="preserve">metafyziku danou v </w:t>
      </w:r>
      <w:proofErr w:type="gramStart"/>
      <w:r w:rsidRPr="00273106">
        <w:rPr>
          <w:i/>
        </w:rPr>
        <w:t>Liber</w:t>
      </w:r>
      <w:proofErr w:type="gramEnd"/>
      <w:r w:rsidRPr="00273106">
        <w:rPr>
          <w:i/>
        </w:rPr>
        <w:t xml:space="preserve"> de causis</w:t>
      </w:r>
      <w:r>
        <w:rPr>
          <w:i/>
        </w:rPr>
        <w:fldChar w:fldCharType="begin"/>
      </w:r>
      <w:r>
        <w:instrText xml:space="preserve"> XE "</w:instrText>
      </w:r>
      <w:r w:rsidRPr="00C46BD8">
        <w:rPr>
          <w:i/>
        </w:rPr>
        <w:instrText>Liber de causis</w:instrText>
      </w:r>
      <w:r>
        <w:instrText xml:space="preserve">" </w:instrText>
      </w:r>
      <w:r>
        <w:rPr>
          <w:i/>
        </w:rPr>
        <w:fldChar w:fldCharType="end"/>
      </w:r>
      <w:r>
        <w:t xml:space="preserve">. A navíc neuplynulo ani pět let od smrti kancléře Alverna, který na půdě Pařížské univerzity oficiálně odsoudil teorie o odděleném </w:t>
      </w:r>
      <w:r w:rsidRPr="00D46FF3">
        <w:rPr>
          <w:i/>
        </w:rPr>
        <w:t>intellectus agens</w:t>
      </w:r>
      <w:r>
        <w:rPr>
          <w:i/>
        </w:rPr>
        <w:fldChar w:fldCharType="begin"/>
      </w:r>
      <w:r>
        <w:instrText xml:space="preserve"> XE "</w:instrText>
      </w:r>
      <w:r w:rsidRPr="00490D32">
        <w:rPr>
          <w:i/>
        </w:rPr>
        <w:instrText>intellectus agens:</w:instrText>
      </w:r>
      <w:r w:rsidRPr="00A9489D">
        <w:instrText>Alvernus</w:instrText>
      </w:r>
      <w:r>
        <w:instrText xml:space="preserve">" </w:instrText>
      </w:r>
      <w:r>
        <w:rPr>
          <w:i/>
        </w:rPr>
        <w:fldChar w:fldCharType="end"/>
      </w:r>
      <w:r>
        <w:t xml:space="preserve"> v člověku. Zastávat čistý avicennismus proti klasickým artistům na Rue du Fouarre by modernistům vyneslo oficiální obvinění z hereze. Proto bylo nutno zahájit útok proti Averroesovi a </w:t>
      </w:r>
      <w:r w:rsidR="00F012C6">
        <w:t xml:space="preserve">přitom </w:t>
      </w:r>
      <w:r>
        <w:t>obh</w:t>
      </w:r>
      <w:r w:rsidR="00F012C6">
        <w:t xml:space="preserve">ajovat </w:t>
      </w:r>
      <w:r>
        <w:t>dualistickou formu porretánských hypostází v duši. Tím je také vysvětleno filosofické zázemí hádky sekulárních artistů s mendikanty v letech 1253‒56. Mod</w:t>
      </w:r>
      <w:r w:rsidR="00F3440A">
        <w:t xml:space="preserve">erní averroisté, </w:t>
      </w:r>
      <w:r>
        <w:t>stejně jako Rufus v Paříži o dekádu předtím</w:t>
      </w:r>
      <w:r w:rsidR="00F3440A">
        <w:t>,</w:t>
      </w:r>
      <w:r>
        <w:t xml:space="preserve"> vytvořili vlastní </w:t>
      </w:r>
      <w:r w:rsidRPr="00273106">
        <w:t xml:space="preserve">koncept </w:t>
      </w:r>
      <w:r>
        <w:t>ontoteologické</w:t>
      </w:r>
      <w:r>
        <w:fldChar w:fldCharType="begin"/>
      </w:r>
      <w:r>
        <w:instrText xml:space="preserve"> XE "</w:instrText>
      </w:r>
      <w:r w:rsidRPr="000E76A5">
        <w:instrText>ontoteologie:Bonaventura</w:instrText>
      </w:r>
      <w:r>
        <w:instrText xml:space="preserve">" </w:instrText>
      </w:r>
      <w:r>
        <w:fldChar w:fldCharType="end"/>
      </w:r>
      <w:r>
        <w:t xml:space="preserve"> </w:t>
      </w:r>
      <w:r w:rsidRPr="00273106">
        <w:t xml:space="preserve">metafyziky. </w:t>
      </w:r>
      <w:r>
        <w:t xml:space="preserve">Objektivní metafyziku může poznávat pouze objektivní intelekt, protože neexistující </w:t>
      </w:r>
      <w:r w:rsidR="00962190" w:rsidRPr="009F4D97">
        <w:t>species</w:t>
      </w:r>
      <w:r>
        <w:t xml:space="preserve"> modernistů bytuje v modu porretánské „exsistence“. Moderní intelekt potřebuje reálnou věc pouze v modu </w:t>
      </w:r>
      <w:r w:rsidRPr="00927C78">
        <w:rPr>
          <w:i/>
        </w:rPr>
        <w:t>compleme</w:t>
      </w:r>
      <w:r>
        <w:rPr>
          <w:i/>
        </w:rPr>
        <w:t>n</w:t>
      </w:r>
      <w:r w:rsidRPr="00927C78">
        <w:rPr>
          <w:i/>
        </w:rPr>
        <w:t>tum</w:t>
      </w:r>
      <w:r>
        <w:t xml:space="preserve"> pro završení již poznaného objektivního </w:t>
      </w:r>
      <w:r w:rsidR="00962190">
        <w:rPr>
          <w:i/>
        </w:rPr>
        <w:t>species</w:t>
      </w:r>
      <w:r>
        <w:t>. Nebo musí intelekt iluminátů</w:t>
      </w:r>
      <w:r>
        <w:fldChar w:fldCharType="begin"/>
      </w:r>
      <w:r>
        <w:instrText xml:space="preserve"> XE "</w:instrText>
      </w:r>
      <w:r w:rsidRPr="00BD65D1">
        <w:instrText>ilumináti</w:instrText>
      </w:r>
      <w:r>
        <w:instrText xml:space="preserve">" </w:instrText>
      </w:r>
      <w:r>
        <w:fldChar w:fldCharType="end"/>
      </w:r>
      <w:r>
        <w:t xml:space="preserve"> recipovat objektivní </w:t>
      </w:r>
      <w:r w:rsidR="00962190">
        <w:rPr>
          <w:i/>
        </w:rPr>
        <w:t>species</w:t>
      </w:r>
      <w:r>
        <w:t xml:space="preserve"> z věci skrze </w:t>
      </w:r>
      <w:r w:rsidRPr="008C2040">
        <w:rPr>
          <w:i/>
        </w:rPr>
        <w:t>materia spiritualis</w:t>
      </w:r>
      <w:r>
        <w:t xml:space="preserve">, což představuje větší míru kontigence a potenciality. Citát </w:t>
      </w:r>
      <w:r w:rsidRPr="00273106">
        <w:t>potvrzuje, že rozdíl mezi oběma složkami intelektu leží ve dvojí persp</w:t>
      </w:r>
      <w:r>
        <w:t xml:space="preserve">ektivě náhledu na objektivní </w:t>
      </w:r>
      <w:r w:rsidR="00962190">
        <w:rPr>
          <w:i/>
        </w:rPr>
        <w:t>species</w:t>
      </w:r>
      <w:r w:rsidRPr="00273106">
        <w:t>.</w:t>
      </w:r>
      <w:r>
        <w:t xml:space="preserve"> Bonaventura oprášil verzi Themistiova habituálního materiálního intelektu a postavil jej proti hypostázovanému Alexandrovu intelektu danému jako čistá aktualita.</w:t>
      </w:r>
    </w:p>
    <w:p w:rsidR="08163013" w:rsidRPr="00107809" w:rsidRDefault="08163013" w:rsidP="08163013">
      <w:pPr>
        <w:pStyle w:val="Citace"/>
        <w:rPr>
          <w:noProof/>
          <w:lang w:val="cs-CZ"/>
        </w:rPr>
      </w:pPr>
      <w:r w:rsidRPr="00273106">
        <w:rPr>
          <w:noProof/>
          <w:lang w:val="cs-CZ"/>
        </w:rPr>
        <w:t>„</w:t>
      </w:r>
      <w:r>
        <w:rPr>
          <w:noProof/>
          <w:lang w:val="cs-CZ"/>
        </w:rPr>
        <w:t xml:space="preserve">Rozdílné složky intelektu sice existují, ale chápou jednu individuální věc. Jedna ze složek ji chápe více ve smyslu doplnění </w:t>
      </w:r>
      <w:r w:rsidR="005D5D0B">
        <w:rPr>
          <w:noProof/>
          <w:lang w:val="cs-CZ"/>
        </w:rPr>
        <w:t xml:space="preserve">poznávající </w:t>
      </w:r>
      <w:r>
        <w:rPr>
          <w:noProof/>
          <w:lang w:val="cs-CZ"/>
        </w:rPr>
        <w:t>duše (</w:t>
      </w:r>
      <w:r w:rsidRPr="006C09AC">
        <w:rPr>
          <w:i/>
          <w:noProof/>
          <w:szCs w:val="11"/>
          <w:lang w:val="cs-CZ"/>
        </w:rPr>
        <w:t xml:space="preserve">respicit </w:t>
      </w:r>
      <w:r w:rsidRPr="006C09AC">
        <w:rPr>
          <w:i/>
          <w:noProof/>
          <w:szCs w:val="15"/>
          <w:lang w:val="cs-CZ"/>
        </w:rPr>
        <w:t xml:space="preserve">animae </w:t>
      </w:r>
      <w:r w:rsidRPr="006C09AC">
        <w:rPr>
          <w:i/>
          <w:noProof/>
          <w:lang w:val="cs-CZ"/>
        </w:rPr>
        <w:t>complementum</w:t>
      </w:r>
      <w:r>
        <w:rPr>
          <w:noProof/>
          <w:lang w:val="cs-CZ"/>
        </w:rPr>
        <w:t>), druhá ve smyslu materiálního principu (</w:t>
      </w:r>
      <w:r w:rsidRPr="00273106">
        <w:rPr>
          <w:i/>
          <w:noProof/>
          <w:lang w:val="cs-CZ"/>
        </w:rPr>
        <w:t xml:space="preserve">materiale </w:t>
      </w:r>
      <w:r w:rsidRPr="00273106">
        <w:rPr>
          <w:i/>
          <w:noProof/>
          <w:szCs w:val="15"/>
          <w:lang w:val="cs-CZ"/>
        </w:rPr>
        <w:t>principium</w:t>
      </w:r>
      <w:r>
        <w:rPr>
          <w:noProof/>
          <w:lang w:val="cs-CZ"/>
        </w:rPr>
        <w:t>). Je tomu proto, že jedna složka duše nemá jen potenci k racionálnímu poznání, ale drží i habituální potenci (</w:t>
      </w:r>
      <w:r w:rsidRPr="00273106">
        <w:rPr>
          <w:i/>
          <w:noProof/>
          <w:szCs w:val="13"/>
          <w:lang w:val="cs-CZ"/>
        </w:rPr>
        <w:t>poten</w:t>
      </w:r>
      <w:r w:rsidRPr="00273106">
        <w:rPr>
          <w:i/>
          <w:noProof/>
          <w:szCs w:val="11"/>
          <w:lang w:val="cs-CZ"/>
        </w:rPr>
        <w:t xml:space="preserve">tiae </w:t>
      </w:r>
      <w:r w:rsidRPr="00273106">
        <w:rPr>
          <w:i/>
          <w:noProof/>
          <w:szCs w:val="13"/>
          <w:lang w:val="cs-CZ"/>
        </w:rPr>
        <w:t>habitualis</w:t>
      </w:r>
      <w:r>
        <w:rPr>
          <w:noProof/>
          <w:lang w:val="cs-CZ"/>
        </w:rPr>
        <w:t>). Druhá složka má pouze potenci racionální (</w:t>
      </w:r>
      <w:r w:rsidRPr="00404E6E">
        <w:rPr>
          <w:i/>
          <w:noProof/>
          <w:szCs w:val="15"/>
          <w:lang w:val="cs-CZ"/>
        </w:rPr>
        <w:t xml:space="preserve">pure </w:t>
      </w:r>
      <w:r w:rsidRPr="00404E6E">
        <w:rPr>
          <w:i/>
          <w:noProof/>
          <w:szCs w:val="13"/>
          <w:lang w:val="cs-CZ"/>
        </w:rPr>
        <w:t>rationem po</w:t>
      </w:r>
      <w:r w:rsidRPr="00404E6E">
        <w:rPr>
          <w:i/>
          <w:noProof/>
          <w:szCs w:val="11"/>
          <w:lang w:val="cs-CZ"/>
        </w:rPr>
        <w:t>tentiae</w:t>
      </w:r>
      <w:r>
        <w:rPr>
          <w:noProof/>
          <w:lang w:val="cs-CZ"/>
        </w:rPr>
        <w:t>).  Proto první část intelektu patří k duši substančně (</w:t>
      </w:r>
      <w:r w:rsidRPr="006C09AC">
        <w:rPr>
          <w:i/>
          <w:noProof/>
          <w:szCs w:val="13"/>
          <w:lang w:val="cs-CZ"/>
        </w:rPr>
        <w:t xml:space="preserve">convenire </w:t>
      </w:r>
      <w:r w:rsidRPr="006C09AC">
        <w:rPr>
          <w:i/>
          <w:noProof/>
          <w:szCs w:val="11"/>
          <w:lang w:val="cs-CZ"/>
        </w:rPr>
        <w:t>animae</w:t>
      </w:r>
      <w:r w:rsidRPr="006C09AC">
        <w:rPr>
          <w:i/>
          <w:noProof/>
          <w:szCs w:val="17"/>
          <w:lang w:val="cs-CZ"/>
        </w:rPr>
        <w:t xml:space="preserve"> </w:t>
      </w:r>
      <w:r w:rsidRPr="006C09AC">
        <w:rPr>
          <w:i/>
          <w:noProof/>
          <w:szCs w:val="16"/>
          <w:lang w:val="cs-CZ"/>
        </w:rPr>
        <w:t xml:space="preserve">secundum </w:t>
      </w:r>
      <w:r w:rsidRPr="006C09AC">
        <w:rPr>
          <w:i/>
          <w:noProof/>
          <w:szCs w:val="12"/>
          <w:lang w:val="cs-CZ"/>
        </w:rPr>
        <w:t>se</w:t>
      </w:r>
      <w:r>
        <w:rPr>
          <w:noProof/>
          <w:lang w:val="cs-CZ"/>
        </w:rPr>
        <w:t>), zatímco druhá je dána ve vztahu k tělu; první složka je vždy poznáním v aktualitě (</w:t>
      </w:r>
      <w:r w:rsidRPr="006C09AC">
        <w:rPr>
          <w:i/>
          <w:noProof/>
          <w:szCs w:val="15"/>
          <w:lang w:val="cs-CZ"/>
        </w:rPr>
        <w:t xml:space="preserve">semper </w:t>
      </w:r>
      <w:r w:rsidRPr="006C09AC">
        <w:rPr>
          <w:i/>
          <w:noProof/>
          <w:szCs w:val="12"/>
          <w:lang w:val="cs-CZ"/>
        </w:rPr>
        <w:t xml:space="preserve">esse in </w:t>
      </w:r>
      <w:r w:rsidRPr="006C09AC">
        <w:rPr>
          <w:i/>
          <w:noProof/>
          <w:szCs w:val="13"/>
          <w:lang w:val="cs-CZ"/>
        </w:rPr>
        <w:t>actu</w:t>
      </w:r>
      <w:r>
        <w:rPr>
          <w:noProof/>
          <w:lang w:val="cs-CZ"/>
        </w:rPr>
        <w:t xml:space="preserve">), zatímco druhá nikoliv.“ </w:t>
      </w:r>
      <w:r>
        <w:rPr>
          <w:rStyle w:val="Znakapoznpodarou"/>
        </w:rPr>
        <w:footnoteReference w:id="57"/>
      </w:r>
    </w:p>
    <w:p w:rsidR="0037493F" w:rsidRDefault="08163013" w:rsidP="08163013">
      <w:r w:rsidRPr="00273106">
        <w:lastRenderedPageBreak/>
        <w:t xml:space="preserve">Bonaventura nemá rozdělení intelektu na receptivní a aktivní složku jako </w:t>
      </w:r>
      <w:r>
        <w:t>Aristoteles</w:t>
      </w:r>
      <w:r w:rsidRPr="00273106">
        <w:t xml:space="preserve"> a první averroismus. Intelekt je jeden substrát a má dvě různé perspektivy náhledu na jednu poznávanou </w:t>
      </w:r>
      <w:r w:rsidR="00D037DF">
        <w:t xml:space="preserve">hylemorfickou </w:t>
      </w:r>
      <w:r w:rsidRPr="00273106">
        <w:t>substanci (</w:t>
      </w:r>
      <w:r w:rsidRPr="00273106">
        <w:rPr>
          <w:i/>
        </w:rPr>
        <w:t xml:space="preserve">respiciant totum </w:t>
      </w:r>
      <w:r w:rsidRPr="00273106">
        <w:rPr>
          <w:i/>
          <w:szCs w:val="15"/>
        </w:rPr>
        <w:t>compositum</w:t>
      </w:r>
      <w:r w:rsidRPr="00273106">
        <w:t>). Materiální intelekt</w:t>
      </w:r>
      <w:r>
        <w:t xml:space="preserve"> se definuje vztahem k tělu </w:t>
      </w:r>
      <w:r w:rsidRPr="00273106">
        <w:t>(</w:t>
      </w:r>
      <w:r w:rsidRPr="00273106">
        <w:rPr>
          <w:i/>
          <w:szCs w:val="11"/>
        </w:rPr>
        <w:t xml:space="preserve">in </w:t>
      </w:r>
      <w:r w:rsidRPr="00273106">
        <w:rPr>
          <w:i/>
          <w:szCs w:val="15"/>
        </w:rPr>
        <w:t xml:space="preserve">comparatione </w:t>
      </w:r>
      <w:r w:rsidRPr="00273106">
        <w:rPr>
          <w:i/>
          <w:szCs w:val="17"/>
        </w:rPr>
        <w:t xml:space="preserve">ad </w:t>
      </w:r>
      <w:r w:rsidRPr="00273106">
        <w:rPr>
          <w:i/>
          <w:szCs w:val="14"/>
        </w:rPr>
        <w:t>corpus</w:t>
      </w:r>
      <w:r>
        <w:t>) daným ve formě habituální potence (</w:t>
      </w:r>
      <w:r w:rsidRPr="00273106">
        <w:rPr>
          <w:i/>
          <w:szCs w:val="13"/>
        </w:rPr>
        <w:t>poten</w:t>
      </w:r>
      <w:r w:rsidRPr="00273106">
        <w:rPr>
          <w:i/>
          <w:szCs w:val="11"/>
        </w:rPr>
        <w:t xml:space="preserve">tiae </w:t>
      </w:r>
      <w:r w:rsidRPr="00273106">
        <w:rPr>
          <w:i/>
          <w:szCs w:val="13"/>
        </w:rPr>
        <w:t>habitualis</w:t>
      </w:r>
      <w:r>
        <w:t xml:space="preserve">). To ovšem znamená, že </w:t>
      </w:r>
      <w:r w:rsidRPr="08DE5ECA">
        <w:rPr>
          <w:i/>
        </w:rPr>
        <w:t>intellectus materialis</w:t>
      </w:r>
      <w:r>
        <w:t xml:space="preserve"> je Themistiovou aktuálně danou nemateriální hypostází, která je od duše oddělena jako substance a pr</w:t>
      </w:r>
      <w:r w:rsidR="08A47D59">
        <w:t xml:space="preserve">oto má kosmický charakter. </w:t>
      </w:r>
      <w:r w:rsidR="00D75D5B" w:rsidRPr="00D75D5B">
        <w:t>To byl jeden z hlavních bodů, který založil panteismus v teorii Davida Dinanta.</w:t>
      </w:r>
      <w:r w:rsidR="00D75D5B">
        <w:t xml:space="preserve"> </w:t>
      </w:r>
      <w:r w:rsidR="001B7C15">
        <w:t xml:space="preserve">K panteistickému pojetí Davida z Dinantu už chyběla jen identifikace tohoto intelektu s receptivní složkou božího myšlení (OBJ II, kap. 2.1.3). </w:t>
      </w:r>
      <w:r w:rsidR="0037493F">
        <w:t xml:space="preserve">To moderna tehdy ještě neodvážila udělat a bylo třeba počkat na </w:t>
      </w:r>
      <w:r w:rsidR="00284D78">
        <w:t>učení postmoderního Spinozy</w:t>
      </w:r>
      <w:r w:rsidR="0037493F">
        <w:t xml:space="preserve">. </w:t>
      </w:r>
      <w:r w:rsidR="08A47D59">
        <w:t>M</w:t>
      </w:r>
      <w:r>
        <w:t xml:space="preserve">oderní averroismus zavedl </w:t>
      </w:r>
      <w:r w:rsidR="08A47D59">
        <w:t xml:space="preserve">do </w:t>
      </w:r>
      <w:r>
        <w:t xml:space="preserve">poznání </w:t>
      </w:r>
      <w:r w:rsidR="08A47D59">
        <w:t>neoplatonský</w:t>
      </w:r>
      <w:r>
        <w:t xml:space="preserve"> dualismu</w:t>
      </w:r>
      <w:r w:rsidR="08A47D59">
        <w:t>s</w:t>
      </w:r>
      <w:r w:rsidR="083B74BE">
        <w:t xml:space="preserve"> intelektu a těla</w:t>
      </w:r>
      <w:r>
        <w:t xml:space="preserve">.  </w:t>
      </w:r>
      <w:r w:rsidR="00F535E6">
        <w:t xml:space="preserve">Vědění </w:t>
      </w:r>
      <w:r>
        <w:t>je vždy aktuální, protože je dáno jako habituální schopnost duše (</w:t>
      </w:r>
      <w:r w:rsidRPr="00273106">
        <w:rPr>
          <w:i/>
          <w:szCs w:val="13"/>
        </w:rPr>
        <w:t>poten</w:t>
      </w:r>
      <w:r w:rsidRPr="00273106">
        <w:rPr>
          <w:i/>
          <w:szCs w:val="11"/>
        </w:rPr>
        <w:t xml:space="preserve">tiae </w:t>
      </w:r>
      <w:r w:rsidRPr="00273106">
        <w:rPr>
          <w:i/>
          <w:szCs w:val="13"/>
        </w:rPr>
        <w:t>habitualis</w:t>
      </w:r>
      <w:r>
        <w:t xml:space="preserve">), která si skrze </w:t>
      </w:r>
      <w:r w:rsidRPr="00BF5E8C">
        <w:rPr>
          <w:i/>
        </w:rPr>
        <w:t>intellectus agens</w:t>
      </w:r>
      <w:r>
        <w:t xml:space="preserve"> uvědomuje vlastní poznání. Hermeneutika zdůrazňuje moderní a postmoderní fakt, že toto habituální poznání je vždy již aktuální. Intelektuální duše moderních avicennistů není </w:t>
      </w:r>
      <w:r w:rsidRPr="007E467B">
        <w:rPr>
          <w:i/>
        </w:rPr>
        <w:t>anima nuda</w:t>
      </w:r>
      <w:r>
        <w:t xml:space="preserve"> a čistý nepopsaný list, protože je hypostázovou substancí (</w:t>
      </w:r>
      <w:r w:rsidRPr="00917CCF">
        <w:rPr>
          <w:i/>
        </w:rPr>
        <w:t>hoc aliquid</w:t>
      </w:r>
      <w:r>
        <w:t xml:space="preserve">). Pak je </w:t>
      </w:r>
      <w:r w:rsidR="00962190">
        <w:rPr>
          <w:i/>
        </w:rPr>
        <w:t>species</w:t>
      </w:r>
      <w:r>
        <w:t xml:space="preserve"> nazírána skrze habituální schopnost materiálního intelektu. Ten je dán jako substance</w:t>
      </w:r>
      <w:r>
        <w:fldChar w:fldCharType="begin"/>
      </w:r>
      <w:r>
        <w:instrText xml:space="preserve"> XE "</w:instrText>
      </w:r>
      <w:r w:rsidRPr="00DE2A32">
        <w:instrText>substance</w:instrText>
      </w:r>
      <w:r>
        <w:instrText xml:space="preserve">:intelekt" </w:instrText>
      </w:r>
      <w:r>
        <w:fldChar w:fldCharType="end"/>
      </w:r>
      <w:r>
        <w:t xml:space="preserve"> třetího druhu a nahlíží abstrahovanou aristotelskou </w:t>
      </w:r>
      <w:r w:rsidR="00962190">
        <w:rPr>
          <w:i/>
        </w:rPr>
        <w:t>species</w:t>
      </w:r>
      <w:r>
        <w:t xml:space="preserve"> je jako doplněk již daného poznání, což ukázal výše uvedený rozbor (</w:t>
      </w:r>
      <w:r w:rsidRPr="006C09AC">
        <w:rPr>
          <w:i/>
          <w:szCs w:val="15"/>
        </w:rPr>
        <w:t xml:space="preserve">animae </w:t>
      </w:r>
      <w:r w:rsidRPr="006C09AC">
        <w:rPr>
          <w:i/>
        </w:rPr>
        <w:t>complementum</w:t>
      </w:r>
      <w:r>
        <w:t xml:space="preserve">). Duše poznává aktivně a přímým náhledem po vzoru postmoderní evidence dané skrze vrozenou </w:t>
      </w:r>
      <w:r w:rsidR="00962190">
        <w:rPr>
          <w:i/>
        </w:rPr>
        <w:t>species</w:t>
      </w:r>
      <w:r>
        <w:rPr>
          <w:i/>
        </w:rPr>
        <w:t xml:space="preserve"> innata</w:t>
      </w:r>
      <w:r>
        <w:t xml:space="preserve"> u Descarta</w:t>
      </w:r>
      <w:r>
        <w:fldChar w:fldCharType="begin"/>
      </w:r>
      <w:r>
        <w:instrText xml:space="preserve"> XE "</w:instrText>
      </w:r>
      <w:r w:rsidRPr="004146C6">
        <w:rPr>
          <w:rStyle w:val="addmd"/>
        </w:rPr>
        <w:instrText>Descartes, R.</w:instrText>
      </w:r>
      <w:r>
        <w:instrText xml:space="preserve">" </w:instrText>
      </w:r>
      <w:r>
        <w:fldChar w:fldCharType="end"/>
      </w:r>
      <w:r>
        <w:t xml:space="preserve"> a skrze </w:t>
      </w:r>
      <w:r w:rsidRPr="006344FA">
        <w:rPr>
          <w:i/>
        </w:rPr>
        <w:t>eidos</w:t>
      </w:r>
      <w:r>
        <w:t xml:space="preserve"> Husserla</w:t>
      </w:r>
      <w:r>
        <w:fldChar w:fldCharType="begin"/>
      </w:r>
      <w:r>
        <w:instrText xml:space="preserve"> XE "</w:instrText>
      </w:r>
      <w:r w:rsidRPr="000710C4">
        <w:instrText>Husserl, E.</w:instrText>
      </w:r>
      <w:r>
        <w:instrText xml:space="preserve">" </w:instrText>
      </w:r>
      <w:r>
        <w:fldChar w:fldCharType="end"/>
      </w:r>
      <w:r w:rsidR="0037493F">
        <w:t>.</w:t>
      </w:r>
    </w:p>
    <w:p w:rsidR="008239CB" w:rsidRDefault="009A5122" w:rsidP="009B3D6F">
      <w:pPr>
        <w:ind w:firstLine="397"/>
      </w:pPr>
      <w:r>
        <w:t xml:space="preserve">Bonaventura poprvé konceptualizoval </w:t>
      </w:r>
      <w:r w:rsidR="00966A8B">
        <w:t xml:space="preserve">objektivní </w:t>
      </w:r>
      <w:r w:rsidR="08163013">
        <w:t xml:space="preserve">intelekt třetího druhu jako mix hylemorfické pasivity a aktivity. </w:t>
      </w:r>
      <w:r w:rsidR="00556DCB" w:rsidRPr="00556DCB">
        <w:t xml:space="preserve">Podobně moderní Frankenstein musel tento </w:t>
      </w:r>
      <w:r w:rsidR="00677686">
        <w:t xml:space="preserve">podivuhodný </w:t>
      </w:r>
      <w:r w:rsidR="00556DCB" w:rsidRPr="00556DCB">
        <w:t xml:space="preserve">intelekt nosit </w:t>
      </w:r>
      <w:r w:rsidR="00677686">
        <w:t xml:space="preserve">sám </w:t>
      </w:r>
      <w:r w:rsidR="00556DCB" w:rsidRPr="00556DCB">
        <w:t>v</w:t>
      </w:r>
      <w:r w:rsidR="00556DCB">
        <w:t> </w:t>
      </w:r>
      <w:r w:rsidR="00556DCB" w:rsidRPr="00556DCB">
        <w:t>sobě</w:t>
      </w:r>
      <w:r w:rsidR="00556DCB">
        <w:t xml:space="preserve"> </w:t>
      </w:r>
      <w:r w:rsidR="00556DCB" w:rsidRPr="00556DCB">
        <w:rPr>
          <w:iCs/>
        </w:rPr>
        <w:t>(</w:t>
      </w:r>
      <w:r w:rsidR="00556DCB" w:rsidRPr="00556DCB">
        <w:rPr>
          <w:i/>
          <w:iCs/>
        </w:rPr>
        <w:t>subiectum</w:t>
      </w:r>
      <w:r w:rsidR="00556DCB" w:rsidRPr="00556DCB">
        <w:t>).</w:t>
      </w:r>
      <w:r w:rsidR="00556DCB">
        <w:t xml:space="preserve"> </w:t>
      </w:r>
      <w:r w:rsidR="08163013">
        <w:t xml:space="preserve">Tím </w:t>
      </w:r>
      <w:r w:rsidR="00556DCB">
        <w:t xml:space="preserve">vznikl </w:t>
      </w:r>
      <w:r w:rsidR="00B83B4D">
        <w:t xml:space="preserve">nový </w:t>
      </w:r>
      <w:r w:rsidR="08163013">
        <w:t xml:space="preserve">moderní subjekt Západu, k němuž další generace postupně přidaly systém objektivní metafyziky. Serafínský doktor </w:t>
      </w:r>
      <w:r w:rsidR="08163013" w:rsidRPr="00273106">
        <w:t xml:space="preserve">rozdělil substanciální jednotu osoby na dvě patra v souladu </w:t>
      </w:r>
      <w:r w:rsidR="08163013">
        <w:t xml:space="preserve">s </w:t>
      </w:r>
      <w:r w:rsidR="08163013" w:rsidRPr="00273106">
        <w:t>přirozeným a nadpřirozeným určením člověka</w:t>
      </w:r>
      <w:r w:rsidR="08163013">
        <w:fldChar w:fldCharType="begin"/>
      </w:r>
      <w:r w:rsidR="08163013">
        <w:instrText xml:space="preserve"> XE "</w:instrText>
      </w:r>
      <w:r w:rsidR="08163013" w:rsidRPr="00FD7579">
        <w:instrText>osoba:dualismus</w:instrText>
      </w:r>
      <w:r w:rsidR="08163013">
        <w:instrText xml:space="preserve">" </w:instrText>
      </w:r>
      <w:r w:rsidR="08163013">
        <w:fldChar w:fldCharType="end"/>
      </w:r>
      <w:r w:rsidR="08163013" w:rsidRPr="00273106">
        <w:t xml:space="preserve">. Aktivní intelekt díky </w:t>
      </w:r>
      <w:r w:rsidR="08163013">
        <w:t xml:space="preserve">své habituální potenci vztažené k tělu přímo nazírá příslušná </w:t>
      </w:r>
      <w:r w:rsidR="00962190">
        <w:rPr>
          <w:i/>
        </w:rPr>
        <w:t>species</w:t>
      </w:r>
      <w:r w:rsidR="08163013" w:rsidRPr="00273106">
        <w:t xml:space="preserve">. Duše se poznává v aktu konverze </w:t>
      </w:r>
      <w:r w:rsidR="08163013">
        <w:t xml:space="preserve">k sobě samé </w:t>
      </w:r>
      <w:r w:rsidR="08163013" w:rsidRPr="00273106">
        <w:t>na Avicennův způsob „létajícího muže</w:t>
      </w:r>
      <w:r w:rsidR="08163013">
        <w:fldChar w:fldCharType="begin"/>
      </w:r>
      <w:r w:rsidR="08163013">
        <w:instrText xml:space="preserve"> XE "</w:instrText>
      </w:r>
      <w:r w:rsidR="08163013" w:rsidRPr="00FC391D">
        <w:rPr>
          <w:rStyle w:val="FontStyle129"/>
          <w:sz w:val="24"/>
        </w:rPr>
        <w:instrText>létající muž</w:instrText>
      </w:r>
      <w:r w:rsidR="08163013">
        <w:instrText xml:space="preserve">" </w:instrText>
      </w:r>
      <w:r w:rsidR="08163013">
        <w:fldChar w:fldCharType="end"/>
      </w:r>
      <w:r w:rsidR="08163013" w:rsidRPr="00273106">
        <w:t>“</w:t>
      </w:r>
      <w:r w:rsidR="08163013">
        <w:t xml:space="preserve"> a</w:t>
      </w:r>
      <w:r w:rsidR="08163013" w:rsidRPr="00273106">
        <w:t xml:space="preserve"> tato možnost sebepoznání je vždy dána </w:t>
      </w:r>
      <w:r w:rsidR="08163013" w:rsidRPr="00273106">
        <w:lastRenderedPageBreak/>
        <w:t>aktuálně (</w:t>
      </w:r>
      <w:r w:rsidR="08163013" w:rsidRPr="00273106">
        <w:rPr>
          <w:i/>
          <w:szCs w:val="15"/>
        </w:rPr>
        <w:t xml:space="preserve">semper </w:t>
      </w:r>
      <w:r w:rsidR="08163013" w:rsidRPr="00273106">
        <w:rPr>
          <w:i/>
          <w:szCs w:val="12"/>
        </w:rPr>
        <w:t xml:space="preserve">esse in </w:t>
      </w:r>
      <w:r w:rsidR="08163013" w:rsidRPr="00273106">
        <w:rPr>
          <w:i/>
          <w:szCs w:val="13"/>
        </w:rPr>
        <w:t>actu</w:t>
      </w:r>
      <w:r w:rsidR="08163013" w:rsidRPr="00273106">
        <w:t>). Tím vznikla pluralita substanciá</w:t>
      </w:r>
      <w:r w:rsidR="08163013">
        <w:t>l</w:t>
      </w:r>
      <w:r w:rsidR="08163013" w:rsidRPr="00273106">
        <w:t>ních forem</w:t>
      </w:r>
      <w:r w:rsidR="08163013">
        <w:t xml:space="preserve"> v člověku</w:t>
      </w:r>
      <w:r w:rsidR="08163013" w:rsidRPr="00273106">
        <w:t xml:space="preserve">, kterou zásadně odmítl první averroismus. Jednota poznání ve smyslu receptivně-aktivní složky </w:t>
      </w:r>
      <w:r w:rsidR="08163013">
        <w:t xml:space="preserve">dané od smyslů není dána podle </w:t>
      </w:r>
      <w:r w:rsidR="08163013" w:rsidRPr="00273106">
        <w:t>prvního averroismu. Jednota a tím i pravda je dána až na druhém patře poznání, tj. objektivně a v rámci ontoteologické kon</w:t>
      </w:r>
      <w:r w:rsidR="08163013">
        <w:t xml:space="preserve">strukce metafyziky. Zavedením univerzálního hylemorfismu a kosmického intelektu napojeného na Avicennu padlo </w:t>
      </w:r>
      <w:r w:rsidR="08163013" w:rsidRPr="00273106">
        <w:t xml:space="preserve">pojetí pravdy jako </w:t>
      </w:r>
      <w:r w:rsidR="08163013">
        <w:t>Averroes</w:t>
      </w:r>
      <w:r w:rsidR="08163013" w:rsidRPr="00273106">
        <w:t xml:space="preserve">ovo </w:t>
      </w:r>
      <w:r w:rsidR="08163013" w:rsidRPr="00273106">
        <w:rPr>
          <w:i/>
        </w:rPr>
        <w:t>proportio</w:t>
      </w:r>
      <w:r w:rsidR="08163013" w:rsidRPr="00273106">
        <w:t xml:space="preserve"> mezi věcí, smysly a intelektem</w:t>
      </w:r>
      <w:r w:rsidR="08163013">
        <w:t xml:space="preserve"> a z</w:t>
      </w:r>
      <w:r w:rsidR="08163013" w:rsidRPr="00273106">
        <w:t xml:space="preserve">ůstal </w:t>
      </w:r>
      <w:r w:rsidR="08163013">
        <w:t>moderní dualismus duše a těla</w:t>
      </w:r>
      <w:r w:rsidR="08163013" w:rsidRPr="00273106">
        <w:t xml:space="preserve">. </w:t>
      </w:r>
      <w:r w:rsidR="009B74D0" w:rsidRPr="009B74D0">
        <w:t xml:space="preserve">Vzhledem k pochybnému hylemorfismu </w:t>
      </w:r>
      <w:r w:rsidR="009B74D0" w:rsidRPr="009B74D0">
        <w:rPr>
          <w:i/>
          <w:iCs/>
        </w:rPr>
        <w:t>Modernorum</w:t>
      </w:r>
      <w:r w:rsidR="009B74D0" w:rsidRPr="009B74D0">
        <w:t xml:space="preserve"> a vzhledem k pluralitě porretánských substancí a potencí v člověku není vůbec jasné několik docela důležitých věcí. Co je tělo jako hmotná substance třetího druhu? Co je hmotná duše třetího druhu? Co je hmotný intelekt jako další substance</w:t>
      </w:r>
      <w:r w:rsidR="009B74D0">
        <w:t xml:space="preserve"> třetího druhu? Žádná z těchto „substancí“</w:t>
      </w:r>
      <w:r w:rsidR="009B74D0" w:rsidRPr="009B74D0">
        <w:t xml:space="preserve"> v aristotelismu a v prvním averroismu neexistuje, protože nemají možnost existence. </w:t>
      </w:r>
      <w:r w:rsidR="08163013" w:rsidRPr="00273106">
        <w:t xml:space="preserve">A to je podle </w:t>
      </w:r>
      <w:r w:rsidR="08163013">
        <w:t>Averroes</w:t>
      </w:r>
      <w:r w:rsidR="08163013" w:rsidRPr="00273106">
        <w:t xml:space="preserve">e a Alberta ona </w:t>
      </w:r>
      <w:r w:rsidR="08163013">
        <w:t xml:space="preserve">fatální </w:t>
      </w:r>
      <w:r w:rsidR="08163013" w:rsidRPr="00273106">
        <w:t xml:space="preserve">cesta, po níž dnes kráčejí všichni </w:t>
      </w:r>
      <w:r w:rsidR="08163013" w:rsidRPr="00273106">
        <w:rPr>
          <w:i/>
        </w:rPr>
        <w:t>Moderni</w:t>
      </w:r>
      <w:r w:rsidR="08163013">
        <w:rPr>
          <w:i/>
        </w:rPr>
        <w:fldChar w:fldCharType="begin"/>
      </w:r>
      <w:r w:rsidR="08163013">
        <w:instrText xml:space="preserve"> XE "</w:instrText>
      </w:r>
      <w:r w:rsidR="08163013" w:rsidRPr="00B46F32">
        <w:instrText>averroismus:Moderni</w:instrText>
      </w:r>
      <w:r w:rsidR="08163013">
        <w:instrText xml:space="preserve">" </w:instrText>
      </w:r>
      <w:r w:rsidR="08163013">
        <w:rPr>
          <w:i/>
        </w:rPr>
        <w:fldChar w:fldCharType="end"/>
      </w:r>
      <w:r w:rsidR="08163013" w:rsidRPr="00273106">
        <w:t>.</w:t>
      </w:r>
      <w:r w:rsidR="08163013">
        <w:t xml:space="preserve"> Albert a Bacon se odmítli bavit o podobných nesmyslech, protože kritické myšlení založené na deduktivní formě vědeckého důkazu není ani šílené ani směšné. Asi by se dost divili, že tyto nauky dnes tvoří základ postmoderní filosofie. </w:t>
      </w:r>
      <w:r w:rsidR="08163013" w:rsidRPr="00273106">
        <w:t xml:space="preserve">Kartéziův intelekt </w:t>
      </w:r>
      <w:r w:rsidR="08163013">
        <w:t>jako substance (</w:t>
      </w:r>
      <w:r w:rsidR="08163013" w:rsidRPr="005A636F">
        <w:rPr>
          <w:i/>
        </w:rPr>
        <w:t>res cogitans</w:t>
      </w:r>
      <w:r w:rsidR="08163013">
        <w:t xml:space="preserve">) </w:t>
      </w:r>
      <w:r w:rsidR="00C3360F">
        <w:t xml:space="preserve">je </w:t>
      </w:r>
      <w:r w:rsidR="08163013">
        <w:t xml:space="preserve">nově </w:t>
      </w:r>
      <w:r w:rsidR="00C3360F">
        <w:t xml:space="preserve">pojatý </w:t>
      </w:r>
      <w:r w:rsidR="08163013">
        <w:t xml:space="preserve">intelekt jako jsoucno třetího druhu </w:t>
      </w:r>
      <w:r w:rsidR="08163013" w:rsidRPr="00273106">
        <w:t>založené Bonaventurou.</w:t>
      </w:r>
      <w:r w:rsidR="08163013">
        <w:t xml:space="preserve"> Sebereflektující </w:t>
      </w:r>
      <w:r w:rsidR="08163013" w:rsidRPr="00273106">
        <w:t>vědomí moderny jako zrcadla ducha (</w:t>
      </w:r>
      <w:r w:rsidR="08163013" w:rsidRPr="00273106">
        <w:rPr>
          <w:i/>
        </w:rPr>
        <w:t>speculum</w:t>
      </w:r>
      <w:r w:rsidR="08163013">
        <w:rPr>
          <w:i/>
        </w:rPr>
        <w:fldChar w:fldCharType="begin"/>
      </w:r>
      <w:r w:rsidR="08163013">
        <w:instrText xml:space="preserve"> XE "</w:instrText>
      </w:r>
      <w:r w:rsidR="08163013" w:rsidRPr="00191FF1">
        <w:rPr>
          <w:i/>
        </w:rPr>
        <w:instrText>speculum</w:instrText>
      </w:r>
      <w:r w:rsidR="08163013">
        <w:instrText xml:space="preserve">" </w:instrText>
      </w:r>
      <w:r w:rsidR="08163013">
        <w:rPr>
          <w:i/>
        </w:rPr>
        <w:fldChar w:fldCharType="end"/>
      </w:r>
      <w:r w:rsidR="08163013" w:rsidRPr="00273106">
        <w:t xml:space="preserve">) vše v sobě nahlíží s absolutní jasností ducha, </w:t>
      </w:r>
      <w:r w:rsidR="08163013" w:rsidRPr="00273106">
        <w:rPr>
          <w:i/>
        </w:rPr>
        <w:t>clare et distincte</w:t>
      </w:r>
      <w:r w:rsidR="08163013" w:rsidRPr="00273106">
        <w:t xml:space="preserve">. Descartův, Hegelův a Husserlův intelekt aktualizovaný ve výkonu </w:t>
      </w:r>
      <w:r w:rsidR="08163013" w:rsidRPr="00273106">
        <w:rPr>
          <w:i/>
        </w:rPr>
        <w:t>cogito ergo sum</w:t>
      </w:r>
      <w:r w:rsidR="08163013">
        <w:rPr>
          <w:i/>
        </w:rPr>
        <w:fldChar w:fldCharType="begin"/>
      </w:r>
      <w:r w:rsidR="08163013">
        <w:instrText xml:space="preserve"> XE "</w:instrText>
      </w:r>
      <w:r w:rsidR="08163013" w:rsidRPr="00B45955">
        <w:rPr>
          <w:i/>
        </w:rPr>
        <w:instrText>cogito</w:instrText>
      </w:r>
      <w:r w:rsidR="08163013" w:rsidRPr="00B45955">
        <w:instrText xml:space="preserve"> </w:instrText>
      </w:r>
      <w:r w:rsidR="08163013" w:rsidRPr="00B45955">
        <w:rPr>
          <w:i/>
        </w:rPr>
        <w:instrText>ergo sum</w:instrText>
      </w:r>
      <w:r w:rsidR="08163013">
        <w:instrText xml:space="preserve">" </w:instrText>
      </w:r>
      <w:r w:rsidR="08163013">
        <w:rPr>
          <w:i/>
        </w:rPr>
        <w:fldChar w:fldCharType="end"/>
      </w:r>
      <w:r w:rsidR="08163013" w:rsidRPr="00273106">
        <w:t xml:space="preserve"> nic nepřijímá </w:t>
      </w:r>
      <w:r w:rsidR="08163013">
        <w:t xml:space="preserve">plně pasivně </w:t>
      </w:r>
      <w:r w:rsidR="08163013" w:rsidRPr="00273106">
        <w:t xml:space="preserve">zvnějšku, </w:t>
      </w:r>
      <w:r w:rsidR="08163013">
        <w:t xml:space="preserve">protože </w:t>
      </w:r>
      <w:r w:rsidR="08163013" w:rsidRPr="00273106">
        <w:t>všechno nachází sám v sobě</w:t>
      </w:r>
      <w:r w:rsidR="08163013">
        <w:t xml:space="preserve"> a pak dodatečně ověřuje v realitě. To </w:t>
      </w:r>
      <w:r w:rsidR="08163013" w:rsidRPr="00273106">
        <w:t xml:space="preserve">jistě přispělo k Albertovu odsouzení </w:t>
      </w:r>
      <w:r w:rsidR="000921B3" w:rsidRPr="00F55A4F">
        <w:rPr>
          <w:i/>
          <w:szCs w:val="24"/>
        </w:rPr>
        <w:t>doctores</w:t>
      </w:r>
      <w:r w:rsidR="000921B3">
        <w:rPr>
          <w:szCs w:val="24"/>
        </w:rPr>
        <w:t xml:space="preserve"> </w:t>
      </w:r>
      <w:r w:rsidR="000921B3">
        <w:rPr>
          <w:i/>
          <w:szCs w:val="24"/>
        </w:rPr>
        <w:t>Latini</w:t>
      </w:r>
      <w:r w:rsidR="000921B3" w:rsidRPr="00D8479A">
        <w:rPr>
          <w:szCs w:val="24"/>
        </w:rPr>
        <w:t xml:space="preserve"> </w:t>
      </w:r>
      <w:r w:rsidR="08163013">
        <w:t>jako čistých sofistů</w:t>
      </w:r>
      <w:r w:rsidR="08163013">
        <w:rPr>
          <w:i/>
        </w:rPr>
        <w:fldChar w:fldCharType="begin"/>
      </w:r>
      <w:r w:rsidR="08163013">
        <w:instrText xml:space="preserve"> XE "druhý averroismus:</w:instrText>
      </w:r>
      <w:r w:rsidR="08163013" w:rsidRPr="00851DB4">
        <w:rPr>
          <w:i/>
          <w:lang w:eastAsia="en-US"/>
        </w:rPr>
        <w:instrText>Averroistae</w:instrText>
      </w:r>
      <w:r w:rsidR="08163013">
        <w:instrText xml:space="preserve">" </w:instrText>
      </w:r>
      <w:r w:rsidR="08163013">
        <w:rPr>
          <w:i/>
        </w:rPr>
        <w:fldChar w:fldCharType="end"/>
      </w:r>
      <w:r w:rsidR="08163013">
        <w:t>, kteří nejsou schopni pochopit smysl CMDA</w:t>
      </w:r>
      <w:r w:rsidR="08163013" w:rsidRPr="00273106">
        <w:t>. Jejich vítězný pochod začal</w:t>
      </w:r>
      <w:r w:rsidR="08163013">
        <w:t xml:space="preserve"> po 1255</w:t>
      </w:r>
      <w:r w:rsidR="08163013" w:rsidRPr="00273106">
        <w:t xml:space="preserve">, kdy Bonaventurovi žáci vstoupili pod egidou svého mistra na </w:t>
      </w:r>
      <w:r w:rsidR="00EA788E">
        <w:t>Pařížskou</w:t>
      </w:r>
      <w:r w:rsidR="08163013" w:rsidRPr="00273106">
        <w:t xml:space="preserve"> univerzit</w:t>
      </w:r>
      <w:r w:rsidR="00EA788E">
        <w:t>u</w:t>
      </w:r>
      <w:r w:rsidR="08163013">
        <w:t xml:space="preserve"> zřízením katedry</w:t>
      </w:r>
      <w:r w:rsidR="08163013" w:rsidRPr="00273106">
        <w:t xml:space="preserve"> mendikantských řádů.</w:t>
      </w:r>
      <w:r w:rsidR="009B3D6F">
        <w:t xml:space="preserve"> Moderna dobře ví, že vědění není pravda, ale moc; proto </w:t>
      </w:r>
      <w:r w:rsidR="007715C6">
        <w:t xml:space="preserve">modernisté </w:t>
      </w:r>
      <w:r w:rsidR="009B3D6F">
        <w:t>zvítězil</w:t>
      </w:r>
      <w:r w:rsidR="007715C6">
        <w:t xml:space="preserve">i </w:t>
      </w:r>
      <w:r w:rsidR="009B3D6F">
        <w:t xml:space="preserve">tím, že </w:t>
      </w:r>
      <w:r w:rsidR="007715C6">
        <w:t xml:space="preserve">začali učit </w:t>
      </w:r>
      <w:r w:rsidR="009B3D6F">
        <w:t>filosofické nesmysly na vlastní fakultě a postup</w:t>
      </w:r>
      <w:r w:rsidR="007715C6">
        <w:t>ně ve dvou čistkách zlikvidovali</w:t>
      </w:r>
      <w:r w:rsidR="009B3D6F">
        <w:t xml:space="preserve"> školu prvního averroismu. </w:t>
      </w:r>
      <w:r w:rsidR="08163013">
        <w:t xml:space="preserve">Bonaventurův útok na pojetí intelektu </w:t>
      </w:r>
      <w:r w:rsidR="00E73EC7">
        <w:t>poda</w:t>
      </w:r>
      <w:r w:rsidR="002352CC">
        <w:t xml:space="preserve">ného </w:t>
      </w:r>
      <w:r w:rsidR="08163013">
        <w:t xml:space="preserve">v CMDA ukazuje fundamentální </w:t>
      </w:r>
      <w:r w:rsidR="08163013" w:rsidRPr="00B67C16">
        <w:rPr>
          <w:i/>
        </w:rPr>
        <w:t>Irrtum</w:t>
      </w:r>
      <w:r w:rsidR="08163013">
        <w:t xml:space="preserve"> zakládající sofistiku </w:t>
      </w:r>
      <w:r w:rsidR="08163013" w:rsidRPr="00CB6303">
        <w:rPr>
          <w:i/>
        </w:rPr>
        <w:t>Modernorum</w:t>
      </w:r>
      <w:r w:rsidR="08163013">
        <w:t>. Druhý averroismus Bonaventury potvrdil objektivní „exsistenci“ člověka směrem od simulákra</w:t>
      </w:r>
      <w:r w:rsidR="08163013">
        <w:fldChar w:fldCharType="begin"/>
      </w:r>
      <w:r w:rsidR="08163013">
        <w:instrText xml:space="preserve"> XE "</w:instrText>
      </w:r>
      <w:r w:rsidR="08163013" w:rsidRPr="00C2134D">
        <w:instrText>simulákrum</w:instrText>
      </w:r>
      <w:r w:rsidR="08163013">
        <w:instrText xml:space="preserve">" </w:instrText>
      </w:r>
      <w:r w:rsidR="08163013">
        <w:fldChar w:fldCharType="end"/>
      </w:r>
      <w:r w:rsidR="08163013">
        <w:t xml:space="preserve"> poznání na rozdíl od hyparchické existence jednotné osoby v CMDA. Připomeňme, že „člověk“ poprvé přestal existovat v poznávané jednotě osoby kolem roku 1240, kdy objektivní substanční mnohost </w:t>
      </w:r>
      <w:r w:rsidR="08163013">
        <w:lastRenderedPageBreak/>
        <w:t>nahradila původní hyparchickou jednotu osoby. Spor o dvojí pravdu</w:t>
      </w:r>
      <w:r w:rsidR="08163013" w:rsidRPr="008E02F5">
        <w:t xml:space="preserve"> </w:t>
      </w:r>
      <w:r w:rsidR="08163013">
        <w:fldChar w:fldCharType="begin"/>
      </w:r>
      <w:r w:rsidR="08163013">
        <w:instrText xml:space="preserve"> XE "</w:instrText>
      </w:r>
      <w:r w:rsidR="08163013" w:rsidRPr="00F50036">
        <w:instrText>teorie dvojí pravdy</w:instrText>
      </w:r>
      <w:r w:rsidR="08163013">
        <w:instrText xml:space="preserve">" </w:instrText>
      </w:r>
      <w:r w:rsidR="08163013">
        <w:fldChar w:fldCharType="end"/>
      </w:r>
      <w:r w:rsidR="08163013" w:rsidRPr="00273106">
        <w:t xml:space="preserve"> </w:t>
      </w:r>
      <w:r w:rsidR="08163013">
        <w:t xml:space="preserve">daný </w:t>
      </w:r>
      <w:r w:rsidR="08163013" w:rsidRPr="00273106">
        <w:t xml:space="preserve">od </w:t>
      </w:r>
      <w:r w:rsidR="08163013">
        <w:t xml:space="preserve">roku </w:t>
      </w:r>
      <w:r w:rsidR="08163013" w:rsidRPr="00273106">
        <w:t xml:space="preserve">1270 </w:t>
      </w:r>
      <w:r w:rsidR="08163013">
        <w:t xml:space="preserve">představuje </w:t>
      </w:r>
      <w:r w:rsidR="08163013" w:rsidRPr="00273106">
        <w:t>nevyhnutelný důsled</w:t>
      </w:r>
      <w:r w:rsidR="08163013">
        <w:t>e</w:t>
      </w:r>
      <w:r w:rsidR="08163013" w:rsidRPr="00273106">
        <w:t>k</w:t>
      </w:r>
      <w:r w:rsidR="08163013">
        <w:t xml:space="preserve"> metafyzické </w:t>
      </w:r>
      <w:r w:rsidR="08163013" w:rsidRPr="08080703">
        <w:rPr>
          <w:i/>
        </w:rPr>
        <w:t>Irre</w:t>
      </w:r>
      <w:r w:rsidR="008239CB">
        <w:t>.</w:t>
      </w:r>
    </w:p>
    <w:p w:rsidR="08163013" w:rsidRPr="00273106" w:rsidRDefault="08163013" w:rsidP="009B3D6F">
      <w:pPr>
        <w:ind w:firstLine="397"/>
      </w:pPr>
      <w:r w:rsidRPr="00273106">
        <w:t xml:space="preserve">Bonaventura na kritiku </w:t>
      </w:r>
      <w:r>
        <w:t xml:space="preserve">prvního averroismu </w:t>
      </w:r>
      <w:r w:rsidRPr="00273106">
        <w:t xml:space="preserve">odpověděl tím, že vytvořil dvojí abstrakci </w:t>
      </w:r>
      <w:r w:rsidR="00533FA2">
        <w:t xml:space="preserve">v </w:t>
      </w:r>
      <w:r w:rsidRPr="00273106">
        <w:t>ontoteologické</w:t>
      </w:r>
      <w:r w:rsidR="00533FA2">
        <w:t>m scénáři</w:t>
      </w:r>
      <w:r w:rsidRPr="00273106">
        <w:t xml:space="preserve"> metaf</w:t>
      </w:r>
      <w:r>
        <w:t>yziky. Jedna</w:t>
      </w:r>
      <w:r w:rsidRPr="00273106">
        <w:t xml:space="preserve"> </w:t>
      </w:r>
      <w:r w:rsidR="00436221">
        <w:t xml:space="preserve">a ta samá </w:t>
      </w:r>
      <w:r w:rsidR="00962190" w:rsidRPr="00533FA2">
        <w:t>species</w:t>
      </w:r>
      <w:r>
        <w:t xml:space="preserve"> je daná</w:t>
      </w:r>
      <w:r w:rsidRPr="00273106">
        <w:t xml:space="preserve"> univočně ve </w:t>
      </w:r>
      <w:r>
        <w:t xml:space="preserve">věcech, ve </w:t>
      </w:r>
      <w:r w:rsidRPr="00273106">
        <w:t>smyslech i v intelektu, ale n</w:t>
      </w:r>
      <w:r>
        <w:t>ení poznaná stejně jistým</w:t>
      </w:r>
      <w:r w:rsidRPr="00273106">
        <w:t xml:space="preserve"> způsobem. Viz předešlé analýzy </w:t>
      </w:r>
      <w:r w:rsidR="00962190">
        <w:rPr>
          <w:i/>
        </w:rPr>
        <w:t>species</w:t>
      </w:r>
      <w:r w:rsidRPr="00273106">
        <w:rPr>
          <w:i/>
        </w:rPr>
        <w:t xml:space="preserve"> prima</w:t>
      </w:r>
      <w:r w:rsidRPr="00273106">
        <w:t xml:space="preserve">, </w:t>
      </w:r>
      <w:r w:rsidRPr="00273106">
        <w:rPr>
          <w:i/>
        </w:rPr>
        <w:t>secunda</w:t>
      </w:r>
      <w:r w:rsidRPr="00273106">
        <w:t xml:space="preserve"> a </w:t>
      </w:r>
      <w:r w:rsidRPr="00273106">
        <w:rPr>
          <w:i/>
        </w:rPr>
        <w:t>innata</w:t>
      </w:r>
      <w:r w:rsidRPr="00273106">
        <w:t xml:space="preserve">, které převezme </w:t>
      </w:r>
      <w:r>
        <w:t>postmoderní Descartes, Arnauld</w:t>
      </w:r>
      <w:r>
        <w:fldChar w:fldCharType="begin"/>
      </w:r>
      <w:r>
        <w:instrText xml:space="preserve"> XE "</w:instrText>
      </w:r>
      <w:r w:rsidRPr="00EF1828">
        <w:instrText>Arnauld, A.</w:instrText>
      </w:r>
      <w:r>
        <w:instrText xml:space="preserve">" </w:instrText>
      </w:r>
      <w:r>
        <w:fldChar w:fldCharType="end"/>
      </w:r>
      <w:r>
        <w:t xml:space="preserve"> a Leibniz. Další pokračování sporu o autentický výklad Averroese muselo mít nutně charakter </w:t>
      </w:r>
      <w:r w:rsidR="00E73EC7">
        <w:t xml:space="preserve">veřejného </w:t>
      </w:r>
      <w:r>
        <w:t>sporu. Bonaventura pronáší v letech 1267‒73</w:t>
      </w:r>
      <w:r w:rsidRPr="00273106">
        <w:t xml:space="preserve"> sérii </w:t>
      </w:r>
      <w:r>
        <w:t xml:space="preserve">tří </w:t>
      </w:r>
      <w:r w:rsidRPr="00273106">
        <w:t>kázání</w:t>
      </w:r>
      <w:r>
        <w:t xml:space="preserve"> (</w:t>
      </w:r>
      <w:r w:rsidRPr="00A73784">
        <w:rPr>
          <w:i/>
        </w:rPr>
        <w:t>collationes</w:t>
      </w:r>
      <w:r>
        <w:t>)</w:t>
      </w:r>
      <w:r w:rsidRPr="00273106">
        <w:t xml:space="preserve">, v níž odsuzuje z pozice druhého averroismu intelektuální omyly tehdejší doby. </w:t>
      </w:r>
      <w:r>
        <w:t>Většinu z těchto obvinění později najdeme v dekretu biskupa Tempiera z prosince 1270</w:t>
      </w:r>
      <w:r>
        <w:fldChar w:fldCharType="begin"/>
      </w:r>
      <w:r>
        <w:instrText xml:space="preserve"> XE "</w:instrText>
      </w:r>
      <w:r w:rsidRPr="00502F42">
        <w:instrText>odsouzení 1270</w:instrText>
      </w:r>
      <w:r>
        <w:instrText xml:space="preserve">" </w:instrText>
      </w:r>
      <w:r>
        <w:fldChar w:fldCharType="end"/>
      </w:r>
      <w:r>
        <w:t xml:space="preserve"> odsuzujícím 13 problematických filosofických tezí ohrožujících křesťanskou víru. </w:t>
      </w:r>
      <w:r w:rsidRPr="00273106">
        <w:t xml:space="preserve">Generál mendikantského řádu mluví o apokalyptických časech rozumu, ale rozumí jim úplně jinak než </w:t>
      </w:r>
      <w:r>
        <w:t xml:space="preserve">aristotelský Alvernus, </w:t>
      </w:r>
      <w:r w:rsidRPr="00273106">
        <w:t>Bacon</w:t>
      </w:r>
      <w:r>
        <w:t>,</w:t>
      </w:r>
      <w:r w:rsidRPr="00273106">
        <w:t xml:space="preserve"> Albert</w:t>
      </w:r>
      <w:r>
        <w:t>, Guillelmus</w:t>
      </w:r>
      <w:r w:rsidRPr="00E735C5">
        <w:t xml:space="preserve"> de </w:t>
      </w:r>
      <w:r w:rsidRPr="00E735C5">
        <w:rPr>
          <w:szCs w:val="16"/>
        </w:rPr>
        <w:t xml:space="preserve">Sancto </w:t>
      </w:r>
      <w:r w:rsidRPr="00E735C5">
        <w:rPr>
          <w:szCs w:val="19"/>
        </w:rPr>
        <w:t>Amore</w:t>
      </w:r>
      <w:r>
        <w:rPr>
          <w:szCs w:val="19"/>
        </w:rPr>
        <w:t xml:space="preserve"> nebo Siger</w:t>
      </w:r>
      <w:r w:rsidR="08BA2CC1">
        <w:rPr>
          <w:szCs w:val="19"/>
        </w:rPr>
        <w:t xml:space="preserve"> z Brabantu</w:t>
      </w:r>
      <w:r>
        <w:rPr>
          <w:szCs w:val="19"/>
        </w:rPr>
        <w:fldChar w:fldCharType="begin"/>
      </w:r>
      <w:r>
        <w:instrText xml:space="preserve"> XE "</w:instrText>
      </w:r>
      <w:r w:rsidRPr="003B256A">
        <w:instrText xml:space="preserve"> </w:instrText>
      </w:r>
      <w:r>
        <w:instrText>Guillelmus</w:instrText>
      </w:r>
      <w:r w:rsidRPr="00E51395">
        <w:instrText xml:space="preserve"> de Sancto Amore</w:instrText>
      </w:r>
      <w:r>
        <w:instrText xml:space="preserve">" </w:instrText>
      </w:r>
      <w:r>
        <w:rPr>
          <w:szCs w:val="19"/>
        </w:rPr>
        <w:fldChar w:fldCharType="end"/>
      </w:r>
      <w:r w:rsidRPr="00273106">
        <w:t xml:space="preserve">. Obvinění z trojí hereze veřejně pronesené při kázání obsahuje oficiální vyhlášení ideologické války </w:t>
      </w:r>
      <w:r>
        <w:t xml:space="preserve">vedené </w:t>
      </w:r>
      <w:r w:rsidRPr="00273106">
        <w:t xml:space="preserve">proti prvnímu averroismu. Bonaventura prorocky odmítá </w:t>
      </w:r>
      <w:r>
        <w:t>v</w:t>
      </w:r>
      <w:r w:rsidR="08FE0B11">
        <w:t> sérii postních</w:t>
      </w:r>
      <w:r>
        <w:t xml:space="preserve"> kázání 126</w:t>
      </w:r>
      <w:r w:rsidR="08FE0B11">
        <w:t>7–6</w:t>
      </w:r>
      <w:r>
        <w:t xml:space="preserve">8 jím definované </w:t>
      </w:r>
      <w:r w:rsidRPr="00273106">
        <w:t xml:space="preserve">„bestiální“ rysy epochy, kterou </w:t>
      </w:r>
      <w:r>
        <w:t>aktivně spoluzakládal</w:t>
      </w:r>
      <w:r w:rsidRPr="00273106">
        <w:t>.</w:t>
      </w:r>
    </w:p>
    <w:p w:rsidR="08163013" w:rsidRPr="00E13FC9" w:rsidRDefault="08163013" w:rsidP="08163013">
      <w:pPr>
        <w:pStyle w:val="Citace"/>
        <w:rPr>
          <w:noProof/>
          <w:szCs w:val="15"/>
          <w:lang w:val="cs-CZ"/>
        </w:rPr>
      </w:pPr>
      <w:r w:rsidRPr="00273106">
        <w:rPr>
          <w:noProof/>
          <w:szCs w:val="15"/>
          <w:lang w:val="cs-CZ"/>
        </w:rPr>
        <w:t>„</w:t>
      </w:r>
      <w:r>
        <w:rPr>
          <w:noProof/>
          <w:szCs w:val="15"/>
          <w:lang w:val="cs-CZ"/>
        </w:rPr>
        <w:t xml:space="preserve">Ve vědění je třeba si dát pozor na tři omyly, která ničí posvátná Písma, křesťanskou víru a celou moudrost. Jeden z nich jde proti příčině existence, druhý proti správnému uvažování a třetí proti řádu života. Omyl proti příčině existence je dán v pojetí věčnosti světa tím, že svět je kladen jako věčný. Omyl proti  správnému způsobu uvažování je dán zavedením fatální nutnosti, jako by všechno pocházelo z předem dané nutnosti. Třetí omyl se týká jednoty lidského intelektu a říká, že je numericky jeden intelekt ve všech lidech. Tyto omyly jsou v Apokalypse symbolizovány skrze číslo </w:t>
      </w:r>
      <w:r w:rsidR="00475B0D">
        <w:rPr>
          <w:noProof/>
          <w:szCs w:val="15"/>
          <w:lang w:val="cs-CZ"/>
        </w:rPr>
        <w:t>určující jméno Š</w:t>
      </w:r>
      <w:r>
        <w:rPr>
          <w:noProof/>
          <w:szCs w:val="15"/>
          <w:lang w:val="cs-CZ"/>
        </w:rPr>
        <w:t>elmy (</w:t>
      </w:r>
      <w:r w:rsidRPr="08291A76">
        <w:rPr>
          <w:i/>
          <w:noProof/>
        </w:rPr>
        <w:t>in Apocalypsi in numero nominis bestiae</w:t>
      </w:r>
      <w:r>
        <w:rPr>
          <w:noProof/>
          <w:szCs w:val="15"/>
          <w:lang w:val="cs-CZ"/>
        </w:rPr>
        <w:t xml:space="preserve">).“ </w:t>
      </w:r>
      <w:r>
        <w:rPr>
          <w:rStyle w:val="Znakapoznpodarou"/>
        </w:rPr>
        <w:footnoteReference w:id="58"/>
      </w:r>
    </w:p>
    <w:p w:rsidR="003B2D69" w:rsidRDefault="00F33159" w:rsidP="08163013">
      <w:pPr>
        <w:rPr>
          <w:szCs w:val="15"/>
        </w:rPr>
      </w:pPr>
      <w:r>
        <w:t>Shrňme</w:t>
      </w:r>
      <w:r w:rsidRPr="00F33159">
        <w:t xml:space="preserve"> klíčová obvinění sporu o averroismus, kt</w:t>
      </w:r>
      <w:r>
        <w:t>erý byl oficiálně rozpoután na P</w:t>
      </w:r>
      <w:r w:rsidRPr="00F33159">
        <w:t xml:space="preserve">ařížské univerzitě. </w:t>
      </w:r>
      <w:r w:rsidR="08163013" w:rsidRPr="00273106">
        <w:t xml:space="preserve">Ve hře je </w:t>
      </w:r>
      <w:r w:rsidR="00C259DE">
        <w:t>věčnost</w:t>
      </w:r>
      <w:r w:rsidR="08163013" w:rsidRPr="00273106">
        <w:t xml:space="preserve"> světa, která ohrožuje křesťanský řád bytí (</w:t>
      </w:r>
      <w:r w:rsidR="08163013" w:rsidRPr="00273106">
        <w:rPr>
          <w:i/>
        </w:rPr>
        <w:t xml:space="preserve">contra </w:t>
      </w:r>
      <w:r w:rsidR="08163013" w:rsidRPr="00273106">
        <w:rPr>
          <w:i/>
          <w:szCs w:val="16"/>
        </w:rPr>
        <w:t xml:space="preserve">causam </w:t>
      </w:r>
      <w:r w:rsidR="08163013" w:rsidRPr="00273106">
        <w:rPr>
          <w:i/>
          <w:szCs w:val="13"/>
        </w:rPr>
        <w:t xml:space="preserve">essendi </w:t>
      </w:r>
      <w:proofErr w:type="gramStart"/>
      <w:r w:rsidR="08163013" w:rsidRPr="00273106">
        <w:rPr>
          <w:i/>
          <w:szCs w:val="12"/>
        </w:rPr>
        <w:t>est ... ponere</w:t>
      </w:r>
      <w:proofErr w:type="gramEnd"/>
      <w:r w:rsidR="08163013" w:rsidRPr="00273106">
        <w:rPr>
          <w:i/>
          <w:szCs w:val="12"/>
        </w:rPr>
        <w:t xml:space="preserve"> mundum eternum</w:t>
      </w:r>
      <w:r w:rsidR="08163013" w:rsidRPr="00273106">
        <w:t xml:space="preserve">). Další prohra rozumu spočívá v zavedení fatality do </w:t>
      </w:r>
      <w:r w:rsidR="08163013" w:rsidRPr="00273106">
        <w:lastRenderedPageBreak/>
        <w:t>myšlení tím, že chápe všechny děje z hlediska nějaké imanentní nebo transcendentní nutnosti  (</w:t>
      </w:r>
      <w:r w:rsidR="08163013" w:rsidRPr="00273106">
        <w:rPr>
          <w:i/>
        </w:rPr>
        <w:t xml:space="preserve">contra </w:t>
      </w:r>
      <w:r w:rsidR="08163013" w:rsidRPr="00273106">
        <w:rPr>
          <w:i/>
          <w:szCs w:val="15"/>
        </w:rPr>
        <w:t xml:space="preserve">rationem </w:t>
      </w:r>
      <w:proofErr w:type="gramStart"/>
      <w:r w:rsidR="08163013" w:rsidRPr="00273106">
        <w:rPr>
          <w:i/>
          <w:szCs w:val="12"/>
        </w:rPr>
        <w:t>intelligendi ...</w:t>
      </w:r>
      <w:r w:rsidR="08163013" w:rsidRPr="00273106">
        <w:rPr>
          <w:i/>
          <w:szCs w:val="16"/>
        </w:rPr>
        <w:t xml:space="preserve"> quod</w:t>
      </w:r>
      <w:proofErr w:type="gramEnd"/>
      <w:r w:rsidR="08163013" w:rsidRPr="00273106">
        <w:rPr>
          <w:i/>
          <w:szCs w:val="16"/>
        </w:rPr>
        <w:t xml:space="preserve"> omnia </w:t>
      </w:r>
      <w:r w:rsidR="08163013" w:rsidRPr="00273106">
        <w:rPr>
          <w:i/>
        </w:rPr>
        <w:t xml:space="preserve">eveniunt </w:t>
      </w:r>
      <w:r w:rsidR="08163013" w:rsidRPr="00273106">
        <w:rPr>
          <w:i/>
          <w:szCs w:val="15"/>
        </w:rPr>
        <w:t xml:space="preserve">de </w:t>
      </w:r>
      <w:r w:rsidR="08163013" w:rsidRPr="00273106">
        <w:rPr>
          <w:i/>
          <w:szCs w:val="12"/>
        </w:rPr>
        <w:t>necessitate</w:t>
      </w:r>
      <w:r w:rsidR="08163013" w:rsidRPr="00273106">
        <w:t>). A třetí, podle Bonaventury nejstrašnější chyba obsahující v sobě i oba předešlé omyly, je dána skrze tezi o numerické jednotě intelektu pro všechny lidi (</w:t>
      </w:r>
      <w:r w:rsidR="08163013" w:rsidRPr="00273106">
        <w:rPr>
          <w:i/>
          <w:szCs w:val="16"/>
        </w:rPr>
        <w:t xml:space="preserve">quod unus </w:t>
      </w:r>
      <w:r w:rsidR="08163013" w:rsidRPr="00273106">
        <w:rPr>
          <w:i/>
          <w:szCs w:val="12"/>
        </w:rPr>
        <w:t>est intelle</w:t>
      </w:r>
      <w:r w:rsidR="08163013" w:rsidRPr="00273106">
        <w:rPr>
          <w:i/>
          <w:szCs w:val="13"/>
        </w:rPr>
        <w:t xml:space="preserve">ctus </w:t>
      </w:r>
      <w:r w:rsidR="08163013" w:rsidRPr="00273106">
        <w:rPr>
          <w:i/>
          <w:szCs w:val="12"/>
        </w:rPr>
        <w:t xml:space="preserve">in </w:t>
      </w:r>
      <w:r w:rsidR="08163013" w:rsidRPr="00273106">
        <w:rPr>
          <w:i/>
          <w:szCs w:val="15"/>
        </w:rPr>
        <w:t>omnibus</w:t>
      </w:r>
      <w:r w:rsidR="08163013" w:rsidRPr="00273106">
        <w:rPr>
          <w:szCs w:val="15"/>
        </w:rPr>
        <w:t xml:space="preserve">). </w:t>
      </w:r>
      <w:r w:rsidR="08163013">
        <w:rPr>
          <w:szCs w:val="15"/>
        </w:rPr>
        <w:t>P</w:t>
      </w:r>
      <w:r w:rsidR="08163013" w:rsidRPr="00273106">
        <w:t xml:space="preserve">rojděme z hlediska předložené hermeneutiky všechna tři základní obvinění. </w:t>
      </w:r>
      <w:r w:rsidR="08163013" w:rsidRPr="00273106">
        <w:rPr>
          <w:szCs w:val="15"/>
        </w:rPr>
        <w:t>Předchozí výklad ukázal, že je předložil význačn</w:t>
      </w:r>
      <w:r w:rsidR="08163013">
        <w:rPr>
          <w:szCs w:val="15"/>
        </w:rPr>
        <w:t xml:space="preserve">ý reprezentant skupiny nazvané </w:t>
      </w:r>
      <w:r w:rsidR="08163013" w:rsidRPr="00273106">
        <w:rPr>
          <w:i/>
          <w:szCs w:val="15"/>
        </w:rPr>
        <w:t>sophistae Latini</w:t>
      </w:r>
      <w:r w:rsidR="08163013" w:rsidRPr="00273106">
        <w:rPr>
          <w:szCs w:val="15"/>
        </w:rPr>
        <w:t xml:space="preserve">, kterou </w:t>
      </w:r>
      <w:r w:rsidR="003B2D69">
        <w:rPr>
          <w:szCs w:val="15"/>
        </w:rPr>
        <w:t>kritizoval již biskup Alvernus.</w:t>
      </w:r>
    </w:p>
    <w:p w:rsidR="006874DF" w:rsidRDefault="08163013" w:rsidP="001439D2">
      <w:pPr>
        <w:ind w:firstLine="397"/>
        <w:rPr>
          <w:szCs w:val="15"/>
        </w:rPr>
      </w:pPr>
      <w:r w:rsidRPr="00273106">
        <w:rPr>
          <w:szCs w:val="15"/>
        </w:rPr>
        <w:t>Teze o věčnosti světa nepředstavovala na artistické fakultě kolem 1270 žádný sporný problém.</w:t>
      </w:r>
      <w:r>
        <w:rPr>
          <w:szCs w:val="15"/>
        </w:rPr>
        <w:t xml:space="preserve"> </w:t>
      </w:r>
      <w:r>
        <w:t xml:space="preserve">Církevně to ale problém byl, viz papežskou bulu Urbana IV. z 9. ledna 1263 (viz </w:t>
      </w:r>
      <w:r w:rsidRPr="00FD13F6">
        <w:rPr>
          <w:i/>
        </w:rPr>
        <w:t>Chartularium</w:t>
      </w:r>
      <w:r>
        <w:rPr>
          <w:i/>
        </w:rPr>
        <w:t xml:space="preserve"> I</w:t>
      </w:r>
      <w:r>
        <w:t>, no. 382, p. 427</w:t>
      </w:r>
      <w:r>
        <w:fldChar w:fldCharType="begin"/>
      </w:r>
      <w:r>
        <w:instrText xml:space="preserve"> XE "</w:instrText>
      </w:r>
      <w:r>
        <w:rPr>
          <w:i/>
        </w:rPr>
        <w:instrText xml:space="preserve">Chartularium I, </w:instrText>
      </w:r>
      <w:r>
        <w:instrText xml:space="preserve">no. 382, p. 427" </w:instrText>
      </w:r>
      <w:r>
        <w:fldChar w:fldCharType="end"/>
      </w:r>
      <w:r w:rsidR="009A3D0A">
        <w:t xml:space="preserve">). </w:t>
      </w:r>
      <w:proofErr w:type="gramStart"/>
      <w:r w:rsidR="009A3D0A">
        <w:t xml:space="preserve">Ta </w:t>
      </w:r>
      <w:r>
        <w:t xml:space="preserve"> </w:t>
      </w:r>
      <w:r w:rsidR="009A3D0A">
        <w:t>zakazovala</w:t>
      </w:r>
      <w:proofErr w:type="gramEnd"/>
      <w:r w:rsidR="009A3D0A">
        <w:t xml:space="preserve"> </w:t>
      </w:r>
      <w:r>
        <w:t xml:space="preserve">na Pařížské univerzitě výuku Aristotelovy </w:t>
      </w:r>
      <w:r w:rsidRPr="00DC4D4D">
        <w:rPr>
          <w:i/>
        </w:rPr>
        <w:t>Fyziky</w:t>
      </w:r>
      <w:r>
        <w:t xml:space="preserve"> a </w:t>
      </w:r>
      <w:r w:rsidRPr="00DC4D4D">
        <w:rPr>
          <w:i/>
        </w:rPr>
        <w:t>Metafyziky</w:t>
      </w:r>
      <w:r>
        <w:t>, dokud nebudou očištěny od podobných omylů. Podobně postupoval první Tempierův dekret z prosince 1270. Oddělení filosofické spekulace od teologických pravd magistři svobodných umění skutečně provedli</w:t>
      </w:r>
      <w:r>
        <w:fldChar w:fldCharType="begin"/>
      </w:r>
      <w:r>
        <w:instrText xml:space="preserve"> XE "</w:instrText>
      </w:r>
      <w:r w:rsidRPr="00B76009">
        <w:instrText>teorie dvojí pravdy</w:instrText>
      </w:r>
      <w:r>
        <w:instrText xml:space="preserve">" </w:instrText>
      </w:r>
      <w:r>
        <w:fldChar w:fldCharType="end"/>
      </w:r>
      <w:r>
        <w:t>.</w:t>
      </w:r>
      <w:r>
        <w:rPr>
          <w:szCs w:val="15"/>
        </w:rPr>
        <w:t xml:space="preserve"> Tehdejší magistři </w:t>
      </w:r>
      <w:r w:rsidRPr="00273106">
        <w:rPr>
          <w:szCs w:val="15"/>
        </w:rPr>
        <w:t xml:space="preserve">učili </w:t>
      </w:r>
      <w:r>
        <w:rPr>
          <w:szCs w:val="15"/>
        </w:rPr>
        <w:t>„pohanskou“ teorii o věčnosti světa</w:t>
      </w:r>
      <w:r>
        <w:rPr>
          <w:szCs w:val="15"/>
        </w:rPr>
        <w:fldChar w:fldCharType="begin"/>
      </w:r>
      <w:r>
        <w:instrText xml:space="preserve"> XE "</w:instrText>
      </w:r>
      <w:r w:rsidRPr="003E5962">
        <w:rPr>
          <w:szCs w:val="15"/>
        </w:rPr>
        <w:instrText>věčnost světa</w:instrText>
      </w:r>
      <w:r>
        <w:instrText xml:space="preserve">" </w:instrText>
      </w:r>
      <w:r>
        <w:rPr>
          <w:szCs w:val="15"/>
        </w:rPr>
        <w:fldChar w:fldCharType="end"/>
      </w:r>
      <w:r>
        <w:rPr>
          <w:szCs w:val="15"/>
        </w:rPr>
        <w:t xml:space="preserve"> </w:t>
      </w:r>
      <w:r w:rsidRPr="00273106">
        <w:rPr>
          <w:szCs w:val="15"/>
        </w:rPr>
        <w:t xml:space="preserve">jako nezávaznou filosofickou nauku připsanou Aristotelovi a </w:t>
      </w:r>
      <w:r>
        <w:rPr>
          <w:szCs w:val="15"/>
        </w:rPr>
        <w:t>Averroes</w:t>
      </w:r>
      <w:r w:rsidRPr="00273106">
        <w:rPr>
          <w:szCs w:val="15"/>
        </w:rPr>
        <w:t>ovi jako komentátorovi Korpusu, nikoliv jako pravdu víry.</w:t>
      </w:r>
      <w:r>
        <w:rPr>
          <w:szCs w:val="15"/>
        </w:rPr>
        <w:t xml:space="preserve"> </w:t>
      </w:r>
      <w:r w:rsidR="009A3D0A">
        <w:rPr>
          <w:szCs w:val="15"/>
        </w:rPr>
        <w:t xml:space="preserve">Roland </w:t>
      </w:r>
      <w:r>
        <w:t>Hissette analyz</w:t>
      </w:r>
      <w:r w:rsidR="009A3D0A">
        <w:t>oval</w:t>
      </w:r>
      <w:r>
        <w:t xml:space="preserve"> precizní postoj Boethia z Dácie, jehož </w:t>
      </w:r>
      <w:r>
        <w:fldChar w:fldCharType="begin"/>
      </w:r>
      <w:r>
        <w:instrText xml:space="preserve"> XE "</w:instrText>
      </w:r>
      <w:r w:rsidRPr="08A8751A">
        <w:instrText>Boethius z Dácie</w:instrText>
      </w:r>
      <w:r>
        <w:instrText xml:space="preserve">" </w:instrText>
      </w:r>
      <w:r>
        <w:fldChar w:fldCharType="end"/>
      </w:r>
      <w:r>
        <w:t xml:space="preserve">dílo </w:t>
      </w:r>
      <w:r w:rsidRPr="00E02140">
        <w:rPr>
          <w:i/>
        </w:rPr>
        <w:t xml:space="preserve">Tractatus </w:t>
      </w:r>
      <w:r w:rsidRPr="00E02140">
        <w:rPr>
          <w:bCs/>
          <w:i/>
        </w:rPr>
        <w:t>de aeternitate mundi</w:t>
      </w:r>
      <w:r>
        <w:t xml:space="preserve"> (1270) drží věčné trvání prvotní pralátky pouze v řádu teoretické spekulace (</w:t>
      </w:r>
      <w:r>
        <w:rPr>
          <w:i/>
          <w:iCs/>
        </w:rPr>
        <w:t>per rationem</w:t>
      </w:r>
      <w:r>
        <w:t xml:space="preserve">). Navíc věčnost kosmu vzhledem k jeho budoucímu trvání má Aristoteles v permanenci formy a Bible drží stejnou věčnost skrze vykoupenou podobu světa na konci času. Vzhledem k této budoucí trvalosti formy lze logicky vyvodit, že svět </w:t>
      </w:r>
      <w:r w:rsidRPr="00620B18">
        <w:rPr>
          <w:iCs/>
        </w:rPr>
        <w:t>by býval mohl být</w:t>
      </w:r>
      <w:r>
        <w:t xml:space="preserve"> věčný i vzhledem k minulosti (</w:t>
      </w:r>
      <w:r>
        <w:rPr>
          <w:i/>
          <w:iCs/>
        </w:rPr>
        <w:t>ergo per eandem virtutem potuit fuisse aeternus in praeterito</w:t>
      </w:r>
      <w:r>
        <w:t xml:space="preserve">). </w:t>
      </w:r>
      <w:r>
        <w:rPr>
          <w:iCs/>
        </w:rPr>
        <w:t>Nereálný konj</w:t>
      </w:r>
      <w:r>
        <w:t>unktiv jasně ukazuje, že Boetius z Dácie chápe tuto pravdu jako platnou pouze v oboru racionálního uvažování (Hissette 1977, 149‒56).</w:t>
      </w:r>
      <w:r w:rsidRPr="00273106">
        <w:rPr>
          <w:szCs w:val="15"/>
        </w:rPr>
        <w:t xml:space="preserve"> </w:t>
      </w:r>
      <w:r>
        <w:rPr>
          <w:szCs w:val="15"/>
        </w:rPr>
        <w:t>Navíc p</w:t>
      </w:r>
      <w:r>
        <w:t xml:space="preserve">odle prvního averroismu platí, že aristotelské </w:t>
      </w:r>
      <w:r w:rsidRPr="0085378D">
        <w:rPr>
          <w:i/>
        </w:rPr>
        <w:t>demonstratio</w:t>
      </w:r>
      <w:r>
        <w:t xml:space="preserve"> může pravdu potvrdit pouze </w:t>
      </w:r>
      <w:r w:rsidR="00194E4C">
        <w:t>„</w:t>
      </w:r>
      <w:r w:rsidRPr="0085378D">
        <w:rPr>
          <w:i/>
        </w:rPr>
        <w:t>secundum quid</w:t>
      </w:r>
      <w:r w:rsidR="00194E4C">
        <w:t>“</w:t>
      </w:r>
      <w:r>
        <w:t xml:space="preserve">, tedy z účinků první substance, a ne </w:t>
      </w:r>
      <w:r w:rsidR="00194E4C">
        <w:t>„</w:t>
      </w:r>
      <w:r w:rsidRPr="0085378D">
        <w:rPr>
          <w:i/>
        </w:rPr>
        <w:t>secundum simpliciter</w:t>
      </w:r>
      <w:r w:rsidR="00194E4C">
        <w:t>“</w:t>
      </w:r>
      <w:r>
        <w:t xml:space="preserve">, jak tvrdí stoupeni druhého averroismu. </w:t>
      </w:r>
      <w:r w:rsidR="00194E4C">
        <w:t xml:space="preserve">K tomu je ale třeba </w:t>
      </w:r>
      <w:r w:rsidR="00132160">
        <w:t xml:space="preserve">znát skutečný smysl </w:t>
      </w:r>
      <w:r w:rsidR="00194E4C" w:rsidRPr="00194E4C">
        <w:rPr>
          <w:i/>
        </w:rPr>
        <w:t>Kategorií</w:t>
      </w:r>
      <w:r w:rsidR="00194E4C">
        <w:t xml:space="preserve"> a </w:t>
      </w:r>
      <w:r w:rsidR="00132160">
        <w:rPr>
          <w:i/>
          <w:iCs/>
        </w:rPr>
        <w:t>Druhých analytik</w:t>
      </w:r>
      <w:r w:rsidR="00194E4C">
        <w:t xml:space="preserve"> očištěných od </w:t>
      </w:r>
      <w:r w:rsidR="00194E4C" w:rsidRPr="00194E4C">
        <w:rPr>
          <w:i/>
        </w:rPr>
        <w:t>Oxfordian Fallacy</w:t>
      </w:r>
      <w:r w:rsidR="00194E4C">
        <w:t xml:space="preserve">. </w:t>
      </w:r>
      <w:r>
        <w:t xml:space="preserve">Pak je jasné, že postulovaná věčnost světa představuje pouhou spekulaci danou mimo deduktivní vědecký důkaz. </w:t>
      </w:r>
      <w:r w:rsidR="081234B1">
        <w:t xml:space="preserve">Filosoficky viděno představuje věčnost světa logicky správný závěr, ale v realitě prvních substancí nelze proto toto tvrzení najít vědecký důkaz. </w:t>
      </w:r>
      <w:r>
        <w:t xml:space="preserve">Dogmatizací filosofie se </w:t>
      </w:r>
      <w:r w:rsidRPr="00A51B9B">
        <w:rPr>
          <w:i/>
        </w:rPr>
        <w:t>Moderni</w:t>
      </w:r>
      <w:r>
        <w:t xml:space="preserve"> dopustili sofismatu typu </w:t>
      </w:r>
      <w:r w:rsidR="00877F2C">
        <w:t>„</w:t>
      </w:r>
      <w:r w:rsidRPr="0085378D">
        <w:rPr>
          <w:i/>
        </w:rPr>
        <w:t>fallacia secundum quid et simpliciter</w:t>
      </w:r>
      <w:r w:rsidR="00877F2C">
        <w:t>“</w:t>
      </w:r>
      <w:r>
        <w:t xml:space="preserve">. </w:t>
      </w:r>
      <w:r>
        <w:rPr>
          <w:szCs w:val="15"/>
        </w:rPr>
        <w:t xml:space="preserve">Navíc podle </w:t>
      </w:r>
      <w:r w:rsidRPr="00DC4D4D">
        <w:rPr>
          <w:i/>
          <w:szCs w:val="15"/>
        </w:rPr>
        <w:lastRenderedPageBreak/>
        <w:t>Druhých analytik</w:t>
      </w:r>
      <w:r>
        <w:rPr>
          <w:szCs w:val="15"/>
        </w:rPr>
        <w:t xml:space="preserve"> je filosofie rodově odlišná od teologie, takže k žádnému omylu nemůže dojít, tedy nikoliv u kriticky vzdělaných filosofů. </w:t>
      </w:r>
      <w:r w:rsidR="001439D2" w:rsidRPr="001439D2">
        <w:rPr>
          <w:szCs w:val="15"/>
        </w:rPr>
        <w:t>P</w:t>
      </w:r>
      <w:r w:rsidR="001439D2">
        <w:rPr>
          <w:szCs w:val="15"/>
        </w:rPr>
        <w:t>odle Bacona a dalších dochází ke zmatkům pouze v kruzích</w:t>
      </w:r>
      <w:r w:rsidR="001439D2" w:rsidRPr="001439D2">
        <w:rPr>
          <w:szCs w:val="15"/>
        </w:rPr>
        <w:t xml:space="preserve"> </w:t>
      </w:r>
      <w:r w:rsidR="001439D2" w:rsidRPr="001439D2">
        <w:rPr>
          <w:i/>
          <w:szCs w:val="15"/>
        </w:rPr>
        <w:t>doctores Latini</w:t>
      </w:r>
      <w:r w:rsidR="001439D2">
        <w:rPr>
          <w:szCs w:val="15"/>
        </w:rPr>
        <w:t xml:space="preserve"> </w:t>
      </w:r>
      <w:r w:rsidR="001439D2" w:rsidRPr="001439D2">
        <w:rPr>
          <w:szCs w:val="15"/>
        </w:rPr>
        <w:t xml:space="preserve">a </w:t>
      </w:r>
      <w:r w:rsidR="001439D2">
        <w:rPr>
          <w:szCs w:val="15"/>
        </w:rPr>
        <w:t xml:space="preserve">moderních </w:t>
      </w:r>
      <w:r w:rsidR="001439D2" w:rsidRPr="001439D2">
        <w:rPr>
          <w:szCs w:val="15"/>
        </w:rPr>
        <w:t>sofistů, kteří se po roce 1255 vzdělávali na své vlastní, zcela moderní fakultě. Kvůli nepochopení metafyziky nejsou schopni rozlišovat mezi oběma vědami.</w:t>
      </w:r>
      <w:r w:rsidR="001439D2">
        <w:rPr>
          <w:szCs w:val="15"/>
        </w:rPr>
        <w:t xml:space="preserve"> </w:t>
      </w:r>
      <w:r>
        <w:rPr>
          <w:szCs w:val="15"/>
        </w:rPr>
        <w:t xml:space="preserve">Viz výše uvedenou Baconovu kritiku Bonaventurovy školy v Paříži </w:t>
      </w:r>
      <w:r w:rsidRPr="00273106">
        <w:t>(</w:t>
      </w:r>
      <w:r w:rsidRPr="00273106">
        <w:rPr>
          <w:i/>
        </w:rPr>
        <w:t>philosophia dominatur in usu theologiam</w:t>
      </w:r>
      <w:r w:rsidR="08697211">
        <w:t>; OBJ II, kap. 3</w:t>
      </w:r>
      <w:r w:rsidRPr="00A50106">
        <w:t>.4.3</w:t>
      </w:r>
      <w:r w:rsidRPr="00273106">
        <w:t>)</w:t>
      </w:r>
      <w:r>
        <w:rPr>
          <w:szCs w:val="15"/>
        </w:rPr>
        <w:t xml:space="preserve">. </w:t>
      </w:r>
      <w:r w:rsidRPr="00273106">
        <w:rPr>
          <w:szCs w:val="15"/>
        </w:rPr>
        <w:t xml:space="preserve">Už Grosseteste a po něm citovaný Bacon v </w:t>
      </w:r>
      <w:r w:rsidRPr="00273106">
        <w:rPr>
          <w:i/>
          <w:szCs w:val="15"/>
        </w:rPr>
        <w:t>Opus tertium</w:t>
      </w:r>
      <w:r w:rsidRPr="00273106">
        <w:rPr>
          <w:szCs w:val="15"/>
        </w:rPr>
        <w:t xml:space="preserve"> kritizují skupinu </w:t>
      </w:r>
      <w:r w:rsidRPr="00273106">
        <w:rPr>
          <w:i/>
          <w:szCs w:val="15"/>
        </w:rPr>
        <w:t>Modernorum</w:t>
      </w:r>
      <w:r w:rsidRPr="00273106">
        <w:rPr>
          <w:szCs w:val="15"/>
        </w:rPr>
        <w:t xml:space="preserve">, kteří neznají Aristotelovy spisy </w:t>
      </w:r>
      <w:r w:rsidR="00D34764">
        <w:rPr>
          <w:szCs w:val="15"/>
        </w:rPr>
        <w:t>do hloubky</w:t>
      </w:r>
      <w:r w:rsidR="006874DF">
        <w:rPr>
          <w:szCs w:val="15"/>
        </w:rPr>
        <w:t xml:space="preserve">. Pak ale nemohou správně pochopit </w:t>
      </w:r>
      <w:r w:rsidRPr="00273106">
        <w:rPr>
          <w:szCs w:val="15"/>
        </w:rPr>
        <w:t>smysl jeho filosofie.</w:t>
      </w:r>
    </w:p>
    <w:p w:rsidR="00060A61" w:rsidRDefault="08163013" w:rsidP="006874DF">
      <w:pPr>
        <w:ind w:firstLine="397"/>
        <w:rPr>
          <w:szCs w:val="15"/>
        </w:rPr>
      </w:pPr>
      <w:r>
        <w:t>V</w:t>
      </w:r>
      <w:r w:rsidRPr="00273106">
        <w:rPr>
          <w:szCs w:val="15"/>
        </w:rPr>
        <w:t xml:space="preserve">raťme se k výše uvedenému citátu a k tezi </w:t>
      </w:r>
      <w:r>
        <w:rPr>
          <w:szCs w:val="15"/>
        </w:rPr>
        <w:t>nutnosti vládnoucí světem (</w:t>
      </w:r>
      <w:r w:rsidRPr="00273106">
        <w:rPr>
          <w:i/>
          <w:szCs w:val="16"/>
        </w:rPr>
        <w:t xml:space="preserve">omnia </w:t>
      </w:r>
      <w:r w:rsidRPr="00273106">
        <w:rPr>
          <w:i/>
        </w:rPr>
        <w:t xml:space="preserve">eveniunt </w:t>
      </w:r>
      <w:r w:rsidRPr="00273106">
        <w:rPr>
          <w:i/>
          <w:szCs w:val="15"/>
        </w:rPr>
        <w:t xml:space="preserve">de </w:t>
      </w:r>
      <w:r w:rsidRPr="00273106">
        <w:rPr>
          <w:i/>
          <w:szCs w:val="12"/>
        </w:rPr>
        <w:t>necessitate</w:t>
      </w:r>
      <w:r>
        <w:rPr>
          <w:szCs w:val="12"/>
        </w:rPr>
        <w:t>)</w:t>
      </w:r>
      <w:r w:rsidRPr="00273106">
        <w:rPr>
          <w:szCs w:val="15"/>
        </w:rPr>
        <w:t>. Tezi o nutné determinaci dějů zavedl druhý averorismus tím, že radikálně změnil statut budoucích kontingentních událostí. Předešlá matrice objektivity ukázala, že Grossteteste připsal determinované logické hodnoty i neurčitým výpovědím o budoucnosti, jako je zítřejší námořní bitva</w:t>
      </w:r>
      <w:r>
        <w:rPr>
          <w:szCs w:val="15"/>
        </w:rPr>
        <w:fldChar w:fldCharType="begin"/>
      </w:r>
      <w:r>
        <w:instrText xml:space="preserve"> XE "</w:instrText>
      </w:r>
      <w:r w:rsidRPr="00AB0E2A">
        <w:instrText>námořní bitva</w:instrText>
      </w:r>
      <w:r>
        <w:instrText xml:space="preserve">" </w:instrText>
      </w:r>
      <w:r>
        <w:rPr>
          <w:szCs w:val="15"/>
        </w:rPr>
        <w:fldChar w:fldCharType="end"/>
      </w:r>
      <w:r w:rsidRPr="00273106">
        <w:rPr>
          <w:szCs w:val="15"/>
        </w:rPr>
        <w:t xml:space="preserve"> (</w:t>
      </w:r>
      <w:r w:rsidR="08DC350C">
        <w:rPr>
          <w:szCs w:val="15"/>
        </w:rPr>
        <w:t>OBJ II, kap. 3</w:t>
      </w:r>
      <w:r w:rsidRPr="00273106">
        <w:rPr>
          <w:szCs w:val="15"/>
        </w:rPr>
        <w:t xml:space="preserve">.1.2). Učinil tak proti liteře </w:t>
      </w:r>
      <w:r w:rsidRPr="00273106">
        <w:rPr>
          <w:i/>
          <w:szCs w:val="15"/>
        </w:rPr>
        <w:t>De Interpretatione</w:t>
      </w:r>
      <w:r w:rsidRPr="00273106">
        <w:rPr>
          <w:szCs w:val="15"/>
        </w:rPr>
        <w:t xml:space="preserve"> tím, že </w:t>
      </w:r>
      <w:r>
        <w:rPr>
          <w:szCs w:val="15"/>
        </w:rPr>
        <w:t xml:space="preserve">logiku </w:t>
      </w:r>
      <w:r w:rsidRPr="00273106">
        <w:rPr>
          <w:szCs w:val="15"/>
        </w:rPr>
        <w:t xml:space="preserve">navázal na učení avicennistické falsafy. </w:t>
      </w:r>
      <w:r w:rsidR="08DC350C">
        <w:rPr>
          <w:szCs w:val="15"/>
        </w:rPr>
        <w:t xml:space="preserve">První averroismus bránil v linii Abelarda a škol </w:t>
      </w:r>
      <w:r w:rsidR="08DC350C" w:rsidRPr="08DC350C">
        <w:rPr>
          <w:i/>
          <w:szCs w:val="15"/>
        </w:rPr>
        <w:t>logica Vetus</w:t>
      </w:r>
      <w:r w:rsidR="08DC350C">
        <w:rPr>
          <w:szCs w:val="15"/>
        </w:rPr>
        <w:t xml:space="preserve"> klasický smysl aristotelské predikace. Podle Aristotela a Abelarda neexistuje </w:t>
      </w:r>
      <w:r w:rsidR="00E257D4">
        <w:rPr>
          <w:szCs w:val="15"/>
        </w:rPr>
        <w:t>žádný reálný subjekt, k</w:t>
      </w:r>
      <w:r w:rsidR="009D122D">
        <w:rPr>
          <w:szCs w:val="15"/>
        </w:rPr>
        <w:t>terý</w:t>
      </w:r>
      <w:r w:rsidR="00E257D4">
        <w:rPr>
          <w:szCs w:val="15"/>
        </w:rPr>
        <w:t xml:space="preserve"> by </w:t>
      </w:r>
      <w:r w:rsidR="009D122D">
        <w:rPr>
          <w:szCs w:val="15"/>
        </w:rPr>
        <w:t xml:space="preserve">mohl založit výroky o </w:t>
      </w:r>
      <w:r w:rsidR="00E257D4">
        <w:rPr>
          <w:szCs w:val="15"/>
        </w:rPr>
        <w:t>budoucí</w:t>
      </w:r>
      <w:r w:rsidR="009D122D">
        <w:rPr>
          <w:szCs w:val="15"/>
        </w:rPr>
        <w:t>ch událostech</w:t>
      </w:r>
      <w:r w:rsidR="08DC350C">
        <w:rPr>
          <w:szCs w:val="15"/>
        </w:rPr>
        <w:t>, protože budoucnost je čistá potence.</w:t>
      </w:r>
      <w:r w:rsidR="08F833F9">
        <w:rPr>
          <w:rStyle w:val="Znakapoznpodarou"/>
        </w:rPr>
        <w:footnoteReference w:id="59"/>
      </w:r>
      <w:r w:rsidR="08DC350C">
        <w:rPr>
          <w:szCs w:val="15"/>
        </w:rPr>
        <w:t xml:space="preserve"> Proto také ne</w:t>
      </w:r>
      <w:r w:rsidR="00BC6B76">
        <w:rPr>
          <w:szCs w:val="15"/>
        </w:rPr>
        <w:t xml:space="preserve">ní dána žádná nutnost plynoucí </w:t>
      </w:r>
      <w:r w:rsidR="08DC350C">
        <w:rPr>
          <w:szCs w:val="15"/>
        </w:rPr>
        <w:t>z aktuální existence věcí, která meta</w:t>
      </w:r>
      <w:r w:rsidR="08325301">
        <w:rPr>
          <w:szCs w:val="15"/>
        </w:rPr>
        <w:t>fyzicky a kategoriálně zakládá</w:t>
      </w:r>
      <w:r w:rsidR="08DC350C">
        <w:rPr>
          <w:szCs w:val="15"/>
        </w:rPr>
        <w:t xml:space="preserve"> smysl pravdivé výpovědi</w:t>
      </w:r>
      <w:r w:rsidR="00BC6B76">
        <w:rPr>
          <w:szCs w:val="15"/>
        </w:rPr>
        <w:t xml:space="preserve"> na základě kore</w:t>
      </w:r>
      <w:r w:rsidR="00CB46E9">
        <w:rPr>
          <w:szCs w:val="15"/>
        </w:rPr>
        <w:t>k</w:t>
      </w:r>
      <w:r w:rsidR="00BC6B76">
        <w:rPr>
          <w:szCs w:val="15"/>
        </w:rPr>
        <w:t>tní impozice</w:t>
      </w:r>
      <w:r w:rsidR="08DC350C" w:rsidRPr="08F82A48">
        <w:rPr>
          <w:szCs w:val="24"/>
        </w:rPr>
        <w:t>.</w:t>
      </w:r>
      <w:r w:rsidR="08F833F9" w:rsidRPr="08F82A48">
        <w:rPr>
          <w:szCs w:val="24"/>
        </w:rPr>
        <w:t xml:space="preserve"> </w:t>
      </w:r>
      <w:r w:rsidRPr="00273106">
        <w:rPr>
          <w:szCs w:val="15"/>
        </w:rPr>
        <w:t xml:space="preserve">Logická determinace nové ontoteologie nebyla provedena na základě nutně dané </w:t>
      </w:r>
      <w:r>
        <w:rPr>
          <w:szCs w:val="15"/>
        </w:rPr>
        <w:t>neoplatonsk</w:t>
      </w:r>
      <w:r w:rsidRPr="00273106">
        <w:rPr>
          <w:szCs w:val="15"/>
        </w:rPr>
        <w:t>é emanace forem z jednoho kosmic</w:t>
      </w:r>
      <w:r>
        <w:rPr>
          <w:szCs w:val="15"/>
        </w:rPr>
        <w:t>kého Intelektu, ale na základě teologicky nutně</w:t>
      </w:r>
      <w:r w:rsidRPr="00273106">
        <w:rPr>
          <w:szCs w:val="15"/>
        </w:rPr>
        <w:t xml:space="preserve"> daného příchodu Antikrista</w:t>
      </w:r>
      <w:r>
        <w:rPr>
          <w:szCs w:val="15"/>
        </w:rPr>
        <w:fldChar w:fldCharType="begin"/>
      </w:r>
      <w:r>
        <w:instrText xml:space="preserve"> XE "</w:instrText>
      </w:r>
      <w:r w:rsidRPr="0096335E">
        <w:instrText>Antikrist</w:instrText>
      </w:r>
      <w:r>
        <w:instrText xml:space="preserve">" </w:instrText>
      </w:r>
      <w:r>
        <w:rPr>
          <w:szCs w:val="15"/>
        </w:rPr>
        <w:fldChar w:fldCharType="end"/>
      </w:r>
      <w:r w:rsidRPr="00273106">
        <w:rPr>
          <w:szCs w:val="15"/>
        </w:rPr>
        <w:t>. Této nepříjemné</w:t>
      </w:r>
      <w:r>
        <w:rPr>
          <w:szCs w:val="15"/>
        </w:rPr>
        <w:t xml:space="preserve">, leč logicky determinované budoucí kontingentní </w:t>
      </w:r>
      <w:r w:rsidRPr="00273106">
        <w:rPr>
          <w:szCs w:val="15"/>
        </w:rPr>
        <w:t>události se obával i Bonaventura v citované exegezi katastrofických znamení času</w:t>
      </w:r>
      <w:r>
        <w:rPr>
          <w:szCs w:val="15"/>
        </w:rPr>
        <w:t>, která podle něj už nastávala</w:t>
      </w:r>
      <w:r w:rsidRPr="00273106">
        <w:rPr>
          <w:szCs w:val="15"/>
        </w:rPr>
        <w:t>. Ohledně př</w:t>
      </w:r>
      <w:r>
        <w:rPr>
          <w:szCs w:val="15"/>
        </w:rPr>
        <w:t xml:space="preserve">íchodu Antikrista se v době </w:t>
      </w:r>
      <w:r w:rsidRPr="00273106">
        <w:rPr>
          <w:szCs w:val="15"/>
        </w:rPr>
        <w:t>prohraných křížových výprav</w:t>
      </w:r>
      <w:r>
        <w:rPr>
          <w:szCs w:val="15"/>
        </w:rPr>
        <w:fldChar w:fldCharType="begin"/>
      </w:r>
      <w:r>
        <w:instrText xml:space="preserve"> XE "</w:instrText>
      </w:r>
      <w:r w:rsidRPr="00607905">
        <w:rPr>
          <w:szCs w:val="15"/>
        </w:rPr>
        <w:instrText>křížové výpravy</w:instrText>
      </w:r>
      <w:r>
        <w:instrText xml:space="preserve">" </w:instrText>
      </w:r>
      <w:r>
        <w:rPr>
          <w:szCs w:val="15"/>
        </w:rPr>
        <w:fldChar w:fldCharType="end"/>
      </w:r>
      <w:r w:rsidRPr="00273106">
        <w:rPr>
          <w:szCs w:val="15"/>
        </w:rPr>
        <w:t xml:space="preserve"> nežertovalo a Bonaventura patřil k teologickým hvězdám tehdejší doby. Jeho apokalyptické varování o prohře rozumu na Pařížské univerzitě bylo třeba brát vážně.</w:t>
      </w:r>
      <w:r>
        <w:rPr>
          <w:szCs w:val="15"/>
        </w:rPr>
        <w:t xml:space="preserve"> Otázka možné nebo </w:t>
      </w:r>
      <w:r w:rsidR="001850B1">
        <w:rPr>
          <w:szCs w:val="15"/>
        </w:rPr>
        <w:t xml:space="preserve">reálné </w:t>
      </w:r>
      <w:r>
        <w:rPr>
          <w:szCs w:val="15"/>
        </w:rPr>
        <w:t xml:space="preserve">hereze na Pařížské univerzitě představovala skutečný problém pro zmatené církevní autority, kterým </w:t>
      </w:r>
      <w:r w:rsidR="0096310A">
        <w:rPr>
          <w:szCs w:val="15"/>
        </w:rPr>
        <w:t xml:space="preserve">rozhodně </w:t>
      </w:r>
      <w:r>
        <w:rPr>
          <w:szCs w:val="15"/>
        </w:rPr>
        <w:t>chyběl myslitelsk</w:t>
      </w:r>
      <w:r w:rsidR="00060A61">
        <w:rPr>
          <w:szCs w:val="15"/>
        </w:rPr>
        <w:t xml:space="preserve">ý velikán typu biskupa Alverna. </w:t>
      </w:r>
      <w:r w:rsidR="00060A61">
        <w:rPr>
          <w:szCs w:val="15"/>
        </w:rPr>
        <w:lastRenderedPageBreak/>
        <w:t xml:space="preserve">Ten by jednoduše řekl, že kvůli této herezi musel Grosseteste odejít z Pařížské university. On přece tuto modernistikou nauku založil chybným výkladem </w:t>
      </w:r>
      <w:r w:rsidR="00060A61" w:rsidRPr="00060A61">
        <w:rPr>
          <w:i/>
          <w:szCs w:val="15"/>
        </w:rPr>
        <w:t>Druhých Analytik</w:t>
      </w:r>
      <w:r w:rsidR="00060A61">
        <w:rPr>
          <w:szCs w:val="15"/>
        </w:rPr>
        <w:t xml:space="preserve"> okolo roku 1230</w:t>
      </w:r>
      <w:r w:rsidR="001850B1">
        <w:rPr>
          <w:szCs w:val="15"/>
        </w:rPr>
        <w:t xml:space="preserve">. </w:t>
      </w:r>
      <w:r w:rsidR="00C443C5">
        <w:rPr>
          <w:szCs w:val="15"/>
        </w:rPr>
        <w:t>Bonavent</w:t>
      </w:r>
      <w:r w:rsidR="001850B1">
        <w:rPr>
          <w:szCs w:val="15"/>
        </w:rPr>
        <w:t>ura pokračoval</w:t>
      </w:r>
      <w:r w:rsidR="00060A61">
        <w:rPr>
          <w:szCs w:val="15"/>
        </w:rPr>
        <w:t xml:space="preserve"> na této chybné cestě </w:t>
      </w:r>
      <w:r w:rsidR="001850B1">
        <w:rPr>
          <w:szCs w:val="15"/>
        </w:rPr>
        <w:t xml:space="preserve">zvané </w:t>
      </w:r>
      <w:r w:rsidR="00060A61" w:rsidRPr="00060A61">
        <w:rPr>
          <w:i/>
          <w:szCs w:val="15"/>
        </w:rPr>
        <w:t>via Modernorum</w:t>
      </w:r>
      <w:r w:rsidR="00060A61">
        <w:rPr>
          <w:szCs w:val="15"/>
        </w:rPr>
        <w:t>.</w:t>
      </w:r>
    </w:p>
    <w:p w:rsidR="00444C7D" w:rsidRDefault="08163013" w:rsidP="00E045C6">
      <w:pPr>
        <w:ind w:firstLine="397"/>
      </w:pPr>
      <w:r w:rsidRPr="00273106">
        <w:rPr>
          <w:szCs w:val="15"/>
        </w:rPr>
        <w:t xml:space="preserve">A stejně tak byla problematická i třetí obžaloba kázání o numerické jednotě intelektu. Hermeneutika ukázala, že šlo mimo jiné o sofistický výklad </w:t>
      </w:r>
      <w:r w:rsidR="007252F3">
        <w:rPr>
          <w:szCs w:val="15"/>
        </w:rPr>
        <w:t xml:space="preserve">CMDA </w:t>
      </w:r>
      <w:r w:rsidRPr="00273106">
        <w:rPr>
          <w:szCs w:val="15"/>
        </w:rPr>
        <w:t xml:space="preserve">samotného Bonaventury, který </w:t>
      </w:r>
      <w:r w:rsidR="007252F3">
        <w:rPr>
          <w:szCs w:val="15"/>
        </w:rPr>
        <w:t xml:space="preserve">tím </w:t>
      </w:r>
      <w:r w:rsidRPr="00273106">
        <w:rPr>
          <w:szCs w:val="15"/>
        </w:rPr>
        <w:t xml:space="preserve">radikalizoval Rufusovu kritiku </w:t>
      </w:r>
      <w:r>
        <w:rPr>
          <w:szCs w:val="15"/>
        </w:rPr>
        <w:t>Averroes</w:t>
      </w:r>
      <w:r w:rsidRPr="00273106">
        <w:rPr>
          <w:szCs w:val="15"/>
        </w:rPr>
        <w:t>e</w:t>
      </w:r>
      <w:r w:rsidR="08701D48">
        <w:rPr>
          <w:szCs w:val="15"/>
        </w:rPr>
        <w:t xml:space="preserve">. </w:t>
      </w:r>
      <w:r w:rsidR="00415979">
        <w:rPr>
          <w:szCs w:val="15"/>
        </w:rPr>
        <w:t>Moderní sofisté pochopili fatálně chybně v</w:t>
      </w:r>
      <w:r w:rsidR="0851320B">
        <w:rPr>
          <w:szCs w:val="15"/>
        </w:rPr>
        <w:t>ýklad dvou typů intelektu podle CMDA (</w:t>
      </w:r>
      <w:r w:rsidR="0851320B" w:rsidRPr="08701D48">
        <w:rPr>
          <w:i/>
          <w:szCs w:val="15"/>
        </w:rPr>
        <w:t xml:space="preserve">tertium, quartum </w:t>
      </w:r>
      <w:r w:rsidR="00962190">
        <w:rPr>
          <w:i/>
          <w:szCs w:val="15"/>
        </w:rPr>
        <w:t>genus</w:t>
      </w:r>
      <w:r w:rsidR="00415979">
        <w:rPr>
          <w:szCs w:val="15"/>
        </w:rPr>
        <w:t>)</w:t>
      </w:r>
      <w:r w:rsidR="0851320B">
        <w:rPr>
          <w:szCs w:val="15"/>
        </w:rPr>
        <w:t xml:space="preserve">. To věděli všichni skuteční aristotelikové tehdejší doby, na rozdíl od dnešní epochy. </w:t>
      </w:r>
      <w:r w:rsidR="0851320B">
        <w:t xml:space="preserve">Obvinění Bonaventury o numericky jednotném intelektu bylo sofisticky připsané Averroesovi, což byl zásadní omyl. Averroisty byli ve skutečnosti modernisté a svůj omyl projektovali v obranném mechanischmu </w:t>
      </w:r>
      <w:r w:rsidR="0851320B" w:rsidRPr="002E2A4D">
        <w:rPr>
          <w:i/>
        </w:rPr>
        <w:t>Ver</w:t>
      </w:r>
      <w:r w:rsidR="0851320B">
        <w:rPr>
          <w:i/>
        </w:rPr>
        <w:t>kehrung i</w:t>
      </w:r>
      <w:r w:rsidR="0851320B" w:rsidRPr="002E2A4D">
        <w:rPr>
          <w:i/>
        </w:rPr>
        <w:t>n</w:t>
      </w:r>
      <w:r w:rsidR="0851320B">
        <w:rPr>
          <w:i/>
        </w:rPr>
        <w:t>s</w:t>
      </w:r>
      <w:r w:rsidR="0851320B" w:rsidRPr="002E2A4D">
        <w:rPr>
          <w:i/>
        </w:rPr>
        <w:t xml:space="preserve"> Gege</w:t>
      </w:r>
      <w:r w:rsidR="0851320B">
        <w:rPr>
          <w:i/>
        </w:rPr>
        <w:t>n</w:t>
      </w:r>
      <w:r w:rsidR="0851320B" w:rsidRPr="002E2A4D">
        <w:rPr>
          <w:i/>
        </w:rPr>
        <w:t>teil</w:t>
      </w:r>
      <w:r w:rsidR="08C45F36">
        <w:rPr>
          <w:i/>
        </w:rPr>
        <w:fldChar w:fldCharType="begin"/>
      </w:r>
      <w:r w:rsidR="08C45F36">
        <w:instrText xml:space="preserve"> XE "</w:instrText>
      </w:r>
      <w:r w:rsidR="08C45F36" w:rsidRPr="08603A86">
        <w:rPr>
          <w:i/>
        </w:rPr>
        <w:instrText>Verkehrung ins Gegenteil</w:instrText>
      </w:r>
      <w:r w:rsidR="08C45F36">
        <w:instrText xml:space="preserve">" </w:instrText>
      </w:r>
      <w:r w:rsidR="08C45F36">
        <w:rPr>
          <w:i/>
        </w:rPr>
        <w:fldChar w:fldCharType="end"/>
      </w:r>
      <w:r w:rsidR="0851320B">
        <w:t xml:space="preserve"> do skutečných znalců Averroese na Rue de Fouarre. Útok </w:t>
      </w:r>
      <w:r w:rsidR="0851320B" w:rsidRPr="00273106">
        <w:t>svědčí</w:t>
      </w:r>
      <w:r w:rsidR="0851320B">
        <w:t xml:space="preserve"> o intelektuálním zmatku modernistů, kteří nepochopili učení </w:t>
      </w:r>
      <w:r w:rsidR="0851320B" w:rsidRPr="0821526F">
        <w:rPr>
          <w:i/>
        </w:rPr>
        <w:t>ad mentem Averrois</w:t>
      </w:r>
      <w:r w:rsidR="0851320B">
        <w:rPr>
          <w:i/>
        </w:rPr>
        <w:fldChar w:fldCharType="begin"/>
      </w:r>
      <w:r w:rsidR="0851320B">
        <w:instrText xml:space="preserve"> XE "</w:instrText>
      </w:r>
      <w:r w:rsidR="0851320B" w:rsidRPr="08CC34BF">
        <w:rPr>
          <w:i/>
        </w:rPr>
        <w:instrText>ad mentem Averrois</w:instrText>
      </w:r>
      <w:r w:rsidR="0851320B">
        <w:instrText xml:space="preserve">" </w:instrText>
      </w:r>
      <w:r w:rsidR="0851320B">
        <w:rPr>
          <w:i/>
        </w:rPr>
        <w:fldChar w:fldCharType="end"/>
      </w:r>
      <w:r w:rsidR="0851320B">
        <w:t xml:space="preserve"> hájené na pařížské artistické fakultě.</w:t>
      </w:r>
      <w:r w:rsidR="0851320B" w:rsidRPr="00273106">
        <w:t xml:space="preserve"> </w:t>
      </w:r>
      <w:r>
        <w:t xml:space="preserve">Tito artisté nemohli být sofisté a averroisté, protože tehdejší kolegium bylo složeno ze skutečných znalců Averroesovy filosofie. To se ale rychle změnilo po vynuceném odchodu brilantního aristotelika Sigera z Brabantu kolem 1275. </w:t>
      </w:r>
      <w:r>
        <w:rPr>
          <w:szCs w:val="15"/>
        </w:rPr>
        <w:t>Ú</w:t>
      </w:r>
      <w:r w:rsidRPr="00273106">
        <w:rPr>
          <w:szCs w:val="15"/>
        </w:rPr>
        <w:t>tok stoupenců druhého averroismu směřoval mimo jiné i proti nauce o jednotě individuálního intelektu hájené předním dominikánským magistrem z Kolína.</w:t>
      </w:r>
      <w:r w:rsidRPr="00273106">
        <w:t xml:space="preserve"> Albert Veliký po závěrečné redakci </w:t>
      </w:r>
      <w:r w:rsidRPr="00273106">
        <w:rPr>
          <w:i/>
        </w:rPr>
        <w:t>De unitate intellectus</w:t>
      </w:r>
      <w:r w:rsidRPr="00273106">
        <w:t xml:space="preserve"> (kolem 1263) ukončil dialog s představiteli </w:t>
      </w:r>
      <w:r w:rsidRPr="00273106">
        <w:rPr>
          <w:i/>
        </w:rPr>
        <w:t>Latinorum</w:t>
      </w:r>
      <w:r w:rsidRPr="00273106">
        <w:t xml:space="preserve"> v otázce výkladu intelektu a poznání. </w:t>
      </w:r>
      <w:r w:rsidR="00014849">
        <w:t xml:space="preserve">Albert </w:t>
      </w:r>
      <w:r w:rsidRPr="00273106">
        <w:t xml:space="preserve">odmítl akademicky diskutovat s latinskými sofisty a pozvání na Pařížskou univerzitu definitivně </w:t>
      </w:r>
      <w:r w:rsidR="082C2F20">
        <w:t xml:space="preserve">zamítl </w:t>
      </w:r>
      <w:r>
        <w:t xml:space="preserve">roku </w:t>
      </w:r>
      <w:r w:rsidRPr="00273106">
        <w:t>1269. K pařížskému sporu o jednotu intelektu vydává roku 1270 pouze krátké shrnutí svých argumentů, které podrobně hlásal již tři desetiletí (</w:t>
      </w:r>
      <w:r w:rsidRPr="00273106">
        <w:rPr>
          <w:i/>
        </w:rPr>
        <w:t>De XV problematibus</w:t>
      </w:r>
      <w:r w:rsidRPr="00273106">
        <w:t xml:space="preserve">). Proto je do hlavní </w:t>
      </w:r>
      <w:r w:rsidRPr="00273106">
        <w:rPr>
          <w:i/>
        </w:rPr>
        <w:t>alma mater</w:t>
      </w:r>
      <w:r w:rsidRPr="00273106">
        <w:t xml:space="preserve"> křesťanského Západu poslán Albertův nejlepší žák Tomáš Akvinský.</w:t>
      </w:r>
      <w:r>
        <w:t xml:space="preserve"> Známá studie o sporech kolem 1270 na Pařížské univerzitě velmi výstižně charakteruje toto období termínem „</w:t>
      </w:r>
      <w:r w:rsidRPr="00E677DF">
        <w:rPr>
          <w:i/>
        </w:rPr>
        <w:t>moment de 1270</w:t>
      </w:r>
      <w:r>
        <w:rPr>
          <w:i/>
        </w:rPr>
        <w:t>“</w:t>
      </w:r>
      <w:r>
        <w:t xml:space="preserve"> (Wéber 1976, 286).</w:t>
      </w:r>
      <w:r w:rsidRPr="00273106">
        <w:t xml:space="preserve"> </w:t>
      </w:r>
      <w:r>
        <w:t xml:space="preserve">Ale tato kapitola ukázala, že předtím již existoval kritický rok </w:t>
      </w:r>
      <w:r w:rsidRPr="084212A3">
        <w:t>1255</w:t>
      </w:r>
      <w:r>
        <w:rPr>
          <w:i/>
        </w:rPr>
        <w:t xml:space="preserve"> </w:t>
      </w:r>
      <w:r w:rsidRPr="084212A3">
        <w:t xml:space="preserve">a před ním </w:t>
      </w:r>
      <w:r>
        <w:t xml:space="preserve">stejně důležitý rok </w:t>
      </w:r>
      <w:r w:rsidRPr="084212A3">
        <w:t>1245</w:t>
      </w:r>
      <w:r>
        <w:t xml:space="preserve">. Tyto mezníky nemohou vidět objektivní mediavelisté, protože věří na fundamentálně danou objektivní univocitu všech tehdy diskutovaných konceptů. Rok 1255 ukázal vznik metafyziky </w:t>
      </w:r>
      <w:r w:rsidRPr="00B90651">
        <w:rPr>
          <w:i/>
        </w:rPr>
        <w:t>Modernorum</w:t>
      </w:r>
      <w:r>
        <w:t xml:space="preserve"> v její akademické podobě dané ve škole </w:t>
      </w:r>
      <w:r w:rsidRPr="08FF1E32">
        <w:rPr>
          <w:i/>
        </w:rPr>
        <w:t>Averroistae</w:t>
      </w:r>
      <w:r>
        <w:t xml:space="preserve">. Od tohoto data přestal na Pařížské univerzitě existovat společný význam základních metafyzických pojmů a tím nastal reálný historický zánik této křesťanské unvierzity. Na Oxfordské univerzitě </w:t>
      </w:r>
      <w:r>
        <w:lastRenderedPageBreak/>
        <w:t>po odchodu Grossetesteho (†1253) ovládané už po jednu generaci modernisty tento problém už</w:t>
      </w:r>
      <w:r w:rsidR="08AD5A87">
        <w:t xml:space="preserve"> ani nemohl vzniknout. Z</w:t>
      </w:r>
      <w:r>
        <w:t>dejší moderni</w:t>
      </w:r>
      <w:r w:rsidR="08E76890">
        <w:t>sté opatrovali Rufusovo simulákr</w:t>
      </w:r>
      <w:r>
        <w:t xml:space="preserve">um metafyziky a Bacon odešel do Paříže. </w:t>
      </w:r>
      <w:r w:rsidR="00E045C6" w:rsidRPr="00E045C6">
        <w:t xml:space="preserve">Pařížští mistři pod vedením rektora Guillelma de Sancto Amore nemohli jednoduše ignorovat plošné </w:t>
      </w:r>
      <w:r w:rsidR="00E045C6">
        <w:t>popírání učení, které založilo P</w:t>
      </w:r>
      <w:r w:rsidR="00E045C6" w:rsidRPr="00E045C6">
        <w:t>ařížskou univerzitu v dobách Blunda a Alverna.</w:t>
      </w:r>
      <w:r w:rsidR="00E045C6">
        <w:t xml:space="preserve"> </w:t>
      </w:r>
      <w:r>
        <w:rPr>
          <w:szCs w:val="19"/>
        </w:rPr>
        <w:t>Tito první západní intelektuálové a povoláním filosofové nekompromisně bránili pravdu kritického myšlení proti modernistům typu Bonaventury</w:t>
      </w:r>
      <w:r w:rsidR="082E280F">
        <w:rPr>
          <w:szCs w:val="19"/>
        </w:rPr>
        <w:t xml:space="preserve"> a Rufuse</w:t>
      </w:r>
      <w:r>
        <w:rPr>
          <w:szCs w:val="19"/>
        </w:rPr>
        <w:t xml:space="preserve">. A po odchodu </w:t>
      </w:r>
      <w:r>
        <w:t>Guillelma</w:t>
      </w:r>
      <w:r w:rsidRPr="00E735C5">
        <w:t xml:space="preserve"> </w:t>
      </w:r>
      <w:r>
        <w:t>zde začíná působit Siger z Brabantu, jehož hvězda zazář</w:t>
      </w:r>
      <w:r w:rsidR="00933568">
        <w:t xml:space="preserve">ila kolem roku 1265, kdy vydal </w:t>
      </w:r>
      <w:r>
        <w:t xml:space="preserve">brilantní komentář ke třetí knize </w:t>
      </w:r>
      <w:r w:rsidRPr="08947802">
        <w:rPr>
          <w:i/>
        </w:rPr>
        <w:t>De anima</w:t>
      </w:r>
      <w:r>
        <w:t xml:space="preserve">. </w:t>
      </w:r>
      <w:r w:rsidR="00431BCC">
        <w:t>S</w:t>
      </w:r>
      <w:r>
        <w:rPr>
          <w:szCs w:val="19"/>
        </w:rPr>
        <w:t xml:space="preserve">toupenci prvního averroismu museli odejít z univerzity kvůli mocenskému zásahu papežského dekretu v roce 1256. </w:t>
      </w:r>
      <w:r w:rsidRPr="00273106">
        <w:t>A od roku 1270</w:t>
      </w:r>
      <w:r>
        <w:fldChar w:fldCharType="begin"/>
      </w:r>
      <w:r>
        <w:instrText xml:space="preserve"> XE "</w:instrText>
      </w:r>
      <w:r w:rsidRPr="00E84506">
        <w:instrText>odsouzení 1270</w:instrText>
      </w:r>
      <w:r>
        <w:instrText xml:space="preserve">" </w:instrText>
      </w:r>
      <w:r>
        <w:fldChar w:fldCharType="end"/>
      </w:r>
      <w:r w:rsidRPr="00273106">
        <w:t xml:space="preserve"> vypuklo první kolo oficiáln</w:t>
      </w:r>
      <w:r>
        <w:t>ího sporu o averroismus dané prvním Tempierovým odsouzením 13 sporných článků</w:t>
      </w:r>
      <w:r w:rsidR="00966D8E">
        <w:rPr>
          <w:szCs w:val="24"/>
        </w:rPr>
        <w:t xml:space="preserve">. Další kolo bylo </w:t>
      </w:r>
      <w:r>
        <w:rPr>
          <w:szCs w:val="24"/>
        </w:rPr>
        <w:t xml:space="preserve">Etiennovo </w:t>
      </w:r>
      <w:r w:rsidRPr="00273106">
        <w:rPr>
          <w:szCs w:val="24"/>
        </w:rPr>
        <w:t>od</w:t>
      </w:r>
      <w:r>
        <w:rPr>
          <w:szCs w:val="24"/>
        </w:rPr>
        <w:t>souzení ze 7. 3. 1277 a Kilwardbyho verze v Oxfordu</w:t>
      </w:r>
      <w:r w:rsidR="00444C7D">
        <w:t>.</w:t>
      </w:r>
    </w:p>
    <w:p w:rsidR="00962C0D" w:rsidRDefault="08163013" w:rsidP="00962C0D">
      <w:r>
        <w:t>Posun od akademické rozpravy k ideologickému diskurzu je</w:t>
      </w:r>
      <w:r w:rsidRPr="00273106">
        <w:t xml:space="preserve"> naprosto zřejmý</w:t>
      </w:r>
      <w:r>
        <w:t xml:space="preserve"> a je daný akademickou likvidací obou arist</w:t>
      </w:r>
      <w:r w:rsidR="084C5029">
        <w:t xml:space="preserve">otelských rektorů. </w:t>
      </w:r>
      <w:r w:rsidR="008E2CA9" w:rsidRPr="009705D0">
        <w:t>Guillelmus de</w:t>
      </w:r>
      <w:r w:rsidR="008E2CA9">
        <w:t> </w:t>
      </w:r>
      <w:r w:rsidR="008E2CA9" w:rsidRPr="009705D0">
        <w:t>Sancto Amore</w:t>
      </w:r>
      <w:r w:rsidR="008E2CA9">
        <w:t xml:space="preserve"> a Siger z Brabantu h</w:t>
      </w:r>
      <w:r w:rsidR="084C5029">
        <w:t>ájili</w:t>
      </w:r>
      <w:r>
        <w:t xml:space="preserve"> křesťanský základ Pařížské univerzity daný adekvátním poznáním světa, osoby a boha podle </w:t>
      </w:r>
      <w:r w:rsidRPr="087D4DE9">
        <w:rPr>
          <w:i/>
        </w:rPr>
        <w:t>res gestae</w:t>
      </w:r>
      <w:r>
        <w:t xml:space="preserve"> Blundovy školy</w:t>
      </w:r>
      <w:r w:rsidRPr="00273106">
        <w:t>.</w:t>
      </w:r>
      <w:r>
        <w:t xml:space="preserve"> </w:t>
      </w:r>
      <w:r w:rsidR="084C5029">
        <w:t xml:space="preserve">Tato pravda sporu </w:t>
      </w:r>
      <w:r>
        <w:t>zmizel</w:t>
      </w:r>
      <w:r w:rsidR="084C5029">
        <w:t>a</w:t>
      </w:r>
      <w:r>
        <w:t xml:space="preserve"> a změnil</w:t>
      </w:r>
      <w:r w:rsidR="084C5029">
        <w:t>a</w:t>
      </w:r>
      <w:r>
        <w:t xml:space="preserve"> </w:t>
      </w:r>
      <w:r w:rsidR="00FB75C0">
        <w:t xml:space="preserve">se </w:t>
      </w:r>
      <w:r w:rsidR="084C5029">
        <w:t xml:space="preserve">na </w:t>
      </w:r>
      <w:r>
        <w:t xml:space="preserve">nepravdu moderny, která pod staletým vlivem akademických Fúrií nakonec přivodila zánik univerzity. Nedostižným znalcem múzické a </w:t>
      </w:r>
      <w:r w:rsidR="08423988">
        <w:t xml:space="preserve">pythické </w:t>
      </w:r>
      <w:r w:rsidRPr="08500C55">
        <w:rPr>
          <w:i/>
        </w:rPr>
        <w:t>a/léth</w:t>
      </w:r>
      <w:r>
        <w:rPr>
          <w:i/>
        </w:rPr>
        <w:t>e</w:t>
      </w:r>
      <w:r w:rsidRPr="08500C55">
        <w:rPr>
          <w:i/>
        </w:rPr>
        <w:t>ia</w:t>
      </w:r>
      <w:r>
        <w:t xml:space="preserve"> byl </w:t>
      </w:r>
      <w:r w:rsidRPr="00273106">
        <w:t>Hérakleitos z Efezu</w:t>
      </w:r>
      <w:r>
        <w:t>.</w:t>
      </w:r>
      <w:r w:rsidR="00A06069">
        <w:rPr>
          <w:rStyle w:val="Znakapoznpodarou"/>
        </w:rPr>
        <w:footnoteReference w:id="60"/>
      </w:r>
      <w:r w:rsidRPr="08167BEC">
        <w:t xml:space="preserve"> </w:t>
      </w:r>
      <w:r>
        <w:t>Jeho známý výrok</w:t>
      </w:r>
      <w:r w:rsidRPr="08167BEC">
        <w:t xml:space="preserve"> </w:t>
      </w:r>
      <w:r>
        <w:t>o infantilních Efezanech se vztahuje i na opakovaný moment let 1255 a 1270 završený vyhnáním nejlepších aristoteliků a následným rozpadem Pařížské univerzity. P</w:t>
      </w:r>
      <w:r w:rsidRPr="00273106">
        <w:t xml:space="preserve">rohlášení artistických magistrů Pařížské univerzity z 1. 4. 1272 </w:t>
      </w:r>
      <w:r>
        <w:fldChar w:fldCharType="begin"/>
      </w:r>
      <w:r>
        <w:instrText xml:space="preserve"> XE "</w:instrText>
      </w:r>
      <w:r w:rsidRPr="00FD37CA">
        <w:instrText>dekret artistů 1272</w:instrText>
      </w:r>
      <w:r>
        <w:instrText xml:space="preserve">" </w:instrText>
      </w:r>
      <w:r>
        <w:fldChar w:fldCharType="end"/>
      </w:r>
      <w:r>
        <w:t>jednoznačně vyšlo vstříc požadavkům pařížského biskupa z roku 1270. Důležitá je hlavní věta prohlášení 1272</w:t>
      </w:r>
      <w:r>
        <w:fldChar w:fldCharType="begin"/>
      </w:r>
      <w:r>
        <w:instrText xml:space="preserve"> XE "</w:instrText>
      </w:r>
      <w:r w:rsidRPr="00FD37CA">
        <w:instrText>dekret artistů 1272</w:instrText>
      </w:r>
      <w:r>
        <w:instrText xml:space="preserve">" </w:instrText>
      </w:r>
      <w:r>
        <w:fldChar w:fldCharType="end"/>
      </w:r>
      <w:r>
        <w:t>, kterou</w:t>
      </w:r>
      <w:r w:rsidRPr="00273106">
        <w:t xml:space="preserve"> </w:t>
      </w:r>
      <w:r>
        <w:t xml:space="preserve">magistři </w:t>
      </w:r>
      <w:r w:rsidRPr="00273106">
        <w:t>adresovali sobě i studentům</w:t>
      </w:r>
      <w:r>
        <w:t>.</w:t>
      </w:r>
      <w:r w:rsidR="086E4298" w:rsidRPr="00273106">
        <w:rPr>
          <w:rStyle w:val="Znakapoznpodarou"/>
          <w:szCs w:val="24"/>
        </w:rPr>
        <w:footnoteReference w:id="61"/>
      </w:r>
      <w:r>
        <w:t xml:space="preserve"> Jasné linie dané racionálním aristotelským diskurzem zakládajícím vědecké </w:t>
      </w:r>
      <w:r w:rsidRPr="00070F90">
        <w:rPr>
          <w:i/>
        </w:rPr>
        <w:t>demonstratio</w:t>
      </w:r>
      <w:r>
        <w:rPr>
          <w:i/>
        </w:rPr>
        <w:fldChar w:fldCharType="begin"/>
      </w:r>
      <w:r>
        <w:instrText xml:space="preserve"> XE "</w:instrText>
      </w:r>
      <w:r w:rsidRPr="004E6075">
        <w:rPr>
          <w:i/>
        </w:rPr>
        <w:instrText>demonstratio:</w:instrText>
      </w:r>
      <w:r w:rsidRPr="002E05A1">
        <w:instrText>první averroismus</w:instrText>
      </w:r>
      <w:r>
        <w:instrText xml:space="preserve">" </w:instrText>
      </w:r>
      <w:r>
        <w:rPr>
          <w:i/>
        </w:rPr>
        <w:fldChar w:fldCharType="end"/>
      </w:r>
      <w:r>
        <w:t xml:space="preserve"> nesmí být překročeny </w:t>
      </w:r>
      <w:r w:rsidRPr="00273106">
        <w:t>(</w:t>
      </w:r>
      <w:r w:rsidRPr="00273106">
        <w:rPr>
          <w:i/>
        </w:rPr>
        <w:t xml:space="preserve">tanquam sibi </w:t>
      </w:r>
      <w:r w:rsidRPr="00273106">
        <w:rPr>
          <w:i/>
        </w:rPr>
        <w:lastRenderedPageBreak/>
        <w:t>determinatos limites transgrediens</w:t>
      </w:r>
      <w:r w:rsidRPr="00273106">
        <w:t>).</w:t>
      </w:r>
      <w:r>
        <w:t xml:space="preserve"> </w:t>
      </w:r>
      <w:r w:rsidR="0023446C">
        <w:t xml:space="preserve">Hledání pravdy je jinak dané </w:t>
      </w:r>
      <w:r w:rsidR="0023446C" w:rsidRPr="00273106">
        <w:t xml:space="preserve">pro filosofii a </w:t>
      </w:r>
      <w:r w:rsidR="0023446C">
        <w:t>jinak pro teologii, protože obě vědy se liší genericky odlišenou kauzalitou predikovanou ve středním členu soudu</w:t>
      </w:r>
      <w:r w:rsidR="0023446C">
        <w:fldChar w:fldCharType="begin"/>
      </w:r>
      <w:r w:rsidR="0023446C">
        <w:instrText xml:space="preserve"> XE "</w:instrText>
      </w:r>
      <w:r w:rsidR="0023446C" w:rsidRPr="00E80055">
        <w:instrText>teorie dvojí pravdy</w:instrText>
      </w:r>
      <w:r w:rsidR="0023446C">
        <w:instrText xml:space="preserve">" </w:instrText>
      </w:r>
      <w:r w:rsidR="0023446C">
        <w:fldChar w:fldCharType="end"/>
      </w:r>
      <w:r w:rsidR="0023446C">
        <w:t xml:space="preserve">. </w:t>
      </w:r>
      <w:r>
        <w:rPr>
          <w:rStyle w:val="TextpoznpodarouChar"/>
        </w:rPr>
        <w:t xml:space="preserve">Artisté z Rue du Fouarre vedení velikány prvního averroismu </w:t>
      </w:r>
      <w:r w:rsidRPr="00273106">
        <w:rPr>
          <w:rStyle w:val="TextpoznpodarouChar"/>
        </w:rPr>
        <w:t xml:space="preserve">jasně </w:t>
      </w:r>
      <w:r>
        <w:rPr>
          <w:rStyle w:val="TextpoznpodarouChar"/>
        </w:rPr>
        <w:t xml:space="preserve">stanovili </w:t>
      </w:r>
      <w:r>
        <w:t>dvě oddělené linie a oddělili rody zkoumání zakládající univocitu kritické vědecké rozpravy.</w:t>
      </w:r>
      <w:r w:rsidRPr="00273106">
        <w:t xml:space="preserve"> </w:t>
      </w:r>
      <w:r>
        <w:t>Sekulární m</w:t>
      </w:r>
      <w:r w:rsidRPr="00273106">
        <w:t>agistři</w:t>
      </w:r>
      <w:r>
        <w:t xml:space="preserve"> </w:t>
      </w:r>
      <w:r w:rsidRPr="00273106">
        <w:t>pod vlivem Sigera z Brabantu</w:t>
      </w:r>
      <w:r>
        <w:t xml:space="preserve"> a dalších zastánců prvního averroismu </w:t>
      </w:r>
      <w:r w:rsidRPr="00273106">
        <w:t xml:space="preserve">trvali </w:t>
      </w:r>
      <w:r>
        <w:t xml:space="preserve">v prohlášení </w:t>
      </w:r>
      <w:r w:rsidR="00F35FA0">
        <w:t>1272</w:t>
      </w:r>
      <w:r>
        <w:fldChar w:fldCharType="begin"/>
      </w:r>
      <w:r>
        <w:instrText xml:space="preserve"> XE "</w:instrText>
      </w:r>
      <w:r w:rsidRPr="00FD37CA">
        <w:instrText>dekret artistů 1272</w:instrText>
      </w:r>
      <w:r>
        <w:instrText xml:space="preserve">" </w:instrText>
      </w:r>
      <w:r>
        <w:fldChar w:fldCharType="end"/>
      </w:r>
      <w:r w:rsidR="00F35FA0">
        <w:t xml:space="preserve"> </w:t>
      </w:r>
      <w:r w:rsidRPr="00273106">
        <w:t xml:space="preserve">na tezi </w:t>
      </w:r>
      <w:r w:rsidRPr="008B0050">
        <w:rPr>
          <w:i/>
        </w:rPr>
        <w:t>Druhých analytik</w:t>
      </w:r>
      <w:r>
        <w:t xml:space="preserve"> </w:t>
      </w:r>
      <w:r w:rsidRPr="00273106">
        <w:t>o nemožnosti přechodu z jednoho rodu na druhý</w:t>
      </w:r>
      <w:r>
        <w:t xml:space="preserve"> </w:t>
      </w:r>
      <w:r w:rsidRPr="00273106">
        <w:t>(</w:t>
      </w:r>
      <w:r w:rsidRPr="00273106">
        <w:rPr>
          <w:i/>
        </w:rPr>
        <w:t>Anal. Post</w:t>
      </w:r>
      <w:r w:rsidRPr="00273106">
        <w:t xml:space="preserve">. </w:t>
      </w:r>
      <w:r w:rsidRPr="00273106">
        <w:rPr>
          <w:rStyle w:val="TextpoznpodarouChar"/>
        </w:rPr>
        <w:t>75a38</w:t>
      </w:r>
      <w:r>
        <w:rPr>
          <w:rStyle w:val="TextpoznpodarouChar"/>
        </w:rPr>
        <w:fldChar w:fldCharType="begin"/>
      </w:r>
      <w:r>
        <w:instrText xml:space="preserve"> XE "Aristoteles:</w:instrText>
      </w:r>
      <w:r w:rsidRPr="00804948">
        <w:rPr>
          <w:i/>
        </w:rPr>
        <w:instrText>Anal. Post</w:instrText>
      </w:r>
      <w:r w:rsidRPr="00804948">
        <w:instrText xml:space="preserve">. </w:instrText>
      </w:r>
      <w:r w:rsidRPr="00804948">
        <w:rPr>
          <w:rStyle w:val="TextpoznpodarouChar"/>
        </w:rPr>
        <w:instrText>75a38</w:instrText>
      </w:r>
      <w:r>
        <w:instrText xml:space="preserve">" </w:instrText>
      </w:r>
      <w:r>
        <w:rPr>
          <w:rStyle w:val="TextpoznpodarouChar"/>
        </w:rPr>
        <w:fldChar w:fldCharType="end"/>
      </w:r>
      <w:r w:rsidRPr="00273106">
        <w:rPr>
          <w:rStyle w:val="TextpoznpodarouChar"/>
        </w:rPr>
        <w:t>)</w:t>
      </w:r>
      <w:r>
        <w:rPr>
          <w:rStyle w:val="TextpoznpodarouChar"/>
        </w:rPr>
        <w:t xml:space="preserve">. </w:t>
      </w:r>
      <w:r>
        <w:t xml:space="preserve">Tuto tezi </w:t>
      </w:r>
      <w:r w:rsidRPr="007A6D3E">
        <w:rPr>
          <w:i/>
        </w:rPr>
        <w:t>Druhých analytik</w:t>
      </w:r>
      <w:r w:rsidRPr="00273106">
        <w:t xml:space="preserve"> </w:t>
      </w:r>
      <w:r>
        <w:t xml:space="preserve">obhajovalo prohlášení přímou </w:t>
      </w:r>
      <w:r w:rsidRPr="00273106">
        <w:t xml:space="preserve">narážkou na </w:t>
      </w:r>
      <w:r>
        <w:t xml:space="preserve">citovaný </w:t>
      </w:r>
      <w:r w:rsidRPr="00273106">
        <w:t>text (</w:t>
      </w:r>
      <w:r w:rsidRPr="00273106">
        <w:rPr>
          <w:i/>
        </w:rPr>
        <w:t>sicut dicit philosophus non geometram cum geometra sit penitus inconveniens disputare</w:t>
      </w:r>
      <w:r w:rsidRPr="00273106">
        <w:t>).</w:t>
      </w:r>
      <w:r>
        <w:t xml:space="preserve"> Toto vynikající prohlášení dané v modu aristotelské sekularizace</w:t>
      </w:r>
      <w:r>
        <w:fldChar w:fldCharType="begin"/>
      </w:r>
      <w:r>
        <w:instrText xml:space="preserve"> XE "</w:instrText>
      </w:r>
      <w:r w:rsidRPr="083F0953">
        <w:instrText>sekularizace</w:instrText>
      </w:r>
      <w:r>
        <w:instrText xml:space="preserve">" </w:instrText>
      </w:r>
      <w:r>
        <w:fldChar w:fldCharType="end"/>
      </w:r>
      <w:r>
        <w:t xml:space="preserve"> hájilo nikoliv teorii dvou pravd, ale dvou metod vedoucích k poznání jedné pravdy. Nemůže to být jinak, protože v modu adekvace poznáváme realitu kauzálně daného světa a boha jako první kauzy. </w:t>
      </w:r>
      <w:r>
        <w:rPr>
          <w:rStyle w:val="TextpoznpodarouChar"/>
        </w:rPr>
        <w:t xml:space="preserve">Představitelé univerzálního hylemorfismu založeného na </w:t>
      </w:r>
      <w:r w:rsidRPr="003C0385">
        <w:rPr>
          <w:rStyle w:val="TextpoznpodarouChar"/>
          <w:i/>
        </w:rPr>
        <w:t xml:space="preserve">Oxfordian Fallacy </w:t>
      </w:r>
      <w:r>
        <w:rPr>
          <w:rStyle w:val="TextpoznpodarouChar"/>
        </w:rPr>
        <w:t xml:space="preserve">naopak hájili zcela moderní pojetí jedné pravdy mytopoeticky </w:t>
      </w:r>
      <w:r w:rsidRPr="001B2668">
        <w:rPr>
          <w:rStyle w:val="TextpoznpodarouChar"/>
        </w:rPr>
        <w:t xml:space="preserve">dané v rámci první ontoteologické </w:t>
      </w:r>
      <w:r>
        <w:rPr>
          <w:rStyle w:val="TextpoznpodarouChar"/>
        </w:rPr>
        <w:t xml:space="preserve">a analytické </w:t>
      </w:r>
      <w:r w:rsidRPr="001B2668">
        <w:rPr>
          <w:rStyle w:val="TextpoznpodarouChar"/>
        </w:rPr>
        <w:t xml:space="preserve">formy </w:t>
      </w:r>
      <w:r>
        <w:rPr>
          <w:rStyle w:val="TextpoznpodarouChar"/>
        </w:rPr>
        <w:t xml:space="preserve">dnes známé </w:t>
      </w:r>
      <w:r w:rsidRPr="001B2668">
        <w:rPr>
          <w:rStyle w:val="TextpoznpodarouChar"/>
          <w:i/>
        </w:rPr>
        <w:t>Unified Science</w:t>
      </w:r>
      <w:r w:rsidRPr="001B2668">
        <w:rPr>
          <w:rStyle w:val="TextpoznpodarouChar"/>
        </w:rPr>
        <w:fldChar w:fldCharType="begin"/>
      </w:r>
      <w:r w:rsidRPr="001B2668">
        <w:instrText xml:space="preserve"> XE "</w:instrText>
      </w:r>
      <w:r w:rsidRPr="0864291B">
        <w:rPr>
          <w:rStyle w:val="TextpoznpodarouChar"/>
          <w:i/>
        </w:rPr>
        <w:instrText>Unified Science</w:instrText>
      </w:r>
      <w:r w:rsidRPr="001B2668">
        <w:instrText xml:space="preserve">" </w:instrText>
      </w:r>
      <w:r w:rsidRPr="001B2668">
        <w:rPr>
          <w:rStyle w:val="TextpoznpodarouChar"/>
        </w:rPr>
        <w:fldChar w:fldCharType="end"/>
      </w:r>
      <w:r w:rsidRPr="001B2668">
        <w:rPr>
          <w:rStyle w:val="TextpoznpodarouChar"/>
        </w:rPr>
        <w:t>.</w:t>
      </w:r>
      <w:r>
        <w:rPr>
          <w:rStyle w:val="TextpoznpodarouChar"/>
        </w:rPr>
        <w:t xml:space="preserve"> Zničením sekulárních magistrů na Rue du Fouarre vznikl proces moderní </w:t>
      </w:r>
      <w:r w:rsidR="00BB2F2F">
        <w:rPr>
          <w:rStyle w:val="TextpoznpodarouChar"/>
        </w:rPr>
        <w:t xml:space="preserve">(ale ne pravdivé) </w:t>
      </w:r>
      <w:r>
        <w:rPr>
          <w:rStyle w:val="TextpoznpodarouChar"/>
        </w:rPr>
        <w:t>sekularizace. Ten vedl k zániku Pařížské univerzity zahájené pod egidou modernistů a dokonané v revoluční postmoderně. Stejný proces pochopitelně vedl i ke smrti boha</w:t>
      </w:r>
      <w:r>
        <w:rPr>
          <w:rStyle w:val="TextpoznpodarouChar"/>
        </w:rPr>
        <w:fldChar w:fldCharType="begin"/>
      </w:r>
      <w:r>
        <w:instrText xml:space="preserve"> XE "</w:instrText>
      </w:r>
      <w:r w:rsidRPr="081C5920">
        <w:rPr>
          <w:rStyle w:val="TextpoznpodarouChar"/>
        </w:rPr>
        <w:instrText>smrt boha</w:instrText>
      </w:r>
      <w:r>
        <w:instrText xml:space="preserve">" </w:instrText>
      </w:r>
      <w:r>
        <w:rPr>
          <w:rStyle w:val="TextpoznpodarouChar"/>
        </w:rPr>
        <w:fldChar w:fldCharType="end"/>
      </w:r>
      <w:r>
        <w:rPr>
          <w:rStyle w:val="TextpoznpodarouChar"/>
        </w:rPr>
        <w:t xml:space="preserve"> </w:t>
      </w:r>
      <w:r w:rsidRPr="08E2117B">
        <w:rPr>
          <w:rStyle w:val="TextpoznpodarouChar"/>
          <w:i/>
        </w:rPr>
        <w:t>Modernorum</w:t>
      </w:r>
      <w:r>
        <w:rPr>
          <w:rStyle w:val="TextpoznpodarouChar"/>
        </w:rPr>
        <w:t xml:space="preserve">. </w:t>
      </w:r>
      <w:r>
        <w:t>Hermeneutika dává plně za pravdu Gauthierovi, který odmítá teorii, že dekret artistů 1272 inspirovala strana nepřátelská k Sigerovi.</w:t>
      </w:r>
      <w:r>
        <w:rPr>
          <w:rStyle w:val="Znakapoznpodarou"/>
          <w:szCs w:val="24"/>
        </w:rPr>
        <w:footnoteReference w:id="62"/>
      </w:r>
      <w:r>
        <w:t xml:space="preserve"> </w:t>
      </w:r>
      <w:r w:rsidR="080F5D6E">
        <w:t>Ve skutečnosti to bylo přesně opačně. Tento dekret vydali magistři prvního averroismu (</w:t>
      </w:r>
      <w:r w:rsidR="080F5D6E" w:rsidRPr="080F5D6E">
        <w:rPr>
          <w:i/>
        </w:rPr>
        <w:t>pars Sigeri</w:t>
      </w:r>
      <w:r w:rsidR="080F5D6E">
        <w:t xml:space="preserve">) a tím vyhlásili válku modernistům na mendikantské fakultě. </w:t>
      </w:r>
      <w:r>
        <w:t xml:space="preserve">Hermeneutika objektivity vidí první kolo sporu obou výkladů averroismu jako zásadní spor o status vědeckého poznání mezi aristoteliky a prvními zástupci moderny. Proto vystoupil Bacon proti Bonaventurovi v díle </w:t>
      </w:r>
      <w:r w:rsidRPr="000B1A53">
        <w:rPr>
          <w:i/>
        </w:rPr>
        <w:t>Opus minus</w:t>
      </w:r>
      <w:r>
        <w:t xml:space="preserve">, </w:t>
      </w:r>
      <w:r w:rsidR="002E2DDA">
        <w:t xml:space="preserve">v němž </w:t>
      </w:r>
      <w:r>
        <w:t>bránil autonomii obou věd (</w:t>
      </w:r>
      <w:r w:rsidR="080D10CD">
        <w:t>OBJ II, kap. 3</w:t>
      </w:r>
      <w:r w:rsidRPr="00273106">
        <w:t>.4.3</w:t>
      </w:r>
      <w:r>
        <w:t xml:space="preserve">). Protože vyhrála pravda sofistické a dogmatické moderny, tak nutně prohrála pravda vědeckého dokazování podaná ve </w:t>
      </w:r>
      <w:r w:rsidRPr="00150CC6">
        <w:rPr>
          <w:i/>
        </w:rPr>
        <w:t>Druhých analytikách</w:t>
      </w:r>
      <w:r>
        <w:fldChar w:fldCharType="begin"/>
      </w:r>
      <w:r>
        <w:instrText xml:space="preserve"> XE "zatmění</w:instrText>
      </w:r>
      <w:r w:rsidRPr="082526E0">
        <w:rPr>
          <w:i/>
        </w:rPr>
        <w:instrText>:Druhé analytiky</w:instrText>
      </w:r>
      <w:r>
        <w:instrText xml:space="preserve">" </w:instrText>
      </w:r>
      <w:r>
        <w:fldChar w:fldCharType="end"/>
      </w:r>
      <w:r>
        <w:t xml:space="preserve">. </w:t>
      </w:r>
      <w:r>
        <w:rPr>
          <w:bCs/>
          <w:iCs/>
        </w:rPr>
        <w:t xml:space="preserve">Rufusovo pionýrské dílo </w:t>
      </w:r>
      <w:r w:rsidRPr="00997F4D">
        <w:rPr>
          <w:bCs/>
          <w:i/>
          <w:iCs/>
        </w:rPr>
        <w:t>Speculum animae</w:t>
      </w:r>
      <w:r>
        <w:rPr>
          <w:bCs/>
          <w:iCs/>
        </w:rPr>
        <w:t xml:space="preserve"> dalo moderně</w:t>
      </w:r>
      <w:r w:rsidRPr="00997F4D">
        <w:rPr>
          <w:bCs/>
          <w:i/>
          <w:iCs/>
        </w:rPr>
        <w:t xml:space="preserve"> </w:t>
      </w:r>
      <w:r>
        <w:rPr>
          <w:bCs/>
          <w:iCs/>
        </w:rPr>
        <w:t xml:space="preserve">základní schéma zrcadlení směrem od subjektu, z něhož se později stane karteziánské </w:t>
      </w:r>
      <w:r w:rsidRPr="00607B76">
        <w:rPr>
          <w:bCs/>
          <w:i/>
          <w:iCs/>
        </w:rPr>
        <w:t>cogito</w:t>
      </w:r>
      <w:r>
        <w:rPr>
          <w:bCs/>
          <w:iCs/>
        </w:rPr>
        <w:t xml:space="preserve">. </w:t>
      </w:r>
      <w:r>
        <w:t>Dnešní n</w:t>
      </w:r>
      <w:r>
        <w:rPr>
          <w:bCs/>
          <w:iCs/>
        </w:rPr>
        <w:t xml:space="preserve">ihilistická fáze metafyziky ukazuje zrcadlení vůči struktuře </w:t>
      </w:r>
      <w:r>
        <w:rPr>
          <w:bCs/>
          <w:iCs/>
        </w:rPr>
        <w:lastRenderedPageBreak/>
        <w:t>dané hrou významových diferencí (Foucault) nebo v rámci jazykové hry dané hrou metafor (</w:t>
      </w:r>
      <w:r w:rsidR="080D10CD">
        <w:rPr>
          <w:bCs/>
          <w:iCs/>
        </w:rPr>
        <w:t xml:space="preserve">Derrida, </w:t>
      </w:r>
      <w:r>
        <w:rPr>
          <w:bCs/>
          <w:iCs/>
        </w:rPr>
        <w:t>Rorty</w:t>
      </w:r>
      <w:r>
        <w:rPr>
          <w:bCs/>
          <w:iCs/>
        </w:rPr>
        <w:fldChar w:fldCharType="begin"/>
      </w:r>
      <w:r>
        <w:instrText xml:space="preserve"> XE "</w:instrText>
      </w:r>
      <w:r w:rsidRPr="00B2344C">
        <w:instrText>Rorty, R.</w:instrText>
      </w:r>
      <w:r>
        <w:instrText xml:space="preserve">" </w:instrText>
      </w:r>
      <w:r>
        <w:rPr>
          <w:bCs/>
          <w:iCs/>
        </w:rPr>
        <w:fldChar w:fldCharType="end"/>
      </w:r>
      <w:r>
        <w:rPr>
          <w:bCs/>
          <w:iCs/>
        </w:rPr>
        <w:t>). Nová vlna nihilismu chápe pravdu-</w:t>
      </w:r>
      <w:r w:rsidRPr="00D9585E">
        <w:rPr>
          <w:bCs/>
          <w:i/>
          <w:iCs/>
        </w:rPr>
        <w:t>rectitudo</w:t>
      </w:r>
      <w:r>
        <w:rPr>
          <w:bCs/>
          <w:iCs/>
        </w:rPr>
        <w:t xml:space="preserve"> skrze mýtus nové </w:t>
      </w:r>
      <w:r>
        <w:rPr>
          <w:bCs/>
          <w:i/>
          <w:iCs/>
        </w:rPr>
        <w:t>mathesis univers</w:t>
      </w:r>
      <w:r w:rsidRPr="00997F4D">
        <w:rPr>
          <w:bCs/>
          <w:i/>
          <w:iCs/>
        </w:rPr>
        <w:t>a</w:t>
      </w:r>
      <w:r>
        <w:rPr>
          <w:bCs/>
          <w:i/>
          <w:iCs/>
        </w:rPr>
        <w:t>l</w:t>
      </w:r>
      <w:r w:rsidRPr="00997F4D">
        <w:rPr>
          <w:bCs/>
          <w:i/>
          <w:iCs/>
        </w:rPr>
        <w:t>is</w:t>
      </w:r>
      <w:r>
        <w:rPr>
          <w:bCs/>
          <w:i/>
          <w:iCs/>
        </w:rPr>
        <w:fldChar w:fldCharType="begin"/>
      </w:r>
      <w:r>
        <w:instrText xml:space="preserve"> XE "</w:instrText>
      </w:r>
      <w:r w:rsidRPr="00212B09">
        <w:rPr>
          <w:i/>
        </w:rPr>
        <w:instrText>mathesis universalis</w:instrText>
      </w:r>
      <w:r>
        <w:instrText xml:space="preserve">" </w:instrText>
      </w:r>
      <w:r>
        <w:rPr>
          <w:bCs/>
          <w:i/>
          <w:iCs/>
        </w:rPr>
        <w:fldChar w:fldCharType="end"/>
      </w:r>
      <w:r>
        <w:rPr>
          <w:bCs/>
          <w:iCs/>
        </w:rPr>
        <w:t xml:space="preserve"> dané ve filosofii jazyka, kterou Foucaultovo</w:t>
      </w:r>
      <w:r>
        <w:rPr>
          <w:bCs/>
          <w:iCs/>
        </w:rPr>
        <w:fldChar w:fldCharType="begin"/>
      </w:r>
      <w:r>
        <w:instrText xml:space="preserve"> XE "</w:instrText>
      </w:r>
      <w:r w:rsidRPr="000E387F">
        <w:instrText>Foucault, M.</w:instrText>
      </w:r>
      <w:r>
        <w:instrText xml:space="preserve">" </w:instrText>
      </w:r>
      <w:r>
        <w:rPr>
          <w:bCs/>
          <w:iCs/>
        </w:rPr>
        <w:fldChar w:fldCharType="end"/>
      </w:r>
      <w:r>
        <w:rPr>
          <w:bCs/>
          <w:iCs/>
        </w:rPr>
        <w:t xml:space="preserve"> dílo </w:t>
      </w:r>
      <w:r w:rsidRPr="00E249B4">
        <w:rPr>
          <w:bCs/>
          <w:i/>
          <w:iCs/>
        </w:rPr>
        <w:t>Les mots et les choses</w:t>
      </w:r>
      <w:r>
        <w:rPr>
          <w:bCs/>
          <w:iCs/>
        </w:rPr>
        <w:t xml:space="preserve"> vidělo jako jednu ze třech forem produkce novověké </w:t>
      </w:r>
      <w:r w:rsidRPr="009C58EA">
        <w:rPr>
          <w:bCs/>
          <w:i/>
          <w:iCs/>
        </w:rPr>
        <w:t>epistémé</w:t>
      </w:r>
      <w:r>
        <w:rPr>
          <w:bCs/>
          <w:i/>
          <w:iCs/>
        </w:rPr>
        <w:fldChar w:fldCharType="begin"/>
      </w:r>
      <w:r>
        <w:instrText xml:space="preserve"> XE "</w:instrText>
      </w:r>
      <w:r w:rsidRPr="008578BD">
        <w:rPr>
          <w:bCs/>
          <w:i/>
          <w:iCs/>
        </w:rPr>
        <w:instrText>epistémé</w:instrText>
      </w:r>
      <w:r>
        <w:instrText xml:space="preserve">" </w:instrText>
      </w:r>
      <w:r>
        <w:rPr>
          <w:bCs/>
          <w:i/>
          <w:iCs/>
        </w:rPr>
        <w:fldChar w:fldCharType="end"/>
      </w:r>
      <w:r>
        <w:rPr>
          <w:bCs/>
          <w:iCs/>
        </w:rPr>
        <w:t xml:space="preserve"> (biologie, ekonomie, filologie). Rufus založil první objektivní simulákrum reality a umožnil současný epistemologický nihilismus typu Foucaulta, Derridy</w:t>
      </w:r>
      <w:r>
        <w:rPr>
          <w:bCs/>
          <w:iCs/>
        </w:rPr>
        <w:fldChar w:fldCharType="begin"/>
      </w:r>
      <w:r>
        <w:instrText xml:space="preserve"> XE "</w:instrText>
      </w:r>
      <w:r w:rsidRPr="00B2344C">
        <w:instrText>Rorty, R.</w:instrText>
      </w:r>
      <w:r>
        <w:instrText xml:space="preserve">" </w:instrText>
      </w:r>
      <w:r>
        <w:rPr>
          <w:bCs/>
          <w:iCs/>
        </w:rPr>
        <w:fldChar w:fldCharType="end"/>
      </w:r>
      <w:r>
        <w:rPr>
          <w:bCs/>
          <w:iCs/>
        </w:rPr>
        <w:t xml:space="preserve">. </w:t>
      </w:r>
      <w:r>
        <w:t xml:space="preserve">Dekonstruktivistická kritika postmoderní metafyziky </w:t>
      </w:r>
      <w:r>
        <w:rPr>
          <w:bCs/>
          <w:iCs/>
        </w:rPr>
        <w:t xml:space="preserve">vychází ze základní konfúze </w:t>
      </w:r>
      <w:r w:rsidRPr="00546708">
        <w:rPr>
          <w:bCs/>
          <w:i/>
          <w:iCs/>
        </w:rPr>
        <w:t>Modernorum</w:t>
      </w:r>
      <w:r>
        <w:rPr>
          <w:bCs/>
          <w:iCs/>
        </w:rPr>
        <w:t xml:space="preserve">. Po zmizení </w:t>
      </w:r>
      <w:r w:rsidR="081942A4">
        <w:t xml:space="preserve">metafyzického </w:t>
      </w:r>
      <w:r>
        <w:rPr>
          <w:bCs/>
          <w:iCs/>
        </w:rPr>
        <w:t xml:space="preserve">dativu má schizofrenický moderní subjekt pouze paranoickou prezentaci vlastních </w:t>
      </w:r>
      <w:r w:rsidRPr="08B70D73">
        <w:rPr>
          <w:bCs/>
          <w:i/>
          <w:iCs/>
        </w:rPr>
        <w:t>scibile</w:t>
      </w:r>
      <w:r w:rsidR="08DC683E">
        <w:rPr>
          <w:bCs/>
          <w:iCs/>
        </w:rPr>
        <w:t xml:space="preserve">, </w:t>
      </w:r>
      <w:r>
        <w:rPr>
          <w:bCs/>
          <w:iCs/>
        </w:rPr>
        <w:t>a nikoliv adekvátní reprezentaci reality. Člověk jako postm</w:t>
      </w:r>
      <w:r>
        <w:t xml:space="preserve">oderní </w:t>
      </w:r>
      <w:r w:rsidRPr="004D7449">
        <w:rPr>
          <w:i/>
        </w:rPr>
        <w:t>scibile</w:t>
      </w:r>
      <w:r>
        <w:rPr>
          <w:i/>
        </w:rPr>
        <w:fldChar w:fldCharType="begin"/>
      </w:r>
      <w:r>
        <w:instrText xml:space="preserve"> XE "</w:instrText>
      </w:r>
      <w:r w:rsidRPr="00AA4F67">
        <w:rPr>
          <w:i/>
        </w:rPr>
        <w:instrText>scibile</w:instrText>
      </w:r>
      <w:r>
        <w:instrText xml:space="preserve">:postmoderna" </w:instrText>
      </w:r>
      <w:r>
        <w:rPr>
          <w:i/>
        </w:rPr>
        <w:fldChar w:fldCharType="end"/>
      </w:r>
      <w:r>
        <w:t xml:space="preserve"> je sám v sobě rozdvojen a v rámci nekonečného třídění daného v dialogu </w:t>
      </w:r>
      <w:r w:rsidRPr="00464FDD">
        <w:rPr>
          <w:i/>
        </w:rPr>
        <w:t>Sofistes</w:t>
      </w:r>
      <w:r>
        <w:t xml:space="preserve"> dostal v 19. století jako svého dvojníka již zcela nihilistické simulákrum</w:t>
      </w:r>
      <w:r w:rsidR="08F85611">
        <w:t xml:space="preserve">. Toto simulákrum jako </w:t>
      </w:r>
      <w:r w:rsidR="08F85611" w:rsidRPr="08F85611">
        <w:rPr>
          <w:i/>
        </w:rPr>
        <w:t>factum</w:t>
      </w:r>
      <w:r w:rsidR="08F85611">
        <w:t xml:space="preserve"> postmoderny </w:t>
      </w:r>
      <w:r>
        <w:t>podrobně prozkoumal Foucault.</w:t>
      </w:r>
      <w:r>
        <w:rPr>
          <w:rStyle w:val="Znakapoznpodarou"/>
        </w:rPr>
        <w:footnoteReference w:id="63"/>
      </w:r>
      <w:r>
        <w:t xml:space="preserve"> </w:t>
      </w:r>
      <w:r w:rsidRPr="00273106">
        <w:t>Derrida</w:t>
      </w:r>
      <w:r>
        <w:fldChar w:fldCharType="begin"/>
      </w:r>
      <w:r>
        <w:instrText xml:space="preserve"> XE "</w:instrText>
      </w:r>
      <w:r w:rsidRPr="08345F99">
        <w:instrText>Derrida, J.</w:instrText>
      </w:r>
      <w:r>
        <w:instrText xml:space="preserve">" </w:instrText>
      </w:r>
      <w:r>
        <w:fldChar w:fldCharType="end"/>
      </w:r>
      <w:r w:rsidRPr="00273106">
        <w:t xml:space="preserve"> a </w:t>
      </w:r>
      <w:r>
        <w:t xml:space="preserve">současná škola dekonstrukce </w:t>
      </w:r>
      <w:r>
        <w:fldChar w:fldCharType="begin"/>
      </w:r>
      <w:r>
        <w:instrText xml:space="preserve"> XE "</w:instrText>
      </w:r>
      <w:r w:rsidRPr="08924D3A">
        <w:instrText>dekonstrukce</w:instrText>
      </w:r>
      <w:r>
        <w:instrText xml:space="preserve">" </w:instrText>
      </w:r>
      <w:r>
        <w:fldChar w:fldCharType="end"/>
      </w:r>
      <w:r w:rsidRPr="00273106">
        <w:t xml:space="preserve">patří do nihilistické fáze karteziánské postmoderny. </w:t>
      </w:r>
      <w:r>
        <w:rPr>
          <w:bCs/>
          <w:iCs/>
        </w:rPr>
        <w:t xml:space="preserve">Postmoderní duch v jazykovém univerzu kontempluje sám sebe v rovině pouhého </w:t>
      </w:r>
      <w:r w:rsidRPr="08810D8D">
        <w:rPr>
          <w:bCs/>
          <w:i/>
          <w:iCs/>
        </w:rPr>
        <w:t xml:space="preserve">significatio </w:t>
      </w:r>
      <w:r w:rsidRPr="08810D8D">
        <w:rPr>
          <w:bCs/>
          <w:iCs/>
        </w:rPr>
        <w:t>a</w:t>
      </w:r>
      <w:r>
        <w:rPr>
          <w:bCs/>
          <w:iCs/>
        </w:rPr>
        <w:t xml:space="preserve"> tím se ztratil v zrcadlovém bludišti objektivní spekulace dané jako metaforický přenos libovolných </w:t>
      </w:r>
      <w:r w:rsidRPr="00464FDD">
        <w:rPr>
          <w:bCs/>
          <w:i/>
          <w:iCs/>
        </w:rPr>
        <w:t>scibile</w:t>
      </w:r>
      <w:r>
        <w:rPr>
          <w:bCs/>
          <w:iCs/>
        </w:rPr>
        <w:t xml:space="preserve">. </w:t>
      </w:r>
      <w:r w:rsidRPr="00273106">
        <w:t xml:space="preserve">Strukturálně daný význam typu lingvistické </w:t>
      </w:r>
      <w:r w:rsidRPr="00273106">
        <w:rPr>
          <w:i/>
        </w:rPr>
        <w:t>valeur</w:t>
      </w:r>
      <w:r w:rsidRPr="00273106">
        <w:t xml:space="preserve"> (Saussure</w:t>
      </w:r>
      <w:r>
        <w:fldChar w:fldCharType="begin"/>
      </w:r>
      <w:r>
        <w:instrText xml:space="preserve"> XE "</w:instrText>
      </w:r>
      <w:r w:rsidRPr="00257D25">
        <w:instrText>Saussure, F.</w:instrText>
      </w:r>
      <w:r>
        <w:instrText xml:space="preserve">" </w:instrText>
      </w:r>
      <w:r>
        <w:fldChar w:fldCharType="end"/>
      </w:r>
      <w:r w:rsidRPr="00273106">
        <w:t xml:space="preserve"> 1972,</w:t>
      </w:r>
      <w:r>
        <w:t xml:space="preserve"> 155‒69</w:t>
      </w:r>
      <w:r w:rsidRPr="00273106">
        <w:t>) v nihilistické postmoderně vytěsnil dokonce i metafyzic</w:t>
      </w:r>
      <w:r>
        <w:t xml:space="preserve">ký smysl jsoucna daný v rámci objektivního </w:t>
      </w:r>
      <w:r w:rsidRPr="00822994">
        <w:rPr>
          <w:i/>
        </w:rPr>
        <w:t>scibile</w:t>
      </w:r>
      <w:r w:rsidRPr="00273106">
        <w:t xml:space="preserve">. </w:t>
      </w:r>
      <w:r>
        <w:t xml:space="preserve">Nová forma </w:t>
      </w:r>
      <w:r w:rsidRPr="00822994">
        <w:rPr>
          <w:i/>
        </w:rPr>
        <w:t>rectitudo</w:t>
      </w:r>
      <w:r>
        <w:t xml:space="preserve"> vázaná na pohyb strukturálně ustavené diference u</w:t>
      </w:r>
      <w:r w:rsidRPr="00273106">
        <w:t>skutečnil</w:t>
      </w:r>
      <w:r>
        <w:t>a</w:t>
      </w:r>
      <w:r w:rsidRPr="00273106">
        <w:t xml:space="preserve"> sen </w:t>
      </w:r>
      <w:r>
        <w:t xml:space="preserve">moderny </w:t>
      </w:r>
      <w:r w:rsidRPr="00273106">
        <w:t>o uzávorkování reality</w:t>
      </w:r>
      <w:r>
        <w:t xml:space="preserve">. Poststrukturalismus ponechal naživu </w:t>
      </w:r>
      <w:r w:rsidRPr="00273106">
        <w:t xml:space="preserve">jen metaforický význam slova a </w:t>
      </w:r>
      <w:r>
        <w:t xml:space="preserve">pohyb </w:t>
      </w:r>
      <w:r w:rsidRPr="00273106">
        <w:t xml:space="preserve">diference. Tato diference je esenciálně (tedy </w:t>
      </w:r>
      <w:r w:rsidRPr="00273106">
        <w:rPr>
          <w:i/>
        </w:rPr>
        <w:t>per se</w:t>
      </w:r>
      <w:r w:rsidRPr="00273106">
        <w:t xml:space="preserve">) nutná ke třídění čehokoliv objektivně jsoucího, až na úroveň posledního </w:t>
      </w:r>
      <w:r w:rsidRPr="00273106">
        <w:rPr>
          <w:i/>
        </w:rPr>
        <w:t>individuum</w:t>
      </w:r>
      <w:r w:rsidRPr="00273106">
        <w:t xml:space="preserve">. </w:t>
      </w:r>
      <w:r>
        <w:rPr>
          <w:bCs/>
          <w:iCs/>
        </w:rPr>
        <w:t>Nové zrcadlo ducha a přírody dané podle Rortyho</w:t>
      </w:r>
      <w:r>
        <w:rPr>
          <w:bCs/>
          <w:iCs/>
        </w:rPr>
        <w:fldChar w:fldCharType="begin"/>
      </w:r>
      <w:r>
        <w:instrText xml:space="preserve"> XE "</w:instrText>
      </w:r>
      <w:r w:rsidRPr="08357826">
        <w:rPr>
          <w:bCs/>
          <w:iCs/>
        </w:rPr>
        <w:instrText>Rorty, R.</w:instrText>
      </w:r>
      <w:r>
        <w:instrText xml:space="preserve">" </w:instrText>
      </w:r>
      <w:r>
        <w:rPr>
          <w:bCs/>
          <w:iCs/>
        </w:rPr>
        <w:fldChar w:fldCharType="end"/>
      </w:r>
      <w:r>
        <w:rPr>
          <w:bCs/>
          <w:iCs/>
        </w:rPr>
        <w:t xml:space="preserve"> už kritizuje adekvační teorii pravdy danou objektivně (</w:t>
      </w:r>
      <w:r w:rsidRPr="00997F4D">
        <w:rPr>
          <w:i/>
        </w:rPr>
        <w:t>representational theory of perception</w:t>
      </w:r>
      <w:r>
        <w:t>).</w:t>
      </w:r>
      <w:r>
        <w:rPr>
          <w:rStyle w:val="Znakapoznpodarou"/>
        </w:rPr>
        <w:footnoteReference w:id="64"/>
      </w:r>
      <w:r>
        <w:t xml:space="preserve"> Objektivita v tomto pojetí konečně zrušila sama sebe a filosofie degenerovala </w:t>
      </w:r>
      <w:r>
        <w:lastRenderedPageBreak/>
        <w:t>v této formě analytické sofistiky na obecnou teorii kultury. P</w:t>
      </w:r>
      <w:r w:rsidRPr="00273106">
        <w:rPr>
          <w:rStyle w:val="Zkladntext158dkovn0pt"/>
          <w:color w:val="auto"/>
          <w:spacing w:val="0"/>
          <w:sz w:val="24"/>
          <w:lang w:val="cs-CZ"/>
        </w:rPr>
        <w:t xml:space="preserve">ostmoderna </w:t>
      </w:r>
      <w:r w:rsidR="00362D84">
        <w:rPr>
          <w:rStyle w:val="Zkladntext158dkovn0pt"/>
          <w:color w:val="auto"/>
          <w:spacing w:val="0"/>
          <w:sz w:val="24"/>
          <w:lang w:val="cs-CZ"/>
        </w:rPr>
        <w:t xml:space="preserve">tím </w:t>
      </w:r>
      <w:r>
        <w:rPr>
          <w:rStyle w:val="Zkladntext158dkovn0pt"/>
          <w:color w:val="auto"/>
          <w:spacing w:val="0"/>
          <w:sz w:val="24"/>
          <w:lang w:val="cs-CZ"/>
        </w:rPr>
        <w:t>završila</w:t>
      </w:r>
      <w:r w:rsidRPr="00273106">
        <w:rPr>
          <w:rStyle w:val="Zkladntext158dkovn0pt"/>
          <w:color w:val="auto"/>
          <w:spacing w:val="0"/>
          <w:sz w:val="24"/>
          <w:lang w:val="cs-CZ"/>
        </w:rPr>
        <w:t xml:space="preserve"> vědecko-technický nihilismus západní metafyziky</w:t>
      </w:r>
      <w:r>
        <w:rPr>
          <w:rStyle w:val="Zkladntext158dkovn0pt"/>
          <w:color w:val="auto"/>
          <w:spacing w:val="0"/>
          <w:sz w:val="24"/>
          <w:lang w:val="cs-CZ"/>
        </w:rPr>
        <w:t xml:space="preserve">, který zahájili </w:t>
      </w:r>
      <w:r w:rsidRPr="003E2816">
        <w:rPr>
          <w:rStyle w:val="Zkladntext158dkovn0pt"/>
          <w:i/>
          <w:color w:val="auto"/>
          <w:spacing w:val="0"/>
          <w:sz w:val="24"/>
          <w:lang w:val="cs-CZ"/>
        </w:rPr>
        <w:t>Nominales</w:t>
      </w:r>
      <w:r>
        <w:rPr>
          <w:rStyle w:val="Zkladntext158dkovn0pt"/>
          <w:color w:val="auto"/>
          <w:spacing w:val="0"/>
          <w:sz w:val="24"/>
          <w:lang w:val="cs-CZ"/>
        </w:rPr>
        <w:t xml:space="preserve"> v rámci prvního objektivního třídění jsoucen třetího druhu determinovaných pohybem diference v rámci Porfyriova stromu. </w:t>
      </w:r>
      <w:r>
        <w:t xml:space="preserve">Spor o averroismus zastřel podstatu člověka a nahradil ji sofistickým dvojníkem. Tento idolatrický symbol postmoderny (εἴδωλον) se nakonec zcela rozplynul v současné hře diferencí a metafor, kterou poprvé popsal dialog </w:t>
      </w:r>
      <w:r w:rsidRPr="006014B8">
        <w:rPr>
          <w:i/>
        </w:rPr>
        <w:t>Sofistes</w:t>
      </w:r>
      <w:r>
        <w:t>.</w:t>
      </w:r>
      <w:r w:rsidRPr="00FE4185">
        <w:t xml:space="preserve"> </w:t>
      </w:r>
      <w:r w:rsidRPr="00273106">
        <w:t>Anulování receptivní složky intelektu zrušilo člověka</w:t>
      </w:r>
      <w:r w:rsidR="00083A57">
        <w:t xml:space="preserve"> jako osobu</w:t>
      </w:r>
      <w:r w:rsidRPr="00273106">
        <w:t xml:space="preserve">, destruovalo proces </w:t>
      </w:r>
      <w:r w:rsidR="009F5D55">
        <w:t xml:space="preserve">pravdivého </w:t>
      </w:r>
      <w:r w:rsidRPr="00273106">
        <w:t xml:space="preserve">poznání a </w:t>
      </w:r>
      <w:r w:rsidR="00794B5E">
        <w:t xml:space="preserve">zrušilo teorii vědy </w:t>
      </w:r>
      <w:r w:rsidRPr="00273106">
        <w:t>p</w:t>
      </w:r>
      <w:r>
        <w:t xml:space="preserve">odle </w:t>
      </w:r>
      <w:r w:rsidRPr="006014B8">
        <w:rPr>
          <w:i/>
        </w:rPr>
        <w:t>Druhých analytik</w:t>
      </w:r>
      <w:r>
        <w:t xml:space="preserve">. Moderní </w:t>
      </w:r>
      <w:r w:rsidRPr="00AD1806">
        <w:rPr>
          <w:i/>
        </w:rPr>
        <w:t>Irrtum</w:t>
      </w:r>
      <w:r>
        <w:t xml:space="preserve"> daný globálním vítězstvím druhého averroismu má fatální charakter. </w:t>
      </w:r>
      <w:r w:rsidR="007F4E96">
        <w:t xml:space="preserve">Bonaventura v modu múzické </w:t>
      </w:r>
      <w:r w:rsidR="007F4E96" w:rsidRPr="007F4E96">
        <w:rPr>
          <w:i/>
        </w:rPr>
        <w:t>a</w:t>
      </w:r>
      <w:r w:rsidR="007F4E96">
        <w:rPr>
          <w:i/>
        </w:rPr>
        <w:t>/léthe</w:t>
      </w:r>
      <w:r w:rsidR="007F4E96" w:rsidRPr="007F4E96">
        <w:rPr>
          <w:i/>
        </w:rPr>
        <w:t>ia</w:t>
      </w:r>
      <w:r w:rsidR="007F4E96">
        <w:t xml:space="preserve"> z</w:t>
      </w:r>
      <w:r>
        <w:t xml:space="preserve">jevil odkrytost moderny skrze apokalyptické číslo </w:t>
      </w:r>
      <w:r w:rsidR="08EA2036">
        <w:t>666</w:t>
      </w:r>
      <w:r>
        <w:t xml:space="preserve">, </w:t>
      </w:r>
      <w:r w:rsidR="00B1052C">
        <w:t xml:space="preserve">což je </w:t>
      </w:r>
      <w:r w:rsidR="00B1052C" w:rsidRPr="00B1052C">
        <w:t>jmén</w:t>
      </w:r>
      <w:r w:rsidR="00B1052C">
        <w:t>o</w:t>
      </w:r>
      <w:r w:rsidR="00B1052C" w:rsidRPr="00B1052C">
        <w:t xml:space="preserve"> apokalyptické Šelmy. V návaznosti na obranný mechanismus </w:t>
      </w:r>
      <w:r w:rsidR="00B1052C" w:rsidRPr="00B1052C">
        <w:rPr>
          <w:i/>
          <w:iCs/>
        </w:rPr>
        <w:t>Verkehrung ins Gegenteil</w:t>
      </w:r>
      <w:r w:rsidR="009C7FC4">
        <w:rPr>
          <w:i/>
        </w:rPr>
        <w:fldChar w:fldCharType="begin"/>
      </w:r>
      <w:r w:rsidR="009C7FC4">
        <w:instrText xml:space="preserve"> XE "</w:instrText>
      </w:r>
      <w:r w:rsidR="009C7FC4" w:rsidRPr="004A56FD">
        <w:rPr>
          <w:i/>
        </w:rPr>
        <w:instrText>Verkehrung ins Gegenteil</w:instrText>
      </w:r>
      <w:r w:rsidR="009C7FC4">
        <w:instrText xml:space="preserve">" </w:instrText>
      </w:r>
      <w:r w:rsidR="009C7FC4">
        <w:rPr>
          <w:i/>
        </w:rPr>
        <w:fldChar w:fldCharType="end"/>
      </w:r>
      <w:r w:rsidR="00B1052C" w:rsidRPr="00B1052C">
        <w:t xml:space="preserve"> jej však sofisticky přisoudil opačné straně sporu. </w:t>
      </w:r>
      <w:r>
        <w:t xml:space="preserve">Opět plně platí múzické pojetí pravdy jako </w:t>
      </w:r>
      <w:r w:rsidRPr="08DE2FAE">
        <w:rPr>
          <w:i/>
        </w:rPr>
        <w:t>a/léthia</w:t>
      </w:r>
      <w:r>
        <w:t>, protože jeho pythický výrok je třeba nezastřeně vyložit v modu původní tragic</w:t>
      </w:r>
      <w:bookmarkStart w:id="11" w:name="_Toc36144134"/>
      <w:r w:rsidR="00962C0D">
        <w:t>ké moudrosti.</w:t>
      </w:r>
    </w:p>
    <w:p w:rsidR="08163013" w:rsidRPr="00962C0D" w:rsidRDefault="00962C0D" w:rsidP="00962C0D">
      <w:pPr>
        <w:pStyle w:val="Nadpis3"/>
      </w:pPr>
      <w:r>
        <w:br w:type="page"/>
      </w:r>
      <w:bookmarkStart w:id="12" w:name="_Toc180231646"/>
      <w:r w:rsidR="08163013" w:rsidRPr="00962C0D">
        <w:lastRenderedPageBreak/>
        <w:t>4.1.3 Odyssea moderního subjektu</w:t>
      </w:r>
      <w:bookmarkEnd w:id="11"/>
      <w:bookmarkEnd w:id="12"/>
    </w:p>
    <w:p w:rsidR="00EC1260" w:rsidRDefault="08163013" w:rsidP="08163013">
      <w:r>
        <w:t xml:space="preserve">Základem ontoteologického rozvrhu moderní metafyziky je schopnost rozumu nahlédnout do stvořitelského intelektu, který představuje archetypický </w:t>
      </w:r>
      <w:r w:rsidR="08601A3E">
        <w:t xml:space="preserve">božský </w:t>
      </w:r>
      <w:r>
        <w:t xml:space="preserve">subjekt. </w:t>
      </w:r>
      <w:r w:rsidR="08601A3E">
        <w:t>Mytopoetický náhled má sofistickou sílu k tomu, aby spojil teologii a filosofii do jedné objektivní první vědy.</w:t>
      </w:r>
      <w:r w:rsidR="005D76D3">
        <w:t xml:space="preserve"> </w:t>
      </w:r>
      <w:r w:rsidR="08C41DCA">
        <w:t>Bůh je v tomto systému nejvyšší jsoucno a mnohost je daná na úrovni jeho demiurgické intencionality, která obsahuje všechny stvořené potence v objektivní formě jsoucna. V</w:t>
      </w:r>
      <w:r>
        <w:t xml:space="preserve">ůle božského </w:t>
      </w:r>
      <w:r w:rsidRPr="00273106">
        <w:t>agenta</w:t>
      </w:r>
      <w:r>
        <w:t xml:space="preserve"> </w:t>
      </w:r>
      <w:r w:rsidR="08C41DCA">
        <w:t xml:space="preserve">pak vytváří objektivní </w:t>
      </w:r>
      <w:r>
        <w:t>určení jsoucna</w:t>
      </w:r>
      <w:r w:rsidR="08C41DCA">
        <w:t xml:space="preserve"> ve stvořitelském aktu</w:t>
      </w:r>
      <w:r>
        <w:t>. Pro zjevenou teologii a pro ontoteologii</w:t>
      </w:r>
      <w:r>
        <w:fldChar w:fldCharType="begin"/>
      </w:r>
      <w:r>
        <w:instrText xml:space="preserve"> XE "</w:instrText>
      </w:r>
      <w:r w:rsidRPr="00A45678">
        <w:rPr>
          <w:rStyle w:val="addmd"/>
        </w:rPr>
        <w:instrText>ontoteologie:</w:instrText>
      </w:r>
      <w:r w:rsidRPr="00A45678">
        <w:instrText>Jamblichos</w:instrText>
      </w:r>
      <w:r>
        <w:instrText xml:space="preserve">" </w:instrText>
      </w:r>
      <w:r>
        <w:fldChar w:fldCharType="end"/>
      </w:r>
      <w:r>
        <w:t xml:space="preserve"> moderních iluminátů je toto schéma samozřejmostí, protože je dáno v modu jedné ontoteologické pravdy a má biblický základ. Kritická aristotelská filosofie </w:t>
      </w:r>
      <w:r w:rsidR="008D3F3E">
        <w:t xml:space="preserve">nevidí </w:t>
      </w:r>
      <w:r>
        <w:t>Stvořiteli do hlavy</w:t>
      </w:r>
      <w:r w:rsidR="007A270A">
        <w:t xml:space="preserve">. </w:t>
      </w:r>
      <w:r w:rsidR="007A270A" w:rsidRPr="007A67BF">
        <w:t xml:space="preserve">Mytologie objektivity na Západě navazuje na svůj </w:t>
      </w:r>
      <w:r w:rsidR="007A270A">
        <w:t xml:space="preserve">múzický </w:t>
      </w:r>
      <w:r w:rsidR="007A270A" w:rsidRPr="007A67BF">
        <w:t xml:space="preserve">archetyp, </w:t>
      </w:r>
      <w:r w:rsidR="007A270A">
        <w:t>tedy řeckou bohyni Athénu (římskou</w:t>
      </w:r>
      <w:r w:rsidR="007A270A" w:rsidRPr="007A67BF">
        <w:t xml:space="preserve"> Minervu) jako božskou sílu války, řemesla a praktického rozumu. Byla Diovou dcerou, počatou bez matky, takže se v</w:t>
      </w:r>
      <w:r w:rsidR="007A270A">
        <w:t>ynořila v kompletní dospělé formě z jeho božské hlavy</w:t>
      </w:r>
      <w:r w:rsidR="007A270A" w:rsidRPr="007A67BF">
        <w:t>.</w:t>
      </w:r>
      <w:r w:rsidR="007A270A">
        <w:t xml:space="preserve"> V</w:t>
      </w:r>
      <w:r>
        <w:t>ědecké poznání začíná a končí reálnou kauzalitou danou na úrovni hyparchických prvních substancí.</w:t>
      </w:r>
      <w:r w:rsidR="007A67BF">
        <w:t xml:space="preserve"> Moderní b</w:t>
      </w:r>
      <w:r w:rsidR="007A67BF" w:rsidRPr="007A67BF">
        <w:t>ůh nemůže sloužit jako zákla</w:t>
      </w:r>
      <w:r w:rsidR="007A67BF">
        <w:t xml:space="preserve">d klasické filosofie, protože ta vzniká </w:t>
      </w:r>
      <w:r w:rsidR="007A67BF" w:rsidRPr="007A67BF">
        <w:t xml:space="preserve">díky reálnému světu. </w:t>
      </w:r>
      <w:r w:rsidR="00BF2F5A" w:rsidRPr="00BF2F5A">
        <w:t>Objektivita nepotřebuje reálný svět, protože je založena na metafyzice chiméry.</w:t>
      </w:r>
      <w:r w:rsidR="00BF2F5A">
        <w:t xml:space="preserve"> </w:t>
      </w:r>
      <w:r>
        <w:t xml:space="preserve">Bůh může být ve filosofii vědecky poznán pouze jako </w:t>
      </w:r>
      <w:r w:rsidRPr="08AE2BEA">
        <w:rPr>
          <w:i/>
        </w:rPr>
        <w:t>causa prima</w:t>
      </w:r>
      <w:r>
        <w:t xml:space="preserve">. </w:t>
      </w:r>
      <w:r w:rsidR="00BF2F5A" w:rsidRPr="00BF2F5A">
        <w:t>Hermeneutika musí najít původní z</w:t>
      </w:r>
      <w:r w:rsidR="00BF2F5A">
        <w:t xml:space="preserve">působ, jakým se </w:t>
      </w:r>
      <w:r w:rsidR="00BF2F5A" w:rsidRPr="00BF2F5A">
        <w:t>zjevuje</w:t>
      </w:r>
      <w:r w:rsidR="00BF2F5A">
        <w:t xml:space="preserve"> objektivní jsoucno</w:t>
      </w:r>
      <w:r w:rsidR="00BF2F5A" w:rsidRPr="00BF2F5A">
        <w:t xml:space="preserve">. Tato událost odkazuje na </w:t>
      </w:r>
      <w:r w:rsidR="00BF2F5A" w:rsidRPr="00BF2F5A">
        <w:rPr>
          <w:i/>
          <w:iCs/>
        </w:rPr>
        <w:t>dativus obiectivus</w:t>
      </w:r>
      <w:r w:rsidR="00BF2F5A">
        <w:rPr>
          <w:i/>
          <w:iCs/>
        </w:rPr>
        <w:fldChar w:fldCharType="begin"/>
      </w:r>
      <w:r w:rsidR="00BF2F5A">
        <w:instrText xml:space="preserve"> XE "</w:instrText>
      </w:r>
      <w:r w:rsidR="00BF2F5A" w:rsidRPr="000C4317">
        <w:rPr>
          <w:i/>
          <w:iCs/>
        </w:rPr>
        <w:instrText>dativus obiectivus</w:instrText>
      </w:r>
      <w:r w:rsidR="00BF2F5A">
        <w:instrText xml:space="preserve">" </w:instrText>
      </w:r>
      <w:r w:rsidR="00BF2F5A">
        <w:rPr>
          <w:i/>
          <w:iCs/>
        </w:rPr>
        <w:fldChar w:fldCharType="end"/>
      </w:r>
      <w:r w:rsidR="00BF2F5A" w:rsidRPr="00BF2F5A">
        <w:t xml:space="preserve"> jako na </w:t>
      </w:r>
      <w:r w:rsidR="00BF2F5A">
        <w:t xml:space="preserve">ultimativní donaci objektivního bytí. </w:t>
      </w:r>
      <w:r>
        <w:t xml:space="preserve">Je třeba vyložit nový způsob, jak </w:t>
      </w:r>
      <w:r w:rsidRPr="00273106">
        <w:t xml:space="preserve">objektivnímu </w:t>
      </w:r>
      <w:r w:rsidRPr="00273106">
        <w:rPr>
          <w:i/>
        </w:rPr>
        <w:t>ens</w:t>
      </w:r>
      <w:r w:rsidRPr="00273106">
        <w:t xml:space="preserve"> patří jsoucnost </w:t>
      </w:r>
      <w:r>
        <w:t xml:space="preserve">v ontoteologickém objektivním modu </w:t>
      </w:r>
      <w:r w:rsidRPr="00EA7D54">
        <w:rPr>
          <w:i/>
        </w:rPr>
        <w:t>Es gibt</w:t>
      </w:r>
      <w:r>
        <w:rPr>
          <w:i/>
        </w:rPr>
        <w:fldChar w:fldCharType="begin"/>
      </w:r>
      <w:r>
        <w:instrText xml:space="preserve"> XE "</w:instrText>
      </w:r>
      <w:r>
        <w:rPr>
          <w:i/>
        </w:rPr>
        <w:instrText>Es gibt</w:instrText>
      </w:r>
      <w:r>
        <w:instrText xml:space="preserve">" </w:instrText>
      </w:r>
      <w:r>
        <w:rPr>
          <w:i/>
        </w:rPr>
        <w:fldChar w:fldCharType="end"/>
      </w:r>
      <w:r>
        <w:t xml:space="preserve"> ustavujícím novou verzi západní objektivity </w:t>
      </w:r>
      <w:r w:rsidRPr="00273106">
        <w:t>(</w:t>
      </w:r>
      <w:r w:rsidRPr="00273106">
        <w:rPr>
          <w:i/>
        </w:rPr>
        <w:t>d</w:t>
      </w:r>
      <w:r w:rsidRPr="00273106">
        <w:rPr>
          <w:i/>
          <w:iCs/>
        </w:rPr>
        <w:t>ativus possessivus</w:t>
      </w:r>
      <w:r>
        <w:rPr>
          <w:i/>
          <w:iCs/>
        </w:rPr>
        <w:fldChar w:fldCharType="begin"/>
      </w:r>
      <w:r>
        <w:instrText xml:space="preserve"> XE "</w:instrText>
      </w:r>
      <w:r w:rsidRPr="00461B3F">
        <w:rPr>
          <w:i/>
        </w:rPr>
        <w:instrText>d</w:instrText>
      </w:r>
      <w:r w:rsidRPr="00461B3F">
        <w:rPr>
          <w:i/>
          <w:iCs/>
        </w:rPr>
        <w:instrText>ativus possessivus</w:instrText>
      </w:r>
      <w:r>
        <w:instrText xml:space="preserve">" </w:instrText>
      </w:r>
      <w:r>
        <w:rPr>
          <w:i/>
          <w:iCs/>
        </w:rPr>
        <w:fldChar w:fldCharType="end"/>
      </w:r>
      <w:r w:rsidR="087032F8">
        <w:rPr>
          <w:iCs/>
        </w:rPr>
        <w:t>, kap. 4</w:t>
      </w:r>
      <w:r w:rsidRPr="00273106">
        <w:rPr>
          <w:iCs/>
        </w:rPr>
        <w:t>)</w:t>
      </w:r>
      <w:r>
        <w:rPr>
          <w:iCs/>
        </w:rPr>
        <w:t>.</w:t>
      </w:r>
      <w:r>
        <w:t xml:space="preserve"> Bonaventurův komentář ke druhé knize Sentencí a spisy psané okolo roku 1255 obsahují první </w:t>
      </w:r>
      <w:r w:rsidRPr="00273106">
        <w:t>komp</w:t>
      </w:r>
      <w:r>
        <w:t>letní strukturu objektivity danou</w:t>
      </w:r>
      <w:r w:rsidRPr="00273106">
        <w:t xml:space="preserve"> ontoteologicky.</w:t>
      </w:r>
    </w:p>
    <w:p w:rsidR="00795668" w:rsidRDefault="08163013" w:rsidP="006B54F5">
      <w:pPr>
        <w:ind w:firstLine="397"/>
      </w:pPr>
      <w:r w:rsidRPr="00273106">
        <w:t xml:space="preserve">Otázka </w:t>
      </w:r>
      <w:r w:rsidRPr="00273106">
        <w:rPr>
          <w:i/>
        </w:rPr>
        <w:t>resolutio</w:t>
      </w:r>
      <w:r w:rsidRPr="00273106">
        <w:t xml:space="preserve">, čili </w:t>
      </w:r>
      <w:r>
        <w:t xml:space="preserve">posledního univerzálního </w:t>
      </w:r>
      <w:r w:rsidRPr="00273106">
        <w:t xml:space="preserve">náhledu na celek jsoucna, je </w:t>
      </w:r>
      <w:r>
        <w:t xml:space="preserve">nově vyložena v epochálně změněném pojmu </w:t>
      </w:r>
      <w:r w:rsidR="00F3193B">
        <w:t>„</w:t>
      </w:r>
      <w:r w:rsidRPr="00273106">
        <w:rPr>
          <w:i/>
        </w:rPr>
        <w:t>signatu</w:t>
      </w:r>
      <w:r>
        <w:rPr>
          <w:i/>
        </w:rPr>
        <w:t>m</w:t>
      </w:r>
      <w:r w:rsidR="00F3193B">
        <w:t>“</w:t>
      </w:r>
      <w:r>
        <w:rPr>
          <w:i/>
        </w:rPr>
        <w:fldChar w:fldCharType="begin"/>
      </w:r>
      <w:r>
        <w:instrText xml:space="preserve"> XE "</w:instrText>
      </w:r>
      <w:r w:rsidRPr="009F3DC0">
        <w:rPr>
          <w:i/>
        </w:rPr>
        <w:instrText>signatum</w:instrText>
      </w:r>
      <w:r>
        <w:instrText xml:space="preserve">" </w:instrText>
      </w:r>
      <w:r>
        <w:rPr>
          <w:i/>
        </w:rPr>
        <w:fldChar w:fldCharType="end"/>
      </w:r>
      <w:r>
        <w:t xml:space="preserve">. </w:t>
      </w:r>
      <w:r w:rsidRPr="00273106">
        <w:t xml:space="preserve">Bonaventura a jeho nástupci vztáhli </w:t>
      </w:r>
      <w:r w:rsidR="003B4436">
        <w:t>„</w:t>
      </w:r>
      <w:r w:rsidRPr="00273106">
        <w:rPr>
          <w:i/>
        </w:rPr>
        <w:t>signatum</w:t>
      </w:r>
      <w:r w:rsidR="003B4436">
        <w:t>“</w:t>
      </w:r>
      <w:r w:rsidRPr="00273106">
        <w:t xml:space="preserve"> k biblickému určení světa </w:t>
      </w:r>
      <w:r w:rsidR="003B2BB9">
        <w:t xml:space="preserve">daného </w:t>
      </w:r>
      <w:r w:rsidRPr="00273106">
        <w:t>směrem od Stvořitele</w:t>
      </w:r>
      <w:r w:rsidR="003B2BB9">
        <w:t>. J</w:t>
      </w:r>
      <w:r>
        <w:t>eho tvář se rozjasní nad člověkem a nad stvořením (s</w:t>
      </w:r>
      <w:r w:rsidRPr="001B740B">
        <w:rPr>
          <w:i/>
        </w:rPr>
        <w:t>ignatum est super nos lumen vultus tui Domine</w:t>
      </w:r>
      <w:r>
        <w:t xml:space="preserve">; </w:t>
      </w:r>
      <w:r w:rsidRPr="00273106">
        <w:t>Žalm 4:7</w:t>
      </w:r>
      <w:r>
        <w:fldChar w:fldCharType="begin"/>
      </w:r>
      <w:r>
        <w:instrText xml:space="preserve"> XE "Starý zákon:</w:instrText>
      </w:r>
      <w:r w:rsidRPr="00140829">
        <w:instrText>Ž</w:instrText>
      </w:r>
      <w:r>
        <w:instrText>alm 4.</w:instrText>
      </w:r>
      <w:r w:rsidRPr="00140829">
        <w:instrText>7</w:instrText>
      </w:r>
      <w:r>
        <w:instrText xml:space="preserve">" </w:instrText>
      </w:r>
      <w:r>
        <w:fldChar w:fldCharType="end"/>
      </w:r>
      <w:r w:rsidRPr="00273106">
        <w:t>)</w:t>
      </w:r>
      <w:r>
        <w:t>.</w:t>
      </w:r>
      <w:r w:rsidRPr="00273106">
        <w:t xml:space="preserve"> </w:t>
      </w:r>
      <w:r>
        <w:t xml:space="preserve">Světlo boží tváře objektivně </w:t>
      </w:r>
      <w:r w:rsidR="001A1A8B">
        <w:t>„</w:t>
      </w:r>
      <w:r>
        <w:t>signovalo</w:t>
      </w:r>
      <w:r w:rsidR="001A1A8B">
        <w:t>“</w:t>
      </w:r>
      <w:r>
        <w:t xml:space="preserve"> stvoření a doplnilo Rufusovu koncepci metafyzické matematiky (</w:t>
      </w:r>
      <w:r w:rsidR="087032F8">
        <w:t>OBJ II, kap. 3</w:t>
      </w:r>
      <w:r>
        <w:t xml:space="preserve">.3.2). </w:t>
      </w:r>
      <w:r w:rsidR="002360DD">
        <w:t>Podle mystických iluminátů</w:t>
      </w:r>
      <w:r w:rsidR="002360DD">
        <w:fldChar w:fldCharType="begin"/>
      </w:r>
      <w:r w:rsidR="002360DD">
        <w:instrText xml:space="preserve"> XE "</w:instrText>
      </w:r>
      <w:r w:rsidR="002360DD" w:rsidRPr="00BD65D1">
        <w:instrText>ilumináti</w:instrText>
      </w:r>
      <w:r w:rsidR="002360DD">
        <w:instrText xml:space="preserve">" </w:instrText>
      </w:r>
      <w:r w:rsidR="002360DD">
        <w:fldChar w:fldCharType="end"/>
      </w:r>
      <w:r w:rsidR="002360DD">
        <w:t xml:space="preserve"> určuje konečný smysl </w:t>
      </w:r>
      <w:r>
        <w:t>jsoucna světlo</w:t>
      </w:r>
      <w:r w:rsidRPr="00273106">
        <w:t xml:space="preserve"> </w:t>
      </w:r>
      <w:r>
        <w:t xml:space="preserve">boží </w:t>
      </w:r>
      <w:r w:rsidRPr="00273106">
        <w:t>tváře</w:t>
      </w:r>
      <w:r>
        <w:t xml:space="preserve">. </w:t>
      </w:r>
      <w:r w:rsidR="00110E80">
        <w:t xml:space="preserve">Tato </w:t>
      </w:r>
      <w:r w:rsidR="00D720F1">
        <w:t xml:space="preserve">metaforická </w:t>
      </w:r>
      <w:r>
        <w:t>jasno</w:t>
      </w:r>
      <w:r w:rsidR="08F856A8">
        <w:t xml:space="preserve">st tvoří základní hermeneutický způsob, jak </w:t>
      </w:r>
      <w:r>
        <w:t xml:space="preserve">jsoucno přichází ke svému </w:t>
      </w:r>
      <w:r w:rsidR="08F856A8">
        <w:lastRenderedPageBreak/>
        <w:t xml:space="preserve">epochálnímu </w:t>
      </w:r>
      <w:r>
        <w:t>určení</w:t>
      </w:r>
      <w:r w:rsidR="08F856A8">
        <w:t xml:space="preserve"> v</w:t>
      </w:r>
      <w:r w:rsidR="00D56440">
        <w:t> </w:t>
      </w:r>
      <w:r w:rsidR="08F856A8">
        <w:t>moderně</w:t>
      </w:r>
      <w:r w:rsidR="00D56440">
        <w:t xml:space="preserve"> </w:t>
      </w:r>
      <w:r w:rsidR="00D56440" w:rsidRPr="006A0A09">
        <w:t>(</w:t>
      </w:r>
      <w:r w:rsidR="00D56440" w:rsidRPr="00370EAA">
        <w:rPr>
          <w:i/>
        </w:rPr>
        <w:t>dativus possessivus</w:t>
      </w:r>
      <w:r w:rsidR="00D56440">
        <w:rPr>
          <w:i/>
        </w:rPr>
        <w:fldChar w:fldCharType="begin"/>
      </w:r>
      <w:r w:rsidR="00D56440">
        <w:instrText xml:space="preserve"> XE "</w:instrText>
      </w:r>
      <w:r w:rsidR="00D56440" w:rsidRPr="001828A5">
        <w:rPr>
          <w:i/>
        </w:rPr>
        <w:instrText>dativus possessivus</w:instrText>
      </w:r>
      <w:r w:rsidR="00D56440">
        <w:instrText xml:space="preserve">" </w:instrText>
      </w:r>
      <w:r w:rsidR="00D56440">
        <w:rPr>
          <w:i/>
        </w:rPr>
        <w:fldChar w:fldCharType="end"/>
      </w:r>
      <w:r w:rsidR="00D56440" w:rsidRPr="006A0A09">
        <w:t>)</w:t>
      </w:r>
      <w:r>
        <w:t xml:space="preserve">. </w:t>
      </w:r>
      <w:r w:rsidR="00316AAF">
        <w:t>Smysl světa daný od od boží tváře</w:t>
      </w:r>
      <w:r>
        <w:fldChar w:fldCharType="begin"/>
      </w:r>
      <w:r>
        <w:instrText xml:space="preserve"> XE "</w:instrText>
      </w:r>
      <w:r w:rsidRPr="00833A7A">
        <w:instrText>signifikace:Bonaventura</w:instrText>
      </w:r>
      <w:r>
        <w:instrText xml:space="preserve">" </w:instrText>
      </w:r>
      <w:r>
        <w:fldChar w:fldCharType="end"/>
      </w:r>
      <w:r>
        <w:t xml:space="preserve"> doplnil neoplatonský </w:t>
      </w:r>
      <w:r w:rsidR="00316AAF">
        <w:t>„</w:t>
      </w:r>
      <w:proofErr w:type="gramStart"/>
      <w:r>
        <w:t>intelek</w:t>
      </w:r>
      <w:r w:rsidR="00316AAF">
        <w:t>t</w:t>
      </w:r>
      <w:proofErr w:type="gramEnd"/>
      <w:r w:rsidR="00316AAF">
        <w:t>–</w:t>
      </w:r>
      <w:proofErr w:type="gramStart"/>
      <w:r>
        <w:t>slunce</w:t>
      </w:r>
      <w:proofErr w:type="gramEnd"/>
      <w:r w:rsidR="00316AAF">
        <w:t>“</w:t>
      </w:r>
      <w:r>
        <w:fldChar w:fldCharType="begin"/>
      </w:r>
      <w:r>
        <w:instrText xml:space="preserve"> XE "</w:instrText>
      </w:r>
      <w:r w:rsidRPr="008844E7">
        <w:instrText>intelekt-slunce</w:instrText>
      </w:r>
      <w:r>
        <w:instrText xml:space="preserve">" </w:instrText>
      </w:r>
      <w:r>
        <w:fldChar w:fldCharType="end"/>
      </w:r>
      <w:r>
        <w:t xml:space="preserve">, který přímo osvětluje lidský intelekt. </w:t>
      </w:r>
      <w:r w:rsidR="00831DC0" w:rsidRPr="00831DC0">
        <w:t>Toto božské světlo s</w:t>
      </w:r>
      <w:r w:rsidR="00831DC0">
        <w:t>e ve věku sekularizace změnilo na</w:t>
      </w:r>
      <w:r w:rsidR="00831DC0" w:rsidRPr="00831DC0">
        <w:t xml:space="preserve"> tvář bližního. Emmanuel Lévinas</w:t>
      </w:r>
      <w:r w:rsidR="00831DC0">
        <w:fldChar w:fldCharType="begin"/>
      </w:r>
      <w:r w:rsidR="00831DC0">
        <w:instrText xml:space="preserve"> XE "</w:instrText>
      </w:r>
      <w:r w:rsidR="00831DC0" w:rsidRPr="00B130C9">
        <w:instrText>Lévinas, E.</w:instrText>
      </w:r>
      <w:r w:rsidR="00831DC0">
        <w:instrText xml:space="preserve">" </w:instrText>
      </w:r>
      <w:r w:rsidR="00831DC0">
        <w:fldChar w:fldCharType="end"/>
      </w:r>
      <w:r w:rsidR="00831DC0" w:rsidRPr="00831DC0">
        <w:t xml:space="preserve"> absolutizoval tento druh </w:t>
      </w:r>
      <w:r w:rsidR="00831DC0" w:rsidRPr="00831DC0">
        <w:rPr>
          <w:i/>
          <w:iCs/>
        </w:rPr>
        <w:t>resolutio</w:t>
      </w:r>
      <w:r w:rsidR="00831DC0" w:rsidRPr="00831DC0">
        <w:t xml:space="preserve"> v etice explicitně situov</w:t>
      </w:r>
      <w:r w:rsidR="00831DC0">
        <w:t xml:space="preserve">ané mimo postmoderní ontologii </w:t>
      </w:r>
      <w:r>
        <w:t xml:space="preserve">(Lévinas </w:t>
      </w:r>
      <w:r w:rsidRPr="00273106">
        <w:t xml:space="preserve">1951). </w:t>
      </w:r>
      <w:r w:rsidR="002E11DF" w:rsidRPr="002E11DF">
        <w:t>Židovský myslitel odmítl ontologicky založenou postmoderní metafyziku a posunu</w:t>
      </w:r>
      <w:r w:rsidR="00093B65">
        <w:t>l etiku zpět k etické teologii „lidského“</w:t>
      </w:r>
      <w:r w:rsidR="002E11DF" w:rsidRPr="002E11DF">
        <w:t xml:space="preserve"> zjevení podle Bonaventurovy předlohy.</w:t>
      </w:r>
      <w:r w:rsidR="002E11DF">
        <w:t xml:space="preserve"> </w:t>
      </w:r>
      <w:r>
        <w:t>Do našeho svě</w:t>
      </w:r>
      <w:r w:rsidR="001B44BD">
        <w:t>ta zazáří světlo tváře bližního. Za Lévinase je třeba doplnit, že t</w:t>
      </w:r>
      <w:r>
        <w:t xml:space="preserve">ato iluminace je nazíraná skrze etický </w:t>
      </w:r>
      <w:r w:rsidRPr="00741BED">
        <w:rPr>
          <w:i/>
        </w:rPr>
        <w:t>intellectus resolvens</w:t>
      </w:r>
      <w:r>
        <w:rPr>
          <w:i/>
        </w:rPr>
        <w:fldChar w:fldCharType="begin"/>
      </w:r>
      <w:r>
        <w:instrText xml:space="preserve"> XE "</w:instrText>
      </w:r>
      <w:r w:rsidRPr="0011539A">
        <w:rPr>
          <w:i/>
        </w:rPr>
        <w:instrText>intellectus resolvens</w:instrText>
      </w:r>
      <w:r>
        <w:instrText xml:space="preserve">" </w:instrText>
      </w:r>
      <w:r>
        <w:rPr>
          <w:i/>
        </w:rPr>
        <w:fldChar w:fldCharType="end"/>
      </w:r>
      <w:r w:rsidR="001B44BD">
        <w:t xml:space="preserve">, který původně navrhl </w:t>
      </w:r>
      <w:r w:rsidR="001B44BD" w:rsidRPr="001B44BD">
        <w:t>Bonaven</w:t>
      </w:r>
      <w:r w:rsidR="001B44BD">
        <w:t xml:space="preserve">tura. Oba ilumináti se shodují v tom, že tento typ přímého poznání skrze iluminaci je </w:t>
      </w:r>
      <w:r>
        <w:t>daný mimo jakoukoliv ontologii</w:t>
      </w:r>
      <w:r w:rsidR="001B44BD">
        <w:t xml:space="preserve"> (Lévinas) a mimo klasickou metafyziku (Bonaventura)</w:t>
      </w:r>
      <w:r>
        <w:t xml:space="preserve">. </w:t>
      </w:r>
      <w:r w:rsidR="00825148">
        <w:t xml:space="preserve">Etika založená na osvícení zabrala prázdné místo filosofického </w:t>
      </w:r>
      <w:r>
        <w:t xml:space="preserve">nihilismu skrze pojmy jako </w:t>
      </w:r>
      <w:r w:rsidR="00825148">
        <w:t>„</w:t>
      </w:r>
      <w:r w:rsidRPr="00AC71BF">
        <w:rPr>
          <w:i/>
        </w:rPr>
        <w:t>épiphanie du Visage</w:t>
      </w:r>
      <w:r w:rsidR="00825148">
        <w:t>“</w:t>
      </w:r>
      <w:r>
        <w:rPr>
          <w:i/>
        </w:rPr>
        <w:fldChar w:fldCharType="begin"/>
      </w:r>
      <w:r>
        <w:instrText xml:space="preserve"> XE "</w:instrText>
      </w:r>
      <w:r w:rsidRPr="00FD00D1">
        <w:instrText>signifikace</w:instrText>
      </w:r>
      <w:r w:rsidRPr="00CA0A48">
        <w:rPr>
          <w:i/>
        </w:rPr>
        <w:instrText>:épiphanie du Visage</w:instrText>
      </w:r>
      <w:r>
        <w:instrText xml:space="preserve">" </w:instrText>
      </w:r>
      <w:r>
        <w:rPr>
          <w:i/>
        </w:rPr>
        <w:fldChar w:fldCharType="end"/>
      </w:r>
      <w:r>
        <w:t xml:space="preserve"> a mystické predikace </w:t>
      </w:r>
      <w:r w:rsidR="00825148">
        <w:t>(„</w:t>
      </w:r>
      <w:r w:rsidRPr="007E08B1">
        <w:rPr>
          <w:i/>
        </w:rPr>
        <w:t>à-dieu</w:t>
      </w:r>
      <w:r w:rsidR="00825148">
        <w:t>“)</w:t>
      </w:r>
      <w:r w:rsidR="00DA56C4">
        <w:t xml:space="preserve">. </w:t>
      </w:r>
      <w:r w:rsidR="001A6DC3" w:rsidRPr="001A6DC3">
        <w:t xml:space="preserve">Hermeneutika by měla </w:t>
      </w:r>
      <w:r w:rsidR="001A6DC3">
        <w:t xml:space="preserve">tento pokus </w:t>
      </w:r>
      <w:r w:rsidR="001A6DC3" w:rsidRPr="001A6DC3">
        <w:t>respektovat. Etika, která vychází z náboženského humanismu, však nemůže nahradit první filozofii. Existují dva různé druhy věd</w:t>
      </w:r>
      <w:r w:rsidR="001A6DC3">
        <w:t>ě</w:t>
      </w:r>
      <w:r w:rsidR="001A6DC3" w:rsidRPr="001A6DC3">
        <w:t xml:space="preserve">ní a </w:t>
      </w:r>
      <w:r w:rsidR="001A6DC3">
        <w:t xml:space="preserve">ty </w:t>
      </w:r>
      <w:r w:rsidR="001A6DC3" w:rsidRPr="001A6DC3">
        <w:t xml:space="preserve">nemají společnou druhou substanci jako </w:t>
      </w:r>
      <w:r w:rsidR="001A6DC3">
        <w:t xml:space="preserve">univoční </w:t>
      </w:r>
      <w:r w:rsidR="001A6DC3" w:rsidRPr="001A6DC3">
        <w:t>jsoucno. T</w:t>
      </w:r>
      <w:r w:rsidR="001A6DC3">
        <w:t>eologické osvětlení Lévinasova „druhého averroismu“</w:t>
      </w:r>
      <w:r w:rsidR="001A6DC3" w:rsidRPr="001A6DC3">
        <w:t xml:space="preserve"> </w:t>
      </w:r>
      <w:r w:rsidR="001A6DC3">
        <w:t>není přirozeným poznáním „prvního averroismu“</w:t>
      </w:r>
      <w:r w:rsidR="001A6DC3" w:rsidRPr="001A6DC3">
        <w:t xml:space="preserve"> </w:t>
      </w:r>
      <w:r w:rsidR="001A6DC3">
        <w:t xml:space="preserve">určeného s rámci </w:t>
      </w:r>
      <w:r w:rsidR="001A6DC3" w:rsidRPr="001A6DC3">
        <w:t>filosof</w:t>
      </w:r>
      <w:r w:rsidR="00DF2FC3">
        <w:t>ické moudrosti. Druhá námitka má hermeneutický charakter</w:t>
      </w:r>
      <w:r w:rsidR="00B40759">
        <w:t>. K</w:t>
      </w:r>
      <w:r w:rsidR="00DF2FC3">
        <w:t xml:space="preserve">ritický výklad nemůže přijmout žádný model iracionální iluminace. Hermenutika </w:t>
      </w:r>
      <w:r w:rsidR="00DF2FC3" w:rsidRPr="001A6DC3">
        <w:t xml:space="preserve">musí sledovat </w:t>
      </w:r>
      <w:r w:rsidR="00DF2FC3">
        <w:t xml:space="preserve">cestu </w:t>
      </w:r>
      <w:r w:rsidR="00DF2FC3" w:rsidRPr="001A6DC3">
        <w:t>slunce po obloze</w:t>
      </w:r>
      <w:r w:rsidR="00DF2FC3">
        <w:t xml:space="preserve"> a musí přesně vědět, jakou formu humanismu má před sebou. K</w:t>
      </w:r>
      <w:r w:rsidR="001A6DC3">
        <w:t>ategoriální</w:t>
      </w:r>
      <w:r w:rsidR="001A6DC3" w:rsidRPr="001A6DC3">
        <w:t xml:space="preserve"> predikace </w:t>
      </w:r>
      <w:r w:rsidR="00DF2FC3">
        <w:t xml:space="preserve">postmoderny a nihilismu je </w:t>
      </w:r>
      <w:r w:rsidR="001A6DC3" w:rsidRPr="001A6DC3">
        <w:t xml:space="preserve">založená </w:t>
      </w:r>
      <w:r w:rsidR="006B54F5">
        <w:t xml:space="preserve">na </w:t>
      </w:r>
      <w:r w:rsidR="001A6DC3">
        <w:t xml:space="preserve">donaci </w:t>
      </w:r>
      <w:r w:rsidR="001A6DC3" w:rsidRPr="001A6DC3">
        <w:t xml:space="preserve">bytí prostřednictvím </w:t>
      </w:r>
      <w:r w:rsidR="00DF2FC3">
        <w:t xml:space="preserve">objektivního dativu, který stojí až na konci celé řady donací bytí skrze různé formy </w:t>
      </w:r>
      <w:r w:rsidR="006B54F5">
        <w:t xml:space="preserve">zakládajícího </w:t>
      </w:r>
      <w:r w:rsidR="00DF2FC3">
        <w:t xml:space="preserve">dativu. V epoše současného nihilismu daného skrze </w:t>
      </w:r>
      <w:r w:rsidR="00DF2FC3" w:rsidRPr="00DF2FC3">
        <w:rPr>
          <w:i/>
        </w:rPr>
        <w:t>dativus obiectivus</w:t>
      </w:r>
      <w:r w:rsidR="00DF2FC3">
        <w:t xml:space="preserve"> je </w:t>
      </w:r>
      <w:r w:rsidR="001A6DC3">
        <w:t xml:space="preserve">třeba vyjít </w:t>
      </w:r>
      <w:r w:rsidR="001A6DC3" w:rsidRPr="001A6DC3">
        <w:t>z přivlastňovacího dativu jako druhé substance</w:t>
      </w:r>
      <w:r w:rsidR="00DF2FC3">
        <w:t xml:space="preserve">. Ta určuje povahu etického </w:t>
      </w:r>
      <w:r w:rsidR="001A6DC3" w:rsidRPr="001A6DC3">
        <w:t>dativu</w:t>
      </w:r>
      <w:r w:rsidR="00DF2FC3">
        <w:t xml:space="preserve">, který je </w:t>
      </w:r>
      <w:r w:rsidR="001A6DC3" w:rsidRPr="001A6DC3">
        <w:t>akcide</w:t>
      </w:r>
      <w:r w:rsidR="001A6DC3">
        <w:t>nt</w:t>
      </w:r>
      <w:r w:rsidR="00DF2FC3">
        <w:t xml:space="preserve">em takto určené </w:t>
      </w:r>
      <w:r w:rsidR="006B54F5">
        <w:t xml:space="preserve">druhé substance. </w:t>
      </w:r>
      <w:r w:rsidR="001A6DC3">
        <w:t>Lévinasův „bližní“</w:t>
      </w:r>
      <w:r w:rsidR="001A6DC3" w:rsidRPr="001A6DC3">
        <w:t xml:space="preserve"> </w:t>
      </w:r>
      <w:r w:rsidR="001A6DC3">
        <w:t xml:space="preserve">má z obou výše uvedených důvodů stejně </w:t>
      </w:r>
      <w:r w:rsidR="001A6DC3" w:rsidRPr="001A6DC3">
        <w:t>nejasný status</w:t>
      </w:r>
      <w:r w:rsidR="001A6DC3">
        <w:t xml:space="preserve">, jako měla moderní Bonaventurova metafyzika. </w:t>
      </w:r>
      <w:r w:rsidRPr="00B77033">
        <w:t>Lévinasovo dilema ohledně filosofie a teologie kritizoval Derrida</w:t>
      </w:r>
      <w:r>
        <w:fldChar w:fldCharType="begin"/>
      </w:r>
      <w:r>
        <w:instrText xml:space="preserve"> XE "</w:instrText>
      </w:r>
      <w:r w:rsidRPr="00114AE8">
        <w:instrText>Derrida, J.</w:instrText>
      </w:r>
      <w:r>
        <w:instrText xml:space="preserve">" </w:instrText>
      </w:r>
      <w:r>
        <w:fldChar w:fldCharType="end"/>
      </w:r>
      <w:r w:rsidRPr="00B77033">
        <w:t xml:space="preserve"> v raném eseji </w:t>
      </w:r>
      <w:r w:rsidRPr="00B77033">
        <w:rPr>
          <w:i/>
        </w:rPr>
        <w:t>Violence et métaphysique</w:t>
      </w:r>
      <w:r w:rsidRPr="00B77033">
        <w:t xml:space="preserve"> věnovaném rozboru Lévinasovy etiky</w:t>
      </w:r>
      <w:r>
        <w:t xml:space="preserve">. Lévinas přestal vést dialog s druhým člověkem jako jazykovým subjektem a adresoval své rabínské slovo do nekonečna totalitního významu </w:t>
      </w:r>
      <w:r>
        <w:lastRenderedPageBreak/>
        <w:t>daného o sobě a pouze pro sebe.</w:t>
      </w:r>
      <w:r>
        <w:rPr>
          <w:rStyle w:val="Znakapoznpodarou"/>
        </w:rPr>
        <w:footnoteReference w:id="65"/>
      </w:r>
      <w:r>
        <w:t xml:space="preserve"> Tím se </w:t>
      </w:r>
      <w:r w:rsidRPr="00273106">
        <w:t>uzavře</w:t>
      </w:r>
      <w:r>
        <w:t>la</w:t>
      </w:r>
      <w:r w:rsidRPr="00273106">
        <w:t xml:space="preserve"> cest</w:t>
      </w:r>
      <w:r>
        <w:t>a</w:t>
      </w:r>
      <w:r w:rsidRPr="00273106">
        <w:t xml:space="preserve"> </w:t>
      </w:r>
      <w:r w:rsidRPr="00273106">
        <w:rPr>
          <w:i/>
        </w:rPr>
        <w:t>Modernorum</w:t>
      </w:r>
      <w:r>
        <w:t xml:space="preserve"> daná mimo filosofii a nakonec i mimo racionálně zdůvodněn</w:t>
      </w:r>
      <w:r w:rsidR="00795668">
        <w:t xml:space="preserve">ý smysl </w:t>
      </w:r>
      <w:r>
        <w:t xml:space="preserve">a </w:t>
      </w:r>
      <w:r w:rsidR="00795668">
        <w:t>kategoriální predikaci.</w:t>
      </w:r>
    </w:p>
    <w:p w:rsidR="08163013" w:rsidRDefault="00BB26F2" w:rsidP="00843E78">
      <w:pPr>
        <w:ind w:firstLine="397"/>
      </w:pPr>
      <w:r>
        <w:t xml:space="preserve">Bonaventurova metafyzika založená na biblickém </w:t>
      </w:r>
      <w:r w:rsidR="00795668">
        <w:t>„</w:t>
      </w:r>
      <w:r w:rsidR="08163013" w:rsidRPr="08E73B40">
        <w:rPr>
          <w:i/>
        </w:rPr>
        <w:t>signatum</w:t>
      </w:r>
      <w:r w:rsidR="00795668">
        <w:t>“</w:t>
      </w:r>
      <w:r w:rsidR="08163013">
        <w:t xml:space="preserve"> překročil</w:t>
      </w:r>
      <w:r>
        <w:t>a</w:t>
      </w:r>
      <w:r w:rsidR="08163013">
        <w:t xml:space="preserve"> Rufusovu metafyziku</w:t>
      </w:r>
      <w:r>
        <w:t>. Rufus n</w:t>
      </w:r>
      <w:r w:rsidR="08163013">
        <w:t>aš</w:t>
      </w:r>
      <w:r>
        <w:t>el</w:t>
      </w:r>
      <w:r w:rsidR="08163013">
        <w:t xml:space="preserve"> moderní předmět poznání, ale </w:t>
      </w:r>
      <w:r>
        <w:t xml:space="preserve">nebyl schopen definovat </w:t>
      </w:r>
      <w:r w:rsidR="08163013">
        <w:t xml:space="preserve">moderní subjekt tohoto poznání. Bonaventurovi bylo </w:t>
      </w:r>
      <w:r w:rsidR="08163013" w:rsidRPr="00273106">
        <w:t>jasné</w:t>
      </w:r>
      <w:r w:rsidR="08163013">
        <w:t xml:space="preserve"> stejně jako Kilwardbymu</w:t>
      </w:r>
      <w:r w:rsidR="08163013" w:rsidRPr="00273106">
        <w:t xml:space="preserve">, že </w:t>
      </w:r>
      <w:r w:rsidR="08163013">
        <w:t xml:space="preserve">matematická úroveň abstrakce není schopna najít </w:t>
      </w:r>
      <w:r w:rsidR="08163013" w:rsidRPr="00273106">
        <w:t xml:space="preserve">původní </w:t>
      </w:r>
      <w:r w:rsidR="08163013">
        <w:t>jednotu jsoucna, která musí mít metafyzický charakter</w:t>
      </w:r>
      <w:r w:rsidR="08163013" w:rsidRPr="00273106">
        <w:t>.</w:t>
      </w:r>
      <w:r w:rsidR="08163013">
        <w:t xml:space="preserve"> Spis </w:t>
      </w:r>
      <w:r w:rsidR="08163013" w:rsidRPr="00A82CD3">
        <w:rPr>
          <w:i/>
        </w:rPr>
        <w:t>Metafyzika</w:t>
      </w:r>
      <w:r w:rsidR="08163013">
        <w:t xml:space="preserve"> nepřijal nárok </w:t>
      </w:r>
      <w:r w:rsidR="08163013" w:rsidRPr="00273106">
        <w:t xml:space="preserve">matematiky jako hledané první vědy a </w:t>
      </w:r>
      <w:r w:rsidR="08163013">
        <w:t xml:space="preserve">odmítá </w:t>
      </w:r>
      <w:r w:rsidR="08163013" w:rsidRPr="00273106">
        <w:t xml:space="preserve">autonomní </w:t>
      </w:r>
      <w:r w:rsidR="08163013">
        <w:t>existenci</w:t>
      </w:r>
      <w:r w:rsidR="08163013" w:rsidRPr="00273106">
        <w:t xml:space="preserve"> oddělených matematických substancí (</w:t>
      </w:r>
      <w:r w:rsidR="08163013" w:rsidRPr="00273106">
        <w:rPr>
          <w:i/>
        </w:rPr>
        <w:t>Met</w:t>
      </w:r>
      <w:r w:rsidR="08163013" w:rsidRPr="00273106">
        <w:t>. 1076b13‒16</w:t>
      </w:r>
      <w:r w:rsidR="08163013">
        <w:fldChar w:fldCharType="begin"/>
      </w:r>
      <w:r w:rsidR="08163013">
        <w:instrText xml:space="preserve"> XE "Aristoteles:</w:instrText>
      </w:r>
      <w:r w:rsidR="08163013" w:rsidRPr="00282292">
        <w:rPr>
          <w:i/>
        </w:rPr>
        <w:instrText>Met</w:instrText>
      </w:r>
      <w:r w:rsidR="08163013" w:rsidRPr="00282292">
        <w:instrText>. 1076b13‒16</w:instrText>
      </w:r>
      <w:r w:rsidR="08163013">
        <w:instrText xml:space="preserve">" </w:instrText>
      </w:r>
      <w:r w:rsidR="08163013">
        <w:fldChar w:fldCharType="end"/>
      </w:r>
      <w:r w:rsidR="08163013" w:rsidRPr="00273106">
        <w:t>).</w:t>
      </w:r>
      <w:r w:rsidR="08163013" w:rsidRPr="00E57162">
        <w:t xml:space="preserve"> </w:t>
      </w:r>
      <w:r w:rsidR="08163013">
        <w:t>J</w:t>
      </w:r>
      <w:r w:rsidR="08163013" w:rsidRPr="00273106">
        <w:t xml:space="preserve">soucno </w:t>
      </w:r>
      <w:r w:rsidR="08163013">
        <w:t xml:space="preserve">dostává první moderní </w:t>
      </w:r>
      <w:r w:rsidR="08163013" w:rsidRPr="00273106">
        <w:t xml:space="preserve">metafyzické určení v rámci </w:t>
      </w:r>
      <w:r w:rsidR="08163013">
        <w:t xml:space="preserve">aktu mystického </w:t>
      </w:r>
      <w:r w:rsidR="008F4B5C">
        <w:t>„</w:t>
      </w:r>
      <w:r w:rsidR="08163013" w:rsidRPr="00273106">
        <w:rPr>
          <w:i/>
        </w:rPr>
        <w:t>signatum</w:t>
      </w:r>
      <w:r w:rsidR="008F4B5C">
        <w:t>“</w:t>
      </w:r>
      <w:r w:rsidR="08163013">
        <w:rPr>
          <w:i/>
        </w:rPr>
        <w:fldChar w:fldCharType="begin"/>
      </w:r>
      <w:r w:rsidR="08163013">
        <w:instrText xml:space="preserve"> XE "</w:instrText>
      </w:r>
      <w:r w:rsidR="08163013" w:rsidRPr="009F3DC0">
        <w:rPr>
          <w:i/>
        </w:rPr>
        <w:instrText>signatum</w:instrText>
      </w:r>
      <w:r w:rsidR="08163013">
        <w:instrText xml:space="preserve">" </w:instrText>
      </w:r>
      <w:r w:rsidR="08163013">
        <w:rPr>
          <w:i/>
        </w:rPr>
        <w:fldChar w:fldCharType="end"/>
      </w:r>
      <w:r w:rsidR="008F4B5C">
        <w:t xml:space="preserve">. Moderní subjekt si přivlastňuje jsoucno skrze demiurgickou asignaci, která se provádí podle </w:t>
      </w:r>
      <w:r w:rsidR="08163013">
        <w:t>předem dané objektivní regule</w:t>
      </w:r>
      <w:r w:rsidR="008F4B5C">
        <w:t xml:space="preserve"> </w:t>
      </w:r>
      <w:r w:rsidR="008F4B5C">
        <w:rPr>
          <w:szCs w:val="24"/>
        </w:rPr>
        <w:t>(</w:t>
      </w:r>
      <w:r w:rsidR="008F4B5C" w:rsidRPr="008F4B5C">
        <w:rPr>
          <w:i/>
        </w:rPr>
        <w:t>Er-eignen</w:t>
      </w:r>
      <w:r w:rsidR="008F4B5C" w:rsidRPr="008F4B5C">
        <w:rPr>
          <w:i/>
        </w:rPr>
        <w:fldChar w:fldCharType="begin"/>
      </w:r>
      <w:r w:rsidR="008F4B5C" w:rsidRPr="008F4B5C">
        <w:rPr>
          <w:i/>
        </w:rPr>
        <w:instrText xml:space="preserve"> XE "Er-eignen" </w:instrText>
      </w:r>
      <w:r w:rsidR="008F4B5C" w:rsidRPr="008F4B5C">
        <w:rPr>
          <w:i/>
        </w:rPr>
        <w:fldChar w:fldCharType="end"/>
      </w:r>
      <w:r w:rsidR="008F4B5C">
        <w:rPr>
          <w:szCs w:val="24"/>
        </w:rPr>
        <w:t>)</w:t>
      </w:r>
      <w:r w:rsidR="08163013">
        <w:t>. Původní jednota všeho je dána mystickým náhledem do božího díla a do boží podstaty.</w:t>
      </w:r>
      <w:r w:rsidR="08163013" w:rsidRPr="00A1115B">
        <w:t xml:space="preserve"> </w:t>
      </w:r>
      <w:r w:rsidR="08163013" w:rsidRPr="00273106">
        <w:t xml:space="preserve">Augustin v díle </w:t>
      </w:r>
      <w:r w:rsidR="08163013" w:rsidRPr="00273106">
        <w:rPr>
          <w:rStyle w:val="Zvraznn"/>
        </w:rPr>
        <w:t>Tractatus primus in Ioannem</w:t>
      </w:r>
      <w:r w:rsidR="08163013" w:rsidRPr="00273106">
        <w:rPr>
          <w:rStyle w:val="Zvraznn"/>
          <w:i w:val="0"/>
        </w:rPr>
        <w:t xml:space="preserve"> komentuje starozákonní </w:t>
      </w:r>
      <w:r w:rsidR="08163013" w:rsidRPr="00A82CD3">
        <w:rPr>
          <w:rStyle w:val="Zvraznn"/>
        </w:rPr>
        <w:t>Knihu moudrosti</w:t>
      </w:r>
      <w:r w:rsidR="08163013">
        <w:rPr>
          <w:rStyle w:val="Zvraznn"/>
          <w:i w:val="0"/>
        </w:rPr>
        <w:t xml:space="preserve">. Biblický autor a po něm neoplatonský Augustin </w:t>
      </w:r>
      <w:r w:rsidR="08163013" w:rsidRPr="00273106">
        <w:rPr>
          <w:rStyle w:val="Zvraznn"/>
          <w:i w:val="0"/>
        </w:rPr>
        <w:t xml:space="preserve">chválí </w:t>
      </w:r>
      <w:r w:rsidR="08163013" w:rsidRPr="00273106">
        <w:t>Stvořitele za to, že vše uspořá</w:t>
      </w:r>
      <w:r w:rsidR="08163013">
        <w:t xml:space="preserve">dal podle míry, počtu a váhy </w:t>
      </w:r>
      <w:r w:rsidR="08163013" w:rsidRPr="00273106">
        <w:rPr>
          <w:rStyle w:val="Zvraznn"/>
          <w:i w:val="0"/>
        </w:rPr>
        <w:t>(</w:t>
      </w:r>
      <w:r w:rsidR="08163013" w:rsidRPr="00273106">
        <w:rPr>
          <w:i/>
        </w:rPr>
        <w:t>omnia in mensura, et numero et pondere disposuisti</w:t>
      </w:r>
      <w:r w:rsidR="08163013" w:rsidRPr="007504D0">
        <w:t xml:space="preserve">, </w:t>
      </w:r>
      <w:r w:rsidR="08163013" w:rsidRPr="00273106">
        <w:rPr>
          <w:i/>
        </w:rPr>
        <w:t>Liber Sapientiae</w:t>
      </w:r>
      <w:r w:rsidR="08163013" w:rsidRPr="00273106">
        <w:t xml:space="preserve"> </w:t>
      </w:r>
      <w:r w:rsidR="08163013" w:rsidRPr="00273106">
        <w:rPr>
          <w:rStyle w:val="st"/>
        </w:rPr>
        <w:t>11:21</w:t>
      </w:r>
      <w:r w:rsidR="08163013">
        <w:rPr>
          <w:rStyle w:val="st"/>
        </w:rPr>
        <w:fldChar w:fldCharType="begin"/>
      </w:r>
      <w:r w:rsidR="08163013">
        <w:instrText xml:space="preserve"> XE "</w:instrText>
      </w:r>
      <w:r w:rsidR="08163013" w:rsidRPr="00FD00D1">
        <w:instrText>Starý zákon</w:instrText>
      </w:r>
      <w:r w:rsidR="08163013" w:rsidRPr="00142FB3">
        <w:rPr>
          <w:i/>
        </w:rPr>
        <w:instrText>:</w:instrText>
      </w:r>
      <w:r w:rsidR="08163013" w:rsidRPr="00FD00D1">
        <w:instrText>Moudr</w:instrText>
      </w:r>
      <w:r w:rsidR="08163013">
        <w:rPr>
          <w:i/>
        </w:rPr>
        <w:instrText>.</w:instrText>
      </w:r>
      <w:r w:rsidR="08163013" w:rsidRPr="00142FB3">
        <w:instrText xml:space="preserve"> </w:instrText>
      </w:r>
      <w:r w:rsidR="08163013">
        <w:rPr>
          <w:rStyle w:val="st"/>
        </w:rPr>
        <w:instrText>11.</w:instrText>
      </w:r>
      <w:r w:rsidR="08163013" w:rsidRPr="00142FB3">
        <w:rPr>
          <w:rStyle w:val="st"/>
        </w:rPr>
        <w:instrText>21</w:instrText>
      </w:r>
      <w:r w:rsidR="08163013">
        <w:instrText xml:space="preserve">" </w:instrText>
      </w:r>
      <w:r w:rsidR="08163013">
        <w:rPr>
          <w:rStyle w:val="st"/>
        </w:rPr>
        <w:fldChar w:fldCharType="end"/>
      </w:r>
      <w:r w:rsidR="08163013">
        <w:rPr>
          <w:rStyle w:val="Zvraznn"/>
          <w:i w:val="0"/>
        </w:rPr>
        <w:t>)</w:t>
      </w:r>
      <w:r w:rsidR="08163013" w:rsidRPr="00273106">
        <w:t>.</w:t>
      </w:r>
      <w:r w:rsidR="08163013">
        <w:t xml:space="preserve"> Bonaventura tvrdí, že tato předzjednaná harmonie daná v boží mysli je ve stvoření univerzálně signifikována skrze exemplární a seminální formy. </w:t>
      </w:r>
      <w:r w:rsidR="08163013" w:rsidRPr="00273106">
        <w:t xml:space="preserve">Jednota </w:t>
      </w:r>
      <w:r w:rsidR="08163013">
        <w:t xml:space="preserve">všeho je dána v rámci numerické jednoty determinované biblicky. Mystika míry, počtu a váhy </w:t>
      </w:r>
      <w:r w:rsidR="08163013" w:rsidRPr="00273106">
        <w:t xml:space="preserve">nahrazuje </w:t>
      </w:r>
      <w:r w:rsidR="08163013">
        <w:t>kategoriální jednotu substancí</w:t>
      </w:r>
      <w:r w:rsidR="08163013" w:rsidRPr="00273106">
        <w:t xml:space="preserve">. </w:t>
      </w:r>
      <w:r w:rsidR="08363832">
        <w:t xml:space="preserve">Smysl jsoucna je určený </w:t>
      </w:r>
      <w:r w:rsidR="00843E78" w:rsidRPr="00843E78">
        <w:t xml:space="preserve">jako celek stvoření </w:t>
      </w:r>
      <w:r w:rsidR="00843E78">
        <w:t xml:space="preserve">reflektovaný </w:t>
      </w:r>
      <w:r w:rsidR="00843E78" w:rsidRPr="00843E78">
        <w:t xml:space="preserve">ze směru </w:t>
      </w:r>
      <w:r w:rsidR="00843E78">
        <w:t>matematicky provedené iluminace, která vychází z boží tváře</w:t>
      </w:r>
      <w:r w:rsidR="08163013">
        <w:t>.</w:t>
      </w:r>
    </w:p>
    <w:p w:rsidR="08163013" w:rsidRDefault="08163013" w:rsidP="08163013">
      <w:pPr>
        <w:pStyle w:val="Citace"/>
        <w:rPr>
          <w:lang w:val="cs-CZ"/>
        </w:rPr>
      </w:pPr>
      <w:r w:rsidRPr="00273106">
        <w:rPr>
          <w:noProof/>
        </w:rPr>
        <w:t>„</w:t>
      </w:r>
      <w:r>
        <w:rPr>
          <w:noProof/>
          <w:lang w:val="cs-CZ"/>
        </w:rPr>
        <w:t>Proto je třeba kontemplovat boha nejen mimo nás a v nás, ale také nad námi (</w:t>
      </w:r>
      <w:r w:rsidRPr="005741E8">
        <w:rPr>
          <w:i/>
          <w:noProof/>
          <w:lang w:val="cs-CZ"/>
        </w:rPr>
        <w:t>supra nos</w:t>
      </w:r>
      <w:r>
        <w:rPr>
          <w:noProof/>
          <w:lang w:val="cs-CZ"/>
        </w:rPr>
        <w:t>). Mimo nás kontemplujeme boha skrze jeho stopu ve stvoření (</w:t>
      </w:r>
      <w:r w:rsidRPr="005741E8">
        <w:rPr>
          <w:i/>
          <w:noProof/>
          <w:lang w:val="cs-CZ"/>
        </w:rPr>
        <w:t>vestigium</w:t>
      </w:r>
      <w:r>
        <w:rPr>
          <w:noProof/>
          <w:lang w:val="cs-CZ"/>
        </w:rPr>
        <w:t>); v nás skrze představivost; n</w:t>
      </w:r>
      <w:r w:rsidR="004304D2">
        <w:rPr>
          <w:noProof/>
          <w:lang w:val="cs-CZ"/>
        </w:rPr>
        <w:t xml:space="preserve">ad námi skrze světlo boží tváře, které transcenduje naši mysl </w:t>
      </w:r>
      <w:r>
        <w:rPr>
          <w:noProof/>
          <w:lang w:val="cs-CZ"/>
        </w:rPr>
        <w:t>(</w:t>
      </w:r>
      <w:r w:rsidRPr="005741E8">
        <w:rPr>
          <w:i/>
          <w:noProof/>
          <w:lang w:val="cs-CZ"/>
        </w:rPr>
        <w:t>supra per lumen, quod est signatum supra</w:t>
      </w:r>
      <w:r>
        <w:rPr>
          <w:i/>
          <w:noProof/>
          <w:lang w:val="cs-CZ"/>
        </w:rPr>
        <w:t xml:space="preserve"> mente</w:t>
      </w:r>
      <w:r w:rsidRPr="005741E8">
        <w:rPr>
          <w:i/>
          <w:noProof/>
          <w:lang w:val="cs-CZ"/>
        </w:rPr>
        <w:t>m nostram</w:t>
      </w:r>
      <w:r>
        <w:rPr>
          <w:noProof/>
          <w:lang w:val="cs-CZ"/>
        </w:rPr>
        <w:t>). To je světlo Věčné pravdy, protože 'naše mysl je bezprostředně (</w:t>
      </w:r>
      <w:r w:rsidRPr="005741E8">
        <w:rPr>
          <w:i/>
          <w:noProof/>
          <w:lang w:val="cs-CZ"/>
        </w:rPr>
        <w:t>inmediate</w:t>
      </w:r>
      <w:r w:rsidR="00E052A2">
        <w:rPr>
          <w:noProof/>
          <w:lang w:val="cs-CZ"/>
        </w:rPr>
        <w:t>) formována od této Pravdy</w:t>
      </w:r>
      <w:r>
        <w:rPr>
          <w:noProof/>
          <w:lang w:val="cs-CZ"/>
        </w:rPr>
        <w:t>'...“ </w:t>
      </w:r>
      <w:r>
        <w:rPr>
          <w:rStyle w:val="Znakapoznpodarou"/>
        </w:rPr>
        <w:footnoteReference w:id="66"/>
      </w:r>
    </w:p>
    <w:p w:rsidR="008346DC" w:rsidRDefault="089C4F70" w:rsidP="08163013">
      <w:r>
        <w:lastRenderedPageBreak/>
        <w:t>Citace ukazuje novou dráhu náhledu na celek</w:t>
      </w:r>
      <w:r w:rsidR="001B5655">
        <w:t xml:space="preserve"> jsoucna (</w:t>
      </w:r>
      <w:r w:rsidR="001B5655">
        <w:rPr>
          <w:i/>
        </w:rPr>
        <w:t>Vor-</w:t>
      </w:r>
      <w:r w:rsidRPr="005741E8">
        <w:rPr>
          <w:i/>
        </w:rPr>
        <w:t>blickbahn</w:t>
      </w:r>
      <w:r w:rsidR="001B5655">
        <w:t xml:space="preserve">, </w:t>
      </w:r>
      <w:r>
        <w:t>OBJ I, kap. 1</w:t>
      </w:r>
      <w:r>
        <w:rPr>
          <w:i/>
        </w:rPr>
        <w:fldChar w:fldCharType="begin"/>
      </w:r>
      <w:r>
        <w:instrText xml:space="preserve"> XE "</w:instrText>
      </w:r>
      <w:r>
        <w:rPr>
          <w:i/>
        </w:rPr>
        <w:instrText>Vor-</w:instrText>
      </w:r>
      <w:r w:rsidRPr="000C66F2">
        <w:rPr>
          <w:i/>
        </w:rPr>
        <w:instrText>b</w:instrText>
      </w:r>
      <w:r w:rsidRPr="000C66F2">
        <w:rPr>
          <w:i/>
          <w:iCs/>
        </w:rPr>
        <w:instrText>lickbahn</w:instrText>
      </w:r>
      <w:r>
        <w:rPr>
          <w:i/>
          <w:iCs/>
        </w:rPr>
        <w:instrText>:</w:instrText>
      </w:r>
      <w:r w:rsidRPr="00FD00D1">
        <w:rPr>
          <w:iCs/>
        </w:rPr>
        <w:instrText>Bonaventura</w:instrText>
      </w:r>
      <w:r>
        <w:instrText xml:space="preserve">" </w:instrText>
      </w:r>
      <w:r>
        <w:rPr>
          <w:i/>
        </w:rPr>
        <w:fldChar w:fldCharType="end"/>
      </w:r>
      <w:r>
        <w:t xml:space="preserve">). </w:t>
      </w:r>
      <w:r w:rsidR="00194852">
        <w:t xml:space="preserve">Iluminace </w:t>
      </w:r>
      <w:r w:rsidR="08163013">
        <w:t>jsoucna jde zezadu</w:t>
      </w:r>
      <w:r w:rsidR="08163013" w:rsidRPr="00273106">
        <w:t xml:space="preserve">, směrem od boha, který </w:t>
      </w:r>
      <w:r w:rsidR="08163013">
        <w:t xml:space="preserve">bezprostředně </w:t>
      </w:r>
      <w:r w:rsidR="08163013" w:rsidRPr="00273106">
        <w:t xml:space="preserve">formuje svou božskou pravdou </w:t>
      </w:r>
      <w:r w:rsidR="08163013">
        <w:t xml:space="preserve">naše </w:t>
      </w:r>
      <w:r w:rsidR="08163013" w:rsidRPr="00273106">
        <w:t>poznání (</w:t>
      </w:r>
      <w:r w:rsidR="08163013" w:rsidRPr="00273106">
        <w:rPr>
          <w:i/>
        </w:rPr>
        <w:t>mens nostra inmediate ab ipsa Veritate formetur</w:t>
      </w:r>
      <w:r w:rsidR="08163013" w:rsidRPr="00273106">
        <w:t xml:space="preserve">). </w:t>
      </w:r>
      <w:r w:rsidR="08163013">
        <w:t>V</w:t>
      </w:r>
      <w:r w:rsidR="08163013" w:rsidRPr="00273106">
        <w:t xml:space="preserve"> předložené</w:t>
      </w:r>
      <w:r w:rsidR="08163013">
        <w:t xml:space="preserve">m schématu </w:t>
      </w:r>
      <w:r w:rsidR="08163013" w:rsidRPr="00273106">
        <w:t xml:space="preserve">hraje </w:t>
      </w:r>
      <w:r w:rsidR="08163013">
        <w:t>klíčovou roli zmíněný princip</w:t>
      </w:r>
      <w:r w:rsidR="00FC6C1F">
        <w:t xml:space="preserve"> „</w:t>
      </w:r>
      <w:r w:rsidR="00FC6C1F">
        <w:rPr>
          <w:i/>
          <w:iCs/>
        </w:rPr>
        <w:t>inmediate</w:t>
      </w:r>
      <w:r w:rsidR="00FC6C1F">
        <w:t>“</w:t>
      </w:r>
      <w:r w:rsidR="00FC6C1F" w:rsidRPr="00FC6C1F">
        <w:t xml:space="preserve">. Tento druh </w:t>
      </w:r>
      <w:r w:rsidR="00FC6C1F">
        <w:t>přímého poznání esencí</w:t>
      </w:r>
      <w:r w:rsidR="00FC6C1F" w:rsidRPr="00FC6C1F">
        <w:t xml:space="preserve"> je proveden </w:t>
      </w:r>
      <w:r w:rsidR="00FC6C1F">
        <w:t xml:space="preserve">podle </w:t>
      </w:r>
      <w:r w:rsidR="007822C1">
        <w:t xml:space="preserve">vyššího </w:t>
      </w:r>
      <w:r w:rsidR="00FC6C1F">
        <w:t xml:space="preserve">poznání jako </w:t>
      </w:r>
      <w:r w:rsidR="00FC6C1F" w:rsidRPr="00FC6C1F">
        <w:t>"</w:t>
      </w:r>
      <w:r w:rsidR="00FC6C1F" w:rsidRPr="00FC6C1F">
        <w:rPr>
          <w:i/>
          <w:iCs/>
        </w:rPr>
        <w:t>intellectus</w:t>
      </w:r>
      <w:r w:rsidR="00FC6C1F" w:rsidRPr="00FC6C1F">
        <w:t xml:space="preserve">" </w:t>
      </w:r>
      <w:r w:rsidR="00FC6C1F">
        <w:t xml:space="preserve">u </w:t>
      </w:r>
      <w:r w:rsidR="00FC6C1F" w:rsidRPr="00FC6C1F">
        <w:t xml:space="preserve">Grossetesteho (OBJ II, kap. 3.1.1). </w:t>
      </w:r>
      <w:r w:rsidR="08163013" w:rsidRPr="00273106">
        <w:t xml:space="preserve">Bonaventura převedl </w:t>
      </w:r>
      <w:r w:rsidR="08163013">
        <w:t xml:space="preserve">myšlení </w:t>
      </w:r>
      <w:r w:rsidR="08163013" w:rsidRPr="00273106">
        <w:rPr>
          <w:i/>
        </w:rPr>
        <w:t>Oxfordian Fallacy</w:t>
      </w:r>
      <w:r w:rsidR="08163013">
        <w:rPr>
          <w:i/>
        </w:rPr>
        <w:fldChar w:fldCharType="begin"/>
      </w:r>
      <w:r w:rsidR="08163013">
        <w:instrText xml:space="preserve"> XE "</w:instrText>
      </w:r>
      <w:r w:rsidR="08163013" w:rsidRPr="0015798D">
        <w:rPr>
          <w:i/>
        </w:rPr>
        <w:instrText>Oxfordian Fallacy:</w:instrText>
      </w:r>
      <w:r w:rsidR="08163013" w:rsidRPr="00FD00D1">
        <w:instrText>Bonaventura</w:instrText>
      </w:r>
      <w:r w:rsidR="08163013">
        <w:instrText xml:space="preserve">" </w:instrText>
      </w:r>
      <w:r w:rsidR="08163013">
        <w:rPr>
          <w:i/>
        </w:rPr>
        <w:fldChar w:fldCharType="end"/>
      </w:r>
      <w:r w:rsidR="08163013" w:rsidRPr="00273106">
        <w:t xml:space="preserve"> do epochální účinn</w:t>
      </w:r>
      <w:r w:rsidR="08163013">
        <w:t>osti</w:t>
      </w:r>
      <w:r w:rsidR="00557A40">
        <w:t xml:space="preserve">. Dal </w:t>
      </w:r>
      <w:r w:rsidR="08163013">
        <w:t xml:space="preserve">centrální princip </w:t>
      </w:r>
      <w:r w:rsidR="00557A40">
        <w:t>„</w:t>
      </w:r>
      <w:r w:rsidR="08027AC2" w:rsidRPr="00557A40">
        <w:rPr>
          <w:i/>
        </w:rPr>
        <w:t>ex</w:t>
      </w:r>
      <w:r w:rsidR="08027AC2">
        <w:t xml:space="preserve"> </w:t>
      </w:r>
      <w:r w:rsidR="08027AC2">
        <w:rPr>
          <w:i/>
        </w:rPr>
        <w:t>inmediatis</w:t>
      </w:r>
      <w:r w:rsidR="00557A40">
        <w:t>“</w:t>
      </w:r>
      <w:r w:rsidR="08163013" w:rsidRPr="00273106">
        <w:t xml:space="preserve"> postulovaný ve </w:t>
      </w:r>
      <w:r w:rsidR="08163013" w:rsidRPr="00377E28">
        <w:rPr>
          <w:i/>
        </w:rPr>
        <w:t>Druhých analytikách</w:t>
      </w:r>
      <w:r w:rsidR="08163013" w:rsidRPr="00273106">
        <w:t xml:space="preserve"> </w:t>
      </w:r>
      <w:r w:rsidR="00557A40">
        <w:t xml:space="preserve">do </w:t>
      </w:r>
      <w:r w:rsidR="00557A40" w:rsidRPr="00273106">
        <w:t xml:space="preserve">metafyziky založené </w:t>
      </w:r>
      <w:r w:rsidR="00557A40">
        <w:t>christocentricky. Tímto způsobem vzniklo nové „</w:t>
      </w:r>
      <w:r w:rsidR="08163013" w:rsidRPr="00273106">
        <w:rPr>
          <w:i/>
        </w:rPr>
        <w:t>resolutio</w:t>
      </w:r>
      <w:r w:rsidR="00557A40">
        <w:t>“</w:t>
      </w:r>
      <w:r w:rsidR="08163013">
        <w:rPr>
          <w:i/>
        </w:rPr>
        <w:fldChar w:fldCharType="begin"/>
      </w:r>
      <w:r w:rsidR="08163013">
        <w:instrText xml:space="preserve"> XE "</w:instrText>
      </w:r>
      <w:r w:rsidR="08163013" w:rsidRPr="00111E9E">
        <w:rPr>
          <w:i/>
        </w:rPr>
        <w:instrText>resolutio</w:instrText>
      </w:r>
      <w:r w:rsidR="08163013">
        <w:rPr>
          <w:i/>
        </w:rPr>
        <w:instrText>:</w:instrText>
      </w:r>
      <w:r w:rsidR="08163013" w:rsidRPr="007D3515">
        <w:instrText>Bonaventura</w:instrText>
      </w:r>
      <w:r w:rsidR="08163013">
        <w:instrText xml:space="preserve">" </w:instrText>
      </w:r>
      <w:r w:rsidR="08163013">
        <w:rPr>
          <w:i/>
        </w:rPr>
        <w:fldChar w:fldCharType="end"/>
      </w:r>
      <w:r w:rsidR="08163013" w:rsidRPr="00273106">
        <w:t xml:space="preserve"> </w:t>
      </w:r>
      <w:r w:rsidR="00557A40">
        <w:t>jsoucna, které odpovídá ontoteologické struktuře metafyziky</w:t>
      </w:r>
      <w:r w:rsidR="08163013" w:rsidRPr="00273106">
        <w:t xml:space="preserve">. </w:t>
      </w:r>
      <w:r w:rsidR="08163013">
        <w:t xml:space="preserve">Nejen neoplatonský slunce-intelekt ozařuje mytopoeticky svět, ale také biblické světlo boží tváře. Pak už </w:t>
      </w:r>
      <w:r w:rsidR="00413679">
        <w:t>moderní ilumináti nema</w:t>
      </w:r>
      <w:r w:rsidR="00726FAF">
        <w:t>jí prakticky žádný</w:t>
      </w:r>
      <w:r w:rsidR="00413679">
        <w:t xml:space="preserve"> d</w:t>
      </w:r>
      <w:r w:rsidR="08163013">
        <w:t xml:space="preserve">ůvod </w:t>
      </w:r>
      <w:r w:rsidR="00413679">
        <w:t>k tomu, aby</w:t>
      </w:r>
      <w:r w:rsidR="08B51F62">
        <w:t xml:space="preserve"> hledali </w:t>
      </w:r>
      <w:r w:rsidR="007179BF">
        <w:t xml:space="preserve">ve světských </w:t>
      </w:r>
      <w:r w:rsidR="08163013">
        <w:t>temnotách pouhé stopy (</w:t>
      </w:r>
      <w:r w:rsidR="08163013">
        <w:rPr>
          <w:i/>
        </w:rPr>
        <w:t>ves</w:t>
      </w:r>
      <w:r w:rsidR="08163013" w:rsidRPr="08601807">
        <w:rPr>
          <w:i/>
        </w:rPr>
        <w:t>tig</w:t>
      </w:r>
      <w:r w:rsidR="08163013">
        <w:rPr>
          <w:i/>
        </w:rPr>
        <w:t>i</w:t>
      </w:r>
      <w:r w:rsidR="08163013" w:rsidRPr="08601807">
        <w:rPr>
          <w:i/>
        </w:rPr>
        <w:t>um</w:t>
      </w:r>
      <w:r w:rsidR="08163013">
        <w:t>) dané aristotelským empirickým poznáním první</w:t>
      </w:r>
      <w:r w:rsidR="007179BF">
        <w:t>ch substancí recipovaných</w:t>
      </w:r>
      <w:r w:rsidR="08163013">
        <w:t xml:space="preserve"> skrze smysly. Citované dílo </w:t>
      </w:r>
      <w:r w:rsidR="08163013" w:rsidRPr="00273106">
        <w:rPr>
          <w:i/>
        </w:rPr>
        <w:t>Itinerarium mentis in Deum</w:t>
      </w:r>
      <w:r w:rsidR="08163013">
        <w:t xml:space="preserve"> (1259) představuje prvního moderního průvodce celkem </w:t>
      </w:r>
      <w:r w:rsidR="08163013" w:rsidRPr="00273106">
        <w:t>jsoucna</w:t>
      </w:r>
      <w:r w:rsidR="08163013">
        <w:t xml:space="preserve"> nazíraného objektivním způsobem</w:t>
      </w:r>
      <w:r w:rsidR="08163013" w:rsidRPr="00273106">
        <w:t>.</w:t>
      </w:r>
      <w:r w:rsidR="08163013">
        <w:t xml:space="preserve"> Objektivita se stala filosofickým evangeliem křesťanského Západu, což platí o to více i v její současné nihilistické fázi po smrti moderního boha. </w:t>
      </w:r>
      <w:r w:rsidR="08163013" w:rsidRPr="00273106">
        <w:t xml:space="preserve">Předchozí </w:t>
      </w:r>
      <w:r w:rsidR="08163013">
        <w:t xml:space="preserve">kapitola </w:t>
      </w:r>
      <w:r w:rsidR="08163013" w:rsidRPr="00273106">
        <w:t xml:space="preserve">ukázala centrální význam Krista jako vykupitelského prostředníka mezi bohem a člověkem. </w:t>
      </w:r>
      <w:r w:rsidR="08163013">
        <w:t>Bonaventura vzal jeho stvořitelskou a vykupitelskou roli</w:t>
      </w:r>
      <w:r w:rsidR="08163013" w:rsidRPr="00273106">
        <w:t xml:space="preserve"> jako základ nové metafyziky</w:t>
      </w:r>
      <w:r w:rsidR="08163013">
        <w:t xml:space="preserve"> v roli univerzálního středního členu </w:t>
      </w:r>
      <w:r w:rsidR="00B24122">
        <w:t xml:space="preserve">deduktivního syllogismu </w:t>
      </w:r>
      <w:r w:rsidR="08163013" w:rsidRPr="00273106">
        <w:t>(</w:t>
      </w:r>
      <w:r w:rsidR="08163013" w:rsidRPr="00273106">
        <w:rPr>
          <w:i/>
        </w:rPr>
        <w:t>haec est tota nostra metaphysic</w:t>
      </w:r>
      <w:r w:rsidR="000624A7">
        <w:rPr>
          <w:i/>
        </w:rPr>
        <w:t xml:space="preserve">a, </w:t>
      </w:r>
      <w:r w:rsidR="00237F73" w:rsidRPr="000624A7">
        <w:t>kap.</w:t>
      </w:r>
      <w:r w:rsidR="080B5A30">
        <w:t xml:space="preserve"> 4</w:t>
      </w:r>
      <w:r w:rsidR="08163013" w:rsidRPr="00934650">
        <w:t>.1.1</w:t>
      </w:r>
      <w:r w:rsidR="08163013" w:rsidRPr="00273106">
        <w:t xml:space="preserve">). </w:t>
      </w:r>
      <w:r w:rsidR="007204FD">
        <w:t xml:space="preserve">Efektivní </w:t>
      </w:r>
      <w:r w:rsidR="001E634C">
        <w:t xml:space="preserve">demiurg </w:t>
      </w:r>
      <w:r w:rsidR="08163013" w:rsidRPr="00273106">
        <w:t xml:space="preserve">druhého averroismu spojil </w:t>
      </w:r>
      <w:r w:rsidR="08163013">
        <w:t xml:space="preserve">Bibli, </w:t>
      </w:r>
      <w:r w:rsidR="08163013" w:rsidRPr="00273106">
        <w:t>křesťanskou teologii, arabskou falsafu, neoplatonismus a aristotelismus do jednoho celku.</w:t>
      </w:r>
    </w:p>
    <w:p w:rsidR="08163013" w:rsidRDefault="08163013" w:rsidP="0073785A">
      <w:pPr>
        <w:ind w:firstLine="397"/>
      </w:pPr>
      <w:r>
        <w:t xml:space="preserve">Nová forma christologie dala předešlým verzím </w:t>
      </w:r>
      <w:r w:rsidRPr="00ED06E7">
        <w:rPr>
          <w:i/>
        </w:rPr>
        <w:t>Oxfordian Fallacy</w:t>
      </w:r>
      <w:r>
        <w:t xml:space="preserve"> kompletní ontoteologickou strukturu postavenou </w:t>
      </w:r>
      <w:r w:rsidRPr="00273106">
        <w:t>v protikladu k real</w:t>
      </w:r>
      <w:r>
        <w:t xml:space="preserve">istickému principu </w:t>
      </w:r>
      <w:r w:rsidR="08A649EB" w:rsidRPr="08A649EB">
        <w:rPr>
          <w:i/>
        </w:rPr>
        <w:t>ex</w:t>
      </w:r>
      <w:r w:rsidR="08A649EB">
        <w:t xml:space="preserve"> </w:t>
      </w:r>
      <w:r w:rsidR="08A649EB">
        <w:rPr>
          <w:i/>
        </w:rPr>
        <w:t>in</w:t>
      </w:r>
      <w:r w:rsidRPr="00273106">
        <w:rPr>
          <w:i/>
        </w:rPr>
        <w:t>mediat</w:t>
      </w:r>
      <w:r w:rsidR="08A649EB">
        <w:rPr>
          <w:i/>
        </w:rPr>
        <w:t>is</w:t>
      </w:r>
      <w:r>
        <w:fldChar w:fldCharType="begin"/>
      </w:r>
      <w:r>
        <w:instrText xml:space="preserve"> XE "</w:instrText>
      </w:r>
      <w:r w:rsidRPr="004C18C1">
        <w:instrText xml:space="preserve">princip </w:instrText>
      </w:r>
      <w:r w:rsidR="08A649EB">
        <w:rPr>
          <w:i/>
        </w:rPr>
        <w:instrText>ex in</w:instrText>
      </w:r>
      <w:r w:rsidRPr="005E70F0">
        <w:rPr>
          <w:i/>
        </w:rPr>
        <w:instrText>mediatis</w:instrText>
      </w:r>
      <w:r>
        <w:instrText xml:space="preserve">" </w:instrText>
      </w:r>
      <w:r>
        <w:fldChar w:fldCharType="end"/>
      </w:r>
      <w:r w:rsidR="001849FC">
        <w:t xml:space="preserve">, který hájili </w:t>
      </w:r>
      <w:r w:rsidRPr="00273106">
        <w:t>Albert</w:t>
      </w:r>
      <w:r>
        <w:t xml:space="preserve"> a Bacon </w:t>
      </w:r>
      <w:r w:rsidR="001849FC">
        <w:t xml:space="preserve">v jejich </w:t>
      </w:r>
      <w:r w:rsidRPr="00273106">
        <w:t>výklad</w:t>
      </w:r>
      <w:r w:rsidR="001849FC">
        <w:t>ech</w:t>
      </w:r>
      <w:r w:rsidRPr="00273106">
        <w:t xml:space="preserve"> </w:t>
      </w:r>
      <w:r w:rsidRPr="0092680F">
        <w:rPr>
          <w:i/>
        </w:rPr>
        <w:t>Druhých Analytik</w:t>
      </w:r>
      <w:r w:rsidRPr="00273106">
        <w:t xml:space="preserve">. </w:t>
      </w:r>
      <w:r>
        <w:t>Pravda</w:t>
      </w:r>
      <w:r w:rsidR="002215FA">
        <w:t xml:space="preserve"> jako </w:t>
      </w:r>
      <w:r w:rsidRPr="00273106">
        <w:rPr>
          <w:i/>
        </w:rPr>
        <w:t>rectitudo</w:t>
      </w:r>
      <w:r w:rsidRPr="00273106">
        <w:t xml:space="preserve"> </w:t>
      </w:r>
      <w:r>
        <w:t xml:space="preserve">přešla </w:t>
      </w:r>
      <w:r w:rsidRPr="00273106">
        <w:t>do kreativní regule božského nebo lidského subjektu</w:t>
      </w:r>
      <w:r>
        <w:t>. Tímto spojením vznikla epochálně účinná verze Rufusovy pravdy jako univerzální demiurgické podobnosti (</w:t>
      </w:r>
      <w:r w:rsidRPr="00545035">
        <w:rPr>
          <w:i/>
        </w:rPr>
        <w:t>coaequatio</w:t>
      </w:r>
      <w:r>
        <w:t>)</w:t>
      </w:r>
      <w:r w:rsidRPr="00273106">
        <w:t xml:space="preserve">. </w:t>
      </w:r>
      <w:r>
        <w:t>Bonaventura odmítl ideu univerzální rovnosti</w:t>
      </w:r>
      <w:r w:rsidR="00BB405B">
        <w:t>, kterou Rufus</w:t>
      </w:r>
      <w:r>
        <w:t xml:space="preserve"> postav</w:t>
      </w:r>
      <w:r w:rsidR="00BB405B">
        <w:t xml:space="preserve">il na </w:t>
      </w:r>
      <w:r>
        <w:t>matematické analogii</w:t>
      </w:r>
      <w:r w:rsidR="003575D5">
        <w:t xml:space="preserve">. Místo toho </w:t>
      </w:r>
      <w:r>
        <w:t xml:space="preserve">postavil hierachický systém jsoucna ve dvou </w:t>
      </w:r>
      <w:r>
        <w:lastRenderedPageBreak/>
        <w:t>patrech regulované činnosti</w:t>
      </w:r>
      <w:r>
        <w:fldChar w:fldCharType="begin"/>
      </w:r>
      <w:r>
        <w:instrText xml:space="preserve"> XE "</w:instrText>
      </w:r>
      <w:r w:rsidRPr="00B83CB8">
        <w:instrText>regule</w:instrText>
      </w:r>
      <w:r>
        <w:instrText>:</w:instrText>
      </w:r>
      <w:r w:rsidRPr="005E70F0">
        <w:rPr>
          <w:i/>
        </w:rPr>
        <w:instrText>agentis in/creati</w:instrText>
      </w:r>
      <w:r>
        <w:instrText xml:space="preserve">" </w:instrText>
      </w:r>
      <w:r>
        <w:fldChar w:fldCharType="end"/>
      </w:r>
      <w:r>
        <w:t xml:space="preserve">. </w:t>
      </w:r>
      <w:r w:rsidR="0073785A" w:rsidRPr="0073785A">
        <w:t xml:space="preserve">Bonaventurova verze ontoteologie </w:t>
      </w:r>
      <w:r w:rsidR="0073785A">
        <w:t xml:space="preserve">založila </w:t>
      </w:r>
      <w:r w:rsidR="0073785A" w:rsidRPr="0073785A">
        <w:t xml:space="preserve">nový </w:t>
      </w:r>
      <w:r w:rsidR="0073785A" w:rsidRPr="0073785A">
        <w:rPr>
          <w:i/>
          <w:iCs/>
        </w:rPr>
        <w:t>dativus auctoris</w:t>
      </w:r>
      <w:r w:rsidR="0073785A">
        <w:rPr>
          <w:i/>
        </w:rPr>
        <w:fldChar w:fldCharType="begin"/>
      </w:r>
      <w:r w:rsidR="0073785A">
        <w:instrText xml:space="preserve"> XE "</w:instrText>
      </w:r>
      <w:r w:rsidR="0073785A" w:rsidRPr="08795DCE">
        <w:rPr>
          <w:i/>
        </w:rPr>
        <w:instrText>dativus auctoris</w:instrText>
      </w:r>
      <w:r w:rsidR="0073785A">
        <w:instrText xml:space="preserve">" </w:instrText>
      </w:r>
      <w:r w:rsidR="0073785A">
        <w:rPr>
          <w:i/>
        </w:rPr>
        <w:fldChar w:fldCharType="end"/>
      </w:r>
      <w:r w:rsidR="0073785A" w:rsidRPr="0073785A">
        <w:t xml:space="preserve"> jako místo moderního poznání</w:t>
      </w:r>
      <w:r w:rsidR="0073785A">
        <w:t xml:space="preserve"> </w:t>
      </w:r>
      <w:r w:rsidR="0073785A" w:rsidRPr="0073785A">
        <w:rPr>
          <w:iCs/>
        </w:rPr>
        <w:t>(</w:t>
      </w:r>
      <w:r w:rsidR="0073785A" w:rsidRPr="0073785A">
        <w:rPr>
          <w:i/>
          <w:iCs/>
        </w:rPr>
        <w:t>ortus</w:t>
      </w:r>
      <w:r w:rsidR="0073785A" w:rsidRPr="0073785A">
        <w:t xml:space="preserve"> </w:t>
      </w:r>
      <w:r w:rsidR="0073785A" w:rsidRPr="0073785A">
        <w:rPr>
          <w:i/>
          <w:iCs/>
        </w:rPr>
        <w:t>scientiarum</w:t>
      </w:r>
      <w:r w:rsidR="0073785A">
        <w:rPr>
          <w:i/>
          <w:iCs/>
        </w:rPr>
        <w:fldChar w:fldCharType="begin"/>
      </w:r>
      <w:r w:rsidR="0073785A">
        <w:instrText xml:space="preserve"> XE "</w:instrText>
      </w:r>
      <w:r w:rsidR="0073785A" w:rsidRPr="004F53E7">
        <w:rPr>
          <w:i/>
          <w:iCs/>
        </w:rPr>
        <w:instrText>ortus</w:instrText>
      </w:r>
      <w:r w:rsidR="0073785A" w:rsidRPr="004F53E7">
        <w:instrText xml:space="preserve"> </w:instrText>
      </w:r>
      <w:r w:rsidR="0073785A" w:rsidRPr="004F53E7">
        <w:rPr>
          <w:i/>
          <w:iCs/>
        </w:rPr>
        <w:instrText>scientiarum</w:instrText>
      </w:r>
      <w:r w:rsidR="0073785A">
        <w:instrText xml:space="preserve">" </w:instrText>
      </w:r>
      <w:r w:rsidR="0073785A">
        <w:rPr>
          <w:i/>
          <w:iCs/>
        </w:rPr>
        <w:fldChar w:fldCharType="end"/>
      </w:r>
      <w:r w:rsidR="0073785A" w:rsidRPr="0073785A">
        <w:rPr>
          <w:iCs/>
        </w:rPr>
        <w:t>)</w:t>
      </w:r>
      <w:r w:rsidR="0073785A">
        <w:t xml:space="preserve">. Bonaventura nalezl nové dějinně určené místo </w:t>
      </w:r>
      <w:r w:rsidR="0073785A" w:rsidRPr="0073785A">
        <w:t>pravdy a nepravdy</w:t>
      </w:r>
      <w:r w:rsidR="0073785A">
        <w:t xml:space="preserve"> (</w:t>
      </w:r>
      <w:r w:rsidR="0073785A" w:rsidRPr="0073785A">
        <w:rPr>
          <w:i/>
        </w:rPr>
        <w:t>Lichtung</w:t>
      </w:r>
      <w:r w:rsidR="0073785A">
        <w:rPr>
          <w:i/>
        </w:rPr>
        <w:fldChar w:fldCharType="begin"/>
      </w:r>
      <w:r w:rsidR="0073785A">
        <w:instrText xml:space="preserve"> XE "</w:instrText>
      </w:r>
      <w:r w:rsidR="0073785A" w:rsidRPr="008053BD">
        <w:rPr>
          <w:i/>
        </w:rPr>
        <w:instrText>Lichtung</w:instrText>
      </w:r>
      <w:r w:rsidR="0073785A">
        <w:instrText xml:space="preserve">" </w:instrText>
      </w:r>
      <w:r w:rsidR="0073785A">
        <w:rPr>
          <w:i/>
        </w:rPr>
        <w:fldChar w:fldCharType="end"/>
      </w:r>
      <w:r w:rsidR="0073785A">
        <w:t>)</w:t>
      </w:r>
      <w:r w:rsidR="0073785A" w:rsidRPr="0073785A">
        <w:t>, které odha</w:t>
      </w:r>
      <w:r w:rsidR="0073785A">
        <w:t>luje smysl objektivní existence. B</w:t>
      </w:r>
      <w:r w:rsidRPr="00273106">
        <w:t xml:space="preserve">onaventurův komentář k Sentencím přidal k již vytvořenému objektivnímu jsoucnu Grossetesteho, Rufuse a Kilwardbyho nový subjekt </w:t>
      </w:r>
      <w:r w:rsidRPr="00273106">
        <w:rPr>
          <w:i/>
        </w:rPr>
        <w:t>Modernorum</w:t>
      </w:r>
      <w:r w:rsidRPr="00273106">
        <w:t xml:space="preserve"> d</w:t>
      </w:r>
      <w:r w:rsidR="00B3665E">
        <w:t>efinov</w:t>
      </w:r>
      <w:r w:rsidRPr="00273106">
        <w:t>aný ve dvou patrech stvořitels</w:t>
      </w:r>
      <w:r>
        <w:t>ké a tvořitelské regule a vůle.</w:t>
      </w:r>
      <w:r w:rsidRPr="08294F57">
        <w:t xml:space="preserve"> </w:t>
      </w:r>
      <w:r w:rsidRPr="00273106">
        <w:t xml:space="preserve">Stvořitelova regule tvoří novou </w:t>
      </w:r>
      <w:r w:rsidRPr="00273106">
        <w:rPr>
          <w:i/>
        </w:rPr>
        <w:t>mathesis univer</w:t>
      </w:r>
      <w:r>
        <w:rPr>
          <w:i/>
        </w:rPr>
        <w:t>s</w:t>
      </w:r>
      <w:r w:rsidRPr="00273106">
        <w:rPr>
          <w:i/>
        </w:rPr>
        <w:t>alis</w:t>
      </w:r>
      <w:r w:rsidR="081E323C">
        <w:rPr>
          <w:i/>
        </w:rPr>
        <w:fldChar w:fldCharType="begin"/>
      </w:r>
      <w:r w:rsidR="081E323C">
        <w:instrText xml:space="preserve"> XE "</w:instrText>
      </w:r>
      <w:r w:rsidR="081E323C" w:rsidRPr="085813ED">
        <w:rPr>
          <w:i/>
        </w:rPr>
        <w:instrText>mathesis universalis</w:instrText>
      </w:r>
      <w:r w:rsidR="081E323C">
        <w:instrText xml:space="preserve">" </w:instrText>
      </w:r>
      <w:r w:rsidR="081E323C">
        <w:rPr>
          <w:i/>
        </w:rPr>
        <w:fldChar w:fldCharType="end"/>
      </w:r>
      <w:r w:rsidRPr="00273106">
        <w:t xml:space="preserve"> danou exemplárně pro celek stvoření.</w:t>
      </w:r>
      <w:r>
        <w:t xml:space="preserve"> Zavedení objektivní demiurgické predikace v modu </w:t>
      </w:r>
      <w:r w:rsidRPr="00FE5E88">
        <w:rPr>
          <w:i/>
        </w:rPr>
        <w:t>in arti</w:t>
      </w:r>
      <w:r>
        <w:rPr>
          <w:i/>
        </w:rPr>
        <w:t>fi</w:t>
      </w:r>
      <w:r w:rsidRPr="00FE5E88">
        <w:rPr>
          <w:i/>
        </w:rPr>
        <w:t>cialibus</w:t>
      </w:r>
      <w:r w:rsidR="081E323C">
        <w:rPr>
          <w:i/>
        </w:rPr>
        <w:fldChar w:fldCharType="begin"/>
      </w:r>
      <w:r w:rsidR="081E323C">
        <w:instrText xml:space="preserve"> XE "predikace:</w:instrText>
      </w:r>
      <w:r w:rsidR="081E323C" w:rsidRPr="08E85A83">
        <w:rPr>
          <w:i/>
        </w:rPr>
        <w:instrText>in artificialibus</w:instrText>
      </w:r>
      <w:r w:rsidR="081E323C">
        <w:instrText xml:space="preserve">" </w:instrText>
      </w:r>
      <w:r w:rsidR="081E323C">
        <w:rPr>
          <w:i/>
        </w:rPr>
        <w:fldChar w:fldCharType="end"/>
      </w:r>
      <w:r>
        <w:t xml:space="preserve"> muselo upravit model kauzality, který nemohl mít aristotelský charakter podle </w:t>
      </w:r>
      <w:r w:rsidRPr="00FE5E88">
        <w:rPr>
          <w:i/>
        </w:rPr>
        <w:t>Druhých analytik</w:t>
      </w:r>
      <w:r>
        <w:t xml:space="preserve">. </w:t>
      </w:r>
      <w:r w:rsidRPr="00273106">
        <w:t xml:space="preserve">Následující citát zakládá novou </w:t>
      </w:r>
      <w:r>
        <w:t xml:space="preserve">verzi </w:t>
      </w:r>
      <w:r w:rsidRPr="0075290F">
        <w:rPr>
          <w:i/>
        </w:rPr>
        <w:t>Oxfo</w:t>
      </w:r>
      <w:r>
        <w:rPr>
          <w:i/>
        </w:rPr>
        <w:t>r</w:t>
      </w:r>
      <w:r w:rsidRPr="0075290F">
        <w:rPr>
          <w:i/>
        </w:rPr>
        <w:t>dian Fallacy</w:t>
      </w:r>
      <w:r>
        <w:rPr>
          <w:i/>
        </w:rPr>
        <w:fldChar w:fldCharType="begin"/>
      </w:r>
      <w:r>
        <w:instrText xml:space="preserve"> XE "</w:instrText>
      </w:r>
      <w:r w:rsidRPr="0015798D">
        <w:rPr>
          <w:i/>
        </w:rPr>
        <w:instrText>Oxfordian Fallacy:</w:instrText>
      </w:r>
      <w:r w:rsidRPr="005E70F0">
        <w:instrText>Bonaventura</w:instrText>
      </w:r>
      <w:r>
        <w:instrText xml:space="preserve">" </w:instrText>
      </w:r>
      <w:r>
        <w:rPr>
          <w:i/>
        </w:rPr>
        <w:fldChar w:fldCharType="end"/>
      </w:r>
      <w:r>
        <w:t xml:space="preserve"> tím, že modifikuje základní pojetí kauzality </w:t>
      </w:r>
      <w:r w:rsidRPr="009228B8">
        <w:rPr>
          <w:i/>
        </w:rPr>
        <w:t>Druhých analytik</w:t>
      </w:r>
      <w:r>
        <w:t xml:space="preserve">. </w:t>
      </w:r>
      <w:r w:rsidRPr="00273106">
        <w:t xml:space="preserve">Citát rozlišuje mezi dvěma vrstvami kauzality tvořenými přirozenou a nadpřirozenou řadou, stejně jako se fyzické semeno liší od jeho </w:t>
      </w:r>
      <w:r w:rsidR="00972FF7">
        <w:t xml:space="preserve">univerzální </w:t>
      </w:r>
      <w:r w:rsidRPr="00273106">
        <w:t>definice (</w:t>
      </w:r>
      <w:r>
        <w:rPr>
          <w:i/>
        </w:rPr>
        <w:t>differt semen et ratio semi</w:t>
      </w:r>
      <w:r w:rsidRPr="00273106">
        <w:rPr>
          <w:i/>
        </w:rPr>
        <w:t>nali</w:t>
      </w:r>
      <w:r w:rsidR="08272953">
        <w:rPr>
          <w:i/>
        </w:rPr>
        <w:t>s</w:t>
      </w:r>
      <w:r>
        <w:rPr>
          <w:i/>
        </w:rPr>
        <w:fldChar w:fldCharType="begin"/>
      </w:r>
      <w:r>
        <w:instrText xml:space="preserve"> XE "</w:instrText>
      </w:r>
      <w:r w:rsidRPr="009D39F0">
        <w:rPr>
          <w:i/>
        </w:rPr>
        <w:instrText>ratio seminalis</w:instrText>
      </w:r>
      <w:r>
        <w:instrText xml:space="preserve">" </w:instrText>
      </w:r>
      <w:r>
        <w:rPr>
          <w:i/>
        </w:rPr>
        <w:fldChar w:fldCharType="end"/>
      </w:r>
      <w:r w:rsidRPr="00273106">
        <w:t>)</w:t>
      </w:r>
      <w:r>
        <w:t>.</w:t>
      </w:r>
    </w:p>
    <w:p w:rsidR="08163013" w:rsidRPr="00BA61B4" w:rsidRDefault="08163013" w:rsidP="08163013">
      <w:pPr>
        <w:pStyle w:val="Citace"/>
        <w:rPr>
          <w:noProof/>
        </w:rPr>
      </w:pPr>
      <w:r w:rsidRPr="00273106">
        <w:rPr>
          <w:noProof/>
        </w:rPr>
        <w:t>„</w:t>
      </w:r>
      <w:r>
        <w:rPr>
          <w:noProof/>
        </w:rPr>
        <w:t xml:space="preserve">Jednotlivá příčina a </w:t>
      </w:r>
      <w:r w:rsidR="00CD5E60">
        <w:rPr>
          <w:noProof/>
          <w:lang w:val="cs-CZ"/>
        </w:rPr>
        <w:t xml:space="preserve">její </w:t>
      </w:r>
      <w:r w:rsidR="00775A7C">
        <w:rPr>
          <w:noProof/>
          <w:lang w:val="cs-CZ"/>
        </w:rPr>
        <w:t xml:space="preserve">princip </w:t>
      </w:r>
      <w:r w:rsidR="00CD5E60">
        <w:rPr>
          <w:noProof/>
          <w:lang w:val="cs-CZ"/>
        </w:rPr>
        <w:t xml:space="preserve">jsou odlišné </w:t>
      </w:r>
      <w:r>
        <w:rPr>
          <w:noProof/>
        </w:rPr>
        <w:t>(</w:t>
      </w:r>
      <w:r w:rsidRPr="004F38DB">
        <w:rPr>
          <w:i/>
          <w:noProof/>
        </w:rPr>
        <w:t>differunt autem causa et ratio causalis</w:t>
      </w:r>
      <w:r>
        <w:rPr>
          <w:noProof/>
        </w:rPr>
        <w:t xml:space="preserve">). Kauza se vztahuje k principu reálné produkce. Ratio kauzality určuje řídící reguli, která determinuje tento princip v jeho </w:t>
      </w:r>
      <w:r>
        <w:rPr>
          <w:noProof/>
          <w:lang w:val="cs-CZ"/>
        </w:rPr>
        <w:t>činnosti (</w:t>
      </w:r>
      <w:r w:rsidRPr="08294F57">
        <w:rPr>
          <w:i/>
          <w:noProof/>
        </w:rPr>
        <w:t>ratio vero causalis dicit regulam dirigentem illud prin</w:t>
      </w:r>
      <w:r w:rsidRPr="08294F57">
        <w:rPr>
          <w:i/>
          <w:noProof/>
        </w:rPr>
        <w:softHyphen/>
        <w:t>cipium in sua operatione</w:t>
      </w:r>
      <w:r>
        <w:rPr>
          <w:noProof/>
          <w:lang w:val="cs-CZ"/>
        </w:rPr>
        <w:t>)</w:t>
      </w:r>
      <w:r>
        <w:rPr>
          <w:noProof/>
        </w:rPr>
        <w:t>. Podobným způsobem se liší reálné semeno a jeho výměr.“ </w:t>
      </w:r>
      <w:r>
        <w:rPr>
          <w:rStyle w:val="Znakapoznpodarou"/>
        </w:rPr>
        <w:footnoteReference w:id="67"/>
      </w:r>
    </w:p>
    <w:p w:rsidR="08163013" w:rsidRPr="009228B8" w:rsidRDefault="08163013" w:rsidP="0832689C">
      <w:r>
        <w:t>E</w:t>
      </w:r>
      <w:r w:rsidRPr="00273106">
        <w:t xml:space="preserve">senciální výměr kauzality </w:t>
      </w:r>
      <w:r w:rsidR="006E2015">
        <w:t>je daný</w:t>
      </w:r>
      <w:r w:rsidRPr="00273106">
        <w:t xml:space="preserve"> skrze </w:t>
      </w:r>
      <w:r>
        <w:t xml:space="preserve">boží </w:t>
      </w:r>
      <w:r w:rsidR="00224FEB">
        <w:t xml:space="preserve">regulativní imperativ </w:t>
      </w:r>
      <w:r w:rsidRPr="00273106">
        <w:t>(</w:t>
      </w:r>
      <w:r w:rsidRPr="00273106">
        <w:rPr>
          <w:i/>
        </w:rPr>
        <w:t>ratio vero causalis dicit regulam dirigentem</w:t>
      </w:r>
      <w:r w:rsidRPr="00273106">
        <w:t>)</w:t>
      </w:r>
      <w:r w:rsidR="006E2015">
        <w:t xml:space="preserve">. Tento princip je daný nikoliv jako </w:t>
      </w:r>
      <w:r w:rsidR="006E2015" w:rsidRPr="006E2015">
        <w:rPr>
          <w:i/>
        </w:rPr>
        <w:t>causa prima</w:t>
      </w:r>
      <w:r w:rsidR="006E2015">
        <w:rPr>
          <w:i/>
        </w:rPr>
        <w:fldChar w:fldCharType="begin"/>
      </w:r>
      <w:r w:rsidR="006E2015">
        <w:instrText xml:space="preserve"> XE "</w:instrText>
      </w:r>
      <w:r w:rsidR="006E2015" w:rsidRPr="0072670A">
        <w:rPr>
          <w:i/>
        </w:rPr>
        <w:instrText>causa prima</w:instrText>
      </w:r>
      <w:r w:rsidR="006E2015">
        <w:instrText xml:space="preserve">" </w:instrText>
      </w:r>
      <w:r w:rsidR="006E2015">
        <w:rPr>
          <w:i/>
        </w:rPr>
        <w:fldChar w:fldCharType="end"/>
      </w:r>
      <w:r w:rsidR="006E2015">
        <w:t xml:space="preserve"> v rámci aristotelské metafyziky, ale jako demiurgická kauzalita moderního subjektu </w:t>
      </w:r>
      <w:r w:rsidR="006E2015" w:rsidRPr="00273106">
        <w:t>(</w:t>
      </w:r>
      <w:r w:rsidR="006E2015" w:rsidRPr="00273106">
        <w:rPr>
          <w:i/>
        </w:rPr>
        <w:t>causa dicit principium productivum</w:t>
      </w:r>
      <w:r w:rsidR="006E2015" w:rsidRPr="00273106">
        <w:t>)</w:t>
      </w:r>
      <w:r w:rsidR="006E2015">
        <w:t>. Její patro určené exemplárně-objektivně je o</w:t>
      </w:r>
      <w:r>
        <w:t>ddělen</w:t>
      </w:r>
      <w:r w:rsidR="006E2015">
        <w:t>o</w:t>
      </w:r>
      <w:r w:rsidRPr="00273106">
        <w:t xml:space="preserve"> od </w:t>
      </w:r>
      <w:r>
        <w:t>efektivní a aktuální kauzality</w:t>
      </w:r>
      <w:r w:rsidRPr="00273106">
        <w:t xml:space="preserve"> </w:t>
      </w:r>
      <w:r w:rsidR="006E2015">
        <w:t xml:space="preserve">dané </w:t>
      </w:r>
      <w:r w:rsidRPr="00273106">
        <w:t>v</w:t>
      </w:r>
      <w:r w:rsidR="006E2015">
        <w:t> </w:t>
      </w:r>
      <w:r w:rsidRPr="00273106">
        <w:t>reál</w:t>
      </w:r>
      <w:r w:rsidR="006E2015">
        <w:t>ném světě</w:t>
      </w:r>
      <w:r w:rsidRPr="00273106">
        <w:t xml:space="preserve">. </w:t>
      </w:r>
      <w:r>
        <w:t xml:space="preserve">Citát </w:t>
      </w:r>
      <w:r w:rsidRPr="00273106">
        <w:t>rozlišuje mezi kauzalitou danou esenciálně (</w:t>
      </w:r>
      <w:r w:rsidRPr="00273106">
        <w:rPr>
          <w:i/>
        </w:rPr>
        <w:t>ratio causalis</w:t>
      </w:r>
      <w:r w:rsidRPr="00273106">
        <w:t xml:space="preserve">) a mezi kauzalitou </w:t>
      </w:r>
      <w:r>
        <w:t xml:space="preserve">danou </w:t>
      </w:r>
      <w:r w:rsidRPr="00273106">
        <w:t>reálně v kontingentní první substanci (</w:t>
      </w:r>
      <w:r w:rsidRPr="00273106">
        <w:rPr>
          <w:i/>
        </w:rPr>
        <w:t>causa</w:t>
      </w:r>
      <w:r w:rsidRPr="00273106">
        <w:t>).</w:t>
      </w:r>
      <w:r>
        <w:t xml:space="preserve"> </w:t>
      </w:r>
      <w:r w:rsidR="006C517E">
        <w:t xml:space="preserve">První </w:t>
      </w:r>
      <w:r>
        <w:t xml:space="preserve">model </w:t>
      </w:r>
      <w:r w:rsidR="006C517E">
        <w:t xml:space="preserve">objektivní </w:t>
      </w:r>
      <w:r>
        <w:t>produkce načrtl Ibn Ádí ve falsafě (</w:t>
      </w:r>
      <w:r w:rsidR="0855713A">
        <w:t xml:space="preserve">OBJ I, </w:t>
      </w:r>
      <w:r>
        <w:t xml:space="preserve">kap. 2.2). Spojení obou verzí kauzality zakládá </w:t>
      </w:r>
      <w:r w:rsidRPr="00273106">
        <w:t>ontote</w:t>
      </w:r>
      <w:r>
        <w:t>o</w:t>
      </w:r>
      <w:r w:rsidRPr="00273106">
        <w:t xml:space="preserve">logickou </w:t>
      </w:r>
      <w:r>
        <w:t xml:space="preserve">strukturu </w:t>
      </w:r>
      <w:r w:rsidRPr="00273106">
        <w:t>objektivity</w:t>
      </w:r>
      <w:r>
        <w:fldChar w:fldCharType="begin"/>
      </w:r>
      <w:r>
        <w:instrText xml:space="preserve"> XE "objektivita:ontoteologie" </w:instrText>
      </w:r>
      <w:r>
        <w:fldChar w:fldCharType="end"/>
      </w:r>
      <w:r w:rsidRPr="00273106">
        <w:t>.</w:t>
      </w:r>
      <w:r>
        <w:t xml:space="preserve"> Objektivní řád světa vytváří nikoliv kauzalita prvních substancí, ale forma boží racionality. Ideu objektivní</w:t>
      </w:r>
      <w:r w:rsidR="00974FEE">
        <w:t xml:space="preserve"> racionality ve stvoření použil</w:t>
      </w:r>
      <w:r>
        <w:t xml:space="preserve"> Scotus při tvorbě </w:t>
      </w:r>
      <w:r>
        <w:lastRenderedPageBreak/>
        <w:t>nové metafyziky</w:t>
      </w:r>
      <w:r w:rsidR="00603FE4">
        <w:t xml:space="preserve">. Zrušil </w:t>
      </w:r>
      <w:r>
        <w:t xml:space="preserve">princip </w:t>
      </w:r>
      <w:r w:rsidR="00603FE4">
        <w:t xml:space="preserve">přímé </w:t>
      </w:r>
      <w:r>
        <w:t xml:space="preserve">iluminace </w:t>
      </w:r>
      <w:r w:rsidR="00603FE4">
        <w:t xml:space="preserve">od boha a zavedl </w:t>
      </w:r>
      <w:r>
        <w:t xml:space="preserve">predikaci objektivně dané </w:t>
      </w:r>
      <w:r w:rsidR="00603FE4">
        <w:t xml:space="preserve">boží </w:t>
      </w:r>
      <w:r>
        <w:t>racionality (kap.</w:t>
      </w:r>
      <w:r w:rsidR="08E631B5">
        <w:t xml:space="preserve"> 5</w:t>
      </w:r>
      <w:r>
        <w:t xml:space="preserve">.3.2). </w:t>
      </w:r>
      <w:r w:rsidR="008F6AF0">
        <w:t>P</w:t>
      </w:r>
      <w:r w:rsidR="008F6AF0" w:rsidRPr="00273106">
        <w:t>řir</w:t>
      </w:r>
      <w:r w:rsidR="008F6AF0">
        <w:t>ozená či nadpřirozená regule</w:t>
      </w:r>
      <w:r w:rsidR="008F6AF0">
        <w:fldChar w:fldCharType="begin"/>
      </w:r>
      <w:r w:rsidR="008F6AF0">
        <w:instrText xml:space="preserve"> XE "</w:instrText>
      </w:r>
      <w:r w:rsidR="008F6AF0" w:rsidRPr="00B83CB8">
        <w:instrText>regule</w:instrText>
      </w:r>
      <w:r w:rsidR="008F6AF0">
        <w:instrText xml:space="preserve">:Bonaventura" </w:instrText>
      </w:r>
      <w:r w:rsidR="008F6AF0">
        <w:fldChar w:fldCharType="end"/>
      </w:r>
      <w:r w:rsidR="008F6AF0">
        <w:t xml:space="preserve"> řídí d</w:t>
      </w:r>
      <w:r w:rsidRPr="00273106">
        <w:t>vojí v</w:t>
      </w:r>
      <w:r>
        <w:t xml:space="preserve">ýkon produkce smyslu v predikačním modu </w:t>
      </w:r>
      <w:r w:rsidR="008F6AF0">
        <w:t>„</w:t>
      </w:r>
      <w:r w:rsidRPr="00CD5D4F">
        <w:rPr>
          <w:i/>
        </w:rPr>
        <w:t>in ar</w:t>
      </w:r>
      <w:r>
        <w:rPr>
          <w:i/>
        </w:rPr>
        <w:t>ti</w:t>
      </w:r>
      <w:r w:rsidRPr="00CD5D4F">
        <w:rPr>
          <w:i/>
        </w:rPr>
        <w:t>ficialibus</w:t>
      </w:r>
      <w:r w:rsidR="008F6AF0">
        <w:t>“</w:t>
      </w:r>
      <w:r>
        <w:rPr>
          <w:i/>
        </w:rPr>
        <w:fldChar w:fldCharType="begin"/>
      </w:r>
      <w:r>
        <w:instrText xml:space="preserve"> XE "</w:instrText>
      </w:r>
      <w:r w:rsidRPr="006C0A29">
        <w:instrText>predikace:</w:instrText>
      </w:r>
      <w:r w:rsidRPr="006C0A29">
        <w:rPr>
          <w:i/>
        </w:rPr>
        <w:instrText>in ar</w:instrText>
      </w:r>
      <w:r>
        <w:rPr>
          <w:i/>
        </w:rPr>
        <w:instrText>ti</w:instrText>
      </w:r>
      <w:r w:rsidRPr="006C0A29">
        <w:rPr>
          <w:i/>
        </w:rPr>
        <w:instrText>ficialibus</w:instrText>
      </w:r>
      <w:r>
        <w:instrText xml:space="preserve">" </w:instrText>
      </w:r>
      <w:r>
        <w:rPr>
          <w:i/>
        </w:rPr>
        <w:fldChar w:fldCharType="end"/>
      </w:r>
      <w:r w:rsidRPr="00273106">
        <w:t>.</w:t>
      </w:r>
      <w:r>
        <w:t xml:space="preserve"> První patro objektivity vzniká v boží mysli, která produkuje objektivní porretánská </w:t>
      </w:r>
      <w:r w:rsidR="00962190">
        <w:rPr>
          <w:i/>
        </w:rPr>
        <w:t>species</w:t>
      </w:r>
      <w:r w:rsidR="008F6AF0">
        <w:rPr>
          <w:i/>
        </w:rPr>
        <w:t xml:space="preserve"> </w:t>
      </w:r>
      <w:r w:rsidR="008F6AF0">
        <w:t>skrze upravenou formu avicennovské intencionality</w:t>
      </w:r>
      <w:r w:rsidR="009A22BC">
        <w:t xml:space="preserve">. </w:t>
      </w:r>
      <w:r>
        <w:t xml:space="preserve">Objektivní kauzalita napojená na univerzální hyleformismus vytváří druhé patro objektivity na úrovni stvoření. Člověk reflektuje </w:t>
      </w:r>
      <w:r w:rsidRPr="00273106">
        <w:t xml:space="preserve">exemplární ratio </w:t>
      </w:r>
      <w:r w:rsidR="009A22BC">
        <w:t xml:space="preserve">v bohu </w:t>
      </w:r>
      <w:r w:rsidRPr="00273106">
        <w:t xml:space="preserve">skrze seminální ratio ve stvoření. </w:t>
      </w:r>
      <w:r>
        <w:t xml:space="preserve">Nejprve </w:t>
      </w:r>
      <w:r w:rsidRPr="00273106">
        <w:t xml:space="preserve">jsou </w:t>
      </w:r>
      <w:r>
        <w:t>exemplary objektivně dány ve stvořitelské mysli a pak je poznáváme</w:t>
      </w:r>
      <w:r w:rsidRPr="00273106">
        <w:t xml:space="preserve"> ve stvoření.</w:t>
      </w:r>
      <w:r>
        <w:t xml:space="preserve"> </w:t>
      </w:r>
      <w:r w:rsidR="0832689C">
        <w:t xml:space="preserve">První patro má objektivní kauzalitu danou v božím intelektu, druhé patro má reálnou kauzalitu ve stvoření. </w:t>
      </w:r>
      <w:r>
        <w:t>Regule lidského demiurga</w:t>
      </w:r>
      <w:r>
        <w:fldChar w:fldCharType="begin"/>
      </w:r>
      <w:r>
        <w:instrText xml:space="preserve"> XE "regule:</w:instrText>
      </w:r>
      <w:r w:rsidRPr="005C2F4A">
        <w:rPr>
          <w:rStyle w:val="addmd"/>
        </w:rPr>
        <w:instrText>demiurg</w:instrText>
      </w:r>
      <w:r>
        <w:instrText xml:space="preserve">" </w:instrText>
      </w:r>
      <w:r>
        <w:fldChar w:fldCharType="end"/>
      </w:r>
      <w:r>
        <w:t xml:space="preserve"> běží skrze poznání seminálních forem, které jsou vtisknuty do materie. Apetit demiurga</w:t>
      </w:r>
      <w:r>
        <w:fldChar w:fldCharType="begin"/>
      </w:r>
      <w:r>
        <w:instrText xml:space="preserve"> XE "</w:instrText>
      </w:r>
      <w:r w:rsidRPr="005C2F4A">
        <w:rPr>
          <w:rStyle w:val="addmd"/>
        </w:rPr>
        <w:instrText>demiurg</w:instrText>
      </w:r>
      <w:r>
        <w:instrText xml:space="preserve">" </w:instrText>
      </w:r>
      <w:r>
        <w:fldChar w:fldCharType="end"/>
      </w:r>
      <w:r>
        <w:t xml:space="preserve"> daný vztahem k formě potkává apetit spiri</w:t>
      </w:r>
      <w:r w:rsidR="0832689C">
        <w:t>tuální a hylické materie (kap. 4</w:t>
      </w:r>
      <w:r>
        <w:t>.1.1). P</w:t>
      </w:r>
      <w:r w:rsidRPr="00273106">
        <w:t>seudo</w:t>
      </w:r>
      <w:r w:rsidRPr="00273106">
        <w:noBreakHyphen/>
        <w:t xml:space="preserve">esencialita </w:t>
      </w:r>
      <w:r>
        <w:t>materie třetího druhu (</w:t>
      </w:r>
      <w:r w:rsidRPr="00CC1B1B">
        <w:rPr>
          <w:i/>
        </w:rPr>
        <w:t>materia confusa</w:t>
      </w:r>
      <w:r>
        <w:rPr>
          <w:i/>
        </w:rPr>
        <w:fldChar w:fldCharType="begin"/>
      </w:r>
      <w:r>
        <w:instrText xml:space="preserve"> XE "materie:</w:instrText>
      </w:r>
      <w:r w:rsidRPr="00621BC5">
        <w:rPr>
          <w:i/>
        </w:rPr>
        <w:instrText>materia confusa</w:instrText>
      </w:r>
      <w:r>
        <w:instrText xml:space="preserve">" </w:instrText>
      </w:r>
      <w:r>
        <w:rPr>
          <w:i/>
        </w:rPr>
        <w:fldChar w:fldCharType="end"/>
      </w:r>
      <w:r>
        <w:t xml:space="preserve">) </w:t>
      </w:r>
      <w:r w:rsidRPr="00273106">
        <w:t>je dána díky primárnímu náběhu k formě (</w:t>
      </w:r>
      <w:r w:rsidRPr="00273106">
        <w:rPr>
          <w:i/>
        </w:rPr>
        <w:t>appetitus</w:t>
      </w:r>
      <w:r>
        <w:rPr>
          <w:i/>
        </w:rPr>
        <w:fldChar w:fldCharType="begin"/>
      </w:r>
      <w:r>
        <w:instrText xml:space="preserve"> XE "</w:instrText>
      </w:r>
      <w:r w:rsidRPr="007E6333">
        <w:rPr>
          <w:i/>
        </w:rPr>
        <w:instrText>appetitus</w:instrText>
      </w:r>
      <w:r>
        <w:instrText xml:space="preserve">" </w:instrText>
      </w:r>
      <w:r>
        <w:rPr>
          <w:i/>
        </w:rPr>
        <w:fldChar w:fldCharType="end"/>
      </w:r>
      <w:r w:rsidRPr="00273106">
        <w:t xml:space="preserve">). </w:t>
      </w:r>
      <w:r w:rsidR="00FB67F1">
        <w:t>Materie,</w:t>
      </w:r>
      <w:r w:rsidR="00FB67F1" w:rsidRPr="00FB67F1">
        <w:t xml:space="preserve"> stejně jako lidská vůle, projevuje základní touhu po formách, které poskytuje demiurg (</w:t>
      </w:r>
      <w:r w:rsidR="00FB67F1">
        <w:t>b</w:t>
      </w:r>
      <w:r w:rsidR="00FB67F1" w:rsidRPr="00FB67F1">
        <w:t xml:space="preserve">ůh, člověk). Toto spojení obou forem </w:t>
      </w:r>
      <w:r w:rsidR="0072762C">
        <w:t>„</w:t>
      </w:r>
      <w:r w:rsidR="00FB67F1" w:rsidRPr="00FB67F1">
        <w:rPr>
          <w:i/>
          <w:iCs/>
        </w:rPr>
        <w:t>ap</w:t>
      </w:r>
      <w:r w:rsidR="00FB67F1">
        <w:rPr>
          <w:i/>
          <w:iCs/>
        </w:rPr>
        <w:t>p</w:t>
      </w:r>
      <w:r w:rsidR="00FB67F1" w:rsidRPr="00FB67F1">
        <w:rPr>
          <w:i/>
          <w:iCs/>
        </w:rPr>
        <w:t>etitu</w:t>
      </w:r>
      <w:r w:rsidR="00FB67F1">
        <w:rPr>
          <w:i/>
          <w:iCs/>
        </w:rPr>
        <w:t>s</w:t>
      </w:r>
      <w:r w:rsidR="0072762C">
        <w:rPr>
          <w:iCs/>
        </w:rPr>
        <w:t>“</w:t>
      </w:r>
      <w:r w:rsidR="00FB67F1" w:rsidRPr="00FB67F1">
        <w:rPr>
          <w:i/>
          <w:iCs/>
        </w:rPr>
        <w:t xml:space="preserve"> </w:t>
      </w:r>
      <w:r w:rsidR="00FB67F1">
        <w:t>zakládá novou jednotu jsoucna</w:t>
      </w:r>
      <w:r w:rsidR="00FB67F1" w:rsidRPr="00FB67F1">
        <w:t>, která stojí mimo klasickou teorii kategorií.</w:t>
      </w:r>
      <w:r w:rsidR="00FB67F1">
        <w:t xml:space="preserve"> </w:t>
      </w:r>
      <w:r w:rsidRPr="00273106">
        <w:t xml:space="preserve">Bonaventura </w:t>
      </w:r>
      <w:r>
        <w:t>definoval materii v modu biblické ontoteologie a tím vytvořil novou porretánskou hypostázi</w:t>
      </w:r>
      <w:r w:rsidRPr="00273106">
        <w:t xml:space="preserve">. </w:t>
      </w:r>
      <w:r>
        <w:t xml:space="preserve">Materie hnaná erotickým apetitem chce přijmout formy skrze vrozenou mystickou touhu, která ke svému završení potřebuje demiurgickou formu. Avicebronův spis </w:t>
      </w:r>
      <w:r w:rsidRPr="00273106">
        <w:rPr>
          <w:i/>
        </w:rPr>
        <w:t>Fons vitae</w:t>
      </w:r>
      <w:r w:rsidRPr="00273106">
        <w:t xml:space="preserve"> </w:t>
      </w:r>
      <w:r>
        <w:t xml:space="preserve">nemá objektivní povahu materie, protože neoplatonismus drží na exemplární úrovni pouze formu. Metafyzické </w:t>
      </w:r>
      <w:r w:rsidRPr="00273106">
        <w:rPr>
          <w:i/>
        </w:rPr>
        <w:t>resolutio</w:t>
      </w:r>
      <w:r w:rsidRPr="00273106">
        <w:t xml:space="preserve"> </w:t>
      </w:r>
      <w:r>
        <w:t xml:space="preserve">vzhledem k materii existuje u Avicebrona </w:t>
      </w:r>
      <w:r w:rsidRPr="00273106">
        <w:t>pouze v</w:t>
      </w:r>
      <w:r>
        <w:t> </w:t>
      </w:r>
      <w:r w:rsidRPr="00273106">
        <w:t>mysli</w:t>
      </w:r>
      <w:r>
        <w:t xml:space="preserve"> </w:t>
      </w:r>
      <w:r w:rsidRPr="00273106">
        <w:t>(</w:t>
      </w:r>
      <w:r w:rsidRPr="00273106">
        <w:rPr>
          <w:rStyle w:val="TextpoznpodarouChar"/>
          <w:i/>
        </w:rPr>
        <w:t>non in actu, sed in opinione</w:t>
      </w:r>
      <w:r w:rsidRPr="00273106">
        <w:t>).</w:t>
      </w:r>
      <w:r w:rsidRPr="00273106">
        <w:rPr>
          <w:rStyle w:val="Znakapoznpodarou"/>
        </w:rPr>
        <w:footnoteReference w:id="68"/>
      </w:r>
      <w:r>
        <w:t xml:space="preserve"> Na tento fakt Albert marně upozorňoval Bonaventurovu školu</w:t>
      </w:r>
      <w:r w:rsidR="00342A13">
        <w:t xml:space="preserve"> </w:t>
      </w:r>
      <w:r w:rsidRPr="00343470">
        <w:t>(</w:t>
      </w:r>
      <w:r w:rsidRPr="00343470">
        <w:rPr>
          <w:i/>
        </w:rPr>
        <w:t>intendit dicere Avicebron, quod potentia intellectus possibilis communis est sicut et materiae</w:t>
      </w:r>
      <w:r w:rsidR="082408A8">
        <w:t>;</w:t>
      </w:r>
      <w:r w:rsidRPr="00343470">
        <w:t xml:space="preserve"> </w:t>
      </w:r>
      <w:r w:rsidR="082408A8">
        <w:t>OBJ II, kap. 2</w:t>
      </w:r>
      <w:r w:rsidRPr="00343470">
        <w:t>.4.3).</w:t>
      </w:r>
      <w:r>
        <w:t xml:space="preserve"> Albert jasně odlišil původní výklad Avicebrona od jeho moderní sofistické varianty. </w:t>
      </w:r>
      <w:r w:rsidR="008C2E43">
        <w:t>Moderní averroisté vytvořili o</w:t>
      </w:r>
      <w:r>
        <w:t>bjektivní myto</w:t>
      </w:r>
      <w:r w:rsidR="008C2E43">
        <w:t>logickou materii</w:t>
      </w:r>
      <w:r>
        <w:t xml:space="preserve">. </w:t>
      </w:r>
      <w:r w:rsidR="003D150D">
        <w:t>Začala fungovat jako o</w:t>
      </w:r>
      <w:r>
        <w:t xml:space="preserve">bjektivní předmět demiurgické </w:t>
      </w:r>
      <w:r w:rsidRPr="005252E7">
        <w:rPr>
          <w:i/>
        </w:rPr>
        <w:t>voluntas</w:t>
      </w:r>
      <w:r w:rsidR="001350E9">
        <w:t xml:space="preserve">. Ta </w:t>
      </w:r>
      <w:r>
        <w:t xml:space="preserve">určuje materii třetího druhu jako </w:t>
      </w:r>
      <w:r w:rsidRPr="00270E50">
        <w:rPr>
          <w:i/>
        </w:rPr>
        <w:t>factum</w:t>
      </w:r>
      <w:r>
        <w:rPr>
          <w:i/>
        </w:rPr>
        <w:fldChar w:fldCharType="begin"/>
      </w:r>
      <w:r>
        <w:instrText xml:space="preserve"> XE "</w:instrText>
      </w:r>
      <w:r w:rsidRPr="0012277B">
        <w:rPr>
          <w:i/>
        </w:rPr>
        <w:instrText>factum</w:instrText>
      </w:r>
      <w:r>
        <w:instrText xml:space="preserve">" </w:instrText>
      </w:r>
      <w:r>
        <w:rPr>
          <w:i/>
        </w:rPr>
        <w:fldChar w:fldCharType="end"/>
      </w:r>
      <w:r>
        <w:t xml:space="preserve"> stvořitelské nebo tvořitelské vůle. Fundamentálně chudá a nesvéprávná materie třetího druhu je hna</w:t>
      </w:r>
      <w:r w:rsidR="00F52A46">
        <w:t xml:space="preserve">ná </w:t>
      </w:r>
      <w:r w:rsidR="00F52A46">
        <w:lastRenderedPageBreak/>
        <w:t xml:space="preserve">erotickou touhou po finální kopulaci </w:t>
      </w:r>
      <w:r>
        <w:t xml:space="preserve">s osvíceným latinským demiurgem. Moderní mýtus o kopulaci materie třetího druhu a formy třetího druhu vytváří po falsafě další </w:t>
      </w:r>
      <w:r w:rsidRPr="08DC0E70">
        <w:rPr>
          <w:i/>
        </w:rPr>
        <w:t>mundus imaginalis</w:t>
      </w:r>
      <w:r>
        <w:rPr>
          <w:i/>
        </w:rPr>
        <w:fldChar w:fldCharType="begin"/>
      </w:r>
      <w:r>
        <w:instrText xml:space="preserve"> XE "</w:instrText>
      </w:r>
      <w:r w:rsidRPr="08363F19">
        <w:rPr>
          <w:i/>
        </w:rPr>
        <w:instrText>mundus imaginalis</w:instrText>
      </w:r>
      <w:r>
        <w:instrText xml:space="preserve">" </w:instrText>
      </w:r>
      <w:r>
        <w:rPr>
          <w:i/>
        </w:rPr>
        <w:fldChar w:fldCharType="end"/>
      </w:r>
      <w:r>
        <w:t xml:space="preserve"> třetího druhu</w:t>
      </w:r>
      <w:r w:rsidR="081279F2">
        <w:t xml:space="preserve"> </w:t>
      </w:r>
      <w:r w:rsidR="081279F2" w:rsidRPr="081942A4">
        <w:rPr>
          <w:szCs w:val="24"/>
        </w:rPr>
        <w:t>(OBJ I, kap. 2.3.3)</w:t>
      </w:r>
      <w:r>
        <w:t>.</w:t>
      </w:r>
      <w:r w:rsidRPr="08CB476B">
        <w:t xml:space="preserve"> </w:t>
      </w:r>
      <w:r>
        <w:t>Platonsk</w:t>
      </w:r>
      <w:r w:rsidR="0033413A">
        <w:t xml:space="preserve">ý </w:t>
      </w:r>
      <w:r>
        <w:t>d</w:t>
      </w:r>
      <w:r w:rsidRPr="00273106">
        <w:t xml:space="preserve">emiurg z dialogu </w:t>
      </w:r>
      <w:r w:rsidRPr="00161B70">
        <w:rPr>
          <w:i/>
        </w:rPr>
        <w:t>Timaios</w:t>
      </w:r>
      <w:r w:rsidR="0033413A">
        <w:t xml:space="preserve"> dostal</w:t>
      </w:r>
      <w:r>
        <w:t xml:space="preserve"> moderního dvojníka skrze nový typ objektivizace formy i látky. Tí</w:t>
      </w:r>
      <w:r w:rsidR="00D542D0">
        <w:t>m vznikl moderní subjekt Západu</w:t>
      </w:r>
      <w:r w:rsidR="00126B83">
        <w:t xml:space="preserve">. </w:t>
      </w:r>
      <w:r w:rsidR="00D542D0">
        <w:t>T</w:t>
      </w:r>
      <w:r>
        <w:t>oto objektivní simulákrum vyrazilo v dalších stoletích na globální křížovou výpravu</w:t>
      </w:r>
      <w:r>
        <w:fldChar w:fldCharType="begin"/>
      </w:r>
      <w:r>
        <w:instrText xml:space="preserve"> XE "</w:instrText>
      </w:r>
      <w:r w:rsidRPr="00EA54AD">
        <w:instrText>křížové výpravy</w:instrText>
      </w:r>
      <w:r>
        <w:instrText xml:space="preserve">" </w:instrText>
      </w:r>
      <w:r>
        <w:fldChar w:fldCharType="end"/>
      </w:r>
      <w:r w:rsidR="00D542D0">
        <w:t xml:space="preserve">, aby </w:t>
      </w:r>
      <w:r>
        <w:t>prosa</w:t>
      </w:r>
      <w:r w:rsidR="00D542D0">
        <w:t xml:space="preserve">dilo </w:t>
      </w:r>
      <w:r>
        <w:t>kapitalistick</w:t>
      </w:r>
      <w:r w:rsidR="00D542D0">
        <w:t>ý náhled</w:t>
      </w:r>
      <w:r>
        <w:t xml:space="preserve"> světa. Hypostázované </w:t>
      </w:r>
      <w:r w:rsidRPr="00273106">
        <w:t xml:space="preserve">exemplary </w:t>
      </w:r>
      <w:r>
        <w:t xml:space="preserve">v boží mysli se oddělily od objektivních </w:t>
      </w:r>
      <w:r w:rsidRPr="00273106">
        <w:rPr>
          <w:i/>
        </w:rPr>
        <w:t>rationes seminales</w:t>
      </w:r>
      <w:r>
        <w:rPr>
          <w:i/>
        </w:rPr>
        <w:t xml:space="preserve"> </w:t>
      </w:r>
      <w:r w:rsidRPr="08037567">
        <w:t>ve stvoření</w:t>
      </w:r>
      <w:r>
        <w:t xml:space="preserve">. Nová metafyzika </w:t>
      </w:r>
      <w:r w:rsidRPr="00273106">
        <w:t>rozlišil</w:t>
      </w:r>
      <w:r>
        <w:t>a</w:t>
      </w:r>
      <w:r w:rsidRPr="00273106">
        <w:t xml:space="preserve"> </w:t>
      </w:r>
      <w:r>
        <w:t xml:space="preserve">moderní </w:t>
      </w:r>
      <w:r w:rsidRPr="00273106">
        <w:t xml:space="preserve">subjekt na </w:t>
      </w:r>
      <w:r w:rsidR="00126B83">
        <w:t xml:space="preserve">božího </w:t>
      </w:r>
      <w:r w:rsidRPr="00273106">
        <w:t xml:space="preserve">stvořitele a </w:t>
      </w:r>
      <w:r>
        <w:t xml:space="preserve">na </w:t>
      </w:r>
      <w:r w:rsidR="00126B83">
        <w:t xml:space="preserve">lidského </w:t>
      </w:r>
      <w:r w:rsidR="00833C14">
        <w:t xml:space="preserve">tvůrce. Tato </w:t>
      </w:r>
      <w:r w:rsidRPr="00273106">
        <w:t xml:space="preserve">dvojí regule </w:t>
      </w:r>
      <w:r w:rsidR="00833C14">
        <w:t xml:space="preserve">božského a lidského demiurga </w:t>
      </w:r>
      <w:r>
        <w:t xml:space="preserve">vnesla do světa dvojí racionalitu. </w:t>
      </w:r>
    </w:p>
    <w:p w:rsidR="08163013" w:rsidRPr="00BA61B4" w:rsidRDefault="08163013" w:rsidP="08163013">
      <w:pPr>
        <w:pStyle w:val="Citace"/>
        <w:rPr>
          <w:noProof/>
          <w:lang w:val="cs-CZ"/>
        </w:rPr>
      </w:pPr>
      <w:r w:rsidRPr="00273106">
        <w:rPr>
          <w:noProof/>
          <w:lang w:val="cs-CZ"/>
        </w:rPr>
        <w:t>„</w:t>
      </w:r>
      <w:r>
        <w:rPr>
          <w:noProof/>
          <w:lang w:val="cs-CZ"/>
        </w:rPr>
        <w:t>Pravidlo pro nestvořeného agenta (</w:t>
      </w:r>
      <w:r>
        <w:rPr>
          <w:i/>
          <w:noProof/>
          <w:lang w:val="cs-CZ"/>
        </w:rPr>
        <w:t>r</w:t>
      </w:r>
      <w:r w:rsidRPr="08B7246B">
        <w:rPr>
          <w:i/>
          <w:noProof/>
        </w:rPr>
        <w:t>egula autem agentis increati</w:t>
      </w:r>
      <w:r>
        <w:rPr>
          <w:noProof/>
          <w:lang w:val="cs-CZ"/>
        </w:rPr>
        <w:t>) je dáno jako exemplární, čili ideální forma. Pravidlo  pro stvořeného agenta (</w:t>
      </w:r>
      <w:r w:rsidRPr="08B7246B">
        <w:rPr>
          <w:i/>
          <w:noProof/>
        </w:rPr>
        <w:t>regula vero agentis creati</w:t>
      </w:r>
      <w:r>
        <w:rPr>
          <w:noProof/>
          <w:lang w:val="cs-CZ"/>
        </w:rPr>
        <w:t xml:space="preserve">) je dáno jako přirozená forma. Pak platí, že racionální </w:t>
      </w:r>
      <w:r w:rsidR="00D0139B">
        <w:rPr>
          <w:noProof/>
          <w:lang w:val="cs-CZ"/>
        </w:rPr>
        <w:t xml:space="preserve">principy </w:t>
      </w:r>
      <w:r>
        <w:rPr>
          <w:noProof/>
          <w:lang w:val="cs-CZ"/>
        </w:rPr>
        <w:t>kauzality (</w:t>
      </w:r>
      <w:r w:rsidRPr="00273106">
        <w:rPr>
          <w:i/>
          <w:noProof/>
          <w:lang w:val="cs-CZ"/>
        </w:rPr>
        <w:t>rationes causales</w:t>
      </w:r>
      <w:r>
        <w:rPr>
          <w:noProof/>
          <w:lang w:val="cs-CZ"/>
        </w:rPr>
        <w:t xml:space="preserve">) představují ideální a exemplární formy, zatímco racionální </w:t>
      </w:r>
      <w:r w:rsidR="00D0139B">
        <w:rPr>
          <w:noProof/>
          <w:lang w:val="cs-CZ"/>
        </w:rPr>
        <w:t>principy dané</w:t>
      </w:r>
      <w:r>
        <w:rPr>
          <w:noProof/>
          <w:lang w:val="cs-CZ"/>
        </w:rPr>
        <w:t xml:space="preserve"> seminálně (</w:t>
      </w:r>
      <w:r w:rsidRPr="001975A5">
        <w:rPr>
          <w:i/>
          <w:noProof/>
          <w:lang w:val="cs-CZ"/>
        </w:rPr>
        <w:t>rationes seminales</w:t>
      </w:r>
      <w:r>
        <w:rPr>
          <w:noProof/>
          <w:lang w:val="cs-CZ"/>
        </w:rPr>
        <w:t xml:space="preserve">) představují přirozené formy. Racionální a seminální </w:t>
      </w:r>
      <w:r w:rsidR="00D0139B">
        <w:rPr>
          <w:noProof/>
          <w:lang w:val="cs-CZ"/>
        </w:rPr>
        <w:t xml:space="preserve">princip </w:t>
      </w:r>
      <w:r>
        <w:rPr>
          <w:noProof/>
          <w:lang w:val="cs-CZ"/>
        </w:rPr>
        <w:t>kauzality se k sobě mají jako rod k druhu.“ </w:t>
      </w:r>
      <w:r>
        <w:rPr>
          <w:rStyle w:val="Znakapoznpodarou"/>
        </w:rPr>
        <w:footnoteReference w:id="69"/>
      </w:r>
    </w:p>
    <w:p w:rsidR="001F0BC4" w:rsidRDefault="00096611" w:rsidP="08BC5254">
      <w:r w:rsidRPr="00096611">
        <w:t>Pohyb demiurgické</w:t>
      </w:r>
      <w:r>
        <w:t xml:space="preserve"> diference odděluje dvě vrstvy </w:t>
      </w:r>
      <w:r w:rsidR="00A3210B">
        <w:t xml:space="preserve">regulovaného </w:t>
      </w:r>
      <w:r>
        <w:t>jsoucna dané v ontoteologické struktuře „</w:t>
      </w:r>
      <w:proofErr w:type="gramStart"/>
      <w:r>
        <w:t>subjekt</w:t>
      </w:r>
      <w:proofErr w:type="gramEnd"/>
      <w:r>
        <w:t>–</w:t>
      </w:r>
      <w:proofErr w:type="gramStart"/>
      <w:r>
        <w:t>objekt</w:t>
      </w:r>
      <w:proofErr w:type="gramEnd"/>
      <w:r>
        <w:t>“</w:t>
      </w:r>
      <w:r w:rsidRPr="00096611">
        <w:t xml:space="preserve">. Stvořená realita je pod vládou </w:t>
      </w:r>
      <w:r>
        <w:t xml:space="preserve">lidského producenta </w:t>
      </w:r>
      <w:r w:rsidRPr="00096611">
        <w:rPr>
          <w:iCs/>
        </w:rPr>
        <w:t>(</w:t>
      </w:r>
      <w:r w:rsidRPr="00096611">
        <w:rPr>
          <w:i/>
          <w:iCs/>
        </w:rPr>
        <w:t>regula agentis creati)</w:t>
      </w:r>
      <w:r w:rsidRPr="00096611">
        <w:t>, který určuje přirozenou formu</w:t>
      </w:r>
      <w:r>
        <w:t xml:space="preserve"> </w:t>
      </w:r>
      <w:r w:rsidRPr="00096611">
        <w:rPr>
          <w:iCs/>
        </w:rPr>
        <w:t>(</w:t>
      </w:r>
      <w:r w:rsidRPr="00096611">
        <w:rPr>
          <w:i/>
          <w:iCs/>
        </w:rPr>
        <w:t>forma naturalis</w:t>
      </w:r>
      <w:r w:rsidRPr="00096611">
        <w:t xml:space="preserve">). V nadpřirozeném modu je </w:t>
      </w:r>
      <w:r>
        <w:t xml:space="preserve">subjektem </w:t>
      </w:r>
      <w:r w:rsidRPr="00096611">
        <w:t>božská racionalita daná aktem racionální božské vůle</w:t>
      </w:r>
      <w:r>
        <w:t xml:space="preserve"> </w:t>
      </w:r>
      <w:r w:rsidRPr="00096611">
        <w:rPr>
          <w:iCs/>
        </w:rPr>
        <w:t>(</w:t>
      </w:r>
      <w:r w:rsidRPr="00096611">
        <w:rPr>
          <w:i/>
          <w:iCs/>
        </w:rPr>
        <w:t>regula agentis increati)</w:t>
      </w:r>
      <w:r w:rsidRPr="00096611">
        <w:t>, která reguluje objektivní str</w:t>
      </w:r>
      <w:r>
        <w:t xml:space="preserve">ukturu kosmu </w:t>
      </w:r>
      <w:r w:rsidRPr="00096611">
        <w:rPr>
          <w:iCs/>
        </w:rPr>
        <w:t>(</w:t>
      </w:r>
      <w:r w:rsidRPr="00096611">
        <w:rPr>
          <w:i/>
          <w:iCs/>
        </w:rPr>
        <w:t>forma exemplaris sive idealis</w:t>
      </w:r>
      <w:r w:rsidRPr="00096611">
        <w:rPr>
          <w:iCs/>
        </w:rPr>
        <w:t>)</w:t>
      </w:r>
      <w:r w:rsidRPr="00096611">
        <w:t>.</w:t>
      </w:r>
      <w:r>
        <w:t xml:space="preserve"> </w:t>
      </w:r>
      <w:r w:rsidR="08163013" w:rsidRPr="00273106">
        <w:t xml:space="preserve">Architektonický princip racionálního osmyslnění celku jsoucna </w:t>
      </w:r>
      <w:r w:rsidR="08163013">
        <w:t xml:space="preserve">drží analogii dvou podobných </w:t>
      </w:r>
      <w:r w:rsidR="08163013" w:rsidRPr="00273106">
        <w:t>pravid</w:t>
      </w:r>
      <w:r w:rsidR="08163013">
        <w:t>el</w:t>
      </w:r>
      <w:r w:rsidR="08163013" w:rsidRPr="00273106">
        <w:t xml:space="preserve"> </w:t>
      </w:r>
      <w:r w:rsidR="08163013">
        <w:t>poznání a jednání pro obě patra</w:t>
      </w:r>
      <w:r w:rsidR="08163013">
        <w:fldChar w:fldCharType="begin"/>
      </w:r>
      <w:r w:rsidR="08163013">
        <w:instrText xml:space="preserve"> XE "</w:instrText>
      </w:r>
      <w:r w:rsidR="08163013" w:rsidRPr="00B83CB8">
        <w:instrText>regule</w:instrText>
      </w:r>
      <w:r w:rsidR="08163013">
        <w:instrText>:</w:instrText>
      </w:r>
      <w:r w:rsidR="08163013" w:rsidRPr="005E70F0">
        <w:rPr>
          <w:i/>
        </w:rPr>
        <w:instrText>agentis in/creati</w:instrText>
      </w:r>
      <w:r w:rsidR="08163013">
        <w:instrText xml:space="preserve">" </w:instrText>
      </w:r>
      <w:r w:rsidR="08163013">
        <w:fldChar w:fldCharType="end"/>
      </w:r>
      <w:r w:rsidR="08163013">
        <w:t xml:space="preserve">. </w:t>
      </w:r>
      <w:r w:rsidR="004528AB">
        <w:t>Shrňme druh moderního „regulačního aktu“</w:t>
      </w:r>
      <w:r w:rsidR="004528AB" w:rsidRPr="004528AB">
        <w:t xml:space="preserve"> (</w:t>
      </w:r>
      <w:r w:rsidR="004528AB" w:rsidRPr="004528AB">
        <w:rPr>
          <w:i/>
          <w:iCs/>
        </w:rPr>
        <w:t>Ge-Stell</w:t>
      </w:r>
      <w:r w:rsidR="004528AB">
        <w:rPr>
          <w:i/>
          <w:iCs/>
        </w:rPr>
        <w:fldChar w:fldCharType="begin"/>
      </w:r>
      <w:r w:rsidR="004528AB">
        <w:instrText xml:space="preserve"> XE "</w:instrText>
      </w:r>
      <w:r w:rsidR="004528AB" w:rsidRPr="003A4FA9">
        <w:rPr>
          <w:i/>
          <w:iCs/>
        </w:rPr>
        <w:instrText>Ge-Stell</w:instrText>
      </w:r>
      <w:r w:rsidR="004528AB">
        <w:instrText xml:space="preserve">" </w:instrText>
      </w:r>
      <w:r w:rsidR="004528AB">
        <w:rPr>
          <w:i/>
          <w:iCs/>
        </w:rPr>
        <w:fldChar w:fldCharType="end"/>
      </w:r>
      <w:r w:rsidR="004528AB" w:rsidRPr="004528AB">
        <w:t xml:space="preserve">), který změnil smysl objektivního </w:t>
      </w:r>
      <w:r w:rsidR="004528AB">
        <w:t xml:space="preserve">jsoucna na </w:t>
      </w:r>
      <w:r w:rsidR="004528AB" w:rsidRPr="004528AB">
        <w:t xml:space="preserve">novou formu </w:t>
      </w:r>
      <w:r w:rsidR="004528AB" w:rsidRPr="004528AB">
        <w:rPr>
          <w:i/>
          <w:iCs/>
        </w:rPr>
        <w:t>dativus finalis</w:t>
      </w:r>
      <w:r w:rsidR="004528AB">
        <w:rPr>
          <w:i/>
          <w:iCs/>
        </w:rPr>
        <w:fldChar w:fldCharType="begin"/>
      </w:r>
      <w:r w:rsidR="004528AB">
        <w:instrText xml:space="preserve"> XE "</w:instrText>
      </w:r>
      <w:r w:rsidR="004528AB" w:rsidRPr="00CD44FD">
        <w:rPr>
          <w:i/>
          <w:iCs/>
        </w:rPr>
        <w:instrText>dativus finalis</w:instrText>
      </w:r>
      <w:r w:rsidR="004528AB">
        <w:instrText xml:space="preserve">" </w:instrText>
      </w:r>
      <w:r w:rsidR="004528AB">
        <w:rPr>
          <w:i/>
          <w:iCs/>
        </w:rPr>
        <w:fldChar w:fldCharType="end"/>
      </w:r>
      <w:r w:rsidR="004528AB" w:rsidRPr="004528AB">
        <w:t>. Novým cílem kosmu, který se stal mod</w:t>
      </w:r>
      <w:r w:rsidR="004528AB">
        <w:t xml:space="preserve">erním, je produkce objektivity. </w:t>
      </w:r>
      <w:r w:rsidR="08163013">
        <w:t xml:space="preserve">Stvořitelská činnost je regulována boží intencionalitou produkující exemplární objektivititu  </w:t>
      </w:r>
      <w:r w:rsidR="08163013" w:rsidRPr="00273106">
        <w:t>(</w:t>
      </w:r>
      <w:r w:rsidR="08163013" w:rsidRPr="00273106">
        <w:rPr>
          <w:i/>
        </w:rPr>
        <w:t xml:space="preserve">regula agentis </w:t>
      </w:r>
      <w:r w:rsidR="08163013">
        <w:rPr>
          <w:i/>
        </w:rPr>
        <w:t>in</w:t>
      </w:r>
      <w:r w:rsidR="08163013" w:rsidRPr="00273106">
        <w:rPr>
          <w:i/>
        </w:rPr>
        <w:t>creati</w:t>
      </w:r>
      <w:r w:rsidR="08163013">
        <w:t>). Lidský demiurg utváří podle své regule stvořený svět (</w:t>
      </w:r>
      <w:r w:rsidR="08163013" w:rsidRPr="00273106">
        <w:rPr>
          <w:i/>
        </w:rPr>
        <w:t>regula agentis</w:t>
      </w:r>
      <w:r w:rsidR="08163013">
        <w:rPr>
          <w:i/>
        </w:rPr>
        <w:t xml:space="preserve"> creati</w:t>
      </w:r>
      <w:r w:rsidR="08163013" w:rsidRPr="00273106">
        <w:t>)</w:t>
      </w:r>
      <w:r w:rsidR="08163013">
        <w:t>, který je sign</w:t>
      </w:r>
      <w:r w:rsidR="00CA2D4C">
        <w:t xml:space="preserve">ován </w:t>
      </w:r>
      <w:r w:rsidR="08163013">
        <w:t>od objektivního světla boží tváře skrze ontoteologicky danou míru, počet a váhu</w:t>
      </w:r>
      <w:r w:rsidR="08163013" w:rsidRPr="00273106">
        <w:t xml:space="preserve">. </w:t>
      </w:r>
      <w:r w:rsidR="08163013">
        <w:t xml:space="preserve">Této dvojí demiurgické regulaci </w:t>
      </w:r>
      <w:r w:rsidR="08163013" w:rsidRPr="00273106">
        <w:t>odpovídají dvě podoby objekt</w:t>
      </w:r>
      <w:r w:rsidR="00CA2D4C">
        <w:t>ivních esencí</w:t>
      </w:r>
      <w:r w:rsidR="08163013">
        <w:t xml:space="preserve">: jednak přirozená forma v reálných věcech </w:t>
      </w:r>
      <w:r w:rsidR="08163013" w:rsidRPr="00273106">
        <w:t>(</w:t>
      </w:r>
      <w:r w:rsidR="08163013" w:rsidRPr="00273106">
        <w:rPr>
          <w:i/>
        </w:rPr>
        <w:t>forma naturalis</w:t>
      </w:r>
      <w:r w:rsidR="08163013" w:rsidRPr="00273106">
        <w:t>)</w:t>
      </w:r>
      <w:r w:rsidR="00CA2D4C">
        <w:t xml:space="preserve"> a jednak nadpřirozený exemplar</w:t>
      </w:r>
      <w:r w:rsidR="08163013">
        <w:t xml:space="preserve"> této formy (</w:t>
      </w:r>
      <w:r w:rsidR="08163013" w:rsidRPr="00273106">
        <w:rPr>
          <w:i/>
        </w:rPr>
        <w:t xml:space="preserve">forma </w:t>
      </w:r>
      <w:r w:rsidR="08163013" w:rsidRPr="00273106">
        <w:rPr>
          <w:i/>
        </w:rPr>
        <w:lastRenderedPageBreak/>
        <w:t>exemplaris sive idealis</w:t>
      </w:r>
      <w:r w:rsidR="08163013">
        <w:t>)</w:t>
      </w:r>
      <w:r w:rsidR="08163013" w:rsidRPr="00273106">
        <w:t xml:space="preserve">. </w:t>
      </w:r>
      <w:r w:rsidR="00B047A9">
        <w:t>Nový deduktivní důkaz (</w:t>
      </w:r>
      <w:r w:rsidR="00B047A9" w:rsidRPr="00F62CC6">
        <w:rPr>
          <w:i/>
        </w:rPr>
        <w:t>demonstratio</w:t>
      </w:r>
      <w:r w:rsidR="00F62CC6">
        <w:t xml:space="preserve">) </w:t>
      </w:r>
      <w:r w:rsidR="00B047A9">
        <w:t xml:space="preserve">je </w:t>
      </w:r>
      <w:r w:rsidR="00F62CC6">
        <w:t>založen zcela objektivně</w:t>
      </w:r>
      <w:r w:rsidR="00B047A9">
        <w:t>: obecnou návěst</w:t>
      </w:r>
      <w:r w:rsidR="00F62CC6">
        <w:t xml:space="preserve"> </w:t>
      </w:r>
      <w:r w:rsidR="08163013">
        <w:t xml:space="preserve">tvoří exemplary v boží mysli a nutný závěr představuje objektivní realita poznávaná člověkem. Klíčový moment </w:t>
      </w:r>
      <w:r w:rsidR="000751B8">
        <w:t xml:space="preserve">syllogistického spojení </w:t>
      </w:r>
      <w:r w:rsidR="08163013">
        <w:t xml:space="preserve">obou regulí představuje </w:t>
      </w:r>
      <w:r w:rsidR="000751B8">
        <w:t>„</w:t>
      </w:r>
      <w:r w:rsidR="08163013" w:rsidRPr="00347E07">
        <w:rPr>
          <w:i/>
        </w:rPr>
        <w:t>ratio seminalis</w:t>
      </w:r>
      <w:r w:rsidR="000751B8">
        <w:t>“</w:t>
      </w:r>
      <w:r w:rsidR="08163013">
        <w:rPr>
          <w:i/>
        </w:rPr>
        <w:fldChar w:fldCharType="begin"/>
      </w:r>
      <w:r w:rsidR="08163013">
        <w:instrText xml:space="preserve"> XE "</w:instrText>
      </w:r>
      <w:r w:rsidR="08163013" w:rsidRPr="009D39F0">
        <w:rPr>
          <w:i/>
        </w:rPr>
        <w:instrText>ratio seminalis</w:instrText>
      </w:r>
      <w:r w:rsidR="08163013">
        <w:instrText xml:space="preserve">" </w:instrText>
      </w:r>
      <w:r w:rsidR="08163013">
        <w:rPr>
          <w:i/>
        </w:rPr>
        <w:fldChar w:fldCharType="end"/>
      </w:r>
      <w:r w:rsidR="000751B8">
        <w:t xml:space="preserve">. Jeho objektivní kauzalita </w:t>
      </w:r>
      <w:r w:rsidR="08163013">
        <w:t xml:space="preserve">tvoří střední člen </w:t>
      </w:r>
      <w:r w:rsidR="00457D7E">
        <w:t>(</w:t>
      </w:r>
      <w:r w:rsidR="00457D7E" w:rsidRPr="00457D7E">
        <w:rPr>
          <w:i/>
        </w:rPr>
        <w:t>medium</w:t>
      </w:r>
      <w:r w:rsidR="00457D7E">
        <w:t>) ontoteologické spekulativní vědy</w:t>
      </w:r>
      <w:r w:rsidR="08163013">
        <w:t xml:space="preserve">. </w:t>
      </w:r>
      <w:r w:rsidR="000751B8" w:rsidRPr="000751B8">
        <w:t xml:space="preserve">Moderní ontoteologické spekulace se staly deduktivním důkazem. Obě </w:t>
      </w:r>
      <w:r w:rsidR="000751B8">
        <w:t xml:space="preserve">regule </w:t>
      </w:r>
      <w:r w:rsidR="000751B8" w:rsidRPr="000751B8">
        <w:t>určují činnost lidského a božského činitel</w:t>
      </w:r>
      <w:r w:rsidR="000751B8">
        <w:t xml:space="preserve">e v režimu objektivní analogie. </w:t>
      </w:r>
      <w:r w:rsidR="000751B8" w:rsidRPr="000751B8">
        <w:t>Takto s</w:t>
      </w:r>
      <w:r w:rsidR="000751B8">
        <w:t>e moderní člověk stal moderním b</w:t>
      </w:r>
      <w:r w:rsidR="000751B8" w:rsidRPr="000751B8">
        <w:t xml:space="preserve">ohem a moderní </w:t>
      </w:r>
      <w:r w:rsidR="000751B8">
        <w:t>b</w:t>
      </w:r>
      <w:r w:rsidR="000751B8" w:rsidRPr="000751B8">
        <w:t>ůh se stal moderním člověkem.</w:t>
      </w:r>
      <w:r w:rsidR="000751B8">
        <w:t xml:space="preserve"> </w:t>
      </w:r>
      <w:r w:rsidR="08163013">
        <w:t xml:space="preserve">Obě simulákra se vzájemně doplňují a obě „exsistují“ v novém typu metafyzického </w:t>
      </w:r>
      <w:r w:rsidR="08163013" w:rsidRPr="00AA4052">
        <w:rPr>
          <w:i/>
        </w:rPr>
        <w:t>resolutio</w:t>
      </w:r>
      <w:r w:rsidR="08163013">
        <w:t xml:space="preserve">. </w:t>
      </w:r>
      <w:r w:rsidR="08163013" w:rsidRPr="00273106">
        <w:t xml:space="preserve">Výkon </w:t>
      </w:r>
      <w:r w:rsidR="08163013">
        <w:t xml:space="preserve">božího a lidského </w:t>
      </w:r>
      <w:r w:rsidR="08163013" w:rsidRPr="00273106">
        <w:t xml:space="preserve">agenta je vázaný na příslušný objekt skrze působení </w:t>
      </w:r>
      <w:r w:rsidR="08163013">
        <w:t xml:space="preserve">seminální </w:t>
      </w:r>
      <w:r w:rsidR="08163013" w:rsidRPr="00273106">
        <w:t xml:space="preserve">formy dané v </w:t>
      </w:r>
      <w:r w:rsidR="08163013">
        <w:t xml:space="preserve">naší </w:t>
      </w:r>
      <w:r w:rsidR="08163013" w:rsidRPr="00273106">
        <w:t>mysli a realizované skrze demiurgickou</w:t>
      </w:r>
      <w:r w:rsidR="08163013">
        <w:t xml:space="preserve"> boží</w:t>
      </w:r>
      <w:r w:rsidR="08163013" w:rsidRPr="00273106">
        <w:t xml:space="preserve"> vůli</w:t>
      </w:r>
      <w:r w:rsidR="08163013">
        <w:t xml:space="preserve">. </w:t>
      </w:r>
      <w:r w:rsidR="00E1426D" w:rsidRPr="00E1426D">
        <w:t>Regulační model založený na činnosti obou operátorů je nadpřirozený a přirozený.</w:t>
      </w:r>
      <w:r w:rsidR="00E1426D">
        <w:t xml:space="preserve"> </w:t>
      </w:r>
      <w:r w:rsidR="08163013">
        <w:t xml:space="preserve">Asimilace </w:t>
      </w:r>
      <w:r w:rsidR="00106866">
        <w:t xml:space="preserve">objektivity </w:t>
      </w:r>
      <w:r w:rsidR="08163013">
        <w:t>prováděná moderním subjektem realizuje bohem a člověkem ustavené deontologické právo js</w:t>
      </w:r>
      <w:r w:rsidR="00106866">
        <w:t xml:space="preserve">oucna na objektivní pravdu jako </w:t>
      </w:r>
      <w:r w:rsidR="00106866" w:rsidRPr="00106866">
        <w:rPr>
          <w:i/>
        </w:rPr>
        <w:t>rectitudo</w:t>
      </w:r>
      <w:r w:rsidR="00106866">
        <w:t xml:space="preserve"> </w:t>
      </w:r>
      <w:r w:rsidR="08163013">
        <w:fldChar w:fldCharType="begin"/>
      </w:r>
      <w:r w:rsidR="08163013">
        <w:instrText xml:space="preserve"> XE "pravda:deontologie" </w:instrText>
      </w:r>
      <w:r w:rsidR="08163013">
        <w:fldChar w:fldCharType="end"/>
      </w:r>
      <w:r w:rsidR="00BD71FF">
        <w:t xml:space="preserve">. </w:t>
      </w:r>
      <w:r w:rsidR="00BD71FF" w:rsidRPr="00BD71FF">
        <w:t xml:space="preserve">Toto právo na existenci </w:t>
      </w:r>
      <w:r w:rsidR="002C6D1F">
        <w:t xml:space="preserve">danou </w:t>
      </w:r>
      <w:r w:rsidR="00BD71FF" w:rsidRPr="00BD71FF">
        <w:t>objektivně pravdivým způsobem je stanoveno podle Anselma</w:t>
      </w:r>
      <w:r w:rsidR="00BD71FF">
        <w:t xml:space="preserve"> </w:t>
      </w:r>
      <w:r w:rsidR="08163013">
        <w:t>(</w:t>
      </w:r>
      <w:r w:rsidR="08163013" w:rsidRPr="00273106">
        <w:rPr>
          <w:i/>
        </w:rPr>
        <w:t>quod debet esse, recte est</w:t>
      </w:r>
      <w:r w:rsidR="084D3958">
        <w:t>; OBJ I, kap. 1</w:t>
      </w:r>
      <w:r w:rsidR="08163013">
        <w:t xml:space="preserve">.2). Roli objektivního exemplaru </w:t>
      </w:r>
      <w:r w:rsidR="08163013" w:rsidRPr="00273106">
        <w:t xml:space="preserve">převezme </w:t>
      </w:r>
      <w:r w:rsidR="08163013">
        <w:t xml:space="preserve">u </w:t>
      </w:r>
      <w:r w:rsidR="08163013" w:rsidRPr="00273106">
        <w:t>Descarta</w:t>
      </w:r>
      <w:r w:rsidR="08163013">
        <w:fldChar w:fldCharType="begin"/>
      </w:r>
      <w:r w:rsidR="08163013">
        <w:instrText xml:space="preserve"> XE "</w:instrText>
      </w:r>
      <w:r w:rsidR="08163013" w:rsidRPr="004146C6">
        <w:rPr>
          <w:rStyle w:val="addmd"/>
        </w:rPr>
        <w:instrText>Descartes, R.</w:instrText>
      </w:r>
      <w:r w:rsidR="08163013">
        <w:instrText xml:space="preserve">" </w:instrText>
      </w:r>
      <w:r w:rsidR="08163013">
        <w:fldChar w:fldCharType="end"/>
      </w:r>
      <w:r w:rsidR="08163013" w:rsidRPr="00273106">
        <w:t xml:space="preserve"> a Leibnize matematika</w:t>
      </w:r>
      <w:r w:rsidR="08163013">
        <w:fldChar w:fldCharType="begin"/>
      </w:r>
      <w:r w:rsidR="08163013">
        <w:instrText xml:space="preserve"> XE "</w:instrText>
      </w:r>
      <w:r w:rsidR="08163013" w:rsidRPr="00DC040D">
        <w:instrText>matematika</w:instrText>
      </w:r>
      <w:r w:rsidR="08163013">
        <w:instrText xml:space="preserve">" </w:instrText>
      </w:r>
      <w:r w:rsidR="08163013">
        <w:fldChar w:fldCharType="end"/>
      </w:r>
      <w:r w:rsidR="08163013" w:rsidRPr="00273106">
        <w:t xml:space="preserve">, čímž vznikne novověká </w:t>
      </w:r>
      <w:r w:rsidR="08163013" w:rsidRPr="00273106">
        <w:rPr>
          <w:i/>
        </w:rPr>
        <w:t>mathesis universalis</w:t>
      </w:r>
      <w:r w:rsidR="08163013">
        <w:rPr>
          <w:i/>
        </w:rPr>
        <w:fldChar w:fldCharType="begin"/>
      </w:r>
      <w:r w:rsidR="08163013">
        <w:instrText xml:space="preserve"> XE "</w:instrText>
      </w:r>
      <w:r w:rsidR="08163013" w:rsidRPr="00212B09">
        <w:rPr>
          <w:i/>
        </w:rPr>
        <w:instrText>mathesis universalis</w:instrText>
      </w:r>
      <w:r w:rsidR="08163013">
        <w:instrText xml:space="preserve">" </w:instrText>
      </w:r>
      <w:r w:rsidR="08163013">
        <w:rPr>
          <w:i/>
        </w:rPr>
        <w:fldChar w:fldCharType="end"/>
      </w:r>
      <w:r w:rsidR="08163013" w:rsidRPr="00273106">
        <w:t>.</w:t>
      </w:r>
      <w:r w:rsidR="08163013" w:rsidRPr="083504D2">
        <w:t xml:space="preserve"> </w:t>
      </w:r>
      <w:r w:rsidR="08163013">
        <w:t>Mystické a proto objektivní spojení obou rovin zaklá</w:t>
      </w:r>
      <w:r w:rsidR="00357995">
        <w:t>dá nový řád věcí, z něhož vzešel</w:t>
      </w:r>
      <w:r w:rsidR="08163013">
        <w:t xml:space="preserve"> globální </w:t>
      </w:r>
      <w:r w:rsidR="080E5595">
        <w:rPr>
          <w:i/>
        </w:rPr>
        <w:t>Novus Ordo S</w:t>
      </w:r>
      <w:r w:rsidR="08163013" w:rsidRPr="00B20C7F">
        <w:rPr>
          <w:i/>
        </w:rPr>
        <w:t>eclorum</w:t>
      </w:r>
      <w:r w:rsidR="08163013">
        <w:t xml:space="preserve"> vítězné kapitalistické moderny</w:t>
      </w:r>
      <w:r w:rsidR="08163013">
        <w:fldChar w:fldCharType="begin"/>
      </w:r>
      <w:r w:rsidR="08163013">
        <w:instrText xml:space="preserve"> XE "produkce:kapitalismus" </w:instrText>
      </w:r>
      <w:r w:rsidR="08163013">
        <w:fldChar w:fldCharType="end"/>
      </w:r>
      <w:r w:rsidR="08163013">
        <w:t>.</w:t>
      </w:r>
    </w:p>
    <w:p w:rsidR="00187E8B" w:rsidRDefault="001F0BC4" w:rsidP="00356037">
      <w:r>
        <w:t xml:space="preserve"> </w:t>
      </w:r>
      <w:r w:rsidR="08163013">
        <w:tab/>
      </w:r>
      <w:r w:rsidR="00387E97" w:rsidRPr="00387E97">
        <w:t xml:space="preserve">Analogická podobnost mezi </w:t>
      </w:r>
      <w:r w:rsidR="00387E97">
        <w:t xml:space="preserve">regulemi </w:t>
      </w:r>
      <w:r w:rsidR="00387E97" w:rsidRPr="00387E97">
        <w:t xml:space="preserve">a </w:t>
      </w:r>
      <w:r w:rsidR="00387E97">
        <w:t xml:space="preserve">produkcí </w:t>
      </w:r>
      <w:r w:rsidR="00387E97" w:rsidRPr="00387E97">
        <w:t>je založena na aktivitě a vůli dvou subjektů.</w:t>
      </w:r>
      <w:r w:rsidR="00387E97">
        <w:t xml:space="preserve"> </w:t>
      </w:r>
      <w:r w:rsidR="08163013" w:rsidRPr="00273106">
        <w:t xml:space="preserve">Původní determinace v rámci </w:t>
      </w:r>
      <w:r w:rsidR="08163013" w:rsidRPr="00273106">
        <w:rPr>
          <w:i/>
        </w:rPr>
        <w:t>volitio</w:t>
      </w:r>
      <w:r w:rsidR="08163013" w:rsidRPr="00273106">
        <w:t xml:space="preserve">, </w:t>
      </w:r>
      <w:r w:rsidR="08163013" w:rsidRPr="00273106">
        <w:rPr>
          <w:i/>
        </w:rPr>
        <w:t>intentio</w:t>
      </w:r>
      <w:r w:rsidR="08163013" w:rsidRPr="00273106">
        <w:t xml:space="preserve">, </w:t>
      </w:r>
      <w:r w:rsidR="08163013" w:rsidRPr="00273106">
        <w:rPr>
          <w:i/>
        </w:rPr>
        <w:t>intellectio,</w:t>
      </w:r>
      <w:r w:rsidR="08163013" w:rsidRPr="00273106">
        <w:t xml:space="preserve"> a tím i </w:t>
      </w:r>
      <w:r w:rsidR="08163013" w:rsidRPr="00273106">
        <w:rPr>
          <w:i/>
        </w:rPr>
        <w:t>creatio</w:t>
      </w:r>
      <w:r w:rsidR="08163013" w:rsidRPr="00273106">
        <w:t xml:space="preserve">, </w:t>
      </w:r>
      <w:r w:rsidR="08163013">
        <w:t>dostala</w:t>
      </w:r>
      <w:r w:rsidR="08163013" w:rsidRPr="00273106">
        <w:t xml:space="preserve"> zásadně odlišný charakter podle dvojího typu</w:t>
      </w:r>
      <w:r w:rsidR="08163013">
        <w:t xml:space="preserve"> demiurga</w:t>
      </w:r>
      <w:r w:rsidR="08163013">
        <w:fldChar w:fldCharType="begin"/>
      </w:r>
      <w:r w:rsidR="08163013">
        <w:instrText xml:space="preserve"> XE "</w:instrText>
      </w:r>
      <w:r w:rsidR="08163013" w:rsidRPr="005C2F4A">
        <w:rPr>
          <w:rStyle w:val="addmd"/>
        </w:rPr>
        <w:instrText>demiurg</w:instrText>
      </w:r>
      <w:r w:rsidR="08163013">
        <w:instrText xml:space="preserve">" </w:instrText>
      </w:r>
      <w:r w:rsidR="08163013">
        <w:fldChar w:fldCharType="end"/>
      </w:r>
      <w:r w:rsidR="08163013" w:rsidRPr="00273106">
        <w:t xml:space="preserve">. </w:t>
      </w:r>
      <w:r w:rsidR="08163013">
        <w:t>Skrze porretánskou substancializaci se demiurgický stvořitelský záměr a regule staly jsoucnem třetího druhu</w:t>
      </w:r>
      <w:r w:rsidR="084C3CE0">
        <w:t>. Ta</w:t>
      </w:r>
      <w:r w:rsidR="005F1C4B">
        <w:t xml:space="preserve">to forma moderní vůle </w:t>
      </w:r>
      <w:r w:rsidR="08350C2D">
        <w:t xml:space="preserve">vstoupila </w:t>
      </w:r>
      <w:r w:rsidR="08163013">
        <w:t xml:space="preserve">do kategoriální predikace </w:t>
      </w:r>
      <w:r w:rsidR="084C3CE0">
        <w:t xml:space="preserve">jako nová </w:t>
      </w:r>
      <w:r w:rsidR="00B4400D">
        <w:t xml:space="preserve">forma druhé substance </w:t>
      </w:r>
      <w:r w:rsidR="08B146B0">
        <w:t>(</w:t>
      </w:r>
      <w:r w:rsidR="08B146B0" w:rsidRPr="08B146B0">
        <w:rPr>
          <w:i/>
        </w:rPr>
        <w:t>subiectum</w:t>
      </w:r>
      <w:r w:rsidR="08B146B0">
        <w:t>)</w:t>
      </w:r>
      <w:r w:rsidR="08163013">
        <w:t xml:space="preserve">. </w:t>
      </w:r>
      <w:r w:rsidR="00CC2C26">
        <w:t xml:space="preserve">Regulovaná </w:t>
      </w:r>
      <w:r w:rsidR="005F1C4B">
        <w:t xml:space="preserve">demiurgická </w:t>
      </w:r>
      <w:r w:rsidR="00CC2C26">
        <w:t>vůle produ</w:t>
      </w:r>
      <w:r w:rsidR="00BB0C9A">
        <w:t>ku</w:t>
      </w:r>
      <w:r w:rsidR="00CC2C26">
        <w:t xml:space="preserve">jící objektivitu </w:t>
      </w:r>
      <w:r w:rsidR="005F1C4B">
        <w:t xml:space="preserve">tvoří </w:t>
      </w:r>
      <w:r w:rsidR="00CC2C26">
        <w:t xml:space="preserve">substanční základ </w:t>
      </w:r>
      <w:r w:rsidR="005F1C4B">
        <w:t>objektivního jsoucna a k tomuto základu se přičítají ost</w:t>
      </w:r>
      <w:r w:rsidR="00CC2C26">
        <w:t>a</w:t>
      </w:r>
      <w:r w:rsidR="005F1C4B">
        <w:t>t</w:t>
      </w:r>
      <w:r w:rsidR="00CC2C26">
        <w:t xml:space="preserve">ní akcidenty. </w:t>
      </w:r>
      <w:r w:rsidR="08163013">
        <w:t xml:space="preserve">Odhalenost demiurgického modu jsoucna v modu </w:t>
      </w:r>
      <w:r w:rsidR="08163013" w:rsidRPr="00905D90">
        <w:rPr>
          <w:i/>
        </w:rPr>
        <w:t>dativus auctoris</w:t>
      </w:r>
      <w:r w:rsidR="08163013">
        <w:rPr>
          <w:i/>
        </w:rPr>
        <w:fldChar w:fldCharType="begin"/>
      </w:r>
      <w:r w:rsidR="08163013">
        <w:instrText xml:space="preserve"> XE "</w:instrText>
      </w:r>
      <w:r w:rsidR="08163013" w:rsidRPr="00C5228F">
        <w:rPr>
          <w:i/>
          <w:iCs/>
        </w:rPr>
        <w:instrText>dativus auctoris</w:instrText>
      </w:r>
      <w:r w:rsidR="08163013">
        <w:instrText xml:space="preserve">" </w:instrText>
      </w:r>
      <w:r w:rsidR="08163013">
        <w:rPr>
          <w:i/>
        </w:rPr>
        <w:fldChar w:fldCharType="end"/>
      </w:r>
      <w:r w:rsidR="08163013">
        <w:t xml:space="preserve"> </w:t>
      </w:r>
      <w:r w:rsidR="006F177A">
        <w:t xml:space="preserve">vysvětluje </w:t>
      </w:r>
      <w:r w:rsidR="08B146B0">
        <w:t xml:space="preserve">způsob, </w:t>
      </w:r>
      <w:r w:rsidR="08163013">
        <w:t>jak</w:t>
      </w:r>
      <w:r w:rsidR="08B146B0">
        <w:t xml:space="preserve"> </w:t>
      </w:r>
      <w:r w:rsidR="08163013">
        <w:t xml:space="preserve">celek jsoucna přichází ke svému smyslu a pravdě v nové metafyzice. </w:t>
      </w:r>
      <w:r w:rsidR="08B146B0">
        <w:t xml:space="preserve">Tím se našla dějinná perspektiva moderny ve smyslu </w:t>
      </w:r>
      <w:r w:rsidR="080A7FC5">
        <w:t xml:space="preserve">Heideggerovy </w:t>
      </w:r>
      <w:r w:rsidR="006908FA">
        <w:rPr>
          <w:i/>
          <w:szCs w:val="24"/>
        </w:rPr>
        <w:t>Vor-b</w:t>
      </w:r>
      <w:r w:rsidR="08B146B0" w:rsidRPr="081942A4">
        <w:rPr>
          <w:i/>
          <w:szCs w:val="24"/>
        </w:rPr>
        <w:t xml:space="preserve">lickbahn </w:t>
      </w:r>
      <w:r w:rsidR="08B146B0" w:rsidRPr="081942A4">
        <w:rPr>
          <w:szCs w:val="24"/>
        </w:rPr>
        <w:t>a hermeneutického</w:t>
      </w:r>
      <w:r w:rsidR="08B146B0" w:rsidRPr="081942A4">
        <w:rPr>
          <w:i/>
          <w:szCs w:val="24"/>
        </w:rPr>
        <w:t xml:space="preserve"> Wie </w:t>
      </w:r>
      <w:r w:rsidR="08B146B0" w:rsidRPr="081942A4">
        <w:rPr>
          <w:szCs w:val="24"/>
        </w:rPr>
        <w:t xml:space="preserve">(OBJ I, kap. 1). </w:t>
      </w:r>
      <w:r w:rsidR="08163013" w:rsidRPr="00273106">
        <w:t xml:space="preserve">Bonaventura </w:t>
      </w:r>
      <w:r w:rsidR="08163013">
        <w:t xml:space="preserve">vytvořil objektivní strukturu metafyziky pomocí </w:t>
      </w:r>
      <w:r w:rsidR="08163013" w:rsidRPr="00273106">
        <w:t>rozdíl</w:t>
      </w:r>
      <w:r w:rsidR="08163013">
        <w:t>u</w:t>
      </w:r>
      <w:r w:rsidR="08163013" w:rsidRPr="00273106">
        <w:t xml:space="preserve"> mezi exemplární potencí určující esenci (</w:t>
      </w:r>
      <w:r w:rsidR="08163013" w:rsidRPr="00273106">
        <w:rPr>
          <w:i/>
        </w:rPr>
        <w:t>quod est</w:t>
      </w:r>
      <w:r w:rsidR="08163013" w:rsidRPr="00273106">
        <w:t xml:space="preserve">) a mezi stvořitelskou aktualitou boží substance </w:t>
      </w:r>
      <w:r w:rsidR="08163013" w:rsidRPr="00273106">
        <w:lastRenderedPageBreak/>
        <w:t>tvořící subsistentní první substanci (</w:t>
      </w:r>
      <w:r w:rsidR="08163013" w:rsidRPr="00273106">
        <w:rPr>
          <w:i/>
        </w:rPr>
        <w:t>quo est</w:t>
      </w:r>
      <w:r w:rsidR="08163013">
        <w:rPr>
          <w:i/>
        </w:rPr>
        <w:fldChar w:fldCharType="begin"/>
      </w:r>
      <w:r w:rsidR="08163013">
        <w:instrText xml:space="preserve"> XE "</w:instrText>
      </w:r>
      <w:r w:rsidR="08163013" w:rsidRPr="003C4F2E">
        <w:rPr>
          <w:i/>
        </w:rPr>
        <w:instrText>quo est</w:instrText>
      </w:r>
      <w:r w:rsidR="08163013">
        <w:instrText xml:space="preserve">" </w:instrText>
      </w:r>
      <w:r w:rsidR="08163013">
        <w:rPr>
          <w:i/>
        </w:rPr>
        <w:fldChar w:fldCharType="end"/>
      </w:r>
      <w:r w:rsidR="08163013" w:rsidRPr="00273106">
        <w:t>).</w:t>
      </w:r>
      <w:r w:rsidR="08163013">
        <w:t xml:space="preserve"> T</w:t>
      </w:r>
      <w:r w:rsidR="08163013" w:rsidRPr="00273106">
        <w:t xml:space="preserve">uto diferenci přesadil do </w:t>
      </w:r>
      <w:r w:rsidR="08163013">
        <w:t xml:space="preserve">Boethiovy diference </w:t>
      </w:r>
      <w:r w:rsidR="001552E5">
        <w:t>„</w:t>
      </w:r>
      <w:r w:rsidR="08163013" w:rsidRPr="00273106">
        <w:rPr>
          <w:i/>
        </w:rPr>
        <w:t>quod est</w:t>
      </w:r>
      <w:r w:rsidR="001552E5">
        <w:t xml:space="preserve"> –</w:t>
      </w:r>
      <w:r w:rsidR="08163013">
        <w:t xml:space="preserve"> </w:t>
      </w:r>
      <w:r w:rsidR="08163013" w:rsidRPr="00273106">
        <w:rPr>
          <w:i/>
        </w:rPr>
        <w:t>quo est</w:t>
      </w:r>
      <w:r w:rsidR="001552E5">
        <w:t>“</w:t>
      </w:r>
      <w:r w:rsidR="08163013" w:rsidRPr="00273106">
        <w:t xml:space="preserve"> a upravil </w:t>
      </w:r>
      <w:r w:rsidR="001552E5">
        <w:t xml:space="preserve">ji </w:t>
      </w:r>
      <w:r w:rsidR="08163013" w:rsidRPr="00273106">
        <w:t xml:space="preserve">do vlastní </w:t>
      </w:r>
      <w:r w:rsidR="001552E5">
        <w:t>m</w:t>
      </w:r>
      <w:r w:rsidR="08163013">
        <w:t xml:space="preserve">etafyziky </w:t>
      </w:r>
      <w:r w:rsidR="08163013" w:rsidRPr="00273106">
        <w:t xml:space="preserve">dané primátem inteligentní vůle vybavené </w:t>
      </w:r>
      <w:r w:rsidR="08163013">
        <w:t>stvořitelskou nebo tvořitelskou aktualitou. Bonaventura v</w:t>
      </w:r>
      <w:r w:rsidR="08163013" w:rsidRPr="00273106">
        <w:t xml:space="preserve">zal z Avicennova </w:t>
      </w:r>
      <w:r w:rsidR="08163013">
        <w:t>neoplatonsk</w:t>
      </w:r>
      <w:r w:rsidR="08163013" w:rsidRPr="00273106">
        <w:t xml:space="preserve">ého scénáře rozdíl mezi </w:t>
      </w:r>
      <w:r w:rsidR="08163013">
        <w:t xml:space="preserve">autonomní </w:t>
      </w:r>
      <w:r w:rsidR="08163013" w:rsidRPr="00273106">
        <w:t xml:space="preserve">esencí a </w:t>
      </w:r>
      <w:r w:rsidR="08163013">
        <w:t xml:space="preserve">kontingentní </w:t>
      </w:r>
      <w:r w:rsidR="08163013" w:rsidRPr="00273106">
        <w:t xml:space="preserve">existencí, kterou kritizoval </w:t>
      </w:r>
      <w:r w:rsidR="08163013">
        <w:t>Averroes</w:t>
      </w:r>
      <w:r w:rsidR="08163013" w:rsidRPr="00273106">
        <w:t xml:space="preserve"> jako zásadní Avicennův </w:t>
      </w:r>
      <w:r w:rsidR="08163013">
        <w:t>omyl (</w:t>
      </w:r>
      <w:r w:rsidR="08E01DF9">
        <w:t xml:space="preserve">OBJ I, </w:t>
      </w:r>
      <w:r w:rsidR="08163013">
        <w:t xml:space="preserve">kap. 2.4.1). Objektivní jsoucno dané </w:t>
      </w:r>
      <w:r w:rsidR="08163013" w:rsidRPr="00273106">
        <w:t>exemplární esenci</w:t>
      </w:r>
      <w:r w:rsidR="08163013">
        <w:t>ální</w:t>
      </w:r>
      <w:r w:rsidR="08163013" w:rsidRPr="00273106">
        <w:t xml:space="preserve"> potencí (</w:t>
      </w:r>
      <w:r w:rsidR="08163013" w:rsidRPr="00273106">
        <w:rPr>
          <w:i/>
        </w:rPr>
        <w:t>quod est</w:t>
      </w:r>
      <w:r w:rsidR="08163013" w:rsidRPr="00273106">
        <w:t>)</w:t>
      </w:r>
      <w:r w:rsidR="08163013">
        <w:t xml:space="preserve"> nyní bytuje</w:t>
      </w:r>
      <w:r w:rsidR="08163013" w:rsidRPr="00273106">
        <w:t xml:space="preserve"> nezávisle na první substanci</w:t>
      </w:r>
      <w:r w:rsidR="08163013">
        <w:t xml:space="preserve">, protože je dáno v boží demiurgické intencionalitě. Modelem exemplární potence v božském či lidském demiurgovi je Rufusova </w:t>
      </w:r>
      <w:r w:rsidR="08163013" w:rsidRPr="00D90685">
        <w:rPr>
          <w:i/>
        </w:rPr>
        <w:t>potentia essentialis</w:t>
      </w:r>
      <w:r w:rsidR="08163013">
        <w:rPr>
          <w:i/>
        </w:rPr>
        <w:fldChar w:fldCharType="begin"/>
      </w:r>
      <w:r w:rsidR="08163013">
        <w:instrText xml:space="preserve"> XE "</w:instrText>
      </w:r>
      <w:r w:rsidR="08163013" w:rsidRPr="00AF32B9">
        <w:rPr>
          <w:i/>
        </w:rPr>
        <w:instrText>potentia essentialis</w:instrText>
      </w:r>
      <w:r w:rsidR="08163013">
        <w:instrText xml:space="preserve">" </w:instrText>
      </w:r>
      <w:r w:rsidR="08163013">
        <w:rPr>
          <w:i/>
        </w:rPr>
        <w:fldChar w:fldCharType="end"/>
      </w:r>
      <w:r w:rsidR="08163013">
        <w:t xml:space="preserve"> (</w:t>
      </w:r>
      <w:r w:rsidR="08732337">
        <w:t>OBJ II, kap. 3</w:t>
      </w:r>
      <w:r w:rsidR="08163013">
        <w:t xml:space="preserve">.3.1). </w:t>
      </w:r>
      <w:r w:rsidR="08732337">
        <w:t xml:space="preserve">První objektivní forma </w:t>
      </w:r>
      <w:r w:rsidR="08732337" w:rsidRPr="081942A4">
        <w:rPr>
          <w:szCs w:val="24"/>
        </w:rPr>
        <w:t>(</w:t>
      </w:r>
      <w:r w:rsidR="08732337" w:rsidRPr="081942A4">
        <w:rPr>
          <w:i/>
          <w:szCs w:val="24"/>
        </w:rPr>
        <w:t>exemplar</w:t>
      </w:r>
      <w:r w:rsidR="08732337">
        <w:rPr>
          <w:i/>
          <w:szCs w:val="24"/>
          <w:lang w:val="de-DE"/>
        </w:rPr>
        <w:fldChar w:fldCharType="begin"/>
      </w:r>
      <w:r w:rsidR="08732337">
        <w:instrText xml:space="preserve"> XE "</w:instrText>
      </w:r>
      <w:r w:rsidR="08732337" w:rsidRPr="081942A4">
        <w:rPr>
          <w:i/>
          <w:szCs w:val="24"/>
        </w:rPr>
        <w:instrText>exemplar</w:instrText>
      </w:r>
      <w:r w:rsidR="08732337">
        <w:instrText xml:space="preserve">" </w:instrText>
      </w:r>
      <w:r w:rsidR="08732337">
        <w:rPr>
          <w:i/>
          <w:szCs w:val="24"/>
          <w:lang w:val="de-DE"/>
        </w:rPr>
        <w:fldChar w:fldCharType="end"/>
      </w:r>
      <w:r w:rsidR="08732337" w:rsidRPr="081942A4">
        <w:rPr>
          <w:szCs w:val="24"/>
        </w:rPr>
        <w:t>) se nachází v božím intelektu a druhá forma se aktualizuje ve stvořitelské vůli, která produkuje aktuální jsoucno (</w:t>
      </w:r>
      <w:r w:rsidR="08732337" w:rsidRPr="081942A4">
        <w:rPr>
          <w:i/>
          <w:szCs w:val="24"/>
        </w:rPr>
        <w:t>ratio seminalis</w:t>
      </w:r>
      <w:r w:rsidR="08732337">
        <w:rPr>
          <w:i/>
          <w:szCs w:val="24"/>
          <w:lang w:val="de-DE"/>
        </w:rPr>
        <w:fldChar w:fldCharType="begin"/>
      </w:r>
      <w:r w:rsidR="08732337">
        <w:instrText xml:space="preserve"> XE "</w:instrText>
      </w:r>
      <w:r w:rsidR="08732337" w:rsidRPr="081942A4">
        <w:rPr>
          <w:i/>
          <w:szCs w:val="24"/>
        </w:rPr>
        <w:instrText>ratio seminalis</w:instrText>
      </w:r>
      <w:r w:rsidR="08732337">
        <w:instrText xml:space="preserve">" </w:instrText>
      </w:r>
      <w:r w:rsidR="08732337">
        <w:rPr>
          <w:i/>
          <w:szCs w:val="24"/>
          <w:lang w:val="de-DE"/>
        </w:rPr>
        <w:fldChar w:fldCharType="end"/>
      </w:r>
      <w:r w:rsidR="08732337" w:rsidRPr="081942A4">
        <w:rPr>
          <w:szCs w:val="24"/>
        </w:rPr>
        <w:t xml:space="preserve">). </w:t>
      </w:r>
      <w:r w:rsidR="08163013">
        <w:t>Vyvádění hypostázované esence exemplaru do objektivní „exs</w:t>
      </w:r>
      <w:r w:rsidR="08163013" w:rsidRPr="00273106">
        <w:t>istence</w:t>
      </w:r>
      <w:r w:rsidR="08163013">
        <w:t>“ seminálního ratia je vázáno</w:t>
      </w:r>
      <w:r w:rsidR="08163013" w:rsidRPr="00273106">
        <w:t xml:space="preserve"> na kontingentní akt trvale aktuální dem</w:t>
      </w:r>
      <w:r w:rsidR="08163013">
        <w:t>iurgické vůle boha nebo člověka. Obě formy jsou dané</w:t>
      </w:r>
      <w:r w:rsidR="08163013" w:rsidRPr="00273106">
        <w:t xml:space="preserve"> ve formě </w:t>
      </w:r>
      <w:r w:rsidR="08163013">
        <w:t xml:space="preserve">substanciální </w:t>
      </w:r>
      <w:r w:rsidR="08163013" w:rsidRPr="00273106">
        <w:t>potence vzhledem ke stvořenému objektu</w:t>
      </w:r>
      <w:r w:rsidR="08163013">
        <w:fldChar w:fldCharType="begin"/>
      </w:r>
      <w:r w:rsidR="08163013">
        <w:instrText xml:space="preserve"> XE "</w:instrText>
      </w:r>
      <w:r w:rsidR="08163013" w:rsidRPr="00B83CB8">
        <w:instrText>regule</w:instrText>
      </w:r>
      <w:r w:rsidR="08163013">
        <w:instrText>:</w:instrText>
      </w:r>
      <w:r w:rsidR="08163013" w:rsidRPr="005E70F0">
        <w:rPr>
          <w:i/>
        </w:rPr>
        <w:instrText>agentis in/creati</w:instrText>
      </w:r>
      <w:r w:rsidR="08163013">
        <w:instrText xml:space="preserve">" </w:instrText>
      </w:r>
      <w:r w:rsidR="08163013">
        <w:fldChar w:fldCharType="end"/>
      </w:r>
      <w:r w:rsidR="08163013" w:rsidRPr="00273106">
        <w:t>.</w:t>
      </w:r>
      <w:r w:rsidR="08163013">
        <w:t xml:space="preserve"> O</w:t>
      </w:r>
      <w:r w:rsidR="08163013" w:rsidRPr="00273106">
        <w:t>ntote</w:t>
      </w:r>
      <w:r w:rsidR="08163013">
        <w:t>o</w:t>
      </w:r>
      <w:r w:rsidR="08163013" w:rsidRPr="00273106">
        <w:t xml:space="preserve">logické </w:t>
      </w:r>
      <w:r w:rsidR="08163013" w:rsidRPr="00273106">
        <w:rPr>
          <w:i/>
        </w:rPr>
        <w:t>resolutio</w:t>
      </w:r>
      <w:r w:rsidR="08163013" w:rsidRPr="00273106">
        <w:t xml:space="preserve"> vytvořilo novou metafyziku tím, že zavedlo do západní scholastiky novou formu </w:t>
      </w:r>
      <w:r w:rsidR="08163013">
        <w:t>jsoucna třetího druhu</w:t>
      </w:r>
      <w:r w:rsidR="082E5A7E">
        <w:t xml:space="preserve">. Toto jsoucno třetího druhu </w:t>
      </w:r>
      <w:r w:rsidR="08732337">
        <w:t>dostalo čistě subje</w:t>
      </w:r>
      <w:r w:rsidR="082E5A7E">
        <w:t>k</w:t>
      </w:r>
      <w:r w:rsidR="08732337">
        <w:t>tivní charakter</w:t>
      </w:r>
      <w:r w:rsidR="08083345">
        <w:t xml:space="preserve"> v</w:t>
      </w:r>
      <w:r w:rsidR="08744ABD">
        <w:t xml:space="preserve"> demiurgické </w:t>
      </w:r>
      <w:r w:rsidR="08083345">
        <w:t xml:space="preserve">predikaci </w:t>
      </w:r>
      <w:r w:rsidR="08083345" w:rsidRPr="08083345">
        <w:rPr>
          <w:i/>
        </w:rPr>
        <w:t>in artificialibus</w:t>
      </w:r>
      <w:r w:rsidR="08083345">
        <w:rPr>
          <w:i/>
        </w:rPr>
        <w:fldChar w:fldCharType="begin"/>
      </w:r>
      <w:r w:rsidR="08083345">
        <w:instrText xml:space="preserve"> XE "</w:instrText>
      </w:r>
      <w:r w:rsidR="08083345" w:rsidRPr="081D1CCA">
        <w:instrText>predikace:</w:instrText>
      </w:r>
      <w:r w:rsidR="08083345" w:rsidRPr="081D1CCA">
        <w:rPr>
          <w:i/>
        </w:rPr>
        <w:instrText>in artificialibus</w:instrText>
      </w:r>
      <w:r w:rsidR="08083345">
        <w:instrText xml:space="preserve">" </w:instrText>
      </w:r>
      <w:r w:rsidR="08083345">
        <w:rPr>
          <w:i/>
        </w:rPr>
        <w:fldChar w:fldCharType="end"/>
      </w:r>
      <w:r w:rsidR="082E5A7E">
        <w:t>, což bylo pro klasické aristo</w:t>
      </w:r>
      <w:r w:rsidR="08083345">
        <w:t>teli</w:t>
      </w:r>
      <w:r w:rsidR="082E5A7E">
        <w:t>ky naprosté šílenství</w:t>
      </w:r>
      <w:r w:rsidR="0811116E">
        <w:t xml:space="preserve"> (</w:t>
      </w:r>
      <w:r w:rsidR="0811116E" w:rsidRPr="0811116E">
        <w:rPr>
          <w:i/>
        </w:rPr>
        <w:t>insaniunt contra veritatem</w:t>
      </w:r>
      <w:r w:rsidR="0811116E">
        <w:t xml:space="preserve">; OBJ II, </w:t>
      </w:r>
      <w:r w:rsidR="0811116E">
        <w:rPr>
          <w:szCs w:val="14"/>
        </w:rPr>
        <w:t>kap. 3.4.2</w:t>
      </w:r>
      <w:r w:rsidR="0811116E">
        <w:t xml:space="preserve">). </w:t>
      </w:r>
      <w:r w:rsidR="08163013">
        <w:t xml:space="preserve">Bonaventura navazuje na akademického a řádového kolegu Rufuse. Jeho </w:t>
      </w:r>
      <w:r w:rsidR="08163013" w:rsidRPr="00273106">
        <w:t>pojetí objektiv</w:t>
      </w:r>
      <w:r w:rsidR="08163013">
        <w:t xml:space="preserve">ity našlo novou jednotu </w:t>
      </w:r>
      <w:r w:rsidR="08163013" w:rsidRPr="00273106">
        <w:t>intelektu a reality</w:t>
      </w:r>
      <w:r w:rsidR="08163013">
        <w:t xml:space="preserve"> v pojmu </w:t>
      </w:r>
      <w:r w:rsidR="08163013" w:rsidRPr="001A48A3">
        <w:rPr>
          <w:i/>
        </w:rPr>
        <w:t>exsistere</w:t>
      </w:r>
      <w:r w:rsidR="08163013">
        <w:rPr>
          <w:i/>
        </w:rPr>
        <w:fldChar w:fldCharType="begin"/>
      </w:r>
      <w:r w:rsidR="08163013">
        <w:instrText xml:space="preserve"> XE "</w:instrText>
      </w:r>
      <w:r w:rsidR="08163013" w:rsidRPr="008E07A9">
        <w:rPr>
          <w:i/>
        </w:rPr>
        <w:instrText>exsistere</w:instrText>
      </w:r>
      <w:r w:rsidR="08163013">
        <w:instrText xml:space="preserve">" </w:instrText>
      </w:r>
      <w:r w:rsidR="08163013">
        <w:rPr>
          <w:i/>
        </w:rPr>
        <w:fldChar w:fldCharType="end"/>
      </w:r>
      <w:r w:rsidR="08345AC9">
        <w:t xml:space="preserve">. Moderní pojetí „exsistence“ </w:t>
      </w:r>
      <w:r w:rsidR="08163013">
        <w:t xml:space="preserve">je nyní chápáno jako akt stvořitelské demiugické vůle a intencionality dané v archetypálním modu </w:t>
      </w:r>
      <w:r w:rsidR="08163013" w:rsidRPr="084A298E">
        <w:rPr>
          <w:i/>
        </w:rPr>
        <w:t>semel</w:t>
      </w:r>
      <w:r w:rsidR="08163013">
        <w:t>‒</w:t>
      </w:r>
      <w:r w:rsidR="08163013" w:rsidRPr="084A298E">
        <w:rPr>
          <w:i/>
        </w:rPr>
        <w:t>semper</w:t>
      </w:r>
      <w:r w:rsidR="08163013">
        <w:rPr>
          <w:i/>
        </w:rPr>
        <w:fldChar w:fldCharType="begin"/>
      </w:r>
      <w:r w:rsidR="08163013">
        <w:instrText xml:space="preserve"> XE "predikace:</w:instrText>
      </w:r>
      <w:r w:rsidR="08163013" w:rsidRPr="08DF166F">
        <w:rPr>
          <w:i/>
        </w:rPr>
        <w:instrText>semel</w:instrText>
      </w:r>
      <w:r w:rsidR="08163013" w:rsidRPr="08DF166F">
        <w:instrText>‒</w:instrText>
      </w:r>
      <w:r w:rsidR="08163013" w:rsidRPr="08DF166F">
        <w:rPr>
          <w:i/>
        </w:rPr>
        <w:instrText>semper</w:instrText>
      </w:r>
      <w:r w:rsidR="08163013">
        <w:instrText xml:space="preserve">" </w:instrText>
      </w:r>
      <w:r w:rsidR="08163013">
        <w:rPr>
          <w:i/>
        </w:rPr>
        <w:fldChar w:fldCharType="end"/>
      </w:r>
      <w:r w:rsidR="08163013">
        <w:t>. Jsoucno</w:t>
      </w:r>
      <w:r w:rsidR="08163013" w:rsidRPr="00273106">
        <w:t xml:space="preserve"> je ex</w:t>
      </w:r>
      <w:r w:rsidR="08163013">
        <w:t>emplárně dáno v boží mysli, která tvoří objektivně dané mezipatro</w:t>
      </w:r>
      <w:r w:rsidR="08163013" w:rsidRPr="00273106">
        <w:t xml:space="preserve"> mezi Stvořitelem a stvořením</w:t>
      </w:r>
      <w:r w:rsidR="08163013">
        <w:fldChar w:fldCharType="begin"/>
      </w:r>
      <w:r w:rsidR="08163013">
        <w:instrText xml:space="preserve"> XE "</w:instrText>
      </w:r>
      <w:r w:rsidR="08163013" w:rsidRPr="006E3AEC">
        <w:instrText>diakosmos</w:instrText>
      </w:r>
      <w:r w:rsidR="08163013">
        <w:instrText xml:space="preserve">" </w:instrText>
      </w:r>
      <w:r w:rsidR="08163013">
        <w:fldChar w:fldCharType="end"/>
      </w:r>
      <w:r w:rsidR="08163013" w:rsidRPr="00273106">
        <w:t>. V tomto metafyzickém limbu věci současně jsou a nejsou</w:t>
      </w:r>
      <w:r w:rsidR="08163013">
        <w:t>, v</w:t>
      </w:r>
      <w:r w:rsidR="08163013" w:rsidRPr="00273106">
        <w:t xml:space="preserve">iz </w:t>
      </w:r>
      <w:r w:rsidR="08163013">
        <w:t>neoplatonskou</w:t>
      </w:r>
      <w:r w:rsidR="08163013" w:rsidRPr="00273106">
        <w:t xml:space="preserve"> kosmologii </w:t>
      </w:r>
      <w:r w:rsidR="08163013">
        <w:t xml:space="preserve">Jamblicha a </w:t>
      </w:r>
      <w:r w:rsidR="08163013" w:rsidRPr="00273106">
        <w:t xml:space="preserve">Simplikia </w:t>
      </w:r>
      <w:r w:rsidR="08163013">
        <w:t>(</w:t>
      </w:r>
      <w:r w:rsidR="08F206DB">
        <w:t xml:space="preserve">OBJ I, </w:t>
      </w:r>
      <w:r w:rsidR="00187E8B">
        <w:t>kap. 1.3.1).</w:t>
      </w:r>
    </w:p>
    <w:p w:rsidR="008F2FAD" w:rsidRDefault="08163013" w:rsidP="00187E8B">
      <w:pPr>
        <w:ind w:firstLine="397"/>
      </w:pPr>
      <w:r w:rsidRPr="00273106">
        <w:t xml:space="preserve">Hermeneutika </w:t>
      </w:r>
      <w:r w:rsidR="00187E8B">
        <w:t>musí vysvětli</w:t>
      </w:r>
      <w:r w:rsidR="00B2500E">
        <w:t>t</w:t>
      </w:r>
      <w:r w:rsidRPr="00273106">
        <w:t xml:space="preserve">, jak demiurgicky pojatá esence </w:t>
      </w:r>
      <w:r>
        <w:t>u Rufuse přesahuje</w:t>
      </w:r>
      <w:r w:rsidRPr="00273106">
        <w:t xml:space="preserve"> (</w:t>
      </w:r>
      <w:r w:rsidRPr="00273106">
        <w:rPr>
          <w:i/>
        </w:rPr>
        <w:t>exsistit</w:t>
      </w:r>
      <w:r>
        <w:t>) do nově nazírané reality. Před stvořením existují obě formy objektivních božích intencí pouze potenciálně-objektivně, nikoliv</w:t>
      </w:r>
      <w:r w:rsidR="084C126E">
        <w:t xml:space="preserve"> neoplatonsky aktuálně</w:t>
      </w:r>
      <w:r>
        <w:t xml:space="preserve">. Objektivní </w:t>
      </w:r>
      <w:r w:rsidRPr="00273106">
        <w:t>esence</w:t>
      </w:r>
      <w:r>
        <w:fldChar w:fldCharType="begin"/>
      </w:r>
      <w:r>
        <w:instrText xml:space="preserve"> XE "</w:instrText>
      </w:r>
      <w:r w:rsidRPr="00A52E03">
        <w:instrText>esence:objektivní</w:instrText>
      </w:r>
      <w:r>
        <w:instrText xml:space="preserve">" </w:instrText>
      </w:r>
      <w:r>
        <w:fldChar w:fldCharType="end"/>
      </w:r>
      <w:r w:rsidRPr="00273106">
        <w:t xml:space="preserve"> </w:t>
      </w:r>
      <w:r>
        <w:t xml:space="preserve">daná jako exemplární intence v boží mysli byla oddělena </w:t>
      </w:r>
      <w:r w:rsidRPr="00273106">
        <w:t>od aktuálního, ale kontingentní</w:t>
      </w:r>
      <w:r>
        <w:t>ho aktu bytí stvořené substance</w:t>
      </w:r>
      <w:r>
        <w:fldChar w:fldCharType="begin"/>
      </w:r>
      <w:r>
        <w:instrText xml:space="preserve"> XE "</w:instrText>
      </w:r>
      <w:r w:rsidRPr="00DE2A32">
        <w:instrText>substance</w:instrText>
      </w:r>
      <w:r>
        <w:instrText xml:space="preserve">:stvořená" </w:instrText>
      </w:r>
      <w:r>
        <w:fldChar w:fldCharType="end"/>
      </w:r>
      <w:r>
        <w:t>. Exemplar daný boží intencionalitou (</w:t>
      </w:r>
      <w:r w:rsidRPr="00844959">
        <w:rPr>
          <w:i/>
        </w:rPr>
        <w:t>rationes exemplares</w:t>
      </w:r>
      <w:r w:rsidR="006024AD">
        <w:t>) má vlastní transcendenci, kterou se l</w:t>
      </w:r>
      <w:r w:rsidRPr="00273106">
        <w:t xml:space="preserve">iší od </w:t>
      </w:r>
      <w:r w:rsidRPr="00273106">
        <w:rPr>
          <w:i/>
        </w:rPr>
        <w:t xml:space="preserve">rationes </w:t>
      </w:r>
      <w:r w:rsidRPr="00273106">
        <w:rPr>
          <w:i/>
        </w:rPr>
        <w:lastRenderedPageBreak/>
        <w:t>seminales</w:t>
      </w:r>
      <w:r>
        <w:rPr>
          <w:i/>
        </w:rPr>
        <w:fldChar w:fldCharType="begin"/>
      </w:r>
      <w:r>
        <w:instrText xml:space="preserve"> XE "</w:instrText>
      </w:r>
      <w:r w:rsidRPr="00842B74">
        <w:rPr>
          <w:i/>
        </w:rPr>
        <w:instrText>rationes seminales</w:instrText>
      </w:r>
      <w:r>
        <w:instrText xml:space="preserve">" </w:instrText>
      </w:r>
      <w:r>
        <w:rPr>
          <w:i/>
        </w:rPr>
        <w:fldChar w:fldCharType="end"/>
      </w:r>
      <w:r>
        <w:t xml:space="preserve">. Objektivní </w:t>
      </w:r>
      <w:r w:rsidRPr="00273106">
        <w:t xml:space="preserve">věčné formy jsou aktem stvoření </w:t>
      </w:r>
      <w:r>
        <w:t xml:space="preserve">reálně </w:t>
      </w:r>
      <w:r w:rsidRPr="00273106">
        <w:t xml:space="preserve">dány ve věcech a následně </w:t>
      </w:r>
      <w:r>
        <w:t xml:space="preserve">je </w:t>
      </w:r>
      <w:r w:rsidRPr="00273106">
        <w:t>poznává moderní</w:t>
      </w:r>
      <w:r>
        <w:t xml:space="preserve"> demiurg</w:t>
      </w:r>
      <w:r w:rsidRPr="00273106">
        <w:t>.</w:t>
      </w:r>
      <w:r w:rsidR="087D1F73">
        <w:t xml:space="preserve"> V novém typu objektivního světa </w:t>
      </w:r>
      <w:r>
        <w:t xml:space="preserve">kontempluje </w:t>
      </w:r>
      <w:r w:rsidR="087D1F73">
        <w:t xml:space="preserve">tuto realitu </w:t>
      </w:r>
      <w:r>
        <w:t xml:space="preserve">lidský </w:t>
      </w:r>
      <w:r w:rsidRPr="00273106">
        <w:rPr>
          <w:i/>
        </w:rPr>
        <w:t>intellectus resolvens</w:t>
      </w:r>
      <w:r>
        <w:rPr>
          <w:i/>
        </w:rPr>
        <w:fldChar w:fldCharType="begin"/>
      </w:r>
      <w:r>
        <w:instrText xml:space="preserve"> XE "</w:instrText>
      </w:r>
      <w:r w:rsidRPr="0011539A">
        <w:rPr>
          <w:i/>
        </w:rPr>
        <w:instrText>intellectus resolvens</w:instrText>
      </w:r>
      <w:r>
        <w:instrText xml:space="preserve">" </w:instrText>
      </w:r>
      <w:r>
        <w:rPr>
          <w:i/>
        </w:rPr>
        <w:fldChar w:fldCharType="end"/>
      </w:r>
      <w:r w:rsidR="08CB34B4">
        <w:t xml:space="preserve">, který byl vytvořený </w:t>
      </w:r>
      <w:r>
        <w:t>v modernistické škole Bonaventury skrze nauku o transcendentáliích od Filipa Kancléře</w:t>
      </w:r>
      <w:r w:rsidRPr="00273106">
        <w:t>.</w:t>
      </w:r>
      <w:r>
        <w:rPr>
          <w:lang w:eastAsia="x-none"/>
        </w:rPr>
        <w:t xml:space="preserve"> </w:t>
      </w:r>
      <w:r>
        <w:t xml:space="preserve">Moderní forma „exsistence“ daná porretány a Rufusem nyní dostala kompletní ontoteologické </w:t>
      </w:r>
      <w:r w:rsidRPr="00BB5442">
        <w:rPr>
          <w:i/>
        </w:rPr>
        <w:t>resolutio</w:t>
      </w:r>
      <w:r>
        <w:rPr>
          <w:i/>
        </w:rPr>
        <w:fldChar w:fldCharType="begin"/>
      </w:r>
      <w:r>
        <w:instrText xml:space="preserve"> XE "</w:instrText>
      </w:r>
      <w:r w:rsidRPr="00111E9E">
        <w:rPr>
          <w:i/>
        </w:rPr>
        <w:instrText>resolutio</w:instrText>
      </w:r>
      <w:r>
        <w:rPr>
          <w:i/>
        </w:rPr>
        <w:instrText>:</w:instrText>
      </w:r>
      <w:r w:rsidRPr="007D3515">
        <w:instrText>Bonaventura</w:instrText>
      </w:r>
      <w:r>
        <w:instrText xml:space="preserve">" </w:instrText>
      </w:r>
      <w:r>
        <w:rPr>
          <w:i/>
        </w:rPr>
        <w:fldChar w:fldCharType="end"/>
      </w:r>
      <w:r>
        <w:t xml:space="preserve">. </w:t>
      </w:r>
      <w:r w:rsidR="0872403C">
        <w:t xml:space="preserve">Bonaventura </w:t>
      </w:r>
      <w:r>
        <w:t xml:space="preserve">zavedl </w:t>
      </w:r>
      <w:r w:rsidRPr="00273106">
        <w:t>ambivalent</w:t>
      </w:r>
      <w:r w:rsidR="008B0B4E">
        <w:t xml:space="preserve">ní statut univerzálií. Přitom </w:t>
      </w:r>
      <w:r w:rsidRPr="00273106">
        <w:t xml:space="preserve">dobře </w:t>
      </w:r>
      <w:r>
        <w:t>věděl</w:t>
      </w:r>
      <w:r w:rsidRPr="00273106">
        <w:t xml:space="preserve">, že univerzália mohou existovat </w:t>
      </w:r>
      <w:r>
        <w:t xml:space="preserve">pouze </w:t>
      </w:r>
      <w:r w:rsidRPr="00273106">
        <w:t>v mysli.</w:t>
      </w:r>
      <w:r w:rsidR="0858159F">
        <w:t xml:space="preserve"> Vlivný františkán </w:t>
      </w:r>
      <w:r>
        <w:t>učinil rozhodující krok k vytvoření nové metafyziky</w:t>
      </w:r>
      <w:r w:rsidRPr="00273106">
        <w:t xml:space="preserve"> Západu</w:t>
      </w:r>
      <w:r>
        <w:t xml:space="preserve"> tím, že zpochybnil metafyziku Aristotela a odmítnul </w:t>
      </w:r>
      <w:r w:rsidR="0858159F">
        <w:t xml:space="preserve">výklad </w:t>
      </w:r>
      <w:r>
        <w:t>Averroes</w:t>
      </w:r>
      <w:r w:rsidRPr="00273106">
        <w:t>e</w:t>
      </w:r>
      <w:r>
        <w:t xml:space="preserve">. Etablováním archetypické objektivity v bohu jako křesťanskému demiurgovi vznikla nová forma </w:t>
      </w:r>
      <w:r w:rsidRPr="00F61AC6">
        <w:rPr>
          <w:i/>
        </w:rPr>
        <w:t>dativus auctoris</w:t>
      </w:r>
      <w:r>
        <w:rPr>
          <w:i/>
        </w:rPr>
        <w:fldChar w:fldCharType="begin"/>
      </w:r>
      <w:r>
        <w:instrText xml:space="preserve"> XE "</w:instrText>
      </w:r>
      <w:r w:rsidRPr="00C5228F">
        <w:rPr>
          <w:i/>
          <w:iCs/>
        </w:rPr>
        <w:instrText>dativus auctoris</w:instrText>
      </w:r>
      <w:r>
        <w:instrText xml:space="preserve">" </w:instrText>
      </w:r>
      <w:r>
        <w:rPr>
          <w:i/>
        </w:rPr>
        <w:fldChar w:fldCharType="end"/>
      </w:r>
      <w:r>
        <w:t xml:space="preserve"> určující</w:t>
      </w:r>
      <w:r w:rsidR="087A0E79">
        <w:t xml:space="preserve"> bytí západního subjektu (kap. 4</w:t>
      </w:r>
      <w:r>
        <w:t xml:space="preserve">). Metafyzika dostala nové </w:t>
      </w:r>
      <w:r w:rsidRPr="00F94611">
        <w:rPr>
          <w:i/>
        </w:rPr>
        <w:t>Gründung</w:t>
      </w:r>
      <w:r>
        <w:rPr>
          <w:i/>
        </w:rPr>
        <w:fldChar w:fldCharType="begin"/>
      </w:r>
      <w:r>
        <w:instrText xml:space="preserve"> XE "metafyzika:</w:instrText>
      </w:r>
      <w:r w:rsidRPr="00983815">
        <w:rPr>
          <w:i/>
        </w:rPr>
        <w:instrText>Gründung</w:instrText>
      </w:r>
      <w:r>
        <w:instrText xml:space="preserve">" </w:instrText>
      </w:r>
      <w:r>
        <w:rPr>
          <w:i/>
        </w:rPr>
        <w:fldChar w:fldCharType="end"/>
      </w:r>
      <w:r>
        <w:t>, protože demiurg a jeho objektivně daná regule vytěsnily kauzalitu první substance. Rozhodující vliv postupně získá druhé patro objektivity dané na lidské rovině tvorby. Men</w:t>
      </w:r>
      <w:r w:rsidR="08333812">
        <w:t xml:space="preserve">tální, volní a faktická činnost </w:t>
      </w:r>
      <w:r>
        <w:t xml:space="preserve">lidského demiurga vytěsnila bytí reálného světa. Z hlediska Heideggerova </w:t>
      </w:r>
      <w:r w:rsidRPr="00F94611">
        <w:rPr>
          <w:i/>
        </w:rPr>
        <w:t>Ereignis</w:t>
      </w:r>
      <w:r>
        <w:rPr>
          <w:i/>
        </w:rPr>
        <w:fldChar w:fldCharType="begin"/>
      </w:r>
      <w:r>
        <w:instrText xml:space="preserve"> XE "</w:instrText>
      </w:r>
      <w:r w:rsidRPr="00120BB2">
        <w:rPr>
          <w:i/>
        </w:rPr>
        <w:instrText>Ereignis</w:instrText>
      </w:r>
      <w:r>
        <w:instrText xml:space="preserve">" </w:instrText>
      </w:r>
      <w:r>
        <w:rPr>
          <w:i/>
        </w:rPr>
        <w:fldChar w:fldCharType="end"/>
      </w:r>
      <w:r>
        <w:t xml:space="preserve"> vázaného na osud metafyziky v modu </w:t>
      </w:r>
      <w:r w:rsidRPr="087120F6">
        <w:rPr>
          <w:i/>
        </w:rPr>
        <w:t>Seinsvergessenheit</w:t>
      </w:r>
      <w:r>
        <w:rPr>
          <w:i/>
        </w:rPr>
        <w:fldChar w:fldCharType="begin"/>
      </w:r>
      <w:r>
        <w:instrText xml:space="preserve"> XE "</w:instrText>
      </w:r>
      <w:r w:rsidRPr="08157352">
        <w:rPr>
          <w:i/>
        </w:rPr>
        <w:instrText>Seinsvergessenheit</w:instrText>
      </w:r>
      <w:r>
        <w:instrText xml:space="preserve">" </w:instrText>
      </w:r>
      <w:r>
        <w:rPr>
          <w:i/>
        </w:rPr>
        <w:fldChar w:fldCharType="end"/>
      </w:r>
      <w:r>
        <w:t xml:space="preserve"> začala epocha aktivního západního nihilis</w:t>
      </w:r>
      <w:r w:rsidR="08246EDC">
        <w:t xml:space="preserve">mu. Tuto etapu spojenou s globální kolonizací planety charakterizuje nový způsob, jak je </w:t>
      </w:r>
      <w:r>
        <w:t>ce</w:t>
      </w:r>
      <w:r w:rsidR="08246EDC">
        <w:t>lek</w:t>
      </w:r>
      <w:r>
        <w:t xml:space="preserve"> jsoucna </w:t>
      </w:r>
      <w:r w:rsidR="08246EDC">
        <w:t xml:space="preserve">přisunován před subjekt </w:t>
      </w:r>
      <w:r w:rsidR="08205376">
        <w:t xml:space="preserve">jako jeho subjektivně utvářený objekt </w:t>
      </w:r>
      <w:r>
        <w:t>(</w:t>
      </w:r>
      <w:r w:rsidR="08246EDC">
        <w:t xml:space="preserve">OBJ I, </w:t>
      </w:r>
      <w:r>
        <w:rPr>
          <w:i/>
        </w:rPr>
        <w:t>Ge-Stell</w:t>
      </w:r>
      <w:r>
        <w:rPr>
          <w:i/>
        </w:rPr>
        <w:fldChar w:fldCharType="begin"/>
      </w:r>
      <w:r>
        <w:instrText xml:space="preserve"> XE "</w:instrText>
      </w:r>
      <w:r>
        <w:rPr>
          <w:i/>
        </w:rPr>
        <w:instrText>Ge-Stell</w:instrText>
      </w:r>
      <w:r>
        <w:instrText xml:space="preserve">" </w:instrText>
      </w:r>
      <w:r>
        <w:rPr>
          <w:i/>
        </w:rPr>
        <w:fldChar w:fldCharType="end"/>
      </w:r>
      <w:r>
        <w:t xml:space="preserve">, kap. 1.2). Hermeneutika tuto epochální změnu podala ve změněném pojetí </w:t>
      </w:r>
      <w:r w:rsidRPr="086F775F">
        <w:rPr>
          <w:i/>
        </w:rPr>
        <w:t>dativus modi</w:t>
      </w:r>
      <w:r>
        <w:rPr>
          <w:i/>
        </w:rPr>
        <w:fldChar w:fldCharType="begin"/>
      </w:r>
      <w:r>
        <w:instrText xml:space="preserve"> XE "</w:instrText>
      </w:r>
      <w:r w:rsidRPr="08B023AD">
        <w:rPr>
          <w:i/>
        </w:rPr>
        <w:instrText>dativus modi</w:instrText>
      </w:r>
      <w:r>
        <w:instrText xml:space="preserve">" </w:instrText>
      </w:r>
      <w:r>
        <w:rPr>
          <w:i/>
        </w:rPr>
        <w:fldChar w:fldCharType="end"/>
      </w:r>
      <w:r w:rsidR="089B0917">
        <w:t xml:space="preserve"> (kap. 4). </w:t>
      </w:r>
      <w:r>
        <w:t xml:space="preserve">Bytí první reálné substance poznávané skrze </w:t>
      </w:r>
      <w:r w:rsidR="081942A4">
        <w:t xml:space="preserve">metafyzický </w:t>
      </w:r>
      <w:r>
        <w:t>dativ se nyní dostalo do manipulativní moci subjektu skrze demiurgickou</w:t>
      </w:r>
      <w:r w:rsidR="080B5920">
        <w:fldChar w:fldCharType="begin"/>
      </w:r>
      <w:r w:rsidR="080B5920">
        <w:instrText xml:space="preserve"> XE "</w:instrText>
      </w:r>
      <w:r w:rsidR="080B5920" w:rsidRPr="005C2F4A">
        <w:rPr>
          <w:rStyle w:val="addmd"/>
        </w:rPr>
        <w:instrText>demiurg</w:instrText>
      </w:r>
      <w:r w:rsidR="080B5920">
        <w:instrText xml:space="preserve">" </w:instrText>
      </w:r>
      <w:r w:rsidR="080B5920">
        <w:fldChar w:fldCharType="end"/>
      </w:r>
      <w:r w:rsidR="080B5920">
        <w:t xml:space="preserve"> </w:t>
      </w:r>
      <w:r>
        <w:t>formu mytopoetické parousie</w:t>
      </w:r>
      <w:r w:rsidR="080B5920">
        <w:t xml:space="preserve"> v boholidském subjektu jako </w:t>
      </w:r>
      <w:r w:rsidR="080B5920" w:rsidRPr="080B5920">
        <w:rPr>
          <w:i/>
        </w:rPr>
        <w:t>tertium ens</w:t>
      </w:r>
      <w:r w:rsidR="008F2FAD">
        <w:t>.</w:t>
      </w:r>
    </w:p>
    <w:p w:rsidR="001D4C07" w:rsidRDefault="087925AF" w:rsidP="00187E8B">
      <w:pPr>
        <w:ind w:firstLine="397"/>
      </w:pPr>
      <w:r>
        <w:t xml:space="preserve">Aristotelští teologové a filosofové </w:t>
      </w:r>
      <w:r w:rsidR="08BD3A1A">
        <w:t>byli</w:t>
      </w:r>
      <w:r w:rsidR="08BC5254">
        <w:t xml:space="preserve"> zcela jistě zděšeni, když se</w:t>
      </w:r>
      <w:r w:rsidR="08BD3A1A">
        <w:t xml:space="preserve"> tato </w:t>
      </w:r>
      <w:r w:rsidR="08EB7D1A">
        <w:t xml:space="preserve">sofistická </w:t>
      </w:r>
      <w:r w:rsidR="08BD3A1A">
        <w:t xml:space="preserve">nauka začala </w:t>
      </w:r>
      <w:r w:rsidR="081E3FE0">
        <w:t xml:space="preserve">oficiálně </w:t>
      </w:r>
      <w:r w:rsidR="08BD3A1A">
        <w:t>hlásat na Pař</w:t>
      </w:r>
      <w:r w:rsidR="08BC5254">
        <w:t xml:space="preserve">ížské univerzitě od roku 1255. </w:t>
      </w:r>
      <w:r w:rsidR="08163013">
        <w:t xml:space="preserve">Celek jsoucna je určen </w:t>
      </w:r>
      <w:r w:rsidR="08163013" w:rsidRPr="00273106">
        <w:t xml:space="preserve">vzhledem k </w:t>
      </w:r>
      <w:r w:rsidR="08163013">
        <w:t xml:space="preserve">principiálnímu </w:t>
      </w:r>
      <w:r w:rsidR="08163013" w:rsidRPr="00273106">
        <w:t xml:space="preserve">stvořitelskému mýtu </w:t>
      </w:r>
      <w:r w:rsidR="08163013" w:rsidRPr="002018FA">
        <w:rPr>
          <w:i/>
        </w:rPr>
        <w:t>Genesis</w:t>
      </w:r>
      <w:r w:rsidR="08163013" w:rsidRPr="00273106">
        <w:t xml:space="preserve">, </w:t>
      </w:r>
      <w:r w:rsidR="08163013">
        <w:t>n</w:t>
      </w:r>
      <w:r w:rsidR="08163013" w:rsidRPr="00273106">
        <w:t xml:space="preserve">a </w:t>
      </w:r>
      <w:r w:rsidR="08163013">
        <w:t>který navazuje lidská iniciativa.</w:t>
      </w:r>
      <w:r w:rsidR="08163013" w:rsidRPr="00940818">
        <w:t xml:space="preserve"> </w:t>
      </w:r>
      <w:r w:rsidR="08163013">
        <w:t>Bonaventura udělal z Rufusova jsoucna třetího druhu (</w:t>
      </w:r>
      <w:r w:rsidR="08163013" w:rsidRPr="00DC4A95">
        <w:rPr>
          <w:i/>
        </w:rPr>
        <w:t>scibile</w:t>
      </w:r>
      <w:r w:rsidR="08163013">
        <w:rPr>
          <w:i/>
        </w:rPr>
        <w:t>, c</w:t>
      </w:r>
      <w:r w:rsidR="08163013" w:rsidRPr="00DC4A95">
        <w:rPr>
          <w:i/>
        </w:rPr>
        <w:t>oncretum</w:t>
      </w:r>
      <w:r w:rsidR="08163013">
        <w:t xml:space="preserve">) epochálně nové demiurgické </w:t>
      </w:r>
      <w:r w:rsidR="08163013" w:rsidRPr="00DC4A95">
        <w:rPr>
          <w:i/>
        </w:rPr>
        <w:t>factum</w:t>
      </w:r>
      <w:r w:rsidR="08163013">
        <w:rPr>
          <w:i/>
        </w:rPr>
        <w:fldChar w:fldCharType="begin"/>
      </w:r>
      <w:r w:rsidR="08163013">
        <w:instrText xml:space="preserve"> XE "</w:instrText>
      </w:r>
      <w:r w:rsidR="08163013" w:rsidRPr="0012277B">
        <w:rPr>
          <w:i/>
        </w:rPr>
        <w:instrText>factum</w:instrText>
      </w:r>
      <w:r w:rsidR="08163013">
        <w:instrText xml:space="preserve">" </w:instrText>
      </w:r>
      <w:r w:rsidR="08163013">
        <w:rPr>
          <w:i/>
        </w:rPr>
        <w:fldChar w:fldCharType="end"/>
      </w:r>
      <w:r w:rsidR="083F6A33">
        <w:t>. Exemplary přišly</w:t>
      </w:r>
      <w:r w:rsidR="08163013" w:rsidRPr="00273106">
        <w:t xml:space="preserve"> do </w:t>
      </w:r>
      <w:r w:rsidR="083F6A33">
        <w:t xml:space="preserve">dějinně </w:t>
      </w:r>
      <w:r w:rsidR="089D3A65">
        <w:t xml:space="preserve">(tj. objektivně a moderně) </w:t>
      </w:r>
      <w:r w:rsidR="083F6A33">
        <w:t xml:space="preserve">daného smyslu </w:t>
      </w:r>
      <w:r w:rsidR="08297E4C">
        <w:t xml:space="preserve">jsoucna </w:t>
      </w:r>
      <w:r w:rsidR="08163013">
        <w:t xml:space="preserve">ve formě </w:t>
      </w:r>
      <w:r w:rsidR="08163013" w:rsidRPr="00273106">
        <w:rPr>
          <w:i/>
        </w:rPr>
        <w:t>rationes seminales</w:t>
      </w:r>
      <w:r w:rsidR="08163013">
        <w:rPr>
          <w:i/>
        </w:rPr>
        <w:fldChar w:fldCharType="begin"/>
      </w:r>
      <w:r w:rsidR="08163013">
        <w:instrText xml:space="preserve"> XE "</w:instrText>
      </w:r>
      <w:r w:rsidR="08163013" w:rsidRPr="00842B74">
        <w:rPr>
          <w:i/>
        </w:rPr>
        <w:instrText>rationes seminales</w:instrText>
      </w:r>
      <w:r w:rsidR="08163013">
        <w:instrText xml:space="preserve">" </w:instrText>
      </w:r>
      <w:r w:rsidR="08163013">
        <w:rPr>
          <w:i/>
        </w:rPr>
        <w:fldChar w:fldCharType="end"/>
      </w:r>
      <w:r w:rsidR="08163013">
        <w:t xml:space="preserve">. </w:t>
      </w:r>
      <w:r w:rsidR="08163013" w:rsidRPr="00273106">
        <w:t xml:space="preserve">Exemplary mají </w:t>
      </w:r>
      <w:r w:rsidR="00F572F2">
        <w:t xml:space="preserve">vlastní </w:t>
      </w:r>
      <w:r w:rsidR="08163013" w:rsidRPr="00273106">
        <w:t xml:space="preserve">formu aktuality danou </w:t>
      </w:r>
      <w:r w:rsidR="08163013" w:rsidRPr="00273106">
        <w:rPr>
          <w:i/>
        </w:rPr>
        <w:t>simpliciter</w:t>
      </w:r>
      <w:r w:rsidR="08163013" w:rsidRPr="00273106">
        <w:t xml:space="preserve">, tj. subsistencí rozumu a vůle v boží mysli. </w:t>
      </w:r>
      <w:r w:rsidR="08163013">
        <w:t xml:space="preserve">Protože toto objektivní </w:t>
      </w:r>
      <w:r w:rsidR="08163013" w:rsidRPr="002018FA">
        <w:rPr>
          <w:i/>
        </w:rPr>
        <w:t>factum</w:t>
      </w:r>
      <w:r w:rsidR="08163013">
        <w:t xml:space="preserve"> je konkrétně dáno ve věčné a neměnné boží mysli, pak „exsistence“ této věčné, boží a tím i zcela objektivní fakticity v</w:t>
      </w:r>
      <w:r w:rsidR="08591309">
        <w:t xml:space="preserve"> pozemské </w:t>
      </w:r>
      <w:r w:rsidR="08163013">
        <w:t xml:space="preserve">realitě představuje </w:t>
      </w:r>
      <w:r w:rsidR="08163013">
        <w:lastRenderedPageBreak/>
        <w:t xml:space="preserve">jen kontigentní záležitost. </w:t>
      </w:r>
      <w:r w:rsidR="08163013" w:rsidRPr="00273106">
        <w:t xml:space="preserve">Bytí </w:t>
      </w:r>
      <w:r w:rsidR="08163013">
        <w:t xml:space="preserve">objektivních  </w:t>
      </w:r>
      <w:r w:rsidR="08163013" w:rsidRPr="00273106">
        <w:t xml:space="preserve">exemplarů </w:t>
      </w:r>
      <w:r w:rsidR="08163013">
        <w:t xml:space="preserve">v boží mysli a seminálních výměrů věcí v realitě </w:t>
      </w:r>
      <w:r w:rsidR="08163013" w:rsidRPr="00273106">
        <w:t xml:space="preserve">podmiňuje pouze </w:t>
      </w:r>
      <w:r w:rsidR="08163013">
        <w:t>akt stvořitelské reflexe a vůle</w:t>
      </w:r>
      <w:r w:rsidR="08163013">
        <w:fldChar w:fldCharType="begin"/>
      </w:r>
      <w:r w:rsidR="08163013">
        <w:instrText xml:space="preserve"> XE "</w:instrText>
      </w:r>
      <w:r w:rsidR="08163013" w:rsidRPr="0099015E">
        <w:instrText>vůle:demiurgická</w:instrText>
      </w:r>
      <w:r w:rsidR="08163013">
        <w:instrText xml:space="preserve">" </w:instrText>
      </w:r>
      <w:r w:rsidR="08163013">
        <w:fldChar w:fldCharType="end"/>
      </w:r>
      <w:r w:rsidR="08163013" w:rsidRPr="00273106">
        <w:t>.</w:t>
      </w:r>
      <w:r w:rsidR="08163013">
        <w:t xml:space="preserve"> Moderní boží subjekt v objektivním ontoteologickém modu intencionálně produkuje bytí jsoucna, exemplárně takto daný celek jsoucna zakouší a teleologicky jej determinuje svou stvořitelskou vůlí. Tento akt objektivní produkce převádí jsoucno dané v mysli do aktuálního bytí v realitě. Toto pojetí metafyziky považoval Bacon za šílené a Albert za směšné. Ale nyní se už píše akademický rok 1255 a niko</w:t>
      </w:r>
      <w:r w:rsidR="086E01EF">
        <w:t>liv rok 1245–50</w:t>
      </w:r>
      <w:r w:rsidR="08163013">
        <w:t xml:space="preserve">, kdy Rufus a Kilwardby utíkají z aristotelské Paříže do modernistického Oxfordu. </w:t>
      </w:r>
      <w:r w:rsidR="086E01EF">
        <w:t xml:space="preserve">Historická hidžra prvních modernistů se konala </w:t>
      </w:r>
      <w:proofErr w:type="gramStart"/>
      <w:r w:rsidR="086E01EF">
        <w:t>roce</w:t>
      </w:r>
      <w:proofErr w:type="gramEnd"/>
      <w:r w:rsidR="086E01EF">
        <w:t xml:space="preserve"> 1250 a založila novou epochu.</w:t>
      </w:r>
      <w:r w:rsidR="085F58C1">
        <w:t xml:space="preserve"> Modernisté přišli z Oxfordu v roce 1255 zpět do intelektuální Mekky latinského Západu a ve velkém stylu dobyli zdejší univerzitu v letech 1255–77. </w:t>
      </w:r>
      <w:r w:rsidR="08163013">
        <w:t>A útěk posledního aristotelika Ockhama z Avignonu v epoše plného vítězství moderny už má zcela sebezáchovný charakter</w:t>
      </w:r>
      <w:r w:rsidR="08FE6BFD">
        <w:t xml:space="preserve"> (kap. 5.4)</w:t>
      </w:r>
      <w:r w:rsidR="08163013">
        <w:t xml:space="preserve">. Zavedení kauzality třetího druhu v ontoteologickém modu </w:t>
      </w:r>
      <w:r w:rsidR="08163013" w:rsidRPr="00020F14">
        <w:rPr>
          <w:i/>
        </w:rPr>
        <w:t>Oxfordian Fallacy</w:t>
      </w:r>
      <w:r w:rsidR="08163013">
        <w:t xml:space="preserve"> bylo spojeno s modernizovanou verzí univerzálního hyleforfismu podle Bible. Toto </w:t>
      </w:r>
      <w:proofErr w:type="gramStart"/>
      <w:r w:rsidR="08163013">
        <w:t xml:space="preserve">spojení  </w:t>
      </w:r>
      <w:r w:rsidR="08163013" w:rsidRPr="00273106">
        <w:t>vytvoř</w:t>
      </w:r>
      <w:r w:rsidR="08163013">
        <w:t>ilo</w:t>
      </w:r>
      <w:proofErr w:type="gramEnd"/>
      <w:r w:rsidR="08163013" w:rsidRPr="00273106">
        <w:t xml:space="preserve"> </w:t>
      </w:r>
      <w:r w:rsidR="08163013">
        <w:t>první metafyzickou strukturu</w:t>
      </w:r>
      <w:r w:rsidR="08163013" w:rsidRPr="00273106">
        <w:t xml:space="preserve"> objektivity </w:t>
      </w:r>
      <w:r w:rsidR="08163013">
        <w:t>na latinském Západě</w:t>
      </w:r>
      <w:r w:rsidR="08163013">
        <w:fldChar w:fldCharType="begin"/>
      </w:r>
      <w:r w:rsidR="08163013">
        <w:instrText xml:space="preserve"> XE "</w:instrText>
      </w:r>
      <w:r w:rsidR="08163013" w:rsidRPr="00FF5CC7">
        <w:instrText>regule:objektivní</w:instrText>
      </w:r>
      <w:r w:rsidR="08163013">
        <w:instrText xml:space="preserve">" </w:instrText>
      </w:r>
      <w:r w:rsidR="08163013">
        <w:fldChar w:fldCharType="end"/>
      </w:r>
      <w:r w:rsidR="08163013">
        <w:t xml:space="preserve">. </w:t>
      </w:r>
      <w:r w:rsidR="08163013" w:rsidRPr="00273106">
        <w:t>Na straně objektu je daná dvojí esenciální subsistence jsoucna třetího druhu daného v boží mysli (</w:t>
      </w:r>
      <w:r w:rsidR="08163013" w:rsidRPr="00273106">
        <w:rPr>
          <w:i/>
        </w:rPr>
        <w:t>forma exemplaris</w:t>
      </w:r>
      <w:r w:rsidR="08163013" w:rsidRPr="00273106">
        <w:t>), nebo</w:t>
      </w:r>
      <w:r w:rsidR="08163013" w:rsidRPr="002240B8">
        <w:t xml:space="preserve"> </w:t>
      </w:r>
      <w:r w:rsidR="08163013" w:rsidRPr="00273106">
        <w:t>racionálně v realitě</w:t>
      </w:r>
      <w:r w:rsidR="08163013">
        <w:t xml:space="preserve"> </w:t>
      </w:r>
      <w:r w:rsidR="08163013" w:rsidRPr="00273106">
        <w:t>(</w:t>
      </w:r>
      <w:r w:rsidR="08163013">
        <w:rPr>
          <w:i/>
        </w:rPr>
        <w:t>ratio semi</w:t>
      </w:r>
      <w:r w:rsidR="08163013" w:rsidRPr="00273106">
        <w:rPr>
          <w:i/>
        </w:rPr>
        <w:t>nalis</w:t>
      </w:r>
      <w:r w:rsidR="08163013" w:rsidRPr="00273106">
        <w:t>). Na straně subjektu je dána dvojí forma racionální regule, která upravuje dvojí p</w:t>
      </w:r>
      <w:r w:rsidR="08163013">
        <w:t>roces objektivního určení jsoucna. Tím vznikla dvojí forma subjekt-objektového vztahu. B</w:t>
      </w:r>
      <w:r w:rsidR="08163013" w:rsidRPr="00273106">
        <w:t xml:space="preserve">uď </w:t>
      </w:r>
      <w:r w:rsidR="08163013">
        <w:t xml:space="preserve">demiurg </w:t>
      </w:r>
      <w:r w:rsidR="08163013" w:rsidRPr="00273106">
        <w:t>reguluje obj</w:t>
      </w:r>
      <w:r w:rsidR="08163013">
        <w:t xml:space="preserve">ektivní tvorbu božích exemplarů, </w:t>
      </w:r>
      <w:r w:rsidR="08163013" w:rsidRPr="00273106">
        <w:t xml:space="preserve">nebo proces jejich objektivního poznání jako </w:t>
      </w:r>
      <w:r w:rsidR="08163013" w:rsidRPr="00273106">
        <w:rPr>
          <w:i/>
        </w:rPr>
        <w:t>rationes seminales</w:t>
      </w:r>
      <w:r w:rsidR="08163013">
        <w:rPr>
          <w:i/>
        </w:rPr>
        <w:fldChar w:fldCharType="begin"/>
      </w:r>
      <w:r w:rsidR="08163013">
        <w:instrText xml:space="preserve"> XE "</w:instrText>
      </w:r>
      <w:r w:rsidR="08163013" w:rsidRPr="00842B74">
        <w:rPr>
          <w:i/>
        </w:rPr>
        <w:instrText>rationes seminales</w:instrText>
      </w:r>
      <w:r w:rsidR="08163013">
        <w:instrText xml:space="preserve">" </w:instrText>
      </w:r>
      <w:r w:rsidR="08163013">
        <w:rPr>
          <w:i/>
        </w:rPr>
        <w:fldChar w:fldCharType="end"/>
      </w:r>
      <w:r w:rsidR="08163013" w:rsidRPr="00273106">
        <w:t xml:space="preserve">. </w:t>
      </w:r>
      <w:r w:rsidR="08163013">
        <w:t>Kauzální z</w:t>
      </w:r>
      <w:r w:rsidR="08163013" w:rsidRPr="00273106">
        <w:t>droj produkce smyslu jsoucna se skrývá buď v inteligentní vůli božského tvůrce (</w:t>
      </w:r>
      <w:r w:rsidR="08163013" w:rsidRPr="00273106">
        <w:rPr>
          <w:i/>
        </w:rPr>
        <w:t xml:space="preserve">regula agentis </w:t>
      </w:r>
      <w:r w:rsidR="08163013">
        <w:rPr>
          <w:i/>
        </w:rPr>
        <w:t>in</w:t>
      </w:r>
      <w:r w:rsidR="08163013" w:rsidRPr="00273106">
        <w:rPr>
          <w:i/>
        </w:rPr>
        <w:t>creati</w:t>
      </w:r>
      <w:r w:rsidR="08163013" w:rsidRPr="00273106">
        <w:t xml:space="preserve">), nebo v inteligentní vůli </w:t>
      </w:r>
      <w:r w:rsidR="08163013">
        <w:t xml:space="preserve">lidského tvořitele </w:t>
      </w:r>
      <w:r w:rsidR="08163013" w:rsidRPr="00273106">
        <w:t>(</w:t>
      </w:r>
      <w:r w:rsidR="08163013" w:rsidRPr="00273106">
        <w:rPr>
          <w:i/>
        </w:rPr>
        <w:t>regula agentis creati</w:t>
      </w:r>
      <w:r w:rsidR="08163013" w:rsidRPr="00273106">
        <w:t xml:space="preserve">). </w:t>
      </w:r>
      <w:r w:rsidR="08163013">
        <w:t>Obě regule nemohou být v modu univocity, ale jsou dány v modu objektivně pojaté analogie. Její základ netvoří matematická analogie jako u Rufuse, ale antropologická podobnost moderního demiurga s moderním bohem (</w:t>
      </w:r>
      <w:r w:rsidR="08163013" w:rsidRPr="0080786A">
        <w:rPr>
          <w:i/>
        </w:rPr>
        <w:t>imago dei</w:t>
      </w:r>
      <w:r w:rsidR="001D4C07">
        <w:t>).</w:t>
      </w:r>
    </w:p>
    <w:p w:rsidR="00ED1DFE" w:rsidRDefault="084F154C" w:rsidP="00187E8B">
      <w:pPr>
        <w:ind w:firstLine="397"/>
      </w:pPr>
      <w:r>
        <w:t>Objektivně daná podobnost obou demiurgů zakládá</w:t>
      </w:r>
      <w:r w:rsidR="08163013">
        <w:t xml:space="preserve"> ontoteologický projekt moderní metafyziky. </w:t>
      </w:r>
      <w:r w:rsidR="08163013">
        <w:rPr>
          <w:szCs w:val="14"/>
        </w:rPr>
        <w:t>Božský stvořitel nazírá formu primárně a exe</w:t>
      </w:r>
      <w:r w:rsidR="083F3368">
        <w:rPr>
          <w:szCs w:val="14"/>
        </w:rPr>
        <w:t>mplárně ve své intencionalitě. L</w:t>
      </w:r>
      <w:r w:rsidR="08163013">
        <w:rPr>
          <w:szCs w:val="14"/>
        </w:rPr>
        <w:t>idský tvořitel poznává tuto objektivovanou formu sekundárně a seminálně ve stvoření</w:t>
      </w:r>
      <w:r w:rsidR="08D17771">
        <w:rPr>
          <w:szCs w:val="14"/>
        </w:rPr>
        <w:t xml:space="preserve"> a pak aktuálně ve své </w:t>
      </w:r>
      <w:r w:rsidR="001D4C07">
        <w:rPr>
          <w:szCs w:val="14"/>
        </w:rPr>
        <w:t xml:space="preserve">demiurgické </w:t>
      </w:r>
      <w:r w:rsidR="08D17771">
        <w:rPr>
          <w:szCs w:val="14"/>
        </w:rPr>
        <w:t>činnosti</w:t>
      </w:r>
      <w:r w:rsidR="08163013">
        <w:rPr>
          <w:szCs w:val="14"/>
        </w:rPr>
        <w:t xml:space="preserve">. </w:t>
      </w:r>
      <w:r w:rsidR="08163013" w:rsidRPr="00273106">
        <w:t xml:space="preserve">Regule určuje produkci objektivity podle primátu </w:t>
      </w:r>
      <w:r w:rsidR="08163013">
        <w:t xml:space="preserve">s/tvořitelské </w:t>
      </w:r>
      <w:r w:rsidR="08163013" w:rsidRPr="00273106">
        <w:t>vůle</w:t>
      </w:r>
      <w:r w:rsidR="08163013">
        <w:t xml:space="preserve">, která má před sebou příslušnou esenciální formu. Simulákrum subjektu vytvořilo simulákrum reality. Albert odmítl toto zdvojení reality jako směšné a jeho autory </w:t>
      </w:r>
      <w:r w:rsidR="08163013">
        <w:lastRenderedPageBreak/>
        <w:t xml:space="preserve">nepovažoval za akademické myslitele. Bacon toto zdvojení reality považoval za šílenství </w:t>
      </w:r>
      <w:r w:rsidR="00716FD8">
        <w:t>modernistů</w:t>
      </w:r>
      <w:r w:rsidR="08163013">
        <w:t xml:space="preserve">, kteří vnesli platonské fabulace do teologie </w:t>
      </w:r>
      <w:r w:rsidR="08163013" w:rsidRPr="00273106">
        <w:t>(</w:t>
      </w:r>
      <w:r w:rsidR="08163013" w:rsidRPr="00273106">
        <w:rPr>
          <w:i/>
        </w:rPr>
        <w:t>philosophia dominatur in usu theologiam</w:t>
      </w:r>
      <w:r w:rsidR="0810413B">
        <w:t>; OBJ II, kap 3</w:t>
      </w:r>
      <w:r w:rsidR="08163013" w:rsidRPr="00A50106">
        <w:t>.4.3</w:t>
      </w:r>
      <w:r w:rsidR="08163013" w:rsidRPr="00273106">
        <w:t>)</w:t>
      </w:r>
      <w:r w:rsidR="08163013">
        <w:rPr>
          <w:szCs w:val="15"/>
        </w:rPr>
        <w:t xml:space="preserve">. </w:t>
      </w:r>
      <w:r w:rsidR="08163013">
        <w:t xml:space="preserve">Místo klasické metafyziky nastoupila biblická a ontoteologická fabulace daná v modu </w:t>
      </w:r>
      <w:r w:rsidR="0058232C">
        <w:t>„</w:t>
      </w:r>
      <w:r w:rsidR="08163013" w:rsidRPr="08875CC0">
        <w:rPr>
          <w:i/>
        </w:rPr>
        <w:t>in artificialibus</w:t>
      </w:r>
      <w:r w:rsidR="0058232C">
        <w:t>“</w:t>
      </w:r>
      <w:r w:rsidR="08163013">
        <w:t>. Artificiální svět latinských sofistů daný Rufusovým jsoucnem třetího druhu (</w:t>
      </w:r>
      <w:r w:rsidR="00962190">
        <w:rPr>
          <w:i/>
        </w:rPr>
        <w:t>species</w:t>
      </w:r>
      <w:r w:rsidR="08163013">
        <w:rPr>
          <w:i/>
        </w:rPr>
        <w:t xml:space="preserve"> obiecti exsistentis</w:t>
      </w:r>
      <w:r w:rsidR="08163013">
        <w:t xml:space="preserve">, </w:t>
      </w:r>
      <w:r w:rsidR="08163013">
        <w:rPr>
          <w:i/>
        </w:rPr>
        <w:fldChar w:fldCharType="begin"/>
      </w:r>
      <w:r w:rsidR="08163013">
        <w:instrText xml:space="preserve"> XE "</w:instrText>
      </w:r>
      <w:r w:rsidR="08163013">
        <w:rPr>
          <w:i/>
        </w:rPr>
        <w:instrText>species obiecti exsistentis</w:instrText>
      </w:r>
      <w:r w:rsidR="08163013">
        <w:instrText xml:space="preserve">" </w:instrText>
      </w:r>
      <w:r w:rsidR="08163013">
        <w:rPr>
          <w:i/>
        </w:rPr>
        <w:fldChar w:fldCharType="end"/>
      </w:r>
      <w:r w:rsidR="08783CC9">
        <w:t>; OBJ II, kap. 3</w:t>
      </w:r>
      <w:r w:rsidR="08163013">
        <w:t xml:space="preserve">.3.4) dostal skrze Bonaventuru metafyzickou konsistenci. Bonaventurova objektivní sofistika založila </w:t>
      </w:r>
      <w:r w:rsidR="08163013" w:rsidRPr="00273106">
        <w:rPr>
          <w:szCs w:val="14"/>
        </w:rPr>
        <w:t xml:space="preserve">první ontoteologický model </w:t>
      </w:r>
      <w:r w:rsidR="08163013" w:rsidRPr="00273106">
        <w:rPr>
          <w:i/>
          <w:szCs w:val="14"/>
        </w:rPr>
        <w:t>analogia entis</w:t>
      </w:r>
      <w:r w:rsidR="08163013">
        <w:rPr>
          <w:i/>
          <w:szCs w:val="14"/>
        </w:rPr>
        <w:fldChar w:fldCharType="begin"/>
      </w:r>
      <w:r w:rsidR="08163013">
        <w:instrText xml:space="preserve"> XE "</w:instrText>
      </w:r>
      <w:r w:rsidR="08163013" w:rsidRPr="00834F99">
        <w:rPr>
          <w:rStyle w:val="addmd"/>
          <w:i/>
        </w:rPr>
        <w:instrText>analogia entis</w:instrText>
      </w:r>
      <w:r w:rsidR="08163013">
        <w:instrText xml:space="preserve">" </w:instrText>
      </w:r>
      <w:r w:rsidR="08163013">
        <w:rPr>
          <w:i/>
          <w:szCs w:val="14"/>
        </w:rPr>
        <w:fldChar w:fldCharType="end"/>
      </w:r>
      <w:r w:rsidR="08163013" w:rsidRPr="00273106">
        <w:rPr>
          <w:szCs w:val="14"/>
        </w:rPr>
        <w:t xml:space="preserve">, skrze kterou osvícená mysl vystupuje na mystickém žebříku jsoucna nahoru </w:t>
      </w:r>
      <w:r w:rsidR="08163013">
        <w:rPr>
          <w:szCs w:val="14"/>
        </w:rPr>
        <w:t>a dolů</w:t>
      </w:r>
      <w:r w:rsidR="08163013">
        <w:rPr>
          <w:szCs w:val="14"/>
        </w:rPr>
        <w:fldChar w:fldCharType="begin"/>
      </w:r>
      <w:r w:rsidR="08163013">
        <w:instrText xml:space="preserve"> XE "</w:instrText>
      </w:r>
      <w:r w:rsidR="08163013" w:rsidRPr="00F74AE3">
        <w:instrText>Jakubův žebřík</w:instrText>
      </w:r>
      <w:r w:rsidR="08163013">
        <w:instrText xml:space="preserve">" </w:instrText>
      </w:r>
      <w:r w:rsidR="08163013">
        <w:rPr>
          <w:szCs w:val="14"/>
        </w:rPr>
        <w:fldChar w:fldCharType="end"/>
      </w:r>
      <w:r w:rsidR="08163013">
        <w:rPr>
          <w:szCs w:val="14"/>
        </w:rPr>
        <w:t xml:space="preserve">. </w:t>
      </w:r>
      <w:r w:rsidR="08163013">
        <w:t xml:space="preserve">Epochální </w:t>
      </w:r>
      <w:r w:rsidR="08163013" w:rsidRPr="00F94611">
        <w:rPr>
          <w:i/>
        </w:rPr>
        <w:t>Irrtum</w:t>
      </w:r>
      <w:r w:rsidR="08163013">
        <w:t xml:space="preserve"> </w:t>
      </w:r>
      <w:r w:rsidR="0846775F">
        <w:t xml:space="preserve">myšlení </w:t>
      </w:r>
      <w:r w:rsidR="08163013">
        <w:t>je dáno tím, že reálná substance j</w:t>
      </w:r>
      <w:r w:rsidR="00FB207F">
        <w:t>iž netvoří fundament metafyziky</w:t>
      </w:r>
      <w:r w:rsidR="08163013">
        <w:t xml:space="preserve">. Nová verze ontoteologického </w:t>
      </w:r>
      <w:r w:rsidR="08163013" w:rsidRPr="00936291">
        <w:rPr>
          <w:i/>
        </w:rPr>
        <w:t>resolutio</w:t>
      </w:r>
      <w:r w:rsidR="08163013">
        <w:t xml:space="preserve"> p</w:t>
      </w:r>
      <w:r w:rsidR="08163013" w:rsidRPr="00273106">
        <w:t>řevedl</w:t>
      </w:r>
      <w:r w:rsidR="08163013">
        <w:t>a</w:t>
      </w:r>
      <w:r w:rsidR="08163013" w:rsidRPr="00273106">
        <w:t xml:space="preserve"> smysl jsoucna daný v avicennovském augustinianismu do aristotelské struktury metafyziky</w:t>
      </w:r>
      <w:r w:rsidR="08163013">
        <w:t xml:space="preserve"> sofisticky formované podle </w:t>
      </w:r>
      <w:r w:rsidR="08163013" w:rsidRPr="00273106">
        <w:t>křesťanské</w:t>
      </w:r>
      <w:r w:rsidR="08163013">
        <w:t xml:space="preserve">ho </w:t>
      </w:r>
      <w:r w:rsidR="08163013" w:rsidRPr="00273106">
        <w:rPr>
          <w:i/>
        </w:rPr>
        <w:t>Weltanschauung</w:t>
      </w:r>
      <w:r w:rsidR="08163013">
        <w:rPr>
          <w:i/>
        </w:rPr>
        <w:fldChar w:fldCharType="begin"/>
      </w:r>
      <w:r w:rsidR="08163013">
        <w:instrText xml:space="preserve"> XE "</w:instrText>
      </w:r>
      <w:r w:rsidR="08163013" w:rsidRPr="001E5389">
        <w:rPr>
          <w:i/>
        </w:rPr>
        <w:instrText>Weltanschauung</w:instrText>
      </w:r>
      <w:r w:rsidR="08163013">
        <w:instrText xml:space="preserve">" </w:instrText>
      </w:r>
      <w:r w:rsidR="08163013">
        <w:rPr>
          <w:i/>
        </w:rPr>
        <w:fldChar w:fldCharType="end"/>
      </w:r>
      <w:r w:rsidR="08163013">
        <w:t xml:space="preserve">. Bonaventura oddělil seminální ideje v reálně daném stvoření od primordiální sféry racionality v bohu. </w:t>
      </w:r>
      <w:r w:rsidR="08163013" w:rsidRPr="00273106">
        <w:t xml:space="preserve">V primární sféře </w:t>
      </w:r>
      <w:r w:rsidR="08163013" w:rsidRPr="00273106">
        <w:rPr>
          <w:i/>
        </w:rPr>
        <w:t>passiones entis</w:t>
      </w:r>
      <w:r w:rsidR="08163013">
        <w:rPr>
          <w:i/>
        </w:rPr>
        <w:fldChar w:fldCharType="begin"/>
      </w:r>
      <w:r w:rsidR="08163013">
        <w:instrText xml:space="preserve"> XE "</w:instrText>
      </w:r>
      <w:r w:rsidR="08163013" w:rsidRPr="00663984">
        <w:rPr>
          <w:i/>
        </w:rPr>
        <w:instrText>passio entis</w:instrText>
      </w:r>
      <w:r w:rsidR="08163013">
        <w:instrText xml:space="preserve">" </w:instrText>
      </w:r>
      <w:r w:rsidR="08163013">
        <w:rPr>
          <w:i/>
        </w:rPr>
        <w:fldChar w:fldCharType="end"/>
      </w:r>
      <w:r w:rsidR="08163013" w:rsidRPr="00273106">
        <w:t xml:space="preserve"> dané v boží reflexivitě na způsob Avicennova sebereflexivního pojetí </w:t>
      </w:r>
      <w:r w:rsidR="08163013" w:rsidRPr="00273106">
        <w:rPr>
          <w:i/>
        </w:rPr>
        <w:t>intellectus agens</w:t>
      </w:r>
      <w:r w:rsidR="08163013">
        <w:rPr>
          <w:i/>
        </w:rPr>
        <w:fldChar w:fldCharType="begin"/>
      </w:r>
      <w:r w:rsidR="08163013">
        <w:instrText xml:space="preserve"> XE "</w:instrText>
      </w:r>
      <w:r w:rsidR="08163013" w:rsidRPr="00490D32">
        <w:rPr>
          <w:i/>
        </w:rPr>
        <w:instrText>intellectus agens:</w:instrText>
      </w:r>
      <w:r w:rsidR="08163013" w:rsidRPr="002A2F12">
        <w:instrText>moderna</w:instrText>
      </w:r>
      <w:r w:rsidR="08163013">
        <w:instrText xml:space="preserve">" </w:instrText>
      </w:r>
      <w:r w:rsidR="08163013">
        <w:rPr>
          <w:i/>
        </w:rPr>
        <w:fldChar w:fldCharType="end"/>
      </w:r>
      <w:r w:rsidR="08163013" w:rsidRPr="00273106">
        <w:t xml:space="preserve"> jsou všechna </w:t>
      </w:r>
      <w:r w:rsidR="08163013" w:rsidRPr="00273106">
        <w:rPr>
          <w:i/>
        </w:rPr>
        <w:t>ratia entis</w:t>
      </w:r>
      <w:r w:rsidR="08163013" w:rsidRPr="00273106">
        <w:t xml:space="preserve"> daná jako exemplární formy. </w:t>
      </w:r>
      <w:r w:rsidR="08163013">
        <w:t>E</w:t>
      </w:r>
      <w:r w:rsidR="08163013" w:rsidRPr="00273106">
        <w:t xml:space="preserve">xemplary nemají ani materii třetího druhu, protože jsou dány v bohu </w:t>
      </w:r>
      <w:r w:rsidR="08163013" w:rsidRPr="00273106">
        <w:rPr>
          <w:i/>
        </w:rPr>
        <w:t>absolute</w:t>
      </w:r>
      <w:r w:rsidR="08163013" w:rsidRPr="00273106">
        <w:t xml:space="preserve"> a </w:t>
      </w:r>
      <w:r w:rsidR="08163013" w:rsidRPr="00273106">
        <w:rPr>
          <w:i/>
        </w:rPr>
        <w:t>simpliciter</w:t>
      </w:r>
      <w:r w:rsidR="08163013" w:rsidRPr="00273106">
        <w:t>. Jako materie slouží pouze Stvořitelův voluntaristický záměr a racionální plán (</w:t>
      </w:r>
      <w:r w:rsidR="08163013" w:rsidRPr="00273106">
        <w:rPr>
          <w:i/>
        </w:rPr>
        <w:t>regula</w:t>
      </w:r>
      <w:r w:rsidR="08163013">
        <w:rPr>
          <w:i/>
        </w:rPr>
        <w:fldChar w:fldCharType="begin"/>
      </w:r>
      <w:r w:rsidR="08163013">
        <w:instrText xml:space="preserve"> XE "</w:instrText>
      </w:r>
      <w:r w:rsidR="08163013" w:rsidRPr="002A2F12">
        <w:instrText>regule</w:instrText>
      </w:r>
      <w:r w:rsidR="08163013" w:rsidRPr="008D078E">
        <w:rPr>
          <w:i/>
        </w:rPr>
        <w:instrText>:agentis inc</w:instrText>
      </w:r>
      <w:r w:rsidR="08163013">
        <w:rPr>
          <w:i/>
        </w:rPr>
        <w:instrText>re</w:instrText>
      </w:r>
      <w:r w:rsidR="08163013" w:rsidRPr="008D078E">
        <w:rPr>
          <w:i/>
        </w:rPr>
        <w:instrText>ati</w:instrText>
      </w:r>
      <w:r w:rsidR="08163013">
        <w:instrText xml:space="preserve">" </w:instrText>
      </w:r>
      <w:r w:rsidR="08163013">
        <w:rPr>
          <w:i/>
        </w:rPr>
        <w:fldChar w:fldCharType="end"/>
      </w:r>
      <w:r w:rsidR="08163013" w:rsidRPr="00273106">
        <w:t>).</w:t>
      </w:r>
      <w:r w:rsidR="08163013">
        <w:t xml:space="preserve"> Ideje existují v mysli řemeslníka, i když </w:t>
      </w:r>
      <w:r w:rsidR="08722C1A">
        <w:t xml:space="preserve">ještě </w:t>
      </w:r>
      <w:r w:rsidR="08163013">
        <w:t xml:space="preserve">nejsou realizovány v hotovém díle, kde jsou </w:t>
      </w:r>
      <w:r w:rsidR="083A768E">
        <w:t xml:space="preserve">objektivně </w:t>
      </w:r>
      <w:r w:rsidR="08163013">
        <w:t>vidět ve formě seminálních idejí. Analogie a nutnost spojuje exemplary a seminální ratia do jednoho celku. E</w:t>
      </w:r>
      <w:r w:rsidR="08163013" w:rsidRPr="00273106">
        <w:t xml:space="preserve">xemplar patří do trinitární sféry interního božího </w:t>
      </w:r>
      <w:r w:rsidR="08163013">
        <w:t>bytí</w:t>
      </w:r>
      <w:r w:rsidR="08163013" w:rsidRPr="00273106">
        <w:t xml:space="preserve">, které spojuje dvě zbývající suverénní potence, tj. </w:t>
      </w:r>
      <w:r w:rsidR="08163013">
        <w:t xml:space="preserve">boží intelekt </w:t>
      </w:r>
      <w:r w:rsidR="08163013" w:rsidRPr="00273106">
        <w:t>a vůli.</w:t>
      </w:r>
      <w:r w:rsidR="08163013">
        <w:t xml:space="preserve"> Od exemplární </w:t>
      </w:r>
      <w:r w:rsidR="08163013" w:rsidRPr="00273106">
        <w:t>roviny jsou odvozeny sekundární objektivní formy</w:t>
      </w:r>
      <w:r w:rsidR="08163013">
        <w:t xml:space="preserve"> expandující v rámci moderního </w:t>
      </w:r>
      <w:r w:rsidR="08163013" w:rsidRPr="00273106">
        <w:rPr>
          <w:i/>
        </w:rPr>
        <w:t>exsistere</w:t>
      </w:r>
      <w:r w:rsidR="08163013">
        <w:rPr>
          <w:i/>
        </w:rPr>
        <w:fldChar w:fldCharType="begin"/>
      </w:r>
      <w:r w:rsidR="08163013">
        <w:instrText xml:space="preserve"> XE "</w:instrText>
      </w:r>
      <w:r w:rsidR="08163013" w:rsidRPr="008E07A9">
        <w:rPr>
          <w:i/>
        </w:rPr>
        <w:instrText>exsistere</w:instrText>
      </w:r>
      <w:r w:rsidR="08163013">
        <w:instrText xml:space="preserve">" </w:instrText>
      </w:r>
      <w:r w:rsidR="08163013">
        <w:rPr>
          <w:i/>
        </w:rPr>
        <w:fldChar w:fldCharType="end"/>
      </w:r>
      <w:r w:rsidR="08163013" w:rsidRPr="00273106">
        <w:t xml:space="preserve"> od boží racionality</w:t>
      </w:r>
      <w:r w:rsidR="08163013">
        <w:t>,</w:t>
      </w:r>
      <w:r w:rsidR="08163013" w:rsidRPr="00273106">
        <w:t xml:space="preserve"> </w:t>
      </w:r>
      <w:r w:rsidR="08163013">
        <w:t xml:space="preserve">skrze jeho kauzální vůli, </w:t>
      </w:r>
      <w:r w:rsidR="08163013" w:rsidRPr="00273106">
        <w:t xml:space="preserve">směrem do stvoření. </w:t>
      </w:r>
      <w:r w:rsidR="08163013">
        <w:t>Na plné zatmění první substance</w:t>
      </w:r>
      <w:r w:rsidR="08163013">
        <w:fldChar w:fldCharType="begin"/>
      </w:r>
      <w:r w:rsidR="08163013">
        <w:instrText xml:space="preserve"> XE "</w:instrText>
      </w:r>
      <w:r w:rsidR="08163013" w:rsidRPr="00C27681">
        <w:instrText>zatmění</w:instrText>
      </w:r>
      <w:r w:rsidR="08163013">
        <w:instrText>:</w:instrText>
      </w:r>
      <w:r w:rsidR="08163013" w:rsidRPr="00C27681">
        <w:instrText>substance</w:instrText>
      </w:r>
      <w:r w:rsidR="08163013">
        <w:instrText xml:space="preserve">" </w:instrText>
      </w:r>
      <w:r w:rsidR="08163013">
        <w:fldChar w:fldCharType="end"/>
      </w:r>
      <w:r w:rsidR="08163013">
        <w:t xml:space="preserve"> je </w:t>
      </w:r>
      <w:r w:rsidR="08163013" w:rsidRPr="00273106">
        <w:t xml:space="preserve">navázané </w:t>
      </w:r>
      <w:r w:rsidR="08163013">
        <w:t xml:space="preserve">metafyzické </w:t>
      </w:r>
      <w:r w:rsidR="00C35B45">
        <w:t>„</w:t>
      </w:r>
      <w:r w:rsidR="08163013" w:rsidRPr="00273106">
        <w:rPr>
          <w:i/>
        </w:rPr>
        <w:t>resolutio</w:t>
      </w:r>
      <w:r w:rsidR="00C35B45">
        <w:t>“</w:t>
      </w:r>
      <w:r w:rsidR="08163013">
        <w:rPr>
          <w:i/>
        </w:rPr>
        <w:fldChar w:fldCharType="begin"/>
      </w:r>
      <w:r w:rsidR="08163013">
        <w:instrText xml:space="preserve"> XE "</w:instrText>
      </w:r>
      <w:r w:rsidR="08163013" w:rsidRPr="00111E9E">
        <w:rPr>
          <w:i/>
        </w:rPr>
        <w:instrText>resolutio</w:instrText>
      </w:r>
      <w:r w:rsidR="08163013">
        <w:rPr>
          <w:i/>
        </w:rPr>
        <w:instrText>:</w:instrText>
      </w:r>
      <w:r w:rsidR="08163013" w:rsidRPr="007D3515">
        <w:instrText>Bonaventura</w:instrText>
      </w:r>
      <w:r w:rsidR="08163013">
        <w:instrText xml:space="preserve">" </w:instrText>
      </w:r>
      <w:r w:rsidR="08163013">
        <w:rPr>
          <w:i/>
        </w:rPr>
        <w:fldChar w:fldCharType="end"/>
      </w:r>
      <w:r w:rsidR="08163013" w:rsidRPr="00273106">
        <w:t xml:space="preserve"> nasvěcuj</w:t>
      </w:r>
      <w:r w:rsidR="08163013">
        <w:t>í</w:t>
      </w:r>
      <w:r w:rsidR="08163013" w:rsidRPr="00273106">
        <w:t>cí celek jsoucna</w:t>
      </w:r>
      <w:r w:rsidR="08163013">
        <w:t xml:space="preserve"> od božího stvořitelského </w:t>
      </w:r>
      <w:r w:rsidR="00C35B45">
        <w:t>„</w:t>
      </w:r>
      <w:r w:rsidR="08163013" w:rsidRPr="00372D02">
        <w:rPr>
          <w:i/>
        </w:rPr>
        <w:t>principium</w:t>
      </w:r>
      <w:r w:rsidR="00C35B45">
        <w:t>“</w:t>
      </w:r>
      <w:r w:rsidR="08163013">
        <w:t xml:space="preserve"> a následného lidského tvořitelského </w:t>
      </w:r>
      <w:r w:rsidR="00C35B45">
        <w:t>„</w:t>
      </w:r>
      <w:r w:rsidR="08163013" w:rsidRPr="00372D02">
        <w:rPr>
          <w:i/>
        </w:rPr>
        <w:t>initium</w:t>
      </w:r>
      <w:r w:rsidR="00C35B45">
        <w:t>“</w:t>
      </w:r>
      <w:r w:rsidR="08163013">
        <w:t>. Bonaventura přebírá neoplatonský scénář falsafy, který dostal skrze avicennismus Toledské školy</w:t>
      </w:r>
      <w:r w:rsidR="08163013">
        <w:fldChar w:fldCharType="begin"/>
      </w:r>
      <w:r w:rsidR="08163013">
        <w:instrText xml:space="preserve"> XE "</w:instrText>
      </w:r>
      <w:r w:rsidR="08163013" w:rsidRPr="002D3161">
        <w:instrText>Toledská škola</w:instrText>
      </w:r>
      <w:r w:rsidR="08163013">
        <w:instrText xml:space="preserve">" </w:instrText>
      </w:r>
      <w:r w:rsidR="08163013">
        <w:fldChar w:fldCharType="end"/>
      </w:r>
      <w:r w:rsidR="08163013">
        <w:t xml:space="preserve">. Tento avicennismus dostal v Bonaventurově škole moderních augustiniánů mystický a ontoteologický charakter nové </w:t>
      </w:r>
      <w:r w:rsidR="08163013" w:rsidRPr="002442F7">
        <w:rPr>
          <w:i/>
        </w:rPr>
        <w:t>metaphysica generalis</w:t>
      </w:r>
      <w:r w:rsidR="08163013">
        <w:rPr>
          <w:i/>
        </w:rPr>
        <w:fldChar w:fldCharType="begin"/>
      </w:r>
      <w:r w:rsidR="08163013">
        <w:instrText xml:space="preserve"> XE "</w:instrText>
      </w:r>
      <w:r w:rsidR="08163013" w:rsidRPr="005C272B">
        <w:rPr>
          <w:i/>
        </w:rPr>
        <w:instrText>metaphysica generalis</w:instrText>
      </w:r>
      <w:r w:rsidR="08163013">
        <w:instrText xml:space="preserve">" </w:instrText>
      </w:r>
      <w:r w:rsidR="08163013">
        <w:rPr>
          <w:i/>
        </w:rPr>
        <w:fldChar w:fldCharType="end"/>
      </w:r>
      <w:r w:rsidR="08163013">
        <w:t xml:space="preserve">. </w:t>
      </w:r>
      <w:r w:rsidR="004435D6">
        <w:t>K</w:t>
      </w:r>
      <w:r w:rsidR="084D5365">
        <w:t xml:space="preserve">řesťanský metafyzik následující Krista jako první princip poznání daný v modu objektivně-mystického </w:t>
      </w:r>
      <w:r w:rsidR="002906A1">
        <w:t>„</w:t>
      </w:r>
      <w:r w:rsidR="084D5365">
        <w:rPr>
          <w:i/>
        </w:rPr>
        <w:t>in</w:t>
      </w:r>
      <w:r w:rsidR="084D5365" w:rsidRPr="00B203C4">
        <w:rPr>
          <w:i/>
        </w:rPr>
        <w:t>mediate</w:t>
      </w:r>
      <w:r w:rsidR="002906A1">
        <w:t>“</w:t>
      </w:r>
      <w:r w:rsidR="084D5365">
        <w:t xml:space="preserve"> má přímý náhled </w:t>
      </w:r>
      <w:r w:rsidR="084D5365">
        <w:lastRenderedPageBreak/>
        <w:t xml:space="preserve">do podstaty světa a boha. Regulovaná objektivní racionalita má jen jednu objektivní pravdu danou evidentně, jistě a v modu správnosti dané </w:t>
      </w:r>
      <w:r w:rsidR="084D5365" w:rsidRPr="002B1241">
        <w:rPr>
          <w:i/>
        </w:rPr>
        <w:t>absolute</w:t>
      </w:r>
      <w:r w:rsidR="084D5365">
        <w:t xml:space="preserve">, čili odděleně od reálného světa prvních substancí. Nositelem aristotelské </w:t>
      </w:r>
      <w:r w:rsidR="084D5365" w:rsidRPr="00273106">
        <w:rPr>
          <w:i/>
        </w:rPr>
        <w:t xml:space="preserve">actualitas </w:t>
      </w:r>
      <w:r w:rsidR="084D5365" w:rsidRPr="00273106">
        <w:t>již ne</w:t>
      </w:r>
      <w:r w:rsidR="084D5365">
        <w:t xml:space="preserve">ní </w:t>
      </w:r>
      <w:r w:rsidR="084D5365" w:rsidRPr="00273106">
        <w:t xml:space="preserve">první substance, ale akt stvořitelské </w:t>
      </w:r>
      <w:r w:rsidR="00ED1DFE">
        <w:t>a tvořitelské vůle.</w:t>
      </w:r>
    </w:p>
    <w:p w:rsidR="00961E17" w:rsidRDefault="084D5365" w:rsidP="00187E8B">
      <w:pPr>
        <w:ind w:firstLine="397"/>
      </w:pPr>
      <w:r>
        <w:t>Pravda a neprav</w:t>
      </w:r>
      <w:r w:rsidR="00FC69E3">
        <w:t xml:space="preserve">da </w:t>
      </w:r>
      <w:r w:rsidR="00ED1DFE">
        <w:t xml:space="preserve">objektivity </w:t>
      </w:r>
      <w:r w:rsidR="00FC69E3">
        <w:t xml:space="preserve">vyšla z dějinné </w:t>
      </w:r>
      <w:r>
        <w:t>odkrytosti (</w:t>
      </w:r>
      <w:r w:rsidR="00FC69E3">
        <w:rPr>
          <w:i/>
        </w:rPr>
        <w:t>a</w:t>
      </w:r>
      <w:r w:rsidRPr="00773C04">
        <w:rPr>
          <w:i/>
        </w:rPr>
        <w:t>létheia</w:t>
      </w:r>
      <w:r>
        <w:rPr>
          <w:i/>
        </w:rPr>
        <w:fldChar w:fldCharType="begin"/>
      </w:r>
      <w:r>
        <w:instrText xml:space="preserve"> XE "</w:instrText>
      </w:r>
      <w:r w:rsidR="00FC69E3">
        <w:rPr>
          <w:i/>
          <w:lang w:eastAsia="en-US"/>
        </w:rPr>
        <w:instrText>a</w:instrText>
      </w:r>
      <w:r w:rsidRPr="08937E60">
        <w:rPr>
          <w:i/>
          <w:lang w:eastAsia="en-US"/>
        </w:rPr>
        <w:instrText>létheia</w:instrText>
      </w:r>
      <w:r>
        <w:instrText xml:space="preserve">" </w:instrText>
      </w:r>
      <w:r>
        <w:rPr>
          <w:i/>
        </w:rPr>
        <w:fldChar w:fldCharType="end"/>
      </w:r>
      <w:r w:rsidR="00ED1DFE">
        <w:t xml:space="preserve">) bytí jsoucna. Její nové </w:t>
      </w:r>
      <w:r w:rsidR="00ED1DFE" w:rsidRPr="00ED1DFE">
        <w:rPr>
          <w:i/>
        </w:rPr>
        <w:t>Lichtung</w:t>
      </w:r>
      <w:r w:rsidR="00ED1DFE">
        <w:t xml:space="preserve"> je určeno </w:t>
      </w:r>
      <w:r>
        <w:t xml:space="preserve">zakládající událostí moderny, </w:t>
      </w:r>
      <w:r w:rsidR="00ED1DFE">
        <w:t xml:space="preserve">což je </w:t>
      </w:r>
      <w:r>
        <w:t>zapomenutí první</w:t>
      </w:r>
      <w:r w:rsidR="00D93FE4">
        <w:t>ch substancí</w:t>
      </w:r>
      <w:r>
        <w:t xml:space="preserve">. Tento </w:t>
      </w:r>
      <w:r w:rsidR="00C6293F">
        <w:t>zakládající čin latinských sofistů (</w:t>
      </w:r>
      <w:r w:rsidRPr="00773C04">
        <w:rPr>
          <w:i/>
        </w:rPr>
        <w:t>Ereignis</w:t>
      </w:r>
      <w:r w:rsidR="00C6293F">
        <w:t xml:space="preserve">) </w:t>
      </w:r>
      <w:r>
        <w:t>oddělil první averroismus Sicilské školy</w:t>
      </w:r>
      <w:r>
        <w:fldChar w:fldCharType="begin"/>
      </w:r>
      <w:r>
        <w:instrText xml:space="preserve"> XE "</w:instrText>
      </w:r>
      <w:r w:rsidRPr="00582319">
        <w:instrText>Sicilská škola</w:instrText>
      </w:r>
      <w:r>
        <w:instrText xml:space="preserve">" </w:instrText>
      </w:r>
      <w:r>
        <w:fldChar w:fldCharType="end"/>
      </w:r>
      <w:r>
        <w:t xml:space="preserve"> od </w:t>
      </w:r>
      <w:r w:rsidR="00030553">
        <w:t xml:space="preserve">moderní metafyziky. </w:t>
      </w:r>
      <w:r>
        <w:t xml:space="preserve">Proto se Averroes musel stát averroistou. Postmodernisté typu Descarta se vrátili k mystické </w:t>
      </w:r>
      <w:r w:rsidRPr="008E58FB">
        <w:rPr>
          <w:i/>
        </w:rPr>
        <w:t>epoché</w:t>
      </w:r>
      <w:r w:rsidRPr="008E58FB">
        <w:rPr>
          <w:i/>
        </w:rPr>
        <w:fldChar w:fldCharType="begin"/>
      </w:r>
      <w:r w:rsidRPr="008E58FB">
        <w:rPr>
          <w:i/>
        </w:rPr>
        <w:instrText xml:space="preserve"> XE "epoché" </w:instrText>
      </w:r>
      <w:r w:rsidRPr="008E58FB">
        <w:rPr>
          <w:i/>
        </w:rPr>
        <w:fldChar w:fldCharType="end"/>
      </w:r>
      <w:r w:rsidRPr="00273106">
        <w:t xml:space="preserve"> </w:t>
      </w:r>
      <w:r>
        <w:t xml:space="preserve">osvícené </w:t>
      </w:r>
      <w:r w:rsidRPr="00273106">
        <w:t xml:space="preserve">mysli </w:t>
      </w:r>
      <w:r>
        <w:t xml:space="preserve">substančně oddělené </w:t>
      </w:r>
      <w:r w:rsidRPr="00273106">
        <w:t>od těla</w:t>
      </w:r>
      <w:r>
        <w:t xml:space="preserve">. </w:t>
      </w:r>
      <w:r w:rsidRPr="00273106">
        <w:t xml:space="preserve">Diferenci </w:t>
      </w:r>
      <w:r>
        <w:t xml:space="preserve">mezi oběma druhy poznání a jim odpovídajícího </w:t>
      </w:r>
      <w:r w:rsidRPr="00596ACA">
        <w:rPr>
          <w:i/>
        </w:rPr>
        <w:t>Weltanschauung</w:t>
      </w:r>
      <w:r>
        <w:rPr>
          <w:i/>
        </w:rPr>
        <w:fldChar w:fldCharType="begin"/>
      </w:r>
      <w:r>
        <w:instrText xml:space="preserve"> XE "</w:instrText>
      </w:r>
      <w:r w:rsidRPr="001E5389">
        <w:rPr>
          <w:i/>
        </w:rPr>
        <w:instrText>Weltanschauung</w:instrText>
      </w:r>
      <w:r>
        <w:instrText xml:space="preserve">" </w:instrText>
      </w:r>
      <w:r>
        <w:rPr>
          <w:i/>
        </w:rPr>
        <w:fldChar w:fldCharType="end"/>
      </w:r>
      <w:r>
        <w:t xml:space="preserve"> ukazuje </w:t>
      </w:r>
      <w:r w:rsidRPr="00273106">
        <w:t>rozdíl mezi první a druhou Descartovu</w:t>
      </w:r>
      <w:r>
        <w:fldChar w:fldCharType="begin"/>
      </w:r>
      <w:r>
        <w:instrText xml:space="preserve"> XE "</w:instrText>
      </w:r>
      <w:r w:rsidRPr="004B0FB5">
        <w:instrText>Descartes, R.</w:instrText>
      </w:r>
      <w:r>
        <w:instrText xml:space="preserve">" </w:instrText>
      </w:r>
      <w:r>
        <w:fldChar w:fldCharType="end"/>
      </w:r>
      <w:r w:rsidRPr="00273106">
        <w:t xml:space="preserve"> meditací o první filosofii. Otřesený a nejistý subjekt uteče od vnější reality do evidence</w:t>
      </w:r>
      <w:r>
        <w:fldChar w:fldCharType="begin"/>
      </w:r>
      <w:r>
        <w:instrText xml:space="preserve"> XE "</w:instrText>
      </w:r>
      <w:r w:rsidRPr="004D79A7">
        <w:instrText>evidence:</w:instrText>
      </w:r>
      <w:r>
        <w:instrText xml:space="preserve">Descartes" </w:instrText>
      </w:r>
      <w:r>
        <w:fldChar w:fldCharType="end"/>
      </w:r>
      <w:r w:rsidRPr="00273106">
        <w:t xml:space="preserve"> vlastního</w:t>
      </w:r>
      <w:r>
        <w:t xml:space="preserve"> sebevědomí, kde </w:t>
      </w:r>
      <w:r w:rsidRPr="00273106">
        <w:t xml:space="preserve">najde </w:t>
      </w:r>
      <w:r>
        <w:t>zdroj moderní pravdy</w:t>
      </w:r>
      <w:r w:rsidRPr="00273106">
        <w:t xml:space="preserve"> </w:t>
      </w:r>
      <w:r>
        <w:t>j</w:t>
      </w:r>
      <w:r w:rsidRPr="00273106">
        <w:t xml:space="preserve">ako Avicennovo </w:t>
      </w:r>
      <w:r w:rsidRPr="00273106">
        <w:rPr>
          <w:i/>
        </w:rPr>
        <w:t>certitudo</w:t>
      </w:r>
      <w:r w:rsidRPr="00273106">
        <w:t xml:space="preserve"> a Anselmovo </w:t>
      </w:r>
      <w:r w:rsidRPr="00273106">
        <w:rPr>
          <w:i/>
        </w:rPr>
        <w:t>rectitudo</w:t>
      </w:r>
      <w:r w:rsidRPr="00273106">
        <w:t xml:space="preserve">. </w:t>
      </w:r>
      <w:r>
        <w:t xml:space="preserve">Nová definice objektivní metafyziky má pochopitelně absolutní charakter, protože je oddělena od první substance. </w:t>
      </w:r>
      <w:r w:rsidRPr="00273106">
        <w:t>Klíčovou roli v</w:t>
      </w:r>
      <w:r w:rsidR="00C6293F">
        <w:t xml:space="preserve"> nové </w:t>
      </w:r>
      <w:r w:rsidRPr="00273106">
        <w:rPr>
          <w:i/>
        </w:rPr>
        <w:t>fuga mundi</w:t>
      </w:r>
      <w:r w:rsidRPr="00273106">
        <w:t xml:space="preserve"> </w:t>
      </w:r>
      <w:r>
        <w:t xml:space="preserve">iluminátů do vlastního nitra </w:t>
      </w:r>
      <w:r w:rsidRPr="00273106">
        <w:t xml:space="preserve">hraje </w:t>
      </w:r>
      <w:r>
        <w:t xml:space="preserve">již zmíněný Bonaventurův termín </w:t>
      </w:r>
      <w:r w:rsidRPr="00273106">
        <w:rPr>
          <w:i/>
        </w:rPr>
        <w:t>excessus mentis</w:t>
      </w:r>
      <w:r>
        <w:rPr>
          <w:i/>
        </w:rPr>
        <w:fldChar w:fldCharType="begin"/>
      </w:r>
      <w:r>
        <w:instrText xml:space="preserve"> XE "</w:instrText>
      </w:r>
      <w:r w:rsidRPr="00AF65A7">
        <w:rPr>
          <w:i/>
        </w:rPr>
        <w:instrText>excessus mentis</w:instrText>
      </w:r>
      <w:r>
        <w:instrText xml:space="preserve">" </w:instrText>
      </w:r>
      <w:r>
        <w:rPr>
          <w:i/>
        </w:rPr>
        <w:fldChar w:fldCharType="end"/>
      </w:r>
      <w:r>
        <w:t xml:space="preserve"> převzaný z neoplatonské teologie 12. století</w:t>
      </w:r>
      <w:r w:rsidRPr="00273106">
        <w:t>.</w:t>
      </w:r>
      <w:r w:rsidRPr="00273106">
        <w:rPr>
          <w:rStyle w:val="Znakapoznpodarou"/>
          <w:szCs w:val="14"/>
        </w:rPr>
        <w:footnoteReference w:id="70"/>
      </w:r>
      <w:r>
        <w:t xml:space="preserve"> Mystická mysl původně daná scénářem </w:t>
      </w:r>
      <w:r w:rsidRPr="00273106">
        <w:t xml:space="preserve">Dionýsia Aeropagity překračuje poznání </w:t>
      </w:r>
      <w:r w:rsidR="00592AC1">
        <w:t xml:space="preserve">světa </w:t>
      </w:r>
      <w:r w:rsidRPr="00273106">
        <w:t>(</w:t>
      </w:r>
      <w:r w:rsidRPr="00273106">
        <w:rPr>
          <w:i/>
        </w:rPr>
        <w:t>erigendo se supra se ipsum</w:t>
      </w:r>
      <w:r w:rsidRPr="00273106">
        <w:t xml:space="preserve">). Z  mystického ponoření do exaltované mysli se později stane Descartův a Husserlův </w:t>
      </w:r>
      <w:r>
        <w:t>náhled čistých forem vědomí zmiň</w:t>
      </w:r>
      <w:r w:rsidRPr="00273106">
        <w:t>ovaný již u Rufuse (</w:t>
      </w:r>
      <w:r>
        <w:t xml:space="preserve">OBJ II, </w:t>
      </w:r>
      <w:r w:rsidRPr="00273106">
        <w:t xml:space="preserve">kap. </w:t>
      </w:r>
      <w:r>
        <w:t>3</w:t>
      </w:r>
      <w:r w:rsidRPr="00273106">
        <w:t>.3.2).</w:t>
      </w:r>
      <w:r>
        <w:t xml:space="preserve"> </w:t>
      </w:r>
      <w:r w:rsidRPr="00273106">
        <w:t>Vzor</w:t>
      </w:r>
      <w:r w:rsidR="00D44ED7">
        <w:t xml:space="preserve">y </w:t>
      </w:r>
      <w:r w:rsidRPr="00273106">
        <w:t xml:space="preserve">tohoto mystického poznání daného mimo </w:t>
      </w:r>
      <w:r w:rsidR="0073308E">
        <w:t xml:space="preserve">normální rozum </w:t>
      </w:r>
      <w:r w:rsidR="00D44ED7">
        <w:t>byly te</w:t>
      </w:r>
      <w:r w:rsidR="0073308E">
        <w:t>h</w:t>
      </w:r>
      <w:r w:rsidR="00D44ED7">
        <w:t xml:space="preserve">dy zcela běžné. Pavlovy listy mluví </w:t>
      </w:r>
      <w:r w:rsidRPr="00273106">
        <w:t>o vytržení do sedmého nebe</w:t>
      </w:r>
      <w:r w:rsidR="00D44ED7">
        <w:t>; A</w:t>
      </w:r>
      <w:r w:rsidRPr="00273106">
        <w:t xml:space="preserve">vicennův </w:t>
      </w:r>
      <w:r w:rsidRPr="00273106">
        <w:rPr>
          <w:i/>
        </w:rPr>
        <w:t>intellectus sanctus</w:t>
      </w:r>
      <w:r>
        <w:rPr>
          <w:i/>
        </w:rPr>
        <w:fldChar w:fldCharType="begin"/>
      </w:r>
      <w:r>
        <w:instrText xml:space="preserve"> XE "</w:instrText>
      </w:r>
      <w:r w:rsidRPr="00473DEE">
        <w:rPr>
          <w:i/>
        </w:rPr>
        <w:instrText>intellectus sanctus</w:instrText>
      </w:r>
      <w:r>
        <w:instrText xml:space="preserve">" </w:instrText>
      </w:r>
      <w:r>
        <w:rPr>
          <w:i/>
        </w:rPr>
        <w:fldChar w:fldCharType="end"/>
      </w:r>
      <w:r w:rsidRPr="00273106">
        <w:t xml:space="preserve"> poznáv</w:t>
      </w:r>
      <w:r w:rsidR="00D44ED7">
        <w:t xml:space="preserve">á </w:t>
      </w:r>
      <w:r w:rsidRPr="00273106">
        <w:t>sebe</w:t>
      </w:r>
      <w:r w:rsidR="00D44ED7">
        <w:t xml:space="preserve"> sama</w:t>
      </w:r>
      <w:r w:rsidRPr="00273106">
        <w:t xml:space="preserve">, boha i svět skrze </w:t>
      </w:r>
      <w:r w:rsidRPr="00273106">
        <w:rPr>
          <w:i/>
        </w:rPr>
        <w:t>virtus sancta</w:t>
      </w:r>
      <w:r w:rsidRPr="00273106">
        <w:t xml:space="preserve"> a skrze </w:t>
      </w:r>
      <w:r w:rsidRPr="00273106">
        <w:rPr>
          <w:i/>
        </w:rPr>
        <w:t>modus prophetiae</w:t>
      </w:r>
      <w:r>
        <w:rPr>
          <w:i/>
        </w:rPr>
        <w:fldChar w:fldCharType="begin"/>
      </w:r>
      <w:r>
        <w:instrText xml:space="preserve"> XE "</w:instrText>
      </w:r>
      <w:r w:rsidRPr="004A0462">
        <w:instrText>predikace</w:instrText>
      </w:r>
      <w:r w:rsidRPr="004A0462">
        <w:rPr>
          <w:i/>
        </w:rPr>
        <w:instrText>:modus prophetiae</w:instrText>
      </w:r>
      <w:r>
        <w:instrText xml:space="preserve">" </w:instrText>
      </w:r>
      <w:r>
        <w:rPr>
          <w:i/>
        </w:rPr>
        <w:fldChar w:fldCharType="end"/>
      </w:r>
      <w:r w:rsidRPr="00273106">
        <w:t xml:space="preserve"> (</w:t>
      </w:r>
      <w:r>
        <w:t xml:space="preserve">OBJ II, </w:t>
      </w:r>
      <w:r w:rsidRPr="00273106">
        <w:t>kap. 2.3.1)</w:t>
      </w:r>
      <w:r>
        <w:t>. Avicennův c</w:t>
      </w:r>
      <w:r w:rsidRPr="00273106">
        <w:t>itát o unifikaci duše s inteligibilní sférou činného intelektu (</w:t>
      </w:r>
      <w:r w:rsidRPr="00273106">
        <w:rPr>
          <w:i/>
        </w:rPr>
        <w:t>cohaere</w:t>
      </w:r>
      <w:r>
        <w:rPr>
          <w:i/>
        </w:rPr>
        <w:t>ns principiis intellectibilibus;</w:t>
      </w:r>
      <w:r>
        <w:t xml:space="preserve"> OBJ II, kap. 2.3.1) </w:t>
      </w:r>
      <w:r w:rsidRPr="00273106">
        <w:t>zkouší moderna realizovat silou lidského intelektu. Tento subjektivistický statut jsouc</w:t>
      </w:r>
      <w:r>
        <w:t xml:space="preserve">na popisují Heideggerovy termíny </w:t>
      </w:r>
      <w:r w:rsidRPr="00273106">
        <w:rPr>
          <w:i/>
        </w:rPr>
        <w:t>Gründung</w:t>
      </w:r>
      <w:r>
        <w:rPr>
          <w:i/>
        </w:rPr>
        <w:fldChar w:fldCharType="begin"/>
      </w:r>
      <w:r>
        <w:instrText xml:space="preserve"> XE "metafyzika:</w:instrText>
      </w:r>
      <w:r w:rsidRPr="00273106">
        <w:rPr>
          <w:i/>
        </w:rPr>
        <w:instrText>Gründung</w:instrText>
      </w:r>
      <w:r>
        <w:instrText xml:space="preserve">" </w:instrText>
      </w:r>
      <w:r>
        <w:rPr>
          <w:i/>
        </w:rPr>
        <w:fldChar w:fldCharType="end"/>
      </w:r>
      <w:r w:rsidRPr="00273106">
        <w:t xml:space="preserve"> </w:t>
      </w:r>
      <w:r>
        <w:t xml:space="preserve">a </w:t>
      </w:r>
      <w:r>
        <w:rPr>
          <w:i/>
        </w:rPr>
        <w:t>Ge-Stell</w:t>
      </w:r>
      <w:r w:rsidR="00FF5DFB">
        <w:rPr>
          <w:i/>
        </w:rPr>
        <w:fldChar w:fldCharType="begin"/>
      </w:r>
      <w:r w:rsidR="00FF5DFB">
        <w:instrText xml:space="preserve"> XE "</w:instrText>
      </w:r>
      <w:r w:rsidR="00FF5DFB" w:rsidRPr="00BB412A">
        <w:rPr>
          <w:i/>
        </w:rPr>
        <w:instrText>Ge-Stell</w:instrText>
      </w:r>
      <w:r w:rsidR="00FF5DFB">
        <w:instrText xml:space="preserve">" </w:instrText>
      </w:r>
      <w:r w:rsidR="00FF5DFB">
        <w:rPr>
          <w:i/>
        </w:rPr>
        <w:fldChar w:fldCharType="end"/>
      </w:r>
      <w:r>
        <w:t xml:space="preserve"> </w:t>
      </w:r>
      <w:r w:rsidRPr="00273106">
        <w:t>charakterizujíc</w:t>
      </w:r>
      <w:r w:rsidR="00C93077">
        <w:t>í nihilistickou fázi metafyziky</w:t>
      </w:r>
      <w:r w:rsidRPr="00273106">
        <w:t xml:space="preserve">. </w:t>
      </w:r>
      <w:r>
        <w:t xml:space="preserve">Cestu moderny </w:t>
      </w:r>
      <w:r w:rsidRPr="00273106">
        <w:t xml:space="preserve">dokončí Descartova </w:t>
      </w:r>
      <w:r w:rsidRPr="00273106">
        <w:rPr>
          <w:i/>
        </w:rPr>
        <w:t>Regula XII</w:t>
      </w:r>
      <w:r w:rsidRPr="00273106">
        <w:t xml:space="preserve">, která vytvoří </w:t>
      </w:r>
      <w:r>
        <w:t xml:space="preserve">nový rozdíl mezi oběma substancemi, tělesnou a </w:t>
      </w:r>
      <w:r>
        <w:lastRenderedPageBreak/>
        <w:t>intelektuální</w:t>
      </w:r>
      <w:r w:rsidRPr="00273106">
        <w:t>.</w:t>
      </w:r>
      <w:r w:rsidRPr="00273106">
        <w:rPr>
          <w:rStyle w:val="Znakapoznpodarou"/>
        </w:rPr>
        <w:footnoteReference w:id="71"/>
      </w:r>
      <w:r w:rsidRPr="00273106">
        <w:t xml:space="preserve"> </w:t>
      </w:r>
      <w:r w:rsidR="00C764EE">
        <w:t xml:space="preserve">Postmoderní </w:t>
      </w:r>
      <w:r w:rsidR="00C764EE" w:rsidRPr="00273106">
        <w:rPr>
          <w:i/>
        </w:rPr>
        <w:t>informatio</w:t>
      </w:r>
      <w:r w:rsidR="00C764EE">
        <w:rPr>
          <w:i/>
        </w:rPr>
        <w:fldChar w:fldCharType="begin"/>
      </w:r>
      <w:r w:rsidR="00C764EE">
        <w:instrText xml:space="preserve"> XE "</w:instrText>
      </w:r>
      <w:r w:rsidR="00C764EE" w:rsidRPr="00BA0B31">
        <w:rPr>
          <w:i/>
        </w:rPr>
        <w:instrText>informatio</w:instrText>
      </w:r>
      <w:r w:rsidR="00C764EE">
        <w:instrText xml:space="preserve">" </w:instrText>
      </w:r>
      <w:r w:rsidR="00C764EE">
        <w:rPr>
          <w:i/>
        </w:rPr>
        <w:fldChar w:fldCharType="end"/>
      </w:r>
      <w:r w:rsidR="00C764EE">
        <w:rPr>
          <w:i/>
        </w:rPr>
        <w:t xml:space="preserve"> </w:t>
      </w:r>
      <w:r w:rsidR="00C764EE" w:rsidRPr="00273106">
        <w:t xml:space="preserve">začíná </w:t>
      </w:r>
      <w:r w:rsidR="00C764EE">
        <w:t>a</w:t>
      </w:r>
      <w:r w:rsidRPr="00273106">
        <w:t xml:space="preserve">ktem konverze </w:t>
      </w:r>
      <w:r>
        <w:t xml:space="preserve">karteziánského </w:t>
      </w:r>
      <w:r w:rsidRPr="00273106">
        <w:t>intelektu k sobě samému (</w:t>
      </w:r>
      <w:r w:rsidRPr="00273106">
        <w:rPr>
          <w:i/>
        </w:rPr>
        <w:t>ad primum itaque me convertens</w:t>
      </w:r>
      <w:r w:rsidRPr="00273106">
        <w:t>)</w:t>
      </w:r>
      <w:r w:rsidR="00C764EE">
        <w:t xml:space="preserve">. </w:t>
      </w:r>
      <w:r>
        <w:t xml:space="preserve">Postmoderna změnila po smrti moderního boha </w:t>
      </w:r>
      <w:r w:rsidRPr="00273106">
        <w:t>zakládají</w:t>
      </w:r>
      <w:r>
        <w:t>cí</w:t>
      </w:r>
      <w:r w:rsidRPr="00273106">
        <w:t xml:space="preserve"> mýtus </w:t>
      </w:r>
      <w:r w:rsidRPr="00273106">
        <w:rPr>
          <w:i/>
        </w:rPr>
        <w:t>Modernorum</w:t>
      </w:r>
      <w:r>
        <w:t xml:space="preserve"> tím, že vyměnila roli božského demiurga za lidské simulákrum. P</w:t>
      </w:r>
      <w:r w:rsidRPr="00273106">
        <w:t xml:space="preserve">ojetí </w:t>
      </w:r>
      <w:r>
        <w:t xml:space="preserve">dvojí regule a dvou pater světa </w:t>
      </w:r>
      <w:r w:rsidRPr="00273106">
        <w:t>bylo pro první averroismus zásadně nepřijatelné</w:t>
      </w:r>
      <w:r w:rsidR="00AB522F">
        <w:t xml:space="preserve">. Zavedlo </w:t>
      </w:r>
      <w:r>
        <w:t xml:space="preserve">teorii dvojí pravdy navázanou na paranoické pojetí </w:t>
      </w:r>
      <w:proofErr w:type="gramStart"/>
      <w:r>
        <w:t>přirozeného a  objektivního</w:t>
      </w:r>
      <w:proofErr w:type="gramEnd"/>
      <w:r>
        <w:t xml:space="preserve"> světa</w:t>
      </w:r>
      <w:r>
        <w:fldChar w:fldCharType="begin"/>
      </w:r>
      <w:r>
        <w:instrText xml:space="preserve"> XE "</w:instrText>
      </w:r>
      <w:r w:rsidRPr="00924D01">
        <w:instrText>teorie dvojí pravdy</w:instrText>
      </w:r>
      <w:r>
        <w:instrText xml:space="preserve">" </w:instrText>
      </w:r>
      <w:r>
        <w:fldChar w:fldCharType="end"/>
      </w:r>
      <w:r w:rsidRPr="00273106">
        <w:t>.</w:t>
      </w:r>
      <w:r>
        <w:t xml:space="preserve"> A stejně schizofrenické bylo i pojetí osoby rozdělené na několik substancí. Představitelé prvního averroismu odmítli především objektivní statut </w:t>
      </w:r>
      <w:r>
        <w:rPr>
          <w:i/>
        </w:rPr>
        <w:t>ratio semi</w:t>
      </w:r>
      <w:r w:rsidRPr="00273106">
        <w:rPr>
          <w:i/>
        </w:rPr>
        <w:t>nalis</w:t>
      </w:r>
      <w:r>
        <w:rPr>
          <w:i/>
        </w:rPr>
        <w:fldChar w:fldCharType="begin"/>
      </w:r>
      <w:r>
        <w:instrText xml:space="preserve"> XE "</w:instrText>
      </w:r>
      <w:r w:rsidRPr="009D39F0">
        <w:rPr>
          <w:i/>
        </w:rPr>
        <w:instrText>ratio seminalis</w:instrText>
      </w:r>
      <w:r>
        <w:instrText xml:space="preserve">" </w:instrText>
      </w:r>
      <w:r>
        <w:rPr>
          <w:i/>
        </w:rPr>
        <w:fldChar w:fldCharType="end"/>
      </w:r>
      <w:r>
        <w:t xml:space="preserve">, které tvoří </w:t>
      </w:r>
      <w:r w:rsidRPr="006A3243">
        <w:rPr>
          <w:i/>
        </w:rPr>
        <w:t>medium</w:t>
      </w:r>
      <w:r>
        <w:rPr>
          <w:i/>
        </w:rPr>
        <w:fldChar w:fldCharType="begin"/>
      </w:r>
      <w:r>
        <w:instrText xml:space="preserve"> XE "</w:instrText>
      </w:r>
      <w:r w:rsidRPr="001618A5">
        <w:rPr>
          <w:i/>
        </w:rPr>
        <w:instrText>medium:</w:instrText>
      </w:r>
      <w:r w:rsidRPr="001618A5">
        <w:instrText>Albert</w:instrText>
      </w:r>
      <w:r>
        <w:instrText xml:space="preserve">" </w:instrText>
      </w:r>
      <w:r>
        <w:rPr>
          <w:i/>
        </w:rPr>
        <w:fldChar w:fldCharType="end"/>
      </w:r>
      <w:r>
        <w:t xml:space="preserve"> nového poznání světa. První averroismus chápe jakékoliv </w:t>
      </w:r>
      <w:r w:rsidRPr="003525BA">
        <w:rPr>
          <w:i/>
        </w:rPr>
        <w:t>rationes</w:t>
      </w:r>
      <w:r>
        <w:t xml:space="preserve"> v rámci </w:t>
      </w:r>
      <w:r w:rsidRPr="003525BA">
        <w:rPr>
          <w:i/>
        </w:rPr>
        <w:t>esse intentionale</w:t>
      </w:r>
      <w:r>
        <w:t xml:space="preserve"> daného pouze vzhledem k receptivitě možného intelektu. Predikace </w:t>
      </w:r>
      <w:r w:rsidR="00055AF1">
        <w:t>„</w:t>
      </w:r>
      <w:r w:rsidRPr="00F364FF">
        <w:rPr>
          <w:i/>
        </w:rPr>
        <w:t>in artificialibus</w:t>
      </w:r>
      <w:r w:rsidR="00055AF1">
        <w:t>“</w:t>
      </w:r>
      <w:r>
        <w:t xml:space="preserve"> </w:t>
      </w:r>
      <w:r w:rsidR="00055AF1">
        <w:t>ne</w:t>
      </w:r>
      <w:r>
        <w:t xml:space="preserve">má podle Alberta </w:t>
      </w:r>
      <w:r w:rsidR="00055AF1">
        <w:t xml:space="preserve">vlastní modus poznání. Kreativní vůle je podřízena poznávajímu rozumu a ten má u člověka vždy pouze </w:t>
      </w:r>
      <w:r>
        <w:t>univerzální a potenciální charakter.</w:t>
      </w:r>
      <w:r w:rsidRPr="00273106">
        <w:rPr>
          <w:rStyle w:val="Znakapoznpodarou"/>
        </w:rPr>
        <w:footnoteReference w:id="72"/>
      </w:r>
      <w:r>
        <w:t xml:space="preserve"> Aktivní složka této predikace je dána v individuální syntetické schopnosti aktivního intelektu, který si bere jako materii univerzální intence a koncepty z pasivního intelektu.</w:t>
      </w:r>
      <w:r w:rsidRPr="00273106">
        <w:t xml:space="preserve"> Co je v intelektu univerzální, to je potenciální vzhledem k</w:t>
      </w:r>
      <w:r>
        <w:t xml:space="preserve"> jedinečné </w:t>
      </w:r>
      <w:r w:rsidRPr="00273106">
        <w:t>realitě první substance</w:t>
      </w:r>
      <w:r>
        <w:t xml:space="preserve">. Žádné </w:t>
      </w:r>
      <w:r w:rsidRPr="001D5155">
        <w:rPr>
          <w:i/>
        </w:rPr>
        <w:t>ens rationale</w:t>
      </w:r>
      <w:r>
        <w:t xml:space="preserve"> nemá univoční či nějak hypostázovanou aktualitu v externí realitě</w:t>
      </w:r>
      <w:r>
        <w:fldChar w:fldCharType="begin"/>
      </w:r>
      <w:r>
        <w:instrText xml:space="preserve"> XE "</w:instrText>
      </w:r>
      <w:r w:rsidRPr="00F749C9">
        <w:instrText>spor o univerzália</w:instrText>
      </w:r>
      <w:r>
        <w:instrText xml:space="preserve">" </w:instrText>
      </w:r>
      <w:r>
        <w:fldChar w:fldCharType="end"/>
      </w:r>
      <w:r w:rsidRPr="00273106">
        <w:t>.</w:t>
      </w:r>
      <w:r>
        <w:t xml:space="preserve"> Koncepty typu </w:t>
      </w:r>
      <w:r w:rsidRPr="00273106">
        <w:rPr>
          <w:i/>
        </w:rPr>
        <w:t>rationes seminales</w:t>
      </w:r>
      <w:r>
        <w:rPr>
          <w:i/>
        </w:rPr>
        <w:fldChar w:fldCharType="begin"/>
      </w:r>
      <w:r>
        <w:instrText xml:space="preserve"> XE "</w:instrText>
      </w:r>
      <w:r w:rsidRPr="00842B74">
        <w:rPr>
          <w:i/>
        </w:rPr>
        <w:instrText>rationes seminales</w:instrText>
      </w:r>
      <w:r>
        <w:instrText xml:space="preserve">" </w:instrText>
      </w:r>
      <w:r>
        <w:rPr>
          <w:i/>
        </w:rPr>
        <w:fldChar w:fldCharType="end"/>
      </w:r>
      <w:r w:rsidRPr="00273106">
        <w:t xml:space="preserve"> existují jako univerzália</w:t>
      </w:r>
      <w:r w:rsidRPr="00545FD1">
        <w:t xml:space="preserve"> </w:t>
      </w:r>
      <w:r>
        <w:t>v mysli, p</w:t>
      </w:r>
      <w:r w:rsidRPr="00273106">
        <w:t xml:space="preserve">roto nemohou mít formu </w:t>
      </w:r>
      <w:r>
        <w:t>jsoucna třetího druhu působícího kauzálně</w:t>
      </w:r>
      <w:r w:rsidRPr="00273106">
        <w:t>.</w:t>
      </w:r>
      <w:r>
        <w:t xml:space="preserve"> Stejnou pozici má Bacon, který kritizuje chybné užití predikace </w:t>
      </w:r>
      <w:r w:rsidRPr="08751298">
        <w:rPr>
          <w:i/>
        </w:rPr>
        <w:t>in artificialibus</w:t>
      </w:r>
      <w:r>
        <w:t xml:space="preserve"> u modernistů v </w:t>
      </w:r>
      <w:r w:rsidRPr="00273106">
        <w:t>Oxfordu (</w:t>
      </w:r>
      <w:r>
        <w:t>OBJ II, kap. 3</w:t>
      </w:r>
      <w:r w:rsidRPr="00273106">
        <w:t>.2).</w:t>
      </w:r>
      <w:r>
        <w:t xml:space="preserve"> Bonaventura polemizoval s prvním averroismem Alberta a Bacona od roku 1245, kdy začal vyučovat na Pařížské univerzitě. </w:t>
      </w:r>
      <w:r w:rsidR="007E4B29" w:rsidRPr="00273106">
        <w:t>Bacon</w:t>
      </w:r>
      <w:r w:rsidR="007E4B29">
        <w:t>,</w:t>
      </w:r>
      <w:r w:rsidR="007E4B29" w:rsidRPr="00273106">
        <w:t xml:space="preserve"> Albert</w:t>
      </w:r>
      <w:r w:rsidR="007E4B29">
        <w:t xml:space="preserve"> odmítli všechny nesmysly moderních latiníků, </w:t>
      </w:r>
      <w:r>
        <w:t xml:space="preserve">čímž navázali na obranu Averroese na Pařížské univerzitě za časů biskupa Alverna. Pozice Akvinského k modernistům je mnohem složitější a budeme se jí věnovat v následujících kapitolách. </w:t>
      </w:r>
      <w:r w:rsidRPr="00273106">
        <w:t>Bacon a Albert odmítli akademickou debatu s představiteli tohoto směru, protože základní termíny metaf</w:t>
      </w:r>
      <w:r>
        <w:t>yziky už neměly stejný význam</w:t>
      </w:r>
      <w:r>
        <w:fldChar w:fldCharType="begin"/>
      </w:r>
      <w:r>
        <w:instrText xml:space="preserve"> </w:instrText>
      </w:r>
      <w:r>
        <w:lastRenderedPageBreak/>
        <w:instrText>XE "</w:instrText>
      </w:r>
      <w:r w:rsidRPr="009B1814">
        <w:instrText>metafyzika:dvojí určení</w:instrText>
      </w:r>
      <w:r>
        <w:instrText xml:space="preserve">" </w:instrText>
      </w:r>
      <w:r>
        <w:fldChar w:fldCharType="end"/>
      </w:r>
      <w:r>
        <w:t xml:space="preserve">. </w:t>
      </w:r>
      <w:r w:rsidR="00055AF1">
        <w:t>Proto vznikla kolem 1255 první modernistická</w:t>
      </w:r>
      <w:r>
        <w:t xml:space="preserve"> krize na aka</w:t>
      </w:r>
      <w:r w:rsidR="00961E17">
        <w:t>demických institucích v Paříži.</w:t>
      </w:r>
    </w:p>
    <w:p w:rsidR="00B0712F" w:rsidRDefault="000F721B" w:rsidP="00926759">
      <w:pPr>
        <w:ind w:firstLine="397"/>
      </w:pPr>
      <w:r>
        <w:t>V</w:t>
      </w:r>
      <w:r w:rsidRPr="00273106">
        <w:t xml:space="preserve">e druhé polovině 16. století </w:t>
      </w:r>
      <w:r>
        <w:t xml:space="preserve">vznikl </w:t>
      </w:r>
      <w:r w:rsidRPr="00273106">
        <w:t>nový systé</w:t>
      </w:r>
      <w:r>
        <w:t xml:space="preserve">m univoční spekulace o jsoucnu, který vycházel </w:t>
      </w:r>
      <w:r w:rsidR="00AD169C">
        <w:t xml:space="preserve">z </w:t>
      </w:r>
      <w:r w:rsidR="084D5365" w:rsidRPr="00273106">
        <w:t>druhého patra daného</w:t>
      </w:r>
      <w:r>
        <w:t xml:space="preserve"> boží reflexí exemplarů</w:t>
      </w:r>
      <w:r w:rsidR="084D5365">
        <w:t xml:space="preserve">. </w:t>
      </w:r>
      <w:r w:rsidR="084D5365" w:rsidRPr="00273106">
        <w:t>Henry de Lubac</w:t>
      </w:r>
      <w:r w:rsidR="084D5365">
        <w:fldChar w:fldCharType="begin"/>
      </w:r>
      <w:r w:rsidR="084D5365">
        <w:instrText xml:space="preserve"> XE "</w:instrText>
      </w:r>
      <w:r w:rsidR="084D5365" w:rsidRPr="006F300B">
        <w:instrText>Lubac</w:instrText>
      </w:r>
      <w:r w:rsidR="084D5365">
        <w:instrText>,</w:instrText>
      </w:r>
      <w:r w:rsidR="084D5365" w:rsidRPr="006F300B">
        <w:instrText xml:space="preserve"> H.</w:instrText>
      </w:r>
      <w:r w:rsidR="084D5365">
        <w:instrText xml:space="preserve">" </w:instrText>
      </w:r>
      <w:r w:rsidR="084D5365">
        <w:fldChar w:fldCharType="end"/>
      </w:r>
      <w:r w:rsidR="084D5365" w:rsidRPr="00273106">
        <w:t xml:space="preserve"> </w:t>
      </w:r>
      <w:r w:rsidR="084D5365">
        <w:t xml:space="preserve">v díle </w:t>
      </w:r>
      <w:r w:rsidR="084D5365" w:rsidRPr="00273106">
        <w:rPr>
          <w:i/>
        </w:rPr>
        <w:t>Surnaturel</w:t>
      </w:r>
      <w:r w:rsidR="084D5365" w:rsidRPr="00273106">
        <w:t xml:space="preserve"> (1942) představuje </w:t>
      </w:r>
      <w:r w:rsidR="084D5365">
        <w:t xml:space="preserve">postmoderní </w:t>
      </w:r>
      <w:r w:rsidR="084D5365" w:rsidRPr="00273106">
        <w:t>variantu</w:t>
      </w:r>
      <w:r w:rsidR="084D5365">
        <w:t xml:space="preserve"> dvoupatrové metafyziky</w:t>
      </w:r>
      <w:r w:rsidR="084D5365" w:rsidRPr="00273106">
        <w:t xml:space="preserve">. </w:t>
      </w:r>
      <w:r w:rsidR="084D5365">
        <w:t>Předešlé výklady ukázaly, že toto dvoupatrové vidění světa vzniklo na základě objektivního diakosmu Bonaventury. Připomeňme citát z průkopnické studie, která toto rozdělení poprvé kodifikovala</w:t>
      </w:r>
      <w:r w:rsidR="00AF7A3E">
        <w:t xml:space="preserve"> už </w:t>
      </w:r>
      <w:r w:rsidR="084D5365">
        <w:t xml:space="preserve">deset let před Lubacem. </w:t>
      </w:r>
      <w:r w:rsidR="00AF7A3E">
        <w:t xml:space="preserve">Podle Gilsona platí, že zprostředkující </w:t>
      </w:r>
      <w:r w:rsidR="084D5365">
        <w:t xml:space="preserve">role intelektu </w:t>
      </w:r>
      <w:r w:rsidR="00AF7A3E">
        <w:t xml:space="preserve">umožňuje mystice augustiniánského avicennismu, aby použila </w:t>
      </w:r>
      <w:r w:rsidR="084D5365">
        <w:t>prvního patra aristotelské abstrakce</w:t>
      </w:r>
      <w:r w:rsidR="00AF7A3E">
        <w:t xml:space="preserve">; </w:t>
      </w:r>
      <w:r w:rsidR="084D5365">
        <w:t>ale normálně má scénář nadpřirozené iluminace.</w:t>
      </w:r>
      <w:r w:rsidR="084D5365" w:rsidRPr="00273106">
        <w:rPr>
          <w:rStyle w:val="Znakapoznpodarou"/>
        </w:rPr>
        <w:footnoteReference w:id="73"/>
      </w:r>
      <w:r w:rsidR="084D5365">
        <w:t xml:space="preserve"> Gilson</w:t>
      </w:r>
      <w:r w:rsidR="084D5365">
        <w:fldChar w:fldCharType="begin"/>
      </w:r>
      <w:r w:rsidR="084D5365">
        <w:instrText xml:space="preserve"> XE "</w:instrText>
      </w:r>
      <w:r w:rsidR="084D5365" w:rsidRPr="005E00BE">
        <w:instrText>Gilson, E.</w:instrText>
      </w:r>
      <w:r w:rsidR="084D5365">
        <w:instrText xml:space="preserve">" </w:instrText>
      </w:r>
      <w:r w:rsidR="084D5365">
        <w:fldChar w:fldCharType="end"/>
      </w:r>
      <w:r w:rsidR="084D5365">
        <w:t xml:space="preserve"> komentuje termínem </w:t>
      </w:r>
      <w:r w:rsidR="00A81B1A">
        <w:t>„</w:t>
      </w:r>
      <w:r w:rsidR="084D5365" w:rsidRPr="00B03BBC">
        <w:rPr>
          <w:i/>
        </w:rPr>
        <w:t>surnaturel</w:t>
      </w:r>
      <w:r w:rsidR="00A81B1A">
        <w:t>“</w:t>
      </w:r>
      <w:r w:rsidR="084D5365">
        <w:rPr>
          <w:i/>
        </w:rPr>
        <w:fldChar w:fldCharType="begin"/>
      </w:r>
      <w:r w:rsidR="084D5365">
        <w:instrText xml:space="preserve"> XE "</w:instrText>
      </w:r>
      <w:r w:rsidR="084D5365" w:rsidRPr="00B63754">
        <w:rPr>
          <w:i/>
        </w:rPr>
        <w:instrText>surnaturel</w:instrText>
      </w:r>
      <w:r w:rsidR="084D5365">
        <w:instrText xml:space="preserve">" </w:instrText>
      </w:r>
      <w:r w:rsidR="084D5365">
        <w:rPr>
          <w:i/>
        </w:rPr>
        <w:fldChar w:fldCharType="end"/>
      </w:r>
      <w:r w:rsidR="084D5365">
        <w:t xml:space="preserve"> Bonaventurovu abstrakci pojatou jako iluminaci mysli božími idejemi.</w:t>
      </w:r>
      <w:r w:rsidR="084D5365" w:rsidRPr="00273106">
        <w:t xml:space="preserve"> </w:t>
      </w:r>
      <w:r w:rsidR="084D5365">
        <w:t>Bonaventura razí cestu novému uspořádání světa, protože rozdělil bytí jsoucna do dvou rodově odlišných kategorií</w:t>
      </w:r>
      <w:r w:rsidR="084D5365" w:rsidRPr="00273106">
        <w:t>: „</w:t>
      </w:r>
      <w:r w:rsidR="084D5365" w:rsidRPr="00341EBA">
        <w:rPr>
          <w:i/>
        </w:rPr>
        <w:t>Esse gratuitum est alterius generis quam esse naturale</w:t>
      </w:r>
      <w:r w:rsidR="084D5365" w:rsidRPr="00273106">
        <w:t>“.</w:t>
      </w:r>
      <w:r w:rsidR="084D5365" w:rsidRPr="00273106">
        <w:rPr>
          <w:rStyle w:val="Znakapoznpodarou"/>
        </w:rPr>
        <w:footnoteReference w:id="74"/>
      </w:r>
      <w:r w:rsidR="084D5365" w:rsidRPr="00273106">
        <w:t xml:space="preserve"> Lubac v pozdějším vydání citovaného díla konstatuje, že tento citát </w:t>
      </w:r>
      <w:r w:rsidR="084D5365">
        <w:t xml:space="preserve">znamená </w:t>
      </w:r>
      <w:r w:rsidR="084D5365" w:rsidRPr="00273106">
        <w:rPr>
          <w:i/>
        </w:rPr>
        <w:t>double passage ontologique</w:t>
      </w:r>
      <w:r w:rsidR="084D5365" w:rsidRPr="00273106">
        <w:t xml:space="preserve"> (Lubac 1965, 113). Jsoucno je determinováno dvojím </w:t>
      </w:r>
      <w:r w:rsidR="084D5365">
        <w:t xml:space="preserve">rodovým a tím také univočním určením daným </w:t>
      </w:r>
      <w:r w:rsidR="084D5365" w:rsidRPr="00273106">
        <w:t>buď z nadpřirozené milosti, nebo z přirozeného bytí.</w:t>
      </w:r>
      <w:r w:rsidR="084D5365">
        <w:t xml:space="preserve"> Postm</w:t>
      </w:r>
      <w:r w:rsidR="084D5365" w:rsidRPr="00273106">
        <w:t xml:space="preserve">oderní augustiniáni a avicennisté jako </w:t>
      </w:r>
      <w:r w:rsidR="084D5365" w:rsidRPr="0860135B">
        <w:t>Michael</w:t>
      </w:r>
      <w:r w:rsidR="084D5365">
        <w:rPr>
          <w:rFonts w:ascii="Arial" w:hAnsi="Arial" w:cs="Arial"/>
          <w:color w:val="545454"/>
          <w:sz w:val="21"/>
          <w:szCs w:val="21"/>
          <w:shd w:val="clear" w:color="auto" w:fill="FFFFFF"/>
        </w:rPr>
        <w:t> </w:t>
      </w:r>
      <w:r w:rsidR="084D5365" w:rsidRPr="00273106">
        <w:t xml:space="preserve"> Baius</w:t>
      </w:r>
      <w:r w:rsidR="084D5365">
        <w:fldChar w:fldCharType="begin"/>
      </w:r>
      <w:r w:rsidR="084D5365">
        <w:instrText xml:space="preserve"> XE "</w:instrText>
      </w:r>
      <w:r w:rsidR="084D5365" w:rsidRPr="00FD37F8">
        <w:instrText>Baius, M.</w:instrText>
      </w:r>
      <w:r w:rsidR="084D5365">
        <w:instrText xml:space="preserve">" </w:instrText>
      </w:r>
      <w:r w:rsidR="084D5365">
        <w:fldChar w:fldCharType="end"/>
      </w:r>
      <w:r w:rsidR="084D5365" w:rsidRPr="00273106">
        <w:t xml:space="preserve"> </w:t>
      </w:r>
      <w:r w:rsidR="084D5365">
        <w:t>(</w:t>
      </w:r>
      <w:r w:rsidR="084D5365">
        <w:rPr>
          <w:rFonts w:cs="Calibri"/>
        </w:rPr>
        <w:t>†</w:t>
      </w:r>
      <w:r w:rsidR="084D5365">
        <w:t xml:space="preserve">1589) a Cornelius </w:t>
      </w:r>
      <w:r w:rsidR="084D5365" w:rsidRPr="00273106">
        <w:t>Jansen</w:t>
      </w:r>
      <w:r w:rsidR="084D5365">
        <w:fldChar w:fldCharType="begin"/>
      </w:r>
      <w:r w:rsidR="084D5365">
        <w:instrText xml:space="preserve"> XE "</w:instrText>
      </w:r>
      <w:r w:rsidR="084D5365" w:rsidRPr="00474D6B">
        <w:instrText>Jansen, C.</w:instrText>
      </w:r>
      <w:r w:rsidR="084D5365">
        <w:instrText xml:space="preserve">" </w:instrText>
      </w:r>
      <w:r w:rsidR="084D5365">
        <w:fldChar w:fldCharType="end"/>
      </w:r>
      <w:r w:rsidR="084D5365">
        <w:t xml:space="preserve"> (</w:t>
      </w:r>
      <w:r w:rsidR="084D5365">
        <w:rPr>
          <w:rFonts w:cs="Calibri"/>
        </w:rPr>
        <w:t>†</w:t>
      </w:r>
      <w:r w:rsidR="084D5365">
        <w:t xml:space="preserve">1638) vzali hypotézu esenciálně dané </w:t>
      </w:r>
      <w:r w:rsidR="00926759">
        <w:t>„</w:t>
      </w:r>
      <w:r w:rsidR="084D5365" w:rsidRPr="00273106">
        <w:rPr>
          <w:i/>
        </w:rPr>
        <w:t>finalité naturelle</w:t>
      </w:r>
      <w:r w:rsidR="00926759">
        <w:t>“</w:t>
      </w:r>
      <w:r w:rsidR="084D5365" w:rsidRPr="00273106">
        <w:t xml:space="preserve"> a postavili ji proti nadpřirozeně daným zásahům boží milosti do existence člověka (</w:t>
      </w:r>
      <w:r w:rsidR="084D5365" w:rsidRPr="00273106">
        <w:rPr>
          <w:i/>
        </w:rPr>
        <w:t>praeter naturam</w:t>
      </w:r>
      <w:r w:rsidR="084D5365" w:rsidRPr="00273106">
        <w:t xml:space="preserve">, </w:t>
      </w:r>
      <w:r w:rsidR="084D5365" w:rsidRPr="00273106">
        <w:rPr>
          <w:i/>
        </w:rPr>
        <w:t>contra naturam</w:t>
      </w:r>
      <w:r w:rsidR="084D5365" w:rsidRPr="00273106">
        <w:t xml:space="preserve">). Dvojitá </w:t>
      </w:r>
      <w:r w:rsidR="084D5365">
        <w:t xml:space="preserve">ontologie augustiniánských iluminátů se stane </w:t>
      </w:r>
      <w:r w:rsidR="084D5365" w:rsidRPr="00273106">
        <w:t>o tři století později</w:t>
      </w:r>
      <w:r w:rsidR="084D5365" w:rsidRPr="00414836">
        <w:t xml:space="preserve"> </w:t>
      </w:r>
      <w:r w:rsidR="084D5365">
        <w:t>novou filosofií</w:t>
      </w:r>
      <w:r w:rsidR="084D5365" w:rsidRPr="00273106">
        <w:t>. Jacob Lorhard</w:t>
      </w:r>
      <w:r w:rsidR="084D5365">
        <w:fldChar w:fldCharType="begin"/>
      </w:r>
      <w:r w:rsidR="084D5365">
        <w:instrText xml:space="preserve"> XE "</w:instrText>
      </w:r>
      <w:r w:rsidR="084D5365" w:rsidRPr="008964C0">
        <w:instrText>Lorhard, J.</w:instrText>
      </w:r>
      <w:r w:rsidR="084D5365">
        <w:instrText xml:space="preserve">" </w:instrText>
      </w:r>
      <w:r w:rsidR="084D5365">
        <w:fldChar w:fldCharType="end"/>
      </w:r>
      <w:r w:rsidR="084D5365" w:rsidRPr="00273106">
        <w:t xml:space="preserve"> poprvé použije pro tuto již čistě filosofickou spekulaci term</w:t>
      </w:r>
      <w:r w:rsidR="084D5365">
        <w:t xml:space="preserve">ín </w:t>
      </w:r>
      <w:r w:rsidR="084D5365" w:rsidRPr="00273106">
        <w:rPr>
          <w:i/>
        </w:rPr>
        <w:t>ontologia</w:t>
      </w:r>
      <w:r w:rsidR="084D5365">
        <w:rPr>
          <w:i/>
        </w:rPr>
        <w:fldChar w:fldCharType="begin"/>
      </w:r>
      <w:r w:rsidR="084D5365">
        <w:instrText xml:space="preserve"> XE "metafyzika:</w:instrText>
      </w:r>
      <w:r w:rsidR="084D5365" w:rsidRPr="00220187">
        <w:instrText>ontologie</w:instrText>
      </w:r>
      <w:r w:rsidR="084D5365">
        <w:instrText xml:space="preserve">" </w:instrText>
      </w:r>
      <w:r w:rsidR="084D5365">
        <w:rPr>
          <w:i/>
        </w:rPr>
        <w:fldChar w:fldCharType="end"/>
      </w:r>
      <w:r w:rsidR="084D5365" w:rsidRPr="00273106">
        <w:t xml:space="preserve"> (</w:t>
      </w:r>
      <w:r w:rsidR="084D5365" w:rsidRPr="00273106">
        <w:rPr>
          <w:i/>
          <w:iCs/>
        </w:rPr>
        <w:t>Ogdoas Scholastica</w:t>
      </w:r>
      <w:r w:rsidR="084D5365" w:rsidRPr="00273106">
        <w:rPr>
          <w:iCs/>
        </w:rPr>
        <w:t>, 1606)</w:t>
      </w:r>
      <w:r w:rsidR="084D5365" w:rsidRPr="00273106">
        <w:t>, který Rudolph Goclenius</w:t>
      </w:r>
      <w:r w:rsidR="084D5365">
        <w:fldChar w:fldCharType="begin"/>
      </w:r>
      <w:r w:rsidR="084D5365">
        <w:instrText xml:space="preserve"> XE "</w:instrText>
      </w:r>
      <w:r w:rsidR="084D5365" w:rsidRPr="008964C0">
        <w:instrText>Goclenius, R.</w:instrText>
      </w:r>
      <w:r w:rsidR="084D5365">
        <w:instrText xml:space="preserve">" </w:instrText>
      </w:r>
      <w:r w:rsidR="084D5365">
        <w:fldChar w:fldCharType="end"/>
      </w:r>
      <w:r w:rsidR="084D5365">
        <w:t xml:space="preserve"> zavede jako novou definici metafyziky </w:t>
      </w:r>
      <w:r w:rsidR="084D5365" w:rsidRPr="00273106">
        <w:t>(</w:t>
      </w:r>
      <w:r w:rsidR="084D5365" w:rsidRPr="00273106">
        <w:rPr>
          <w:i/>
          <w:iCs/>
        </w:rPr>
        <w:t>Lexicon philosophicum</w:t>
      </w:r>
      <w:r w:rsidR="084D5365" w:rsidRPr="00273106">
        <w:t xml:space="preserve">, 1613). </w:t>
      </w:r>
      <w:r w:rsidR="084D5365">
        <w:t>Bonaventurova regule determinující objektivní stav světa určila osud postmoderní ontologie</w:t>
      </w:r>
      <w:r w:rsidR="00926759">
        <w:t xml:space="preserve">. Po smrti moderního boha zaniklo </w:t>
      </w:r>
      <w:r w:rsidR="00926759">
        <w:lastRenderedPageBreak/>
        <w:t xml:space="preserve">nadpřirozené patro </w:t>
      </w:r>
      <w:r w:rsidR="00926759" w:rsidRPr="00926759">
        <w:rPr>
          <w:i/>
        </w:rPr>
        <w:t>Modernorum</w:t>
      </w:r>
      <w:r w:rsidR="00926759">
        <w:t xml:space="preserve">, ale nikoliv jejich </w:t>
      </w:r>
      <w:r w:rsidR="00926759" w:rsidRPr="00926759">
        <w:t xml:space="preserve">schizofrenní filozofie. </w:t>
      </w:r>
      <w:r w:rsidR="00926759">
        <w:t xml:space="preserve">Moderní </w:t>
      </w:r>
      <w:r w:rsidR="00926759" w:rsidRPr="00926759">
        <w:rPr>
          <w:i/>
        </w:rPr>
        <w:t>Irre</w:t>
      </w:r>
      <w:r w:rsidR="00926759">
        <w:t xml:space="preserve"> </w:t>
      </w:r>
      <w:r w:rsidR="00926759" w:rsidRPr="00926759">
        <w:t>definitivně přešla do</w:t>
      </w:r>
      <w:r w:rsidR="00926759">
        <w:t xml:space="preserve"> postmoderní ontologie. Slovo „</w:t>
      </w:r>
      <w:r w:rsidR="00926759" w:rsidRPr="00926759">
        <w:t>definitiv</w:t>
      </w:r>
      <w:r w:rsidR="00926759">
        <w:t xml:space="preserve">ně“ </w:t>
      </w:r>
      <w:r w:rsidR="00926759" w:rsidRPr="00926759">
        <w:t>mus</w:t>
      </w:r>
      <w:r w:rsidR="00926759">
        <w:t xml:space="preserve">í být chápáno v modu </w:t>
      </w:r>
      <w:r w:rsidR="00926759" w:rsidRPr="00926759">
        <w:rPr>
          <w:i/>
        </w:rPr>
        <w:t>alétheia</w:t>
      </w:r>
      <w:r w:rsidR="00926759" w:rsidRPr="00926759">
        <w:t xml:space="preserve">, </w:t>
      </w:r>
      <w:r w:rsidR="00926759">
        <w:t>tedy „</w:t>
      </w:r>
      <w:r w:rsidR="00926759" w:rsidRPr="00926759">
        <w:rPr>
          <w:i/>
        </w:rPr>
        <w:t>de fine Deī Modernorum</w:t>
      </w:r>
      <w:r w:rsidR="00926759">
        <w:t>“.</w:t>
      </w:r>
      <w:r w:rsidR="002454A9">
        <w:t xml:space="preserve"> Škola </w:t>
      </w:r>
      <w:r w:rsidR="002454A9" w:rsidRPr="006227AA">
        <w:rPr>
          <w:i/>
        </w:rPr>
        <w:t>Modernorum</w:t>
      </w:r>
      <w:r w:rsidR="002454A9">
        <w:t xml:space="preserve"> </w:t>
      </w:r>
      <w:r w:rsidR="002454A9" w:rsidRPr="00273106">
        <w:t xml:space="preserve">musela </w:t>
      </w:r>
      <w:r w:rsidR="002454A9">
        <w:t xml:space="preserve">po zatmění první substance </w:t>
      </w:r>
      <w:r w:rsidR="002454A9" w:rsidRPr="00273106">
        <w:t>jít mysticko</w:t>
      </w:r>
      <w:r w:rsidR="002454A9">
        <w:t xml:space="preserve">u cestou neoplatonismu. Tuto cestu otevřel změněný metafyzický status </w:t>
      </w:r>
      <w:r w:rsidR="002454A9">
        <w:rPr>
          <w:i/>
        </w:rPr>
        <w:t>esse</w:t>
      </w:r>
      <w:r w:rsidR="002454A9" w:rsidRPr="00273106">
        <w:rPr>
          <w:i/>
        </w:rPr>
        <w:t xml:space="preserve"> ratum</w:t>
      </w:r>
      <w:r w:rsidR="002454A9">
        <w:rPr>
          <w:i/>
        </w:rPr>
        <w:fldChar w:fldCharType="begin"/>
      </w:r>
      <w:r w:rsidR="002454A9">
        <w:instrText xml:space="preserve"> XE "</w:instrText>
      </w:r>
      <w:r w:rsidR="002454A9" w:rsidRPr="00B2798F">
        <w:rPr>
          <w:rStyle w:val="addmd"/>
          <w:i/>
        </w:rPr>
        <w:instrText>ens ratum:</w:instrText>
      </w:r>
      <w:r w:rsidR="002454A9" w:rsidRPr="00DB2F28">
        <w:rPr>
          <w:rStyle w:val="addmd"/>
        </w:rPr>
        <w:instrText>moderna</w:instrText>
      </w:r>
      <w:r w:rsidR="002454A9">
        <w:instrText xml:space="preserve">" </w:instrText>
      </w:r>
      <w:r w:rsidR="002454A9">
        <w:rPr>
          <w:i/>
        </w:rPr>
        <w:fldChar w:fldCharType="end"/>
      </w:r>
      <w:r w:rsidR="002454A9" w:rsidRPr="00273106">
        <w:rPr>
          <w:i/>
        </w:rPr>
        <w:t xml:space="preserve"> </w:t>
      </w:r>
      <w:r w:rsidR="002454A9" w:rsidRPr="0026788D">
        <w:t>a</w:t>
      </w:r>
      <w:r w:rsidR="002454A9">
        <w:rPr>
          <w:i/>
        </w:rPr>
        <w:t xml:space="preserve"> esse </w:t>
      </w:r>
      <w:r w:rsidR="002454A9" w:rsidRPr="00273106">
        <w:rPr>
          <w:i/>
        </w:rPr>
        <w:t>debile</w:t>
      </w:r>
      <w:r w:rsidR="002454A9">
        <w:rPr>
          <w:i/>
        </w:rPr>
        <w:fldChar w:fldCharType="begin"/>
      </w:r>
      <w:r w:rsidR="002454A9">
        <w:instrText xml:space="preserve"> XE "</w:instrText>
      </w:r>
      <w:r w:rsidR="002454A9" w:rsidRPr="00B043BF">
        <w:rPr>
          <w:rStyle w:val="st"/>
          <w:i/>
        </w:rPr>
        <w:instrText>ens</w:instrText>
      </w:r>
      <w:r w:rsidR="002454A9" w:rsidRPr="00B043BF">
        <w:rPr>
          <w:rStyle w:val="st"/>
        </w:rPr>
        <w:instrText xml:space="preserve"> </w:instrText>
      </w:r>
      <w:r w:rsidR="002454A9" w:rsidRPr="00B043BF">
        <w:rPr>
          <w:rStyle w:val="st"/>
          <w:i/>
        </w:rPr>
        <w:instrText>debile</w:instrText>
      </w:r>
      <w:r w:rsidR="002454A9">
        <w:instrText xml:space="preserve">" </w:instrText>
      </w:r>
      <w:r w:rsidR="002454A9">
        <w:rPr>
          <w:i/>
        </w:rPr>
        <w:fldChar w:fldCharType="end"/>
      </w:r>
      <w:r w:rsidR="002454A9">
        <w:t xml:space="preserve"> po roce 1250, který Albert odmítl jako averroistický</w:t>
      </w:r>
      <w:r w:rsidR="002454A9" w:rsidRPr="00273106">
        <w:t xml:space="preserve">. </w:t>
      </w:r>
      <w:r w:rsidR="002454A9">
        <w:t xml:space="preserve">Duns Scotus jako poslední moderní zástupce </w:t>
      </w:r>
      <w:r w:rsidR="002454A9" w:rsidRPr="00D5188B">
        <w:rPr>
          <w:i/>
        </w:rPr>
        <w:t>Oxfordian Fallacy</w:t>
      </w:r>
      <w:r w:rsidR="002454A9">
        <w:t xml:space="preserve"> </w:t>
      </w:r>
      <w:r w:rsidR="002454A9" w:rsidRPr="00273106">
        <w:t xml:space="preserve">zrušil </w:t>
      </w:r>
      <w:r w:rsidR="00A866B2">
        <w:t xml:space="preserve">všechny </w:t>
      </w:r>
      <w:r w:rsidR="002454A9">
        <w:t xml:space="preserve">Bonaventurovy problematické </w:t>
      </w:r>
      <w:r w:rsidR="002454A9" w:rsidRPr="00273106">
        <w:t xml:space="preserve">předpoklady </w:t>
      </w:r>
      <w:r w:rsidR="002454A9">
        <w:t>da</w:t>
      </w:r>
      <w:r w:rsidR="00A866B2">
        <w:t xml:space="preserve">né v modu mystické ontoteologie. Scotus </w:t>
      </w:r>
      <w:r w:rsidR="002454A9" w:rsidRPr="00273106">
        <w:t>zavedl obje</w:t>
      </w:r>
      <w:r w:rsidR="002454A9">
        <w:t xml:space="preserve">ktivní aristotelismus </w:t>
      </w:r>
      <w:r w:rsidR="00A866B2">
        <w:t xml:space="preserve">na základě </w:t>
      </w:r>
      <w:r w:rsidR="002454A9">
        <w:t>metafyziky Avicenny</w:t>
      </w:r>
      <w:r w:rsidR="002454A9" w:rsidRPr="00273106">
        <w:t>.</w:t>
      </w:r>
    </w:p>
    <w:p w:rsidR="08163013" w:rsidRPr="00EF7397" w:rsidRDefault="00D00CC3" w:rsidP="00EF7397">
      <w:pPr>
        <w:ind w:firstLine="397"/>
      </w:pPr>
      <w:r w:rsidRPr="00D00CC3">
        <w:t>Citovaný Bacon a Albert rozhodně odmítli dualistický koncept bytí a nad</w:t>
      </w:r>
      <w:r>
        <w:t>přirozeného pseudo-bytí, který š</w:t>
      </w:r>
      <w:r w:rsidRPr="00D00CC3">
        <w:t>kola druhého Averr</w:t>
      </w:r>
      <w:r>
        <w:t>oismu zavedla v teologii a filos</w:t>
      </w:r>
      <w:r w:rsidRPr="00D00CC3">
        <w:t>ofii.</w:t>
      </w:r>
      <w:r>
        <w:t xml:space="preserve"> </w:t>
      </w:r>
      <w:r w:rsidR="08163013" w:rsidRPr="00273106">
        <w:t>Aktualita jsoucna existuje pouze v externí substanci, protože univerzalita je spojena s</w:t>
      </w:r>
      <w:r w:rsidR="009504C5">
        <w:t xml:space="preserve"> potencialitou a </w:t>
      </w:r>
      <w:r w:rsidR="08163013" w:rsidRPr="00273106">
        <w:t xml:space="preserve">akcidentalitou intelektu. Tím se poznání prvního averroismu nikdy nemůže stát absolutním, </w:t>
      </w:r>
      <w:r w:rsidR="08163013">
        <w:t>čili oddělený</w:t>
      </w:r>
      <w:r w:rsidR="08163013" w:rsidRPr="00273106">
        <w:t>m od první substance</w:t>
      </w:r>
      <w:r w:rsidR="00F75229">
        <w:t xml:space="preserve">. </w:t>
      </w:r>
      <w:r w:rsidR="00F75229" w:rsidRPr="00F75229">
        <w:t xml:space="preserve">Druhý averroismus </w:t>
      </w:r>
      <w:r w:rsidR="00F75229">
        <w:t xml:space="preserve">vytvořil </w:t>
      </w:r>
      <w:r w:rsidR="00F75229" w:rsidRPr="00F75229">
        <w:t>demiurgickou cestu filo</w:t>
      </w:r>
      <w:r w:rsidR="00F75229">
        <w:t>s</w:t>
      </w:r>
      <w:r w:rsidR="00F75229" w:rsidRPr="00F75229">
        <w:t xml:space="preserve">ofie nazvanou </w:t>
      </w:r>
      <w:r w:rsidR="00F75229" w:rsidRPr="00F75229">
        <w:rPr>
          <w:i/>
        </w:rPr>
        <w:t>via Modernorum</w:t>
      </w:r>
      <w:r w:rsidR="00F75229">
        <w:rPr>
          <w:i/>
        </w:rPr>
        <w:fldChar w:fldCharType="begin"/>
      </w:r>
      <w:r w:rsidR="00F75229">
        <w:instrText xml:space="preserve"> XE "</w:instrText>
      </w:r>
      <w:r w:rsidR="00F75229" w:rsidRPr="00ED0748">
        <w:rPr>
          <w:i/>
        </w:rPr>
        <w:instrText>via Modernorum</w:instrText>
      </w:r>
      <w:r w:rsidR="00F75229">
        <w:instrText xml:space="preserve">" </w:instrText>
      </w:r>
      <w:r w:rsidR="00F75229">
        <w:rPr>
          <w:i/>
        </w:rPr>
        <w:fldChar w:fldCharType="end"/>
      </w:r>
      <w:r w:rsidR="00F75229" w:rsidRPr="00F75229">
        <w:t>.</w:t>
      </w:r>
      <w:r w:rsidR="00F75229">
        <w:t xml:space="preserve"> </w:t>
      </w:r>
      <w:r w:rsidR="08163013">
        <w:t>S</w:t>
      </w:r>
      <w:r w:rsidR="08163013" w:rsidRPr="00273106">
        <w:t xml:space="preserve">ubjekt-objektový scénář </w:t>
      </w:r>
      <w:r w:rsidR="08163013">
        <w:t xml:space="preserve">moderny </w:t>
      </w:r>
      <w:r w:rsidR="08163013" w:rsidRPr="00273106">
        <w:t>daný v rámci</w:t>
      </w:r>
      <w:r w:rsidR="08163013">
        <w:t xml:space="preserve"> jsoucna třetího druhu</w:t>
      </w:r>
      <w:r w:rsidR="08163013" w:rsidRPr="00273106">
        <w:t xml:space="preserve"> </w:t>
      </w:r>
      <w:r w:rsidR="08163013">
        <w:t>představuje pro aristotelskou metafyziku naprostý nes</w:t>
      </w:r>
      <w:r w:rsidR="009A24CE">
        <w:t>mysl. Demiurgická predik</w:t>
      </w:r>
      <w:r w:rsidR="007468A3">
        <w:t>a</w:t>
      </w:r>
      <w:r w:rsidR="009A24CE">
        <w:t>ce „</w:t>
      </w:r>
      <w:r w:rsidR="009A24CE" w:rsidRPr="009A24CE">
        <w:rPr>
          <w:i/>
        </w:rPr>
        <w:t>in artificialibus</w:t>
      </w:r>
      <w:r w:rsidR="009A24CE">
        <w:t>“ nemůže tvořit základ filos</w:t>
      </w:r>
      <w:r w:rsidR="009A24CE" w:rsidRPr="009A24CE">
        <w:t xml:space="preserve">ofie; </w:t>
      </w:r>
      <w:r w:rsidR="006F6220">
        <w:t>řemesln</w:t>
      </w:r>
      <w:r w:rsidR="009A24CE" w:rsidRPr="009A24CE">
        <w:t xml:space="preserve">á tvorba není univerzální myšlení. První druh činnosti je aktivní, aktuální a velmi omezený; druhý </w:t>
      </w:r>
      <w:r w:rsidR="009A24CE">
        <w:t xml:space="preserve">je </w:t>
      </w:r>
      <w:r w:rsidR="009A24CE" w:rsidRPr="009A24CE">
        <w:t>univerzální, a proto pouze pasivní a potenciální.</w:t>
      </w:r>
      <w:r w:rsidR="009A24CE">
        <w:t xml:space="preserve"> </w:t>
      </w:r>
      <w:r w:rsidR="08163013">
        <w:t xml:space="preserve">Kritický </w:t>
      </w:r>
      <w:r w:rsidR="08163013" w:rsidRPr="00273106">
        <w:t>Albert</w:t>
      </w:r>
      <w:r w:rsidR="08163013">
        <w:t xml:space="preserve"> a Bacon</w:t>
      </w:r>
      <w:r w:rsidR="08163013" w:rsidRPr="00273106">
        <w:t xml:space="preserve"> </w:t>
      </w:r>
      <w:r w:rsidR="08163013">
        <w:t xml:space="preserve">jasně viděli, že v univočním </w:t>
      </w:r>
      <w:r w:rsidR="08163013" w:rsidRPr="00273106">
        <w:t xml:space="preserve">náhledu </w:t>
      </w:r>
      <w:r w:rsidR="08163013">
        <w:t xml:space="preserve">moderny </w:t>
      </w:r>
      <w:r w:rsidR="00CA1866">
        <w:t>vznikla</w:t>
      </w:r>
      <w:r w:rsidR="08163013" w:rsidRPr="00273106">
        <w:t xml:space="preserve"> nová pseudo</w:t>
      </w:r>
      <w:r w:rsidR="08163013" w:rsidRPr="00273106">
        <w:noBreakHyphen/>
        <w:t xml:space="preserve">fyzika hylemorfické </w:t>
      </w:r>
      <w:r w:rsidR="08163013">
        <w:t xml:space="preserve">hypostáze </w:t>
      </w:r>
      <w:r w:rsidR="08163013" w:rsidRPr="00273106">
        <w:t>„za“ skutečnou fyzikou</w:t>
      </w:r>
      <w:r w:rsidR="009763E7">
        <w:t xml:space="preserve">. Přestala existovat </w:t>
      </w:r>
      <w:r w:rsidR="08163013" w:rsidRPr="00273106">
        <w:t>metafyzika jako první filosofie vztažená k</w:t>
      </w:r>
      <w:r w:rsidR="009763E7">
        <w:t xml:space="preserve"> hyparchickému </w:t>
      </w:r>
      <w:r w:rsidR="08163013" w:rsidRPr="00273106">
        <w:t xml:space="preserve">bytí </w:t>
      </w:r>
      <w:r w:rsidR="009763E7">
        <w:t>prvních substancí</w:t>
      </w:r>
      <w:r w:rsidR="08163013">
        <w:fldChar w:fldCharType="begin"/>
      </w:r>
      <w:r w:rsidR="08163013">
        <w:instrText xml:space="preserve"> XE "</w:instrText>
      </w:r>
      <w:r w:rsidR="08163013" w:rsidRPr="00DE2A32">
        <w:instrText>substance</w:instrText>
      </w:r>
      <w:r w:rsidR="08163013">
        <w:instrText xml:space="preserve">:první" </w:instrText>
      </w:r>
      <w:r w:rsidR="08163013">
        <w:fldChar w:fldCharType="end"/>
      </w:r>
      <w:r w:rsidR="08163013" w:rsidRPr="00273106">
        <w:t xml:space="preserve"> (</w:t>
      </w:r>
      <w:r w:rsidR="08163013" w:rsidRPr="00273106">
        <w:rPr>
          <w:i/>
        </w:rPr>
        <w:t>haec est via quam fere sequuntur omnes moderni Latini</w:t>
      </w:r>
      <w:r w:rsidR="08292261">
        <w:t>; OBJ II, kap. 2</w:t>
      </w:r>
      <w:r w:rsidR="08163013" w:rsidRPr="00273106">
        <w:t>.4.3).</w:t>
      </w:r>
      <w:r w:rsidR="08163013">
        <w:t xml:space="preserve"> </w:t>
      </w:r>
      <w:r w:rsidR="08163013" w:rsidRPr="00273106">
        <w:t xml:space="preserve">Aristotelská cesta poznání skrze první substanci </w:t>
      </w:r>
      <w:r w:rsidR="08163013">
        <w:t xml:space="preserve">nyní </w:t>
      </w:r>
      <w:r w:rsidR="08163013" w:rsidRPr="00273106">
        <w:t xml:space="preserve">platí pouze pro slabý a nejistý rozum zkoumající kontigentní </w:t>
      </w:r>
      <w:r w:rsidR="08163013">
        <w:t>výskyt první substance v reálu. M</w:t>
      </w:r>
      <w:r w:rsidR="00C80D27">
        <w:t xml:space="preserve">oderna nasvítila jsoucno zezadu, </w:t>
      </w:r>
      <w:r w:rsidR="08163013">
        <w:t xml:space="preserve">od vůle subjektu, a tím vytvořila </w:t>
      </w:r>
      <w:r w:rsidR="00C80D27">
        <w:t>novou metafyziku</w:t>
      </w:r>
      <w:r w:rsidR="08163013">
        <w:t xml:space="preserve"> kráčející směrem k nihilismu. Po smrti postmoderního boha</w:t>
      </w:r>
      <w:r w:rsidR="08163013">
        <w:rPr>
          <w:color w:val="000000"/>
        </w:rPr>
        <w:fldChar w:fldCharType="begin"/>
      </w:r>
      <w:r w:rsidR="08163013">
        <w:instrText xml:space="preserve"> XE "smrt boha" </w:instrText>
      </w:r>
      <w:r w:rsidR="08163013">
        <w:rPr>
          <w:color w:val="000000"/>
        </w:rPr>
        <w:fldChar w:fldCharType="end"/>
      </w:r>
      <w:r w:rsidR="08163013">
        <w:t xml:space="preserve"> člověk tvoří sám sebe a tím také tvoří </w:t>
      </w:r>
      <w:r w:rsidR="08163013" w:rsidRPr="0039528F">
        <w:rPr>
          <w:i/>
        </w:rPr>
        <w:t>ex nihilo</w:t>
      </w:r>
      <w:r w:rsidR="08163013">
        <w:t xml:space="preserve"> všechny ostatní </w:t>
      </w:r>
      <w:r w:rsidR="08390514">
        <w:t xml:space="preserve">filosofické významy. Humanitní vědy pak </w:t>
      </w:r>
      <w:r w:rsidR="08163013">
        <w:t xml:space="preserve">navazují na spekulativní základ teoretických věd daných v modu postmoderní karteziánské </w:t>
      </w:r>
      <w:r w:rsidR="08163013" w:rsidRPr="00E656E8">
        <w:rPr>
          <w:i/>
        </w:rPr>
        <w:t>mathesis univer</w:t>
      </w:r>
      <w:r w:rsidR="08163013">
        <w:rPr>
          <w:i/>
        </w:rPr>
        <w:t>s</w:t>
      </w:r>
      <w:r w:rsidR="08163013" w:rsidRPr="00E656E8">
        <w:rPr>
          <w:i/>
        </w:rPr>
        <w:t>alis</w:t>
      </w:r>
      <w:r w:rsidR="08163013">
        <w:t xml:space="preserve"> vzniklé již v 17. století. Strukturalista Foucault upozorní na to, že ve věku dokonaného nihilismu už neplatí v oboru současných věd o člověku věta o rozdílné racionalitě boží produkce a lidského poznání, kterou ještě držela karteziánská postmoderna. Současné myšlení objektivních humanitních věd produkuje nové </w:t>
      </w:r>
      <w:r w:rsidR="08163013" w:rsidRPr="00E21653">
        <w:rPr>
          <w:i/>
        </w:rPr>
        <w:lastRenderedPageBreak/>
        <w:t>scibile</w:t>
      </w:r>
      <w:r w:rsidR="08163013">
        <w:t xml:space="preserve"> zvané „člověk“ skrze iracionální pohyb strukturální diference v rámci postmoderního </w:t>
      </w:r>
      <w:r w:rsidR="08163013" w:rsidRPr="00E21653">
        <w:rPr>
          <w:i/>
        </w:rPr>
        <w:t>Arbor Porphyriana</w:t>
      </w:r>
      <w:r w:rsidR="08163013">
        <w:rPr>
          <w:i/>
        </w:rPr>
        <w:fldChar w:fldCharType="begin"/>
      </w:r>
      <w:r w:rsidR="08163013">
        <w:instrText xml:space="preserve"> XE "</w:instrText>
      </w:r>
      <w:r w:rsidR="08163013" w:rsidRPr="00227C7B">
        <w:rPr>
          <w:i/>
        </w:rPr>
        <w:instrText>Arbor Porphyriana</w:instrText>
      </w:r>
      <w:r w:rsidR="08163013">
        <w:instrText xml:space="preserve">" </w:instrText>
      </w:r>
      <w:r w:rsidR="08163013">
        <w:rPr>
          <w:i/>
        </w:rPr>
        <w:fldChar w:fldCharType="end"/>
      </w:r>
      <w:r w:rsidR="08163013">
        <w:t xml:space="preserve">. </w:t>
      </w:r>
      <w:r w:rsidR="08055089">
        <w:t xml:space="preserve">Viz výše uvedený citát Foucaulta, který zakládá nové místo vzniku humanitních věd </w:t>
      </w:r>
      <w:r w:rsidR="08055089" w:rsidRPr="081942A4">
        <w:rPr>
          <w:szCs w:val="24"/>
        </w:rPr>
        <w:t>(</w:t>
      </w:r>
      <w:r w:rsidR="08055089" w:rsidRPr="002C29B7">
        <w:rPr>
          <w:i/>
        </w:rPr>
        <w:t>le «lieu» de l'événement</w:t>
      </w:r>
      <w:r w:rsidR="08055089">
        <w:t xml:space="preserve">). </w:t>
      </w:r>
      <w:r w:rsidR="08163013">
        <w:t>Toto sofistické simulákrum druhého averroismu v podobě demiurgického</w:t>
      </w:r>
      <w:r w:rsidR="08163013" w:rsidRPr="00CA2BD2">
        <w:t xml:space="preserve"> </w:t>
      </w:r>
      <w:r w:rsidR="08163013" w:rsidRPr="003F6FB2">
        <w:rPr>
          <w:i/>
        </w:rPr>
        <w:t>factum</w:t>
      </w:r>
      <w:r w:rsidR="08163013">
        <w:rPr>
          <w:i/>
        </w:rPr>
        <w:fldChar w:fldCharType="begin"/>
      </w:r>
      <w:r w:rsidR="08163013">
        <w:instrText xml:space="preserve"> XE "</w:instrText>
      </w:r>
      <w:r w:rsidR="08163013" w:rsidRPr="0012277B">
        <w:rPr>
          <w:i/>
        </w:rPr>
        <w:instrText>factum</w:instrText>
      </w:r>
      <w:r w:rsidR="08163013">
        <w:instrText xml:space="preserve">" </w:instrText>
      </w:r>
      <w:r w:rsidR="08163013">
        <w:rPr>
          <w:i/>
        </w:rPr>
        <w:fldChar w:fldCharType="end"/>
      </w:r>
      <w:r w:rsidR="08163013">
        <w:t xml:space="preserve"> a </w:t>
      </w:r>
      <w:r w:rsidR="00A92A55">
        <w:rPr>
          <w:i/>
        </w:rPr>
        <w:t xml:space="preserve">concretum </w:t>
      </w:r>
      <w:r w:rsidR="08163013">
        <w:t xml:space="preserve">představil Foucault jako završení </w:t>
      </w:r>
      <w:r w:rsidR="08163013" w:rsidRPr="00CA2BD2">
        <w:t xml:space="preserve">postmoderní </w:t>
      </w:r>
      <w:r w:rsidR="08163013" w:rsidRPr="00403B97">
        <w:rPr>
          <w:i/>
        </w:rPr>
        <w:t>epistémé</w:t>
      </w:r>
      <w:r w:rsidR="08163013">
        <w:rPr>
          <w:i/>
        </w:rPr>
        <w:fldChar w:fldCharType="begin"/>
      </w:r>
      <w:r w:rsidR="08163013">
        <w:instrText xml:space="preserve"> XE "</w:instrText>
      </w:r>
      <w:r w:rsidR="08163013" w:rsidRPr="005B05F0">
        <w:rPr>
          <w:i/>
        </w:rPr>
        <w:instrText>epistémé</w:instrText>
      </w:r>
      <w:r w:rsidR="08163013">
        <w:instrText xml:space="preserve">" </w:instrText>
      </w:r>
      <w:r w:rsidR="08163013">
        <w:rPr>
          <w:i/>
        </w:rPr>
        <w:fldChar w:fldCharType="end"/>
      </w:r>
      <w:r w:rsidR="08163013">
        <w:t xml:space="preserve">. Nový dvojník </w:t>
      </w:r>
      <w:r w:rsidR="081F6692">
        <w:t xml:space="preserve">reálné osoby </w:t>
      </w:r>
      <w:r w:rsidR="08163013">
        <w:t>vzniklý z</w:t>
      </w:r>
      <w:r w:rsidR="00174419">
        <w:t> </w:t>
      </w:r>
      <w:r w:rsidR="08163013">
        <w:t>ničeho</w:t>
      </w:r>
      <w:r w:rsidR="00174419">
        <w:t xml:space="preserve"> </w:t>
      </w:r>
      <w:r w:rsidR="00174419">
        <w:rPr>
          <w:szCs w:val="24"/>
          <w:lang w:val="de-DE"/>
        </w:rPr>
        <w:t>(viz lingvistický pojem „</w:t>
      </w:r>
      <w:r w:rsidR="00174419" w:rsidRPr="003B6691">
        <w:rPr>
          <w:i/>
          <w:szCs w:val="24"/>
          <w:lang w:val="de-DE"/>
        </w:rPr>
        <w:t>valeur</w:t>
      </w:r>
      <w:r w:rsidR="00174419">
        <w:rPr>
          <w:szCs w:val="24"/>
          <w:lang w:val="de-DE"/>
        </w:rPr>
        <w:t xml:space="preserve">“ </w:t>
      </w:r>
      <w:r w:rsidR="00293817">
        <w:rPr>
          <w:szCs w:val="24"/>
          <w:lang w:val="de-DE"/>
        </w:rPr>
        <w:t xml:space="preserve">od </w:t>
      </w:r>
      <w:proofErr w:type="gramStart"/>
      <w:r w:rsidR="00174419">
        <w:rPr>
          <w:szCs w:val="24"/>
          <w:lang w:val="de-DE"/>
        </w:rPr>
        <w:t>Saussura</w:t>
      </w:r>
      <w:proofErr w:type="gramEnd"/>
      <w:r w:rsidR="00174419" w:rsidRPr="003B6691">
        <w:rPr>
          <w:szCs w:val="24"/>
          <w:lang w:val="de-DE"/>
        </w:rPr>
        <w:t xml:space="preserve">) </w:t>
      </w:r>
      <w:r w:rsidR="08163013">
        <w:t>oddělil antropologické určení člověka v epoše nihilismu od pře</w:t>
      </w:r>
      <w:r w:rsidR="08733A83">
        <w:t xml:space="preserve">dešlé karteziánské postmoderny. </w:t>
      </w:r>
      <w:r w:rsidR="00EC71B0">
        <w:rPr>
          <w:bCs/>
          <w:iCs/>
        </w:rPr>
        <w:t xml:space="preserve">Epocha metafyzického nihilismu dala poznání do roviny čisté diferenciace lingvistického významu a do procesu nekonečné metaforizace vědy. </w:t>
      </w:r>
      <w:r w:rsidR="08163013" w:rsidRPr="00CA2BD2">
        <w:t>Foucaultovo</w:t>
      </w:r>
      <w:r w:rsidR="08163013">
        <w:fldChar w:fldCharType="begin"/>
      </w:r>
      <w:r w:rsidR="08163013">
        <w:instrText xml:space="preserve"> XE "</w:instrText>
      </w:r>
      <w:r w:rsidR="08163013" w:rsidRPr="000E387F">
        <w:instrText>Foucault, M.</w:instrText>
      </w:r>
      <w:r w:rsidR="08163013">
        <w:instrText xml:space="preserve">" </w:instrText>
      </w:r>
      <w:r w:rsidR="08163013">
        <w:fldChar w:fldCharType="end"/>
      </w:r>
      <w:r w:rsidR="08163013" w:rsidRPr="00CA2BD2">
        <w:t xml:space="preserve"> </w:t>
      </w:r>
      <w:proofErr w:type="gramStart"/>
      <w:r w:rsidR="08163013" w:rsidRPr="00CA2BD2">
        <w:t xml:space="preserve">dílo  </w:t>
      </w:r>
      <w:r w:rsidR="08163013" w:rsidRPr="00CA2BD2">
        <w:rPr>
          <w:i/>
        </w:rPr>
        <w:t>Les</w:t>
      </w:r>
      <w:proofErr w:type="gramEnd"/>
      <w:r w:rsidR="08163013" w:rsidRPr="00CA2BD2">
        <w:rPr>
          <w:i/>
        </w:rPr>
        <w:t xml:space="preserve"> mots et les choses</w:t>
      </w:r>
      <w:r w:rsidR="08163013" w:rsidRPr="00CA2BD2">
        <w:t xml:space="preserve"> potvrdilo základní charakteristiku </w:t>
      </w:r>
      <w:r w:rsidR="08163013">
        <w:t xml:space="preserve">nihilistického Adama v deváté kapitole výstižně nazvané </w:t>
      </w:r>
      <w:r w:rsidR="00D0183D">
        <w:rPr>
          <w:i/>
        </w:rPr>
        <w:t>L</w:t>
      </w:r>
      <w:r w:rsidR="00D0183D">
        <w:rPr>
          <w:rFonts w:cs="Calibri"/>
          <w:i/>
        </w:rPr>
        <w:t>′</w:t>
      </w:r>
      <w:r w:rsidR="08163013" w:rsidRPr="00A67944">
        <w:rPr>
          <w:i/>
        </w:rPr>
        <w:t>homme et ses doubles</w:t>
      </w:r>
      <w:r w:rsidR="08163013">
        <w:t xml:space="preserve">. Dalším nahrazením simulákra neoplatonského Filóna a moderního Bonaventury vznikl současný nihilistický Adam. </w:t>
      </w:r>
      <w:r w:rsidR="00EF7397" w:rsidRPr="00EF7397">
        <w:t>Jeho objektivní racionalita zcela zmizela</w:t>
      </w:r>
      <w:r w:rsidR="00EF7397">
        <w:t xml:space="preserve"> a </w:t>
      </w:r>
      <w:r w:rsidR="00EF7397" w:rsidRPr="00EF7397">
        <w:t>je tvořena pouz</w:t>
      </w:r>
      <w:r w:rsidR="00EF7397">
        <w:t>e pohybem strukturálních diferencí</w:t>
      </w:r>
      <w:r w:rsidR="00EF7397" w:rsidRPr="00EF7397">
        <w:t>. Jedná se tedy o typický produkt, kte</w:t>
      </w:r>
      <w:r w:rsidR="00EF7397">
        <w:t xml:space="preserve">rý provozují nihilistické Fúrie. </w:t>
      </w:r>
      <w:r w:rsidR="08163013">
        <w:t xml:space="preserve">Bonaventura </w:t>
      </w:r>
      <w:r w:rsidR="08163013" w:rsidRPr="00273106">
        <w:t>vykonal po vzoru Jamblicha nové dílo křesťanské theurgie</w:t>
      </w:r>
      <w:r w:rsidR="08163013">
        <w:fldChar w:fldCharType="begin"/>
      </w:r>
      <w:r w:rsidR="08163013">
        <w:instrText xml:space="preserve"> XE "</w:instrText>
      </w:r>
      <w:r w:rsidR="08163013" w:rsidRPr="009476DF">
        <w:instrText>theurgie</w:instrText>
      </w:r>
      <w:r w:rsidR="08163013">
        <w:instrText xml:space="preserve">" </w:instrText>
      </w:r>
      <w:r w:rsidR="08163013">
        <w:fldChar w:fldCharType="end"/>
      </w:r>
      <w:r w:rsidR="08163013" w:rsidRPr="00273106">
        <w:t>.</w:t>
      </w:r>
      <w:r w:rsidR="08163013" w:rsidRPr="008437A6">
        <w:t xml:space="preserve"> </w:t>
      </w:r>
      <w:r w:rsidR="08163013">
        <w:t>Serafínský doktor se usadil v novém zásvětí ducha, který první averroismus vyhradil pouze andělským inteligencím. Korupce nejlepšího je nejhorší zlo, což ukázaly nihilistické rysy moderny</w:t>
      </w:r>
      <w:r w:rsidR="08D82905">
        <w:t xml:space="preserve"> a postmoderny</w:t>
      </w:r>
      <w:r w:rsidR="08163013">
        <w:t xml:space="preserve">. Postmoderna udělala z objektivního určení člověka strukturálně-antropologický konstrukt tvořený rozdílem jedničky a nuly, čili formy plně dané </w:t>
      </w:r>
      <w:r w:rsidR="08163013" w:rsidRPr="0092489C">
        <w:rPr>
          <w:i/>
        </w:rPr>
        <w:t>ex nihilo</w:t>
      </w:r>
      <w:r w:rsidR="08163013">
        <w:t xml:space="preserve">. Věda ve věku metafyzického nihilismu nahradila teologický </w:t>
      </w:r>
      <w:r w:rsidR="08163013" w:rsidRPr="00E64DC1">
        <w:rPr>
          <w:i/>
        </w:rPr>
        <w:t>dativu</w:t>
      </w:r>
      <w:r w:rsidR="08163013">
        <w:rPr>
          <w:i/>
        </w:rPr>
        <w:t>s</w:t>
      </w:r>
      <w:r w:rsidR="08163013" w:rsidRPr="00E64DC1">
        <w:rPr>
          <w:i/>
        </w:rPr>
        <w:t xml:space="preserve"> auctoris</w:t>
      </w:r>
      <w:r w:rsidR="08163013">
        <w:rPr>
          <w:i/>
        </w:rPr>
        <w:fldChar w:fldCharType="begin"/>
      </w:r>
      <w:r w:rsidR="08163013">
        <w:instrText xml:space="preserve"> XE "</w:instrText>
      </w:r>
      <w:r w:rsidR="08163013" w:rsidRPr="00C5228F">
        <w:rPr>
          <w:i/>
          <w:iCs/>
        </w:rPr>
        <w:instrText>dativus auctoris</w:instrText>
      </w:r>
      <w:r w:rsidR="08163013">
        <w:instrText xml:space="preserve">" </w:instrText>
      </w:r>
      <w:r w:rsidR="08163013">
        <w:rPr>
          <w:i/>
        </w:rPr>
        <w:fldChar w:fldCharType="end"/>
      </w:r>
      <w:r w:rsidR="08163013">
        <w:t xml:space="preserve"> daný v Kilwardbyho díle </w:t>
      </w:r>
      <w:r w:rsidR="08163013" w:rsidRPr="005C4417">
        <w:rPr>
          <w:i/>
        </w:rPr>
        <w:t>De ortu scientiarum</w:t>
      </w:r>
      <w:r w:rsidR="08163013">
        <w:t xml:space="preserve"> a u Bonaventury pohybem strukturální diference a nekonečným metaforickým přenosem významu. Současná produkce </w:t>
      </w:r>
      <w:r w:rsidR="00AB2927">
        <w:t xml:space="preserve">individua </w:t>
      </w:r>
      <w:r w:rsidR="08163013">
        <w:t>zvaného „člověk“ jde od biologické, ekonomické a jazykové produkce simuláker. Nynější poznání vytváří „</w:t>
      </w:r>
      <w:r w:rsidR="00AB2927">
        <w:t>lidskou bytost</w:t>
      </w:r>
      <w:r w:rsidR="08163013">
        <w:t>“ jako objekt vědění a demiurgicky jej manipuluje v rámci příslušné biomoci</w:t>
      </w:r>
      <w:r w:rsidR="08D82905">
        <w:t xml:space="preserve"> (Foucaultova le </w:t>
      </w:r>
      <w:r w:rsidR="08D82905">
        <w:rPr>
          <w:i/>
          <w:iCs/>
        </w:rPr>
        <w:t>biopouvoir</w:t>
      </w:r>
      <w:r w:rsidR="08D82905" w:rsidRPr="08D82905">
        <w:rPr>
          <w:iCs/>
        </w:rPr>
        <w:t>)</w:t>
      </w:r>
      <w:r w:rsidR="08163013">
        <w:t xml:space="preserve">, světových a lokálních válek a globálního ničení světa. </w:t>
      </w:r>
    </w:p>
    <w:p w:rsidR="08163013" w:rsidRPr="005D76D3" w:rsidRDefault="005D76D3" w:rsidP="005D76D3">
      <w:pPr>
        <w:pStyle w:val="Nadpis3"/>
      </w:pPr>
      <w:bookmarkStart w:id="13" w:name="_Toc36144135"/>
      <w:r>
        <w:br w:type="page"/>
      </w:r>
      <w:bookmarkStart w:id="14" w:name="_Toc180231647"/>
      <w:r w:rsidR="08163013" w:rsidRPr="005D76D3">
        <w:lastRenderedPageBreak/>
        <w:t>4.1.4 Zrození kapitalistického demiurga</w:t>
      </w:r>
      <w:bookmarkEnd w:id="13"/>
      <w:bookmarkEnd w:id="14"/>
    </w:p>
    <w:p w:rsidR="001659D9" w:rsidRDefault="005A6C45" w:rsidP="00730CD9">
      <w:r>
        <w:t xml:space="preserve">Pařížská spirituální inteligence pod vedením Bonaventury převedla moderní verzi </w:t>
      </w:r>
      <w:r w:rsidRPr="00547175">
        <w:rPr>
          <w:i/>
        </w:rPr>
        <w:t>Oxfordian Fallacy</w:t>
      </w:r>
      <w:r>
        <w:rPr>
          <w:i/>
        </w:rPr>
        <w:fldChar w:fldCharType="begin"/>
      </w:r>
      <w:r>
        <w:instrText xml:space="preserve"> XE "</w:instrText>
      </w:r>
      <w:r w:rsidRPr="0015798D">
        <w:rPr>
          <w:i/>
        </w:rPr>
        <w:instrText>Oxfordian Fallacy:</w:instrText>
      </w:r>
      <w:r w:rsidRPr="0015798D">
        <w:instrText>původ</w:instrText>
      </w:r>
      <w:r>
        <w:instrText xml:space="preserve">" </w:instrText>
      </w:r>
      <w:r>
        <w:rPr>
          <w:i/>
        </w:rPr>
        <w:fldChar w:fldCharType="end"/>
      </w:r>
      <w:r>
        <w:t xml:space="preserve"> do ontoteologie. Tato fáze byla ukončena roku 1255, kdy </w:t>
      </w:r>
      <w:r w:rsidR="00E55860">
        <w:t>bylo oficiálně povoleno vyučovat modernistickou</w:t>
      </w:r>
      <w:r>
        <w:t xml:space="preserve"> metafyz</w:t>
      </w:r>
      <w:r w:rsidR="00E55860">
        <w:t>iku</w:t>
      </w:r>
      <w:r>
        <w:t xml:space="preserve"> na nově zřízené fakultě Pařížské univerzity. V této mendikantské líhni </w:t>
      </w:r>
      <w:r w:rsidR="00066D82">
        <w:t xml:space="preserve">moderny </w:t>
      </w:r>
      <w:r>
        <w:t xml:space="preserve">se </w:t>
      </w:r>
      <w:r w:rsidR="00066D82">
        <w:t xml:space="preserve">formovaly </w:t>
      </w:r>
      <w:r>
        <w:t xml:space="preserve">další generace již plně oddané objektivním formám </w:t>
      </w:r>
      <w:r w:rsidRPr="08C12A6D">
        <w:rPr>
          <w:i/>
        </w:rPr>
        <w:t>Oxfordian Fallacy</w:t>
      </w:r>
      <w:r>
        <w:t>. Objektivita bytující od roku 1240 v odhalenosti (</w:t>
      </w:r>
      <w:r>
        <w:rPr>
          <w:i/>
        </w:rPr>
        <w:t>a</w:t>
      </w:r>
      <w:r w:rsidRPr="00547175">
        <w:rPr>
          <w:i/>
        </w:rPr>
        <w:t>létheia</w:t>
      </w:r>
      <w:r>
        <w:rPr>
          <w:i/>
        </w:rPr>
        <w:fldChar w:fldCharType="begin"/>
      </w:r>
      <w:r>
        <w:instrText xml:space="preserve"> XE "</w:instrText>
      </w:r>
      <w:r w:rsidRPr="08937E60">
        <w:rPr>
          <w:i/>
          <w:lang w:eastAsia="en-US"/>
        </w:rPr>
        <w:instrText>a/létheia</w:instrText>
      </w:r>
      <w:r>
        <w:instrText xml:space="preserve">" </w:instrText>
      </w:r>
      <w:r>
        <w:rPr>
          <w:i/>
        </w:rPr>
        <w:fldChar w:fldCharType="end"/>
      </w:r>
      <w:r>
        <w:t>) na analytické škole v Oxfordu tím přešla k pojetí akademické objektivity</w:t>
      </w:r>
      <w:r w:rsidR="00066D82">
        <w:t xml:space="preserve">. Její </w:t>
      </w:r>
      <w:r>
        <w:t xml:space="preserve">historické působení </w:t>
      </w:r>
      <w:r w:rsidR="00066D82">
        <w:t xml:space="preserve">je </w:t>
      </w:r>
      <w:r>
        <w:t>dané jako akademická nauka</w:t>
      </w:r>
      <w:r w:rsidR="00066D82">
        <w:t xml:space="preserve"> skrze objektivní </w:t>
      </w:r>
      <w:r w:rsidR="00066D82" w:rsidRPr="08C12A6D">
        <w:rPr>
          <w:i/>
        </w:rPr>
        <w:t>veritas</w:t>
      </w:r>
      <w:r w:rsidR="00D7194E">
        <w:t>. Zavedení</w:t>
      </w:r>
      <w:r>
        <w:t xml:space="preserve"> exemplarů převzatých od Grossetesteho výkladu </w:t>
      </w:r>
      <w:r w:rsidRPr="00C06500">
        <w:rPr>
          <w:i/>
        </w:rPr>
        <w:t>Druhých analytik</w:t>
      </w:r>
      <w:r>
        <w:t xml:space="preserve"> </w:t>
      </w:r>
      <w:r w:rsidR="00D7194E">
        <w:t xml:space="preserve">byl důležitý krok. Na </w:t>
      </w:r>
      <w:r>
        <w:t xml:space="preserve">úrovni božího poznání </w:t>
      </w:r>
      <w:r w:rsidR="00D7194E">
        <w:t xml:space="preserve">vznikla první </w:t>
      </w:r>
      <w:r w:rsidRPr="00273106">
        <w:t xml:space="preserve">forma objektivity </w:t>
      </w:r>
      <w:r>
        <w:t>(</w:t>
      </w:r>
      <w:r w:rsidRPr="00504B62">
        <w:rPr>
          <w:i/>
        </w:rPr>
        <w:t>rationes exemplares</w:t>
      </w:r>
      <w:r>
        <w:t xml:space="preserve">). Tyto objektivně určené </w:t>
      </w:r>
      <w:r w:rsidR="00127D5B">
        <w:t xml:space="preserve">esence </w:t>
      </w:r>
      <w:r>
        <w:t xml:space="preserve">jsou dány v boží mysli </w:t>
      </w:r>
      <w:r w:rsidRPr="00273106">
        <w:t xml:space="preserve">v podobě </w:t>
      </w:r>
      <w:r>
        <w:t xml:space="preserve">ontoteologických hypostází. První forma objektivity </w:t>
      </w:r>
      <w:r w:rsidRPr="00273106">
        <w:t>j</w:t>
      </w:r>
      <w:r>
        <w:t>e</w:t>
      </w:r>
      <w:r w:rsidRPr="00273106">
        <w:t xml:space="preserve"> potencí </w:t>
      </w:r>
      <w:r>
        <w:t xml:space="preserve">samotného </w:t>
      </w:r>
      <w:r w:rsidRPr="00273106">
        <w:t>Stvořitele</w:t>
      </w:r>
      <w:r>
        <w:t xml:space="preserve"> jako čisté aktuality ničím neomezeného bytí. Druhá forma objektivity je dána v pojetí univerzálního hylemorfismu</w:t>
      </w:r>
      <w:r>
        <w:fldChar w:fldCharType="begin"/>
      </w:r>
      <w:r>
        <w:instrText xml:space="preserve"> XE "</w:instrText>
      </w:r>
      <w:r w:rsidRPr="00423560">
        <w:instrText>univerzální hylemorfismus</w:instrText>
      </w:r>
      <w:r>
        <w:instrText xml:space="preserve">" </w:instrText>
      </w:r>
      <w:r>
        <w:fldChar w:fldCharType="end"/>
      </w:r>
      <w:r>
        <w:t xml:space="preserve"> a m</w:t>
      </w:r>
      <w:r w:rsidR="00FD1EF4">
        <w:t>atematizace míry, počtu a váhy</w:t>
      </w:r>
      <w:r>
        <w:t>. Oddělený svět božích vlastností daný</w:t>
      </w:r>
      <w:r w:rsidRPr="00273106">
        <w:t xml:space="preserve"> exemplárně je </w:t>
      </w:r>
      <w:r>
        <w:t>díky demiurgické vůli a elementární chtivosti materie po formě zrcadlen</w:t>
      </w:r>
      <w:r w:rsidRPr="00273106">
        <w:t xml:space="preserve"> v seminálně</w:t>
      </w:r>
      <w:r>
        <w:t>-racionálním charakteru stvoření</w:t>
      </w:r>
      <w:r w:rsidRPr="00273106">
        <w:t>.</w:t>
      </w:r>
      <w:r>
        <w:t xml:space="preserve"> Převedení exemplární demiurgické racionality skrze akt stvořitelské vůle do stvoření vytváří sféru objektivity v podobě </w:t>
      </w:r>
      <w:r w:rsidRPr="000350F0">
        <w:rPr>
          <w:i/>
        </w:rPr>
        <w:t>rationes seminales</w:t>
      </w:r>
      <w:r>
        <w:t xml:space="preserve">, které tvoří hypostatickou unii s metafyzikou prvních substancí. </w:t>
      </w:r>
      <w:r w:rsidR="00307886">
        <w:t>Demiurgická objektivita sleduje dvojí reguli a dvojí chtivost navázané na materii a formu třetího druhu a na reálnou kauzalitu světa. N</w:t>
      </w:r>
      <w:r w:rsidR="00307886" w:rsidRPr="00273106">
        <w:t>ový filosofický mýtus Západu</w:t>
      </w:r>
      <w:r w:rsidR="00307886">
        <w:t xml:space="preserve"> založil novou formu objektivní racionality a nutnosti. Bonaventura převyprávěl první den stvoření daný v </w:t>
      </w:r>
      <w:r w:rsidR="00307886" w:rsidRPr="006F48DF">
        <w:rPr>
          <w:i/>
        </w:rPr>
        <w:t>Genesis</w:t>
      </w:r>
      <w:r w:rsidR="00307886">
        <w:t xml:space="preserve"> do metafyziky. Podobně to udělal v prvním století po Kristu neoplatonik Filón Alexandrijský pro </w:t>
      </w:r>
      <w:r w:rsidR="00307886" w:rsidRPr="001A6FA5">
        <w:rPr>
          <w:i/>
        </w:rPr>
        <w:t>Pentateuch</w:t>
      </w:r>
      <w:r w:rsidR="00307886">
        <w:t xml:space="preserve">. Tímto epochálním činem založil Bonaventura novou filosofickou bajku pro modernisty po vzoru dialogu </w:t>
      </w:r>
      <w:r w:rsidR="00307886" w:rsidRPr="08614E44">
        <w:rPr>
          <w:i/>
        </w:rPr>
        <w:t>Timaios</w:t>
      </w:r>
      <w:r w:rsidR="00307886">
        <w:fldChar w:fldCharType="begin"/>
      </w:r>
      <w:r w:rsidR="00307886">
        <w:instrText xml:space="preserve"> XE "dialog </w:instrText>
      </w:r>
      <w:r w:rsidR="00307886" w:rsidRPr="081325FA">
        <w:rPr>
          <w:i/>
        </w:rPr>
        <w:instrText>Timaios</w:instrText>
      </w:r>
      <w:r w:rsidR="00307886">
        <w:instrText xml:space="preserve">" </w:instrText>
      </w:r>
      <w:r w:rsidR="00307886">
        <w:fldChar w:fldCharType="end"/>
      </w:r>
      <w:r w:rsidR="00307886">
        <w:t xml:space="preserve">. Tato mytopoetika dodnes tvoří metafyzické </w:t>
      </w:r>
      <w:r w:rsidR="00307886" w:rsidRPr="08614E44">
        <w:rPr>
          <w:i/>
        </w:rPr>
        <w:t>Gründung</w:t>
      </w:r>
      <w:r w:rsidR="00307886">
        <w:rPr>
          <w:i/>
        </w:rPr>
        <w:fldChar w:fldCharType="begin"/>
      </w:r>
      <w:r w:rsidR="00307886">
        <w:instrText xml:space="preserve"> XE "</w:instrText>
      </w:r>
      <w:r w:rsidR="00307886" w:rsidRPr="08156A22">
        <w:rPr>
          <w:i/>
        </w:rPr>
        <w:instrText>Gründung</w:instrText>
      </w:r>
      <w:r w:rsidR="00307886">
        <w:instrText xml:space="preserve">" </w:instrText>
      </w:r>
      <w:r w:rsidR="00307886">
        <w:rPr>
          <w:i/>
        </w:rPr>
        <w:fldChar w:fldCharType="end"/>
      </w:r>
      <w:r w:rsidR="00307886">
        <w:t xml:space="preserve"> a kolonizační étos západní objektivity. Nový typ Jamblichova diakosmu vytvořila stvořitelská intence daná potenciálně v boží esenci. Intence vzhledem k aktuálnímu stvoření reálně-substančně neexistuje, ale je víc než čistou aristotelskou potencí. </w:t>
      </w:r>
      <w:r w:rsidR="00307886" w:rsidRPr="00273106">
        <w:t xml:space="preserve">Objektivitě stvořitelského a tvořitelského </w:t>
      </w:r>
      <w:r w:rsidR="00307886">
        <w:t>„</w:t>
      </w:r>
      <w:r w:rsidR="00307886" w:rsidRPr="00273106">
        <w:rPr>
          <w:i/>
        </w:rPr>
        <w:t>operatio</w:t>
      </w:r>
      <w:r w:rsidR="00307886">
        <w:t>“</w:t>
      </w:r>
      <w:r w:rsidR="00307886" w:rsidRPr="00273106">
        <w:t xml:space="preserve"> odpovídá v díle </w:t>
      </w:r>
      <w:r w:rsidR="00307886" w:rsidRPr="00273106">
        <w:rPr>
          <w:i/>
        </w:rPr>
        <w:t>Itinerarium mentis in Deum</w:t>
      </w:r>
      <w:r w:rsidR="00307886" w:rsidRPr="00273106">
        <w:t xml:space="preserve"> dvojí cesta subjektu</w:t>
      </w:r>
      <w:r w:rsidR="00307886">
        <w:t xml:space="preserve">. Osvícený demiurg </w:t>
      </w:r>
      <w:r w:rsidR="00307886" w:rsidRPr="00273106">
        <w:t xml:space="preserve">překročí </w:t>
      </w:r>
      <w:r w:rsidR="00307886">
        <w:t xml:space="preserve">reálnou </w:t>
      </w:r>
      <w:r w:rsidR="00307886" w:rsidRPr="00273106">
        <w:t xml:space="preserve">substanci v aktu poznání </w:t>
      </w:r>
      <w:r w:rsidR="00307886">
        <w:t>dvojí regule (</w:t>
      </w:r>
      <w:r w:rsidR="00307886" w:rsidRPr="00273106">
        <w:rPr>
          <w:i/>
        </w:rPr>
        <w:t>regula agentis creati</w:t>
      </w:r>
      <w:r w:rsidR="00307886" w:rsidRPr="00273106">
        <w:t xml:space="preserve">, </w:t>
      </w:r>
      <w:r w:rsidR="00307886" w:rsidRPr="00273106">
        <w:rPr>
          <w:i/>
        </w:rPr>
        <w:t>increati</w:t>
      </w:r>
      <w:r w:rsidR="00307886">
        <w:fldChar w:fldCharType="begin"/>
      </w:r>
      <w:r w:rsidR="00307886">
        <w:instrText xml:space="preserve"> XE "</w:instrText>
      </w:r>
      <w:r w:rsidR="00307886" w:rsidRPr="00B83CB8">
        <w:instrText>regule</w:instrText>
      </w:r>
      <w:r w:rsidR="00307886">
        <w:instrText>:</w:instrText>
      </w:r>
      <w:r w:rsidR="00307886" w:rsidRPr="005E70F0">
        <w:rPr>
          <w:i/>
        </w:rPr>
        <w:instrText>agentis in/creati</w:instrText>
      </w:r>
      <w:r w:rsidR="00307886">
        <w:instrText xml:space="preserve">" </w:instrText>
      </w:r>
      <w:r w:rsidR="00307886">
        <w:fldChar w:fldCharType="end"/>
      </w:r>
      <w:r w:rsidR="00307886">
        <w:t xml:space="preserve">) </w:t>
      </w:r>
      <w:r w:rsidR="00307886" w:rsidRPr="00273106">
        <w:t xml:space="preserve">a transcenduje směrem k bohu </w:t>
      </w:r>
      <w:r w:rsidR="00307886" w:rsidRPr="00273106">
        <w:lastRenderedPageBreak/>
        <w:t>v </w:t>
      </w:r>
      <w:r w:rsidR="00307886">
        <w:t xml:space="preserve">neoplatonském a mystickém </w:t>
      </w:r>
      <w:r w:rsidR="00307886" w:rsidRPr="00273106">
        <w:t xml:space="preserve">excesu </w:t>
      </w:r>
      <w:r w:rsidR="00307886">
        <w:t>mysli (</w:t>
      </w:r>
      <w:r w:rsidR="00307886" w:rsidRPr="0005693B">
        <w:rPr>
          <w:bCs/>
          <w:i/>
        </w:rPr>
        <w:t>excessum mentis</w:t>
      </w:r>
      <w:r w:rsidR="00307886">
        <w:t>)</w:t>
      </w:r>
      <w:r w:rsidR="00307886" w:rsidRPr="00273106">
        <w:t>.</w:t>
      </w:r>
      <w:r w:rsidR="00307886">
        <w:t xml:space="preserve"> Cesta </w:t>
      </w:r>
      <w:r w:rsidR="00307886" w:rsidRPr="00A67F71">
        <w:rPr>
          <w:i/>
        </w:rPr>
        <w:t>Moder</w:t>
      </w:r>
      <w:r w:rsidR="00307886">
        <w:rPr>
          <w:i/>
        </w:rPr>
        <w:t>n</w:t>
      </w:r>
      <w:r w:rsidR="00307886" w:rsidRPr="00A67F71">
        <w:rPr>
          <w:i/>
        </w:rPr>
        <w:t>orum</w:t>
      </w:r>
      <w:r w:rsidR="00307886">
        <w:t xml:space="preserve"> nejprve trvala na ontoteologické konjunkci obou pater regulí. </w:t>
      </w:r>
      <w:r w:rsidR="00307886" w:rsidRPr="000851E2">
        <w:t xml:space="preserve">Ilumináti musí dobýt svět z kazatelny </w:t>
      </w:r>
      <w:r w:rsidR="00496F10">
        <w:t xml:space="preserve">v kostele </w:t>
      </w:r>
      <w:r w:rsidR="00307886" w:rsidRPr="000851E2">
        <w:t xml:space="preserve">a z akademického křesla. </w:t>
      </w:r>
      <w:r w:rsidR="00307886">
        <w:t xml:space="preserve">Proto </w:t>
      </w:r>
      <w:r w:rsidR="009D46C7">
        <w:t xml:space="preserve">ilumináti se vždy </w:t>
      </w:r>
      <w:r w:rsidR="00307886">
        <w:t xml:space="preserve">musí </w:t>
      </w:r>
      <w:r w:rsidR="00307886" w:rsidRPr="000851E2">
        <w:t xml:space="preserve">připojit k tyranům, aby </w:t>
      </w:r>
      <w:r w:rsidR="009D46C7">
        <w:t xml:space="preserve">mohli manipulovat </w:t>
      </w:r>
      <w:r w:rsidR="00307886" w:rsidRPr="000851E2">
        <w:t>křížové výpravy</w:t>
      </w:r>
      <w:r w:rsidR="0032643F">
        <w:t>, které u</w:t>
      </w:r>
      <w:r w:rsidR="00307886">
        <w:t xml:space="preserve">ž byly v té době </w:t>
      </w:r>
      <w:r w:rsidR="005D1610">
        <w:t xml:space="preserve">ztraceny. Ale moderní filosofie </w:t>
      </w:r>
      <w:r w:rsidR="00307886">
        <w:t>připrav</w:t>
      </w:r>
      <w:r w:rsidR="00A67860">
        <w:t xml:space="preserve">ovala </w:t>
      </w:r>
      <w:r w:rsidR="00307886">
        <w:t xml:space="preserve">půdu pro </w:t>
      </w:r>
      <w:r w:rsidR="00307886" w:rsidRPr="000851E2">
        <w:t>imperialistické války kapitalistického Západu.</w:t>
      </w:r>
    </w:p>
    <w:p w:rsidR="00887008" w:rsidRDefault="005A6C45" w:rsidP="001A6FA5">
      <w:pPr>
        <w:ind w:firstLine="397"/>
      </w:pPr>
      <w:r>
        <w:t xml:space="preserve">Inteligentní vůle demiurga začala regulovat svět podle boží exemplární racionality a podle lidského záměru a vůle. Moderní agent se manifestuje v boží nebo lidské podobě. Pak vyvádí stvořené formy </w:t>
      </w:r>
      <w:r w:rsidRPr="00273106">
        <w:t xml:space="preserve">ze zárodečné, a tudíž vždy dané </w:t>
      </w:r>
      <w:r>
        <w:t xml:space="preserve">objektivní </w:t>
      </w:r>
      <w:r w:rsidRPr="00273106">
        <w:t>potence</w:t>
      </w:r>
      <w:r w:rsidRPr="002502A7">
        <w:t xml:space="preserve"> </w:t>
      </w:r>
      <w:r>
        <w:t xml:space="preserve">dané v demiurgickém intelektu a vůli až </w:t>
      </w:r>
      <w:r w:rsidRPr="00273106">
        <w:t>do aktuality.</w:t>
      </w:r>
      <w:r>
        <w:t xml:space="preserve"> Inteligentní vůle demiurga</w:t>
      </w:r>
      <w:r>
        <w:fldChar w:fldCharType="begin"/>
      </w:r>
      <w:r>
        <w:instrText xml:space="preserve"> XE "</w:instrText>
      </w:r>
      <w:r w:rsidRPr="005C2F4A">
        <w:rPr>
          <w:rStyle w:val="addmd"/>
        </w:rPr>
        <w:instrText>demiurg</w:instrText>
      </w:r>
      <w:r>
        <w:instrText xml:space="preserve">" </w:instrText>
      </w:r>
      <w:r>
        <w:fldChar w:fldCharType="end"/>
      </w:r>
      <w:r>
        <w:t xml:space="preserve"> potkává ve světě chtivost materie třetího druhu (</w:t>
      </w:r>
      <w:r w:rsidRPr="00E443D5">
        <w:rPr>
          <w:i/>
        </w:rPr>
        <w:t>appetitus</w:t>
      </w:r>
      <w:r w:rsidR="00A850CD">
        <w:rPr>
          <w:i/>
        </w:rPr>
        <w:fldChar w:fldCharType="begin"/>
      </w:r>
      <w:r w:rsidR="00A850CD">
        <w:instrText xml:space="preserve"> XE "</w:instrText>
      </w:r>
      <w:r w:rsidR="00A850CD" w:rsidRPr="00F57225">
        <w:rPr>
          <w:i/>
        </w:rPr>
        <w:instrText>appetitus</w:instrText>
      </w:r>
      <w:r w:rsidR="00A850CD">
        <w:instrText xml:space="preserve">" </w:instrText>
      </w:r>
      <w:r w:rsidR="00A850CD">
        <w:rPr>
          <w:i/>
        </w:rPr>
        <w:fldChar w:fldCharType="end"/>
      </w:r>
      <w:r>
        <w:t xml:space="preserve">). Seminální ideje utvářejí skrze vůli demiurga </w:t>
      </w:r>
      <w:r w:rsidRPr="00273106">
        <w:t xml:space="preserve">potenciální chtivost </w:t>
      </w:r>
      <w:r>
        <w:t>materie</w:t>
      </w:r>
      <w:r w:rsidR="00E15CB4">
        <w:t xml:space="preserve"> (</w:t>
      </w:r>
      <w:r w:rsidR="00E15CB4" w:rsidRPr="08E873A2">
        <w:rPr>
          <w:i/>
        </w:rPr>
        <w:t>informatio</w:t>
      </w:r>
      <w:r w:rsidR="00E15CB4">
        <w:rPr>
          <w:i/>
        </w:rPr>
        <w:fldChar w:fldCharType="begin"/>
      </w:r>
      <w:r w:rsidR="00E15CB4">
        <w:instrText xml:space="preserve"> XE "</w:instrText>
      </w:r>
      <w:r w:rsidR="00E15CB4" w:rsidRPr="08FA55F4">
        <w:rPr>
          <w:i/>
        </w:rPr>
        <w:instrText>informatio</w:instrText>
      </w:r>
      <w:r w:rsidR="00E15CB4">
        <w:instrText xml:space="preserve">" </w:instrText>
      </w:r>
      <w:r w:rsidR="00E15CB4">
        <w:rPr>
          <w:i/>
        </w:rPr>
        <w:fldChar w:fldCharType="end"/>
      </w:r>
      <w:r w:rsidR="001A6FA5">
        <w:t>)</w:t>
      </w:r>
      <w:r>
        <w:t xml:space="preserve">. První stupeň utvářené materie tvoří výše uvedená </w:t>
      </w:r>
      <w:r w:rsidR="006167A3">
        <w:t>„</w:t>
      </w:r>
      <w:r w:rsidRPr="008F3CA0">
        <w:rPr>
          <w:i/>
        </w:rPr>
        <w:t>materia confusa</w:t>
      </w:r>
      <w:r w:rsidR="006167A3">
        <w:t>“</w:t>
      </w:r>
      <w:r>
        <w:t xml:space="preserve">, jejíž hypostázovaný apetit po formě využívá objektivní boží demiurg. </w:t>
      </w:r>
      <w:r>
        <w:rPr>
          <w:szCs w:val="12"/>
        </w:rPr>
        <w:t xml:space="preserve">Suverénní demiurg </w:t>
      </w:r>
      <w:r w:rsidRPr="00273106">
        <w:rPr>
          <w:szCs w:val="12"/>
        </w:rPr>
        <w:t xml:space="preserve">vybavuje </w:t>
      </w:r>
      <w:r>
        <w:rPr>
          <w:szCs w:val="12"/>
        </w:rPr>
        <w:t xml:space="preserve">aktem vůle </w:t>
      </w:r>
      <w:r w:rsidRPr="00273106">
        <w:rPr>
          <w:szCs w:val="12"/>
        </w:rPr>
        <w:t xml:space="preserve">primární jsoucnost </w:t>
      </w:r>
      <w:r>
        <w:rPr>
          <w:szCs w:val="12"/>
        </w:rPr>
        <w:t xml:space="preserve">konfúzní </w:t>
      </w:r>
      <w:r w:rsidRPr="00273106">
        <w:rPr>
          <w:szCs w:val="12"/>
        </w:rPr>
        <w:t>materie základní aktualitou (</w:t>
      </w:r>
      <w:r w:rsidRPr="00273106">
        <w:rPr>
          <w:i/>
          <w:szCs w:val="14"/>
        </w:rPr>
        <w:t xml:space="preserve">educerentur </w:t>
      </w:r>
      <w:r w:rsidRPr="00273106">
        <w:rPr>
          <w:i/>
          <w:szCs w:val="11"/>
        </w:rPr>
        <w:t xml:space="preserve">in </w:t>
      </w:r>
      <w:r w:rsidRPr="00273106">
        <w:rPr>
          <w:i/>
          <w:szCs w:val="14"/>
        </w:rPr>
        <w:t>actum</w:t>
      </w:r>
      <w:r>
        <w:rPr>
          <w:szCs w:val="14"/>
        </w:rPr>
        <w:t>, kap. 4.1.1</w:t>
      </w:r>
      <w:r w:rsidRPr="00273106">
        <w:t>).</w:t>
      </w:r>
      <w:r>
        <w:t xml:space="preserve"> </w:t>
      </w:r>
      <w:r w:rsidRPr="00273106">
        <w:t xml:space="preserve">Proces </w:t>
      </w:r>
      <w:r>
        <w:t>porretánské „ex</w:t>
      </w:r>
      <w:r w:rsidRPr="00273106">
        <w:t xml:space="preserve">sistence“ </w:t>
      </w:r>
      <w:r>
        <w:t xml:space="preserve">deduktivně zavádí objektivní </w:t>
      </w:r>
      <w:r w:rsidR="00D07647">
        <w:t>„</w:t>
      </w:r>
      <w:proofErr w:type="gramStart"/>
      <w:r w:rsidR="00D07647">
        <w:t>formy</w:t>
      </w:r>
      <w:proofErr w:type="gramEnd"/>
      <w:r w:rsidR="00D07647">
        <w:rPr>
          <w:rFonts w:cs="Calibri"/>
        </w:rPr>
        <w:t>—</w:t>
      </w:r>
      <w:proofErr w:type="gramStart"/>
      <w:r w:rsidR="00D07647">
        <w:t>essence</w:t>
      </w:r>
      <w:proofErr w:type="gramEnd"/>
      <w:r w:rsidR="00D07647">
        <w:t xml:space="preserve">“ </w:t>
      </w:r>
      <w:r>
        <w:t>(</w:t>
      </w:r>
      <w:r w:rsidRPr="00E017C8">
        <w:rPr>
          <w:i/>
        </w:rPr>
        <w:t>rationes seminales</w:t>
      </w:r>
      <w:r>
        <w:t>) do reálné materie determinované hylemorficky. R</w:t>
      </w:r>
      <w:r>
        <w:rPr>
          <w:szCs w:val="14"/>
        </w:rPr>
        <w:t xml:space="preserve">egulovaný demiurgický apetit je veden objektivní nutností, která řídí proces analogického </w:t>
      </w:r>
      <w:r w:rsidRPr="00273106">
        <w:rPr>
          <w:szCs w:val="14"/>
        </w:rPr>
        <w:t xml:space="preserve">usuzování </w:t>
      </w:r>
      <w:r>
        <w:rPr>
          <w:szCs w:val="14"/>
        </w:rPr>
        <w:t>racionálního stvořitele a tvůrce</w:t>
      </w:r>
      <w:r w:rsidRPr="00273106">
        <w:rPr>
          <w:szCs w:val="14"/>
        </w:rPr>
        <w:t>.</w:t>
      </w:r>
      <w:r>
        <w:rPr>
          <w:szCs w:val="14"/>
        </w:rPr>
        <w:t xml:space="preserve"> </w:t>
      </w:r>
      <w:r>
        <w:t xml:space="preserve">Stvořitelský či tvořitelský subjekt má před sebou příslušnou objektivní formu, která představuje specifické </w:t>
      </w:r>
      <w:r w:rsidRPr="003A2565">
        <w:rPr>
          <w:i/>
        </w:rPr>
        <w:t>scibile</w:t>
      </w:r>
      <w:r>
        <w:rPr>
          <w:i/>
        </w:rPr>
        <w:fldChar w:fldCharType="begin"/>
      </w:r>
      <w:r>
        <w:instrText xml:space="preserve"> XE "</w:instrText>
      </w:r>
      <w:r w:rsidRPr="00AA4F67">
        <w:rPr>
          <w:i/>
        </w:rPr>
        <w:instrText>scibile</w:instrText>
      </w:r>
      <w:r>
        <w:instrText xml:space="preserve">" </w:instrText>
      </w:r>
      <w:r>
        <w:rPr>
          <w:i/>
        </w:rPr>
        <w:fldChar w:fldCharType="end"/>
      </w:r>
      <w:r>
        <w:t xml:space="preserve"> (</w:t>
      </w:r>
      <w:r w:rsidRPr="003A2565">
        <w:rPr>
          <w:i/>
        </w:rPr>
        <w:t>ratio exemplaris</w:t>
      </w:r>
      <w:r>
        <w:t xml:space="preserve">, </w:t>
      </w:r>
      <w:r w:rsidRPr="003A2565">
        <w:rPr>
          <w:i/>
        </w:rPr>
        <w:t>seminalis</w:t>
      </w:r>
      <w:r>
        <w:rPr>
          <w:i/>
        </w:rPr>
        <w:fldChar w:fldCharType="begin"/>
      </w:r>
      <w:r>
        <w:instrText xml:space="preserve"> XE "</w:instrText>
      </w:r>
      <w:r w:rsidRPr="009D39F0">
        <w:rPr>
          <w:i/>
        </w:rPr>
        <w:instrText>ratio seminalis</w:instrText>
      </w:r>
      <w:r>
        <w:instrText xml:space="preserve">" </w:instrText>
      </w:r>
      <w:r>
        <w:rPr>
          <w:i/>
        </w:rPr>
        <w:fldChar w:fldCharType="end"/>
      </w:r>
      <w:r>
        <w:t xml:space="preserve">, </w:t>
      </w:r>
      <w:r w:rsidRPr="003A2565">
        <w:rPr>
          <w:i/>
        </w:rPr>
        <w:t>causalis</w:t>
      </w:r>
      <w:r>
        <w:t xml:space="preserve">). Toto </w:t>
      </w:r>
      <w:r w:rsidRPr="08BC2208">
        <w:rPr>
          <w:i/>
        </w:rPr>
        <w:t>scibile</w:t>
      </w:r>
      <w:r>
        <w:t xml:space="preserve"> je určené příslušnou regulí (boží intelekt, lidské poznání na úrovní objektivního </w:t>
      </w:r>
      <w:r w:rsidRPr="00BD516C">
        <w:rPr>
          <w:i/>
        </w:rPr>
        <w:t>vestigium</w:t>
      </w:r>
      <w:r>
        <w:rPr>
          <w:i/>
        </w:rPr>
        <w:fldChar w:fldCharType="begin"/>
      </w:r>
      <w:r>
        <w:instrText xml:space="preserve"> XE "</w:instrText>
      </w:r>
      <w:r w:rsidRPr="00757030">
        <w:rPr>
          <w:i/>
        </w:rPr>
        <w:instrText>vestigium</w:instrText>
      </w:r>
      <w:r>
        <w:instrText xml:space="preserve">" </w:instrText>
      </w:r>
      <w:r>
        <w:rPr>
          <w:i/>
        </w:rPr>
        <w:fldChar w:fldCharType="end"/>
      </w:r>
      <w:r>
        <w:t xml:space="preserve">, empirická </w:t>
      </w:r>
      <w:r w:rsidRPr="00BD516C">
        <w:rPr>
          <w:i/>
        </w:rPr>
        <w:t>scientia</w:t>
      </w:r>
      <w:r w:rsidRPr="08E53D00">
        <w:t>, reálná tvorba</w:t>
      </w:r>
      <w:r>
        <w:t>). Obojí forma vědomé i nevědomé vůle (</w:t>
      </w:r>
      <w:r w:rsidRPr="00814C9E">
        <w:rPr>
          <w:i/>
        </w:rPr>
        <w:t>voluntas</w:t>
      </w:r>
      <w:r>
        <w:t xml:space="preserve">, </w:t>
      </w:r>
      <w:r w:rsidRPr="00814C9E">
        <w:rPr>
          <w:i/>
        </w:rPr>
        <w:t>appetitus</w:t>
      </w:r>
      <w:r>
        <w:t>) m</w:t>
      </w:r>
      <w:r w:rsidRPr="00273106">
        <w:t>usí mít svůj archetypický zdroj mimo kontingentní danost stvořeného světa.</w:t>
      </w:r>
      <w:r w:rsidRPr="008B5DEC">
        <w:t xml:space="preserve"> </w:t>
      </w:r>
      <w:r>
        <w:t>Demiurg je veden nekonečnou nebo konečnou vůlí a vtiskuje tuto formační demiurgickou vůli do materie třetího druhu vybavené příslušným apetitem (</w:t>
      </w:r>
      <w:r w:rsidRPr="08CE76C6">
        <w:rPr>
          <w:i/>
        </w:rPr>
        <w:t>materia confusa</w:t>
      </w:r>
      <w:r>
        <w:t xml:space="preserve">, </w:t>
      </w:r>
      <w:r w:rsidRPr="08CE76C6">
        <w:rPr>
          <w:i/>
        </w:rPr>
        <w:t>prima</w:t>
      </w:r>
      <w:r>
        <w:t xml:space="preserve">, </w:t>
      </w:r>
      <w:proofErr w:type="gramStart"/>
      <w:r w:rsidRPr="08CE76C6">
        <w:rPr>
          <w:i/>
        </w:rPr>
        <w:t>spiritualis</w:t>
      </w:r>
      <w:r>
        <w:t>...).</w:t>
      </w:r>
      <w:proofErr w:type="gramEnd"/>
      <w:r>
        <w:t xml:space="preserve"> Západní subjekt dostal první moderní reguli pro objektivní formu kruciáty, kterou později vojenský specialista Descartes upravil pro matematicko-technologické dobytí světa. </w:t>
      </w:r>
      <w:r w:rsidRPr="00273106">
        <w:t xml:space="preserve">Nový subjekt Západu </w:t>
      </w:r>
      <w:r>
        <w:t xml:space="preserve">stvořený </w:t>
      </w:r>
      <w:r w:rsidRPr="00EE1765">
        <w:rPr>
          <w:i/>
        </w:rPr>
        <w:t>ex nihilo</w:t>
      </w:r>
      <w:r>
        <w:t xml:space="preserve"> ve škole oxfordských a pařížských iluminátů</w:t>
      </w:r>
      <w:r>
        <w:fldChar w:fldCharType="begin"/>
      </w:r>
      <w:r>
        <w:instrText xml:space="preserve"> XE "</w:instrText>
      </w:r>
      <w:r w:rsidRPr="00BD65D1">
        <w:instrText>ilumináti</w:instrText>
      </w:r>
      <w:r>
        <w:instrText xml:space="preserve">" </w:instrText>
      </w:r>
      <w:r>
        <w:fldChar w:fldCharType="end"/>
      </w:r>
      <w:r>
        <w:t xml:space="preserve"> </w:t>
      </w:r>
      <w:r w:rsidRPr="00273106">
        <w:t>si přivlastňuje jednotný smysl jsoucna v archetypickém aktu původního zakládání jednoty jsoucna</w:t>
      </w:r>
      <w:r>
        <w:t>. Tato moderní odkrytost jsoucna dostala trojí objektivní podobu pravdy podle Anselmovy pravdy-</w:t>
      </w:r>
      <w:r w:rsidRPr="004436EE">
        <w:rPr>
          <w:i/>
        </w:rPr>
        <w:t>rectitudo</w:t>
      </w:r>
      <w:r>
        <w:t>, Avicennovy pravdy-</w:t>
      </w:r>
      <w:r w:rsidRPr="00DD12CB">
        <w:rPr>
          <w:i/>
        </w:rPr>
        <w:t>certitudo</w:t>
      </w:r>
      <w:r>
        <w:t xml:space="preserve"> a Rufusovy pravdy-</w:t>
      </w:r>
      <w:r w:rsidRPr="00785D9E">
        <w:rPr>
          <w:i/>
        </w:rPr>
        <w:t>coaequatio</w:t>
      </w:r>
      <w:r>
        <w:rPr>
          <w:i/>
        </w:rPr>
        <w:fldChar w:fldCharType="begin"/>
      </w:r>
      <w:r>
        <w:instrText xml:space="preserve"> XE "pravda:</w:instrText>
      </w:r>
      <w:r w:rsidRPr="00E11E1F">
        <w:rPr>
          <w:i/>
        </w:rPr>
        <w:instrText>coaequatio</w:instrText>
      </w:r>
      <w:r>
        <w:instrText xml:space="preserve">" </w:instrText>
      </w:r>
      <w:r>
        <w:rPr>
          <w:i/>
        </w:rPr>
        <w:fldChar w:fldCharType="end"/>
      </w:r>
      <w:r>
        <w:t xml:space="preserve">. </w:t>
      </w:r>
      <w:r w:rsidR="0017479E">
        <w:t xml:space="preserve">Zbožná moderna </w:t>
      </w:r>
      <w:r w:rsidR="0017479E">
        <w:lastRenderedPageBreak/>
        <w:t>měla po roce 1250 teorii vědy danou v modu jedné pravdy, proto vzala mystickou četbu Písma pro filosofické určení vztahu materie a formy (kap. 4.1.2). Materie má inherentní apetit k tomu, aby si osvojila všechny formy demiurga</w:t>
      </w:r>
      <w:r w:rsidR="0017479E">
        <w:fldChar w:fldCharType="begin"/>
      </w:r>
      <w:r w:rsidR="0017479E">
        <w:instrText xml:space="preserve"> XE "</w:instrText>
      </w:r>
      <w:r w:rsidR="0017479E" w:rsidRPr="005C2F4A">
        <w:rPr>
          <w:rStyle w:val="addmd"/>
        </w:rPr>
        <w:instrText>demiurg</w:instrText>
      </w:r>
      <w:r w:rsidR="0017479E">
        <w:instrText xml:space="preserve">" </w:instrText>
      </w:r>
      <w:r w:rsidR="0017479E">
        <w:fldChar w:fldCharType="end"/>
      </w:r>
      <w:r w:rsidR="0017479E">
        <w:t xml:space="preserve">, který touží vtisknout tyto formy do materie skrze svou tvořivou vůli </w:t>
      </w:r>
      <w:r w:rsidR="0017479E">
        <w:rPr>
          <w:szCs w:val="24"/>
        </w:rPr>
        <w:t>(</w:t>
      </w:r>
      <w:r w:rsidR="0017479E" w:rsidRPr="00472C65">
        <w:rPr>
          <w:i/>
          <w:szCs w:val="24"/>
        </w:rPr>
        <w:t>informatio</w:t>
      </w:r>
      <w:r w:rsidR="0017479E">
        <w:rPr>
          <w:szCs w:val="24"/>
        </w:rPr>
        <w:t>)</w:t>
      </w:r>
      <w:r w:rsidR="0017479E">
        <w:t>. Oba apetity se zdárně potkávají, protože je k tomu vede vnitřní nutnost daná od boha.</w:t>
      </w:r>
      <w:r w:rsidR="001A6FA5">
        <w:t xml:space="preserve"> </w:t>
      </w:r>
      <w:r w:rsidR="001A6FA5" w:rsidRPr="001A6FA5">
        <w:t xml:space="preserve">Archaická hermeneutika </w:t>
      </w:r>
      <w:r w:rsidR="001A6FA5">
        <w:t xml:space="preserve">tím našla </w:t>
      </w:r>
      <w:r w:rsidR="001A6FA5" w:rsidRPr="001A6FA5">
        <w:t xml:space="preserve">další mistrovské dílo eroticky </w:t>
      </w:r>
      <w:r w:rsidR="001A6FA5">
        <w:t>založených Furií, které podnítily</w:t>
      </w:r>
      <w:r w:rsidR="001A6FA5" w:rsidRPr="001A6FA5">
        <w:t xml:space="preserve"> tuto objektivní kopulaci mezi neexistující formou a neexistující hmotou a mezi odděleným lidským tělem a duší. Síly intelektuálního chaosu působí prostřednictvím mystické</w:t>
      </w:r>
      <w:r w:rsidR="001A6FA5">
        <w:t xml:space="preserve">ho apetitu </w:t>
      </w:r>
      <w:r w:rsidR="001A6FA5" w:rsidRPr="001A6FA5">
        <w:t>objektivního západního demiurga.</w:t>
      </w:r>
      <w:r w:rsidR="001A6FA5">
        <w:t xml:space="preserve"> </w:t>
      </w:r>
      <w:r w:rsidR="0017479E" w:rsidRPr="00273106">
        <w:t>Bonaventura stojí na začátku moderní cesty k objektivnímu završení látky a formy</w:t>
      </w:r>
      <w:r w:rsidR="0017479E">
        <w:t xml:space="preserve"> skrze univerzální kosmickou touhu formy i látky po demiurgické manipulaci a mystické kopulaci. </w:t>
      </w:r>
      <w:r w:rsidR="00887008" w:rsidRPr="00887008">
        <w:t>V době současného nihilismu exis</w:t>
      </w:r>
      <w:r w:rsidR="00887008">
        <w:t>tuje bytost bez pohlaví, úplná „</w:t>
      </w:r>
      <w:r w:rsidR="00887008" w:rsidRPr="00887008">
        <w:rPr>
          <w:i/>
        </w:rPr>
        <w:t>materia confusa</w:t>
      </w:r>
      <w:r w:rsidR="00887008">
        <w:t>“. Jako každý jiný ideologický produkt nihilistického ducha, t</w:t>
      </w:r>
      <w:r w:rsidR="00887008" w:rsidRPr="00887008">
        <w:t>o</w:t>
      </w:r>
      <w:r w:rsidR="00887008">
        <w:t xml:space="preserve">to dosud nekonkretizované individuum </w:t>
      </w:r>
      <w:r w:rsidR="00887008" w:rsidRPr="00887008">
        <w:t xml:space="preserve">může </w:t>
      </w:r>
      <w:r w:rsidR="006434FA">
        <w:t xml:space="preserve">ve své mysli </w:t>
      </w:r>
      <w:r w:rsidR="00887008">
        <w:t xml:space="preserve">přijmout </w:t>
      </w:r>
      <w:r w:rsidR="00887008" w:rsidRPr="00887008">
        <w:t>jakékoliv sexuální určení.</w:t>
      </w:r>
    </w:p>
    <w:p w:rsidR="0030529A" w:rsidRDefault="0017479E" w:rsidP="00900876">
      <w:pPr>
        <w:ind w:firstLine="397"/>
      </w:pPr>
      <w:r>
        <w:t>P</w:t>
      </w:r>
      <w:r w:rsidRPr="00273106">
        <w:t xml:space="preserve">růmyslová revoluce tento </w:t>
      </w:r>
      <w:r w:rsidRPr="00273106">
        <w:rPr>
          <w:i/>
        </w:rPr>
        <w:t xml:space="preserve">appetitus </w:t>
      </w:r>
      <w:r w:rsidRPr="00273106">
        <w:t>mystické moderny</w:t>
      </w:r>
      <w:r w:rsidRPr="00273106">
        <w:rPr>
          <w:i/>
        </w:rPr>
        <w:t xml:space="preserve"> </w:t>
      </w:r>
      <w:r w:rsidRPr="00273106">
        <w:t>sekularizovala do vědecko-technického podmanění materiálního světa</w:t>
      </w:r>
      <w:r>
        <w:t xml:space="preserve">. K tomu došlo skrze moderní verzi kapitalismu, kterou založil Olivi (kap. 5.1.3). </w:t>
      </w:r>
      <w:r w:rsidRPr="00CB4E9A">
        <w:t xml:space="preserve">Kapitalismus je poháněn mytologickým </w:t>
      </w:r>
      <w:r>
        <w:t xml:space="preserve">subjektem, jehož </w:t>
      </w:r>
      <w:r w:rsidRPr="00273106">
        <w:rPr>
          <w:i/>
        </w:rPr>
        <w:t>appetitus</w:t>
      </w:r>
      <w:r>
        <w:rPr>
          <w:i/>
        </w:rPr>
        <w:fldChar w:fldCharType="begin"/>
      </w:r>
      <w:r>
        <w:instrText xml:space="preserve"> XE "</w:instrText>
      </w:r>
      <w:r w:rsidRPr="007E6333">
        <w:rPr>
          <w:i/>
        </w:rPr>
        <w:instrText>appetitus</w:instrText>
      </w:r>
      <w:r>
        <w:instrText xml:space="preserve">" </w:instrText>
      </w:r>
      <w:r>
        <w:rPr>
          <w:i/>
        </w:rPr>
        <w:fldChar w:fldCharType="end"/>
      </w:r>
      <w:r>
        <w:rPr>
          <w:i/>
        </w:rPr>
        <w:t xml:space="preserve"> </w:t>
      </w:r>
      <w:r>
        <w:t>dostal univerz</w:t>
      </w:r>
      <w:r w:rsidRPr="00CB0AE3">
        <w:t xml:space="preserve">álně kosmický charakter. </w:t>
      </w:r>
      <w:r>
        <w:t xml:space="preserve">Iracionální </w:t>
      </w:r>
      <w:r w:rsidRPr="007A08FD">
        <w:rPr>
          <w:i/>
        </w:rPr>
        <w:t>appetitus</w:t>
      </w:r>
      <w:r>
        <w:t xml:space="preserve"> moderního subjektu v nové </w:t>
      </w:r>
      <w:r w:rsidRPr="007A08FD">
        <w:rPr>
          <w:i/>
        </w:rPr>
        <w:t>Písni písní</w:t>
      </w:r>
      <w:r>
        <w:t xml:space="preserve"> potkal stejně iracionální </w:t>
      </w:r>
      <w:r w:rsidRPr="007A08FD">
        <w:rPr>
          <w:i/>
        </w:rPr>
        <w:t>appetitus</w:t>
      </w:r>
      <w:r>
        <w:t xml:space="preserve"> světa</w:t>
      </w:r>
      <w:r w:rsidR="00A77D88">
        <w:t xml:space="preserve"> </w:t>
      </w:r>
      <w:r w:rsidR="00A77D88">
        <w:rPr>
          <w:szCs w:val="24"/>
        </w:rPr>
        <w:t>(ch. 4.1.2)</w:t>
      </w:r>
      <w:r>
        <w:t xml:space="preserve">. </w:t>
      </w:r>
      <w:r>
        <w:rPr>
          <w:szCs w:val="24"/>
        </w:rPr>
        <w:t xml:space="preserve">Kapitalismus jako událost </w:t>
      </w:r>
      <w:r w:rsidR="00E32143">
        <w:rPr>
          <w:szCs w:val="24"/>
        </w:rPr>
        <w:t xml:space="preserve">objektivního jsoucna </w:t>
      </w:r>
      <w:r>
        <w:rPr>
          <w:szCs w:val="24"/>
        </w:rPr>
        <w:t xml:space="preserve">má tedy charakter múzické </w:t>
      </w:r>
      <w:r w:rsidRPr="00B34383">
        <w:rPr>
          <w:i/>
          <w:szCs w:val="24"/>
        </w:rPr>
        <w:t>al</w:t>
      </w:r>
      <w:r>
        <w:rPr>
          <w:rFonts w:cs="Calibri"/>
          <w:i/>
          <w:szCs w:val="24"/>
        </w:rPr>
        <w:t>é</w:t>
      </w:r>
      <w:r>
        <w:rPr>
          <w:i/>
          <w:szCs w:val="24"/>
        </w:rPr>
        <w:t>the</w:t>
      </w:r>
      <w:r w:rsidRPr="00B34383">
        <w:rPr>
          <w:i/>
          <w:szCs w:val="24"/>
        </w:rPr>
        <w:t>ia</w:t>
      </w:r>
      <w:r>
        <w:rPr>
          <w:i/>
          <w:szCs w:val="24"/>
        </w:rPr>
        <w:fldChar w:fldCharType="begin"/>
      </w:r>
      <w:r>
        <w:instrText xml:space="preserve"> XE "</w:instrText>
      </w:r>
      <w:r w:rsidRPr="00C337F1">
        <w:rPr>
          <w:i/>
          <w:szCs w:val="24"/>
        </w:rPr>
        <w:instrText>al</w:instrText>
      </w:r>
      <w:r w:rsidRPr="00C337F1">
        <w:rPr>
          <w:rFonts w:cs="Calibri"/>
          <w:i/>
          <w:szCs w:val="24"/>
        </w:rPr>
        <w:instrText>é</w:instrText>
      </w:r>
      <w:r w:rsidRPr="00C337F1">
        <w:rPr>
          <w:i/>
          <w:szCs w:val="24"/>
        </w:rPr>
        <w:instrText>theia</w:instrText>
      </w:r>
      <w:r>
        <w:instrText xml:space="preserve">" </w:instrText>
      </w:r>
      <w:r>
        <w:rPr>
          <w:i/>
          <w:szCs w:val="24"/>
        </w:rPr>
        <w:fldChar w:fldCharType="end"/>
      </w:r>
      <w:r>
        <w:rPr>
          <w:szCs w:val="24"/>
        </w:rPr>
        <w:t xml:space="preserve">. Ale jeho dějinná nepravda jako </w:t>
      </w:r>
      <w:r w:rsidR="00AD0475">
        <w:rPr>
          <w:szCs w:val="24"/>
        </w:rPr>
        <w:t xml:space="preserve">iracionální bloudění moderní </w:t>
      </w:r>
      <w:r>
        <w:rPr>
          <w:szCs w:val="24"/>
        </w:rPr>
        <w:t xml:space="preserve">metafyziky </w:t>
      </w:r>
      <w:r w:rsidR="00AD0475">
        <w:rPr>
          <w:szCs w:val="24"/>
        </w:rPr>
        <w:t>(</w:t>
      </w:r>
      <w:r w:rsidR="00AD0475" w:rsidRPr="00AD0475">
        <w:rPr>
          <w:i/>
          <w:szCs w:val="24"/>
        </w:rPr>
        <w:t>Irre</w:t>
      </w:r>
      <w:r w:rsidR="00AD0475">
        <w:rPr>
          <w:i/>
          <w:szCs w:val="24"/>
        </w:rPr>
        <w:fldChar w:fldCharType="begin"/>
      </w:r>
      <w:r w:rsidR="00AD0475">
        <w:instrText xml:space="preserve"> XE "</w:instrText>
      </w:r>
      <w:r w:rsidR="00AD0475" w:rsidRPr="00012591">
        <w:rPr>
          <w:i/>
          <w:szCs w:val="24"/>
        </w:rPr>
        <w:instrText>Irre</w:instrText>
      </w:r>
      <w:r w:rsidR="00AD0475">
        <w:instrText xml:space="preserve">" </w:instrText>
      </w:r>
      <w:r w:rsidR="00AD0475">
        <w:rPr>
          <w:i/>
          <w:szCs w:val="24"/>
        </w:rPr>
        <w:fldChar w:fldCharType="end"/>
      </w:r>
      <w:r w:rsidR="00AD0475">
        <w:rPr>
          <w:szCs w:val="24"/>
        </w:rPr>
        <w:t xml:space="preserve">) </w:t>
      </w:r>
      <w:r>
        <w:rPr>
          <w:szCs w:val="24"/>
        </w:rPr>
        <w:t xml:space="preserve">má chaotický charakter určený subjektivně založenými Fúriemi. </w:t>
      </w:r>
      <w:r>
        <w:t xml:space="preserve">Bonaventura je otcem kapitalismu, protože, vytvořil jeho zakládající iracionální akademický zakládající mýtus. </w:t>
      </w:r>
      <w:r w:rsidRPr="005B288F">
        <w:rPr>
          <w:i/>
        </w:rPr>
        <w:t>In illo tempore</w:t>
      </w:r>
      <w:r>
        <w:t xml:space="preserve">, když spolu začaly kopulovat obě výše zmíněné iracionální síly, vznikla původní mytická událost </w:t>
      </w:r>
      <w:r w:rsidRPr="007A08FD">
        <w:t>(</w:t>
      </w:r>
      <w:r w:rsidRPr="007A08FD">
        <w:rPr>
          <w:i/>
        </w:rPr>
        <w:t>Ereignis</w:t>
      </w:r>
      <w:r>
        <w:rPr>
          <w:i/>
        </w:rPr>
        <w:fldChar w:fldCharType="begin"/>
      </w:r>
      <w:r>
        <w:instrText xml:space="preserve"> XE "</w:instrText>
      </w:r>
      <w:r w:rsidRPr="00E26382">
        <w:rPr>
          <w:i/>
        </w:rPr>
        <w:instrText>Ereignis</w:instrText>
      </w:r>
      <w:r>
        <w:instrText xml:space="preserve">" </w:instrText>
      </w:r>
      <w:r>
        <w:rPr>
          <w:i/>
        </w:rPr>
        <w:fldChar w:fldCharType="end"/>
      </w:r>
      <w:r>
        <w:t xml:space="preserve">), která vytvořila kosmogonii kapitalismu. </w:t>
      </w:r>
      <w:r w:rsidR="006E43B2">
        <w:t xml:space="preserve">Nenasytnost </w:t>
      </w:r>
      <w:r w:rsidR="006E43B2" w:rsidRPr="006E43B2">
        <w:t>západního demiurga je dána přímo v jeho démonické povaze. Povaha kapitalistického subjekt</w:t>
      </w:r>
      <w:r w:rsidR="006E43B2">
        <w:t>u, modelovaná pod vedením Furií</w:t>
      </w:r>
      <w:r w:rsidR="006E43B2" w:rsidRPr="006E43B2">
        <w:t>, je démonická ze dvou dův</w:t>
      </w:r>
      <w:r w:rsidR="006E43B2">
        <w:t>odů, které vycházejí ze vztahu „</w:t>
      </w:r>
      <w:proofErr w:type="gramStart"/>
      <w:r w:rsidR="006E43B2">
        <w:t>subjekt</w:t>
      </w:r>
      <w:proofErr w:type="gramEnd"/>
      <w:r w:rsidR="006E43B2">
        <w:t>–</w:t>
      </w:r>
      <w:proofErr w:type="gramStart"/>
      <w:r w:rsidR="006E43B2">
        <w:t>objekt</w:t>
      </w:r>
      <w:proofErr w:type="gramEnd"/>
      <w:r w:rsidR="006E43B2">
        <w:t>“</w:t>
      </w:r>
      <w:r w:rsidR="006E43B2" w:rsidRPr="006E43B2">
        <w:t>. Kapitalistick</w:t>
      </w:r>
      <w:r w:rsidR="006E43B2">
        <w:t xml:space="preserve">é individuum </w:t>
      </w:r>
      <w:r w:rsidR="006E43B2" w:rsidRPr="006E43B2">
        <w:t>se stal</w:t>
      </w:r>
      <w:r w:rsidR="006E43B2">
        <w:t>o</w:t>
      </w:r>
      <w:r w:rsidR="006E43B2" w:rsidRPr="006E43B2">
        <w:t xml:space="preserve"> paranoidním, protože objektivní zá</w:t>
      </w:r>
      <w:r w:rsidR="006E43B2">
        <w:t>světí dané skrze biblickou</w:t>
      </w:r>
      <w:r w:rsidR="006E43B2" w:rsidRPr="006E43B2">
        <w:t xml:space="preserve"> ontoteologi</w:t>
      </w:r>
      <w:r w:rsidR="006E43B2">
        <w:t>i</w:t>
      </w:r>
      <w:r w:rsidR="006E43B2" w:rsidRPr="006E43B2">
        <w:t xml:space="preserve"> </w:t>
      </w:r>
      <w:r w:rsidR="006E43B2">
        <w:t xml:space="preserve">reálně </w:t>
      </w:r>
      <w:r w:rsidR="006E43B2" w:rsidRPr="006E43B2">
        <w:t xml:space="preserve">neexistuje. </w:t>
      </w:r>
      <w:r w:rsidR="006E43B2">
        <w:t>Tuto objektivní kopulaci</w:t>
      </w:r>
      <w:r w:rsidR="006E43B2" w:rsidRPr="006E43B2">
        <w:t xml:space="preserve"> </w:t>
      </w:r>
      <w:r w:rsidR="006E43B2">
        <w:t>s mytologickým appetitem takto daného „světa“ provádí moderní subjekt</w:t>
      </w:r>
      <w:r w:rsidR="006E43B2" w:rsidRPr="006E43B2">
        <w:t>, který je schizofrenní par excellence, protože je rozdělen na několik nekom</w:t>
      </w:r>
      <w:r w:rsidR="006E43B2">
        <w:t>patibilních substancí</w:t>
      </w:r>
      <w:r w:rsidR="006E43B2" w:rsidRPr="006E43B2">
        <w:t>.</w:t>
      </w:r>
      <w:r w:rsidR="006E43B2">
        <w:t xml:space="preserve"> Tato tragikomedie Múz definuje </w:t>
      </w:r>
      <w:r>
        <w:t>kapitali</w:t>
      </w:r>
      <w:r w:rsidR="006E43B2">
        <w:t>s</w:t>
      </w:r>
      <w:r>
        <w:t>ti</w:t>
      </w:r>
      <w:r w:rsidR="006E43B2">
        <w:t>c</w:t>
      </w:r>
      <w:r>
        <w:t xml:space="preserve">ký </w:t>
      </w:r>
      <w:r w:rsidRPr="00356E0A">
        <w:rPr>
          <w:i/>
        </w:rPr>
        <w:t>conatus</w:t>
      </w:r>
      <w:r>
        <w:rPr>
          <w:i/>
        </w:rPr>
        <w:fldChar w:fldCharType="begin"/>
      </w:r>
      <w:r>
        <w:instrText xml:space="preserve"> XE "</w:instrText>
      </w:r>
      <w:r w:rsidRPr="00107FEF">
        <w:rPr>
          <w:i/>
        </w:rPr>
        <w:instrText>conatus</w:instrText>
      </w:r>
      <w:r>
        <w:instrText xml:space="preserve">" </w:instrText>
      </w:r>
      <w:r>
        <w:rPr>
          <w:i/>
        </w:rPr>
        <w:fldChar w:fldCharType="end"/>
      </w:r>
      <w:r w:rsidR="006E43B2">
        <w:t xml:space="preserve">, který </w:t>
      </w:r>
      <w:r>
        <w:t xml:space="preserve">je </w:t>
      </w:r>
      <w:r>
        <w:lastRenderedPageBreak/>
        <w:t>odvozen od původního demiurgického přivlastňování objektivního jsoucna (</w:t>
      </w:r>
      <w:r w:rsidRPr="00CB4E9A">
        <w:rPr>
          <w:i/>
        </w:rPr>
        <w:t>dativus obiectivus</w:t>
      </w:r>
      <w:r>
        <w:rPr>
          <w:i/>
        </w:rPr>
        <w:fldChar w:fldCharType="begin"/>
      </w:r>
      <w:r>
        <w:instrText xml:space="preserve"> XE "</w:instrText>
      </w:r>
      <w:r w:rsidRPr="007047DC">
        <w:rPr>
          <w:i/>
        </w:rPr>
        <w:instrText>dativus obiectivus</w:instrText>
      </w:r>
      <w:r>
        <w:instrText xml:space="preserve">" </w:instrText>
      </w:r>
      <w:r>
        <w:rPr>
          <w:i/>
        </w:rPr>
        <w:fldChar w:fldCharType="end"/>
      </w:r>
      <w:r w:rsidR="006E43B2">
        <w:t xml:space="preserve">). </w:t>
      </w:r>
      <w:r w:rsidR="00900876">
        <w:t>Vraťme se k původní formě druhé substance dané moderní kategorizací objektivní donace jsoucna, což je dativus possessivus. Souběh dvou forem mystického kapitalistického „</w:t>
      </w:r>
      <w:r w:rsidR="00900876" w:rsidRPr="00900876">
        <w:rPr>
          <w:i/>
        </w:rPr>
        <w:t>appetitus</w:t>
      </w:r>
      <w:r w:rsidR="00900876">
        <w:t xml:space="preserve">“ založil epochálně určený </w:t>
      </w:r>
      <w:r w:rsidRPr="00173072">
        <w:rPr>
          <w:i/>
        </w:rPr>
        <w:t>Ge-Stell</w:t>
      </w:r>
      <w:r>
        <w:rPr>
          <w:i/>
        </w:rPr>
        <w:fldChar w:fldCharType="begin"/>
      </w:r>
      <w:r>
        <w:instrText xml:space="preserve"> XE "</w:instrText>
      </w:r>
      <w:r w:rsidRPr="00A43460">
        <w:rPr>
          <w:i/>
        </w:rPr>
        <w:instrText>Ge-Stell</w:instrText>
      </w:r>
      <w:r>
        <w:instrText xml:space="preserve">" </w:instrText>
      </w:r>
      <w:r>
        <w:rPr>
          <w:i/>
        </w:rPr>
        <w:fldChar w:fldCharType="end"/>
      </w:r>
      <w:r w:rsidR="00900876">
        <w:t xml:space="preserve">, který vytvořil </w:t>
      </w:r>
      <w:r w:rsidR="0043626D">
        <w:t xml:space="preserve">kapitalistický </w:t>
      </w:r>
      <w:r>
        <w:t>světonázor</w:t>
      </w:r>
      <w:r w:rsidRPr="00CB4E9A">
        <w:t xml:space="preserve"> modernity (</w:t>
      </w:r>
      <w:r w:rsidRPr="00CB4E9A">
        <w:rPr>
          <w:i/>
        </w:rPr>
        <w:t>dativus modi</w:t>
      </w:r>
      <w:r>
        <w:rPr>
          <w:i/>
        </w:rPr>
        <w:fldChar w:fldCharType="begin"/>
      </w:r>
      <w:r>
        <w:instrText xml:space="preserve"> XE "</w:instrText>
      </w:r>
      <w:r w:rsidRPr="0028063A">
        <w:rPr>
          <w:i/>
        </w:rPr>
        <w:instrText>dativus modi</w:instrText>
      </w:r>
      <w:r>
        <w:instrText xml:space="preserve">" </w:instrText>
      </w:r>
      <w:r>
        <w:rPr>
          <w:i/>
        </w:rPr>
        <w:fldChar w:fldCharType="end"/>
      </w:r>
      <w:r w:rsidRPr="00CB4E9A">
        <w:t>, kap. 4)</w:t>
      </w:r>
      <w:r w:rsidR="00900876">
        <w:t>. Tento zajímavý a dnes hodně problematický akcident moderního západního subjektu s</w:t>
      </w:r>
      <w:r w:rsidRPr="00CB4E9A">
        <w:t>i zachovává stejnou démonickou povahu jako moderní logika a metafyzika.</w:t>
      </w:r>
      <w:r>
        <w:rPr>
          <w:szCs w:val="24"/>
        </w:rPr>
        <w:t xml:space="preserve"> </w:t>
      </w:r>
      <w:r>
        <w:t>Po smrti moderního boha</w:t>
      </w:r>
      <w:r w:rsidRPr="006E4660">
        <w:fldChar w:fldCharType="begin"/>
      </w:r>
      <w:r w:rsidRPr="006E4660">
        <w:instrText xml:space="preserve"> XE "smrt boha" </w:instrText>
      </w:r>
      <w:r w:rsidRPr="006E4660">
        <w:fldChar w:fldCharType="end"/>
      </w:r>
      <w:r w:rsidRPr="006E4660">
        <w:t>, démonická kruciáta moderních iluminátů</w:t>
      </w:r>
      <w:r w:rsidRPr="006E4660">
        <w:fldChar w:fldCharType="begin"/>
      </w:r>
      <w:r w:rsidRPr="006E4660">
        <w:instrText xml:space="preserve"> XE "ilumináti" </w:instrText>
      </w:r>
      <w:r w:rsidRPr="006E4660">
        <w:fldChar w:fldCharType="end"/>
      </w:r>
      <w:r w:rsidRPr="006E4660">
        <w:t xml:space="preserve"> hledá po celém světě</w:t>
      </w:r>
      <w:r>
        <w:t xml:space="preserve"> imperialistický grál, v metafyzickém nihilismu posledních dvou století světových válek, globálního kapitalismu a probíhajících ekologických katastrof v poslední geologické epoše správně nazvané „antropocén“</w:t>
      </w:r>
      <w:r>
        <w:fldChar w:fldCharType="begin"/>
      </w:r>
      <w:r>
        <w:instrText xml:space="preserve"> XE "</w:instrText>
      </w:r>
      <w:r w:rsidRPr="08837D3B">
        <w:instrText>antropocén</w:instrText>
      </w:r>
      <w:r>
        <w:instrText xml:space="preserve">" </w:instrText>
      </w:r>
      <w:r>
        <w:fldChar w:fldCharType="end"/>
      </w:r>
      <w:r>
        <w:t>.</w:t>
      </w:r>
      <w:r w:rsidR="005A6C45">
        <w:t xml:space="preserve"> </w:t>
      </w:r>
      <w:r w:rsidR="0030529A" w:rsidRPr="0030529A">
        <w:t xml:space="preserve">Bonaventurův koncept vlády univerzální </w:t>
      </w:r>
      <w:r w:rsidR="0030529A">
        <w:t xml:space="preserve">demiurgické vůle poslal </w:t>
      </w:r>
      <w:r w:rsidR="0030529A" w:rsidRPr="0030529A">
        <w:t xml:space="preserve">objektivitu stanovenou Rufusem a Kilwardbym k dobytí světa </w:t>
      </w:r>
      <w:r w:rsidR="0030529A">
        <w:t xml:space="preserve">skrze </w:t>
      </w:r>
      <w:r w:rsidR="0030529A" w:rsidRPr="0030529A">
        <w:t xml:space="preserve">schizofrenický moderní subjekt Západu. </w:t>
      </w:r>
      <w:r w:rsidR="0030529A">
        <w:t>Režim</w:t>
      </w:r>
      <w:r w:rsidR="0030529A" w:rsidRPr="0030529A">
        <w:t xml:space="preserve"> </w:t>
      </w:r>
      <w:r w:rsidR="0030529A">
        <w:t xml:space="preserve">totální </w:t>
      </w:r>
      <w:r w:rsidR="0030529A" w:rsidRPr="0030529A">
        <w:t xml:space="preserve">akademické mobilizace </w:t>
      </w:r>
      <w:r w:rsidR="0030529A">
        <w:t>(</w:t>
      </w:r>
      <w:r w:rsidR="0030529A" w:rsidRPr="0030529A">
        <w:rPr>
          <w:i/>
        </w:rPr>
        <w:t>totale Mobilmachung</w:t>
      </w:r>
      <w:r w:rsidR="0034737D">
        <w:rPr>
          <w:i/>
        </w:rPr>
        <w:fldChar w:fldCharType="begin"/>
      </w:r>
      <w:r w:rsidR="0034737D">
        <w:instrText xml:space="preserve"> XE "</w:instrText>
      </w:r>
      <w:r w:rsidR="0034737D" w:rsidRPr="001C55FF">
        <w:rPr>
          <w:i/>
        </w:rPr>
        <w:instrText>Mobilmachung</w:instrText>
      </w:r>
      <w:r w:rsidR="0034737D">
        <w:instrText xml:space="preserve">" </w:instrText>
      </w:r>
      <w:r w:rsidR="0034737D">
        <w:rPr>
          <w:i/>
        </w:rPr>
        <w:fldChar w:fldCharType="end"/>
      </w:r>
      <w:r w:rsidR="0030529A">
        <w:t xml:space="preserve">) začal </w:t>
      </w:r>
      <w:r w:rsidR="0030529A" w:rsidRPr="0030529A">
        <w:t>poprvé</w:t>
      </w:r>
      <w:r w:rsidR="0034737D">
        <w:t xml:space="preserve"> fungovat</w:t>
      </w:r>
      <w:r w:rsidR="000F2366">
        <w:t xml:space="preserve"> tváří v tvář démonické Š</w:t>
      </w:r>
      <w:r w:rsidR="0030529A" w:rsidRPr="0030529A">
        <w:t xml:space="preserve">elmě s číslem 666 (kap. 4.1.2). </w:t>
      </w:r>
      <w:r w:rsidR="0030529A">
        <w:t xml:space="preserve">Konec zdravého myšlení </w:t>
      </w:r>
      <w:r w:rsidR="0030529A" w:rsidRPr="0030529A">
        <w:t xml:space="preserve">je </w:t>
      </w:r>
      <w:r w:rsidR="0030529A">
        <w:t>určen nihilistickou postavou</w:t>
      </w:r>
      <w:r w:rsidR="0030529A" w:rsidRPr="0030529A">
        <w:t xml:space="preserve"> apokalyptického producenta popsané v d</w:t>
      </w:r>
      <w:r w:rsidR="0030529A">
        <w:t xml:space="preserve">íle Ernsta Jüngera </w:t>
      </w:r>
      <w:r w:rsidR="0030529A" w:rsidRPr="0030529A">
        <w:rPr>
          <w:i/>
        </w:rPr>
        <w:t>Der Arbeiter</w:t>
      </w:r>
      <w:r w:rsidR="0030529A" w:rsidRPr="0030529A">
        <w:t xml:space="preserve"> (1932). V posledních </w:t>
      </w:r>
      <w:r w:rsidR="0030529A">
        <w:t xml:space="preserve">časech nerozumu </w:t>
      </w:r>
      <w:r w:rsidR="00197C22">
        <w:t xml:space="preserve">a </w:t>
      </w:r>
      <w:r w:rsidR="00197C22" w:rsidRPr="009F1978">
        <w:rPr>
          <w:i/>
          <w:lang w:eastAsia="en-US"/>
        </w:rPr>
        <w:t>totale</w:t>
      </w:r>
      <w:r w:rsidR="00197C22">
        <w:rPr>
          <w:i/>
          <w:lang w:eastAsia="en-US"/>
        </w:rPr>
        <w:t>r</w:t>
      </w:r>
      <w:r w:rsidR="00197C22" w:rsidRPr="009F1978">
        <w:rPr>
          <w:i/>
          <w:lang w:eastAsia="en-US"/>
        </w:rPr>
        <w:t xml:space="preserve"> Mobilmachung</w:t>
      </w:r>
      <w:r w:rsidR="00197C22">
        <w:t xml:space="preserve"> </w:t>
      </w:r>
      <w:r w:rsidR="0030529A">
        <w:t xml:space="preserve">přeměnily </w:t>
      </w:r>
      <w:r w:rsidR="0030529A" w:rsidRPr="0030529A">
        <w:t>trest</w:t>
      </w:r>
      <w:r w:rsidR="0030529A">
        <w:t xml:space="preserve">ající Fúrie </w:t>
      </w:r>
      <w:r w:rsidR="0030529A" w:rsidRPr="0030529A">
        <w:t>filo</w:t>
      </w:r>
      <w:r w:rsidR="0030529A">
        <w:t>s</w:t>
      </w:r>
      <w:r w:rsidR="0030529A" w:rsidRPr="0030529A">
        <w:t>ofii na ziskový kulturní podnik s</w:t>
      </w:r>
      <w:r w:rsidR="0030529A">
        <w:t> </w:t>
      </w:r>
      <w:r w:rsidR="0030529A" w:rsidRPr="0030529A">
        <w:t>vědeck</w:t>
      </w:r>
      <w:r w:rsidR="0030529A">
        <w:t>ými simulákry</w:t>
      </w:r>
      <w:r w:rsidR="0030529A" w:rsidRPr="0030529A">
        <w:t>. Liga nihilist</w:t>
      </w:r>
      <w:r w:rsidR="0030529A">
        <w:t>ických pracovníků</w:t>
      </w:r>
      <w:r w:rsidR="00511E2D">
        <w:t xml:space="preserve">, </w:t>
      </w:r>
      <w:r w:rsidR="0030529A">
        <w:t>dnes identifikovaná jako „</w:t>
      </w:r>
      <w:r w:rsidR="0030529A" w:rsidRPr="0030529A">
        <w:rPr>
          <w:i/>
        </w:rPr>
        <w:t>white-collars</w:t>
      </w:r>
      <w:r w:rsidR="0030529A">
        <w:t xml:space="preserve">“, </w:t>
      </w:r>
      <w:r w:rsidR="0030529A" w:rsidRPr="0030529A">
        <w:t>produkuje obrovské množství akademické sci-fi</w:t>
      </w:r>
      <w:r w:rsidR="0034737D">
        <w:rPr>
          <w:i/>
        </w:rPr>
        <w:fldChar w:fldCharType="begin"/>
      </w:r>
      <w:r w:rsidR="0034737D">
        <w:instrText xml:space="preserve"> XE "</w:instrText>
      </w:r>
      <w:r w:rsidR="0034737D" w:rsidRPr="08163646">
        <w:rPr>
          <w:i/>
        </w:rPr>
        <w:instrText>science-fiction</w:instrText>
      </w:r>
      <w:r w:rsidR="0034737D">
        <w:instrText xml:space="preserve">" </w:instrText>
      </w:r>
      <w:r w:rsidR="0034737D">
        <w:rPr>
          <w:i/>
        </w:rPr>
        <w:fldChar w:fldCharType="end"/>
      </w:r>
      <w:r w:rsidR="0030529A" w:rsidRPr="0030529A">
        <w:t xml:space="preserve"> v oblasti takzvaných </w:t>
      </w:r>
      <w:r w:rsidR="00511E2D">
        <w:t>„</w:t>
      </w:r>
      <w:r w:rsidR="0030529A" w:rsidRPr="0030529A">
        <w:t>humanitních věd</w:t>
      </w:r>
      <w:r w:rsidR="00511E2D">
        <w:t>“ (</w:t>
      </w:r>
      <w:r w:rsidR="00511E2D" w:rsidRPr="00511E2D">
        <w:rPr>
          <w:i/>
        </w:rPr>
        <w:t>humanities</w:t>
      </w:r>
      <w:r w:rsidR="00511E2D">
        <w:t>)</w:t>
      </w:r>
      <w:r w:rsidR="0030529A" w:rsidRPr="0030529A">
        <w:t>. Božské Múzy proměnily modernu v pos</w:t>
      </w:r>
      <w:r w:rsidR="00BB1C26">
        <w:t>tmoderní kabaret</w:t>
      </w:r>
      <w:r w:rsidR="00863C19">
        <w:t>. J</w:t>
      </w:r>
      <w:r w:rsidR="00BB1C26">
        <w:t xml:space="preserve">eho hromadnou muzikální </w:t>
      </w:r>
      <w:r w:rsidR="0030529A" w:rsidRPr="0030529A">
        <w:t xml:space="preserve">produkci </w:t>
      </w:r>
      <w:r w:rsidR="0030529A" w:rsidRPr="00BB1C26">
        <w:rPr>
          <w:i/>
        </w:rPr>
        <w:t>post</w:t>
      </w:r>
      <w:r w:rsidR="00BB1C26" w:rsidRPr="00BB1C26">
        <w:rPr>
          <w:i/>
        </w:rPr>
        <w:t>-truths</w:t>
      </w:r>
      <w:r w:rsidR="0034737D" w:rsidRPr="08412830">
        <w:fldChar w:fldCharType="begin"/>
      </w:r>
      <w:r w:rsidR="0034737D" w:rsidRPr="08412830">
        <w:instrText xml:space="preserve"> XE "</w:instrText>
      </w:r>
      <w:r w:rsidR="0034737D" w:rsidRPr="0034737D">
        <w:rPr>
          <w:i/>
        </w:rPr>
        <w:instrText>post-truths</w:instrText>
      </w:r>
      <w:r w:rsidR="0034737D" w:rsidRPr="08412830">
        <w:instrText xml:space="preserve">" </w:instrText>
      </w:r>
      <w:r w:rsidR="0034737D" w:rsidRPr="08412830">
        <w:fldChar w:fldCharType="end"/>
      </w:r>
      <w:r w:rsidR="00BB1C26">
        <w:t xml:space="preserve"> ovládá kapitalisttický </w:t>
      </w:r>
      <w:r w:rsidR="0030529A" w:rsidRPr="00BB1C26">
        <w:rPr>
          <w:i/>
        </w:rPr>
        <w:t>dativus modi</w:t>
      </w:r>
      <w:r w:rsidR="0034737D">
        <w:rPr>
          <w:i/>
        </w:rPr>
        <w:fldChar w:fldCharType="begin"/>
      </w:r>
      <w:r w:rsidR="0034737D">
        <w:instrText xml:space="preserve"> XE "</w:instrText>
      </w:r>
      <w:r w:rsidR="0034737D" w:rsidRPr="08E95E82">
        <w:rPr>
          <w:i/>
        </w:rPr>
        <w:instrText>dativus modi</w:instrText>
      </w:r>
      <w:r w:rsidR="0034737D">
        <w:instrText xml:space="preserve">" </w:instrText>
      </w:r>
      <w:r w:rsidR="0034737D">
        <w:rPr>
          <w:i/>
        </w:rPr>
        <w:fldChar w:fldCharType="end"/>
      </w:r>
      <w:r w:rsidR="0030529A" w:rsidRPr="0030529A">
        <w:t xml:space="preserve">, který </w:t>
      </w:r>
      <w:r w:rsidR="00552437">
        <w:t>d</w:t>
      </w:r>
      <w:r w:rsidR="00BB1C26">
        <w:t>n</w:t>
      </w:r>
      <w:r w:rsidR="00552437">
        <w:t>e</w:t>
      </w:r>
      <w:r w:rsidR="00BB1C26">
        <w:t>s degeneroval na monetární n</w:t>
      </w:r>
      <w:r w:rsidR="0030529A" w:rsidRPr="0030529A">
        <w:t>eoliberalismus.</w:t>
      </w:r>
    </w:p>
    <w:p w:rsidR="08FC38B4" w:rsidRPr="081942A4" w:rsidRDefault="008609AC" w:rsidP="008609AC">
      <w:pPr>
        <w:ind w:firstLine="397"/>
        <w:rPr>
          <w:szCs w:val="24"/>
        </w:rPr>
      </w:pPr>
      <w:r>
        <w:t xml:space="preserve">Bonaventura vytvořil kapitalistickou verzi Rufusova </w:t>
      </w:r>
      <w:r w:rsidRPr="08F32C89">
        <w:rPr>
          <w:i/>
        </w:rPr>
        <w:t>informatio</w:t>
      </w:r>
      <w:r>
        <w:rPr>
          <w:i/>
        </w:rPr>
        <w:fldChar w:fldCharType="begin"/>
      </w:r>
      <w:r>
        <w:instrText xml:space="preserve"> XE "</w:instrText>
      </w:r>
      <w:r w:rsidRPr="084C4C4A">
        <w:rPr>
          <w:i/>
        </w:rPr>
        <w:instrText>informatio</w:instrText>
      </w:r>
      <w:r>
        <w:instrText xml:space="preserve">" </w:instrText>
      </w:r>
      <w:r>
        <w:rPr>
          <w:i/>
        </w:rPr>
        <w:fldChar w:fldCharType="end"/>
      </w:r>
      <w:r>
        <w:t xml:space="preserve"> (OBJ II, kap. 3.3.2). K</w:t>
      </w:r>
      <w:r w:rsidR="08163013">
        <w:rPr>
          <w:szCs w:val="14"/>
        </w:rPr>
        <w:t xml:space="preserve">aždému kroku </w:t>
      </w:r>
      <w:r w:rsidR="0021615F">
        <w:rPr>
          <w:szCs w:val="14"/>
        </w:rPr>
        <w:t>v rámci „</w:t>
      </w:r>
      <w:r w:rsidR="0021615F" w:rsidRPr="0021615F">
        <w:rPr>
          <w:i/>
          <w:szCs w:val="14"/>
        </w:rPr>
        <w:t>informatio</w:t>
      </w:r>
      <w:r w:rsidR="0021615F">
        <w:rPr>
          <w:szCs w:val="14"/>
        </w:rPr>
        <w:t xml:space="preserve">“ </w:t>
      </w:r>
      <w:r w:rsidR="08163013" w:rsidRPr="00273106">
        <w:rPr>
          <w:szCs w:val="14"/>
        </w:rPr>
        <w:t xml:space="preserve">odpovídá příslušný </w:t>
      </w:r>
      <w:r w:rsidR="0021615F">
        <w:rPr>
          <w:szCs w:val="14"/>
        </w:rPr>
        <w:t>„</w:t>
      </w:r>
      <w:r w:rsidR="08163013" w:rsidRPr="00273106">
        <w:rPr>
          <w:i/>
          <w:szCs w:val="14"/>
        </w:rPr>
        <w:t>appetitus</w:t>
      </w:r>
      <w:r w:rsidR="0021615F">
        <w:rPr>
          <w:szCs w:val="14"/>
        </w:rPr>
        <w:t>“</w:t>
      </w:r>
      <w:r w:rsidR="08163013">
        <w:rPr>
          <w:i/>
          <w:szCs w:val="14"/>
        </w:rPr>
        <w:fldChar w:fldCharType="begin"/>
      </w:r>
      <w:r w:rsidR="08163013">
        <w:instrText xml:space="preserve"> XE "</w:instrText>
      </w:r>
      <w:r w:rsidR="08163013" w:rsidRPr="007E6333">
        <w:rPr>
          <w:i/>
        </w:rPr>
        <w:instrText>appetitus</w:instrText>
      </w:r>
      <w:r w:rsidR="08163013">
        <w:instrText xml:space="preserve">" </w:instrText>
      </w:r>
      <w:r w:rsidR="08163013">
        <w:rPr>
          <w:i/>
          <w:szCs w:val="14"/>
        </w:rPr>
        <w:fldChar w:fldCharType="end"/>
      </w:r>
      <w:r w:rsidR="08163013" w:rsidRPr="00273106">
        <w:rPr>
          <w:szCs w:val="14"/>
        </w:rPr>
        <w:t xml:space="preserve"> jsoucna </w:t>
      </w:r>
      <w:r w:rsidR="08163013">
        <w:rPr>
          <w:szCs w:val="14"/>
        </w:rPr>
        <w:t xml:space="preserve">ochotného přijmout </w:t>
      </w:r>
      <w:r w:rsidR="08163013" w:rsidRPr="00273106">
        <w:rPr>
          <w:szCs w:val="14"/>
        </w:rPr>
        <w:t>demiurge</w:t>
      </w:r>
      <w:r w:rsidR="08163013">
        <w:rPr>
          <w:szCs w:val="14"/>
        </w:rPr>
        <w:t>m nazíranou formu</w:t>
      </w:r>
      <w:r w:rsidR="08163013">
        <w:rPr>
          <w:szCs w:val="14"/>
        </w:rPr>
        <w:fldChar w:fldCharType="begin"/>
      </w:r>
      <w:r w:rsidR="08163013">
        <w:instrText xml:space="preserve"> XE "produkce:demiurg" </w:instrText>
      </w:r>
      <w:r w:rsidR="08163013">
        <w:rPr>
          <w:szCs w:val="14"/>
        </w:rPr>
        <w:fldChar w:fldCharType="end"/>
      </w:r>
      <w:r w:rsidR="08163013" w:rsidRPr="00273106">
        <w:rPr>
          <w:szCs w:val="14"/>
        </w:rPr>
        <w:t>.</w:t>
      </w:r>
      <w:r w:rsidR="08163013">
        <w:t xml:space="preserve"> </w:t>
      </w:r>
      <w:r w:rsidR="00465ED2">
        <w:t>Demiurgova</w:t>
      </w:r>
      <w:r w:rsidR="003916CF">
        <w:t xml:space="preserve"> t</w:t>
      </w:r>
      <w:r w:rsidR="08163013">
        <w:t xml:space="preserve">ouha tvořit potkává touhu </w:t>
      </w:r>
      <w:r w:rsidR="003916CF">
        <w:t xml:space="preserve">materie </w:t>
      </w:r>
      <w:r w:rsidR="08163013">
        <w:t xml:space="preserve">po formě. Analogie se týká základní žádostivosti po manipulaci materie, kterou příslušný subjekt poznává v materii třetího druhu dané jako hypostázované </w:t>
      </w:r>
      <w:r w:rsidR="08163013" w:rsidRPr="00955C96">
        <w:rPr>
          <w:i/>
        </w:rPr>
        <w:t>scibile</w:t>
      </w:r>
      <w:r w:rsidR="08163013">
        <w:t>.</w:t>
      </w:r>
      <w:r w:rsidR="08163013" w:rsidRPr="003F0B22">
        <w:t xml:space="preserve"> </w:t>
      </w:r>
      <w:r w:rsidR="08163013">
        <w:t xml:space="preserve">Moderna má před sebou parousii boží demiurgické produkce, kterou iluminát nazírá v přímém objektivním náhledu. První averroismus měl poznání pouze v modu </w:t>
      </w:r>
      <w:r w:rsidR="081942A4">
        <w:t xml:space="preserve">metafyzického </w:t>
      </w:r>
      <w:r w:rsidR="08163013">
        <w:t xml:space="preserve">dativu, takže musel sledovat v </w:t>
      </w:r>
      <w:r w:rsidR="08163013">
        <w:lastRenderedPageBreak/>
        <w:t xml:space="preserve">minulostním modu boží působení jako </w:t>
      </w:r>
      <w:r w:rsidR="08163013" w:rsidRPr="08C84132">
        <w:rPr>
          <w:i/>
        </w:rPr>
        <w:t>causa prima</w:t>
      </w:r>
      <w:r w:rsidR="08163013">
        <w:t xml:space="preserve"> ve stvoření. Moderna osvícená sluncem intelektu a světlem boží tváře se dívá bohu </w:t>
      </w:r>
      <w:r w:rsidR="08163013" w:rsidRPr="08C84132">
        <w:rPr>
          <w:i/>
        </w:rPr>
        <w:t>Modernorum</w:t>
      </w:r>
      <w:r w:rsidR="08163013">
        <w:t xml:space="preserve"> přes rameno popisuje objektivní proces, jak tento svrchovaný demiurg tvoří svět. </w:t>
      </w:r>
      <w:r w:rsidR="089878D5">
        <w:t xml:space="preserve">Bonaventura vytvořil </w:t>
      </w:r>
      <w:r w:rsidR="08163013">
        <w:t>kompletní strukturu ontoteologické produkce</w:t>
      </w:r>
      <w:r w:rsidR="08163013">
        <w:fldChar w:fldCharType="begin"/>
      </w:r>
      <w:r w:rsidR="08163013">
        <w:instrText xml:space="preserve"> XE "</w:instrText>
      </w:r>
      <w:r w:rsidR="08163013" w:rsidRPr="001B194D">
        <w:instrText>produkce:</w:instrText>
      </w:r>
      <w:r w:rsidR="08163013">
        <w:instrText xml:space="preserve">demiurg" </w:instrText>
      </w:r>
      <w:r w:rsidR="08163013">
        <w:fldChar w:fldCharType="end"/>
      </w:r>
      <w:r w:rsidR="08163013">
        <w:t xml:space="preserve"> jsoucna (</w:t>
      </w:r>
      <w:r w:rsidR="08163013" w:rsidRPr="00505B1A">
        <w:rPr>
          <w:i/>
        </w:rPr>
        <w:t>resolutio</w:t>
      </w:r>
      <w:r w:rsidR="08163013">
        <w:t>)</w:t>
      </w:r>
      <w:r w:rsidR="08B60E00">
        <w:t xml:space="preserve">. Komentář k Sentencím vysvětlil </w:t>
      </w:r>
      <w:r w:rsidR="004113E0">
        <w:t xml:space="preserve">racionalitu </w:t>
      </w:r>
      <w:r w:rsidR="08B60E00">
        <w:t xml:space="preserve">této </w:t>
      </w:r>
      <w:r w:rsidR="089878D5">
        <w:t>produ</w:t>
      </w:r>
      <w:r w:rsidR="08B60E00">
        <w:t xml:space="preserve">kce skrze </w:t>
      </w:r>
      <w:r w:rsidR="08163013">
        <w:t xml:space="preserve">trojí způsob osmyslňování všeho jsoucího. </w:t>
      </w:r>
      <w:r w:rsidR="08FC38B4">
        <w:t>Svět tvoří objektivně pojatý způsob trojího osmyslňování jsoucna. Následující c</w:t>
      </w:r>
      <w:r w:rsidR="08EA4321">
        <w:t xml:space="preserve">itát </w:t>
      </w:r>
      <w:r w:rsidR="08163013">
        <w:t xml:space="preserve">zakládá </w:t>
      </w:r>
      <w:r w:rsidR="08FC38B4">
        <w:t xml:space="preserve">perspektivu </w:t>
      </w:r>
      <w:r w:rsidR="08FC38B4" w:rsidRPr="081942A4">
        <w:rPr>
          <w:szCs w:val="24"/>
        </w:rPr>
        <w:t>(</w:t>
      </w:r>
      <w:r w:rsidR="08FC38B4" w:rsidRPr="081942A4">
        <w:rPr>
          <w:i/>
          <w:szCs w:val="24"/>
        </w:rPr>
        <w:t>Vor-blickbahn</w:t>
      </w:r>
      <w:r w:rsidR="00716C2F">
        <w:rPr>
          <w:szCs w:val="24"/>
        </w:rPr>
        <w:t>) na smysl jsoucna, která</w:t>
      </w:r>
      <w:r w:rsidR="08FC38B4" w:rsidRPr="081942A4">
        <w:rPr>
          <w:szCs w:val="24"/>
        </w:rPr>
        <w:t xml:space="preserve"> určuje moderní technologický</w:t>
      </w:r>
      <w:r w:rsidR="08DF3FE1">
        <w:rPr>
          <w:szCs w:val="24"/>
          <w:lang w:val="de-DE"/>
        </w:rPr>
        <w:fldChar w:fldCharType="begin"/>
      </w:r>
      <w:r w:rsidR="08DF3FE1">
        <w:instrText xml:space="preserve"> XE "</w:instrText>
      </w:r>
      <w:r w:rsidR="08DF3FE1" w:rsidRPr="081942A4">
        <w:rPr>
          <w:szCs w:val="24"/>
        </w:rPr>
        <w:instrText>technologie</w:instrText>
      </w:r>
      <w:r w:rsidR="08DF3FE1">
        <w:instrText xml:space="preserve">" </w:instrText>
      </w:r>
      <w:r w:rsidR="08DF3FE1">
        <w:rPr>
          <w:szCs w:val="24"/>
          <w:lang w:val="de-DE"/>
        </w:rPr>
        <w:fldChar w:fldCharType="end"/>
      </w:r>
      <w:r w:rsidR="08FC38B4" w:rsidRPr="081942A4">
        <w:rPr>
          <w:szCs w:val="24"/>
        </w:rPr>
        <w:t xml:space="preserve"> náhled demiurga na svět.</w:t>
      </w:r>
    </w:p>
    <w:p w:rsidR="08163013" w:rsidRPr="00353CF1" w:rsidRDefault="08163013" w:rsidP="08FC38B4">
      <w:pPr>
        <w:pStyle w:val="Citace"/>
      </w:pPr>
      <w:r w:rsidRPr="00273106">
        <w:rPr>
          <w:noProof/>
        </w:rPr>
        <w:t>„</w:t>
      </w:r>
      <w:r>
        <w:t>Věci jsou v bohu obsaženy trojím způs</w:t>
      </w:r>
      <w:r w:rsidR="002961D8">
        <w:t>obem. V bohu jako principiální</w:t>
      </w:r>
      <w:r w:rsidR="002961D8">
        <w:rPr>
          <w:lang w:val="cs-CZ"/>
        </w:rPr>
        <w:t xml:space="preserve">m </w:t>
      </w:r>
      <w:r w:rsidR="002961D8">
        <w:t>produ</w:t>
      </w:r>
      <w:r w:rsidR="002961D8">
        <w:rPr>
          <w:lang w:val="cs-CZ"/>
        </w:rPr>
        <w:t>centovi</w:t>
      </w:r>
      <w:r>
        <w:t xml:space="preserve"> (</w:t>
      </w:r>
      <w:r w:rsidRPr="009C4F32">
        <w:rPr>
          <w:i/>
          <w:noProof/>
        </w:rPr>
        <w:t>in principio producente</w:t>
      </w:r>
      <w:r w:rsidR="00166AB0">
        <w:t>) jsou věci dány v potenciální</w:t>
      </w:r>
      <w:r w:rsidR="00166AB0">
        <w:rPr>
          <w:lang w:val="cs-CZ"/>
        </w:rPr>
        <w:t xml:space="preserve"> racionalitě </w:t>
      </w:r>
      <w:r>
        <w:t>(</w:t>
      </w:r>
      <w:r w:rsidRPr="009C4F32">
        <w:rPr>
          <w:i/>
          <w:noProof/>
        </w:rPr>
        <w:t>in ratione potentiae</w:t>
      </w:r>
      <w:r>
        <w:t>). Bůh věci zakouší v jejich exemplaritě (</w:t>
      </w:r>
      <w:r w:rsidRPr="009C4F32">
        <w:rPr>
          <w:i/>
          <w:noProof/>
        </w:rPr>
        <w:t>in exemplari exprimente</w:t>
      </w:r>
      <w:r>
        <w:t xml:space="preserve">), a tím </w:t>
      </w:r>
      <w:r w:rsidR="00B6263B">
        <w:rPr>
          <w:lang w:val="cs-CZ"/>
        </w:rPr>
        <w:t xml:space="preserve">jim </w:t>
      </w:r>
      <w:r>
        <w:t>dává do racionální</w:t>
      </w:r>
      <w:r w:rsidR="00B6263B">
        <w:rPr>
          <w:lang w:val="cs-CZ"/>
        </w:rPr>
        <w:t xml:space="preserve"> definici </w:t>
      </w:r>
      <w:r>
        <w:t>(</w:t>
      </w:r>
      <w:r w:rsidRPr="009C4F32">
        <w:rPr>
          <w:i/>
          <w:noProof/>
        </w:rPr>
        <w:t>in ratione notitiae</w:t>
      </w:r>
      <w:r>
        <w:t>). A nakonec je udržuje v bytí vzhledem k jejich cíli (</w:t>
      </w:r>
      <w:r w:rsidRPr="009C4F32">
        <w:rPr>
          <w:i/>
          <w:noProof/>
        </w:rPr>
        <w:t>in fine conservante</w:t>
      </w:r>
      <w:r>
        <w:t>), což je úkon jeho racionální vůle (</w:t>
      </w:r>
      <w:r w:rsidRPr="009C4F32">
        <w:rPr>
          <w:i/>
          <w:noProof/>
        </w:rPr>
        <w:t>in ratione voluntatis</w:t>
      </w:r>
      <w:r>
        <w:t xml:space="preserve">).“ </w:t>
      </w:r>
      <w:r>
        <w:rPr>
          <w:rStyle w:val="Znakapoznpodarou"/>
        </w:rPr>
        <w:footnoteReference w:id="75"/>
      </w:r>
    </w:p>
    <w:p w:rsidR="00BF24F6" w:rsidRDefault="08163013" w:rsidP="08163013">
      <w:r w:rsidRPr="00273106">
        <w:t>Nová ontoteologická struktura spojuje Bibli a filosofii tím, že vytváří provázanou sérii</w:t>
      </w:r>
      <w:r>
        <w:t xml:space="preserve"> tří určení </w:t>
      </w:r>
      <w:r w:rsidR="006A2934">
        <w:t xml:space="preserve">objektivního </w:t>
      </w:r>
      <w:r>
        <w:t xml:space="preserve">jsoucna </w:t>
      </w:r>
      <w:r w:rsidRPr="00273106">
        <w:t>(</w:t>
      </w:r>
      <w:r w:rsidRPr="00273106">
        <w:rPr>
          <w:i/>
        </w:rPr>
        <w:t>res tripliciter sunt in Deo</w:t>
      </w:r>
      <w:r w:rsidRPr="00273106">
        <w:t>)</w:t>
      </w:r>
      <w:r>
        <w:t xml:space="preserve">. </w:t>
      </w:r>
      <w:r w:rsidR="006A2934">
        <w:t xml:space="preserve">Božský </w:t>
      </w:r>
      <w:r>
        <w:t>demiurg</w:t>
      </w:r>
      <w:r w:rsidRPr="00273106">
        <w:t xml:space="preserve"> </w:t>
      </w:r>
      <w:r>
        <w:t>jako první moderní kapitalista</w:t>
      </w:r>
      <w:r>
        <w:fldChar w:fldCharType="begin"/>
      </w:r>
      <w:r>
        <w:instrText xml:space="preserve"> XE "</w:instrText>
      </w:r>
      <w:r w:rsidRPr="007826B4">
        <w:rPr>
          <w:i/>
        </w:rPr>
        <w:instrText>Lichtung:</w:instrText>
      </w:r>
      <w:r w:rsidRPr="007826B4">
        <w:instrText>kapitalismus</w:instrText>
      </w:r>
      <w:r>
        <w:instrText xml:space="preserve">" </w:instrText>
      </w:r>
      <w:r>
        <w:fldChar w:fldCharType="end"/>
      </w:r>
      <w:r>
        <w:t xml:space="preserve"> globálně zajišťuje objektivní p</w:t>
      </w:r>
      <w:r w:rsidRPr="00273106">
        <w:t>rodukc</w:t>
      </w:r>
      <w:r>
        <w:t>i</w:t>
      </w:r>
      <w:r w:rsidRPr="00273106">
        <w:t xml:space="preserve"> svrchovaného smyslu jsoucna (</w:t>
      </w:r>
      <w:r w:rsidRPr="00273106">
        <w:rPr>
          <w:i/>
        </w:rPr>
        <w:t>in principio producente</w:t>
      </w:r>
      <w:r w:rsidRPr="00273106">
        <w:t>)</w:t>
      </w:r>
      <w:r>
        <w:t xml:space="preserve">. </w:t>
      </w:r>
      <w:r w:rsidR="00D87D67" w:rsidRPr="00D87D67">
        <w:t xml:space="preserve">První mytologický </w:t>
      </w:r>
      <w:r w:rsidR="00D87D67" w:rsidRPr="00D87D67">
        <w:rPr>
          <w:i/>
        </w:rPr>
        <w:t>dativus possessivus</w:t>
      </w:r>
      <w:r w:rsidR="00222A5A">
        <w:rPr>
          <w:i/>
        </w:rPr>
        <w:fldChar w:fldCharType="begin"/>
      </w:r>
      <w:r w:rsidR="00222A5A">
        <w:instrText xml:space="preserve"> XE "</w:instrText>
      </w:r>
      <w:r w:rsidR="00222A5A" w:rsidRPr="00E83E2C">
        <w:rPr>
          <w:i/>
        </w:rPr>
        <w:instrText>dativus possessivus</w:instrText>
      </w:r>
      <w:r w:rsidR="00222A5A">
        <w:instrText xml:space="preserve">" </w:instrText>
      </w:r>
      <w:r w:rsidR="00222A5A">
        <w:rPr>
          <w:i/>
        </w:rPr>
        <w:fldChar w:fldCharType="end"/>
      </w:r>
      <w:r w:rsidR="00D87D67" w:rsidRPr="00D87D67">
        <w:t xml:space="preserve"> kapitalismu musí být božský; stalo se tak </w:t>
      </w:r>
      <w:r w:rsidR="00D87D67" w:rsidRPr="00D87D67">
        <w:rPr>
          <w:i/>
        </w:rPr>
        <w:t>in illo tempore</w:t>
      </w:r>
      <w:r w:rsidR="00D87D67">
        <w:t>, když moderní b</w:t>
      </w:r>
      <w:r w:rsidR="00D87D67" w:rsidRPr="00D87D67">
        <w:t xml:space="preserve">ůh </w:t>
      </w:r>
      <w:r w:rsidR="00D87D67">
        <w:t xml:space="preserve">zajistil </w:t>
      </w:r>
      <w:r w:rsidR="00D87D67" w:rsidRPr="00D87D67">
        <w:t xml:space="preserve">první </w:t>
      </w:r>
      <w:r w:rsidR="00D87D67">
        <w:t xml:space="preserve">dodávku </w:t>
      </w:r>
      <w:r w:rsidR="00D87D67" w:rsidRPr="00D87D67">
        <w:t>(</w:t>
      </w:r>
      <w:r w:rsidR="00D87D67" w:rsidRPr="00D87D67">
        <w:rPr>
          <w:i/>
        </w:rPr>
        <w:t>Ge-Stell</w:t>
      </w:r>
      <w:r w:rsidR="00222A5A">
        <w:rPr>
          <w:i/>
        </w:rPr>
        <w:fldChar w:fldCharType="begin"/>
      </w:r>
      <w:r w:rsidR="00222A5A">
        <w:instrText xml:space="preserve"> XE "</w:instrText>
      </w:r>
      <w:r w:rsidR="00222A5A" w:rsidRPr="00A41373">
        <w:rPr>
          <w:i/>
        </w:rPr>
        <w:instrText>Ge-Stell</w:instrText>
      </w:r>
      <w:r w:rsidR="00222A5A">
        <w:instrText xml:space="preserve">" </w:instrText>
      </w:r>
      <w:r w:rsidR="00222A5A">
        <w:rPr>
          <w:i/>
        </w:rPr>
        <w:fldChar w:fldCharType="end"/>
      </w:r>
      <w:r w:rsidR="00D87D67" w:rsidRPr="00D87D67">
        <w:t xml:space="preserve">) objektivního bytí před sebou </w:t>
      </w:r>
      <w:r w:rsidR="00D87D67">
        <w:t xml:space="preserve">samým, </w:t>
      </w:r>
      <w:r w:rsidR="00BE4A5B">
        <w:t>v</w:t>
      </w:r>
      <w:r w:rsidR="00D87D67">
        <w:t xml:space="preserve"> </w:t>
      </w:r>
      <w:r w:rsidR="00210072">
        <w:t>je</w:t>
      </w:r>
      <w:r w:rsidR="00FE5534">
        <w:t>ho absolutně dané e</w:t>
      </w:r>
      <w:r w:rsidR="00D87D67">
        <w:t>ssenci</w:t>
      </w:r>
      <w:r w:rsidR="00FE5534">
        <w:t xml:space="preserve"> a i</w:t>
      </w:r>
      <w:r w:rsidR="00BE4A5B">
        <w:t>nterioritě</w:t>
      </w:r>
      <w:r w:rsidR="00D87D67" w:rsidRPr="00D87D67">
        <w:t>.</w:t>
      </w:r>
      <w:r w:rsidR="00222A5A">
        <w:t xml:space="preserve"> </w:t>
      </w:r>
      <w:r>
        <w:t xml:space="preserve">Tento základní mystický kapitál moderny vzniká tím, že proces stvořitelské produkce mění </w:t>
      </w:r>
      <w:r w:rsidR="00537075">
        <w:t xml:space="preserve">povahu </w:t>
      </w:r>
      <w:r>
        <w:t xml:space="preserve">jsoucna v prvním technologickém procesu moderny. Boží </w:t>
      </w:r>
      <w:r w:rsidR="0077118B">
        <w:t xml:space="preserve">produktivita </w:t>
      </w:r>
      <w:r>
        <w:t>se transformuje od exemplární potence v boží esenci, přes racionální objektivitu v boží inteligenci, do reálné aktuality stvoření skrze boží vůli. Produkce objektivního jsoucna j</w:t>
      </w:r>
      <w:r w:rsidR="00D943B2">
        <w:t xml:space="preserve">e </w:t>
      </w:r>
      <w:r w:rsidRPr="00273106">
        <w:t>prezentován</w:t>
      </w:r>
      <w:r w:rsidR="00D943B2">
        <w:t>a</w:t>
      </w:r>
      <w:r w:rsidRPr="00273106">
        <w:t xml:space="preserve"> jako abs</w:t>
      </w:r>
      <w:r>
        <w:t xml:space="preserve">olutní </w:t>
      </w:r>
      <w:r w:rsidR="006F588D">
        <w:t>událost (</w:t>
      </w:r>
      <w:r w:rsidR="006F588D" w:rsidRPr="006F588D">
        <w:rPr>
          <w:i/>
        </w:rPr>
        <w:t>Ereignis</w:t>
      </w:r>
      <w:r w:rsidR="006F588D">
        <w:rPr>
          <w:i/>
        </w:rPr>
        <w:fldChar w:fldCharType="begin"/>
      </w:r>
      <w:r w:rsidR="006F588D">
        <w:instrText xml:space="preserve"> XE "</w:instrText>
      </w:r>
      <w:r w:rsidR="006F588D" w:rsidRPr="00C90B0C">
        <w:rPr>
          <w:i/>
        </w:rPr>
        <w:instrText>Ereignis</w:instrText>
      </w:r>
      <w:r w:rsidR="006F588D">
        <w:instrText xml:space="preserve">" </w:instrText>
      </w:r>
      <w:r w:rsidR="006F588D">
        <w:rPr>
          <w:i/>
        </w:rPr>
        <w:fldChar w:fldCharType="end"/>
      </w:r>
      <w:r w:rsidR="006F588D">
        <w:t xml:space="preserve">). Substanciální potence moderního boha jako prvního kapitalistického demiurga není ničím omezena </w:t>
      </w:r>
      <w:r w:rsidR="006F588D" w:rsidRPr="00273106">
        <w:t>(</w:t>
      </w:r>
      <w:r w:rsidR="006F588D" w:rsidRPr="00273106">
        <w:rPr>
          <w:i/>
        </w:rPr>
        <w:t>in ratione potentiae</w:t>
      </w:r>
      <w:r w:rsidR="006F588D" w:rsidRPr="00273106">
        <w:t>)</w:t>
      </w:r>
      <w:r>
        <w:t>. Technologická produkce demiurga musí být racionální a to exemplárním způsobem</w:t>
      </w:r>
      <w:r w:rsidR="00261D4A">
        <w:t xml:space="preserve">, když bůz zakouší své intencionální objekty </w:t>
      </w:r>
      <w:r w:rsidR="006F588D">
        <w:t>(</w:t>
      </w:r>
      <w:r w:rsidR="006F588D" w:rsidRPr="00595539">
        <w:rPr>
          <w:i/>
        </w:rPr>
        <w:t>in exemplari exprimente</w:t>
      </w:r>
      <w:r w:rsidR="006F588D">
        <w:t>)</w:t>
      </w:r>
      <w:r w:rsidRPr="00273106">
        <w:t xml:space="preserve">. </w:t>
      </w:r>
      <w:r>
        <w:t>B</w:t>
      </w:r>
      <w:r w:rsidRPr="00273106">
        <w:t xml:space="preserve">ůh </w:t>
      </w:r>
      <w:r>
        <w:t xml:space="preserve">aktualizuje </w:t>
      </w:r>
      <w:r w:rsidRPr="00273106">
        <w:t>své schopnosti</w:t>
      </w:r>
      <w:r w:rsidR="00261D4A">
        <w:t xml:space="preserve"> díky výkonu archetypické mysli</w:t>
      </w:r>
      <w:r>
        <w:t xml:space="preserve">, která zakouší exemplary </w:t>
      </w:r>
      <w:r w:rsidR="00261D4A">
        <w:t>jako racionální esence (</w:t>
      </w:r>
      <w:r w:rsidR="00261D4A" w:rsidRPr="00595539">
        <w:rPr>
          <w:i/>
        </w:rPr>
        <w:t>in ratione notitiae</w:t>
      </w:r>
      <w:r w:rsidR="00261D4A">
        <w:t>)</w:t>
      </w:r>
      <w:r w:rsidRPr="00273106">
        <w:t xml:space="preserve">. </w:t>
      </w:r>
      <w:r w:rsidR="00C363AA">
        <w:t>Nakonec b</w:t>
      </w:r>
      <w:r w:rsidR="00C363AA" w:rsidRPr="00C363AA">
        <w:t>ůh d</w:t>
      </w:r>
      <w:r w:rsidR="00C363AA">
        <w:t xml:space="preserve">ohlíží na celkovou </w:t>
      </w:r>
      <w:r w:rsidR="00C363AA">
        <w:lastRenderedPageBreak/>
        <w:t>produkci jsoucna</w:t>
      </w:r>
      <w:r w:rsidR="00C363AA" w:rsidRPr="00C363AA">
        <w:t xml:space="preserve"> v jeho stvořené </w:t>
      </w:r>
      <w:r w:rsidR="00C363AA">
        <w:t xml:space="preserve">finalitě </w:t>
      </w:r>
      <w:r w:rsidR="00C363AA" w:rsidRPr="00C363AA">
        <w:t>(</w:t>
      </w:r>
      <w:r w:rsidR="00C363AA" w:rsidRPr="00C363AA">
        <w:rPr>
          <w:i/>
        </w:rPr>
        <w:t>in fine conservante</w:t>
      </w:r>
      <w:r w:rsidR="00C363AA" w:rsidRPr="00C363AA">
        <w:t>). Tato produkce reálného bytí je ur</w:t>
      </w:r>
      <w:r w:rsidR="00637515">
        <w:t>čována aktem svrchované b</w:t>
      </w:r>
      <w:r w:rsidR="00C363AA" w:rsidRPr="00C363AA">
        <w:t>oží vůle (</w:t>
      </w:r>
      <w:r w:rsidR="00C363AA" w:rsidRPr="00C363AA">
        <w:rPr>
          <w:i/>
        </w:rPr>
        <w:t>in ratione voluntatis</w:t>
      </w:r>
      <w:r w:rsidR="00DE4BE6">
        <w:t xml:space="preserve">). </w:t>
      </w:r>
      <w:r w:rsidR="00C43AFD">
        <w:t xml:space="preserve">Bonaventura vytvořil kompletní </w:t>
      </w:r>
      <w:r w:rsidR="00C43AFD" w:rsidRPr="00C43AFD">
        <w:rPr>
          <w:i/>
        </w:rPr>
        <w:t>resolutio</w:t>
      </w:r>
      <w:r w:rsidR="00C43AFD">
        <w:t xml:space="preserve"> objektivního jsoucna v rámci moderní kapitalistické produkce. Jeho mytologický základ je intentionalitě a komitaci moderního boha vytvořené podle Avicenny. Tato objektivní rovina „</w:t>
      </w:r>
      <w:r w:rsidR="00C43AFD" w:rsidRPr="00C43AFD">
        <w:rPr>
          <w:i/>
        </w:rPr>
        <w:t>esse ad</w:t>
      </w:r>
      <w:r w:rsidR="00C43AFD">
        <w:rPr>
          <w:i/>
        </w:rPr>
        <w:fldChar w:fldCharType="begin"/>
      </w:r>
      <w:r w:rsidR="00C43AFD">
        <w:instrText xml:space="preserve"> XE "</w:instrText>
      </w:r>
      <w:r w:rsidR="00C43AFD" w:rsidRPr="00C5598F">
        <w:rPr>
          <w:i/>
        </w:rPr>
        <w:instrText>esse ad</w:instrText>
      </w:r>
      <w:r w:rsidR="00C43AFD">
        <w:instrText xml:space="preserve">" </w:instrText>
      </w:r>
      <w:r w:rsidR="00C43AFD">
        <w:rPr>
          <w:i/>
        </w:rPr>
        <w:fldChar w:fldCharType="end"/>
      </w:r>
      <w:r w:rsidR="00C43AFD">
        <w:t>“ (</w:t>
      </w:r>
      <w:r w:rsidR="00C43AFD" w:rsidRPr="000D72C8">
        <w:t>software</w:t>
      </w:r>
      <w:r w:rsidR="00C43AFD">
        <w:t xml:space="preserve">) </w:t>
      </w:r>
      <w:r w:rsidR="000D72C8">
        <w:t>v bohu (</w:t>
      </w:r>
      <w:proofErr w:type="gramStart"/>
      <w:r w:rsidR="000D72C8" w:rsidRPr="001728F8">
        <w:rPr>
          <w:i/>
        </w:rPr>
        <w:t>potentia</w:t>
      </w:r>
      <w:proofErr w:type="gramEnd"/>
      <w:r w:rsidR="000D72C8" w:rsidRPr="001728F8">
        <w:rPr>
          <w:rFonts w:cs="Calibri"/>
          <w:i/>
        </w:rPr>
        <w:t>—</w:t>
      </w:r>
      <w:proofErr w:type="gramStart"/>
      <w:r w:rsidR="000D72C8" w:rsidRPr="001728F8">
        <w:rPr>
          <w:rFonts w:cs="Calibri"/>
          <w:i/>
        </w:rPr>
        <w:t>exemplar</w:t>
      </w:r>
      <w:proofErr w:type="gramEnd"/>
      <w:r w:rsidR="000D72C8" w:rsidRPr="001728F8">
        <w:rPr>
          <w:rFonts w:cs="Calibri"/>
          <w:i/>
        </w:rPr>
        <w:t>—notitia</w:t>
      </w:r>
      <w:r w:rsidR="000D72C8">
        <w:t xml:space="preserve">) </w:t>
      </w:r>
      <w:r w:rsidR="00C43AFD">
        <w:t>je oddělena od reálné produkce stvořeného světa (</w:t>
      </w:r>
      <w:r w:rsidR="00C43AFD" w:rsidRPr="000D72C8">
        <w:t>hardware</w:t>
      </w:r>
      <w:r w:rsidR="00C43AFD">
        <w:t xml:space="preserve">). </w:t>
      </w:r>
      <w:r w:rsidRPr="00273106">
        <w:t xml:space="preserve">Trojím určením </w:t>
      </w:r>
      <w:r w:rsidR="00DE4BE6">
        <w:t>objek</w:t>
      </w:r>
      <w:r w:rsidR="00C43AFD">
        <w:t xml:space="preserve">tivního </w:t>
      </w:r>
      <w:r w:rsidRPr="00273106">
        <w:t xml:space="preserve">smyslu jsoucna </w:t>
      </w:r>
      <w:r>
        <w:t>v božím bytí</w:t>
      </w:r>
      <w:r w:rsidR="00DE4BE6">
        <w:t xml:space="preserve"> a </w:t>
      </w:r>
      <w:r w:rsidR="08451298">
        <w:t xml:space="preserve">tvořivé </w:t>
      </w:r>
      <w:r>
        <w:t xml:space="preserve">inteligenci vznikla nová </w:t>
      </w:r>
      <w:r w:rsidR="08C01018">
        <w:t>forma objek</w:t>
      </w:r>
      <w:r w:rsidR="08451298">
        <w:t>tivní predikace navázané</w:t>
      </w:r>
      <w:r>
        <w:t xml:space="preserve"> v modu </w:t>
      </w:r>
      <w:r w:rsidRPr="008A01A6">
        <w:rPr>
          <w:i/>
        </w:rPr>
        <w:t>per prius</w:t>
      </w:r>
      <w:r>
        <w:t xml:space="preserve"> na stvořitelskou demiurgickou aktivitu</w:t>
      </w:r>
      <w:r>
        <w:fldChar w:fldCharType="begin"/>
      </w:r>
      <w:r>
        <w:instrText xml:space="preserve"> XE "produkce:demiurg" </w:instrText>
      </w:r>
      <w:r>
        <w:fldChar w:fldCharType="end"/>
      </w:r>
      <w:r>
        <w:t xml:space="preserve">. V modu </w:t>
      </w:r>
      <w:r w:rsidRPr="008A01A6">
        <w:rPr>
          <w:i/>
        </w:rPr>
        <w:t>per posterius</w:t>
      </w:r>
      <w:r>
        <w:t xml:space="preserve"> je tato predikace dána směrem ke stvoření</w:t>
      </w:r>
      <w:r w:rsidR="00ED0735">
        <w:t xml:space="preserve"> jako akt reálné tvořivé vůle</w:t>
      </w:r>
      <w:r>
        <w:t xml:space="preserve">. Obě patra </w:t>
      </w:r>
      <w:r w:rsidR="08C01018">
        <w:t xml:space="preserve">demiurgické </w:t>
      </w:r>
      <w:r w:rsidR="006A0195">
        <w:t xml:space="preserve">aktivity </w:t>
      </w:r>
      <w:r w:rsidR="00DC0E89">
        <w:t xml:space="preserve">boha i člověka </w:t>
      </w:r>
      <w:r>
        <w:t>si vzájemně odpovídají v modu objektivně dané matematické analogie čísla, míry a váhy napojené na dvě patra absolutní stvořitelské regule (</w:t>
      </w:r>
      <w:r w:rsidRPr="009C4F32">
        <w:rPr>
          <w:i/>
        </w:rPr>
        <w:t>in ratione potentiae</w:t>
      </w:r>
      <w:r w:rsidR="008218F9">
        <w:rPr>
          <w:i/>
        </w:rPr>
        <w:t xml:space="preserve"> –</w:t>
      </w:r>
      <w:r>
        <w:rPr>
          <w:i/>
        </w:rPr>
        <w:t xml:space="preserve"> </w:t>
      </w:r>
      <w:r w:rsidRPr="009C4F32">
        <w:rPr>
          <w:i/>
        </w:rPr>
        <w:t>in exemplari exprimente</w:t>
      </w:r>
      <w:r>
        <w:t>). Celek světa daný aktem demiurgické intence a aktuální boží vůle má ve své reálné manifestaci jako boží opus objektivně-univoční charakter (</w:t>
      </w:r>
      <w:r w:rsidRPr="009C4F32">
        <w:rPr>
          <w:i/>
        </w:rPr>
        <w:t>in ratione notitiae</w:t>
      </w:r>
      <w:r>
        <w:t xml:space="preserve">). Svět je věčně intendován jako </w:t>
      </w:r>
      <w:r w:rsidR="00697CA5">
        <w:t>o</w:t>
      </w:r>
      <w:r w:rsidR="00697CA5" w:rsidRPr="00697CA5">
        <w:t xml:space="preserve">bjektivní a racionální </w:t>
      </w:r>
      <w:r w:rsidR="00697CA5" w:rsidRPr="00697CA5">
        <w:rPr>
          <w:i/>
        </w:rPr>
        <w:t>tertium ens</w:t>
      </w:r>
      <w:r w:rsidR="00697CA5" w:rsidRPr="00697CA5">
        <w:t xml:space="preserve">. Jelikož je nutně stvořen </w:t>
      </w:r>
      <w:r w:rsidR="00697CA5">
        <w:t xml:space="preserve">skrze analogii </w:t>
      </w:r>
      <w:r w:rsidR="00697CA5" w:rsidRPr="00697CA5">
        <w:t xml:space="preserve">mytologické </w:t>
      </w:r>
      <w:r w:rsidR="00697CA5">
        <w:t>tvořivosti</w:t>
      </w:r>
      <w:r w:rsidR="00697CA5" w:rsidRPr="00697CA5">
        <w:t xml:space="preserve">, </w:t>
      </w:r>
      <w:r w:rsidR="00697CA5">
        <w:t xml:space="preserve">pak </w:t>
      </w:r>
      <w:r w:rsidR="00697CA5" w:rsidRPr="00697CA5">
        <w:t xml:space="preserve">má </w:t>
      </w:r>
      <w:r w:rsidR="00697CA5">
        <w:t>i realita je má stejnou objektivně-racionální podstatu</w:t>
      </w:r>
      <w:r w:rsidR="00BF24F6">
        <w:t>.</w:t>
      </w:r>
    </w:p>
    <w:p w:rsidR="003E5057" w:rsidRDefault="00BF24F6" w:rsidP="00CD7F33">
      <w:pPr>
        <w:ind w:firstLine="397"/>
      </w:pPr>
      <w:r>
        <w:t xml:space="preserve">Bonaventura vytvořil donaci objektivního </w:t>
      </w:r>
      <w:r w:rsidR="08163013">
        <w:t xml:space="preserve">jsoucna </w:t>
      </w:r>
      <w:r>
        <w:t>(</w:t>
      </w:r>
      <w:r w:rsidRPr="00BF24F6">
        <w:rPr>
          <w:i/>
        </w:rPr>
        <w:t>dativus obiectivus</w:t>
      </w:r>
      <w:r w:rsidR="00866ABF">
        <w:rPr>
          <w:i/>
        </w:rPr>
        <w:fldChar w:fldCharType="begin"/>
      </w:r>
      <w:r w:rsidR="00866ABF">
        <w:instrText xml:space="preserve"> XE "</w:instrText>
      </w:r>
      <w:r w:rsidR="00866ABF" w:rsidRPr="00232B6A">
        <w:rPr>
          <w:i/>
        </w:rPr>
        <w:instrText>dativus obiectivus</w:instrText>
      </w:r>
      <w:r w:rsidR="00866ABF">
        <w:instrText xml:space="preserve">" </w:instrText>
      </w:r>
      <w:r w:rsidR="00866ABF">
        <w:rPr>
          <w:i/>
        </w:rPr>
        <w:fldChar w:fldCharType="end"/>
      </w:r>
      <w:r>
        <w:t xml:space="preserve">) jako ontoteologické předporozumění </w:t>
      </w:r>
      <w:r w:rsidR="08163013">
        <w:t>smysl jsoucna (</w:t>
      </w:r>
      <w:r w:rsidR="08163013" w:rsidRPr="0873483E">
        <w:rPr>
          <w:i/>
        </w:rPr>
        <w:t>Vor-blickbahn</w:t>
      </w:r>
      <w:r w:rsidR="08163013">
        <w:rPr>
          <w:i/>
        </w:rPr>
        <w:fldChar w:fldCharType="begin"/>
      </w:r>
      <w:r w:rsidR="08163013">
        <w:instrText xml:space="preserve"> XE "</w:instrText>
      </w:r>
      <w:r w:rsidR="08163013" w:rsidRPr="08414B07">
        <w:rPr>
          <w:i/>
        </w:rPr>
        <w:instrText>Vor-blickbahn</w:instrText>
      </w:r>
      <w:r w:rsidR="08163013">
        <w:instrText xml:space="preserve">" </w:instrText>
      </w:r>
      <w:r w:rsidR="08163013">
        <w:rPr>
          <w:i/>
        </w:rPr>
        <w:fldChar w:fldCharType="end"/>
      </w:r>
      <w:r>
        <w:t xml:space="preserve">), které je dáno </w:t>
      </w:r>
      <w:r w:rsidR="08163013">
        <w:t>v modu demiurgické produkce</w:t>
      </w:r>
      <w:r w:rsidR="00866ABF">
        <w:t xml:space="preserve"> (</w:t>
      </w:r>
      <w:r w:rsidR="00866ABF" w:rsidRPr="00866ABF">
        <w:rPr>
          <w:i/>
        </w:rPr>
        <w:t>dativus modi</w:t>
      </w:r>
      <w:r w:rsidR="00652B14">
        <w:rPr>
          <w:i/>
        </w:rPr>
        <w:fldChar w:fldCharType="begin"/>
      </w:r>
      <w:r w:rsidR="00652B14">
        <w:instrText xml:space="preserve"> XE "</w:instrText>
      </w:r>
      <w:r w:rsidR="00652B14" w:rsidRPr="000E49FC">
        <w:rPr>
          <w:i/>
        </w:rPr>
        <w:instrText>dativus modi</w:instrText>
      </w:r>
      <w:r w:rsidR="00652B14">
        <w:instrText xml:space="preserve">" </w:instrText>
      </w:r>
      <w:r w:rsidR="00652B14">
        <w:rPr>
          <w:i/>
        </w:rPr>
        <w:fldChar w:fldCharType="end"/>
      </w:r>
      <w:r w:rsidR="00866ABF">
        <w:t>)</w:t>
      </w:r>
      <w:r w:rsidR="08163013">
        <w:t xml:space="preserve">. Tím se zásadně změnil </w:t>
      </w:r>
      <w:r w:rsidR="00721122">
        <w:t>způsob</w:t>
      </w:r>
      <w:r w:rsidR="08163013">
        <w:t>, jak</w:t>
      </w:r>
      <w:r w:rsidR="08971C75">
        <w:t xml:space="preserve"> moderna nazírá stvoření. </w:t>
      </w:r>
      <w:r w:rsidR="00721122" w:rsidRPr="00721122">
        <w:t xml:space="preserve">Nový druh </w:t>
      </w:r>
      <w:r w:rsidR="00721122" w:rsidRPr="00721122">
        <w:rPr>
          <w:i/>
        </w:rPr>
        <w:t>Ge-Stell</w:t>
      </w:r>
      <w:r w:rsidR="00866ABF">
        <w:rPr>
          <w:i/>
        </w:rPr>
        <w:fldChar w:fldCharType="begin"/>
      </w:r>
      <w:r w:rsidR="00866ABF">
        <w:instrText xml:space="preserve"> XE "</w:instrText>
      </w:r>
      <w:r w:rsidR="00866ABF" w:rsidRPr="009F5119">
        <w:rPr>
          <w:i/>
        </w:rPr>
        <w:instrText>Ge-Stell</w:instrText>
      </w:r>
      <w:r w:rsidR="00866ABF">
        <w:instrText xml:space="preserve">" </w:instrText>
      </w:r>
      <w:r w:rsidR="00866ABF">
        <w:rPr>
          <w:i/>
        </w:rPr>
        <w:fldChar w:fldCharType="end"/>
      </w:r>
      <w:r w:rsidR="00721122" w:rsidRPr="00721122">
        <w:t xml:space="preserve"> jmenov</w:t>
      </w:r>
      <w:r w:rsidR="00721122">
        <w:t xml:space="preserve">al </w:t>
      </w:r>
      <w:r w:rsidR="00721122" w:rsidRPr="00721122">
        <w:t>demiurgický subjekt jako zdroj bytí. V modu mytologické komitace</w:t>
      </w:r>
      <w:r w:rsidR="000A647D">
        <w:t xml:space="preserve"> pak demiurgický </w:t>
      </w:r>
      <w:r w:rsidR="00721122" w:rsidRPr="00721122">
        <w:t>intelekt a vůle přisuzují tomuto bytí obje</w:t>
      </w:r>
      <w:r w:rsidR="00721122">
        <w:t>ktivní a posléze skutečnou jsoucnost</w:t>
      </w:r>
      <w:r w:rsidR="00721122" w:rsidRPr="00721122">
        <w:t xml:space="preserve">. </w:t>
      </w:r>
      <w:r w:rsidR="08971C75">
        <w:rPr>
          <w:iCs/>
        </w:rPr>
        <w:t xml:space="preserve">Kapitalistický </w:t>
      </w:r>
      <w:r w:rsidR="08971C75" w:rsidRPr="00273106">
        <w:rPr>
          <w:i/>
          <w:iCs/>
        </w:rPr>
        <w:t>Weltanschauung</w:t>
      </w:r>
      <w:r w:rsidR="08971C75">
        <w:rPr>
          <w:i/>
          <w:iCs/>
        </w:rPr>
        <w:fldChar w:fldCharType="begin"/>
      </w:r>
      <w:r w:rsidR="08971C75">
        <w:instrText xml:space="preserve"> XE "</w:instrText>
      </w:r>
      <w:r w:rsidR="08971C75" w:rsidRPr="08905332">
        <w:rPr>
          <w:i/>
          <w:iCs/>
        </w:rPr>
        <w:instrText>Weltanschauung</w:instrText>
      </w:r>
      <w:r w:rsidR="08971C75">
        <w:instrText xml:space="preserve">" </w:instrText>
      </w:r>
      <w:r w:rsidR="08971C75">
        <w:rPr>
          <w:i/>
          <w:iCs/>
        </w:rPr>
        <w:fldChar w:fldCharType="end"/>
      </w:r>
      <w:r w:rsidR="08971C75" w:rsidRPr="00273106">
        <w:rPr>
          <w:iCs/>
        </w:rPr>
        <w:t xml:space="preserve"> moderny</w:t>
      </w:r>
      <w:r w:rsidR="08971C75">
        <w:rPr>
          <w:iCs/>
        </w:rPr>
        <w:t xml:space="preserve"> </w:t>
      </w:r>
      <w:r w:rsidR="08971C75">
        <w:t>vznikl re</w:t>
      </w:r>
      <w:r w:rsidR="08457361">
        <w:t xml:space="preserve">voluční </w:t>
      </w:r>
      <w:r w:rsidR="08163013">
        <w:t xml:space="preserve">záměnou </w:t>
      </w:r>
      <w:r w:rsidR="08971C75">
        <w:t xml:space="preserve">aristotelské </w:t>
      </w:r>
      <w:r w:rsidR="08163013" w:rsidRPr="0884594E">
        <w:rPr>
          <w:i/>
        </w:rPr>
        <w:t>ousía</w:t>
      </w:r>
      <w:r w:rsidR="08163013">
        <w:t xml:space="preserve"> za </w:t>
      </w:r>
      <w:r w:rsidR="00E42D50">
        <w:t xml:space="preserve">demiurgickou </w:t>
      </w:r>
      <w:r w:rsidR="08163013" w:rsidRPr="0884594E">
        <w:rPr>
          <w:i/>
        </w:rPr>
        <w:t>parousía</w:t>
      </w:r>
      <w:r w:rsidR="00433C6A">
        <w:t xml:space="preserve">, kterou provedla </w:t>
      </w:r>
      <w:r w:rsidR="08953F81">
        <w:t>Bonaventurov</w:t>
      </w:r>
      <w:r w:rsidR="00433C6A">
        <w:t>a</w:t>
      </w:r>
      <w:r w:rsidR="08953F81">
        <w:t xml:space="preserve"> škol</w:t>
      </w:r>
      <w:r w:rsidR="007A0857">
        <w:t>a</w:t>
      </w:r>
      <w:r w:rsidR="08953F81">
        <w:t xml:space="preserve"> </w:t>
      </w:r>
      <w:r w:rsidR="086356F5">
        <w:t xml:space="preserve">pařížských </w:t>
      </w:r>
      <w:r w:rsidR="08953F81">
        <w:t>modernistů</w:t>
      </w:r>
      <w:r w:rsidR="08B53826">
        <w:rPr>
          <w:iCs/>
        </w:rPr>
        <w:t xml:space="preserve">. </w:t>
      </w:r>
      <w:r w:rsidR="007A0857" w:rsidRPr="007A0857">
        <w:rPr>
          <w:iCs/>
        </w:rPr>
        <w:t>Démonologie kapitalismu (</w:t>
      </w:r>
      <w:r w:rsidR="007A0857" w:rsidRPr="007A0857">
        <w:rPr>
          <w:i/>
          <w:iCs/>
        </w:rPr>
        <w:t>Irre</w:t>
      </w:r>
      <w:r w:rsidR="00214231">
        <w:rPr>
          <w:i/>
          <w:iCs/>
        </w:rPr>
        <w:fldChar w:fldCharType="begin"/>
      </w:r>
      <w:r w:rsidR="00214231">
        <w:instrText xml:space="preserve"> XE "</w:instrText>
      </w:r>
      <w:r w:rsidR="00214231" w:rsidRPr="0031383F">
        <w:rPr>
          <w:i/>
          <w:iCs/>
        </w:rPr>
        <w:instrText>Irre</w:instrText>
      </w:r>
      <w:r w:rsidR="00214231">
        <w:instrText xml:space="preserve">" </w:instrText>
      </w:r>
      <w:r w:rsidR="00214231">
        <w:rPr>
          <w:i/>
          <w:iCs/>
        </w:rPr>
        <w:fldChar w:fldCharType="end"/>
      </w:r>
      <w:r w:rsidR="007A0857" w:rsidRPr="007A0857">
        <w:rPr>
          <w:iCs/>
        </w:rPr>
        <w:t>) se stala účinnou v celosvětovém měřítku. Skládá se z</w:t>
      </w:r>
      <w:r w:rsidR="007A0857">
        <w:rPr>
          <w:iCs/>
        </w:rPr>
        <w:t xml:space="preserve"> apokalyptického čísla a jména „666“</w:t>
      </w:r>
      <w:r w:rsidR="007A0857" w:rsidRPr="007A0857">
        <w:rPr>
          <w:iCs/>
        </w:rPr>
        <w:t xml:space="preserve">, které přivedl na svět Bonaventura. Matematickou objektivitu </w:t>
      </w:r>
      <w:r w:rsidR="007A0857">
        <w:rPr>
          <w:iCs/>
        </w:rPr>
        <w:t>Ruf</w:t>
      </w:r>
      <w:r w:rsidR="00EB6213">
        <w:rPr>
          <w:iCs/>
        </w:rPr>
        <w:t>use</w:t>
      </w:r>
      <w:r w:rsidR="007A0857">
        <w:rPr>
          <w:iCs/>
        </w:rPr>
        <w:t xml:space="preserve"> proměnil v demiurgický opus, který</w:t>
      </w:r>
      <w:r w:rsidR="007A0857" w:rsidRPr="007A0857">
        <w:rPr>
          <w:iCs/>
        </w:rPr>
        <w:t xml:space="preserve"> </w:t>
      </w:r>
      <w:r w:rsidR="007A0857">
        <w:rPr>
          <w:iCs/>
        </w:rPr>
        <w:t xml:space="preserve">exemplárně </w:t>
      </w:r>
      <w:r w:rsidR="00F61575">
        <w:rPr>
          <w:iCs/>
        </w:rPr>
        <w:t xml:space="preserve">koná moderní Bůh a </w:t>
      </w:r>
      <w:r w:rsidR="007A0857" w:rsidRPr="007A0857">
        <w:rPr>
          <w:iCs/>
        </w:rPr>
        <w:t xml:space="preserve">moderní ilumináti </w:t>
      </w:r>
      <w:r w:rsidR="00F61575">
        <w:rPr>
          <w:iCs/>
        </w:rPr>
        <w:t xml:space="preserve">ho pak </w:t>
      </w:r>
      <w:r w:rsidR="007A0857" w:rsidRPr="007A0857">
        <w:rPr>
          <w:iCs/>
        </w:rPr>
        <w:t>přebírají svým vlastním racionálním způsobem. Tento světonázor umožňuje neomezenou produkci so</w:t>
      </w:r>
      <w:r w:rsidR="007A0857">
        <w:rPr>
          <w:iCs/>
        </w:rPr>
        <w:t xml:space="preserve">fistických simulaker na způsob </w:t>
      </w:r>
      <w:r w:rsidR="007A0857" w:rsidRPr="00214231">
        <w:rPr>
          <w:i/>
          <w:iCs/>
        </w:rPr>
        <w:t>O</w:t>
      </w:r>
      <w:r w:rsidR="00214231" w:rsidRPr="00214231">
        <w:rPr>
          <w:i/>
          <w:iCs/>
        </w:rPr>
        <w:t>xfordian Fallacy</w:t>
      </w:r>
      <w:r w:rsidR="007A0857" w:rsidRPr="007A0857">
        <w:rPr>
          <w:iCs/>
        </w:rPr>
        <w:t xml:space="preserve">. </w:t>
      </w:r>
      <w:r w:rsidR="08163013">
        <w:t xml:space="preserve">Bonaventura se stal otcem moderního kapitalistického subjektu tím, že </w:t>
      </w:r>
      <w:r w:rsidR="086356F5">
        <w:t xml:space="preserve">převedl aristotelskou kategoriální predikaci </w:t>
      </w:r>
      <w:r w:rsidR="08163013">
        <w:t xml:space="preserve">do </w:t>
      </w:r>
      <w:r w:rsidR="08163013">
        <w:lastRenderedPageBreak/>
        <w:t xml:space="preserve">ontoteologické predikace </w:t>
      </w:r>
      <w:r w:rsidR="004079EB">
        <w:t>„</w:t>
      </w:r>
      <w:r w:rsidR="08163013" w:rsidRPr="08C52F83">
        <w:rPr>
          <w:i/>
        </w:rPr>
        <w:t>in artificialibu</w:t>
      </w:r>
      <w:r w:rsidR="08163013">
        <w:t>s</w:t>
      </w:r>
      <w:r w:rsidR="004079EB">
        <w:t>“</w:t>
      </w:r>
      <w:r w:rsidR="08163013">
        <w:fldChar w:fldCharType="begin"/>
      </w:r>
      <w:r w:rsidR="08163013">
        <w:instrText xml:space="preserve"> XE "</w:instrText>
      </w:r>
      <w:r w:rsidR="08163013" w:rsidRPr="084C0984">
        <w:instrText>predikace:</w:instrText>
      </w:r>
      <w:r w:rsidR="08163013" w:rsidRPr="084C0984">
        <w:rPr>
          <w:i/>
        </w:rPr>
        <w:instrText>in artificialibu</w:instrText>
      </w:r>
      <w:r w:rsidR="08163013" w:rsidRPr="084C0984">
        <w:instrText>s</w:instrText>
      </w:r>
      <w:r w:rsidR="08163013">
        <w:instrText xml:space="preserve">" </w:instrText>
      </w:r>
      <w:r w:rsidR="08163013">
        <w:fldChar w:fldCharType="end"/>
      </w:r>
      <w:r w:rsidR="08163013" w:rsidRPr="00273106">
        <w:t>.</w:t>
      </w:r>
      <w:r w:rsidR="08163013">
        <w:t xml:space="preserve"> Základ jsoucnosti je dán ve </w:t>
      </w:r>
      <w:r w:rsidR="08163013" w:rsidRPr="00273106">
        <w:rPr>
          <w:szCs w:val="12"/>
        </w:rPr>
        <w:t xml:space="preserve">stvořitelské a tvořitelské aktivitě </w:t>
      </w:r>
      <w:r w:rsidR="08163013" w:rsidRPr="00273106">
        <w:t>aktuálního subjektu (</w:t>
      </w:r>
      <w:r w:rsidR="08163013" w:rsidRPr="00273106">
        <w:rPr>
          <w:i/>
          <w:szCs w:val="13"/>
        </w:rPr>
        <w:t xml:space="preserve">per </w:t>
      </w:r>
      <w:r w:rsidR="08163013" w:rsidRPr="00273106">
        <w:rPr>
          <w:i/>
          <w:szCs w:val="14"/>
        </w:rPr>
        <w:t xml:space="preserve">actionem </w:t>
      </w:r>
      <w:r w:rsidR="08163013" w:rsidRPr="00273106">
        <w:rPr>
          <w:i/>
          <w:szCs w:val="12"/>
        </w:rPr>
        <w:t>agentis</w:t>
      </w:r>
      <w:r w:rsidR="08163013">
        <w:rPr>
          <w:szCs w:val="12"/>
        </w:rPr>
        <w:t xml:space="preserve">). </w:t>
      </w:r>
      <w:r w:rsidR="08163013" w:rsidRPr="00273106">
        <w:t xml:space="preserve">První </w:t>
      </w:r>
      <w:r w:rsidR="0880229F">
        <w:t xml:space="preserve">technologický </w:t>
      </w:r>
      <w:r w:rsidR="08163013" w:rsidRPr="00273106">
        <w:t>projekt jsoucna existuje původně a nejprve v mysli tvůrce (</w:t>
      </w:r>
      <w:r w:rsidR="08163013" w:rsidRPr="00273106">
        <w:rPr>
          <w:i/>
        </w:rPr>
        <w:t>ratio in mente artificis vivit</w:t>
      </w:r>
      <w:r w:rsidR="08163013">
        <w:t xml:space="preserve">). Regule tvorby daná v modu </w:t>
      </w:r>
      <w:r w:rsidR="08163013" w:rsidRPr="08661487">
        <w:rPr>
          <w:i/>
        </w:rPr>
        <w:t>semel</w:t>
      </w:r>
      <w:r w:rsidR="08163013">
        <w:t>‒</w:t>
      </w:r>
      <w:r w:rsidR="08163013" w:rsidRPr="08661487">
        <w:rPr>
          <w:i/>
        </w:rPr>
        <w:t>semper</w:t>
      </w:r>
      <w:r w:rsidR="08163013">
        <w:rPr>
          <w:i/>
        </w:rPr>
        <w:fldChar w:fldCharType="begin"/>
      </w:r>
      <w:r w:rsidR="08163013">
        <w:instrText xml:space="preserve"> XE "predikace:</w:instrText>
      </w:r>
      <w:r w:rsidR="08163013" w:rsidRPr="08DF166F">
        <w:rPr>
          <w:i/>
        </w:rPr>
        <w:instrText>semel</w:instrText>
      </w:r>
      <w:r w:rsidR="08163013" w:rsidRPr="08DF166F">
        <w:instrText>‒</w:instrText>
      </w:r>
      <w:r w:rsidR="08163013" w:rsidRPr="08DF166F">
        <w:rPr>
          <w:i/>
        </w:rPr>
        <w:instrText>semper</w:instrText>
      </w:r>
      <w:r w:rsidR="08163013">
        <w:instrText xml:space="preserve">" </w:instrText>
      </w:r>
      <w:r w:rsidR="08163013">
        <w:rPr>
          <w:i/>
        </w:rPr>
        <w:fldChar w:fldCharType="end"/>
      </w:r>
      <w:r w:rsidR="08163013">
        <w:t xml:space="preserve"> se odvolává na Augustinovo dílo </w:t>
      </w:r>
      <w:r w:rsidR="08163013" w:rsidRPr="000800C4">
        <w:rPr>
          <w:i/>
        </w:rPr>
        <w:t xml:space="preserve">Octoginta trium </w:t>
      </w:r>
      <w:r w:rsidR="00262F13">
        <w:rPr>
          <w:i/>
        </w:rPr>
        <w:t>q</w:t>
      </w:r>
      <w:r w:rsidR="08163013" w:rsidRPr="000800C4">
        <w:rPr>
          <w:i/>
        </w:rPr>
        <w:t>uaestionem</w:t>
      </w:r>
      <w:r w:rsidR="08163013">
        <w:t>.</w:t>
      </w:r>
      <w:r w:rsidR="08163013">
        <w:rPr>
          <w:rStyle w:val="Znakapoznpodarou"/>
        </w:rPr>
        <w:footnoteReference w:id="76"/>
      </w:r>
      <w:r w:rsidR="08163013">
        <w:t xml:space="preserve"> Tvůrčí idea je dána v mysli řemeslníka bez ohledu na to, zda vytvoří externí dílo nebo nevytvoří</w:t>
      </w:r>
      <w:r w:rsidR="08163013">
        <w:fldChar w:fldCharType="begin"/>
      </w:r>
      <w:r w:rsidR="08163013">
        <w:instrText xml:space="preserve"> XE "</w:instrText>
      </w:r>
      <w:r w:rsidR="08163013" w:rsidRPr="00201FC2">
        <w:instrText>predik</w:instrText>
      </w:r>
      <w:r w:rsidR="08163013">
        <w:instrText>a</w:instrText>
      </w:r>
      <w:r w:rsidR="08163013" w:rsidRPr="00201FC2">
        <w:instrText>ce:</w:instrText>
      </w:r>
      <w:r w:rsidR="08163013" w:rsidRPr="003803DF">
        <w:rPr>
          <w:i/>
        </w:rPr>
        <w:instrText>in artificialibus</w:instrText>
      </w:r>
      <w:r w:rsidR="08163013">
        <w:instrText xml:space="preserve">" </w:instrText>
      </w:r>
      <w:r w:rsidR="08163013">
        <w:fldChar w:fldCharType="end"/>
      </w:r>
      <w:r w:rsidR="08163013">
        <w:t>. R</w:t>
      </w:r>
      <w:r w:rsidR="08163013" w:rsidRPr="000800C4">
        <w:t xml:space="preserve">atio </w:t>
      </w:r>
      <w:r w:rsidR="08163013">
        <w:t xml:space="preserve">jako ideový výměr věci </w:t>
      </w:r>
      <w:r w:rsidR="08163013" w:rsidRPr="000800C4">
        <w:t xml:space="preserve">platí, </w:t>
      </w:r>
      <w:r w:rsidR="08163013">
        <w:t>i když z něj nikdy nic nevznikne (</w:t>
      </w:r>
      <w:r w:rsidR="08163013" w:rsidRPr="00852B9A">
        <w:rPr>
          <w:i/>
        </w:rPr>
        <w:t>ratio est, etiamsi nunquam aliquid per illam fiat</w:t>
      </w:r>
      <w:r w:rsidR="08163013">
        <w:t>). Objektivní existenci věci v mysli a vůli demiurga</w:t>
      </w:r>
      <w:r w:rsidR="08163013">
        <w:fldChar w:fldCharType="begin"/>
      </w:r>
      <w:r w:rsidR="08163013">
        <w:instrText xml:space="preserve"> XE "regule:</w:instrText>
      </w:r>
      <w:r w:rsidR="08163013" w:rsidRPr="005C2F4A">
        <w:rPr>
          <w:rStyle w:val="addmd"/>
        </w:rPr>
        <w:instrText>demiurg</w:instrText>
      </w:r>
      <w:r w:rsidR="08163013">
        <w:instrText xml:space="preserve">" </w:instrText>
      </w:r>
      <w:r w:rsidR="08163013">
        <w:fldChar w:fldCharType="end"/>
      </w:r>
      <w:r w:rsidR="08163013">
        <w:t xml:space="preserve"> nijak neovlivňuje fakt, zda věc kontigentně existuje nebo neexistuje ve vnějším světě. To je typické pojetí porretánské predikace </w:t>
      </w:r>
      <w:r w:rsidR="08163013" w:rsidRPr="008A0D1C">
        <w:rPr>
          <w:i/>
        </w:rPr>
        <w:t>in artificialibus</w:t>
      </w:r>
      <w:r w:rsidR="08163013">
        <w:fldChar w:fldCharType="begin"/>
      </w:r>
      <w:r w:rsidR="08163013">
        <w:instrText xml:space="preserve"> XE "</w:instrText>
      </w:r>
      <w:r w:rsidR="08163013" w:rsidRPr="0059292A">
        <w:instrText>predikace:</w:instrText>
      </w:r>
      <w:r w:rsidR="08163013" w:rsidRPr="008A0D1C">
        <w:rPr>
          <w:i/>
        </w:rPr>
        <w:instrText>in artificialibus</w:instrText>
      </w:r>
      <w:r w:rsidR="08163013">
        <w:instrText xml:space="preserve">" </w:instrText>
      </w:r>
      <w:r w:rsidR="08163013">
        <w:fldChar w:fldCharType="end"/>
      </w:r>
      <w:r w:rsidR="08163013">
        <w:t xml:space="preserve">, které </w:t>
      </w:r>
      <w:r w:rsidR="080A49AE">
        <w:t xml:space="preserve">v letech 1240–50 odmítli </w:t>
      </w:r>
      <w:r w:rsidR="089D02A2">
        <w:t xml:space="preserve">Alvenus, </w:t>
      </w:r>
      <w:r w:rsidR="08163013">
        <w:t xml:space="preserve">Albert a Bacon. Analogická podobnost daná pouze v mysli nemůže </w:t>
      </w:r>
      <w:r w:rsidR="08F37959">
        <w:t xml:space="preserve">podle Alberta </w:t>
      </w:r>
      <w:r w:rsidR="08163013">
        <w:t>založit metafyzickou jednotu jsoucna, protože jí chybí predikace kauzality z</w:t>
      </w:r>
      <w:r w:rsidR="00A43F9E">
        <w:t xml:space="preserve"> hyparchických </w:t>
      </w:r>
      <w:r w:rsidR="08163013">
        <w:t>první</w:t>
      </w:r>
      <w:r w:rsidR="00A43F9E">
        <w:t>ch substancí</w:t>
      </w:r>
      <w:r w:rsidR="08163013">
        <w:t xml:space="preserve"> (</w:t>
      </w:r>
      <w:r w:rsidR="08163013" w:rsidRPr="08704036">
        <w:rPr>
          <w:i/>
        </w:rPr>
        <w:t>non retinet ratio causalitatis</w:t>
      </w:r>
      <w:r w:rsidR="08EE2CAF">
        <w:t>; OBJ II, kap. 2</w:t>
      </w:r>
      <w:r w:rsidR="08D666CD">
        <w:t xml:space="preserve">.4.3). Podle výměru </w:t>
      </w:r>
      <w:r w:rsidR="08163013" w:rsidRPr="00273106">
        <w:t xml:space="preserve">kauzality </w:t>
      </w:r>
      <w:r w:rsidR="08D666CD">
        <w:t xml:space="preserve">predikované </w:t>
      </w:r>
      <w:r w:rsidR="08163013">
        <w:t xml:space="preserve">ve </w:t>
      </w:r>
      <w:r w:rsidR="08163013" w:rsidRPr="004273C9">
        <w:rPr>
          <w:i/>
        </w:rPr>
        <w:t>Druhých analytik</w:t>
      </w:r>
      <w:r w:rsidR="08163013">
        <w:rPr>
          <w:i/>
        </w:rPr>
        <w:t>ách</w:t>
      </w:r>
      <w:r w:rsidR="08163013" w:rsidRPr="00273106">
        <w:t xml:space="preserve"> </w:t>
      </w:r>
      <w:r w:rsidR="08163013">
        <w:t>jde o jasný omyl teologických fabulátorů</w:t>
      </w:r>
      <w:r w:rsidR="08163013" w:rsidRPr="00273106">
        <w:t xml:space="preserve">. Kauza v mysli tvůrce </w:t>
      </w:r>
      <w:r w:rsidR="08163013">
        <w:t>nemůže být na stejné úrovni jako</w:t>
      </w:r>
      <w:r w:rsidR="08163013" w:rsidRPr="00273106">
        <w:t xml:space="preserve"> kauzalita první substance působící v reálu</w:t>
      </w:r>
      <w:r w:rsidR="08163013">
        <w:fldChar w:fldCharType="begin"/>
      </w:r>
      <w:r w:rsidR="08163013">
        <w:instrText xml:space="preserve"> XE "</w:instrText>
      </w:r>
      <w:r w:rsidR="08163013" w:rsidRPr="008A31D2">
        <w:instrText>kauzalita:demiurga</w:instrText>
      </w:r>
      <w:r w:rsidR="08163013">
        <w:instrText xml:space="preserve">" </w:instrText>
      </w:r>
      <w:r w:rsidR="08163013">
        <w:fldChar w:fldCharType="end"/>
      </w:r>
      <w:r w:rsidR="08163013" w:rsidRPr="00273106">
        <w:t>.</w:t>
      </w:r>
      <w:r w:rsidR="08163013">
        <w:t xml:space="preserve"> Mystický Bonaventura ale více věří Bibli a objektivní metafyzice postavené na křesťanské víře než racionální argumentaci </w:t>
      </w:r>
      <w:r w:rsidR="009C2D9A">
        <w:rPr>
          <w:i/>
        </w:rPr>
        <w:t>Metafyziky</w:t>
      </w:r>
      <w:r w:rsidR="08163013">
        <w:rPr>
          <w:i/>
        </w:rPr>
        <w:t xml:space="preserve"> </w:t>
      </w:r>
      <w:r w:rsidR="08163013" w:rsidRPr="00B011EF">
        <w:t>postavené na kritickém rozumu</w:t>
      </w:r>
      <w:r w:rsidR="08163013">
        <w:t xml:space="preserve"> </w:t>
      </w:r>
      <w:r w:rsidR="08E04C86">
        <w:t>„</w:t>
      </w:r>
      <w:r w:rsidR="08163013">
        <w:t>pohanů</w:t>
      </w:r>
      <w:r w:rsidR="08E04C86">
        <w:t>“</w:t>
      </w:r>
      <w:r w:rsidR="08163013">
        <w:t xml:space="preserve"> jako Aristoteles a Averroes</w:t>
      </w:r>
      <w:r w:rsidR="08163013" w:rsidRPr="00B011EF">
        <w:t xml:space="preserve">. </w:t>
      </w:r>
      <w:r w:rsidR="08163013">
        <w:t>Tvůrčí idea přece žije, i když vnější dílo zaniká. Fundamentální určení jsoucna je zakotvené v mysli a v intenci božského demiurga</w:t>
      </w:r>
      <w:r w:rsidR="08163013">
        <w:fldChar w:fldCharType="begin"/>
      </w:r>
      <w:r w:rsidR="08163013">
        <w:instrText xml:space="preserve"> XE "</w:instrText>
      </w:r>
      <w:r w:rsidR="08163013" w:rsidRPr="005C2F4A">
        <w:rPr>
          <w:rStyle w:val="addmd"/>
        </w:rPr>
        <w:instrText>demiurg</w:instrText>
      </w:r>
      <w:r w:rsidR="08163013">
        <w:instrText xml:space="preserve">" </w:instrText>
      </w:r>
      <w:r w:rsidR="08163013">
        <w:fldChar w:fldCharType="end"/>
      </w:r>
      <w:r w:rsidR="08163013">
        <w:t xml:space="preserve">. </w:t>
      </w:r>
      <w:r w:rsidR="004E20D9">
        <w:t xml:space="preserve">Tato archetypická iluminace tvoří základní </w:t>
      </w:r>
      <w:r w:rsidR="004E20D9" w:rsidRPr="00827673">
        <w:rPr>
          <w:i/>
        </w:rPr>
        <w:t>locus specierum</w:t>
      </w:r>
      <w:r w:rsidR="004E20D9">
        <w:rPr>
          <w:i/>
        </w:rPr>
        <w:fldChar w:fldCharType="begin"/>
      </w:r>
      <w:r w:rsidR="004E20D9">
        <w:instrText xml:space="preserve"> XE "</w:instrText>
      </w:r>
      <w:r w:rsidR="004E20D9" w:rsidRPr="009E5259">
        <w:rPr>
          <w:i/>
        </w:rPr>
        <w:instrText>locus specierum</w:instrText>
      </w:r>
      <w:r w:rsidR="004E20D9">
        <w:instrText xml:space="preserve">" </w:instrText>
      </w:r>
      <w:r w:rsidR="004E20D9">
        <w:rPr>
          <w:i/>
        </w:rPr>
        <w:fldChar w:fldCharType="end"/>
      </w:r>
      <w:r w:rsidR="004E20D9">
        <w:t xml:space="preserve">, v němž si bytí jsoucna podržuje věčnou exemplární objektivitu. </w:t>
      </w:r>
      <w:r w:rsidR="004E20D9" w:rsidRPr="00CD7F33">
        <w:rPr>
          <w:szCs w:val="24"/>
        </w:rPr>
        <w:t xml:space="preserve">Moderní bůh je prvním </w:t>
      </w:r>
      <w:r w:rsidR="00EF7463">
        <w:rPr>
          <w:szCs w:val="24"/>
        </w:rPr>
        <w:t xml:space="preserve">a exemplárně vzorným </w:t>
      </w:r>
      <w:r w:rsidR="004E20D9" w:rsidRPr="00CD7F33">
        <w:rPr>
          <w:szCs w:val="24"/>
        </w:rPr>
        <w:t xml:space="preserve">vlastníkem technologicky investovaného kapitálu. </w:t>
      </w:r>
      <w:r w:rsidR="004E20D9">
        <w:rPr>
          <w:szCs w:val="24"/>
        </w:rPr>
        <w:t xml:space="preserve">Virtuálně </w:t>
      </w:r>
      <w:r w:rsidR="004E20D9" w:rsidRPr="00CD7F33">
        <w:rPr>
          <w:szCs w:val="24"/>
        </w:rPr>
        <w:t xml:space="preserve">v sobě uchovává všechny současné i budoucí </w:t>
      </w:r>
      <w:r w:rsidR="004E20D9">
        <w:rPr>
          <w:szCs w:val="24"/>
        </w:rPr>
        <w:t xml:space="preserve">stavy </w:t>
      </w:r>
      <w:r w:rsidR="004E20D9" w:rsidRPr="00CD7F33">
        <w:rPr>
          <w:szCs w:val="24"/>
        </w:rPr>
        <w:t xml:space="preserve">všech událostí, které jsou </w:t>
      </w:r>
      <w:r w:rsidR="004E20D9">
        <w:rPr>
          <w:szCs w:val="24"/>
        </w:rPr>
        <w:t xml:space="preserve">exemplárně </w:t>
      </w:r>
      <w:r w:rsidR="004E20D9" w:rsidRPr="00CD7F33">
        <w:rPr>
          <w:szCs w:val="24"/>
        </w:rPr>
        <w:t>a objek</w:t>
      </w:r>
      <w:r w:rsidR="004E20D9">
        <w:rPr>
          <w:szCs w:val="24"/>
        </w:rPr>
        <w:t xml:space="preserve">tivně dány v jeho mysli. </w:t>
      </w:r>
      <w:r w:rsidR="08E54B78">
        <w:t xml:space="preserve">Tento </w:t>
      </w:r>
      <w:r w:rsidR="08E54B78" w:rsidRPr="081942A4">
        <w:rPr>
          <w:i/>
          <w:szCs w:val="24"/>
        </w:rPr>
        <w:t xml:space="preserve">locus specierum </w:t>
      </w:r>
      <w:r w:rsidR="08E54B78" w:rsidRPr="081942A4">
        <w:rPr>
          <w:szCs w:val="24"/>
        </w:rPr>
        <w:t xml:space="preserve">zakládá první, a proto nejdůležitější vědomostní a kulturní kapitál moderny. </w:t>
      </w:r>
      <w:r w:rsidR="00CD7F33">
        <w:rPr>
          <w:szCs w:val="24"/>
        </w:rPr>
        <w:t>Tento „virtuální“</w:t>
      </w:r>
      <w:r w:rsidR="00CD7F33" w:rsidRPr="00CD7F33">
        <w:rPr>
          <w:szCs w:val="24"/>
        </w:rPr>
        <w:t xml:space="preserve"> svět ne</w:t>
      </w:r>
      <w:r w:rsidR="00CD7F33">
        <w:rPr>
          <w:szCs w:val="24"/>
        </w:rPr>
        <w:t>ní vytvořen podle staré povahy „</w:t>
      </w:r>
      <w:r w:rsidR="00CD7F33" w:rsidRPr="00CD7F33">
        <w:rPr>
          <w:i/>
          <w:szCs w:val="24"/>
        </w:rPr>
        <w:t>virtus</w:t>
      </w:r>
      <w:r w:rsidR="00CD7F33">
        <w:rPr>
          <w:szCs w:val="24"/>
        </w:rPr>
        <w:t>“</w:t>
      </w:r>
      <w:r w:rsidR="00CD7F33" w:rsidRPr="00CD7F33">
        <w:rPr>
          <w:szCs w:val="24"/>
        </w:rPr>
        <w:t xml:space="preserve"> jako skutečného stavu věcí, neboť virtualita získala moderní význam objektivní potenciality.</w:t>
      </w:r>
      <w:r w:rsidR="00CD7F33">
        <w:rPr>
          <w:szCs w:val="24"/>
        </w:rPr>
        <w:t xml:space="preserve"> </w:t>
      </w:r>
      <w:r w:rsidR="08163013">
        <w:t xml:space="preserve">Tuto tezi pro postmodernu mytopoeticky zpracoval Leibniz skrze </w:t>
      </w:r>
      <w:r w:rsidR="08163013">
        <w:lastRenderedPageBreak/>
        <w:t>předzjednanou harmonii a vybavil reálné jsoucno principem dostatečného dův</w:t>
      </w:r>
      <w:r w:rsidR="003E5057">
        <w:t>odu skrze postmoderní teodiceu.</w:t>
      </w:r>
    </w:p>
    <w:p w:rsidR="00F27BB1" w:rsidRPr="00F27BB1" w:rsidRDefault="08163013" w:rsidP="00F27BB1">
      <w:pPr>
        <w:ind w:firstLine="397"/>
      </w:pPr>
      <w:r>
        <w:t xml:space="preserve">Uvedení demiurgické vůle do systému hypostází porretánů </w:t>
      </w:r>
      <w:r w:rsidRPr="00273106">
        <w:t xml:space="preserve">představuje typický projev </w:t>
      </w:r>
      <w:r>
        <w:t xml:space="preserve">moderní </w:t>
      </w:r>
      <w:r w:rsidRPr="00273106">
        <w:t xml:space="preserve">františkánské spirituality. </w:t>
      </w:r>
      <w:r>
        <w:t xml:space="preserve">Pojetí </w:t>
      </w:r>
      <w:r w:rsidR="00AB3081">
        <w:t>„</w:t>
      </w:r>
      <w:r w:rsidRPr="00161AB6">
        <w:rPr>
          <w:i/>
        </w:rPr>
        <w:t>rationes exemplares</w:t>
      </w:r>
      <w:r w:rsidR="00AB3081">
        <w:t>“</w:t>
      </w:r>
      <w:r>
        <w:t xml:space="preserve"> jako potenciálního záměru stvořitelské vůle a potenciálního intencionálního předmětu v božím intelektu vy</w:t>
      </w:r>
      <w:r w:rsidRPr="00273106">
        <w:t>tvoř</w:t>
      </w:r>
      <w:r>
        <w:t xml:space="preserve">ilo </w:t>
      </w:r>
      <w:r w:rsidR="080F4B41">
        <w:t xml:space="preserve">božského </w:t>
      </w:r>
      <w:r w:rsidR="084135BE">
        <w:t xml:space="preserve">producenta a </w:t>
      </w:r>
      <w:r>
        <w:t>nositele (</w:t>
      </w:r>
      <w:r w:rsidRPr="00106E5C">
        <w:rPr>
          <w:i/>
        </w:rPr>
        <w:t>subiectum</w:t>
      </w:r>
      <w:r>
        <w:rPr>
          <w:i/>
        </w:rPr>
        <w:fldChar w:fldCharType="begin"/>
      </w:r>
      <w:r>
        <w:instrText xml:space="preserve"> XE "</w:instrText>
      </w:r>
      <w:r w:rsidRPr="00360013">
        <w:rPr>
          <w:i/>
        </w:rPr>
        <w:instrText>subiectum:</w:instrText>
      </w:r>
      <w:r w:rsidRPr="00360013">
        <w:instrText>třetího druhu</w:instrText>
      </w:r>
      <w:r>
        <w:instrText xml:space="preserve">" </w:instrText>
      </w:r>
      <w:r>
        <w:rPr>
          <w:i/>
        </w:rPr>
        <w:fldChar w:fldCharType="end"/>
      </w:r>
      <w:r>
        <w:t xml:space="preserve">) </w:t>
      </w:r>
      <w:r w:rsidRPr="00273106">
        <w:t xml:space="preserve">pro </w:t>
      </w:r>
      <w:r>
        <w:t>sekundární úroveň stvořené racionality</w:t>
      </w:r>
      <w:r w:rsidR="004C78B3">
        <w:t xml:space="preserve"> (</w:t>
      </w:r>
      <w:r w:rsidRPr="00273106">
        <w:rPr>
          <w:i/>
        </w:rPr>
        <w:t>rationes seminales</w:t>
      </w:r>
      <w:r w:rsidR="004C78B3">
        <w:t>)</w:t>
      </w:r>
      <w:r>
        <w:t xml:space="preserve">. </w:t>
      </w:r>
      <w:r w:rsidR="00E53607">
        <w:t xml:space="preserve">V reálném </w:t>
      </w:r>
      <w:r>
        <w:t>svět</w:t>
      </w:r>
      <w:r w:rsidR="00E53607">
        <w:t>ě</w:t>
      </w:r>
      <w:r>
        <w:t xml:space="preserve"> vznikl nový nositel (</w:t>
      </w:r>
      <w:r w:rsidRPr="00273106">
        <w:rPr>
          <w:i/>
        </w:rPr>
        <w:t>subiectum</w:t>
      </w:r>
      <w:r>
        <w:rPr>
          <w:i/>
        </w:rPr>
        <w:fldChar w:fldCharType="begin"/>
      </w:r>
      <w:r>
        <w:instrText xml:space="preserve"> XE "</w:instrText>
      </w:r>
      <w:r w:rsidRPr="00360013">
        <w:rPr>
          <w:i/>
        </w:rPr>
        <w:instrText>subiectum:</w:instrText>
      </w:r>
      <w:r w:rsidRPr="00360013">
        <w:instrText>třetího druhu</w:instrText>
      </w:r>
      <w:r>
        <w:instrText xml:space="preserve">" </w:instrText>
      </w:r>
      <w:r>
        <w:rPr>
          <w:i/>
        </w:rPr>
        <w:fldChar w:fldCharType="end"/>
      </w:r>
      <w:r>
        <w:t xml:space="preserve">) </w:t>
      </w:r>
      <w:r w:rsidRPr="00273106">
        <w:t xml:space="preserve">moderní </w:t>
      </w:r>
      <w:r>
        <w:t xml:space="preserve">hypostatické jednoty jsoucen třetího druhu. Moderní </w:t>
      </w:r>
      <w:r w:rsidR="00C450B5">
        <w:t>„</w:t>
      </w:r>
      <w:r w:rsidRPr="00DB2775">
        <w:rPr>
          <w:i/>
        </w:rPr>
        <w:t>res</w:t>
      </w:r>
      <w:r w:rsidR="00C450B5">
        <w:t>“</w:t>
      </w:r>
      <w:r>
        <w:t xml:space="preserve"> je daná jako </w:t>
      </w:r>
      <w:r w:rsidRPr="00DB2775">
        <w:rPr>
          <w:i/>
        </w:rPr>
        <w:t>scibile</w:t>
      </w:r>
      <w:r>
        <w:t xml:space="preserve">, </w:t>
      </w:r>
      <w:r w:rsidRPr="00DB2775">
        <w:rPr>
          <w:i/>
        </w:rPr>
        <w:t>individuum</w:t>
      </w:r>
      <w:r>
        <w:t xml:space="preserve"> a </w:t>
      </w:r>
      <w:r w:rsidRPr="00DB2775">
        <w:rPr>
          <w:i/>
        </w:rPr>
        <w:t>concretum</w:t>
      </w:r>
      <w:r w:rsidR="003F40CA">
        <w:rPr>
          <w:i/>
        </w:rPr>
        <w:t xml:space="preserve">. </w:t>
      </w:r>
      <w:r w:rsidR="003F40CA">
        <w:t>T</w:t>
      </w:r>
      <w:r>
        <w:t xml:space="preserve">oto poslední </w:t>
      </w:r>
      <w:r w:rsidRPr="00902B58">
        <w:rPr>
          <w:i/>
        </w:rPr>
        <w:t>indi</w:t>
      </w:r>
      <w:r>
        <w:rPr>
          <w:i/>
        </w:rPr>
        <w:t>vi</w:t>
      </w:r>
      <w:r w:rsidRPr="00902B58">
        <w:rPr>
          <w:i/>
        </w:rPr>
        <w:t>duum</w:t>
      </w:r>
      <w:r>
        <w:t xml:space="preserve"> a </w:t>
      </w:r>
      <w:r w:rsidRPr="0068698F">
        <w:rPr>
          <w:i/>
        </w:rPr>
        <w:t>con</w:t>
      </w:r>
      <w:r>
        <w:rPr>
          <w:i/>
        </w:rPr>
        <w:t>c</w:t>
      </w:r>
      <w:r w:rsidRPr="0068698F">
        <w:rPr>
          <w:i/>
        </w:rPr>
        <w:t>retum</w:t>
      </w:r>
      <w:r>
        <w:rPr>
          <w:i/>
        </w:rPr>
        <w:fldChar w:fldCharType="begin"/>
      </w:r>
      <w:r>
        <w:instrText xml:space="preserve"> XE "</w:instrText>
      </w:r>
      <w:r w:rsidRPr="00B759F5">
        <w:rPr>
          <w:i/>
        </w:rPr>
        <w:instrText>concretum</w:instrText>
      </w:r>
      <w:r>
        <w:instrText xml:space="preserve">" </w:instrText>
      </w:r>
      <w:r>
        <w:rPr>
          <w:i/>
        </w:rPr>
        <w:fldChar w:fldCharType="end"/>
      </w:r>
      <w:r>
        <w:t xml:space="preserve"> dané sestupem forem do různorodé potence hypostázované materie je zároveň aktuální </w:t>
      </w:r>
      <w:r w:rsidR="003F40CA">
        <w:t xml:space="preserve">první substance a </w:t>
      </w:r>
      <w:r>
        <w:t>univerzální</w:t>
      </w:r>
      <w:r w:rsidR="003F40CA">
        <w:t xml:space="preserve"> druhá substance</w:t>
      </w:r>
      <w:r>
        <w:t xml:space="preserve">. První averroismus marně upozorňoval akademické ilumináty, že </w:t>
      </w:r>
      <w:r w:rsidRPr="00292285">
        <w:rPr>
          <w:i/>
        </w:rPr>
        <w:t>tertium ens</w:t>
      </w:r>
      <w:r>
        <w:t xml:space="preserve"> nemá žádný způsob, jak by mohlo </w:t>
      </w:r>
      <w:r w:rsidR="08F42608">
        <w:t xml:space="preserve">reálně </w:t>
      </w:r>
      <w:r w:rsidR="080F4B41">
        <w:t xml:space="preserve">existovat v této sofistické </w:t>
      </w:r>
      <w:r>
        <w:t xml:space="preserve">podobě. Objektivní určení jsoucna </w:t>
      </w:r>
      <w:r w:rsidR="081F00C7">
        <w:t>nemá základ v realitě, ale mytopoetické ontoteologii</w:t>
      </w:r>
      <w:r w:rsidR="088E1070">
        <w:t xml:space="preserve">. </w:t>
      </w:r>
      <w:r w:rsidR="007A2589" w:rsidRPr="00273106">
        <w:t>Rufus z</w:t>
      </w:r>
      <w:r w:rsidR="007A2589">
        <w:t> </w:t>
      </w:r>
      <w:r w:rsidR="007A2589" w:rsidRPr="00273106">
        <w:t>Cornwallu</w:t>
      </w:r>
      <w:r w:rsidR="007A2589">
        <w:t xml:space="preserve"> vytvořil první verzi </w:t>
      </w:r>
      <w:r w:rsidR="007A2589" w:rsidRPr="08BC2D52">
        <w:rPr>
          <w:i/>
        </w:rPr>
        <w:t>dativus obiectivus</w:t>
      </w:r>
      <w:r w:rsidR="007A2589">
        <w:rPr>
          <w:i/>
        </w:rPr>
        <w:fldChar w:fldCharType="begin"/>
      </w:r>
      <w:r w:rsidR="007A2589">
        <w:instrText xml:space="preserve"> XE "</w:instrText>
      </w:r>
      <w:r w:rsidR="007A2589" w:rsidRPr="082C565F">
        <w:rPr>
          <w:i/>
        </w:rPr>
        <w:instrText>dativus obiectivus</w:instrText>
      </w:r>
      <w:r w:rsidR="007A2589">
        <w:instrText xml:space="preserve">" </w:instrText>
      </w:r>
      <w:r w:rsidR="007A2589">
        <w:rPr>
          <w:i/>
        </w:rPr>
        <w:fldChar w:fldCharType="end"/>
      </w:r>
      <w:r w:rsidR="007A2589">
        <w:t xml:space="preserve"> skrze </w:t>
      </w:r>
      <w:r w:rsidR="088E1070">
        <w:t xml:space="preserve">konverzi objektivního </w:t>
      </w:r>
      <w:r w:rsidR="007A2589" w:rsidRPr="007A2589">
        <w:rPr>
          <w:i/>
        </w:rPr>
        <w:t>factum</w:t>
      </w:r>
      <w:r w:rsidR="007A2589">
        <w:t xml:space="preserve"> </w:t>
      </w:r>
      <w:r w:rsidR="088E1070">
        <w:t xml:space="preserve">a reality </w:t>
      </w:r>
      <w:r w:rsidR="0829230F">
        <w:t>(</w:t>
      </w:r>
      <w:r w:rsidR="081F00C7">
        <w:t xml:space="preserve">OBJ II, </w:t>
      </w:r>
      <w:r w:rsidR="0829230F">
        <w:t xml:space="preserve">kap. 3.3.4). </w:t>
      </w:r>
      <w:r>
        <w:t xml:space="preserve">Bonaventura </w:t>
      </w:r>
      <w:r w:rsidR="086371FD">
        <w:t xml:space="preserve">doplnil Rusufe tím, že </w:t>
      </w:r>
      <w:r>
        <w:t xml:space="preserve">zopakoval stvoření z </w:t>
      </w:r>
      <w:r w:rsidRPr="0051028B">
        <w:rPr>
          <w:i/>
        </w:rPr>
        <w:t>Genesis</w:t>
      </w:r>
      <w:r>
        <w:t xml:space="preserve"> v modu filosofického neoplatonismu podle Toledské školy. Tuto alegorickou četbu Bible v modu neoplatonismu poprvé ustavil Filón z Alexandrie. Bonaventura doplnil židovské </w:t>
      </w:r>
      <w:r w:rsidRPr="00303A94">
        <w:rPr>
          <w:i/>
        </w:rPr>
        <w:t>factum</w:t>
      </w:r>
      <w:r>
        <w:t xml:space="preserve"> Filónova prvního Adama daného ze spirituální formy tím, že vytvořil křesťanské </w:t>
      </w:r>
      <w:r w:rsidRPr="00303A94">
        <w:rPr>
          <w:i/>
        </w:rPr>
        <w:t>factum</w:t>
      </w:r>
      <w:r>
        <w:t xml:space="preserve"> objektivního Adam</w:t>
      </w:r>
      <w:r w:rsidR="08F04300">
        <w:t>a ze spirituální materie (kap. 4</w:t>
      </w:r>
      <w:r>
        <w:t xml:space="preserve">.1.2). Moderna završila neoplatonské myšlení Filóna, který měl nemateriálního Adama pouze jako čistou formu archetypicky existující v neoplatonském diakosmu. Spojením Filónovy a Bonaventurovy mytopoetiky vznikl moderní subjekt Západu a jeho objektivní </w:t>
      </w:r>
      <w:r w:rsidRPr="008851B1">
        <w:rPr>
          <w:i/>
        </w:rPr>
        <w:t>Weltanschauung</w:t>
      </w:r>
      <w:r>
        <w:t xml:space="preserve">. </w:t>
      </w:r>
      <w:r w:rsidRPr="00273106">
        <w:t xml:space="preserve">Bonaventura vytvořil zakládající mýtus </w:t>
      </w:r>
      <w:r>
        <w:t xml:space="preserve">moderny tím, že porretánskou hypostázi definovanou podle </w:t>
      </w:r>
      <w:r w:rsidRPr="005B5115">
        <w:rPr>
          <w:i/>
        </w:rPr>
        <w:t>Nominales</w:t>
      </w:r>
      <w:r>
        <w:t xml:space="preserve"> změnil na objektivní </w:t>
      </w:r>
      <w:r w:rsidRPr="00106882">
        <w:rPr>
          <w:i/>
        </w:rPr>
        <w:t>factum</w:t>
      </w:r>
      <w:r>
        <w:rPr>
          <w:i/>
        </w:rPr>
        <w:fldChar w:fldCharType="begin"/>
      </w:r>
      <w:r>
        <w:instrText xml:space="preserve"> XE "</w:instrText>
      </w:r>
      <w:r w:rsidRPr="0012277B">
        <w:rPr>
          <w:i/>
        </w:rPr>
        <w:instrText>factum</w:instrText>
      </w:r>
      <w:r>
        <w:instrText xml:space="preserve">" </w:instrText>
      </w:r>
      <w:r>
        <w:rPr>
          <w:i/>
        </w:rPr>
        <w:fldChar w:fldCharType="end"/>
      </w:r>
      <w:r>
        <w:t xml:space="preserve"> demiurgické vůle. </w:t>
      </w:r>
      <w:r w:rsidR="008A7F60">
        <w:t xml:space="preserve">Bonaventura nemá model neoplatonské emanace forem, ale systém avicennovské komitace a porretánské predikace hypostázovaných božích intencí. Tento systém predikace vznikl na základě nominalistického výkladu </w:t>
      </w:r>
      <w:r w:rsidR="008A7F60" w:rsidRPr="00C20911">
        <w:rPr>
          <w:i/>
        </w:rPr>
        <w:t>Kategorií</w:t>
      </w:r>
      <w:r w:rsidR="008A7F60">
        <w:t xml:space="preserve"> okolo roku 1230 (OBJ II, kap. 3.1.2). Objektivní exemplary jsou predikovány směrem dolů nejprve čistým aktem boží mysli a vůle daném v řádu kristologického </w:t>
      </w:r>
      <w:r w:rsidR="008A7F60">
        <w:rPr>
          <w:i/>
        </w:rPr>
        <w:t>verbum D</w:t>
      </w:r>
      <w:r w:rsidR="008A7F60" w:rsidRPr="00C20911">
        <w:rPr>
          <w:i/>
        </w:rPr>
        <w:t>ei</w:t>
      </w:r>
      <w:r w:rsidR="008A7F60">
        <w:t xml:space="preserve"> a pak i lidským aktem mysli a vůle daném v řádu </w:t>
      </w:r>
      <w:r w:rsidR="008A7F60" w:rsidRPr="00C20911">
        <w:rPr>
          <w:i/>
        </w:rPr>
        <w:t>verbum mentis</w:t>
      </w:r>
      <w:r w:rsidR="008A7F60">
        <w:t xml:space="preserve">. </w:t>
      </w:r>
      <w:r>
        <w:t xml:space="preserve">Tím vznikla nová hierarchie forem od moderního boha směrem dolů </w:t>
      </w:r>
      <w:r w:rsidRPr="00273106">
        <w:t>(</w:t>
      </w:r>
      <w:r w:rsidRPr="00273106">
        <w:rPr>
          <w:i/>
        </w:rPr>
        <w:t xml:space="preserve">formae exemplares </w:t>
      </w:r>
      <w:r>
        <w:rPr>
          <w:i/>
        </w:rPr>
        <w:t>/</w:t>
      </w:r>
      <w:r w:rsidRPr="089446E6">
        <w:rPr>
          <w:i/>
        </w:rPr>
        <w:t xml:space="preserve"> </w:t>
      </w:r>
      <w:r>
        <w:rPr>
          <w:i/>
        </w:rPr>
        <w:t>seminales</w:t>
      </w:r>
      <w:r w:rsidRPr="00273106">
        <w:rPr>
          <w:i/>
        </w:rPr>
        <w:t xml:space="preserve"> /</w:t>
      </w:r>
      <w:r>
        <w:rPr>
          <w:i/>
        </w:rPr>
        <w:t xml:space="preserve"> </w:t>
      </w:r>
      <w:r w:rsidRPr="00273106">
        <w:rPr>
          <w:i/>
        </w:rPr>
        <w:t>naturales</w:t>
      </w:r>
      <w:r>
        <w:t xml:space="preserve">). Opačná četba světa od </w:t>
      </w:r>
      <w:r>
        <w:lastRenderedPageBreak/>
        <w:t>hylemorfických forem zakládá anabázi moderny ve formě objektivního Jakubova žebříku</w:t>
      </w:r>
      <w:r>
        <w:fldChar w:fldCharType="begin"/>
      </w:r>
      <w:r>
        <w:instrText xml:space="preserve"> XE "</w:instrText>
      </w:r>
      <w:r w:rsidRPr="08DA5F95">
        <w:instrText>Jakubův žebřík</w:instrText>
      </w:r>
      <w:r>
        <w:instrText xml:space="preserve">" </w:instrText>
      </w:r>
      <w:r>
        <w:fldChar w:fldCharType="end"/>
      </w:r>
      <w:r>
        <w:t xml:space="preserve">. Ontoteologická </w:t>
      </w:r>
      <w:r w:rsidRPr="00273106">
        <w:t>sféra určení jsoucna spojená se stvořitels</w:t>
      </w:r>
      <w:r>
        <w:t xml:space="preserve">kým mýtem </w:t>
      </w:r>
      <w:r w:rsidRPr="004A32B2">
        <w:rPr>
          <w:i/>
        </w:rPr>
        <w:t>Genesis</w:t>
      </w:r>
      <w:r>
        <w:t xml:space="preserve"> </w:t>
      </w:r>
      <w:r w:rsidRPr="00273106">
        <w:t>spojil</w:t>
      </w:r>
      <w:r>
        <w:t>a</w:t>
      </w:r>
      <w:r w:rsidRPr="00273106">
        <w:t xml:space="preserve"> </w:t>
      </w:r>
      <w:r>
        <w:t xml:space="preserve">neoplatonský a aristotelský </w:t>
      </w:r>
      <w:r w:rsidRPr="00273106">
        <w:t>pr</w:t>
      </w:r>
      <w:r>
        <w:t xml:space="preserve">ojekt metafyziky. Mystická objektivita produkovaná v intenci a vůli božského a lidského demiurga se stala původním místem </w:t>
      </w:r>
      <w:r w:rsidR="008716E1">
        <w:t xml:space="preserve">moderních </w:t>
      </w:r>
      <w:r>
        <w:t>věd (</w:t>
      </w:r>
      <w:r w:rsidRPr="00AD4D77">
        <w:rPr>
          <w:i/>
        </w:rPr>
        <w:t>ortus scientiarum</w:t>
      </w:r>
      <w:r w:rsidR="08FD2601">
        <w:rPr>
          <w:i/>
        </w:rPr>
        <w:fldChar w:fldCharType="begin"/>
      </w:r>
      <w:r w:rsidR="08FD2601">
        <w:instrText xml:space="preserve"> XE "</w:instrText>
      </w:r>
      <w:r w:rsidR="08FD2601" w:rsidRPr="08BD1472">
        <w:rPr>
          <w:i/>
        </w:rPr>
        <w:instrText>ortus scientiarum</w:instrText>
      </w:r>
      <w:r w:rsidR="08FD2601">
        <w:instrText xml:space="preserve">" </w:instrText>
      </w:r>
      <w:r w:rsidR="08FD2601">
        <w:rPr>
          <w:i/>
        </w:rPr>
        <w:fldChar w:fldCharType="end"/>
      </w:r>
      <w:r w:rsidR="0019013C">
        <w:t>). Moderní b</w:t>
      </w:r>
      <w:r w:rsidR="0019013C" w:rsidRPr="0019013C">
        <w:t xml:space="preserve">ůh jako první </w:t>
      </w:r>
      <w:r w:rsidR="0019013C">
        <w:t xml:space="preserve">producent </w:t>
      </w:r>
      <w:r w:rsidR="0019013C" w:rsidRPr="0019013C">
        <w:t>objektivity představuje první technologický kapitál modernity.</w:t>
      </w:r>
      <w:r w:rsidR="0019013C">
        <w:t xml:space="preserve"> </w:t>
      </w:r>
      <w:r>
        <w:t>Moderní svět se stal homogenním celkem určeným k modernímu poznání a manipulaci. Objektivní chtivost demiurga</w:t>
      </w:r>
      <w:r>
        <w:fldChar w:fldCharType="begin"/>
      </w:r>
      <w:r>
        <w:instrText xml:space="preserve"> XE "</w:instrText>
      </w:r>
      <w:r w:rsidRPr="005C2F4A">
        <w:rPr>
          <w:rStyle w:val="addmd"/>
        </w:rPr>
        <w:instrText>demiurg</w:instrText>
      </w:r>
      <w:r>
        <w:instrText xml:space="preserve">" </w:instrText>
      </w:r>
      <w:r>
        <w:fldChar w:fldCharType="end"/>
      </w:r>
      <w:r>
        <w:t xml:space="preserve"> daná skrze vůli analogicky odpovídá objektivní chtivosti materie, která je zde proto, aby přijala jeho racionální a voluntaristickou reguli. P</w:t>
      </w:r>
      <w:r w:rsidRPr="00273106">
        <w:rPr>
          <w:szCs w:val="14"/>
        </w:rPr>
        <w:t>ojetí moderní chtivosti modifikuje Bonaventurův žák Olivi do konceptu vůle jak</w:t>
      </w:r>
      <w:r>
        <w:rPr>
          <w:szCs w:val="14"/>
        </w:rPr>
        <w:t>o dalšího jsoucna třetího druhu</w:t>
      </w:r>
      <w:r w:rsidR="00C34A9D">
        <w:rPr>
          <w:szCs w:val="14"/>
        </w:rPr>
        <w:t xml:space="preserve">. Proto Olivi </w:t>
      </w:r>
      <w:r>
        <w:rPr>
          <w:szCs w:val="14"/>
        </w:rPr>
        <w:t>navrhn</w:t>
      </w:r>
      <w:r w:rsidR="00C34A9D">
        <w:rPr>
          <w:szCs w:val="14"/>
        </w:rPr>
        <w:t xml:space="preserve">ul </w:t>
      </w:r>
      <w:r>
        <w:rPr>
          <w:szCs w:val="14"/>
        </w:rPr>
        <w:t>první koncept</w:t>
      </w:r>
      <w:r w:rsidR="081A4929">
        <w:rPr>
          <w:szCs w:val="14"/>
        </w:rPr>
        <w:t xml:space="preserve"> kapitalistické ekonomie (kap. 5</w:t>
      </w:r>
      <w:r>
        <w:rPr>
          <w:szCs w:val="14"/>
        </w:rPr>
        <w:t>.1.3).</w:t>
      </w:r>
      <w:r w:rsidRPr="08C11CEC">
        <w:t xml:space="preserve"> </w:t>
      </w:r>
      <w:r>
        <w:t>Moderní ilumináti zahajují po prohraných křížových výpravách objektivní kruciátu Západu a mysticky ji signují z</w:t>
      </w:r>
      <w:r w:rsidR="001D087D">
        <w:t>namením eschatologické šelmy z</w:t>
      </w:r>
      <w:r w:rsidR="0058742B">
        <w:t xml:space="preserve"> Apokalypsy </w:t>
      </w:r>
      <w:r>
        <w:t>(</w:t>
      </w:r>
      <w:r w:rsidRPr="002A1DE5">
        <w:rPr>
          <w:i/>
        </w:rPr>
        <w:t>isti</w:t>
      </w:r>
      <w:r w:rsidRPr="00C259C5">
        <w:rPr>
          <w:i/>
        </w:rPr>
        <w:t xml:space="preserve"> errores significantur in Apocalypsi in numero nominis bestiae</w:t>
      </w:r>
      <w:r w:rsidRPr="002A1DE5">
        <w:t xml:space="preserve">, </w:t>
      </w:r>
      <w:r w:rsidR="081A4929">
        <w:t>kap. 4</w:t>
      </w:r>
      <w:r>
        <w:t xml:space="preserve">.1.2). </w:t>
      </w:r>
      <w:r w:rsidR="00F27BB1">
        <w:t>Bonaventurova „bestiální“</w:t>
      </w:r>
      <w:r w:rsidR="00F27BB1" w:rsidRPr="00F27BB1">
        <w:t xml:space="preserve"> forma metafyziky vycházela z demiurgické vůle a </w:t>
      </w:r>
      <w:r w:rsidR="00F27BB1">
        <w:t xml:space="preserve">tím </w:t>
      </w:r>
      <w:r w:rsidR="00F27BB1" w:rsidRPr="00F27BB1">
        <w:t>ote</w:t>
      </w:r>
      <w:r w:rsidR="00F27BB1">
        <w:t xml:space="preserve">vřela nové </w:t>
      </w:r>
      <w:r w:rsidR="00F27BB1" w:rsidRPr="00F27BB1">
        <w:rPr>
          <w:i/>
        </w:rPr>
        <w:t>Lichtung</w:t>
      </w:r>
      <w:r w:rsidR="00F27BB1">
        <w:t xml:space="preserve"> </w:t>
      </w:r>
      <w:r w:rsidR="00F27BB1" w:rsidRPr="00F27BB1">
        <w:t xml:space="preserve">pravdy a </w:t>
      </w:r>
      <w:r w:rsidR="00F27BB1">
        <w:t>nepravdy</w:t>
      </w:r>
      <w:r w:rsidR="006609B1">
        <w:t xml:space="preserve"> pro rodící se kapitalismus</w:t>
      </w:r>
      <w:r w:rsidR="00F27BB1" w:rsidRPr="00F27BB1">
        <w:t>.</w:t>
      </w:r>
    </w:p>
    <w:p w:rsidR="08163013" w:rsidRPr="00273106" w:rsidRDefault="00057537" w:rsidP="00057537">
      <w:pPr>
        <w:ind w:firstLine="397"/>
      </w:pPr>
      <w:r>
        <w:t xml:space="preserve">Na modernistické fakultě v Paříži došlo ke spojení </w:t>
      </w:r>
      <w:r w:rsidR="08C306DA">
        <w:rPr>
          <w:szCs w:val="14"/>
        </w:rPr>
        <w:t>objektivní</w:t>
      </w:r>
      <w:r>
        <w:rPr>
          <w:szCs w:val="14"/>
        </w:rPr>
        <w:t>ch hypostází</w:t>
      </w:r>
      <w:r w:rsidR="08C306DA">
        <w:rPr>
          <w:szCs w:val="14"/>
        </w:rPr>
        <w:t xml:space="preserve"> Rufuse </w:t>
      </w:r>
      <w:r>
        <w:rPr>
          <w:szCs w:val="14"/>
        </w:rPr>
        <w:t>s ontoteologií Bonaventury</w:t>
      </w:r>
      <w:r w:rsidR="08C306DA">
        <w:rPr>
          <w:szCs w:val="14"/>
        </w:rPr>
        <w:t xml:space="preserve">. Tím vznikl okolo roku 1255 ucelený systém </w:t>
      </w:r>
      <w:r w:rsidR="00384AF3">
        <w:rPr>
          <w:szCs w:val="14"/>
        </w:rPr>
        <w:t>objektivní ontoteologie</w:t>
      </w:r>
      <w:r>
        <w:rPr>
          <w:szCs w:val="14"/>
        </w:rPr>
        <w:t>, která se změnila v postmoderně</w:t>
      </w:r>
      <w:r w:rsidR="083D6AAE">
        <w:rPr>
          <w:szCs w:val="14"/>
        </w:rPr>
        <w:t xml:space="preserve"> 17. stol. na </w:t>
      </w:r>
      <w:r>
        <w:rPr>
          <w:szCs w:val="14"/>
        </w:rPr>
        <w:t xml:space="preserve">systém </w:t>
      </w:r>
      <w:r w:rsidR="08C306DA" w:rsidRPr="00DF01CB">
        <w:rPr>
          <w:i/>
        </w:rPr>
        <w:t>metaphysica generalis</w:t>
      </w:r>
      <w:r w:rsidR="08C306DA">
        <w:rPr>
          <w:i/>
        </w:rPr>
        <w:fldChar w:fldCharType="begin"/>
      </w:r>
      <w:r w:rsidR="08C306DA">
        <w:instrText xml:space="preserve"> XE "</w:instrText>
      </w:r>
      <w:r w:rsidR="08C306DA" w:rsidRPr="00D85DEF">
        <w:rPr>
          <w:i/>
        </w:rPr>
        <w:instrText>metaphysica generalis</w:instrText>
      </w:r>
      <w:r w:rsidR="08C306DA">
        <w:instrText xml:space="preserve">" </w:instrText>
      </w:r>
      <w:r w:rsidR="08C306DA">
        <w:rPr>
          <w:i/>
        </w:rPr>
        <w:fldChar w:fldCharType="end"/>
      </w:r>
      <w:r w:rsidR="08163013" w:rsidRPr="00273106">
        <w:t>.</w:t>
      </w:r>
      <w:r w:rsidR="08163013">
        <w:t xml:space="preserve"> K</w:t>
      </w:r>
      <w:r w:rsidR="08163013" w:rsidRPr="00273106">
        <w:t> </w:t>
      </w:r>
      <w:r w:rsidR="08163013">
        <w:t xml:space="preserve">nositeli této moderní podoby demiurgické vůle </w:t>
      </w:r>
      <w:r w:rsidR="08163013" w:rsidRPr="00273106">
        <w:t>patří jak reflexivní s</w:t>
      </w:r>
      <w:r w:rsidR="08163013">
        <w:t>ebepoznání</w:t>
      </w:r>
      <w:r w:rsidR="000816C9">
        <w:t>,</w:t>
      </w:r>
      <w:r w:rsidR="08163013">
        <w:t xml:space="preserve"> tak tvořivost</w:t>
      </w:r>
      <w:r w:rsidR="08163013" w:rsidRPr="00273106">
        <w:t xml:space="preserve">. </w:t>
      </w:r>
      <w:r w:rsidR="08163013">
        <w:t>Subjektivní v</w:t>
      </w:r>
      <w:r w:rsidR="08163013" w:rsidRPr="00273106">
        <w:t>ůle existuje podle Bonaventury jako jediná metafyzická potence, která není determinována pouze materiálně a pasivně.</w:t>
      </w:r>
      <w:r w:rsidR="08163013">
        <w:t xml:space="preserve"> Voluntaristický s</w:t>
      </w:r>
      <w:r w:rsidR="08163013" w:rsidRPr="00273106">
        <w:t xml:space="preserve">ubjekt </w:t>
      </w:r>
      <w:r w:rsidR="08163013" w:rsidRPr="00273106">
        <w:rPr>
          <w:i/>
        </w:rPr>
        <w:t>Modernorum</w:t>
      </w:r>
      <w:r w:rsidR="08163013" w:rsidRPr="00273106">
        <w:t xml:space="preserve"> p</w:t>
      </w:r>
      <w:r w:rsidR="08163013">
        <w:t xml:space="preserve">řetváří </w:t>
      </w:r>
      <w:r w:rsidR="08163013" w:rsidRPr="00C67BAD">
        <w:rPr>
          <w:i/>
        </w:rPr>
        <w:t>appetitus</w:t>
      </w:r>
      <w:r w:rsidR="08163013">
        <w:rPr>
          <w:i/>
        </w:rPr>
        <w:fldChar w:fldCharType="begin"/>
      </w:r>
      <w:r w:rsidR="08163013">
        <w:instrText xml:space="preserve"> XE "</w:instrText>
      </w:r>
      <w:r w:rsidR="08163013" w:rsidRPr="007E6333">
        <w:rPr>
          <w:i/>
        </w:rPr>
        <w:instrText>appetitus</w:instrText>
      </w:r>
      <w:r w:rsidR="08163013">
        <w:instrText xml:space="preserve">" </w:instrText>
      </w:r>
      <w:r w:rsidR="08163013">
        <w:rPr>
          <w:i/>
        </w:rPr>
        <w:fldChar w:fldCharType="end"/>
      </w:r>
      <w:r w:rsidR="08163013">
        <w:t xml:space="preserve"> materie daný </w:t>
      </w:r>
      <w:r w:rsidR="087B3F70">
        <w:t>jako čistá esenciální potence</w:t>
      </w:r>
      <w:r w:rsidR="08163013">
        <w:t xml:space="preserve">. Tato potence vázaná na koncept hypostázované materie třetího druhu tvoří objektivní protipól subjektivní schopnosti demiurga </w:t>
      </w:r>
      <w:r w:rsidR="08163013" w:rsidRPr="00273106">
        <w:t>(</w:t>
      </w:r>
      <w:r w:rsidR="08163013">
        <w:rPr>
          <w:i/>
        </w:rPr>
        <w:t>ob</w:t>
      </w:r>
      <w:r w:rsidR="08163013" w:rsidRPr="00273106">
        <w:rPr>
          <w:i/>
        </w:rPr>
        <w:t>iectum</w:t>
      </w:r>
      <w:r w:rsidR="08163013">
        <w:t>). Objektivní materie</w:t>
      </w:r>
      <w:r w:rsidR="08163013">
        <w:fldChar w:fldCharType="begin"/>
      </w:r>
      <w:r w:rsidR="08163013">
        <w:instrText xml:space="preserve"> XE "</w:instrText>
      </w:r>
      <w:r w:rsidR="08163013" w:rsidRPr="00607209">
        <w:instrText>materie:objektivní</w:instrText>
      </w:r>
      <w:r w:rsidR="08163013">
        <w:instrText xml:space="preserve">" </w:instrText>
      </w:r>
      <w:r w:rsidR="08163013">
        <w:fldChar w:fldCharType="end"/>
      </w:r>
      <w:r w:rsidR="08163013">
        <w:t xml:space="preserve"> je formována v modu Rufusova </w:t>
      </w:r>
      <w:r w:rsidR="08163013" w:rsidRPr="00F42131">
        <w:rPr>
          <w:i/>
        </w:rPr>
        <w:t>informatio</w:t>
      </w:r>
      <w:r w:rsidR="08163013">
        <w:t xml:space="preserve"> </w:t>
      </w:r>
      <w:r w:rsidR="08163013" w:rsidRPr="00273106">
        <w:t xml:space="preserve">podle </w:t>
      </w:r>
      <w:r w:rsidR="08163013">
        <w:t>dvojí regule</w:t>
      </w:r>
      <w:r w:rsidR="08163013" w:rsidRPr="00273106">
        <w:t>. Bonaventura začíná moderní epochu globální dominace jsoucna skrze subjektivně determinovanou vůli.</w:t>
      </w:r>
    </w:p>
    <w:p w:rsidR="08163013" w:rsidRPr="004C0D8F" w:rsidRDefault="08163013" w:rsidP="08163013">
      <w:pPr>
        <w:pStyle w:val="Citace"/>
        <w:rPr>
          <w:noProof/>
          <w:lang w:val="cs-CZ"/>
        </w:rPr>
      </w:pPr>
      <w:r w:rsidRPr="00273106">
        <w:rPr>
          <w:noProof/>
          <w:lang w:val="cs-CZ"/>
        </w:rPr>
        <w:t>„</w:t>
      </w:r>
      <w:r>
        <w:rPr>
          <w:noProof/>
          <w:lang w:val="cs-CZ"/>
        </w:rPr>
        <w:t>Jedině vůle ovládá své vlastní jednání (</w:t>
      </w:r>
      <w:r w:rsidRPr="004C0D8F">
        <w:rPr>
          <w:i/>
          <w:noProof/>
          <w:lang w:val="cs-CZ"/>
        </w:rPr>
        <w:t>sola voluntas est domina sui actus</w:t>
      </w:r>
      <w:r>
        <w:rPr>
          <w:noProof/>
          <w:lang w:val="cs-CZ"/>
        </w:rPr>
        <w:t>) a pohybuje sama sebe (</w:t>
      </w:r>
      <w:r w:rsidRPr="004C0D8F">
        <w:rPr>
          <w:i/>
          <w:noProof/>
          <w:lang w:val="cs-CZ"/>
        </w:rPr>
        <w:t>sola est se ipsam movens</w:t>
      </w:r>
      <w:r>
        <w:rPr>
          <w:noProof/>
          <w:lang w:val="cs-CZ"/>
        </w:rPr>
        <w:t xml:space="preserve">). Proto je vůle jako jediná schopna </w:t>
      </w:r>
      <w:r w:rsidR="00DE7824">
        <w:rPr>
          <w:noProof/>
          <w:lang w:val="cs-CZ"/>
        </w:rPr>
        <w:t xml:space="preserve">si aktivně přivlastňovat </w:t>
      </w:r>
      <w:r>
        <w:rPr>
          <w:noProof/>
          <w:lang w:val="cs-CZ"/>
        </w:rPr>
        <w:t>svět (</w:t>
      </w:r>
      <w:r w:rsidRPr="004C0D8F">
        <w:rPr>
          <w:i/>
          <w:noProof/>
          <w:lang w:val="cs-CZ"/>
        </w:rPr>
        <w:t>ipsa sola est, cuius est active uti</w:t>
      </w:r>
      <w:r>
        <w:rPr>
          <w:noProof/>
          <w:lang w:val="cs-CZ"/>
        </w:rPr>
        <w:t xml:space="preserve">). Ostatní schopnosti jsou určené i materiálně a pasivně, takže </w:t>
      </w:r>
      <w:r>
        <w:rPr>
          <w:noProof/>
          <w:lang w:val="cs-CZ"/>
        </w:rPr>
        <w:lastRenderedPageBreak/>
        <w:t>zprostředkovaně odkazují na svět, ale nejsou aktem tohoto odkazování (</w:t>
      </w:r>
      <w:r w:rsidRPr="004C0D8F">
        <w:rPr>
          <w:i/>
          <w:noProof/>
          <w:lang w:val="cs-CZ"/>
        </w:rPr>
        <w:t>habent referri, et non referre</w:t>
      </w:r>
      <w:r>
        <w:rPr>
          <w:noProof/>
          <w:lang w:val="cs-CZ"/>
        </w:rPr>
        <w:t xml:space="preserve">).“ </w:t>
      </w:r>
      <w:r>
        <w:rPr>
          <w:rStyle w:val="Znakapoznpodarou"/>
        </w:rPr>
        <w:footnoteReference w:id="77"/>
      </w:r>
    </w:p>
    <w:p w:rsidR="00401D82" w:rsidRDefault="08163013" w:rsidP="08163013">
      <w:r>
        <w:t>V</w:t>
      </w:r>
      <w:r w:rsidRPr="00273106">
        <w:t xml:space="preserve">ůle </w:t>
      </w:r>
      <w:r w:rsidR="004F1E24">
        <w:t xml:space="preserve">vysoce </w:t>
      </w:r>
      <w:r>
        <w:t xml:space="preserve">ceněná františkány </w:t>
      </w:r>
      <w:r w:rsidRPr="00273106">
        <w:t>představuje lidskou potenci, která determinuje sama sebe (</w:t>
      </w:r>
      <w:r w:rsidRPr="00273106">
        <w:rPr>
          <w:i/>
        </w:rPr>
        <w:t>domina sui actu</w:t>
      </w:r>
      <w:r w:rsidRPr="00273106">
        <w:t xml:space="preserve">) a je zdrojem vlastního pohybu stejně jako duše u </w:t>
      </w:r>
      <w:r>
        <w:t>Platon</w:t>
      </w:r>
      <w:r w:rsidRPr="00273106">
        <w:t>a (</w:t>
      </w:r>
      <w:r w:rsidRPr="00273106">
        <w:rPr>
          <w:i/>
        </w:rPr>
        <w:t>sola est se ipsam movens</w:t>
      </w:r>
      <w:r w:rsidRPr="00273106">
        <w:t xml:space="preserve">). </w:t>
      </w:r>
      <w:r w:rsidR="00D631CC">
        <w:t>Klíčové je určení vůle termínem „</w:t>
      </w:r>
      <w:r w:rsidR="00D631CC" w:rsidRPr="00273106">
        <w:rPr>
          <w:i/>
        </w:rPr>
        <w:t>cuius est active uti</w:t>
      </w:r>
      <w:r w:rsidR="00D631CC">
        <w:t>“. A</w:t>
      </w:r>
      <w:r>
        <w:t xml:space="preserve">ktualita </w:t>
      </w:r>
      <w:r w:rsidR="00D631CC">
        <w:t xml:space="preserve">vůle </w:t>
      </w:r>
      <w:r>
        <w:t>je dána v</w:t>
      </w:r>
      <w:r w:rsidR="00D631CC">
        <w:t xml:space="preserve"> ontologickém </w:t>
      </w:r>
      <w:r>
        <w:t xml:space="preserve">modu </w:t>
      </w:r>
      <w:r w:rsidR="00D631CC">
        <w:t>demiurgického přivlastňování jsoucna (</w:t>
      </w:r>
      <w:r w:rsidR="00D631CC" w:rsidRPr="00D631CC">
        <w:rPr>
          <w:i/>
        </w:rPr>
        <w:t>Er-eignen</w:t>
      </w:r>
      <w:r w:rsidR="00D631CC">
        <w:rPr>
          <w:i/>
        </w:rPr>
        <w:fldChar w:fldCharType="begin"/>
      </w:r>
      <w:r w:rsidR="00D631CC">
        <w:instrText xml:space="preserve"> XE "</w:instrText>
      </w:r>
      <w:r w:rsidR="00D631CC" w:rsidRPr="00AD28FC">
        <w:rPr>
          <w:i/>
        </w:rPr>
        <w:instrText>Er-eignen</w:instrText>
      </w:r>
      <w:r w:rsidR="00D631CC">
        <w:instrText xml:space="preserve">" </w:instrText>
      </w:r>
      <w:r w:rsidR="00D631CC">
        <w:rPr>
          <w:i/>
        </w:rPr>
        <w:fldChar w:fldCharType="end"/>
      </w:r>
      <w:r w:rsidR="00D631CC" w:rsidRPr="00D631CC">
        <w:rPr>
          <w:i/>
        </w:rPr>
        <w:t>, dativu</w:t>
      </w:r>
      <w:r w:rsidR="00D631CC">
        <w:rPr>
          <w:i/>
        </w:rPr>
        <w:t xml:space="preserve">s </w:t>
      </w:r>
      <w:r w:rsidR="00D631CC" w:rsidRPr="00D631CC">
        <w:rPr>
          <w:i/>
        </w:rPr>
        <w:t>possessivus</w:t>
      </w:r>
      <w:r w:rsidR="00D631CC">
        <w:rPr>
          <w:i/>
        </w:rPr>
        <w:fldChar w:fldCharType="begin"/>
      </w:r>
      <w:r w:rsidR="00D631CC">
        <w:instrText xml:space="preserve"> XE "</w:instrText>
      </w:r>
      <w:r w:rsidR="00D631CC" w:rsidRPr="008D3B9E">
        <w:rPr>
          <w:i/>
        </w:rPr>
        <w:instrText>dativus possessivus</w:instrText>
      </w:r>
      <w:r w:rsidR="00D631CC">
        <w:instrText xml:space="preserve">" </w:instrText>
      </w:r>
      <w:r w:rsidR="00D631CC">
        <w:rPr>
          <w:i/>
        </w:rPr>
        <w:fldChar w:fldCharType="end"/>
      </w:r>
      <w:r w:rsidR="00D631CC">
        <w:t>)</w:t>
      </w:r>
      <w:r w:rsidRPr="00273106">
        <w:t>.</w:t>
      </w:r>
      <w:r>
        <w:t xml:space="preserve"> </w:t>
      </w:r>
    </w:p>
    <w:p w:rsidR="00D361B3" w:rsidRDefault="00401D82" w:rsidP="08163013">
      <w:r w:rsidRPr="00401D82">
        <w:t>Z hle</w:t>
      </w:r>
      <w:r>
        <w:t>diska Augustinova rozdílu mezi „</w:t>
      </w:r>
      <w:r w:rsidRPr="00401D82">
        <w:rPr>
          <w:i/>
        </w:rPr>
        <w:t>uti</w:t>
      </w:r>
      <w:r>
        <w:t>“ a „</w:t>
      </w:r>
      <w:r w:rsidRPr="00401D82">
        <w:rPr>
          <w:i/>
        </w:rPr>
        <w:t>frui</w:t>
      </w:r>
      <w:r>
        <w:t>“</w:t>
      </w:r>
      <w:r w:rsidRPr="00401D82">
        <w:t xml:space="preserve"> se demiurgická vůle vztahuje ke světu regulovanému vůlí lidského demiurga. Tento postup </w:t>
      </w:r>
      <w:r>
        <w:t xml:space="preserve">znamená </w:t>
      </w:r>
      <w:r w:rsidRPr="00401D82">
        <w:t xml:space="preserve">v Bonaventurově augustinismu důležitou změnu v povaze </w:t>
      </w:r>
      <w:r>
        <w:t>produkce</w:t>
      </w:r>
      <w:r w:rsidRPr="00401D82">
        <w:t>, která se stala sekularizovanou, tedy kapitalis</w:t>
      </w:r>
      <w:r>
        <w:t>tickou ve své produktivní přirozenosti</w:t>
      </w:r>
      <w:r w:rsidRPr="00401D82">
        <w:t xml:space="preserve"> (</w:t>
      </w:r>
      <w:r w:rsidRPr="00401D82">
        <w:rPr>
          <w:i/>
        </w:rPr>
        <w:t>uti</w:t>
      </w:r>
      <w:r w:rsidRPr="00401D82">
        <w:t>). Kdyby se definice</w:t>
      </w:r>
      <w:r>
        <w:t xml:space="preserve"> demiurgické vůle vztahovala k termínu „</w:t>
      </w:r>
      <w:r w:rsidRPr="00401D82">
        <w:rPr>
          <w:i/>
        </w:rPr>
        <w:t>frui</w:t>
      </w:r>
      <w:r>
        <w:t>“</w:t>
      </w:r>
      <w:r w:rsidRPr="00401D82">
        <w:t xml:space="preserve">, </w:t>
      </w:r>
      <w:r>
        <w:t xml:space="preserve">tak by musela být determinována </w:t>
      </w:r>
      <w:r w:rsidRPr="00401D82">
        <w:t xml:space="preserve">božskou formou </w:t>
      </w:r>
      <w:r>
        <w:t>„</w:t>
      </w:r>
      <w:r w:rsidR="0058742B" w:rsidRPr="005C57A7">
        <w:rPr>
          <w:i/>
        </w:rPr>
        <w:t>regulae</w:t>
      </w:r>
      <w:r w:rsidR="0058742B">
        <w:t> </w:t>
      </w:r>
      <w:r w:rsidR="0058742B" w:rsidRPr="005C57A7">
        <w:rPr>
          <w:i/>
        </w:rPr>
        <w:t>agentis increati</w:t>
      </w:r>
      <w:r>
        <w:t>“</w:t>
      </w:r>
      <w:r w:rsidR="0058742B">
        <w:t>.</w:t>
      </w:r>
      <w:r w:rsidR="00283DFF">
        <w:t xml:space="preserve"> </w:t>
      </w:r>
      <w:r w:rsidR="083318CC">
        <w:t xml:space="preserve">Prosazení objektivní </w:t>
      </w:r>
      <w:r w:rsidR="08163013">
        <w:t>pra</w:t>
      </w:r>
      <w:r w:rsidR="083318CC">
        <w:t>vdy latinského Západu je spojeno</w:t>
      </w:r>
      <w:r w:rsidR="08163013">
        <w:t xml:space="preserve"> se </w:t>
      </w:r>
      <w:r w:rsidR="0064666C">
        <w:t xml:space="preserve">sekularizací </w:t>
      </w:r>
      <w:r w:rsidR="08163013">
        <w:t>demiurgického nositele moderní vůle</w:t>
      </w:r>
      <w:r w:rsidR="0064666C">
        <w:t>. Tato událost p</w:t>
      </w:r>
      <w:r w:rsidR="08163013">
        <w:t xml:space="preserve">ředstavuje </w:t>
      </w:r>
      <w:r w:rsidR="08163013" w:rsidRPr="088D2A42">
        <w:rPr>
          <w:i/>
        </w:rPr>
        <w:t>Lichtung</w:t>
      </w:r>
      <w:r w:rsidR="08163013">
        <w:t xml:space="preserve"> pravdy a nepravdy následné kapitalistické epochy. </w:t>
      </w:r>
      <w:r w:rsidR="08AF6F13">
        <w:t xml:space="preserve">Moc daná demiurgickou vůlí iluminátů </w:t>
      </w:r>
      <w:r w:rsidR="08C9694E">
        <w:t>změnila realitu</w:t>
      </w:r>
      <w:r w:rsidR="08AF6F13">
        <w:t xml:space="preserve"> na </w:t>
      </w:r>
      <w:r w:rsidR="087B3F70">
        <w:t>moderní konkrétnost (</w:t>
      </w:r>
      <w:r w:rsidR="08DC3EBC">
        <w:t xml:space="preserve">Rufusovo </w:t>
      </w:r>
      <w:r w:rsidR="087B3F70" w:rsidRPr="087B3F70">
        <w:rPr>
          <w:i/>
        </w:rPr>
        <w:t>concretum</w:t>
      </w:r>
      <w:r w:rsidR="087B3F70">
        <w:rPr>
          <w:i/>
        </w:rPr>
        <w:fldChar w:fldCharType="begin"/>
      </w:r>
      <w:r w:rsidR="087B3F70">
        <w:instrText xml:space="preserve"> XE "</w:instrText>
      </w:r>
      <w:r w:rsidR="087B3F70" w:rsidRPr="083F737B">
        <w:rPr>
          <w:i/>
        </w:rPr>
        <w:instrText>concretum</w:instrText>
      </w:r>
      <w:r w:rsidR="087B3F70">
        <w:instrText xml:space="preserve">" </w:instrText>
      </w:r>
      <w:r w:rsidR="087B3F70">
        <w:rPr>
          <w:i/>
        </w:rPr>
        <w:fldChar w:fldCharType="end"/>
      </w:r>
      <w:r w:rsidR="087B3F70">
        <w:t>)</w:t>
      </w:r>
      <w:r w:rsidR="08AF6F13">
        <w:t xml:space="preserve">. Pravda již není určena z hlediska </w:t>
      </w:r>
      <w:r w:rsidR="084A5109">
        <w:t xml:space="preserve">metafyziky dané </w:t>
      </w:r>
      <w:r w:rsidR="08AF6F13">
        <w:t>„</w:t>
      </w:r>
      <w:r w:rsidR="084A5109">
        <w:t>heretiky</w:t>
      </w:r>
      <w:r w:rsidR="08AF6F13">
        <w:t>“</w:t>
      </w:r>
      <w:r w:rsidR="084A5109">
        <w:t xml:space="preserve"> jako Aristotel</w:t>
      </w:r>
      <w:r w:rsidR="08B207E6">
        <w:t>es a Averro</w:t>
      </w:r>
      <w:r w:rsidR="084A5109">
        <w:t>es. M</w:t>
      </w:r>
      <w:r w:rsidR="08AF6F13">
        <w:t xml:space="preserve">oderna </w:t>
      </w:r>
      <w:r w:rsidR="084A5109">
        <w:t xml:space="preserve">zaměnila adekvační teorii pravdy za produkci pravdy dané jako suverénní </w:t>
      </w:r>
      <w:r w:rsidR="08AF6F13" w:rsidRPr="08AF6F13">
        <w:rPr>
          <w:i/>
        </w:rPr>
        <w:t>factum</w:t>
      </w:r>
      <w:r w:rsidR="08B207E6">
        <w:rPr>
          <w:i/>
        </w:rPr>
        <w:fldChar w:fldCharType="begin"/>
      </w:r>
      <w:r w:rsidR="08B207E6">
        <w:instrText xml:space="preserve"> XE "</w:instrText>
      </w:r>
      <w:r w:rsidR="08B207E6" w:rsidRPr="08C92708">
        <w:rPr>
          <w:i/>
        </w:rPr>
        <w:instrText>factum</w:instrText>
      </w:r>
      <w:r w:rsidR="08B207E6">
        <w:instrText xml:space="preserve">" </w:instrText>
      </w:r>
      <w:r w:rsidR="08B207E6">
        <w:rPr>
          <w:i/>
        </w:rPr>
        <w:fldChar w:fldCharType="end"/>
      </w:r>
      <w:r w:rsidR="08AF6F13">
        <w:t xml:space="preserve"> boží a lidské vůle. </w:t>
      </w:r>
      <w:r w:rsidR="00950855" w:rsidRPr="00950855">
        <w:t xml:space="preserve">Bonaventura založil novou ontoteologickou konstrukci v modu kapitalistického </w:t>
      </w:r>
      <w:r w:rsidR="00950855" w:rsidRPr="00950855">
        <w:rPr>
          <w:i/>
        </w:rPr>
        <w:t>resolutio</w:t>
      </w:r>
      <w:r w:rsidR="00950855" w:rsidRPr="00950855">
        <w:t xml:space="preserve"> vázaného na moderního demiurga. Objektivní poznání je spojeno s demiurgicky pojatou vůlí jako nejvyšší tvůrčí formou. Stojí na božském počátku a </w:t>
      </w:r>
      <w:r w:rsidR="00D361B3">
        <w:t xml:space="preserve">také </w:t>
      </w:r>
      <w:r w:rsidR="00950855" w:rsidRPr="00950855">
        <w:t>na plně sekularizovaném konci celého výrobního procesu (</w:t>
      </w:r>
      <w:r w:rsidR="00950855" w:rsidRPr="00950855">
        <w:rPr>
          <w:i/>
        </w:rPr>
        <w:t>dativus finalis</w:t>
      </w:r>
      <w:r w:rsidR="00950855" w:rsidRPr="00950855">
        <w:t>).</w:t>
      </w:r>
    </w:p>
    <w:p w:rsidR="08163013" w:rsidRPr="08F32C89" w:rsidRDefault="08163013" w:rsidP="00D361B3">
      <w:pPr>
        <w:ind w:firstLine="397"/>
      </w:pPr>
      <w:r>
        <w:rPr>
          <w:iCs/>
        </w:rPr>
        <w:t xml:space="preserve">Vraťme se k explikaci prvních tří </w:t>
      </w:r>
      <w:r w:rsidR="00E56988">
        <w:rPr>
          <w:iCs/>
        </w:rPr>
        <w:t xml:space="preserve">kategorií </w:t>
      </w:r>
      <w:r w:rsidR="085958B2">
        <w:rPr>
          <w:iCs/>
        </w:rPr>
        <w:t>objektivního dativu (kap. 4</w:t>
      </w:r>
      <w:r>
        <w:rPr>
          <w:iCs/>
        </w:rPr>
        <w:t xml:space="preserve">). </w:t>
      </w:r>
      <w:r>
        <w:t>Bonaventura vytvořil objektivní itinerář moderny tím, že první tři určení epochálního dativu (</w:t>
      </w:r>
      <w:r w:rsidRPr="00044E69">
        <w:rPr>
          <w:i/>
          <w:iCs/>
        </w:rPr>
        <w:t>dativus</w:t>
      </w:r>
      <w:r>
        <w:rPr>
          <w:iCs/>
        </w:rPr>
        <w:t xml:space="preserve"> </w:t>
      </w:r>
      <w:r w:rsidRPr="00044E69">
        <w:rPr>
          <w:i/>
          <w:iCs/>
        </w:rPr>
        <w:t>possessivus</w:t>
      </w:r>
      <w:r>
        <w:rPr>
          <w:i/>
          <w:iCs/>
        </w:rPr>
        <w:fldChar w:fldCharType="begin"/>
      </w:r>
      <w:r>
        <w:instrText xml:space="preserve"> XE "</w:instrText>
      </w:r>
      <w:r w:rsidRPr="00461B3F">
        <w:rPr>
          <w:i/>
        </w:rPr>
        <w:instrText>d</w:instrText>
      </w:r>
      <w:r w:rsidRPr="00461B3F">
        <w:rPr>
          <w:i/>
          <w:iCs/>
        </w:rPr>
        <w:instrText>ativus possessivus</w:instrText>
      </w:r>
      <w:r>
        <w:instrText xml:space="preserve">" </w:instrText>
      </w:r>
      <w:r>
        <w:rPr>
          <w:i/>
          <w:iCs/>
        </w:rPr>
        <w:fldChar w:fldCharType="end"/>
      </w:r>
      <w:r>
        <w:rPr>
          <w:iCs/>
        </w:rPr>
        <w:t xml:space="preserve">, </w:t>
      </w:r>
      <w:r w:rsidRPr="00044E69">
        <w:rPr>
          <w:i/>
          <w:iCs/>
        </w:rPr>
        <w:t>auctoris</w:t>
      </w:r>
      <w:r>
        <w:rPr>
          <w:iCs/>
        </w:rPr>
        <w:t xml:space="preserve">, </w:t>
      </w:r>
      <w:r w:rsidRPr="00044E69">
        <w:rPr>
          <w:i/>
          <w:iCs/>
        </w:rPr>
        <w:t>finalis</w:t>
      </w:r>
      <w:r>
        <w:t xml:space="preserve">) spojil do jednoho celku skrze demiurgický charakter produkce. </w:t>
      </w:r>
      <w:r>
        <w:rPr>
          <w:szCs w:val="14"/>
        </w:rPr>
        <w:t xml:space="preserve">Následující citát ukazuje moderní vizi </w:t>
      </w:r>
      <w:r>
        <w:rPr>
          <w:i/>
          <w:szCs w:val="14"/>
        </w:rPr>
        <w:t>di</w:t>
      </w:r>
      <w:r w:rsidRPr="00E74A46">
        <w:rPr>
          <w:i/>
          <w:szCs w:val="14"/>
        </w:rPr>
        <w:t>screte videamus</w:t>
      </w:r>
      <w:r>
        <w:rPr>
          <w:i/>
          <w:szCs w:val="14"/>
        </w:rPr>
        <w:fldChar w:fldCharType="begin"/>
      </w:r>
      <w:r>
        <w:instrText xml:space="preserve"> XE "</w:instrText>
      </w:r>
      <w:r w:rsidRPr="00E90B20">
        <w:rPr>
          <w:i/>
        </w:rPr>
        <w:instrText>discrete videamus</w:instrText>
      </w:r>
      <w:r>
        <w:instrText xml:space="preserve">" </w:instrText>
      </w:r>
      <w:r>
        <w:rPr>
          <w:i/>
          <w:szCs w:val="14"/>
        </w:rPr>
        <w:fldChar w:fldCharType="end"/>
      </w:r>
      <w:r>
        <w:rPr>
          <w:szCs w:val="14"/>
        </w:rPr>
        <w:t xml:space="preserve"> bývalých porretánů předělanou do demiurgické aktivity subjektu, který před sebou vidí nový svět jsoucen třetího druhu.</w:t>
      </w:r>
      <w:r w:rsidRPr="00E74A46">
        <w:rPr>
          <w:szCs w:val="14"/>
        </w:rPr>
        <w:t xml:space="preserve"> </w:t>
      </w:r>
      <w:r>
        <w:rPr>
          <w:szCs w:val="14"/>
        </w:rPr>
        <w:t>Objektivní nutnost (</w:t>
      </w:r>
      <w:r w:rsidRPr="00AD1D2A">
        <w:rPr>
          <w:i/>
        </w:rPr>
        <w:t>habitudo necessaria</w:t>
      </w:r>
      <w:r>
        <w:rPr>
          <w:szCs w:val="14"/>
        </w:rPr>
        <w:t xml:space="preserve">) je univočně nazírána jak ve věcech, tak i v subjektu směrem od objektivně věčného a </w:t>
      </w:r>
      <w:r>
        <w:rPr>
          <w:szCs w:val="14"/>
        </w:rPr>
        <w:lastRenderedPageBreak/>
        <w:t>hypostázovaného božího exemplaru</w:t>
      </w:r>
      <w:r w:rsidR="0813601A">
        <w:rPr>
          <w:szCs w:val="14"/>
        </w:rPr>
        <w:t xml:space="preserve">. Jeho funci převzala </w:t>
      </w:r>
      <w:r w:rsidR="08293958">
        <w:rPr>
          <w:szCs w:val="14"/>
        </w:rPr>
        <w:t xml:space="preserve">od Leibnize </w:t>
      </w:r>
      <w:r>
        <w:rPr>
          <w:szCs w:val="14"/>
        </w:rPr>
        <w:t>matematika.</w:t>
      </w:r>
      <w:r w:rsidR="001F38CB">
        <w:rPr>
          <w:szCs w:val="14"/>
        </w:rPr>
        <w:t xml:space="preserve"> </w:t>
      </w:r>
      <w:r w:rsidR="001F38CB" w:rsidRPr="001F38CB">
        <w:rPr>
          <w:szCs w:val="14"/>
        </w:rPr>
        <w:t>Následující citát nabízí první nástin objektivního světonázoru.</w:t>
      </w:r>
      <w:r>
        <w:rPr>
          <w:szCs w:val="14"/>
        </w:rPr>
        <w:t xml:space="preserve"> </w:t>
      </w:r>
    </w:p>
    <w:p w:rsidR="08163013" w:rsidRPr="00192770" w:rsidRDefault="08163013" w:rsidP="08163013">
      <w:pPr>
        <w:pStyle w:val="Citace"/>
        <w:rPr>
          <w:noProof/>
          <w:lang w:val="cs-CZ"/>
        </w:rPr>
      </w:pPr>
      <w:r w:rsidRPr="00273106">
        <w:rPr>
          <w:noProof/>
          <w:lang w:val="cs-CZ"/>
        </w:rPr>
        <w:t>„</w:t>
      </w:r>
      <w:r>
        <w:rPr>
          <w:noProof/>
          <w:lang w:val="cs-CZ"/>
        </w:rPr>
        <w:t>Tento nutný habitus (</w:t>
      </w:r>
      <w:r w:rsidRPr="000660B2">
        <w:rPr>
          <w:i/>
          <w:noProof/>
        </w:rPr>
        <w:t>necessariam habitudinem</w:t>
      </w:r>
      <w:r>
        <w:rPr>
          <w:noProof/>
          <w:lang w:val="cs-CZ"/>
        </w:rPr>
        <w:t>) lze poznat nejen v existujících věcech, ale i neexistujících. Pokud člověk existuje, pak platí, že pokud [reálně] utíká, tak se [habituálně] pohybuje.  Toto odvození platí, i když reálně člověk neběží. Nutnost soudu (</w:t>
      </w:r>
      <w:r w:rsidRPr="00273106">
        <w:rPr>
          <w:bCs/>
          <w:i/>
          <w:noProof/>
          <w:lang w:val="cs-CZ"/>
        </w:rPr>
        <w:t>illationis necessitas</w:t>
      </w:r>
      <w:r>
        <w:rPr>
          <w:noProof/>
          <w:lang w:val="cs-CZ"/>
        </w:rPr>
        <w:t>) nepřichází z existující věci dané materiálně, protože ta je daná pouze kontingentně. Ani není tato nutnost dána z existence věci v</w:t>
      </w:r>
      <w:r w:rsidR="002322C3">
        <w:rPr>
          <w:noProof/>
          <w:lang w:val="cs-CZ"/>
        </w:rPr>
        <w:t> </w:t>
      </w:r>
      <w:r>
        <w:rPr>
          <w:noProof/>
          <w:lang w:val="cs-CZ"/>
        </w:rPr>
        <w:t>mysli</w:t>
      </w:r>
      <w:r w:rsidR="002322C3">
        <w:rPr>
          <w:noProof/>
          <w:lang w:val="cs-CZ"/>
        </w:rPr>
        <w:t xml:space="preserve">; </w:t>
      </w:r>
      <w:r w:rsidR="002322C3" w:rsidRPr="002322C3">
        <w:rPr>
          <w:noProof/>
          <w:lang w:val="cs-CZ"/>
        </w:rPr>
        <w:t xml:space="preserve">není to jen koncept, protože tato nutnost je obsažena v samotné věci. </w:t>
      </w:r>
      <w:r>
        <w:rPr>
          <w:noProof/>
          <w:lang w:val="cs-CZ"/>
        </w:rPr>
        <w:t>Nutnost usuzování</w:t>
      </w:r>
      <w:r w:rsidR="003D1059">
        <w:rPr>
          <w:noProof/>
          <w:lang w:val="cs-CZ"/>
        </w:rPr>
        <w:t xml:space="preserve"> přichází od exemplarity dané v</w:t>
      </w:r>
      <w:r w:rsidR="00A72ED8">
        <w:rPr>
          <w:noProof/>
          <w:lang w:val="cs-CZ"/>
        </w:rPr>
        <w:t>e vě</w:t>
      </w:r>
      <w:r w:rsidR="003D1059">
        <w:rPr>
          <w:noProof/>
          <w:lang w:val="cs-CZ"/>
        </w:rPr>
        <w:t xml:space="preserve">čném </w:t>
      </w:r>
      <w:r>
        <w:rPr>
          <w:noProof/>
          <w:lang w:val="cs-CZ"/>
        </w:rPr>
        <w:t>způsobu tvorby (</w:t>
      </w:r>
      <w:r w:rsidRPr="00192770">
        <w:rPr>
          <w:bCs/>
          <w:i/>
          <w:noProof/>
          <w:lang w:val="cs-CZ"/>
        </w:rPr>
        <w:t>ab exemplaritate in arte aeterna</w:t>
      </w:r>
      <w:r>
        <w:rPr>
          <w:noProof/>
          <w:lang w:val="cs-CZ"/>
        </w:rPr>
        <w:t xml:space="preserve">). Podle této exemplarity mají věci habituální sklon a </w:t>
      </w:r>
      <w:r w:rsidR="00D57D13">
        <w:rPr>
          <w:noProof/>
          <w:lang w:val="cs-CZ"/>
        </w:rPr>
        <w:t xml:space="preserve">potenciální </w:t>
      </w:r>
      <w:r w:rsidR="00565F48">
        <w:rPr>
          <w:noProof/>
          <w:lang w:val="cs-CZ"/>
        </w:rPr>
        <w:t xml:space="preserve">tendenci spojovat se </w:t>
      </w:r>
      <w:r>
        <w:rPr>
          <w:noProof/>
          <w:lang w:val="cs-CZ"/>
        </w:rPr>
        <w:t>navzájem (</w:t>
      </w:r>
      <w:r w:rsidRPr="00192770">
        <w:rPr>
          <w:i/>
          <w:noProof/>
          <w:lang w:val="cs-CZ"/>
        </w:rPr>
        <w:t>res habent aptitudinem et habitudinem ad invicem</w:t>
      </w:r>
      <w:r>
        <w:rPr>
          <w:noProof/>
          <w:lang w:val="cs-CZ"/>
        </w:rPr>
        <w:t>), a tak jsou zpřítomněním onoho věčného tvoření (</w:t>
      </w:r>
      <w:r w:rsidRPr="00192770">
        <w:rPr>
          <w:bCs/>
          <w:i/>
          <w:noProof/>
          <w:lang w:val="cs-CZ"/>
        </w:rPr>
        <w:t>aeternae artis repraesentationem</w:t>
      </w:r>
      <w:r>
        <w:rPr>
          <w:noProof/>
          <w:lang w:val="cs-CZ"/>
        </w:rPr>
        <w:t xml:space="preserve">).“ </w:t>
      </w:r>
      <w:r>
        <w:rPr>
          <w:rStyle w:val="Znakapoznpodarou"/>
        </w:rPr>
        <w:footnoteReference w:id="78"/>
      </w:r>
    </w:p>
    <w:p w:rsidR="00484632" w:rsidRDefault="08163013" w:rsidP="00484632">
      <w:r>
        <w:t xml:space="preserve">Citát se </w:t>
      </w:r>
      <w:r w:rsidRPr="00273106">
        <w:t xml:space="preserve">opírá o předem danou </w:t>
      </w:r>
      <w:r w:rsidR="001639C6">
        <w:t>objektivní existenci věcí</w:t>
      </w:r>
      <w:r w:rsidR="086B7D66">
        <w:t>. Tato logická existence věci je daná</w:t>
      </w:r>
      <w:r>
        <w:t xml:space="preserve"> záporným konjuktivem</w:t>
      </w:r>
      <w:r w:rsidRPr="00273106">
        <w:t xml:space="preserve"> (</w:t>
      </w:r>
      <w:r w:rsidRPr="00273106">
        <w:rPr>
          <w:i/>
        </w:rPr>
        <w:t>tunc esset fictio, si non esset in re</w:t>
      </w:r>
      <w:r w:rsidRPr="00273106">
        <w:t xml:space="preserve">). </w:t>
      </w:r>
      <w:r>
        <w:t xml:space="preserve">Negativní hypotetický konjuktiv </w:t>
      </w:r>
      <w:r w:rsidRPr="00073141">
        <w:rPr>
          <w:i/>
        </w:rPr>
        <w:t>si</w:t>
      </w:r>
      <w:r>
        <w:t xml:space="preserve"> </w:t>
      </w:r>
      <w:r w:rsidRPr="00273106">
        <w:rPr>
          <w:i/>
        </w:rPr>
        <w:t>non esset</w:t>
      </w:r>
      <w:r>
        <w:t xml:space="preserve"> přidaný k reálné existenci věci jasně dokazuje výchozí pozici moderny. Není důležitá reálná existence věci, ale objektivní konstrukt daný esenciálně. Druhý averroismus nasvěcuje smysl jsoucna zezadu a fixuje porretánské hypostáze skrze habitus vázaný na demiurgický subjekt. Moderní Bonaventura a postmoderní Descartes a Leibniz</w:t>
      </w:r>
      <w:r w:rsidRPr="00273106">
        <w:t xml:space="preserve"> tvrdí, že vztahy věcí mezi sebou jsou dané v boží mysli (</w:t>
      </w:r>
      <w:r w:rsidRPr="00273106">
        <w:rPr>
          <w:i/>
        </w:rPr>
        <w:t xml:space="preserve">venit </w:t>
      </w:r>
      <w:r w:rsidRPr="00273106">
        <w:rPr>
          <w:bCs/>
          <w:i/>
        </w:rPr>
        <w:t>igitur ab exemplaritate in arte aeterna</w:t>
      </w:r>
      <w:r w:rsidRPr="00273106">
        <w:rPr>
          <w:bCs/>
        </w:rPr>
        <w:t>)</w:t>
      </w:r>
      <w:r w:rsidR="006A282F">
        <w:rPr>
          <w:bCs/>
        </w:rPr>
        <w:t>. D</w:t>
      </w:r>
      <w:r w:rsidRPr="00273106">
        <w:rPr>
          <w:bCs/>
        </w:rPr>
        <w:t xml:space="preserve">íky božímu ingeniu a produkční reguli </w:t>
      </w:r>
      <w:r>
        <w:rPr>
          <w:bCs/>
        </w:rPr>
        <w:fldChar w:fldCharType="begin"/>
      </w:r>
      <w:r>
        <w:instrText xml:space="preserve"> XE "</w:instrText>
      </w:r>
      <w:r w:rsidRPr="00BB08F6">
        <w:instrText>produkce:stvořitelská</w:instrText>
      </w:r>
      <w:r>
        <w:instrText xml:space="preserve">" </w:instrText>
      </w:r>
      <w:r>
        <w:rPr>
          <w:bCs/>
        </w:rPr>
        <w:fldChar w:fldCharType="end"/>
      </w:r>
      <w:r w:rsidR="006A282F">
        <w:rPr>
          <w:bCs/>
        </w:rPr>
        <w:t xml:space="preserve"> bůh </w:t>
      </w:r>
      <w:r w:rsidRPr="00273106">
        <w:rPr>
          <w:bCs/>
        </w:rPr>
        <w:t>vytváří věčnou reprezentaci reálné kauzality (</w:t>
      </w:r>
      <w:r w:rsidRPr="00273106">
        <w:rPr>
          <w:bCs/>
          <w:i/>
        </w:rPr>
        <w:t>secundum illius aeternae artis repraesentationem</w:t>
      </w:r>
      <w:r w:rsidRPr="00273106">
        <w:rPr>
          <w:bCs/>
        </w:rPr>
        <w:t xml:space="preserve">). </w:t>
      </w:r>
      <w:r>
        <w:t>Dedukce opřená o ontoteologické pojetí nutnosti (</w:t>
      </w:r>
      <w:r w:rsidRPr="00273106">
        <w:rPr>
          <w:bCs/>
          <w:i/>
        </w:rPr>
        <w:t>illationis necessitas</w:t>
      </w:r>
      <w:r>
        <w:t xml:space="preserve">) zakládá první objektivní strukturu světa na latinském Západě. Simplikius poprvé hypostázoval habitus skrze nový výklad tohoto kategoriálního určení daného v Aristotelově </w:t>
      </w:r>
      <w:r w:rsidRPr="08816B85">
        <w:rPr>
          <w:i/>
        </w:rPr>
        <w:t>Metafyzice</w:t>
      </w:r>
      <w:r w:rsidR="08E95479">
        <w:t xml:space="preserve"> </w:t>
      </w:r>
      <w:r w:rsidR="08E95479" w:rsidRPr="081942A4">
        <w:rPr>
          <w:szCs w:val="24"/>
        </w:rPr>
        <w:t>(</w:t>
      </w:r>
      <w:r w:rsidR="08FB3489" w:rsidRPr="08A400AA">
        <w:t>ἐνέρ</w:t>
      </w:r>
      <w:r w:rsidR="08FB3489">
        <w:t xml:space="preserve">γειά τις; </w:t>
      </w:r>
      <w:r w:rsidR="00C34586">
        <w:t>OBJ I</w:t>
      </w:r>
      <w:r w:rsidR="08E95479" w:rsidRPr="00D10BB4">
        <w:rPr>
          <w:szCs w:val="24"/>
        </w:rPr>
        <w:t xml:space="preserve">, kap. 1.3.2). </w:t>
      </w:r>
      <w:r>
        <w:t xml:space="preserve">Bonaventura tuto habituální energii uvolnil </w:t>
      </w:r>
      <w:r w:rsidR="081176CA">
        <w:t xml:space="preserve">tím, že ji </w:t>
      </w:r>
      <w:r w:rsidR="08F3660F">
        <w:t xml:space="preserve">vybavil </w:t>
      </w:r>
      <w:r w:rsidR="00057BF0">
        <w:t xml:space="preserve">objektivní </w:t>
      </w:r>
      <w:r w:rsidR="08F3660F">
        <w:t>fakticitou a tím i dějinnou účinností</w:t>
      </w:r>
      <w:r>
        <w:t>. Citát ukazuje, že vedle kauzální nutnosti vázané na kontingentní interakci prvních substancí v reálu existuje habituální danost věcí, která je objektivně determinována nutností dan</w:t>
      </w:r>
      <w:r w:rsidR="001859B6">
        <w:t>ou stvořitelskou produkcí</w:t>
      </w:r>
      <w:r>
        <w:t xml:space="preserve">. Exemplární nutnost stvořitelova úkonu </w:t>
      </w:r>
      <w:r w:rsidR="00A967D2">
        <w:t xml:space="preserve">je vidět skrze analogii </w:t>
      </w:r>
      <w:r w:rsidR="00B26C89">
        <w:t>seminálních forem, které jsou dány v</w:t>
      </w:r>
      <w:r>
        <w:t xml:space="preserve">e stvoření. Svět </w:t>
      </w:r>
      <w:r w:rsidR="00B26C89">
        <w:t xml:space="preserve">existuje </w:t>
      </w:r>
      <w:r>
        <w:t xml:space="preserve">v </w:t>
      </w:r>
      <w:r>
        <w:lastRenderedPageBreak/>
        <w:t xml:space="preserve">boží mysli objektivně-exemplárně. </w:t>
      </w:r>
      <w:r w:rsidR="0004702A">
        <w:t>Skrze ontoteologickou dedukci je r</w:t>
      </w:r>
      <w:r w:rsidR="007F28D6">
        <w:t>eálný svět vyveden (</w:t>
      </w:r>
      <w:r w:rsidR="007F28D6" w:rsidRPr="007F28D6">
        <w:rPr>
          <w:i/>
        </w:rPr>
        <w:t>deducere</w:t>
      </w:r>
      <w:r w:rsidR="007F28D6">
        <w:t>) z o</w:t>
      </w:r>
      <w:r>
        <w:t>bjektivní</w:t>
      </w:r>
      <w:r w:rsidR="007F28D6">
        <w:t>ho</w:t>
      </w:r>
      <w:r>
        <w:t xml:space="preserve"> diakosmu, kde funguje seminálně-objektivní racionalita. Vyvedení vyšší formy objektivity do nižší zajišťuje podobnost dvou forem (</w:t>
      </w:r>
      <w:r w:rsidRPr="00734F8A">
        <w:rPr>
          <w:i/>
        </w:rPr>
        <w:t>ratio exemplaris</w:t>
      </w:r>
      <w:r>
        <w:t xml:space="preserve">, </w:t>
      </w:r>
      <w:r w:rsidRPr="00734F8A">
        <w:rPr>
          <w:i/>
        </w:rPr>
        <w:t>seminalis</w:t>
      </w:r>
      <w:r>
        <w:rPr>
          <w:i/>
        </w:rPr>
        <w:fldChar w:fldCharType="begin"/>
      </w:r>
      <w:r>
        <w:instrText xml:space="preserve"> XE "</w:instrText>
      </w:r>
      <w:r w:rsidRPr="009D39F0">
        <w:rPr>
          <w:i/>
        </w:rPr>
        <w:instrText>ratio seminalis</w:instrText>
      </w:r>
      <w:r>
        <w:instrText xml:space="preserve">" </w:instrText>
      </w:r>
      <w:r>
        <w:rPr>
          <w:i/>
        </w:rPr>
        <w:fldChar w:fldCharType="end"/>
      </w:r>
      <w:r>
        <w:t>), dvou regulí a dvou podob výkonné vůle neomezeného a omezeného demiurga</w:t>
      </w:r>
      <w:r>
        <w:fldChar w:fldCharType="begin"/>
      </w:r>
      <w:r>
        <w:instrText xml:space="preserve"> XE "</w:instrText>
      </w:r>
      <w:r w:rsidRPr="005C2F4A">
        <w:rPr>
          <w:rStyle w:val="addmd"/>
        </w:rPr>
        <w:instrText>demiurg</w:instrText>
      </w:r>
      <w:r>
        <w:instrText xml:space="preserve">" </w:instrText>
      </w:r>
      <w:r>
        <w:fldChar w:fldCharType="end"/>
      </w:r>
      <w:r>
        <w:t xml:space="preserve">. </w:t>
      </w:r>
      <w:r w:rsidR="08354BAE">
        <w:t>Opět je použita analogie Ja</w:t>
      </w:r>
      <w:r w:rsidR="08375C4F">
        <w:t>m</w:t>
      </w:r>
      <w:r w:rsidR="08354BAE">
        <w:t>blichova schéma</w:t>
      </w:r>
      <w:r w:rsidR="08375C4F">
        <w:t>tu</w:t>
      </w:r>
      <w:r w:rsidR="08354BAE">
        <w:t xml:space="preserve"> </w:t>
      </w:r>
      <w:r w:rsidR="00E2613E">
        <w:t>„</w:t>
      </w:r>
      <w:proofErr w:type="gramStart"/>
      <w:r w:rsidR="08354BAE">
        <w:t>Neomezené</w:t>
      </w:r>
      <w:proofErr w:type="gramEnd"/>
      <w:r w:rsidR="00E2613E">
        <w:t>–</w:t>
      </w:r>
      <w:proofErr w:type="gramStart"/>
      <w:r w:rsidR="00E2613E">
        <w:t>Omezené</w:t>
      </w:r>
      <w:proofErr w:type="gramEnd"/>
      <w:r w:rsidR="00E2613E">
        <w:t>“</w:t>
      </w:r>
      <w:r w:rsidR="08354BAE">
        <w:t xml:space="preserve"> </w:t>
      </w:r>
      <w:r w:rsidR="08354BAE" w:rsidRPr="081942A4">
        <w:rPr>
          <w:szCs w:val="24"/>
        </w:rPr>
        <w:t>(</w:t>
      </w:r>
      <w:r w:rsidR="00237F73">
        <w:rPr>
          <w:szCs w:val="24"/>
        </w:rPr>
        <w:t>OBJ I, kap.</w:t>
      </w:r>
      <w:r w:rsidR="08354BAE" w:rsidRPr="081942A4">
        <w:rPr>
          <w:szCs w:val="24"/>
        </w:rPr>
        <w:t xml:space="preserve"> 1.3.1). </w:t>
      </w:r>
      <w:r w:rsidR="08354BAE" w:rsidRPr="00D10BB4">
        <w:rPr>
          <w:szCs w:val="24"/>
        </w:rPr>
        <w:t>S</w:t>
      </w:r>
      <w:r>
        <w:t xml:space="preserve">uverénní vůle </w:t>
      </w:r>
      <w:r w:rsidR="08354BAE">
        <w:t xml:space="preserve">demiurga </w:t>
      </w:r>
      <w:r>
        <w:t xml:space="preserve">nabitá aktualitou a </w:t>
      </w:r>
      <w:r w:rsidR="08354BAE">
        <w:t xml:space="preserve">tvořivou </w:t>
      </w:r>
      <w:r>
        <w:t xml:space="preserve">energií vezme štafetu objektivního určení jsoucna a pošle ji do světa. Analogie mezi stvořitelskou a tvořitelskou regulí zajišťuje, že vazba mezi exemplární a seminální hypostází má charakter objektivního </w:t>
      </w:r>
      <w:r w:rsidRPr="00856BBC">
        <w:rPr>
          <w:i/>
        </w:rPr>
        <w:t>concretum</w:t>
      </w:r>
      <w:r>
        <w:rPr>
          <w:i/>
        </w:rPr>
        <w:fldChar w:fldCharType="begin"/>
      </w:r>
      <w:r>
        <w:instrText xml:space="preserve"> XE "</w:instrText>
      </w:r>
      <w:r w:rsidRPr="00B759F5">
        <w:rPr>
          <w:i/>
        </w:rPr>
        <w:instrText>concretum</w:instrText>
      </w:r>
      <w:r>
        <w:instrText xml:space="preserve">" </w:instrText>
      </w:r>
      <w:r>
        <w:rPr>
          <w:i/>
        </w:rPr>
        <w:fldChar w:fldCharType="end"/>
      </w:r>
      <w:r>
        <w:t xml:space="preserve"> daného v intelektu, nebo reálného demiurgického </w:t>
      </w:r>
      <w:r w:rsidRPr="00856BBC">
        <w:rPr>
          <w:i/>
        </w:rPr>
        <w:t>factum</w:t>
      </w:r>
      <w:r>
        <w:rPr>
          <w:i/>
        </w:rPr>
        <w:fldChar w:fldCharType="begin"/>
      </w:r>
      <w:r>
        <w:instrText xml:space="preserve"> XE "</w:instrText>
      </w:r>
      <w:r w:rsidRPr="0012277B">
        <w:rPr>
          <w:i/>
        </w:rPr>
        <w:instrText>factum</w:instrText>
      </w:r>
      <w:r>
        <w:instrText xml:space="preserve">" </w:instrText>
      </w:r>
      <w:r>
        <w:rPr>
          <w:i/>
        </w:rPr>
        <w:fldChar w:fldCharType="end"/>
      </w:r>
      <w:r>
        <w:t xml:space="preserve"> daného v realitě. Boží stvoření je nutně dáno jako habituální tvoření, které je z boží mysli vyvedeno do aktuality. Dedukce konstruovaná </w:t>
      </w:r>
      <w:r w:rsidRPr="00273106">
        <w:t xml:space="preserve">na základě </w:t>
      </w:r>
      <w:r w:rsidRPr="0001018B">
        <w:rPr>
          <w:i/>
        </w:rPr>
        <w:t>Oxfordian Fallacy</w:t>
      </w:r>
      <w:r>
        <w:t xml:space="preserve"> nepotřebuje</w:t>
      </w:r>
      <w:r w:rsidRPr="00273106">
        <w:t xml:space="preserve"> kauzalitu reálné první substance k pravdivému závěru (</w:t>
      </w:r>
      <w:r w:rsidRPr="00273106">
        <w:rPr>
          <w:i/>
        </w:rPr>
        <w:t xml:space="preserve">verum etiam </w:t>
      </w:r>
      <w:r w:rsidRPr="00273106">
        <w:rPr>
          <w:bCs/>
          <w:i/>
        </w:rPr>
        <w:t>in non entibus</w:t>
      </w:r>
      <w:r>
        <w:t>)</w:t>
      </w:r>
      <w:r w:rsidRPr="00273106">
        <w:t>.</w:t>
      </w:r>
      <w:r>
        <w:t xml:space="preserve"> </w:t>
      </w:r>
      <w:r w:rsidR="002C55F6">
        <w:t>Bonaventura vytvořil</w:t>
      </w:r>
      <w:r w:rsidR="003E177F">
        <w:t xml:space="preserve"> novou formu </w:t>
      </w:r>
      <w:r>
        <w:t xml:space="preserve">poznání s absolutním a dogmatickým nárokem na pravdu danou </w:t>
      </w:r>
      <w:r w:rsidRPr="00273106">
        <w:t>ontoteologicky skrze Zjevení</w:t>
      </w:r>
      <w:r>
        <w:t>. Víra v božího tvůrčího génia a jeho věčnou a univerzálně platnou reguli nahrad</w:t>
      </w:r>
      <w:r w:rsidR="002C55F6">
        <w:t>ila</w:t>
      </w:r>
      <w:r>
        <w:t xml:space="preserve"> první substanci</w:t>
      </w:r>
      <w:r w:rsidRPr="00273106">
        <w:t xml:space="preserve">, </w:t>
      </w:r>
      <w:r w:rsidR="002C55F6">
        <w:t>což v postmoderně zopakoval</w:t>
      </w:r>
      <w:r>
        <w:t xml:space="preserve"> Descartes</w:t>
      </w:r>
      <w:r>
        <w:fldChar w:fldCharType="begin"/>
      </w:r>
      <w:r>
        <w:instrText xml:space="preserve"> XE "</w:instrText>
      </w:r>
      <w:r w:rsidRPr="004146C6">
        <w:rPr>
          <w:rStyle w:val="addmd"/>
        </w:rPr>
        <w:instrText>Descartes, R.</w:instrText>
      </w:r>
      <w:r>
        <w:instrText xml:space="preserve">" </w:instrText>
      </w:r>
      <w:r>
        <w:fldChar w:fldCharType="end"/>
      </w:r>
      <w:r>
        <w:t xml:space="preserve">. </w:t>
      </w:r>
      <w:r w:rsidR="008463DB" w:rsidRPr="00273106">
        <w:t>Bonaventur</w:t>
      </w:r>
      <w:r w:rsidR="008463DB">
        <w:t xml:space="preserve">a vytvořil moderní metafyziku jako ontoteologickou verzi </w:t>
      </w:r>
      <w:r w:rsidR="008463DB" w:rsidRPr="008C11AC">
        <w:rPr>
          <w:i/>
        </w:rPr>
        <w:t>Oxfordian Fallacy</w:t>
      </w:r>
      <w:r w:rsidR="008463DB" w:rsidRPr="00273106">
        <w:t>.</w:t>
      </w:r>
      <w:r w:rsidR="008463DB">
        <w:t xml:space="preserve"> </w:t>
      </w:r>
      <w:r w:rsidR="000B5AC5">
        <w:t>Spojení formy</w:t>
      </w:r>
      <w:r w:rsidR="000B5AC5" w:rsidRPr="000B5AC5">
        <w:t xml:space="preserve"> a hmoty jako </w:t>
      </w:r>
      <w:r w:rsidR="000B5AC5" w:rsidRPr="000B5AC5">
        <w:rPr>
          <w:i/>
        </w:rPr>
        <w:t>tertium ens</w:t>
      </w:r>
      <w:r w:rsidR="000B5AC5" w:rsidRPr="000B5AC5">
        <w:t xml:space="preserve"> je zajištěno </w:t>
      </w:r>
      <w:r w:rsidR="0027405C">
        <w:t>skrze svrchovanou vůli</w:t>
      </w:r>
      <w:r w:rsidR="000B5AC5" w:rsidRPr="000B5AC5">
        <w:t xml:space="preserve"> subjektu. Toto mystické a mytologické </w:t>
      </w:r>
      <w:r w:rsidR="000B5AC5" w:rsidRPr="000B5AC5">
        <w:rPr>
          <w:i/>
        </w:rPr>
        <w:t>copulatio</w:t>
      </w:r>
      <w:r w:rsidR="000B5AC5" w:rsidRPr="000B5AC5">
        <w:t xml:space="preserve"> zakládá moderní ontoteologickou objektivitu. Duns Scotus přepracoval tuto m</w:t>
      </w:r>
      <w:r w:rsidR="000B5AC5">
        <w:t>y</w:t>
      </w:r>
      <w:r w:rsidR="000B5AC5" w:rsidRPr="000B5AC5">
        <w:t>topoetiku</w:t>
      </w:r>
      <w:r w:rsidR="000B5AC5">
        <w:t xml:space="preserve"> v univerzální metafyziku. </w:t>
      </w:r>
      <w:r w:rsidRPr="00273106">
        <w:rPr>
          <w:bCs/>
        </w:rPr>
        <w:t>Leibniz</w:t>
      </w:r>
      <w:r>
        <w:fldChar w:fldCharType="begin"/>
      </w:r>
      <w:r>
        <w:instrText xml:space="preserve"> XE "</w:instrText>
      </w:r>
      <w:r w:rsidRPr="00205FC7">
        <w:instrText>Leibniz, G. W.</w:instrText>
      </w:r>
      <w:r>
        <w:instrText xml:space="preserve">" </w:instrText>
      </w:r>
      <w:r>
        <w:fldChar w:fldCharType="end"/>
      </w:r>
      <w:r w:rsidRPr="00273106">
        <w:rPr>
          <w:bCs/>
        </w:rPr>
        <w:t xml:space="preserve"> </w:t>
      </w:r>
      <w:r w:rsidR="000B5AC5">
        <w:rPr>
          <w:bCs/>
        </w:rPr>
        <w:t>nahradil prezentaci demi</w:t>
      </w:r>
      <w:r w:rsidR="00C605C7">
        <w:rPr>
          <w:bCs/>
        </w:rPr>
        <w:t>u</w:t>
      </w:r>
      <w:r w:rsidR="000B5AC5">
        <w:rPr>
          <w:bCs/>
        </w:rPr>
        <w:t xml:space="preserve">rgické aktivity </w:t>
      </w:r>
      <w:r w:rsidRPr="00273106">
        <w:rPr>
          <w:bCs/>
        </w:rPr>
        <w:t>v boží mysli (</w:t>
      </w:r>
      <w:r w:rsidRPr="00273106">
        <w:rPr>
          <w:bCs/>
          <w:i/>
        </w:rPr>
        <w:t>aeternae artis repraesentationem</w:t>
      </w:r>
      <w:r w:rsidR="00507263">
        <w:rPr>
          <w:bCs/>
        </w:rPr>
        <w:t xml:space="preserve">) </w:t>
      </w:r>
      <w:r w:rsidRPr="00273106">
        <w:rPr>
          <w:bCs/>
        </w:rPr>
        <w:t>matematickým kalkulem</w:t>
      </w:r>
      <w:r>
        <w:rPr>
          <w:bCs/>
        </w:rPr>
        <w:t xml:space="preserve"> (</w:t>
      </w:r>
      <w:r w:rsidRPr="00273106">
        <w:rPr>
          <w:i/>
        </w:rPr>
        <w:t>la région des vérités éternelles</w:t>
      </w:r>
      <w:r>
        <w:t>, k</w:t>
      </w:r>
      <w:r w:rsidR="08846B2A">
        <w:t>ap. 5</w:t>
      </w:r>
      <w:r w:rsidRPr="00273106">
        <w:t>.2.3)</w:t>
      </w:r>
      <w:r>
        <w:t xml:space="preserve">. Matematika </w:t>
      </w:r>
      <w:r w:rsidR="00F3012A">
        <w:rPr>
          <w:bCs/>
        </w:rPr>
        <w:t>dokonala</w:t>
      </w:r>
      <w:r w:rsidRPr="00273106">
        <w:rPr>
          <w:bCs/>
        </w:rPr>
        <w:t xml:space="preserve"> Grossetestem a Rufusem zahájený pochod moderny</w:t>
      </w:r>
      <w:r w:rsidR="00342AA4">
        <w:rPr>
          <w:bCs/>
        </w:rPr>
        <w:t>. A</w:t>
      </w:r>
      <w:r>
        <w:rPr>
          <w:bCs/>
        </w:rPr>
        <w:t xml:space="preserve">ktuální </w:t>
      </w:r>
      <w:r w:rsidR="00342AA4">
        <w:rPr>
          <w:bCs/>
        </w:rPr>
        <w:t xml:space="preserve">existence věcí je volně zaměnitelná za </w:t>
      </w:r>
      <w:r>
        <w:rPr>
          <w:bCs/>
        </w:rPr>
        <w:t xml:space="preserve">mentální </w:t>
      </w:r>
      <w:r w:rsidR="00342AA4">
        <w:rPr>
          <w:bCs/>
        </w:rPr>
        <w:t>prezentaci věcí</w:t>
      </w:r>
      <w:r w:rsidRPr="00273106">
        <w:t>.</w:t>
      </w:r>
      <w:r w:rsidR="00484632">
        <w:t xml:space="preserve"> </w:t>
      </w:r>
      <w:r>
        <w:t>A</w:t>
      </w:r>
      <w:r w:rsidRPr="00273106">
        <w:t>nglikán</w:t>
      </w:r>
      <w:r>
        <w:t xml:space="preserve">ský biskup </w:t>
      </w:r>
      <w:r w:rsidRPr="00273106">
        <w:t>Berkeley</w:t>
      </w:r>
      <w:r>
        <w:fldChar w:fldCharType="begin"/>
      </w:r>
      <w:r>
        <w:instrText xml:space="preserve"> XE "</w:instrText>
      </w:r>
      <w:r w:rsidRPr="002F48E0">
        <w:instrText>Berkeley, G.</w:instrText>
      </w:r>
      <w:r>
        <w:instrText xml:space="preserve">" </w:instrText>
      </w:r>
      <w:r>
        <w:fldChar w:fldCharType="end"/>
      </w:r>
      <w:r>
        <w:rPr>
          <w:bCs/>
        </w:rPr>
        <w:t xml:space="preserve"> nakonec </w:t>
      </w:r>
      <w:r w:rsidRPr="00273106">
        <w:t xml:space="preserve">psychologizuje </w:t>
      </w:r>
      <w:r w:rsidR="00342AA4">
        <w:t>citovanou Bonaventurovu</w:t>
      </w:r>
      <w:r>
        <w:t xml:space="preserve"> </w:t>
      </w:r>
      <w:r w:rsidR="0051578D">
        <w:t>„</w:t>
      </w:r>
      <w:r w:rsidR="00342AA4">
        <w:rPr>
          <w:i/>
        </w:rPr>
        <w:t>illationis necessitas</w:t>
      </w:r>
      <w:r w:rsidR="0051578D">
        <w:t>“</w:t>
      </w:r>
      <w:r w:rsidRPr="00273106">
        <w:t xml:space="preserve"> </w:t>
      </w:r>
      <w:r>
        <w:t xml:space="preserve">v plně nihilistické verzi </w:t>
      </w:r>
      <w:r w:rsidRPr="009E539F">
        <w:rPr>
          <w:i/>
        </w:rPr>
        <w:t>Oxfordian Fallacy</w:t>
      </w:r>
      <w:r>
        <w:rPr>
          <w:i/>
        </w:rPr>
        <w:fldChar w:fldCharType="begin"/>
      </w:r>
      <w:r>
        <w:instrText xml:space="preserve"> XE "</w:instrText>
      </w:r>
      <w:r w:rsidRPr="0015798D">
        <w:rPr>
          <w:i/>
        </w:rPr>
        <w:instrText>Oxfordian Fallacy:</w:instrText>
      </w:r>
      <w:r w:rsidRPr="00C67D33">
        <w:instrText>postmoderna</w:instrText>
      </w:r>
      <w:r>
        <w:instrText xml:space="preserve">" </w:instrText>
      </w:r>
      <w:r>
        <w:rPr>
          <w:i/>
        </w:rPr>
        <w:fldChar w:fldCharType="end"/>
      </w:r>
      <w:r w:rsidR="088C739B">
        <w:t>, kdy je reálný svět redukován na čistý prožitek subjektu (</w:t>
      </w:r>
      <w:r w:rsidR="088C739B" w:rsidRPr="088C739B">
        <w:rPr>
          <w:i/>
        </w:rPr>
        <w:t>esse est percipi</w:t>
      </w:r>
      <w:r w:rsidR="088C739B">
        <w:t>)</w:t>
      </w:r>
      <w:r w:rsidRPr="00273106">
        <w:t>.</w:t>
      </w:r>
      <w:r>
        <w:t xml:space="preserve"> Moderní subjekt dostal nový habitat nikoliv v realitě, ale v suverénní vůli. Její aktualita dala nepochybný základ (</w:t>
      </w:r>
      <w:r w:rsidRPr="08793B05">
        <w:rPr>
          <w:i/>
        </w:rPr>
        <w:t>subiectum</w:t>
      </w:r>
      <w:r>
        <w:t xml:space="preserve">) pro epochální účinnost Rufusova modelu pravdy jako asimilace jsoucen třetího druhu. Tím dostal moderní subjekt </w:t>
      </w:r>
      <w:r w:rsidR="002E146D">
        <w:t>habitus určený jako aktuální substance</w:t>
      </w:r>
      <w:r w:rsidR="008E5049">
        <w:t xml:space="preserve">. </w:t>
      </w:r>
      <w:r w:rsidR="002E146D">
        <w:t xml:space="preserve">Takto založený kapitalistický subjekt konečně </w:t>
      </w:r>
      <w:r>
        <w:t xml:space="preserve">mohl vyrazit k dobytí světa </w:t>
      </w:r>
      <w:r>
        <w:lastRenderedPageBreak/>
        <w:t xml:space="preserve">v modu objektivně-křesťanského </w:t>
      </w:r>
      <w:r w:rsidR="00424FD5">
        <w:t>„</w:t>
      </w:r>
      <w:r w:rsidRPr="08297F4F">
        <w:rPr>
          <w:i/>
        </w:rPr>
        <w:t>informatio</w:t>
      </w:r>
      <w:r w:rsidR="00424FD5">
        <w:t>“</w:t>
      </w:r>
      <w:r>
        <w:t>.</w:t>
      </w:r>
      <w:r w:rsidR="000202FF">
        <w:t xml:space="preserve"> </w:t>
      </w:r>
      <w:r w:rsidR="000202FF" w:rsidRPr="000202FF">
        <w:t xml:space="preserve">Nová </w:t>
      </w:r>
      <w:r w:rsidR="000202FF">
        <w:t xml:space="preserve">forma </w:t>
      </w:r>
      <w:r w:rsidR="000202FF" w:rsidRPr="000202FF">
        <w:t xml:space="preserve">světa je </w:t>
      </w:r>
      <w:r w:rsidR="000202FF">
        <w:t xml:space="preserve">určena </w:t>
      </w:r>
      <w:r w:rsidR="000202FF" w:rsidRPr="000202FF">
        <w:t xml:space="preserve">jeho vůlí a neposlušná hmota má vnitřní </w:t>
      </w:r>
      <w:r w:rsidR="000202FF">
        <w:t xml:space="preserve">touhu </w:t>
      </w:r>
      <w:r w:rsidR="000202FF" w:rsidRPr="000202FF">
        <w:t xml:space="preserve">převzít </w:t>
      </w:r>
      <w:r w:rsidR="00D73053">
        <w:t xml:space="preserve">toto mytologické </w:t>
      </w:r>
      <w:r w:rsidR="000202FF" w:rsidRPr="000202FF">
        <w:t xml:space="preserve">břemeno </w:t>
      </w:r>
      <w:r w:rsidR="000202FF">
        <w:t>bílého muže</w:t>
      </w:r>
      <w:r w:rsidR="000202FF" w:rsidRPr="000202FF">
        <w:t>.</w:t>
      </w:r>
    </w:p>
    <w:p w:rsidR="007D2EC8" w:rsidRDefault="08B77C57" w:rsidP="00D72FFD">
      <w:pPr>
        <w:ind w:firstLine="397"/>
      </w:pPr>
      <w:r>
        <w:t>E</w:t>
      </w:r>
      <w:r w:rsidR="08101784">
        <w:t xml:space="preserve">konomické poměry </w:t>
      </w:r>
      <w:r w:rsidR="081A5793">
        <w:t xml:space="preserve">se </w:t>
      </w:r>
      <w:r w:rsidR="08101784">
        <w:t>zásadně změnily už ve 12. století, kdy byly systematicky vedeny dobyv</w:t>
      </w:r>
      <w:r>
        <w:t>ačné feudální války. Vedle rytíře</w:t>
      </w:r>
      <w:r w:rsidR="08101784">
        <w:t xml:space="preserve"> vázaného feudální přísahou vzn</w:t>
      </w:r>
      <w:r w:rsidR="08F91A9F">
        <w:t>ikla kategorie námezdních válečníků</w:t>
      </w:r>
      <w:r w:rsidR="08101784">
        <w:t>.</w:t>
      </w:r>
      <w:r w:rsidR="08F91A9F">
        <w:rPr>
          <w:rStyle w:val="Znakapoznpodarou"/>
        </w:rPr>
        <w:footnoteReference w:id="79"/>
      </w:r>
      <w:r w:rsidR="08101784">
        <w:t xml:space="preserve"> Tito žoldnéři (</w:t>
      </w:r>
      <w:r w:rsidR="08101784" w:rsidRPr="08101784">
        <w:rPr>
          <w:i/>
        </w:rPr>
        <w:t>ruptuarii</w:t>
      </w:r>
      <w:r w:rsidR="08101784">
        <w:t>) a jejich vojenský doprovod byli placeni za vojenské služby a dostali podíl na kořisti. Rabující žoldnéřské bandy najímané feudály představovaly první systém námezdní a svobodné pracovní</w:t>
      </w:r>
      <w:r w:rsidR="00D72FFD">
        <w:t xml:space="preserve"> síly na kapitalistický způsob. </w:t>
      </w:r>
      <w:r w:rsidR="00D72FFD" w:rsidRPr="00D72FFD">
        <w:t xml:space="preserve">Tento vojenský kapitalismus se změnil </w:t>
      </w:r>
      <w:r w:rsidR="00D72FFD">
        <w:t xml:space="preserve">v </w:t>
      </w:r>
      <w:r w:rsidR="00D72FFD" w:rsidRPr="00D72FFD">
        <w:t xml:space="preserve">první formu imperialismu, který od 16. století dobýval a plenil zámořská území a kolonie. </w:t>
      </w:r>
      <w:r w:rsidR="08B71D18">
        <w:t>První moderní forma akciové koloniální společnosti zainteresované na zisku z dobývaného území vznikla už během první křížové výpravy (1099).</w:t>
      </w:r>
      <w:r w:rsidR="08B71D18">
        <w:rPr>
          <w:rStyle w:val="Znakapoznpodarou"/>
        </w:rPr>
        <w:footnoteReference w:id="80"/>
      </w:r>
      <w:r w:rsidR="08B71D18">
        <w:t xml:space="preserve"> </w:t>
      </w:r>
      <w:r w:rsidR="0814704C">
        <w:t>P</w:t>
      </w:r>
      <w:r w:rsidR="08D74D62">
        <w:t xml:space="preserve">rvním </w:t>
      </w:r>
      <w:r w:rsidR="08D8710C">
        <w:t xml:space="preserve">globálním </w:t>
      </w:r>
      <w:r w:rsidR="08D74D62">
        <w:t xml:space="preserve">protagonistou </w:t>
      </w:r>
      <w:r w:rsidR="0814704C">
        <w:t xml:space="preserve">moderního </w:t>
      </w:r>
      <w:r w:rsidR="0814704C" w:rsidRPr="08614392">
        <w:t>koloni</w:t>
      </w:r>
      <w:r w:rsidR="0814704C">
        <w:t xml:space="preserve">álního výboje </w:t>
      </w:r>
      <w:r w:rsidR="08D74D62">
        <w:t>byly Benátky během čtvrté křížové výpravy.</w:t>
      </w:r>
      <w:r w:rsidR="08F5413B">
        <w:t xml:space="preserve"> </w:t>
      </w:r>
      <w:r w:rsidR="08F5413B" w:rsidRPr="08614392">
        <w:t xml:space="preserve">Dóže Enrico Dandolo (†1205) se závazal </w:t>
      </w:r>
      <w:r w:rsidR="08F5413B">
        <w:t>za Benát</w:t>
      </w:r>
      <w:r w:rsidR="08F5413B" w:rsidRPr="08614392">
        <w:t>k</w:t>
      </w:r>
      <w:r w:rsidR="08F5413B">
        <w:t>y, že převeze</w:t>
      </w:r>
      <w:r w:rsidR="08F5413B" w:rsidRPr="08614392">
        <w:t xml:space="preserve"> celkem 33.000 </w:t>
      </w:r>
      <w:r w:rsidR="08F5413B">
        <w:t xml:space="preserve">křižáků do Egypta a vybaví čtvrtou kruciátu </w:t>
      </w:r>
      <w:r w:rsidR="08F5413B" w:rsidRPr="08614392">
        <w:t xml:space="preserve">50 galérami. Jako odměnu žádal 85.000 stříbrných marek a poloviční podíl na dobytých územích. </w:t>
      </w:r>
      <w:r w:rsidR="08F5413B">
        <w:t>Zmanipulovaní kři</w:t>
      </w:r>
      <w:r w:rsidR="08F5413B" w:rsidRPr="08614392">
        <w:t>žáci místo dobytí Svaté země dobyli a vyplundrovali centrum ortodoxního křesťanství Konstantinopol</w:t>
      </w:r>
      <w:r w:rsidR="08F5413B">
        <w:t xml:space="preserve"> </w:t>
      </w:r>
      <w:r w:rsidR="08F5413B" w:rsidRPr="08614392">
        <w:t xml:space="preserve">(duben </w:t>
      </w:r>
      <w:r w:rsidR="08F5413B">
        <w:t>120</w:t>
      </w:r>
      <w:r w:rsidR="08F5413B" w:rsidRPr="08614392">
        <w:t>4)</w:t>
      </w:r>
      <w:r w:rsidR="08F5413B">
        <w:t xml:space="preserve">. Tato </w:t>
      </w:r>
      <w:r w:rsidR="08E54114">
        <w:t xml:space="preserve">imperialistická </w:t>
      </w:r>
      <w:r w:rsidR="08F5413B">
        <w:t xml:space="preserve">investice </w:t>
      </w:r>
      <w:r w:rsidR="08E54114">
        <w:t xml:space="preserve">vložená do zničení Konstantinopole </w:t>
      </w:r>
      <w:r w:rsidR="08F5413B">
        <w:t>byla pro Benátky maximálně výhodná. Mimo získanou kořist a územní zisk byla odstraněna hlavní obchodní konkurence Benátčanů ve Středozemním a Jaderském moři</w:t>
      </w:r>
      <w:r w:rsidR="08F5413B" w:rsidRPr="08614392">
        <w:t>.</w:t>
      </w:r>
      <w:r w:rsidR="08F5413B">
        <w:t xml:space="preserve"> </w:t>
      </w:r>
      <w:r w:rsidR="08071F9D">
        <w:t xml:space="preserve"> </w:t>
      </w:r>
      <w:r w:rsidR="08206912">
        <w:t xml:space="preserve">Příkladem </w:t>
      </w:r>
      <w:r w:rsidR="08284D8C">
        <w:t xml:space="preserve">prvních </w:t>
      </w:r>
      <w:r w:rsidR="08206912">
        <w:t xml:space="preserve">kapitalistických kolonií </w:t>
      </w:r>
      <w:r w:rsidR="080E3EFF">
        <w:t xml:space="preserve">moderního typu </w:t>
      </w:r>
      <w:r w:rsidR="08206912">
        <w:t>jsou ostrovy Kréta a Korfu, které vykořisťovaly Benátky od čtvrté křížové výpravy</w:t>
      </w:r>
      <w:r w:rsidR="087076A2">
        <w:t xml:space="preserve"> </w:t>
      </w:r>
      <w:r w:rsidR="08B9105D">
        <w:t>na začátku 13. století</w:t>
      </w:r>
      <w:r w:rsidR="08206912">
        <w:t xml:space="preserve">. </w:t>
      </w:r>
      <w:r w:rsidR="083173D9">
        <w:t xml:space="preserve">Na konci </w:t>
      </w:r>
      <w:r w:rsidR="08B9105D">
        <w:t xml:space="preserve">téhož </w:t>
      </w:r>
      <w:r w:rsidR="0824291B">
        <w:t xml:space="preserve">století dostává tento způsob vidění světa svůj </w:t>
      </w:r>
      <w:r w:rsidR="08F74906">
        <w:t xml:space="preserve">moderní </w:t>
      </w:r>
      <w:r w:rsidR="0824291B" w:rsidRPr="0824291B">
        <w:rPr>
          <w:i/>
        </w:rPr>
        <w:t>raison d'être</w:t>
      </w:r>
      <w:r w:rsidR="0824291B">
        <w:rPr>
          <w:rStyle w:val="st"/>
        </w:rPr>
        <w:t xml:space="preserve">, ze kterého se od 19. století </w:t>
      </w:r>
      <w:r w:rsidR="0824291B">
        <w:rPr>
          <w:rStyle w:val="st"/>
        </w:rPr>
        <w:lastRenderedPageBreak/>
        <w:t xml:space="preserve">stává </w:t>
      </w:r>
      <w:r w:rsidR="0824291B" w:rsidRPr="0824291B">
        <w:rPr>
          <w:i/>
        </w:rPr>
        <w:t>raison d'état</w:t>
      </w:r>
      <w:r w:rsidR="08211DC3">
        <w:rPr>
          <w:rStyle w:val="st"/>
        </w:rPr>
        <w:t xml:space="preserve">. </w:t>
      </w:r>
      <w:r w:rsidR="002F0D17">
        <w:rPr>
          <w:rStyle w:val="st"/>
        </w:rPr>
        <w:t>Karel Marx</w:t>
      </w:r>
      <w:r w:rsidR="002F0D17">
        <w:rPr>
          <w:rStyle w:val="st"/>
        </w:rPr>
        <w:fldChar w:fldCharType="begin"/>
      </w:r>
      <w:r w:rsidR="002F0D17">
        <w:instrText xml:space="preserve"> XE "</w:instrText>
      </w:r>
      <w:r w:rsidR="002F0D17" w:rsidRPr="08427C08">
        <w:rPr>
          <w:rStyle w:val="st"/>
        </w:rPr>
        <w:instrText>Marx, K.</w:instrText>
      </w:r>
      <w:r w:rsidR="002F0D17">
        <w:instrText xml:space="preserve">" </w:instrText>
      </w:r>
      <w:r w:rsidR="002F0D17">
        <w:rPr>
          <w:rStyle w:val="st"/>
        </w:rPr>
        <w:fldChar w:fldCharType="end"/>
      </w:r>
      <w:r w:rsidR="002F0D17">
        <w:rPr>
          <w:rStyle w:val="st"/>
        </w:rPr>
        <w:t xml:space="preserve"> připomíná, že zrození moderních forem ekonomiky je třeba odlišit od epochy kapitalismu.</w:t>
      </w:r>
      <w:r w:rsidR="002F0D17">
        <w:rPr>
          <w:rStyle w:val="Znakapoznpodarou"/>
        </w:rPr>
        <w:footnoteReference w:id="81"/>
      </w:r>
      <w:r w:rsidR="002F0D17">
        <w:rPr>
          <w:rStyle w:val="st"/>
        </w:rPr>
        <w:t xml:space="preserve"> </w:t>
      </w:r>
      <w:r w:rsidR="00B22089" w:rsidRPr="00B22089">
        <w:rPr>
          <w:rStyle w:val="st"/>
        </w:rPr>
        <w:t xml:space="preserve">Musíme tedy přejít od </w:t>
      </w:r>
      <w:r w:rsidR="00B22089" w:rsidRPr="00B22089">
        <w:rPr>
          <w:rStyle w:val="st"/>
          <w:i/>
        </w:rPr>
        <w:t>dativus possesivus</w:t>
      </w:r>
      <w:r w:rsidR="00B22089" w:rsidRPr="00B22089">
        <w:rPr>
          <w:rStyle w:val="st"/>
        </w:rPr>
        <w:t xml:space="preserve"> (ekonomika) k </w:t>
      </w:r>
      <w:r w:rsidR="00B22089" w:rsidRPr="00B22089">
        <w:rPr>
          <w:rStyle w:val="st"/>
          <w:i/>
        </w:rPr>
        <w:t>dativus modi</w:t>
      </w:r>
      <w:r w:rsidR="00B22089" w:rsidRPr="00B22089">
        <w:rPr>
          <w:rStyle w:val="st"/>
        </w:rPr>
        <w:t xml:space="preserve"> (politický a sociální systém). </w:t>
      </w:r>
      <w:r w:rsidR="00EE70D1">
        <w:rPr>
          <w:bCs/>
        </w:rPr>
        <w:t xml:space="preserve">Kapitalismus jako společenský systém je třeba odlišit od kapitalistické ekonomie, která existovala už dávno předtím. </w:t>
      </w:r>
      <w:r w:rsidR="00070F80" w:rsidRPr="00070F80">
        <w:rPr>
          <w:rStyle w:val="st"/>
        </w:rPr>
        <w:t xml:space="preserve">První kapitalistický systém založený na nové formě </w:t>
      </w:r>
      <w:r w:rsidR="00070F80" w:rsidRPr="00070F80">
        <w:rPr>
          <w:rStyle w:val="st"/>
          <w:i/>
        </w:rPr>
        <w:t>dativus possessivus</w:t>
      </w:r>
      <w:r w:rsidR="00070F80" w:rsidRPr="00070F80">
        <w:rPr>
          <w:rStyle w:val="st"/>
        </w:rPr>
        <w:t xml:space="preserve"> se zrodil v Anglii 17. století redefinováním zemědělské feu</w:t>
      </w:r>
      <w:r w:rsidR="00070F80">
        <w:rPr>
          <w:rStyle w:val="st"/>
        </w:rPr>
        <w:t xml:space="preserve">dální praxe jako nové formy </w:t>
      </w:r>
      <w:r w:rsidR="00070F80" w:rsidRPr="00070F80">
        <w:rPr>
          <w:rStyle w:val="st"/>
          <w:i/>
        </w:rPr>
        <w:t>Ge-Stell</w:t>
      </w:r>
      <w:r w:rsidR="00070F80">
        <w:rPr>
          <w:rStyle w:val="st"/>
        </w:rPr>
        <w:t xml:space="preserve">. Přísun zisku byl </w:t>
      </w:r>
      <w:r w:rsidR="00070F80" w:rsidRPr="00070F80">
        <w:rPr>
          <w:rStyle w:val="st"/>
        </w:rPr>
        <w:t>založen na směn</w:t>
      </w:r>
      <w:r w:rsidR="00B35C33">
        <w:rPr>
          <w:rStyle w:val="st"/>
        </w:rPr>
        <w:t xml:space="preserve">né hodnotě a potenciálním zisku </w:t>
      </w:r>
      <w:r w:rsidR="00070F80" w:rsidRPr="00070F80">
        <w:rPr>
          <w:rStyle w:val="st"/>
        </w:rPr>
        <w:t>vytvoře</w:t>
      </w:r>
      <w:r w:rsidR="00B35C33">
        <w:rPr>
          <w:rStyle w:val="st"/>
        </w:rPr>
        <w:t xml:space="preserve">nému systematickými </w:t>
      </w:r>
      <w:r w:rsidR="00070F80">
        <w:rPr>
          <w:rStyle w:val="st"/>
        </w:rPr>
        <w:t>inovacemi</w:t>
      </w:r>
      <w:r w:rsidR="00B35C33">
        <w:rPr>
          <w:rStyle w:val="st"/>
        </w:rPr>
        <w:t xml:space="preserve"> zemědělské produkce</w:t>
      </w:r>
      <w:r w:rsidR="00070F80" w:rsidRPr="00070F80">
        <w:rPr>
          <w:rStyle w:val="st"/>
        </w:rPr>
        <w:t>.</w:t>
      </w:r>
      <w:r w:rsidR="00070F80">
        <w:rPr>
          <w:rStyle w:val="Znakapoznpodarou"/>
        </w:rPr>
        <w:footnoteReference w:id="82"/>
      </w:r>
      <w:r w:rsidR="00070F80">
        <w:rPr>
          <w:rStyle w:val="st"/>
        </w:rPr>
        <w:t xml:space="preserve"> </w:t>
      </w:r>
      <w:r w:rsidR="086F3F38">
        <w:rPr>
          <w:rStyle w:val="st"/>
        </w:rPr>
        <w:t xml:space="preserve">V kapitalismu 19. století se </w:t>
      </w:r>
      <w:r w:rsidR="08211DC3">
        <w:rPr>
          <w:rStyle w:val="st"/>
        </w:rPr>
        <w:t>kapitál stává domina</w:t>
      </w:r>
      <w:r w:rsidR="080815DB">
        <w:rPr>
          <w:rStyle w:val="st"/>
        </w:rPr>
        <w:t>n</w:t>
      </w:r>
      <w:r w:rsidR="08211DC3">
        <w:rPr>
          <w:rStyle w:val="st"/>
        </w:rPr>
        <w:t xml:space="preserve">tní silou určující společnost v modu </w:t>
      </w:r>
      <w:r w:rsidR="08425017" w:rsidRPr="087567A7">
        <w:rPr>
          <w:i/>
        </w:rPr>
        <w:t xml:space="preserve">dativus </w:t>
      </w:r>
      <w:r w:rsidR="005A011B">
        <w:rPr>
          <w:i/>
        </w:rPr>
        <w:t>modi</w:t>
      </w:r>
      <w:r w:rsidR="08425017">
        <w:rPr>
          <w:i/>
          <w:iCs/>
        </w:rPr>
        <w:fldChar w:fldCharType="begin"/>
      </w:r>
      <w:r w:rsidR="08425017">
        <w:instrText xml:space="preserve"> XE "</w:instrText>
      </w:r>
      <w:r w:rsidR="08425017" w:rsidRPr="00872140">
        <w:rPr>
          <w:i/>
        </w:rPr>
        <w:instrText>d</w:instrText>
      </w:r>
      <w:r w:rsidR="08425017" w:rsidRPr="00872140">
        <w:rPr>
          <w:i/>
          <w:iCs/>
        </w:rPr>
        <w:instrText xml:space="preserve">ativus </w:instrText>
      </w:r>
      <w:r w:rsidR="005A011B">
        <w:rPr>
          <w:i/>
          <w:iCs/>
        </w:rPr>
        <w:instrText>modi</w:instrText>
      </w:r>
      <w:r w:rsidR="08425017">
        <w:instrText xml:space="preserve">" </w:instrText>
      </w:r>
      <w:r w:rsidR="08425017">
        <w:rPr>
          <w:i/>
          <w:iCs/>
        </w:rPr>
        <w:fldChar w:fldCharType="end"/>
      </w:r>
      <w:r w:rsidR="08425017">
        <w:rPr>
          <w:i/>
          <w:iCs/>
        </w:rPr>
        <w:t xml:space="preserve"> </w:t>
      </w:r>
      <w:r w:rsidR="08211DC3">
        <w:rPr>
          <w:rStyle w:val="st"/>
        </w:rPr>
        <w:t xml:space="preserve">(kap. </w:t>
      </w:r>
      <w:r w:rsidR="08A11006">
        <w:rPr>
          <w:rStyle w:val="st"/>
        </w:rPr>
        <w:t>5</w:t>
      </w:r>
      <w:r w:rsidR="08974258">
        <w:rPr>
          <w:rStyle w:val="st"/>
        </w:rPr>
        <w:t>.1.3</w:t>
      </w:r>
      <w:r w:rsidR="08211DC3">
        <w:rPr>
          <w:rStyle w:val="st"/>
        </w:rPr>
        <w:t>).</w:t>
      </w:r>
      <w:r w:rsidR="080815DB">
        <w:rPr>
          <w:rStyle w:val="st"/>
        </w:rPr>
        <w:t xml:space="preserve"> </w:t>
      </w:r>
      <w:r w:rsidR="08BE37CF" w:rsidRPr="00273106">
        <w:rPr>
          <w:bCs/>
        </w:rPr>
        <w:t>Transformací Bonaventurových mystických regulí na Marxovy ekonomické postuláty vznikla nová podoba objektiv</w:t>
      </w:r>
      <w:r w:rsidR="000B3D16">
        <w:rPr>
          <w:bCs/>
        </w:rPr>
        <w:t xml:space="preserve">ní </w:t>
      </w:r>
      <w:r w:rsidR="08BE37CF" w:rsidRPr="00273106">
        <w:rPr>
          <w:bCs/>
        </w:rPr>
        <w:t>odyseje Západu</w:t>
      </w:r>
      <w:r w:rsidR="08BE37CF">
        <w:rPr>
          <w:bCs/>
        </w:rPr>
        <w:t xml:space="preserve">. </w:t>
      </w:r>
      <w:r w:rsidR="00263F20">
        <w:rPr>
          <w:bCs/>
        </w:rPr>
        <w:t xml:space="preserve">Objektivní </w:t>
      </w:r>
      <w:r w:rsidR="00263F20" w:rsidRPr="00273106">
        <w:rPr>
          <w:bCs/>
        </w:rPr>
        <w:t xml:space="preserve">produkce </w:t>
      </w:r>
      <w:r w:rsidR="00263F20">
        <w:rPr>
          <w:bCs/>
        </w:rPr>
        <w:t>jsoucna běží podle věčných regulí (</w:t>
      </w:r>
      <w:r w:rsidR="00263F20" w:rsidRPr="00273106">
        <w:rPr>
          <w:bCs/>
          <w:i/>
        </w:rPr>
        <w:t>aeternae artis repraesentatio</w:t>
      </w:r>
      <w:r w:rsidR="00263F20">
        <w:rPr>
          <w:bCs/>
        </w:rPr>
        <w:t xml:space="preserve">). </w:t>
      </w:r>
      <w:r w:rsidR="08C13FBA">
        <w:t>P</w:t>
      </w:r>
      <w:r w:rsidR="08C13FBA" w:rsidRPr="00273106">
        <w:rPr>
          <w:bCs/>
        </w:rPr>
        <w:t xml:space="preserve">latnost </w:t>
      </w:r>
      <w:r w:rsidR="08C13FBA">
        <w:rPr>
          <w:bCs/>
        </w:rPr>
        <w:t xml:space="preserve">Bonaventurovy </w:t>
      </w:r>
      <w:r w:rsidR="08C13FBA" w:rsidRPr="00273106">
        <w:rPr>
          <w:bCs/>
        </w:rPr>
        <w:t xml:space="preserve">moderní regule vztažené k produkci přirozeného agenta </w:t>
      </w:r>
      <w:r w:rsidR="08C13FBA">
        <w:rPr>
          <w:bCs/>
        </w:rPr>
        <w:t>(</w:t>
      </w:r>
      <w:r w:rsidR="08C13FBA" w:rsidRPr="00273106">
        <w:rPr>
          <w:i/>
        </w:rPr>
        <w:t>regula agentis creati</w:t>
      </w:r>
      <w:r w:rsidR="08C13FBA">
        <w:rPr>
          <w:bCs/>
        </w:rPr>
        <w:t xml:space="preserve">) </w:t>
      </w:r>
      <w:r w:rsidR="0077192A">
        <w:rPr>
          <w:bCs/>
        </w:rPr>
        <w:t xml:space="preserve">vytvořily nový způsob </w:t>
      </w:r>
      <w:r w:rsidR="0077192A">
        <w:rPr>
          <w:szCs w:val="24"/>
          <w:lang w:val="de-DE"/>
        </w:rPr>
        <w:t xml:space="preserve">kapitalistického </w:t>
      </w:r>
      <w:r w:rsidR="00D84CAF">
        <w:rPr>
          <w:szCs w:val="24"/>
          <w:lang w:val="de-DE"/>
        </w:rPr>
        <w:t xml:space="preserve">produkce </w:t>
      </w:r>
      <w:r w:rsidR="0077192A">
        <w:rPr>
          <w:szCs w:val="24"/>
          <w:lang w:val="de-DE"/>
        </w:rPr>
        <w:t>objektivního jsoucna</w:t>
      </w:r>
      <w:r w:rsidR="00D84CAF">
        <w:rPr>
          <w:szCs w:val="24"/>
          <w:lang w:val="de-DE"/>
        </w:rPr>
        <w:t xml:space="preserve">, které je přisunováno </w:t>
      </w:r>
      <w:r w:rsidR="0077192A">
        <w:rPr>
          <w:szCs w:val="24"/>
          <w:lang w:val="de-DE"/>
        </w:rPr>
        <w:t>před demiurgický subjekt (</w:t>
      </w:r>
      <w:r w:rsidR="0077192A" w:rsidRPr="0077192A">
        <w:rPr>
          <w:i/>
          <w:szCs w:val="24"/>
          <w:lang w:val="de-DE"/>
        </w:rPr>
        <w:t>Ge-Stell</w:t>
      </w:r>
      <w:r w:rsidR="0077192A" w:rsidRPr="0077192A">
        <w:rPr>
          <w:i/>
          <w:szCs w:val="24"/>
          <w:lang w:val="de-DE"/>
        </w:rPr>
        <w:fldChar w:fldCharType="begin"/>
      </w:r>
      <w:r w:rsidR="0077192A" w:rsidRPr="0077192A">
        <w:rPr>
          <w:i/>
        </w:rPr>
        <w:instrText xml:space="preserve"> XE "</w:instrText>
      </w:r>
      <w:r w:rsidR="0077192A" w:rsidRPr="0077192A">
        <w:rPr>
          <w:i/>
          <w:szCs w:val="24"/>
          <w:lang w:val="de-DE"/>
        </w:rPr>
        <w:instrText>Ge-Stell</w:instrText>
      </w:r>
      <w:r w:rsidR="0077192A" w:rsidRPr="0077192A">
        <w:rPr>
          <w:i/>
        </w:rPr>
        <w:instrText xml:space="preserve">" </w:instrText>
      </w:r>
      <w:r w:rsidR="0077192A" w:rsidRPr="0077192A">
        <w:rPr>
          <w:i/>
          <w:szCs w:val="24"/>
          <w:lang w:val="de-DE"/>
        </w:rPr>
        <w:fldChar w:fldCharType="end"/>
      </w:r>
      <w:r w:rsidR="0077192A">
        <w:rPr>
          <w:szCs w:val="24"/>
          <w:lang w:val="de-DE"/>
        </w:rPr>
        <w:t>)</w:t>
      </w:r>
      <w:r w:rsidR="08C13FBA" w:rsidRPr="00273106">
        <w:rPr>
          <w:bCs/>
        </w:rPr>
        <w:t>.</w:t>
      </w:r>
      <w:r w:rsidR="088330ED">
        <w:rPr>
          <w:bCs/>
        </w:rPr>
        <w:t xml:space="preserve"> </w:t>
      </w:r>
      <w:r w:rsidR="000F57C7" w:rsidRPr="000F57C7">
        <w:rPr>
          <w:bCs/>
        </w:rPr>
        <w:t xml:space="preserve">Bonaventura vyslal západní subjekt na objektivní cestu ducha, který se vydal na novou odyseu </w:t>
      </w:r>
      <w:r w:rsidR="000F57C7">
        <w:rPr>
          <w:bCs/>
        </w:rPr>
        <w:t xml:space="preserve">celým </w:t>
      </w:r>
      <w:r w:rsidR="000F57C7" w:rsidRPr="000F57C7">
        <w:rPr>
          <w:bCs/>
        </w:rPr>
        <w:t xml:space="preserve">stvořením. </w:t>
      </w:r>
      <w:r w:rsidR="08163013">
        <w:t>Zatímco Odysseovu cestu řídil běh reálného slun</w:t>
      </w:r>
      <w:r w:rsidR="088C6CFE">
        <w:t xml:space="preserve">ce, cestu </w:t>
      </w:r>
      <w:r w:rsidR="005D6DC6">
        <w:t>jeho moderního dvojníka ř</w:t>
      </w:r>
      <w:r w:rsidR="088C6CFE">
        <w:t xml:space="preserve">ídí </w:t>
      </w:r>
      <w:r w:rsidR="08163013">
        <w:t xml:space="preserve">Fúrie skrze </w:t>
      </w:r>
      <w:r w:rsidR="005D6DC6">
        <w:t xml:space="preserve">solární </w:t>
      </w:r>
      <w:r w:rsidR="08163013">
        <w:t xml:space="preserve">intelekt. Moderní duch </w:t>
      </w:r>
      <w:r w:rsidR="00D460CD">
        <w:t>si vzal z</w:t>
      </w:r>
      <w:r w:rsidR="00C11928">
        <w:t xml:space="preserve">a průvodce světem </w:t>
      </w:r>
      <w:r w:rsidR="08163013">
        <w:t xml:space="preserve">dílo </w:t>
      </w:r>
      <w:r w:rsidR="08163013">
        <w:rPr>
          <w:i/>
        </w:rPr>
        <w:t>Itinerarium mentis in</w:t>
      </w:r>
      <w:r w:rsidR="08163013" w:rsidRPr="00027930">
        <w:rPr>
          <w:i/>
        </w:rPr>
        <w:t xml:space="preserve"> Deum</w:t>
      </w:r>
      <w:r w:rsidR="00C11928">
        <w:t xml:space="preserve">. Pak přechází </w:t>
      </w:r>
      <w:r w:rsidR="08163013">
        <w:t>mystickým Jakubovým žebříkem</w:t>
      </w:r>
      <w:r w:rsidR="08163013">
        <w:fldChar w:fldCharType="begin"/>
      </w:r>
      <w:r w:rsidR="08163013">
        <w:instrText xml:space="preserve"> XE "</w:instrText>
      </w:r>
      <w:r w:rsidR="08163013" w:rsidRPr="003F4C7F">
        <w:instrText>Jakubův žebřík</w:instrText>
      </w:r>
      <w:r w:rsidR="08163013">
        <w:instrText xml:space="preserve">" </w:instrText>
      </w:r>
      <w:r w:rsidR="08163013">
        <w:fldChar w:fldCharType="end"/>
      </w:r>
      <w:r w:rsidR="08163013">
        <w:t xml:space="preserve"> </w:t>
      </w:r>
      <w:r w:rsidR="00C11928">
        <w:t xml:space="preserve">celek </w:t>
      </w:r>
      <w:r w:rsidR="08163013" w:rsidRPr="00273106">
        <w:t>jsoucího</w:t>
      </w:r>
      <w:r w:rsidR="00C11928">
        <w:t>, který vznikl na základě analogicky pojatého a demiurgicky regulovaného</w:t>
      </w:r>
      <w:r w:rsidR="08163013">
        <w:t xml:space="preserve"> </w:t>
      </w:r>
      <w:r w:rsidR="00C11928">
        <w:t xml:space="preserve">jsoucna </w:t>
      </w:r>
      <w:r w:rsidR="08163013" w:rsidRPr="00273106">
        <w:t>(</w:t>
      </w:r>
      <w:r w:rsidR="08163013" w:rsidRPr="00273106">
        <w:rPr>
          <w:i/>
        </w:rPr>
        <w:t>ens</w:t>
      </w:r>
      <w:r w:rsidR="08163013" w:rsidRPr="00273106">
        <w:t xml:space="preserve"> </w:t>
      </w:r>
      <w:r w:rsidR="08163013" w:rsidRPr="00273106">
        <w:rPr>
          <w:i/>
        </w:rPr>
        <w:t>creatum</w:t>
      </w:r>
      <w:r w:rsidR="08163013" w:rsidRPr="00273106">
        <w:t xml:space="preserve">, </w:t>
      </w:r>
      <w:r w:rsidR="08163013" w:rsidRPr="00273106">
        <w:rPr>
          <w:i/>
        </w:rPr>
        <w:t>increatum</w:t>
      </w:r>
      <w:r w:rsidR="08163013">
        <w:t>). Itinenář postmoderny stejným způsobem zakládá Hegelova</w:t>
      </w:r>
      <w:r w:rsidR="08163013">
        <w:fldChar w:fldCharType="begin"/>
      </w:r>
      <w:r w:rsidR="08163013">
        <w:instrText xml:space="preserve"> XE "</w:instrText>
      </w:r>
      <w:r w:rsidR="08163013" w:rsidRPr="00053043">
        <w:instrText>Hegel, G. W.</w:instrText>
      </w:r>
      <w:r w:rsidR="08163013">
        <w:instrText xml:space="preserve">" </w:instrText>
      </w:r>
      <w:r w:rsidR="08163013">
        <w:fldChar w:fldCharType="end"/>
      </w:r>
      <w:r w:rsidR="08163013" w:rsidRPr="00273106">
        <w:t xml:space="preserve"> </w:t>
      </w:r>
      <w:r w:rsidR="08163013">
        <w:rPr>
          <w:i/>
        </w:rPr>
        <w:t>Fenomenologie</w:t>
      </w:r>
      <w:r w:rsidR="08163013" w:rsidRPr="00273106">
        <w:rPr>
          <w:i/>
        </w:rPr>
        <w:t xml:space="preserve"> ducha</w:t>
      </w:r>
      <w:r w:rsidR="08163013">
        <w:t xml:space="preserve"> (1807</w:t>
      </w:r>
      <w:r w:rsidR="08163013" w:rsidRPr="00273106">
        <w:t>)</w:t>
      </w:r>
      <w:r w:rsidR="08163013">
        <w:t>. Sobě odcizený d</w:t>
      </w:r>
      <w:r w:rsidR="08163013" w:rsidRPr="00273106">
        <w:t>uch vyjde do světa</w:t>
      </w:r>
      <w:r w:rsidR="08163013">
        <w:t xml:space="preserve">, kde </w:t>
      </w:r>
      <w:r w:rsidR="08163013" w:rsidRPr="00273106">
        <w:t xml:space="preserve">se plně najde skrze dějinné sebepoznání odcizených figur vědomí. </w:t>
      </w:r>
      <w:r w:rsidR="08163013">
        <w:lastRenderedPageBreak/>
        <w:t xml:space="preserve">Absolutní </w:t>
      </w:r>
      <w:r w:rsidR="08163013" w:rsidRPr="00273106">
        <w:t xml:space="preserve">duch se </w:t>
      </w:r>
      <w:r w:rsidR="08163013">
        <w:t xml:space="preserve">při cestě sebepoznání </w:t>
      </w:r>
      <w:r w:rsidR="08163013" w:rsidRPr="00273106">
        <w:t>drží stvořitelské regule</w:t>
      </w:r>
      <w:r w:rsidR="08163013">
        <w:fldChar w:fldCharType="begin"/>
      </w:r>
      <w:r w:rsidR="08163013">
        <w:instrText xml:space="preserve"> XE "</w:instrText>
      </w:r>
      <w:r w:rsidR="08163013" w:rsidRPr="00C750D4">
        <w:instrText>regule:Hegel</w:instrText>
      </w:r>
      <w:r w:rsidR="08163013">
        <w:instrText xml:space="preserve">" </w:instrText>
      </w:r>
      <w:r w:rsidR="08163013">
        <w:fldChar w:fldCharType="end"/>
      </w:r>
      <w:r w:rsidR="08163013" w:rsidRPr="00273106">
        <w:t xml:space="preserve"> dané logikou dějin, které tvoří vlastním pohybem myšlení. </w:t>
      </w:r>
      <w:r w:rsidR="08163013">
        <w:t xml:space="preserve">Imperativ sebepoznání skrze konkrétní pojem představuje jeho fundamentální reguli, kterou </w:t>
      </w:r>
      <w:r w:rsidR="0898688A">
        <w:t xml:space="preserve">hegeliánský </w:t>
      </w:r>
      <w:r w:rsidR="08163013">
        <w:t xml:space="preserve">duch vlastní jako svou </w:t>
      </w:r>
      <w:r w:rsidR="08163013" w:rsidRPr="08F8311B">
        <w:rPr>
          <w:i/>
        </w:rPr>
        <w:t>potentia substantialis</w:t>
      </w:r>
      <w:r w:rsidR="08163013">
        <w:t>. Jakubův žebřík</w:t>
      </w:r>
      <w:r w:rsidR="08163013">
        <w:fldChar w:fldCharType="begin"/>
      </w:r>
      <w:r w:rsidR="08163013">
        <w:instrText xml:space="preserve"> XE "</w:instrText>
      </w:r>
      <w:r w:rsidR="08163013" w:rsidRPr="08DA5F95">
        <w:instrText>Jakubův žebřík</w:instrText>
      </w:r>
      <w:r w:rsidR="08163013">
        <w:instrText xml:space="preserve">" </w:instrText>
      </w:r>
      <w:r w:rsidR="08163013">
        <w:fldChar w:fldCharType="end"/>
      </w:r>
      <w:r w:rsidR="08163013">
        <w:t xml:space="preserve"> postmoderny tvoří po smrti moderního boha </w:t>
      </w:r>
      <w:r w:rsidR="08B37F7E">
        <w:t xml:space="preserve">dějinný vývoj absolutního pojmu. </w:t>
      </w:r>
      <w:r w:rsidR="083F7271">
        <w:t xml:space="preserve">Fakticita daná skrze iluminátskou mystiku a matematiku </w:t>
      </w:r>
      <w:r w:rsidR="08B37F7E">
        <w:t>se stala u Hegela absolutní logikou pojmu</w:t>
      </w:r>
      <w:r w:rsidR="08163013">
        <w:t>.</w:t>
      </w:r>
      <w:r w:rsidR="08163013" w:rsidRPr="0840489D">
        <w:t xml:space="preserve"> </w:t>
      </w:r>
      <w:r w:rsidR="08163013">
        <w:t>Tato odysea tvoří habitat moderního západního subjektu od Homéra k Nietzschemu.</w:t>
      </w:r>
      <w:r w:rsidR="08D117DD">
        <w:t xml:space="preserve"> Nihilistická epocha </w:t>
      </w:r>
      <w:r w:rsidR="08163013">
        <w:t xml:space="preserve">přeměnila </w:t>
      </w:r>
      <w:r w:rsidR="08D117DD">
        <w:t xml:space="preserve">teoretický habitus </w:t>
      </w:r>
      <w:r w:rsidR="087011D1">
        <w:t>moderny a post</w:t>
      </w:r>
      <w:r w:rsidR="081F7BA5">
        <w:t xml:space="preserve">moderny </w:t>
      </w:r>
      <w:r w:rsidR="08163013">
        <w:t xml:space="preserve">na fašistickou </w:t>
      </w:r>
      <w:r w:rsidR="081F7BA5">
        <w:t xml:space="preserve">instrumentální racionalitu. Její důsledky poprvé </w:t>
      </w:r>
      <w:r w:rsidR="08163013">
        <w:t xml:space="preserve">ukázala Frankfurtská škola v díle </w:t>
      </w:r>
      <w:r w:rsidR="08163013">
        <w:rPr>
          <w:i/>
          <w:iCs/>
        </w:rPr>
        <w:t>Dialektik der Aufklärung</w:t>
      </w:r>
      <w:r w:rsidR="084D5195">
        <w:t>, které vzniklo během Druhé světové války.</w:t>
      </w:r>
      <w:r w:rsidR="08163013">
        <w:rPr>
          <w:rStyle w:val="Znakapoznpodarou"/>
        </w:rPr>
        <w:footnoteReference w:id="83"/>
      </w:r>
      <w:r w:rsidR="08163013">
        <w:t xml:space="preserve"> </w:t>
      </w:r>
      <w:r w:rsidR="08163013">
        <w:rPr>
          <w:bCs/>
        </w:rPr>
        <w:t>Na rozdíl od spekulativního a idealistického Hegela</w:t>
      </w:r>
      <w:r w:rsidR="08163013">
        <w:rPr>
          <w:bCs/>
        </w:rPr>
        <w:fldChar w:fldCharType="begin"/>
      </w:r>
      <w:r w:rsidR="08163013">
        <w:instrText xml:space="preserve"> XE "</w:instrText>
      </w:r>
      <w:r w:rsidR="08163013" w:rsidRPr="00710C16">
        <w:instrText>Hegel, G. W.</w:instrText>
      </w:r>
      <w:r w:rsidR="08163013">
        <w:instrText xml:space="preserve">" </w:instrText>
      </w:r>
      <w:r w:rsidR="08163013">
        <w:rPr>
          <w:bCs/>
        </w:rPr>
        <w:fldChar w:fldCharType="end"/>
      </w:r>
      <w:r w:rsidR="08163013">
        <w:rPr>
          <w:bCs/>
        </w:rPr>
        <w:t xml:space="preserve"> postavil realista </w:t>
      </w:r>
      <w:r w:rsidR="08163013" w:rsidRPr="00273106">
        <w:t>Marx</w:t>
      </w:r>
      <w:r w:rsidR="08163013">
        <w:fldChar w:fldCharType="begin"/>
      </w:r>
      <w:r w:rsidR="08163013">
        <w:instrText xml:space="preserve"> XE "</w:instrText>
      </w:r>
      <w:r w:rsidR="08163013" w:rsidRPr="001C1293">
        <w:instrText>Marx, K.</w:instrText>
      </w:r>
      <w:r w:rsidR="08163013">
        <w:instrText xml:space="preserve">" </w:instrText>
      </w:r>
      <w:r w:rsidR="08163013">
        <w:fldChar w:fldCharType="end"/>
      </w:r>
      <w:r w:rsidR="08163013" w:rsidRPr="00273106">
        <w:t xml:space="preserve"> </w:t>
      </w:r>
      <w:r w:rsidR="08163013">
        <w:t>politicko-ekonomický itinerář ducha na reálné reguli dan</w:t>
      </w:r>
      <w:r w:rsidR="007D2EC8">
        <w:t>é objektivním pohybem kapitálu.</w:t>
      </w:r>
    </w:p>
    <w:p w:rsidR="08163013" w:rsidRPr="08F8311B" w:rsidRDefault="08163013" w:rsidP="00E0734C">
      <w:pPr>
        <w:ind w:firstLine="397"/>
      </w:pPr>
      <w:r>
        <w:t xml:space="preserve">Marxovu myslitelskou </w:t>
      </w:r>
      <w:r w:rsidRPr="00273106">
        <w:t>c</w:t>
      </w:r>
      <w:r>
        <w:t xml:space="preserve">estu otevřely Rufusovy termíny </w:t>
      </w:r>
      <w:r w:rsidR="00C11928">
        <w:t>„</w:t>
      </w:r>
      <w:r w:rsidRPr="00273106">
        <w:rPr>
          <w:i/>
        </w:rPr>
        <w:t>speculative</w:t>
      </w:r>
      <w:r w:rsidR="00C11928">
        <w:t>“</w:t>
      </w:r>
      <w:r>
        <w:t xml:space="preserve"> a </w:t>
      </w:r>
      <w:r w:rsidR="00C11928">
        <w:t>„</w:t>
      </w:r>
      <w:r w:rsidRPr="00273106">
        <w:rPr>
          <w:i/>
        </w:rPr>
        <w:t>concretive</w:t>
      </w:r>
      <w:r w:rsidR="00C11928">
        <w:t>“</w:t>
      </w:r>
      <w:r>
        <w:t xml:space="preserve"> (</w:t>
      </w:r>
      <w:r w:rsidR="08EF2C61">
        <w:t>OBJ II</w:t>
      </w:r>
      <w:r w:rsidR="08E46C72">
        <w:t>, kap. 3</w:t>
      </w:r>
      <w:r w:rsidRPr="00273106">
        <w:t>.3.3).</w:t>
      </w:r>
      <w:r>
        <w:t xml:space="preserve"> </w:t>
      </w:r>
      <w:r>
        <w:rPr>
          <w:bCs/>
        </w:rPr>
        <w:t xml:space="preserve">Kritik Hegelovy filosofie práva pochopil, že spekulativní </w:t>
      </w:r>
      <w:proofErr w:type="gramStart"/>
      <w:r>
        <w:rPr>
          <w:bCs/>
        </w:rPr>
        <w:t>filosofe</w:t>
      </w:r>
      <w:proofErr w:type="gramEnd"/>
      <w:r>
        <w:rPr>
          <w:bCs/>
        </w:rPr>
        <w:t xml:space="preserve"> dějin </w:t>
      </w:r>
      <w:proofErr w:type="gramStart"/>
      <w:r>
        <w:rPr>
          <w:bCs/>
        </w:rPr>
        <w:t>přestala</w:t>
      </w:r>
      <w:proofErr w:type="gramEnd"/>
      <w:r>
        <w:rPr>
          <w:bCs/>
        </w:rPr>
        <w:t xml:space="preserve"> mít konkrétní základ. Falešně daná </w:t>
      </w:r>
      <w:r w:rsidR="08796A82">
        <w:rPr>
          <w:bCs/>
        </w:rPr>
        <w:t>i</w:t>
      </w:r>
      <w:r w:rsidRPr="08796A82">
        <w:rPr>
          <w:bCs/>
        </w:rPr>
        <w:t>deologie</w:t>
      </w:r>
      <w:r>
        <w:rPr>
          <w:bCs/>
        </w:rPr>
        <w:t xml:space="preserve"> platonizujících současníků představuje podle Marxe zásadní omyl rozumu</w:t>
      </w:r>
      <w:r w:rsidR="08A45457">
        <w:rPr>
          <w:bCs/>
        </w:rPr>
        <w:t>. Iluze produkovaná v rámci tzv. „</w:t>
      </w:r>
      <w:r w:rsidR="08A45457" w:rsidRPr="08A45457">
        <w:rPr>
          <w:bCs/>
          <w:i/>
        </w:rPr>
        <w:t>deutsche Ide</w:t>
      </w:r>
      <w:r w:rsidR="00B93F87">
        <w:rPr>
          <w:bCs/>
          <w:i/>
        </w:rPr>
        <w:t>o</w:t>
      </w:r>
      <w:r w:rsidR="08A45457" w:rsidRPr="08A45457">
        <w:rPr>
          <w:bCs/>
          <w:i/>
        </w:rPr>
        <w:t>logie</w:t>
      </w:r>
      <w:r w:rsidR="08A45457">
        <w:rPr>
          <w:bCs/>
        </w:rPr>
        <w:t xml:space="preserve">“ </w:t>
      </w:r>
      <w:r>
        <w:rPr>
          <w:bCs/>
        </w:rPr>
        <w:t xml:space="preserve">musí projít kritickou revizí. </w:t>
      </w:r>
      <w:r>
        <w:t xml:space="preserve">Úvod díla </w:t>
      </w:r>
      <w:r w:rsidRPr="008D558E">
        <w:rPr>
          <w:i/>
          <w:iCs/>
        </w:rPr>
        <w:t>Zur Kritik der Hegelschen Rechtsphilosophie</w:t>
      </w:r>
      <w:r>
        <w:rPr>
          <w:iCs/>
        </w:rPr>
        <w:t xml:space="preserve"> </w:t>
      </w:r>
      <w:r>
        <w:t xml:space="preserve">(1844) </w:t>
      </w:r>
      <w:r>
        <w:rPr>
          <w:bCs/>
        </w:rPr>
        <w:t>aktualizuje v postmoderně spor Averroese s neoplatonským alexandrovci</w:t>
      </w:r>
      <w:r>
        <w:rPr>
          <w:bCs/>
        </w:rPr>
        <w:fldChar w:fldCharType="begin"/>
      </w:r>
      <w:r>
        <w:instrText xml:space="preserve"> XE "</w:instrText>
      </w:r>
      <w:r>
        <w:rPr>
          <w:bCs/>
        </w:rPr>
        <w:instrText>alexandrovci</w:instrText>
      </w:r>
      <w:r>
        <w:instrText xml:space="preserve">" </w:instrText>
      </w:r>
      <w:r>
        <w:rPr>
          <w:bCs/>
        </w:rPr>
        <w:fldChar w:fldCharType="end"/>
      </w:r>
      <w:r>
        <w:rPr>
          <w:bCs/>
        </w:rPr>
        <w:t>, kteří založili první modernu zatměním první substance (</w:t>
      </w:r>
      <w:r w:rsidRPr="001E26C3">
        <w:rPr>
          <w:bCs/>
          <w:i/>
        </w:rPr>
        <w:t>quod contingit Modernis</w:t>
      </w:r>
      <w:r w:rsidR="08EF2C61">
        <w:rPr>
          <w:bCs/>
        </w:rPr>
        <w:t>; OBJ I</w:t>
      </w:r>
      <w:r w:rsidR="089A0D54">
        <w:rPr>
          <w:bCs/>
        </w:rPr>
        <w:t xml:space="preserve">, </w:t>
      </w:r>
      <w:r>
        <w:rPr>
          <w:bCs/>
        </w:rPr>
        <w:t xml:space="preserve">kap. 2.4). Marx ukazuje, že německý idealismus vytěsnil </w:t>
      </w:r>
      <w:r w:rsidR="08241A07">
        <w:rPr>
          <w:bCs/>
        </w:rPr>
        <w:t xml:space="preserve">realitu Hegelovým avicennismem. Tím vznikla iluze fakticity daná jako </w:t>
      </w:r>
      <w:r>
        <w:rPr>
          <w:bCs/>
        </w:rPr>
        <w:t xml:space="preserve">dějinný pohyb </w:t>
      </w:r>
      <w:r w:rsidR="08A7317E">
        <w:rPr>
          <w:bCs/>
        </w:rPr>
        <w:t>pojmu</w:t>
      </w:r>
      <w:r w:rsidR="0826640F">
        <w:rPr>
          <w:bCs/>
        </w:rPr>
        <w:t>, místa aby sledovala reálný boj společenských tříd o moc</w:t>
      </w:r>
      <w:r w:rsidR="08241A07">
        <w:rPr>
          <w:bCs/>
        </w:rPr>
        <w:t xml:space="preserve">. </w:t>
      </w:r>
      <w:r w:rsidR="08D57165">
        <w:rPr>
          <w:bCs/>
        </w:rPr>
        <w:t xml:space="preserve">Pojem jako realita </w:t>
      </w:r>
      <w:r w:rsidR="08241A07">
        <w:rPr>
          <w:bCs/>
        </w:rPr>
        <w:t xml:space="preserve">existuje </w:t>
      </w:r>
      <w:r w:rsidR="08A87B30">
        <w:rPr>
          <w:bCs/>
        </w:rPr>
        <w:t xml:space="preserve">podle Marxe </w:t>
      </w:r>
      <w:r w:rsidR="08A7317E">
        <w:rPr>
          <w:bCs/>
        </w:rPr>
        <w:t>pouze v mysli ide</w:t>
      </w:r>
      <w:r w:rsidR="08A87B30">
        <w:rPr>
          <w:bCs/>
        </w:rPr>
        <w:t>o</w:t>
      </w:r>
      <w:r w:rsidR="08A7317E">
        <w:rPr>
          <w:bCs/>
        </w:rPr>
        <w:t>logických iluminátů</w:t>
      </w:r>
      <w:r>
        <w:rPr>
          <w:bCs/>
        </w:rPr>
        <w:t>.</w:t>
      </w:r>
    </w:p>
    <w:p w:rsidR="08163013" w:rsidRDefault="08163013" w:rsidP="08163013">
      <w:pPr>
        <w:pStyle w:val="Citace"/>
        <w:rPr>
          <w:lang w:val="cs-CZ"/>
        </w:rPr>
      </w:pPr>
      <w:r>
        <w:t>„Přírodní národy prožívaly svůj předdějinný stav v představivosti, v mytologii. Stejně tak jsme my Němci prožívali naše pozdní dějiny v myšlenkách, ve filosofii. Jsme filosofičtí současníci přítomnosti, aniž bychom se stali jejími dějinnými současníky.“</w:t>
      </w:r>
      <w:r>
        <w:rPr>
          <w:lang w:val="cs-CZ"/>
        </w:rPr>
        <w:t xml:space="preserve"> </w:t>
      </w:r>
      <w:r>
        <w:rPr>
          <w:rStyle w:val="Znakapoznpodarou"/>
        </w:rPr>
        <w:footnoteReference w:id="84"/>
      </w:r>
    </w:p>
    <w:p w:rsidR="001E1F63" w:rsidRDefault="08163013" w:rsidP="08163013">
      <w:r>
        <w:rPr>
          <w:bCs/>
        </w:rPr>
        <w:lastRenderedPageBreak/>
        <w:t xml:space="preserve">Itinerář ekonomicky podmíněné mysli podle marxismu sleduje reálnou kauzalitu ve světě, stejně jako Aristoteles a Averroes. </w:t>
      </w:r>
      <w:r w:rsidR="082131A6">
        <w:rPr>
          <w:bCs/>
        </w:rPr>
        <w:t xml:space="preserve">Konfliktní odyssea nového </w:t>
      </w:r>
      <w:r w:rsidR="082131A6" w:rsidRPr="0061246E">
        <w:rPr>
          <w:bCs/>
          <w:i/>
        </w:rPr>
        <w:t>scibile</w:t>
      </w:r>
      <w:r w:rsidR="082131A6">
        <w:rPr>
          <w:bCs/>
        </w:rPr>
        <w:t xml:space="preserve"> daného kruho</w:t>
      </w:r>
      <w:r w:rsidR="08191A29">
        <w:rPr>
          <w:bCs/>
        </w:rPr>
        <w:t xml:space="preserve">vým pohybem kapitálu vytvořila </w:t>
      </w:r>
      <w:r w:rsidR="082131A6">
        <w:rPr>
          <w:bCs/>
        </w:rPr>
        <w:t xml:space="preserve">společenský systém </w:t>
      </w:r>
      <w:r w:rsidR="00AB2BAA">
        <w:rPr>
          <w:bCs/>
        </w:rPr>
        <w:t>kapitalismu</w:t>
      </w:r>
      <w:r w:rsidR="082131A6">
        <w:rPr>
          <w:bCs/>
        </w:rPr>
        <w:t xml:space="preserve">. </w:t>
      </w:r>
      <w:r w:rsidR="08191A29">
        <w:rPr>
          <w:bCs/>
        </w:rPr>
        <w:t>Marx odmítl hned na začátk</w:t>
      </w:r>
      <w:r w:rsidR="08AF7F6B">
        <w:rPr>
          <w:bCs/>
        </w:rPr>
        <w:t>u své filosofické cesty Hegelovu</w:t>
      </w:r>
      <w:r w:rsidR="08191A29">
        <w:rPr>
          <w:bCs/>
        </w:rPr>
        <w:t xml:space="preserve"> </w:t>
      </w:r>
      <w:r w:rsidR="08434003">
        <w:rPr>
          <w:bCs/>
        </w:rPr>
        <w:t xml:space="preserve">avicennistickou </w:t>
      </w:r>
      <w:r w:rsidR="08191A29">
        <w:rPr>
          <w:bCs/>
        </w:rPr>
        <w:t>podobu práce a dějinného vývoje, kt</w:t>
      </w:r>
      <w:r w:rsidR="08AF7F6B">
        <w:rPr>
          <w:bCs/>
        </w:rPr>
        <w:t xml:space="preserve">erá se celá odehrává ve vědomí a pak přechází do reality. Práce </w:t>
      </w:r>
      <w:r w:rsidR="082D101E">
        <w:rPr>
          <w:bCs/>
        </w:rPr>
        <w:t xml:space="preserve">vytvářející předmětnosti </w:t>
      </w:r>
      <w:r w:rsidR="08AF7F6B">
        <w:rPr>
          <w:bCs/>
        </w:rPr>
        <w:t>není ne</w:t>
      </w:r>
      <w:r w:rsidR="08434003">
        <w:rPr>
          <w:bCs/>
        </w:rPr>
        <w:t>j</w:t>
      </w:r>
      <w:r w:rsidR="08AF7F6B">
        <w:rPr>
          <w:bCs/>
        </w:rPr>
        <w:t>prve pojem v mysli a pak realita, ale přesně opačně.</w:t>
      </w:r>
      <w:r w:rsidR="08AF7F6B">
        <w:rPr>
          <w:rStyle w:val="Znakapoznpodarou"/>
          <w:bCs/>
        </w:rPr>
        <w:footnoteReference w:id="85"/>
      </w:r>
      <w:r w:rsidR="08AF7F6B">
        <w:rPr>
          <w:bCs/>
        </w:rPr>
        <w:t xml:space="preserve"> </w:t>
      </w:r>
      <w:r w:rsidR="000212C9">
        <w:rPr>
          <w:bCs/>
        </w:rPr>
        <w:t>D</w:t>
      </w:r>
      <w:r w:rsidR="08AF7F6B">
        <w:rPr>
          <w:bCs/>
        </w:rPr>
        <w:t xml:space="preserve">ějinně jednající člověk se zpředmětňuje </w:t>
      </w:r>
      <w:r w:rsidR="000212C9">
        <w:rPr>
          <w:bCs/>
        </w:rPr>
        <w:t xml:space="preserve">pro druhé a v reálném světě </w:t>
      </w:r>
      <w:r w:rsidR="08AF7F6B">
        <w:rPr>
          <w:bCs/>
        </w:rPr>
        <w:t>skrze práci</w:t>
      </w:r>
      <w:r w:rsidR="000212C9">
        <w:rPr>
          <w:bCs/>
        </w:rPr>
        <w:t>. P</w:t>
      </w:r>
      <w:r w:rsidR="08AF7F6B">
        <w:rPr>
          <w:bCs/>
        </w:rPr>
        <w:t xml:space="preserve">ak tato reálná kauzalita musí v modu Aristotelova středního členu vědeckého </w:t>
      </w:r>
      <w:r w:rsidR="000212C9">
        <w:rPr>
          <w:bCs/>
        </w:rPr>
        <w:t xml:space="preserve">důkazu </w:t>
      </w:r>
      <w:r w:rsidR="08AF7F6B">
        <w:rPr>
          <w:bCs/>
        </w:rPr>
        <w:t>(</w:t>
      </w:r>
      <w:r w:rsidR="08AF7F6B" w:rsidRPr="08AF7F6B">
        <w:rPr>
          <w:bCs/>
          <w:i/>
        </w:rPr>
        <w:t>medium</w:t>
      </w:r>
      <w:r w:rsidR="08AF7F6B">
        <w:rPr>
          <w:bCs/>
        </w:rPr>
        <w:t xml:space="preserve">) zakládat filosofický výklad dějinnosti. </w:t>
      </w:r>
      <w:r>
        <w:rPr>
          <w:bCs/>
        </w:rPr>
        <w:t xml:space="preserve">Marx analyzuje </w:t>
      </w:r>
      <w:r w:rsidR="082C0441">
        <w:rPr>
          <w:bCs/>
        </w:rPr>
        <w:t xml:space="preserve">dějinné </w:t>
      </w:r>
      <w:r w:rsidRPr="00273106">
        <w:rPr>
          <w:bCs/>
        </w:rPr>
        <w:t>proměn</w:t>
      </w:r>
      <w:r>
        <w:rPr>
          <w:bCs/>
        </w:rPr>
        <w:t>y kapitálu, které tvoří nihilistický itinerá</w:t>
      </w:r>
      <w:r w:rsidR="08974258">
        <w:rPr>
          <w:bCs/>
        </w:rPr>
        <w:t>ř současného kapitalismu</w:t>
      </w:r>
      <w:r>
        <w:rPr>
          <w:bCs/>
        </w:rPr>
        <w:fldChar w:fldCharType="begin"/>
      </w:r>
      <w:r>
        <w:instrText xml:space="preserve"> XE "</w:instrText>
      </w:r>
      <w:r w:rsidRPr="009E400A">
        <w:rPr>
          <w:bCs/>
        </w:rPr>
        <w:instrText>produkce:kapitalismus</w:instrText>
      </w:r>
      <w:r>
        <w:instrText xml:space="preserve">" </w:instrText>
      </w:r>
      <w:r>
        <w:rPr>
          <w:bCs/>
        </w:rPr>
        <w:fldChar w:fldCharType="end"/>
      </w:r>
      <w:r>
        <w:rPr>
          <w:bCs/>
        </w:rPr>
        <w:t xml:space="preserve">. </w:t>
      </w:r>
      <w:r w:rsidR="08DB2F52">
        <w:rPr>
          <w:bCs/>
        </w:rPr>
        <w:t xml:space="preserve">Simulákrum </w:t>
      </w:r>
      <w:r w:rsidR="00EF5575">
        <w:rPr>
          <w:bCs/>
        </w:rPr>
        <w:t xml:space="preserve">světa </w:t>
      </w:r>
      <w:r w:rsidR="08DB2F52">
        <w:rPr>
          <w:bCs/>
        </w:rPr>
        <w:t xml:space="preserve">zvané „kapitalismus“ vzniká skrze odyseu kapitálu daného v kruhovém pohybu „peníze – zboží – peníze“ (tzv. </w:t>
      </w:r>
      <w:r w:rsidR="001C5EC0">
        <w:rPr>
          <w:bCs/>
        </w:rPr>
        <w:t>„</w:t>
      </w:r>
      <w:r w:rsidR="08DB2F52" w:rsidRPr="08DB2F52">
        <w:rPr>
          <w:i/>
        </w:rPr>
        <w:t>dialektische Darstellung</w:t>
      </w:r>
      <w:r w:rsidR="001C5EC0">
        <w:t>“</w:t>
      </w:r>
      <w:r w:rsidR="088330ED">
        <w:rPr>
          <w:i/>
        </w:rPr>
        <w:fldChar w:fldCharType="begin"/>
      </w:r>
      <w:r w:rsidR="088330ED">
        <w:instrText xml:space="preserve"> XE "</w:instrText>
      </w:r>
      <w:r w:rsidR="088330ED" w:rsidRPr="08DF0DFA">
        <w:rPr>
          <w:i/>
        </w:rPr>
        <w:instrText>dialektische Darstellung</w:instrText>
      </w:r>
      <w:r w:rsidR="088330ED">
        <w:instrText xml:space="preserve">" </w:instrText>
      </w:r>
      <w:r w:rsidR="088330ED">
        <w:rPr>
          <w:i/>
        </w:rPr>
        <w:fldChar w:fldCharType="end"/>
      </w:r>
      <w:r w:rsidR="08DB2F52">
        <w:t>).</w:t>
      </w:r>
      <w:r w:rsidR="08034631">
        <w:rPr>
          <w:rStyle w:val="Znakapoznpodarou"/>
        </w:rPr>
        <w:footnoteReference w:id="86"/>
      </w:r>
      <w:r w:rsidR="08DB2F52">
        <w:t xml:space="preserve"> </w:t>
      </w:r>
      <w:r>
        <w:rPr>
          <w:bCs/>
        </w:rPr>
        <w:t>K</w:t>
      </w:r>
      <w:r w:rsidRPr="00273106">
        <w:rPr>
          <w:bCs/>
        </w:rPr>
        <w:t xml:space="preserve">ruhový pohyb </w:t>
      </w:r>
      <w:r>
        <w:rPr>
          <w:bCs/>
        </w:rPr>
        <w:t xml:space="preserve">kapitálu vytváří </w:t>
      </w:r>
      <w:r w:rsidR="08565568">
        <w:rPr>
          <w:bCs/>
        </w:rPr>
        <w:t xml:space="preserve">zdánlivý </w:t>
      </w:r>
      <w:r>
        <w:rPr>
          <w:bCs/>
        </w:rPr>
        <w:t xml:space="preserve">univoční celek objektivně odcizených forem práce a myšlení. </w:t>
      </w:r>
      <w:r w:rsidR="086A1C5F">
        <w:rPr>
          <w:bCs/>
        </w:rPr>
        <w:t xml:space="preserve">Tento celek </w:t>
      </w:r>
      <w:r w:rsidR="08565568">
        <w:rPr>
          <w:bCs/>
        </w:rPr>
        <w:t xml:space="preserve">ve skutečnosti </w:t>
      </w:r>
      <w:r w:rsidR="086A1C5F">
        <w:rPr>
          <w:bCs/>
        </w:rPr>
        <w:t xml:space="preserve">existuje v reálném konfliktu </w:t>
      </w:r>
      <w:r w:rsidR="085A6FD3">
        <w:rPr>
          <w:bCs/>
        </w:rPr>
        <w:t>mezi dvěma základními třídami ve společnosti, které bojují o moc k</w:t>
      </w:r>
      <w:r w:rsidR="086A1C5F">
        <w:rPr>
          <w:bCs/>
        </w:rPr>
        <w:t xml:space="preserve">ontrolovanou </w:t>
      </w:r>
      <w:r w:rsidR="085A6FD3">
        <w:rPr>
          <w:bCs/>
        </w:rPr>
        <w:t>buržoazně-demokratickým státem</w:t>
      </w:r>
      <w:r w:rsidR="086A1C5F">
        <w:rPr>
          <w:bCs/>
        </w:rPr>
        <w:t xml:space="preserve">. </w:t>
      </w:r>
      <w:r>
        <w:rPr>
          <w:bCs/>
        </w:rPr>
        <w:t xml:space="preserve">Marx použil termín </w:t>
      </w:r>
      <w:r w:rsidR="083279EA">
        <w:rPr>
          <w:bCs/>
        </w:rPr>
        <w:t xml:space="preserve">„kapitalismus“ </w:t>
      </w:r>
      <w:r>
        <w:rPr>
          <w:bCs/>
        </w:rPr>
        <w:t>v novém významu</w:t>
      </w:r>
      <w:r w:rsidR="00890D9B">
        <w:rPr>
          <w:bCs/>
        </w:rPr>
        <w:t xml:space="preserve">. </w:t>
      </w:r>
      <w:r w:rsidR="00890D9B" w:rsidRPr="00890D9B">
        <w:rPr>
          <w:bCs/>
        </w:rPr>
        <w:t>Zkoumal politicko-ekonomický způsob</w:t>
      </w:r>
      <w:r w:rsidR="00AD7E4C">
        <w:rPr>
          <w:bCs/>
        </w:rPr>
        <w:t xml:space="preserve"> života</w:t>
      </w:r>
      <w:r w:rsidR="00890D9B" w:rsidRPr="00890D9B">
        <w:rPr>
          <w:bCs/>
        </w:rPr>
        <w:t>, který vytváří soubor pravidel, díky nimž ekonomické subjekty utvářejí svět.</w:t>
      </w:r>
      <w:r w:rsidR="00890D9B">
        <w:rPr>
          <w:bCs/>
        </w:rPr>
        <w:t xml:space="preserve"> </w:t>
      </w:r>
      <w:r w:rsidR="085E7C12">
        <w:rPr>
          <w:bCs/>
        </w:rPr>
        <w:t>Předešlá pojetí ekonomie předkládala pouze objektivní analýzu produkce</w:t>
      </w:r>
      <w:r w:rsidR="08395B7A">
        <w:rPr>
          <w:bCs/>
        </w:rPr>
        <w:t>, distribuce a konzumace zboží. Klasická ekonomie vytvořila idealizovaný</w:t>
      </w:r>
      <w:r w:rsidR="001E1F63">
        <w:rPr>
          <w:bCs/>
        </w:rPr>
        <w:t xml:space="preserve"> Porfýriův strom daný abstrakcí</w:t>
      </w:r>
      <w:r w:rsidR="08395B7A">
        <w:rPr>
          <w:bCs/>
        </w:rPr>
        <w:t xml:space="preserve"> </w:t>
      </w:r>
      <w:r w:rsidR="00BB3996">
        <w:rPr>
          <w:bCs/>
        </w:rPr>
        <w:t>různě pojat</w:t>
      </w:r>
      <w:r w:rsidR="001E1F63">
        <w:rPr>
          <w:bCs/>
        </w:rPr>
        <w:t xml:space="preserve">ých </w:t>
      </w:r>
      <w:r w:rsidR="00BB3996">
        <w:rPr>
          <w:bCs/>
        </w:rPr>
        <w:t>e</w:t>
      </w:r>
      <w:r w:rsidR="08395B7A">
        <w:rPr>
          <w:bCs/>
        </w:rPr>
        <w:t>konomi</w:t>
      </w:r>
      <w:r w:rsidR="001E1F63">
        <w:rPr>
          <w:bCs/>
        </w:rPr>
        <w:t xml:space="preserve">ckých celků </w:t>
      </w:r>
      <w:r w:rsidR="00793C49">
        <w:rPr>
          <w:bCs/>
        </w:rPr>
        <w:t>(národní, regionální)</w:t>
      </w:r>
      <w:r w:rsidR="001E1F63">
        <w:rPr>
          <w:bCs/>
        </w:rPr>
        <w:t xml:space="preserve"> a ty pak </w:t>
      </w:r>
      <w:r w:rsidR="08395B7A">
        <w:rPr>
          <w:bCs/>
        </w:rPr>
        <w:t>dělila na menší abstraktní části</w:t>
      </w:r>
      <w:r w:rsidR="001E1F63">
        <w:rPr>
          <w:bCs/>
        </w:rPr>
        <w:t>,</w:t>
      </w:r>
      <w:r w:rsidR="08395B7A">
        <w:rPr>
          <w:bCs/>
        </w:rPr>
        <w:t xml:space="preserve"> až k ekonomickému individuu. Marx vyšel z reálné podoby ekonomie dané dějinně </w:t>
      </w:r>
      <w:r w:rsidR="08395B7A">
        <w:rPr>
          <w:bCs/>
        </w:rPr>
        <w:lastRenderedPageBreak/>
        <w:t>utvářenou kauzalitou práce.</w:t>
      </w:r>
      <w:r w:rsidR="08B4076F">
        <w:rPr>
          <w:rStyle w:val="Znakapoznpodarou"/>
          <w:bCs/>
        </w:rPr>
        <w:footnoteReference w:id="87"/>
      </w:r>
      <w:r w:rsidR="08395B7A">
        <w:rPr>
          <w:bCs/>
        </w:rPr>
        <w:t xml:space="preserve"> Realistický přístup k ekonomické kauzalitě </w:t>
      </w:r>
      <w:r w:rsidR="087459D7">
        <w:rPr>
          <w:bCs/>
        </w:rPr>
        <w:t xml:space="preserve">ukázal </w:t>
      </w:r>
      <w:r w:rsidR="0807514A">
        <w:rPr>
          <w:bCs/>
        </w:rPr>
        <w:t xml:space="preserve">primát </w:t>
      </w:r>
      <w:r w:rsidR="087459D7">
        <w:rPr>
          <w:bCs/>
        </w:rPr>
        <w:t xml:space="preserve">demiurgické produkce, která utváří současnou epochu. </w:t>
      </w:r>
      <w:r w:rsidR="08395B7A">
        <w:rPr>
          <w:bCs/>
        </w:rPr>
        <w:t>K</w:t>
      </w:r>
      <w:r w:rsidR="08B2379E">
        <w:rPr>
          <w:bCs/>
        </w:rPr>
        <w:t xml:space="preserve">ritické </w:t>
      </w:r>
      <w:r w:rsidR="08665877">
        <w:rPr>
          <w:bCs/>
        </w:rPr>
        <w:t>dílo o ekonomii</w:t>
      </w:r>
      <w:r>
        <w:rPr>
          <w:bCs/>
        </w:rPr>
        <w:t xml:space="preserve"> </w:t>
      </w:r>
      <w:r w:rsidR="08665877">
        <w:rPr>
          <w:bCs/>
        </w:rPr>
        <w:t xml:space="preserve">dalo produkci </w:t>
      </w:r>
      <w:r w:rsidR="08744A9C">
        <w:rPr>
          <w:bCs/>
        </w:rPr>
        <w:t>do souvislosti s pohybem kapitálu</w:t>
      </w:r>
      <w:r w:rsidR="001E1F63">
        <w:rPr>
          <w:bCs/>
        </w:rPr>
        <w:t>. Spojení obou forem „</w:t>
      </w:r>
      <w:r w:rsidR="001E1F63" w:rsidRPr="001E1F63">
        <w:rPr>
          <w:bCs/>
          <w:i/>
        </w:rPr>
        <w:t>regulae</w:t>
      </w:r>
      <w:r w:rsidR="001E1F63">
        <w:rPr>
          <w:bCs/>
        </w:rPr>
        <w:t>“</w:t>
      </w:r>
      <w:r w:rsidR="001E1F63" w:rsidRPr="001E1F63">
        <w:rPr>
          <w:bCs/>
        </w:rPr>
        <w:t xml:space="preserve"> vytvořilo základní racionalitu (</w:t>
      </w:r>
      <w:r w:rsidR="001E1F63" w:rsidRPr="001E1F63">
        <w:rPr>
          <w:bCs/>
          <w:i/>
        </w:rPr>
        <w:t>regula agentis creati</w:t>
      </w:r>
      <w:r w:rsidR="001E1F63">
        <w:rPr>
          <w:bCs/>
        </w:rPr>
        <w:t xml:space="preserve">) nové epochy. </w:t>
      </w:r>
      <w:r w:rsidR="08A169E5">
        <w:rPr>
          <w:bCs/>
        </w:rPr>
        <w:t xml:space="preserve">Zakladatel </w:t>
      </w:r>
      <w:r w:rsidR="08AF769B">
        <w:rPr>
          <w:bCs/>
        </w:rPr>
        <w:t xml:space="preserve">reálné společensky dané </w:t>
      </w:r>
      <w:r w:rsidR="08A169E5">
        <w:rPr>
          <w:bCs/>
        </w:rPr>
        <w:t>ekonomie vyložil postmoderní sofistiku kapitalistického odcizení skrze kapitál jako novou formu jsoucna třetího druhu</w:t>
      </w:r>
      <w:r w:rsidR="00445F82">
        <w:rPr>
          <w:bCs/>
        </w:rPr>
        <w:t xml:space="preserve">. V tomto </w:t>
      </w:r>
      <w:r w:rsidR="00445F82" w:rsidRPr="00445F82">
        <w:rPr>
          <w:bCs/>
          <w:i/>
        </w:rPr>
        <w:t>tertium ens</w:t>
      </w:r>
      <w:r w:rsidR="00445F82">
        <w:rPr>
          <w:bCs/>
        </w:rPr>
        <w:t xml:space="preserve"> </w:t>
      </w:r>
      <w:r w:rsidR="08A169E5">
        <w:rPr>
          <w:bCs/>
        </w:rPr>
        <w:t>se celá epocha aktivně a odcizeně kontempluje jako v křivém zrcadle (</w:t>
      </w:r>
      <w:r w:rsidR="08A169E5" w:rsidRPr="00D61343">
        <w:rPr>
          <w:bCs/>
          <w:i/>
        </w:rPr>
        <w:t>speculum</w:t>
      </w:r>
      <w:r w:rsidR="08A169E5">
        <w:rPr>
          <w:bCs/>
          <w:i/>
        </w:rPr>
        <w:fldChar w:fldCharType="begin"/>
      </w:r>
      <w:r w:rsidR="08A169E5">
        <w:instrText xml:space="preserve"> XE "</w:instrText>
      </w:r>
      <w:r w:rsidR="08A169E5" w:rsidRPr="00191FF1">
        <w:rPr>
          <w:i/>
        </w:rPr>
        <w:instrText>speculum</w:instrText>
      </w:r>
      <w:r w:rsidR="08A169E5">
        <w:instrText xml:space="preserve">" </w:instrText>
      </w:r>
      <w:r w:rsidR="08A169E5">
        <w:rPr>
          <w:bCs/>
          <w:i/>
        </w:rPr>
        <w:fldChar w:fldCharType="end"/>
      </w:r>
      <w:r w:rsidR="08A169E5">
        <w:rPr>
          <w:bCs/>
        </w:rPr>
        <w:t>)</w:t>
      </w:r>
      <w:r w:rsidR="08A169E5" w:rsidRPr="00273106">
        <w:t>.</w:t>
      </w:r>
    </w:p>
    <w:p w:rsidR="001E45BE" w:rsidRDefault="08A169E5" w:rsidP="00487CD6">
      <w:pPr>
        <w:ind w:firstLine="397"/>
        <w:rPr>
          <w:bCs/>
        </w:rPr>
      </w:pPr>
      <w:r>
        <w:rPr>
          <w:bCs/>
        </w:rPr>
        <w:t xml:space="preserve">Nihilistická porretánská hypostáze zvaná „kapitál“ se stala tělem a přebývá mezi námi od 18. století v podobě historického </w:t>
      </w:r>
      <w:r w:rsidRPr="002C663E">
        <w:rPr>
          <w:bCs/>
          <w:i/>
        </w:rPr>
        <w:t>factum</w:t>
      </w:r>
      <w:r>
        <w:rPr>
          <w:bCs/>
          <w:i/>
        </w:rPr>
        <w:fldChar w:fldCharType="begin"/>
      </w:r>
      <w:r>
        <w:instrText xml:space="preserve"> XE "</w:instrText>
      </w:r>
      <w:proofErr w:type="gramStart"/>
      <w:r w:rsidRPr="0012277B">
        <w:rPr>
          <w:i/>
        </w:rPr>
        <w:instrText>factum</w:instrText>
      </w:r>
      <w:r>
        <w:instrText xml:space="preserve">" </w:instrText>
      </w:r>
      <w:r>
        <w:rPr>
          <w:bCs/>
          <w:i/>
        </w:rPr>
        <w:fldChar w:fldCharType="end"/>
      </w:r>
      <w:r w:rsidR="0814548B">
        <w:rPr>
          <w:bCs/>
        </w:rPr>
        <w:t xml:space="preserve">. </w:t>
      </w:r>
      <w:r>
        <w:rPr>
          <w:bCs/>
        </w:rPr>
        <w:t xml:space="preserve"> </w:t>
      </w:r>
      <w:r w:rsidR="08163013">
        <w:rPr>
          <w:bCs/>
        </w:rPr>
        <w:t>Postmoderní</w:t>
      </w:r>
      <w:proofErr w:type="gramEnd"/>
      <w:r w:rsidR="08163013">
        <w:rPr>
          <w:bCs/>
        </w:rPr>
        <w:t xml:space="preserve"> forma kapitálu reprezentuje nové jsoucno třetího druhu dané dané </w:t>
      </w:r>
      <w:r w:rsidR="00BF3AC6">
        <w:rPr>
          <w:bCs/>
        </w:rPr>
        <w:t xml:space="preserve">specifickou formou </w:t>
      </w:r>
      <w:r w:rsidR="08163013">
        <w:rPr>
          <w:bCs/>
        </w:rPr>
        <w:t>ekonomick</w:t>
      </w:r>
      <w:r w:rsidR="00BF3AC6">
        <w:rPr>
          <w:bCs/>
        </w:rPr>
        <w:t>é</w:t>
      </w:r>
      <w:r w:rsidR="08163013">
        <w:rPr>
          <w:bCs/>
        </w:rPr>
        <w:t xml:space="preserve"> produkc</w:t>
      </w:r>
      <w:r w:rsidR="00BF3AC6">
        <w:rPr>
          <w:bCs/>
        </w:rPr>
        <w:t>e</w:t>
      </w:r>
      <w:r w:rsidR="08163013">
        <w:rPr>
          <w:bCs/>
        </w:rPr>
        <w:t xml:space="preserve">. </w:t>
      </w:r>
      <w:r w:rsidR="00371B7C">
        <w:rPr>
          <w:bCs/>
        </w:rPr>
        <w:t xml:space="preserve">Na základě </w:t>
      </w:r>
      <w:r w:rsidR="00371B7C">
        <w:t xml:space="preserve">politickou ekonomií Marxe hodnotí </w:t>
      </w:r>
      <w:r w:rsidR="00371B7C">
        <w:rPr>
          <w:bCs/>
        </w:rPr>
        <w:t xml:space="preserve">hermeneutika </w:t>
      </w:r>
      <w:r w:rsidR="08163013">
        <w:t>kapitál jako nové jsoucno třetího druhu</w:t>
      </w:r>
      <w:r w:rsidR="08163013">
        <w:fldChar w:fldCharType="begin"/>
      </w:r>
      <w:r w:rsidR="08163013">
        <w:instrText xml:space="preserve"> XE "</w:instrText>
      </w:r>
      <w:r w:rsidR="08163013" w:rsidRPr="00B674C1">
        <w:rPr>
          <w:i/>
        </w:rPr>
        <w:instrText>tertium ens</w:instrText>
      </w:r>
      <w:r w:rsidR="08163013" w:rsidRPr="0076783B">
        <w:instrText>:kapitál</w:instrText>
      </w:r>
      <w:r w:rsidR="08163013">
        <w:instrText xml:space="preserve">" </w:instrText>
      </w:r>
      <w:r w:rsidR="08163013">
        <w:fldChar w:fldCharType="end"/>
      </w:r>
      <w:r w:rsidR="08163013">
        <w:t xml:space="preserve">. </w:t>
      </w:r>
      <w:r w:rsidR="08A112D4">
        <w:t xml:space="preserve">Marx </w:t>
      </w:r>
      <w:r w:rsidR="08A112D4">
        <w:rPr>
          <w:bCs/>
        </w:rPr>
        <w:t>demaskoval</w:t>
      </w:r>
      <w:r w:rsidR="082D3F4D">
        <w:rPr>
          <w:bCs/>
        </w:rPr>
        <w:t xml:space="preserve"> falešnou univocitu kapitálu, který předtím existoval ve f</w:t>
      </w:r>
      <w:r w:rsidR="082D3F4D" w:rsidRPr="004E39A0">
        <w:rPr>
          <w:bCs/>
        </w:rPr>
        <w:t xml:space="preserve">ormě objektivního </w:t>
      </w:r>
      <w:r w:rsidR="082D3F4D" w:rsidRPr="004E39A0">
        <w:rPr>
          <w:bCs/>
          <w:i/>
        </w:rPr>
        <w:t>scibile</w:t>
      </w:r>
      <w:r w:rsidR="082D3F4D">
        <w:rPr>
          <w:bCs/>
          <w:i/>
        </w:rPr>
        <w:fldChar w:fldCharType="begin"/>
      </w:r>
      <w:r w:rsidR="082D3F4D">
        <w:instrText xml:space="preserve"> XE "</w:instrText>
      </w:r>
      <w:r w:rsidR="082D3F4D" w:rsidRPr="00ED645D">
        <w:rPr>
          <w:bCs/>
          <w:i/>
        </w:rPr>
        <w:instrText>scibile:</w:instrText>
      </w:r>
      <w:r w:rsidR="082D3F4D" w:rsidRPr="00EE691C">
        <w:rPr>
          <w:bCs/>
        </w:rPr>
        <w:instrText>kapitál</w:instrText>
      </w:r>
      <w:r w:rsidR="082D3F4D">
        <w:instrText xml:space="preserve">" </w:instrText>
      </w:r>
      <w:r w:rsidR="082D3F4D">
        <w:rPr>
          <w:bCs/>
          <w:i/>
        </w:rPr>
        <w:fldChar w:fldCharType="end"/>
      </w:r>
      <w:r w:rsidR="082D3F4D">
        <w:rPr>
          <w:bCs/>
        </w:rPr>
        <w:t xml:space="preserve">. </w:t>
      </w:r>
    </w:p>
    <w:p w:rsidR="001E45BE" w:rsidRDefault="001E45BE" w:rsidP="00487CD6">
      <w:pPr>
        <w:ind w:firstLine="397"/>
        <w:rPr>
          <w:bCs/>
        </w:rPr>
      </w:pPr>
      <w:r w:rsidRPr="001E45BE">
        <w:rPr>
          <w:bCs/>
        </w:rPr>
        <w:t xml:space="preserve">Genialita </w:t>
      </w:r>
      <w:r>
        <w:rPr>
          <w:bCs/>
        </w:rPr>
        <w:t xml:space="preserve">Marxovy analýzy modernistické </w:t>
      </w:r>
      <w:r w:rsidRPr="001E45BE">
        <w:rPr>
          <w:bCs/>
          <w:i/>
        </w:rPr>
        <w:t>Irre</w:t>
      </w:r>
      <w:r>
        <w:rPr>
          <w:bCs/>
          <w:i/>
        </w:rPr>
        <w:fldChar w:fldCharType="begin"/>
      </w:r>
      <w:r>
        <w:instrText xml:space="preserve"> XE "</w:instrText>
      </w:r>
      <w:r w:rsidRPr="00983069">
        <w:rPr>
          <w:bCs/>
          <w:i/>
        </w:rPr>
        <w:instrText>Irre</w:instrText>
      </w:r>
      <w:r>
        <w:instrText xml:space="preserve">" </w:instrText>
      </w:r>
      <w:r>
        <w:rPr>
          <w:bCs/>
          <w:i/>
        </w:rPr>
        <w:fldChar w:fldCharType="end"/>
      </w:r>
      <w:r>
        <w:rPr>
          <w:bCs/>
        </w:rPr>
        <w:t xml:space="preserve"> zvané „kapitalismus“</w:t>
      </w:r>
      <w:r w:rsidRPr="001E45BE">
        <w:rPr>
          <w:bCs/>
        </w:rPr>
        <w:t xml:space="preserve"> spočívá v tom, že analyzoval kruhový pohyb kapitálu</w:t>
      </w:r>
      <w:r>
        <w:rPr>
          <w:bCs/>
        </w:rPr>
        <w:t xml:space="preserve"> ve společnosti opačným směrem</w:t>
      </w:r>
      <w:r w:rsidRPr="001E45BE">
        <w:rPr>
          <w:bCs/>
        </w:rPr>
        <w:t>. Proto Marx založil politickou ekonomii jako novou humanitní disciplínu. První a zcela neviditelná racionalita vychází</w:t>
      </w:r>
      <w:r>
        <w:rPr>
          <w:bCs/>
        </w:rPr>
        <w:t xml:space="preserve"> ze skryté nadstavby (dnešního „</w:t>
      </w:r>
      <w:r w:rsidRPr="001E45BE">
        <w:rPr>
          <w:bCs/>
          <w:i/>
        </w:rPr>
        <w:t>Deep state</w:t>
      </w:r>
      <w:r>
        <w:rPr>
          <w:bCs/>
          <w:i/>
        </w:rPr>
        <w:fldChar w:fldCharType="begin"/>
      </w:r>
      <w:r>
        <w:instrText xml:space="preserve"> XE "</w:instrText>
      </w:r>
      <w:r w:rsidRPr="00502332">
        <w:rPr>
          <w:bCs/>
          <w:i/>
        </w:rPr>
        <w:instrText>Deep state</w:instrText>
      </w:r>
      <w:r>
        <w:instrText xml:space="preserve">" </w:instrText>
      </w:r>
      <w:r>
        <w:rPr>
          <w:bCs/>
          <w:i/>
        </w:rPr>
        <w:fldChar w:fldCharType="end"/>
      </w:r>
      <w:r>
        <w:rPr>
          <w:bCs/>
        </w:rPr>
        <w:t>“</w:t>
      </w:r>
      <w:r w:rsidRPr="001E45BE">
        <w:rPr>
          <w:bCs/>
        </w:rPr>
        <w:t xml:space="preserve">, Marxova </w:t>
      </w:r>
      <w:r>
        <w:rPr>
          <w:bCs/>
        </w:rPr>
        <w:t>„</w:t>
      </w:r>
      <w:r w:rsidRPr="001E45BE">
        <w:rPr>
          <w:bCs/>
          <w:i/>
        </w:rPr>
        <w:t>Überbau</w:t>
      </w:r>
      <w:r>
        <w:rPr>
          <w:bCs/>
        </w:rPr>
        <w:t>“</w:t>
      </w:r>
      <w:r w:rsidRPr="001E45BE">
        <w:rPr>
          <w:bCs/>
        </w:rPr>
        <w:t>), která produkuje první úroveň třídních imperiálních zájmů maskovaných jako ideologie (</w:t>
      </w:r>
      <w:r w:rsidRPr="001E45BE">
        <w:rPr>
          <w:bCs/>
          <w:i/>
        </w:rPr>
        <w:t>rationes exemplares</w:t>
      </w:r>
      <w:r>
        <w:rPr>
          <w:bCs/>
          <w:i/>
        </w:rPr>
        <w:fldChar w:fldCharType="begin"/>
      </w:r>
      <w:r>
        <w:instrText xml:space="preserve"> XE "</w:instrText>
      </w:r>
      <w:r w:rsidRPr="009A1E67">
        <w:rPr>
          <w:bCs/>
          <w:i/>
        </w:rPr>
        <w:instrText>rationes exemplares</w:instrText>
      </w:r>
      <w:r>
        <w:instrText xml:space="preserve">" </w:instrText>
      </w:r>
      <w:r>
        <w:rPr>
          <w:bCs/>
          <w:i/>
        </w:rPr>
        <w:fldChar w:fldCharType="end"/>
      </w:r>
      <w:r w:rsidRPr="001E45BE">
        <w:rPr>
          <w:bCs/>
        </w:rPr>
        <w:t>). Ty působí zpět na ekonomickou základnu viditelným způsobem, aby nabyly nové podoby kvazi-racionálních argumentů šířených médii, politiky a propagandisty všeho druhu (</w:t>
      </w:r>
      <w:r w:rsidRPr="001E45BE">
        <w:rPr>
          <w:bCs/>
          <w:i/>
        </w:rPr>
        <w:t>rationes seminales</w:t>
      </w:r>
      <w:r>
        <w:rPr>
          <w:bCs/>
          <w:i/>
        </w:rPr>
        <w:fldChar w:fldCharType="begin"/>
      </w:r>
      <w:r>
        <w:instrText xml:space="preserve"> XE "</w:instrText>
      </w:r>
      <w:r w:rsidRPr="00E61F1B">
        <w:rPr>
          <w:bCs/>
          <w:i/>
        </w:rPr>
        <w:instrText>rationes seminales</w:instrText>
      </w:r>
      <w:r>
        <w:instrText xml:space="preserve">" </w:instrText>
      </w:r>
      <w:r>
        <w:rPr>
          <w:bCs/>
          <w:i/>
        </w:rPr>
        <w:fldChar w:fldCharType="end"/>
      </w:r>
      <w:r w:rsidRPr="001E45BE">
        <w:rPr>
          <w:bCs/>
        </w:rPr>
        <w:t>). Tato kapitalistická kombinace ideologických a politických motivací (</w:t>
      </w:r>
      <w:r w:rsidRPr="001E45BE">
        <w:rPr>
          <w:bCs/>
          <w:i/>
        </w:rPr>
        <w:t>regulae agentis creati</w:t>
      </w:r>
      <w:r w:rsidRPr="001E45BE">
        <w:rPr>
          <w:bCs/>
        </w:rPr>
        <w:t>) pak určuje demiurgickou produktivní vůli všech kapitalistických subjektů (</w:t>
      </w:r>
      <w:r w:rsidRPr="001E45BE">
        <w:rPr>
          <w:bCs/>
          <w:i/>
        </w:rPr>
        <w:t>informatio</w:t>
      </w:r>
      <w:r>
        <w:rPr>
          <w:bCs/>
          <w:i/>
        </w:rPr>
        <w:fldChar w:fldCharType="begin"/>
      </w:r>
      <w:r>
        <w:instrText xml:space="preserve"> XE "</w:instrText>
      </w:r>
      <w:r w:rsidRPr="00901F95">
        <w:rPr>
          <w:bCs/>
          <w:i/>
        </w:rPr>
        <w:instrText>informatio</w:instrText>
      </w:r>
      <w:r>
        <w:instrText xml:space="preserve">" </w:instrText>
      </w:r>
      <w:r>
        <w:rPr>
          <w:bCs/>
          <w:i/>
        </w:rPr>
        <w:fldChar w:fldCharType="end"/>
      </w:r>
      <w:r w:rsidRPr="001E45BE">
        <w:rPr>
          <w:bCs/>
        </w:rPr>
        <w:t xml:space="preserve">). </w:t>
      </w:r>
    </w:p>
    <w:p w:rsidR="001E45BE" w:rsidRDefault="001E45BE" w:rsidP="00487CD6">
      <w:pPr>
        <w:ind w:firstLine="397"/>
        <w:rPr>
          <w:bCs/>
        </w:rPr>
      </w:pPr>
    </w:p>
    <w:p w:rsidR="001E45BE" w:rsidRDefault="001E45BE" w:rsidP="00487CD6">
      <w:pPr>
        <w:ind w:firstLine="397"/>
        <w:rPr>
          <w:bCs/>
        </w:rPr>
      </w:pPr>
    </w:p>
    <w:p w:rsidR="08A169E5" w:rsidRPr="00DC6981" w:rsidRDefault="00D11599" w:rsidP="00837CAE">
      <w:pPr>
        <w:ind w:firstLine="397"/>
        <w:rPr>
          <w:bCs/>
        </w:rPr>
      </w:pPr>
      <w:r>
        <w:rPr>
          <w:bCs/>
        </w:rPr>
        <w:lastRenderedPageBreak/>
        <w:t>Genialita Marxovy analýzy „kapitalismu“</w:t>
      </w:r>
      <w:r w:rsidRPr="00D11599">
        <w:rPr>
          <w:bCs/>
        </w:rPr>
        <w:t xml:space="preserve"> spočívá v tom, že analyzoval kruhový pohyb kapitálu ve společnosti v obráceném pořadí. Proto Marx </w:t>
      </w:r>
      <w:r>
        <w:rPr>
          <w:bCs/>
        </w:rPr>
        <w:t xml:space="preserve">vytvořil </w:t>
      </w:r>
      <w:r w:rsidRPr="00D11599">
        <w:rPr>
          <w:bCs/>
        </w:rPr>
        <w:t xml:space="preserve">politickou ekonomii jako novou humanitní disciplínu. První a zcela neviditelná racionalita vychází z nadstavby, kterou jsou třídní zájmy jako </w:t>
      </w:r>
      <w:r w:rsidR="00690510">
        <w:rPr>
          <w:bCs/>
        </w:rPr>
        <w:t xml:space="preserve">úmyslně šířené </w:t>
      </w:r>
      <w:r w:rsidRPr="00D11599">
        <w:rPr>
          <w:bCs/>
        </w:rPr>
        <w:t>ideologie (</w:t>
      </w:r>
      <w:r w:rsidRPr="00690510">
        <w:rPr>
          <w:bCs/>
          <w:i/>
        </w:rPr>
        <w:t>rationes exemplares</w:t>
      </w:r>
      <w:r w:rsidR="00690510">
        <w:rPr>
          <w:bCs/>
          <w:i/>
        </w:rPr>
        <w:fldChar w:fldCharType="begin"/>
      </w:r>
      <w:r w:rsidR="00690510">
        <w:instrText xml:space="preserve"> XE "</w:instrText>
      </w:r>
      <w:r w:rsidR="00690510" w:rsidRPr="00063A20">
        <w:rPr>
          <w:bCs/>
          <w:i/>
        </w:rPr>
        <w:instrText>rationes exemplares</w:instrText>
      </w:r>
      <w:r w:rsidR="00690510">
        <w:instrText xml:space="preserve">" </w:instrText>
      </w:r>
      <w:r w:rsidR="00690510">
        <w:rPr>
          <w:bCs/>
          <w:i/>
        </w:rPr>
        <w:fldChar w:fldCharType="end"/>
      </w:r>
      <w:r w:rsidRPr="00D11599">
        <w:rPr>
          <w:bCs/>
        </w:rPr>
        <w:t>); ty</w:t>
      </w:r>
      <w:r w:rsidR="00690510">
        <w:rPr>
          <w:bCs/>
        </w:rPr>
        <w:t>to ideologie</w:t>
      </w:r>
      <w:r w:rsidRPr="00D11599">
        <w:rPr>
          <w:bCs/>
        </w:rPr>
        <w:t xml:space="preserve"> mají neviditelný</w:t>
      </w:r>
      <w:r w:rsidR="00690510">
        <w:rPr>
          <w:bCs/>
        </w:rPr>
        <w:t xml:space="preserve"> vliv na ekonomickou základnu (</w:t>
      </w:r>
      <w:r w:rsidR="00690510" w:rsidRPr="00690510">
        <w:rPr>
          <w:bCs/>
          <w:i/>
        </w:rPr>
        <w:t>rationes seminales</w:t>
      </w:r>
      <w:r w:rsidR="00690510">
        <w:rPr>
          <w:bCs/>
          <w:i/>
        </w:rPr>
        <w:fldChar w:fldCharType="begin"/>
      </w:r>
      <w:r w:rsidR="00690510">
        <w:instrText xml:space="preserve"> XE "</w:instrText>
      </w:r>
      <w:r w:rsidR="00690510" w:rsidRPr="00DF5EEB">
        <w:rPr>
          <w:bCs/>
          <w:i/>
        </w:rPr>
        <w:instrText>rationes seminales</w:instrText>
      </w:r>
      <w:r w:rsidR="00690510">
        <w:instrText xml:space="preserve">" </w:instrText>
      </w:r>
      <w:r w:rsidR="00690510">
        <w:rPr>
          <w:bCs/>
          <w:i/>
        </w:rPr>
        <w:fldChar w:fldCharType="end"/>
      </w:r>
      <w:r w:rsidRPr="00D11599">
        <w:rPr>
          <w:bCs/>
        </w:rPr>
        <w:t xml:space="preserve">). Toto kapitalistické spojení ideologických a politických </w:t>
      </w:r>
      <w:r w:rsidR="005918EA">
        <w:rPr>
          <w:bCs/>
        </w:rPr>
        <w:t>„</w:t>
      </w:r>
      <w:r w:rsidRPr="005918EA">
        <w:rPr>
          <w:bCs/>
          <w:i/>
        </w:rPr>
        <w:t>regulae</w:t>
      </w:r>
      <w:r w:rsidRPr="00D11599">
        <w:rPr>
          <w:bCs/>
        </w:rPr>
        <w:t xml:space="preserve"> pak určuje demiurgickou produktivní vůli všech kapitalistických subjektů (</w:t>
      </w:r>
      <w:r w:rsidRPr="00690510">
        <w:rPr>
          <w:bCs/>
          <w:i/>
        </w:rPr>
        <w:t>informatio</w:t>
      </w:r>
      <w:r w:rsidR="00690510">
        <w:rPr>
          <w:bCs/>
          <w:i/>
        </w:rPr>
        <w:fldChar w:fldCharType="begin"/>
      </w:r>
      <w:r w:rsidR="00690510">
        <w:instrText xml:space="preserve"> XE "</w:instrText>
      </w:r>
      <w:r w:rsidR="00690510" w:rsidRPr="00050300">
        <w:rPr>
          <w:bCs/>
          <w:i/>
        </w:rPr>
        <w:instrText>informatio</w:instrText>
      </w:r>
      <w:r w:rsidR="00690510">
        <w:rPr>
          <w:bCs/>
        </w:rPr>
        <w:instrText>:Marx</w:instrText>
      </w:r>
      <w:r w:rsidR="00690510">
        <w:instrText xml:space="preserve">" </w:instrText>
      </w:r>
      <w:r w:rsidR="00690510">
        <w:rPr>
          <w:bCs/>
          <w:i/>
        </w:rPr>
        <w:fldChar w:fldCharType="end"/>
      </w:r>
      <w:r w:rsidRPr="00D11599">
        <w:rPr>
          <w:bCs/>
        </w:rPr>
        <w:t xml:space="preserve">). </w:t>
      </w:r>
      <w:r w:rsidR="08163013">
        <w:rPr>
          <w:bCs/>
        </w:rPr>
        <w:t>Re</w:t>
      </w:r>
      <w:r w:rsidR="00690510">
        <w:rPr>
          <w:bCs/>
        </w:rPr>
        <w:t>-</w:t>
      </w:r>
      <w:r w:rsidR="08163013">
        <w:rPr>
          <w:bCs/>
        </w:rPr>
        <w:t xml:space="preserve">prezentace exemplárních forem kapitálu daných ideologicky, politicky a ekonomicky se koná skrze odcizené </w:t>
      </w:r>
      <w:r w:rsidR="08163013" w:rsidRPr="00273106">
        <w:rPr>
          <w:bCs/>
        </w:rPr>
        <w:t>vědomí</w:t>
      </w:r>
      <w:r w:rsidR="08163013">
        <w:rPr>
          <w:bCs/>
        </w:rPr>
        <w:t xml:space="preserve">. </w:t>
      </w:r>
      <w:r w:rsidR="00487CD6">
        <w:rPr>
          <w:noProof/>
        </w:rPr>
        <w:t>Parafrázuj</w:t>
      </w:r>
      <w:r w:rsidR="00E703AC">
        <w:rPr>
          <w:noProof/>
        </w:rPr>
        <w:t xml:space="preserve">me větu z výše citovaného Bonaventury. Podle kapitalisticky určené </w:t>
      </w:r>
      <w:r w:rsidR="00487CD6">
        <w:rPr>
          <w:noProof/>
        </w:rPr>
        <w:t>exemplarity mají ideologie, třídní zájmy a systém produkce habituální sklon spojovat se navzájem (</w:t>
      </w:r>
      <w:r w:rsidR="00487CD6" w:rsidRPr="00192770">
        <w:rPr>
          <w:i/>
          <w:noProof/>
        </w:rPr>
        <w:t>res habent aptitudinem et habitudinem ad invicem</w:t>
      </w:r>
      <w:r w:rsidR="005918EA">
        <w:rPr>
          <w:noProof/>
        </w:rPr>
        <w:t xml:space="preserve">). V  této odcizené podobě </w:t>
      </w:r>
      <w:r w:rsidR="00487CD6">
        <w:rPr>
          <w:noProof/>
        </w:rPr>
        <w:t xml:space="preserve">jsou </w:t>
      </w:r>
      <w:r w:rsidR="005918EA">
        <w:rPr>
          <w:noProof/>
        </w:rPr>
        <w:t xml:space="preserve">zcela pravdivým a tudíž tragikomickým </w:t>
      </w:r>
      <w:r w:rsidR="00487CD6">
        <w:rPr>
          <w:noProof/>
        </w:rPr>
        <w:t xml:space="preserve">zpřítomněním </w:t>
      </w:r>
      <w:r w:rsidR="00B734C5">
        <w:rPr>
          <w:noProof/>
        </w:rPr>
        <w:t>„kapitalistického bludu“</w:t>
      </w:r>
      <w:r w:rsidR="001E45BE">
        <w:rPr>
          <w:noProof/>
        </w:rPr>
        <w:t xml:space="preserve"> </w:t>
      </w:r>
      <w:r w:rsidR="00B734C5">
        <w:rPr>
          <w:szCs w:val="24"/>
        </w:rPr>
        <w:t>(</w:t>
      </w:r>
      <w:r w:rsidR="00B734C5" w:rsidRPr="00C56F98">
        <w:rPr>
          <w:i/>
        </w:rPr>
        <w:t>Capitalist Fallacy</w:t>
      </w:r>
      <w:r w:rsidR="00B734C5">
        <w:fldChar w:fldCharType="begin"/>
      </w:r>
      <w:r w:rsidR="00B734C5">
        <w:instrText xml:space="preserve"> XE "</w:instrText>
      </w:r>
      <w:r w:rsidR="00B734C5" w:rsidRPr="00C56F98">
        <w:rPr>
          <w:i/>
        </w:rPr>
        <w:instrText>Capitalist Fallacy</w:instrText>
      </w:r>
      <w:r w:rsidR="00B734C5">
        <w:instrText xml:space="preserve">" </w:instrText>
      </w:r>
      <w:r w:rsidR="00B734C5">
        <w:fldChar w:fldCharType="end"/>
      </w:r>
      <w:r w:rsidR="00307CC7">
        <w:t>”</w:t>
      </w:r>
      <w:r w:rsidR="00B734C5">
        <w:rPr>
          <w:szCs w:val="24"/>
        </w:rPr>
        <w:t xml:space="preserve">) </w:t>
      </w:r>
      <w:r w:rsidR="005918EA">
        <w:rPr>
          <w:noProof/>
        </w:rPr>
        <w:t xml:space="preserve">v modu </w:t>
      </w:r>
      <w:r w:rsidR="005918EA" w:rsidRPr="005918EA">
        <w:rPr>
          <w:i/>
          <w:noProof/>
        </w:rPr>
        <w:t>al</w:t>
      </w:r>
      <w:r w:rsidR="005918EA">
        <w:rPr>
          <w:i/>
          <w:noProof/>
        </w:rPr>
        <w:t>éthe</w:t>
      </w:r>
      <w:r w:rsidR="005918EA" w:rsidRPr="005918EA">
        <w:rPr>
          <w:i/>
          <w:noProof/>
        </w:rPr>
        <w:t>ia</w:t>
      </w:r>
      <w:r w:rsidR="005918EA">
        <w:rPr>
          <w:noProof/>
        </w:rPr>
        <w:t xml:space="preserve"> </w:t>
      </w:r>
      <w:r w:rsidR="00487CD6">
        <w:rPr>
          <w:noProof/>
        </w:rPr>
        <w:t>(</w:t>
      </w:r>
      <w:r w:rsidR="00487CD6" w:rsidRPr="00192770">
        <w:rPr>
          <w:bCs/>
          <w:i/>
          <w:noProof/>
        </w:rPr>
        <w:t>aeternae artis repraesentationem</w:t>
      </w:r>
      <w:r w:rsidR="00487CD6">
        <w:rPr>
          <w:noProof/>
        </w:rPr>
        <w:t>).</w:t>
      </w:r>
      <w:r w:rsidR="00776D28">
        <w:rPr>
          <w:bCs/>
        </w:rPr>
        <w:t xml:space="preserve"> </w:t>
      </w:r>
      <w:r w:rsidR="00825352">
        <w:rPr>
          <w:bCs/>
        </w:rPr>
        <w:t>Mod</w:t>
      </w:r>
      <w:r w:rsidR="00837CAE">
        <w:rPr>
          <w:bCs/>
        </w:rPr>
        <w:t>ernistická</w:t>
      </w:r>
      <w:r w:rsidR="00825352">
        <w:rPr>
          <w:bCs/>
        </w:rPr>
        <w:t xml:space="preserve"> forma „</w:t>
      </w:r>
      <w:r w:rsidR="00825352" w:rsidRPr="00837CAE">
        <w:rPr>
          <w:bCs/>
          <w:i/>
        </w:rPr>
        <w:t>Oxfordia</w:t>
      </w:r>
      <w:r w:rsidR="00837CAE" w:rsidRPr="00837CAE">
        <w:rPr>
          <w:bCs/>
          <w:i/>
        </w:rPr>
        <w:t>n</w:t>
      </w:r>
      <w:r w:rsidR="00825352" w:rsidRPr="00837CAE">
        <w:rPr>
          <w:bCs/>
          <w:i/>
        </w:rPr>
        <w:t xml:space="preserve"> Fallacy</w:t>
      </w:r>
      <w:r w:rsidR="00825352">
        <w:rPr>
          <w:bCs/>
        </w:rPr>
        <w:t xml:space="preserve">“ dostala </w:t>
      </w:r>
      <w:r w:rsidR="00BA44F7">
        <w:rPr>
          <w:bCs/>
        </w:rPr>
        <w:t xml:space="preserve">další </w:t>
      </w:r>
      <w:r w:rsidR="00837CAE">
        <w:rPr>
          <w:bCs/>
        </w:rPr>
        <w:t xml:space="preserve">simulákrum skrze Bonaventuru jako eminentního představitele školy </w:t>
      </w:r>
      <w:r w:rsidR="00837CAE">
        <w:rPr>
          <w:bCs/>
          <w:i/>
        </w:rPr>
        <w:t>sophistate Latini</w:t>
      </w:r>
      <w:r w:rsidR="00825352">
        <w:rPr>
          <w:bCs/>
        </w:rPr>
        <w:t xml:space="preserve">. </w:t>
      </w:r>
      <w:r w:rsidR="08163013">
        <w:rPr>
          <w:bCs/>
        </w:rPr>
        <w:t xml:space="preserve">Schizofrenické myšlení kapitalismu </w:t>
      </w:r>
      <w:r w:rsidR="00814C8F">
        <w:rPr>
          <w:bCs/>
        </w:rPr>
        <w:t>je určené exemplárním odcizením práce a kapitálu</w:t>
      </w:r>
      <w:r w:rsidR="08163013">
        <w:rPr>
          <w:bCs/>
        </w:rPr>
        <w:t xml:space="preserve">. </w:t>
      </w:r>
      <w:r w:rsidR="00FC3CE0">
        <w:rPr>
          <w:bCs/>
        </w:rPr>
        <w:t>S</w:t>
      </w:r>
      <w:r w:rsidR="08163013">
        <w:rPr>
          <w:bCs/>
        </w:rPr>
        <w:t>ekundární fenomény objektivně dokazují v modu následné reprezentace (politické, ideologické, kulturní, náboženské, etické) základní odcizení subjektu</w:t>
      </w:r>
      <w:r w:rsidR="08163013" w:rsidRPr="00273106">
        <w:rPr>
          <w:bCs/>
        </w:rPr>
        <w:t xml:space="preserve">. </w:t>
      </w:r>
      <w:r w:rsidR="08163013">
        <w:rPr>
          <w:bCs/>
        </w:rPr>
        <w:t xml:space="preserve">Proces reprezentace kapitalistického subjektu určují proměny kapitálu zpřítomňované v odcizeném vědomí té či oné třídy a individua. Bonaventurova dvojí regule je nahrazena dvojím vztahem k výrobním prostředkům, které produkují základní formy odcizení člověka. </w:t>
      </w:r>
      <w:r w:rsidR="007034E2">
        <w:rPr>
          <w:bCs/>
        </w:rPr>
        <w:t>P</w:t>
      </w:r>
      <w:r w:rsidR="007034E2" w:rsidRPr="007034E2">
        <w:rPr>
          <w:bCs/>
        </w:rPr>
        <w:t>ohyb kapitálu v kapitalistickém systému se řídí původním ontoteologickým pojetím nutnosti, které vytvořil Bonaventura (</w:t>
      </w:r>
      <w:r w:rsidR="007034E2" w:rsidRPr="007034E2">
        <w:rPr>
          <w:bCs/>
          <w:i/>
        </w:rPr>
        <w:t>illationis necessitas</w:t>
      </w:r>
      <w:r w:rsidR="007034E2" w:rsidRPr="007034E2">
        <w:rPr>
          <w:bCs/>
        </w:rPr>
        <w:t xml:space="preserve">) a které Marx změnil na nutnost vytvářenou </w:t>
      </w:r>
      <w:r w:rsidR="007034E2">
        <w:rPr>
          <w:bCs/>
        </w:rPr>
        <w:t>skrze politickou ekonomii</w:t>
      </w:r>
      <w:r w:rsidR="007034E2" w:rsidRPr="007034E2">
        <w:rPr>
          <w:bCs/>
        </w:rPr>
        <w:t xml:space="preserve">. </w:t>
      </w:r>
      <w:r w:rsidR="007034E2">
        <w:rPr>
          <w:bCs/>
        </w:rPr>
        <w:t>R</w:t>
      </w:r>
      <w:r w:rsidR="08163013">
        <w:rPr>
          <w:bCs/>
        </w:rPr>
        <w:t>ealita posuzovaná skrze politickou ekonomii dostala kritikou německé ideologie</w:t>
      </w:r>
      <w:r w:rsidR="08163013">
        <w:fldChar w:fldCharType="begin"/>
      </w:r>
      <w:r w:rsidR="08163013">
        <w:instrText xml:space="preserve"> XE "</w:instrText>
      </w:r>
      <w:r w:rsidR="08163013" w:rsidRPr="088A1F37">
        <w:instrText>ideologie</w:instrText>
      </w:r>
      <w:r w:rsidR="08163013">
        <w:instrText xml:space="preserve">" </w:instrText>
      </w:r>
      <w:r w:rsidR="08163013">
        <w:fldChar w:fldCharType="end"/>
      </w:r>
      <w:r w:rsidR="08163013">
        <w:rPr>
          <w:bCs/>
        </w:rPr>
        <w:t xml:space="preserve"> novou formu podle výše uvedeného Bonaventury (</w:t>
      </w:r>
      <w:r w:rsidR="08163013" w:rsidRPr="00273106">
        <w:rPr>
          <w:bCs/>
          <w:i/>
        </w:rPr>
        <w:t>secundum artis repraesentationem</w:t>
      </w:r>
      <w:r w:rsidR="08163013">
        <w:rPr>
          <w:bCs/>
        </w:rPr>
        <w:t xml:space="preserve">). Fenomenologický popis těchto odcizených forem vědomí </w:t>
      </w:r>
      <w:r w:rsidR="088B2CE2">
        <w:rPr>
          <w:bCs/>
        </w:rPr>
        <w:t xml:space="preserve">vědecky </w:t>
      </w:r>
      <w:r w:rsidR="08163013">
        <w:rPr>
          <w:bCs/>
        </w:rPr>
        <w:t xml:space="preserve">kategorizuje </w:t>
      </w:r>
      <w:r w:rsidR="08163013" w:rsidRPr="00273106">
        <w:rPr>
          <w:bCs/>
        </w:rPr>
        <w:t>demiurgickou činnost</w:t>
      </w:r>
      <w:r w:rsidR="08163013">
        <w:rPr>
          <w:bCs/>
        </w:rPr>
        <w:t xml:space="preserve"> a vědomí příslušných subjektů, které kapitalismus nesou na svých bedrech nebo na svých bankovních kontech. </w:t>
      </w:r>
    </w:p>
    <w:p w:rsidR="00612B11" w:rsidRDefault="08163013" w:rsidP="00904AC0">
      <w:pPr>
        <w:ind w:firstLine="397"/>
        <w:rPr>
          <w:iCs/>
        </w:rPr>
      </w:pPr>
      <w:r>
        <w:rPr>
          <w:bCs/>
        </w:rPr>
        <w:t xml:space="preserve">Zakládající regule nové demiurgické epochy není dána jen ideologicky a ekonomicky, ale i kulturně, což analyzují různé neomarxistické školy a směry. Současnou podobu kapitálu </w:t>
      </w:r>
      <w:r>
        <w:rPr>
          <w:bCs/>
        </w:rPr>
        <w:lastRenderedPageBreak/>
        <w:t>podala nynější francouzská Škola análů. Historie dlouhodobě trvajících změn (</w:t>
      </w:r>
      <w:r w:rsidRPr="00EC216C">
        <w:rPr>
          <w:rStyle w:val="st"/>
          <w:bCs/>
          <w:i/>
        </w:rPr>
        <w:t>longue durée</w:t>
      </w:r>
      <w:r>
        <w:rPr>
          <w:bCs/>
        </w:rPr>
        <w:t>) analyzovala tři století strukturálních změn v akumulaci bohatství (Piketty</w:t>
      </w:r>
      <w:r>
        <w:rPr>
          <w:bCs/>
        </w:rPr>
        <w:fldChar w:fldCharType="begin"/>
      </w:r>
      <w:r>
        <w:instrText xml:space="preserve"> XE "</w:instrText>
      </w:r>
      <w:r w:rsidRPr="00DB628C">
        <w:rPr>
          <w:bCs/>
        </w:rPr>
        <w:instrText>Piketty, T.</w:instrText>
      </w:r>
      <w:r>
        <w:instrText xml:space="preserve">" </w:instrText>
      </w:r>
      <w:r>
        <w:rPr>
          <w:bCs/>
        </w:rPr>
        <w:fldChar w:fldCharType="end"/>
      </w:r>
      <w:r>
        <w:rPr>
          <w:bCs/>
        </w:rPr>
        <w:t xml:space="preserve"> 2013). </w:t>
      </w:r>
      <w:r>
        <w:t>Absolutizací</w:t>
      </w:r>
      <w:r w:rsidRPr="00AF776A">
        <w:t xml:space="preserve"> </w:t>
      </w:r>
      <w:r>
        <w:t>kapitálu, čili jeho oddělením od průmyslové produkce a následným nihilistickým pohybem globálních dluhových peněz vytvořených z finančních derivátů</w:t>
      </w:r>
      <w:r>
        <w:fldChar w:fldCharType="begin"/>
      </w:r>
      <w:r>
        <w:instrText xml:space="preserve"> XE "</w:instrText>
      </w:r>
      <w:r w:rsidRPr="089E7504">
        <w:instrText>finanční deriváty</w:instrText>
      </w:r>
      <w:r>
        <w:instrText xml:space="preserve">" </w:instrText>
      </w:r>
      <w:r>
        <w:fldChar w:fldCharType="end"/>
      </w:r>
      <w:r>
        <w:t xml:space="preserve"> vznikl nový „exsistující“ třetí svět jednoho promile současných iluminátů. Rufusovo dílo </w:t>
      </w:r>
      <w:r w:rsidRPr="00755197">
        <w:rPr>
          <w:i/>
        </w:rPr>
        <w:t>Speculum animae</w:t>
      </w:r>
      <w:r>
        <w:t xml:space="preserve"> dostalo skrze postmoderní </w:t>
      </w:r>
      <w:r w:rsidRPr="08A45D71">
        <w:t xml:space="preserve">aktualizaci Marxova díla </w:t>
      </w:r>
      <w:r w:rsidRPr="08457879">
        <w:rPr>
          <w:i/>
        </w:rPr>
        <w:t>Kapitál</w:t>
      </w:r>
      <w:r w:rsidRPr="08A45D71">
        <w:t xml:space="preserve"> (1867) a především v jeho filosofických poznámkách k tomuto dílu (</w:t>
      </w:r>
      <w:r w:rsidR="0072727D">
        <w:rPr>
          <w:i/>
        </w:rPr>
        <w:t>Grundrisse der Kritik der p</w:t>
      </w:r>
      <w:r w:rsidRPr="08A45D71">
        <w:rPr>
          <w:i/>
        </w:rPr>
        <w:t>olitischen Ökonomie</w:t>
      </w:r>
      <w:r w:rsidRPr="08A45D71">
        <w:t xml:space="preserve">, 1858) </w:t>
      </w:r>
      <w:r>
        <w:t xml:space="preserve">nový život ducha. </w:t>
      </w:r>
      <w:r w:rsidR="086E73ED">
        <w:t>P</w:t>
      </w:r>
      <w:r>
        <w:t xml:space="preserve">ůvodní verzi </w:t>
      </w:r>
      <w:r w:rsidR="086E73ED">
        <w:t xml:space="preserve">mystické fakticity Západu </w:t>
      </w:r>
      <w:r>
        <w:t>objevil vizionář Joachim z Fiore</w:t>
      </w:r>
      <w:r>
        <w:fldChar w:fldCharType="begin"/>
      </w:r>
      <w:r>
        <w:instrText xml:space="preserve"> XE "</w:instrText>
      </w:r>
      <w:r w:rsidRPr="00A96330">
        <w:instrText>Joachim z Fiore</w:instrText>
      </w:r>
      <w:r>
        <w:instrText xml:space="preserve">" </w:instrText>
      </w:r>
      <w:r>
        <w:fldChar w:fldCharType="end"/>
      </w:r>
      <w:r w:rsidR="08666C3D">
        <w:t xml:space="preserve"> a předal společenství </w:t>
      </w:r>
      <w:r w:rsidR="08666C3D">
        <w:rPr>
          <w:iCs/>
        </w:rPr>
        <w:t>moderních iluminátů</w:t>
      </w:r>
      <w:r w:rsidR="08666C3D">
        <w:rPr>
          <w:iCs/>
        </w:rPr>
        <w:fldChar w:fldCharType="begin"/>
      </w:r>
      <w:r w:rsidR="08666C3D">
        <w:instrText xml:space="preserve"> XE "</w:instrText>
      </w:r>
      <w:r w:rsidR="08666C3D" w:rsidRPr="00BD65D1">
        <w:instrText>ilumináti</w:instrText>
      </w:r>
      <w:r w:rsidR="08666C3D">
        <w:instrText xml:space="preserve">" </w:instrText>
      </w:r>
      <w:r w:rsidR="08666C3D">
        <w:rPr>
          <w:iCs/>
        </w:rPr>
        <w:fldChar w:fldCharType="end"/>
      </w:r>
      <w:r>
        <w:t xml:space="preserve">. </w:t>
      </w:r>
      <w:r w:rsidR="08666C3D">
        <w:t xml:space="preserve">Oxfordská pobočka této </w:t>
      </w:r>
      <w:r w:rsidRPr="00273106">
        <w:rPr>
          <w:i/>
          <w:iCs/>
        </w:rPr>
        <w:t>intelligentia spiritualis</w:t>
      </w:r>
      <w:r>
        <w:rPr>
          <w:i/>
          <w:iCs/>
        </w:rPr>
        <w:fldChar w:fldCharType="begin"/>
      </w:r>
      <w:r>
        <w:instrText xml:space="preserve"> XE "</w:instrText>
      </w:r>
      <w:r w:rsidRPr="00032E18">
        <w:rPr>
          <w:i/>
          <w:iCs/>
        </w:rPr>
        <w:instrText>intelligentia spiritualis</w:instrText>
      </w:r>
      <w:r>
        <w:instrText xml:space="preserve">" </w:instrText>
      </w:r>
      <w:r>
        <w:rPr>
          <w:i/>
          <w:iCs/>
        </w:rPr>
        <w:fldChar w:fldCharType="end"/>
      </w:r>
      <w:r>
        <w:rPr>
          <w:iCs/>
        </w:rPr>
        <w:t xml:space="preserve"> očekávala </w:t>
      </w:r>
      <w:r w:rsidR="08666C3D">
        <w:rPr>
          <w:iCs/>
        </w:rPr>
        <w:t xml:space="preserve">objektivně nutný </w:t>
      </w:r>
      <w:r>
        <w:rPr>
          <w:iCs/>
        </w:rPr>
        <w:t xml:space="preserve">příchod Antikrista. Jejich potomci v </w:t>
      </w:r>
      <w:r w:rsidRPr="00131EE4">
        <w:rPr>
          <w:i/>
          <w:iCs/>
        </w:rPr>
        <w:t xml:space="preserve">City of </w:t>
      </w:r>
      <w:proofErr w:type="gramStart"/>
      <w:r w:rsidRPr="00131EE4">
        <w:rPr>
          <w:i/>
          <w:iCs/>
        </w:rPr>
        <w:t>London</w:t>
      </w:r>
      <w:proofErr w:type="gramEnd"/>
      <w:r>
        <w:rPr>
          <w:iCs/>
        </w:rPr>
        <w:t xml:space="preserve"> </w:t>
      </w:r>
      <w:r w:rsidR="08666C3D">
        <w:rPr>
          <w:iCs/>
        </w:rPr>
        <w:t xml:space="preserve">vybavení </w:t>
      </w:r>
      <w:r>
        <w:rPr>
          <w:iCs/>
        </w:rPr>
        <w:t xml:space="preserve">oxfordským analytickým </w:t>
      </w:r>
      <w:r w:rsidR="088B2CE2">
        <w:rPr>
          <w:iCs/>
        </w:rPr>
        <w:t xml:space="preserve">myšlením </w:t>
      </w:r>
      <w:r w:rsidR="08666C3D">
        <w:rPr>
          <w:iCs/>
        </w:rPr>
        <w:t xml:space="preserve">očekávají </w:t>
      </w:r>
      <w:r w:rsidR="088C5FD7">
        <w:rPr>
          <w:iCs/>
        </w:rPr>
        <w:t xml:space="preserve">apokalytický </w:t>
      </w:r>
      <w:r>
        <w:rPr>
          <w:iCs/>
        </w:rPr>
        <w:t>pád dolaru</w:t>
      </w:r>
      <w:r w:rsidR="089B5714">
        <w:rPr>
          <w:iCs/>
        </w:rPr>
        <w:t xml:space="preserve"> a </w:t>
      </w:r>
      <w:r>
        <w:rPr>
          <w:iCs/>
        </w:rPr>
        <w:t>zhroucení spekulativních bublin</w:t>
      </w:r>
      <w:r w:rsidR="088C5FD7">
        <w:rPr>
          <w:iCs/>
        </w:rPr>
        <w:t xml:space="preserve">. </w:t>
      </w:r>
      <w:r w:rsidR="00693407" w:rsidRPr="00693407">
        <w:rPr>
          <w:iCs/>
        </w:rPr>
        <w:t>Tato eschatologická investiční událost nutně nastane a vše bude zachráněno příchodem bankovního Mesiáše, který je nyní vzýván v podobě digitální měny centrální banky</w:t>
      </w:r>
      <w:r w:rsidR="00693407">
        <w:rPr>
          <w:iCs/>
        </w:rPr>
        <w:t xml:space="preserve"> (</w:t>
      </w:r>
      <w:r w:rsidR="00693407" w:rsidRPr="00693407">
        <w:rPr>
          <w:i/>
        </w:rPr>
        <w:t>Central Bank Digital Currency</w:t>
      </w:r>
      <w:r w:rsidR="00693407">
        <w:rPr>
          <w:iCs/>
        </w:rPr>
        <w:t>)</w:t>
      </w:r>
      <w:r w:rsidR="00693407" w:rsidRPr="00693407">
        <w:rPr>
          <w:iCs/>
        </w:rPr>
        <w:t>. Její úspěšná prezentace na burze bude dána jako nová forma virtuálního dluhu</w:t>
      </w:r>
      <w:r w:rsidR="0027212A">
        <w:rPr>
          <w:iCs/>
        </w:rPr>
        <w:t xml:space="preserve"> a reálného otroctví</w:t>
      </w:r>
      <w:r w:rsidR="00612B11">
        <w:rPr>
          <w:iCs/>
        </w:rPr>
        <w:t>.</w:t>
      </w:r>
    </w:p>
    <w:p w:rsidR="08262E74" w:rsidRPr="00511C1B" w:rsidRDefault="00511C1B" w:rsidP="00904AC0">
      <w:pPr>
        <w:ind w:firstLine="397"/>
        <w:rPr>
          <w:iCs/>
        </w:rPr>
      </w:pPr>
      <w:r w:rsidRPr="00511C1B">
        <w:rPr>
          <w:iCs/>
        </w:rPr>
        <w:t xml:space="preserve">První druh démonické logiky, kterou Grosseteste vytvořil, </w:t>
      </w:r>
      <w:r w:rsidR="00214F00">
        <w:rPr>
          <w:iCs/>
        </w:rPr>
        <w:t>založil novou logiku na b</w:t>
      </w:r>
      <w:r>
        <w:rPr>
          <w:iCs/>
        </w:rPr>
        <w:t xml:space="preserve">udoucím příchodu Antikrista. Tomu </w:t>
      </w:r>
      <w:r w:rsidR="08163013">
        <w:rPr>
          <w:iCs/>
        </w:rPr>
        <w:t xml:space="preserve">nyní odpovídají </w:t>
      </w:r>
      <w:r>
        <w:rPr>
          <w:iCs/>
        </w:rPr>
        <w:t xml:space="preserve">současné finanční nástroje. Hermeticky viděno stojí současné virtiální finance </w:t>
      </w:r>
      <w:r w:rsidR="08163013">
        <w:rPr>
          <w:iCs/>
        </w:rPr>
        <w:t xml:space="preserve">na stejné </w:t>
      </w:r>
      <w:r>
        <w:rPr>
          <w:iCs/>
        </w:rPr>
        <w:t>formě „</w:t>
      </w:r>
      <w:r w:rsidRPr="00511C1B">
        <w:rPr>
          <w:i/>
          <w:iCs/>
        </w:rPr>
        <w:t>Ge-Stell</w:t>
      </w:r>
      <w:r>
        <w:rPr>
          <w:iCs/>
        </w:rPr>
        <w:t>“, tedy na kapitalisticky organizovaném přísunu démonických jsoucen třetího druhu</w:t>
      </w:r>
      <w:r w:rsidR="08163013">
        <w:rPr>
          <w:iCs/>
        </w:rPr>
        <w:t xml:space="preserve">. </w:t>
      </w:r>
      <w:r w:rsidR="08163013">
        <w:t>Místo Antikrista očekávaného středověkými ilumináty přišel kapitalismus iluminátů novověkých</w:t>
      </w:r>
      <w:r w:rsidR="00EA34F8">
        <w:t xml:space="preserve">, Ten </w:t>
      </w:r>
      <w:r w:rsidR="08163013">
        <w:t xml:space="preserve">završil Bonaventurův itinerář západní nihilistické metafyziky signované číslem </w:t>
      </w:r>
      <w:r w:rsidR="000A0280">
        <w:t xml:space="preserve">„666“ </w:t>
      </w:r>
      <w:r w:rsidR="00F15ED6">
        <w:t xml:space="preserve">jako </w:t>
      </w:r>
      <w:r w:rsidR="000A0280">
        <w:t>apokalyptické šelmy z Nového zákona</w:t>
      </w:r>
      <w:r w:rsidR="08163013">
        <w:t xml:space="preserve">. </w:t>
      </w:r>
      <w:r w:rsidR="08163013">
        <w:rPr>
          <w:iCs/>
        </w:rPr>
        <w:t xml:space="preserve">Obojí forma této inteligence přímo nazírá mystické či kapitálové </w:t>
      </w:r>
      <w:r w:rsidR="08163013" w:rsidRPr="009C4187">
        <w:rPr>
          <w:i/>
          <w:iCs/>
        </w:rPr>
        <w:t>scibile</w:t>
      </w:r>
      <w:r w:rsidR="08163013">
        <w:rPr>
          <w:iCs/>
        </w:rPr>
        <w:t xml:space="preserve"> v </w:t>
      </w:r>
      <w:r w:rsidR="08163013">
        <w:t xml:space="preserve">náhledu osvíceného </w:t>
      </w:r>
      <w:r>
        <w:t xml:space="preserve">solárního </w:t>
      </w:r>
      <w:r w:rsidR="08163013">
        <w:t>intelektu (</w:t>
      </w:r>
      <w:r w:rsidR="08EF2C61">
        <w:t>OBJ II</w:t>
      </w:r>
      <w:r w:rsidR="089A68DF">
        <w:t>, kap. 3</w:t>
      </w:r>
      <w:r w:rsidR="08163013">
        <w:t xml:space="preserve">.1.2). </w:t>
      </w:r>
      <w:r w:rsidR="08163013">
        <w:rPr>
          <w:bCs/>
        </w:rPr>
        <w:t xml:space="preserve">Mytický kruhový pohyb nové reprezentace moci a vědění </w:t>
      </w:r>
      <w:r w:rsidR="08163013" w:rsidRPr="00273106">
        <w:rPr>
          <w:bCs/>
        </w:rPr>
        <w:t>charakteri</w:t>
      </w:r>
      <w:r w:rsidR="08163013">
        <w:rPr>
          <w:bCs/>
        </w:rPr>
        <w:t>zuj</w:t>
      </w:r>
      <w:r w:rsidR="00AE6A71">
        <w:rPr>
          <w:bCs/>
        </w:rPr>
        <w:t>e</w:t>
      </w:r>
      <w:r w:rsidR="08163013">
        <w:rPr>
          <w:bCs/>
        </w:rPr>
        <w:t xml:space="preserve"> </w:t>
      </w:r>
      <w:r w:rsidR="08163013" w:rsidRPr="00273106">
        <w:rPr>
          <w:bCs/>
        </w:rPr>
        <w:t>demiurga</w:t>
      </w:r>
      <w:r w:rsidR="08163013">
        <w:rPr>
          <w:bCs/>
        </w:rPr>
        <w:t xml:space="preserve"> v epoše metafyzického nihilismu</w:t>
      </w:r>
      <w:r w:rsidR="08163013">
        <w:rPr>
          <w:bCs/>
        </w:rPr>
        <w:fldChar w:fldCharType="begin"/>
      </w:r>
      <w:r w:rsidR="08163013">
        <w:instrText xml:space="preserve"> XE "</w:instrText>
      </w:r>
      <w:r w:rsidR="08163013" w:rsidRPr="009C6832">
        <w:rPr>
          <w:bCs/>
        </w:rPr>
        <w:instrText>nihilismus</w:instrText>
      </w:r>
      <w:r w:rsidR="08163013">
        <w:instrText xml:space="preserve">" </w:instrText>
      </w:r>
      <w:r w:rsidR="08163013">
        <w:rPr>
          <w:bCs/>
        </w:rPr>
        <w:fldChar w:fldCharType="end"/>
      </w:r>
      <w:r w:rsidR="08163013" w:rsidRPr="00273106">
        <w:rPr>
          <w:bCs/>
        </w:rPr>
        <w:t>.</w:t>
      </w:r>
      <w:r w:rsidR="08163013">
        <w:rPr>
          <w:bCs/>
        </w:rPr>
        <w:t xml:space="preserve"> Ze spekulativního zrcadla kapitalismu XIX. století se po válkách a totalitarismech</w:t>
      </w:r>
      <w:r w:rsidR="08163013">
        <w:rPr>
          <w:bCs/>
        </w:rPr>
        <w:fldChar w:fldCharType="begin"/>
      </w:r>
      <w:r w:rsidR="08163013">
        <w:instrText xml:space="preserve"> XE "</w:instrText>
      </w:r>
      <w:r w:rsidR="08163013" w:rsidRPr="001B28C4">
        <w:rPr>
          <w:bCs/>
        </w:rPr>
        <w:instrText>totalitarismus</w:instrText>
      </w:r>
      <w:r w:rsidR="08163013">
        <w:instrText xml:space="preserve">" </w:instrText>
      </w:r>
      <w:r w:rsidR="08163013">
        <w:rPr>
          <w:bCs/>
        </w:rPr>
        <w:fldChar w:fldCharType="end"/>
      </w:r>
      <w:r w:rsidR="08163013">
        <w:rPr>
          <w:bCs/>
        </w:rPr>
        <w:t xml:space="preserve"> XX. století stala tvář globální Gorgony. Současná forma korporátně-fašistického odcizení od reality první substance potvrzuje degradaci metafyzické fomy abstrakce na matematickou reguli. </w:t>
      </w:r>
      <w:r w:rsidR="08163013">
        <w:t xml:space="preserve">Fenomén </w:t>
      </w:r>
      <w:r w:rsidR="08163013">
        <w:rPr>
          <w:i/>
        </w:rPr>
        <w:t xml:space="preserve">High </w:t>
      </w:r>
      <w:r w:rsidR="08163013" w:rsidRPr="0066775F">
        <w:rPr>
          <w:i/>
        </w:rPr>
        <w:t>Frequency Trading</w:t>
      </w:r>
      <w:r w:rsidR="08163013">
        <w:rPr>
          <w:i/>
        </w:rPr>
        <w:fldChar w:fldCharType="begin"/>
      </w:r>
      <w:r w:rsidR="08163013">
        <w:instrText xml:space="preserve"> XE "</w:instrText>
      </w:r>
      <w:r w:rsidR="08163013">
        <w:rPr>
          <w:i/>
        </w:rPr>
        <w:instrText xml:space="preserve">High </w:instrText>
      </w:r>
      <w:r w:rsidR="08163013" w:rsidRPr="005E58B3">
        <w:rPr>
          <w:i/>
        </w:rPr>
        <w:instrText>Frequency Trading</w:instrText>
      </w:r>
      <w:r w:rsidR="08163013">
        <w:instrText xml:space="preserve">" </w:instrText>
      </w:r>
      <w:r w:rsidR="08163013">
        <w:rPr>
          <w:i/>
        </w:rPr>
        <w:fldChar w:fldCharType="end"/>
      </w:r>
      <w:r w:rsidR="08163013">
        <w:t xml:space="preserve"> a s nimi spojené burzovní či kapitálové spekulace ukazují, že jádro nihilistického ekonomismu v epoše neoliberálních spekulací tvoří pouze matematická </w:t>
      </w:r>
      <w:r w:rsidR="08163013">
        <w:lastRenderedPageBreak/>
        <w:t xml:space="preserve">abstrakce a </w:t>
      </w:r>
      <w:r w:rsidR="009212CF">
        <w:t xml:space="preserve">téměř </w:t>
      </w:r>
      <w:r w:rsidR="08163013">
        <w:t>žádná reálná ekonomická hodnota.</w:t>
      </w:r>
      <w:r w:rsidR="08163013" w:rsidRPr="00AA4321">
        <w:rPr>
          <w:bCs/>
        </w:rPr>
        <w:t xml:space="preserve"> </w:t>
      </w:r>
      <w:r w:rsidR="08163013">
        <w:rPr>
          <w:bCs/>
        </w:rPr>
        <w:t xml:space="preserve">Tento vulgární neoliberální </w:t>
      </w:r>
      <w:r w:rsidR="08163013">
        <w:t>nihilismus daný v rámci pravdy jako univerzální rovnosti algoritmů (</w:t>
      </w:r>
      <w:r w:rsidR="08163013" w:rsidRPr="00393878">
        <w:rPr>
          <w:i/>
        </w:rPr>
        <w:t>coaequatio</w:t>
      </w:r>
      <w:r w:rsidR="08163013">
        <w:rPr>
          <w:i/>
        </w:rPr>
        <w:fldChar w:fldCharType="begin"/>
      </w:r>
      <w:r w:rsidR="08163013">
        <w:instrText xml:space="preserve"> XE "pravda:</w:instrText>
      </w:r>
      <w:r w:rsidR="08163013" w:rsidRPr="00E11E1F">
        <w:rPr>
          <w:i/>
        </w:rPr>
        <w:instrText>coaequatio</w:instrText>
      </w:r>
      <w:r w:rsidR="08163013">
        <w:instrText xml:space="preserve">" </w:instrText>
      </w:r>
      <w:r w:rsidR="08163013">
        <w:rPr>
          <w:i/>
        </w:rPr>
        <w:fldChar w:fldCharType="end"/>
      </w:r>
      <w:r w:rsidR="08163013">
        <w:t>) vytváří v modu Rufusovy pravdy nové simulákrum</w:t>
      </w:r>
      <w:r w:rsidR="08163013">
        <w:fldChar w:fldCharType="begin"/>
      </w:r>
      <w:r w:rsidR="08163013">
        <w:instrText xml:space="preserve"> XE "</w:instrText>
      </w:r>
      <w:r w:rsidR="08163013" w:rsidRPr="00122EDD">
        <w:instrText>simulákrum</w:instrText>
      </w:r>
      <w:r w:rsidR="08163013">
        <w:instrText xml:space="preserve">" </w:instrText>
      </w:r>
      <w:r w:rsidR="08163013">
        <w:fldChar w:fldCharType="end"/>
      </w:r>
      <w:r w:rsidR="00F5387C">
        <w:t xml:space="preserve">. To je </w:t>
      </w:r>
      <w:r w:rsidR="08163013">
        <w:t xml:space="preserve">tvořené globálním </w:t>
      </w:r>
      <w:r w:rsidR="00F5387C">
        <w:t xml:space="preserve">informačním monopolem </w:t>
      </w:r>
      <w:r w:rsidR="08AE27F1">
        <w:rPr>
          <w:i/>
          <w:szCs w:val="24"/>
          <w:lang w:val="de-DE"/>
        </w:rPr>
        <w:fldChar w:fldCharType="begin"/>
      </w:r>
      <w:r w:rsidR="08AE27F1">
        <w:instrText xml:space="preserve"> XE "</w:instrText>
      </w:r>
      <w:r w:rsidR="08AE27F1" w:rsidRPr="081942A4">
        <w:rPr>
          <w:i/>
          <w:szCs w:val="24"/>
        </w:rPr>
        <w:instrText>informatio</w:instrText>
      </w:r>
      <w:r w:rsidR="08AE27F1">
        <w:instrText xml:space="preserve">" </w:instrText>
      </w:r>
      <w:r w:rsidR="08AE27F1">
        <w:rPr>
          <w:i/>
          <w:szCs w:val="24"/>
          <w:lang w:val="de-DE"/>
        </w:rPr>
        <w:fldChar w:fldCharType="end"/>
      </w:r>
      <w:r w:rsidR="08AE27F1" w:rsidRPr="081942A4">
        <w:rPr>
          <w:i/>
          <w:szCs w:val="24"/>
        </w:rPr>
        <w:t xml:space="preserve"> </w:t>
      </w:r>
      <w:r w:rsidR="08163013">
        <w:t xml:space="preserve">korporátních digitálních simuláker. Schizofrenický subjekt současnosti vytváří </w:t>
      </w:r>
      <w:r w:rsidR="0078359B">
        <w:t>paranoickou</w:t>
      </w:r>
      <w:r w:rsidR="08163013">
        <w:t xml:space="preserve"> </w:t>
      </w:r>
      <w:r w:rsidR="0078359B">
        <w:t xml:space="preserve">formu </w:t>
      </w:r>
      <w:r w:rsidR="08163013">
        <w:t>peněz jako virtuálního dluhu</w:t>
      </w:r>
      <w:r w:rsidR="0078359B">
        <w:t xml:space="preserve">. Pak </w:t>
      </w:r>
      <w:r w:rsidR="08163013">
        <w:t xml:space="preserve">provádí planetární znehodnocování všeho, co nemá objektivní formu matematického </w:t>
      </w:r>
      <w:r w:rsidR="08163013" w:rsidRPr="00B579AB">
        <w:rPr>
          <w:i/>
        </w:rPr>
        <w:t>scibile</w:t>
      </w:r>
      <w:r w:rsidR="000E37C4">
        <w:t xml:space="preserve"> a </w:t>
      </w:r>
      <w:r w:rsidR="001E3A30">
        <w:t xml:space="preserve">hodnotu </w:t>
      </w:r>
      <w:r w:rsidR="000E37C4">
        <w:t>příslušné dluhové emise</w:t>
      </w:r>
      <w:r w:rsidR="08163013">
        <w:t xml:space="preserve">. Globální gambling s neexistující budoucností znehodnotil ekonomické hodnoty. Sofistické slovo modernistů přestalo být virtuálním tělem jako za časů </w:t>
      </w:r>
      <w:r w:rsidR="08163013" w:rsidRPr="00056B93">
        <w:rPr>
          <w:i/>
        </w:rPr>
        <w:t>Oxfordian Fallacy</w:t>
      </w:r>
      <w:r w:rsidR="08163013">
        <w:rPr>
          <w:i/>
        </w:rPr>
        <w:fldChar w:fldCharType="begin"/>
      </w:r>
      <w:r w:rsidR="08163013">
        <w:instrText xml:space="preserve"> XE "</w:instrText>
      </w:r>
      <w:r w:rsidR="08163013" w:rsidRPr="0015798D">
        <w:rPr>
          <w:i/>
        </w:rPr>
        <w:instrText>Oxfordian Fallacy:</w:instrText>
      </w:r>
      <w:r w:rsidR="08163013" w:rsidRPr="00652C93">
        <w:instrText>korporátní</w:instrText>
      </w:r>
      <w:r w:rsidR="08163013">
        <w:rPr>
          <w:i/>
        </w:rPr>
        <w:instrText xml:space="preserve"> </w:instrText>
      </w:r>
      <w:r w:rsidR="08163013">
        <w:instrText xml:space="preserve">kapitalismus" </w:instrText>
      </w:r>
      <w:r w:rsidR="08163013">
        <w:rPr>
          <w:i/>
        </w:rPr>
        <w:fldChar w:fldCharType="end"/>
      </w:r>
      <w:r w:rsidR="08163013">
        <w:t xml:space="preserve"> a stalo se pouhým binárním rozdílem mezi jedničkou a nulou. </w:t>
      </w:r>
      <w:r w:rsidR="08163013">
        <w:rPr>
          <w:bCs/>
        </w:rPr>
        <w:t xml:space="preserve">Postmoderní a nihilistická forma moderního myšlení </w:t>
      </w:r>
      <w:r w:rsidR="00C62C4C">
        <w:rPr>
          <w:bCs/>
        </w:rPr>
        <w:t xml:space="preserve">tím </w:t>
      </w:r>
      <w:proofErr w:type="gramStart"/>
      <w:r w:rsidR="08163013">
        <w:rPr>
          <w:bCs/>
        </w:rPr>
        <w:t>dostala odpovídají</w:t>
      </w:r>
      <w:proofErr w:type="gramEnd"/>
      <w:r w:rsidR="08163013">
        <w:rPr>
          <w:bCs/>
        </w:rPr>
        <w:t xml:space="preserve"> </w:t>
      </w:r>
      <w:r w:rsidR="08163013" w:rsidRPr="00146CFE">
        <w:rPr>
          <w:bCs/>
          <w:i/>
        </w:rPr>
        <w:t>dativus finalis</w:t>
      </w:r>
      <w:r w:rsidR="08163013">
        <w:rPr>
          <w:bCs/>
          <w:i/>
        </w:rPr>
        <w:fldChar w:fldCharType="begin"/>
      </w:r>
      <w:r w:rsidR="08163013">
        <w:instrText xml:space="preserve"> XE "</w:instrText>
      </w:r>
      <w:r w:rsidR="08163013" w:rsidRPr="008729B1">
        <w:rPr>
          <w:i/>
          <w:iCs/>
        </w:rPr>
        <w:instrText>dativus finalis</w:instrText>
      </w:r>
      <w:r w:rsidR="08163013">
        <w:instrText xml:space="preserve">" </w:instrText>
      </w:r>
      <w:r w:rsidR="08163013">
        <w:rPr>
          <w:bCs/>
          <w:i/>
        </w:rPr>
        <w:fldChar w:fldCharType="end"/>
      </w:r>
      <w:r w:rsidR="08163013">
        <w:rPr>
          <w:bCs/>
        </w:rPr>
        <w:t xml:space="preserve">. </w:t>
      </w:r>
      <w:r w:rsidR="08163013">
        <w:t>Korporátní logos jednoho demiurgického procenta planetárních vyvolených se plně zrcadlí v odcizené formě vědomí zbylých 99 procent. Toto matematicky a ekonomicky zhodnocené individuum zvané „lidské zdroje</w:t>
      </w:r>
      <w:r w:rsidR="08163013">
        <w:fldChar w:fldCharType="begin"/>
      </w:r>
      <w:r w:rsidR="08163013">
        <w:instrText xml:space="preserve"> XE "</w:instrText>
      </w:r>
      <w:r w:rsidR="08163013" w:rsidRPr="005F6A06">
        <w:instrText>osoba:lidské zdroje</w:instrText>
      </w:r>
      <w:r w:rsidR="08163013">
        <w:instrText xml:space="preserve">" </w:instrText>
      </w:r>
      <w:r w:rsidR="08163013">
        <w:fldChar w:fldCharType="end"/>
      </w:r>
      <w:r w:rsidR="08163013">
        <w:t xml:space="preserve">“ vznikne po porretánském dělení kapitálu provedeném až </w:t>
      </w:r>
      <w:r w:rsidR="0017468C">
        <w:t>k úplné nule. Lidské zdroje jsou d</w:t>
      </w:r>
      <w:r w:rsidR="08163013">
        <w:t>ané biologickou reprodukcí</w:t>
      </w:r>
      <w:r w:rsidR="0017468C">
        <w:t xml:space="preserve"> a manipulací</w:t>
      </w:r>
      <w:r w:rsidR="08163013">
        <w:t xml:space="preserve"> tzv. „pracovní síly“ nyní chápané zcela globálně. </w:t>
      </w:r>
    </w:p>
    <w:p w:rsidR="08262E74" w:rsidRDefault="00161AAD" w:rsidP="00BB22B7">
      <w:pPr>
        <w:ind w:firstLine="397"/>
      </w:pPr>
      <w:r w:rsidRPr="00161AAD">
        <w:t>Augustin a po něm Bonaventura popsali modernost pomocí pojmu</w:t>
      </w:r>
      <w:r>
        <w:t xml:space="preserve"> aktivního „</w:t>
      </w:r>
      <w:r w:rsidRPr="00161AAD">
        <w:rPr>
          <w:i/>
        </w:rPr>
        <w:t>uti</w:t>
      </w:r>
      <w:r>
        <w:t>“ a kontemplativního „</w:t>
      </w:r>
      <w:r w:rsidRPr="00161AAD">
        <w:rPr>
          <w:i/>
        </w:rPr>
        <w:t>frui</w:t>
      </w:r>
      <w:r>
        <w:t>“</w:t>
      </w:r>
      <w:r w:rsidRPr="00161AAD">
        <w:t>. Itinerář moderní epochy je podán jako ontoteo</w:t>
      </w:r>
      <w:r>
        <w:t>logická verze platónské anamnesis</w:t>
      </w:r>
      <w:r w:rsidRPr="00161AAD">
        <w:t>. Moderní mysl, duše, vědomí, kapitál či postmoderní evoluce dokončí</w:t>
      </w:r>
      <w:r>
        <w:t xml:space="preserve"> svůj utilitární pohyb v rámci „</w:t>
      </w:r>
      <w:r w:rsidRPr="00161AAD">
        <w:rPr>
          <w:i/>
        </w:rPr>
        <w:t>uti</w:t>
      </w:r>
      <w:r>
        <w:t>“</w:t>
      </w:r>
      <w:r w:rsidRPr="00161AAD">
        <w:t>. Démonicky produktivní modernita pak bude v eschatologický sedmý den, poté co dokončí svou práci, odpočívat v rajské nečinnosti zasloužené</w:t>
      </w:r>
      <w:r>
        <w:t>ho „</w:t>
      </w:r>
      <w:r w:rsidRPr="00161AAD">
        <w:rPr>
          <w:i/>
        </w:rPr>
        <w:t>frui</w:t>
      </w:r>
      <w:r>
        <w:t>“</w:t>
      </w:r>
      <w:r w:rsidRPr="00161AAD">
        <w:t xml:space="preserve">. Konečně sedmého dne obdrží poslední generace modernistů eschatologickou odměnu a uskuteční tak nihilistické </w:t>
      </w:r>
      <w:r w:rsidRPr="00161AAD">
        <w:rPr>
          <w:i/>
        </w:rPr>
        <w:t>itinerarium mentis</w:t>
      </w:r>
      <w:r w:rsidRPr="00161AAD">
        <w:t xml:space="preserve">, které mystický Bonaventura zahájil duchovním založením kapitalismu. Absolutní objektivita konečně </w:t>
      </w:r>
      <w:r>
        <w:t>vy</w:t>
      </w:r>
      <w:r w:rsidRPr="00161AAD">
        <w:t xml:space="preserve">řeší pohyb moderního ducha regulovaný Hegelovou </w:t>
      </w:r>
      <w:r w:rsidRPr="00161AAD">
        <w:rPr>
          <w:i/>
        </w:rPr>
        <w:t>Phänomenologie des Geistes</w:t>
      </w:r>
      <w:r w:rsidRPr="00161AAD">
        <w:t xml:space="preserve"> a pohyb odcizené práce regulovaný Marxovým </w:t>
      </w:r>
      <w:r w:rsidRPr="00161AAD">
        <w:rPr>
          <w:i/>
        </w:rPr>
        <w:t>Das Kapital</w:t>
      </w:r>
      <w:r w:rsidRPr="00161AAD">
        <w:t xml:space="preserve">. Sekulárně zachráněná modernita </w:t>
      </w:r>
      <w:r w:rsidR="00BB22B7">
        <w:t xml:space="preserve">pak bude </w:t>
      </w:r>
      <w:r w:rsidRPr="00161AAD">
        <w:t>s nezbytnou jistotou a evidencí</w:t>
      </w:r>
      <w:r w:rsidR="00BB22B7">
        <w:fldChar w:fldCharType="begin"/>
      </w:r>
      <w:r w:rsidR="00BB22B7">
        <w:instrText xml:space="preserve"> XE "</w:instrText>
      </w:r>
      <w:r w:rsidR="00BB22B7" w:rsidRPr="004D79A7">
        <w:instrText>evidence:</w:instrText>
      </w:r>
      <w:r w:rsidR="00BB22B7">
        <w:instrText xml:space="preserve">postmoderna" </w:instrText>
      </w:r>
      <w:r w:rsidR="00BB22B7">
        <w:fldChar w:fldCharType="end"/>
      </w:r>
      <w:r w:rsidRPr="00161AAD">
        <w:t xml:space="preserve"> </w:t>
      </w:r>
      <w:r w:rsidR="00BB22B7">
        <w:t xml:space="preserve">kontemplovat </w:t>
      </w:r>
      <w:r w:rsidRPr="00161AAD">
        <w:t xml:space="preserve">sebe sama v objektivním zrcadle, které vytváří nové absolutní myšlení a ekonomicky neodcizená práce. </w:t>
      </w:r>
      <w:r w:rsidR="08163013">
        <w:t>Nový člověk třetího druhu vytvořený Foucaultový</w:t>
      </w:r>
      <w:r w:rsidR="00E355E6">
        <w:t xml:space="preserve">m diferenciálním humanismem reguluje </w:t>
      </w:r>
      <w:r w:rsidR="08163013" w:rsidRPr="00273106">
        <w:t>příslušn</w:t>
      </w:r>
      <w:r w:rsidR="08163013">
        <w:t xml:space="preserve">ý </w:t>
      </w:r>
      <w:r w:rsidR="08163013" w:rsidRPr="00273106">
        <w:t xml:space="preserve">systém </w:t>
      </w:r>
      <w:r w:rsidR="00E355E6">
        <w:t>klasifikací</w:t>
      </w:r>
      <w:r w:rsidR="08163013">
        <w:t xml:space="preserve"> vztažený</w:t>
      </w:r>
      <w:r w:rsidR="08163013" w:rsidRPr="00273106">
        <w:t xml:space="preserve"> n</w:t>
      </w:r>
      <w:r w:rsidR="08163013">
        <w:t>a celek jsoucího determinovaný</w:t>
      </w:r>
      <w:r w:rsidR="08262E74">
        <w:t xml:space="preserve"> v rámci demiurgické produkce. </w:t>
      </w:r>
      <w:r w:rsidR="08163013">
        <w:t>Mentální odysea moderního subjektu nejprve vytvořila novou</w:t>
      </w:r>
      <w:r w:rsidR="08163013" w:rsidRPr="00273106">
        <w:t xml:space="preserve"> </w:t>
      </w:r>
      <w:r w:rsidR="08163013" w:rsidRPr="00273106">
        <w:lastRenderedPageBreak/>
        <w:t>struktur</w:t>
      </w:r>
      <w:r w:rsidR="08163013">
        <w:t xml:space="preserve">u </w:t>
      </w:r>
      <w:r w:rsidR="08163013" w:rsidRPr="00273106">
        <w:t>metafyziky</w:t>
      </w:r>
      <w:r w:rsidR="08163013">
        <w:t xml:space="preserve"> a ve věku metafyzického nihilismu hlásá i její zrušení skrze digitalizovanou materii třetího druhu. P</w:t>
      </w:r>
      <w:r w:rsidR="08163013" w:rsidRPr="00273106">
        <w:t xml:space="preserve">řírodní vědy v dokonané </w:t>
      </w:r>
      <w:r w:rsidR="08163013" w:rsidRPr="00273106">
        <w:rPr>
          <w:i/>
        </w:rPr>
        <w:t>Oxfordian Fallacy</w:t>
      </w:r>
      <w:r w:rsidR="08163013" w:rsidRPr="00273106">
        <w:t xml:space="preserve"> </w:t>
      </w:r>
      <w:r w:rsidR="08163013">
        <w:t>se konečně staly</w:t>
      </w:r>
      <w:r w:rsidR="08163013" w:rsidRPr="00273106">
        <w:t xml:space="preserve"> opravdovým spekulativním </w:t>
      </w:r>
      <w:r w:rsidR="08163013">
        <w:t xml:space="preserve">prvním </w:t>
      </w:r>
      <w:r w:rsidR="08163013" w:rsidRPr="00273106">
        <w:t>věděním</w:t>
      </w:r>
      <w:r w:rsidR="08163013">
        <w:t xml:space="preserve">. Fúrie se naučily vědeckou abecedu </w:t>
      </w:r>
      <w:r w:rsidR="08163013" w:rsidRPr="001A1391">
        <w:rPr>
          <w:i/>
        </w:rPr>
        <w:t>cognitive neuroscience</w:t>
      </w:r>
      <w:r w:rsidR="08163013" w:rsidRPr="00273106">
        <w:t xml:space="preserve"> </w:t>
      </w:r>
      <w:r w:rsidR="08163013">
        <w:t xml:space="preserve">a zrušily nakonec i </w:t>
      </w:r>
      <w:r w:rsidR="08163013" w:rsidRPr="00273106">
        <w:t>objektivně nespolehlivou filosofii</w:t>
      </w:r>
      <w:r w:rsidR="08163013">
        <w:rPr>
          <w:i/>
        </w:rPr>
        <w:fldChar w:fldCharType="begin"/>
      </w:r>
      <w:r w:rsidR="08163013">
        <w:instrText xml:space="preserve"> XE "</w:instrText>
      </w:r>
      <w:r w:rsidR="08163013" w:rsidRPr="005A45C2">
        <w:rPr>
          <w:i/>
        </w:rPr>
        <w:instrText>cognitive neuroscience</w:instrText>
      </w:r>
      <w:r w:rsidR="08163013">
        <w:instrText xml:space="preserve">" </w:instrText>
      </w:r>
      <w:r w:rsidR="08163013">
        <w:rPr>
          <w:i/>
        </w:rPr>
        <w:fldChar w:fldCharType="end"/>
      </w:r>
      <w:r w:rsidR="08163013" w:rsidRPr="00273106">
        <w:t>.</w:t>
      </w:r>
    </w:p>
    <w:p w:rsidR="08163013" w:rsidRPr="08262E74" w:rsidRDefault="08163013" w:rsidP="003E3E1E"/>
    <w:p w:rsidR="08163013" w:rsidRPr="00273106" w:rsidRDefault="08C8030C" w:rsidP="08163013">
      <w:pPr>
        <w:pStyle w:val="Nadpis2"/>
      </w:pPr>
      <w:bookmarkStart w:id="15" w:name="_Toc36144136"/>
      <w:r>
        <w:rPr>
          <w:lang w:val="cs-CZ"/>
        </w:rPr>
        <w:br w:type="page"/>
      </w:r>
      <w:bookmarkStart w:id="16" w:name="_Toc180231648"/>
      <w:r w:rsidR="08163013">
        <w:rPr>
          <w:lang w:val="cs-CZ"/>
        </w:rPr>
        <w:lastRenderedPageBreak/>
        <w:t>4</w:t>
      </w:r>
      <w:r w:rsidR="08163013" w:rsidRPr="00273106">
        <w:t xml:space="preserve">.2 Objektivní struktura jsoucna (John </w:t>
      </w:r>
      <w:r w:rsidR="08163013">
        <w:t>Pecham</w:t>
      </w:r>
      <w:r w:rsidR="08163013" w:rsidRPr="00273106">
        <w:t>)</w:t>
      </w:r>
      <w:bookmarkEnd w:id="15"/>
      <w:bookmarkEnd w:id="16"/>
      <w:r w:rsidR="08163013" w:rsidRPr="00273106">
        <w:t xml:space="preserve"> </w:t>
      </w:r>
    </w:p>
    <w:p w:rsidR="00A260DF" w:rsidRDefault="003E3E1E" w:rsidP="08163013">
      <w:pPr>
        <w:rPr>
          <w:rStyle w:val="Zvraznn"/>
          <w:i w:val="0"/>
        </w:rPr>
      </w:pPr>
      <w:r>
        <w:t xml:space="preserve">Bonaventura na konci života prorocky viděl, že filosofické omyly a sofismata, které aktivně pomáhal vytvořit, vedou modernu do apokalyptického období historie Západu. Akademický zakladatel moderny na Pařížské univerzitě se stal prominentní obětí Freudova obranného mechanismu </w:t>
      </w:r>
      <w:r w:rsidRPr="00622D11">
        <w:rPr>
          <w:rStyle w:val="Zvraznn"/>
        </w:rPr>
        <w:t>Verkehrung ins Gegenteil</w:t>
      </w:r>
      <w:r>
        <w:rPr>
          <w:rStyle w:val="Zvraznn"/>
        </w:rPr>
        <w:fldChar w:fldCharType="begin"/>
      </w:r>
      <w:r>
        <w:instrText xml:space="preserve"> XE "</w:instrText>
      </w:r>
      <w:r w:rsidRPr="0089394E">
        <w:rPr>
          <w:rStyle w:val="Zvraznn"/>
        </w:rPr>
        <w:instrText>Verkehrung ins Gegenteil</w:instrText>
      </w:r>
      <w:r>
        <w:instrText xml:space="preserve">" </w:instrText>
      </w:r>
      <w:r>
        <w:rPr>
          <w:rStyle w:val="Zvraznn"/>
        </w:rPr>
        <w:fldChar w:fldCharType="end"/>
      </w:r>
      <w:r>
        <w:rPr>
          <w:rStyle w:val="Zvraznn"/>
          <w:i w:val="0"/>
        </w:rPr>
        <w:t>. E</w:t>
      </w:r>
      <w:r>
        <w:t>pochální om</w:t>
      </w:r>
      <w:r w:rsidR="00BE6639">
        <w:t>yl pařížských akademických iluminátů</w:t>
      </w:r>
      <w:r>
        <w:t xml:space="preserve"> byl v tom, že </w:t>
      </w:r>
      <w:r>
        <w:rPr>
          <w:rStyle w:val="Zvraznn"/>
          <w:i w:val="0"/>
        </w:rPr>
        <w:t>sofisticky připsal</w:t>
      </w:r>
      <w:r w:rsidR="00BE6639">
        <w:rPr>
          <w:rStyle w:val="Zvraznn"/>
          <w:i w:val="0"/>
        </w:rPr>
        <w:t>i</w:t>
      </w:r>
      <w:r>
        <w:rPr>
          <w:rStyle w:val="Zvraznn"/>
          <w:i w:val="0"/>
        </w:rPr>
        <w:t xml:space="preserve"> temnotu rozumu myslitelům prvního averroismu. Anti</w:t>
      </w:r>
      <w:r>
        <w:rPr>
          <w:rStyle w:val="Zvraznn"/>
          <w:i w:val="0"/>
        </w:rPr>
        <w:noBreakHyphen/>
        <w:t xml:space="preserve">modernisté prohráli zápas s historicky danou akademickou a církevní mocí, nikoliv s dějinně ustaveným rozumem a pravdou. Moderna neměla akademickou šanci na Pařížské univerzitě do roku 1255, kdy vznikla nová katedra mendikantských řádů. Pak se situace radikálně změnila, mimo jiné i oficiálním útokem modernistů na Averroese. Kritičtí aristotelikové jako </w:t>
      </w:r>
      <w:r>
        <w:t>Guillelmus</w:t>
      </w:r>
      <w:r w:rsidRPr="00052A0E">
        <w:t xml:space="preserve"> de Sancto Amore</w:t>
      </w:r>
      <w:r>
        <w:fldChar w:fldCharType="begin"/>
      </w:r>
      <w:r>
        <w:instrText xml:space="preserve"> XE "</w:instrText>
      </w:r>
      <w:r w:rsidRPr="003B256A">
        <w:instrText xml:space="preserve"> </w:instrText>
      </w:r>
      <w:r>
        <w:instrText>Guillelmus</w:instrText>
      </w:r>
      <w:r w:rsidRPr="00E51395">
        <w:instrText xml:space="preserve"> de Sancto Amore</w:instrText>
      </w:r>
      <w:r>
        <w:instrText xml:space="preserve">" </w:instrText>
      </w:r>
      <w:r>
        <w:fldChar w:fldCharType="end"/>
      </w:r>
      <w:r>
        <w:rPr>
          <w:rStyle w:val="Zvraznn"/>
          <w:i w:val="0"/>
        </w:rPr>
        <w:t xml:space="preserve"> se tento vývoj snažili na Pařížské univerzitě zastavit, ale ve druhém kole sporu daném roku 1255 už neuspěli (OBJ II, kap. 3.3.2). Klasická filosofie a jednota osoby byla položena na obětní oltář sofistické moderny po obětavém zápase za pravdu první substance. Jejich artističtí nástupci v Rue du Fouarre známí podle vůdčí role Sigera z Brabantu jako Sigerovci (</w:t>
      </w:r>
      <w:r w:rsidRPr="00AB25DF">
        <w:rPr>
          <w:rStyle w:val="Zvraznn"/>
        </w:rPr>
        <w:t>pars Sigeri</w:t>
      </w:r>
      <w:r>
        <w:rPr>
          <w:rStyle w:val="Zvraznn"/>
          <w:i w:val="0"/>
        </w:rPr>
        <w:fldChar w:fldCharType="begin"/>
      </w:r>
      <w:r>
        <w:instrText xml:space="preserve"> XE "</w:instrText>
      </w:r>
      <w:r>
        <w:rPr>
          <w:rStyle w:val="Zvraznn"/>
          <w:i w:val="0"/>
        </w:rPr>
        <w:instrText>pr</w:instrText>
      </w:r>
      <w:r w:rsidRPr="00D95B1D">
        <w:rPr>
          <w:rStyle w:val="Zvraznn"/>
          <w:i w:val="0"/>
        </w:rPr>
        <w:instrText>vní averroismus:</w:instrText>
      </w:r>
      <w:r w:rsidRPr="0084029F">
        <w:rPr>
          <w:rStyle w:val="Zvraznn"/>
        </w:rPr>
        <w:instrText>pars Sigeri</w:instrText>
      </w:r>
      <w:r>
        <w:instrText xml:space="preserve">" </w:instrText>
      </w:r>
      <w:r>
        <w:rPr>
          <w:rStyle w:val="Zvraznn"/>
          <w:i w:val="0"/>
        </w:rPr>
        <w:fldChar w:fldCharType="end"/>
      </w:r>
      <w:r>
        <w:rPr>
          <w:rStyle w:val="Zvraznn"/>
          <w:i w:val="0"/>
        </w:rPr>
        <w:t xml:space="preserve">) byli mocensky poraženi ve třetím rozhodujícím kole roku 1277. Tito kritičtí myslitelé a povoláním filosofové prohráli s moderními sofisty pouze mocensky, nikoliv filosoficky. Proto mají v nově vyložené gigantomachii o substanci nárok na plnou filosofickou rehabilitaci v modu pravdy jako </w:t>
      </w:r>
      <w:r w:rsidRPr="00AB53C6">
        <w:rPr>
          <w:rStyle w:val="Zvraznn"/>
        </w:rPr>
        <w:t>alétheia</w:t>
      </w:r>
      <w:r>
        <w:rPr>
          <w:rStyle w:val="Zvraznn"/>
        </w:rPr>
        <w:t xml:space="preserve">. </w:t>
      </w:r>
      <w:r>
        <w:rPr>
          <w:rStyle w:val="Zvraznn"/>
          <w:i w:val="0"/>
        </w:rPr>
        <w:t>Na plnou filosofickou a církevní rehabilitaci teprve čekají.</w:t>
      </w:r>
    </w:p>
    <w:p w:rsidR="002D54E6" w:rsidRDefault="08163013" w:rsidP="00A260DF">
      <w:pPr>
        <w:ind w:firstLine="397"/>
      </w:pPr>
      <w:r w:rsidRPr="00273106">
        <w:t xml:space="preserve">Serafínský učitel rozvrhl </w:t>
      </w:r>
      <w:r>
        <w:t xml:space="preserve">objektivní </w:t>
      </w:r>
      <w:r w:rsidRPr="00273106">
        <w:t xml:space="preserve">křesťanskou filosofii přirozena a </w:t>
      </w:r>
      <w:r>
        <w:t xml:space="preserve">objektivního </w:t>
      </w:r>
      <w:r w:rsidRPr="00273106">
        <w:t>nadpřirozena</w:t>
      </w:r>
      <w:r>
        <w:t xml:space="preserve"> ve dvou patrech</w:t>
      </w:r>
      <w:r w:rsidR="00776331">
        <w:t xml:space="preserve">. Tím </w:t>
      </w:r>
      <w:r>
        <w:t>z</w:t>
      </w:r>
      <w:r w:rsidRPr="00273106">
        <w:t xml:space="preserve">aložil </w:t>
      </w:r>
      <w:r w:rsidR="00776331" w:rsidRPr="00273106">
        <w:t xml:space="preserve">vztah </w:t>
      </w:r>
      <w:r w:rsidR="00776331">
        <w:t>„</w:t>
      </w:r>
      <w:proofErr w:type="gramStart"/>
      <w:r w:rsidRPr="00273106">
        <w:t>subjekt</w:t>
      </w:r>
      <w:proofErr w:type="gramEnd"/>
      <w:r w:rsidR="00776331">
        <w:t>–</w:t>
      </w:r>
      <w:proofErr w:type="gramStart"/>
      <w:r w:rsidRPr="00273106">
        <w:t>objekt</w:t>
      </w:r>
      <w:proofErr w:type="gramEnd"/>
      <w:r w:rsidR="00776331">
        <w:t xml:space="preserve">“ </w:t>
      </w:r>
      <w:r w:rsidRPr="00273106">
        <w:t xml:space="preserve">v rámci první ontoteologie </w:t>
      </w:r>
      <w:r>
        <w:t xml:space="preserve">demiurgické </w:t>
      </w:r>
      <w:r w:rsidRPr="00273106">
        <w:t>vůle</w:t>
      </w:r>
      <w:r>
        <w:t>. Bonaventura jako církevní učitel a kazatel veřejně f</w:t>
      </w:r>
      <w:r w:rsidRPr="00273106">
        <w:t>ormuloval řadu sporných</w:t>
      </w:r>
      <w:r>
        <w:t xml:space="preserve"> tvrzení ohledně Komentátorovy filosofie</w:t>
      </w:r>
      <w:r w:rsidRPr="00273106">
        <w:t xml:space="preserve">, </w:t>
      </w:r>
      <w:r>
        <w:t xml:space="preserve">z nichž Ernest </w:t>
      </w:r>
      <w:r w:rsidRPr="00273106">
        <w:t>Renan</w:t>
      </w:r>
      <w:r>
        <w:fldChar w:fldCharType="begin"/>
      </w:r>
      <w:r>
        <w:instrText xml:space="preserve"> XE "</w:instrText>
      </w:r>
      <w:r w:rsidRPr="0033182D">
        <w:instrText>Renan, E.</w:instrText>
      </w:r>
      <w:r>
        <w:instrText xml:space="preserve">" </w:instrText>
      </w:r>
      <w:r>
        <w:fldChar w:fldCharType="end"/>
      </w:r>
      <w:r w:rsidRPr="00273106">
        <w:t xml:space="preserve"> </w:t>
      </w:r>
      <w:r>
        <w:t xml:space="preserve">vytvořil </w:t>
      </w:r>
      <w:r w:rsidR="08C14E05">
        <w:t xml:space="preserve">v 19. století </w:t>
      </w:r>
      <w:r>
        <w:t xml:space="preserve">postmoderní simulákrum </w:t>
      </w:r>
      <w:r w:rsidR="08C14E05">
        <w:t>tzv. „</w:t>
      </w:r>
      <w:r>
        <w:t>averroismu</w:t>
      </w:r>
      <w:r w:rsidR="08C14E05">
        <w:t>“</w:t>
      </w:r>
      <w:r w:rsidRPr="00273106">
        <w:t>. Herkulovo dílo založení objektivity bylo úspěšně vykonáno. Nástupcům Bonaventury zbyla nelehká úloha, jak věrohodně obhájit tento rozporný hybrid</w:t>
      </w:r>
      <w:r>
        <w:t xml:space="preserve"> první moderny</w:t>
      </w:r>
      <w:r w:rsidRPr="00273106">
        <w:t xml:space="preserve">. </w:t>
      </w:r>
      <w:r>
        <w:t>S</w:t>
      </w:r>
      <w:r w:rsidRPr="00273106">
        <w:t xml:space="preserve">ystematizace </w:t>
      </w:r>
      <w:r>
        <w:t xml:space="preserve">nové ontoteologie odkryla okolo roku 1255 zásadní metafyzické </w:t>
      </w:r>
      <w:r w:rsidRPr="00273106">
        <w:t>rozpory, kt</w:t>
      </w:r>
      <w:r>
        <w:t xml:space="preserve">eré obsahovala nová nauka </w:t>
      </w:r>
      <w:r w:rsidRPr="0880010B">
        <w:rPr>
          <w:i/>
        </w:rPr>
        <w:t>Modernorum</w:t>
      </w:r>
      <w:r w:rsidRPr="00273106">
        <w:t>.</w:t>
      </w:r>
      <w:r>
        <w:t xml:space="preserve"> </w:t>
      </w:r>
      <w:r w:rsidRPr="00273106">
        <w:t>Siger</w:t>
      </w:r>
      <w:r>
        <w:t xml:space="preserve">ova škola a částečně i avicennista Akvinský </w:t>
      </w:r>
      <w:r w:rsidRPr="00273106">
        <w:t xml:space="preserve">převzali </w:t>
      </w:r>
      <w:r>
        <w:t xml:space="preserve">po roce 1255 </w:t>
      </w:r>
      <w:r w:rsidRPr="00273106">
        <w:t>intelektuá</w:t>
      </w:r>
      <w:r>
        <w:t xml:space="preserve">lní štafetu kritického Bacona, </w:t>
      </w:r>
      <w:proofErr w:type="gramStart"/>
      <w:r w:rsidRPr="00273106">
        <w:t xml:space="preserve">Alberta </w:t>
      </w:r>
      <w:r>
        <w:t xml:space="preserve"> a vyhozených</w:t>
      </w:r>
      <w:proofErr w:type="gramEnd"/>
      <w:r>
        <w:t xml:space="preserve"> magistrů z Rue du Fouarre</w:t>
      </w:r>
      <w:r w:rsidRPr="00273106">
        <w:t>.</w:t>
      </w:r>
      <w:r>
        <w:t xml:space="preserve"> Pecham</w:t>
      </w:r>
      <w:r w:rsidRPr="00273106">
        <w:t>, Aquaspart</w:t>
      </w:r>
      <w:r>
        <w:t>a</w:t>
      </w:r>
      <w:r w:rsidRPr="00273106">
        <w:t xml:space="preserve">, Olivi a </w:t>
      </w:r>
      <w:r>
        <w:t xml:space="preserve">další museli odstranit </w:t>
      </w:r>
      <w:r w:rsidRPr="00273106">
        <w:t xml:space="preserve">největší rozpory </w:t>
      </w:r>
      <w:r>
        <w:t>v nauce</w:t>
      </w:r>
      <w:r w:rsidRPr="00273106">
        <w:t xml:space="preserve"> </w:t>
      </w:r>
      <w:r w:rsidRPr="002F2663">
        <w:rPr>
          <w:i/>
        </w:rPr>
        <w:t>Modernorum</w:t>
      </w:r>
      <w:r>
        <w:t xml:space="preserve">. </w:t>
      </w:r>
      <w:r>
        <w:lastRenderedPageBreak/>
        <w:t xml:space="preserve">Toto druhé a poslední kolo </w:t>
      </w:r>
      <w:r w:rsidRPr="00273106">
        <w:t xml:space="preserve">sporu </w:t>
      </w:r>
      <w:r>
        <w:t xml:space="preserve">obou škol ukončilo pařížské a oxfordské odsouzení </w:t>
      </w:r>
      <w:r w:rsidRPr="00273106">
        <w:t>1277</w:t>
      </w:r>
      <w:r>
        <w:t>.</w:t>
      </w:r>
      <w:r>
        <w:fldChar w:fldCharType="begin"/>
      </w:r>
      <w:r>
        <w:instrText xml:space="preserve"> XE "</w:instrText>
      </w:r>
      <w:r w:rsidRPr="00D16E66">
        <w:instrText>odsouzení 1277</w:instrText>
      </w:r>
      <w:r>
        <w:instrText xml:space="preserve">" </w:instrText>
      </w:r>
      <w:r>
        <w:fldChar w:fldCharType="end"/>
      </w:r>
      <w:r w:rsidRPr="00273106">
        <w:t xml:space="preserve"> </w:t>
      </w:r>
      <w:r>
        <w:t xml:space="preserve">Primárním úkolem druhé generace modernistů byla harmomizace ontoteologické stavby jsoucna </w:t>
      </w:r>
      <w:r w:rsidRPr="00273106">
        <w:t xml:space="preserve">s </w:t>
      </w:r>
      <w:r>
        <w:t>aristotelismem prvního averroismu</w:t>
      </w:r>
      <w:r w:rsidRPr="00273106">
        <w:t xml:space="preserve">. </w:t>
      </w:r>
      <w:r>
        <w:t xml:space="preserve">Představitelé druhé vlny latinských sofistů </w:t>
      </w:r>
      <w:r w:rsidRPr="00273106">
        <w:t xml:space="preserve">vytvořili z filosofické sofistiky </w:t>
      </w:r>
      <w:r>
        <w:t xml:space="preserve">prvních </w:t>
      </w:r>
      <w:r w:rsidRPr="002211E9">
        <w:rPr>
          <w:i/>
        </w:rPr>
        <w:t>Modernorum</w:t>
      </w:r>
      <w:r>
        <w:t xml:space="preserve"> </w:t>
      </w:r>
      <w:r w:rsidRPr="00273106">
        <w:t>produktivní myšlenkovou cestu Západu</w:t>
      </w:r>
      <w:r>
        <w:t xml:space="preserve">. Hlavní roli v transmutaci kamene porretánských mudrců na objektivní zlato hraje </w:t>
      </w:r>
      <w:r w:rsidRPr="00273106">
        <w:t xml:space="preserve">Bonaventurův </w:t>
      </w:r>
      <w:r>
        <w:t xml:space="preserve">a Kilwardbyho </w:t>
      </w:r>
      <w:r w:rsidRPr="00273106">
        <w:t>žák</w:t>
      </w:r>
      <w:r>
        <w:t>,</w:t>
      </w:r>
      <w:r w:rsidRPr="00273106">
        <w:t xml:space="preserve"> františkán John </w:t>
      </w:r>
      <w:r>
        <w:t>Pecham</w:t>
      </w:r>
      <w:r w:rsidR="00BA7729">
        <w:t xml:space="preserve">. Ten </w:t>
      </w:r>
      <w:r>
        <w:t xml:space="preserve">byl </w:t>
      </w:r>
      <w:r w:rsidRPr="00273106">
        <w:t xml:space="preserve">od </w:t>
      </w:r>
      <w:r>
        <w:t xml:space="preserve">roku </w:t>
      </w:r>
      <w:r w:rsidRPr="00273106">
        <w:t xml:space="preserve">1269 </w:t>
      </w:r>
      <w:r w:rsidRPr="00273106">
        <w:rPr>
          <w:i/>
        </w:rPr>
        <w:t>magister regens</w:t>
      </w:r>
      <w:r w:rsidRPr="00273106">
        <w:t xml:space="preserve"> v Paříži a v Oxfordu, </w:t>
      </w:r>
      <w:r>
        <w:t xml:space="preserve">a pak </w:t>
      </w:r>
      <w:r w:rsidRPr="00273106">
        <w:t xml:space="preserve">arcibiskup v Canterbury </w:t>
      </w:r>
      <w:r>
        <w:t>(1279–</w:t>
      </w:r>
      <w:r w:rsidRPr="00273106">
        <w:t>92</w:t>
      </w:r>
      <w:r>
        <w:t xml:space="preserve">). </w:t>
      </w:r>
      <w:r w:rsidRPr="00273106">
        <w:t>Předešlé analýzy ukázaly, že filosofické pojmy přestaly mít v prvním a ve druhém averroismu shodný význam</w:t>
      </w:r>
      <w:r>
        <w:fldChar w:fldCharType="begin"/>
      </w:r>
      <w:r>
        <w:instrText xml:space="preserve"> XE "</w:instrText>
      </w:r>
      <w:r w:rsidRPr="006A65B9">
        <w:instrText>metafyzika:dvojí určení</w:instrText>
      </w:r>
      <w:r>
        <w:instrText xml:space="preserve">" </w:instrText>
      </w:r>
      <w:r>
        <w:fldChar w:fldCharType="end"/>
      </w:r>
      <w:r w:rsidRPr="00273106">
        <w:t>, což vedlo mimo jiné i k zás</w:t>
      </w:r>
      <w:r w:rsidR="002D54E6">
        <w:t>adní krizi křesťanské teologie.</w:t>
      </w:r>
    </w:p>
    <w:p w:rsidR="08163013" w:rsidRPr="00273106" w:rsidRDefault="08163013" w:rsidP="00A260DF">
      <w:pPr>
        <w:ind w:firstLine="397"/>
      </w:pPr>
      <w:r w:rsidRPr="00273106">
        <w:t>Zjednodušme systematizaci objektivity a její kritiku do tří</w:t>
      </w:r>
      <w:r>
        <w:t xml:space="preserve"> bloků</w:t>
      </w:r>
      <w:r w:rsidRPr="00273106">
        <w:t xml:space="preserve">. První </w:t>
      </w:r>
      <w:r>
        <w:t xml:space="preserve">část </w:t>
      </w:r>
      <w:r w:rsidRPr="00273106">
        <w:t>se zabývá filosofickou obranou Bonaventurova dědictví (</w:t>
      </w:r>
      <w:r>
        <w:t>Pecham</w:t>
      </w:r>
      <w:r w:rsidRPr="00273106">
        <w:t>, Aquasparta</w:t>
      </w:r>
      <w:r>
        <w:fldChar w:fldCharType="begin"/>
      </w:r>
      <w:r>
        <w:instrText xml:space="preserve"> XE "</w:instrText>
      </w:r>
      <w:r w:rsidRPr="003B1826">
        <w:instrText>Aquasparta, M.</w:instrText>
      </w:r>
      <w:r>
        <w:instrText xml:space="preserve">" </w:instrText>
      </w:r>
      <w:r>
        <w:fldChar w:fldCharType="end"/>
      </w:r>
      <w:r w:rsidRPr="00273106">
        <w:t xml:space="preserve">, </w:t>
      </w:r>
      <w:r w:rsidRPr="08D62CB7">
        <w:rPr>
          <w:i/>
        </w:rPr>
        <w:t>Anonymi</w:t>
      </w:r>
      <w:r w:rsidRPr="00273106">
        <w:t>)</w:t>
      </w:r>
      <w:r>
        <w:t>. D</w:t>
      </w:r>
      <w:r w:rsidRPr="00273106">
        <w:t xml:space="preserve">ruhá kapitola řeší </w:t>
      </w:r>
      <w:r>
        <w:t xml:space="preserve">spor o výklad Aristotela v </w:t>
      </w:r>
      <w:r w:rsidRPr="00273106">
        <w:t>první</w:t>
      </w:r>
      <w:r>
        <w:t>m</w:t>
      </w:r>
      <w:r w:rsidRPr="00273106">
        <w:t xml:space="preserve"> averroismu (Siger, Akvinský)</w:t>
      </w:r>
      <w:r>
        <w:t xml:space="preserve">. Následující matrice řeší po odsouzení prvního averroismu roku 1277 </w:t>
      </w:r>
      <w:r w:rsidRPr="00273106">
        <w:t xml:space="preserve">vznik moderního </w:t>
      </w:r>
      <w:r>
        <w:t xml:space="preserve">kapitalistického subjektu (Olivi) a vznik nové objektivní metafyziky (Henry z </w:t>
      </w:r>
      <w:proofErr w:type="gramStart"/>
      <w:r>
        <w:t>Gentu</w:t>
      </w:r>
      <w:proofErr w:type="gramEnd"/>
      <w:r>
        <w:t xml:space="preserve">, Duns Scotus). </w:t>
      </w:r>
      <w:r w:rsidR="00316923">
        <w:t xml:space="preserve">Scotus založil kompletní moderní metafyziku a Suárez ji předělal na </w:t>
      </w:r>
      <w:r w:rsidR="00316923" w:rsidRPr="00273106">
        <w:t xml:space="preserve">novověkou </w:t>
      </w:r>
      <w:r w:rsidR="00316923">
        <w:t>post</w:t>
      </w:r>
      <w:r w:rsidR="00316923" w:rsidRPr="00273106">
        <w:t>modernu.</w:t>
      </w:r>
      <w:r w:rsidR="00316923">
        <w:t xml:space="preserve"> </w:t>
      </w:r>
      <w:r>
        <w:t xml:space="preserve">Krizi </w:t>
      </w:r>
      <w:r w:rsidRPr="00273106">
        <w:t>dvojí pravdy</w:t>
      </w:r>
      <w:r>
        <w:fldChar w:fldCharType="begin"/>
      </w:r>
      <w:r>
        <w:instrText xml:space="preserve"> XE "</w:instrText>
      </w:r>
      <w:r w:rsidRPr="00EC397E">
        <w:instrText>teorie dvojí pravdy</w:instrText>
      </w:r>
      <w:r>
        <w:instrText xml:space="preserve">" </w:instrText>
      </w:r>
      <w:r>
        <w:fldChar w:fldCharType="end"/>
      </w:r>
      <w:r w:rsidRPr="00273106">
        <w:t xml:space="preserve"> </w:t>
      </w:r>
      <w:r>
        <w:t xml:space="preserve">odsouzené dekretem 1277 </w:t>
      </w:r>
      <w:r w:rsidRPr="00273106">
        <w:t xml:space="preserve">ukončil až </w:t>
      </w:r>
      <w:r>
        <w:t>Suárez</w:t>
      </w:r>
      <w:r>
        <w:fldChar w:fldCharType="begin"/>
      </w:r>
      <w:r>
        <w:instrText xml:space="preserve"> XE "Suárez</w:instrText>
      </w:r>
      <w:r w:rsidRPr="00E73967">
        <w:instrText>, F.</w:instrText>
      </w:r>
      <w:r>
        <w:instrText xml:space="preserve">" </w:instrText>
      </w:r>
      <w:r>
        <w:fldChar w:fldCharType="end"/>
      </w:r>
      <w:r>
        <w:t xml:space="preserve"> univočním projektem </w:t>
      </w:r>
      <w:r w:rsidRPr="00122C8E">
        <w:rPr>
          <w:i/>
        </w:rPr>
        <w:t>metaphysica generalis</w:t>
      </w:r>
      <w:r>
        <w:rPr>
          <w:i/>
        </w:rPr>
        <w:fldChar w:fldCharType="begin"/>
      </w:r>
      <w:r>
        <w:instrText xml:space="preserve"> XE "</w:instrText>
      </w:r>
      <w:r w:rsidRPr="007E3962">
        <w:rPr>
          <w:i/>
        </w:rPr>
        <w:instrText>metaphysica generalis</w:instrText>
      </w:r>
      <w:r>
        <w:instrText xml:space="preserve">" </w:instrText>
      </w:r>
      <w:r>
        <w:rPr>
          <w:i/>
        </w:rPr>
        <w:fldChar w:fldCharType="end"/>
      </w:r>
      <w:r w:rsidR="00BA7729">
        <w:t xml:space="preserve">. </w:t>
      </w:r>
    </w:p>
    <w:p w:rsidR="08163013" w:rsidRPr="00273106" w:rsidRDefault="003E3E1E" w:rsidP="08163013">
      <w:pPr>
        <w:pStyle w:val="Nadpis3"/>
      </w:pPr>
      <w:bookmarkStart w:id="17" w:name="_Toc36144137"/>
      <w:r>
        <w:br w:type="page"/>
      </w:r>
      <w:bookmarkStart w:id="18" w:name="_Toc180231649"/>
      <w:r w:rsidR="08163013">
        <w:lastRenderedPageBreak/>
        <w:t>4</w:t>
      </w:r>
      <w:r w:rsidR="08163013" w:rsidRPr="00273106">
        <w:t xml:space="preserve">.2.1 </w:t>
      </w:r>
      <w:r w:rsidR="08163013">
        <w:t>Virtualita člověka</w:t>
      </w:r>
      <w:bookmarkEnd w:id="17"/>
      <w:bookmarkEnd w:id="18"/>
      <w:r w:rsidR="08163013">
        <w:t xml:space="preserve"> </w:t>
      </w:r>
    </w:p>
    <w:p w:rsidR="08163013" w:rsidRDefault="08163013" w:rsidP="08163013">
      <w:r>
        <w:t>Předešlé kapitoly ukázaly</w:t>
      </w:r>
      <w:r w:rsidRPr="00273106">
        <w:t xml:space="preserve"> dvoustupňovou stavbu Bonaventurovy ontoteologie</w:t>
      </w:r>
      <w:r>
        <w:t xml:space="preserve"> v modu dvojích demiurgických regulí</w:t>
      </w:r>
      <w:r>
        <w:fldChar w:fldCharType="begin"/>
      </w:r>
      <w:r>
        <w:instrText xml:space="preserve"> XE "regule</w:instrText>
      </w:r>
      <w:r w:rsidRPr="00E71D52">
        <w:instrText>:</w:instrText>
      </w:r>
      <w:r w:rsidRPr="00690479">
        <w:rPr>
          <w:i/>
        </w:rPr>
        <w:instrText>agentis in/creati</w:instrText>
      </w:r>
      <w:r>
        <w:instrText xml:space="preserve">" </w:instrText>
      </w:r>
      <w:r>
        <w:fldChar w:fldCharType="end"/>
      </w:r>
      <w:r>
        <w:t>. Nová metafyzika s</w:t>
      </w:r>
      <w:r w:rsidRPr="00273106">
        <w:t xml:space="preserve">ice měla </w:t>
      </w:r>
      <w:r>
        <w:t>rétorickou přes</w:t>
      </w:r>
      <w:r w:rsidRPr="00273106">
        <w:t xml:space="preserve">vědčivost, ale postrádala filosofickou konsistenci. </w:t>
      </w:r>
      <w:r>
        <w:t>N</w:t>
      </w:r>
      <w:r w:rsidRPr="00273106">
        <w:t>eoplatonismus má pro podobné případy standardní řešení</w:t>
      </w:r>
      <w:r>
        <w:t xml:space="preserve"> už od pozdní antiky</w:t>
      </w:r>
      <w:r w:rsidR="0047508F">
        <w:t xml:space="preserve">, totiž trvalou multiplikaci </w:t>
      </w:r>
      <w:r w:rsidRPr="00F22CA2">
        <w:rPr>
          <w:i/>
        </w:rPr>
        <w:t>tertium ens</w:t>
      </w:r>
      <w:r w:rsidR="0047508F">
        <w:t xml:space="preserve"> a pokračující zdvojování reality pomocí sofistických simuláker. Konflikt s aristotelismem daným </w:t>
      </w:r>
      <w:r w:rsidR="0047508F" w:rsidRPr="0047508F">
        <w:rPr>
          <w:i/>
        </w:rPr>
        <w:t>ad mentem Averrois</w:t>
      </w:r>
      <w:r w:rsidR="0047508F">
        <w:t xml:space="preserve"> byl naprosto nevyhnutelný. </w:t>
      </w:r>
      <w:r w:rsidRPr="00273106">
        <w:t xml:space="preserve">Aristotelovy kategorie jsou pevně dány v </w:t>
      </w:r>
      <w:r w:rsidR="0047508F">
        <w:t xml:space="preserve">návaznosti na druhou substanci. Rod jako nejvyšší jednota univočního významu </w:t>
      </w:r>
      <w:r>
        <w:t xml:space="preserve">je </w:t>
      </w:r>
      <w:r w:rsidR="0047508F">
        <w:t xml:space="preserve">určen </w:t>
      </w:r>
      <w:r>
        <w:t xml:space="preserve">pouze </w:t>
      </w:r>
      <w:r w:rsidR="0047508F">
        <w:t>jako druhá</w:t>
      </w:r>
      <w:r>
        <w:t xml:space="preserve"> substanc</w:t>
      </w:r>
      <w:r w:rsidR="0047508F">
        <w:t xml:space="preserve">e. Predikace </w:t>
      </w:r>
      <w:r w:rsidR="0047508F" w:rsidRPr="0047508F">
        <w:rPr>
          <w:i/>
        </w:rPr>
        <w:t>per prius</w:t>
      </w:r>
      <w:r w:rsidR="0047508F">
        <w:t xml:space="preserve"> může jít pouze skrze impozici významu skrze species od hyparchicky determinované první substance</w:t>
      </w:r>
      <w:r w:rsidRPr="00273106">
        <w:t xml:space="preserve">. </w:t>
      </w:r>
      <w:r w:rsidR="00396CAA">
        <w:t>Ve zcela svobodné moderně a postmoderně, p</w:t>
      </w:r>
      <w:r>
        <w:t xml:space="preserve">očet a strukturu amfibolií limituje pouze </w:t>
      </w:r>
      <w:r w:rsidRPr="00273106">
        <w:t>kreativní mysl příslušného</w:t>
      </w:r>
      <w:r>
        <w:t xml:space="preserve"> ilumináta. Objektivní diakosmos lz</w:t>
      </w:r>
      <w:r w:rsidR="080D6AD7">
        <w:t xml:space="preserve">e utvářet </w:t>
      </w:r>
      <w:r w:rsidRPr="00273106">
        <w:t xml:space="preserve">od dob božského Jamblicha, zakladatele </w:t>
      </w:r>
      <w:r>
        <w:t xml:space="preserve">moderní </w:t>
      </w:r>
      <w:r w:rsidRPr="00273106">
        <w:t xml:space="preserve">formy </w:t>
      </w:r>
      <w:r>
        <w:t xml:space="preserve">metafyzické </w:t>
      </w:r>
      <w:r w:rsidRPr="00273106">
        <w:t>theurgie</w:t>
      </w:r>
      <w:r>
        <w:fldChar w:fldCharType="begin"/>
      </w:r>
      <w:r>
        <w:instrText xml:space="preserve"> XE "</w:instrText>
      </w:r>
      <w:r w:rsidRPr="009476DF">
        <w:instrText>theurgie</w:instrText>
      </w:r>
      <w:r>
        <w:instrText xml:space="preserve">" </w:instrText>
      </w:r>
      <w:r>
        <w:fldChar w:fldCharType="end"/>
      </w:r>
      <w:r w:rsidRPr="00273106">
        <w:t xml:space="preserve"> (</w:t>
      </w:r>
      <w:r w:rsidR="080D6AD7">
        <w:t xml:space="preserve">OBJ I, </w:t>
      </w:r>
      <w:r>
        <w:t>kap. 1.3</w:t>
      </w:r>
      <w:r w:rsidRPr="00273106">
        <w:t xml:space="preserve">.1). </w:t>
      </w:r>
      <w:r>
        <w:t xml:space="preserve">Předešlé matrice ukázaly, že produkce jsoucen třetího druhu stojí v přímé úměře intenzity sporu s klasickým aristotelismem, který nekompromisně hájí princip reality a jejího vědeckého poznání. </w:t>
      </w:r>
      <w:r w:rsidRPr="00273106">
        <w:t>První substance přestala v</w:t>
      </w:r>
      <w:r>
        <w:t xml:space="preserve">e druhém avicennismu hrát roli </w:t>
      </w:r>
      <w:r w:rsidRPr="00273106">
        <w:rPr>
          <w:i/>
        </w:rPr>
        <w:t>ens ratum</w:t>
      </w:r>
      <w:r>
        <w:rPr>
          <w:i/>
        </w:rPr>
        <w:fldChar w:fldCharType="begin"/>
      </w:r>
      <w:r>
        <w:instrText xml:space="preserve"> XE "</w:instrText>
      </w:r>
      <w:r w:rsidRPr="00B2798F">
        <w:rPr>
          <w:rStyle w:val="addmd"/>
          <w:i/>
        </w:rPr>
        <w:instrText>ens ratum:</w:instrText>
      </w:r>
      <w:r>
        <w:instrText xml:space="preserve">moderna" </w:instrText>
      </w:r>
      <w:r>
        <w:rPr>
          <w:i/>
        </w:rPr>
        <w:fldChar w:fldCharType="end"/>
      </w:r>
      <w:r>
        <w:t xml:space="preserve"> kolem roku 1240, což ukazuje spor Alberta s Rufusem a Kilwardbym (</w:t>
      </w:r>
      <w:r w:rsidR="08060332">
        <w:t>OBj II, kap. 2</w:t>
      </w:r>
      <w:r>
        <w:t xml:space="preserve">.4.1). </w:t>
      </w:r>
      <w:r w:rsidRPr="00273106">
        <w:t xml:space="preserve">Albertem vzývaná síla rozumného argumentu přestala platit tam, kde základní filosofické pojmy přestaly mít stejný význam. </w:t>
      </w:r>
      <w:r w:rsidRPr="00273106">
        <w:rPr>
          <w:szCs w:val="13"/>
        </w:rPr>
        <w:t xml:space="preserve">Není divu, že klasicky vzdělaný Albert odmítl přijet </w:t>
      </w:r>
      <w:r>
        <w:rPr>
          <w:szCs w:val="13"/>
        </w:rPr>
        <w:t xml:space="preserve">roku </w:t>
      </w:r>
      <w:r w:rsidRPr="00273106">
        <w:rPr>
          <w:szCs w:val="13"/>
        </w:rPr>
        <w:t>12</w:t>
      </w:r>
      <w:r>
        <w:rPr>
          <w:szCs w:val="13"/>
        </w:rPr>
        <w:t>70</w:t>
      </w:r>
      <w:r w:rsidRPr="00273106">
        <w:rPr>
          <w:szCs w:val="13"/>
        </w:rPr>
        <w:t xml:space="preserve"> do Paříže, aby </w:t>
      </w:r>
      <w:r w:rsidR="005E0317">
        <w:rPr>
          <w:szCs w:val="13"/>
        </w:rPr>
        <w:t xml:space="preserve">zde diskutoval s </w:t>
      </w:r>
      <w:r w:rsidR="005E0317" w:rsidRPr="0033388D">
        <w:rPr>
          <w:i/>
          <w:szCs w:val="24"/>
          <w:lang w:val="de-DE"/>
        </w:rPr>
        <w:t>Doctores latini</w:t>
      </w:r>
      <w:r w:rsidR="005E0317">
        <w:rPr>
          <w:szCs w:val="24"/>
          <w:lang w:val="de-DE"/>
        </w:rPr>
        <w:t>, kteří přednášeli na fakultě mendikantů</w:t>
      </w:r>
      <w:r w:rsidRPr="00273106">
        <w:rPr>
          <w:szCs w:val="13"/>
        </w:rPr>
        <w:t xml:space="preserve">. </w:t>
      </w:r>
      <w:r w:rsidRPr="00273106">
        <w:t xml:space="preserve">Podle jeho celoživotní zkušenosti to už nemělo smysl, protože </w:t>
      </w:r>
      <w:r>
        <w:rPr>
          <w:szCs w:val="13"/>
        </w:rPr>
        <w:t xml:space="preserve">modernisté </w:t>
      </w:r>
      <w:r w:rsidR="089F1224">
        <w:t xml:space="preserve">odsoudili </w:t>
      </w:r>
      <w:r w:rsidRPr="00273106">
        <w:t xml:space="preserve">učení </w:t>
      </w:r>
      <w:r>
        <w:t>Averroes</w:t>
      </w:r>
      <w:r w:rsidRPr="00273106">
        <w:t>e</w:t>
      </w:r>
      <w:r>
        <w:t xml:space="preserve"> a </w:t>
      </w:r>
      <w:r w:rsidR="089F1224">
        <w:t xml:space="preserve">manipulovali </w:t>
      </w:r>
      <w:r>
        <w:t>Aristotela</w:t>
      </w:r>
      <w:r w:rsidRPr="00273106">
        <w:t>, a</w:t>
      </w:r>
      <w:r>
        <w:t>niž by je</w:t>
      </w:r>
      <w:r w:rsidR="00C56456">
        <w:t>jich filosofii</w:t>
      </w:r>
      <w:r w:rsidR="00CC58F8">
        <w:t xml:space="preserve"> opravdu </w:t>
      </w:r>
      <w:r w:rsidRPr="00273106">
        <w:t>znali</w:t>
      </w:r>
      <w:r>
        <w:t xml:space="preserve">. </w:t>
      </w:r>
      <w:r w:rsidRPr="00273106">
        <w:rPr>
          <w:szCs w:val="13"/>
        </w:rPr>
        <w:t xml:space="preserve">Albert přenechal nevděčný úkol </w:t>
      </w:r>
      <w:r>
        <w:rPr>
          <w:szCs w:val="13"/>
        </w:rPr>
        <w:t xml:space="preserve">potírání latinských sofistů a averroistů </w:t>
      </w:r>
      <w:r w:rsidRPr="00273106">
        <w:rPr>
          <w:szCs w:val="13"/>
        </w:rPr>
        <w:t>svému nejlepšímu žákovi</w:t>
      </w:r>
      <w:r>
        <w:rPr>
          <w:szCs w:val="13"/>
        </w:rPr>
        <w:t xml:space="preserve"> </w:t>
      </w:r>
      <w:r w:rsidR="089F1224">
        <w:rPr>
          <w:szCs w:val="13"/>
        </w:rPr>
        <w:t xml:space="preserve">Akvinskému </w:t>
      </w:r>
      <w:r>
        <w:rPr>
          <w:szCs w:val="13"/>
        </w:rPr>
        <w:t xml:space="preserve">a osobně </w:t>
      </w:r>
      <w:r w:rsidRPr="00273106">
        <w:rPr>
          <w:szCs w:val="13"/>
        </w:rPr>
        <w:t xml:space="preserve">reagoval pouze na církevně vyžádané stanovisko k </w:t>
      </w:r>
      <w:r>
        <w:rPr>
          <w:szCs w:val="13"/>
        </w:rPr>
        <w:t>pařížskému</w:t>
      </w:r>
      <w:r w:rsidRPr="00273106">
        <w:rPr>
          <w:szCs w:val="13"/>
        </w:rPr>
        <w:t xml:space="preserve"> sporu</w:t>
      </w:r>
      <w:r>
        <w:rPr>
          <w:szCs w:val="13"/>
        </w:rPr>
        <w:t xml:space="preserve"> kolem 1270</w:t>
      </w:r>
      <w:r w:rsidRPr="00273106">
        <w:rPr>
          <w:szCs w:val="13"/>
        </w:rPr>
        <w:t>, které sepsal v krátké stati (</w:t>
      </w:r>
      <w:r w:rsidRPr="00273106">
        <w:rPr>
          <w:i/>
        </w:rPr>
        <w:t>De XV problematibus</w:t>
      </w:r>
      <w:r w:rsidRPr="00273106">
        <w:t xml:space="preserve">, </w:t>
      </w:r>
      <w:r w:rsidRPr="00273106">
        <w:rPr>
          <w:szCs w:val="13"/>
        </w:rPr>
        <w:t>1270).</w:t>
      </w:r>
      <w:r w:rsidRPr="00273106">
        <w:t xml:space="preserve"> </w:t>
      </w:r>
      <w:r>
        <w:rPr>
          <w:szCs w:val="13"/>
        </w:rPr>
        <w:t xml:space="preserve">Příjezd Akvinského na Pařížskou univerzitu na konci roku 1269 otevírá </w:t>
      </w:r>
      <w:r w:rsidR="0871660B">
        <w:rPr>
          <w:szCs w:val="13"/>
        </w:rPr>
        <w:t xml:space="preserve">nové </w:t>
      </w:r>
      <w:r>
        <w:rPr>
          <w:szCs w:val="13"/>
        </w:rPr>
        <w:t>kolo sporu mezi oběma školami</w:t>
      </w:r>
      <w:r>
        <w:rPr>
          <w:szCs w:val="13"/>
        </w:rPr>
        <w:fldChar w:fldCharType="begin"/>
      </w:r>
      <w:r>
        <w:instrText xml:space="preserve"> XE "</w:instrText>
      </w:r>
      <w:r w:rsidRPr="00140830">
        <w:instrText>metafyzika:dvojí určení</w:instrText>
      </w:r>
      <w:r>
        <w:instrText xml:space="preserve">" </w:instrText>
      </w:r>
      <w:r>
        <w:rPr>
          <w:szCs w:val="13"/>
        </w:rPr>
        <w:fldChar w:fldCharType="end"/>
      </w:r>
      <w:r>
        <w:rPr>
          <w:szCs w:val="13"/>
        </w:rPr>
        <w:t xml:space="preserve">. </w:t>
      </w:r>
      <w:r>
        <w:t xml:space="preserve">Jeho protagonisté jsou </w:t>
      </w:r>
      <w:r w:rsidRPr="00273106">
        <w:t>Akvinsk</w:t>
      </w:r>
      <w:r>
        <w:t>ý</w:t>
      </w:r>
      <w:r w:rsidRPr="00273106">
        <w:t xml:space="preserve"> a </w:t>
      </w:r>
      <w:r>
        <w:t>Pecham a spor běží také o</w:t>
      </w:r>
      <w:r w:rsidRPr="00273106">
        <w:t xml:space="preserve">hledně poznání a statutu oddělených </w:t>
      </w:r>
      <w:r>
        <w:t xml:space="preserve">kosmických inteligencí a </w:t>
      </w:r>
      <w:r w:rsidRPr="00273106">
        <w:t xml:space="preserve">substancí. To dosvědčují polemické </w:t>
      </w:r>
      <w:r>
        <w:t>Akvinského</w:t>
      </w:r>
      <w:r w:rsidRPr="00273106">
        <w:t xml:space="preserve"> spisy </w:t>
      </w:r>
      <w:r w:rsidR="00995DF0" w:rsidRPr="00995DF0">
        <w:rPr>
          <w:i/>
        </w:rPr>
        <w:t>Quaestiones disputatae De potentia</w:t>
      </w:r>
      <w:r w:rsidRPr="00273106">
        <w:rPr>
          <w:i/>
        </w:rPr>
        <w:t xml:space="preserve"> Dei</w:t>
      </w:r>
      <w:r w:rsidRPr="00273106">
        <w:t xml:space="preserve"> (dokončeno 1268), </w:t>
      </w:r>
      <w:r w:rsidRPr="00273106">
        <w:rPr>
          <w:i/>
        </w:rPr>
        <w:t>Quaestiones disputatae de spiritualibus creaturis</w:t>
      </w:r>
      <w:r w:rsidRPr="00273106">
        <w:t xml:space="preserve"> (dokončeno 1269)</w:t>
      </w:r>
      <w:r>
        <w:t xml:space="preserve">. Albertův žák </w:t>
      </w:r>
      <w:r w:rsidRPr="00273106">
        <w:t>hájí pozici prvního averroismu ohledně jednotného poz</w:t>
      </w:r>
      <w:r>
        <w:t xml:space="preserve">nání směrem od první substance. </w:t>
      </w:r>
      <w:r>
        <w:lastRenderedPageBreak/>
        <w:t xml:space="preserve">Tomášův střet s Pechamem a Bonaventurou byl </w:t>
      </w:r>
      <w:r w:rsidR="085A661F">
        <w:t xml:space="preserve">nevyhnutelný </w:t>
      </w:r>
      <w:r>
        <w:t>po</w:t>
      </w:r>
      <w:r w:rsidR="085A661F">
        <w:t xml:space="preserve"> jeho druhém příjezdu do Paříže</w:t>
      </w:r>
      <w:r>
        <w:t>. Pecham</w:t>
      </w:r>
      <w:r w:rsidR="00543A0D">
        <w:t xml:space="preserve"> začal</w:t>
      </w:r>
      <w:r w:rsidRPr="00273106">
        <w:t xml:space="preserve"> debatu o jednotě intelektu </w:t>
      </w:r>
      <w:r w:rsidR="00543A0D">
        <w:t xml:space="preserve">v době, kdy </w:t>
      </w:r>
      <w:r w:rsidRPr="00273106">
        <w:t xml:space="preserve">Albert </w:t>
      </w:r>
      <w:r w:rsidR="00543A0D">
        <w:t xml:space="preserve">dokončil </w:t>
      </w:r>
      <w:r w:rsidRPr="00273106">
        <w:t>díl</w:t>
      </w:r>
      <w:r w:rsidR="00543A0D">
        <w:t>o</w:t>
      </w:r>
      <w:r w:rsidRPr="00273106">
        <w:t xml:space="preserve"> </w:t>
      </w:r>
      <w:r w:rsidRPr="00273106">
        <w:rPr>
          <w:i/>
        </w:rPr>
        <w:t>De unitate intellectus</w:t>
      </w:r>
      <w:r w:rsidR="00543A0D">
        <w:t xml:space="preserve">, tedy okolo </w:t>
      </w:r>
      <w:r>
        <w:t>roku 1263</w:t>
      </w:r>
      <w:r w:rsidRPr="00273106">
        <w:t>. Klíčové argumenty čtvrté a páté kapitoly tohoto díla jsme již komentovali, proto se k nim nebudeme vracet</w:t>
      </w:r>
      <w:r>
        <w:t xml:space="preserve"> </w:t>
      </w:r>
      <w:r w:rsidRPr="00273106">
        <w:t>(</w:t>
      </w:r>
      <w:r w:rsidR="087C0A41">
        <w:t>OBJ II, kap. 2</w:t>
      </w:r>
      <w:r w:rsidRPr="00273106">
        <w:t>.4.3). Albert přidává na konci třetí kapitoly následující upozornění</w:t>
      </w:r>
      <w:r>
        <w:t xml:space="preserve"> k milovníkům moudrosti</w:t>
      </w:r>
      <w:r w:rsidRPr="00273106">
        <w:t>.</w:t>
      </w:r>
    </w:p>
    <w:p w:rsidR="08163013" w:rsidRDefault="08163013" w:rsidP="08163013">
      <w:pPr>
        <w:pStyle w:val="Citace"/>
      </w:pPr>
      <w:r w:rsidRPr="00273106">
        <w:t>„</w:t>
      </w:r>
      <w:r>
        <w:t xml:space="preserve">Předložená </w:t>
      </w:r>
      <w:r>
        <w:rPr>
          <w:lang w:val="cs-CZ"/>
        </w:rPr>
        <w:t xml:space="preserve">disputace </w:t>
      </w:r>
      <w:r>
        <w:t>se obrací pouze k moudrým lidem</w:t>
      </w:r>
      <w:r w:rsidR="003207A8">
        <w:rPr>
          <w:lang w:val="cs-CZ"/>
        </w:rPr>
        <w:t xml:space="preserve"> </w:t>
      </w:r>
      <w:r w:rsidR="003207A8">
        <w:t>(</w:t>
      </w:r>
      <w:r w:rsidR="003207A8" w:rsidRPr="00660D44">
        <w:rPr>
          <w:i/>
          <w:noProof/>
        </w:rPr>
        <w:t>ad sapientes</w:t>
      </w:r>
      <w:r w:rsidR="003207A8">
        <w:t>)</w:t>
      </w:r>
      <w:r>
        <w:t>. Nemáme v úmyslu nic př</w:t>
      </w:r>
      <w:r>
        <w:rPr>
          <w:lang w:val="cs-CZ"/>
        </w:rPr>
        <w:t>edstírat</w:t>
      </w:r>
      <w:r>
        <w:t>, protože s</w:t>
      </w:r>
      <w:r>
        <w:rPr>
          <w:lang w:val="cs-CZ"/>
        </w:rPr>
        <w:t>íla vědeckého dokazování</w:t>
      </w:r>
      <w:r>
        <w:t xml:space="preserve"> všechno vede k pravdě věci. Ve XII. knize </w:t>
      </w:r>
      <w:r w:rsidRPr="00265490">
        <w:rPr>
          <w:i/>
        </w:rPr>
        <w:t>Metafyziky</w:t>
      </w:r>
      <w:r w:rsidR="005224E1">
        <w:t xml:space="preserve"> je řečeno, </w:t>
      </w:r>
      <w:r w:rsidR="005224E1">
        <w:rPr>
          <w:lang w:val="cs-CZ"/>
        </w:rPr>
        <w:t>jaký typ vědění je objektem této d</w:t>
      </w:r>
      <w:r w:rsidR="005224E1">
        <w:t>isputac</w:t>
      </w:r>
      <w:r w:rsidR="005224E1">
        <w:rPr>
          <w:lang w:val="cs-CZ"/>
        </w:rPr>
        <w:t>e</w:t>
      </w:r>
      <w:r>
        <w:t xml:space="preserve">.“ </w:t>
      </w:r>
      <w:r>
        <w:rPr>
          <w:rStyle w:val="Znakapoznpodarou"/>
        </w:rPr>
        <w:footnoteReference w:id="88"/>
      </w:r>
    </w:p>
    <w:p w:rsidR="00B05031" w:rsidRDefault="08163013" w:rsidP="08163013">
      <w:r>
        <w:t xml:space="preserve">Kolínského dominikána </w:t>
      </w:r>
      <w:r w:rsidRPr="00273106">
        <w:t>nezajímají tvůrci filosofických metafor (</w:t>
      </w:r>
      <w:r w:rsidRPr="00273106">
        <w:rPr>
          <w:i/>
        </w:rPr>
        <w:t>nihil volumus fingere</w:t>
      </w:r>
      <w:r w:rsidRPr="00273106">
        <w:t>), protože chce diskutovat pouze se znalci problému (</w:t>
      </w:r>
      <w:r w:rsidRPr="00273106">
        <w:rPr>
          <w:i/>
        </w:rPr>
        <w:t>volumus loqui nisi ad sapientes</w:t>
      </w:r>
      <w:r w:rsidRPr="00273106">
        <w:t>). Skuteč</w:t>
      </w:r>
      <w:r>
        <w:t xml:space="preserve">ní filosofové nejsou sofisté. Moudří lidé </w:t>
      </w:r>
      <w:r w:rsidRPr="00273106">
        <w:t xml:space="preserve">respektují sílu argumentů odkrývajících pomocí demonstrativního </w:t>
      </w:r>
      <w:r w:rsidR="00C83C95">
        <w:t xml:space="preserve">důkazu </w:t>
      </w:r>
      <w:r w:rsidRPr="00273106">
        <w:t>(</w:t>
      </w:r>
      <w:r w:rsidRPr="00273106">
        <w:rPr>
          <w:i/>
        </w:rPr>
        <w:t>virtute demonstrationis</w:t>
      </w:r>
      <w:r w:rsidR="00C83C95">
        <w:t xml:space="preserve">), aby našli </w:t>
      </w:r>
      <w:r>
        <w:t xml:space="preserve">výslednou </w:t>
      </w:r>
      <w:r w:rsidRPr="00273106">
        <w:t>pravdu pojednávané věci</w:t>
      </w:r>
      <w:r>
        <w:t xml:space="preserve"> (</w:t>
      </w:r>
      <w:r w:rsidRPr="00273106">
        <w:rPr>
          <w:i/>
        </w:rPr>
        <w:t>omnia ad veritatem rei</w:t>
      </w:r>
      <w:r w:rsidRPr="00EB70F2">
        <w:t>)</w:t>
      </w:r>
      <w:r>
        <w:t xml:space="preserve">. Čtvrtá </w:t>
      </w:r>
      <w:r w:rsidRPr="00273106">
        <w:t xml:space="preserve">kapitola </w:t>
      </w:r>
      <w:r>
        <w:t xml:space="preserve">Albertova </w:t>
      </w:r>
      <w:r w:rsidRPr="00273106">
        <w:t xml:space="preserve">traktátu </w:t>
      </w:r>
      <w:r w:rsidRPr="00273106">
        <w:rPr>
          <w:i/>
        </w:rPr>
        <w:t>De unitate intellectus</w:t>
      </w:r>
      <w:r w:rsidRPr="00273106">
        <w:t xml:space="preserve"> podává 30 argumentů ohledně jednoty intelektu, které shrnují základní omyly tehdejšího averroismu. </w:t>
      </w:r>
      <w:r>
        <w:t xml:space="preserve">Spis </w:t>
      </w:r>
      <w:r w:rsidRPr="00273106">
        <w:t xml:space="preserve">tyto argumenty popírá v příslušných 30 </w:t>
      </w:r>
      <w:r w:rsidR="00181398">
        <w:t xml:space="preserve">odpovědích. </w:t>
      </w:r>
      <w:r w:rsidR="005F0D17" w:rsidRPr="005F0D17">
        <w:t>Bonaventurovi studen</w:t>
      </w:r>
      <w:r w:rsidR="00E41979">
        <w:t>ti byli hlavními představiteli a</w:t>
      </w:r>
      <w:r w:rsidR="005F0D17" w:rsidRPr="005F0D17">
        <w:t>verroismu</w:t>
      </w:r>
      <w:r w:rsidR="005F0D17">
        <w:t xml:space="preserve">, které </w:t>
      </w:r>
      <w:r w:rsidR="005F0D17" w:rsidRPr="005F0D17">
        <w:t>napad</w:t>
      </w:r>
      <w:r w:rsidR="005F0D17">
        <w:t xml:space="preserve">l </w:t>
      </w:r>
      <w:r w:rsidR="005F0D17" w:rsidRPr="005F0D17">
        <w:t xml:space="preserve">Albert pod názvem </w:t>
      </w:r>
      <w:r w:rsidR="005F0D17" w:rsidRPr="005F0D17">
        <w:rPr>
          <w:i/>
        </w:rPr>
        <w:t>Averroistae</w:t>
      </w:r>
      <w:r w:rsidR="005F0D17" w:rsidRPr="005F0D17">
        <w:t>.</w:t>
      </w:r>
      <w:r w:rsidR="005F0D17">
        <w:t xml:space="preserve"> Proto </w:t>
      </w:r>
      <w:r w:rsidRPr="00273106">
        <w:t xml:space="preserve">museli vzít hozenou rukavici a pokusit se o nemožné. </w:t>
      </w:r>
      <w:r>
        <w:t>Pecham</w:t>
      </w:r>
      <w:r w:rsidRPr="00273106">
        <w:t xml:space="preserve">ova taktéž čtvrtá kapitola díla </w:t>
      </w:r>
      <w:r>
        <w:rPr>
          <w:i/>
        </w:rPr>
        <w:t>Quaestiones tractantes De anima</w:t>
      </w:r>
      <w:r>
        <w:t xml:space="preserve"> (jiný název </w:t>
      </w:r>
      <w:r>
        <w:rPr>
          <w:i/>
        </w:rPr>
        <w:t>Quaestiones disputatae D</w:t>
      </w:r>
      <w:r w:rsidRPr="08F01A54">
        <w:rPr>
          <w:i/>
        </w:rPr>
        <w:t>e anima</w:t>
      </w:r>
      <w:r>
        <w:t>) psaném v letech 1268‒70</w:t>
      </w:r>
      <w:r w:rsidRPr="00273106">
        <w:t xml:space="preserve"> obsahuje rovněž 30 argumentů obsahujících vyvrácení monopsychismu z pozice druhého averroismu.</w:t>
      </w:r>
      <w:r w:rsidRPr="00273106">
        <w:rPr>
          <w:rStyle w:val="Znakapoznpodarou"/>
        </w:rPr>
        <w:footnoteReference w:id="89"/>
      </w:r>
      <w:r w:rsidRPr="00273106">
        <w:t xml:space="preserve"> </w:t>
      </w:r>
      <w:r w:rsidR="002D75E0">
        <w:t xml:space="preserve">Všech </w:t>
      </w:r>
      <w:r w:rsidRPr="00273106">
        <w:t xml:space="preserve">30 argumentů ukazuje přímou závislost </w:t>
      </w:r>
      <w:r>
        <w:t>Pecham</w:t>
      </w:r>
      <w:r w:rsidRPr="00273106">
        <w:t>a na Bonaventurovi ve všech klíčových otázkách.</w:t>
      </w:r>
      <w:r>
        <w:t xml:space="preserve"> Tento rozpor mezi dvěma pojetími metafyziky, pravdy a abstrakce jasně viděli známí exegeti scholastiky jako Spettmann, Rohmer</w:t>
      </w:r>
      <w:r>
        <w:fldChar w:fldCharType="begin"/>
      </w:r>
      <w:r>
        <w:instrText xml:space="preserve"> XE "</w:instrText>
      </w:r>
      <w:r w:rsidRPr="00324349">
        <w:instrText>Rohmer</w:instrText>
      </w:r>
      <w:r>
        <w:instrText xml:space="preserve">, J." </w:instrText>
      </w:r>
      <w:r>
        <w:fldChar w:fldCharType="end"/>
      </w:r>
      <w:r>
        <w:t>, Gilson</w:t>
      </w:r>
      <w:r>
        <w:fldChar w:fldCharType="begin"/>
      </w:r>
      <w:r>
        <w:instrText xml:space="preserve"> XE "</w:instrText>
      </w:r>
      <w:r w:rsidRPr="007B09CB">
        <w:instrText>Gilson</w:instrText>
      </w:r>
      <w:r>
        <w:instrText xml:space="preserve">, E." </w:instrText>
      </w:r>
      <w:r>
        <w:fldChar w:fldCharType="end"/>
      </w:r>
      <w:r>
        <w:t xml:space="preserve"> a další na přelomu 19. a 20. století.</w:t>
      </w:r>
      <w:r>
        <w:rPr>
          <w:rStyle w:val="Znakapoznpodarou"/>
        </w:rPr>
        <w:footnoteReference w:id="90"/>
      </w:r>
      <w:r>
        <w:t xml:space="preserve"> Citované studie </w:t>
      </w:r>
      <w:r>
        <w:lastRenderedPageBreak/>
        <w:t>těchto klasických mediavelistů ukazují rozpor mezi prvním a druhým averroismem na rozdíl od současných harmonizujících interpretací ovlivněných objektivist</w:t>
      </w:r>
      <w:r w:rsidR="00B05031">
        <w:t>ickým paradigmatem avicennismu.</w:t>
      </w:r>
    </w:p>
    <w:p w:rsidR="08163013" w:rsidRPr="00273106" w:rsidRDefault="08163013" w:rsidP="007630EF">
      <w:pPr>
        <w:ind w:firstLine="397"/>
      </w:pPr>
      <w:r w:rsidRPr="00273106">
        <w:t xml:space="preserve">Předešlé kapitoly ukázaly, že Bonaventura </w:t>
      </w:r>
      <w:r>
        <w:t xml:space="preserve">a jeho škola </w:t>
      </w:r>
      <w:r w:rsidRPr="00273106">
        <w:t>nebyl</w:t>
      </w:r>
      <w:r>
        <w:t>a schop</w:t>
      </w:r>
      <w:r w:rsidRPr="00273106">
        <w:t>n</w:t>
      </w:r>
      <w:r>
        <w:t>a</w:t>
      </w:r>
      <w:r w:rsidRPr="00273106">
        <w:t xml:space="preserve"> jasně rozlišit mezi aktivní a pasivní částí intelektuálního </w:t>
      </w:r>
      <w:r>
        <w:t xml:space="preserve">poznání, protože zavedla intelekt jako porretánskou hypostázi a vybavili </w:t>
      </w:r>
      <w:r w:rsidRPr="00AB1F0F">
        <w:rPr>
          <w:i/>
        </w:rPr>
        <w:t>intellectus possib</w:t>
      </w:r>
      <w:r>
        <w:rPr>
          <w:i/>
        </w:rPr>
        <w:t>i</w:t>
      </w:r>
      <w:r w:rsidRPr="00AB1F0F">
        <w:rPr>
          <w:i/>
        </w:rPr>
        <w:t>lis</w:t>
      </w:r>
      <w:r>
        <w:rPr>
          <w:i/>
        </w:rPr>
        <w:fldChar w:fldCharType="begin"/>
      </w:r>
      <w:r>
        <w:instrText xml:space="preserve"> XE "</w:instrText>
      </w:r>
      <w:r w:rsidRPr="00770D02">
        <w:rPr>
          <w:i/>
        </w:rPr>
        <w:instrText>intellectus possibilis</w:instrText>
      </w:r>
      <w:r>
        <w:instrText xml:space="preserve">:Bonaventura" </w:instrText>
      </w:r>
      <w:r>
        <w:rPr>
          <w:i/>
        </w:rPr>
        <w:fldChar w:fldCharType="end"/>
      </w:r>
      <w:r>
        <w:t xml:space="preserve"> dokonce i spirituální materií. Intelekt byl definován jako zvláštní forma substance</w:t>
      </w:r>
      <w:r>
        <w:fldChar w:fldCharType="begin"/>
      </w:r>
      <w:r>
        <w:instrText xml:space="preserve"> XE "</w:instrText>
      </w:r>
      <w:r w:rsidRPr="00DE2A32">
        <w:instrText>substance</w:instrText>
      </w:r>
      <w:r>
        <w:instrText xml:space="preserve">:intelekt" </w:instrText>
      </w:r>
      <w:r>
        <w:fldChar w:fldCharType="end"/>
      </w:r>
      <w:r>
        <w:t xml:space="preserve"> </w:t>
      </w:r>
      <w:r w:rsidRPr="00273106">
        <w:t>(</w:t>
      </w:r>
      <w:r w:rsidRPr="00273106">
        <w:rPr>
          <w:i/>
        </w:rPr>
        <w:t>hoc aliquid</w:t>
      </w:r>
      <w:r w:rsidRPr="00273106">
        <w:t>)</w:t>
      </w:r>
      <w:r>
        <w:t>.</w:t>
      </w:r>
      <w:r w:rsidRPr="00273106">
        <w:t xml:space="preserve"> Spojení duše a těla trpí interním dualismem daným na různých úrovních</w:t>
      </w:r>
      <w:r>
        <w:t>, což do Paříže přinesl Rufus jako zakladatel modernismu. Averroes</w:t>
      </w:r>
      <w:r w:rsidRPr="00273106">
        <w:t xml:space="preserve">ův </w:t>
      </w:r>
      <w:r w:rsidRPr="00273106">
        <w:rPr>
          <w:i/>
        </w:rPr>
        <w:t>intellectus possibilis</w:t>
      </w:r>
      <w:r w:rsidRPr="00273106">
        <w:t xml:space="preserve"> má </w:t>
      </w:r>
      <w:r>
        <w:t xml:space="preserve">pouze materiální charakter, </w:t>
      </w:r>
      <w:r w:rsidRPr="00273106">
        <w:t xml:space="preserve">individuace myšlení probíhá skrze </w:t>
      </w:r>
      <w:r w:rsidRPr="00273106">
        <w:rPr>
          <w:i/>
        </w:rPr>
        <w:t>materia spiritualis</w:t>
      </w:r>
      <w:r>
        <w:rPr>
          <w:i/>
        </w:rPr>
        <w:fldChar w:fldCharType="begin"/>
      </w:r>
      <w:r>
        <w:instrText xml:space="preserve"> XE "</w:instrText>
      </w:r>
      <w:r w:rsidRPr="08A516BF">
        <w:instrText>materie</w:instrText>
      </w:r>
      <w:r>
        <w:rPr>
          <w:i/>
        </w:rPr>
        <w:instrText xml:space="preserve">:materia </w:instrText>
      </w:r>
      <w:r w:rsidRPr="00612581">
        <w:rPr>
          <w:i/>
        </w:rPr>
        <w:instrText>spiritualis</w:instrText>
      </w:r>
      <w:r>
        <w:instrText xml:space="preserve">" </w:instrText>
      </w:r>
      <w:r>
        <w:rPr>
          <w:i/>
        </w:rPr>
        <w:fldChar w:fldCharType="end"/>
      </w:r>
      <w:r>
        <w:t xml:space="preserve">, </w:t>
      </w:r>
      <w:r w:rsidRPr="00273106">
        <w:t>numerická jednota intelektu je s</w:t>
      </w:r>
      <w:r w:rsidR="00757ABB">
        <w:t xml:space="preserve"> mylným </w:t>
      </w:r>
      <w:r w:rsidRPr="00273106">
        <w:t xml:space="preserve">odvoláním na </w:t>
      </w:r>
      <w:r>
        <w:t>Averroes</w:t>
      </w:r>
      <w:r w:rsidRPr="00273106">
        <w:t>e spojena s věčným trváním světa</w:t>
      </w:r>
      <w:r>
        <w:t xml:space="preserve"> atd.</w:t>
      </w:r>
      <w:r w:rsidRPr="00273106">
        <w:t xml:space="preserve"> Přímý spor </w:t>
      </w:r>
      <w:r>
        <w:t>Pecham</w:t>
      </w:r>
      <w:r w:rsidRPr="00273106">
        <w:t>a a Akvinského se týkal jednoty osoby, kterou druhý averroismus anuluje vinou plurality substanciálních</w:t>
      </w:r>
      <w:r>
        <w:t xml:space="preserve"> forem</w:t>
      </w:r>
      <w:r>
        <w:fldChar w:fldCharType="begin"/>
      </w:r>
      <w:r>
        <w:instrText xml:space="preserve"> XE "</w:instrText>
      </w:r>
      <w:r w:rsidRPr="006153E6">
        <w:instrText>pluralita substanciálních forem</w:instrText>
      </w:r>
      <w:r>
        <w:instrText xml:space="preserve">" </w:instrText>
      </w:r>
      <w:r>
        <w:fldChar w:fldCharType="end"/>
      </w:r>
      <w:r>
        <w:t xml:space="preserve"> (Spettmann 1919, 35‒40). </w:t>
      </w:r>
      <w:r w:rsidRPr="00273106">
        <w:t>Z hledisk</w:t>
      </w:r>
      <w:r>
        <w:t xml:space="preserve">a vzniku </w:t>
      </w:r>
      <w:r w:rsidRPr="00273106">
        <w:t xml:space="preserve">objektivity je </w:t>
      </w:r>
      <w:r>
        <w:t>důležitá</w:t>
      </w:r>
      <w:r w:rsidRPr="00273106">
        <w:t xml:space="preserve"> </w:t>
      </w:r>
      <w:r>
        <w:t>Pecham</w:t>
      </w:r>
      <w:r w:rsidRPr="00273106">
        <w:t xml:space="preserve">ova </w:t>
      </w:r>
      <w:r>
        <w:t xml:space="preserve">problematická </w:t>
      </w:r>
      <w:r w:rsidRPr="00273106">
        <w:t>obrana intelektu</w:t>
      </w:r>
      <w:r>
        <w:t xml:space="preserve"> </w:t>
      </w:r>
      <w:r w:rsidR="00251D38">
        <w:t>jako numericky určené „</w:t>
      </w:r>
      <w:r w:rsidR="00251D38" w:rsidRPr="00251D38">
        <w:rPr>
          <w:i/>
        </w:rPr>
        <w:t>individuum</w:t>
      </w:r>
      <w:r w:rsidR="00251D38">
        <w:t xml:space="preserve">“ </w:t>
      </w:r>
      <w:r>
        <w:fldChar w:fldCharType="begin"/>
      </w:r>
      <w:r>
        <w:instrText xml:space="preserve"> XE "intelek</w:instrText>
      </w:r>
      <w:r w:rsidRPr="002370C0">
        <w:instrText>t:numerick</w:instrText>
      </w:r>
      <w:r>
        <w:instrText>y</w:instrText>
      </w:r>
      <w:r w:rsidRPr="002370C0">
        <w:instrText xml:space="preserve"> jednotný</w:instrText>
      </w:r>
      <w:r>
        <w:instrText xml:space="preserve">" </w:instrText>
      </w:r>
      <w:r>
        <w:fldChar w:fldCharType="end"/>
      </w:r>
      <w:r w:rsidRPr="00273106">
        <w:t>.</w:t>
      </w:r>
      <w:r w:rsidRPr="00273106">
        <w:rPr>
          <w:rStyle w:val="Znakapoznpodarou"/>
        </w:rPr>
        <w:footnoteReference w:id="91"/>
      </w:r>
      <w:r w:rsidRPr="00273106">
        <w:t xml:space="preserve"> </w:t>
      </w:r>
      <w:r w:rsidR="008371AA" w:rsidRPr="008371AA">
        <w:t xml:space="preserve">Intelekt v klasickém aristotelismu vytváří specifickou schopnost nehmotné duše, která </w:t>
      </w:r>
      <w:r w:rsidR="008371AA">
        <w:t xml:space="preserve">pracuje </w:t>
      </w:r>
      <w:r w:rsidR="008371AA" w:rsidRPr="008371AA">
        <w:t xml:space="preserve">v režimu </w:t>
      </w:r>
      <w:r w:rsidR="008371AA" w:rsidRPr="008371AA">
        <w:rPr>
          <w:i/>
        </w:rPr>
        <w:t>inmixtus</w:t>
      </w:r>
      <w:r w:rsidR="008371AA" w:rsidRPr="008371AA">
        <w:t xml:space="preserve"> s</w:t>
      </w:r>
      <w:r w:rsidR="008371AA">
        <w:t> návaznosti n</w:t>
      </w:r>
      <w:r w:rsidR="008371AA" w:rsidRPr="008371AA">
        <w:t>a smyslové poznání.</w:t>
      </w:r>
      <w:r w:rsidR="004C138A">
        <w:t xml:space="preserve"> </w:t>
      </w:r>
      <w:r w:rsidR="004C138A" w:rsidRPr="004C138A">
        <w:t>Pecham individualizoval d</w:t>
      </w:r>
      <w:r w:rsidR="004C138A">
        <w:t>uši a intelekt jako objektivní „</w:t>
      </w:r>
      <w:r w:rsidR="004C138A" w:rsidRPr="004C138A">
        <w:rPr>
          <w:i/>
        </w:rPr>
        <w:t>individuum</w:t>
      </w:r>
      <w:r w:rsidR="004C138A">
        <w:t>“ skrze univerzální</w:t>
      </w:r>
      <w:r w:rsidR="004C138A" w:rsidRPr="004C138A">
        <w:t xml:space="preserve"> hylemorfism</w:t>
      </w:r>
      <w:r w:rsidR="004C138A">
        <w:t>us</w:t>
      </w:r>
      <w:r w:rsidR="004C138A" w:rsidRPr="004C138A">
        <w:t>.</w:t>
      </w:r>
      <w:r w:rsidR="007630EF">
        <w:t xml:space="preserve"> </w:t>
      </w:r>
      <w:r>
        <w:t>Pasivní složka</w:t>
      </w:r>
      <w:r w:rsidRPr="00273106">
        <w:t xml:space="preserve"> </w:t>
      </w:r>
      <w:r>
        <w:t xml:space="preserve">intelektu se </w:t>
      </w:r>
      <w:r w:rsidRPr="00273106">
        <w:t xml:space="preserve">redukuje na koncept </w:t>
      </w:r>
      <w:r w:rsidR="00304E31">
        <w:t xml:space="preserve">objektivně </w:t>
      </w:r>
      <w:r w:rsidRPr="00273106">
        <w:t xml:space="preserve">materiálního </w:t>
      </w:r>
      <w:r w:rsidRPr="00273106">
        <w:rPr>
          <w:i/>
        </w:rPr>
        <w:t>intellectus possibilis</w:t>
      </w:r>
      <w:r w:rsidR="007630EF">
        <w:t xml:space="preserve">. Ten je </w:t>
      </w:r>
      <w:r w:rsidRPr="00273106">
        <w:t>numericky odlišn</w:t>
      </w:r>
      <w:r w:rsidR="007630EF">
        <w:t xml:space="preserve">ý </w:t>
      </w:r>
      <w:r w:rsidR="00304E31">
        <w:t xml:space="preserve">jednak díky objektivní materii a také díky své činnosti daná jako </w:t>
      </w:r>
      <w:r w:rsidRPr="00273106">
        <w:t>prvnímu modu</w:t>
      </w:r>
      <w:r w:rsidR="00304E31">
        <w:t>s</w:t>
      </w:r>
      <w:r w:rsidRPr="00273106">
        <w:t xml:space="preserve"> abstrakce </w:t>
      </w:r>
      <w:r w:rsidR="007630EF">
        <w:t xml:space="preserve">určené na základě smyslových </w:t>
      </w:r>
      <w:r w:rsidRPr="00273106">
        <w:t xml:space="preserve">fantasmat. Jenže tento </w:t>
      </w:r>
      <w:r w:rsidRPr="00273106">
        <w:rPr>
          <w:i/>
        </w:rPr>
        <w:t>intellectus materialis</w:t>
      </w:r>
      <w:r>
        <w:rPr>
          <w:i/>
        </w:rPr>
        <w:fldChar w:fldCharType="begin"/>
      </w:r>
      <w:r>
        <w:instrText xml:space="preserve"> XE "</w:instrText>
      </w:r>
      <w:r w:rsidRPr="00BE489A">
        <w:rPr>
          <w:i/>
        </w:rPr>
        <w:instrText>intellectus materialis:</w:instrText>
      </w:r>
      <w:r w:rsidRPr="00330FC9">
        <w:instrText>Pecham</w:instrText>
      </w:r>
      <w:r>
        <w:instrText xml:space="preserve">" </w:instrText>
      </w:r>
      <w:r>
        <w:rPr>
          <w:i/>
        </w:rPr>
        <w:fldChar w:fldCharType="end"/>
      </w:r>
      <w:r w:rsidRPr="00273106">
        <w:t xml:space="preserve"> daný smyslově neměl </w:t>
      </w:r>
      <w:r>
        <w:t>přímé na</w:t>
      </w:r>
      <w:r w:rsidRPr="00273106">
        <w:t xml:space="preserve">pojení na </w:t>
      </w:r>
      <w:r>
        <w:t xml:space="preserve">nemateriální </w:t>
      </w:r>
      <w:r w:rsidRPr="00273106">
        <w:rPr>
          <w:i/>
        </w:rPr>
        <w:t>intellectus agens</w:t>
      </w:r>
      <w:r w:rsidRPr="00273106">
        <w:t xml:space="preserve">. Albertovo řešení </w:t>
      </w:r>
      <w:r>
        <w:t xml:space="preserve">jednoty osoby </w:t>
      </w:r>
      <w:r w:rsidRPr="00273106">
        <w:t xml:space="preserve">skrze </w:t>
      </w:r>
      <w:r w:rsidRPr="00273106">
        <w:rPr>
          <w:i/>
        </w:rPr>
        <w:t>intellectus speculativus</w:t>
      </w:r>
      <w:r>
        <w:rPr>
          <w:i/>
        </w:rPr>
        <w:fldChar w:fldCharType="begin"/>
      </w:r>
      <w:r>
        <w:instrText xml:space="preserve"> XE "</w:instrText>
      </w:r>
      <w:r w:rsidRPr="00E2134B">
        <w:rPr>
          <w:i/>
        </w:rPr>
        <w:instrText>intellectus speculativus:</w:instrText>
      </w:r>
      <w:r w:rsidRPr="00E2134B">
        <w:instrText>A</w:instrText>
      </w:r>
      <w:r>
        <w:instrText xml:space="preserve">lbert" </w:instrText>
      </w:r>
      <w:r>
        <w:rPr>
          <w:i/>
        </w:rPr>
        <w:fldChar w:fldCharType="end"/>
      </w:r>
      <w:r w:rsidRPr="00273106">
        <w:t xml:space="preserve"> bylo odmítnuto</w:t>
      </w:r>
      <w:r>
        <w:t xml:space="preserve"> jako </w:t>
      </w:r>
      <w:r w:rsidRPr="00273106">
        <w:t>averrois</w:t>
      </w:r>
      <w:r>
        <w:t>tické. D</w:t>
      </w:r>
      <w:r w:rsidRPr="00273106">
        <w:t xml:space="preserve">ruhý averroismus chápe </w:t>
      </w:r>
      <w:r>
        <w:t xml:space="preserve">každou </w:t>
      </w:r>
      <w:r>
        <w:lastRenderedPageBreak/>
        <w:t>diferenciaci a potencialitu</w:t>
      </w:r>
      <w:r w:rsidRPr="00273106">
        <w:t xml:space="preserve"> jen skrze </w:t>
      </w:r>
      <w:r>
        <w:t>pseudo-materii danou v rámci univerzálního hylemorfismu</w:t>
      </w:r>
      <w:r>
        <w:fldChar w:fldCharType="begin"/>
      </w:r>
      <w:r>
        <w:instrText xml:space="preserve"> XE "</w:instrText>
      </w:r>
      <w:r w:rsidRPr="00423560">
        <w:instrText>univerzální hylemorfismus</w:instrText>
      </w:r>
      <w:r>
        <w:instrText xml:space="preserve">" </w:instrText>
      </w:r>
      <w:r>
        <w:fldChar w:fldCharType="end"/>
      </w:r>
      <w:r w:rsidRPr="00273106">
        <w:t xml:space="preserve">. </w:t>
      </w:r>
      <w:r>
        <w:t xml:space="preserve">Intelekt je nemateriální a jeho individualizace je možná jen skrze látku, kterou je nutno spiritualizovat. </w:t>
      </w:r>
      <w:r w:rsidRPr="00273106">
        <w:t xml:space="preserve">Základní </w:t>
      </w:r>
      <w:r>
        <w:t xml:space="preserve">dilema </w:t>
      </w:r>
      <w:r w:rsidRPr="00273106">
        <w:t xml:space="preserve">averroistů typu </w:t>
      </w:r>
      <w:r>
        <w:t>Pecham</w:t>
      </w:r>
      <w:r w:rsidRPr="00273106">
        <w:t>a</w:t>
      </w:r>
      <w:r>
        <w:t>,</w:t>
      </w:r>
      <w:r w:rsidRPr="00273106">
        <w:t xml:space="preserve"> vyplývající z jejich chybného výkladu </w:t>
      </w:r>
      <w:r w:rsidRPr="00273106">
        <w:rPr>
          <w:i/>
        </w:rPr>
        <w:t>intellectus possibilis</w:t>
      </w:r>
      <w:r>
        <w:t xml:space="preserve"> podle CMDA, zní následovně: </w:t>
      </w:r>
      <w:r w:rsidRPr="00413975">
        <w:t>„Intelekt je nemateriální substance. Ale numerická individuace existuje pouze skrze materii.“</w:t>
      </w:r>
      <w:r w:rsidR="007A51F8">
        <w:t> </w:t>
      </w:r>
      <w:r>
        <w:rPr>
          <w:rStyle w:val="Znakapoznpodarou"/>
        </w:rPr>
        <w:footnoteReference w:id="92"/>
      </w:r>
      <w:r>
        <w:t xml:space="preserve"> Konjunkce obou tezí představuje z hlediska prvního averroismu naprostý nesmysl. První teze je chybná a druhá nemá smysl vzhledem k nemateriálnímu intelektu, který je specifická schopnost nemateriální duše vykonávaná v modu </w:t>
      </w:r>
      <w:r w:rsidRPr="009E79E1">
        <w:rPr>
          <w:i/>
        </w:rPr>
        <w:t>inmixtus</w:t>
      </w:r>
      <w:r>
        <w:t xml:space="preserve"> vzhledem ke smyslovému poznání. A duše jako entelechická forma je individualizovaná skrze tělo. </w:t>
      </w:r>
      <w:r w:rsidRPr="00273106">
        <w:t xml:space="preserve">Protiklad daný nematerialitou intelektu a individualizací skrze </w:t>
      </w:r>
      <w:r>
        <w:t xml:space="preserve">teorii univerálního hylemorfismu </w:t>
      </w:r>
      <w:r w:rsidRPr="00273106">
        <w:t xml:space="preserve">založil dualismus </w:t>
      </w:r>
      <w:r>
        <w:t>moderny</w:t>
      </w:r>
      <w:r>
        <w:fldChar w:fldCharType="begin"/>
      </w:r>
      <w:r>
        <w:instrText xml:space="preserve"> XE "</w:instrText>
      </w:r>
      <w:r w:rsidRPr="00AA2362">
        <w:instrText>osoba:dualismus</w:instrText>
      </w:r>
      <w:r>
        <w:instrText xml:space="preserve">" </w:instrText>
      </w:r>
      <w:r>
        <w:fldChar w:fldCharType="end"/>
      </w:r>
      <w:r w:rsidRPr="00273106">
        <w:t xml:space="preserve">. </w:t>
      </w:r>
      <w:r>
        <w:t>Pechamovo averroistické</w:t>
      </w:r>
      <w:r w:rsidRPr="00273106">
        <w:t xml:space="preserve"> shrnutí pasivního intelektu s odvoláním na </w:t>
      </w:r>
      <w:r>
        <w:t>Averroes</w:t>
      </w:r>
      <w:r w:rsidRPr="00273106">
        <w:t xml:space="preserve">e ukazuje, že druhý averroismus </w:t>
      </w:r>
      <w:r>
        <w:t xml:space="preserve">znal </w:t>
      </w:r>
      <w:r w:rsidRPr="00273106">
        <w:t>argumentaci CMDA</w:t>
      </w:r>
      <w:r>
        <w:t xml:space="preserve"> a zásadně ji odmítl. Klíčové pasáže najdeme </w:t>
      </w:r>
      <w:r w:rsidRPr="08101151">
        <w:rPr>
          <w:i/>
        </w:rPr>
        <w:t>Quaestiones tractantes De anima</w:t>
      </w:r>
      <w:r>
        <w:t xml:space="preserve">, q. 4, item  7‒11 (ibid, pp. 40‒41). Pecham korektně shrnuje nauku CMDA ohledně </w:t>
      </w:r>
      <w:r w:rsidRPr="08101151">
        <w:rPr>
          <w:i/>
        </w:rPr>
        <w:t>intellectus possibilis</w:t>
      </w:r>
      <w:r>
        <w:t>.</w:t>
      </w:r>
    </w:p>
    <w:p w:rsidR="08163013" w:rsidRPr="005A0A39" w:rsidRDefault="08163013" w:rsidP="08163013">
      <w:pPr>
        <w:pStyle w:val="Citace"/>
        <w:rPr>
          <w:noProof/>
          <w:lang w:val="cs-CZ"/>
        </w:rPr>
      </w:pPr>
      <w:r w:rsidRPr="00273106">
        <w:rPr>
          <w:noProof/>
          <w:lang w:val="cs-CZ"/>
        </w:rPr>
        <w:t>„</w:t>
      </w:r>
      <w:r>
        <w:rPr>
          <w:noProof/>
          <w:lang w:val="cs-CZ"/>
        </w:rPr>
        <w:t xml:space="preserve">Komentátor tvrdí v definici materiálního intelektu, že je v potenci vůči všem materiálním univerzálním formám. Není v aktualitě jako substance, protože jinak by poznával jen sám sebe.“ </w:t>
      </w:r>
      <w:r>
        <w:rPr>
          <w:rStyle w:val="Znakapoznpodarou"/>
        </w:rPr>
        <w:footnoteReference w:id="93"/>
      </w:r>
    </w:p>
    <w:p w:rsidR="08163013" w:rsidRDefault="0077683F" w:rsidP="08163013">
      <w:r w:rsidRPr="0077683F">
        <w:t xml:space="preserve">Citát </w:t>
      </w:r>
      <w:r>
        <w:t xml:space="preserve">korektně </w:t>
      </w:r>
      <w:r w:rsidRPr="0077683F">
        <w:t xml:space="preserve">zmiňuje Averroesovu definici </w:t>
      </w:r>
      <w:r w:rsidRPr="0077683F">
        <w:rPr>
          <w:i/>
        </w:rPr>
        <w:t>intellectus materialis</w:t>
      </w:r>
      <w:r w:rsidRPr="0077683F">
        <w:t xml:space="preserve"> jako univerzální potence ve vztahu ke smyslovým formám poznání. </w:t>
      </w:r>
      <w:r w:rsidR="08163013">
        <w:t xml:space="preserve">Pecham se mýlí </w:t>
      </w:r>
      <w:r w:rsidR="08163013" w:rsidRPr="00273106">
        <w:t>v tom, že intencionální akt poznání těchto univerzálních forem je determinován materiáln</w:t>
      </w:r>
      <w:r w:rsidR="08163013">
        <w:t>ě</w:t>
      </w:r>
      <w:r w:rsidR="08163013" w:rsidRPr="00273106">
        <w:t xml:space="preserve"> </w:t>
      </w:r>
      <w:r w:rsidR="08163013">
        <w:t xml:space="preserve">pojatým </w:t>
      </w:r>
      <w:r w:rsidR="08163013" w:rsidRPr="00273106">
        <w:t>intelekt</w:t>
      </w:r>
      <w:r w:rsidR="08163013">
        <w:t>em daným substančně</w:t>
      </w:r>
      <w:r w:rsidR="08163013">
        <w:fldChar w:fldCharType="begin"/>
      </w:r>
      <w:r w:rsidR="08163013">
        <w:instrText xml:space="preserve"> XE "</w:instrText>
      </w:r>
      <w:r w:rsidR="08163013" w:rsidRPr="003349A9">
        <w:instrText>intencionalita:Pecham</w:instrText>
      </w:r>
      <w:r w:rsidR="08163013">
        <w:instrText xml:space="preserve">" </w:instrText>
      </w:r>
      <w:r w:rsidR="08163013">
        <w:fldChar w:fldCharType="end"/>
      </w:r>
      <w:r w:rsidR="08163013" w:rsidRPr="00273106">
        <w:t xml:space="preserve">. </w:t>
      </w:r>
      <w:r w:rsidR="08163013">
        <w:t>Tento modernista sofisticky připsal Averroesovi</w:t>
      </w:r>
      <w:r w:rsidR="08163013" w:rsidRPr="083C7D43">
        <w:t xml:space="preserve"> </w:t>
      </w:r>
      <w:r w:rsidR="08163013">
        <w:t xml:space="preserve">averroistické pojetí kosmického </w:t>
      </w:r>
      <w:r w:rsidR="08163013" w:rsidRPr="00273106">
        <w:rPr>
          <w:i/>
        </w:rPr>
        <w:t>intellectus possibilis</w:t>
      </w:r>
      <w:r w:rsidR="08163013">
        <w:rPr>
          <w:i/>
        </w:rPr>
        <w:fldChar w:fldCharType="begin"/>
      </w:r>
      <w:r w:rsidR="08163013">
        <w:instrText xml:space="preserve"> XE "</w:instrText>
      </w:r>
      <w:r w:rsidR="08163013" w:rsidRPr="00770D02">
        <w:rPr>
          <w:i/>
        </w:rPr>
        <w:instrText>intellectus possibilis</w:instrText>
      </w:r>
      <w:r w:rsidR="08163013">
        <w:instrText xml:space="preserve">" </w:instrText>
      </w:r>
      <w:r w:rsidR="08163013">
        <w:rPr>
          <w:i/>
        </w:rPr>
        <w:fldChar w:fldCharType="end"/>
      </w:r>
      <w:r w:rsidR="08163013" w:rsidRPr="00273106">
        <w:t xml:space="preserve"> </w:t>
      </w:r>
      <w:r w:rsidR="08163013">
        <w:t xml:space="preserve">jako nemateriální substance. </w:t>
      </w:r>
      <w:r w:rsidR="004E0345" w:rsidRPr="004E0345">
        <w:t>Následující text potvrzuje odmítnutí klas</w:t>
      </w:r>
      <w:r w:rsidR="004E0345">
        <w:t>ické aristotelské jednoty osoby</w:t>
      </w:r>
      <w:r w:rsidR="08163013">
        <w:t>.</w:t>
      </w:r>
    </w:p>
    <w:p w:rsidR="08163013" w:rsidRPr="08BB4CE9" w:rsidRDefault="08163013" w:rsidP="08163013">
      <w:pPr>
        <w:pStyle w:val="Citace"/>
        <w:rPr>
          <w:lang w:val="cs-CZ"/>
        </w:rPr>
      </w:pPr>
      <w:r>
        <w:t>„</w:t>
      </w:r>
      <w:r>
        <w:rPr>
          <w:lang w:val="cs-CZ"/>
        </w:rPr>
        <w:t xml:space="preserve">Intelekt je nemateriální substance. A není jiná možnost numerické individuace než skrze materii. Z toho vyplývá, že intelekt nemá materii. Komentátor dokazuje, že intelekt je nemateriální a postrádá </w:t>
      </w:r>
      <w:r>
        <w:rPr>
          <w:lang w:val="cs-CZ"/>
        </w:rPr>
        <w:lastRenderedPageBreak/>
        <w:t xml:space="preserve">materii. Kdyby měl formu v materii, pak by inteligibilní poznatky v potenci byly jako smyslové materiální věci a nešly by poznat skrze abstrakci. Proto říká Filosof ve třetí knize </w:t>
      </w:r>
      <w:r w:rsidRPr="08BB4CE9">
        <w:rPr>
          <w:i/>
          <w:lang w:val="cs-CZ"/>
        </w:rPr>
        <w:t>De anima</w:t>
      </w:r>
      <w:r>
        <w:rPr>
          <w:lang w:val="cs-CZ"/>
        </w:rPr>
        <w:t xml:space="preserve">: </w:t>
      </w:r>
      <w:r>
        <w:t>«</w:t>
      </w:r>
      <w:r>
        <w:rPr>
          <w:lang w:val="cs-CZ"/>
        </w:rPr>
        <w:t>V materiálních věcech je pouze potence k inteligibilnímu porozumění</w:t>
      </w:r>
      <w:r>
        <w:t>.»</w:t>
      </w:r>
      <w:r>
        <w:rPr>
          <w:lang w:val="cs-CZ"/>
        </w:rPr>
        <w:t xml:space="preserve"> Ale to je omyl.“ </w:t>
      </w:r>
      <w:r>
        <w:rPr>
          <w:rStyle w:val="Znakapoznpodarou"/>
        </w:rPr>
        <w:footnoteReference w:id="94"/>
      </w:r>
    </w:p>
    <w:p w:rsidR="08163013" w:rsidRPr="00832A6B" w:rsidRDefault="08163013" w:rsidP="08163013">
      <w:r>
        <w:t xml:space="preserve">Averroes je pro </w:t>
      </w:r>
      <w:proofErr w:type="gramStart"/>
      <w:r>
        <w:t>Pechama</w:t>
      </w:r>
      <w:proofErr w:type="gramEnd"/>
      <w:r>
        <w:t xml:space="preserve"> stejně jako pro Bonaventuru čistý averroista, který má </w:t>
      </w:r>
      <w:r w:rsidRPr="08BB4CE9">
        <w:rPr>
          <w:i/>
        </w:rPr>
        <w:t>intelle</w:t>
      </w:r>
      <w:r>
        <w:rPr>
          <w:i/>
        </w:rPr>
        <w:t>ctus possibi</w:t>
      </w:r>
      <w:r w:rsidRPr="08BB4CE9">
        <w:rPr>
          <w:i/>
        </w:rPr>
        <w:t>lis</w:t>
      </w:r>
      <w:r>
        <w:rPr>
          <w:i/>
        </w:rPr>
        <w:t xml:space="preserve"> </w:t>
      </w:r>
      <w:r>
        <w:t xml:space="preserve">jako kosmickou formu </w:t>
      </w:r>
      <w:r w:rsidR="0066084E">
        <w:t>jednotnou</w:t>
      </w:r>
      <w:r>
        <w:t xml:space="preserve"> pro všechny lidi. Pak prý </w:t>
      </w:r>
      <w:r w:rsidR="004E59F0">
        <w:t xml:space="preserve">Averroes </w:t>
      </w:r>
      <w:r>
        <w:t>nemůže stejně jako Aristoteles individualizovat intelekt v</w:t>
      </w:r>
      <w:r w:rsidR="00C412CE">
        <w:t> </w:t>
      </w:r>
      <w:r>
        <w:t>duši</w:t>
      </w:r>
      <w:r w:rsidR="00C412CE">
        <w:t xml:space="preserve">. Podle modernistů </w:t>
      </w:r>
      <w:r>
        <w:t xml:space="preserve">jim chybí </w:t>
      </w:r>
      <w:r w:rsidRPr="08BB4CE9">
        <w:rPr>
          <w:i/>
        </w:rPr>
        <w:t>materia spiritualis</w:t>
      </w:r>
      <w:r w:rsidR="00C412CE">
        <w:t xml:space="preserve"> nutná k individuaci intelektu</w:t>
      </w:r>
      <w:r>
        <w:t xml:space="preserve">. </w:t>
      </w:r>
      <w:r w:rsidR="00593E69">
        <w:t>Jde o s</w:t>
      </w:r>
      <w:r>
        <w:t>chéma nasvícení poznání zezadu, od hypostázovaného aktuálního intelektu</w:t>
      </w:r>
      <w:r w:rsidR="00593E69">
        <w:t xml:space="preserve">, který osvěcuje </w:t>
      </w:r>
      <w:r>
        <w:t>hypostázovan</w:t>
      </w:r>
      <w:r w:rsidR="00593E69">
        <w:t xml:space="preserve">ý </w:t>
      </w:r>
      <w:r>
        <w:t>receptivní</w:t>
      </w:r>
      <w:r w:rsidR="00593E69">
        <w:t xml:space="preserve"> </w:t>
      </w:r>
      <w:r>
        <w:t xml:space="preserve">intelekt. Zrušením Averroesova </w:t>
      </w:r>
      <w:r w:rsidRPr="00DF16AC">
        <w:rPr>
          <w:i/>
        </w:rPr>
        <w:t>intellectus materialis</w:t>
      </w:r>
      <w:r>
        <w:rPr>
          <w:i/>
        </w:rPr>
        <w:fldChar w:fldCharType="begin"/>
      </w:r>
      <w:r>
        <w:instrText xml:space="preserve"> XE "</w:instrText>
      </w:r>
      <w:r w:rsidRPr="00BE489A">
        <w:rPr>
          <w:i/>
        </w:rPr>
        <w:instrText>intellectus materialis:</w:instrText>
      </w:r>
      <w:r>
        <w:instrText xml:space="preserve">Averroes" </w:instrText>
      </w:r>
      <w:r>
        <w:rPr>
          <w:i/>
        </w:rPr>
        <w:fldChar w:fldCharType="end"/>
      </w:r>
      <w:r>
        <w:t xml:space="preserve"> jako nemateriální schopnosti duše j</w:t>
      </w:r>
      <w:r w:rsidRPr="00273106">
        <w:t xml:space="preserve">e </w:t>
      </w:r>
      <w:r>
        <w:t xml:space="preserve">receptivní </w:t>
      </w:r>
      <w:r w:rsidRPr="00273106">
        <w:t xml:space="preserve">poznání </w:t>
      </w:r>
      <w:r>
        <w:t xml:space="preserve">univerzálních forem </w:t>
      </w:r>
      <w:r w:rsidRPr="00273106">
        <w:t xml:space="preserve">určeno materiálně. </w:t>
      </w:r>
      <w:r>
        <w:t>Moderna individualizuje receptivní intelekt v člověku skrze materii třetího druhu</w:t>
      </w:r>
      <w:r w:rsidR="00877324">
        <w:t>. Ta z</w:t>
      </w:r>
      <w:r w:rsidRPr="00273106">
        <w:t>aruč</w:t>
      </w:r>
      <w:r>
        <w:t>uje individualizaci</w:t>
      </w:r>
      <w:r w:rsidRPr="00273106">
        <w:t xml:space="preserve"> </w:t>
      </w:r>
      <w:r>
        <w:t xml:space="preserve">a receptivitu </w:t>
      </w:r>
      <w:r w:rsidR="00237A4A">
        <w:t xml:space="preserve">objektivně určeného </w:t>
      </w:r>
      <w:r w:rsidR="00877324" w:rsidRPr="00DF16AC">
        <w:rPr>
          <w:i/>
        </w:rPr>
        <w:t>intellectus materialis</w:t>
      </w:r>
      <w:r w:rsidR="00877324">
        <w:rPr>
          <w:i/>
        </w:rPr>
        <w:t xml:space="preserve"> </w:t>
      </w:r>
      <w:r w:rsidRPr="00273106">
        <w:t xml:space="preserve">v jednotlivém výkonu poznání té či oné osoby. Potence receptivního intelektu musí být daná v nějaké </w:t>
      </w:r>
      <w:r>
        <w:t xml:space="preserve">substancializované </w:t>
      </w:r>
      <w:r w:rsidRPr="00273106">
        <w:t xml:space="preserve">materii, jinak není individuální. </w:t>
      </w:r>
      <w:r>
        <w:t>Pecham</w:t>
      </w:r>
      <w:r w:rsidRPr="00273106">
        <w:t xml:space="preserve"> proto oddělil po vzoru avicennistů jako Aegidius Romanus</w:t>
      </w:r>
      <w:r>
        <w:fldChar w:fldCharType="begin"/>
      </w:r>
      <w:r>
        <w:instrText xml:space="preserve"> XE "</w:instrText>
      </w:r>
      <w:r w:rsidRPr="00B54432">
        <w:instrText>Aegidius Romanus</w:instrText>
      </w:r>
      <w:r>
        <w:instrText xml:space="preserve">" </w:instrText>
      </w:r>
      <w:r>
        <w:fldChar w:fldCharType="end"/>
      </w:r>
      <w:r w:rsidRPr="00273106">
        <w:t xml:space="preserve">  receptivní složku nemateriálního intelektu od smyslové abstrakce</w:t>
      </w:r>
      <w:r>
        <w:t xml:space="preserve"> </w:t>
      </w:r>
      <w:r w:rsidR="08E81F3B">
        <w:t>(kap. 4</w:t>
      </w:r>
      <w:r w:rsidRPr="00273106">
        <w:t xml:space="preserve">.3.2). </w:t>
      </w:r>
      <w:r w:rsidR="00237A4A">
        <w:t xml:space="preserve">Zavedení </w:t>
      </w:r>
      <w:r>
        <w:t xml:space="preserve">materie třetího druhu </w:t>
      </w:r>
      <w:r w:rsidR="00237A4A">
        <w:t>ale vytvořilo konfúzi</w:t>
      </w:r>
      <w:r>
        <w:t xml:space="preserve"> mezi individuálním určením </w:t>
      </w:r>
      <w:r w:rsidR="00962190">
        <w:rPr>
          <w:i/>
        </w:rPr>
        <w:t>species</w:t>
      </w:r>
      <w:r>
        <w:rPr>
          <w:i/>
        </w:rPr>
        <w:t xml:space="preserve"> sensi</w:t>
      </w:r>
      <w:r w:rsidRPr="001B57A6">
        <w:rPr>
          <w:i/>
        </w:rPr>
        <w:t>bilis</w:t>
      </w:r>
      <w:r>
        <w:rPr>
          <w:i/>
        </w:rPr>
        <w:fldChar w:fldCharType="begin"/>
      </w:r>
      <w:r>
        <w:instrText xml:space="preserve"> XE "</w:instrText>
      </w:r>
      <w:r w:rsidRPr="00374FA1">
        <w:rPr>
          <w:i/>
        </w:rPr>
        <w:instrText>species sensibilis</w:instrText>
      </w:r>
      <w:r>
        <w:instrText xml:space="preserve">" </w:instrText>
      </w:r>
      <w:r>
        <w:rPr>
          <w:i/>
        </w:rPr>
        <w:fldChar w:fldCharType="end"/>
      </w:r>
      <w:r>
        <w:t xml:space="preserve"> a univerzálním určením </w:t>
      </w:r>
      <w:r w:rsidR="00962190">
        <w:rPr>
          <w:i/>
        </w:rPr>
        <w:t>species</w:t>
      </w:r>
      <w:r w:rsidRPr="001B57A6">
        <w:rPr>
          <w:i/>
        </w:rPr>
        <w:t xml:space="preserve"> intelligibilis</w:t>
      </w:r>
      <w:r>
        <w:rPr>
          <w:i/>
        </w:rPr>
        <w:fldChar w:fldCharType="begin"/>
      </w:r>
      <w:r>
        <w:instrText xml:space="preserve"> XE "</w:instrText>
      </w:r>
      <w:r w:rsidRPr="00DD403C">
        <w:rPr>
          <w:i/>
        </w:rPr>
        <w:instrText>species intelligibilis:</w:instrText>
      </w:r>
      <w:r w:rsidRPr="00CD1D3B">
        <w:instrText>Pecham</w:instrText>
      </w:r>
      <w:r>
        <w:instrText xml:space="preserve">" </w:instrText>
      </w:r>
      <w:r>
        <w:rPr>
          <w:i/>
        </w:rPr>
        <w:fldChar w:fldCharType="end"/>
      </w:r>
      <w:r>
        <w:t xml:space="preserve">. Devátá kvestie Pechamova traktátu ukazuje základní </w:t>
      </w:r>
      <w:r w:rsidRPr="00273106">
        <w:t xml:space="preserve">řešení druhého averroismu pro </w:t>
      </w:r>
      <w:r w:rsidRPr="00273106">
        <w:rPr>
          <w:i/>
        </w:rPr>
        <w:t>intellectus possibilis</w:t>
      </w:r>
      <w:r>
        <w:rPr>
          <w:i/>
        </w:rPr>
        <w:fldChar w:fldCharType="begin"/>
      </w:r>
      <w:r>
        <w:instrText xml:space="preserve"> XE "</w:instrText>
      </w:r>
      <w:r w:rsidRPr="009A2925">
        <w:rPr>
          <w:i/>
        </w:rPr>
        <w:instrText>intellectus possibilis</w:instrText>
      </w:r>
      <w:r>
        <w:rPr>
          <w:i/>
        </w:rPr>
        <w:instrText>:</w:instrText>
      </w:r>
      <w:r w:rsidRPr="00BA59C9">
        <w:instrText>druhý averroismus</w:instrText>
      </w:r>
      <w:r>
        <w:instrText xml:space="preserve">" </w:instrText>
      </w:r>
      <w:r>
        <w:rPr>
          <w:i/>
        </w:rPr>
        <w:fldChar w:fldCharType="end"/>
      </w:r>
      <w:r w:rsidRPr="00273106">
        <w:t xml:space="preserve">. </w:t>
      </w:r>
      <w:r>
        <w:t>Pecham</w:t>
      </w:r>
      <w:r w:rsidRPr="00273106">
        <w:t xml:space="preserve"> nejprve správně konstatuje základní tezi Komentátora o plné dete</w:t>
      </w:r>
      <w:r>
        <w:t>rminaci intelektu skrze smysly (</w:t>
      </w:r>
      <w:r w:rsidRPr="000D344A">
        <w:rPr>
          <w:i/>
        </w:rPr>
        <w:t xml:space="preserve">nihil </w:t>
      </w:r>
      <w:r w:rsidRPr="000D344A">
        <w:rPr>
          <w:i/>
          <w:szCs w:val="11"/>
        </w:rPr>
        <w:t xml:space="preserve">intelligit </w:t>
      </w:r>
      <w:r w:rsidRPr="000D344A">
        <w:rPr>
          <w:i/>
          <w:szCs w:val="13"/>
        </w:rPr>
        <w:t xml:space="preserve">sine </w:t>
      </w:r>
      <w:r w:rsidRPr="000D344A">
        <w:rPr>
          <w:i/>
          <w:szCs w:val="14"/>
        </w:rPr>
        <w:t>imaginatione</w:t>
      </w:r>
      <w:r>
        <w:t>).</w:t>
      </w:r>
      <w:r>
        <w:rPr>
          <w:rStyle w:val="Znakapoznpodarou"/>
        </w:rPr>
        <w:footnoteReference w:id="95"/>
      </w:r>
      <w:r>
        <w:t xml:space="preserve"> </w:t>
      </w:r>
      <w:r w:rsidRPr="00273106">
        <w:rPr>
          <w:szCs w:val="12"/>
        </w:rPr>
        <w:t xml:space="preserve">Pak řekne, že kámen poznáváme skrze podobnost v rámci </w:t>
      </w:r>
      <w:r w:rsidR="00962190">
        <w:rPr>
          <w:i/>
          <w:szCs w:val="12"/>
        </w:rPr>
        <w:t>species</w:t>
      </w:r>
      <w:r w:rsidRPr="00273106">
        <w:rPr>
          <w:szCs w:val="12"/>
        </w:rPr>
        <w:t xml:space="preserve"> uložen</w:t>
      </w:r>
      <w:r>
        <w:rPr>
          <w:szCs w:val="12"/>
        </w:rPr>
        <w:t>é</w:t>
      </w:r>
      <w:r w:rsidRPr="00273106">
        <w:rPr>
          <w:szCs w:val="12"/>
        </w:rPr>
        <w:t xml:space="preserve"> v augustiniánské formě paměti </w:t>
      </w:r>
      <w:r>
        <w:rPr>
          <w:szCs w:val="12"/>
        </w:rPr>
        <w:t>(</w:t>
      </w:r>
      <w:r w:rsidRPr="00025632">
        <w:rPr>
          <w:i/>
          <w:szCs w:val="12"/>
        </w:rPr>
        <w:t>memoria</w:t>
      </w:r>
      <w:r>
        <w:rPr>
          <w:i/>
          <w:szCs w:val="12"/>
        </w:rPr>
        <w:fldChar w:fldCharType="begin"/>
      </w:r>
      <w:r>
        <w:instrText xml:space="preserve"> XE "</w:instrText>
      </w:r>
      <w:r w:rsidRPr="00840D0F">
        <w:rPr>
          <w:i/>
        </w:rPr>
        <w:instrText>memoria:</w:instrText>
      </w:r>
      <w:r w:rsidRPr="00840D0F">
        <w:instrText>druhý averroismus</w:instrText>
      </w:r>
      <w:r>
        <w:instrText xml:space="preserve">" </w:instrText>
      </w:r>
      <w:r>
        <w:rPr>
          <w:i/>
          <w:szCs w:val="12"/>
        </w:rPr>
        <w:fldChar w:fldCharType="end"/>
      </w:r>
      <w:r>
        <w:rPr>
          <w:szCs w:val="12"/>
        </w:rPr>
        <w:t>). Její role pro v</w:t>
      </w:r>
      <w:r w:rsidRPr="00273106">
        <w:rPr>
          <w:szCs w:val="12"/>
        </w:rPr>
        <w:t>y</w:t>
      </w:r>
      <w:r>
        <w:rPr>
          <w:szCs w:val="12"/>
        </w:rPr>
        <w:t>t</w:t>
      </w:r>
      <w:r w:rsidRPr="00273106">
        <w:rPr>
          <w:szCs w:val="12"/>
        </w:rPr>
        <w:t xml:space="preserve">váření </w:t>
      </w:r>
      <w:r>
        <w:rPr>
          <w:szCs w:val="12"/>
        </w:rPr>
        <w:t xml:space="preserve">podobnosti </w:t>
      </w:r>
      <w:r w:rsidRPr="00273106">
        <w:rPr>
          <w:szCs w:val="12"/>
        </w:rPr>
        <w:t>mezi věcí a intelektem je napro</w:t>
      </w:r>
      <w:r>
        <w:rPr>
          <w:szCs w:val="12"/>
        </w:rPr>
        <w:t xml:space="preserve">sto </w:t>
      </w:r>
      <w:r w:rsidR="005C50DB">
        <w:rPr>
          <w:szCs w:val="12"/>
        </w:rPr>
        <w:t>zásadní</w:t>
      </w:r>
      <w:r>
        <w:rPr>
          <w:szCs w:val="12"/>
        </w:rPr>
        <w:t xml:space="preserve">. Ve schématu poznání chybí rozdíl </w:t>
      </w:r>
      <w:r>
        <w:rPr>
          <w:szCs w:val="12"/>
        </w:rPr>
        <w:lastRenderedPageBreak/>
        <w:t xml:space="preserve">mezi </w:t>
      </w:r>
      <w:r w:rsidR="00962190">
        <w:rPr>
          <w:i/>
          <w:szCs w:val="12"/>
        </w:rPr>
        <w:t>species</w:t>
      </w:r>
      <w:r w:rsidRPr="004625FE">
        <w:rPr>
          <w:i/>
          <w:szCs w:val="12"/>
        </w:rPr>
        <w:t xml:space="preserve"> sensibilis</w:t>
      </w:r>
      <w:r>
        <w:rPr>
          <w:szCs w:val="12"/>
        </w:rPr>
        <w:t xml:space="preserve"> a </w:t>
      </w:r>
      <w:r w:rsidRPr="004625FE">
        <w:rPr>
          <w:i/>
          <w:szCs w:val="12"/>
        </w:rPr>
        <w:t>intelligib</w:t>
      </w:r>
      <w:r>
        <w:rPr>
          <w:i/>
          <w:szCs w:val="12"/>
        </w:rPr>
        <w:t>i</w:t>
      </w:r>
      <w:r w:rsidRPr="004625FE">
        <w:rPr>
          <w:i/>
          <w:szCs w:val="12"/>
        </w:rPr>
        <w:t>lis</w:t>
      </w:r>
      <w:r>
        <w:rPr>
          <w:szCs w:val="12"/>
        </w:rPr>
        <w:t>, protože</w:t>
      </w:r>
      <w:r w:rsidR="088A3D8B">
        <w:rPr>
          <w:szCs w:val="12"/>
        </w:rPr>
        <w:t xml:space="preserve"> moderní </w:t>
      </w:r>
      <w:r w:rsidR="00962190" w:rsidRPr="007A51F8">
        <w:rPr>
          <w:szCs w:val="12"/>
        </w:rPr>
        <w:t>species</w:t>
      </w:r>
      <w:r>
        <w:rPr>
          <w:szCs w:val="12"/>
        </w:rPr>
        <w:t xml:space="preserve"> má univočně-objektivní charakter</w:t>
      </w:r>
      <w:r>
        <w:rPr>
          <w:szCs w:val="12"/>
        </w:rPr>
        <w:fldChar w:fldCharType="begin"/>
      </w:r>
      <w:r>
        <w:instrText xml:space="preserve"> XE "</w:instrText>
      </w:r>
      <w:r w:rsidRPr="00D962F9">
        <w:instrText>species:objektivní</w:instrText>
      </w:r>
      <w:r>
        <w:instrText xml:space="preserve">" </w:instrText>
      </w:r>
      <w:r>
        <w:rPr>
          <w:szCs w:val="12"/>
        </w:rPr>
        <w:fldChar w:fldCharType="end"/>
      </w:r>
      <w:r>
        <w:rPr>
          <w:szCs w:val="12"/>
        </w:rPr>
        <w:t>.</w:t>
      </w:r>
    </w:p>
    <w:p w:rsidR="08163013" w:rsidRDefault="08163013" w:rsidP="08163013">
      <w:pPr>
        <w:pStyle w:val="Citace"/>
        <w:rPr>
          <w:noProof/>
          <w:lang w:val="cs-CZ"/>
        </w:rPr>
      </w:pPr>
      <w:r w:rsidRPr="00273106">
        <w:rPr>
          <w:noProof/>
          <w:lang w:val="cs-CZ"/>
        </w:rPr>
        <w:t>„</w:t>
      </w:r>
      <w:r>
        <w:rPr>
          <w:noProof/>
          <w:lang w:val="cs-CZ"/>
        </w:rPr>
        <w:t xml:space="preserve">Představivost se nejprve vtiskuje do smyslů, pak do mysli. Takto vidíme věc jako přítomnou, ale poznáváme ji jako nepřítomnou. Přítomnou věc poznáváme skrze smyslové poznání, nepřítomnou věc  poznáváme od smyslů skrze pohyb poznání daný v intelektu nebo v představivosti.  Proto je </w:t>
      </w:r>
      <w:r w:rsidR="00962190">
        <w:rPr>
          <w:i/>
          <w:noProof/>
          <w:lang w:val="cs-CZ"/>
        </w:rPr>
        <w:t>species</w:t>
      </w:r>
      <w:r>
        <w:rPr>
          <w:noProof/>
          <w:lang w:val="cs-CZ"/>
        </w:rPr>
        <w:t xml:space="preserve"> věci v duši i tehdy, když reálná věc není přítomná.  V duši není kámen, ale smyslová </w:t>
      </w:r>
      <w:r w:rsidR="00962190">
        <w:rPr>
          <w:i/>
          <w:noProof/>
          <w:lang w:val="cs-CZ"/>
        </w:rPr>
        <w:t>species</w:t>
      </w:r>
      <w:r>
        <w:rPr>
          <w:noProof/>
          <w:lang w:val="cs-CZ"/>
        </w:rPr>
        <w:t xml:space="preserve"> kamene. Něco jiného je inteligibilní </w:t>
      </w:r>
      <w:r w:rsidR="00962190">
        <w:rPr>
          <w:i/>
          <w:noProof/>
          <w:lang w:val="cs-CZ"/>
        </w:rPr>
        <w:t>species</w:t>
      </w:r>
      <w:r>
        <w:rPr>
          <w:noProof/>
          <w:lang w:val="cs-CZ"/>
        </w:rPr>
        <w:t xml:space="preserve"> (</w:t>
      </w:r>
      <w:r w:rsidR="00962190">
        <w:rPr>
          <w:i/>
          <w:noProof/>
          <w:szCs w:val="14"/>
        </w:rPr>
        <w:t>species</w:t>
      </w:r>
      <w:r w:rsidRPr="004625FE">
        <w:rPr>
          <w:i/>
          <w:noProof/>
          <w:szCs w:val="14"/>
        </w:rPr>
        <w:t xml:space="preserve"> </w:t>
      </w:r>
      <w:r w:rsidRPr="004625FE">
        <w:rPr>
          <w:i/>
          <w:noProof/>
          <w:szCs w:val="12"/>
        </w:rPr>
        <w:t>intellectualis</w:t>
      </w:r>
      <w:r>
        <w:rPr>
          <w:noProof/>
          <w:lang w:val="cs-CZ"/>
        </w:rPr>
        <w:t>) uchopená intelektem ve výkonu porozumění (</w:t>
      </w:r>
      <w:r w:rsidRPr="004625FE">
        <w:rPr>
          <w:i/>
          <w:noProof/>
          <w:szCs w:val="13"/>
        </w:rPr>
        <w:t xml:space="preserve">in acie </w:t>
      </w:r>
      <w:r w:rsidRPr="004625FE">
        <w:rPr>
          <w:i/>
          <w:noProof/>
          <w:szCs w:val="12"/>
        </w:rPr>
        <w:t>intelligentiae</w:t>
      </w:r>
      <w:r>
        <w:rPr>
          <w:noProof/>
          <w:lang w:val="cs-CZ"/>
        </w:rPr>
        <w:t>), nebo když se nachází v pokladnici intelektuální paměti (</w:t>
      </w:r>
      <w:r w:rsidRPr="004625FE">
        <w:rPr>
          <w:i/>
          <w:noProof/>
          <w:szCs w:val="13"/>
        </w:rPr>
        <w:t xml:space="preserve">in </w:t>
      </w:r>
      <w:r w:rsidRPr="004625FE">
        <w:rPr>
          <w:i/>
          <w:noProof/>
        </w:rPr>
        <w:t xml:space="preserve">thesauro </w:t>
      </w:r>
      <w:r w:rsidRPr="004625FE">
        <w:rPr>
          <w:i/>
          <w:noProof/>
          <w:szCs w:val="12"/>
        </w:rPr>
        <w:t xml:space="preserve">intellectualis </w:t>
      </w:r>
      <w:r w:rsidRPr="004625FE">
        <w:rPr>
          <w:i/>
          <w:noProof/>
          <w:szCs w:val="16"/>
        </w:rPr>
        <w:t>memoriae</w:t>
      </w:r>
      <w:r>
        <w:rPr>
          <w:noProof/>
          <w:lang w:val="cs-CZ"/>
        </w:rPr>
        <w:t xml:space="preserve">).“ </w:t>
      </w:r>
      <w:r>
        <w:rPr>
          <w:rStyle w:val="Znakapoznpodarou"/>
        </w:rPr>
        <w:footnoteReference w:id="96"/>
      </w:r>
    </w:p>
    <w:p w:rsidR="00A507E4" w:rsidRDefault="00510C0E" w:rsidP="08163013">
      <w:r w:rsidRPr="00510C0E">
        <w:t xml:space="preserve">Postup poznání probíhá opačně než v prvním averroismu. Protože </w:t>
      </w:r>
      <w:r>
        <w:t xml:space="preserve">species </w:t>
      </w:r>
      <w:r w:rsidRPr="00510C0E">
        <w:t xml:space="preserve">je hypostatizované </w:t>
      </w:r>
      <w:r w:rsidRPr="00197425">
        <w:rPr>
          <w:i/>
        </w:rPr>
        <w:t>tertium ens</w:t>
      </w:r>
      <w:r w:rsidRPr="00510C0E">
        <w:t xml:space="preserve">, lze jej nalézt i mimo činnost tělesných smyslů. Stejný scénář poznání má i Bonaventura. Aristotelská abstrakce platí výhradně ze smyslů, neboť neexistuje jiný způsob, jak by se </w:t>
      </w:r>
      <w:r w:rsidRPr="00510C0E">
        <w:rPr>
          <w:i/>
        </w:rPr>
        <w:t>species sensibilis</w:t>
      </w:r>
      <w:r w:rsidRPr="00510C0E">
        <w:t xml:space="preserve"> mohla aktualizovat.</w:t>
      </w:r>
      <w:r>
        <w:t xml:space="preserve"> </w:t>
      </w:r>
      <w:r w:rsidR="00197425">
        <w:t xml:space="preserve">Vysvětlení Pechama </w:t>
      </w:r>
      <w:r w:rsidR="08163013">
        <w:t xml:space="preserve">je založeno </w:t>
      </w:r>
      <w:r w:rsidR="00DF63E8" w:rsidRPr="00DF63E8">
        <w:t>na zvláš</w:t>
      </w:r>
      <w:r w:rsidR="00E90EA4">
        <w:t>tním uložení</w:t>
      </w:r>
      <w:r w:rsidR="00DF63E8">
        <w:fldChar w:fldCharType="begin"/>
      </w:r>
      <w:r w:rsidR="00DF63E8">
        <w:instrText xml:space="preserve"> XE "</w:instrText>
      </w:r>
      <w:r w:rsidR="00DF63E8" w:rsidRPr="00C21A77">
        <w:rPr>
          <w:i/>
        </w:rPr>
        <w:instrText>locus specierum</w:instrText>
      </w:r>
      <w:r w:rsidR="00DF63E8">
        <w:instrText xml:space="preserve">" </w:instrText>
      </w:r>
      <w:r w:rsidR="00DF63E8">
        <w:fldChar w:fldCharType="end"/>
      </w:r>
      <w:r w:rsidR="00E90EA4">
        <w:t xml:space="preserve"> </w:t>
      </w:r>
      <w:r w:rsidR="00DF63E8">
        <w:t>porretánských species</w:t>
      </w:r>
      <w:r w:rsidR="00DF63E8" w:rsidRPr="00DF63E8">
        <w:t xml:space="preserve">, přičemž otisk </w:t>
      </w:r>
      <w:r w:rsidR="00DF63E8">
        <w:t xml:space="preserve">přijde do </w:t>
      </w:r>
      <w:r w:rsidR="00DF63E8" w:rsidRPr="00DF63E8">
        <w:t>smyslové</w:t>
      </w:r>
      <w:r w:rsidR="00DF63E8">
        <w:t xml:space="preserve"> představivosti a pak do intelektuální složky duše </w:t>
      </w:r>
      <w:r w:rsidR="08163013" w:rsidRPr="00273106">
        <w:t>(</w:t>
      </w:r>
      <w:r w:rsidR="08163013" w:rsidRPr="00273106">
        <w:rPr>
          <w:i/>
          <w:szCs w:val="16"/>
        </w:rPr>
        <w:t xml:space="preserve">imaginariam quae </w:t>
      </w:r>
      <w:r w:rsidR="08163013" w:rsidRPr="00273106">
        <w:rPr>
          <w:i/>
          <w:szCs w:val="14"/>
        </w:rPr>
        <w:t xml:space="preserve">imprimitur </w:t>
      </w:r>
      <w:r w:rsidR="08163013" w:rsidRPr="00273106">
        <w:rPr>
          <w:i/>
          <w:szCs w:val="12"/>
        </w:rPr>
        <w:t xml:space="preserve">in </w:t>
      </w:r>
      <w:r w:rsidR="08163013" w:rsidRPr="00273106">
        <w:rPr>
          <w:i/>
          <w:szCs w:val="14"/>
        </w:rPr>
        <w:t xml:space="preserve">sensu, </w:t>
      </w:r>
      <w:r w:rsidR="08163013" w:rsidRPr="00273106">
        <w:rPr>
          <w:i/>
        </w:rPr>
        <w:t xml:space="preserve">deinde </w:t>
      </w:r>
      <w:r w:rsidR="08163013" w:rsidRPr="00273106">
        <w:rPr>
          <w:i/>
          <w:szCs w:val="12"/>
        </w:rPr>
        <w:t>in spiritu</w:t>
      </w:r>
      <w:r w:rsidR="08163013" w:rsidRPr="00273106">
        <w:t xml:space="preserve">). </w:t>
      </w:r>
      <w:r w:rsidR="08163013">
        <w:t xml:space="preserve">Klíčové je rozlišení mezi dvěma druhy </w:t>
      </w:r>
      <w:r w:rsidR="00962190">
        <w:rPr>
          <w:i/>
        </w:rPr>
        <w:t>species</w:t>
      </w:r>
      <w:r w:rsidR="08163013" w:rsidRPr="083A3825">
        <w:rPr>
          <w:i/>
        </w:rPr>
        <w:t xml:space="preserve"> intelligibilis</w:t>
      </w:r>
      <w:r w:rsidR="08163013">
        <w:t xml:space="preserve">. Pecham nechá do augustiniánské </w:t>
      </w:r>
      <w:r w:rsidR="08163013" w:rsidRPr="083A3825">
        <w:rPr>
          <w:i/>
        </w:rPr>
        <w:t>memoria</w:t>
      </w:r>
      <w:r w:rsidR="08163013">
        <w:t xml:space="preserve"> přijít </w:t>
      </w:r>
      <w:r w:rsidR="00962190">
        <w:rPr>
          <w:i/>
        </w:rPr>
        <w:t>species</w:t>
      </w:r>
      <w:r w:rsidR="08163013" w:rsidRPr="083A3825">
        <w:rPr>
          <w:i/>
        </w:rPr>
        <w:t xml:space="preserve"> intelligibilis</w:t>
      </w:r>
      <w:r w:rsidR="007A51F8">
        <w:t>. Ale tato uložená</w:t>
      </w:r>
      <w:r w:rsidR="08163013">
        <w:t xml:space="preserve"> </w:t>
      </w:r>
      <w:r w:rsidR="00962190" w:rsidRPr="007A51F8">
        <w:rPr>
          <w:i/>
          <w:szCs w:val="14"/>
        </w:rPr>
        <w:t>species</w:t>
      </w:r>
      <w:r w:rsidR="08163013" w:rsidRPr="083A3825">
        <w:rPr>
          <w:i/>
          <w:szCs w:val="14"/>
        </w:rPr>
        <w:t xml:space="preserve"> </w:t>
      </w:r>
      <w:r w:rsidR="08163013" w:rsidRPr="083A3825">
        <w:rPr>
          <w:i/>
          <w:szCs w:val="12"/>
        </w:rPr>
        <w:t>intellectualis</w:t>
      </w:r>
      <w:r w:rsidR="08163013">
        <w:rPr>
          <w:szCs w:val="12"/>
        </w:rPr>
        <w:t xml:space="preserve"> slouží jako objekt nového náhledu daného skrze substanční </w:t>
      </w:r>
      <w:r w:rsidR="08163013" w:rsidRPr="083A3825">
        <w:rPr>
          <w:i/>
          <w:szCs w:val="12"/>
        </w:rPr>
        <w:t>intellectus agens</w:t>
      </w:r>
      <w:r w:rsidR="08163013">
        <w:rPr>
          <w:szCs w:val="12"/>
        </w:rPr>
        <w:t xml:space="preserve"> v duši napojený na boží sféru objektivních exemplarů a forem (</w:t>
      </w:r>
      <w:r w:rsidR="08163013" w:rsidRPr="083A3825">
        <w:rPr>
          <w:i/>
          <w:szCs w:val="13"/>
        </w:rPr>
        <w:t xml:space="preserve">acie </w:t>
      </w:r>
      <w:r w:rsidR="08163013" w:rsidRPr="083A3825">
        <w:rPr>
          <w:i/>
          <w:szCs w:val="12"/>
        </w:rPr>
        <w:t>intelligentiae</w:t>
      </w:r>
      <w:r w:rsidR="08163013">
        <w:rPr>
          <w:szCs w:val="12"/>
        </w:rPr>
        <w:t xml:space="preserve">). </w:t>
      </w:r>
      <w:r w:rsidR="08163013" w:rsidRPr="00273106">
        <w:t xml:space="preserve">Mysl na druhém stupni </w:t>
      </w:r>
      <w:r w:rsidR="08163013" w:rsidRPr="001B017C">
        <w:rPr>
          <w:i/>
        </w:rPr>
        <w:t>memoria</w:t>
      </w:r>
      <w:r w:rsidR="08163013">
        <w:rPr>
          <w:i/>
        </w:rPr>
        <w:fldChar w:fldCharType="begin"/>
      </w:r>
      <w:r w:rsidR="08163013">
        <w:instrText xml:space="preserve"> XE "</w:instrText>
      </w:r>
      <w:r w:rsidR="08163013" w:rsidRPr="00840D0F">
        <w:rPr>
          <w:i/>
        </w:rPr>
        <w:instrText>memoria</w:instrText>
      </w:r>
      <w:r w:rsidR="08163013" w:rsidRPr="008747B0">
        <w:instrText>:</w:instrText>
      </w:r>
      <w:r w:rsidR="08163013" w:rsidRPr="00840D0F">
        <w:instrText>druhý averroismus</w:instrText>
      </w:r>
      <w:r w:rsidR="08163013">
        <w:instrText xml:space="preserve">" </w:instrText>
      </w:r>
      <w:r w:rsidR="08163013">
        <w:rPr>
          <w:i/>
        </w:rPr>
        <w:fldChar w:fldCharType="end"/>
      </w:r>
      <w:r w:rsidR="08163013" w:rsidRPr="00273106">
        <w:t xml:space="preserve"> již není determinována aktuálním </w:t>
      </w:r>
      <w:r w:rsidR="08163013">
        <w:t xml:space="preserve">smyslovým vjemem, ale pracuje pouze se hypostázovanými </w:t>
      </w:r>
      <w:r w:rsidR="00962190">
        <w:rPr>
          <w:i/>
        </w:rPr>
        <w:t>species</w:t>
      </w:r>
      <w:r w:rsidR="08163013" w:rsidRPr="00273106">
        <w:t xml:space="preserve"> </w:t>
      </w:r>
      <w:r w:rsidR="08163013">
        <w:t xml:space="preserve">uloženými ve zvláštním druhu intelektuální paměti </w:t>
      </w:r>
      <w:r w:rsidR="08163013" w:rsidRPr="00273106">
        <w:t>(</w:t>
      </w:r>
      <w:r w:rsidR="08163013" w:rsidRPr="00273106">
        <w:rPr>
          <w:i/>
          <w:szCs w:val="13"/>
        </w:rPr>
        <w:t xml:space="preserve">in </w:t>
      </w:r>
      <w:r w:rsidR="08163013" w:rsidRPr="00273106">
        <w:rPr>
          <w:i/>
        </w:rPr>
        <w:t xml:space="preserve">thesauro </w:t>
      </w:r>
      <w:r w:rsidR="08163013" w:rsidRPr="00273106">
        <w:rPr>
          <w:i/>
          <w:szCs w:val="12"/>
        </w:rPr>
        <w:t xml:space="preserve">intellectualis </w:t>
      </w:r>
      <w:r w:rsidR="08163013" w:rsidRPr="00273106">
        <w:rPr>
          <w:i/>
          <w:szCs w:val="16"/>
        </w:rPr>
        <w:t>memoriae</w:t>
      </w:r>
      <w:r w:rsidR="08163013" w:rsidRPr="00273106">
        <w:t xml:space="preserve">). </w:t>
      </w:r>
      <w:r w:rsidR="08163013">
        <w:t xml:space="preserve">Augustiniánská </w:t>
      </w:r>
      <w:r w:rsidR="08163013" w:rsidRPr="00985A03">
        <w:rPr>
          <w:i/>
        </w:rPr>
        <w:t>memoria</w:t>
      </w:r>
      <w:r w:rsidR="08163013">
        <w:rPr>
          <w:i/>
        </w:rPr>
        <w:fldChar w:fldCharType="begin"/>
      </w:r>
      <w:r w:rsidR="08163013">
        <w:instrText xml:space="preserve"> XE "</w:instrText>
      </w:r>
      <w:r w:rsidR="08163013" w:rsidRPr="00840D0F">
        <w:rPr>
          <w:i/>
        </w:rPr>
        <w:instrText>memoria:</w:instrText>
      </w:r>
      <w:r w:rsidR="08163013" w:rsidRPr="00840D0F">
        <w:instrText>druhý averroismus</w:instrText>
      </w:r>
      <w:r w:rsidR="08163013">
        <w:instrText xml:space="preserve">" </w:instrText>
      </w:r>
      <w:r w:rsidR="08163013">
        <w:rPr>
          <w:i/>
        </w:rPr>
        <w:fldChar w:fldCharType="end"/>
      </w:r>
      <w:r w:rsidR="08163013">
        <w:t xml:space="preserve"> nahradila receptivní intelekt. Představivost a i</w:t>
      </w:r>
      <w:r w:rsidR="08163013" w:rsidRPr="00273106">
        <w:t xml:space="preserve">ntelektuální </w:t>
      </w:r>
      <w:r w:rsidR="08163013">
        <w:t xml:space="preserve">poznání se na druhém patře poznání vztahuje k </w:t>
      </w:r>
      <w:r w:rsidR="08163013" w:rsidRPr="00273106">
        <w:t>absentní věci</w:t>
      </w:r>
      <w:r w:rsidR="08163013">
        <w:t xml:space="preserve">, kterou reprezentuje její </w:t>
      </w:r>
      <w:r w:rsidR="00962190" w:rsidRPr="007A51F8">
        <w:t>species</w:t>
      </w:r>
      <w:r w:rsidR="08163013" w:rsidRPr="00273106">
        <w:t xml:space="preserve"> (</w:t>
      </w:r>
      <w:r w:rsidR="08163013" w:rsidRPr="00273106">
        <w:rPr>
          <w:i/>
          <w:szCs w:val="14"/>
        </w:rPr>
        <w:t xml:space="preserve">res videtur praesens, </w:t>
      </w:r>
      <w:r w:rsidR="08163013" w:rsidRPr="00273106">
        <w:rPr>
          <w:i/>
          <w:szCs w:val="12"/>
        </w:rPr>
        <w:t xml:space="preserve">et </w:t>
      </w:r>
      <w:r w:rsidR="08163013" w:rsidRPr="00273106">
        <w:rPr>
          <w:i/>
          <w:szCs w:val="13"/>
        </w:rPr>
        <w:t xml:space="preserve">cogitatur </w:t>
      </w:r>
      <w:r w:rsidR="08163013" w:rsidRPr="00273106">
        <w:rPr>
          <w:i/>
          <w:szCs w:val="14"/>
        </w:rPr>
        <w:t>absens</w:t>
      </w:r>
      <w:r w:rsidR="08163013" w:rsidRPr="00273106">
        <w:t>). Rozdíl mez</w:t>
      </w:r>
      <w:r w:rsidR="08163013">
        <w:t>i</w:t>
      </w:r>
      <w:r w:rsidR="08163013" w:rsidRPr="00273106">
        <w:t xml:space="preserve"> oběma mody </w:t>
      </w:r>
      <w:r w:rsidR="08163013">
        <w:t xml:space="preserve">prezentace </w:t>
      </w:r>
      <w:r w:rsidR="00962190" w:rsidRPr="007A51F8">
        <w:t>species</w:t>
      </w:r>
      <w:r w:rsidR="08163013">
        <w:t xml:space="preserve"> v paměti a v intelektu tkví ve stálosti poznání, které je trvalé pouze u intelektuální</w:t>
      </w:r>
      <w:r w:rsidR="08163013" w:rsidRPr="00273106">
        <w:t xml:space="preserve"> </w:t>
      </w:r>
      <w:r w:rsidR="08163013">
        <w:t xml:space="preserve">formy </w:t>
      </w:r>
      <w:r w:rsidR="08163013" w:rsidRPr="00273106">
        <w:t>(</w:t>
      </w:r>
      <w:r w:rsidR="00962190">
        <w:rPr>
          <w:i/>
          <w:szCs w:val="14"/>
        </w:rPr>
        <w:t>species</w:t>
      </w:r>
      <w:r w:rsidR="08163013" w:rsidRPr="00273106">
        <w:rPr>
          <w:i/>
          <w:szCs w:val="14"/>
        </w:rPr>
        <w:t xml:space="preserve"> </w:t>
      </w:r>
      <w:r w:rsidR="08163013" w:rsidRPr="00273106">
        <w:rPr>
          <w:i/>
          <w:szCs w:val="11"/>
        </w:rPr>
        <w:t>ita</w:t>
      </w:r>
      <w:r w:rsidR="08163013" w:rsidRPr="00273106">
        <w:rPr>
          <w:i/>
          <w:szCs w:val="9"/>
        </w:rPr>
        <w:t xml:space="preserve"> </w:t>
      </w:r>
      <w:r w:rsidR="08163013" w:rsidRPr="00273106">
        <w:rPr>
          <w:i/>
          <w:szCs w:val="13"/>
        </w:rPr>
        <w:t xml:space="preserve">est </w:t>
      </w:r>
      <w:r w:rsidR="08163013" w:rsidRPr="00273106">
        <w:rPr>
          <w:i/>
          <w:szCs w:val="12"/>
        </w:rPr>
        <w:t xml:space="preserve">in </w:t>
      </w:r>
      <w:r w:rsidR="08163013" w:rsidRPr="00273106">
        <w:rPr>
          <w:i/>
        </w:rPr>
        <w:t>anima</w:t>
      </w:r>
      <w:r w:rsidR="08163013">
        <w:t>), a ne u reálné věci (</w:t>
      </w:r>
      <w:r w:rsidR="08163013" w:rsidRPr="00273106">
        <w:rPr>
          <w:i/>
          <w:szCs w:val="17"/>
        </w:rPr>
        <w:t xml:space="preserve">non </w:t>
      </w:r>
      <w:r w:rsidR="08163013" w:rsidRPr="00273106">
        <w:rPr>
          <w:i/>
          <w:szCs w:val="14"/>
        </w:rPr>
        <w:t xml:space="preserve">res cuius </w:t>
      </w:r>
      <w:r w:rsidR="08163013" w:rsidRPr="00273106">
        <w:rPr>
          <w:i/>
          <w:szCs w:val="11"/>
        </w:rPr>
        <w:t>est</w:t>
      </w:r>
      <w:r w:rsidR="08163013" w:rsidRPr="00273106">
        <w:t xml:space="preserve">). </w:t>
      </w:r>
      <w:r w:rsidR="00302AE6">
        <w:t xml:space="preserve">Moderní </w:t>
      </w:r>
      <w:r w:rsidR="08163013">
        <w:t xml:space="preserve">poznání je aktualizováno z vyšších inteligibilních poznávacích forem daných v duši skrze iluminaci. </w:t>
      </w:r>
      <w:r w:rsidR="08163013">
        <w:lastRenderedPageBreak/>
        <w:t>Moderna nepotřebuje k poznání reálnou věc, protože potřebnou aktualitu k výkonu poznání má danou apriorně sama v sobě. Averroes</w:t>
      </w:r>
      <w:r w:rsidR="08163013" w:rsidRPr="00273106">
        <w:t xml:space="preserve">ův </w:t>
      </w:r>
      <w:r w:rsidR="08163013" w:rsidRPr="00273106">
        <w:rPr>
          <w:i/>
        </w:rPr>
        <w:t>intellectus possibilis</w:t>
      </w:r>
      <w:r w:rsidR="08163013">
        <w:rPr>
          <w:i/>
        </w:rPr>
        <w:fldChar w:fldCharType="begin"/>
      </w:r>
      <w:r w:rsidR="08163013">
        <w:instrText xml:space="preserve"> XE "</w:instrText>
      </w:r>
      <w:r w:rsidR="08163013" w:rsidRPr="00770D02">
        <w:rPr>
          <w:i/>
        </w:rPr>
        <w:instrText>intellectus possibilis</w:instrText>
      </w:r>
      <w:r w:rsidR="08163013">
        <w:instrText xml:space="preserve">" </w:instrText>
      </w:r>
      <w:r w:rsidR="08163013">
        <w:rPr>
          <w:i/>
        </w:rPr>
        <w:fldChar w:fldCharType="end"/>
      </w:r>
      <w:r w:rsidR="08163013" w:rsidRPr="00273106">
        <w:t xml:space="preserve"> </w:t>
      </w:r>
      <w:r w:rsidR="08163013">
        <w:t xml:space="preserve">jako receptivní schopnost duše proto </w:t>
      </w:r>
      <w:r w:rsidR="08163013" w:rsidRPr="00273106">
        <w:t>nehraje žádnou roli</w:t>
      </w:r>
      <w:r w:rsidR="08163013">
        <w:t xml:space="preserve"> v procesu syntézy intelektuálního poznatku a druhý averroismus si s ním neví rady. Pecham dal tento Averroesův intelekt do materiální sféry (</w:t>
      </w:r>
      <w:r w:rsidR="08163013" w:rsidRPr="0890498C">
        <w:rPr>
          <w:i/>
        </w:rPr>
        <w:t>ratione sui materialis</w:t>
      </w:r>
      <w:r w:rsidR="08163013">
        <w:t>, ibid, p. 43.13</w:t>
      </w:r>
      <w:r w:rsidR="08163013" w:rsidRPr="0805708C">
        <w:fldChar w:fldCharType="begin"/>
      </w:r>
      <w:r w:rsidR="08163013" w:rsidRPr="0805708C">
        <w:instrText xml:space="preserve"> XE "Pecham:</w:instrText>
      </w:r>
      <w:r w:rsidR="08163013" w:rsidRPr="0805708C">
        <w:rPr>
          <w:i/>
        </w:rPr>
        <w:instrText>Quaestiones tractantes De anima</w:instrText>
      </w:r>
      <w:r w:rsidR="08163013">
        <w:instrText xml:space="preserve"> 43</w:instrText>
      </w:r>
      <w:r w:rsidR="08163013" w:rsidRPr="0805708C">
        <w:instrText>.</w:instrText>
      </w:r>
      <w:r w:rsidR="08163013">
        <w:instrText>13</w:instrText>
      </w:r>
      <w:r w:rsidR="08163013" w:rsidRPr="0805708C">
        <w:instrText xml:space="preserve">" </w:instrText>
      </w:r>
      <w:r w:rsidR="08163013" w:rsidRPr="0805708C">
        <w:fldChar w:fldCharType="end"/>
      </w:r>
      <w:r w:rsidR="08163013">
        <w:t xml:space="preserve">), kde vznikají </w:t>
      </w:r>
      <w:r w:rsidR="00E330F9">
        <w:t xml:space="preserve">empirické </w:t>
      </w:r>
      <w:r w:rsidR="08163013">
        <w:t xml:space="preserve">poznatky. Ty jsou na druhém stupni imanentního a apriorního aktuálního poznání avicennisticky denudovány v modu </w:t>
      </w:r>
      <w:r w:rsidR="00BB154A">
        <w:t>„</w:t>
      </w:r>
      <w:r w:rsidR="08163013" w:rsidRPr="0890498C">
        <w:rPr>
          <w:i/>
        </w:rPr>
        <w:t>memoria</w:t>
      </w:r>
      <w:r w:rsidR="08163013">
        <w:t>‒</w:t>
      </w:r>
      <w:r w:rsidR="08163013" w:rsidRPr="0890498C">
        <w:rPr>
          <w:i/>
        </w:rPr>
        <w:t>intellectus</w:t>
      </w:r>
      <w:r w:rsidR="00BB154A">
        <w:t>“. J</w:t>
      </w:r>
      <w:r w:rsidR="08163013">
        <w:t xml:space="preserve">sou nasvíceny zezadu skrze augustiniánskou iluminaci </w:t>
      </w:r>
      <w:r w:rsidR="00744BDF">
        <w:t xml:space="preserve">danou </w:t>
      </w:r>
      <w:r w:rsidR="08163013">
        <w:t xml:space="preserve">od boží tváře. Materiální intelekt poznává </w:t>
      </w:r>
      <w:r w:rsidR="00962190" w:rsidRPr="007A51F8">
        <w:t>species</w:t>
      </w:r>
      <w:r w:rsidR="08163013">
        <w:t xml:space="preserve"> abstrakcí ze smyslů a aktivní intelekt se napojuje na moderní formu paměti, kde jsou </w:t>
      </w:r>
      <w:r w:rsidR="00962190">
        <w:rPr>
          <w:i/>
        </w:rPr>
        <w:t>species</w:t>
      </w:r>
      <w:r w:rsidR="08163013">
        <w:t xml:space="preserve"> uložena. I</w:t>
      </w:r>
      <w:r w:rsidR="08163013" w:rsidRPr="00273106">
        <w:t xml:space="preserve">ntelektuální paměť </w:t>
      </w:r>
      <w:r w:rsidR="08163013">
        <w:t xml:space="preserve">je </w:t>
      </w:r>
      <w:r w:rsidR="08163013" w:rsidRPr="00273106">
        <w:t xml:space="preserve">odvozená od Augustinovy triády v </w:t>
      </w:r>
      <w:r w:rsidR="08163013" w:rsidRPr="00273106">
        <w:rPr>
          <w:i/>
        </w:rPr>
        <w:t>De Trinitate</w:t>
      </w:r>
      <w:r w:rsidR="08163013" w:rsidRPr="00273106">
        <w:t xml:space="preserve"> </w:t>
      </w:r>
      <w:proofErr w:type="gramStart"/>
      <w:r w:rsidR="08163013" w:rsidRPr="00273106">
        <w:t>10.11.17</w:t>
      </w:r>
      <w:proofErr w:type="gramEnd"/>
      <w:r w:rsidR="00607666">
        <w:fldChar w:fldCharType="begin"/>
      </w:r>
      <w:r w:rsidR="00607666">
        <w:instrText xml:space="preserve"> XE "</w:instrText>
      </w:r>
      <w:r w:rsidR="00607666" w:rsidRPr="006D109E">
        <w:instrText>Augustinus:</w:instrText>
      </w:r>
      <w:r w:rsidR="00607666" w:rsidRPr="006D109E">
        <w:rPr>
          <w:i/>
        </w:rPr>
        <w:instrText>De Trinitate</w:instrText>
      </w:r>
      <w:r w:rsidR="00607666" w:rsidRPr="006D109E">
        <w:instrText xml:space="preserve"> 10.11.17</w:instrText>
      </w:r>
      <w:r w:rsidR="00607666">
        <w:instrText xml:space="preserve">" </w:instrText>
      </w:r>
      <w:r w:rsidR="00607666">
        <w:fldChar w:fldCharType="end"/>
      </w:r>
      <w:r w:rsidR="00607666">
        <w:t xml:space="preserve"> </w:t>
      </w:r>
      <w:r w:rsidR="08163013" w:rsidRPr="00273106">
        <w:t>(</w:t>
      </w:r>
      <w:r w:rsidR="08163013" w:rsidRPr="00273106">
        <w:rPr>
          <w:bCs/>
          <w:i/>
        </w:rPr>
        <w:t>memoria</w:t>
      </w:r>
      <w:r w:rsidR="08163013" w:rsidRPr="00273106">
        <w:rPr>
          <w:b/>
          <w:bCs/>
        </w:rPr>
        <w:t xml:space="preserve"> </w:t>
      </w:r>
      <w:r w:rsidR="08163013" w:rsidRPr="00273106">
        <w:t xml:space="preserve">‒ </w:t>
      </w:r>
      <w:r w:rsidR="08163013" w:rsidRPr="00273106">
        <w:rPr>
          <w:i/>
        </w:rPr>
        <w:t>intelligentia</w:t>
      </w:r>
      <w:r w:rsidR="08163013" w:rsidRPr="00273106">
        <w:t xml:space="preserve"> ‒ </w:t>
      </w:r>
      <w:r w:rsidR="08163013" w:rsidRPr="00273106">
        <w:rPr>
          <w:bCs/>
          <w:i/>
        </w:rPr>
        <w:t>voluntas</w:t>
      </w:r>
      <w:r w:rsidR="08163013">
        <w:t xml:space="preserve">). Tato paměť má aktualitu přímo od boha v </w:t>
      </w:r>
      <w:r w:rsidR="08163013" w:rsidRPr="00273106">
        <w:t xml:space="preserve">rámci </w:t>
      </w:r>
      <w:r w:rsidR="00607477">
        <w:t xml:space="preserve">teologického </w:t>
      </w:r>
      <w:r w:rsidR="08163013">
        <w:t xml:space="preserve">určení </w:t>
      </w:r>
      <w:r w:rsidR="08163013" w:rsidRPr="00273106">
        <w:t xml:space="preserve">člověka jako </w:t>
      </w:r>
      <w:r w:rsidR="08163013" w:rsidRPr="00273106">
        <w:rPr>
          <w:i/>
        </w:rPr>
        <w:t>imago Dei</w:t>
      </w:r>
      <w:r w:rsidR="08163013" w:rsidRPr="00273106">
        <w:t xml:space="preserve">. </w:t>
      </w:r>
      <w:r w:rsidR="08163013">
        <w:t xml:space="preserve">Aktivní intelekt poznává objektivní </w:t>
      </w:r>
      <w:r w:rsidR="00962190">
        <w:rPr>
          <w:i/>
        </w:rPr>
        <w:t>species</w:t>
      </w:r>
      <w:r w:rsidR="08163013">
        <w:t xml:space="preserve"> v aktu specifické anamnéze a denudace, kterou</w:t>
      </w:r>
      <w:r w:rsidR="08163013" w:rsidRPr="00273106">
        <w:t xml:space="preserve"> podržuje intelektuální paměť</w:t>
      </w:r>
      <w:r w:rsidR="08163013">
        <w:t xml:space="preserve"> třetího druhu. Augustiniánská </w:t>
      </w:r>
      <w:r w:rsidR="08163013" w:rsidRPr="08381DB6">
        <w:rPr>
          <w:i/>
        </w:rPr>
        <w:t>memoria</w:t>
      </w:r>
      <w:r w:rsidR="08163013">
        <w:t xml:space="preserve"> neexistuje jako duševní schopnost stejně jako neexistují moderní </w:t>
      </w:r>
      <w:r w:rsidR="00962190">
        <w:rPr>
          <w:i/>
        </w:rPr>
        <w:t>species</w:t>
      </w:r>
      <w:r w:rsidR="08163013">
        <w:t xml:space="preserve">, protože obojí </w:t>
      </w:r>
      <w:r w:rsidR="000B44E3">
        <w:t xml:space="preserve">tvoří </w:t>
      </w:r>
      <w:r w:rsidR="08163013">
        <w:t>myto</w:t>
      </w:r>
      <w:r w:rsidR="000B44E3">
        <w:t xml:space="preserve">logické </w:t>
      </w:r>
      <w:r w:rsidR="08163013">
        <w:t>jsoucno třetího druhu. Po zatmění první substance musí nějaká instance v člověku uchovávat simulákrum</w:t>
      </w:r>
      <w:r w:rsidR="08163013">
        <w:fldChar w:fldCharType="begin"/>
      </w:r>
      <w:r w:rsidR="08163013">
        <w:instrText xml:space="preserve"> XE "</w:instrText>
      </w:r>
      <w:r w:rsidR="08163013" w:rsidRPr="001343B4">
        <w:instrText>simulákrum</w:instrText>
      </w:r>
      <w:r w:rsidR="08163013">
        <w:instrText xml:space="preserve">" </w:instrText>
      </w:r>
      <w:r w:rsidR="08163013">
        <w:fldChar w:fldCharType="end"/>
      </w:r>
      <w:r w:rsidR="08163013">
        <w:t xml:space="preserve"> světa, který si </w:t>
      </w:r>
      <w:r w:rsidR="082A2B7E">
        <w:t xml:space="preserve">modernista </w:t>
      </w:r>
      <w:r w:rsidR="08163013">
        <w:t xml:space="preserve">vytvořil jako soubor jsoucen třetího druhu. Identita světa a člověka je dána v tomto specifickém druhu paměti </w:t>
      </w:r>
      <w:r w:rsidR="08163013" w:rsidRPr="00985A03">
        <w:rPr>
          <w:i/>
        </w:rPr>
        <w:t>Modernorum</w:t>
      </w:r>
      <w:r w:rsidR="08163013">
        <w:t xml:space="preserve">. Tato moderní databáze </w:t>
      </w:r>
      <w:r w:rsidR="089669B7">
        <w:t xml:space="preserve">objektivních </w:t>
      </w:r>
      <w:r w:rsidR="00962190" w:rsidRPr="007A51F8">
        <w:t>species</w:t>
      </w:r>
      <w:r w:rsidR="08163013">
        <w:t xml:space="preserve"> </w:t>
      </w:r>
      <w:r w:rsidR="089669B7">
        <w:t xml:space="preserve">třetího druhu </w:t>
      </w:r>
      <w:r w:rsidR="08163013">
        <w:t xml:space="preserve">je pokladnice vědění, která nahradila receptivní </w:t>
      </w:r>
      <w:r w:rsidR="08163013" w:rsidRPr="00972E4E">
        <w:rPr>
          <w:i/>
        </w:rPr>
        <w:t>intellectus possibilis</w:t>
      </w:r>
      <w:r w:rsidR="08163013">
        <w:t xml:space="preserve"> prvního averroismu. Jsoucna třetího druhu shromážděná v paměti vytvářejí objektivní nápodobu reálného světa a jsou kdykoliv </w:t>
      </w:r>
      <w:r w:rsidR="08FB3893">
        <w:t xml:space="preserve">aktivovatelná </w:t>
      </w:r>
      <w:r w:rsidR="08163013">
        <w:t xml:space="preserve">silou vůle a činného intelektu. Možný intelekt není třeba proto, že paměť již daných a uložených </w:t>
      </w:r>
      <w:r w:rsidR="00962190">
        <w:rPr>
          <w:i/>
        </w:rPr>
        <w:t>species</w:t>
      </w:r>
      <w:r w:rsidR="08163013">
        <w:t xml:space="preserve"> se dá nasvítit zezadu, od činného intelektu. Pak se jejich potenciální schopnost </w:t>
      </w:r>
      <w:r w:rsidR="08163013" w:rsidRPr="00C56B84">
        <w:rPr>
          <w:i/>
        </w:rPr>
        <w:t>scibile</w:t>
      </w:r>
      <w:r w:rsidR="08163013">
        <w:t xml:space="preserve"> stává aktuálním věděním. Pecham transformoval s</w:t>
      </w:r>
      <w:r w:rsidR="08163013" w:rsidRPr="00273106">
        <w:t xml:space="preserve">myslové obsahy </w:t>
      </w:r>
      <w:r w:rsidR="08163013">
        <w:t xml:space="preserve">sofistickým způsobem do </w:t>
      </w:r>
      <w:r w:rsidR="00962190" w:rsidRPr="007A51F8">
        <w:t>species</w:t>
      </w:r>
      <w:r w:rsidR="08163013">
        <w:t xml:space="preserve"> uložených </w:t>
      </w:r>
      <w:r w:rsidR="08163013" w:rsidRPr="00273106">
        <w:t>v intelektuální paměti</w:t>
      </w:r>
      <w:r w:rsidR="08163013">
        <w:t xml:space="preserve">, kde jsou skladována společně s věčnými </w:t>
      </w:r>
      <w:r w:rsidR="00962190" w:rsidRPr="007A51F8">
        <w:t>species</w:t>
      </w:r>
      <w:r w:rsidR="08163013" w:rsidRPr="00273106">
        <w:t>.</w:t>
      </w:r>
      <w:r w:rsidR="08163013" w:rsidRPr="00273106">
        <w:rPr>
          <w:rStyle w:val="Znakapoznpodarou"/>
        </w:rPr>
        <w:footnoteReference w:id="97"/>
      </w:r>
      <w:r w:rsidR="08163013" w:rsidRPr="00273106">
        <w:t xml:space="preserve"> </w:t>
      </w:r>
      <w:r w:rsidR="08163013">
        <w:t xml:space="preserve">Paměť </w:t>
      </w:r>
      <w:r w:rsidR="08163013" w:rsidRPr="00273106">
        <w:t xml:space="preserve">obsahuje </w:t>
      </w:r>
      <w:r w:rsidR="08163013">
        <w:t xml:space="preserve">všechny </w:t>
      </w:r>
      <w:r w:rsidR="08163013" w:rsidRPr="00273106">
        <w:t xml:space="preserve">druhy </w:t>
      </w:r>
      <w:r w:rsidR="00962190">
        <w:rPr>
          <w:i/>
        </w:rPr>
        <w:t>species</w:t>
      </w:r>
      <w:r w:rsidR="08163013" w:rsidRPr="00E759A5">
        <w:rPr>
          <w:i/>
        </w:rPr>
        <w:fldChar w:fldCharType="begin"/>
      </w:r>
      <w:r w:rsidR="08163013" w:rsidRPr="00E759A5">
        <w:rPr>
          <w:i/>
        </w:rPr>
        <w:instrText xml:space="preserve"> XE "species:druhý averroismus" </w:instrText>
      </w:r>
      <w:r w:rsidR="08163013" w:rsidRPr="00E759A5">
        <w:rPr>
          <w:i/>
        </w:rPr>
        <w:fldChar w:fldCharType="end"/>
      </w:r>
      <w:r w:rsidR="08163013">
        <w:t xml:space="preserve"> známé od Bonaventury (</w:t>
      </w:r>
      <w:r w:rsidR="00962190">
        <w:rPr>
          <w:i/>
        </w:rPr>
        <w:t>species</w:t>
      </w:r>
      <w:r w:rsidR="08163013" w:rsidRPr="0010707E">
        <w:rPr>
          <w:i/>
        </w:rPr>
        <w:t xml:space="preserve"> </w:t>
      </w:r>
      <w:r w:rsidR="08163013">
        <w:rPr>
          <w:i/>
        </w:rPr>
        <w:t xml:space="preserve">abstracta, </w:t>
      </w:r>
      <w:r w:rsidR="08163013" w:rsidRPr="0010707E">
        <w:rPr>
          <w:i/>
        </w:rPr>
        <w:t>innata</w:t>
      </w:r>
      <w:r w:rsidR="08163013">
        <w:t xml:space="preserve">, </w:t>
      </w:r>
      <w:r w:rsidR="08163013" w:rsidRPr="0010707E">
        <w:rPr>
          <w:i/>
        </w:rPr>
        <w:t>impress</w:t>
      </w:r>
      <w:r w:rsidR="00252544">
        <w:rPr>
          <w:i/>
        </w:rPr>
        <w:t xml:space="preserve">a, </w:t>
      </w:r>
      <w:r w:rsidR="00237F73" w:rsidRPr="00252544">
        <w:t>kap.</w:t>
      </w:r>
      <w:r w:rsidR="08FB3893">
        <w:t xml:space="preserve"> 4</w:t>
      </w:r>
      <w:r w:rsidR="08163013">
        <w:t xml:space="preserve">.1.1) plus všechny ostatní druhy </w:t>
      </w:r>
      <w:r w:rsidR="00962190" w:rsidRPr="00252544">
        <w:t>species</w:t>
      </w:r>
      <w:r w:rsidR="08163013">
        <w:t xml:space="preserve"> z frantikánské školy druhého averroismu </w:t>
      </w:r>
      <w:r w:rsidR="08163013">
        <w:lastRenderedPageBreak/>
        <w:t>(</w:t>
      </w:r>
      <w:r w:rsidR="00116EE4" w:rsidRPr="000F18F1">
        <w:rPr>
          <w:i/>
        </w:rPr>
        <w:t xml:space="preserve">species </w:t>
      </w:r>
      <w:r w:rsidR="08163013" w:rsidRPr="08786A61">
        <w:rPr>
          <w:i/>
        </w:rPr>
        <w:t>expressa</w:t>
      </w:r>
      <w:r w:rsidR="08163013">
        <w:t xml:space="preserve">, </w:t>
      </w:r>
      <w:r w:rsidR="08163013" w:rsidRPr="08786A61">
        <w:rPr>
          <w:i/>
        </w:rPr>
        <w:t>relicta</w:t>
      </w:r>
      <w:r w:rsidR="08163013">
        <w:t xml:space="preserve">, </w:t>
      </w:r>
      <w:r w:rsidR="08163013" w:rsidRPr="08786A61">
        <w:rPr>
          <w:i/>
        </w:rPr>
        <w:t>collecta</w:t>
      </w:r>
      <w:r w:rsidR="08163013">
        <w:t>)</w:t>
      </w:r>
      <w:r w:rsidR="08163013" w:rsidRPr="00273106">
        <w:t>.</w:t>
      </w:r>
      <w:r w:rsidR="08163013">
        <w:t xml:space="preserve"> Zavedením specifické paměti jako rezervoáru jsoucen třetího druhu vzniká moderní podoba pravdivého poznání v modu Rufusovy univerzální rovnosti (</w:t>
      </w:r>
      <w:r w:rsidR="08163013" w:rsidRPr="00765FB4">
        <w:rPr>
          <w:i/>
        </w:rPr>
        <w:t>coaequatio</w:t>
      </w:r>
      <w:r w:rsidR="08163013">
        <w:rPr>
          <w:i/>
        </w:rPr>
        <w:fldChar w:fldCharType="begin"/>
      </w:r>
      <w:r w:rsidR="08163013">
        <w:instrText xml:space="preserve"> XE "pravda:</w:instrText>
      </w:r>
      <w:r w:rsidR="08163013" w:rsidRPr="00E11E1F">
        <w:rPr>
          <w:i/>
        </w:rPr>
        <w:instrText>coaequatio</w:instrText>
      </w:r>
      <w:r w:rsidR="08163013">
        <w:instrText xml:space="preserve">" </w:instrText>
      </w:r>
      <w:r w:rsidR="08163013">
        <w:rPr>
          <w:i/>
        </w:rPr>
        <w:fldChar w:fldCharType="end"/>
      </w:r>
      <w:r w:rsidR="08163013">
        <w:t xml:space="preserve">). </w:t>
      </w:r>
      <w:r w:rsidR="08163013" w:rsidRPr="00273106">
        <w:t xml:space="preserve">Tento modus jsoucna třetího druhu je subjektivně zajištěn v paměti jako moderním </w:t>
      </w:r>
      <w:r w:rsidR="08163013" w:rsidRPr="00273106">
        <w:rPr>
          <w:i/>
        </w:rPr>
        <w:t xml:space="preserve">locus specierum </w:t>
      </w:r>
      <w:r w:rsidR="08163013" w:rsidRPr="00273106">
        <w:t xml:space="preserve">s odkazem </w:t>
      </w:r>
      <w:r w:rsidR="08163013">
        <w:t xml:space="preserve">nejen </w:t>
      </w:r>
      <w:r w:rsidR="08163013" w:rsidRPr="00273106">
        <w:t xml:space="preserve">na Augustinovu </w:t>
      </w:r>
      <w:r w:rsidR="08163013" w:rsidRPr="00273106">
        <w:rPr>
          <w:i/>
        </w:rPr>
        <w:t>memoria</w:t>
      </w:r>
      <w:r w:rsidR="08163013">
        <w:rPr>
          <w:i/>
        </w:rPr>
        <w:fldChar w:fldCharType="begin"/>
      </w:r>
      <w:r w:rsidR="08163013">
        <w:instrText xml:space="preserve"> XE "</w:instrText>
      </w:r>
      <w:r w:rsidR="08163013" w:rsidRPr="00840D0F">
        <w:rPr>
          <w:i/>
        </w:rPr>
        <w:instrText>memoria:</w:instrText>
      </w:r>
      <w:r w:rsidR="08163013" w:rsidRPr="00840D0F">
        <w:instrText>druhý averroismus</w:instrText>
      </w:r>
      <w:r w:rsidR="08163013">
        <w:instrText xml:space="preserve">" </w:instrText>
      </w:r>
      <w:r w:rsidR="08163013">
        <w:rPr>
          <w:i/>
        </w:rPr>
        <w:fldChar w:fldCharType="end"/>
      </w:r>
      <w:r w:rsidR="08163013" w:rsidRPr="00273106">
        <w:t>, ale i na Aristotela.</w:t>
      </w:r>
      <w:r w:rsidR="08163013">
        <w:t xml:space="preserve"> I</w:t>
      </w:r>
      <w:r w:rsidR="08163013" w:rsidRPr="00273106">
        <w:t xml:space="preserve">ntelektuální </w:t>
      </w:r>
      <w:r w:rsidR="08163013">
        <w:t>část duše</w:t>
      </w:r>
      <w:r w:rsidR="08163013" w:rsidRPr="00273106">
        <w:t xml:space="preserve"> </w:t>
      </w:r>
      <w:r w:rsidR="08163013">
        <w:t xml:space="preserve">představuje </w:t>
      </w:r>
      <w:r w:rsidR="08163013" w:rsidRPr="00273106">
        <w:rPr>
          <w:i/>
        </w:rPr>
        <w:t xml:space="preserve">locus specierum </w:t>
      </w:r>
      <w:r w:rsidR="08163013" w:rsidRPr="009647F6">
        <w:t>podle</w:t>
      </w:r>
      <w:r w:rsidR="08163013">
        <w:rPr>
          <w:i/>
        </w:rPr>
        <w:t xml:space="preserve"> De anima</w:t>
      </w:r>
      <w:r w:rsidR="08163013" w:rsidRPr="00273106">
        <w:t xml:space="preserve"> 429a27‒28</w:t>
      </w:r>
      <w:r w:rsidR="08163013">
        <w:fldChar w:fldCharType="begin"/>
      </w:r>
      <w:r w:rsidR="08163013">
        <w:instrText xml:space="preserve"> XE "Aristoteles:</w:instrText>
      </w:r>
      <w:r w:rsidR="08163013" w:rsidRPr="00D507D7">
        <w:rPr>
          <w:i/>
        </w:rPr>
        <w:instrText>De anima</w:instrText>
      </w:r>
      <w:r w:rsidR="08163013" w:rsidRPr="00D507D7">
        <w:instrText xml:space="preserve"> 429a27‒28</w:instrText>
      </w:r>
      <w:r w:rsidR="08163013">
        <w:instrText xml:space="preserve">" </w:instrText>
      </w:r>
      <w:r w:rsidR="08163013">
        <w:fldChar w:fldCharType="end"/>
      </w:r>
      <w:r w:rsidR="08163013" w:rsidRPr="00273106">
        <w:t xml:space="preserve"> (τὴν ψυχὴν εἶναι τόπον εἰδῶν). </w:t>
      </w:r>
      <w:r w:rsidR="08163013">
        <w:t>Aristoteles</w:t>
      </w:r>
      <w:r w:rsidR="08163013" w:rsidRPr="00273106">
        <w:t xml:space="preserve"> </w:t>
      </w:r>
      <w:r w:rsidR="08163013">
        <w:t xml:space="preserve">v této části </w:t>
      </w:r>
      <w:r w:rsidR="08163013" w:rsidRPr="00273106">
        <w:t xml:space="preserve">pojednává </w:t>
      </w:r>
      <w:r w:rsidR="08163013">
        <w:t xml:space="preserve">pouze </w:t>
      </w:r>
      <w:r w:rsidR="08163013" w:rsidRPr="00273106">
        <w:t xml:space="preserve">intelekt oddělený od smyslů, a nikoliv </w:t>
      </w:r>
      <w:r w:rsidR="08163013">
        <w:t xml:space="preserve">definici </w:t>
      </w:r>
      <w:r w:rsidR="08163013" w:rsidRPr="00273106">
        <w:t>intelekt</w:t>
      </w:r>
      <w:r w:rsidR="08163013">
        <w:t>u</w:t>
      </w:r>
      <w:r w:rsidR="08163013" w:rsidRPr="00273106">
        <w:t xml:space="preserve"> jako </w:t>
      </w:r>
      <w:r w:rsidR="08163013" w:rsidRPr="00273106">
        <w:rPr>
          <w:i/>
        </w:rPr>
        <w:t>tabula rasa</w:t>
      </w:r>
      <w:r w:rsidR="08163013">
        <w:rPr>
          <w:i/>
        </w:rPr>
        <w:fldChar w:fldCharType="begin"/>
      </w:r>
      <w:r w:rsidR="08163013">
        <w:instrText xml:space="preserve"> XE "</w:instrText>
      </w:r>
      <w:r w:rsidR="08163013" w:rsidRPr="00CE6D17">
        <w:rPr>
          <w:i/>
        </w:rPr>
        <w:instrText>tabula rasa</w:instrText>
      </w:r>
      <w:r w:rsidR="08163013">
        <w:instrText xml:space="preserve">" </w:instrText>
      </w:r>
      <w:r w:rsidR="08163013">
        <w:rPr>
          <w:i/>
        </w:rPr>
        <w:fldChar w:fldCharType="end"/>
      </w:r>
      <w:r w:rsidR="08163013" w:rsidRPr="00273106">
        <w:t>. Proto se toto místo stalo kanonickým textem pro druhý averroismus</w:t>
      </w:r>
      <w:r w:rsidR="08163013">
        <w:t xml:space="preserve">. Pecham </w:t>
      </w:r>
      <w:r w:rsidR="08163013" w:rsidRPr="00273106">
        <w:t xml:space="preserve">citací </w:t>
      </w:r>
      <w:r w:rsidR="08163013" w:rsidRPr="006D5644">
        <w:rPr>
          <w:i/>
        </w:rPr>
        <w:t>De anima</w:t>
      </w:r>
      <w:r w:rsidR="08163013">
        <w:t xml:space="preserve"> </w:t>
      </w:r>
      <w:r w:rsidR="08163013" w:rsidRPr="00273106">
        <w:t xml:space="preserve">oddělil smyslové </w:t>
      </w:r>
      <w:r w:rsidR="00962190">
        <w:rPr>
          <w:i/>
        </w:rPr>
        <w:t>species</w:t>
      </w:r>
      <w:r w:rsidR="08163013" w:rsidRPr="00273106">
        <w:t xml:space="preserve"> </w:t>
      </w:r>
      <w:r w:rsidR="08163013">
        <w:t xml:space="preserve">daná pouze v představivosti </w:t>
      </w:r>
      <w:r w:rsidR="08163013" w:rsidRPr="00273106">
        <w:t xml:space="preserve">od </w:t>
      </w:r>
      <w:r w:rsidR="08163013">
        <w:t xml:space="preserve">porretánských </w:t>
      </w:r>
      <w:r w:rsidR="00962190">
        <w:rPr>
          <w:i/>
        </w:rPr>
        <w:t>species</w:t>
      </w:r>
      <w:r w:rsidR="08163013">
        <w:t xml:space="preserve"> </w:t>
      </w:r>
      <w:r w:rsidR="08163013" w:rsidRPr="00273106">
        <w:t xml:space="preserve">uložených v </w:t>
      </w:r>
      <w:r w:rsidR="08163013">
        <w:t xml:space="preserve">moderní </w:t>
      </w:r>
      <w:r w:rsidR="08163013" w:rsidRPr="00273106">
        <w:t>paměti.</w:t>
      </w:r>
      <w:r w:rsidR="08163013">
        <w:t xml:space="preserve"> V nově utvořeném diakosmu moderny musela neexistující </w:t>
      </w:r>
      <w:r w:rsidR="00962190">
        <w:rPr>
          <w:i/>
        </w:rPr>
        <w:t>species</w:t>
      </w:r>
      <w:r w:rsidR="08163013">
        <w:t xml:space="preserve"> třetího druhu dostat odpovídající objektivní habitat. </w:t>
      </w:r>
      <w:r w:rsidR="00770A93">
        <w:t xml:space="preserve">Nové místo poznání </w:t>
      </w:r>
      <w:r w:rsidR="08163013">
        <w:t>vznikl</w:t>
      </w:r>
      <w:r w:rsidR="00770A93">
        <w:t>o</w:t>
      </w:r>
      <w:r w:rsidR="08163013">
        <w:t xml:space="preserve"> tím, že moderní </w:t>
      </w:r>
      <w:r w:rsidR="00770A93">
        <w:t xml:space="preserve">subjekt </w:t>
      </w:r>
      <w:r w:rsidR="08163013">
        <w:t xml:space="preserve">těchto objektivních obsahů </w:t>
      </w:r>
      <w:r w:rsidR="00770A93">
        <w:t xml:space="preserve">má substanciální </w:t>
      </w:r>
      <w:r w:rsidR="08163013">
        <w:t>ha</w:t>
      </w:r>
      <w:r w:rsidR="00770A93">
        <w:t xml:space="preserve">bitus nutný ke skladování a aktivaci objektivních </w:t>
      </w:r>
      <w:r w:rsidR="00962190" w:rsidRPr="00770A93">
        <w:t>species</w:t>
      </w:r>
      <w:r w:rsidR="00770A93">
        <w:rPr>
          <w:i/>
        </w:rPr>
        <w:t xml:space="preserve"> </w:t>
      </w:r>
      <w:r w:rsidR="00770A93">
        <w:t>(</w:t>
      </w:r>
      <w:r w:rsidR="00770A93" w:rsidRPr="004625FE">
        <w:rPr>
          <w:i/>
          <w:szCs w:val="13"/>
        </w:rPr>
        <w:t xml:space="preserve">in acie </w:t>
      </w:r>
      <w:r w:rsidR="00770A93" w:rsidRPr="004625FE">
        <w:rPr>
          <w:i/>
          <w:szCs w:val="12"/>
        </w:rPr>
        <w:t>intelligentiae</w:t>
      </w:r>
      <w:r w:rsidR="00770A93">
        <w:t xml:space="preserve">). Ilumináti tím vytvořili další důležitý prvek digitálního homuncula. Moderní </w:t>
      </w:r>
      <w:r w:rsidR="08163013">
        <w:t xml:space="preserve">paměť </w:t>
      </w:r>
      <w:r w:rsidR="00770A93">
        <w:t>(</w:t>
      </w:r>
      <w:r w:rsidR="00770A93" w:rsidRPr="00273106">
        <w:rPr>
          <w:i/>
          <w:szCs w:val="13"/>
        </w:rPr>
        <w:t xml:space="preserve">in </w:t>
      </w:r>
      <w:r w:rsidR="00770A93" w:rsidRPr="00273106">
        <w:rPr>
          <w:i/>
        </w:rPr>
        <w:t xml:space="preserve">thesauro </w:t>
      </w:r>
      <w:r w:rsidR="00770A93" w:rsidRPr="00273106">
        <w:rPr>
          <w:i/>
          <w:szCs w:val="12"/>
        </w:rPr>
        <w:t xml:space="preserve">intellectualis </w:t>
      </w:r>
      <w:r w:rsidR="00770A93" w:rsidRPr="00273106">
        <w:rPr>
          <w:i/>
          <w:szCs w:val="16"/>
        </w:rPr>
        <w:t>memoriae</w:t>
      </w:r>
      <w:r w:rsidR="00770A93">
        <w:t xml:space="preserve">) </w:t>
      </w:r>
      <w:r w:rsidR="08163013">
        <w:t>u</w:t>
      </w:r>
      <w:r w:rsidR="00770A93">
        <w:t xml:space="preserve">schovává jsoucna </w:t>
      </w:r>
      <w:r w:rsidR="08163013">
        <w:t xml:space="preserve">třetího </w:t>
      </w:r>
      <w:proofErr w:type="gramStart"/>
      <w:r w:rsidR="08163013">
        <w:t>druhu  na</w:t>
      </w:r>
      <w:proofErr w:type="gramEnd"/>
      <w:r w:rsidR="08163013">
        <w:t xml:space="preserve"> způsob operační paměti počítače (</w:t>
      </w:r>
      <w:r w:rsidR="08163013">
        <w:rPr>
          <w:i/>
        </w:rPr>
        <w:t>Random A</w:t>
      </w:r>
      <w:r w:rsidR="08163013" w:rsidRPr="00822139">
        <w:rPr>
          <w:i/>
        </w:rPr>
        <w:t>cces</w:t>
      </w:r>
      <w:r w:rsidR="08163013">
        <w:rPr>
          <w:i/>
        </w:rPr>
        <w:t>s M</w:t>
      </w:r>
      <w:r w:rsidR="08163013" w:rsidRPr="00822139">
        <w:rPr>
          <w:i/>
        </w:rPr>
        <w:t>emory</w:t>
      </w:r>
      <w:r w:rsidR="08163013">
        <w:rPr>
          <w:i/>
        </w:rPr>
        <w:fldChar w:fldCharType="begin"/>
      </w:r>
      <w:r w:rsidR="08163013">
        <w:instrText xml:space="preserve"> XE "memoria:</w:instrText>
      </w:r>
      <w:r w:rsidR="08163013" w:rsidRPr="00D0133E">
        <w:rPr>
          <w:i/>
        </w:rPr>
        <w:instrText>Random Access Memory</w:instrText>
      </w:r>
      <w:r w:rsidR="08163013">
        <w:instrText xml:space="preserve">" </w:instrText>
      </w:r>
      <w:r w:rsidR="08163013">
        <w:rPr>
          <w:i/>
        </w:rPr>
        <w:fldChar w:fldCharType="end"/>
      </w:r>
      <w:r w:rsidR="00384302">
        <w:rPr>
          <w:i/>
        </w:rPr>
        <w:t xml:space="preserve">, </w:t>
      </w:r>
      <w:r w:rsidR="00384302" w:rsidRPr="00A37982">
        <w:rPr>
          <w:szCs w:val="24"/>
        </w:rPr>
        <w:t>RAM</w:t>
      </w:r>
      <w:r w:rsidR="08163013">
        <w:t>). Původní neoplatonský diakosmos se přesunul přímo</w:t>
      </w:r>
      <w:r w:rsidR="08D43DFB">
        <w:t xml:space="preserve"> do mysli, protože </w:t>
      </w:r>
      <w:r w:rsidR="00BE2A8A">
        <w:t>modernisté</w:t>
      </w:r>
      <w:r w:rsidR="08163013">
        <w:t xml:space="preserve"> si nosí své objektivní zásvětí trvale s sebou. </w:t>
      </w:r>
      <w:r w:rsidR="086F4049">
        <w:t>V podsvětí jsou jako doma a r</w:t>
      </w:r>
      <w:r w:rsidR="08163013">
        <w:t>eálný svět poznávají</w:t>
      </w:r>
      <w:r w:rsidR="086F4049">
        <w:t xml:space="preserve"> jen v zrcadle a nejasně. </w:t>
      </w:r>
      <w:r w:rsidR="08163013">
        <w:t>Pecham</w:t>
      </w:r>
      <w:r w:rsidR="00BE2A8A">
        <w:t xml:space="preserve"> vytvořil m</w:t>
      </w:r>
      <w:r w:rsidR="08163013">
        <w:t xml:space="preserve">oderní databázový systém skladující všechna </w:t>
      </w:r>
      <w:r w:rsidR="00962190">
        <w:rPr>
          <w:i/>
        </w:rPr>
        <w:t>species</w:t>
      </w:r>
      <w:r w:rsidR="08163013">
        <w:t xml:space="preserve"> třetího druhu </w:t>
      </w:r>
      <w:r w:rsidR="086F4049">
        <w:t>na jednom místě</w:t>
      </w:r>
      <w:r w:rsidR="0058760B">
        <w:t xml:space="preserve">. Postmoderna </w:t>
      </w:r>
      <w:r w:rsidR="08163013">
        <w:t xml:space="preserve">pod vedením informaticky zdatných Fúrii </w:t>
      </w:r>
      <w:r w:rsidR="0058760B">
        <w:t xml:space="preserve">zoufale pracuje na tom, </w:t>
      </w:r>
      <w:r w:rsidR="08163013">
        <w:t xml:space="preserve">aby co nejspolehlivěji a nejtrvaleji uložila všechna neexistující jsoucna třetího druhu. </w:t>
      </w:r>
      <w:r w:rsidR="0058760B" w:rsidRPr="0058760B">
        <w:t>John Locke</w:t>
      </w:r>
      <w:r w:rsidR="0058760B">
        <w:fldChar w:fldCharType="begin"/>
      </w:r>
      <w:r w:rsidR="0058760B">
        <w:instrText xml:space="preserve"> XE "</w:instrText>
      </w:r>
      <w:r w:rsidR="0058760B" w:rsidRPr="00204F54">
        <w:instrText>Locke, J.</w:instrText>
      </w:r>
      <w:r w:rsidR="0058760B">
        <w:instrText xml:space="preserve">" </w:instrText>
      </w:r>
      <w:r w:rsidR="0058760B">
        <w:fldChar w:fldCharType="end"/>
      </w:r>
      <w:r w:rsidR="0058760B" w:rsidRPr="0058760B">
        <w:t xml:space="preserve"> aktualizoval doktrínu druhého averroismu pro postmodernismus a tento druh paměti</w:t>
      </w:r>
      <w:r w:rsidR="0058760B">
        <w:fldChar w:fldCharType="begin"/>
      </w:r>
      <w:r w:rsidR="0058760B">
        <w:instrText xml:space="preserve"> XE "</w:instrText>
      </w:r>
      <w:r w:rsidR="0058760B" w:rsidRPr="00826A2C">
        <w:rPr>
          <w:i/>
        </w:rPr>
        <w:instrText>memoria</w:instrText>
      </w:r>
      <w:r w:rsidR="0058760B" w:rsidRPr="00D710FC">
        <w:instrText>:Locke</w:instrText>
      </w:r>
      <w:r w:rsidR="0058760B">
        <w:instrText xml:space="preserve">" </w:instrText>
      </w:r>
      <w:r w:rsidR="0058760B">
        <w:fldChar w:fldCharType="end"/>
      </w:r>
      <w:r w:rsidR="0058760B" w:rsidRPr="0058760B">
        <w:t xml:space="preserve"> </w:t>
      </w:r>
      <w:r w:rsidR="0058760B">
        <w:t>na</w:t>
      </w:r>
      <w:r w:rsidR="0058760B" w:rsidRPr="0058760B">
        <w:t xml:space="preserve">vázal na akt poznání, </w:t>
      </w:r>
      <w:r w:rsidR="0058760B">
        <w:t xml:space="preserve">a dokonce i na identitu </w:t>
      </w:r>
      <w:r w:rsidR="00412645">
        <w:t xml:space="preserve">postmoderního </w:t>
      </w:r>
      <w:r w:rsidR="0058760B">
        <w:t xml:space="preserve">individua </w:t>
      </w:r>
      <w:r w:rsidR="08163013">
        <w:t>(</w:t>
      </w:r>
      <w:r w:rsidR="08600584">
        <w:t>kap. 4</w:t>
      </w:r>
      <w:r w:rsidR="08163013" w:rsidRPr="00273106">
        <w:t>.4.3</w:t>
      </w:r>
      <w:r w:rsidR="08163013">
        <w:t xml:space="preserve">). Postmoderní člověk bez vlastní paměti </w:t>
      </w:r>
      <w:r w:rsidR="000906D2">
        <w:t xml:space="preserve">ztratil </w:t>
      </w:r>
      <w:r w:rsidR="08163013">
        <w:t>svůj základní poklad</w:t>
      </w:r>
      <w:r w:rsidR="000906D2">
        <w:t xml:space="preserve"> vědění</w:t>
      </w:r>
      <w:r w:rsidR="08163013">
        <w:t xml:space="preserve">, protože není schopen objektivně poznat svět. Bez tohoto pokladu nemá vlastní identitu, proto není ani svéprávný. </w:t>
      </w:r>
      <w:r w:rsidR="000906D2">
        <w:t>Informatika v epoše metafyzického nihilismu</w:t>
      </w:r>
      <w:r w:rsidR="08163013">
        <w:fldChar w:fldCharType="begin"/>
      </w:r>
      <w:r w:rsidR="08163013">
        <w:instrText xml:space="preserve"> XE "</w:instrText>
      </w:r>
      <w:r w:rsidR="08163013" w:rsidRPr="00215217">
        <w:instrText>informatika</w:instrText>
      </w:r>
      <w:r w:rsidR="08163013">
        <w:instrText xml:space="preserve">" </w:instrText>
      </w:r>
      <w:r w:rsidR="08163013">
        <w:fldChar w:fldCharType="end"/>
      </w:r>
      <w:r w:rsidR="08163013">
        <w:t xml:space="preserve"> postavil</w:t>
      </w:r>
      <w:r w:rsidR="000906D2">
        <w:t>a otázku paměti na první místo</w:t>
      </w:r>
      <w:r w:rsidR="08163013">
        <w:t xml:space="preserve">. Bez serverů spojených v systému </w:t>
      </w:r>
      <w:r w:rsidR="08163013" w:rsidRPr="000F3E83">
        <w:rPr>
          <w:i/>
        </w:rPr>
        <w:t>cloud computing</w:t>
      </w:r>
      <w:r w:rsidR="08163013">
        <w:rPr>
          <w:i/>
        </w:rPr>
        <w:fldChar w:fldCharType="begin"/>
      </w:r>
      <w:r w:rsidR="08163013">
        <w:instrText xml:space="preserve"> XE "</w:instrText>
      </w:r>
      <w:r w:rsidR="08163013" w:rsidRPr="00621429">
        <w:rPr>
          <w:i/>
        </w:rPr>
        <w:instrText>cloud computing</w:instrText>
      </w:r>
      <w:r w:rsidR="08163013">
        <w:instrText xml:space="preserve">" </w:instrText>
      </w:r>
      <w:r w:rsidR="08163013">
        <w:rPr>
          <w:i/>
        </w:rPr>
        <w:fldChar w:fldCharType="end"/>
      </w:r>
      <w:r w:rsidR="08163013">
        <w:t xml:space="preserve"> by dnes nebyla možná identita objektivního poznání na glo</w:t>
      </w:r>
      <w:r w:rsidR="005A31DF">
        <w:t xml:space="preserve">bální úrovni. </w:t>
      </w:r>
      <w:r w:rsidR="005A31DF" w:rsidRPr="005A31DF">
        <w:t xml:space="preserve">Moderní paměť zajistila základní uložení </w:t>
      </w:r>
      <w:r w:rsidR="005A31DF">
        <w:t>univočních species</w:t>
      </w:r>
      <w:r w:rsidR="005A31DF" w:rsidRPr="005A31DF">
        <w:t xml:space="preserve">. Pecham hájil tezi, kterou první averroismus principiálně odmítal, tj. přímé poznávání </w:t>
      </w:r>
      <w:r w:rsidR="005A31DF" w:rsidRPr="005A31DF">
        <w:lastRenderedPageBreak/>
        <w:t>univerzálií v hylemo</w:t>
      </w:r>
      <w:r w:rsidR="005A31DF">
        <w:t>r</w:t>
      </w:r>
      <w:r w:rsidR="005A31DF" w:rsidRPr="005A31DF">
        <w:t>fických věcech</w:t>
      </w:r>
      <w:r w:rsidR="005A31DF">
        <w:t xml:space="preserve"> </w:t>
      </w:r>
      <w:r w:rsidR="08163013" w:rsidRPr="00273106">
        <w:t>(</w:t>
      </w:r>
      <w:r w:rsidR="08163013" w:rsidRPr="00273106">
        <w:rPr>
          <w:i/>
        </w:rPr>
        <w:t xml:space="preserve">recipit ergo intellectus </w:t>
      </w:r>
      <w:r w:rsidR="00962190">
        <w:rPr>
          <w:i/>
        </w:rPr>
        <w:t>species</w:t>
      </w:r>
      <w:r w:rsidR="08163013" w:rsidRPr="00273106">
        <w:rPr>
          <w:i/>
        </w:rPr>
        <w:t xml:space="preserve"> particularium</w:t>
      </w:r>
      <w:r w:rsidR="08163013" w:rsidRPr="00273106">
        <w:t>).</w:t>
      </w:r>
      <w:r w:rsidR="08163013" w:rsidRPr="00273106">
        <w:rPr>
          <w:rStyle w:val="Znakapoznpodarou"/>
        </w:rPr>
        <w:footnoteReference w:id="98"/>
      </w:r>
      <w:r w:rsidR="08163013" w:rsidRPr="00273106">
        <w:t xml:space="preserve"> </w:t>
      </w:r>
      <w:r w:rsidR="00DE3399">
        <w:t xml:space="preserve">Materie </w:t>
      </w:r>
      <w:r w:rsidR="00DE3399" w:rsidRPr="00DE3399">
        <w:t xml:space="preserve">třetího druhu tvoří </w:t>
      </w:r>
      <w:r w:rsidR="00DE3399">
        <w:t>subjekt pro tato objektivní species</w:t>
      </w:r>
      <w:r w:rsidR="00DE3399" w:rsidRPr="00DE3399">
        <w:t>, kter</w:t>
      </w:r>
      <w:r w:rsidR="00DE3399">
        <w:t>á jsou přijímána</w:t>
      </w:r>
      <w:r w:rsidR="00DE3399" w:rsidRPr="00DE3399">
        <w:t xml:space="preserve"> </w:t>
      </w:r>
      <w:r w:rsidR="00DE3399">
        <w:t xml:space="preserve">materiálním </w:t>
      </w:r>
      <w:r w:rsidR="00DE3399" w:rsidRPr="00DE3399">
        <w:t xml:space="preserve">intelektem a </w:t>
      </w:r>
      <w:r w:rsidR="00DE3399">
        <w:t xml:space="preserve">pak ukládána do moderní paměti. </w:t>
      </w:r>
      <w:r w:rsidR="08163013">
        <w:t>D</w:t>
      </w:r>
      <w:r w:rsidR="08163013" w:rsidRPr="00273106">
        <w:t>ruh</w:t>
      </w:r>
      <w:r w:rsidR="08163013">
        <w:t xml:space="preserve">ý </w:t>
      </w:r>
      <w:r w:rsidR="08163013" w:rsidRPr="00273106">
        <w:t>averroismu</w:t>
      </w:r>
      <w:r w:rsidR="08163013">
        <w:t>s</w:t>
      </w:r>
      <w:r w:rsidR="08163013" w:rsidRPr="00273106">
        <w:t xml:space="preserve"> </w:t>
      </w:r>
      <w:r w:rsidR="08163013">
        <w:t xml:space="preserve">nemá žádný myšlenkový nástroj, jak popsat existenciální výkon </w:t>
      </w:r>
      <w:r w:rsidR="08163013" w:rsidRPr="00273106">
        <w:t>receptivního intelektu</w:t>
      </w:r>
      <w:r w:rsidR="08163013">
        <w:t xml:space="preserve"> v reálné osobě, protože odmítl Averroesův existenciální výkon </w:t>
      </w:r>
      <w:r w:rsidR="00D02027">
        <w:t xml:space="preserve">myšlení </w:t>
      </w:r>
      <w:r w:rsidR="08163013">
        <w:t xml:space="preserve">v modu </w:t>
      </w:r>
      <w:r w:rsidR="08163013" w:rsidRPr="00E759A5">
        <w:rPr>
          <w:i/>
        </w:rPr>
        <w:t xml:space="preserve">tertium </w:t>
      </w:r>
      <w:r w:rsidR="00962190">
        <w:rPr>
          <w:i/>
        </w:rPr>
        <w:t>genus</w:t>
      </w:r>
      <w:r w:rsidR="08163013" w:rsidRPr="00273106">
        <w:t xml:space="preserve">. </w:t>
      </w:r>
      <w:r w:rsidR="00D752F5" w:rsidRPr="00D752F5">
        <w:t>Pecham připravil půdu pro současnou nihilistickou redukci myšlení na neexistující subjekt, který je def</w:t>
      </w:r>
      <w:r w:rsidR="00D752F5">
        <w:t>inován jako druh pseudomaterie</w:t>
      </w:r>
      <w:r w:rsidR="00D752F5" w:rsidRPr="00D752F5">
        <w:t>. Modernistickou</w:t>
      </w:r>
      <w:r w:rsidR="00D752F5">
        <w:t xml:space="preserve"> tezi o pluralitě</w:t>
      </w:r>
      <w:r w:rsidR="00D752F5" w:rsidRPr="00D752F5">
        <w:t xml:space="preserve"> materiálního intelektu </w:t>
      </w:r>
      <w:r w:rsidR="00D752F5">
        <w:t xml:space="preserve">skrze materii </w:t>
      </w:r>
      <w:r w:rsidR="00D752F5" w:rsidRPr="00D752F5">
        <w:t xml:space="preserve">třetího druhu </w:t>
      </w:r>
      <w:r w:rsidR="00D752F5">
        <w:t xml:space="preserve">pak </w:t>
      </w:r>
      <w:r w:rsidR="00D752F5" w:rsidRPr="00D752F5">
        <w:t>sofisti</w:t>
      </w:r>
      <w:r w:rsidR="00D752F5">
        <w:t xml:space="preserve">cky </w:t>
      </w:r>
      <w:r w:rsidR="00D752F5" w:rsidRPr="00D752F5">
        <w:t xml:space="preserve">přisoudil Averroesovi. </w:t>
      </w:r>
      <w:r w:rsidR="08163013" w:rsidRPr="00273106">
        <w:t>Opět do</w:t>
      </w:r>
      <w:r w:rsidR="00D752F5">
        <w:t xml:space="preserve">šlo </w:t>
      </w:r>
      <w:r w:rsidR="08163013" w:rsidRPr="00273106">
        <w:t xml:space="preserve">na Alexandrovo </w:t>
      </w:r>
      <w:r w:rsidR="08163013">
        <w:t xml:space="preserve">a Themistiovo </w:t>
      </w:r>
      <w:r w:rsidR="08163013" w:rsidRPr="00273106">
        <w:t>řešení</w:t>
      </w:r>
      <w:r w:rsidR="00F12E7A">
        <w:t xml:space="preserve"> odděleného intelektu, které Averroes zásadně odmítal</w:t>
      </w:r>
      <w:r w:rsidR="08163013">
        <w:t xml:space="preserve">. </w:t>
      </w:r>
      <w:r w:rsidR="08163013" w:rsidRPr="00273106">
        <w:t>Druhý averroismus</w:t>
      </w:r>
      <w:r w:rsidR="08163013">
        <w:t xml:space="preserve"> odchovaný Avicennou a Avicebron</w:t>
      </w:r>
      <w:r w:rsidR="08163013" w:rsidRPr="00273106">
        <w:t>em četl Aristotela</w:t>
      </w:r>
      <w:r w:rsidR="08163013">
        <w:t xml:space="preserve"> </w:t>
      </w:r>
      <w:r w:rsidR="00022E91">
        <w:t xml:space="preserve">v paradigmatu </w:t>
      </w:r>
      <w:r w:rsidR="08163013">
        <w:t>univerzálního hylemorfismu</w:t>
      </w:r>
      <w:r w:rsidR="08163013">
        <w:fldChar w:fldCharType="begin"/>
      </w:r>
      <w:r w:rsidR="08163013">
        <w:instrText xml:space="preserve"> XE "</w:instrText>
      </w:r>
      <w:r w:rsidR="08163013" w:rsidRPr="00423560">
        <w:instrText>univerzální hylemorfismus</w:instrText>
      </w:r>
      <w:r w:rsidR="08163013">
        <w:instrText xml:space="preserve">" </w:instrText>
      </w:r>
      <w:r w:rsidR="08163013">
        <w:fldChar w:fldCharType="end"/>
      </w:r>
      <w:r w:rsidR="00022E91">
        <w:t xml:space="preserve">. Forma a </w:t>
      </w:r>
      <w:r w:rsidR="08163013">
        <w:t>látka funguje</w:t>
      </w:r>
      <w:r w:rsidR="08163013" w:rsidRPr="00273106">
        <w:t xml:space="preserve"> v modu </w:t>
      </w:r>
      <w:r w:rsidR="08163013" w:rsidRPr="009647F6">
        <w:rPr>
          <w:i/>
        </w:rPr>
        <w:t>tertium ens</w:t>
      </w:r>
      <w:r w:rsidR="08163013">
        <w:t xml:space="preserve"> a tvoří objektivní atomární substanci</w:t>
      </w:r>
      <w:r w:rsidR="08966E83">
        <w:t xml:space="preserve"> </w:t>
      </w:r>
      <w:r w:rsidR="08966E83" w:rsidRPr="081942A4">
        <w:rPr>
          <w:szCs w:val="24"/>
        </w:rPr>
        <w:t>(</w:t>
      </w:r>
      <w:r w:rsidR="08966E83" w:rsidRPr="081942A4">
        <w:rPr>
          <w:i/>
          <w:szCs w:val="24"/>
        </w:rPr>
        <w:t>individuum, concretum</w:t>
      </w:r>
      <w:r w:rsidR="08966E83" w:rsidRPr="081942A4">
        <w:rPr>
          <w:szCs w:val="24"/>
        </w:rPr>
        <w:t>)</w:t>
      </w:r>
      <w:r w:rsidR="08163013">
        <w:t xml:space="preserve">. Činný intelekt nazírá univoční a hypostázovaná </w:t>
      </w:r>
      <w:r w:rsidR="00962190" w:rsidRPr="004543CC">
        <w:t>species</w:t>
      </w:r>
      <w:r w:rsidR="08163013">
        <w:t xml:space="preserve"> a pak je ukládá </w:t>
      </w:r>
      <w:r w:rsidR="08163013" w:rsidRPr="00273106">
        <w:t xml:space="preserve">v </w:t>
      </w:r>
      <w:r w:rsidR="08163013">
        <w:t>receptáklu paměti třetího druhu. Jejich reaktivace v aktu poznání probíhá skrze hypostázovaný činný intelekt daný jako substance</w:t>
      </w:r>
      <w:r w:rsidR="00A507E4">
        <w:t>.</w:t>
      </w:r>
    </w:p>
    <w:p w:rsidR="08163013" w:rsidRPr="00273106" w:rsidRDefault="00A507E4" w:rsidP="00030D08">
      <w:pPr>
        <w:ind w:firstLine="397"/>
      </w:pPr>
      <w:r>
        <w:t>Moderní o</w:t>
      </w:r>
      <w:r w:rsidR="08163013">
        <w:t xml:space="preserve">soba se skládá z nemateriální duše, hypostázovaného intelektu spojeného s pamětí třetího druhu a z materiálního těla, k němuž patří představivost a </w:t>
      </w:r>
      <w:r w:rsidR="08163013" w:rsidRPr="00273106">
        <w:rPr>
          <w:i/>
        </w:rPr>
        <w:t>intellectus materialis</w:t>
      </w:r>
      <w:r w:rsidR="08163013">
        <w:rPr>
          <w:i/>
        </w:rPr>
        <w:fldChar w:fldCharType="begin"/>
      </w:r>
      <w:r w:rsidR="08163013">
        <w:instrText xml:space="preserve"> XE "</w:instrText>
      </w:r>
      <w:r w:rsidR="08163013" w:rsidRPr="00B244FB">
        <w:instrText>osoba:druhý averroismus</w:instrText>
      </w:r>
      <w:r w:rsidR="08163013">
        <w:instrText xml:space="preserve">" </w:instrText>
      </w:r>
      <w:r w:rsidR="08163013">
        <w:rPr>
          <w:i/>
        </w:rPr>
        <w:fldChar w:fldCharType="end"/>
      </w:r>
      <w:r w:rsidR="08163013">
        <w:t>. Tato sbírka hypostází zvaná „člověk“ je pak sjednocena skrze koncept moderní</w:t>
      </w:r>
      <w:r w:rsidR="00963F2F">
        <w:t xml:space="preserve">ho colligatio </w:t>
      </w:r>
      <w:r w:rsidR="08163013" w:rsidRPr="00273106">
        <w:t xml:space="preserve">a podle </w:t>
      </w:r>
      <w:r w:rsidR="08163013">
        <w:t xml:space="preserve">Bonaventurova </w:t>
      </w:r>
      <w:r w:rsidR="08163013" w:rsidRPr="00963F2F">
        <w:rPr>
          <w:i/>
        </w:rPr>
        <w:t>ap</w:t>
      </w:r>
      <w:r w:rsidR="00963F2F" w:rsidRPr="00963F2F">
        <w:rPr>
          <w:i/>
        </w:rPr>
        <w:t>p</w:t>
      </w:r>
      <w:r w:rsidR="08163013" w:rsidRPr="00963F2F">
        <w:rPr>
          <w:i/>
        </w:rPr>
        <w:t>etitu</w:t>
      </w:r>
      <w:r w:rsidR="00963F2F" w:rsidRPr="00963F2F">
        <w:rPr>
          <w:i/>
        </w:rPr>
        <w:t>s</w:t>
      </w:r>
      <w:r w:rsidR="00963F2F">
        <w:t>. P</w:t>
      </w:r>
      <w:r w:rsidR="08163013">
        <w:t xml:space="preserve">echam </w:t>
      </w:r>
      <w:r w:rsidR="00963F2F">
        <w:t xml:space="preserve">spojil duši a skrze </w:t>
      </w:r>
      <w:r w:rsidR="08163013">
        <w:t xml:space="preserve">koncept </w:t>
      </w:r>
      <w:r w:rsidR="00963F2F">
        <w:t xml:space="preserve">objektivní přitažlivosti </w:t>
      </w:r>
      <w:r w:rsidR="08163013">
        <w:t>(</w:t>
      </w:r>
      <w:r w:rsidR="08163013" w:rsidRPr="00273106">
        <w:rPr>
          <w:i/>
        </w:rPr>
        <w:t>inclinatio</w:t>
      </w:r>
      <w:r w:rsidR="00963F2F">
        <w:t>)</w:t>
      </w:r>
      <w:r w:rsidR="08163013" w:rsidRPr="00273106">
        <w:t>.</w:t>
      </w:r>
      <w:r w:rsidR="08163013" w:rsidRPr="00273106">
        <w:rPr>
          <w:rStyle w:val="Znakapoznpodarou"/>
        </w:rPr>
        <w:footnoteReference w:id="99"/>
      </w:r>
      <w:r w:rsidR="08163013" w:rsidRPr="00273106">
        <w:t xml:space="preserve"> Samotná duše by měla </w:t>
      </w:r>
      <w:r w:rsidR="00963F2F">
        <w:t xml:space="preserve">podle moderního dualismu </w:t>
      </w:r>
      <w:r w:rsidR="08163013" w:rsidRPr="00273106">
        <w:t>mnohem jasnější poznání separovaných nemateriálních substancí, než když je v těle (</w:t>
      </w:r>
      <w:r w:rsidR="08163013" w:rsidRPr="00273106">
        <w:rPr>
          <w:i/>
          <w:szCs w:val="14"/>
        </w:rPr>
        <w:t xml:space="preserve">limpidius </w:t>
      </w:r>
      <w:r w:rsidR="08163013" w:rsidRPr="00273106">
        <w:rPr>
          <w:i/>
          <w:szCs w:val="15"/>
        </w:rPr>
        <w:t xml:space="preserve">cognoscat </w:t>
      </w:r>
      <w:r w:rsidR="08163013" w:rsidRPr="00273106">
        <w:rPr>
          <w:i/>
          <w:szCs w:val="14"/>
        </w:rPr>
        <w:t xml:space="preserve">separata </w:t>
      </w:r>
      <w:r w:rsidR="08163013" w:rsidRPr="00273106">
        <w:rPr>
          <w:i/>
          <w:szCs w:val="18"/>
        </w:rPr>
        <w:t xml:space="preserve">quam </w:t>
      </w:r>
      <w:r w:rsidR="08163013" w:rsidRPr="00273106">
        <w:rPr>
          <w:i/>
          <w:szCs w:val="15"/>
        </w:rPr>
        <w:t xml:space="preserve">coniuncta </w:t>
      </w:r>
      <w:r w:rsidR="08163013" w:rsidRPr="00273106">
        <w:rPr>
          <w:i/>
          <w:szCs w:val="14"/>
        </w:rPr>
        <w:t>corpori anima</w:t>
      </w:r>
      <w:r w:rsidR="08163013" w:rsidRPr="00273106">
        <w:t xml:space="preserve">). Citát </w:t>
      </w:r>
      <w:r w:rsidR="08163013">
        <w:t>neoplatonsk</w:t>
      </w:r>
      <w:r w:rsidR="08163013" w:rsidRPr="00273106">
        <w:t xml:space="preserve">ého ražení </w:t>
      </w:r>
      <w:r w:rsidR="08163013">
        <w:t>ukazuje, že tělo je pro duši</w:t>
      </w:r>
      <w:r w:rsidR="08163013" w:rsidRPr="00273106">
        <w:t xml:space="preserve"> překážkou, i když </w:t>
      </w:r>
      <w:r w:rsidR="00963F2F">
        <w:t>je nutné pro poznání</w:t>
      </w:r>
      <w:r w:rsidR="08163013" w:rsidRPr="00273106">
        <w:t>. Toto pohrdání tělem odsoudil první a</w:t>
      </w:r>
      <w:r w:rsidR="08163013">
        <w:t>verroismus už za Alverna jako nekřesťanské, protože sleduje dualismus neoplatonsk</w:t>
      </w:r>
      <w:r w:rsidR="08163013" w:rsidRPr="00273106">
        <w:t>é arabské a židovské mystiky</w:t>
      </w:r>
      <w:r w:rsidR="08163013">
        <w:t xml:space="preserve"> v rámci </w:t>
      </w:r>
      <w:r w:rsidR="08163013" w:rsidRPr="0093674F">
        <w:rPr>
          <w:i/>
        </w:rPr>
        <w:t>sequaces Aristotelis</w:t>
      </w:r>
      <w:r w:rsidR="08163013">
        <w:rPr>
          <w:i/>
        </w:rPr>
        <w:fldChar w:fldCharType="begin"/>
      </w:r>
      <w:r w:rsidR="08163013">
        <w:instrText xml:space="preserve"> XE </w:instrText>
      </w:r>
      <w:r w:rsidR="08163013">
        <w:lastRenderedPageBreak/>
        <w:instrText>"druhý averroismus:</w:instrText>
      </w:r>
      <w:r w:rsidR="08163013" w:rsidRPr="001D7C7D">
        <w:rPr>
          <w:i/>
        </w:rPr>
        <w:instrText>sequaces Aristotelis</w:instrText>
      </w:r>
      <w:r w:rsidR="08163013">
        <w:instrText xml:space="preserve">" </w:instrText>
      </w:r>
      <w:r w:rsidR="08163013">
        <w:rPr>
          <w:i/>
        </w:rPr>
        <w:fldChar w:fldCharType="end"/>
      </w:r>
      <w:r w:rsidR="08163013" w:rsidRPr="00273106">
        <w:t xml:space="preserve">. </w:t>
      </w:r>
      <w:r w:rsidR="08163013">
        <w:t xml:space="preserve">Druhý averroismus chápe duši jako aktuální substanci, která </w:t>
      </w:r>
      <w:r w:rsidR="08163013" w:rsidRPr="00273106">
        <w:t>řídí tělo z nadřazené pozice jako formální a aktuální hybatel (</w:t>
      </w:r>
      <w:r w:rsidR="08163013" w:rsidRPr="00C21E27">
        <w:rPr>
          <w:i/>
        </w:rPr>
        <w:t>anima</w:t>
      </w:r>
      <w:r w:rsidR="08163013">
        <w:t xml:space="preserve"> </w:t>
      </w:r>
      <w:r w:rsidR="08163013" w:rsidRPr="00273106">
        <w:rPr>
          <w:i/>
        </w:rPr>
        <w:t>ut motor</w:t>
      </w:r>
      <w:r w:rsidR="08163013">
        <w:rPr>
          <w:i/>
        </w:rPr>
        <w:fldChar w:fldCharType="begin"/>
      </w:r>
      <w:r w:rsidR="08163013">
        <w:instrText xml:space="preserve"> XE "</w:instrText>
      </w:r>
      <w:r w:rsidR="08163013" w:rsidRPr="00A00037">
        <w:rPr>
          <w:i/>
        </w:rPr>
        <w:instrText>anima ut motor</w:instrText>
      </w:r>
      <w:r w:rsidR="08163013">
        <w:instrText xml:space="preserve">" </w:instrText>
      </w:r>
      <w:r w:rsidR="08163013">
        <w:rPr>
          <w:i/>
        </w:rPr>
        <w:fldChar w:fldCharType="end"/>
      </w:r>
      <w:r w:rsidR="08163013" w:rsidRPr="00273106">
        <w:t xml:space="preserve">). </w:t>
      </w:r>
      <w:r w:rsidR="08163013">
        <w:t>Současný myšlenkový nihilismus zrušil toto andělské simulákrum modernistů a oddělený nemateriální intelekt nahradil mozkovými funkcem</w:t>
      </w:r>
      <w:r w:rsidR="00030D08">
        <w:t xml:space="preserve">i čistě materiálního intelektu. </w:t>
      </w:r>
      <w:r w:rsidR="00030D08" w:rsidRPr="00030D08">
        <w:t>Pod vedením neurokognitivně zformovaných Furií byl oddělený nehmotný intelekt nahrazen mozkovými funkcemi čistě hmotného intelektu jako objektivně dané neuronální</w:t>
      </w:r>
      <w:r w:rsidR="00030D08">
        <w:t>ho motoru</w:t>
      </w:r>
      <w:r w:rsidR="00030D08" w:rsidRPr="00030D08">
        <w:t xml:space="preserve">. Možná se kyvadlo vychýlí zpět na druhou stranu. Doufejme, že příští definice nihilistického intelektu bude </w:t>
      </w:r>
      <w:r w:rsidR="00030D08">
        <w:t xml:space="preserve">opět </w:t>
      </w:r>
      <w:r w:rsidR="00030D08" w:rsidRPr="00030D08">
        <w:t xml:space="preserve">absurdní klasickým způsobem, který z něj udělá zcela andělský a mystický motor. </w:t>
      </w:r>
      <w:r w:rsidR="08163013" w:rsidRPr="00273106">
        <w:t xml:space="preserve">Výklad první matrice objektivity ukázal, že </w:t>
      </w:r>
      <w:r w:rsidR="08096089">
        <w:t>Averroes</w:t>
      </w:r>
      <w:r w:rsidR="08096089" w:rsidRPr="00273106">
        <w:t xml:space="preserve"> </w:t>
      </w:r>
      <w:r w:rsidR="08096089">
        <w:t xml:space="preserve">odmítl </w:t>
      </w:r>
      <w:r w:rsidR="08163013">
        <w:t xml:space="preserve">intelekt jako substanci jak </w:t>
      </w:r>
      <w:r w:rsidR="08163013" w:rsidRPr="00273106">
        <w:t xml:space="preserve">ve škole </w:t>
      </w:r>
      <w:r w:rsidR="08163013">
        <w:t>a</w:t>
      </w:r>
      <w:r w:rsidR="08163013" w:rsidRPr="00273106">
        <w:t>lexandrovců</w:t>
      </w:r>
      <w:r w:rsidR="089F73EF">
        <w:t>,</w:t>
      </w:r>
      <w:r w:rsidR="08163013">
        <w:fldChar w:fldCharType="begin"/>
      </w:r>
      <w:r w:rsidR="08163013">
        <w:instrText xml:space="preserve"> XE "alexandrovci" </w:instrText>
      </w:r>
      <w:r w:rsidR="08163013">
        <w:fldChar w:fldCharType="end"/>
      </w:r>
      <w:r w:rsidR="08163013" w:rsidRPr="00273106">
        <w:t xml:space="preserve"> </w:t>
      </w:r>
      <w:r w:rsidR="089F73EF">
        <w:t>tak</w:t>
      </w:r>
      <w:r w:rsidR="08163013" w:rsidRPr="00273106">
        <w:t xml:space="preserve"> u Themistia</w:t>
      </w:r>
      <w:r w:rsidR="08163013">
        <w:fldChar w:fldCharType="begin"/>
      </w:r>
      <w:r w:rsidR="08163013">
        <w:instrText xml:space="preserve"> XE "</w:instrText>
      </w:r>
      <w:r w:rsidR="08163013" w:rsidRPr="002255E5">
        <w:instrText>Themistius</w:instrText>
      </w:r>
      <w:r w:rsidR="08163013">
        <w:instrText xml:space="preserve">" </w:instrText>
      </w:r>
      <w:r w:rsidR="08163013">
        <w:fldChar w:fldCharType="end"/>
      </w:r>
      <w:r w:rsidR="08163013" w:rsidRPr="00273106">
        <w:t xml:space="preserve">. Jmenovaní filosofové oddělili aktivní intelekt od individuálního poznání v člověku a </w:t>
      </w:r>
      <w:r w:rsidR="00F41A51">
        <w:t xml:space="preserve">personalizaci </w:t>
      </w:r>
      <w:r w:rsidR="08163013">
        <w:t xml:space="preserve">měli </w:t>
      </w:r>
      <w:r w:rsidR="08163013" w:rsidRPr="00273106">
        <w:t xml:space="preserve">pouze </w:t>
      </w:r>
      <w:r w:rsidR="08163013">
        <w:t>skrze smyslový hylický intelekt</w:t>
      </w:r>
      <w:r w:rsidR="08163013" w:rsidRPr="00273106">
        <w:t xml:space="preserve"> (</w:t>
      </w:r>
      <w:r w:rsidR="08D03AAE">
        <w:t xml:space="preserve">OBJ I, </w:t>
      </w:r>
      <w:r w:rsidR="08163013" w:rsidRPr="00273106">
        <w:t xml:space="preserve">kap. 2.4.2). </w:t>
      </w:r>
      <w:r w:rsidR="08163013">
        <w:t>Pecham</w:t>
      </w:r>
      <w:r w:rsidR="08163013" w:rsidRPr="009B0E3B">
        <w:t xml:space="preserve"> </w:t>
      </w:r>
      <w:r w:rsidR="08163013" w:rsidRPr="00273106">
        <w:t>se ocitl před velkým problémem</w:t>
      </w:r>
      <w:r w:rsidR="08163013">
        <w:t xml:space="preserve">, protože se mu </w:t>
      </w:r>
      <w:r w:rsidR="08163013" w:rsidRPr="00273106">
        <w:t xml:space="preserve">rozpadla </w:t>
      </w:r>
      <w:r w:rsidR="08163013">
        <w:t xml:space="preserve">osoba </w:t>
      </w:r>
      <w:r w:rsidR="00F41A51">
        <w:t>na nesourodé substance</w:t>
      </w:r>
      <w:r w:rsidR="08163013">
        <w:fldChar w:fldCharType="begin"/>
      </w:r>
      <w:r w:rsidR="08163013">
        <w:instrText xml:space="preserve"> XE "</w:instrText>
      </w:r>
      <w:r w:rsidR="08163013" w:rsidRPr="00C54ADF">
        <w:instrText>osoba:pluralita substancí</w:instrText>
      </w:r>
      <w:r w:rsidR="08163013">
        <w:instrText xml:space="preserve">" </w:instrText>
      </w:r>
      <w:r w:rsidR="08163013">
        <w:fldChar w:fldCharType="end"/>
      </w:r>
      <w:r w:rsidR="08163013">
        <w:t>. Z pozice magistra Oxfordu a arcibiskupa v Canterbury musel s</w:t>
      </w:r>
      <w:r w:rsidR="08163013" w:rsidRPr="00273106">
        <w:t>ystemati</w:t>
      </w:r>
      <w:r w:rsidR="08163013">
        <w:t>cky obhajovat dílo metaforického Bonaventury</w:t>
      </w:r>
      <w:r w:rsidR="08163013" w:rsidRPr="00273106">
        <w:t xml:space="preserve"> </w:t>
      </w:r>
      <w:r w:rsidR="086D6C60">
        <w:t xml:space="preserve">a </w:t>
      </w:r>
      <w:r w:rsidR="086D6C60" w:rsidRPr="00273106">
        <w:t>Kilwardby</w:t>
      </w:r>
      <w:r w:rsidR="086D6C60">
        <w:t xml:space="preserve">ho </w:t>
      </w:r>
      <w:r w:rsidR="08163013" w:rsidRPr="00273106">
        <w:t xml:space="preserve">proti </w:t>
      </w:r>
      <w:r w:rsidR="08163013">
        <w:t>kritice Alberta</w:t>
      </w:r>
      <w:r w:rsidR="08163013" w:rsidRPr="00273106">
        <w:t xml:space="preserve">, </w:t>
      </w:r>
      <w:r w:rsidR="08163013">
        <w:t>Akvinského a Sigera</w:t>
      </w:r>
      <w:r w:rsidR="089C078D">
        <w:t xml:space="preserve">. To </w:t>
      </w:r>
      <w:r w:rsidR="08163013">
        <w:t xml:space="preserve">byli </w:t>
      </w:r>
      <w:r w:rsidR="08163013" w:rsidRPr="00273106">
        <w:t>špičkov</w:t>
      </w:r>
      <w:r w:rsidR="08163013">
        <w:t>í</w:t>
      </w:r>
      <w:r w:rsidR="08163013" w:rsidRPr="00273106">
        <w:t xml:space="preserve"> </w:t>
      </w:r>
      <w:r w:rsidR="08163013">
        <w:t>aristotelikové</w:t>
      </w:r>
      <w:r w:rsidR="08163013" w:rsidRPr="00273106">
        <w:t xml:space="preserve"> </w:t>
      </w:r>
      <w:r w:rsidR="08163013">
        <w:t xml:space="preserve">a hájili </w:t>
      </w:r>
      <w:r w:rsidR="08163013" w:rsidRPr="00273106">
        <w:t>skutečnou jednotu intelektu</w:t>
      </w:r>
      <w:r w:rsidR="00740CA1">
        <w:t>álně myslící osoby</w:t>
      </w:r>
      <w:r w:rsidR="08163013">
        <w:t xml:space="preserve">. Není divu, že Pecham roku 1271 opustil Pařížskou univerzitu a vrátil se do modernistického Oxfordu. </w:t>
      </w:r>
      <w:r w:rsidR="08163013" w:rsidRPr="00273106">
        <w:t>Sofistický averroism</w:t>
      </w:r>
      <w:r w:rsidR="08163013">
        <w:t>us moderních a</w:t>
      </w:r>
      <w:r w:rsidR="08163013" w:rsidRPr="00273106">
        <w:t>lexandrovců</w:t>
      </w:r>
      <w:r w:rsidR="08163013">
        <w:fldChar w:fldCharType="begin"/>
      </w:r>
      <w:r w:rsidR="08163013">
        <w:instrText xml:space="preserve"> XE "alexandrovci" </w:instrText>
      </w:r>
      <w:r w:rsidR="08163013">
        <w:fldChar w:fldCharType="end"/>
      </w:r>
      <w:r w:rsidR="08163013" w:rsidRPr="00273106">
        <w:t xml:space="preserve"> </w:t>
      </w:r>
      <w:r w:rsidR="08163013">
        <w:t>ne</w:t>
      </w:r>
      <w:r w:rsidR="00CF37A9">
        <w:t xml:space="preserve">pochopil </w:t>
      </w:r>
      <w:r w:rsidR="08163013" w:rsidRPr="00273106">
        <w:t xml:space="preserve">pojetí receptivního intelektu v CMDA daného rozdílem mezi </w:t>
      </w:r>
      <w:r w:rsidR="08163013" w:rsidRPr="00273106">
        <w:rPr>
          <w:i/>
        </w:rPr>
        <w:t>tertium</w:t>
      </w:r>
      <w:r w:rsidR="08163013" w:rsidRPr="00273106">
        <w:t xml:space="preserve"> a </w:t>
      </w:r>
      <w:r w:rsidR="08163013" w:rsidRPr="00273106">
        <w:rPr>
          <w:i/>
        </w:rPr>
        <w:t xml:space="preserve">quartum </w:t>
      </w:r>
      <w:r w:rsidR="00962190">
        <w:rPr>
          <w:i/>
        </w:rPr>
        <w:t>genus</w:t>
      </w:r>
      <w:r w:rsidR="08163013">
        <w:rPr>
          <w:i/>
        </w:rPr>
        <w:fldChar w:fldCharType="begin"/>
      </w:r>
      <w:r w:rsidR="08163013">
        <w:instrText xml:space="preserve"> XE "</w:instrText>
      </w:r>
      <w:r w:rsidR="08163013" w:rsidRPr="00191848">
        <w:rPr>
          <w:i/>
        </w:rPr>
        <w:instrText>quartum genus</w:instrText>
      </w:r>
      <w:r w:rsidR="08163013">
        <w:instrText xml:space="preserve">" </w:instrText>
      </w:r>
      <w:r w:rsidR="08163013">
        <w:rPr>
          <w:i/>
        </w:rPr>
        <w:fldChar w:fldCharType="end"/>
      </w:r>
      <w:r w:rsidR="08163013" w:rsidRPr="00273106">
        <w:t xml:space="preserve">. </w:t>
      </w:r>
      <w:r w:rsidR="08163013">
        <w:t xml:space="preserve">Moderní </w:t>
      </w:r>
      <w:r w:rsidR="08163013" w:rsidRPr="00273106">
        <w:rPr>
          <w:i/>
        </w:rPr>
        <w:t>intellectus possibilis</w:t>
      </w:r>
      <w:r w:rsidR="08163013" w:rsidRPr="00273106">
        <w:t xml:space="preserve"> se stal součástí </w:t>
      </w:r>
      <w:r w:rsidR="08163013" w:rsidRPr="00D931B4">
        <w:rPr>
          <w:i/>
        </w:rPr>
        <w:t>memoria</w:t>
      </w:r>
      <w:r w:rsidR="08163013">
        <w:rPr>
          <w:i/>
        </w:rPr>
        <w:fldChar w:fldCharType="begin"/>
      </w:r>
      <w:r w:rsidR="08163013">
        <w:instrText xml:space="preserve"> XE "</w:instrText>
      </w:r>
      <w:r w:rsidR="08163013" w:rsidRPr="00840D0F">
        <w:rPr>
          <w:i/>
        </w:rPr>
        <w:instrText>memoria:</w:instrText>
      </w:r>
      <w:r w:rsidR="08163013" w:rsidRPr="00840D0F">
        <w:instrText>druhý averroismus</w:instrText>
      </w:r>
      <w:r w:rsidR="08163013">
        <w:instrText xml:space="preserve">" </w:instrText>
      </w:r>
      <w:r w:rsidR="08163013">
        <w:rPr>
          <w:i/>
        </w:rPr>
        <w:fldChar w:fldCharType="end"/>
      </w:r>
      <w:r w:rsidR="08163013">
        <w:t xml:space="preserve"> fungující jako pseudomateriální rezervoár pro objektivní </w:t>
      </w:r>
      <w:r w:rsidR="00962190">
        <w:rPr>
          <w:i/>
        </w:rPr>
        <w:t>species</w:t>
      </w:r>
      <w:r w:rsidR="08163013">
        <w:t xml:space="preserve">. Duše se stala aktuální substancí a </w:t>
      </w:r>
      <w:r w:rsidR="009015C8">
        <w:t xml:space="preserve">v ní pilně pracuje </w:t>
      </w:r>
      <w:r w:rsidR="08163013" w:rsidRPr="004C602B">
        <w:rPr>
          <w:i/>
        </w:rPr>
        <w:t>intellectus agens</w:t>
      </w:r>
      <w:r w:rsidR="08163013">
        <w:rPr>
          <w:i/>
        </w:rPr>
        <w:fldChar w:fldCharType="begin"/>
      </w:r>
      <w:r w:rsidR="08163013">
        <w:instrText xml:space="preserve"> XE "</w:instrText>
      </w:r>
      <w:r w:rsidR="08163013" w:rsidRPr="00490D32">
        <w:rPr>
          <w:i/>
        </w:rPr>
        <w:instrText>intellectus agens:</w:instrText>
      </w:r>
      <w:r w:rsidR="08163013" w:rsidRPr="00490D32">
        <w:instrText>neoplatonismus</w:instrText>
      </w:r>
      <w:r w:rsidR="08163013">
        <w:instrText xml:space="preserve">" </w:instrText>
      </w:r>
      <w:r w:rsidR="08163013">
        <w:rPr>
          <w:i/>
        </w:rPr>
        <w:fldChar w:fldCharType="end"/>
      </w:r>
      <w:r w:rsidR="089C078D">
        <w:t xml:space="preserve"> </w:t>
      </w:r>
      <w:r w:rsidR="009015C8">
        <w:t>jako aktualizovaný hybatel, což je dnešní CPU procesor v počítači. Tento „</w:t>
      </w:r>
      <w:r w:rsidR="009015C8" w:rsidRPr="009015C8">
        <w:rPr>
          <w:i/>
        </w:rPr>
        <w:t>intellectus agens ut motor</w:t>
      </w:r>
      <w:r w:rsidR="009015C8">
        <w:t>“ pak pracuje s objektivními species, která jsou uložena v augustiniánské memoria jako první formě současné RAM</w:t>
      </w:r>
      <w:r w:rsidR="08163013">
        <w:t>. Pecham</w:t>
      </w:r>
      <w:r w:rsidR="08163013" w:rsidRPr="00273106">
        <w:t xml:space="preserve"> narouboval Rufusovu akcidentální potenci intelektu na Bonaventurovo pojetí duše jako substance</w:t>
      </w:r>
      <w:r w:rsidR="08163013">
        <w:fldChar w:fldCharType="begin"/>
      </w:r>
      <w:r w:rsidR="08163013">
        <w:instrText xml:space="preserve"> XE "</w:instrText>
      </w:r>
      <w:r w:rsidR="08163013" w:rsidRPr="00DE2A32">
        <w:instrText>substance</w:instrText>
      </w:r>
      <w:r w:rsidR="08163013">
        <w:instrText xml:space="preserve">:duše" </w:instrText>
      </w:r>
      <w:r w:rsidR="08163013">
        <w:fldChar w:fldCharType="end"/>
      </w:r>
      <w:r w:rsidR="009015C8">
        <w:t xml:space="preserve">. Její </w:t>
      </w:r>
      <w:r w:rsidR="08163013" w:rsidRPr="00273106">
        <w:t>individuá</w:t>
      </w:r>
      <w:r w:rsidR="08163013">
        <w:t>l</w:t>
      </w:r>
      <w:r w:rsidR="08163013" w:rsidRPr="00273106">
        <w:t>ní akt subsistence</w:t>
      </w:r>
      <w:r w:rsidR="08163013">
        <w:fldChar w:fldCharType="begin"/>
      </w:r>
      <w:r w:rsidR="08163013">
        <w:instrText xml:space="preserve"> XE "</w:instrText>
      </w:r>
      <w:r w:rsidR="08163013" w:rsidRPr="001D1E42">
        <w:instrText>subsistence</w:instrText>
      </w:r>
      <w:r w:rsidR="08163013">
        <w:instrText xml:space="preserve">:objektivní" </w:instrText>
      </w:r>
      <w:r w:rsidR="08163013">
        <w:fldChar w:fldCharType="end"/>
      </w:r>
      <w:r w:rsidR="08163013" w:rsidRPr="00273106">
        <w:t xml:space="preserve"> je daný skrze </w:t>
      </w:r>
      <w:r w:rsidR="08163013" w:rsidRPr="00273106">
        <w:rPr>
          <w:i/>
        </w:rPr>
        <w:t>materia spiritualis</w:t>
      </w:r>
      <w:r w:rsidR="08163013">
        <w:rPr>
          <w:i/>
        </w:rPr>
        <w:fldChar w:fldCharType="begin"/>
      </w:r>
      <w:r w:rsidR="08163013">
        <w:instrText xml:space="preserve"> XE "</w:instrText>
      </w:r>
      <w:r w:rsidR="08163013" w:rsidRPr="08A516BF">
        <w:instrText>materie</w:instrText>
      </w:r>
      <w:r w:rsidR="08163013">
        <w:rPr>
          <w:i/>
        </w:rPr>
        <w:instrText xml:space="preserve">:materia </w:instrText>
      </w:r>
      <w:r w:rsidR="08163013" w:rsidRPr="00612581">
        <w:rPr>
          <w:i/>
        </w:rPr>
        <w:instrText>spiritualis</w:instrText>
      </w:r>
      <w:r w:rsidR="08163013">
        <w:instrText xml:space="preserve">" </w:instrText>
      </w:r>
      <w:r w:rsidR="08163013">
        <w:rPr>
          <w:i/>
        </w:rPr>
        <w:fldChar w:fldCharType="end"/>
      </w:r>
      <w:r w:rsidR="08163013" w:rsidRPr="00273106">
        <w:t>.</w:t>
      </w:r>
    </w:p>
    <w:p w:rsidR="08163013" w:rsidRPr="00E10451" w:rsidRDefault="08163013" w:rsidP="08163013">
      <w:pPr>
        <w:pStyle w:val="Citace"/>
        <w:rPr>
          <w:noProof/>
          <w:szCs w:val="12"/>
          <w:lang w:val="cs-CZ"/>
        </w:rPr>
      </w:pPr>
      <w:r w:rsidRPr="00273106">
        <w:rPr>
          <w:noProof/>
          <w:szCs w:val="12"/>
          <w:lang w:val="cs-CZ"/>
        </w:rPr>
        <w:lastRenderedPageBreak/>
        <w:t>„</w:t>
      </w:r>
      <w:r>
        <w:rPr>
          <w:noProof/>
          <w:szCs w:val="12"/>
          <w:lang w:val="cs-CZ"/>
        </w:rPr>
        <w:t>Ve všech stvořených substancích je dána substanciální a akcidentáln</w:t>
      </w:r>
      <w:r w:rsidR="00AE15A7">
        <w:rPr>
          <w:noProof/>
          <w:szCs w:val="12"/>
          <w:lang w:val="cs-CZ"/>
        </w:rPr>
        <w:t xml:space="preserve">í potence. A protože akcident </w:t>
      </w:r>
      <w:r>
        <w:rPr>
          <w:noProof/>
          <w:szCs w:val="12"/>
          <w:lang w:val="cs-CZ"/>
        </w:rPr>
        <w:t xml:space="preserve">existuje </w:t>
      </w:r>
      <w:r w:rsidR="00AE15A7">
        <w:rPr>
          <w:noProof/>
          <w:szCs w:val="12"/>
          <w:lang w:val="cs-CZ"/>
        </w:rPr>
        <w:t xml:space="preserve">pouze </w:t>
      </w:r>
      <w:r w:rsidR="00C564CB">
        <w:rPr>
          <w:noProof/>
          <w:szCs w:val="12"/>
          <w:lang w:val="cs-CZ"/>
        </w:rPr>
        <w:t xml:space="preserve">skrze substanci, pak také musí </w:t>
      </w:r>
      <w:r>
        <w:rPr>
          <w:noProof/>
          <w:szCs w:val="12"/>
          <w:lang w:val="cs-CZ"/>
        </w:rPr>
        <w:t xml:space="preserve">mít činnost danou </w:t>
      </w:r>
      <w:r w:rsidR="00C564CB">
        <w:rPr>
          <w:noProof/>
          <w:szCs w:val="12"/>
          <w:lang w:val="cs-CZ"/>
        </w:rPr>
        <w:t xml:space="preserve">jen </w:t>
      </w:r>
      <w:r>
        <w:rPr>
          <w:noProof/>
          <w:szCs w:val="12"/>
          <w:lang w:val="cs-CZ"/>
        </w:rPr>
        <w:t xml:space="preserve">skrze substanci.“ </w:t>
      </w:r>
      <w:r>
        <w:rPr>
          <w:rStyle w:val="Znakapoznpodarou"/>
        </w:rPr>
        <w:footnoteReference w:id="100"/>
      </w:r>
    </w:p>
    <w:p w:rsidR="00464B30" w:rsidRDefault="08163013" w:rsidP="081775EF">
      <w:r w:rsidRPr="00273106">
        <w:t>Uve</w:t>
      </w:r>
      <w:r>
        <w:t xml:space="preserve">dený pojem </w:t>
      </w:r>
      <w:r w:rsidRPr="00273106">
        <w:t>substanciál</w:t>
      </w:r>
      <w:r>
        <w:t>ní a akcidentální potence</w:t>
      </w:r>
      <w:r w:rsidRPr="00273106">
        <w:t xml:space="preserve"> (</w:t>
      </w:r>
      <w:r w:rsidRPr="00273106">
        <w:rPr>
          <w:i/>
          <w:szCs w:val="14"/>
        </w:rPr>
        <w:t xml:space="preserve">substantialem </w:t>
      </w:r>
      <w:r w:rsidRPr="00273106">
        <w:rPr>
          <w:i/>
          <w:szCs w:val="15"/>
        </w:rPr>
        <w:t xml:space="preserve">potentiam </w:t>
      </w:r>
      <w:r w:rsidRPr="00273106">
        <w:rPr>
          <w:i/>
          <w:szCs w:val="12"/>
        </w:rPr>
        <w:t xml:space="preserve">et </w:t>
      </w:r>
      <w:r w:rsidRPr="00273106">
        <w:rPr>
          <w:i/>
          <w:szCs w:val="14"/>
        </w:rPr>
        <w:t>accidentalem</w:t>
      </w:r>
      <w:r w:rsidRPr="00273106">
        <w:t xml:space="preserve">) zavedl do </w:t>
      </w:r>
      <w:r w:rsidR="08992ABF">
        <w:t>druhého averroismu Rufus (kap. 3</w:t>
      </w:r>
      <w:r w:rsidRPr="00273106">
        <w:t xml:space="preserve">.3.1). </w:t>
      </w:r>
      <w:r>
        <w:t>M</w:t>
      </w:r>
      <w:r w:rsidRPr="00273106">
        <w:t>ysl je potenciálně schopná činit závěry sama ze sebe</w:t>
      </w:r>
      <w:r>
        <w:t>, protože se stala objektivní substancí</w:t>
      </w:r>
      <w:r w:rsidRPr="00273106">
        <w:t>. Toto substanční bytí duše zakládá jednotu všech akcidentálních činností duše (</w:t>
      </w:r>
      <w:r w:rsidRPr="00273106">
        <w:rPr>
          <w:i/>
          <w:szCs w:val="14"/>
        </w:rPr>
        <w:t xml:space="preserve">accidens </w:t>
      </w:r>
      <w:r w:rsidRPr="00273106">
        <w:rPr>
          <w:i/>
          <w:szCs w:val="17"/>
        </w:rPr>
        <w:t xml:space="preserve">non </w:t>
      </w:r>
      <w:r w:rsidRPr="00273106">
        <w:rPr>
          <w:i/>
          <w:szCs w:val="13"/>
        </w:rPr>
        <w:t xml:space="preserve">est </w:t>
      </w:r>
      <w:r w:rsidRPr="00273106">
        <w:rPr>
          <w:i/>
          <w:szCs w:val="12"/>
        </w:rPr>
        <w:t xml:space="preserve">nisi </w:t>
      </w:r>
      <w:r w:rsidRPr="00273106">
        <w:rPr>
          <w:i/>
          <w:szCs w:val="16"/>
        </w:rPr>
        <w:t xml:space="preserve">mediante </w:t>
      </w:r>
      <w:r w:rsidRPr="00273106">
        <w:rPr>
          <w:i/>
          <w:szCs w:val="13"/>
        </w:rPr>
        <w:t xml:space="preserve">substantia, </w:t>
      </w:r>
      <w:r w:rsidRPr="00273106">
        <w:rPr>
          <w:i/>
          <w:szCs w:val="11"/>
        </w:rPr>
        <w:t xml:space="preserve">ita </w:t>
      </w:r>
      <w:r w:rsidRPr="00273106">
        <w:rPr>
          <w:i/>
          <w:szCs w:val="16"/>
        </w:rPr>
        <w:t xml:space="preserve">nec </w:t>
      </w:r>
      <w:r w:rsidRPr="00273106">
        <w:rPr>
          <w:i/>
          <w:szCs w:val="14"/>
        </w:rPr>
        <w:t xml:space="preserve">operatur </w:t>
      </w:r>
      <w:r w:rsidRPr="00273106">
        <w:rPr>
          <w:i/>
          <w:szCs w:val="12"/>
        </w:rPr>
        <w:t xml:space="preserve">nisi </w:t>
      </w:r>
      <w:r w:rsidRPr="00273106">
        <w:rPr>
          <w:i/>
          <w:szCs w:val="15"/>
        </w:rPr>
        <w:t xml:space="preserve">mediante </w:t>
      </w:r>
      <w:r w:rsidRPr="00273106">
        <w:rPr>
          <w:i/>
          <w:szCs w:val="12"/>
        </w:rPr>
        <w:t>ea</w:t>
      </w:r>
      <w:r w:rsidRPr="00273106">
        <w:t>). Substance daná v rámci materie třetího druhu vytváří původní jednotu duše a z ní se pak odvozují všechny činnosti, včetně intelektuálních.</w:t>
      </w:r>
      <w:r>
        <w:t xml:space="preserve"> </w:t>
      </w:r>
    </w:p>
    <w:p w:rsidR="0012134F" w:rsidRDefault="00464B30" w:rsidP="081775EF">
      <w:r w:rsidRPr="00464B30">
        <w:t xml:space="preserve">Schopnosti duše jsou ve druhém kroku spojeny s poznáním </w:t>
      </w:r>
      <w:r>
        <w:t>reálné hylemorfické substance</w:t>
      </w:r>
      <w:r w:rsidRPr="00464B30">
        <w:t>. Poznávací</w:t>
      </w:r>
      <w:r>
        <w:t xml:space="preserve"> funkce těla se tedy stala pouhým akcidentem</w:t>
      </w:r>
      <w:r w:rsidRPr="00464B30">
        <w:t>, neboť poznání je zpros</w:t>
      </w:r>
      <w:r>
        <w:t xml:space="preserve">tředkováno duší jako substancí. </w:t>
      </w:r>
      <w:r w:rsidR="08163013">
        <w:t>Duše nebere substanční aktualitu z materiálního těla, ale z vlastní inteligibilní nemateriální formy.</w:t>
      </w:r>
      <w:r w:rsidR="08163013" w:rsidRPr="00A93311">
        <w:t xml:space="preserve"> </w:t>
      </w:r>
      <w:r w:rsidR="08163013">
        <w:t>Hypostázovaná p</w:t>
      </w:r>
      <w:r w:rsidR="08163013" w:rsidRPr="00273106">
        <w:t xml:space="preserve">otence </w:t>
      </w:r>
      <w:r w:rsidR="08163013">
        <w:t xml:space="preserve">třetího druhu </w:t>
      </w:r>
      <w:r w:rsidR="08163013" w:rsidRPr="00273106">
        <w:t>konceptualizuje Avicennovu schopnost sebereflexe „</w:t>
      </w:r>
      <w:r w:rsidR="08163013" w:rsidRPr="0012134F">
        <w:t>létajícího muže</w:t>
      </w:r>
      <w:r w:rsidR="08163013" w:rsidRPr="0012134F">
        <w:fldChar w:fldCharType="begin"/>
      </w:r>
      <w:r w:rsidR="08163013" w:rsidRPr="0012134F">
        <w:instrText xml:space="preserve"> XE "létající muž" </w:instrText>
      </w:r>
      <w:r w:rsidR="08163013" w:rsidRPr="0012134F">
        <w:fldChar w:fldCharType="end"/>
      </w:r>
      <w:r w:rsidR="08163013" w:rsidRPr="0012134F">
        <w:t>“,</w:t>
      </w:r>
      <w:r w:rsidR="08163013" w:rsidRPr="00273106">
        <w:t xml:space="preserve"> jehož myšlení nepotřebuje tělo. </w:t>
      </w:r>
    </w:p>
    <w:p w:rsidR="00147E4E" w:rsidRDefault="0012134F" w:rsidP="081775EF">
      <w:r w:rsidRPr="0012134F">
        <w:t>Vztah substance a ak</w:t>
      </w:r>
      <w:r>
        <w:t>cidentů umožňuje uplatnit tezi „</w:t>
      </w:r>
      <w:r w:rsidRPr="0012134F">
        <w:rPr>
          <w:i/>
        </w:rPr>
        <w:t>operatio sequitur esse</w:t>
      </w:r>
      <w:r>
        <w:t>“. Ale „</w:t>
      </w:r>
      <w:r w:rsidRPr="0012134F">
        <w:rPr>
          <w:i/>
        </w:rPr>
        <w:t>actus essendi</w:t>
      </w:r>
      <w:r w:rsidR="00CA0D49">
        <w:rPr>
          <w:i/>
        </w:rPr>
        <w:fldChar w:fldCharType="begin"/>
      </w:r>
      <w:r w:rsidR="00CA0D49">
        <w:instrText xml:space="preserve"> XE "</w:instrText>
      </w:r>
      <w:r w:rsidR="00CA0D49" w:rsidRPr="006B1905">
        <w:rPr>
          <w:i/>
        </w:rPr>
        <w:instrText>actus essendi</w:instrText>
      </w:r>
      <w:r w:rsidR="00CA0D49">
        <w:instrText xml:space="preserve">" </w:instrText>
      </w:r>
      <w:r w:rsidR="00CA0D49">
        <w:rPr>
          <w:i/>
        </w:rPr>
        <w:fldChar w:fldCharType="end"/>
      </w:r>
      <w:r>
        <w:t>“</w:t>
      </w:r>
      <w:r w:rsidRPr="0012134F">
        <w:t xml:space="preserve"> osoby jako jedné substance je brán hypostatickým způsobem </w:t>
      </w:r>
      <w:r>
        <w:t xml:space="preserve">jako </w:t>
      </w:r>
      <w:r w:rsidRPr="0012134F">
        <w:t>pluralit</w:t>
      </w:r>
      <w:r>
        <w:t>a</w:t>
      </w:r>
      <w:r w:rsidRPr="0012134F">
        <w:t xml:space="preserve"> objektivních substancí</w:t>
      </w:r>
      <w:r>
        <w:t>. Tyto mytologické entity „exsistují“ v moderním homunkulovi a díky jejich erotickému appetitu se pak spojují do centrálně řízené jednotky zvané „konkrétní lidské individuum“</w:t>
      </w:r>
      <w:r w:rsidRPr="0012134F">
        <w:t>.</w:t>
      </w:r>
      <w:r w:rsidR="00CA0D49">
        <w:t xml:space="preserve"> To je naprosto šílené, což poznamenal Bacon. </w:t>
      </w:r>
      <w:r w:rsidR="08163013" w:rsidRPr="00273106">
        <w:t xml:space="preserve">První averroismus toto pojetí rozhodně odmítl ze dvou důvodů: </w:t>
      </w:r>
      <w:r w:rsidR="00AB11A7">
        <w:t>základní „</w:t>
      </w:r>
      <w:r w:rsidR="08163013" w:rsidRPr="00273106">
        <w:rPr>
          <w:i/>
        </w:rPr>
        <w:t>operatio</w:t>
      </w:r>
      <w:r w:rsidR="00AB11A7">
        <w:t>“</w:t>
      </w:r>
      <w:r w:rsidR="08163013" w:rsidRPr="00273106">
        <w:t xml:space="preserve"> intelektu je nemateriální povahy; duše není substance, ale forma těla. </w:t>
      </w:r>
      <w:r w:rsidR="00AB11A7" w:rsidRPr="00AB11A7">
        <w:t>Druhá substance (tj. kategoriálně predikovaná osoba) je definována im</w:t>
      </w:r>
      <w:r w:rsidR="00AB11A7">
        <w:t xml:space="preserve">pozicí </w:t>
      </w:r>
      <w:r w:rsidR="00AB11A7" w:rsidRPr="00AB11A7">
        <w:t>významu z reálné h</w:t>
      </w:r>
      <w:r w:rsidR="00AB11A7">
        <w:t>ylemorfní substance. Predikace „</w:t>
      </w:r>
      <w:r w:rsidR="00AB11A7" w:rsidRPr="006D1A7E">
        <w:rPr>
          <w:i/>
        </w:rPr>
        <w:t>anima intellectiva</w:t>
      </w:r>
      <w:r w:rsidR="00AB11A7">
        <w:t>“</w:t>
      </w:r>
      <w:r w:rsidR="00AB11A7" w:rsidRPr="00AB11A7">
        <w:t xml:space="preserve"> musí následovat metafyzick</w:t>
      </w:r>
      <w:r w:rsidR="00AB11A7">
        <w:t>ý d</w:t>
      </w:r>
      <w:r w:rsidR="00AB11A7" w:rsidRPr="00AB11A7">
        <w:t xml:space="preserve">ativ, který představuje hyparchickou podstatu první substance. </w:t>
      </w:r>
      <w:r w:rsidR="00AB11A7">
        <w:t>P</w:t>
      </w:r>
      <w:r w:rsidR="08163013">
        <w:t>roto univerzální</w:t>
      </w:r>
      <w:r w:rsidR="00F12211">
        <w:t xml:space="preserve"> význam existuje pouze v mysli. </w:t>
      </w:r>
      <w:r w:rsidR="08163013" w:rsidRPr="00273106">
        <w:t xml:space="preserve">Navázáním intelektuální </w:t>
      </w:r>
      <w:r w:rsidR="08163013">
        <w:t xml:space="preserve">schopnosti </w:t>
      </w:r>
      <w:r w:rsidR="08163013" w:rsidRPr="00273106">
        <w:t xml:space="preserve">na </w:t>
      </w:r>
      <w:r w:rsidR="00F12211">
        <w:t xml:space="preserve">duši jako moderní </w:t>
      </w:r>
      <w:r w:rsidR="08163013" w:rsidRPr="00273106">
        <w:t xml:space="preserve">substanci </w:t>
      </w:r>
      <w:r w:rsidR="00F12211">
        <w:t xml:space="preserve">zrušilo aristotelské pojetí duše jako entelechické formy těla. Tím bylo </w:t>
      </w:r>
      <w:r w:rsidR="08163013">
        <w:t>Averroes</w:t>
      </w:r>
      <w:r w:rsidR="08163013" w:rsidRPr="00273106">
        <w:t xml:space="preserve">ovo pojetí </w:t>
      </w:r>
      <w:r w:rsidR="00F12211">
        <w:t xml:space="preserve">poznání </w:t>
      </w:r>
      <w:r w:rsidR="08163013" w:rsidRPr="00273106">
        <w:t>poznání úplně znemožněno</w:t>
      </w:r>
      <w:r w:rsidR="00F12211">
        <w:t xml:space="preserve">, pak bylo zmanipulováno a pak </w:t>
      </w:r>
      <w:r w:rsidR="08163013">
        <w:t>démonizováno</w:t>
      </w:r>
      <w:r w:rsidR="08163013" w:rsidRPr="00273106">
        <w:t xml:space="preserve">. </w:t>
      </w:r>
      <w:r w:rsidR="08163013">
        <w:t>I</w:t>
      </w:r>
      <w:r w:rsidR="08163013" w:rsidRPr="00273106">
        <w:t xml:space="preserve">ntelekt </w:t>
      </w:r>
      <w:r w:rsidR="08163013" w:rsidRPr="008714CF">
        <w:rPr>
          <w:i/>
        </w:rPr>
        <w:t>Modernorum</w:t>
      </w:r>
      <w:r w:rsidR="08163013">
        <w:t xml:space="preserve"> </w:t>
      </w:r>
      <w:r w:rsidR="08163013" w:rsidRPr="00273106">
        <w:t xml:space="preserve">není schopen </w:t>
      </w:r>
      <w:r w:rsidR="08163013">
        <w:t xml:space="preserve">myslitelsky zprostředkovat původní jednotu </w:t>
      </w:r>
      <w:r w:rsidR="08163013" w:rsidRPr="00273106">
        <w:t>mezi receptivní (</w:t>
      </w:r>
      <w:r w:rsidR="00242217">
        <w:t>personální</w:t>
      </w:r>
      <w:r w:rsidR="08163013" w:rsidRPr="00273106">
        <w:t>) a syntetickou (univerzální) složkou poznání.</w:t>
      </w:r>
    </w:p>
    <w:p w:rsidR="003D3D15" w:rsidRDefault="08163013" w:rsidP="00147E4E">
      <w:pPr>
        <w:ind w:firstLine="397"/>
      </w:pPr>
      <w:r>
        <w:lastRenderedPageBreak/>
        <w:t>Moderní a</w:t>
      </w:r>
      <w:r w:rsidRPr="00273106">
        <w:t>lexandrovci</w:t>
      </w:r>
      <w:r>
        <w:fldChar w:fldCharType="begin"/>
      </w:r>
      <w:r>
        <w:instrText xml:space="preserve"> XE "alexandrovci" </w:instrText>
      </w:r>
      <w:r>
        <w:fldChar w:fldCharType="end"/>
      </w:r>
      <w:r w:rsidRPr="00273106">
        <w:t xml:space="preserve"> zvítězili a cenu za jejich vítězství </w:t>
      </w:r>
      <w:r>
        <w:t xml:space="preserve">platíme skrze </w:t>
      </w:r>
      <w:r w:rsidRPr="00273106">
        <w:t xml:space="preserve">dualismus duše a těla. </w:t>
      </w:r>
      <w:r>
        <w:t>Pecham</w:t>
      </w:r>
      <w:r w:rsidRPr="00273106">
        <w:t>ovi se rozpadla jednota osoby, na níž trval Boethius</w:t>
      </w:r>
      <w:r>
        <w:fldChar w:fldCharType="begin"/>
      </w:r>
      <w:r>
        <w:instrText xml:space="preserve"> XE "</w:instrText>
      </w:r>
      <w:r w:rsidRPr="00521677">
        <w:rPr>
          <w:lang w:eastAsia="en-US"/>
        </w:rPr>
        <w:instrText>Boethius, Anicius</w:instrText>
      </w:r>
      <w:r>
        <w:instrText xml:space="preserve">" </w:instrText>
      </w:r>
      <w:r>
        <w:fldChar w:fldCharType="end"/>
      </w:r>
      <w:r w:rsidRPr="00273106">
        <w:t xml:space="preserve"> ve slavné definici osoby zdůrazňující nedělitelnost jedné substance (</w:t>
      </w:r>
      <w:r w:rsidRPr="00273106">
        <w:rPr>
          <w:rStyle w:val="st"/>
          <w:bCs/>
          <w:i/>
        </w:rPr>
        <w:t>persona</w:t>
      </w:r>
      <w:r w:rsidRPr="00273106">
        <w:rPr>
          <w:rStyle w:val="st"/>
          <w:i/>
        </w:rPr>
        <w:t xml:space="preserve"> est rationalis naturae individua substantia</w:t>
      </w:r>
      <w:r>
        <w:rPr>
          <w:rStyle w:val="st"/>
        </w:rPr>
        <w:t>, PL 64, 1343</w:t>
      </w:r>
      <w:r w:rsidRPr="00273106">
        <w:rPr>
          <w:rStyle w:val="st"/>
        </w:rPr>
        <w:t>D</w:t>
      </w:r>
      <w:r>
        <w:rPr>
          <w:rStyle w:val="st"/>
        </w:rPr>
        <w:fldChar w:fldCharType="begin"/>
      </w:r>
      <w:r>
        <w:instrText xml:space="preserve"> XE "</w:instrText>
      </w:r>
      <w:r w:rsidRPr="00F75CD9">
        <w:instrText>osoba:Boethius</w:instrText>
      </w:r>
      <w:r>
        <w:instrText xml:space="preserve">" </w:instrText>
      </w:r>
      <w:r>
        <w:rPr>
          <w:rStyle w:val="st"/>
        </w:rPr>
        <w:fldChar w:fldCharType="end"/>
      </w:r>
      <w:r w:rsidRPr="00273106">
        <w:rPr>
          <w:rStyle w:val="st"/>
        </w:rPr>
        <w:t xml:space="preserve">). Moderní individuum vzniklo za cenu rozdělení člověka na </w:t>
      </w:r>
      <w:r>
        <w:rPr>
          <w:rStyle w:val="st"/>
        </w:rPr>
        <w:t>mnohost substancí</w:t>
      </w:r>
      <w:r w:rsidRPr="00273106">
        <w:rPr>
          <w:rStyle w:val="st"/>
        </w:rPr>
        <w:t xml:space="preserve">. </w:t>
      </w:r>
      <w:r>
        <w:t>Klasický aristotelismus Sicilské školy</w:t>
      </w:r>
      <w:r>
        <w:fldChar w:fldCharType="begin"/>
      </w:r>
      <w:r>
        <w:instrText xml:space="preserve"> XE "</w:instrText>
      </w:r>
      <w:r w:rsidRPr="081E7798">
        <w:instrText>Sicilská škola</w:instrText>
      </w:r>
      <w:r>
        <w:instrText xml:space="preserve">" </w:instrText>
      </w:r>
      <w:r>
        <w:fldChar w:fldCharType="end"/>
      </w:r>
      <w:r>
        <w:t xml:space="preserve"> </w:t>
      </w:r>
      <w:r w:rsidRPr="00273106">
        <w:t xml:space="preserve">zásadně trval </w:t>
      </w:r>
      <w:r w:rsidR="081775EF">
        <w:t>na čty</w:t>
      </w:r>
      <w:r w:rsidRPr="00273106">
        <w:t>řech postulátech</w:t>
      </w:r>
      <w:r w:rsidRPr="085560BC">
        <w:t xml:space="preserve"> </w:t>
      </w:r>
      <w:r w:rsidR="003D3D15">
        <w:t>proti škole modernistů.</w:t>
      </w:r>
    </w:p>
    <w:p w:rsidR="003D3D15" w:rsidRDefault="08163013" w:rsidP="00544A63">
      <w:pPr>
        <w:numPr>
          <w:ilvl w:val="0"/>
          <w:numId w:val="6"/>
        </w:numPr>
      </w:pPr>
      <w:r>
        <w:t xml:space="preserve">Je dána pouze jedna </w:t>
      </w:r>
      <w:r w:rsidRPr="00273106">
        <w:t>hylefor</w:t>
      </w:r>
      <w:r>
        <w:t>mická substance</w:t>
      </w:r>
      <w:r>
        <w:fldChar w:fldCharType="begin"/>
      </w:r>
      <w:r>
        <w:instrText xml:space="preserve"> XE "</w:instrText>
      </w:r>
      <w:r w:rsidRPr="00DE2A32">
        <w:instrText>substance</w:instrText>
      </w:r>
      <w:r>
        <w:instrText xml:space="preserve">:hylemorfická" </w:instrText>
      </w:r>
      <w:r>
        <w:fldChar w:fldCharType="end"/>
      </w:r>
      <w:r>
        <w:t xml:space="preserve"> </w:t>
      </w:r>
      <w:r w:rsidR="002D7912">
        <w:t xml:space="preserve">daná jako </w:t>
      </w:r>
      <w:r>
        <w:t>ak</w:t>
      </w:r>
      <w:r w:rsidR="003D3D15">
        <w:t>tuální výkon existence osoby.</w:t>
      </w:r>
    </w:p>
    <w:p w:rsidR="003D3D15" w:rsidRDefault="08163013" w:rsidP="00544A63">
      <w:pPr>
        <w:numPr>
          <w:ilvl w:val="0"/>
          <w:numId w:val="6"/>
        </w:numPr>
      </w:pPr>
      <w:r>
        <w:t xml:space="preserve">Duše je forma </w:t>
      </w:r>
      <w:r w:rsidRPr="00273106">
        <w:t xml:space="preserve">tohoto aktuálně subsistentního </w:t>
      </w:r>
      <w:r>
        <w:t xml:space="preserve">aktu bytí v rámci osoby jako </w:t>
      </w:r>
      <w:r w:rsidR="00D17E08">
        <w:t>„</w:t>
      </w:r>
      <w:r w:rsidRPr="00273106">
        <w:rPr>
          <w:i/>
        </w:rPr>
        <w:t>hoc aliquid</w:t>
      </w:r>
      <w:r w:rsidR="00D17E08">
        <w:t>“</w:t>
      </w:r>
      <w:r>
        <w:t xml:space="preserve">, protože </w:t>
      </w:r>
      <w:r w:rsidRPr="00273106">
        <w:t>mrtvola není člověk</w:t>
      </w:r>
      <w:r>
        <w:t>.</w:t>
      </w:r>
    </w:p>
    <w:p w:rsidR="003D3D15" w:rsidRDefault="003D3D15" w:rsidP="00544A63">
      <w:pPr>
        <w:numPr>
          <w:ilvl w:val="0"/>
          <w:numId w:val="6"/>
        </w:numPr>
      </w:pPr>
      <w:r>
        <w:t>K</w:t>
      </w:r>
      <w:r w:rsidR="081775EF">
        <w:t>aždý akt poznání (smyslového i intelektuálního) má dvě komponenty a proto také dvě schopnosti: re</w:t>
      </w:r>
      <w:r>
        <w:t>ceptivní a syntetickou potenci.</w:t>
      </w:r>
    </w:p>
    <w:p w:rsidR="003D3D15" w:rsidRDefault="08163013" w:rsidP="00544A63">
      <w:pPr>
        <w:numPr>
          <w:ilvl w:val="0"/>
          <w:numId w:val="6"/>
        </w:numPr>
      </w:pPr>
      <w:r>
        <w:t>V</w:t>
      </w:r>
      <w:r w:rsidRPr="00273106">
        <w:t xml:space="preserve">ýkon intelektu </w:t>
      </w:r>
      <w:r>
        <w:t xml:space="preserve">jako nemateriální schopnosti dané </w:t>
      </w:r>
      <w:r w:rsidRPr="00273106">
        <w:t xml:space="preserve">v duši jako </w:t>
      </w:r>
      <w:r>
        <w:t xml:space="preserve">nemateriální </w:t>
      </w:r>
      <w:r w:rsidRPr="00273106">
        <w:t>formě</w:t>
      </w:r>
      <w:r>
        <w:t xml:space="preserve"> těla</w:t>
      </w:r>
      <w:r w:rsidRPr="00273106">
        <w:t xml:space="preserve"> </w:t>
      </w:r>
      <w:r>
        <w:t xml:space="preserve">obsahuje dva poznávací procesy, receptivní a syntetický. </w:t>
      </w:r>
      <w:r w:rsidR="08900A7C">
        <w:t>Obě schopnosti intelektu (</w:t>
      </w:r>
      <w:r w:rsidR="08900A7C" w:rsidRPr="08900A7C">
        <w:rPr>
          <w:i/>
        </w:rPr>
        <w:t>possibilis, agens</w:t>
      </w:r>
      <w:r w:rsidR="08900A7C">
        <w:t xml:space="preserve">) jsou aktivovány od smyslové </w:t>
      </w:r>
      <w:r w:rsidR="00962190" w:rsidRPr="003D3D15">
        <w:t>species</w:t>
      </w:r>
      <w:r w:rsidR="003D3D15">
        <w:t>.</w:t>
      </w:r>
    </w:p>
    <w:p w:rsidR="08163013" w:rsidRDefault="08163013" w:rsidP="081775EF">
      <w:r>
        <w:t xml:space="preserve">Tyto </w:t>
      </w:r>
      <w:r w:rsidR="08900A7C">
        <w:t xml:space="preserve">čtyři </w:t>
      </w:r>
      <w:r>
        <w:t xml:space="preserve">postuláty </w:t>
      </w:r>
      <w:r w:rsidRPr="00273106">
        <w:t>tvoří základní jednotu osoby podle prvního averroismu</w:t>
      </w:r>
      <w:r>
        <w:fldChar w:fldCharType="begin"/>
      </w:r>
      <w:r>
        <w:instrText xml:space="preserve"> XE "</w:instrText>
      </w:r>
      <w:r w:rsidRPr="00EA5E08">
        <w:instrText>osoba:první averroismus</w:instrText>
      </w:r>
      <w:r>
        <w:instrText xml:space="preserve">" </w:instrText>
      </w:r>
      <w:r>
        <w:fldChar w:fldCharType="end"/>
      </w:r>
      <w:r>
        <w:t>, které odpovídá adekvační teorie poznání a pravdy</w:t>
      </w:r>
      <w:r w:rsidRPr="00273106">
        <w:t>.</w:t>
      </w:r>
      <w:r>
        <w:t xml:space="preserve"> Receptivní potence</w:t>
      </w:r>
      <w:r w:rsidRPr="00273106">
        <w:t xml:space="preserve"> </w:t>
      </w:r>
      <w:r>
        <w:t xml:space="preserve">daná intencionalitou </w:t>
      </w:r>
      <w:r w:rsidRPr="00224FC8">
        <w:rPr>
          <w:i/>
        </w:rPr>
        <w:t>intellectus possibilis</w:t>
      </w:r>
      <w:r w:rsidRPr="000B6A05">
        <w:t xml:space="preserve"> </w:t>
      </w:r>
      <w:r>
        <w:t xml:space="preserve">intenduje smyslovou </w:t>
      </w:r>
      <w:r w:rsidR="00962190" w:rsidRPr="004F5538">
        <w:t>species</w:t>
      </w:r>
      <w:r>
        <w:t xml:space="preserve"> aktuálně danou v představivosti. Syntetická činnost </w:t>
      </w:r>
      <w:r>
        <w:rPr>
          <w:i/>
        </w:rPr>
        <w:t>intel</w:t>
      </w:r>
      <w:r w:rsidRPr="00494E00">
        <w:rPr>
          <w:i/>
        </w:rPr>
        <w:t>l</w:t>
      </w:r>
      <w:r>
        <w:rPr>
          <w:i/>
        </w:rPr>
        <w:t>e</w:t>
      </w:r>
      <w:r w:rsidRPr="00494E00">
        <w:rPr>
          <w:i/>
        </w:rPr>
        <w:t>ctus agens</w:t>
      </w:r>
      <w:r>
        <w:t xml:space="preserve"> bere tuto aktuální inteligibilní </w:t>
      </w:r>
      <w:r w:rsidR="00962190" w:rsidRPr="004F5538">
        <w:t>species</w:t>
      </w:r>
      <w:r>
        <w:t xml:space="preserve"> z receptivního intelektu a vytváří v aktu finální systézy výsledný univerzální pojem ve spekulativním intelektu. </w:t>
      </w:r>
      <w:r w:rsidRPr="00273106">
        <w:t xml:space="preserve">Všechny postuláty </w:t>
      </w:r>
      <w:r>
        <w:t>hájí zásadní jed</w:t>
      </w:r>
      <w:r w:rsidR="004F5538">
        <w:t xml:space="preserve">notu </w:t>
      </w:r>
      <w:r>
        <w:t xml:space="preserve">osoby. Osoba je </w:t>
      </w:r>
      <w:r w:rsidRPr="00273106">
        <w:t>jed</w:t>
      </w:r>
      <w:r>
        <w:t xml:space="preserve">inečná </w:t>
      </w:r>
      <w:r w:rsidRPr="00273106">
        <w:t>substance</w:t>
      </w:r>
      <w:r>
        <w:t xml:space="preserve"> a duše je jedinečná forma této substance. Intelekt je jedinečná schopnost duše daná skrze dvě základní </w:t>
      </w:r>
      <w:r w:rsidRPr="00273106">
        <w:t>nemateriální intelektuální schopnost</w:t>
      </w:r>
      <w:r>
        <w:t>i</w:t>
      </w:r>
      <w:r w:rsidRPr="00273106">
        <w:t xml:space="preserve"> (</w:t>
      </w:r>
      <w:r w:rsidRPr="00273106">
        <w:rPr>
          <w:i/>
        </w:rPr>
        <w:t>intellectus</w:t>
      </w:r>
      <w:r w:rsidRPr="00273106">
        <w:t xml:space="preserve"> </w:t>
      </w:r>
      <w:r w:rsidRPr="00273106">
        <w:rPr>
          <w:i/>
        </w:rPr>
        <w:t>possibilis</w:t>
      </w:r>
      <w:r w:rsidRPr="00273106">
        <w:t xml:space="preserve">, </w:t>
      </w:r>
      <w:r w:rsidRPr="00273106">
        <w:rPr>
          <w:i/>
        </w:rPr>
        <w:t>agens</w:t>
      </w:r>
      <w:r>
        <w:t>), které tvoří výsledný pojem (</w:t>
      </w:r>
      <w:r w:rsidRPr="000219EF">
        <w:rPr>
          <w:i/>
        </w:rPr>
        <w:t>intellectus speculativus</w:t>
      </w:r>
      <w:r>
        <w:rPr>
          <w:i/>
        </w:rPr>
        <w:fldChar w:fldCharType="begin"/>
      </w:r>
      <w:r>
        <w:instrText xml:space="preserve"> XE "</w:instrText>
      </w:r>
      <w:r w:rsidRPr="00E2134B">
        <w:rPr>
          <w:i/>
        </w:rPr>
        <w:instrText>intellectus speculativus:</w:instrText>
      </w:r>
      <w:r w:rsidRPr="007076B7">
        <w:instrText>první averroismus</w:instrText>
      </w:r>
      <w:r>
        <w:instrText xml:space="preserve">" </w:instrText>
      </w:r>
      <w:r>
        <w:rPr>
          <w:i/>
        </w:rPr>
        <w:fldChar w:fldCharType="end"/>
      </w:r>
      <w:r>
        <w:t xml:space="preserve">). Předešlá matrice ukázala, že pluralita substancí v člověku vznikla na Oxfordu po roce 1230. </w:t>
      </w:r>
      <w:r w:rsidR="00F06473">
        <w:t>Grosetteste odmít</w:t>
      </w:r>
      <w:r w:rsidRPr="00273106">
        <w:t>l pluralitu substancí</w:t>
      </w:r>
      <w:r>
        <w:t xml:space="preserve"> v</w:t>
      </w:r>
      <w:r w:rsidR="08F925F4">
        <w:t> </w:t>
      </w:r>
      <w:r>
        <w:t>člověku</w:t>
      </w:r>
      <w:r w:rsidR="08F925F4">
        <w:t>. Tato nauka vznikla</w:t>
      </w:r>
      <w:r w:rsidRPr="00273106">
        <w:t xml:space="preserve"> v návaznosti na Buckfieldovo </w:t>
      </w:r>
      <w:r>
        <w:t xml:space="preserve">a Rufusovo pojetí </w:t>
      </w:r>
      <w:r w:rsidRPr="00273106">
        <w:t xml:space="preserve">duše </w:t>
      </w:r>
      <w:r>
        <w:t>v univerzálním hylemorfismu</w:t>
      </w:r>
      <w:r w:rsidR="00F06473">
        <w:t>, který následoval učení porretánů</w:t>
      </w:r>
      <w:r>
        <w:t xml:space="preserve"> a </w:t>
      </w:r>
      <w:r w:rsidRPr="00273106">
        <w:rPr>
          <w:i/>
        </w:rPr>
        <w:t>Nominales</w:t>
      </w:r>
      <w:r w:rsidR="08F925F4">
        <w:t xml:space="preserve"> (OBJ II, kap. 3</w:t>
      </w:r>
      <w:r>
        <w:t>.2). D</w:t>
      </w:r>
      <w:r w:rsidRPr="00273106">
        <w:t>ruhý ave</w:t>
      </w:r>
      <w:r>
        <w:t xml:space="preserve">rroismus zvítězil s pomocí Grossetesteho filosofie, protože využil jeho verzi </w:t>
      </w:r>
      <w:r w:rsidRPr="086A1FDA">
        <w:rPr>
          <w:i/>
        </w:rPr>
        <w:t>Oxfor</w:t>
      </w:r>
      <w:r>
        <w:rPr>
          <w:i/>
        </w:rPr>
        <w:t>dian Fal</w:t>
      </w:r>
      <w:r w:rsidRPr="086A1FDA">
        <w:rPr>
          <w:i/>
        </w:rPr>
        <w:t>l</w:t>
      </w:r>
      <w:r>
        <w:rPr>
          <w:i/>
        </w:rPr>
        <w:t>a</w:t>
      </w:r>
      <w:r w:rsidRPr="086A1FDA">
        <w:rPr>
          <w:i/>
        </w:rPr>
        <w:t>cy</w:t>
      </w:r>
      <w:r>
        <w:t xml:space="preserve"> k tomu, aby obhájil univerzální hylemorfismus a zavedl jej do definice osoby. S výjimkou striktně </w:t>
      </w:r>
      <w:r>
        <w:lastRenderedPageBreak/>
        <w:t>a</w:t>
      </w:r>
      <w:r w:rsidRPr="00273106">
        <w:t xml:space="preserve">ristotelského Bacona převzala teorii </w:t>
      </w:r>
      <w:r>
        <w:t>o pluralitě</w:t>
      </w:r>
      <w:r w:rsidRPr="00273106">
        <w:t xml:space="preserve"> substancí</w:t>
      </w:r>
      <w:r>
        <w:t xml:space="preserve"> v člověku</w:t>
      </w:r>
      <w:r w:rsidRPr="00273106">
        <w:t xml:space="preserve"> velká skupina magistrů na Oxfordu</w:t>
      </w:r>
      <w:r>
        <w:t>,</w:t>
      </w:r>
      <w:r w:rsidRPr="00273106">
        <w:t xml:space="preserve"> a </w:t>
      </w:r>
      <w:r>
        <w:t xml:space="preserve">dokonce ji </w:t>
      </w:r>
      <w:r w:rsidRPr="00273106">
        <w:t>považovala za Grossetesteho autentickou nauku</w:t>
      </w:r>
      <w:r>
        <w:fldChar w:fldCharType="begin"/>
      </w:r>
      <w:r>
        <w:instrText xml:space="preserve"> XE "</w:instrText>
      </w:r>
      <w:r w:rsidRPr="005D44C7">
        <w:instrText>osoba:pluralita substancí</w:instrText>
      </w:r>
      <w:r>
        <w:instrText xml:space="preserve">" </w:instrText>
      </w:r>
      <w:r>
        <w:fldChar w:fldCharType="end"/>
      </w:r>
      <w:r w:rsidRPr="00273106">
        <w:t xml:space="preserve">. To ukazuje anonym z jeho školy vykládající </w:t>
      </w:r>
      <w:r>
        <w:t xml:space="preserve">v další generaci </w:t>
      </w:r>
      <w:r w:rsidRPr="00273106">
        <w:t xml:space="preserve">Aristotelovu </w:t>
      </w:r>
      <w:r>
        <w:rPr>
          <w:i/>
        </w:rPr>
        <w:t>De anima</w:t>
      </w:r>
      <w:r w:rsidRPr="00273106">
        <w:t xml:space="preserve"> v duchu druhého averroismu (</w:t>
      </w:r>
      <w:r w:rsidR="086119B6">
        <w:t>OBJ II, kap. 3</w:t>
      </w:r>
      <w:r w:rsidRPr="00273106">
        <w:t>.1.3).</w:t>
      </w:r>
      <w:r>
        <w:t xml:space="preserve"> Rufus a </w:t>
      </w:r>
      <w:r w:rsidRPr="00273106">
        <w:t xml:space="preserve">Bonaventura přetvořili Boethiovu nauku </w:t>
      </w:r>
      <w:r>
        <w:t xml:space="preserve">o jednotě osoby jako jedné substance </w:t>
      </w:r>
      <w:r w:rsidRPr="00273106">
        <w:t>do dualismu dvou substancí daných dvojí formou látky, materiální a spirituální. K těmto dvěma substancím pak přidali odpovídající akcidentální činnosti</w:t>
      </w:r>
      <w:r>
        <w:t>, smyslové a inteligibilní</w:t>
      </w:r>
      <w:r w:rsidRPr="00273106">
        <w:t xml:space="preserve">. </w:t>
      </w:r>
      <w:r w:rsidR="08886B97">
        <w:t xml:space="preserve">Moderní člověk má dvě substance: tělo a duši. Duše jako intelektuální substance </w:t>
      </w:r>
      <w:r w:rsidR="08886B97" w:rsidRPr="081942A4">
        <w:rPr>
          <w:szCs w:val="24"/>
        </w:rPr>
        <w:t>má buď dvě (materiální, aktivní intelekt), nebo dokonce tři habituálně určené hypostáze (</w:t>
      </w:r>
      <w:r w:rsidR="08886B97" w:rsidRPr="081942A4">
        <w:rPr>
          <w:i/>
          <w:szCs w:val="24"/>
        </w:rPr>
        <w:t>memoria</w:t>
      </w:r>
      <w:r w:rsidR="08886B97" w:rsidRPr="081942A4">
        <w:rPr>
          <w:szCs w:val="24"/>
        </w:rPr>
        <w:t xml:space="preserve">). Modernisté druhé vlny jako Pecham </w:t>
      </w:r>
      <w:r w:rsidRPr="00273106">
        <w:t xml:space="preserve">prohloubili všechny existující rozdíly: duše versus tělo; smyslové versus intelektuální poznání. </w:t>
      </w:r>
      <w:r>
        <w:t xml:space="preserve">První obhajoba modernismu v Paříži dopadla fiaskem, alespoň podle svědectví Bacona. </w:t>
      </w:r>
      <w:r w:rsidR="008041D9" w:rsidRPr="008041D9">
        <w:t>Druhé kolo boje se týkalo definice osoby a vyvrcholilo v roce 1270. Bonaventurův žák Pecham měl spojit všechny části do jednoho celku, aby sta</w:t>
      </w:r>
      <w:r w:rsidR="008041D9">
        <w:t xml:space="preserve">novil objektivní jednotu osoby. </w:t>
      </w:r>
      <w:r>
        <w:t xml:space="preserve">I jeho řešení dopadlo fiaskem a musel opustit Paříž stejně jako před ním Rufus. </w:t>
      </w:r>
      <w:r w:rsidR="08902092">
        <w:t xml:space="preserve">Bonaventura zůstal opět sám jako hlava modernistické fakulty mendikantů v Paříži. Ale pod jeho vedením už vznikla nová generace modernistů, kteří získali akademické tituly. </w:t>
      </w:r>
      <w:r w:rsidRPr="00273106">
        <w:t>Dob</w:t>
      </w:r>
      <w:r>
        <w:t xml:space="preserve">ová svědectví ukazují, že </w:t>
      </w:r>
      <w:r w:rsidRPr="00273106">
        <w:t xml:space="preserve">otázka </w:t>
      </w:r>
      <w:r>
        <w:t xml:space="preserve">plurality substancí v člověku </w:t>
      </w:r>
      <w:r w:rsidRPr="00273106">
        <w:t>tvořila jádro mocenského a ideologického sporu 1277 mezi prvním a druhým averroismem.</w:t>
      </w:r>
      <w:r w:rsidRPr="00273106">
        <w:rPr>
          <w:rStyle w:val="Znakapoznpodarou"/>
        </w:rPr>
        <w:footnoteReference w:id="101"/>
      </w:r>
      <w:r>
        <w:t xml:space="preserve"> Epochálním vítězem celého sporu se stal semiaverroismus Akvinského, který hlásal pluralismus forem </w:t>
      </w:r>
      <w:r w:rsidR="086C5047">
        <w:t>(a</w:t>
      </w:r>
      <w:r w:rsidR="08A600BC">
        <w:t xml:space="preserve">le ne substancí) </w:t>
      </w:r>
      <w:r>
        <w:t xml:space="preserve">v člověku po vzoru Grossetesteho. Na jedné straně stojí reálná osoba a její existující duše, na druhé straně stojí bohem přímo stvořená a věčná </w:t>
      </w:r>
      <w:r w:rsidRPr="08B414B6">
        <w:rPr>
          <w:i/>
        </w:rPr>
        <w:t>anima intellectiva</w:t>
      </w:r>
      <w:r w:rsidR="002E1C9B">
        <w:t xml:space="preserve">. Podle Akvinského se tím </w:t>
      </w:r>
      <w:r>
        <w:t>zaji</w:t>
      </w:r>
      <w:r w:rsidR="002E1C9B">
        <w:t xml:space="preserve">stil </w:t>
      </w:r>
      <w:r>
        <w:t xml:space="preserve">teologický postulát nesmrtelnosti duše. Toto pojetí bylo pro magistry vedené Sigerem také nepřijatelné, i když respektovalo jednoty osoby jako substanci, což neměli modernisté. Poražený Akvinský prohrál boj o titul </w:t>
      </w:r>
      <w:r w:rsidRPr="086675CD">
        <w:rPr>
          <w:i/>
        </w:rPr>
        <w:t>Expozitor Novus</w:t>
      </w:r>
      <w:r>
        <w:t xml:space="preserve"> se </w:t>
      </w:r>
      <w:r w:rsidR="002E1C9B">
        <w:t xml:space="preserve">Sigerem a jeho školou a odešel </w:t>
      </w:r>
      <w:r>
        <w:t xml:space="preserve">z Paříže v dubnu 1272. </w:t>
      </w:r>
      <w:r w:rsidR="002E1C9B">
        <w:t>Aegidius Romanus, brilantní l</w:t>
      </w:r>
      <w:r>
        <w:t>atins</w:t>
      </w:r>
      <w:r w:rsidR="002E1C9B">
        <w:t xml:space="preserve">ký sofista a zakladatel tomismu, </w:t>
      </w:r>
      <w:r>
        <w:t xml:space="preserve">zajistil vítězství tohoto křesťanského pojetí osoby schizofrenicky </w:t>
      </w:r>
      <w:r w:rsidR="002E1C9B">
        <w:t xml:space="preserve">rozdělené </w:t>
      </w:r>
      <w:r w:rsidR="004C2395">
        <w:t xml:space="preserve">do dvou forem. Po zániku školy prvního averroismu, </w:t>
      </w:r>
      <w:r w:rsidR="002E1C9B">
        <w:t xml:space="preserve">Aegidius Romanus jako </w:t>
      </w:r>
      <w:r>
        <w:t xml:space="preserve">historicky první tomista na Pařížské univerzitě vytvořil mýtus vítězného </w:t>
      </w:r>
      <w:r>
        <w:lastRenderedPageBreak/>
        <w:t xml:space="preserve">aristotelika Akvinského, kterému </w:t>
      </w:r>
      <w:r w:rsidR="085E7D9F">
        <w:t xml:space="preserve">on sám </w:t>
      </w:r>
      <w:r>
        <w:t xml:space="preserve">dal čestný titul </w:t>
      </w:r>
      <w:r w:rsidRPr="08CE6260">
        <w:rPr>
          <w:i/>
        </w:rPr>
        <w:t>Expositor Novus</w:t>
      </w:r>
      <w:r>
        <w:rPr>
          <w:i/>
        </w:rPr>
        <w:fldChar w:fldCharType="begin"/>
      </w:r>
      <w:r>
        <w:instrText xml:space="preserve"> XE "</w:instrText>
      </w:r>
      <w:r w:rsidRPr="0849584A">
        <w:rPr>
          <w:i/>
        </w:rPr>
        <w:instrText>Expositor Novus</w:instrText>
      </w:r>
      <w:r>
        <w:instrText xml:space="preserve">" </w:instrText>
      </w:r>
      <w:r>
        <w:rPr>
          <w:i/>
        </w:rPr>
        <w:fldChar w:fldCharType="end"/>
      </w:r>
      <w:r>
        <w:t>.</w:t>
      </w:r>
    </w:p>
    <w:p w:rsidR="08163013" w:rsidRPr="00273106" w:rsidRDefault="08163013" w:rsidP="08163013">
      <w:r>
        <w:tab/>
        <w:t xml:space="preserve">Pecham systematizoval předešlou sofistiku modernistů v letech 1268‒70 </w:t>
      </w:r>
      <w:r w:rsidRPr="00273106">
        <w:t xml:space="preserve">tím, že našel objektivní určení </w:t>
      </w:r>
      <w:r>
        <w:t xml:space="preserve">západního subjektu. Tím začala </w:t>
      </w:r>
      <w:r w:rsidRPr="00273106">
        <w:t xml:space="preserve">rozhodující </w:t>
      </w:r>
      <w:r>
        <w:t>etapa</w:t>
      </w:r>
      <w:r w:rsidRPr="00273106">
        <w:t xml:space="preserve"> výst</w:t>
      </w:r>
      <w:r>
        <w:t xml:space="preserve">avby objektivně dané filosofie. </w:t>
      </w:r>
      <w:r w:rsidRPr="00273106">
        <w:t xml:space="preserve">Integrální řešení těchto problémů nabízí </w:t>
      </w:r>
      <w:r>
        <w:t xml:space="preserve">ve druhém averroismu adjektivum </w:t>
      </w:r>
      <w:r w:rsidR="00E01ADB">
        <w:t>„</w:t>
      </w:r>
      <w:r w:rsidRPr="00273106">
        <w:rPr>
          <w:i/>
        </w:rPr>
        <w:t>obiective</w:t>
      </w:r>
      <w:r w:rsidR="00E01ADB">
        <w:t>“</w:t>
      </w:r>
      <w:r>
        <w:t>. Pecham</w:t>
      </w:r>
      <w:r w:rsidRPr="00273106">
        <w:t xml:space="preserve"> stál před klasickým problémem všech </w:t>
      </w:r>
      <w:r w:rsidRPr="00273106">
        <w:rPr>
          <w:i/>
        </w:rPr>
        <w:t>Modernorum</w:t>
      </w:r>
      <w:r w:rsidR="00530BF4">
        <w:t xml:space="preserve">: </w:t>
      </w:r>
      <w:r w:rsidRPr="00273106">
        <w:t xml:space="preserve">Jak </w:t>
      </w:r>
      <w:r>
        <w:t xml:space="preserve">obhájit vnitřně </w:t>
      </w:r>
      <w:r w:rsidRPr="00273106">
        <w:t xml:space="preserve">rozdělený subjekt a </w:t>
      </w:r>
      <w:r>
        <w:t xml:space="preserve">pravdivost </w:t>
      </w:r>
      <w:r w:rsidRPr="00273106">
        <w:t>jeho poznání</w:t>
      </w:r>
      <w:r>
        <w:t>, které primárně nejde k realitě</w:t>
      </w:r>
      <w:r w:rsidRPr="00273106">
        <w:t xml:space="preserve">? Jeho řešení bylo na rozdíl od Bonaventury systematické a </w:t>
      </w:r>
      <w:r>
        <w:t>založilo metafyziku objektivity.</w:t>
      </w:r>
      <w:r w:rsidRPr="00BB7E44">
        <w:t xml:space="preserve"> </w:t>
      </w:r>
      <w:r>
        <w:t xml:space="preserve">Termín </w:t>
      </w:r>
      <w:r w:rsidR="00DE4896">
        <w:t>„</w:t>
      </w:r>
      <w:r w:rsidRPr="00273106">
        <w:rPr>
          <w:i/>
        </w:rPr>
        <w:t>totum virtuale</w:t>
      </w:r>
      <w:r w:rsidR="00DE4896">
        <w:t>“</w:t>
      </w:r>
      <w:r>
        <w:rPr>
          <w:i/>
        </w:rPr>
        <w:fldChar w:fldCharType="begin"/>
      </w:r>
      <w:r>
        <w:instrText xml:space="preserve"> XE "</w:instrText>
      </w:r>
      <w:r w:rsidRPr="000F6C5F">
        <w:instrText>osoba</w:instrText>
      </w:r>
      <w:r w:rsidRPr="00A10A92">
        <w:rPr>
          <w:i/>
        </w:rPr>
        <w:instrText>:totum virtuale</w:instrText>
      </w:r>
      <w:r>
        <w:instrText xml:space="preserve">" </w:instrText>
      </w:r>
      <w:r>
        <w:rPr>
          <w:i/>
        </w:rPr>
        <w:fldChar w:fldCharType="end"/>
      </w:r>
      <w:r w:rsidRPr="00273106">
        <w:t xml:space="preserve"> </w:t>
      </w:r>
      <w:r>
        <w:t xml:space="preserve">představuje objektivní </w:t>
      </w:r>
      <w:r w:rsidR="00EE21B0" w:rsidRPr="002D4260">
        <w:rPr>
          <w:i/>
          <w:szCs w:val="24"/>
        </w:rPr>
        <w:t>veritas</w:t>
      </w:r>
      <w:r w:rsidR="00EE21B0">
        <w:rPr>
          <w:szCs w:val="24"/>
        </w:rPr>
        <w:t xml:space="preserve"> </w:t>
      </w:r>
      <w:r w:rsidRPr="00273106">
        <w:t>moderního subjektu</w:t>
      </w:r>
      <w:r>
        <w:fldChar w:fldCharType="begin"/>
      </w:r>
      <w:r>
        <w:instrText xml:space="preserve"> XE "pravda</w:instrText>
      </w:r>
      <w:r w:rsidRPr="002E6F4D">
        <w:instrText>:moderního subjektu</w:instrText>
      </w:r>
      <w:r>
        <w:instrText xml:space="preserve">" </w:instrText>
      </w:r>
      <w:r>
        <w:fldChar w:fldCharType="end"/>
      </w:r>
      <w:r w:rsidRPr="00273106">
        <w:t xml:space="preserve">. </w:t>
      </w:r>
      <w:r>
        <w:t xml:space="preserve">Virtuální subjekt může bez zábran kontemplovat virtuální svět, což dokončí </w:t>
      </w:r>
      <w:r w:rsidRPr="00273106">
        <w:t xml:space="preserve">Scotus </w:t>
      </w:r>
      <w:r>
        <w:t xml:space="preserve">tvorbou nové </w:t>
      </w:r>
      <w:r w:rsidRPr="00273106">
        <w:t>m</w:t>
      </w:r>
      <w:r>
        <w:t>etafyziky. Pecham vytvořil první teorii virtuální reality a završil výstavbu první fáze nové metafyziky. Po roce 1250 museli modernisté navrhnout nové určení člověka, které vytvoří moderní jednotu osoby, pravdy a poznání. Pecham</w:t>
      </w:r>
      <w:r w:rsidRPr="00273106">
        <w:t xml:space="preserve"> našel pro </w:t>
      </w:r>
      <w:r w:rsidRPr="00273106">
        <w:rPr>
          <w:i/>
        </w:rPr>
        <w:t>via Modernorum</w:t>
      </w:r>
      <w:r>
        <w:rPr>
          <w:i/>
        </w:rPr>
        <w:fldChar w:fldCharType="begin"/>
      </w:r>
      <w:r>
        <w:instrText xml:space="preserve"> XE "</w:instrText>
      </w:r>
      <w:r w:rsidRPr="00ED0748">
        <w:rPr>
          <w:i/>
        </w:rPr>
        <w:instrText>via Modernorum</w:instrText>
      </w:r>
      <w:r>
        <w:instrText xml:space="preserve">" </w:instrText>
      </w:r>
      <w:r>
        <w:rPr>
          <w:i/>
        </w:rPr>
        <w:fldChar w:fldCharType="end"/>
      </w:r>
      <w:r w:rsidRPr="00273106">
        <w:t xml:space="preserve"> třetí cestu mimo aristotelismus a mimo neoplatonismus.</w:t>
      </w:r>
      <w:r>
        <w:t xml:space="preserve"> </w:t>
      </w:r>
      <w:r w:rsidRPr="00273106">
        <w:t xml:space="preserve">Boethiovo </w:t>
      </w:r>
      <w:r>
        <w:t xml:space="preserve">pojetí signifikace </w:t>
      </w:r>
      <w:r w:rsidRPr="00273106">
        <w:t>vedlo ke v</w:t>
      </w:r>
      <w:r>
        <w:t xml:space="preserve">zniku obou forem jsoucna </w:t>
      </w:r>
      <w:r w:rsidR="007F296B">
        <w:t>jako „</w:t>
      </w:r>
      <w:r w:rsidRPr="00660603">
        <w:rPr>
          <w:i/>
        </w:rPr>
        <w:t>totum universale</w:t>
      </w:r>
      <w:r w:rsidR="007F296B">
        <w:t>“</w:t>
      </w:r>
      <w:r>
        <w:rPr>
          <w:i/>
        </w:rPr>
        <w:fldChar w:fldCharType="begin"/>
      </w:r>
      <w:r>
        <w:instrText xml:space="preserve"> XE "</w:instrText>
      </w:r>
      <w:r w:rsidRPr="00F92D1B">
        <w:rPr>
          <w:i/>
        </w:rPr>
        <w:instrText>totum universale</w:instrText>
      </w:r>
      <w:r>
        <w:instrText xml:space="preserve">" </w:instrText>
      </w:r>
      <w:r>
        <w:rPr>
          <w:i/>
        </w:rPr>
        <w:fldChar w:fldCharType="end"/>
      </w:r>
      <w:r>
        <w:t xml:space="preserve"> a </w:t>
      </w:r>
      <w:r w:rsidR="007F296B">
        <w:t>„</w:t>
      </w:r>
      <w:r w:rsidRPr="00660603">
        <w:rPr>
          <w:i/>
        </w:rPr>
        <w:t>totum integrale</w:t>
      </w:r>
      <w:r w:rsidR="007F296B">
        <w:t>“</w:t>
      </w:r>
      <w:r w:rsidR="007F296B" w:rsidRPr="007F296B">
        <w:t xml:space="preserve">. Viz </w:t>
      </w:r>
      <w:r w:rsidR="007F296B">
        <w:t>v</w:t>
      </w:r>
      <w:r w:rsidRPr="00273106">
        <w:t>ýše citovan</w:t>
      </w:r>
      <w:r w:rsidR="007F296B">
        <w:t xml:space="preserve">ý </w:t>
      </w:r>
      <w:r w:rsidRPr="00273106">
        <w:t xml:space="preserve">spor ve 12. století mezi Abelardem a školou </w:t>
      </w:r>
      <w:r w:rsidRPr="00273106">
        <w:rPr>
          <w:i/>
        </w:rPr>
        <w:t>Nominales</w:t>
      </w:r>
      <w:r>
        <w:t xml:space="preserve"> (</w:t>
      </w:r>
      <w:r w:rsidR="08305A02">
        <w:t>OBJ II, kap. 1</w:t>
      </w:r>
      <w:r>
        <w:t xml:space="preserve">.2). </w:t>
      </w:r>
      <w:r w:rsidRPr="00273106">
        <w:t xml:space="preserve">Abelard </w:t>
      </w:r>
      <w:r>
        <w:t>na základě tohoto Boethiova rozlišení definuje buď k</w:t>
      </w:r>
      <w:r w:rsidRPr="00273106">
        <w:t>oncept v mysli (</w:t>
      </w:r>
      <w:r w:rsidRPr="00273106">
        <w:rPr>
          <w:i/>
        </w:rPr>
        <w:t>totum universale</w:t>
      </w:r>
      <w:r>
        <w:rPr>
          <w:i/>
        </w:rPr>
        <w:fldChar w:fldCharType="begin"/>
      </w:r>
      <w:r>
        <w:instrText xml:space="preserve"> XE "</w:instrText>
      </w:r>
      <w:r w:rsidRPr="00F92D1B">
        <w:rPr>
          <w:i/>
        </w:rPr>
        <w:instrText>totum universale</w:instrText>
      </w:r>
      <w:r>
        <w:instrText xml:space="preserve">" </w:instrText>
      </w:r>
      <w:r>
        <w:rPr>
          <w:i/>
        </w:rPr>
        <w:fldChar w:fldCharType="end"/>
      </w:r>
      <w:r w:rsidRPr="00273106">
        <w:t xml:space="preserve">), nebo </w:t>
      </w:r>
      <w:r>
        <w:t xml:space="preserve">význam vztažený k </w:t>
      </w:r>
      <w:r w:rsidRPr="00273106">
        <w:t>hylemorfi</w:t>
      </w:r>
      <w:r>
        <w:t>cké jednotlivině</w:t>
      </w:r>
      <w:r w:rsidRPr="00273106">
        <w:t xml:space="preserve"> (</w:t>
      </w:r>
      <w:r w:rsidRPr="00273106">
        <w:rPr>
          <w:i/>
        </w:rPr>
        <w:t>totum integrum</w:t>
      </w:r>
      <w:r>
        <w:rPr>
          <w:i/>
        </w:rPr>
        <w:fldChar w:fldCharType="begin"/>
      </w:r>
      <w:r>
        <w:instrText xml:space="preserve"> XE "</w:instrText>
      </w:r>
      <w:r w:rsidRPr="00A61533">
        <w:rPr>
          <w:i/>
        </w:rPr>
        <w:instrText>totum integrum</w:instrText>
      </w:r>
      <w:r>
        <w:instrText xml:space="preserve">" </w:instrText>
      </w:r>
      <w:r>
        <w:rPr>
          <w:i/>
        </w:rPr>
        <w:fldChar w:fldCharType="end"/>
      </w:r>
      <w:r w:rsidRPr="00273106">
        <w:t>.</w:t>
      </w:r>
      <w:r>
        <w:t xml:space="preserve"> Diskutovaná věta </w:t>
      </w:r>
      <w:r w:rsidRPr="00273106">
        <w:t xml:space="preserve">Boethiovy </w:t>
      </w:r>
      <w:r w:rsidRPr="00273106">
        <w:rPr>
          <w:i/>
        </w:rPr>
        <w:t>Liber de divisione</w:t>
      </w:r>
      <w:r w:rsidRPr="00273106">
        <w:t xml:space="preserve"> </w:t>
      </w:r>
      <w:r>
        <w:t xml:space="preserve">ohledně jednoty osoby </w:t>
      </w:r>
      <w:r w:rsidRPr="00273106">
        <w:t>zní následovně.</w:t>
      </w:r>
    </w:p>
    <w:p w:rsidR="08163013" w:rsidRPr="00982F77" w:rsidRDefault="08163013" w:rsidP="08163013">
      <w:pPr>
        <w:pStyle w:val="Citace"/>
        <w:rPr>
          <w:noProof/>
        </w:rPr>
      </w:pPr>
      <w:r w:rsidRPr="00273106">
        <w:rPr>
          <w:noProof/>
        </w:rPr>
        <w:t>„</w:t>
      </w:r>
      <w:r>
        <w:rPr>
          <w:noProof/>
          <w:lang w:val="cs-CZ"/>
        </w:rPr>
        <w:t>D</w:t>
      </w:r>
      <w:r>
        <w:rPr>
          <w:noProof/>
        </w:rPr>
        <w:t>uše není</w:t>
      </w:r>
      <w:r>
        <w:rPr>
          <w:noProof/>
          <w:lang w:val="cs-CZ"/>
        </w:rPr>
        <w:t xml:space="preserve"> dána jako </w:t>
      </w:r>
      <w:r>
        <w:rPr>
          <w:noProof/>
        </w:rPr>
        <w:t>rod</w:t>
      </w:r>
      <w:r>
        <w:rPr>
          <w:noProof/>
          <w:lang w:val="cs-CZ"/>
        </w:rPr>
        <w:t xml:space="preserve"> pro své schopnosti</w:t>
      </w:r>
      <w:r>
        <w:rPr>
          <w:noProof/>
        </w:rPr>
        <w:t>, ale je celkem</w:t>
      </w:r>
      <w:r w:rsidR="08291250">
        <w:rPr>
          <w:noProof/>
          <w:lang w:val="cs-CZ"/>
        </w:rPr>
        <w:t xml:space="preserve"> </w:t>
      </w:r>
      <w:r w:rsidR="08291250" w:rsidRPr="081942A4">
        <w:rPr>
          <w:lang w:val="cs-CZ"/>
        </w:rPr>
        <w:t>(</w:t>
      </w:r>
      <w:r w:rsidR="08291250" w:rsidRPr="081942A4">
        <w:rPr>
          <w:i/>
          <w:lang w:val="cs-CZ"/>
        </w:rPr>
        <w:t>totum</w:t>
      </w:r>
      <w:r w:rsidR="08291250" w:rsidRPr="081942A4">
        <w:rPr>
          <w:lang w:val="cs-CZ"/>
        </w:rPr>
        <w:t>)</w:t>
      </w:r>
      <w:r>
        <w:rPr>
          <w:noProof/>
          <w:lang w:val="cs-CZ"/>
        </w:rPr>
        <w:t xml:space="preserve">. A </w:t>
      </w:r>
      <w:r>
        <w:rPr>
          <w:noProof/>
        </w:rPr>
        <w:t xml:space="preserve">části patří k duši nikoliv z hlediska kvantity, ale z hlediska určité potence a </w:t>
      </w:r>
      <w:r w:rsidR="007B7ED0">
        <w:rPr>
          <w:noProof/>
          <w:lang w:val="cs-CZ"/>
        </w:rPr>
        <w:t>aktuality</w:t>
      </w:r>
      <w:r w:rsidR="00FD56A4">
        <w:rPr>
          <w:noProof/>
          <w:lang w:val="cs-CZ"/>
        </w:rPr>
        <w:t xml:space="preserve"> </w:t>
      </w:r>
      <w:r w:rsidR="00FD56A4">
        <w:t>(</w:t>
      </w:r>
      <w:r w:rsidR="00FD56A4" w:rsidRPr="00985A81">
        <w:rPr>
          <w:i/>
          <w:noProof/>
        </w:rPr>
        <w:t>potestate et virtute</w:t>
      </w:r>
      <w:r w:rsidR="00FD56A4">
        <w:t>)</w:t>
      </w:r>
      <w:r>
        <w:rPr>
          <w:noProof/>
        </w:rPr>
        <w:t xml:space="preserve">.“ </w:t>
      </w:r>
      <w:r>
        <w:rPr>
          <w:rStyle w:val="Znakapoznpodarou"/>
        </w:rPr>
        <w:footnoteReference w:id="102"/>
      </w:r>
    </w:p>
    <w:p w:rsidR="00953AE6" w:rsidRDefault="08163013" w:rsidP="08163013">
      <w:r>
        <w:t xml:space="preserve">Citát </w:t>
      </w:r>
      <w:r w:rsidRPr="00273106">
        <w:t xml:space="preserve">odděluje </w:t>
      </w:r>
      <w:r w:rsidR="00736C2C">
        <w:t>duši jako svébytný</w:t>
      </w:r>
      <w:r w:rsidRPr="00273106">
        <w:t xml:space="preserve"> </w:t>
      </w:r>
      <w:r w:rsidR="00736C2C">
        <w:t>existenciální</w:t>
      </w:r>
      <w:r>
        <w:t xml:space="preserve"> </w:t>
      </w:r>
      <w:r w:rsidRPr="00273106">
        <w:t>cel</w:t>
      </w:r>
      <w:r w:rsidR="00736C2C">
        <w:t>ek</w:t>
      </w:r>
      <w:r w:rsidRPr="00273106">
        <w:t xml:space="preserve"> (</w:t>
      </w:r>
      <w:r w:rsidRPr="00273106">
        <w:rPr>
          <w:i/>
        </w:rPr>
        <w:t>totum</w:t>
      </w:r>
      <w:r w:rsidRPr="00273106">
        <w:t xml:space="preserve">) </w:t>
      </w:r>
      <w:r>
        <w:t>jak od abstraktního rodu (</w:t>
      </w:r>
      <w:r w:rsidR="00962190">
        <w:rPr>
          <w:i/>
        </w:rPr>
        <w:t>genus</w:t>
      </w:r>
      <w:r>
        <w:t xml:space="preserve">), tak i </w:t>
      </w:r>
      <w:r w:rsidRPr="00273106">
        <w:t xml:space="preserve">od </w:t>
      </w:r>
      <w:r>
        <w:t xml:space="preserve">existenciálně daných </w:t>
      </w:r>
      <w:r w:rsidRPr="00273106">
        <w:t>schopností duše (</w:t>
      </w:r>
      <w:r w:rsidRPr="00273106">
        <w:rPr>
          <w:i/>
        </w:rPr>
        <w:t>partes animae</w:t>
      </w:r>
      <w:r w:rsidRPr="00273106">
        <w:t>). Boethius</w:t>
      </w:r>
      <w:r>
        <w:fldChar w:fldCharType="begin"/>
      </w:r>
      <w:r>
        <w:instrText xml:space="preserve"> XE "</w:instrText>
      </w:r>
      <w:r w:rsidRPr="00521677">
        <w:rPr>
          <w:lang w:eastAsia="en-US"/>
        </w:rPr>
        <w:instrText>Boethius, Anicius</w:instrText>
      </w:r>
      <w:r>
        <w:instrText xml:space="preserve">" </w:instrText>
      </w:r>
      <w:r>
        <w:fldChar w:fldCharType="end"/>
      </w:r>
      <w:r w:rsidRPr="00273106">
        <w:t xml:space="preserve"> nedělá v uvedeném citátu rozdíl mezi </w:t>
      </w:r>
      <w:r>
        <w:t>částí</w:t>
      </w:r>
      <w:r w:rsidRPr="00273106">
        <w:t xml:space="preserve"> duše (</w:t>
      </w:r>
      <w:r w:rsidRPr="00273106">
        <w:rPr>
          <w:i/>
        </w:rPr>
        <w:t>partes animae</w:t>
      </w:r>
      <w:r>
        <w:t>) a schopností</w:t>
      </w:r>
      <w:r w:rsidRPr="00273106">
        <w:t xml:space="preserve"> duše (</w:t>
      </w:r>
      <w:r w:rsidRPr="00273106">
        <w:rPr>
          <w:i/>
        </w:rPr>
        <w:t>in aliqua potestate et virtute</w:t>
      </w:r>
      <w:r w:rsidRPr="00273106">
        <w:t xml:space="preserve">). Pouze obojí odděluje od rozsažnosti jako sekundárního určení daného </w:t>
      </w:r>
      <w:r w:rsidR="082360E6">
        <w:t xml:space="preserve">abstrakcí tělesa a jeho akcidentálním určením </w:t>
      </w:r>
      <w:r w:rsidRPr="00273106">
        <w:t>(</w:t>
      </w:r>
      <w:r w:rsidRPr="00273106">
        <w:rPr>
          <w:i/>
        </w:rPr>
        <w:t>non ut in quantitate</w:t>
      </w:r>
      <w:r w:rsidRPr="00273106">
        <w:t xml:space="preserve">). Duše je podle tohoto aristotelika nemateriální forma těla, proto nemůže obsahovat žádná kvantitativní určení. </w:t>
      </w:r>
      <w:r>
        <w:t xml:space="preserve">A reálné poznávací schopnosti patří duši entelechicky </w:t>
      </w:r>
      <w:r>
        <w:lastRenderedPageBreak/>
        <w:t>působí</w:t>
      </w:r>
      <w:r w:rsidR="00A3605C">
        <w:t>cí</w:t>
      </w:r>
      <w:r>
        <w:t xml:space="preserve"> v těle. Duše jin</w:t>
      </w:r>
      <w:r w:rsidR="00A3605C">
        <w:t xml:space="preserve">ak </w:t>
      </w:r>
      <w:r>
        <w:t xml:space="preserve">neexistuje z hlediska kategoriální predikace kritické filosofie založené kauzalitě prvních substancí, což je v tomto případě tělesně existující osoba. </w:t>
      </w:r>
      <w:r w:rsidR="00921A3F" w:rsidRPr="00921A3F">
        <w:t>Všechny entity byly definovány buď jako skuteč</w:t>
      </w:r>
      <w:r w:rsidR="00921A3F">
        <w:t>né první substance (Abelardovo „</w:t>
      </w:r>
      <w:r w:rsidR="00921A3F" w:rsidRPr="00921A3F">
        <w:rPr>
          <w:i/>
        </w:rPr>
        <w:t>totum integrum</w:t>
      </w:r>
      <w:r w:rsidR="00921A3F">
        <w:t>“</w:t>
      </w:r>
      <w:r w:rsidR="00921A3F" w:rsidRPr="00921A3F">
        <w:t xml:space="preserve">), nebo jako univerzální význam (Abelardovo </w:t>
      </w:r>
      <w:r w:rsidR="00921A3F">
        <w:t>„</w:t>
      </w:r>
      <w:r w:rsidR="00921A3F" w:rsidRPr="00921A3F">
        <w:rPr>
          <w:i/>
        </w:rPr>
        <w:t>totum universale</w:t>
      </w:r>
      <w:r w:rsidR="00921A3F">
        <w:t>“</w:t>
      </w:r>
      <w:r w:rsidR="00921A3F" w:rsidRPr="00921A3F">
        <w:t xml:space="preserve">). </w:t>
      </w:r>
      <w:r w:rsidRPr="00273106">
        <w:t xml:space="preserve">Magistři mendikantských řádů </w:t>
      </w:r>
      <w:r>
        <w:t xml:space="preserve">ze školy avicennizujícího augustinianimu </w:t>
      </w:r>
      <w:r w:rsidRPr="00273106">
        <w:t xml:space="preserve">navázali </w:t>
      </w:r>
      <w:r>
        <w:t xml:space="preserve">Boethiovu definici duše jako univočního </w:t>
      </w:r>
      <w:r w:rsidR="00CC493B">
        <w:t>„</w:t>
      </w:r>
      <w:r w:rsidRPr="00DF42C6">
        <w:rPr>
          <w:i/>
        </w:rPr>
        <w:t>totum</w:t>
      </w:r>
      <w:r w:rsidR="00CC493B">
        <w:t>“</w:t>
      </w:r>
      <w:r>
        <w:t xml:space="preserve"> na </w:t>
      </w:r>
      <w:r w:rsidRPr="00273106">
        <w:t xml:space="preserve">dělení </w:t>
      </w:r>
      <w:r w:rsidR="004320EF">
        <w:t xml:space="preserve">universálií </w:t>
      </w:r>
      <w:r>
        <w:t xml:space="preserve">ve škole </w:t>
      </w:r>
      <w:r w:rsidRPr="00E407D2">
        <w:rPr>
          <w:i/>
        </w:rPr>
        <w:t>Nominales</w:t>
      </w:r>
      <w:r w:rsidR="004320EF">
        <w:t xml:space="preserve">, které bylo </w:t>
      </w:r>
      <w:r>
        <w:t>dané</w:t>
      </w:r>
      <w:r w:rsidRPr="00273106">
        <w:t xml:space="preserve"> </w:t>
      </w:r>
      <w:r w:rsidR="00953AE6">
        <w:t>v rámci Porfyriova stromu.</w:t>
      </w:r>
    </w:p>
    <w:p w:rsidR="08163013" w:rsidRPr="005A5207" w:rsidRDefault="08163013" w:rsidP="00953AE6">
      <w:pPr>
        <w:ind w:firstLine="397"/>
      </w:pPr>
      <w:r>
        <w:t xml:space="preserve">Pecham k těmto dvěma určením jsoucna přidal třetí </w:t>
      </w:r>
      <w:r w:rsidRPr="00273106">
        <w:t>objektivní určení v rámci jsoucna třetího druhu</w:t>
      </w:r>
      <w:r>
        <w:t xml:space="preserve"> (</w:t>
      </w:r>
      <w:r w:rsidRPr="007B3569">
        <w:rPr>
          <w:i/>
        </w:rPr>
        <w:t>totum virtuale</w:t>
      </w:r>
      <w:r>
        <w:rPr>
          <w:i/>
        </w:rPr>
        <w:fldChar w:fldCharType="begin"/>
      </w:r>
      <w:r>
        <w:instrText xml:space="preserve"> XE "</w:instrText>
      </w:r>
      <w:r w:rsidRPr="002B6463">
        <w:instrText>osoba</w:instrText>
      </w:r>
      <w:r w:rsidRPr="00A10A92">
        <w:rPr>
          <w:i/>
        </w:rPr>
        <w:instrText>:totum virtuale</w:instrText>
      </w:r>
      <w:r>
        <w:instrText xml:space="preserve">" </w:instrText>
      </w:r>
      <w:r>
        <w:rPr>
          <w:i/>
        </w:rPr>
        <w:fldChar w:fldCharType="end"/>
      </w:r>
      <w:r>
        <w:t>).</w:t>
      </w:r>
      <w:r w:rsidRPr="00273106">
        <w:rPr>
          <w:rStyle w:val="Znakapoznpodarou"/>
        </w:rPr>
        <w:footnoteReference w:id="103"/>
      </w:r>
      <w:r w:rsidRPr="00273106">
        <w:t xml:space="preserve"> </w:t>
      </w:r>
      <w:r w:rsidR="00283925" w:rsidRPr="00283925">
        <w:t>Klasická definice duše se spojila s činnostmi prvních substancí, které jsou vykonávány v</w:t>
      </w:r>
      <w:r w:rsidR="00283925">
        <w:t xml:space="preserve"> realitě</w:t>
      </w:r>
      <w:r w:rsidR="00283925" w:rsidRPr="00283925">
        <w:t>. Deduktivní důkaz v prvním averroismu byl založen na kauzalitě skutečně působící duše v těle. Tato kauzalita byla uvedena jako střední článek deduktivního důk</w:t>
      </w:r>
      <w:r w:rsidR="00283925">
        <w:t>azu v podobě druhé substance (</w:t>
      </w:r>
      <w:r w:rsidR="00283925" w:rsidRPr="00283925">
        <w:rPr>
          <w:i/>
        </w:rPr>
        <w:t>medium</w:t>
      </w:r>
      <w:r w:rsidR="00283925">
        <w:rPr>
          <w:i/>
        </w:rPr>
        <w:fldChar w:fldCharType="begin"/>
      </w:r>
      <w:r w:rsidR="00283925">
        <w:instrText xml:space="preserve"> XE "</w:instrText>
      </w:r>
      <w:r w:rsidR="00283925" w:rsidRPr="001618A5">
        <w:rPr>
          <w:i/>
        </w:rPr>
        <w:instrText>medium:</w:instrText>
      </w:r>
      <w:r w:rsidR="00283925" w:rsidRPr="002B6463">
        <w:instrText>moderna</w:instrText>
      </w:r>
      <w:r w:rsidR="00283925">
        <w:instrText xml:space="preserve">" </w:instrText>
      </w:r>
      <w:r w:rsidR="00283925">
        <w:rPr>
          <w:i/>
        </w:rPr>
        <w:fldChar w:fldCharType="end"/>
      </w:r>
      <w:r w:rsidR="00283925" w:rsidRPr="00283925">
        <w:t>). Tento dru</w:t>
      </w:r>
      <w:r w:rsidR="00283925">
        <w:t>h média</w:t>
      </w:r>
      <w:r w:rsidR="00283925" w:rsidRPr="00283925">
        <w:t xml:space="preserve"> se stal jednoznačnou složkou univerzálního vědeckého důkaz</w:t>
      </w:r>
      <w:r w:rsidR="00283925">
        <w:t>u. V takovém případě by termín „</w:t>
      </w:r>
      <w:r w:rsidR="00283925" w:rsidRPr="00283925">
        <w:rPr>
          <w:i/>
        </w:rPr>
        <w:t>totum virtuale</w:t>
      </w:r>
      <w:r w:rsidR="00283925">
        <w:t>“</w:t>
      </w:r>
      <w:r w:rsidR="00283925" w:rsidRPr="00283925">
        <w:t xml:space="preserve"> jako druhá substance </w:t>
      </w:r>
      <w:r w:rsidR="00283925">
        <w:t xml:space="preserve">predikoval </w:t>
      </w:r>
      <w:r w:rsidR="00283925" w:rsidRPr="00283925">
        <w:t>je</w:t>
      </w:r>
      <w:r w:rsidR="00283925">
        <w:t>dnoznačným způsobem Abelardovo „</w:t>
      </w:r>
      <w:r w:rsidR="00283925" w:rsidRPr="00283925">
        <w:rPr>
          <w:i/>
        </w:rPr>
        <w:t>totum integrum</w:t>
      </w:r>
      <w:r w:rsidR="00283925">
        <w:t xml:space="preserve">“ jako první substanci. </w:t>
      </w:r>
      <w:r>
        <w:t xml:space="preserve">Pecham posunul význam termínu „schopnost“ nebo „působení“ </w:t>
      </w:r>
      <w:r w:rsidR="00283925">
        <w:t>(</w:t>
      </w:r>
      <w:r w:rsidR="00283925" w:rsidRPr="00283925">
        <w:rPr>
          <w:i/>
        </w:rPr>
        <w:t>virtus</w:t>
      </w:r>
      <w:r w:rsidR="00283925">
        <w:t xml:space="preserve">) </w:t>
      </w:r>
      <w:r>
        <w:t>směrem k moderní virtualitě</w:t>
      </w:r>
      <w:r w:rsidR="00283925">
        <w:t xml:space="preserve">. </w:t>
      </w:r>
      <w:r>
        <w:t xml:space="preserve"> </w:t>
      </w:r>
      <w:r w:rsidR="00283925">
        <w:t xml:space="preserve">Tím </w:t>
      </w:r>
      <w:r>
        <w:t>vytvořil</w:t>
      </w:r>
      <w:r w:rsidRPr="00273106">
        <w:t xml:space="preserve"> vedle obou známých pojetí signifikace no</w:t>
      </w:r>
      <w:r>
        <w:t xml:space="preserve">vé určení jsoucna nazvané </w:t>
      </w:r>
      <w:r w:rsidR="00283925">
        <w:t>„</w:t>
      </w:r>
      <w:r w:rsidRPr="00273106">
        <w:rPr>
          <w:i/>
        </w:rPr>
        <w:t>totum virtuale</w:t>
      </w:r>
      <w:r w:rsidR="00283925">
        <w:t>“</w:t>
      </w:r>
      <w:r>
        <w:rPr>
          <w:i/>
        </w:rPr>
        <w:fldChar w:fldCharType="begin"/>
      </w:r>
      <w:r>
        <w:instrText xml:space="preserve"> XE "</w:instrText>
      </w:r>
      <w:r w:rsidRPr="002B6463">
        <w:instrText>osoba</w:instrText>
      </w:r>
      <w:r w:rsidRPr="00A10A92">
        <w:rPr>
          <w:i/>
        </w:rPr>
        <w:instrText>:totum virtuale</w:instrText>
      </w:r>
      <w:r>
        <w:instrText xml:space="preserve">" </w:instrText>
      </w:r>
      <w:r>
        <w:rPr>
          <w:i/>
        </w:rPr>
        <w:fldChar w:fldCharType="end"/>
      </w:r>
      <w:r w:rsidRPr="00273106">
        <w:t>.</w:t>
      </w:r>
      <w:r w:rsidRPr="007B3569">
        <w:rPr>
          <w:szCs w:val="13"/>
        </w:rPr>
        <w:t xml:space="preserve"> </w:t>
      </w:r>
      <w:r>
        <w:rPr>
          <w:szCs w:val="13"/>
        </w:rPr>
        <w:t>Duše se stala virtuální substancí třetího druhu.  Vznik virtuálního světa moderny ukazuje tento citát.</w:t>
      </w:r>
    </w:p>
    <w:p w:rsidR="08163013" w:rsidRPr="007B415F" w:rsidRDefault="08163013" w:rsidP="08163013">
      <w:pPr>
        <w:pStyle w:val="Citace"/>
        <w:rPr>
          <w:noProof/>
          <w:lang w:val="cs-CZ"/>
        </w:rPr>
      </w:pPr>
      <w:r w:rsidRPr="00273106">
        <w:rPr>
          <w:noProof/>
        </w:rPr>
        <w:t>„</w:t>
      </w:r>
      <w:r>
        <w:rPr>
          <w:noProof/>
          <w:lang w:val="cs-CZ"/>
        </w:rPr>
        <w:t>Filosof tvrdí, že jak se má duše k celku těla, tak se mají části duše i k částem těla.  Ale části duše jsou dány pouze v potenci a potence není akcidentem duše, protože akcident netvoří část substance. Proto má duše charakter substance a má schopnosti (</w:t>
      </w:r>
      <w:r w:rsidRPr="007D67AF">
        <w:rPr>
          <w:i/>
          <w:noProof/>
          <w:szCs w:val="16"/>
        </w:rPr>
        <w:t xml:space="preserve">anima </w:t>
      </w:r>
      <w:r w:rsidRPr="007D67AF">
        <w:rPr>
          <w:i/>
          <w:noProof/>
        </w:rPr>
        <w:t xml:space="preserve">habet essentiam </w:t>
      </w:r>
      <w:r w:rsidRPr="007D67AF">
        <w:rPr>
          <w:i/>
          <w:noProof/>
          <w:szCs w:val="12"/>
        </w:rPr>
        <w:t xml:space="preserve">et </w:t>
      </w:r>
      <w:r w:rsidRPr="007D67AF">
        <w:rPr>
          <w:i/>
          <w:noProof/>
          <w:szCs w:val="13"/>
        </w:rPr>
        <w:t>virtutem</w:t>
      </w:r>
      <w:r>
        <w:rPr>
          <w:noProof/>
          <w:lang w:val="cs-CZ"/>
        </w:rPr>
        <w:t>). Schopnosti duše netvoří její akcident, protože duše je definována jako virtuální celek směrem od svých schopností (</w:t>
      </w:r>
      <w:r w:rsidRPr="007B415F">
        <w:rPr>
          <w:i/>
          <w:noProof/>
          <w:szCs w:val="16"/>
        </w:rPr>
        <w:t xml:space="preserve">a </w:t>
      </w:r>
      <w:r w:rsidRPr="007B415F">
        <w:rPr>
          <w:i/>
          <w:noProof/>
          <w:szCs w:val="13"/>
        </w:rPr>
        <w:t xml:space="preserve">virtute </w:t>
      </w:r>
      <w:r w:rsidRPr="007B415F">
        <w:rPr>
          <w:i/>
          <w:noProof/>
          <w:szCs w:val="14"/>
        </w:rPr>
        <w:t xml:space="preserve">dicatur </w:t>
      </w:r>
      <w:r w:rsidRPr="007B415F">
        <w:rPr>
          <w:i/>
          <w:noProof/>
          <w:szCs w:val="16"/>
        </w:rPr>
        <w:t xml:space="preserve">anima </w:t>
      </w:r>
      <w:r w:rsidRPr="007B415F">
        <w:rPr>
          <w:i/>
          <w:noProof/>
        </w:rPr>
        <w:t xml:space="preserve">totum </w:t>
      </w:r>
      <w:r w:rsidRPr="007B415F">
        <w:rPr>
          <w:i/>
          <w:noProof/>
          <w:szCs w:val="12"/>
        </w:rPr>
        <w:t>virtuale</w:t>
      </w:r>
      <w:r>
        <w:rPr>
          <w:noProof/>
          <w:lang w:val="cs-CZ"/>
        </w:rPr>
        <w:t>). A každá esence má v sobě integrovány části, tedy materii a formu. Proto i schopnosti mají odpovíd</w:t>
      </w:r>
      <w:r w:rsidR="00EA19EF">
        <w:rPr>
          <w:noProof/>
          <w:lang w:val="cs-CZ"/>
        </w:rPr>
        <w:t>ající subjekt</w:t>
      </w:r>
      <w:r>
        <w:rPr>
          <w:noProof/>
          <w:lang w:val="cs-CZ"/>
        </w:rPr>
        <w:t xml:space="preserve">.“ </w:t>
      </w:r>
      <w:r>
        <w:rPr>
          <w:rStyle w:val="Znakapoznpodarou"/>
          <w:szCs w:val="13"/>
        </w:rPr>
        <w:footnoteReference w:id="104"/>
      </w:r>
    </w:p>
    <w:p w:rsidR="00573745" w:rsidRDefault="08163013" w:rsidP="08163013">
      <w:pPr>
        <w:rPr>
          <w:szCs w:val="13"/>
        </w:rPr>
      </w:pPr>
      <w:r w:rsidRPr="00273106">
        <w:rPr>
          <w:szCs w:val="13"/>
        </w:rPr>
        <w:lastRenderedPageBreak/>
        <w:t xml:space="preserve">Citát determinuje duši pomocí Bonaventurovy </w:t>
      </w:r>
      <w:r w:rsidRPr="00273106">
        <w:rPr>
          <w:i/>
          <w:szCs w:val="13"/>
        </w:rPr>
        <w:t>materia spiritualis</w:t>
      </w:r>
      <w:r>
        <w:rPr>
          <w:i/>
        </w:rPr>
        <w:fldChar w:fldCharType="begin"/>
      </w:r>
      <w:r>
        <w:instrText xml:space="preserve"> XE "</w:instrText>
      </w:r>
      <w:r w:rsidRPr="08A516BF">
        <w:instrText>materie</w:instrText>
      </w:r>
      <w:r>
        <w:rPr>
          <w:i/>
        </w:rPr>
        <w:instrText xml:space="preserve">:materia </w:instrText>
      </w:r>
      <w:r w:rsidRPr="00612581">
        <w:rPr>
          <w:i/>
        </w:rPr>
        <w:instrText>spiritualis</w:instrText>
      </w:r>
      <w:r>
        <w:instrText xml:space="preserve">" </w:instrText>
      </w:r>
      <w:r>
        <w:rPr>
          <w:i/>
        </w:rPr>
        <w:fldChar w:fldCharType="end"/>
      </w:r>
      <w:r w:rsidRPr="00273106">
        <w:rPr>
          <w:szCs w:val="13"/>
        </w:rPr>
        <w:t xml:space="preserve"> jako </w:t>
      </w:r>
      <w:r>
        <w:rPr>
          <w:szCs w:val="13"/>
        </w:rPr>
        <w:t>atomární neoplatonskou substanci (</w:t>
      </w:r>
      <w:r w:rsidR="08A85CDE">
        <w:rPr>
          <w:szCs w:val="13"/>
        </w:rPr>
        <w:t xml:space="preserve">OBJ I, </w:t>
      </w:r>
      <w:r>
        <w:rPr>
          <w:szCs w:val="13"/>
        </w:rPr>
        <w:t xml:space="preserve">kap. 1.3.1). K </w:t>
      </w:r>
      <w:r w:rsidRPr="00273106">
        <w:rPr>
          <w:szCs w:val="13"/>
        </w:rPr>
        <w:t>bytí této substance</w:t>
      </w:r>
      <w:r>
        <w:rPr>
          <w:szCs w:val="13"/>
        </w:rPr>
        <w:fldChar w:fldCharType="begin"/>
      </w:r>
      <w:r>
        <w:instrText xml:space="preserve"> XE "</w:instrText>
      </w:r>
      <w:r w:rsidRPr="00DE2A32">
        <w:instrText>substance</w:instrText>
      </w:r>
      <w:r>
        <w:instrText xml:space="preserve">:virtuální" </w:instrText>
      </w:r>
      <w:r>
        <w:rPr>
          <w:szCs w:val="13"/>
        </w:rPr>
        <w:fldChar w:fldCharType="end"/>
      </w:r>
      <w:r w:rsidRPr="00273106">
        <w:rPr>
          <w:szCs w:val="13"/>
        </w:rPr>
        <w:t xml:space="preserve"> akcidentálně přiřazuje růz</w:t>
      </w:r>
      <w:r w:rsidR="003331F1">
        <w:rPr>
          <w:szCs w:val="13"/>
        </w:rPr>
        <w:t>né činnosti</w:t>
      </w:r>
      <w:r w:rsidRPr="00273106">
        <w:rPr>
          <w:szCs w:val="13"/>
        </w:rPr>
        <w:t>. Tyto činnosti</w:t>
      </w:r>
      <w:r>
        <w:rPr>
          <w:szCs w:val="13"/>
        </w:rPr>
        <w:t xml:space="preserve"> jsou identifikovány s částmi</w:t>
      </w:r>
      <w:r w:rsidRPr="00273106">
        <w:rPr>
          <w:szCs w:val="13"/>
        </w:rPr>
        <w:t xml:space="preserve"> duše</w:t>
      </w:r>
      <w:r>
        <w:rPr>
          <w:szCs w:val="13"/>
        </w:rPr>
        <w:t xml:space="preserve"> jako atomární substance</w:t>
      </w:r>
      <w:r w:rsidRPr="00273106">
        <w:rPr>
          <w:szCs w:val="13"/>
        </w:rPr>
        <w:t>, tedy s materií a s formou (</w:t>
      </w:r>
      <w:r w:rsidRPr="00273106">
        <w:rPr>
          <w:i/>
          <w:szCs w:val="14"/>
        </w:rPr>
        <w:t xml:space="preserve">essentia </w:t>
      </w:r>
      <w:r w:rsidRPr="00273106">
        <w:rPr>
          <w:i/>
        </w:rPr>
        <w:t xml:space="preserve">habet </w:t>
      </w:r>
      <w:r w:rsidRPr="00273106">
        <w:rPr>
          <w:i/>
          <w:szCs w:val="14"/>
        </w:rPr>
        <w:t xml:space="preserve">partes </w:t>
      </w:r>
      <w:r w:rsidRPr="00273106">
        <w:rPr>
          <w:i/>
          <w:szCs w:val="12"/>
        </w:rPr>
        <w:t xml:space="preserve">in </w:t>
      </w:r>
      <w:r w:rsidRPr="00273106">
        <w:rPr>
          <w:i/>
          <w:szCs w:val="13"/>
        </w:rPr>
        <w:t xml:space="preserve">se integrantes, </w:t>
      </w:r>
      <w:r w:rsidRPr="00273106">
        <w:rPr>
          <w:i/>
          <w:szCs w:val="12"/>
        </w:rPr>
        <w:t xml:space="preserve">scilicet </w:t>
      </w:r>
      <w:r w:rsidRPr="00273106">
        <w:rPr>
          <w:i/>
          <w:szCs w:val="16"/>
        </w:rPr>
        <w:t xml:space="preserve">materiam </w:t>
      </w:r>
      <w:r w:rsidRPr="00273106">
        <w:rPr>
          <w:i/>
          <w:szCs w:val="12"/>
        </w:rPr>
        <w:t xml:space="preserve">et </w:t>
      </w:r>
      <w:r w:rsidRPr="00273106">
        <w:rPr>
          <w:i/>
          <w:szCs w:val="16"/>
        </w:rPr>
        <w:t>formam</w:t>
      </w:r>
      <w:r w:rsidRPr="00273106">
        <w:rPr>
          <w:szCs w:val="13"/>
        </w:rPr>
        <w:t xml:space="preserve">). </w:t>
      </w:r>
      <w:r>
        <w:rPr>
          <w:szCs w:val="13"/>
        </w:rPr>
        <w:t xml:space="preserve">Moderní subjekt </w:t>
      </w:r>
      <w:r w:rsidRPr="00273106">
        <w:rPr>
          <w:szCs w:val="13"/>
        </w:rPr>
        <w:t xml:space="preserve">jako </w:t>
      </w:r>
      <w:r w:rsidRPr="00273106">
        <w:rPr>
          <w:i/>
          <w:szCs w:val="13"/>
        </w:rPr>
        <w:t>totum virtuale</w:t>
      </w:r>
      <w:r>
        <w:rPr>
          <w:i/>
          <w:szCs w:val="13"/>
        </w:rPr>
        <w:fldChar w:fldCharType="begin"/>
      </w:r>
      <w:r>
        <w:instrText xml:space="preserve"> XE "</w:instrText>
      </w:r>
      <w:r w:rsidRPr="00E323DC">
        <w:instrText>osoba</w:instrText>
      </w:r>
      <w:r w:rsidRPr="00A10A92">
        <w:rPr>
          <w:i/>
        </w:rPr>
        <w:instrText>:totum virtuale</w:instrText>
      </w:r>
      <w:r>
        <w:instrText xml:space="preserve">" </w:instrText>
      </w:r>
      <w:r>
        <w:rPr>
          <w:i/>
          <w:szCs w:val="13"/>
        </w:rPr>
        <w:fldChar w:fldCharType="end"/>
      </w:r>
      <w:r w:rsidRPr="00273106">
        <w:rPr>
          <w:szCs w:val="13"/>
        </w:rPr>
        <w:t xml:space="preserve"> </w:t>
      </w:r>
      <w:r>
        <w:rPr>
          <w:szCs w:val="13"/>
        </w:rPr>
        <w:t xml:space="preserve">vzniká na základě spojení různých schopností duše, které mají duši jako nositele </w:t>
      </w:r>
      <w:r w:rsidR="003331F1">
        <w:rPr>
          <w:szCs w:val="24"/>
        </w:rPr>
        <w:t>(</w:t>
      </w:r>
      <w:r w:rsidR="003331F1">
        <w:rPr>
          <w:i/>
          <w:szCs w:val="24"/>
        </w:rPr>
        <w:t>virtutes subiecto correspondentes</w:t>
      </w:r>
      <w:r w:rsidR="003331F1">
        <w:rPr>
          <w:szCs w:val="24"/>
        </w:rPr>
        <w:t>)</w:t>
      </w:r>
      <w:r>
        <w:rPr>
          <w:szCs w:val="13"/>
        </w:rPr>
        <w:t>. Schopnosti a potence musí mít kvůli univerzálnímu hylemorfismu také hypostázovanou moderní duši jako společného nositele a substanční základ. J</w:t>
      </w:r>
      <w:r w:rsidRPr="00273106">
        <w:rPr>
          <w:szCs w:val="13"/>
        </w:rPr>
        <w:t xml:space="preserve">ednota duše </w:t>
      </w:r>
      <w:r>
        <w:rPr>
          <w:szCs w:val="13"/>
        </w:rPr>
        <w:t xml:space="preserve">a intelektu je </w:t>
      </w:r>
      <w:r w:rsidRPr="00273106">
        <w:rPr>
          <w:szCs w:val="13"/>
        </w:rPr>
        <w:t xml:space="preserve">daná </w:t>
      </w:r>
      <w:r>
        <w:rPr>
          <w:szCs w:val="13"/>
        </w:rPr>
        <w:t xml:space="preserve">pomocí virtuální analogie, která tvoří nové určení duše jako </w:t>
      </w:r>
      <w:r w:rsidR="00224716">
        <w:rPr>
          <w:szCs w:val="13"/>
        </w:rPr>
        <w:t xml:space="preserve">virtuální </w:t>
      </w:r>
      <w:r>
        <w:rPr>
          <w:szCs w:val="13"/>
        </w:rPr>
        <w:t xml:space="preserve">substance </w:t>
      </w:r>
      <w:r w:rsidRPr="00273106">
        <w:rPr>
          <w:szCs w:val="13"/>
        </w:rPr>
        <w:t>(</w:t>
      </w:r>
      <w:r w:rsidRPr="00273106">
        <w:rPr>
          <w:i/>
          <w:szCs w:val="14"/>
        </w:rPr>
        <w:t xml:space="preserve">dicatur </w:t>
      </w:r>
      <w:r w:rsidRPr="00273106">
        <w:rPr>
          <w:i/>
          <w:szCs w:val="16"/>
        </w:rPr>
        <w:t xml:space="preserve">anima </w:t>
      </w:r>
      <w:r w:rsidRPr="00273106">
        <w:rPr>
          <w:i/>
        </w:rPr>
        <w:t xml:space="preserve">totum </w:t>
      </w:r>
      <w:r w:rsidRPr="00273106">
        <w:rPr>
          <w:i/>
          <w:szCs w:val="12"/>
        </w:rPr>
        <w:t>virtuale</w:t>
      </w:r>
      <w:r w:rsidRPr="00273106">
        <w:rPr>
          <w:szCs w:val="13"/>
        </w:rPr>
        <w:t xml:space="preserve">). </w:t>
      </w:r>
      <w:r w:rsidR="00BE0C86">
        <w:rPr>
          <w:szCs w:val="13"/>
        </w:rPr>
        <w:t>Objektivní e</w:t>
      </w:r>
      <w:r w:rsidR="00BE0C86" w:rsidRPr="00273106">
        <w:rPr>
          <w:szCs w:val="13"/>
        </w:rPr>
        <w:t>sence a schopnost</w:t>
      </w:r>
      <w:r w:rsidR="00BE0C86">
        <w:rPr>
          <w:szCs w:val="13"/>
        </w:rPr>
        <w:t>i</w:t>
      </w:r>
      <w:r w:rsidR="00BE0C86" w:rsidRPr="00273106">
        <w:rPr>
          <w:szCs w:val="13"/>
        </w:rPr>
        <w:t xml:space="preserve"> </w:t>
      </w:r>
      <w:r w:rsidR="00BE0C86">
        <w:rPr>
          <w:szCs w:val="13"/>
        </w:rPr>
        <w:t>jsou dány</w:t>
      </w:r>
      <w:r w:rsidR="00BE0C86" w:rsidRPr="00BE0C86">
        <w:rPr>
          <w:szCs w:val="13"/>
        </w:rPr>
        <w:t xml:space="preserve"> v nové podobě duše jako aktualizované hypostáze. Vytváří jakousi substanci, která ze sebe pro</w:t>
      </w:r>
      <w:r w:rsidR="00BE0C86">
        <w:rPr>
          <w:szCs w:val="13"/>
        </w:rPr>
        <w:t xml:space="preserve">dukuje akcidentální schopnosti </w:t>
      </w:r>
      <w:r>
        <w:t>(</w:t>
      </w:r>
      <w:r w:rsidRPr="00AB555E">
        <w:rPr>
          <w:i/>
          <w:szCs w:val="16"/>
        </w:rPr>
        <w:t xml:space="preserve">anima </w:t>
      </w:r>
      <w:r w:rsidRPr="00AB555E">
        <w:rPr>
          <w:i/>
        </w:rPr>
        <w:t xml:space="preserve">habet essentiam </w:t>
      </w:r>
      <w:r w:rsidRPr="00AB555E">
        <w:rPr>
          <w:i/>
          <w:szCs w:val="12"/>
        </w:rPr>
        <w:t xml:space="preserve">et </w:t>
      </w:r>
      <w:r w:rsidRPr="00AB555E">
        <w:rPr>
          <w:i/>
          <w:szCs w:val="13"/>
        </w:rPr>
        <w:t>virtutem</w:t>
      </w:r>
      <w:r w:rsidR="00573745">
        <w:rPr>
          <w:szCs w:val="13"/>
        </w:rPr>
        <w:t>).</w:t>
      </w:r>
    </w:p>
    <w:p w:rsidR="08163013" w:rsidRDefault="08163013" w:rsidP="00573745">
      <w:pPr>
        <w:ind w:firstLine="397"/>
        <w:rPr>
          <w:szCs w:val="13"/>
        </w:rPr>
      </w:pPr>
      <w:r>
        <w:t>Pecham vytvořil první objektivní simulákrum</w:t>
      </w:r>
      <w:r>
        <w:fldChar w:fldCharType="begin"/>
      </w:r>
      <w:r>
        <w:instrText xml:space="preserve"> XE "</w:instrText>
      </w:r>
      <w:r w:rsidRPr="00BD73E9">
        <w:instrText>simulákrum</w:instrText>
      </w:r>
      <w:r>
        <w:instrText xml:space="preserve">" </w:instrText>
      </w:r>
      <w:r>
        <w:fldChar w:fldCharType="end"/>
      </w:r>
      <w:r>
        <w:t xml:space="preserve"> člověka jako moderního subjektu. Hypostázoval jednotlivé schopnosti pomocí virtualizuace a dal jim univerzálně hylemorfický substrát </w:t>
      </w:r>
      <w:r w:rsidR="00FE445C">
        <w:t>„</w:t>
      </w:r>
      <w:r>
        <w:t>ex</w:t>
      </w:r>
      <w:r w:rsidR="00FE445C">
        <w:t>s</w:t>
      </w:r>
      <w:r>
        <w:t>istující</w:t>
      </w:r>
      <w:r w:rsidR="00FE445C">
        <w:t>“</w:t>
      </w:r>
      <w:r>
        <w:t xml:space="preserve"> mimo klasickou definici duše jako entelechické formy těla. </w:t>
      </w:r>
      <w:r w:rsidRPr="00273106">
        <w:t xml:space="preserve">Subjekt poznání </w:t>
      </w:r>
      <w:r>
        <w:t>poprvé dostal virtuální</w:t>
      </w:r>
      <w:r w:rsidRPr="00273106">
        <w:t>, tedy objektivní charakter</w:t>
      </w:r>
      <w:r>
        <w:t xml:space="preserve">. Moderní </w:t>
      </w:r>
      <w:r w:rsidRPr="00DE6BC1">
        <w:rPr>
          <w:i/>
        </w:rPr>
        <w:t>anima intellectiva</w:t>
      </w:r>
      <w:r>
        <w:t xml:space="preserve"> </w:t>
      </w:r>
      <w:r w:rsidRPr="00273106">
        <w:t xml:space="preserve">není ani reálný </w:t>
      </w:r>
      <w:r>
        <w:t xml:space="preserve">člověk </w:t>
      </w:r>
      <w:r w:rsidRPr="00273106">
        <w:t>jako první substance</w:t>
      </w:r>
      <w:r>
        <w:t>, ani platonská idea</w:t>
      </w:r>
      <w:r w:rsidRPr="00273106">
        <w:t xml:space="preserve">, ani </w:t>
      </w:r>
      <w:r>
        <w:t xml:space="preserve">potenciální koncept </w:t>
      </w:r>
      <w:r w:rsidRPr="00273106">
        <w:t xml:space="preserve">jako univerzálie v mysli. </w:t>
      </w:r>
      <w:r>
        <w:rPr>
          <w:szCs w:val="13"/>
        </w:rPr>
        <w:t xml:space="preserve">Korespondenční spojení různých schopností duše do jednoho subjektu předznamenává cestu od </w:t>
      </w:r>
      <w:r w:rsidRPr="00273106">
        <w:t xml:space="preserve">vědecké univocity směrem k </w:t>
      </w:r>
      <w:r>
        <w:t xml:space="preserve">metaforické </w:t>
      </w:r>
      <w:r w:rsidRPr="00273106">
        <w:t xml:space="preserve">jednotě </w:t>
      </w:r>
      <w:r>
        <w:t xml:space="preserve">jsoucna </w:t>
      </w:r>
      <w:r w:rsidRPr="00273106">
        <w:t xml:space="preserve">v rámci </w:t>
      </w:r>
      <w:r w:rsidRPr="00273106">
        <w:rPr>
          <w:i/>
        </w:rPr>
        <w:t>analogia entis</w:t>
      </w:r>
      <w:r>
        <w:rPr>
          <w:i/>
        </w:rPr>
        <w:fldChar w:fldCharType="begin"/>
      </w:r>
      <w:r>
        <w:instrText xml:space="preserve"> XE "</w:instrText>
      </w:r>
      <w:r w:rsidRPr="00834F99">
        <w:rPr>
          <w:rStyle w:val="addmd"/>
          <w:i/>
        </w:rPr>
        <w:instrText>analogia entis</w:instrText>
      </w:r>
      <w:r>
        <w:instrText xml:space="preserve">" </w:instrText>
      </w:r>
      <w:r>
        <w:rPr>
          <w:i/>
        </w:rPr>
        <w:fldChar w:fldCharType="end"/>
      </w:r>
      <w:r w:rsidR="003B05E7">
        <w:t>. Pecham realizoval</w:t>
      </w:r>
      <w:r>
        <w:t xml:space="preserve"> přechod od Bonaventurovy ontoteologie k moderní metafyzice, protože našel její virtuální subjekt. Bonavetura pouze stvořil </w:t>
      </w:r>
      <w:r w:rsidRPr="08A526B1">
        <w:rPr>
          <w:i/>
        </w:rPr>
        <w:t>ex nihilo</w:t>
      </w:r>
      <w:r>
        <w:t xml:space="preserve"> nového Adama ze spirituální materie j</w:t>
      </w:r>
      <w:r w:rsidR="08B07843">
        <w:t>ako myto</w:t>
      </w:r>
      <w:r w:rsidR="003B05E7">
        <w:t xml:space="preserve">logický </w:t>
      </w:r>
      <w:r w:rsidR="08B07843">
        <w:t>subjekt (kap. 4</w:t>
      </w:r>
      <w:r>
        <w:t xml:space="preserve">.1.2). Ale to k prosazení modernistické metafyziky rozhodně nestačilo, </w:t>
      </w:r>
      <w:r w:rsidR="003B05E7">
        <w:t xml:space="preserve">a určitě ne </w:t>
      </w:r>
      <w:r>
        <w:t>v Paříži do roku 1270. Jeho pilnému žákovi s</w:t>
      </w:r>
      <w:r w:rsidRPr="00273106">
        <w:t xml:space="preserve">e podařilo spojit </w:t>
      </w:r>
      <w:r>
        <w:t xml:space="preserve">v termínu </w:t>
      </w:r>
      <w:r w:rsidR="003B05E7">
        <w:t>„</w:t>
      </w:r>
      <w:r w:rsidRPr="00066A10">
        <w:rPr>
          <w:i/>
        </w:rPr>
        <w:t>totum virtuale</w:t>
      </w:r>
      <w:r w:rsidR="003B05E7">
        <w:t>“</w:t>
      </w:r>
      <w:r>
        <w:rPr>
          <w:i/>
        </w:rPr>
        <w:fldChar w:fldCharType="begin"/>
      </w:r>
      <w:r>
        <w:instrText xml:space="preserve"> XE "</w:instrText>
      </w:r>
      <w:r w:rsidRPr="00A10A92">
        <w:rPr>
          <w:i/>
        </w:rPr>
        <w:instrText>osoba:totum virtuale</w:instrText>
      </w:r>
      <w:r>
        <w:instrText xml:space="preserve">" </w:instrText>
      </w:r>
      <w:r>
        <w:rPr>
          <w:i/>
        </w:rPr>
        <w:fldChar w:fldCharType="end"/>
      </w:r>
      <w:r w:rsidRPr="00273106">
        <w:t xml:space="preserve"> </w:t>
      </w:r>
      <w:r w:rsidR="003B05E7">
        <w:t xml:space="preserve">smysl Bonaventurových </w:t>
      </w:r>
      <w:r w:rsidRPr="00273106">
        <w:t>regul</w:t>
      </w:r>
      <w:r w:rsidR="003B05E7">
        <w:t>í pro kre</w:t>
      </w:r>
      <w:r w:rsidR="00E91C36">
        <w:t>a</w:t>
      </w:r>
      <w:r w:rsidR="003B05E7">
        <w:t xml:space="preserve">tivního agenta </w:t>
      </w:r>
      <w:r w:rsidRPr="00273106">
        <w:t>(</w:t>
      </w:r>
      <w:r w:rsidR="003B05E7">
        <w:rPr>
          <w:i/>
        </w:rPr>
        <w:t xml:space="preserve">regula agentis </w:t>
      </w:r>
      <w:r w:rsidRPr="00273106">
        <w:rPr>
          <w:i/>
        </w:rPr>
        <w:t>creati</w:t>
      </w:r>
      <w:r>
        <w:rPr>
          <w:i/>
        </w:rPr>
        <w:fldChar w:fldCharType="begin"/>
      </w:r>
      <w:r>
        <w:instrText xml:space="preserve"> XE "</w:instrText>
      </w:r>
      <w:r w:rsidRPr="00EF673F">
        <w:instrText>regule</w:instrText>
      </w:r>
      <w:r>
        <w:rPr>
          <w:i/>
        </w:rPr>
        <w:instrText>:</w:instrText>
      </w:r>
      <w:r w:rsidRPr="000E37A2">
        <w:rPr>
          <w:i/>
        </w:rPr>
        <w:instrText>agentis in/creati</w:instrText>
      </w:r>
      <w:r>
        <w:instrText xml:space="preserve">" </w:instrText>
      </w:r>
      <w:r>
        <w:rPr>
          <w:i/>
        </w:rPr>
        <w:fldChar w:fldCharType="end"/>
      </w:r>
      <w:r w:rsidRPr="00273106">
        <w:t xml:space="preserve">), které měl </w:t>
      </w:r>
      <w:r>
        <w:t xml:space="preserve">Bonaventura </w:t>
      </w:r>
      <w:r w:rsidRPr="00273106">
        <w:t>dané pouze</w:t>
      </w:r>
      <w:r w:rsidR="00723FED">
        <w:t xml:space="preserve"> ontoteologicky</w:t>
      </w:r>
      <w:r w:rsidRPr="00273106">
        <w:t>.</w:t>
      </w:r>
      <w:r>
        <w:t xml:space="preserve"> Hypostázováním duše v modu </w:t>
      </w:r>
      <w:r w:rsidR="00824EA4">
        <w:t>„</w:t>
      </w:r>
      <w:r w:rsidRPr="00A52561">
        <w:rPr>
          <w:i/>
        </w:rPr>
        <w:t>totum virtuale</w:t>
      </w:r>
      <w:r w:rsidR="00824EA4">
        <w:t>“</w:t>
      </w:r>
      <w:r>
        <w:t xml:space="preserve"> vzniklo </w:t>
      </w:r>
      <w:r>
        <w:rPr>
          <w:szCs w:val="13"/>
        </w:rPr>
        <w:t>první objektivní simulá</w:t>
      </w:r>
      <w:r w:rsidR="08B07843">
        <w:rPr>
          <w:szCs w:val="13"/>
        </w:rPr>
        <w:t>krum osoby</w:t>
      </w:r>
      <w:r>
        <w:rPr>
          <w:szCs w:val="13"/>
        </w:rPr>
        <w:t>, jež zakládá virtuální realitu</w:t>
      </w:r>
      <w:r>
        <w:fldChar w:fldCharType="begin"/>
      </w:r>
      <w:r>
        <w:instrText xml:space="preserve"> XE "racionalita:virtuální" </w:instrText>
      </w:r>
      <w:r>
        <w:fldChar w:fldCharType="end"/>
      </w:r>
      <w:r>
        <w:rPr>
          <w:szCs w:val="13"/>
        </w:rPr>
        <w:t>, západní humanismus</w:t>
      </w:r>
      <w:r>
        <w:rPr>
          <w:i/>
        </w:rPr>
        <w:fldChar w:fldCharType="begin"/>
      </w:r>
      <w:r>
        <w:instrText xml:space="preserve"> XE "humanismus:objektivní" </w:instrText>
      </w:r>
      <w:r>
        <w:rPr>
          <w:i/>
        </w:rPr>
        <w:fldChar w:fldCharType="end"/>
      </w:r>
      <w:r>
        <w:rPr>
          <w:szCs w:val="13"/>
        </w:rPr>
        <w:t xml:space="preserve"> a neexistující moderní subjekt třetího druhu. </w:t>
      </w:r>
      <w:r>
        <w:t>O</w:t>
      </w:r>
      <w:r w:rsidRPr="00273106">
        <w:rPr>
          <w:szCs w:val="13"/>
        </w:rPr>
        <w:t xml:space="preserve">dvolání na Aristotela je čistá sofistika. </w:t>
      </w:r>
      <w:r>
        <w:rPr>
          <w:szCs w:val="13"/>
        </w:rPr>
        <w:t>Aristoteles</w:t>
      </w:r>
      <w:r w:rsidRPr="00273106">
        <w:rPr>
          <w:szCs w:val="13"/>
        </w:rPr>
        <w:t xml:space="preserve">, </w:t>
      </w:r>
      <w:r w:rsidRPr="00273106">
        <w:t>Boethius</w:t>
      </w:r>
      <w:r>
        <w:fldChar w:fldCharType="begin"/>
      </w:r>
      <w:r>
        <w:instrText xml:space="preserve"> XE "</w:instrText>
      </w:r>
      <w:r w:rsidRPr="00521677">
        <w:rPr>
          <w:lang w:eastAsia="en-US"/>
        </w:rPr>
        <w:instrText>Boethius, Anicius</w:instrText>
      </w:r>
      <w:r>
        <w:instrText xml:space="preserve">" </w:instrText>
      </w:r>
      <w:r>
        <w:fldChar w:fldCharType="end"/>
      </w:r>
      <w:r w:rsidRPr="00273106">
        <w:t xml:space="preserve"> a </w:t>
      </w:r>
      <w:r>
        <w:lastRenderedPageBreak/>
        <w:t>Averroes</w:t>
      </w:r>
      <w:r w:rsidRPr="00273106">
        <w:t xml:space="preserve"> by namítli, že nemateriálně daná duše a nemateriální intelekt nemohou mít žádné materiální části, pouze různé schopnosti vztažené k abstrahující činnosti </w:t>
      </w:r>
      <w:r>
        <w:t xml:space="preserve">aktuální osoby </w:t>
      </w:r>
      <w:r w:rsidR="007244D7">
        <w:t xml:space="preserve">dané buď na základě smyslů, </w:t>
      </w:r>
      <w:r w:rsidRPr="00273106">
        <w:t xml:space="preserve">nebo intelektu. </w:t>
      </w:r>
      <w:r>
        <w:rPr>
          <w:szCs w:val="13"/>
        </w:rPr>
        <w:t xml:space="preserve">Pojetí duše jako hylemorfického jsoucna třetího druhu </w:t>
      </w:r>
      <w:r w:rsidRPr="00273106">
        <w:rPr>
          <w:szCs w:val="13"/>
        </w:rPr>
        <w:t xml:space="preserve">zásadně odmítl </w:t>
      </w:r>
      <w:r>
        <w:rPr>
          <w:szCs w:val="13"/>
        </w:rPr>
        <w:t xml:space="preserve">jak výše citovaný Boethius, tak </w:t>
      </w:r>
      <w:r w:rsidRPr="00273106">
        <w:rPr>
          <w:szCs w:val="13"/>
        </w:rPr>
        <w:t>první averroismus</w:t>
      </w:r>
      <w:r>
        <w:rPr>
          <w:szCs w:val="13"/>
        </w:rPr>
        <w:t xml:space="preserve"> v návaznosti na Aristotela a CMDA</w:t>
      </w:r>
      <w:r w:rsidRPr="00273106">
        <w:rPr>
          <w:szCs w:val="13"/>
        </w:rPr>
        <w:t>.</w:t>
      </w:r>
      <w:r w:rsidRPr="085A3DFA">
        <w:t xml:space="preserve"> </w:t>
      </w:r>
      <w:r>
        <w:t>Pecham</w:t>
      </w:r>
      <w:r w:rsidRPr="00273106">
        <w:t xml:space="preserve">ovo spojení </w:t>
      </w:r>
      <w:r>
        <w:t xml:space="preserve">různých </w:t>
      </w:r>
      <w:r w:rsidRPr="00273106">
        <w:t xml:space="preserve">určení duše a těla </w:t>
      </w:r>
      <w:r>
        <w:t xml:space="preserve">v modu </w:t>
      </w:r>
      <w:r w:rsidRPr="001563B7">
        <w:rPr>
          <w:i/>
        </w:rPr>
        <w:t>inclinatio</w:t>
      </w:r>
      <w:r>
        <w:t xml:space="preserve"> zakládá metafyzickou </w:t>
      </w:r>
      <w:r w:rsidRPr="00273106">
        <w:t xml:space="preserve">konfúzi moderny ohledně identity osoby. </w:t>
      </w:r>
      <w:r>
        <w:t>Pecham se stal zakladatelem virtuální</w:t>
      </w:r>
      <w:r w:rsidRPr="00273106">
        <w:t xml:space="preserve"> reality</w:t>
      </w:r>
      <w:r>
        <w:t xml:space="preserve"> a virtuálního pojetí člověka</w:t>
      </w:r>
      <w:r w:rsidRPr="00273106">
        <w:t>, kterou završují postmoderní mediální simulákra</w:t>
      </w:r>
      <w:r w:rsidR="082B6D58">
        <w:fldChar w:fldCharType="begin"/>
      </w:r>
      <w:r w:rsidR="082B6D58">
        <w:instrText xml:space="preserve"> XE "</w:instrText>
      </w:r>
      <w:r w:rsidR="082B6D58" w:rsidRPr="00C2134D">
        <w:instrText>simulákrum</w:instrText>
      </w:r>
      <w:r w:rsidR="082B6D58">
        <w:instrText xml:space="preserve">" </w:instrText>
      </w:r>
      <w:r w:rsidR="082B6D58">
        <w:fldChar w:fldCharType="end"/>
      </w:r>
      <w:r w:rsidR="08CB0D8C">
        <w:t xml:space="preserve"> a </w:t>
      </w:r>
      <w:r w:rsidR="082B6D58">
        <w:t>Foucaultův humanistický poststrukturalismus</w:t>
      </w:r>
      <w:r w:rsidR="08CB0D8C">
        <w:t>. Současný korporátní fašismus simuluje a manipuluje</w:t>
      </w:r>
      <w:r>
        <w:t xml:space="preserve"> globální potenciál lidských a planetárních „zdrojů“ ve světových válkách XX. století a hybridních válkách XXI. století</w:t>
      </w:r>
      <w:r>
        <w:fldChar w:fldCharType="begin"/>
      </w:r>
      <w:r>
        <w:instrText xml:space="preserve"> XE "</w:instrText>
      </w:r>
      <w:r w:rsidRPr="00D60B1B">
        <w:instrText xml:space="preserve">osoba:lidské </w:instrText>
      </w:r>
      <w:r>
        <w:instrText>z</w:instrText>
      </w:r>
      <w:r w:rsidRPr="00D60B1B">
        <w:instrText>droje</w:instrText>
      </w:r>
      <w:r>
        <w:instrText xml:space="preserve">" </w:instrText>
      </w:r>
      <w:r>
        <w:fldChar w:fldCharType="end"/>
      </w:r>
      <w:r w:rsidRPr="00273106">
        <w:t>.</w:t>
      </w:r>
      <w:r>
        <w:t xml:space="preserve"> Moderní subjekt </w:t>
      </w:r>
      <w:r w:rsidR="003214E0">
        <w:t xml:space="preserve">se </w:t>
      </w:r>
      <w:r>
        <w:t xml:space="preserve">dnes doslova </w:t>
      </w:r>
      <w:r w:rsidR="003214E0">
        <w:t>stal „</w:t>
      </w:r>
      <w:r w:rsidRPr="00273106">
        <w:rPr>
          <w:i/>
        </w:rPr>
        <w:t>totum virtuale</w:t>
      </w:r>
      <w:r w:rsidR="003214E0">
        <w:t>“</w:t>
      </w:r>
      <w:r>
        <w:rPr>
          <w:i/>
        </w:rPr>
        <w:fldChar w:fldCharType="begin"/>
      </w:r>
      <w:r>
        <w:instrText xml:space="preserve"> XE "</w:instrText>
      </w:r>
      <w:r w:rsidRPr="00981691">
        <w:instrText>osoba</w:instrText>
      </w:r>
      <w:r w:rsidRPr="00A10A92">
        <w:rPr>
          <w:i/>
        </w:rPr>
        <w:instrText>:totum virtuale</w:instrText>
      </w:r>
      <w:r>
        <w:instrText xml:space="preserve">" </w:instrText>
      </w:r>
      <w:r>
        <w:rPr>
          <w:i/>
        </w:rPr>
        <w:fldChar w:fldCharType="end"/>
      </w:r>
      <w:r>
        <w:t>, protože přestal být osobou. Stalo se tak p</w:t>
      </w:r>
      <w:r w:rsidR="00C175D2">
        <w:t>o dvou s</w:t>
      </w:r>
      <w:r w:rsidRPr="00273106">
        <w:t>větových válkách</w:t>
      </w:r>
      <w:r>
        <w:t xml:space="preserve">, </w:t>
      </w:r>
      <w:r w:rsidRPr="00273106">
        <w:t>po několika totalitních režimech</w:t>
      </w:r>
      <w:r>
        <w:fldChar w:fldCharType="begin"/>
      </w:r>
      <w:r>
        <w:instrText xml:space="preserve"> XE "</w:instrText>
      </w:r>
      <w:r w:rsidRPr="007C065C">
        <w:instrText>totalitarismus</w:instrText>
      </w:r>
      <w:r>
        <w:instrText xml:space="preserve">" </w:instrText>
      </w:r>
      <w:r>
        <w:fldChar w:fldCharType="end"/>
      </w:r>
      <w:r w:rsidR="00C175D2">
        <w:t xml:space="preserve"> </w:t>
      </w:r>
      <w:r>
        <w:t>a vyhlazovacích táborech</w:t>
      </w:r>
      <w:r w:rsidRPr="00273106">
        <w:t xml:space="preserve">, a po technokratické redukci osoby na „lidské zdroje“ pilně pohánějící iracionální </w:t>
      </w:r>
      <w:r w:rsidRPr="00273106">
        <w:rPr>
          <w:i/>
        </w:rPr>
        <w:t>perpetuum mobile</w:t>
      </w:r>
      <w:r w:rsidRPr="00273106">
        <w:t xml:space="preserve"> globální instrumentální racionality</w:t>
      </w:r>
      <w:r>
        <w:fldChar w:fldCharType="begin"/>
      </w:r>
      <w:r>
        <w:instrText xml:space="preserve"> XE "</w:instrText>
      </w:r>
      <w:r w:rsidRPr="00DE59F9">
        <w:instrText>racionalita:instrumentální</w:instrText>
      </w:r>
      <w:r>
        <w:instrText xml:space="preserve">" </w:instrText>
      </w:r>
      <w:r>
        <w:fldChar w:fldCharType="end"/>
      </w:r>
      <w:r>
        <w:t>.</w:t>
      </w:r>
      <w:r w:rsidRPr="00D1424F">
        <w:t xml:space="preserve"> </w:t>
      </w:r>
    </w:p>
    <w:p w:rsidR="08163013" w:rsidRPr="00A62A57" w:rsidRDefault="003D3B2D" w:rsidP="08163013">
      <w:pPr>
        <w:pStyle w:val="Nadpis3"/>
      </w:pPr>
      <w:bookmarkStart w:id="19" w:name="_Toc36144138"/>
      <w:r>
        <w:br w:type="page"/>
      </w:r>
      <w:bookmarkStart w:id="20" w:name="_Toc180231650"/>
      <w:r w:rsidR="08163013">
        <w:lastRenderedPageBreak/>
        <w:t>4</w:t>
      </w:r>
      <w:r w:rsidR="08163013" w:rsidRPr="00A62A57">
        <w:t xml:space="preserve">.2.2 </w:t>
      </w:r>
      <w:r w:rsidR="00661EEF">
        <w:t>P</w:t>
      </w:r>
      <w:r w:rsidR="08163013">
        <w:t>oznání</w:t>
      </w:r>
      <w:bookmarkEnd w:id="19"/>
      <w:r w:rsidR="00A60C90">
        <w:t xml:space="preserve"> jako objektivní kopulace</w:t>
      </w:r>
      <w:bookmarkEnd w:id="20"/>
      <w:r w:rsidR="00A60C90">
        <w:t xml:space="preserve"> </w:t>
      </w:r>
    </w:p>
    <w:p w:rsidR="08163013" w:rsidRPr="00273106" w:rsidRDefault="08163013" w:rsidP="08163013">
      <w:r w:rsidRPr="00273106">
        <w:t xml:space="preserve">Z hlediska znalců Aristotela a </w:t>
      </w:r>
      <w:r>
        <w:t>Averroes</w:t>
      </w:r>
      <w:r w:rsidRPr="00273106">
        <w:t xml:space="preserve">e představovala objektivní jednota člověka </w:t>
      </w:r>
      <w:r>
        <w:t xml:space="preserve">navržená v Pechamově termínu </w:t>
      </w:r>
      <w:r w:rsidR="00D17FE9">
        <w:t>„</w:t>
      </w:r>
      <w:r w:rsidRPr="086F15AC">
        <w:rPr>
          <w:i/>
        </w:rPr>
        <w:t>totum virtuale</w:t>
      </w:r>
      <w:r w:rsidR="00D17FE9">
        <w:t>“</w:t>
      </w:r>
      <w:r>
        <w:t xml:space="preserve"> jasný projev averroismu </w:t>
      </w:r>
      <w:r w:rsidRPr="00273106">
        <w:t xml:space="preserve">produkovaného </w:t>
      </w:r>
      <w:r>
        <w:t>v prostředí latinských sofistů</w:t>
      </w:r>
      <w:r>
        <w:fldChar w:fldCharType="begin"/>
      </w:r>
      <w:r>
        <w:instrText xml:space="preserve"> XE "osoba:</w:instrText>
      </w:r>
      <w:r w:rsidRPr="006153E6">
        <w:instrText>pluralita substancí</w:instrText>
      </w:r>
      <w:r>
        <w:instrText xml:space="preserve">" </w:instrText>
      </w:r>
      <w:r>
        <w:fldChar w:fldCharType="end"/>
      </w:r>
      <w:r>
        <w:t xml:space="preserve">. Traktát </w:t>
      </w:r>
      <w:r>
        <w:rPr>
          <w:i/>
        </w:rPr>
        <w:t>Quaestiones tractantes De anima</w:t>
      </w:r>
      <w:r w:rsidRPr="00273106">
        <w:t xml:space="preserve"> </w:t>
      </w:r>
      <w:r>
        <w:t xml:space="preserve">byl publikován těsně před kritickým rokem 1270. Pechamovo dualistické a rozporné řešení postavené proti aristotelskému výkladu </w:t>
      </w:r>
      <w:r w:rsidRPr="084A406A">
        <w:rPr>
          <w:i/>
        </w:rPr>
        <w:t>De anima</w:t>
      </w:r>
      <w:r>
        <w:t xml:space="preserve"> odmítli všichni představitelé prvního averroismu v Paříži, zejména Akvinský v závěru </w:t>
      </w:r>
      <w:r w:rsidRPr="084A406A">
        <w:rPr>
          <w:i/>
        </w:rPr>
        <w:t>De unitate intellectus</w:t>
      </w:r>
      <w:r>
        <w:rPr>
          <w:i/>
        </w:rPr>
        <w:t xml:space="preserve"> </w:t>
      </w:r>
      <w:r>
        <w:t xml:space="preserve">(1270). </w:t>
      </w:r>
      <w:r w:rsidRPr="00273106">
        <w:t xml:space="preserve">Transformace smyslového poznání na intelektuální </w:t>
      </w:r>
      <w:r>
        <w:t>skrze moderní paměť nemohla</w:t>
      </w:r>
      <w:r w:rsidRPr="00273106">
        <w:t xml:space="preserve"> mít charakter </w:t>
      </w:r>
      <w:r>
        <w:t>pravdy jako Averroesova</w:t>
      </w:r>
      <w:r w:rsidRPr="00273106">
        <w:rPr>
          <w:i/>
        </w:rPr>
        <w:t xml:space="preserve"> proportio</w:t>
      </w:r>
      <w:r>
        <w:rPr>
          <w:i/>
        </w:rPr>
        <w:fldChar w:fldCharType="begin"/>
      </w:r>
      <w:r>
        <w:instrText xml:space="preserve"> XE "pravda:</w:instrText>
      </w:r>
      <w:r w:rsidRPr="00257718">
        <w:rPr>
          <w:i/>
        </w:rPr>
        <w:instrText>proportio</w:instrText>
      </w:r>
      <w:r>
        <w:instrText xml:space="preserve">" </w:instrText>
      </w:r>
      <w:r>
        <w:rPr>
          <w:i/>
        </w:rPr>
        <w:fldChar w:fldCharType="end"/>
      </w:r>
      <w:r w:rsidR="08797399">
        <w:t>. M</w:t>
      </w:r>
      <w:r>
        <w:t>oderna má identitární a asimilační teorii pravdy navázanou na moderní subjekt a nikoliv na existující osobu. Pecham</w:t>
      </w:r>
      <w:r w:rsidRPr="00273106">
        <w:t xml:space="preserve">ovo </w:t>
      </w:r>
      <w:r>
        <w:t xml:space="preserve">pojetí </w:t>
      </w:r>
      <w:r w:rsidRPr="00273106">
        <w:t xml:space="preserve">duše </w:t>
      </w:r>
      <w:r>
        <w:t xml:space="preserve">jako </w:t>
      </w:r>
      <w:r w:rsidRPr="00273106">
        <w:t>virtuální substance</w:t>
      </w:r>
      <w:r>
        <w:fldChar w:fldCharType="begin"/>
      </w:r>
      <w:r>
        <w:instrText xml:space="preserve"> XE "</w:instrText>
      </w:r>
      <w:r w:rsidRPr="00DE2A32">
        <w:instrText>substance</w:instrText>
      </w:r>
      <w:r>
        <w:instrText xml:space="preserve">:virtuální" </w:instrText>
      </w:r>
      <w:r>
        <w:fldChar w:fldCharType="end"/>
      </w:r>
      <w:r w:rsidRPr="00273106">
        <w:t xml:space="preserve"> </w:t>
      </w:r>
      <w:r>
        <w:t xml:space="preserve">nově formulovalo problém poznání jsoucna v metafyzice </w:t>
      </w:r>
      <w:r w:rsidRPr="08E56DC4">
        <w:rPr>
          <w:i/>
        </w:rPr>
        <w:t>Modernorum</w:t>
      </w:r>
      <w:r w:rsidRPr="00273106">
        <w:t xml:space="preserve">. </w:t>
      </w:r>
      <w:r>
        <w:t xml:space="preserve">Objektivní určení jsoucna odpovídá </w:t>
      </w:r>
      <w:r w:rsidRPr="00273106">
        <w:t>základní</w:t>
      </w:r>
      <w:r>
        <w:t>m</w:t>
      </w:r>
      <w:r w:rsidRPr="00273106">
        <w:t xml:space="preserve"> určení</w:t>
      </w:r>
      <w:r>
        <w:t>m</w:t>
      </w:r>
      <w:r w:rsidRPr="00273106">
        <w:t xml:space="preserve"> ontoteologie dané již u Bonaventury. </w:t>
      </w:r>
      <w:r>
        <w:t>Pechamova k</w:t>
      </w:r>
      <w:r w:rsidRPr="00273106">
        <w:t xml:space="preserve">ritika </w:t>
      </w:r>
      <w:r>
        <w:t xml:space="preserve">postihuje </w:t>
      </w:r>
      <w:r w:rsidRPr="00273106">
        <w:t>Albe</w:t>
      </w:r>
      <w:r>
        <w:t xml:space="preserve">rtových třicet bodů shrnujících jednotu poznání a osoby podle CMDA v termínu </w:t>
      </w:r>
      <w:r w:rsidRPr="00273106">
        <w:rPr>
          <w:i/>
        </w:rPr>
        <w:t>intellectus speculativus</w:t>
      </w:r>
      <w:r>
        <w:rPr>
          <w:i/>
        </w:rPr>
        <w:fldChar w:fldCharType="begin"/>
      </w:r>
      <w:r>
        <w:instrText xml:space="preserve"> XE "</w:instrText>
      </w:r>
      <w:r w:rsidRPr="00E2134B">
        <w:rPr>
          <w:i/>
        </w:rPr>
        <w:instrText>intellectus speculativus:</w:instrText>
      </w:r>
      <w:r w:rsidRPr="00E2134B">
        <w:instrText>A</w:instrText>
      </w:r>
      <w:r>
        <w:instrText xml:space="preserve">lbert" </w:instrText>
      </w:r>
      <w:r>
        <w:rPr>
          <w:i/>
        </w:rPr>
        <w:fldChar w:fldCharType="end"/>
      </w:r>
      <w:r w:rsidRPr="00273106">
        <w:t xml:space="preserve"> (</w:t>
      </w:r>
      <w:r w:rsidR="08797399">
        <w:t>OBJ II, kap. 2</w:t>
      </w:r>
      <w:r w:rsidRPr="00273106">
        <w:t>.4.2)</w:t>
      </w:r>
      <w:r>
        <w:t xml:space="preserve">. Moderna </w:t>
      </w:r>
      <w:r w:rsidRPr="00273106">
        <w:t xml:space="preserve">nemá jednotu poznání podle </w:t>
      </w:r>
      <w:r>
        <w:t xml:space="preserve">Komentátorova výkladu </w:t>
      </w:r>
      <w:r w:rsidRPr="00B4029A">
        <w:rPr>
          <w:i/>
        </w:rPr>
        <w:t>De anima</w:t>
      </w:r>
      <w:r>
        <w:t xml:space="preserve">. Albertovo řešení podané </w:t>
      </w:r>
      <w:r>
        <w:rPr>
          <w:i/>
        </w:rPr>
        <w:t>ad</w:t>
      </w:r>
      <w:r w:rsidRPr="08E56DC4">
        <w:rPr>
          <w:i/>
        </w:rPr>
        <w:t xml:space="preserve"> mentem Averrois</w:t>
      </w:r>
      <w:r>
        <w:t xml:space="preserve"> je </w:t>
      </w:r>
      <w:r w:rsidRPr="00273106">
        <w:t>nahra</w:t>
      </w:r>
      <w:r>
        <w:t xml:space="preserve">zeno </w:t>
      </w:r>
      <w:r w:rsidRPr="00273106">
        <w:t>objektivním poznáním</w:t>
      </w:r>
      <w:r>
        <w:t xml:space="preserve">, které moderní virtuální subjekt nese ve své neexistující </w:t>
      </w:r>
      <w:r w:rsidRPr="08EC125D">
        <w:rPr>
          <w:i/>
        </w:rPr>
        <w:t>memoria</w:t>
      </w:r>
      <w:r w:rsidRPr="00273106">
        <w:t xml:space="preserve">. </w:t>
      </w:r>
      <w:r>
        <w:t xml:space="preserve">Pecham zajišťuje jednotu člověka a světa v modu </w:t>
      </w:r>
      <w:r w:rsidRPr="00273106">
        <w:rPr>
          <w:i/>
        </w:rPr>
        <w:t>obiective</w:t>
      </w:r>
      <w:r>
        <w:t xml:space="preserve">, který se již děje </w:t>
      </w:r>
      <w:r w:rsidRPr="00273106">
        <w:t>v novém ontoteologickém rozvrhu metafyziky.</w:t>
      </w:r>
      <w:r>
        <w:t xml:space="preserve"> Citát predikuje termín </w:t>
      </w:r>
      <w:r w:rsidRPr="00273106">
        <w:rPr>
          <w:i/>
        </w:rPr>
        <w:t>obiective</w:t>
      </w:r>
      <w:r>
        <w:t xml:space="preserve"> v novém metafyzickém významu navazujícím na Rufusův termín </w:t>
      </w:r>
      <w:r w:rsidR="00962190">
        <w:rPr>
          <w:i/>
        </w:rPr>
        <w:t>species</w:t>
      </w:r>
      <w:r>
        <w:rPr>
          <w:i/>
        </w:rPr>
        <w:t xml:space="preserve"> obiecti exsistentis</w:t>
      </w:r>
      <w:r>
        <w:rPr>
          <w:i/>
        </w:rPr>
        <w:fldChar w:fldCharType="begin"/>
      </w:r>
      <w:r>
        <w:instrText xml:space="preserve"> XE "</w:instrText>
      </w:r>
      <w:r>
        <w:rPr>
          <w:i/>
        </w:rPr>
        <w:instrText>species obiecti exsistentis</w:instrText>
      </w:r>
      <w:r>
        <w:instrText xml:space="preserve">" </w:instrText>
      </w:r>
      <w:r>
        <w:rPr>
          <w:i/>
        </w:rPr>
        <w:fldChar w:fldCharType="end"/>
      </w:r>
      <w:r>
        <w:t xml:space="preserve"> (</w:t>
      </w:r>
      <w:r w:rsidR="08153AB5">
        <w:t>OBJ II, kap. 3</w:t>
      </w:r>
      <w:r>
        <w:t>.3.4). Následující citát ukazuje objektivní definici poznání.</w:t>
      </w:r>
    </w:p>
    <w:p w:rsidR="08163013" w:rsidRPr="00E164D2" w:rsidRDefault="08163013" w:rsidP="08163013">
      <w:pPr>
        <w:pStyle w:val="Citace"/>
        <w:rPr>
          <w:noProof/>
          <w:lang w:val="cs-CZ"/>
        </w:rPr>
      </w:pPr>
      <w:r w:rsidRPr="00273106">
        <w:rPr>
          <w:noProof/>
          <w:lang w:val="cs-CZ"/>
        </w:rPr>
        <w:t>„</w:t>
      </w:r>
      <w:r>
        <w:rPr>
          <w:noProof/>
          <w:lang w:val="cs-CZ"/>
        </w:rPr>
        <w:t>Ke třetí námitce je třeba podobně říci, že jednotné vědění je v učenci a vzdělanci dáno objektivně, nikoliv formálně (</w:t>
      </w:r>
      <w:r w:rsidRPr="088F07DD">
        <w:rPr>
          <w:i/>
          <w:noProof/>
        </w:rPr>
        <w:t>obiective, non formaliter</w:t>
      </w:r>
      <w:r>
        <w:rPr>
          <w:noProof/>
          <w:lang w:val="cs-CZ"/>
        </w:rPr>
        <w:t xml:space="preserve">). Habitus se liší individuálně, stejně jako je numericky individuální pochopení gramatiky ve mně nebo v tobě. Přesto platí, že světlo zjevující  principy </w:t>
      </w:r>
      <w:r w:rsidR="0084389A">
        <w:rPr>
          <w:noProof/>
          <w:lang w:val="cs-CZ"/>
        </w:rPr>
        <w:t xml:space="preserve">jednání </w:t>
      </w:r>
      <w:r>
        <w:rPr>
          <w:noProof/>
          <w:lang w:val="cs-CZ"/>
        </w:rPr>
        <w:t>je jedno ve všem (</w:t>
      </w:r>
      <w:r w:rsidRPr="00DB2FFE">
        <w:rPr>
          <w:i/>
        </w:rPr>
        <w:t>lux manifestans principia omnium actuum est una in omnibus</w:t>
      </w:r>
      <w:r>
        <w:rPr>
          <w:noProof/>
          <w:lang w:val="cs-CZ"/>
        </w:rPr>
        <w:t xml:space="preserve">). Je-li žákova mysl vedena </w:t>
      </w:r>
      <w:r w:rsidR="00505A10">
        <w:rPr>
          <w:noProof/>
          <w:lang w:val="cs-CZ"/>
        </w:rPr>
        <w:t xml:space="preserve">učitelem </w:t>
      </w:r>
      <w:r>
        <w:rPr>
          <w:noProof/>
          <w:lang w:val="cs-CZ"/>
        </w:rPr>
        <w:t xml:space="preserve">k tomuto světlu, pak je dána v rámci jedné vědy a vědění </w:t>
      </w:r>
      <w:r w:rsidR="002F06C1">
        <w:rPr>
          <w:noProof/>
          <w:lang w:val="cs-CZ"/>
        </w:rPr>
        <w:t xml:space="preserve">pochází </w:t>
      </w:r>
      <w:r>
        <w:rPr>
          <w:noProof/>
          <w:lang w:val="cs-CZ"/>
        </w:rPr>
        <w:t xml:space="preserve">z tohoto jednoho zdroje.“ </w:t>
      </w:r>
      <w:r>
        <w:rPr>
          <w:rStyle w:val="Znakapoznpodarou"/>
        </w:rPr>
        <w:footnoteReference w:id="105"/>
      </w:r>
    </w:p>
    <w:p w:rsidR="08163013" w:rsidRPr="00273106" w:rsidRDefault="001F21F8" w:rsidP="08163013">
      <w:r>
        <w:lastRenderedPageBreak/>
        <w:t>J</w:t>
      </w:r>
      <w:r w:rsidR="08163013">
        <w:t>ednotné vědění je v učenci a vzdělanci dáno objektivně (</w:t>
      </w:r>
      <w:r w:rsidR="08163013" w:rsidRPr="00273106">
        <w:rPr>
          <w:i/>
        </w:rPr>
        <w:t>una scientia est in doctore et discente obiective</w:t>
      </w:r>
      <w:r w:rsidR="08163013">
        <w:t>)</w:t>
      </w:r>
      <w:r>
        <w:t xml:space="preserve">. Tato teze </w:t>
      </w:r>
      <w:r w:rsidR="08163013" w:rsidRPr="00273106">
        <w:t>odmítl</w:t>
      </w:r>
      <w:r w:rsidR="08163013">
        <w:t>a</w:t>
      </w:r>
      <w:r w:rsidR="08163013" w:rsidRPr="00273106">
        <w:t xml:space="preserve"> </w:t>
      </w:r>
      <w:r w:rsidR="08163013">
        <w:t xml:space="preserve">adekvaci </w:t>
      </w:r>
      <w:r w:rsidR="08163013" w:rsidRPr="00273106">
        <w:t xml:space="preserve">poznání podle </w:t>
      </w:r>
      <w:r w:rsidR="08163013">
        <w:rPr>
          <w:i/>
        </w:rPr>
        <w:t>De anima</w:t>
      </w:r>
      <w:r w:rsidR="08163013" w:rsidRPr="00273106">
        <w:t xml:space="preserve"> </w:t>
      </w:r>
      <w:proofErr w:type="gramStart"/>
      <w:r w:rsidR="08163013" w:rsidRPr="00273106">
        <w:t>430a20</w:t>
      </w:r>
      <w:proofErr w:type="gramEnd"/>
      <w:r w:rsidR="08163013" w:rsidRPr="00273106">
        <w:t>–</w:t>
      </w:r>
      <w:proofErr w:type="gramStart"/>
      <w:r w:rsidR="08163013" w:rsidRPr="00273106">
        <w:t>25</w:t>
      </w:r>
      <w:proofErr w:type="gramEnd"/>
      <w:r w:rsidR="08163013">
        <w:fldChar w:fldCharType="begin"/>
      </w:r>
      <w:r w:rsidR="08163013">
        <w:instrText xml:space="preserve"> XE "Aristoteles:</w:instrText>
      </w:r>
      <w:r w:rsidR="08163013" w:rsidRPr="001E7223">
        <w:rPr>
          <w:i/>
        </w:rPr>
        <w:instrText>De anima</w:instrText>
      </w:r>
      <w:r w:rsidR="08163013" w:rsidRPr="001E7223">
        <w:instrText xml:space="preserve"> 430a20–25</w:instrText>
      </w:r>
      <w:r w:rsidR="08163013">
        <w:instrText xml:space="preserve">" </w:instrText>
      </w:r>
      <w:r w:rsidR="08163013">
        <w:fldChar w:fldCharType="end"/>
      </w:r>
      <w:r w:rsidR="08163013" w:rsidRPr="00273106">
        <w:t>, které obšírně komentuje CMDA (</w:t>
      </w:r>
      <w:r w:rsidR="08495DC5">
        <w:t xml:space="preserve">OBJ I, </w:t>
      </w:r>
      <w:r w:rsidR="08163013" w:rsidRPr="00273106">
        <w:t>kap. 2.4.3).</w:t>
      </w:r>
      <w:r w:rsidR="08163013">
        <w:t xml:space="preserve"> </w:t>
      </w:r>
      <w:r w:rsidR="00534371">
        <w:t xml:space="preserve">Pecham polemizuje se Sigerovou školou prezentovanou v této době Boethiem z Dácie v </w:t>
      </w:r>
      <w:r w:rsidR="00534371" w:rsidRPr="00534371">
        <w:rPr>
          <w:i/>
        </w:rPr>
        <w:t>Gieleho anonymu</w:t>
      </w:r>
      <w:r w:rsidR="00534371">
        <w:t xml:space="preserve"> (kap. 4.3.1).</w:t>
      </w:r>
      <w:r w:rsidR="00534371" w:rsidRPr="00E63AEF">
        <w:t xml:space="preserve"> </w:t>
      </w:r>
      <w:r w:rsidR="00546053">
        <w:t xml:space="preserve">Proto </w:t>
      </w:r>
      <w:r w:rsidR="00546053" w:rsidRPr="00064D51">
        <w:rPr>
          <w:i/>
        </w:rPr>
        <w:t xml:space="preserve">Gieleho anonym </w:t>
      </w:r>
      <w:r w:rsidR="00546053">
        <w:t>představuje kolektivní obranu Sigerovy skupiny magistrů (</w:t>
      </w:r>
      <w:r w:rsidR="00546053" w:rsidRPr="0849100F">
        <w:rPr>
          <w:i/>
        </w:rPr>
        <w:t>pars Sigeri</w:t>
      </w:r>
      <w:r w:rsidR="00546053">
        <w:t xml:space="preserve">) proti Pechamovi a proti Akvinskému. </w:t>
      </w:r>
      <w:r w:rsidR="08163013">
        <w:t xml:space="preserve">Odpověď </w:t>
      </w:r>
      <w:r w:rsidR="00B148A6">
        <w:t xml:space="preserve">Pechama </w:t>
      </w:r>
      <w:r w:rsidR="08163013" w:rsidRPr="00273106">
        <w:t xml:space="preserve">odmítá klíčovou část schématu poznání prvního averroismu, </w:t>
      </w:r>
      <w:r w:rsidR="08163013">
        <w:t xml:space="preserve">kterou obsahovalo </w:t>
      </w:r>
      <w:r w:rsidR="08163013" w:rsidRPr="00273106">
        <w:t xml:space="preserve">Albertovo pojetí </w:t>
      </w:r>
      <w:r w:rsidR="08163013">
        <w:t>Averroes</w:t>
      </w:r>
      <w:r w:rsidR="08163013" w:rsidRPr="00273106">
        <w:t xml:space="preserve">ova </w:t>
      </w:r>
      <w:r w:rsidR="08163013" w:rsidRPr="00273106">
        <w:rPr>
          <w:i/>
        </w:rPr>
        <w:t>consimilitudo</w:t>
      </w:r>
      <w:r w:rsidR="08163013" w:rsidRPr="00273106">
        <w:t xml:space="preserve"> (</w:t>
      </w:r>
      <w:r w:rsidR="08495DC5">
        <w:t>OBJ II, kap. 2</w:t>
      </w:r>
      <w:r w:rsidR="08163013" w:rsidRPr="00273106">
        <w:t xml:space="preserve">.4.3). </w:t>
      </w:r>
      <w:r w:rsidR="08163013">
        <w:t xml:space="preserve">Moderna nemá pravdu jako podobnost rozumu a reality, ale jako univerzální rovnost intelektu a jeho specifických výtvorů danou v Rufusově </w:t>
      </w:r>
      <w:r w:rsidR="08163013" w:rsidRPr="00E62D35">
        <w:rPr>
          <w:i/>
        </w:rPr>
        <w:t>coaequatio</w:t>
      </w:r>
      <w:r w:rsidR="08163013">
        <w:rPr>
          <w:i/>
        </w:rPr>
        <w:fldChar w:fldCharType="begin"/>
      </w:r>
      <w:r w:rsidR="08163013">
        <w:instrText xml:space="preserve"> XE "pravda:</w:instrText>
      </w:r>
      <w:r w:rsidR="08163013" w:rsidRPr="00E11E1F">
        <w:rPr>
          <w:i/>
        </w:rPr>
        <w:instrText>coaequatio</w:instrText>
      </w:r>
      <w:r w:rsidR="08163013">
        <w:instrText xml:space="preserve">" </w:instrText>
      </w:r>
      <w:r w:rsidR="08163013">
        <w:rPr>
          <w:i/>
        </w:rPr>
        <w:fldChar w:fldCharType="end"/>
      </w:r>
      <w:r w:rsidR="08163013">
        <w:t xml:space="preserve">. Citát tuto rovnost vybavuje objektivitou danou v neoplatonské predikaci </w:t>
      </w:r>
      <w:r>
        <w:t>„</w:t>
      </w:r>
      <w:r w:rsidR="08163013" w:rsidRPr="00705F68">
        <w:rPr>
          <w:i/>
        </w:rPr>
        <w:t xml:space="preserve">ad </w:t>
      </w:r>
      <w:proofErr w:type="gramStart"/>
      <w:r w:rsidR="08163013" w:rsidRPr="00705F68">
        <w:rPr>
          <w:i/>
        </w:rPr>
        <w:t>unum</w:t>
      </w:r>
      <w:proofErr w:type="gramEnd"/>
      <w:r>
        <w:t>“</w:t>
      </w:r>
      <w:r w:rsidR="08163013">
        <w:t xml:space="preserve"> vztažené k bohu jako slunci osvěcujícímu intelekt</w:t>
      </w:r>
      <w:r w:rsidR="08163013">
        <w:fldChar w:fldCharType="begin"/>
      </w:r>
      <w:r w:rsidR="08163013">
        <w:instrText xml:space="preserve"> XE "</w:instrText>
      </w:r>
      <w:r w:rsidR="08163013" w:rsidRPr="0077128F">
        <w:instrText>intelekt-slunce</w:instrText>
      </w:r>
      <w:r w:rsidR="08163013">
        <w:instrText xml:space="preserve">" </w:instrText>
      </w:r>
      <w:r w:rsidR="08163013">
        <w:fldChar w:fldCharType="end"/>
      </w:r>
      <w:r w:rsidR="08163013">
        <w:t>. T</w:t>
      </w:r>
      <w:r w:rsidR="08163013" w:rsidRPr="00273106">
        <w:t>oto světlo je dané u Bonaventury jako signace jsoucna skrze biblický výrok</w:t>
      </w:r>
      <w:r w:rsidR="08163013">
        <w:t xml:space="preserve"> (</w:t>
      </w:r>
      <w:r w:rsidR="08163013">
        <w:rPr>
          <w:i/>
        </w:rPr>
        <w:t>s</w:t>
      </w:r>
      <w:r w:rsidR="08163013" w:rsidRPr="00F0573E">
        <w:rPr>
          <w:i/>
        </w:rPr>
        <w:t>ignatum est super nos lumen vultus tui Domine</w:t>
      </w:r>
      <w:r w:rsidR="08163013">
        <w:t xml:space="preserve">, </w:t>
      </w:r>
      <w:r w:rsidR="08163013">
        <w:rPr>
          <w:i/>
        </w:rPr>
        <w:fldChar w:fldCharType="begin"/>
      </w:r>
      <w:r w:rsidR="08163013">
        <w:instrText xml:space="preserve"> XE "</w:instrText>
      </w:r>
      <w:r w:rsidR="08163013" w:rsidRPr="009F3DC0">
        <w:rPr>
          <w:i/>
        </w:rPr>
        <w:instrText>signatum</w:instrText>
      </w:r>
      <w:r w:rsidR="08163013">
        <w:instrText xml:space="preserve">" </w:instrText>
      </w:r>
      <w:r w:rsidR="08163013">
        <w:rPr>
          <w:i/>
        </w:rPr>
        <w:fldChar w:fldCharType="end"/>
      </w:r>
      <w:r w:rsidR="08C12980">
        <w:t>kap. 4</w:t>
      </w:r>
      <w:r w:rsidR="08163013">
        <w:t>.1.3</w:t>
      </w:r>
      <w:r w:rsidR="08163013" w:rsidRPr="00273106">
        <w:t xml:space="preserve">). </w:t>
      </w:r>
      <w:r w:rsidR="08163013">
        <w:t>Pecham</w:t>
      </w:r>
      <w:r w:rsidR="08163013" w:rsidRPr="00273106">
        <w:t xml:space="preserve"> toto světlo objektivně konceptualizuje jako princip poznání společný všem lidem (</w:t>
      </w:r>
      <w:r w:rsidR="08163013" w:rsidRPr="00273106">
        <w:rPr>
          <w:i/>
        </w:rPr>
        <w:t>est una in omnibus</w:t>
      </w:r>
      <w:r w:rsidR="08163013" w:rsidRPr="00273106">
        <w:t xml:space="preserve">). Touto objektivní </w:t>
      </w:r>
      <w:r w:rsidR="08163013">
        <w:t xml:space="preserve">mytopoetickou </w:t>
      </w:r>
      <w:r w:rsidR="08163013" w:rsidRPr="00273106">
        <w:t xml:space="preserve">signací jsoucna </w:t>
      </w:r>
      <w:r w:rsidR="08163013">
        <w:t xml:space="preserve">od světla božích idejí Pecham navázal na předešlou školu iluminátů </w:t>
      </w:r>
      <w:r w:rsidR="08163013" w:rsidRPr="00273106">
        <w:t xml:space="preserve">v linii Grossetesteho náhledu v rámci </w:t>
      </w:r>
      <w:r w:rsidR="08163013" w:rsidRPr="00273106">
        <w:rPr>
          <w:i/>
        </w:rPr>
        <w:t>intellectus</w:t>
      </w:r>
      <w:r w:rsidR="08163013" w:rsidRPr="00273106">
        <w:t xml:space="preserve">, či původního vzoru všech </w:t>
      </w:r>
      <w:r w:rsidR="08163013" w:rsidRPr="00273106">
        <w:rPr>
          <w:i/>
        </w:rPr>
        <w:t>Modernorum</w:t>
      </w:r>
      <w:r w:rsidR="08163013" w:rsidRPr="00273106">
        <w:t xml:space="preserve">, tedy univočního statutu </w:t>
      </w:r>
      <w:r w:rsidR="00962190">
        <w:rPr>
          <w:i/>
        </w:rPr>
        <w:t>species</w:t>
      </w:r>
      <w:r w:rsidR="08163013" w:rsidRPr="00273106">
        <w:t>. V aktu avicennovského a později karteziánského náhledu jsme schopni reflektovat první principy poznání (</w:t>
      </w:r>
      <w:r w:rsidR="08163013" w:rsidRPr="00273106">
        <w:rPr>
          <w:i/>
        </w:rPr>
        <w:t>lux manifestans principia omnium actuum</w:t>
      </w:r>
      <w:r w:rsidR="08163013" w:rsidRPr="00273106">
        <w:t xml:space="preserve">). </w:t>
      </w:r>
      <w:r w:rsidR="08163013">
        <w:t xml:space="preserve">První principy jsou v duši dány ve formě hypostáze (viz Rufusova </w:t>
      </w:r>
      <w:r w:rsidR="08163013" w:rsidRPr="08107EA9">
        <w:rPr>
          <w:i/>
        </w:rPr>
        <w:t>potentia substantialis</w:t>
      </w:r>
      <w:r w:rsidR="08163013">
        <w:t xml:space="preserve">) a </w:t>
      </w:r>
      <w:r w:rsidR="08163013" w:rsidRPr="00273106">
        <w:t>nasvěc</w:t>
      </w:r>
      <w:r w:rsidR="08163013">
        <w:t>ují duši zezadu</w:t>
      </w:r>
      <w:r w:rsidR="08163013" w:rsidRPr="00273106">
        <w:t xml:space="preserve"> </w:t>
      </w:r>
      <w:r w:rsidR="08163013">
        <w:t xml:space="preserve">stejně </w:t>
      </w:r>
      <w:r w:rsidR="08163013" w:rsidRPr="00273106">
        <w:t xml:space="preserve">jako oddělený </w:t>
      </w:r>
      <w:r w:rsidR="08163013" w:rsidRPr="00273106">
        <w:rPr>
          <w:i/>
        </w:rPr>
        <w:t>intellectus agens</w:t>
      </w:r>
      <w:r w:rsidR="08163013">
        <w:fldChar w:fldCharType="begin"/>
      </w:r>
      <w:r w:rsidR="08163013">
        <w:instrText xml:space="preserve"> XE "</w:instrText>
      </w:r>
      <w:r w:rsidR="08163013" w:rsidRPr="00C026AE">
        <w:instrText>zjevování:nasvícení zezadu</w:instrText>
      </w:r>
      <w:r w:rsidR="08163013">
        <w:instrText xml:space="preserve">" </w:instrText>
      </w:r>
      <w:r w:rsidR="08163013">
        <w:fldChar w:fldCharType="end"/>
      </w:r>
      <w:r w:rsidR="08163013" w:rsidRPr="00273106">
        <w:t xml:space="preserve">. </w:t>
      </w:r>
      <w:r w:rsidR="08163013">
        <w:t>Pecham</w:t>
      </w:r>
      <w:r w:rsidR="08163013" w:rsidRPr="00273106">
        <w:t xml:space="preserve"> </w:t>
      </w:r>
      <w:r w:rsidR="08163013">
        <w:t xml:space="preserve">obhajuje pojetí pravdy jako </w:t>
      </w:r>
      <w:r w:rsidR="08163013" w:rsidRPr="00273106">
        <w:t>objek</w:t>
      </w:r>
      <w:r w:rsidR="08163013">
        <w:t>tivní</w:t>
      </w:r>
      <w:r w:rsidR="08163013" w:rsidRPr="00273106">
        <w:t xml:space="preserve"> shody myšlení</w:t>
      </w:r>
      <w:r w:rsidR="08163013">
        <w:t xml:space="preserve"> a hypostázovaného jsoucna třetího druhu. Intelekt je nasvícený zezadu a má vlastní aktualitu, která stojí mimo práci smyslů. </w:t>
      </w:r>
      <w:r w:rsidR="08163013" w:rsidRPr="00273106">
        <w:t>Rohmer</w:t>
      </w:r>
      <w:r w:rsidR="08163013">
        <w:fldChar w:fldCharType="begin"/>
      </w:r>
      <w:r w:rsidR="08163013">
        <w:instrText xml:space="preserve"> XE "</w:instrText>
      </w:r>
      <w:r w:rsidR="08163013" w:rsidRPr="00444EFA">
        <w:instrText>Rohmer, J.</w:instrText>
      </w:r>
      <w:r w:rsidR="08163013">
        <w:instrText xml:space="preserve">" </w:instrText>
      </w:r>
      <w:r w:rsidR="08163013">
        <w:fldChar w:fldCharType="end"/>
      </w:r>
      <w:r w:rsidR="08163013" w:rsidRPr="00273106">
        <w:t xml:space="preserve"> shrnuje tento </w:t>
      </w:r>
      <w:r w:rsidR="08163013">
        <w:t xml:space="preserve">unifikovaný styl poznání </w:t>
      </w:r>
      <w:r w:rsidR="08163013" w:rsidRPr="00273106">
        <w:t xml:space="preserve">ve výše citované studii, aniž by </w:t>
      </w:r>
      <w:r w:rsidR="08163013">
        <w:t>Pecham</w:t>
      </w:r>
      <w:r w:rsidR="08163013" w:rsidRPr="00273106">
        <w:t>a přímo zařadil do averroistického proudu.</w:t>
      </w:r>
      <w:r w:rsidR="08163013">
        <w:t xml:space="preserve"> Viz Rohmerův komentář</w:t>
      </w:r>
      <w:r w:rsidR="08163013" w:rsidRPr="00C86FE0">
        <w:t xml:space="preserve"> </w:t>
      </w:r>
      <w:r w:rsidR="08163013">
        <w:rPr>
          <w:i/>
        </w:rPr>
        <w:t>Quaestiones tractantes De anima</w:t>
      </w:r>
      <w:r w:rsidR="08163013">
        <w:t xml:space="preserve">, q. 5, </w:t>
      </w:r>
      <w:r w:rsidR="08163013" w:rsidRPr="00C86FE0">
        <w:t>ad 3 (</w:t>
      </w:r>
      <w:r w:rsidR="08163013">
        <w:t>ed. Spettmann,</w:t>
      </w:r>
      <w:r w:rsidR="08163013" w:rsidRPr="00C86FE0">
        <w:t xml:space="preserve"> p. 59.24‒27</w:t>
      </w:r>
      <w:r w:rsidR="08163013">
        <w:fldChar w:fldCharType="begin"/>
      </w:r>
      <w:r w:rsidR="08163013">
        <w:instrText xml:space="preserve"> XE "Pecham:</w:instrText>
      </w:r>
      <w:r w:rsidR="08163013">
        <w:rPr>
          <w:i/>
        </w:rPr>
        <w:instrText>Quaestiones tractantes De anima</w:instrText>
      </w:r>
      <w:r w:rsidR="08163013">
        <w:instrText xml:space="preserve"> 59.2</w:instrText>
      </w:r>
      <w:r w:rsidR="08163013" w:rsidRPr="00736A27">
        <w:instrText>4‒</w:instrText>
      </w:r>
      <w:r w:rsidR="08163013">
        <w:instrText xml:space="preserve">27" </w:instrText>
      </w:r>
      <w:r w:rsidR="08163013">
        <w:fldChar w:fldCharType="end"/>
      </w:r>
      <w:r w:rsidR="08163013" w:rsidRPr="00C86FE0">
        <w:t xml:space="preserve">) o poznání </w:t>
      </w:r>
      <w:r w:rsidR="08163013">
        <w:t xml:space="preserve">daném </w:t>
      </w:r>
      <w:r w:rsidR="08163013" w:rsidRPr="00C86FE0">
        <w:t>v rámci univerzálně chápajícího intelektu (</w:t>
      </w:r>
      <w:r w:rsidR="08163013" w:rsidRPr="00C86FE0">
        <w:rPr>
          <w:i/>
        </w:rPr>
        <w:t>omnis passio communis habet causam communem</w:t>
      </w:r>
      <w:r w:rsidR="08163013" w:rsidRPr="00C86FE0">
        <w:t>)</w:t>
      </w:r>
      <w:r w:rsidR="08163013">
        <w:t>.</w:t>
      </w:r>
      <w:r w:rsidR="08163013" w:rsidRPr="00273106">
        <w:rPr>
          <w:rStyle w:val="Znakapoznpodarou"/>
        </w:rPr>
        <w:footnoteReference w:id="106"/>
      </w:r>
      <w:r w:rsidR="08163013" w:rsidRPr="00273106">
        <w:t xml:space="preserve"> </w:t>
      </w:r>
      <w:r w:rsidR="08163013">
        <w:t xml:space="preserve">Z </w:t>
      </w:r>
      <w:r w:rsidR="08163013" w:rsidRPr="00273106">
        <w:t xml:space="preserve">hlediska prvního averroismu je toto řešení </w:t>
      </w:r>
      <w:r w:rsidR="08163013">
        <w:t>averroistické. J</w:t>
      </w:r>
      <w:r w:rsidR="08163013" w:rsidRPr="00273106">
        <w:t xml:space="preserve">ednak nerespektuje řešení Aristotelovy </w:t>
      </w:r>
      <w:r w:rsidR="08163013">
        <w:rPr>
          <w:i/>
        </w:rPr>
        <w:t>De anima</w:t>
      </w:r>
      <w:r w:rsidR="08163013" w:rsidRPr="00273106">
        <w:t xml:space="preserve"> a jejího výkladu v CMDA, a jednak připouští </w:t>
      </w:r>
      <w:r w:rsidR="08163013">
        <w:lastRenderedPageBreak/>
        <w:t xml:space="preserve">hypostázované </w:t>
      </w:r>
      <w:r w:rsidR="08561EB9">
        <w:t xml:space="preserve">a aktuální </w:t>
      </w:r>
      <w:r w:rsidR="08163013">
        <w:t>pojetí p</w:t>
      </w:r>
      <w:r w:rsidR="08163013" w:rsidRPr="00273106">
        <w:t>rvní</w:t>
      </w:r>
      <w:r w:rsidR="08163013">
        <w:t>ch</w:t>
      </w:r>
      <w:r w:rsidR="08163013" w:rsidRPr="00273106">
        <w:t xml:space="preserve"> principů</w:t>
      </w:r>
      <w:r w:rsidR="08163013">
        <w:t xml:space="preserve"> poznání. Duše přestala být nepopsaným list</w:t>
      </w:r>
      <w:r w:rsidR="08D163F1">
        <w:t>em;</w:t>
      </w:r>
      <w:r w:rsidR="08163013">
        <w:t xml:space="preserve"> její habituální a virtuální aktualita zrušila mož</w:t>
      </w:r>
      <w:r w:rsidR="08D163F1">
        <w:t>nost univerálního poznání světa;</w:t>
      </w:r>
      <w:r w:rsidR="08163013">
        <w:t xml:space="preserve"> zmizel</w:t>
      </w:r>
      <w:r w:rsidR="08D163F1">
        <w:t>a funkce receptivního intelektu;</w:t>
      </w:r>
      <w:r w:rsidR="08163013">
        <w:t xml:space="preserve"> zaniklo pojetí pravdy jako adekvace. Nový náhled diskrétního vidění světa je daný apriorně aktuálně v intelektu tím, že je vlastněný habituálně. Člověk </w:t>
      </w:r>
      <w:r w:rsidR="08163013" w:rsidRPr="00273106">
        <w:t>poznává věčný exemplar</w:t>
      </w:r>
      <w:r w:rsidR="08163013">
        <w:fldChar w:fldCharType="begin"/>
      </w:r>
      <w:r w:rsidR="08163013">
        <w:instrText xml:space="preserve"> XE "</w:instrText>
      </w:r>
      <w:r w:rsidR="08163013" w:rsidRPr="00121498">
        <w:instrText>exemplar</w:instrText>
      </w:r>
      <w:r w:rsidR="08163013">
        <w:instrText xml:space="preserve">" </w:instrText>
      </w:r>
      <w:r w:rsidR="08163013">
        <w:fldChar w:fldCharType="end"/>
      </w:r>
      <w:r w:rsidR="08163013" w:rsidRPr="00273106">
        <w:t xml:space="preserve"> skrze </w:t>
      </w:r>
      <w:r w:rsidR="08163013">
        <w:t xml:space="preserve">reálné </w:t>
      </w:r>
      <w:r w:rsidR="08163013" w:rsidRPr="00273106">
        <w:t>věci</w:t>
      </w:r>
      <w:r w:rsidR="08163013">
        <w:t xml:space="preserve"> a reálné věci skrze exemplar</w:t>
      </w:r>
      <w:r w:rsidR="08163013" w:rsidRPr="00273106">
        <w:t xml:space="preserve">. </w:t>
      </w:r>
      <w:r w:rsidR="08163013">
        <w:t xml:space="preserve">Tuto schopnost má duše přímo od boha a realizuje ji v aktu iluminačního eidetického náhledu na celek objektivně manifestovaného jsoucna (Bonaventurova </w:t>
      </w:r>
      <w:r w:rsidR="08163013" w:rsidRPr="0897664A">
        <w:rPr>
          <w:i/>
        </w:rPr>
        <w:t>resolutio plena</w:t>
      </w:r>
      <w:r w:rsidR="08163013">
        <w:t xml:space="preserve">, </w:t>
      </w:r>
      <w:r w:rsidR="08163013" w:rsidRPr="0897664A">
        <w:rPr>
          <w:i/>
        </w:rPr>
        <w:t>semiplena</w:t>
      </w:r>
      <w:r w:rsidR="08163013">
        <w:t>). Tím jsou dány všechny základní prvky objektivního poznání platné v moderně až dodnes. Objektivní začarovaný kruh moderny ukazuje následující citát.</w:t>
      </w:r>
    </w:p>
    <w:p w:rsidR="08163013" w:rsidRDefault="08163013" w:rsidP="08163013">
      <w:pPr>
        <w:pStyle w:val="Citace"/>
      </w:pPr>
      <w:r w:rsidRPr="00273106">
        <w:rPr>
          <w:noProof/>
          <w:lang w:val="cs-CZ"/>
        </w:rPr>
        <w:t>„</w:t>
      </w:r>
      <w:r>
        <w:rPr>
          <w:noProof/>
          <w:lang w:val="cs-CZ"/>
        </w:rPr>
        <w:t>A všimni si, že pravda je predikována jako habitus věci vzhledem k věčnému exemplaru, skrze něž (</w:t>
      </w:r>
      <w:r w:rsidRPr="006B2919">
        <w:rPr>
          <w:i/>
          <w:noProof/>
          <w:lang w:val="cs-CZ"/>
        </w:rPr>
        <w:t>quo</w:t>
      </w:r>
      <w:r>
        <w:rPr>
          <w:noProof/>
          <w:lang w:val="cs-CZ"/>
        </w:rPr>
        <w:t>) je vše manifestováno jako habituálně dané dobro vzhledem k</w:t>
      </w:r>
      <w:r w:rsidR="006C20DC">
        <w:rPr>
          <w:noProof/>
          <w:lang w:val="cs-CZ"/>
        </w:rPr>
        <w:t xml:space="preserve"> poslednímu </w:t>
      </w:r>
      <w:r>
        <w:rPr>
          <w:noProof/>
          <w:lang w:val="cs-CZ"/>
        </w:rPr>
        <w:t>cíli. Stvořená pravda dostala důvod k</w:t>
      </w:r>
      <w:r w:rsidR="005F49E9">
        <w:rPr>
          <w:noProof/>
          <w:lang w:val="cs-CZ"/>
        </w:rPr>
        <w:t xml:space="preserve"> existenci </w:t>
      </w:r>
      <w:r>
        <w:rPr>
          <w:noProof/>
          <w:lang w:val="cs-CZ"/>
        </w:rPr>
        <w:t>(</w:t>
      </w:r>
      <w:r w:rsidRPr="0031225D">
        <w:rPr>
          <w:i/>
          <w:noProof/>
          <w:szCs w:val="12"/>
        </w:rPr>
        <w:t xml:space="preserve">veritati </w:t>
      </w:r>
      <w:r w:rsidRPr="0031225D">
        <w:rPr>
          <w:i/>
          <w:noProof/>
        </w:rPr>
        <w:t xml:space="preserve">creatae </w:t>
      </w:r>
      <w:r w:rsidRPr="0031225D">
        <w:rPr>
          <w:i/>
          <w:noProof/>
          <w:szCs w:val="13"/>
        </w:rPr>
        <w:t xml:space="preserve">attribuitur ratio </w:t>
      </w:r>
      <w:r w:rsidRPr="0031225D">
        <w:rPr>
          <w:i/>
          <w:noProof/>
        </w:rPr>
        <w:t>manifestandi</w:t>
      </w:r>
      <w:r>
        <w:rPr>
          <w:noProof/>
          <w:lang w:val="cs-CZ"/>
        </w:rPr>
        <w:t xml:space="preserve">) a je-li predikována, pak ji nelze oddělit od </w:t>
      </w:r>
      <w:r w:rsidR="00962190" w:rsidRPr="005F49E9">
        <w:rPr>
          <w:noProof/>
          <w:lang w:val="cs-CZ"/>
        </w:rPr>
        <w:t>species</w:t>
      </w:r>
      <w:r>
        <w:rPr>
          <w:noProof/>
          <w:lang w:val="cs-CZ"/>
        </w:rPr>
        <w:t>, která tvoří její proprium (</w:t>
      </w:r>
      <w:r w:rsidRPr="005349CE">
        <w:rPr>
          <w:i/>
          <w:noProof/>
          <w:szCs w:val="13"/>
        </w:rPr>
        <w:t xml:space="preserve">indivisio </w:t>
      </w:r>
      <w:r w:rsidRPr="005349CE">
        <w:rPr>
          <w:i/>
          <w:noProof/>
          <w:szCs w:val="15"/>
        </w:rPr>
        <w:t xml:space="preserve">a </w:t>
      </w:r>
      <w:r w:rsidRPr="005349CE">
        <w:rPr>
          <w:i/>
          <w:noProof/>
        </w:rPr>
        <w:t xml:space="preserve">propria </w:t>
      </w:r>
      <w:r w:rsidRPr="005349CE">
        <w:rPr>
          <w:i/>
          <w:noProof/>
          <w:szCs w:val="13"/>
        </w:rPr>
        <w:t>specie</w:t>
      </w:r>
      <w:r>
        <w:rPr>
          <w:noProof/>
          <w:lang w:val="cs-CZ"/>
        </w:rPr>
        <w:t xml:space="preserve">).“ </w:t>
      </w:r>
      <w:r>
        <w:rPr>
          <w:rStyle w:val="Znakapoznpodarou"/>
        </w:rPr>
        <w:footnoteReference w:id="107"/>
      </w:r>
    </w:p>
    <w:p w:rsidR="00390EE0" w:rsidRDefault="08163013" w:rsidP="00390EE0">
      <w:r>
        <w:t>Pravda stvoření je exemplárně-objektivě dána v boží intencionalitě</w:t>
      </w:r>
      <w:r w:rsidR="08A63568">
        <w:t>. A</w:t>
      </w:r>
      <w:r>
        <w:t xml:space="preserve">kt „exsistence“ </w:t>
      </w:r>
      <w:r w:rsidR="008A002B">
        <w:t xml:space="preserve">předává exemplar </w:t>
      </w:r>
      <w:r w:rsidR="00B307D0">
        <w:t xml:space="preserve">do </w:t>
      </w:r>
      <w:r>
        <w:t>manifestace v moderním virtuálním subjektu</w:t>
      </w:r>
      <w:r w:rsidR="00B307D0">
        <w:t xml:space="preserve"> </w:t>
      </w:r>
      <w:r w:rsidR="00B307D0">
        <w:rPr>
          <w:szCs w:val="24"/>
          <w:lang w:val="de-DE"/>
        </w:rPr>
        <w:t>(</w:t>
      </w:r>
      <w:r w:rsidR="00B307D0" w:rsidRPr="00B307D0">
        <w:rPr>
          <w:i/>
          <w:szCs w:val="24"/>
          <w:lang w:val="de-DE"/>
        </w:rPr>
        <w:t>Ge-Stell</w:t>
      </w:r>
      <w:r w:rsidR="00B307D0" w:rsidRPr="00B307D0">
        <w:rPr>
          <w:i/>
          <w:szCs w:val="24"/>
          <w:lang w:val="de-DE"/>
        </w:rPr>
        <w:fldChar w:fldCharType="begin"/>
      </w:r>
      <w:r w:rsidR="00B307D0" w:rsidRPr="00B307D0">
        <w:rPr>
          <w:i/>
        </w:rPr>
        <w:instrText xml:space="preserve"> XE "</w:instrText>
      </w:r>
      <w:r w:rsidR="00B307D0" w:rsidRPr="00B307D0">
        <w:rPr>
          <w:i/>
          <w:szCs w:val="24"/>
          <w:lang w:val="de-DE"/>
        </w:rPr>
        <w:instrText>Ge-Stell</w:instrText>
      </w:r>
      <w:r w:rsidR="00B307D0" w:rsidRPr="00B307D0">
        <w:rPr>
          <w:i/>
        </w:rPr>
        <w:instrText xml:space="preserve">" </w:instrText>
      </w:r>
      <w:r w:rsidR="00B307D0" w:rsidRPr="00B307D0">
        <w:rPr>
          <w:i/>
          <w:szCs w:val="24"/>
          <w:lang w:val="de-DE"/>
        </w:rPr>
        <w:fldChar w:fldCharType="end"/>
      </w:r>
      <w:r w:rsidR="00B307D0" w:rsidRPr="00B307D0">
        <w:rPr>
          <w:i/>
          <w:szCs w:val="24"/>
          <w:lang w:val="de-DE"/>
        </w:rPr>
        <w:t>).</w:t>
      </w:r>
      <w:r>
        <w:t xml:space="preserve"> Anselmova pravda jako </w:t>
      </w:r>
      <w:r w:rsidRPr="08CC3C59">
        <w:rPr>
          <w:i/>
        </w:rPr>
        <w:t>rectitudo</w:t>
      </w:r>
      <w:r>
        <w:t xml:space="preserve"> a </w:t>
      </w:r>
      <w:r w:rsidRPr="08CC3C59">
        <w:rPr>
          <w:i/>
        </w:rPr>
        <w:t>summa veritas</w:t>
      </w:r>
      <w:r>
        <w:t xml:space="preserve"> daná v bohu dostala objektivně manifestovaný výměr ve světě </w:t>
      </w:r>
      <w:r w:rsidRPr="00273106">
        <w:t>(</w:t>
      </w:r>
      <w:r w:rsidRPr="00273106">
        <w:rPr>
          <w:i/>
          <w:szCs w:val="12"/>
        </w:rPr>
        <w:t xml:space="preserve">veritati </w:t>
      </w:r>
      <w:r w:rsidRPr="00273106">
        <w:rPr>
          <w:i/>
        </w:rPr>
        <w:t xml:space="preserve">creatae </w:t>
      </w:r>
      <w:r w:rsidRPr="00273106">
        <w:rPr>
          <w:i/>
          <w:szCs w:val="13"/>
        </w:rPr>
        <w:t xml:space="preserve">attribuitur ratio </w:t>
      </w:r>
      <w:r w:rsidRPr="00273106">
        <w:rPr>
          <w:i/>
        </w:rPr>
        <w:t>manifestandi</w:t>
      </w:r>
      <w:r w:rsidRPr="00273106">
        <w:t>)</w:t>
      </w:r>
      <w:r>
        <w:t>. Citát definuje klíčovou část Bonaventurova přechodu racionality božích stvořitelských regulí do stvoření. Tento přechod jsoucna z boží mysli do světa poprvé dostal objektivní výměr (</w:t>
      </w:r>
      <w:r w:rsidRPr="00273106">
        <w:rPr>
          <w:i/>
          <w:szCs w:val="13"/>
        </w:rPr>
        <w:t xml:space="preserve">ratio </w:t>
      </w:r>
      <w:r w:rsidRPr="00273106">
        <w:rPr>
          <w:i/>
        </w:rPr>
        <w:t>manifestandi</w:t>
      </w:r>
      <w:r>
        <w:t>)</w:t>
      </w:r>
      <w:r w:rsidRPr="00273106">
        <w:t xml:space="preserve">. </w:t>
      </w:r>
      <w:r>
        <w:t>Tato věta ve spojení s předešlým virtuálním určením člověka zakládá pravdu jako plnou odkrytost moderní objektivity</w:t>
      </w:r>
      <w:r>
        <w:fldChar w:fldCharType="begin"/>
      </w:r>
      <w:r>
        <w:instrText xml:space="preserve"> XE "</w:instrText>
      </w:r>
      <w:r w:rsidRPr="00441ED4">
        <w:instrText>pravda:objektivní</w:instrText>
      </w:r>
      <w:r>
        <w:instrText xml:space="preserve">" </w:instrText>
      </w:r>
      <w:r>
        <w:fldChar w:fldCharType="end"/>
      </w:r>
      <w:r>
        <w:t>. Objektivní a</w:t>
      </w:r>
      <w:r w:rsidRPr="00273106">
        <w:t xml:space="preserve">dekvace </w:t>
      </w:r>
      <w:r>
        <w:t>demiurga</w:t>
      </w:r>
      <w:r>
        <w:fldChar w:fldCharType="begin"/>
      </w:r>
      <w:r>
        <w:instrText xml:space="preserve"> XE "</w:instrText>
      </w:r>
      <w:r w:rsidRPr="005C2F4A">
        <w:rPr>
          <w:rStyle w:val="addmd"/>
        </w:rPr>
        <w:instrText>demiurg</w:instrText>
      </w:r>
      <w:r>
        <w:instrText xml:space="preserve">" </w:instrText>
      </w:r>
      <w:r>
        <w:fldChar w:fldCharType="end"/>
      </w:r>
      <w:r>
        <w:t xml:space="preserve"> a jeho poznání je </w:t>
      </w:r>
      <w:r w:rsidRPr="00273106">
        <w:t>rozdě</w:t>
      </w:r>
      <w:r>
        <w:t>len</w:t>
      </w:r>
      <w:r w:rsidRPr="00273106">
        <w:t>a na dvě patra</w:t>
      </w:r>
      <w:r>
        <w:t>,</w:t>
      </w:r>
      <w:r w:rsidRPr="00273106">
        <w:t xml:space="preserve"> stejně jako u Bonaventury. Ve vyšším patře poznává duše tím, že má přímý vhled do prvních principů poznání daných ontoteologicky skrze věčný exemplar</w:t>
      </w:r>
      <w:r>
        <w:fldChar w:fldCharType="begin"/>
      </w:r>
      <w:r>
        <w:instrText xml:space="preserve"> XE "</w:instrText>
      </w:r>
      <w:r w:rsidRPr="00121498">
        <w:rPr>
          <w:i/>
        </w:rPr>
        <w:instrText>rationes</w:instrText>
      </w:r>
      <w:r>
        <w:instrText xml:space="preserve"> </w:instrText>
      </w:r>
      <w:r w:rsidRPr="003F72AE">
        <w:rPr>
          <w:i/>
        </w:rPr>
        <w:instrText>exemplar</w:instrText>
      </w:r>
      <w:r>
        <w:rPr>
          <w:i/>
        </w:rPr>
        <w:instrText>es</w:instrText>
      </w:r>
      <w:r>
        <w:instrText xml:space="preserve">" </w:instrText>
      </w:r>
      <w:r>
        <w:fldChar w:fldCharType="end"/>
      </w:r>
      <w:r w:rsidR="008A2149">
        <w:t xml:space="preserve">. </w:t>
      </w:r>
      <w:r w:rsidR="008A2149" w:rsidRPr="008A2149">
        <w:t xml:space="preserve">Pojem pravdy se změnil z aristotelské korespondence na moderní habitus. </w:t>
      </w:r>
      <w:r w:rsidR="005802F5">
        <w:t xml:space="preserve">Základem </w:t>
      </w:r>
      <w:r w:rsidR="008A2149" w:rsidRPr="008A2149">
        <w:t xml:space="preserve">pravdy není reálný svět ve své existenci, ale schizofrenní a neexistující </w:t>
      </w:r>
      <w:r w:rsidR="008A2149">
        <w:t>moderní subjekt</w:t>
      </w:r>
      <w:r w:rsidR="005802F5">
        <w:t xml:space="preserve">. Ten </w:t>
      </w:r>
      <w:r w:rsidR="008A2149">
        <w:t xml:space="preserve">zakládá </w:t>
      </w:r>
      <w:r w:rsidR="005802F5" w:rsidRPr="005802F5">
        <w:t xml:space="preserve">pravdu jako trvalou kvalitu věcí a </w:t>
      </w:r>
      <w:r w:rsidR="005802F5">
        <w:t>hypostatický habitus daný „</w:t>
      </w:r>
      <w:r w:rsidR="005802F5" w:rsidRPr="005802F5">
        <w:rPr>
          <w:i/>
        </w:rPr>
        <w:t>in re</w:t>
      </w:r>
      <w:r w:rsidR="005802F5">
        <w:t xml:space="preserve">“, který </w:t>
      </w:r>
      <w:r w:rsidR="005802F5" w:rsidRPr="005802F5">
        <w:t>odpovídá věčným paradigmatům (</w:t>
      </w:r>
      <w:r w:rsidR="00621EC3">
        <w:rPr>
          <w:i/>
          <w:lang w:eastAsia="en-US"/>
        </w:rPr>
        <w:t xml:space="preserve">veritas dicit </w:t>
      </w:r>
      <w:r w:rsidR="005802F5" w:rsidRPr="005802F5">
        <w:rPr>
          <w:i/>
        </w:rPr>
        <w:t>habitudinem rei ad exemplar aeternum</w:t>
      </w:r>
      <w:r w:rsidR="005802F5" w:rsidRPr="005802F5">
        <w:t xml:space="preserve">). </w:t>
      </w:r>
      <w:r w:rsidR="008A2149">
        <w:t xml:space="preserve">Moderní nepravda </w:t>
      </w:r>
      <w:r w:rsidR="008A2149">
        <w:lastRenderedPageBreak/>
        <w:t xml:space="preserve">dostala novou formu </w:t>
      </w:r>
      <w:r w:rsidR="008A2149" w:rsidRPr="008A2149">
        <w:rPr>
          <w:i/>
        </w:rPr>
        <w:t>Lichtung</w:t>
      </w:r>
      <w:r w:rsidR="008A2149" w:rsidRPr="008A2149">
        <w:t xml:space="preserve">, </w:t>
      </w:r>
      <w:r w:rsidR="008A2149">
        <w:t xml:space="preserve">protože </w:t>
      </w:r>
      <w:r w:rsidR="008A2149" w:rsidRPr="008A2149">
        <w:t>habitus a exemplarita jsou mytologické ent</w:t>
      </w:r>
      <w:r w:rsidR="008A2149">
        <w:t xml:space="preserve">ity, které reálně neexistují. </w:t>
      </w:r>
      <w:r w:rsidR="00712176">
        <w:t xml:space="preserve">Pecham potvrdil, že </w:t>
      </w:r>
      <w:r w:rsidR="002639E8">
        <w:t>z</w:t>
      </w:r>
      <w:r w:rsidR="00784C6C" w:rsidRPr="00784C6C">
        <w:t>áklad objektivity (</w:t>
      </w:r>
      <w:r w:rsidR="00784C6C" w:rsidRPr="00784C6C">
        <w:rPr>
          <w:i/>
        </w:rPr>
        <w:t>ratio manifestandi</w:t>
      </w:r>
      <w:r w:rsidR="00784C6C" w:rsidRPr="00784C6C">
        <w:t xml:space="preserve">) lze nalézt přímo ve stvořených věcech. </w:t>
      </w:r>
      <w:r w:rsidR="00C76C8E" w:rsidRPr="00273106">
        <w:t xml:space="preserve">Bonaventura </w:t>
      </w:r>
      <w:r w:rsidR="00C76C8E">
        <w:t>dal t</w:t>
      </w:r>
      <w:r>
        <w:t xml:space="preserve">uto objektivní danost </w:t>
      </w:r>
      <w:r w:rsidR="00C76C8E">
        <w:t xml:space="preserve">jako </w:t>
      </w:r>
      <w:r w:rsidRPr="00273106">
        <w:rPr>
          <w:i/>
        </w:rPr>
        <w:t>rationes seminales</w:t>
      </w:r>
      <w:r>
        <w:rPr>
          <w:i/>
        </w:rPr>
        <w:fldChar w:fldCharType="begin"/>
      </w:r>
      <w:r>
        <w:instrText xml:space="preserve"> XE "</w:instrText>
      </w:r>
      <w:r w:rsidRPr="00842B74">
        <w:rPr>
          <w:i/>
        </w:rPr>
        <w:instrText>rationes seminales</w:instrText>
      </w:r>
      <w:r>
        <w:instrText xml:space="preserve">" </w:instrText>
      </w:r>
      <w:r>
        <w:rPr>
          <w:i/>
        </w:rPr>
        <w:fldChar w:fldCharType="end"/>
      </w:r>
      <w:r w:rsidR="00C76C8E">
        <w:t xml:space="preserve"> do reálných</w:t>
      </w:r>
      <w:r w:rsidRPr="00273106">
        <w:t xml:space="preserve"> věcí</w:t>
      </w:r>
      <w:r w:rsidR="00202268">
        <w:t xml:space="preserve">; </w:t>
      </w:r>
      <w:r>
        <w:t>předtím byly exemplárně intendovány v boží mysli</w:t>
      </w:r>
      <w:r w:rsidRPr="00273106">
        <w:t xml:space="preserve">. Stvořené věci díky vlastní inteligibilitě obsahují výměr pravdy jako </w:t>
      </w:r>
      <w:r w:rsidRPr="00273106">
        <w:rPr>
          <w:i/>
        </w:rPr>
        <w:t>rectitudo</w:t>
      </w:r>
      <w:r>
        <w:t xml:space="preserve">, a to vzhledem k analogickému vztahu </w:t>
      </w:r>
      <w:r w:rsidRPr="00064CF5">
        <w:rPr>
          <w:i/>
        </w:rPr>
        <w:t>rationes exemplares</w:t>
      </w:r>
      <w:r>
        <w:t xml:space="preserve"> v boží intencionalitě a </w:t>
      </w:r>
      <w:r w:rsidRPr="00064CF5">
        <w:rPr>
          <w:i/>
        </w:rPr>
        <w:t>rationes seminales</w:t>
      </w:r>
      <w:r>
        <w:t xml:space="preserve"> daných ve stvoření. I</w:t>
      </w:r>
      <w:r w:rsidRPr="00273106">
        <w:t>ntelekt</w:t>
      </w:r>
      <w:r>
        <w:t xml:space="preserve"> nasvícený od nejvyšší pravdy má hypostázovanou </w:t>
      </w:r>
      <w:r w:rsidRPr="00273106">
        <w:t>schopnost (</w:t>
      </w:r>
      <w:r w:rsidRPr="00273106">
        <w:rPr>
          <w:i/>
        </w:rPr>
        <w:t>habitudo</w:t>
      </w:r>
      <w:r w:rsidRPr="00273106">
        <w:t xml:space="preserve">) </w:t>
      </w:r>
      <w:r>
        <w:t xml:space="preserve">vidět tuto </w:t>
      </w:r>
      <w:r w:rsidRPr="00273106">
        <w:t>shodu na obou patrech reality</w:t>
      </w:r>
      <w:r>
        <w:t xml:space="preserve">, protože je </w:t>
      </w:r>
      <w:r w:rsidRPr="00273106">
        <w:t>osvícen</w:t>
      </w:r>
      <w:r>
        <w:t xml:space="preserve">ý </w:t>
      </w:r>
      <w:r w:rsidRPr="00273106">
        <w:t>vírou, bohem a exemplar</w:t>
      </w:r>
      <w:r>
        <w:t>y a seminálními výměry ve stvoření</w:t>
      </w:r>
      <w:r w:rsidRPr="00273106">
        <w:t>.</w:t>
      </w:r>
      <w:r w:rsidR="0085201B">
        <w:t xml:space="preserve"> </w:t>
      </w:r>
      <w:r w:rsidR="0085201B" w:rsidRPr="0085201B">
        <w:t xml:space="preserve">Vyšší pravda jako </w:t>
      </w:r>
      <w:r w:rsidR="0085201B" w:rsidRPr="0085201B">
        <w:rPr>
          <w:i/>
        </w:rPr>
        <w:t>rectitudo</w:t>
      </w:r>
      <w:r w:rsidR="0085201B" w:rsidRPr="0085201B">
        <w:t xml:space="preserve"> se vztahuje k exemplářům; habitus bytí (Bonaventurovo </w:t>
      </w:r>
      <w:r w:rsidR="0085201B" w:rsidRPr="0085201B">
        <w:rPr>
          <w:i/>
        </w:rPr>
        <w:t>signatum</w:t>
      </w:r>
      <w:r w:rsidR="0085201B" w:rsidRPr="0085201B">
        <w:t xml:space="preserve">) lze aplikovat na nižší úrovně pravdy v modu </w:t>
      </w:r>
      <w:r w:rsidR="00FF08C7">
        <w:t xml:space="preserve">moderní </w:t>
      </w:r>
      <w:r w:rsidR="0085201B" w:rsidRPr="0085201B">
        <w:t xml:space="preserve">asimilace. Nižší úrovně bytí obsahují racionalitu </w:t>
      </w:r>
      <w:r w:rsidR="0085201B">
        <w:t>species,</w:t>
      </w:r>
      <w:r w:rsidR="0085201B" w:rsidRPr="0085201B">
        <w:t xml:space="preserve"> která se nachází ve stvořených věcech (</w:t>
      </w:r>
      <w:r w:rsidR="0085201B" w:rsidRPr="0085201B">
        <w:rPr>
          <w:i/>
        </w:rPr>
        <w:t>indivisio a propria specie</w:t>
      </w:r>
      <w:r w:rsidR="0085201B" w:rsidRPr="0085201B">
        <w:t>). Objektivní habitus moderního hypos</w:t>
      </w:r>
      <w:r w:rsidR="0085201B">
        <w:t xml:space="preserve">tasovaného intelektu (Descartova </w:t>
      </w:r>
      <w:r w:rsidR="0085201B" w:rsidRPr="0085201B">
        <w:rPr>
          <w:i/>
        </w:rPr>
        <w:t>res cogitans</w:t>
      </w:r>
      <w:r w:rsidR="0085201B">
        <w:rPr>
          <w:i/>
        </w:rPr>
        <w:fldChar w:fldCharType="begin"/>
      </w:r>
      <w:r w:rsidR="0085201B">
        <w:instrText xml:space="preserve"> XE "</w:instrText>
      </w:r>
      <w:r w:rsidR="0085201B" w:rsidRPr="003B465E">
        <w:rPr>
          <w:i/>
        </w:rPr>
        <w:instrText>res cogitans</w:instrText>
      </w:r>
      <w:r w:rsidR="0085201B">
        <w:instrText xml:space="preserve">" </w:instrText>
      </w:r>
      <w:r w:rsidR="0085201B">
        <w:rPr>
          <w:i/>
        </w:rPr>
        <w:fldChar w:fldCharType="end"/>
      </w:r>
      <w:r w:rsidR="0085201B" w:rsidRPr="0085201B">
        <w:t>) může t</w:t>
      </w:r>
      <w:r w:rsidR="0085201B">
        <w:t>a</w:t>
      </w:r>
      <w:r w:rsidR="0085201B" w:rsidRPr="0085201B">
        <w:t>to species pozorovat v kognitivní r</w:t>
      </w:r>
      <w:r w:rsidR="0085201B">
        <w:t>eflexi osvětlené božskými exemplary. Objektivní i</w:t>
      </w:r>
      <w:r>
        <w:t xml:space="preserve">lumináti zrušili poznání jako výkon </w:t>
      </w:r>
      <w:r w:rsidRPr="00273106">
        <w:t xml:space="preserve">mysli poznávající externí věc a syntetizující její univerzální význam v aktu nemateriálního poznání. </w:t>
      </w:r>
      <w:r>
        <w:t xml:space="preserve">Jsoucno třetího druhu </w:t>
      </w:r>
      <w:r w:rsidRPr="00273106">
        <w:t>dostal</w:t>
      </w:r>
      <w:r>
        <w:t>o</w:t>
      </w:r>
      <w:r w:rsidRPr="00273106">
        <w:t xml:space="preserve"> </w:t>
      </w:r>
      <w:r>
        <w:t xml:space="preserve">nový </w:t>
      </w:r>
      <w:r w:rsidRPr="00273106">
        <w:t>charakter</w:t>
      </w:r>
      <w:r>
        <w:t xml:space="preserve"> objektivní atomární substance</w:t>
      </w:r>
      <w:r w:rsidR="00273F82">
        <w:t>.</w:t>
      </w:r>
      <w:r w:rsidR="002639E8">
        <w:t xml:space="preserve"> </w:t>
      </w:r>
      <w:r w:rsidR="00273F82">
        <w:t xml:space="preserve">Pecham </w:t>
      </w:r>
      <w:r>
        <w:t>r</w:t>
      </w:r>
      <w:r w:rsidR="0847440A">
        <w:t>ozšířil Rufusovu definici objek</w:t>
      </w:r>
      <w:r>
        <w:t>tivního jsoucna</w:t>
      </w:r>
      <w:r w:rsidR="0847440A">
        <w:t xml:space="preserve"> </w:t>
      </w:r>
      <w:r w:rsidR="0847440A" w:rsidRPr="081942A4">
        <w:rPr>
          <w:szCs w:val="24"/>
        </w:rPr>
        <w:t>(</w:t>
      </w:r>
      <w:r w:rsidR="0847440A" w:rsidRPr="081942A4">
        <w:rPr>
          <w:i/>
          <w:szCs w:val="24"/>
        </w:rPr>
        <w:t>individuum</w:t>
      </w:r>
      <w:r w:rsidR="0847440A" w:rsidRPr="081942A4">
        <w:rPr>
          <w:szCs w:val="24"/>
        </w:rPr>
        <w:t xml:space="preserve">, </w:t>
      </w:r>
      <w:r w:rsidR="0847440A" w:rsidRPr="081942A4">
        <w:rPr>
          <w:i/>
          <w:szCs w:val="24"/>
        </w:rPr>
        <w:t>concretum</w:t>
      </w:r>
      <w:r w:rsidR="0847440A" w:rsidRPr="081942A4">
        <w:rPr>
          <w:szCs w:val="24"/>
        </w:rPr>
        <w:t>)</w:t>
      </w:r>
      <w:r w:rsidR="00435C70">
        <w:t xml:space="preserve">. </w:t>
      </w:r>
      <w:r w:rsidR="00435C70" w:rsidRPr="00435C70">
        <w:t xml:space="preserve">Objektivní racionalita vychází z božského myšlení směrem ke stvoření v objektivním modelu Avicennovy komitace a emanace </w:t>
      </w:r>
      <w:r w:rsidR="00435C70">
        <w:t xml:space="preserve">skrze </w:t>
      </w:r>
      <w:r w:rsidR="00435C70" w:rsidRPr="00435C70">
        <w:t>odděl</w:t>
      </w:r>
      <w:r w:rsidR="00435C70">
        <w:t xml:space="preserve">ený </w:t>
      </w:r>
      <w:r w:rsidR="00435C70" w:rsidRPr="00435C70">
        <w:t xml:space="preserve">kosmický </w:t>
      </w:r>
      <w:r w:rsidR="00435C70" w:rsidRPr="00435C70">
        <w:rPr>
          <w:i/>
        </w:rPr>
        <w:t>intellectus agens</w:t>
      </w:r>
      <w:r w:rsidR="00435C70" w:rsidRPr="00435C70">
        <w:t xml:space="preserve"> </w:t>
      </w:r>
      <w:r w:rsidR="00435C70">
        <w:t>definovaný j</w:t>
      </w:r>
      <w:r w:rsidR="00435C70" w:rsidRPr="00435C70">
        <w:t xml:space="preserve">ako </w:t>
      </w:r>
      <w:r w:rsidR="00435C70" w:rsidRPr="00435C70">
        <w:rPr>
          <w:i/>
        </w:rPr>
        <w:t>Dator formarum</w:t>
      </w:r>
      <w:r w:rsidR="00435C70">
        <w:rPr>
          <w:i/>
        </w:rPr>
        <w:fldChar w:fldCharType="begin"/>
      </w:r>
      <w:r w:rsidR="00435C70">
        <w:instrText xml:space="preserve"> XE "</w:instrText>
      </w:r>
      <w:r w:rsidR="00435C70" w:rsidRPr="00B54604">
        <w:rPr>
          <w:i/>
        </w:rPr>
        <w:instrText>Dator formarum</w:instrText>
      </w:r>
      <w:r w:rsidR="00435C70">
        <w:instrText xml:space="preserve">" </w:instrText>
      </w:r>
      <w:r w:rsidR="00435C70">
        <w:rPr>
          <w:i/>
        </w:rPr>
        <w:fldChar w:fldCharType="end"/>
      </w:r>
      <w:r w:rsidR="00435C70" w:rsidRPr="00435C70">
        <w:t xml:space="preserve">. </w:t>
      </w:r>
      <w:r w:rsidR="00390EE0">
        <w:t xml:space="preserve">Objektivní racionalita se nyní manifestuje v boží mysli a jde do stvoření. </w:t>
      </w:r>
      <w:r w:rsidR="00390EE0" w:rsidRPr="00054D19">
        <w:t xml:space="preserve">Scotus tuto zbožnou mytologii </w:t>
      </w:r>
      <w:r w:rsidR="00390EE0">
        <w:t xml:space="preserve">zahalil </w:t>
      </w:r>
      <w:r w:rsidR="00390EE0" w:rsidRPr="00054D19">
        <w:t>do nové formy metafyzické dedukce, aby ji mohl prodávat jako skutečnou metafyziku.</w:t>
      </w:r>
      <w:r w:rsidR="00390EE0">
        <w:t xml:space="preserve"> Leibniz vyměnil boha </w:t>
      </w:r>
      <w:r w:rsidR="00390EE0" w:rsidRPr="08865FF5">
        <w:rPr>
          <w:i/>
        </w:rPr>
        <w:t>Modernorum</w:t>
      </w:r>
      <w:r w:rsidR="00390EE0">
        <w:t xml:space="preserve"> za věčně platnou matematiku. Ta</w:t>
      </w:r>
      <w:r w:rsidR="00390EE0" w:rsidRPr="00273106">
        <w:t>to exemplarit</w:t>
      </w:r>
      <w:r w:rsidR="00390EE0">
        <w:t xml:space="preserve">a je ale </w:t>
      </w:r>
      <w:r w:rsidR="00390EE0" w:rsidRPr="00273106">
        <w:t>nutn</w:t>
      </w:r>
      <w:r w:rsidR="00390EE0">
        <w:t xml:space="preserve">á </w:t>
      </w:r>
      <w:r w:rsidR="00390EE0" w:rsidRPr="00273106">
        <w:t>pro pravdu j</w:t>
      </w:r>
      <w:r w:rsidR="00390EE0">
        <w:t>ako objektivní adekvaci schizofrenického subjektu se sebou samým. L</w:t>
      </w:r>
      <w:r w:rsidR="00390EE0" w:rsidRPr="00273106">
        <w:t>eibniz</w:t>
      </w:r>
      <w:r w:rsidR="00390EE0">
        <w:fldChar w:fldCharType="begin"/>
      </w:r>
      <w:r w:rsidR="00390EE0">
        <w:instrText xml:space="preserve"> XE "</w:instrText>
      </w:r>
      <w:r w:rsidR="00390EE0" w:rsidRPr="00A32573">
        <w:instrText>Leibniz, G</w:instrText>
      </w:r>
      <w:r w:rsidR="00390EE0">
        <w:instrText xml:space="preserve">. </w:instrText>
      </w:r>
      <w:r w:rsidR="00390EE0" w:rsidRPr="00A32573">
        <w:instrText>W.</w:instrText>
      </w:r>
      <w:r w:rsidR="00390EE0">
        <w:instrText xml:space="preserve">" </w:instrText>
      </w:r>
      <w:r w:rsidR="00390EE0">
        <w:fldChar w:fldCharType="end"/>
      </w:r>
      <w:r w:rsidR="00390EE0">
        <w:t xml:space="preserve"> proto nahradil  exemplary matematikou</w:t>
      </w:r>
      <w:r w:rsidR="00390EE0">
        <w:fldChar w:fldCharType="begin"/>
      </w:r>
      <w:r w:rsidR="00390EE0">
        <w:instrText xml:space="preserve"> XE "</w:instrText>
      </w:r>
      <w:r w:rsidR="00390EE0" w:rsidRPr="00DC040D">
        <w:instrText>matematika</w:instrText>
      </w:r>
      <w:r w:rsidR="00390EE0">
        <w:instrText xml:space="preserve">" </w:instrText>
      </w:r>
      <w:r w:rsidR="00390EE0">
        <w:fldChar w:fldCharType="end"/>
      </w:r>
      <w:r w:rsidR="00390EE0">
        <w:t xml:space="preserve"> a principem dostatečného důvodu</w:t>
      </w:r>
      <w:r w:rsidR="00390EE0">
        <w:fldChar w:fldCharType="begin"/>
      </w:r>
      <w:r w:rsidR="00390EE0">
        <w:instrText xml:space="preserve"> XE "</w:instrText>
      </w:r>
      <w:r w:rsidR="00390EE0" w:rsidRPr="00E165B0">
        <w:instrText>princip dostatečného důvodu</w:instrText>
      </w:r>
      <w:r w:rsidR="00390EE0">
        <w:instrText xml:space="preserve">" </w:instrText>
      </w:r>
      <w:r w:rsidR="00390EE0">
        <w:fldChar w:fldCharType="end"/>
      </w:r>
      <w:r w:rsidR="00390EE0" w:rsidRPr="00273106">
        <w:t xml:space="preserve">. </w:t>
      </w:r>
      <w:r w:rsidR="00390EE0">
        <w:t>Moderní b</w:t>
      </w:r>
      <w:r w:rsidR="00390EE0" w:rsidRPr="00712176">
        <w:t>ůh tak dostal rozsudek smrti</w:t>
      </w:r>
      <w:r w:rsidR="00C07F96">
        <w:fldChar w:fldCharType="begin"/>
      </w:r>
      <w:r w:rsidR="00C07F96">
        <w:instrText xml:space="preserve"> XE "</w:instrText>
      </w:r>
      <w:r w:rsidR="00C07F96" w:rsidRPr="006326C8">
        <w:instrText>smrt boha</w:instrText>
      </w:r>
      <w:r w:rsidR="00C07F96">
        <w:instrText xml:space="preserve">" </w:instrText>
      </w:r>
      <w:r w:rsidR="00C07F96">
        <w:fldChar w:fldCharType="end"/>
      </w:r>
      <w:r w:rsidR="00390EE0" w:rsidRPr="00712176">
        <w:t>. Ačkoli byl jmenován dárcem matematických forem, byl tent</w:t>
      </w:r>
      <w:r w:rsidR="00390EE0">
        <w:t xml:space="preserve">o čestný titul zcela zbytečný. Moderní bůh </w:t>
      </w:r>
      <w:r w:rsidR="00390EE0" w:rsidRPr="00712176">
        <w:t>následně zemřel jako nezaměstnaný demiurg a met</w:t>
      </w:r>
      <w:r w:rsidR="00390EE0">
        <w:t>afyzické individuum bez domova.</w:t>
      </w:r>
      <w:r w:rsidR="00EB15B1">
        <w:t xml:space="preserve"> Moderní teologie pak opatruje prázdný hrob</w:t>
      </w:r>
      <w:r w:rsidR="00A922DA">
        <w:t xml:space="preserve"> tohoto nešťastného tvora</w:t>
      </w:r>
      <w:r w:rsidR="00EB15B1">
        <w:t>, ale to věděl už Kierkegaard.</w:t>
      </w:r>
    </w:p>
    <w:p w:rsidR="00A23254" w:rsidRDefault="08163013" w:rsidP="00E76CCC">
      <w:pPr>
        <w:ind w:firstLine="397"/>
      </w:pPr>
      <w:r>
        <w:lastRenderedPageBreak/>
        <w:t xml:space="preserve">Pechamův scénář objektivního poznání běží v této postmoderní úpravě dodnes. </w:t>
      </w:r>
      <w:r w:rsidR="00665BD6">
        <w:t xml:space="preserve">Bonaventura a Pecham pokračují v cestě moderních. </w:t>
      </w:r>
      <w:r>
        <w:t xml:space="preserve">Moderna vidí jiný svět, který má vlastní typ jsoucna a vlastní manifestaci tohoto jsoucna. </w:t>
      </w:r>
      <w:r w:rsidRPr="00273106">
        <w:t>Z hlediska prvního averroismu j</w:t>
      </w:r>
      <w:r>
        <w:t>de o naprostý nesmysl. P</w:t>
      </w:r>
      <w:r w:rsidRPr="00273106">
        <w:t xml:space="preserve">odle Aristotela a </w:t>
      </w:r>
      <w:r>
        <w:t>Averroes</w:t>
      </w:r>
      <w:r w:rsidRPr="00273106">
        <w:t xml:space="preserve">e jsou univerzália daná skrze proces abstrakce pouze v mysli poznávajícího, a ne skrze </w:t>
      </w:r>
      <w:r w:rsidR="004A4816" w:rsidRPr="00273106">
        <w:t>přím</w:t>
      </w:r>
      <w:r w:rsidR="004A4816">
        <w:t>ý náhled</w:t>
      </w:r>
      <w:r w:rsidR="00185734">
        <w:t xml:space="preserve"> </w:t>
      </w:r>
      <w:r>
        <w:t>intelektu do reálných věcí</w:t>
      </w:r>
      <w:r w:rsidRPr="00273106">
        <w:t xml:space="preserve">. </w:t>
      </w:r>
      <w:r>
        <w:t>A jak poznává bůh, do toho nám nic není</w:t>
      </w:r>
      <w:r w:rsidR="00185734">
        <w:t>. V</w:t>
      </w:r>
      <w:r>
        <w:t xml:space="preserve"> řádu kritického myšlení poznáváme pouze jeho stvořitelskou kauzalitu danou od první příčiny. </w:t>
      </w:r>
      <w:r w:rsidRPr="00273106">
        <w:t>K intelektu se přidala</w:t>
      </w:r>
      <w:r>
        <w:t xml:space="preserve"> </w:t>
      </w:r>
      <w:r w:rsidRPr="00273106">
        <w:t>objek</w:t>
      </w:r>
      <w:r>
        <w:t>tivní</w:t>
      </w:r>
      <w:r w:rsidRPr="00273106">
        <w:t xml:space="preserve"> schopnost poznání podle vrozených principů, které lidský intelekt ozařují mimo aktuální poznávanou věc. </w:t>
      </w:r>
      <w:r w:rsidR="007E1C1C" w:rsidRPr="00273106">
        <w:t>Descart</w:t>
      </w:r>
      <w:r w:rsidR="007E1C1C">
        <w:t>es</w:t>
      </w:r>
      <w:r w:rsidR="007E1C1C">
        <w:fldChar w:fldCharType="begin"/>
      </w:r>
      <w:r w:rsidR="007E1C1C">
        <w:instrText xml:space="preserve"> XE "</w:instrText>
      </w:r>
      <w:r w:rsidR="007E1C1C" w:rsidRPr="004146C6">
        <w:rPr>
          <w:rStyle w:val="addmd"/>
        </w:rPr>
        <w:instrText>Descartes, R.</w:instrText>
      </w:r>
      <w:r w:rsidR="007E1C1C">
        <w:instrText xml:space="preserve">" </w:instrText>
      </w:r>
      <w:r w:rsidR="007E1C1C">
        <w:fldChar w:fldCharType="end"/>
      </w:r>
      <w:r w:rsidR="007E1C1C" w:rsidRPr="00273106">
        <w:t xml:space="preserve"> </w:t>
      </w:r>
      <w:r w:rsidR="007E1C1C">
        <w:t xml:space="preserve">a Leibniz převedli </w:t>
      </w:r>
      <w:r>
        <w:t>ontoteologick</w:t>
      </w:r>
      <w:r w:rsidR="007E1C1C">
        <w:t>ou</w:t>
      </w:r>
      <w:r>
        <w:t xml:space="preserve"> </w:t>
      </w:r>
      <w:r w:rsidR="007E1C1C">
        <w:t>formu</w:t>
      </w:r>
      <w:r w:rsidRPr="00273106">
        <w:t xml:space="preserve"> objektivní </w:t>
      </w:r>
      <w:r>
        <w:rPr>
          <w:i/>
        </w:rPr>
        <w:t>mathesis univers</w:t>
      </w:r>
      <w:r w:rsidRPr="00273106">
        <w:rPr>
          <w:i/>
        </w:rPr>
        <w:t>alis</w:t>
      </w:r>
      <w:r>
        <w:rPr>
          <w:i/>
        </w:rPr>
        <w:fldChar w:fldCharType="begin"/>
      </w:r>
      <w:r>
        <w:instrText xml:space="preserve"> XE "</w:instrText>
      </w:r>
      <w:r w:rsidRPr="00212B09">
        <w:rPr>
          <w:i/>
        </w:rPr>
        <w:instrText>mathesis universalis</w:instrText>
      </w:r>
      <w:r>
        <w:instrText xml:space="preserve">" </w:instrText>
      </w:r>
      <w:r>
        <w:rPr>
          <w:i/>
        </w:rPr>
        <w:fldChar w:fldCharType="end"/>
      </w:r>
      <w:r w:rsidRPr="00273106">
        <w:t xml:space="preserve"> na matematiku. Pasivní složka intelektu přestala být </w:t>
      </w:r>
      <w:r w:rsidRPr="00273106">
        <w:rPr>
          <w:i/>
        </w:rPr>
        <w:t>tabula rasa</w:t>
      </w:r>
      <w:r>
        <w:rPr>
          <w:i/>
        </w:rPr>
        <w:fldChar w:fldCharType="begin"/>
      </w:r>
      <w:r>
        <w:instrText xml:space="preserve"> XE "</w:instrText>
      </w:r>
      <w:r w:rsidRPr="00CE6D17">
        <w:rPr>
          <w:i/>
        </w:rPr>
        <w:instrText>tabula rasa</w:instrText>
      </w:r>
      <w:r>
        <w:instrText xml:space="preserve">" </w:instrText>
      </w:r>
      <w:r>
        <w:rPr>
          <w:i/>
        </w:rPr>
        <w:fldChar w:fldCharType="end"/>
      </w:r>
      <w:r w:rsidRPr="00273106">
        <w:t xml:space="preserve">, a dostala charakter </w:t>
      </w:r>
      <w:r>
        <w:t>kartezi</w:t>
      </w:r>
      <w:r w:rsidRPr="00273106">
        <w:t xml:space="preserve">ánského </w:t>
      </w:r>
      <w:r w:rsidRPr="00273106">
        <w:rPr>
          <w:i/>
        </w:rPr>
        <w:t>cogito</w:t>
      </w:r>
      <w:r w:rsidRPr="00273106">
        <w:t xml:space="preserve">. Tím se cesta </w:t>
      </w:r>
      <w:r w:rsidRPr="00273106">
        <w:rPr>
          <w:i/>
        </w:rPr>
        <w:t>Modernorum</w:t>
      </w:r>
      <w:r w:rsidRPr="00273106">
        <w:t xml:space="preserve"> definitivně o</w:t>
      </w:r>
      <w:r>
        <w:t xml:space="preserve">ddělila od klasické metafyziky. </w:t>
      </w:r>
      <w:r w:rsidR="000112F2">
        <w:t>Slovo „</w:t>
      </w:r>
      <w:r w:rsidR="000112F2" w:rsidRPr="000112F2">
        <w:rPr>
          <w:i/>
        </w:rPr>
        <w:t>de fine</w:t>
      </w:r>
      <w:r w:rsidR="000112F2">
        <w:t>“</w:t>
      </w:r>
      <w:r w:rsidR="00DE70AF">
        <w:t xml:space="preserve"> znamená v tomto dějinném kontextu </w:t>
      </w:r>
      <w:r w:rsidR="000112F2">
        <w:t>zrození a smrt moderního b</w:t>
      </w:r>
      <w:r w:rsidR="000112F2" w:rsidRPr="000112F2">
        <w:t xml:space="preserve">oha. </w:t>
      </w:r>
      <w:r>
        <w:t xml:space="preserve">Druhý averroismus nastoupil paranoickou cestu plně schizofrenického </w:t>
      </w:r>
      <w:r w:rsidRPr="00273106">
        <w:t>subjektu</w:t>
      </w:r>
      <w:r>
        <w:t xml:space="preserve">, kterému se v jeho virtuálním bytí </w:t>
      </w:r>
      <w:r w:rsidRPr="00273106">
        <w:t>zjev</w:t>
      </w:r>
      <w:r>
        <w:t>uje objektivně pravdivý smysl</w:t>
      </w:r>
      <w:r w:rsidRPr="00273106">
        <w:t xml:space="preserve"> </w:t>
      </w:r>
      <w:r>
        <w:t>jsoucna</w:t>
      </w:r>
      <w:r>
        <w:fldChar w:fldCharType="begin"/>
      </w:r>
      <w:r>
        <w:instrText xml:space="preserve"> XE "</w:instrText>
      </w:r>
      <w:r w:rsidRPr="00A2020B">
        <w:instrText>vidění:paranoické</w:instrText>
      </w:r>
      <w:r>
        <w:instrText xml:space="preserve">" </w:instrText>
      </w:r>
      <w:r>
        <w:fldChar w:fldCharType="end"/>
      </w:r>
      <w:r w:rsidRPr="00273106">
        <w:t xml:space="preserve">. Člověk se stal vtěleným aktivním intelektem a realitu potřebuje jen jako dodatečný důkaz vlastních </w:t>
      </w:r>
      <w:r>
        <w:t xml:space="preserve">hypostázovaných </w:t>
      </w:r>
      <w:r w:rsidRPr="00273106">
        <w:t>pozná</w:t>
      </w:r>
      <w:r w:rsidR="00E76CCC">
        <w:t>vacích schopností. Olivi doplňil</w:t>
      </w:r>
      <w:r w:rsidR="00E76CCC" w:rsidRPr="00E76CCC">
        <w:t xml:space="preserve"> toto moderní učení o člověku tím,</w:t>
      </w:r>
      <w:r w:rsidR="00E76CCC">
        <w:t xml:space="preserve"> že k tomuto intelektu připojil</w:t>
      </w:r>
      <w:r w:rsidR="00E76CCC" w:rsidRPr="00E76CCC">
        <w:t xml:space="preserve"> svrchovanou vůli. Takto koncipoval nového kapitalistického demiurga v podobě substance třetího druhu. </w:t>
      </w:r>
      <w:r>
        <w:t xml:space="preserve">Druhý averroismus </w:t>
      </w:r>
      <w:r w:rsidRPr="00273106">
        <w:t>nepotřebuje aktuální první substanci</w:t>
      </w:r>
      <w:r>
        <w:t xml:space="preserve"> </w:t>
      </w:r>
      <w:r w:rsidRPr="00273106">
        <w:t xml:space="preserve">pro </w:t>
      </w:r>
      <w:r>
        <w:t>zajištění pravdy</w:t>
      </w:r>
      <w:r w:rsidRPr="000662BC">
        <w:t xml:space="preserve"> </w:t>
      </w:r>
      <w:r>
        <w:t xml:space="preserve">v modu </w:t>
      </w:r>
      <w:r w:rsidRPr="000E4F3B">
        <w:rPr>
          <w:i/>
        </w:rPr>
        <w:t>per prius</w:t>
      </w:r>
      <w:r>
        <w:rPr>
          <w:i/>
        </w:rPr>
        <w:fldChar w:fldCharType="begin"/>
      </w:r>
      <w:r>
        <w:instrText xml:space="preserve"> XE "predikace:</w:instrText>
      </w:r>
      <w:r w:rsidRPr="000F433F">
        <w:rPr>
          <w:i/>
        </w:rPr>
        <w:instrText>per prius</w:instrText>
      </w:r>
      <w:r>
        <w:instrText xml:space="preserve">" </w:instrText>
      </w:r>
      <w:r>
        <w:rPr>
          <w:i/>
        </w:rPr>
        <w:fldChar w:fldCharType="end"/>
      </w:r>
      <w:r>
        <w:t>. Pravda vychází primárně ze subjektu skrze Anselmovo</w:t>
      </w:r>
      <w:r w:rsidRPr="00273106">
        <w:t xml:space="preserve"> </w:t>
      </w:r>
      <w:r w:rsidRPr="00273106">
        <w:rPr>
          <w:i/>
        </w:rPr>
        <w:t>rectitudo</w:t>
      </w:r>
      <w:r>
        <w:t xml:space="preserve">, Avicennovo </w:t>
      </w:r>
      <w:r w:rsidRPr="000662BC">
        <w:rPr>
          <w:i/>
        </w:rPr>
        <w:t>certitudo</w:t>
      </w:r>
      <w:r>
        <w:t xml:space="preserve"> a Rufusovo </w:t>
      </w:r>
      <w:r w:rsidRPr="00881AE7">
        <w:rPr>
          <w:i/>
        </w:rPr>
        <w:t>coaequatio</w:t>
      </w:r>
      <w:r>
        <w:rPr>
          <w:i/>
        </w:rPr>
        <w:fldChar w:fldCharType="begin"/>
      </w:r>
      <w:r>
        <w:instrText xml:space="preserve"> XE "</w:instrText>
      </w:r>
      <w:r w:rsidRPr="003C281E">
        <w:instrText>pravda:objektivní</w:instrText>
      </w:r>
      <w:r>
        <w:instrText xml:space="preserve">" </w:instrText>
      </w:r>
      <w:r>
        <w:rPr>
          <w:i/>
        </w:rPr>
        <w:fldChar w:fldCharType="end"/>
      </w:r>
      <w:r w:rsidRPr="00273106">
        <w:t xml:space="preserve">. </w:t>
      </w:r>
      <w:r>
        <w:t>D</w:t>
      </w:r>
      <w:r w:rsidRPr="00273106">
        <w:t>ruhý averroismus</w:t>
      </w:r>
      <w:r>
        <w:t xml:space="preserve"> musel</w:t>
      </w:r>
      <w:r w:rsidRPr="00273106">
        <w:t xml:space="preserve"> najít ultimativního garanta nově vzniklé objektivity</w:t>
      </w:r>
      <w:r>
        <w:t xml:space="preserve"> mimo aktuální první substanci, protože smysly vnímaná realita není dostatečnou zárukou pravdivého </w:t>
      </w:r>
      <w:r w:rsidRPr="00273106">
        <w:t>poznání.</w:t>
      </w:r>
      <w:r>
        <w:t xml:space="preserve"> Pecham</w:t>
      </w:r>
      <w:r w:rsidRPr="00273106">
        <w:t xml:space="preserve"> novou oblast jsoucna zajistil tím, že tělo a ducha</w:t>
      </w:r>
      <w:r>
        <w:t xml:space="preserve"> </w:t>
      </w:r>
      <w:r w:rsidRPr="00273106">
        <w:t>objektivně spojil do jednoho virtuálně daného celku (</w:t>
      </w:r>
      <w:r w:rsidRPr="00273106">
        <w:rPr>
          <w:i/>
        </w:rPr>
        <w:t>totum virtuale</w:t>
      </w:r>
      <w:r>
        <w:rPr>
          <w:i/>
        </w:rPr>
        <w:fldChar w:fldCharType="begin"/>
      </w:r>
      <w:r>
        <w:instrText xml:space="preserve"> XE "</w:instrText>
      </w:r>
      <w:r w:rsidRPr="00B664D8">
        <w:instrText>osoba</w:instrText>
      </w:r>
      <w:r w:rsidRPr="00A10A92">
        <w:rPr>
          <w:i/>
        </w:rPr>
        <w:instrText>:totum virtuale</w:instrText>
      </w:r>
      <w:r>
        <w:instrText xml:space="preserve">" </w:instrText>
      </w:r>
      <w:r>
        <w:rPr>
          <w:i/>
        </w:rPr>
        <w:fldChar w:fldCharType="end"/>
      </w:r>
      <w:r w:rsidRPr="00273106">
        <w:t xml:space="preserve">). </w:t>
      </w:r>
      <w:r>
        <w:t>Moderní subjekt vznikl jako nová forma atomární substance</w:t>
      </w:r>
      <w:r w:rsidR="08AF18F3">
        <w:t xml:space="preserve">. Ta je </w:t>
      </w:r>
      <w:r>
        <w:t>d</w:t>
      </w:r>
      <w:r w:rsidR="08AF18F3">
        <w:t xml:space="preserve">aná v univerzálním hylemorfismu </w:t>
      </w:r>
      <w:r>
        <w:t xml:space="preserve">na způsob Rufusova </w:t>
      </w:r>
      <w:r w:rsidR="00962190">
        <w:rPr>
          <w:i/>
        </w:rPr>
        <w:t>species</w:t>
      </w:r>
      <w:r w:rsidRPr="08C60784">
        <w:rPr>
          <w:i/>
        </w:rPr>
        <w:t xml:space="preserve"> obiecti ex</w:t>
      </w:r>
      <w:r>
        <w:rPr>
          <w:i/>
        </w:rPr>
        <w:t>s</w:t>
      </w:r>
      <w:r w:rsidRPr="08C60784">
        <w:rPr>
          <w:i/>
        </w:rPr>
        <w:t>istentis</w:t>
      </w:r>
      <w:r>
        <w:rPr>
          <w:i/>
        </w:rPr>
        <w:fldChar w:fldCharType="begin"/>
      </w:r>
      <w:r>
        <w:instrText xml:space="preserve"> XE "</w:instrText>
      </w:r>
      <w:r w:rsidRPr="08342153">
        <w:rPr>
          <w:i/>
        </w:rPr>
        <w:instrText>species obiecti ex</w:instrText>
      </w:r>
      <w:r>
        <w:rPr>
          <w:i/>
        </w:rPr>
        <w:instrText>s</w:instrText>
      </w:r>
      <w:r w:rsidRPr="08342153">
        <w:rPr>
          <w:i/>
        </w:rPr>
        <w:instrText>istentis</w:instrText>
      </w:r>
      <w:r>
        <w:instrText xml:space="preserve">" </w:instrText>
      </w:r>
      <w:r>
        <w:rPr>
          <w:i/>
        </w:rPr>
        <w:fldChar w:fldCharType="end"/>
      </w:r>
      <w:r w:rsidR="00A23254">
        <w:t>.</w:t>
      </w:r>
    </w:p>
    <w:p w:rsidR="08163013" w:rsidRPr="00273106" w:rsidRDefault="00A23254" w:rsidP="003A72BE">
      <w:pPr>
        <w:ind w:firstLine="397"/>
      </w:pPr>
      <w:r>
        <w:t>A nyní zbývalo</w:t>
      </w:r>
      <w:r w:rsidR="08163013">
        <w:t xml:space="preserve"> vyřešit klasický problém Dinanta a dalších aristotelských  averroistů, totiž napojení tohoto paranoického poznání moderního virtuálního subjektu na virtuální světlo boží tváře.</w:t>
      </w:r>
      <w:r w:rsidR="00184807">
        <w:t xml:space="preserve"> Bonaventurovo řešení jako „</w:t>
      </w:r>
      <w:r w:rsidR="00184807" w:rsidRPr="00184807">
        <w:rPr>
          <w:i/>
        </w:rPr>
        <w:t>signatum</w:t>
      </w:r>
      <w:r w:rsidR="00B102E1">
        <w:rPr>
          <w:i/>
        </w:rPr>
        <w:fldChar w:fldCharType="begin"/>
      </w:r>
      <w:r w:rsidR="00B102E1">
        <w:instrText xml:space="preserve"> XE "</w:instrText>
      </w:r>
      <w:r w:rsidR="00B102E1" w:rsidRPr="00C915A9">
        <w:rPr>
          <w:i/>
        </w:rPr>
        <w:instrText>signatum</w:instrText>
      </w:r>
      <w:r w:rsidR="00B102E1">
        <w:instrText xml:space="preserve">" </w:instrText>
      </w:r>
      <w:r w:rsidR="00B102E1">
        <w:rPr>
          <w:i/>
        </w:rPr>
        <w:fldChar w:fldCharType="end"/>
      </w:r>
      <w:r w:rsidR="00184807">
        <w:t>“</w:t>
      </w:r>
      <w:r w:rsidR="00184807" w:rsidRPr="00184807">
        <w:t xml:space="preserve"> se stalo </w:t>
      </w:r>
      <w:r w:rsidR="00D944FA">
        <w:t xml:space="preserve">v následující </w:t>
      </w:r>
      <w:r w:rsidR="00D944FA">
        <w:lastRenderedPageBreak/>
        <w:t xml:space="preserve">dekádě </w:t>
      </w:r>
      <w:r w:rsidR="00184807" w:rsidRPr="00184807">
        <w:t>zastaralým</w:t>
      </w:r>
      <w:r w:rsidR="00D944FA">
        <w:t>. Škola p</w:t>
      </w:r>
      <w:r w:rsidR="00184807" w:rsidRPr="00184807">
        <w:t>rvní</w:t>
      </w:r>
      <w:r w:rsidR="00D944FA">
        <w:t>ho</w:t>
      </w:r>
      <w:r w:rsidR="00184807" w:rsidRPr="00184807">
        <w:t xml:space="preserve"> averroismu nevěřil</w:t>
      </w:r>
      <w:r w:rsidR="00D944FA">
        <w:t>a</w:t>
      </w:r>
      <w:r w:rsidR="00184807" w:rsidRPr="00184807">
        <w:t xml:space="preserve"> v moderní pohádky prodávané jako </w:t>
      </w:r>
      <w:r w:rsidR="007D6FCB">
        <w:t xml:space="preserve">první forma </w:t>
      </w:r>
      <w:r w:rsidR="00184807" w:rsidRPr="00184807">
        <w:t>moderní vědy</w:t>
      </w:r>
      <w:r w:rsidR="00184807">
        <w:t xml:space="preserve"> v letech 1265–70</w:t>
      </w:r>
      <w:r w:rsidR="00184807" w:rsidRPr="00184807">
        <w:t xml:space="preserve">. </w:t>
      </w:r>
      <w:r w:rsidR="08163013">
        <w:t xml:space="preserve"> </w:t>
      </w:r>
      <w:r w:rsidR="08163013" w:rsidRPr="00273106">
        <w:t xml:space="preserve">Neoplatonismus jasně praví, že Jedno určuje Mnohé a dílo </w:t>
      </w:r>
      <w:r w:rsidR="08163013" w:rsidRPr="00273106">
        <w:rPr>
          <w:i/>
        </w:rPr>
        <w:t>Liber de causis</w:t>
      </w:r>
      <w:r w:rsidR="08163013">
        <w:rPr>
          <w:i/>
        </w:rPr>
        <w:fldChar w:fldCharType="begin"/>
      </w:r>
      <w:r w:rsidR="08163013">
        <w:instrText xml:space="preserve"> XE "</w:instrText>
      </w:r>
      <w:r w:rsidR="08163013" w:rsidRPr="00C46BD8">
        <w:rPr>
          <w:i/>
        </w:rPr>
        <w:instrText>Liber de causis</w:instrText>
      </w:r>
      <w:r w:rsidR="08163013">
        <w:instrText xml:space="preserve">" </w:instrText>
      </w:r>
      <w:r w:rsidR="08163013">
        <w:rPr>
          <w:i/>
        </w:rPr>
        <w:fldChar w:fldCharType="end"/>
      </w:r>
      <w:r w:rsidR="08163013" w:rsidRPr="00273106">
        <w:rPr>
          <w:i/>
        </w:rPr>
        <w:t xml:space="preserve"> </w:t>
      </w:r>
      <w:r w:rsidR="08163013" w:rsidRPr="00273106">
        <w:t xml:space="preserve">tuto nauku rozpracovalo do hierarchické determinace forem deduktivně daných </w:t>
      </w:r>
      <w:r w:rsidR="08163013" w:rsidRPr="00273106">
        <w:rPr>
          <w:i/>
        </w:rPr>
        <w:t>modo geometrico</w:t>
      </w:r>
      <w:r w:rsidR="08163013">
        <w:rPr>
          <w:i/>
        </w:rPr>
        <w:fldChar w:fldCharType="begin"/>
      </w:r>
      <w:r w:rsidR="08163013">
        <w:instrText xml:space="preserve"> XE "</w:instrText>
      </w:r>
      <w:r w:rsidR="08163013" w:rsidRPr="00E71D05">
        <w:instrText>predikace</w:instrText>
      </w:r>
      <w:r w:rsidR="08163013" w:rsidRPr="00E71D05">
        <w:rPr>
          <w:i/>
        </w:rPr>
        <w:instrText>:modo geometrico</w:instrText>
      </w:r>
      <w:r w:rsidR="08163013">
        <w:instrText xml:space="preserve">" </w:instrText>
      </w:r>
      <w:r w:rsidR="08163013">
        <w:rPr>
          <w:i/>
        </w:rPr>
        <w:fldChar w:fldCharType="end"/>
      </w:r>
      <w:r w:rsidR="08163013" w:rsidRPr="00273106">
        <w:t xml:space="preserve">. </w:t>
      </w:r>
      <w:r w:rsidR="00870803" w:rsidRPr="00870803">
        <w:t xml:space="preserve">Druhý averroismus </w:t>
      </w:r>
      <w:r w:rsidR="00870803">
        <w:t>musel n</w:t>
      </w:r>
      <w:r w:rsidR="00870803" w:rsidRPr="00870803">
        <w:t xml:space="preserve">ajít objektivní formu dedukce v rámci exemplárních forem. </w:t>
      </w:r>
      <w:r w:rsidR="00870803">
        <w:t>Moderní b</w:t>
      </w:r>
      <w:r w:rsidR="00870803" w:rsidRPr="00870803">
        <w:t xml:space="preserve">ůh se stal garantem objektivního bytí vyvozeného podle biblických faktorů míry, počtu a váhy. </w:t>
      </w:r>
      <w:r w:rsidR="08163013">
        <w:t xml:space="preserve">Pecham dobře věděl, že tato exemplární dedukce nesmí jít Avicennovým systémem emanace forem od odděleného kosmického intelektu jako </w:t>
      </w:r>
      <w:r w:rsidR="001342FE">
        <w:rPr>
          <w:i/>
        </w:rPr>
        <w:t>dator formarum</w:t>
      </w:r>
      <w:r w:rsidR="08163013">
        <w:rPr>
          <w:i/>
        </w:rPr>
        <w:fldChar w:fldCharType="begin"/>
      </w:r>
      <w:r w:rsidR="08163013">
        <w:instrText xml:space="preserve"> XE "</w:instrText>
      </w:r>
      <w:r w:rsidR="001342FE">
        <w:rPr>
          <w:i/>
        </w:rPr>
        <w:instrText>dator formarum</w:instrText>
      </w:r>
      <w:r w:rsidR="08163013">
        <w:instrText xml:space="preserve">" </w:instrText>
      </w:r>
      <w:r w:rsidR="08163013">
        <w:rPr>
          <w:i/>
        </w:rPr>
        <w:fldChar w:fldCharType="end"/>
      </w:r>
      <w:r w:rsidR="08163013">
        <w:t xml:space="preserve">, </w:t>
      </w:r>
      <w:r w:rsidR="003A72BE">
        <w:t>To bylo v té době naprosto nepřijatelné učení na Pařížské univerzitě</w:t>
      </w:r>
      <w:r w:rsidR="003A72BE" w:rsidRPr="003A72BE">
        <w:t>.</w:t>
      </w:r>
      <w:r w:rsidR="003A72BE">
        <w:t xml:space="preserve"> Modernisté vzali </w:t>
      </w:r>
      <w:r w:rsidR="08163013">
        <w:t>Avicennovu komitaci</w:t>
      </w:r>
      <w:r w:rsidR="08163013">
        <w:fldChar w:fldCharType="begin"/>
      </w:r>
      <w:r w:rsidR="08163013">
        <w:instrText xml:space="preserve"> XE "</w:instrText>
      </w:r>
      <w:r w:rsidR="08163013" w:rsidRPr="08F02405">
        <w:instrText>komitace</w:instrText>
      </w:r>
      <w:r w:rsidR="08163013">
        <w:instrText xml:space="preserve">" </w:instrText>
      </w:r>
      <w:r w:rsidR="08163013">
        <w:fldChar w:fldCharType="end"/>
      </w:r>
      <w:r w:rsidR="003A72BE">
        <w:t xml:space="preserve"> a tu předělali na aristotelskou predikaci.</w:t>
      </w:r>
      <w:r w:rsidR="08163013">
        <w:t xml:space="preserve"> </w:t>
      </w:r>
      <w:r w:rsidR="003A72BE">
        <w:t xml:space="preserve">Pecham </w:t>
      </w:r>
      <w:r w:rsidR="08163013" w:rsidRPr="00273106">
        <w:t xml:space="preserve">navrhl formu objektivně daného </w:t>
      </w:r>
      <w:r w:rsidR="08163013" w:rsidRPr="00273106">
        <w:rPr>
          <w:i/>
        </w:rPr>
        <w:t>resolutio</w:t>
      </w:r>
      <w:r w:rsidR="08163013">
        <w:rPr>
          <w:i/>
        </w:rPr>
        <w:fldChar w:fldCharType="begin"/>
      </w:r>
      <w:r w:rsidR="08163013">
        <w:instrText xml:space="preserve"> XE "</w:instrText>
      </w:r>
      <w:r w:rsidR="08163013" w:rsidRPr="00111E9E">
        <w:rPr>
          <w:i/>
        </w:rPr>
        <w:instrText>resolutio</w:instrText>
      </w:r>
      <w:r w:rsidR="08163013">
        <w:rPr>
          <w:i/>
        </w:rPr>
        <w:instrText>:</w:instrText>
      </w:r>
      <w:r w:rsidR="08163013">
        <w:instrText xml:space="preserve">Pecham" </w:instrText>
      </w:r>
      <w:r w:rsidR="08163013">
        <w:rPr>
          <w:i/>
        </w:rPr>
        <w:fldChar w:fldCharType="end"/>
      </w:r>
      <w:r w:rsidR="08163013">
        <w:t xml:space="preserve"> jsoucna</w:t>
      </w:r>
      <w:r w:rsidR="00BB23EF">
        <w:t xml:space="preserve">. Tento postup </w:t>
      </w:r>
      <w:r w:rsidR="00BB23EF" w:rsidRPr="00273106">
        <w:t xml:space="preserve">poprvé tematizoval Filip Kancléř a po něm </w:t>
      </w:r>
      <w:r w:rsidR="00BB23EF" w:rsidRPr="00273106">
        <w:rPr>
          <w:i/>
        </w:rPr>
        <w:t>Summa Halensis</w:t>
      </w:r>
      <w:r w:rsidR="00BB23EF">
        <w:rPr>
          <w:i/>
        </w:rPr>
        <w:fldChar w:fldCharType="begin"/>
      </w:r>
      <w:r w:rsidR="00BB23EF">
        <w:instrText xml:space="preserve"> XE "</w:instrText>
      </w:r>
      <w:r w:rsidR="00BB23EF" w:rsidRPr="00F14A6F">
        <w:rPr>
          <w:i/>
        </w:rPr>
        <w:instrText>Summa Halensis</w:instrText>
      </w:r>
      <w:r w:rsidR="00BB23EF">
        <w:instrText xml:space="preserve">" </w:instrText>
      </w:r>
      <w:r w:rsidR="00BB23EF">
        <w:rPr>
          <w:i/>
        </w:rPr>
        <w:fldChar w:fldCharType="end"/>
      </w:r>
      <w:r w:rsidR="00BB23EF" w:rsidRPr="00273106">
        <w:t xml:space="preserve"> ve škole druhého averroismu </w:t>
      </w:r>
      <w:r w:rsidR="00BB23EF">
        <w:t xml:space="preserve">pro </w:t>
      </w:r>
      <w:r w:rsidR="08163013" w:rsidRPr="00273106">
        <w:t>konverzi transcendentálií (</w:t>
      </w:r>
      <w:r w:rsidR="083C18CE">
        <w:t>OBJ II, kap. 2</w:t>
      </w:r>
      <w:r w:rsidR="08163013" w:rsidRPr="00273106">
        <w:t>.3</w:t>
      </w:r>
      <w:r w:rsidR="08163013">
        <w:t>.2</w:t>
      </w:r>
      <w:r w:rsidR="08163013" w:rsidRPr="00273106">
        <w:t>).</w:t>
      </w:r>
      <w:r w:rsidR="08163013" w:rsidRPr="005B002F">
        <w:t xml:space="preserve"> </w:t>
      </w:r>
      <w:r w:rsidR="008727EF">
        <w:t>Pecham založil</w:t>
      </w:r>
      <w:r w:rsidR="08163013">
        <w:t xml:space="preserve"> systém nové metafyziky, kterou dokonč</w:t>
      </w:r>
      <w:r w:rsidR="008727EF">
        <w:t xml:space="preserve">il </w:t>
      </w:r>
      <w:r w:rsidR="08163013">
        <w:t xml:space="preserve">Duns Scotus. Výstavbu metafyziky řídí princip abstraktní dedukce založené na avicennovské jistotě intelektuálního náhledu. </w:t>
      </w:r>
      <w:r w:rsidR="08163013" w:rsidRPr="00273106">
        <w:t>Znovu je na scéně Avicennovo, Grossetesteho a Rufusovo pojetí pravdy dané dedukcí z prvních a jistých principů poznání.</w:t>
      </w:r>
    </w:p>
    <w:p w:rsidR="08163013" w:rsidRDefault="08163013" w:rsidP="08163013">
      <w:pPr>
        <w:pStyle w:val="Citace"/>
      </w:pPr>
      <w:r w:rsidRPr="00273106">
        <w:rPr>
          <w:noProof/>
          <w:szCs w:val="19"/>
          <w:lang w:val="cs-CZ"/>
        </w:rPr>
        <w:t>„</w:t>
      </w:r>
      <w:r>
        <w:rPr>
          <w:noProof/>
          <w:szCs w:val="19"/>
          <w:lang w:val="cs-CZ"/>
        </w:rPr>
        <w:t>Za deváté platí, že čím je něco jednodušší, tím je to méně podobné poznání složených substancí (</w:t>
      </w:r>
      <w:r w:rsidRPr="002B1B4D">
        <w:rPr>
          <w:i/>
          <w:noProof/>
          <w:szCs w:val="12"/>
        </w:rPr>
        <w:t xml:space="preserve">in </w:t>
      </w:r>
      <w:r w:rsidRPr="002B1B4D">
        <w:rPr>
          <w:i/>
          <w:noProof/>
        </w:rPr>
        <w:t>cognitione composita</w:t>
      </w:r>
      <w:r>
        <w:rPr>
          <w:noProof/>
          <w:szCs w:val="19"/>
          <w:lang w:val="cs-CZ"/>
        </w:rPr>
        <w:t>). Ale to neplatí pro poznání jednoduchých esencí (</w:t>
      </w:r>
      <w:r w:rsidRPr="002B1B4D">
        <w:rPr>
          <w:i/>
          <w:noProof/>
          <w:szCs w:val="12"/>
        </w:rPr>
        <w:t xml:space="preserve">in </w:t>
      </w:r>
      <w:r w:rsidRPr="002B1B4D">
        <w:rPr>
          <w:i/>
          <w:noProof/>
        </w:rPr>
        <w:t xml:space="preserve">cognitione </w:t>
      </w:r>
      <w:r w:rsidRPr="002B1B4D">
        <w:rPr>
          <w:i/>
          <w:noProof/>
          <w:lang w:val="cs-CZ"/>
        </w:rPr>
        <w:t>simplici</w:t>
      </w:r>
      <w:r>
        <w:rPr>
          <w:noProof/>
          <w:szCs w:val="19"/>
          <w:lang w:val="cs-CZ"/>
        </w:rPr>
        <w:t xml:space="preserve">), kdy poznání </w:t>
      </w:r>
      <w:r w:rsidR="00A74927">
        <w:rPr>
          <w:noProof/>
          <w:szCs w:val="19"/>
          <w:lang w:val="cs-CZ"/>
        </w:rPr>
        <w:t xml:space="preserve">vzniká </w:t>
      </w:r>
      <w:r>
        <w:rPr>
          <w:noProof/>
          <w:szCs w:val="19"/>
          <w:lang w:val="cs-CZ"/>
        </w:rPr>
        <w:t>dělením (</w:t>
      </w:r>
      <w:r w:rsidRPr="00CD353C">
        <w:rPr>
          <w:i/>
          <w:noProof/>
          <w:szCs w:val="11"/>
        </w:rPr>
        <w:t xml:space="preserve">fieri </w:t>
      </w:r>
      <w:r w:rsidRPr="00CD353C">
        <w:rPr>
          <w:i/>
          <w:noProof/>
          <w:szCs w:val="15"/>
        </w:rPr>
        <w:t>resolutionem</w:t>
      </w:r>
      <w:r>
        <w:rPr>
          <w:noProof/>
          <w:szCs w:val="19"/>
          <w:lang w:val="cs-CZ"/>
        </w:rPr>
        <w:t>) až k poslednímu a nejjistějšímu důvodu poznání (</w:t>
      </w:r>
      <w:r w:rsidRPr="00CD353C">
        <w:rPr>
          <w:i/>
          <w:noProof/>
          <w:szCs w:val="15"/>
        </w:rPr>
        <w:t xml:space="preserve">ad </w:t>
      </w:r>
      <w:r w:rsidRPr="00CD353C">
        <w:rPr>
          <w:i/>
          <w:noProof/>
          <w:szCs w:val="16"/>
        </w:rPr>
        <w:t xml:space="preserve">ultimam </w:t>
      </w:r>
      <w:r w:rsidRPr="00CD353C">
        <w:rPr>
          <w:i/>
          <w:noProof/>
          <w:szCs w:val="12"/>
        </w:rPr>
        <w:t xml:space="preserve">et </w:t>
      </w:r>
      <w:r w:rsidRPr="00CD353C">
        <w:rPr>
          <w:i/>
          <w:noProof/>
          <w:szCs w:val="15"/>
        </w:rPr>
        <w:t xml:space="preserve">certissimam rationem </w:t>
      </w:r>
      <w:r w:rsidRPr="00CD353C">
        <w:rPr>
          <w:i/>
          <w:noProof/>
        </w:rPr>
        <w:t>cognoscendi</w:t>
      </w:r>
      <w:r>
        <w:rPr>
          <w:noProof/>
          <w:szCs w:val="19"/>
          <w:lang w:val="cs-CZ"/>
        </w:rPr>
        <w:t xml:space="preserve">).“ </w:t>
      </w:r>
      <w:r>
        <w:rPr>
          <w:rStyle w:val="Znakapoznpodarou"/>
        </w:rPr>
        <w:footnoteReference w:id="108"/>
      </w:r>
    </w:p>
    <w:p w:rsidR="08163013" w:rsidRPr="00273106" w:rsidRDefault="0052315B" w:rsidP="08163013">
      <w:r>
        <w:t>Základ hyleforfických</w:t>
      </w:r>
      <w:r w:rsidR="08163013" w:rsidRPr="00273106">
        <w:t xml:space="preserve"> </w:t>
      </w:r>
      <w:r>
        <w:t>substancí</w:t>
      </w:r>
      <w:r w:rsidR="08163013">
        <w:fldChar w:fldCharType="begin"/>
      </w:r>
      <w:r w:rsidR="08163013">
        <w:instrText xml:space="preserve"> XE "</w:instrText>
      </w:r>
      <w:r w:rsidR="08163013" w:rsidRPr="00DE2A32">
        <w:instrText>substance</w:instrText>
      </w:r>
      <w:r w:rsidR="08163013">
        <w:instrText xml:space="preserve">:hylemorfická" </w:instrText>
      </w:r>
      <w:r w:rsidR="08163013">
        <w:fldChar w:fldCharType="end"/>
      </w:r>
      <w:r>
        <w:t xml:space="preserve"> je temný</w:t>
      </w:r>
      <w:r w:rsidR="08163013" w:rsidRPr="00273106">
        <w:t xml:space="preserve"> (</w:t>
      </w:r>
      <w:r w:rsidR="08163013" w:rsidRPr="00273106">
        <w:rPr>
          <w:i/>
          <w:szCs w:val="12"/>
        </w:rPr>
        <w:t xml:space="preserve">in </w:t>
      </w:r>
      <w:r w:rsidR="08163013" w:rsidRPr="00273106">
        <w:rPr>
          <w:i/>
          <w:szCs w:val="14"/>
        </w:rPr>
        <w:t>cognitione composita</w:t>
      </w:r>
      <w:r>
        <w:t>). Ale s</w:t>
      </w:r>
      <w:r w:rsidR="08163013" w:rsidRPr="00273106">
        <w:t xml:space="preserve">měrem nahoru </w:t>
      </w:r>
      <w:r>
        <w:t xml:space="preserve">je </w:t>
      </w:r>
      <w:r w:rsidR="08163013" w:rsidRPr="00273106">
        <w:t>stále jasnější</w:t>
      </w:r>
      <w:r>
        <w:t>,</w:t>
      </w:r>
      <w:r w:rsidR="08163013" w:rsidRPr="00273106">
        <w:t xml:space="preserve"> díky spirituální materii</w:t>
      </w:r>
      <w:r w:rsidR="08163013">
        <w:t xml:space="preserve"> a čistým poznávacím formám </w:t>
      </w:r>
      <w:r w:rsidR="08163013" w:rsidRPr="00273106">
        <w:t>(</w:t>
      </w:r>
      <w:r w:rsidR="08163013" w:rsidRPr="00273106">
        <w:rPr>
          <w:i/>
          <w:szCs w:val="13"/>
        </w:rPr>
        <w:t xml:space="preserve">in </w:t>
      </w:r>
      <w:r w:rsidR="08163013" w:rsidRPr="00273106">
        <w:rPr>
          <w:i/>
          <w:szCs w:val="14"/>
        </w:rPr>
        <w:t xml:space="preserve">cognitione </w:t>
      </w:r>
      <w:r w:rsidR="08163013" w:rsidRPr="00273106">
        <w:rPr>
          <w:i/>
          <w:szCs w:val="12"/>
        </w:rPr>
        <w:t>simplici</w:t>
      </w:r>
      <w:r w:rsidR="08163013" w:rsidRPr="00273106">
        <w:t>)</w:t>
      </w:r>
      <w:r w:rsidR="08163013">
        <w:t>. T</w:t>
      </w:r>
      <w:r w:rsidR="08163013" w:rsidRPr="00273106">
        <w:t>ím je poznání pravdivější a jistější</w:t>
      </w:r>
      <w:r w:rsidR="08163013" w:rsidRPr="00E10C22">
        <w:rPr>
          <w:i/>
          <w:szCs w:val="15"/>
        </w:rPr>
        <w:t xml:space="preserve"> </w:t>
      </w:r>
      <w:r w:rsidR="08163013">
        <w:rPr>
          <w:szCs w:val="15"/>
        </w:rPr>
        <w:t>(</w:t>
      </w:r>
      <w:r w:rsidR="08163013" w:rsidRPr="00273106">
        <w:rPr>
          <w:i/>
          <w:szCs w:val="15"/>
        </w:rPr>
        <w:t xml:space="preserve">ad </w:t>
      </w:r>
      <w:r w:rsidR="08163013" w:rsidRPr="00273106">
        <w:rPr>
          <w:i/>
          <w:szCs w:val="16"/>
        </w:rPr>
        <w:t xml:space="preserve">ultimam </w:t>
      </w:r>
      <w:r w:rsidR="08163013" w:rsidRPr="00273106">
        <w:rPr>
          <w:i/>
          <w:szCs w:val="12"/>
        </w:rPr>
        <w:t xml:space="preserve">et </w:t>
      </w:r>
      <w:r w:rsidR="08163013" w:rsidRPr="00273106">
        <w:rPr>
          <w:i/>
          <w:szCs w:val="15"/>
        </w:rPr>
        <w:t xml:space="preserve">certissimam rationem </w:t>
      </w:r>
      <w:r w:rsidR="08163013" w:rsidRPr="00273106">
        <w:rPr>
          <w:i/>
          <w:szCs w:val="14"/>
        </w:rPr>
        <w:t>cognoscendi</w:t>
      </w:r>
      <w:r w:rsidR="08163013" w:rsidRPr="00273106">
        <w:rPr>
          <w:szCs w:val="14"/>
        </w:rPr>
        <w:t>)</w:t>
      </w:r>
      <w:r w:rsidR="00A724F9">
        <w:t>. Moderní myšlení, osvícené b</w:t>
      </w:r>
      <w:r w:rsidR="00A724F9" w:rsidRPr="00A724F9">
        <w:t xml:space="preserve">ohem a sebou samým, hledá subjektivní důkazy a </w:t>
      </w:r>
      <w:r w:rsidR="00A724F9">
        <w:t xml:space="preserve">jistotu jako nový princip bytí. </w:t>
      </w:r>
      <w:r w:rsidR="08163013">
        <w:t>Pecham</w:t>
      </w:r>
      <w:r w:rsidR="08163013" w:rsidRPr="00273106">
        <w:t xml:space="preserve"> dedukuje poznání od ul</w:t>
      </w:r>
      <w:r w:rsidR="08163013">
        <w:t>t</w:t>
      </w:r>
      <w:r w:rsidR="08163013" w:rsidRPr="00273106">
        <w:t xml:space="preserve">imativních božských jistot a principů směrem k nižším formám. </w:t>
      </w:r>
      <w:r w:rsidR="00D16C62">
        <w:t xml:space="preserve">Tento postup zakládá </w:t>
      </w:r>
      <w:r w:rsidR="08163013">
        <w:t xml:space="preserve">první objektivní </w:t>
      </w:r>
      <w:r w:rsidR="00D16C62">
        <w:t xml:space="preserve">formu </w:t>
      </w:r>
      <w:r w:rsidR="08163013" w:rsidRPr="00273106">
        <w:rPr>
          <w:i/>
        </w:rPr>
        <w:t>resolutio</w:t>
      </w:r>
      <w:r w:rsidR="08163013">
        <w:rPr>
          <w:i/>
        </w:rPr>
        <w:fldChar w:fldCharType="begin"/>
      </w:r>
      <w:r w:rsidR="08163013">
        <w:instrText xml:space="preserve"> XE "</w:instrText>
      </w:r>
      <w:r w:rsidR="08163013" w:rsidRPr="00111E9E">
        <w:rPr>
          <w:i/>
        </w:rPr>
        <w:instrText>resolutio</w:instrText>
      </w:r>
      <w:r w:rsidR="08163013">
        <w:rPr>
          <w:i/>
        </w:rPr>
        <w:instrText>:</w:instrText>
      </w:r>
      <w:r w:rsidR="08163013">
        <w:instrText xml:space="preserve">Pecham" </w:instrText>
      </w:r>
      <w:r w:rsidR="08163013">
        <w:rPr>
          <w:i/>
        </w:rPr>
        <w:fldChar w:fldCharType="end"/>
      </w:r>
      <w:r w:rsidR="08163013" w:rsidRPr="00273106">
        <w:t xml:space="preserve"> </w:t>
      </w:r>
      <w:r w:rsidR="00D16C62">
        <w:t>jako ontoteologickou redukci</w:t>
      </w:r>
      <w:r w:rsidR="08163013" w:rsidRPr="00273106">
        <w:t xml:space="preserve"> </w:t>
      </w:r>
      <w:r w:rsidR="08163013">
        <w:t xml:space="preserve">poznání na </w:t>
      </w:r>
      <w:r w:rsidR="08163013" w:rsidRPr="00273106">
        <w:lastRenderedPageBreak/>
        <w:t>p</w:t>
      </w:r>
      <w:r w:rsidR="08163013">
        <w:t>rvní</w:t>
      </w:r>
      <w:r w:rsidR="08163013" w:rsidRPr="00273106">
        <w:t xml:space="preserve"> </w:t>
      </w:r>
      <w:r w:rsidR="08163013">
        <w:t>principy</w:t>
      </w:r>
      <w:r w:rsidR="08163013" w:rsidRPr="00273106">
        <w:t xml:space="preserve">. </w:t>
      </w:r>
      <w:r w:rsidR="08163013">
        <w:t>S</w:t>
      </w:r>
      <w:r w:rsidR="08163013" w:rsidRPr="00273106">
        <w:t xml:space="preserve">mysl </w:t>
      </w:r>
      <w:r w:rsidR="08163013">
        <w:t>jsoucna je ozářen</w:t>
      </w:r>
      <w:r w:rsidR="08163013" w:rsidRPr="00273106">
        <w:t xml:space="preserve"> novým světlem zakládajícím objektivní náhled na jsoucno.</w:t>
      </w:r>
      <w:r w:rsidR="08163013" w:rsidRPr="005F0B27">
        <w:t xml:space="preserve"> </w:t>
      </w:r>
      <w:r w:rsidR="08163013" w:rsidRPr="00273106">
        <w:t>Bonaventurova nauka o druhém patru abstra</w:t>
      </w:r>
      <w:r w:rsidR="08163013">
        <w:t xml:space="preserve">kce odděluje nižší pravdu jako </w:t>
      </w:r>
      <w:r w:rsidR="00E02172">
        <w:t>„</w:t>
      </w:r>
      <w:r w:rsidR="08163013" w:rsidRPr="00273106">
        <w:rPr>
          <w:i/>
        </w:rPr>
        <w:t>similitudo rei</w:t>
      </w:r>
      <w:r w:rsidR="00E02172">
        <w:t>“</w:t>
      </w:r>
      <w:r w:rsidR="08163013">
        <w:t xml:space="preserve"> od vyšší pravdy jako </w:t>
      </w:r>
      <w:r w:rsidR="00E02172">
        <w:t>„</w:t>
      </w:r>
      <w:r w:rsidR="08163013" w:rsidRPr="00273106">
        <w:rPr>
          <w:i/>
        </w:rPr>
        <w:t>impressio veritatis</w:t>
      </w:r>
      <w:r w:rsidR="00E02172">
        <w:t>“</w:t>
      </w:r>
      <w:r w:rsidR="083C18CE">
        <w:t xml:space="preserve"> (kap. 4</w:t>
      </w:r>
      <w:r w:rsidR="08163013" w:rsidRPr="00273106">
        <w:t xml:space="preserve">.1.2). </w:t>
      </w:r>
      <w:r w:rsidR="08163013">
        <w:t xml:space="preserve">Určení jsoucna jako </w:t>
      </w:r>
      <w:r w:rsidR="007171E9">
        <w:t>„</w:t>
      </w:r>
      <w:r w:rsidR="08163013" w:rsidRPr="00E7751E">
        <w:rPr>
          <w:i/>
        </w:rPr>
        <w:t>res</w:t>
      </w:r>
      <w:r w:rsidR="007171E9">
        <w:t>“</w:t>
      </w:r>
      <w:r w:rsidR="08163013">
        <w:t xml:space="preserve"> dostalo metafyzický charakter v rámci objektivní formy </w:t>
      </w:r>
      <w:r w:rsidR="08163013" w:rsidRPr="006833BF">
        <w:rPr>
          <w:i/>
        </w:rPr>
        <w:t>resolutio</w:t>
      </w:r>
      <w:r w:rsidR="08163013">
        <w:t xml:space="preserve">. </w:t>
      </w:r>
      <w:r w:rsidR="08163013">
        <w:rPr>
          <w:szCs w:val="13"/>
        </w:rPr>
        <w:t>Pecham</w:t>
      </w:r>
      <w:r w:rsidR="08163013" w:rsidRPr="00273106">
        <w:rPr>
          <w:szCs w:val="13"/>
        </w:rPr>
        <w:t xml:space="preserve"> systematizoval nauku svého mistra o přirozenu a nadpřirozenu</w:t>
      </w:r>
      <w:r w:rsidR="08163013">
        <w:rPr>
          <w:szCs w:val="13"/>
        </w:rPr>
        <w:t xml:space="preserve"> do první formy objektivní metafyziky</w:t>
      </w:r>
      <w:r w:rsidR="08163013" w:rsidRPr="00273106">
        <w:rPr>
          <w:szCs w:val="13"/>
        </w:rPr>
        <w:t xml:space="preserve">. </w:t>
      </w:r>
      <w:r w:rsidR="08163013">
        <w:t xml:space="preserve">Osvícený intelekt </w:t>
      </w:r>
      <w:r w:rsidR="00D73FE8">
        <w:t xml:space="preserve">pozoruje </w:t>
      </w:r>
      <w:r w:rsidR="08163013">
        <w:t xml:space="preserve">celý </w:t>
      </w:r>
      <w:r w:rsidR="08163013" w:rsidRPr="00273106">
        <w:t xml:space="preserve">postup </w:t>
      </w:r>
      <w:r w:rsidR="08163013">
        <w:t xml:space="preserve">objektivního </w:t>
      </w:r>
      <w:r w:rsidR="08163013" w:rsidRPr="00273106">
        <w:t>zjevová</w:t>
      </w:r>
      <w:r w:rsidR="08163013">
        <w:t>ní jsoucna (</w:t>
      </w:r>
      <w:r w:rsidR="08163013" w:rsidRPr="00C318AC">
        <w:rPr>
          <w:i/>
        </w:rPr>
        <w:t>ostensio</w:t>
      </w:r>
      <w:r w:rsidR="08163013">
        <w:t>).</w:t>
      </w:r>
    </w:p>
    <w:p w:rsidR="00785CF8" w:rsidRDefault="08163013" w:rsidP="08163013">
      <w:pPr>
        <w:pStyle w:val="Citace"/>
        <w:rPr>
          <w:noProof/>
          <w:szCs w:val="17"/>
          <w:lang w:val="cs-CZ"/>
        </w:rPr>
      </w:pPr>
      <w:r w:rsidRPr="00273106">
        <w:rPr>
          <w:noProof/>
          <w:szCs w:val="17"/>
          <w:lang w:val="cs-CZ"/>
        </w:rPr>
        <w:t>„</w:t>
      </w:r>
      <w:r>
        <w:rPr>
          <w:noProof/>
          <w:szCs w:val="17"/>
          <w:lang w:val="cs-CZ"/>
        </w:rPr>
        <w:t>Ke třetímu bodu je třeba říci, že podle Augustina nestvořené světlo ukazuje (</w:t>
      </w:r>
      <w:r w:rsidRPr="0044219E">
        <w:rPr>
          <w:i/>
          <w:noProof/>
          <w:szCs w:val="17"/>
          <w:lang w:val="cs-CZ"/>
        </w:rPr>
        <w:t>ostendit</w:t>
      </w:r>
      <w:r>
        <w:rPr>
          <w:noProof/>
          <w:szCs w:val="17"/>
          <w:lang w:val="cs-CZ"/>
        </w:rPr>
        <w:t>) všechna jsoucna, i když se samo neukazuje jako předmět (</w:t>
      </w:r>
      <w:r w:rsidRPr="005B5E93">
        <w:rPr>
          <w:i/>
          <w:noProof/>
          <w:szCs w:val="16"/>
          <w:lang w:val="cs-CZ"/>
        </w:rPr>
        <w:t xml:space="preserve">nec </w:t>
      </w:r>
      <w:r w:rsidRPr="005B5E93">
        <w:rPr>
          <w:i/>
          <w:noProof/>
          <w:szCs w:val="17"/>
          <w:lang w:val="cs-CZ"/>
        </w:rPr>
        <w:t xml:space="preserve">tamen </w:t>
      </w:r>
      <w:r w:rsidRPr="005B5E93">
        <w:rPr>
          <w:i/>
          <w:noProof/>
          <w:lang w:val="cs-CZ"/>
        </w:rPr>
        <w:t xml:space="preserve">se </w:t>
      </w:r>
      <w:r w:rsidRPr="005B5E93">
        <w:rPr>
          <w:i/>
          <w:noProof/>
          <w:szCs w:val="16"/>
          <w:lang w:val="cs-CZ"/>
        </w:rPr>
        <w:t xml:space="preserve">ipsam </w:t>
      </w:r>
      <w:r w:rsidRPr="005B5E93">
        <w:rPr>
          <w:i/>
          <w:noProof/>
          <w:szCs w:val="13"/>
          <w:lang w:val="cs-CZ"/>
        </w:rPr>
        <w:t>ostendit obiective</w:t>
      </w:r>
      <w:r>
        <w:rPr>
          <w:noProof/>
          <w:szCs w:val="17"/>
          <w:lang w:val="cs-CZ"/>
        </w:rPr>
        <w:t>).</w:t>
      </w:r>
    </w:p>
    <w:p w:rsidR="08163013" w:rsidRPr="00C318AC" w:rsidRDefault="00785CF8" w:rsidP="08163013">
      <w:pPr>
        <w:pStyle w:val="Citace"/>
        <w:rPr>
          <w:noProof/>
          <w:szCs w:val="17"/>
          <w:lang w:val="cs-CZ"/>
        </w:rPr>
      </w:pPr>
      <w:r w:rsidRPr="00785CF8">
        <w:rPr>
          <w:noProof/>
          <w:szCs w:val="17"/>
          <w:lang w:val="cs-CZ"/>
        </w:rPr>
        <w:t xml:space="preserve">Příkladem je </w:t>
      </w:r>
      <w:r>
        <w:rPr>
          <w:noProof/>
          <w:szCs w:val="17"/>
          <w:lang w:val="cs-CZ"/>
        </w:rPr>
        <w:t>species ve viditelné fyzické věci, která</w:t>
      </w:r>
      <w:r w:rsidRPr="00785CF8">
        <w:rPr>
          <w:noProof/>
          <w:szCs w:val="17"/>
          <w:lang w:val="cs-CZ"/>
        </w:rPr>
        <w:t xml:space="preserve"> ukazuje </w:t>
      </w:r>
      <w:r>
        <w:rPr>
          <w:noProof/>
          <w:szCs w:val="17"/>
          <w:lang w:val="cs-CZ"/>
        </w:rPr>
        <w:t xml:space="preserve">jen na to, čeho je species </w:t>
      </w:r>
      <w:r w:rsidRPr="00785CF8">
        <w:rPr>
          <w:noProof/>
          <w:szCs w:val="17"/>
          <w:lang w:val="cs-CZ"/>
        </w:rPr>
        <w:t>(</w:t>
      </w:r>
      <w:r w:rsidRPr="00785CF8">
        <w:rPr>
          <w:i/>
          <w:noProof/>
          <w:szCs w:val="17"/>
          <w:lang w:val="cs-CZ"/>
        </w:rPr>
        <w:t>cuius est species</w:t>
      </w:r>
      <w:r w:rsidRPr="00785CF8">
        <w:rPr>
          <w:noProof/>
          <w:szCs w:val="17"/>
          <w:lang w:val="cs-CZ"/>
        </w:rPr>
        <w:t xml:space="preserve">); </w:t>
      </w:r>
      <w:r w:rsidR="00FD3F3A">
        <w:rPr>
          <w:noProof/>
          <w:szCs w:val="17"/>
          <w:lang w:val="cs-CZ"/>
        </w:rPr>
        <w:t xml:space="preserve">neukazuje však svou podstatu v reálné </w:t>
      </w:r>
      <w:r w:rsidRPr="00785CF8">
        <w:rPr>
          <w:noProof/>
          <w:szCs w:val="17"/>
          <w:lang w:val="cs-CZ"/>
        </w:rPr>
        <w:t>věci (</w:t>
      </w:r>
      <w:r w:rsidRPr="00785CF8">
        <w:rPr>
          <w:i/>
          <w:noProof/>
          <w:szCs w:val="17"/>
          <w:lang w:val="cs-CZ"/>
        </w:rPr>
        <w:t>essentiam suam</w:t>
      </w:r>
      <w:r>
        <w:rPr>
          <w:noProof/>
          <w:szCs w:val="17"/>
          <w:lang w:val="cs-CZ"/>
        </w:rPr>
        <w:t>), ale</w:t>
      </w:r>
      <w:r w:rsidR="08163013">
        <w:rPr>
          <w:noProof/>
          <w:szCs w:val="17"/>
          <w:lang w:val="cs-CZ"/>
        </w:rPr>
        <w:t xml:space="preserve"> jen to, že v rámci podobnosti  s reálnou věcí je </w:t>
      </w:r>
      <w:r>
        <w:rPr>
          <w:noProof/>
          <w:szCs w:val="17"/>
          <w:lang w:val="cs-CZ"/>
        </w:rPr>
        <w:t>esence species něčím odlišným</w:t>
      </w:r>
      <w:r w:rsidR="08163013">
        <w:rPr>
          <w:noProof/>
          <w:szCs w:val="17"/>
          <w:lang w:val="cs-CZ"/>
        </w:rPr>
        <w:t xml:space="preserve">.“ </w:t>
      </w:r>
      <w:r w:rsidR="08163013">
        <w:rPr>
          <w:rStyle w:val="Znakapoznpodarou"/>
        </w:rPr>
        <w:footnoteReference w:id="109"/>
      </w:r>
    </w:p>
    <w:p w:rsidR="0036454A" w:rsidRPr="0036454A" w:rsidRDefault="08163013" w:rsidP="0036454A">
      <w:r w:rsidRPr="00273106">
        <w:t>Augustinovo nestvořené světlo manifest</w:t>
      </w:r>
      <w:r w:rsidR="006A2659">
        <w:t xml:space="preserve">uje </w:t>
      </w:r>
      <w:r w:rsidR="006A2659" w:rsidRPr="00273106">
        <w:t>cel</w:t>
      </w:r>
      <w:r w:rsidR="006A2659">
        <w:t>ek</w:t>
      </w:r>
      <w:r w:rsidR="006A2659" w:rsidRPr="00273106">
        <w:t xml:space="preserve"> </w:t>
      </w:r>
      <w:r w:rsidRPr="00273106">
        <w:t>stvořeného jsoucna (</w:t>
      </w:r>
      <w:r w:rsidRPr="00273106">
        <w:rPr>
          <w:i/>
        </w:rPr>
        <w:t xml:space="preserve">lux increata ipsa ostendit </w:t>
      </w:r>
      <w:r w:rsidRPr="00273106">
        <w:rPr>
          <w:i/>
          <w:szCs w:val="15"/>
        </w:rPr>
        <w:t>omnia</w:t>
      </w:r>
      <w:r w:rsidRPr="00273106">
        <w:t>)</w:t>
      </w:r>
      <w:r>
        <w:t>. Světlo božího intelektu</w:t>
      </w:r>
      <w:r w:rsidR="007657F9">
        <w:fldChar w:fldCharType="begin"/>
      </w:r>
      <w:r w:rsidR="007657F9">
        <w:instrText xml:space="preserve"> XE "</w:instrText>
      </w:r>
      <w:r w:rsidR="007657F9" w:rsidRPr="00355ABF">
        <w:instrText>iluminace</w:instrText>
      </w:r>
      <w:r w:rsidR="007657F9">
        <w:instrText xml:space="preserve">" </w:instrText>
      </w:r>
      <w:r w:rsidR="007657F9">
        <w:fldChar w:fldCharType="end"/>
      </w:r>
      <w:r>
        <w:t xml:space="preserve"> je oddělené</w:t>
      </w:r>
      <w:r w:rsidRPr="00273106">
        <w:t xml:space="preserve"> </w:t>
      </w:r>
      <w:r>
        <w:t xml:space="preserve">od objektivní manifestace jsoucna </w:t>
      </w:r>
      <w:r w:rsidRPr="00273106">
        <w:t>(</w:t>
      </w:r>
      <w:r w:rsidRPr="00273106">
        <w:rPr>
          <w:i/>
        </w:rPr>
        <w:t>nec</w:t>
      </w:r>
      <w:r w:rsidRPr="00273106">
        <w:t xml:space="preserve"> </w:t>
      </w:r>
      <w:r w:rsidRPr="00273106">
        <w:rPr>
          <w:i/>
          <w:szCs w:val="17"/>
        </w:rPr>
        <w:t xml:space="preserve">tamen </w:t>
      </w:r>
      <w:r w:rsidRPr="00273106">
        <w:rPr>
          <w:i/>
        </w:rPr>
        <w:t xml:space="preserve">se </w:t>
      </w:r>
      <w:r w:rsidRPr="00273106">
        <w:rPr>
          <w:i/>
          <w:szCs w:val="16"/>
        </w:rPr>
        <w:t xml:space="preserve">ipsam </w:t>
      </w:r>
      <w:r w:rsidRPr="00273106">
        <w:rPr>
          <w:i/>
        </w:rPr>
        <w:t>ostendit obiective</w:t>
      </w:r>
      <w:r w:rsidRPr="00273106">
        <w:t xml:space="preserve">). Exemplar je příkladem </w:t>
      </w:r>
      <w:r>
        <w:t xml:space="preserve">první </w:t>
      </w:r>
      <w:r w:rsidRPr="00273106">
        <w:t xml:space="preserve">objektivní ostenze, protože </w:t>
      </w:r>
      <w:r w:rsidR="082C3EFE">
        <w:t xml:space="preserve">jako takový </w:t>
      </w:r>
      <w:r w:rsidRPr="00273106">
        <w:t>(</w:t>
      </w:r>
      <w:r w:rsidRPr="00273106">
        <w:rPr>
          <w:i/>
        </w:rPr>
        <w:t>se ipsam</w:t>
      </w:r>
      <w:r>
        <w:t xml:space="preserve">) tvoří </w:t>
      </w:r>
      <w:r w:rsidRPr="00585119">
        <w:rPr>
          <w:i/>
        </w:rPr>
        <w:t>obiectum</w:t>
      </w:r>
      <w:r w:rsidR="082C3EFE">
        <w:t xml:space="preserve"> </w:t>
      </w:r>
      <w:r w:rsidR="00F45A2A">
        <w:t xml:space="preserve">skryté </w:t>
      </w:r>
      <w:r w:rsidR="082C3EFE">
        <w:t>v boží s</w:t>
      </w:r>
      <w:r w:rsidRPr="00273106">
        <w:t xml:space="preserve">tvořitelské mysli. Bůh pro sebe není objektem, protože je </w:t>
      </w:r>
      <w:r>
        <w:t>odděle</w:t>
      </w:r>
      <w:r w:rsidRPr="00273106">
        <w:t xml:space="preserve">ným aktem bytí daným </w:t>
      </w:r>
      <w:r w:rsidRPr="00273106">
        <w:rPr>
          <w:i/>
        </w:rPr>
        <w:t>simpliciter</w:t>
      </w:r>
      <w:r w:rsidRPr="00273106">
        <w:t xml:space="preserve">. </w:t>
      </w:r>
      <w:r>
        <w:t>Ale tvoří objektivní re</w:t>
      </w:r>
      <w:r w:rsidR="00CB1B51">
        <w:t>alitu podle věčně daných stvořitelských</w:t>
      </w:r>
      <w:r w:rsidRPr="00273106">
        <w:t xml:space="preserve"> regul</w:t>
      </w:r>
      <w:r w:rsidR="00CB1B51">
        <w:t>í</w:t>
      </w:r>
      <w:r w:rsidRPr="00273106">
        <w:t>, kter</w:t>
      </w:r>
      <w:r w:rsidR="00CB1B51">
        <w:t xml:space="preserve">é </w:t>
      </w:r>
      <w:r w:rsidRPr="00273106">
        <w:t xml:space="preserve">se </w:t>
      </w:r>
      <w:r w:rsidR="00CB1B51">
        <w:t>manifestují</w:t>
      </w:r>
      <w:r w:rsidRPr="00273106">
        <w:t xml:space="preserve"> v čase a v díle stvoření</w:t>
      </w:r>
      <w:r>
        <w:fldChar w:fldCharType="begin"/>
      </w:r>
      <w:r>
        <w:instrText xml:space="preserve"> XE "</w:instrText>
      </w:r>
      <w:r w:rsidRPr="00C00B72">
        <w:instrText>regule:</w:instrText>
      </w:r>
      <w:r w:rsidRPr="00667D7A">
        <w:rPr>
          <w:i/>
        </w:rPr>
        <w:instrText>agentis increati</w:instrText>
      </w:r>
      <w:r>
        <w:instrText xml:space="preserve">" </w:instrText>
      </w:r>
      <w:r>
        <w:fldChar w:fldCharType="end"/>
      </w:r>
      <w:r w:rsidRPr="00273106">
        <w:t xml:space="preserve">. </w:t>
      </w:r>
      <w:r w:rsidR="085A1BEC">
        <w:t>B</w:t>
      </w:r>
      <w:r w:rsidR="085A1BEC" w:rsidRPr="00273106">
        <w:t xml:space="preserve">ůh </w:t>
      </w:r>
      <w:r w:rsidR="085A1BEC">
        <w:t xml:space="preserve">dostal </w:t>
      </w:r>
      <w:r w:rsidR="085A1BEC" w:rsidRPr="00273106">
        <w:t>jako zvláštní privilegium</w:t>
      </w:r>
      <w:r w:rsidR="085A1BEC">
        <w:t xml:space="preserve"> m</w:t>
      </w:r>
      <w:r>
        <w:t>etafyzické určení</w:t>
      </w:r>
      <w:r w:rsidR="085A1BEC">
        <w:t xml:space="preserve">, které měla </w:t>
      </w:r>
      <w:r w:rsidRPr="00273106">
        <w:t xml:space="preserve">v aristotelismu </w:t>
      </w:r>
      <w:r w:rsidRPr="00273106">
        <w:rPr>
          <w:i/>
        </w:rPr>
        <w:t>simpliciter</w:t>
      </w:r>
      <w:r>
        <w:t xml:space="preserve"> a </w:t>
      </w:r>
      <w:r w:rsidRPr="088E4CF2">
        <w:rPr>
          <w:i/>
        </w:rPr>
        <w:t>per se</w:t>
      </w:r>
      <w:r>
        <w:t xml:space="preserve"> </w:t>
      </w:r>
      <w:r w:rsidR="085A1BEC">
        <w:t xml:space="preserve">každá </w:t>
      </w:r>
      <w:r w:rsidR="080238F9">
        <w:t xml:space="preserve">reálně existující </w:t>
      </w:r>
      <w:r w:rsidR="085A1BEC">
        <w:t>první substance</w:t>
      </w:r>
      <w:r w:rsidRPr="00273106">
        <w:t>. Pro</w:t>
      </w:r>
      <w:r>
        <w:t xml:space="preserve"> zbožné modernisty se </w:t>
      </w:r>
      <w:r w:rsidR="00077FCC">
        <w:t xml:space="preserve">jejich bůh </w:t>
      </w:r>
      <w:r>
        <w:t>stal p</w:t>
      </w:r>
      <w:r w:rsidRPr="00273106">
        <w:t xml:space="preserve">rvní </w:t>
      </w:r>
      <w:r w:rsidR="004D4873" w:rsidRPr="00273106">
        <w:t>nedosažitelnou</w:t>
      </w:r>
      <w:r w:rsidR="004D4873">
        <w:t xml:space="preserve"> </w:t>
      </w:r>
      <w:r w:rsidRPr="00273106">
        <w:t xml:space="preserve">substancí </w:t>
      </w:r>
      <w:r w:rsidR="0012232D">
        <w:t xml:space="preserve">danou </w:t>
      </w:r>
      <w:r w:rsidRPr="00273106">
        <w:rPr>
          <w:i/>
        </w:rPr>
        <w:t>par excellence</w:t>
      </w:r>
      <w:r w:rsidRPr="00273106">
        <w:t xml:space="preserve">. Ale </w:t>
      </w:r>
      <w:r w:rsidR="08AE3B52">
        <w:t xml:space="preserve">bůh se manifestuje </w:t>
      </w:r>
      <w:r w:rsidRPr="00273106">
        <w:rPr>
          <w:i/>
        </w:rPr>
        <w:t>obiective</w:t>
      </w:r>
      <w:r w:rsidRPr="00273106">
        <w:t xml:space="preserve">, protože </w:t>
      </w:r>
      <w:r>
        <w:t xml:space="preserve">exemplárně </w:t>
      </w:r>
      <w:r w:rsidR="08AE3B52">
        <w:t xml:space="preserve">(tj. antropomorficky) </w:t>
      </w:r>
      <w:r w:rsidR="08DE6A55">
        <w:t>myslí a jedná.</w:t>
      </w:r>
      <w:r w:rsidR="080D2D07">
        <w:t xml:space="preserve"> </w:t>
      </w:r>
      <w:r>
        <w:t>Pecham</w:t>
      </w:r>
      <w:r w:rsidRPr="00273106">
        <w:t xml:space="preserve"> dělí poznání na dvě oddělené části. První se týká sféry boží sebereflexe, kde panuje nám</w:t>
      </w:r>
      <w:r w:rsidR="08DE6A55">
        <w:t xml:space="preserve"> nepřístupné světlo boží tváře</w:t>
      </w:r>
      <w:r>
        <w:t>. Toto světlo pak objektivně</w:t>
      </w:r>
      <w:r w:rsidRPr="00273106">
        <w:t xml:space="preserve"> produkuje zbytek stvoření skrze Bonaventuro</w:t>
      </w:r>
      <w:r w:rsidR="0012232D">
        <w:t xml:space="preserve">vy </w:t>
      </w:r>
      <w:r w:rsidR="00C270EF" w:rsidRPr="00C270EF">
        <w:rPr>
          <w:i/>
        </w:rPr>
        <w:t xml:space="preserve">rationes </w:t>
      </w:r>
      <w:r w:rsidR="0012232D">
        <w:rPr>
          <w:i/>
        </w:rPr>
        <w:t xml:space="preserve">exemplares </w:t>
      </w:r>
      <w:r w:rsidR="0012232D" w:rsidRPr="0012232D">
        <w:t>a</w:t>
      </w:r>
      <w:r w:rsidR="003F35D1">
        <w:t xml:space="preserve"> pak</w:t>
      </w:r>
      <w:r w:rsidR="0012232D">
        <w:t xml:space="preserve"> </w:t>
      </w:r>
      <w:r w:rsidR="00C270EF" w:rsidRPr="00C270EF">
        <w:rPr>
          <w:i/>
        </w:rPr>
        <w:t>seminales</w:t>
      </w:r>
      <w:r w:rsidR="00C270EF">
        <w:t>.</w:t>
      </w:r>
      <w:r w:rsidR="08946ADF">
        <w:t xml:space="preserve"> </w:t>
      </w:r>
      <w:r w:rsidRPr="00273106">
        <w:t>Objektivní poznání</w:t>
      </w:r>
      <w:r>
        <w:t xml:space="preserve"> věci představuje vidění věčné</w:t>
      </w:r>
      <w:r w:rsidRPr="00273106">
        <w:t xml:space="preserve"> </w:t>
      </w:r>
      <w:r w:rsidR="08946ADF">
        <w:t xml:space="preserve">exemplární </w:t>
      </w:r>
      <w:r w:rsidR="00962190" w:rsidRPr="00706B36">
        <w:t>species</w:t>
      </w:r>
      <w:r w:rsidR="08946ADF">
        <w:t xml:space="preserve">. Ve druhém kroku dojde k seminální manifestaci této </w:t>
      </w:r>
      <w:r w:rsidR="00962190" w:rsidRPr="0050555F">
        <w:t>species</w:t>
      </w:r>
      <w:r w:rsidR="08946ADF">
        <w:t xml:space="preserve"> </w:t>
      </w:r>
      <w:r w:rsidRPr="00273106">
        <w:t>v materiální věci (</w:t>
      </w:r>
      <w:r w:rsidRPr="00273106">
        <w:rPr>
          <w:i/>
        </w:rPr>
        <w:t xml:space="preserve">ostendit </w:t>
      </w:r>
      <w:r w:rsidRPr="00273106">
        <w:rPr>
          <w:i/>
          <w:szCs w:val="10"/>
        </w:rPr>
        <w:t xml:space="preserve">id, </w:t>
      </w:r>
      <w:r w:rsidRPr="00273106">
        <w:rPr>
          <w:i/>
        </w:rPr>
        <w:t xml:space="preserve">cuius est </w:t>
      </w:r>
      <w:r w:rsidR="00962190">
        <w:rPr>
          <w:i/>
        </w:rPr>
        <w:t>species</w:t>
      </w:r>
      <w:r w:rsidRPr="00273106">
        <w:t xml:space="preserve">). </w:t>
      </w:r>
      <w:r>
        <w:t>Objektivní o</w:t>
      </w:r>
      <w:r w:rsidRPr="00273106">
        <w:t xml:space="preserve">stenze se netýká </w:t>
      </w:r>
      <w:r w:rsidR="0889493B">
        <w:t xml:space="preserve">reálně </w:t>
      </w:r>
      <w:r w:rsidR="08E60BCC" w:rsidRPr="00273106">
        <w:t>existujíc</w:t>
      </w:r>
      <w:r w:rsidR="08E60BCC">
        <w:t>í první substance</w:t>
      </w:r>
      <w:r>
        <w:t xml:space="preserve">, ale objektivně </w:t>
      </w:r>
      <w:r w:rsidR="08BB273B">
        <w:t>dané</w:t>
      </w:r>
      <w:r w:rsidRPr="00273106">
        <w:t xml:space="preserve"> </w:t>
      </w:r>
      <w:r w:rsidR="00962190" w:rsidRPr="00DE3161">
        <w:t>species</w:t>
      </w:r>
      <w:r w:rsidRPr="00273106">
        <w:t xml:space="preserve"> (</w:t>
      </w:r>
      <w:r w:rsidRPr="00273106">
        <w:rPr>
          <w:i/>
          <w:szCs w:val="17"/>
        </w:rPr>
        <w:t>exem</w:t>
      </w:r>
      <w:r w:rsidRPr="00273106">
        <w:rPr>
          <w:i/>
          <w:szCs w:val="16"/>
        </w:rPr>
        <w:t xml:space="preserve">plum </w:t>
      </w:r>
      <w:r w:rsidRPr="00273106">
        <w:rPr>
          <w:i/>
        </w:rPr>
        <w:t>est</w:t>
      </w:r>
      <w:r w:rsidR="08BB273B">
        <w:t xml:space="preserve">). Tento objektivní význam </w:t>
      </w:r>
      <w:r w:rsidRPr="00273106">
        <w:t>se ukazuje prostřednictvím první substance (</w:t>
      </w:r>
      <w:r w:rsidRPr="00273106">
        <w:rPr>
          <w:i/>
        </w:rPr>
        <w:t xml:space="preserve">in specie </w:t>
      </w:r>
      <w:r w:rsidRPr="00273106">
        <w:rPr>
          <w:i/>
          <w:szCs w:val="12"/>
        </w:rPr>
        <w:t xml:space="preserve">rei </w:t>
      </w:r>
      <w:r w:rsidRPr="00273106">
        <w:rPr>
          <w:i/>
          <w:szCs w:val="11"/>
        </w:rPr>
        <w:t xml:space="preserve">visibilis </w:t>
      </w:r>
      <w:r w:rsidRPr="00273106">
        <w:rPr>
          <w:i/>
        </w:rPr>
        <w:lastRenderedPageBreak/>
        <w:t>corporalis</w:t>
      </w:r>
      <w:r w:rsidRPr="00273106">
        <w:t xml:space="preserve">). </w:t>
      </w:r>
      <w:r w:rsidR="08BB273B">
        <w:t>Aktuální první substance tvoří pouze médium poznání a přestala být jedinečným zdrojem pozná</w:t>
      </w:r>
      <w:r w:rsidR="080D2D07">
        <w:t xml:space="preserve">ní, </w:t>
      </w:r>
      <w:r w:rsidR="08BB273B">
        <w:t xml:space="preserve">jako </w:t>
      </w:r>
      <w:r w:rsidR="080D2D07">
        <w:t xml:space="preserve">je to </w:t>
      </w:r>
      <w:r w:rsidR="08BB273B">
        <w:t xml:space="preserve">v aristotelismu. </w:t>
      </w:r>
      <w:r w:rsidRPr="00273106">
        <w:t xml:space="preserve">Vzájemné zrcadlení jedné a druhé formy výskytu </w:t>
      </w:r>
      <w:r>
        <w:t xml:space="preserve">objektivní </w:t>
      </w:r>
      <w:r w:rsidR="00962190" w:rsidRPr="00A12BC9">
        <w:t>species</w:t>
      </w:r>
      <w:r w:rsidRPr="00273106">
        <w:t xml:space="preserve"> (</w:t>
      </w:r>
      <w:r w:rsidRPr="00273106">
        <w:rPr>
          <w:i/>
        </w:rPr>
        <w:t xml:space="preserve">est alterius </w:t>
      </w:r>
      <w:r w:rsidRPr="00273106">
        <w:rPr>
          <w:i/>
          <w:szCs w:val="12"/>
        </w:rPr>
        <w:t>similitudo</w:t>
      </w:r>
      <w:r w:rsidRPr="00273106">
        <w:t xml:space="preserve">) se děje v rámci </w:t>
      </w:r>
      <w:r>
        <w:t xml:space="preserve">specifické </w:t>
      </w:r>
      <w:r w:rsidRPr="00273106">
        <w:t xml:space="preserve">shody rozumu a věci. </w:t>
      </w:r>
      <w:r>
        <w:t xml:space="preserve">Tím začala smrt </w:t>
      </w:r>
      <w:r w:rsidR="00A12BC9">
        <w:t xml:space="preserve">moderního </w:t>
      </w:r>
      <w:r>
        <w:t>boha</w:t>
      </w:r>
      <w:r>
        <w:fldChar w:fldCharType="begin"/>
      </w:r>
      <w:r>
        <w:instrText xml:space="preserve"> XE "</w:instrText>
      </w:r>
      <w:r w:rsidRPr="0832109A">
        <w:instrText>smrt boha</w:instrText>
      </w:r>
      <w:r>
        <w:instrText xml:space="preserve">" </w:instrText>
      </w:r>
      <w:r>
        <w:fldChar w:fldCharType="end"/>
      </w:r>
      <w:r w:rsidR="00A12BC9">
        <w:t>. R</w:t>
      </w:r>
      <w:r>
        <w:t xml:space="preserve">eálná kauzalita </w:t>
      </w:r>
      <w:r w:rsidR="00A12BC9">
        <w:t xml:space="preserve">boha jako aristotelské </w:t>
      </w:r>
      <w:r w:rsidR="00A12BC9" w:rsidRPr="00A12BC9">
        <w:rPr>
          <w:i/>
        </w:rPr>
        <w:t>causa prima</w:t>
      </w:r>
      <w:r w:rsidR="00A12BC9">
        <w:t xml:space="preserve"> byla </w:t>
      </w:r>
      <w:r>
        <w:t>poznatelná vědecky</w:t>
      </w:r>
      <w:r w:rsidR="00A12BC9">
        <w:t xml:space="preserve"> v rámci deduktivního důkazu podle </w:t>
      </w:r>
      <w:r w:rsidR="00A12BC9" w:rsidRPr="08E061DE">
        <w:rPr>
          <w:i/>
        </w:rPr>
        <w:t>Druhých analytik</w:t>
      </w:r>
      <w:r w:rsidR="00A12BC9">
        <w:t xml:space="preserve">. Kauzalita byla vyměněna za exemplární racionalitu poznatelnou v rámci mytologické objektivity. Nová dedukce popisuje sestup hypostázovaných forem podle scénáře </w:t>
      </w:r>
      <w:r w:rsidR="00A12BC9" w:rsidRPr="08E061DE">
        <w:rPr>
          <w:i/>
        </w:rPr>
        <w:t>Liber de causis</w:t>
      </w:r>
      <w:r w:rsidR="00A12BC9">
        <w:t xml:space="preserve">. </w:t>
      </w:r>
      <w:r>
        <w:t>Moderní bůh se stal objektivním simulákrem stvořeným k obrazu moderního virtuálního subjektu</w:t>
      </w:r>
      <w:r w:rsidR="00A12BC9">
        <w:t xml:space="preserve">. Až </w:t>
      </w:r>
      <w:r>
        <w:t xml:space="preserve">do 19. století statečně sdílel s moderním subjektem jeho paranoické poznání a schizofrenickou existenci. V epoše moderního nihilismu pak </w:t>
      </w:r>
      <w:r w:rsidR="00A12BC9">
        <w:t>tento b</w:t>
      </w:r>
      <w:r>
        <w:t>ůh zemřel metafyzickou</w:t>
      </w:r>
      <w:r w:rsidR="00A12BC9">
        <w:t xml:space="preserve"> smrtí, </w:t>
      </w:r>
      <w:r w:rsidR="080D2D07">
        <w:t>stejně jako jeho tvůrce.</w:t>
      </w:r>
      <w:r w:rsidR="00A12BC9">
        <w:t xml:space="preserve"> </w:t>
      </w:r>
      <w:r w:rsidR="0036454A">
        <w:t>Důležitá citace z CMDA (OBJ I, kap. 2.4.3) připomněla</w:t>
      </w:r>
      <w:r w:rsidR="0036454A" w:rsidRPr="0036454A">
        <w:t>, že mylné myšlenky nemají návaznost na přirozené dění, protože nesledují přirozený běh věcí a nejsou spjaté s přírodním řádem. Tím jsou něco</w:t>
      </w:r>
      <w:r w:rsidR="0036454A">
        <w:t xml:space="preserve"> nechtěného</w:t>
      </w:r>
      <w:r w:rsidR="0036454A" w:rsidRPr="0036454A">
        <w:t>, jako například šestý prst nebo monstra v přírodě.</w:t>
      </w:r>
      <w:r w:rsidR="0036454A">
        <w:t xml:space="preserve"> M</w:t>
      </w:r>
      <w:r w:rsidR="0036454A" w:rsidRPr="00995494">
        <w:t xml:space="preserve">etafyzická smrt </w:t>
      </w:r>
      <w:r w:rsidR="0036454A">
        <w:t xml:space="preserve">moderního boha a moderního subjektu </w:t>
      </w:r>
      <w:r w:rsidR="0036454A" w:rsidRPr="00995494">
        <w:t>(ale ne jejich zrození) byla nevyhnutelnou událostí předurčenou na základě moderní logické nutnosti</w:t>
      </w:r>
      <w:r w:rsidR="00340239">
        <w:t xml:space="preserve">, která dostala </w:t>
      </w:r>
      <w:r w:rsidR="0036454A">
        <w:t>démonick</w:t>
      </w:r>
      <w:r w:rsidR="00340239">
        <w:t xml:space="preserve">ý </w:t>
      </w:r>
      <w:r w:rsidR="0036454A">
        <w:t>charakter</w:t>
      </w:r>
      <w:r w:rsidR="0036454A" w:rsidRPr="00995494">
        <w:t>.</w:t>
      </w:r>
      <w:r w:rsidR="0036454A">
        <w:t xml:space="preserve"> </w:t>
      </w:r>
    </w:p>
    <w:p w:rsidR="08163013" w:rsidRPr="08946ADF" w:rsidRDefault="08163013" w:rsidP="080D2D07">
      <w:pPr>
        <w:ind w:firstLine="397"/>
        <w:rPr>
          <w:szCs w:val="13"/>
        </w:rPr>
      </w:pPr>
      <w:r>
        <w:rPr>
          <w:szCs w:val="13"/>
        </w:rPr>
        <w:t xml:space="preserve">Pecham oddělil objektivní a reálné bytí věci a vytvořil objektivní pojetí pravdy jako adekvace </w:t>
      </w:r>
      <w:r w:rsidR="003B0664">
        <w:rPr>
          <w:szCs w:val="13"/>
        </w:rPr>
        <w:t xml:space="preserve">různých </w:t>
      </w:r>
      <w:r w:rsidR="00962190" w:rsidRPr="003B0664">
        <w:rPr>
          <w:szCs w:val="13"/>
        </w:rPr>
        <w:t>species</w:t>
      </w:r>
      <w:r>
        <w:rPr>
          <w:szCs w:val="13"/>
        </w:rPr>
        <w:t xml:space="preserve"> třetího druhu. </w:t>
      </w:r>
      <w:r w:rsidR="00AB013F">
        <w:rPr>
          <w:szCs w:val="13"/>
        </w:rPr>
        <w:t xml:space="preserve">Manifestace </w:t>
      </w:r>
      <w:r w:rsidRPr="00273106">
        <w:rPr>
          <w:szCs w:val="13"/>
        </w:rPr>
        <w:t xml:space="preserve">jsoucna se primárně netýká bytí věci existující mimo nás, ale bytí </w:t>
      </w:r>
      <w:r>
        <w:rPr>
          <w:szCs w:val="13"/>
        </w:rPr>
        <w:t>věčné</w:t>
      </w:r>
      <w:r w:rsidRPr="00273106">
        <w:rPr>
          <w:szCs w:val="13"/>
        </w:rPr>
        <w:t xml:space="preserve"> </w:t>
      </w:r>
      <w:r w:rsidR="00962190" w:rsidRPr="003673B1">
        <w:rPr>
          <w:szCs w:val="13"/>
        </w:rPr>
        <w:t>species</w:t>
      </w:r>
      <w:r>
        <w:rPr>
          <w:szCs w:val="13"/>
        </w:rPr>
        <w:t>, která</w:t>
      </w:r>
      <w:r w:rsidRPr="00273106">
        <w:rPr>
          <w:szCs w:val="13"/>
        </w:rPr>
        <w:t xml:space="preserve"> se aktualizuje kontingentním způsobem skrze </w:t>
      </w:r>
      <w:r>
        <w:rPr>
          <w:szCs w:val="13"/>
        </w:rPr>
        <w:t>materii</w:t>
      </w:r>
      <w:r w:rsidRPr="00273106">
        <w:rPr>
          <w:szCs w:val="13"/>
        </w:rPr>
        <w:t>.</w:t>
      </w:r>
      <w:r>
        <w:rPr>
          <w:szCs w:val="13"/>
        </w:rPr>
        <w:t xml:space="preserve"> </w:t>
      </w:r>
      <w:r w:rsidRPr="00273106">
        <w:rPr>
          <w:szCs w:val="13"/>
        </w:rPr>
        <w:t>V rovině stvoření běž</w:t>
      </w:r>
      <w:r>
        <w:rPr>
          <w:szCs w:val="13"/>
        </w:rPr>
        <w:t>í objektivní proces poznání, v němž</w:t>
      </w:r>
      <w:r w:rsidRPr="00273106">
        <w:rPr>
          <w:szCs w:val="13"/>
        </w:rPr>
        <w:t xml:space="preserve"> dochází k manifestaci zmíněných exemplarů skrze kontingentní </w:t>
      </w:r>
      <w:r w:rsidR="00962190" w:rsidRPr="008A79FF">
        <w:rPr>
          <w:szCs w:val="13"/>
        </w:rPr>
        <w:t>species</w:t>
      </w:r>
      <w:r w:rsidRPr="00273106">
        <w:rPr>
          <w:szCs w:val="13"/>
        </w:rPr>
        <w:t xml:space="preserve"> aktualizovaných v materiální věci (</w:t>
      </w:r>
      <w:r w:rsidRPr="00273106">
        <w:rPr>
          <w:i/>
        </w:rPr>
        <w:t xml:space="preserve">specie </w:t>
      </w:r>
      <w:r w:rsidRPr="00273106">
        <w:rPr>
          <w:i/>
          <w:szCs w:val="12"/>
        </w:rPr>
        <w:t xml:space="preserve">rei </w:t>
      </w:r>
      <w:r w:rsidRPr="00273106">
        <w:rPr>
          <w:i/>
          <w:szCs w:val="11"/>
        </w:rPr>
        <w:t xml:space="preserve">visibilis </w:t>
      </w:r>
      <w:r w:rsidRPr="00273106">
        <w:rPr>
          <w:i/>
          <w:szCs w:val="13"/>
        </w:rPr>
        <w:t>corporalis</w:t>
      </w:r>
      <w:r w:rsidRPr="00273106">
        <w:rPr>
          <w:szCs w:val="13"/>
        </w:rPr>
        <w:t xml:space="preserve">). Znovu se opakuje </w:t>
      </w:r>
      <w:r>
        <w:rPr>
          <w:szCs w:val="13"/>
        </w:rPr>
        <w:t xml:space="preserve">porretánský scénář </w:t>
      </w:r>
      <w:r w:rsidR="002642E2">
        <w:rPr>
          <w:szCs w:val="13"/>
        </w:rPr>
        <w:t>„</w:t>
      </w:r>
      <w:r w:rsidRPr="00273106">
        <w:rPr>
          <w:i/>
          <w:szCs w:val="13"/>
        </w:rPr>
        <w:t>exsistere</w:t>
      </w:r>
      <w:r w:rsidR="002642E2">
        <w:rPr>
          <w:szCs w:val="13"/>
        </w:rPr>
        <w:t>“</w:t>
      </w:r>
      <w:r>
        <w:rPr>
          <w:i/>
          <w:szCs w:val="13"/>
        </w:rPr>
        <w:fldChar w:fldCharType="begin"/>
      </w:r>
      <w:r>
        <w:instrText xml:space="preserve"> XE "</w:instrText>
      </w:r>
      <w:r w:rsidRPr="008E07A9">
        <w:rPr>
          <w:i/>
        </w:rPr>
        <w:instrText>exsistere</w:instrText>
      </w:r>
      <w:r>
        <w:instrText xml:space="preserve">" </w:instrText>
      </w:r>
      <w:r>
        <w:rPr>
          <w:i/>
          <w:szCs w:val="13"/>
        </w:rPr>
        <w:fldChar w:fldCharType="end"/>
      </w:r>
      <w:r w:rsidR="00EE0790">
        <w:rPr>
          <w:szCs w:val="13"/>
        </w:rPr>
        <w:t>. Tr</w:t>
      </w:r>
      <w:r w:rsidRPr="00273106">
        <w:rPr>
          <w:szCs w:val="13"/>
        </w:rPr>
        <w:t>valá esence dostane kontingentní</w:t>
      </w:r>
      <w:r>
        <w:rPr>
          <w:szCs w:val="13"/>
        </w:rPr>
        <w:t xml:space="preserve"> charakter v reálné první substanci. Ale exemplární esence může „exsistovat“ i bez této finální aktualizace v realitě, protože je vytvořena v modu </w:t>
      </w:r>
      <w:r w:rsidRPr="08DB1961">
        <w:rPr>
          <w:i/>
          <w:szCs w:val="13"/>
        </w:rPr>
        <w:t>semel</w:t>
      </w:r>
      <w:r>
        <w:rPr>
          <w:szCs w:val="13"/>
        </w:rPr>
        <w:t>‒</w:t>
      </w:r>
      <w:r w:rsidRPr="08DB1961">
        <w:rPr>
          <w:i/>
          <w:szCs w:val="13"/>
        </w:rPr>
        <w:t>semper</w:t>
      </w:r>
      <w:r>
        <w:rPr>
          <w:i/>
        </w:rPr>
        <w:fldChar w:fldCharType="begin"/>
      </w:r>
      <w:r>
        <w:instrText xml:space="preserve"> XE "predikace:</w:instrText>
      </w:r>
      <w:r w:rsidRPr="08DF166F">
        <w:rPr>
          <w:i/>
        </w:rPr>
        <w:instrText>semel</w:instrText>
      </w:r>
      <w:r w:rsidRPr="08DF166F">
        <w:instrText>‒</w:instrText>
      </w:r>
      <w:r w:rsidRPr="08DF166F">
        <w:rPr>
          <w:i/>
        </w:rPr>
        <w:instrText>semper</w:instrText>
      </w:r>
      <w:r>
        <w:instrText xml:space="preserve">" </w:instrText>
      </w:r>
      <w:r>
        <w:rPr>
          <w:i/>
        </w:rPr>
        <w:fldChar w:fldCharType="end"/>
      </w:r>
      <w:r>
        <w:rPr>
          <w:szCs w:val="13"/>
        </w:rPr>
        <w:t xml:space="preserve"> jako intencionální předmět božího intelektu. O</w:t>
      </w:r>
      <w:r w:rsidRPr="00273106">
        <w:rPr>
          <w:szCs w:val="13"/>
        </w:rPr>
        <w:t xml:space="preserve">bjektivně dané </w:t>
      </w:r>
      <w:r>
        <w:rPr>
          <w:szCs w:val="13"/>
        </w:rPr>
        <w:t xml:space="preserve">jsoucno v boží mysli má objektivní aktualizaci ve stvoření skrze </w:t>
      </w:r>
      <w:r w:rsidRPr="081B110B">
        <w:rPr>
          <w:i/>
          <w:szCs w:val="13"/>
        </w:rPr>
        <w:t>ratio seminalis</w:t>
      </w:r>
      <w:r w:rsidRPr="00273106">
        <w:rPr>
          <w:szCs w:val="13"/>
        </w:rPr>
        <w:t>.</w:t>
      </w:r>
      <w:r>
        <w:rPr>
          <w:szCs w:val="13"/>
        </w:rPr>
        <w:t xml:space="preserve"> Ale tento mytopoetický sestup božího myšlení do objektivní „exsistence“ vidí jen zasvěcení </w:t>
      </w:r>
      <w:proofErr w:type="gramStart"/>
      <w:r>
        <w:rPr>
          <w:szCs w:val="13"/>
        </w:rPr>
        <w:t>modernisté</w:t>
      </w:r>
      <w:r w:rsidR="00F4508D">
        <w:rPr>
          <w:szCs w:val="13"/>
        </w:rPr>
        <w:t>,  kteří</w:t>
      </w:r>
      <w:proofErr w:type="gramEnd"/>
      <w:r w:rsidR="00F4508D">
        <w:rPr>
          <w:szCs w:val="13"/>
        </w:rPr>
        <w:t xml:space="preserve"> zvládli Bonaventurovu </w:t>
      </w:r>
      <w:r w:rsidR="00F4508D" w:rsidRPr="081370D5">
        <w:rPr>
          <w:i/>
          <w:szCs w:val="13"/>
        </w:rPr>
        <w:t>epoché</w:t>
      </w:r>
      <w:r w:rsidR="00F4508D">
        <w:rPr>
          <w:szCs w:val="13"/>
        </w:rPr>
        <w:t xml:space="preserve">. Pak jsou </w:t>
      </w:r>
      <w:r>
        <w:rPr>
          <w:szCs w:val="13"/>
        </w:rPr>
        <w:t xml:space="preserve">schopni eidetického náhledu </w:t>
      </w:r>
      <w:r w:rsidR="008D266E">
        <w:rPr>
          <w:szCs w:val="13"/>
        </w:rPr>
        <w:t>na celek objek</w:t>
      </w:r>
      <w:r w:rsidR="00F4508D">
        <w:rPr>
          <w:szCs w:val="13"/>
        </w:rPr>
        <w:t xml:space="preserve">tivního jsoucna </w:t>
      </w:r>
      <w:r>
        <w:rPr>
          <w:szCs w:val="13"/>
        </w:rPr>
        <w:t>(</w:t>
      </w:r>
      <w:r w:rsidR="00F4508D">
        <w:rPr>
          <w:i/>
        </w:rPr>
        <w:t xml:space="preserve">intellectus resolvens </w:t>
      </w:r>
      <w:r w:rsidRPr="00273106">
        <w:rPr>
          <w:i/>
        </w:rPr>
        <w:t>plene</w:t>
      </w:r>
      <w:r>
        <w:t xml:space="preserve">, </w:t>
      </w:r>
      <w:r w:rsidR="08BA1E41">
        <w:rPr>
          <w:szCs w:val="13"/>
        </w:rPr>
        <w:t>kap. 4</w:t>
      </w:r>
      <w:r>
        <w:rPr>
          <w:szCs w:val="13"/>
        </w:rPr>
        <w:t xml:space="preserve">.1.1). </w:t>
      </w:r>
      <w:r w:rsidRPr="00273106">
        <w:rPr>
          <w:szCs w:val="13"/>
        </w:rPr>
        <w:t xml:space="preserve">Rozum </w:t>
      </w:r>
      <w:r>
        <w:rPr>
          <w:szCs w:val="13"/>
        </w:rPr>
        <w:t xml:space="preserve">ilumináta </w:t>
      </w:r>
      <w:r w:rsidRPr="00273106">
        <w:rPr>
          <w:szCs w:val="13"/>
        </w:rPr>
        <w:t xml:space="preserve">porovnává oba druhy </w:t>
      </w:r>
      <w:r w:rsidR="00962190" w:rsidRPr="003372A4">
        <w:rPr>
          <w:szCs w:val="13"/>
        </w:rPr>
        <w:t>species</w:t>
      </w:r>
      <w:r w:rsidRPr="00273106">
        <w:rPr>
          <w:szCs w:val="13"/>
        </w:rPr>
        <w:t xml:space="preserve"> (trvalé versus kontigentní), proto potřebuje první substanci </w:t>
      </w:r>
      <w:r>
        <w:rPr>
          <w:szCs w:val="13"/>
        </w:rPr>
        <w:t xml:space="preserve">danou v realitě pouze </w:t>
      </w:r>
      <w:r w:rsidRPr="00273106">
        <w:rPr>
          <w:szCs w:val="13"/>
        </w:rPr>
        <w:t xml:space="preserve">jako </w:t>
      </w:r>
      <w:r>
        <w:rPr>
          <w:szCs w:val="13"/>
        </w:rPr>
        <w:t>dodatečný zdroj předem jistého a evidentního poznání.</w:t>
      </w:r>
      <w:r>
        <w:t xml:space="preserve"> </w:t>
      </w:r>
      <w:r>
        <w:lastRenderedPageBreak/>
        <w:t xml:space="preserve">Záměnou principu </w:t>
      </w:r>
      <w:r w:rsidR="00042636">
        <w:t>„</w:t>
      </w:r>
      <w:r w:rsidR="08A649EB" w:rsidRPr="08A649EB">
        <w:rPr>
          <w:i/>
        </w:rPr>
        <w:t>ex</w:t>
      </w:r>
      <w:r w:rsidR="08A649EB">
        <w:t xml:space="preserve"> </w:t>
      </w:r>
      <w:r w:rsidR="08A649EB">
        <w:rPr>
          <w:i/>
        </w:rPr>
        <w:t>in</w:t>
      </w:r>
      <w:r w:rsidRPr="00F03258">
        <w:rPr>
          <w:i/>
        </w:rPr>
        <w:t>mediat</w:t>
      </w:r>
      <w:r w:rsidR="08A649EB">
        <w:rPr>
          <w:i/>
        </w:rPr>
        <w:t>is</w:t>
      </w:r>
      <w:r w:rsidR="00042636">
        <w:t>“</w:t>
      </w:r>
      <w:r>
        <w:t xml:space="preserve"> ve </w:t>
      </w:r>
      <w:r w:rsidRPr="0813035E">
        <w:rPr>
          <w:i/>
        </w:rPr>
        <w:t>Druhých analytikách</w:t>
      </w:r>
      <w:r>
        <w:t xml:space="preserve"> za její subjektivní verzi danou v pojmu </w:t>
      </w:r>
      <w:r w:rsidR="00042636">
        <w:t>„</w:t>
      </w:r>
      <w:r w:rsidRPr="00F03258">
        <w:rPr>
          <w:i/>
        </w:rPr>
        <w:t>inmediate</w:t>
      </w:r>
      <w:r w:rsidR="00042636">
        <w:t>“</w:t>
      </w:r>
      <w:r>
        <w:t xml:space="preserve"> vznikla objektivní psychologie poznání daná univočně pro boha i pro člověka</w:t>
      </w:r>
      <w:r>
        <w:fldChar w:fldCharType="begin"/>
      </w:r>
      <w:r>
        <w:instrText xml:space="preserve"> XE "</w:instrText>
      </w:r>
      <w:r w:rsidRPr="00EB00FC">
        <w:instrText xml:space="preserve">princip </w:instrText>
      </w:r>
      <w:r w:rsidR="08A649EB">
        <w:rPr>
          <w:i/>
        </w:rPr>
        <w:instrText>ex in</w:instrText>
      </w:r>
      <w:r w:rsidRPr="00AA4C3F">
        <w:rPr>
          <w:i/>
        </w:rPr>
        <w:instrText>mediatis</w:instrText>
      </w:r>
      <w:r>
        <w:instrText xml:space="preserve">" </w:instrText>
      </w:r>
      <w:r>
        <w:fldChar w:fldCharType="end"/>
      </w:r>
      <w:r>
        <w:t xml:space="preserve">. Moderna </w:t>
      </w:r>
      <w:r w:rsidRPr="00273106">
        <w:t>zredukoval</w:t>
      </w:r>
      <w:r>
        <w:t>a</w:t>
      </w:r>
      <w:r w:rsidRPr="00273106">
        <w:t xml:space="preserve"> metafyziku na noetiku</w:t>
      </w:r>
      <w:r>
        <w:t xml:space="preserve"> a na psychologii a spustila nov</w:t>
      </w:r>
      <w:r w:rsidR="00087A24">
        <w:t xml:space="preserve">é dějiny působení </w:t>
      </w:r>
      <w:r w:rsidRPr="00747A45">
        <w:rPr>
          <w:i/>
        </w:rPr>
        <w:t>Oxfordian Fallacy</w:t>
      </w:r>
      <w:r>
        <w:t xml:space="preserve">. Pecham posunul hyparchické určení první substance z reality </w:t>
      </w:r>
      <w:r w:rsidRPr="00273106">
        <w:t xml:space="preserve">do </w:t>
      </w:r>
      <w:r>
        <w:t xml:space="preserve">virtuality </w:t>
      </w:r>
      <w:r w:rsidRPr="00273106">
        <w:t>intelektuálního nazírání</w:t>
      </w:r>
      <w:r>
        <w:t>.</w:t>
      </w:r>
    </w:p>
    <w:p w:rsidR="08163013" w:rsidRDefault="08163013" w:rsidP="08163013">
      <w:pPr>
        <w:pStyle w:val="Citace"/>
      </w:pPr>
      <w:r w:rsidRPr="00273106">
        <w:rPr>
          <w:noProof/>
          <w:lang w:val="cs-CZ"/>
        </w:rPr>
        <w:t>„</w:t>
      </w:r>
      <w:r>
        <w:rPr>
          <w:noProof/>
          <w:lang w:val="cs-CZ"/>
        </w:rPr>
        <w:t>Věci, které jsou v intelektu esenciálně (</w:t>
      </w:r>
      <w:r w:rsidRPr="001E5639">
        <w:rPr>
          <w:i/>
          <w:noProof/>
        </w:rPr>
        <w:t>sunt essentialiter in intellectu</w:t>
      </w:r>
      <w:r>
        <w:rPr>
          <w:noProof/>
          <w:lang w:val="cs-CZ"/>
        </w:rPr>
        <w:t>), jsou dány v řádu podobnosti tím, že schopnost poznání přímo asimiluje tento poznatek (</w:t>
      </w:r>
      <w:r w:rsidRPr="00F03258">
        <w:rPr>
          <w:i/>
          <w:noProof/>
        </w:rPr>
        <w:t>potentia cognitiva assimilatur ipsi cognoscibili</w:t>
      </w:r>
      <w:r>
        <w:rPr>
          <w:noProof/>
          <w:lang w:val="cs-CZ"/>
        </w:rPr>
        <w:t>). Tím může</w:t>
      </w:r>
      <w:r w:rsidR="006D0AA9">
        <w:rPr>
          <w:noProof/>
          <w:lang w:val="cs-CZ"/>
        </w:rPr>
        <w:t>me</w:t>
      </w:r>
      <w:r>
        <w:rPr>
          <w:noProof/>
          <w:lang w:val="cs-CZ"/>
        </w:rPr>
        <w:t xml:space="preserve"> přímo nazírat to, co je v intelektu přítomné skrze sebe samo (</w:t>
      </w:r>
      <w:r w:rsidRPr="00236106">
        <w:rPr>
          <w:i/>
          <w:noProof/>
          <w:lang w:val="cs-CZ"/>
        </w:rPr>
        <w:t>per se est praesens intellectui</w:t>
      </w:r>
      <w:r>
        <w:rPr>
          <w:noProof/>
          <w:lang w:val="cs-CZ"/>
        </w:rPr>
        <w:t xml:space="preserve">).“ </w:t>
      </w:r>
      <w:r>
        <w:rPr>
          <w:rStyle w:val="Znakapoznpodarou"/>
        </w:rPr>
        <w:footnoteReference w:id="110"/>
      </w:r>
    </w:p>
    <w:p w:rsidR="00A3114D" w:rsidRDefault="00E67823" w:rsidP="00A3114D">
      <w:r>
        <w:t>I</w:t>
      </w:r>
      <w:r w:rsidR="08163013" w:rsidRPr="00273106">
        <w:t>ntelekt</w:t>
      </w:r>
      <w:r>
        <w:t xml:space="preserve"> jako Rufusova</w:t>
      </w:r>
      <w:r w:rsidR="08163013" w:rsidRPr="00273106">
        <w:t xml:space="preserve"> </w:t>
      </w:r>
      <w:r w:rsidR="08163013" w:rsidRPr="00273106">
        <w:rPr>
          <w:i/>
        </w:rPr>
        <w:t>potentia substantialis</w:t>
      </w:r>
      <w:r w:rsidR="08163013">
        <w:rPr>
          <w:i/>
        </w:rPr>
        <w:fldChar w:fldCharType="begin"/>
      </w:r>
      <w:r w:rsidR="08163013">
        <w:instrText xml:space="preserve"> XE "</w:instrText>
      </w:r>
      <w:r w:rsidR="08163013" w:rsidRPr="00263A8E">
        <w:rPr>
          <w:i/>
        </w:rPr>
        <w:instrText>potentia substantialis</w:instrText>
      </w:r>
      <w:r w:rsidR="08163013">
        <w:instrText xml:space="preserve">" </w:instrText>
      </w:r>
      <w:r w:rsidR="08163013">
        <w:rPr>
          <w:i/>
        </w:rPr>
        <w:fldChar w:fldCharType="end"/>
      </w:r>
      <w:r w:rsidR="08163013" w:rsidRPr="00273106">
        <w:t xml:space="preserve"> (</w:t>
      </w:r>
      <w:r w:rsidR="08BA1E41">
        <w:t>OBJ II, kap. 3</w:t>
      </w:r>
      <w:r w:rsidR="08163013" w:rsidRPr="00273106">
        <w:t xml:space="preserve">.3.1), </w:t>
      </w:r>
      <w:r w:rsidR="08163013">
        <w:t xml:space="preserve">poznává </w:t>
      </w:r>
      <w:r>
        <w:t xml:space="preserve">esence </w:t>
      </w:r>
      <w:r w:rsidR="08163013">
        <w:t xml:space="preserve">skrze přímý náhled </w:t>
      </w:r>
      <w:r w:rsidR="08163013" w:rsidRPr="00273106">
        <w:t>(</w:t>
      </w:r>
      <w:r w:rsidR="08163013" w:rsidRPr="00273106">
        <w:rPr>
          <w:i/>
        </w:rPr>
        <w:t>illa quae sunt essentialiter in intellectu</w:t>
      </w:r>
      <w:r w:rsidR="08163013" w:rsidRPr="00273106">
        <w:t>).</w:t>
      </w:r>
      <w:r w:rsidR="006E7B60">
        <w:t xml:space="preserve"> Tím dostane </w:t>
      </w:r>
      <w:r w:rsidR="00080DFF">
        <w:t xml:space="preserve">intelekt </w:t>
      </w:r>
      <w:r w:rsidR="006E7B60">
        <w:t>Rufusovo</w:t>
      </w:r>
      <w:r w:rsidR="00250235">
        <w:t xml:space="preserve"> univerzální</w:t>
      </w:r>
      <w:r w:rsidR="08163013">
        <w:t xml:space="preserve"> </w:t>
      </w:r>
      <w:r w:rsidR="08163013" w:rsidRPr="00630193">
        <w:rPr>
          <w:i/>
        </w:rPr>
        <w:t>scibile</w:t>
      </w:r>
      <w:r w:rsidR="08163013">
        <w:rPr>
          <w:i/>
        </w:rPr>
        <w:fldChar w:fldCharType="begin"/>
      </w:r>
      <w:r w:rsidR="08163013">
        <w:instrText xml:space="preserve"> XE "</w:instrText>
      </w:r>
      <w:r w:rsidR="08163013" w:rsidRPr="00AA4F67">
        <w:rPr>
          <w:i/>
        </w:rPr>
        <w:instrText>scibile</w:instrText>
      </w:r>
      <w:r w:rsidR="08163013">
        <w:rPr>
          <w:i/>
        </w:rPr>
        <w:instrText>:</w:instrText>
      </w:r>
      <w:r w:rsidR="08163013" w:rsidRPr="00AA4C3F">
        <w:instrText>Pecham</w:instrText>
      </w:r>
      <w:r w:rsidR="08163013">
        <w:instrText xml:space="preserve">" </w:instrText>
      </w:r>
      <w:r w:rsidR="08163013">
        <w:rPr>
          <w:i/>
        </w:rPr>
        <w:fldChar w:fldCharType="end"/>
      </w:r>
      <w:r w:rsidR="08163013">
        <w:t xml:space="preserve">, které je dáno ve věcech a v intelektu stejným způsobem </w:t>
      </w:r>
      <w:r w:rsidR="08163013" w:rsidRPr="00273106">
        <w:t>(</w:t>
      </w:r>
      <w:r w:rsidR="08163013" w:rsidRPr="00273106">
        <w:rPr>
          <w:i/>
        </w:rPr>
        <w:t>per similitudinem</w:t>
      </w:r>
      <w:r w:rsidR="007C16AB">
        <w:t xml:space="preserve">). Podobnost nejde k věcem </w:t>
      </w:r>
      <w:r w:rsidR="08163013" w:rsidRPr="00273106">
        <w:t xml:space="preserve">v realitě, ale k vyšší pravdě dané nazíráním toho, co </w:t>
      </w:r>
      <w:r w:rsidR="08163013">
        <w:t xml:space="preserve">je </w:t>
      </w:r>
      <w:r w:rsidR="08013C19">
        <w:t xml:space="preserve">objektivně </w:t>
      </w:r>
      <w:r w:rsidR="08163013" w:rsidRPr="00273106">
        <w:t>poznatelné jako takové (</w:t>
      </w:r>
      <w:r w:rsidR="08163013">
        <w:rPr>
          <w:i/>
        </w:rPr>
        <w:t>ipsum</w:t>
      </w:r>
      <w:r w:rsidR="08163013" w:rsidRPr="00273106">
        <w:rPr>
          <w:i/>
        </w:rPr>
        <w:t xml:space="preserve"> cognoscibil</w:t>
      </w:r>
      <w:r w:rsidR="08163013">
        <w:rPr>
          <w:i/>
        </w:rPr>
        <w:t>e</w:t>
      </w:r>
      <w:r w:rsidR="08163013">
        <w:t xml:space="preserve">). Toto určení přidalo k Rufusově pojetí pravdy jako specifické rovnosti </w:t>
      </w:r>
      <w:r w:rsidR="08706BAE">
        <w:t>(</w:t>
      </w:r>
      <w:r w:rsidR="08706BAE" w:rsidRPr="08706BAE">
        <w:rPr>
          <w:i/>
        </w:rPr>
        <w:t>coaequatio</w:t>
      </w:r>
      <w:r w:rsidR="08706BAE">
        <w:t xml:space="preserve">) </w:t>
      </w:r>
      <w:r w:rsidR="08163013">
        <w:t xml:space="preserve">také pojetí pravdy jako </w:t>
      </w:r>
      <w:r w:rsidR="08706BAE">
        <w:t xml:space="preserve">podobnosti </w:t>
      </w:r>
      <w:r w:rsidR="08323810">
        <w:t>(</w:t>
      </w:r>
      <w:r w:rsidR="08323810" w:rsidRPr="08323810">
        <w:rPr>
          <w:i/>
        </w:rPr>
        <w:t>adaequatio</w:t>
      </w:r>
      <w:r w:rsidR="08323810">
        <w:t xml:space="preserve">) </w:t>
      </w:r>
      <w:r w:rsidR="08706BAE">
        <w:t xml:space="preserve">objektivních </w:t>
      </w:r>
      <w:r w:rsidR="00962190">
        <w:rPr>
          <w:i/>
        </w:rPr>
        <w:t>species</w:t>
      </w:r>
      <w:r w:rsidR="08706BAE">
        <w:t xml:space="preserve"> (exemplární vs. seminální druh)</w:t>
      </w:r>
      <w:r w:rsidR="08163013">
        <w:rPr>
          <w:i/>
        </w:rPr>
        <w:fldChar w:fldCharType="begin"/>
      </w:r>
      <w:r w:rsidR="08163013">
        <w:instrText xml:space="preserve"> XE "nutnost:</w:instrText>
      </w:r>
      <w:r w:rsidR="08163013" w:rsidRPr="00783B27">
        <w:rPr>
          <w:i/>
        </w:rPr>
        <w:instrText>per se</w:instrText>
      </w:r>
      <w:r w:rsidR="08163013">
        <w:instrText xml:space="preserve">" </w:instrText>
      </w:r>
      <w:r w:rsidR="08163013">
        <w:rPr>
          <w:i/>
        </w:rPr>
        <w:fldChar w:fldCharType="end"/>
      </w:r>
      <w:r w:rsidR="08163013">
        <w:t xml:space="preserve">. Asimilace </w:t>
      </w:r>
      <w:r w:rsidR="08323810">
        <w:t xml:space="preserve">obou druhů </w:t>
      </w:r>
      <w:r w:rsidR="085264A4">
        <w:t xml:space="preserve">vytváří nový metafyzický smysl </w:t>
      </w:r>
      <w:r w:rsidR="082A7CBE">
        <w:t xml:space="preserve">objektivně daného </w:t>
      </w:r>
      <w:r w:rsidR="08163013" w:rsidRPr="00273106">
        <w:t>jsoucna</w:t>
      </w:r>
      <w:r w:rsidR="08163013">
        <w:t>, které je v intelektu přítomné díky vlastní objektivitě (</w:t>
      </w:r>
      <w:r w:rsidR="08163013" w:rsidRPr="0024407A">
        <w:rPr>
          <w:i/>
        </w:rPr>
        <w:t>per se est praesens intellectui</w:t>
      </w:r>
      <w:r w:rsidR="08163013">
        <w:t xml:space="preserve">). Virtuální subjekt v modu pseudo-aristotelské adekvace poznává virtuální svět neexistujících </w:t>
      </w:r>
      <w:r w:rsidR="00962190">
        <w:rPr>
          <w:i/>
        </w:rPr>
        <w:t>species</w:t>
      </w:r>
      <w:r w:rsidR="08163013">
        <w:t xml:space="preserve"> třetího druhu. Akademické Fúrie přesídlené z Oxfordu do Paříže pomohly modernistům vytvořit plně virtuální podsvětí</w:t>
      </w:r>
      <w:r w:rsidR="0041766E">
        <w:t>. O</w:t>
      </w:r>
      <w:r w:rsidR="08163013">
        <w:t>bjektivně poznávají</w:t>
      </w:r>
      <w:r w:rsidR="0041766E">
        <w:t xml:space="preserve">cí ilumináti jej </w:t>
      </w:r>
      <w:r w:rsidR="08163013">
        <w:t>považuj</w:t>
      </w:r>
      <w:r w:rsidR="0041766E">
        <w:t xml:space="preserve">í za jejich </w:t>
      </w:r>
      <w:r w:rsidR="08163013">
        <w:t xml:space="preserve">pravý domov až dodnes. </w:t>
      </w:r>
      <w:r w:rsidR="009222F9">
        <w:t>O</w:t>
      </w:r>
      <w:r w:rsidR="08163013">
        <w:t>bjektivní</w:t>
      </w:r>
      <w:r w:rsidR="009222F9">
        <w:t xml:space="preserve"> diakosmos </w:t>
      </w:r>
      <w:r w:rsidR="08163013" w:rsidRPr="00273106">
        <w:t>potřebuje externí věc</w:t>
      </w:r>
      <w:r w:rsidR="009222F9">
        <w:t>i</w:t>
      </w:r>
      <w:r w:rsidR="08163013" w:rsidRPr="00273106">
        <w:t xml:space="preserve"> jen jako doklad imanentní schopnosti vidět předem dané formy </w:t>
      </w:r>
      <w:r w:rsidR="08163013">
        <w:t xml:space="preserve">objektivně „exsistující“ v modu </w:t>
      </w:r>
      <w:r w:rsidR="08163013" w:rsidRPr="0024407A">
        <w:rPr>
          <w:i/>
        </w:rPr>
        <w:t>per se</w:t>
      </w:r>
      <w:r w:rsidR="08163013" w:rsidRPr="00273106">
        <w:t xml:space="preserve">. </w:t>
      </w:r>
      <w:r w:rsidR="08163013">
        <w:t xml:space="preserve">Koncept existuje v klasickém aristotelismu proto, že poznávající mysl existuje v těle a poznává </w:t>
      </w:r>
      <w:r w:rsidR="08F661D3">
        <w:t xml:space="preserve">reálné věci </w:t>
      </w:r>
      <w:r w:rsidR="08163013">
        <w:t xml:space="preserve">skrze smysly. Druhý averroismus dal hyparchickou </w:t>
      </w:r>
      <w:r w:rsidR="08C60270">
        <w:t xml:space="preserve">aktualitu prvních substancí </w:t>
      </w:r>
      <w:r w:rsidR="08163013">
        <w:t xml:space="preserve">i do oblasti hypostázovaných </w:t>
      </w:r>
      <w:r w:rsidR="00962190" w:rsidRPr="00BC2C17">
        <w:t>species</w:t>
      </w:r>
      <w:r w:rsidR="08163013">
        <w:t>, která dostala skrze virtuální subjekt nový statut prvních substancí</w:t>
      </w:r>
      <w:r w:rsidR="08163013" w:rsidRPr="00273106">
        <w:t xml:space="preserve">. </w:t>
      </w:r>
      <w:r w:rsidR="08163013">
        <w:t xml:space="preserve">Poznání asimiluje v Rufusově modu </w:t>
      </w:r>
      <w:r w:rsidR="08163013" w:rsidRPr="004517B3">
        <w:rPr>
          <w:i/>
        </w:rPr>
        <w:t>informatio</w:t>
      </w:r>
      <w:r w:rsidR="08163013">
        <w:rPr>
          <w:i/>
        </w:rPr>
        <w:fldChar w:fldCharType="begin"/>
      </w:r>
      <w:r w:rsidR="08163013">
        <w:instrText xml:space="preserve"> XE "</w:instrText>
      </w:r>
      <w:r w:rsidR="08163013" w:rsidRPr="00BA0B31">
        <w:rPr>
          <w:i/>
        </w:rPr>
        <w:instrText>informatio</w:instrText>
      </w:r>
      <w:r w:rsidR="08163013">
        <w:instrText xml:space="preserve">" </w:instrText>
      </w:r>
      <w:r w:rsidR="08163013">
        <w:rPr>
          <w:i/>
        </w:rPr>
        <w:fldChar w:fldCharType="end"/>
      </w:r>
      <w:r w:rsidR="08163013">
        <w:t xml:space="preserve"> (</w:t>
      </w:r>
      <w:r w:rsidR="086041B5">
        <w:t>OBJ II, kap. 3</w:t>
      </w:r>
      <w:r w:rsidR="08163013">
        <w:t>.3.2) specifické bytí jsoucna</w:t>
      </w:r>
      <w:r w:rsidR="008731DB">
        <w:t xml:space="preserve">. </w:t>
      </w:r>
      <w:r w:rsidR="008731DB">
        <w:lastRenderedPageBreak/>
        <w:t>Toto o</w:t>
      </w:r>
      <w:r w:rsidR="008731DB">
        <w:rPr>
          <w:szCs w:val="24"/>
          <w:lang w:val="de-DE"/>
        </w:rPr>
        <w:t xml:space="preserve">bjektivní </w:t>
      </w:r>
      <w:r w:rsidR="008731DB">
        <w:rPr>
          <w:i/>
          <w:szCs w:val="24"/>
          <w:lang w:val="de-DE"/>
        </w:rPr>
        <w:t>scibile</w:t>
      </w:r>
      <w:r w:rsidR="008731DB">
        <w:rPr>
          <w:szCs w:val="24"/>
          <w:lang w:val="de-DE"/>
        </w:rPr>
        <w:t xml:space="preserve"> </w:t>
      </w:r>
      <w:r w:rsidR="08163013">
        <w:t xml:space="preserve">je v realitě i v mysli dáno hypostaticky v modu </w:t>
      </w:r>
      <w:r w:rsidR="08163013" w:rsidRPr="004517B3">
        <w:rPr>
          <w:i/>
        </w:rPr>
        <w:t>per se</w:t>
      </w:r>
      <w:r w:rsidR="08163013" w:rsidRPr="00273106">
        <w:t xml:space="preserve">. </w:t>
      </w:r>
      <w:r w:rsidR="08163013">
        <w:t>Nová v</w:t>
      </w:r>
      <w:r w:rsidR="08163013" w:rsidRPr="00273106">
        <w:t>ěc</w:t>
      </w:r>
      <w:r w:rsidR="08163013">
        <w:t xml:space="preserve"> moderny </w:t>
      </w:r>
      <w:r w:rsidR="08163013">
        <w:fldChar w:fldCharType="begin"/>
      </w:r>
      <w:r w:rsidR="08163013">
        <w:instrText xml:space="preserve"> XE "</w:instrText>
      </w:r>
      <w:r w:rsidR="08163013" w:rsidRPr="008B2F11">
        <w:instrText>substance:objektivní</w:instrText>
      </w:r>
      <w:r w:rsidR="08163013">
        <w:instrText xml:space="preserve">" </w:instrText>
      </w:r>
      <w:r w:rsidR="08163013">
        <w:fldChar w:fldCharType="end"/>
      </w:r>
      <w:r w:rsidR="08163013">
        <w:t xml:space="preserve">(Pechamovo </w:t>
      </w:r>
      <w:r w:rsidR="08163013" w:rsidRPr="00B96BF4">
        <w:rPr>
          <w:i/>
        </w:rPr>
        <w:t>cognoscibile</w:t>
      </w:r>
      <w:r w:rsidR="08163013">
        <w:t xml:space="preserve">, Rufusovo </w:t>
      </w:r>
      <w:r w:rsidR="08163013" w:rsidRPr="00B96BF4">
        <w:rPr>
          <w:i/>
        </w:rPr>
        <w:t>scibile</w:t>
      </w:r>
      <w:r w:rsidR="08163013">
        <w:t xml:space="preserve">) </w:t>
      </w:r>
      <w:r w:rsidR="08163013" w:rsidRPr="00273106">
        <w:t xml:space="preserve">determinuje </w:t>
      </w:r>
      <w:r w:rsidR="08163013">
        <w:t xml:space="preserve">poznání v modu </w:t>
      </w:r>
      <w:r w:rsidR="08163013" w:rsidRPr="00805A8D">
        <w:rPr>
          <w:i/>
        </w:rPr>
        <w:t>similiter</w:t>
      </w:r>
      <w:r w:rsidR="08163013" w:rsidRPr="00273106">
        <w:t xml:space="preserve"> </w:t>
      </w:r>
      <w:r w:rsidR="08163013">
        <w:t xml:space="preserve">daném jako objektivní asimilace </w:t>
      </w:r>
      <w:r w:rsidR="00700502" w:rsidRPr="00700502">
        <w:t>species</w:t>
      </w:r>
      <w:r w:rsidR="08163013">
        <w:t xml:space="preserve">. Virtuální subjekt </w:t>
      </w:r>
      <w:r w:rsidR="008C138C">
        <w:t>žije v diakosmickém</w:t>
      </w:r>
      <w:r w:rsidR="08163013">
        <w:t xml:space="preserve"> ráj</w:t>
      </w:r>
      <w:r w:rsidR="008C138C">
        <w:t>i</w:t>
      </w:r>
      <w:r w:rsidR="08163013">
        <w:t xml:space="preserve">, kde se poznávají obě </w:t>
      </w:r>
      <w:r w:rsidR="00962190" w:rsidRPr="00160B02">
        <w:t>species</w:t>
      </w:r>
      <w:r w:rsidR="08163013">
        <w:t xml:space="preserve"> ve světě a v mysli, jako milenec a milenka v </w:t>
      </w:r>
      <w:r w:rsidR="08163013" w:rsidRPr="088515A1">
        <w:rPr>
          <w:i/>
        </w:rPr>
        <w:t>Písni písní</w:t>
      </w:r>
      <w:r w:rsidR="08163013">
        <w:t xml:space="preserve">. Rufusovo </w:t>
      </w:r>
      <w:r w:rsidR="08163013" w:rsidRPr="006D32D8">
        <w:rPr>
          <w:i/>
        </w:rPr>
        <w:t>scibile</w:t>
      </w:r>
      <w:r w:rsidR="08163013">
        <w:t xml:space="preserve"> se změnilo v objektivní konjunkci obou </w:t>
      </w:r>
      <w:r w:rsidR="00962190">
        <w:rPr>
          <w:i/>
        </w:rPr>
        <w:t>species</w:t>
      </w:r>
      <w:r w:rsidR="08163013">
        <w:t xml:space="preserve"> na Pechamovo </w:t>
      </w:r>
      <w:r w:rsidR="08163013" w:rsidRPr="006D32D8">
        <w:rPr>
          <w:i/>
        </w:rPr>
        <w:t>cognoscibile</w:t>
      </w:r>
      <w:r w:rsidR="00700502">
        <w:t>.</w:t>
      </w:r>
      <w:r w:rsidR="00A3114D">
        <w:t xml:space="preserve"> </w:t>
      </w:r>
      <w:r w:rsidR="00334A7A">
        <w:t>Objektivní kopulace dvou mytologických entit daná v citovaném termínu „</w:t>
      </w:r>
      <w:r w:rsidR="00334A7A" w:rsidRPr="00273106">
        <w:rPr>
          <w:i/>
        </w:rPr>
        <w:t>ipsa potentia cognitiva assimilatur ipsi cognoscibili</w:t>
      </w:r>
      <w:r w:rsidR="00334A7A">
        <w:t>“ představuje zakládající mýtus moderny, který produkuje kosmogonii moderních věd (</w:t>
      </w:r>
      <w:r w:rsidR="00334A7A" w:rsidRPr="00334A7A">
        <w:rPr>
          <w:i/>
        </w:rPr>
        <w:t>ortus scientiarum</w:t>
      </w:r>
      <w:r w:rsidR="00334A7A">
        <w:t>)</w:t>
      </w:r>
      <w:r w:rsidR="00700502">
        <w:t xml:space="preserve">. Konjunkce obou forem ipseity </w:t>
      </w:r>
      <w:r w:rsidR="00D5645F">
        <w:t>v moduz „</w:t>
      </w:r>
      <w:proofErr w:type="gramStart"/>
      <w:r w:rsidR="00D5645F" w:rsidRPr="0037465C">
        <w:rPr>
          <w:i/>
          <w:lang w:eastAsia="en-US"/>
        </w:rPr>
        <w:t>ip</w:t>
      </w:r>
      <w:r w:rsidR="00D5645F">
        <w:rPr>
          <w:i/>
          <w:lang w:eastAsia="en-US"/>
        </w:rPr>
        <w:t>sa</w:t>
      </w:r>
      <w:proofErr w:type="gramEnd"/>
      <w:r w:rsidR="00D5645F">
        <w:rPr>
          <w:rFonts w:cs="Calibri"/>
          <w:i/>
          <w:lang w:eastAsia="en-US"/>
        </w:rPr>
        <w:t>—</w:t>
      </w:r>
      <w:proofErr w:type="gramStart"/>
      <w:r w:rsidR="00D5645F">
        <w:rPr>
          <w:i/>
          <w:lang w:eastAsia="en-US"/>
        </w:rPr>
        <w:t>ipsi</w:t>
      </w:r>
      <w:proofErr w:type="gramEnd"/>
      <w:r w:rsidR="00D5645F" w:rsidRPr="00D5645F">
        <w:rPr>
          <w:lang w:eastAsia="en-US"/>
        </w:rPr>
        <w:t>“</w:t>
      </w:r>
      <w:r w:rsidR="00D5645F">
        <w:rPr>
          <w:i/>
          <w:lang w:eastAsia="en-US"/>
        </w:rPr>
        <w:t xml:space="preserve"> </w:t>
      </w:r>
      <w:r w:rsidR="00D5645F">
        <w:rPr>
          <w:lang w:eastAsia="en-US"/>
        </w:rPr>
        <w:t xml:space="preserve">je dána </w:t>
      </w:r>
      <w:r w:rsidR="00011027">
        <w:rPr>
          <w:lang w:eastAsia="en-US"/>
        </w:rPr>
        <w:t xml:space="preserve">v gramatickém modu </w:t>
      </w:r>
      <w:r w:rsidR="00D5645F" w:rsidRPr="00D5645F">
        <w:rPr>
          <w:i/>
          <w:lang w:eastAsia="en-US"/>
        </w:rPr>
        <w:t>dativus obiectivus</w:t>
      </w:r>
      <w:r w:rsidR="000F07D4">
        <w:rPr>
          <w:lang w:eastAsia="en-US"/>
        </w:rPr>
        <w:t xml:space="preserve">. Tento dativ </w:t>
      </w:r>
      <w:r w:rsidR="08163013">
        <w:t>zaklád</w:t>
      </w:r>
      <w:r w:rsidR="00700502">
        <w:t>á</w:t>
      </w:r>
      <w:r w:rsidR="08163013">
        <w:t xml:space="preserve"> novou </w:t>
      </w:r>
      <w:r w:rsidR="00700502">
        <w:t>donaci</w:t>
      </w:r>
      <w:r w:rsidR="08163013">
        <w:t xml:space="preserve"> jsoucna </w:t>
      </w:r>
      <w:r w:rsidR="000F07D4">
        <w:t xml:space="preserve">určenou </w:t>
      </w:r>
      <w:r w:rsidR="00011027">
        <w:t xml:space="preserve">skrze nový proces přivlastnění jsoucna jako objektivity </w:t>
      </w:r>
      <w:r w:rsidR="08163013">
        <w:t>(</w:t>
      </w:r>
      <w:r w:rsidR="08163013" w:rsidRPr="0031493C">
        <w:rPr>
          <w:i/>
        </w:rPr>
        <w:t>dativus posse</w:t>
      </w:r>
      <w:r w:rsidR="08163013">
        <w:rPr>
          <w:i/>
        </w:rPr>
        <w:t>s</w:t>
      </w:r>
      <w:r w:rsidR="08163013" w:rsidRPr="0031493C">
        <w:rPr>
          <w:i/>
        </w:rPr>
        <w:t>sivus</w:t>
      </w:r>
      <w:r w:rsidR="08163013">
        <w:rPr>
          <w:i/>
        </w:rPr>
        <w:fldChar w:fldCharType="begin"/>
      </w:r>
      <w:r w:rsidR="08163013">
        <w:instrText xml:space="preserve"> XE "</w:instrText>
      </w:r>
      <w:r w:rsidR="08163013" w:rsidRPr="00461B3F">
        <w:rPr>
          <w:i/>
        </w:rPr>
        <w:instrText>d</w:instrText>
      </w:r>
      <w:r w:rsidR="08163013" w:rsidRPr="00461B3F">
        <w:rPr>
          <w:i/>
          <w:iCs/>
        </w:rPr>
        <w:instrText>ativus possessivus</w:instrText>
      </w:r>
      <w:r w:rsidR="08163013">
        <w:instrText xml:space="preserve">" </w:instrText>
      </w:r>
      <w:r w:rsidR="08163013">
        <w:rPr>
          <w:i/>
        </w:rPr>
        <w:fldChar w:fldCharType="end"/>
      </w:r>
      <w:r w:rsidR="00D5645F">
        <w:t>, kap. 4</w:t>
      </w:r>
      <w:r w:rsidR="08163013">
        <w:t xml:space="preserve">). </w:t>
      </w:r>
      <w:r w:rsidR="00354A6B" w:rsidRPr="00354A6B">
        <w:t xml:space="preserve">V aktu darování </w:t>
      </w:r>
      <w:r w:rsidR="00354A6B">
        <w:t xml:space="preserve">(Heideggerovo </w:t>
      </w:r>
      <w:r w:rsidR="00354A6B" w:rsidRPr="00284F62">
        <w:rPr>
          <w:i/>
        </w:rPr>
        <w:t>Es gibt</w:t>
      </w:r>
      <w:r w:rsidR="00354A6B">
        <w:rPr>
          <w:i/>
        </w:rPr>
        <w:fldChar w:fldCharType="begin"/>
      </w:r>
      <w:r w:rsidR="00354A6B">
        <w:instrText xml:space="preserve"> XE "</w:instrText>
      </w:r>
      <w:r w:rsidR="00354A6B" w:rsidRPr="00C04EEF">
        <w:rPr>
          <w:i/>
        </w:rPr>
        <w:instrText>Es gibt</w:instrText>
      </w:r>
      <w:r w:rsidR="00354A6B">
        <w:instrText xml:space="preserve">" </w:instrText>
      </w:r>
      <w:r w:rsidR="00354A6B">
        <w:rPr>
          <w:i/>
        </w:rPr>
        <w:fldChar w:fldCharType="end"/>
      </w:r>
      <w:r w:rsidR="00354A6B">
        <w:t xml:space="preserve">) </w:t>
      </w:r>
      <w:r w:rsidR="00354A6B" w:rsidRPr="00354A6B">
        <w:t xml:space="preserve">vytvořeném prostřednictvím mytologické kopulace, se intelekt dostává do oblasti </w:t>
      </w:r>
      <w:r w:rsidR="00354A6B">
        <w:t xml:space="preserve">inteligibilních </w:t>
      </w:r>
      <w:r w:rsidR="00354A6B" w:rsidRPr="00354A6B">
        <w:t>forem, která ne</w:t>
      </w:r>
      <w:r w:rsidR="00354A6B">
        <w:t>jsou daány abstrakcí z reality</w:t>
      </w:r>
      <w:r w:rsidR="00354A6B" w:rsidRPr="00354A6B">
        <w:t>.</w:t>
      </w:r>
      <w:r w:rsidR="00354A6B">
        <w:t xml:space="preserve"> </w:t>
      </w:r>
      <w:r w:rsidR="08163013">
        <w:t xml:space="preserve">Pravda </w:t>
      </w:r>
      <w:r w:rsidR="08163013" w:rsidRPr="00662431">
        <w:rPr>
          <w:i/>
        </w:rPr>
        <w:t>Modernorum</w:t>
      </w:r>
      <w:r w:rsidR="08163013">
        <w:t xml:space="preserve"> se změnila z modu adekvace na univerzální proces objektivní asimilace</w:t>
      </w:r>
      <w:r w:rsidR="08163013">
        <w:fldChar w:fldCharType="begin"/>
      </w:r>
      <w:r w:rsidR="08163013">
        <w:instrText xml:space="preserve"> XE "</w:instrText>
      </w:r>
      <w:r w:rsidR="08163013" w:rsidRPr="000700B4">
        <w:instrText>pravda:asimilace</w:instrText>
      </w:r>
      <w:r w:rsidR="08163013">
        <w:instrText xml:space="preserve">" </w:instrText>
      </w:r>
      <w:r w:rsidR="08163013">
        <w:fldChar w:fldCharType="end"/>
      </w:r>
      <w:r w:rsidR="08163013">
        <w:t xml:space="preserve">. </w:t>
      </w:r>
      <w:r w:rsidR="007B3BC1">
        <w:t xml:space="preserve">Bez mytologické kopulace není moderní věda možná, protože teorie pravdy jako asimilace se bez spojení </w:t>
      </w:r>
      <w:r w:rsidR="007B3BC1" w:rsidRPr="007B3BC1">
        <w:rPr>
          <w:i/>
        </w:rPr>
        <w:t>tertium ens</w:t>
      </w:r>
      <w:r w:rsidR="007B3BC1">
        <w:t xml:space="preserve"> nemůže obejít. </w:t>
      </w:r>
      <w:r w:rsidR="00331010" w:rsidRPr="00331010">
        <w:t xml:space="preserve">Moderní věda tak vytváří </w:t>
      </w:r>
      <w:r w:rsidR="00331010">
        <w:t xml:space="preserve">objektivní kosmologii v modu </w:t>
      </w:r>
      <w:r w:rsidR="00331010" w:rsidRPr="001814D7">
        <w:rPr>
          <w:i/>
        </w:rPr>
        <w:t>Cargo cult</w:t>
      </w:r>
      <w:r w:rsidR="008A65BB">
        <w:rPr>
          <w:i/>
        </w:rPr>
        <w:fldChar w:fldCharType="begin"/>
      </w:r>
      <w:r w:rsidR="008A65BB">
        <w:instrText xml:space="preserve"> XE "</w:instrText>
      </w:r>
      <w:r w:rsidR="008A65BB" w:rsidRPr="00ED6D3E">
        <w:rPr>
          <w:i/>
          <w:szCs w:val="14"/>
        </w:rPr>
        <w:instrText>Cargo cult</w:instrText>
      </w:r>
      <w:r w:rsidR="008A65BB">
        <w:instrText xml:space="preserve">" </w:instrText>
      </w:r>
      <w:r w:rsidR="008A65BB">
        <w:rPr>
          <w:i/>
        </w:rPr>
        <w:fldChar w:fldCharType="end"/>
      </w:r>
      <w:r w:rsidR="00331010">
        <w:t>, která dosti uboze (tj</w:t>
      </w:r>
      <w:r w:rsidR="001814D7">
        <w:t>.</w:t>
      </w:r>
      <w:r w:rsidR="00331010">
        <w:t xml:space="preserve"> v modu </w:t>
      </w:r>
      <w:r w:rsidR="001814D7">
        <w:t>objektivního simulákra</w:t>
      </w:r>
      <w:r w:rsidR="00331010">
        <w:t xml:space="preserve">) paroduje klasický </w:t>
      </w:r>
      <w:r w:rsidR="00331010" w:rsidRPr="00331010">
        <w:t>rituál</w:t>
      </w:r>
      <w:r w:rsidR="00331010">
        <w:t xml:space="preserve"> </w:t>
      </w:r>
      <w:r w:rsidR="00331010" w:rsidRPr="00331010">
        <w:t xml:space="preserve">posvátného spojení </w:t>
      </w:r>
      <w:r w:rsidR="00331010">
        <w:t xml:space="preserve">reálně existujícího </w:t>
      </w:r>
      <w:r w:rsidR="00331010" w:rsidRPr="00331010">
        <w:t xml:space="preserve">krále a </w:t>
      </w:r>
      <w:r w:rsidR="00331010">
        <w:t xml:space="preserve">reálně existující </w:t>
      </w:r>
      <w:r w:rsidR="00331010" w:rsidRPr="00331010">
        <w:t xml:space="preserve">kněžky </w:t>
      </w:r>
      <w:r w:rsidR="001814D7">
        <w:t>podaný v </w:t>
      </w:r>
      <w:r w:rsidR="00D873D3">
        <w:t>za</w:t>
      </w:r>
      <w:r w:rsidR="001814D7">
        <w:t xml:space="preserve">kládajícím </w:t>
      </w:r>
      <w:r w:rsidR="00331010" w:rsidRPr="00331010">
        <w:t xml:space="preserve">mýtu </w:t>
      </w:r>
      <w:r w:rsidR="00331010" w:rsidRPr="00331010">
        <w:rPr>
          <w:i/>
        </w:rPr>
        <w:t>Enúma Eliš</w:t>
      </w:r>
      <w:r w:rsidR="00513047">
        <w:rPr>
          <w:i/>
        </w:rPr>
        <w:fldChar w:fldCharType="begin"/>
      </w:r>
      <w:r w:rsidR="00513047">
        <w:instrText xml:space="preserve"> XE "</w:instrText>
      </w:r>
      <w:r w:rsidR="00513047" w:rsidRPr="00025CC0">
        <w:rPr>
          <w:i/>
        </w:rPr>
        <w:instrText>Enúma Eliš</w:instrText>
      </w:r>
      <w:r w:rsidR="00513047">
        <w:instrText xml:space="preserve">" </w:instrText>
      </w:r>
      <w:r w:rsidR="00513047">
        <w:rPr>
          <w:i/>
        </w:rPr>
        <w:fldChar w:fldCharType="end"/>
      </w:r>
      <w:r w:rsidR="00331010" w:rsidRPr="00331010">
        <w:t xml:space="preserve">. </w:t>
      </w:r>
      <w:r w:rsidR="00331010">
        <w:t xml:space="preserve">V epoše metafyzického nihilismu se z objektivní kopulace scholastické moderny nakonec stala pouhá intelektuální masturbace prováděná jako nihilistické </w:t>
      </w:r>
      <w:r w:rsidR="00331010" w:rsidRPr="00331010">
        <w:rPr>
          <w:i/>
        </w:rPr>
        <w:t>informatio</w:t>
      </w:r>
      <w:r w:rsidR="00331010">
        <w:t xml:space="preserve"> ve světě korporátně utvářených a manipulovaných </w:t>
      </w:r>
      <w:r w:rsidR="00331010" w:rsidRPr="00331010">
        <w:rPr>
          <w:i/>
        </w:rPr>
        <w:t>scibile</w:t>
      </w:r>
      <w:r w:rsidR="00A3114D">
        <w:t>.</w:t>
      </w:r>
    </w:p>
    <w:p w:rsidR="08163013" w:rsidRPr="00273106" w:rsidRDefault="001C3785" w:rsidP="00A3114D">
      <w:pPr>
        <w:ind w:firstLine="397"/>
      </w:pPr>
      <w:r>
        <w:t>Obje</w:t>
      </w:r>
      <w:r w:rsidR="00DD2655">
        <w:t>k</w:t>
      </w:r>
      <w:r>
        <w:t xml:space="preserve">tivní teorie pravdy jako asimilace má ve svém základu </w:t>
      </w:r>
      <w:r w:rsidR="08163013">
        <w:t>demiurgické přivlastnění světa</w:t>
      </w:r>
      <w:r>
        <w:t xml:space="preserve">, které založil </w:t>
      </w:r>
      <w:r w:rsidR="08163013">
        <w:t>Bonaventur</w:t>
      </w:r>
      <w:r>
        <w:t>a</w:t>
      </w:r>
      <w:r w:rsidR="08163013">
        <w:t xml:space="preserve">. </w:t>
      </w:r>
      <w:r w:rsidR="08163013" w:rsidRPr="00273106">
        <w:t xml:space="preserve">Poznání </w:t>
      </w:r>
      <w:r w:rsidR="08163013">
        <w:t>není adekvace</w:t>
      </w:r>
      <w:r w:rsidR="08163013" w:rsidRPr="00273106">
        <w:t xml:space="preserve"> </w:t>
      </w:r>
      <w:r w:rsidR="08163013">
        <w:t xml:space="preserve">intelektu </w:t>
      </w:r>
      <w:r w:rsidR="08163013" w:rsidRPr="00273106">
        <w:t>k</w:t>
      </w:r>
      <w:r w:rsidR="00E2670A">
        <w:t> </w:t>
      </w:r>
      <w:r w:rsidR="08163013" w:rsidRPr="00273106">
        <w:t>věci</w:t>
      </w:r>
      <w:r w:rsidR="00E2670A">
        <w:t xml:space="preserve">. Mysl se </w:t>
      </w:r>
      <w:r w:rsidR="08163013" w:rsidRPr="00273106">
        <w:t>přibližuje k poznávané věci procesem objektivní</w:t>
      </w:r>
      <w:r w:rsidR="08163013">
        <w:t>ho náhledu determinovaného pojetím pravdy jako voluntaristické asimilace jsoucna</w:t>
      </w:r>
      <w:r w:rsidR="08163013" w:rsidRPr="00273106">
        <w:t xml:space="preserve">. </w:t>
      </w:r>
      <w:r w:rsidR="00E2670A" w:rsidRPr="00E2670A">
        <w:t xml:space="preserve">Moderní poznání je mocí demiurgické vůle, nikoli aristotelskou vědou. </w:t>
      </w:r>
      <w:r w:rsidR="08163013">
        <w:t>Tento styl pravdy a poznání ve stejné době rozvíjí Petrus Olivi v komen</w:t>
      </w:r>
      <w:r w:rsidR="084238F3">
        <w:t xml:space="preserve">táři ke </w:t>
      </w:r>
      <w:r w:rsidR="004560E6">
        <w:t xml:space="preserve">druhé knize </w:t>
      </w:r>
      <w:r w:rsidR="084238F3">
        <w:t>Sentencí (kap. 5</w:t>
      </w:r>
      <w:r w:rsidR="08163013">
        <w:t xml:space="preserve">.1.3). Synkretismus aristotelského </w:t>
      </w:r>
      <w:r w:rsidR="004D3E36">
        <w:t xml:space="preserve">a objektivního </w:t>
      </w:r>
      <w:r w:rsidR="08163013">
        <w:t>schématu poznání ukazuje tento citát.</w:t>
      </w:r>
    </w:p>
    <w:p w:rsidR="08163013" w:rsidRPr="00DB7F9B" w:rsidRDefault="08163013" w:rsidP="08163013">
      <w:pPr>
        <w:pStyle w:val="Citace"/>
        <w:rPr>
          <w:noProof/>
          <w:szCs w:val="15"/>
          <w:lang w:val="cs-CZ"/>
        </w:rPr>
      </w:pPr>
      <w:r w:rsidRPr="00273106">
        <w:rPr>
          <w:noProof/>
          <w:szCs w:val="15"/>
          <w:lang w:val="cs-CZ"/>
        </w:rPr>
        <w:lastRenderedPageBreak/>
        <w:t>„</w:t>
      </w:r>
      <w:r w:rsidR="00FF0BEF">
        <w:rPr>
          <w:noProof/>
          <w:szCs w:val="15"/>
          <w:lang w:val="cs-CZ"/>
        </w:rPr>
        <w:t>Reálně v</w:t>
      </w:r>
      <w:r>
        <w:rPr>
          <w:noProof/>
          <w:szCs w:val="15"/>
          <w:lang w:val="cs-CZ"/>
        </w:rPr>
        <w:t>ěc a její intence v mysli se liší esenciálně. Proto není možné, aby v</w:t>
      </w:r>
      <w:r w:rsidR="00FF0BEF">
        <w:rPr>
          <w:noProof/>
          <w:szCs w:val="15"/>
          <w:lang w:val="cs-CZ"/>
        </w:rPr>
        <w:t>ěc a intence byly stejné</w:t>
      </w:r>
      <w:r>
        <w:rPr>
          <w:noProof/>
          <w:szCs w:val="15"/>
          <w:lang w:val="cs-CZ"/>
        </w:rPr>
        <w:t>. Intence je mysli dána formálně</w:t>
      </w:r>
      <w:r w:rsidR="00FF0BEF">
        <w:rPr>
          <w:noProof/>
          <w:szCs w:val="15"/>
          <w:lang w:val="cs-CZ"/>
        </w:rPr>
        <w:t xml:space="preserve">, ale </w:t>
      </w:r>
      <w:r>
        <w:rPr>
          <w:noProof/>
          <w:szCs w:val="15"/>
          <w:lang w:val="cs-CZ"/>
        </w:rPr>
        <w:t>věc pohybuje intelektem objektivně (</w:t>
      </w:r>
      <w:r w:rsidRPr="00273106">
        <w:rPr>
          <w:i/>
          <w:szCs w:val="12"/>
        </w:rPr>
        <w:t>res</w:t>
      </w:r>
      <w:r w:rsidRPr="00273106">
        <w:rPr>
          <w:i/>
          <w:szCs w:val="16"/>
        </w:rPr>
        <w:t xml:space="preserve"> quod </w:t>
      </w:r>
      <w:r w:rsidRPr="00273106">
        <w:rPr>
          <w:i/>
          <w:szCs w:val="17"/>
        </w:rPr>
        <w:t xml:space="preserve">movet </w:t>
      </w:r>
      <w:r w:rsidRPr="00273106">
        <w:rPr>
          <w:i/>
          <w:szCs w:val="14"/>
        </w:rPr>
        <w:t xml:space="preserve">intellectum </w:t>
      </w:r>
      <w:r w:rsidRPr="00273106">
        <w:rPr>
          <w:i/>
        </w:rPr>
        <w:t>obiective</w:t>
      </w:r>
      <w:r>
        <w:rPr>
          <w:noProof/>
          <w:szCs w:val="15"/>
          <w:lang w:val="cs-CZ"/>
        </w:rPr>
        <w:t xml:space="preserve">). Proto intelekt nemůže poznat věci jinak, než skrze intenci.“ </w:t>
      </w:r>
      <w:r>
        <w:rPr>
          <w:rStyle w:val="Znakapoznpodarou"/>
        </w:rPr>
        <w:footnoteReference w:id="111"/>
      </w:r>
    </w:p>
    <w:p w:rsidR="00657BF9" w:rsidRDefault="08163013" w:rsidP="00657BF9">
      <w:r>
        <w:t>Pecham</w:t>
      </w:r>
      <w:r w:rsidRPr="00273106">
        <w:t xml:space="preserve"> ví, že věc není v mysli dána </w:t>
      </w:r>
      <w:r>
        <w:t xml:space="preserve">stejně </w:t>
      </w:r>
      <w:r w:rsidRPr="00273106">
        <w:t xml:space="preserve">jako </w:t>
      </w:r>
      <w:r>
        <w:t xml:space="preserve">externí </w:t>
      </w:r>
      <w:r w:rsidRPr="00273106">
        <w:t>první substance (</w:t>
      </w:r>
      <w:r w:rsidRPr="00273106">
        <w:rPr>
          <w:i/>
        </w:rPr>
        <w:t xml:space="preserve">res </w:t>
      </w:r>
      <w:r w:rsidRPr="00273106">
        <w:rPr>
          <w:i/>
          <w:szCs w:val="12"/>
        </w:rPr>
        <w:t xml:space="preserve">et </w:t>
      </w:r>
      <w:r w:rsidRPr="00273106">
        <w:rPr>
          <w:i/>
        </w:rPr>
        <w:t xml:space="preserve">intentio essentialiter </w:t>
      </w:r>
      <w:r w:rsidRPr="00273106">
        <w:rPr>
          <w:i/>
          <w:szCs w:val="12"/>
        </w:rPr>
        <w:t>differunt</w:t>
      </w:r>
      <w:r w:rsidRPr="00273106">
        <w:t xml:space="preserve">). </w:t>
      </w:r>
      <w:r>
        <w:t xml:space="preserve">Termín </w:t>
      </w:r>
      <w:r w:rsidR="00A509E2">
        <w:t>„</w:t>
      </w:r>
      <w:r w:rsidRPr="00086B80">
        <w:rPr>
          <w:i/>
        </w:rPr>
        <w:t>res</w:t>
      </w:r>
      <w:r w:rsidR="00A509E2">
        <w:t>“</w:t>
      </w:r>
      <w:r>
        <w:t xml:space="preserve"> je třeba chápat podle Bonaventury, tedy v objektivním významu mimo první su</w:t>
      </w:r>
      <w:r w:rsidR="08742431">
        <w:t>bstanci (kap. 4</w:t>
      </w:r>
      <w:r>
        <w:t xml:space="preserve">.1.1). Věc </w:t>
      </w:r>
      <w:r w:rsidR="00163F4E">
        <w:t xml:space="preserve">jako </w:t>
      </w:r>
      <w:r w:rsidR="00163F4E" w:rsidRPr="00163F4E">
        <w:rPr>
          <w:i/>
        </w:rPr>
        <w:t>scibile</w:t>
      </w:r>
      <w:r w:rsidR="00163F4E">
        <w:t xml:space="preserve"> </w:t>
      </w:r>
      <w:r>
        <w:t xml:space="preserve">nezakládá intencionalitu skrze smyslové poznání jako v prvním averroismu, ale pohybuje myslí objektivně </w:t>
      </w:r>
      <w:r w:rsidRPr="00273106">
        <w:t>(</w:t>
      </w:r>
      <w:r w:rsidRPr="00273106">
        <w:rPr>
          <w:i/>
          <w:szCs w:val="12"/>
        </w:rPr>
        <w:t>res</w:t>
      </w:r>
      <w:r w:rsidRPr="00273106">
        <w:rPr>
          <w:i/>
          <w:szCs w:val="16"/>
        </w:rPr>
        <w:t xml:space="preserve"> quod </w:t>
      </w:r>
      <w:r w:rsidRPr="00273106">
        <w:rPr>
          <w:i/>
          <w:szCs w:val="17"/>
        </w:rPr>
        <w:t xml:space="preserve">movet </w:t>
      </w:r>
      <w:r w:rsidRPr="00273106">
        <w:rPr>
          <w:i/>
          <w:szCs w:val="14"/>
        </w:rPr>
        <w:t xml:space="preserve">intellectum </w:t>
      </w:r>
      <w:r w:rsidRPr="00273106">
        <w:rPr>
          <w:i/>
        </w:rPr>
        <w:t>obiective</w:t>
      </w:r>
      <w:r w:rsidRPr="00273106">
        <w:t xml:space="preserve">). </w:t>
      </w:r>
      <w:r>
        <w:t>Toto mechanické pojetí poznání v modu duše jako motorického hybatele převzaté Kartéziem se zásadně liší od intencionálního aktu rece</w:t>
      </w:r>
      <w:r w:rsidR="003C4719">
        <w:t xml:space="preserve">pce skrze dvojí diafanum podle </w:t>
      </w:r>
      <w:r>
        <w:t>prvního averroismu Blundovy školy a podle CMDA (</w:t>
      </w:r>
      <w:r w:rsidR="08FC2C44">
        <w:t xml:space="preserve">OBJ I, </w:t>
      </w:r>
      <w:r>
        <w:t xml:space="preserve">kap. 2.4.4). </w:t>
      </w:r>
      <w:r w:rsidR="08C66112">
        <w:t>Moderní i</w:t>
      </w:r>
      <w:r w:rsidRPr="00273106">
        <w:t xml:space="preserve">ntence bere aktualizaci </w:t>
      </w:r>
      <w:r w:rsidR="08C66112">
        <w:t xml:space="preserve">poznání z </w:t>
      </w:r>
      <w:r w:rsidRPr="00273106">
        <w:t>činného intelektu</w:t>
      </w:r>
      <w:r>
        <w:fldChar w:fldCharType="begin"/>
      </w:r>
      <w:r>
        <w:instrText xml:space="preserve"> XE "</w:instrText>
      </w:r>
      <w:r w:rsidRPr="00F47D6D">
        <w:instrText>intencionalita:Pecham</w:instrText>
      </w:r>
      <w:r>
        <w:instrText xml:space="preserve">" </w:instrText>
      </w:r>
      <w:r>
        <w:fldChar w:fldCharType="end"/>
      </w:r>
      <w:r w:rsidRPr="00273106">
        <w:t xml:space="preserve">, který tvoří </w:t>
      </w:r>
      <w:r w:rsidR="08C66112">
        <w:t>poznávací formu</w:t>
      </w:r>
      <w:r w:rsidRPr="00273106">
        <w:t xml:space="preserve"> (</w:t>
      </w:r>
      <w:r w:rsidRPr="00273106">
        <w:rPr>
          <w:i/>
          <w:szCs w:val="16"/>
        </w:rPr>
        <w:t xml:space="preserve">quod </w:t>
      </w:r>
      <w:r w:rsidRPr="00273106">
        <w:rPr>
          <w:i/>
        </w:rPr>
        <w:t xml:space="preserve">est </w:t>
      </w:r>
      <w:r w:rsidRPr="00273106">
        <w:rPr>
          <w:i/>
          <w:szCs w:val="12"/>
        </w:rPr>
        <w:t xml:space="preserve">in intellectu </w:t>
      </w:r>
      <w:r w:rsidRPr="00273106">
        <w:rPr>
          <w:i/>
        </w:rPr>
        <w:t xml:space="preserve">formaliter, est </w:t>
      </w:r>
      <w:r w:rsidRPr="00273106">
        <w:rPr>
          <w:i/>
          <w:szCs w:val="12"/>
        </w:rPr>
        <w:t>intentio</w:t>
      </w:r>
      <w:r w:rsidRPr="00273106">
        <w:t xml:space="preserve">). </w:t>
      </w:r>
      <w:r w:rsidR="08C66112">
        <w:t>Schéma poznání je aristotelské jen zdánlivě. Existence reálné věci jako zdroje pohybu je zaměněna za její objek</w:t>
      </w:r>
      <w:r w:rsidR="08DD55BC">
        <w:t>tivní s</w:t>
      </w:r>
      <w:r w:rsidR="08C66112">
        <w:t xml:space="preserve">imulákrum. </w:t>
      </w:r>
      <w:r w:rsidR="089E3F4F">
        <w:t xml:space="preserve">Poznání </w:t>
      </w:r>
      <w:r>
        <w:t>objektivní</w:t>
      </w:r>
      <w:r w:rsidR="089E3F4F">
        <w:t xml:space="preserve"> </w:t>
      </w:r>
      <w:r w:rsidR="085E4729">
        <w:t xml:space="preserve">věci </w:t>
      </w:r>
      <w:r w:rsidR="089E3F4F">
        <w:t xml:space="preserve">je </w:t>
      </w:r>
      <w:r>
        <w:t>dané nasvícením zezadu (</w:t>
      </w:r>
      <w:r w:rsidRPr="00647CA8">
        <w:rPr>
          <w:i/>
        </w:rPr>
        <w:t>quod</w:t>
      </w:r>
      <w:r>
        <w:rPr>
          <w:i/>
        </w:rPr>
        <w:t xml:space="preserve"> movet</w:t>
      </w:r>
      <w:r w:rsidR="089E3F4F">
        <w:t xml:space="preserve">), zatímco v aristotelismu jde o nasvícení zepředu. Objektivní věc aktualizuje intelekt jako </w:t>
      </w:r>
      <w:r w:rsidR="08637B01">
        <w:t>pseudo-</w:t>
      </w:r>
      <w:r w:rsidR="089E3F4F">
        <w:t>aktuální hybatel</w:t>
      </w:r>
      <w:r w:rsidR="0891256C">
        <w:t xml:space="preserve"> na způsob aktuální první substance</w:t>
      </w:r>
      <w:r w:rsidR="089E3F4F">
        <w:t xml:space="preserve">. Tím vzniká odlišné poznání „věci“ (tj. jejího </w:t>
      </w:r>
      <w:r w:rsidR="08637B01">
        <w:t>objek</w:t>
      </w:r>
      <w:r w:rsidR="089E3F4F">
        <w:t xml:space="preserve">tivního simulákra) </w:t>
      </w:r>
      <w:r w:rsidR="08BC0C70">
        <w:t xml:space="preserve">jako intencionálního předmětu v intelektu </w:t>
      </w:r>
      <w:r>
        <w:t>(</w:t>
      </w:r>
      <w:r w:rsidRPr="00647CA8">
        <w:rPr>
          <w:i/>
        </w:rPr>
        <w:t>quod</w:t>
      </w:r>
      <w:r>
        <w:rPr>
          <w:i/>
        </w:rPr>
        <w:t xml:space="preserve"> est</w:t>
      </w:r>
      <w:r>
        <w:t xml:space="preserve">). </w:t>
      </w:r>
      <w:r w:rsidR="082A4A40">
        <w:t xml:space="preserve">Nejde o pravdivou adekvaci reálné věci v intelektu, ale o objektivní asimilaci dvou odlišných </w:t>
      </w:r>
      <w:r w:rsidR="00962190">
        <w:rPr>
          <w:i/>
        </w:rPr>
        <w:t>species</w:t>
      </w:r>
      <w:r w:rsidR="082A4A40">
        <w:t xml:space="preserve">. </w:t>
      </w:r>
      <w:r>
        <w:t xml:space="preserve">Dualismus </w:t>
      </w:r>
      <w:r w:rsidR="00DF432E">
        <w:t>„</w:t>
      </w:r>
      <w:r w:rsidRPr="00647CA8">
        <w:rPr>
          <w:i/>
        </w:rPr>
        <w:t>quod</w:t>
      </w:r>
      <w:r>
        <w:rPr>
          <w:i/>
        </w:rPr>
        <w:t xml:space="preserve"> </w:t>
      </w:r>
      <w:proofErr w:type="gramStart"/>
      <w:r>
        <w:rPr>
          <w:i/>
        </w:rPr>
        <w:t>movet</w:t>
      </w:r>
      <w:proofErr w:type="gramEnd"/>
      <w:r w:rsidR="00DF432E">
        <w:t>–</w:t>
      </w:r>
      <w:proofErr w:type="gramStart"/>
      <w:r w:rsidRPr="00647CA8">
        <w:rPr>
          <w:i/>
        </w:rPr>
        <w:t>quod</w:t>
      </w:r>
      <w:proofErr w:type="gramEnd"/>
      <w:r>
        <w:rPr>
          <w:i/>
        </w:rPr>
        <w:t xml:space="preserve"> est</w:t>
      </w:r>
      <w:r w:rsidR="00DF432E">
        <w:t>“</w:t>
      </w:r>
      <w:r w:rsidRPr="00273106">
        <w:t xml:space="preserve"> ukazuje na </w:t>
      </w:r>
      <w:r>
        <w:t xml:space="preserve">nový druh </w:t>
      </w:r>
      <w:r w:rsidR="086E6FA5">
        <w:t xml:space="preserve">poznání. </w:t>
      </w:r>
      <w:r w:rsidRPr="00273106">
        <w:t xml:space="preserve">První substance přestala determinovat poznání </w:t>
      </w:r>
      <w:r>
        <w:t xml:space="preserve">ve smyslu </w:t>
      </w:r>
      <w:r w:rsidR="008E7934">
        <w:t xml:space="preserve">aktuálně daného </w:t>
      </w:r>
      <w:r w:rsidRPr="00273106">
        <w:t>fundament</w:t>
      </w:r>
      <w:r>
        <w:t>u</w:t>
      </w:r>
      <w:r w:rsidR="008E7934">
        <w:t xml:space="preserve"> </w:t>
      </w:r>
      <w:r w:rsidR="008E7934">
        <w:rPr>
          <w:lang w:eastAsia="en-US"/>
        </w:rPr>
        <w:t>(</w:t>
      </w:r>
      <w:r w:rsidR="008E7934" w:rsidRPr="00EC2230">
        <w:rPr>
          <w:i/>
          <w:lang w:eastAsia="en-US"/>
        </w:rPr>
        <w:t>subiectum</w:t>
      </w:r>
      <w:r w:rsidR="008E7934">
        <w:rPr>
          <w:lang w:eastAsia="en-US"/>
        </w:rPr>
        <w:t>)</w:t>
      </w:r>
      <w:r>
        <w:t>. Intelekt modernistů už není nasvícen zepředu, ale zezadu</w:t>
      </w:r>
      <w:r w:rsidR="00255557">
        <w:t>,</w:t>
      </w:r>
      <w:r>
        <w:t xml:space="preserve"> od recepce objektivních forem. </w:t>
      </w:r>
      <w:r w:rsidR="08FF0B95">
        <w:t xml:space="preserve">Moderní intelekt je sluncem objektivního světa, </w:t>
      </w:r>
      <w:r w:rsidR="00560BE4">
        <w:t>proto nepotřebuje r</w:t>
      </w:r>
      <w:r w:rsidR="08FF0B95">
        <w:t xml:space="preserve">eálné slunce. </w:t>
      </w:r>
      <w:r>
        <w:t>Pechamův moderní s</w:t>
      </w:r>
      <w:r w:rsidRPr="00273106">
        <w:rPr>
          <w:szCs w:val="14"/>
        </w:rPr>
        <w:t xml:space="preserve">ubjekt jako </w:t>
      </w:r>
      <w:r w:rsidRPr="00273106">
        <w:rPr>
          <w:i/>
          <w:szCs w:val="14"/>
        </w:rPr>
        <w:t>totum virtuale</w:t>
      </w:r>
      <w:r>
        <w:rPr>
          <w:i/>
          <w:szCs w:val="14"/>
        </w:rPr>
        <w:fldChar w:fldCharType="begin"/>
      </w:r>
      <w:r>
        <w:instrText xml:space="preserve"> XE "</w:instrText>
      </w:r>
      <w:r w:rsidRPr="00BC2FEF">
        <w:instrText>osoba</w:instrText>
      </w:r>
      <w:r w:rsidRPr="00A10A92">
        <w:rPr>
          <w:i/>
        </w:rPr>
        <w:instrText>:totum virtuale</w:instrText>
      </w:r>
      <w:r>
        <w:instrText xml:space="preserve">" </w:instrText>
      </w:r>
      <w:r>
        <w:rPr>
          <w:i/>
          <w:szCs w:val="14"/>
        </w:rPr>
        <w:fldChar w:fldCharType="end"/>
      </w:r>
      <w:r w:rsidRPr="00273106">
        <w:rPr>
          <w:szCs w:val="14"/>
        </w:rPr>
        <w:t xml:space="preserve"> začal </w:t>
      </w:r>
      <w:r w:rsidR="00767F73">
        <w:rPr>
          <w:szCs w:val="14"/>
        </w:rPr>
        <w:t>virtualizovat celý svět</w:t>
      </w:r>
      <w:r w:rsidRPr="00273106">
        <w:rPr>
          <w:szCs w:val="14"/>
        </w:rPr>
        <w:t xml:space="preserve">. </w:t>
      </w:r>
      <w:r>
        <w:rPr>
          <w:szCs w:val="14"/>
        </w:rPr>
        <w:t>S</w:t>
      </w:r>
      <w:r w:rsidR="00767F73">
        <w:rPr>
          <w:szCs w:val="14"/>
        </w:rPr>
        <w:t xml:space="preserve">ubjekt </w:t>
      </w:r>
      <w:r w:rsidRPr="00273106">
        <w:rPr>
          <w:szCs w:val="14"/>
        </w:rPr>
        <w:t>je sám o sobě schizofrenicky rozdv</w:t>
      </w:r>
      <w:r>
        <w:rPr>
          <w:szCs w:val="14"/>
        </w:rPr>
        <w:t>ojen na dvě substance a přestal primárně poznávat reálný stav světa</w:t>
      </w:r>
      <w:r>
        <w:rPr>
          <w:szCs w:val="14"/>
        </w:rPr>
        <w:fldChar w:fldCharType="begin"/>
      </w:r>
      <w:r>
        <w:instrText xml:space="preserve"> XE "</w:instrText>
      </w:r>
      <w:r w:rsidRPr="001F10AF">
        <w:instrText>osoba:dualismus</w:instrText>
      </w:r>
      <w:r>
        <w:instrText xml:space="preserve">" </w:instrText>
      </w:r>
      <w:r>
        <w:rPr>
          <w:szCs w:val="14"/>
        </w:rPr>
        <w:fldChar w:fldCharType="end"/>
      </w:r>
      <w:r>
        <w:rPr>
          <w:szCs w:val="14"/>
        </w:rPr>
        <w:t>. J</w:t>
      </w:r>
      <w:r w:rsidRPr="00273106">
        <w:rPr>
          <w:szCs w:val="14"/>
        </w:rPr>
        <w:t xml:space="preserve">eho vztah k první substanci </w:t>
      </w:r>
      <w:r>
        <w:rPr>
          <w:szCs w:val="14"/>
        </w:rPr>
        <w:t xml:space="preserve">se nutně </w:t>
      </w:r>
      <w:r w:rsidRPr="00273106">
        <w:rPr>
          <w:szCs w:val="14"/>
        </w:rPr>
        <w:t xml:space="preserve">stal </w:t>
      </w:r>
      <w:r w:rsidR="085C2D3D">
        <w:rPr>
          <w:szCs w:val="14"/>
        </w:rPr>
        <w:t xml:space="preserve">objektivním, </w:t>
      </w:r>
      <w:proofErr w:type="gramStart"/>
      <w:r w:rsidR="085C2D3D">
        <w:rPr>
          <w:szCs w:val="14"/>
        </w:rPr>
        <w:t>individuálním,  specifickým</w:t>
      </w:r>
      <w:proofErr w:type="gramEnd"/>
      <w:r w:rsidR="085C2D3D">
        <w:rPr>
          <w:szCs w:val="14"/>
        </w:rPr>
        <w:t xml:space="preserve"> a konkrétním. </w:t>
      </w:r>
      <w:r w:rsidR="08070FCF">
        <w:rPr>
          <w:szCs w:val="14"/>
        </w:rPr>
        <w:t xml:space="preserve">Z hlediska klasického aristotelismu jde o naprosto paranoické myšlení. </w:t>
      </w:r>
      <w:r>
        <w:rPr>
          <w:szCs w:val="14"/>
        </w:rPr>
        <w:t xml:space="preserve">První substance je dedukována a hypostaticky seskládána </w:t>
      </w:r>
      <w:r w:rsidRPr="00273106">
        <w:rPr>
          <w:szCs w:val="14"/>
        </w:rPr>
        <w:t xml:space="preserve">v rámci </w:t>
      </w:r>
      <w:r w:rsidRPr="00273106">
        <w:rPr>
          <w:i/>
          <w:szCs w:val="14"/>
        </w:rPr>
        <w:t>resolutio</w:t>
      </w:r>
      <w:r>
        <w:rPr>
          <w:i/>
        </w:rPr>
        <w:fldChar w:fldCharType="begin"/>
      </w:r>
      <w:r>
        <w:instrText xml:space="preserve"> XE "</w:instrText>
      </w:r>
      <w:r w:rsidRPr="00111E9E">
        <w:rPr>
          <w:i/>
        </w:rPr>
        <w:instrText>resolutio</w:instrText>
      </w:r>
      <w:r>
        <w:rPr>
          <w:i/>
        </w:rPr>
        <w:instrText>:</w:instrText>
      </w:r>
      <w:r>
        <w:instrText xml:space="preserve">Pecham" </w:instrText>
      </w:r>
      <w:r>
        <w:rPr>
          <w:i/>
        </w:rPr>
        <w:fldChar w:fldCharType="end"/>
      </w:r>
      <w:r>
        <w:rPr>
          <w:szCs w:val="14"/>
        </w:rPr>
        <w:t xml:space="preserve"> jsoucna daného </w:t>
      </w:r>
      <w:r w:rsidRPr="00273106">
        <w:rPr>
          <w:i/>
          <w:szCs w:val="14"/>
        </w:rPr>
        <w:t>obiective</w:t>
      </w:r>
      <w:r w:rsidRPr="00273106">
        <w:rPr>
          <w:szCs w:val="14"/>
        </w:rPr>
        <w:t xml:space="preserve">. </w:t>
      </w:r>
      <w:r w:rsidRPr="00273106">
        <w:rPr>
          <w:szCs w:val="14"/>
        </w:rPr>
        <w:lastRenderedPageBreak/>
        <w:t xml:space="preserve">Ale toho máme boha </w:t>
      </w:r>
      <w:r w:rsidRPr="00273106">
        <w:rPr>
          <w:i/>
          <w:szCs w:val="14"/>
        </w:rPr>
        <w:t>Modernorum</w:t>
      </w:r>
      <w:r w:rsidRPr="00273106">
        <w:rPr>
          <w:szCs w:val="14"/>
        </w:rPr>
        <w:t xml:space="preserve">, aby tuto neblahou situaci napravil. Viz citovaný </w:t>
      </w:r>
      <w:r w:rsidRPr="00273106">
        <w:t>Žalm 4:7</w:t>
      </w:r>
      <w:r>
        <w:fldChar w:fldCharType="begin"/>
      </w:r>
      <w:r>
        <w:instrText xml:space="preserve"> XE "Starý zákon:</w:instrText>
      </w:r>
      <w:r w:rsidRPr="00140829">
        <w:instrText>Ž</w:instrText>
      </w:r>
      <w:r>
        <w:instrText>alm 4.</w:instrText>
      </w:r>
      <w:r w:rsidRPr="00140829">
        <w:instrText>7</w:instrText>
      </w:r>
      <w:r>
        <w:instrText xml:space="preserve">" </w:instrText>
      </w:r>
      <w:r>
        <w:fldChar w:fldCharType="end"/>
      </w:r>
      <w:r w:rsidRPr="00273106">
        <w:t xml:space="preserve"> o světle boží tváře, který </w:t>
      </w:r>
      <w:r>
        <w:t xml:space="preserve">Bonaventura přetvořil na </w:t>
      </w:r>
      <w:r w:rsidRPr="00273106">
        <w:t>intelektuální leitmotiv celé moderny</w:t>
      </w:r>
      <w:r w:rsidR="005D7E3A">
        <w:t xml:space="preserve"> (kap. 4</w:t>
      </w:r>
      <w:r>
        <w:t xml:space="preserve">.1.3). </w:t>
      </w:r>
      <w:r w:rsidR="005D7E3A" w:rsidRPr="005D7E3A">
        <w:t xml:space="preserve">V následujícím kroku získává objektivita status objektivní </w:t>
      </w:r>
      <w:r w:rsidR="005D7E3A">
        <w:t>totality. Moderní subjekt jako „</w:t>
      </w:r>
      <w:r w:rsidR="005D7E3A" w:rsidRPr="005D7E3A">
        <w:rPr>
          <w:i/>
        </w:rPr>
        <w:t>totum virtuale</w:t>
      </w:r>
      <w:r w:rsidR="005D7E3A">
        <w:t>“ založil další druh „</w:t>
      </w:r>
      <w:r w:rsidR="005D7E3A" w:rsidRPr="005D7E3A">
        <w:rPr>
          <w:i/>
        </w:rPr>
        <w:t>totum</w:t>
      </w:r>
      <w:r w:rsidR="005D7E3A">
        <w:t>“</w:t>
      </w:r>
      <w:r w:rsidR="00657BF9">
        <w:t xml:space="preserve"> přímo v moderním b</w:t>
      </w:r>
      <w:r w:rsidR="005D7E3A" w:rsidRPr="005D7E3A">
        <w:t>ohu. Ten představuje virtuální realitu třetího druhu.</w:t>
      </w:r>
      <w:r w:rsidR="005D7E3A">
        <w:t xml:space="preserve"> </w:t>
      </w:r>
      <w:r w:rsidR="00657BF9">
        <w:rPr>
          <w:szCs w:val="14"/>
        </w:rPr>
        <w:t xml:space="preserve">Moderní subjekt nemohl najít plnou objektivní realitu nikde jinde než v moderním bohu. </w:t>
      </w:r>
      <w:r w:rsidR="00657BF9" w:rsidRPr="00273106">
        <w:t xml:space="preserve">Zhruba na </w:t>
      </w:r>
      <w:r w:rsidR="00657BF9">
        <w:t xml:space="preserve">sedm </w:t>
      </w:r>
      <w:r w:rsidR="00657BF9" w:rsidRPr="00273106">
        <w:t xml:space="preserve">století </w:t>
      </w:r>
      <w:r w:rsidR="00657BF9">
        <w:t>moderní bůh zakládal s</w:t>
      </w:r>
      <w:r w:rsidR="00657BF9" w:rsidRPr="00273106">
        <w:t xml:space="preserve">chizofrenický </w:t>
      </w:r>
      <w:r w:rsidR="00657BF9">
        <w:t xml:space="preserve">a </w:t>
      </w:r>
      <w:r w:rsidR="00657BF9" w:rsidRPr="00273106">
        <w:t xml:space="preserve">nihilistický charakter </w:t>
      </w:r>
      <w:r w:rsidR="00657BF9">
        <w:t xml:space="preserve">moderního </w:t>
      </w:r>
      <w:r w:rsidR="00657BF9" w:rsidRPr="00273106">
        <w:t>jsoucna</w:t>
      </w:r>
      <w:r w:rsidR="00657BF9">
        <w:t xml:space="preserve">. Toto nanejvýš potřebné simulákrum spolehlivě zamaskovalo virtuálního lidského nositele, který moderního boha stvořil ke svému nihilistickému obrazu. Tuto lest moderního rozumu pak odkryli </w:t>
      </w:r>
      <w:r w:rsidR="00657BF9" w:rsidRPr="00273106">
        <w:t>Nietzsche</w:t>
      </w:r>
      <w:r w:rsidR="00657BF9">
        <w:t>, Feuerbach a Marx</w:t>
      </w:r>
      <w:r w:rsidR="00657BF9" w:rsidRPr="00273106">
        <w:t>.</w:t>
      </w:r>
      <w:r w:rsidR="00657BF9">
        <w:t xml:space="preserve"> </w:t>
      </w:r>
    </w:p>
    <w:p w:rsidR="08163013" w:rsidRPr="00CE7294" w:rsidRDefault="08163013" w:rsidP="00657BF9">
      <w:pPr>
        <w:ind w:firstLine="397"/>
      </w:pPr>
      <w:r>
        <w:t>Pecham</w:t>
      </w:r>
      <w:r w:rsidRPr="00273106">
        <w:t xml:space="preserve"> přev</w:t>
      </w:r>
      <w:r w:rsidR="005D7E3A">
        <w:t xml:space="preserve">edl </w:t>
      </w:r>
      <w:r w:rsidRPr="00273106">
        <w:t>mystické boží světlo do ontoteologické struktury metafyziky</w:t>
      </w:r>
      <w:r w:rsidR="0839108C">
        <w:t>. Aristotelská</w:t>
      </w:r>
      <w:r>
        <w:t xml:space="preserve"> predikace </w:t>
      </w:r>
      <w:r w:rsidR="083228FB">
        <w:t xml:space="preserve">pravdivě určená stavem prvních substancí </w:t>
      </w:r>
      <w:r w:rsidR="0839108C">
        <w:t>se změnila na avicennovskou komitaci</w:t>
      </w:r>
      <w:r>
        <w:t xml:space="preserve"> </w:t>
      </w:r>
      <w:r w:rsidR="083228FB">
        <w:t>hypostází</w:t>
      </w:r>
      <w:r w:rsidR="08547347">
        <w:t xml:space="preserve">, které se </w:t>
      </w:r>
      <w:r w:rsidR="083228FB">
        <w:t>obje</w:t>
      </w:r>
      <w:r w:rsidR="08547347">
        <w:t>ktivně přidávají</w:t>
      </w:r>
      <w:r w:rsidR="083228FB">
        <w:t xml:space="preserve"> k esenciálnímu základu </w:t>
      </w:r>
      <w:r w:rsidRPr="00273106">
        <w:t>(</w:t>
      </w:r>
      <w:r w:rsidRPr="00273106">
        <w:rPr>
          <w:i/>
          <w:szCs w:val="12"/>
        </w:rPr>
        <w:t xml:space="preserve">veritati </w:t>
      </w:r>
      <w:r w:rsidRPr="00273106">
        <w:rPr>
          <w:i/>
        </w:rPr>
        <w:t xml:space="preserve">creatae </w:t>
      </w:r>
      <w:r w:rsidRPr="00273106">
        <w:rPr>
          <w:i/>
          <w:szCs w:val="13"/>
        </w:rPr>
        <w:t xml:space="preserve">attribuitur ratio </w:t>
      </w:r>
      <w:r w:rsidRPr="00273106">
        <w:rPr>
          <w:i/>
        </w:rPr>
        <w:t>manifestandi</w:t>
      </w:r>
      <w:r w:rsidRPr="00273106">
        <w:t>)</w:t>
      </w:r>
      <w:r>
        <w:fldChar w:fldCharType="begin"/>
      </w:r>
      <w:r>
        <w:instrText xml:space="preserve"> XE "</w:instrText>
      </w:r>
      <w:r w:rsidRPr="08E02BF3">
        <w:instrText>komitace</w:instrText>
      </w:r>
      <w:r>
        <w:instrText xml:space="preserve">" </w:instrText>
      </w:r>
      <w:r>
        <w:fldChar w:fldCharType="end"/>
      </w:r>
      <w:r>
        <w:fldChar w:fldCharType="begin"/>
      </w:r>
      <w:r>
        <w:instrText xml:space="preserve"> XE "ontoteologie:Pecham" </w:instrText>
      </w:r>
      <w:r>
        <w:fldChar w:fldCharType="end"/>
      </w:r>
      <w:r w:rsidRPr="00273106">
        <w:t xml:space="preserve">. </w:t>
      </w:r>
      <w:r w:rsidR="081B2E3B">
        <w:t xml:space="preserve">Pravda jako </w:t>
      </w:r>
      <w:r>
        <w:t>asimilace je daná v modu plné manifestace objektivity skrze ontote</w:t>
      </w:r>
      <w:r w:rsidR="000D4F8C">
        <w:t>ologickou strukturu metafyziky.</w:t>
      </w:r>
      <w:r w:rsidR="00657BF9">
        <w:t xml:space="preserve"> </w:t>
      </w:r>
      <w:r>
        <w:rPr>
          <w:szCs w:val="13"/>
        </w:rPr>
        <w:t>Pecham</w:t>
      </w:r>
      <w:r w:rsidR="00AE1D9C">
        <w:rPr>
          <w:szCs w:val="13"/>
        </w:rPr>
        <w:t xml:space="preserve"> založil </w:t>
      </w:r>
      <w:r>
        <w:rPr>
          <w:szCs w:val="13"/>
        </w:rPr>
        <w:t>p</w:t>
      </w:r>
      <w:r w:rsidRPr="00273106">
        <w:rPr>
          <w:szCs w:val="13"/>
        </w:rPr>
        <w:t xml:space="preserve">ravdu jako objektivní </w:t>
      </w:r>
      <w:r w:rsidR="00AE1D9C">
        <w:rPr>
          <w:szCs w:val="13"/>
        </w:rPr>
        <w:t xml:space="preserve">asimilaci </w:t>
      </w:r>
      <w:r w:rsidRPr="00273106">
        <w:rPr>
          <w:szCs w:val="13"/>
        </w:rPr>
        <w:t>jsoucna</w:t>
      </w:r>
      <w:r>
        <w:rPr>
          <w:szCs w:val="13"/>
        </w:rPr>
        <w:t xml:space="preserve"> </w:t>
      </w:r>
      <w:r w:rsidR="00AE1D9C">
        <w:rPr>
          <w:szCs w:val="13"/>
        </w:rPr>
        <w:t xml:space="preserve">prováděnou v </w:t>
      </w:r>
      <w:r>
        <w:rPr>
          <w:szCs w:val="13"/>
        </w:rPr>
        <w:t>moderní</w:t>
      </w:r>
      <w:r w:rsidR="00AE1D9C">
        <w:rPr>
          <w:szCs w:val="13"/>
        </w:rPr>
        <w:t>m</w:t>
      </w:r>
      <w:r>
        <w:rPr>
          <w:szCs w:val="13"/>
        </w:rPr>
        <w:t xml:space="preserve"> intelektu. </w:t>
      </w:r>
      <w:r w:rsidR="00D62FEC" w:rsidRPr="00D62FEC">
        <w:rPr>
          <w:szCs w:val="13"/>
        </w:rPr>
        <w:t xml:space="preserve">První </w:t>
      </w:r>
      <w:r w:rsidR="00D62FEC">
        <w:rPr>
          <w:szCs w:val="13"/>
        </w:rPr>
        <w:t>substance jako „</w:t>
      </w:r>
      <w:r w:rsidR="00D62FEC" w:rsidRPr="00D62FEC">
        <w:rPr>
          <w:i/>
          <w:szCs w:val="13"/>
        </w:rPr>
        <w:t>ens ratum</w:t>
      </w:r>
      <w:r w:rsidR="00D62FEC">
        <w:rPr>
          <w:i/>
        </w:rPr>
        <w:fldChar w:fldCharType="begin"/>
      </w:r>
      <w:r w:rsidR="00D62FEC">
        <w:instrText xml:space="preserve"> XE "</w:instrText>
      </w:r>
      <w:r w:rsidR="00D62FEC" w:rsidRPr="00B2798F">
        <w:rPr>
          <w:rStyle w:val="addmd"/>
          <w:i/>
        </w:rPr>
        <w:instrText>ens ratum:</w:instrText>
      </w:r>
      <w:r w:rsidR="00D62FEC" w:rsidRPr="00B2798F">
        <w:instrText>A</w:instrText>
      </w:r>
      <w:r w:rsidR="00D62FEC">
        <w:instrText xml:space="preserve">lbert" </w:instrText>
      </w:r>
      <w:r w:rsidR="00D62FEC">
        <w:rPr>
          <w:i/>
        </w:rPr>
        <w:fldChar w:fldCharType="end"/>
      </w:r>
      <w:r w:rsidR="00D62FEC">
        <w:rPr>
          <w:szCs w:val="13"/>
        </w:rPr>
        <w:t>“</w:t>
      </w:r>
      <w:r w:rsidR="00D62FEC" w:rsidRPr="00D62FEC">
        <w:rPr>
          <w:szCs w:val="13"/>
        </w:rPr>
        <w:t xml:space="preserve"> (OBJ II, kap. </w:t>
      </w:r>
      <w:r w:rsidR="00D62FEC">
        <w:rPr>
          <w:szCs w:val="13"/>
        </w:rPr>
        <w:t>2.4.3) zcela zmizela</w:t>
      </w:r>
      <w:r w:rsidR="00D62FEC" w:rsidRPr="00D62FEC">
        <w:rPr>
          <w:szCs w:val="13"/>
        </w:rPr>
        <w:t xml:space="preserve">. Z hlediska pravdy jako </w:t>
      </w:r>
      <w:r w:rsidR="00D62FEC">
        <w:rPr>
          <w:szCs w:val="13"/>
        </w:rPr>
        <w:t xml:space="preserve">původní odkrytosti jsoucna </w:t>
      </w:r>
      <w:r w:rsidR="00D62FEC" w:rsidRPr="00D62FEC">
        <w:rPr>
          <w:szCs w:val="13"/>
        </w:rPr>
        <w:t>tak skončila dlouhá eta</w:t>
      </w:r>
      <w:r w:rsidR="00D62FEC">
        <w:rPr>
          <w:szCs w:val="13"/>
        </w:rPr>
        <w:t xml:space="preserve">pa moderny. Pravda jako Avicennovo </w:t>
      </w:r>
      <w:r w:rsidR="00D62FEC" w:rsidRPr="0006189E">
        <w:rPr>
          <w:i/>
          <w:szCs w:val="13"/>
        </w:rPr>
        <w:t>certitudo</w:t>
      </w:r>
      <w:r w:rsidR="00D62FEC">
        <w:rPr>
          <w:szCs w:val="13"/>
        </w:rPr>
        <w:t xml:space="preserve">, Anselmovo </w:t>
      </w:r>
      <w:r w:rsidR="00D62FEC" w:rsidRPr="0006189E">
        <w:rPr>
          <w:i/>
          <w:szCs w:val="13"/>
        </w:rPr>
        <w:t>rectitudo</w:t>
      </w:r>
      <w:r w:rsidR="00D62FEC">
        <w:rPr>
          <w:szCs w:val="13"/>
        </w:rPr>
        <w:t xml:space="preserve">, </w:t>
      </w:r>
      <w:r w:rsidR="00D62FEC" w:rsidRPr="00273106">
        <w:t>Gro</w:t>
      </w:r>
      <w:r w:rsidR="00D62FEC">
        <w:t xml:space="preserve">ssettesteho dualistické pojetí </w:t>
      </w:r>
      <w:r w:rsidR="00D62FEC" w:rsidRPr="00000276">
        <w:rPr>
          <w:i/>
        </w:rPr>
        <w:t>veritas in/complexa</w:t>
      </w:r>
      <w:r w:rsidR="00D62FEC" w:rsidRPr="00273106">
        <w:t xml:space="preserve"> </w:t>
      </w:r>
      <w:r w:rsidR="00D62FEC">
        <w:t xml:space="preserve">a </w:t>
      </w:r>
      <w:r w:rsidR="00D62FEC" w:rsidRPr="00273106">
        <w:t xml:space="preserve">Rufusovo </w:t>
      </w:r>
      <w:r w:rsidR="00D62FEC" w:rsidRPr="0006189E">
        <w:rPr>
          <w:i/>
        </w:rPr>
        <w:t>coaequatio</w:t>
      </w:r>
      <w:r w:rsidR="00D62FEC">
        <w:t xml:space="preserve"> bylo zkombinována do jedné </w:t>
      </w:r>
      <w:r w:rsidR="00D62FEC" w:rsidRPr="00D62FEC">
        <w:rPr>
          <w:szCs w:val="13"/>
        </w:rPr>
        <w:t>obje</w:t>
      </w:r>
      <w:r w:rsidR="00D62FEC">
        <w:rPr>
          <w:szCs w:val="13"/>
        </w:rPr>
        <w:t xml:space="preserve">ktivní teorie. </w:t>
      </w:r>
      <w:r w:rsidRPr="00273106">
        <w:t xml:space="preserve">Představením nové teorie pravdy </w:t>
      </w:r>
      <w:r w:rsidR="00D87134">
        <w:t>jako asimilace</w:t>
      </w:r>
      <w:r>
        <w:rPr>
          <w:i/>
        </w:rPr>
        <w:fldChar w:fldCharType="begin"/>
      </w:r>
      <w:r>
        <w:instrText xml:space="preserve"> XE "pravda:asimilace" </w:instrText>
      </w:r>
      <w:r>
        <w:rPr>
          <w:i/>
        </w:rPr>
        <w:fldChar w:fldCharType="end"/>
      </w:r>
      <w:r w:rsidR="00D87134">
        <w:rPr>
          <w:i/>
        </w:rPr>
        <w:t xml:space="preserve"> </w:t>
      </w:r>
      <w:r w:rsidRPr="00273106">
        <w:t>se uzavírá formace objektivity</w:t>
      </w:r>
      <w:r>
        <w:t xml:space="preserve">. Vzpomeňme na Bonaventurovu tezi, že věci jsou v bohu </w:t>
      </w:r>
      <w:r w:rsidRPr="0007217B">
        <w:rPr>
          <w:i/>
        </w:rPr>
        <w:t>tripliciter</w:t>
      </w:r>
      <w:r w:rsidR="08AD0F8E">
        <w:t xml:space="preserve"> (kap. 4</w:t>
      </w:r>
      <w:r>
        <w:t>.1.3). Objektivní podobu</w:t>
      </w:r>
      <w:r w:rsidRPr="00273106">
        <w:t xml:space="preserve"> pravdy </w:t>
      </w:r>
      <w:r>
        <w:t>v rámci trojí danosti jsoucna (</w:t>
      </w:r>
      <w:r w:rsidRPr="00DF7CC7">
        <w:rPr>
          <w:i/>
        </w:rPr>
        <w:t>effective</w:t>
      </w:r>
      <w:r>
        <w:t xml:space="preserve">, </w:t>
      </w:r>
      <w:r w:rsidRPr="00DF7CC7">
        <w:rPr>
          <w:i/>
        </w:rPr>
        <w:t>obiective</w:t>
      </w:r>
      <w:r>
        <w:t xml:space="preserve">, </w:t>
      </w:r>
      <w:r w:rsidRPr="00DF7CC7">
        <w:rPr>
          <w:i/>
        </w:rPr>
        <w:t>completive</w:t>
      </w:r>
      <w:r>
        <w:t xml:space="preserve">) </w:t>
      </w:r>
      <w:r w:rsidRPr="00273106">
        <w:t>podává tento citát.</w:t>
      </w:r>
    </w:p>
    <w:p w:rsidR="08163013" w:rsidRPr="00A82C2A" w:rsidRDefault="08163013" w:rsidP="08163013">
      <w:pPr>
        <w:pStyle w:val="Citace"/>
        <w:rPr>
          <w:noProof/>
          <w:lang w:val="cs-CZ"/>
        </w:rPr>
      </w:pPr>
      <w:r w:rsidRPr="00273106">
        <w:rPr>
          <w:noProof/>
          <w:lang w:val="cs-CZ"/>
        </w:rPr>
        <w:t>„</w:t>
      </w:r>
      <w:r>
        <w:rPr>
          <w:noProof/>
          <w:lang w:val="cs-CZ"/>
        </w:rPr>
        <w:t>Pravda stvořených věcí (</w:t>
      </w:r>
      <w:r w:rsidRPr="08413D2A">
        <w:rPr>
          <w:i/>
          <w:noProof/>
          <w:lang w:val="cs-CZ"/>
        </w:rPr>
        <w:t>v</w:t>
      </w:r>
      <w:r w:rsidRPr="08413D2A">
        <w:rPr>
          <w:i/>
          <w:noProof/>
        </w:rPr>
        <w:t xml:space="preserve">eritas </w:t>
      </w:r>
      <w:r w:rsidRPr="08413D2A">
        <w:rPr>
          <w:i/>
          <w:noProof/>
          <w:szCs w:val="13"/>
        </w:rPr>
        <w:t>particularis</w:t>
      </w:r>
      <w:r>
        <w:rPr>
          <w:noProof/>
          <w:lang w:val="cs-CZ"/>
        </w:rPr>
        <w:t>) je buď završená nebo nějak nezavršená (</w:t>
      </w:r>
      <w:r w:rsidRPr="08E33CA3">
        <w:rPr>
          <w:i/>
          <w:noProof/>
          <w:szCs w:val="12"/>
        </w:rPr>
        <w:t xml:space="preserve">est </w:t>
      </w:r>
      <w:r w:rsidRPr="08E33CA3">
        <w:rPr>
          <w:i/>
          <w:noProof/>
          <w:szCs w:val="15"/>
        </w:rPr>
        <w:t xml:space="preserve">complexa, </w:t>
      </w:r>
      <w:r w:rsidRPr="08E33CA3">
        <w:rPr>
          <w:i/>
          <w:noProof/>
          <w:szCs w:val="17"/>
        </w:rPr>
        <w:t xml:space="preserve">quaedam </w:t>
      </w:r>
      <w:r w:rsidRPr="08E33CA3">
        <w:rPr>
          <w:i/>
          <w:noProof/>
          <w:szCs w:val="15"/>
        </w:rPr>
        <w:t>incomplexa</w:t>
      </w:r>
      <w:r>
        <w:rPr>
          <w:noProof/>
          <w:lang w:val="cs-CZ"/>
        </w:rPr>
        <w:t>). Nezavršenou pravdu (</w:t>
      </w:r>
      <w:r w:rsidRPr="08E33CA3">
        <w:rPr>
          <w:i/>
          <w:noProof/>
          <w:lang w:val="cs-CZ"/>
        </w:rPr>
        <w:t>v</w:t>
      </w:r>
      <w:r w:rsidRPr="08E33CA3">
        <w:rPr>
          <w:i/>
          <w:noProof/>
        </w:rPr>
        <w:t xml:space="preserve">eritas </w:t>
      </w:r>
      <w:r w:rsidRPr="08E33CA3">
        <w:rPr>
          <w:i/>
          <w:noProof/>
          <w:szCs w:val="15"/>
        </w:rPr>
        <w:t>incomplexa</w:t>
      </w:r>
      <w:r>
        <w:rPr>
          <w:noProof/>
          <w:lang w:val="cs-CZ"/>
        </w:rPr>
        <w:t xml:space="preserve">), která je vztažena k pravdivé jsoucnosti věci, poznáváme skrze </w:t>
      </w:r>
      <w:r w:rsidR="08B23177">
        <w:rPr>
          <w:noProof/>
          <w:lang w:val="cs-CZ"/>
        </w:rPr>
        <w:t xml:space="preserve">objektivní </w:t>
      </w:r>
      <w:r w:rsidR="00962190">
        <w:rPr>
          <w:i/>
          <w:noProof/>
          <w:lang w:val="cs-CZ"/>
        </w:rPr>
        <w:t>species</w:t>
      </w:r>
      <w:r w:rsidR="08465108">
        <w:rPr>
          <w:noProof/>
          <w:lang w:val="cs-CZ"/>
        </w:rPr>
        <w:t xml:space="preserve"> jako pravdě </w:t>
      </w:r>
      <w:r w:rsidR="08E3501C">
        <w:rPr>
          <w:noProof/>
          <w:lang w:val="cs-CZ"/>
        </w:rPr>
        <w:t xml:space="preserve">vztažené k </w:t>
      </w:r>
      <w:r w:rsidR="08B23177">
        <w:rPr>
          <w:noProof/>
          <w:lang w:val="cs-CZ"/>
        </w:rPr>
        <w:t xml:space="preserve">reálné </w:t>
      </w:r>
      <w:r w:rsidR="08465108">
        <w:rPr>
          <w:noProof/>
          <w:lang w:val="cs-CZ"/>
        </w:rPr>
        <w:t xml:space="preserve">věci </w:t>
      </w:r>
      <w:r>
        <w:rPr>
          <w:noProof/>
          <w:lang w:val="cs-CZ"/>
        </w:rPr>
        <w:t>(</w:t>
      </w:r>
      <w:r w:rsidR="08465108" w:rsidRPr="08465108">
        <w:rPr>
          <w:i/>
          <w:noProof/>
          <w:szCs w:val="15"/>
        </w:rPr>
        <w:t xml:space="preserve">per </w:t>
      </w:r>
      <w:r w:rsidR="08465108" w:rsidRPr="08465108">
        <w:rPr>
          <w:i/>
          <w:noProof/>
        </w:rPr>
        <w:t xml:space="preserve">speciem, </w:t>
      </w:r>
      <w:r w:rsidR="08465108" w:rsidRPr="08465108">
        <w:rPr>
          <w:i/>
          <w:noProof/>
          <w:szCs w:val="13"/>
        </w:rPr>
        <w:t xml:space="preserve">sicut res </w:t>
      </w:r>
      <w:r w:rsidR="08465108" w:rsidRPr="08465108">
        <w:rPr>
          <w:i/>
          <w:noProof/>
        </w:rPr>
        <w:t xml:space="preserve">cuius </w:t>
      </w:r>
      <w:r w:rsidR="08465108" w:rsidRPr="08465108">
        <w:rPr>
          <w:i/>
          <w:noProof/>
          <w:szCs w:val="13"/>
        </w:rPr>
        <w:t xml:space="preserve">est </w:t>
      </w:r>
      <w:r w:rsidR="08465108" w:rsidRPr="08465108">
        <w:rPr>
          <w:i/>
          <w:noProof/>
          <w:szCs w:val="12"/>
        </w:rPr>
        <w:t>veritas</w:t>
      </w:r>
      <w:r>
        <w:rPr>
          <w:noProof/>
          <w:lang w:val="cs-CZ"/>
        </w:rPr>
        <w:t>). Pravdu v poznávacím soudu poznáváme kauzálně (</w:t>
      </w:r>
      <w:r w:rsidRPr="0007217B">
        <w:rPr>
          <w:i/>
          <w:noProof/>
          <w:lang w:val="cs-CZ"/>
        </w:rPr>
        <w:t>effective</w:t>
      </w:r>
      <w:r>
        <w:rPr>
          <w:noProof/>
          <w:lang w:val="cs-CZ"/>
        </w:rPr>
        <w:t>) skrze věčné světlo a objektivně (</w:t>
      </w:r>
      <w:r w:rsidRPr="0007217B">
        <w:rPr>
          <w:i/>
          <w:noProof/>
          <w:lang w:val="cs-CZ"/>
        </w:rPr>
        <w:t>obiective</w:t>
      </w:r>
      <w:r>
        <w:rPr>
          <w:noProof/>
          <w:lang w:val="cs-CZ"/>
        </w:rPr>
        <w:t xml:space="preserve">) skrze </w:t>
      </w:r>
      <w:r w:rsidR="00962190">
        <w:rPr>
          <w:i/>
          <w:noProof/>
          <w:lang w:val="cs-CZ"/>
        </w:rPr>
        <w:t>species</w:t>
      </w:r>
      <w:r>
        <w:rPr>
          <w:noProof/>
          <w:lang w:val="cs-CZ"/>
        </w:rPr>
        <w:t xml:space="preserve">, které v modu jednoduchosti zakládají význam poznaných </w:t>
      </w:r>
      <w:r>
        <w:rPr>
          <w:noProof/>
          <w:lang w:val="cs-CZ"/>
        </w:rPr>
        <w:lastRenderedPageBreak/>
        <w:t>termínů v soudu. V modu završení (</w:t>
      </w:r>
      <w:r w:rsidRPr="0007217B">
        <w:rPr>
          <w:i/>
          <w:noProof/>
          <w:lang w:val="cs-CZ"/>
        </w:rPr>
        <w:t>completive</w:t>
      </w:r>
      <w:r>
        <w:rPr>
          <w:noProof/>
          <w:lang w:val="cs-CZ"/>
        </w:rPr>
        <w:t xml:space="preserve">) </w:t>
      </w:r>
      <w:r w:rsidR="0033445E">
        <w:rPr>
          <w:noProof/>
          <w:lang w:val="cs-CZ"/>
        </w:rPr>
        <w:t xml:space="preserve">pak </w:t>
      </w:r>
      <w:r>
        <w:rPr>
          <w:noProof/>
          <w:lang w:val="cs-CZ"/>
        </w:rPr>
        <w:t>poznáváme vztahem k neměnném</w:t>
      </w:r>
      <w:r w:rsidR="00E26C5E">
        <w:rPr>
          <w:noProof/>
          <w:lang w:val="cs-CZ"/>
        </w:rPr>
        <w:t>u světlu, o němž Augustinus řekl</w:t>
      </w:r>
      <w:r>
        <w:rPr>
          <w:noProof/>
          <w:lang w:val="cs-CZ"/>
        </w:rPr>
        <w:t xml:space="preserve">, že </w:t>
      </w:r>
      <w:r w:rsidRPr="00273106">
        <w:rPr>
          <w:noProof/>
          <w:szCs w:val="17"/>
          <w:lang w:val="cs-CZ"/>
        </w:rPr>
        <w:t>«</w:t>
      </w:r>
      <w:r>
        <w:rPr>
          <w:noProof/>
          <w:lang w:val="cs-CZ"/>
        </w:rPr>
        <w:t>skrze něj vše</w:t>
      </w:r>
      <w:r w:rsidR="00C45381">
        <w:rPr>
          <w:noProof/>
          <w:lang w:val="cs-CZ"/>
        </w:rPr>
        <w:t>mu rozumíme</w:t>
      </w:r>
      <w:r w:rsidRPr="00273106">
        <w:rPr>
          <w:noProof/>
          <w:szCs w:val="12"/>
          <w:lang w:val="cs-CZ"/>
        </w:rPr>
        <w:t>»</w:t>
      </w:r>
      <w:r>
        <w:rPr>
          <w:noProof/>
          <w:szCs w:val="12"/>
          <w:lang w:val="cs-CZ"/>
        </w:rPr>
        <w:t>.</w:t>
      </w:r>
      <w:r w:rsidRPr="00273106">
        <w:rPr>
          <w:noProof/>
          <w:szCs w:val="12"/>
          <w:lang w:val="cs-CZ"/>
        </w:rPr>
        <w:t>“</w:t>
      </w:r>
      <w:r>
        <w:rPr>
          <w:noProof/>
          <w:szCs w:val="12"/>
          <w:lang w:val="cs-CZ"/>
        </w:rPr>
        <w:t xml:space="preserve"> </w:t>
      </w:r>
      <w:r>
        <w:rPr>
          <w:rStyle w:val="Znakapoznpodarou"/>
        </w:rPr>
        <w:footnoteReference w:id="112"/>
      </w:r>
    </w:p>
    <w:p w:rsidR="0069617D" w:rsidRDefault="08163013" w:rsidP="08163013">
      <w:pPr>
        <w:rPr>
          <w:szCs w:val="14"/>
        </w:rPr>
      </w:pPr>
      <w:r w:rsidRPr="00273106">
        <w:t>První část opakuje Grossetesteho dvojí poje</w:t>
      </w:r>
      <w:r>
        <w:t>tí pravdy dané kontingetně na složené substanci a trvale v esenci</w:t>
      </w:r>
      <w:r w:rsidRPr="00273106">
        <w:t xml:space="preserve">. </w:t>
      </w:r>
      <w:r>
        <w:t xml:space="preserve">Pravda jako adekvace myšlení a reálné věci je vyloučena hned v první větě. Adekvace poznávacího intelektu jde ke </w:t>
      </w:r>
      <w:r w:rsidR="00962190">
        <w:rPr>
          <w:i/>
        </w:rPr>
        <w:t>species</w:t>
      </w:r>
      <w:r>
        <w:t xml:space="preserve"> objektivně-pravdivě zastupující reálnou věc (</w:t>
      </w:r>
      <w:r w:rsidRPr="08126E18">
        <w:rPr>
          <w:i/>
          <w:szCs w:val="15"/>
        </w:rPr>
        <w:t xml:space="preserve">vera </w:t>
      </w:r>
      <w:r w:rsidRPr="08126E18">
        <w:rPr>
          <w:i/>
          <w:szCs w:val="12"/>
        </w:rPr>
        <w:t xml:space="preserve">rei entitas, </w:t>
      </w:r>
      <w:r w:rsidRPr="08126E18">
        <w:rPr>
          <w:i/>
        </w:rPr>
        <w:t xml:space="preserve">cognoscitur </w:t>
      </w:r>
      <w:r w:rsidRPr="08126E18">
        <w:rPr>
          <w:i/>
          <w:szCs w:val="15"/>
        </w:rPr>
        <w:t xml:space="preserve">per </w:t>
      </w:r>
      <w:r w:rsidRPr="08126E18">
        <w:rPr>
          <w:i/>
        </w:rPr>
        <w:t>speciem</w:t>
      </w:r>
      <w:r>
        <w:t xml:space="preserve">). Porretánská </w:t>
      </w:r>
      <w:r w:rsidR="00962190">
        <w:rPr>
          <w:i/>
        </w:rPr>
        <w:t>species</w:t>
      </w:r>
      <w:r>
        <w:t xml:space="preserve"> plně reprezentuje reálnou věc jako její objektivní simulákrum (</w:t>
      </w:r>
      <w:r w:rsidRPr="00A82C2A">
        <w:rPr>
          <w:i/>
          <w:szCs w:val="13"/>
        </w:rPr>
        <w:t xml:space="preserve">sicut res </w:t>
      </w:r>
      <w:r w:rsidRPr="00A82C2A">
        <w:rPr>
          <w:i/>
          <w:szCs w:val="14"/>
        </w:rPr>
        <w:t xml:space="preserve">cuius </w:t>
      </w:r>
      <w:r w:rsidRPr="00A82C2A">
        <w:rPr>
          <w:i/>
          <w:szCs w:val="13"/>
        </w:rPr>
        <w:t xml:space="preserve">est </w:t>
      </w:r>
      <w:r w:rsidRPr="00A82C2A">
        <w:rPr>
          <w:i/>
          <w:szCs w:val="12"/>
        </w:rPr>
        <w:t>veritas</w:t>
      </w:r>
      <w:r>
        <w:t xml:space="preserve">). Tranzitivní </w:t>
      </w:r>
      <w:r w:rsidRPr="00273106">
        <w:t>určení pravdy se týká reálně existující jednotliviny (</w:t>
      </w:r>
      <w:r w:rsidRPr="00273106">
        <w:rPr>
          <w:i/>
        </w:rPr>
        <w:t>veritas incomplexa</w:t>
      </w:r>
      <w:r w:rsidRPr="00273106">
        <w:t xml:space="preserve">), </w:t>
      </w:r>
      <w:r>
        <w:t xml:space="preserve">protože </w:t>
      </w:r>
      <w:r w:rsidRPr="00273106">
        <w:t xml:space="preserve">její </w:t>
      </w:r>
      <w:r>
        <w:t xml:space="preserve">empiricky daná </w:t>
      </w:r>
      <w:r w:rsidRPr="00273106">
        <w:t>pravda</w:t>
      </w:r>
      <w:r>
        <w:t xml:space="preserve"> </w:t>
      </w:r>
      <w:r w:rsidRPr="00273106">
        <w:t>má pouze kontingentní charakter</w:t>
      </w:r>
      <w:r>
        <w:t xml:space="preserve"> vázaný na hylemorfickou první substanci</w:t>
      </w:r>
      <w:r w:rsidRPr="00273106">
        <w:t xml:space="preserve">. Následující věta </w:t>
      </w:r>
      <w:r>
        <w:t xml:space="preserve">rozdílem </w:t>
      </w:r>
      <w:r w:rsidR="003053D0">
        <w:t>„</w:t>
      </w:r>
      <w:proofErr w:type="gramStart"/>
      <w:r w:rsidRPr="00273106">
        <w:rPr>
          <w:i/>
        </w:rPr>
        <w:t>effective</w:t>
      </w:r>
      <w:proofErr w:type="gramEnd"/>
      <w:r w:rsidR="003053D0">
        <w:t>–</w:t>
      </w:r>
      <w:proofErr w:type="gramStart"/>
      <w:r w:rsidRPr="00273106">
        <w:rPr>
          <w:i/>
        </w:rPr>
        <w:t>obiective</w:t>
      </w:r>
      <w:proofErr w:type="gramEnd"/>
      <w:r w:rsidR="003053D0">
        <w:t>“</w:t>
      </w:r>
      <w:r w:rsidRPr="00273106">
        <w:t xml:space="preserve"> ukazuje pravd</w:t>
      </w:r>
      <w:r w:rsidR="003053D0">
        <w:t xml:space="preserve">u </w:t>
      </w:r>
      <w:r w:rsidR="0079706D">
        <w:t>jako o</w:t>
      </w:r>
      <w:r w:rsidRPr="00273106">
        <w:t>ntoteologick</w:t>
      </w:r>
      <w:r w:rsidR="0079706D">
        <w:t xml:space="preserve">ou asimilaci objektivního </w:t>
      </w:r>
      <w:r>
        <w:t>jsoucna</w:t>
      </w:r>
      <w:r w:rsidRPr="00273106">
        <w:t xml:space="preserve">. První substance v reálu není účinná příčina poznání, protože efektivní zdroj demonstrativního </w:t>
      </w:r>
      <w:r w:rsidR="003200E8">
        <w:t xml:space="preserve">důkazu </w:t>
      </w:r>
      <w:r>
        <w:t xml:space="preserve">představuje </w:t>
      </w:r>
      <w:r w:rsidRPr="00273106">
        <w:t>věčné světlo (</w:t>
      </w:r>
      <w:r w:rsidRPr="00273106">
        <w:rPr>
          <w:i/>
          <w:szCs w:val="14"/>
        </w:rPr>
        <w:t xml:space="preserve">veritas </w:t>
      </w:r>
      <w:r w:rsidRPr="00273106">
        <w:rPr>
          <w:i/>
          <w:szCs w:val="13"/>
        </w:rPr>
        <w:t xml:space="preserve">enuntiabilis </w:t>
      </w:r>
      <w:r w:rsidRPr="00273106">
        <w:rPr>
          <w:i/>
          <w:szCs w:val="14"/>
        </w:rPr>
        <w:t xml:space="preserve">cognoscitur </w:t>
      </w:r>
      <w:r w:rsidRPr="00273106">
        <w:rPr>
          <w:i/>
          <w:szCs w:val="13"/>
        </w:rPr>
        <w:t xml:space="preserve">effective </w:t>
      </w:r>
      <w:r w:rsidRPr="00273106">
        <w:rPr>
          <w:i/>
          <w:szCs w:val="15"/>
        </w:rPr>
        <w:t xml:space="preserve">per </w:t>
      </w:r>
      <w:r w:rsidRPr="00273106">
        <w:rPr>
          <w:i/>
          <w:szCs w:val="16"/>
        </w:rPr>
        <w:t xml:space="preserve">lucem </w:t>
      </w:r>
      <w:r w:rsidRPr="00273106">
        <w:rPr>
          <w:i/>
          <w:szCs w:val="15"/>
        </w:rPr>
        <w:t>aeternam</w:t>
      </w:r>
      <w:r w:rsidRPr="00273106">
        <w:t>). Signace jsoucna jde primárně od světla boží tváře</w:t>
      </w:r>
      <w:r w:rsidR="00A97641">
        <w:t xml:space="preserve"> jako Bonaventurova</w:t>
      </w:r>
      <w:r>
        <w:t xml:space="preserve"> </w:t>
      </w:r>
      <w:r w:rsidRPr="00F47BB3">
        <w:rPr>
          <w:i/>
        </w:rPr>
        <w:t>signatum</w:t>
      </w:r>
      <w:r>
        <w:rPr>
          <w:i/>
        </w:rPr>
        <w:fldChar w:fldCharType="begin"/>
      </w:r>
      <w:r>
        <w:instrText xml:space="preserve"> XE "</w:instrText>
      </w:r>
      <w:r w:rsidRPr="009F3DC0">
        <w:rPr>
          <w:i/>
        </w:rPr>
        <w:instrText>signatum</w:instrText>
      </w:r>
      <w:r>
        <w:instrText xml:space="preserve">" </w:instrText>
      </w:r>
      <w:r>
        <w:rPr>
          <w:i/>
        </w:rPr>
        <w:fldChar w:fldCharType="end"/>
      </w:r>
      <w:r>
        <w:t>)</w:t>
      </w:r>
      <w:r w:rsidRPr="00273106">
        <w:t xml:space="preserve">, které </w:t>
      </w:r>
      <w:r>
        <w:t xml:space="preserve">Descartes a </w:t>
      </w:r>
      <w:r w:rsidRPr="00273106">
        <w:t>Leibniz nahradí matematikou</w:t>
      </w:r>
      <w:r>
        <w:fldChar w:fldCharType="begin"/>
      </w:r>
      <w:r>
        <w:instrText xml:space="preserve"> XE "</w:instrText>
      </w:r>
      <w:r w:rsidRPr="00E71D4C">
        <w:instrText>zatmění:substance</w:instrText>
      </w:r>
      <w:r>
        <w:instrText xml:space="preserve">" </w:instrText>
      </w:r>
      <w:r>
        <w:fldChar w:fldCharType="end"/>
      </w:r>
      <w:r w:rsidRPr="00273106">
        <w:t xml:space="preserve">. </w:t>
      </w:r>
      <w:r w:rsidR="00713F8E">
        <w:t xml:space="preserve">Důležitá </w:t>
      </w:r>
      <w:r w:rsidRPr="00273106">
        <w:t>je druhá</w:t>
      </w:r>
      <w:r w:rsidR="000B1AA0">
        <w:t xml:space="preserve"> část, která </w:t>
      </w:r>
      <w:r w:rsidR="000E3D42">
        <w:t xml:space="preserve">v Pechamově škole zakládá </w:t>
      </w:r>
      <w:r w:rsidRPr="00273106">
        <w:t xml:space="preserve">objektivní </w:t>
      </w:r>
      <w:r w:rsidR="000B1AA0">
        <w:t xml:space="preserve">povahu </w:t>
      </w:r>
      <w:r w:rsidRPr="00273106">
        <w:t>poznání</w:t>
      </w:r>
      <w:r w:rsidR="006E04E5">
        <w:t xml:space="preserve">. Objektivita </w:t>
      </w:r>
      <w:r w:rsidRPr="00273106">
        <w:t xml:space="preserve">následuje po </w:t>
      </w:r>
      <w:r w:rsidR="000E3D42">
        <w:t xml:space="preserve">mytologické </w:t>
      </w:r>
      <w:r w:rsidRPr="00273106">
        <w:t>signaci jsoucna</w:t>
      </w:r>
      <w:r w:rsidR="00FE50A6">
        <w:t>. Ta</w:t>
      </w:r>
      <w:r w:rsidR="00164065">
        <w:t xml:space="preserve"> vytváří novou formu</w:t>
      </w:r>
      <w:r w:rsidR="00FE50A6">
        <w:t xml:space="preserve"> impozice, která zakládá </w:t>
      </w:r>
      <w:r>
        <w:t xml:space="preserve">efektivní nasvícení </w:t>
      </w:r>
      <w:r w:rsidR="00FE50A6">
        <w:t xml:space="preserve">smyslu jsoucna dané </w:t>
      </w:r>
      <w:r>
        <w:t>zezadu</w:t>
      </w:r>
      <w:r w:rsidR="00FE50A6">
        <w:t>, od boží tváře</w:t>
      </w:r>
      <w:r w:rsidRPr="00273106">
        <w:t xml:space="preserve">. </w:t>
      </w:r>
      <w:r>
        <w:t>S</w:t>
      </w:r>
      <w:r w:rsidRPr="00273106">
        <w:t xml:space="preserve">vět </w:t>
      </w:r>
      <w:r>
        <w:t xml:space="preserve">poznáváme </w:t>
      </w:r>
      <w:r w:rsidRPr="00273106">
        <w:rPr>
          <w:i/>
        </w:rPr>
        <w:t>obiective</w:t>
      </w:r>
      <w:r w:rsidRPr="00273106">
        <w:t xml:space="preserve"> skrze nový druh </w:t>
      </w:r>
      <w:r w:rsidRPr="00273106">
        <w:rPr>
          <w:i/>
        </w:rPr>
        <w:t>demonstratio</w:t>
      </w:r>
      <w:r>
        <w:t>.</w:t>
      </w:r>
      <w:r w:rsidRPr="00273106">
        <w:t xml:space="preserve"> Termíny soudu chápané v rámci </w:t>
      </w:r>
      <w:r w:rsidRPr="00273106">
        <w:rPr>
          <w:i/>
        </w:rPr>
        <w:t>Oxfordian Fallacy</w:t>
      </w:r>
      <w:r w:rsidRPr="00273106">
        <w:t xml:space="preserve"> nejdou ke kauzalitě první substance, ale k </w:t>
      </w:r>
      <w:r>
        <w:t xml:space="preserve">objektivně </w:t>
      </w:r>
      <w:r w:rsidRPr="00273106">
        <w:t xml:space="preserve">daným formám </w:t>
      </w:r>
      <w:r w:rsidR="00962190" w:rsidRPr="002E6D08">
        <w:t>species</w:t>
      </w:r>
      <w:r w:rsidRPr="00273106">
        <w:t xml:space="preserve"> (</w:t>
      </w:r>
      <w:r w:rsidRPr="00273106">
        <w:rPr>
          <w:i/>
          <w:szCs w:val="14"/>
        </w:rPr>
        <w:t xml:space="preserve">obiective </w:t>
      </w:r>
      <w:r w:rsidRPr="00273106">
        <w:rPr>
          <w:i/>
          <w:szCs w:val="15"/>
        </w:rPr>
        <w:t xml:space="preserve">per </w:t>
      </w:r>
      <w:r w:rsidR="00962190">
        <w:rPr>
          <w:i/>
          <w:szCs w:val="14"/>
        </w:rPr>
        <w:t>species</w:t>
      </w:r>
      <w:r w:rsidRPr="00273106">
        <w:rPr>
          <w:szCs w:val="14"/>
        </w:rPr>
        <w:t xml:space="preserve">). </w:t>
      </w:r>
      <w:r w:rsidR="080429DD">
        <w:rPr>
          <w:szCs w:val="14"/>
        </w:rPr>
        <w:t>Forma objektivity daná</w:t>
      </w:r>
      <w:r>
        <w:rPr>
          <w:szCs w:val="14"/>
        </w:rPr>
        <w:t xml:space="preserve"> skrze aristotelský </w:t>
      </w:r>
      <w:r w:rsidR="002E6D08">
        <w:rPr>
          <w:lang w:eastAsia="en-US"/>
        </w:rPr>
        <w:t>„</w:t>
      </w:r>
      <w:r w:rsidR="002E6D08" w:rsidRPr="00881396">
        <w:rPr>
          <w:i/>
          <w:lang w:eastAsia="en-US"/>
        </w:rPr>
        <w:t>intellectus debilis</w:t>
      </w:r>
      <w:r w:rsidR="002E6D08">
        <w:rPr>
          <w:lang w:eastAsia="en-US"/>
        </w:rPr>
        <w:t xml:space="preserve">“ </w:t>
      </w:r>
      <w:r>
        <w:rPr>
          <w:szCs w:val="14"/>
        </w:rPr>
        <w:t xml:space="preserve">se postará po vzoru Rufuse o empirické </w:t>
      </w:r>
      <w:r w:rsidR="00FD344D">
        <w:rPr>
          <w:szCs w:val="14"/>
        </w:rPr>
        <w:t xml:space="preserve">poznání objektivních </w:t>
      </w:r>
      <w:r w:rsidR="00962190" w:rsidRPr="002E6D08">
        <w:rPr>
          <w:szCs w:val="14"/>
        </w:rPr>
        <w:t>species</w:t>
      </w:r>
      <w:r w:rsidR="08AE1850">
        <w:rPr>
          <w:szCs w:val="14"/>
        </w:rPr>
        <w:t xml:space="preserve">. </w:t>
      </w:r>
      <w:r>
        <w:rPr>
          <w:szCs w:val="14"/>
        </w:rPr>
        <w:t xml:space="preserve">Ale iluminát má </w:t>
      </w:r>
      <w:r w:rsidR="08AE1850">
        <w:rPr>
          <w:szCs w:val="14"/>
        </w:rPr>
        <w:t>pevný</w:t>
      </w:r>
      <w:r>
        <w:rPr>
          <w:szCs w:val="14"/>
        </w:rPr>
        <w:t xml:space="preserve"> paranoický intelekt, který vytváří novu formu objektivního </w:t>
      </w:r>
      <w:r w:rsidRPr="084F3FEC">
        <w:rPr>
          <w:i/>
          <w:szCs w:val="14"/>
        </w:rPr>
        <w:t>demonstratio</w:t>
      </w:r>
      <w:r>
        <w:rPr>
          <w:szCs w:val="14"/>
        </w:rPr>
        <w:t xml:space="preserve"> skrze přímý boží zásah do výkonu přirozeného poznání (</w:t>
      </w:r>
      <w:r w:rsidRPr="084F3FEC">
        <w:rPr>
          <w:i/>
          <w:szCs w:val="13"/>
        </w:rPr>
        <w:t xml:space="preserve">effective </w:t>
      </w:r>
      <w:r w:rsidRPr="084F3FEC">
        <w:rPr>
          <w:i/>
          <w:szCs w:val="15"/>
        </w:rPr>
        <w:t xml:space="preserve">per </w:t>
      </w:r>
      <w:r w:rsidRPr="084F3FEC">
        <w:rPr>
          <w:i/>
          <w:szCs w:val="16"/>
        </w:rPr>
        <w:t xml:space="preserve">lucem </w:t>
      </w:r>
      <w:r w:rsidRPr="084F3FEC">
        <w:rPr>
          <w:i/>
          <w:szCs w:val="15"/>
        </w:rPr>
        <w:t>aeternam</w:t>
      </w:r>
      <w:r>
        <w:rPr>
          <w:szCs w:val="14"/>
        </w:rPr>
        <w:t xml:space="preserve">). Tento demonstrativně daný nesmysl zrušil Scotus a v postmoderně jej obnovili </w:t>
      </w:r>
      <w:r>
        <w:t>okazionalisté (</w:t>
      </w:r>
      <w:r>
        <w:rPr>
          <w:rStyle w:val="addmd"/>
        </w:rPr>
        <w:t>Berkeley</w:t>
      </w:r>
      <w:r>
        <w:rPr>
          <w:rStyle w:val="addmd"/>
        </w:rPr>
        <w:fldChar w:fldCharType="begin"/>
      </w:r>
      <w:r>
        <w:instrText xml:space="preserve"> XE "</w:instrText>
      </w:r>
      <w:r w:rsidRPr="002F48E0">
        <w:instrText>Berkeley, G.</w:instrText>
      </w:r>
      <w:r>
        <w:instrText xml:space="preserve">" </w:instrText>
      </w:r>
      <w:r>
        <w:rPr>
          <w:rStyle w:val="addmd"/>
        </w:rPr>
        <w:fldChar w:fldCharType="end"/>
      </w:r>
      <w:r>
        <w:rPr>
          <w:rStyle w:val="addmd"/>
        </w:rPr>
        <w:t>, Maleblanche)</w:t>
      </w:r>
      <w:r>
        <w:rPr>
          <w:szCs w:val="14"/>
        </w:rPr>
        <w:t xml:space="preserve">. Stejná </w:t>
      </w:r>
      <w:r w:rsidR="00962190" w:rsidRPr="009E620C">
        <w:rPr>
          <w:szCs w:val="14"/>
        </w:rPr>
        <w:t>species</w:t>
      </w:r>
      <w:r>
        <w:rPr>
          <w:szCs w:val="14"/>
        </w:rPr>
        <w:t xml:space="preserve"> efektivně nasvícená od boha tvoří </w:t>
      </w:r>
      <w:r w:rsidRPr="08EC1D05">
        <w:rPr>
          <w:i/>
          <w:szCs w:val="14"/>
        </w:rPr>
        <w:t>medium</w:t>
      </w:r>
      <w:r w:rsidR="009E620C">
        <w:rPr>
          <w:szCs w:val="14"/>
        </w:rPr>
        <w:t xml:space="preserve"> deduktivního vědeckého syllogismu</w:t>
      </w:r>
      <w:r>
        <w:rPr>
          <w:szCs w:val="14"/>
        </w:rPr>
        <w:t xml:space="preserve">. Její manifestace v modu završené pravdy </w:t>
      </w:r>
      <w:r w:rsidRPr="00273106">
        <w:t>(</w:t>
      </w:r>
      <w:r>
        <w:rPr>
          <w:i/>
        </w:rPr>
        <w:t xml:space="preserve">veritas </w:t>
      </w:r>
      <w:r w:rsidRPr="00273106">
        <w:rPr>
          <w:i/>
        </w:rPr>
        <w:lastRenderedPageBreak/>
        <w:t>complexa</w:t>
      </w:r>
      <w:r w:rsidRPr="00273106">
        <w:t>)</w:t>
      </w:r>
      <w:r>
        <w:t xml:space="preserve"> </w:t>
      </w:r>
      <w:r>
        <w:rPr>
          <w:szCs w:val="14"/>
        </w:rPr>
        <w:t>vytváří nový termín (</w:t>
      </w:r>
      <w:r w:rsidRPr="00A664C1">
        <w:rPr>
          <w:i/>
          <w:szCs w:val="15"/>
        </w:rPr>
        <w:t xml:space="preserve">simplicium </w:t>
      </w:r>
      <w:r w:rsidRPr="00A664C1">
        <w:rPr>
          <w:i/>
          <w:szCs w:val="16"/>
        </w:rPr>
        <w:t>terminorum</w:t>
      </w:r>
      <w:r>
        <w:rPr>
          <w:szCs w:val="14"/>
        </w:rPr>
        <w:t>) nutný k rozběhnutí plně objektivního deduktivního soudu (</w:t>
      </w:r>
      <w:r w:rsidRPr="00A664C1">
        <w:rPr>
          <w:i/>
          <w:szCs w:val="15"/>
        </w:rPr>
        <w:t>enun</w:t>
      </w:r>
      <w:r w:rsidRPr="00A664C1">
        <w:rPr>
          <w:i/>
          <w:szCs w:val="12"/>
        </w:rPr>
        <w:t xml:space="preserve">tiabile </w:t>
      </w:r>
      <w:r w:rsidRPr="00A664C1">
        <w:rPr>
          <w:i/>
        </w:rPr>
        <w:t>constituentium</w:t>
      </w:r>
      <w:r>
        <w:rPr>
          <w:szCs w:val="14"/>
        </w:rPr>
        <w:t>)</w:t>
      </w:r>
      <w:r>
        <w:rPr>
          <w:szCs w:val="14"/>
        </w:rPr>
        <w:fldChar w:fldCharType="begin"/>
      </w:r>
      <w:r>
        <w:instrText xml:space="preserve"> XE "</w:instrText>
      </w:r>
      <w:r w:rsidRPr="001D1A5D">
        <w:instrText>kauzalita:objektivní</w:instrText>
      </w:r>
      <w:r>
        <w:instrText xml:space="preserve">" </w:instrText>
      </w:r>
      <w:r>
        <w:rPr>
          <w:szCs w:val="14"/>
        </w:rPr>
        <w:fldChar w:fldCharType="end"/>
      </w:r>
      <w:r w:rsidR="0069617D">
        <w:rPr>
          <w:szCs w:val="14"/>
        </w:rPr>
        <w:t>.</w:t>
      </w:r>
    </w:p>
    <w:p w:rsidR="08163013" w:rsidRPr="003454E1" w:rsidRDefault="08163013" w:rsidP="003454E1">
      <w:pPr>
        <w:ind w:firstLine="397"/>
        <w:rPr>
          <w:lang w:eastAsia="en-US"/>
        </w:rPr>
      </w:pPr>
      <w:r>
        <w:rPr>
          <w:szCs w:val="14"/>
        </w:rPr>
        <w:t xml:space="preserve">Pecham vytvořil plně objektivní verzi </w:t>
      </w:r>
      <w:r w:rsidRPr="00A664C1">
        <w:rPr>
          <w:i/>
          <w:szCs w:val="14"/>
        </w:rPr>
        <w:t>Oxfordian Fallacy</w:t>
      </w:r>
      <w:r>
        <w:rPr>
          <w:i/>
          <w:szCs w:val="14"/>
        </w:rPr>
        <w:fldChar w:fldCharType="begin"/>
      </w:r>
      <w:r>
        <w:instrText xml:space="preserve"> XE "</w:instrText>
      </w:r>
      <w:r w:rsidRPr="0015798D">
        <w:rPr>
          <w:i/>
        </w:rPr>
        <w:instrText>Oxfordian Fallacy:</w:instrText>
      </w:r>
      <w:r w:rsidRPr="00292098">
        <w:instrText>objektivita</w:instrText>
      </w:r>
      <w:r>
        <w:instrText xml:space="preserve">" </w:instrText>
      </w:r>
      <w:r>
        <w:rPr>
          <w:i/>
          <w:szCs w:val="14"/>
        </w:rPr>
        <w:fldChar w:fldCharType="end"/>
      </w:r>
      <w:r>
        <w:rPr>
          <w:szCs w:val="14"/>
        </w:rPr>
        <w:t xml:space="preserve"> v modu augustiniánské iluminace</w:t>
      </w:r>
      <w:r w:rsidR="0069617D">
        <w:rPr>
          <w:szCs w:val="14"/>
        </w:rPr>
        <w:t xml:space="preserve">. </w:t>
      </w:r>
      <w:r w:rsidR="004825F4">
        <w:rPr>
          <w:szCs w:val="14"/>
        </w:rPr>
        <w:t xml:space="preserve">Hlásat takový nesmysl v </w:t>
      </w:r>
      <w:r w:rsidR="0069617D">
        <w:rPr>
          <w:szCs w:val="14"/>
        </w:rPr>
        <w:t>uni</w:t>
      </w:r>
      <w:r w:rsidR="004825F4">
        <w:rPr>
          <w:szCs w:val="14"/>
        </w:rPr>
        <w:t xml:space="preserve">verzitní Paříži kolem roku 1270, </w:t>
      </w:r>
      <w:r w:rsidR="0069617D">
        <w:rPr>
          <w:szCs w:val="14"/>
        </w:rPr>
        <w:t xml:space="preserve">to znamenalo </w:t>
      </w:r>
      <w:r>
        <w:rPr>
          <w:szCs w:val="14"/>
        </w:rPr>
        <w:t xml:space="preserve">akademickou sebevraždu. </w:t>
      </w:r>
      <w:r w:rsidR="08B3005E" w:rsidRPr="00273106">
        <w:rPr>
          <w:szCs w:val="14"/>
        </w:rPr>
        <w:t xml:space="preserve">V modu </w:t>
      </w:r>
      <w:r w:rsidR="08B3005E">
        <w:rPr>
          <w:szCs w:val="14"/>
        </w:rPr>
        <w:t>kauz</w:t>
      </w:r>
      <w:r w:rsidR="00E518CF">
        <w:rPr>
          <w:szCs w:val="14"/>
        </w:rPr>
        <w:t xml:space="preserve">ality </w:t>
      </w:r>
      <w:r w:rsidR="08B3005E" w:rsidRPr="00273106">
        <w:rPr>
          <w:szCs w:val="14"/>
        </w:rPr>
        <w:t xml:space="preserve">není dána první substance, ale </w:t>
      </w:r>
      <w:r w:rsidR="08B3005E">
        <w:rPr>
          <w:szCs w:val="14"/>
        </w:rPr>
        <w:t xml:space="preserve">objektivní </w:t>
      </w:r>
      <w:r w:rsidR="00962190" w:rsidRPr="0056494E">
        <w:rPr>
          <w:szCs w:val="14"/>
        </w:rPr>
        <w:t>species</w:t>
      </w:r>
      <w:r w:rsidR="08B3005E" w:rsidRPr="00273106">
        <w:rPr>
          <w:szCs w:val="14"/>
        </w:rPr>
        <w:t xml:space="preserve">. </w:t>
      </w:r>
      <w:r w:rsidR="089149B2">
        <w:rPr>
          <w:szCs w:val="14"/>
        </w:rPr>
        <w:t>R</w:t>
      </w:r>
      <w:r w:rsidR="0095491A">
        <w:rPr>
          <w:szCs w:val="14"/>
        </w:rPr>
        <w:t>ozdíl v pojmu „</w:t>
      </w:r>
      <w:r w:rsidRPr="00273106">
        <w:rPr>
          <w:i/>
          <w:szCs w:val="14"/>
        </w:rPr>
        <w:t>simpliciter</w:t>
      </w:r>
      <w:r w:rsidR="0095491A">
        <w:rPr>
          <w:szCs w:val="14"/>
        </w:rPr>
        <w:t>“</w:t>
      </w:r>
      <w:r w:rsidRPr="00273106">
        <w:rPr>
          <w:szCs w:val="14"/>
        </w:rPr>
        <w:t xml:space="preserve"> </w:t>
      </w:r>
      <w:r>
        <w:rPr>
          <w:szCs w:val="14"/>
        </w:rPr>
        <w:t xml:space="preserve">mezi prvním a druhým averroismem </w:t>
      </w:r>
      <w:r w:rsidR="00300189">
        <w:rPr>
          <w:szCs w:val="14"/>
        </w:rPr>
        <w:t>založil</w:t>
      </w:r>
      <w:r w:rsidRPr="00273106">
        <w:rPr>
          <w:szCs w:val="14"/>
        </w:rPr>
        <w:t xml:space="preserve"> </w:t>
      </w:r>
      <w:r w:rsidR="08B3005E">
        <w:rPr>
          <w:szCs w:val="14"/>
        </w:rPr>
        <w:t xml:space="preserve">objektivní </w:t>
      </w:r>
      <w:r w:rsidRPr="00273106">
        <w:rPr>
          <w:szCs w:val="14"/>
        </w:rPr>
        <w:t>vidění moderny</w:t>
      </w:r>
      <w:r w:rsidR="08AE1850">
        <w:rPr>
          <w:szCs w:val="14"/>
        </w:rPr>
        <w:t xml:space="preserve"> (OBJ II, kap. 3.3.1). </w:t>
      </w:r>
      <w:r w:rsidRPr="00273106">
        <w:t>Signifikace logických prvků soudu (</w:t>
      </w:r>
      <w:r w:rsidRPr="00273106">
        <w:rPr>
          <w:i/>
          <w:szCs w:val="15"/>
        </w:rPr>
        <w:t>enun</w:t>
      </w:r>
      <w:r w:rsidRPr="00273106">
        <w:rPr>
          <w:i/>
          <w:szCs w:val="12"/>
        </w:rPr>
        <w:t>tiabile</w:t>
      </w:r>
      <w:r>
        <w:t xml:space="preserve">) přebírá </w:t>
      </w:r>
      <w:r w:rsidRPr="00273106">
        <w:t>Grosse</w:t>
      </w:r>
      <w:r>
        <w:t>testeho přímý náhled</w:t>
      </w:r>
      <w:r w:rsidRPr="00273106">
        <w:t xml:space="preserve"> esencí (</w:t>
      </w:r>
      <w:r w:rsidRPr="00273106">
        <w:rPr>
          <w:i/>
        </w:rPr>
        <w:t>intellectum</w:t>
      </w:r>
      <w:r w:rsidRPr="00273106">
        <w:t xml:space="preserve">), které Rufus změnil na </w:t>
      </w:r>
      <w:r w:rsidR="00D93791">
        <w:t xml:space="preserve">vidění </w:t>
      </w:r>
      <w:r w:rsidRPr="00273106">
        <w:t>objektivní</w:t>
      </w:r>
      <w:r w:rsidR="00D93791">
        <w:t>ch</w:t>
      </w:r>
      <w:r w:rsidRPr="00273106">
        <w:t xml:space="preserve"> </w:t>
      </w:r>
      <w:r w:rsidRPr="00273106">
        <w:rPr>
          <w:i/>
        </w:rPr>
        <w:t>scibile</w:t>
      </w:r>
      <w:r>
        <w:rPr>
          <w:i/>
        </w:rPr>
        <w:fldChar w:fldCharType="begin"/>
      </w:r>
      <w:r>
        <w:instrText xml:space="preserve"> XE "</w:instrText>
      </w:r>
      <w:r w:rsidRPr="00AA4F67">
        <w:rPr>
          <w:i/>
        </w:rPr>
        <w:instrText>scibile</w:instrText>
      </w:r>
      <w:r>
        <w:rPr>
          <w:i/>
        </w:rPr>
        <w:instrText>:</w:instrText>
      </w:r>
      <w:r w:rsidRPr="00292098">
        <w:instrText>Pecham</w:instrText>
      </w:r>
      <w:r>
        <w:instrText xml:space="preserve">" </w:instrText>
      </w:r>
      <w:r>
        <w:rPr>
          <w:i/>
        </w:rPr>
        <w:fldChar w:fldCharType="end"/>
      </w:r>
      <w:r w:rsidRPr="00273106">
        <w:t xml:space="preserve">. </w:t>
      </w:r>
      <w:r>
        <w:t>Poznání vidí</w:t>
      </w:r>
      <w:r w:rsidRPr="00273106">
        <w:t xml:space="preserve"> </w:t>
      </w:r>
      <w:r w:rsidR="00962190" w:rsidRPr="00155A08">
        <w:t>species</w:t>
      </w:r>
      <w:r w:rsidRPr="001D2F7F">
        <w:t xml:space="preserve"> </w:t>
      </w:r>
      <w:r w:rsidR="00155A08">
        <w:t xml:space="preserve">přímo </w:t>
      </w:r>
      <w:r w:rsidRPr="00273106">
        <w:t xml:space="preserve">ve věcech, čili </w:t>
      </w:r>
      <w:r>
        <w:t xml:space="preserve">mysticky nazírá </w:t>
      </w:r>
      <w:r w:rsidRPr="00273106">
        <w:t xml:space="preserve">Bonaventurovy </w:t>
      </w:r>
      <w:r w:rsidRPr="00273106">
        <w:rPr>
          <w:i/>
        </w:rPr>
        <w:t>rationes seminales</w:t>
      </w:r>
      <w:r>
        <w:rPr>
          <w:i/>
        </w:rPr>
        <w:fldChar w:fldCharType="begin"/>
      </w:r>
      <w:r>
        <w:instrText xml:space="preserve"> XE "</w:instrText>
      </w:r>
      <w:r w:rsidRPr="00842B74">
        <w:rPr>
          <w:i/>
        </w:rPr>
        <w:instrText>rationes seminales</w:instrText>
      </w:r>
      <w:r>
        <w:instrText xml:space="preserve">" </w:instrText>
      </w:r>
      <w:r>
        <w:rPr>
          <w:i/>
        </w:rPr>
        <w:fldChar w:fldCharType="end"/>
      </w:r>
      <w:r w:rsidRPr="00273106">
        <w:t>.</w:t>
      </w:r>
      <w:r>
        <w:t xml:space="preserve"> </w:t>
      </w:r>
      <w:r w:rsidRPr="00273106">
        <w:rPr>
          <w:szCs w:val="14"/>
        </w:rPr>
        <w:t xml:space="preserve">Tím se zásadně změnilo postavení </w:t>
      </w:r>
      <w:r w:rsidRPr="00273106">
        <w:rPr>
          <w:i/>
          <w:szCs w:val="14"/>
        </w:rPr>
        <w:t>ens ratum</w:t>
      </w:r>
      <w:r>
        <w:rPr>
          <w:i/>
          <w:szCs w:val="14"/>
        </w:rPr>
        <w:fldChar w:fldCharType="begin"/>
      </w:r>
      <w:r>
        <w:instrText xml:space="preserve"> XE "</w:instrText>
      </w:r>
      <w:r w:rsidRPr="00B2798F">
        <w:rPr>
          <w:rStyle w:val="addmd"/>
          <w:i/>
        </w:rPr>
        <w:instrText>ens ratum:</w:instrText>
      </w:r>
      <w:r w:rsidRPr="00292098">
        <w:rPr>
          <w:rStyle w:val="addmd"/>
        </w:rPr>
        <w:instrText>Pecham</w:instrText>
      </w:r>
      <w:r>
        <w:instrText xml:space="preserve">" </w:instrText>
      </w:r>
      <w:r>
        <w:rPr>
          <w:i/>
          <w:szCs w:val="14"/>
        </w:rPr>
        <w:fldChar w:fldCharType="end"/>
      </w:r>
      <w:r w:rsidRPr="00273106">
        <w:rPr>
          <w:szCs w:val="14"/>
        </w:rPr>
        <w:t>, protože roli nepochybného základu poznání přebralo jsoucno nazíran</w:t>
      </w:r>
      <w:r>
        <w:rPr>
          <w:szCs w:val="14"/>
        </w:rPr>
        <w:t>é plně objektivně</w:t>
      </w:r>
      <w:r w:rsidRPr="00273106">
        <w:rPr>
          <w:szCs w:val="14"/>
        </w:rPr>
        <w:t xml:space="preserve">. </w:t>
      </w:r>
      <w:r>
        <w:rPr>
          <w:szCs w:val="13"/>
        </w:rPr>
        <w:t>Pecham</w:t>
      </w:r>
      <w:r w:rsidRPr="00273106">
        <w:rPr>
          <w:szCs w:val="13"/>
        </w:rPr>
        <w:t xml:space="preserve"> </w:t>
      </w:r>
      <w:r w:rsidR="089149B2">
        <w:rPr>
          <w:szCs w:val="13"/>
        </w:rPr>
        <w:t>zavedl objektivní ontoteologii a univoční kauzalitu do scholastiky</w:t>
      </w:r>
      <w:r w:rsidR="08C11FA6">
        <w:rPr>
          <w:szCs w:val="13"/>
        </w:rPr>
        <w:t xml:space="preserve">; </w:t>
      </w:r>
      <w:r w:rsidR="08EC1730">
        <w:rPr>
          <w:szCs w:val="13"/>
        </w:rPr>
        <w:t xml:space="preserve">zrušil aristotelské </w:t>
      </w:r>
      <w:r w:rsidR="08C11FA6">
        <w:rPr>
          <w:szCs w:val="13"/>
        </w:rPr>
        <w:t>poznání první substance;</w:t>
      </w:r>
      <w:r w:rsidRPr="00273106">
        <w:rPr>
          <w:szCs w:val="13"/>
        </w:rPr>
        <w:t xml:space="preserve"> potvrdil schizofrenii </w:t>
      </w:r>
      <w:r w:rsidR="08C11FA6">
        <w:rPr>
          <w:szCs w:val="13"/>
        </w:rPr>
        <w:t>člověka složeného z několika substancí;</w:t>
      </w:r>
      <w:r w:rsidRPr="00273106">
        <w:rPr>
          <w:szCs w:val="13"/>
        </w:rPr>
        <w:t xml:space="preserve"> nastolil </w:t>
      </w:r>
      <w:r w:rsidR="08EC1730">
        <w:rPr>
          <w:szCs w:val="13"/>
        </w:rPr>
        <w:t xml:space="preserve">mytopoetické </w:t>
      </w:r>
      <w:r>
        <w:rPr>
          <w:szCs w:val="13"/>
        </w:rPr>
        <w:t xml:space="preserve">poznání neexistujícího světa </w:t>
      </w:r>
      <w:r w:rsidR="08C11FA6">
        <w:rPr>
          <w:szCs w:val="13"/>
        </w:rPr>
        <w:t xml:space="preserve">skrze </w:t>
      </w:r>
      <w:r w:rsidRPr="00273106">
        <w:rPr>
          <w:szCs w:val="13"/>
        </w:rPr>
        <w:t xml:space="preserve">objektivní </w:t>
      </w:r>
      <w:r w:rsidR="08C11FA6">
        <w:rPr>
          <w:szCs w:val="13"/>
        </w:rPr>
        <w:t>jsoucno</w:t>
      </w:r>
      <w:r>
        <w:rPr>
          <w:szCs w:val="13"/>
        </w:rPr>
        <w:fldChar w:fldCharType="begin"/>
      </w:r>
      <w:r>
        <w:instrText xml:space="preserve"> XE "</w:instrText>
      </w:r>
      <w:r w:rsidRPr="00631751">
        <w:instrText>metafyzika:Pecham</w:instrText>
      </w:r>
      <w:r>
        <w:instrText xml:space="preserve">" </w:instrText>
      </w:r>
      <w:r>
        <w:rPr>
          <w:szCs w:val="13"/>
        </w:rPr>
        <w:fldChar w:fldCharType="end"/>
      </w:r>
      <w:r w:rsidRPr="00273106">
        <w:rPr>
          <w:szCs w:val="13"/>
        </w:rPr>
        <w:t xml:space="preserve">. Tímto mnohonásobným selháním </w:t>
      </w:r>
      <w:r>
        <w:rPr>
          <w:szCs w:val="13"/>
        </w:rPr>
        <w:t xml:space="preserve">kritického </w:t>
      </w:r>
      <w:r w:rsidRPr="00273106">
        <w:rPr>
          <w:szCs w:val="13"/>
        </w:rPr>
        <w:t xml:space="preserve">rozumu vytvořil </w:t>
      </w:r>
      <w:r>
        <w:rPr>
          <w:szCs w:val="13"/>
        </w:rPr>
        <w:t>druhý averroismus objektivní formu první vědy o neexistujícím jsoucnu. Pecham se vrátil do Oxfordu roku 1272 a v t</w:t>
      </w:r>
      <w:r w:rsidR="086B152B">
        <w:rPr>
          <w:szCs w:val="13"/>
        </w:rPr>
        <w:t xml:space="preserve">éže době vstupuje do polemiky se </w:t>
      </w:r>
      <w:r>
        <w:rPr>
          <w:lang w:eastAsia="en-US"/>
        </w:rPr>
        <w:t>školou modernistů na Oxfordu napojenou na Kilwardbyho. Zástupnou otázkou sporu obou škol se stala otázka františkánské a dominikánské chudoby (</w:t>
      </w:r>
      <w:r w:rsidRPr="08333A0A">
        <w:rPr>
          <w:i/>
        </w:rPr>
        <w:t>Tractatus contra Robertum Kilwardby</w:t>
      </w:r>
      <w:r>
        <w:t xml:space="preserve">, 1272). Dominikánská škola již přijala modernizovanou verzi tomismu a držela jen pluralismus forem v člověku. Tito modernisté asi </w:t>
      </w:r>
      <w:r>
        <w:rPr>
          <w:lang w:eastAsia="en-US"/>
        </w:rPr>
        <w:t xml:space="preserve">neměli velké problémy s přijetím Aegidiova tomismu, což dále ukáže třetí část </w:t>
      </w:r>
      <w:r w:rsidR="086B152B">
        <w:rPr>
          <w:lang w:eastAsia="en-US"/>
        </w:rPr>
        <w:t>Oxfodského rukopisu (kap. 4</w:t>
      </w:r>
      <w:r>
        <w:rPr>
          <w:lang w:eastAsia="en-US"/>
        </w:rPr>
        <w:t xml:space="preserve">.3.2) a již citovaný anonym </w:t>
      </w:r>
      <w:r w:rsidRPr="08333A0A">
        <w:rPr>
          <w:i/>
          <w:lang w:eastAsia="en-US"/>
        </w:rPr>
        <w:t>Summa theologiae</w:t>
      </w:r>
      <w:r>
        <w:rPr>
          <w:lang w:eastAsia="en-US"/>
        </w:rPr>
        <w:t xml:space="preserve"> (</w:t>
      </w:r>
      <w:r w:rsidR="086B152B">
        <w:rPr>
          <w:lang w:eastAsia="en-US"/>
        </w:rPr>
        <w:t>OBJ II, kap. 3</w:t>
      </w:r>
      <w:r>
        <w:rPr>
          <w:lang w:eastAsia="en-US"/>
        </w:rPr>
        <w:t xml:space="preserve">.1.3). Tím vznikl na Oxfordu zatím málo známý modernistický spor v letech 1270‒72, který musel řešit Kilwardby už jako arcibiskup vydáním dodatečných dekretů k Pařížskému odsouzení dne 18. 3. 1277. Pechamova škola bránila s Rufusem  Bonaventurou univerzální hylemorfismus a pluralitu substancí </w:t>
      </w:r>
      <w:r w:rsidR="08BD05DD">
        <w:rPr>
          <w:lang w:eastAsia="en-US"/>
        </w:rPr>
        <w:t>v člověku (kap. 4</w:t>
      </w:r>
      <w:r>
        <w:rPr>
          <w:lang w:eastAsia="en-US"/>
        </w:rPr>
        <w:t xml:space="preserve">.2.2). </w:t>
      </w:r>
      <w:r w:rsidR="003454E1" w:rsidRPr="003454E1">
        <w:rPr>
          <w:lang w:eastAsia="en-US"/>
        </w:rPr>
        <w:t>Tato metafyzika plná virtuálních herezí začala mezi studenty filosofie kolem roku 1270 fungovat ja</w:t>
      </w:r>
      <w:r w:rsidR="003454E1">
        <w:rPr>
          <w:lang w:eastAsia="en-US"/>
        </w:rPr>
        <w:t xml:space="preserve">ko objektivní platonismus. </w:t>
      </w:r>
      <w:r w:rsidR="00D20171">
        <w:rPr>
          <w:lang w:eastAsia="en-US"/>
        </w:rPr>
        <w:t>Tito m</w:t>
      </w:r>
      <w:r w:rsidR="003454E1">
        <w:rPr>
          <w:lang w:eastAsia="en-US"/>
        </w:rPr>
        <w:t xml:space="preserve">ladí </w:t>
      </w:r>
      <w:r w:rsidR="003454E1" w:rsidRPr="003454E1">
        <w:rPr>
          <w:lang w:eastAsia="en-US"/>
        </w:rPr>
        <w:t xml:space="preserve">modernisté </w:t>
      </w:r>
      <w:r w:rsidR="003454E1">
        <w:rPr>
          <w:lang w:eastAsia="en-US"/>
        </w:rPr>
        <w:t xml:space="preserve">z druhé ruky </w:t>
      </w:r>
      <w:r w:rsidR="003454E1" w:rsidRPr="003454E1">
        <w:rPr>
          <w:lang w:eastAsia="en-US"/>
        </w:rPr>
        <w:t xml:space="preserve">se v Paříži zcela </w:t>
      </w:r>
      <w:r w:rsidR="003454E1">
        <w:rPr>
          <w:lang w:eastAsia="en-US"/>
        </w:rPr>
        <w:t xml:space="preserve">pominuli </w:t>
      </w:r>
      <w:r w:rsidR="003454E1" w:rsidRPr="003454E1">
        <w:rPr>
          <w:lang w:eastAsia="en-US"/>
        </w:rPr>
        <w:t xml:space="preserve">a hlásali </w:t>
      </w:r>
      <w:r w:rsidR="003454E1">
        <w:rPr>
          <w:lang w:eastAsia="en-US"/>
        </w:rPr>
        <w:t>úplné n</w:t>
      </w:r>
      <w:r w:rsidR="003454E1" w:rsidRPr="003454E1">
        <w:rPr>
          <w:lang w:eastAsia="en-US"/>
        </w:rPr>
        <w:t>esmysly (kap. 4.5). Proti tezím, které se staly zcela kacířskými, musel zakročit biskup Tempier.</w:t>
      </w:r>
      <w:r w:rsidR="003454E1">
        <w:rPr>
          <w:lang w:eastAsia="en-US"/>
        </w:rPr>
        <w:t xml:space="preserve"> </w:t>
      </w:r>
      <w:r>
        <w:rPr>
          <w:szCs w:val="13"/>
        </w:rPr>
        <w:t xml:space="preserve">Vpád sofistické filosofie do teologie upravené </w:t>
      </w:r>
      <w:r w:rsidRPr="00273106">
        <w:rPr>
          <w:szCs w:val="13"/>
        </w:rPr>
        <w:t xml:space="preserve">pro tehdejší </w:t>
      </w:r>
      <w:r w:rsidRPr="00273106">
        <w:rPr>
          <w:i/>
        </w:rPr>
        <w:t>vulgus philosophorum</w:t>
      </w:r>
      <w:r w:rsidRPr="00273106">
        <w:rPr>
          <w:szCs w:val="13"/>
        </w:rPr>
        <w:t xml:space="preserve"> roz</w:t>
      </w:r>
      <w:r>
        <w:rPr>
          <w:szCs w:val="13"/>
        </w:rPr>
        <w:t>hodně odsoudil Bacon (kap. 5</w:t>
      </w:r>
      <w:r w:rsidRPr="00273106">
        <w:rPr>
          <w:szCs w:val="13"/>
        </w:rPr>
        <w:t>.</w:t>
      </w:r>
      <w:r>
        <w:rPr>
          <w:szCs w:val="13"/>
        </w:rPr>
        <w:t>4.3</w:t>
      </w:r>
      <w:r w:rsidRPr="00273106">
        <w:rPr>
          <w:szCs w:val="13"/>
        </w:rPr>
        <w:t>).</w:t>
      </w:r>
      <w:r w:rsidRPr="00273106">
        <w:t xml:space="preserve"> </w:t>
      </w:r>
      <w:r>
        <w:t xml:space="preserve">Moderně </w:t>
      </w:r>
      <w:r>
        <w:lastRenderedPageBreak/>
        <w:t>pojatá objektivistická teologie dostala nové určení v rámci první verze unifikované vědy, což vedlo roku 1277 k zásadnímu sporu o dvojí pravdu</w:t>
      </w:r>
      <w:r>
        <w:fldChar w:fldCharType="begin"/>
      </w:r>
      <w:r>
        <w:instrText xml:space="preserve"> XE "</w:instrText>
      </w:r>
      <w:r w:rsidRPr="00A404B6">
        <w:instrText>teorie dvojí pravdy</w:instrText>
      </w:r>
      <w:r>
        <w:instrText xml:space="preserve">" </w:instrText>
      </w:r>
      <w:r>
        <w:fldChar w:fldCharType="end"/>
      </w:r>
      <w:r>
        <w:t>.</w:t>
      </w:r>
    </w:p>
    <w:p w:rsidR="08163013" w:rsidRPr="00273106" w:rsidRDefault="08C8030C" w:rsidP="08163013">
      <w:pPr>
        <w:pStyle w:val="Nadpis2"/>
      </w:pPr>
      <w:bookmarkStart w:id="21" w:name="_Toc36144139"/>
      <w:r>
        <w:rPr>
          <w:lang w:val="cs-CZ"/>
        </w:rPr>
        <w:br w:type="page"/>
      </w:r>
      <w:bookmarkStart w:id="22" w:name="_Toc180231651"/>
      <w:r w:rsidR="08163013">
        <w:rPr>
          <w:lang w:val="cs-CZ"/>
        </w:rPr>
        <w:lastRenderedPageBreak/>
        <w:t>4</w:t>
      </w:r>
      <w:r w:rsidR="08163013" w:rsidRPr="00273106">
        <w:t>.3 Spor o</w:t>
      </w:r>
      <w:r w:rsidR="08163013">
        <w:t xml:space="preserve"> </w:t>
      </w:r>
      <w:proofErr w:type="gramStart"/>
      <w:r w:rsidR="08163013">
        <w:t>averroismus  v letech</w:t>
      </w:r>
      <w:proofErr w:type="gramEnd"/>
      <w:r w:rsidR="08163013">
        <w:t xml:space="preserve"> </w:t>
      </w:r>
      <w:r w:rsidR="08163013" w:rsidRPr="00273106">
        <w:t>1270</w:t>
      </w:r>
      <w:r w:rsidR="08163013">
        <w:t>‒7</w:t>
      </w:r>
      <w:r w:rsidR="08163013">
        <w:rPr>
          <w:lang w:val="cs-CZ"/>
        </w:rPr>
        <w:t>5</w:t>
      </w:r>
      <w:r w:rsidR="08163013" w:rsidRPr="00273106">
        <w:t xml:space="preserve"> (</w:t>
      </w:r>
      <w:r w:rsidR="08163013" w:rsidRPr="005B5116">
        <w:rPr>
          <w:i/>
        </w:rPr>
        <w:t>Anonymi</w:t>
      </w:r>
      <w:r w:rsidR="08163013" w:rsidRPr="00273106">
        <w:t>)</w:t>
      </w:r>
      <w:bookmarkEnd w:id="21"/>
      <w:bookmarkEnd w:id="22"/>
    </w:p>
    <w:p w:rsidR="08163013" w:rsidRPr="00B72C01" w:rsidRDefault="00EA6431" w:rsidP="08163013">
      <w:pPr>
        <w:rPr>
          <w:szCs w:val="14"/>
        </w:rPr>
      </w:pPr>
      <w:r>
        <w:t xml:space="preserve">Školy </w:t>
      </w:r>
      <w:r w:rsidR="08163013">
        <w:t>akademických iluminátů zal</w:t>
      </w:r>
      <w:r>
        <w:t>ožily</w:t>
      </w:r>
      <w:r w:rsidR="08163013">
        <w:t xml:space="preserve"> </w:t>
      </w:r>
      <w:r>
        <w:t xml:space="preserve">objektivní charakter </w:t>
      </w:r>
      <w:r w:rsidRPr="00EA6431">
        <w:rPr>
          <w:i/>
        </w:rPr>
        <w:t>tertium ens</w:t>
      </w:r>
      <w:r w:rsidR="00BC02B9">
        <w:rPr>
          <w:i/>
        </w:rPr>
        <w:t xml:space="preserve"> </w:t>
      </w:r>
      <w:r w:rsidR="00BC02B9">
        <w:t>okolo roku 1270</w:t>
      </w:r>
      <w:r w:rsidR="08163013" w:rsidRPr="00273106">
        <w:t xml:space="preserve">. </w:t>
      </w:r>
      <w:r w:rsidR="00FD2798">
        <w:t>Deduktivní důkaz jako základní p</w:t>
      </w:r>
      <w:r w:rsidR="08163013" w:rsidRPr="00273106">
        <w:rPr>
          <w:szCs w:val="14"/>
        </w:rPr>
        <w:t xml:space="preserve">oznání </w:t>
      </w:r>
      <w:r w:rsidR="08163013">
        <w:rPr>
          <w:szCs w:val="14"/>
        </w:rPr>
        <w:t xml:space="preserve">vědy a metafyziky </w:t>
      </w:r>
      <w:r w:rsidR="08163013" w:rsidRPr="00273106">
        <w:rPr>
          <w:szCs w:val="14"/>
        </w:rPr>
        <w:t xml:space="preserve">již není </w:t>
      </w:r>
      <w:r w:rsidR="08163013">
        <w:rPr>
          <w:szCs w:val="14"/>
        </w:rPr>
        <w:t xml:space="preserve">primárně </w:t>
      </w:r>
      <w:r w:rsidR="08163013" w:rsidRPr="00273106">
        <w:rPr>
          <w:szCs w:val="14"/>
        </w:rPr>
        <w:t>determino</w:t>
      </w:r>
      <w:r w:rsidR="00FD2798">
        <w:rPr>
          <w:szCs w:val="14"/>
        </w:rPr>
        <w:t>ván</w:t>
      </w:r>
      <w:r w:rsidR="08163013">
        <w:rPr>
          <w:szCs w:val="14"/>
        </w:rPr>
        <w:t xml:space="preserve"> aktuální první substancí</w:t>
      </w:r>
      <w:r w:rsidR="00B72C01">
        <w:rPr>
          <w:szCs w:val="14"/>
        </w:rPr>
        <w:t xml:space="preserve">. Fundament je dán dedukcí určenou náhledem v modu </w:t>
      </w:r>
      <w:r w:rsidR="00AF08FB">
        <w:rPr>
          <w:szCs w:val="14"/>
        </w:rPr>
        <w:t>„</w:t>
      </w:r>
      <w:r w:rsidR="08163013" w:rsidRPr="08660182">
        <w:rPr>
          <w:i/>
          <w:szCs w:val="14"/>
        </w:rPr>
        <w:t>resolutio semiplena</w:t>
      </w:r>
      <w:r w:rsidR="00AF08FB">
        <w:rPr>
          <w:szCs w:val="14"/>
        </w:rPr>
        <w:t>“</w:t>
      </w:r>
      <w:r w:rsidR="00B72C01">
        <w:rPr>
          <w:szCs w:val="14"/>
        </w:rPr>
        <w:t xml:space="preserve"> který provádí logickou supozici smyslu skrze hypostázovaná</w:t>
      </w:r>
      <w:r w:rsidR="08163013">
        <w:rPr>
          <w:szCs w:val="14"/>
        </w:rPr>
        <w:t xml:space="preserve"> </w:t>
      </w:r>
      <w:r w:rsidR="00962190" w:rsidRPr="00B72C01">
        <w:rPr>
          <w:szCs w:val="14"/>
        </w:rPr>
        <w:t>species</w:t>
      </w:r>
      <w:r w:rsidR="00B72C01">
        <w:rPr>
          <w:szCs w:val="14"/>
        </w:rPr>
        <w:t xml:space="preserve">. Jejich producentem a příjemcem ve smyslu aristotelského </w:t>
      </w:r>
      <w:r w:rsidR="00B72C01" w:rsidRPr="00B72C01">
        <w:rPr>
          <w:i/>
          <w:szCs w:val="14"/>
        </w:rPr>
        <w:t>subiectum</w:t>
      </w:r>
      <w:r w:rsidR="00B72C01">
        <w:rPr>
          <w:szCs w:val="14"/>
        </w:rPr>
        <w:t xml:space="preserve"> poznání je moderní </w:t>
      </w:r>
      <w:r w:rsidR="008A65BB">
        <w:rPr>
          <w:szCs w:val="14"/>
        </w:rPr>
        <w:t xml:space="preserve">subjekt. Aby tento neexistující moderní subjekt mohl provést tuto nesmyslnou operaci, musel se rozdělit na dvě hypostázované složky. Ty spolu myticky kopulují ve schématu </w:t>
      </w:r>
      <w:r w:rsidR="008A65BB" w:rsidRPr="008A65BB">
        <w:rPr>
          <w:i/>
          <w:szCs w:val="14"/>
        </w:rPr>
        <w:t>Cargo cult</w:t>
      </w:r>
      <w:r w:rsidR="008A65BB">
        <w:rPr>
          <w:i/>
          <w:szCs w:val="14"/>
        </w:rPr>
        <w:fldChar w:fldCharType="begin"/>
      </w:r>
      <w:r w:rsidR="008A65BB">
        <w:instrText xml:space="preserve"> XE "</w:instrText>
      </w:r>
      <w:r w:rsidR="008A65BB" w:rsidRPr="00ED6D3E">
        <w:rPr>
          <w:i/>
          <w:szCs w:val="14"/>
        </w:rPr>
        <w:instrText>Cargo cult</w:instrText>
      </w:r>
      <w:r w:rsidR="008A65BB">
        <w:instrText xml:space="preserve">" </w:instrText>
      </w:r>
      <w:r w:rsidR="008A65BB">
        <w:rPr>
          <w:i/>
          <w:szCs w:val="14"/>
        </w:rPr>
        <w:fldChar w:fldCharType="end"/>
      </w:r>
      <w:r w:rsidR="00AD00D3">
        <w:rPr>
          <w:szCs w:val="14"/>
        </w:rPr>
        <w:t xml:space="preserve">, který </w:t>
      </w:r>
      <w:r w:rsidR="00B06ECF">
        <w:rPr>
          <w:szCs w:val="14"/>
        </w:rPr>
        <w:t xml:space="preserve">napodobuje kultické jednání </w:t>
      </w:r>
      <w:r w:rsidR="00AD00D3">
        <w:rPr>
          <w:szCs w:val="14"/>
        </w:rPr>
        <w:t xml:space="preserve">dávných </w:t>
      </w:r>
      <w:r w:rsidR="00477FAE">
        <w:rPr>
          <w:szCs w:val="14"/>
        </w:rPr>
        <w:t>mytologi</w:t>
      </w:r>
      <w:r w:rsidR="008A65BB">
        <w:rPr>
          <w:szCs w:val="14"/>
        </w:rPr>
        <w:t xml:space="preserve">í. </w:t>
      </w:r>
      <w:r w:rsidR="00205763">
        <w:rPr>
          <w:szCs w:val="14"/>
        </w:rPr>
        <w:t>Toto o</w:t>
      </w:r>
      <w:r w:rsidR="008A65BB">
        <w:rPr>
          <w:szCs w:val="14"/>
        </w:rPr>
        <w:t>bjektivně plodné spojení neexistujích substancí těla a duše se uskutečňuj</w:t>
      </w:r>
      <w:r w:rsidR="00477FAE">
        <w:rPr>
          <w:szCs w:val="14"/>
        </w:rPr>
        <w:t xml:space="preserve">e </w:t>
      </w:r>
      <w:r w:rsidR="00AD00D3">
        <w:rPr>
          <w:szCs w:val="14"/>
        </w:rPr>
        <w:t xml:space="preserve">skrze ontoteologii založené na </w:t>
      </w:r>
      <w:r w:rsidR="00B06ECF">
        <w:rPr>
          <w:szCs w:val="14"/>
        </w:rPr>
        <w:t xml:space="preserve">biblické </w:t>
      </w:r>
      <w:r w:rsidR="008A65BB" w:rsidRPr="008A65BB">
        <w:rPr>
          <w:i/>
          <w:szCs w:val="14"/>
        </w:rPr>
        <w:t>Písně písní</w:t>
      </w:r>
      <w:r w:rsidR="00477FAE">
        <w:rPr>
          <w:szCs w:val="14"/>
        </w:rPr>
        <w:t xml:space="preserve">. </w:t>
      </w:r>
      <w:r w:rsidR="00CD293A">
        <w:rPr>
          <w:szCs w:val="14"/>
        </w:rPr>
        <w:t xml:space="preserve">Postavená na </w:t>
      </w:r>
      <w:r w:rsidR="0069283A" w:rsidRPr="0069283A">
        <w:rPr>
          <w:szCs w:val="14"/>
        </w:rPr>
        <w:t>základě ontoteologické struktury metafyziky</w:t>
      </w:r>
      <w:r w:rsidR="00CD293A">
        <w:rPr>
          <w:szCs w:val="14"/>
        </w:rPr>
        <w:t xml:space="preserve">, </w:t>
      </w:r>
      <w:r w:rsidR="0069283A" w:rsidRPr="0069283A">
        <w:rPr>
          <w:szCs w:val="14"/>
        </w:rPr>
        <w:t>tato zvrácená a démonic</w:t>
      </w:r>
      <w:r w:rsidR="0069283A">
        <w:rPr>
          <w:szCs w:val="14"/>
        </w:rPr>
        <w:t>ká (tj. objektivní) kosmologie skrytá pod číslem „666“</w:t>
      </w:r>
      <w:r w:rsidR="0069283A" w:rsidRPr="0069283A">
        <w:rPr>
          <w:szCs w:val="14"/>
        </w:rPr>
        <w:t xml:space="preserve"> (Bonaventura </w:t>
      </w:r>
      <w:r w:rsidR="0069283A" w:rsidRPr="0069283A">
        <w:rPr>
          <w:i/>
          <w:szCs w:val="14"/>
        </w:rPr>
        <w:t>dixit</w:t>
      </w:r>
      <w:r w:rsidR="0069283A">
        <w:rPr>
          <w:szCs w:val="14"/>
        </w:rPr>
        <w:t xml:space="preserve">) </w:t>
      </w:r>
      <w:r w:rsidR="00CD293A">
        <w:rPr>
          <w:szCs w:val="14"/>
        </w:rPr>
        <w:t xml:space="preserve">tvoří </w:t>
      </w:r>
      <w:r w:rsidR="0069283A" w:rsidRPr="0069283A">
        <w:rPr>
          <w:szCs w:val="14"/>
        </w:rPr>
        <w:t>původní místo moderní vědy (</w:t>
      </w:r>
      <w:r w:rsidR="0069283A" w:rsidRPr="0069283A">
        <w:rPr>
          <w:i/>
          <w:szCs w:val="14"/>
        </w:rPr>
        <w:t>ortus scientiarum</w:t>
      </w:r>
      <w:r w:rsidR="0069283A">
        <w:rPr>
          <w:i/>
          <w:szCs w:val="14"/>
        </w:rPr>
        <w:fldChar w:fldCharType="begin"/>
      </w:r>
      <w:r w:rsidR="0069283A">
        <w:instrText xml:space="preserve"> XE "</w:instrText>
      </w:r>
      <w:r w:rsidR="0069283A" w:rsidRPr="00B8518E">
        <w:rPr>
          <w:i/>
          <w:szCs w:val="14"/>
        </w:rPr>
        <w:instrText>ortus scientiarum</w:instrText>
      </w:r>
      <w:r w:rsidR="0069283A">
        <w:instrText xml:space="preserve">" </w:instrText>
      </w:r>
      <w:r w:rsidR="0069283A">
        <w:rPr>
          <w:i/>
          <w:szCs w:val="14"/>
        </w:rPr>
        <w:fldChar w:fldCharType="end"/>
      </w:r>
      <w:r w:rsidR="0069283A" w:rsidRPr="0069283A">
        <w:rPr>
          <w:szCs w:val="14"/>
        </w:rPr>
        <w:t xml:space="preserve">). </w:t>
      </w:r>
      <w:r w:rsidR="00434E7D" w:rsidRPr="00434E7D">
        <w:rPr>
          <w:szCs w:val="14"/>
        </w:rPr>
        <w:t xml:space="preserve">Moderní dedukce </w:t>
      </w:r>
      <w:r w:rsidR="00434E7D">
        <w:rPr>
          <w:szCs w:val="14"/>
        </w:rPr>
        <w:t>poznatků (</w:t>
      </w:r>
      <w:r w:rsidR="00434E7D">
        <w:rPr>
          <w:i/>
          <w:szCs w:val="14"/>
        </w:rPr>
        <w:t>scibile</w:t>
      </w:r>
      <w:r w:rsidR="00434E7D">
        <w:rPr>
          <w:szCs w:val="14"/>
        </w:rPr>
        <w:t>)</w:t>
      </w:r>
      <w:r w:rsidR="00434E7D" w:rsidRPr="00434E7D">
        <w:rPr>
          <w:szCs w:val="14"/>
        </w:rPr>
        <w:t xml:space="preserve"> jako konkrétních faktů (</w:t>
      </w:r>
      <w:r w:rsidR="00434E7D" w:rsidRPr="00434E7D">
        <w:rPr>
          <w:i/>
          <w:szCs w:val="14"/>
        </w:rPr>
        <w:t>factum, concretum</w:t>
      </w:r>
      <w:r w:rsidR="00434E7D">
        <w:rPr>
          <w:szCs w:val="14"/>
        </w:rPr>
        <w:t xml:space="preserve"> podle Rufuse</w:t>
      </w:r>
      <w:r w:rsidR="00434E7D" w:rsidRPr="00434E7D">
        <w:rPr>
          <w:szCs w:val="14"/>
        </w:rPr>
        <w:t>) vychází (</w:t>
      </w:r>
      <w:r w:rsidR="00434E7D" w:rsidRPr="00434E7D">
        <w:rPr>
          <w:i/>
          <w:szCs w:val="14"/>
        </w:rPr>
        <w:t>deducere</w:t>
      </w:r>
      <w:r w:rsidR="00434E7D" w:rsidRPr="00434E7D">
        <w:rPr>
          <w:szCs w:val="14"/>
        </w:rPr>
        <w:t xml:space="preserve">) z </w:t>
      </w:r>
      <w:r w:rsidR="00434E7D">
        <w:rPr>
          <w:szCs w:val="14"/>
        </w:rPr>
        <w:t>nově určeného předmětu poznání. To je z</w:t>
      </w:r>
      <w:r w:rsidR="00B72C01">
        <w:rPr>
          <w:szCs w:val="14"/>
        </w:rPr>
        <w:t>avršen</w:t>
      </w:r>
      <w:r w:rsidR="00434E7D">
        <w:rPr>
          <w:szCs w:val="14"/>
        </w:rPr>
        <w:t>o</w:t>
      </w:r>
      <w:r w:rsidR="00B72C01">
        <w:rPr>
          <w:szCs w:val="14"/>
        </w:rPr>
        <w:t xml:space="preserve"> na posledním stupni </w:t>
      </w:r>
      <w:r w:rsidR="00C10512">
        <w:rPr>
          <w:szCs w:val="14"/>
        </w:rPr>
        <w:t xml:space="preserve">poznání jako </w:t>
      </w:r>
      <w:r w:rsidR="00B72C01">
        <w:rPr>
          <w:szCs w:val="14"/>
        </w:rPr>
        <w:t>„</w:t>
      </w:r>
      <w:r w:rsidR="00B72C01" w:rsidRPr="08660182">
        <w:rPr>
          <w:i/>
          <w:szCs w:val="14"/>
        </w:rPr>
        <w:t>resolutio plena</w:t>
      </w:r>
      <w:r w:rsidR="00C10512">
        <w:rPr>
          <w:szCs w:val="14"/>
        </w:rPr>
        <w:t>“, což je vidění</w:t>
      </w:r>
      <w:r w:rsidR="00B72C01">
        <w:rPr>
          <w:szCs w:val="14"/>
        </w:rPr>
        <w:t xml:space="preserve"> celku jsoucna směrem od </w:t>
      </w:r>
      <w:r w:rsidR="08163013">
        <w:rPr>
          <w:szCs w:val="14"/>
        </w:rPr>
        <w:t xml:space="preserve">od božího intelektu. </w:t>
      </w:r>
      <w:r w:rsidR="00F25A0B">
        <w:rPr>
          <w:szCs w:val="14"/>
        </w:rPr>
        <w:t>Filosofie ztratila původní autonomii myšlení na základě přirozeného kri</w:t>
      </w:r>
      <w:r w:rsidR="00295716">
        <w:rPr>
          <w:szCs w:val="14"/>
        </w:rPr>
        <w:t xml:space="preserve">tického rozumu a dostala se pod </w:t>
      </w:r>
      <w:r w:rsidR="00F25A0B">
        <w:rPr>
          <w:szCs w:val="14"/>
        </w:rPr>
        <w:t>navládu ontoteologického a dnes ideologického schématu</w:t>
      </w:r>
      <w:r w:rsidR="007C3001">
        <w:rPr>
          <w:szCs w:val="14"/>
        </w:rPr>
        <w:t xml:space="preserve"> poznání. </w:t>
      </w:r>
      <w:r w:rsidR="08163013">
        <w:rPr>
          <w:szCs w:val="14"/>
        </w:rPr>
        <w:t>Předešlá kapitola ukázala, že objektivní p</w:t>
      </w:r>
      <w:r w:rsidR="08163013" w:rsidRPr="00273106">
        <w:rPr>
          <w:szCs w:val="14"/>
        </w:rPr>
        <w:t>ravd</w:t>
      </w:r>
      <w:r w:rsidR="08163013">
        <w:rPr>
          <w:szCs w:val="14"/>
        </w:rPr>
        <w:t>a musí být nasvícena</w:t>
      </w:r>
      <w:r w:rsidR="08163013" w:rsidRPr="00273106">
        <w:rPr>
          <w:szCs w:val="14"/>
        </w:rPr>
        <w:t xml:space="preserve"> světlem z božského zdroje</w:t>
      </w:r>
      <w:r w:rsidR="08163013">
        <w:rPr>
          <w:szCs w:val="14"/>
        </w:rPr>
        <w:t xml:space="preserve">, jinak </w:t>
      </w:r>
      <w:r w:rsidR="089A00A0">
        <w:rPr>
          <w:szCs w:val="14"/>
        </w:rPr>
        <w:t>poznání není úplné</w:t>
      </w:r>
      <w:r w:rsidR="08163013" w:rsidRPr="00273106">
        <w:rPr>
          <w:szCs w:val="14"/>
        </w:rPr>
        <w:t xml:space="preserve">. </w:t>
      </w:r>
      <w:r w:rsidR="08163013" w:rsidRPr="00273106">
        <w:t xml:space="preserve">Bonaventura a </w:t>
      </w:r>
      <w:r w:rsidR="08163013">
        <w:t>Pecham</w:t>
      </w:r>
      <w:r w:rsidR="08163013" w:rsidRPr="00273106">
        <w:t xml:space="preserve"> prorazili bariéru klasického myšlení </w:t>
      </w:r>
      <w:r w:rsidR="08163013">
        <w:t xml:space="preserve">i na Pařížské univerzitě </w:t>
      </w:r>
      <w:r w:rsidR="08163013" w:rsidRPr="00273106">
        <w:t xml:space="preserve">a </w:t>
      </w:r>
      <w:r w:rsidR="08163013">
        <w:t xml:space="preserve">poslali </w:t>
      </w:r>
      <w:r w:rsidR="08D253EE">
        <w:t xml:space="preserve">akademickou spekulaci </w:t>
      </w:r>
      <w:r w:rsidR="08163013">
        <w:t xml:space="preserve">na </w:t>
      </w:r>
      <w:proofErr w:type="gramStart"/>
      <w:r w:rsidR="08163013" w:rsidRPr="00273106">
        <w:rPr>
          <w:i/>
        </w:rPr>
        <w:t>via</w:t>
      </w:r>
      <w:proofErr w:type="gramEnd"/>
      <w:r w:rsidR="08163013" w:rsidRPr="00273106">
        <w:rPr>
          <w:i/>
        </w:rPr>
        <w:t xml:space="preserve"> Modernorum</w:t>
      </w:r>
      <w:r w:rsidR="08163013">
        <w:rPr>
          <w:i/>
        </w:rPr>
        <w:fldChar w:fldCharType="begin"/>
      </w:r>
      <w:r w:rsidR="08163013">
        <w:instrText xml:space="preserve"> XE "</w:instrText>
      </w:r>
      <w:r w:rsidR="08163013" w:rsidRPr="00ED0748">
        <w:rPr>
          <w:i/>
        </w:rPr>
        <w:instrText>via Modernorum</w:instrText>
      </w:r>
      <w:r w:rsidR="08163013">
        <w:instrText xml:space="preserve">" </w:instrText>
      </w:r>
      <w:r w:rsidR="08163013">
        <w:rPr>
          <w:i/>
        </w:rPr>
        <w:fldChar w:fldCharType="end"/>
      </w:r>
      <w:r w:rsidR="08163013" w:rsidRPr="00273106">
        <w:t>.</w:t>
      </w:r>
      <w:r w:rsidR="08163013">
        <w:t xml:space="preserve"> </w:t>
      </w:r>
      <w:r w:rsidR="08163013" w:rsidRPr="00273106">
        <w:t xml:space="preserve">Předešlé kapitoly věnované </w:t>
      </w:r>
      <w:r w:rsidR="08163013">
        <w:t>Pecham</w:t>
      </w:r>
      <w:r w:rsidR="08163013" w:rsidRPr="00273106">
        <w:t xml:space="preserve">ovi nezmínily jeho druhé dílo věnované otázce duše a jejího poznání. Spis </w:t>
      </w:r>
      <w:r w:rsidR="08163013" w:rsidRPr="00273106">
        <w:rPr>
          <w:i/>
        </w:rPr>
        <w:t>Tractatus de anima</w:t>
      </w:r>
      <w:r w:rsidR="08163013" w:rsidRPr="00273106">
        <w:t xml:space="preserve"> vznikl </w:t>
      </w:r>
      <w:r w:rsidR="08163013">
        <w:t xml:space="preserve">asi </w:t>
      </w:r>
      <w:r w:rsidR="08163013" w:rsidRPr="00273106">
        <w:t>v letech 1277‒79 a představuje učebnicový příklad argumentace druhého averroismu.</w:t>
      </w:r>
      <w:r w:rsidR="08163013">
        <w:t xml:space="preserve"> Pechamův druhý komentář </w:t>
      </w:r>
      <w:r w:rsidR="08163013" w:rsidRPr="00DB1483">
        <w:rPr>
          <w:i/>
        </w:rPr>
        <w:t>De anima</w:t>
      </w:r>
      <w:r w:rsidR="08163013">
        <w:t xml:space="preserve"> cituje ke sporným otázkám všechna důležitá místa hlavních autorit druhého averroismu, pracuje v hermeneutickém modelu nasvícení jsoucna zezadu. Světlo intelektu a smyslové vidění je vzato univočně, a nakonec je dáno přímo od boha. Pecham přebírá a obhajuje proti prvnímu averroismu celou nauku Bonaventury a v klíčových bodech opakuje tvrzení prvního komentáře vyloženého výše. Pechamovy </w:t>
      </w:r>
      <w:r w:rsidR="08163013" w:rsidRPr="00273106">
        <w:t xml:space="preserve">teze </w:t>
      </w:r>
      <w:r w:rsidR="08163013">
        <w:t xml:space="preserve">v </w:t>
      </w:r>
      <w:r w:rsidR="08163013" w:rsidRPr="00273106">
        <w:rPr>
          <w:i/>
        </w:rPr>
        <w:t>Tractatus de anima</w:t>
      </w:r>
      <w:r w:rsidR="08163013" w:rsidRPr="00273106">
        <w:t xml:space="preserve"> dosvědčují, že spor mezi prvním a druhým averroismem už </w:t>
      </w:r>
      <w:r w:rsidR="00B27D92">
        <w:t xml:space="preserve">od </w:t>
      </w:r>
      <w:r w:rsidR="08163013">
        <w:t xml:space="preserve">roku </w:t>
      </w:r>
      <w:r w:rsidR="00B27D92">
        <w:t>1270</w:t>
      </w:r>
      <w:r w:rsidR="08163013" w:rsidRPr="00273106">
        <w:t xml:space="preserve"> charakter </w:t>
      </w:r>
      <w:r w:rsidR="08163013">
        <w:t xml:space="preserve">přímé </w:t>
      </w:r>
      <w:r w:rsidR="08163013" w:rsidRPr="00273106">
        <w:t xml:space="preserve">konfrontace. </w:t>
      </w:r>
      <w:r w:rsidR="08163013" w:rsidRPr="00273106">
        <w:rPr>
          <w:szCs w:val="14"/>
        </w:rPr>
        <w:t xml:space="preserve">Bacon a další aristotelikové jasně viděli, že mysl </w:t>
      </w:r>
      <w:r w:rsidR="08163013">
        <w:rPr>
          <w:szCs w:val="14"/>
        </w:rPr>
        <w:t>moderních iluminátů</w:t>
      </w:r>
      <w:r w:rsidR="08163013">
        <w:rPr>
          <w:szCs w:val="14"/>
        </w:rPr>
        <w:fldChar w:fldCharType="begin"/>
      </w:r>
      <w:r w:rsidR="08163013">
        <w:instrText xml:space="preserve"> XE "</w:instrText>
      </w:r>
      <w:r w:rsidR="08163013" w:rsidRPr="00BD65D1">
        <w:instrText>ilumináti</w:instrText>
      </w:r>
      <w:r w:rsidR="08163013">
        <w:instrText xml:space="preserve">" </w:instrText>
      </w:r>
      <w:r w:rsidR="08163013">
        <w:rPr>
          <w:szCs w:val="14"/>
        </w:rPr>
        <w:fldChar w:fldCharType="end"/>
      </w:r>
      <w:r w:rsidR="08163013">
        <w:rPr>
          <w:szCs w:val="14"/>
        </w:rPr>
        <w:t xml:space="preserve"> </w:t>
      </w:r>
      <w:r w:rsidR="08163013" w:rsidRPr="00273106">
        <w:rPr>
          <w:szCs w:val="14"/>
        </w:rPr>
        <w:t xml:space="preserve">vidí v predikativním </w:t>
      </w:r>
      <w:r w:rsidR="08163013" w:rsidRPr="00273106">
        <w:rPr>
          <w:szCs w:val="14"/>
        </w:rPr>
        <w:lastRenderedPageBreak/>
        <w:t xml:space="preserve">modu </w:t>
      </w:r>
      <w:r w:rsidR="08163013" w:rsidRPr="00273106">
        <w:rPr>
          <w:i/>
          <w:szCs w:val="14"/>
        </w:rPr>
        <w:t>per prius</w:t>
      </w:r>
      <w:r w:rsidR="08163013">
        <w:rPr>
          <w:i/>
          <w:szCs w:val="14"/>
        </w:rPr>
        <w:fldChar w:fldCharType="begin"/>
      </w:r>
      <w:r w:rsidR="08163013">
        <w:instrText xml:space="preserve"> XE "predikace:</w:instrText>
      </w:r>
      <w:r w:rsidR="08163013" w:rsidRPr="002934DC">
        <w:rPr>
          <w:i/>
          <w:szCs w:val="14"/>
        </w:rPr>
        <w:instrText>per prius</w:instrText>
      </w:r>
      <w:r w:rsidR="08163013">
        <w:instrText xml:space="preserve">" </w:instrText>
      </w:r>
      <w:r w:rsidR="08163013">
        <w:rPr>
          <w:i/>
          <w:szCs w:val="14"/>
        </w:rPr>
        <w:fldChar w:fldCharType="end"/>
      </w:r>
      <w:r w:rsidR="08163013" w:rsidRPr="00273106">
        <w:rPr>
          <w:szCs w:val="14"/>
        </w:rPr>
        <w:t xml:space="preserve"> </w:t>
      </w:r>
      <w:r w:rsidR="08D253EE">
        <w:rPr>
          <w:szCs w:val="14"/>
        </w:rPr>
        <w:t xml:space="preserve">simulákrum </w:t>
      </w:r>
      <w:r w:rsidR="08163013" w:rsidRPr="00273106">
        <w:rPr>
          <w:szCs w:val="14"/>
        </w:rPr>
        <w:t>vlastn</w:t>
      </w:r>
      <w:r w:rsidR="00295716">
        <w:rPr>
          <w:szCs w:val="14"/>
        </w:rPr>
        <w:t xml:space="preserve">ího intelektu, nikoliv realitu. </w:t>
      </w:r>
      <w:r w:rsidR="00295716" w:rsidRPr="00295716">
        <w:rPr>
          <w:szCs w:val="14"/>
        </w:rPr>
        <w:t>Tvrdili, že jde o filozofickou argumentaci</w:t>
      </w:r>
      <w:r w:rsidR="00295716">
        <w:rPr>
          <w:szCs w:val="14"/>
        </w:rPr>
        <w:t>, ale v</w:t>
      </w:r>
      <w:r w:rsidR="00295716" w:rsidRPr="00295716">
        <w:rPr>
          <w:szCs w:val="14"/>
        </w:rPr>
        <w:t xml:space="preserve">e skutečnosti se odvolávali na církevní disciplínu. </w:t>
      </w:r>
      <w:r w:rsidR="08163013" w:rsidRPr="00273106">
        <w:rPr>
          <w:szCs w:val="13"/>
        </w:rPr>
        <w:t xml:space="preserve">Z hlediska hermeneutiky je naprosto logické, že další spor </w:t>
      </w:r>
      <w:r w:rsidR="08163013">
        <w:rPr>
          <w:szCs w:val="13"/>
        </w:rPr>
        <w:t xml:space="preserve">Pechama a Akvinského </w:t>
      </w:r>
      <w:r w:rsidR="08163013" w:rsidRPr="00273106">
        <w:rPr>
          <w:szCs w:val="13"/>
        </w:rPr>
        <w:t xml:space="preserve">se týkal věčného trvání </w:t>
      </w:r>
      <w:r w:rsidR="00962190">
        <w:rPr>
          <w:i/>
          <w:szCs w:val="13"/>
        </w:rPr>
        <w:t>species</w:t>
      </w:r>
      <w:r w:rsidR="08163013" w:rsidRPr="00111289">
        <w:rPr>
          <w:i/>
          <w:szCs w:val="13"/>
        </w:rPr>
        <w:fldChar w:fldCharType="begin"/>
      </w:r>
      <w:r w:rsidR="08163013" w:rsidRPr="00111289">
        <w:rPr>
          <w:i/>
        </w:rPr>
        <w:instrText xml:space="preserve"> XE "</w:instrText>
      </w:r>
      <w:r w:rsidR="08163013" w:rsidRPr="00111289">
        <w:rPr>
          <w:i/>
          <w:szCs w:val="13"/>
        </w:rPr>
        <w:instrText>věčnost světa</w:instrText>
      </w:r>
      <w:r w:rsidR="08163013" w:rsidRPr="00111289">
        <w:rPr>
          <w:i/>
        </w:rPr>
        <w:instrText xml:space="preserve">" </w:instrText>
      </w:r>
      <w:r w:rsidR="08163013" w:rsidRPr="00111289">
        <w:rPr>
          <w:i/>
          <w:szCs w:val="13"/>
        </w:rPr>
        <w:fldChar w:fldCharType="end"/>
      </w:r>
      <w:r w:rsidR="08163013" w:rsidRPr="00273106">
        <w:rPr>
          <w:szCs w:val="13"/>
        </w:rPr>
        <w:t xml:space="preserve"> a klíčového sporu o pluralitu subst</w:t>
      </w:r>
      <w:r w:rsidR="08163013">
        <w:rPr>
          <w:szCs w:val="13"/>
        </w:rPr>
        <w:t>ancí v Kristu (Wéber 1991, 159‒</w:t>
      </w:r>
      <w:r w:rsidR="08163013" w:rsidRPr="00273106">
        <w:rPr>
          <w:szCs w:val="13"/>
        </w:rPr>
        <w:t>61).</w:t>
      </w:r>
      <w:r w:rsidR="08163013">
        <w:rPr>
          <w:szCs w:val="13"/>
        </w:rPr>
        <w:t xml:space="preserve"> </w:t>
      </w:r>
      <w:r w:rsidR="08163013" w:rsidRPr="00273106">
        <w:t xml:space="preserve">Na Oxfordu </w:t>
      </w:r>
      <w:r w:rsidR="08163013">
        <w:t xml:space="preserve">vládl druhý </w:t>
      </w:r>
      <w:r w:rsidR="08163013" w:rsidRPr="00273106">
        <w:t>averroismu</w:t>
      </w:r>
      <w:r w:rsidR="08163013">
        <w:t>s za Kilwardbyho a Pecham</w:t>
      </w:r>
      <w:r w:rsidR="004C76F9">
        <w:t>a až do roku 128</w:t>
      </w:r>
      <w:r w:rsidR="00DE7EE7">
        <w:t xml:space="preserve">0, kdy tuto linii modernizoval tomismus </w:t>
      </w:r>
      <w:r w:rsidR="00DE7EE7">
        <w:rPr>
          <w:lang w:eastAsia="en-US"/>
        </w:rPr>
        <w:t xml:space="preserve">Aegidia Romana a </w:t>
      </w:r>
      <w:r w:rsidR="004C76F9">
        <w:rPr>
          <w:lang w:eastAsia="en-US"/>
        </w:rPr>
        <w:t xml:space="preserve">nakonec </w:t>
      </w:r>
      <w:r w:rsidR="08163013">
        <w:t xml:space="preserve">Scotova metafyzika. </w:t>
      </w:r>
      <w:r w:rsidR="00473937">
        <w:t xml:space="preserve">Naopak </w:t>
      </w:r>
      <w:r w:rsidR="08163013" w:rsidRPr="00273106">
        <w:t>v Paříži existovala celá skupina vzdělaných aristoteliků s tradicí sahající od Johna Blunda přes biskupa Alverna až k Albertovi a Akvinskému, Boethiovi z Dácie a Sigerovi z Brabantu. Navíc tito magistři patřili jak k mendikantským řá</w:t>
      </w:r>
      <w:r w:rsidR="08163013">
        <w:t xml:space="preserve">dům, tak i k diecéznímu kléru. </w:t>
      </w:r>
      <w:r w:rsidR="08163013" w:rsidRPr="00273106">
        <w:t xml:space="preserve">Umlčet tuto skupinu </w:t>
      </w:r>
      <w:r w:rsidR="08163013">
        <w:t xml:space="preserve">kritizující moderní averroisty a sofisty </w:t>
      </w:r>
      <w:r w:rsidR="08163013" w:rsidRPr="00273106">
        <w:t>nebylo sn</w:t>
      </w:r>
      <w:r w:rsidR="08163013">
        <w:t>adné</w:t>
      </w:r>
      <w:r w:rsidR="006A34C3">
        <w:t>. P</w:t>
      </w:r>
      <w:r w:rsidR="08163013">
        <w:t>ostaral se o to Tempierův dekret</w:t>
      </w:r>
      <w:r w:rsidR="08163013" w:rsidRPr="00273106">
        <w:t xml:space="preserve"> z března 1277</w:t>
      </w:r>
      <w:r w:rsidR="08163013">
        <w:fldChar w:fldCharType="begin"/>
      </w:r>
      <w:r w:rsidR="08163013">
        <w:instrText xml:space="preserve"> XE "</w:instrText>
      </w:r>
      <w:r w:rsidR="08163013" w:rsidRPr="00BB79EA">
        <w:instrText>odsouzení 1277</w:instrText>
      </w:r>
      <w:r w:rsidR="08163013">
        <w:instrText xml:space="preserve">" </w:instrText>
      </w:r>
      <w:r w:rsidR="08163013">
        <w:fldChar w:fldCharType="end"/>
      </w:r>
      <w:r w:rsidR="08163013" w:rsidRPr="00273106">
        <w:t xml:space="preserve">. Tři anonymní traktáty sebrané do jedné publikace (Steenberghen 1971) </w:t>
      </w:r>
      <w:r w:rsidR="08163013">
        <w:t xml:space="preserve">komentují spis </w:t>
      </w:r>
      <w:r w:rsidR="08163013" w:rsidRPr="007843B2">
        <w:rPr>
          <w:i/>
        </w:rPr>
        <w:t>De anima</w:t>
      </w:r>
      <w:r w:rsidR="08163013">
        <w:t xml:space="preserve">. Tyto velmi důležité komentáře </w:t>
      </w:r>
      <w:r w:rsidR="08163013" w:rsidRPr="00273106">
        <w:t xml:space="preserve">ukazují základní linie sporu </w:t>
      </w:r>
      <w:r w:rsidR="08163013">
        <w:t>mezi prvním a druhým averroismem</w:t>
      </w:r>
      <w:r w:rsidR="08163013" w:rsidRPr="00650AEC">
        <w:t xml:space="preserve"> </w:t>
      </w:r>
      <w:r w:rsidR="08163013">
        <w:t xml:space="preserve">v letech </w:t>
      </w:r>
      <w:r w:rsidR="08163013" w:rsidRPr="00273106">
        <w:t>12</w:t>
      </w:r>
      <w:r w:rsidR="00401A66">
        <w:t>65</w:t>
      </w:r>
      <w:r w:rsidR="08163013">
        <w:t>‒</w:t>
      </w:r>
      <w:r w:rsidR="08163013" w:rsidRPr="00273106">
        <w:t>75.</w:t>
      </w:r>
    </w:p>
    <w:p w:rsidR="08163013" w:rsidRPr="00273106" w:rsidRDefault="00F84C1E" w:rsidP="08163013">
      <w:pPr>
        <w:pStyle w:val="Nadpis3"/>
      </w:pPr>
      <w:bookmarkStart w:id="23" w:name="_Toc36144140"/>
      <w:r>
        <w:br w:type="page"/>
      </w:r>
      <w:bookmarkStart w:id="24" w:name="_Toc180231652"/>
      <w:r w:rsidR="08163013">
        <w:lastRenderedPageBreak/>
        <w:t>4</w:t>
      </w:r>
      <w:r w:rsidR="08163013" w:rsidRPr="00273106">
        <w:t>.3.1 Anonymus Giele</w:t>
      </w:r>
      <w:bookmarkEnd w:id="23"/>
      <w:bookmarkEnd w:id="24"/>
    </w:p>
    <w:p w:rsidR="08163013" w:rsidRDefault="08163013" w:rsidP="08163013">
      <w:r w:rsidRPr="00273106">
        <w:t xml:space="preserve">Hermeneutika objektivity považuje </w:t>
      </w:r>
      <w:r>
        <w:t xml:space="preserve">komentář zvaný </w:t>
      </w:r>
      <w:r w:rsidRPr="00273106">
        <w:rPr>
          <w:i/>
        </w:rPr>
        <w:t>Anonymus Giele</w:t>
      </w:r>
      <w:r w:rsidRPr="00273106">
        <w:t xml:space="preserve"> (psáno do 1275) </w:t>
      </w:r>
      <w:r>
        <w:t xml:space="preserve">editovalý Mauricem Gielem (1971) </w:t>
      </w:r>
      <w:r w:rsidRPr="00273106">
        <w:t xml:space="preserve">za spis integrálně bránící nauku prvního averroismu. Shrňme základní linii argumentace a cílovou skupinu, kterou </w:t>
      </w:r>
      <w:r w:rsidR="08F37F66">
        <w:t xml:space="preserve">anonymní </w:t>
      </w:r>
      <w:r w:rsidRPr="00273106">
        <w:t xml:space="preserve">autor kritizuje. Rozdělení </w:t>
      </w:r>
      <w:r w:rsidRPr="00273106">
        <w:rPr>
          <w:i/>
        </w:rPr>
        <w:t>quidditas</w:t>
      </w:r>
      <w:r>
        <w:rPr>
          <w:i/>
        </w:rPr>
        <w:fldChar w:fldCharType="begin"/>
      </w:r>
      <w:r>
        <w:instrText xml:space="preserve"> XE "</w:instrText>
      </w:r>
      <w:r w:rsidRPr="007C7423">
        <w:rPr>
          <w:i/>
        </w:rPr>
        <w:instrText>quidditas</w:instrText>
      </w:r>
      <w:r>
        <w:instrText xml:space="preserve">" </w:instrText>
      </w:r>
      <w:r>
        <w:rPr>
          <w:i/>
        </w:rPr>
        <w:fldChar w:fldCharType="end"/>
      </w:r>
      <w:r w:rsidRPr="00273106">
        <w:t xml:space="preserve"> na individuální první substanci a na univerzální význam v rámci druhé substance popírá nauku moderních </w:t>
      </w:r>
      <w:r w:rsidRPr="00273106">
        <w:rPr>
          <w:i/>
        </w:rPr>
        <w:t>Nominales</w:t>
      </w:r>
      <w:r w:rsidRPr="00273106">
        <w:t xml:space="preserve"> s odkazem na statut univerzálií u </w:t>
      </w:r>
      <w:r>
        <w:t>Averroes</w:t>
      </w:r>
      <w:r w:rsidRPr="00273106">
        <w:t>e (</w:t>
      </w:r>
      <w:r w:rsidRPr="00273106">
        <w:rPr>
          <w:i/>
        </w:rPr>
        <w:t>non sunt universales nisi cum s</w:t>
      </w:r>
      <w:r>
        <w:rPr>
          <w:i/>
        </w:rPr>
        <w:t xml:space="preserve">int in intellectu </w:t>
      </w:r>
      <w:r w:rsidRPr="00273106">
        <w:rPr>
          <w:i/>
        </w:rPr>
        <w:t>secundum Commentatorem</w:t>
      </w:r>
      <w:r>
        <w:t>;</w:t>
      </w:r>
      <w:r w:rsidRPr="00273106">
        <w:t xml:space="preserve"> </w:t>
      </w:r>
      <w:r w:rsidRPr="08265AC5">
        <w:rPr>
          <w:i/>
        </w:rPr>
        <w:t>An</w:t>
      </w:r>
      <w:r w:rsidR="00263331">
        <w:rPr>
          <w:i/>
        </w:rPr>
        <w:t>on</w:t>
      </w:r>
      <w:r w:rsidRPr="08265AC5">
        <w:rPr>
          <w:i/>
        </w:rPr>
        <w:t>. Giele</w:t>
      </w:r>
      <w:r w:rsidRPr="00273106">
        <w:t>, pp. 23.16‒17</w:t>
      </w:r>
      <w:r>
        <w:fldChar w:fldCharType="begin"/>
      </w:r>
      <w:r>
        <w:instrText xml:space="preserve"> XE "</w:instrText>
      </w:r>
      <w:r>
        <w:rPr>
          <w:i/>
        </w:rPr>
        <w:instrText>Anonym</w:instrText>
      </w:r>
      <w:r w:rsidRPr="00B279FE">
        <w:rPr>
          <w:i/>
        </w:rPr>
        <w:instrText xml:space="preserve"> Giele</w:instrText>
      </w:r>
      <w:r w:rsidRPr="00B75F07">
        <w:instrText xml:space="preserve"> 23.16‒17</w:instrText>
      </w:r>
      <w:r>
        <w:instrText xml:space="preserve">" </w:instrText>
      </w:r>
      <w:r>
        <w:fldChar w:fldCharType="end"/>
      </w:r>
      <w:r w:rsidRPr="00273106">
        <w:t>; 35.23‒25</w:t>
      </w:r>
      <w:r>
        <w:fldChar w:fldCharType="begin"/>
      </w:r>
      <w:r>
        <w:instrText xml:space="preserve"> XE "</w:instrText>
      </w:r>
      <w:r>
        <w:rPr>
          <w:i/>
        </w:rPr>
        <w:instrText>Anonym</w:instrText>
      </w:r>
      <w:r w:rsidRPr="00B279FE">
        <w:rPr>
          <w:i/>
        </w:rPr>
        <w:instrText xml:space="preserve"> Giele</w:instrText>
      </w:r>
      <w:r w:rsidRPr="00B75F07">
        <w:instrText xml:space="preserve"> </w:instrText>
      </w:r>
      <w:r w:rsidRPr="003D5778">
        <w:instrText>35.23‒25</w:instrText>
      </w:r>
      <w:r>
        <w:instrText xml:space="preserve">" </w:instrText>
      </w:r>
      <w:r>
        <w:fldChar w:fldCharType="end"/>
      </w:r>
      <w:r w:rsidRPr="00273106">
        <w:t xml:space="preserve">). Duše poznává pouze z fantasmat, nemá přímý náhled na </w:t>
      </w:r>
      <w:r w:rsidR="00962190">
        <w:rPr>
          <w:i/>
        </w:rPr>
        <w:t>species</w:t>
      </w:r>
      <w:r w:rsidRPr="00273106">
        <w:t xml:space="preserve">. Zásadní přitakání Aristotelovu pojetí duše jako </w:t>
      </w:r>
      <w:r w:rsidRPr="00273106">
        <w:rPr>
          <w:i/>
        </w:rPr>
        <w:t>tabula rasa</w:t>
      </w:r>
      <w:r>
        <w:rPr>
          <w:i/>
        </w:rPr>
        <w:fldChar w:fldCharType="begin"/>
      </w:r>
      <w:r>
        <w:instrText xml:space="preserve"> XE "</w:instrText>
      </w:r>
      <w:r w:rsidRPr="00CE6D17">
        <w:rPr>
          <w:i/>
        </w:rPr>
        <w:instrText>tabula rasa</w:instrText>
      </w:r>
      <w:r>
        <w:instrText xml:space="preserve">" </w:instrText>
      </w:r>
      <w:r>
        <w:rPr>
          <w:i/>
        </w:rPr>
        <w:fldChar w:fldCharType="end"/>
      </w:r>
      <w:r w:rsidRPr="00273106">
        <w:t xml:space="preserve"> je doplněno nasvícením zepředu, od aktuálně poznávané první substance. N</w:t>
      </w:r>
      <w:r>
        <w:t xml:space="preserve">asvícení od věci </w:t>
      </w:r>
      <w:r w:rsidRPr="00273106">
        <w:t>je považováno za přirozený postup poznání</w:t>
      </w:r>
      <w:r>
        <w:t xml:space="preserve"> a </w:t>
      </w:r>
      <w:r w:rsidRPr="00273106">
        <w:t>zakládá akt jejího vlastního sebepochopení (</w:t>
      </w:r>
      <w:r w:rsidRPr="00273106">
        <w:rPr>
          <w:i/>
        </w:rPr>
        <w:t>intelligit nec nisi ex phantasmatibus, et ideo nec intelligitur nisi ut intelligens</w:t>
      </w:r>
      <w:r w:rsidRPr="00273106">
        <w:t>, p. 24.51‒52</w:t>
      </w:r>
      <w:r>
        <w:fldChar w:fldCharType="begin"/>
      </w:r>
      <w:r>
        <w:instrText xml:space="preserve"> XE "</w:instrText>
      </w:r>
      <w:r>
        <w:rPr>
          <w:i/>
        </w:rPr>
        <w:instrText>Anonym</w:instrText>
      </w:r>
      <w:r w:rsidRPr="00B279FE">
        <w:rPr>
          <w:i/>
        </w:rPr>
        <w:instrText xml:space="preserve"> Giele</w:instrText>
      </w:r>
      <w:r w:rsidRPr="00B75F07">
        <w:instrText xml:space="preserve"> </w:instrText>
      </w:r>
      <w:r>
        <w:instrText>24.51</w:instrText>
      </w:r>
      <w:r w:rsidRPr="00B75F07">
        <w:instrText>‒</w:instrText>
      </w:r>
      <w:r>
        <w:instrText xml:space="preserve">52" </w:instrText>
      </w:r>
      <w:r>
        <w:fldChar w:fldCharType="end"/>
      </w:r>
      <w:r w:rsidRPr="00273106">
        <w:t xml:space="preserve">). Tím je odmítnuta </w:t>
      </w:r>
      <w:r>
        <w:t xml:space="preserve">imanentní aktualita intelektu, kterou modernisté převzali od </w:t>
      </w:r>
      <w:r w:rsidRPr="00273106">
        <w:t>Avicenny. První a druhá substance se od sebe liší zásadním způsobem</w:t>
      </w:r>
      <w:r>
        <w:fldChar w:fldCharType="begin"/>
      </w:r>
      <w:r>
        <w:instrText xml:space="preserve"> XE "</w:instrText>
      </w:r>
      <w:r w:rsidRPr="00087204">
        <w:instrText>substance:druhá</w:instrText>
      </w:r>
      <w:r>
        <w:instrText xml:space="preserve">" </w:instrText>
      </w:r>
      <w:r>
        <w:fldChar w:fldCharType="end"/>
      </w:r>
      <w:r w:rsidRPr="00273106">
        <w:t>. Individualizace univerzálií mimo intelekt je odmítnuta jako sofistika, protože univerzálie jsou pouze obecniny v mysli</w:t>
      </w:r>
      <w:r>
        <w:fldChar w:fldCharType="begin"/>
      </w:r>
      <w:r>
        <w:instrText xml:space="preserve"> XE "</w:instrText>
      </w:r>
      <w:r w:rsidRPr="009B20E4">
        <w:instrText>spor o univerzália</w:instrText>
      </w:r>
      <w:r>
        <w:instrText xml:space="preserve">" </w:instrText>
      </w:r>
      <w:r>
        <w:fldChar w:fldCharType="end"/>
      </w:r>
      <w:r w:rsidRPr="00273106">
        <w:t>. Individualizace existuje pouze na substrátu určeném materiálně, a tím i kvantitativně.</w:t>
      </w:r>
    </w:p>
    <w:p w:rsidR="08163013" w:rsidRDefault="08163013" w:rsidP="08163013">
      <w:pPr>
        <w:pStyle w:val="Citace"/>
        <w:rPr>
          <w:lang w:val="cs-CZ"/>
        </w:rPr>
      </w:pPr>
      <w:r w:rsidRPr="00273106">
        <w:rPr>
          <w:noProof/>
        </w:rPr>
        <w:t>„</w:t>
      </w:r>
      <w:r>
        <w:rPr>
          <w:noProof/>
          <w:lang w:val="cs-CZ"/>
        </w:rPr>
        <w:t xml:space="preserve">Proti tezi popírající existenci univerzálií pouze v intelektu uvádím, že je sofistická a lze ji vyvrátit následovně. Existují jsoucna, která jsou sama v sobě jednotná jako jednotliviny a tím </w:t>
      </w:r>
      <w:r w:rsidR="08FB2DFE">
        <w:rPr>
          <w:noProof/>
          <w:lang w:val="cs-CZ"/>
        </w:rPr>
        <w:t xml:space="preserve">numericky </w:t>
      </w:r>
      <w:r>
        <w:rPr>
          <w:noProof/>
          <w:lang w:val="cs-CZ"/>
        </w:rPr>
        <w:t>odlišná od jiných, nacházejí se na určitém místě jako subjekt a tím se od sebe odlišují. Proto nejde o akcidentální odlišnost.</w:t>
      </w:r>
      <w:r w:rsidR="00250334">
        <w:rPr>
          <w:noProof/>
          <w:lang w:val="cs-CZ"/>
        </w:rPr>
        <w:t>..</w:t>
      </w:r>
      <w:r>
        <w:rPr>
          <w:noProof/>
          <w:lang w:val="cs-CZ"/>
        </w:rPr>
        <w:t xml:space="preserve">“ </w:t>
      </w:r>
      <w:r>
        <w:rPr>
          <w:rStyle w:val="Znakapoznpodarou"/>
        </w:rPr>
        <w:footnoteReference w:id="113"/>
      </w:r>
    </w:p>
    <w:p w:rsidR="08163013" w:rsidRDefault="08163013" w:rsidP="08163013">
      <w:r w:rsidRPr="00273106">
        <w:t>Univerzália se nacházejí v intelektu (</w:t>
      </w:r>
      <w:r w:rsidRPr="00273106">
        <w:rPr>
          <w:i/>
        </w:rPr>
        <w:t>universale esse in intellectu</w:t>
      </w:r>
      <w:r>
        <w:t>). I</w:t>
      </w:r>
      <w:r w:rsidRPr="00273106">
        <w:t xml:space="preserve">dentita </w:t>
      </w:r>
      <w:r>
        <w:t xml:space="preserve">jednotlivých jsoucen </w:t>
      </w:r>
      <w:r w:rsidRPr="00273106">
        <w:t xml:space="preserve">je dána </w:t>
      </w:r>
      <w:r w:rsidR="00E33DB9">
        <w:t xml:space="preserve">skrze </w:t>
      </w:r>
      <w:r w:rsidRPr="00273106">
        <w:t>materiální substanci</w:t>
      </w:r>
      <w:r>
        <w:t xml:space="preserve">, která tvoří i </w:t>
      </w:r>
      <w:r w:rsidR="00E33DB9">
        <w:t xml:space="preserve">numericky odlišnou </w:t>
      </w:r>
      <w:r>
        <w:t xml:space="preserve">jednotu </w:t>
      </w:r>
      <w:r w:rsidRPr="00273106">
        <w:t>(</w:t>
      </w:r>
      <w:r w:rsidRPr="00273106">
        <w:rPr>
          <w:i/>
        </w:rPr>
        <w:t>seipsis distinctionem habent et numerum essentialiter</w:t>
      </w:r>
      <w:r w:rsidRPr="00273106">
        <w:t xml:space="preserve">). </w:t>
      </w:r>
      <w:r w:rsidR="006F16F3">
        <w:t>Rufus vybudoval numerickou</w:t>
      </w:r>
      <w:r>
        <w:t xml:space="preserve"> jednot</w:t>
      </w:r>
      <w:r w:rsidR="006F16F3">
        <w:t>u</w:t>
      </w:r>
      <w:r>
        <w:t xml:space="preserve"> </w:t>
      </w:r>
      <w:r w:rsidR="080961C6">
        <w:t xml:space="preserve">univerzálií </w:t>
      </w:r>
      <w:r>
        <w:t>na úrovni první</w:t>
      </w:r>
      <w:r w:rsidR="006F16F3">
        <w:t xml:space="preserve">ch substancí </w:t>
      </w:r>
      <w:r w:rsidRPr="00273106">
        <w:t>(</w:t>
      </w:r>
      <w:r w:rsidRPr="00273106">
        <w:rPr>
          <w:rStyle w:val="linemarker-marked-line"/>
          <w:i/>
        </w:rPr>
        <w:t>numerus a priori secundum naturam causatur</w:t>
      </w:r>
      <w:r w:rsidR="080961C6">
        <w:rPr>
          <w:rStyle w:val="linemarker-marked-line"/>
        </w:rPr>
        <w:t>; OBJ II, kap. 3</w:t>
      </w:r>
      <w:r w:rsidRPr="00273106">
        <w:rPr>
          <w:rStyle w:val="linemarker-marked-line"/>
        </w:rPr>
        <w:t>.3.2</w:t>
      </w:r>
      <w:r w:rsidRPr="00273106">
        <w:t xml:space="preserve">). </w:t>
      </w:r>
      <w:r w:rsidR="080961C6">
        <w:t xml:space="preserve">Anonym tvrdí, že </w:t>
      </w:r>
      <w:r w:rsidR="00A164DD">
        <w:t>takové p</w:t>
      </w:r>
      <w:r w:rsidRPr="00273106">
        <w:t>ojetí univerzálií by zničilo jejich podstatu (</w:t>
      </w:r>
      <w:r w:rsidRPr="00273106">
        <w:rPr>
          <w:i/>
        </w:rPr>
        <w:t xml:space="preserve">dissolutio </w:t>
      </w:r>
      <w:r w:rsidRPr="00273106">
        <w:rPr>
          <w:i/>
        </w:rPr>
        <w:lastRenderedPageBreak/>
        <w:t>huius talis</w:t>
      </w:r>
      <w:r w:rsidRPr="00273106">
        <w:t xml:space="preserve">). </w:t>
      </w:r>
      <w:r w:rsidR="00496CE9">
        <w:t xml:space="preserve">Myšlení nemůže zaměňovat </w:t>
      </w:r>
      <w:r w:rsidRPr="00273106">
        <w:t xml:space="preserve">specifická individua daná univerzálně v mysli a první substance dané v reálu. Následná série argumentů popírá pojetí vědy podle </w:t>
      </w:r>
      <w:r>
        <w:t xml:space="preserve">analytického výkladu </w:t>
      </w:r>
      <w:r w:rsidRPr="08BA781A">
        <w:rPr>
          <w:i/>
        </w:rPr>
        <w:t>Druhých analytik</w:t>
      </w:r>
      <w:r w:rsidRPr="00273106">
        <w:t xml:space="preserve">. Autor odmítá přidat do demonstrativního </w:t>
      </w:r>
      <w:r>
        <w:t>sylo</w:t>
      </w:r>
      <w:r w:rsidRPr="00273106">
        <w:t>gismu nominalisticky pojatý střední člen soudu</w:t>
      </w:r>
      <w:r>
        <w:t xml:space="preserve"> podle </w:t>
      </w:r>
      <w:r w:rsidRPr="004B13BC">
        <w:rPr>
          <w:i/>
        </w:rPr>
        <w:t>Oxfordian Fallacy</w:t>
      </w:r>
      <w:r>
        <w:rPr>
          <w:i/>
        </w:rPr>
        <w:fldChar w:fldCharType="begin"/>
      </w:r>
      <w:r>
        <w:instrText xml:space="preserve"> XE "</w:instrText>
      </w:r>
      <w:r w:rsidRPr="00B279FE">
        <w:rPr>
          <w:i/>
        </w:rPr>
        <w:instrText>demonstratio</w:instrText>
      </w:r>
      <w:r w:rsidRPr="00E156B4">
        <w:instrText>:</w:instrText>
      </w:r>
      <w:r>
        <w:instrText>Anonym</w:instrText>
      </w:r>
      <w:r w:rsidRPr="00B279FE">
        <w:instrText xml:space="preserve"> Giele</w:instrText>
      </w:r>
      <w:r>
        <w:instrText xml:space="preserve">" </w:instrText>
      </w:r>
      <w:r>
        <w:rPr>
          <w:i/>
        </w:rPr>
        <w:fldChar w:fldCharType="end"/>
      </w:r>
      <w:r w:rsidRPr="00273106">
        <w:t xml:space="preserve">. Individualita daná </w:t>
      </w:r>
      <w:r>
        <w:t>Porfyri</w:t>
      </w:r>
      <w:r w:rsidRPr="00273106">
        <w:t xml:space="preserve">ovým dělením univerzálií nemůže založit </w:t>
      </w:r>
      <w:r>
        <w:t xml:space="preserve">vlastní </w:t>
      </w:r>
      <w:r w:rsidRPr="00273106">
        <w:t xml:space="preserve">identitu jednotlivin, protože univerzália existují pouze v </w:t>
      </w:r>
      <w:r>
        <w:t xml:space="preserve">intelektuální </w:t>
      </w:r>
      <w:r w:rsidRPr="00273106">
        <w:t xml:space="preserve">duši. Věda postavená na substanci jako </w:t>
      </w:r>
      <w:r w:rsidRPr="00C41EAC">
        <w:rPr>
          <w:i/>
        </w:rPr>
        <w:t>tertium ens</w:t>
      </w:r>
      <w:r w:rsidRPr="00273106">
        <w:t xml:space="preserve"> vytváří pochybné pojetí kauzality třetího druhu. Původ této kauzality vázané na esenci jsme analyzovali u Rufuse (</w:t>
      </w:r>
      <w:r w:rsidR="080961C6">
        <w:t>OBJ II, kap. 3</w:t>
      </w:r>
      <w:r w:rsidRPr="00273106">
        <w:t xml:space="preserve">.3.1). Anonym považuje </w:t>
      </w:r>
      <w:r w:rsidR="00BA15CA">
        <w:t>vědu</w:t>
      </w:r>
      <w:r w:rsidRPr="00273106">
        <w:t xml:space="preserve"> založe</w:t>
      </w:r>
      <w:r w:rsidR="00BA15CA">
        <w:t>nou</w:t>
      </w:r>
      <w:r>
        <w:t xml:space="preserve"> na objektivním </w:t>
      </w:r>
      <w:r w:rsidR="00BA15CA" w:rsidRPr="00DE5D5D">
        <w:rPr>
          <w:i/>
        </w:rPr>
        <w:t>tertium ens</w:t>
      </w:r>
      <w:r>
        <w:t xml:space="preserve"> </w:t>
      </w:r>
      <w:r w:rsidRPr="00273106">
        <w:t>za nesmysl.</w:t>
      </w:r>
    </w:p>
    <w:p w:rsidR="08163013" w:rsidRDefault="08163013" w:rsidP="08163013">
      <w:pPr>
        <w:pStyle w:val="Citace"/>
        <w:rPr>
          <w:lang w:val="cs-CZ"/>
        </w:rPr>
      </w:pPr>
      <w:r w:rsidRPr="00C41EAC">
        <w:t>„</w:t>
      </w:r>
      <w:r>
        <w:rPr>
          <w:lang w:val="cs-CZ"/>
        </w:rPr>
        <w:t>Kdyby existovala nějaká věda učící nebo dokazující něco v individuálních věcech, tato věda by měla statut prvních substancí. Ale věda poznává skrze důkazy a vychází z toho, co je v reálných věcech</w:t>
      </w:r>
      <w:r w:rsidR="00250334">
        <w:rPr>
          <w:lang w:val="cs-CZ"/>
        </w:rPr>
        <w:t>. P</w:t>
      </w:r>
      <w:r>
        <w:rPr>
          <w:lang w:val="cs-CZ"/>
        </w:rPr>
        <w:t>roto má modální charakter (</w:t>
      </w:r>
      <w:r w:rsidRPr="00400D87">
        <w:rPr>
          <w:i/>
        </w:rPr>
        <w:t>ipsa est modalis</w:t>
      </w:r>
      <w:r w:rsidR="00250334">
        <w:rPr>
          <w:lang w:val="cs-CZ"/>
        </w:rPr>
        <w:t xml:space="preserve">), </w:t>
      </w:r>
      <w:r>
        <w:rPr>
          <w:lang w:val="cs-CZ"/>
        </w:rPr>
        <w:t xml:space="preserve">a tím se liší od individuálních věcí. Proto je nemožné mít vědu, která zkoumá nebo dokazuje to, co se děje na úrovni singulárních </w:t>
      </w:r>
      <w:proofErr w:type="gramStart"/>
      <w:r>
        <w:rPr>
          <w:lang w:val="cs-CZ"/>
        </w:rPr>
        <w:t>věcí...“</w:t>
      </w:r>
      <w:proofErr w:type="gramEnd"/>
      <w:r>
        <w:rPr>
          <w:lang w:val="cs-CZ"/>
        </w:rPr>
        <w:t xml:space="preserve"> </w:t>
      </w:r>
      <w:r>
        <w:rPr>
          <w:rStyle w:val="Znakapoznpodarou"/>
        </w:rPr>
        <w:footnoteReference w:id="114"/>
      </w:r>
    </w:p>
    <w:p w:rsidR="08163013" w:rsidRDefault="08163013" w:rsidP="08163013">
      <w:r>
        <w:t xml:space="preserve">Argumentace proti druhému averroismu má velmi specifický charakter. </w:t>
      </w:r>
      <w:r w:rsidRPr="00273106">
        <w:t xml:space="preserve">Rozdíl mezi modálním a reálným poznáním </w:t>
      </w:r>
      <w:r>
        <w:t xml:space="preserve">indikuje možného autora a stanovuje zásadní </w:t>
      </w:r>
      <w:r w:rsidRPr="00273106">
        <w:t xml:space="preserve">rozdíl mezi prvním a druhým averroismem. </w:t>
      </w:r>
      <w:r w:rsidR="00B50A21" w:rsidRPr="00B50A21">
        <w:t xml:space="preserve">Na úrovni hyparchických prvních substancí nemůže existovat žádná věda. </w:t>
      </w:r>
      <w:r w:rsidR="00750E99">
        <w:t>Existence takové „</w:t>
      </w:r>
      <w:r w:rsidR="00750E99" w:rsidRPr="00273106">
        <w:rPr>
          <w:i/>
        </w:rPr>
        <w:t>scientia realis</w:t>
      </w:r>
      <w:r w:rsidR="00750E99">
        <w:t>“</w:t>
      </w:r>
      <w:r w:rsidR="00750E99" w:rsidRPr="00273106">
        <w:t xml:space="preserve"> by byla totožná s </w:t>
      </w:r>
      <w:r w:rsidR="00750E99">
        <w:t>poznáním věcí na úrovni Stvořitele, který věc povolal do bytí. Inte</w:t>
      </w:r>
      <w:r w:rsidR="00750E99" w:rsidRPr="00273106">
        <w:t>l</w:t>
      </w:r>
      <w:r w:rsidR="00750E99">
        <w:t>e</w:t>
      </w:r>
      <w:r w:rsidR="00750E99" w:rsidRPr="00273106">
        <w:t>kt oddělený od smyslů poznává věci v jejich obecnosti, tedy v jiné modalitě než smysly (</w:t>
      </w:r>
      <w:r w:rsidR="00750E99" w:rsidRPr="00273106">
        <w:rPr>
          <w:i/>
        </w:rPr>
        <w:t xml:space="preserve">scientia docens modum </w:t>
      </w:r>
      <w:proofErr w:type="gramStart"/>
      <w:r w:rsidR="00750E99" w:rsidRPr="00273106">
        <w:rPr>
          <w:i/>
        </w:rPr>
        <w:t>demonstrandi</w:t>
      </w:r>
      <w:r w:rsidR="00750E99" w:rsidRPr="00273106">
        <w:t xml:space="preserve">... </w:t>
      </w:r>
      <w:r w:rsidR="00750E99" w:rsidRPr="00273106">
        <w:rPr>
          <w:i/>
        </w:rPr>
        <w:t>ipsa</w:t>
      </w:r>
      <w:proofErr w:type="gramEnd"/>
      <w:r w:rsidR="00750E99" w:rsidRPr="00273106">
        <w:rPr>
          <w:i/>
        </w:rPr>
        <w:t xml:space="preserve"> est modalis</w:t>
      </w:r>
      <w:r w:rsidR="00750E99" w:rsidRPr="00273106">
        <w:t xml:space="preserve">). </w:t>
      </w:r>
      <w:r w:rsidR="00750E99">
        <w:t>Toto uvažování</w:t>
      </w:r>
      <w:r w:rsidR="00B50A21" w:rsidRPr="00B50A21">
        <w:t xml:space="preserve"> je plně v souladu </w:t>
      </w:r>
      <w:r w:rsidR="00B50A21">
        <w:t xml:space="preserve">se základní tezí </w:t>
      </w:r>
      <w:r w:rsidR="00B50A21" w:rsidRPr="0083600A">
        <w:rPr>
          <w:i/>
        </w:rPr>
        <w:t>Druhých analytik</w:t>
      </w:r>
      <w:r w:rsidR="00B50A21">
        <w:t xml:space="preserve"> zakládající univerzální predikaci v modu metafyzického dativu</w:t>
      </w:r>
      <w:r w:rsidR="00B50A21">
        <w:fldChar w:fldCharType="begin"/>
      </w:r>
      <w:r w:rsidR="00B50A21">
        <w:instrText xml:space="preserve"> XE "</w:instrText>
      </w:r>
      <w:r w:rsidR="00B50A21">
        <w:rPr>
          <w:i/>
        </w:rPr>
        <w:instrText>dativus metaphysi</w:instrText>
      </w:r>
      <w:r w:rsidR="00B50A21" w:rsidRPr="08E95330">
        <w:rPr>
          <w:i/>
        </w:rPr>
        <w:instrText>cus</w:instrText>
      </w:r>
      <w:r w:rsidR="00B50A21">
        <w:instrText xml:space="preserve">" </w:instrText>
      </w:r>
      <w:r w:rsidR="00B50A21">
        <w:fldChar w:fldCharType="end"/>
      </w:r>
      <w:r w:rsidR="00B50A21">
        <w:t xml:space="preserve">. </w:t>
      </w:r>
      <w:r>
        <w:t>D</w:t>
      </w:r>
      <w:r w:rsidRPr="00273106">
        <w:t xml:space="preserve">eduktivní </w:t>
      </w:r>
      <w:r w:rsidR="009B430D">
        <w:t>vědění m</w:t>
      </w:r>
      <w:r>
        <w:t>usí mít univerzální ch</w:t>
      </w:r>
      <w:r w:rsidRPr="00273106">
        <w:t>ar</w:t>
      </w:r>
      <w:r>
        <w:t>a</w:t>
      </w:r>
      <w:r w:rsidRPr="00273106">
        <w:t xml:space="preserve">kter daný odpovídajícím </w:t>
      </w:r>
      <w:r>
        <w:t xml:space="preserve">výkladem </w:t>
      </w:r>
      <w:r w:rsidRPr="00273106">
        <w:t>rozumového poznání</w:t>
      </w:r>
      <w:r>
        <w:t xml:space="preserve"> podle </w:t>
      </w:r>
      <w:r w:rsidRPr="00630F96">
        <w:rPr>
          <w:i/>
        </w:rPr>
        <w:t>De anima</w:t>
      </w:r>
      <w:r>
        <w:t>.  Proto nemůže existovat objektivní</w:t>
      </w:r>
      <w:r w:rsidRPr="00273106">
        <w:t xml:space="preserve"> věda postavená na jsoucnu třetího druhu a na stejně pochybné kauzalitě, jako to měli moderní </w:t>
      </w:r>
      <w:r w:rsidRPr="00273106">
        <w:rPr>
          <w:i/>
        </w:rPr>
        <w:t>Nominales</w:t>
      </w:r>
      <w:r>
        <w:t xml:space="preserve">. </w:t>
      </w:r>
      <w:r w:rsidRPr="00273106">
        <w:t xml:space="preserve">Odmítnutím kvazi-substanční singularity univerzálií je také vyloučena pluralita substancí v duši. Anonym v další části odmítne hlavní argument druhého averroismu, totiž pluralitu substancí v člověku. Brání podle Aristotela nematerialitu intelektu danou na hylemorfickém substrátu. Intelekt není </w:t>
      </w:r>
      <w:r w:rsidRPr="00273106">
        <w:lastRenderedPageBreak/>
        <w:t xml:space="preserve">forma, ale pouze akt duše. </w:t>
      </w:r>
      <w:r>
        <w:t>N</w:t>
      </w:r>
      <w:r w:rsidRPr="00273106">
        <w:t xml:space="preserve">ásledující citace </w:t>
      </w:r>
      <w:r>
        <w:t>odmítne</w:t>
      </w:r>
      <w:r w:rsidRPr="00273106">
        <w:t xml:space="preserve"> druh</w:t>
      </w:r>
      <w:r>
        <w:t>ý</w:t>
      </w:r>
      <w:r w:rsidRPr="00273106">
        <w:t xml:space="preserve"> averroismu</w:t>
      </w:r>
      <w:r>
        <w:t>s</w:t>
      </w:r>
      <w:r w:rsidRPr="00273106">
        <w:t xml:space="preserve"> </w:t>
      </w:r>
      <w:r>
        <w:t xml:space="preserve">a </w:t>
      </w:r>
      <w:r w:rsidRPr="00273106">
        <w:t>shrn</w:t>
      </w:r>
      <w:r>
        <w:t xml:space="preserve">e </w:t>
      </w:r>
      <w:r w:rsidRPr="00273106">
        <w:t>jeho základní rozpory.</w:t>
      </w:r>
    </w:p>
    <w:p w:rsidR="08163013" w:rsidRDefault="08163013" w:rsidP="08163013">
      <w:pPr>
        <w:pStyle w:val="Citace"/>
        <w:rPr>
          <w:lang w:val="cs-CZ"/>
        </w:rPr>
      </w:pPr>
      <w:r w:rsidRPr="00273106">
        <w:rPr>
          <w:noProof/>
        </w:rPr>
        <w:t>„</w:t>
      </w:r>
      <w:r>
        <w:rPr>
          <w:noProof/>
          <w:lang w:val="cs-CZ"/>
        </w:rPr>
        <w:t xml:space="preserve">Porozumění prý probíhá na základě nemateriální činnosti intelektu a proto z něj prý nelze odvodit, že tvoří součást těla. Ale tato pozice je rozporná. Akt poznání totiž tvoří součást zakoušení </w:t>
      </w:r>
      <w:r w:rsidR="007D1E49">
        <w:rPr>
          <w:noProof/>
          <w:lang w:val="cs-CZ"/>
        </w:rPr>
        <w:t xml:space="preserve">daného </w:t>
      </w:r>
      <w:r>
        <w:rPr>
          <w:noProof/>
          <w:lang w:val="cs-CZ"/>
        </w:rPr>
        <w:t>skrze materii (</w:t>
      </w:r>
      <w:r w:rsidRPr="00FA30D8">
        <w:rPr>
          <w:i/>
          <w:noProof/>
        </w:rPr>
        <w:t>intelligere sit passio in materia</w:t>
      </w:r>
      <w:r>
        <w:rPr>
          <w:noProof/>
          <w:lang w:val="cs-CZ"/>
        </w:rPr>
        <w:t>)</w:t>
      </w:r>
      <w:r w:rsidR="00FE2C42">
        <w:rPr>
          <w:noProof/>
          <w:lang w:val="cs-CZ"/>
        </w:rPr>
        <w:t xml:space="preserve">. Každé </w:t>
      </w:r>
      <w:r>
        <w:rPr>
          <w:noProof/>
          <w:lang w:val="cs-CZ"/>
        </w:rPr>
        <w:t xml:space="preserve">poznání je dáno skrze intelekt, který je aktem </w:t>
      </w:r>
      <w:r w:rsidR="00FE2C42">
        <w:rPr>
          <w:noProof/>
          <w:lang w:val="cs-CZ"/>
        </w:rPr>
        <w:t xml:space="preserve">existujícího </w:t>
      </w:r>
      <w:r>
        <w:rPr>
          <w:noProof/>
          <w:lang w:val="cs-CZ"/>
        </w:rPr>
        <w:t>těla (</w:t>
      </w:r>
      <w:r w:rsidRPr="00DC1587">
        <w:rPr>
          <w:i/>
          <w:noProof/>
        </w:rPr>
        <w:t>per intellectum qui est actus corporis</w:t>
      </w:r>
      <w:r>
        <w:rPr>
          <w:noProof/>
          <w:lang w:val="cs-CZ"/>
        </w:rPr>
        <w:t xml:space="preserve">). A tento rozpor </w:t>
      </w:r>
      <w:r w:rsidR="002B1994">
        <w:rPr>
          <w:noProof/>
          <w:lang w:val="cs-CZ"/>
        </w:rPr>
        <w:t xml:space="preserve">se týká všech </w:t>
      </w:r>
      <w:r>
        <w:rPr>
          <w:noProof/>
          <w:lang w:val="cs-CZ"/>
        </w:rPr>
        <w:t>tvrzení, kter</w:t>
      </w:r>
      <w:r w:rsidR="002B1994">
        <w:rPr>
          <w:noProof/>
          <w:lang w:val="cs-CZ"/>
        </w:rPr>
        <w:t>á říkají</w:t>
      </w:r>
      <w:r>
        <w:rPr>
          <w:noProof/>
          <w:lang w:val="cs-CZ"/>
        </w:rPr>
        <w:t>, že akt po</w:t>
      </w:r>
      <w:r w:rsidR="00F96F9C">
        <w:rPr>
          <w:noProof/>
          <w:lang w:val="cs-CZ"/>
        </w:rPr>
        <w:t>rozumění je nějaká zkušenost daná</w:t>
      </w:r>
      <w:r>
        <w:rPr>
          <w:noProof/>
          <w:lang w:val="cs-CZ"/>
        </w:rPr>
        <w:t xml:space="preserve"> mimo tělo. Z tohoto důvodu je toto tvrzení nesmyslné (</w:t>
      </w:r>
      <w:r w:rsidRPr="00267FAF">
        <w:rPr>
          <w:i/>
          <w:noProof/>
        </w:rPr>
        <w:t>positio haec stare non potest</w:t>
      </w:r>
      <w:r>
        <w:rPr>
          <w:noProof/>
          <w:lang w:val="cs-CZ"/>
        </w:rPr>
        <w:t xml:space="preserve">).“ </w:t>
      </w:r>
      <w:r>
        <w:rPr>
          <w:rStyle w:val="Znakapoznpodarou"/>
        </w:rPr>
        <w:footnoteReference w:id="115"/>
      </w:r>
    </w:p>
    <w:p w:rsidR="08163013" w:rsidRPr="087C41CA" w:rsidRDefault="08163013" w:rsidP="08163013">
      <w:pPr>
        <w:rPr>
          <w:i/>
        </w:rPr>
      </w:pPr>
      <w:r w:rsidRPr="00273106">
        <w:t xml:space="preserve">Traktát jasně odmítá základní tezi </w:t>
      </w:r>
      <w:r>
        <w:t xml:space="preserve">Rufuse, </w:t>
      </w:r>
      <w:r w:rsidR="080961C6">
        <w:t xml:space="preserve">Kilwardbyho, </w:t>
      </w:r>
      <w:r w:rsidRPr="00273106">
        <w:t xml:space="preserve">Bonaventury a </w:t>
      </w:r>
      <w:r>
        <w:t>Pecham</w:t>
      </w:r>
      <w:r w:rsidRPr="00273106">
        <w:t>a jako nesmyslnou</w:t>
      </w:r>
      <w:r w:rsidR="088F50F8">
        <w:t>. Argumentace následuje Komentátorův</w:t>
      </w:r>
      <w:r>
        <w:t xml:space="preserve"> vý</w:t>
      </w:r>
      <w:r w:rsidR="088F50F8">
        <w:t>klad</w:t>
      </w:r>
      <w:r>
        <w:t xml:space="preserve"> </w:t>
      </w:r>
      <w:r>
        <w:rPr>
          <w:i/>
        </w:rPr>
        <w:t>De anima</w:t>
      </w:r>
      <w:r w:rsidRPr="00273106">
        <w:t>. Intelekt</w:t>
      </w:r>
      <w:r>
        <w:t xml:space="preserve">uální porozumění </w:t>
      </w:r>
      <w:r w:rsidRPr="00273106">
        <w:t>je výkonem nemateriální duše dané jako akt těla (</w:t>
      </w:r>
      <w:r w:rsidRPr="00273106">
        <w:rPr>
          <w:i/>
        </w:rPr>
        <w:t>intelligimus per intellectum qui est actus corporis</w:t>
      </w:r>
      <w:r w:rsidRPr="00273106">
        <w:t>). Jakákoliv jiná determinace skrze látku (</w:t>
      </w:r>
      <w:r w:rsidRPr="00273106">
        <w:rPr>
          <w:i/>
        </w:rPr>
        <w:t>passio in materia</w:t>
      </w:r>
      <w:r w:rsidRPr="00273106">
        <w:t xml:space="preserve">) by zničila </w:t>
      </w:r>
      <w:r w:rsidR="00392250">
        <w:t>nematerialitu</w:t>
      </w:r>
      <w:r w:rsidRPr="00273106">
        <w:t xml:space="preserve"> intelektu</w:t>
      </w:r>
      <w:r>
        <w:t xml:space="preserve"> daného výkonem tělesné osoby</w:t>
      </w:r>
      <w:r w:rsidRPr="00273106">
        <w:t xml:space="preserve">. Autor podává vlastní verzi </w:t>
      </w:r>
      <w:r>
        <w:t>Averroes</w:t>
      </w:r>
      <w:r w:rsidRPr="00273106">
        <w:t xml:space="preserve">ova rozdílu mezi </w:t>
      </w:r>
      <w:r w:rsidRPr="00273106">
        <w:rPr>
          <w:i/>
        </w:rPr>
        <w:t>tertium</w:t>
      </w:r>
      <w:r w:rsidRPr="00273106">
        <w:t xml:space="preserve"> a </w:t>
      </w:r>
      <w:r w:rsidRPr="00273106">
        <w:rPr>
          <w:i/>
        </w:rPr>
        <w:t xml:space="preserve">quartum </w:t>
      </w:r>
      <w:r w:rsidR="00962190">
        <w:rPr>
          <w:i/>
        </w:rPr>
        <w:t>genus</w:t>
      </w:r>
      <w:r>
        <w:rPr>
          <w:i/>
        </w:rPr>
        <w:fldChar w:fldCharType="begin"/>
      </w:r>
      <w:r>
        <w:instrText xml:space="preserve"> XE "</w:instrText>
      </w:r>
      <w:r w:rsidRPr="00191848">
        <w:rPr>
          <w:i/>
        </w:rPr>
        <w:instrText>quartum genus</w:instrText>
      </w:r>
      <w:r>
        <w:instrText xml:space="preserve">" </w:instrText>
      </w:r>
      <w:r>
        <w:rPr>
          <w:i/>
        </w:rPr>
        <w:fldChar w:fldCharType="end"/>
      </w:r>
      <w:r w:rsidRPr="00273106">
        <w:t xml:space="preserve"> následov</w:t>
      </w:r>
      <w:r>
        <w:t xml:space="preserve">ně: </w:t>
      </w:r>
      <w:r w:rsidRPr="00273106">
        <w:t>„</w:t>
      </w:r>
      <w:r>
        <w:t>Duše potřebuje pro porozumění tělo jako objekt, nikoliv jako subjekt“ (</w:t>
      </w:r>
      <w:r w:rsidRPr="008E409C">
        <w:rPr>
          <w:i/>
        </w:rPr>
        <w:t>anima indiget in intelligere corpore obiecto, non sicut subiecto</w:t>
      </w:r>
      <w:r>
        <w:t>; ibid, 39.67‒68</w:t>
      </w:r>
      <w:r>
        <w:fldChar w:fldCharType="begin"/>
      </w:r>
      <w:r>
        <w:instrText xml:space="preserve"> XE "</w:instrText>
      </w:r>
      <w:r>
        <w:rPr>
          <w:i/>
        </w:rPr>
        <w:instrText>Anonym</w:instrText>
      </w:r>
      <w:r w:rsidRPr="00B279FE">
        <w:rPr>
          <w:i/>
        </w:rPr>
        <w:instrText xml:space="preserve"> Giele</w:instrText>
      </w:r>
      <w:r w:rsidRPr="00B75F07">
        <w:instrText xml:space="preserve"> </w:instrText>
      </w:r>
      <w:r>
        <w:instrText>39.67</w:instrText>
      </w:r>
      <w:r w:rsidRPr="00B75F07">
        <w:instrText>‒</w:instrText>
      </w:r>
      <w:r>
        <w:instrText xml:space="preserve">68" </w:instrText>
      </w:r>
      <w:r>
        <w:fldChar w:fldCharType="end"/>
      </w:r>
      <w:r>
        <w:t xml:space="preserve">). </w:t>
      </w:r>
      <w:r w:rsidRPr="00273106">
        <w:t>Duše je díky nemateriálnímu výkonu intelektu do jisté míry od</w:t>
      </w:r>
      <w:r w:rsidR="08202184">
        <w:t xml:space="preserve">dělena od individuace </w:t>
      </w:r>
      <w:r w:rsidR="08866AF3">
        <w:t>s</w:t>
      </w:r>
      <w:r w:rsidRPr="00273106">
        <w:t xml:space="preserve">krze </w:t>
      </w:r>
      <w:r w:rsidR="08202184">
        <w:t xml:space="preserve">tělo jako </w:t>
      </w:r>
      <w:r w:rsidRPr="00273106">
        <w:t xml:space="preserve">materiální </w:t>
      </w:r>
      <w:r w:rsidRPr="00273106">
        <w:rPr>
          <w:i/>
        </w:rPr>
        <w:t>subiectum</w:t>
      </w:r>
      <w:r>
        <w:rPr>
          <w:i/>
        </w:rPr>
        <w:fldChar w:fldCharType="begin"/>
      </w:r>
      <w:r>
        <w:instrText xml:space="preserve"> XE "</w:instrText>
      </w:r>
      <w:r w:rsidRPr="00360013">
        <w:rPr>
          <w:i/>
        </w:rPr>
        <w:instrText>subiectum:</w:instrText>
      </w:r>
      <w:r w:rsidRPr="00360013">
        <w:instrText>třetího druhu</w:instrText>
      </w:r>
      <w:r>
        <w:instrText xml:space="preserve">" </w:instrText>
      </w:r>
      <w:r>
        <w:rPr>
          <w:i/>
        </w:rPr>
        <w:fldChar w:fldCharType="end"/>
      </w:r>
      <w:r w:rsidRPr="00273106">
        <w:t xml:space="preserve">. Jak dále uvidíme, </w:t>
      </w:r>
      <w:r w:rsidR="001D6F96">
        <w:t xml:space="preserve">Siger z Brabantu vypracoval </w:t>
      </w:r>
      <w:r w:rsidRPr="00273106">
        <w:t xml:space="preserve">podobné pojetí vztahu intelektu a </w:t>
      </w:r>
      <w:r w:rsidR="0815731B">
        <w:t>těla</w:t>
      </w:r>
      <w:r w:rsidR="001D6F96">
        <w:t xml:space="preserve"> </w:t>
      </w:r>
      <w:r w:rsidR="0815731B">
        <w:t>(kap. 4</w:t>
      </w:r>
      <w:r w:rsidRPr="00273106">
        <w:t>.4.1).</w:t>
      </w:r>
      <w:r>
        <w:t xml:space="preserve"> </w:t>
      </w:r>
      <w:r w:rsidRPr="00273106">
        <w:t>Ale autor hned připomíná, že není objektivista na způsob druhého averroismu, jenž oddělil intelekt jako samostatnou substanci</w:t>
      </w:r>
      <w:r>
        <w:t>, což byl Pecham a</w:t>
      </w:r>
      <w:r w:rsidR="08202184">
        <w:t xml:space="preserve"> jeho pojetí objektivity (kap. 4</w:t>
      </w:r>
      <w:r>
        <w:t>.2.2)</w:t>
      </w:r>
      <w:r w:rsidRPr="00273106">
        <w:t>. Termín</w:t>
      </w:r>
      <w:r>
        <w:t xml:space="preserve"> </w:t>
      </w:r>
      <w:r w:rsidR="00DA5BC9">
        <w:t>„</w:t>
      </w:r>
      <w:r w:rsidRPr="00273106">
        <w:rPr>
          <w:i/>
        </w:rPr>
        <w:t>non</w:t>
      </w:r>
      <w:r w:rsidRPr="00273106">
        <w:t xml:space="preserve"> </w:t>
      </w:r>
      <w:r w:rsidRPr="00273106">
        <w:rPr>
          <w:i/>
        </w:rPr>
        <w:t>sicut subiecto</w:t>
      </w:r>
      <w:r w:rsidR="00DA5BC9">
        <w:t>“</w:t>
      </w:r>
      <w:r w:rsidRPr="00273106">
        <w:t xml:space="preserve"> pouze vyjadřuje nematerialitu intelektu (</w:t>
      </w:r>
      <w:r w:rsidRPr="00273106">
        <w:rPr>
          <w:i/>
        </w:rPr>
        <w:t>inmixtus</w:t>
      </w:r>
      <w:r>
        <w:rPr>
          <w:i/>
        </w:rPr>
        <w:fldChar w:fldCharType="begin"/>
      </w:r>
      <w:r>
        <w:instrText xml:space="preserve"> XE "intelekt:</w:instrText>
      </w:r>
      <w:r w:rsidRPr="001E4762">
        <w:rPr>
          <w:i/>
        </w:rPr>
        <w:instrText>inmixtus</w:instrText>
      </w:r>
      <w:r>
        <w:instrText xml:space="preserve">" </w:instrText>
      </w:r>
      <w:r>
        <w:rPr>
          <w:i/>
        </w:rPr>
        <w:fldChar w:fldCharType="end"/>
      </w:r>
      <w:r w:rsidRPr="00273106">
        <w:t xml:space="preserve">), protože </w:t>
      </w:r>
      <w:r>
        <w:t xml:space="preserve">intelekt </w:t>
      </w:r>
      <w:r w:rsidRPr="00273106">
        <w:t>nepotřebuje k</w:t>
      </w:r>
      <w:r>
        <w:t>e své</w:t>
      </w:r>
      <w:r w:rsidRPr="00273106">
        <w:t xml:space="preserve"> činnosti tělesný smyslový orgán</w:t>
      </w:r>
      <w:r>
        <w:rPr>
          <w:i/>
        </w:rPr>
        <w:fldChar w:fldCharType="begin"/>
      </w:r>
      <w:r>
        <w:instrText xml:space="preserve"> XE "</w:instrText>
      </w:r>
      <w:r w:rsidRPr="006841AD">
        <w:instrText>intelekt:</w:instrText>
      </w:r>
      <w:r w:rsidRPr="00863D73">
        <w:rPr>
          <w:i/>
        </w:rPr>
        <w:instrText>subiective</w:instrText>
      </w:r>
      <w:r w:rsidRPr="006841AD">
        <w:instrText>/</w:instrText>
      </w:r>
      <w:r w:rsidRPr="00863D73">
        <w:rPr>
          <w:i/>
        </w:rPr>
        <w:instrText>obiective</w:instrText>
      </w:r>
      <w:r>
        <w:instrText xml:space="preserve">" </w:instrText>
      </w:r>
      <w:r>
        <w:rPr>
          <w:i/>
        </w:rPr>
        <w:fldChar w:fldCharType="end"/>
      </w:r>
      <w:r w:rsidRPr="00273106">
        <w:t xml:space="preserve">. Intelekt není materiální povahy, proto je jeho vazba na tělo velmi specifická, což jasně vyjadřuje spis </w:t>
      </w:r>
      <w:r>
        <w:rPr>
          <w:i/>
        </w:rPr>
        <w:t xml:space="preserve">De anima </w:t>
      </w:r>
      <w:r w:rsidRPr="00564B9C">
        <w:t>a CMDA.</w:t>
      </w:r>
      <w:r w:rsidRPr="00273106">
        <w:t xml:space="preserve"> </w:t>
      </w:r>
      <w:r w:rsidR="00494E62">
        <w:t>Nejde o vztah „</w:t>
      </w:r>
      <w:proofErr w:type="gramStart"/>
      <w:r w:rsidR="00494E62">
        <w:t>subjekt</w:t>
      </w:r>
      <w:proofErr w:type="gramEnd"/>
      <w:r w:rsidR="00494E62">
        <w:t>–</w:t>
      </w:r>
      <w:proofErr w:type="gramStart"/>
      <w:r>
        <w:t>objekt</w:t>
      </w:r>
      <w:proofErr w:type="gramEnd"/>
      <w:r w:rsidR="00494E62">
        <w:t xml:space="preserve">“ </w:t>
      </w:r>
      <w:r>
        <w:t xml:space="preserve">druhého averroismu v rámci jsoucna viděného </w:t>
      </w:r>
      <w:r w:rsidRPr="00E257C0">
        <w:rPr>
          <w:i/>
        </w:rPr>
        <w:t>obiective</w:t>
      </w:r>
      <w:r>
        <w:t xml:space="preserve">, ale o vztah intelektu jako nemateriální potence duše, která je </w:t>
      </w:r>
      <w:r w:rsidR="00494E62">
        <w:t xml:space="preserve">jedinou </w:t>
      </w:r>
      <w:r>
        <w:t xml:space="preserve">formou těla. </w:t>
      </w:r>
      <w:r w:rsidRPr="00273106">
        <w:t xml:space="preserve">Vzpomeňme si na odpovídající pasáž CMDA ohledně </w:t>
      </w:r>
      <w:r w:rsidRPr="00273106">
        <w:rPr>
          <w:i/>
        </w:rPr>
        <w:t xml:space="preserve">intellectus </w:t>
      </w:r>
      <w:r w:rsidRPr="00273106">
        <w:rPr>
          <w:i/>
        </w:rPr>
        <w:lastRenderedPageBreak/>
        <w:t>materialis</w:t>
      </w:r>
      <w:r w:rsidRPr="00273106">
        <w:t xml:space="preserve"> jako </w:t>
      </w:r>
      <w:r w:rsidRPr="00273106">
        <w:rPr>
          <w:i/>
        </w:rPr>
        <w:t xml:space="preserve">quartum </w:t>
      </w:r>
      <w:r w:rsidR="00962190">
        <w:rPr>
          <w:i/>
        </w:rPr>
        <w:t>genus</w:t>
      </w:r>
      <w:r w:rsidRPr="00273106">
        <w:t>, kde je podobná teze.</w:t>
      </w:r>
      <w:r w:rsidRPr="00273106">
        <w:rPr>
          <w:rStyle w:val="Znakapoznpodarou"/>
        </w:rPr>
        <w:footnoteReference w:id="116"/>
      </w:r>
      <w:r w:rsidRPr="00273106">
        <w:t xml:space="preserve"> Termíny </w:t>
      </w:r>
      <w:r w:rsidR="000B1801">
        <w:t>„</w:t>
      </w:r>
      <w:r w:rsidRPr="00273106">
        <w:rPr>
          <w:i/>
        </w:rPr>
        <w:t>consimile</w:t>
      </w:r>
      <w:r w:rsidR="000B1801">
        <w:t>“</w:t>
      </w:r>
      <w:r>
        <w:t xml:space="preserve"> a </w:t>
      </w:r>
      <w:r w:rsidR="000B1801">
        <w:t>„</w:t>
      </w:r>
      <w:r w:rsidRPr="00273106">
        <w:rPr>
          <w:i/>
        </w:rPr>
        <w:t>simile</w:t>
      </w:r>
      <w:r w:rsidR="000B1801">
        <w:t>“</w:t>
      </w:r>
      <w:r w:rsidRPr="00273106">
        <w:t xml:space="preserve"> oddělují </w:t>
      </w:r>
      <w:r>
        <w:t>Averroes</w:t>
      </w:r>
      <w:r w:rsidRPr="00273106">
        <w:t xml:space="preserve">ovo pojetí </w:t>
      </w:r>
      <w:r w:rsidRPr="00273106">
        <w:rPr>
          <w:i/>
        </w:rPr>
        <w:t>intellectus possibilis</w:t>
      </w:r>
      <w:r w:rsidRPr="00273106">
        <w:t xml:space="preserve"> od </w:t>
      </w:r>
      <w:r w:rsidRPr="00273106">
        <w:rPr>
          <w:i/>
        </w:rPr>
        <w:t>intellectus materialis</w:t>
      </w:r>
      <w:r>
        <w:t xml:space="preserve"> moderních a</w:t>
      </w:r>
      <w:r w:rsidRPr="00273106">
        <w:t>lexandrovců</w:t>
      </w:r>
      <w:r>
        <w:fldChar w:fldCharType="begin"/>
      </w:r>
      <w:r>
        <w:instrText xml:space="preserve"> XE "alexandrovci" </w:instrText>
      </w:r>
      <w:r>
        <w:fldChar w:fldCharType="end"/>
      </w:r>
      <w:r w:rsidRPr="00273106">
        <w:t xml:space="preserve">, kteří z něj udělali substanci. </w:t>
      </w:r>
      <w:r>
        <w:t>T</w:t>
      </w:r>
      <w:r w:rsidRPr="00273106">
        <w:t>ělo stojí v pozici objektu vzhledem k</w:t>
      </w:r>
      <w:r>
        <w:t xml:space="preserve"> tomuto </w:t>
      </w:r>
      <w:r w:rsidRPr="00273106">
        <w:t xml:space="preserve">specifickému výkonu </w:t>
      </w:r>
      <w:r w:rsidR="08D96DD2" w:rsidRPr="00273106">
        <w:rPr>
          <w:i/>
        </w:rPr>
        <w:t>anima intellectiva</w:t>
      </w:r>
      <w:r w:rsidR="08D96DD2">
        <w:rPr>
          <w:i/>
        </w:rPr>
        <w:t>.</w:t>
      </w:r>
      <w:r w:rsidR="08D96DD2">
        <w:t xml:space="preserve"> Intelektuální schopnost duše </w:t>
      </w:r>
      <w:r w:rsidR="08D96DD2" w:rsidRPr="08D96DD2">
        <w:t xml:space="preserve">je </w:t>
      </w:r>
      <w:r>
        <w:t xml:space="preserve">nemateriální a </w:t>
      </w:r>
      <w:r w:rsidR="08D96DD2">
        <w:t xml:space="preserve">tímto specifickým </w:t>
      </w:r>
      <w:r>
        <w:t xml:space="preserve">výkonem </w:t>
      </w:r>
      <w:r w:rsidR="08D96DD2">
        <w:t>je odlišná od tělesného smyslového poznání</w:t>
      </w:r>
      <w:r w:rsidRPr="00273106">
        <w:t>.</w:t>
      </w:r>
      <w:r>
        <w:rPr>
          <w:rStyle w:val="Znakapoznpodarou"/>
        </w:rPr>
        <w:footnoteReference w:id="117"/>
      </w:r>
      <w:r w:rsidRPr="00273106">
        <w:t xml:space="preserve"> Díky nematerialitě tohoto specifického </w:t>
      </w:r>
      <w:r w:rsidRPr="00273106">
        <w:rPr>
          <w:i/>
        </w:rPr>
        <w:t>operatio</w:t>
      </w:r>
      <w:r w:rsidRPr="00273106">
        <w:t xml:space="preserve"> platí, že duše stojí vzhledem k tělu v pozici</w:t>
      </w:r>
      <w:r>
        <w:t xml:space="preserve"> </w:t>
      </w:r>
      <w:r w:rsidR="00517BBE">
        <w:t>„</w:t>
      </w:r>
      <w:r w:rsidRPr="00864930">
        <w:rPr>
          <w:i/>
        </w:rPr>
        <w:t>inmixtus</w:t>
      </w:r>
      <w:r w:rsidR="00517BBE">
        <w:t>“</w:t>
      </w:r>
      <w:r w:rsidRPr="00273106">
        <w:t>, protože její výkon je od těla do jisté míry oddělen</w:t>
      </w:r>
      <w:r>
        <w:t>, díky nematerialitě intelektu (</w:t>
      </w:r>
      <w:r w:rsidRPr="00BB1B1E">
        <w:rPr>
          <w:i/>
        </w:rPr>
        <w:t>indiget anima ad explendum hanc operationem corpore sicut obiecto</w:t>
      </w:r>
      <w:r>
        <w:t xml:space="preserve">). Anonym drží v této těžké otázce brilantní pozici Sigerova spisu </w:t>
      </w:r>
      <w:r w:rsidRPr="00273106">
        <w:rPr>
          <w:i/>
          <w:iCs/>
        </w:rPr>
        <w:t xml:space="preserve">Quaestiones in tertium </w:t>
      </w:r>
      <w:r>
        <w:rPr>
          <w:i/>
          <w:iCs/>
          <w:szCs w:val="24"/>
        </w:rPr>
        <w:t>D</w:t>
      </w:r>
      <w:r w:rsidRPr="00273106">
        <w:rPr>
          <w:i/>
          <w:iCs/>
          <w:szCs w:val="24"/>
        </w:rPr>
        <w:t xml:space="preserve">e </w:t>
      </w:r>
      <w:r w:rsidRPr="00273106">
        <w:rPr>
          <w:i/>
          <w:iCs/>
        </w:rPr>
        <w:t>anima</w:t>
      </w:r>
      <w:r w:rsidR="0032577B">
        <w:rPr>
          <w:iCs/>
        </w:rPr>
        <w:t xml:space="preserve">. Tento spis </w:t>
      </w:r>
      <w:r w:rsidRPr="00273106">
        <w:rPr>
          <w:iCs/>
        </w:rPr>
        <w:t xml:space="preserve">byl </w:t>
      </w:r>
      <w:r>
        <w:rPr>
          <w:iCs/>
        </w:rPr>
        <w:t xml:space="preserve">podle Gauthiera </w:t>
      </w:r>
      <w:r w:rsidRPr="00273106">
        <w:rPr>
          <w:iCs/>
        </w:rPr>
        <w:t>psaný brzo po zahájení výuky</w:t>
      </w:r>
      <w:r>
        <w:rPr>
          <w:iCs/>
        </w:rPr>
        <w:t xml:space="preserve"> Sigera na Pařížské univerzitě v letech </w:t>
      </w:r>
      <w:r w:rsidRPr="00273106">
        <w:rPr>
          <w:iCs/>
        </w:rPr>
        <w:t>1265‒66</w:t>
      </w:r>
      <w:r w:rsidR="088940F8">
        <w:t xml:space="preserve"> (kap. 4</w:t>
      </w:r>
      <w:r>
        <w:t xml:space="preserve">.4.1). Gieleho anonym používá termín </w:t>
      </w:r>
      <w:r w:rsidRPr="00273106">
        <w:rPr>
          <w:i/>
        </w:rPr>
        <w:t>sicut obiecto</w:t>
      </w:r>
      <w:r>
        <w:rPr>
          <w:i/>
        </w:rPr>
        <w:fldChar w:fldCharType="begin"/>
      </w:r>
      <w:r>
        <w:instrText xml:space="preserve"> XE "</w:instrText>
      </w:r>
      <w:r w:rsidRPr="00B279FE">
        <w:instrText>intelekt</w:instrText>
      </w:r>
      <w:r w:rsidRPr="008A662A">
        <w:rPr>
          <w:i/>
        </w:rPr>
        <w:instrText>:sicut obiecto</w:instrText>
      </w:r>
      <w:r>
        <w:instrText xml:space="preserve">" </w:instrText>
      </w:r>
      <w:r>
        <w:rPr>
          <w:i/>
        </w:rPr>
        <w:fldChar w:fldCharType="end"/>
      </w:r>
      <w:r w:rsidRPr="00273106">
        <w:t xml:space="preserve"> proti druhému averroismu</w:t>
      </w:r>
      <w:r w:rsidRPr="00020F36">
        <w:t xml:space="preserve"> </w:t>
      </w:r>
      <w:r w:rsidRPr="00273106">
        <w:t>v podobném významu</w:t>
      </w:r>
      <w:r>
        <w:t xml:space="preserve"> jako Siger, což opět zužuje okruh možných autorů</w:t>
      </w:r>
      <w:r w:rsidRPr="00273106">
        <w:t>. Intelekt</w:t>
      </w:r>
      <w:r>
        <w:t>uální část duše</w:t>
      </w:r>
      <w:r w:rsidRPr="00273106">
        <w:t xml:space="preserve"> </w:t>
      </w:r>
      <w:r>
        <w:t xml:space="preserve">je velmi specificky vázána </w:t>
      </w:r>
      <w:r w:rsidRPr="00273106">
        <w:t xml:space="preserve">na osobu jako hylemorfický substrát. </w:t>
      </w:r>
      <w:r>
        <w:t xml:space="preserve">Opět je ve hře klíčové rozlišení CMDA mezi oběma druhy poznání, kdy v modu </w:t>
      </w:r>
      <w:r w:rsidR="007D6644">
        <w:t>„</w:t>
      </w:r>
      <w:r w:rsidRPr="000438CC">
        <w:rPr>
          <w:i/>
        </w:rPr>
        <w:t>inmixtus</w:t>
      </w:r>
      <w:r w:rsidR="007D6644">
        <w:t>“</w:t>
      </w:r>
      <w:r>
        <w:t xml:space="preserve"> existuje pouze</w:t>
      </w:r>
      <w:r w:rsidR="08B61441">
        <w:t xml:space="preserve"> rozumové poznání dané jen pro tělesnou osobu</w:t>
      </w:r>
      <w:r>
        <w:t>. Jednota</w:t>
      </w:r>
      <w:r w:rsidRPr="00273106">
        <w:t xml:space="preserve"> osoby </w:t>
      </w:r>
      <w:r>
        <w:t xml:space="preserve">v modu </w:t>
      </w:r>
      <w:r w:rsidR="007D6644">
        <w:t>„</w:t>
      </w:r>
      <w:r w:rsidRPr="00AD41B1">
        <w:rPr>
          <w:i/>
        </w:rPr>
        <w:t>corpore sicut obiecto</w:t>
      </w:r>
      <w:r w:rsidR="007D6644">
        <w:t>“</w:t>
      </w:r>
      <w:r w:rsidRPr="00273106">
        <w:t xml:space="preserve"> se zásadně liší od </w:t>
      </w:r>
      <w:r>
        <w:t xml:space="preserve">pojetí jednoty osoby dané </w:t>
      </w:r>
      <w:r w:rsidR="007D6644">
        <w:t>v modu „</w:t>
      </w:r>
      <w:r w:rsidRPr="00273106">
        <w:rPr>
          <w:i/>
        </w:rPr>
        <w:t>obiective</w:t>
      </w:r>
      <w:r w:rsidR="007D6644">
        <w:t>“</w:t>
      </w:r>
      <w:r w:rsidRPr="00273106">
        <w:t xml:space="preserve"> </w:t>
      </w:r>
      <w:r w:rsidR="007D6644">
        <w:t xml:space="preserve">jako </w:t>
      </w:r>
      <w:r>
        <w:t xml:space="preserve">pluralitě substancí </w:t>
      </w:r>
      <w:r w:rsidR="007D6644">
        <w:t xml:space="preserve">v člověku </w:t>
      </w:r>
      <w:r>
        <w:t xml:space="preserve">podle </w:t>
      </w:r>
      <w:r w:rsidRPr="00273106">
        <w:t xml:space="preserve">Bonaventury a </w:t>
      </w:r>
      <w:r>
        <w:t>Pechama</w:t>
      </w:r>
      <w:r>
        <w:rPr>
          <w:i/>
        </w:rPr>
        <w:fldChar w:fldCharType="begin"/>
      </w:r>
      <w:r>
        <w:instrText xml:space="preserve"> XE "</w:instrText>
      </w:r>
      <w:r w:rsidRPr="006841AD">
        <w:instrText>intelekt:</w:instrText>
      </w:r>
      <w:r w:rsidRPr="00863D73">
        <w:rPr>
          <w:i/>
        </w:rPr>
        <w:instrText>subiective</w:instrText>
      </w:r>
      <w:r w:rsidRPr="006841AD">
        <w:instrText>/</w:instrText>
      </w:r>
      <w:r w:rsidRPr="00863D73">
        <w:rPr>
          <w:i/>
        </w:rPr>
        <w:instrText>obiective</w:instrText>
      </w:r>
      <w:r>
        <w:instrText xml:space="preserve">" </w:instrText>
      </w:r>
      <w:r>
        <w:rPr>
          <w:i/>
        </w:rPr>
        <w:fldChar w:fldCharType="end"/>
      </w:r>
      <w:r w:rsidRPr="00273106">
        <w:t>. Anonym trvá na nasvícení duše od první substance</w:t>
      </w:r>
      <w:r>
        <w:fldChar w:fldCharType="begin"/>
      </w:r>
      <w:r>
        <w:instrText xml:space="preserve"> XE "zjevování:</w:instrText>
      </w:r>
      <w:r w:rsidRPr="008B7A82">
        <w:instrText>nasvícení zepředu</w:instrText>
      </w:r>
      <w:r>
        <w:instrText xml:space="preserve">" </w:instrText>
      </w:r>
      <w:r>
        <w:fldChar w:fldCharType="end"/>
      </w:r>
      <w:r w:rsidRPr="00273106">
        <w:t xml:space="preserve"> (</w:t>
      </w:r>
      <w:r w:rsidRPr="00273106">
        <w:rPr>
          <w:i/>
        </w:rPr>
        <w:t>phantasmata esse necessaria ut obiectum</w:t>
      </w:r>
      <w:r>
        <w:t xml:space="preserve">; ibid, </w:t>
      </w:r>
      <w:r w:rsidRPr="00273106">
        <w:t>p. 39.83</w:t>
      </w:r>
      <w:r>
        <w:fldChar w:fldCharType="begin"/>
      </w:r>
      <w:r>
        <w:instrText xml:space="preserve"> XE "</w:instrText>
      </w:r>
      <w:r>
        <w:rPr>
          <w:i/>
        </w:rPr>
        <w:instrText>Anonym</w:instrText>
      </w:r>
      <w:r w:rsidRPr="00B279FE">
        <w:rPr>
          <w:i/>
        </w:rPr>
        <w:instrText xml:space="preserve"> Giele</w:instrText>
      </w:r>
      <w:r w:rsidRPr="00B75F07">
        <w:instrText xml:space="preserve"> </w:instrText>
      </w:r>
      <w:r>
        <w:instrText>39</w:instrText>
      </w:r>
      <w:r w:rsidRPr="00B75F07">
        <w:instrText>.</w:instrText>
      </w:r>
      <w:r>
        <w:instrText xml:space="preserve">83" </w:instrText>
      </w:r>
      <w:r>
        <w:fldChar w:fldCharType="end"/>
      </w:r>
      <w:r w:rsidRPr="00273106">
        <w:t>). Objektem duše není reflexivní schopnost v podobě aktuální intelektuální substance</w:t>
      </w:r>
      <w:r>
        <w:t xml:space="preserve">, vrozených </w:t>
      </w:r>
      <w:r w:rsidR="00962190" w:rsidRPr="00003700">
        <w:t>species</w:t>
      </w:r>
      <w:r>
        <w:t>, či prvních principů poznání, které</w:t>
      </w:r>
      <w:r w:rsidRPr="00273106">
        <w:t xml:space="preserve"> primárně nazí</w:t>
      </w:r>
      <w:r>
        <w:t>rají</w:t>
      </w:r>
      <w:r w:rsidRPr="00273106">
        <w:t xml:space="preserve"> ideální exemplar</w:t>
      </w:r>
      <w:r>
        <w:fldChar w:fldCharType="begin"/>
      </w:r>
      <w:r>
        <w:instrText xml:space="preserve"> XE "</w:instrText>
      </w:r>
      <w:r w:rsidRPr="00852CFE">
        <w:instrText>exemplar</w:instrText>
      </w:r>
      <w:r>
        <w:instrText xml:space="preserve">" </w:instrText>
      </w:r>
      <w:r>
        <w:fldChar w:fldCharType="end"/>
      </w:r>
      <w:r w:rsidRPr="00273106">
        <w:t xml:space="preserve"> daný od boha. Intelekt je nasvícený zepředu, od prvních substancí</w:t>
      </w:r>
      <w:r w:rsidR="00943CAF">
        <w:t>. U</w:t>
      </w:r>
      <w:r w:rsidRPr="00273106">
        <w:t>niverzální význam je abstrahovaný od vnějších věcí skrze práci smyslů a intelektu.</w:t>
      </w:r>
      <w:r>
        <w:t xml:space="preserve"> Pro objektivní </w:t>
      </w:r>
      <w:r w:rsidR="00962190" w:rsidRPr="00D779BA">
        <w:t>species</w:t>
      </w:r>
      <w:r>
        <w:t xml:space="preserve"> druhého averroismu </w:t>
      </w:r>
      <w:r w:rsidR="08B61441" w:rsidRPr="00D10BB4">
        <w:rPr>
          <w:szCs w:val="24"/>
        </w:rPr>
        <w:t>(</w:t>
      </w:r>
      <w:r w:rsidR="08B61441" w:rsidRPr="00D10BB4">
        <w:rPr>
          <w:i/>
          <w:szCs w:val="24"/>
        </w:rPr>
        <w:t>rationes exemplares, seminales</w:t>
      </w:r>
      <w:r w:rsidR="08B61441" w:rsidRPr="00D10BB4">
        <w:rPr>
          <w:szCs w:val="24"/>
        </w:rPr>
        <w:t xml:space="preserve">) </w:t>
      </w:r>
      <w:r>
        <w:t>není v tomto schématu místo.</w:t>
      </w:r>
    </w:p>
    <w:p w:rsidR="08163013" w:rsidRDefault="08163013" w:rsidP="08163013">
      <w:r>
        <w:tab/>
      </w:r>
      <w:r w:rsidRPr="00273106">
        <w:t>Jednota duše a těla je dána ve dvou krocích. Autor sleduje linii CMDA a nejprve odmítne hylick</w:t>
      </w:r>
      <w:r w:rsidR="00355440">
        <w:t xml:space="preserve">ý </w:t>
      </w:r>
      <w:r w:rsidRPr="00273106">
        <w:t>intelekt moderní</w:t>
      </w:r>
      <w:r w:rsidR="00355440">
        <w:t>ch sofistů</w:t>
      </w:r>
      <w:r w:rsidRPr="00273106">
        <w:t xml:space="preserve">. Nové pojetí objektivity dané z pozice prvního averroismu obhajuje </w:t>
      </w:r>
      <w:r w:rsidRPr="00273106">
        <w:rPr>
          <w:i/>
        </w:rPr>
        <w:t>intellectus possibilis</w:t>
      </w:r>
      <w:r>
        <w:rPr>
          <w:i/>
        </w:rPr>
        <w:fldChar w:fldCharType="begin"/>
      </w:r>
      <w:r>
        <w:instrText xml:space="preserve"> XE "</w:instrText>
      </w:r>
      <w:r w:rsidRPr="00770D02">
        <w:rPr>
          <w:i/>
        </w:rPr>
        <w:instrText>intellectus possibilis</w:instrText>
      </w:r>
      <w:r>
        <w:instrText xml:space="preserve">:první averroismus" </w:instrText>
      </w:r>
      <w:r>
        <w:rPr>
          <w:i/>
        </w:rPr>
        <w:fldChar w:fldCharType="end"/>
      </w:r>
      <w:r w:rsidRPr="00273106">
        <w:t xml:space="preserve"> jako </w:t>
      </w:r>
      <w:r w:rsidR="001C0507">
        <w:t xml:space="preserve">personální </w:t>
      </w:r>
      <w:r w:rsidRPr="00273106">
        <w:lastRenderedPageBreak/>
        <w:t xml:space="preserve">schopnost duše. Akt intelektuálního porozumění je společný tělu i duši. </w:t>
      </w:r>
      <w:r w:rsidR="001C0507">
        <w:t>Substantivace m</w:t>
      </w:r>
      <w:r>
        <w:t>ateriální</w:t>
      </w:r>
      <w:r w:rsidR="001C0507">
        <w:t>ho i</w:t>
      </w:r>
      <w:r w:rsidRPr="00273106">
        <w:t>ntelek</w:t>
      </w:r>
      <w:r>
        <w:t>tu představuje typickou pozici a</w:t>
      </w:r>
      <w:r w:rsidRPr="00273106">
        <w:t>lexandrovců</w:t>
      </w:r>
      <w:r>
        <w:fldChar w:fldCharType="begin"/>
      </w:r>
      <w:r>
        <w:instrText xml:space="preserve"> XE "alexandrovci" </w:instrText>
      </w:r>
      <w:r>
        <w:fldChar w:fldCharType="end"/>
      </w:r>
      <w:r w:rsidRPr="00273106">
        <w:t xml:space="preserve">. Autor musí v linii prvního averroismu podržet vazbu na individuální </w:t>
      </w:r>
      <w:r w:rsidRPr="00273106">
        <w:rPr>
          <w:i/>
        </w:rPr>
        <w:t>intelllectus possibilis</w:t>
      </w:r>
      <w:r w:rsidRPr="00273106">
        <w:t xml:space="preserve"> daný v těle, a přitom trvá na jeho nematerialitě. Intelekt proto nemůže být subjekt ve smyslu </w:t>
      </w:r>
      <w:r>
        <w:t xml:space="preserve">individualizované </w:t>
      </w:r>
      <w:r w:rsidRPr="00273106">
        <w:t xml:space="preserve">substance jako to má druhý averroismus. </w:t>
      </w:r>
      <w:r>
        <w:t>Ř</w:t>
      </w:r>
      <w:r w:rsidRPr="00273106">
        <w:t xml:space="preserve">ešení moderních </w:t>
      </w:r>
      <w:r>
        <w:t>a</w:t>
      </w:r>
      <w:r w:rsidRPr="00273106">
        <w:t>lexandrovců</w:t>
      </w:r>
      <w:r>
        <w:fldChar w:fldCharType="begin"/>
      </w:r>
      <w:r>
        <w:instrText xml:space="preserve"> XE "alexandrovci" </w:instrText>
      </w:r>
      <w:r>
        <w:fldChar w:fldCharType="end"/>
      </w:r>
      <w:r w:rsidRPr="00273106">
        <w:t xml:space="preserve"> vede k </w:t>
      </w:r>
      <w:r>
        <w:t>substančnímu materiálnímu intelektu</w:t>
      </w:r>
      <w:r w:rsidR="00E11C34">
        <w:t xml:space="preserve">. Ten je oddělen od těla a také </w:t>
      </w:r>
      <w:r>
        <w:t>od jiných hypostázovaných forem intelektu.</w:t>
      </w:r>
    </w:p>
    <w:p w:rsidR="08163013" w:rsidRDefault="08163013" w:rsidP="08163013">
      <w:pPr>
        <w:pStyle w:val="Citace"/>
        <w:rPr>
          <w:lang w:val="cs-CZ"/>
        </w:rPr>
      </w:pPr>
      <w:r w:rsidRPr="00273106">
        <w:rPr>
          <w:noProof/>
        </w:rPr>
        <w:t>„</w:t>
      </w:r>
      <w:r>
        <w:rPr>
          <w:noProof/>
          <w:lang w:val="cs-CZ"/>
        </w:rPr>
        <w:t xml:space="preserve">Kdo si myslí, že intelekt se s námi spojuje jako forma se substancí, musí skončit v pozici Alexandra a tvrdit, že intelekt je </w:t>
      </w:r>
      <w:r w:rsidR="08D125B9">
        <w:rPr>
          <w:noProof/>
          <w:lang w:val="cs-CZ"/>
        </w:rPr>
        <w:t>schopnost vázaná</w:t>
      </w:r>
      <w:r w:rsidR="08D97128">
        <w:rPr>
          <w:noProof/>
          <w:lang w:val="cs-CZ"/>
        </w:rPr>
        <w:t xml:space="preserve"> na tělo</w:t>
      </w:r>
      <w:r w:rsidR="08E36D86">
        <w:rPr>
          <w:noProof/>
          <w:lang w:val="cs-CZ"/>
        </w:rPr>
        <w:t xml:space="preserve"> a </w:t>
      </w:r>
      <w:r w:rsidR="08A20258">
        <w:rPr>
          <w:noProof/>
          <w:lang w:val="cs-CZ"/>
        </w:rPr>
        <w:t xml:space="preserve">tím je proměnlivá </w:t>
      </w:r>
      <w:r w:rsidR="08D02682" w:rsidRPr="081942A4">
        <w:rPr>
          <w:lang w:val="cs-CZ"/>
        </w:rPr>
        <w:t>(</w:t>
      </w:r>
      <w:r w:rsidR="08D02682" w:rsidRPr="00207207">
        <w:rPr>
          <w:i/>
          <w:noProof/>
        </w:rPr>
        <w:t>virtutem generabilem et corruptibilem</w:t>
      </w:r>
      <w:r w:rsidR="08D02682" w:rsidRPr="081942A4">
        <w:rPr>
          <w:lang w:val="cs-CZ"/>
        </w:rPr>
        <w:t>)</w:t>
      </w:r>
      <w:r>
        <w:rPr>
          <w:noProof/>
          <w:lang w:val="cs-CZ"/>
        </w:rPr>
        <w:t>.“ </w:t>
      </w:r>
      <w:r>
        <w:rPr>
          <w:rStyle w:val="Znakapoznpodarou"/>
        </w:rPr>
        <w:footnoteReference w:id="118"/>
      </w:r>
    </w:p>
    <w:p w:rsidR="08163013" w:rsidRPr="008D1134" w:rsidRDefault="08086322" w:rsidP="08163013">
      <w:r>
        <w:t xml:space="preserve">Lidský intelekt nemůže být substance. </w:t>
      </w:r>
      <w:r w:rsidR="08163013" w:rsidRPr="00273106">
        <w:t xml:space="preserve">Pojetí </w:t>
      </w:r>
      <w:r w:rsidR="08163013" w:rsidRPr="007612DF">
        <w:rPr>
          <w:i/>
        </w:rPr>
        <w:t>intellectus possibilis</w:t>
      </w:r>
      <w:r w:rsidR="08163013" w:rsidRPr="00273106">
        <w:t xml:space="preserve"> jako substance oddělené od těla (</w:t>
      </w:r>
      <w:r w:rsidR="08163013" w:rsidRPr="007612DF">
        <w:rPr>
          <w:i/>
        </w:rPr>
        <w:t>intellectum nobis copulatum sicut formam secundum substantiam</w:t>
      </w:r>
      <w:r w:rsidR="08163013" w:rsidRPr="00273106">
        <w:t xml:space="preserve">) by znamenalo, že </w:t>
      </w:r>
      <w:r w:rsidR="08163013">
        <w:t xml:space="preserve">jej </w:t>
      </w:r>
      <w:r w:rsidR="08163013" w:rsidRPr="00273106">
        <w:t>musíme pojat ve stejném modu materiality jako tělo (</w:t>
      </w:r>
      <w:r w:rsidR="08163013" w:rsidRPr="007612DF">
        <w:rPr>
          <w:i/>
        </w:rPr>
        <w:t>intellectum esse virtutem generabilem et corruptibilem</w:t>
      </w:r>
      <w:r w:rsidR="08163013" w:rsidRPr="00273106">
        <w:t xml:space="preserve">). Jenže takový intelekt je pouze </w:t>
      </w:r>
      <w:r w:rsidR="08163013">
        <w:t>Alexandrův hylický intelekt (</w:t>
      </w:r>
      <w:r w:rsidR="08163013" w:rsidRPr="00273106">
        <w:rPr>
          <w:rStyle w:val="st"/>
          <w:bCs/>
        </w:rPr>
        <w:t>νοῦς ὑλικός</w:t>
      </w:r>
      <w:r w:rsidR="08163013">
        <w:rPr>
          <w:rStyle w:val="st"/>
          <w:bCs/>
        </w:rPr>
        <w:t>)</w:t>
      </w:r>
      <w:r w:rsidR="08163013">
        <w:t xml:space="preserve"> </w:t>
      </w:r>
      <w:r w:rsidR="08163013" w:rsidRPr="00273106">
        <w:t xml:space="preserve">a jeho poznání nemůže založit univerzální formu demonstrativního </w:t>
      </w:r>
      <w:r w:rsidR="08163013">
        <w:t>sylo</w:t>
      </w:r>
      <w:r w:rsidR="08163013" w:rsidRPr="00273106">
        <w:t xml:space="preserve">gismu. </w:t>
      </w:r>
      <w:r w:rsidR="08163013">
        <w:t xml:space="preserve">Opět je vidět přesná četba CMDA kritických pařížských magistrů na Rue du Fouarre okolo roku 1270. </w:t>
      </w:r>
      <w:r w:rsidR="08163013" w:rsidRPr="00273106">
        <w:t xml:space="preserve">Odmítnutý </w:t>
      </w:r>
      <w:r w:rsidR="08163013">
        <w:t>materiální intelekt a</w:t>
      </w:r>
      <w:r w:rsidR="08163013" w:rsidRPr="00273106">
        <w:t>lexandrovců</w:t>
      </w:r>
      <w:r w:rsidR="08163013">
        <w:fldChar w:fldCharType="begin"/>
      </w:r>
      <w:r w:rsidR="08163013">
        <w:instrText xml:space="preserve"> XE "alexandrovci" </w:instrText>
      </w:r>
      <w:r w:rsidR="08163013">
        <w:fldChar w:fldCharType="end"/>
      </w:r>
      <w:r w:rsidR="08163013" w:rsidRPr="00273106">
        <w:t xml:space="preserve"> nemá stejný modus poznání jako </w:t>
      </w:r>
      <w:r w:rsidR="08163013">
        <w:t>Averroes</w:t>
      </w:r>
      <w:r w:rsidR="08163013" w:rsidRPr="00273106">
        <w:t xml:space="preserve">ův </w:t>
      </w:r>
      <w:r w:rsidR="08163013" w:rsidRPr="00CB3A9C">
        <w:rPr>
          <w:i/>
        </w:rPr>
        <w:t>intellectus possibilis</w:t>
      </w:r>
      <w:r w:rsidR="08163013" w:rsidRPr="00273106">
        <w:t xml:space="preserve">. </w:t>
      </w:r>
      <w:r w:rsidR="08163013">
        <w:t xml:space="preserve">Modernisté nechali receptivní intelekt materializovat na způsob modernistické substance v modu pochybné </w:t>
      </w:r>
      <w:r w:rsidR="08163013" w:rsidRPr="08FD4D5D">
        <w:rPr>
          <w:i/>
        </w:rPr>
        <w:t>materia spiritualis</w:t>
      </w:r>
      <w:r w:rsidR="08163013">
        <w:t xml:space="preserve">. Spis namítá, že pak </w:t>
      </w:r>
      <w:r w:rsidR="08163013" w:rsidRPr="00273106">
        <w:t xml:space="preserve">nutně vznikne averroistický scénář jednoho intelektu jako oddělené formy, která ve všech lidech odpovídá za </w:t>
      </w:r>
      <w:r w:rsidR="00317998">
        <w:t xml:space="preserve">stejné </w:t>
      </w:r>
      <w:r w:rsidR="08163013" w:rsidRPr="00273106">
        <w:t>nemateriální obsahy poznání</w:t>
      </w:r>
      <w:r w:rsidR="08163013">
        <w:t xml:space="preserve">. </w:t>
      </w:r>
      <w:r w:rsidR="00BB273F">
        <w:t>Takové p</w:t>
      </w:r>
      <w:r w:rsidR="008F6E3C" w:rsidRPr="008F6E3C">
        <w:t>oznání všech lidí</w:t>
      </w:r>
      <w:r w:rsidR="008F6E3C">
        <w:t xml:space="preserve"> není totožné ve správném modu „</w:t>
      </w:r>
      <w:r w:rsidR="008F6E3C" w:rsidRPr="008F6E3C">
        <w:rPr>
          <w:i/>
        </w:rPr>
        <w:t>idem</w:t>
      </w:r>
      <w:r w:rsidR="008F6E3C">
        <w:t>“</w:t>
      </w:r>
      <w:r w:rsidR="008F6E3C" w:rsidRPr="008F6E3C">
        <w:t xml:space="preserve"> (</w:t>
      </w:r>
      <w:r w:rsidR="008F6E3C" w:rsidRPr="008F6E3C">
        <w:rPr>
          <w:i/>
        </w:rPr>
        <w:t>quartum genus</w:t>
      </w:r>
      <w:r w:rsidR="008F6E3C" w:rsidRPr="008F6E3C">
        <w:t>), nýbrž</w:t>
      </w:r>
      <w:r w:rsidR="008F6E3C">
        <w:t xml:space="preserve"> ve falešném mytologickém modu „</w:t>
      </w:r>
      <w:r w:rsidR="008F6E3C" w:rsidRPr="008F6E3C">
        <w:rPr>
          <w:i/>
        </w:rPr>
        <w:t>ipse</w:t>
      </w:r>
      <w:r w:rsidR="008F6E3C">
        <w:t>“</w:t>
      </w:r>
      <w:r w:rsidR="008F6E3C" w:rsidRPr="008F6E3C">
        <w:t xml:space="preserve"> (</w:t>
      </w:r>
      <w:r w:rsidR="008F6E3C" w:rsidRPr="008F6E3C">
        <w:rPr>
          <w:i/>
        </w:rPr>
        <w:t>tertium genus</w:t>
      </w:r>
      <w:r w:rsidR="008F6E3C" w:rsidRPr="008F6E3C">
        <w:t>).</w:t>
      </w:r>
      <w:r w:rsidR="008F6E3C">
        <w:t xml:space="preserve"> Autorem kritizovaná moderna vůbec nepochopila základní argumentaci CMDA. </w:t>
      </w:r>
      <w:r w:rsidR="08163013">
        <w:t xml:space="preserve">Kosmický </w:t>
      </w:r>
      <w:r w:rsidR="08163013" w:rsidRPr="086F6D53">
        <w:rPr>
          <w:i/>
        </w:rPr>
        <w:t>intellectus agens</w:t>
      </w:r>
      <w:r w:rsidR="08163013">
        <w:t xml:space="preserve"> daný jako oddělená substance </w:t>
      </w:r>
      <w:r w:rsidR="08163013" w:rsidRPr="00273106">
        <w:t xml:space="preserve">se spojí s individuálním výkonem poznání daným skrze hylický intelekt. Důraz na čistě smyslový </w:t>
      </w:r>
      <w:r w:rsidR="08163013" w:rsidRPr="006F66EE">
        <w:rPr>
          <w:i/>
        </w:rPr>
        <w:t>intellectus materialis</w:t>
      </w:r>
      <w:r w:rsidR="08163013">
        <w:rPr>
          <w:i/>
        </w:rPr>
        <w:fldChar w:fldCharType="begin"/>
      </w:r>
      <w:r w:rsidR="08163013">
        <w:instrText xml:space="preserve"> XE "</w:instrText>
      </w:r>
      <w:r w:rsidR="08163013" w:rsidRPr="00BE489A">
        <w:rPr>
          <w:i/>
        </w:rPr>
        <w:instrText>intellectus materialis:</w:instrText>
      </w:r>
      <w:r w:rsidR="08163013" w:rsidRPr="00E50B8C">
        <w:instrText>Alexander</w:instrText>
      </w:r>
      <w:r w:rsidR="08163013">
        <w:instrText xml:space="preserve">" </w:instrText>
      </w:r>
      <w:r w:rsidR="08163013">
        <w:rPr>
          <w:i/>
        </w:rPr>
        <w:fldChar w:fldCharType="end"/>
      </w:r>
      <w:r w:rsidR="08163013" w:rsidRPr="00273106">
        <w:t xml:space="preserve"> by vysvětlil </w:t>
      </w:r>
      <w:r w:rsidR="08163013">
        <w:t xml:space="preserve">v modu Themistia </w:t>
      </w:r>
      <w:r w:rsidR="08163013" w:rsidRPr="00273106">
        <w:t xml:space="preserve">jen návaznost </w:t>
      </w:r>
      <w:r w:rsidR="08163013">
        <w:t xml:space="preserve">individuálního </w:t>
      </w:r>
      <w:r w:rsidR="08163013" w:rsidRPr="00273106">
        <w:t xml:space="preserve">myšlení na fantasmata, ale ne jednotu nemateriálního intelektu </w:t>
      </w:r>
      <w:r w:rsidR="08163013">
        <w:t>a myšlení daného v každé osobě zvlášť, což má Aristoteles</w:t>
      </w:r>
      <w:r w:rsidR="08163013" w:rsidRPr="00273106">
        <w:t xml:space="preserve"> a </w:t>
      </w:r>
      <w:r w:rsidR="08163013">
        <w:t>Averroes</w:t>
      </w:r>
      <w:r w:rsidR="08163013" w:rsidRPr="00273106">
        <w:t>. Výsledné řešení je stejné ja</w:t>
      </w:r>
      <w:r w:rsidR="00DD61CD">
        <w:t xml:space="preserve">ko u Alberta, totiž odvolání </w:t>
      </w:r>
      <w:r w:rsidR="08163013" w:rsidRPr="00273106">
        <w:t xml:space="preserve">na </w:t>
      </w:r>
      <w:r w:rsidR="08163013">
        <w:t>Averroes</w:t>
      </w:r>
      <w:r w:rsidR="08163013" w:rsidRPr="00273106">
        <w:t xml:space="preserve">e a na syntézu poznání skrze </w:t>
      </w:r>
      <w:r w:rsidR="00DD61CD">
        <w:t xml:space="preserve">personální </w:t>
      </w:r>
      <w:r w:rsidR="00DD61CD" w:rsidRPr="00DD61CD">
        <w:rPr>
          <w:i/>
        </w:rPr>
        <w:lastRenderedPageBreak/>
        <w:t>inte</w:t>
      </w:r>
      <w:r w:rsidR="08163013" w:rsidRPr="00DD61CD">
        <w:rPr>
          <w:i/>
        </w:rPr>
        <w:t>llectus</w:t>
      </w:r>
      <w:r w:rsidR="08163013" w:rsidRPr="006F66EE">
        <w:rPr>
          <w:i/>
        </w:rPr>
        <w:t xml:space="preserve"> speculativus</w:t>
      </w:r>
      <w:r w:rsidR="08163013">
        <w:rPr>
          <w:i/>
        </w:rPr>
        <w:fldChar w:fldCharType="begin"/>
      </w:r>
      <w:r w:rsidR="08163013">
        <w:instrText xml:space="preserve"> XE "</w:instrText>
      </w:r>
      <w:r w:rsidR="08163013" w:rsidRPr="00E2134B">
        <w:rPr>
          <w:i/>
        </w:rPr>
        <w:instrText>intellectus speculativus:</w:instrText>
      </w:r>
      <w:r w:rsidR="08163013">
        <w:instrText>Anonym</w:instrText>
      </w:r>
      <w:r w:rsidR="08163013" w:rsidRPr="00E50B8C">
        <w:instrText xml:space="preserve"> Giele</w:instrText>
      </w:r>
      <w:r w:rsidR="08163013">
        <w:instrText xml:space="preserve">" </w:instrText>
      </w:r>
      <w:r w:rsidR="08163013">
        <w:rPr>
          <w:i/>
        </w:rPr>
        <w:fldChar w:fldCharType="end"/>
      </w:r>
      <w:r w:rsidR="08163013">
        <w:t xml:space="preserve"> </w:t>
      </w:r>
      <w:r w:rsidR="08163013" w:rsidRPr="00273106">
        <w:t>(</w:t>
      </w:r>
      <w:r w:rsidR="084B610C">
        <w:t>OBJ II, kap. 2</w:t>
      </w:r>
      <w:r w:rsidR="08163013" w:rsidRPr="00273106">
        <w:t xml:space="preserve">.4.2). </w:t>
      </w:r>
      <w:r w:rsidR="08163013">
        <w:t xml:space="preserve">Autor proti druhému averroismu přesně vykládá klíčovou část CMDA, tedy rozdělení nemateriálního intelektu na receptivní a na aktivní složku podle </w:t>
      </w:r>
      <w:r w:rsidR="08163013" w:rsidRPr="00E33BA5">
        <w:rPr>
          <w:i/>
        </w:rPr>
        <w:t>tertium</w:t>
      </w:r>
      <w:r w:rsidR="08163013">
        <w:t xml:space="preserve"> a </w:t>
      </w:r>
      <w:r w:rsidR="08163013" w:rsidRPr="00E33BA5">
        <w:rPr>
          <w:i/>
        </w:rPr>
        <w:t xml:space="preserve">quartum </w:t>
      </w:r>
      <w:r w:rsidR="00962190">
        <w:rPr>
          <w:i/>
        </w:rPr>
        <w:t>genus</w:t>
      </w:r>
      <w:r w:rsidR="08163013">
        <w:rPr>
          <w:i/>
        </w:rPr>
        <w:fldChar w:fldCharType="begin"/>
      </w:r>
      <w:r w:rsidR="08163013">
        <w:instrText xml:space="preserve"> XE "</w:instrText>
      </w:r>
      <w:r w:rsidR="08163013" w:rsidRPr="00191848">
        <w:rPr>
          <w:i/>
        </w:rPr>
        <w:instrText>quartum genus</w:instrText>
      </w:r>
      <w:r w:rsidR="08163013">
        <w:instrText xml:space="preserve">" </w:instrText>
      </w:r>
      <w:r w:rsidR="08163013">
        <w:rPr>
          <w:i/>
        </w:rPr>
        <w:fldChar w:fldCharType="end"/>
      </w:r>
      <w:r w:rsidR="08163013">
        <w:t>.</w:t>
      </w:r>
    </w:p>
    <w:p w:rsidR="08163013" w:rsidRPr="00492185" w:rsidRDefault="08163013" w:rsidP="08163013">
      <w:pPr>
        <w:pStyle w:val="Citace"/>
        <w:rPr>
          <w:noProof/>
          <w:lang w:val="cs-CZ"/>
        </w:rPr>
      </w:pPr>
      <w:r w:rsidRPr="00273106">
        <w:rPr>
          <w:noProof/>
          <w:lang w:val="cs-CZ"/>
        </w:rPr>
        <w:t>„</w:t>
      </w:r>
      <w:r>
        <w:rPr>
          <w:noProof/>
          <w:lang w:val="cs-CZ"/>
        </w:rPr>
        <w:t xml:space="preserve">Averroes ve třetí knize tvrdí, že činný a možný intelekt má neporušitelný charakter, ale spekulativní intelekt je porušitelný a vzniká zrozením. Proto ani aktivní ani pasivní intelekt si nepostačují samy o sobě, ale potřebují fantasmata. Spekulativní intelekt vzniká </w:t>
      </w:r>
      <w:r w:rsidR="08FA04DF">
        <w:rPr>
          <w:rFonts w:cs="Calibri"/>
          <w:noProof/>
          <w:lang w:val="cs-CZ"/>
        </w:rPr>
        <w:t>[aktuálně]</w:t>
      </w:r>
      <w:r w:rsidR="08FA04DF">
        <w:rPr>
          <w:noProof/>
          <w:lang w:val="cs-CZ"/>
        </w:rPr>
        <w:t xml:space="preserve"> </w:t>
      </w:r>
      <w:r>
        <w:rPr>
          <w:noProof/>
          <w:lang w:val="cs-CZ"/>
        </w:rPr>
        <w:t xml:space="preserve">ve fantasmatech, ale z hlediska výše uvedené přirozenosti, jak je dán [esenciálně] o sobě, má trvalý výkon porozumění. Stejně jsou oddělené kosmické substance trvale v pohybu z hlediska své racionální substance. Proto lidský intelekt potřebuje fantasmata. Ale tím není řečeno, že intelekt se spojuje s fanstasmaty stejně jako zrak smyslově vnímá barvy. Tím jsou odpovězeny všechny námitky.“ </w:t>
      </w:r>
      <w:r>
        <w:rPr>
          <w:rStyle w:val="Znakapoznpodarou"/>
        </w:rPr>
        <w:footnoteReference w:id="119"/>
      </w:r>
    </w:p>
    <w:p w:rsidR="08163013" w:rsidRPr="00273106" w:rsidRDefault="08163013" w:rsidP="08163013">
      <w:r>
        <w:t>K</w:t>
      </w:r>
      <w:r w:rsidRPr="00273106">
        <w:t>omentář j</w:t>
      </w:r>
      <w:r>
        <w:t>asně rozlišuje hypotetický (</w:t>
      </w:r>
      <w:r w:rsidRPr="00273106">
        <w:rPr>
          <w:i/>
        </w:rPr>
        <w:t>licet</w:t>
      </w:r>
      <w:r w:rsidRPr="00273106">
        <w:t>) charakter odděleného receptivního a činného intelektu daného ve hvězdných sférách (</w:t>
      </w:r>
      <w:r w:rsidRPr="00273106">
        <w:rPr>
          <w:i/>
        </w:rPr>
        <w:t>licet intellectus agens et possibilis sint aeterni</w:t>
      </w:r>
      <w:r w:rsidRPr="00273106">
        <w:t>).</w:t>
      </w:r>
      <w:r w:rsidR="00D12D80">
        <w:t xml:space="preserve"> </w:t>
      </w:r>
      <w:r w:rsidR="00D12D80" w:rsidRPr="00D12D80">
        <w:t xml:space="preserve">Argumentace je vynikající, protože rozdíl mezi </w:t>
      </w:r>
      <w:r w:rsidR="00D12D80" w:rsidRPr="00D12D80">
        <w:rPr>
          <w:i/>
        </w:rPr>
        <w:t xml:space="preserve">tertium </w:t>
      </w:r>
      <w:r w:rsidR="00D12D80" w:rsidRPr="00D12D80">
        <w:t>a</w:t>
      </w:r>
      <w:r w:rsidR="00D12D80" w:rsidRPr="00D12D80">
        <w:rPr>
          <w:i/>
        </w:rPr>
        <w:t xml:space="preserve"> quartum genus</w:t>
      </w:r>
      <w:r w:rsidR="00D12D80">
        <w:t xml:space="preserve"> platí </w:t>
      </w:r>
      <w:r w:rsidR="00D12D80" w:rsidRPr="00D12D80">
        <w:t>i pro ko</w:t>
      </w:r>
      <w:r w:rsidR="00D12D80">
        <w:t>s</w:t>
      </w:r>
      <w:r w:rsidR="00D12D80" w:rsidRPr="00D12D80">
        <w:t xml:space="preserve">mické inteligence, protože </w:t>
      </w:r>
      <w:r w:rsidR="00D12D80">
        <w:t>se jedná o pohyblivé substanční formy (</w:t>
      </w:r>
      <w:r w:rsidR="00D12D80" w:rsidRPr="00D12D80">
        <w:rPr>
          <w:i/>
        </w:rPr>
        <w:t>tertium genus</w:t>
      </w:r>
      <w:r w:rsidR="00D12D80" w:rsidRPr="00D12D80">
        <w:t>), které tvoří stejný univerzálně sdílený produkt jejich myšlení (</w:t>
      </w:r>
      <w:r w:rsidR="00D12D80" w:rsidRPr="00D12D80">
        <w:rPr>
          <w:i/>
        </w:rPr>
        <w:t>quartum genus</w:t>
      </w:r>
      <w:r w:rsidR="00D12D80" w:rsidRPr="00D12D80">
        <w:t>).</w:t>
      </w:r>
      <w:r w:rsidR="00D12D80">
        <w:t xml:space="preserve"> </w:t>
      </w:r>
      <w:r w:rsidR="08557B86">
        <w:t xml:space="preserve">Ale v člověku existuje intelekt pouze </w:t>
      </w:r>
      <w:r w:rsidR="00AE16C5">
        <w:t>jako schopnost duše dané v těle</w:t>
      </w:r>
      <w:r w:rsidR="08557B86" w:rsidRPr="00D10BB4">
        <w:rPr>
          <w:szCs w:val="24"/>
        </w:rPr>
        <w:t xml:space="preserve">. </w:t>
      </w:r>
      <w:r>
        <w:t xml:space="preserve">Tím je jasně dána definice odděleného receptivního intelektu jen v modu </w:t>
      </w:r>
      <w:r w:rsidRPr="00F55D77">
        <w:rPr>
          <w:i/>
        </w:rPr>
        <w:t xml:space="preserve">quartum </w:t>
      </w:r>
      <w:r w:rsidR="00962190">
        <w:rPr>
          <w:i/>
        </w:rPr>
        <w:t>genus</w:t>
      </w:r>
      <w:r>
        <w:rPr>
          <w:i/>
        </w:rPr>
        <w:fldChar w:fldCharType="begin"/>
      </w:r>
      <w:r>
        <w:instrText xml:space="preserve"> XE "</w:instrText>
      </w:r>
      <w:r w:rsidRPr="00191848">
        <w:rPr>
          <w:i/>
        </w:rPr>
        <w:instrText>quartum genus</w:instrText>
      </w:r>
      <w:r>
        <w:instrText xml:space="preserve">" </w:instrText>
      </w:r>
      <w:r>
        <w:rPr>
          <w:i/>
        </w:rPr>
        <w:fldChar w:fldCharType="end"/>
      </w:r>
      <w:r>
        <w:t xml:space="preserve">, tedy jako univerzálie dané v mysli. Zmínka o kosmických inteligencích dává důležitou indikaci ohledně autorství traktátu, protože určuje pozici autora </w:t>
      </w:r>
      <w:r w:rsidR="00A73DAB">
        <w:t xml:space="preserve">vzhledem ke </w:t>
      </w:r>
      <w:r>
        <w:t>spor</w:t>
      </w:r>
      <w:r w:rsidR="00A73DAB">
        <w:t xml:space="preserve">ům </w:t>
      </w:r>
      <w:r>
        <w:t xml:space="preserve">ohledně věčnosti světa a </w:t>
      </w:r>
      <w:r w:rsidR="00962190" w:rsidRPr="00A73DAB">
        <w:t>species</w:t>
      </w:r>
      <w:r>
        <w:t>. Intelekt jako Averroesův čtvrtý rod je nemateriální schopnost nemateriální lidské duše (</w:t>
      </w:r>
      <w:r w:rsidRPr="00A6412E">
        <w:rPr>
          <w:i/>
        </w:rPr>
        <w:t>inmixtus</w:t>
      </w:r>
      <w:r>
        <w:t xml:space="preserve">) a díky této oddělenosti od materie se podobá plně aktuálním kosmickým inteligencím. Ale autor přesně ví, že mluví v souladu s Komentátorem pouze o abstrahované formě intelektu v modu </w:t>
      </w:r>
      <w:r w:rsidRPr="08F45202">
        <w:rPr>
          <w:i/>
        </w:rPr>
        <w:t xml:space="preserve">quartum </w:t>
      </w:r>
      <w:r w:rsidR="00962190">
        <w:rPr>
          <w:i/>
        </w:rPr>
        <w:t>genus</w:t>
      </w:r>
      <w:r>
        <w:t xml:space="preserve">. </w:t>
      </w:r>
      <w:r w:rsidRPr="00273106">
        <w:t xml:space="preserve">Na druhé straně </w:t>
      </w:r>
      <w:r>
        <w:t xml:space="preserve">citát </w:t>
      </w:r>
      <w:r w:rsidRPr="00273106">
        <w:t xml:space="preserve">ukazuje lidskou aktualizaci tohoto nemateriálního poznání v </w:t>
      </w:r>
      <w:r>
        <w:t xml:space="preserve">osobním </w:t>
      </w:r>
      <w:r w:rsidRPr="00273106">
        <w:rPr>
          <w:i/>
        </w:rPr>
        <w:t>intellectus speculativus</w:t>
      </w:r>
      <w:r w:rsidRPr="00273106">
        <w:t xml:space="preserve">, který je porušitelný a je daný </w:t>
      </w:r>
      <w:r>
        <w:t xml:space="preserve">aktuálně v těle </w:t>
      </w:r>
      <w:r w:rsidRPr="00273106">
        <w:t>(</w:t>
      </w:r>
      <w:r w:rsidRPr="00273106">
        <w:rPr>
          <w:i/>
        </w:rPr>
        <w:t>speculativus tamen corruptibilis et generabilis est</w:t>
      </w:r>
      <w:r w:rsidRPr="00273106">
        <w:t>)</w:t>
      </w:r>
      <w:r>
        <w:t xml:space="preserve">. </w:t>
      </w:r>
      <w:r w:rsidRPr="00273106">
        <w:t>Proto nestačí pouze abstraktně popsat oba druhy intelektu, ale musí být proveden popis jejich činnosti na základě recepce fantasmat (</w:t>
      </w:r>
      <w:r w:rsidRPr="00273106">
        <w:rPr>
          <w:i/>
        </w:rPr>
        <w:t xml:space="preserve">quia non sibi sufficiunt agens et possibilis, sed et phantasmata </w:t>
      </w:r>
      <w:r w:rsidRPr="00273106">
        <w:rPr>
          <w:i/>
        </w:rPr>
        <w:lastRenderedPageBreak/>
        <w:t>necessaria sunt</w:t>
      </w:r>
      <w:r w:rsidRPr="00273106">
        <w:t xml:space="preserve">). Důvod je jasný, totiž nasvícení </w:t>
      </w:r>
      <w:r>
        <w:t xml:space="preserve">lidského poznání </w:t>
      </w:r>
      <w:r w:rsidRPr="00273106">
        <w:t xml:space="preserve">od </w:t>
      </w:r>
      <w:r>
        <w:t xml:space="preserve">aktuální materiální věci vnímané smysly. Tento </w:t>
      </w:r>
      <w:r w:rsidRPr="00273106">
        <w:t>základní postulát prvního averroismu</w:t>
      </w:r>
      <w:r>
        <w:t xml:space="preserve"> CMDA traktuje v pojetí intelektu </w:t>
      </w:r>
      <w:r w:rsidR="00D21F45">
        <w:t xml:space="preserve">jako personálního </w:t>
      </w:r>
      <w:r>
        <w:t xml:space="preserve">výkonu poznání v těle, tedy jako </w:t>
      </w:r>
      <w:r w:rsidRPr="0051076D">
        <w:rPr>
          <w:i/>
        </w:rPr>
        <w:t xml:space="preserve">tertium </w:t>
      </w:r>
      <w:r w:rsidR="00962190">
        <w:rPr>
          <w:i/>
        </w:rPr>
        <w:t>genus</w:t>
      </w:r>
      <w:r>
        <w:rPr>
          <w:i/>
        </w:rPr>
        <w:fldChar w:fldCharType="begin"/>
      </w:r>
      <w:r>
        <w:instrText xml:space="preserve"> XE "</w:instrText>
      </w:r>
      <w:r w:rsidRPr="00D80F84">
        <w:rPr>
          <w:i/>
        </w:rPr>
        <w:instrText>tertium genus</w:instrText>
      </w:r>
      <w:r>
        <w:instrText xml:space="preserve">" </w:instrText>
      </w:r>
      <w:r>
        <w:rPr>
          <w:i/>
        </w:rPr>
        <w:fldChar w:fldCharType="end"/>
      </w:r>
      <w:r w:rsidRPr="00273106">
        <w:t xml:space="preserve">. </w:t>
      </w:r>
      <w:r>
        <w:t xml:space="preserve">Viz předešlou definici lidského intelektu jako aktu těla. </w:t>
      </w:r>
      <w:r w:rsidRPr="00273106">
        <w:t>Pojetí spekulativního intelektu je stejné jako u Alberta, protože představuje výslednou syntézu poznání jako individuálního nemateriálního aktu</w:t>
      </w:r>
      <w:r>
        <w:t xml:space="preserve"> (</w:t>
      </w:r>
      <w:r w:rsidR="08BE3CBF">
        <w:t>OBJ II, kap. 2</w:t>
      </w:r>
      <w:r>
        <w:t>.4</w:t>
      </w:r>
      <w:r w:rsidRPr="00273106">
        <w:t>.</w:t>
      </w:r>
      <w:r>
        <w:t xml:space="preserve">2). </w:t>
      </w:r>
      <w:r w:rsidRPr="00273106">
        <w:t>Výsledná syntéza individuálního a univerzálního poznání začíná u smyslového poznání (</w:t>
      </w:r>
      <w:r w:rsidRPr="00273106">
        <w:rPr>
          <w:i/>
        </w:rPr>
        <w:t>unde intellectus speculativus generatur in phantasmatibus</w:t>
      </w:r>
      <w:r w:rsidRPr="00273106">
        <w:t xml:space="preserve">). A </w:t>
      </w:r>
      <w:r>
        <w:t xml:space="preserve">pak </w:t>
      </w:r>
      <w:r w:rsidRPr="00273106">
        <w:t>začíná přesné rozlišení rozdílu mezi kosmickým odděleným intelektem a jeho lidskou variantou. Společnou mají nematerialitu a aktivní schopnost výkonu (</w:t>
      </w:r>
      <w:r w:rsidRPr="00273106">
        <w:rPr>
          <w:i/>
        </w:rPr>
        <w:t>semper intelligit</w:t>
      </w:r>
      <w:r w:rsidRPr="00273106">
        <w:t>). Ale tyto vlastnosti intelektu jsou u člověka vázány na výkon</w:t>
      </w:r>
      <w:r>
        <w:t xml:space="preserve"> spekulativníh</w:t>
      </w:r>
      <w:r w:rsidRPr="00273106">
        <w:t xml:space="preserve">o intelektu determinovaného smyslovým, a tím také </w:t>
      </w:r>
      <w:r w:rsidR="0068198F">
        <w:t xml:space="preserve">tělesným </w:t>
      </w:r>
      <w:r w:rsidRPr="00273106">
        <w:t xml:space="preserve">poznáním. Tento typ materiální </w:t>
      </w:r>
      <w:r w:rsidR="00B02AB8">
        <w:t>personalizace</w:t>
      </w:r>
      <w:r w:rsidRPr="00273106">
        <w:t xml:space="preserve"> zakládá vlastní povahu lidského intelektu</w:t>
      </w:r>
      <w:r>
        <w:t xml:space="preserve"> váza</w:t>
      </w:r>
      <w:r w:rsidRPr="00273106">
        <w:t>ného na tělo a na smysly</w:t>
      </w:r>
      <w:r>
        <w:t xml:space="preserve"> (</w:t>
      </w:r>
      <w:r w:rsidRPr="00273106">
        <w:rPr>
          <w:i/>
        </w:rPr>
        <w:t>quantum ex se est</w:t>
      </w:r>
      <w:r>
        <w:t>)</w:t>
      </w:r>
      <w:r w:rsidRPr="00273106">
        <w:t xml:space="preserve">. </w:t>
      </w:r>
      <w:r>
        <w:t xml:space="preserve">Modus aktivního lidského intelektu v modu </w:t>
      </w:r>
      <w:r w:rsidR="001E5DC9">
        <w:t>„</w:t>
      </w:r>
      <w:r w:rsidRPr="00A6412E">
        <w:rPr>
          <w:i/>
        </w:rPr>
        <w:t>semper</w:t>
      </w:r>
      <w:r w:rsidR="001E5DC9">
        <w:t>“</w:t>
      </w:r>
      <w:r w:rsidRPr="00273106">
        <w:t xml:space="preserve"> je vázá</w:t>
      </w:r>
      <w:r>
        <w:t xml:space="preserve">n </w:t>
      </w:r>
      <w:r w:rsidRPr="00273106">
        <w:t>nikoliv na čistou formu aktivního kosmického intelektu, ale na specifický výkon poznání v člověku (</w:t>
      </w:r>
      <w:r w:rsidRPr="00273106">
        <w:rPr>
          <w:i/>
        </w:rPr>
        <w:t>iste intellectus naturaliter, quantum ex se est, semper intelligit</w:t>
      </w:r>
      <w:r w:rsidRPr="00273106">
        <w:t xml:space="preserve">). </w:t>
      </w:r>
      <w:r>
        <w:t xml:space="preserve">Plný modus tohoto </w:t>
      </w:r>
      <w:r w:rsidR="001E5DC9">
        <w:t>„</w:t>
      </w:r>
      <w:r w:rsidRPr="08DF1730">
        <w:rPr>
          <w:i/>
        </w:rPr>
        <w:t>semper</w:t>
      </w:r>
      <w:r w:rsidR="001E5DC9">
        <w:t>“</w:t>
      </w:r>
      <w:r>
        <w:t xml:space="preserve"> je </w:t>
      </w:r>
      <w:r w:rsidR="004F17EA">
        <w:t xml:space="preserve">podle CMDA </w:t>
      </w:r>
      <w:r>
        <w:t xml:space="preserve">pouze v abstrakci lidského intelektu vázaného na existenci lidstva jako </w:t>
      </w:r>
      <w:r w:rsidR="00962190" w:rsidRPr="001E5DC9">
        <w:t>species</w:t>
      </w:r>
      <w:r>
        <w:t xml:space="preserve"> a na existenci filosofie (</w:t>
      </w:r>
      <w:r w:rsidR="00962190">
        <w:rPr>
          <w:i/>
          <w:szCs w:val="30"/>
        </w:rPr>
        <w:t>species</w:t>
      </w:r>
      <w:r w:rsidRPr="00273106">
        <w:rPr>
          <w:i/>
          <w:szCs w:val="30"/>
        </w:rPr>
        <w:t xml:space="preserve"> humana est </w:t>
      </w:r>
      <w:r>
        <w:rPr>
          <w:i/>
          <w:szCs w:val="30"/>
        </w:rPr>
        <w:t>a</w:t>
      </w:r>
      <w:r w:rsidRPr="00273106">
        <w:rPr>
          <w:i/>
          <w:szCs w:val="30"/>
        </w:rPr>
        <w:t>eterna</w:t>
      </w:r>
      <w:r w:rsidR="08277434">
        <w:rPr>
          <w:szCs w:val="30"/>
        </w:rPr>
        <w:t xml:space="preserve">; OBJ I, </w:t>
      </w:r>
      <w:r w:rsidRPr="08DF1730">
        <w:rPr>
          <w:szCs w:val="30"/>
        </w:rPr>
        <w:t>kap. 2.4.3</w:t>
      </w:r>
      <w:r w:rsidRPr="08DF1730">
        <w:t>).</w:t>
      </w:r>
      <w:r>
        <w:t xml:space="preserve"> </w:t>
      </w:r>
      <w:r w:rsidRPr="00273106">
        <w:t xml:space="preserve">Jak víme, tuto linii </w:t>
      </w:r>
      <w:r>
        <w:t xml:space="preserve">oddělující </w:t>
      </w:r>
      <w:r w:rsidRPr="00FF60AB">
        <w:rPr>
          <w:i/>
        </w:rPr>
        <w:t>intellectus agens</w:t>
      </w:r>
      <w:r>
        <w:t xml:space="preserve"> od jeho kosmické formy </w:t>
      </w:r>
      <w:r w:rsidRPr="00273106">
        <w:t xml:space="preserve">měl </w:t>
      </w:r>
      <w:r>
        <w:t xml:space="preserve">Alvernus a také </w:t>
      </w:r>
      <w:r w:rsidRPr="00273106">
        <w:t>Grossestete</w:t>
      </w:r>
      <w:r>
        <w:t xml:space="preserve">. Ale </w:t>
      </w:r>
      <w:r w:rsidRPr="00273106">
        <w:t>nikoliv jeh</w:t>
      </w:r>
      <w:r>
        <w:t>o následovníci, kteří zavedli v Oxfordu druhý averroismus</w:t>
      </w:r>
      <w:r w:rsidRPr="00273106">
        <w:t xml:space="preserve">. </w:t>
      </w:r>
      <w:r>
        <w:t>L</w:t>
      </w:r>
      <w:r w:rsidRPr="00273106">
        <w:t>idský intelekt je oddělený od smyslů</w:t>
      </w:r>
      <w:r>
        <w:t>,</w:t>
      </w:r>
      <w:r w:rsidRPr="00273106">
        <w:t xml:space="preserve"> a tím je i nemateriální</w:t>
      </w:r>
      <w:r>
        <w:t>. Proto</w:t>
      </w:r>
      <w:r w:rsidRPr="00273106">
        <w:t xml:space="preserve"> výkon jeho poznání není stejný jako v případě smyslově založeného poznání skrze akt vidění (</w:t>
      </w:r>
      <w:r w:rsidRPr="00273106">
        <w:rPr>
          <w:i/>
        </w:rPr>
        <w:t>non unitur intellectus phantasmatibus sicut visus coloribus</w:t>
      </w:r>
      <w:r w:rsidRPr="00273106">
        <w:t xml:space="preserve">). </w:t>
      </w:r>
      <w:r>
        <w:t xml:space="preserve">Tuto diferenci vyřešila škola </w:t>
      </w:r>
      <w:r w:rsidR="08277434">
        <w:t xml:space="preserve">prvního averroismu </w:t>
      </w:r>
      <w:r>
        <w:t>rozdílným pojetím diafanum ve smyslech a v receptivním intelektu podle CMDA (</w:t>
      </w:r>
      <w:r w:rsidR="08277434">
        <w:t xml:space="preserve">OBJ I, </w:t>
      </w:r>
      <w:r>
        <w:t xml:space="preserve">kap. 2.4.4). Anonymova </w:t>
      </w:r>
      <w:r w:rsidRPr="00273106">
        <w:t>pozice je plně konsistentní s řešení</w:t>
      </w:r>
      <w:r>
        <w:t>m</w:t>
      </w:r>
      <w:r w:rsidRPr="00273106">
        <w:t xml:space="preserve"> jednoty intelektu podle CMDA. Poslední věta </w:t>
      </w:r>
      <w:r>
        <w:t xml:space="preserve">citátu </w:t>
      </w:r>
      <w:r w:rsidRPr="00273106">
        <w:t xml:space="preserve">obsahuje epochální ironii. Anonym brilantním rozlišením všech druhů intelektu opřeným o celkovou znalost </w:t>
      </w:r>
      <w:r>
        <w:t>Averroes</w:t>
      </w:r>
      <w:r w:rsidRPr="00273106">
        <w:t>ových komentářů tvrdí, že vyřešil všechny námitky (</w:t>
      </w:r>
      <w:r w:rsidRPr="00273106">
        <w:rPr>
          <w:i/>
        </w:rPr>
        <w:t>per hoc solvuntur omnes rationes</w:t>
      </w:r>
      <w:r w:rsidRPr="00273106">
        <w:t>). Ve skutečnosti odhalil všechny rozpory druhého av</w:t>
      </w:r>
      <w:r>
        <w:t xml:space="preserve">erroismu. Modenisté </w:t>
      </w:r>
      <w:r w:rsidRPr="00273106">
        <w:t>musel</w:t>
      </w:r>
      <w:r>
        <w:t>i</w:t>
      </w:r>
      <w:r w:rsidRPr="00273106">
        <w:t xml:space="preserve"> přejít do útoku a nastolil</w:t>
      </w:r>
      <w:r>
        <w:t>i</w:t>
      </w:r>
      <w:r w:rsidRPr="00273106">
        <w:t xml:space="preserve"> nové</w:t>
      </w:r>
      <w:r>
        <w:t xml:space="preserve"> argumenty</w:t>
      </w:r>
      <w:r w:rsidRPr="00273106">
        <w:t>, tentokrát ideologického a mocenského druhu.</w:t>
      </w:r>
    </w:p>
    <w:p w:rsidR="08163013" w:rsidRDefault="08163013" w:rsidP="08163013">
      <w:r w:rsidRPr="00273106">
        <w:tab/>
        <w:t xml:space="preserve">Následující polemika s druhým averroismem ve druhé části traktátu se zabývá mylným pochopením materie a modu abstrakce, který je korigovaný s odkazem na Aristotela a na </w:t>
      </w:r>
      <w:r>
        <w:lastRenderedPageBreak/>
        <w:t>Averroes</w:t>
      </w:r>
      <w:r w:rsidRPr="00273106">
        <w:t>e. Autor pokrač</w:t>
      </w:r>
      <w:r>
        <w:t>uje v linii Bacona a Alberta. V</w:t>
      </w:r>
      <w:r w:rsidRPr="00273106">
        <w:t xml:space="preserve">ysvětluje rozdíl mezi univerzálním pojetím </w:t>
      </w:r>
      <w:r>
        <w:t xml:space="preserve">druhé </w:t>
      </w:r>
      <w:r w:rsidRPr="00273106">
        <w:t>substance</w:t>
      </w:r>
      <w:r>
        <w:fldChar w:fldCharType="begin"/>
      </w:r>
      <w:r>
        <w:instrText xml:space="preserve"> XE "</w:instrText>
      </w:r>
      <w:r w:rsidRPr="00DE2A32">
        <w:instrText>substance</w:instrText>
      </w:r>
      <w:r>
        <w:instrText xml:space="preserve">:druhá" </w:instrText>
      </w:r>
      <w:r>
        <w:fldChar w:fldCharType="end"/>
      </w:r>
      <w:r w:rsidRPr="00273106">
        <w:t xml:space="preserve">, která vzniká v aktu poznání odlišného od bytí první substance v realitě. Totéž se pochopitelně týká i dvojího statutu materie, která </w:t>
      </w:r>
      <w:r>
        <w:t xml:space="preserve">nemůže vystupovat v </w:t>
      </w:r>
      <w:r w:rsidRPr="00273106">
        <w:t xml:space="preserve">objektivní funkci </w:t>
      </w:r>
      <w:r w:rsidRPr="00A50D94">
        <w:rPr>
          <w:i/>
        </w:rPr>
        <w:t>tertium ens</w:t>
      </w:r>
      <w:r>
        <w:rPr>
          <w:i/>
        </w:rPr>
        <w:fldChar w:fldCharType="begin"/>
      </w:r>
      <w:r>
        <w:instrText xml:space="preserve"> XE "</w:instrText>
      </w:r>
      <w:r w:rsidRPr="002F10B4">
        <w:rPr>
          <w:rStyle w:val="Zvraznn"/>
        </w:rPr>
        <w:instrText>tertium ens</w:instrText>
      </w:r>
      <w:r>
        <w:rPr>
          <w:rStyle w:val="Zvraznn"/>
        </w:rPr>
        <w:instrText>:</w:instrText>
      </w:r>
      <w:r w:rsidRPr="00C81F22">
        <w:rPr>
          <w:rStyle w:val="Zvraznn"/>
          <w:i w:val="0"/>
        </w:rPr>
        <w:instrText>materie</w:instrText>
      </w:r>
      <w:r>
        <w:instrText xml:space="preserve">" </w:instrText>
      </w:r>
      <w:r>
        <w:rPr>
          <w:i/>
        </w:rPr>
        <w:fldChar w:fldCharType="end"/>
      </w:r>
      <w:r w:rsidRPr="00273106">
        <w:t>. Autor připomíná latinským sofistům základní pravdy, které měli znát z bakalářských lavic artistické fakulty</w:t>
      </w:r>
      <w:r>
        <w:t>, když se učili rozdíl mezi matematickou a metafyzickou abstrakcí.</w:t>
      </w:r>
      <w:r>
        <w:rPr>
          <w:rStyle w:val="Znakapoznpodarou"/>
        </w:rPr>
        <w:footnoteReference w:id="120"/>
      </w:r>
      <w:r>
        <w:t xml:space="preserve"> Text </w:t>
      </w:r>
      <w:r w:rsidRPr="00273106">
        <w:t>jasně stanovuje autonomii matematické abstrakce</w:t>
      </w:r>
      <w:r>
        <w:fldChar w:fldCharType="begin"/>
      </w:r>
      <w:r>
        <w:instrText xml:space="preserve"> XE "</w:instrText>
      </w:r>
      <w:r w:rsidRPr="00A824F0">
        <w:instrText>abstrakce:matematická</w:instrText>
      </w:r>
      <w:r>
        <w:instrText xml:space="preserve">" </w:instrText>
      </w:r>
      <w:r>
        <w:fldChar w:fldCharType="end"/>
      </w:r>
      <w:r w:rsidRPr="00273106">
        <w:t xml:space="preserve"> jako sekundární výkon, který abstrahuje od </w:t>
      </w:r>
      <w:r>
        <w:t xml:space="preserve">reálné </w:t>
      </w:r>
      <w:r w:rsidRPr="00273106">
        <w:t xml:space="preserve">věci. </w:t>
      </w:r>
      <w:r>
        <w:t xml:space="preserve">Impozice od věci daná procesem abstrakce </w:t>
      </w:r>
      <w:r w:rsidRPr="08E33534">
        <w:t>(</w:t>
      </w:r>
      <w:r w:rsidRPr="08E33534">
        <w:rPr>
          <w:i/>
        </w:rPr>
        <w:t>abstractio cuiusdam rei ab alia re</w:t>
      </w:r>
      <w:r w:rsidRPr="08E33534">
        <w:t>)</w:t>
      </w:r>
      <w:r>
        <w:t xml:space="preserve"> vylučuje moderní univoční supozici</w:t>
      </w:r>
      <w:r>
        <w:fldChar w:fldCharType="begin"/>
      </w:r>
      <w:r>
        <w:instrText xml:space="preserve"> XE "</w:instrText>
      </w:r>
      <w:r w:rsidRPr="00714D51">
        <w:instrText>supozice:objektivní</w:instrText>
      </w:r>
      <w:r>
        <w:instrText xml:space="preserve">" </w:instrText>
      </w:r>
      <w:r>
        <w:fldChar w:fldCharType="end"/>
      </w:r>
      <w:r>
        <w:t xml:space="preserve"> danou objektivně. Znalec Aristotela a Averroese na artistické fakultě </w:t>
      </w:r>
      <w:r w:rsidRPr="00273106">
        <w:t xml:space="preserve">se marně snaží vysvětlit tehdejším modernistům, </w:t>
      </w:r>
      <w:r>
        <w:t>že každá abstrakce běží</w:t>
      </w:r>
      <w:r w:rsidRPr="00273106">
        <w:t xml:space="preserve"> v modu </w:t>
      </w:r>
      <w:r w:rsidRPr="00273106">
        <w:rPr>
          <w:i/>
        </w:rPr>
        <w:t>per posterius</w:t>
      </w:r>
      <w:r>
        <w:rPr>
          <w:i/>
        </w:rPr>
        <w:fldChar w:fldCharType="begin"/>
      </w:r>
      <w:r>
        <w:instrText xml:space="preserve"> XE "predikace:</w:instrText>
      </w:r>
      <w:r w:rsidRPr="00B504BC">
        <w:rPr>
          <w:i/>
        </w:rPr>
        <w:instrText>per posterius</w:instrText>
      </w:r>
      <w:r>
        <w:instrText xml:space="preserve">" </w:instrText>
      </w:r>
      <w:r>
        <w:rPr>
          <w:i/>
        </w:rPr>
        <w:fldChar w:fldCharType="end"/>
      </w:r>
      <w:r w:rsidRPr="00273106">
        <w:t xml:space="preserve"> vázaného na první substanci existující </w:t>
      </w:r>
      <w:r>
        <w:t xml:space="preserve">hyparchicky v </w:t>
      </w:r>
      <w:r w:rsidRPr="08E33534">
        <w:t>realitě (</w:t>
      </w:r>
      <w:r w:rsidRPr="08E33534">
        <w:rPr>
          <w:i/>
        </w:rPr>
        <w:t>abstractio eiusdem secundum esse</w:t>
      </w:r>
      <w:r w:rsidRPr="08E33534">
        <w:t>).</w:t>
      </w:r>
      <w:r w:rsidRPr="00273106">
        <w:t xml:space="preserve"> Když tato abstrakce vznikne, může s ní na dalším patře abstrakce pracovat třeba matematika</w:t>
      </w:r>
      <w:r>
        <w:fldChar w:fldCharType="begin"/>
      </w:r>
      <w:r>
        <w:instrText xml:space="preserve"> XE "</w:instrText>
      </w:r>
      <w:r w:rsidRPr="00DC040D">
        <w:instrText>matematika</w:instrText>
      </w:r>
      <w:r>
        <w:instrText xml:space="preserve">" </w:instrText>
      </w:r>
      <w:r>
        <w:fldChar w:fldCharType="end"/>
      </w:r>
      <w:r w:rsidRPr="00273106">
        <w:t xml:space="preserve"> nebo geometrie. Autor vytváří abstrakci pojatou podle </w:t>
      </w:r>
      <w:r>
        <w:rPr>
          <w:i/>
        </w:rPr>
        <w:t>De anima</w:t>
      </w:r>
      <w:r w:rsidRPr="00273106">
        <w:t xml:space="preserve"> směrem od první substance</w:t>
      </w:r>
      <w:r>
        <w:t>. Tím ji odděluje od proce</w:t>
      </w:r>
      <w:r w:rsidRPr="00273106">
        <w:t xml:space="preserve">su abstrakce jako </w:t>
      </w:r>
      <w:r w:rsidRPr="00273106">
        <w:rPr>
          <w:i/>
        </w:rPr>
        <w:t>denudatio</w:t>
      </w:r>
      <w:r>
        <w:rPr>
          <w:i/>
        </w:rPr>
        <w:fldChar w:fldCharType="begin"/>
      </w:r>
      <w:r>
        <w:instrText xml:space="preserve"> XE "</w:instrText>
      </w:r>
      <w:r w:rsidRPr="00C23100">
        <w:rPr>
          <w:i/>
        </w:rPr>
        <w:instrText>denudatio</w:instrText>
      </w:r>
      <w:r>
        <w:rPr>
          <w:i/>
        </w:rPr>
        <w:instrText>:</w:instrText>
      </w:r>
      <w:r w:rsidRPr="00C81F22">
        <w:instrText>druhý averroismus</w:instrText>
      </w:r>
      <w:r>
        <w:instrText xml:space="preserve">" </w:instrText>
      </w:r>
      <w:r>
        <w:rPr>
          <w:i/>
        </w:rPr>
        <w:fldChar w:fldCharType="end"/>
      </w:r>
      <w:r w:rsidRPr="00273106">
        <w:t xml:space="preserve"> druhého averroismu, který nazírá homogenní kontinuum univerzálně pojaté materie (</w:t>
      </w:r>
      <w:r w:rsidRPr="00273106">
        <w:rPr>
          <w:i/>
        </w:rPr>
        <w:t>materia universale</w:t>
      </w:r>
      <w:r>
        <w:rPr>
          <w:i/>
        </w:rPr>
        <w:fldChar w:fldCharType="begin"/>
      </w:r>
      <w:r>
        <w:instrText xml:space="preserve"> XE "materie:</w:instrText>
      </w:r>
      <w:r w:rsidRPr="00514700">
        <w:rPr>
          <w:i/>
        </w:rPr>
        <w:instrText>materia universale</w:instrText>
      </w:r>
      <w:r>
        <w:instrText xml:space="preserve">" </w:instrText>
      </w:r>
      <w:r>
        <w:rPr>
          <w:i/>
        </w:rPr>
        <w:fldChar w:fldCharType="end"/>
      </w:r>
      <w:r w:rsidRPr="00273106">
        <w:t>). Autor modernistům připomíná</w:t>
      </w:r>
      <w:r>
        <w:t xml:space="preserve"> podle výše citovaných textů </w:t>
      </w:r>
      <w:r w:rsidRPr="084151D2">
        <w:rPr>
          <w:i/>
        </w:rPr>
        <w:t>Druhých analytik</w:t>
      </w:r>
      <w:r w:rsidRPr="00273106">
        <w:t xml:space="preserve">, že tato abstrahovaná materie daná v mysli je modálně viděno jiná forma bytí, než je existence věci v reálu </w:t>
      </w:r>
      <w:r w:rsidRPr="08E33534">
        <w:t>(</w:t>
      </w:r>
      <w:r w:rsidRPr="08E33534">
        <w:rPr>
          <w:i/>
        </w:rPr>
        <w:t>abstractum habeat esse illo a quo abstrahitur</w:t>
      </w:r>
      <w:r w:rsidRPr="08E33534">
        <w:t>).</w:t>
      </w:r>
      <w:r w:rsidRPr="00273106">
        <w:t xml:space="preserve"> Znovu jsme u Boethiova a Abelardova rozdělení signifikace na </w:t>
      </w:r>
      <w:r w:rsidR="00372E78">
        <w:t>„</w:t>
      </w:r>
      <w:r w:rsidR="00B36330" w:rsidRPr="00273106">
        <w:rPr>
          <w:i/>
        </w:rPr>
        <w:t>totum integrum</w:t>
      </w:r>
      <w:r w:rsidR="00B36330">
        <w:rPr>
          <w:i/>
        </w:rPr>
        <w:fldChar w:fldCharType="begin"/>
      </w:r>
      <w:r w:rsidR="00B36330">
        <w:instrText xml:space="preserve"> XE "</w:instrText>
      </w:r>
      <w:r w:rsidR="00B36330" w:rsidRPr="00A61533">
        <w:rPr>
          <w:i/>
        </w:rPr>
        <w:instrText>totum integrum</w:instrText>
      </w:r>
      <w:r w:rsidR="00B36330">
        <w:instrText xml:space="preserve">" </w:instrText>
      </w:r>
      <w:r w:rsidR="00B36330">
        <w:rPr>
          <w:i/>
        </w:rPr>
        <w:fldChar w:fldCharType="end"/>
      </w:r>
      <w:r w:rsidR="00372E78">
        <w:t>“</w:t>
      </w:r>
      <w:r w:rsidRPr="00273106">
        <w:t xml:space="preserve"> a na </w:t>
      </w:r>
      <w:r w:rsidR="00372E78">
        <w:t>„</w:t>
      </w:r>
      <w:r w:rsidRPr="00273106">
        <w:rPr>
          <w:i/>
        </w:rPr>
        <w:t>totum universale</w:t>
      </w:r>
      <w:r w:rsidR="00372E78">
        <w:t>“</w:t>
      </w:r>
      <w:r>
        <w:rPr>
          <w:i/>
        </w:rPr>
        <w:fldChar w:fldCharType="begin"/>
      </w:r>
      <w:r>
        <w:instrText xml:space="preserve"> XE "</w:instrText>
      </w:r>
      <w:r w:rsidRPr="00F92D1B">
        <w:rPr>
          <w:i/>
        </w:rPr>
        <w:instrText>totum universale</w:instrText>
      </w:r>
      <w:r>
        <w:instrText xml:space="preserve">" </w:instrText>
      </w:r>
      <w:r>
        <w:rPr>
          <w:i/>
        </w:rPr>
        <w:fldChar w:fldCharType="end"/>
      </w:r>
      <w:r w:rsidR="00B36330">
        <w:rPr>
          <w:i/>
        </w:rPr>
        <w:t xml:space="preserve"> </w:t>
      </w:r>
      <w:r w:rsidR="00B36330">
        <w:rPr>
          <w:szCs w:val="24"/>
        </w:rPr>
        <w:t>(OBJ II, kap. 1.3)</w:t>
      </w:r>
      <w:r w:rsidR="0089659E">
        <w:t xml:space="preserve">. Tuto nauku </w:t>
      </w:r>
      <w:r>
        <w:t xml:space="preserve">radikálně změnil Pecham v době, kdy </w:t>
      </w:r>
      <w:r w:rsidR="08E33534">
        <w:t>vznikal tento traktát (kap. 4</w:t>
      </w:r>
      <w:r>
        <w:t xml:space="preserve">.2.2). V prvním averroismu </w:t>
      </w:r>
      <w:r w:rsidRPr="00273106">
        <w:t>není možné žádné objektivní řešení formou signifikace jsoucna třetího druhu (</w:t>
      </w:r>
      <w:r w:rsidRPr="00273106">
        <w:rPr>
          <w:i/>
        </w:rPr>
        <w:t>totum virtuale</w:t>
      </w:r>
      <w:r>
        <w:rPr>
          <w:i/>
        </w:rPr>
        <w:fldChar w:fldCharType="begin"/>
      </w:r>
      <w:r>
        <w:instrText xml:space="preserve"> XE "</w:instrText>
      </w:r>
      <w:r w:rsidRPr="00A10A92">
        <w:rPr>
          <w:i/>
        </w:rPr>
        <w:instrText>osoba:totum virtuale</w:instrText>
      </w:r>
      <w:r>
        <w:instrText xml:space="preserve">" </w:instrText>
      </w:r>
      <w:r>
        <w:rPr>
          <w:i/>
        </w:rPr>
        <w:fldChar w:fldCharType="end"/>
      </w:r>
      <w:r w:rsidRPr="00273106">
        <w:t xml:space="preserve">). Odmítnutí matematické extenze dané numericky a materie třetího druhu znamená, že intelekt není dělitelný, a tím ani individualizovatelný stejným způsobem jako abstraktní kontinuum dané v rámci různých forem </w:t>
      </w:r>
      <w:r>
        <w:t xml:space="preserve">logické a matematické </w:t>
      </w:r>
      <w:r w:rsidRPr="00273106">
        <w:t>abstrakce</w:t>
      </w:r>
      <w:r>
        <w:fldChar w:fldCharType="begin"/>
      </w:r>
      <w:r>
        <w:instrText xml:space="preserve"> XE "</w:instrText>
      </w:r>
      <w:r w:rsidRPr="00A824F0">
        <w:instrText>abstrakce:matematická</w:instrText>
      </w:r>
      <w:r>
        <w:instrText xml:space="preserve">" </w:instrText>
      </w:r>
      <w:r>
        <w:fldChar w:fldCharType="end"/>
      </w:r>
      <w:r w:rsidRPr="00273106">
        <w:t xml:space="preserve">. </w:t>
      </w:r>
      <w:r>
        <w:t>Stejně zásadně je odmítnutý univerzální hylemorfismus</w:t>
      </w:r>
      <w:r>
        <w:fldChar w:fldCharType="begin"/>
      </w:r>
      <w:r>
        <w:instrText xml:space="preserve"> XE </w:instrText>
      </w:r>
      <w:r>
        <w:lastRenderedPageBreak/>
        <w:instrText>"</w:instrText>
      </w:r>
      <w:r w:rsidRPr="005619B2">
        <w:instrText>univerzální hylemorfismus</w:instrText>
      </w:r>
      <w:r>
        <w:instrText xml:space="preserve">" </w:instrText>
      </w:r>
      <w:r>
        <w:fldChar w:fldCharType="end"/>
      </w:r>
      <w:r>
        <w:t xml:space="preserve"> napojený na porretánské hypostáze. </w:t>
      </w:r>
      <w:r w:rsidRPr="00273106">
        <w:t>Autor jasně říká, že si nedovede představit, jak by mohla jakákoliv kvantitativní určení patřit k podstatě intelektu (</w:t>
      </w:r>
      <w:r w:rsidRPr="00273106">
        <w:rPr>
          <w:i/>
        </w:rPr>
        <w:t>nescio de hoc</w:t>
      </w:r>
      <w:r w:rsidRPr="00273106">
        <w:t>, p. 54.58</w:t>
      </w:r>
      <w:r>
        <w:fldChar w:fldCharType="begin"/>
      </w:r>
      <w:r>
        <w:instrText xml:space="preserve"> XE "</w:instrText>
      </w:r>
      <w:r>
        <w:rPr>
          <w:i/>
        </w:rPr>
        <w:instrText>Anonym</w:instrText>
      </w:r>
      <w:r w:rsidRPr="00B279FE">
        <w:rPr>
          <w:i/>
        </w:rPr>
        <w:instrText xml:space="preserve"> Giele</w:instrText>
      </w:r>
      <w:r w:rsidRPr="00B75F07">
        <w:instrText xml:space="preserve"> </w:instrText>
      </w:r>
      <w:r>
        <w:instrText>54</w:instrText>
      </w:r>
      <w:r w:rsidRPr="00B75F07">
        <w:instrText>.</w:instrText>
      </w:r>
      <w:r>
        <w:instrText xml:space="preserve">58" </w:instrText>
      </w:r>
      <w:r>
        <w:fldChar w:fldCharType="end"/>
      </w:r>
      <w:r w:rsidRPr="00273106">
        <w:t xml:space="preserve">). </w:t>
      </w:r>
      <w:r>
        <w:t>Ž</w:t>
      </w:r>
      <w:r w:rsidRPr="00273106">
        <w:t xml:space="preserve">ádná sféra objektivity v podobě různých forem </w:t>
      </w:r>
      <w:r w:rsidRPr="007B5C22">
        <w:rPr>
          <w:i/>
        </w:rPr>
        <w:t>tertium ens</w:t>
      </w:r>
      <w:r w:rsidRPr="00273106">
        <w:t xml:space="preserve"> nemůže zprostředkovávat spojení duše a těla. Intelekt, duše a hyleformická jednota těla tvoří jeden nedělitelný </w:t>
      </w:r>
      <w:r w:rsidRPr="00273106">
        <w:rPr>
          <w:i/>
        </w:rPr>
        <w:t>actus essendi</w:t>
      </w:r>
      <w:r>
        <w:rPr>
          <w:i/>
        </w:rPr>
        <w:fldChar w:fldCharType="begin"/>
      </w:r>
      <w:r>
        <w:instrText xml:space="preserve"> XE "</w:instrText>
      </w:r>
      <w:r w:rsidRPr="006D3950">
        <w:rPr>
          <w:i/>
        </w:rPr>
        <w:instrText>actus essendi</w:instrText>
      </w:r>
      <w:r>
        <w:instrText xml:space="preserve">" </w:instrText>
      </w:r>
      <w:r>
        <w:rPr>
          <w:i/>
        </w:rPr>
        <w:fldChar w:fldCharType="end"/>
      </w:r>
      <w:r w:rsidRPr="00273106">
        <w:t xml:space="preserve"> vztažený k existenci první substance (</w:t>
      </w:r>
      <w:r w:rsidRPr="00273106">
        <w:rPr>
          <w:i/>
        </w:rPr>
        <w:t>unde unitas in entitate est ab unitate actus</w:t>
      </w:r>
      <w:r w:rsidRPr="00273106">
        <w:t>, p. 57.18‒19</w:t>
      </w:r>
      <w:r>
        <w:fldChar w:fldCharType="begin"/>
      </w:r>
      <w:r>
        <w:instrText xml:space="preserve"> XE "</w:instrText>
      </w:r>
      <w:r>
        <w:rPr>
          <w:i/>
        </w:rPr>
        <w:instrText>Anonym</w:instrText>
      </w:r>
      <w:r w:rsidRPr="00B279FE">
        <w:rPr>
          <w:i/>
        </w:rPr>
        <w:instrText xml:space="preserve"> Giele</w:instrText>
      </w:r>
      <w:r w:rsidRPr="00B75F07">
        <w:instrText xml:space="preserve"> </w:instrText>
      </w:r>
      <w:r>
        <w:instrText>57.18</w:instrText>
      </w:r>
      <w:r w:rsidRPr="00B75F07">
        <w:instrText>‒</w:instrText>
      </w:r>
      <w:r>
        <w:instrText xml:space="preserve">19" </w:instrText>
      </w:r>
      <w:r>
        <w:fldChar w:fldCharType="end"/>
      </w:r>
      <w:r w:rsidRPr="00273106">
        <w:t>). D</w:t>
      </w:r>
      <w:r>
        <w:t xml:space="preserve">alší </w:t>
      </w:r>
      <w:r w:rsidRPr="00273106">
        <w:t xml:space="preserve">část traktátu ukazuje, že výkon nemateriálního intelektu je výkonem </w:t>
      </w:r>
      <w:r>
        <w:t xml:space="preserve">hylemorfické </w:t>
      </w:r>
      <w:r w:rsidRPr="00273106">
        <w:t>substance</w:t>
      </w:r>
      <w:r>
        <w:t>. V</w:t>
      </w:r>
      <w:r w:rsidRPr="00273106">
        <w:t xml:space="preserve">šechna ostatní řešení vedou podle Aristotela a </w:t>
      </w:r>
      <w:r>
        <w:t>Averroes</w:t>
      </w:r>
      <w:r w:rsidRPr="00273106">
        <w:t xml:space="preserve">e k absurdním závěrům ohledně </w:t>
      </w:r>
      <w:r>
        <w:t xml:space="preserve">aktivního či možného </w:t>
      </w:r>
      <w:r w:rsidRPr="00273106">
        <w:t>intelektu, který se zvnějšku spojuje s člověkem. Intelekt prvního averroismu je schopností duše</w:t>
      </w:r>
      <w:r>
        <w:t xml:space="preserve"> jako formy těla</w:t>
      </w:r>
      <w:r w:rsidRPr="00273106">
        <w:t xml:space="preserve">. Proto není vázaný na duši jako samostatnou substanci, což je typické pro modernu </w:t>
      </w:r>
      <w:r>
        <w:t xml:space="preserve">a </w:t>
      </w:r>
      <w:r w:rsidRPr="00273106">
        <w:t>karteziánskou</w:t>
      </w:r>
      <w:r>
        <w:t xml:space="preserve"> postmodernu</w:t>
      </w:r>
      <w:r w:rsidRPr="00273106">
        <w:t xml:space="preserve">. </w:t>
      </w:r>
      <w:r>
        <w:t>Z tohoto důvodu je důležitá argumentace</w:t>
      </w:r>
      <w:r w:rsidRPr="00273106">
        <w:t xml:space="preserve"> druhé části komentáře, která odmítá </w:t>
      </w:r>
      <w:r w:rsidR="004D1998" w:rsidRPr="00273106">
        <w:t xml:space="preserve">rozlišení </w:t>
      </w:r>
      <w:r w:rsidR="004D1998">
        <w:t>„</w:t>
      </w:r>
      <w:proofErr w:type="gramStart"/>
      <w:r w:rsidR="004D1998">
        <w:t>subjekt</w:t>
      </w:r>
      <w:proofErr w:type="gramEnd"/>
      <w:r w:rsidR="004D1998">
        <w:t>–</w:t>
      </w:r>
      <w:proofErr w:type="gramStart"/>
      <w:r w:rsidRPr="00273106">
        <w:t>objekt</w:t>
      </w:r>
      <w:proofErr w:type="gramEnd"/>
      <w:r w:rsidR="004D1998">
        <w:t>“</w:t>
      </w:r>
      <w:r w:rsidRPr="00273106">
        <w:t xml:space="preserve"> dané v rámci </w:t>
      </w:r>
      <w:r w:rsidR="004D1998">
        <w:t xml:space="preserve">moderní </w:t>
      </w:r>
      <w:r w:rsidRPr="00273106">
        <w:t>objektivity. Substanciální vazba intelektu na subjekt neexistuje, jeho subsistence</w:t>
      </w:r>
      <w:r>
        <w:fldChar w:fldCharType="begin"/>
      </w:r>
      <w:r>
        <w:instrText xml:space="preserve"> XE "</w:instrText>
      </w:r>
      <w:r w:rsidRPr="001D1E42">
        <w:instrText>subsistence</w:instrText>
      </w:r>
      <w:r>
        <w:instrText xml:space="preserve">:duše" </w:instrText>
      </w:r>
      <w:r>
        <w:fldChar w:fldCharType="end"/>
      </w:r>
      <w:r w:rsidRPr="00273106">
        <w:t xml:space="preserve"> je dána jako schopnost duše </w:t>
      </w:r>
      <w:r>
        <w:t>tvořící nemateriální formu</w:t>
      </w:r>
      <w:r w:rsidRPr="00273106">
        <w:t xml:space="preserve"> těla.</w:t>
      </w:r>
    </w:p>
    <w:p w:rsidR="08163013" w:rsidRDefault="08163013" w:rsidP="08163013">
      <w:pPr>
        <w:pStyle w:val="Citace"/>
        <w:rPr>
          <w:lang w:val="cs-CZ"/>
        </w:rPr>
      </w:pPr>
      <w:r w:rsidRPr="00273106">
        <w:rPr>
          <w:noProof/>
        </w:rPr>
        <w:t>„</w:t>
      </w:r>
      <w:r>
        <w:rPr>
          <w:noProof/>
          <w:lang w:val="cs-CZ"/>
        </w:rPr>
        <w:t xml:space="preserve">Intelekt rozumí pouze skrze tělesná fantasmata daná jako objekt, a ne proto, že by intelekt při výkonu porozumění byl spojen s tělem jako subjektem.“ </w:t>
      </w:r>
      <w:r>
        <w:rPr>
          <w:rStyle w:val="Znakapoznpodarou"/>
        </w:rPr>
        <w:footnoteReference w:id="121"/>
      </w:r>
    </w:p>
    <w:p w:rsidR="08163013" w:rsidRPr="00757B84" w:rsidRDefault="08163013" w:rsidP="08163013">
      <w:r w:rsidRPr="00273106">
        <w:t xml:space="preserve">Nemateriální intelekt jako specifická </w:t>
      </w:r>
      <w:r>
        <w:t xml:space="preserve">schopnost </w:t>
      </w:r>
      <w:r w:rsidRPr="00273106">
        <w:t>duše bere smyslová fantasmata za objekt své činnosti (</w:t>
      </w:r>
      <w:r w:rsidRPr="00273106">
        <w:rPr>
          <w:i/>
        </w:rPr>
        <w:t>a phantasmate corporis sicut ab obiecto</w:t>
      </w:r>
      <w:r w:rsidRPr="00273106">
        <w:t xml:space="preserve">). Tímto </w:t>
      </w:r>
      <w:r>
        <w:t xml:space="preserve">nemateriálním a intencionálním </w:t>
      </w:r>
      <w:r w:rsidRPr="00273106">
        <w:t xml:space="preserve">vztahem k objektu svého poznání se </w:t>
      </w:r>
      <w:r>
        <w:t xml:space="preserve">intelekt </w:t>
      </w:r>
      <w:r w:rsidRPr="00273106">
        <w:t xml:space="preserve">stává </w:t>
      </w:r>
      <w:r w:rsidR="00556E10">
        <w:t xml:space="preserve">osobní </w:t>
      </w:r>
      <w:r w:rsidRPr="00273106">
        <w:t>schopností člověka</w:t>
      </w:r>
      <w:r>
        <w:t>. P</w:t>
      </w:r>
      <w:r w:rsidRPr="00273106">
        <w:t>roto intelekt není vzhledem k tělu oddělenou substancí</w:t>
      </w:r>
      <w:r>
        <w:t xml:space="preserve">, ale pouze </w:t>
      </w:r>
      <w:r w:rsidR="00B70AD3">
        <w:t xml:space="preserve">specifickou </w:t>
      </w:r>
      <w:r w:rsidR="003B0179">
        <w:t xml:space="preserve">nemateriální </w:t>
      </w:r>
      <w:r>
        <w:t xml:space="preserve">činností duše </w:t>
      </w:r>
      <w:r w:rsidRPr="00273106">
        <w:t>(</w:t>
      </w:r>
      <w:r w:rsidRPr="00273106">
        <w:rPr>
          <w:i/>
        </w:rPr>
        <w:t>non quia intellectus communicet intelligere corpori sicut subiecto</w:t>
      </w:r>
      <w:r w:rsidRPr="00273106">
        <w:t xml:space="preserve">). </w:t>
      </w:r>
      <w:r>
        <w:t>Toto brilantní rozlišení rozšířilo Sigerův výklad třetí části CMDA a odmítá duši a intelekt jako subsistentní subjekt moderny (</w:t>
      </w:r>
      <w:r w:rsidRPr="00EB3DFA">
        <w:rPr>
          <w:i/>
        </w:rPr>
        <w:t>hoc aliquid</w:t>
      </w:r>
      <w:r>
        <w:t xml:space="preserve">). </w:t>
      </w:r>
      <w:r w:rsidRPr="00273106">
        <w:t xml:space="preserve">Citát ukazuje, že intelekt pracuje v rámci </w:t>
      </w:r>
      <w:r>
        <w:t xml:space="preserve">Averroesova rozlišení intelektu, který je oddělená schopnost duše daná ve výkonu těla. Odmítnutí intelektu jako nemateriální hypostáze dané vzhledem k materiálnímu tělu má zásadní charakter. </w:t>
      </w:r>
      <w:r w:rsidRPr="00273106">
        <w:t>Ukazuje</w:t>
      </w:r>
      <w:r>
        <w:t xml:space="preserve"> model objektivity</w:t>
      </w:r>
      <w:r w:rsidRPr="00273106">
        <w:t xml:space="preserve"> daný v prvním averroismu, který nemohl skončit v karteziánském dualismu</w:t>
      </w:r>
      <w:r>
        <w:t xml:space="preserve"> duše a těla</w:t>
      </w:r>
      <w:r w:rsidRPr="00273106">
        <w:t xml:space="preserve">. Autor potvrzuje </w:t>
      </w:r>
      <w:r w:rsidR="00147CE6">
        <w:t>falešné pojetí moderny</w:t>
      </w:r>
      <w:r w:rsidRPr="00273106">
        <w:t xml:space="preserve"> hned v další části. Neexistuje prostředník mezi duší a tělem v podobě nějakého druhu kvazi-materie, ani neexistuje intelekt oddělený </w:t>
      </w:r>
      <w:r w:rsidRPr="00273106">
        <w:lastRenderedPageBreak/>
        <w:t xml:space="preserve">od těla. Proto je zásadně chybná i koncepce druhého averroismu v rámci </w:t>
      </w:r>
      <w:r>
        <w:t>vnějšího spojení (</w:t>
      </w:r>
      <w:r w:rsidRPr="00273106">
        <w:rPr>
          <w:i/>
        </w:rPr>
        <w:t>colligatio</w:t>
      </w:r>
      <w:r>
        <w:rPr>
          <w:i/>
        </w:rPr>
        <w:fldChar w:fldCharType="begin"/>
      </w:r>
      <w:r>
        <w:instrText xml:space="preserve"> XE "</w:instrText>
      </w:r>
      <w:r w:rsidRPr="005B56A3">
        <w:rPr>
          <w:i/>
        </w:rPr>
        <w:instrText>collecta</w:instrText>
      </w:r>
      <w:r>
        <w:instrText xml:space="preserve">" </w:instrText>
      </w:r>
      <w:r>
        <w:rPr>
          <w:i/>
        </w:rPr>
        <w:fldChar w:fldCharType="end"/>
      </w:r>
      <w:r>
        <w:t xml:space="preserve">) dvou </w:t>
      </w:r>
      <w:r w:rsidRPr="00273106">
        <w:t xml:space="preserve">substancí </w:t>
      </w:r>
      <w:r>
        <w:t>různého typu</w:t>
      </w:r>
      <w:r>
        <w:fldChar w:fldCharType="begin"/>
      </w:r>
      <w:r>
        <w:instrText xml:space="preserve"> XE "</w:instrText>
      </w:r>
      <w:r w:rsidRPr="00977945">
        <w:instrText>osoba:dualismus</w:instrText>
      </w:r>
      <w:r>
        <w:instrText xml:space="preserve">" </w:instrText>
      </w:r>
      <w:r>
        <w:fldChar w:fldCharType="end"/>
      </w:r>
      <w:r>
        <w:t xml:space="preserve">, </w:t>
      </w:r>
      <w:r w:rsidRPr="00273106">
        <w:t xml:space="preserve">např. </w:t>
      </w:r>
      <w:r>
        <w:t>avicennistické duše jako hybatelky těla (</w:t>
      </w:r>
      <w:r w:rsidRPr="00273106">
        <w:rPr>
          <w:i/>
        </w:rPr>
        <w:t>anima ut motor</w:t>
      </w:r>
      <w:r>
        <w:t>)</w:t>
      </w:r>
      <w:r>
        <w:rPr>
          <w:i/>
        </w:rPr>
        <w:fldChar w:fldCharType="begin"/>
      </w:r>
      <w:r>
        <w:instrText xml:space="preserve"> XE "</w:instrText>
      </w:r>
      <w:r w:rsidRPr="00A00037">
        <w:rPr>
          <w:i/>
        </w:rPr>
        <w:instrText>anima ut motor</w:instrText>
      </w:r>
      <w:r>
        <w:instrText xml:space="preserve">" </w:instrText>
      </w:r>
      <w:r>
        <w:rPr>
          <w:i/>
        </w:rPr>
        <w:fldChar w:fldCharType="end"/>
      </w:r>
      <w:r w:rsidRPr="00273106">
        <w:t>.</w:t>
      </w:r>
      <w:r>
        <w:t xml:space="preserve"> </w:t>
      </w:r>
      <w:proofErr w:type="gramStart"/>
      <w:r>
        <w:t>jak</w:t>
      </w:r>
      <w:proofErr w:type="gramEnd"/>
      <w:r>
        <w:t xml:space="preserve"> dále uvidíme, následujcí citát kritizuje mimo jiné i Akvinského pojetí duše jako hypostázované formy (</w:t>
      </w:r>
      <w:r w:rsidRPr="088F6E14">
        <w:rPr>
          <w:i/>
        </w:rPr>
        <w:t>qua</w:t>
      </w:r>
      <w:r w:rsidRPr="088F6E14">
        <w:rPr>
          <w:i/>
          <w:vertAlign w:val="superscript"/>
        </w:rPr>
        <w:t>2</w:t>
      </w:r>
      <w:r w:rsidR="084B2B26">
        <w:t>, kap. 4</w:t>
      </w:r>
      <w:r>
        <w:t>.5.2). Autor také přesně shrnuje kritickou pozici Sigera vůči esenciální defi</w:t>
      </w:r>
      <w:r w:rsidR="084B2B26">
        <w:t>nici intelektu u Alberta (kap. 4</w:t>
      </w:r>
      <w:r>
        <w:t xml:space="preserve">.4.3). </w:t>
      </w:r>
    </w:p>
    <w:p w:rsidR="08163013" w:rsidRPr="00F422B8" w:rsidRDefault="08163013" w:rsidP="08163013">
      <w:pPr>
        <w:pStyle w:val="Citace"/>
        <w:rPr>
          <w:noProof/>
          <w:lang w:val="cs-CZ"/>
        </w:rPr>
      </w:pPr>
      <w:r w:rsidRPr="00273106">
        <w:rPr>
          <w:noProof/>
          <w:lang w:val="cs-CZ"/>
        </w:rPr>
        <w:t>„</w:t>
      </w:r>
      <w:r>
        <w:rPr>
          <w:noProof/>
          <w:lang w:val="cs-CZ"/>
        </w:rPr>
        <w:t xml:space="preserve">Pokud se tvrdí, že jednota člověka vzniká z pohybujícího intelektu a pohybovaného těla, pak je třeba zkoumat, zda člověk je definován pouze nominálně, zda je definován jako složenina intelektu a oduševnělého těla, nebo jako pouhý intelekt. Ať je definice jakákoliv, je nemožné, aby člověk rozuměl jinak než jako aktuální složenina intelektu a těla, tedy jako jednota materie a formy.“ </w:t>
      </w:r>
      <w:r>
        <w:rPr>
          <w:rStyle w:val="Znakapoznpodarou"/>
        </w:rPr>
        <w:footnoteReference w:id="122"/>
      </w:r>
    </w:p>
    <w:p w:rsidR="08163013" w:rsidRPr="00273106" w:rsidRDefault="08163013" w:rsidP="08163013">
      <w:r w:rsidRPr="00273106">
        <w:t>Anonym je jasný a přesný, argumentuje věcně a se znalostí věci. Spojení dvou substancí na způsob aktivního hybatele a pasivně hýbané substance (</w:t>
      </w:r>
      <w:r w:rsidRPr="084B2B26">
        <w:rPr>
          <w:i/>
        </w:rPr>
        <w:t>intellectu motore et corpore moto</w:t>
      </w:r>
      <w:r w:rsidRPr="00273106">
        <w:t>) nemůže vytvořit požadovanou hylemorfickou jednotu osoby (</w:t>
      </w:r>
      <w:r w:rsidRPr="00273106">
        <w:rPr>
          <w:i/>
        </w:rPr>
        <w:t>unum ex materia et forma</w:t>
      </w:r>
      <w:r w:rsidRPr="00273106">
        <w:t xml:space="preserve">). Autor </w:t>
      </w:r>
      <w:r>
        <w:t xml:space="preserve">podává stručný a precizní přehled </w:t>
      </w:r>
      <w:r w:rsidRPr="00273106">
        <w:t>všech základní</w:t>
      </w:r>
      <w:r>
        <w:t>ch</w:t>
      </w:r>
      <w:r w:rsidRPr="00273106">
        <w:t xml:space="preserve"> řešení </w:t>
      </w:r>
      <w:r>
        <w:t>vztahu duše a těla</w:t>
      </w:r>
      <w:r w:rsidRPr="00273106">
        <w:t>. Buď platí řešení prvního averroismu, že jednota osoby je pouze v hylemorfické substanci (</w:t>
      </w:r>
      <w:r w:rsidRPr="00273106">
        <w:rPr>
          <w:i/>
        </w:rPr>
        <w:t>aggregati ex intellectu et corpore animato</w:t>
      </w:r>
      <w:r w:rsidRPr="00273106">
        <w:t xml:space="preserve">). Nebo platí dualismus </w:t>
      </w:r>
      <w:r>
        <w:t xml:space="preserve">moderních </w:t>
      </w:r>
      <w:r w:rsidRPr="00273106">
        <w:rPr>
          <w:i/>
        </w:rPr>
        <w:t>Nominales</w:t>
      </w:r>
      <w:r w:rsidRPr="00273106">
        <w:t>, kde tělo má jen nominální definici individua a proti němu je postavena subsistentní intelektuální substance (</w:t>
      </w:r>
      <w:r w:rsidRPr="00273106">
        <w:rPr>
          <w:i/>
        </w:rPr>
        <w:t xml:space="preserve">utrum homo sit nomen </w:t>
      </w:r>
      <w:r w:rsidRPr="08EC2B28">
        <w:rPr>
          <w:i/>
        </w:rPr>
        <w:t>corporis</w:t>
      </w:r>
      <w:r w:rsidRPr="00273106">
        <w:rPr>
          <w:i/>
        </w:rPr>
        <w:t xml:space="preserve"> </w:t>
      </w:r>
      <w:proofErr w:type="gramStart"/>
      <w:r w:rsidRPr="00273106">
        <w:rPr>
          <w:i/>
        </w:rPr>
        <w:t>tantum... aut</w:t>
      </w:r>
      <w:proofErr w:type="gramEnd"/>
      <w:r w:rsidRPr="00273106">
        <w:rPr>
          <w:i/>
        </w:rPr>
        <w:t xml:space="preserve"> intellectus tantum</w:t>
      </w:r>
      <w:r w:rsidRPr="00273106">
        <w:t xml:space="preserve">). Všechna tato a pozdější karteziánská řešení </w:t>
      </w:r>
      <w:r w:rsidRPr="00273106">
        <w:rPr>
          <w:i/>
        </w:rPr>
        <w:t>Modernorum</w:t>
      </w:r>
      <w:r w:rsidRPr="00273106">
        <w:t xml:space="preserve"> postrádají plnou jednotu těla, duše a intelektu. První averr</w:t>
      </w:r>
      <w:r>
        <w:t xml:space="preserve">oismus po vzoru Averroesovy </w:t>
      </w:r>
      <w:r w:rsidR="0022659F">
        <w:t>„</w:t>
      </w:r>
      <w:r>
        <w:t>meta</w:t>
      </w:r>
      <w:r w:rsidR="0022659F">
        <w:t>-</w:t>
      </w:r>
      <w:r>
        <w:t>fyziky</w:t>
      </w:r>
      <w:r w:rsidR="0022659F">
        <w:t>“</w:t>
      </w:r>
      <w:r w:rsidRPr="00273106">
        <w:t xml:space="preserve"> má jednotu osoby danou pouze v rámci </w:t>
      </w:r>
      <w:r w:rsidRPr="00273106">
        <w:rPr>
          <w:i/>
        </w:rPr>
        <w:t>actus essendi</w:t>
      </w:r>
      <w:r>
        <w:rPr>
          <w:i/>
        </w:rPr>
        <w:fldChar w:fldCharType="begin"/>
      </w:r>
      <w:r>
        <w:instrText xml:space="preserve"> XE "</w:instrText>
      </w:r>
      <w:r w:rsidRPr="006D3950">
        <w:rPr>
          <w:i/>
        </w:rPr>
        <w:instrText>actus essendi</w:instrText>
      </w:r>
      <w:r>
        <w:instrText xml:space="preserve">" </w:instrText>
      </w:r>
      <w:r>
        <w:rPr>
          <w:i/>
        </w:rPr>
        <w:fldChar w:fldCharType="end"/>
      </w:r>
      <w:r w:rsidRPr="00273106">
        <w:t xml:space="preserve"> jedné substance. Tím je debata Gieleho anonyma s druhým averroismem v zásadě ukončena.</w:t>
      </w:r>
    </w:p>
    <w:p w:rsidR="08163013" w:rsidRPr="00273106" w:rsidRDefault="08163013" w:rsidP="08163013">
      <w:r w:rsidRPr="00273106">
        <w:tab/>
      </w:r>
      <w:r>
        <w:t xml:space="preserve">Traktát </w:t>
      </w:r>
      <w:r w:rsidRPr="00273106">
        <w:t xml:space="preserve">představuje typický komentář spisu </w:t>
      </w:r>
      <w:r>
        <w:rPr>
          <w:i/>
        </w:rPr>
        <w:t>De anima</w:t>
      </w:r>
      <w:r w:rsidRPr="00273106">
        <w:t xml:space="preserve"> na </w:t>
      </w:r>
      <w:r>
        <w:t>Pařížské univerzitě</w:t>
      </w:r>
      <w:r w:rsidR="008D382D">
        <w:t xml:space="preserve"> kolem 1270</w:t>
      </w:r>
      <w:r w:rsidRPr="00273106">
        <w:t xml:space="preserve"> od </w:t>
      </w:r>
      <w:r>
        <w:t xml:space="preserve">klasicky vzdělaného </w:t>
      </w:r>
      <w:r w:rsidRPr="00273106">
        <w:t xml:space="preserve">magistra, který je znalcem ze školy prvního averroismu </w:t>
      </w:r>
      <w:r>
        <w:t xml:space="preserve">v linii Sigera z Brabantu a brání jeho výklad CMDA </w:t>
      </w:r>
      <w:r w:rsidRPr="00273106">
        <w:t>proti zásadním omylům druhého averroismu.</w:t>
      </w:r>
      <w:r>
        <w:t xml:space="preserve"> </w:t>
      </w:r>
      <w:r w:rsidRPr="00273106">
        <w:t xml:space="preserve">Tento znalec </w:t>
      </w:r>
      <w:r>
        <w:t>Averroes</w:t>
      </w:r>
      <w:r w:rsidRPr="00273106">
        <w:t xml:space="preserve">e </w:t>
      </w:r>
      <w:r>
        <w:t xml:space="preserve">se vyjadřuje naprosto věcně, koncízně, stručně a úsporně. Jeho traktát je určen pro znalce spisu </w:t>
      </w:r>
      <w:r w:rsidRPr="002209C4">
        <w:rPr>
          <w:i/>
        </w:rPr>
        <w:t>De anima</w:t>
      </w:r>
      <w:r>
        <w:t xml:space="preserve">, proto se nezdržuje zbytečnými výklady. Postupuje přesně podle Albertova upozornění, že tyto </w:t>
      </w:r>
      <w:r w:rsidR="0056480A">
        <w:t xml:space="preserve">obtížené </w:t>
      </w:r>
      <w:r>
        <w:t xml:space="preserve">debaty nepatří do kategorie filosofických </w:t>
      </w:r>
      <w:r>
        <w:lastRenderedPageBreak/>
        <w:t>nedouků (</w:t>
      </w:r>
      <w:r w:rsidRPr="007E6A70">
        <w:rPr>
          <w:i/>
        </w:rPr>
        <w:t>haec disputatio difficilis valde, n</w:t>
      </w:r>
      <w:r w:rsidRPr="007E6A70">
        <w:rPr>
          <w:i/>
          <w:lang w:val="ru-RU"/>
        </w:rPr>
        <w:t xml:space="preserve">ес </w:t>
      </w:r>
      <w:r w:rsidRPr="007E6A70">
        <w:rPr>
          <w:i/>
        </w:rPr>
        <w:t>ad eam admittendi sunt, nisi qui nutriti sunt in philosophia</w:t>
      </w:r>
      <w:r w:rsidR="088B47D9">
        <w:t>; kap. 2</w:t>
      </w:r>
      <w:r>
        <w:t>.4.3). Kritizuje averroisty</w:t>
      </w:r>
      <w:r w:rsidRPr="00273106">
        <w:t xml:space="preserve"> </w:t>
      </w:r>
      <w:r>
        <w:t xml:space="preserve">z Bonaventurovy školy, především Pechama a jeho řešení jednoty duše a těla v modu </w:t>
      </w:r>
      <w:r w:rsidRPr="00B248D4">
        <w:rPr>
          <w:i/>
        </w:rPr>
        <w:t>totum virtuale</w:t>
      </w:r>
      <w:r>
        <w:rPr>
          <w:i/>
        </w:rPr>
        <w:fldChar w:fldCharType="begin"/>
      </w:r>
      <w:r>
        <w:instrText xml:space="preserve"> XE "</w:instrText>
      </w:r>
      <w:r w:rsidRPr="00A10A92">
        <w:rPr>
          <w:i/>
        </w:rPr>
        <w:instrText>osoba:totum virtuale</w:instrText>
      </w:r>
      <w:r>
        <w:instrText xml:space="preserve">" </w:instrText>
      </w:r>
      <w:r>
        <w:rPr>
          <w:i/>
        </w:rPr>
        <w:fldChar w:fldCharType="end"/>
      </w:r>
      <w:r w:rsidR="08532A82">
        <w:t xml:space="preserve"> (kap. 4</w:t>
      </w:r>
      <w:r>
        <w:t>.2.2). Autor s</w:t>
      </w:r>
      <w:r w:rsidRPr="00273106">
        <w:t xml:space="preserve">leduje stejnou linii argumentace ohledně jednoty intelektu jako </w:t>
      </w:r>
      <w:r>
        <w:t xml:space="preserve">Siger. Jeho argumentace jednoty osoby podle CMDA je v určitých bodech odlišná od pojetí </w:t>
      </w:r>
      <w:r w:rsidRPr="00273106">
        <w:t>Albert</w:t>
      </w:r>
      <w:r>
        <w:t>a a především od pojetí Akvinského</w:t>
      </w:r>
      <w:r w:rsidRPr="00273106">
        <w:t xml:space="preserve">. </w:t>
      </w:r>
      <w:r>
        <w:t>Proto je tento traktát důležitým svědkem sporu mezi Sigerovci a Akvinským, který skončil odchodem Akvinského z Pařížské univerzity po velikonocích roku 1272. Giele jako e</w:t>
      </w:r>
      <w:r w:rsidRPr="00273106">
        <w:t>ditor spisu se přiklání k domněnce, že jeho autorem je Boethius</w:t>
      </w:r>
      <w:r>
        <w:fldChar w:fldCharType="begin"/>
      </w:r>
      <w:r>
        <w:instrText xml:space="preserve"> XE "</w:instrText>
      </w:r>
      <w:r w:rsidRPr="00521677">
        <w:rPr>
          <w:lang w:eastAsia="en-US"/>
        </w:rPr>
        <w:instrText>Boethius</w:instrText>
      </w:r>
      <w:r>
        <w:rPr>
          <w:lang w:eastAsia="en-US"/>
        </w:rPr>
        <w:instrText xml:space="preserve"> z Dácie</w:instrText>
      </w:r>
      <w:r>
        <w:instrText xml:space="preserve">" </w:instrText>
      </w:r>
      <w:r>
        <w:fldChar w:fldCharType="end"/>
      </w:r>
      <w:r w:rsidRPr="00273106">
        <w:t xml:space="preserve"> z Dácie (Giele 1971, 20). Hermeneutika </w:t>
      </w:r>
      <w:r w:rsidR="009E1485">
        <w:t>potvrzuje</w:t>
      </w:r>
      <w:r w:rsidRPr="00273106">
        <w:t xml:space="preserve">, že </w:t>
      </w:r>
      <w:r w:rsidR="009E1485">
        <w:t xml:space="preserve">asi jde </w:t>
      </w:r>
      <w:r w:rsidRPr="00273106">
        <w:t xml:space="preserve">o ztracený komentář </w:t>
      </w:r>
      <w:r>
        <w:rPr>
          <w:i/>
        </w:rPr>
        <w:t>De anima</w:t>
      </w:r>
      <w:r w:rsidRPr="00273106">
        <w:t xml:space="preserve"> od </w:t>
      </w:r>
      <w:r>
        <w:t xml:space="preserve">tohoto magistra, nebo </w:t>
      </w:r>
      <w:r w:rsidR="08146BDB">
        <w:t xml:space="preserve">dokonce </w:t>
      </w:r>
      <w:r>
        <w:t xml:space="preserve">o jeho komentář třetí knihy </w:t>
      </w:r>
      <w:r w:rsidRPr="000267B9">
        <w:rPr>
          <w:i/>
        </w:rPr>
        <w:t>De anima</w:t>
      </w:r>
      <w:r>
        <w:t xml:space="preserve">. Traktát pracuje </w:t>
      </w:r>
      <w:r w:rsidRPr="00273106">
        <w:t>s modálním charakterem jsoucna a poznán</w:t>
      </w:r>
      <w:r>
        <w:t>í založeném na Averroesově metafyzice</w:t>
      </w:r>
      <w:r w:rsidRPr="00273106">
        <w:t xml:space="preserve"> a na přesné četbě CMDA</w:t>
      </w:r>
      <w:r>
        <w:t>. Tento dvojí rys daný ve škole Modistů</w:t>
      </w:r>
      <w:r>
        <w:fldChar w:fldCharType="begin"/>
      </w:r>
      <w:r>
        <w:instrText xml:space="preserve"> XE "</w:instrText>
      </w:r>
      <w:r w:rsidRPr="004B5D36">
        <w:instrText>Modisté</w:instrText>
      </w:r>
      <w:r>
        <w:instrText xml:space="preserve">" </w:instrText>
      </w:r>
      <w:r>
        <w:fldChar w:fldCharType="end"/>
      </w:r>
      <w:r>
        <w:t xml:space="preserve"> z prvního averroismu je velmi charakteristický</w:t>
      </w:r>
      <w:r w:rsidRPr="00273106">
        <w:t xml:space="preserve"> pro autora tohoto rukopisu</w:t>
      </w:r>
      <w:r>
        <w:t xml:space="preserve"> a zbylé dva anonymní traktáty jej neobsahují</w:t>
      </w:r>
      <w:r w:rsidRPr="00273106">
        <w:t>. Boethius</w:t>
      </w:r>
      <w:r>
        <w:fldChar w:fldCharType="begin"/>
      </w:r>
      <w:r>
        <w:instrText xml:space="preserve"> XE "</w:instrText>
      </w:r>
      <w:r w:rsidRPr="00521677">
        <w:rPr>
          <w:lang w:eastAsia="en-US"/>
        </w:rPr>
        <w:instrText>Boethius, Anicius</w:instrText>
      </w:r>
      <w:r>
        <w:instrText xml:space="preserve">" </w:instrText>
      </w:r>
      <w:r>
        <w:fldChar w:fldCharType="end"/>
      </w:r>
      <w:r w:rsidRPr="00273106">
        <w:t xml:space="preserve"> z Dácie napsal spis </w:t>
      </w:r>
      <w:r w:rsidRPr="00273106">
        <w:rPr>
          <w:i/>
        </w:rPr>
        <w:t>Modi significandi sive Quaestiones super Priscianum Maiorem</w:t>
      </w:r>
      <w:r>
        <w:t xml:space="preserve">, který </w:t>
      </w:r>
      <w:r w:rsidR="00EE3ED0">
        <w:t xml:space="preserve">potvrzuje </w:t>
      </w:r>
      <w:r>
        <w:t>autorství vzhledem k podobně užité modalitě. Hermenutika spojuje Boethia z Dácie</w:t>
      </w:r>
      <w:r>
        <w:fldChar w:fldCharType="begin"/>
      </w:r>
      <w:r>
        <w:instrText xml:space="preserve"> XE "</w:instrText>
      </w:r>
      <w:r w:rsidRPr="08A8751A">
        <w:instrText>Boethius z Dácie</w:instrText>
      </w:r>
      <w:r>
        <w:instrText xml:space="preserve">" </w:instrText>
      </w:r>
      <w:r>
        <w:fldChar w:fldCharType="end"/>
      </w:r>
      <w:r>
        <w:t xml:space="preserve"> se zaniklými školami </w:t>
      </w:r>
      <w:r>
        <w:rPr>
          <w:i/>
        </w:rPr>
        <w:t>logic</w:t>
      </w:r>
      <w:r w:rsidRPr="000A2435">
        <w:rPr>
          <w:i/>
        </w:rPr>
        <w:t>a Vetus</w:t>
      </w:r>
      <w:r>
        <w:t xml:space="preserve"> v linii Abelarda, jako byli výše citovaní Anagninci, kteří jasně rozlišili logickou </w:t>
      </w:r>
      <w:r w:rsidR="00311C67">
        <w:t xml:space="preserve">supozici </w:t>
      </w:r>
      <w:r>
        <w:t xml:space="preserve">a metafyzickou </w:t>
      </w:r>
      <w:r w:rsidR="00311C67">
        <w:t xml:space="preserve">impozici </w:t>
      </w:r>
      <w:r>
        <w:t>(</w:t>
      </w:r>
      <w:r w:rsidR="08146BDB">
        <w:t>OBJ II, kap. 1</w:t>
      </w:r>
      <w:r>
        <w:t xml:space="preserve">.5). </w:t>
      </w:r>
      <w:r w:rsidRPr="00273106">
        <w:t xml:space="preserve">Za klíčovou indicii </w:t>
      </w:r>
      <w:r>
        <w:t>pro autorství Boethia z Dácie</w:t>
      </w:r>
      <w:r>
        <w:fldChar w:fldCharType="begin"/>
      </w:r>
      <w:r>
        <w:instrText xml:space="preserve"> XE "</w:instrText>
      </w:r>
      <w:r w:rsidRPr="08A8751A">
        <w:instrText>Boethius z Dácie</w:instrText>
      </w:r>
      <w:r>
        <w:instrText xml:space="preserve">" </w:instrText>
      </w:r>
      <w:r>
        <w:fldChar w:fldCharType="end"/>
      </w:r>
      <w:r>
        <w:t xml:space="preserve"> </w:t>
      </w:r>
      <w:r w:rsidRPr="00273106">
        <w:t>lze považovat výše citované odmítnutí pojetí intelektu</w:t>
      </w:r>
      <w:r>
        <w:t xml:space="preserve"> jako oddělené formy na způsob a</w:t>
      </w:r>
      <w:r w:rsidRPr="00273106">
        <w:t>lexandrovců</w:t>
      </w:r>
      <w:r>
        <w:fldChar w:fldCharType="begin"/>
      </w:r>
      <w:r>
        <w:instrText xml:space="preserve"> XE "alexandrovci" </w:instrText>
      </w:r>
      <w:r>
        <w:fldChar w:fldCharType="end"/>
      </w:r>
      <w:r w:rsidRPr="00273106">
        <w:t xml:space="preserve"> a pozdějšího Akvinského (</w:t>
      </w:r>
      <w:r w:rsidRPr="00273106">
        <w:rPr>
          <w:i/>
        </w:rPr>
        <w:t xml:space="preserve">Anon. </w:t>
      </w:r>
      <w:proofErr w:type="gramStart"/>
      <w:r w:rsidRPr="00273106">
        <w:rPr>
          <w:i/>
        </w:rPr>
        <w:t>Giele</w:t>
      </w:r>
      <w:r w:rsidRPr="00273106">
        <w:t xml:space="preserve"> I.6;</w:t>
      </w:r>
      <w:proofErr w:type="gramEnd"/>
      <w:r w:rsidRPr="00273106">
        <w:t xml:space="preserve"> p. 39.85‒89</w:t>
      </w:r>
      <w:r>
        <w:fldChar w:fldCharType="begin"/>
      </w:r>
      <w:r>
        <w:instrText xml:space="preserve"> XE "</w:instrText>
      </w:r>
      <w:r>
        <w:rPr>
          <w:i/>
        </w:rPr>
        <w:instrText>Anonym</w:instrText>
      </w:r>
      <w:r w:rsidRPr="00B279FE">
        <w:rPr>
          <w:i/>
        </w:rPr>
        <w:instrText xml:space="preserve"> Giele</w:instrText>
      </w:r>
      <w:r w:rsidRPr="00B75F07">
        <w:instrText xml:space="preserve"> </w:instrText>
      </w:r>
      <w:r>
        <w:instrText>39.85</w:instrText>
      </w:r>
      <w:r w:rsidRPr="00B75F07">
        <w:instrText>‒</w:instrText>
      </w:r>
      <w:r>
        <w:instrText xml:space="preserve">89" </w:instrText>
      </w:r>
      <w:r>
        <w:fldChar w:fldCharType="end"/>
      </w:r>
      <w:r w:rsidRPr="00273106">
        <w:t>). Anonym po vzoru Sigera a CMDA klade důraz na intelekt jako aktivní potenci duše jako formy, což je typický znak Sigerova fenomenologického přístupu</w:t>
      </w:r>
      <w:r>
        <w:fldChar w:fldCharType="begin"/>
      </w:r>
      <w:r>
        <w:instrText xml:space="preserve"> XE "</w:instrText>
      </w:r>
      <w:r w:rsidRPr="0053040B">
        <w:instrText xml:space="preserve">hermeneutické </w:instrText>
      </w:r>
      <w:r w:rsidRPr="00076C06">
        <w:rPr>
          <w:i/>
        </w:rPr>
        <w:instrText>Wie</w:instrText>
      </w:r>
      <w:r w:rsidRPr="0053040B">
        <w:instrText>:Siger</w:instrText>
      </w:r>
      <w:r>
        <w:instrText xml:space="preserve">" </w:instrText>
      </w:r>
      <w:r>
        <w:fldChar w:fldCharType="end"/>
      </w:r>
      <w:r w:rsidR="08146BDB">
        <w:t xml:space="preserve"> (kap. 4</w:t>
      </w:r>
      <w:r w:rsidRPr="00273106">
        <w:t>.4.2)</w:t>
      </w:r>
      <w:r w:rsidR="00BA0F13">
        <w:t>. Vědecký důkaz lidského intelek</w:t>
      </w:r>
      <w:r w:rsidR="00BA0F13" w:rsidRPr="00BA0F13">
        <w:t xml:space="preserve">tu musí nalézt základní druh kauzality, který zakládá </w:t>
      </w:r>
      <w:r w:rsidR="00BA0F13">
        <w:t xml:space="preserve">střední člen </w:t>
      </w:r>
      <w:r w:rsidR="00BA0F13" w:rsidRPr="00BA0F13">
        <w:t xml:space="preserve">deduktivního sylogismu </w:t>
      </w:r>
      <w:r w:rsidR="00BA0F13">
        <w:t>(</w:t>
      </w:r>
      <w:r w:rsidR="00BA0F13" w:rsidRPr="00BA0F13">
        <w:rPr>
          <w:i/>
        </w:rPr>
        <w:t>medium</w:t>
      </w:r>
      <w:r w:rsidR="00BA0F13">
        <w:t xml:space="preserve">), který </w:t>
      </w:r>
      <w:r w:rsidR="00BA0F13" w:rsidRPr="00BA0F13">
        <w:t>vlastní lidskému způsobu myšlení (</w:t>
      </w:r>
      <w:r w:rsidR="00BA0F13" w:rsidRPr="00BA0F13">
        <w:rPr>
          <w:i/>
        </w:rPr>
        <w:t>scire actiones animae prius est apud nos quam scire eius substantiam</w:t>
      </w:r>
      <w:r w:rsidR="00BA0F13" w:rsidRPr="00BA0F13">
        <w:t xml:space="preserve">; QIIIDA, q. </w:t>
      </w:r>
      <w:r w:rsidR="00BA0F13">
        <w:t>4; pozn. překl. Bazán, s. 12.67–</w:t>
      </w:r>
      <w:r w:rsidR="00BA0F13" w:rsidRPr="00BA0F13">
        <w:t>70</w:t>
      </w:r>
      <w:r w:rsidR="00BA0F13">
        <w:fldChar w:fldCharType="begin"/>
      </w:r>
      <w:r w:rsidR="00BA0F13">
        <w:instrText xml:space="preserve"> XE "Siger:</w:instrText>
      </w:r>
      <w:r w:rsidR="00BA0F13" w:rsidRPr="00457B9B">
        <w:rPr>
          <w:i/>
        </w:rPr>
        <w:instrText xml:space="preserve"> </w:instrText>
      </w:r>
      <w:r w:rsidR="00BA0F13">
        <w:rPr>
          <w:i/>
        </w:rPr>
        <w:instrText>Quaestiones</w:instrText>
      </w:r>
      <w:r w:rsidR="00BA0F13" w:rsidRPr="00273106">
        <w:rPr>
          <w:i/>
        </w:rPr>
        <w:instrText xml:space="preserve"> in tertium</w:instrText>
      </w:r>
      <w:r w:rsidR="00BA0F13">
        <w:rPr>
          <w:i/>
        </w:rPr>
        <w:instrText xml:space="preserve"> D</w:instrText>
      </w:r>
      <w:r w:rsidR="00BA0F13" w:rsidRPr="00273106">
        <w:rPr>
          <w:i/>
        </w:rPr>
        <w:instrText>e anima</w:instrText>
      </w:r>
      <w:r w:rsidR="00BA0F13" w:rsidRPr="00A7465E">
        <w:instrText xml:space="preserve"> 12.66‒70</w:instrText>
      </w:r>
      <w:r w:rsidR="00BA0F13">
        <w:instrText xml:space="preserve">" </w:instrText>
      </w:r>
      <w:r w:rsidR="00BA0F13">
        <w:fldChar w:fldCharType="end"/>
      </w:r>
      <w:r w:rsidR="00BA0F13">
        <w:t xml:space="preserve">). </w:t>
      </w:r>
      <w:r w:rsidR="00C15B56">
        <w:t xml:space="preserve">Této </w:t>
      </w:r>
      <w:r w:rsidR="00025809">
        <w:t xml:space="preserve">analýze Sigera </w:t>
      </w:r>
      <w:r w:rsidRPr="00273106">
        <w:t xml:space="preserve">odpovídá </w:t>
      </w:r>
      <w:r>
        <w:t xml:space="preserve">v Gieleho anonymovi </w:t>
      </w:r>
      <w:r w:rsidRPr="00273106">
        <w:t xml:space="preserve">úvodní metodologická část, která definuje </w:t>
      </w:r>
      <w:r w:rsidR="08146BDB">
        <w:t>existenciální schopnosti</w:t>
      </w:r>
      <w:r w:rsidRPr="00273106">
        <w:t xml:space="preserve"> </w:t>
      </w:r>
      <w:r w:rsidRPr="00273106">
        <w:rPr>
          <w:i/>
        </w:rPr>
        <w:t>anima intellectiva</w:t>
      </w:r>
      <w:r w:rsidR="00BA0F13">
        <w:t xml:space="preserve">. </w:t>
      </w:r>
      <w:r w:rsidRPr="00273106">
        <w:t xml:space="preserve">Citujme tuto důležitou část </w:t>
      </w:r>
      <w:r>
        <w:t>Gieleho anonymního traktátu</w:t>
      </w:r>
      <w:r w:rsidRPr="00273106">
        <w:t xml:space="preserve">. </w:t>
      </w:r>
    </w:p>
    <w:p w:rsidR="08163013" w:rsidRPr="00C654EE" w:rsidRDefault="08163013" w:rsidP="08163013">
      <w:pPr>
        <w:pStyle w:val="Citace"/>
        <w:rPr>
          <w:noProof/>
          <w:lang w:val="cs-CZ"/>
        </w:rPr>
      </w:pPr>
      <w:r w:rsidRPr="00273106">
        <w:rPr>
          <w:noProof/>
          <w:lang w:val="cs-CZ"/>
        </w:rPr>
        <w:lastRenderedPageBreak/>
        <w:t>„</w:t>
      </w:r>
      <w:r>
        <w:rPr>
          <w:noProof/>
          <w:lang w:val="cs-CZ"/>
        </w:rPr>
        <w:t xml:space="preserve">Je pravda, že duše může poznat výkon vlastního myšlení z následujícího důvodu. Každé poznání vychází z něčeho jiného, než je samo. Hnutí duše nejsou subsistentním jsoucnem samy o sobě, ale jsou dané v jiném jsoucnu. Kvůli takto danému původu nemohou mít </w:t>
      </w:r>
      <w:r w:rsidR="009A30C6">
        <w:rPr>
          <w:noProof/>
          <w:lang w:val="cs-CZ"/>
        </w:rPr>
        <w:t xml:space="preserve">aktivity duše dánu </w:t>
      </w:r>
      <w:r>
        <w:rPr>
          <w:noProof/>
          <w:lang w:val="cs-CZ"/>
        </w:rPr>
        <w:t>existenci samy od sebe</w:t>
      </w:r>
      <w:r w:rsidR="009A30C6">
        <w:rPr>
          <w:noProof/>
          <w:lang w:val="cs-CZ"/>
        </w:rPr>
        <w:t xml:space="preserve">; </w:t>
      </w:r>
      <w:r>
        <w:rPr>
          <w:noProof/>
          <w:lang w:val="cs-CZ"/>
        </w:rPr>
        <w:t xml:space="preserve">proto </w:t>
      </w:r>
      <w:r w:rsidR="009A30C6">
        <w:rPr>
          <w:rFonts w:cs="Calibri"/>
          <w:noProof/>
          <w:lang w:val="cs-CZ"/>
        </w:rPr>
        <w:t>[jako účinek]</w:t>
      </w:r>
      <w:r w:rsidR="009A30C6">
        <w:rPr>
          <w:noProof/>
          <w:lang w:val="cs-CZ"/>
        </w:rPr>
        <w:t xml:space="preserve"> </w:t>
      </w:r>
      <w:r>
        <w:rPr>
          <w:noProof/>
          <w:lang w:val="cs-CZ"/>
        </w:rPr>
        <w:t>dokazují existenci jiného jsoucna</w:t>
      </w:r>
      <w:r w:rsidR="009A30C6">
        <w:rPr>
          <w:noProof/>
          <w:lang w:val="cs-CZ"/>
        </w:rPr>
        <w:t xml:space="preserve"> </w:t>
      </w:r>
      <w:r w:rsidR="009A30C6">
        <w:rPr>
          <w:rFonts w:cs="Calibri"/>
          <w:noProof/>
          <w:lang w:val="cs-CZ"/>
        </w:rPr>
        <w:t>[jako příčiny]</w:t>
      </w:r>
      <w:r>
        <w:rPr>
          <w:noProof/>
          <w:lang w:val="cs-CZ"/>
        </w:rPr>
        <w:t>. Kdyby tato hnutí duše neexistovala, nic bychom o samotné duši nevěděli (</w:t>
      </w:r>
      <w:r w:rsidRPr="001E10C0">
        <w:rPr>
          <w:i/>
          <w:noProof/>
          <w:lang w:val="cs-CZ"/>
        </w:rPr>
        <w:t>nihil sciremus de ea</w:t>
      </w:r>
      <w:r>
        <w:rPr>
          <w:noProof/>
          <w:lang w:val="cs-CZ"/>
        </w:rPr>
        <w:t>). Proto duši nepoznáváme tak, jak je o sobě (</w:t>
      </w:r>
      <w:r w:rsidRPr="00A50AD7">
        <w:rPr>
          <w:i/>
          <w:noProof/>
          <w:lang w:val="cs-CZ"/>
        </w:rPr>
        <w:t>animam cognoscimus non secundum se</w:t>
      </w:r>
      <w:r>
        <w:rPr>
          <w:noProof/>
          <w:lang w:val="cs-CZ"/>
        </w:rPr>
        <w:t>), ale podle toho, jak odkazuje na svá vlastní hnutí (</w:t>
      </w:r>
      <w:r w:rsidRPr="00A50AD7">
        <w:rPr>
          <w:i/>
          <w:noProof/>
          <w:lang w:val="cs-CZ"/>
        </w:rPr>
        <w:t>secundum quod refertur ad ista</w:t>
      </w:r>
      <w:r>
        <w:rPr>
          <w:noProof/>
          <w:lang w:val="cs-CZ"/>
        </w:rPr>
        <w:t xml:space="preserve">). Proto je řečeno, že duše je to, co dělá svými úkony jako slyšení, vidění, porozumění a tak dále.“ </w:t>
      </w:r>
      <w:r>
        <w:rPr>
          <w:rStyle w:val="Znakapoznpodarou"/>
        </w:rPr>
        <w:footnoteReference w:id="123"/>
      </w:r>
    </w:p>
    <w:p w:rsidR="004F1E7F" w:rsidRDefault="08163013" w:rsidP="08163013">
      <w:r w:rsidRPr="00273106">
        <w:t>Citát jasně rozděluje subsistenci duše a její schopnosti (</w:t>
      </w:r>
      <w:r w:rsidRPr="00273106">
        <w:rPr>
          <w:i/>
        </w:rPr>
        <w:t>passiones non sunt aliquod ens per se subsistens, sed sunt ens in alio</w:t>
      </w:r>
      <w:r w:rsidRPr="00273106">
        <w:t xml:space="preserve">). Fenomenologický přístup jde od </w:t>
      </w:r>
      <w:r>
        <w:t xml:space="preserve">aktuálně daných </w:t>
      </w:r>
      <w:r w:rsidRPr="00273106">
        <w:t>jevů, tedy pozorovaných schopností duše</w:t>
      </w:r>
      <w:r>
        <w:t xml:space="preserve"> </w:t>
      </w:r>
      <w:r w:rsidRPr="00273106">
        <w:t>(</w:t>
      </w:r>
      <w:r w:rsidRPr="00273106">
        <w:rPr>
          <w:i/>
        </w:rPr>
        <w:t>animam cognoscimus non secundum se, sed secundum quod refertur ad ista</w:t>
      </w:r>
      <w:r w:rsidRPr="00273106">
        <w:t>)</w:t>
      </w:r>
      <w:r>
        <w:t xml:space="preserve">. </w:t>
      </w:r>
      <w:r w:rsidR="007654A2" w:rsidRPr="007654A2">
        <w:t xml:space="preserve">Argument přebírá obhajobu </w:t>
      </w:r>
      <w:r w:rsidR="007654A2" w:rsidRPr="08E666CA">
        <w:rPr>
          <w:i/>
        </w:rPr>
        <w:t>Druhých analytik</w:t>
      </w:r>
      <w:r w:rsidR="007654A2">
        <w:t xml:space="preserve"> podle metafyzického dativu napojeného na kategoriální impozici. R</w:t>
      </w:r>
      <w:r w:rsidR="007654A2" w:rsidRPr="007654A2">
        <w:t>ealita první substance vstupuje do minulého modu a</w:t>
      </w:r>
      <w:r w:rsidR="007654A2">
        <w:t xml:space="preserve"> nastupuje univerzální poznání. </w:t>
      </w:r>
      <w:r>
        <w:t xml:space="preserve">Tuto zásadní závislost myšlení na reálném bytí a kauzalitě první substance vyjadřoval </w:t>
      </w:r>
      <w:r w:rsidR="081942A4">
        <w:t xml:space="preserve">metafyzický </w:t>
      </w:r>
      <w:r>
        <w:t>dativ</w:t>
      </w:r>
      <w:r>
        <w:rPr>
          <w:i/>
        </w:rPr>
        <w:fldChar w:fldCharType="begin"/>
      </w:r>
      <w:r>
        <w:instrText xml:space="preserve"> XE "</w:instrText>
      </w:r>
      <w:r w:rsidR="081942A4">
        <w:rPr>
          <w:i/>
        </w:rPr>
        <w:instrText>dativus metaphysi</w:instrText>
      </w:r>
      <w:r w:rsidRPr="082F5A4B">
        <w:rPr>
          <w:i/>
        </w:rPr>
        <w:instrText>cus</w:instrText>
      </w:r>
      <w:r>
        <w:instrText xml:space="preserve">" </w:instrText>
      </w:r>
      <w:r>
        <w:rPr>
          <w:i/>
        </w:rPr>
        <w:fldChar w:fldCharType="end"/>
      </w:r>
      <w:r>
        <w:t xml:space="preserve">. Teprve druhý krok směřuje k teoretické </w:t>
      </w:r>
      <w:r w:rsidRPr="00273106">
        <w:t xml:space="preserve">úvaze o </w:t>
      </w:r>
      <w:r w:rsidR="00607386">
        <w:t xml:space="preserve">poznaném </w:t>
      </w:r>
      <w:r w:rsidRPr="00273106">
        <w:t xml:space="preserve">bytí </w:t>
      </w:r>
      <w:r w:rsidR="00E55286">
        <w:t xml:space="preserve">duše </w:t>
      </w:r>
      <w:r w:rsidRPr="00273106">
        <w:t>(</w:t>
      </w:r>
      <w:r w:rsidRPr="00273106">
        <w:rPr>
          <w:i/>
        </w:rPr>
        <w:t>si non essent hae operationes animae, nihil sciremus de ea</w:t>
      </w:r>
      <w:r w:rsidRPr="00273106">
        <w:t xml:space="preserve">). Autor výslovně tvrdí, že </w:t>
      </w:r>
      <w:r>
        <w:t>fenomenalita výkonu duše představu</w:t>
      </w:r>
      <w:r w:rsidRPr="00273106">
        <w:t>je jediný přístup ke zkoumání duše, který je pravdivý</w:t>
      </w:r>
      <w:r>
        <w:t xml:space="preserve"> (</w:t>
      </w:r>
      <w:r w:rsidRPr="008E2946">
        <w:rPr>
          <w:i/>
        </w:rPr>
        <w:t>anima est quae facit hoc</w:t>
      </w:r>
      <w:r>
        <w:t>)</w:t>
      </w:r>
      <w:r w:rsidRPr="00273106">
        <w:t>. Jak dále uvidíme, je to pozice prvního averroismu, kterou hájil kolem 1270 pouze a jedině Siger</w:t>
      </w:r>
      <w:r>
        <w:t xml:space="preserve"> z Brabantu</w:t>
      </w:r>
      <w:r w:rsidRPr="00273106">
        <w:t xml:space="preserve">, a nikoliv </w:t>
      </w:r>
      <w:r>
        <w:t xml:space="preserve">Tomáš </w:t>
      </w:r>
      <w:r w:rsidRPr="00273106">
        <w:t>Akvinský nebo Albert</w:t>
      </w:r>
      <w:r>
        <w:t xml:space="preserve"> Veliký</w:t>
      </w:r>
      <w:r w:rsidRPr="00273106">
        <w:t xml:space="preserve">. </w:t>
      </w:r>
      <w:r>
        <w:t>Tato argumentace ukazuje, že a</w:t>
      </w:r>
      <w:r w:rsidRPr="00273106">
        <w:t xml:space="preserve">utor je </w:t>
      </w:r>
      <w:r>
        <w:t xml:space="preserve">brilantním </w:t>
      </w:r>
      <w:r w:rsidRPr="00273106">
        <w:t xml:space="preserve">znalcem problému jednoty a individualizace intelektu podle CMDA. To nelze jednoznačně říci o </w:t>
      </w:r>
      <w:proofErr w:type="gramStart"/>
      <w:r w:rsidRPr="00273106">
        <w:t>Akvinském</w:t>
      </w:r>
      <w:proofErr w:type="gramEnd"/>
      <w:r w:rsidRPr="00273106">
        <w:t>, což u</w:t>
      </w:r>
      <w:r>
        <w:t xml:space="preserve">káže </w:t>
      </w:r>
      <w:r w:rsidRPr="00273106">
        <w:t xml:space="preserve">jeho polemika </w:t>
      </w:r>
      <w:r w:rsidR="08C133C8">
        <w:t>se Sigerem (kap. 4</w:t>
      </w:r>
      <w:r>
        <w:t>.5.3</w:t>
      </w:r>
      <w:r w:rsidRPr="00273106">
        <w:t xml:space="preserve">). Anonym hodnotí </w:t>
      </w:r>
      <w:r>
        <w:t>Averroes</w:t>
      </w:r>
      <w:r w:rsidRPr="00273106">
        <w:t xml:space="preserve">e zásadně kladně a ze stejných důvodů jako Siger. Dalším důležitým důvodem </w:t>
      </w:r>
      <w:r>
        <w:t>pro autorství Boethia z Dá</w:t>
      </w:r>
      <w:r w:rsidRPr="00273106">
        <w:t>cie</w:t>
      </w:r>
      <w:r>
        <w:fldChar w:fldCharType="begin"/>
      </w:r>
      <w:r>
        <w:instrText xml:space="preserve"> XE "</w:instrText>
      </w:r>
      <w:r w:rsidRPr="08A8751A">
        <w:instrText>Boethius z Dácie</w:instrText>
      </w:r>
      <w:r>
        <w:instrText xml:space="preserve">" </w:instrText>
      </w:r>
      <w:r>
        <w:fldChar w:fldCharType="end"/>
      </w:r>
      <w:r w:rsidRPr="00273106">
        <w:t xml:space="preserve"> je podobná architektura výstavby schopností duše od smyslových, až po nejvyšší schopnosti duše dané v kontemplaci. Klíčovou pasáž najdeme v </w:t>
      </w:r>
      <w:r w:rsidRPr="00490364">
        <w:rPr>
          <w:i/>
        </w:rPr>
        <w:t xml:space="preserve">An. </w:t>
      </w:r>
      <w:proofErr w:type="gramStart"/>
      <w:r w:rsidRPr="00490364">
        <w:rPr>
          <w:i/>
        </w:rPr>
        <w:t>Giele</w:t>
      </w:r>
      <w:r>
        <w:t xml:space="preserve"> </w:t>
      </w:r>
      <w:r w:rsidRPr="00273106">
        <w:t>I.5, kde</w:t>
      </w:r>
      <w:proofErr w:type="gramEnd"/>
      <w:r w:rsidRPr="00273106">
        <w:t xml:space="preserve"> jsou uvedeny všechny důležité klasické texty Aristotela k blaženému životu podle rozumu.</w:t>
      </w:r>
      <w:r w:rsidRPr="00273106">
        <w:rPr>
          <w:rStyle w:val="Znakapoznpodarou"/>
        </w:rPr>
        <w:footnoteReference w:id="124"/>
      </w:r>
      <w:r w:rsidRPr="00273106">
        <w:t xml:space="preserve"> </w:t>
      </w:r>
      <w:r>
        <w:t xml:space="preserve">Originální použití termínů </w:t>
      </w:r>
      <w:r w:rsidR="00E1640C">
        <w:lastRenderedPageBreak/>
        <w:t>„</w:t>
      </w:r>
      <w:r w:rsidRPr="00273106">
        <w:rPr>
          <w:i/>
        </w:rPr>
        <w:t>felicitas</w:t>
      </w:r>
      <w:r w:rsidR="00E1640C">
        <w:t>“</w:t>
      </w:r>
      <w:r>
        <w:t xml:space="preserve"> a </w:t>
      </w:r>
      <w:r w:rsidR="00E1640C">
        <w:t>„</w:t>
      </w:r>
      <w:r w:rsidRPr="00273106">
        <w:rPr>
          <w:i/>
        </w:rPr>
        <w:t>bonum</w:t>
      </w:r>
      <w:r w:rsidR="00E1640C">
        <w:t xml:space="preserve">“ převzatých </w:t>
      </w:r>
      <w:r w:rsidRPr="00273106">
        <w:t xml:space="preserve">z </w:t>
      </w:r>
      <w:r w:rsidRPr="00F54FD3">
        <w:rPr>
          <w:i/>
        </w:rPr>
        <w:t>Etiky Nicomachovy</w:t>
      </w:r>
      <w:r w:rsidRPr="00273106">
        <w:t xml:space="preserve"> podporuje tvrzení Gieleho</w:t>
      </w:r>
      <w:r>
        <w:t xml:space="preserve"> o možném autorovi</w:t>
      </w:r>
      <w:r w:rsidRPr="00273106">
        <w:t>. Spis Boethia z Dácie</w:t>
      </w:r>
      <w:r>
        <w:fldChar w:fldCharType="begin"/>
      </w:r>
      <w:r>
        <w:instrText xml:space="preserve"> XE "</w:instrText>
      </w:r>
      <w:r w:rsidRPr="08A8751A">
        <w:instrText>Boethius z Dácie</w:instrText>
      </w:r>
      <w:r>
        <w:instrText xml:space="preserve">" </w:instrText>
      </w:r>
      <w:r>
        <w:fldChar w:fldCharType="end"/>
      </w:r>
      <w:r w:rsidRPr="00273106">
        <w:t xml:space="preserve"> </w:t>
      </w:r>
      <w:r w:rsidRPr="00273106">
        <w:rPr>
          <w:i/>
        </w:rPr>
        <w:t xml:space="preserve">De </w:t>
      </w:r>
      <w:proofErr w:type="gramStart"/>
      <w:r w:rsidRPr="00273106">
        <w:rPr>
          <w:i/>
        </w:rPr>
        <w:t>summo</w:t>
      </w:r>
      <w:proofErr w:type="gramEnd"/>
      <w:r w:rsidRPr="00273106">
        <w:rPr>
          <w:i/>
        </w:rPr>
        <w:t xml:space="preserve"> bono</w:t>
      </w:r>
      <w:r w:rsidRPr="00273106">
        <w:t xml:space="preserve"> (asi 1270) rozvádí esejistickou formou tuto základní danost nemateriálního intelektu</w:t>
      </w:r>
      <w:r w:rsidR="00B82428">
        <w:t xml:space="preserve">. Ten existuje </w:t>
      </w:r>
      <w:r w:rsidR="00B82428" w:rsidRPr="00273106">
        <w:t>v každém člověku</w:t>
      </w:r>
      <w:r w:rsidR="00B82428">
        <w:t xml:space="preserve"> jedinečným způsobem</w:t>
      </w:r>
      <w:r w:rsidRPr="00273106">
        <w:t xml:space="preserve">skrze duši jako </w:t>
      </w:r>
      <w:r w:rsidR="00B82428">
        <w:t>osobní formy</w:t>
      </w:r>
      <w:r w:rsidRPr="00273106">
        <w:t xml:space="preserve"> </w:t>
      </w:r>
      <w:r w:rsidR="00B82428">
        <w:t>těla</w:t>
      </w:r>
      <w:r w:rsidR="004F1E7F">
        <w:t>.</w:t>
      </w:r>
    </w:p>
    <w:p w:rsidR="08163013" w:rsidRDefault="08163013" w:rsidP="00100C35">
      <w:pPr>
        <w:ind w:firstLine="397"/>
      </w:pPr>
      <w:r w:rsidRPr="00273106">
        <w:t xml:space="preserve">Přesto mezi Sigerem a </w:t>
      </w:r>
      <w:r>
        <w:t xml:space="preserve">autorem </w:t>
      </w:r>
      <w:r w:rsidRPr="00273106">
        <w:t xml:space="preserve">existuje rozdíl, i když oba integrálně hájí pozici prvního averroismu. Siger a </w:t>
      </w:r>
      <w:r>
        <w:t xml:space="preserve">anonym </w:t>
      </w:r>
      <w:r w:rsidRPr="00273106">
        <w:t xml:space="preserve">nepracují s definicí intelektu v </w:t>
      </w:r>
      <w:proofErr w:type="gramStart"/>
      <w:r>
        <w:rPr>
          <w:i/>
        </w:rPr>
        <w:t>De</w:t>
      </w:r>
      <w:proofErr w:type="gramEnd"/>
      <w:r>
        <w:rPr>
          <w:i/>
        </w:rPr>
        <w:t xml:space="preserve"> anima</w:t>
      </w:r>
      <w:r w:rsidRPr="00273106">
        <w:t xml:space="preserve"> stejným způsobem, i když chápou Aristotelovu nauku o duši velice podobně. Každý z nich směřuje Aristotelovu poznámku v </w:t>
      </w:r>
      <w:proofErr w:type="gramStart"/>
      <w:r>
        <w:rPr>
          <w:i/>
        </w:rPr>
        <w:t>De</w:t>
      </w:r>
      <w:proofErr w:type="gramEnd"/>
      <w:r>
        <w:rPr>
          <w:i/>
        </w:rPr>
        <w:t xml:space="preserve"> anima</w:t>
      </w:r>
      <w:r w:rsidRPr="00273106">
        <w:t xml:space="preserve"> o odděleném intelektu odlišným směrem. </w:t>
      </w:r>
      <w:r>
        <w:t xml:space="preserve">Filosof </w:t>
      </w:r>
      <w:r w:rsidRPr="00273106">
        <w:t>Siger vedl princip vnitřně zakoušené a od smyslů oddělené duševní scho</w:t>
      </w:r>
      <w:r>
        <w:t xml:space="preserve">pnosti </w:t>
      </w:r>
      <w:r w:rsidR="00AE59A4">
        <w:t xml:space="preserve">a zkoumá </w:t>
      </w:r>
      <w:r>
        <w:t xml:space="preserve">pojetí intelektu </w:t>
      </w:r>
      <w:r w:rsidR="00AE59A4">
        <w:t>v tezi „</w:t>
      </w:r>
      <w:r>
        <w:rPr>
          <w:i/>
        </w:rPr>
        <w:t>homo ipse intelligit</w:t>
      </w:r>
      <w:r w:rsidR="00AE59A4">
        <w:t>“</w:t>
      </w:r>
      <w:r>
        <w:rPr>
          <w:i/>
        </w:rPr>
        <w:fldChar w:fldCharType="begin"/>
      </w:r>
      <w:r>
        <w:instrText xml:space="preserve"> XE "</w:instrText>
      </w:r>
      <w:r w:rsidRPr="00B935DC">
        <w:rPr>
          <w:rStyle w:val="Zkladntext350"/>
        </w:rPr>
        <w:instrText>osoba</w:instrText>
      </w:r>
      <w:r w:rsidRPr="00B935DC">
        <w:rPr>
          <w:rStyle w:val="Zkladntext350"/>
          <w:i/>
        </w:rPr>
        <w:instrText>:</w:instrText>
      </w:r>
      <w:r>
        <w:rPr>
          <w:rStyle w:val="Zkladntext350"/>
          <w:i/>
        </w:rPr>
        <w:instrText>homo ipse intelligit</w:instrText>
      </w:r>
      <w:r>
        <w:instrText xml:space="preserve">" </w:instrText>
      </w:r>
      <w:r>
        <w:rPr>
          <w:i/>
        </w:rPr>
        <w:fldChar w:fldCharType="end"/>
      </w:r>
      <w:r w:rsidR="08C133C8">
        <w:t xml:space="preserve"> (kap. 4</w:t>
      </w:r>
      <w:r>
        <w:t>.4.4</w:t>
      </w:r>
      <w:r w:rsidRPr="00273106">
        <w:t>)</w:t>
      </w:r>
      <w:r>
        <w:fldChar w:fldCharType="begin"/>
      </w:r>
      <w:r>
        <w:instrText xml:space="preserve"> XE "</w:instrText>
      </w:r>
      <w:r w:rsidRPr="004873E8">
        <w:instrText>osoba:ipseita</w:instrText>
      </w:r>
      <w:r>
        <w:instrText xml:space="preserve">" </w:instrText>
      </w:r>
      <w:r>
        <w:fldChar w:fldCharType="end"/>
      </w:r>
      <w:r w:rsidRPr="00273106">
        <w:t xml:space="preserve">. </w:t>
      </w:r>
      <w:r>
        <w:t xml:space="preserve">Humanistický </w:t>
      </w:r>
      <w:r w:rsidRPr="00273106">
        <w:t xml:space="preserve">anonym </w:t>
      </w:r>
      <w:r w:rsidR="007761BA">
        <w:t xml:space="preserve">zasadil </w:t>
      </w:r>
      <w:r w:rsidRPr="00273106">
        <w:t xml:space="preserve">primát intelektu v hierarchii </w:t>
      </w:r>
      <w:r w:rsidRPr="00273106">
        <w:rPr>
          <w:i/>
        </w:rPr>
        <w:t>actiones animae</w:t>
      </w:r>
      <w:r w:rsidRPr="00273106">
        <w:t xml:space="preserve"> </w:t>
      </w:r>
      <w:r w:rsidR="007761BA">
        <w:t xml:space="preserve">daných </w:t>
      </w:r>
      <w:r w:rsidRPr="00273106">
        <w:t>směrem k blaženému životu podle rozumu. Navíc p</w:t>
      </w:r>
      <w:r>
        <w:t xml:space="preserve">ojímá </w:t>
      </w:r>
      <w:r w:rsidR="08C133C8">
        <w:t>lidský intelekt</w:t>
      </w:r>
      <w:r w:rsidRPr="00273106">
        <w:t xml:space="preserve"> vzhledem k tehdy debatované otázce věčnosti světa a věčných </w:t>
      </w:r>
      <w:r w:rsidR="00962190">
        <w:rPr>
          <w:i/>
        </w:rPr>
        <w:t>species</w:t>
      </w:r>
      <w:r w:rsidRPr="00273106">
        <w:t xml:space="preserve">, včetně kosmických inteligencí. Jednota osoby je ve spise daná striktně v rámci prvního averorismu, a přitom je toto pojetí intelektu porovnávané s odděleným intelektem kosmických sfér. Tato perspektiva zmátla </w:t>
      </w:r>
      <w:r>
        <w:t xml:space="preserve">současné </w:t>
      </w:r>
      <w:r w:rsidRPr="00273106">
        <w:t>komentátory</w:t>
      </w:r>
      <w:r>
        <w:t xml:space="preserve">, kteří </w:t>
      </w:r>
      <w:r w:rsidRPr="00273106">
        <w:t>chápou spis v modelu averroismu nebo semiaverroismu. A poslední důvod k autorství Boethia z Dácie</w:t>
      </w:r>
      <w:r>
        <w:fldChar w:fldCharType="begin"/>
      </w:r>
      <w:r>
        <w:instrText xml:space="preserve"> XE "</w:instrText>
      </w:r>
      <w:r w:rsidRPr="08A8751A">
        <w:instrText>Boethius z Dácie</w:instrText>
      </w:r>
      <w:r>
        <w:instrText xml:space="preserve">" </w:instrText>
      </w:r>
      <w:r>
        <w:fldChar w:fldCharType="end"/>
      </w:r>
      <w:r w:rsidRPr="00273106">
        <w:t xml:space="preserve"> je </w:t>
      </w:r>
      <w:r w:rsidRPr="00273106">
        <w:rPr>
          <w:rStyle w:val="st"/>
          <w:bCs/>
          <w:i/>
        </w:rPr>
        <w:t>argumentum ex</w:t>
      </w:r>
      <w:r w:rsidRPr="00273106">
        <w:rPr>
          <w:rStyle w:val="st"/>
          <w:i/>
        </w:rPr>
        <w:t xml:space="preserve"> silentio</w:t>
      </w:r>
      <w:r w:rsidRPr="00273106">
        <w:rPr>
          <w:rStyle w:val="st"/>
        </w:rPr>
        <w:t>. Vzhledem k uvedenému rozboru je jasné, že kolem 1270 neexistovali žádní dva jiní, stejně brilantně přemýšlející magistři</w:t>
      </w:r>
      <w:r w:rsidRPr="00273106">
        <w:t>, kteří by tak dobře znali a obhajovali linii prvního averroismu podle CMDA</w:t>
      </w:r>
      <w:r w:rsidR="007144D2">
        <w:t>. To byl pouze Siger a Boethiu</w:t>
      </w:r>
      <w:r w:rsidR="00F53F74">
        <w:t>s</w:t>
      </w:r>
      <w:r w:rsidR="007144D2">
        <w:t xml:space="preserve">. Oba se </w:t>
      </w:r>
      <w:r w:rsidRPr="00273106">
        <w:t>zásadně lišili od linie Akvinského, Alberta, a také Aegidia Romana.</w:t>
      </w:r>
      <w:r>
        <w:t xml:space="preserve"> Spis </w:t>
      </w:r>
      <w:r w:rsidRPr="001E4AB8">
        <w:rPr>
          <w:i/>
        </w:rPr>
        <w:t>De anima</w:t>
      </w:r>
      <w:r>
        <w:t xml:space="preserve"> se povinně vyučoval </w:t>
      </w:r>
      <w:r w:rsidR="08C133C8">
        <w:t>v Rue du Fouarre minimálně od 1255. T</w:t>
      </w:r>
      <w:r>
        <w:t xml:space="preserve">ento magistr ze školy prvního averroismu </w:t>
      </w:r>
      <w:r w:rsidR="087A75A9">
        <w:t>napsal</w:t>
      </w:r>
      <w:r>
        <w:t xml:space="preserve"> podobně kvalitní komentář, jako bylo dále citované Sigerovo brilantní dílo </w:t>
      </w:r>
      <w:r>
        <w:rPr>
          <w:i/>
          <w:lang w:eastAsia="en-US"/>
        </w:rPr>
        <w:t>Quaestiones in tertium D</w:t>
      </w:r>
      <w:r w:rsidRPr="00273106">
        <w:rPr>
          <w:i/>
          <w:lang w:eastAsia="en-US"/>
        </w:rPr>
        <w:t>e anima</w:t>
      </w:r>
      <w:r>
        <w:rPr>
          <w:lang w:eastAsia="en-US"/>
        </w:rPr>
        <w:t>.</w:t>
      </w:r>
      <w:r>
        <w:t xml:space="preserve"> Boethius</w:t>
      </w:r>
      <w:r>
        <w:fldChar w:fldCharType="begin"/>
      </w:r>
      <w:r>
        <w:instrText xml:space="preserve"> XE "</w:instrText>
      </w:r>
      <w:r w:rsidRPr="00521677">
        <w:rPr>
          <w:lang w:eastAsia="en-US"/>
        </w:rPr>
        <w:instrText>Boethius</w:instrText>
      </w:r>
      <w:r>
        <w:rPr>
          <w:lang w:eastAsia="en-US"/>
        </w:rPr>
        <w:instrText xml:space="preserve"> z Dácie</w:instrText>
      </w:r>
      <w:r>
        <w:instrText xml:space="preserve">" </w:instrText>
      </w:r>
      <w:r>
        <w:fldChar w:fldCharType="end"/>
      </w:r>
      <w:r>
        <w:t xml:space="preserve"> z Dácie jako autor tohoto komentáře odpovídá po všech stránkách těmto vysokým požadavkům na znalost Aristotelova </w:t>
      </w:r>
      <w:r w:rsidRPr="00D8034E">
        <w:rPr>
          <w:i/>
        </w:rPr>
        <w:t>De anima</w:t>
      </w:r>
      <w:r w:rsidR="000E4296">
        <w:t xml:space="preserve">. Definice intelektu je podaná </w:t>
      </w:r>
      <w:r>
        <w:t xml:space="preserve">s hlubokou znalostí CMDA a </w:t>
      </w:r>
      <w:r w:rsidR="000E4296">
        <w:t xml:space="preserve">je </w:t>
      </w:r>
      <w:r>
        <w:t>v souladu se Sigerovým postojem. Spis nemá nic společného se semiaverroismem</w:t>
      </w:r>
      <w:r>
        <w:fldChar w:fldCharType="begin"/>
      </w:r>
      <w:r>
        <w:instrText xml:space="preserve"> XE "semi</w:instrText>
      </w:r>
      <w:r w:rsidRPr="00F66340">
        <w:instrText>averroismus</w:instrText>
      </w:r>
      <w:r>
        <w:instrText xml:space="preserve">" </w:instrText>
      </w:r>
      <w:r>
        <w:fldChar w:fldCharType="end"/>
      </w:r>
      <w:r>
        <w:t xml:space="preserve"> a jednoznačně patří do školy </w:t>
      </w:r>
      <w:r>
        <w:lastRenderedPageBreak/>
        <w:t xml:space="preserve">prvního averroismu. Klíčový rozdíl </w:t>
      </w:r>
      <w:r w:rsidR="00B27F35">
        <w:t>„</w:t>
      </w:r>
      <w:r w:rsidRPr="08433EC6">
        <w:rPr>
          <w:i/>
        </w:rPr>
        <w:t>subiective</w:t>
      </w:r>
      <w:r>
        <w:t>‒</w:t>
      </w:r>
      <w:r w:rsidRPr="08433EC6">
        <w:rPr>
          <w:i/>
        </w:rPr>
        <w:t>obiective</w:t>
      </w:r>
      <w:r w:rsidR="00B27F35">
        <w:t>“</w:t>
      </w:r>
      <w:r>
        <w:t xml:space="preserve"> staví Boethius z Dácie v Gielově anonymu podle Sigerovy QIIIDA proti formálnímu pojetí intelektu podle Akvinského a proti prvnímu tomismu Aegidia Romana</w:t>
      </w:r>
      <w:r w:rsidR="087A75A9">
        <w:t xml:space="preserve"> inspirovaného Akvinským (kap. 4</w:t>
      </w:r>
      <w:r>
        <w:t xml:space="preserve">.5.3). </w:t>
      </w:r>
      <w:r w:rsidR="0039783B" w:rsidRPr="0039783B">
        <w:t xml:space="preserve">Tento traktát tedy vznikl ve stejné době jako </w:t>
      </w:r>
      <w:r w:rsidR="0039783B" w:rsidRPr="0039783B">
        <w:rPr>
          <w:i/>
        </w:rPr>
        <w:t>Anonymus Bazán</w:t>
      </w:r>
      <w:r w:rsidR="0039783B">
        <w:t xml:space="preserve"> (1270–</w:t>
      </w:r>
      <w:r w:rsidR="0039783B" w:rsidRPr="0039783B">
        <w:t xml:space="preserve">71). Jeho anonymní autor naopak hájí Tomáše Akvinského proti postojům </w:t>
      </w:r>
      <w:r w:rsidR="0039783B">
        <w:t xml:space="preserve">ve spisu </w:t>
      </w:r>
      <w:r w:rsidR="0039783B" w:rsidRPr="0039783B">
        <w:rPr>
          <w:i/>
        </w:rPr>
        <w:t>Anonymus Giele</w:t>
      </w:r>
      <w:r w:rsidR="0039783B" w:rsidRPr="0039783B">
        <w:t>. Oba spisy byly tedy vydány ve stejné době.</w:t>
      </w:r>
      <w:r w:rsidR="0039783B">
        <w:t xml:space="preserve"> </w:t>
      </w:r>
      <w:r w:rsidR="00924479" w:rsidRPr="00924479">
        <w:t xml:space="preserve">Boethius jako autor </w:t>
      </w:r>
      <w:r w:rsidR="00924479">
        <w:t xml:space="preserve">spisu </w:t>
      </w:r>
      <w:r w:rsidR="00924479" w:rsidRPr="00924479">
        <w:rPr>
          <w:i/>
        </w:rPr>
        <w:t>Anonymus Giele</w:t>
      </w:r>
      <w:r w:rsidR="00924479" w:rsidRPr="00924479">
        <w:t xml:space="preserve"> byl hlavním představi</w:t>
      </w:r>
      <w:r w:rsidR="00924479">
        <w:t>telem skupiny magistrů zvaných „</w:t>
      </w:r>
      <w:r w:rsidR="00924479" w:rsidRPr="00924479">
        <w:rPr>
          <w:i/>
        </w:rPr>
        <w:t>pars Sigeri</w:t>
      </w:r>
      <w:r w:rsidR="00924479">
        <w:t>“</w:t>
      </w:r>
      <w:r w:rsidR="00924479">
        <w:rPr>
          <w:rStyle w:val="Zvraznn"/>
          <w:i w:val="0"/>
        </w:rPr>
        <w:fldChar w:fldCharType="begin"/>
      </w:r>
      <w:r w:rsidR="00924479">
        <w:instrText xml:space="preserve"> XE "</w:instrText>
      </w:r>
      <w:r w:rsidR="00924479">
        <w:rPr>
          <w:rStyle w:val="Zvraznn"/>
          <w:i w:val="0"/>
        </w:rPr>
        <w:instrText>pr</w:instrText>
      </w:r>
      <w:r w:rsidR="00924479" w:rsidRPr="00D95B1D">
        <w:rPr>
          <w:rStyle w:val="Zvraznn"/>
          <w:i w:val="0"/>
        </w:rPr>
        <w:instrText>vní averroismus:</w:instrText>
      </w:r>
      <w:r w:rsidR="00924479" w:rsidRPr="0084029F">
        <w:rPr>
          <w:rStyle w:val="Zvraznn"/>
        </w:rPr>
        <w:instrText>pars Sigeri</w:instrText>
      </w:r>
      <w:r w:rsidR="00924479">
        <w:instrText xml:space="preserve">" </w:instrText>
      </w:r>
      <w:r w:rsidR="00924479">
        <w:rPr>
          <w:rStyle w:val="Zvraznn"/>
          <w:i w:val="0"/>
        </w:rPr>
        <w:fldChar w:fldCharType="end"/>
      </w:r>
      <w:r w:rsidR="00924479" w:rsidRPr="00924479">
        <w:t xml:space="preserve">. Ti vypracovali kolektivní obhajobu </w:t>
      </w:r>
      <w:r w:rsidR="00924479">
        <w:t xml:space="preserve">artistického </w:t>
      </w:r>
      <w:r w:rsidR="00924479" w:rsidRPr="00924479">
        <w:t xml:space="preserve">rektora Sigera proti Akvinského koncepci </w:t>
      </w:r>
      <w:r w:rsidR="00924479" w:rsidRPr="00924479">
        <w:rPr>
          <w:i/>
        </w:rPr>
        <w:t>De anima</w:t>
      </w:r>
      <w:r w:rsidR="00924479" w:rsidRPr="00924479">
        <w:t xml:space="preserve">. </w:t>
      </w:r>
      <w:r w:rsidR="00924479">
        <w:t>Akvinský byl angažován v roli „</w:t>
      </w:r>
      <w:r w:rsidR="00924479" w:rsidRPr="00924479">
        <w:rPr>
          <w:i/>
        </w:rPr>
        <w:t>Expositor Novus</w:t>
      </w:r>
      <w:r w:rsidR="00924479">
        <w:t>“ o</w:t>
      </w:r>
      <w:r w:rsidR="00924479" w:rsidRPr="00924479">
        <w:t>d roku 1268</w:t>
      </w:r>
      <w:r w:rsidR="00924479">
        <w:t xml:space="preserve">, kdy se </w:t>
      </w:r>
      <w:r w:rsidR="00924479" w:rsidRPr="00924479">
        <w:t xml:space="preserve">etabloval jako nový vykladač </w:t>
      </w:r>
      <w:r w:rsidR="00924479" w:rsidRPr="00924479">
        <w:rPr>
          <w:i/>
        </w:rPr>
        <w:t>Corpus Aristotelicum</w:t>
      </w:r>
      <w:r w:rsidR="00924479" w:rsidRPr="00924479">
        <w:t xml:space="preserve"> proti Komentátorovi; v této roli byl uznáván zejména po svém příchodu do Paříže. To je důvod, proč má výklad </w:t>
      </w:r>
      <w:r w:rsidR="00924479" w:rsidRPr="00924479">
        <w:rPr>
          <w:i/>
        </w:rPr>
        <w:t>De anima</w:t>
      </w:r>
      <w:r w:rsidR="00924479" w:rsidRPr="00924479">
        <w:t xml:space="preserve"> přesné myšlení a formulace na stejně vynikající úrovn</w:t>
      </w:r>
      <w:r w:rsidR="00924479">
        <w:t xml:space="preserve">i, jakou ve svém myšlení vykazoval </w:t>
      </w:r>
      <w:r w:rsidR="00924479" w:rsidRPr="00924479">
        <w:t xml:space="preserve">Siger. Akvinského semiaverroistické stanovisko bylo vyvráceno. Traktát </w:t>
      </w:r>
      <w:r w:rsidR="00924479" w:rsidRPr="00924479">
        <w:rPr>
          <w:i/>
        </w:rPr>
        <w:t>Anonymus Giele</w:t>
      </w:r>
      <w:r w:rsidR="00924479" w:rsidRPr="00924479">
        <w:t xml:space="preserve"> byl napsán před rokem 1272, neboť přispěl k filosofické porážce Akvinského jako nového vykladače Aristotela. Tuto polemi</w:t>
      </w:r>
      <w:r w:rsidR="00100C35">
        <w:t xml:space="preserve">ku podrobně rozebereme později. </w:t>
      </w:r>
      <w:r>
        <w:t xml:space="preserve">Kritika modernistů typu Pechama představuje vedlejší cíl, protože jejich sofistika je rozporná sama o sobě. Komplementární pól tohoto polemického a obranného spisu Sigerovy školy tvoří </w:t>
      </w:r>
      <w:r w:rsidRPr="08FE519C">
        <w:rPr>
          <w:i/>
        </w:rPr>
        <w:t>Anonymus Bazán</w:t>
      </w:r>
      <w:r>
        <w:t xml:space="preserve"> psaný </w:t>
      </w:r>
      <w:r w:rsidR="08F422F2">
        <w:t xml:space="preserve">asi </w:t>
      </w:r>
      <w:r>
        <w:t>Aegidiem Roma</w:t>
      </w:r>
      <w:r w:rsidR="08F422F2">
        <w:t>nem (kap. 4</w:t>
      </w:r>
      <w:r>
        <w:t xml:space="preserve">.3.3). Jeho </w:t>
      </w:r>
      <w:r w:rsidR="0005522E">
        <w:t>semi</w:t>
      </w:r>
      <w:r w:rsidR="08F422F2">
        <w:t xml:space="preserve">averroistická </w:t>
      </w:r>
      <w:r>
        <w:t>apologie je psána ve s</w:t>
      </w:r>
      <w:r w:rsidR="00383CD4">
        <w:t>tejné době jako Gieleho Anonym</w:t>
      </w:r>
      <w:r w:rsidR="000A0D7A">
        <w:t>. A</w:t>
      </w:r>
      <w:r w:rsidR="002D3C7C">
        <w:t xml:space="preserve">le </w:t>
      </w:r>
      <w:r w:rsidR="005940F0">
        <w:t xml:space="preserve">tento druhý </w:t>
      </w:r>
      <w:r w:rsidR="000A0D7A">
        <w:t xml:space="preserve">anonymní </w:t>
      </w:r>
      <w:r w:rsidR="00383CD4">
        <w:t xml:space="preserve">spis </w:t>
      </w:r>
      <w:r>
        <w:t xml:space="preserve">hájí Akvinského pozici především proti Pechamově škole. </w:t>
      </w:r>
    </w:p>
    <w:p w:rsidR="08163013" w:rsidRPr="00273106" w:rsidRDefault="007144D2" w:rsidP="08163013">
      <w:pPr>
        <w:pStyle w:val="Nadpis3"/>
      </w:pPr>
      <w:bookmarkStart w:id="25" w:name="_Toc36144141"/>
      <w:r>
        <w:br w:type="page"/>
      </w:r>
      <w:bookmarkStart w:id="26" w:name="_Toc180231653"/>
      <w:r w:rsidR="08163013">
        <w:lastRenderedPageBreak/>
        <w:t>4</w:t>
      </w:r>
      <w:r w:rsidR="08163013" w:rsidRPr="00273106">
        <w:t xml:space="preserve">.3.2 Oxfordský a Mnichovský komentář </w:t>
      </w:r>
      <w:r w:rsidR="08163013" w:rsidRPr="0819364F">
        <w:rPr>
          <w:i/>
        </w:rPr>
        <w:t>De anima</w:t>
      </w:r>
      <w:bookmarkEnd w:id="25"/>
      <w:bookmarkEnd w:id="26"/>
    </w:p>
    <w:p w:rsidR="00007D95" w:rsidRDefault="00084972" w:rsidP="08163013">
      <w:r w:rsidRPr="00084972">
        <w:t xml:space="preserve">První střet prvního a druhého averroismu skončil v roce 1256 vyhoštěním aristoteliků z Rue du Fouarre. Další generace modernistických vykladačů </w:t>
      </w:r>
      <w:r w:rsidRPr="00084972">
        <w:rPr>
          <w:i/>
        </w:rPr>
        <w:t>De anim</w:t>
      </w:r>
      <w:r w:rsidRPr="00084972">
        <w:t xml:space="preserve">a nastoupila </w:t>
      </w:r>
      <w:r w:rsidRPr="00273106">
        <w:rPr>
          <w:i/>
        </w:rPr>
        <w:t>via Modernorum</w:t>
      </w:r>
      <w:r>
        <w:rPr>
          <w:i/>
        </w:rPr>
        <w:fldChar w:fldCharType="begin"/>
      </w:r>
      <w:r>
        <w:instrText xml:space="preserve"> XE "</w:instrText>
      </w:r>
      <w:r w:rsidRPr="00ED0748">
        <w:rPr>
          <w:i/>
        </w:rPr>
        <w:instrText>via Modernorum</w:instrText>
      </w:r>
      <w:r>
        <w:instrText xml:space="preserve">" </w:instrText>
      </w:r>
      <w:r>
        <w:rPr>
          <w:i/>
        </w:rPr>
        <w:fldChar w:fldCharType="end"/>
      </w:r>
      <w:r w:rsidRPr="00273106">
        <w:t xml:space="preserve"> </w:t>
      </w:r>
      <w:r w:rsidRPr="00084972">
        <w:t>a pochopitelně začala působit i další generace jejich kritiků.</w:t>
      </w:r>
      <w:r>
        <w:t xml:space="preserve"> </w:t>
      </w:r>
      <w:r w:rsidR="08163013">
        <w:t>Č</w:t>
      </w:r>
      <w:r w:rsidR="08163013" w:rsidRPr="00273106">
        <w:t xml:space="preserve">innost </w:t>
      </w:r>
      <w:r w:rsidR="08163013">
        <w:t xml:space="preserve">obou škol </w:t>
      </w:r>
      <w:r w:rsidR="08163013" w:rsidRPr="00273106">
        <w:t>dokládají dva anonymní traktáty</w:t>
      </w:r>
      <w:r w:rsidR="006B121C">
        <w:t xml:space="preserve">, které </w:t>
      </w:r>
      <w:r w:rsidR="006B121C" w:rsidRPr="006B121C">
        <w:t>Fernand Van Steenberghen</w:t>
      </w:r>
      <w:r w:rsidR="006B121C">
        <w:t xml:space="preserve"> editoval </w:t>
      </w:r>
      <w:r w:rsidR="08163013" w:rsidRPr="00273106">
        <w:t>do jednoho celku. Rukopisy z Oxfordu (</w:t>
      </w:r>
      <w:r w:rsidR="08163013" w:rsidRPr="00273106">
        <w:rPr>
          <w:i/>
        </w:rPr>
        <w:t>Merton College</w:t>
      </w:r>
      <w:r w:rsidR="08163013" w:rsidRPr="00273106">
        <w:t>, ms. 275) a z Mnichova (</w:t>
      </w:r>
      <w:r w:rsidR="08163013" w:rsidRPr="00273106">
        <w:rPr>
          <w:i/>
        </w:rPr>
        <w:t>Staatsbibliothek</w:t>
      </w:r>
      <w:r w:rsidR="08163013" w:rsidRPr="00273106">
        <w:t xml:space="preserve">, ms. 9559) mají velmi podobný formální postup argumentace. Oba spisy </w:t>
      </w:r>
      <w:r w:rsidR="08163013">
        <w:t xml:space="preserve">údajně </w:t>
      </w:r>
      <w:r w:rsidR="08163013" w:rsidRPr="00273106">
        <w:t xml:space="preserve">vznikly </w:t>
      </w:r>
      <w:r w:rsidR="08163013">
        <w:t xml:space="preserve">v letech </w:t>
      </w:r>
      <w:r w:rsidR="08163013" w:rsidRPr="00273106">
        <w:t xml:space="preserve">1273‒77 (Steenberghen 1971, 129). Hermeneutika objektivity se </w:t>
      </w:r>
      <w:r w:rsidR="08163013">
        <w:t>ne</w:t>
      </w:r>
      <w:r w:rsidR="08163013" w:rsidRPr="00273106">
        <w:t xml:space="preserve">staví za celkový závěr Steenberghena, že autora </w:t>
      </w:r>
      <w:r w:rsidR="08163013">
        <w:t xml:space="preserve">obou spisů </w:t>
      </w:r>
      <w:r w:rsidR="08163013" w:rsidRPr="00273106">
        <w:t>nelze jednoznačně určit a že podle dosavadního stavu bádán</w:t>
      </w:r>
      <w:r w:rsidR="08163013">
        <w:t xml:space="preserve">í zůstává neznámý (ibid, 133). Protože autorství určit lze a také okolnosti vzniku obou spisů, pak vychází jiné pojetí datace obou rukopisů zdůvodněné v závěru kapitoly.  </w:t>
      </w:r>
      <w:r w:rsidR="08163013" w:rsidRPr="00273106">
        <w:t xml:space="preserve">Z hlediska předložené hermeneutiky </w:t>
      </w:r>
      <w:r w:rsidR="08163013">
        <w:t>obhajují</w:t>
      </w:r>
      <w:r w:rsidR="08163013" w:rsidRPr="00273106">
        <w:t xml:space="preserve"> oba rukopisy </w:t>
      </w:r>
      <w:r w:rsidR="08163013">
        <w:t>zásadně odlišné pojetí intelektu a nepatří k jedné škole</w:t>
      </w:r>
      <w:r w:rsidR="08163013" w:rsidRPr="00273106">
        <w:t xml:space="preserve">. Mnichovský rukopis je psán v duchu </w:t>
      </w:r>
      <w:r w:rsidR="08163013">
        <w:t xml:space="preserve">brilantně pojatého </w:t>
      </w:r>
      <w:r w:rsidR="08163013" w:rsidRPr="00273106">
        <w:t xml:space="preserve">prvního averroismu a Oxfordský </w:t>
      </w:r>
      <w:r w:rsidR="08163013">
        <w:t xml:space="preserve">spis </w:t>
      </w:r>
      <w:r w:rsidR="08163013" w:rsidRPr="00273106">
        <w:t xml:space="preserve">v duchu </w:t>
      </w:r>
      <w:r w:rsidR="08163013">
        <w:t xml:space="preserve">modernizovaného </w:t>
      </w:r>
      <w:r w:rsidR="08163013" w:rsidRPr="00273106">
        <w:t xml:space="preserve">druhého averoismu. Proto jde o dvě zcela odlišná řešení jednoty intelektu. Navíc se oba spisy liší i terminologicky a stylem, což připomněl i Steenberghen (ibid, 126). Sigera jako </w:t>
      </w:r>
      <w:r w:rsidR="08163013">
        <w:t xml:space="preserve">společného </w:t>
      </w:r>
      <w:r w:rsidR="08163013" w:rsidRPr="00273106">
        <w:t xml:space="preserve">autora </w:t>
      </w:r>
      <w:r w:rsidR="08163013">
        <w:t>obou traktátů</w:t>
      </w:r>
      <w:r w:rsidR="08163013" w:rsidRPr="00273106">
        <w:t xml:space="preserve"> lze spolehlivě vyloučit s ohledem na dvojí linii argumentace. Hermeneutika se staví za druhou tezi Steenberghena, že nejde o dvě různá </w:t>
      </w:r>
      <w:r w:rsidR="08163013" w:rsidRPr="00273106">
        <w:rPr>
          <w:i/>
        </w:rPr>
        <w:t>reportatio</w:t>
      </w:r>
      <w:r w:rsidR="08163013" w:rsidRPr="00273106">
        <w:t xml:space="preserve"> přednášek jednoho magistra, ale o dva různé traktáty dvou různých autorů (ibid, 127). A tomu je třeba dodat, že jde dokonce o zástupce dvou různých škol myšlení.</w:t>
      </w:r>
      <w:r w:rsidR="00F2390E">
        <w:t xml:space="preserve"> Oxfordský rukopis parafrázuje M</w:t>
      </w:r>
      <w:r w:rsidR="08163013" w:rsidRPr="00273106">
        <w:t>nichovský traktát a sporná místa nahrazuje vla</w:t>
      </w:r>
      <w:r w:rsidR="00F2390E">
        <w:t xml:space="preserve">stním výkladem v duchu umírněného </w:t>
      </w:r>
      <w:r w:rsidR="08163013" w:rsidRPr="00273106">
        <w:t>druhého averroismu</w:t>
      </w:r>
      <w:r w:rsidR="08163013">
        <w:fldChar w:fldCharType="begin"/>
      </w:r>
      <w:r w:rsidR="08163013">
        <w:instrText xml:space="preserve"> XE "semi</w:instrText>
      </w:r>
      <w:r w:rsidR="08163013" w:rsidRPr="00F66340">
        <w:instrText>averroismus</w:instrText>
      </w:r>
      <w:r w:rsidR="08163013">
        <w:instrText xml:space="preserve">" </w:instrText>
      </w:r>
      <w:r w:rsidR="08163013">
        <w:fldChar w:fldCharType="end"/>
      </w:r>
      <w:r w:rsidR="08163013" w:rsidRPr="00273106">
        <w:t xml:space="preserve">. To dokazují klíčové pasáže Mnichovského rukopisu, které dostaly odlišný význam v Oxfordském rukopisu. Původní rukopis </w:t>
      </w:r>
      <w:r w:rsidR="08163013">
        <w:t xml:space="preserve">brilantního </w:t>
      </w:r>
      <w:r w:rsidR="08163013" w:rsidRPr="00273106">
        <w:t>reprezentanta školy prvního averroismu je převedený do myšlení druhého averroismu</w:t>
      </w:r>
      <w:r w:rsidR="08163013">
        <w:t>, ale v nové semiaverroistické verzi ovlivněné Akvinským</w:t>
      </w:r>
      <w:r w:rsidR="08163013" w:rsidRPr="00273106">
        <w:t>.</w:t>
      </w:r>
      <w:r w:rsidR="08163013">
        <w:t xml:space="preserve"> </w:t>
      </w:r>
      <w:r w:rsidR="08163013" w:rsidRPr="00273106">
        <w:t xml:space="preserve">Oxfordský rukopis hájí </w:t>
      </w:r>
      <w:r w:rsidR="08163013">
        <w:t xml:space="preserve">na rozdíl od Kilwardbyho, Bonaventury a Pechama </w:t>
      </w:r>
      <w:r w:rsidR="08163013" w:rsidRPr="00273106">
        <w:t>pozici druhého averroismu z pozice skutečného znalce. Snaží se ji smířit s pozicí Aristotela, kterou přebírá od Mnichovského rukopisu, ale zachovává od něj kritický odstup v důležitých bodech druhého averroismu, které kvalifikovaně hájí. Autora rukopisu z Oxfor</w:t>
      </w:r>
      <w:r w:rsidR="08163013">
        <w:t>du (</w:t>
      </w:r>
      <w:r w:rsidR="08163013" w:rsidRPr="009625F0">
        <w:rPr>
          <w:i/>
        </w:rPr>
        <w:t>Merton College, ms. 275</w:t>
      </w:r>
      <w:r w:rsidR="08163013">
        <w:t xml:space="preserve">) je třeba </w:t>
      </w:r>
      <w:r w:rsidR="08163013" w:rsidRPr="00273106">
        <w:t xml:space="preserve">hledat v okruhu mnohem lepších znalců </w:t>
      </w:r>
      <w:r w:rsidR="08163013">
        <w:t>Averroes</w:t>
      </w:r>
      <w:r w:rsidR="00181AD1">
        <w:t xml:space="preserve">e, </w:t>
      </w:r>
      <w:r w:rsidR="08163013" w:rsidRPr="00273106">
        <w:t xml:space="preserve">než byl </w:t>
      </w:r>
      <w:r w:rsidR="08163013">
        <w:t xml:space="preserve">zmíněný </w:t>
      </w:r>
      <w:r w:rsidR="08163013" w:rsidRPr="00273106">
        <w:t xml:space="preserve">Bonaventura, </w:t>
      </w:r>
      <w:r w:rsidR="08163013">
        <w:t>Pecham</w:t>
      </w:r>
      <w:r w:rsidR="08163013" w:rsidRPr="00273106">
        <w:t>, nebo Kilwardby. Taková autorita byla mezi druhými averroisty v této době jen jedna</w:t>
      </w:r>
      <w:r w:rsidR="08163013">
        <w:t xml:space="preserve"> </w:t>
      </w:r>
      <w:r w:rsidR="08163013">
        <w:lastRenderedPageBreak/>
        <w:t xml:space="preserve">a to </w:t>
      </w:r>
      <w:r w:rsidR="08163013" w:rsidRPr="00273106">
        <w:t>Aegidius Romanus</w:t>
      </w:r>
      <w:r w:rsidR="08163013">
        <w:fldChar w:fldCharType="begin"/>
      </w:r>
      <w:r w:rsidR="08163013">
        <w:instrText xml:space="preserve"> XE "</w:instrText>
      </w:r>
      <w:r w:rsidR="08163013" w:rsidRPr="00B54432">
        <w:instrText>Aegidius Romanus</w:instrText>
      </w:r>
      <w:r w:rsidR="08163013">
        <w:instrText xml:space="preserve">" </w:instrText>
      </w:r>
      <w:r w:rsidR="08163013">
        <w:fldChar w:fldCharType="end"/>
      </w:r>
      <w:r w:rsidR="08163013" w:rsidRPr="00273106">
        <w:t xml:space="preserve"> </w:t>
      </w:r>
      <w:r w:rsidR="08163013">
        <w:t xml:space="preserve">v době redakce </w:t>
      </w:r>
      <w:r w:rsidR="08163013" w:rsidRPr="00273106">
        <w:t xml:space="preserve">spisu </w:t>
      </w:r>
      <w:r w:rsidR="08163013" w:rsidRPr="00273106">
        <w:rPr>
          <w:i/>
        </w:rPr>
        <w:t>De plurificatione possibilis intellectus</w:t>
      </w:r>
      <w:r w:rsidR="08163013" w:rsidRPr="00273106">
        <w:t xml:space="preserve"> (kolem 1271).</w:t>
      </w:r>
      <w:r w:rsidR="08163013">
        <w:t xml:space="preserve"> Tento traktát se nacházel ve stejném konvolutu jako anonym (</w:t>
      </w:r>
      <w:r w:rsidR="08163013" w:rsidRPr="00D92FAA">
        <w:rPr>
          <w:i/>
        </w:rPr>
        <w:t>fol</w:t>
      </w:r>
      <w:r w:rsidR="08163013">
        <w:t xml:space="preserve">. 101r‒107r). Hermeneutika potvrzuje závěr Gieleho ohledně autorství Aegidia pro Oxfordský rukopis. Jeho analýza data vzniku ukazuje, že na rukopis z </w:t>
      </w:r>
      <w:proofErr w:type="gramStart"/>
      <w:r w:rsidR="08163013">
        <w:t>Merton</w:t>
      </w:r>
      <w:proofErr w:type="gramEnd"/>
      <w:r w:rsidR="08163013">
        <w:t xml:space="preserve"> College měl zásadní vliv vedle Sigera z Brabantu také citovaný spis Aegidia (Giele 1960, 530).</w:t>
      </w:r>
      <w:r w:rsidR="08163013" w:rsidRPr="00273106">
        <w:t xml:space="preserve"> </w:t>
      </w:r>
      <w:r w:rsidR="08163013">
        <w:t xml:space="preserve">Proto je třeba vysvětlit, jaký vliv mělo myšlení Sigera z Brabantu na tento rukopis. </w:t>
      </w:r>
      <w:r w:rsidR="08163013" w:rsidRPr="00273106">
        <w:t>Aegidius byl reprezentant druhého aver</w:t>
      </w:r>
      <w:r w:rsidR="08163013">
        <w:t>r</w:t>
      </w:r>
      <w:r w:rsidR="08163013" w:rsidRPr="00273106">
        <w:t>orismu, ale v Paříži navštěvoval přednášky obou eminentních představitelů prvního averroismu, Sigera z Brabantu a Tomáše Akvinského. V mnohých bodech sdílel jejich aristotelské názory</w:t>
      </w:r>
      <w:r w:rsidR="08163013">
        <w:t xml:space="preserve">, například </w:t>
      </w:r>
      <w:r w:rsidR="08163013" w:rsidRPr="00273106">
        <w:t>aristotelské pojetí abstrakce a nasvícení intelektu od reálné substance</w:t>
      </w:r>
      <w:r w:rsidR="08163013">
        <w:t xml:space="preserve">. </w:t>
      </w:r>
      <w:r w:rsidR="08163013" w:rsidRPr="00273106">
        <w:t xml:space="preserve">Odmítl materii jako </w:t>
      </w:r>
      <w:r w:rsidR="08163013" w:rsidRPr="000A22F5">
        <w:rPr>
          <w:i/>
        </w:rPr>
        <w:t>tertium ens</w:t>
      </w:r>
      <w:r w:rsidR="08163013" w:rsidRPr="00273106">
        <w:t xml:space="preserve">, pojetí individua a kvantity od </w:t>
      </w:r>
      <w:r w:rsidR="08163013" w:rsidRPr="00273106">
        <w:rPr>
          <w:i/>
        </w:rPr>
        <w:t>Nominales</w:t>
      </w:r>
      <w:r w:rsidR="08163013" w:rsidRPr="00273106">
        <w:t xml:space="preserve">, </w:t>
      </w:r>
      <w:r w:rsidR="08163013">
        <w:t xml:space="preserve">podstatně modifikoval substanční aktivní intelekt a také </w:t>
      </w:r>
      <w:r w:rsidR="08163013" w:rsidRPr="00273106">
        <w:t xml:space="preserve">analytický výklad </w:t>
      </w:r>
      <w:r w:rsidR="08163013" w:rsidRPr="08870028">
        <w:rPr>
          <w:i/>
        </w:rPr>
        <w:t>Druhých analytik</w:t>
      </w:r>
      <w:r w:rsidR="08163013">
        <w:t>, nesdílel dualistické pojetí duše</w:t>
      </w:r>
      <w:r w:rsidR="08163013">
        <w:rPr>
          <w:i/>
        </w:rPr>
        <w:fldChar w:fldCharType="begin"/>
      </w:r>
      <w:r w:rsidR="08163013">
        <w:instrText xml:space="preserve"> XE "</w:instrText>
      </w:r>
      <w:r w:rsidR="08163013" w:rsidRPr="0015798D">
        <w:rPr>
          <w:i/>
        </w:rPr>
        <w:instrText>Oxfordian Fallacy:</w:instrText>
      </w:r>
      <w:r w:rsidR="08163013" w:rsidRPr="00CD6B89">
        <w:instrText>Aegidius Romanus</w:instrText>
      </w:r>
      <w:r w:rsidR="08163013">
        <w:instrText xml:space="preserve">" </w:instrText>
      </w:r>
      <w:r w:rsidR="08163013">
        <w:rPr>
          <w:i/>
        </w:rPr>
        <w:fldChar w:fldCharType="end"/>
      </w:r>
      <w:r w:rsidR="08163013" w:rsidRPr="00273106">
        <w:t>.</w:t>
      </w:r>
    </w:p>
    <w:p w:rsidR="009D7EBE" w:rsidRDefault="08163013" w:rsidP="00A92222">
      <w:pPr>
        <w:ind w:firstLine="397"/>
      </w:pPr>
      <w:r>
        <w:t>Neúplný M</w:t>
      </w:r>
      <w:r w:rsidRPr="00273106">
        <w:t xml:space="preserve">nichovský rukopis </w:t>
      </w:r>
      <w:r>
        <w:t xml:space="preserve">s komentářem </w:t>
      </w:r>
      <w:r w:rsidR="00007D95">
        <w:rPr>
          <w:i/>
        </w:rPr>
        <w:t>De anima I–</w:t>
      </w:r>
      <w:r w:rsidRPr="002368E7">
        <w:rPr>
          <w:i/>
        </w:rPr>
        <w:t>II</w:t>
      </w:r>
      <w:r>
        <w:t xml:space="preserve"> </w:t>
      </w:r>
      <w:r w:rsidRPr="00273106">
        <w:t xml:space="preserve">naopak filosoficky jasně a precizně brání teze prvního averroismu s odvoláním na Aristotela a </w:t>
      </w:r>
      <w:r>
        <w:t>Averroes</w:t>
      </w:r>
      <w:r w:rsidRPr="00273106">
        <w:t>e. Styl argumentace představuje brilantní ukázku myšlení</w:t>
      </w:r>
      <w:r>
        <w:t xml:space="preserve"> prvního averroismu</w:t>
      </w:r>
      <w:r w:rsidRPr="00273106">
        <w:t xml:space="preserve">. Autor je střídmý ve výrazech, nepouští se do žádných zbytečných polemik, je logicky přesný, terminologicky jasný a představuje po filosofické stránce vrcholnou syntézu prvního averroismu. Navíc podává </w:t>
      </w:r>
      <w:r w:rsidR="00C96085">
        <w:t xml:space="preserve">k argumentaci </w:t>
      </w:r>
      <w:r w:rsidRPr="00273106">
        <w:t xml:space="preserve">proti omylům druhého averroismu </w:t>
      </w:r>
      <w:r w:rsidR="00C96085">
        <w:t xml:space="preserve">také </w:t>
      </w:r>
      <w:r>
        <w:t xml:space="preserve">celkovou </w:t>
      </w:r>
      <w:r w:rsidRPr="00273106">
        <w:t>syntéz</w:t>
      </w:r>
      <w:r>
        <w:t>u</w:t>
      </w:r>
      <w:r w:rsidRPr="00273106">
        <w:t xml:space="preserve"> </w:t>
      </w:r>
      <w:r>
        <w:t xml:space="preserve">CMDA </w:t>
      </w:r>
      <w:r w:rsidRPr="00273106">
        <w:t xml:space="preserve">ohledně jednoty osoby. </w:t>
      </w:r>
      <w:r w:rsidR="00C96085">
        <w:t xml:space="preserve">Autor </w:t>
      </w:r>
      <w:r w:rsidRPr="00273106">
        <w:t>píše v nové situaci dané nástupem druhého averro</w:t>
      </w:r>
      <w:r>
        <w:t>ismu po roce 1255</w:t>
      </w:r>
      <w:r w:rsidRPr="00273106">
        <w:t xml:space="preserve"> </w:t>
      </w:r>
      <w:r w:rsidR="00C96085">
        <w:t xml:space="preserve">na Pařížské univerzitě. Provedl </w:t>
      </w:r>
      <w:r>
        <w:t xml:space="preserve">brilantní výklad CMDA podaný </w:t>
      </w:r>
      <w:r>
        <w:rPr>
          <w:i/>
        </w:rPr>
        <w:t>ad mentem Averrois</w:t>
      </w:r>
      <w:r>
        <w:rPr>
          <w:i/>
        </w:rPr>
        <w:fldChar w:fldCharType="begin"/>
      </w:r>
      <w:r>
        <w:instrText xml:space="preserve"> XE "</w:instrText>
      </w:r>
      <w:r>
        <w:rPr>
          <w:i/>
        </w:rPr>
        <w:instrText>ad mentem Averrois</w:instrText>
      </w:r>
      <w:r>
        <w:instrText xml:space="preserve">" </w:instrText>
      </w:r>
      <w:r>
        <w:rPr>
          <w:i/>
        </w:rPr>
        <w:fldChar w:fldCharType="end"/>
      </w:r>
      <w:r>
        <w:t xml:space="preserve"> podle Sicilské školy</w:t>
      </w:r>
      <w:r>
        <w:fldChar w:fldCharType="begin"/>
      </w:r>
      <w:r>
        <w:instrText xml:space="preserve"> XE "</w:instrText>
      </w:r>
      <w:r w:rsidRPr="083B79B9">
        <w:instrText>Sicilská škola</w:instrText>
      </w:r>
      <w:r>
        <w:instrText xml:space="preserve">" </w:instrText>
      </w:r>
      <w:r>
        <w:fldChar w:fldCharType="end"/>
      </w:r>
      <w:r w:rsidRPr="00273106">
        <w:t>. T</w:t>
      </w:r>
      <w:r>
        <w:t xml:space="preserve">ěmto kritériím vyhovuje pouze </w:t>
      </w:r>
      <w:r w:rsidRPr="00273106">
        <w:t xml:space="preserve">Siger z Brabantu </w:t>
      </w:r>
      <w:r>
        <w:t xml:space="preserve">v době psaní </w:t>
      </w:r>
      <w:r>
        <w:rPr>
          <w:i/>
        </w:rPr>
        <w:t>Quaestiones</w:t>
      </w:r>
      <w:r w:rsidRPr="00273106">
        <w:rPr>
          <w:i/>
        </w:rPr>
        <w:t xml:space="preserve"> in tertiu</w:t>
      </w:r>
      <w:r>
        <w:rPr>
          <w:i/>
        </w:rPr>
        <w:t>m D</w:t>
      </w:r>
      <w:r w:rsidRPr="00273106">
        <w:rPr>
          <w:i/>
        </w:rPr>
        <w:t>e anima</w:t>
      </w:r>
      <w:r>
        <w:t xml:space="preserve"> (</w:t>
      </w:r>
      <w:r w:rsidR="00950796">
        <w:t xml:space="preserve">asi </w:t>
      </w:r>
      <w:r>
        <w:t>1265</w:t>
      </w:r>
      <w:r w:rsidRPr="00273106">
        <w:t xml:space="preserve">) a před vydáním spisu </w:t>
      </w:r>
      <w:r w:rsidRPr="00273106">
        <w:rPr>
          <w:i/>
          <w:lang w:eastAsia="en-US"/>
        </w:rPr>
        <w:t>De anima intellectiva</w:t>
      </w:r>
      <w:r>
        <w:rPr>
          <w:lang w:eastAsia="en-US"/>
        </w:rPr>
        <w:t xml:space="preserve"> (asi 1273</w:t>
      </w:r>
      <w:r w:rsidRPr="00273106">
        <w:rPr>
          <w:lang w:eastAsia="en-US"/>
        </w:rPr>
        <w:t>)</w:t>
      </w:r>
      <w:r w:rsidRPr="00273106">
        <w:t>. Hermeneutika proto souhlasí se Steenberghenovou tezí o autorství Sigera, protože manuskript z Mnichova neobsahuje žádné protikladné nauky vzhledem k Sigerově pozici (ibid, 130). A pokud oddělíme oba rukopisy od sebe jako samotná pojednání různých škol, tak se pravděpodobnost Sigerova autorství zásadně zvýší</w:t>
      </w:r>
      <w:r>
        <w:t xml:space="preserve">, zejména spojením tohoto díla s jeho komentářem ke třetí knize </w:t>
      </w:r>
      <w:r w:rsidRPr="00513CDD">
        <w:rPr>
          <w:i/>
        </w:rPr>
        <w:t>De anima</w:t>
      </w:r>
      <w:r w:rsidRPr="00273106">
        <w:t>.</w:t>
      </w:r>
      <w:r>
        <w:t xml:space="preserve"> Mnichovský rukopis svědčí ve prospěch studentského </w:t>
      </w:r>
      <w:r w:rsidRPr="004D00C4">
        <w:rPr>
          <w:i/>
        </w:rPr>
        <w:t>reportatio</w:t>
      </w:r>
      <w:r>
        <w:t xml:space="preserve"> z Pařížské univerzity, ale precizní styl formulací se shoduje s původním stylem myšlení magistra Sigera. Toto dílo bylo přeneseno do prostředí druhého averroismu na Oxfordu, kde jej spojili s ideově odlišným </w:t>
      </w:r>
      <w:r>
        <w:lastRenderedPageBreak/>
        <w:t xml:space="preserve">komentářem Aegidia Romana, kterému zdejší modernisté pochopitelně dali přednost. Pozdější konflikty kolem osoby Sigera a sporu o averroismus se na rukopise podepsaly nepřímo. Mnichovský rukopis je hůře čitelný a mnohá místa s aristotelskými komentáři jsou začerněna, chybí nejdůležitější komentář k </w:t>
      </w:r>
      <w:proofErr w:type="gramStart"/>
      <w:r w:rsidRPr="000178AE">
        <w:rPr>
          <w:i/>
        </w:rPr>
        <w:t>De</w:t>
      </w:r>
      <w:proofErr w:type="gramEnd"/>
      <w:r w:rsidRPr="000178AE">
        <w:rPr>
          <w:i/>
        </w:rPr>
        <w:t xml:space="preserve"> anima</w:t>
      </w:r>
      <w:r>
        <w:t xml:space="preserve"> III. Může být, že chybějící komentář k DA III ani neexistoval, protože koloval jako Sigerovo samostatné dílo </w:t>
      </w:r>
      <w:r>
        <w:rPr>
          <w:i/>
        </w:rPr>
        <w:t>Quaestiones in tertium De a</w:t>
      </w:r>
      <w:r w:rsidRPr="00B438C4">
        <w:rPr>
          <w:i/>
        </w:rPr>
        <w:t>nima</w:t>
      </w:r>
      <w:r>
        <w:t xml:space="preserve">. Tím je dán rozdíl od úhledného a čitelného oxfordského rukopisu zhotoveného od profesionálního písaře, který sloužil pro běžnou výuku modernistů na Oxfordu. </w:t>
      </w:r>
      <w:r w:rsidRPr="00273106">
        <w:t xml:space="preserve">Manuscript Mnichova možná lze identifikovat se ztraceným Sigerovým spisem </w:t>
      </w:r>
      <w:r w:rsidRPr="00273106">
        <w:rPr>
          <w:i/>
        </w:rPr>
        <w:t>De intellectu</w:t>
      </w:r>
      <w:r w:rsidRPr="00273106">
        <w:t>, který zmiňuje Agostino Nifo</w:t>
      </w:r>
      <w:r>
        <w:fldChar w:fldCharType="begin"/>
      </w:r>
      <w:r>
        <w:instrText xml:space="preserve"> XE "</w:instrText>
      </w:r>
      <w:r w:rsidRPr="00386D4B">
        <w:instrText>Nifo, A.</w:instrText>
      </w:r>
      <w:r>
        <w:instrText xml:space="preserve">" </w:instrText>
      </w:r>
      <w:r>
        <w:fldChar w:fldCharType="end"/>
      </w:r>
      <w:r w:rsidRPr="00273106">
        <w:t xml:space="preserve">, renesanční aristotelik a znalec </w:t>
      </w:r>
      <w:r>
        <w:t>Averroes</w:t>
      </w:r>
      <w:r w:rsidRPr="00273106">
        <w:t>e</w:t>
      </w:r>
      <w:r w:rsidR="00276581">
        <w:t xml:space="preserve">. V díle </w:t>
      </w:r>
      <w:r w:rsidR="00276581" w:rsidRPr="00276581">
        <w:rPr>
          <w:i/>
        </w:rPr>
        <w:t>De intellectu</w:t>
      </w:r>
      <w:r w:rsidR="00276581">
        <w:t xml:space="preserve"> tituluje Sigera jako hlavní autoritu prvního averroismu (</w:t>
      </w:r>
      <w:r w:rsidR="00276581" w:rsidRPr="00276581">
        <w:rPr>
          <w:i/>
        </w:rPr>
        <w:t>Suggerius vir gravis secte Averroisticae fautor</w:t>
      </w:r>
      <w:r w:rsidR="00276581">
        <w:t xml:space="preserve">; </w:t>
      </w:r>
      <w:r w:rsidR="00276581" w:rsidRPr="003F593B">
        <w:rPr>
          <w:i/>
        </w:rPr>
        <w:t>De intellectu</w:t>
      </w:r>
      <w:r w:rsidR="00276581">
        <w:t>, f. 33ra</w:t>
      </w:r>
      <w:r w:rsidR="00B744AA">
        <w:t>, viz Hasse 2007, 315</w:t>
      </w:r>
      <w:r w:rsidR="00276581">
        <w:t>)</w:t>
      </w:r>
      <w:r w:rsidRPr="00273106">
        <w:t>.</w:t>
      </w:r>
      <w:r>
        <w:t xml:space="preserve"> </w:t>
      </w:r>
      <w:r w:rsidR="00A92222" w:rsidRPr="00A92222">
        <w:t>Skutečn</w:t>
      </w:r>
      <w:r w:rsidR="00A92222">
        <w:t>ost, že Nifo zařadil Sigera do „sekty averroistů“</w:t>
      </w:r>
      <w:r w:rsidR="00A92222" w:rsidRPr="00A92222">
        <w:t xml:space="preserve">, svědčí o jeho špatné znalosti </w:t>
      </w:r>
      <w:r w:rsidR="00A92222">
        <w:t xml:space="preserve">celé </w:t>
      </w:r>
      <w:r w:rsidR="00A92222" w:rsidRPr="00A92222">
        <w:t xml:space="preserve">problematiky. To se dostatečně potvrzuje v jeho komentářích týkajících se metafyziky Komentátora. </w:t>
      </w:r>
      <w:r>
        <w:t xml:space="preserve">Nifo cituje Sigerovy spisy velmi zběžně a není jisté, zda pod názvem </w:t>
      </w:r>
      <w:r w:rsidRPr="00BE6BAF">
        <w:rPr>
          <w:i/>
        </w:rPr>
        <w:t>De intellectu</w:t>
      </w:r>
      <w:r>
        <w:t xml:space="preserve"> nemyslí již známé Sigerovy spisy.</w:t>
      </w:r>
      <w:r w:rsidRPr="00273106">
        <w:rPr>
          <w:rStyle w:val="Znakapoznpodarou"/>
        </w:rPr>
        <w:footnoteReference w:id="125"/>
      </w:r>
      <w:r w:rsidRPr="00273106">
        <w:t xml:space="preserve"> Další pravděpodobná možnost se nabízí v identifikaci se ztraceným Sigerovým spisem </w:t>
      </w:r>
      <w:r w:rsidR="00257737">
        <w:rPr>
          <w:i/>
        </w:rPr>
        <w:t>De anima I–</w:t>
      </w:r>
      <w:r w:rsidRPr="00273106">
        <w:rPr>
          <w:i/>
        </w:rPr>
        <w:t>II</w:t>
      </w:r>
      <w:r w:rsidRPr="00273106">
        <w:t xml:space="preserve">. </w:t>
      </w:r>
      <w:r>
        <w:t xml:space="preserve">Je logické, že magistr Siger komentoval všechny tři knihy </w:t>
      </w:r>
      <w:r w:rsidRPr="0031705D">
        <w:rPr>
          <w:i/>
        </w:rPr>
        <w:t>De anima</w:t>
      </w:r>
      <w:r>
        <w:t xml:space="preserve">, protože tento Aristotelův spis byl na seznamu povinné četby artistické fakulty už od roku 1255. </w:t>
      </w:r>
      <w:r w:rsidRPr="00273106">
        <w:t xml:space="preserve">Struktura rukopisu z Mnichova po formální stránce odpovídá tomuto pojednání, protože zcela chybí komentář ke třetí knize </w:t>
      </w:r>
      <w:r>
        <w:rPr>
          <w:i/>
        </w:rPr>
        <w:t>De anima</w:t>
      </w:r>
      <w:r w:rsidRPr="00273106">
        <w:t xml:space="preserve"> a spis obsahuje pouze komentář ke knize I a II (Steenberghen 1971, 126). Pro oba rukopisy Steenberghen navrh</w:t>
      </w:r>
      <w:r>
        <w:t xml:space="preserve">uje </w:t>
      </w:r>
      <w:r w:rsidRPr="00273106">
        <w:t>datac</w:t>
      </w:r>
      <w:r>
        <w:t>i</w:t>
      </w:r>
      <w:r w:rsidRPr="00273106">
        <w:t xml:space="preserve"> po roce 1270</w:t>
      </w:r>
      <w:r>
        <w:t xml:space="preserve">. </w:t>
      </w:r>
      <w:r w:rsidR="00970AF7">
        <w:t>Jak uvidíme dále, s</w:t>
      </w:r>
      <w:r>
        <w:t>tr</w:t>
      </w:r>
      <w:r w:rsidRPr="00273106">
        <w:t>uktura argumentace</w:t>
      </w:r>
      <w:r>
        <w:t xml:space="preserve"> </w:t>
      </w:r>
      <w:r w:rsidR="000C0EDB">
        <w:t>neodpovídá</w:t>
      </w:r>
      <w:r w:rsidR="00970AF7">
        <w:t xml:space="preserve"> této dataci</w:t>
      </w:r>
      <w:r w:rsidR="000C0EDB">
        <w:t>. Z</w:t>
      </w:r>
      <w:r w:rsidR="004D6794">
        <w:t xml:space="preserve">ejména </w:t>
      </w:r>
      <w:r>
        <w:t>poslední část Oxfordského rukopisu (DA III) je z hl</w:t>
      </w:r>
      <w:r w:rsidR="004D6794">
        <w:t>ediska datování velmi důležitá</w:t>
      </w:r>
      <w:r w:rsidR="00970AF7">
        <w:t xml:space="preserve">. Geneze a staruktura argumentace této části dokazuje, že zcela určitě </w:t>
      </w:r>
      <w:r w:rsidR="004D6794">
        <w:t xml:space="preserve">nevznikla </w:t>
      </w:r>
      <w:r>
        <w:t xml:space="preserve">až po vydání Akvinského spisu </w:t>
      </w:r>
      <w:r w:rsidRPr="007A5EE5">
        <w:rPr>
          <w:i/>
        </w:rPr>
        <w:t>De unitate intellectus</w:t>
      </w:r>
      <w:r w:rsidR="009D7EBE">
        <w:t xml:space="preserve"> (1270)</w:t>
      </w:r>
      <w:r w:rsidR="004D6794">
        <w:t>, jak se domnívá Steenberghen</w:t>
      </w:r>
      <w:r w:rsidR="009D7EBE">
        <w:t>.</w:t>
      </w:r>
    </w:p>
    <w:p w:rsidR="08163013" w:rsidRPr="00273106" w:rsidRDefault="009D7EBE" w:rsidP="005D0C7F">
      <w:pPr>
        <w:ind w:firstLine="397"/>
      </w:pPr>
      <w:r>
        <w:t xml:space="preserve">Nejprve je třeba vyjmenovat </w:t>
      </w:r>
      <w:r w:rsidR="08163013" w:rsidRPr="00273106">
        <w:t>základní</w:t>
      </w:r>
      <w:r>
        <w:t xml:space="preserve"> rozdíly</w:t>
      </w:r>
      <w:r w:rsidR="08163013" w:rsidRPr="00273106">
        <w:t xml:space="preserve"> mezi oběma rukopisy. Týkají se statutu </w:t>
      </w:r>
      <w:r w:rsidR="00962190">
        <w:rPr>
          <w:i/>
        </w:rPr>
        <w:t>species</w:t>
      </w:r>
      <w:r w:rsidR="08163013" w:rsidRPr="00273106">
        <w:t xml:space="preserve"> a univerzálií, povahy materie a pochopitelně i statutu intelektu determinujícího dvě odlišné formy vědeckého poznání a dva odlišné koncepty metafyziky.</w:t>
      </w:r>
      <w:r w:rsidR="005D0C7F">
        <w:t xml:space="preserve"> </w:t>
      </w:r>
      <w:r w:rsidR="08163013" w:rsidRPr="00273106">
        <w:t xml:space="preserve">Mnichovský rukopis (dále </w:t>
      </w:r>
      <w:r w:rsidR="08163013">
        <w:t xml:space="preserve">jen </w:t>
      </w:r>
      <w:r w:rsidR="08163013" w:rsidRPr="00273106">
        <w:t xml:space="preserve">„M“) začíná definicí vědy jako nemateriálního univerzálního poznání podle principu </w:t>
      </w:r>
      <w:r w:rsidR="08A649EB" w:rsidRPr="08A649EB">
        <w:rPr>
          <w:i/>
        </w:rPr>
        <w:lastRenderedPageBreak/>
        <w:t>ex</w:t>
      </w:r>
      <w:r w:rsidR="08A649EB">
        <w:t xml:space="preserve"> </w:t>
      </w:r>
      <w:r w:rsidR="08A649EB">
        <w:rPr>
          <w:i/>
        </w:rPr>
        <w:t>in</w:t>
      </w:r>
      <w:r w:rsidR="08163013" w:rsidRPr="00273106">
        <w:rPr>
          <w:i/>
        </w:rPr>
        <w:t>mediat</w:t>
      </w:r>
      <w:r w:rsidR="08A649EB">
        <w:rPr>
          <w:i/>
        </w:rPr>
        <w:t>is</w:t>
      </w:r>
      <w:r w:rsidR="08163013" w:rsidRPr="00273106">
        <w:t xml:space="preserve"> z výslovně citovaných </w:t>
      </w:r>
      <w:r w:rsidR="08163013" w:rsidRPr="086D3BDF">
        <w:rPr>
          <w:i/>
        </w:rPr>
        <w:t>Druhých analytik</w:t>
      </w:r>
      <w:r w:rsidR="08163013">
        <w:fldChar w:fldCharType="begin"/>
      </w:r>
      <w:r w:rsidR="08163013">
        <w:instrText xml:space="preserve"> XE "</w:instrText>
      </w:r>
      <w:r w:rsidR="08163013" w:rsidRPr="00483D72">
        <w:instrText xml:space="preserve">princip </w:instrText>
      </w:r>
      <w:r w:rsidR="08A649EB">
        <w:rPr>
          <w:i/>
        </w:rPr>
        <w:instrText>ex in</w:instrText>
      </w:r>
      <w:r w:rsidR="08163013" w:rsidRPr="00F53B8E">
        <w:rPr>
          <w:i/>
        </w:rPr>
        <w:instrText>mediatis</w:instrText>
      </w:r>
      <w:r w:rsidR="08163013">
        <w:instrText xml:space="preserve">" </w:instrText>
      </w:r>
      <w:r w:rsidR="08163013">
        <w:fldChar w:fldCharType="end"/>
      </w:r>
      <w:r w:rsidR="08163013" w:rsidRPr="00273106">
        <w:t>. Poznání musí jít k substanciálním vlastnostem první substance (</w:t>
      </w:r>
      <w:r w:rsidR="08163013" w:rsidRPr="00273106">
        <w:rPr>
          <w:i/>
        </w:rPr>
        <w:t>subiectum</w:t>
      </w:r>
      <w:r w:rsidR="08163013" w:rsidRPr="00273106">
        <w:t>) jak</w:t>
      </w:r>
      <w:r w:rsidR="08163013">
        <w:t>o</w:t>
      </w:r>
      <w:r w:rsidR="08163013" w:rsidRPr="00273106">
        <w:t xml:space="preserve"> východiska poznání (</w:t>
      </w:r>
      <w:r w:rsidR="08163013" w:rsidRPr="00273106">
        <w:rPr>
          <w:i/>
        </w:rPr>
        <w:t>principium</w:t>
      </w:r>
      <w:r w:rsidR="08163013" w:rsidRPr="00273106">
        <w:t>) a základu následných poznatků (</w:t>
      </w:r>
      <w:r w:rsidR="08163013" w:rsidRPr="00273106">
        <w:rPr>
          <w:i/>
        </w:rPr>
        <w:t>cognitio subiecti principium est cognitionis omnium aliorum</w:t>
      </w:r>
      <w:r w:rsidR="08163013" w:rsidRPr="00273106">
        <w:t>). Zkoumaná realita je dána v působení reálných prvních substancí (</w:t>
      </w:r>
      <w:r w:rsidR="08163013" w:rsidRPr="00273106">
        <w:rPr>
          <w:i/>
        </w:rPr>
        <w:t>est enim principium cognitionis propriae passionis</w:t>
      </w:r>
      <w:r w:rsidR="08163013" w:rsidRPr="00273106">
        <w:t>), kterým na straně poznání odpovídá racionální výměr</w:t>
      </w:r>
      <w:r w:rsidR="08163013" w:rsidRPr="00273106">
        <w:rPr>
          <w:i/>
        </w:rPr>
        <w:t xml:space="preserve"> </w:t>
      </w:r>
      <w:r w:rsidR="08163013" w:rsidRPr="00273106">
        <w:t>(</w:t>
      </w:r>
      <w:r w:rsidR="08163013" w:rsidRPr="00273106">
        <w:rPr>
          <w:i/>
        </w:rPr>
        <w:t>quia ponitur in ratione eius</w:t>
      </w:r>
      <w:r w:rsidR="08163013" w:rsidRPr="007910F2">
        <w:t>;</w:t>
      </w:r>
      <w:r w:rsidR="08163013" w:rsidRPr="00273106">
        <w:rPr>
          <w:i/>
        </w:rPr>
        <w:t xml:space="preserve"> </w:t>
      </w:r>
      <w:r w:rsidR="08163013" w:rsidRPr="00273106">
        <w:t>M 1.1.2; p. 138.22‒25</w:t>
      </w:r>
      <w:r w:rsidR="08163013">
        <w:fldChar w:fldCharType="begin"/>
      </w:r>
      <w:r w:rsidR="08163013">
        <w:instrText xml:space="preserve"> XE "</w:instrText>
      </w:r>
      <w:r w:rsidR="08163013" w:rsidRPr="00F53B8E">
        <w:rPr>
          <w:i/>
        </w:rPr>
        <w:instrText>Mnichovský Anonym</w:instrText>
      </w:r>
      <w:r w:rsidR="08163013">
        <w:instrText xml:space="preserve"> </w:instrText>
      </w:r>
      <w:r w:rsidR="08163013" w:rsidRPr="00DE6CA6">
        <w:instrText>138.22‒25</w:instrText>
      </w:r>
      <w:r w:rsidR="08163013">
        <w:instrText xml:space="preserve">" </w:instrText>
      </w:r>
      <w:r w:rsidR="08163013">
        <w:fldChar w:fldCharType="end"/>
      </w:r>
      <w:r w:rsidR="08163013" w:rsidRPr="00273106">
        <w:t xml:space="preserve">). Rukopis trvá na principu </w:t>
      </w:r>
      <w:r w:rsidR="002761D9">
        <w:t>„</w:t>
      </w:r>
      <w:r w:rsidR="087C0F00">
        <w:rPr>
          <w:i/>
        </w:rPr>
        <w:t>in</w:t>
      </w:r>
      <w:r w:rsidR="08163013" w:rsidRPr="00273106">
        <w:rPr>
          <w:i/>
        </w:rPr>
        <w:t>mediate</w:t>
      </w:r>
      <w:r w:rsidR="002761D9">
        <w:t>“</w:t>
      </w:r>
      <w:r w:rsidR="08163013" w:rsidRPr="00273106">
        <w:t xml:space="preserve">, i když jej přímo nezmiňuje, ale ze souvislostí citovaných </w:t>
      </w:r>
      <w:r w:rsidR="08163013" w:rsidRPr="08B22DC9">
        <w:rPr>
          <w:i/>
        </w:rPr>
        <w:t>Druhých analytik</w:t>
      </w:r>
      <w:r w:rsidR="08163013" w:rsidRPr="00273106">
        <w:t xml:space="preserve"> je to zřejmé.</w:t>
      </w:r>
      <w:r w:rsidR="08163013" w:rsidRPr="00273106">
        <w:rPr>
          <w:rStyle w:val="Znakapoznpodarou"/>
        </w:rPr>
        <w:footnoteReference w:id="126"/>
      </w:r>
      <w:r w:rsidR="08163013">
        <w:t xml:space="preserve"> </w:t>
      </w:r>
      <w:r w:rsidR="08163013" w:rsidRPr="00273106">
        <w:t>Pojetí</w:t>
      </w:r>
      <w:r w:rsidR="08163013" w:rsidRPr="00273106">
        <w:rPr>
          <w:i/>
        </w:rPr>
        <w:t xml:space="preserve"> demonstratio</w:t>
      </w:r>
      <w:r w:rsidR="08163013">
        <w:rPr>
          <w:i/>
        </w:rPr>
        <w:fldChar w:fldCharType="begin"/>
      </w:r>
      <w:r w:rsidR="08163013">
        <w:instrText xml:space="preserve"> XE "</w:instrText>
      </w:r>
      <w:r w:rsidR="08163013" w:rsidRPr="00205342">
        <w:rPr>
          <w:i/>
        </w:rPr>
        <w:instrText>demonstratio</w:instrText>
      </w:r>
      <w:r w:rsidR="08163013">
        <w:rPr>
          <w:i/>
        </w:rPr>
        <w:instrText>:</w:instrText>
      </w:r>
      <w:r w:rsidR="08163013" w:rsidRPr="00F53B8E">
        <w:instrText>Mnichovský anonym</w:instrText>
      </w:r>
      <w:r w:rsidR="08163013">
        <w:instrText xml:space="preserve">" </w:instrText>
      </w:r>
      <w:r w:rsidR="08163013">
        <w:rPr>
          <w:i/>
        </w:rPr>
        <w:fldChar w:fldCharType="end"/>
      </w:r>
      <w:r w:rsidR="08163013" w:rsidRPr="00273106">
        <w:t xml:space="preserve"> vychází z prvního averroismu, protože upravuje pojetí vědy podle účinného působení reálných substancí (</w:t>
      </w:r>
      <w:r w:rsidR="08163013" w:rsidRPr="00273106">
        <w:rPr>
          <w:i/>
        </w:rPr>
        <w:t>passiones</w:t>
      </w:r>
      <w:r w:rsidR="08163013" w:rsidRPr="00273106">
        <w:t>). Smysl poznání je dán směrem od první</w:t>
      </w:r>
      <w:r w:rsidR="002761D9">
        <w:t>ch substancí, které determinují</w:t>
      </w:r>
      <w:r w:rsidR="08163013" w:rsidRPr="00273106">
        <w:t xml:space="preserve"> svou aktuální přítomností následný průběh abstrakce. Oxfordský rukopis (dále </w:t>
      </w:r>
      <w:r w:rsidR="08163013">
        <w:t xml:space="preserve">jen </w:t>
      </w:r>
      <w:r w:rsidR="08163013" w:rsidRPr="00273106">
        <w:t xml:space="preserve">„O“) tuto část upravil tak, že princip reality vypadl a </w:t>
      </w:r>
      <w:r w:rsidR="08163013">
        <w:t xml:space="preserve">definice </w:t>
      </w:r>
      <w:r w:rsidR="08163013" w:rsidRPr="008F58C6">
        <w:rPr>
          <w:i/>
        </w:rPr>
        <w:t>demonst</w:t>
      </w:r>
      <w:r w:rsidR="08163013">
        <w:rPr>
          <w:i/>
        </w:rPr>
        <w:t>r</w:t>
      </w:r>
      <w:r w:rsidR="08163013" w:rsidRPr="008F58C6">
        <w:rPr>
          <w:i/>
        </w:rPr>
        <w:t>atio</w:t>
      </w:r>
      <w:r w:rsidR="08163013">
        <w:t xml:space="preserve"> se přesunula na střední člen</w:t>
      </w:r>
      <w:r w:rsidR="08163013" w:rsidRPr="00273106">
        <w:t xml:space="preserve"> soudu</w:t>
      </w:r>
      <w:r w:rsidR="08163013">
        <w:t xml:space="preserve"> upravený podle </w:t>
      </w:r>
      <w:r w:rsidR="08163013" w:rsidRPr="002E5FB8">
        <w:rPr>
          <w:i/>
        </w:rPr>
        <w:t>Oxfordian Fallacy</w:t>
      </w:r>
      <w:r w:rsidR="08163013">
        <w:rPr>
          <w:i/>
        </w:rPr>
        <w:fldChar w:fldCharType="begin"/>
      </w:r>
      <w:r w:rsidR="08163013">
        <w:instrText xml:space="preserve"> XE "</w:instrText>
      </w:r>
      <w:r w:rsidR="08163013" w:rsidRPr="00F53B8E">
        <w:rPr>
          <w:i/>
        </w:rPr>
        <w:instrText>medium</w:instrText>
      </w:r>
      <w:r w:rsidR="08163013">
        <w:instrText xml:space="preserve">:Oxfordský anonym" </w:instrText>
      </w:r>
      <w:r w:rsidR="08163013">
        <w:rPr>
          <w:i/>
        </w:rPr>
        <w:fldChar w:fldCharType="end"/>
      </w:r>
      <w:r w:rsidR="08163013" w:rsidRPr="00273106">
        <w:t>. Princip poznání byl v souladu s učením druhého averroismu přesunut z</w:t>
      </w:r>
      <w:r w:rsidR="002761D9">
        <w:t xml:space="preserve"> impozice od </w:t>
      </w:r>
      <w:r w:rsidR="08163013" w:rsidRPr="00273106">
        <w:t xml:space="preserve">reality do </w:t>
      </w:r>
      <w:r w:rsidR="002761D9">
        <w:t xml:space="preserve">supozice dané </w:t>
      </w:r>
      <w:r w:rsidR="08163013" w:rsidRPr="00273106">
        <w:t>logi</w:t>
      </w:r>
      <w:r w:rsidR="002761D9">
        <w:t>c</w:t>
      </w:r>
      <w:r w:rsidR="08163013" w:rsidRPr="00273106">
        <w:t>ky</w:t>
      </w:r>
      <w:r w:rsidR="08163013">
        <w:t xml:space="preserve">. </w:t>
      </w:r>
      <w:r w:rsidR="08163013" w:rsidRPr="00273106">
        <w:t xml:space="preserve">Další část argumentace </w:t>
      </w:r>
      <w:proofErr w:type="gramStart"/>
      <w:r w:rsidR="08163013" w:rsidRPr="00273106">
        <w:t>rukopisu O ukazuje</w:t>
      </w:r>
      <w:proofErr w:type="gramEnd"/>
      <w:r w:rsidR="08163013" w:rsidRPr="00273106">
        <w:t xml:space="preserve">, že nejde o náhodu. Nasvícení nejde od první substance jako případě M, ale </w:t>
      </w:r>
      <w:r w:rsidR="08163013">
        <w:t xml:space="preserve">od esence a </w:t>
      </w:r>
      <w:r w:rsidR="08163013" w:rsidRPr="00273106">
        <w:t>od automních principů poznání</w:t>
      </w:r>
      <w:r w:rsidR="08163013">
        <w:t xml:space="preserve"> daných v inteelltu jako sebereflexivní aktuální hypostázi</w:t>
      </w:r>
      <w:r w:rsidR="08163013" w:rsidRPr="00273106">
        <w:t xml:space="preserve">. </w:t>
      </w:r>
      <w:proofErr w:type="gramStart"/>
      <w:r w:rsidR="08163013">
        <w:t xml:space="preserve">Rukopis O </w:t>
      </w:r>
      <w:r w:rsidR="08163013" w:rsidRPr="00273106">
        <w:t>vůbec nezmiňuje</w:t>
      </w:r>
      <w:proofErr w:type="gramEnd"/>
      <w:r w:rsidR="08163013" w:rsidRPr="00273106">
        <w:t xml:space="preserve"> </w:t>
      </w:r>
      <w:r w:rsidR="08163013">
        <w:t xml:space="preserve">v parafrázi rukopisu M spis </w:t>
      </w:r>
      <w:r w:rsidR="08163013" w:rsidRPr="08FE15DC">
        <w:rPr>
          <w:i/>
        </w:rPr>
        <w:t>Druhé analytiky</w:t>
      </w:r>
      <w:r w:rsidR="08163013">
        <w:t xml:space="preserve"> </w:t>
      </w:r>
      <w:r w:rsidR="08163013" w:rsidRPr="00273106">
        <w:t xml:space="preserve">a právem, protože mění smysl </w:t>
      </w:r>
      <w:r w:rsidR="00E74665">
        <w:t xml:space="preserve">rukopisu M </w:t>
      </w:r>
      <w:r w:rsidR="08163013" w:rsidRPr="00273106">
        <w:t>ve stylu druhého averroismu.</w:t>
      </w:r>
      <w:r w:rsidR="08163013">
        <w:t xml:space="preserve"> Rukopis M jasně říká odvoláním na Aristotela, že univerzální poznání je podle výše uvedených důkazů nemateriální (</w:t>
      </w:r>
      <w:r w:rsidR="08163013" w:rsidRPr="086105C2">
        <w:rPr>
          <w:i/>
        </w:rPr>
        <w:t>universale secundum quod huiusmodi non est corruptibile</w:t>
      </w:r>
      <w:r w:rsidR="08163013">
        <w:t>) a tím takto produkované vědění a poznatky (</w:t>
      </w:r>
      <w:r w:rsidR="08163013" w:rsidRPr="089812B0">
        <w:rPr>
          <w:i/>
        </w:rPr>
        <w:t>scientia</w:t>
      </w:r>
      <w:r w:rsidR="08163013">
        <w:t>). Ale proces vzniku tohto vědění musí být dán na materiálním substrátu těla, na které kauzálně působí poznávané věci (</w:t>
      </w:r>
      <w:r w:rsidR="08163013" w:rsidRPr="086105C2">
        <w:rPr>
          <w:i/>
        </w:rPr>
        <w:t>illud de quo est scientia oportet quod habeat passiones</w:t>
      </w:r>
      <w:r w:rsidR="08163013">
        <w:t xml:space="preserve">). Zásadní rozdíl mezi </w:t>
      </w:r>
      <w:proofErr w:type="gramStart"/>
      <w:r w:rsidR="08163013">
        <w:t>rukopisem M a O najdeme</w:t>
      </w:r>
      <w:proofErr w:type="gramEnd"/>
      <w:r w:rsidR="08163013">
        <w:t xml:space="preserve"> v pasáži, která chápe subjekt poznání podle </w:t>
      </w:r>
      <w:r w:rsidR="08163013" w:rsidRPr="0014478B">
        <w:rPr>
          <w:i/>
        </w:rPr>
        <w:t>Modernorum</w:t>
      </w:r>
      <w:r w:rsidR="08163013">
        <w:t>, tedy nasvícením zezadu od hypostatických principů poznání uložených v intelektu podle Avicenny. Citát z Oxfordského rukopisu ukazuje přesně opačnou pozici, než měl Gieleho anonym.</w:t>
      </w:r>
      <w:r w:rsidR="08163013" w:rsidRPr="00014AA1">
        <w:t xml:space="preserve"> </w:t>
      </w:r>
      <w:r w:rsidR="08163013" w:rsidRPr="00273106">
        <w:t xml:space="preserve">Změna </w:t>
      </w:r>
      <w:r w:rsidR="08163013">
        <w:t>Mnichovské</w:t>
      </w:r>
      <w:r w:rsidR="008A19E1">
        <w:t xml:space="preserve">ho </w:t>
      </w:r>
      <w:r w:rsidR="08163013">
        <w:lastRenderedPageBreak/>
        <w:t xml:space="preserve">rukopisu je zásadní a sleduje argumentaci </w:t>
      </w:r>
      <w:r w:rsidR="08163013" w:rsidRPr="00293421">
        <w:rPr>
          <w:i/>
        </w:rPr>
        <w:t>Oxfordian Fallacy</w:t>
      </w:r>
      <w:r w:rsidR="08163013">
        <w:rPr>
          <w:i/>
        </w:rPr>
        <w:fldChar w:fldCharType="begin"/>
      </w:r>
      <w:r w:rsidR="08163013">
        <w:instrText xml:space="preserve"> XE "</w:instrText>
      </w:r>
      <w:r w:rsidR="08163013" w:rsidRPr="0015798D">
        <w:rPr>
          <w:i/>
        </w:rPr>
        <w:instrText>Oxfordian Fallacy:</w:instrText>
      </w:r>
      <w:r w:rsidR="08163013" w:rsidRPr="00F53B8E">
        <w:instrText>Oxfordský anonym</w:instrText>
      </w:r>
      <w:r w:rsidR="08163013">
        <w:instrText xml:space="preserve">" </w:instrText>
      </w:r>
      <w:r w:rsidR="08163013">
        <w:rPr>
          <w:i/>
        </w:rPr>
        <w:fldChar w:fldCharType="end"/>
      </w:r>
      <w:r w:rsidR="08163013">
        <w:t>. Autor popisuje poznání moderního avicennistického subjektu, což je v rozporu s rukopisem M.</w:t>
      </w:r>
    </w:p>
    <w:p w:rsidR="08163013" w:rsidRPr="0014478B" w:rsidRDefault="08163013" w:rsidP="08163013">
      <w:pPr>
        <w:pStyle w:val="Citace"/>
        <w:rPr>
          <w:noProof/>
          <w:lang w:val="cs-CZ"/>
        </w:rPr>
      </w:pPr>
      <w:r w:rsidRPr="00273106">
        <w:rPr>
          <w:noProof/>
          <w:lang w:val="cs-CZ"/>
        </w:rPr>
        <w:t>„</w:t>
      </w:r>
      <w:r>
        <w:rPr>
          <w:noProof/>
          <w:lang w:val="cs-CZ"/>
        </w:rPr>
        <w:t xml:space="preserve">Inteligibilní poznání </w:t>
      </w:r>
      <w:r w:rsidR="00A41DF5">
        <w:rPr>
          <w:noProof/>
          <w:lang w:val="cs-CZ"/>
        </w:rPr>
        <w:t xml:space="preserve">subjektu </w:t>
      </w:r>
      <w:r>
        <w:rPr>
          <w:noProof/>
          <w:lang w:val="cs-CZ"/>
        </w:rPr>
        <w:t>(</w:t>
      </w:r>
      <w:r w:rsidRPr="08281E3E">
        <w:rPr>
          <w:i/>
          <w:noProof/>
        </w:rPr>
        <w:t>cognitio subiecti</w:t>
      </w:r>
      <w:r>
        <w:rPr>
          <w:noProof/>
          <w:lang w:val="cs-CZ"/>
        </w:rPr>
        <w:t xml:space="preserve">) se nejprve vynoří v intelektu podle jeho povahy a vědění. Inteligibilní poznání </w:t>
      </w:r>
      <w:r w:rsidR="002F2700">
        <w:rPr>
          <w:noProof/>
          <w:lang w:val="cs-CZ"/>
        </w:rPr>
        <w:t xml:space="preserve">subjektu </w:t>
      </w:r>
      <w:r>
        <w:rPr>
          <w:noProof/>
          <w:lang w:val="cs-CZ"/>
        </w:rPr>
        <w:t>skrze vědění je základem všeho ostatního (</w:t>
      </w:r>
      <w:r w:rsidRPr="0014478B">
        <w:rPr>
          <w:i/>
          <w:noProof/>
          <w:lang w:val="cs-CZ"/>
        </w:rPr>
        <w:t>cognitio subiecti in scientia est principium omnium aliorum</w:t>
      </w:r>
      <w:r>
        <w:rPr>
          <w:noProof/>
          <w:lang w:val="cs-CZ"/>
        </w:rPr>
        <w:t>), protože principy poznání jsou dány ve výměru subjektu (</w:t>
      </w:r>
      <w:r w:rsidRPr="0014478B">
        <w:rPr>
          <w:i/>
          <w:noProof/>
          <w:lang w:val="cs-CZ"/>
        </w:rPr>
        <w:t>principia fundantur in ratione subiecti</w:t>
      </w:r>
      <w:r>
        <w:rPr>
          <w:noProof/>
          <w:lang w:val="cs-CZ"/>
        </w:rPr>
        <w:t>). Proto je poznání subjektu principem poznání jeho vlastních hnutí (</w:t>
      </w:r>
      <w:r w:rsidRPr="0014478B">
        <w:rPr>
          <w:i/>
          <w:noProof/>
          <w:lang w:val="cs-CZ"/>
        </w:rPr>
        <w:t>principium cognitionis propriae passionis</w:t>
      </w:r>
      <w:r>
        <w:rPr>
          <w:noProof/>
          <w:lang w:val="cs-CZ"/>
        </w:rPr>
        <w:t>). Tato hnutí jsou v něm obsažena jako v racionálním subjektu (</w:t>
      </w:r>
      <w:r w:rsidRPr="0014478B">
        <w:rPr>
          <w:i/>
          <w:noProof/>
          <w:lang w:val="cs-CZ"/>
        </w:rPr>
        <w:t>subiectum ponatur in ratione eius</w:t>
      </w:r>
      <w:r>
        <w:rPr>
          <w:noProof/>
          <w:lang w:val="cs-CZ"/>
        </w:rPr>
        <w:t>). Proto musí být právě tímto subjektem (</w:t>
      </w:r>
      <w:r w:rsidRPr="0014478B">
        <w:rPr>
          <w:i/>
          <w:noProof/>
          <w:lang w:val="cs-CZ"/>
        </w:rPr>
        <w:t>subiectum debet esse tale</w:t>
      </w:r>
      <w:r>
        <w:rPr>
          <w:noProof/>
          <w:lang w:val="cs-CZ"/>
        </w:rPr>
        <w:t xml:space="preserve">), neboť jeho poznání primárně vzniká skrze takto dané vědění.“ </w:t>
      </w:r>
      <w:r>
        <w:rPr>
          <w:rStyle w:val="Znakapoznpodarou"/>
        </w:rPr>
        <w:footnoteReference w:id="127"/>
      </w:r>
    </w:p>
    <w:p w:rsidR="08163013" w:rsidRPr="00273106" w:rsidRDefault="08163013" w:rsidP="08163013">
      <w:r>
        <w:t>Sofistika citátu spočívá v nejasné definici subjektu poznání (</w:t>
      </w:r>
      <w:r w:rsidRPr="08281E3E">
        <w:rPr>
          <w:i/>
        </w:rPr>
        <w:t>cognitio subiecti</w:t>
      </w:r>
      <w:r w:rsidR="00DC5FA3">
        <w:t xml:space="preserve">). Ten </w:t>
      </w:r>
      <w:r>
        <w:t>nerozlišeně patří jak věci poznané v intelektu, tak reflexi intelektu jako nositeli aktu tohoto poznání (</w:t>
      </w:r>
      <w:r w:rsidRPr="0014478B">
        <w:rPr>
          <w:i/>
        </w:rPr>
        <w:t>principia fundantur in ratione subiecti</w:t>
      </w:r>
      <w:r>
        <w:t>). Zdroj poznání není externí věc, ale esenciálně dané</w:t>
      </w:r>
      <w:r w:rsidRPr="00273106">
        <w:t xml:space="preserve"> poznání </w:t>
      </w:r>
      <w:r>
        <w:t xml:space="preserve">sebereflexivního subjektu-intelektu </w:t>
      </w:r>
      <w:r w:rsidRPr="00273106">
        <w:t>(</w:t>
      </w:r>
      <w:r w:rsidRPr="00273106">
        <w:rPr>
          <w:i/>
        </w:rPr>
        <w:t>cognitio subiecti est principium cognitionis propriae passionis</w:t>
      </w:r>
      <w:r w:rsidRPr="00273106">
        <w:t>)</w:t>
      </w:r>
      <w:r>
        <w:t xml:space="preserve">. </w:t>
      </w:r>
      <w:r w:rsidR="00692D17" w:rsidRPr="00692D17">
        <w:t xml:space="preserve">Tato vysoce </w:t>
      </w:r>
      <w:r w:rsidR="00692D17">
        <w:t xml:space="preserve">sofistikovaná </w:t>
      </w:r>
      <w:r w:rsidR="00692D17" w:rsidRPr="00692D17">
        <w:t>verze druhého averroismu nezkoum</w:t>
      </w:r>
      <w:r w:rsidR="00692D17">
        <w:t xml:space="preserve">á </w:t>
      </w:r>
      <w:r w:rsidR="00692D17" w:rsidRPr="00692D17">
        <w:t>klíčovou otázku poznání, která tv</w:t>
      </w:r>
      <w:r w:rsidR="00692D17">
        <w:t>oří základ rukopisu M. Princip „</w:t>
      </w:r>
      <w:r w:rsidR="00692D17" w:rsidRPr="00692D17">
        <w:rPr>
          <w:i/>
        </w:rPr>
        <w:t>ex inmediatis</w:t>
      </w:r>
      <w:r w:rsidR="00692D17">
        <w:t>“</w:t>
      </w:r>
      <w:r w:rsidR="00692D17" w:rsidRPr="00692D17">
        <w:t xml:space="preserve"> náleží poznávajícímu subjektu</w:t>
      </w:r>
      <w:r w:rsidR="00692D17">
        <w:t xml:space="preserve">, čímž </w:t>
      </w:r>
      <w:proofErr w:type="gramStart"/>
      <w:r w:rsidR="00692D17">
        <w:t>manuskript O transformoval</w:t>
      </w:r>
      <w:proofErr w:type="gramEnd"/>
      <w:r w:rsidR="00692D17">
        <w:t xml:space="preserve"> metafyzickou impozici na logickou supozici</w:t>
      </w:r>
      <w:r w:rsidR="00692D17" w:rsidRPr="00692D17">
        <w:t xml:space="preserve">. </w:t>
      </w:r>
      <w:r w:rsidR="00692D17">
        <w:t xml:space="preserve">Poznání není nasvíceno zepředu, od reálné věci, ale zezadu, od poznávajícího subjektu. </w:t>
      </w:r>
      <w:r>
        <w:t xml:space="preserve">K externí věci se přichází ex post skrze sebereflexivně aktivované principy poznání uložené v aktuální formě intelektu, </w:t>
      </w:r>
      <w:r w:rsidRPr="00273106">
        <w:t xml:space="preserve">místo aby byly nejprve poznány </w:t>
      </w:r>
      <w:r>
        <w:t xml:space="preserve">kauzální účinky externí </w:t>
      </w:r>
      <w:r w:rsidRPr="00273106">
        <w:t>věci</w:t>
      </w:r>
      <w:r>
        <w:t xml:space="preserve"> působící na intelekt</w:t>
      </w:r>
      <w:r w:rsidRPr="00273106">
        <w:t xml:space="preserve">. Tento princip </w:t>
      </w:r>
      <w:r>
        <w:t xml:space="preserve">avicennistické </w:t>
      </w:r>
      <w:r w:rsidRPr="00273106">
        <w:t xml:space="preserve">dedukce </w:t>
      </w:r>
      <w:r>
        <w:t xml:space="preserve">poznání od intelektu „létajícího muže“ </w:t>
      </w:r>
      <w:r w:rsidRPr="00273106">
        <w:t xml:space="preserve">je vlastní druhému averroismu v podání </w:t>
      </w:r>
      <w:r>
        <w:t>Rufuse a Kilwardbyho. P</w:t>
      </w:r>
      <w:r w:rsidRPr="00273106">
        <w:t>ředešlé determinace první substance (</w:t>
      </w:r>
      <w:r w:rsidRPr="00273106">
        <w:rPr>
          <w:i/>
        </w:rPr>
        <w:t>passiones et partes subiecti</w:t>
      </w:r>
      <w:r w:rsidRPr="00273106">
        <w:t>) byly změněny na zkoumání povahy věci (</w:t>
      </w:r>
      <w:r w:rsidRPr="00273106">
        <w:rPr>
          <w:i/>
        </w:rPr>
        <w:t>cognitio subiecti primo occurrat intellectui circa naturam illam</w:t>
      </w:r>
      <w:r w:rsidRPr="00273106">
        <w:t xml:space="preserve">). Základem poznání nejsou </w:t>
      </w:r>
      <w:r w:rsidRPr="00273106">
        <w:rPr>
          <w:i/>
        </w:rPr>
        <w:t>passiones</w:t>
      </w:r>
      <w:r w:rsidRPr="00273106">
        <w:t xml:space="preserve"> </w:t>
      </w:r>
      <w:r>
        <w:t xml:space="preserve">zkoumané věci a osoby jako </w:t>
      </w:r>
      <w:r w:rsidRPr="00273106">
        <w:t xml:space="preserve">první substance, ale principy poznání působící </w:t>
      </w:r>
      <w:r w:rsidRPr="00273106">
        <w:rPr>
          <w:i/>
        </w:rPr>
        <w:t>per prius</w:t>
      </w:r>
      <w:r w:rsidRPr="00273106">
        <w:t xml:space="preserve"> nikoliv v první substanci, ale ve vědeckém důkazu (</w:t>
      </w:r>
      <w:r w:rsidRPr="00273106">
        <w:rPr>
          <w:i/>
        </w:rPr>
        <w:t>cognitio subiecti in scientia est principium omnium aliorum</w:t>
      </w:r>
      <w:r w:rsidRPr="00273106">
        <w:t>). Srovnejme to s předešlou citací</w:t>
      </w:r>
      <w:r>
        <w:t xml:space="preserve"> rukopisu M</w:t>
      </w:r>
      <w:r w:rsidRPr="00273106">
        <w:t xml:space="preserve">, kde byla reálná substance zdrojem prvních principů </w:t>
      </w:r>
      <w:r>
        <w:t xml:space="preserve">poznání </w:t>
      </w:r>
      <w:r w:rsidRPr="00273106">
        <w:t>(</w:t>
      </w:r>
      <w:r w:rsidRPr="00273106">
        <w:rPr>
          <w:i/>
        </w:rPr>
        <w:t xml:space="preserve">cognitio subiecti </w:t>
      </w:r>
      <w:r w:rsidRPr="00273106">
        <w:rPr>
          <w:i/>
        </w:rPr>
        <w:lastRenderedPageBreak/>
        <w:t>principium</w:t>
      </w:r>
      <w:r>
        <w:t xml:space="preserve">). </w:t>
      </w:r>
      <w:r w:rsidR="00B8344B" w:rsidRPr="00B8344B">
        <w:t>Když modernisté a arist</w:t>
      </w:r>
      <w:r w:rsidR="00B8344B">
        <w:t>otelici používají stejný pojem „</w:t>
      </w:r>
      <w:r w:rsidR="00B8344B" w:rsidRPr="00B8344B">
        <w:rPr>
          <w:i/>
        </w:rPr>
        <w:t>subiecti principium</w:t>
      </w:r>
      <w:r w:rsidR="00B8344B">
        <w:t xml:space="preserve">“, neznamená to totéž, protože objektivní a proto falešný </w:t>
      </w:r>
      <w:r w:rsidR="00B8344B" w:rsidRPr="00B8344B">
        <w:rPr>
          <w:i/>
        </w:rPr>
        <w:t>Gehalstsinn</w:t>
      </w:r>
      <w:r w:rsidR="00B8344B">
        <w:t xml:space="preserve"> není hermeneutický </w:t>
      </w:r>
      <w:r w:rsidR="00B8344B" w:rsidRPr="00B8344B">
        <w:rPr>
          <w:i/>
        </w:rPr>
        <w:t>Bezugssinn</w:t>
      </w:r>
      <w:r w:rsidR="00B8344B">
        <w:t xml:space="preserve">. </w:t>
      </w:r>
      <w:r w:rsidR="00DF7636" w:rsidRPr="00DF7636">
        <w:t>Metafyzická ipseita vědeckého poznání (</w:t>
      </w:r>
      <w:r w:rsidR="00DF7636" w:rsidRPr="00DF7636">
        <w:rPr>
          <w:i/>
        </w:rPr>
        <w:t>tertium genus</w:t>
      </w:r>
      <w:r w:rsidR="00DF7636" w:rsidRPr="00DF7636">
        <w:t>) musí být přísně oddělena od jeho logické identity (</w:t>
      </w:r>
      <w:r w:rsidR="00DF7636" w:rsidRPr="00DF7636">
        <w:rPr>
          <w:i/>
        </w:rPr>
        <w:t>quartum genus</w:t>
      </w:r>
      <w:r w:rsidR="00DF7636" w:rsidRPr="00DF7636">
        <w:t xml:space="preserve">). </w:t>
      </w:r>
      <w:r>
        <w:t>Principy poznání podle rukopisu M nemohou hypostaticky existovat v</w:t>
      </w:r>
      <w:r w:rsidR="08DE1D8A">
        <w:t> </w:t>
      </w:r>
      <w:r>
        <w:t>intelektu</w:t>
      </w:r>
      <w:r w:rsidR="08DE1D8A">
        <w:t xml:space="preserve">, protože je určen jako </w:t>
      </w:r>
      <w:r w:rsidRPr="0808361B">
        <w:rPr>
          <w:i/>
        </w:rPr>
        <w:t>tabula rasa</w:t>
      </w:r>
      <w:r>
        <w:t xml:space="preserve">. Tím se oba rukopisy rozdělily podle odmítnuté nebo přijaté </w:t>
      </w:r>
      <w:r w:rsidRPr="00EF5B73">
        <w:rPr>
          <w:i/>
        </w:rPr>
        <w:t>Oxfo</w:t>
      </w:r>
      <w:r>
        <w:rPr>
          <w:i/>
        </w:rPr>
        <w:t>r</w:t>
      </w:r>
      <w:r w:rsidRPr="00EF5B73">
        <w:rPr>
          <w:i/>
        </w:rPr>
        <w:t>dian Fallacy</w:t>
      </w:r>
      <w:r>
        <w:t>. Buď je subjektem po</w:t>
      </w:r>
      <w:r w:rsidR="005764A9">
        <w:t xml:space="preserve">znání reálná věc v rámci pravdy jako </w:t>
      </w:r>
      <w:r>
        <w:rPr>
          <w:i/>
        </w:rPr>
        <w:t>adaequatio</w:t>
      </w:r>
      <w:r>
        <w:t xml:space="preserve">, nebo moderní subjekt a Rufusova hypostatická </w:t>
      </w:r>
      <w:r w:rsidRPr="0808361B">
        <w:rPr>
          <w:i/>
        </w:rPr>
        <w:t>potentia substantialis</w:t>
      </w:r>
      <w:r w:rsidR="005764A9">
        <w:t xml:space="preserve"> daná v rámci pravdy jako </w:t>
      </w:r>
      <w:r w:rsidRPr="00F10496">
        <w:rPr>
          <w:i/>
        </w:rPr>
        <w:t>rectitudo</w:t>
      </w:r>
      <w:r>
        <w:t xml:space="preserve">. </w:t>
      </w:r>
      <w:r w:rsidRPr="00273106">
        <w:t xml:space="preserve">Oba rukopisy se hned v úvodu liší v pojetí vědy podle nasvícení jsoucna zepředu nebo zezadu. Tomu nutně odpovídá i změněné pojetí metafyziky. Rukopis M jasně stojí na straně </w:t>
      </w:r>
      <w:r w:rsidR="005764A9">
        <w:t xml:space="preserve">„meta-fyziky“ podle </w:t>
      </w:r>
      <w:r>
        <w:t>Averroes</w:t>
      </w:r>
      <w:r w:rsidRPr="00273106">
        <w:t>e a Aristotela. Proto definu</w:t>
      </w:r>
      <w:r>
        <w:t>je první vědu podle Averroesova výkladu Filosofa</w:t>
      </w:r>
      <w:r w:rsidRPr="00273106">
        <w:t>, tedy vzhledem ke dvojímu určení</w:t>
      </w:r>
      <w:r>
        <w:t xml:space="preserve"> reálné substance zkoumané z</w:t>
      </w:r>
      <w:r w:rsidRPr="00273106">
        <w:t xml:space="preserve"> metafyziky</w:t>
      </w:r>
      <w:r>
        <w:t xml:space="preserve"> a fyziky (</w:t>
      </w:r>
      <w:r w:rsidR="08EB5598">
        <w:t xml:space="preserve">OBJ I, </w:t>
      </w:r>
      <w:r>
        <w:t xml:space="preserve">kap. 2.4.1). </w:t>
      </w:r>
      <w:r w:rsidR="0005470B">
        <w:t xml:space="preserve">Rukopis </w:t>
      </w:r>
      <w:r w:rsidR="00D00113">
        <w:t xml:space="preserve">M </w:t>
      </w:r>
      <w:r>
        <w:t xml:space="preserve">navíc brilantně </w:t>
      </w:r>
      <w:r w:rsidR="00007AFF">
        <w:t xml:space="preserve">oddělil </w:t>
      </w:r>
      <w:r>
        <w:t>poj</w:t>
      </w:r>
      <w:r w:rsidR="00D00113">
        <w:t xml:space="preserve">etí první vědy podle Avicenny </w:t>
      </w:r>
      <w:r w:rsidR="00007AFF">
        <w:t xml:space="preserve">od metafyziky </w:t>
      </w:r>
      <w:r>
        <w:t>Averroese, což jasně indikuje autora.</w:t>
      </w:r>
    </w:p>
    <w:p w:rsidR="08163013" w:rsidRPr="009F2BF0" w:rsidRDefault="08163013" w:rsidP="08163013">
      <w:pPr>
        <w:pStyle w:val="Citace"/>
      </w:pPr>
      <w:r w:rsidRPr="009F2BF0">
        <w:t>„Úkolem první filosof</w:t>
      </w:r>
      <w:r>
        <w:rPr>
          <w:lang w:val="cs-CZ"/>
        </w:rPr>
        <w:t>i</w:t>
      </w:r>
      <w:r w:rsidRPr="009F2BF0">
        <w:t xml:space="preserve">e je </w:t>
      </w:r>
      <w:r w:rsidR="00D92389">
        <w:rPr>
          <w:lang w:val="cs-CZ"/>
        </w:rPr>
        <w:t xml:space="preserve">zkoumat </w:t>
      </w:r>
      <w:r w:rsidRPr="009F2BF0">
        <w:t xml:space="preserve">jsoucno z hlediska jeho </w:t>
      </w:r>
      <w:r w:rsidR="00D92389">
        <w:rPr>
          <w:lang w:val="cs-CZ"/>
        </w:rPr>
        <w:t xml:space="preserve">existence </w:t>
      </w:r>
      <w:r w:rsidRPr="08630291">
        <w:t>(</w:t>
      </w:r>
      <w:r w:rsidRPr="08630291">
        <w:rPr>
          <w:i/>
        </w:rPr>
        <w:t>de ente secundum quod ens</w:t>
      </w:r>
      <w:r w:rsidRPr="08630291">
        <w:t>),</w:t>
      </w:r>
      <w:r w:rsidRPr="009F2BF0">
        <w:t xml:space="preserve"> k čemuž patří uvažování o tom, co tvoří akt reálné existence jsoucna (</w:t>
      </w:r>
      <w:r w:rsidRPr="009F2BF0">
        <w:rPr>
          <w:i/>
        </w:rPr>
        <w:t>quod est actus entis</w:t>
      </w:r>
      <w:r w:rsidRPr="009F2BF0">
        <w:t>)</w:t>
      </w:r>
      <w:r>
        <w:t xml:space="preserve">. </w:t>
      </w:r>
      <w:r w:rsidRPr="009F2BF0">
        <w:t xml:space="preserve">Jiným způsobem </w:t>
      </w:r>
      <w:r>
        <w:rPr>
          <w:lang w:val="cs-CZ"/>
        </w:rPr>
        <w:t>(</w:t>
      </w:r>
      <w:r w:rsidRPr="00AF53FD">
        <w:rPr>
          <w:i/>
          <w:lang w:val="cs-CZ"/>
        </w:rPr>
        <w:t>a</w:t>
      </w:r>
      <w:r w:rsidRPr="00AF53FD">
        <w:rPr>
          <w:i/>
        </w:rPr>
        <w:t>lio modo</w:t>
      </w:r>
      <w:r>
        <w:rPr>
          <w:lang w:val="cs-CZ"/>
        </w:rPr>
        <w:t xml:space="preserve">) </w:t>
      </w:r>
      <w:r w:rsidRPr="009F2BF0">
        <w:t>je možné posuzovat, jak je dána substance a akt bytí smyslově zakoušeného tělesa,</w:t>
      </w:r>
      <w:r>
        <w:t xml:space="preserve"> což patří do oboru zkoumání př</w:t>
      </w:r>
      <w:r w:rsidRPr="009F2BF0">
        <w:t>írodních věd</w:t>
      </w:r>
      <w:r>
        <w:rPr>
          <w:lang w:val="cs-CZ"/>
        </w:rPr>
        <w:t>..</w:t>
      </w:r>
      <w:r w:rsidRPr="009F2BF0">
        <w:t xml:space="preserve">.“ </w:t>
      </w:r>
      <w:r w:rsidRPr="009F2BF0">
        <w:rPr>
          <w:rStyle w:val="Znakapoznpodarou"/>
        </w:rPr>
        <w:footnoteReference w:id="128"/>
      </w:r>
    </w:p>
    <w:p w:rsidR="08163013" w:rsidRPr="00273106" w:rsidRDefault="00FE1F98" w:rsidP="08163013">
      <w:r w:rsidRPr="00FE1F98">
        <w:t>Do úvodní části definice lze zahrnout Avicennovu základní definici první vědy (</w:t>
      </w:r>
      <w:r w:rsidRPr="00FE1F98">
        <w:rPr>
          <w:i/>
        </w:rPr>
        <w:t>de ente secundum quod ens</w:t>
      </w:r>
      <w:r w:rsidRPr="00FE1F98">
        <w:t xml:space="preserve">), ale nejedná se o druh Aristotelovy první vědy. Proto bezprostředně </w:t>
      </w:r>
      <w:r w:rsidR="005D2CF6">
        <w:t xml:space="preserve">po této obecné části </w:t>
      </w:r>
      <w:r w:rsidRPr="00FE1F98">
        <w:t>následuje Averroesova definice</w:t>
      </w:r>
      <w:r>
        <w:t xml:space="preserve"> </w:t>
      </w:r>
      <w:r w:rsidR="08163013" w:rsidRPr="00273106">
        <w:t>„meta</w:t>
      </w:r>
      <w:r w:rsidR="08163013" w:rsidRPr="00273106">
        <w:noBreakHyphen/>
        <w:t xml:space="preserve">fyzického“ poznání jsoucna, které musí sledovat akt bytí reálně existující substance </w:t>
      </w:r>
      <w:r w:rsidR="08163013" w:rsidRPr="08B32E6E">
        <w:t>(</w:t>
      </w:r>
      <w:r w:rsidR="08163013" w:rsidRPr="08B32E6E">
        <w:rPr>
          <w:i/>
        </w:rPr>
        <w:t>de eo quod est actus entis</w:t>
      </w:r>
      <w:r w:rsidR="08163013" w:rsidRPr="08B32E6E">
        <w:t xml:space="preserve">). </w:t>
      </w:r>
      <w:r w:rsidR="08163013" w:rsidRPr="00273106">
        <w:t xml:space="preserve">Tato integrace </w:t>
      </w:r>
      <w:r w:rsidR="08163013">
        <w:t xml:space="preserve">obou projektů metafyziky </w:t>
      </w:r>
      <w:r>
        <w:t>v modu „</w:t>
      </w:r>
      <w:r w:rsidR="08B32E6E">
        <w:t xml:space="preserve">substance </w:t>
      </w:r>
      <w:r w:rsidR="08B32E6E" w:rsidRPr="08B32E6E">
        <w:rPr>
          <w:i/>
        </w:rPr>
        <w:t>qua</w:t>
      </w:r>
      <w:r w:rsidR="08B32E6E">
        <w:t xml:space="preserve"> substance</w:t>
      </w:r>
      <w:r>
        <w:t>“</w:t>
      </w:r>
      <w:r w:rsidR="08B32E6E">
        <w:t xml:space="preserve"> </w:t>
      </w:r>
      <w:r w:rsidR="08163013">
        <w:t xml:space="preserve">pod egidu Averroese </w:t>
      </w:r>
      <w:r w:rsidR="08163013" w:rsidRPr="00273106">
        <w:t xml:space="preserve">je důležitá, protože ukazuje syntézu dvojího projektu metafyziky podle Avicenny a podle </w:t>
      </w:r>
      <w:r w:rsidR="08163013">
        <w:t>Averroes</w:t>
      </w:r>
      <w:r w:rsidR="08163013" w:rsidRPr="00273106">
        <w:t>e</w:t>
      </w:r>
      <w:r w:rsidR="08163013">
        <w:t xml:space="preserve">. Takto explicitně a precizně to měl zformulované </w:t>
      </w:r>
      <w:r w:rsidR="08163013" w:rsidRPr="00273106">
        <w:t xml:space="preserve">pouze </w:t>
      </w:r>
      <w:r w:rsidR="08163013">
        <w:t xml:space="preserve">první averroismus v podání Sigera z </w:t>
      </w:r>
      <w:r w:rsidR="08B32E6E">
        <w:t>Brabantu (kap. 4</w:t>
      </w:r>
      <w:r w:rsidR="08163013">
        <w:t>.4.1)</w:t>
      </w:r>
      <w:r w:rsidR="08163013" w:rsidRPr="00273106">
        <w:t xml:space="preserve">. Oxfordský rukopis v parafrázi dané pasáže rukopisu M </w:t>
      </w:r>
      <w:r w:rsidR="08163013">
        <w:t xml:space="preserve">privileguje v duchu druhého averroismu </w:t>
      </w:r>
      <w:r w:rsidR="08163013" w:rsidRPr="00273106">
        <w:t>Avicennovu definici první vědy</w:t>
      </w:r>
      <w:r w:rsidR="08163013">
        <w:t xml:space="preserve"> (</w:t>
      </w:r>
      <w:r w:rsidR="08163013" w:rsidRPr="083B7BE5">
        <w:rPr>
          <w:i/>
        </w:rPr>
        <w:t xml:space="preserve">primus considerat </w:t>
      </w:r>
      <w:r w:rsidR="08163013" w:rsidRPr="083B7BE5">
        <w:rPr>
          <w:i/>
        </w:rPr>
        <w:lastRenderedPageBreak/>
        <w:t>ens inquantum ens</w:t>
      </w:r>
      <w:r w:rsidR="08163013">
        <w:t>).</w:t>
      </w:r>
      <w:r w:rsidR="08163013">
        <w:rPr>
          <w:rStyle w:val="Znakapoznpodarou"/>
        </w:rPr>
        <w:footnoteReference w:id="129"/>
      </w:r>
      <w:r w:rsidR="08163013">
        <w:t xml:space="preserve"> Klíčové je slovo </w:t>
      </w:r>
      <w:r w:rsidR="00EE3C52">
        <w:t>„</w:t>
      </w:r>
      <w:r w:rsidR="08163013" w:rsidRPr="00273106">
        <w:rPr>
          <w:i/>
        </w:rPr>
        <w:t>primus</w:t>
      </w:r>
      <w:r w:rsidR="00EE3C52">
        <w:t>“</w:t>
      </w:r>
      <w:r w:rsidR="08163013" w:rsidRPr="00273106">
        <w:t>, které</w:t>
      </w:r>
      <w:r w:rsidR="00EE3C52">
        <w:t xml:space="preserve"> dává jasný primát avicennovské verzi </w:t>
      </w:r>
      <w:r w:rsidR="08163013">
        <w:t>metafyziky</w:t>
      </w:r>
      <w:r w:rsidR="08163013">
        <w:rPr>
          <w:i/>
        </w:rPr>
        <w:fldChar w:fldCharType="begin"/>
      </w:r>
      <w:r w:rsidR="08163013">
        <w:instrText xml:space="preserve"> XE "</w:instrText>
      </w:r>
      <w:r w:rsidR="08163013" w:rsidRPr="005424E2">
        <w:rPr>
          <w:i/>
        </w:rPr>
        <w:instrText>ens inquantum ens</w:instrText>
      </w:r>
      <w:r w:rsidR="08163013">
        <w:instrText xml:space="preserve">" </w:instrText>
      </w:r>
      <w:r w:rsidR="08163013">
        <w:rPr>
          <w:i/>
        </w:rPr>
        <w:fldChar w:fldCharType="end"/>
      </w:r>
      <w:r w:rsidR="08163013" w:rsidRPr="00273106">
        <w:t xml:space="preserve">. </w:t>
      </w:r>
      <w:r w:rsidR="08163013">
        <w:t>Hierachie obou metafyzik má zásadní význam pro určení autorství obou rukopisů, protože od sebe rozlišuje Toledskou a Sicilskou školu</w:t>
      </w:r>
      <w:r w:rsidR="08163013">
        <w:fldChar w:fldCharType="begin"/>
      </w:r>
      <w:r w:rsidR="08163013">
        <w:instrText xml:space="preserve"> XE "</w:instrText>
      </w:r>
      <w:r w:rsidR="08163013" w:rsidRPr="08503954">
        <w:instrText>Sicilská škola</w:instrText>
      </w:r>
      <w:r w:rsidR="08163013">
        <w:instrText xml:space="preserve">" </w:instrText>
      </w:r>
      <w:r w:rsidR="08163013">
        <w:fldChar w:fldCharType="end"/>
      </w:r>
      <w:r w:rsidR="08163013">
        <w:t>. Toledský výklad</w:t>
      </w:r>
      <w:r w:rsidR="08163013">
        <w:fldChar w:fldCharType="begin"/>
      </w:r>
      <w:r w:rsidR="08163013">
        <w:instrText xml:space="preserve"> XE "</w:instrText>
      </w:r>
      <w:r w:rsidR="08163013" w:rsidRPr="08F225FA">
        <w:instrText>Toledská škola</w:instrText>
      </w:r>
      <w:r w:rsidR="08163013">
        <w:instrText xml:space="preserve">" </w:instrText>
      </w:r>
      <w:r w:rsidR="08163013">
        <w:fldChar w:fldCharType="end"/>
      </w:r>
      <w:r w:rsidR="08163013">
        <w:t xml:space="preserve"> v duchu pozdější </w:t>
      </w:r>
      <w:r w:rsidR="08163013" w:rsidRPr="08B5116E">
        <w:rPr>
          <w:i/>
        </w:rPr>
        <w:t>metaph</w:t>
      </w:r>
      <w:r w:rsidR="08163013">
        <w:rPr>
          <w:i/>
        </w:rPr>
        <w:t>y</w:t>
      </w:r>
      <w:r w:rsidR="08163013" w:rsidRPr="08B5116E">
        <w:rPr>
          <w:i/>
        </w:rPr>
        <w:t>sica generalis</w:t>
      </w:r>
      <w:r w:rsidR="08163013">
        <w:rPr>
          <w:i/>
        </w:rPr>
        <w:fldChar w:fldCharType="begin"/>
      </w:r>
      <w:r w:rsidR="08163013">
        <w:instrText xml:space="preserve"> XE "</w:instrText>
      </w:r>
      <w:r w:rsidR="08163013" w:rsidRPr="081F2902">
        <w:rPr>
          <w:i/>
        </w:rPr>
        <w:instrText>metaph</w:instrText>
      </w:r>
      <w:r w:rsidR="08163013">
        <w:rPr>
          <w:i/>
        </w:rPr>
        <w:instrText>y</w:instrText>
      </w:r>
      <w:r w:rsidR="08163013" w:rsidRPr="081F2902">
        <w:rPr>
          <w:i/>
        </w:rPr>
        <w:instrText>sica generalis</w:instrText>
      </w:r>
      <w:r w:rsidR="08163013">
        <w:instrText xml:space="preserve">" </w:instrText>
      </w:r>
      <w:r w:rsidR="08163013">
        <w:rPr>
          <w:i/>
        </w:rPr>
        <w:fldChar w:fldCharType="end"/>
      </w:r>
      <w:r w:rsidR="08163013">
        <w:t xml:space="preserve"> pod sebe integroval Averroes</w:t>
      </w:r>
      <w:r w:rsidR="08105619">
        <w:t>ův projekt „meta</w:t>
      </w:r>
      <w:r w:rsidR="08105619">
        <w:noBreakHyphen/>
        <w:t>fyziky“ (OBJ II, kap. 2</w:t>
      </w:r>
      <w:r w:rsidR="08163013">
        <w:t>.1.3)</w:t>
      </w:r>
      <w:r w:rsidR="003E2AE5">
        <w:t xml:space="preserve"> </w:t>
      </w:r>
      <w:r w:rsidR="001E696E">
        <w:t>do metafyziky podle Avicenny</w:t>
      </w:r>
      <w:r w:rsidR="08163013">
        <w:t>. To první averroismus zásadně odmítl</w:t>
      </w:r>
      <w:r w:rsidR="004549A0">
        <w:t>. Sicilská škola n</w:t>
      </w:r>
      <w:r w:rsidR="08163013">
        <w:t>aopak podřadil</w:t>
      </w:r>
      <w:r w:rsidR="004549A0">
        <w:t>a</w:t>
      </w:r>
      <w:r w:rsidR="08163013">
        <w:t xml:space="preserve"> abstraktní logickou metafyziku Avicenny v modu </w:t>
      </w:r>
      <w:r w:rsidR="00E44100">
        <w:t>„</w:t>
      </w:r>
      <w:r w:rsidR="08163013" w:rsidRPr="086C3840">
        <w:rPr>
          <w:i/>
        </w:rPr>
        <w:t>ens inquantum ens</w:t>
      </w:r>
      <w:r w:rsidR="00E44100">
        <w:t>“</w:t>
      </w:r>
      <w:r w:rsidR="08163013" w:rsidRPr="086C3840">
        <w:rPr>
          <w:i/>
        </w:rPr>
        <w:t xml:space="preserve"> </w:t>
      </w:r>
      <w:r w:rsidR="08163013">
        <w:t xml:space="preserve">pod Averroesovu první vědu o principech </w:t>
      </w:r>
      <w:r w:rsidR="00E44100">
        <w:t>„</w:t>
      </w:r>
      <w:r w:rsidR="08163013">
        <w:t xml:space="preserve">substance </w:t>
      </w:r>
      <w:r w:rsidR="08163013" w:rsidRPr="08881E04">
        <w:rPr>
          <w:i/>
        </w:rPr>
        <w:t>qua</w:t>
      </w:r>
      <w:r w:rsidR="08163013">
        <w:t xml:space="preserve"> substance</w:t>
      </w:r>
      <w:r w:rsidR="00E44100">
        <w:t>“</w:t>
      </w:r>
      <w:r w:rsidR="08163013">
        <w:fldChar w:fldCharType="begin"/>
      </w:r>
      <w:r w:rsidR="08163013">
        <w:instrText xml:space="preserve"> XE "</w:instrText>
      </w:r>
      <w:r w:rsidR="08163013" w:rsidRPr="080632B1">
        <w:instrText xml:space="preserve">substance </w:instrText>
      </w:r>
      <w:r w:rsidR="08163013" w:rsidRPr="080632B1">
        <w:rPr>
          <w:i/>
        </w:rPr>
        <w:instrText>qua</w:instrText>
      </w:r>
      <w:r w:rsidR="08163013" w:rsidRPr="080632B1">
        <w:instrText xml:space="preserve"> substance</w:instrText>
      </w:r>
      <w:r w:rsidR="08163013">
        <w:instrText xml:space="preserve">" </w:instrText>
      </w:r>
      <w:r w:rsidR="08163013">
        <w:fldChar w:fldCharType="end"/>
      </w:r>
      <w:r w:rsidR="08163013">
        <w:t xml:space="preserve">. </w:t>
      </w:r>
      <w:r w:rsidR="00CC2D05">
        <w:t>Z</w:t>
      </w:r>
      <w:r w:rsidR="00200CD2">
        <w:t xml:space="preserve"> hlediska </w:t>
      </w:r>
      <w:r w:rsidR="08163013">
        <w:t>primát</w:t>
      </w:r>
      <w:r w:rsidR="00200CD2">
        <w:t xml:space="preserve">u </w:t>
      </w:r>
      <w:r w:rsidR="08163013">
        <w:t>Averroesovy metafyziky Siger kritizoval opačné poř</w:t>
      </w:r>
      <w:r w:rsidR="00CE69DB">
        <w:t xml:space="preserve">adí </w:t>
      </w:r>
      <w:r w:rsidR="00CC2D05">
        <w:t xml:space="preserve">metafyziky podle </w:t>
      </w:r>
      <w:r w:rsidR="00CE69DB">
        <w:t xml:space="preserve">Alberta a Akvinského (kap. </w:t>
      </w:r>
      <w:r w:rsidR="008E0E64">
        <w:t>4</w:t>
      </w:r>
      <w:r w:rsidR="08163013">
        <w:t xml:space="preserve">.4.1). </w:t>
      </w:r>
      <w:proofErr w:type="gramStart"/>
      <w:r w:rsidR="003F6DF5">
        <w:t xml:space="preserve">Rukopis O </w:t>
      </w:r>
      <w:r w:rsidR="003F6DF5" w:rsidRPr="00273106">
        <w:t>podá</w:t>
      </w:r>
      <w:r w:rsidR="003F6DF5">
        <w:t>vá</w:t>
      </w:r>
      <w:proofErr w:type="gramEnd"/>
      <w:r w:rsidR="003F6DF5">
        <w:t xml:space="preserve"> Averroesovu definici první vědy vztaženou</w:t>
      </w:r>
      <w:r w:rsidR="003F6DF5" w:rsidRPr="00273106">
        <w:t xml:space="preserve"> k poznání principů </w:t>
      </w:r>
      <w:r w:rsidR="003F6DF5">
        <w:t xml:space="preserve">hyparchické </w:t>
      </w:r>
      <w:r w:rsidR="003F6DF5" w:rsidRPr="00273106">
        <w:t xml:space="preserve">substance až </w:t>
      </w:r>
      <w:r w:rsidR="003F6DF5">
        <w:t>na druhém místě, ale správně ji spojuje s definicí fyziky</w:t>
      </w:r>
      <w:r w:rsidR="08163013" w:rsidRPr="00273106">
        <w:t>.</w:t>
      </w:r>
      <w:r w:rsidR="08163013" w:rsidRPr="00273106">
        <w:rPr>
          <w:rStyle w:val="Znakapoznpodarou"/>
        </w:rPr>
        <w:footnoteReference w:id="130"/>
      </w:r>
      <w:r w:rsidR="08163013">
        <w:t xml:space="preserve"> Tato indikace jasně ukazuje, že autor rukopisu O </w:t>
      </w:r>
      <w:proofErr w:type="gramStart"/>
      <w:r w:rsidR="08163013">
        <w:t>nepatřil</w:t>
      </w:r>
      <w:proofErr w:type="gramEnd"/>
      <w:r w:rsidR="08163013">
        <w:t xml:space="preserve"> k primitivním odpůrcům Komentátora jako </w:t>
      </w:r>
      <w:proofErr w:type="gramStart"/>
      <w:r w:rsidR="08163013">
        <w:t>byli</w:t>
      </w:r>
      <w:proofErr w:type="gramEnd"/>
      <w:r w:rsidR="08163013">
        <w:t xml:space="preserve"> modernisté v Rufusově a v Bonaventurově škole. </w:t>
      </w:r>
      <w:proofErr w:type="gramStart"/>
      <w:r w:rsidR="08163013">
        <w:t>Rukopisu O ale</w:t>
      </w:r>
      <w:proofErr w:type="gramEnd"/>
      <w:r w:rsidR="08163013">
        <w:t xml:space="preserve"> chybí přesná Averroesova definice metafyziky a hlavně otočil hierarchii obou projektů ve prospěch Avicenny. To byla typická celoživotní pozice Aegidia Romana. </w:t>
      </w:r>
      <w:r w:rsidR="08163013" w:rsidRPr="00273106">
        <w:t xml:space="preserve">Posun v definici metafyziky mezi oběma manuskripty dokazuje již nastoupenou cestu k univoční ontologii </w:t>
      </w:r>
      <w:r w:rsidR="08163013" w:rsidRPr="00273106">
        <w:rPr>
          <w:i/>
        </w:rPr>
        <w:t>Modernorum</w:t>
      </w:r>
      <w:r w:rsidR="08163013">
        <w:rPr>
          <w:i/>
        </w:rPr>
        <w:t xml:space="preserve"> </w:t>
      </w:r>
      <w:r w:rsidR="08163013" w:rsidRPr="00B507CB">
        <w:t>po 1270</w:t>
      </w:r>
      <w:r w:rsidR="08163013" w:rsidRPr="00273106">
        <w:t xml:space="preserve">. Druhá definice korektně zmiňuje i příslušné místo </w:t>
      </w:r>
      <w:r w:rsidR="08163013">
        <w:t>Averroes</w:t>
      </w:r>
      <w:r w:rsidR="08163013" w:rsidRPr="00273106">
        <w:t xml:space="preserve">ova komentáře pro definici první vědy podle substance, ale tato definice slouží jen jako dodatek k autorem preferovanému pojetí metafyziky podle Avicenny. </w:t>
      </w:r>
      <w:r w:rsidR="00F53C47">
        <w:t>Modernisté zařadili d</w:t>
      </w:r>
      <w:r w:rsidR="08163013" w:rsidRPr="00273106">
        <w:t>efinic</w:t>
      </w:r>
      <w:r w:rsidR="00F53C47">
        <w:t xml:space="preserve">e první vědy vzhledem k poznání fyzikální </w:t>
      </w:r>
      <w:r w:rsidR="08163013" w:rsidRPr="00273106">
        <w:t xml:space="preserve">substance </w:t>
      </w:r>
      <w:r w:rsidR="00F53C47">
        <w:t xml:space="preserve">je sekundárně (viz Grossetesteho </w:t>
      </w:r>
      <w:r w:rsidR="00F53C47" w:rsidRPr="00F53C47">
        <w:rPr>
          <w:i/>
        </w:rPr>
        <w:t>scientia</w:t>
      </w:r>
      <w:r w:rsidR="00F53C47">
        <w:t>)</w:t>
      </w:r>
      <w:r w:rsidR="08163013" w:rsidRPr="00273106">
        <w:t xml:space="preserve">, což dosvědčuje již uvedený vývoj </w:t>
      </w:r>
      <w:r w:rsidR="08163013" w:rsidRPr="00273106">
        <w:rPr>
          <w:i/>
        </w:rPr>
        <w:t>Oxfordian Fallacy</w:t>
      </w:r>
      <w:r w:rsidR="08163013" w:rsidRPr="00273106">
        <w:t xml:space="preserve"> u </w:t>
      </w:r>
      <w:r w:rsidR="00F53C47">
        <w:t xml:space="preserve">Rufuse a </w:t>
      </w:r>
      <w:r w:rsidR="08163013">
        <w:t xml:space="preserve">Kilwardbyho. </w:t>
      </w:r>
      <w:r w:rsidR="08163013" w:rsidRPr="00273106">
        <w:t>Oba rukopisy se definitivně rozešly co do určení fundamentálního smyslu jsoucna, což se nutně projeví v následujících určeních duše a intelektu.</w:t>
      </w:r>
    </w:p>
    <w:p w:rsidR="009C68CC" w:rsidRDefault="08163013" w:rsidP="08163013">
      <w:r w:rsidRPr="00273106">
        <w:tab/>
        <w:t xml:space="preserve">Začněme shodou obou autorů v pojetí </w:t>
      </w:r>
      <w:r w:rsidR="00962190" w:rsidRPr="003A33B1">
        <w:t>species</w:t>
      </w:r>
      <w:r w:rsidR="003A33B1">
        <w:t>. R</w:t>
      </w:r>
      <w:r w:rsidRPr="00273106">
        <w:t xml:space="preserve">ukopis M v jedné větě brilantně rozlišil mezi dvěma stránkami </w:t>
      </w:r>
      <w:r>
        <w:t xml:space="preserve">intencionálně uchopené </w:t>
      </w:r>
      <w:r w:rsidR="00962190">
        <w:rPr>
          <w:i/>
        </w:rPr>
        <w:t>species</w:t>
      </w:r>
      <w:r>
        <w:t xml:space="preserve"> </w:t>
      </w:r>
      <w:r w:rsidRPr="00273106">
        <w:t>(</w:t>
      </w:r>
      <w:r w:rsidRPr="00273106">
        <w:rPr>
          <w:i/>
        </w:rPr>
        <w:t>in specie est considerare naturam subiectam intentioni et intentionem ipsam</w:t>
      </w:r>
      <w:r>
        <w:t xml:space="preserve">; </w:t>
      </w:r>
      <w:r w:rsidRPr="00273106">
        <w:t>M 1.8</w:t>
      </w:r>
      <w:r>
        <w:t>, p. 161.76‒77</w:t>
      </w:r>
      <w:r>
        <w:fldChar w:fldCharType="begin"/>
      </w:r>
      <w:r>
        <w:instrText xml:space="preserve"> XE "</w:instrText>
      </w:r>
      <w:r w:rsidRPr="00F53B8E">
        <w:rPr>
          <w:i/>
        </w:rPr>
        <w:instrText>Mnichovský Anonym</w:instrText>
      </w:r>
      <w:r>
        <w:instrText xml:space="preserve"> </w:instrText>
      </w:r>
      <w:r>
        <w:lastRenderedPageBreak/>
        <w:instrText>161.76</w:instrText>
      </w:r>
      <w:r w:rsidRPr="00DE6CA6">
        <w:instrText>‒</w:instrText>
      </w:r>
      <w:r>
        <w:instrText xml:space="preserve">77" </w:instrText>
      </w:r>
      <w:r>
        <w:fldChar w:fldCharType="end"/>
      </w:r>
      <w:r>
        <w:t>). Obě zcela rozdílné složky dané v modu intendovaného předmětu (</w:t>
      </w:r>
      <w:r w:rsidRPr="00273106">
        <w:rPr>
          <w:i/>
        </w:rPr>
        <w:t>intentionem ipsam</w:t>
      </w:r>
      <w:r>
        <w:t>) a existenciálního výkonu intencionality (</w:t>
      </w:r>
      <w:r w:rsidRPr="00273106">
        <w:rPr>
          <w:i/>
        </w:rPr>
        <w:t>naturam subiectam intentioni</w:t>
      </w:r>
      <w:r>
        <w:t xml:space="preserve">) </w:t>
      </w:r>
      <w:r w:rsidRPr="00273106">
        <w:t xml:space="preserve">spojil </w:t>
      </w:r>
      <w:r>
        <w:t xml:space="preserve">druhý averroismus </w:t>
      </w:r>
      <w:r w:rsidRPr="00273106">
        <w:t>do univoční jednoty</w:t>
      </w:r>
      <w:r>
        <w:t>. Univoční i</w:t>
      </w:r>
      <w:r w:rsidRPr="00273106">
        <w:t xml:space="preserve">ntence </w:t>
      </w:r>
      <w:r>
        <w:t xml:space="preserve">napojená na </w:t>
      </w:r>
      <w:r w:rsidR="00962190">
        <w:rPr>
          <w:i/>
        </w:rPr>
        <w:t>species</w:t>
      </w:r>
      <w:r>
        <w:t xml:space="preserve"> třetího druhu </w:t>
      </w:r>
      <w:r w:rsidRPr="00273106">
        <w:t>dostane v p</w:t>
      </w:r>
      <w:r>
        <w:t>ojetí pozdního avicennismu téměř</w:t>
      </w:r>
      <w:r w:rsidRPr="00273106">
        <w:t xml:space="preserve"> magický význam, což dokoná karteziánská a husserliánská </w:t>
      </w:r>
      <w:r w:rsidR="08105619">
        <w:t>post</w:t>
      </w:r>
      <w:r w:rsidRPr="00273106">
        <w:t xml:space="preserve">moderna. Autor </w:t>
      </w:r>
      <w:r>
        <w:t xml:space="preserve">rukopisu M </w:t>
      </w:r>
      <w:r w:rsidRPr="00273106">
        <w:t xml:space="preserve">jasně </w:t>
      </w:r>
      <w:r>
        <w:t xml:space="preserve">definuje </w:t>
      </w:r>
      <w:r w:rsidRPr="00273106">
        <w:t xml:space="preserve">význam </w:t>
      </w:r>
      <w:r>
        <w:t>intencionality tím, že ji oddělil</w:t>
      </w:r>
      <w:r w:rsidRPr="00273106">
        <w:t xml:space="preserve"> od smyslového poznání</w:t>
      </w:r>
      <w:r>
        <w:t xml:space="preserve"> a od reálné</w:t>
      </w:r>
      <w:r w:rsidRPr="00273106">
        <w:t xml:space="preserve"> věci</w:t>
      </w:r>
      <w:r>
        <w:t xml:space="preserve">, proto ji chápe </w:t>
      </w:r>
      <w:r w:rsidRPr="00273106">
        <w:t xml:space="preserve">pouze vzhledem ke smyslu jsoucna </w:t>
      </w:r>
      <w:r>
        <w:t xml:space="preserve">v intelektu, a navíc v Komentátorově modu </w:t>
      </w:r>
      <w:r w:rsidRPr="085A6258">
        <w:rPr>
          <w:i/>
        </w:rPr>
        <w:t>tertium</w:t>
      </w:r>
      <w:r>
        <w:t xml:space="preserve"> a </w:t>
      </w:r>
      <w:r w:rsidRPr="085A6258">
        <w:rPr>
          <w:i/>
        </w:rPr>
        <w:t xml:space="preserve">quartum </w:t>
      </w:r>
      <w:r w:rsidR="00962190">
        <w:rPr>
          <w:i/>
        </w:rPr>
        <w:t>genus</w:t>
      </w:r>
      <w:r>
        <w:fldChar w:fldCharType="begin"/>
      </w:r>
      <w:r>
        <w:instrText xml:space="preserve"> XE "intencionalita:Siger" </w:instrText>
      </w:r>
      <w:r>
        <w:fldChar w:fldCharType="end"/>
      </w:r>
      <w:r w:rsidRPr="00273106">
        <w:t xml:space="preserve">. </w:t>
      </w:r>
      <w:r>
        <w:t xml:space="preserve">Tuto nuanci </w:t>
      </w:r>
      <w:proofErr w:type="gramStart"/>
      <w:r>
        <w:t>rukopis O nevidí</w:t>
      </w:r>
      <w:proofErr w:type="gramEnd"/>
      <w:r>
        <w:t xml:space="preserve"> a chápe proces poznání již v modu zavedené semiaverroistické objektivity. </w:t>
      </w:r>
      <w:r w:rsidRPr="00273106">
        <w:t>Oxfordský rukopis provádí vcelku úspěšnou parafrázi citovaného místa</w:t>
      </w:r>
      <w:r>
        <w:t xml:space="preserve"> a drží intencionalitu mimo objektivní </w:t>
      </w:r>
      <w:r w:rsidR="00962190">
        <w:rPr>
          <w:i/>
        </w:rPr>
        <w:t>species</w:t>
      </w:r>
      <w:r>
        <w:t xml:space="preserve"> druhého averroismu</w:t>
      </w:r>
      <w:r>
        <w:fldChar w:fldCharType="begin"/>
      </w:r>
      <w:r>
        <w:instrText xml:space="preserve"> XE "</w:instrText>
      </w:r>
      <w:r w:rsidRPr="00C0710E">
        <w:instrText>intencionalita:Aegidius Romanus</w:instrText>
      </w:r>
      <w:r>
        <w:instrText xml:space="preserve">" </w:instrText>
      </w:r>
      <w:r>
        <w:fldChar w:fldCharType="end"/>
      </w:r>
      <w:r>
        <w:t xml:space="preserve">. Tento krok </w:t>
      </w:r>
      <w:r w:rsidRPr="00273106">
        <w:t xml:space="preserve">je </w:t>
      </w:r>
      <w:r>
        <w:t xml:space="preserve">opět důležitý </w:t>
      </w:r>
      <w:r w:rsidRPr="00273106">
        <w:t>pro určení autorství spisu</w:t>
      </w:r>
      <w:r>
        <w:t xml:space="preserve"> vzhledem k Aegidiovi. Správně pochopená intencionalita podle CMDA oba autory</w:t>
      </w:r>
      <w:r w:rsidRPr="00273106">
        <w:t xml:space="preserve"> jasně odlišila od </w:t>
      </w:r>
      <w:r>
        <w:t xml:space="preserve">sofistické </w:t>
      </w:r>
      <w:r w:rsidRPr="00273106">
        <w:t>nauky druhého averroismu</w:t>
      </w:r>
      <w:r>
        <w:t xml:space="preserve"> dané v Bonaventurově škole</w:t>
      </w:r>
      <w:r w:rsidRPr="00273106">
        <w:t xml:space="preserve">. </w:t>
      </w:r>
      <w:r>
        <w:t xml:space="preserve">Ale jen rukopis M má brilantní rozlišení intencionálního předmětu a existenciálního výkonu. </w:t>
      </w:r>
    </w:p>
    <w:p w:rsidR="00F00D0A" w:rsidRDefault="009C68CC" w:rsidP="08163013">
      <w:r>
        <w:t>Jedná se o jedinečnou charakteristiku, kterou</w:t>
      </w:r>
      <w:r w:rsidRPr="009C68CC">
        <w:t xml:space="preserve"> </w:t>
      </w:r>
      <w:r>
        <w:t xml:space="preserve">měla pouze </w:t>
      </w:r>
      <w:r w:rsidRPr="009C68CC">
        <w:t>Siger</w:t>
      </w:r>
      <w:r>
        <w:t xml:space="preserve">ova </w:t>
      </w:r>
      <w:r w:rsidRPr="009C68CC">
        <w:t>interpretac</w:t>
      </w:r>
      <w:r>
        <w:t>e spisu CMDA podle S</w:t>
      </w:r>
      <w:r w:rsidRPr="009C68CC">
        <w:t>icilské školy</w:t>
      </w:r>
      <w:r>
        <w:fldChar w:fldCharType="begin"/>
      </w:r>
      <w:r>
        <w:instrText xml:space="preserve"> XE "</w:instrText>
      </w:r>
      <w:r w:rsidRPr="08F34C7C">
        <w:instrText>Sicilská škola</w:instrText>
      </w:r>
      <w:r>
        <w:instrText xml:space="preserve">" </w:instrText>
      </w:r>
      <w:r>
        <w:fldChar w:fldCharType="end"/>
      </w:r>
      <w:r w:rsidRPr="009C68CC">
        <w:t xml:space="preserve">. Byl zvolen rektorem </w:t>
      </w:r>
      <w:r>
        <w:t xml:space="preserve">artistů </w:t>
      </w:r>
      <w:r w:rsidRPr="009C68CC">
        <w:t>v rue du Fouarre kvůli svému přesnému a brilantnímu myšlení, jak si toho náležitě všiml Dante</w:t>
      </w:r>
      <w:r>
        <w:fldChar w:fldCharType="begin"/>
      </w:r>
      <w:r>
        <w:instrText xml:space="preserve"> XE "</w:instrText>
      </w:r>
      <w:r w:rsidRPr="00441D5A">
        <w:instrText>Dante, A.</w:instrText>
      </w:r>
      <w:r>
        <w:instrText xml:space="preserve">" </w:instrText>
      </w:r>
      <w:r>
        <w:fldChar w:fldCharType="end"/>
      </w:r>
      <w:r w:rsidRPr="009C68CC">
        <w:t xml:space="preserve"> v </w:t>
      </w:r>
      <w:r w:rsidRPr="009C68CC">
        <w:rPr>
          <w:i/>
        </w:rPr>
        <w:t>Božské komedii</w:t>
      </w:r>
      <w:r w:rsidRPr="009C68CC">
        <w:t xml:space="preserve">. </w:t>
      </w:r>
      <w:r>
        <w:t xml:space="preserve">Pokud pomineme tento fakt, tak </w:t>
      </w:r>
      <w:r w:rsidR="08163013" w:rsidRPr="00273106">
        <w:t xml:space="preserve">q. 9 </w:t>
      </w:r>
      <w:proofErr w:type="gramStart"/>
      <w:r w:rsidR="08163013" w:rsidRPr="00273106">
        <w:t>rukopisu O drží</w:t>
      </w:r>
      <w:proofErr w:type="gramEnd"/>
      <w:r w:rsidR="08163013" w:rsidRPr="00273106">
        <w:t xml:space="preserve"> </w:t>
      </w:r>
      <w:r>
        <w:t xml:space="preserve">celkovou </w:t>
      </w:r>
      <w:r w:rsidR="08163013" w:rsidRPr="00273106">
        <w:t xml:space="preserve">linii </w:t>
      </w:r>
      <w:r w:rsidR="08163013">
        <w:t xml:space="preserve">rukopisu </w:t>
      </w:r>
      <w:r w:rsidR="08163013" w:rsidRPr="00273106">
        <w:t>M a obsahuje stejnou nauku o univerzáliích. Oba autoři se shodně odvolávají na Themistia</w:t>
      </w:r>
      <w:r w:rsidR="08163013">
        <w:fldChar w:fldCharType="begin"/>
      </w:r>
      <w:r w:rsidR="08163013">
        <w:instrText xml:space="preserve"> XE "</w:instrText>
      </w:r>
      <w:r w:rsidR="08163013" w:rsidRPr="002255E5">
        <w:instrText>Themistius</w:instrText>
      </w:r>
      <w:r w:rsidR="08163013">
        <w:instrText xml:space="preserve">" </w:instrText>
      </w:r>
      <w:r w:rsidR="08163013">
        <w:fldChar w:fldCharType="end"/>
      </w:r>
      <w:r w:rsidR="08163013" w:rsidRPr="00273106">
        <w:t xml:space="preserve"> a na </w:t>
      </w:r>
      <w:r w:rsidR="08163013">
        <w:t>Averroes</w:t>
      </w:r>
      <w:r w:rsidR="08163013" w:rsidRPr="00273106">
        <w:t>e. Vzhledem k ontologickému primátu prvních substancí představuje vznik univerzália v mysli až druhotnou operaci intelektu (</w:t>
      </w:r>
      <w:r w:rsidR="08163013" w:rsidRPr="00273106">
        <w:rPr>
          <w:i/>
        </w:rPr>
        <w:t>quod sequitur ipsa particularia ex operatione intellectu est posterius</w:t>
      </w:r>
      <w:r w:rsidR="08163013">
        <w:t>;</w:t>
      </w:r>
      <w:r w:rsidR="08163013" w:rsidRPr="00273106">
        <w:t xml:space="preserve"> M 1.9, p. 164.25‒26</w:t>
      </w:r>
      <w:r w:rsidR="08163013">
        <w:fldChar w:fldCharType="begin"/>
      </w:r>
      <w:r w:rsidR="08163013">
        <w:instrText xml:space="preserve"> XE "</w:instrText>
      </w:r>
      <w:r w:rsidR="08163013" w:rsidRPr="00F53B8E">
        <w:rPr>
          <w:i/>
        </w:rPr>
        <w:instrText>Mnichovský Anonym</w:instrText>
      </w:r>
      <w:r w:rsidR="08163013">
        <w:instrText xml:space="preserve"> 164.25</w:instrText>
      </w:r>
      <w:r w:rsidR="08163013" w:rsidRPr="00DE6CA6">
        <w:instrText>‒</w:instrText>
      </w:r>
      <w:r w:rsidR="08163013">
        <w:instrText xml:space="preserve">26" </w:instrText>
      </w:r>
      <w:r w:rsidR="08163013">
        <w:fldChar w:fldCharType="end"/>
      </w:r>
      <w:r w:rsidR="08163013" w:rsidRPr="00273106">
        <w:t>). S odvoláním na Aristotela oba autoři drží jasnou linii proti druhému averroismu</w:t>
      </w:r>
      <w:r w:rsidR="08163013">
        <w:t xml:space="preserve"> v modu </w:t>
      </w:r>
      <w:r w:rsidR="081942A4">
        <w:t xml:space="preserve">metafyzického </w:t>
      </w:r>
      <w:r w:rsidR="08163013">
        <w:t>dativu. B</w:t>
      </w:r>
      <w:r w:rsidR="08163013" w:rsidRPr="00273106">
        <w:t xml:space="preserve">uď jsou univerzália dána </w:t>
      </w:r>
      <w:r w:rsidR="08163013" w:rsidRPr="00273106">
        <w:rPr>
          <w:i/>
        </w:rPr>
        <w:t>per posterius</w:t>
      </w:r>
      <w:r w:rsidR="08163013" w:rsidRPr="00273106">
        <w:t xml:space="preserve"> vzhledem k prvním substancím, nebo vůbec neexistují (</w:t>
      </w:r>
      <w:r w:rsidR="08163013">
        <w:rPr>
          <w:i/>
        </w:rPr>
        <w:t>Aristotele</w:t>
      </w:r>
      <w:r w:rsidR="08163013" w:rsidRPr="00273106">
        <w:rPr>
          <w:i/>
        </w:rPr>
        <w:t>s dicit quod animal universale aut nihil est aut posterius est</w:t>
      </w:r>
      <w:r w:rsidR="08163013" w:rsidRPr="00273106">
        <w:t xml:space="preserve">; </w:t>
      </w:r>
      <w:proofErr w:type="gramStart"/>
      <w:r w:rsidR="08163013" w:rsidRPr="00273106">
        <w:t>O I.9, p.</w:t>
      </w:r>
      <w:proofErr w:type="gramEnd"/>
      <w:r w:rsidR="08163013" w:rsidRPr="00273106">
        <w:t xml:space="preserve"> 165.49‒50</w:t>
      </w:r>
      <w:r w:rsidR="08163013">
        <w:fldChar w:fldCharType="begin"/>
      </w:r>
      <w:r w:rsidR="08163013">
        <w:instrText xml:space="preserve"> XE "</w:instrText>
      </w:r>
      <w:r w:rsidR="08163013" w:rsidRPr="00B507CB">
        <w:rPr>
          <w:i/>
        </w:rPr>
        <w:instrText>Oxfordský</w:instrText>
      </w:r>
      <w:r w:rsidR="08163013">
        <w:instrText xml:space="preserve"> </w:instrText>
      </w:r>
      <w:r w:rsidR="08163013" w:rsidRPr="00F53B8E">
        <w:rPr>
          <w:i/>
        </w:rPr>
        <w:instrText>Anonym</w:instrText>
      </w:r>
      <w:r w:rsidR="08163013">
        <w:instrText xml:space="preserve"> 165.49</w:instrText>
      </w:r>
      <w:r w:rsidR="08163013" w:rsidRPr="00DE6CA6">
        <w:instrText>‒</w:instrText>
      </w:r>
      <w:r w:rsidR="08163013">
        <w:instrText xml:space="preserve">50" </w:instrText>
      </w:r>
      <w:r w:rsidR="08163013">
        <w:fldChar w:fldCharType="end"/>
      </w:r>
      <w:r w:rsidR="08163013" w:rsidRPr="00273106">
        <w:t xml:space="preserve">). Zdrojem univerzality je </w:t>
      </w:r>
      <w:r w:rsidR="08163013" w:rsidRPr="00273106">
        <w:rPr>
          <w:i/>
        </w:rPr>
        <w:t>intellectus agens</w:t>
      </w:r>
      <w:r w:rsidR="08163013" w:rsidRPr="00273106">
        <w:t xml:space="preserve"> který díky vlastní aktuální univerzalitě produkuje univerzalitu vzhledem k</w:t>
      </w:r>
      <w:r w:rsidR="0024387D">
        <w:t xml:space="preserve"> reálným </w:t>
      </w:r>
      <w:r w:rsidR="08163013" w:rsidRPr="00273106">
        <w:t xml:space="preserve">věcem. Univerzália mají pouze akcidentální charakter, </w:t>
      </w:r>
      <w:r w:rsidR="00F061B6" w:rsidRPr="00F061B6">
        <w:t xml:space="preserve">protože rozpoznávají </w:t>
      </w:r>
      <w:r w:rsidR="00F061B6">
        <w:t xml:space="preserve">esenci </w:t>
      </w:r>
      <w:r w:rsidR="00F061B6" w:rsidRPr="00F061B6">
        <w:t>první substance na základě nehmotné intence, která se váže</w:t>
      </w:r>
      <w:r w:rsidR="00F061B6">
        <w:t xml:space="preserve"> k první substanci </w:t>
      </w:r>
      <w:r w:rsidR="08163013" w:rsidRPr="080D4FB2">
        <w:t>(</w:t>
      </w:r>
      <w:r w:rsidR="08163013" w:rsidRPr="080D4FB2">
        <w:rPr>
          <w:i/>
        </w:rPr>
        <w:t xml:space="preserve">universale in actu est aliquid aggregatum ex natura rei ei intentione </w:t>
      </w:r>
      <w:r w:rsidR="08163013" w:rsidRPr="080D4FB2">
        <w:rPr>
          <w:i/>
        </w:rPr>
        <w:lastRenderedPageBreak/>
        <w:t>superaddita</w:t>
      </w:r>
      <w:r w:rsidR="08163013" w:rsidRPr="080D4FB2">
        <w:t>)</w:t>
      </w:r>
      <w:r w:rsidR="08163013" w:rsidRPr="00273106">
        <w:t>.</w:t>
      </w:r>
      <w:r w:rsidR="08163013" w:rsidRPr="00273106">
        <w:rPr>
          <w:rStyle w:val="Znakapoznpodarou"/>
        </w:rPr>
        <w:footnoteReference w:id="131"/>
      </w:r>
      <w:r w:rsidR="08163013" w:rsidRPr="00273106">
        <w:t xml:space="preserve">  </w:t>
      </w:r>
      <w:r w:rsidR="08163013">
        <w:t>A</w:t>
      </w:r>
      <w:r w:rsidR="08163013" w:rsidRPr="00273106">
        <w:t xml:space="preserve">ktuální existence </w:t>
      </w:r>
      <w:r w:rsidR="08163013">
        <w:t xml:space="preserve">věci </w:t>
      </w:r>
      <w:r w:rsidR="08163013" w:rsidRPr="00273106">
        <w:t>je pouze myšlená, proto nemůže být žádnou formou</w:t>
      </w:r>
      <w:r w:rsidR="08163013">
        <w:t xml:space="preserve"> jsoucna třetího druhu</w:t>
      </w:r>
      <w:r w:rsidR="08163013" w:rsidRPr="00273106">
        <w:t xml:space="preserve">. </w:t>
      </w:r>
      <w:r w:rsidR="08163013">
        <w:t xml:space="preserve">Autor O </w:t>
      </w:r>
      <w:proofErr w:type="gramStart"/>
      <w:r w:rsidR="08163013">
        <w:t>se</w:t>
      </w:r>
      <w:proofErr w:type="gramEnd"/>
      <w:r w:rsidR="08163013">
        <w:t xml:space="preserve"> odlišil od univerzálního hylemorfismu</w:t>
      </w:r>
      <w:r w:rsidR="08163013">
        <w:fldChar w:fldCharType="begin"/>
      </w:r>
      <w:r w:rsidR="08163013">
        <w:instrText xml:space="preserve"> XE "</w:instrText>
      </w:r>
      <w:r w:rsidR="08163013" w:rsidRPr="00423560">
        <w:instrText>univerzální hylemorfismus</w:instrText>
      </w:r>
      <w:r w:rsidR="08163013">
        <w:instrText xml:space="preserve">" </w:instrText>
      </w:r>
      <w:r w:rsidR="08163013">
        <w:fldChar w:fldCharType="end"/>
      </w:r>
      <w:r w:rsidR="08163013">
        <w:t xml:space="preserve"> na Oxfordu a v Paříži, a zároveň tento avicennista nepřijal Averroesovu koncepci metafyziky danou v rukopisu M. To je naprosto specifická pozice určující autorství</w:t>
      </w:r>
      <w:r w:rsidR="00362D94">
        <w:t xml:space="preserve">, datum a okolnosti vzniku </w:t>
      </w:r>
      <w:r w:rsidR="08163013">
        <w:t xml:space="preserve">rukopisu O. </w:t>
      </w:r>
      <w:r w:rsidR="08163013" w:rsidRPr="00273106">
        <w:t xml:space="preserve">V této fázi se zatím neřeší numerická jednota možného a aktivního intelektu. Oba autoři pouze konstatují s implicitním odvoláním na </w:t>
      </w:r>
      <w:proofErr w:type="gramStart"/>
      <w:r w:rsidR="08163013">
        <w:rPr>
          <w:i/>
        </w:rPr>
        <w:t>De</w:t>
      </w:r>
      <w:proofErr w:type="gramEnd"/>
      <w:r w:rsidR="08163013">
        <w:rPr>
          <w:i/>
        </w:rPr>
        <w:t xml:space="preserve"> anima</w:t>
      </w:r>
      <w:r w:rsidR="08163013" w:rsidRPr="00273106">
        <w:t xml:space="preserve">, že mezi oběma složkami duše existuje zásadní rozdíl. </w:t>
      </w:r>
      <w:r w:rsidR="08163013">
        <w:t>I tady je vidět úroveň vzdělaného aristotelika koncipujícího semiaverroistický rukopis O v protikladu k averroistické škole</w:t>
      </w:r>
      <w:r w:rsidR="08163013" w:rsidRPr="0070724C">
        <w:t xml:space="preserve"> </w:t>
      </w:r>
      <w:r w:rsidR="00A851C8">
        <w:t>Bonaventury</w:t>
      </w:r>
      <w:r w:rsidR="00795FD4">
        <w:t xml:space="preserve">. Ta </w:t>
      </w:r>
      <w:r w:rsidR="00A851C8">
        <w:t xml:space="preserve">měla </w:t>
      </w:r>
      <w:r w:rsidR="08163013">
        <w:t>pluralitu substancí</w:t>
      </w:r>
      <w:r w:rsidR="08105619">
        <w:t xml:space="preserve"> danou přímo v intelektu (kap. 4</w:t>
      </w:r>
      <w:r w:rsidR="08163013">
        <w:t xml:space="preserve">.1.2). </w:t>
      </w:r>
      <w:r w:rsidR="00A851C8" w:rsidRPr="00A851C8">
        <w:t xml:space="preserve">Taková úroveň vzdělaného aristotelismu svědčí o tom, že autor semiaverroistického </w:t>
      </w:r>
      <w:proofErr w:type="gramStart"/>
      <w:r w:rsidR="00A851C8" w:rsidRPr="00A851C8">
        <w:t>rukopisu O stojí</w:t>
      </w:r>
      <w:proofErr w:type="gramEnd"/>
      <w:r w:rsidR="00A851C8" w:rsidRPr="00A851C8">
        <w:t xml:space="preserve"> v protikladu k averroistické škole Bonaventury. Toto oddělení kultivovaného semiaverroismu zachovaného v </w:t>
      </w:r>
      <w:proofErr w:type="gramStart"/>
      <w:r w:rsidR="00A851C8" w:rsidRPr="00A851C8">
        <w:t>rukopise O od</w:t>
      </w:r>
      <w:proofErr w:type="gramEnd"/>
      <w:r w:rsidR="00A851C8" w:rsidRPr="00A851C8">
        <w:t xml:space="preserve"> primitivního averroismu prvních modernistů naznačuje zrod tomismu v prostředí druhé vlny </w:t>
      </w:r>
      <w:r w:rsidR="001E7E13" w:rsidRPr="001E7E13">
        <w:rPr>
          <w:i/>
        </w:rPr>
        <w:t>O</w:t>
      </w:r>
      <w:r w:rsidR="00A851C8" w:rsidRPr="001E7E13">
        <w:rPr>
          <w:i/>
        </w:rPr>
        <w:t>xford</w:t>
      </w:r>
      <w:r w:rsidR="001E7E13" w:rsidRPr="001E7E13">
        <w:rPr>
          <w:i/>
        </w:rPr>
        <w:t>ian Fallacy</w:t>
      </w:r>
      <w:r w:rsidR="001E7E13">
        <w:t xml:space="preserve"> </w:t>
      </w:r>
      <w:r w:rsidR="00A851C8" w:rsidRPr="00A851C8">
        <w:t xml:space="preserve">kolem roku 1270. </w:t>
      </w:r>
      <w:r w:rsidR="000F4DBA">
        <w:t>To také znamená, že tomismus a scotismus mají stejný modernistický původ, což bude ukázáno později.</w:t>
      </w:r>
    </w:p>
    <w:p w:rsidR="08163013" w:rsidRDefault="08163013" w:rsidP="00C3297F">
      <w:pPr>
        <w:ind w:firstLine="397"/>
      </w:pPr>
      <w:r>
        <w:t xml:space="preserve">Oba aristotelikové ví, že lidské </w:t>
      </w:r>
      <w:r w:rsidRPr="00273106">
        <w:t>poznání má charakter pohybu z možnosti do uskutečnění</w:t>
      </w:r>
      <w:r>
        <w:t xml:space="preserve"> a jeho aktualita je dána nejprve smyslově</w:t>
      </w:r>
      <w:r w:rsidRPr="00273106">
        <w:t xml:space="preserve">. Nejprve musí být dán </w:t>
      </w:r>
      <w:r w:rsidRPr="00273106">
        <w:rPr>
          <w:i/>
        </w:rPr>
        <w:t>intellectus possibilis</w:t>
      </w:r>
      <w:r w:rsidRPr="00273106">
        <w:t xml:space="preserve"> jako receptivní část duše, která je aktualizovaná skrze </w:t>
      </w:r>
      <w:r w:rsidRPr="00273106">
        <w:rPr>
          <w:i/>
        </w:rPr>
        <w:t>intellectus agens</w:t>
      </w:r>
      <w:r w:rsidRPr="00273106">
        <w:t xml:space="preserve">. Pokud by totiž aktivní intelekt vtiskoval do možného intelektu aktualitu sám ze sebe a ne z </w:t>
      </w:r>
      <w:r>
        <w:t xml:space="preserve">intencionální </w:t>
      </w:r>
      <w:r w:rsidRPr="00273106">
        <w:t>recepce externí věci, pak by naše poznání bylo aktuální a trvalé</w:t>
      </w:r>
      <w:r w:rsidR="0061792B">
        <w:t xml:space="preserve">. To </w:t>
      </w:r>
      <w:r w:rsidRPr="00273106">
        <w:t xml:space="preserve">protiřečí reálnému průběhu kontingentního poznání. </w:t>
      </w:r>
      <w:r>
        <w:t xml:space="preserve">V otázce </w:t>
      </w:r>
      <w:r w:rsidR="00962190" w:rsidRPr="000F3E02">
        <w:t>species</w:t>
      </w:r>
      <w:r w:rsidRPr="00273106">
        <w:t xml:space="preserve"> a univerzálií oba autoři jasně a přesvědčivě obhajují linii prvního averroismu danou výkladem </w:t>
      </w:r>
      <w:r>
        <w:t>Averroes</w:t>
      </w:r>
      <w:r w:rsidRPr="00273106">
        <w:t>e.</w:t>
      </w:r>
      <w:r w:rsidRPr="00273106">
        <w:rPr>
          <w:rStyle w:val="Znakapoznpodarou"/>
        </w:rPr>
        <w:footnoteReference w:id="132"/>
      </w:r>
      <w:r w:rsidRPr="00273106">
        <w:t xml:space="preserve"> Nepravda objektivity druhého averroismu </w:t>
      </w:r>
      <w:r>
        <w:t xml:space="preserve">daného v modu univerzálního hylemorfismu a pluralisty substancí v člověku </w:t>
      </w:r>
      <w:r w:rsidRPr="00273106">
        <w:t>je jasně a zásadně odmítnuta oběma autory</w:t>
      </w:r>
      <w:r w:rsidR="009144F7">
        <w:t xml:space="preserve">. Oba </w:t>
      </w:r>
      <w:r>
        <w:t xml:space="preserve">dobře </w:t>
      </w:r>
      <w:r w:rsidRPr="00273106">
        <w:t xml:space="preserve">znají </w:t>
      </w:r>
      <w:r>
        <w:t xml:space="preserve">spis </w:t>
      </w:r>
      <w:r w:rsidRPr="08A6257A">
        <w:rPr>
          <w:i/>
        </w:rPr>
        <w:t>De anima</w:t>
      </w:r>
      <w:r>
        <w:t xml:space="preserve"> a </w:t>
      </w:r>
      <w:r w:rsidR="006E4E18">
        <w:t xml:space="preserve">argumentaci </w:t>
      </w:r>
      <w:r w:rsidRPr="00273106">
        <w:t xml:space="preserve">CMDA. Autor Oxfordského rukopisu nemá problém s první částí citátu v </w:t>
      </w:r>
      <w:r w:rsidRPr="00273106">
        <w:lastRenderedPageBreak/>
        <w:t>rukopise M.</w:t>
      </w:r>
      <w:r w:rsidRPr="00273106">
        <w:rPr>
          <w:rStyle w:val="Znakapoznpodarou"/>
        </w:rPr>
        <w:footnoteReference w:id="133"/>
      </w:r>
      <w:r w:rsidRPr="00273106">
        <w:t xml:space="preserve"> </w:t>
      </w:r>
      <w:r w:rsidR="00D63B3C">
        <w:t xml:space="preserve">Autor </w:t>
      </w:r>
      <w:r w:rsidR="00152B43">
        <w:t>verze M tvrdí,</w:t>
      </w:r>
      <w:r w:rsidRPr="00273106">
        <w:t xml:space="preserve"> že </w:t>
      </w:r>
      <w:r w:rsidRPr="00273106">
        <w:rPr>
          <w:i/>
        </w:rPr>
        <w:t>intellectus agens</w:t>
      </w:r>
      <w:r>
        <w:rPr>
          <w:i/>
        </w:rPr>
        <w:fldChar w:fldCharType="begin"/>
      </w:r>
      <w:r>
        <w:instrText xml:space="preserve"> XE "</w:instrText>
      </w:r>
      <w:r w:rsidRPr="00490D32">
        <w:rPr>
          <w:i/>
        </w:rPr>
        <w:instrText>intellectus agens:</w:instrText>
      </w:r>
      <w:r w:rsidRPr="00D61EBA">
        <w:instrText>první averroismus</w:instrText>
      </w:r>
      <w:r>
        <w:instrText xml:space="preserve">" </w:instrText>
      </w:r>
      <w:r>
        <w:rPr>
          <w:i/>
        </w:rPr>
        <w:fldChar w:fldCharType="end"/>
      </w:r>
      <w:r w:rsidR="00D63B3C">
        <w:rPr>
          <w:i/>
        </w:rPr>
        <w:t xml:space="preserve"> </w:t>
      </w:r>
      <w:r w:rsidR="00D63B3C" w:rsidRPr="00D63B3C">
        <w:t xml:space="preserve">stojí </w:t>
      </w:r>
      <w:r w:rsidR="00D63B3C">
        <w:t xml:space="preserve">v řadě poznání nad </w:t>
      </w:r>
      <w:r w:rsidRPr="00273106">
        <w:t>možný</w:t>
      </w:r>
      <w:r w:rsidR="00D63B3C">
        <w:t>m</w:t>
      </w:r>
      <w:r w:rsidRPr="00273106">
        <w:t xml:space="preserve"> intelekt</w:t>
      </w:r>
      <w:r w:rsidR="00D63B3C">
        <w:t xml:space="preserve">em </w:t>
      </w:r>
      <w:r w:rsidR="00D63B3C" w:rsidRPr="00273106">
        <w:t>(</w:t>
      </w:r>
      <w:r w:rsidR="00D63B3C" w:rsidRPr="00273106">
        <w:rPr>
          <w:i/>
        </w:rPr>
        <w:t>agens sit nobilior patiente</w:t>
      </w:r>
      <w:r w:rsidR="00D63B3C" w:rsidRPr="00273106">
        <w:t>)</w:t>
      </w:r>
      <w:r w:rsidRPr="00273106">
        <w:t xml:space="preserve">, </w:t>
      </w:r>
      <w:r w:rsidR="00D63B3C">
        <w:t xml:space="preserve">protože receptivní intelekt </w:t>
      </w:r>
      <w:r w:rsidRPr="00273106">
        <w:t>je definovaný pouze vzhledem k</w:t>
      </w:r>
      <w:r w:rsidR="00D63B3C">
        <w:t> </w:t>
      </w:r>
      <w:r w:rsidRPr="00273106">
        <w:t>potencialitě</w:t>
      </w:r>
      <w:r w:rsidR="00D63B3C">
        <w:t xml:space="preserve"> intelektuálního poznání</w:t>
      </w:r>
      <w:r w:rsidRPr="00273106">
        <w:t xml:space="preserve">. </w:t>
      </w:r>
      <w:r w:rsidR="00DE1B04">
        <w:t xml:space="preserve">Poznání, které </w:t>
      </w:r>
      <w:r w:rsidR="00D63B3C">
        <w:t xml:space="preserve">má </w:t>
      </w:r>
      <w:r w:rsidR="00D63B3C" w:rsidRPr="00D63B3C">
        <w:rPr>
          <w:i/>
        </w:rPr>
        <w:t>intellectus possibilis</w:t>
      </w:r>
      <w:r w:rsidR="00D63B3C">
        <w:t xml:space="preserve"> pouze v potenci, to má </w:t>
      </w:r>
      <w:r w:rsidR="00D63B3C" w:rsidRPr="00DE1B04">
        <w:rPr>
          <w:i/>
        </w:rPr>
        <w:t>intellectus agens</w:t>
      </w:r>
      <w:r w:rsidR="00D63B3C">
        <w:t xml:space="preserve"> jako hotový nemateriální pojem. </w:t>
      </w:r>
      <w:r w:rsidRPr="00273106">
        <w:t>Pohyb je samozřejmě dán od možné univerzality k reálné (</w:t>
      </w:r>
      <w:r w:rsidRPr="00273106">
        <w:rPr>
          <w:i/>
        </w:rPr>
        <w:t>de potentia universali actu universale</w:t>
      </w:r>
      <w:r w:rsidRPr="00273106">
        <w:t>) a hybatelem je aktuálně daný intelekt (</w:t>
      </w:r>
      <w:r w:rsidRPr="00273106">
        <w:rPr>
          <w:i/>
        </w:rPr>
        <w:t>intellectus agens, qui per se movet ipsum intellectum possibilem</w:t>
      </w:r>
      <w:r w:rsidRPr="00273106">
        <w:t>).</w:t>
      </w:r>
      <w:r>
        <w:t xml:space="preserve"> </w:t>
      </w:r>
      <w:r w:rsidR="00C3297F">
        <w:t>Zásadní rozdíl obou rukopisů je v</w:t>
      </w:r>
      <w:r w:rsidR="00D63B3C">
        <w:t xml:space="preserve"> otázce, zda termín „</w:t>
      </w:r>
      <w:r w:rsidR="00D63B3C" w:rsidRPr="00D63B3C">
        <w:rPr>
          <w:i/>
        </w:rPr>
        <w:t>nobilior</w:t>
      </w:r>
      <w:r w:rsidR="00D63B3C">
        <w:t>“ znam</w:t>
      </w:r>
      <w:r w:rsidR="00C3297F">
        <w:t>ená ontologickou nadřazenost avi</w:t>
      </w:r>
      <w:r w:rsidR="00D63B3C">
        <w:t>cennistické</w:t>
      </w:r>
      <w:r w:rsidR="004654AD">
        <w:t xml:space="preserve">ho činného intelektu (moderna); </w:t>
      </w:r>
      <w:r w:rsidR="00D63B3C">
        <w:t xml:space="preserve">nebo pouze </w:t>
      </w:r>
      <w:r w:rsidR="00D87B17">
        <w:t xml:space="preserve">indikuje </w:t>
      </w:r>
      <w:r w:rsidR="00D63B3C">
        <w:t>pořadí poznání, v němž aktualita daná inte</w:t>
      </w:r>
      <w:r w:rsidR="00D87B17">
        <w:t>n</w:t>
      </w:r>
      <w:r w:rsidR="00D63B3C">
        <w:t xml:space="preserve">cionalitou přechází </w:t>
      </w:r>
      <w:r w:rsidR="00D87B17">
        <w:t>z receptivního na činný intelekt</w:t>
      </w:r>
      <w:r w:rsidR="00D63B3C">
        <w:t xml:space="preserve"> (Aristotelova </w:t>
      </w:r>
      <w:r w:rsidR="00D63B3C" w:rsidRPr="00D63B3C">
        <w:rPr>
          <w:i/>
        </w:rPr>
        <w:t>De anima</w:t>
      </w:r>
      <w:r w:rsidR="00D63B3C">
        <w:t>).</w:t>
      </w:r>
      <w:r w:rsidR="00C3297F">
        <w:t xml:space="preserve"> Autor rukopisu O </w:t>
      </w:r>
      <w:proofErr w:type="gramStart"/>
      <w:r w:rsidR="00C3297F">
        <w:t>je</w:t>
      </w:r>
      <w:proofErr w:type="gramEnd"/>
      <w:r w:rsidR="00C3297F">
        <w:t xml:space="preserve"> vzdělaný latinský sofista ve stylu Grosseteho „</w:t>
      </w:r>
      <w:r w:rsidR="00C3297F" w:rsidRPr="00C3297F">
        <w:rPr>
          <w:i/>
        </w:rPr>
        <w:t>aliquantulum obscura</w:t>
      </w:r>
      <w:r w:rsidR="00C3297F">
        <w:t>“  (OBJ II, kap. 3</w:t>
      </w:r>
      <w:r w:rsidR="00C3297F" w:rsidRPr="00273106">
        <w:t>.1.1</w:t>
      </w:r>
      <w:r w:rsidR="00C3297F">
        <w:t xml:space="preserve">). Proto je třeba uvést </w:t>
      </w:r>
      <w:r>
        <w:t>klíčov</w:t>
      </w:r>
      <w:r w:rsidR="00C3297F">
        <w:t>ý</w:t>
      </w:r>
      <w:r>
        <w:t xml:space="preserve"> rozdíl mezi oběma komentáři poznámkou </w:t>
      </w:r>
      <w:r w:rsidR="00C3297F">
        <w:t xml:space="preserve">v </w:t>
      </w:r>
      <w:r w:rsidRPr="00273106">
        <w:t>rukopisu O, který se distancuje od nauky přednesené v rukopisu M: „</w:t>
      </w:r>
      <w:r w:rsidRPr="00273106">
        <w:rPr>
          <w:i/>
        </w:rPr>
        <w:t>Sed quomodo est istud, magis dubium est</w:t>
      </w:r>
      <w:r w:rsidRPr="00273106">
        <w:t>.“ (O 1.10, p. 168.47</w:t>
      </w:r>
      <w:r>
        <w:fldChar w:fldCharType="begin"/>
      </w:r>
      <w:r>
        <w:instrText xml:space="preserve"> XE "</w:instrText>
      </w:r>
      <w:r w:rsidRPr="00B507CB">
        <w:rPr>
          <w:i/>
        </w:rPr>
        <w:instrText>Oxfordský</w:instrText>
      </w:r>
      <w:r>
        <w:instrText xml:space="preserve"> </w:instrText>
      </w:r>
      <w:r w:rsidRPr="00F53B8E">
        <w:rPr>
          <w:i/>
        </w:rPr>
        <w:instrText>Anonym</w:instrText>
      </w:r>
      <w:r>
        <w:instrText xml:space="preserve"> 168.47" </w:instrText>
      </w:r>
      <w:r>
        <w:fldChar w:fldCharType="end"/>
      </w:r>
      <w:r w:rsidRPr="00273106">
        <w:t xml:space="preserve">) Co je podle autora verze O zásadně pochybné a proč? </w:t>
      </w:r>
      <w:proofErr w:type="gramStart"/>
      <w:r w:rsidRPr="00273106">
        <w:t>Rukopis O věrně reprodukuje</w:t>
      </w:r>
      <w:proofErr w:type="gramEnd"/>
      <w:r w:rsidRPr="00273106">
        <w:t xml:space="preserve">, a nakonec zpochybňuje klíčovou větu rukopisu M, která se týká povahy spojení obou intelektů. Receptivní a aktivní složka intelektu je nemateriální, ale mezi sebou se zásadně liší rozdílem potenciality a aktuality. Přitom má být intelekt </w:t>
      </w:r>
      <w:r>
        <w:t>nějak</w:t>
      </w:r>
      <w:r w:rsidRPr="00273106">
        <w:t xml:space="preserve"> (</w:t>
      </w:r>
      <w:r w:rsidRPr="00273106">
        <w:rPr>
          <w:i/>
        </w:rPr>
        <w:t>quomodo</w:t>
      </w:r>
      <w:r w:rsidRPr="00273106">
        <w:t xml:space="preserve">) determinovaný smyslovým poznáním reálné věci. </w:t>
      </w:r>
      <w:r>
        <w:t xml:space="preserve">Tento rozdíl v obou rukopisech je zásadní. Tato pozice odděluje dualimus smyslového a inteligibilního poznání semiaverroisty Aegidia od Sigerovy brilantně vypracované definice poznání v rámci jedné osoby. Rukopis M v této části provádí shrnutí centrální části jednoty myslící osoby podle CMDA. Autor </w:t>
      </w:r>
      <w:r w:rsidR="00BB7FF3">
        <w:t xml:space="preserve">verze M </w:t>
      </w:r>
      <w:r>
        <w:t xml:space="preserve">zásadně odmítá tezi o podřízenosti receptivního intelektu pod aktivní, protože to by se stal </w:t>
      </w:r>
      <w:r w:rsidRPr="00216DA0">
        <w:rPr>
          <w:i/>
        </w:rPr>
        <w:t>intellectus agens</w:t>
      </w:r>
      <w:r>
        <w:t xml:space="preserve"> samostatnou substancí v duši. Pak pokračuje útokem proti averroistům Bonaventurovy školy, kteří drží nasvícení smyslu jsoucna zezadu. Rukopis M přesně určil a odmítl pozici modernistů</w:t>
      </w:r>
      <w:r w:rsidR="00492060">
        <w:t xml:space="preserve">. Ti </w:t>
      </w:r>
      <w:r>
        <w:t xml:space="preserve">definují produkci poznání tím, že hypostázovaný a oddělený činný intelekt působí </w:t>
      </w:r>
      <w:r w:rsidR="00492060">
        <w:t xml:space="preserve">sám od sebe </w:t>
      </w:r>
      <w:r>
        <w:t xml:space="preserve">na </w:t>
      </w:r>
      <w:r w:rsidR="00962190">
        <w:rPr>
          <w:i/>
        </w:rPr>
        <w:t>species</w:t>
      </w:r>
      <w:r w:rsidRPr="082A2544">
        <w:rPr>
          <w:i/>
        </w:rPr>
        <w:t xml:space="preserve"> sensibilis</w:t>
      </w:r>
      <w:r>
        <w:t xml:space="preserve"> v představivosti a přeměňuje inteligibilní potenci těchto smyslových species na aktuální</w:t>
      </w:r>
      <w:r w:rsidR="008745AB">
        <w:t xml:space="preserve"> pojem</w:t>
      </w:r>
      <w:r>
        <w:t>.</w:t>
      </w:r>
    </w:p>
    <w:p w:rsidR="08163013" w:rsidRDefault="08163013" w:rsidP="08163013">
      <w:pPr>
        <w:pStyle w:val="Citace"/>
      </w:pPr>
      <w:r w:rsidRPr="00273106">
        <w:lastRenderedPageBreak/>
        <w:t>„</w:t>
      </w:r>
      <w:r>
        <w:t xml:space="preserve">Jak by tato podřízenost byla dána, to ukazují někteří tím, že dávají fantasmata do stejného vztahu k možnému intelektu jako smyslové vjemy ke smyslům. </w:t>
      </w:r>
      <w:r>
        <w:rPr>
          <w:lang w:val="cs-CZ"/>
        </w:rPr>
        <w:t>V</w:t>
      </w:r>
      <w:r>
        <w:t xml:space="preserve">e fantasmatech </w:t>
      </w:r>
      <w:r>
        <w:rPr>
          <w:lang w:val="cs-CZ"/>
        </w:rPr>
        <w:t xml:space="preserve">prý </w:t>
      </w:r>
      <w:r>
        <w:t xml:space="preserve">není univerzální určení v aktualitě, ale pouze v potenci. Činný intelekt </w:t>
      </w:r>
      <w:r w:rsidR="00B02ED5">
        <w:rPr>
          <w:rFonts w:cs="Calibri"/>
        </w:rPr>
        <w:t>[</w:t>
      </w:r>
      <w:r w:rsidR="00B02ED5">
        <w:t>modern</w:t>
      </w:r>
      <w:r w:rsidR="00B02ED5">
        <w:rPr>
          <w:lang w:val="cs-CZ"/>
        </w:rPr>
        <w:t>y</w:t>
      </w:r>
      <w:r w:rsidR="00B02ED5">
        <w:rPr>
          <w:rFonts w:cs="Calibri"/>
        </w:rPr>
        <w:t>]</w:t>
      </w:r>
      <w:r w:rsidR="00B02ED5">
        <w:t xml:space="preserve"> </w:t>
      </w:r>
      <w:r>
        <w:rPr>
          <w:lang w:val="cs-CZ"/>
        </w:rPr>
        <w:t xml:space="preserve">vyjde </w:t>
      </w:r>
      <w:r>
        <w:t>od této intence nebo racionálního určení daného v potenci (</w:t>
      </w:r>
      <w:r w:rsidRPr="00C44A3A">
        <w:rPr>
          <w:i/>
        </w:rPr>
        <w:t>ab huiusmodi intentione vel ratione universali in potentia</w:t>
      </w:r>
      <w:r>
        <w:t xml:space="preserve">) </w:t>
      </w:r>
      <w:r>
        <w:rPr>
          <w:lang w:val="cs-CZ"/>
        </w:rPr>
        <w:t xml:space="preserve">a nahradí </w:t>
      </w:r>
      <w:r>
        <w:t xml:space="preserve">principy </w:t>
      </w:r>
      <w:r>
        <w:rPr>
          <w:lang w:val="cs-CZ"/>
        </w:rPr>
        <w:t xml:space="preserve">smyslové </w:t>
      </w:r>
      <w:r>
        <w:t>individual</w:t>
      </w:r>
      <w:r>
        <w:rPr>
          <w:lang w:val="cs-CZ"/>
        </w:rPr>
        <w:t>izace</w:t>
      </w:r>
      <w:r>
        <w:t xml:space="preserve"> (</w:t>
      </w:r>
      <w:r w:rsidRPr="00C44A3A">
        <w:rPr>
          <w:i/>
        </w:rPr>
        <w:t>circumscribens principia individuantia</w:t>
      </w:r>
      <w:r>
        <w:t xml:space="preserve">). Tím činný intelekt </w:t>
      </w:r>
      <w:r w:rsidR="00B02ED5">
        <w:rPr>
          <w:rFonts w:cs="Calibri"/>
        </w:rPr>
        <w:t>[</w:t>
      </w:r>
      <w:r w:rsidR="00B02ED5">
        <w:t>modern</w:t>
      </w:r>
      <w:r w:rsidR="00B02ED5">
        <w:rPr>
          <w:lang w:val="cs-CZ"/>
        </w:rPr>
        <w:t>y</w:t>
      </w:r>
      <w:r w:rsidR="00B02ED5">
        <w:rPr>
          <w:rFonts w:cs="Calibri"/>
        </w:rPr>
        <w:t>]</w:t>
      </w:r>
      <w:r w:rsidR="00B02ED5">
        <w:t xml:space="preserve"> </w:t>
      </w:r>
      <w:r>
        <w:rPr>
          <w:lang w:val="cs-CZ"/>
        </w:rPr>
        <w:t xml:space="preserve">ze sebe </w:t>
      </w:r>
      <w:r>
        <w:t>způsobí, že univerzálie daná v potenci se stane univerzálií danou aktuálně</w:t>
      </w:r>
      <w:r>
        <w:rPr>
          <w:lang w:val="cs-CZ"/>
        </w:rPr>
        <w:t xml:space="preserve"> (</w:t>
      </w:r>
      <w:r w:rsidRPr="0014288E">
        <w:rPr>
          <w:i/>
          <w:noProof/>
        </w:rPr>
        <w:t>potentia universale est actu universale</w:t>
      </w:r>
      <w:r>
        <w:rPr>
          <w:lang w:val="cs-CZ"/>
        </w:rPr>
        <w:t>)</w:t>
      </w:r>
      <w:r>
        <w:t xml:space="preserve">. Takto </w:t>
      </w:r>
      <w:r>
        <w:rPr>
          <w:lang w:val="cs-CZ"/>
        </w:rPr>
        <w:t xml:space="preserve">vytváří </w:t>
      </w:r>
      <w:r>
        <w:t>činný intelekt univerz</w:t>
      </w:r>
      <w:r>
        <w:rPr>
          <w:lang w:val="cs-CZ"/>
        </w:rPr>
        <w:t>ália</w:t>
      </w:r>
      <w:r>
        <w:t xml:space="preserve"> skrze sebe </w:t>
      </w:r>
      <w:r w:rsidR="00B02ED5">
        <w:rPr>
          <w:lang w:val="cs-CZ"/>
        </w:rPr>
        <w:t xml:space="preserve">sama </w:t>
      </w:r>
      <w:r>
        <w:t>(</w:t>
      </w:r>
      <w:r w:rsidRPr="00C44A3A">
        <w:rPr>
          <w:i/>
        </w:rPr>
        <w:t>intellectus agens per se agit universale</w:t>
      </w:r>
      <w:r>
        <w:t xml:space="preserve">). Univerzální význam vzniklý aktuálně </w:t>
      </w:r>
      <w:r>
        <w:rPr>
          <w:lang w:val="cs-CZ"/>
        </w:rPr>
        <w:t xml:space="preserve">pak </w:t>
      </w:r>
      <w:r>
        <w:t xml:space="preserve">hýbe možným intelektem. Kvůli tomu někteří tvrdí, že univerzália preexistují ve věcech před aktivitou intelektu.“ </w:t>
      </w:r>
      <w:r>
        <w:rPr>
          <w:rStyle w:val="Znakapoznpodarou"/>
        </w:rPr>
        <w:footnoteReference w:id="134"/>
      </w:r>
    </w:p>
    <w:p w:rsidR="00155C21" w:rsidRDefault="08163013" w:rsidP="08163013">
      <w:r w:rsidRPr="00273106">
        <w:t>První věta říká, že existují obhájci teze (</w:t>
      </w:r>
      <w:r w:rsidRPr="00273106">
        <w:rPr>
          <w:i/>
        </w:rPr>
        <w:t>secundum Quosdam</w:t>
      </w:r>
      <w:r w:rsidRPr="00273106">
        <w:t>), podle níž univerzália sice nemohou být aktuálně ve smyslových fantasmatech, ale jsou tam pouze v potenci (</w:t>
      </w:r>
      <w:r w:rsidRPr="00273106">
        <w:rPr>
          <w:i/>
        </w:rPr>
        <w:t xml:space="preserve">in </w:t>
      </w:r>
      <w:proofErr w:type="gramStart"/>
      <w:r w:rsidRPr="00273106">
        <w:rPr>
          <w:i/>
        </w:rPr>
        <w:t>phantasmatibus...non</w:t>
      </w:r>
      <w:proofErr w:type="gramEnd"/>
      <w:r w:rsidRPr="00273106">
        <w:rPr>
          <w:i/>
        </w:rPr>
        <w:t xml:space="preserve"> est ratio universalis in actu, sed in potentia</w:t>
      </w:r>
      <w:r w:rsidRPr="00273106">
        <w:t>). Proto jejich nemateriální výměr (</w:t>
      </w:r>
      <w:r w:rsidRPr="00273106">
        <w:rPr>
          <w:i/>
        </w:rPr>
        <w:t>ratio universalis</w:t>
      </w:r>
      <w:r w:rsidRPr="00273106">
        <w:t xml:space="preserve">) přímo </w:t>
      </w:r>
      <w:r>
        <w:t xml:space="preserve">působí na </w:t>
      </w:r>
      <w:r w:rsidRPr="00273106">
        <w:t>nem</w:t>
      </w:r>
      <w:r w:rsidR="080E0821">
        <w:t xml:space="preserve">ateriální receptivní intelekt. </w:t>
      </w:r>
      <w:r>
        <w:t xml:space="preserve">Moderna osvícená </w:t>
      </w:r>
      <w:r w:rsidR="005D067A">
        <w:t xml:space="preserve">tímto </w:t>
      </w:r>
      <w:r>
        <w:t xml:space="preserve">intelektem-sluncem nepotřebuje </w:t>
      </w:r>
      <w:r w:rsidRPr="082A2544">
        <w:rPr>
          <w:i/>
        </w:rPr>
        <w:t>intellectus possib</w:t>
      </w:r>
      <w:r>
        <w:rPr>
          <w:i/>
        </w:rPr>
        <w:t>i</w:t>
      </w:r>
      <w:r w:rsidRPr="082A2544">
        <w:rPr>
          <w:i/>
        </w:rPr>
        <w:t>lis</w:t>
      </w:r>
      <w:r>
        <w:t xml:space="preserve">, ale škola prvního averroismu jej potřebuje naprosto zásadně, protože by neměla pravdu jako </w:t>
      </w:r>
      <w:r w:rsidRPr="082A2544">
        <w:rPr>
          <w:i/>
        </w:rPr>
        <w:t>proportio</w:t>
      </w:r>
      <w:r>
        <w:t xml:space="preserve"> reálné věci a intelektu. </w:t>
      </w:r>
      <w:r w:rsidRPr="00273106">
        <w:t xml:space="preserve">Vzpomeňme na zrušení abstrakce u </w:t>
      </w:r>
      <w:r w:rsidR="007831EE">
        <w:t>moderně falsafy, která</w:t>
      </w:r>
      <w:r w:rsidRPr="00273106">
        <w:t xml:space="preserve"> místo </w:t>
      </w:r>
      <w:r w:rsidR="00E305E9" w:rsidRPr="00E305E9">
        <w:rPr>
          <w:i/>
        </w:rPr>
        <w:t>abstractio</w:t>
      </w:r>
      <w:r w:rsidR="00E305E9">
        <w:t xml:space="preserve"> Aristotela zvolil</w:t>
      </w:r>
      <w:r w:rsidR="007831EE">
        <w:t>a</w:t>
      </w:r>
      <w:r w:rsidR="00E305E9">
        <w:t xml:space="preserve"> </w:t>
      </w:r>
      <w:r w:rsidRPr="00273106">
        <w:rPr>
          <w:i/>
        </w:rPr>
        <w:t>denudatio</w:t>
      </w:r>
      <w:r w:rsidR="00E305E9">
        <w:rPr>
          <w:i/>
        </w:rPr>
        <w:t xml:space="preserve"> </w:t>
      </w:r>
      <w:r w:rsidR="00E305E9">
        <w:t xml:space="preserve">Avicenny </w:t>
      </w:r>
      <w:r>
        <w:rPr>
          <w:i/>
        </w:rPr>
        <w:fldChar w:fldCharType="begin"/>
      </w:r>
      <w:r>
        <w:instrText xml:space="preserve"> XE "</w:instrText>
      </w:r>
      <w:r w:rsidRPr="00C23100">
        <w:rPr>
          <w:i/>
        </w:rPr>
        <w:instrText>denudatio</w:instrText>
      </w:r>
      <w:r>
        <w:rPr>
          <w:i/>
        </w:rPr>
        <w:instrText>:</w:instrText>
      </w:r>
      <w:r w:rsidRPr="00E90171">
        <w:instrText>druhý averroismus</w:instrText>
      </w:r>
      <w:r>
        <w:instrText xml:space="preserve">" </w:instrText>
      </w:r>
      <w:r>
        <w:rPr>
          <w:i/>
        </w:rPr>
        <w:fldChar w:fldCharType="end"/>
      </w:r>
      <w:r w:rsidRPr="00273106">
        <w:t xml:space="preserve"> (</w:t>
      </w:r>
      <w:r w:rsidR="08936D50">
        <w:t xml:space="preserve">OBJ I, </w:t>
      </w:r>
      <w:r w:rsidRPr="00273106">
        <w:t>kap. 2.1.1). Ob</w:t>
      </w:r>
      <w:r>
        <w:t>hájci si vypomohou jednoduchým a podle rukopisu M mylným</w:t>
      </w:r>
      <w:r w:rsidRPr="00273106">
        <w:t xml:space="preserve"> přirovnáním, že fantasmata mají samy od sebe stejný vztah k možnému intelektu (</w:t>
      </w:r>
      <w:r w:rsidRPr="00273106">
        <w:rPr>
          <w:i/>
        </w:rPr>
        <w:t>in phantasmatibus, quae se habent ad intellectum possibilem</w:t>
      </w:r>
      <w:r w:rsidRPr="00273106">
        <w:t>), jako mají smysly vnímatelné vlastnosti věcí vzhledem k tělesným smyslům (</w:t>
      </w:r>
      <w:r w:rsidRPr="00273106">
        <w:rPr>
          <w:i/>
        </w:rPr>
        <w:t xml:space="preserve">sicut sensibilia ad </w:t>
      </w:r>
      <w:proofErr w:type="gramStart"/>
      <w:r w:rsidRPr="00273106">
        <w:rPr>
          <w:i/>
        </w:rPr>
        <w:t>sensum</w:t>
      </w:r>
      <w:proofErr w:type="gramEnd"/>
      <w:r w:rsidRPr="00273106">
        <w:t xml:space="preserve">). </w:t>
      </w:r>
      <w:r>
        <w:t>J</w:t>
      </w:r>
      <w:r w:rsidRPr="00273106">
        <w:t xml:space="preserve">de o standardní výrok druhého averroismu, kterým se </w:t>
      </w:r>
      <w:r w:rsidR="080E0821">
        <w:t xml:space="preserve">modernisté </w:t>
      </w:r>
      <w:r w:rsidRPr="00273106">
        <w:t>snažil</w:t>
      </w:r>
      <w:r w:rsidR="080E0821">
        <w:t>i</w:t>
      </w:r>
      <w:r w:rsidRPr="00273106">
        <w:t xml:space="preserve"> </w:t>
      </w:r>
      <w:r>
        <w:t xml:space="preserve">metaforicky a sofisticky </w:t>
      </w:r>
      <w:r w:rsidRPr="00273106">
        <w:t xml:space="preserve">přemostit </w:t>
      </w:r>
      <w:r>
        <w:t xml:space="preserve">zásadní </w:t>
      </w:r>
      <w:r w:rsidRPr="00273106">
        <w:t xml:space="preserve">rozdíl mezi smyslovým a intelektuálním poznáním. Tato analogie je podle autora M nemožná, viz předešlé vývody o statutu univerzálií, které nemohou být dány v prvních substancích, protože mají bytí pouze v intelektu. Po dokonané </w:t>
      </w:r>
      <w:r w:rsidRPr="00273106">
        <w:rPr>
          <w:i/>
        </w:rPr>
        <w:t>Oxfordian Fallacy</w:t>
      </w:r>
      <w:r w:rsidRPr="00273106">
        <w:t>, která obejde (</w:t>
      </w:r>
      <w:r w:rsidRPr="00273106">
        <w:rPr>
          <w:i/>
        </w:rPr>
        <w:t>circumscribens</w:t>
      </w:r>
      <w:r w:rsidRPr="00273106">
        <w:t xml:space="preserve">) princip individuace daný na úrovni první substance, začne na úrovni abstrakce neomezeně vládnout aktivní intelekt. Ten determinuje univerzálii danou </w:t>
      </w:r>
      <w:r>
        <w:t xml:space="preserve">potenciálně </w:t>
      </w:r>
      <w:r w:rsidRPr="00273106">
        <w:t>již ve fantasmatu a pak recipovanou možným intelektem (</w:t>
      </w:r>
      <w:r w:rsidRPr="00273106">
        <w:rPr>
          <w:i/>
        </w:rPr>
        <w:t xml:space="preserve">ab huiusmodi </w:t>
      </w:r>
      <w:r w:rsidRPr="00273106">
        <w:rPr>
          <w:i/>
        </w:rPr>
        <w:lastRenderedPageBreak/>
        <w:t>intentione vel ratione universali in potentia</w:t>
      </w:r>
      <w:r w:rsidRPr="00273106">
        <w:t xml:space="preserve">). Vždy aktuální </w:t>
      </w:r>
      <w:r w:rsidRPr="00273106">
        <w:rPr>
          <w:i/>
        </w:rPr>
        <w:t>intellectus agens</w:t>
      </w:r>
      <w:r>
        <w:t xml:space="preserve"> přetáhne (Rufusovo </w:t>
      </w:r>
      <w:r w:rsidR="08B10759">
        <w:t xml:space="preserve">sloveso </w:t>
      </w:r>
      <w:r w:rsidRPr="00273106">
        <w:rPr>
          <w:i/>
        </w:rPr>
        <w:t>exsistit</w:t>
      </w:r>
      <w:r>
        <w:fldChar w:fldCharType="begin"/>
      </w:r>
      <w:r>
        <w:instrText xml:space="preserve"> XE "</w:instrText>
      </w:r>
      <w:r w:rsidRPr="006C4280">
        <w:rPr>
          <w:i/>
        </w:rPr>
        <w:instrText>exsistere</w:instrText>
      </w:r>
      <w:r>
        <w:instrText xml:space="preserve">" </w:instrText>
      </w:r>
      <w:r>
        <w:fldChar w:fldCharType="end"/>
      </w:r>
      <w:r w:rsidRPr="00273106">
        <w:t xml:space="preserve">) univerzálii </w:t>
      </w:r>
      <w:r>
        <w:t xml:space="preserve">danou </w:t>
      </w:r>
      <w:r w:rsidRPr="00273106">
        <w:rPr>
          <w:i/>
        </w:rPr>
        <w:t>in potentia</w:t>
      </w:r>
      <w:r w:rsidRPr="00273106">
        <w:t xml:space="preserve"> skrze vlastní ak</w:t>
      </w:r>
      <w:r>
        <w:t>tualitu až do aktuální existence</w:t>
      </w:r>
      <w:r w:rsidRPr="00273106">
        <w:t xml:space="preserve"> v mysli (</w:t>
      </w:r>
      <w:r w:rsidRPr="00273106">
        <w:rPr>
          <w:i/>
        </w:rPr>
        <w:t xml:space="preserve">intellectus </w:t>
      </w:r>
      <w:proofErr w:type="gramStart"/>
      <w:r w:rsidRPr="00273106">
        <w:rPr>
          <w:i/>
        </w:rPr>
        <w:t>agens... facit</w:t>
      </w:r>
      <w:proofErr w:type="gramEnd"/>
      <w:r w:rsidRPr="00273106">
        <w:rPr>
          <w:i/>
        </w:rPr>
        <w:t xml:space="preserve"> quod illud quod erat potentia universale est actu universale</w:t>
      </w:r>
      <w:r w:rsidRPr="00273106">
        <w:t xml:space="preserve">). Pak je jasné, že takto </w:t>
      </w:r>
      <w:r w:rsidR="00180FB4">
        <w:t xml:space="preserve">aktuální </w:t>
      </w:r>
      <w:r w:rsidRPr="00273106">
        <w:t xml:space="preserve">duše a intelekt nejsou Aristotelova </w:t>
      </w:r>
      <w:r w:rsidRPr="00273106">
        <w:rPr>
          <w:i/>
        </w:rPr>
        <w:t>tabula rasa</w:t>
      </w:r>
      <w:r>
        <w:rPr>
          <w:i/>
        </w:rPr>
        <w:fldChar w:fldCharType="begin"/>
      </w:r>
      <w:r>
        <w:instrText xml:space="preserve"> XE "</w:instrText>
      </w:r>
      <w:r w:rsidRPr="00CE6D17">
        <w:rPr>
          <w:i/>
        </w:rPr>
        <w:instrText>tabula rasa</w:instrText>
      </w:r>
      <w:r>
        <w:instrText xml:space="preserve">" </w:instrText>
      </w:r>
      <w:r>
        <w:rPr>
          <w:i/>
        </w:rPr>
        <w:fldChar w:fldCharType="end"/>
      </w:r>
      <w:r w:rsidRPr="00273106">
        <w:t>, ale Avi</w:t>
      </w:r>
      <w:r>
        <w:t>cennův „létající muž</w:t>
      </w:r>
      <w:r>
        <w:fldChar w:fldCharType="begin"/>
      </w:r>
      <w:r>
        <w:instrText xml:space="preserve"> XE "</w:instrText>
      </w:r>
      <w:r w:rsidRPr="00012EDF">
        <w:instrText>létající muž</w:instrText>
      </w:r>
      <w:r>
        <w:instrText xml:space="preserve">" </w:instrText>
      </w:r>
      <w:r>
        <w:fldChar w:fldCharType="end"/>
      </w:r>
      <w:r>
        <w:t>“. Porretánsky hy</w:t>
      </w:r>
      <w:r w:rsidR="00180FB4">
        <w:t xml:space="preserve">postázovaný aktivní intelekt produkuje aktuální poznání </w:t>
      </w:r>
      <w:r>
        <w:t>sám od sebe, proto</w:t>
      </w:r>
      <w:r w:rsidR="00180FB4">
        <w:t>že</w:t>
      </w:r>
      <w:r>
        <w:t xml:space="preserve"> </w:t>
      </w:r>
      <w:r w:rsidRPr="00273106">
        <w:t>tvoří substanci karteziánsky oddělenou od těla.</w:t>
      </w:r>
      <w:r>
        <w:t xml:space="preserve"> </w:t>
      </w:r>
      <w:r w:rsidRPr="00273106">
        <w:t xml:space="preserve">Citát jasně odmítá Bonaventurovu a </w:t>
      </w:r>
      <w:r>
        <w:t>Pechamovu nauku</w:t>
      </w:r>
      <w:r w:rsidR="00C91769">
        <w:t xml:space="preserve">, </w:t>
      </w:r>
      <w:r w:rsidR="00C91769" w:rsidRPr="00C91769">
        <w:t>že první substance obsahují nějaké hypostatické objektivní entity</w:t>
      </w:r>
      <w:r w:rsidR="00C91769">
        <w:t xml:space="preserve"> </w:t>
      </w:r>
      <w:r w:rsidRPr="00273106">
        <w:t>(</w:t>
      </w:r>
      <w:r w:rsidRPr="00273106">
        <w:rPr>
          <w:i/>
        </w:rPr>
        <w:t>rationes exemplares</w:t>
      </w:r>
      <w:r w:rsidRPr="00273106">
        <w:t xml:space="preserve">, </w:t>
      </w:r>
      <w:r w:rsidRPr="00273106">
        <w:rPr>
          <w:i/>
        </w:rPr>
        <w:t>ratio seminalis</w:t>
      </w:r>
      <w:r>
        <w:rPr>
          <w:i/>
        </w:rPr>
        <w:fldChar w:fldCharType="begin"/>
      </w:r>
      <w:r>
        <w:instrText xml:space="preserve"> XE "</w:instrText>
      </w:r>
      <w:r w:rsidRPr="009D39F0">
        <w:rPr>
          <w:i/>
        </w:rPr>
        <w:instrText>ratio seminalis</w:instrText>
      </w:r>
      <w:r>
        <w:instrText xml:space="preserve">" </w:instrText>
      </w:r>
      <w:r>
        <w:rPr>
          <w:i/>
        </w:rPr>
        <w:fldChar w:fldCharType="end"/>
      </w:r>
      <w:r w:rsidRPr="00273106">
        <w:t xml:space="preserve">). </w:t>
      </w:r>
      <w:r w:rsidR="00161AF1" w:rsidRPr="00161AF1">
        <w:t>Autor pracuj</w:t>
      </w:r>
      <w:r w:rsidR="00161AF1">
        <w:t>e se schématem poznání v rámci „</w:t>
      </w:r>
      <w:proofErr w:type="gramStart"/>
      <w:r w:rsidR="00161AF1">
        <w:t>potencialita</w:t>
      </w:r>
      <w:proofErr w:type="gramEnd"/>
      <w:r w:rsidR="00161AF1">
        <w:t>–</w:t>
      </w:r>
      <w:proofErr w:type="gramStart"/>
      <w:r w:rsidR="00161AF1">
        <w:t>aktualita</w:t>
      </w:r>
      <w:proofErr w:type="gramEnd"/>
      <w:r w:rsidR="00161AF1">
        <w:t>“</w:t>
      </w:r>
      <w:r w:rsidR="00161AF1" w:rsidRPr="00161AF1">
        <w:t>, které je plně aristotelské. Potencialita si však v reálných věcech zachovává hypostat</w:t>
      </w:r>
      <w:r w:rsidR="00161AF1">
        <w:t xml:space="preserve">ický, tedy objektivní charakter. </w:t>
      </w:r>
      <w:r>
        <w:t>Stejnou pozici formálně dané univoční kauzality smyslové a inteligibilní int</w:t>
      </w:r>
      <w:r w:rsidR="00A41D41">
        <w:t xml:space="preserve">encionality měl také Akvinský. </w:t>
      </w:r>
      <w:r>
        <w:t xml:space="preserve">Siger jej kvůli tomu opakovaně kritizoval ve svém druhém spise </w:t>
      </w:r>
      <w:r w:rsidRPr="084F1022">
        <w:rPr>
          <w:i/>
        </w:rPr>
        <w:t>De anima intellectiva</w:t>
      </w:r>
      <w:r>
        <w:t xml:space="preserve">. </w:t>
      </w:r>
      <w:r w:rsidRPr="00273106">
        <w:t>A</w:t>
      </w:r>
      <w:r w:rsidR="00E44F22">
        <w:t>nonym</w:t>
      </w:r>
      <w:r w:rsidRPr="00273106">
        <w:t xml:space="preserve"> </w:t>
      </w:r>
      <w:r w:rsidR="00201654">
        <w:t xml:space="preserve">nemá plné schéma poznání podle CMDA, jak ho mají hlavní </w:t>
      </w:r>
      <w:r w:rsidRPr="00273106">
        <w:t>představitel</w:t>
      </w:r>
      <w:r w:rsidR="00201654">
        <w:t>é</w:t>
      </w:r>
      <w:r w:rsidRPr="00273106">
        <w:t xml:space="preserve"> prvního averroismu </w:t>
      </w:r>
      <w:r w:rsidR="00201654">
        <w:t xml:space="preserve">(Boethius, Siger). Anonym tvrdí, že </w:t>
      </w:r>
      <w:r w:rsidRPr="00273106">
        <w:t>fantasmata mají již v sobě potenciá</w:t>
      </w:r>
      <w:r>
        <w:t xml:space="preserve">lně dané univerzálie v podobě </w:t>
      </w:r>
      <w:r w:rsidR="00962190">
        <w:rPr>
          <w:i/>
        </w:rPr>
        <w:t>species</w:t>
      </w:r>
      <w:r w:rsidRPr="00273106">
        <w:rPr>
          <w:i/>
        </w:rPr>
        <w:t xml:space="preserve"> intelligibilis</w:t>
      </w:r>
      <w:r w:rsidR="00201654">
        <w:t>, které jsou prý dané p</w:t>
      </w:r>
      <w:r w:rsidRPr="00273106">
        <w:t xml:space="preserve">ouze potenciálně. Tím už jsou prý tyto </w:t>
      </w:r>
      <w:r w:rsidR="00962190">
        <w:rPr>
          <w:i/>
        </w:rPr>
        <w:t>species</w:t>
      </w:r>
      <w:r w:rsidRPr="00273106">
        <w:t xml:space="preserve"> </w:t>
      </w:r>
      <w:r w:rsidR="00201654" w:rsidRPr="00273106">
        <w:t xml:space="preserve">inteligibilní </w:t>
      </w:r>
      <w:r w:rsidR="00201654">
        <w:t xml:space="preserve">tím, že jsou </w:t>
      </w:r>
      <w:r w:rsidRPr="00273106">
        <w:t>dány nemateriálně</w:t>
      </w:r>
      <w:r w:rsidR="00201654">
        <w:t xml:space="preserve">. A v této podobě je pak recipuje </w:t>
      </w:r>
      <w:r w:rsidRPr="00273106">
        <w:t xml:space="preserve">nemateriální </w:t>
      </w:r>
      <w:r w:rsidRPr="00273106">
        <w:rPr>
          <w:i/>
        </w:rPr>
        <w:t>intellectus possibilis</w:t>
      </w:r>
      <w:r w:rsidRPr="00273106">
        <w:t xml:space="preserve">. </w:t>
      </w:r>
      <w:r>
        <w:t xml:space="preserve">Jak dále uvidíme, to je pozice Aegidia Romana, která jako autor </w:t>
      </w:r>
      <w:proofErr w:type="gramStart"/>
      <w:r>
        <w:t>rukopisu O musí</w:t>
      </w:r>
      <w:proofErr w:type="gramEnd"/>
      <w:r>
        <w:t xml:space="preserve"> </w:t>
      </w:r>
      <w:r w:rsidR="00201654">
        <w:t>odmítnout Sigerovu pozici</w:t>
      </w:r>
      <w:r>
        <w:t xml:space="preserve">. </w:t>
      </w:r>
      <w:r w:rsidRPr="00273106">
        <w:t xml:space="preserve">Rukopis M s odvoláním </w:t>
      </w:r>
      <w:r>
        <w:t>n</w:t>
      </w:r>
      <w:r w:rsidRPr="00273106">
        <w:t xml:space="preserve">a </w:t>
      </w:r>
      <w:r>
        <w:t>Averroes</w:t>
      </w:r>
      <w:r w:rsidRPr="00273106">
        <w:t xml:space="preserve">e kategoricky tvrdí, že ve věcech žádná univerzália nejsou, protože v </w:t>
      </w:r>
      <w:r w:rsidRPr="00273106">
        <w:rPr>
          <w:i/>
        </w:rPr>
        <w:t>simpliciter</w:t>
      </w:r>
      <w:r w:rsidRPr="00273106">
        <w:t xml:space="preserve"> dané a</w:t>
      </w:r>
      <w:r>
        <w:t>ktuální první substanci nemají jak</w:t>
      </w:r>
      <w:r w:rsidRPr="00273106">
        <w:t xml:space="preserve"> být</w:t>
      </w:r>
      <w:r>
        <w:fldChar w:fldCharType="begin"/>
      </w:r>
      <w:r>
        <w:instrText xml:space="preserve"> XE "</w:instrText>
      </w:r>
      <w:r w:rsidRPr="008A76AC">
        <w:instrText>spor o univerzália</w:instrText>
      </w:r>
      <w:r>
        <w:instrText xml:space="preserve">" </w:instrText>
      </w:r>
      <w:r>
        <w:fldChar w:fldCharType="end"/>
      </w:r>
      <w:r w:rsidRPr="00273106">
        <w:t xml:space="preserve">. </w:t>
      </w:r>
      <w:r>
        <w:t>Proto věci univerzálně poznáváme v mysli, kde jejich význam vznik</w:t>
      </w:r>
      <w:r w:rsidR="00155C21">
        <w:t>á existenciálním výkonem osoby.</w:t>
      </w:r>
    </w:p>
    <w:p w:rsidR="08163013" w:rsidRDefault="08163013" w:rsidP="00155C21">
      <w:pPr>
        <w:ind w:firstLine="397"/>
      </w:pPr>
      <w:r w:rsidRPr="00273106">
        <w:t>Následující klíčová věta ukazuje jádro nesouhlasu obou autorů. Autor M tvrdí, že zavedením univerzálií do věcí dojde k uzávorkování reality (</w:t>
      </w:r>
      <w:r w:rsidRPr="00273106">
        <w:rPr>
          <w:i/>
        </w:rPr>
        <w:t>circumscribens principia individuantia</w:t>
      </w:r>
      <w:r w:rsidRPr="00273106">
        <w:t>)</w:t>
      </w:r>
      <w:r w:rsidR="00E665DC">
        <w:t>. P</w:t>
      </w:r>
      <w:r w:rsidRPr="00273106">
        <w:t>rvní substance přesta</w:t>
      </w:r>
      <w:r w:rsidR="00E665DC">
        <w:t xml:space="preserve">la </w:t>
      </w:r>
      <w:r w:rsidRPr="00273106">
        <w:t>určovat proces poznání</w:t>
      </w:r>
      <w:r w:rsidR="00E665DC">
        <w:t xml:space="preserve"> a byla</w:t>
      </w:r>
      <w:r>
        <w:t xml:space="preserve"> nahrazena moderními produkty činného intelektu</w:t>
      </w:r>
      <w:r w:rsidR="00E665DC">
        <w:t xml:space="preserve"> (</w:t>
      </w:r>
      <w:r w:rsidR="00E665DC" w:rsidRPr="00E665DC">
        <w:rPr>
          <w:i/>
        </w:rPr>
        <w:t>Ge-Stell</w:t>
      </w:r>
      <w:r w:rsidR="00E665DC">
        <w:rPr>
          <w:i/>
        </w:rPr>
        <w:fldChar w:fldCharType="begin"/>
      </w:r>
      <w:r w:rsidR="00E665DC">
        <w:instrText xml:space="preserve"> XE "</w:instrText>
      </w:r>
      <w:r w:rsidR="00E665DC" w:rsidRPr="00D46D47">
        <w:rPr>
          <w:i/>
        </w:rPr>
        <w:instrText>Ge-Stell</w:instrText>
      </w:r>
      <w:r w:rsidR="00E665DC">
        <w:instrText xml:space="preserve">" </w:instrText>
      </w:r>
      <w:r w:rsidR="00E665DC">
        <w:rPr>
          <w:i/>
        </w:rPr>
        <w:fldChar w:fldCharType="end"/>
      </w:r>
      <w:r w:rsidR="00E665DC">
        <w:t>)</w:t>
      </w:r>
      <w:r w:rsidRPr="00273106">
        <w:t xml:space="preserve">. </w:t>
      </w:r>
      <w:r w:rsidR="00E665DC" w:rsidRPr="00E665DC">
        <w:t xml:space="preserve">Siger jako jediný autor své doby identifikoval zásadní změnu </w:t>
      </w:r>
      <w:r w:rsidR="00E665DC">
        <w:t xml:space="preserve">v pojetí </w:t>
      </w:r>
      <w:r w:rsidR="00E665DC" w:rsidRPr="00E665DC">
        <w:rPr>
          <w:i/>
        </w:rPr>
        <w:t>dativus possessivus</w:t>
      </w:r>
      <w:r w:rsidR="00E665DC">
        <w:rPr>
          <w:i/>
        </w:rPr>
        <w:fldChar w:fldCharType="begin"/>
      </w:r>
      <w:r w:rsidR="00E665DC">
        <w:instrText xml:space="preserve"> XE "</w:instrText>
      </w:r>
      <w:r w:rsidR="00E665DC" w:rsidRPr="00C363F4">
        <w:rPr>
          <w:i/>
        </w:rPr>
        <w:instrText>dativus possessivus</w:instrText>
      </w:r>
      <w:r w:rsidR="00E665DC">
        <w:instrText xml:space="preserve">" </w:instrText>
      </w:r>
      <w:r w:rsidR="00E665DC">
        <w:rPr>
          <w:i/>
        </w:rPr>
        <w:fldChar w:fldCharType="end"/>
      </w:r>
      <w:r w:rsidR="00E665DC" w:rsidRPr="00E665DC">
        <w:t xml:space="preserve">. </w:t>
      </w:r>
      <w:r w:rsidR="00E665DC">
        <w:t>Nositelem poznání (</w:t>
      </w:r>
      <w:r w:rsidR="00E665DC" w:rsidRPr="00E665DC">
        <w:rPr>
          <w:i/>
        </w:rPr>
        <w:t>subiectum</w:t>
      </w:r>
      <w:r w:rsidR="00E665DC">
        <w:t xml:space="preserve">) není realita, ale moderní subjekt. </w:t>
      </w:r>
      <w:r w:rsidR="003849B9">
        <w:t>Proto jej modernistické F</w:t>
      </w:r>
      <w:r w:rsidR="003849B9" w:rsidRPr="00E665DC">
        <w:t>úrie</w:t>
      </w:r>
      <w:r w:rsidR="003849B9">
        <w:t xml:space="preserve"> tvrdě potrestaly z</w:t>
      </w:r>
      <w:r w:rsidR="00E708F0">
        <w:t>a tento pra</w:t>
      </w:r>
      <w:r w:rsidR="003849B9">
        <w:t>vdivý postoj</w:t>
      </w:r>
      <w:r w:rsidR="00E665DC" w:rsidRPr="00E665DC">
        <w:t xml:space="preserve">. </w:t>
      </w:r>
      <w:r>
        <w:t xml:space="preserve">Autor rukopisu M má jako jeden z mála myslitelů své doby jasnou představu o tom, v čem tkví epochální </w:t>
      </w:r>
      <w:r w:rsidRPr="00DD0BDE">
        <w:rPr>
          <w:i/>
        </w:rPr>
        <w:t>Irrtum</w:t>
      </w:r>
      <w:r>
        <w:t xml:space="preserve"> moderny, že totiž provádí plné zatmění první substance</w:t>
      </w:r>
      <w:r>
        <w:fldChar w:fldCharType="begin"/>
      </w:r>
      <w:r>
        <w:instrText xml:space="preserve"> XE "</w:instrText>
      </w:r>
      <w:r w:rsidRPr="00C27681">
        <w:instrText>zatmění</w:instrText>
      </w:r>
      <w:r>
        <w:instrText>:</w:instrText>
      </w:r>
      <w:r w:rsidRPr="00C27681">
        <w:instrText>substance</w:instrText>
      </w:r>
      <w:r>
        <w:instrText xml:space="preserve">" </w:instrText>
      </w:r>
      <w:r>
        <w:fldChar w:fldCharType="end"/>
      </w:r>
      <w:r>
        <w:t xml:space="preserve">. Vytěsněním první </w:t>
      </w:r>
      <w:r>
        <w:lastRenderedPageBreak/>
        <w:t>substance byl z</w:t>
      </w:r>
      <w:r w:rsidRPr="00273106">
        <w:t xml:space="preserve">rušen princip </w:t>
      </w:r>
      <w:r w:rsidR="00C14380">
        <w:t>„</w:t>
      </w:r>
      <w:r w:rsidR="0813035E" w:rsidRPr="08DF6EF1">
        <w:rPr>
          <w:i/>
        </w:rPr>
        <w:t>ex</w:t>
      </w:r>
      <w:r w:rsidR="0813035E">
        <w:t xml:space="preserve"> </w:t>
      </w:r>
      <w:r w:rsidR="08027AC2">
        <w:rPr>
          <w:i/>
        </w:rPr>
        <w:t>in</w:t>
      </w:r>
      <w:r w:rsidR="0813035E">
        <w:rPr>
          <w:i/>
        </w:rPr>
        <w:t>mediatis</w:t>
      </w:r>
      <w:r w:rsidR="00C14380">
        <w:t>“</w:t>
      </w:r>
      <w:r w:rsidRPr="00273106">
        <w:t xml:space="preserve">, který hájil aristotelský rukopis M, na rozdíl od avicennovského rukopisu O. </w:t>
      </w:r>
      <w:r>
        <w:t xml:space="preserve">Autor rukopisu M jasně vidí fatální omyl moderny a odmítl objektivistickou definici poznání. </w:t>
      </w:r>
      <w:r w:rsidRPr="00273106">
        <w:t xml:space="preserve">Realita externí věci </w:t>
      </w:r>
      <w:r>
        <w:t>určuje</w:t>
      </w:r>
      <w:r w:rsidRPr="00273106">
        <w:t xml:space="preserve"> pouze </w:t>
      </w:r>
      <w:r w:rsidR="00C14380">
        <w:t xml:space="preserve">materiální </w:t>
      </w:r>
      <w:r w:rsidRPr="00273106">
        <w:t xml:space="preserve">proces vzniku smyslových </w:t>
      </w:r>
      <w:r w:rsidR="00962190" w:rsidRPr="000917EB">
        <w:t>species</w:t>
      </w:r>
      <w:r w:rsidRPr="00273106">
        <w:t xml:space="preserve">, ale nikoliv </w:t>
      </w:r>
      <w:r w:rsidR="00C14380">
        <w:t xml:space="preserve">immeteriální </w:t>
      </w:r>
      <w:r w:rsidRPr="00273106">
        <w:t xml:space="preserve">proces abstrakce na rovině intelektu. Autor M připomíná, že v tomto případě dostaneme pochybný </w:t>
      </w:r>
      <w:r>
        <w:t xml:space="preserve">(tj. objektivní) </w:t>
      </w:r>
      <w:r w:rsidRPr="00273106">
        <w:t xml:space="preserve">smysl jsoucna, který je dán nasvícením zezadu, protože abstrakce </w:t>
      </w:r>
      <w:r>
        <w:t xml:space="preserve">nepotřebuje </w:t>
      </w:r>
      <w:r w:rsidR="00702102">
        <w:t xml:space="preserve">aktualitu prvních </w:t>
      </w:r>
      <w:r w:rsidRPr="00273106">
        <w:t>subs</w:t>
      </w:r>
      <w:r w:rsidR="00702102">
        <w:t>tancí</w:t>
      </w:r>
      <w:r w:rsidRPr="00273106">
        <w:t xml:space="preserve">. V tomto zakukleném </w:t>
      </w:r>
      <w:r>
        <w:t>neo</w:t>
      </w:r>
      <w:r w:rsidRPr="00273106">
        <w:t xml:space="preserve">platonismu pak aktivní intelekt myslí sám ze sebe, a ne od </w:t>
      </w:r>
      <w:r w:rsidR="00296C61">
        <w:t xml:space="preserve">reálné </w:t>
      </w:r>
      <w:r w:rsidRPr="00273106">
        <w:t>substance (</w:t>
      </w:r>
      <w:r w:rsidRPr="00273106">
        <w:rPr>
          <w:i/>
        </w:rPr>
        <w:t>intellectus agens per se agit universale</w:t>
      </w:r>
      <w:r>
        <w:t>). T</w:t>
      </w:r>
      <w:r w:rsidRPr="00273106">
        <w:t>akto daná univerzálie determinuje práci možného intelektu, místo aby</w:t>
      </w:r>
      <w:r>
        <w:t xml:space="preserve"> to dělala smyslová</w:t>
      </w:r>
      <w:r w:rsidRPr="00273106">
        <w:t xml:space="preserve"> </w:t>
      </w:r>
      <w:r w:rsidR="00962190" w:rsidRPr="003F6A1C">
        <w:t>species</w:t>
      </w:r>
      <w:r w:rsidRPr="00273106">
        <w:t xml:space="preserve"> (</w:t>
      </w:r>
      <w:r w:rsidRPr="00273106">
        <w:rPr>
          <w:i/>
        </w:rPr>
        <w:t>universale autem factum in actu movet intellectum possibilem</w:t>
      </w:r>
      <w:r w:rsidRPr="00273106">
        <w:t xml:space="preserve">). Pak je jasné, že tito Quidamové musí tvrdit v rozporu s Aristotelem a s </w:t>
      </w:r>
      <w:r>
        <w:t>Averroes</w:t>
      </w:r>
      <w:r w:rsidRPr="00273106">
        <w:t>em, že univerzálie preexistují ve věcech mimo činnost intelektu (</w:t>
      </w:r>
      <w:r w:rsidRPr="00273106">
        <w:rPr>
          <w:i/>
        </w:rPr>
        <w:t>dixerunt universale praeexistere in rebus operationi intellectus</w:t>
      </w:r>
      <w:r>
        <w:t>). Autor M</w:t>
      </w:r>
      <w:r w:rsidRPr="00273106">
        <w:t xml:space="preserve">nichovského rukopisu odmítá tuto tezi </w:t>
      </w:r>
      <w:r>
        <w:t xml:space="preserve">modernistů </w:t>
      </w:r>
      <w:r w:rsidRPr="00273106">
        <w:t xml:space="preserve">jako chybnou. Takto vyhraněné rozlišení druhého a prvního averroismu podle nasvícení jsoucna zezadu nebo zepředu má pouze Siger, jak uvidíme dále. </w:t>
      </w:r>
      <w:r w:rsidR="00FA2A07">
        <w:t xml:space="preserve">Proto </w:t>
      </w:r>
      <w:r>
        <w:t xml:space="preserve">byl jediný aristotelik, který </w:t>
      </w:r>
      <w:r w:rsidR="00FA2A07">
        <w:t xml:space="preserve">přesně </w:t>
      </w:r>
      <w:r>
        <w:t xml:space="preserve">pochopil, jak tehdejší avicennisté provedli zatmění první substance. </w:t>
      </w:r>
      <w:r w:rsidRPr="00273106">
        <w:t xml:space="preserve">Autor rukopisu O </w:t>
      </w:r>
      <w:r>
        <w:t>tuto pasáž odmítne nepřímo hned v úvodu, ale nemá na to, jak by mohl s tak precizní formulací polemizovat. Autor neví,</w:t>
      </w:r>
      <w:r w:rsidRPr="00273106">
        <w:t xml:space="preserve"> jak by šlo problém </w:t>
      </w:r>
      <w:r>
        <w:t xml:space="preserve">jednoty poznání </w:t>
      </w:r>
      <w:r w:rsidRPr="00273106">
        <w:t>řešit (</w:t>
      </w:r>
      <w:r w:rsidRPr="00273106">
        <w:rPr>
          <w:i/>
        </w:rPr>
        <w:t>sed quomodo est istud, magis dubium est</w:t>
      </w:r>
      <w:r>
        <w:rPr>
          <w:i/>
        </w:rPr>
        <w:t xml:space="preserve">; </w:t>
      </w:r>
      <w:r>
        <w:t>O 1.10, p. 168.47</w:t>
      </w:r>
      <w:r>
        <w:fldChar w:fldCharType="begin"/>
      </w:r>
      <w:r>
        <w:instrText xml:space="preserve"> XE "</w:instrText>
      </w:r>
      <w:r w:rsidRPr="006C4280">
        <w:rPr>
          <w:i/>
        </w:rPr>
        <w:instrText>Oxfordský</w:instrText>
      </w:r>
      <w:r>
        <w:instrText xml:space="preserve"> </w:instrText>
      </w:r>
      <w:r w:rsidRPr="00F53B8E">
        <w:rPr>
          <w:i/>
        </w:rPr>
        <w:instrText>Anonym</w:instrText>
      </w:r>
      <w:r>
        <w:instrText xml:space="preserve"> 168.47" </w:instrText>
      </w:r>
      <w:r>
        <w:fldChar w:fldCharType="end"/>
      </w:r>
      <w:r w:rsidRPr="00273106">
        <w:t xml:space="preserve">). </w:t>
      </w:r>
      <w:r>
        <w:t xml:space="preserve">A přitom má řešení rukopisu M přímo před sebou, ale odmítá je vzít na vědomí, protože drží dualismus smyslového a rozumového poznání. Tím se autor demaskoval jako sofista z prostředí semiaverroismu daného mezi prvním a druhým averroismem. Aegidius na rozdíl od zmatených sofistů Bonaventurovy školy přesně zná a rozumí řešení rukopisu M a ví, o jaký problém jde, ale odmítá brát na vědomí nabízené řešení podle CMDA podle rukopisu M. Výsledem Aegidiova filosofického zoufalství a bezradnosti byl jeho neurvalý úrok na Averroese jako pohanského filosofa, heretika a ničitele náboženství v díle </w:t>
      </w:r>
      <w:r>
        <w:rPr>
          <w:i/>
        </w:rPr>
        <w:t>De erroribus P</w:t>
      </w:r>
      <w:r w:rsidRPr="00083175">
        <w:rPr>
          <w:i/>
        </w:rPr>
        <w:t>hilosophorum</w:t>
      </w:r>
      <w:r>
        <w:t xml:space="preserve"> </w:t>
      </w:r>
      <w:r w:rsidRPr="004E0D84">
        <w:rPr>
          <w:rFonts w:eastAsia="Georgia"/>
        </w:rPr>
        <w:t>(1270</w:t>
      </w:r>
      <w:r>
        <w:rPr>
          <w:rFonts w:eastAsia="Georgia"/>
        </w:rPr>
        <w:t>)</w:t>
      </w:r>
      <w:r>
        <w:t xml:space="preserve">. </w:t>
      </w:r>
      <w:r w:rsidRPr="00273106">
        <w:t xml:space="preserve">Autor </w:t>
      </w:r>
      <w:r>
        <w:t xml:space="preserve">Mnichovského manuskriptu </w:t>
      </w:r>
      <w:r w:rsidRPr="00273106">
        <w:t xml:space="preserve">žádnou aporii poznání nemá, protože pochopil </w:t>
      </w:r>
      <w:r>
        <w:t>Averroes</w:t>
      </w:r>
      <w:r w:rsidRPr="00273106">
        <w:t xml:space="preserve">ovo </w:t>
      </w:r>
      <w:r w:rsidRPr="00273106">
        <w:rPr>
          <w:i/>
        </w:rPr>
        <w:t>proportio</w:t>
      </w:r>
      <w:r w:rsidRPr="00273106">
        <w:t xml:space="preserve"> mezi smysly a intelektem v CMDA. Mnichovský rukopis brilantně shrnuje celý probl</w:t>
      </w:r>
      <w:r>
        <w:t>ém univerzálií a jejich poznání a odmítá univerzální hyleformismus objektivní moderny</w:t>
      </w:r>
      <w:r>
        <w:fldChar w:fldCharType="begin"/>
      </w:r>
      <w:r>
        <w:instrText xml:space="preserve"> XE "</w:instrText>
      </w:r>
      <w:r w:rsidRPr="0096525F">
        <w:instrText>spor o univerzália</w:instrText>
      </w:r>
      <w:r>
        <w:instrText xml:space="preserve">" </w:instrText>
      </w:r>
      <w:r>
        <w:fldChar w:fldCharType="end"/>
      </w:r>
      <w:r>
        <w:t>.</w:t>
      </w:r>
    </w:p>
    <w:p w:rsidR="08163013" w:rsidRPr="00AC70C9" w:rsidRDefault="08163013" w:rsidP="08163013">
      <w:pPr>
        <w:pStyle w:val="Citace"/>
        <w:rPr>
          <w:noProof/>
        </w:rPr>
      </w:pPr>
      <w:r w:rsidRPr="00273106">
        <w:rPr>
          <w:noProof/>
        </w:rPr>
        <w:t>„</w:t>
      </w:r>
      <w:r>
        <w:rPr>
          <w:noProof/>
          <w:lang w:val="cs-CZ"/>
        </w:rPr>
        <w:t>Ale proti tomu namítáme, že v</w:t>
      </w:r>
      <w:r>
        <w:rPr>
          <w:noProof/>
        </w:rPr>
        <w:t>še, co vzniká samo od sebe</w:t>
      </w:r>
      <w:r>
        <w:rPr>
          <w:noProof/>
          <w:lang w:val="cs-CZ"/>
        </w:rPr>
        <w:t>,</w:t>
      </w:r>
      <w:r>
        <w:rPr>
          <w:noProof/>
        </w:rPr>
        <w:t xml:space="preserve"> je složenina z materie a formy</w:t>
      </w:r>
      <w:r>
        <w:rPr>
          <w:noProof/>
          <w:lang w:val="cs-CZ"/>
        </w:rPr>
        <w:t>. A vzniklá složenina n</w:t>
      </w:r>
      <w:r>
        <w:rPr>
          <w:noProof/>
        </w:rPr>
        <w:t>emůže být pouze z formy, protože by nebyl</w:t>
      </w:r>
      <w:r>
        <w:rPr>
          <w:noProof/>
          <w:lang w:val="cs-CZ"/>
        </w:rPr>
        <w:t>a</w:t>
      </w:r>
      <w:r>
        <w:rPr>
          <w:noProof/>
        </w:rPr>
        <w:t xml:space="preserve"> hylemorfickou složeninou. Nemůže být ani pouze z materie, protože by pak složenina </w:t>
      </w:r>
      <w:r w:rsidR="00F0115A">
        <w:rPr>
          <w:noProof/>
          <w:lang w:val="cs-CZ"/>
        </w:rPr>
        <w:t xml:space="preserve">potřebovala nějakou </w:t>
      </w:r>
      <w:r w:rsidR="00F0115A">
        <w:rPr>
          <w:noProof/>
        </w:rPr>
        <w:t>další materii</w:t>
      </w:r>
      <w:r>
        <w:rPr>
          <w:noProof/>
        </w:rPr>
        <w:t xml:space="preserve">. Univerzálie proto není </w:t>
      </w:r>
      <w:r>
        <w:rPr>
          <w:noProof/>
        </w:rPr>
        <w:lastRenderedPageBreak/>
        <w:t xml:space="preserve">žádná hylemorfická jednotlivina existující </w:t>
      </w:r>
      <w:r w:rsidRPr="00AC70C9">
        <w:rPr>
          <w:i/>
          <w:noProof/>
        </w:rPr>
        <w:t>per se</w:t>
      </w:r>
      <w:r>
        <w:rPr>
          <w:noProof/>
        </w:rPr>
        <w:t xml:space="preserve">. Proto také nemůže vznikat sama ze sebe. Z toho vyplývá, že činný intelekt nemůže produkovat univerzálie pouze ze sebe.“ </w:t>
      </w:r>
      <w:r>
        <w:rPr>
          <w:rStyle w:val="Znakapoznpodarou"/>
        </w:rPr>
        <w:footnoteReference w:id="135"/>
      </w:r>
    </w:p>
    <w:p w:rsidR="08163013" w:rsidRDefault="08163013" w:rsidP="08163013">
      <w:r w:rsidRPr="00273106">
        <w:t xml:space="preserve">Proces poznání je </w:t>
      </w:r>
      <w:r w:rsidR="00375BF3">
        <w:t xml:space="preserve">určitá </w:t>
      </w:r>
      <w:r w:rsidRPr="00273106">
        <w:t xml:space="preserve">forma </w:t>
      </w:r>
      <w:r w:rsidRPr="00273106">
        <w:rPr>
          <w:i/>
        </w:rPr>
        <w:t>generatio</w:t>
      </w:r>
      <w:r w:rsidRPr="00273106">
        <w:t>, ale velmi specifická. Kůň v mysli neplodí koně</w:t>
      </w:r>
      <w:r w:rsidR="00621118">
        <w:t xml:space="preserve">. Zrození </w:t>
      </w:r>
      <w:r w:rsidRPr="00273106">
        <w:t xml:space="preserve">je příklad </w:t>
      </w:r>
      <w:r w:rsidR="00621118">
        <w:t>„</w:t>
      </w:r>
      <w:r w:rsidRPr="00273106">
        <w:rPr>
          <w:i/>
        </w:rPr>
        <w:t>generatio per se</w:t>
      </w:r>
      <w:r w:rsidR="00621118">
        <w:t>“</w:t>
      </w:r>
      <w:r w:rsidRPr="00273106">
        <w:t xml:space="preserve"> daném skrze působení první</w:t>
      </w:r>
      <w:r w:rsidR="00F75209">
        <w:t>ch substancí</w:t>
      </w:r>
      <w:r w:rsidRPr="00273106">
        <w:t xml:space="preserve"> v reálu (</w:t>
      </w:r>
      <w:r w:rsidRPr="00273106">
        <w:rPr>
          <w:i/>
        </w:rPr>
        <w:t>aggregatum ex materia et forma</w:t>
      </w:r>
      <w:r w:rsidRPr="00273106">
        <w:t xml:space="preserve">). Obecnina není první substance, protože neplodí </w:t>
      </w:r>
      <w:r>
        <w:t xml:space="preserve">aktuální </w:t>
      </w:r>
      <w:r w:rsidRPr="00273106">
        <w:t>indiv</w:t>
      </w:r>
      <w:r>
        <w:t>i</w:t>
      </w:r>
      <w:r w:rsidRPr="00273106">
        <w:t>duum (</w:t>
      </w:r>
      <w:r w:rsidRPr="00273106">
        <w:rPr>
          <w:i/>
        </w:rPr>
        <w:t>per se non generatur</w:t>
      </w:r>
      <w:r w:rsidRPr="00273106">
        <w:t>). A už vůbec nemůže být jsoucnem třetího druhu, které kombinuje obojí určení do objektivního náhledu jsoucího. Autor odmítne objektivitu druhého averroismu</w:t>
      </w:r>
      <w:r>
        <w:t>, protože má zdravý rozum</w:t>
      </w:r>
      <w:r w:rsidRPr="00273106">
        <w:t>. Neexistuje materie třetího druhu (</w:t>
      </w:r>
      <w:r w:rsidRPr="00273106">
        <w:rPr>
          <w:i/>
        </w:rPr>
        <w:t>nec materiam</w:t>
      </w:r>
      <w:r w:rsidRPr="00273106">
        <w:t>), která by vy</w:t>
      </w:r>
      <w:r>
        <w:t xml:space="preserve">tvořila objektivní hylemorfickou složeninu definovanou jako první </w:t>
      </w:r>
      <w:r w:rsidRPr="00273106">
        <w:t>substance (</w:t>
      </w:r>
      <w:r w:rsidRPr="00273106">
        <w:rPr>
          <w:i/>
        </w:rPr>
        <w:t>universale non est aliquod aggregatum per se</w:t>
      </w:r>
      <w:r w:rsidRPr="00273106">
        <w:t xml:space="preserve">). Tak tomu bylo u Rufuse a Bonaventury v pojetí jsoucna jako </w:t>
      </w:r>
      <w:r w:rsidRPr="00273106">
        <w:rPr>
          <w:i/>
        </w:rPr>
        <w:t>concretum</w:t>
      </w:r>
      <w:r>
        <w:rPr>
          <w:i/>
        </w:rPr>
        <w:fldChar w:fldCharType="begin"/>
      </w:r>
      <w:r>
        <w:instrText xml:space="preserve"> XE "</w:instrText>
      </w:r>
      <w:r w:rsidRPr="00B759F5">
        <w:rPr>
          <w:i/>
        </w:rPr>
        <w:instrText>concretum</w:instrText>
      </w:r>
      <w:r>
        <w:instrText xml:space="preserve">" </w:instrText>
      </w:r>
      <w:r>
        <w:rPr>
          <w:i/>
        </w:rPr>
        <w:fldChar w:fldCharType="end"/>
      </w:r>
      <w:r w:rsidRPr="00273106">
        <w:t xml:space="preserve"> singularity a univerzality. </w:t>
      </w:r>
      <w:r>
        <w:t xml:space="preserve">Podle traktátu M bere lidský </w:t>
      </w:r>
      <w:r w:rsidRPr="00273106">
        <w:rPr>
          <w:i/>
        </w:rPr>
        <w:t>intel</w:t>
      </w:r>
      <w:r>
        <w:rPr>
          <w:i/>
        </w:rPr>
        <w:t>l</w:t>
      </w:r>
      <w:r w:rsidRPr="00273106">
        <w:rPr>
          <w:i/>
        </w:rPr>
        <w:t>ectus agens</w:t>
      </w:r>
      <w:r w:rsidRPr="00273106">
        <w:t xml:space="preserve"> aktualitu</w:t>
      </w:r>
      <w:r>
        <w:t xml:space="preserve"> ne ze sebe, ale </w:t>
      </w:r>
      <w:r w:rsidRPr="00273106">
        <w:t>od první substa</w:t>
      </w:r>
      <w:r>
        <w:t>nce.</w:t>
      </w:r>
      <w:r w:rsidRPr="00273106">
        <w:t xml:space="preserve"> Poslední věta citátu jasně odmítá statut aktivního intelektu, který jako slunce </w:t>
      </w:r>
      <w:r>
        <w:fldChar w:fldCharType="begin"/>
      </w:r>
      <w:r>
        <w:instrText xml:space="preserve"> XE "</w:instrText>
      </w:r>
      <w:r w:rsidRPr="00C54C77">
        <w:instrText>intelekt-slunce</w:instrText>
      </w:r>
      <w:r>
        <w:instrText xml:space="preserve">" </w:instrText>
      </w:r>
      <w:r>
        <w:fldChar w:fldCharType="end"/>
      </w:r>
      <w:r w:rsidRPr="00273106">
        <w:t>osvěcuje jak fantasmata, tak i pasivní intelekt a produkuje univerzální významy sám ze sebe (</w:t>
      </w:r>
      <w:r w:rsidRPr="00273106">
        <w:rPr>
          <w:i/>
        </w:rPr>
        <w:t>intellectus ergo agens non agit universale per se</w:t>
      </w:r>
      <w:r w:rsidRPr="00273106">
        <w:t xml:space="preserve">). </w:t>
      </w:r>
      <w:r>
        <w:t xml:space="preserve">Aktivní intelekt nemá jak individualizovat poznání, protože je duševní schopností provádějící pouze univerzální syntézu již individualizovaných nemateriálních poznatků. Proto </w:t>
      </w:r>
      <w:r w:rsidRPr="08BD48FA">
        <w:rPr>
          <w:i/>
        </w:rPr>
        <w:t>intellectus agens</w:t>
      </w:r>
      <w:r>
        <w:t xml:space="preserve"> v člověku nemůže nějak „materiálně“ generovat poznané formy v modu univerzálního hylemorfismu a moderních jsoucen třetího druhu. </w:t>
      </w:r>
      <w:r w:rsidRPr="00273106">
        <w:t>Autor M odmítá chybné řešení některých představitelů druhého averroismu (</w:t>
      </w:r>
      <w:r w:rsidRPr="00273106">
        <w:rPr>
          <w:i/>
        </w:rPr>
        <w:t>secundum Quosdam</w:t>
      </w:r>
      <w:r w:rsidRPr="00273106">
        <w:t xml:space="preserve">), s čímž nesouhlasí autor rukopisu O. Opět jde o narážku na citovaný spor ohledně </w:t>
      </w:r>
      <w:r>
        <w:t>dvojí mediace mezi inteligibilním fantasmatem a smyslovým (</w:t>
      </w:r>
      <w:r w:rsidRPr="00273106">
        <w:rPr>
          <w:i/>
        </w:rPr>
        <w:t>phantasma se habet ad intellectum possibilem sicut color ad visum</w:t>
      </w:r>
      <w:r>
        <w:t>)</w:t>
      </w:r>
      <w:r w:rsidRPr="00273106">
        <w:t xml:space="preserve">. </w:t>
      </w:r>
      <w:proofErr w:type="gramStart"/>
      <w:r>
        <w:t>Rukopis O potřebuje</w:t>
      </w:r>
      <w:proofErr w:type="gramEnd"/>
      <w:r>
        <w:t xml:space="preserve"> k poznání intelekt-slunce, protože ozáření fantasmat jde zezadu. Pak musí platit plná ekvalence nasvícení, což není případ prvního averroismu. </w:t>
      </w:r>
      <w:r w:rsidRPr="00273106">
        <w:t xml:space="preserve">Rukopis M tvrdí s výslovným odvoláním na </w:t>
      </w:r>
      <w:r>
        <w:t>Averroes</w:t>
      </w:r>
      <w:r w:rsidRPr="00273106">
        <w:t xml:space="preserve">e, že oba intelekty jednají </w:t>
      </w:r>
      <w:r w:rsidRPr="00273106">
        <w:rPr>
          <w:i/>
        </w:rPr>
        <w:t>secundum se</w:t>
      </w:r>
      <w:r w:rsidRPr="00273106">
        <w:t xml:space="preserve">, tedy jako autonomní, a dokonce nemateriální </w:t>
      </w:r>
      <w:r>
        <w:t xml:space="preserve">schopnosti </w:t>
      </w:r>
      <w:r w:rsidRPr="00273106">
        <w:t xml:space="preserve">duše. </w:t>
      </w:r>
      <w:r>
        <w:t>Proto je intelekt oddělený od smyslů (</w:t>
      </w:r>
      <w:r w:rsidRPr="002C7570">
        <w:rPr>
          <w:i/>
        </w:rPr>
        <w:t>inmixtus</w:t>
      </w:r>
      <w:r>
        <w:t xml:space="preserve">). </w:t>
      </w:r>
      <w:r w:rsidRPr="00273106">
        <w:t>Ale nem</w:t>
      </w:r>
      <w:r>
        <w:t xml:space="preserve">á </w:t>
      </w:r>
      <w:r w:rsidRPr="00273106">
        <w:t xml:space="preserve">žádnou aktualitu poznání danou mimo první substanci, protože oba intelekty nejsou schopny žádného vlastního </w:t>
      </w:r>
      <w:r>
        <w:t xml:space="preserve">výkonu ve formě aktuální hypostáze a substance </w:t>
      </w:r>
      <w:r w:rsidRPr="00273106">
        <w:t>(</w:t>
      </w:r>
      <w:r w:rsidRPr="00273106">
        <w:rPr>
          <w:i/>
        </w:rPr>
        <w:t xml:space="preserve">generatio per </w:t>
      </w:r>
      <w:r w:rsidRPr="00273106">
        <w:rPr>
          <w:i/>
        </w:rPr>
        <w:lastRenderedPageBreak/>
        <w:t>se</w:t>
      </w:r>
      <w:r>
        <w:t xml:space="preserve">; </w:t>
      </w:r>
      <w:r w:rsidRPr="00273106">
        <w:t>M 1.10, p. 169.64‒77</w:t>
      </w:r>
      <w:r>
        <w:fldChar w:fldCharType="begin"/>
      </w:r>
      <w:r>
        <w:instrText xml:space="preserve"> XE "</w:instrText>
      </w:r>
      <w:r w:rsidRPr="00F53B8E">
        <w:rPr>
          <w:i/>
        </w:rPr>
        <w:instrText>Mnichovský Anonym</w:instrText>
      </w:r>
      <w:r>
        <w:instrText xml:space="preserve"> 169.64</w:instrText>
      </w:r>
      <w:r w:rsidRPr="00DE6CA6">
        <w:instrText>‒</w:instrText>
      </w:r>
      <w:r>
        <w:instrText xml:space="preserve">77" </w:instrText>
      </w:r>
      <w:r>
        <w:fldChar w:fldCharType="end"/>
      </w:r>
      <w:r w:rsidRPr="00273106">
        <w:t xml:space="preserve">). Z hlediska hermeneutiky je důležité, že rukopis M brilantní obhajovou jak autonomie intelektu, tak i závislosti intelektu na smyslech, odmítl ideu intelektu jako formy duše. Jak dále uvidíme, tuto pochybnou tezi jednoty osoby hájil Akvinský (modus </w:t>
      </w:r>
      <w:r w:rsidRPr="00273106">
        <w:rPr>
          <w:i/>
        </w:rPr>
        <w:t>qua</w:t>
      </w:r>
      <w:r w:rsidRPr="00273106">
        <w:rPr>
          <w:i/>
          <w:vertAlign w:val="superscript"/>
        </w:rPr>
        <w:t>2</w:t>
      </w:r>
      <w:r w:rsidRPr="006C7A0F">
        <w:rPr>
          <w:i/>
        </w:rPr>
        <w:fldChar w:fldCharType="begin"/>
      </w:r>
      <w:r w:rsidRPr="006C7A0F">
        <w:instrText xml:space="preserve"> XE "intelekt:modus </w:instrText>
      </w:r>
      <w:r w:rsidRPr="006C7A0F">
        <w:rPr>
          <w:i/>
        </w:rPr>
        <w:instrText>qua</w:instrText>
      </w:r>
      <w:r w:rsidRPr="006C7A0F">
        <w:rPr>
          <w:i/>
          <w:vertAlign w:val="superscript"/>
        </w:rPr>
        <w:instrText>2</w:instrText>
      </w:r>
      <w:r w:rsidRPr="006C7A0F">
        <w:instrText xml:space="preserve">" </w:instrText>
      </w:r>
      <w:r w:rsidRPr="006C7A0F">
        <w:rPr>
          <w:i/>
        </w:rPr>
        <w:fldChar w:fldCharType="end"/>
      </w:r>
      <w:r w:rsidRPr="00273106">
        <w:t xml:space="preserve">) a naopak </w:t>
      </w:r>
      <w:r w:rsidR="08C82EC5">
        <w:t>zásadně kritizoval Siger (kap. 4</w:t>
      </w:r>
      <w:r w:rsidRPr="00273106">
        <w:t xml:space="preserve">.4.3). </w:t>
      </w:r>
      <w:r>
        <w:t>Proto je Siger z Brabantu z mnoha důvodů jediným možným autorem tohoto traktátu. Jako jediný známý aristotelik kriticky rozebral všechna pochybná řešení jednoty osoby v prostředí prvního averroismu (Albert, Akvinský), v prostředí semiaverroismu (Aegidius Romanus</w:t>
      </w:r>
      <w:r>
        <w:fldChar w:fldCharType="begin"/>
      </w:r>
      <w:r>
        <w:instrText xml:space="preserve"> XE "semiaverroismus" </w:instrText>
      </w:r>
      <w:r>
        <w:fldChar w:fldCharType="end"/>
      </w:r>
      <w:r>
        <w:t>), a pochopitelně ve škole sofistického averroismu založené na učení univerzálního hylemorfismu (Rufus, Bonaventura, Kilwardby, Pecham). Z uvedeného seznamu je jasné, kde se vzali jeho četní nepřátelé</w:t>
      </w:r>
      <w:r w:rsidR="00E1753F">
        <w:t xml:space="preserve">. Ti </w:t>
      </w:r>
      <w:r>
        <w:t xml:space="preserve">mu pomohli k čestnému titulu </w:t>
      </w:r>
      <w:r w:rsidRPr="08F712C0">
        <w:rPr>
          <w:i/>
        </w:rPr>
        <w:t>Doctor Invidiosus</w:t>
      </w:r>
      <w:r>
        <w:t>, který mu dal Dante.</w:t>
      </w:r>
    </w:p>
    <w:p w:rsidR="08163013" w:rsidRPr="00273106" w:rsidRDefault="08163013" w:rsidP="08163013">
      <w:r>
        <w:tab/>
      </w:r>
      <w:r w:rsidRPr="00273106">
        <w:t xml:space="preserve">Citujme klíčovou část rukopisu M, která sleduje linii ztraceného spisu </w:t>
      </w:r>
      <w:r w:rsidRPr="00273106">
        <w:rPr>
          <w:i/>
        </w:rPr>
        <w:t>De intellectu</w:t>
      </w:r>
      <w:r w:rsidRPr="00273106">
        <w:t>, o němž se zmi</w:t>
      </w:r>
      <w:r>
        <w:t>ňuje Agostino</w:t>
      </w:r>
      <w:r w:rsidRPr="00273106">
        <w:t xml:space="preserve"> Nifo</w:t>
      </w:r>
      <w:r>
        <w:fldChar w:fldCharType="begin"/>
      </w:r>
      <w:r>
        <w:instrText xml:space="preserve"> XE "</w:instrText>
      </w:r>
      <w:r w:rsidRPr="00386D4B">
        <w:instrText>Nifo, A.</w:instrText>
      </w:r>
      <w:r>
        <w:instrText xml:space="preserve">" </w:instrText>
      </w:r>
      <w:r>
        <w:fldChar w:fldCharType="end"/>
      </w:r>
      <w:r w:rsidRPr="00273106">
        <w:t xml:space="preserve">. Siger prý tento spis poslal Akvinskému jako odpověď na </w:t>
      </w:r>
      <w:proofErr w:type="gramStart"/>
      <w:r w:rsidRPr="00273106">
        <w:rPr>
          <w:i/>
        </w:rPr>
        <w:t>De</w:t>
      </w:r>
      <w:proofErr w:type="gramEnd"/>
      <w:r w:rsidRPr="00273106">
        <w:rPr>
          <w:i/>
        </w:rPr>
        <w:t xml:space="preserve"> unitate intellectus</w:t>
      </w:r>
      <w:r w:rsidRPr="00273106">
        <w:t xml:space="preserve"> (1270). Pokusme se mimo již podané důkazy najít pasáž, která odpovídá </w:t>
      </w:r>
      <w:r>
        <w:t xml:space="preserve">pozdější </w:t>
      </w:r>
      <w:r w:rsidRPr="00273106">
        <w:t>kritice Sigera</w:t>
      </w:r>
      <w:r>
        <w:t xml:space="preserve"> ve druhém pojednání o duši z roku 1272 (</w:t>
      </w:r>
      <w:r w:rsidRPr="089134A7">
        <w:rPr>
          <w:i/>
        </w:rPr>
        <w:t>anima est qua intelligimus</w:t>
      </w:r>
      <w:r>
        <w:t>)</w:t>
      </w:r>
      <w:r w:rsidRPr="00273106">
        <w:t>.</w:t>
      </w:r>
      <w:r w:rsidRPr="00273106">
        <w:rPr>
          <w:rStyle w:val="Znakapoznpodarou"/>
        </w:rPr>
        <w:footnoteReference w:id="136"/>
      </w:r>
      <w:r w:rsidRPr="00273106">
        <w:t xml:space="preserve"> </w:t>
      </w:r>
      <w:r>
        <w:t xml:space="preserve">Akvinský kombinuje </w:t>
      </w:r>
      <w:r w:rsidRPr="00273106">
        <w:t>nem</w:t>
      </w:r>
      <w:r>
        <w:t>ateriální povah</w:t>
      </w:r>
      <w:r w:rsidRPr="00273106">
        <w:t xml:space="preserve">u </w:t>
      </w:r>
      <w:r>
        <w:t>intelektu a specifický</w:t>
      </w:r>
      <w:r w:rsidRPr="00273106">
        <w:t xml:space="preserve"> výkon myšlení </w:t>
      </w:r>
      <w:r>
        <w:t xml:space="preserve">v nemateriálním modu do jedné hypostáze </w:t>
      </w:r>
      <w:r w:rsidRPr="00273106">
        <w:t>(</w:t>
      </w:r>
      <w:r w:rsidRPr="00273106">
        <w:rPr>
          <w:i/>
        </w:rPr>
        <w:t>intelligere fit secundum ipsum intellectum</w:t>
      </w:r>
      <w:r w:rsidRPr="00273106">
        <w:t xml:space="preserve">). Intelekt se </w:t>
      </w:r>
      <w:r>
        <w:t xml:space="preserve">u </w:t>
      </w:r>
      <w:r w:rsidRPr="00273106">
        <w:t xml:space="preserve">Akvinského </w:t>
      </w:r>
      <w:r>
        <w:t>stal</w:t>
      </w:r>
      <w:r w:rsidRPr="00273106">
        <w:t xml:space="preserve"> samostatnou formou vedle duše, což Si</w:t>
      </w:r>
      <w:r>
        <w:t>ger rozhodně odmítl</w:t>
      </w:r>
      <w:r w:rsidRPr="00273106">
        <w:t xml:space="preserve">. Pokud je rukopis M skutečně Sigerovo dílo, pak musí nekompromisně </w:t>
      </w:r>
      <w:r>
        <w:t xml:space="preserve">hájit tezi </w:t>
      </w:r>
      <w:r w:rsidR="00594FB9">
        <w:t>„</w:t>
      </w:r>
      <w:r w:rsidRPr="00273106">
        <w:rPr>
          <w:i/>
        </w:rPr>
        <w:t>anima est qua intelligimus</w:t>
      </w:r>
      <w:r w:rsidR="00594FB9">
        <w:t>“</w:t>
      </w:r>
      <w:r w:rsidRPr="00273106">
        <w:t xml:space="preserve"> a přitom musí odmítnout Akvinského </w:t>
      </w:r>
      <w:r>
        <w:t xml:space="preserve">semiaverroistickou </w:t>
      </w:r>
      <w:r w:rsidRPr="00273106">
        <w:t xml:space="preserve">tezi </w:t>
      </w:r>
      <w:r>
        <w:t xml:space="preserve">danou v modu </w:t>
      </w:r>
      <w:r w:rsidRPr="00273106">
        <w:t xml:space="preserve">o </w:t>
      </w:r>
      <w:r>
        <w:t>hypostázované povaze intelektu (</w:t>
      </w:r>
      <w:r w:rsidRPr="00F74BFB">
        <w:rPr>
          <w:i/>
        </w:rPr>
        <w:t>ipsum</w:t>
      </w:r>
      <w:r>
        <w:rPr>
          <w:i/>
        </w:rPr>
        <w:t xml:space="preserve"> intellectum</w:t>
      </w:r>
      <w:r>
        <w:t xml:space="preserve">, </w:t>
      </w:r>
      <w:r w:rsidRPr="00273106">
        <w:t>kap. 6.5.2</w:t>
      </w:r>
      <w:r>
        <w:t xml:space="preserve">). </w:t>
      </w:r>
      <w:r w:rsidRPr="00273106">
        <w:t xml:space="preserve">Rukopis M odlišuje dva způsoby poznání intelektu: z výkonu myšlení a ze substance duše. Přitom jasně říká, že fenomenologický přístup poznání skrze projevy intelektuálních schopností duše má primát nad přímým poznáním skrze duši jako substanci. </w:t>
      </w:r>
      <w:r>
        <w:t xml:space="preserve">To je jasné z dvojího způsobu vědeckého poznání podle </w:t>
      </w:r>
      <w:r w:rsidRPr="087F213C">
        <w:rPr>
          <w:i/>
        </w:rPr>
        <w:t>Druhých analytik</w:t>
      </w:r>
      <w:r>
        <w:t xml:space="preserve"> (</w:t>
      </w:r>
      <w:r w:rsidRPr="08C20BBB">
        <w:rPr>
          <w:i/>
        </w:rPr>
        <w:t xml:space="preserve">Anal. Post. </w:t>
      </w:r>
      <w:r w:rsidRPr="08C20BBB">
        <w:t>84a12</w:t>
      </w:r>
      <w:r w:rsidRPr="08A41502">
        <w:fldChar w:fldCharType="begin"/>
      </w:r>
      <w:r w:rsidRPr="08A41502">
        <w:instrText xml:space="preserve"> XE "Aristoteles:</w:instrText>
      </w:r>
      <w:r w:rsidRPr="08C01DC4">
        <w:rPr>
          <w:i/>
        </w:rPr>
        <w:instrText>Anal. Post.</w:instrText>
      </w:r>
      <w:r>
        <w:instrText xml:space="preserve"> 84a12</w:instrText>
      </w:r>
      <w:r w:rsidRPr="08A41502">
        <w:instrText xml:space="preserve">" </w:instrText>
      </w:r>
      <w:r w:rsidRPr="08A41502">
        <w:fldChar w:fldCharType="end"/>
      </w:r>
      <w:r>
        <w:rPr>
          <w:rStyle w:val="TextpoznpodarouChar"/>
        </w:rPr>
        <w:t>)</w:t>
      </w:r>
      <w:r>
        <w:t xml:space="preserve">. Esenciální definice nemá stejný status jako predikace od hyparchicky dané kauzality nutné pro vědecký soud o reálně působící substanci. Člověk poznává </w:t>
      </w:r>
      <w:r w:rsidR="00594FB9">
        <w:t xml:space="preserve">svět </w:t>
      </w:r>
      <w:r>
        <w:t xml:space="preserve">jako </w:t>
      </w:r>
      <w:r>
        <w:lastRenderedPageBreak/>
        <w:t>hylemorfická první substance</w:t>
      </w:r>
      <w:r w:rsidR="00594FB9">
        <w:t>,</w:t>
      </w:r>
      <w:r>
        <w:t xml:space="preserve"> a </w:t>
      </w:r>
      <w:r w:rsidR="08C82EC5">
        <w:t xml:space="preserve">ne </w:t>
      </w:r>
      <w:r>
        <w:t xml:space="preserve">jako nemateriální kosmická inteligence modernistů a karteziánů. Proto Bacon odmítl Anselmovu definici </w:t>
      </w:r>
      <w:r w:rsidR="00B005BC">
        <w:t xml:space="preserve">pravdy jako </w:t>
      </w:r>
      <w:r w:rsidR="004376D7">
        <w:t>„</w:t>
      </w:r>
      <w:r>
        <w:rPr>
          <w:i/>
        </w:rPr>
        <w:t>rectitudo sola mente percept</w:t>
      </w:r>
      <w:r w:rsidRPr="007222CD">
        <w:rPr>
          <w:i/>
        </w:rPr>
        <w:t>ibilis</w:t>
      </w:r>
      <w:r w:rsidR="004376D7">
        <w:t>“</w:t>
      </w:r>
      <w:r>
        <w:t xml:space="preserve"> (</w:t>
      </w:r>
      <w:r w:rsidR="08397D9F">
        <w:t>OBJ II, kap. 3</w:t>
      </w:r>
      <w:r>
        <w:t xml:space="preserve">.3.2) a stejně tak Albert kritizoval moderní definice duše dané na základě formální definice Toledské školy </w:t>
      </w:r>
      <w:r w:rsidRPr="00273106">
        <w:t>(</w:t>
      </w:r>
      <w:r w:rsidRPr="00273106">
        <w:rPr>
          <w:i/>
        </w:rPr>
        <w:t>scientur imperfecte</w:t>
      </w:r>
      <w:r w:rsidR="08397D9F">
        <w:t>; OBJ II, kap. 2</w:t>
      </w:r>
      <w:r>
        <w:t xml:space="preserve">.4.1). Jak dále uvidíme, zanedbání tohoto rozdílu Siger vytkl jako chybu Alberta v jeho pozdějším určení intelektu. </w:t>
      </w:r>
      <w:r w:rsidRPr="00273106">
        <w:t xml:space="preserve">Rukopis M hájí fenomenologický princip </w:t>
      </w:r>
      <w:r w:rsidR="004376D7">
        <w:t xml:space="preserve">poznání </w:t>
      </w:r>
      <w:r>
        <w:t xml:space="preserve">stejně jako Siger </w:t>
      </w:r>
      <w:r>
        <w:fldChar w:fldCharType="begin"/>
      </w:r>
      <w:r>
        <w:instrText xml:space="preserve"> XE "</w:instrText>
      </w:r>
      <w:r w:rsidRPr="005E2E60">
        <w:instrText xml:space="preserve">hermeneutické </w:instrText>
      </w:r>
      <w:r w:rsidRPr="001A3765">
        <w:rPr>
          <w:i/>
        </w:rPr>
        <w:instrText>Wie</w:instrText>
      </w:r>
      <w:r w:rsidRPr="005E2E60">
        <w:instrText>:Siger</w:instrText>
      </w:r>
      <w:r>
        <w:instrText xml:space="preserve">" </w:instrText>
      </w:r>
      <w:r>
        <w:fldChar w:fldCharType="end"/>
      </w:r>
      <w:r>
        <w:t xml:space="preserve">v klíčové </w:t>
      </w:r>
      <w:r w:rsidRPr="00273106">
        <w:t xml:space="preserve">pasáži </w:t>
      </w:r>
      <w:r>
        <w:t xml:space="preserve"> </w:t>
      </w:r>
      <w:r>
        <w:rPr>
          <w:i/>
        </w:rPr>
        <w:t>Quaestiones</w:t>
      </w:r>
      <w:r w:rsidRPr="00273106">
        <w:rPr>
          <w:i/>
        </w:rPr>
        <w:t xml:space="preserve"> in tertium</w:t>
      </w:r>
      <w:r>
        <w:rPr>
          <w:i/>
        </w:rPr>
        <w:t xml:space="preserve"> D</w:t>
      </w:r>
      <w:r w:rsidRPr="00273106">
        <w:rPr>
          <w:i/>
        </w:rPr>
        <w:t>e anima</w:t>
      </w:r>
      <w:r>
        <w:fldChar w:fldCharType="begin"/>
      </w:r>
      <w:r>
        <w:instrText xml:space="preserve"> XE "Siger:</w:instrText>
      </w:r>
      <w:r w:rsidRPr="00457B9B">
        <w:rPr>
          <w:i/>
        </w:rPr>
        <w:instrText xml:space="preserve"> </w:instrText>
      </w:r>
      <w:r>
        <w:rPr>
          <w:i/>
        </w:rPr>
        <w:instrText>Quaestiones in tertium D</w:instrText>
      </w:r>
      <w:r w:rsidRPr="00273106">
        <w:rPr>
          <w:i/>
        </w:rPr>
        <w:instrText>e anima</w:instrText>
      </w:r>
      <w:r w:rsidRPr="00A7465E">
        <w:instrText xml:space="preserve"> 12.66‒70</w:instrText>
      </w:r>
      <w:r>
        <w:instrText xml:space="preserve">" </w:instrText>
      </w:r>
      <w:r>
        <w:fldChar w:fldCharType="end"/>
      </w:r>
      <w:r>
        <w:t xml:space="preserve">, kterou rozebíráme dále </w:t>
      </w:r>
      <w:r w:rsidRPr="00273106">
        <w:t>(</w:t>
      </w:r>
      <w:r w:rsidRPr="00273106">
        <w:rPr>
          <w:i/>
        </w:rPr>
        <w:t>scire actiones animae prius est apud nos quam scire eius substantiam</w:t>
      </w:r>
      <w:r>
        <w:t xml:space="preserve">, </w:t>
      </w:r>
      <w:r w:rsidR="08311FA4">
        <w:t>kap. 4</w:t>
      </w:r>
      <w:r w:rsidRPr="00273106">
        <w:t>.4.2)</w:t>
      </w:r>
      <w:r>
        <w:t xml:space="preserve">. Ale rukopis M tento základní princip rozebírá jiným způsobem, než </w:t>
      </w:r>
      <w:r w:rsidRPr="00273106">
        <w:t xml:space="preserve">Siger v citované části </w:t>
      </w:r>
      <w:r>
        <w:rPr>
          <w:i/>
        </w:rPr>
        <w:t>Quaestiones in tertium D</w:t>
      </w:r>
      <w:r w:rsidRPr="00273106">
        <w:rPr>
          <w:i/>
        </w:rPr>
        <w:t>e anima</w:t>
      </w:r>
      <w:r>
        <w:t xml:space="preserve"> (dále pod zkratkou QIIIDA)</w:t>
      </w:r>
      <w:r w:rsidRPr="00273106">
        <w:t xml:space="preserve">. </w:t>
      </w:r>
      <w:r>
        <w:t xml:space="preserve">Hermeneutika vidí posun myšlení Sigera od </w:t>
      </w:r>
      <w:r w:rsidRPr="005E078E">
        <w:t>smířlivé</w:t>
      </w:r>
      <w:r>
        <w:t>ho postoje</w:t>
      </w:r>
      <w:r w:rsidRPr="005E078E">
        <w:t xml:space="preserve"> v</w:t>
      </w:r>
      <w:r>
        <w:rPr>
          <w:i/>
        </w:rPr>
        <w:t xml:space="preserve"> </w:t>
      </w:r>
      <w:r>
        <w:t>rukopisu M k zásadní kritice A</w:t>
      </w:r>
      <w:r w:rsidR="004C3ADA">
        <w:t xml:space="preserve">kvinského v díle QIIIDA. Posun </w:t>
      </w:r>
      <w:r>
        <w:t xml:space="preserve">argumentace </w:t>
      </w:r>
      <w:r w:rsidR="004C3ADA">
        <w:t xml:space="preserve">je daný rozdílem </w:t>
      </w:r>
      <w:r>
        <w:t xml:space="preserve">mezi </w:t>
      </w:r>
      <w:r w:rsidR="004C3ADA">
        <w:t>druhou a třetí částí</w:t>
      </w:r>
      <w:r>
        <w:t xml:space="preserve"> spisu </w:t>
      </w:r>
      <w:r w:rsidRPr="004C3ADA">
        <w:rPr>
          <w:i/>
        </w:rPr>
        <w:t>De anima</w:t>
      </w:r>
      <w:r>
        <w:t>. V DA I‒II byl smířlivý postoj možný, v DA III zkoumající povahu lidského poznání a intelektu už nikoliv.</w:t>
      </w:r>
      <w:r w:rsidR="084C24D4">
        <w:t xml:space="preserve"> Hermeneutika zdůrazňuje, že Sigerovo podání olivové ratolesti Akvinskému v žádném případě nebylo dáno změněným postojem Sigera v letech 1265‒70. Siger považoval Akvinského za avicennistu z Toledské školy již od dob jejich společných studií v Paříži. Akvinský hájil averroistický výklad Komentátora a měl intelekt jako samostatnou hypostázi v duši, proto hájil pluralitu forem (ale ne substancí) v člověku. To bylo pro Sigera jako vrcholného reprezentanta prvního averroismu Blundovy školy v Rue du Fouarre zásadně nepřijatelné. Mezi Sigerem a Akvinským začal pařížský spor o titul </w:t>
      </w:r>
      <w:r w:rsidR="084C24D4" w:rsidRPr="08D32014">
        <w:rPr>
          <w:i/>
        </w:rPr>
        <w:t>Expositor Novus</w:t>
      </w:r>
      <w:r w:rsidR="084C24D4">
        <w:t xml:space="preserve"> po roce 1270 (kap. 4.4.4). </w:t>
      </w:r>
      <w:r>
        <w:t xml:space="preserve">Citujme úvodní myslitelskou pozici Brabantského magistra danou v rukopisu M, který ale komentuje pouze první a druhou část </w:t>
      </w:r>
      <w:r w:rsidRPr="00EA46FF">
        <w:rPr>
          <w:i/>
        </w:rPr>
        <w:t>De anima</w:t>
      </w:r>
      <w:r>
        <w:t xml:space="preserve">. To je důležité vědět, protože v komentáři ke třetí knize </w:t>
      </w:r>
      <w:r w:rsidRPr="08846C27">
        <w:rPr>
          <w:i/>
        </w:rPr>
        <w:t>De anima</w:t>
      </w:r>
      <w:r>
        <w:t xml:space="preserve"> už tato objektivní pozice nebyla možná podle výkladu </w:t>
      </w:r>
      <w:r w:rsidR="008C250D">
        <w:t>třetí knihy CMDA</w:t>
      </w:r>
      <w:r>
        <w:t xml:space="preserve">. Proto Siger odmítl esenciální poznání duše v komentáři QIIIDA jako nedostatečně vědecké. Přímé poznání duše dané </w:t>
      </w:r>
      <w:r w:rsidRPr="009C168E">
        <w:rPr>
          <w:i/>
        </w:rPr>
        <w:t>per se</w:t>
      </w:r>
      <w:r w:rsidR="087B2778">
        <w:t xml:space="preserve"> Siger zásadně odmítl v QIIIDA jako nedostatečnou formu</w:t>
      </w:r>
      <w:r>
        <w:t xml:space="preserve"> demonstrace kvůli chybějící kauzalitě ve středním členu dedukce. Protože poznáváme externí věc danou aktuálně, tak v tomto poznání aktualizujeme také principy poznání a naše vlastní duševní schopnosti. Přímý náhled na esenci je v QIIIDA nahrazen modelem </w:t>
      </w:r>
      <w:r w:rsidRPr="009C168E">
        <w:rPr>
          <w:i/>
        </w:rPr>
        <w:t>tabula rasa</w:t>
      </w:r>
      <w:r>
        <w:rPr>
          <w:i/>
        </w:rPr>
        <w:fldChar w:fldCharType="begin"/>
      </w:r>
      <w:r>
        <w:instrText xml:space="preserve"> XE "</w:instrText>
      </w:r>
      <w:r w:rsidRPr="00CE6D17">
        <w:rPr>
          <w:i/>
        </w:rPr>
        <w:instrText>tabula rasa</w:instrText>
      </w:r>
      <w:r>
        <w:instrText xml:space="preserve">" </w:instrText>
      </w:r>
      <w:r>
        <w:rPr>
          <w:i/>
        </w:rPr>
        <w:fldChar w:fldCharType="end"/>
      </w:r>
      <w:r>
        <w:t xml:space="preserve"> daným determinací poznání pouze od první substance, tedy od přímého zakoušení myšlení v první osobě. A</w:t>
      </w:r>
      <w:r w:rsidRPr="00273106">
        <w:t xml:space="preserve">nonym </w:t>
      </w:r>
      <w:r>
        <w:t xml:space="preserve">M </w:t>
      </w:r>
      <w:r w:rsidRPr="00273106">
        <w:t xml:space="preserve">má o přímém poznání intelektu skrze </w:t>
      </w:r>
      <w:r w:rsidRPr="00273106">
        <w:lastRenderedPageBreak/>
        <w:t>formu či substanci zásadní pochybnosti, ale přesto jej uznává jako možný způsob pravdivého poznání intelektu</w:t>
      </w:r>
      <w:r>
        <w:t xml:space="preserve"> (</w:t>
      </w:r>
      <w:r w:rsidRPr="00AC5C98">
        <w:rPr>
          <w:i/>
        </w:rPr>
        <w:t>potest esse</w:t>
      </w:r>
      <w:r>
        <w:t>)</w:t>
      </w:r>
      <w:r w:rsidRPr="00273106">
        <w:t>.</w:t>
      </w:r>
    </w:p>
    <w:p w:rsidR="08163013" w:rsidRPr="00E33C84" w:rsidRDefault="08163013" w:rsidP="08163013">
      <w:pPr>
        <w:pStyle w:val="Citace"/>
        <w:rPr>
          <w:noProof/>
          <w:lang w:val="cs-CZ"/>
        </w:rPr>
      </w:pPr>
      <w:r w:rsidRPr="00273106">
        <w:rPr>
          <w:noProof/>
          <w:lang w:val="cs-CZ"/>
        </w:rPr>
        <w:t>„</w:t>
      </w:r>
      <w:r>
        <w:rPr>
          <w:noProof/>
          <w:lang w:val="cs-CZ"/>
        </w:rPr>
        <w:t>Je třeba si uvědomit, že obtíž při poznání duše může být dána jak od esenciální povahy duše (</w:t>
      </w:r>
      <w:r w:rsidRPr="0869211C">
        <w:rPr>
          <w:i/>
          <w:noProof/>
        </w:rPr>
        <w:t>potest esse ex parte substantiae animae</w:t>
      </w:r>
      <w:r>
        <w:rPr>
          <w:noProof/>
          <w:lang w:val="cs-CZ"/>
        </w:rPr>
        <w:t>) tak z hlediska naší poznávací aktivity (</w:t>
      </w:r>
      <w:r w:rsidRPr="08AA0705">
        <w:rPr>
          <w:i/>
          <w:noProof/>
        </w:rPr>
        <w:t>ex parte nostra</w:t>
      </w:r>
      <w:r>
        <w:rPr>
          <w:noProof/>
          <w:lang w:val="cs-CZ"/>
        </w:rPr>
        <w:t>). Poznání není problém z hlediska esenciální povahy duše. Co má samo ze sebe povahu jsoucna, to musí být poznatelné v nejvyšší míře.  A duše je taková, proto je o sobě určitě poznatelná. Pak není problém s poznáním duše z hlediska její esence (</w:t>
      </w:r>
      <w:r w:rsidRPr="08647CBB">
        <w:rPr>
          <w:i/>
          <w:noProof/>
        </w:rPr>
        <w:t>non est ex parte substan</w:t>
      </w:r>
      <w:r w:rsidRPr="08647CBB">
        <w:rPr>
          <w:i/>
          <w:noProof/>
        </w:rPr>
        <w:softHyphen/>
        <w:t>tiae animae difficultas</w:t>
      </w:r>
      <w:r>
        <w:rPr>
          <w:noProof/>
          <w:lang w:val="cs-CZ"/>
        </w:rPr>
        <w:t>), ale s poznáním daným naší aktivitou (</w:t>
      </w:r>
      <w:r w:rsidRPr="087032B2">
        <w:rPr>
          <w:i/>
          <w:noProof/>
          <w:lang w:val="cs-CZ"/>
        </w:rPr>
        <w:t>ex parte nostra</w:t>
      </w:r>
      <w:r>
        <w:rPr>
          <w:noProof/>
          <w:lang w:val="cs-CZ"/>
        </w:rPr>
        <w:t>). Nejsme schopni poznat principy jednání jinak než tím,</w:t>
      </w:r>
      <w:r w:rsidR="00A11303">
        <w:rPr>
          <w:noProof/>
          <w:lang w:val="cs-CZ"/>
        </w:rPr>
        <w:t xml:space="preserve"> že</w:t>
      </w:r>
      <w:r>
        <w:rPr>
          <w:noProof/>
          <w:lang w:val="cs-CZ"/>
        </w:rPr>
        <w:t xml:space="preserve"> jednání sami zakoušíme a provádíme (</w:t>
      </w:r>
      <w:r w:rsidRPr="087032B2">
        <w:rPr>
          <w:i/>
          <w:noProof/>
        </w:rPr>
        <w:t>ex cognitione passionum et operationum</w:t>
      </w:r>
      <w:r>
        <w:rPr>
          <w:noProof/>
          <w:lang w:val="cs-CZ"/>
        </w:rPr>
        <w:t xml:space="preserve">)...“ </w:t>
      </w:r>
      <w:r>
        <w:rPr>
          <w:rStyle w:val="Znakapoznpodarou"/>
        </w:rPr>
        <w:footnoteReference w:id="137"/>
      </w:r>
    </w:p>
    <w:p w:rsidR="00ED4D90" w:rsidRDefault="08163013" w:rsidP="08163013">
      <w:r w:rsidRPr="00273106">
        <w:t>Úvodní věta komentuje obojí přístup k poznání intelektu (</w:t>
      </w:r>
      <w:r w:rsidRPr="00273106">
        <w:rPr>
          <w:i/>
        </w:rPr>
        <w:t>ex parte substantiae animae vel ex parte nostra</w:t>
      </w:r>
      <w:r w:rsidRPr="00273106">
        <w:t xml:space="preserve">). </w:t>
      </w:r>
      <w:r>
        <w:t xml:space="preserve">Termín </w:t>
      </w:r>
      <w:r w:rsidR="00ED4D90">
        <w:t>„</w:t>
      </w:r>
      <w:r w:rsidRPr="00273106">
        <w:rPr>
          <w:i/>
        </w:rPr>
        <w:t>difficultas aliqua</w:t>
      </w:r>
      <w:r w:rsidR="00ED4D90">
        <w:t>“</w:t>
      </w:r>
      <w:r>
        <w:t xml:space="preserve"> naráží na termín </w:t>
      </w:r>
      <w:r w:rsidR="00ED4D90">
        <w:t>„</w:t>
      </w:r>
      <w:r w:rsidRPr="00273106">
        <w:rPr>
          <w:i/>
        </w:rPr>
        <w:t>valde difficile</w:t>
      </w:r>
      <w:r w:rsidR="00ED4D90">
        <w:t>“</w:t>
      </w:r>
      <w:r>
        <w:t xml:space="preserve"> dané v CMDA. Komentátor právem považuje</w:t>
      </w:r>
      <w:r w:rsidRPr="00273106">
        <w:t xml:space="preserve"> zkoumání duše a intelektu za jeden z nejobtížnějších úkolů filosofie. </w:t>
      </w:r>
      <w:r>
        <w:t>D</w:t>
      </w:r>
      <w:r w:rsidRPr="00273106">
        <w:t xml:space="preserve">alší argument </w:t>
      </w:r>
      <w:r>
        <w:t xml:space="preserve">připouští argument avicennismu o přímém poznání duše jako esence, což Siger </w:t>
      </w:r>
      <w:proofErr w:type="gramStart"/>
      <w:r>
        <w:t>odmítl  v QIIIDA</w:t>
      </w:r>
      <w:proofErr w:type="gramEnd"/>
      <w:r>
        <w:t xml:space="preserve">. Rukopis M </w:t>
      </w:r>
      <w:r w:rsidRPr="00273106">
        <w:t xml:space="preserve">uznává, že </w:t>
      </w:r>
      <w:r>
        <w:t xml:space="preserve">přístup k </w:t>
      </w:r>
      <w:r w:rsidRPr="00273106">
        <w:t xml:space="preserve">duši </w:t>
      </w:r>
      <w:r>
        <w:t xml:space="preserve">jako abstraktní esenci může založit pravdivé poznání </w:t>
      </w:r>
      <w:r w:rsidRPr="00273106">
        <w:t>(</w:t>
      </w:r>
      <w:r>
        <w:rPr>
          <w:i/>
        </w:rPr>
        <w:t>non est ex parte substan</w:t>
      </w:r>
      <w:r w:rsidRPr="00273106">
        <w:rPr>
          <w:i/>
        </w:rPr>
        <w:t>tiae animae difficultas in cognitione eius</w:t>
      </w:r>
      <w:r>
        <w:t xml:space="preserve">). Jenže tím by Siger připustil avicennistickou možnost přímého náhledu duše do své podstaty v modu moderního </w:t>
      </w:r>
      <w:r w:rsidRPr="08DC0CBA">
        <w:rPr>
          <w:i/>
        </w:rPr>
        <w:t>cogito</w:t>
      </w:r>
      <w:r>
        <w:t>, což nebyla jeho pozice. Poslední věta kategoricky tvrdí, že nejsme schopni poznat principy jednání jinak než tím, jednání sami zakoušíme a provádíme (</w:t>
      </w:r>
      <w:r w:rsidRPr="087032B2">
        <w:rPr>
          <w:i/>
        </w:rPr>
        <w:t>ex cognitione passionum et operationum</w:t>
      </w:r>
      <w:r>
        <w:t xml:space="preserve">). </w:t>
      </w:r>
      <w:r w:rsidRPr="00273106">
        <w:t>Klíčový je závěr o možnosti pravdivého poznání i přímým náhledem substance (</w:t>
      </w:r>
      <w:r w:rsidRPr="00273106">
        <w:rPr>
          <w:i/>
        </w:rPr>
        <w:t>ideo ipsa multum est cognoscibilis</w:t>
      </w:r>
      <w:r w:rsidRPr="00273106">
        <w:t xml:space="preserve">). Dvojí pozice autora ukazuje, že znal debatu ohledně poznání povahy intelektu, </w:t>
      </w:r>
      <w:r>
        <w:t xml:space="preserve">viz následující kapitoly sporu Sigera a Albertem a Akvinským ve spise QIIIDA. Třetí část výkladu </w:t>
      </w:r>
      <w:r w:rsidRPr="083E0694">
        <w:rPr>
          <w:i/>
        </w:rPr>
        <w:t>De anima</w:t>
      </w:r>
      <w:r>
        <w:t xml:space="preserve"> </w:t>
      </w:r>
    </w:p>
    <w:p w:rsidR="00243EE3" w:rsidRDefault="00ED4D90" w:rsidP="08163013">
      <w:r>
        <w:t>ukončila debatu tím, že oddělila Aristotelov</w:t>
      </w:r>
      <w:r w:rsidR="08163013">
        <w:t>u interpretac</w:t>
      </w:r>
      <w:r>
        <w:t>i</w:t>
      </w:r>
      <w:r w:rsidR="08163013">
        <w:t xml:space="preserve"> intelektu v </w:t>
      </w:r>
      <w:proofErr w:type="gramStart"/>
      <w:r w:rsidR="08163013" w:rsidRPr="00520895">
        <w:rPr>
          <w:i/>
        </w:rPr>
        <w:t>De</w:t>
      </w:r>
      <w:proofErr w:type="gramEnd"/>
      <w:r w:rsidR="08163013" w:rsidRPr="00520895">
        <w:rPr>
          <w:i/>
        </w:rPr>
        <w:t xml:space="preserve"> anima</w:t>
      </w:r>
      <w:r>
        <w:t xml:space="preserve"> a Averroesovo</w:t>
      </w:r>
      <w:r w:rsidR="08163013">
        <w:t xml:space="preserve"> geniální řešení v CMDA. Tuto nuanci nebyli schopni postihnout aristotelikové jako Albert a Akvinský. Siger kritizoval oba filosofy jak ve spise QIIIDA, tak zejména semiaverroistickou pozici Akvinského, což ukáže rozbor </w:t>
      </w:r>
      <w:r w:rsidR="08163013" w:rsidRPr="083E0694">
        <w:rPr>
          <w:i/>
        </w:rPr>
        <w:t>De anima intellectiva</w:t>
      </w:r>
      <w:r w:rsidR="08163013">
        <w:t xml:space="preserve">. Mnichovský komentář </w:t>
      </w:r>
      <w:r w:rsidR="08163013" w:rsidRPr="08292E19">
        <w:rPr>
          <w:i/>
        </w:rPr>
        <w:t>De anima</w:t>
      </w:r>
      <w:r w:rsidR="08163013">
        <w:t xml:space="preserve"> I‒II do </w:t>
      </w:r>
      <w:r w:rsidR="08163013" w:rsidRPr="00273106">
        <w:t>jisté míry připouští jako platnou i pozici formálně pojatého aristotelismu</w:t>
      </w:r>
      <w:r w:rsidR="08163013">
        <w:t xml:space="preserve"> Alberta a Akvinského. Definici </w:t>
      </w:r>
      <w:r w:rsidR="08163013" w:rsidRPr="08163321">
        <w:rPr>
          <w:i/>
        </w:rPr>
        <w:t>anima intellectiva</w:t>
      </w:r>
      <w:r w:rsidR="08163013">
        <w:t xml:space="preserve"> podle esence </w:t>
      </w:r>
      <w:r w:rsidR="08163013" w:rsidRPr="00273106">
        <w:t xml:space="preserve">ale </w:t>
      </w:r>
      <w:r w:rsidR="0080147E">
        <w:t xml:space="preserve">Siger </w:t>
      </w:r>
      <w:r w:rsidR="08163013" w:rsidRPr="00273106">
        <w:lastRenderedPageBreak/>
        <w:t>n</w:t>
      </w:r>
      <w:r w:rsidR="08163013">
        <w:t>epovažuje za správnou</w:t>
      </w:r>
      <w:r w:rsidR="00243EE3">
        <w:t xml:space="preserve"> z hlediska CMDA</w:t>
      </w:r>
      <w:r w:rsidR="08163013" w:rsidRPr="00273106">
        <w:t xml:space="preserve">. </w:t>
      </w:r>
      <w:r w:rsidR="08163013">
        <w:t>Toto je klíčová indikace pro správnost Nifovy poznámky, že Siger tento spis poslal Akvinskému jako odpověď na jeho nauku o intelektu</w:t>
      </w:r>
      <w:r w:rsidR="00243EE3">
        <w:t>.</w:t>
      </w:r>
      <w:r w:rsidR="00134731">
        <w:t xml:space="preserve"> Není důležité, zda toto stanovisko Akvinský dostal osobně nebo ne; klíčový je fakt, že rukopis M toto stanovisko obsahuje a že byl publikován do roku 1270.</w:t>
      </w:r>
    </w:p>
    <w:p w:rsidR="005C3D10" w:rsidRDefault="00243EE3" w:rsidP="005C3D10">
      <w:pPr>
        <w:ind w:firstLine="397"/>
      </w:pPr>
      <w:r>
        <w:t>S</w:t>
      </w:r>
      <w:r w:rsidR="08163013">
        <w:t xml:space="preserve">iger se pokusil najít cestu ke smíru tím, že částečně negoval principy, které z věcných a veřejně vyložených důvodů na půdě univerzity považoval za naprosto správné, ale které vzhledem ke sporu s modernisty neměly tak velkou váhu. Jak dále uvidíme, tato smířlivá pozice se týkala pouze výkladu </w:t>
      </w:r>
      <w:r w:rsidR="08163013" w:rsidRPr="08BD4372">
        <w:rPr>
          <w:i/>
        </w:rPr>
        <w:t>De anima</w:t>
      </w:r>
      <w:r w:rsidR="08163013">
        <w:t xml:space="preserve"> I‒II, protože vzhledem k výkladu třetí knihy už tato argumentace nebyla možná. Siger mohl rukopis M poslat Akvinskému do Itálie. Argumenty Akvinského dobře znal a jeho postoj se nijak zásadně nezměnil ani po jeho druhém příchodu do Paříže. Celkové zaměření Sigerova výkladu ukáže následný rozbor QIIIDA</w:t>
      </w:r>
      <w:r w:rsidR="08163013">
        <w:rPr>
          <w:iCs/>
        </w:rPr>
        <w:t xml:space="preserve">, kde Siger odmítne zkoumání intelektu jako hypostáze na základě přesně postaveného vědeckého sylogismu podle </w:t>
      </w:r>
      <w:r w:rsidR="08163013" w:rsidRPr="08942073">
        <w:rPr>
          <w:i/>
          <w:iCs/>
        </w:rPr>
        <w:t>Druhých analytik</w:t>
      </w:r>
      <w:r w:rsidR="08163013">
        <w:rPr>
          <w:iCs/>
        </w:rPr>
        <w:t xml:space="preserve">. Sigerův kompletní filosofický výklad </w:t>
      </w:r>
      <w:r w:rsidR="08163013" w:rsidRPr="089A03FD">
        <w:rPr>
          <w:i/>
          <w:iCs/>
        </w:rPr>
        <w:t>De anima</w:t>
      </w:r>
      <w:r w:rsidR="08163013">
        <w:rPr>
          <w:iCs/>
        </w:rPr>
        <w:t xml:space="preserve"> z le</w:t>
      </w:r>
      <w:r w:rsidR="00854105">
        <w:rPr>
          <w:iCs/>
        </w:rPr>
        <w:t>t 1265‒68</w:t>
      </w:r>
      <w:r w:rsidR="08163013">
        <w:rPr>
          <w:iCs/>
        </w:rPr>
        <w:t xml:space="preserve"> (rukopis M a QIIIDA) </w:t>
      </w:r>
      <w:r w:rsidR="08163013">
        <w:t xml:space="preserve">nebyl přijat na mendikantských fakultách, protože odmítl jejich teologické postoje sofisticky promítnuté do modernistické exegeze </w:t>
      </w:r>
      <w:r w:rsidR="08163013" w:rsidRPr="083258E2">
        <w:rPr>
          <w:i/>
        </w:rPr>
        <w:t>De anima</w:t>
      </w:r>
      <w:r w:rsidR="08163013">
        <w:t xml:space="preserve">. Spojení Mnichovského rukopisu a QIIIDA vytváří </w:t>
      </w:r>
      <w:r w:rsidR="007B4515">
        <w:t>Sigerův</w:t>
      </w:r>
      <w:r w:rsidR="08163013">
        <w:t xml:space="preserve"> komp</w:t>
      </w:r>
      <w:r w:rsidR="007B4515">
        <w:t xml:space="preserve">letní komentář </w:t>
      </w:r>
      <w:r w:rsidR="08163013" w:rsidRPr="08251602">
        <w:rPr>
          <w:i/>
        </w:rPr>
        <w:t>De anima</w:t>
      </w:r>
      <w:r w:rsidR="08163013">
        <w:t xml:space="preserve"> (M I‒II, QIIIDA), který pravděpodobně dostal Akvinský před svým příjezdem do Paříže na konci roku 1269. Celek obou rukopisů představuje spis </w:t>
      </w:r>
      <w:r w:rsidR="08163013" w:rsidRPr="08251602">
        <w:rPr>
          <w:i/>
        </w:rPr>
        <w:t>De intellectu</w:t>
      </w:r>
      <w:r w:rsidR="00FB1C8B">
        <w:t xml:space="preserve">, o němž </w:t>
      </w:r>
      <w:proofErr w:type="gramStart"/>
      <w:r w:rsidR="00FB1C8B">
        <w:t>mluví Agostine</w:t>
      </w:r>
      <w:proofErr w:type="gramEnd"/>
      <w:r w:rsidR="08163013">
        <w:t xml:space="preserve"> Nifo. Akvinského odpovědí byl spis </w:t>
      </w:r>
      <w:r w:rsidR="08163013" w:rsidRPr="0872260E">
        <w:rPr>
          <w:i/>
        </w:rPr>
        <w:t>De unitate intellectus</w:t>
      </w:r>
      <w:r w:rsidR="08163013">
        <w:t xml:space="preserve"> psaný v Paříži roku 1270. Akvinský po druhém návratu do Paříže vyostřil své odmítnutí Averroese, a navíc se k němu přidal Aegidius Romanus z pozice druhého averroismu. Pak už Sigerova strana nemohla couvnost a musela hájit plnou filosofickou jednotu osoby spojenou s primátem metafyziky podle Averroese a tím oddělenou od dogmatické teologie avicennistů všeho druhu. Sigerova strana odmítla oboje </w:t>
      </w:r>
      <w:r w:rsidR="08163013" w:rsidRPr="00273106">
        <w:t xml:space="preserve">řešení </w:t>
      </w:r>
      <w:r w:rsidR="08163013">
        <w:t>mendikantských teologů</w:t>
      </w:r>
      <w:r w:rsidR="08163013" w:rsidRPr="00273106">
        <w:t xml:space="preserve">, </w:t>
      </w:r>
      <w:r w:rsidR="08163013">
        <w:t>proto</w:t>
      </w:r>
      <w:r w:rsidR="08163013" w:rsidRPr="00273106">
        <w:t xml:space="preserve">že </w:t>
      </w:r>
      <w:r w:rsidR="08163013">
        <w:t>zrušilo</w:t>
      </w:r>
      <w:r w:rsidR="08163013" w:rsidRPr="00273106">
        <w:t xml:space="preserve"> jednotu osoby. Tuto </w:t>
      </w:r>
      <w:r w:rsidR="08163013">
        <w:t xml:space="preserve">závěrečnou </w:t>
      </w:r>
      <w:r w:rsidR="08163013" w:rsidRPr="00273106">
        <w:t>debatu mezi Sigerem a Akvinským ohledně plu</w:t>
      </w:r>
      <w:r w:rsidR="08163013">
        <w:t xml:space="preserve">ralismu forem v člověku Sigerův komentář k </w:t>
      </w:r>
      <w:proofErr w:type="gramStart"/>
      <w:r w:rsidR="08163013" w:rsidRPr="089D094F">
        <w:rPr>
          <w:i/>
        </w:rPr>
        <w:t>De</w:t>
      </w:r>
      <w:proofErr w:type="gramEnd"/>
      <w:r w:rsidR="08163013" w:rsidRPr="089D094F">
        <w:rPr>
          <w:i/>
        </w:rPr>
        <w:t xml:space="preserve"> anima</w:t>
      </w:r>
      <w:r w:rsidR="08163013">
        <w:t xml:space="preserve"> I‒III</w:t>
      </w:r>
      <w:r w:rsidR="08163013" w:rsidRPr="00273106">
        <w:t xml:space="preserve"> </w:t>
      </w:r>
      <w:r w:rsidR="08163013">
        <w:t xml:space="preserve">ještě neznal, ale má ji druhý Sigerův spis </w:t>
      </w:r>
      <w:r w:rsidR="08163013" w:rsidRPr="00273106">
        <w:rPr>
          <w:i/>
        </w:rPr>
        <w:t>De anima intellectiva</w:t>
      </w:r>
      <w:r w:rsidR="08163013" w:rsidRPr="00273106">
        <w:t>.</w:t>
      </w:r>
      <w:r w:rsidR="08163013">
        <w:t xml:space="preserve"> </w:t>
      </w:r>
      <w:r w:rsidR="08403547">
        <w:t>Konečným v</w:t>
      </w:r>
      <w:r w:rsidR="08163013">
        <w:t>ýsledkem tohoto postoje byl dekret artistů z roku 1272</w:t>
      </w:r>
      <w:r w:rsidR="08403547">
        <w:t xml:space="preserve">. Prohlášení </w:t>
      </w:r>
      <w:r w:rsidR="08163013">
        <w:t>oddělil</w:t>
      </w:r>
      <w:r w:rsidR="08403547">
        <w:t>o</w:t>
      </w:r>
      <w:r w:rsidR="08163013">
        <w:t xml:space="preserve"> filosofické zkoumání duše od teologických postulátů moderních averroistů v modu biblické ontoteologie Bonaventury</w:t>
      </w:r>
      <w:r w:rsidR="08403547">
        <w:t xml:space="preserve">. Ale současně se dekret oddělil </w:t>
      </w:r>
      <w:r w:rsidR="08163013">
        <w:t xml:space="preserve">od dualistického aristotelského výkladu </w:t>
      </w:r>
      <w:r w:rsidR="08163013" w:rsidRPr="08CF05A7">
        <w:rPr>
          <w:i/>
        </w:rPr>
        <w:t>De anima</w:t>
      </w:r>
      <w:r w:rsidR="08403547">
        <w:t xml:space="preserve"> podaného semiaverroisty jako byl Akvinský</w:t>
      </w:r>
      <w:r w:rsidR="00D32D01">
        <w:t xml:space="preserve"> a </w:t>
      </w:r>
      <w:r w:rsidR="00D32D01">
        <w:rPr>
          <w:szCs w:val="24"/>
        </w:rPr>
        <w:t>Aegidius Romanus</w:t>
      </w:r>
      <w:r w:rsidR="08163013">
        <w:t xml:space="preserve">. Mnichovský rukopis zásadně obhajuje fenomenologický </w:t>
      </w:r>
      <w:r w:rsidR="08163013" w:rsidRPr="00273106">
        <w:t>princip</w:t>
      </w:r>
      <w:r w:rsidR="08163013">
        <w:t xml:space="preserve"> poznání </w:t>
      </w:r>
      <w:r w:rsidR="08163013" w:rsidRPr="00273106">
        <w:t xml:space="preserve">duše skrze </w:t>
      </w:r>
      <w:r w:rsidR="08163013">
        <w:lastRenderedPageBreak/>
        <w:t>existe</w:t>
      </w:r>
      <w:r w:rsidR="08403547">
        <w:t>nciální výkon porozumění (kap. 4</w:t>
      </w:r>
      <w:r w:rsidR="08163013">
        <w:t>.4.2</w:t>
      </w:r>
      <w:r w:rsidR="08163013" w:rsidRPr="00273106">
        <w:t xml:space="preserve">). </w:t>
      </w:r>
      <w:r w:rsidR="08163013">
        <w:t>F</w:t>
      </w:r>
      <w:r w:rsidR="08163013" w:rsidRPr="00273106">
        <w:t>enomenologick</w:t>
      </w:r>
      <w:r w:rsidR="08163013">
        <w:t xml:space="preserve">ý princip pro rukopis M najdeme v citované větě: „Nejsme schopni poznat principy jednání jinak než tím, </w:t>
      </w:r>
      <w:r w:rsidR="00870515">
        <w:t xml:space="preserve">toto </w:t>
      </w:r>
      <w:r w:rsidR="08163013">
        <w:t>jednání sami zakoušíme a provádíme“ (</w:t>
      </w:r>
      <w:r w:rsidR="08163013" w:rsidRPr="00BA4C5B">
        <w:rPr>
          <w:i/>
        </w:rPr>
        <w:t xml:space="preserve">non </w:t>
      </w:r>
      <w:proofErr w:type="gramStart"/>
      <w:r w:rsidR="08163013" w:rsidRPr="00BA4C5B">
        <w:rPr>
          <w:i/>
        </w:rPr>
        <w:t>possumus</w:t>
      </w:r>
      <w:r w:rsidR="08163013">
        <w:t xml:space="preserve">... </w:t>
      </w:r>
      <w:r w:rsidR="08163013" w:rsidRPr="00BA4C5B">
        <w:rPr>
          <w:i/>
        </w:rPr>
        <w:t>nisi</w:t>
      </w:r>
      <w:proofErr w:type="gramEnd"/>
      <w:r w:rsidR="08163013">
        <w:t>)</w:t>
      </w:r>
      <w:r w:rsidR="08163013" w:rsidRPr="00273106">
        <w:t xml:space="preserve">. </w:t>
      </w:r>
      <w:r w:rsidR="08163013">
        <w:t xml:space="preserve">Jak dále uvidíme, termín </w:t>
      </w:r>
      <w:r w:rsidR="08163013" w:rsidRPr="00273106">
        <w:rPr>
          <w:i/>
        </w:rPr>
        <w:t>non possumus</w:t>
      </w:r>
      <w:r w:rsidR="08163013">
        <w:t xml:space="preserve"> je zcela zásadní a vytvoří rozdíl mezi Sigerem a Akvinským. </w:t>
      </w:r>
      <w:r w:rsidR="0040471C">
        <w:t>D</w:t>
      </w:r>
      <w:r w:rsidR="0040471C" w:rsidRPr="00273106">
        <w:t>ůležitou část Mnichovského rukopisu</w:t>
      </w:r>
      <w:r w:rsidR="0040471C">
        <w:t xml:space="preserve"> v modu „</w:t>
      </w:r>
      <w:r w:rsidR="0040471C" w:rsidRPr="00273106">
        <w:rPr>
          <w:i/>
        </w:rPr>
        <w:t>non possumus</w:t>
      </w:r>
      <w:r w:rsidR="0040471C">
        <w:t>“</w:t>
      </w:r>
      <w:r w:rsidR="0040471C" w:rsidRPr="00273106">
        <w:t xml:space="preserve"> </w:t>
      </w:r>
      <w:r w:rsidR="0040471C">
        <w:t xml:space="preserve">podává také </w:t>
      </w:r>
      <w:r w:rsidR="0040471C" w:rsidRPr="00273106">
        <w:t>Oxfordský rukopis, ale v závěru ji uplatňuje pouze na antické autory (</w:t>
      </w:r>
      <w:r w:rsidR="0040471C" w:rsidRPr="00273106">
        <w:rPr>
          <w:i/>
        </w:rPr>
        <w:t>aliqui antiqui secundum diversa appa</w:t>
      </w:r>
      <w:r w:rsidR="0040471C" w:rsidRPr="00273106">
        <w:rPr>
          <w:i/>
        </w:rPr>
        <w:softHyphen/>
        <w:t>rentia de anima dicunt ipsam esse diversa</w:t>
      </w:r>
      <w:r w:rsidR="0040471C">
        <w:t>;</w:t>
      </w:r>
      <w:r w:rsidR="0040471C" w:rsidRPr="00273106">
        <w:t xml:space="preserve"> O 1.7, p. 156.39‒40</w:t>
      </w:r>
      <w:r w:rsidR="0040471C">
        <w:fldChar w:fldCharType="begin"/>
      </w:r>
      <w:r w:rsidR="0040471C">
        <w:instrText xml:space="preserve"> XE "</w:instrText>
      </w:r>
      <w:r w:rsidR="0040471C" w:rsidRPr="006C4280">
        <w:rPr>
          <w:i/>
        </w:rPr>
        <w:instrText>Oxfordský</w:instrText>
      </w:r>
      <w:r w:rsidR="0040471C">
        <w:instrText xml:space="preserve"> </w:instrText>
      </w:r>
      <w:r w:rsidR="0040471C" w:rsidRPr="00F53B8E">
        <w:rPr>
          <w:i/>
        </w:rPr>
        <w:instrText>Anonym</w:instrText>
      </w:r>
      <w:r w:rsidR="0040471C">
        <w:instrText xml:space="preserve"> 156.39‒40" </w:instrText>
      </w:r>
      <w:r w:rsidR="0040471C">
        <w:fldChar w:fldCharType="end"/>
      </w:r>
      <w:r w:rsidR="0040471C" w:rsidRPr="00273106">
        <w:t xml:space="preserve">). </w:t>
      </w:r>
      <w:r w:rsidR="0040471C">
        <w:t xml:space="preserve">Je to pochopitelné, protože Aegidius udělal z Averroese averroistu. </w:t>
      </w:r>
      <w:r w:rsidR="0040471C" w:rsidRPr="00273106">
        <w:t>Naopak rukopis M ponechává fenomenologické tezi univerzální platnost a neomezuje ji na dávné spory (</w:t>
      </w:r>
      <w:r w:rsidR="0040471C" w:rsidRPr="00273106">
        <w:rPr>
          <w:i/>
        </w:rPr>
        <w:t>propter quod alii aliter et aliter dicebant de anima secundum quod de anima apparebant eis diversa</w:t>
      </w:r>
      <w:r w:rsidR="0040471C">
        <w:t>;</w:t>
      </w:r>
      <w:r w:rsidR="0040471C" w:rsidRPr="00273106">
        <w:t xml:space="preserve"> M 1.7, p. 156.35‒36</w:t>
      </w:r>
      <w:r w:rsidR="0040471C">
        <w:fldChar w:fldCharType="begin"/>
      </w:r>
      <w:r w:rsidR="0040471C">
        <w:instrText xml:space="preserve"> XE "</w:instrText>
      </w:r>
      <w:r w:rsidR="0040471C" w:rsidRPr="00F53B8E">
        <w:rPr>
          <w:i/>
        </w:rPr>
        <w:instrText>Mnichovský Anonym</w:instrText>
      </w:r>
      <w:r w:rsidR="0040471C">
        <w:instrText xml:space="preserve"> 156.35</w:instrText>
      </w:r>
      <w:r w:rsidR="0040471C" w:rsidRPr="00DE6CA6">
        <w:instrText>‒</w:instrText>
      </w:r>
      <w:r w:rsidR="0040471C">
        <w:instrText xml:space="preserve">36" </w:instrText>
      </w:r>
      <w:r w:rsidR="0040471C">
        <w:fldChar w:fldCharType="end"/>
      </w:r>
      <w:r w:rsidR="0040471C" w:rsidRPr="00273106">
        <w:t xml:space="preserve">). Rukopis M na rozdíl od bagatelizace v </w:t>
      </w:r>
      <w:proofErr w:type="gramStart"/>
      <w:r w:rsidR="0040471C" w:rsidRPr="00273106">
        <w:t>rukopise O dobře ví</w:t>
      </w:r>
      <w:proofErr w:type="gramEnd"/>
      <w:r w:rsidR="0040471C" w:rsidRPr="00273106">
        <w:t xml:space="preserve"> o zásadním významu této teze pro </w:t>
      </w:r>
      <w:r w:rsidR="0040471C">
        <w:t xml:space="preserve">vědecké </w:t>
      </w:r>
      <w:r w:rsidR="0040471C" w:rsidRPr="00273106">
        <w:t>poznání duše. A navíc ji rozšiřuje o opatrnou kritiku nemožnosti přímého poznání duše jako substance, i když tuto možnost připouští</w:t>
      </w:r>
      <w:r w:rsidR="0040471C">
        <w:t xml:space="preserve"> z hlediska komentáře DA I‒II. Poznání </w:t>
      </w:r>
      <w:r w:rsidR="0040471C" w:rsidRPr="00273106">
        <w:t xml:space="preserve">intelektu skrze </w:t>
      </w:r>
      <w:r w:rsidR="0040471C">
        <w:t xml:space="preserve">esenci jako formu měl Albert a zejména Akvinský ve </w:t>
      </w:r>
      <w:r w:rsidR="0040471C" w:rsidRPr="00273106">
        <w:t xml:space="preserve">spisech </w:t>
      </w:r>
      <w:r w:rsidR="0040471C">
        <w:t xml:space="preserve">psaných v Itálii. </w:t>
      </w:r>
      <w:r w:rsidR="0040471C" w:rsidRPr="00273106">
        <w:t xml:space="preserve">Citace ukazuje, že tato část rukopisu M </w:t>
      </w:r>
      <w:r w:rsidR="0040471C">
        <w:t xml:space="preserve">ve spojení v QIIIDA podává kompletní </w:t>
      </w:r>
      <w:r w:rsidR="0040471C" w:rsidRPr="00273106">
        <w:t>odpově</w:t>
      </w:r>
      <w:r w:rsidR="0040471C">
        <w:t xml:space="preserve">ď </w:t>
      </w:r>
      <w:r w:rsidR="0040471C" w:rsidRPr="00273106">
        <w:t>Sigera Akvinskému, jak to popsal Agostino Nifo</w:t>
      </w:r>
      <w:r w:rsidR="0040471C">
        <w:fldChar w:fldCharType="begin"/>
      </w:r>
      <w:r w:rsidR="0040471C">
        <w:instrText xml:space="preserve"> XE "</w:instrText>
      </w:r>
      <w:r w:rsidR="0040471C" w:rsidRPr="00386D4B">
        <w:instrText>Nifo, A.</w:instrText>
      </w:r>
      <w:r w:rsidR="0040471C">
        <w:instrText xml:space="preserve">" </w:instrText>
      </w:r>
      <w:r w:rsidR="0040471C">
        <w:fldChar w:fldCharType="end"/>
      </w:r>
      <w:r w:rsidR="0040471C" w:rsidRPr="00273106">
        <w:t>.</w:t>
      </w:r>
      <w:r w:rsidR="0040471C" w:rsidRPr="008A5DD9">
        <w:t xml:space="preserve"> </w:t>
      </w:r>
      <w:r w:rsidR="0040471C" w:rsidRPr="00273106">
        <w:t xml:space="preserve">Averroistický rukopis O </w:t>
      </w:r>
      <w:r w:rsidR="0040471C">
        <w:t xml:space="preserve">navíc </w:t>
      </w:r>
      <w:r w:rsidR="0040471C" w:rsidRPr="00273106">
        <w:t xml:space="preserve">přidal k vysvětlení magistra M vlastní pojetí aktuálního intelektu, které je avicennovské a </w:t>
      </w:r>
      <w:r w:rsidR="0040471C">
        <w:t xml:space="preserve">které zcela pochopitelně </w:t>
      </w:r>
      <w:proofErr w:type="gramStart"/>
      <w:r w:rsidR="0040471C" w:rsidRPr="00273106">
        <w:t>chybí</w:t>
      </w:r>
      <w:proofErr w:type="gramEnd"/>
      <w:r w:rsidR="0040471C" w:rsidRPr="00273106">
        <w:t xml:space="preserve"> v rukopisu M</w:t>
      </w:r>
      <w:r w:rsidR="0040471C">
        <w:t xml:space="preserve">. Mnichovský rukopis </w:t>
      </w:r>
      <w:r w:rsidR="0040471C" w:rsidRPr="00273106">
        <w:t>strik</w:t>
      </w:r>
      <w:r w:rsidR="0040471C">
        <w:t xml:space="preserve">tně </w:t>
      </w:r>
      <w:proofErr w:type="gramStart"/>
      <w:r w:rsidR="0040471C">
        <w:t>sleduje</w:t>
      </w:r>
      <w:proofErr w:type="gramEnd"/>
      <w:r w:rsidR="0040471C" w:rsidRPr="00273106">
        <w:t xml:space="preserve"> linii Aristotela </w:t>
      </w:r>
      <w:r w:rsidR="0040471C">
        <w:t xml:space="preserve">podaného </w:t>
      </w:r>
      <w:r w:rsidR="0040471C">
        <w:rPr>
          <w:i/>
        </w:rPr>
        <w:t>ad mentem Averrois</w:t>
      </w:r>
      <w:r w:rsidR="0040471C">
        <w:t xml:space="preserve"> podle Sicilské školy</w:t>
      </w:r>
      <w:r w:rsidR="0040471C" w:rsidRPr="00273106">
        <w:t>.</w:t>
      </w:r>
      <w:r w:rsidR="0040471C">
        <w:t xml:space="preserve"> </w:t>
      </w:r>
      <w:r w:rsidR="08163013">
        <w:t xml:space="preserve">Rukopis M byl redigován </w:t>
      </w:r>
      <w:r w:rsidR="006F081D">
        <w:t xml:space="preserve">na základě Sigerových přednášek, kdy komentoval </w:t>
      </w:r>
      <w:r w:rsidR="08163013">
        <w:t>kompletní kni</w:t>
      </w:r>
      <w:r w:rsidR="006F081D">
        <w:t>hu</w:t>
      </w:r>
      <w:r w:rsidR="08163013">
        <w:t xml:space="preserve"> </w:t>
      </w:r>
      <w:r w:rsidR="08163013" w:rsidRPr="00C83CD8">
        <w:rPr>
          <w:i/>
        </w:rPr>
        <w:t>De anima</w:t>
      </w:r>
      <w:r w:rsidR="08163013">
        <w:t xml:space="preserve"> a před druhým komentářem </w:t>
      </w:r>
      <w:r w:rsidR="08163013" w:rsidRPr="00273106">
        <w:rPr>
          <w:i/>
        </w:rPr>
        <w:t>De anima intellectiva</w:t>
      </w:r>
      <w:r w:rsidR="08163013">
        <w:t xml:space="preserve">. </w:t>
      </w:r>
      <w:r w:rsidR="006F081D">
        <w:t xml:space="preserve">Je málo pravděpodobné, že jde o </w:t>
      </w:r>
      <w:r w:rsidR="006F081D" w:rsidRPr="006F081D">
        <w:rPr>
          <w:i/>
        </w:rPr>
        <w:t>reportatio</w:t>
      </w:r>
      <w:r w:rsidR="006F081D">
        <w:t xml:space="preserve"> sep</w:t>
      </w:r>
      <w:r w:rsidR="00F90455">
        <w:t>sané jeho žáky. F</w:t>
      </w:r>
      <w:r w:rsidR="006F081D">
        <w:t xml:space="preserve">ormulace jsou velmi přesné a vždy postihují jádro daného problému s maximání </w:t>
      </w:r>
      <w:r w:rsidR="00AD1E77">
        <w:t>stručností a přesností.</w:t>
      </w:r>
      <w:r w:rsidR="00AB7DEF">
        <w:t xml:space="preserve"> Spojení mnichovského </w:t>
      </w:r>
      <w:r w:rsidR="00AB7DEF" w:rsidRPr="08233D82">
        <w:rPr>
          <w:i/>
        </w:rPr>
        <w:t>De anima</w:t>
      </w:r>
      <w:r w:rsidR="00AB7DEF">
        <w:t xml:space="preserve"> I‒II se Sigerovým QIIIDA ukazuje celek Sigerovy polemiky s </w:t>
      </w:r>
      <w:proofErr w:type="gramStart"/>
      <w:r w:rsidR="00AB7DEF">
        <w:t>Akvinským</w:t>
      </w:r>
      <w:proofErr w:type="gramEnd"/>
      <w:r w:rsidR="00AB7DEF">
        <w:t xml:space="preserve"> a Albertem do roku 1270. Tento celkový komentář Sigera k </w:t>
      </w:r>
      <w:proofErr w:type="gramStart"/>
      <w:r w:rsidR="00AB7DEF" w:rsidRPr="08670386">
        <w:rPr>
          <w:i/>
        </w:rPr>
        <w:t>De</w:t>
      </w:r>
      <w:proofErr w:type="gramEnd"/>
      <w:r w:rsidR="00AB7DEF" w:rsidRPr="08670386">
        <w:rPr>
          <w:i/>
        </w:rPr>
        <w:t xml:space="preserve"> anima</w:t>
      </w:r>
      <w:r w:rsidR="00AB7DEF">
        <w:t xml:space="preserve"> jistě znal Akvinský před svým druhým příjezdem do Paříže, protože na něj reagoval v</w:t>
      </w:r>
      <w:r w:rsidR="00AB7DEF" w:rsidRPr="08670386">
        <w:rPr>
          <w:i/>
        </w:rPr>
        <w:t xml:space="preserve"> </w:t>
      </w:r>
      <w:r w:rsidR="00AB7DEF" w:rsidRPr="08670386">
        <w:t>díle</w:t>
      </w:r>
      <w:r w:rsidR="00AB7DEF">
        <w:rPr>
          <w:i/>
        </w:rPr>
        <w:t xml:space="preserve"> </w:t>
      </w:r>
      <w:r w:rsidR="00AB7DEF" w:rsidRPr="0872260E">
        <w:rPr>
          <w:i/>
        </w:rPr>
        <w:t>De unitate intellectus</w:t>
      </w:r>
      <w:r w:rsidR="00AB7DEF">
        <w:t xml:space="preserve">. </w:t>
      </w:r>
      <w:r w:rsidR="005C3D10" w:rsidRPr="005C3D10">
        <w:t xml:space="preserve">Mnichovský rukopis by měl být veden odděleně a datován před rok 1270. Jeho modernistická oxfordská verze mohla vzniknout později, neboť se jedná o </w:t>
      </w:r>
      <w:r w:rsidR="005C3D10">
        <w:t xml:space="preserve">semiaverroistický </w:t>
      </w:r>
      <w:r w:rsidR="005C3D10" w:rsidRPr="005C3D10">
        <w:t>komentář k rukopisu M. V každém případě stav diskusí o jednotě osoby a</w:t>
      </w:r>
      <w:r w:rsidR="005C3D10">
        <w:t xml:space="preserve"> intelektu odpovídá situaci na P</w:t>
      </w:r>
      <w:r w:rsidR="005C3D10" w:rsidRPr="005C3D10">
        <w:t>ařížské univerzitě před rokem 1270.</w:t>
      </w:r>
    </w:p>
    <w:p w:rsidR="08163013" w:rsidRPr="009C0D23" w:rsidRDefault="005C3D10" w:rsidP="005C3D10">
      <w:pPr>
        <w:ind w:firstLine="397"/>
      </w:pPr>
      <w:r>
        <w:lastRenderedPageBreak/>
        <w:t>J</w:t>
      </w:r>
      <w:r w:rsidR="08163013">
        <w:t xml:space="preserve">e pochopitelné, že </w:t>
      </w:r>
      <w:r>
        <w:t xml:space="preserve">modernistický anonym z Oxfordu nemohl přijat </w:t>
      </w:r>
      <w:r w:rsidR="08163013">
        <w:t>Sigerovu l</w:t>
      </w:r>
      <w:r>
        <w:t xml:space="preserve">inii výkladu. </w:t>
      </w:r>
      <w:r w:rsidR="08163013" w:rsidRPr="00273106">
        <w:t xml:space="preserve">Autor oxfordského manuskriptu </w:t>
      </w:r>
      <w:r w:rsidR="08163013">
        <w:t xml:space="preserve">dosud </w:t>
      </w:r>
      <w:r w:rsidR="08163013" w:rsidRPr="00273106">
        <w:t xml:space="preserve">lavíroval mezi prvním a druhým averorismem. Protože </w:t>
      </w:r>
      <w:proofErr w:type="gramStart"/>
      <w:r w:rsidR="08163013" w:rsidRPr="00273106">
        <w:t>rukopis O přijal</w:t>
      </w:r>
      <w:proofErr w:type="gramEnd"/>
      <w:r w:rsidR="08163013" w:rsidRPr="00273106">
        <w:t xml:space="preserve"> linii nasvícení jsoucna zezadu, </w:t>
      </w:r>
      <w:r w:rsidR="08163013">
        <w:t xml:space="preserve">nutně </w:t>
      </w:r>
      <w:r w:rsidR="08163013" w:rsidRPr="00273106">
        <w:t xml:space="preserve">skončí ve druhém averroismu a v jeho specifickém pojetí pravdy jako </w:t>
      </w:r>
      <w:r w:rsidR="08163013" w:rsidRPr="00273106">
        <w:rPr>
          <w:i/>
        </w:rPr>
        <w:t>rectitudo</w:t>
      </w:r>
      <w:r w:rsidR="08163013" w:rsidRPr="00273106">
        <w:t xml:space="preserve">. </w:t>
      </w:r>
      <w:proofErr w:type="gramStart"/>
      <w:r w:rsidR="08163013" w:rsidRPr="00273106">
        <w:t>Rukopis O mění</w:t>
      </w:r>
      <w:proofErr w:type="gramEnd"/>
      <w:r w:rsidR="08163013" w:rsidRPr="00273106">
        <w:t xml:space="preserve"> pojetí pravdy a smyslu jsoucna z prvního averroismu daného rukopisem M na druhý averroismus. Autor není </w:t>
      </w:r>
      <w:r w:rsidR="08163013">
        <w:t xml:space="preserve">objektivní </w:t>
      </w:r>
      <w:r w:rsidR="00547BBA">
        <w:t xml:space="preserve">averroista a odmítá </w:t>
      </w:r>
      <w:r w:rsidR="08163013" w:rsidRPr="00273106">
        <w:t xml:space="preserve">přímý náhled forem daných </w:t>
      </w:r>
      <w:r w:rsidR="08163013" w:rsidRPr="00273106">
        <w:rPr>
          <w:i/>
        </w:rPr>
        <w:t>obiective</w:t>
      </w:r>
      <w:r w:rsidR="08163013" w:rsidRPr="00273106">
        <w:t xml:space="preserve"> od boží mysli, jako to měli </w:t>
      </w:r>
      <w:r w:rsidR="08163013">
        <w:t xml:space="preserve">Bonaventura, Pecham </w:t>
      </w:r>
      <w:r w:rsidR="08163013" w:rsidRPr="00273106">
        <w:t xml:space="preserve">a Kilwardby. </w:t>
      </w:r>
      <w:r w:rsidR="08163013">
        <w:t xml:space="preserve">Následující </w:t>
      </w:r>
      <w:r w:rsidR="00547BBA">
        <w:t xml:space="preserve">sekce </w:t>
      </w:r>
      <w:r w:rsidR="08163013">
        <w:t xml:space="preserve">shrnuje </w:t>
      </w:r>
      <w:r w:rsidR="08163013" w:rsidRPr="00273106">
        <w:t>semiaverroistické pojetí smyslu jsoucna</w:t>
      </w:r>
      <w:r w:rsidR="08163013">
        <w:t xml:space="preserve"> dané podle </w:t>
      </w:r>
      <w:r w:rsidR="08163013" w:rsidRPr="004D161F">
        <w:rPr>
          <w:i/>
        </w:rPr>
        <w:t>Oxfordian Fallacy</w:t>
      </w:r>
      <w:r w:rsidR="08163013">
        <w:rPr>
          <w:i/>
        </w:rPr>
        <w:fldChar w:fldCharType="begin"/>
      </w:r>
      <w:r w:rsidR="08163013">
        <w:instrText xml:space="preserve"> XE "semiaverroismus" </w:instrText>
      </w:r>
      <w:r w:rsidR="08163013">
        <w:rPr>
          <w:i/>
        </w:rPr>
        <w:fldChar w:fldCharType="end"/>
      </w:r>
      <w:r w:rsidR="08163013">
        <w:t xml:space="preserve"> a pozdějšího kartezianismu</w:t>
      </w:r>
      <w:r w:rsidR="000D7EC5">
        <w:t xml:space="preserve">. </w:t>
      </w:r>
      <w:r w:rsidR="00D628F0">
        <w:t xml:space="preserve">Rozdíl v metafyzickém vidění světa </w:t>
      </w:r>
      <w:r w:rsidR="08163013" w:rsidRPr="00273106">
        <w:t>zásadně odděluj</w:t>
      </w:r>
      <w:r w:rsidR="00D628F0">
        <w:t>e</w:t>
      </w:r>
      <w:r w:rsidR="08163013" w:rsidRPr="00273106">
        <w:t xml:space="preserve"> oba rukopisy.</w:t>
      </w:r>
      <w:r w:rsidR="08163013">
        <w:t xml:space="preserve"> Klíčový je způsob, jak semiaverroismus rozumí větě </w:t>
      </w:r>
      <w:r w:rsidR="003626C9">
        <w:t>„</w:t>
      </w:r>
      <w:r w:rsidR="08163013" w:rsidRPr="009C0D23">
        <w:rPr>
          <w:i/>
        </w:rPr>
        <w:t>intellectus facit universalitatem in rebus</w:t>
      </w:r>
      <w:r w:rsidR="003626C9">
        <w:t>“</w:t>
      </w:r>
      <w:r w:rsidR="08163013" w:rsidRPr="009C0D23">
        <w:t>.</w:t>
      </w:r>
      <w:r w:rsidR="08163013">
        <w:t xml:space="preserve"> Autor </w:t>
      </w:r>
      <w:proofErr w:type="gramStart"/>
      <w:r w:rsidR="08163013">
        <w:t>spisu O sice odmítá</w:t>
      </w:r>
      <w:proofErr w:type="gramEnd"/>
      <w:r w:rsidR="08163013">
        <w:t xml:space="preserve"> univerzália ve věcech</w:t>
      </w:r>
      <w:r w:rsidR="009653F7">
        <w:t>. A</w:t>
      </w:r>
      <w:r w:rsidR="08163013">
        <w:t>le má avicennovské a karteziánské pojetí intelektu jako aktivního subjektu</w:t>
      </w:r>
      <w:r w:rsidR="08163013" w:rsidRPr="00A603CA">
        <w:t xml:space="preserve"> </w:t>
      </w:r>
      <w:r w:rsidR="08163013">
        <w:t xml:space="preserve">v podobě porretánské hypostáze, která v sobě nese první principy poznání dané </w:t>
      </w:r>
      <w:r w:rsidR="08163013" w:rsidRPr="005474AB">
        <w:rPr>
          <w:i/>
        </w:rPr>
        <w:t xml:space="preserve">per </w:t>
      </w:r>
      <w:proofErr w:type="gramStart"/>
      <w:r w:rsidR="08163013" w:rsidRPr="005474AB">
        <w:rPr>
          <w:i/>
        </w:rPr>
        <w:t>se</w:t>
      </w:r>
      <w:proofErr w:type="gramEnd"/>
      <w:r w:rsidR="08163013">
        <w:t xml:space="preserve">. Dualismus je mezi smyslovým a intelektuálním poznáním je </w:t>
      </w:r>
      <w:r w:rsidR="009653F7">
        <w:t xml:space="preserve">pak </w:t>
      </w:r>
      <w:r w:rsidR="08163013">
        <w:t>nevyhnutelný (</w:t>
      </w:r>
      <w:r w:rsidR="08163013" w:rsidRPr="080509DB">
        <w:rPr>
          <w:i/>
        </w:rPr>
        <w:t>universale in potentia existit in phantasmate, quod non potest movere intellectum</w:t>
      </w:r>
      <w:r w:rsidR="08163013">
        <w:t xml:space="preserve">, O 1.10, p. 170.83‒84). Pro Sigera jako autora spisu M je toto tvrzení dvojnásobný nesmysl. Universália nejsou ve věcech ani v potenci a poznání zcela samozřejmě spojuje smysly a intelekt, jinak by se osoba rozpadla </w:t>
      </w:r>
      <w:r w:rsidR="00B10356">
        <w:t xml:space="preserve">na dvě nesouměřitelné hypostáze, </w:t>
      </w:r>
      <w:r w:rsidR="00AB0D39">
        <w:t xml:space="preserve">jako to má sofistická moderna. </w:t>
      </w:r>
      <w:r w:rsidR="08163013">
        <w:t xml:space="preserve">Autor </w:t>
      </w:r>
      <w:proofErr w:type="gramStart"/>
      <w:r w:rsidR="08163013">
        <w:t>rukopisu O nemůže</w:t>
      </w:r>
      <w:proofErr w:type="gramEnd"/>
      <w:r w:rsidR="08163013">
        <w:t xml:space="preserve"> obě roviny poznání nijak spojit, viz jeho přiznání této nemohoucnosti uvedené výše. Proto hypostázovaný intelekt </w:t>
      </w:r>
      <w:proofErr w:type="gramStart"/>
      <w:r w:rsidR="08163013">
        <w:t>rukopisu O produkuje</w:t>
      </w:r>
      <w:proofErr w:type="gramEnd"/>
      <w:r w:rsidR="08163013">
        <w:t xml:space="preserve"> aktuální </w:t>
      </w:r>
      <w:r w:rsidR="08163013" w:rsidRPr="0030275D">
        <w:rPr>
          <w:i/>
        </w:rPr>
        <w:t>scibile</w:t>
      </w:r>
      <w:r w:rsidR="08163013">
        <w:rPr>
          <w:i/>
        </w:rPr>
        <w:fldChar w:fldCharType="begin"/>
      </w:r>
      <w:r w:rsidR="08163013">
        <w:instrText xml:space="preserve"> XE "</w:instrText>
      </w:r>
      <w:r w:rsidR="08163013" w:rsidRPr="00AA4F67">
        <w:rPr>
          <w:i/>
        </w:rPr>
        <w:instrText>scibile</w:instrText>
      </w:r>
      <w:r w:rsidR="08163013">
        <w:rPr>
          <w:i/>
        </w:rPr>
        <w:instrText>:</w:instrText>
      </w:r>
      <w:r w:rsidR="08163013" w:rsidRPr="007341A1">
        <w:instrText>semiaverroismus</w:instrText>
      </w:r>
      <w:r w:rsidR="08163013">
        <w:instrText xml:space="preserve">" </w:instrText>
      </w:r>
      <w:r w:rsidR="08163013">
        <w:rPr>
          <w:i/>
        </w:rPr>
        <w:fldChar w:fldCharType="end"/>
      </w:r>
      <w:r w:rsidR="08163013">
        <w:t xml:space="preserve"> sám ze sebe a mimo první substanci, což je typický znak modernistů.</w:t>
      </w:r>
    </w:p>
    <w:p w:rsidR="08163013" w:rsidRPr="0030275D" w:rsidRDefault="08163013" w:rsidP="08380682">
      <w:pPr>
        <w:pStyle w:val="Citace"/>
      </w:pPr>
      <w:r w:rsidRPr="0030275D">
        <w:t xml:space="preserve">„Je třeba si uvědomit, že </w:t>
      </w:r>
      <w:r>
        <w:t>[</w:t>
      </w:r>
      <w:r>
        <w:rPr>
          <w:lang w:val="cs-CZ"/>
        </w:rPr>
        <w:t xml:space="preserve">porozumění] někdy </w:t>
      </w:r>
      <w:r w:rsidRPr="0030275D">
        <w:t>jedná skrze prostředníka jako skrze nástroj. Tak jedná aktivní intelekt skrze</w:t>
      </w:r>
      <w:r>
        <w:rPr>
          <w:lang w:val="cs-CZ"/>
        </w:rPr>
        <w:t xml:space="preserve"> možný intelekt</w:t>
      </w:r>
      <w:r w:rsidRPr="0030275D">
        <w:t xml:space="preserve">, a to skrze nástroj prvních principů poznání </w:t>
      </w:r>
      <w:r w:rsidRPr="08380682">
        <w:t>(</w:t>
      </w:r>
      <w:r w:rsidRPr="08FA6752">
        <w:rPr>
          <w:i/>
        </w:rPr>
        <w:t>agit enim intellectus agens in possibilem per principia prima</w:t>
      </w:r>
      <w:r w:rsidRPr="08380682">
        <w:t xml:space="preserve">). </w:t>
      </w:r>
      <w:r w:rsidRPr="0030275D">
        <w:t>Proto způsobuje závěry v možném inte</w:t>
      </w:r>
      <w:r>
        <w:t>lektu skrze první principy</w:t>
      </w:r>
      <w:r>
        <w:rPr>
          <w:lang w:val="cs-CZ"/>
        </w:rPr>
        <w:t xml:space="preserve"> a </w:t>
      </w:r>
      <w:r w:rsidRPr="0030275D">
        <w:t xml:space="preserve">první principy v něm </w:t>
      </w:r>
      <w:r>
        <w:rPr>
          <w:lang w:val="cs-CZ"/>
        </w:rPr>
        <w:t xml:space="preserve">působí </w:t>
      </w:r>
      <w:r w:rsidRPr="0030275D">
        <w:t>bez prostředníka (</w:t>
      </w:r>
      <w:r w:rsidRPr="08380682">
        <w:rPr>
          <w:i/>
        </w:rPr>
        <w:t>prima</w:t>
      </w:r>
      <w:r w:rsidRPr="0030275D">
        <w:t xml:space="preserve"> </w:t>
      </w:r>
      <w:r w:rsidRPr="08380682">
        <w:rPr>
          <w:rStyle w:val="CitaceChar"/>
          <w:i/>
        </w:rPr>
        <w:t>principia agit in ipsum sine medio</w:t>
      </w:r>
      <w:r w:rsidRPr="0030275D">
        <w:t xml:space="preserve">). Intelekt se zaměřuje na věc a na podstatu věci, které jsou mulitiplikovány v jednotlivinách. Jednotliviny se však vztahují k intelektu pouze v akcidentálním modu,  protože přirozenost </w:t>
      </w:r>
      <w:r>
        <w:rPr>
          <w:lang w:val="cs-CZ"/>
        </w:rPr>
        <w:t xml:space="preserve">věcí </w:t>
      </w:r>
      <w:r>
        <w:t xml:space="preserve">je uchopena tím, co je </w:t>
      </w:r>
      <w:r>
        <w:rPr>
          <w:lang w:val="cs-CZ"/>
        </w:rPr>
        <w:t xml:space="preserve">dáno v </w:t>
      </w:r>
      <w:r>
        <w:t>intelekt</w:t>
      </w:r>
      <w:r>
        <w:rPr>
          <w:lang w:val="cs-CZ"/>
        </w:rPr>
        <w:t>u</w:t>
      </w:r>
      <w:r w:rsidRPr="0030275D">
        <w:t>. Proto je pravdivé tvrzení, že intelekt způsobuje univerzália ve věcech (</w:t>
      </w:r>
      <w:r w:rsidRPr="08380682">
        <w:rPr>
          <w:rStyle w:val="CitaceChar"/>
          <w:i/>
        </w:rPr>
        <w:t>intellectus facit universalitatem in rebus</w:t>
      </w:r>
      <w:r w:rsidRPr="0030275D">
        <w:t>) a to doslova</w:t>
      </w:r>
      <w:r>
        <w:rPr>
          <w:lang w:val="cs-CZ"/>
        </w:rPr>
        <w:t xml:space="preserve"> (</w:t>
      </w:r>
      <w:r w:rsidRPr="08380682">
        <w:rPr>
          <w:i/>
        </w:rPr>
        <w:t>verbi gratia</w:t>
      </w:r>
      <w:r>
        <w:rPr>
          <w:lang w:val="cs-CZ"/>
        </w:rPr>
        <w:t>)</w:t>
      </w:r>
      <w:r w:rsidRPr="0030275D">
        <w:t>. Vědění se odkazuje na to, co je poznatelné (</w:t>
      </w:r>
      <w:r w:rsidRPr="083F77F4">
        <w:rPr>
          <w:i/>
        </w:rPr>
        <w:t>scientia refertur ad scibile</w:t>
      </w:r>
      <w:r w:rsidRPr="0030275D">
        <w:t xml:space="preserve">). Jestliže něco produkuje poznání z hlediska </w:t>
      </w:r>
      <w:r>
        <w:rPr>
          <w:lang w:val="cs-CZ"/>
        </w:rPr>
        <w:t xml:space="preserve">definice </w:t>
      </w:r>
      <w:r w:rsidRPr="0030275D">
        <w:t>vědění (</w:t>
      </w:r>
      <w:r w:rsidRPr="08380682">
        <w:rPr>
          <w:rStyle w:val="CitaceChar"/>
          <w:i/>
        </w:rPr>
        <w:t>scientiam sub ratione scientiae</w:t>
      </w:r>
      <w:r w:rsidRPr="0030275D">
        <w:t xml:space="preserve">), pak produkuje </w:t>
      </w:r>
      <w:r>
        <w:rPr>
          <w:lang w:val="cs-CZ"/>
        </w:rPr>
        <w:t xml:space="preserve">také </w:t>
      </w:r>
      <w:r w:rsidRPr="0030275D">
        <w:t>aktuální poznatek (</w:t>
      </w:r>
      <w:r w:rsidRPr="08FA6752">
        <w:rPr>
          <w:i/>
        </w:rPr>
        <w:t>scibile in actu</w:t>
      </w:r>
      <w:r w:rsidRPr="0030275D">
        <w:t xml:space="preserve">).“ </w:t>
      </w:r>
      <w:r w:rsidRPr="0030275D">
        <w:rPr>
          <w:rStyle w:val="Znakapoznpodarou"/>
        </w:rPr>
        <w:footnoteReference w:id="138"/>
      </w:r>
    </w:p>
    <w:p w:rsidR="00626A82" w:rsidRDefault="08163013" w:rsidP="08163013">
      <w:r w:rsidRPr="00273106">
        <w:lastRenderedPageBreak/>
        <w:t xml:space="preserve">Proces poznání běží skrze mediaci </w:t>
      </w:r>
      <w:r>
        <w:t xml:space="preserve">abstrahovaných forem, které hypostázovaný činný intelekt používá jako nástroj </w:t>
      </w:r>
      <w:r w:rsidRPr="00273106">
        <w:t>(</w:t>
      </w:r>
      <w:r w:rsidRPr="00273106">
        <w:rPr>
          <w:i/>
        </w:rPr>
        <w:t>per medium ut per instrumentum</w:t>
      </w:r>
      <w:r w:rsidRPr="00273106">
        <w:t xml:space="preserve">). </w:t>
      </w:r>
      <w:r w:rsidR="002D061A" w:rsidRPr="002D061A">
        <w:t>To znamená, že moderní intelekt v rukop</w:t>
      </w:r>
      <w:r w:rsidR="0099213B">
        <w:t xml:space="preserve">ise O </w:t>
      </w:r>
      <w:proofErr w:type="gramStart"/>
      <w:r w:rsidR="0099213B">
        <w:t>se</w:t>
      </w:r>
      <w:proofErr w:type="gramEnd"/>
      <w:r w:rsidR="0099213B">
        <w:t xml:space="preserve"> může aktualizovat sám v</w:t>
      </w:r>
      <w:r w:rsidR="002D061A" w:rsidRPr="002D061A">
        <w:t xml:space="preserve"> sobě, nikoliv prostřednictvím kognitivních forem pocházejících ze </w:t>
      </w:r>
      <w:r w:rsidR="002D061A" w:rsidRPr="002D061A">
        <w:rPr>
          <w:i/>
        </w:rPr>
        <w:t xml:space="preserve">species sensibilis </w:t>
      </w:r>
      <w:r w:rsidR="002D061A" w:rsidRPr="002D061A">
        <w:t>a</w:t>
      </w:r>
      <w:r w:rsidR="002D061A" w:rsidRPr="002D061A">
        <w:rPr>
          <w:i/>
        </w:rPr>
        <w:t xml:space="preserve"> intelligibilis</w:t>
      </w:r>
      <w:r w:rsidR="002D061A" w:rsidRPr="002D061A">
        <w:t xml:space="preserve">. Používá je jako nástroj, nikoli jako zdroj poznání. </w:t>
      </w:r>
      <w:r>
        <w:t>A</w:t>
      </w:r>
      <w:r w:rsidRPr="00273106">
        <w:t xml:space="preserve">ktualita činného intelektu je dána </w:t>
      </w:r>
      <w:r w:rsidRPr="00273106">
        <w:rPr>
          <w:i/>
        </w:rPr>
        <w:t>per se</w:t>
      </w:r>
      <w:r w:rsidRPr="00273106">
        <w:t>, protože generaci poznatků zajišťují vrozené první principy (</w:t>
      </w:r>
      <w:r w:rsidRPr="00273106">
        <w:rPr>
          <w:i/>
        </w:rPr>
        <w:t>agit enim intellectus agens in possibilem per principia prima</w:t>
      </w:r>
      <w:r w:rsidRPr="00273106">
        <w:t xml:space="preserve">). </w:t>
      </w:r>
      <w:r>
        <w:t>T</w:t>
      </w:r>
      <w:r w:rsidRPr="00273106">
        <w:t>yto principy z</w:t>
      </w:r>
      <w:r>
        <w:t>ajišťují poznání přímo</w:t>
      </w:r>
      <w:r w:rsidR="00990FB7">
        <w:t>,</w:t>
      </w:r>
      <w:r>
        <w:t xml:space="preserve"> </w:t>
      </w:r>
      <w:r w:rsidRPr="00273106">
        <w:t xml:space="preserve">skrze aktualitu </w:t>
      </w:r>
      <w:r>
        <w:t xml:space="preserve">intelektu </w:t>
      </w:r>
      <w:r w:rsidRPr="00273106">
        <w:t>(</w:t>
      </w:r>
      <w:r w:rsidRPr="00273106">
        <w:rPr>
          <w:i/>
        </w:rPr>
        <w:t>prima principia agit in ipsum sine medio</w:t>
      </w:r>
      <w:r w:rsidRPr="00273106">
        <w:t>).</w:t>
      </w:r>
      <w:r>
        <w:t xml:space="preserve"> Intelekt moderny </w:t>
      </w:r>
      <w:r w:rsidRPr="00273106">
        <w:t xml:space="preserve">produkuje univerzalitu ve věcech </w:t>
      </w:r>
      <w:r>
        <w:t>d</w:t>
      </w:r>
      <w:r w:rsidRPr="00273106">
        <w:t>íky vlastní aktualitě (</w:t>
      </w:r>
      <w:r w:rsidRPr="00273106">
        <w:rPr>
          <w:i/>
        </w:rPr>
        <w:t>verum est dicere quod intellectus facit universalitatem in rebus</w:t>
      </w:r>
      <w:r w:rsidRPr="00273106">
        <w:t xml:space="preserve">). </w:t>
      </w:r>
      <w:r>
        <w:t xml:space="preserve">Citace </w:t>
      </w:r>
      <w:r w:rsidRPr="004D0DBE">
        <w:t xml:space="preserve">ukazuje </w:t>
      </w:r>
      <w:r>
        <w:t xml:space="preserve">avicennistické </w:t>
      </w:r>
      <w:r w:rsidRPr="004D0DBE">
        <w:t xml:space="preserve">pojetí vrozených prvních principů, které </w:t>
      </w:r>
      <w:r>
        <w:t xml:space="preserve">jsou </w:t>
      </w:r>
      <w:r w:rsidRPr="004D0DBE">
        <w:t>v duši a v intelektu trvale aktuální</w:t>
      </w:r>
      <w:r>
        <w:t>.</w:t>
      </w:r>
      <w:r w:rsidRPr="00273106">
        <w:rPr>
          <w:rStyle w:val="Znakapoznpodarou"/>
        </w:rPr>
        <w:footnoteReference w:id="139"/>
      </w:r>
      <w:r w:rsidRPr="00273106">
        <w:t xml:space="preserve"> Tím je otočeno nasvícení smyslu jsoucna od věci k intelektu a začíná typicky nominalistická část poznání </w:t>
      </w:r>
      <w:r w:rsidRPr="00273106">
        <w:rPr>
          <w:i/>
        </w:rPr>
        <w:t>Modernorum</w:t>
      </w:r>
      <w:r w:rsidRPr="00273106">
        <w:t xml:space="preserve">. Autor </w:t>
      </w:r>
      <w:proofErr w:type="gramStart"/>
      <w:r>
        <w:t>rukopisu O zapomn</w:t>
      </w:r>
      <w:r w:rsidRPr="00273106">
        <w:t>ěl</w:t>
      </w:r>
      <w:proofErr w:type="gramEnd"/>
      <w:r w:rsidRPr="00273106">
        <w:t xml:space="preserve"> na předešlé teze o neexistenci univerzálií v jednotlivinách a už je vidí přímo ve věcech (</w:t>
      </w:r>
      <w:r w:rsidRPr="00273106">
        <w:rPr>
          <w:i/>
        </w:rPr>
        <w:t>intellectus refertur ad rem et naturam rei</w:t>
      </w:r>
      <w:r w:rsidRPr="00273106">
        <w:t>). Intelekt do věcí vkládá je</w:t>
      </w:r>
      <w:r>
        <w:t xml:space="preserve">jich esencialitu nebo ji odtud porretánsky dedukuje </w:t>
      </w:r>
      <w:r w:rsidRPr="00273106">
        <w:t>(</w:t>
      </w:r>
      <w:r w:rsidRPr="00273106">
        <w:rPr>
          <w:i/>
        </w:rPr>
        <w:t>exsistit</w:t>
      </w:r>
      <w:r>
        <w:rPr>
          <w:i/>
        </w:rPr>
        <w:fldChar w:fldCharType="begin"/>
      </w:r>
      <w:r>
        <w:instrText xml:space="preserve"> XE "</w:instrText>
      </w:r>
      <w:r w:rsidRPr="000055EF">
        <w:rPr>
          <w:i/>
        </w:rPr>
        <w:instrText>exsistere</w:instrText>
      </w:r>
      <w:r>
        <w:instrText xml:space="preserve">" </w:instrText>
      </w:r>
      <w:r>
        <w:rPr>
          <w:i/>
        </w:rPr>
        <w:fldChar w:fldCharType="end"/>
      </w:r>
      <w:r w:rsidRPr="00273106">
        <w:t>) pomocí moderně založené existence v objektivním modu jsoucna (</w:t>
      </w:r>
      <w:r w:rsidRPr="00273106">
        <w:rPr>
          <w:i/>
        </w:rPr>
        <w:t>quae sunt multiplicata in particularibus</w:t>
      </w:r>
      <w:r w:rsidRPr="00273106">
        <w:t xml:space="preserve">). Autor přitom sofisticky tvrdí, že toto poznání je autenticky aristotelské, protože pořád běží v akcidentálním modu. Jenže už ne vůči první substanci, ale vůči esenci dané v jednotlivinách </w:t>
      </w:r>
      <w:r>
        <w:t xml:space="preserve">jen </w:t>
      </w:r>
      <w:r w:rsidRPr="00273106">
        <w:t>kontingentně (</w:t>
      </w:r>
      <w:r w:rsidRPr="00273106">
        <w:rPr>
          <w:i/>
        </w:rPr>
        <w:t>particularia autem referuntur ad intellectum per accidens</w:t>
      </w:r>
      <w:r w:rsidRPr="00273106">
        <w:t>). Aktuální intelekt poznává sám sebe a zbytek</w:t>
      </w:r>
      <w:r>
        <w:t xml:space="preserve"> světa</w:t>
      </w:r>
      <w:r w:rsidRPr="00273106">
        <w:t xml:space="preserve"> jen skrze sebe (</w:t>
      </w:r>
      <w:r w:rsidRPr="00273106">
        <w:rPr>
          <w:i/>
        </w:rPr>
        <w:t>natura illorum est intellecta per aliquid quod est in intellectu</w:t>
      </w:r>
      <w:r w:rsidRPr="00273106">
        <w:t xml:space="preserve">). Autor spadl do pasti odmítnuté v rukopisu M, který zásadně odmítá jakékoliv obcházení první substance dané reálně. Viz citovaný výrok ohledně </w:t>
      </w:r>
      <w:r>
        <w:t>Quidamů, kteří obcházejí principy poznání dané jedině v první substanci (</w:t>
      </w:r>
      <w:r w:rsidRPr="00273106">
        <w:rPr>
          <w:i/>
        </w:rPr>
        <w:t>circumscribens principia individuantia</w:t>
      </w:r>
      <w:r>
        <w:t>)</w:t>
      </w:r>
      <w:r w:rsidRPr="00273106">
        <w:t>.</w:t>
      </w:r>
      <w:r>
        <w:t xml:space="preserve"> Jakmile </w:t>
      </w:r>
      <w:r w:rsidRPr="00273106">
        <w:t xml:space="preserve">je ovšem mimoběžnost rozumu a reality </w:t>
      </w:r>
      <w:r>
        <w:t xml:space="preserve">akademicky nastolena, pak pro moderní a postmoderní sofisty </w:t>
      </w:r>
      <w:r w:rsidRPr="00273106">
        <w:t>není problém</w:t>
      </w:r>
      <w:r>
        <w:t xml:space="preserve"> vidět v realitě i to, co neexistuje</w:t>
      </w:r>
      <w:r w:rsidRPr="00273106">
        <w:t xml:space="preserve">. </w:t>
      </w:r>
      <w:r>
        <w:t xml:space="preserve">Pravda hájená </w:t>
      </w:r>
      <w:proofErr w:type="gramStart"/>
      <w:r>
        <w:t>rukopisem O není</w:t>
      </w:r>
      <w:proofErr w:type="gramEnd"/>
      <w:r>
        <w:t xml:space="preserve"> adekvace</w:t>
      </w:r>
      <w:r w:rsidRPr="00273106">
        <w:t xml:space="preserve"> </w:t>
      </w:r>
      <w:r>
        <w:t xml:space="preserve">reálné </w:t>
      </w:r>
      <w:r w:rsidRPr="00273106">
        <w:lastRenderedPageBreak/>
        <w:t>věci a jejího poznání, a</w:t>
      </w:r>
      <w:r>
        <w:t>le koincidence</w:t>
      </w:r>
      <w:r w:rsidRPr="00273106">
        <w:t xml:space="preserve"> trvalé esence a jejího kontingentního výs</w:t>
      </w:r>
      <w:r>
        <w:t xml:space="preserve">kytu v realitě. Poznání </w:t>
      </w:r>
      <w:proofErr w:type="gramStart"/>
      <w:r>
        <w:t>rukopisu O porovnává</w:t>
      </w:r>
      <w:proofErr w:type="gramEnd"/>
      <w:r>
        <w:t xml:space="preserve"> </w:t>
      </w:r>
      <w:r w:rsidR="00962190">
        <w:rPr>
          <w:i/>
        </w:rPr>
        <w:t>species</w:t>
      </w:r>
      <w:r>
        <w:t xml:space="preserve"> ve věcech a v intelektu v porretánském modu </w:t>
      </w:r>
      <w:r w:rsidRPr="00B95A29">
        <w:rPr>
          <w:i/>
        </w:rPr>
        <w:t>exsistere</w:t>
      </w:r>
      <w:r>
        <w:rPr>
          <w:i/>
        </w:rPr>
        <w:fldChar w:fldCharType="begin"/>
      </w:r>
      <w:r>
        <w:instrText xml:space="preserve"> XE "</w:instrText>
      </w:r>
      <w:r w:rsidRPr="008E07A9">
        <w:rPr>
          <w:i/>
        </w:rPr>
        <w:instrText>exsistere</w:instrText>
      </w:r>
      <w:r>
        <w:instrText xml:space="preserve">" </w:instrText>
      </w:r>
      <w:r>
        <w:rPr>
          <w:i/>
        </w:rPr>
        <w:fldChar w:fldCharType="end"/>
      </w:r>
      <w:r w:rsidRPr="00273106">
        <w:t xml:space="preserve"> a obešlo </w:t>
      </w:r>
      <w:r>
        <w:t xml:space="preserve">primární </w:t>
      </w:r>
      <w:r w:rsidRPr="00273106">
        <w:t xml:space="preserve">adekvaci </w:t>
      </w:r>
      <w:r>
        <w:t xml:space="preserve">intelektu </w:t>
      </w:r>
      <w:r w:rsidRPr="00273106">
        <w:t>k věci</w:t>
      </w:r>
      <w:r>
        <w:t xml:space="preserve"> (Rufusovo </w:t>
      </w:r>
      <w:r w:rsidRPr="006E38B4">
        <w:rPr>
          <w:i/>
        </w:rPr>
        <w:t>coaequatio</w:t>
      </w:r>
      <w:r>
        <w:rPr>
          <w:i/>
        </w:rPr>
        <w:fldChar w:fldCharType="begin"/>
      </w:r>
      <w:r>
        <w:instrText xml:space="preserve"> XE "pravda:</w:instrText>
      </w:r>
      <w:r w:rsidRPr="00E11E1F">
        <w:rPr>
          <w:i/>
        </w:rPr>
        <w:instrText>coaequatio</w:instrText>
      </w:r>
      <w:r>
        <w:instrText xml:space="preserve">" </w:instrText>
      </w:r>
      <w:r>
        <w:rPr>
          <w:i/>
        </w:rPr>
        <w:fldChar w:fldCharType="end"/>
      </w:r>
      <w:r>
        <w:t>). Tuto linii potvrzuje i druhá část rukopisu O, která dává potenciální inteligibilia a univerzália přímo do věcí a nechává je z nich vyvádět (</w:t>
      </w:r>
      <w:r w:rsidRPr="002E4189">
        <w:rPr>
          <w:i/>
        </w:rPr>
        <w:t>exsistit</w:t>
      </w:r>
      <w:r>
        <w:t>) činným intelektem skrze receptivní intelekt.</w:t>
      </w:r>
      <w:r w:rsidRPr="00273106">
        <w:rPr>
          <w:rStyle w:val="Znakapoznpodarou"/>
        </w:rPr>
        <w:footnoteReference w:id="140"/>
      </w:r>
      <w:r w:rsidRPr="00273106">
        <w:t xml:space="preserve"> </w:t>
      </w:r>
      <w:r>
        <w:t xml:space="preserve">Anonym </w:t>
      </w:r>
      <w:proofErr w:type="gramStart"/>
      <w:r>
        <w:t xml:space="preserve">rukopisu O </w:t>
      </w:r>
      <w:r w:rsidRPr="00273106">
        <w:t>generuje</w:t>
      </w:r>
      <w:proofErr w:type="gramEnd"/>
      <w:r w:rsidRPr="00273106">
        <w:t xml:space="preserve"> poznání nikoliv ze středního členu </w:t>
      </w:r>
      <w:r w:rsidR="00C07C15">
        <w:t xml:space="preserve">podle </w:t>
      </w:r>
      <w:r w:rsidRPr="089B159B">
        <w:rPr>
          <w:i/>
        </w:rPr>
        <w:t>Druhých analytik</w:t>
      </w:r>
      <w:r>
        <w:t xml:space="preserve"> </w:t>
      </w:r>
      <w:r w:rsidR="00C07C15">
        <w:t xml:space="preserve">skrze </w:t>
      </w:r>
      <w:r>
        <w:t xml:space="preserve">princip </w:t>
      </w:r>
      <w:r w:rsidR="00C07C15">
        <w:t>„</w:t>
      </w:r>
      <w:r w:rsidR="08A649EB">
        <w:rPr>
          <w:i/>
        </w:rPr>
        <w:t>ex in</w:t>
      </w:r>
      <w:r w:rsidRPr="089B159B">
        <w:rPr>
          <w:i/>
        </w:rPr>
        <w:t>mediatis</w:t>
      </w:r>
      <w:r w:rsidR="00C07C15">
        <w:t>“</w:t>
      </w:r>
      <w:r w:rsidRPr="00273106">
        <w:t>, ale z esenciální definice</w:t>
      </w:r>
      <w:r w:rsidR="00C07C15">
        <w:t xml:space="preserve"> středního členu</w:t>
      </w:r>
      <w:r>
        <w:t xml:space="preserve">. Zavedení </w:t>
      </w:r>
      <w:r w:rsidRPr="00273106">
        <w:rPr>
          <w:i/>
        </w:rPr>
        <w:t>Oxfordian Fallacy</w:t>
      </w:r>
      <w:r>
        <w:rPr>
          <w:i/>
        </w:rPr>
        <w:fldChar w:fldCharType="begin"/>
      </w:r>
      <w:r>
        <w:instrText xml:space="preserve"> XE "</w:instrText>
      </w:r>
      <w:r w:rsidRPr="0015798D">
        <w:rPr>
          <w:i/>
        </w:rPr>
        <w:instrText>Oxfordian Fallacy:</w:instrText>
      </w:r>
      <w:r w:rsidRPr="00C53170">
        <w:instrText>Oxfordský anonym</w:instrText>
      </w:r>
      <w:r>
        <w:instrText xml:space="preserve">" </w:instrText>
      </w:r>
      <w:r>
        <w:rPr>
          <w:i/>
        </w:rPr>
        <w:fldChar w:fldCharType="end"/>
      </w:r>
      <w:r>
        <w:t xml:space="preserve"> </w:t>
      </w:r>
      <w:r w:rsidR="00C07C15">
        <w:t>z</w:t>
      </w:r>
      <w:r w:rsidRPr="00273106">
        <w:t>měn</w:t>
      </w:r>
      <w:r w:rsidR="00C07C15">
        <w:t>ilo</w:t>
      </w:r>
      <w:r w:rsidRPr="00273106">
        <w:t xml:space="preserve"> definici vědeckého soudu skrze esencialistický charakter </w:t>
      </w:r>
      <w:r>
        <w:t xml:space="preserve">středního členu soudu (Kilwardbyho </w:t>
      </w:r>
      <w:r w:rsidRPr="00906D7B">
        <w:rPr>
          <w:i/>
        </w:rPr>
        <w:t>inmediate</w:t>
      </w:r>
      <w:r>
        <w:rPr>
          <w:i/>
        </w:rPr>
        <w:fldChar w:fldCharType="begin"/>
      </w:r>
      <w:r>
        <w:instrText xml:space="preserve"> XE "</w:instrText>
      </w:r>
      <w:r w:rsidRPr="0031100D">
        <w:instrText xml:space="preserve">princip </w:instrText>
      </w:r>
      <w:r w:rsidR="08A649EB">
        <w:rPr>
          <w:i/>
        </w:rPr>
        <w:instrText>ex in</w:instrText>
      </w:r>
      <w:r w:rsidRPr="00C53170">
        <w:rPr>
          <w:i/>
        </w:rPr>
        <w:instrText>mediatis</w:instrText>
      </w:r>
      <w:r>
        <w:instrText xml:space="preserve">" </w:instrText>
      </w:r>
      <w:r>
        <w:rPr>
          <w:i/>
        </w:rPr>
        <w:fldChar w:fldCharType="end"/>
      </w:r>
      <w:r>
        <w:t>)</w:t>
      </w:r>
      <w:r w:rsidRPr="00273106">
        <w:t xml:space="preserve">. </w:t>
      </w:r>
      <w:r>
        <w:t>Proto se tento rukopis komentoval na</w:t>
      </w:r>
      <w:r w:rsidR="00626A82">
        <w:t xml:space="preserve"> Oxfordu, kde se také dochoval.</w:t>
      </w:r>
    </w:p>
    <w:p w:rsidR="08163013" w:rsidRPr="00740A3C" w:rsidRDefault="08163013" w:rsidP="00626A82">
      <w:pPr>
        <w:ind w:firstLine="397"/>
      </w:pPr>
      <w:r w:rsidRPr="00273106">
        <w:t xml:space="preserve">Vědecké poznání </w:t>
      </w:r>
      <w:r>
        <w:t xml:space="preserve">modernistického autora rukopisu O </w:t>
      </w:r>
      <w:proofErr w:type="gramStart"/>
      <w:r>
        <w:t>je</w:t>
      </w:r>
      <w:proofErr w:type="gramEnd"/>
      <w:r>
        <w:t xml:space="preserve"> </w:t>
      </w:r>
      <w:r w:rsidRPr="00273106">
        <w:t>založeno mimo konti</w:t>
      </w:r>
      <w:r>
        <w:t>n</w:t>
      </w:r>
      <w:r w:rsidRPr="00273106">
        <w:t xml:space="preserve">gentní realitu. Pak lze provádět jakoukoliv formu formalistické dedukce a považovat ji za vědu. </w:t>
      </w:r>
      <w:r>
        <w:t xml:space="preserve">Autor </w:t>
      </w:r>
      <w:r w:rsidRPr="00273106">
        <w:t>provoz</w:t>
      </w:r>
      <w:r>
        <w:t xml:space="preserve">uje </w:t>
      </w:r>
      <w:r w:rsidRPr="00273106">
        <w:t>moderní formu tvoření objektivity</w:t>
      </w:r>
      <w:r>
        <w:t xml:space="preserve">, protože má hypostázovaný </w:t>
      </w:r>
      <w:r w:rsidRPr="001452D3">
        <w:rPr>
          <w:i/>
        </w:rPr>
        <w:t>intellectus agens</w:t>
      </w:r>
      <w:r>
        <w:t xml:space="preserve"> </w:t>
      </w:r>
      <w:r w:rsidRPr="00273106">
        <w:t>zakládající aktualitu každého poznání (</w:t>
      </w:r>
      <w:r w:rsidRPr="00273106">
        <w:rPr>
          <w:i/>
        </w:rPr>
        <w:t>generaret scibile in actu</w:t>
      </w:r>
      <w:r w:rsidRPr="00273106">
        <w:t xml:space="preserve">). Rukopis O </w:t>
      </w:r>
      <w:proofErr w:type="gramStart"/>
      <w:r w:rsidRPr="00273106">
        <w:t>se</w:t>
      </w:r>
      <w:proofErr w:type="gramEnd"/>
      <w:r w:rsidRPr="00273106">
        <w:t xml:space="preserve"> definitivně rozešel s vizí reality, poznání a pravdy prosazovanou v rukopisu M.</w:t>
      </w:r>
      <w:r>
        <w:t xml:space="preserve"> </w:t>
      </w:r>
      <w:r w:rsidRPr="00273106">
        <w:t>Proto patří ke škole druhého averroismu, a nemůže mít stejného autora jako rukopis M.</w:t>
      </w:r>
      <w:r>
        <w:t xml:space="preserve"> Přes sofistické pojetí intelektu podle </w:t>
      </w:r>
      <w:r w:rsidRPr="00496892">
        <w:rPr>
          <w:i/>
        </w:rPr>
        <w:t>Modernorum</w:t>
      </w:r>
      <w:r>
        <w:t xml:space="preserve"> autor podržel základní  myšlenku aristotelismu a odmítl univerzální hylemorfismus</w:t>
      </w:r>
      <w:r>
        <w:fldChar w:fldCharType="begin"/>
      </w:r>
      <w:r>
        <w:instrText xml:space="preserve"> XE "</w:instrText>
      </w:r>
      <w:r w:rsidRPr="005619B2">
        <w:instrText>univerzální hylemorfismus</w:instrText>
      </w:r>
      <w:r>
        <w:instrText xml:space="preserve">" </w:instrText>
      </w:r>
      <w:r>
        <w:fldChar w:fldCharType="end"/>
      </w:r>
      <w:r>
        <w:t>. Rukopis O stejně jako Aegidius jasně odmítl tezi o materii třetího druhu a na ní dané plurality substancí v člověku (viz O 1.16). Tuto jedinečnou pozici sofisticky lavírujcí mezi prvním a druhým averroismem držel kolem roku 1270 především Aegidius Romanus</w:t>
      </w:r>
      <w:r>
        <w:fldChar w:fldCharType="begin"/>
      </w:r>
      <w:r>
        <w:instrText xml:space="preserve"> XE "</w:instrText>
      </w:r>
      <w:r w:rsidRPr="00B54432">
        <w:instrText>Aegidius Romanus</w:instrText>
      </w:r>
      <w:r>
        <w:instrText xml:space="preserve">" </w:instrText>
      </w:r>
      <w:r>
        <w:fldChar w:fldCharType="end"/>
      </w:r>
      <w:r>
        <w:t xml:space="preserve">. </w:t>
      </w:r>
      <w:r w:rsidRPr="00273106">
        <w:t xml:space="preserve">Následující část komentáře k </w:t>
      </w:r>
      <w:proofErr w:type="gramStart"/>
      <w:r>
        <w:rPr>
          <w:i/>
        </w:rPr>
        <w:t>De</w:t>
      </w:r>
      <w:proofErr w:type="gramEnd"/>
      <w:r>
        <w:rPr>
          <w:i/>
        </w:rPr>
        <w:t xml:space="preserve"> anima</w:t>
      </w:r>
      <w:r w:rsidRPr="00273106">
        <w:t>, kterou má pouze rukopis O, potvrzuje dosavadní závěr. Autor v duchu</w:t>
      </w:r>
      <w:r>
        <w:t xml:space="preserve"> moderní analytiky</w:t>
      </w:r>
      <w:r w:rsidRPr="00273106">
        <w:t xml:space="preserve"> Rufuse a Kilwardbyho zrušil </w:t>
      </w:r>
      <w:r>
        <w:t xml:space="preserve">první </w:t>
      </w:r>
      <w:r w:rsidRPr="00273106">
        <w:t xml:space="preserve">tři principy </w:t>
      </w:r>
      <w:r w:rsidRPr="08BA2B1B">
        <w:rPr>
          <w:i/>
        </w:rPr>
        <w:t>Druhých analytik</w:t>
      </w:r>
      <w:r w:rsidRPr="00273106">
        <w:t>, které zajišťují věde</w:t>
      </w:r>
      <w:r>
        <w:t>cké poznání reality</w:t>
      </w:r>
      <w:r w:rsidRPr="00273106">
        <w:t xml:space="preserve">. Pak mu vyjde zcela kuriózní pořadí ontologické hodnoty substance, protože postaví predikaci </w:t>
      </w:r>
      <w:r w:rsidRPr="00273106">
        <w:rPr>
          <w:i/>
        </w:rPr>
        <w:t>per prius</w:t>
      </w:r>
      <w:r w:rsidRPr="00273106">
        <w:t xml:space="preserve"> na primátu objektivně dané formy</w:t>
      </w:r>
      <w:r>
        <w:t xml:space="preserve"> </w:t>
      </w:r>
      <w:r>
        <w:lastRenderedPageBreak/>
        <w:t>(</w:t>
      </w:r>
      <w:r w:rsidRPr="08B1034D">
        <w:rPr>
          <w:i/>
        </w:rPr>
        <w:t>forma prius est substantia secundum esse et naturam</w:t>
      </w:r>
      <w:r>
        <w:t>)</w:t>
      </w:r>
      <w:r w:rsidRPr="00273106">
        <w:t>.</w:t>
      </w:r>
      <w:r w:rsidRPr="00273106">
        <w:rPr>
          <w:rStyle w:val="Znakapoznpodarou"/>
        </w:rPr>
        <w:footnoteReference w:id="141"/>
      </w:r>
      <w:r w:rsidRPr="00273106">
        <w:t xml:space="preserve"> Odvolání na </w:t>
      </w:r>
      <w:r>
        <w:t>Averroes</w:t>
      </w:r>
      <w:r w:rsidRPr="00273106">
        <w:t xml:space="preserve">e v citované části rukopisu O </w:t>
      </w:r>
      <w:proofErr w:type="gramStart"/>
      <w:r w:rsidRPr="00273106">
        <w:t>je</w:t>
      </w:r>
      <w:proofErr w:type="gramEnd"/>
      <w:r w:rsidRPr="00273106">
        <w:t xml:space="preserve"> čistá sofistika</w:t>
      </w:r>
      <w:r>
        <w:t>, protože p</w:t>
      </w:r>
      <w:r w:rsidRPr="00273106">
        <w:t xml:space="preserve">ojetí </w:t>
      </w:r>
      <w:r>
        <w:t xml:space="preserve">Komentátora </w:t>
      </w:r>
      <w:r w:rsidRPr="00273106">
        <w:t xml:space="preserve">je přesně opačné. Podívejme se na důležitý příklad objektivistického omylu, kterým </w:t>
      </w:r>
      <w:proofErr w:type="gramStart"/>
      <w:r w:rsidRPr="00273106">
        <w:t>rukopis O zakládá</w:t>
      </w:r>
      <w:proofErr w:type="gramEnd"/>
      <w:r w:rsidRPr="00273106">
        <w:t xml:space="preserve"> moderní pojetí </w:t>
      </w:r>
      <w:r>
        <w:rPr>
          <w:i/>
        </w:rPr>
        <w:t>Unified S</w:t>
      </w:r>
      <w:r w:rsidRPr="00273106">
        <w:rPr>
          <w:i/>
        </w:rPr>
        <w:t>cience</w:t>
      </w:r>
      <w:r>
        <w:rPr>
          <w:i/>
        </w:rPr>
        <w:fldChar w:fldCharType="begin"/>
      </w:r>
      <w:r>
        <w:instrText xml:space="preserve"> XE "</w:instrText>
      </w:r>
      <w:r>
        <w:rPr>
          <w:i/>
        </w:rPr>
        <w:instrText>Unified S</w:instrText>
      </w:r>
      <w:r w:rsidRPr="00B70114">
        <w:rPr>
          <w:i/>
        </w:rPr>
        <w:instrText>cience</w:instrText>
      </w:r>
      <w:r>
        <w:instrText xml:space="preserve">" </w:instrText>
      </w:r>
      <w:r>
        <w:rPr>
          <w:i/>
        </w:rPr>
        <w:fldChar w:fldCharType="end"/>
      </w:r>
      <w:r w:rsidRPr="00273106">
        <w:t xml:space="preserve">. Objektivně daná forma vytvoří stejně jako u druhého averroismu univoční pojetí jsoucna podle </w:t>
      </w:r>
      <w:r w:rsidRPr="00273106">
        <w:rPr>
          <w:i/>
        </w:rPr>
        <w:t>analogia entis</w:t>
      </w:r>
      <w:r>
        <w:rPr>
          <w:i/>
        </w:rPr>
        <w:fldChar w:fldCharType="begin"/>
      </w:r>
      <w:r>
        <w:instrText xml:space="preserve"> XE "</w:instrText>
      </w:r>
      <w:r w:rsidRPr="00834F99">
        <w:rPr>
          <w:rStyle w:val="addmd"/>
          <w:i/>
        </w:rPr>
        <w:instrText>analogia entis</w:instrText>
      </w:r>
      <w:r>
        <w:instrText xml:space="preserve">" </w:instrText>
      </w:r>
      <w:r>
        <w:rPr>
          <w:i/>
        </w:rPr>
        <w:fldChar w:fldCharType="end"/>
      </w:r>
      <w:r w:rsidRPr="00273106">
        <w:t xml:space="preserve">. Celý spor se týká univočního či plurivočního pojetí diafanum, které prostupuje jak supralunární, tak i sublunární sféru. </w:t>
      </w:r>
      <w:proofErr w:type="gramStart"/>
      <w:r w:rsidRPr="00273106">
        <w:t>Rukopis O vytvořil</w:t>
      </w:r>
      <w:proofErr w:type="gramEnd"/>
      <w:r w:rsidRPr="00273106">
        <w:t xml:space="preserve"> nové určení </w:t>
      </w:r>
      <w:r>
        <w:t xml:space="preserve">objektivního </w:t>
      </w:r>
      <w:r w:rsidRPr="00740A3C">
        <w:rPr>
          <w:i/>
        </w:rPr>
        <w:t>perspicuum</w:t>
      </w:r>
      <w:r>
        <w:rPr>
          <w:i/>
        </w:rPr>
        <w:fldChar w:fldCharType="begin"/>
      </w:r>
      <w:r>
        <w:instrText xml:space="preserve"> XE "</w:instrText>
      </w:r>
      <w:r w:rsidRPr="00BC6B9C">
        <w:rPr>
          <w:rStyle w:val="Zkladntext158dkovn0pt"/>
          <w:i/>
          <w:color w:val="auto"/>
          <w:spacing w:val="0"/>
          <w:sz w:val="24"/>
          <w:lang w:val="cs-CZ"/>
        </w:rPr>
        <w:instrText>perspicuum</w:instrText>
      </w:r>
      <w:r>
        <w:instrText xml:space="preserve">" </w:instrText>
      </w:r>
      <w:r>
        <w:rPr>
          <w:i/>
        </w:rPr>
        <w:fldChar w:fldCharType="end"/>
      </w:r>
      <w:r>
        <w:t xml:space="preserve"> a tímto neoplatonským novotvarem </w:t>
      </w:r>
      <w:r w:rsidRPr="00740A3C">
        <w:t xml:space="preserve">nahradil </w:t>
      </w:r>
      <w:r>
        <w:t>Averroesovo diaf</w:t>
      </w:r>
      <w:r w:rsidRPr="08570EAD">
        <w:t>anum</w:t>
      </w:r>
      <w:r>
        <w:rPr>
          <w:i/>
        </w:rPr>
        <w:fldChar w:fldCharType="begin"/>
      </w:r>
      <w:r>
        <w:instrText xml:space="preserve"> XE "</w:instrText>
      </w:r>
      <w:r w:rsidRPr="00C53170">
        <w:instrText>diafanum</w:instrText>
      </w:r>
      <w:r>
        <w:instrText xml:space="preserve">" </w:instrText>
      </w:r>
      <w:r>
        <w:rPr>
          <w:i/>
        </w:rPr>
        <w:fldChar w:fldCharType="end"/>
      </w:r>
      <w:r w:rsidRPr="00740A3C">
        <w:t>.</w:t>
      </w:r>
      <w:r>
        <w:t xml:space="preserve"> Bylo to nutné proto, aby platila plná ekvivalence smyslového a rozumového vnímání světa (</w:t>
      </w:r>
      <w:r w:rsidRPr="00273106">
        <w:rPr>
          <w:i/>
        </w:rPr>
        <w:t>phantasma se habet ad intellectum possibilem sicut color ad visum</w:t>
      </w:r>
      <w:r>
        <w:t>).</w:t>
      </w:r>
      <w:r w:rsidRPr="0857751B">
        <w:t xml:space="preserve"> </w:t>
      </w:r>
      <w:r w:rsidRPr="00273106">
        <w:t>Autor zavádí</w:t>
      </w:r>
      <w:r w:rsidRPr="00296464">
        <w:t xml:space="preserve"> </w:t>
      </w:r>
      <w:r w:rsidRPr="00273106">
        <w:t>diafanum</w:t>
      </w:r>
      <w:r>
        <w:t xml:space="preserve"> </w:t>
      </w:r>
      <w:r w:rsidRPr="00273106">
        <w:t xml:space="preserve">ve formě </w:t>
      </w:r>
      <w:r>
        <w:t>objektivního</w:t>
      </w:r>
      <w:r w:rsidR="003A35C5">
        <w:t xml:space="preserve"> </w:t>
      </w:r>
      <w:r w:rsidR="003A35C5" w:rsidRPr="00D657BD">
        <w:rPr>
          <w:i/>
          <w:szCs w:val="24"/>
        </w:rPr>
        <w:t>tertium ens</w:t>
      </w:r>
      <w:r w:rsidR="005F1FD0">
        <w:t xml:space="preserve">. Tím </w:t>
      </w:r>
      <w:r>
        <w:t xml:space="preserve">zásadně změnil původní scénář </w:t>
      </w:r>
      <w:r w:rsidR="005F1FD0">
        <w:t xml:space="preserve">v CMDA daný pouze nasvícením z reálného </w:t>
      </w:r>
      <w:r>
        <w:t>slunce (</w:t>
      </w:r>
      <w:r w:rsidR="087A4532">
        <w:t xml:space="preserve">OBJ I, </w:t>
      </w:r>
      <w:r>
        <w:t>kap. 2.4.4)</w:t>
      </w:r>
      <w:r w:rsidRPr="00273106">
        <w:t>.</w:t>
      </w:r>
    </w:p>
    <w:p w:rsidR="08163013" w:rsidRDefault="08163013" w:rsidP="08163013">
      <w:pPr>
        <w:pStyle w:val="Citace"/>
      </w:pPr>
      <w:r w:rsidRPr="00273106">
        <w:rPr>
          <w:noProof/>
        </w:rPr>
        <w:t>„</w:t>
      </w:r>
      <w:r>
        <w:rPr>
          <w:noProof/>
          <w:lang w:val="cs-CZ"/>
        </w:rPr>
        <w:t>(...) ale diafanum v kosmických inteligencích je neporušitelné, v hylemorfickém světě porušitelné. Z hlediska výměru nejde o dvě různá pojetí, protože obě formy diafanum přijímají světlo jako svůj akt (</w:t>
      </w:r>
      <w:r w:rsidRPr="00AA743D">
        <w:rPr>
          <w:i/>
        </w:rPr>
        <w:t>perspicuum utrobique recipit lumen ut suum actum</w:t>
      </w:r>
      <w:r>
        <w:rPr>
          <w:noProof/>
          <w:lang w:val="cs-CZ"/>
        </w:rPr>
        <w:t xml:space="preserve">). Ani světlo není v obou případech odlišné, protože je posuzujeme stejným způsobem. Ale v nižším světě uchopujeme diafanum jen z hlediska poměrné části dané k jeho výskytu ve vyšším </w:t>
      </w:r>
      <w:r w:rsidRPr="00B42834">
        <w:t>světě (</w:t>
      </w:r>
      <w:r w:rsidRPr="00B42834">
        <w:rPr>
          <w:i/>
        </w:rPr>
        <w:t>reperitur perspicuum in inferioribus secundum proportionem quamdam in superioribus</w:t>
      </w:r>
      <w:r w:rsidRPr="00B42834">
        <w:t>).</w:t>
      </w:r>
      <w:r>
        <w:rPr>
          <w:lang w:val="cs-CZ"/>
        </w:rPr>
        <w:t xml:space="preserve"> Proto predikujeme diafanum v modu </w:t>
      </w:r>
      <w:r w:rsidRPr="00B42834">
        <w:rPr>
          <w:i/>
          <w:lang w:val="cs-CZ"/>
        </w:rPr>
        <w:t>per prius</w:t>
      </w:r>
      <w:r>
        <w:rPr>
          <w:lang w:val="cs-CZ"/>
        </w:rPr>
        <w:t xml:space="preserve"> vzhledem k vyššímu poznání a </w:t>
      </w:r>
      <w:r w:rsidRPr="00B42834">
        <w:rPr>
          <w:i/>
          <w:lang w:val="cs-CZ"/>
        </w:rPr>
        <w:t>per posterius</w:t>
      </w:r>
      <w:r>
        <w:rPr>
          <w:lang w:val="cs-CZ"/>
        </w:rPr>
        <w:t xml:space="preserve"> vzhledem k nižšímu poznání.“ </w:t>
      </w:r>
      <w:r>
        <w:rPr>
          <w:rStyle w:val="Znakapoznpodarou"/>
        </w:rPr>
        <w:footnoteReference w:id="142"/>
      </w:r>
    </w:p>
    <w:p w:rsidR="08163013" w:rsidRDefault="08163013" w:rsidP="08163013">
      <w:r>
        <w:t>Nový scénář diafanum podaného v modu objektivní analogie (</w:t>
      </w:r>
      <w:r w:rsidRPr="00B42834">
        <w:rPr>
          <w:i/>
        </w:rPr>
        <w:t>secundum proportionem quamdam</w:t>
      </w:r>
      <w:r>
        <w:t>) funguje univočně ve dvou patrech mediace. Neoplatonismus Toledské školy</w:t>
      </w:r>
      <w:r>
        <w:fldChar w:fldCharType="begin"/>
      </w:r>
      <w:r>
        <w:instrText xml:space="preserve"> XE "</w:instrText>
      </w:r>
      <w:r w:rsidRPr="089B5D22">
        <w:instrText>Toledská škola</w:instrText>
      </w:r>
      <w:r>
        <w:instrText xml:space="preserve">" </w:instrText>
      </w:r>
      <w:r>
        <w:fldChar w:fldCharType="end"/>
      </w:r>
      <w:r>
        <w:t xml:space="preserve"> dostal sofistikovaný aristotelský převlek. </w:t>
      </w:r>
      <w:r w:rsidRPr="00273106">
        <w:t xml:space="preserve">V prvním případě je </w:t>
      </w:r>
      <w:r>
        <w:t xml:space="preserve">diafanum jako substance třetího druhu </w:t>
      </w:r>
      <w:r w:rsidRPr="00273106">
        <w:t xml:space="preserve">neporušitelné, ve druhém porušitelné </w:t>
      </w:r>
      <w:r w:rsidRPr="08300463">
        <w:t>(</w:t>
      </w:r>
      <w:r w:rsidRPr="08300463">
        <w:rPr>
          <w:i/>
        </w:rPr>
        <w:t>perspicuum</w:t>
      </w:r>
      <w:r w:rsidRPr="08300463">
        <w:rPr>
          <w:i/>
        </w:rPr>
        <w:fldChar w:fldCharType="begin"/>
      </w:r>
      <w:r w:rsidRPr="08300463">
        <w:rPr>
          <w:i/>
        </w:rPr>
        <w:instrText xml:space="preserve"> XE "perspicuum" </w:instrText>
      </w:r>
      <w:r w:rsidRPr="08300463">
        <w:rPr>
          <w:i/>
        </w:rPr>
        <w:fldChar w:fldCharType="end"/>
      </w:r>
      <w:r w:rsidRPr="08300463">
        <w:rPr>
          <w:i/>
        </w:rPr>
        <w:t xml:space="preserve"> in superioribus est incorruptibile, in inferioribus corruptibile</w:t>
      </w:r>
      <w:r w:rsidRPr="08300463">
        <w:t xml:space="preserve">). </w:t>
      </w:r>
      <w:r w:rsidR="00A87285" w:rsidRPr="00A87285">
        <w:t xml:space="preserve">Diaphanum se stalo stejnou substancí jako </w:t>
      </w:r>
      <w:r w:rsidR="00A87285">
        <w:t>světlo a obě substance mají</w:t>
      </w:r>
      <w:r w:rsidR="00A87285" w:rsidRPr="00A87285">
        <w:t xml:space="preserve"> společnou existenci třetího druhu </w:t>
      </w:r>
      <w:r w:rsidR="00A87285" w:rsidRPr="00A87285">
        <w:lastRenderedPageBreak/>
        <w:t>(</w:t>
      </w:r>
      <w:r w:rsidR="00A87285" w:rsidRPr="00A87285">
        <w:rPr>
          <w:i/>
        </w:rPr>
        <w:t>lumen non est alterius rationis</w:t>
      </w:r>
      <w:r w:rsidR="00A87285" w:rsidRPr="00A87285">
        <w:t>).</w:t>
      </w:r>
      <w:r w:rsidR="00A87285">
        <w:t xml:space="preserve"> </w:t>
      </w:r>
      <w:r w:rsidRPr="00273106">
        <w:t xml:space="preserve">Proto k němu moderní myšlení přistupuje ze stejné pozice dané univočně </w:t>
      </w:r>
      <w:r w:rsidRPr="08300463">
        <w:t>(</w:t>
      </w:r>
      <w:r w:rsidRPr="08300463">
        <w:rPr>
          <w:i/>
        </w:rPr>
        <w:t>eodem sensu judicamus utrumque</w:t>
      </w:r>
      <w:r w:rsidRPr="08300463">
        <w:t>).</w:t>
      </w:r>
      <w:r w:rsidRPr="00273106">
        <w:t xml:space="preserve"> </w:t>
      </w:r>
      <w:r>
        <w:t>R</w:t>
      </w:r>
      <w:r w:rsidRPr="00273106">
        <w:t>ozdíl mezi oběma sférami kosmu v</w:t>
      </w:r>
      <w:r>
        <w:t xml:space="preserve"> jejich základním aspektu </w:t>
      </w:r>
      <w:r w:rsidRPr="00273106">
        <w:t>světla není v substanční odlišnosti obou forem diafanum</w:t>
      </w:r>
      <w:r>
        <w:fldChar w:fldCharType="begin"/>
      </w:r>
      <w:r>
        <w:instrText xml:space="preserve"> XE "</w:instrText>
      </w:r>
      <w:r w:rsidRPr="00BA5FC4">
        <w:instrText>diafanum</w:instrText>
      </w:r>
      <w:r>
        <w:instrText xml:space="preserve">" </w:instrText>
      </w:r>
      <w:r>
        <w:fldChar w:fldCharType="end"/>
      </w:r>
      <w:r w:rsidRPr="00273106">
        <w:t xml:space="preserve">, ale pouze v jejich proporci </w:t>
      </w:r>
      <w:r w:rsidRPr="08300463">
        <w:t>(</w:t>
      </w:r>
      <w:r w:rsidRPr="08300463">
        <w:rPr>
          <w:i/>
        </w:rPr>
        <w:t>secundum proportionem</w:t>
      </w:r>
      <w:r w:rsidRPr="08300463">
        <w:t xml:space="preserve">). </w:t>
      </w:r>
      <w:r w:rsidRPr="00273106">
        <w:t xml:space="preserve">Rozdíl tkví pouze v modu predikace, která supralunární světlo bere v primárním modu </w:t>
      </w:r>
      <w:r w:rsidRPr="00273106">
        <w:rPr>
          <w:i/>
        </w:rPr>
        <w:t>per prius</w:t>
      </w:r>
      <w:r w:rsidRPr="00273106">
        <w:t xml:space="preserve">, zatímco my v sublunární sféře predikujeme jeho povahu pouze v modu </w:t>
      </w:r>
      <w:r w:rsidRPr="00273106">
        <w:rPr>
          <w:i/>
        </w:rPr>
        <w:t>per posterius</w:t>
      </w:r>
      <w:r w:rsidRPr="00273106">
        <w:t xml:space="preserve">. </w:t>
      </w:r>
      <w:r>
        <w:t xml:space="preserve">Tímto kuriózním pojetím je zajištěno, že intelekt-slunce nasvěcuje smysl jsoucna stejně v obou částech, tj. v materiálním kosmu a ve světě nemateriálních kosmických inteligencí a forem. </w:t>
      </w:r>
      <w:r w:rsidRPr="00273106">
        <w:t xml:space="preserve">Modelem je analogický vztah vyšší a nižší formy </w:t>
      </w:r>
      <w:r>
        <w:t xml:space="preserve">v díle </w:t>
      </w:r>
      <w:r w:rsidRPr="00A757FD">
        <w:rPr>
          <w:i/>
        </w:rPr>
        <w:t>Liber de causis</w:t>
      </w:r>
      <w:r>
        <w:rPr>
          <w:i/>
        </w:rPr>
        <w:fldChar w:fldCharType="begin"/>
      </w:r>
      <w:r>
        <w:instrText xml:space="preserve"> XE "</w:instrText>
      </w:r>
      <w:r w:rsidRPr="00C46BD8">
        <w:rPr>
          <w:i/>
        </w:rPr>
        <w:instrText>Liber de causis</w:instrText>
      </w:r>
      <w:r>
        <w:instrText xml:space="preserve">" </w:instrText>
      </w:r>
      <w:r>
        <w:rPr>
          <w:i/>
        </w:rPr>
        <w:fldChar w:fldCharType="end"/>
      </w:r>
      <w:r w:rsidRPr="00273106">
        <w:t>. Toto řešení připomíná Bonaventurovu d</w:t>
      </w:r>
      <w:r w:rsidR="08B4315F">
        <w:t>voupatrovou stavbu světa (kap. 4</w:t>
      </w:r>
      <w:r w:rsidRPr="00273106">
        <w:t>.1.2), ale tentokrát v mnohem propracovanější formě univocity dané čistě filosoficky a se znalostí CMDA.</w:t>
      </w:r>
      <w:r>
        <w:t xml:space="preserve"> Autor vůbec nepochopil formální funkci diafanum v CMDA, proto ani nemůže pochopit roli </w:t>
      </w:r>
      <w:r w:rsidRPr="085E6A68">
        <w:rPr>
          <w:i/>
        </w:rPr>
        <w:t>intellectus possibilis</w:t>
      </w:r>
      <w:r>
        <w:t xml:space="preserve"> v CMDA. Aegidius udělal z diafanum substanci třetího druhu v rukopisu O. Stejně to udělá s možným intelektem v díle </w:t>
      </w:r>
      <w:r w:rsidRPr="006E6489">
        <w:rPr>
          <w:i/>
        </w:rPr>
        <w:t>De plurificatione possibilis intellectus</w:t>
      </w:r>
      <w:r>
        <w:t>, v němž z možného intelektu udělal averroistickou hypostázi. R</w:t>
      </w:r>
      <w:r w:rsidRPr="00273106">
        <w:t>ukopis M považuje podobné řešení za nemožné</w:t>
      </w:r>
      <w:r>
        <w:t>, protože jde o dvě odlišné substanční formy (</w:t>
      </w:r>
      <w:r w:rsidRPr="00E72BA2">
        <w:rPr>
          <w:i/>
        </w:rPr>
        <w:t>corruptibile et incorruptibile non sunt unius rationis</w:t>
      </w:r>
      <w:r>
        <w:t>)</w:t>
      </w:r>
      <w:r w:rsidRPr="00273106">
        <w:t>.</w:t>
      </w:r>
      <w:r w:rsidRPr="00273106">
        <w:rPr>
          <w:rStyle w:val="Znakapoznpodarou"/>
        </w:rPr>
        <w:footnoteReference w:id="143"/>
      </w:r>
      <w:r w:rsidRPr="00273106">
        <w:t xml:space="preserve"> Rukopis M jasně vidí odlišný </w:t>
      </w:r>
      <w:r w:rsidRPr="00273106">
        <w:rPr>
          <w:i/>
        </w:rPr>
        <w:t>modus recipiendi</w:t>
      </w:r>
      <w:r w:rsidRPr="00273106">
        <w:t xml:space="preserve">, kterým diafanum přijímá světlo jak od slunce, </w:t>
      </w:r>
      <w:r w:rsidR="00F5334F">
        <w:t xml:space="preserve">a formy </w:t>
      </w:r>
      <w:r w:rsidRPr="00273106">
        <w:t xml:space="preserve">od nemateriálních inteligencí. Proto nemá diafanum stejný výměr v obou světech a univocita pojmu není možná. Postup jasně ukazuje, že autor </w:t>
      </w:r>
      <w:r>
        <w:t xml:space="preserve">spisu M porozuměl podle Sicilské školy </w:t>
      </w:r>
      <w:r w:rsidRPr="00273106">
        <w:t>vztah</w:t>
      </w:r>
      <w:r>
        <w:t>u</w:t>
      </w:r>
      <w:r w:rsidRPr="00273106">
        <w:t xml:space="preserve"> světla a</w:t>
      </w:r>
      <w:r>
        <w:t xml:space="preserve"> diafanum podle CMDA</w:t>
      </w:r>
      <w:r w:rsidRPr="00273106">
        <w:t xml:space="preserve">. Naopak oxfordský rukopis </w:t>
      </w:r>
      <w:r>
        <w:t xml:space="preserve">inspirovaný Toledskou školou </w:t>
      </w:r>
      <w:r w:rsidRPr="00273106">
        <w:t>si vystačí s metaforou světla jako slunce</w:t>
      </w:r>
      <w:r>
        <w:fldChar w:fldCharType="begin"/>
      </w:r>
      <w:r>
        <w:instrText xml:space="preserve"> XE "</w:instrText>
      </w:r>
      <w:r w:rsidRPr="00C54C77">
        <w:instrText>intelekt-slunce</w:instrText>
      </w:r>
      <w:r>
        <w:instrText xml:space="preserve">" </w:instrText>
      </w:r>
      <w:r>
        <w:fldChar w:fldCharType="end"/>
      </w:r>
      <w:r w:rsidRPr="00273106">
        <w:t xml:space="preserve">, protože dogmaticky spoléhá na univoční pojetí diafanum. </w:t>
      </w:r>
      <w:r>
        <w:t xml:space="preserve">Aegidius v </w:t>
      </w:r>
      <w:r w:rsidRPr="00273106">
        <w:rPr>
          <w:i/>
        </w:rPr>
        <w:t>De plurificatione possibilis intellectus</w:t>
      </w:r>
      <w:r w:rsidRPr="00273106">
        <w:t xml:space="preserve"> </w:t>
      </w:r>
      <w:r>
        <w:t xml:space="preserve">kritizoval z této pozice Averroese jako averroistu. Sofistickým odkazem na Aristotela mu připsal modernistickou teorii oka jako </w:t>
      </w:r>
      <w:r w:rsidRPr="082530D8">
        <w:rPr>
          <w:i/>
        </w:rPr>
        <w:t>locus specierum</w:t>
      </w:r>
      <w:r>
        <w:t xml:space="preserve">. Tato </w:t>
      </w:r>
      <w:r w:rsidR="00962190">
        <w:rPr>
          <w:i/>
        </w:rPr>
        <w:t>species</w:t>
      </w:r>
      <w:r>
        <w:t xml:space="preserve"> pak nechal recipovat duší, z níž udělal oddělenou substanci (</w:t>
      </w:r>
      <w:r w:rsidRPr="08E07409">
        <w:rPr>
          <w:i/>
        </w:rPr>
        <w:t>in essentia animae fundatur ut in subiecto</w:t>
      </w:r>
      <w:r>
        <w:t xml:space="preserve">). A nakonec vítězně prohlásí, že skrze tento dvojí </w:t>
      </w:r>
      <w:r>
        <w:lastRenderedPageBreak/>
        <w:t>nesmysl vyvrátil argumenty Averroese o jednotě intelektu.</w:t>
      </w:r>
      <w:r w:rsidRPr="00273106">
        <w:rPr>
          <w:rStyle w:val="Znakapoznpodarou"/>
        </w:rPr>
        <w:footnoteReference w:id="144"/>
      </w:r>
      <w:r>
        <w:t xml:space="preserve"> </w:t>
      </w:r>
      <w:r w:rsidRPr="00273106">
        <w:t xml:space="preserve">Spis </w:t>
      </w:r>
      <w:r w:rsidRPr="00273106">
        <w:rPr>
          <w:i/>
        </w:rPr>
        <w:t xml:space="preserve">De plurificatione </w:t>
      </w:r>
      <w:r w:rsidRPr="00273106">
        <w:t>udělal z duše místo aristotelské formy subsistentní</w:t>
      </w:r>
      <w:r>
        <w:t xml:space="preserve"> entitu a </w:t>
      </w:r>
      <w:r w:rsidRPr="00273106">
        <w:t xml:space="preserve">vytvořil </w:t>
      </w:r>
      <w:r>
        <w:t xml:space="preserve">duši jako </w:t>
      </w:r>
      <w:r w:rsidRPr="00273106">
        <w:t xml:space="preserve">nemateriální substrát pro </w:t>
      </w:r>
      <w:r>
        <w:t xml:space="preserve">možný </w:t>
      </w:r>
      <w:r w:rsidRPr="00273106">
        <w:t>intelekt.</w:t>
      </w:r>
      <w:r>
        <w:t xml:space="preserve"> Toto pojetí najdeme i v druhé části Oxfordského anonyma (</w:t>
      </w:r>
      <w:r w:rsidRPr="00F23DC8">
        <w:rPr>
          <w:i/>
        </w:rPr>
        <w:t>sicut motor eius, anima dat esse substant</w:t>
      </w:r>
      <w:r>
        <w:rPr>
          <w:i/>
        </w:rPr>
        <w:t xml:space="preserve">iale </w:t>
      </w:r>
      <w:r w:rsidRPr="00F23DC8">
        <w:rPr>
          <w:i/>
        </w:rPr>
        <w:t>et movet corpus</w:t>
      </w:r>
      <w:r>
        <w:t>; O 2.5, p. 203.14‒15</w:t>
      </w:r>
      <w:r>
        <w:fldChar w:fldCharType="begin"/>
      </w:r>
      <w:r>
        <w:instrText xml:space="preserve"> XE "</w:instrText>
      </w:r>
      <w:r w:rsidRPr="00622E6B">
        <w:rPr>
          <w:i/>
        </w:rPr>
        <w:instrText>Oxfordský</w:instrText>
      </w:r>
      <w:r w:rsidRPr="00F53B8E">
        <w:rPr>
          <w:i/>
        </w:rPr>
        <w:instrText xml:space="preserve"> Anonym</w:instrText>
      </w:r>
      <w:r>
        <w:instrText xml:space="preserve"> 203.14‒15" </w:instrText>
      </w:r>
      <w:r>
        <w:fldChar w:fldCharType="end"/>
      </w:r>
      <w:r>
        <w:t xml:space="preserve">). </w:t>
      </w:r>
      <w:r w:rsidRPr="00273106">
        <w:t xml:space="preserve">Rukopis M </w:t>
      </w:r>
      <w:r>
        <w:t xml:space="preserve">podobná </w:t>
      </w:r>
      <w:r w:rsidRPr="00273106">
        <w:t xml:space="preserve">řešení smetl ze stolu, protože nemá univoční </w:t>
      </w:r>
      <w:r>
        <w:t xml:space="preserve">porretánské </w:t>
      </w:r>
      <w:r w:rsidRPr="00273106">
        <w:t>vidění světa charakteristické pro modernu.</w:t>
      </w:r>
      <w:r>
        <w:t xml:space="preserve"> Siger přesně rozlišil trojí pojetí mediace skrze diafanum (fyzikální, smyslové, inteligibilní), které Aegidius chápe zmateně a navíc substančním způsobem.</w:t>
      </w:r>
    </w:p>
    <w:p w:rsidR="00C90589" w:rsidRDefault="08163013" w:rsidP="08163013">
      <w:r>
        <w:tab/>
        <w:t>S</w:t>
      </w:r>
      <w:r w:rsidRPr="00273106">
        <w:t xml:space="preserve">amostatnou kapitolu tvoří třetí část komentáře k </w:t>
      </w:r>
      <w:proofErr w:type="gramStart"/>
      <w:r>
        <w:rPr>
          <w:i/>
        </w:rPr>
        <w:t>De</w:t>
      </w:r>
      <w:proofErr w:type="gramEnd"/>
      <w:r>
        <w:rPr>
          <w:i/>
        </w:rPr>
        <w:t xml:space="preserve"> anima</w:t>
      </w:r>
      <w:r w:rsidRPr="00273106">
        <w:t xml:space="preserve">, kterou má pouze Oxfordský manuskript. </w:t>
      </w:r>
      <w:r w:rsidR="00956FC7">
        <w:t xml:space="preserve">Autor </w:t>
      </w:r>
      <w:proofErr w:type="gramStart"/>
      <w:r w:rsidR="00956FC7">
        <w:t>rukopisu O zásadně nesouhlasil</w:t>
      </w:r>
      <w:proofErr w:type="gramEnd"/>
      <w:r w:rsidR="00956FC7">
        <w:t xml:space="preserve"> se Sigerovým komentářem ke třetí knize </w:t>
      </w:r>
      <w:r w:rsidR="00956FC7" w:rsidRPr="08450A18">
        <w:rPr>
          <w:i/>
        </w:rPr>
        <w:t>De anima</w:t>
      </w:r>
      <w:r w:rsidR="00956FC7">
        <w:t xml:space="preserve"> dané v QIIIDA. Proto Oxfordský rukopis nahradil Sigerův komentář QIIIDA vlastní verzí DA III, která sleduje linii Akvinského přednášek podaných v Itálii do roku 1268. </w:t>
      </w:r>
      <w:r w:rsidR="00956FC7" w:rsidRPr="00273106">
        <w:t xml:space="preserve">V tomto bodě končí </w:t>
      </w:r>
      <w:r w:rsidR="00956FC7">
        <w:t xml:space="preserve">přibližná </w:t>
      </w:r>
      <w:r w:rsidR="00956FC7" w:rsidRPr="00273106">
        <w:t xml:space="preserve">shoda mezi oběma rukopisy. </w:t>
      </w:r>
      <w:r w:rsidRPr="00273106">
        <w:t xml:space="preserve">Vzhledem k předcházejím částem má </w:t>
      </w:r>
      <w:r w:rsidR="00B605E0">
        <w:t>ta</w:t>
      </w:r>
      <w:r w:rsidR="00956FC7">
        <w:t xml:space="preserve">to část </w:t>
      </w:r>
      <w:r w:rsidRPr="00273106">
        <w:t>několik nových charakteristik, které se rozcházejí v předešlou argumentací</w:t>
      </w:r>
      <w:r>
        <w:t xml:space="preserve"> rukopisu O</w:t>
      </w:r>
      <w:r w:rsidRPr="00273106">
        <w:t>.</w:t>
      </w:r>
      <w:r>
        <w:t xml:space="preserve"> Expozice třetí části </w:t>
      </w:r>
      <w:r w:rsidRPr="00B503ED">
        <w:rPr>
          <w:i/>
        </w:rPr>
        <w:t>De anima</w:t>
      </w:r>
      <w:r>
        <w:t xml:space="preserve"> oxfordského rukopisu má podobnou linii argumentace a pracuje s četbou CMDA </w:t>
      </w:r>
      <w:proofErr w:type="gramStart"/>
      <w:r>
        <w:t>III.5‒6</w:t>
      </w:r>
      <w:proofErr w:type="gramEnd"/>
      <w:r>
        <w:t xml:space="preserve"> ve stejném duchu jako Aegidiovo dílo </w:t>
      </w:r>
      <w:r w:rsidRPr="006E6489">
        <w:rPr>
          <w:i/>
        </w:rPr>
        <w:t>De plurificatione possibilis intellectus</w:t>
      </w:r>
      <w:r w:rsidR="007D1CBE">
        <w:t>, což detailně rozebral</w:t>
      </w:r>
      <w:r>
        <w:t xml:space="preserve"> </w:t>
      </w:r>
      <w:r w:rsidR="007D1CBE">
        <w:t xml:space="preserve">Giele ve </w:t>
      </w:r>
      <w:r>
        <w:t>výše uveden</w:t>
      </w:r>
      <w:r w:rsidR="007D1CBE">
        <w:t xml:space="preserve">é </w:t>
      </w:r>
      <w:r>
        <w:t>studi</w:t>
      </w:r>
      <w:r w:rsidR="007D1CBE">
        <w:t>i</w:t>
      </w:r>
      <w:r>
        <w:t xml:space="preserve">. Posun je dán v radikální kritice Avicenny, kterou předešlé části </w:t>
      </w:r>
      <w:proofErr w:type="gramStart"/>
      <w:r>
        <w:t>rukopisu O nemají</w:t>
      </w:r>
      <w:proofErr w:type="gramEnd"/>
      <w:r>
        <w:t xml:space="preserve">. Avicennova metafyzika měla v modu Toledské konkordance zásadní primát nad metafyzikou Komentátora. </w:t>
      </w:r>
      <w:r w:rsidR="008D4F6B">
        <w:t>Ale t</w:t>
      </w:r>
      <w:r>
        <w:t xml:space="preserve">řetí část je </w:t>
      </w:r>
      <w:r w:rsidR="008D4F6B">
        <w:t xml:space="preserve">zásadně </w:t>
      </w:r>
      <w:r>
        <w:t xml:space="preserve">ovlivněna debatou </w:t>
      </w:r>
      <w:r w:rsidR="008D4F6B">
        <w:t xml:space="preserve">mezi </w:t>
      </w:r>
      <w:r>
        <w:t>Siger</w:t>
      </w:r>
      <w:r w:rsidR="008D4F6B">
        <w:t xml:space="preserve">em a </w:t>
      </w:r>
      <w:r>
        <w:t>Akvinský</w:t>
      </w:r>
      <w:r w:rsidR="008D4F6B">
        <w:t>m</w:t>
      </w:r>
      <w:r>
        <w:t xml:space="preserve"> </w:t>
      </w:r>
      <w:r w:rsidR="008D4F6B">
        <w:t xml:space="preserve">danou do </w:t>
      </w:r>
      <w:r>
        <w:t>roku 1270. Siger odlišil „meta</w:t>
      </w:r>
      <w:r>
        <w:noBreakHyphen/>
        <w:t xml:space="preserve">fyziku“ Averroese od chybného pojetí Avicenny, který začínal od esenciálního výměru jsoucna, místo od reálné první substance. </w:t>
      </w:r>
      <w:r w:rsidR="00557575">
        <w:t xml:space="preserve">Aegidius měl Sigerovu školu, proto dobře věděl, že není možné začít poznání od problematického výměru jsoucna podle Avicenny. Další posun od Avicenny byl dán v návaznosti na kritiku Akvinského. </w:t>
      </w:r>
      <w:r>
        <w:t xml:space="preserve">Třetí část </w:t>
      </w:r>
      <w:proofErr w:type="gramStart"/>
      <w:r>
        <w:t>rukopisu O zcela vylučuje</w:t>
      </w:r>
      <w:proofErr w:type="gramEnd"/>
      <w:r>
        <w:t xml:space="preserve"> m</w:t>
      </w:r>
      <w:r w:rsidRPr="00273106">
        <w:t xml:space="preserve">ateriální pojetí </w:t>
      </w:r>
      <w:r w:rsidRPr="00273106">
        <w:rPr>
          <w:i/>
        </w:rPr>
        <w:t>intellectus possibilis</w:t>
      </w:r>
      <w:r>
        <w:rPr>
          <w:i/>
        </w:rPr>
        <w:fldChar w:fldCharType="begin"/>
      </w:r>
      <w:r>
        <w:instrText xml:space="preserve"> XE "</w:instrText>
      </w:r>
      <w:r w:rsidRPr="00770D02">
        <w:rPr>
          <w:i/>
        </w:rPr>
        <w:instrText>intellectus possibilis</w:instrText>
      </w:r>
      <w:r>
        <w:rPr>
          <w:i/>
        </w:rPr>
        <w:instrText>:</w:instrText>
      </w:r>
      <w:r w:rsidRPr="00FE3A8F">
        <w:instrText>Aegidius Romanus</w:instrText>
      </w:r>
      <w:r>
        <w:instrText xml:space="preserve">" </w:instrText>
      </w:r>
      <w:r>
        <w:rPr>
          <w:i/>
        </w:rPr>
        <w:fldChar w:fldCharType="end"/>
      </w:r>
      <w:r w:rsidRPr="00273106">
        <w:t xml:space="preserve"> a celá koncepce jednoty intelektu je v souladu </w:t>
      </w:r>
      <w:r w:rsidR="00557575">
        <w:t xml:space="preserve">s koncepcí Akvinského traktátu </w:t>
      </w:r>
      <w:r w:rsidR="00557575" w:rsidRPr="00C4007B">
        <w:rPr>
          <w:rStyle w:val="ky2igmncmogjharherah"/>
          <w:i/>
        </w:rPr>
        <w:t>De unitate intellectus contra averroistas</w:t>
      </w:r>
      <w:r w:rsidR="00557575">
        <w:rPr>
          <w:rStyle w:val="ky2igmncmogjharherah"/>
          <w:i/>
        </w:rPr>
        <w:t xml:space="preserve"> </w:t>
      </w:r>
      <w:r w:rsidRPr="00273106">
        <w:t xml:space="preserve">(1270). Individualizace intelektu běží skrze </w:t>
      </w:r>
      <w:r>
        <w:t xml:space="preserve">výkon </w:t>
      </w:r>
      <w:r w:rsidRPr="00273106">
        <w:lastRenderedPageBreak/>
        <w:t>duše</w:t>
      </w:r>
      <w:r w:rsidR="003C1CE7">
        <w:t xml:space="preserve">, která </w:t>
      </w:r>
      <w:r w:rsidRPr="00273106">
        <w:t>je aktuální formou těla. Tím odpadlo předešlé váhání autora rukopisu O</w:t>
      </w:r>
      <w:r w:rsidR="00F34238">
        <w:t xml:space="preserve">. Ten </w:t>
      </w:r>
      <w:r w:rsidRPr="00273106">
        <w:t xml:space="preserve">řešil duši jako </w:t>
      </w:r>
      <w:r>
        <w:t xml:space="preserve">avicennistickou </w:t>
      </w:r>
      <w:r w:rsidRPr="00273106">
        <w:t xml:space="preserve">substanci </w:t>
      </w:r>
      <w:r w:rsidR="003C1CE7">
        <w:t>Toledské školy (</w:t>
      </w:r>
      <w:r w:rsidR="003C1CE7" w:rsidRPr="003C1CE7">
        <w:rPr>
          <w:i/>
        </w:rPr>
        <w:t>anima ut motor</w:t>
      </w:r>
      <w:r w:rsidR="003C1CE7">
        <w:t>). Duše byla aktualizována skrze aktuální a nemateriální</w:t>
      </w:r>
      <w:r>
        <w:t xml:space="preserve"> </w:t>
      </w:r>
      <w:r w:rsidRPr="08561F45">
        <w:rPr>
          <w:i/>
        </w:rPr>
        <w:t>intellectus agens</w:t>
      </w:r>
      <w:r w:rsidR="003C1CE7">
        <w:t xml:space="preserve">, který nasvěcoval </w:t>
      </w:r>
      <w:r>
        <w:t xml:space="preserve">duši zezadu. </w:t>
      </w:r>
      <w:r w:rsidR="003C1CE7">
        <w:t xml:space="preserve">Pro první averroismus to byl totální nesmysl, protože tělesná lidská osoba je aktuální substance pro </w:t>
      </w:r>
      <w:r w:rsidR="003C1CE7" w:rsidRPr="003C1CE7">
        <w:rPr>
          <w:i/>
        </w:rPr>
        <w:t>anima intellectiva</w:t>
      </w:r>
      <w:r w:rsidR="003C1CE7">
        <w:t xml:space="preserve"> jako její formu. </w:t>
      </w:r>
      <w:r w:rsidR="003C1CE7" w:rsidRPr="00273106">
        <w:t>Aegidius Romanus</w:t>
      </w:r>
      <w:r w:rsidR="003C1CE7">
        <w:fldChar w:fldCharType="begin"/>
      </w:r>
      <w:r w:rsidR="003C1CE7">
        <w:instrText xml:space="preserve"> XE "</w:instrText>
      </w:r>
      <w:r w:rsidR="003C1CE7" w:rsidRPr="00B54432">
        <w:instrText>Aegidius Romanus</w:instrText>
      </w:r>
      <w:r w:rsidR="003C1CE7">
        <w:instrText xml:space="preserve">" </w:instrText>
      </w:r>
      <w:r w:rsidR="003C1CE7">
        <w:fldChar w:fldCharType="end"/>
      </w:r>
      <w:r w:rsidR="003C1CE7" w:rsidRPr="00273106">
        <w:t xml:space="preserve"> </w:t>
      </w:r>
      <w:r w:rsidR="003C1CE7">
        <w:t xml:space="preserve">měl původně hypostázované pojetí </w:t>
      </w:r>
      <w:r>
        <w:t xml:space="preserve">duše jako motoru těla. </w:t>
      </w:r>
      <w:r w:rsidRPr="00273106">
        <w:t xml:space="preserve">Po tomto pojetí už nenajdeme ve třetí části rukopisu O ani stopu. </w:t>
      </w:r>
      <w:r>
        <w:t xml:space="preserve">Tato část představuje </w:t>
      </w:r>
      <w:r w:rsidR="003C1CE7">
        <w:t xml:space="preserve">Aegidiův </w:t>
      </w:r>
      <w:r>
        <w:t xml:space="preserve">komentář DA III z let 1268‒70, kdy se zcela přiklonil k pozici Akvinského a </w:t>
      </w:r>
      <w:r w:rsidR="003C1CE7">
        <w:t xml:space="preserve">přitom </w:t>
      </w:r>
      <w:r>
        <w:t xml:space="preserve">zavrhl Sigerův výklad třetí knihy </w:t>
      </w:r>
      <w:r w:rsidRPr="08072C8D">
        <w:rPr>
          <w:i/>
        </w:rPr>
        <w:t>De anima</w:t>
      </w:r>
      <w:r w:rsidR="0008217F">
        <w:t xml:space="preserve"> podaný v QIIIDA. </w:t>
      </w:r>
      <w:r>
        <w:t>Aegidius připsal Averroesovo řešení jednoty intelektu samotnému Aristotelovi a výklad Averroese odmítl jako averroistický. Stejnou aristotelskou pozici měl i Akvinský, od něhož Aegidius tuto argumentaci převzal. Ale</w:t>
      </w:r>
      <w:r w:rsidR="00C90589">
        <w:t xml:space="preserve"> spojení duše a těla představovalo</w:t>
      </w:r>
      <w:r>
        <w:t xml:space="preserve"> pro modernu nepřekonatelný problém</w:t>
      </w:r>
      <w:r w:rsidR="00C90589">
        <w:t>,</w:t>
      </w:r>
      <w:r>
        <w:t xml:space="preserve"> </w:t>
      </w:r>
      <w:r w:rsidR="00C90589">
        <w:t>což platí až dodnes.</w:t>
      </w:r>
    </w:p>
    <w:p w:rsidR="00FD0E79" w:rsidRDefault="08163013" w:rsidP="009141D7">
      <w:pPr>
        <w:ind w:firstLine="397"/>
      </w:pPr>
      <w:r w:rsidRPr="00273106">
        <w:t xml:space="preserve">Autor </w:t>
      </w:r>
      <w:r w:rsidR="00C90589">
        <w:t xml:space="preserve">rukopisu O </w:t>
      </w:r>
      <w:r w:rsidR="00CB6899">
        <w:t xml:space="preserve">komentující DA </w:t>
      </w:r>
      <w:r w:rsidR="00C90589">
        <w:t xml:space="preserve">I–II měl </w:t>
      </w:r>
      <w:r w:rsidR="00DE64B1">
        <w:t xml:space="preserve">teorii </w:t>
      </w:r>
      <w:r w:rsidR="00C90589">
        <w:t>subsistentní</w:t>
      </w:r>
      <w:r w:rsidR="00DE64B1">
        <w:t>ho</w:t>
      </w:r>
      <w:r w:rsidR="00C90589">
        <w:t xml:space="preserve"> intelekt</w:t>
      </w:r>
      <w:r w:rsidR="00DE64B1">
        <w:t>u</w:t>
      </w:r>
      <w:r w:rsidR="00C44897">
        <w:t xml:space="preserve">, </w:t>
      </w:r>
      <w:r w:rsidR="00C90589">
        <w:t xml:space="preserve">proto musel </w:t>
      </w:r>
      <w:r w:rsidRPr="00273106">
        <w:t>odmít</w:t>
      </w:r>
      <w:r w:rsidR="00C90589">
        <w:t xml:space="preserve">nout </w:t>
      </w:r>
      <w:r w:rsidRPr="00273106">
        <w:t xml:space="preserve">komunikaci smyslů a intelektu v rámci </w:t>
      </w:r>
      <w:r>
        <w:t>Averroes</w:t>
      </w:r>
      <w:r w:rsidRPr="00273106">
        <w:t xml:space="preserve">ova </w:t>
      </w:r>
      <w:r w:rsidRPr="00273106">
        <w:rPr>
          <w:i/>
        </w:rPr>
        <w:t>proportio</w:t>
      </w:r>
      <w:r>
        <w:rPr>
          <w:i/>
        </w:rPr>
        <w:fldChar w:fldCharType="begin"/>
      </w:r>
      <w:r>
        <w:instrText xml:space="preserve"> XE "pravda:</w:instrText>
      </w:r>
      <w:r w:rsidRPr="00FD390F">
        <w:rPr>
          <w:i/>
        </w:rPr>
        <w:instrText>proportio</w:instrText>
      </w:r>
      <w:r>
        <w:instrText xml:space="preserve">" </w:instrText>
      </w:r>
      <w:r>
        <w:rPr>
          <w:i/>
        </w:rPr>
        <w:fldChar w:fldCharType="end"/>
      </w:r>
      <w:r w:rsidRPr="00273106">
        <w:t xml:space="preserve"> daném v CMDA. </w:t>
      </w:r>
      <w:r w:rsidR="00C90589">
        <w:t>Bezradný semiaverroista Aegidius v části I–II nutně odmítl pozici Sigera a dostal se do zoufalé pozicie averr</w:t>
      </w:r>
      <w:r w:rsidR="00C44897">
        <w:t>o</w:t>
      </w:r>
      <w:r w:rsidR="00C90589">
        <w:t xml:space="preserve">istů Pechamovy školy. To </w:t>
      </w:r>
      <w:r w:rsidR="00C44897">
        <w:t xml:space="preserve">byla porážka zdravého rozumu, a </w:t>
      </w:r>
      <w:r w:rsidR="00C90589">
        <w:t xml:space="preserve">navíc </w:t>
      </w:r>
      <w:r w:rsidR="00C44897">
        <w:t xml:space="preserve">Aegidius </w:t>
      </w:r>
      <w:r w:rsidR="00C90589">
        <w:t>riskoval odchod z Pařížské univerzity</w:t>
      </w:r>
      <w:r w:rsidR="00C44897">
        <w:t>,</w:t>
      </w:r>
      <w:r w:rsidR="00C90589">
        <w:t xml:space="preserve"> jako všichni </w:t>
      </w:r>
      <w:r w:rsidR="00C44897">
        <w:t xml:space="preserve">citovaní modernisté před ním.  </w:t>
      </w:r>
      <w:r w:rsidR="009141D7" w:rsidRPr="009141D7">
        <w:t>Poslední část rukopisu O III musela odmítnout řešení jed</w:t>
      </w:r>
      <w:r w:rsidR="009141D7">
        <w:t xml:space="preserve">noty osoby podle Sigera tak, aby se nedostala </w:t>
      </w:r>
      <w:r w:rsidR="009141D7" w:rsidRPr="009141D7">
        <w:t xml:space="preserve">do pasti modernistů, jako </w:t>
      </w:r>
      <w:r w:rsidR="009141D7">
        <w:t xml:space="preserve">byl Pecham. </w:t>
      </w:r>
      <w:r w:rsidR="00C44897">
        <w:t xml:space="preserve">Aegidius proto </w:t>
      </w:r>
      <w:r>
        <w:t>ve třetí části zvolil pozici Akvinského</w:t>
      </w:r>
      <w:r w:rsidR="00C44897">
        <w:t>, který byl mnohem lepší semiaverroista</w:t>
      </w:r>
      <w:r w:rsidR="00E4764C">
        <w:t xml:space="preserve">. Navíc se </w:t>
      </w:r>
      <w:r w:rsidR="00C44897">
        <w:t>v</w:t>
      </w:r>
      <w:r w:rsidR="003969EC">
        <w:t xml:space="preserve"> otázce personální jednoty </w:t>
      </w:r>
      <w:r w:rsidR="00E4764C">
        <w:t xml:space="preserve">zcela </w:t>
      </w:r>
      <w:r w:rsidR="00C44897">
        <w:t>rozešel s modernisty</w:t>
      </w:r>
      <w:r>
        <w:t xml:space="preserve">. Váhání ohledně jednoty osoby dané prvních dvou částí rukopisu O </w:t>
      </w:r>
      <w:proofErr w:type="gramStart"/>
      <w:r>
        <w:t>se</w:t>
      </w:r>
      <w:proofErr w:type="gramEnd"/>
      <w:r>
        <w:t xml:space="preserve"> úplně změnilo ve třetí části</w:t>
      </w:r>
      <w:r w:rsidR="00C44897">
        <w:t xml:space="preserve">. </w:t>
      </w:r>
      <w:r w:rsidR="006E2FB3">
        <w:t>Aegidius podobně jako Akvinský jasně</w:t>
      </w:r>
      <w:r>
        <w:t xml:space="preserve"> odmít</w:t>
      </w:r>
      <w:r w:rsidR="006E2FB3">
        <w:t>l</w:t>
      </w:r>
      <w:r>
        <w:t xml:space="preserve"> </w:t>
      </w:r>
      <w:r w:rsidR="006E2FB3">
        <w:t>substanciální povahu</w:t>
      </w:r>
      <w:r>
        <w:t xml:space="preserve"> intelektu</w:t>
      </w:r>
      <w:r w:rsidR="00A56F74">
        <w:t xml:space="preserve"> a duše</w:t>
      </w:r>
      <w:r>
        <w:t xml:space="preserve">. </w:t>
      </w:r>
      <w:r w:rsidRPr="00273106">
        <w:t>Celý koncept jednoty intelektu a poznání je zcela přepracován</w:t>
      </w:r>
      <w:r>
        <w:t xml:space="preserve"> a kritizuje Avicennu z pozice tomisticky podaného Aristotela</w:t>
      </w:r>
      <w:r w:rsidRPr="00273106">
        <w:t>.</w:t>
      </w:r>
      <w:r>
        <w:t xml:space="preserve"> Podrobný úvod k </w:t>
      </w:r>
      <w:proofErr w:type="gramStart"/>
      <w:r w:rsidRPr="006E6489">
        <w:rPr>
          <w:i/>
        </w:rPr>
        <w:t>De</w:t>
      </w:r>
      <w:proofErr w:type="gramEnd"/>
      <w:r w:rsidRPr="006E6489">
        <w:rPr>
          <w:i/>
        </w:rPr>
        <w:t xml:space="preserve"> plurificatione possibilis intellectus</w:t>
      </w:r>
      <w:r>
        <w:t xml:space="preserve"> ukazuje, že Aegidia š</w:t>
      </w:r>
      <w:r w:rsidR="000B5FCA">
        <w:t>e</w:t>
      </w:r>
      <w:r>
        <w:t xml:space="preserve">l ve stopách Akvinského díla </w:t>
      </w:r>
      <w:r>
        <w:rPr>
          <w:i/>
        </w:rPr>
        <w:t xml:space="preserve">Summa contra Gentiles </w:t>
      </w:r>
      <w:r>
        <w:t xml:space="preserve">a </w:t>
      </w:r>
      <w:r w:rsidRPr="00447518">
        <w:rPr>
          <w:i/>
        </w:rPr>
        <w:t>De unitate</w:t>
      </w:r>
      <w:r>
        <w:t xml:space="preserve"> </w:t>
      </w:r>
      <w:r w:rsidRPr="00447518">
        <w:rPr>
          <w:i/>
        </w:rPr>
        <w:t>intellectus</w:t>
      </w:r>
      <w:r>
        <w:t xml:space="preserve"> (Olszewski 2012, 24‒76). Aegidius odmítl avicennismus autonomních forem daných externě a kauzálně vůči duši a intelektu. Třetí část </w:t>
      </w:r>
      <w:proofErr w:type="gramStart"/>
      <w:r>
        <w:t>rukopisu O z velké</w:t>
      </w:r>
      <w:proofErr w:type="gramEnd"/>
      <w:r>
        <w:t xml:space="preserve"> části převzala argumentaci jednoty intelektu podle CMDA</w:t>
      </w:r>
      <w:r w:rsidR="003D0BD3">
        <w:t xml:space="preserve">. </w:t>
      </w:r>
      <w:r w:rsidR="003D0BD3" w:rsidRPr="003D0BD3">
        <w:t xml:space="preserve">Aegidius se však pod vlivem svých osobních Furií </w:t>
      </w:r>
      <w:r w:rsidR="003D0BD3">
        <w:t xml:space="preserve">se stále držel své </w:t>
      </w:r>
      <w:r w:rsidR="003D0BD3" w:rsidRPr="003D0BD3">
        <w:t xml:space="preserve">zuřivé </w:t>
      </w:r>
      <w:r w:rsidR="003D0BD3">
        <w:t xml:space="preserve">kritiky Averroése. </w:t>
      </w:r>
      <w:r>
        <w:t>Ce</w:t>
      </w:r>
      <w:r w:rsidR="00D922F3">
        <w:t>lý traktát</w:t>
      </w:r>
      <w:r>
        <w:t xml:space="preserve"> </w:t>
      </w:r>
      <w:r w:rsidR="00D922F3">
        <w:t xml:space="preserve">je </w:t>
      </w:r>
      <w:r w:rsidR="00B97745">
        <w:t xml:space="preserve">proto </w:t>
      </w:r>
      <w:r w:rsidR="00D922F3">
        <w:t xml:space="preserve">psaný </w:t>
      </w:r>
      <w:r w:rsidR="00B97745">
        <w:t xml:space="preserve">hodně </w:t>
      </w:r>
      <w:r>
        <w:t xml:space="preserve">chaoticky a je vytvořen v duchu školy </w:t>
      </w:r>
      <w:r w:rsidRPr="007A461C">
        <w:rPr>
          <w:i/>
        </w:rPr>
        <w:t>sophistae Latini</w:t>
      </w:r>
      <w:r>
        <w:rPr>
          <w:i/>
        </w:rPr>
        <w:fldChar w:fldCharType="begin"/>
      </w:r>
      <w:r>
        <w:instrText xml:space="preserve"> XE "druhý averroismus:</w:instrText>
      </w:r>
      <w:r w:rsidRPr="00EC0AF4">
        <w:rPr>
          <w:i/>
          <w:lang w:eastAsia="en-US"/>
        </w:rPr>
        <w:instrText>sophistae Latini</w:instrText>
      </w:r>
      <w:r>
        <w:instrText xml:space="preserve">" </w:instrText>
      </w:r>
      <w:r>
        <w:rPr>
          <w:i/>
        </w:rPr>
        <w:fldChar w:fldCharType="end"/>
      </w:r>
      <w:r>
        <w:t xml:space="preserve">. </w:t>
      </w:r>
      <w:r w:rsidR="00B97745">
        <w:t xml:space="preserve">Aegidius přijal Akvinského tezi, že jednota </w:t>
      </w:r>
      <w:r w:rsidR="00B97745">
        <w:lastRenderedPageBreak/>
        <w:t>intelektu musí pocházet z přijetí smyslových fantasmat</w:t>
      </w:r>
      <w:r w:rsidRPr="00273106">
        <w:t xml:space="preserve">. Třetí část </w:t>
      </w:r>
      <w:proofErr w:type="gramStart"/>
      <w:r w:rsidRPr="00273106">
        <w:t>spisu O výslovně odmítá</w:t>
      </w:r>
      <w:proofErr w:type="gramEnd"/>
      <w:r w:rsidRPr="00273106">
        <w:t xml:space="preserve"> ideu, že by aktualita </w:t>
      </w:r>
      <w:r w:rsidRPr="00273106">
        <w:rPr>
          <w:i/>
        </w:rPr>
        <w:t>intellectus agens</w:t>
      </w:r>
      <w:r w:rsidRPr="00273106">
        <w:t xml:space="preserve"> pocházela z jeho vlastních aktuálně daných prvních principů poznání. </w:t>
      </w:r>
      <w:r>
        <w:t xml:space="preserve">To je jasný rozdíl proti první a druhé části. Zlom myšlení ve třetí části rukopisu O </w:t>
      </w:r>
      <w:proofErr w:type="gramStart"/>
      <w:r>
        <w:t>je</w:t>
      </w:r>
      <w:proofErr w:type="gramEnd"/>
      <w:r>
        <w:t xml:space="preserve"> důležitý pro jeho dataci. </w:t>
      </w:r>
      <w:r w:rsidRPr="00273106">
        <w:t xml:space="preserve">Autor </w:t>
      </w:r>
      <w:r>
        <w:t xml:space="preserve">v době psaní O III </w:t>
      </w:r>
      <w:r w:rsidRPr="00273106">
        <w:t>znal Akvinského spis</w:t>
      </w:r>
      <w:r>
        <w:t xml:space="preserve">y z Itálie a možná i spis </w:t>
      </w:r>
      <w:r w:rsidRPr="00273106">
        <w:rPr>
          <w:i/>
        </w:rPr>
        <w:t xml:space="preserve">De unitate intellectus </w:t>
      </w:r>
      <w:r w:rsidRPr="00273106">
        <w:t>(1270)</w:t>
      </w:r>
      <w:r>
        <w:t>. Rozvíjí jejich</w:t>
      </w:r>
      <w:r w:rsidRPr="00273106">
        <w:t xml:space="preserve"> argumentaci proti avicenistům a </w:t>
      </w:r>
      <w:r w:rsidR="00B97745">
        <w:t>po</w:t>
      </w:r>
      <w:r w:rsidRPr="00273106">
        <w:t xml:space="preserve">dává ji jako striktně aristotelskou a v principu neodporující </w:t>
      </w:r>
      <w:r>
        <w:t>Averroes</w:t>
      </w:r>
      <w:r w:rsidRPr="00273106">
        <w:t xml:space="preserve">ovu pojetí. Pojetí </w:t>
      </w:r>
      <w:r>
        <w:t xml:space="preserve">intelektuálního poznání v O III </w:t>
      </w:r>
      <w:r w:rsidRPr="00273106">
        <w:t xml:space="preserve">odpovídá </w:t>
      </w:r>
      <w:r>
        <w:t xml:space="preserve">Tomášově </w:t>
      </w:r>
      <w:r w:rsidRPr="00273106">
        <w:t>pozici</w:t>
      </w:r>
      <w:r>
        <w:t xml:space="preserve"> ve spisech římského období. Anonym navíc </w:t>
      </w:r>
      <w:r w:rsidRPr="00273106">
        <w:t xml:space="preserve">pokračuje v </w:t>
      </w:r>
      <w:r>
        <w:t xml:space="preserve">Tomášově averroistické intepretaci Averroese. Autor </w:t>
      </w:r>
      <w:r w:rsidRPr="00273106">
        <w:t>odmít</w:t>
      </w:r>
      <w:r>
        <w:t xml:space="preserve">á jeho </w:t>
      </w:r>
      <w:r w:rsidRPr="00273106">
        <w:t>pojetí údajné numerické jednoty intelektu pro všechny lidi</w:t>
      </w:r>
      <w:r>
        <w:fldChar w:fldCharType="begin"/>
      </w:r>
      <w:r>
        <w:instrText xml:space="preserve"> XE "inte</w:instrText>
      </w:r>
      <w:r w:rsidRPr="00E47175">
        <w:instrText>l</w:instrText>
      </w:r>
      <w:r>
        <w:instrText>e</w:instrText>
      </w:r>
      <w:r w:rsidRPr="00E47175">
        <w:instrText>kt:numericky jednotný</w:instrText>
      </w:r>
      <w:r>
        <w:instrText xml:space="preserve">" </w:instrText>
      </w:r>
      <w:r>
        <w:fldChar w:fldCharType="end"/>
      </w:r>
      <w:r w:rsidRPr="00273106">
        <w:t>.</w:t>
      </w:r>
      <w:r w:rsidRPr="00273106">
        <w:rPr>
          <w:rStyle w:val="Znakapoznpodarou"/>
        </w:rPr>
        <w:footnoteReference w:id="145"/>
      </w:r>
      <w:r w:rsidRPr="00273106">
        <w:t xml:space="preserve"> Druhá část považuje </w:t>
      </w:r>
      <w:r>
        <w:t>Averroes</w:t>
      </w:r>
      <w:r w:rsidRPr="00273106">
        <w:t xml:space="preserve">ovo učení o jednotě </w:t>
      </w:r>
      <w:r w:rsidRPr="00273106">
        <w:rPr>
          <w:i/>
        </w:rPr>
        <w:t>intellectus possibilis</w:t>
      </w:r>
      <w:r w:rsidRPr="00273106">
        <w:t xml:space="preserve"> za vnitřně rozporné i z hlediska samotného učení </w:t>
      </w:r>
      <w:r>
        <w:t>Averroes</w:t>
      </w:r>
      <w:r w:rsidRPr="00273106">
        <w:t>e.</w:t>
      </w:r>
      <w:r w:rsidR="00C507E8">
        <w:rPr>
          <w:rStyle w:val="Znakapoznpodarou"/>
        </w:rPr>
        <w:footnoteReference w:id="146"/>
      </w:r>
      <w:r w:rsidRPr="00273106">
        <w:t xml:space="preserve"> </w:t>
      </w:r>
      <w:r w:rsidR="000A1BE1">
        <w:t xml:space="preserve">Komentátor </w:t>
      </w:r>
      <w:r w:rsidRPr="00273106">
        <w:t>prý problém poznání ohledně numerické jednoty viděl, ale řešení plurifikace možného intelektu nenašel.</w:t>
      </w:r>
      <w:r>
        <w:t xml:space="preserve"> Neschopnost autora popsat jednotný výkon poznání vede ke schizofrenii ohledně jednoty osoby, z níž </w:t>
      </w:r>
      <w:proofErr w:type="gramStart"/>
      <w:r>
        <w:t>rukopis O falešně obviňuje</w:t>
      </w:r>
      <w:proofErr w:type="gramEnd"/>
      <w:r>
        <w:t xml:space="preserve"> Averroese. V tomto smyslu autor opakuje citovanou bezradnost z první části traktátu ohledně nasvícení intelektu </w:t>
      </w:r>
      <w:r w:rsidRPr="00273106">
        <w:t>(</w:t>
      </w:r>
      <w:r w:rsidRPr="00273106">
        <w:rPr>
          <w:i/>
        </w:rPr>
        <w:t>sed quomodo est istud, magis dubium est</w:t>
      </w:r>
      <w:r w:rsidRPr="00273106">
        <w:t>)</w:t>
      </w:r>
      <w:r>
        <w:t>, protože neví, jak řešit problém jednoty intelektu bez zapojení argumentace podle CMDA. Nyní tuto bezradnost opakuje jako dilema ohledně numerické jednoty možného intelektu, který Averroesovi poprvé sofisticky připsal Rufus (</w:t>
      </w:r>
      <w:r w:rsidR="080E0CEB">
        <w:t>OBJ II, kap. 3.3.3) a po něm Akvinský (4</w:t>
      </w:r>
      <w:r>
        <w:t xml:space="preserve">.5.1). </w:t>
      </w:r>
      <w:r w:rsidRPr="00273106">
        <w:t xml:space="preserve">Autor </w:t>
      </w:r>
      <w:r>
        <w:t xml:space="preserve">dobře ví, že Siger v díle </w:t>
      </w:r>
      <w:r w:rsidRPr="086301A2">
        <w:t>QIIIDA</w:t>
      </w:r>
      <w:r>
        <w:t xml:space="preserve"> odmítl debatu o numerické odlišnosti intelektu v jednotlivcích </w:t>
      </w:r>
      <w:r w:rsidRPr="00273106">
        <w:t xml:space="preserve">a stejně </w:t>
      </w:r>
      <w:r>
        <w:t xml:space="preserve">odmítl i </w:t>
      </w:r>
      <w:r w:rsidRPr="00273106">
        <w:t>numerickou jednotu možného intelektu</w:t>
      </w:r>
      <w:r>
        <w:t xml:space="preserve"> jako nesmysl</w:t>
      </w:r>
      <w:r w:rsidRPr="00273106">
        <w:t xml:space="preserve">. </w:t>
      </w:r>
      <w:r>
        <w:t xml:space="preserve">Ale anonym v rukopisu O tuto Sigerovu argumentaci odmítl, což jasně dokázal v předešlých dvou částech korekcí a změn v Sigerově traktátu. </w:t>
      </w:r>
      <w:r w:rsidRPr="00273106">
        <w:t xml:space="preserve">Pak </w:t>
      </w:r>
      <w:r>
        <w:t xml:space="preserve">bezradnému </w:t>
      </w:r>
      <w:r w:rsidRPr="00273106">
        <w:t xml:space="preserve">autorovi nezbude než sofisticky tvrdit, že </w:t>
      </w:r>
      <w:r>
        <w:t>Averroes</w:t>
      </w:r>
      <w:r w:rsidRPr="00273106">
        <w:t xml:space="preserve"> nevěděl, co vlastně píše, protože </w:t>
      </w:r>
      <w:r>
        <w:t xml:space="preserve">prý </w:t>
      </w:r>
      <w:r w:rsidRPr="00273106">
        <w:t>uváděl argumenty sám proti sobě (</w:t>
      </w:r>
      <w:r w:rsidRPr="00273106">
        <w:rPr>
          <w:i/>
        </w:rPr>
        <w:t>per rationes quas ponit Commentator contra seipsum</w:t>
      </w:r>
      <w:r w:rsidRPr="00273106">
        <w:t xml:space="preserve">). </w:t>
      </w:r>
      <w:r>
        <w:t xml:space="preserve">Jak dále uvidíme, tento postoj parafrázuje Akvinského averroistickou argumentaci v díle </w:t>
      </w:r>
      <w:r w:rsidRPr="00273106">
        <w:rPr>
          <w:i/>
        </w:rPr>
        <w:t xml:space="preserve">De </w:t>
      </w:r>
      <w:r w:rsidRPr="00273106">
        <w:rPr>
          <w:i/>
        </w:rPr>
        <w:lastRenderedPageBreak/>
        <w:t>spiritualibus creaturis</w:t>
      </w:r>
      <w:r w:rsidR="08FF0851">
        <w:t xml:space="preserve"> (kap. 4</w:t>
      </w:r>
      <w:r>
        <w:t xml:space="preserve">.5.3). </w:t>
      </w:r>
      <w:r w:rsidRPr="00273106">
        <w:t xml:space="preserve">Místo obviňování </w:t>
      </w:r>
      <w:r>
        <w:t>Averroes</w:t>
      </w:r>
      <w:r w:rsidRPr="00273106">
        <w:t>e z nedůslednosti měl autor číst CMDA stejně pečlivě jako Siger</w:t>
      </w:r>
      <w:r>
        <w:t xml:space="preserve"> ve výkladu třetí části </w:t>
      </w:r>
      <w:r w:rsidRPr="002C1E36">
        <w:rPr>
          <w:i/>
        </w:rPr>
        <w:t>De anima</w:t>
      </w:r>
      <w:r w:rsidRPr="00273106">
        <w:t xml:space="preserve">. </w:t>
      </w:r>
      <w:r>
        <w:t>S</w:t>
      </w:r>
      <w:r w:rsidRPr="00273106">
        <w:t>tejnou chybu udělal Akvinský, který nečetl CMDA tak pečlivě jako Albert Veliký,</w:t>
      </w:r>
      <w:r>
        <w:t xml:space="preserve"> což mu vyčetl Siger</w:t>
      </w:r>
      <w:r w:rsidR="00FD0E79">
        <w:t>.</w:t>
      </w:r>
    </w:p>
    <w:p w:rsidR="08163013" w:rsidRPr="00273106" w:rsidRDefault="08163013" w:rsidP="00B97745">
      <w:pPr>
        <w:ind w:firstLine="397"/>
      </w:pPr>
      <w:r w:rsidRPr="00273106">
        <w:t>Věnujme se klíčové pasáži rukopisu O</w:t>
      </w:r>
      <w:r>
        <w:t>, která</w:t>
      </w:r>
      <w:r w:rsidRPr="00273106">
        <w:t xml:space="preserve"> řeší sta</w:t>
      </w:r>
      <w:r>
        <w:t>tut spekulativního intelektu</w:t>
      </w:r>
      <w:r w:rsidR="00244C53">
        <w:t xml:space="preserve">. Je třeba porovnat </w:t>
      </w:r>
      <w:r w:rsidRPr="00273106">
        <w:t xml:space="preserve">předložené řešení s již známým Albertovým výkladem v jeho prvním spise </w:t>
      </w:r>
      <w:r w:rsidRPr="00273106">
        <w:rPr>
          <w:i/>
        </w:rPr>
        <w:t>De homine</w:t>
      </w:r>
      <w:r w:rsidRPr="00273106">
        <w:t xml:space="preserve"> (</w:t>
      </w:r>
      <w:r w:rsidR="08FF0851">
        <w:t>OBJ II, kap. 2</w:t>
      </w:r>
      <w:r w:rsidRPr="00273106">
        <w:t xml:space="preserve">.4.2). </w:t>
      </w:r>
      <w:r>
        <w:t xml:space="preserve"> </w:t>
      </w:r>
      <w:r w:rsidRPr="00273106">
        <w:t xml:space="preserve">Anonymní spis chápe </w:t>
      </w:r>
      <w:r w:rsidRPr="00273106">
        <w:rPr>
          <w:i/>
        </w:rPr>
        <w:t>intellectus speculativus</w:t>
      </w:r>
      <w:r>
        <w:rPr>
          <w:i/>
        </w:rPr>
        <w:fldChar w:fldCharType="begin"/>
      </w:r>
      <w:r>
        <w:instrText xml:space="preserve"> XE "</w:instrText>
      </w:r>
      <w:r>
        <w:rPr>
          <w:i/>
        </w:rPr>
        <w:instrText>intellectus speculativus</w:instrText>
      </w:r>
      <w:r>
        <w:instrText xml:space="preserve">" </w:instrText>
      </w:r>
      <w:r>
        <w:rPr>
          <w:i/>
        </w:rPr>
        <w:fldChar w:fldCharType="end"/>
      </w:r>
      <w:r w:rsidRPr="00273106">
        <w:t xml:space="preserve"> v duchu CMDA jako aktuální poznání intelektu, v němž je spojeno dvojí pojetí </w:t>
      </w:r>
      <w:r w:rsidR="00962190">
        <w:rPr>
          <w:i/>
        </w:rPr>
        <w:t>species</w:t>
      </w:r>
      <w:r w:rsidRPr="00273106">
        <w:t xml:space="preserve">. Ty jsou dány jak </w:t>
      </w:r>
      <w:r>
        <w:t xml:space="preserve">v aktualitě osobního </w:t>
      </w:r>
      <w:r w:rsidRPr="00273106">
        <w:t xml:space="preserve">výkonu poznání, tak i v potencialitě univerzálního obsahu společného všem lidem. </w:t>
      </w:r>
      <w:r>
        <w:t xml:space="preserve">Oxfordský rukopis nyní uznává </w:t>
      </w:r>
      <w:r w:rsidR="00962190">
        <w:rPr>
          <w:i/>
        </w:rPr>
        <w:t>species</w:t>
      </w:r>
      <w:r>
        <w:t xml:space="preserve"> podle nasvícení zepředu od reálné věci</w:t>
      </w:r>
      <w:r w:rsidR="00757F4F">
        <w:t>. Ale autor odmítá uznat, že toto řešení je dáno ve spisu CMDA</w:t>
      </w:r>
      <w:r>
        <w:t>.</w:t>
      </w:r>
    </w:p>
    <w:p w:rsidR="08163013" w:rsidRDefault="08163013" w:rsidP="08163013">
      <w:pPr>
        <w:pStyle w:val="Citace"/>
      </w:pPr>
      <w:r w:rsidRPr="00273106">
        <w:rPr>
          <w:noProof/>
          <w:lang w:val="cs-CZ"/>
        </w:rPr>
        <w:t>„</w:t>
      </w:r>
      <w:r w:rsidR="00962190">
        <w:rPr>
          <w:i/>
          <w:noProof/>
          <w:lang w:val="cs-CZ"/>
        </w:rPr>
        <w:t>Species</w:t>
      </w:r>
      <w:r>
        <w:rPr>
          <w:noProof/>
          <w:lang w:val="cs-CZ"/>
        </w:rPr>
        <w:t xml:space="preserve"> existují v naší představivosti individuálně. Jsou inteligibilní v aktu porozumění, proto musí být abstrahována ze smyslových fantasmat. Pokud tomu tak je, pak intelekt se s námi nemůže spojit skrze formu nebo skrze inteligibilní </w:t>
      </w:r>
      <w:r w:rsidR="00962190">
        <w:rPr>
          <w:i/>
          <w:noProof/>
          <w:lang w:val="cs-CZ"/>
        </w:rPr>
        <w:t>species</w:t>
      </w:r>
      <w:r>
        <w:rPr>
          <w:noProof/>
          <w:lang w:val="cs-CZ"/>
        </w:rPr>
        <w:t xml:space="preserve">, které Komentátor nazývá spekulativní intelekt.“ </w:t>
      </w:r>
      <w:r>
        <w:rPr>
          <w:rStyle w:val="Znakapoznpodarou"/>
        </w:rPr>
        <w:footnoteReference w:id="147"/>
      </w:r>
    </w:p>
    <w:p w:rsidR="08163013" w:rsidRPr="00273106" w:rsidRDefault="08163013" w:rsidP="08163013">
      <w:r w:rsidRPr="00273106">
        <w:t xml:space="preserve">První </w:t>
      </w:r>
      <w:r w:rsidR="00962190" w:rsidRPr="005939FE">
        <w:t>species</w:t>
      </w:r>
      <w:r w:rsidRPr="00273106">
        <w:t xml:space="preserve"> je dané individálně skrze smyslovou abstrakci a poznání (</w:t>
      </w:r>
      <w:r w:rsidR="00962190">
        <w:rPr>
          <w:i/>
        </w:rPr>
        <w:t>species</w:t>
      </w:r>
      <w:r w:rsidRPr="00273106">
        <w:rPr>
          <w:i/>
        </w:rPr>
        <w:t xml:space="preserve"> existentes in phantasmatibus nostris existunt sub conditionibus individuantibus</w:t>
      </w:r>
      <w:r w:rsidRPr="00273106">
        <w:t xml:space="preserve">). </w:t>
      </w:r>
      <w:r>
        <w:t xml:space="preserve">Pojetí poznání přesně odpovídá Tomášově rozboru </w:t>
      </w:r>
      <w:r>
        <w:rPr>
          <w:i/>
        </w:rPr>
        <w:t>Quaestiones disputatae D</w:t>
      </w:r>
      <w:r w:rsidRPr="00273106">
        <w:rPr>
          <w:i/>
        </w:rPr>
        <w:t>e potentia</w:t>
      </w:r>
      <w:r w:rsidRPr="00273106">
        <w:t xml:space="preserve"> (</w:t>
      </w:r>
      <w:r>
        <w:t xml:space="preserve">asi </w:t>
      </w:r>
      <w:r w:rsidRPr="00273106">
        <w:t>1265‒66) přednášené</w:t>
      </w:r>
      <w:r>
        <w:t>m</w:t>
      </w:r>
      <w:r w:rsidRPr="00273106">
        <w:t xml:space="preserve"> </w:t>
      </w:r>
      <w:r>
        <w:t xml:space="preserve">na papežské kurii </w:t>
      </w:r>
      <w:r w:rsidRPr="00273106">
        <w:t>v Římě</w:t>
      </w:r>
      <w:r w:rsidR="08BD6965">
        <w:t xml:space="preserve"> (kap. 4</w:t>
      </w:r>
      <w:r>
        <w:t>.5.2)</w:t>
      </w:r>
      <w:r w:rsidRPr="00273106">
        <w:t>.</w:t>
      </w:r>
      <w:r>
        <w:t xml:space="preserve"> Autor stejně jako Akvinský kritizuje averroistický výkon porozumění nemateriálního intelektu v modu </w:t>
      </w:r>
      <w:r w:rsidRPr="08984C41">
        <w:rPr>
          <w:i/>
        </w:rPr>
        <w:t>copulatio</w:t>
      </w:r>
      <w:r>
        <w:t xml:space="preserve"> údajně dané u Averroese v termínu </w:t>
      </w:r>
      <w:r w:rsidRPr="00273106">
        <w:rPr>
          <w:i/>
        </w:rPr>
        <w:t>intellectus speculativus</w:t>
      </w:r>
      <w:r w:rsidRPr="00273106">
        <w:t xml:space="preserve">. </w:t>
      </w:r>
      <w:r w:rsidRPr="08984C41">
        <w:t xml:space="preserve">Albertův výklad v </w:t>
      </w:r>
      <w:proofErr w:type="gramStart"/>
      <w:r w:rsidRPr="00041E00">
        <w:rPr>
          <w:i/>
        </w:rPr>
        <w:t>De</w:t>
      </w:r>
      <w:proofErr w:type="gramEnd"/>
      <w:r w:rsidRPr="00041E00">
        <w:rPr>
          <w:i/>
        </w:rPr>
        <w:t xml:space="preserve"> homine </w:t>
      </w:r>
      <w:r w:rsidRPr="08984C41">
        <w:t xml:space="preserve">řeší schopnost duše skrze </w:t>
      </w:r>
      <w:r w:rsidRPr="08984C41">
        <w:rPr>
          <w:i/>
        </w:rPr>
        <w:t>intellectus speculativus</w:t>
      </w:r>
      <w:r w:rsidRPr="08984C41">
        <w:t xml:space="preserve"> v jednot</w:t>
      </w:r>
      <w:r w:rsidR="00041E00">
        <w:t>ě osoby podle CMDA. T</w:t>
      </w:r>
      <w:r w:rsidRPr="08984C41">
        <w:t xml:space="preserve">ento výkon intelektu produkuje jak </w:t>
      </w:r>
      <w:r w:rsidR="00041E00">
        <w:t xml:space="preserve">personální </w:t>
      </w:r>
      <w:r w:rsidRPr="00273106">
        <w:t>poznání, tak univerzální obsahy</w:t>
      </w:r>
      <w:r>
        <w:t xml:space="preserve"> (</w:t>
      </w:r>
      <w:r w:rsidR="08BD6965">
        <w:t>OBJ II, kap. 2</w:t>
      </w:r>
      <w:r>
        <w:t>.4.2)</w:t>
      </w:r>
      <w:r w:rsidRPr="00273106">
        <w:t xml:space="preserve">. Jenže autor s falešným odvoláním na </w:t>
      </w:r>
      <w:r>
        <w:t>Averroes</w:t>
      </w:r>
      <w:r w:rsidRPr="00273106">
        <w:t>e tento druh intelektu charakterizuje podle Themistia</w:t>
      </w:r>
      <w:r>
        <w:t xml:space="preserve">. Připomeňme, že Averroes </w:t>
      </w:r>
      <w:r w:rsidRPr="00273106">
        <w:t xml:space="preserve">zásadně kritizuje </w:t>
      </w:r>
      <w:r>
        <w:t xml:space="preserve">Themistia </w:t>
      </w:r>
      <w:r w:rsidRPr="00273106">
        <w:t>za duali</w:t>
      </w:r>
      <w:r>
        <w:t>s</w:t>
      </w:r>
      <w:r w:rsidRPr="00273106">
        <w:t xml:space="preserve">tické pojetí </w:t>
      </w:r>
      <w:r>
        <w:t xml:space="preserve">intelektu </w:t>
      </w:r>
      <w:r w:rsidRPr="00273106">
        <w:t>(</w:t>
      </w:r>
      <w:r w:rsidR="08BD6965">
        <w:t xml:space="preserve">OBj I, </w:t>
      </w:r>
      <w:r w:rsidRPr="00273106">
        <w:t xml:space="preserve">kap. 2.4.2). Podle tohoto antického filosofa působí oddělený činný </w:t>
      </w:r>
      <w:proofErr w:type="gramStart"/>
      <w:r w:rsidRPr="00273106">
        <w:t>intelekt  (</w:t>
      </w:r>
      <w:r w:rsidRPr="00273106">
        <w:rPr>
          <w:i/>
        </w:rPr>
        <w:t>intel</w:t>
      </w:r>
      <w:r>
        <w:rPr>
          <w:i/>
        </w:rPr>
        <w:t>l</w:t>
      </w:r>
      <w:r w:rsidRPr="00273106">
        <w:rPr>
          <w:i/>
        </w:rPr>
        <w:t>ectus</w:t>
      </w:r>
      <w:proofErr w:type="gramEnd"/>
      <w:r w:rsidRPr="00273106">
        <w:rPr>
          <w:i/>
        </w:rPr>
        <w:t xml:space="preserve"> agens</w:t>
      </w:r>
      <w:r w:rsidRPr="00273106">
        <w:t>) na oddělený pasivní intelekt (</w:t>
      </w:r>
      <w:r w:rsidRPr="00273106">
        <w:rPr>
          <w:i/>
        </w:rPr>
        <w:t>intellectus possibilis</w:t>
      </w:r>
      <w:r w:rsidRPr="00273106">
        <w:t>) stylem demiurga</w:t>
      </w:r>
      <w:r>
        <w:fldChar w:fldCharType="begin"/>
      </w:r>
      <w:r>
        <w:instrText xml:space="preserve"> XE "</w:instrText>
      </w:r>
      <w:r w:rsidRPr="005C2F4A">
        <w:rPr>
          <w:rStyle w:val="addmd"/>
        </w:rPr>
        <w:instrText>demiurg</w:instrText>
      </w:r>
      <w:r>
        <w:instrText xml:space="preserve">" </w:instrText>
      </w:r>
      <w:r>
        <w:fldChar w:fldCharType="end"/>
      </w:r>
      <w:r w:rsidRPr="00273106">
        <w:t>. Řemeslník má vrozenou ideu a tu vtiskuje do smyslového materiálu (</w:t>
      </w:r>
      <w:r w:rsidRPr="00273106">
        <w:rPr>
          <w:i/>
        </w:rPr>
        <w:t>intellectus materialis</w:t>
      </w:r>
      <w:r w:rsidRPr="00273106">
        <w:t>), aby dostal aktualitu hotového poznatku (</w:t>
      </w:r>
      <w:r w:rsidRPr="00273106">
        <w:rPr>
          <w:i/>
        </w:rPr>
        <w:t>intellectus speculativus</w:t>
      </w:r>
      <w:r w:rsidRPr="00273106">
        <w:t xml:space="preserve">). Autor udělal z </w:t>
      </w:r>
      <w:r>
        <w:t>Averroes</w:t>
      </w:r>
      <w:r w:rsidRPr="00273106">
        <w:t xml:space="preserve">e </w:t>
      </w:r>
      <w:r w:rsidRPr="00273106">
        <w:lastRenderedPageBreak/>
        <w:t xml:space="preserve">averroistu tím, že obě stránky syntézy </w:t>
      </w:r>
      <w:r w:rsidR="00962190">
        <w:rPr>
          <w:i/>
        </w:rPr>
        <w:t>species</w:t>
      </w:r>
      <w:r w:rsidRPr="00273106">
        <w:t xml:space="preserve"> dané v CMDA rozpojil a postavil proti sobě. </w:t>
      </w:r>
      <w:r>
        <w:t xml:space="preserve">Anonym </w:t>
      </w:r>
      <w:r w:rsidRPr="00273106">
        <w:t>sleduje stejně jako Aegidius slepou cestu Themistia, které vyhnul Albert přesnou četbou CMDA.</w:t>
      </w:r>
      <w:r w:rsidRPr="00273106">
        <w:rPr>
          <w:rStyle w:val="Znakapoznpodarou"/>
        </w:rPr>
        <w:footnoteReference w:id="148"/>
      </w:r>
      <w:r w:rsidRPr="00273106">
        <w:t xml:space="preserve"> Připomeňme klíčový zdroj tohoto omylu u Rufuse</w:t>
      </w:r>
      <w:r w:rsidR="00982A79">
        <w:t xml:space="preserve">. Ten zavedl </w:t>
      </w:r>
      <w:r w:rsidRPr="00273106">
        <w:t>do nauky intelektu dilema z výše uvedené</w:t>
      </w:r>
      <w:r>
        <w:t xml:space="preserve">ho Boethiova komentáře k </w:t>
      </w:r>
      <w:r w:rsidRPr="084C011B">
        <w:rPr>
          <w:i/>
        </w:rPr>
        <w:t>Isagoge</w:t>
      </w:r>
      <w:r w:rsidRPr="00273106">
        <w:t xml:space="preserve"> o nemožnosti zprostředkování mezi smyslovým a rozumovým poznáním (</w:t>
      </w:r>
      <w:r w:rsidRPr="00273106">
        <w:rPr>
          <w:i/>
        </w:rPr>
        <w:t>universale est cum intelligitur, particulare cum sentitur</w:t>
      </w:r>
      <w:r w:rsidR="082665B2">
        <w:t>; OBJ II, kap. 3</w:t>
      </w:r>
      <w:r w:rsidRPr="00273106">
        <w:t xml:space="preserve">.3.3). Je jen </w:t>
      </w:r>
      <w:proofErr w:type="gramStart"/>
      <w:r w:rsidRPr="00273106">
        <w:t>logické, že</w:t>
      </w:r>
      <w:proofErr w:type="gramEnd"/>
      <w:r w:rsidRPr="00273106">
        <w:t xml:space="preserve"> rukopis O má s odvoláním na </w:t>
      </w:r>
      <w:r>
        <w:t>Averroes</w:t>
      </w:r>
      <w:r w:rsidRPr="00273106">
        <w:t xml:space="preserve">e přesně opačné pojetí spekulativního </w:t>
      </w:r>
      <w:proofErr w:type="gramStart"/>
      <w:r w:rsidRPr="00273106">
        <w:t>intelektu, než</w:t>
      </w:r>
      <w:proofErr w:type="gramEnd"/>
      <w:r w:rsidRPr="00273106">
        <w:t xml:space="preserve"> měl první averorismu</w:t>
      </w:r>
      <w:r>
        <w:t>s po roce 1240. Pozice moderních a</w:t>
      </w:r>
      <w:r w:rsidRPr="00273106">
        <w:t>lexandrovců</w:t>
      </w:r>
      <w:r>
        <w:fldChar w:fldCharType="begin"/>
      </w:r>
      <w:r>
        <w:instrText xml:space="preserve"> XE "alexandrovci" </w:instrText>
      </w:r>
      <w:r>
        <w:fldChar w:fldCharType="end"/>
      </w:r>
      <w:r w:rsidRPr="00273106">
        <w:t xml:space="preserve"> ukazuje, jak</w:t>
      </w:r>
      <w:r>
        <w:t xml:space="preserve"> bylo </w:t>
      </w:r>
      <w:r w:rsidRPr="00273106">
        <w:t xml:space="preserve">snadné udělat z </w:t>
      </w:r>
      <w:r>
        <w:t>Averroes</w:t>
      </w:r>
      <w:r w:rsidRPr="00273106">
        <w:t>e averroistu.</w:t>
      </w:r>
      <w:r w:rsidR="003366CB">
        <w:t xml:space="preserve"> Stačí buď sofisticky, </w:t>
      </w:r>
      <w:r>
        <w:t xml:space="preserve">nebo z neznalosti spojit třetí a čtvrtý rod intelektu, které jsou podle CMDA metafyzicky odlišné. Jenže ani jeden z těchto intelektů podle Averroese není substance, proto nemůže vystupovat v averroistickém scénáři moderny. </w:t>
      </w:r>
      <w:r w:rsidRPr="00273106">
        <w:t>Autor rukopisu O z pozice druhého averroismu promítá do výkladu CMDA vlastní dualismus</w:t>
      </w:r>
      <w:r>
        <w:t>, z něhož sofisticky obvinil Averroese</w:t>
      </w:r>
      <w:r>
        <w:fldChar w:fldCharType="begin"/>
      </w:r>
      <w:r>
        <w:instrText xml:space="preserve"> XE "</w:instrText>
      </w:r>
      <w:r w:rsidRPr="002255E5">
        <w:instrText>Themistius</w:instrText>
      </w:r>
      <w:r>
        <w:instrText xml:space="preserve">" </w:instrText>
      </w:r>
      <w:r>
        <w:fldChar w:fldCharType="end"/>
      </w:r>
      <w:r w:rsidRPr="00273106">
        <w:t>.</w:t>
      </w:r>
      <w:r>
        <w:t xml:space="preserve"> </w:t>
      </w:r>
      <w:r w:rsidR="003436DE">
        <w:t xml:space="preserve">Tento postup založil </w:t>
      </w:r>
      <w:r>
        <w:t xml:space="preserve">první </w:t>
      </w:r>
      <w:r w:rsidR="003436DE">
        <w:t>verzi</w:t>
      </w:r>
      <w:r>
        <w:t xml:space="preserve"> tomismu</w:t>
      </w:r>
      <w:r w:rsidR="003436DE">
        <w:t xml:space="preserve">, který je </w:t>
      </w:r>
      <w:r>
        <w:t xml:space="preserve">poprvé </w:t>
      </w:r>
      <w:r w:rsidR="003436DE">
        <w:t xml:space="preserve">vidět </w:t>
      </w:r>
      <w:r>
        <w:t>v</w:t>
      </w:r>
      <w:r w:rsidR="00332784">
        <w:t xml:space="preserve"> rukopisu </w:t>
      </w:r>
      <w:r>
        <w:t>O III. Averroes prý individualizoval poznání pouze zvnějšku, skrze konjukci odděleného intelektu, což je původ</w:t>
      </w:r>
      <w:r w:rsidR="08B43605">
        <w:t>ně stanovisko Akvinského (kap. 4</w:t>
      </w:r>
      <w:r>
        <w:t>.5.1). Teze o odděleném možném intelektu byla</w:t>
      </w:r>
      <w:r w:rsidRPr="00273106">
        <w:t xml:space="preserve"> pro </w:t>
      </w:r>
      <w:r>
        <w:t>Averroes</w:t>
      </w:r>
      <w:r w:rsidRPr="00273106">
        <w:t>e napr</w:t>
      </w:r>
      <w:r>
        <w:t xml:space="preserve">osto nepřijatelná, protože z </w:t>
      </w:r>
      <w:r w:rsidRPr="00273106">
        <w:t xml:space="preserve">intelektu jako potence duše by </w:t>
      </w:r>
      <w:r>
        <w:t>se stala oddělená</w:t>
      </w:r>
      <w:r w:rsidRPr="00273106">
        <w:t xml:space="preserve"> subst</w:t>
      </w:r>
      <w:r>
        <w:t>ance</w:t>
      </w:r>
      <w:r w:rsidRPr="00273106">
        <w:t xml:space="preserve"> (</w:t>
      </w:r>
      <w:r w:rsidR="086B6962">
        <w:t>OBJ</w:t>
      </w:r>
      <w:r w:rsidR="08B43605">
        <w:t xml:space="preserve"> I, </w:t>
      </w:r>
      <w:r w:rsidRPr="00273106">
        <w:t xml:space="preserve">kap. 2.4.3). Jak víme, </w:t>
      </w:r>
      <w:r>
        <w:t>Averroes</w:t>
      </w:r>
      <w:r w:rsidRPr="00273106">
        <w:t xml:space="preserve"> zásadně odmítl dát intelektu status věci nebo </w:t>
      </w:r>
      <w:r>
        <w:t>substance</w:t>
      </w:r>
      <w:r w:rsidRPr="00273106">
        <w:t>. Ale bere základní předpoklad Themistia</w:t>
      </w:r>
      <w:r>
        <w:fldChar w:fldCharType="begin"/>
      </w:r>
      <w:r>
        <w:instrText xml:space="preserve"> XE "</w:instrText>
      </w:r>
      <w:r w:rsidRPr="002255E5">
        <w:instrText>Themistius</w:instrText>
      </w:r>
      <w:r>
        <w:instrText xml:space="preserve">" </w:instrText>
      </w:r>
      <w:r>
        <w:fldChar w:fldCharType="end"/>
      </w:r>
      <w:r w:rsidRPr="00273106">
        <w:t xml:space="preserve"> o nematerialitě a oddělenosti pasivního intelektu, který se v této klíčové vlastnosti shoduje s činným intelektem. </w:t>
      </w:r>
      <w:r>
        <w:t xml:space="preserve">Pokud by nebyla shoda v povaze obou intelektů jako </w:t>
      </w:r>
      <w:r w:rsidRPr="005067B7">
        <w:rPr>
          <w:i/>
        </w:rPr>
        <w:t>inmixtus</w:t>
      </w:r>
      <w:r>
        <w:t xml:space="preserve">, pak by člověk nebyl jednou racionální substancí a zmizelo by pojetí pravdy jako adekvace. A toto rozdvojení osoby a zrušení pravdy jako adekvace </w:t>
      </w:r>
      <w:r w:rsidR="08201C1A">
        <w:t>neměl Averro</w:t>
      </w:r>
      <w:r w:rsidR="08E80413">
        <w:t>e</w:t>
      </w:r>
      <w:r w:rsidR="08201C1A">
        <w:t>s</w:t>
      </w:r>
      <w:r w:rsidR="08E80413">
        <w:t xml:space="preserve">, ale </w:t>
      </w:r>
      <w:r>
        <w:t xml:space="preserve">provedl </w:t>
      </w:r>
      <w:r w:rsidR="08E80413">
        <w:t xml:space="preserve">to </w:t>
      </w:r>
      <w:r>
        <w:t>druhý averroismus. Následující definice Averroese jako averroisty shrnuje pozici Aegidia i Akvinského, protože anonym stojí na jejich straně.</w:t>
      </w:r>
    </w:p>
    <w:p w:rsidR="08163013" w:rsidRDefault="08163013" w:rsidP="08163013">
      <w:pPr>
        <w:pStyle w:val="Citace"/>
      </w:pPr>
      <w:r w:rsidRPr="00273106">
        <w:rPr>
          <w:noProof/>
          <w:lang w:val="cs-CZ"/>
        </w:rPr>
        <w:lastRenderedPageBreak/>
        <w:t>„</w:t>
      </w:r>
      <w:r w:rsidR="00061046">
        <w:rPr>
          <w:noProof/>
          <w:lang w:val="cs-CZ"/>
        </w:rPr>
        <w:t>N</w:t>
      </w:r>
      <w:r>
        <w:rPr>
          <w:noProof/>
          <w:lang w:val="cs-CZ"/>
        </w:rPr>
        <w:t>edrží</w:t>
      </w:r>
      <w:r w:rsidR="00061046">
        <w:rPr>
          <w:noProof/>
          <w:lang w:val="cs-CZ"/>
        </w:rPr>
        <w:t>me</w:t>
      </w:r>
      <w:r>
        <w:rPr>
          <w:noProof/>
          <w:lang w:val="cs-CZ"/>
        </w:rPr>
        <w:t xml:space="preserve"> pozici Komentátora, který určil možný intelekt jako aktuální oddělenou substanci. Proto nedefinoval porozumění z hlediska jeho aktuálního výkonu, ale definoval porozumění v lidech skrze vztah k tomuto oddělenému intelektu.“ </w:t>
      </w:r>
      <w:r>
        <w:rPr>
          <w:rStyle w:val="Znakapoznpodarou"/>
        </w:rPr>
        <w:footnoteReference w:id="149"/>
      </w:r>
    </w:p>
    <w:p w:rsidR="00C5135F" w:rsidRDefault="08163013" w:rsidP="08163013">
      <w:r>
        <w:t>Averroes</w:t>
      </w:r>
      <w:r w:rsidRPr="00273106">
        <w:t>ův možný intelekt je prý zásadně oddělený od individuálního lidského poznání, protože tvoří samostatnou separovanou substanci (</w:t>
      </w:r>
      <w:r w:rsidRPr="00273106">
        <w:rPr>
          <w:i/>
        </w:rPr>
        <w:t>intellectum possibilem esse substantiam separatam secundum esse</w:t>
      </w:r>
      <w:r>
        <w:t xml:space="preserve">). Autor bere sofistickou augumentaci Rufuse a Bonaventury připsanou Averroesovi zhruba od </w:t>
      </w:r>
      <w:r w:rsidR="007F1584">
        <w:t xml:space="preserve">roku </w:t>
      </w:r>
      <w:r>
        <w:t>1235</w:t>
      </w:r>
      <w:r w:rsidR="00B01CA5">
        <w:t xml:space="preserve">. Akvinský ji dal do </w:t>
      </w:r>
      <w:r>
        <w:t>nové podob</w:t>
      </w:r>
      <w:r w:rsidR="00B01CA5">
        <w:t xml:space="preserve">y </w:t>
      </w:r>
      <w:r>
        <w:t xml:space="preserve">během prvního pařížského pobytu. </w:t>
      </w:r>
      <w:r w:rsidR="0023741A">
        <w:t xml:space="preserve">Spis </w:t>
      </w:r>
      <w:r w:rsidRPr="00273106">
        <w:t xml:space="preserve">trvá na nematerialitě a univerzalitě možného intelektu odděleného od singulárního a smyslového poznání. Oxfordský rukopis a Aegidius vidí základní problém </w:t>
      </w:r>
      <w:r>
        <w:t>averroistického A</w:t>
      </w:r>
      <w:r w:rsidRPr="00273106">
        <w:t>verro</w:t>
      </w:r>
      <w:r>
        <w:t xml:space="preserve">ese </w:t>
      </w:r>
      <w:r w:rsidRPr="00273106">
        <w:t xml:space="preserve">v tom, že nebyl schopen navázat výkon poznání v jednotlivci na individuální </w:t>
      </w:r>
      <w:r w:rsidRPr="00273106">
        <w:rPr>
          <w:i/>
        </w:rPr>
        <w:t>intellectus possibilis</w:t>
      </w:r>
      <w:r w:rsidRPr="00273106">
        <w:t xml:space="preserve"> oddělený od smyslů.</w:t>
      </w:r>
      <w:r>
        <w:t xml:space="preserve"> Pozdější příklad této sofistiky najdeme ve spise </w:t>
      </w:r>
      <w:r w:rsidR="00485FEF">
        <w:rPr>
          <w:i/>
          <w:szCs w:val="24"/>
        </w:rPr>
        <w:t>De plurificatione possibilis intellectus</w:t>
      </w:r>
      <w:r w:rsidR="00485FEF">
        <w:rPr>
          <w:szCs w:val="24"/>
        </w:rPr>
        <w:t xml:space="preserve"> </w:t>
      </w:r>
      <w:r>
        <w:t>(</w:t>
      </w:r>
      <w:r w:rsidRPr="003140D6">
        <w:t>p. 115.196‒204</w:t>
      </w:r>
      <w:r>
        <w:t xml:space="preserve">). </w:t>
      </w:r>
      <w:r w:rsidRPr="003140D6">
        <w:t xml:space="preserve">Aegidius rozdělí </w:t>
      </w:r>
      <w:r>
        <w:t xml:space="preserve">v citovaném spise poznání na </w:t>
      </w:r>
      <w:r w:rsidRPr="002D6CAA">
        <w:rPr>
          <w:i/>
        </w:rPr>
        <w:t>intellectus materialis</w:t>
      </w:r>
      <w:r>
        <w:t xml:space="preserve"> daný recepcí smyslových forem a na nemateriální </w:t>
      </w:r>
      <w:r w:rsidRPr="002D6CAA">
        <w:rPr>
          <w:i/>
        </w:rPr>
        <w:t>intellectus possibilis</w:t>
      </w:r>
      <w:r>
        <w:t>, který v rámci pochybné numerické jednoty prohlásí za Averroesův produkt. Pak prohlásí, že Averroes neuměl spojit smyslové a rozumové poznání do jednoho celku v rámci individualizovaného intelektu</w:t>
      </w:r>
      <w:r>
        <w:fldChar w:fldCharType="begin"/>
      </w:r>
      <w:r>
        <w:instrText xml:space="preserve"> XE "</w:instrText>
      </w:r>
      <w:r w:rsidRPr="00595358">
        <w:instrText>semiaverroismus</w:instrText>
      </w:r>
      <w:r>
        <w:instrText xml:space="preserve">" </w:instrText>
      </w:r>
      <w:r>
        <w:fldChar w:fldCharType="end"/>
      </w:r>
      <w:r>
        <w:t xml:space="preserve">. </w:t>
      </w:r>
      <w:r w:rsidR="0023741A" w:rsidRPr="0023741A">
        <w:t>Albert a Bacon a po nich Siger našli v Averroesově díle spojení smyslového a intelektuálního poznání, protože sp</w:t>
      </w:r>
      <w:r w:rsidR="0023741A">
        <w:t xml:space="preserve">rávně interpretovali spis CMDA. </w:t>
      </w:r>
      <w:r>
        <w:t xml:space="preserve">Z tohoto základního důvodu </w:t>
      </w:r>
      <w:r w:rsidRPr="00273106">
        <w:t>neměl</w:t>
      </w:r>
      <w:r>
        <w:t xml:space="preserve">i s individuálním charakterem </w:t>
      </w:r>
      <w:r w:rsidRPr="008B2D65">
        <w:rPr>
          <w:i/>
        </w:rPr>
        <w:t>intellectus possibilis</w:t>
      </w:r>
      <w:r w:rsidRPr="00273106">
        <w:t xml:space="preserve"> žádný problém, i když uznávali, že tato otázka je z kategorie velmi obtížných problémů. Nebyli předpojatí, sofističtí a dogmatičtí </w:t>
      </w:r>
      <w:r w:rsidRPr="00273106">
        <w:rPr>
          <w:i/>
        </w:rPr>
        <w:t>Moderni</w:t>
      </w:r>
      <w:r>
        <w:rPr>
          <w:i/>
        </w:rPr>
        <w:fldChar w:fldCharType="begin"/>
      </w:r>
      <w:r>
        <w:instrText xml:space="preserve"> XE "</w:instrText>
      </w:r>
      <w:r w:rsidRPr="00B46F32">
        <w:instrText>averroismus:</w:instrText>
      </w:r>
      <w:r w:rsidRPr="00945973">
        <w:rPr>
          <w:i/>
        </w:rPr>
        <w:instrText>Moderni</w:instrText>
      </w:r>
      <w:r>
        <w:instrText xml:space="preserve">" </w:instrText>
      </w:r>
      <w:r>
        <w:rPr>
          <w:i/>
        </w:rPr>
        <w:fldChar w:fldCharType="end"/>
      </w:r>
      <w:r w:rsidRPr="00273106">
        <w:t xml:space="preserve">, ale kritičtí čtenáři a hledači pravdy. Proto hledali </w:t>
      </w:r>
      <w:r>
        <w:t>jednot</w:t>
      </w:r>
      <w:r w:rsidR="009661A1">
        <w:t>u</w:t>
      </w:r>
      <w:r>
        <w:t xml:space="preserve"> osoby </w:t>
      </w:r>
      <w:r w:rsidRPr="00273106">
        <w:t xml:space="preserve">promyšleným řešením aporií, které postupně řeší třetí část </w:t>
      </w:r>
      <w:r>
        <w:t>CMDA</w:t>
      </w:r>
      <w:r w:rsidRPr="00273106">
        <w:t>.</w:t>
      </w:r>
      <w:r w:rsidRPr="004C058F">
        <w:t xml:space="preserve"> </w:t>
      </w:r>
      <w:r>
        <w:t xml:space="preserve">Akvinský postupoval ve spise </w:t>
      </w:r>
      <w:r w:rsidR="00995DF0" w:rsidRPr="00995DF0">
        <w:rPr>
          <w:i/>
        </w:rPr>
        <w:t>Quaestiones disputatae De potentia</w:t>
      </w:r>
      <w:r w:rsidRPr="00273106">
        <w:t xml:space="preserve"> (</w:t>
      </w:r>
      <w:r>
        <w:t xml:space="preserve">asi </w:t>
      </w:r>
      <w:r w:rsidRPr="00273106">
        <w:t>1265‒66)</w:t>
      </w:r>
      <w:r>
        <w:t xml:space="preserve"> st</w:t>
      </w:r>
      <w:r w:rsidR="086B6962">
        <w:t>ejným způsobem jako CMDA (kap. 4</w:t>
      </w:r>
      <w:r>
        <w:t xml:space="preserve">.5.2). Ale přitom stále tvrdil, že celý tento výklad </w:t>
      </w:r>
      <w:r w:rsidRPr="00257BF9">
        <w:rPr>
          <w:i/>
        </w:rPr>
        <w:t>intellectus possibilis</w:t>
      </w:r>
      <w:r>
        <w:t xml:space="preserve"> a intencionality je čistě aristotelský, protože Averroes je averroista. Jeho semiaverroismus</w:t>
      </w:r>
      <w:r>
        <w:fldChar w:fldCharType="begin"/>
      </w:r>
      <w:r>
        <w:instrText xml:space="preserve"> XE "</w:instrText>
      </w:r>
      <w:r w:rsidRPr="00A86838">
        <w:instrText>semiaverroismus</w:instrText>
      </w:r>
      <w:r>
        <w:instrText xml:space="preserve">" </w:instrText>
      </w:r>
      <w:r>
        <w:fldChar w:fldCharType="end"/>
      </w:r>
      <w:r>
        <w:t xml:space="preserve"> má proto komplikovanější argumentaci než Oxfordský anonym a Aegidius Romanus. Ale třetí část rukopisu O </w:t>
      </w:r>
      <w:proofErr w:type="gramStart"/>
      <w:r>
        <w:t>je</w:t>
      </w:r>
      <w:proofErr w:type="gramEnd"/>
      <w:r>
        <w:t xml:space="preserve"> psána pod vlivem Akvinského interpretace </w:t>
      </w:r>
      <w:r w:rsidRPr="089329DA">
        <w:rPr>
          <w:i/>
        </w:rPr>
        <w:t>De anima</w:t>
      </w:r>
      <w:r>
        <w:t xml:space="preserve"> z římského období. Aegidius pasoval Akvinského za tento výkon na nového vykladače </w:t>
      </w:r>
      <w:r w:rsidR="00B27CC3">
        <w:t xml:space="preserve">Aristotela </w:t>
      </w:r>
      <w:r>
        <w:t>(</w:t>
      </w:r>
      <w:r w:rsidRPr="089329DA">
        <w:rPr>
          <w:i/>
        </w:rPr>
        <w:t>Expositur Novus</w:t>
      </w:r>
      <w:r>
        <w:t xml:space="preserve">), který nahradil Komentátora. </w:t>
      </w:r>
      <w:r w:rsidRPr="00273106">
        <w:t xml:space="preserve">Připomeňme zásadní změnu </w:t>
      </w:r>
      <w:r>
        <w:lastRenderedPageBreak/>
        <w:t xml:space="preserve">tomistické interpretace O III </w:t>
      </w:r>
      <w:r w:rsidRPr="00273106">
        <w:t>vzhledem k předešlým částem</w:t>
      </w:r>
      <w:r w:rsidR="00C87A9E">
        <w:t xml:space="preserve"> I–</w:t>
      </w:r>
      <w:r>
        <w:t>II</w:t>
      </w:r>
      <w:r w:rsidRPr="00273106">
        <w:t xml:space="preserve">, která se týká odmítnutí Avicennových prvních principů poznání aktuálně daných v duši. </w:t>
      </w:r>
      <w:r>
        <w:t xml:space="preserve">Autor se rozešel s pojetím </w:t>
      </w:r>
      <w:r w:rsidRPr="00765910">
        <w:rPr>
          <w:i/>
        </w:rPr>
        <w:t>Oxfordian Fallacy</w:t>
      </w:r>
      <w:r>
        <w:t xml:space="preserve"> na Kilwardbyho Oxfordu a s argumentací Bonaventurovy školy v Paříži. Třetí část </w:t>
      </w:r>
      <w:r w:rsidRPr="00273106">
        <w:t xml:space="preserve">rukopisu O se </w:t>
      </w:r>
      <w:r>
        <w:t xml:space="preserve">striktně </w:t>
      </w:r>
      <w:proofErr w:type="gramStart"/>
      <w:r w:rsidRPr="00273106">
        <w:t>hlásí</w:t>
      </w:r>
      <w:proofErr w:type="gramEnd"/>
      <w:r w:rsidRPr="00273106">
        <w:t xml:space="preserve"> k pojetí intelektu jako Aristotelovy </w:t>
      </w:r>
      <w:r w:rsidRPr="00273106">
        <w:rPr>
          <w:i/>
        </w:rPr>
        <w:t>tabula rasa</w:t>
      </w:r>
      <w:r>
        <w:rPr>
          <w:i/>
        </w:rPr>
        <w:fldChar w:fldCharType="begin"/>
      </w:r>
      <w:r>
        <w:instrText xml:space="preserve"> XE "</w:instrText>
      </w:r>
      <w:r w:rsidRPr="00CE6D17">
        <w:rPr>
          <w:i/>
        </w:rPr>
        <w:instrText>tabula rasa</w:instrText>
      </w:r>
      <w:r>
        <w:instrText xml:space="preserve">" </w:instrText>
      </w:r>
      <w:r>
        <w:rPr>
          <w:i/>
        </w:rPr>
        <w:fldChar w:fldCharType="end"/>
      </w:r>
      <w:r w:rsidRPr="00273106">
        <w:t xml:space="preserve">. </w:t>
      </w:r>
      <w:r>
        <w:t xml:space="preserve">Autor </w:t>
      </w:r>
      <w:r w:rsidRPr="00273106">
        <w:t>zrušil aktualitu prvních poznávacích principů</w:t>
      </w:r>
      <w:r>
        <w:t xml:space="preserve"> daných v první a druhé části stejného rukopisu</w:t>
      </w:r>
      <w:r w:rsidRPr="00273106">
        <w:t>. Intelekt nemůže být substanční složka duše, protože pak by platil avicennistický koncept vrozených idejí.</w:t>
      </w:r>
      <w:r>
        <w:t xml:space="preserve"> Hlavní část kritiky Avicenny najdeme v té části, která představuje jádro nové pozice autora. Jen pro pořádek připomeňme, že už biskup Alvernus kolem 1240 jasně viděl Avicennu jako neoplatonského následovníka Aristotela (</w:t>
      </w:r>
      <w:r w:rsidR="086B6962">
        <w:t>OBJ II, kap. 2</w:t>
      </w:r>
      <w:r>
        <w:t xml:space="preserve">.3.1). Anonym vidí, že avicennisté nemají vůbec žádnou kontinuaci intelektu s reálnou osobou a s jejím aktem individuálního myšlení a mají platonské pojetí idejí. To je také důvod, proč třetí část odmítla jakoukoliv aktualizaci </w:t>
      </w:r>
      <w:r w:rsidRPr="00F375B9">
        <w:rPr>
          <w:i/>
        </w:rPr>
        <w:t>intellectus agens</w:t>
      </w:r>
      <w:r>
        <w:t xml:space="preserve"> danou před smyslovým poznáním.</w:t>
      </w:r>
      <w:r w:rsidRPr="00273106">
        <w:rPr>
          <w:rStyle w:val="Znakapoznpodarou"/>
        </w:rPr>
        <w:footnoteReference w:id="150"/>
      </w:r>
      <w:r w:rsidRPr="00273106">
        <w:t xml:space="preserve"> </w:t>
      </w:r>
      <w:r w:rsidR="00C87A9E">
        <w:t>I</w:t>
      </w:r>
      <w:r w:rsidRPr="00273106">
        <w:t xml:space="preserve">ntelekt v podobě autonomní formy (oddělený </w:t>
      </w:r>
      <w:r w:rsidRPr="00273106">
        <w:rPr>
          <w:i/>
        </w:rPr>
        <w:t>intellectus agens</w:t>
      </w:r>
      <w:r w:rsidRPr="00273106">
        <w:t xml:space="preserve">, </w:t>
      </w:r>
      <w:r w:rsidRPr="00273106">
        <w:rPr>
          <w:i/>
        </w:rPr>
        <w:t>possibilis</w:t>
      </w:r>
      <w:r w:rsidRPr="00273106">
        <w:t xml:space="preserve">) nebo dokonce </w:t>
      </w:r>
      <w:r>
        <w:t xml:space="preserve">v podobě </w:t>
      </w:r>
      <w:r w:rsidRPr="00273106">
        <w:t xml:space="preserve">kompletního hylemorfického </w:t>
      </w:r>
      <w:r>
        <w:t xml:space="preserve">jsoucna třetího druhu </w:t>
      </w:r>
      <w:r w:rsidRPr="00273106">
        <w:t>(</w:t>
      </w:r>
      <w:r w:rsidRPr="00273106">
        <w:rPr>
          <w:i/>
        </w:rPr>
        <w:t>hoc aliquid</w:t>
      </w:r>
      <w:r w:rsidRPr="00273106">
        <w:t xml:space="preserve"> druhého averroismu)</w:t>
      </w:r>
      <w:r>
        <w:t>,</w:t>
      </w:r>
      <w:r w:rsidRPr="00273106">
        <w:t xml:space="preserve"> by měl aktualitu už před </w:t>
      </w:r>
      <w:r w:rsidR="004514AF">
        <w:t xml:space="preserve">osobním </w:t>
      </w:r>
      <w:r w:rsidRPr="00273106">
        <w:t>výkonem myšlení</w:t>
      </w:r>
      <w:r>
        <w:t xml:space="preserve">. Proto by </w:t>
      </w:r>
      <w:r w:rsidRPr="00273106">
        <w:t xml:space="preserve">nikdy nemohl být individuální schopností lidské duše. Třetí </w:t>
      </w:r>
      <w:r>
        <w:t xml:space="preserve">část Oxfordského rukopisu </w:t>
      </w:r>
      <w:r w:rsidRPr="00273106">
        <w:t>akceptovala hlavní tezi CMDA proti neoplatonismu, že intelekt nemůže být substance</w:t>
      </w:r>
      <w:r>
        <w:fldChar w:fldCharType="begin"/>
      </w:r>
      <w:r>
        <w:instrText xml:space="preserve"> XE "</w:instrText>
      </w:r>
      <w:r w:rsidRPr="00DE2A32">
        <w:instrText>substance</w:instrText>
      </w:r>
      <w:r>
        <w:instrText xml:space="preserve">:intelekt" </w:instrText>
      </w:r>
      <w:r>
        <w:fldChar w:fldCharType="end"/>
      </w:r>
      <w:r w:rsidRPr="00273106">
        <w:t>. Tato část komentáře změnila celou linii argumentace pod vlivem Sigerovy a Akvinského kritik</w:t>
      </w:r>
      <w:r w:rsidR="00C5135F">
        <w:t xml:space="preserve">y avicennistů. </w:t>
      </w:r>
    </w:p>
    <w:p w:rsidR="08163013" w:rsidRPr="00273106" w:rsidRDefault="08163013" w:rsidP="00C5135F">
      <w:pPr>
        <w:ind w:firstLine="397"/>
      </w:pPr>
      <w:r w:rsidRPr="00273106">
        <w:t xml:space="preserve">Autor přijal </w:t>
      </w:r>
      <w:r>
        <w:t xml:space="preserve">italskou </w:t>
      </w:r>
      <w:r w:rsidRPr="00273106">
        <w:t xml:space="preserve">argumentaci Akvinského </w:t>
      </w:r>
      <w:r w:rsidR="00743022">
        <w:t xml:space="preserve">uzavřenou </w:t>
      </w:r>
      <w:r>
        <w:t xml:space="preserve">ve </w:t>
      </w:r>
      <w:r w:rsidRPr="00273106">
        <w:t xml:space="preserve">spise </w:t>
      </w:r>
      <w:r w:rsidRPr="00273106">
        <w:rPr>
          <w:i/>
        </w:rPr>
        <w:t xml:space="preserve">De unitate intellectus </w:t>
      </w:r>
      <w:r w:rsidRPr="00273106">
        <w:t xml:space="preserve">a přizpůsobil tomu vlastní výklad. </w:t>
      </w:r>
      <w:r>
        <w:t xml:space="preserve">To je také důvod, proč tato část výkladu </w:t>
      </w:r>
      <w:r w:rsidRPr="0827419F">
        <w:rPr>
          <w:i/>
        </w:rPr>
        <w:t>De anima</w:t>
      </w:r>
      <w:r>
        <w:t xml:space="preserve"> III figuruje v Oxfordském </w:t>
      </w:r>
      <w:r w:rsidR="08D953ED">
        <w:t xml:space="preserve">rukopisu místo Sigerova výkladu </w:t>
      </w:r>
      <w:r w:rsidR="08D953ED" w:rsidRPr="081942A4">
        <w:rPr>
          <w:szCs w:val="24"/>
        </w:rPr>
        <w:t>QIIIDA</w:t>
      </w:r>
      <w:r>
        <w:t>, která naopak kritizuje Akvinského pozici. Oxfordská škola a semiaverroisté typu Aegidia si pro své potřeby sestavili vlastní četbu rukopisů dokumentujících spor o averroismus v modernistickém paradigmatu</w:t>
      </w:r>
      <w:r w:rsidR="00156C8A">
        <w:t>.</w:t>
      </w:r>
      <w:r>
        <w:t xml:space="preserve"> </w:t>
      </w:r>
      <w:r w:rsidRPr="00273106">
        <w:t>K</w:t>
      </w:r>
      <w:r>
        <w:t>líčový argument najdeme v pasáži</w:t>
      </w:r>
      <w:r w:rsidRPr="00273106">
        <w:t xml:space="preserve"> popisující spojení smyslových a inteligibilních </w:t>
      </w:r>
      <w:r w:rsidR="00962190">
        <w:rPr>
          <w:i/>
        </w:rPr>
        <w:t>species</w:t>
      </w:r>
      <w:r>
        <w:fldChar w:fldCharType="begin"/>
      </w:r>
      <w:r>
        <w:instrText xml:space="preserve"> XE "</w:instrText>
      </w:r>
      <w:r w:rsidRPr="00E36143">
        <w:instrText>species:objektivní</w:instrText>
      </w:r>
      <w:r>
        <w:instrText xml:space="preserve">" </w:instrText>
      </w:r>
      <w:r>
        <w:fldChar w:fldCharType="end"/>
      </w:r>
      <w:r w:rsidRPr="00273106">
        <w:t xml:space="preserve">, které předešlý výklad upřel </w:t>
      </w:r>
      <w:r>
        <w:t>Averroes</w:t>
      </w:r>
      <w:r w:rsidRPr="00273106">
        <w:t xml:space="preserve">ovi. </w:t>
      </w:r>
      <w:r>
        <w:t xml:space="preserve">Rukopis ve třetí části odmítl pojetí </w:t>
      </w:r>
      <w:r w:rsidR="00962190">
        <w:rPr>
          <w:i/>
        </w:rPr>
        <w:t>species</w:t>
      </w:r>
      <w:r>
        <w:t xml:space="preserve"> jako porretánského jsoucna třetího druhu. Tím se autor přihlásil k pojetí </w:t>
      </w:r>
      <w:r>
        <w:lastRenderedPageBreak/>
        <w:t xml:space="preserve">pravdy jako adekvace dané v </w:t>
      </w:r>
      <w:proofErr w:type="gramStart"/>
      <w:r w:rsidRPr="080112F4">
        <w:rPr>
          <w:i/>
        </w:rPr>
        <w:t>De</w:t>
      </w:r>
      <w:proofErr w:type="gramEnd"/>
      <w:r w:rsidRPr="080112F4">
        <w:rPr>
          <w:i/>
        </w:rPr>
        <w:t xml:space="preserve"> anima</w:t>
      </w:r>
      <w:r>
        <w:t xml:space="preserve"> a v CMDA. Autor v poslední části kompletně otočil svou pozici danou v předešlých dvou kapitolách podle schématu </w:t>
      </w:r>
      <w:r w:rsidRPr="080112F4">
        <w:rPr>
          <w:i/>
        </w:rPr>
        <w:t>Oxfordian Fallacy</w:t>
      </w:r>
      <w:r>
        <w:t xml:space="preserve">. Proto má následující citát </w:t>
      </w:r>
      <w:r w:rsidR="00E57FAF">
        <w:t xml:space="preserve">důležitou </w:t>
      </w:r>
      <w:r>
        <w:t>roli v ustavení tomismu jako modernizovaného druhého averroismu</w:t>
      </w:r>
      <w:r w:rsidR="00EB6088">
        <w:t>. Další kapitoly se tím zabývají</w:t>
      </w:r>
      <w:r w:rsidR="00EB6088" w:rsidRPr="00EB6088">
        <w:t xml:space="preserve"> podrobněji. </w:t>
      </w:r>
      <w:r>
        <w:t xml:space="preserve">Aegidius </w:t>
      </w:r>
      <w:r w:rsidRPr="00273106">
        <w:t xml:space="preserve">spojil obě rozdělená </w:t>
      </w:r>
      <w:r w:rsidR="00962190">
        <w:rPr>
          <w:i/>
        </w:rPr>
        <w:t>species</w:t>
      </w:r>
      <w:r w:rsidRPr="00273106">
        <w:t xml:space="preserve"> odkazem na Aristotela a na </w:t>
      </w:r>
      <w:r>
        <w:t>Averroes</w:t>
      </w:r>
      <w:r w:rsidRPr="00273106">
        <w:t>e.</w:t>
      </w:r>
    </w:p>
    <w:p w:rsidR="08163013" w:rsidRPr="005D1E8B" w:rsidRDefault="08163013" w:rsidP="08163013">
      <w:pPr>
        <w:pStyle w:val="Citace"/>
        <w:rPr>
          <w:noProof/>
          <w:lang w:val="cs-CZ"/>
        </w:rPr>
      </w:pPr>
      <w:r w:rsidRPr="00273106">
        <w:rPr>
          <w:noProof/>
          <w:lang w:val="cs-CZ"/>
        </w:rPr>
        <w:t>„</w:t>
      </w:r>
      <w:r w:rsidR="00962190">
        <w:rPr>
          <w:i/>
          <w:noProof/>
          <w:lang w:val="cs-CZ"/>
        </w:rPr>
        <w:t>Species</w:t>
      </w:r>
      <w:r>
        <w:rPr>
          <w:noProof/>
          <w:lang w:val="cs-CZ"/>
        </w:rPr>
        <w:t xml:space="preserve"> vystupuje vzhledem k možnému intelektu jako instrumentální činitel, protože </w:t>
      </w:r>
      <w:r w:rsidR="08AA5CCC">
        <w:rPr>
          <w:noProof/>
          <w:lang w:val="cs-CZ"/>
        </w:rPr>
        <w:t>každá</w:t>
      </w:r>
      <w:r>
        <w:rPr>
          <w:noProof/>
          <w:lang w:val="cs-CZ"/>
        </w:rPr>
        <w:t xml:space="preserve"> věc </w:t>
      </w:r>
      <w:r w:rsidR="08AA5CCC">
        <w:rPr>
          <w:noProof/>
          <w:lang w:val="cs-CZ"/>
        </w:rPr>
        <w:t xml:space="preserve">je </w:t>
      </w:r>
      <w:r>
        <w:rPr>
          <w:noProof/>
          <w:lang w:val="cs-CZ"/>
        </w:rPr>
        <w:t>principiálně</w:t>
      </w:r>
      <w:r w:rsidR="08AA5CCC">
        <w:rPr>
          <w:noProof/>
          <w:lang w:val="cs-CZ"/>
        </w:rPr>
        <w:t xml:space="preserve"> pohybována skrze vnějšího činitele</w:t>
      </w:r>
      <w:r>
        <w:rPr>
          <w:noProof/>
          <w:lang w:val="cs-CZ"/>
        </w:rPr>
        <w:t xml:space="preserve">. </w:t>
      </w:r>
      <w:r w:rsidR="00962190">
        <w:rPr>
          <w:i/>
          <w:noProof/>
          <w:lang w:val="cs-CZ"/>
        </w:rPr>
        <w:t>Species</w:t>
      </w:r>
      <w:r>
        <w:rPr>
          <w:noProof/>
          <w:lang w:val="cs-CZ"/>
        </w:rPr>
        <w:t xml:space="preserve"> ale není v poznávajícím intellektu jinak než podle podobnosti. A </w:t>
      </w:r>
      <w:r w:rsidR="00962190">
        <w:rPr>
          <w:i/>
          <w:noProof/>
          <w:lang w:val="cs-CZ"/>
        </w:rPr>
        <w:t>species</w:t>
      </w:r>
      <w:r>
        <w:rPr>
          <w:noProof/>
          <w:lang w:val="cs-CZ"/>
        </w:rPr>
        <w:t xml:space="preserve"> není hlavním předmětem porozumění, ale je tím, skrze něž porozumění přichází k tomu, co jest (</w:t>
      </w:r>
      <w:r w:rsidRPr="00301F09">
        <w:rPr>
          <w:i/>
          <w:noProof/>
          <w:lang w:val="cs-CZ"/>
        </w:rPr>
        <w:t>illud quo intelligitur quod quid est</w:t>
      </w:r>
      <w:r>
        <w:rPr>
          <w:noProof/>
          <w:lang w:val="cs-CZ"/>
        </w:rPr>
        <w:t xml:space="preserve">). Takto se </w:t>
      </w:r>
      <w:r w:rsidR="00962190">
        <w:rPr>
          <w:i/>
          <w:noProof/>
          <w:lang w:val="cs-CZ"/>
        </w:rPr>
        <w:t>species</w:t>
      </w:r>
      <w:r>
        <w:rPr>
          <w:noProof/>
          <w:lang w:val="cs-CZ"/>
        </w:rPr>
        <w:t xml:space="preserve"> stává podobností poznávané věci (</w:t>
      </w:r>
      <w:r w:rsidRPr="00301F09">
        <w:rPr>
          <w:i/>
          <w:noProof/>
          <w:lang w:val="cs-CZ"/>
        </w:rPr>
        <w:t xml:space="preserve">quid est, cuius est </w:t>
      </w:r>
      <w:r w:rsidR="00962190">
        <w:rPr>
          <w:i/>
          <w:noProof/>
          <w:lang w:val="cs-CZ"/>
        </w:rPr>
        <w:t>species</w:t>
      </w:r>
      <w:r w:rsidRPr="00301F09">
        <w:rPr>
          <w:i/>
          <w:noProof/>
          <w:lang w:val="cs-CZ"/>
        </w:rPr>
        <w:t xml:space="preserve"> seu similitudo</w:t>
      </w:r>
      <w:r>
        <w:rPr>
          <w:noProof/>
          <w:lang w:val="cs-CZ"/>
        </w:rPr>
        <w:t xml:space="preserve">). Pak je pravdivé, že z podobnosti je možné porozumění v rámci deduktivního soudu, jak praví Komentátor.“ </w:t>
      </w:r>
      <w:r>
        <w:rPr>
          <w:rStyle w:val="Znakapoznpodarou"/>
        </w:rPr>
        <w:footnoteReference w:id="151"/>
      </w:r>
    </w:p>
    <w:p w:rsidR="00D7417A" w:rsidRDefault="08163013" w:rsidP="08163013">
      <w:r w:rsidRPr="00273106">
        <w:t xml:space="preserve">Na rozdíl od předchozí pozice autor jasně vidí, že je třeba po vzoru CMDA hledat ono </w:t>
      </w:r>
      <w:r w:rsidRPr="00273106">
        <w:rPr>
          <w:i/>
        </w:rPr>
        <w:t>proportio</w:t>
      </w:r>
      <w:r w:rsidRPr="00273106">
        <w:t xml:space="preserve"> nebo </w:t>
      </w:r>
      <w:r w:rsidRPr="00273106">
        <w:rPr>
          <w:i/>
        </w:rPr>
        <w:t>similitudo</w:t>
      </w:r>
      <w:r w:rsidRPr="00273106">
        <w:t xml:space="preserve"> mezi smysly a intelektem. </w:t>
      </w:r>
      <w:r>
        <w:t xml:space="preserve">Jak dále uvidíme, toto </w:t>
      </w:r>
      <w:r w:rsidRPr="08DF3FD4">
        <w:rPr>
          <w:i/>
        </w:rPr>
        <w:t>similitudo ex consequenti</w:t>
      </w:r>
      <w:r w:rsidRPr="00273106">
        <w:t xml:space="preserve"> </w:t>
      </w:r>
      <w:r>
        <w:t xml:space="preserve">je vzato z formálního principu </w:t>
      </w:r>
      <w:r w:rsidR="08FC5D2D">
        <w:t>dedukce podle Akvinského (kap. 4</w:t>
      </w:r>
      <w:r>
        <w:t xml:space="preserve">.5.2). Ale správně definovaná </w:t>
      </w:r>
      <w:r w:rsidR="00962190">
        <w:rPr>
          <w:i/>
        </w:rPr>
        <w:t>species</w:t>
      </w:r>
      <w:r>
        <w:rPr>
          <w:i/>
        </w:rPr>
        <w:t xml:space="preserve"> intelli</w:t>
      </w:r>
      <w:r w:rsidRPr="08DF3FD4">
        <w:rPr>
          <w:i/>
        </w:rPr>
        <w:t>gib</w:t>
      </w:r>
      <w:r>
        <w:rPr>
          <w:i/>
        </w:rPr>
        <w:t>i</w:t>
      </w:r>
      <w:r w:rsidRPr="08DF3FD4">
        <w:rPr>
          <w:i/>
        </w:rPr>
        <w:t>lis</w:t>
      </w:r>
      <w:r>
        <w:t xml:space="preserve"> v tomto prvním tomistickém schématu poznání znamená, že </w:t>
      </w:r>
      <w:r w:rsidR="00962190">
        <w:rPr>
          <w:i/>
        </w:rPr>
        <w:t>species</w:t>
      </w:r>
      <w:r>
        <w:t xml:space="preserve"> v žádném případě nemůže hrát roli jsoucna třetího druhu jako v moderně. Opět jde o správně pochopené a dobře vylož</w:t>
      </w:r>
      <w:r w:rsidR="08FC5D2D">
        <w:t xml:space="preserve">ené Akvinského schéma poznání ve spise </w:t>
      </w:r>
      <w:r w:rsidR="00E848AA">
        <w:rPr>
          <w:i/>
          <w:szCs w:val="24"/>
        </w:rPr>
        <w:t>Quaestiones disputatae D</w:t>
      </w:r>
      <w:r w:rsidR="085F259F" w:rsidRPr="081942A4">
        <w:rPr>
          <w:i/>
          <w:szCs w:val="24"/>
        </w:rPr>
        <w:t>e potentia</w:t>
      </w:r>
      <w:r w:rsidR="084754DB" w:rsidRPr="081942A4">
        <w:rPr>
          <w:szCs w:val="24"/>
        </w:rPr>
        <w:t xml:space="preserve">, které je </w:t>
      </w:r>
      <w:r w:rsidRPr="08AE5586">
        <w:t>posta</w:t>
      </w:r>
      <w:r>
        <w:t>ve</w:t>
      </w:r>
      <w:r w:rsidRPr="08AE5586">
        <w:t>né proti mode</w:t>
      </w:r>
      <w:r>
        <w:t>r</w:t>
      </w:r>
      <w:r w:rsidRPr="08AE5586">
        <w:t>nistům.</w:t>
      </w:r>
      <w:r>
        <w:t xml:space="preserve"> </w:t>
      </w:r>
      <w:r w:rsidRPr="00273106">
        <w:t xml:space="preserve">Klíčová je pasáž o instrumentálním vlivu smyslových </w:t>
      </w:r>
      <w:r w:rsidR="00962190">
        <w:rPr>
          <w:i/>
        </w:rPr>
        <w:t>species</w:t>
      </w:r>
      <w:r w:rsidRPr="00273106">
        <w:t xml:space="preserve"> na intelekt (</w:t>
      </w:r>
      <w:r w:rsidR="00962190">
        <w:rPr>
          <w:i/>
        </w:rPr>
        <w:t>species</w:t>
      </w:r>
      <w:r w:rsidRPr="00273106">
        <w:rPr>
          <w:i/>
        </w:rPr>
        <w:t xml:space="preserve"> se habet ad intellectum possibilem sic videlicet sicut movens instrumentale</w:t>
      </w:r>
      <w:r w:rsidRPr="00273106">
        <w:t>). Je jasné, že tento vliv nemůže být dán podle eficie</w:t>
      </w:r>
      <w:r>
        <w:t>ntní kauzality, protože smyslová</w:t>
      </w:r>
      <w:r w:rsidRPr="00273106">
        <w:t xml:space="preserve"> </w:t>
      </w:r>
      <w:r w:rsidR="00962190" w:rsidRPr="00DB47BD">
        <w:t>species</w:t>
      </w:r>
      <w:r w:rsidRPr="00273106">
        <w:t xml:space="preserve"> je materiální a individuální, zatímco inteligibilní </w:t>
      </w:r>
      <w:r w:rsidR="00962190" w:rsidRPr="00DB47BD">
        <w:t>species</w:t>
      </w:r>
      <w:r w:rsidRPr="00273106">
        <w:t xml:space="preserve"> je nemateriální a univerzální povahy. Tím se dostáváme ke klíčovým debatám mezi Sigerem a Akvinským </w:t>
      </w:r>
      <w:r>
        <w:t>do roku</w:t>
      </w:r>
      <w:r w:rsidRPr="00273106">
        <w:t xml:space="preserve"> 1270, které autor dobře znal. Viz obě následující kapitoly věnované Sigerovi a Akvinskému. Další věta představuje syntézu </w:t>
      </w:r>
      <w:r>
        <w:t xml:space="preserve">objektivního </w:t>
      </w:r>
      <w:r w:rsidRPr="00273106">
        <w:t xml:space="preserve">proudu prvního averroismu </w:t>
      </w:r>
      <w:r>
        <w:t xml:space="preserve">do roku </w:t>
      </w:r>
      <w:r w:rsidRPr="00273106">
        <w:t>1270</w:t>
      </w:r>
      <w:r>
        <w:t>, který se zásadně oddělil od modernistů ze školy druhého averroismu</w:t>
      </w:r>
      <w:r w:rsidRPr="00273106">
        <w:t>. Intelekt nepozná</w:t>
      </w:r>
      <w:r w:rsidR="00AF327F">
        <w:t>vá na smyslové</w:t>
      </w:r>
      <w:r w:rsidRPr="00273106">
        <w:t xml:space="preserve"> </w:t>
      </w:r>
      <w:r w:rsidR="00962190" w:rsidRPr="00AF327F">
        <w:t>species</w:t>
      </w:r>
      <w:r w:rsidRPr="00273106">
        <w:t xml:space="preserve"> je</w:t>
      </w:r>
      <w:r w:rsidR="00AF327F">
        <w:t>jí</w:t>
      </w:r>
      <w:r w:rsidRPr="00273106">
        <w:t xml:space="preserve"> materiální </w:t>
      </w:r>
      <w:r w:rsidR="00AF327F">
        <w:t>esenci (</w:t>
      </w:r>
      <w:r w:rsidRPr="008A679B">
        <w:rPr>
          <w:i/>
        </w:rPr>
        <w:t>quod</w:t>
      </w:r>
      <w:r w:rsidR="00AF327F">
        <w:t>). T</w:t>
      </w:r>
      <w:r w:rsidRPr="00273106">
        <w:t>o tvrdily předešlé averroistické části traktátu</w:t>
      </w:r>
      <w:r>
        <w:t xml:space="preserve"> </w:t>
      </w:r>
      <w:r w:rsidR="00AF327F">
        <w:t xml:space="preserve">s </w:t>
      </w:r>
      <w:r>
        <w:t xml:space="preserve">odvoláním na univoční porretánskou </w:t>
      </w:r>
      <w:r w:rsidR="00962190" w:rsidRPr="00AF327F">
        <w:t>species</w:t>
      </w:r>
      <w:r w:rsidR="00AF327F">
        <w:t xml:space="preserve"> chápanou jako Rufusovo objektivní </w:t>
      </w:r>
      <w:r w:rsidR="00AF327F" w:rsidRPr="00AF327F">
        <w:rPr>
          <w:i/>
        </w:rPr>
        <w:t>scibile</w:t>
      </w:r>
      <w:r w:rsidRPr="00273106">
        <w:t xml:space="preserve">. Autor nyní jasně </w:t>
      </w:r>
      <w:r w:rsidRPr="00273106">
        <w:lastRenderedPageBreak/>
        <w:t xml:space="preserve">vidí, že intelekt používá </w:t>
      </w:r>
      <w:r>
        <w:t>smyslová</w:t>
      </w:r>
      <w:r w:rsidRPr="00273106">
        <w:t xml:space="preserve"> </w:t>
      </w:r>
      <w:r w:rsidR="00962190">
        <w:rPr>
          <w:i/>
        </w:rPr>
        <w:t>species</w:t>
      </w:r>
      <w:r w:rsidRPr="00273106">
        <w:t xml:space="preserve"> k tomu, aby aktualizoval vlastní výkon poznání daný na jiné rovině (</w:t>
      </w:r>
      <w:r w:rsidRPr="00273106">
        <w:rPr>
          <w:i/>
        </w:rPr>
        <w:t>sed est illud quo intelligitur quod quid est</w:t>
      </w:r>
      <w:r w:rsidRPr="00273106">
        <w:t>). Tímto novým výkonem aktualizace v rámci intelektu aktualizovaného díky smyslům (</w:t>
      </w:r>
      <w:r w:rsidRPr="00273106">
        <w:rPr>
          <w:i/>
        </w:rPr>
        <w:t>quo est</w:t>
      </w:r>
      <w:r>
        <w:rPr>
          <w:i/>
        </w:rPr>
        <w:fldChar w:fldCharType="begin"/>
      </w:r>
      <w:r>
        <w:instrText xml:space="preserve"> XE "</w:instrText>
      </w:r>
      <w:r w:rsidRPr="003C4F2E">
        <w:rPr>
          <w:i/>
        </w:rPr>
        <w:instrText>quo est</w:instrText>
      </w:r>
      <w:r>
        <w:instrText xml:space="preserve">" </w:instrText>
      </w:r>
      <w:r>
        <w:rPr>
          <w:i/>
        </w:rPr>
        <w:fldChar w:fldCharType="end"/>
      </w:r>
      <w:r w:rsidRPr="00273106">
        <w:t>), zůstane zachována i esence dané věci, k</w:t>
      </w:r>
      <w:r w:rsidR="008A06EA">
        <w:t xml:space="preserve">terou nejprve poznávají smysly </w:t>
      </w:r>
      <w:r w:rsidRPr="00273106">
        <w:t>(</w:t>
      </w:r>
      <w:r w:rsidRPr="00273106">
        <w:rPr>
          <w:i/>
        </w:rPr>
        <w:t>quod est quid est</w:t>
      </w:r>
      <w:r w:rsidRPr="00273106">
        <w:t xml:space="preserve">). </w:t>
      </w:r>
      <w:r>
        <w:t xml:space="preserve">Proto </w:t>
      </w:r>
      <w:r w:rsidR="00962190" w:rsidRPr="008A06EA">
        <w:t>species</w:t>
      </w:r>
      <w:r>
        <w:t xml:space="preserve"> není výsledkem poznání</w:t>
      </w:r>
      <w:r w:rsidR="00E81D1C">
        <w:t xml:space="preserve"> v jeho aktuálním výkonu (</w:t>
      </w:r>
      <w:r w:rsidR="00E81D1C" w:rsidRPr="00E81D1C">
        <w:rPr>
          <w:i/>
        </w:rPr>
        <w:t>quo est</w:t>
      </w:r>
      <w:r w:rsidR="00E81D1C">
        <w:t xml:space="preserve">). Výsledný poznatek je </w:t>
      </w:r>
      <w:r>
        <w:t xml:space="preserve">univerzální pojem </w:t>
      </w:r>
      <w:r w:rsidR="008A06EA">
        <w:t xml:space="preserve">daný </w:t>
      </w:r>
      <w:r>
        <w:t xml:space="preserve">v modu </w:t>
      </w:r>
      <w:r w:rsidR="008A06EA">
        <w:t>„</w:t>
      </w:r>
      <w:r w:rsidRPr="082447DE">
        <w:rPr>
          <w:i/>
        </w:rPr>
        <w:t>quod est</w:t>
      </w:r>
      <w:r w:rsidR="008A06EA">
        <w:t>“</w:t>
      </w:r>
      <w:r>
        <w:t xml:space="preserve">. Nová definice </w:t>
      </w:r>
      <w:r w:rsidR="00962190" w:rsidRPr="00C56B98">
        <w:t>species</w:t>
      </w:r>
      <w:r>
        <w:t xml:space="preserve"> v modu </w:t>
      </w:r>
      <w:r w:rsidR="00C56B98">
        <w:t>„</w:t>
      </w:r>
      <w:r w:rsidRPr="082447DE">
        <w:rPr>
          <w:i/>
        </w:rPr>
        <w:t>quo est</w:t>
      </w:r>
      <w:r w:rsidR="00C56B98">
        <w:t>“</w:t>
      </w:r>
      <w:r>
        <w:t xml:space="preserve"> představuje pouze instrument nesoucí aktualitu poznání daného skrze </w:t>
      </w:r>
      <w:r w:rsidR="00962190" w:rsidRPr="00C56B98">
        <w:t>species</w:t>
      </w:r>
      <w:r>
        <w:t xml:space="preserve"> jako individuální výkon osoby. </w:t>
      </w:r>
      <w:r w:rsidRPr="00273106">
        <w:t>Pak můžeme mluvit o pravdě jako adekvaci věci a intelektu</w:t>
      </w:r>
      <w:r>
        <w:t xml:space="preserve"> i podle Aristotela</w:t>
      </w:r>
      <w:r w:rsidRPr="00273106">
        <w:t xml:space="preserve">. </w:t>
      </w:r>
      <w:r>
        <w:t xml:space="preserve">Toto </w:t>
      </w:r>
      <w:r w:rsidRPr="00273106">
        <w:t xml:space="preserve">pojetí obsahuje Akvinského traktát </w:t>
      </w:r>
      <w:r w:rsidR="00DB1E44">
        <w:rPr>
          <w:i/>
        </w:rPr>
        <w:t>Quaestiones disputatae D</w:t>
      </w:r>
      <w:r w:rsidRPr="00273106">
        <w:rPr>
          <w:i/>
        </w:rPr>
        <w:t>e potentia</w:t>
      </w:r>
      <w:r w:rsidRPr="00273106">
        <w:t xml:space="preserve"> </w:t>
      </w:r>
      <w:r w:rsidR="085F259F">
        <w:t>přednášený v Římě (kap. 4</w:t>
      </w:r>
      <w:r>
        <w:t>.5.2</w:t>
      </w:r>
      <w:r w:rsidRPr="00273106">
        <w:t>). Rozdílnými složkami aktualizace (</w:t>
      </w:r>
      <w:r w:rsidRPr="00273106">
        <w:rPr>
          <w:i/>
        </w:rPr>
        <w:t xml:space="preserve">quo est </w:t>
      </w:r>
      <w:r w:rsidRPr="00273106">
        <w:t>/</w:t>
      </w:r>
      <w:r w:rsidRPr="00273106">
        <w:rPr>
          <w:i/>
        </w:rPr>
        <w:t xml:space="preserve"> quod est </w:t>
      </w:r>
      <w:r w:rsidRPr="00273106">
        <w:t>/</w:t>
      </w:r>
      <w:r w:rsidRPr="00273106">
        <w:rPr>
          <w:i/>
        </w:rPr>
        <w:t xml:space="preserve"> quid est</w:t>
      </w:r>
      <w:r w:rsidRPr="00273106">
        <w:t>) vytvoříme skutečnou nápodobu</w:t>
      </w:r>
      <w:r w:rsidR="00607BEE">
        <w:t xml:space="preserve"> reality</w:t>
      </w:r>
      <w:r w:rsidRPr="00273106">
        <w:t xml:space="preserve">, protože </w:t>
      </w:r>
      <w:r w:rsidR="00962190" w:rsidRPr="00167DFA">
        <w:t>species</w:t>
      </w:r>
      <w:r w:rsidRPr="00273106">
        <w:t xml:space="preserve"> intelektu se stane novu univerzální podobou smyslového species (</w:t>
      </w:r>
      <w:r w:rsidRPr="00273106">
        <w:rPr>
          <w:i/>
        </w:rPr>
        <w:t xml:space="preserve">cuius est </w:t>
      </w:r>
      <w:r w:rsidR="00962190">
        <w:rPr>
          <w:i/>
        </w:rPr>
        <w:t>species</w:t>
      </w:r>
      <w:r w:rsidRPr="00273106">
        <w:rPr>
          <w:i/>
        </w:rPr>
        <w:t xml:space="preserve"> seu similitudo</w:t>
      </w:r>
      <w:r w:rsidRPr="00273106">
        <w:t>).</w:t>
      </w:r>
      <w:r>
        <w:t xml:space="preserve"> Indikace změny pozice a současně kritika Averroese je uvedena dále (</w:t>
      </w:r>
      <w:r w:rsidRPr="00BA4264">
        <w:rPr>
          <w:i/>
        </w:rPr>
        <w:t>mihi ad presens non videtur hoc</w:t>
      </w:r>
      <w:r>
        <w:t>, O 3.10; p. 322.19‒49</w:t>
      </w:r>
      <w:r>
        <w:fldChar w:fldCharType="begin"/>
      </w:r>
      <w:r>
        <w:instrText xml:space="preserve"> XE "</w:instrText>
      </w:r>
      <w:r w:rsidRPr="00622E6B">
        <w:rPr>
          <w:i/>
        </w:rPr>
        <w:instrText>Oxfordský</w:instrText>
      </w:r>
      <w:r>
        <w:rPr>
          <w:i/>
        </w:rPr>
        <w:instrText xml:space="preserve"> Anonym </w:instrText>
      </w:r>
      <w:r w:rsidRPr="00FC09ED">
        <w:instrText>322</w:instrText>
      </w:r>
      <w:r>
        <w:instrText xml:space="preserve">.19‒49" </w:instrText>
      </w:r>
      <w:r>
        <w:fldChar w:fldCharType="end"/>
      </w:r>
      <w:r>
        <w:t>). Tyto pasáže co do smyslu reprodukují Akvinského pozici do roku 1270 a zásadně se liší od pozice Sigera.</w:t>
      </w:r>
      <w:r w:rsidRPr="00273106">
        <w:t xml:space="preserve"> </w:t>
      </w:r>
      <w:r>
        <w:t xml:space="preserve">Ze </w:t>
      </w:r>
      <w:r w:rsidR="00962190">
        <w:rPr>
          <w:i/>
        </w:rPr>
        <w:t>species</w:t>
      </w:r>
      <w:r w:rsidRPr="00F7673D">
        <w:rPr>
          <w:i/>
        </w:rPr>
        <w:t xml:space="preserve"> intelligibil</w:t>
      </w:r>
      <w:r>
        <w:rPr>
          <w:i/>
        </w:rPr>
        <w:t>i</w:t>
      </w:r>
      <w:r w:rsidRPr="00F7673D">
        <w:rPr>
          <w:i/>
        </w:rPr>
        <w:t>s</w:t>
      </w:r>
      <w:r>
        <w:rPr>
          <w:i/>
        </w:rPr>
        <w:fldChar w:fldCharType="begin"/>
      </w:r>
      <w:r>
        <w:instrText xml:space="preserve"> XE "</w:instrText>
      </w:r>
      <w:r w:rsidRPr="00DD403C">
        <w:rPr>
          <w:i/>
        </w:rPr>
        <w:instrText>species intelligibilis:</w:instrText>
      </w:r>
      <w:r w:rsidRPr="00253FAA">
        <w:instrText>Akvinský</w:instrText>
      </w:r>
      <w:r>
        <w:instrText xml:space="preserve">" </w:instrText>
      </w:r>
      <w:r>
        <w:rPr>
          <w:i/>
        </w:rPr>
        <w:fldChar w:fldCharType="end"/>
      </w:r>
      <w:r>
        <w:t xml:space="preserve"> se stal pouhý mentální konstrukt (</w:t>
      </w:r>
      <w:r w:rsidRPr="00E06AC2">
        <w:rPr>
          <w:i/>
        </w:rPr>
        <w:t>ens rationale</w:t>
      </w:r>
      <w:r>
        <w:t xml:space="preserve">, </w:t>
      </w:r>
      <w:r w:rsidRPr="00E06AC2">
        <w:rPr>
          <w:i/>
        </w:rPr>
        <w:t>ens intentionale</w:t>
      </w:r>
      <w:r>
        <w:t>). Autor třetí části pochopil pod vlivem Akvinského i něco podstatného ze Sigerem podaného Averroese,</w:t>
      </w:r>
      <w:r w:rsidRPr="00253FAA">
        <w:t xml:space="preserve"> </w:t>
      </w:r>
      <w:r w:rsidR="0020294F">
        <w:t>na rozdíl od dogmatické moderny</w:t>
      </w:r>
      <w:r>
        <w:t xml:space="preserve">. Proto </w:t>
      </w:r>
      <w:r w:rsidR="0020294F">
        <w:t xml:space="preserve">Aegidius </w:t>
      </w:r>
      <w:r>
        <w:t xml:space="preserve">opravil svou předešlou myslitelskou pozici sdílenou s latinskými sofisty typu Bonaventury a Kilwardbyho. Tak </w:t>
      </w:r>
      <w:r w:rsidRPr="00273106">
        <w:t xml:space="preserve">vznikla analogie k </w:t>
      </w:r>
      <w:r>
        <w:t>Averroes</w:t>
      </w:r>
      <w:r w:rsidRPr="00273106">
        <w:t xml:space="preserve">ovu rozdílu mezi </w:t>
      </w:r>
      <w:r w:rsidRPr="00273106">
        <w:rPr>
          <w:i/>
        </w:rPr>
        <w:t>tertium</w:t>
      </w:r>
      <w:r w:rsidRPr="00273106">
        <w:t xml:space="preserve"> a </w:t>
      </w:r>
      <w:r w:rsidRPr="00273106">
        <w:rPr>
          <w:i/>
        </w:rPr>
        <w:t xml:space="preserve">quartum </w:t>
      </w:r>
      <w:r w:rsidR="00962190">
        <w:rPr>
          <w:i/>
        </w:rPr>
        <w:t>genus</w:t>
      </w:r>
      <w:r>
        <w:rPr>
          <w:i/>
        </w:rPr>
        <w:fldChar w:fldCharType="begin"/>
      </w:r>
      <w:r>
        <w:instrText xml:space="preserve"> XE "</w:instrText>
      </w:r>
      <w:r w:rsidRPr="00191848">
        <w:rPr>
          <w:i/>
        </w:rPr>
        <w:instrText>quartum genus</w:instrText>
      </w:r>
      <w:r>
        <w:instrText xml:space="preserve">" </w:instrText>
      </w:r>
      <w:r>
        <w:rPr>
          <w:i/>
        </w:rPr>
        <w:fldChar w:fldCharType="end"/>
      </w:r>
      <w:r>
        <w:t xml:space="preserve">, kterou má CMDA. </w:t>
      </w:r>
      <w:r w:rsidRPr="00273106">
        <w:t xml:space="preserve">Albert </w:t>
      </w:r>
      <w:r>
        <w:t xml:space="preserve">tuto pozici </w:t>
      </w:r>
      <w:r w:rsidRPr="00273106">
        <w:t xml:space="preserve">zpracoval v termínu </w:t>
      </w:r>
      <w:r w:rsidR="00026C42">
        <w:t>„</w:t>
      </w:r>
      <w:r w:rsidRPr="00273106">
        <w:rPr>
          <w:i/>
        </w:rPr>
        <w:t>intellectus speculativus</w:t>
      </w:r>
      <w:r w:rsidR="00026C42">
        <w:t>“</w:t>
      </w:r>
      <w:r>
        <w:rPr>
          <w:i/>
        </w:rPr>
        <w:fldChar w:fldCharType="begin"/>
      </w:r>
      <w:r>
        <w:instrText xml:space="preserve"> XE "</w:instrText>
      </w:r>
      <w:r w:rsidRPr="00E2134B">
        <w:rPr>
          <w:i/>
        </w:rPr>
        <w:instrText>intellectus speculativus:</w:instrText>
      </w:r>
      <w:r w:rsidRPr="00E2134B">
        <w:instrText>A</w:instrText>
      </w:r>
      <w:r>
        <w:instrText xml:space="preserve">lbert" </w:instrText>
      </w:r>
      <w:r>
        <w:rPr>
          <w:i/>
        </w:rPr>
        <w:fldChar w:fldCharType="end"/>
      </w:r>
      <w:r w:rsidRPr="00273106">
        <w:t>. Jak dále uvidíme, Siger postupuje odlišným způsobem, než Ak</w:t>
      </w:r>
      <w:r>
        <w:t>vinský. Ten udělal z Averroese averroistu</w:t>
      </w:r>
      <w:r w:rsidRPr="00273106">
        <w:t xml:space="preserve"> </w:t>
      </w:r>
      <w:r>
        <w:t xml:space="preserve">při psaní raného díla </w:t>
      </w:r>
      <w:r w:rsidRPr="001357E9">
        <w:rPr>
          <w:i/>
          <w:lang w:eastAsia="en-US"/>
        </w:rPr>
        <w:t>De ent</w:t>
      </w:r>
      <w:r>
        <w:rPr>
          <w:i/>
          <w:lang w:eastAsia="en-US"/>
        </w:rPr>
        <w:t>e</w:t>
      </w:r>
      <w:r w:rsidRPr="001357E9">
        <w:rPr>
          <w:i/>
          <w:lang w:eastAsia="en-US"/>
        </w:rPr>
        <w:t xml:space="preserve"> et essentia</w:t>
      </w:r>
      <w:r w:rsidRPr="00273106">
        <w:t xml:space="preserve"> a svou pozici už nezměnil</w:t>
      </w:r>
      <w:r>
        <w:t>, čímž připomíná autora traktátu O</w:t>
      </w:r>
      <w:r w:rsidRPr="00273106">
        <w:t xml:space="preserve">. </w:t>
      </w:r>
      <w:r>
        <w:t xml:space="preserve">Proto je myslitelská cesta Aegidia Romana podobná </w:t>
      </w:r>
      <w:r w:rsidR="088F6769">
        <w:t xml:space="preserve">avicennistovi </w:t>
      </w:r>
      <w:r>
        <w:t xml:space="preserve">Akvinskému, ale ne </w:t>
      </w:r>
      <w:r w:rsidR="088F6769">
        <w:t xml:space="preserve">skutečnému averroistovi </w:t>
      </w:r>
      <w:r w:rsidR="00D7417A">
        <w:t>Sigerovi.</w:t>
      </w:r>
    </w:p>
    <w:p w:rsidR="08163013" w:rsidRPr="00273106" w:rsidRDefault="08163013" w:rsidP="00D7417A">
      <w:pPr>
        <w:ind w:firstLine="397"/>
      </w:pPr>
      <w:r w:rsidRPr="00273106">
        <w:t xml:space="preserve">Obhajobu nové pozice ohledně intelektu najdeme v pasáži, která představuje přesné shrnutí prvního averroismu vzhledem k možnému intelektu. </w:t>
      </w:r>
      <w:r>
        <w:t>Tato pasáž ukazuje vznik semiaverroistické formy objektivity, která se ustavila po roce</w:t>
      </w:r>
      <w:r w:rsidR="00653815">
        <w:t xml:space="preserve"> 1277 jako vítěz všech sporů</w:t>
      </w:r>
      <w:r>
        <w:t xml:space="preserve">. </w:t>
      </w:r>
      <w:r w:rsidRPr="00273106">
        <w:t xml:space="preserve">Autor změnil směr nasvícení smyslu jsoucna a stal se </w:t>
      </w:r>
      <w:r>
        <w:t>tomistickým semi</w:t>
      </w:r>
      <w:r w:rsidRPr="00273106">
        <w:t>averroistou</w:t>
      </w:r>
      <w:r>
        <w:t xml:space="preserve"> ze školy prvního averroismu</w:t>
      </w:r>
      <w:r>
        <w:fldChar w:fldCharType="begin"/>
      </w:r>
      <w:r>
        <w:instrText xml:space="preserve"> XE "</w:instrText>
      </w:r>
      <w:r w:rsidRPr="001A68BE">
        <w:instrText>zjevování:nasvícení zepředu</w:instrText>
      </w:r>
      <w:r>
        <w:instrText xml:space="preserve">" </w:instrText>
      </w:r>
      <w:r>
        <w:fldChar w:fldCharType="end"/>
      </w:r>
      <w:r w:rsidRPr="00273106">
        <w:t>. Proto odmítá všechny teorie avicennistů a objektivistů ohledně preexistujících aktuálních forem intelektu v duši.</w:t>
      </w:r>
    </w:p>
    <w:p w:rsidR="08163013" w:rsidRDefault="08163013" w:rsidP="08163013">
      <w:pPr>
        <w:pStyle w:val="Citace"/>
        <w:rPr>
          <w:noProof/>
          <w:lang w:val="cs-CZ"/>
        </w:rPr>
      </w:pPr>
      <w:r w:rsidRPr="00273106">
        <w:rPr>
          <w:noProof/>
          <w:lang w:val="cs-CZ"/>
        </w:rPr>
        <w:lastRenderedPageBreak/>
        <w:t>„</w:t>
      </w:r>
      <w:r>
        <w:rPr>
          <w:noProof/>
          <w:lang w:val="cs-CZ"/>
        </w:rPr>
        <w:t>Někteří tvrdí, že činný intelekt tvoří habituální součást možného intelektu a jsou v této otázce nejednotní. Jedni říkají, že jde o přijatý habitus, jiní zase, že je to vrozený habitus.  Ale ani z nich nemají pravdu. V člověku nemohou existovat vrozené principy poznání, protože pak by možný intelekt nebyl čistý nepopsaný list (</w:t>
      </w:r>
      <w:r w:rsidRPr="004E4CDF">
        <w:rPr>
          <w:i/>
          <w:noProof/>
          <w:lang w:val="cs-CZ"/>
        </w:rPr>
        <w:t>tabula nuda</w:t>
      </w:r>
      <w:r>
        <w:rPr>
          <w:noProof/>
          <w:lang w:val="cs-CZ"/>
        </w:rPr>
        <w:t>). Činný intelekt nemůže být ani přijatý habitus, protože všechno, co přijímáme naším intelektem, je pouze  v možnosti poznání (</w:t>
      </w:r>
      <w:r w:rsidRPr="00DC4ABD">
        <w:rPr>
          <w:i/>
          <w:noProof/>
          <w:lang w:val="cs-CZ"/>
        </w:rPr>
        <w:t>tantum est potentia intelligibile</w:t>
      </w:r>
      <w:r>
        <w:rPr>
          <w:noProof/>
          <w:lang w:val="cs-CZ"/>
        </w:rPr>
        <w:t>). A pokud je možný intelekt v pouhé možnosti, pak sám ze sebe nemůže aktivně završit akt poznání (</w:t>
      </w:r>
      <w:r w:rsidRPr="00DC4ABD">
        <w:rPr>
          <w:i/>
          <w:noProof/>
          <w:lang w:val="cs-CZ"/>
        </w:rPr>
        <w:t>non vadit ad actum intelligendi de se</w:t>
      </w:r>
      <w:r>
        <w:rPr>
          <w:noProof/>
          <w:lang w:val="cs-CZ"/>
        </w:rPr>
        <w:t xml:space="preserve">).“ </w:t>
      </w:r>
      <w:r>
        <w:rPr>
          <w:rStyle w:val="Znakapoznpodarou"/>
          <w:lang w:val="cs-CZ"/>
        </w:rPr>
        <w:footnoteReference w:id="152"/>
      </w:r>
    </w:p>
    <w:p w:rsidR="00E31134" w:rsidRDefault="003037B1" w:rsidP="00E31134">
      <w:r w:rsidRPr="003037B1">
        <w:t xml:space="preserve">Citát přesně rozlišuje dvě spojení aktivního intelektu s receptivním, a to pomocí rozdílného modu </w:t>
      </w:r>
      <w:r w:rsidRPr="003037B1">
        <w:rPr>
          <w:i/>
        </w:rPr>
        <w:t>habitus innatus</w:t>
      </w:r>
      <w:r w:rsidRPr="003037B1">
        <w:t xml:space="preserve"> a </w:t>
      </w:r>
      <w:r w:rsidRPr="003037B1">
        <w:rPr>
          <w:i/>
        </w:rPr>
        <w:t>habitus acquisitus</w:t>
      </w:r>
      <w:r w:rsidRPr="003037B1">
        <w:t>. Rufusovo a Pechamovo pojetí intelektu jako habituální poznávací potence mělo aktualizaci intelektu kontingentním smyslovým druhem pouze jako sekundární jev (kap. 4.1.1). Bonavetura vypracoval jakýsi neoplatonismus, který potvrzoval</w:t>
      </w:r>
      <w:r>
        <w:t xml:space="preserve"> tuto aktualizaci</w:t>
      </w:r>
      <w:r w:rsidRPr="003037B1">
        <w:t xml:space="preserve"> intelektu. Ten je aktualizován shora, vztahem k věčné pravdě (</w:t>
      </w:r>
      <w:r w:rsidRPr="003037B1">
        <w:rPr>
          <w:i/>
        </w:rPr>
        <w:t>habitus innatus</w:t>
      </w:r>
      <w:r w:rsidRPr="003037B1">
        <w:t>). Druhou školu, která hájí hab</w:t>
      </w:r>
      <w:r>
        <w:t>itus možného intelektu v hypostáz</w:t>
      </w:r>
      <w:r w:rsidRPr="003037B1">
        <w:t xml:space="preserve">ovaném modu </w:t>
      </w:r>
      <w:r w:rsidRPr="003037B1">
        <w:rPr>
          <w:i/>
        </w:rPr>
        <w:t>habitus acquisitus</w:t>
      </w:r>
      <w:r w:rsidRPr="003037B1">
        <w:t xml:space="preserve">, hájí škola </w:t>
      </w:r>
      <w:r>
        <w:t xml:space="preserve">kolem Aquasparty. </w:t>
      </w:r>
      <w:r w:rsidR="08163013">
        <w:t xml:space="preserve">Tento františkán pochopil, že intelekt </w:t>
      </w:r>
      <w:r w:rsidR="08163013" w:rsidRPr="00F941F8">
        <w:rPr>
          <w:i/>
        </w:rPr>
        <w:t>Modernorum</w:t>
      </w:r>
      <w:r w:rsidR="08163013">
        <w:t xml:space="preserve"> není schopen přijít k reálné věci jako základu poznání. Nanejvýš skrze reálnou věc dojde k akcidentálnímu potvrzení již dané pravdy. </w:t>
      </w:r>
      <w:r w:rsidR="08163013" w:rsidRPr="00273106">
        <w:t>Aquasparta</w:t>
      </w:r>
      <w:r w:rsidR="08163013">
        <w:fldChar w:fldCharType="begin"/>
      </w:r>
      <w:r w:rsidR="08163013">
        <w:instrText xml:space="preserve"> XE "</w:instrText>
      </w:r>
      <w:r w:rsidR="08163013" w:rsidRPr="003B1826">
        <w:instrText>Aquasparta, M.</w:instrText>
      </w:r>
      <w:r w:rsidR="08163013">
        <w:instrText xml:space="preserve">" </w:instrText>
      </w:r>
      <w:r w:rsidR="08163013">
        <w:fldChar w:fldCharType="end"/>
      </w:r>
      <w:r w:rsidR="08163013" w:rsidRPr="00273106">
        <w:t xml:space="preserve"> </w:t>
      </w:r>
      <w:r w:rsidR="08163013">
        <w:t xml:space="preserve">musel spojit </w:t>
      </w:r>
      <w:r w:rsidR="08163013" w:rsidRPr="00273106">
        <w:t xml:space="preserve">Aristotelovo schéma poznání v </w:t>
      </w:r>
      <w:proofErr w:type="gramStart"/>
      <w:r w:rsidR="08163013">
        <w:rPr>
          <w:i/>
        </w:rPr>
        <w:t>De</w:t>
      </w:r>
      <w:proofErr w:type="gramEnd"/>
      <w:r w:rsidR="08163013">
        <w:rPr>
          <w:i/>
        </w:rPr>
        <w:t xml:space="preserve"> anima</w:t>
      </w:r>
      <w:r w:rsidR="08163013" w:rsidRPr="00273106">
        <w:rPr>
          <w:i/>
        </w:rPr>
        <w:t xml:space="preserve"> </w:t>
      </w:r>
      <w:r w:rsidR="08163013">
        <w:t>s teorií iluminace</w:t>
      </w:r>
      <w:r w:rsidR="08163013" w:rsidRPr="00273106">
        <w:t xml:space="preserve"> </w:t>
      </w:r>
      <w:r w:rsidR="08163013">
        <w:t xml:space="preserve">danou v </w:t>
      </w:r>
      <w:r w:rsidR="08163013" w:rsidRPr="00273106">
        <w:t>augus</w:t>
      </w:r>
      <w:r w:rsidR="08797506">
        <w:t>tiniánském intelektu (kap. 5</w:t>
      </w:r>
      <w:r w:rsidR="08163013">
        <w:t xml:space="preserve">.1.3). </w:t>
      </w:r>
      <w:r w:rsidR="08163013" w:rsidRPr="00273106">
        <w:t>Anonym tvrdí, že obě školy se mýlí, protože špatně pochopili základní funkci receptivního intelektu</w:t>
      </w:r>
      <w:r w:rsidR="08163013">
        <w:fldChar w:fldCharType="begin"/>
      </w:r>
      <w:r w:rsidR="08163013">
        <w:instrText xml:space="preserve"> XE "</w:instrText>
      </w:r>
      <w:r w:rsidR="08163013" w:rsidRPr="00203AF1">
        <w:rPr>
          <w:i/>
        </w:rPr>
        <w:instrText>tabula rasa</w:instrText>
      </w:r>
      <w:r w:rsidR="08163013">
        <w:instrText xml:space="preserve">" </w:instrText>
      </w:r>
      <w:r w:rsidR="08163013">
        <w:fldChar w:fldCharType="end"/>
      </w:r>
      <w:r w:rsidR="08163013" w:rsidRPr="00273106">
        <w:t>. Intelekt by byl aktualizovaný vrozeným poznáním a duše nemohla být nějak vším (</w:t>
      </w:r>
      <w:r w:rsidR="08163013" w:rsidRPr="00273106">
        <w:rPr>
          <w:i/>
        </w:rPr>
        <w:t>intellectus possibilis non esset sicut tabula nuda</w:t>
      </w:r>
      <w:r w:rsidR="08163013" w:rsidRPr="00273106">
        <w:t xml:space="preserve">). Tuto falešnou habituální roli by </w:t>
      </w:r>
      <w:r w:rsidR="08163013" w:rsidRPr="08F36BC6">
        <w:rPr>
          <w:i/>
        </w:rPr>
        <w:t>intellectus materialis</w:t>
      </w:r>
      <w:r w:rsidR="08163013" w:rsidRPr="00273106">
        <w:t xml:space="preserve"> hrál v momentu, kdyby měl svůj vlastní zdroj aktualizace, například z hlediska aktuálně daných prvních principů</w:t>
      </w:r>
      <w:r w:rsidR="08163013">
        <w:t xml:space="preserve"> jako u </w:t>
      </w:r>
      <w:proofErr w:type="gramStart"/>
      <w:r w:rsidR="08163013">
        <w:t>Themistia a  Avicenny</w:t>
      </w:r>
      <w:proofErr w:type="gramEnd"/>
      <w:r w:rsidR="08163013" w:rsidRPr="00273106">
        <w:t xml:space="preserve">. </w:t>
      </w:r>
      <w:r w:rsidR="08163013">
        <w:t xml:space="preserve">A to byla pozice autora v předešlých dvou částech rukopisu O. Jenže nyní tento </w:t>
      </w:r>
      <w:r w:rsidR="00D40843">
        <w:t xml:space="preserve">první </w:t>
      </w:r>
      <w:r w:rsidR="08163013">
        <w:t xml:space="preserve">moderní tomista </w:t>
      </w:r>
      <w:r w:rsidR="00D40843">
        <w:t xml:space="preserve">už </w:t>
      </w:r>
      <w:r w:rsidR="08163013">
        <w:t>ví, že hypostázovaný intelekt moderních porretánů se stal substancí třetího druhu (</w:t>
      </w:r>
      <w:r w:rsidR="08163013" w:rsidRPr="00721E98">
        <w:rPr>
          <w:i/>
        </w:rPr>
        <w:t>hoc aliquid</w:t>
      </w:r>
      <w:r w:rsidR="08163013" w:rsidRPr="00721E98">
        <w:fldChar w:fldCharType="begin"/>
      </w:r>
      <w:r w:rsidR="08163013" w:rsidRPr="00721E98">
        <w:instrText xml:space="preserve"> XE "</w:instrText>
      </w:r>
      <w:r w:rsidR="08163013" w:rsidRPr="00721E98">
        <w:rPr>
          <w:i/>
        </w:rPr>
        <w:instrText>hoc aliquid</w:instrText>
      </w:r>
      <w:r w:rsidR="08163013" w:rsidRPr="00721E98">
        <w:instrText xml:space="preserve">:Avicenna" </w:instrText>
      </w:r>
      <w:r w:rsidR="08163013" w:rsidRPr="00721E98">
        <w:fldChar w:fldCharType="end"/>
      </w:r>
      <w:r w:rsidR="08163013">
        <w:t>). Tím padla aristotelská teorie pravdy jako adekvace věci a intelektu (</w:t>
      </w:r>
      <w:r w:rsidR="08163013" w:rsidRPr="000A5144">
        <w:rPr>
          <w:i/>
        </w:rPr>
        <w:t>consimilitudo</w:t>
      </w:r>
      <w:r w:rsidR="08163013">
        <w:t>). Autor na rozdíl od obou předešlých avicennovských částí přijal teorii nasvícení smyslu jsoucna zepředu. A</w:t>
      </w:r>
      <w:r w:rsidR="08163013" w:rsidRPr="00273106">
        <w:t xml:space="preserve">ktualizuje habitus poznání pouze skrze intelekt jako </w:t>
      </w:r>
      <w:r w:rsidR="08163013" w:rsidRPr="00273106">
        <w:rPr>
          <w:i/>
        </w:rPr>
        <w:t>tabula rasa</w:t>
      </w:r>
      <w:r w:rsidR="08163013">
        <w:rPr>
          <w:i/>
        </w:rPr>
        <w:fldChar w:fldCharType="begin"/>
      </w:r>
      <w:r w:rsidR="08163013">
        <w:instrText xml:space="preserve"> XE "</w:instrText>
      </w:r>
      <w:r w:rsidR="08163013" w:rsidRPr="00CE6D17">
        <w:rPr>
          <w:i/>
        </w:rPr>
        <w:instrText>tabula rasa</w:instrText>
      </w:r>
      <w:r w:rsidR="08163013">
        <w:instrText xml:space="preserve">" </w:instrText>
      </w:r>
      <w:r w:rsidR="08163013">
        <w:rPr>
          <w:i/>
        </w:rPr>
        <w:lastRenderedPageBreak/>
        <w:fldChar w:fldCharType="end"/>
      </w:r>
      <w:r w:rsidR="08163013" w:rsidRPr="00273106">
        <w:t xml:space="preserve">, který je aktualizovaný receptivním intelektem determinovaným ze smyslového poznání. Již aktualizované poznání reality </w:t>
      </w:r>
      <w:r w:rsidR="08163013">
        <w:t xml:space="preserve">na úrovni smyslů </w:t>
      </w:r>
      <w:r w:rsidR="08163013" w:rsidRPr="00273106">
        <w:t xml:space="preserve">uschopňuje intelekt k činění podobných závěrů pro další případy a vědecké soudy. Předešlá pozice autora v Oxfordském komentáři k </w:t>
      </w:r>
      <w:proofErr w:type="gramStart"/>
      <w:r w:rsidR="08163013">
        <w:rPr>
          <w:i/>
        </w:rPr>
        <w:t>De</w:t>
      </w:r>
      <w:proofErr w:type="gramEnd"/>
      <w:r w:rsidR="08163013">
        <w:rPr>
          <w:i/>
        </w:rPr>
        <w:t xml:space="preserve"> anima</w:t>
      </w:r>
      <w:r w:rsidR="08163013" w:rsidRPr="00273106">
        <w:rPr>
          <w:i/>
        </w:rPr>
        <w:t xml:space="preserve"> </w:t>
      </w:r>
      <w:r w:rsidR="08163013" w:rsidRPr="00273106">
        <w:t>I-II obhajovala nasvícení jsoucna zezadu</w:t>
      </w:r>
      <w:r w:rsidR="08163013">
        <w:t xml:space="preserve">. Proto připouštěla možnost hypostázovaného poznání v modu </w:t>
      </w:r>
      <w:r w:rsidR="08163013" w:rsidRPr="00273106">
        <w:rPr>
          <w:i/>
        </w:rPr>
        <w:t>habitus innatus</w:t>
      </w:r>
      <w:r w:rsidR="08163013">
        <w:t xml:space="preserve"> či </w:t>
      </w:r>
      <w:r w:rsidR="08163013" w:rsidRPr="00273106">
        <w:rPr>
          <w:i/>
        </w:rPr>
        <w:t>habitus acquisitus</w:t>
      </w:r>
      <w:r w:rsidR="08163013">
        <w:t xml:space="preserve"> ve smyslu aktualizace předem daných principů poznání nesených na intelektu jako subsistentní hypostázi</w:t>
      </w:r>
      <w:r w:rsidR="08163013" w:rsidRPr="00273106">
        <w:t xml:space="preserve">. </w:t>
      </w:r>
      <w:r w:rsidR="08163013">
        <w:t xml:space="preserve">Obojí druh hypostázovaného habitu potřebuje intelekt jako substanci třetího druhu. Proto potřebuje avicennovské, modernistické a postmodernistické </w:t>
      </w:r>
      <w:r w:rsidR="08163013" w:rsidRPr="00273106">
        <w:t xml:space="preserve">osvícení intelektu směrem od vrozených idejí, </w:t>
      </w:r>
      <w:r w:rsidR="08163013">
        <w:t xml:space="preserve">kosmických </w:t>
      </w:r>
      <w:r w:rsidR="08163013" w:rsidRPr="00273106">
        <w:t>forem</w:t>
      </w:r>
      <w:r w:rsidR="08163013">
        <w:t xml:space="preserve">, apriorních </w:t>
      </w:r>
      <w:r w:rsidR="08163013" w:rsidRPr="00273106">
        <w:t>principů poznání</w:t>
      </w:r>
      <w:r w:rsidR="08163013">
        <w:t>, kulturních memů daných v DNA atd</w:t>
      </w:r>
      <w:r w:rsidR="08163013" w:rsidRPr="00273106">
        <w:t xml:space="preserve">. </w:t>
      </w:r>
      <w:r w:rsidR="08163013">
        <w:t>První averroismus naopak tvrdí, že p</w:t>
      </w:r>
      <w:r w:rsidR="08163013" w:rsidRPr="00273106">
        <w:t xml:space="preserve">oznání musí být nejprve aktualizováno od smyslů a pak se stává následnou habituální vlastností intelektu </w:t>
      </w:r>
      <w:r w:rsidR="08163013">
        <w:t xml:space="preserve">jako schopnosti duše </w:t>
      </w:r>
      <w:r w:rsidR="08163013" w:rsidRPr="00273106">
        <w:t xml:space="preserve">poté, co </w:t>
      </w:r>
      <w:r w:rsidR="08163013">
        <w:t xml:space="preserve">zcela prázdný </w:t>
      </w:r>
      <w:r w:rsidR="08163013" w:rsidRPr="002A02D5">
        <w:rPr>
          <w:i/>
        </w:rPr>
        <w:t xml:space="preserve">intellectus </w:t>
      </w:r>
      <w:r w:rsidR="08163013">
        <w:rPr>
          <w:i/>
        </w:rPr>
        <w:t>possiblis</w:t>
      </w:r>
      <w:r w:rsidR="08163013">
        <w:t xml:space="preserve"> </w:t>
      </w:r>
      <w:r w:rsidR="08163013" w:rsidRPr="00273106">
        <w:t>poznal věci nasvícením zepředu</w:t>
      </w:r>
      <w:r w:rsidR="08163013">
        <w:t xml:space="preserve">, tedy aktualizací od smyslových </w:t>
      </w:r>
      <w:r w:rsidR="00962190">
        <w:rPr>
          <w:i/>
        </w:rPr>
        <w:t>species</w:t>
      </w:r>
      <w:r w:rsidR="08163013">
        <w:t>. Habitus je pak přijatý v procesu poznání od reálné věci</w:t>
      </w:r>
      <w:r w:rsidR="08163013" w:rsidRPr="00273106">
        <w:t xml:space="preserve"> (</w:t>
      </w:r>
      <w:r w:rsidR="08163013" w:rsidRPr="00273106">
        <w:rPr>
          <w:i/>
        </w:rPr>
        <w:t>habitus acquisitus</w:t>
      </w:r>
      <w:r w:rsidR="08163013" w:rsidRPr="00273106">
        <w:t>)</w:t>
      </w:r>
      <w:r w:rsidR="08163013">
        <w:t xml:space="preserve"> a není vázaný na žádnou předem hypostázi nějak aktuální duše či intelektu ve formě substancí</w:t>
      </w:r>
      <w:r w:rsidR="08163013" w:rsidRPr="00273106">
        <w:t xml:space="preserve">. Jiná forma habituálního utváření intelektu je vyloučena, protože jakákoliv předem daná aktualita intelektu zásadně protiřečí </w:t>
      </w:r>
      <w:r w:rsidR="08163013">
        <w:t xml:space="preserve">pojetí </w:t>
      </w:r>
      <w:r w:rsidR="08163013" w:rsidRPr="00273106">
        <w:rPr>
          <w:i/>
        </w:rPr>
        <w:t>intellectus possibilis</w:t>
      </w:r>
      <w:r w:rsidR="08163013" w:rsidRPr="00273106">
        <w:t xml:space="preserve"> v jeho čistě receptivní a plně pasivní roli (</w:t>
      </w:r>
      <w:r w:rsidR="08163013" w:rsidRPr="00273106">
        <w:rPr>
          <w:i/>
        </w:rPr>
        <w:t>tantum est potentia intelligibile</w:t>
      </w:r>
      <w:r w:rsidR="08163013" w:rsidRPr="00273106">
        <w:t xml:space="preserve">). Autor </w:t>
      </w:r>
      <w:r w:rsidR="08163013">
        <w:t xml:space="preserve">třetí části </w:t>
      </w:r>
      <w:r w:rsidR="08163013" w:rsidRPr="00273106">
        <w:t xml:space="preserve">jasně říká, že </w:t>
      </w:r>
      <w:r w:rsidR="08163013" w:rsidRPr="00273106">
        <w:rPr>
          <w:i/>
        </w:rPr>
        <w:t>intellectus possibilis</w:t>
      </w:r>
      <w:r w:rsidR="08163013">
        <w:rPr>
          <w:i/>
        </w:rPr>
        <w:fldChar w:fldCharType="begin"/>
      </w:r>
      <w:r w:rsidR="08163013">
        <w:instrText xml:space="preserve"> XE "</w:instrText>
      </w:r>
      <w:r w:rsidR="08163013" w:rsidRPr="001B79E1">
        <w:rPr>
          <w:i/>
        </w:rPr>
        <w:instrText>intellectus possibilis</w:instrText>
      </w:r>
      <w:r w:rsidR="08163013">
        <w:rPr>
          <w:i/>
        </w:rPr>
        <w:instrText>:</w:instrText>
      </w:r>
      <w:r w:rsidR="08163013" w:rsidRPr="00203AF1">
        <w:instrText>Oxford</w:instrText>
      </w:r>
      <w:r w:rsidR="08163013">
        <w:instrText>ský A</w:instrText>
      </w:r>
      <w:r w:rsidR="08163013" w:rsidRPr="00203AF1">
        <w:instrText>nonym</w:instrText>
      </w:r>
      <w:r w:rsidR="08163013">
        <w:instrText xml:space="preserve">" </w:instrText>
      </w:r>
      <w:r w:rsidR="08163013">
        <w:rPr>
          <w:i/>
        </w:rPr>
        <w:fldChar w:fldCharType="end"/>
      </w:r>
      <w:r w:rsidR="08163013" w:rsidRPr="00273106">
        <w:t xml:space="preserve"> je čistě potenciální složka duše (</w:t>
      </w:r>
      <w:r w:rsidR="08163013" w:rsidRPr="00273106">
        <w:rPr>
          <w:i/>
        </w:rPr>
        <w:t>intellectus possibilis sit tantum in potentia</w:t>
      </w:r>
      <w:r w:rsidR="08163013" w:rsidRPr="00273106">
        <w:t>), a proto nemůže sám od sebe přejít do aktualizace (</w:t>
      </w:r>
      <w:r w:rsidR="08163013" w:rsidRPr="00273106">
        <w:rPr>
          <w:i/>
        </w:rPr>
        <w:t xml:space="preserve">non vadit ad actum intelligendi de </w:t>
      </w:r>
      <w:proofErr w:type="gramStart"/>
      <w:r w:rsidR="08163013" w:rsidRPr="00273106">
        <w:rPr>
          <w:i/>
        </w:rPr>
        <w:t>se</w:t>
      </w:r>
      <w:proofErr w:type="gramEnd"/>
      <w:r w:rsidR="08163013" w:rsidRPr="00273106">
        <w:t xml:space="preserve">). Jak již víme z předešlých matric, tuto </w:t>
      </w:r>
      <w:r w:rsidR="08163013">
        <w:t>fundamentální Averroes</w:t>
      </w:r>
      <w:r w:rsidR="08163013" w:rsidRPr="00273106">
        <w:t xml:space="preserve">ovu tezi proti všem moderním </w:t>
      </w:r>
      <w:r w:rsidR="08163013">
        <w:t>a</w:t>
      </w:r>
      <w:r w:rsidR="08163013" w:rsidRPr="00273106">
        <w:t>lexandrovcům</w:t>
      </w:r>
      <w:r w:rsidR="08163013">
        <w:fldChar w:fldCharType="begin"/>
      </w:r>
      <w:r w:rsidR="08163013">
        <w:instrText xml:space="preserve"> XE "alexandrovci" </w:instrText>
      </w:r>
      <w:r w:rsidR="08163013">
        <w:fldChar w:fldCharType="end"/>
      </w:r>
      <w:r w:rsidR="08163013" w:rsidRPr="00273106">
        <w:t xml:space="preserve"> (</w:t>
      </w:r>
      <w:r w:rsidR="08797506">
        <w:t xml:space="preserve">OBJ I, </w:t>
      </w:r>
      <w:r w:rsidR="08163013" w:rsidRPr="00273106">
        <w:rPr>
          <w:rStyle w:val="Zkladntext158dkovn0pt"/>
          <w:color w:val="auto"/>
          <w:spacing w:val="0"/>
          <w:sz w:val="24"/>
          <w:lang w:val="cs-CZ"/>
        </w:rPr>
        <w:t>kap. 2.4.2</w:t>
      </w:r>
      <w:r w:rsidR="08163013" w:rsidRPr="00273106">
        <w:t>) postupně opakovali všich</w:t>
      </w:r>
      <w:r w:rsidR="00E31134">
        <w:t xml:space="preserve">ni zastánci prvního averroismu. </w:t>
      </w:r>
      <w:r w:rsidR="08163013" w:rsidRPr="00273106">
        <w:t xml:space="preserve">Celou debatu ohledně habitu uzavře poslední obránce prvního averroismu Willam Ockham v polemice proti Scotovi a jeho moderní škole </w:t>
      </w:r>
      <w:r w:rsidR="00CF5385">
        <w:t>(kap. 5.4</w:t>
      </w:r>
      <w:r w:rsidR="08163013" w:rsidRPr="00273106">
        <w:t>).</w:t>
      </w:r>
    </w:p>
    <w:p w:rsidR="00BC25EF" w:rsidRDefault="08163013" w:rsidP="00C925FC">
      <w:pPr>
        <w:ind w:firstLine="397"/>
      </w:pPr>
      <w:r w:rsidRPr="00273106">
        <w:t>Autor Oxfordského rukopisu</w:t>
      </w:r>
      <w:r>
        <w:t xml:space="preserve"> konvertovaný k tomismu </w:t>
      </w:r>
      <w:r w:rsidRPr="00273106">
        <w:t xml:space="preserve">ve třetí části spisu už dobře ví, že intelekt </w:t>
      </w:r>
      <w:r>
        <w:t xml:space="preserve">nemůže začít poznání od </w:t>
      </w:r>
      <w:r w:rsidRPr="00273106">
        <w:t>vlastní</w:t>
      </w:r>
      <w:r>
        <w:t>ho aktuálního</w:t>
      </w:r>
      <w:r w:rsidRPr="00273106">
        <w:t xml:space="preserve"> výkon</w:t>
      </w:r>
      <w:r>
        <w:t xml:space="preserve">u, jako to mají modernisté. Zlom v této pozici se udál v letech 1266‒68 s vydáním Sigerových QIIIDA a Akvinského komentářů k </w:t>
      </w:r>
      <w:proofErr w:type="gramStart"/>
      <w:r w:rsidRPr="088719B2">
        <w:rPr>
          <w:i/>
        </w:rPr>
        <w:t>De</w:t>
      </w:r>
      <w:proofErr w:type="gramEnd"/>
      <w:r w:rsidRPr="088719B2">
        <w:rPr>
          <w:i/>
        </w:rPr>
        <w:t xml:space="preserve"> anima</w:t>
      </w:r>
      <w:r>
        <w:t xml:space="preserve"> v Itálii. Proto je třetí část </w:t>
      </w:r>
      <w:proofErr w:type="gramStart"/>
      <w:r w:rsidR="002437DF">
        <w:t>rukopisu O  před</w:t>
      </w:r>
      <w:proofErr w:type="gramEnd"/>
      <w:r w:rsidR="002437DF">
        <w:t xml:space="preserve"> rokem 12</w:t>
      </w:r>
      <w:r>
        <w:t xml:space="preserve">70. Avicennisté jako Bonaventura nejsou schopni stanovit fundamentální rozdíl mezi oběma složkami intelektu </w:t>
      </w:r>
      <w:r w:rsidRPr="00273106">
        <w:t>(</w:t>
      </w:r>
      <w:r w:rsidRPr="00273106">
        <w:rPr>
          <w:i/>
          <w:szCs w:val="13"/>
        </w:rPr>
        <w:t xml:space="preserve">ergo </w:t>
      </w:r>
      <w:r w:rsidRPr="00273106">
        <w:rPr>
          <w:i/>
          <w:szCs w:val="14"/>
        </w:rPr>
        <w:t xml:space="preserve">non </w:t>
      </w:r>
      <w:r w:rsidRPr="00273106">
        <w:rPr>
          <w:i/>
          <w:szCs w:val="11"/>
        </w:rPr>
        <w:t xml:space="preserve">est </w:t>
      </w:r>
      <w:r w:rsidRPr="00273106">
        <w:rPr>
          <w:i/>
        </w:rPr>
        <w:t xml:space="preserve">differentia potentiae </w:t>
      </w:r>
      <w:r w:rsidRPr="00273106">
        <w:rPr>
          <w:i/>
          <w:szCs w:val="11"/>
        </w:rPr>
        <w:t xml:space="preserve">possibilis </w:t>
      </w:r>
      <w:r w:rsidRPr="00273106">
        <w:rPr>
          <w:i/>
          <w:szCs w:val="14"/>
        </w:rPr>
        <w:t xml:space="preserve">ad </w:t>
      </w:r>
      <w:proofErr w:type="gramStart"/>
      <w:r w:rsidRPr="00273106">
        <w:rPr>
          <w:i/>
          <w:szCs w:val="14"/>
        </w:rPr>
        <w:t>agentem</w:t>
      </w:r>
      <w:proofErr w:type="gramEnd"/>
      <w:r w:rsidR="00C925FC">
        <w:t>, kap. 4.1.2</w:t>
      </w:r>
      <w:r w:rsidRPr="00273106">
        <w:t>). Bohuže</w:t>
      </w:r>
      <w:r>
        <w:t>l, anonym není natolik pečlivý a možná ani natolik zásadový</w:t>
      </w:r>
      <w:r w:rsidRPr="00273106">
        <w:t xml:space="preserve">, aby všechna tato fakta dohledal v </w:t>
      </w:r>
      <w:r>
        <w:t>Averroes</w:t>
      </w:r>
      <w:r w:rsidRPr="00273106">
        <w:t xml:space="preserve">ově </w:t>
      </w:r>
      <w:r w:rsidRPr="00273106">
        <w:lastRenderedPageBreak/>
        <w:t>díle</w:t>
      </w:r>
      <w:r>
        <w:t xml:space="preserve"> CMDA</w:t>
      </w:r>
      <w:r w:rsidRPr="00273106">
        <w:t xml:space="preserve">. A </w:t>
      </w:r>
      <w:r>
        <w:t xml:space="preserve">také </w:t>
      </w:r>
      <w:r w:rsidRPr="00273106">
        <w:t>nechce přijmout všechny důsledky</w:t>
      </w:r>
      <w:r>
        <w:t xml:space="preserve"> </w:t>
      </w:r>
      <w:r w:rsidRPr="00273106">
        <w:t>první</w:t>
      </w:r>
      <w:r>
        <w:t>ho</w:t>
      </w:r>
      <w:r w:rsidRPr="00273106">
        <w:t xml:space="preserve"> averroismu</w:t>
      </w:r>
      <w:r>
        <w:t xml:space="preserve"> Sicilské školy na Rue du Fouarre</w:t>
      </w:r>
      <w:r w:rsidRPr="00273106">
        <w:t>.</w:t>
      </w:r>
      <w:r>
        <w:t xml:space="preserve"> Anonymův sofistický postoj spočívá v tom, že stále trvá na nekompatibilitě </w:t>
      </w:r>
      <w:r w:rsidRPr="00273106">
        <w:t xml:space="preserve">oddělení smyslového a rozumového poznání, které nemají žádnou společnou receptivní platformu. </w:t>
      </w:r>
      <w:r>
        <w:t xml:space="preserve">Viz jeho pojetí </w:t>
      </w:r>
      <w:r w:rsidRPr="002B6E95">
        <w:rPr>
          <w:i/>
        </w:rPr>
        <w:t>perspicuum</w:t>
      </w:r>
      <w:r>
        <w:rPr>
          <w:i/>
        </w:rPr>
        <w:fldChar w:fldCharType="begin"/>
      </w:r>
      <w:r>
        <w:instrText xml:space="preserve"> XE "</w:instrText>
      </w:r>
      <w:r w:rsidRPr="00BC6B9C">
        <w:rPr>
          <w:rStyle w:val="Zkladntext158dkovn0pt"/>
          <w:i/>
          <w:color w:val="auto"/>
          <w:spacing w:val="0"/>
          <w:sz w:val="24"/>
          <w:lang w:val="cs-CZ"/>
        </w:rPr>
        <w:instrText>perspicuum</w:instrText>
      </w:r>
      <w:r>
        <w:instrText xml:space="preserve">" </w:instrText>
      </w:r>
      <w:r>
        <w:rPr>
          <w:i/>
        </w:rPr>
        <w:fldChar w:fldCharType="end"/>
      </w:r>
      <w:r>
        <w:rPr>
          <w:i/>
        </w:rPr>
        <w:t xml:space="preserve"> </w:t>
      </w:r>
      <w:r>
        <w:t xml:space="preserve">citované výše. </w:t>
      </w:r>
      <w:r w:rsidRPr="00273106">
        <w:t xml:space="preserve">Tato </w:t>
      </w:r>
      <w:r>
        <w:t xml:space="preserve">schizofrenická a sofistická </w:t>
      </w:r>
      <w:r w:rsidRPr="00273106">
        <w:t xml:space="preserve">pozice charakterizuje Aegidia Romana, který se </w:t>
      </w:r>
      <w:r>
        <w:t xml:space="preserve">oddělil </w:t>
      </w:r>
      <w:r w:rsidRPr="00273106">
        <w:t xml:space="preserve">od školy prvního </w:t>
      </w:r>
      <w:r>
        <w:t xml:space="preserve">a druhého </w:t>
      </w:r>
      <w:r w:rsidRPr="00273106">
        <w:t>averroismu.</w:t>
      </w:r>
      <w:r>
        <w:t xml:space="preserve"> </w:t>
      </w:r>
      <w:r w:rsidRPr="004E0D84">
        <w:t xml:space="preserve">Aegidius po napsání </w:t>
      </w:r>
      <w:r>
        <w:rPr>
          <w:i/>
        </w:rPr>
        <w:t>De erroribus P</w:t>
      </w:r>
      <w:r w:rsidRPr="00083175">
        <w:rPr>
          <w:i/>
        </w:rPr>
        <w:t>hilosophorum</w:t>
      </w:r>
      <w:r>
        <w:t xml:space="preserve"> </w:t>
      </w:r>
      <w:r w:rsidRPr="004E0D84">
        <w:rPr>
          <w:rFonts w:eastAsia="Georgia"/>
        </w:rPr>
        <w:t>(1270</w:t>
      </w:r>
      <w:r>
        <w:rPr>
          <w:rFonts w:eastAsia="Georgia"/>
        </w:rPr>
        <w:t>) nemohl couvnout zpět</w:t>
      </w:r>
      <w:r w:rsidRPr="003B5AB6">
        <w:rPr>
          <w:rFonts w:eastAsia="Georgia"/>
        </w:rPr>
        <w:t xml:space="preserve"> </w:t>
      </w:r>
      <w:r>
        <w:rPr>
          <w:rFonts w:eastAsia="Georgia"/>
        </w:rPr>
        <w:t xml:space="preserve">v otázce Averroesova averroismu. Viz pátou kapitolu citovaného spisu, kde najdeme </w:t>
      </w:r>
      <w:r>
        <w:t>ostrý útok na Averroese jako popírače monoteistických náboženství.</w:t>
      </w:r>
      <w:r>
        <w:rPr>
          <w:rStyle w:val="Znakapoznpodarou"/>
        </w:rPr>
        <w:footnoteReference w:id="153"/>
      </w:r>
      <w:r>
        <w:t xml:space="preserve"> </w:t>
      </w:r>
      <w:r w:rsidRPr="004E0D84">
        <w:t xml:space="preserve">Aegidius </w:t>
      </w:r>
      <w:r>
        <w:t>na rozdíl od kritického biskupa Alverna dal Komentátora do skupiny proskribovaných pohanských autorů (Aristoteles, Averroes, Avicenna, Algazel, Al-Kindí</w:t>
      </w:r>
      <w:r>
        <w:fldChar w:fldCharType="begin"/>
      </w:r>
      <w:r>
        <w:instrText xml:space="preserve"> XE "</w:instrText>
      </w:r>
      <w:r>
        <w:rPr>
          <w:lang w:eastAsia="en-US"/>
        </w:rPr>
        <w:instrText>Al-</w:instrText>
      </w:r>
      <w:r w:rsidRPr="00752CEF">
        <w:rPr>
          <w:lang w:eastAsia="en-US"/>
        </w:rPr>
        <w:instrText>Kindí</w:instrText>
      </w:r>
      <w:r>
        <w:instrText xml:space="preserve">" </w:instrText>
      </w:r>
      <w:r>
        <w:fldChar w:fldCharType="end"/>
      </w:r>
      <w:r w:rsidRPr="004E0D84">
        <w:t>, Maimonides</w:t>
      </w:r>
      <w:r>
        <w:t xml:space="preserve">). Posun myšlení v pozdějších spisech je zřejmý. Aristoteles i Avicenna jsou v </w:t>
      </w:r>
      <w:proofErr w:type="gramStart"/>
      <w:r w:rsidR="00754CC2" w:rsidRPr="00890E8A">
        <w:rPr>
          <w:i/>
          <w:szCs w:val="24"/>
        </w:rPr>
        <w:t>De</w:t>
      </w:r>
      <w:proofErr w:type="gramEnd"/>
      <w:r w:rsidR="00754CC2" w:rsidRPr="00890E8A">
        <w:rPr>
          <w:i/>
          <w:szCs w:val="24"/>
        </w:rPr>
        <w:t xml:space="preserve"> erroribus Philosophorum</w:t>
      </w:r>
      <w:r w:rsidR="00754CC2" w:rsidRPr="001624E2">
        <w:rPr>
          <w:szCs w:val="24"/>
        </w:rPr>
        <w:t xml:space="preserve"> </w:t>
      </w:r>
      <w:r>
        <w:t>vylíčeni jako zastánci plurality substanciálních forem</w:t>
      </w:r>
      <w:r>
        <w:fldChar w:fldCharType="begin"/>
      </w:r>
      <w:r>
        <w:instrText xml:space="preserve"> XE "osoba:</w:instrText>
      </w:r>
      <w:r w:rsidRPr="006153E6">
        <w:instrText>pluralita substanc</w:instrText>
      </w:r>
      <w:r>
        <w:instrText xml:space="preserve">í" </w:instrText>
      </w:r>
      <w:r>
        <w:fldChar w:fldCharType="end"/>
      </w:r>
      <w:r>
        <w:t>. Pro Avicennu a Averroese toto obvinění zůstalo, vzhledem k Aristotelovi je Aegidus později zrušil, což předtím provedla i poslední část rukopisu O psaná pod vlivem Akvinského výkladu Aristotela.</w:t>
      </w:r>
      <w:r w:rsidRPr="00273106">
        <w:t xml:space="preserve"> Celý spor o averroismus v traktátu je úplně zbytečný, pokud vezmeme vážně následující citaci</w:t>
      </w:r>
      <w:r w:rsidR="002437DF">
        <w:t xml:space="preserve"> rukopisu O III. Ta </w:t>
      </w:r>
      <w:r>
        <w:t xml:space="preserve">jednotu receptivního a syntetického intelektu </w:t>
      </w:r>
      <w:r w:rsidR="002437DF">
        <w:t xml:space="preserve">definuje správně </w:t>
      </w:r>
      <w:r>
        <w:t>podle Averroes</w:t>
      </w:r>
      <w:r w:rsidRPr="00273106">
        <w:t>e</w:t>
      </w:r>
      <w:r>
        <w:t xml:space="preserve"> (</w:t>
      </w:r>
      <w:r w:rsidRPr="00637497">
        <w:rPr>
          <w:i/>
        </w:rPr>
        <w:t>secundum Commentatorem, duas operationes animae experimur in nobis</w:t>
      </w:r>
      <w:r>
        <w:t>)</w:t>
      </w:r>
      <w:r w:rsidRPr="00273106">
        <w:t>.</w:t>
      </w:r>
      <w:r w:rsidRPr="00273106">
        <w:rPr>
          <w:rStyle w:val="Znakapoznpodarou"/>
        </w:rPr>
        <w:footnoteReference w:id="154"/>
      </w:r>
      <w:r w:rsidRPr="00273106">
        <w:t xml:space="preserve"> </w:t>
      </w:r>
      <w:r>
        <w:t xml:space="preserve">Pojetí </w:t>
      </w:r>
      <w:r w:rsidR="00672B6A">
        <w:t>termínu „</w:t>
      </w:r>
      <w:r w:rsidR="00672B6A">
        <w:rPr>
          <w:i/>
        </w:rPr>
        <w:t>experimur</w:t>
      </w:r>
      <w:r w:rsidR="00672B6A">
        <w:t>“</w:t>
      </w:r>
      <w:r>
        <w:t xml:space="preserve"> je ale </w:t>
      </w:r>
      <w:r w:rsidR="08514C16">
        <w:t>míněno averroisticky</w:t>
      </w:r>
      <w:r>
        <w:t xml:space="preserve">, protože autor trvá na tom, že Komentátor má v CMDA </w:t>
      </w:r>
      <w:r w:rsidR="08514C16">
        <w:t xml:space="preserve">pouze </w:t>
      </w:r>
      <w:r>
        <w:t xml:space="preserve">konjukci obou intelektů. </w:t>
      </w:r>
      <w:r w:rsidRPr="00273106">
        <w:t>Klíčový rozdíl pro</w:t>
      </w:r>
      <w:r>
        <w:t xml:space="preserve">ti předchozímu odmítnutí Averroese v DA I‒II </w:t>
      </w:r>
      <w:r w:rsidRPr="00273106">
        <w:t xml:space="preserve">je zřejmý. </w:t>
      </w:r>
      <w:r w:rsidR="009F67C4">
        <w:t>V předchozích částech byla d</w:t>
      </w:r>
      <w:r w:rsidRPr="00273106">
        <w:t xml:space="preserve">uše pluralitou substancí a </w:t>
      </w:r>
      <w:r w:rsidRPr="00273106">
        <w:rPr>
          <w:i/>
        </w:rPr>
        <w:t>intellectus possibilis</w:t>
      </w:r>
      <w:r w:rsidRPr="00273106">
        <w:t xml:space="preserve"> byl numericky jednotný pro všechny lidi. </w:t>
      </w:r>
      <w:r w:rsidR="007510EA">
        <w:t xml:space="preserve">Ve třetí části </w:t>
      </w:r>
      <w:r w:rsidRPr="00273106">
        <w:t xml:space="preserve">se tento intelekt individualizuje skrze aktuální subsistenci duše v těle, a dokonce i s odvoláním na </w:t>
      </w:r>
      <w:r>
        <w:t>Averroes</w:t>
      </w:r>
      <w:r w:rsidRPr="00273106">
        <w:t>e.</w:t>
      </w:r>
      <w:r>
        <w:t xml:space="preserve"> Autor Averroesovi o kousek dále podsune Avicennovu pozici již aktualizov</w:t>
      </w:r>
      <w:r w:rsidR="002223A2">
        <w:t>aných prvních principů v duši. A</w:t>
      </w:r>
      <w:r>
        <w:t xml:space="preserve">le přesto vidí, že díky Averroesovu aristotelskému výkladu </w:t>
      </w:r>
      <w:r w:rsidRPr="08AB075E">
        <w:rPr>
          <w:i/>
        </w:rPr>
        <w:t>Druhých analytik</w:t>
      </w:r>
      <w:r>
        <w:t xml:space="preserve"> jde o jiný princip, než první </w:t>
      </w:r>
      <w:r>
        <w:lastRenderedPageBreak/>
        <w:t xml:space="preserve">princip poznání daný </w:t>
      </w:r>
      <w:r w:rsidRPr="00F1257A">
        <w:rPr>
          <w:i/>
        </w:rPr>
        <w:t>simpliciter</w:t>
      </w:r>
      <w:r>
        <w:t xml:space="preserve"> a </w:t>
      </w:r>
      <w:r w:rsidRPr="00025043">
        <w:rPr>
          <w:i/>
        </w:rPr>
        <w:t>actualiter</w:t>
      </w:r>
      <w:r>
        <w:t xml:space="preserve"> u Avicenny.</w:t>
      </w:r>
      <w:r w:rsidRPr="00273106">
        <w:rPr>
          <w:rStyle w:val="Znakapoznpodarou"/>
        </w:rPr>
        <w:footnoteReference w:id="155"/>
      </w:r>
      <w:r w:rsidRPr="00273106">
        <w:t xml:space="preserve"> </w:t>
      </w:r>
      <w:r>
        <w:t xml:space="preserve">Opět vidíme rozchod s pozicí druhého averroismu podle </w:t>
      </w:r>
      <w:r w:rsidRPr="00655533">
        <w:rPr>
          <w:i/>
        </w:rPr>
        <w:t>Oxfordian Fallacy</w:t>
      </w:r>
      <w:r w:rsidR="006A3A67">
        <w:t>. A</w:t>
      </w:r>
      <w:r>
        <w:t>nonym musí částečně přijat Sigerovu argumentaci podle Ave</w:t>
      </w:r>
      <w:r w:rsidR="08B033D9">
        <w:t>rroese, i když s ní nesouhlasí.</w:t>
      </w:r>
    </w:p>
    <w:p w:rsidR="08163013" w:rsidRDefault="08163013" w:rsidP="009B2062">
      <w:pPr>
        <w:ind w:firstLine="397"/>
      </w:pPr>
      <w:r w:rsidRPr="00273106">
        <w:t xml:space="preserve">Shrňme </w:t>
      </w:r>
      <w:r>
        <w:t xml:space="preserve">novou již plně tomistickou </w:t>
      </w:r>
      <w:r w:rsidRPr="00273106">
        <w:t>pozici autora vyjá</w:t>
      </w:r>
      <w:r>
        <w:t xml:space="preserve">dřenou explicitně v této pasáži, kde je kompletní schéma nasvícení intelektu zepředu </w:t>
      </w:r>
      <w:r w:rsidRPr="00273106">
        <w:t>(O 3.17, p. 334.43‒55</w:t>
      </w:r>
      <w:r>
        <w:fldChar w:fldCharType="begin"/>
      </w:r>
      <w:r>
        <w:instrText xml:space="preserve"> XE "</w:instrText>
      </w:r>
      <w:r w:rsidRPr="00622E6B">
        <w:rPr>
          <w:i/>
        </w:rPr>
        <w:instrText>Oxfordský</w:instrText>
      </w:r>
      <w:r w:rsidRPr="00F53B8E">
        <w:rPr>
          <w:i/>
        </w:rPr>
        <w:instrText xml:space="preserve"> Anonym</w:instrText>
      </w:r>
      <w:r>
        <w:instrText xml:space="preserve"> 334.43‒55" </w:instrText>
      </w:r>
      <w:r>
        <w:fldChar w:fldCharType="end"/>
      </w:r>
      <w:r w:rsidRPr="00273106">
        <w:t xml:space="preserve">). </w:t>
      </w:r>
      <w:r w:rsidR="00F06EA5">
        <w:t xml:space="preserve">V duši </w:t>
      </w:r>
      <w:r w:rsidRPr="00273106">
        <w:t xml:space="preserve">existují dvě poznávací potence </w:t>
      </w:r>
      <w:r>
        <w:t>dané vzhledem ke dvě</w:t>
      </w:r>
      <w:r w:rsidR="00F06EA5">
        <w:t>ma</w:t>
      </w:r>
      <w:r>
        <w:t xml:space="preserve"> řádům reality </w:t>
      </w:r>
      <w:r w:rsidRPr="00273106">
        <w:t>(</w:t>
      </w:r>
      <w:r w:rsidRPr="00273106">
        <w:rPr>
          <w:i/>
        </w:rPr>
        <w:t>respectu sensibilium</w:t>
      </w:r>
      <w:r>
        <w:t xml:space="preserve">, </w:t>
      </w:r>
      <w:r w:rsidRPr="00273106">
        <w:rPr>
          <w:i/>
        </w:rPr>
        <w:t>intelligibilium</w:t>
      </w:r>
      <w:r w:rsidRPr="00273106">
        <w:t>).</w:t>
      </w:r>
      <w:r>
        <w:t xml:space="preserve"> </w:t>
      </w:r>
      <w:r w:rsidRPr="00273106">
        <w:t>Z hlediska intelektuálního poznání jsou oba intelekty jako potence duše zásadně rozlišené</w:t>
      </w:r>
      <w:r>
        <w:t xml:space="preserve"> (</w:t>
      </w:r>
      <w:r w:rsidRPr="00273106">
        <w:rPr>
          <w:i/>
        </w:rPr>
        <w:t>agens activus est respectu sensibilium et possibilis passivus respectu intelligibilium</w:t>
      </w:r>
      <w:r>
        <w:t xml:space="preserve">; p. </w:t>
      </w:r>
      <w:r w:rsidRPr="00273106">
        <w:t>334</w:t>
      </w:r>
      <w:r>
        <w:t>.</w:t>
      </w:r>
      <w:r w:rsidRPr="00273106">
        <w:t>51‒52</w:t>
      </w:r>
      <w:r>
        <w:fldChar w:fldCharType="begin"/>
      </w:r>
      <w:r>
        <w:instrText xml:space="preserve"> XE "</w:instrText>
      </w:r>
      <w:r w:rsidRPr="00622E6B">
        <w:rPr>
          <w:i/>
        </w:rPr>
        <w:instrText>Oxfordský</w:instrText>
      </w:r>
      <w:r w:rsidRPr="00F53B8E">
        <w:rPr>
          <w:i/>
        </w:rPr>
        <w:instrText xml:space="preserve"> Anonym</w:instrText>
      </w:r>
      <w:r>
        <w:instrText xml:space="preserve"> 334.51‒52" </w:instrText>
      </w:r>
      <w:r>
        <w:fldChar w:fldCharType="end"/>
      </w:r>
      <w:r w:rsidRPr="00273106">
        <w:t xml:space="preserve">). Činný intelekt odpovídá za aktivní syntézu poznání </w:t>
      </w:r>
      <w:r w:rsidR="00B0286A">
        <w:t xml:space="preserve">vzatou ze </w:t>
      </w:r>
      <w:r w:rsidRPr="00273106">
        <w:t xml:space="preserve">smyslové sféry. </w:t>
      </w:r>
      <w:r w:rsidR="00B0286A" w:rsidRPr="00273106">
        <w:t xml:space="preserve">Činný intelekt </w:t>
      </w:r>
      <w:r w:rsidR="00B0286A">
        <w:t>je</w:t>
      </w:r>
      <w:r w:rsidRPr="00273106">
        <w:t xml:space="preserve"> navázán na čistou potencialitu nemateriálního pasivního intelektu, který přijímá </w:t>
      </w:r>
      <w:r>
        <w:t xml:space="preserve">všechny </w:t>
      </w:r>
      <w:r w:rsidRPr="00273106">
        <w:t xml:space="preserve">inteligibilní obsahy poznání v jejich </w:t>
      </w:r>
      <w:r>
        <w:t xml:space="preserve">univerzální </w:t>
      </w:r>
      <w:r w:rsidRPr="00273106">
        <w:t>potencialitě</w:t>
      </w:r>
      <w:r>
        <w:t xml:space="preserve"> a v nemateriálním modu </w:t>
      </w:r>
      <w:r w:rsidRPr="08E253C0">
        <w:rPr>
          <w:i/>
        </w:rPr>
        <w:t>inmixtus</w:t>
      </w:r>
      <w:r w:rsidRPr="00273106">
        <w:t>.</w:t>
      </w:r>
      <w:r w:rsidRPr="00273106">
        <w:rPr>
          <w:rStyle w:val="Znakapoznpodarou"/>
        </w:rPr>
        <w:footnoteReference w:id="156"/>
      </w:r>
      <w:r w:rsidRPr="00273106">
        <w:t xml:space="preserve"> Ce</w:t>
      </w:r>
      <w:r w:rsidR="00B0286A">
        <w:t xml:space="preserve">lé poznání je nasvíceno zepředu, </w:t>
      </w:r>
      <w:r w:rsidRPr="00273106">
        <w:t>díky základnímu směřování činného intelektu k reálným věcem poznávaných smyslově (</w:t>
      </w:r>
      <w:r w:rsidRPr="00273106">
        <w:rPr>
          <w:i/>
        </w:rPr>
        <w:t>agens activus est respectu sensibilium</w:t>
      </w:r>
      <w:r w:rsidRPr="00273106">
        <w:t xml:space="preserve">). Tím je vyjádřena jednota všech poznávacích složek v jedné duši, které produkují univerzální poznání intelektu determinovaného od </w:t>
      </w:r>
      <w:r w:rsidR="005F6027" w:rsidRPr="00273106">
        <w:t>jednotlivin</w:t>
      </w:r>
      <w:r w:rsidR="005F6027">
        <w:t xml:space="preserve"> </w:t>
      </w:r>
      <w:r w:rsidR="005F6027" w:rsidRPr="00273106">
        <w:t xml:space="preserve">poznávaných </w:t>
      </w:r>
      <w:r w:rsidR="005F6027">
        <w:t>smysly</w:t>
      </w:r>
      <w:r w:rsidRPr="00273106">
        <w:t xml:space="preserve">. Oba mody jsou zásadně odděleny co do partikularity a univerzality a celou syntézu poznání směrem od věci </w:t>
      </w:r>
      <w:r>
        <w:t>determinuje aktivní složka (</w:t>
      </w:r>
      <w:r w:rsidRPr="00273106">
        <w:rPr>
          <w:i/>
        </w:rPr>
        <w:t>intellectus agens</w:t>
      </w:r>
      <w:r w:rsidRPr="00273106">
        <w:t>) daná v naší duši.</w:t>
      </w:r>
      <w:r w:rsidRPr="00273106">
        <w:rPr>
          <w:rStyle w:val="Znakapoznpodarou"/>
        </w:rPr>
        <w:footnoteReference w:id="157"/>
      </w:r>
      <w:r w:rsidRPr="00273106">
        <w:t xml:space="preserve"> </w:t>
      </w:r>
      <w:r w:rsidR="004E20F1">
        <w:t xml:space="preserve">Jedná se scénář prvního averroismu podle CMDA. </w:t>
      </w:r>
      <w:r>
        <w:t>Averroes</w:t>
      </w:r>
      <w:r w:rsidR="004E20F1">
        <w:t xml:space="preserve"> nemá univerzália ve věcech a </w:t>
      </w:r>
      <w:r w:rsidRPr="00273106">
        <w:t>nasvícení běží zepř</w:t>
      </w:r>
      <w:r>
        <w:t>edu od první substance</w:t>
      </w:r>
      <w:r w:rsidR="004E20F1">
        <w:t>. I</w:t>
      </w:r>
      <w:r w:rsidRPr="00273106">
        <w:t xml:space="preserve">ntelektuální schopnost duše je </w:t>
      </w:r>
      <w:r w:rsidRPr="00273106">
        <w:rPr>
          <w:i/>
        </w:rPr>
        <w:t>tabula rasa</w:t>
      </w:r>
      <w:r>
        <w:t xml:space="preserve">, intelekt </w:t>
      </w:r>
      <w:r w:rsidR="004E20F1">
        <w:t>není a</w:t>
      </w:r>
      <w:r>
        <w:t>ktuální substancí či oddělenou substancí, protože by nemohl nic poznávat mimo sebe.</w:t>
      </w:r>
      <w:r w:rsidRPr="00273106">
        <w:t xml:space="preserve"> Veškeré univerzálie jsou dány jen v mysli a jsou výsledkem procesu abstrakce. Něco úplně jiného jsou existující </w:t>
      </w:r>
      <w:r w:rsidRPr="00273106">
        <w:lastRenderedPageBreak/>
        <w:t xml:space="preserve">kosmické nemateriální formy a inteligence, protože to jsou aktuální první substance. </w:t>
      </w:r>
      <w:r w:rsidR="00280991" w:rsidRPr="00280991">
        <w:t>První tomi</w:t>
      </w:r>
      <w:r w:rsidR="002859C6">
        <w:t>sta Aegidius však nemohl Averroe</w:t>
      </w:r>
      <w:r w:rsidR="00280991" w:rsidRPr="00280991">
        <w:t>se hájit, protože stejně jako Akvinský patřil tento semiaverroista</w:t>
      </w:r>
      <w:r w:rsidR="00280991">
        <w:fldChar w:fldCharType="begin"/>
      </w:r>
      <w:r w:rsidR="00280991">
        <w:instrText xml:space="preserve"> XE "</w:instrText>
      </w:r>
      <w:r w:rsidR="00280991" w:rsidRPr="005E65F3">
        <w:instrText>semiaverroismus</w:instrText>
      </w:r>
      <w:r w:rsidR="00280991">
        <w:instrText xml:space="preserve">" </w:instrText>
      </w:r>
      <w:r w:rsidR="00280991">
        <w:fldChar w:fldCharType="end"/>
      </w:r>
      <w:r w:rsidR="00280991" w:rsidRPr="00280991">
        <w:t xml:space="preserve"> ke škole </w:t>
      </w:r>
      <w:r w:rsidR="00280991" w:rsidRPr="00280991">
        <w:rPr>
          <w:i/>
        </w:rPr>
        <w:t>sophistae Latini</w:t>
      </w:r>
      <w:r w:rsidR="00280991" w:rsidRPr="00280991">
        <w:t xml:space="preserve">, pokud jde o jednotu intelektu. Aegidius proklel </w:t>
      </w:r>
      <w:r w:rsidR="002859C6">
        <w:t>Averroe</w:t>
      </w:r>
      <w:r w:rsidR="002859C6" w:rsidRPr="00280991">
        <w:t xml:space="preserve">se </w:t>
      </w:r>
      <w:r w:rsidR="002859C6">
        <w:t xml:space="preserve">jako </w:t>
      </w:r>
      <w:r w:rsidR="00280991" w:rsidRPr="00280991">
        <w:t>heretika, což tomuto latinskému sofistovi nijak nebránilo v</w:t>
      </w:r>
      <w:r w:rsidR="002859C6">
        <w:t xml:space="preserve"> tom, aby přijal všechny jeho </w:t>
      </w:r>
      <w:r w:rsidR="00280991" w:rsidRPr="00280991">
        <w:t xml:space="preserve">klíčové argumenty, zejména </w:t>
      </w:r>
      <w:r w:rsidR="002859C6">
        <w:t xml:space="preserve">z </w:t>
      </w:r>
      <w:r w:rsidR="00280991" w:rsidRPr="00280991">
        <w:t xml:space="preserve">nejdůležitější třetí části CMDA. </w:t>
      </w:r>
      <w:r w:rsidRPr="00273106">
        <w:t xml:space="preserve">Celý spor o jednotu intelektu </w:t>
      </w:r>
      <w:r>
        <w:t xml:space="preserve">v obou dílech </w:t>
      </w:r>
      <w:r w:rsidRPr="00273106">
        <w:t xml:space="preserve">je </w:t>
      </w:r>
      <w:r>
        <w:t xml:space="preserve">do jisté míry </w:t>
      </w:r>
      <w:r w:rsidRPr="00273106">
        <w:t xml:space="preserve">postavený mimo dosavadní známé linie sporu mezi prvním a druhým averroismem. Z hlediska hermeneutiky je zřejmé, že se týká pouze dvou známých autorů: Aegidia Romana (rukopis O) a Sigera z Brabantu (rukopis M). </w:t>
      </w:r>
      <w:r>
        <w:t>Důležitý je vývoj autora od umírněného avicennismu (O I‒II) k explicitnímu odmítnutí avicennistického pojetí poznání a intelektu v historicky první verzi tomismu (O III). Tento zlom je dán po Aegidiově recepci Akvinského spisů psaných v letech 1267‒69 během pobytu v Itálii. Autor je s</w:t>
      </w:r>
      <w:r w:rsidRPr="00273106">
        <w:t>emiaverroista</w:t>
      </w:r>
      <w:r>
        <w:t xml:space="preserve">, protože </w:t>
      </w:r>
      <w:r w:rsidRPr="00273106">
        <w:t xml:space="preserve">odmítne řešení </w:t>
      </w:r>
      <w:r>
        <w:t xml:space="preserve">Averroese a Sigera. S </w:t>
      </w:r>
      <w:r w:rsidRPr="00273106">
        <w:t>pomocí Akvinského vytvoří novo</w:t>
      </w:r>
      <w:r>
        <w:t>u verzi sporu o averroismus tím, že účelově obviní Averroese z vlastní neschopnosti domyslet skutečnou jednotu poznání a osoby</w:t>
      </w:r>
      <w:r>
        <w:fldChar w:fldCharType="begin"/>
      </w:r>
      <w:r>
        <w:instrText xml:space="preserve"> XE "</w:instrText>
      </w:r>
      <w:r w:rsidRPr="006174FF">
        <w:instrText>semiaverroismus</w:instrText>
      </w:r>
      <w:r>
        <w:instrText xml:space="preserve">" </w:instrText>
      </w:r>
      <w:r>
        <w:fldChar w:fldCharType="end"/>
      </w:r>
      <w:r>
        <w:t xml:space="preserve">. Stejný postoj najdeme u Aegidia kolem roku 1270 při psaní </w:t>
      </w:r>
      <w:r w:rsidRPr="08BA3937">
        <w:rPr>
          <w:i/>
        </w:rPr>
        <w:t>De plurificatione</w:t>
      </w:r>
      <w:r>
        <w:t xml:space="preserve">. Aegidius objektivizoval intelekt v modu </w:t>
      </w:r>
      <w:r w:rsidRPr="087236EB">
        <w:rPr>
          <w:i/>
        </w:rPr>
        <w:t xml:space="preserve">quartum </w:t>
      </w:r>
      <w:r w:rsidR="00962190">
        <w:rPr>
          <w:i/>
        </w:rPr>
        <w:t>genus</w:t>
      </w:r>
      <w:r>
        <w:t xml:space="preserve"> a nebyl schopen interpretovat CMDA v modu </w:t>
      </w:r>
      <w:r w:rsidRPr="087236EB">
        <w:rPr>
          <w:i/>
        </w:rPr>
        <w:t xml:space="preserve">tertium </w:t>
      </w:r>
      <w:r w:rsidR="00962190">
        <w:rPr>
          <w:i/>
        </w:rPr>
        <w:t>genus</w:t>
      </w:r>
      <w:r>
        <w:t>.</w:t>
      </w:r>
      <w:r w:rsidRPr="00273106">
        <w:rPr>
          <w:rStyle w:val="Znakapoznpodarou"/>
        </w:rPr>
        <w:footnoteReference w:id="158"/>
      </w:r>
      <w:r>
        <w:t xml:space="preserve"> Aegidius a Akvinský viděli neoplatonského Averroese podle Toledské školy a provedli jeho kritiku. Oba </w:t>
      </w:r>
      <w:r w:rsidR="08D506E9">
        <w:t xml:space="preserve">myslitelé </w:t>
      </w:r>
      <w:r>
        <w:t xml:space="preserve">vůbec nebrali k </w:t>
      </w:r>
      <w:proofErr w:type="gramStart"/>
      <w:r>
        <w:t>úvahu</w:t>
      </w:r>
      <w:proofErr w:type="gramEnd"/>
      <w:r>
        <w:t xml:space="preserve">, že výklad jednoty intelektu v obou modech, tj. existenciálního výkonu poznání a abstraktního pohledu na intelekt podle Sicilské školy, předložili Alvernus a Albert okolo roku 1240. Plnou jednotu pozní osoby celou dobu bránil výklad </w:t>
      </w:r>
      <w:r w:rsidRPr="08641AFE">
        <w:rPr>
          <w:i/>
        </w:rPr>
        <w:t>De anima</w:t>
      </w:r>
      <w:r>
        <w:t xml:space="preserve"> od magistrů na Rue du Fouarre</w:t>
      </w:r>
      <w:r w:rsidR="00F753B1">
        <w:t xml:space="preserve">. </w:t>
      </w:r>
      <w:r>
        <w:t>Aegidius promítl základní sofismata druhého averroismu do averroisticky koncipovaného Averroese (</w:t>
      </w:r>
      <w:r w:rsidRPr="00644F46">
        <w:rPr>
          <w:i/>
        </w:rPr>
        <w:t>ista est sententia Commentatoris</w:t>
      </w:r>
      <w:r>
        <w:t xml:space="preserve">) a pak jej odsoudil. </w:t>
      </w:r>
      <w:r w:rsidRPr="00273106">
        <w:t xml:space="preserve">Hermeneutika charakterizuje tuto verzi </w:t>
      </w:r>
      <w:r>
        <w:t xml:space="preserve">averroismu </w:t>
      </w:r>
      <w:r w:rsidRPr="00273106">
        <w:t>jako nasvícení zezadu</w:t>
      </w:r>
      <w:r>
        <w:fldChar w:fldCharType="begin"/>
      </w:r>
      <w:r>
        <w:instrText xml:space="preserve"> XE "</w:instrText>
      </w:r>
      <w:r w:rsidRPr="00C85B51">
        <w:instrText>zjevování:nasvícení zezadu</w:instrText>
      </w:r>
      <w:r>
        <w:instrText xml:space="preserve">" </w:instrText>
      </w:r>
      <w:r>
        <w:fldChar w:fldCharType="end"/>
      </w:r>
      <w:r w:rsidRPr="00273106">
        <w:t xml:space="preserve">, protože aktivní intelekt řídí aktualizaci </w:t>
      </w:r>
      <w:r w:rsidR="00962190">
        <w:rPr>
          <w:i/>
        </w:rPr>
        <w:t>species</w:t>
      </w:r>
      <w:r>
        <w:t xml:space="preserve"> danou</w:t>
      </w:r>
      <w:r w:rsidRPr="00273106">
        <w:t xml:space="preserve"> </w:t>
      </w:r>
      <w:r w:rsidR="005F3044">
        <w:t>„</w:t>
      </w:r>
      <w:r w:rsidRPr="00273106">
        <w:rPr>
          <w:i/>
        </w:rPr>
        <w:t>in potentia</w:t>
      </w:r>
      <w:r w:rsidR="005F3044">
        <w:t>“</w:t>
      </w:r>
      <w:r w:rsidRPr="00273106">
        <w:t xml:space="preserve"> přímo v jednotlivinách. Pak není žádný problém udělat z Averro</w:t>
      </w:r>
      <w:r>
        <w:t>es</w:t>
      </w:r>
      <w:r w:rsidRPr="00273106">
        <w:t xml:space="preserve">e </w:t>
      </w:r>
      <w:r>
        <w:t>averroistu</w:t>
      </w:r>
      <w:r w:rsidRPr="00273106">
        <w:t xml:space="preserve">, viz </w:t>
      </w:r>
      <w:r>
        <w:t xml:space="preserve">Aegidiův </w:t>
      </w:r>
      <w:r w:rsidRPr="00273106">
        <w:t xml:space="preserve">spis </w:t>
      </w:r>
      <w:r w:rsidR="0062529C" w:rsidRPr="00890E8A">
        <w:rPr>
          <w:i/>
          <w:szCs w:val="24"/>
        </w:rPr>
        <w:t xml:space="preserve">De erroribus </w:t>
      </w:r>
      <w:r w:rsidR="0062529C" w:rsidRPr="00890E8A">
        <w:rPr>
          <w:i/>
          <w:szCs w:val="24"/>
        </w:rPr>
        <w:lastRenderedPageBreak/>
        <w:t>Philosophorum</w:t>
      </w:r>
      <w:r w:rsidR="0062529C" w:rsidRPr="001624E2">
        <w:rPr>
          <w:szCs w:val="24"/>
        </w:rPr>
        <w:t xml:space="preserve"> </w:t>
      </w:r>
      <w:r w:rsidRPr="00273106">
        <w:rPr>
          <w:rFonts w:eastAsia="Georgia"/>
        </w:rPr>
        <w:t>(1270)</w:t>
      </w:r>
      <w:r w:rsidRPr="00273106">
        <w:t xml:space="preserve">. </w:t>
      </w:r>
      <w:r>
        <w:t xml:space="preserve">Stačí </w:t>
      </w:r>
      <w:r w:rsidRPr="00273106">
        <w:t xml:space="preserve">sofisticky </w:t>
      </w:r>
      <w:r>
        <w:t>prohlásit</w:t>
      </w:r>
      <w:r w:rsidRPr="00273106">
        <w:t xml:space="preserve">, že </w:t>
      </w:r>
      <w:r w:rsidRPr="00273106">
        <w:rPr>
          <w:i/>
        </w:rPr>
        <w:t>intellectus possibilis</w:t>
      </w:r>
      <w:r w:rsidRPr="00273106">
        <w:t xml:space="preserve"> i </w:t>
      </w:r>
      <w:r w:rsidRPr="00273106">
        <w:rPr>
          <w:i/>
        </w:rPr>
        <w:t>agens</w:t>
      </w:r>
      <w:r w:rsidRPr="00273106">
        <w:t xml:space="preserve"> musí být numericky jednotný v každém člověku na způsob oddělené substance</w:t>
      </w:r>
      <w:r>
        <w:fldChar w:fldCharType="begin"/>
      </w:r>
      <w:r>
        <w:instrText xml:space="preserve"> XE "</w:instrText>
      </w:r>
      <w:r w:rsidRPr="009B0CEA">
        <w:instrText>intelekt:numericky jednotný</w:instrText>
      </w:r>
      <w:r>
        <w:instrText xml:space="preserve">" </w:instrText>
      </w:r>
      <w:r>
        <w:fldChar w:fldCharType="end"/>
      </w:r>
      <w:r w:rsidRPr="00273106">
        <w:t xml:space="preserve">, protože obě formy nemateriálního intelektu (pasivní, aktivní) odpovídají za jednotný obsah univerzálie dané stejně pro všechny </w:t>
      </w:r>
      <w:r>
        <w:t>lidi. A proces poznání u Averroes</w:t>
      </w:r>
      <w:r w:rsidRPr="00273106">
        <w:t>e je prý individuální jen kontingentním způsobem</w:t>
      </w:r>
      <w:r>
        <w:t xml:space="preserve"> v podobě </w:t>
      </w:r>
      <w:r>
        <w:rPr>
          <w:i/>
        </w:rPr>
        <w:t>coniunctio</w:t>
      </w:r>
      <w:r>
        <w:rPr>
          <w:i/>
        </w:rPr>
        <w:fldChar w:fldCharType="begin"/>
      </w:r>
      <w:r>
        <w:instrText xml:space="preserve"> XE "</w:instrText>
      </w:r>
      <w:r>
        <w:rPr>
          <w:i/>
        </w:rPr>
        <w:instrText>coniunctio</w:instrText>
      </w:r>
      <w:r w:rsidRPr="00D0268D">
        <w:rPr>
          <w:i/>
        </w:rPr>
        <w:instrText>:</w:instrText>
      </w:r>
      <w:r w:rsidRPr="00FA280F">
        <w:instrText>averroismus</w:instrText>
      </w:r>
      <w:r>
        <w:instrText xml:space="preserve">" </w:instrText>
      </w:r>
      <w:r>
        <w:rPr>
          <w:i/>
        </w:rPr>
        <w:fldChar w:fldCharType="end"/>
      </w:r>
      <w:r>
        <w:t xml:space="preserve"> odděleného kosmického intelektu a naší poznávací schopnosti. To </w:t>
      </w:r>
      <w:r w:rsidRPr="00273106">
        <w:t xml:space="preserve">je </w:t>
      </w:r>
      <w:r>
        <w:t>avicennovská p</w:t>
      </w:r>
      <w:r w:rsidRPr="00273106">
        <w:t xml:space="preserve">ozice </w:t>
      </w:r>
      <w:r>
        <w:t>Toledské školy</w:t>
      </w:r>
      <w:r>
        <w:fldChar w:fldCharType="begin"/>
      </w:r>
      <w:r>
        <w:instrText xml:space="preserve"> XE "</w:instrText>
      </w:r>
      <w:r w:rsidRPr="082D689C">
        <w:instrText>Toledská škola</w:instrText>
      </w:r>
      <w:r>
        <w:instrText xml:space="preserve">" </w:instrText>
      </w:r>
      <w:r>
        <w:fldChar w:fldCharType="end"/>
      </w:r>
      <w:r>
        <w:t xml:space="preserve">, kterou převzal </w:t>
      </w:r>
      <w:r w:rsidRPr="00273106">
        <w:t>Akvinsk</w:t>
      </w:r>
      <w:r>
        <w:t>ý</w:t>
      </w:r>
      <w:r w:rsidRPr="00273106">
        <w:t xml:space="preserve">, jak uvidíme dále. Možný i aktivní intelekt jsou samy o sobě subsistentní formy, které se následně spojí s daným individuálním procesem poznání. Pak ovšem nemyslí člověk jako </w:t>
      </w:r>
      <w:r w:rsidR="00374389">
        <w:t xml:space="preserve">personální </w:t>
      </w:r>
      <w:r w:rsidRPr="00273106">
        <w:t>substance</w:t>
      </w:r>
      <w:r>
        <w:t xml:space="preserve">, což je výsledek </w:t>
      </w:r>
      <w:r w:rsidRPr="00273106">
        <w:t xml:space="preserve">Aegidiova výkladu a </w:t>
      </w:r>
      <w:r>
        <w:t>postoj Oxfordského rukopisu</w:t>
      </w:r>
      <w:r w:rsidRPr="00273106">
        <w:t>. St</w:t>
      </w:r>
      <w:r>
        <w:t xml:space="preserve">ejné stanovisko má </w:t>
      </w:r>
      <w:r w:rsidRPr="00273106">
        <w:t xml:space="preserve">Aegidius </w:t>
      </w:r>
      <w:r>
        <w:t xml:space="preserve">ve spisu </w:t>
      </w:r>
      <w:r w:rsidRPr="00273106">
        <w:rPr>
          <w:i/>
        </w:rPr>
        <w:t xml:space="preserve">De plurificatione </w:t>
      </w:r>
      <w:r w:rsidRPr="00273106">
        <w:t>a používá podobné argumenty</w:t>
      </w:r>
      <w:r>
        <w:t xml:space="preserve"> jako rukopis O</w:t>
      </w:r>
      <w:r w:rsidRPr="00273106">
        <w:t>.</w:t>
      </w:r>
      <w:r>
        <w:t xml:space="preserve"> Dualismus poznání a teorie odděleného intelektu jsou sofisticky připsány averroistickému Averroesovi, což je společná pozice Oxfordského rukopi</w:t>
      </w:r>
      <w:r w:rsidR="0845107F">
        <w:t>su, Aegidia a Akvinského (kap. 4</w:t>
      </w:r>
      <w:r>
        <w:t>.4.3).</w:t>
      </w:r>
      <w:r w:rsidRPr="00273106">
        <w:t xml:space="preserve"> </w:t>
      </w:r>
      <w:r>
        <w:t>Intelekt s</w:t>
      </w:r>
      <w:r w:rsidR="00963BCA">
        <w:t xml:space="preserve">e stal další hypostází v duši </w:t>
      </w:r>
      <w:r w:rsidR="00537459">
        <w:t xml:space="preserve">a </w:t>
      </w:r>
      <w:r>
        <w:t xml:space="preserve">funguje jako subjekt s vlastní aktualitou. Tento již neosobní výkon intelektu způsobuje, že myšlení není aktem osobně pojaté duše, </w:t>
      </w:r>
      <w:r w:rsidR="00963BCA">
        <w:t>ale neosobně</w:t>
      </w:r>
      <w:r>
        <w:t xml:space="preserve"> daného intelektu, který se s námi spojuje v modu kopulace. </w:t>
      </w:r>
      <w:r w:rsidRPr="00273106">
        <w:t xml:space="preserve">To by </w:t>
      </w:r>
      <w:r>
        <w:t xml:space="preserve">mohl říci </w:t>
      </w:r>
      <w:r w:rsidRPr="00273106">
        <w:t xml:space="preserve">snad </w:t>
      </w:r>
      <w:r>
        <w:t>Averroes</w:t>
      </w:r>
      <w:r w:rsidRPr="00273106">
        <w:t xml:space="preserve">ův raný a střední komentář k </w:t>
      </w:r>
      <w:proofErr w:type="gramStart"/>
      <w:r>
        <w:rPr>
          <w:i/>
        </w:rPr>
        <w:t>De</w:t>
      </w:r>
      <w:proofErr w:type="gramEnd"/>
      <w:r>
        <w:rPr>
          <w:i/>
        </w:rPr>
        <w:t xml:space="preserve"> anima</w:t>
      </w:r>
      <w:r w:rsidRPr="00273106">
        <w:t>, ale nikoliv poslední syntéz</w:t>
      </w:r>
      <w:r w:rsidR="00537459">
        <w:t>a</w:t>
      </w:r>
      <w:r w:rsidRPr="00273106">
        <w:t xml:space="preserve"> daná v CMDA</w:t>
      </w:r>
      <w:r>
        <w:t xml:space="preserve">. A tu znali scholastikové této doby jako jediný komentář Averroese k </w:t>
      </w:r>
      <w:proofErr w:type="gramStart"/>
      <w:r w:rsidRPr="0015715E">
        <w:rPr>
          <w:i/>
        </w:rPr>
        <w:t>De</w:t>
      </w:r>
      <w:proofErr w:type="gramEnd"/>
      <w:r w:rsidRPr="0015715E">
        <w:rPr>
          <w:i/>
        </w:rPr>
        <w:t xml:space="preserve"> anima</w:t>
      </w:r>
      <w:r w:rsidRPr="00273106">
        <w:t xml:space="preserve">. </w:t>
      </w:r>
      <w:r>
        <w:t>Tento semiaverro</w:t>
      </w:r>
      <w:r w:rsidRPr="00273106">
        <w:t>i</w:t>
      </w:r>
      <w:r>
        <w:t>s</w:t>
      </w:r>
      <w:r w:rsidRPr="00273106">
        <w:t xml:space="preserve">tický výklad </w:t>
      </w:r>
      <w:r>
        <w:t xml:space="preserve">CMDA </w:t>
      </w:r>
      <w:r w:rsidRPr="00273106">
        <w:t xml:space="preserve">funguje </w:t>
      </w:r>
      <w:r>
        <w:t xml:space="preserve">v moderně dodnes. Myšlení postmoderny ovlivněné </w:t>
      </w:r>
      <w:r w:rsidRPr="00273106">
        <w:t xml:space="preserve">kartezianismem a objektivismem </w:t>
      </w:r>
      <w:r>
        <w:t xml:space="preserve">bere toto </w:t>
      </w:r>
      <w:r>
        <w:rPr>
          <w:i/>
        </w:rPr>
        <w:t>c</w:t>
      </w:r>
      <w:r w:rsidRPr="00F77F29">
        <w:rPr>
          <w:i/>
        </w:rPr>
        <w:t>opulatio</w:t>
      </w:r>
      <w:r>
        <w:t xml:space="preserve"> nebo </w:t>
      </w:r>
      <w:r>
        <w:rPr>
          <w:i/>
        </w:rPr>
        <w:t>coniunctio</w:t>
      </w:r>
      <w:r>
        <w:t xml:space="preserve"> intelektu jako externí substance za Averroesovo</w:t>
      </w:r>
      <w:r w:rsidRPr="00273106">
        <w:t xml:space="preserve"> pojetí lidského intelektu a procesu poznání. Podle CMDA jde o jasný nesmysl, protože oddělený intelekt s vlastní aktualitou by byl nutně samostatnou substancí (</w:t>
      </w:r>
      <w:r w:rsidRPr="00273106">
        <w:rPr>
          <w:i/>
        </w:rPr>
        <w:t>hoc aliquid</w:t>
      </w:r>
      <w:r>
        <w:rPr>
          <w:i/>
        </w:rPr>
        <w:fldChar w:fldCharType="begin"/>
      </w:r>
      <w:r>
        <w:instrText xml:space="preserve"> XE "substance:intelekt" </w:instrText>
      </w:r>
      <w:r>
        <w:rPr>
          <w:i/>
        </w:rPr>
        <w:fldChar w:fldCharType="end"/>
      </w:r>
      <w:r w:rsidRPr="00273106">
        <w:t>). Klíčový omyl semiaverroistické interpretace CMDA tkví v tom, že Oxfordský rukopis a Aegidius od sebe oddělili sféru smyslů a intelektu.</w:t>
      </w:r>
      <w:r w:rsidRPr="00273106">
        <w:rPr>
          <w:rStyle w:val="Znakapoznpodarou"/>
        </w:rPr>
        <w:footnoteReference w:id="159"/>
      </w:r>
      <w:r w:rsidRPr="00273106">
        <w:t xml:space="preserve"> To pochopitelně CMDA principiálně odmítá, protože by tím padlo hledané </w:t>
      </w:r>
      <w:r w:rsidRPr="00273106">
        <w:rPr>
          <w:i/>
        </w:rPr>
        <w:t>proportio</w:t>
      </w:r>
      <w:r w:rsidRPr="00273106">
        <w:t xml:space="preserve"> mezi smysly a intelektem</w:t>
      </w:r>
      <w:r>
        <w:t>, které tvoří jádro aristotelské metafyziky</w:t>
      </w:r>
      <w:r w:rsidRPr="00273106">
        <w:t xml:space="preserve">. Adekvace věci a poznání je dána od aktuální první substance, a nikoliv od nějakého subsistujícího intelektu. </w:t>
      </w:r>
      <w:r>
        <w:lastRenderedPageBreak/>
        <w:t>Averroes</w:t>
      </w:r>
      <w:r w:rsidRPr="00273106">
        <w:t xml:space="preserve"> a první averroismus tvrdí podle Aristotela, že člověk bytuje jako první substance pouze </w:t>
      </w:r>
      <w:r w:rsidRPr="00273106">
        <w:rPr>
          <w:i/>
        </w:rPr>
        <w:t>simpliciter</w:t>
      </w:r>
      <w:r w:rsidRPr="00273106">
        <w:t xml:space="preserve"> a má jeden nedělitelný </w:t>
      </w:r>
      <w:r w:rsidRPr="00273106">
        <w:rPr>
          <w:i/>
        </w:rPr>
        <w:t>actus essendi</w:t>
      </w:r>
      <w:r>
        <w:rPr>
          <w:i/>
        </w:rPr>
        <w:fldChar w:fldCharType="begin"/>
      </w:r>
      <w:r>
        <w:instrText xml:space="preserve"> XE "</w:instrText>
      </w:r>
      <w:r w:rsidRPr="006D3950">
        <w:rPr>
          <w:i/>
        </w:rPr>
        <w:instrText>actus essendi</w:instrText>
      </w:r>
      <w:r>
        <w:instrText xml:space="preserve">" </w:instrText>
      </w:r>
      <w:r>
        <w:rPr>
          <w:i/>
        </w:rPr>
        <w:fldChar w:fldCharType="end"/>
      </w:r>
      <w:r>
        <w:t>. Jakákoliv p</w:t>
      </w:r>
      <w:r w:rsidRPr="00273106">
        <w:t>luralita substancí</w:t>
      </w:r>
      <w:r>
        <w:t xml:space="preserve">, forem či hypostází </w:t>
      </w:r>
      <w:r w:rsidRPr="00273106">
        <w:t>v člověku je z hlediska první</w:t>
      </w:r>
      <w:r>
        <w:t xml:space="preserve">ho averroismu hájeného na Rue du Fouarre naprostý nesmysl. K odmítnutí poznávacího schématu druhého averroismu se </w:t>
      </w:r>
      <w:r w:rsidRPr="00273106">
        <w:t>nakonec přidala i třetí část Oxfordského rukopisu</w:t>
      </w:r>
      <w:r>
        <w:t xml:space="preserve"> ovlivněná tomistickým výkladem spisu </w:t>
      </w:r>
      <w:r w:rsidRPr="08CD04A0">
        <w:rPr>
          <w:i/>
        </w:rPr>
        <w:t>De anima</w:t>
      </w:r>
      <w:r w:rsidRPr="00273106">
        <w:t xml:space="preserve">. </w:t>
      </w:r>
    </w:p>
    <w:p w:rsidR="00DC699C" w:rsidRDefault="08163013" w:rsidP="08163013">
      <w:r>
        <w:tab/>
        <w:t>Klíčová pasáž rukopisu ohledně datace a autorství začíná slovy „</w:t>
      </w:r>
      <w:r w:rsidRPr="087A09A8">
        <w:rPr>
          <w:i/>
        </w:rPr>
        <w:t>Thomas de Aquino resistit rationi Commentatoris super secundum Metaphysicae</w:t>
      </w:r>
      <w:r w:rsidRPr="009E4A5F">
        <w:t>“</w:t>
      </w:r>
      <w:r>
        <w:t xml:space="preserve"> (O 3.21, p. 341.68‒75</w:t>
      </w:r>
      <w:r>
        <w:fldChar w:fldCharType="begin"/>
      </w:r>
      <w:r>
        <w:instrText xml:space="preserve"> XE "</w:instrText>
      </w:r>
      <w:r w:rsidRPr="00622E6B">
        <w:rPr>
          <w:i/>
        </w:rPr>
        <w:instrText>Oxfordský</w:instrText>
      </w:r>
      <w:r w:rsidRPr="00F53B8E">
        <w:rPr>
          <w:i/>
        </w:rPr>
        <w:instrText xml:space="preserve"> Anonym</w:instrText>
      </w:r>
      <w:r>
        <w:instrText xml:space="preserve"> 341.68‒75" </w:instrText>
      </w:r>
      <w:r>
        <w:fldChar w:fldCharType="end"/>
      </w:r>
      <w:r>
        <w:t xml:space="preserve">). Steenberghenova poznámka považuje argument </w:t>
      </w:r>
      <w:r w:rsidR="00C362B5">
        <w:t>ohledně Akvinského</w:t>
      </w:r>
      <w:r>
        <w:t xml:space="preserve"> za </w:t>
      </w:r>
      <w:r w:rsidR="00A8530A">
        <w:t xml:space="preserve">povrchní resumé </w:t>
      </w:r>
      <w:r w:rsidR="00C362B5">
        <w:t xml:space="preserve">Tomášova díla </w:t>
      </w:r>
      <w:r w:rsidRPr="00D84403">
        <w:rPr>
          <w:i/>
        </w:rPr>
        <w:t>In Metaph</w:t>
      </w:r>
      <w:r>
        <w:t xml:space="preserve">. II, lect. 1, 286 (ibid, p. 341). </w:t>
      </w:r>
      <w:r w:rsidR="0845107F">
        <w:t xml:space="preserve">To není přesné shrnutí. </w:t>
      </w:r>
      <w:r>
        <w:t xml:space="preserve">Anonymovy argumenty přesně odpovídají Akvinského postoji v ST I, q. 88, včetně správné citace druhé knihy </w:t>
      </w:r>
      <w:r w:rsidRPr="08480145">
        <w:rPr>
          <w:i/>
        </w:rPr>
        <w:t>Metafyziky</w:t>
      </w:r>
      <w:r>
        <w:t xml:space="preserve"> podle Komentátora.</w:t>
      </w:r>
      <w:r>
        <w:rPr>
          <w:rStyle w:val="Znakapoznpodarou"/>
        </w:rPr>
        <w:footnoteReference w:id="160"/>
      </w:r>
      <w:r>
        <w:t xml:space="preserve"> Akvinský a Aegidius hájí averroistický model kosmického </w:t>
      </w:r>
      <w:r>
        <w:rPr>
          <w:i/>
        </w:rPr>
        <w:t>intellectus possibilis</w:t>
      </w:r>
      <w:r>
        <w:t xml:space="preserve">, jehož existenci zdůvodnili sofistickým odvoláním na Averroesův citovaný výklad </w:t>
      </w:r>
      <w:r w:rsidRPr="08ED018C">
        <w:rPr>
          <w:i/>
        </w:rPr>
        <w:t>Metafyziky</w:t>
      </w:r>
      <w:r w:rsidR="080A1CC9">
        <w:t xml:space="preserve"> (kap. 4</w:t>
      </w:r>
      <w:r>
        <w:t xml:space="preserve">.5.1). Odpověď kvestie 88 odmítá nauku averroistického Averroese, který prý definuje poznání v neoplatonském modu </w:t>
      </w:r>
      <w:r>
        <w:rPr>
          <w:i/>
        </w:rPr>
        <w:t>per continuatione</w:t>
      </w:r>
      <w:r w:rsidRPr="08B87D0B">
        <w:rPr>
          <w:i/>
        </w:rPr>
        <w:t>m</w:t>
      </w:r>
      <w:r>
        <w:t xml:space="preserve"> lidského intelektu s odděleným kosmickým </w:t>
      </w:r>
      <w:r w:rsidRPr="08B87D0B">
        <w:rPr>
          <w:i/>
        </w:rPr>
        <w:t>intellectus agens</w:t>
      </w:r>
      <w:r>
        <w:t>.</w:t>
      </w:r>
      <w:r>
        <w:rPr>
          <w:rStyle w:val="Znakapoznpodarou"/>
        </w:rPr>
        <w:footnoteReference w:id="161"/>
      </w:r>
      <w:r>
        <w:t xml:space="preserve"> To je typický averroistický výklad CMDA v modu </w:t>
      </w:r>
      <w:r>
        <w:rPr>
          <w:i/>
        </w:rPr>
        <w:t>coniunctio</w:t>
      </w:r>
      <w:r>
        <w:t>, který vznikl v Toledské škole</w:t>
      </w:r>
      <w:r>
        <w:fldChar w:fldCharType="begin"/>
      </w:r>
      <w:r>
        <w:instrText xml:space="preserve"> XE "</w:instrText>
      </w:r>
      <w:r w:rsidRPr="087D6C61">
        <w:instrText>Toledská škola</w:instrText>
      </w:r>
      <w:r>
        <w:instrText xml:space="preserve">" </w:instrText>
      </w:r>
      <w:r>
        <w:fldChar w:fldCharType="end"/>
      </w:r>
      <w:r>
        <w:t xml:space="preserve"> konkordancí Averroese s neoplatonismem Avicenny a který drží Akvinský. Tomáš během studia v Paříži odmítl Alvernův a Albertův výklad Komentátora podle Sicilské školy</w:t>
      </w:r>
      <w:r w:rsidR="08E63162">
        <w:t xml:space="preserve"> a označil Averroese za averroistu</w:t>
      </w:r>
      <w:r>
        <w:fldChar w:fldCharType="begin"/>
      </w:r>
      <w:r>
        <w:instrText xml:space="preserve"> XE "</w:instrText>
      </w:r>
      <w:r w:rsidRPr="08CE37A1">
        <w:instrText>Sicilská škola</w:instrText>
      </w:r>
      <w:r>
        <w:instrText xml:space="preserve">" </w:instrText>
      </w:r>
      <w:r>
        <w:fldChar w:fldCharType="end"/>
      </w:r>
      <w:r>
        <w:t xml:space="preserve">. Neoplatonská Toledská škola podala výklad CMDA III v modu Avicennova </w:t>
      </w:r>
      <w:r w:rsidRPr="08895651">
        <w:rPr>
          <w:i/>
        </w:rPr>
        <w:t>con</w:t>
      </w:r>
      <w:r w:rsidR="081434CC">
        <w:rPr>
          <w:i/>
        </w:rPr>
        <w:t>i</w:t>
      </w:r>
      <w:r w:rsidRPr="08895651">
        <w:rPr>
          <w:i/>
        </w:rPr>
        <w:t>uctio</w:t>
      </w:r>
      <w:r>
        <w:t xml:space="preserve">. </w:t>
      </w:r>
      <w:r w:rsidR="08C819FF">
        <w:t xml:space="preserve">Akvinský považuje </w:t>
      </w:r>
      <w:r>
        <w:t xml:space="preserve">výklad </w:t>
      </w:r>
      <w:r w:rsidR="08E63162">
        <w:t xml:space="preserve">Toletánů za autentický </w:t>
      </w:r>
      <w:r>
        <w:t xml:space="preserve">Averroesův </w:t>
      </w:r>
      <w:r w:rsidR="08E63162">
        <w:t xml:space="preserve">výklad </w:t>
      </w:r>
      <w:r>
        <w:t xml:space="preserve">a odmítl jej na základě nové aristotelské četby </w:t>
      </w:r>
      <w:r w:rsidRPr="080929C4">
        <w:rPr>
          <w:i/>
        </w:rPr>
        <w:t>De anima</w:t>
      </w:r>
      <w:r>
        <w:t xml:space="preserve">. Začátek redakce první části </w:t>
      </w:r>
      <w:r w:rsidR="003F69E8" w:rsidRPr="005A1287">
        <w:rPr>
          <w:i/>
          <w:szCs w:val="24"/>
        </w:rPr>
        <w:t>Summa theologica</w:t>
      </w:r>
      <w:r w:rsidR="003F69E8">
        <w:rPr>
          <w:i/>
          <w:szCs w:val="24"/>
        </w:rPr>
        <w:t xml:space="preserve"> </w:t>
      </w:r>
      <w:r>
        <w:t xml:space="preserve">se udává do let 1267‒68. Akvinský odmítl Averroesův výklad třetí knihy </w:t>
      </w:r>
      <w:r w:rsidRPr="08AF20D9">
        <w:rPr>
          <w:i/>
        </w:rPr>
        <w:t>De anima</w:t>
      </w:r>
      <w:r>
        <w:t xml:space="preserve"> podaný v CMDA, který chápal jako averroistický už během prvního pobytu v Paříži. Proto se z Akvinského stal </w:t>
      </w:r>
      <w:r>
        <w:rPr>
          <w:i/>
        </w:rPr>
        <w:t>Expos</w:t>
      </w:r>
      <w:r w:rsidRPr="088A56F7">
        <w:rPr>
          <w:i/>
        </w:rPr>
        <w:t>itor</w:t>
      </w:r>
      <w:r>
        <w:t xml:space="preserve"> </w:t>
      </w:r>
      <w:r w:rsidR="08F6516B">
        <w:rPr>
          <w:i/>
        </w:rPr>
        <w:t xml:space="preserve">Novus </w:t>
      </w:r>
      <w:r>
        <w:t xml:space="preserve">aristotelského korpusu </w:t>
      </w:r>
      <w:r w:rsidR="003F69E8">
        <w:t xml:space="preserve">okolo roku 1268 </w:t>
      </w:r>
      <w:r>
        <w:t xml:space="preserve">pro semiaverroisty a sofisty typu </w:t>
      </w:r>
      <w:r>
        <w:lastRenderedPageBreak/>
        <w:t xml:space="preserve">Aegidia Romana. </w:t>
      </w:r>
      <w:r w:rsidR="003F69E8">
        <w:t xml:space="preserve">Tento žák </w:t>
      </w:r>
      <w:r>
        <w:t>Sigera odmítl exegezi CMDA  a DA III podle Sicilské školy předloženo</w:t>
      </w:r>
      <w:r w:rsidR="003F69E8">
        <w:t>u v letech 1266‒67, ale nechtěl</w:t>
      </w:r>
      <w:r>
        <w:t xml:space="preserve"> skončit v akademickém zásvětí </w:t>
      </w:r>
      <w:r w:rsidRPr="08DB5DC8">
        <w:rPr>
          <w:i/>
        </w:rPr>
        <w:t>Modernorum</w:t>
      </w:r>
      <w:r>
        <w:t xml:space="preserve">. </w:t>
      </w:r>
      <w:r w:rsidR="003F69E8">
        <w:t xml:space="preserve">Aegidius </w:t>
      </w:r>
      <w:r>
        <w:t xml:space="preserve">přijal Akvinského výklad </w:t>
      </w:r>
      <w:r w:rsidRPr="081C38CB">
        <w:rPr>
          <w:i/>
        </w:rPr>
        <w:t>De anima</w:t>
      </w:r>
      <w:r>
        <w:t xml:space="preserve"> podaný v Itálii </w:t>
      </w:r>
      <w:r w:rsidR="003F69E8">
        <w:t>proti Averroesovi</w:t>
      </w:r>
      <w:r w:rsidR="004E1CC2">
        <w:t xml:space="preserve">. </w:t>
      </w:r>
      <w:r w:rsidR="004E1CC2" w:rsidRPr="004E1CC2">
        <w:t xml:space="preserve">Aegidius, </w:t>
      </w:r>
      <w:r w:rsidR="004E1CC2">
        <w:t xml:space="preserve">jako </w:t>
      </w:r>
      <w:r w:rsidR="004E1CC2" w:rsidRPr="004E1CC2">
        <w:t>vynikající latinský sofista se stal prvním tomistou kolem roku 1268.</w:t>
      </w:r>
      <w:r w:rsidR="003F69E8">
        <w:t xml:space="preserve"> </w:t>
      </w:r>
      <w:r w:rsidR="00055FFB" w:rsidRPr="00055FFB">
        <w:t>To znamená, že rok 1268 je nejpravděpodobnějším datem, kdy byla napsána</w:t>
      </w:r>
      <w:r w:rsidR="00055FFB">
        <w:t xml:space="preserve"> </w:t>
      </w:r>
      <w:r w:rsidR="00055FFB" w:rsidRPr="00055FFB">
        <w:t>část O III.</w:t>
      </w:r>
    </w:p>
    <w:p w:rsidR="008E26CB" w:rsidRDefault="08163013" w:rsidP="00E964E9">
      <w:pPr>
        <w:ind w:firstLine="397"/>
        <w:rPr>
          <w:iCs/>
        </w:rPr>
      </w:pPr>
      <w:r>
        <w:t>Rozeberme dataci všech tří částí Oxfordského rukopisu podle sporů Sigera a Akvinského, které popisují další kapitoly. Aegidiův postoj k Avicennovi byl v pr</w:t>
      </w:r>
      <w:r w:rsidR="00860B43">
        <w:t>vní a ve druhé části rukopisu (</w:t>
      </w:r>
      <w:r>
        <w:t>O I‒II) dá</w:t>
      </w:r>
      <w:r w:rsidR="00860B43">
        <w:t xml:space="preserve">n pod vlivem Sigerových komentářů DA I–II, které možná kolovaly jako </w:t>
      </w:r>
      <w:r w:rsidR="00860B43" w:rsidRPr="00860B43">
        <w:rPr>
          <w:i/>
        </w:rPr>
        <w:t>reportatio</w:t>
      </w:r>
      <w:r w:rsidR="00860B43">
        <w:t xml:space="preserve"> studentů. Ale autor </w:t>
      </w:r>
      <w:proofErr w:type="gramStart"/>
      <w:r w:rsidR="00860B43">
        <w:t>rukopisu O reagoval</w:t>
      </w:r>
      <w:proofErr w:type="gramEnd"/>
      <w:r w:rsidR="00860B43">
        <w:t xml:space="preserve"> zejména na Sigerem vydaný spis QIIIDA, který jednoduše zcenzuroval a celý nahradil vlastným výkladem. Tato teorie odpovídá údajnému spisu </w:t>
      </w:r>
      <w:r w:rsidR="00860B43" w:rsidRPr="00860B43">
        <w:rPr>
          <w:i/>
        </w:rPr>
        <w:t>De intellectu</w:t>
      </w:r>
      <w:r w:rsidR="00860B43">
        <w:t xml:space="preserve">, který zmiňuje Nifo, protože zachycuje Sigerovy první komentáře De anima </w:t>
      </w:r>
      <w:r>
        <w:t>z doby jeho univerzitních přednášek</w:t>
      </w:r>
      <w:r w:rsidR="00860B43">
        <w:t xml:space="preserve"> do roku 1270</w:t>
      </w:r>
      <w:r>
        <w:t>. Aegidius přepsal Sigerův komentář do podoby avicennismu, který už dostal semiaverroistický charakter a tím se zásadně lišil</w:t>
      </w:r>
      <w:r w:rsidR="002734B4">
        <w:t xml:space="preserve"> od druhého averroismu. Sigerův</w:t>
      </w:r>
      <w:r w:rsidR="002734B4">
        <w:rPr>
          <w:iCs/>
        </w:rPr>
        <w:t xml:space="preserve"> </w:t>
      </w:r>
      <w:r w:rsidRPr="00273106">
        <w:rPr>
          <w:iCs/>
        </w:rPr>
        <w:t xml:space="preserve">spis </w:t>
      </w:r>
      <w:r w:rsidRPr="085B6194">
        <w:rPr>
          <w:iCs/>
        </w:rPr>
        <w:t>QIIIDA</w:t>
      </w:r>
      <w:r>
        <w:rPr>
          <w:i/>
          <w:iCs/>
        </w:rPr>
        <w:t xml:space="preserve"> </w:t>
      </w:r>
      <w:r w:rsidRPr="00273106">
        <w:rPr>
          <w:iCs/>
        </w:rPr>
        <w:t xml:space="preserve">byl </w:t>
      </w:r>
      <w:r>
        <w:rPr>
          <w:iCs/>
        </w:rPr>
        <w:t>podle Gauthiera</w:t>
      </w:r>
      <w:r w:rsidR="002734B4">
        <w:rPr>
          <w:iCs/>
        </w:rPr>
        <w:fldChar w:fldCharType="begin"/>
      </w:r>
      <w:r w:rsidR="002734B4">
        <w:instrText xml:space="preserve"> XE "</w:instrText>
      </w:r>
      <w:r w:rsidR="002734B4" w:rsidRPr="00B030E6">
        <w:rPr>
          <w:lang w:eastAsia="en-US"/>
        </w:rPr>
        <w:instrText>Gauthier, A. R.</w:instrText>
      </w:r>
      <w:r w:rsidR="002734B4">
        <w:instrText xml:space="preserve">" </w:instrText>
      </w:r>
      <w:r w:rsidR="002734B4">
        <w:rPr>
          <w:iCs/>
        </w:rPr>
        <w:fldChar w:fldCharType="end"/>
      </w:r>
      <w:r>
        <w:rPr>
          <w:iCs/>
        </w:rPr>
        <w:t xml:space="preserve"> </w:t>
      </w:r>
      <w:r w:rsidRPr="00273106">
        <w:rPr>
          <w:iCs/>
        </w:rPr>
        <w:t xml:space="preserve">psaný </w:t>
      </w:r>
      <w:r>
        <w:rPr>
          <w:iCs/>
        </w:rPr>
        <w:t xml:space="preserve">brzy </w:t>
      </w:r>
      <w:r w:rsidRPr="00273106">
        <w:rPr>
          <w:iCs/>
        </w:rPr>
        <w:t>po zahájení výuky</w:t>
      </w:r>
      <w:r>
        <w:rPr>
          <w:iCs/>
        </w:rPr>
        <w:t xml:space="preserve"> Sigera na Pařížské univerzitě v letech </w:t>
      </w:r>
      <w:r w:rsidRPr="00273106">
        <w:rPr>
          <w:iCs/>
        </w:rPr>
        <w:t>1265‒66</w:t>
      </w:r>
      <w:r>
        <w:rPr>
          <w:iCs/>
        </w:rPr>
        <w:t xml:space="preserve"> </w:t>
      </w:r>
      <w:r w:rsidRPr="00273106">
        <w:rPr>
          <w:iCs/>
        </w:rPr>
        <w:t>(Gauthier 1983, 201).</w:t>
      </w:r>
      <w:r>
        <w:rPr>
          <w:iCs/>
        </w:rPr>
        <w:t xml:space="preserve"> </w:t>
      </w:r>
      <w:r>
        <w:t>V této době Aegidius studoval u Sigera a dobře znal jeho nauku o jednotě osoby podle fe</w:t>
      </w:r>
      <w:r w:rsidR="08F6516B">
        <w:t>nomenologické četby CMDA (kap. 4</w:t>
      </w:r>
      <w:r>
        <w:t xml:space="preserve">.4.2). Aegidius ale komentoval Sigerův komentář k </w:t>
      </w:r>
      <w:proofErr w:type="gramStart"/>
      <w:r w:rsidRPr="08417E55">
        <w:rPr>
          <w:i/>
        </w:rPr>
        <w:t>De</w:t>
      </w:r>
      <w:proofErr w:type="gramEnd"/>
      <w:r w:rsidRPr="08417E55">
        <w:rPr>
          <w:i/>
        </w:rPr>
        <w:t xml:space="preserve"> anima</w:t>
      </w:r>
      <w:r w:rsidR="002734B4">
        <w:t xml:space="preserve"> I–</w:t>
      </w:r>
      <w:r>
        <w:t xml:space="preserve">II v Mnichovském rukopise v semiaverroistickém duchu podle avicennismu </w:t>
      </w:r>
      <w:r w:rsidRPr="08946FD3">
        <w:rPr>
          <w:i/>
        </w:rPr>
        <w:t>Modernorum</w:t>
      </w:r>
      <w:r>
        <w:t xml:space="preserve">. První dvě části Oxfordského rukopisu jsou tedy psány brzy po vydání Sigerova </w:t>
      </w:r>
      <w:r>
        <w:rPr>
          <w:iCs/>
        </w:rPr>
        <w:fldChar w:fldCharType="begin"/>
      </w:r>
      <w:r>
        <w:instrText xml:space="preserve"> XE "</w:instrText>
      </w:r>
      <w:r w:rsidRPr="00B030E6">
        <w:rPr>
          <w:lang w:eastAsia="en-US"/>
        </w:rPr>
        <w:instrText>Gauthier, A. R.</w:instrText>
      </w:r>
      <w:r>
        <w:instrText xml:space="preserve">" </w:instrText>
      </w:r>
      <w:r>
        <w:rPr>
          <w:iCs/>
        </w:rPr>
        <w:fldChar w:fldCharType="end"/>
      </w:r>
      <w:r w:rsidRPr="00273106">
        <w:rPr>
          <w:iCs/>
        </w:rPr>
        <w:t>spis</w:t>
      </w:r>
      <w:r>
        <w:rPr>
          <w:iCs/>
        </w:rPr>
        <w:t>u</w:t>
      </w:r>
      <w:r w:rsidRPr="00273106">
        <w:rPr>
          <w:iCs/>
        </w:rPr>
        <w:t xml:space="preserve"> </w:t>
      </w:r>
      <w:r w:rsidRPr="00273106">
        <w:rPr>
          <w:i/>
          <w:iCs/>
        </w:rPr>
        <w:t xml:space="preserve">Quaestiones in tertium </w:t>
      </w:r>
      <w:r>
        <w:rPr>
          <w:i/>
          <w:iCs/>
          <w:szCs w:val="24"/>
        </w:rPr>
        <w:t>D</w:t>
      </w:r>
      <w:r w:rsidRPr="00273106">
        <w:rPr>
          <w:i/>
          <w:iCs/>
          <w:szCs w:val="24"/>
        </w:rPr>
        <w:t xml:space="preserve">e </w:t>
      </w:r>
      <w:r>
        <w:rPr>
          <w:i/>
          <w:iCs/>
        </w:rPr>
        <w:t>anima</w:t>
      </w:r>
      <w:r w:rsidR="002734B4">
        <w:rPr>
          <w:iCs/>
        </w:rPr>
        <w:t xml:space="preserve">. </w:t>
      </w:r>
      <w:r w:rsidR="002734B4" w:rsidRPr="002734B4">
        <w:rPr>
          <w:iCs/>
        </w:rPr>
        <w:t>Siger</w:t>
      </w:r>
      <w:r w:rsidR="002734B4">
        <w:rPr>
          <w:iCs/>
        </w:rPr>
        <w:t xml:space="preserve">ovo </w:t>
      </w:r>
      <w:r w:rsidR="002734B4" w:rsidRPr="002734B4">
        <w:rPr>
          <w:i/>
          <w:iCs/>
        </w:rPr>
        <w:t>reportatio</w:t>
      </w:r>
      <w:r w:rsidR="002734B4" w:rsidRPr="002734B4">
        <w:rPr>
          <w:iCs/>
        </w:rPr>
        <w:t xml:space="preserve"> mohl</w:t>
      </w:r>
      <w:r w:rsidR="002734B4">
        <w:rPr>
          <w:iCs/>
        </w:rPr>
        <w:t>o</w:t>
      </w:r>
      <w:r w:rsidR="002734B4" w:rsidRPr="002734B4">
        <w:rPr>
          <w:iCs/>
        </w:rPr>
        <w:t xml:space="preserve"> být </w:t>
      </w:r>
      <w:r w:rsidR="002734B4">
        <w:rPr>
          <w:iCs/>
        </w:rPr>
        <w:t>v oběhu jako komentář DA I–</w:t>
      </w:r>
      <w:r w:rsidR="002734B4" w:rsidRPr="002734B4">
        <w:rPr>
          <w:iCs/>
        </w:rPr>
        <w:t xml:space="preserve">II ještě dříve, protože se jedná o dva různé rukopisy s odlišnou historií vzniku a recepce. Mnichovský rukopis </w:t>
      </w:r>
      <w:r w:rsidR="002734B4">
        <w:rPr>
          <w:iCs/>
        </w:rPr>
        <w:t>ale v</w:t>
      </w:r>
      <w:r w:rsidR="002734B4" w:rsidRPr="002734B4">
        <w:rPr>
          <w:iCs/>
        </w:rPr>
        <w:t xml:space="preserve">elmi pravděpodobně představuje originál </w:t>
      </w:r>
      <w:r w:rsidR="002734B4">
        <w:rPr>
          <w:iCs/>
        </w:rPr>
        <w:t>DA I–</w:t>
      </w:r>
      <w:r w:rsidR="002734B4" w:rsidRPr="002734B4">
        <w:rPr>
          <w:iCs/>
        </w:rPr>
        <w:t xml:space="preserve">II, který napsal sám Siger. Formulace </w:t>
      </w:r>
      <w:r w:rsidR="0025701D">
        <w:rPr>
          <w:iCs/>
        </w:rPr>
        <w:t xml:space="preserve">a styl argumentace </w:t>
      </w:r>
      <w:r w:rsidR="002734B4" w:rsidRPr="002734B4">
        <w:rPr>
          <w:iCs/>
        </w:rPr>
        <w:t>jsou v</w:t>
      </w:r>
      <w:r w:rsidR="002734B4">
        <w:rPr>
          <w:iCs/>
        </w:rPr>
        <w:t>elmi podobné traktátu QIIIDA. A</w:t>
      </w:r>
      <w:r>
        <w:t xml:space="preserve">egidius </w:t>
      </w:r>
      <w:r w:rsidR="002734B4">
        <w:t xml:space="preserve">byl </w:t>
      </w:r>
      <w:r>
        <w:t xml:space="preserve">dobře obeznámen </w:t>
      </w:r>
      <w:r w:rsidR="002734B4">
        <w:t xml:space="preserve">také </w:t>
      </w:r>
      <w:r>
        <w:t xml:space="preserve">s exegezí </w:t>
      </w:r>
      <w:r w:rsidRPr="08395E7B">
        <w:rPr>
          <w:i/>
        </w:rPr>
        <w:t>De anima</w:t>
      </w:r>
      <w:r>
        <w:t xml:space="preserve"> danou podle</w:t>
      </w:r>
      <w:r w:rsidR="002734B4">
        <w:t xml:space="preserve"> Akvinského v letech 1267‒68. N</w:t>
      </w:r>
      <w:r>
        <w:t xml:space="preserve">akonec ji přijal místo druhého averroismu a místo Sigerova výkladu </w:t>
      </w:r>
      <w:r w:rsidRPr="08E67969">
        <w:rPr>
          <w:i/>
        </w:rPr>
        <w:t>De anima</w:t>
      </w:r>
      <w:r>
        <w:t xml:space="preserve">, který odmítal od začátku. Anonymova konverze ve třetí části Oxfordského rukopisu je provedena pod vlivem Akvinského spisu </w:t>
      </w:r>
      <w:r w:rsidR="00995DF0" w:rsidRPr="00995DF0">
        <w:rPr>
          <w:i/>
        </w:rPr>
        <w:t>Quaestiones disputatae De potentia</w:t>
      </w:r>
      <w:r w:rsidRPr="00273106">
        <w:t xml:space="preserve"> (1265‒66)</w:t>
      </w:r>
      <w:r>
        <w:t xml:space="preserve">. Aegidius pak výslovně odkazuje na Tomášovův definitivní averroistický výklad Averroese podaný v ST I, q. 88 psaný okolo roku 1268. Tento zlom jasně ukazuje třetí část rukopisu O, která zavrhla iluminační scénář avicennismu a odmítla i jeho důsledek, tedy existenci jsoucna třetího druhu. </w:t>
      </w:r>
      <w:r w:rsidR="0074168D">
        <w:t>K</w:t>
      </w:r>
      <w:r>
        <w:t xml:space="preserve">omentář ke </w:t>
      </w:r>
      <w:r>
        <w:lastRenderedPageBreak/>
        <w:t xml:space="preserve">třetí knize </w:t>
      </w:r>
      <w:r w:rsidRPr="00357379">
        <w:rPr>
          <w:i/>
        </w:rPr>
        <w:t>D</w:t>
      </w:r>
      <w:r>
        <w:rPr>
          <w:i/>
        </w:rPr>
        <w:t xml:space="preserve">e anima </w:t>
      </w:r>
      <w:r w:rsidR="0074168D">
        <w:t xml:space="preserve">s tomistickou částí </w:t>
      </w:r>
      <w:r>
        <w:t xml:space="preserve">byl psán </w:t>
      </w:r>
      <w:r w:rsidR="00494AC7">
        <w:t xml:space="preserve">někdy okolo roku </w:t>
      </w:r>
      <w:r>
        <w:t xml:space="preserve">1268. Aegidius cituje klíčovou argumentaci Akvinského k exegezi </w:t>
      </w:r>
      <w:r w:rsidRPr="08D51C1C">
        <w:rPr>
          <w:i/>
        </w:rPr>
        <w:t>De anima</w:t>
      </w:r>
      <w:r>
        <w:t xml:space="preserve"> III, která kritizuje centrál</w:t>
      </w:r>
      <w:r w:rsidR="00C21343">
        <w:t xml:space="preserve">ní část výkladu CMDA. Akvinský vytvořil </w:t>
      </w:r>
      <w:r>
        <w:t xml:space="preserve">averroistickou definici </w:t>
      </w:r>
      <w:r w:rsidRPr="08681C8B">
        <w:rPr>
          <w:i/>
        </w:rPr>
        <w:t>intellectus possibilis</w:t>
      </w:r>
      <w:r w:rsidR="00C21343">
        <w:t xml:space="preserve"> a tu připsal Komentátorovi. </w:t>
      </w:r>
      <w:r>
        <w:t xml:space="preserve">Tím se Aegidius definitivně rozešel se školou v Rue du Fouarre a založil tomismus na základě Akvinského výkladu </w:t>
      </w:r>
      <w:r w:rsidRPr="08AC1507">
        <w:rPr>
          <w:i/>
        </w:rPr>
        <w:t>De anima</w:t>
      </w:r>
      <w:r>
        <w:t xml:space="preserve">. Někdy okolo roku 1268 se z Tomáše stal </w:t>
      </w:r>
      <w:r w:rsidRPr="08D51C1C">
        <w:rPr>
          <w:i/>
        </w:rPr>
        <w:t>Expositor Novus</w:t>
      </w:r>
      <w:r>
        <w:rPr>
          <w:i/>
        </w:rPr>
        <w:fldChar w:fldCharType="begin"/>
      </w:r>
      <w:r>
        <w:instrText xml:space="preserve"> XE "</w:instrText>
      </w:r>
      <w:r w:rsidRPr="08D67D27">
        <w:rPr>
          <w:i/>
          <w:lang w:eastAsia="en-US"/>
        </w:rPr>
        <w:instrText>Expositor Novus</w:instrText>
      </w:r>
      <w:r>
        <w:instrText xml:space="preserve">" </w:instrText>
      </w:r>
      <w:r>
        <w:rPr>
          <w:i/>
        </w:rPr>
        <w:fldChar w:fldCharType="end"/>
      </w:r>
      <w:r>
        <w:t xml:space="preserve"> postavený proti Komentátorovi a proti Sigerově škole. </w:t>
      </w:r>
      <w:r w:rsidR="002C3754" w:rsidRPr="002C3754">
        <w:t xml:space="preserve">Boethius z Dácie na tuto situaci reagoval analýzou chybných výkladů intelektu, které provedli Akvinský a Aegidius. Jeho dílo je známé pod názvem </w:t>
      </w:r>
      <w:r w:rsidR="002C3754" w:rsidRPr="002C3754">
        <w:rPr>
          <w:i/>
        </w:rPr>
        <w:t>Anonymus Giele</w:t>
      </w:r>
      <w:r w:rsidR="002C3754">
        <w:t xml:space="preserve"> a vyšlo </w:t>
      </w:r>
      <w:r w:rsidR="003261C0">
        <w:t>před rokem 1</w:t>
      </w:r>
      <w:r w:rsidR="002C3754">
        <w:t xml:space="preserve">270. </w:t>
      </w:r>
      <w:r w:rsidR="008765C4" w:rsidRPr="008765C4">
        <w:t xml:space="preserve">Nejpravděpodobnějším obdobím redakce </w:t>
      </w:r>
      <w:r w:rsidR="008765C4" w:rsidRPr="008765C4">
        <w:rPr>
          <w:i/>
        </w:rPr>
        <w:t>Anonymus Giele</w:t>
      </w:r>
      <w:r w:rsidR="008765C4">
        <w:t xml:space="preserve"> jsou léta 1268–70. </w:t>
      </w:r>
      <w:r w:rsidR="008765C4" w:rsidRPr="008765C4">
        <w:t xml:space="preserve">Aegidius a Akvinský </w:t>
      </w:r>
      <w:r w:rsidR="0075026D">
        <w:t xml:space="preserve">tehdy </w:t>
      </w:r>
      <w:r w:rsidR="008765C4" w:rsidRPr="008765C4">
        <w:t xml:space="preserve">byli nejvýznamnějšími semiaverroisty, kteří se postavili proti učení </w:t>
      </w:r>
      <w:r w:rsidR="008765C4">
        <w:t>S</w:t>
      </w:r>
      <w:r w:rsidR="008765C4" w:rsidRPr="008765C4">
        <w:t xml:space="preserve">icilské školy </w:t>
      </w:r>
      <w:r w:rsidR="00E35A61">
        <w:t>přednáš</w:t>
      </w:r>
      <w:r w:rsidR="008765C4">
        <w:t xml:space="preserve">ené v </w:t>
      </w:r>
      <w:r w:rsidR="00E35A61">
        <w:t>R</w:t>
      </w:r>
      <w:r w:rsidR="008765C4" w:rsidRPr="008765C4">
        <w:t xml:space="preserve">ue du Fouarre. </w:t>
      </w:r>
      <w:r w:rsidR="00F90014">
        <w:t xml:space="preserve">Kvalita argumentů předložených ve spisu </w:t>
      </w:r>
      <w:r w:rsidR="00F90014" w:rsidRPr="008765C4">
        <w:rPr>
          <w:i/>
        </w:rPr>
        <w:t>Anonymus Giele</w:t>
      </w:r>
      <w:r w:rsidR="00F90014">
        <w:rPr>
          <w:i/>
        </w:rPr>
        <w:t xml:space="preserve"> </w:t>
      </w:r>
      <w:r w:rsidR="00F90014">
        <w:t xml:space="preserve">jasně ukazuje, že spis nebyl namířen proti primitivním modernistům ze školy druhého averroimu. </w:t>
      </w:r>
      <w:r>
        <w:t xml:space="preserve">Siger v této </w:t>
      </w:r>
      <w:r w:rsidR="003261C0">
        <w:t xml:space="preserve">složité </w:t>
      </w:r>
      <w:r>
        <w:t xml:space="preserve">situaci </w:t>
      </w:r>
      <w:r w:rsidR="003261C0">
        <w:t xml:space="preserve">okolo </w:t>
      </w:r>
      <w:r>
        <w:t xml:space="preserve">roku 1268 posílá Akvinskému do Itálie svůj kompletní komentář k </w:t>
      </w:r>
      <w:proofErr w:type="gramStart"/>
      <w:r w:rsidRPr="08D93CEF">
        <w:rPr>
          <w:i/>
        </w:rPr>
        <w:t>De</w:t>
      </w:r>
      <w:proofErr w:type="gramEnd"/>
      <w:r w:rsidRPr="08D93CEF">
        <w:rPr>
          <w:i/>
        </w:rPr>
        <w:t xml:space="preserve"> anima</w:t>
      </w:r>
      <w:r>
        <w:t xml:space="preserve"> (rukopis M a QIIIDA). </w:t>
      </w:r>
      <w:r w:rsidR="003261C0">
        <w:t xml:space="preserve">Siger </w:t>
      </w:r>
      <w:r w:rsidR="00DA1BED">
        <w:t>chtěl</w:t>
      </w:r>
      <w:r>
        <w:t xml:space="preserve"> odstranit spory o jednotu osoby a intelektu, které podle něj byly úplně zbytečné</w:t>
      </w:r>
      <w:r w:rsidR="003261C0">
        <w:t xml:space="preserve">. </w:t>
      </w:r>
      <w:r w:rsidR="00CC754E">
        <w:t xml:space="preserve">Dokonce i velmi </w:t>
      </w:r>
      <w:r>
        <w:t xml:space="preserve">schopní </w:t>
      </w:r>
      <w:r w:rsidR="003261C0">
        <w:t>myslitelé jako A</w:t>
      </w:r>
      <w:r>
        <w:t xml:space="preserve">egidius </w:t>
      </w:r>
      <w:r w:rsidR="003261C0">
        <w:t xml:space="preserve">a Akvinský </w:t>
      </w:r>
      <w:r>
        <w:t xml:space="preserve">nepochopili správně výklad CMDA. Kompletní sofistický zmatek ve výkladu </w:t>
      </w:r>
      <w:r w:rsidRPr="080C6A27">
        <w:rPr>
          <w:i/>
        </w:rPr>
        <w:t>De anima</w:t>
      </w:r>
      <w:r>
        <w:t xml:space="preserve"> vládl na mendikantské modernistické fakultě tehdy vedené Pechamem, kde byl averroismus hlásán v modu univerzálního hylemorfismu. To ovšem odmítli všichni absolventi školy prvního averroismu, včetně Alberta a Akvinského. Tomášův výklad odmítl </w:t>
      </w:r>
      <w:r w:rsidR="00B348B2">
        <w:t xml:space="preserve">výklad </w:t>
      </w:r>
      <w:r>
        <w:t xml:space="preserve">třetí knihy </w:t>
      </w:r>
      <w:r w:rsidRPr="089F665A">
        <w:rPr>
          <w:i/>
        </w:rPr>
        <w:t>De anima</w:t>
      </w:r>
      <w:r w:rsidR="08F6516B">
        <w:t xml:space="preserve"> pod</w:t>
      </w:r>
      <w:r w:rsidR="00B348B2">
        <w:t xml:space="preserve">le modernistického výkladu CMDA, který hájil </w:t>
      </w:r>
      <w:r w:rsidR="08F6516B">
        <w:t>pluralit</w:t>
      </w:r>
      <w:r w:rsidR="00B348B2">
        <w:t>u</w:t>
      </w:r>
      <w:r w:rsidR="08F6516B">
        <w:t xml:space="preserve"> substancí v člověku</w:t>
      </w:r>
      <w:r>
        <w:t xml:space="preserve">. </w:t>
      </w:r>
      <w:r w:rsidR="00B348B2" w:rsidRPr="00B348B2">
        <w:t>Proto je třeba argumentaci třetí části Oxfordského rukopisu interpretovat s ohledem na stanovisko</w:t>
      </w:r>
      <w:r w:rsidR="00B348B2">
        <w:t xml:space="preserve"> </w:t>
      </w:r>
      <w:r w:rsidR="00B348B2" w:rsidRPr="00B348B2">
        <w:t>Akvin</w:t>
      </w:r>
      <w:r w:rsidR="00B348B2">
        <w:t xml:space="preserve">ského. </w:t>
      </w:r>
      <w:proofErr w:type="gramStart"/>
      <w:r w:rsidR="00B348B2">
        <w:t>D</w:t>
      </w:r>
      <w:r w:rsidR="00B348B2" w:rsidRPr="00B348B2">
        <w:t>okončil</w:t>
      </w:r>
      <w:proofErr w:type="gramEnd"/>
      <w:r w:rsidR="00B348B2" w:rsidRPr="00B348B2">
        <w:t xml:space="preserve"> </w:t>
      </w:r>
      <w:r w:rsidR="00B348B2">
        <w:t xml:space="preserve">první část </w:t>
      </w:r>
      <w:r w:rsidR="00B348B2" w:rsidRPr="00B348B2">
        <w:rPr>
          <w:i/>
        </w:rPr>
        <w:t>Summa</w:t>
      </w:r>
      <w:r w:rsidR="00B348B2">
        <w:rPr>
          <w:i/>
        </w:rPr>
        <w:t xml:space="preserve"> Theologica</w:t>
      </w:r>
      <w:r w:rsidR="00B348B2" w:rsidRPr="00B348B2">
        <w:t xml:space="preserve"> </w:t>
      </w:r>
      <w:r w:rsidR="00B348B2">
        <w:t xml:space="preserve">v roce 1268 a v ní najdeme </w:t>
      </w:r>
      <w:r w:rsidR="00B348B2" w:rsidRPr="00B348B2">
        <w:t xml:space="preserve">první verzi jeho aristotelského výkladu </w:t>
      </w:r>
      <w:r w:rsidR="00B348B2" w:rsidRPr="00B348B2">
        <w:rPr>
          <w:i/>
        </w:rPr>
        <w:t>De anima</w:t>
      </w:r>
      <w:r w:rsidR="00B348B2" w:rsidRPr="00B348B2">
        <w:t>.</w:t>
      </w:r>
      <w:r w:rsidR="00507D18">
        <w:t xml:space="preserve"> </w:t>
      </w:r>
      <w:proofErr w:type="gramStart"/>
      <w:r>
        <w:rPr>
          <w:iCs/>
        </w:rPr>
        <w:t>Rukopis O výslovně odkazuje</w:t>
      </w:r>
      <w:proofErr w:type="gramEnd"/>
      <w:r>
        <w:rPr>
          <w:iCs/>
        </w:rPr>
        <w:t xml:space="preserve"> na tento spis</w:t>
      </w:r>
      <w:r w:rsidR="00734D57">
        <w:rPr>
          <w:iCs/>
        </w:rPr>
        <w:t xml:space="preserve">, viz citace </w:t>
      </w:r>
      <w:r w:rsidR="00734D57">
        <w:t xml:space="preserve">ST I, q. 88. </w:t>
      </w:r>
      <w:r>
        <w:rPr>
          <w:iCs/>
        </w:rPr>
        <w:t xml:space="preserve">Tomismus vznikl Aegidiovým komentářem zmíněné </w:t>
      </w:r>
      <w:proofErr w:type="gramStart"/>
      <w:r>
        <w:rPr>
          <w:iCs/>
        </w:rPr>
        <w:t xml:space="preserve">kvestie  </w:t>
      </w:r>
      <w:r>
        <w:t>ST</w:t>
      </w:r>
      <w:proofErr w:type="gramEnd"/>
      <w:r>
        <w:t xml:space="preserve"> I, q. 88</w:t>
      </w:r>
      <w:r w:rsidRPr="088530F2">
        <w:rPr>
          <w:iCs/>
        </w:rPr>
        <w:t xml:space="preserve"> </w:t>
      </w:r>
      <w:r>
        <w:rPr>
          <w:iCs/>
        </w:rPr>
        <w:t>a dále komentářem výše uvedených římský</w:t>
      </w:r>
      <w:r w:rsidR="00734D57">
        <w:rPr>
          <w:iCs/>
        </w:rPr>
        <w:t>ch spisů Tomáše do roku 1269</w:t>
      </w:r>
      <w:r w:rsidR="008914A5">
        <w:rPr>
          <w:iCs/>
        </w:rPr>
        <w:t xml:space="preserve">. Aegidiův výklad udělal </w:t>
      </w:r>
      <w:r>
        <w:rPr>
          <w:iCs/>
        </w:rPr>
        <w:t xml:space="preserve">z Tomáše </w:t>
      </w:r>
      <w:r w:rsidR="008914A5">
        <w:rPr>
          <w:iCs/>
        </w:rPr>
        <w:t xml:space="preserve">tomistu, stejně </w:t>
      </w:r>
      <w:r>
        <w:rPr>
          <w:iCs/>
        </w:rPr>
        <w:t>jako se z A</w:t>
      </w:r>
      <w:r w:rsidR="08F6516B">
        <w:rPr>
          <w:iCs/>
        </w:rPr>
        <w:t xml:space="preserve">verroese stal averroista. V </w:t>
      </w:r>
      <w:r>
        <w:rPr>
          <w:iCs/>
        </w:rPr>
        <w:t xml:space="preserve">prvním případě šlo o </w:t>
      </w:r>
      <w:r w:rsidR="08F6516B">
        <w:rPr>
          <w:iCs/>
        </w:rPr>
        <w:t xml:space="preserve">Egidiovu </w:t>
      </w:r>
      <w:r>
        <w:rPr>
          <w:iCs/>
        </w:rPr>
        <w:t xml:space="preserve">vcelku zdařilou interpretaci </w:t>
      </w:r>
      <w:r w:rsidR="000A236D">
        <w:rPr>
          <w:iCs/>
        </w:rPr>
        <w:t>Akvinského.</w:t>
      </w:r>
      <w:r w:rsidR="0097410A">
        <w:rPr>
          <w:iCs/>
        </w:rPr>
        <w:t xml:space="preserve"> Ten se stal nejlepším semiaverroistou</w:t>
      </w:r>
      <w:r w:rsidR="00AE6E86">
        <w:rPr>
          <w:iCs/>
        </w:rPr>
        <w:t xml:space="preserve"> všech dob</w:t>
      </w:r>
      <w:r w:rsidR="00147D37">
        <w:rPr>
          <w:iCs/>
        </w:rPr>
        <w:t>, což platí až dod</w:t>
      </w:r>
      <w:r w:rsidR="0097410A">
        <w:rPr>
          <w:iCs/>
        </w:rPr>
        <w:t>n</w:t>
      </w:r>
      <w:r w:rsidR="00147D37">
        <w:rPr>
          <w:iCs/>
        </w:rPr>
        <w:t>e</w:t>
      </w:r>
      <w:r w:rsidR="0097410A">
        <w:rPr>
          <w:iCs/>
        </w:rPr>
        <w:t xml:space="preserve">s. </w:t>
      </w:r>
      <w:r w:rsidR="000A236D">
        <w:rPr>
          <w:iCs/>
        </w:rPr>
        <w:t>V</w:t>
      </w:r>
      <w:r>
        <w:rPr>
          <w:iCs/>
        </w:rPr>
        <w:t xml:space="preserve">e druhém případě </w:t>
      </w:r>
      <w:r w:rsidR="08F6516B">
        <w:rPr>
          <w:iCs/>
        </w:rPr>
        <w:t xml:space="preserve">Akvinského výkladu </w:t>
      </w:r>
      <w:r>
        <w:rPr>
          <w:iCs/>
        </w:rPr>
        <w:t xml:space="preserve">Komentátora se jednalo o čistou sofistiku. </w:t>
      </w:r>
      <w:r>
        <w:t xml:space="preserve">Oxfordský </w:t>
      </w:r>
      <w:r w:rsidRPr="00273106">
        <w:t xml:space="preserve">rukopis </w:t>
      </w:r>
      <w:r>
        <w:t>je kriticky zaměřený</w:t>
      </w:r>
      <w:r w:rsidRPr="00273106">
        <w:t xml:space="preserve"> proti </w:t>
      </w:r>
      <w:r>
        <w:t>Averroes</w:t>
      </w:r>
      <w:r w:rsidRPr="00273106">
        <w:t>ovi</w:t>
      </w:r>
      <w:r>
        <w:t xml:space="preserve"> a vychází z Akvinského semiaverroistického pojetí intelektu, které rozbírají další kapitoly</w:t>
      </w:r>
      <w:r w:rsidRPr="00273106">
        <w:t>.</w:t>
      </w:r>
      <w:r>
        <w:t xml:space="preserve"> Anonym odkazem na výše uvedené místo ST I, q. 88 kritizuje </w:t>
      </w:r>
      <w:r>
        <w:lastRenderedPageBreak/>
        <w:t xml:space="preserve">averroismus Averroese, který Akvinský zastával trvale. </w:t>
      </w:r>
      <w:r w:rsidR="009B2241" w:rsidRPr="009B2241">
        <w:t>Když vznikl třetí díl Oxfordského rukopisu (</w:t>
      </w:r>
      <w:r w:rsidR="009B2241" w:rsidRPr="009B2241">
        <w:rPr>
          <w:i/>
        </w:rPr>
        <w:t>terminus ad quem</w:t>
      </w:r>
      <w:r w:rsidR="009B2241" w:rsidRPr="009B2241">
        <w:t xml:space="preserve"> je rok 1270), </w:t>
      </w:r>
      <w:r w:rsidR="009B2241">
        <w:t xml:space="preserve">semiaverroisté </w:t>
      </w:r>
      <w:r w:rsidR="009B2241" w:rsidRPr="009B2241">
        <w:t>jako Aegidius u</w:t>
      </w:r>
      <w:r w:rsidR="009B2241">
        <w:t>dělili Akvinskému čestný titul „</w:t>
      </w:r>
      <w:r w:rsidR="009B2241" w:rsidRPr="009B2241">
        <w:rPr>
          <w:i/>
        </w:rPr>
        <w:t>Expositor Novus</w:t>
      </w:r>
      <w:r w:rsidR="009B2241">
        <w:t>“</w:t>
      </w:r>
      <w:r w:rsidR="009B2241" w:rsidRPr="009B2241">
        <w:t xml:space="preserve"> jako novému vykladači Aristotela, který stál proti Komentátorovi. </w:t>
      </w:r>
      <w:r w:rsidR="009B2241">
        <w:t xml:space="preserve">Tato skupina se angažovala </w:t>
      </w:r>
      <w:r>
        <w:rPr>
          <w:iCs/>
        </w:rPr>
        <w:t xml:space="preserve">po boku Bonaventurových </w:t>
      </w:r>
      <w:r w:rsidRPr="088A1F76">
        <w:rPr>
          <w:i/>
          <w:iCs/>
        </w:rPr>
        <w:t>Modernorum</w:t>
      </w:r>
      <w:r>
        <w:rPr>
          <w:iCs/>
        </w:rPr>
        <w:t xml:space="preserve"> proti sekulárním magistrům na Rue du Fouarre (</w:t>
      </w:r>
      <w:r w:rsidRPr="08A336B5">
        <w:rPr>
          <w:i/>
          <w:iCs/>
        </w:rPr>
        <w:t>pars Sigeri</w:t>
      </w:r>
      <w:r>
        <w:rPr>
          <w:rStyle w:val="Zvraznn"/>
          <w:i w:val="0"/>
        </w:rPr>
        <w:fldChar w:fldCharType="begin"/>
      </w:r>
      <w:r>
        <w:instrText xml:space="preserve"> XE "</w:instrText>
      </w:r>
      <w:r>
        <w:rPr>
          <w:rStyle w:val="Zvraznn"/>
          <w:i w:val="0"/>
        </w:rPr>
        <w:instrText>pr</w:instrText>
      </w:r>
      <w:r w:rsidRPr="00D95B1D">
        <w:rPr>
          <w:rStyle w:val="Zvraznn"/>
          <w:i w:val="0"/>
        </w:rPr>
        <w:instrText>vní averroismus:</w:instrText>
      </w:r>
      <w:r w:rsidRPr="0084029F">
        <w:rPr>
          <w:rStyle w:val="Zvraznn"/>
        </w:rPr>
        <w:instrText>pars Sigeri</w:instrText>
      </w:r>
      <w:r>
        <w:instrText xml:space="preserve">" </w:instrText>
      </w:r>
      <w:r>
        <w:rPr>
          <w:rStyle w:val="Zvraznn"/>
          <w:i w:val="0"/>
        </w:rPr>
        <w:fldChar w:fldCharType="end"/>
      </w:r>
      <w:r>
        <w:rPr>
          <w:iCs/>
        </w:rPr>
        <w:t xml:space="preserve">). Titul </w:t>
      </w:r>
      <w:r w:rsidRPr="08A336B5">
        <w:rPr>
          <w:i/>
          <w:iCs/>
        </w:rPr>
        <w:t>Expositor</w:t>
      </w:r>
      <w:r>
        <w:rPr>
          <w:i/>
          <w:iCs/>
        </w:rPr>
        <w:t xml:space="preserve"> </w:t>
      </w:r>
      <w:r w:rsidRPr="08A336B5">
        <w:rPr>
          <w:i/>
          <w:iCs/>
        </w:rPr>
        <w:t>Novus</w:t>
      </w:r>
      <w:r>
        <w:rPr>
          <w:i/>
          <w:iCs/>
        </w:rPr>
        <w:fldChar w:fldCharType="begin"/>
      </w:r>
      <w:r>
        <w:instrText xml:space="preserve"> XE "</w:instrText>
      </w:r>
      <w:r w:rsidRPr="0861386C">
        <w:rPr>
          <w:i/>
          <w:iCs/>
        </w:rPr>
        <w:instrText>Expositor Novus</w:instrText>
      </w:r>
      <w:r>
        <w:instrText xml:space="preserve">" </w:instrText>
      </w:r>
      <w:r>
        <w:rPr>
          <w:i/>
          <w:iCs/>
        </w:rPr>
        <w:fldChar w:fldCharType="end"/>
      </w:r>
      <w:r w:rsidRPr="08A336B5">
        <w:rPr>
          <w:i/>
          <w:iCs/>
        </w:rPr>
        <w:t xml:space="preserve"> </w:t>
      </w:r>
      <w:r w:rsidRPr="088A1F76">
        <w:rPr>
          <w:iCs/>
        </w:rPr>
        <w:t>nedostal Akvinský</w:t>
      </w:r>
      <w:r>
        <w:rPr>
          <w:i/>
          <w:iCs/>
        </w:rPr>
        <w:t xml:space="preserve"> </w:t>
      </w:r>
      <w:r>
        <w:rPr>
          <w:iCs/>
        </w:rPr>
        <w:t xml:space="preserve">během jeho působení v Paříži od roku 1270, ale už několik let předtím, když publikoval v Itálii </w:t>
      </w:r>
      <w:r w:rsidR="00995DF0" w:rsidRPr="00995DF0">
        <w:rPr>
          <w:i/>
        </w:rPr>
        <w:t>Quaestiones disputatae De potentia</w:t>
      </w:r>
      <w:r>
        <w:t xml:space="preserve"> </w:t>
      </w:r>
      <w:r>
        <w:rPr>
          <w:iCs/>
        </w:rPr>
        <w:t xml:space="preserve">(kap. </w:t>
      </w:r>
      <w:r w:rsidR="08FF1EA2">
        <w:rPr>
          <w:iCs/>
        </w:rPr>
        <w:t>4</w:t>
      </w:r>
      <w:r>
        <w:rPr>
          <w:iCs/>
        </w:rPr>
        <w:t xml:space="preserve">.5.2). </w:t>
      </w:r>
      <w:r w:rsidR="003F4F32" w:rsidRPr="00840100">
        <w:rPr>
          <w:iCs/>
        </w:rPr>
        <w:t xml:space="preserve">Spor o nový výklad </w:t>
      </w:r>
      <w:r w:rsidR="003F4F32" w:rsidRPr="00840100">
        <w:rPr>
          <w:i/>
          <w:iCs/>
        </w:rPr>
        <w:t>De anima</w:t>
      </w:r>
      <w:r w:rsidR="003F4F32" w:rsidRPr="00840100">
        <w:rPr>
          <w:iCs/>
        </w:rPr>
        <w:t xml:space="preserve"> začal v Paříži v roce 1270. Pecham</w:t>
      </w:r>
      <w:r w:rsidR="003F4F32">
        <w:rPr>
          <w:iCs/>
        </w:rPr>
        <w:t xml:space="preserve"> jako představitel modernistů </w:t>
      </w:r>
      <w:r w:rsidR="003F4F32" w:rsidRPr="00840100">
        <w:rPr>
          <w:iCs/>
        </w:rPr>
        <w:t>prohrál</w:t>
      </w:r>
      <w:r w:rsidR="003F4F32">
        <w:rPr>
          <w:iCs/>
        </w:rPr>
        <w:t xml:space="preserve"> o</w:t>
      </w:r>
      <w:r w:rsidR="003F4F32" w:rsidRPr="00840100">
        <w:rPr>
          <w:iCs/>
        </w:rPr>
        <w:t xml:space="preserve">kamžitě </w:t>
      </w:r>
      <w:r w:rsidR="003F4F32">
        <w:rPr>
          <w:iCs/>
        </w:rPr>
        <w:t xml:space="preserve">a </w:t>
      </w:r>
      <w:r w:rsidR="003F4F32" w:rsidRPr="00840100">
        <w:rPr>
          <w:iCs/>
        </w:rPr>
        <w:t>musel z Paříže odejít</w:t>
      </w:r>
      <w:r w:rsidR="003F4F32">
        <w:rPr>
          <w:iCs/>
        </w:rPr>
        <w:t>. S</w:t>
      </w:r>
      <w:r w:rsidR="003F4F32" w:rsidRPr="00840100">
        <w:rPr>
          <w:iCs/>
        </w:rPr>
        <w:t xml:space="preserve">kutečnými oponenty zůstali pouze Siger a Akvinský. </w:t>
      </w:r>
      <w:r w:rsidR="003F4F32">
        <w:rPr>
          <w:iCs/>
        </w:rPr>
        <w:t xml:space="preserve">Rok nato prohrál Akvinský proti Sigerovi a odešel z Paříže zhruba ve stejnou dobu jako Pecham (1272). </w:t>
      </w:r>
      <w:r w:rsidR="00907415" w:rsidRPr="00907415">
        <w:rPr>
          <w:iCs/>
        </w:rPr>
        <w:t>Poté museli poražení modernisté uděl</w:t>
      </w:r>
      <w:r w:rsidR="000F3FD8">
        <w:rPr>
          <w:iCs/>
        </w:rPr>
        <w:t xml:space="preserve">at něco podstatnějšího, </w:t>
      </w:r>
      <w:r w:rsidR="00907415" w:rsidRPr="00907415">
        <w:rPr>
          <w:iCs/>
        </w:rPr>
        <w:t xml:space="preserve">než </w:t>
      </w:r>
      <w:r w:rsidR="000F3FD8">
        <w:rPr>
          <w:iCs/>
        </w:rPr>
        <w:t xml:space="preserve">jen </w:t>
      </w:r>
      <w:r w:rsidR="00F50333">
        <w:rPr>
          <w:iCs/>
        </w:rPr>
        <w:t>používat filos</w:t>
      </w:r>
      <w:r w:rsidR="008E26CB">
        <w:rPr>
          <w:iCs/>
        </w:rPr>
        <w:t>ofické argumenty.</w:t>
      </w:r>
    </w:p>
    <w:p w:rsidR="00D012F5" w:rsidRPr="00E964E9" w:rsidRDefault="08163013" w:rsidP="00E964E9">
      <w:pPr>
        <w:ind w:firstLine="397"/>
      </w:pPr>
      <w:r>
        <w:rPr>
          <w:iCs/>
        </w:rPr>
        <w:t xml:space="preserve">Pokud se potvrdí autorství Sigera u Mnichovského rukopisu, pak je třeba posunout vznik první a druhé části Oxfordského rukopisu </w:t>
      </w:r>
      <w:r w:rsidR="08FF1EA2">
        <w:rPr>
          <w:iCs/>
        </w:rPr>
        <w:t xml:space="preserve">minimálně </w:t>
      </w:r>
      <w:r>
        <w:rPr>
          <w:iCs/>
        </w:rPr>
        <w:t xml:space="preserve">do stejné doby, aby se vysvětlil zlom argumentace ve třetí části datovaný rokem 1268. Dvojí datací Oxfordského rukopisu je vysvětlen přechod od Aegidiova avicennismu podle chybně pochopeného Sigera </w:t>
      </w:r>
      <w:r w:rsidR="00381196">
        <w:rPr>
          <w:iCs/>
        </w:rPr>
        <w:t>podle toletánského</w:t>
      </w:r>
      <w:r>
        <w:rPr>
          <w:iCs/>
        </w:rPr>
        <w:t xml:space="preserve"> paradigmatu (část I‒II) k </w:t>
      </w:r>
      <w:proofErr w:type="gramStart"/>
      <w:r>
        <w:rPr>
          <w:iCs/>
        </w:rPr>
        <w:t>Tomášově</w:t>
      </w:r>
      <w:proofErr w:type="gramEnd"/>
      <w:r>
        <w:rPr>
          <w:iCs/>
        </w:rPr>
        <w:t xml:space="preserve"> výklad</w:t>
      </w:r>
      <w:r w:rsidR="00381196">
        <w:rPr>
          <w:iCs/>
        </w:rPr>
        <w:t>u</w:t>
      </w:r>
      <w:r>
        <w:rPr>
          <w:iCs/>
        </w:rPr>
        <w:t xml:space="preserve"> </w:t>
      </w:r>
      <w:r w:rsidRPr="08295DCE">
        <w:rPr>
          <w:i/>
          <w:iCs/>
        </w:rPr>
        <w:t xml:space="preserve">De anima </w:t>
      </w:r>
      <w:r>
        <w:rPr>
          <w:iCs/>
        </w:rPr>
        <w:t xml:space="preserve">(část III). </w:t>
      </w:r>
      <w:r>
        <w:t xml:space="preserve">Pro pozdější datum třetí části Oxfordského rukopisu mluví rozporuplná recepce Komentátora. </w:t>
      </w:r>
      <w:r w:rsidR="08FF1EA2">
        <w:t xml:space="preserve">Avicennista </w:t>
      </w:r>
      <w:r>
        <w:t xml:space="preserve">Aegidius se stal pod vlivem Akvinského exegeze </w:t>
      </w:r>
      <w:r w:rsidRPr="088D7E39">
        <w:rPr>
          <w:i/>
        </w:rPr>
        <w:t>De anima</w:t>
      </w:r>
      <w:r>
        <w:t xml:space="preserve"> prvním tomistou. </w:t>
      </w:r>
      <w:r>
        <w:rPr>
          <w:iCs/>
        </w:rPr>
        <w:t xml:space="preserve">Výklad Oxfordského rukopisu celkově ukazuje Aegidiovu bezradnou sofistiku ohledně Averroese, zejména první a druhá část. Ale třetí část už přijala tomistický výklad </w:t>
      </w:r>
      <w:r w:rsidRPr="08314F16">
        <w:rPr>
          <w:i/>
          <w:iCs/>
        </w:rPr>
        <w:t>De anima</w:t>
      </w:r>
      <w:r w:rsidR="08743B14">
        <w:rPr>
          <w:iCs/>
        </w:rPr>
        <w:t xml:space="preserve">, ale opět se značnou </w:t>
      </w:r>
      <w:r w:rsidR="08043A31">
        <w:rPr>
          <w:iCs/>
        </w:rPr>
        <w:t>dávkou sofistiky</w:t>
      </w:r>
      <w:r w:rsidR="08743B14">
        <w:rPr>
          <w:iCs/>
        </w:rPr>
        <w:t xml:space="preserve">. Aegidius vzal </w:t>
      </w:r>
      <w:r>
        <w:rPr>
          <w:iCs/>
        </w:rPr>
        <w:t>všechny klíčové argumenty pro jednotu poznání a osoby z</w:t>
      </w:r>
      <w:r w:rsidR="08743B14">
        <w:rPr>
          <w:iCs/>
        </w:rPr>
        <w:t xml:space="preserve">e Sigerova výkladu CMDA, ale </w:t>
      </w:r>
      <w:r>
        <w:rPr>
          <w:iCs/>
        </w:rPr>
        <w:t>vydával</w:t>
      </w:r>
      <w:r w:rsidR="08743B14">
        <w:rPr>
          <w:iCs/>
        </w:rPr>
        <w:t xml:space="preserve"> je</w:t>
      </w:r>
      <w:r>
        <w:rPr>
          <w:iCs/>
        </w:rPr>
        <w:t xml:space="preserve"> za Aristotelovo učení</w:t>
      </w:r>
      <w:r w:rsidR="08743B14">
        <w:rPr>
          <w:iCs/>
        </w:rPr>
        <w:t xml:space="preserve"> komentovaného Akvinským</w:t>
      </w:r>
      <w:r>
        <w:rPr>
          <w:iCs/>
        </w:rPr>
        <w:t xml:space="preserve">. Touto sofistikou Aegidius vytvořil další zmatenou figuru averroistického Averroese. </w:t>
      </w:r>
      <w:r>
        <w:t xml:space="preserve">Aegidius nemohl najít jinou teorii poznání podržující jednotu osoby poté, co odmítl dualismus druhého averroismu. </w:t>
      </w:r>
      <w:r w:rsidR="00AB7EFB">
        <w:t>Před vydáním Sigerovy QIIIDA</w:t>
      </w:r>
      <w:r w:rsidR="00AB7EFB" w:rsidRPr="00AB7EFB">
        <w:t xml:space="preserve"> (cca 1266) nebylo (a stále není) možné v klasické metafyzice interpretovat plnou jednotu osoby bez exegeze CMDA prezentované podle sicilské školy. Magistři v rue du Fouarre tuto školu </w:t>
      </w:r>
      <w:r w:rsidR="00AB7EFB">
        <w:t xml:space="preserve">zásadně </w:t>
      </w:r>
      <w:r w:rsidR="00D012F5">
        <w:t>hájili.</w:t>
      </w:r>
      <w:r w:rsidR="00DF0707">
        <w:t xml:space="preserve"> Aegidius </w:t>
      </w:r>
      <w:r w:rsidR="00DF0707" w:rsidRPr="00E964E9">
        <w:t>odmítl učení Sigerovy školy, které předtím sofisticky hájil</w:t>
      </w:r>
      <w:r w:rsidR="00DF0707">
        <w:t xml:space="preserve"> a přešel ke škole tomistického avicennismu, která</w:t>
      </w:r>
      <w:r w:rsidR="00DF0707" w:rsidRPr="00E964E9">
        <w:t xml:space="preserve"> byl</w:t>
      </w:r>
      <w:r w:rsidR="00DF0707">
        <w:t>a</w:t>
      </w:r>
      <w:r w:rsidR="00DF0707" w:rsidRPr="00E964E9">
        <w:t xml:space="preserve"> vůč</w:t>
      </w:r>
      <w:r w:rsidR="00DF0707">
        <w:t>i Averroesovi krajně nepřátelská</w:t>
      </w:r>
      <w:r w:rsidR="00DF0707" w:rsidRPr="00E964E9">
        <w:t xml:space="preserve">. </w:t>
      </w:r>
      <w:r w:rsidR="00DF0707">
        <w:t xml:space="preserve">Tento směr </w:t>
      </w:r>
      <w:r w:rsidR="00DF0707">
        <w:lastRenderedPageBreak/>
        <w:t xml:space="preserve">semiaverrostických modernistů se spojil s klasickými modernisty ze školy druhého averroismu a společně zničili školu prvního averroismu v roce 1277. </w:t>
      </w:r>
    </w:p>
    <w:p w:rsidR="003B5FC0" w:rsidRDefault="08163013" w:rsidP="00037561">
      <w:pPr>
        <w:ind w:firstLine="397"/>
      </w:pPr>
      <w:r>
        <w:rPr>
          <w:iCs/>
        </w:rPr>
        <w:t xml:space="preserve">Akvinského spisy v Itálii a nakonec </w:t>
      </w:r>
      <w:r w:rsidRPr="08295DCE">
        <w:rPr>
          <w:i/>
          <w:iCs/>
        </w:rPr>
        <w:t>De unitate intellectus</w:t>
      </w:r>
      <w:r>
        <w:rPr>
          <w:iCs/>
        </w:rPr>
        <w:t xml:space="preserve"> publikovaný v roce 1270 předložily nový výklad jednoty intelektu podaný </w:t>
      </w:r>
      <w:r w:rsidR="00CD021E">
        <w:rPr>
          <w:iCs/>
        </w:rPr>
        <w:t>„</w:t>
      </w:r>
      <w:r>
        <w:rPr>
          <w:i/>
          <w:iCs/>
        </w:rPr>
        <w:t>ad mentem</w:t>
      </w:r>
      <w:r w:rsidRPr="082F61D7">
        <w:rPr>
          <w:i/>
          <w:iCs/>
        </w:rPr>
        <w:t xml:space="preserve"> Aristotelis</w:t>
      </w:r>
      <w:r w:rsidR="00CD021E">
        <w:rPr>
          <w:iCs/>
        </w:rPr>
        <w:t xml:space="preserve">“. Tento výklad </w:t>
      </w:r>
      <w:r>
        <w:rPr>
          <w:iCs/>
        </w:rPr>
        <w:t xml:space="preserve">stál výslovně proti Averroesovi. Z Akvinského se tímto výkonem stal </w:t>
      </w:r>
      <w:r w:rsidRPr="087826F3">
        <w:rPr>
          <w:i/>
          <w:iCs/>
        </w:rPr>
        <w:t>Expositor Novus</w:t>
      </w:r>
      <w:r>
        <w:rPr>
          <w:i/>
          <w:iCs/>
        </w:rPr>
        <w:fldChar w:fldCharType="begin"/>
      </w:r>
      <w:r>
        <w:instrText xml:space="preserve"> XE "</w:instrText>
      </w:r>
      <w:r w:rsidRPr="08E56137">
        <w:rPr>
          <w:i/>
          <w:iCs/>
        </w:rPr>
        <w:instrText>Expositor Novus</w:instrText>
      </w:r>
      <w:r>
        <w:instrText xml:space="preserve">" </w:instrText>
      </w:r>
      <w:r>
        <w:rPr>
          <w:i/>
          <w:iCs/>
        </w:rPr>
        <w:fldChar w:fldCharType="end"/>
      </w:r>
      <w:r>
        <w:rPr>
          <w:iCs/>
        </w:rPr>
        <w:t xml:space="preserve">. Ale jeho řešení jednoty intelektu Sigerova škola odmítla už roku 1266 jako nedostatečně nevědecké a implicitně averroistické, protože drželo pluralitu hypostázovaných forem v člověku z teologických důvodů. </w:t>
      </w:r>
      <w:r w:rsidR="00037561">
        <w:rPr>
          <w:iCs/>
        </w:rPr>
        <w:t>Toto ř</w:t>
      </w:r>
      <w:r w:rsidR="00037561" w:rsidRPr="00037561">
        <w:rPr>
          <w:iCs/>
        </w:rPr>
        <w:t>ešení bylo ji</w:t>
      </w:r>
      <w:r w:rsidR="00037561">
        <w:rPr>
          <w:iCs/>
        </w:rPr>
        <w:t xml:space="preserve">ž klasické, protože pocházelo od </w:t>
      </w:r>
      <w:r w:rsidR="00037561" w:rsidRPr="00037561">
        <w:rPr>
          <w:iCs/>
        </w:rPr>
        <w:t xml:space="preserve">Grossesteho a bylo v souladu s výkladem </w:t>
      </w:r>
      <w:r w:rsidR="00037561" w:rsidRPr="00037561">
        <w:rPr>
          <w:i/>
          <w:iCs/>
        </w:rPr>
        <w:t>De anima</w:t>
      </w:r>
      <w:r w:rsidR="00037561" w:rsidRPr="00037561">
        <w:rPr>
          <w:iCs/>
        </w:rPr>
        <w:t xml:space="preserve"> provedeným striktně podle Aristotela. </w:t>
      </w:r>
      <w:r>
        <w:rPr>
          <w:iCs/>
        </w:rPr>
        <w:t xml:space="preserve">Předložená datace a autorství Sigerova komentáře k </w:t>
      </w:r>
      <w:proofErr w:type="gramStart"/>
      <w:r w:rsidRPr="08C025EF">
        <w:rPr>
          <w:i/>
          <w:iCs/>
        </w:rPr>
        <w:t>De</w:t>
      </w:r>
      <w:proofErr w:type="gramEnd"/>
      <w:r w:rsidRPr="08C025EF">
        <w:rPr>
          <w:i/>
          <w:iCs/>
        </w:rPr>
        <w:t xml:space="preserve"> anima</w:t>
      </w:r>
      <w:r>
        <w:rPr>
          <w:iCs/>
        </w:rPr>
        <w:t xml:space="preserve"> I‒II v Mnichovském rukopise také integruje poznámku Agostina Nifa, že tento spis ve spojení s QIIIDA byl poslán Akvinskému jako odpověď na jeho výklad </w:t>
      </w:r>
      <w:r w:rsidRPr="08876CCF">
        <w:rPr>
          <w:i/>
          <w:iCs/>
        </w:rPr>
        <w:t>De anima</w:t>
      </w:r>
      <w:r>
        <w:rPr>
          <w:iCs/>
        </w:rPr>
        <w:t>. To je možné, protože během publikace Mnichovského rukopisu datovaného do roku 1266 souběžně s vydáním QII</w:t>
      </w:r>
      <w:r w:rsidR="007E4136">
        <w:rPr>
          <w:iCs/>
        </w:rPr>
        <w:t xml:space="preserve">IDA byl Akvinský ještě v Itálii, </w:t>
      </w:r>
      <w:r>
        <w:rPr>
          <w:iCs/>
        </w:rPr>
        <w:t xml:space="preserve">až do podzimu 1269. </w:t>
      </w:r>
      <w:r>
        <w:t xml:space="preserve">To je v souladu s předpokládanou ranou datací Mnichovského rukopisu do období vzniku </w:t>
      </w:r>
      <w:r>
        <w:rPr>
          <w:iCs/>
        </w:rPr>
        <w:t>QIIIDA</w:t>
      </w:r>
      <w:r w:rsidR="007E4136">
        <w:rPr>
          <w:iCs/>
        </w:rPr>
        <w:t xml:space="preserve">. Siger </w:t>
      </w:r>
      <w:r>
        <w:rPr>
          <w:iCs/>
        </w:rPr>
        <w:t xml:space="preserve">jistě přednášel </w:t>
      </w:r>
      <w:r w:rsidR="007E4136">
        <w:rPr>
          <w:iCs/>
        </w:rPr>
        <w:t xml:space="preserve">kompletní výklad </w:t>
      </w:r>
      <w:r w:rsidR="007E4136" w:rsidRPr="089D7652">
        <w:rPr>
          <w:i/>
          <w:iCs/>
        </w:rPr>
        <w:t>De anima</w:t>
      </w:r>
      <w:r w:rsidR="007E4136">
        <w:rPr>
          <w:i/>
          <w:iCs/>
        </w:rPr>
        <w:t xml:space="preserve"> </w:t>
      </w:r>
      <w:r w:rsidR="007E4136">
        <w:rPr>
          <w:iCs/>
        </w:rPr>
        <w:t>na Rue du Fouarre</w:t>
      </w:r>
      <w:r>
        <w:rPr>
          <w:iCs/>
        </w:rPr>
        <w:t xml:space="preserve">. </w:t>
      </w:r>
      <w:r w:rsidR="007E4136">
        <w:rPr>
          <w:iCs/>
        </w:rPr>
        <w:t xml:space="preserve">Rukopis M ukazuje, že </w:t>
      </w:r>
      <w:r>
        <w:rPr>
          <w:iCs/>
        </w:rPr>
        <w:t xml:space="preserve">Siger </w:t>
      </w:r>
      <w:r w:rsidR="004E2AC8">
        <w:t>nesouhlasil</w:t>
      </w:r>
      <w:r>
        <w:t xml:space="preserve"> s teorií esenciální predikace </w:t>
      </w:r>
      <w:r w:rsidRPr="00273106">
        <w:t xml:space="preserve">skrze </w:t>
      </w:r>
      <w:r>
        <w:t xml:space="preserve">hypostázovanou </w:t>
      </w:r>
      <w:r w:rsidRPr="00273106">
        <w:t>formu</w:t>
      </w:r>
      <w:r w:rsidR="007E4136">
        <w:t xml:space="preserve"> intelektu, </w:t>
      </w:r>
      <w:r w:rsidR="004E2AC8">
        <w:t>jako to měl</w:t>
      </w:r>
      <w:r>
        <w:t xml:space="preserve"> Akvinský. A</w:t>
      </w:r>
      <w:r w:rsidRPr="00273106">
        <w:t>le přesto</w:t>
      </w:r>
      <w:r>
        <w:t xml:space="preserve"> </w:t>
      </w:r>
      <w:r w:rsidR="004A067B">
        <w:t>uznával</w:t>
      </w:r>
      <w:r w:rsidRPr="00273106">
        <w:t xml:space="preserve"> </w:t>
      </w:r>
      <w:r>
        <w:t xml:space="preserve">tento </w:t>
      </w:r>
      <w:r w:rsidRPr="00273106">
        <w:t>způsob pravdivého poznání intelektu</w:t>
      </w:r>
      <w:r>
        <w:t xml:space="preserve"> za </w:t>
      </w:r>
      <w:r w:rsidRPr="00273106">
        <w:t xml:space="preserve">možný </w:t>
      </w:r>
      <w:r>
        <w:t xml:space="preserve">podle smířlivého komentáře </w:t>
      </w:r>
      <w:r w:rsidR="00061832" w:rsidRPr="00061832">
        <w:t>DA</w:t>
      </w:r>
      <w:r>
        <w:t xml:space="preserve"> I‒II (</w:t>
      </w:r>
      <w:r w:rsidRPr="00AC5C98">
        <w:rPr>
          <w:i/>
        </w:rPr>
        <w:t>potest esse</w:t>
      </w:r>
      <w:r w:rsidRPr="08A47B29">
        <w:t>, M 1.7</w:t>
      </w:r>
      <w:r>
        <w:t>)</w:t>
      </w:r>
      <w:r w:rsidRPr="00273106">
        <w:t>.</w:t>
      </w:r>
      <w:r>
        <w:t xml:space="preserve"> Brabantský magistr ale ve výkladu </w:t>
      </w:r>
      <w:r w:rsidR="009724BB">
        <w:t xml:space="preserve">DA </w:t>
      </w:r>
      <w:r>
        <w:t xml:space="preserve">III odmítl pojetí Aegidiova a Tomášova aristotelismu, protože odporuje vědeckému </w:t>
      </w:r>
      <w:r w:rsidR="00D45FCF">
        <w:t xml:space="preserve">deduktivnímu důkazu </w:t>
      </w:r>
      <w:r w:rsidRPr="08444B1B">
        <w:rPr>
          <w:i/>
        </w:rPr>
        <w:t>anima intellectiva</w:t>
      </w:r>
      <w:r>
        <w:t xml:space="preserve"> podle </w:t>
      </w:r>
      <w:r w:rsidRPr="08444B1B">
        <w:rPr>
          <w:i/>
        </w:rPr>
        <w:t>Druhých analytik</w:t>
      </w:r>
      <w:r w:rsidR="081E4247">
        <w:t xml:space="preserve"> (kap. 4</w:t>
      </w:r>
      <w:r>
        <w:t xml:space="preserve">.4.3). </w:t>
      </w:r>
      <w:r>
        <w:rPr>
          <w:iCs/>
        </w:rPr>
        <w:t xml:space="preserve">Nové kolo sporu mezi Sigerem a Akvinským začalo v Paříži po roce 1270, kdy Siger odmítl Tomášův semiaverroismus podaný v </w:t>
      </w:r>
      <w:proofErr w:type="gramStart"/>
      <w:r w:rsidRPr="08E33977">
        <w:rPr>
          <w:i/>
          <w:iCs/>
        </w:rPr>
        <w:t>De</w:t>
      </w:r>
      <w:proofErr w:type="gramEnd"/>
      <w:r w:rsidRPr="08E33977">
        <w:rPr>
          <w:i/>
          <w:iCs/>
        </w:rPr>
        <w:t xml:space="preserve"> unitate</w:t>
      </w:r>
      <w:r w:rsidR="002077C0">
        <w:rPr>
          <w:i/>
          <w:iCs/>
        </w:rPr>
        <w:t xml:space="preserve"> </w:t>
      </w:r>
      <w:r w:rsidR="002077C0">
        <w:rPr>
          <w:i/>
          <w:szCs w:val="24"/>
        </w:rPr>
        <w:t>intellectu</w:t>
      </w:r>
      <w:r w:rsidR="000047EC">
        <w:rPr>
          <w:i/>
          <w:szCs w:val="24"/>
        </w:rPr>
        <w:t>s</w:t>
      </w:r>
      <w:r w:rsidR="002077C0" w:rsidRPr="001624E2">
        <w:rPr>
          <w:szCs w:val="24"/>
        </w:rPr>
        <w:t xml:space="preserve"> </w:t>
      </w:r>
      <w:r>
        <w:rPr>
          <w:iCs/>
        </w:rPr>
        <w:t xml:space="preserve">vydáním spisu </w:t>
      </w:r>
      <w:r w:rsidRPr="08233986">
        <w:rPr>
          <w:i/>
          <w:iCs/>
        </w:rPr>
        <w:t>De anima intellectiva</w:t>
      </w:r>
      <w:r>
        <w:rPr>
          <w:iCs/>
        </w:rPr>
        <w:t xml:space="preserve">. </w:t>
      </w:r>
      <w:r>
        <w:t xml:space="preserve">Siger a jeho skupina nastupují po roce 1270 do přímé konfrontace s </w:t>
      </w:r>
      <w:proofErr w:type="gramStart"/>
      <w:r>
        <w:t>Akvinským</w:t>
      </w:r>
      <w:proofErr w:type="gramEnd"/>
      <w:r>
        <w:t xml:space="preserve"> a s Albertem mimo jiné i tím, že vyjasnili sporné body Avicennovy metafyziky ve vztahu k Averroesově projektu první vědy. Toto stanovisko magistrů sdružených na straně Sigera vyjadřuje Boethius z Dácie v Gi</w:t>
      </w:r>
      <w:r w:rsidR="00342B77">
        <w:t xml:space="preserve">eleho anonymu </w:t>
      </w:r>
      <w:r w:rsidR="00E86228">
        <w:t>psan</w:t>
      </w:r>
      <w:r w:rsidR="00342B77">
        <w:t>ého před rokem 1272</w:t>
      </w:r>
      <w:r>
        <w:t>. Akvinský jistě musel veřejně reagovat na</w:t>
      </w:r>
      <w:r w:rsidRPr="08321520">
        <w:t xml:space="preserve"> </w:t>
      </w:r>
      <w:r>
        <w:t xml:space="preserve">Boethiovu a Sigerovu kritiku plurality forem v duši, která v tomismu rozbila jednotu osoby. Potvrzení Tomášovy kritiky ve druhém kole sporu po vydání </w:t>
      </w:r>
      <w:r w:rsidRPr="08444B1B">
        <w:rPr>
          <w:i/>
        </w:rPr>
        <w:t>De unitate</w:t>
      </w:r>
      <w:r>
        <w:rPr>
          <w:i/>
        </w:rPr>
        <w:t xml:space="preserve"> intellectus</w:t>
      </w:r>
      <w:r>
        <w:t xml:space="preserve"> přinesl Sigerův spis </w:t>
      </w:r>
      <w:r w:rsidRPr="00733E2B">
        <w:rPr>
          <w:i/>
        </w:rPr>
        <w:t>De anima intellectiva</w:t>
      </w:r>
      <w:r>
        <w:t xml:space="preserve">. </w:t>
      </w:r>
      <w:r>
        <w:rPr>
          <w:iCs/>
        </w:rPr>
        <w:t xml:space="preserve">Po roce 1270 přišla na Akvinského nová kritika Sigerovy skupiny, která vyvrcholila </w:t>
      </w:r>
      <w:r w:rsidR="000047EC">
        <w:rPr>
          <w:iCs/>
        </w:rPr>
        <w:t xml:space="preserve">prohlášením </w:t>
      </w:r>
      <w:r>
        <w:rPr>
          <w:iCs/>
        </w:rPr>
        <w:t>artistické faku</w:t>
      </w:r>
      <w:r w:rsidR="081E4247">
        <w:rPr>
          <w:iCs/>
        </w:rPr>
        <w:t>lty z roku 1272 (kap. 4</w:t>
      </w:r>
      <w:r>
        <w:rPr>
          <w:iCs/>
        </w:rPr>
        <w:t xml:space="preserve">.1.2). Magistři z Rue du Fouarre </w:t>
      </w:r>
      <w:r>
        <w:rPr>
          <w:iCs/>
        </w:rPr>
        <w:lastRenderedPageBreak/>
        <w:t xml:space="preserve">zakázali odvoláním na </w:t>
      </w:r>
      <w:r w:rsidRPr="081C6643">
        <w:rPr>
          <w:i/>
          <w:iCs/>
        </w:rPr>
        <w:t>Druhé analytiky</w:t>
      </w:r>
      <w:r>
        <w:rPr>
          <w:iCs/>
        </w:rPr>
        <w:t xml:space="preserve"> míchat teologii a filosofii do jednoho argumentačního celku</w:t>
      </w:r>
      <w:r w:rsidR="000047EC">
        <w:rPr>
          <w:iCs/>
        </w:rPr>
        <w:t xml:space="preserve">. Tento zákaz se výslovně </w:t>
      </w:r>
      <w:proofErr w:type="gramStart"/>
      <w:r w:rsidR="000047EC">
        <w:rPr>
          <w:iCs/>
        </w:rPr>
        <w:t xml:space="preserve">týkal </w:t>
      </w:r>
      <w:r>
        <w:rPr>
          <w:iCs/>
        </w:rPr>
        <w:t xml:space="preserve"> Akvinského</w:t>
      </w:r>
      <w:proofErr w:type="gramEnd"/>
      <w:r>
        <w:rPr>
          <w:iCs/>
        </w:rPr>
        <w:t xml:space="preserve"> výklad </w:t>
      </w:r>
      <w:r w:rsidR="000047EC">
        <w:rPr>
          <w:iCs/>
        </w:rPr>
        <w:t xml:space="preserve">jednoty intelektu v </w:t>
      </w:r>
      <w:r w:rsidRPr="08564C1D">
        <w:rPr>
          <w:i/>
          <w:iCs/>
        </w:rPr>
        <w:t>De unitate</w:t>
      </w:r>
      <w:r w:rsidR="000047EC">
        <w:rPr>
          <w:i/>
          <w:iCs/>
        </w:rPr>
        <w:t xml:space="preserve"> intellectus</w:t>
      </w:r>
      <w:r>
        <w:rPr>
          <w:iCs/>
        </w:rPr>
        <w:t xml:space="preserve">. </w:t>
      </w:r>
      <w:r>
        <w:t xml:space="preserve">Proto je velmi pravděpodobné, že Sigerův spis </w:t>
      </w:r>
      <w:r w:rsidRPr="00733E2B">
        <w:rPr>
          <w:i/>
        </w:rPr>
        <w:t>De anima intellectiva</w:t>
      </w:r>
      <w:r>
        <w:t xml:space="preserve"> byl napsán před vydáním artistického dekretu, který uzavřel celou debatu mezi sigerovci a tomisty. </w:t>
      </w:r>
      <w:r>
        <w:rPr>
          <w:iCs/>
        </w:rPr>
        <w:t xml:space="preserve">Dekret artistů vyšel </w:t>
      </w:r>
      <w:r w:rsidRPr="00273106">
        <w:t>1. 4. 1272</w:t>
      </w:r>
      <w:r>
        <w:t xml:space="preserve"> a poražený Akvinský opuští Pařížskou univerzitu hned po velikonocích (24. 4. 1272). Na fakultě pařížských modernistů Tomáš učit nemohl, protože jejich filosofii považoval za zásadní omyl a tito modernisté považovali </w:t>
      </w:r>
      <w:r w:rsidR="080127D1">
        <w:t>Akvinského za averroistu (kap. 4</w:t>
      </w:r>
      <w:r>
        <w:t>.5.1). Myšlení porretánských Gramatiků (</w:t>
      </w:r>
      <w:r w:rsidRPr="008C3CFB">
        <w:rPr>
          <w:i/>
        </w:rPr>
        <w:t>falsi nominis scientia</w:t>
      </w:r>
      <w:r>
        <w:t>) odsoudil už kancléř Alvernus (</w:t>
      </w:r>
      <w:r w:rsidR="080127D1">
        <w:t>OBJ II, kap. 2</w:t>
      </w:r>
      <w:r>
        <w:t>.3.2)</w:t>
      </w:r>
      <w:r>
        <w:fldChar w:fldCharType="begin"/>
      </w:r>
      <w:r>
        <w:instrText xml:space="preserve"> XE "</w:instrText>
      </w:r>
      <w:r w:rsidRPr="00963E23">
        <w:instrText>druhý averroismus:</w:instrText>
      </w:r>
      <w:r w:rsidRPr="00C82CDD">
        <w:rPr>
          <w:i/>
        </w:rPr>
        <w:instrText>Grammatici</w:instrText>
      </w:r>
      <w:r>
        <w:instrText xml:space="preserve">" </w:instrText>
      </w:r>
      <w:r>
        <w:fldChar w:fldCharType="end"/>
      </w:r>
      <w:r>
        <w:t xml:space="preserve">. Akvinský v linii Alberta jednoznačně hájí jeho odkaz navazující na Blundovu školu prvního averroismu, což ostatně dělal už za prvního pobytu v Paříži. Pecham byl jmenován na katedru františkánské teologie po Eustachovi z Arrasu v roce 1270 a </w:t>
      </w:r>
      <w:r w:rsidR="006C0F3F">
        <w:t xml:space="preserve">už </w:t>
      </w:r>
      <w:r w:rsidR="003B5FC0">
        <w:t xml:space="preserve">za rok byl odvolán. Okolo roku 1272 už byl Pecham zpět v Oxfordu a jeho žáci v Paříži jistě nezapomněli, kdo z jejich magistra udělal podřadného filosofa na konci spisu </w:t>
      </w:r>
      <w:r w:rsidR="003B5FC0" w:rsidRPr="0069580D">
        <w:rPr>
          <w:i/>
          <w:szCs w:val="24"/>
        </w:rPr>
        <w:t>De unitate intellectu</w:t>
      </w:r>
      <w:r w:rsidR="003B5FC0">
        <w:rPr>
          <w:i/>
          <w:szCs w:val="24"/>
        </w:rPr>
        <w:t>s</w:t>
      </w:r>
      <w:r w:rsidR="003B5FC0">
        <w:t xml:space="preserve">. </w:t>
      </w:r>
    </w:p>
    <w:p w:rsidR="08163013" w:rsidRPr="00037561" w:rsidRDefault="08163013" w:rsidP="00037561">
      <w:pPr>
        <w:ind w:firstLine="397"/>
        <w:rPr>
          <w:iCs/>
        </w:rPr>
      </w:pPr>
      <w:r>
        <w:t xml:space="preserve">První dvě části Oxfordského rukopisu podávají komentář k Sigerovu </w:t>
      </w:r>
      <w:r w:rsidRPr="00D627B0">
        <w:t>DA</w:t>
      </w:r>
      <w:r w:rsidR="004A4E66">
        <w:t xml:space="preserve"> I–</w:t>
      </w:r>
      <w:r>
        <w:t xml:space="preserve">II daném v Mnichovském rukopise. Musely být napsány zcela jistě před hlavním sporem v roce 1270, protože odrážejí avicennistický postoj k poznání daný nasvícením zezadu a jsou ovlivněny školou druhého averroismu. Změna </w:t>
      </w:r>
      <w:r w:rsidR="004A4E66">
        <w:t xml:space="preserve">je určena </w:t>
      </w:r>
      <w:r>
        <w:t>přechodem od umírněného druhého averroismu (O I‒II, asi 1266‒67) k prvnímu averroismu podle Akvinského (O III, asi 1268‒69)</w:t>
      </w:r>
      <w:r w:rsidR="004A4E66">
        <w:t xml:space="preserve">. Tato transformace </w:t>
      </w:r>
      <w:r>
        <w:t xml:space="preserve">vysvětluje složitý vývoj semiaverroismu </w:t>
      </w:r>
      <w:r w:rsidR="004A4E66">
        <w:t xml:space="preserve">v myšlení </w:t>
      </w:r>
      <w:r>
        <w:t>Aegidia Romana. Tento latinský učenec předvedl velmi sofistikovanou recepci Averroese</w:t>
      </w:r>
      <w:r w:rsidR="00CB07F2">
        <w:t xml:space="preserve">. Ta </w:t>
      </w:r>
      <w:r>
        <w:t>dalece přesah</w:t>
      </w:r>
      <w:r w:rsidR="00CB07F2">
        <w:t xml:space="preserve">ovala </w:t>
      </w:r>
      <w:r>
        <w:t xml:space="preserve">primitivní modus Albertem kritizovaných latinských sofistů z Bonaventurovy školy v Paříži a z Kilwardbyho školy v Oxfordu. </w:t>
      </w:r>
      <w:r w:rsidRPr="00273106">
        <w:t xml:space="preserve">Vliv Akvinského kritiky </w:t>
      </w:r>
      <w:r>
        <w:t>Averroes</w:t>
      </w:r>
      <w:r w:rsidRPr="00273106">
        <w:t>e</w:t>
      </w:r>
      <w:r>
        <w:t xml:space="preserve"> a </w:t>
      </w:r>
      <w:r w:rsidRPr="00273106">
        <w:t xml:space="preserve">zejména jeho pozice vůči </w:t>
      </w:r>
      <w:r>
        <w:t>Averroes</w:t>
      </w:r>
      <w:r w:rsidRPr="00273106">
        <w:t xml:space="preserve">ovi jako špatného vykladače Aristotela z </w:t>
      </w:r>
      <w:proofErr w:type="gramStart"/>
      <w:r w:rsidRPr="00273106">
        <w:rPr>
          <w:i/>
        </w:rPr>
        <w:t>De</w:t>
      </w:r>
      <w:proofErr w:type="gramEnd"/>
      <w:r w:rsidRPr="00273106">
        <w:rPr>
          <w:i/>
        </w:rPr>
        <w:t xml:space="preserve"> unitate intellectus </w:t>
      </w:r>
      <w:r w:rsidRPr="00273106">
        <w:t xml:space="preserve">(1270) </w:t>
      </w:r>
      <w:r>
        <w:t xml:space="preserve">završuje Aegidiův vývoj k tomismu po dokončení </w:t>
      </w:r>
      <w:r w:rsidRPr="00273106">
        <w:t>třetí části komentáře</w:t>
      </w:r>
      <w:r>
        <w:t xml:space="preserve"> rukopisu O</w:t>
      </w:r>
      <w:r w:rsidRPr="00273106">
        <w:t>.</w:t>
      </w:r>
      <w:r>
        <w:t xml:space="preserve"> Tento vývoj ukazuje Bazánův anonym v další kapitole, který odráží Aegidiův vývoj okolo roku 127</w:t>
      </w:r>
      <w:r w:rsidR="006F3A06">
        <w:t>0‒71. V této době Aegidius útočil</w:t>
      </w:r>
      <w:r>
        <w:t xml:space="preserve"> s </w:t>
      </w:r>
      <w:proofErr w:type="gramStart"/>
      <w:r>
        <w:t>Akvinským</w:t>
      </w:r>
      <w:proofErr w:type="gramEnd"/>
      <w:r>
        <w:t xml:space="preserve"> v </w:t>
      </w:r>
      <w:r w:rsidR="006F3A06">
        <w:t>Paříži na Averroese přímo a dělal</w:t>
      </w:r>
      <w:r>
        <w:t xml:space="preserve"> z něj heretika stejn</w:t>
      </w:r>
      <w:r w:rsidR="00872EBC">
        <w:t xml:space="preserve">ě jako Bonaventurova škola. Během </w:t>
      </w:r>
      <w:r>
        <w:t xml:space="preserve">vydání </w:t>
      </w:r>
      <w:r w:rsidRPr="08D849C3">
        <w:rPr>
          <w:rStyle w:val="st"/>
          <w:bCs/>
          <w:i/>
        </w:rPr>
        <w:t>De plurificatione</w:t>
      </w:r>
      <w:r w:rsidRPr="08D849C3">
        <w:rPr>
          <w:rStyle w:val="st"/>
          <w:i/>
        </w:rPr>
        <w:t xml:space="preserve"> possibilis</w:t>
      </w:r>
      <w:r>
        <w:rPr>
          <w:rStyle w:val="st"/>
        </w:rPr>
        <w:t xml:space="preserve"> </w:t>
      </w:r>
      <w:r w:rsidRPr="08D849C3">
        <w:rPr>
          <w:rStyle w:val="st"/>
          <w:i/>
        </w:rPr>
        <w:t xml:space="preserve">intellectus </w:t>
      </w:r>
      <w:r>
        <w:rPr>
          <w:rStyle w:val="st"/>
        </w:rPr>
        <w:t xml:space="preserve">datovaném mezi léty 1272‒75 </w:t>
      </w:r>
      <w:r>
        <w:t xml:space="preserve">už Aegidius drží moderní dualistickou pozici poznání, která není v plném souladu ani s Akvinského </w:t>
      </w:r>
      <w:proofErr w:type="gramStart"/>
      <w:r>
        <w:t>výkladem</w:t>
      </w:r>
      <w:proofErr w:type="gramEnd"/>
      <w:r>
        <w:t xml:space="preserve"> v </w:t>
      </w:r>
      <w:r w:rsidRPr="08A909FC">
        <w:rPr>
          <w:i/>
        </w:rPr>
        <w:t>De unitate</w:t>
      </w:r>
      <w:r>
        <w:t xml:space="preserve">. Ale kolem roku 1270 ještě sdílel Aegidius semiaverroistickou pozici Akvinského proti averroistickému Averroesovi </w:t>
      </w:r>
      <w:r>
        <w:lastRenderedPageBreak/>
        <w:t>chápaného podle Toledské školy</w:t>
      </w:r>
      <w:r>
        <w:fldChar w:fldCharType="begin"/>
      </w:r>
      <w:r>
        <w:instrText xml:space="preserve"> XE "</w:instrText>
      </w:r>
      <w:r w:rsidRPr="08CE5212">
        <w:instrText>Toledská škola</w:instrText>
      </w:r>
      <w:r>
        <w:instrText xml:space="preserve">" </w:instrText>
      </w:r>
      <w:r>
        <w:fldChar w:fldCharType="end"/>
      </w:r>
      <w:r>
        <w:t xml:space="preserve">. Proto Aegidius nutně stál ve </w:t>
      </w:r>
      <w:proofErr w:type="gramStart"/>
      <w:r>
        <w:t>sporu o  jednotu</w:t>
      </w:r>
      <w:proofErr w:type="gramEnd"/>
      <w:r>
        <w:t xml:space="preserve"> intelektu proti magistrům na Rue du Fouarre, kteří v linii Alverna bránili Komentátora jako nejvznešenějšího filosofa podle Sicilské školy</w:t>
      </w:r>
      <w:r>
        <w:fldChar w:fldCharType="begin"/>
      </w:r>
      <w:r>
        <w:instrText xml:space="preserve"> XE "</w:instrText>
      </w:r>
      <w:r w:rsidRPr="08BC414E">
        <w:instrText>Sicilská škola</w:instrText>
      </w:r>
      <w:r>
        <w:instrText xml:space="preserve">" </w:instrText>
      </w:r>
      <w:r>
        <w:fldChar w:fldCharType="end"/>
      </w:r>
      <w:r>
        <w:t xml:space="preserve">. Siger z Brabantu odmítl oba semiaverroisty naprosto kvalifikovaně za magistry v Rue du Fouarre v letech 1265‒73 a také ukázal na chybu pozdějšího Albertova výkladu </w:t>
      </w:r>
      <w:r w:rsidRPr="0857711A">
        <w:rPr>
          <w:i/>
        </w:rPr>
        <w:t>De anima</w:t>
      </w:r>
      <w:r>
        <w:t xml:space="preserve">. Od dubna 1272 po vydání dekretu artistů se spojili semiaverroisté typu Akvinského a Aegidia s modernisty kolem Bonaventury v útoku na Sigerovu školu. </w:t>
      </w:r>
      <w:r w:rsidR="00557C0F">
        <w:t>Poražený Kilwardby a Pecham plně podporovali tetno útok z O</w:t>
      </w:r>
      <w:r>
        <w:t>xford</w:t>
      </w:r>
      <w:r w:rsidR="00557C0F">
        <w:t xml:space="preserve">u. Pecham </w:t>
      </w:r>
      <w:r>
        <w:t xml:space="preserve">musel opustit Pařížskou univerzitu asi roku 1271 a usadil se v Oxfordu. Albert považoval argumenty modernistů za směšné a odmítl s nimi diskutovat. A jako znalec CMDA podle Sicilské školy nemohl hájit pozici Akvinského a Aegidia, protože byla evidentně chybná. Nyní je jasné, proč tento znalec </w:t>
      </w:r>
      <w:r w:rsidRPr="08871BBE">
        <w:rPr>
          <w:i/>
        </w:rPr>
        <w:t>De anima</w:t>
      </w:r>
      <w:r>
        <w:t xml:space="preserve"> a celého </w:t>
      </w:r>
      <w:r w:rsidR="00EC085A">
        <w:rPr>
          <w:i/>
          <w:szCs w:val="24"/>
        </w:rPr>
        <w:t xml:space="preserve">Corpus Aristotelicum </w:t>
      </w:r>
      <w:r>
        <w:t>odmítl přijet do Paříže v roce 1270. Poražený Akvinský odchází z Paříže na konci dubna 1272 a odchází do Neapole. Druhé kolo útoku latinských sofistů už magistři na Rue du Fouarre neustáli a přišlo jejich odsouzení v roce 1277. Třetí část Oxfordského rukopisu vznikla v prvním kole vrcholících sporů před příchodem Akvinského do Paříže. Popsané peripetie složitého sporu v letech 1266‒70 nepřímo ukazují oba rukopisy</w:t>
      </w:r>
      <w:r w:rsidR="00B819DB">
        <w:t>,</w:t>
      </w:r>
      <w:r>
        <w:t xml:space="preserve"> díky změnám v celkové argumentaci uvnitř školy prvního averroismu. </w:t>
      </w:r>
    </w:p>
    <w:p w:rsidR="08163013" w:rsidRPr="00273106" w:rsidRDefault="00457A81" w:rsidP="08163013">
      <w:pPr>
        <w:pStyle w:val="Nadpis3"/>
      </w:pPr>
      <w:bookmarkStart w:id="27" w:name="_Toc36144142"/>
      <w:r>
        <w:br w:type="page"/>
      </w:r>
      <w:bookmarkStart w:id="28" w:name="_Toc180231654"/>
      <w:r w:rsidR="08163013">
        <w:lastRenderedPageBreak/>
        <w:t>4</w:t>
      </w:r>
      <w:r w:rsidR="08163013" w:rsidRPr="00273106">
        <w:t>.3.3 Anonymus Bazán</w:t>
      </w:r>
      <w:bookmarkEnd w:id="27"/>
      <w:bookmarkEnd w:id="28"/>
    </w:p>
    <w:p w:rsidR="002243F5" w:rsidRDefault="08163013" w:rsidP="08163013">
      <w:r w:rsidRPr="00273106">
        <w:t xml:space="preserve">Anonymní dílo </w:t>
      </w:r>
      <w:r>
        <w:rPr>
          <w:i/>
        </w:rPr>
        <w:t>Quaestiones</w:t>
      </w:r>
      <w:r w:rsidRPr="00273106">
        <w:rPr>
          <w:i/>
        </w:rPr>
        <w:t xml:space="preserve"> super Aristotelis librum De anima</w:t>
      </w:r>
      <w:r w:rsidRPr="00273106">
        <w:t xml:space="preserve"> (dále jen </w:t>
      </w:r>
      <w:r>
        <w:rPr>
          <w:i/>
        </w:rPr>
        <w:t>Quaestiones</w:t>
      </w:r>
      <w:r w:rsidRPr="00273106">
        <w:t xml:space="preserve">) editoval Bernard Bazán s tím, že autora díla nelze spolehlivě určit a datoval jeho vznik do let 1272‒77 (Bazán 1971, 377). Editor rukopisu na základě stručného stylu a nedokončených vět konstatuje, že jde o studentské </w:t>
      </w:r>
      <w:r w:rsidRPr="00273106">
        <w:rPr>
          <w:i/>
        </w:rPr>
        <w:t>reportatio</w:t>
      </w:r>
      <w:r w:rsidRPr="00273106">
        <w:t xml:space="preserve"> z přednášek magistra artistických věd, který je dobrým znalcem Aristotela a věrně traduje jeho nauku (ibid, 364‒65). Bazán tímto způsobem reflektuje fakt, že traktát nesleduje linii </w:t>
      </w:r>
      <w:r>
        <w:rPr>
          <w:i/>
        </w:rPr>
        <w:t>De anima</w:t>
      </w:r>
      <w:r w:rsidRPr="00273106">
        <w:t xml:space="preserve">, ale má vlastní strukturu argumentace. Spis komentuje mimo jiné i mnohé poučky klasické metafyziky, takže jeho autor dostal nálepku mladého artisty začínajícího svá </w:t>
      </w:r>
      <w:r w:rsidRPr="00273106">
        <w:rPr>
          <w:i/>
        </w:rPr>
        <w:t>lectiones,</w:t>
      </w:r>
      <w:r w:rsidRPr="00273106">
        <w:t xml:space="preserve"> pravděpodobně na Paříž</w:t>
      </w:r>
      <w:r w:rsidR="083607B9">
        <w:t xml:space="preserve">ské univerzitě (ibid, p. 365). </w:t>
      </w:r>
      <w:r w:rsidRPr="00273106">
        <w:t xml:space="preserve">Editor jednoznačně preferuje literární žánr </w:t>
      </w:r>
      <w:r>
        <w:rPr>
          <w:i/>
        </w:rPr>
        <w:t>Quaestiones</w:t>
      </w:r>
      <w:r w:rsidRPr="00273106">
        <w:rPr>
          <w:i/>
        </w:rPr>
        <w:t xml:space="preserve"> </w:t>
      </w:r>
      <w:r w:rsidRPr="00273106">
        <w:t xml:space="preserve">přidaný do titulu díla, který magistrovi nechal volnost improvizace. Hermeneutika oceňuje rozlišení stylu a formy mezi preferovaným žánrem </w:t>
      </w:r>
      <w:r w:rsidRPr="00273106">
        <w:rPr>
          <w:i/>
        </w:rPr>
        <w:t>qu</w:t>
      </w:r>
      <w:r>
        <w:rPr>
          <w:i/>
        </w:rPr>
        <w:t>a</w:t>
      </w:r>
      <w:r w:rsidRPr="00273106">
        <w:rPr>
          <w:i/>
        </w:rPr>
        <w:t>estio</w:t>
      </w:r>
      <w:r w:rsidRPr="00273106">
        <w:t xml:space="preserve"> a odmítnutým </w:t>
      </w:r>
      <w:r w:rsidRPr="00273106">
        <w:rPr>
          <w:i/>
        </w:rPr>
        <w:t>lectio</w:t>
      </w:r>
      <w:r w:rsidRPr="00273106">
        <w:t xml:space="preserve"> (</w:t>
      </w:r>
      <w:r w:rsidR="083607B9" w:rsidRPr="081942A4">
        <w:rPr>
          <w:szCs w:val="24"/>
        </w:rPr>
        <w:t>Bazán</w:t>
      </w:r>
      <w:r w:rsidRPr="00273106">
        <w:t>, 363). Editor v citované části upozorňuje, že spis může mít vlastní logiku výkladu, byť pro editora neznámou.</w:t>
      </w:r>
    </w:p>
    <w:p w:rsidR="008711B1" w:rsidRDefault="08163013" w:rsidP="002243F5">
      <w:pPr>
        <w:ind w:firstLine="397"/>
      </w:pPr>
      <w:r w:rsidRPr="00273106">
        <w:t xml:space="preserve">Výklad objektivity </w:t>
      </w:r>
      <w:r>
        <w:t xml:space="preserve">Bazánovu </w:t>
      </w:r>
      <w:r w:rsidRPr="00273106">
        <w:t xml:space="preserve">výzvu přijímá a předkládá </w:t>
      </w:r>
      <w:r>
        <w:t xml:space="preserve">celkovou </w:t>
      </w:r>
      <w:r w:rsidRPr="00273106">
        <w:t>argumentaci spisu</w:t>
      </w:r>
      <w:r>
        <w:t xml:space="preserve"> v kontextu sporů mez</w:t>
      </w:r>
      <w:r w:rsidR="00881EB9">
        <w:t>i prvním a druhým averroismem, kter</w:t>
      </w:r>
      <w:r w:rsidR="00070E47">
        <w:t xml:space="preserve">é </w:t>
      </w:r>
      <w:r w:rsidR="00881EB9">
        <w:t xml:space="preserve">umožní </w:t>
      </w:r>
      <w:r w:rsidR="00070E47">
        <w:t xml:space="preserve">přibližnou </w:t>
      </w:r>
      <w:r w:rsidR="00881EB9">
        <w:t>dataci spisu</w:t>
      </w:r>
      <w:r w:rsidRPr="00273106">
        <w:t xml:space="preserve">. Otázka zní, zda myšlenky a styl traktátu tvoří konzistentní celek, a </w:t>
      </w:r>
      <w:r>
        <w:t xml:space="preserve">jak </w:t>
      </w:r>
      <w:r w:rsidRPr="00273106">
        <w:t xml:space="preserve">je celek spisu koncipován. </w:t>
      </w:r>
      <w:r w:rsidR="00646CC8">
        <w:t xml:space="preserve">Je třeba </w:t>
      </w:r>
      <w:r w:rsidRPr="00273106">
        <w:t>analy</w:t>
      </w:r>
      <w:r w:rsidR="00646CC8">
        <w:t>zovat</w:t>
      </w:r>
      <w:r w:rsidRPr="00273106">
        <w:t xml:space="preserve"> použitou logiku argumentace a její formu v hojně použitém dialektickém modelu disputace (</w:t>
      </w:r>
      <w:r w:rsidRPr="00273106">
        <w:rPr>
          <w:i/>
        </w:rPr>
        <w:t>probas</w:t>
      </w:r>
      <w:r w:rsidRPr="00273106">
        <w:t>/</w:t>
      </w:r>
      <w:r w:rsidRPr="00273106">
        <w:rPr>
          <w:i/>
        </w:rPr>
        <w:t>dico</w:t>
      </w:r>
      <w:r w:rsidRPr="00273106">
        <w:t xml:space="preserve">; </w:t>
      </w:r>
      <w:r w:rsidRPr="00273106">
        <w:rPr>
          <w:i/>
        </w:rPr>
        <w:t>dicis</w:t>
      </w:r>
      <w:r w:rsidRPr="00273106">
        <w:t>/</w:t>
      </w:r>
      <w:r w:rsidRPr="00273106">
        <w:rPr>
          <w:i/>
        </w:rPr>
        <w:t>concedo</w:t>
      </w:r>
      <w:r w:rsidRPr="00273106">
        <w:t xml:space="preserve">; </w:t>
      </w:r>
      <w:r w:rsidRPr="00273106">
        <w:rPr>
          <w:i/>
        </w:rPr>
        <w:t>dicis</w:t>
      </w:r>
      <w:r w:rsidRPr="00273106">
        <w:t>/</w:t>
      </w:r>
      <w:r w:rsidRPr="00273106">
        <w:rPr>
          <w:i/>
        </w:rPr>
        <w:t>nego</w:t>
      </w:r>
      <w:r w:rsidRPr="00273106">
        <w:t xml:space="preserve">; </w:t>
      </w:r>
      <w:r w:rsidRPr="00273106">
        <w:rPr>
          <w:i/>
        </w:rPr>
        <w:t>dicis</w:t>
      </w:r>
      <w:r w:rsidRPr="00273106">
        <w:t>/</w:t>
      </w:r>
      <w:r w:rsidRPr="00273106">
        <w:rPr>
          <w:i/>
        </w:rPr>
        <w:t>dico quod falsum est</w:t>
      </w:r>
      <w:r w:rsidRPr="00273106">
        <w:t xml:space="preserve">). </w:t>
      </w:r>
      <w:r w:rsidR="001F4399">
        <w:t>Proto je třeba najít s</w:t>
      </w:r>
      <w:r>
        <w:t xml:space="preserve">mysl disputace </w:t>
      </w:r>
      <w:r w:rsidR="001F4399">
        <w:t>tím, že se najde identita obou diskutujích</w:t>
      </w:r>
      <w:r>
        <w:t xml:space="preserve"> a </w:t>
      </w:r>
      <w:r w:rsidR="001F4399">
        <w:t xml:space="preserve">že se přesně určí </w:t>
      </w:r>
      <w:r>
        <w:t xml:space="preserve">předmět jejich sporu. </w:t>
      </w:r>
      <w:r w:rsidRPr="00273106">
        <w:t>Rámec quodlibetální disputace vysvět</w:t>
      </w:r>
      <w:r>
        <w:t xml:space="preserve">luje </w:t>
      </w:r>
      <w:r w:rsidRPr="00273106">
        <w:t xml:space="preserve">ve spojení se studentským </w:t>
      </w:r>
      <w:r w:rsidRPr="00273106">
        <w:rPr>
          <w:i/>
        </w:rPr>
        <w:t>reportatio</w:t>
      </w:r>
      <w:r w:rsidRPr="00273106">
        <w:t xml:space="preserve"> některé nedokonalosti, které podle editora svědčí o původně ústním podání (</w:t>
      </w:r>
      <w:r w:rsidR="083607B9" w:rsidRPr="081942A4">
        <w:rPr>
          <w:szCs w:val="24"/>
        </w:rPr>
        <w:t>Bazán</w:t>
      </w:r>
      <w:r w:rsidRPr="00273106">
        <w:t>, p. 363). Je třeba najít věcné důvody, které autora vedly k danému stylu výkladu, popřípadě paralely této formy diskurzu z dané doby.</w:t>
      </w:r>
      <w:r w:rsidRPr="00273106">
        <w:rPr>
          <w:rStyle w:val="Znakapoznpodarou"/>
        </w:rPr>
        <w:footnoteReference w:id="162"/>
      </w:r>
      <w:r w:rsidRPr="00273106">
        <w:t xml:space="preserve"> Dále musí výklad určit, zda tento spis patří ke škole prvního nebo druhého averroismu, popř. k</w:t>
      </w:r>
      <w:r w:rsidR="00D87815">
        <w:t xml:space="preserve"> </w:t>
      </w:r>
      <w:r w:rsidRPr="00273106">
        <w:t>semiaverroisti</w:t>
      </w:r>
      <w:r>
        <w:t>cké</w:t>
      </w:r>
      <w:r w:rsidRPr="00273106">
        <w:t xml:space="preserve"> pozici</w:t>
      </w:r>
      <w:r>
        <w:t xml:space="preserve"> reprezentované výše rozebraným Oxfordským manuskriptem. Dále je třeba zjistit, na </w:t>
      </w:r>
      <w:r w:rsidRPr="00273106">
        <w:t xml:space="preserve">jaké </w:t>
      </w:r>
      <w:r>
        <w:t xml:space="preserve">odborné </w:t>
      </w:r>
      <w:r w:rsidRPr="00273106">
        <w:t xml:space="preserve">úrovni argumentace </w:t>
      </w:r>
      <w:r>
        <w:t xml:space="preserve">Bazánův anonym danou </w:t>
      </w:r>
      <w:r w:rsidRPr="00273106">
        <w:t xml:space="preserve">školu reprezentuje. Vzhledem ke specifickým tématům pojednávaným v traktátu lze říci, že jeho autor působil na Pařížské univerzitě v editorem uvedeném datu vzniku traktátu, tj. po roce 1270. </w:t>
      </w:r>
      <w:r>
        <w:t>Z</w:t>
      </w:r>
      <w:r w:rsidRPr="00273106">
        <w:t>ařa</w:t>
      </w:r>
      <w:r>
        <w:t xml:space="preserve">zením </w:t>
      </w:r>
      <w:r w:rsidRPr="00273106">
        <w:t>traktát</w:t>
      </w:r>
      <w:r>
        <w:t>u</w:t>
      </w:r>
      <w:r w:rsidRPr="00273106">
        <w:t xml:space="preserve"> </w:t>
      </w:r>
      <w:r w:rsidRPr="00273106">
        <w:lastRenderedPageBreak/>
        <w:t>do celku debat mezi prvním a druhým averroismem</w:t>
      </w:r>
      <w:r>
        <w:t xml:space="preserve"> lze </w:t>
      </w:r>
      <w:r w:rsidRPr="00273106">
        <w:t>rozhodnout, zda je výtvorem mladého artisty, nebo patří do osobního stylu a výrazů myšlenkově vyzrálého magistra.</w:t>
      </w:r>
      <w:r>
        <w:t xml:space="preserve"> </w:t>
      </w:r>
      <w:r w:rsidRPr="00273106">
        <w:t xml:space="preserve">Argumentace traktátu jednoznačně směřuje proti druhému averroismu, ale autor vykazuje několik </w:t>
      </w:r>
      <w:r>
        <w:t xml:space="preserve">zajímavých </w:t>
      </w:r>
      <w:r w:rsidRPr="00273106">
        <w:t xml:space="preserve">odchylek od linie </w:t>
      </w:r>
      <w:r>
        <w:t xml:space="preserve">prvního averroismu a semiaverroismu </w:t>
      </w:r>
      <w:r w:rsidRPr="00273106">
        <w:t xml:space="preserve">reprezentované </w:t>
      </w:r>
      <w:r>
        <w:t xml:space="preserve">třemi analyzovanými anonymními </w:t>
      </w:r>
      <w:r w:rsidRPr="00273106">
        <w:t>spisy</w:t>
      </w:r>
      <w:r>
        <w:t xml:space="preserve"> (Anonym Giele, Oxfordský a Mnichovský manuskript)</w:t>
      </w:r>
      <w:r w:rsidRPr="00273106">
        <w:t xml:space="preserve">. </w:t>
      </w:r>
      <w:r>
        <w:t xml:space="preserve">Anonymův výklad </w:t>
      </w:r>
      <w:r w:rsidRPr="005264E2">
        <w:rPr>
          <w:i/>
        </w:rPr>
        <w:t>De anima</w:t>
      </w:r>
      <w:r>
        <w:t xml:space="preserve"> je zásadně inspirovaný aristotelismem Tomáše Akvinského. Vztah intelektuální duše a t</w:t>
      </w:r>
      <w:r w:rsidRPr="00273106">
        <w:t>ěla je řešen se znalostí Sigerova postu</w:t>
      </w:r>
      <w:r>
        <w:t xml:space="preserve">pu daného v termínu </w:t>
      </w:r>
      <w:r w:rsidR="00C264EC">
        <w:t>„</w:t>
      </w:r>
      <w:r w:rsidRPr="00273106">
        <w:rPr>
          <w:i/>
        </w:rPr>
        <w:t>subiective</w:t>
      </w:r>
      <w:r w:rsidRPr="00273106">
        <w:t>‒</w:t>
      </w:r>
      <w:r w:rsidRPr="00273106">
        <w:rPr>
          <w:i/>
        </w:rPr>
        <w:t>obiectiv</w:t>
      </w:r>
      <w:r>
        <w:rPr>
          <w:i/>
        </w:rPr>
        <w:t>e</w:t>
      </w:r>
      <w:r w:rsidR="00C264EC">
        <w:t>“</w:t>
      </w:r>
      <w:r>
        <w:rPr>
          <w:i/>
        </w:rPr>
        <w:fldChar w:fldCharType="begin"/>
      </w:r>
      <w:r>
        <w:instrText xml:space="preserve"> XE "</w:instrText>
      </w:r>
      <w:r w:rsidRPr="006841AD">
        <w:instrText>intelekt:</w:instrText>
      </w:r>
      <w:r w:rsidRPr="00863D73">
        <w:rPr>
          <w:i/>
        </w:rPr>
        <w:instrText>subiective</w:instrText>
      </w:r>
      <w:r w:rsidRPr="006841AD">
        <w:instrText>/</w:instrText>
      </w:r>
      <w:r w:rsidRPr="00863D73">
        <w:rPr>
          <w:i/>
        </w:rPr>
        <w:instrText>obiective</w:instrText>
      </w:r>
      <w:r>
        <w:instrText xml:space="preserve">" </w:instrText>
      </w:r>
      <w:r>
        <w:rPr>
          <w:i/>
        </w:rPr>
        <w:fldChar w:fldCharType="end"/>
      </w:r>
      <w:r w:rsidRPr="00273106">
        <w:t>.</w:t>
      </w:r>
      <w:r>
        <w:rPr>
          <w:rStyle w:val="Znakapoznpodarou"/>
        </w:rPr>
        <w:footnoteReference w:id="163"/>
      </w:r>
      <w:r w:rsidRPr="00273106">
        <w:t xml:space="preserve"> </w:t>
      </w:r>
      <w:r>
        <w:t xml:space="preserve">Tento postup </w:t>
      </w:r>
      <w:r w:rsidRPr="00273106">
        <w:t xml:space="preserve">je použit </w:t>
      </w:r>
      <w:r>
        <w:t>se znalostí Sigerova fenomenologického přístupu k výkonu poznání, který tento magistr prezentoval v Mnichovském rukopisu a v</w:t>
      </w:r>
      <w:r w:rsidR="004B3D2F">
        <w:t> </w:t>
      </w:r>
      <w:r>
        <w:t>QIIIDA</w:t>
      </w:r>
      <w:r w:rsidR="004B3D2F">
        <w:t xml:space="preserve"> a také jej používal Boethius z Dácie ve spise </w:t>
      </w:r>
      <w:r w:rsidR="004B3D2F" w:rsidRPr="00A622E1">
        <w:rPr>
          <w:i/>
        </w:rPr>
        <w:t>Anonymus Giele</w:t>
      </w:r>
      <w:r>
        <w:t xml:space="preserve">. Spis v duchu Sigerovy školy kombinované s Akvinského </w:t>
      </w:r>
      <w:proofErr w:type="gramStart"/>
      <w:r>
        <w:t>aristotelismem</w:t>
      </w:r>
      <w:proofErr w:type="gramEnd"/>
      <w:r>
        <w:t xml:space="preserve"> p</w:t>
      </w:r>
      <w:r w:rsidRPr="00273106">
        <w:t xml:space="preserve">řesně rozlišuje mezi výkonem intelektu definovaného výslovně jako potence a mezi jeho inteligibilním </w:t>
      </w:r>
      <w:r w:rsidRPr="00273106">
        <w:rPr>
          <w:i/>
        </w:rPr>
        <w:t>obiectum</w:t>
      </w:r>
      <w:r w:rsidRPr="00273106">
        <w:t xml:space="preserve"> (</w:t>
      </w:r>
      <w:r w:rsidR="083607B9" w:rsidRPr="081942A4">
        <w:rPr>
          <w:szCs w:val="24"/>
        </w:rPr>
        <w:t>Bazán</w:t>
      </w:r>
      <w:r w:rsidRPr="00273106">
        <w:t xml:space="preserve">, p. 398.45‒49). </w:t>
      </w:r>
      <w:r w:rsidR="00045E06">
        <w:t>Tento vztah in</w:t>
      </w:r>
      <w:r>
        <w:t xml:space="preserve">telektu a těla na úrovni objektu má ve stejném významu Aegidius Romanus </w:t>
      </w:r>
      <w:r w:rsidRPr="00273106">
        <w:t>v</w:t>
      </w:r>
      <w:r>
        <w:t>e spise</w:t>
      </w:r>
      <w:r w:rsidRPr="00273106">
        <w:t xml:space="preserve"> </w:t>
      </w:r>
      <w:r w:rsidR="007A5A55">
        <w:rPr>
          <w:i/>
        </w:rPr>
        <w:t>De plurificatione possibilis intellectus</w:t>
      </w:r>
      <w:r w:rsidR="00045E06">
        <w:t>.</w:t>
      </w:r>
      <w:r w:rsidR="00045E06" w:rsidRPr="00273106">
        <w:rPr>
          <w:rStyle w:val="Znakapoznpodarou"/>
        </w:rPr>
        <w:footnoteReference w:id="164"/>
      </w:r>
      <w:r>
        <w:t xml:space="preserve"> </w:t>
      </w:r>
      <w:r w:rsidR="00045E06">
        <w:t xml:space="preserve">Aegidius </w:t>
      </w:r>
      <w:r>
        <w:t xml:space="preserve">převzal </w:t>
      </w:r>
      <w:r w:rsidR="00045E06">
        <w:t xml:space="preserve">tuto formulaci </w:t>
      </w:r>
      <w:r>
        <w:t xml:space="preserve">od Sigera a modifikoval </w:t>
      </w:r>
      <w:r w:rsidR="00045E06">
        <w:t xml:space="preserve">ji </w:t>
      </w:r>
      <w:r>
        <w:t>do modernistické podoby</w:t>
      </w:r>
      <w:r w:rsidRPr="00273106">
        <w:t xml:space="preserve">. </w:t>
      </w:r>
      <w:r w:rsidR="00F8400A">
        <w:t>P</w:t>
      </w:r>
      <w:r w:rsidRPr="00273106">
        <w:t xml:space="preserve">ostup poznání </w:t>
      </w:r>
      <w:r w:rsidR="00F8400A">
        <w:t xml:space="preserve">v traktátu </w:t>
      </w:r>
      <w:r w:rsidR="0014183D">
        <w:t xml:space="preserve">jde </w:t>
      </w:r>
      <w:r w:rsidRPr="00273106">
        <w:t xml:space="preserve">v modu </w:t>
      </w:r>
      <w:r w:rsidRPr="00273106">
        <w:rPr>
          <w:i/>
        </w:rPr>
        <w:t>per posterius</w:t>
      </w:r>
      <w:r w:rsidR="00F8400A">
        <w:fldChar w:fldCharType="begin"/>
      </w:r>
      <w:r w:rsidR="00F8400A">
        <w:instrText xml:space="preserve"> XE "</w:instrText>
      </w:r>
      <w:r w:rsidR="00F8400A" w:rsidRPr="00702077">
        <w:instrText xml:space="preserve">hermeneutické </w:instrText>
      </w:r>
      <w:r w:rsidR="00F8400A" w:rsidRPr="001A3765">
        <w:rPr>
          <w:i/>
        </w:rPr>
        <w:instrText>Wie</w:instrText>
      </w:r>
      <w:r w:rsidR="00F8400A" w:rsidRPr="00702077">
        <w:instrText>:Siger</w:instrText>
      </w:r>
      <w:r w:rsidR="00F8400A">
        <w:instrText xml:space="preserve">" </w:instrText>
      </w:r>
      <w:r w:rsidR="00F8400A">
        <w:fldChar w:fldCharType="end"/>
      </w:r>
      <w:r w:rsidR="009476C5">
        <w:t xml:space="preserve"> a sleduje f</w:t>
      </w:r>
      <w:r w:rsidR="00F8400A">
        <w:t>enomenologick</w:t>
      </w:r>
      <w:r w:rsidR="009476C5">
        <w:t xml:space="preserve">ý </w:t>
      </w:r>
      <w:r w:rsidR="00F8400A">
        <w:t>přístup Sigera podan</w:t>
      </w:r>
      <w:r w:rsidR="009476C5">
        <w:t xml:space="preserve">ý </w:t>
      </w:r>
      <w:r w:rsidR="00F8400A">
        <w:t xml:space="preserve">v QIIIDA (kap. 4.4.1). Výkon </w:t>
      </w:r>
      <w:r>
        <w:t>výkon poznání (</w:t>
      </w:r>
      <w:r w:rsidRPr="00273106">
        <w:rPr>
          <w:i/>
        </w:rPr>
        <w:t>operatio</w:t>
      </w:r>
      <w:r>
        <w:t>)</w:t>
      </w:r>
      <w:r w:rsidRPr="00273106">
        <w:t xml:space="preserve"> </w:t>
      </w:r>
      <w:r w:rsidR="00F8400A">
        <w:t>je založen na zkušenosti dané kauzalitou poznávacího aktu v</w:t>
      </w:r>
      <w:r w:rsidR="003C1551">
        <w:t> </w:t>
      </w:r>
      <w:r w:rsidR="00F8400A">
        <w:t>těle</w:t>
      </w:r>
      <w:r w:rsidR="003C1551">
        <w:t xml:space="preserve">. Tento základ </w:t>
      </w:r>
      <w:r w:rsidR="00F8400A">
        <w:t xml:space="preserve">teprve </w:t>
      </w:r>
      <w:r w:rsidR="003C1551">
        <w:t xml:space="preserve">umožňuje </w:t>
      </w:r>
      <w:r w:rsidR="00F8400A">
        <w:t xml:space="preserve">reflexi o </w:t>
      </w:r>
      <w:r w:rsidRPr="00273106">
        <w:t xml:space="preserve">podstatě </w:t>
      </w:r>
      <w:r w:rsidR="00F8400A">
        <w:t>duše.</w:t>
      </w:r>
      <w:r w:rsidR="00F8400A" w:rsidRPr="00273106">
        <w:rPr>
          <w:rStyle w:val="Znakapoznpodarou"/>
        </w:rPr>
        <w:footnoteReference w:id="165"/>
      </w:r>
      <w:r w:rsidR="00F8400A">
        <w:t xml:space="preserve"> </w:t>
      </w:r>
      <w:r>
        <w:t>Anonym výslovně zdůrazňuje, že tento postup je snadno proveditelný a na adresu protivníků poznamenává, že naprosto v souladu se zaměřením Aristotela. Anonymní semiaverroista ale nemá stejné pojetí poznání jako Siger, protože protože poznání je definováno v</w:t>
      </w:r>
      <w:r w:rsidR="000A68E2">
        <w:t xml:space="preserve"> aristotelském </w:t>
      </w:r>
      <w:r>
        <w:t xml:space="preserve">scénáři upraveném podle tomismu. </w:t>
      </w:r>
      <w:r w:rsidRPr="00273106">
        <w:t xml:space="preserve">Autor obrácený na </w:t>
      </w:r>
      <w:r>
        <w:t>tomisticko-</w:t>
      </w:r>
      <w:r w:rsidRPr="00273106">
        <w:t xml:space="preserve">aristotelskou pozici se jednoznačně staví za tezi prvního </w:t>
      </w:r>
      <w:r w:rsidRPr="00273106">
        <w:lastRenderedPageBreak/>
        <w:t>averroismu o nasvícení intelektu ze smyslů (</w:t>
      </w:r>
      <w:r w:rsidRPr="00273106">
        <w:rPr>
          <w:i/>
        </w:rPr>
        <w:t>omnis cognitio nostra est ex sensatis et imaginatis</w:t>
      </w:r>
      <w:r w:rsidRPr="00273106">
        <w:t xml:space="preserve">; </w:t>
      </w:r>
      <w:r>
        <w:rPr>
          <w:i/>
        </w:rPr>
        <w:t>Quaestiones</w:t>
      </w:r>
      <w:r>
        <w:t xml:space="preserve"> 1</w:t>
      </w:r>
      <w:r w:rsidRPr="00273106">
        <w:t>.5, p. 397.40</w:t>
      </w:r>
      <w:r>
        <w:fldChar w:fldCharType="begin"/>
      </w:r>
      <w:r>
        <w:instrText xml:space="preserve"> XE "</w:instrText>
      </w:r>
      <w:r w:rsidRPr="00076C06">
        <w:rPr>
          <w:i/>
        </w:rPr>
        <w:instrText>Anonym Bazán</w:instrText>
      </w:r>
      <w:r>
        <w:instrText xml:space="preserve"> </w:instrText>
      </w:r>
      <w:r w:rsidRPr="00DC4FFF">
        <w:instrText>397.40</w:instrText>
      </w:r>
      <w:r>
        <w:instrText xml:space="preserve">" </w:instrText>
      </w:r>
      <w:r>
        <w:fldChar w:fldCharType="end"/>
      </w:r>
      <w:r w:rsidRPr="00273106">
        <w:t xml:space="preserve">). </w:t>
      </w:r>
      <w:r>
        <w:t xml:space="preserve">Anonym drží Aristotelovu a Averroesovu pozici ohledně substanciální jednoty osoby a </w:t>
      </w:r>
      <w:r>
        <w:fldChar w:fldCharType="begin"/>
      </w:r>
      <w:r>
        <w:instrText xml:space="preserve"> XE "</w:instrText>
      </w:r>
      <w:r w:rsidRPr="00A40509">
        <w:instrText>osoba:hylemorfická jednota</w:instrText>
      </w:r>
      <w:r>
        <w:instrText xml:space="preserve">" </w:instrText>
      </w:r>
      <w:r>
        <w:fldChar w:fldCharType="end"/>
      </w:r>
      <w:r>
        <w:t xml:space="preserve">připomíná modernistům, že hlavním tématem </w:t>
      </w:r>
      <w:r w:rsidRPr="0040258D">
        <w:rPr>
          <w:i/>
        </w:rPr>
        <w:t>De anima</w:t>
      </w:r>
      <w:r>
        <w:t xml:space="preserve"> je jednota celé osoby. Tato perspektiva četby </w:t>
      </w:r>
      <w:r w:rsidRPr="00BA21EE">
        <w:rPr>
          <w:i/>
        </w:rPr>
        <w:t>De anima</w:t>
      </w:r>
      <w:r>
        <w:t xml:space="preserve"> podle prvního averroismu se zdůrazňuje v textu několikrát.</w:t>
      </w:r>
      <w:r>
        <w:rPr>
          <w:rStyle w:val="Znakapoznpodarou"/>
        </w:rPr>
        <w:footnoteReference w:id="166"/>
      </w:r>
      <w:r>
        <w:t xml:space="preserve"> Autor </w:t>
      </w:r>
      <w:r w:rsidRPr="00273106">
        <w:t>odmítá tezi</w:t>
      </w:r>
      <w:r>
        <w:t xml:space="preserve"> modernistickou tezi podle Davida z Dinantu</w:t>
      </w:r>
      <w:r w:rsidRPr="00273106">
        <w:t xml:space="preserve">, že by receptivní potence duše byla </w:t>
      </w:r>
      <w:r w:rsidRPr="00273106">
        <w:rPr>
          <w:i/>
        </w:rPr>
        <w:t>materia prima</w:t>
      </w:r>
      <w:r>
        <w:rPr>
          <w:i/>
        </w:rPr>
        <w:fldChar w:fldCharType="begin"/>
      </w:r>
      <w:r>
        <w:instrText xml:space="preserve"> XE "</w:instrText>
      </w:r>
      <w:r w:rsidRPr="08D704BF">
        <w:instrText>materie</w:instrText>
      </w:r>
      <w:r>
        <w:rPr>
          <w:i/>
        </w:rPr>
        <w:instrText xml:space="preserve">:materia </w:instrText>
      </w:r>
      <w:r w:rsidRPr="006D194D">
        <w:rPr>
          <w:i/>
        </w:rPr>
        <w:instrText>prima</w:instrText>
      </w:r>
      <w:r>
        <w:instrText xml:space="preserve">" </w:instrText>
      </w:r>
      <w:r>
        <w:rPr>
          <w:i/>
        </w:rPr>
        <w:fldChar w:fldCharType="end"/>
      </w:r>
      <w:r w:rsidRPr="00273106">
        <w:t xml:space="preserve"> podle </w:t>
      </w:r>
      <w:r>
        <w:t>Averroes</w:t>
      </w:r>
      <w:r w:rsidRPr="00273106">
        <w:t xml:space="preserve">ova spisu </w:t>
      </w:r>
      <w:r w:rsidRPr="00273106">
        <w:rPr>
          <w:i/>
        </w:rPr>
        <w:t>De substantia orbis</w:t>
      </w:r>
      <w:r w:rsidRPr="00273106">
        <w:t xml:space="preserve"> (</w:t>
      </w:r>
      <w:r>
        <w:rPr>
          <w:i/>
        </w:rPr>
        <w:t>Quaestiones</w:t>
      </w:r>
      <w:r>
        <w:t xml:space="preserve"> 2</w:t>
      </w:r>
      <w:r w:rsidRPr="00273106">
        <w:t>.3, p. 407.50‒54</w:t>
      </w:r>
      <w:r>
        <w:fldChar w:fldCharType="begin"/>
      </w:r>
      <w:r>
        <w:instrText xml:space="preserve"> XE "</w:instrText>
      </w:r>
      <w:r w:rsidRPr="00076C06">
        <w:rPr>
          <w:i/>
        </w:rPr>
        <w:instrText>Anonym Bazán</w:instrText>
      </w:r>
      <w:r>
        <w:instrText xml:space="preserve"> </w:instrText>
      </w:r>
      <w:r w:rsidRPr="00273106">
        <w:instrText>407.50‒54</w:instrText>
      </w:r>
      <w:r>
        <w:instrText xml:space="preserve">" </w:instrText>
      </w:r>
      <w:r>
        <w:fldChar w:fldCharType="end"/>
      </w:r>
      <w:r w:rsidRPr="00273106">
        <w:t>). Klíčové je rozlišení mezi podstatou duše a jejími potencemi, které umožní řešení jednoty duše a těla pod</w:t>
      </w:r>
      <w:r>
        <w:t>le prvního averroismu</w:t>
      </w:r>
      <w:r w:rsidRPr="00273106">
        <w:t xml:space="preserve">. </w:t>
      </w:r>
      <w:r>
        <w:t xml:space="preserve">Autor je inspirovaný výše uvedeným </w:t>
      </w:r>
      <w:r w:rsidRPr="00273106">
        <w:t>Siger</w:t>
      </w:r>
      <w:r>
        <w:t xml:space="preserve">ovým komentářem </w:t>
      </w:r>
      <w:r w:rsidRPr="08821C00">
        <w:t>QIIIDA</w:t>
      </w:r>
      <w:r>
        <w:rPr>
          <w:i/>
        </w:rPr>
        <w:t xml:space="preserve"> </w:t>
      </w:r>
      <w:r>
        <w:t>odmítajím intelekt a duši jako numericky určenou substanci. Spis o</w:t>
      </w:r>
      <w:r w:rsidRPr="00273106">
        <w:t xml:space="preserve">dmítne při emanaci pohyb intelektu jako </w:t>
      </w:r>
      <w:r w:rsidRPr="00273106">
        <w:rPr>
          <w:i/>
        </w:rPr>
        <w:t>transmutatio</w:t>
      </w:r>
      <w:r w:rsidRPr="00273106">
        <w:t>, což by předpokládalo substanční pojetí duše a intelektu</w:t>
      </w:r>
      <w:r>
        <w:t>. Proto také jasně potvrdil scénář nasvícení poznání zepředu, od smyslové zkušenosti, která určuje schopnosti duše.</w:t>
      </w:r>
      <w:r>
        <w:rPr>
          <w:rStyle w:val="Znakapoznpodarou"/>
        </w:rPr>
        <w:footnoteReference w:id="167"/>
      </w:r>
      <w:r w:rsidRPr="00273106">
        <w:t xml:space="preserve"> Tím autor potvrdil klasické schéma prvního averroismu: osoba</w:t>
      </w:r>
      <w:r>
        <w:t xml:space="preserve"> je dána</w:t>
      </w:r>
      <w:r w:rsidRPr="00273106">
        <w:t xml:space="preserve"> jako hylemorfická první substance</w:t>
      </w:r>
      <w:r>
        <w:fldChar w:fldCharType="begin"/>
      </w:r>
      <w:r>
        <w:instrText xml:space="preserve"> XE "osoba:hylemorfická </w:instrText>
      </w:r>
      <w:r w:rsidRPr="00DE2A32">
        <w:instrText>substance</w:instrText>
      </w:r>
      <w:r>
        <w:instrText xml:space="preserve">" </w:instrText>
      </w:r>
      <w:r>
        <w:fldChar w:fldCharType="end"/>
      </w:r>
      <w:r>
        <w:t>, duše jako forma těla. I</w:t>
      </w:r>
      <w:r w:rsidRPr="00273106">
        <w:t>ntelekt jako nemateriální potence duše</w:t>
      </w:r>
      <w:r>
        <w:t xml:space="preserve"> vychází ze smyslů, ale neprochází substančními změnami</w:t>
      </w:r>
      <w:r w:rsidRPr="00273106">
        <w:t xml:space="preserve">. Sigerem </w:t>
      </w:r>
      <w:r>
        <w:t xml:space="preserve">a Tomášem </w:t>
      </w:r>
      <w:r w:rsidRPr="00273106">
        <w:t xml:space="preserve">traktovaný rozdíl mezi </w:t>
      </w:r>
      <w:r w:rsidRPr="00273106">
        <w:rPr>
          <w:i/>
        </w:rPr>
        <w:t>operatio</w:t>
      </w:r>
      <w:r w:rsidRPr="00273106">
        <w:t xml:space="preserve"> jakékoliv potence duše a jejím produktem (</w:t>
      </w:r>
      <w:r w:rsidRPr="00273106">
        <w:rPr>
          <w:i/>
        </w:rPr>
        <w:t>obiectum</w:t>
      </w:r>
      <w:r w:rsidRPr="00273106">
        <w:t>) umožnil anonymnímu autorovi vyřešit problém jednoty vegetativní, animální a intelektuální složky duše</w:t>
      </w:r>
      <w:r>
        <w:t xml:space="preserve"> v rámci rozdílu </w:t>
      </w:r>
      <w:r w:rsidR="003C42E6">
        <w:t>„</w:t>
      </w:r>
      <w:r w:rsidRPr="00273106">
        <w:rPr>
          <w:i/>
        </w:rPr>
        <w:t>materialiter</w:t>
      </w:r>
      <w:r w:rsidRPr="00273106">
        <w:t>‒</w:t>
      </w:r>
      <w:r w:rsidRPr="00273106">
        <w:rPr>
          <w:i/>
        </w:rPr>
        <w:t>formaliter</w:t>
      </w:r>
      <w:r w:rsidR="003C42E6">
        <w:t>“</w:t>
      </w:r>
      <w:r w:rsidRPr="00273106">
        <w:t xml:space="preserve"> (</w:t>
      </w:r>
      <w:r>
        <w:rPr>
          <w:i/>
        </w:rPr>
        <w:t>Quaestiones</w:t>
      </w:r>
      <w:r>
        <w:t xml:space="preserve"> 2</w:t>
      </w:r>
      <w:r w:rsidRPr="00273106">
        <w:t>.8, p. 415.43‒50</w:t>
      </w:r>
      <w:r>
        <w:fldChar w:fldCharType="begin"/>
      </w:r>
      <w:r>
        <w:instrText xml:space="preserve"> XE "Anonym Bazán </w:instrText>
      </w:r>
      <w:proofErr w:type="gramStart"/>
      <w:r>
        <w:instrText xml:space="preserve">415.43‒50" </w:instrText>
      </w:r>
      <w:r>
        <w:fldChar w:fldCharType="end"/>
      </w:r>
      <w:r w:rsidRPr="00273106">
        <w:t>).  Přijímaná</w:t>
      </w:r>
      <w:proofErr w:type="gramEnd"/>
      <w:r w:rsidRPr="00273106">
        <w:t xml:space="preserve"> potrava či produkovaná myšlenka jsou jedním objektem různých schopností duše a těla. Objekty různých činností v sobě zahrnují potence duše hierarchizované v rámci jedné hyleformické substance a tím i jednoho </w:t>
      </w:r>
      <w:r w:rsidRPr="00273106">
        <w:rPr>
          <w:i/>
        </w:rPr>
        <w:t>actus essendi</w:t>
      </w:r>
      <w:r>
        <w:rPr>
          <w:i/>
        </w:rPr>
        <w:fldChar w:fldCharType="begin"/>
      </w:r>
      <w:r>
        <w:instrText xml:space="preserve"> XE "</w:instrText>
      </w:r>
      <w:r w:rsidRPr="006D3950">
        <w:rPr>
          <w:i/>
        </w:rPr>
        <w:instrText>actus essendi</w:instrText>
      </w:r>
      <w:r>
        <w:instrText xml:space="preserve">" </w:instrText>
      </w:r>
      <w:r>
        <w:rPr>
          <w:i/>
        </w:rPr>
        <w:fldChar w:fldCharType="end"/>
      </w:r>
      <w:r w:rsidRPr="00273106">
        <w:t>. Duše obsahuje různé schopnosti, podobně jako čtyřúhelník obsahuje trojúhelník. Tímto známým příkladem z aristotelského korpusu byly schopnosti duše odmítnuty jako substance a byly začleněny do jednoho výkonu existence.</w:t>
      </w:r>
    </w:p>
    <w:p w:rsidR="000556CD" w:rsidRDefault="08163013" w:rsidP="002243F5">
      <w:pPr>
        <w:ind w:firstLine="397"/>
      </w:pPr>
      <w:r w:rsidRPr="00273106">
        <w:lastRenderedPageBreak/>
        <w:t>Zásadní odmítnutí druhého averroismu je</w:t>
      </w:r>
      <w:r>
        <w:t xml:space="preserve"> dáno v pasážích kritizujících univerzální hylemorfismu</w:t>
      </w:r>
      <w:r w:rsidR="00D40E71">
        <w:t>s</w:t>
      </w:r>
      <w:r>
        <w:fldChar w:fldCharType="begin"/>
      </w:r>
      <w:r>
        <w:instrText xml:space="preserve"> XE "</w:instrText>
      </w:r>
      <w:r w:rsidRPr="00423560">
        <w:instrText>univerzální hylemorfismus</w:instrText>
      </w:r>
      <w:r>
        <w:instrText xml:space="preserve">" </w:instrText>
      </w:r>
      <w:r>
        <w:fldChar w:fldCharType="end"/>
      </w:r>
      <w:r w:rsidRPr="00273106">
        <w:t xml:space="preserve">. Forma a látka tvoří výslednou jednotu první substance. Autor s odvoláním na Avicennu </w:t>
      </w:r>
      <w:r>
        <w:t>potvrzuje jednotu esence, ale přitom tvrdí ve shodě s prvním averroismem, že první substance je dána složením formy a látky</w:t>
      </w:r>
      <w:r w:rsidRPr="00273106">
        <w:t>.</w:t>
      </w:r>
      <w:r w:rsidRPr="00273106">
        <w:rPr>
          <w:rStyle w:val="Znakapoznpodarou"/>
        </w:rPr>
        <w:footnoteReference w:id="168"/>
      </w:r>
      <w:r w:rsidRPr="00273106">
        <w:t xml:space="preserve"> </w:t>
      </w:r>
      <w:r>
        <w:t xml:space="preserve">Příklon v Avicennovi je dán v linii aristotelského výkladu </w:t>
      </w:r>
      <w:r w:rsidRPr="005A4D13">
        <w:rPr>
          <w:i/>
        </w:rPr>
        <w:t>De anima</w:t>
      </w:r>
      <w:r>
        <w:t xml:space="preserve">, z něhož je vyloučen Averroes, což byla pozice Akvinského. Anonym </w:t>
      </w:r>
      <w:r w:rsidRPr="00273106">
        <w:t xml:space="preserve">sleduje Aristotelovo učení o první substanci dané </w:t>
      </w:r>
      <w:r>
        <w:t xml:space="preserve">aktuálně a </w:t>
      </w:r>
      <w:r w:rsidRPr="00273106">
        <w:rPr>
          <w:i/>
        </w:rPr>
        <w:t>simpliciter</w:t>
      </w:r>
      <w:r w:rsidRPr="00273106">
        <w:t xml:space="preserve">. O materii lze mluvit v esenciálním smyslu pouze v rámci </w:t>
      </w:r>
      <w:r w:rsidRPr="00273106">
        <w:rPr>
          <w:i/>
        </w:rPr>
        <w:t>incompletum</w:t>
      </w:r>
      <w:r w:rsidRPr="00273106">
        <w:t>, protože jde o abstrakci mimo reálnou existenci první substance</w:t>
      </w:r>
      <w:r>
        <w:t xml:space="preserve"> (</w:t>
      </w:r>
      <w:r w:rsidRPr="00273106">
        <w:rPr>
          <w:i/>
        </w:rPr>
        <w:t>duplex est esse, scil</w:t>
      </w:r>
      <w:r>
        <w:rPr>
          <w:i/>
        </w:rPr>
        <w:t>ic</w:t>
      </w:r>
      <w:r w:rsidRPr="00273106">
        <w:rPr>
          <w:i/>
        </w:rPr>
        <w:t>et esse actuale et esse essentiale</w:t>
      </w:r>
      <w:r>
        <w:t xml:space="preserve">; </w:t>
      </w:r>
      <w:r w:rsidRPr="00273106">
        <w:rPr>
          <w:i/>
        </w:rPr>
        <w:t>Q</w:t>
      </w:r>
      <w:r>
        <w:rPr>
          <w:i/>
        </w:rPr>
        <w:t>.</w:t>
      </w:r>
      <w:r w:rsidRPr="00273106">
        <w:rPr>
          <w:i/>
        </w:rPr>
        <w:t xml:space="preserve"> </w:t>
      </w:r>
      <w:r>
        <w:t>2.</w:t>
      </w:r>
      <w:r w:rsidRPr="00273106">
        <w:t>10, p. 419.43‒44). Materie je vyloučena z intelektu (</w:t>
      </w:r>
      <w:r w:rsidRPr="00273106">
        <w:rPr>
          <w:i/>
        </w:rPr>
        <w:t>dicis quod anima est materia, nego</w:t>
      </w:r>
      <w:r w:rsidRPr="00273106">
        <w:t xml:space="preserve">; </w:t>
      </w:r>
      <w:r w:rsidRPr="00273106">
        <w:rPr>
          <w:i/>
        </w:rPr>
        <w:t>Q</w:t>
      </w:r>
      <w:r>
        <w:rPr>
          <w:i/>
        </w:rPr>
        <w:t>.</w:t>
      </w:r>
      <w:r w:rsidRPr="00273106">
        <w:rPr>
          <w:i/>
        </w:rPr>
        <w:t xml:space="preserve"> </w:t>
      </w:r>
      <w:r>
        <w:t xml:space="preserve">2.13, </w:t>
      </w:r>
      <w:r w:rsidRPr="00273106">
        <w:t>p. 424.33</w:t>
      </w:r>
      <w:r>
        <w:fldChar w:fldCharType="begin"/>
      </w:r>
      <w:r>
        <w:instrText xml:space="preserve"> XE "</w:instrText>
      </w:r>
      <w:r w:rsidRPr="00AB4A1A">
        <w:rPr>
          <w:i/>
          <w:u w:val="single"/>
        </w:rPr>
        <w:instrText>Anonym Bazán</w:instrText>
      </w:r>
      <w:r>
        <w:instrText xml:space="preserve"> 424.33" </w:instrText>
      </w:r>
      <w:r>
        <w:fldChar w:fldCharType="end"/>
      </w:r>
      <w:r w:rsidRPr="00273106">
        <w:t>).</w:t>
      </w:r>
      <w:r>
        <w:t xml:space="preserve"> </w:t>
      </w:r>
      <w:r w:rsidRPr="00273106">
        <w:t xml:space="preserve">Receptivní složka duše není </w:t>
      </w:r>
      <w:r w:rsidRPr="00273106">
        <w:rPr>
          <w:i/>
        </w:rPr>
        <w:t>materia spiritualis</w:t>
      </w:r>
      <w:r>
        <w:rPr>
          <w:i/>
        </w:rPr>
        <w:fldChar w:fldCharType="begin"/>
      </w:r>
      <w:r>
        <w:instrText xml:space="preserve"> XE "</w:instrText>
      </w:r>
      <w:r w:rsidRPr="08A516BF">
        <w:instrText>materie</w:instrText>
      </w:r>
      <w:r>
        <w:rPr>
          <w:i/>
        </w:rPr>
        <w:instrText xml:space="preserve">:materia </w:instrText>
      </w:r>
      <w:r w:rsidRPr="00612581">
        <w:rPr>
          <w:i/>
        </w:rPr>
        <w:instrText>spiritualis</w:instrText>
      </w:r>
      <w:r>
        <w:instrText xml:space="preserve">" </w:instrText>
      </w:r>
      <w:r>
        <w:rPr>
          <w:i/>
        </w:rPr>
        <w:fldChar w:fldCharType="end"/>
      </w:r>
      <w:r w:rsidRPr="00273106">
        <w:t xml:space="preserve">, ale pouze nemateriální schopnost receptivního intelektu. Rozlišení mezi </w:t>
      </w:r>
      <w:r>
        <w:t xml:space="preserve">intelektem jako </w:t>
      </w:r>
      <w:r w:rsidRPr="00273106">
        <w:t xml:space="preserve">potencí a </w:t>
      </w:r>
      <w:r>
        <w:t xml:space="preserve">jeho </w:t>
      </w:r>
      <w:r w:rsidRPr="00273106">
        <w:t xml:space="preserve">objektem </w:t>
      </w:r>
      <w:r>
        <w:t>vylučuje materii</w:t>
      </w:r>
      <w:r w:rsidRPr="00273106">
        <w:t xml:space="preserve"> třetího druhu v duši a v intelektu. Tím jsou z duše a </w:t>
      </w:r>
      <w:r w:rsidR="00FB1BDF">
        <w:t xml:space="preserve">z </w:t>
      </w:r>
      <w:r w:rsidRPr="00273106">
        <w:t xml:space="preserve">intelektu vyloučeny všechny formy materie jako </w:t>
      </w:r>
      <w:r w:rsidRPr="001F097E">
        <w:rPr>
          <w:i/>
        </w:rPr>
        <w:t>tertium ens</w:t>
      </w:r>
      <w:r w:rsidR="00101DCB">
        <w:t xml:space="preserve">. Autor popírá všechny </w:t>
      </w:r>
      <w:r w:rsidRPr="00273106">
        <w:t>typick</w:t>
      </w:r>
      <w:r w:rsidR="00101DCB">
        <w:t xml:space="preserve">é znaky </w:t>
      </w:r>
      <w:r w:rsidRPr="00273106">
        <w:t xml:space="preserve">druhého averroismu ovlivněného Avicebronem. </w:t>
      </w:r>
      <w:r>
        <w:t>Autor nepatří ke škole druhého averroismu v otázce pojetí duše a poznání.</w:t>
      </w:r>
      <w:r w:rsidR="004A6BC6">
        <w:t xml:space="preserve"> Neexistuje žádná objektivní materie třetího druhu, která by zakládala poznání. </w:t>
      </w:r>
      <w:r w:rsidRPr="00273106">
        <w:t>Receptivní schopnost duše tvoří jednu z intelektuálních potencí duše, které se vztahují k subsistenci osoby jako jedné substance (</w:t>
      </w:r>
      <w:r w:rsidRPr="00273106">
        <w:rPr>
          <w:i/>
        </w:rPr>
        <w:t>totius coniucti principialiter</w:t>
      </w:r>
      <w:r w:rsidRPr="00273106">
        <w:t xml:space="preserve">, </w:t>
      </w:r>
      <w:r>
        <w:t xml:space="preserve">Q. 2.13, </w:t>
      </w:r>
      <w:r w:rsidRPr="00273106">
        <w:t>p. 424.45</w:t>
      </w:r>
      <w:r>
        <w:fldChar w:fldCharType="begin"/>
      </w:r>
      <w:r>
        <w:instrText xml:space="preserve"> XE "</w:instrText>
      </w:r>
      <w:r w:rsidRPr="00076C06">
        <w:rPr>
          <w:i/>
        </w:rPr>
        <w:instrText>Anonym Bazán</w:instrText>
      </w:r>
      <w:r>
        <w:instrText xml:space="preserve"> 424.45" </w:instrText>
      </w:r>
      <w:r>
        <w:fldChar w:fldCharType="end"/>
      </w:r>
      <w:r w:rsidRPr="00273106">
        <w:t xml:space="preserve">). Klíčová je debata ohledně </w:t>
      </w:r>
      <w:r w:rsidR="004F2C86">
        <w:t>„</w:t>
      </w:r>
      <w:r w:rsidRPr="00273106">
        <w:rPr>
          <w:i/>
        </w:rPr>
        <w:t>accidentia completa</w:t>
      </w:r>
      <w:r w:rsidR="004F2C86">
        <w:t xml:space="preserve"> </w:t>
      </w:r>
      <w:r w:rsidR="004F2C86" w:rsidRPr="004F2C86">
        <w:rPr>
          <w:i/>
        </w:rPr>
        <w:t>et</w:t>
      </w:r>
      <w:r w:rsidRPr="00273106">
        <w:t xml:space="preserve"> </w:t>
      </w:r>
      <w:r w:rsidRPr="00273106">
        <w:rPr>
          <w:i/>
        </w:rPr>
        <w:t>incompleta</w:t>
      </w:r>
      <w:r w:rsidR="004F2C86">
        <w:t>“</w:t>
      </w:r>
      <w:r w:rsidRPr="00273106">
        <w:t xml:space="preserve"> (</w:t>
      </w:r>
      <w:r>
        <w:t>Q. 2.</w:t>
      </w:r>
      <w:r w:rsidRPr="00273106">
        <w:t>14, p. 425</w:t>
      </w:r>
      <w:r>
        <w:fldChar w:fldCharType="begin"/>
      </w:r>
      <w:r>
        <w:instrText xml:space="preserve"> XE "</w:instrText>
      </w:r>
      <w:r w:rsidRPr="00076C06">
        <w:rPr>
          <w:i/>
        </w:rPr>
        <w:instrText>Anonym Bazán</w:instrText>
      </w:r>
      <w:r>
        <w:instrText xml:space="preserve"> 425" </w:instrText>
      </w:r>
      <w:r>
        <w:fldChar w:fldCharType="end"/>
      </w:r>
      <w:r w:rsidRPr="00273106">
        <w:t xml:space="preserve">). Autor odmítl Bonaventurovu tezi o smíšení pasivních a aktivních schopností v rámci duše jako </w:t>
      </w:r>
      <w:r w:rsidR="00793856">
        <w:t>„</w:t>
      </w:r>
      <w:r w:rsidRPr="00273106">
        <w:rPr>
          <w:i/>
        </w:rPr>
        <w:t>hoc aliquid</w:t>
      </w:r>
      <w:r w:rsidR="00793856">
        <w:t>“</w:t>
      </w:r>
      <w:r w:rsidR="00D15BC6">
        <w:t xml:space="preserve"> (kap. 4</w:t>
      </w:r>
      <w:r w:rsidR="00D15BC6" w:rsidRPr="00273106">
        <w:t>.1.3)</w:t>
      </w:r>
      <w:r w:rsidR="00D15BC6">
        <w:t xml:space="preserve">. </w:t>
      </w:r>
      <w:r w:rsidR="00793856">
        <w:t xml:space="preserve">Pak </w:t>
      </w:r>
      <w:r w:rsidR="00D15BC6">
        <w:t xml:space="preserve">by </w:t>
      </w:r>
      <w:r w:rsidR="00793856">
        <w:t xml:space="preserve">duše </w:t>
      </w:r>
      <w:r w:rsidR="00D15BC6">
        <w:t>v sobě nerozlišeně obsahovala</w:t>
      </w:r>
      <w:r w:rsidRPr="00273106">
        <w:t xml:space="preserve"> aktivní a pasivní složku </w:t>
      </w:r>
      <w:r w:rsidRPr="00273106">
        <w:rPr>
          <w:i/>
        </w:rPr>
        <w:t>intellectus agens</w:t>
      </w:r>
      <w:r>
        <w:rPr>
          <w:i/>
        </w:rPr>
        <w:fldChar w:fldCharType="begin"/>
      </w:r>
      <w:r>
        <w:instrText xml:space="preserve"> XE "</w:instrText>
      </w:r>
      <w:r w:rsidRPr="00490D32">
        <w:rPr>
          <w:i/>
        </w:rPr>
        <w:instrText>intellectus agens:</w:instrText>
      </w:r>
      <w:r>
        <w:instrText>A</w:instrText>
      </w:r>
      <w:r w:rsidRPr="00076C06">
        <w:instrText>nonym Bazán</w:instrText>
      </w:r>
      <w:r>
        <w:instrText xml:space="preserve">" </w:instrText>
      </w:r>
      <w:r>
        <w:rPr>
          <w:i/>
        </w:rPr>
        <w:fldChar w:fldCharType="end"/>
      </w:r>
      <w:r w:rsidRPr="00273106">
        <w:t xml:space="preserve"> a </w:t>
      </w:r>
      <w:r w:rsidR="00D15BC6" w:rsidRPr="00273106">
        <w:rPr>
          <w:i/>
        </w:rPr>
        <w:t xml:space="preserve">intellectus </w:t>
      </w:r>
      <w:r w:rsidRPr="00273106">
        <w:rPr>
          <w:i/>
        </w:rPr>
        <w:t>possibilis</w:t>
      </w:r>
      <w:r w:rsidRPr="00273106">
        <w:t xml:space="preserve">. Smísit reálné vlastnosti první substance a intencionálně dané akcidenty by vedlo k dualismu dvou substancí, duše a těla, což by zrušilo jednotu osoby. První averroismus </w:t>
      </w:r>
      <w:r w:rsidR="008E6E76" w:rsidRPr="00273106">
        <w:t xml:space="preserve">zajišťuje </w:t>
      </w:r>
      <w:r w:rsidRPr="00273106">
        <w:t xml:space="preserve">jednotu </w:t>
      </w:r>
      <w:r w:rsidR="008E6E76">
        <w:t xml:space="preserve">osoby </w:t>
      </w:r>
      <w:r w:rsidRPr="00273106">
        <w:t>tím, že jasně rozlišuje mezi výkonem různých potencí (aktivní, pasivní; materiální, nemateriální) daných v rámci jednoho subsi</w:t>
      </w:r>
      <w:r w:rsidR="000556CD">
        <w:t>stentního aktu první substance.</w:t>
      </w:r>
    </w:p>
    <w:p w:rsidR="00FB33BC" w:rsidRDefault="08163013" w:rsidP="00835B76">
      <w:pPr>
        <w:ind w:firstLine="397"/>
      </w:pPr>
      <w:r w:rsidRPr="00273106">
        <w:t xml:space="preserve">V rámci prvního averroismu autor přejímá </w:t>
      </w:r>
      <w:r>
        <w:t>Averroesovo pojetí diafanum</w:t>
      </w:r>
      <w:r>
        <w:fldChar w:fldCharType="begin"/>
      </w:r>
      <w:r>
        <w:instrText xml:space="preserve"> XE "</w:instrText>
      </w:r>
      <w:r w:rsidRPr="0089012B">
        <w:instrText>diafanum:Anonym Bazán</w:instrText>
      </w:r>
      <w:r>
        <w:instrText xml:space="preserve">" </w:instrText>
      </w:r>
      <w:r>
        <w:fldChar w:fldCharType="end"/>
      </w:r>
      <w:r>
        <w:t xml:space="preserve">, i když tohoto filosofa </w:t>
      </w:r>
      <w:r w:rsidRPr="00273106">
        <w:t>nezmiňuje</w:t>
      </w:r>
      <w:r>
        <w:t xml:space="preserve"> jako původní </w:t>
      </w:r>
      <w:r w:rsidR="00BD299E">
        <w:t>zdroj</w:t>
      </w:r>
      <w:r w:rsidRPr="00273106">
        <w:t xml:space="preserve">. </w:t>
      </w:r>
      <w:r>
        <w:t xml:space="preserve">Spis </w:t>
      </w:r>
      <w:r>
        <w:lastRenderedPageBreak/>
        <w:t>o</w:t>
      </w:r>
      <w:r w:rsidRPr="00273106">
        <w:t>dmítá princip druhého averroismu a neoplatonismu o přímém nasvícení barvy ze slunce.</w:t>
      </w:r>
      <w:r w:rsidRPr="00273106">
        <w:rPr>
          <w:rStyle w:val="Znakapoznpodarou"/>
        </w:rPr>
        <w:footnoteReference w:id="169"/>
      </w:r>
      <w:r w:rsidRPr="00273106">
        <w:t xml:space="preserve"> Intelekt se nemá k fantasmatům stejně jako světlo k barvám, protože jde pouze o podobnost, nikoliv o shodu. Intelekt je nemateriální a barvy a světlo materiální, čili podobnost obou jevů </w:t>
      </w:r>
      <w:r>
        <w:t xml:space="preserve">kulhá na obě nohy </w:t>
      </w:r>
      <w:r w:rsidRPr="00273106">
        <w:t>(</w:t>
      </w:r>
      <w:r w:rsidRPr="00273106">
        <w:rPr>
          <w:i/>
        </w:rPr>
        <w:t>claudicat in uno</w:t>
      </w:r>
      <w:r>
        <w:t>; Q. 2</w:t>
      </w:r>
      <w:r w:rsidRPr="00273106">
        <w:t>.14, p. 433.39</w:t>
      </w:r>
      <w:r>
        <w:fldChar w:fldCharType="begin"/>
      </w:r>
      <w:r>
        <w:instrText xml:space="preserve"> XE "</w:instrText>
      </w:r>
      <w:r w:rsidRPr="00076C06">
        <w:rPr>
          <w:i/>
        </w:rPr>
        <w:instrText>Anonym Bazán</w:instrText>
      </w:r>
      <w:r>
        <w:instrText xml:space="preserve"> 433.39" </w:instrText>
      </w:r>
      <w:r>
        <w:fldChar w:fldCharType="end"/>
      </w:r>
      <w:r w:rsidRPr="00273106">
        <w:t>).</w:t>
      </w:r>
      <w:r>
        <w:t xml:space="preserve"> </w:t>
      </w:r>
      <w:r w:rsidRPr="00273106">
        <w:t>Receptivní složka duše představuje podobné medium jako diafanum</w:t>
      </w:r>
      <w:r>
        <w:t>, které přijímá smyslová</w:t>
      </w:r>
      <w:r w:rsidRPr="00273106">
        <w:t xml:space="preserve"> </w:t>
      </w:r>
      <w:r w:rsidR="00962190">
        <w:rPr>
          <w:i/>
        </w:rPr>
        <w:t>species</w:t>
      </w:r>
      <w:r w:rsidRPr="00273106">
        <w:t xml:space="preserve"> na svůj vlastní nemateriální způsob. </w:t>
      </w:r>
      <w:r>
        <w:t xml:space="preserve">Paprsek je v diafanum obsažen pouze intencionálně, což je uvedeno s výslovným odkazem na Akvinského výklad </w:t>
      </w:r>
      <w:r w:rsidRPr="004A3D77">
        <w:rPr>
          <w:i/>
        </w:rPr>
        <w:t>De anima</w:t>
      </w:r>
      <w:r>
        <w:t xml:space="preserve"> (</w:t>
      </w:r>
      <w:r>
        <w:rPr>
          <w:i/>
        </w:rPr>
        <w:t>E</w:t>
      </w:r>
      <w:r w:rsidRPr="004A3D77">
        <w:rPr>
          <w:i/>
        </w:rPr>
        <w:t>xpositor</w:t>
      </w:r>
      <w:r w:rsidRPr="08DD31EF">
        <w:rPr>
          <w:i/>
        </w:rPr>
        <w:t xml:space="preserve"> </w:t>
      </w:r>
      <w:r>
        <w:rPr>
          <w:i/>
        </w:rPr>
        <w:t>Novus</w:t>
      </w:r>
      <w:r>
        <w:rPr>
          <w:i/>
        </w:rPr>
        <w:fldChar w:fldCharType="begin"/>
      </w:r>
      <w:r>
        <w:instrText xml:space="preserve"> XE "</w:instrText>
      </w:r>
      <w:r w:rsidRPr="08D47A31">
        <w:rPr>
          <w:i/>
        </w:rPr>
        <w:instrText>Expositor Novus</w:instrText>
      </w:r>
      <w:r>
        <w:instrText xml:space="preserve">" </w:instrText>
      </w:r>
      <w:r>
        <w:rPr>
          <w:i/>
        </w:rPr>
        <w:fldChar w:fldCharType="end"/>
      </w:r>
      <w:r>
        <w:t xml:space="preserve">), a nikoliv na Averroese </w:t>
      </w:r>
      <w:r w:rsidRPr="00273106">
        <w:t>(</w:t>
      </w:r>
      <w:r w:rsidRPr="00273106">
        <w:rPr>
          <w:i/>
        </w:rPr>
        <w:t>lumen intentionaliter</w:t>
      </w:r>
      <w:r>
        <w:rPr>
          <w:i/>
        </w:rPr>
        <w:t xml:space="preserve"> est in aere</w:t>
      </w:r>
      <w:r w:rsidRPr="00273106">
        <w:t>;</w:t>
      </w:r>
      <w:r>
        <w:t xml:space="preserve"> Q. 2</w:t>
      </w:r>
      <w:r w:rsidRPr="00273106">
        <w:t xml:space="preserve">.21, </w:t>
      </w:r>
      <w:r>
        <w:t>p. 436.19‒20</w:t>
      </w:r>
      <w:r>
        <w:fldChar w:fldCharType="begin"/>
      </w:r>
      <w:r>
        <w:instrText xml:space="preserve"> XE "</w:instrText>
      </w:r>
      <w:r w:rsidRPr="00076C06">
        <w:rPr>
          <w:i/>
        </w:rPr>
        <w:instrText>Anonym Bazán</w:instrText>
      </w:r>
      <w:r>
        <w:instrText xml:space="preserve"> 436.19‒20" </w:instrText>
      </w:r>
      <w:r>
        <w:fldChar w:fldCharType="end"/>
      </w:r>
      <w:r>
        <w:t>). Proto není výsledné poj</w:t>
      </w:r>
      <w:r w:rsidR="089B2619">
        <w:t>etí barvy definováno podle CMDA</w:t>
      </w:r>
      <w:r>
        <w:t>, ale podle Akvinského schématu</w:t>
      </w:r>
      <w:r w:rsidR="00167D44">
        <w:t xml:space="preserve"> ve druhé knize Sentencí (kap. 4</w:t>
      </w:r>
      <w:r>
        <w:t>.5.1). Autor udělal ze světla pouze intencionální bytí v mysli a naopak z barvy udělal reálné jsoucno (</w:t>
      </w:r>
      <w:r w:rsidRPr="0090441A">
        <w:rPr>
          <w:i/>
        </w:rPr>
        <w:t>lumen est ens intentionale, color est ens reale</w:t>
      </w:r>
      <w:r>
        <w:t>; Q. 2.22, p. 437.24‒27</w:t>
      </w:r>
      <w:r>
        <w:fldChar w:fldCharType="begin"/>
      </w:r>
      <w:r>
        <w:instrText xml:space="preserve"> XE "</w:instrText>
      </w:r>
      <w:r w:rsidRPr="00076C06">
        <w:rPr>
          <w:i/>
        </w:rPr>
        <w:instrText>Anonym Bazán</w:instrText>
      </w:r>
      <w:r>
        <w:instrText xml:space="preserve"> 437.24‒27" </w:instrText>
      </w:r>
      <w:r>
        <w:fldChar w:fldCharType="end"/>
      </w:r>
      <w:r>
        <w:t>). Funkce diafanum je z hlediska prvního averroismu uchopena chybně a stojí v rozporu se scénářem formální kauzality a intencionality podle CMDA (</w:t>
      </w:r>
      <w:r w:rsidR="08A70B3B">
        <w:t xml:space="preserve">OBJ I, </w:t>
      </w:r>
      <w:r>
        <w:t xml:space="preserve">kap. 2.4.4). Podobně zmatené pojetí diafanum měl předešlý Oxfordský rukopis připsaný Aegidiovi. Ale nyní je již </w:t>
      </w:r>
      <w:proofErr w:type="gramStart"/>
      <w:r>
        <w:t>zdůrazněna  intencionální</w:t>
      </w:r>
      <w:proofErr w:type="gramEnd"/>
      <w:r>
        <w:t xml:space="preserve"> funkce diafanum ve schématu poznání podle Akvinského.</w:t>
      </w:r>
      <w:r>
        <w:rPr>
          <w:rStyle w:val="Znakapoznpodarou"/>
        </w:rPr>
        <w:footnoteReference w:id="170"/>
      </w:r>
      <w:r>
        <w:t xml:space="preserve"> Chybnou definicí diafanum se a</w:t>
      </w:r>
      <w:r w:rsidRPr="00273106">
        <w:t xml:space="preserve">nonym </w:t>
      </w:r>
      <w:r>
        <w:t>připravil o základní možnost</w:t>
      </w:r>
      <w:r w:rsidRPr="00273106">
        <w:t xml:space="preserve">, </w:t>
      </w:r>
      <w:r>
        <w:t>jak definovat Averroes</w:t>
      </w:r>
      <w:r w:rsidRPr="00273106">
        <w:t xml:space="preserve">ovo </w:t>
      </w:r>
      <w:r w:rsidRPr="00273106">
        <w:rPr>
          <w:i/>
        </w:rPr>
        <w:t>proportio</w:t>
      </w:r>
      <w:r>
        <w:rPr>
          <w:i/>
        </w:rPr>
        <w:fldChar w:fldCharType="begin"/>
      </w:r>
      <w:r>
        <w:instrText xml:space="preserve"> XE "pravda:</w:instrText>
      </w:r>
      <w:r w:rsidRPr="00E8722E">
        <w:rPr>
          <w:i/>
        </w:rPr>
        <w:instrText>proportio</w:instrText>
      </w:r>
      <w:r>
        <w:instrText xml:space="preserve">" </w:instrText>
      </w:r>
      <w:r>
        <w:rPr>
          <w:i/>
        </w:rPr>
        <w:fldChar w:fldCharType="end"/>
      </w:r>
      <w:r w:rsidRPr="00273106">
        <w:t xml:space="preserve"> poznání daného vzhledem ke </w:t>
      </w:r>
      <w:r>
        <w:t>smyslům a k intelektu. Disputace proto od sebe oddělí smyslové a intelektuální poznání, protože je nemá jak spojit. Mediace mezi intelektem a smysly je postavena podle Avicenny, tedy v dualismu dvou oddělených složek poznání. Intelekt je striktně nemateriální a nemůže ze smyslů nic přijmout, protože nemá stejný model zakoušení jako smysly. Spis proto od sebe zásadně oddělí smyslovou a rozumovou recepci (</w:t>
      </w:r>
      <w:r w:rsidRPr="0096182D">
        <w:rPr>
          <w:i/>
        </w:rPr>
        <w:t>intelligere non est passio passione proprie dicta</w:t>
      </w:r>
      <w:r>
        <w:t>; Q. 3.1, p. 466.28</w:t>
      </w:r>
      <w:r>
        <w:fldChar w:fldCharType="begin"/>
      </w:r>
      <w:r>
        <w:instrText xml:space="preserve"> XE "</w:instrText>
      </w:r>
      <w:r w:rsidRPr="00076C06">
        <w:rPr>
          <w:i/>
        </w:rPr>
        <w:instrText>Anonym Bazán</w:instrText>
      </w:r>
      <w:r>
        <w:instrText xml:space="preserve"> 466.28" </w:instrText>
      </w:r>
      <w:r>
        <w:fldChar w:fldCharType="end"/>
      </w:r>
      <w:r>
        <w:t xml:space="preserve">). </w:t>
      </w:r>
      <w:r w:rsidR="00032632">
        <w:t xml:space="preserve">Důležité </w:t>
      </w:r>
      <w:r>
        <w:t xml:space="preserve">je použití termínu </w:t>
      </w:r>
      <w:r w:rsidR="00032632">
        <w:t>„</w:t>
      </w:r>
      <w:r w:rsidRPr="00D43100">
        <w:rPr>
          <w:i/>
        </w:rPr>
        <w:t>pro</w:t>
      </w:r>
      <w:r>
        <w:rPr>
          <w:i/>
        </w:rPr>
        <w:t>p</w:t>
      </w:r>
      <w:r w:rsidRPr="00D43100">
        <w:rPr>
          <w:i/>
        </w:rPr>
        <w:t>rie</w:t>
      </w:r>
      <w:r w:rsidR="00032632">
        <w:t>“</w:t>
      </w:r>
      <w:r>
        <w:t xml:space="preserve"> pro receptivní složku intelektu, </w:t>
      </w:r>
      <w:r w:rsidR="089B2619">
        <w:t xml:space="preserve">protože </w:t>
      </w:r>
      <w:r>
        <w:t xml:space="preserve">se odvolává na Aristotela. Tato pozice není </w:t>
      </w:r>
      <w:r>
        <w:lastRenderedPageBreak/>
        <w:t xml:space="preserve">dána podle CMDA, ale v duchu Akvinského, který udělal z intelektu další formu v duši. Anonym důrazem na zcela oddělenou funkci intelektu v modu </w:t>
      </w:r>
      <w:r w:rsidRPr="08EF2B2E">
        <w:rPr>
          <w:i/>
        </w:rPr>
        <w:t>inmixtus</w:t>
      </w:r>
      <w:r>
        <w:t xml:space="preserve"> oddělil smyslové a intelektuální poznání. Odmítnutí plné receptivity intelektu dané intencionálně ze smyslových </w:t>
      </w:r>
      <w:r w:rsidR="00962190">
        <w:rPr>
          <w:i/>
        </w:rPr>
        <w:t>species</w:t>
      </w:r>
      <w:r>
        <w:t xml:space="preserve"> jasně ukazuje, že autor </w:t>
      </w:r>
      <w:r w:rsidR="089B2619">
        <w:t xml:space="preserve">nepřevzal </w:t>
      </w:r>
      <w:r>
        <w:t xml:space="preserve">základní linii Averroesovy argumentace </w:t>
      </w:r>
      <w:r w:rsidRPr="00D43100">
        <w:rPr>
          <w:i/>
        </w:rPr>
        <w:t>De anima</w:t>
      </w:r>
      <w:r>
        <w:t xml:space="preserve"> a Sigerův výklad</w:t>
      </w:r>
      <w:r>
        <w:fldChar w:fldCharType="begin"/>
      </w:r>
      <w:r>
        <w:instrText xml:space="preserve"> XE "</w:instrText>
      </w:r>
      <w:r w:rsidRPr="00201AFE">
        <w:instrText>osoba:dualismus</w:instrText>
      </w:r>
      <w:r>
        <w:instrText xml:space="preserve">" </w:instrText>
      </w:r>
      <w:r>
        <w:fldChar w:fldCharType="end"/>
      </w:r>
      <w:r>
        <w:t xml:space="preserve">. Předtím tvrdil, že poznání jde ze smyslů, ale vinou špatně definovaného diafanum nemá možnost, jak tuto adekvaci provést. </w:t>
      </w:r>
      <w:r w:rsidRPr="00273106">
        <w:t>Tato pasáž je důležitá pro určení identity autora. Aegidius Romanus</w:t>
      </w:r>
      <w:r>
        <w:fldChar w:fldCharType="begin"/>
      </w:r>
      <w:r>
        <w:instrText xml:space="preserve"> XE "</w:instrText>
      </w:r>
      <w:r w:rsidRPr="00B54432">
        <w:instrText>Aegidius Romanus</w:instrText>
      </w:r>
      <w:r>
        <w:instrText xml:space="preserve">" </w:instrText>
      </w:r>
      <w:r>
        <w:fldChar w:fldCharType="end"/>
      </w:r>
      <w:r w:rsidRPr="00273106">
        <w:t xml:space="preserve"> v </w:t>
      </w:r>
      <w:proofErr w:type="gramStart"/>
      <w:r w:rsidRPr="00273106">
        <w:rPr>
          <w:i/>
        </w:rPr>
        <w:t>De</w:t>
      </w:r>
      <w:proofErr w:type="gramEnd"/>
      <w:r w:rsidRPr="00273106">
        <w:rPr>
          <w:i/>
        </w:rPr>
        <w:t xml:space="preserve"> plurificatione</w:t>
      </w:r>
      <w:r w:rsidRPr="00273106">
        <w:t xml:space="preserve"> držel dualistickou teorii vylučující </w:t>
      </w:r>
      <w:r w:rsidRPr="00273106">
        <w:rPr>
          <w:i/>
        </w:rPr>
        <w:t>proportio</w:t>
      </w:r>
      <w:r w:rsidRPr="00273106">
        <w:t xml:space="preserve"> mezi smysly a intelektem, na jejímž základě obvinil </w:t>
      </w:r>
      <w:r>
        <w:t>Averroes</w:t>
      </w:r>
      <w:r w:rsidRPr="00273106">
        <w:t xml:space="preserve">e z </w:t>
      </w:r>
      <w:r>
        <w:t>averroistické</w:t>
      </w:r>
      <w:r w:rsidRPr="00273106">
        <w:t xml:space="preserve"> teze o num</w:t>
      </w:r>
      <w:r w:rsidR="08A70B3B">
        <w:t>erické jednotě intelektu (kap. 4</w:t>
      </w:r>
      <w:r w:rsidRPr="00273106">
        <w:t xml:space="preserve">.3.2). </w:t>
      </w:r>
      <w:r>
        <w:t>Zato t</w:t>
      </w:r>
      <w:r w:rsidRPr="00273106">
        <w:t xml:space="preserve">řetí část </w:t>
      </w:r>
      <w:r>
        <w:t>O</w:t>
      </w:r>
      <w:r w:rsidRPr="00273106">
        <w:t xml:space="preserve">xfordského rukopisu již spojení </w:t>
      </w:r>
      <w:r>
        <w:t>smyslových a intelektuálních</w:t>
      </w:r>
      <w:r w:rsidRPr="00273106">
        <w:t xml:space="preserve"> </w:t>
      </w:r>
      <w:r w:rsidR="00962190">
        <w:rPr>
          <w:i/>
        </w:rPr>
        <w:t>species</w:t>
      </w:r>
      <w:r w:rsidRPr="00273106">
        <w:t xml:space="preserve"> obhajuje</w:t>
      </w:r>
      <w:r>
        <w:t xml:space="preserve"> v modu </w:t>
      </w:r>
      <w:r w:rsidRPr="08F9341B">
        <w:rPr>
          <w:i/>
        </w:rPr>
        <w:t>continuatio</w:t>
      </w:r>
      <w:r>
        <w:t xml:space="preserve"> </w:t>
      </w:r>
      <w:r w:rsidRPr="00273106">
        <w:t xml:space="preserve">s odvoláním na Aristotelovu </w:t>
      </w:r>
      <w:r>
        <w:rPr>
          <w:i/>
        </w:rPr>
        <w:t>De anima</w:t>
      </w:r>
      <w:r>
        <w:t xml:space="preserve"> a </w:t>
      </w:r>
      <w:r w:rsidRPr="00273106">
        <w:t xml:space="preserve">na </w:t>
      </w:r>
      <w:r w:rsidR="00F0470E">
        <w:t xml:space="preserve">tomistickou interpretaci </w:t>
      </w:r>
      <w:r>
        <w:t>Averroes</w:t>
      </w:r>
      <w:r w:rsidRPr="00273106">
        <w:t xml:space="preserve">e. Autor </w:t>
      </w:r>
      <w:r w:rsidR="00754CCE">
        <w:t xml:space="preserve">stejně jako ve </w:t>
      </w:r>
      <w:r>
        <w:t>třetí části O</w:t>
      </w:r>
      <w:r w:rsidRPr="00273106">
        <w:t xml:space="preserve">xfordského rukopisu považuje </w:t>
      </w:r>
      <w:r>
        <w:t>Averroes</w:t>
      </w:r>
      <w:r w:rsidRPr="00273106">
        <w:t xml:space="preserve">e </w:t>
      </w:r>
      <w:r>
        <w:t>za averroistu</w:t>
      </w:r>
      <w:r w:rsidRPr="00273106">
        <w:t xml:space="preserve">. </w:t>
      </w:r>
      <w:r>
        <w:t xml:space="preserve">Také Bazánův anonym </w:t>
      </w:r>
      <w:r w:rsidRPr="00273106">
        <w:t xml:space="preserve">považuje </w:t>
      </w:r>
      <w:r>
        <w:t>Averroes</w:t>
      </w:r>
      <w:r w:rsidRPr="00273106">
        <w:t>e za averroistu, který drží numerickou jednotu odděleného intelektu.</w:t>
      </w:r>
      <w:r>
        <w:t xml:space="preserve"> Aegidius stejně jako Bazánův anonym není schopen rozlišit mezi pozicí CMDA a Themistiem a mylně tvrdí, že oba autoři vidí intelekt pouze v modu nemateriální oddělené substance</w:t>
      </w:r>
      <w:r w:rsidRPr="00774DED">
        <w:t>.</w:t>
      </w:r>
      <w:r w:rsidRPr="00273106">
        <w:rPr>
          <w:rStyle w:val="Znakapoznpodarou"/>
        </w:rPr>
        <w:footnoteReference w:id="171"/>
      </w:r>
      <w:r w:rsidRPr="00273106">
        <w:t xml:space="preserve"> </w:t>
      </w:r>
      <w:r>
        <w:t>Anonym má stejné</w:t>
      </w:r>
      <w:r w:rsidRPr="00273106">
        <w:t xml:space="preserve"> </w:t>
      </w:r>
      <w:r>
        <w:t xml:space="preserve">selektivní a sofistické pojetí CMDA </w:t>
      </w:r>
      <w:r w:rsidRPr="00273106">
        <w:t xml:space="preserve">jako </w:t>
      </w:r>
      <w:r>
        <w:t xml:space="preserve">měl </w:t>
      </w:r>
      <w:r w:rsidRPr="00273106">
        <w:t>Aegidius</w:t>
      </w:r>
      <w:r w:rsidR="00193654">
        <w:t xml:space="preserve"> ve třetí části </w:t>
      </w:r>
      <w:r>
        <w:t xml:space="preserve">Oxfordského rukopisu a považuje možný intelekt daný v CMDA za oddělenou substanci. Pro oba rukopisy platí, že nejsou schopni rozlišit Averroesův model intelektu jako abstrahovaného </w:t>
      </w:r>
      <w:r w:rsidR="00962190">
        <w:rPr>
          <w:i/>
        </w:rPr>
        <w:t>species</w:t>
      </w:r>
      <w:r>
        <w:t xml:space="preserve"> v modu </w:t>
      </w:r>
      <w:r w:rsidRPr="082F6990">
        <w:rPr>
          <w:i/>
        </w:rPr>
        <w:t xml:space="preserve">quartum </w:t>
      </w:r>
      <w:r w:rsidR="00962190">
        <w:rPr>
          <w:i/>
        </w:rPr>
        <w:t>genus</w:t>
      </w:r>
      <w:r>
        <w:t xml:space="preserve"> od averroistického pojetí toletánské moderny</w:t>
      </w:r>
      <w:r w:rsidR="0036325B">
        <w:t xml:space="preserve">. Ta definuje </w:t>
      </w:r>
      <w:r>
        <w:t>intelekt jako objektivní hypostázi</w:t>
      </w:r>
      <w:r>
        <w:fldChar w:fldCharType="begin"/>
      </w:r>
      <w:r>
        <w:instrText xml:space="preserve"> XE "</w:instrText>
      </w:r>
      <w:r w:rsidRPr="00116ED7">
        <w:instrText>substance:intelekt</w:instrText>
      </w:r>
      <w:r>
        <w:instrText xml:space="preserve">" </w:instrText>
      </w:r>
      <w:r>
        <w:fldChar w:fldCharType="end"/>
      </w:r>
      <w:r>
        <w:t>.</w:t>
      </w:r>
      <w:r>
        <w:rPr>
          <w:rStyle w:val="Znakapoznpodarou"/>
        </w:rPr>
        <w:footnoteReference w:id="172"/>
      </w:r>
      <w:r>
        <w:t xml:space="preserve"> Příklon a Avicennovi trvá</w:t>
      </w:r>
      <w:r w:rsidR="00193654">
        <w:t xml:space="preserve">, a </w:t>
      </w:r>
      <w:r>
        <w:t xml:space="preserve">je doplněn aristotelismem podle Akvinského. </w:t>
      </w:r>
      <w:r w:rsidRPr="00273106">
        <w:t xml:space="preserve">Tato </w:t>
      </w:r>
      <w:r>
        <w:t>myšlenková in</w:t>
      </w:r>
      <w:r w:rsidRPr="00273106">
        <w:t xml:space="preserve">konsistence </w:t>
      </w:r>
      <w:r>
        <w:t>a sofistika balancující mezi prvním a druhým averroismem je t</w:t>
      </w:r>
      <w:r w:rsidRPr="00273106">
        <w:t xml:space="preserve">ypická pro </w:t>
      </w:r>
      <w:r>
        <w:t xml:space="preserve">Aegidia Romana okolo roku 1270 a plně ji dosvědčuje také </w:t>
      </w:r>
      <w:r w:rsidRPr="00273106">
        <w:t>Bazán</w:t>
      </w:r>
      <w:r>
        <w:t xml:space="preserve">ův </w:t>
      </w:r>
      <w:r w:rsidR="00835B76">
        <w:t xml:space="preserve">anonym. </w:t>
      </w:r>
      <w:r>
        <w:t xml:space="preserve">Aegidius bere argumentaci Akvinského, která odmítá Averroese, ale není schopen vyložit stejně dobře jako Akvinský klíčové části </w:t>
      </w:r>
      <w:r w:rsidRPr="087D0337">
        <w:rPr>
          <w:i/>
        </w:rPr>
        <w:t>De anima</w:t>
      </w:r>
      <w:r>
        <w:t xml:space="preserve"> a CMDA o jednotě osoby a intelektu v aristotelské linii. Bazánův anonym doplňuje předešlý komentář </w:t>
      </w:r>
      <w:r w:rsidRPr="00E95110">
        <w:t>DA III</w:t>
      </w:r>
      <w:r>
        <w:t xml:space="preserve"> daný v Oxfordském rukopise (O III). Tato pozice předchází Aegidiovo modernistické pojetí v díle </w:t>
      </w:r>
      <w:r w:rsidRPr="00BD3A0D">
        <w:rPr>
          <w:i/>
        </w:rPr>
        <w:t xml:space="preserve">De </w:t>
      </w:r>
      <w:r w:rsidRPr="00BD3A0D">
        <w:rPr>
          <w:i/>
        </w:rPr>
        <w:lastRenderedPageBreak/>
        <w:t>plurificatione</w:t>
      </w:r>
      <w:r>
        <w:t xml:space="preserve"> </w:t>
      </w:r>
      <w:r w:rsidRPr="087D0337">
        <w:rPr>
          <w:i/>
        </w:rPr>
        <w:t>possibilis intellectus</w:t>
      </w:r>
      <w:r>
        <w:t xml:space="preserve"> (1271), kde je plný dualismus dvou oddělených druhů poznání. Ale tentokrát je debata zaměřena proti zástupcům školy druhého averroismu. Aegidius zvolil v otázce poznání po roce 1268 aristotelskou pozici, opustil kolísání mezi avicennismem a aristotelismem a </w:t>
      </w:r>
      <w:proofErr w:type="gramStart"/>
      <w:r>
        <w:t>komentuje</w:t>
      </w:r>
      <w:proofErr w:type="gramEnd"/>
      <w:r>
        <w:t xml:space="preserve"> </w:t>
      </w:r>
      <w:r w:rsidRPr="00770720">
        <w:rPr>
          <w:i/>
        </w:rPr>
        <w:t>De anima</w:t>
      </w:r>
      <w:r>
        <w:t xml:space="preserve"> v duchu prvního averroismu.</w:t>
      </w:r>
      <w:r w:rsidRPr="00273106">
        <w:rPr>
          <w:rStyle w:val="Znakapoznpodarou"/>
        </w:rPr>
        <w:footnoteReference w:id="173"/>
      </w:r>
      <w:r>
        <w:t xml:space="preserve"> Tento magistr nakonec přijal argumentaci CMDA v otázce jednoty osoby, ale po vzoru Akvinského zatratil Averroese jako averroistu. Aegidius odmítl avicennismus a přijal linii semiaverroismu podle Akvinského. Výklad Nového Expozitora stál proti Sigerově výkladu CMDA podaného </w:t>
      </w:r>
      <w:r>
        <w:rPr>
          <w:i/>
        </w:rPr>
        <w:t>ad mentem Averrois</w:t>
      </w:r>
      <w:r>
        <w:rPr>
          <w:i/>
        </w:rPr>
        <w:fldChar w:fldCharType="begin"/>
      </w:r>
      <w:r>
        <w:instrText xml:space="preserve"> XE "</w:instrText>
      </w:r>
      <w:r>
        <w:rPr>
          <w:i/>
        </w:rPr>
        <w:instrText>ad mentem Averrois</w:instrText>
      </w:r>
      <w:r>
        <w:instrText xml:space="preserve">" </w:instrText>
      </w:r>
      <w:r>
        <w:rPr>
          <w:i/>
        </w:rPr>
        <w:fldChar w:fldCharType="end"/>
      </w:r>
      <w:r w:rsidR="00FB33BC">
        <w:t xml:space="preserve"> podle Sicilské školy.</w:t>
      </w:r>
    </w:p>
    <w:p w:rsidR="003A501E" w:rsidRDefault="00CE03C7" w:rsidP="003A501E">
      <w:pPr>
        <w:ind w:firstLine="397"/>
      </w:pPr>
      <w:r>
        <w:t xml:space="preserve">Anonymovo pojetí </w:t>
      </w:r>
      <w:r w:rsidRPr="08C34C7F">
        <w:rPr>
          <w:i/>
        </w:rPr>
        <w:t>materia prima</w:t>
      </w:r>
      <w:r>
        <w:rPr>
          <w:i/>
        </w:rPr>
        <w:t xml:space="preserve"> </w:t>
      </w:r>
      <w:r>
        <w:t>ukazuje d</w:t>
      </w:r>
      <w:r w:rsidR="08163013">
        <w:t xml:space="preserve">alší typický projev druhého </w:t>
      </w:r>
      <w:r>
        <w:t>averroismu podle Toledské školy</w:t>
      </w:r>
      <w:r w:rsidR="08163013">
        <w:t>. Autor je v otázce prvotní l</w:t>
      </w:r>
      <w:r w:rsidR="00FB33BC">
        <w:t>átky jednoznačně avicennista. J</w:t>
      </w:r>
      <w:r w:rsidR="08163013">
        <w:t xml:space="preserve">eho </w:t>
      </w:r>
      <w:r w:rsidR="00FB33BC">
        <w:t xml:space="preserve">teorie </w:t>
      </w:r>
      <w:r w:rsidR="08163013" w:rsidRPr="00B67971">
        <w:rPr>
          <w:i/>
        </w:rPr>
        <w:t>materia prima</w:t>
      </w:r>
      <w:r w:rsidR="08163013">
        <w:rPr>
          <w:i/>
        </w:rPr>
        <w:fldChar w:fldCharType="begin"/>
      </w:r>
      <w:r w:rsidR="08163013">
        <w:instrText xml:space="preserve"> XE "</w:instrText>
      </w:r>
      <w:r w:rsidR="08163013" w:rsidRPr="08D704BF">
        <w:instrText>materie</w:instrText>
      </w:r>
      <w:r w:rsidR="08163013">
        <w:rPr>
          <w:i/>
        </w:rPr>
        <w:instrText xml:space="preserve">:materia </w:instrText>
      </w:r>
      <w:r w:rsidR="08163013" w:rsidRPr="006D194D">
        <w:rPr>
          <w:i/>
        </w:rPr>
        <w:instrText>prima</w:instrText>
      </w:r>
      <w:r w:rsidR="08163013">
        <w:instrText xml:space="preserve">" </w:instrText>
      </w:r>
      <w:r w:rsidR="08163013">
        <w:rPr>
          <w:i/>
        </w:rPr>
        <w:fldChar w:fldCharType="end"/>
      </w:r>
      <w:r w:rsidR="004031A0">
        <w:rPr>
          <w:i/>
        </w:rPr>
        <w:t xml:space="preserve"> </w:t>
      </w:r>
      <w:r w:rsidR="00FB33BC">
        <w:t>je ovlivněná</w:t>
      </w:r>
      <w:r w:rsidR="08163013">
        <w:t xml:space="preserve"> školou Rufuse a Kilwardbyho. </w:t>
      </w:r>
      <w:r w:rsidR="08163013" w:rsidRPr="00273106">
        <w:t xml:space="preserve">Autor obhajuje tezi, že </w:t>
      </w:r>
      <w:r w:rsidR="08163013" w:rsidRPr="00273106">
        <w:rPr>
          <w:i/>
        </w:rPr>
        <w:t>materia prima</w:t>
      </w:r>
      <w:r w:rsidR="08163013" w:rsidRPr="00273106">
        <w:t xml:space="preserve"> tvoří </w:t>
      </w:r>
      <w:r w:rsidR="08163013">
        <w:t xml:space="preserve">z hlediska potence jsoucno </w:t>
      </w:r>
      <w:r w:rsidR="08163013" w:rsidRPr="00273106">
        <w:t>třetího druhu</w:t>
      </w:r>
      <w:r w:rsidR="08163013">
        <w:t xml:space="preserve"> (</w:t>
      </w:r>
      <w:r w:rsidR="08163013" w:rsidRPr="00E86062">
        <w:rPr>
          <w:i/>
        </w:rPr>
        <w:t>potentia materiae primae sit quoddam essentiale</w:t>
      </w:r>
      <w:r w:rsidR="0829252F">
        <w:t xml:space="preserve">). Tato esenciálně pojatá materie </w:t>
      </w:r>
      <w:r w:rsidR="0829252F" w:rsidRPr="00273106">
        <w:t xml:space="preserve">obsahuje </w:t>
      </w:r>
      <w:r w:rsidR="08163013">
        <w:t xml:space="preserve">v avicennovském modu </w:t>
      </w:r>
      <w:r w:rsidR="000D6980">
        <w:t>„</w:t>
      </w:r>
      <w:r w:rsidR="08163013" w:rsidRPr="00C00015">
        <w:rPr>
          <w:i/>
        </w:rPr>
        <w:t>concomitatur</w:t>
      </w:r>
      <w:r w:rsidR="000D6980">
        <w:t>“</w:t>
      </w:r>
      <w:r w:rsidR="08163013">
        <w:t xml:space="preserve"> </w:t>
      </w:r>
      <w:r w:rsidR="0829252F">
        <w:t xml:space="preserve">také </w:t>
      </w:r>
      <w:r w:rsidR="08163013" w:rsidRPr="00273106">
        <w:t>potenci jako svou vlastní substanci.</w:t>
      </w:r>
      <w:r w:rsidR="08163013" w:rsidRPr="00273106">
        <w:rPr>
          <w:rStyle w:val="Znakapoznpodarou"/>
        </w:rPr>
        <w:footnoteReference w:id="174"/>
      </w:r>
      <w:r w:rsidR="08163013" w:rsidRPr="00273106">
        <w:t xml:space="preserve"> Potence první látky není ani substancí, ani predikátem, ale </w:t>
      </w:r>
      <w:r w:rsidR="08163013">
        <w:t xml:space="preserve">sofistickým </w:t>
      </w:r>
      <w:r w:rsidR="00E36783" w:rsidRPr="002D575C">
        <w:rPr>
          <w:i/>
        </w:rPr>
        <w:t>tertium ens</w:t>
      </w:r>
      <w:r w:rsidR="00E36783">
        <w:rPr>
          <w:i/>
        </w:rPr>
        <w:t xml:space="preserve"> </w:t>
      </w:r>
      <w:r w:rsidR="08163013" w:rsidRPr="00273106">
        <w:t>vsunutým mezi obě určení (</w:t>
      </w:r>
      <w:r w:rsidR="08163013" w:rsidRPr="00CE6BA7">
        <w:rPr>
          <w:i/>
        </w:rPr>
        <w:t>essentiale est medium quoddam inter substantiam et accidens</w:t>
      </w:r>
      <w:r w:rsidR="08163013" w:rsidRPr="00273106">
        <w:t xml:space="preserve">). Autor přijal </w:t>
      </w:r>
      <w:r w:rsidR="08163013">
        <w:t xml:space="preserve">Kilwardbyho </w:t>
      </w:r>
      <w:r w:rsidR="08163013" w:rsidRPr="00273106">
        <w:t xml:space="preserve">tezi o </w:t>
      </w:r>
      <w:r w:rsidR="08163013">
        <w:t xml:space="preserve">porretánském </w:t>
      </w:r>
      <w:r w:rsidR="08163013" w:rsidRPr="00273106">
        <w:t xml:space="preserve">dělení </w:t>
      </w:r>
      <w:r w:rsidR="08163013" w:rsidRPr="00273106">
        <w:rPr>
          <w:i/>
        </w:rPr>
        <w:t>materia prima</w:t>
      </w:r>
      <w:r w:rsidR="08163013">
        <w:fldChar w:fldCharType="begin"/>
      </w:r>
      <w:r w:rsidR="08163013">
        <w:instrText xml:space="preserve"> XE "</w:instrText>
      </w:r>
      <w:r w:rsidR="08163013" w:rsidRPr="00423560">
        <w:instrText>univerzální hylemorfismus</w:instrText>
      </w:r>
      <w:r w:rsidR="08163013">
        <w:instrText xml:space="preserve">" </w:instrText>
      </w:r>
      <w:r w:rsidR="08163013">
        <w:fldChar w:fldCharType="end"/>
      </w:r>
      <w:r w:rsidR="08163013">
        <w:t xml:space="preserve"> a odkazem na spis </w:t>
      </w:r>
      <w:r w:rsidR="08163013" w:rsidRPr="08DC35F0">
        <w:rPr>
          <w:i/>
        </w:rPr>
        <w:t>De substan</w:t>
      </w:r>
      <w:r w:rsidR="08163013">
        <w:rPr>
          <w:i/>
        </w:rPr>
        <w:t>t</w:t>
      </w:r>
      <w:r w:rsidR="08163013" w:rsidRPr="08DC35F0">
        <w:rPr>
          <w:i/>
        </w:rPr>
        <w:t>ia orbis</w:t>
      </w:r>
      <w:r w:rsidR="08163013">
        <w:t xml:space="preserve"> vytvořil z první látky jsoucno třetího druhu. Ale protože Aegidius byl tomista v otázce poznání a substanční jednoty osoby, tak modernistické pojetí </w:t>
      </w:r>
      <w:r w:rsidR="08163013" w:rsidRPr="08F42DC1">
        <w:rPr>
          <w:i/>
        </w:rPr>
        <w:t>materia prima</w:t>
      </w:r>
      <w:r w:rsidR="08163013">
        <w:t xml:space="preserve"> vyloučil z intelektu a odmítl jeho numerickou individuaci pomocí primární kosmické materie Dinanta. Univerzální hylemorfismus je pro Aegidia a Tomáše nepřijatelný, protože v člověku nemůže existovat žádné jsoucno třetího druhu. Pechamova defice člověka jako </w:t>
      </w:r>
      <w:r w:rsidR="00CA37CE">
        <w:t>„</w:t>
      </w:r>
      <w:r w:rsidR="08163013" w:rsidRPr="080118FA">
        <w:rPr>
          <w:i/>
        </w:rPr>
        <w:t>totum virtuale</w:t>
      </w:r>
      <w:r w:rsidR="00CA37CE">
        <w:t>“</w:t>
      </w:r>
      <w:r w:rsidR="08163013">
        <w:rPr>
          <w:i/>
        </w:rPr>
        <w:fldChar w:fldCharType="begin"/>
      </w:r>
      <w:r w:rsidR="08163013">
        <w:instrText xml:space="preserve"> XE "</w:instrText>
      </w:r>
      <w:r w:rsidR="08163013" w:rsidRPr="00A10A92">
        <w:rPr>
          <w:i/>
        </w:rPr>
        <w:instrText>osoba:totum virtuale</w:instrText>
      </w:r>
      <w:r w:rsidR="08163013">
        <w:instrText xml:space="preserve">" </w:instrText>
      </w:r>
      <w:r w:rsidR="08163013">
        <w:rPr>
          <w:i/>
        </w:rPr>
        <w:fldChar w:fldCharType="end"/>
      </w:r>
      <w:r w:rsidR="087C47F7">
        <w:t xml:space="preserve"> (kap. 4</w:t>
      </w:r>
      <w:r w:rsidR="08163013">
        <w:t xml:space="preserve">.2.2) daná novou definicí objektivní materie </w:t>
      </w:r>
      <w:r w:rsidR="00CA37CE">
        <w:t xml:space="preserve">byla </w:t>
      </w:r>
      <w:r w:rsidR="08163013">
        <w:t xml:space="preserve">pro první averroismus </w:t>
      </w:r>
      <w:r w:rsidR="00CA37CE">
        <w:t xml:space="preserve">naprosto </w:t>
      </w:r>
      <w:r w:rsidR="08163013">
        <w:t xml:space="preserve">nepřijatelná. První averroismus také zásadně odmítl komitační teorii navazující na pojetí činného kosmického intelektu v podobě </w:t>
      </w:r>
      <w:r w:rsidR="08163013">
        <w:lastRenderedPageBreak/>
        <w:t xml:space="preserve">Avicennova </w:t>
      </w:r>
      <w:r w:rsidR="001342FE">
        <w:rPr>
          <w:i/>
        </w:rPr>
        <w:t>dator formarum</w:t>
      </w:r>
      <w:r w:rsidR="08163013">
        <w:rPr>
          <w:i/>
        </w:rPr>
        <w:fldChar w:fldCharType="begin"/>
      </w:r>
      <w:r w:rsidR="08163013">
        <w:instrText xml:space="preserve"> XE "</w:instrText>
      </w:r>
      <w:r w:rsidR="001342FE">
        <w:rPr>
          <w:i/>
        </w:rPr>
        <w:instrText>dator formarum</w:instrText>
      </w:r>
      <w:r w:rsidR="08163013">
        <w:instrText xml:space="preserve">" </w:instrText>
      </w:r>
      <w:r w:rsidR="08163013">
        <w:rPr>
          <w:i/>
        </w:rPr>
        <w:fldChar w:fldCharType="end"/>
      </w:r>
      <w:r w:rsidR="08163013">
        <w:t>. To je rozdíl od druhého averroismu Bonaventurovy školy, která z Avicennovy komitace</w:t>
      </w:r>
      <w:r w:rsidR="08163013">
        <w:fldChar w:fldCharType="begin"/>
      </w:r>
      <w:r w:rsidR="08163013">
        <w:instrText xml:space="preserve"> XE "</w:instrText>
      </w:r>
      <w:r w:rsidR="08163013" w:rsidRPr="00467B7F">
        <w:instrText>komitace</w:instrText>
      </w:r>
      <w:r w:rsidR="08163013">
        <w:instrText xml:space="preserve">" </w:instrText>
      </w:r>
      <w:r w:rsidR="08163013">
        <w:fldChar w:fldCharType="end"/>
      </w:r>
      <w:r w:rsidR="08163013">
        <w:t xml:space="preserve"> udělala objektivní ontoteologické schéma </w:t>
      </w:r>
      <w:r w:rsidR="08163013" w:rsidRPr="00D57618">
        <w:rPr>
          <w:i/>
        </w:rPr>
        <w:t xml:space="preserve">rationes exemplares </w:t>
      </w:r>
      <w:r w:rsidR="08163013">
        <w:t xml:space="preserve">a </w:t>
      </w:r>
      <w:r w:rsidR="08163013" w:rsidRPr="00D57618">
        <w:rPr>
          <w:i/>
        </w:rPr>
        <w:t>seminales</w:t>
      </w:r>
      <w:r w:rsidR="08163013">
        <w:rPr>
          <w:i/>
        </w:rPr>
        <w:fldChar w:fldCharType="begin"/>
      </w:r>
      <w:r w:rsidR="08163013">
        <w:instrText xml:space="preserve"> XE "</w:instrText>
      </w:r>
      <w:r w:rsidR="08163013" w:rsidRPr="00BA169B">
        <w:rPr>
          <w:i/>
        </w:rPr>
        <w:instrText>rationes seminales</w:instrText>
      </w:r>
      <w:r w:rsidR="08163013">
        <w:instrText xml:space="preserve">" </w:instrText>
      </w:r>
      <w:r w:rsidR="08163013">
        <w:rPr>
          <w:i/>
        </w:rPr>
        <w:fldChar w:fldCharType="end"/>
      </w:r>
      <w:r w:rsidR="08163013">
        <w:t>. Proto spis odmítl pojetí materie třetího druhu v rámci univerzálního hylemorfismu</w:t>
      </w:r>
      <w:r w:rsidR="008074FA">
        <w:t>. T</w:t>
      </w:r>
      <w:r w:rsidR="08163013">
        <w:t xml:space="preserve">ato extrémistická pozice </w:t>
      </w:r>
      <w:r w:rsidR="08163013" w:rsidRPr="08E54E34">
        <w:rPr>
          <w:i/>
        </w:rPr>
        <w:t>Modernorum</w:t>
      </w:r>
      <w:r w:rsidR="08163013">
        <w:t xml:space="preserve"> popírá základní principy aristotelské metafyziky. </w:t>
      </w:r>
      <w:r w:rsidR="08163013" w:rsidRPr="00273106">
        <w:t>A</w:t>
      </w:r>
      <w:r w:rsidR="08163013">
        <w:t xml:space="preserve">utor proto </w:t>
      </w:r>
      <w:r w:rsidR="08163013" w:rsidRPr="00273106">
        <w:t xml:space="preserve">nesouhlasí v otázce </w:t>
      </w:r>
      <w:r w:rsidR="004248D9">
        <w:t>hypostázovaných kvalit jako extenze (</w:t>
      </w:r>
      <w:r w:rsidR="08163013" w:rsidRPr="00273106">
        <w:rPr>
          <w:i/>
        </w:rPr>
        <w:t>magnitudo</w:t>
      </w:r>
      <w:r w:rsidR="004248D9">
        <w:t>)</w:t>
      </w:r>
      <w:r w:rsidR="08163013">
        <w:rPr>
          <w:i/>
        </w:rPr>
        <w:fldChar w:fldCharType="begin"/>
      </w:r>
      <w:r w:rsidR="08163013">
        <w:instrText xml:space="preserve"> XE "</w:instrText>
      </w:r>
      <w:r w:rsidR="08163013" w:rsidRPr="00837AAF">
        <w:instrText>rozsažnost</w:instrText>
      </w:r>
      <w:r w:rsidR="08163013">
        <w:instrText xml:space="preserve">" </w:instrText>
      </w:r>
      <w:r w:rsidR="08163013">
        <w:rPr>
          <w:i/>
        </w:rPr>
        <w:fldChar w:fldCharType="end"/>
      </w:r>
      <w:r w:rsidR="08163013" w:rsidRPr="00273106">
        <w:t xml:space="preserve"> se školou druhého averroismu</w:t>
      </w:r>
      <w:r w:rsidR="08163013">
        <w:t>, což souvisí s jeho výše uvedenou obranou první substance dané hylemorficky</w:t>
      </w:r>
      <w:r w:rsidR="08163013" w:rsidRPr="00273106">
        <w:t>.</w:t>
      </w:r>
      <w:r w:rsidR="08163013">
        <w:t xml:space="preserve"> </w:t>
      </w:r>
      <w:r w:rsidR="08163013" w:rsidRPr="00273106">
        <w:t xml:space="preserve">První část komentáře ukazuje, že spis </w:t>
      </w:r>
      <w:r w:rsidR="08163013">
        <w:t xml:space="preserve">v otázce výkladu </w:t>
      </w:r>
      <w:r w:rsidR="08163013" w:rsidRPr="003D54FE">
        <w:rPr>
          <w:i/>
        </w:rPr>
        <w:t>De anima</w:t>
      </w:r>
      <w:r w:rsidR="08163013">
        <w:t xml:space="preserve"> </w:t>
      </w:r>
      <w:r w:rsidR="08163013" w:rsidRPr="00273106">
        <w:t xml:space="preserve">patří ke škole prvního averroismu a je </w:t>
      </w:r>
      <w:r w:rsidR="08163013">
        <w:t xml:space="preserve">v otázce jednoty duše a intelektu </w:t>
      </w:r>
      <w:r w:rsidR="08163013" w:rsidRPr="00273106">
        <w:t>jednoznačně zaměřen proti škole druhého averroismu.</w:t>
      </w:r>
      <w:r w:rsidR="00710C53">
        <w:t xml:space="preserve"> Klíčová pozice proti druhému averroismu je dána nasvícením intelektu směrem od fantasmat.</w:t>
      </w:r>
      <w:r w:rsidR="08163013">
        <w:rPr>
          <w:rStyle w:val="Znakapoznpodarou"/>
        </w:rPr>
        <w:footnoteReference w:id="175"/>
      </w:r>
      <w:r w:rsidR="08163013" w:rsidRPr="00273106">
        <w:t xml:space="preserve"> </w:t>
      </w:r>
      <w:r w:rsidR="08804A01">
        <w:t xml:space="preserve">Autor ale </w:t>
      </w:r>
      <w:r w:rsidR="08163013">
        <w:t>drží pojetí hypostázované esence a jsoucna třetího druhu podle upravené verze druhého averroismu</w:t>
      </w:r>
      <w:r w:rsidR="08907593">
        <w:t xml:space="preserve">. Tím spis </w:t>
      </w:r>
      <w:r w:rsidR="08163013">
        <w:t>koriguje fa</w:t>
      </w:r>
      <w:r w:rsidR="08907593">
        <w:t>tální omyly Bonaventurovy školy, která destruovala</w:t>
      </w:r>
      <w:r w:rsidR="08163013">
        <w:t xml:space="preserve"> klasickou metafyziku aristotelských </w:t>
      </w:r>
      <w:r w:rsidR="08163013" w:rsidRPr="08AC6A3B">
        <w:rPr>
          <w:i/>
        </w:rPr>
        <w:t>Peripateticorum</w:t>
      </w:r>
      <w:r w:rsidR="08907593">
        <w:rPr>
          <w:i/>
        </w:rPr>
        <w:t xml:space="preserve"> </w:t>
      </w:r>
      <w:r w:rsidR="08907593">
        <w:t xml:space="preserve">skrze </w:t>
      </w:r>
      <w:r w:rsidR="000F0BCF">
        <w:t xml:space="preserve">zavedení </w:t>
      </w:r>
      <w:r w:rsidR="08907593">
        <w:t>univerzální</w:t>
      </w:r>
      <w:r w:rsidR="000F0BCF">
        <w:t>ho hylemorfismu</w:t>
      </w:r>
      <w:r w:rsidR="08163013">
        <w:t>. Anonym vede jasnou a nesmlouvavou polemiku s představiteli druhého averroismu ve všech základních otázkách. Stejnou linii držel Akvinský od 1268 a měl v otázce poznání a jednoty osoby stejné protivníky z řad druhého averroismu jako Bazánův anonym. Tuto charakteristiku mělo myšlení Aegidia Romana okolo roku 1270</w:t>
      </w:r>
      <w:r w:rsidR="003A501E">
        <w:t xml:space="preserve">. </w:t>
      </w:r>
      <w:r w:rsidR="003A501E" w:rsidRPr="003A501E">
        <w:t xml:space="preserve">Spis </w:t>
      </w:r>
      <w:r w:rsidR="003A501E" w:rsidRPr="003A501E">
        <w:rPr>
          <w:i/>
        </w:rPr>
        <w:t>Anonymus Bazán</w:t>
      </w:r>
      <w:r w:rsidR="003A501E" w:rsidRPr="003A501E">
        <w:t xml:space="preserve"> plně odpovídá tomuto hnutí tomistického semiaverroismu.</w:t>
      </w:r>
    </w:p>
    <w:p w:rsidR="08163013" w:rsidRPr="00AA72AA" w:rsidRDefault="08163013" w:rsidP="003A501E">
      <w:pPr>
        <w:ind w:firstLine="397"/>
      </w:pPr>
      <w:r>
        <w:t>K</w:t>
      </w:r>
      <w:r w:rsidRPr="00273106">
        <w:t>do z představitelů druhého averroismu je hlavním ideovým protivníkem</w:t>
      </w:r>
      <w:r>
        <w:t xml:space="preserve"> tohoto polemického traktátu</w:t>
      </w:r>
      <w:r w:rsidRPr="00273106">
        <w:t xml:space="preserve">?  První stopa </w:t>
      </w:r>
      <w:r>
        <w:t>se nachází v debatě</w:t>
      </w:r>
      <w:r w:rsidRPr="00273106">
        <w:t xml:space="preserve"> o tom, zda </w:t>
      </w:r>
      <w:r w:rsidRPr="00273106">
        <w:rPr>
          <w:i/>
        </w:rPr>
        <w:t>sensus communis</w:t>
      </w:r>
      <w:r>
        <w:rPr>
          <w:i/>
        </w:rPr>
        <w:fldChar w:fldCharType="begin"/>
      </w:r>
      <w:r>
        <w:instrText xml:space="preserve"> XE "</w:instrText>
      </w:r>
      <w:r w:rsidRPr="00F24A59">
        <w:rPr>
          <w:i/>
        </w:rPr>
        <w:instrText>sensus communis</w:instrText>
      </w:r>
      <w:r>
        <w:instrText xml:space="preserve">" </w:instrText>
      </w:r>
      <w:r>
        <w:rPr>
          <w:i/>
        </w:rPr>
        <w:fldChar w:fldCharType="end"/>
      </w:r>
      <w:r w:rsidRPr="00273106">
        <w:t xml:space="preserve"> má za hlavní orgán srdce nebo mozek.</w:t>
      </w:r>
      <w:r>
        <w:rPr>
          <w:rStyle w:val="Znakapoznpodarou"/>
        </w:rPr>
        <w:footnoteReference w:id="176"/>
      </w:r>
      <w:r w:rsidRPr="00273106">
        <w:t xml:space="preserve"> </w:t>
      </w:r>
      <w:r>
        <w:t xml:space="preserve"> </w:t>
      </w:r>
      <w:r w:rsidRPr="00273106">
        <w:t xml:space="preserve">Autor je aristotelik, proto považuje srdce za centrum smyslové syntézy proti avicennistům. Ti berou za svou </w:t>
      </w:r>
      <w:r>
        <w:t xml:space="preserve">Avicennovu </w:t>
      </w:r>
      <w:r w:rsidRPr="00273106">
        <w:t xml:space="preserve">tezi, že tímto centrem je mozek, což drží i </w:t>
      </w:r>
      <w:r>
        <w:t xml:space="preserve">postmoderní avicennista </w:t>
      </w:r>
      <w:r w:rsidRPr="00273106">
        <w:t xml:space="preserve">Descartes. Odpovídající místo s odkazem na Damascénského a Avicennu najdeme v </w:t>
      </w:r>
      <w:r>
        <w:t>Pecham</w:t>
      </w:r>
      <w:r w:rsidRPr="00273106">
        <w:t>ových</w:t>
      </w:r>
      <w:r w:rsidRPr="00273106">
        <w:rPr>
          <w:i/>
        </w:rPr>
        <w:t xml:space="preserve"> </w:t>
      </w:r>
      <w:r>
        <w:rPr>
          <w:i/>
        </w:rPr>
        <w:lastRenderedPageBreak/>
        <w:t>Quaestiones tractantes De anima</w:t>
      </w:r>
      <w:r w:rsidRPr="00273106">
        <w:t>.</w:t>
      </w:r>
      <w:r w:rsidRPr="00273106">
        <w:rPr>
          <w:rStyle w:val="Znakapoznpodarou"/>
        </w:rPr>
        <w:footnoteReference w:id="177"/>
      </w:r>
      <w:r w:rsidRPr="00273106">
        <w:t xml:space="preserve"> Klíčová pasáž rozporu mezi prvním a druhým averroismem se pochopitelně týká role materie, protože druhý averroismus drží Avicebro</w:t>
      </w:r>
      <w:r>
        <w:t>novu tezi univerzálního hylemorf</w:t>
      </w:r>
      <w:r w:rsidRPr="00273106">
        <w:t>ismu</w:t>
      </w:r>
      <w:r>
        <w:fldChar w:fldCharType="begin"/>
      </w:r>
      <w:r>
        <w:instrText xml:space="preserve"> XE "</w:instrText>
      </w:r>
      <w:r w:rsidRPr="00423560">
        <w:instrText>univerzální hylemorfismus</w:instrText>
      </w:r>
      <w:r>
        <w:instrText xml:space="preserve">" </w:instrText>
      </w:r>
      <w:r>
        <w:fldChar w:fldCharType="end"/>
      </w:r>
      <w:r w:rsidRPr="00273106">
        <w:t xml:space="preserve">. Důležité odkazy na </w:t>
      </w:r>
      <w:r>
        <w:t>Pecham</w:t>
      </w:r>
      <w:r w:rsidRPr="00273106">
        <w:t xml:space="preserve">ovo pojetí najdeme v třetí části komentáře k </w:t>
      </w:r>
      <w:proofErr w:type="gramStart"/>
      <w:r>
        <w:rPr>
          <w:i/>
        </w:rPr>
        <w:t>De</w:t>
      </w:r>
      <w:proofErr w:type="gramEnd"/>
      <w:r>
        <w:rPr>
          <w:i/>
        </w:rPr>
        <w:t xml:space="preserve"> anima</w:t>
      </w:r>
      <w:r>
        <w:t xml:space="preserve">. Anonym opakuje svou výchozí pozici odmítající substanční intelekt v duši a upřesňuje intelektuální poznání vzhledem ke smyslovému. Pojetí </w:t>
      </w:r>
      <w:r w:rsidR="008E68C3">
        <w:t>„</w:t>
      </w:r>
      <w:r w:rsidRPr="00325988">
        <w:rPr>
          <w:i/>
        </w:rPr>
        <w:t>subiective</w:t>
      </w:r>
      <w:r>
        <w:t>‒</w:t>
      </w:r>
      <w:r w:rsidRPr="00325988">
        <w:rPr>
          <w:i/>
        </w:rPr>
        <w:t>obiective</w:t>
      </w:r>
      <w:r w:rsidR="008E68C3">
        <w:t>“</w:t>
      </w:r>
      <w:r>
        <w:rPr>
          <w:i/>
        </w:rPr>
        <w:fldChar w:fldCharType="begin"/>
      </w:r>
      <w:r>
        <w:instrText xml:space="preserve"> XE "</w:instrText>
      </w:r>
      <w:r w:rsidRPr="006841AD">
        <w:instrText>intelekt:</w:instrText>
      </w:r>
      <w:r w:rsidRPr="00863D73">
        <w:rPr>
          <w:i/>
        </w:rPr>
        <w:instrText>subiective</w:instrText>
      </w:r>
      <w:r w:rsidRPr="006841AD">
        <w:instrText>/</w:instrText>
      </w:r>
      <w:r w:rsidRPr="00863D73">
        <w:rPr>
          <w:i/>
        </w:rPr>
        <w:instrText>obiective</w:instrText>
      </w:r>
      <w:r>
        <w:instrText xml:space="preserve">" </w:instrText>
      </w:r>
      <w:r>
        <w:rPr>
          <w:i/>
        </w:rPr>
        <w:fldChar w:fldCharType="end"/>
      </w:r>
      <w:r w:rsidRPr="00863D73">
        <w:rPr>
          <w:i/>
        </w:rPr>
        <w:t xml:space="preserve"> </w:t>
      </w:r>
      <w:r w:rsidRPr="08236B8A">
        <w:t>odpovídá</w:t>
      </w:r>
      <w:r>
        <w:rPr>
          <w:i/>
        </w:rPr>
        <w:t xml:space="preserve"> </w:t>
      </w:r>
      <w:r>
        <w:t>Sigerovu pojetí z Mnichovského rukopisu a Gieleho anonyma. Bazánův anonym po svém brání pozici prvního averroismu z Rue du Fouarre.</w:t>
      </w:r>
    </w:p>
    <w:p w:rsidR="08163013" w:rsidRPr="001F63CF" w:rsidRDefault="08163013" w:rsidP="08163013">
      <w:pPr>
        <w:pStyle w:val="Citace"/>
        <w:rPr>
          <w:noProof/>
          <w:lang w:val="cs-CZ"/>
        </w:rPr>
      </w:pPr>
      <w:r w:rsidRPr="00273106">
        <w:rPr>
          <w:noProof/>
          <w:lang w:val="cs-CZ"/>
        </w:rPr>
        <w:t>„</w:t>
      </w:r>
      <w:r>
        <w:rPr>
          <w:noProof/>
          <w:lang w:val="cs-CZ"/>
        </w:rPr>
        <w:t>Tvrdíš, že intelektuální duše vykonává své činnosti bez smyslového orgánu, což popírám. K důkazu dodávám, že intelektuální duše sice vykonává své činnosti bez smyslového orgánu ve smyslu nositele této činnosti (</w:t>
      </w:r>
      <w:r w:rsidRPr="001F63CF">
        <w:rPr>
          <w:i/>
          <w:noProof/>
          <w:lang w:val="cs-CZ"/>
        </w:rPr>
        <w:t>subiective</w:t>
      </w:r>
      <w:r>
        <w:rPr>
          <w:noProof/>
          <w:lang w:val="cs-CZ"/>
        </w:rPr>
        <w:t>)</w:t>
      </w:r>
      <w:r w:rsidR="002A1090">
        <w:rPr>
          <w:noProof/>
          <w:lang w:val="cs-CZ"/>
        </w:rPr>
        <w:t xml:space="preserve">; </w:t>
      </w:r>
      <w:r w:rsidR="009364CC">
        <w:rPr>
          <w:noProof/>
          <w:lang w:val="cs-CZ"/>
        </w:rPr>
        <w:t xml:space="preserve">vztahuje se </w:t>
      </w:r>
      <w:r w:rsidR="002A1090">
        <w:rPr>
          <w:noProof/>
          <w:lang w:val="cs-CZ"/>
        </w:rPr>
        <w:t xml:space="preserve">však </w:t>
      </w:r>
      <w:r w:rsidR="009364CC">
        <w:rPr>
          <w:noProof/>
          <w:lang w:val="cs-CZ"/>
        </w:rPr>
        <w:t>k</w:t>
      </w:r>
      <w:r w:rsidR="00962A9C">
        <w:rPr>
          <w:noProof/>
          <w:lang w:val="cs-CZ"/>
        </w:rPr>
        <w:t xml:space="preserve"> poznávanému</w:t>
      </w:r>
      <w:r>
        <w:rPr>
          <w:noProof/>
          <w:lang w:val="cs-CZ"/>
        </w:rPr>
        <w:t xml:space="preserve"> </w:t>
      </w:r>
      <w:r w:rsidR="00962A9C">
        <w:rPr>
          <w:noProof/>
          <w:lang w:val="cs-CZ"/>
        </w:rPr>
        <w:t>intencionálnímu</w:t>
      </w:r>
      <w:r w:rsidR="009364CC">
        <w:rPr>
          <w:noProof/>
          <w:lang w:val="cs-CZ"/>
        </w:rPr>
        <w:t xml:space="preserve"> </w:t>
      </w:r>
      <w:r>
        <w:rPr>
          <w:noProof/>
          <w:lang w:val="cs-CZ"/>
        </w:rPr>
        <w:t>předmětu (</w:t>
      </w:r>
      <w:r w:rsidRPr="001F63CF">
        <w:rPr>
          <w:i/>
          <w:noProof/>
          <w:lang w:val="cs-CZ"/>
        </w:rPr>
        <w:t>obiective</w:t>
      </w:r>
      <w:r>
        <w:rPr>
          <w:noProof/>
          <w:lang w:val="cs-CZ"/>
        </w:rPr>
        <w:t xml:space="preserve">), protože intelekt musí nazírat smyslová fantasmata.“ </w:t>
      </w:r>
      <w:r>
        <w:rPr>
          <w:rStyle w:val="Znakapoznpodarou"/>
        </w:rPr>
        <w:footnoteReference w:id="178"/>
      </w:r>
    </w:p>
    <w:p w:rsidR="08163013" w:rsidRPr="00273106" w:rsidRDefault="08163013" w:rsidP="08163013">
      <w:r w:rsidRPr="00273106">
        <w:t>Subjektivně je intelektuální složka duše (</w:t>
      </w:r>
      <w:r w:rsidRPr="00273106">
        <w:rPr>
          <w:i/>
        </w:rPr>
        <w:t>anima intellectiva</w:t>
      </w:r>
      <w:r w:rsidRPr="00273106">
        <w:t xml:space="preserve">) autonomní vzhledem ke smyslům. Výkon nemateriálního intelektu je </w:t>
      </w:r>
      <w:r>
        <w:t>oddělen od smyslového poznání</w:t>
      </w:r>
      <w:r w:rsidRPr="00273106">
        <w:t xml:space="preserve"> (</w:t>
      </w:r>
      <w:r w:rsidRPr="00273106">
        <w:rPr>
          <w:i/>
        </w:rPr>
        <w:t xml:space="preserve">exercet suam operationem sine organo </w:t>
      </w:r>
      <w:r>
        <w:rPr>
          <w:i/>
        </w:rPr>
        <w:t>corporali subi</w:t>
      </w:r>
      <w:r w:rsidRPr="00273106">
        <w:rPr>
          <w:i/>
        </w:rPr>
        <w:t>ective</w:t>
      </w:r>
      <w:r w:rsidRPr="00273106">
        <w:t xml:space="preserve">). </w:t>
      </w:r>
      <w:r>
        <w:t>Pro nemateriální intelekt (</w:t>
      </w:r>
      <w:r w:rsidRPr="003A0AF4">
        <w:rPr>
          <w:i/>
        </w:rPr>
        <w:t>inmixtus</w:t>
      </w:r>
      <w:r>
        <w:t>) to znamená, že smyslové orgány nemohou fungovat jako substrát intelektu. Intelekt je dán v živém těle člověka jako nejvyšší schopnost</w:t>
      </w:r>
      <w:r w:rsidRPr="00D76581">
        <w:t xml:space="preserve"> </w:t>
      </w:r>
      <w:r>
        <w:t xml:space="preserve">jeho nemateriální duše, která nemá jeden specifický orgán. </w:t>
      </w:r>
      <w:r w:rsidRPr="00273106">
        <w:t xml:space="preserve">Ale objektivně </w:t>
      </w:r>
      <w:r>
        <w:t xml:space="preserve">je intelekt </w:t>
      </w:r>
      <w:r w:rsidRPr="00273106">
        <w:t>váza</w:t>
      </w:r>
      <w:r>
        <w:t>ný</w:t>
      </w:r>
      <w:r w:rsidRPr="00273106">
        <w:t xml:space="preserve"> na tělo </w:t>
      </w:r>
      <w:r>
        <w:t xml:space="preserve">tím, že dostává aktualitu ze smyslových fantasmat. Pojetí </w:t>
      </w:r>
      <w:r w:rsidR="00C75C33">
        <w:t>„</w:t>
      </w:r>
      <w:r w:rsidRPr="00325988">
        <w:rPr>
          <w:i/>
        </w:rPr>
        <w:t>subiective</w:t>
      </w:r>
      <w:r>
        <w:t>‒</w:t>
      </w:r>
      <w:r w:rsidRPr="00325988">
        <w:rPr>
          <w:i/>
        </w:rPr>
        <w:t>obiective</w:t>
      </w:r>
      <w:r w:rsidR="00C75C33">
        <w:t>“</w:t>
      </w:r>
      <w:r>
        <w:t xml:space="preserve"> ale nemá Sigerův existenciální význam v modu </w:t>
      </w:r>
      <w:r w:rsidR="00C75C33">
        <w:t>„</w:t>
      </w:r>
      <w:r w:rsidRPr="08B72259">
        <w:rPr>
          <w:i/>
        </w:rPr>
        <w:t>ipse homo intelligit</w:t>
      </w:r>
      <w:r w:rsidR="00C75C33">
        <w:t>“</w:t>
      </w:r>
      <w:r>
        <w:t>, ale</w:t>
      </w:r>
      <w:r w:rsidR="00C75C33">
        <w:t xml:space="preserve"> je dáno </w:t>
      </w:r>
      <w:r>
        <w:t xml:space="preserve">v tomistickém modu </w:t>
      </w:r>
      <w:r w:rsidR="00C75C33">
        <w:t>„</w:t>
      </w:r>
      <w:r w:rsidRPr="08EC521F">
        <w:rPr>
          <w:i/>
        </w:rPr>
        <w:t>homo intelligit</w:t>
      </w:r>
      <w:r w:rsidR="00C75C33">
        <w:t>“</w:t>
      </w:r>
      <w:r>
        <w:t xml:space="preserve">. Vzorem je opět výše pojednávané schéma poznání v Tomášově </w:t>
      </w:r>
      <w:r w:rsidR="005C3C60">
        <w:t xml:space="preserve">spisu </w:t>
      </w:r>
      <w:r w:rsidR="005C3C60" w:rsidRPr="00D439F0">
        <w:rPr>
          <w:i/>
          <w:szCs w:val="24"/>
        </w:rPr>
        <w:t>Quaestiones disputatae De potentia</w:t>
      </w:r>
      <w:r w:rsidR="005C3C60">
        <w:rPr>
          <w:szCs w:val="24"/>
        </w:rPr>
        <w:t xml:space="preserve"> (1265–</w:t>
      </w:r>
      <w:r w:rsidR="005C3C60" w:rsidRPr="001624E2">
        <w:rPr>
          <w:szCs w:val="24"/>
        </w:rPr>
        <w:t>66)</w:t>
      </w:r>
      <w:r>
        <w:t xml:space="preserve">. </w:t>
      </w:r>
      <w:r w:rsidRPr="00273106">
        <w:t xml:space="preserve">Poznání produkuje individuální </w:t>
      </w:r>
      <w:r>
        <w:t xml:space="preserve">(ale ne existenciální) </w:t>
      </w:r>
      <w:r w:rsidRPr="00273106">
        <w:t>výkon intelektu</w:t>
      </w:r>
      <w:r>
        <w:t xml:space="preserve"> v těle</w:t>
      </w:r>
      <w:r w:rsidRPr="00273106">
        <w:t xml:space="preserve">. </w:t>
      </w:r>
      <w:r>
        <w:t xml:space="preserve">Intelekt </w:t>
      </w:r>
      <w:r w:rsidRPr="00273106">
        <w:t>je subjektem nemateriální duše jako formy, která tvoří jeho substrát pro nemateriální subsistenci intelektu jako potence</w:t>
      </w:r>
      <w:r w:rsidR="00EF5346">
        <w:t xml:space="preserve">. </w:t>
      </w:r>
      <w:r w:rsidR="003F03FB">
        <w:t xml:space="preserve">Intelekt je činný </w:t>
      </w:r>
      <w:r w:rsidR="00EF5346">
        <w:t>s</w:t>
      </w:r>
      <w:r w:rsidRPr="00273106">
        <w:t xml:space="preserve">krze existenci duše jako </w:t>
      </w:r>
      <w:r w:rsidRPr="00273106">
        <w:lastRenderedPageBreak/>
        <w:t xml:space="preserve">formy těla. Ale objektivně závisí intelekt na smyslech, protože jen skrze </w:t>
      </w:r>
      <w:r w:rsidR="00962190">
        <w:rPr>
          <w:i/>
        </w:rPr>
        <w:t>species</w:t>
      </w:r>
      <w:r w:rsidRPr="00273106">
        <w:rPr>
          <w:i/>
        </w:rPr>
        <w:t xml:space="preserve"> sensibilis</w:t>
      </w:r>
      <w:r>
        <w:rPr>
          <w:i/>
        </w:rPr>
        <w:fldChar w:fldCharType="begin"/>
      </w:r>
      <w:r>
        <w:instrText xml:space="preserve"> XE "</w:instrText>
      </w:r>
      <w:r w:rsidRPr="00374FA1">
        <w:rPr>
          <w:i/>
        </w:rPr>
        <w:instrText>species sensibilis</w:instrText>
      </w:r>
      <w:r>
        <w:instrText xml:space="preserve">" </w:instrText>
      </w:r>
      <w:r>
        <w:rPr>
          <w:i/>
        </w:rPr>
        <w:fldChar w:fldCharType="end"/>
      </w:r>
      <w:r w:rsidRPr="00273106">
        <w:t xml:space="preserve"> může vytvářet inteligibilní obsahy. </w:t>
      </w:r>
      <w:r>
        <w:t>Intelekt bere smyslová fantasmata jako předmět vlastního poznání (</w:t>
      </w:r>
      <w:r w:rsidRPr="08A43317">
        <w:rPr>
          <w:i/>
        </w:rPr>
        <w:t>obiectum</w:t>
      </w:r>
      <w:r>
        <w:t xml:space="preserve">), protože mají reálnou aktualitu danou od vnější věci a od tělesně daných smyslů. </w:t>
      </w:r>
      <w:r w:rsidRPr="00273106">
        <w:t xml:space="preserve">Díky práci </w:t>
      </w:r>
      <w:r w:rsidRPr="00273106">
        <w:rPr>
          <w:i/>
        </w:rPr>
        <w:t>intellectus agens</w:t>
      </w:r>
      <w:r>
        <w:rPr>
          <w:i/>
        </w:rPr>
        <w:fldChar w:fldCharType="begin"/>
      </w:r>
      <w:r>
        <w:instrText xml:space="preserve"> XE "</w:instrText>
      </w:r>
      <w:r w:rsidRPr="00490D32">
        <w:rPr>
          <w:i/>
        </w:rPr>
        <w:instrText>intellectus agens:</w:instrText>
      </w:r>
      <w:r w:rsidRPr="00FA7E90">
        <w:instrText>Anonym Bazán</w:instrText>
      </w:r>
      <w:r>
        <w:instrText xml:space="preserve">" </w:instrText>
      </w:r>
      <w:r>
        <w:rPr>
          <w:i/>
        </w:rPr>
        <w:fldChar w:fldCharType="end"/>
      </w:r>
      <w:r w:rsidRPr="00273106">
        <w:t xml:space="preserve"> se v aktu abstrakce ze smyslových </w:t>
      </w:r>
      <w:r w:rsidR="00962190" w:rsidRPr="00441858">
        <w:t>species</w:t>
      </w:r>
      <w:r w:rsidRPr="00273106">
        <w:t xml:space="preserve"> přijatých v nemateriálním prostředí </w:t>
      </w:r>
      <w:r w:rsidRPr="00273106">
        <w:rPr>
          <w:i/>
        </w:rPr>
        <w:t>intellectus possibilis</w:t>
      </w:r>
      <w:r w:rsidRPr="00273106">
        <w:t xml:space="preserve"> tvoří univerzální inteligibilní </w:t>
      </w:r>
      <w:r w:rsidR="00962190" w:rsidRPr="00441858">
        <w:t>species</w:t>
      </w:r>
      <w:r w:rsidRPr="00273106">
        <w:t xml:space="preserve">. </w:t>
      </w:r>
      <w:r>
        <w:t xml:space="preserve">Tím vznikla diference </w:t>
      </w:r>
      <w:r w:rsidRPr="00273106">
        <w:t xml:space="preserve">mezi subjektivním výkonem intelektu v </w:t>
      </w:r>
      <w:r w:rsidR="00D44BFA">
        <w:t>duši</w:t>
      </w:r>
      <w:r w:rsidRPr="00273106">
        <w:t xml:space="preserve"> </w:t>
      </w:r>
      <w:r>
        <w:t>(</w:t>
      </w:r>
      <w:r w:rsidRPr="089429D3">
        <w:rPr>
          <w:i/>
        </w:rPr>
        <w:t xml:space="preserve">tertium </w:t>
      </w:r>
      <w:r w:rsidR="00962190">
        <w:rPr>
          <w:i/>
        </w:rPr>
        <w:t>genus</w:t>
      </w:r>
      <w:r>
        <w:t xml:space="preserve">) </w:t>
      </w:r>
      <w:r w:rsidRPr="00273106">
        <w:t xml:space="preserve">a mezi univerzálním významem </w:t>
      </w:r>
      <w:r w:rsidR="00D44BFA">
        <w:t>shodným</w:t>
      </w:r>
      <w:r w:rsidRPr="00273106">
        <w:t xml:space="preserve"> pro všechny lidi</w:t>
      </w:r>
      <w:r>
        <w:t xml:space="preserve"> (</w:t>
      </w:r>
      <w:r w:rsidRPr="089429D3">
        <w:rPr>
          <w:i/>
        </w:rPr>
        <w:t xml:space="preserve">quartum </w:t>
      </w:r>
      <w:r w:rsidR="00962190">
        <w:rPr>
          <w:i/>
        </w:rPr>
        <w:t>genus</w:t>
      </w:r>
      <w:r>
        <w:t>)</w:t>
      </w:r>
      <w:r w:rsidRPr="00273106">
        <w:t>.</w:t>
      </w:r>
      <w:r>
        <w:t xml:space="preserve"> </w:t>
      </w:r>
      <w:r w:rsidRPr="00273106">
        <w:t>Vzhledem k předchozímu odmítnutí jakékoliv látky v intelektu musí anonym trvat na čisté potenci intelektu, aby byl receptivní v univerzálním významu pro každé poznání. Klíčová část odmítnut</w:t>
      </w:r>
      <w:r>
        <w:t>í první materie pro intelekt identifikuje oponenta ze školy druhého averroismu.</w:t>
      </w:r>
    </w:p>
    <w:p w:rsidR="08163013" w:rsidRPr="008346A6" w:rsidRDefault="08163013" w:rsidP="08163013">
      <w:pPr>
        <w:pStyle w:val="Citace"/>
        <w:rPr>
          <w:noProof/>
          <w:lang w:val="cs-CZ"/>
        </w:rPr>
      </w:pPr>
      <w:r w:rsidRPr="00273106">
        <w:rPr>
          <w:noProof/>
          <w:lang w:val="cs-CZ"/>
        </w:rPr>
        <w:t>„</w:t>
      </w:r>
      <w:r>
        <w:rPr>
          <w:noProof/>
          <w:lang w:val="cs-CZ"/>
        </w:rPr>
        <w:t>Odmítám druhé tvrzení: p</w:t>
      </w:r>
      <w:r>
        <w:rPr>
          <w:lang w:val="cs-CZ"/>
        </w:rPr>
        <w:t>okud by intelekt byl čistá potence, lišil by se od první materie</w:t>
      </w:r>
      <w:r>
        <w:rPr>
          <w:noProof/>
          <w:lang w:val="cs-CZ"/>
        </w:rPr>
        <w:t xml:space="preserve">. Dokazuješ, že intelekt je v potenci ke všemu inteligibilnímu stejně jako je první materie v potenci pro přijetí všech forem. Pravím, že to není totéž, protože první materie je v potenci pouze pro přijetí všech přirozených forem a jednotlivin. Naopak intelekt je v potenci pro přijetí všech forem: inteligibilních, spirituálních a intencionálních, protože funguje jako primární materie pro přijetí těchto forem. Proto se od sebe obě pojetí zásadně liší.“ </w:t>
      </w:r>
      <w:r>
        <w:rPr>
          <w:rStyle w:val="Znakapoznpodarou"/>
        </w:rPr>
        <w:footnoteReference w:id="179"/>
      </w:r>
    </w:p>
    <w:p w:rsidR="00F6510D" w:rsidRDefault="08163013" w:rsidP="00EE55EA">
      <w:r w:rsidRPr="00273106">
        <w:t xml:space="preserve">Receptivní složka intelektu nemůže být </w:t>
      </w:r>
      <w:r w:rsidRPr="00273106">
        <w:rPr>
          <w:i/>
        </w:rPr>
        <w:t>materia prima</w:t>
      </w:r>
      <w:r>
        <w:rPr>
          <w:i/>
        </w:rPr>
        <w:fldChar w:fldCharType="begin"/>
      </w:r>
      <w:r>
        <w:instrText xml:space="preserve"> XE "</w:instrText>
      </w:r>
      <w:r w:rsidRPr="08D704BF">
        <w:instrText>materie</w:instrText>
      </w:r>
      <w:r>
        <w:rPr>
          <w:i/>
        </w:rPr>
        <w:instrText xml:space="preserve">:materia </w:instrText>
      </w:r>
      <w:r w:rsidRPr="006D194D">
        <w:rPr>
          <w:i/>
        </w:rPr>
        <w:instrText>prima</w:instrText>
      </w:r>
      <w:r>
        <w:instrText xml:space="preserve">" </w:instrText>
      </w:r>
      <w:r>
        <w:rPr>
          <w:i/>
        </w:rPr>
        <w:fldChar w:fldCharType="end"/>
      </w:r>
      <w:r w:rsidRPr="00273106">
        <w:t xml:space="preserve">, protože obě formy recepce jsou diametrálně odlišné </w:t>
      </w:r>
      <w:r>
        <w:t xml:space="preserve">z hlediska metafyziky </w:t>
      </w:r>
      <w:r w:rsidRPr="00273106">
        <w:t>(</w:t>
      </w:r>
      <w:r w:rsidRPr="00273106">
        <w:rPr>
          <w:i/>
        </w:rPr>
        <w:t>maxime differunt</w:t>
      </w:r>
      <w:r w:rsidRPr="00273106">
        <w:t>). První látka je koncept pro hylemorfické substance</w:t>
      </w:r>
      <w:r>
        <w:fldChar w:fldCharType="begin"/>
      </w:r>
      <w:r>
        <w:instrText xml:space="preserve"> XE "</w:instrText>
      </w:r>
      <w:r w:rsidRPr="00DE2A32">
        <w:instrText>substance</w:instrText>
      </w:r>
      <w:r>
        <w:instrText xml:space="preserve">:hylemorfická" </w:instrText>
      </w:r>
      <w:r>
        <w:fldChar w:fldCharType="end"/>
      </w:r>
      <w:r w:rsidRPr="00273106">
        <w:t xml:space="preserve"> (</w:t>
      </w:r>
      <w:r w:rsidRPr="00273106">
        <w:rPr>
          <w:i/>
        </w:rPr>
        <w:t>materia prima est in potentia ad recipiendum omnes formas naturales et particulares</w:t>
      </w:r>
      <w:r w:rsidRPr="00273106">
        <w:t>). Intelekt existuje o jedno patro výš a roli první materie hraje pouze v přeneseném významu (</w:t>
      </w:r>
      <w:r w:rsidRPr="00273106">
        <w:rPr>
          <w:i/>
        </w:rPr>
        <w:t>intellectus est materia prima ad hoc</w:t>
      </w:r>
      <w:r w:rsidRPr="00273106">
        <w:t>). Jeho recepce se týká nemateriálních forem získaných procesem abstrakce (</w:t>
      </w:r>
      <w:r w:rsidRPr="00273106">
        <w:rPr>
          <w:i/>
        </w:rPr>
        <w:t>intellectus est potentia ad recipiendum omnes formas intelligibilis et spirituales et intentionales</w:t>
      </w:r>
      <w:r w:rsidRPr="00273106">
        <w:t xml:space="preserve">). Tuto teorii primární materie dané v intelektu naopak obhahuje </w:t>
      </w:r>
      <w:r>
        <w:t xml:space="preserve">Pecham jako </w:t>
      </w:r>
      <w:r w:rsidR="087A43F0">
        <w:t xml:space="preserve">objektivní </w:t>
      </w:r>
      <w:r>
        <w:t>nástupce Davida z Dinantu</w:t>
      </w:r>
      <w:r w:rsidRPr="00273106">
        <w:t>.</w:t>
      </w:r>
      <w:r w:rsidRPr="00273106">
        <w:rPr>
          <w:rStyle w:val="Znakapoznpodarou"/>
        </w:rPr>
        <w:footnoteReference w:id="180"/>
      </w:r>
      <w:r w:rsidRPr="00273106">
        <w:t xml:space="preserve"> Modernisté </w:t>
      </w:r>
      <w:r>
        <w:t xml:space="preserve">Bonaventurovy školy </w:t>
      </w:r>
      <w:r w:rsidRPr="00273106">
        <w:lastRenderedPageBreak/>
        <w:t xml:space="preserve">potřebují pro proces intelektuálního poznání </w:t>
      </w:r>
      <w:r>
        <w:t xml:space="preserve">nějaký receptivní subjekt daný jako </w:t>
      </w:r>
      <w:r w:rsidRPr="00273106">
        <w:t>objekti</w:t>
      </w:r>
      <w:r>
        <w:t xml:space="preserve">vní jsoucno, tedy </w:t>
      </w:r>
      <w:r w:rsidRPr="00273106">
        <w:t xml:space="preserve">v podobě </w:t>
      </w:r>
      <w:r>
        <w:t xml:space="preserve">hypostázované </w:t>
      </w:r>
      <w:r w:rsidRPr="00273106">
        <w:rPr>
          <w:i/>
        </w:rPr>
        <w:t>materia prima</w:t>
      </w:r>
      <w:r>
        <w:rPr>
          <w:i/>
        </w:rPr>
        <w:fldChar w:fldCharType="begin"/>
      </w:r>
      <w:r>
        <w:instrText xml:space="preserve"> XE "</w:instrText>
      </w:r>
      <w:r w:rsidRPr="08D704BF">
        <w:instrText>materie</w:instrText>
      </w:r>
      <w:r>
        <w:rPr>
          <w:i/>
        </w:rPr>
        <w:instrText xml:space="preserve">:materia </w:instrText>
      </w:r>
      <w:r w:rsidRPr="006D194D">
        <w:rPr>
          <w:i/>
        </w:rPr>
        <w:instrText>prima</w:instrText>
      </w:r>
      <w:r>
        <w:instrText xml:space="preserve">" </w:instrText>
      </w:r>
      <w:r>
        <w:rPr>
          <w:i/>
        </w:rPr>
        <w:fldChar w:fldCharType="end"/>
      </w:r>
      <w:r w:rsidRPr="00273106">
        <w:t xml:space="preserve">. Ta nese plnost </w:t>
      </w:r>
      <w:r w:rsidRPr="00273106">
        <w:rPr>
          <w:i/>
        </w:rPr>
        <w:t>simplicitas</w:t>
      </w:r>
      <w:r w:rsidRPr="00273106">
        <w:t xml:space="preserve">, která je následně determinována skrze </w:t>
      </w:r>
      <w:r w:rsidR="00330425">
        <w:t xml:space="preserve">objektivní </w:t>
      </w:r>
      <w:r w:rsidR="00962190" w:rsidRPr="00330425">
        <w:t>species</w:t>
      </w:r>
      <w:r w:rsidRPr="00273106">
        <w:t xml:space="preserve">. </w:t>
      </w:r>
      <w:r>
        <w:t>Pecham</w:t>
      </w:r>
      <w:r w:rsidRPr="00273106">
        <w:t xml:space="preserve"> </w:t>
      </w:r>
      <w:r>
        <w:t xml:space="preserve">ze školy druhého averroismu </w:t>
      </w:r>
      <w:r w:rsidRPr="00273106">
        <w:t xml:space="preserve">musí odmítnout </w:t>
      </w:r>
      <w:r>
        <w:t xml:space="preserve">existenciální výkon </w:t>
      </w:r>
      <w:r w:rsidRPr="00273106">
        <w:t xml:space="preserve">intelektu podle CMDA. Tento eminentní stoupenec druhého averroismu je inspirovaný dělením kvazi-materiálního kontinua </w:t>
      </w:r>
      <w:r w:rsidRPr="00273106">
        <w:rPr>
          <w:i/>
        </w:rPr>
        <w:t>Nominales</w:t>
      </w:r>
      <w:r w:rsidRPr="00273106">
        <w:t xml:space="preserve"> podle </w:t>
      </w:r>
      <w:r>
        <w:t>Porfyri</w:t>
      </w:r>
      <w:r w:rsidRPr="00273106">
        <w:t xml:space="preserve">ova stromu. </w:t>
      </w:r>
      <w:r>
        <w:t xml:space="preserve">Modernisté </w:t>
      </w:r>
      <w:proofErr w:type="gramStart"/>
      <w:r>
        <w:t>n</w:t>
      </w:r>
      <w:r w:rsidRPr="00273106">
        <w:t>eví</w:t>
      </w:r>
      <w:proofErr w:type="gramEnd"/>
      <w:r w:rsidRPr="00273106">
        <w:t xml:space="preserve">, jak by univerzální </w:t>
      </w:r>
      <w:r w:rsidR="00962190" w:rsidRPr="00AA19CC">
        <w:t>species</w:t>
      </w:r>
      <w:r w:rsidRPr="00273106">
        <w:t xml:space="preserve"> mohl být </w:t>
      </w:r>
      <w:r>
        <w:t>přijat v</w:t>
      </w:r>
      <w:r w:rsidR="00A41CBB">
        <w:t xml:space="preserve"> personálním </w:t>
      </w:r>
      <w:r>
        <w:t xml:space="preserve">výkonu poznání. Jejich </w:t>
      </w:r>
      <w:r w:rsidR="00962190" w:rsidRPr="00AA19CC">
        <w:t>species</w:t>
      </w:r>
      <w:r>
        <w:t xml:space="preserve"> je porretánská hypostáze a toto jsoucno třetího druhu se musí platonsky obtisknout do nějaké inteligibilní materie v lidské duši. Následující Pechamova argumentace ukazuje, proč škola druhého averroismu musela držet materiální intelekt v modu univerzálního hylemorfismu</w:t>
      </w:r>
      <w:r>
        <w:fldChar w:fldCharType="begin"/>
      </w:r>
      <w:r>
        <w:instrText xml:space="preserve"> XE "</w:instrText>
      </w:r>
      <w:r w:rsidRPr="00423560">
        <w:instrText>univerzální hylemorfismus</w:instrText>
      </w:r>
      <w:r>
        <w:instrText xml:space="preserve">" </w:instrText>
      </w:r>
      <w:r>
        <w:fldChar w:fldCharType="end"/>
      </w:r>
      <w:r>
        <w:t>, tedy jako substanci.</w:t>
      </w:r>
      <w:r w:rsidRPr="00273106">
        <w:rPr>
          <w:rStyle w:val="Znakapoznpodarou"/>
        </w:rPr>
        <w:footnoteReference w:id="181"/>
      </w:r>
      <w:r>
        <w:t xml:space="preserve"> </w:t>
      </w:r>
      <w:r w:rsidR="00962190" w:rsidRPr="00AA19CC">
        <w:rPr>
          <w:szCs w:val="14"/>
        </w:rPr>
        <w:t>Species</w:t>
      </w:r>
      <w:r>
        <w:rPr>
          <w:szCs w:val="14"/>
        </w:rPr>
        <w:t xml:space="preserve"> třetího druhu je nutno přijmout individuálně, protože poznáváme každý za sebe. Pechamovo pojetí jednoty </w:t>
      </w:r>
      <w:r w:rsidR="005D4BA4">
        <w:rPr>
          <w:szCs w:val="14"/>
        </w:rPr>
        <w:t xml:space="preserve">moderní </w:t>
      </w:r>
      <w:r>
        <w:rPr>
          <w:szCs w:val="14"/>
        </w:rPr>
        <w:t xml:space="preserve">osoby je dáno </w:t>
      </w:r>
      <w:r w:rsidR="00FB2094">
        <w:rPr>
          <w:szCs w:val="14"/>
        </w:rPr>
        <w:t xml:space="preserve">jako </w:t>
      </w:r>
      <w:r w:rsidR="005D4BA4">
        <w:rPr>
          <w:szCs w:val="14"/>
        </w:rPr>
        <w:t>„</w:t>
      </w:r>
      <w:r w:rsidRPr="00273106">
        <w:rPr>
          <w:i/>
        </w:rPr>
        <w:t>totum virtuale</w:t>
      </w:r>
      <w:r w:rsidR="005D4BA4">
        <w:t>“</w:t>
      </w:r>
      <w:r>
        <w:rPr>
          <w:i/>
        </w:rPr>
        <w:fldChar w:fldCharType="begin"/>
      </w:r>
      <w:r>
        <w:instrText xml:space="preserve"> XE "</w:instrText>
      </w:r>
      <w:r w:rsidRPr="00FA7E90">
        <w:instrText>osoba</w:instrText>
      </w:r>
      <w:r w:rsidRPr="00A10A92">
        <w:rPr>
          <w:i/>
        </w:rPr>
        <w:instrText>:totum virtuale</w:instrText>
      </w:r>
      <w:r>
        <w:instrText xml:space="preserve">" </w:instrText>
      </w:r>
      <w:r>
        <w:rPr>
          <w:i/>
        </w:rPr>
        <w:fldChar w:fldCharType="end"/>
      </w:r>
      <w:r w:rsidR="087A43F0">
        <w:t xml:space="preserve"> (kap. 4</w:t>
      </w:r>
      <w:r w:rsidR="00B95832">
        <w:t>.2</w:t>
      </w:r>
      <w:r w:rsidRPr="00273106">
        <w:t>.2)</w:t>
      </w:r>
      <w:r>
        <w:t xml:space="preserve">. </w:t>
      </w:r>
      <w:r>
        <w:rPr>
          <w:szCs w:val="14"/>
        </w:rPr>
        <w:t xml:space="preserve">Pak musí existovat individuální receptivní a hypostázovaný </w:t>
      </w:r>
      <w:r w:rsidRPr="0040499F">
        <w:rPr>
          <w:i/>
          <w:szCs w:val="14"/>
        </w:rPr>
        <w:t>intellectus possibilis</w:t>
      </w:r>
      <w:r>
        <w:rPr>
          <w:szCs w:val="14"/>
        </w:rPr>
        <w:t xml:space="preserve">. Protože je individualizovaný pomocí </w:t>
      </w:r>
      <w:r w:rsidRPr="0040499F">
        <w:rPr>
          <w:i/>
          <w:szCs w:val="14"/>
        </w:rPr>
        <w:t>materia spiritualis</w:t>
      </w:r>
      <w:r>
        <w:rPr>
          <w:szCs w:val="14"/>
        </w:rPr>
        <w:t>, je numericky odlišný ve všech lidech</w:t>
      </w:r>
      <w:r>
        <w:rPr>
          <w:szCs w:val="14"/>
        </w:rPr>
        <w:fldChar w:fldCharType="begin"/>
      </w:r>
      <w:r>
        <w:instrText xml:space="preserve"> XE "</w:instrText>
      </w:r>
      <w:r w:rsidRPr="00DB199F">
        <w:instrText>intelekt:numericky jednotný</w:instrText>
      </w:r>
      <w:r>
        <w:instrText xml:space="preserve">" </w:instrText>
      </w:r>
      <w:r>
        <w:rPr>
          <w:szCs w:val="14"/>
        </w:rPr>
        <w:fldChar w:fldCharType="end"/>
      </w:r>
      <w:r>
        <w:rPr>
          <w:szCs w:val="14"/>
        </w:rPr>
        <w:t xml:space="preserve">. </w:t>
      </w:r>
      <w:r w:rsidRPr="00273106">
        <w:t xml:space="preserve">Podle druhého averroismu platí, že kvůli univerzalitě univočních </w:t>
      </w:r>
      <w:r w:rsidR="00962190">
        <w:rPr>
          <w:i/>
        </w:rPr>
        <w:t>species</w:t>
      </w:r>
      <w:r w:rsidRPr="00273106">
        <w:t xml:space="preserve"> musí jít individuace intelektu přes </w:t>
      </w:r>
      <w:r>
        <w:t xml:space="preserve">individuální </w:t>
      </w:r>
      <w:r w:rsidRPr="00273106">
        <w:rPr>
          <w:i/>
        </w:rPr>
        <w:t>materia spiritualis</w:t>
      </w:r>
      <w:r>
        <w:rPr>
          <w:i/>
        </w:rPr>
        <w:t xml:space="preserve"> </w:t>
      </w:r>
      <w:r>
        <w:rPr>
          <w:i/>
        </w:rPr>
        <w:fldChar w:fldCharType="begin"/>
      </w:r>
      <w:r>
        <w:instrText xml:space="preserve"> XE "</w:instrText>
      </w:r>
      <w:r w:rsidRPr="08A516BF">
        <w:instrText>materie</w:instrText>
      </w:r>
      <w:r>
        <w:rPr>
          <w:i/>
        </w:rPr>
        <w:instrText xml:space="preserve">:materia </w:instrText>
      </w:r>
      <w:r w:rsidRPr="00612581">
        <w:rPr>
          <w:i/>
        </w:rPr>
        <w:instrText>spiritualis</w:instrText>
      </w:r>
      <w:r>
        <w:instrText xml:space="preserve">" </w:instrText>
      </w:r>
      <w:r>
        <w:rPr>
          <w:i/>
        </w:rPr>
        <w:fldChar w:fldCharType="end"/>
      </w:r>
      <w:r w:rsidRPr="00273106">
        <w:t xml:space="preserve">nebo </w:t>
      </w:r>
      <w:r>
        <w:t xml:space="preserve">skrze kosmickou </w:t>
      </w:r>
      <w:r w:rsidRPr="00273106">
        <w:rPr>
          <w:i/>
        </w:rPr>
        <w:t>materia prima</w:t>
      </w:r>
      <w:r>
        <w:t xml:space="preserve">. Tím vznikne </w:t>
      </w:r>
      <w:r w:rsidRPr="00273106">
        <w:t xml:space="preserve">dualismus </w:t>
      </w:r>
      <w:r>
        <w:t>dvou forem receptivníh</w:t>
      </w:r>
      <w:r w:rsidR="008D4137">
        <w:t>o intelektu (lidský a kosmický). Poznání vzniká k</w:t>
      </w:r>
      <w:r>
        <w:t xml:space="preserve">opulací </w:t>
      </w:r>
      <w:r w:rsidR="008D4137">
        <w:t xml:space="preserve">obou podob </w:t>
      </w:r>
      <w:r w:rsidRPr="08C73F36">
        <w:rPr>
          <w:i/>
        </w:rPr>
        <w:t>intellectus possibilis</w:t>
      </w:r>
      <w:r w:rsidRPr="00273106">
        <w:t xml:space="preserve">. </w:t>
      </w:r>
      <w:r>
        <w:t>Pecham</w:t>
      </w:r>
      <w:r w:rsidRPr="00273106">
        <w:t xml:space="preserve"> vykládá </w:t>
      </w:r>
      <w:r>
        <w:t>Averroes</w:t>
      </w:r>
      <w:r w:rsidRPr="00273106">
        <w:t xml:space="preserve">ovo učení tak, že pro univerzální </w:t>
      </w:r>
      <w:r w:rsidR="00962190">
        <w:rPr>
          <w:i/>
        </w:rPr>
        <w:t>species</w:t>
      </w:r>
      <w:r w:rsidRPr="00273106">
        <w:t xml:space="preserve"> </w:t>
      </w:r>
      <w:r>
        <w:t xml:space="preserve">prý Komentátor postuluje jen </w:t>
      </w:r>
      <w:r w:rsidRPr="00273106">
        <w:t xml:space="preserve">jeden nemateriální receptivní intelekt </w:t>
      </w:r>
      <w:r>
        <w:t>jako substanci</w:t>
      </w:r>
      <w:r w:rsidRPr="00273106">
        <w:t xml:space="preserve">, aby zajistil nemateriální poznání objektivně daných </w:t>
      </w:r>
      <w:r w:rsidR="00962190">
        <w:rPr>
          <w:i/>
        </w:rPr>
        <w:t>species</w:t>
      </w:r>
      <w:r w:rsidRPr="00273106">
        <w:t xml:space="preserve">. Anonym je zásadně proti takovému řešení a upozorňuje protivníka na omyl v případě recepce univerzálního </w:t>
      </w:r>
      <w:r w:rsidR="00962190">
        <w:rPr>
          <w:i/>
        </w:rPr>
        <w:t>species</w:t>
      </w:r>
      <w:r w:rsidRPr="00273106">
        <w:t xml:space="preserve">. </w:t>
      </w:r>
      <w:r w:rsidR="008A50CE">
        <w:t xml:space="preserve">Oponent </w:t>
      </w:r>
      <w:r w:rsidRPr="00273106">
        <w:t>nerozlišuje mezi výkonem individuální syntézy intelektu (</w:t>
      </w:r>
      <w:r w:rsidRPr="00273106">
        <w:rPr>
          <w:i/>
        </w:rPr>
        <w:t>subiective</w:t>
      </w:r>
      <w:r w:rsidRPr="00273106">
        <w:t>) a mezi výsledným produktem intelektu (</w:t>
      </w:r>
      <w:r w:rsidRPr="00273106">
        <w:rPr>
          <w:i/>
        </w:rPr>
        <w:t>obiective</w:t>
      </w:r>
      <w:r>
        <w:rPr>
          <w:i/>
        </w:rPr>
        <w:fldChar w:fldCharType="begin"/>
      </w:r>
      <w:r>
        <w:instrText xml:space="preserve"> XE "</w:instrText>
      </w:r>
      <w:r w:rsidRPr="006841AD">
        <w:instrText>intelekt:</w:instrText>
      </w:r>
      <w:r w:rsidRPr="00863D73">
        <w:rPr>
          <w:i/>
        </w:rPr>
        <w:instrText>subiective</w:instrText>
      </w:r>
      <w:r w:rsidRPr="006841AD">
        <w:instrText>/</w:instrText>
      </w:r>
      <w:r w:rsidRPr="00863D73">
        <w:rPr>
          <w:i/>
        </w:rPr>
        <w:instrText>obiective</w:instrText>
      </w:r>
      <w:r>
        <w:instrText xml:space="preserve">" </w:instrText>
      </w:r>
      <w:r>
        <w:rPr>
          <w:i/>
        </w:rPr>
        <w:fldChar w:fldCharType="end"/>
      </w:r>
      <w:r w:rsidRPr="00273106">
        <w:t>).</w:t>
      </w:r>
      <w:r w:rsidR="00EE55EA">
        <w:t xml:space="preserve"> </w:t>
      </w:r>
      <w:r w:rsidR="00291134">
        <w:t>Anonymovo r</w:t>
      </w:r>
      <w:r w:rsidR="00A12A94">
        <w:t>ozlišení „</w:t>
      </w:r>
      <w:proofErr w:type="gramStart"/>
      <w:r w:rsidR="00A12A94">
        <w:rPr>
          <w:i/>
        </w:rPr>
        <w:t>subi</w:t>
      </w:r>
      <w:r w:rsidR="00A12A94" w:rsidRPr="00A12A94">
        <w:rPr>
          <w:i/>
        </w:rPr>
        <w:t>ective</w:t>
      </w:r>
      <w:proofErr w:type="gramEnd"/>
      <w:r w:rsidR="00A12A94" w:rsidRPr="00A12A94">
        <w:rPr>
          <w:rFonts w:cs="Calibri"/>
          <w:i/>
        </w:rPr>
        <w:t>—</w:t>
      </w:r>
      <w:proofErr w:type="gramStart"/>
      <w:r w:rsidR="00A12A94" w:rsidRPr="00A12A94">
        <w:rPr>
          <w:i/>
        </w:rPr>
        <w:t>obiective</w:t>
      </w:r>
      <w:proofErr w:type="gramEnd"/>
      <w:r w:rsidR="00A12A94">
        <w:t xml:space="preserve">“ </w:t>
      </w:r>
      <w:r w:rsidR="00A12A94">
        <w:lastRenderedPageBreak/>
        <w:t>nepochopilo základní argumentaci CMDA, což Aegidiovi jako autorovi tohoto spisu jasně vysvětlil Boethius z Dácie (</w:t>
      </w:r>
      <w:r w:rsidR="00A12A94" w:rsidRPr="00A12A94">
        <w:rPr>
          <w:i/>
        </w:rPr>
        <w:t>Anonymus Giele</w:t>
      </w:r>
      <w:r w:rsidR="00A12A94">
        <w:t>).</w:t>
      </w:r>
      <w:r w:rsidR="00291134">
        <w:t xml:space="preserve"> </w:t>
      </w:r>
      <w:r w:rsidR="00CA1EBD" w:rsidRPr="00CA1EBD">
        <w:t>Vysvětlení individuálního poznání se mísí s jeho univerzálním produktem (</w:t>
      </w:r>
      <w:r w:rsidR="00CA1EBD" w:rsidRPr="00CA1EBD">
        <w:rPr>
          <w:i/>
        </w:rPr>
        <w:t>species est similitudo plurium, sic es universalis</w:t>
      </w:r>
      <w:r w:rsidR="00CA1EBD" w:rsidRPr="00CA1EBD">
        <w:t>).</w:t>
      </w:r>
      <w:r w:rsidR="00CA1EBD" w:rsidRPr="00273106">
        <w:rPr>
          <w:rStyle w:val="Znakapoznpodarou"/>
        </w:rPr>
        <w:footnoteReference w:id="182"/>
      </w:r>
      <w:r w:rsidR="00CA1EBD">
        <w:t xml:space="preserve"> </w:t>
      </w:r>
      <w:r w:rsidR="00CA1EBD" w:rsidRPr="00CA1EBD">
        <w:t>Taková definice je buď záměrně sofistická, nebo povrchně zahrnuje závěr Sigerova přesného výkladu.</w:t>
      </w:r>
      <w:r w:rsidR="00CA1EBD">
        <w:t xml:space="preserve"> </w:t>
      </w:r>
      <w:r w:rsidR="00225879">
        <w:t>P</w:t>
      </w:r>
      <w:r>
        <w:t xml:space="preserve">okud jde o pouhé </w:t>
      </w:r>
      <w:r w:rsidRPr="00BE115B">
        <w:rPr>
          <w:i/>
        </w:rPr>
        <w:t>reportatio</w:t>
      </w:r>
      <w:r>
        <w:t xml:space="preserve"> studenta, pak lze omluvit toto nedostatečné shrnutí rozdílu mezi </w:t>
      </w:r>
      <w:r w:rsidRPr="00BE115B">
        <w:rPr>
          <w:i/>
        </w:rPr>
        <w:t>tertium</w:t>
      </w:r>
      <w:r>
        <w:t xml:space="preserve"> a </w:t>
      </w:r>
      <w:r w:rsidRPr="00BE115B">
        <w:rPr>
          <w:i/>
        </w:rPr>
        <w:t xml:space="preserve">quartum </w:t>
      </w:r>
      <w:r w:rsidR="00962190">
        <w:rPr>
          <w:i/>
        </w:rPr>
        <w:t>genus</w:t>
      </w:r>
      <w:r>
        <w:rPr>
          <w:i/>
        </w:rPr>
        <w:fldChar w:fldCharType="begin"/>
      </w:r>
      <w:r>
        <w:instrText xml:space="preserve"> XE "</w:instrText>
      </w:r>
      <w:r w:rsidRPr="00191848">
        <w:rPr>
          <w:i/>
        </w:rPr>
        <w:instrText>quartum genus</w:instrText>
      </w:r>
      <w:r>
        <w:instrText xml:space="preserve">" </w:instrText>
      </w:r>
      <w:r>
        <w:rPr>
          <w:i/>
        </w:rPr>
        <w:fldChar w:fldCharType="end"/>
      </w:r>
      <w:r>
        <w:t xml:space="preserve"> podle CMDA. Ale hermeneutika tvrdí, že jde o Aegidiův výtvor </w:t>
      </w:r>
      <w:r w:rsidR="08706FC8">
        <w:t xml:space="preserve">napsaný </w:t>
      </w:r>
      <w:r>
        <w:t>v momentu, kdy ustavuje první tomistickou prezentaci Akvinského</w:t>
      </w:r>
      <w:r w:rsidR="00B66215">
        <w:t xml:space="preserve"> pojetí </w:t>
      </w:r>
      <w:r w:rsidR="00B66215" w:rsidRPr="00B66215">
        <w:rPr>
          <w:i/>
        </w:rPr>
        <w:t>De anima</w:t>
      </w:r>
      <w:r>
        <w:t xml:space="preserve">. Pak platí, že Aegidius úmyslně desinterpetuje pozici Averroese a Sigera, protože jejich výklad CMDA velmi dobře zná a v základních rysech (viz pojetí </w:t>
      </w:r>
      <w:r w:rsidRPr="084772C7">
        <w:rPr>
          <w:i/>
        </w:rPr>
        <w:t>subiective</w:t>
      </w:r>
      <w:r>
        <w:t>‒</w:t>
      </w:r>
      <w:r w:rsidRPr="084772C7">
        <w:rPr>
          <w:i/>
        </w:rPr>
        <w:t>obiective</w:t>
      </w:r>
      <w:r>
        <w:t>)</w:t>
      </w:r>
      <w:r w:rsidR="00A70D12">
        <w:t>. Aegidius používá p</w:t>
      </w:r>
      <w:r>
        <w:t>roti Pechamovi</w:t>
      </w:r>
      <w:r w:rsidR="00A70D12">
        <w:t xml:space="preserve"> základní body z výkladu Sigera</w:t>
      </w:r>
      <w:r>
        <w:t>. Komentář nemá tento význam v existenciálním pojetí</w:t>
      </w:r>
      <w:r w:rsidR="00ED3A7F">
        <w:t xml:space="preserve"> Sigera, ale jen v čistě formáln</w:t>
      </w:r>
      <w:r>
        <w:t xml:space="preserve">ím významu Akvinského. </w:t>
      </w:r>
      <w:r w:rsidR="00ED3A7F">
        <w:rPr>
          <w:szCs w:val="24"/>
        </w:rPr>
        <w:t>Aegidius a</w:t>
      </w:r>
      <w:r w:rsidR="08706FC8" w:rsidRPr="00273106">
        <w:t xml:space="preserve">rgumentuje </w:t>
      </w:r>
      <w:r w:rsidR="008414DB">
        <w:t xml:space="preserve">ve stylu prvního averroismu. </w:t>
      </w:r>
      <w:r w:rsidR="00811BE5" w:rsidRPr="00811BE5">
        <w:t>I</w:t>
      </w:r>
      <w:r w:rsidR="00811BE5">
        <w:t>ndividuální akt poznání v modu „</w:t>
      </w:r>
      <w:r w:rsidR="00811BE5" w:rsidRPr="00325988">
        <w:rPr>
          <w:i/>
        </w:rPr>
        <w:t>subiective</w:t>
      </w:r>
      <w:r w:rsidR="00811BE5">
        <w:t>‒</w:t>
      </w:r>
      <w:r w:rsidR="00811BE5" w:rsidRPr="00325988">
        <w:rPr>
          <w:i/>
        </w:rPr>
        <w:t>obiective</w:t>
      </w:r>
      <w:r w:rsidR="00811BE5">
        <w:t xml:space="preserve">“ </w:t>
      </w:r>
      <w:r w:rsidR="00811BE5">
        <w:rPr>
          <w:i/>
        </w:rPr>
        <w:fldChar w:fldCharType="begin"/>
      </w:r>
      <w:r w:rsidR="00811BE5">
        <w:instrText xml:space="preserve"> XE "</w:instrText>
      </w:r>
      <w:r w:rsidR="00811BE5" w:rsidRPr="006841AD">
        <w:instrText>intelekt:</w:instrText>
      </w:r>
      <w:r w:rsidR="00811BE5" w:rsidRPr="00863D73">
        <w:rPr>
          <w:i/>
        </w:rPr>
        <w:instrText>subiective</w:instrText>
      </w:r>
      <w:r w:rsidR="00811BE5" w:rsidRPr="006841AD">
        <w:instrText>/</w:instrText>
      </w:r>
      <w:r w:rsidR="00811BE5" w:rsidRPr="00863D73">
        <w:rPr>
          <w:i/>
        </w:rPr>
        <w:instrText>obiective</w:instrText>
      </w:r>
      <w:r w:rsidR="00811BE5">
        <w:instrText xml:space="preserve">" </w:instrText>
      </w:r>
      <w:r w:rsidR="00811BE5">
        <w:rPr>
          <w:i/>
        </w:rPr>
        <w:fldChar w:fldCharType="end"/>
      </w:r>
      <w:r w:rsidR="00811BE5">
        <w:rPr>
          <w:i/>
        </w:rPr>
        <w:t xml:space="preserve"> </w:t>
      </w:r>
      <w:r w:rsidR="00811BE5" w:rsidRPr="00811BE5">
        <w:t xml:space="preserve">stačil k vyvrácení Pechamova stanoviska. V případě univerzálního významu jako nehmotného poznání v modu </w:t>
      </w:r>
      <w:r w:rsidR="00811BE5" w:rsidRPr="00811BE5">
        <w:rPr>
          <w:i/>
        </w:rPr>
        <w:t>inmixtus</w:t>
      </w:r>
      <w:r w:rsidR="00811BE5" w:rsidRPr="00811BE5">
        <w:t xml:space="preserve"> je modus intelektuální recepce (</w:t>
      </w:r>
      <w:r w:rsidR="00811BE5" w:rsidRPr="00811BE5">
        <w:rPr>
          <w:i/>
        </w:rPr>
        <w:t>intellectus possibilis</w:t>
      </w:r>
      <w:r w:rsidR="00811BE5" w:rsidRPr="00811BE5">
        <w:t>) stejný jako modus intelektuální produkce (</w:t>
      </w:r>
      <w:r w:rsidR="00811BE5" w:rsidRPr="00811BE5">
        <w:rPr>
          <w:i/>
        </w:rPr>
        <w:t>intellectus agens</w:t>
      </w:r>
      <w:r w:rsidR="00811BE5">
        <w:t xml:space="preserve">). </w:t>
      </w:r>
      <w:r w:rsidRPr="00273106">
        <w:t xml:space="preserve">Poznání se děje v nemateriálním modu, ale ve dvou modech recepce: pasivní a aktivní. Recepce ze smyslů běží na úrovni nemateriálního </w:t>
      </w:r>
      <w:r w:rsidRPr="00273106">
        <w:rPr>
          <w:i/>
        </w:rPr>
        <w:t>intellectus possibilis</w:t>
      </w:r>
      <w:r w:rsidRPr="00273106">
        <w:t xml:space="preserve"> a syntéza poznatku na úrovni </w:t>
      </w:r>
      <w:r w:rsidRPr="00273106">
        <w:rPr>
          <w:i/>
        </w:rPr>
        <w:t>intellectus agens</w:t>
      </w:r>
      <w:r w:rsidRPr="00273106">
        <w:t>. Obě složky jsou individuální potence duše, proto je univerzální hylemorfismus</w:t>
      </w:r>
      <w:r>
        <w:fldChar w:fldCharType="begin"/>
      </w:r>
      <w:r>
        <w:instrText xml:space="preserve"> XE "</w:instrText>
      </w:r>
      <w:r w:rsidRPr="005619B2">
        <w:instrText>univerzální hylemorfismus</w:instrText>
      </w:r>
      <w:r>
        <w:instrText xml:space="preserve">" </w:instrText>
      </w:r>
      <w:r>
        <w:fldChar w:fldCharType="end"/>
      </w:r>
      <w:r w:rsidRPr="00273106">
        <w:t xml:space="preserve"> zbytečné a nesmyslné řešení. Z předešlého odmítnutí látky v podobě jsoucna třetího druhu je jasné, že autor musí odmítnout pojetí </w:t>
      </w:r>
      <w:r w:rsidRPr="00273106">
        <w:rPr>
          <w:i/>
        </w:rPr>
        <w:t>magnitudo</w:t>
      </w:r>
      <w:r w:rsidRPr="00273106">
        <w:t xml:space="preserve"> jako esenciální </w:t>
      </w:r>
      <w:r w:rsidR="00B46857">
        <w:t xml:space="preserve">entity </w:t>
      </w:r>
      <w:r w:rsidRPr="00273106">
        <w:t>(</w:t>
      </w:r>
      <w:r w:rsidRPr="00273106">
        <w:rPr>
          <w:i/>
        </w:rPr>
        <w:t>magnitudinis esse</w:t>
      </w:r>
      <w:r w:rsidR="08386106">
        <w:t>). Tuto definici objektivní materie nelze univočně spojit s ari</w:t>
      </w:r>
      <w:r w:rsidR="087A5D94">
        <w:t>s</w:t>
      </w:r>
      <w:r w:rsidR="08386106">
        <w:t xml:space="preserve">totelskou definicí látky určené </w:t>
      </w:r>
      <w:r w:rsidR="087A5D94">
        <w:t>hylem</w:t>
      </w:r>
      <w:r w:rsidRPr="00273106">
        <w:t>orficky (</w:t>
      </w:r>
      <w:r w:rsidRPr="00273106">
        <w:rPr>
          <w:i/>
        </w:rPr>
        <w:t>magnitudo</w:t>
      </w:r>
      <w:r>
        <w:rPr>
          <w:i/>
        </w:rPr>
        <w:fldChar w:fldCharType="begin"/>
      </w:r>
      <w:r>
        <w:instrText xml:space="preserve"> XE "</w:instrText>
      </w:r>
      <w:r w:rsidRPr="00837AAF">
        <w:instrText>rozsažnost</w:instrText>
      </w:r>
      <w:r>
        <w:instrText xml:space="preserve">" </w:instrText>
      </w:r>
      <w:r>
        <w:rPr>
          <w:i/>
        </w:rPr>
        <w:fldChar w:fldCharType="end"/>
      </w:r>
      <w:r w:rsidRPr="00273106">
        <w:t>).</w:t>
      </w:r>
      <w:r>
        <w:rPr>
          <w:rStyle w:val="Znakapoznpodarou"/>
        </w:rPr>
        <w:footnoteReference w:id="183"/>
      </w:r>
      <w:r w:rsidRPr="00273106">
        <w:t xml:space="preserve"> Podobný rozbor </w:t>
      </w:r>
      <w:r>
        <w:t xml:space="preserve">odmítající jsoucno třetího druhu </w:t>
      </w:r>
      <w:r w:rsidRPr="00273106">
        <w:t>najdeme i v další kvestii</w:t>
      </w:r>
      <w:r>
        <w:t xml:space="preserve"> (</w:t>
      </w:r>
      <w:r>
        <w:rPr>
          <w:i/>
        </w:rPr>
        <w:t>Quaestiones</w:t>
      </w:r>
      <w:r>
        <w:t xml:space="preserve"> 3</w:t>
      </w:r>
      <w:r w:rsidRPr="00273106">
        <w:t>.8, p. 481</w:t>
      </w:r>
      <w:r>
        <w:fldChar w:fldCharType="begin"/>
      </w:r>
      <w:r>
        <w:instrText xml:space="preserve"> XE "</w:instrText>
      </w:r>
      <w:r w:rsidRPr="00076C06">
        <w:rPr>
          <w:i/>
        </w:rPr>
        <w:instrText>Anonym Bazán</w:instrText>
      </w:r>
      <w:r>
        <w:instrText xml:space="preserve"> 481" </w:instrText>
      </w:r>
      <w:r>
        <w:fldChar w:fldCharType="end"/>
      </w:r>
      <w:r>
        <w:t>)</w:t>
      </w:r>
      <w:r w:rsidRPr="00273106">
        <w:t xml:space="preserve">. Naopak </w:t>
      </w:r>
      <w:r>
        <w:t>Pecham</w:t>
      </w:r>
      <w:r w:rsidRPr="00273106">
        <w:t xml:space="preserve"> po vzoru Rufuse a Kilwardbyho vztáhnul univoční </w:t>
      </w:r>
      <w:r w:rsidRPr="00273106">
        <w:lastRenderedPageBreak/>
        <w:t xml:space="preserve">pojem </w:t>
      </w:r>
      <w:r w:rsidRPr="00273106">
        <w:rPr>
          <w:i/>
        </w:rPr>
        <w:t>magnitudo</w:t>
      </w:r>
      <w:r>
        <w:rPr>
          <w:i/>
        </w:rPr>
        <w:fldChar w:fldCharType="begin"/>
      </w:r>
      <w:r>
        <w:instrText xml:space="preserve"> XE "</w:instrText>
      </w:r>
      <w:r w:rsidRPr="00837AAF">
        <w:instrText>rozsažnost</w:instrText>
      </w:r>
      <w:r>
        <w:instrText xml:space="preserve">" </w:instrText>
      </w:r>
      <w:r>
        <w:rPr>
          <w:i/>
        </w:rPr>
        <w:fldChar w:fldCharType="end"/>
      </w:r>
      <w:r w:rsidRPr="00273106">
        <w:t xml:space="preserve"> k materii jako </w:t>
      </w:r>
      <w:r>
        <w:t>neoplatonskému</w:t>
      </w:r>
      <w:r w:rsidRPr="00273106">
        <w:t xml:space="preserve"> </w:t>
      </w:r>
      <w:r>
        <w:t>jsoucnu třetího druhu</w:t>
      </w:r>
      <w:r w:rsidRPr="00273106">
        <w:t>.</w:t>
      </w:r>
      <w:r w:rsidRPr="00273106">
        <w:rPr>
          <w:rStyle w:val="Znakapoznpodarou"/>
        </w:rPr>
        <w:footnoteReference w:id="184"/>
      </w:r>
      <w:r w:rsidRPr="00273106">
        <w:t xml:space="preserve"> Hned na téže stránce se ovšem nedůsledný anonym </w:t>
      </w:r>
      <w:r>
        <w:t xml:space="preserve">inspirovaný avicennismem </w:t>
      </w:r>
      <w:r w:rsidRPr="00273106">
        <w:t>odlišuje od prvního averroismu tvrzením, že intelekt je schopen přímo poznat jednotliviny tím, že si uvědomuje rozdíl mezi oběma mody poznání (</w:t>
      </w:r>
      <w:r w:rsidRPr="00273106">
        <w:rPr>
          <w:i/>
        </w:rPr>
        <w:t>intellectus ponit differentiam inter singulare et universale; ergo intellectus intelligit singulare</w:t>
      </w:r>
      <w:r w:rsidRPr="00273106">
        <w:t>, p. 479.24‒26</w:t>
      </w:r>
      <w:r>
        <w:fldChar w:fldCharType="begin"/>
      </w:r>
      <w:r>
        <w:instrText xml:space="preserve"> XE "</w:instrText>
      </w:r>
      <w:r w:rsidRPr="00076C06">
        <w:rPr>
          <w:i/>
        </w:rPr>
        <w:instrText>Anonym Bazán</w:instrText>
      </w:r>
      <w:r>
        <w:instrText xml:space="preserve"> 479.24‒26" </w:instrText>
      </w:r>
      <w:r>
        <w:fldChar w:fldCharType="end"/>
      </w:r>
      <w:r w:rsidRPr="00273106">
        <w:t xml:space="preserve">). Tato avicennovská pozice </w:t>
      </w:r>
      <w:r>
        <w:t>soběstačného intelektu v podobě „létajícího muže</w:t>
      </w:r>
      <w:r>
        <w:fldChar w:fldCharType="begin"/>
      </w:r>
      <w:r>
        <w:instrText xml:space="preserve"> XE "</w:instrText>
      </w:r>
      <w:r w:rsidRPr="00FC391D">
        <w:rPr>
          <w:rStyle w:val="FontStyle129"/>
          <w:sz w:val="24"/>
        </w:rPr>
        <w:instrText>létající muž</w:instrText>
      </w:r>
      <w:r>
        <w:instrText xml:space="preserve">" </w:instrText>
      </w:r>
      <w:r>
        <w:fldChar w:fldCharType="end"/>
      </w:r>
      <w:r>
        <w:t xml:space="preserve">“ s vlastními principy poznání </w:t>
      </w:r>
      <w:r w:rsidRPr="00273106">
        <w:t xml:space="preserve">není slučitelná s učením prvního averroismu, ale naopak s pojetím </w:t>
      </w:r>
      <w:r w:rsidRPr="00273106">
        <w:rPr>
          <w:i/>
        </w:rPr>
        <w:t>Modernorum</w:t>
      </w:r>
      <w:r w:rsidRPr="00273106">
        <w:t>.</w:t>
      </w:r>
      <w:r>
        <w:t xml:space="preserve"> Následující kapitoly ukáží, že pojetí intelektu jako hypostázované formy má ve škole prvního averroismu </w:t>
      </w:r>
      <w:r w:rsidR="0057647C">
        <w:t xml:space="preserve">kolem 1270 </w:t>
      </w:r>
      <w:r>
        <w:t>také Akvinský</w:t>
      </w:r>
      <w:r w:rsidR="0057647C">
        <w:t xml:space="preserve"> a také kritizuje pozici </w:t>
      </w:r>
      <w:r>
        <w:t>Pecham</w:t>
      </w:r>
      <w:r w:rsidR="0057647C">
        <w:t>a</w:t>
      </w:r>
      <w:r>
        <w:t xml:space="preserve">. Ten neustál tento mnohonásobný útok z pozic prvního averorismu (Aegidius, Akvinský, Siger) a musel stejně jako před ním Rufus utéci do Oxfordu </w:t>
      </w:r>
      <w:r w:rsidR="0057647C">
        <w:t xml:space="preserve">okolo roku </w:t>
      </w:r>
      <w:r w:rsidR="00F6510D">
        <w:t>1271.</w:t>
      </w:r>
    </w:p>
    <w:p w:rsidR="00EE55EA" w:rsidRDefault="08163013" w:rsidP="00EE55EA">
      <w:pPr>
        <w:ind w:firstLine="397"/>
      </w:pPr>
      <w:r w:rsidRPr="00273106">
        <w:t xml:space="preserve">Klíčové odmítnutí druhého averroismu najdeme v polemice kolem univočního statutu </w:t>
      </w:r>
      <w:r w:rsidR="00962190" w:rsidRPr="002C0F8F">
        <w:t>species</w:t>
      </w:r>
      <w:r w:rsidR="00827415">
        <w:t>. O</w:t>
      </w:r>
      <w:r w:rsidRPr="00273106">
        <w:t xml:space="preserve">pět </w:t>
      </w:r>
      <w:r w:rsidR="00827415">
        <w:t xml:space="preserve">je </w:t>
      </w:r>
      <w:r w:rsidRPr="00273106">
        <w:t xml:space="preserve">provedeno rozlišení mezi </w:t>
      </w:r>
      <w:r>
        <w:t xml:space="preserve">výkonem </w:t>
      </w:r>
      <w:r w:rsidRPr="00273106">
        <w:t xml:space="preserve">intelektu a mezi jeho univerzálním produktem. Autor připomíná zastáncům nasvícení </w:t>
      </w:r>
      <w:r>
        <w:t xml:space="preserve">smyslu </w:t>
      </w:r>
      <w:r w:rsidRPr="00273106">
        <w:t>jsoucna ze</w:t>
      </w:r>
      <w:r>
        <w:t xml:space="preserve">zadu, že je to </w:t>
      </w:r>
      <w:r w:rsidRPr="00273106">
        <w:t xml:space="preserve">zásadně </w:t>
      </w:r>
      <w:r w:rsidR="00A03BBA">
        <w:t xml:space="preserve">mylné </w:t>
      </w:r>
      <w:r w:rsidRPr="00273106">
        <w:t xml:space="preserve">pojetí. Druhý averroismus vytváří </w:t>
      </w:r>
      <w:r w:rsidR="00962190" w:rsidRPr="00C0165D">
        <w:t>species</w:t>
      </w:r>
      <w:r w:rsidR="00C0165D">
        <w:t xml:space="preserve"> tím, že jim </w:t>
      </w:r>
      <w:r w:rsidRPr="00273106">
        <w:t xml:space="preserve">predikuje aktualitu v aktu přímého náhledu směrem od </w:t>
      </w:r>
      <w:r w:rsidR="0059431F">
        <w:t>oddělených</w:t>
      </w:r>
      <w:r w:rsidRPr="00273106">
        <w:t xml:space="preserve"> inteligibilní</w:t>
      </w:r>
      <w:r w:rsidR="0059431F">
        <w:t>ch forem</w:t>
      </w:r>
      <w:r w:rsidR="009B1541">
        <w:t>. B</w:t>
      </w:r>
      <w:r w:rsidRPr="00273106">
        <w:t>onaventur</w:t>
      </w:r>
      <w:r w:rsidR="009B1541">
        <w:t>a tuto formu definoval jako exemplar</w:t>
      </w:r>
      <w:r w:rsidR="009B1541">
        <w:fldChar w:fldCharType="begin"/>
      </w:r>
      <w:r w:rsidR="009B1541">
        <w:instrText xml:space="preserve"> XE "</w:instrText>
      </w:r>
      <w:r w:rsidR="009B1541" w:rsidRPr="003804AE">
        <w:instrText>exemplar</w:instrText>
      </w:r>
      <w:r w:rsidR="009B1541">
        <w:instrText xml:space="preserve">" </w:instrText>
      </w:r>
      <w:r w:rsidR="009B1541">
        <w:fldChar w:fldCharType="end"/>
      </w:r>
      <w:r w:rsidR="00CD6072">
        <w:t>, který je daný v bohu jako jeho intencionální předmět, tedy na „</w:t>
      </w:r>
      <w:r w:rsidR="00CD6072" w:rsidRPr="00CD6072">
        <w:rPr>
          <w:i/>
        </w:rPr>
        <w:t>obiective</w:t>
      </w:r>
      <w:r w:rsidR="00CD6072">
        <w:t xml:space="preserve">“ daný způsob. </w:t>
      </w:r>
      <w:r w:rsidRPr="00273106">
        <w:t xml:space="preserve">První averroismus popírá autonomní existenci </w:t>
      </w:r>
      <w:r>
        <w:t xml:space="preserve">hypostázovaných </w:t>
      </w:r>
      <w:r w:rsidR="00962190" w:rsidRPr="00C0165D">
        <w:t>species</w:t>
      </w:r>
      <w:r w:rsidRPr="00273106">
        <w:t xml:space="preserve">, protože každá poznaná univerzálie je daná pouze v mysli. </w:t>
      </w:r>
      <w:r>
        <w:t xml:space="preserve">Inteligibilní </w:t>
      </w:r>
      <w:r w:rsidR="00962190" w:rsidRPr="002A4D78">
        <w:t>species</w:t>
      </w:r>
      <w:r w:rsidR="002A4D78">
        <w:t xml:space="preserve"> vznikají</w:t>
      </w:r>
      <w:r w:rsidRPr="00273106">
        <w:t xml:space="preserve"> na základě abstrakce </w:t>
      </w:r>
      <w:r w:rsidR="002A4D78">
        <w:t>od reálných věcí</w:t>
      </w:r>
      <w:r>
        <w:t xml:space="preserve"> a </w:t>
      </w:r>
      <w:r w:rsidR="002A4D78">
        <w:t xml:space="preserve">jsou </w:t>
      </w:r>
      <w:r>
        <w:t>pouze v mysli</w:t>
      </w:r>
      <w:r w:rsidRPr="00273106">
        <w:t xml:space="preserve">. Anonym jasně říká, že poznání reálné </w:t>
      </w:r>
      <w:r>
        <w:t xml:space="preserve">existence </w:t>
      </w:r>
      <w:r w:rsidRPr="00273106">
        <w:t xml:space="preserve">vnější věci </w:t>
      </w:r>
      <w:r w:rsidR="08B717D0">
        <w:t xml:space="preserve">běží jako aristotelské </w:t>
      </w:r>
      <w:r w:rsidR="08B717D0" w:rsidRPr="081942A4">
        <w:rPr>
          <w:i/>
          <w:szCs w:val="24"/>
        </w:rPr>
        <w:t>adaequatio</w:t>
      </w:r>
      <w:r w:rsidR="08B717D0">
        <w:rPr>
          <w:i/>
          <w:szCs w:val="24"/>
          <w:lang w:val="de-LU"/>
        </w:rPr>
        <w:fldChar w:fldCharType="begin"/>
      </w:r>
      <w:r w:rsidR="08B717D0">
        <w:instrText xml:space="preserve"> XE "</w:instrText>
      </w:r>
      <w:r w:rsidR="08B717D0" w:rsidRPr="081942A4">
        <w:rPr>
          <w:szCs w:val="24"/>
        </w:rPr>
        <w:instrText>pravda:</w:instrText>
      </w:r>
      <w:r w:rsidR="08B717D0" w:rsidRPr="081942A4">
        <w:rPr>
          <w:i/>
          <w:szCs w:val="24"/>
        </w:rPr>
        <w:instrText>adaequatio</w:instrText>
      </w:r>
      <w:r w:rsidR="08B717D0">
        <w:instrText xml:space="preserve">" </w:instrText>
      </w:r>
      <w:r w:rsidR="08B717D0">
        <w:rPr>
          <w:i/>
          <w:szCs w:val="24"/>
          <w:lang w:val="de-LU"/>
        </w:rPr>
        <w:fldChar w:fldCharType="end"/>
      </w:r>
      <w:r>
        <w:t>. Poznání reality závisí na mediaci skrze proces aristotelské abstrakce (</w:t>
      </w:r>
      <w:r w:rsidRPr="00B35B22">
        <w:rPr>
          <w:i/>
        </w:rPr>
        <w:t>mediante specie</w:t>
      </w:r>
      <w:r>
        <w:t>), která v tomto aktu poznání produkuje inteligibilní formu.</w:t>
      </w:r>
      <w:r>
        <w:rPr>
          <w:rStyle w:val="Znakapoznpodarou"/>
        </w:rPr>
        <w:footnoteReference w:id="185"/>
      </w:r>
      <w:r>
        <w:t xml:space="preserve"> </w:t>
      </w:r>
      <w:r w:rsidRPr="00273106">
        <w:t>Citát ukazuje, že intelekt poznává pod</w:t>
      </w:r>
      <w:r>
        <w:t xml:space="preserve">statu věci v procesu aristotelské abstrakce dané </w:t>
      </w:r>
      <w:r>
        <w:lastRenderedPageBreak/>
        <w:t>syntézou inteligibilních</w:t>
      </w:r>
      <w:r w:rsidRPr="00273106">
        <w:t xml:space="preserve"> </w:t>
      </w:r>
      <w:r w:rsidR="00962190">
        <w:rPr>
          <w:i/>
        </w:rPr>
        <w:t>species</w:t>
      </w:r>
      <w:r>
        <w:t xml:space="preserve"> (</w:t>
      </w:r>
      <w:r w:rsidRPr="08582AAC">
        <w:rPr>
          <w:i/>
        </w:rPr>
        <w:t>quidditatem rei mediante specie</w:t>
      </w:r>
      <w:r>
        <w:t>)</w:t>
      </w:r>
      <w:r w:rsidRPr="00273106">
        <w:t xml:space="preserve">. </w:t>
      </w:r>
      <w:r>
        <w:t>Pak platí, že esence daná ve věci a v mysli není totéž (</w:t>
      </w:r>
      <w:r w:rsidR="00962190">
        <w:rPr>
          <w:i/>
        </w:rPr>
        <w:t>species</w:t>
      </w:r>
      <w:r w:rsidRPr="00B35B22">
        <w:rPr>
          <w:i/>
        </w:rPr>
        <w:t xml:space="preserve"> rei et intellectus non sunt idem</w:t>
      </w:r>
      <w:r>
        <w:t xml:space="preserve">). </w:t>
      </w:r>
      <w:r w:rsidR="00771FF9">
        <w:t>Oponent má p</w:t>
      </w:r>
      <w:r w:rsidRPr="00273106">
        <w:t xml:space="preserve">rimát </w:t>
      </w:r>
      <w:r w:rsidR="00771FF9">
        <w:t xml:space="preserve">hypostázovaných </w:t>
      </w:r>
      <w:r w:rsidR="00962190" w:rsidRPr="00771FF9">
        <w:t>species</w:t>
      </w:r>
      <w:r w:rsidR="00771FF9">
        <w:t xml:space="preserve">, protože </w:t>
      </w:r>
      <w:r w:rsidRPr="00273106">
        <w:t xml:space="preserve">se opírá o abstrakci ve formě </w:t>
      </w:r>
      <w:r w:rsidRPr="00273106">
        <w:rPr>
          <w:i/>
        </w:rPr>
        <w:t>denudatio</w:t>
      </w:r>
      <w:r>
        <w:rPr>
          <w:i/>
        </w:rPr>
        <w:fldChar w:fldCharType="begin"/>
      </w:r>
      <w:r>
        <w:instrText xml:space="preserve"> XE "</w:instrText>
      </w:r>
      <w:r w:rsidRPr="00C23100">
        <w:rPr>
          <w:i/>
        </w:rPr>
        <w:instrText>denudatio</w:instrText>
      </w:r>
      <w:r>
        <w:rPr>
          <w:i/>
        </w:rPr>
        <w:instrText>:</w:instrText>
      </w:r>
      <w:r w:rsidRPr="003804AE">
        <w:instrText>druhý averroismus</w:instrText>
      </w:r>
      <w:r>
        <w:instrText xml:space="preserve">" </w:instrText>
      </w:r>
      <w:r>
        <w:rPr>
          <w:i/>
        </w:rPr>
        <w:fldChar w:fldCharType="end"/>
      </w:r>
      <w:r w:rsidR="00771FF9">
        <w:t>. P</w:t>
      </w:r>
      <w:r w:rsidRPr="00273106">
        <w:t xml:space="preserve">o zavedení </w:t>
      </w:r>
      <w:r w:rsidRPr="00273106">
        <w:rPr>
          <w:i/>
        </w:rPr>
        <w:t>Oxfordian Fallacy</w:t>
      </w:r>
      <w:r w:rsidRPr="00273106">
        <w:t xml:space="preserve"> </w:t>
      </w:r>
      <w:r w:rsidR="00A17B66" w:rsidRPr="00273106">
        <w:t xml:space="preserve">vnímá </w:t>
      </w:r>
      <w:r w:rsidR="00771FF9" w:rsidRPr="00273106">
        <w:t xml:space="preserve">intelekt </w:t>
      </w:r>
      <w:r w:rsidR="00771FF9">
        <w:t xml:space="preserve">objektivní formy </w:t>
      </w:r>
      <w:r w:rsidRPr="00273106">
        <w:t xml:space="preserve">v přímém náhledu. Anonym zdůrazňuje, že v tomto </w:t>
      </w:r>
      <w:r>
        <w:t xml:space="preserve">chybném </w:t>
      </w:r>
      <w:r w:rsidRPr="00273106">
        <w:t>pojetí jsou totéž akt intelektu a jeho předmět</w:t>
      </w:r>
      <w:r>
        <w:t xml:space="preserve">. </w:t>
      </w:r>
      <w:r w:rsidRPr="00273106">
        <w:t xml:space="preserve">To ovšem nemůže tvrdit anonym obhajující </w:t>
      </w:r>
      <w:r w:rsidR="007929F0">
        <w:t xml:space="preserve">učení </w:t>
      </w:r>
      <w:r w:rsidRPr="00273106">
        <w:t>první</w:t>
      </w:r>
      <w:r w:rsidR="007929F0">
        <w:t>ho</w:t>
      </w:r>
      <w:r w:rsidRPr="00273106">
        <w:t xml:space="preserve"> averroismu (</w:t>
      </w:r>
      <w:r w:rsidRPr="00273106">
        <w:rPr>
          <w:i/>
        </w:rPr>
        <w:t>non est ita</w:t>
      </w:r>
      <w:r w:rsidRPr="00273106">
        <w:t xml:space="preserve">). </w:t>
      </w:r>
      <w:r w:rsidR="007D357D">
        <w:t>I</w:t>
      </w:r>
      <w:r w:rsidRPr="00273106">
        <w:t>ntelekt</w:t>
      </w:r>
      <w:r w:rsidR="007D357D">
        <w:t xml:space="preserve"> jako </w:t>
      </w:r>
      <w:r w:rsidRPr="00273106">
        <w:rPr>
          <w:i/>
        </w:rPr>
        <w:t>tabula rasa</w:t>
      </w:r>
      <w:r>
        <w:rPr>
          <w:i/>
        </w:rPr>
        <w:fldChar w:fldCharType="begin"/>
      </w:r>
      <w:r>
        <w:instrText xml:space="preserve"> XE "</w:instrText>
      </w:r>
      <w:r w:rsidRPr="00CE6D17">
        <w:rPr>
          <w:i/>
        </w:rPr>
        <w:instrText>tabula rasa</w:instrText>
      </w:r>
      <w:r>
        <w:instrText xml:space="preserve">" </w:instrText>
      </w:r>
      <w:r>
        <w:rPr>
          <w:i/>
        </w:rPr>
        <w:fldChar w:fldCharType="end"/>
      </w:r>
      <w:r w:rsidRPr="00273106">
        <w:t xml:space="preserve"> vylučuje jakoukoliv vlastní aktualitu intelektu v podobě nějaké substance třetího druhu.</w:t>
      </w:r>
      <w:r>
        <w:t xml:space="preserve"> První akt intencionality jde k podstatě věci, která je uchopena skrze abstrahovaná </w:t>
      </w:r>
      <w:r w:rsidR="00962190">
        <w:rPr>
          <w:i/>
        </w:rPr>
        <w:t>species</w:t>
      </w:r>
      <w:r>
        <w:t xml:space="preserve"> daná pouze jako intencionální obsahy v mysli (</w:t>
      </w:r>
      <w:r w:rsidRPr="005701F1">
        <w:rPr>
          <w:i/>
        </w:rPr>
        <w:t>intellectus intelligit primo et principaliter quidditatem rei mediante specie</w:t>
      </w:r>
      <w:r>
        <w:t xml:space="preserve">). Teprve ve druhém kroku se intencionální </w:t>
      </w:r>
      <w:r w:rsidR="00962190" w:rsidRPr="00C57C0A">
        <w:t>species</w:t>
      </w:r>
      <w:r>
        <w:t xml:space="preserve"> mohou stát vlastním předmětem reflexe, stejně jako jakýkoliv jiný nemateriální obsah daný intencionálně (</w:t>
      </w:r>
      <w:r w:rsidRPr="00273106">
        <w:rPr>
          <w:i/>
        </w:rPr>
        <w:t>ex quadam relucentia intellectus</w:t>
      </w:r>
      <w:r>
        <w:t xml:space="preserve">). </w:t>
      </w:r>
      <w:r w:rsidRPr="00273106">
        <w:t xml:space="preserve">V tomto případě intelekt </w:t>
      </w:r>
      <w:r>
        <w:t xml:space="preserve">se </w:t>
      </w:r>
      <w:r w:rsidRPr="00273106">
        <w:t xml:space="preserve">reflexivně vztáhne </w:t>
      </w:r>
      <w:r>
        <w:t xml:space="preserve">k již syntetizované </w:t>
      </w:r>
      <w:r w:rsidR="00962190">
        <w:rPr>
          <w:i/>
        </w:rPr>
        <w:t>species</w:t>
      </w:r>
      <w:r>
        <w:t xml:space="preserve"> věci </w:t>
      </w:r>
      <w:r w:rsidRPr="00273106">
        <w:t>(</w:t>
      </w:r>
      <w:r w:rsidRPr="00273106">
        <w:rPr>
          <w:i/>
        </w:rPr>
        <w:t>intellectus intelligit speciem rei</w:t>
      </w:r>
      <w:r w:rsidRPr="00273106">
        <w:t xml:space="preserve">). </w:t>
      </w:r>
      <w:r>
        <w:t xml:space="preserve">Tím je zrušen statut hypostázovaných </w:t>
      </w:r>
      <w:r w:rsidR="00962190">
        <w:rPr>
          <w:i/>
        </w:rPr>
        <w:t>species</w:t>
      </w:r>
      <w:r>
        <w:t xml:space="preserve"> jako objektivního jsoucna třetího druhu, protože intencionální předměty mají bytí pouze v procesu abstrakce dané od reálných věcí</w:t>
      </w:r>
      <w:r>
        <w:fldChar w:fldCharType="begin"/>
      </w:r>
      <w:r>
        <w:instrText xml:space="preserve"> XE "</w:instrText>
      </w:r>
      <w:r w:rsidRPr="00A83704">
        <w:instrText>species:první averroismus</w:instrText>
      </w:r>
      <w:r>
        <w:instrText xml:space="preserve">" </w:instrText>
      </w:r>
      <w:r>
        <w:fldChar w:fldCharType="end"/>
      </w:r>
      <w:r>
        <w:t xml:space="preserve">. </w:t>
      </w:r>
      <w:r w:rsidRPr="00273106">
        <w:t xml:space="preserve">Díky </w:t>
      </w:r>
      <w:r w:rsidR="00683A14">
        <w:t xml:space="preserve">takto vytvořeným </w:t>
      </w:r>
      <w:r w:rsidR="00962190">
        <w:rPr>
          <w:i/>
        </w:rPr>
        <w:t>species</w:t>
      </w:r>
      <w:r w:rsidRPr="00273106">
        <w:rPr>
          <w:i/>
        </w:rPr>
        <w:t xml:space="preserve"> intelligibilis</w:t>
      </w:r>
      <w:r w:rsidRPr="00273106">
        <w:t xml:space="preserve"> tak </w:t>
      </w:r>
      <w:r w:rsidR="00683A14">
        <w:t xml:space="preserve">máme </w:t>
      </w:r>
      <w:r w:rsidRPr="00273106">
        <w:t xml:space="preserve">univerzálie dané pouze v mysli. </w:t>
      </w:r>
      <w:r>
        <w:t>Toto rozdělení mezi aktem intencionality a jejím předmětem po vzoru Blundovy školy vypracovali</w:t>
      </w:r>
      <w:r w:rsidR="083445D6">
        <w:t xml:space="preserve"> po 1265 Akvinský a Siger. A</w:t>
      </w:r>
      <w:r>
        <w:t>le jen Brabantský mag</w:t>
      </w:r>
      <w:r w:rsidR="000B0F34">
        <w:t xml:space="preserve">istr jej zdůvodňuje podle CMDA. </w:t>
      </w:r>
      <w:r w:rsidR="005965AC" w:rsidRPr="005965AC">
        <w:t xml:space="preserve">Spis </w:t>
      </w:r>
      <w:r w:rsidR="005965AC" w:rsidRPr="005965AC">
        <w:rPr>
          <w:i/>
        </w:rPr>
        <w:t>Anonymus Bazán</w:t>
      </w:r>
      <w:r w:rsidR="005965AC" w:rsidRPr="005965AC">
        <w:t xml:space="preserve"> obhajuje tomistické stanovisko prvního averroismu, které se liší od Sigerovy argumentace. </w:t>
      </w:r>
      <w:r w:rsidRPr="00273106">
        <w:t xml:space="preserve">Pozice </w:t>
      </w:r>
      <w:r>
        <w:t xml:space="preserve">Moderních </w:t>
      </w:r>
      <w:r w:rsidRPr="00273106">
        <w:t xml:space="preserve">je přesně opačná a zakládá přímý eidetický náhled moderních karteziánců. </w:t>
      </w:r>
      <w:r>
        <w:t xml:space="preserve">Pecham </w:t>
      </w:r>
      <w:r w:rsidRPr="00273106">
        <w:t xml:space="preserve">drží Bonaventurovu diferenci mezi </w:t>
      </w:r>
      <w:r w:rsidR="00962190">
        <w:rPr>
          <w:i/>
        </w:rPr>
        <w:t>species</w:t>
      </w:r>
      <w:r w:rsidRPr="00273106">
        <w:rPr>
          <w:i/>
        </w:rPr>
        <w:t xml:space="preserve"> prima</w:t>
      </w:r>
      <w:r w:rsidRPr="00273106">
        <w:t xml:space="preserve">, </w:t>
      </w:r>
      <w:r w:rsidRPr="00273106">
        <w:rPr>
          <w:i/>
        </w:rPr>
        <w:t>secunda</w:t>
      </w:r>
      <w:r w:rsidRPr="00273106">
        <w:t xml:space="preserve"> a </w:t>
      </w:r>
      <w:r w:rsidRPr="00273106">
        <w:rPr>
          <w:i/>
        </w:rPr>
        <w:t>innata</w:t>
      </w:r>
      <w:r w:rsidRPr="00273106">
        <w:t xml:space="preserve"> (</w:t>
      </w:r>
      <w:r>
        <w:fldChar w:fldCharType="begin"/>
      </w:r>
      <w:r>
        <w:instrText xml:space="preserve"> XE "</w:instrText>
      </w:r>
      <w:r w:rsidRPr="082D6BAB">
        <w:rPr>
          <w:i/>
        </w:rPr>
        <w:instrText>species</w:instrText>
      </w:r>
      <w:r w:rsidRPr="00E67732">
        <w:instrText>:Pecham</w:instrText>
      </w:r>
      <w:r>
        <w:instrText xml:space="preserve">" </w:instrText>
      </w:r>
      <w:r>
        <w:fldChar w:fldCharType="end"/>
      </w:r>
      <w:r w:rsidRPr="00273106">
        <w:t xml:space="preserve">kap. </w:t>
      </w:r>
      <w:r w:rsidR="082D6BAB">
        <w:t>4</w:t>
      </w:r>
      <w:r w:rsidRPr="00273106">
        <w:t>.1.2).</w:t>
      </w:r>
      <w:r>
        <w:t xml:space="preserve"> </w:t>
      </w:r>
      <w:r w:rsidRPr="00273106">
        <w:t xml:space="preserve">Jak víme z předešlých rozborů, </w:t>
      </w:r>
      <w:r>
        <w:t xml:space="preserve">teorie univoční </w:t>
      </w:r>
      <w:r w:rsidR="00962190" w:rsidRPr="00C57C0A">
        <w:t>species</w:t>
      </w:r>
      <w:r>
        <w:t xml:space="preserve"> </w:t>
      </w:r>
      <w:r w:rsidRPr="00273106">
        <w:t xml:space="preserve">představuje základní </w:t>
      </w:r>
      <w:r w:rsidR="00377343" w:rsidRPr="00273106">
        <w:t xml:space="preserve">tezi </w:t>
      </w:r>
      <w:r w:rsidR="00377343">
        <w:t>Rufuse</w:t>
      </w:r>
      <w:r w:rsidRPr="00273106">
        <w:t>, Kartézi</w:t>
      </w:r>
      <w:r w:rsidR="00377343">
        <w:t>a</w:t>
      </w:r>
      <w:r w:rsidRPr="00273106">
        <w:t xml:space="preserve"> a Husserl</w:t>
      </w:r>
      <w:r w:rsidR="00377343">
        <w:t>a</w:t>
      </w:r>
      <w:r w:rsidRPr="00273106">
        <w:t xml:space="preserve"> hlásající aktualitu kvazi-substančního intelektu</w:t>
      </w:r>
      <w:r>
        <w:t xml:space="preserve"> jako samostatné hypostáze</w:t>
      </w:r>
      <w:r w:rsidRPr="00273106">
        <w:t xml:space="preserve">. </w:t>
      </w:r>
      <w:r>
        <w:t xml:space="preserve">Proces poznání porovnává </w:t>
      </w:r>
      <w:r w:rsidRPr="00273106">
        <w:t xml:space="preserve">individuální </w:t>
      </w:r>
      <w:r w:rsidR="00962190" w:rsidRPr="00377343">
        <w:t>species</w:t>
      </w:r>
      <w:r>
        <w:t xml:space="preserve"> ve věci s její</w:t>
      </w:r>
      <w:r w:rsidRPr="00273106">
        <w:t xml:space="preserve"> univerzální podobou danou ve stvoření nebo u </w:t>
      </w:r>
      <w:r w:rsidR="00C57C0A">
        <w:t xml:space="preserve">moderního </w:t>
      </w:r>
      <w:r w:rsidRPr="00273106">
        <w:t>boha.</w:t>
      </w:r>
      <w:r w:rsidRPr="00273106">
        <w:rPr>
          <w:rStyle w:val="Znakapoznpodarou"/>
        </w:rPr>
        <w:footnoteReference w:id="186"/>
      </w:r>
      <w:r w:rsidRPr="00273106">
        <w:t xml:space="preserve"> </w:t>
      </w:r>
      <w:r>
        <w:t>Z</w:t>
      </w:r>
      <w:r w:rsidRPr="00273106">
        <w:t xml:space="preserve">ávěr </w:t>
      </w:r>
      <w:r w:rsidR="00377343">
        <w:t xml:space="preserve">spisu </w:t>
      </w:r>
      <w:r w:rsidRPr="00273106">
        <w:t xml:space="preserve">opakuje pozici, která se </w:t>
      </w:r>
      <w:r w:rsidR="00377343">
        <w:t>shoduje s postupem třetí části O</w:t>
      </w:r>
      <w:r w:rsidRPr="00273106">
        <w:t xml:space="preserve">xfordského </w:t>
      </w:r>
      <w:r w:rsidRPr="00273106">
        <w:lastRenderedPageBreak/>
        <w:t xml:space="preserve">traktátu. Pozice </w:t>
      </w:r>
      <w:r>
        <w:t>Averroes</w:t>
      </w:r>
      <w:r w:rsidRPr="00273106">
        <w:t xml:space="preserve">e je spojena s monopsychismem a výklad CMDA je </w:t>
      </w:r>
      <w:r>
        <w:t xml:space="preserve">považován za </w:t>
      </w:r>
      <w:r w:rsidRPr="00273106">
        <w:t xml:space="preserve">averroistický. Autor sofisticky identifikuje </w:t>
      </w:r>
      <w:r>
        <w:t>Averroes</w:t>
      </w:r>
      <w:r w:rsidRPr="00273106">
        <w:t>ovu pozici s Themistiem, popřípadě s Alexandrem. Všechny pasáže CMDA odkazující na proces individualizace intelektu jsou přičtené Aristotelovi</w:t>
      </w:r>
      <w:r>
        <w:t xml:space="preserve"> a Akvinský je viděn jako nový expozitor Aristotela. Averroes je viděn jako averroista vyznávající teorii odděleného intelektu</w:t>
      </w:r>
      <w:r w:rsidRPr="00273106">
        <w:t>.</w:t>
      </w:r>
      <w:r w:rsidRPr="00273106">
        <w:rPr>
          <w:rStyle w:val="Znakapoznpodarou"/>
        </w:rPr>
        <w:footnoteReference w:id="187"/>
      </w:r>
      <w:r w:rsidRPr="00273106">
        <w:t xml:space="preserve"> Stejnou pozici má </w:t>
      </w:r>
      <w:r>
        <w:t xml:space="preserve">Aegidius Romanus od sepsání třetí části Oxfordského rukopisu </w:t>
      </w:r>
      <w:r w:rsidR="005A58EA">
        <w:t xml:space="preserve">až </w:t>
      </w:r>
      <w:r>
        <w:t>do redakce</w:t>
      </w:r>
      <w:r w:rsidRPr="00273106">
        <w:t xml:space="preserve"> </w:t>
      </w:r>
      <w:r w:rsidRPr="00273106">
        <w:rPr>
          <w:i/>
        </w:rPr>
        <w:t>De plurificatione</w:t>
      </w:r>
      <w:r w:rsidRPr="00273106">
        <w:t>.</w:t>
      </w:r>
      <w:r w:rsidRPr="00591817">
        <w:t xml:space="preserve"> </w:t>
      </w:r>
      <w:r>
        <w:t>Viz závěr předešlé kapitoly ohledně autorství a doby vzniku Mnichovského a Oxfordského rukopisu.</w:t>
      </w:r>
      <w:r w:rsidR="00EE55EA">
        <w:t xml:space="preserve"> </w:t>
      </w:r>
      <w:r w:rsidR="008231D3">
        <w:t>Aegidius shrnul z</w:t>
      </w:r>
      <w:r w:rsidRPr="00273106">
        <w:t>ákl</w:t>
      </w:r>
      <w:r w:rsidR="008231D3">
        <w:t>adní pravdy aristotelismu a dílo</w:t>
      </w:r>
      <w:r w:rsidRPr="00273106">
        <w:t xml:space="preserve"> </w:t>
      </w:r>
      <w:r>
        <w:rPr>
          <w:i/>
        </w:rPr>
        <w:t>De anima</w:t>
      </w:r>
      <w:r w:rsidRPr="00273106">
        <w:t xml:space="preserve"> </w:t>
      </w:r>
      <w:r w:rsidR="008231D3">
        <w:t xml:space="preserve">komentuje </w:t>
      </w:r>
      <w:r>
        <w:t>z</w:t>
      </w:r>
      <w:r w:rsidRPr="00273106">
        <w:t xml:space="preserve"> pozice znalce situovaného uvnitř složité debaty mezi prvním a druhým averoismem.</w:t>
      </w:r>
      <w:r>
        <w:t xml:space="preserve"> Určité nuance vzhledem ke třetí č</w:t>
      </w:r>
      <w:r w:rsidR="00110EC9">
        <w:t xml:space="preserve">ásti Oxfordského rukopisu ji </w:t>
      </w:r>
      <w:r>
        <w:t>dat</w:t>
      </w:r>
      <w:r w:rsidR="00110EC9">
        <w:t xml:space="preserve">ují </w:t>
      </w:r>
      <w:r>
        <w:t xml:space="preserve">po vzniku spisu </w:t>
      </w:r>
      <w:r w:rsidR="00FC0654">
        <w:t xml:space="preserve">O III datovaného </w:t>
      </w:r>
      <w:r>
        <w:t xml:space="preserve">rokem 1268. Bazánův anonym má vyšší úroveň argumentace </w:t>
      </w:r>
      <w:r w:rsidR="00110EC9">
        <w:t xml:space="preserve">podle </w:t>
      </w:r>
      <w:r>
        <w:t xml:space="preserve">prvního averroismu než měla třetí část Oxfordského rukopisu. </w:t>
      </w:r>
      <w:r w:rsidR="00566C8C">
        <w:t xml:space="preserve">Aegidius napsal spis </w:t>
      </w:r>
      <w:r w:rsidR="00566C8C" w:rsidRPr="00566C8C">
        <w:rPr>
          <w:i/>
        </w:rPr>
        <w:t>Anonymus Bazán</w:t>
      </w:r>
      <w:r w:rsidR="00566C8C">
        <w:t xml:space="preserve"> </w:t>
      </w:r>
      <w:r>
        <w:t xml:space="preserve">v letech 1270‒71 souběžně s vydáním Tomášova </w:t>
      </w:r>
      <w:r w:rsidRPr="08826FEA">
        <w:rPr>
          <w:i/>
        </w:rPr>
        <w:t>De unitate</w:t>
      </w:r>
      <w:r w:rsidR="002D3C31">
        <w:rPr>
          <w:i/>
        </w:rPr>
        <w:t xml:space="preserve"> intellectus</w:t>
      </w:r>
      <w:r>
        <w:t>. Polemika má za úkol odsoudit Pechamovu školu druhého averroismu na Pařížské univerzitě</w:t>
      </w:r>
      <w:r w:rsidR="006D2BF3">
        <w:t>. Aegidius b</w:t>
      </w:r>
      <w:r>
        <w:t xml:space="preserve">rání Akvinského jako nového expozitora Aristotelova korpusu. </w:t>
      </w:r>
      <w:r w:rsidR="00DC17E6">
        <w:t xml:space="preserve">Dvojnásobně </w:t>
      </w:r>
      <w:r>
        <w:t>poražený Pecham odešel zpět na Oxford. Pak následuje dekret magistrů z Rue du Fouarre z dubna 1272</w:t>
      </w:r>
      <w:r w:rsidR="0062711D">
        <w:t xml:space="preserve">. </w:t>
      </w:r>
      <w:r w:rsidR="0062711D" w:rsidRPr="0062711D">
        <w:t xml:space="preserve">Modernisté a Akvinský </w:t>
      </w:r>
      <w:r w:rsidR="0062711D">
        <w:t xml:space="preserve">s Aegidiem </w:t>
      </w:r>
      <w:r w:rsidR="0062711D" w:rsidRPr="0062711D">
        <w:t xml:space="preserve">byli kritizováni společně, protože nerespektovali povahu vědeckého důkazu týkajícího se </w:t>
      </w:r>
      <w:r w:rsidR="0062711D">
        <w:t xml:space="preserve">genericky odlišných věd, což nebylo v souladu s vědeckým </w:t>
      </w:r>
      <w:r w:rsidR="0062711D" w:rsidRPr="0062711D">
        <w:rPr>
          <w:i/>
        </w:rPr>
        <w:t>demonstratio</w:t>
      </w:r>
      <w:r w:rsidR="0062711D">
        <w:t xml:space="preserve"> podle </w:t>
      </w:r>
      <w:r w:rsidR="0062711D" w:rsidRPr="0062711D">
        <w:t>Druh</w:t>
      </w:r>
      <w:r w:rsidR="0062711D">
        <w:t>ých Analytik</w:t>
      </w:r>
      <w:r w:rsidR="0062711D" w:rsidRPr="0062711D">
        <w:t xml:space="preserve">. </w:t>
      </w:r>
      <w:r>
        <w:t>Pak se spojili modernisté a semiaverroisté typu Akvinského a Aegidia do jedné nepřátelské fronty proti Sigerově škole. Mocenský útok na pozice prvního averroismu hájené stranou Sigera (</w:t>
      </w:r>
      <w:r w:rsidRPr="08F258DB">
        <w:rPr>
          <w:i/>
        </w:rPr>
        <w:t>pars Sigeri</w:t>
      </w:r>
      <w:r>
        <w:rPr>
          <w:rStyle w:val="Zvraznn"/>
          <w:i w:val="0"/>
        </w:rPr>
        <w:fldChar w:fldCharType="begin"/>
      </w:r>
      <w:r>
        <w:instrText xml:space="preserve"> XE "</w:instrText>
      </w:r>
      <w:r>
        <w:rPr>
          <w:rStyle w:val="Zvraznn"/>
          <w:i w:val="0"/>
        </w:rPr>
        <w:instrText>pr</w:instrText>
      </w:r>
      <w:r w:rsidRPr="00D95B1D">
        <w:rPr>
          <w:rStyle w:val="Zvraznn"/>
          <w:i w:val="0"/>
        </w:rPr>
        <w:instrText>vní averroismus:</w:instrText>
      </w:r>
      <w:r w:rsidRPr="0084029F">
        <w:rPr>
          <w:rStyle w:val="Zvraznn"/>
        </w:rPr>
        <w:instrText>pars Sigeri</w:instrText>
      </w:r>
      <w:r>
        <w:instrText xml:space="preserve">" </w:instrText>
      </w:r>
      <w:r>
        <w:rPr>
          <w:rStyle w:val="Zvraznn"/>
          <w:i w:val="0"/>
        </w:rPr>
        <w:fldChar w:fldCharType="end"/>
      </w:r>
      <w:r>
        <w:t xml:space="preserve">) skončil odsouzením této školy v roce 1277. </w:t>
      </w:r>
      <w:r w:rsidR="00AA1FE7">
        <w:t>Albert se řídil heslem „</w:t>
      </w:r>
      <w:r w:rsidR="00AA1FE7" w:rsidRPr="00AA1FE7">
        <w:rPr>
          <w:i/>
        </w:rPr>
        <w:t>si tacuisses Philosophem mansisses</w:t>
      </w:r>
      <w:r w:rsidR="00AA1FE7">
        <w:rPr>
          <w:i/>
        </w:rPr>
        <w:t>“</w:t>
      </w:r>
      <w:r w:rsidR="00AA1FE7" w:rsidRPr="00AA1FE7">
        <w:t xml:space="preserve"> a usilovně se snažil do sporu nezapojovat, ačkoli ho Siger kritizoval za es</w:t>
      </w:r>
      <w:r w:rsidR="00AA1FE7">
        <w:t>enci</w:t>
      </w:r>
      <w:r w:rsidR="00EE55EA">
        <w:t>alistický výklad intelektu.</w:t>
      </w:r>
    </w:p>
    <w:p w:rsidR="008A2499" w:rsidRDefault="08163013" w:rsidP="00EE55EA">
      <w:pPr>
        <w:ind w:firstLine="397"/>
      </w:pPr>
      <w:r w:rsidRPr="00273106">
        <w:t>Shrňme pojetí traktátu</w:t>
      </w:r>
      <w:r>
        <w:t xml:space="preserve">, které Bazán označil za práci filosofického začátečníka. Rozhodně jej nepsal nějaký artistický bakalář, právě naopak. Autor ukazuje vysokou znalost všech velkých témat ohledně jednoty intelektu a volí jasné argumentační pozice. </w:t>
      </w:r>
      <w:r w:rsidRPr="00273106">
        <w:t xml:space="preserve">Filosofické </w:t>
      </w:r>
      <w:r w:rsidRPr="00273106">
        <w:lastRenderedPageBreak/>
        <w:t>triviality a opakování známé nauky v</w:t>
      </w:r>
      <w:r w:rsidR="00A4295F">
        <w:t xml:space="preserve"> díle </w:t>
      </w:r>
      <w:r>
        <w:rPr>
          <w:i/>
        </w:rPr>
        <w:t>Quaestiones</w:t>
      </w:r>
      <w:r w:rsidRPr="00273106">
        <w:rPr>
          <w:i/>
        </w:rPr>
        <w:t xml:space="preserve"> disputatae</w:t>
      </w:r>
      <w:r w:rsidRPr="00273106">
        <w:t xml:space="preserve"> je třeba přičíst nízké filosofické úrovni jeho oponentů, kteří sofisticky či z neznalosti </w:t>
      </w:r>
      <w:r>
        <w:t>ne</w:t>
      </w:r>
      <w:r w:rsidRPr="00273106">
        <w:t>poch</w:t>
      </w:r>
      <w:r>
        <w:t>opili Aristotela</w:t>
      </w:r>
      <w:r w:rsidRPr="00273106">
        <w:t xml:space="preserve">. </w:t>
      </w:r>
      <w:r w:rsidR="00A4295F">
        <w:t>Druhá</w:t>
      </w:r>
      <w:r>
        <w:t xml:space="preserve"> část nejasností </w:t>
      </w:r>
      <w:r w:rsidR="00A4295F">
        <w:t xml:space="preserve">se týká </w:t>
      </w:r>
      <w:r>
        <w:t xml:space="preserve">stylu studentského </w:t>
      </w:r>
      <w:r w:rsidRPr="00D23FB1">
        <w:rPr>
          <w:i/>
        </w:rPr>
        <w:t>reportatio</w:t>
      </w:r>
      <w:r w:rsidR="00A4295F">
        <w:t xml:space="preserve"> </w:t>
      </w:r>
      <w:r w:rsidR="00CD78B3">
        <w:t>nebo polemiky</w:t>
      </w:r>
      <w:r w:rsidR="00A4295F">
        <w:t>, která údajně s</w:t>
      </w:r>
      <w:r>
        <w:t xml:space="preserve">hrnuje učení </w:t>
      </w:r>
      <w:r w:rsidR="00A4295F">
        <w:t>neznámého magistra</w:t>
      </w:r>
      <w:r>
        <w:t xml:space="preserve">. </w:t>
      </w:r>
      <w:r w:rsidR="00A4295F">
        <w:t xml:space="preserve">I to je možné dobře vysvětlit osobní animozitou Aegidia a Pechama. </w:t>
      </w:r>
      <w:r>
        <w:t xml:space="preserve">Pecham byl přímo učebnicový příklad sofistiky </w:t>
      </w:r>
      <w:r w:rsidRPr="00855706">
        <w:rPr>
          <w:i/>
        </w:rPr>
        <w:t>Modernorum</w:t>
      </w:r>
      <w:r>
        <w:t>.</w:t>
      </w:r>
      <w:r w:rsidR="00495A85" w:rsidRPr="00273106">
        <w:rPr>
          <w:rStyle w:val="Znakapoznpodarou"/>
          <w:lang w:eastAsia="en-US"/>
        </w:rPr>
        <w:footnoteReference w:id="188"/>
      </w:r>
      <w:r>
        <w:t xml:space="preserve"> </w:t>
      </w:r>
      <w:r w:rsidR="00A4295F" w:rsidRPr="00A4295F">
        <w:t xml:space="preserve">Akvinský </w:t>
      </w:r>
      <w:r w:rsidR="00A7335F">
        <w:t>jako žebr</w:t>
      </w:r>
      <w:r w:rsidR="00C1640B">
        <w:t>avý dominikán j</w:t>
      </w:r>
      <w:r w:rsidR="00A4295F" w:rsidRPr="00A4295F">
        <w:t>istě nemohl nebo nechtěl po svém příchodu do Paříže v roce 1269 přednášet na mendikantské fa</w:t>
      </w:r>
      <w:r w:rsidR="00A4295F">
        <w:t xml:space="preserve">kultě modernistů pod Pechamem jako </w:t>
      </w:r>
      <w:r w:rsidR="00A4295F" w:rsidRPr="00A4295F">
        <w:t>regent</w:t>
      </w:r>
      <w:r w:rsidR="00A4295F">
        <w:t>em</w:t>
      </w:r>
      <w:r w:rsidR="00A4295F" w:rsidRPr="00A4295F">
        <w:t>.</w:t>
      </w:r>
      <w:r w:rsidR="00A4295F">
        <w:t xml:space="preserve"> </w:t>
      </w:r>
      <w:r>
        <w:t>Proto spis chvátá na obranu Akvinského jak</w:t>
      </w:r>
      <w:r w:rsidR="00F53328">
        <w:t>o nového expozitora Aristotela postaveného proti Komentátorovi. To nebyla pozice S</w:t>
      </w:r>
      <w:r>
        <w:t>igera</w:t>
      </w:r>
      <w:r w:rsidR="00F53328">
        <w:t>, který bránil Averroese. Aegidius  nepochopil, nebo nechtěl pochopit Sigerův b</w:t>
      </w:r>
      <w:r>
        <w:t xml:space="preserve">rilantní </w:t>
      </w:r>
      <w:r w:rsidR="00F53328">
        <w:t xml:space="preserve">výklad </w:t>
      </w:r>
      <w:r>
        <w:t>CMDA a v</w:t>
      </w:r>
      <w:r w:rsidR="00F53328">
        <w:t> </w:t>
      </w:r>
      <w:r>
        <w:t>tom</w:t>
      </w:r>
      <w:r w:rsidR="00F53328">
        <w:t xml:space="preserve">to bodu </w:t>
      </w:r>
      <w:r>
        <w:t>opakuje svou pozici z Oxfordského rukopisu. A</w:t>
      </w:r>
      <w:r w:rsidR="003C28AD">
        <w:t xml:space="preserve">egidius </w:t>
      </w:r>
      <w:r w:rsidR="00037EA7">
        <w:t xml:space="preserve">přejal do </w:t>
      </w:r>
      <w:r>
        <w:t xml:space="preserve">polemických </w:t>
      </w:r>
      <w:r w:rsidRPr="08E95A1F">
        <w:rPr>
          <w:i/>
        </w:rPr>
        <w:t>Questiones</w:t>
      </w:r>
      <w:r>
        <w:t xml:space="preserve"> </w:t>
      </w:r>
      <w:r w:rsidR="003C28AD" w:rsidRPr="003C28AD">
        <w:rPr>
          <w:i/>
        </w:rPr>
        <w:t>disputatae</w:t>
      </w:r>
      <w:r w:rsidR="003C28AD">
        <w:t xml:space="preserve"> klíčové části argumentace proti modernistům ze Sigerovy nauky. </w:t>
      </w:r>
      <w:r w:rsidR="009A751F">
        <w:t>Al</w:t>
      </w:r>
      <w:r w:rsidR="003C28AD">
        <w:t xml:space="preserve">e argumenty </w:t>
      </w:r>
      <w:r>
        <w:t>upravil v duchu jím založeného tomismu</w:t>
      </w:r>
      <w:r>
        <w:fldChar w:fldCharType="begin"/>
      </w:r>
      <w:r>
        <w:instrText xml:space="preserve"> XE "intelekt:</w:instrText>
      </w:r>
      <w:r w:rsidRPr="000814EA">
        <w:rPr>
          <w:i/>
        </w:rPr>
        <w:instrText>subiective</w:instrText>
      </w:r>
      <w:r>
        <w:rPr>
          <w:i/>
        </w:rPr>
        <w:instrText>/obiective</w:instrText>
      </w:r>
      <w:r>
        <w:instrText xml:space="preserve">" </w:instrText>
      </w:r>
      <w:r>
        <w:fldChar w:fldCharType="end"/>
      </w:r>
      <w:r w:rsidR="00FA2A87">
        <w:t>. Použití termínů „</w:t>
      </w:r>
      <w:r w:rsidRPr="00273106">
        <w:rPr>
          <w:i/>
        </w:rPr>
        <w:t>obiect</w:t>
      </w:r>
      <w:r>
        <w:rPr>
          <w:i/>
        </w:rPr>
        <w:t>ive</w:t>
      </w:r>
      <w:r w:rsidR="00FA2A87">
        <w:t>“</w:t>
      </w:r>
      <w:r>
        <w:rPr>
          <w:i/>
        </w:rPr>
        <w:t xml:space="preserve"> </w:t>
      </w:r>
      <w:r w:rsidRPr="085B52F5">
        <w:t>a</w:t>
      </w:r>
      <w:r>
        <w:rPr>
          <w:i/>
        </w:rPr>
        <w:t xml:space="preserve"> </w:t>
      </w:r>
      <w:r w:rsidR="00FA2A87">
        <w:t>„</w:t>
      </w:r>
      <w:r>
        <w:rPr>
          <w:i/>
        </w:rPr>
        <w:t>obiectum</w:t>
      </w:r>
      <w:r w:rsidR="00FA2A87">
        <w:t>“</w:t>
      </w:r>
      <w:r w:rsidRPr="00273106">
        <w:t xml:space="preserve"> pro vztah duše a těla v rámci poznání </w:t>
      </w:r>
      <w:r w:rsidRPr="00273106">
        <w:rPr>
          <w:i/>
        </w:rPr>
        <w:t>anima intellectiva</w:t>
      </w:r>
      <w:r w:rsidRPr="00273106">
        <w:t xml:space="preserve"> je sice míněno v duchu prvního averroismu</w:t>
      </w:r>
      <w:r>
        <w:t xml:space="preserve"> Sigera</w:t>
      </w:r>
      <w:r w:rsidRPr="00273106">
        <w:t xml:space="preserve">, ale </w:t>
      </w:r>
      <w:r>
        <w:t xml:space="preserve">ve skutečnosti </w:t>
      </w:r>
      <w:r w:rsidRPr="00273106">
        <w:t>má velmi blízko k dualismu druhého averroismu.</w:t>
      </w:r>
      <w:r>
        <w:t xml:space="preserve"> </w:t>
      </w:r>
      <w:r w:rsidR="0038264F" w:rsidRPr="0038264F">
        <w:t xml:space="preserve">Tento nejednoznačný postoj nové školy </w:t>
      </w:r>
      <w:r w:rsidR="0038264F" w:rsidRPr="0038264F">
        <w:rPr>
          <w:i/>
        </w:rPr>
        <w:t>sophistae Latini</w:t>
      </w:r>
      <w:r w:rsidR="0038264F">
        <w:t xml:space="preserve"> </w:t>
      </w:r>
      <w:r w:rsidR="0038264F" w:rsidRPr="0038264F">
        <w:t xml:space="preserve">je velmi důležitý, protože ukazuje na původní </w:t>
      </w:r>
      <w:r w:rsidR="0038264F" w:rsidRPr="0038264F">
        <w:rPr>
          <w:i/>
        </w:rPr>
        <w:t>Lichtung</w:t>
      </w:r>
      <w:r w:rsidR="0038264F">
        <w:rPr>
          <w:i/>
        </w:rPr>
        <w:fldChar w:fldCharType="begin"/>
      </w:r>
      <w:r w:rsidR="0038264F">
        <w:instrText xml:space="preserve"> XE "</w:instrText>
      </w:r>
      <w:r w:rsidR="0038264F" w:rsidRPr="000F35B9">
        <w:rPr>
          <w:i/>
        </w:rPr>
        <w:instrText>Lichtung</w:instrText>
      </w:r>
      <w:r w:rsidR="0038264F">
        <w:instrText xml:space="preserve">" </w:instrText>
      </w:r>
      <w:r w:rsidR="0038264F">
        <w:rPr>
          <w:i/>
        </w:rPr>
        <w:fldChar w:fldCharType="end"/>
      </w:r>
      <w:r w:rsidR="0038264F" w:rsidRPr="0038264F">
        <w:t xml:space="preserve"> pravdy a nepravdy tomismu</w:t>
      </w:r>
      <w:r w:rsidR="001714BF">
        <w:fldChar w:fldCharType="begin"/>
      </w:r>
      <w:r w:rsidR="001714BF">
        <w:instrText xml:space="preserve"> XE "</w:instrText>
      </w:r>
      <w:r w:rsidR="001714BF" w:rsidRPr="00FC3DEB">
        <w:instrText>tomismus</w:instrText>
      </w:r>
      <w:r w:rsidR="001714BF">
        <w:instrText xml:space="preserve">" </w:instrText>
      </w:r>
      <w:r w:rsidR="001714BF">
        <w:fldChar w:fldCharType="end"/>
      </w:r>
      <w:r w:rsidR="0038264F" w:rsidRPr="0038264F">
        <w:t>.</w:t>
      </w:r>
      <w:r w:rsidR="0038264F">
        <w:t xml:space="preserve"> </w:t>
      </w:r>
      <w:r w:rsidR="00601F78" w:rsidRPr="00601F78">
        <w:t>Aegidius ja</w:t>
      </w:r>
      <w:r w:rsidR="00601F78">
        <w:t xml:space="preserve">ko následovník Akvinského nemohl </w:t>
      </w:r>
      <w:r w:rsidR="00601F78" w:rsidRPr="00601F78">
        <w:t>přij</w:t>
      </w:r>
      <w:r w:rsidR="00601F78">
        <w:t>mout fenomenologický princip Si</w:t>
      </w:r>
      <w:r w:rsidR="00601F78" w:rsidRPr="00601F78">
        <w:t>gera, který je spojen s jednotou poznání v existující osobě (kap. 4.4.2).</w:t>
      </w:r>
      <w:r w:rsidR="00601F78">
        <w:t xml:space="preserve"> Při psaní </w:t>
      </w:r>
      <w:r w:rsidR="00601F78" w:rsidRPr="00601F78">
        <w:rPr>
          <w:i/>
        </w:rPr>
        <w:t>Questiones</w:t>
      </w:r>
      <w:r w:rsidR="00601F78">
        <w:t xml:space="preserve"> </w:t>
      </w:r>
      <w:r>
        <w:t>konvertova</w:t>
      </w:r>
      <w:r w:rsidR="00601F78">
        <w:t xml:space="preserve">l na první verzi tomismu, proto hájí </w:t>
      </w:r>
      <w:r>
        <w:t>pozici Akvinského</w:t>
      </w:r>
      <w:r w:rsidR="00601F78">
        <w:t xml:space="preserve">, kterou </w:t>
      </w:r>
      <w:r>
        <w:t>odmít</w:t>
      </w:r>
      <w:r w:rsidR="00601F78">
        <w:t xml:space="preserve">l </w:t>
      </w:r>
      <w:r>
        <w:t>Siger</w:t>
      </w:r>
      <w:r w:rsidR="00601F78">
        <w:t>.</w:t>
      </w:r>
      <w:r>
        <w:t xml:space="preserve"> Viz Akvinského </w:t>
      </w:r>
      <w:r w:rsidR="008D12AE">
        <w:t xml:space="preserve">definice </w:t>
      </w:r>
      <w:r w:rsidR="00B22BC6" w:rsidRPr="00273106">
        <w:t xml:space="preserve">intelektu </w:t>
      </w:r>
      <w:r w:rsidRPr="00273106">
        <w:t xml:space="preserve">jako </w:t>
      </w:r>
      <w:r w:rsidR="00B22BC6">
        <w:t xml:space="preserve">hypostázované </w:t>
      </w:r>
      <w:r w:rsidRPr="00273106">
        <w:t xml:space="preserve">formy </w:t>
      </w:r>
      <w:r>
        <w:t xml:space="preserve">v termínu </w:t>
      </w:r>
      <w:r w:rsidRPr="08C14822">
        <w:rPr>
          <w:i/>
        </w:rPr>
        <w:t>qua</w:t>
      </w:r>
      <w:r w:rsidRPr="08C14822">
        <w:rPr>
          <w:i/>
          <w:vertAlign w:val="superscript"/>
        </w:rPr>
        <w:t>2</w:t>
      </w:r>
      <w:r w:rsidR="08527062">
        <w:t xml:space="preserve"> (kap. 4</w:t>
      </w:r>
      <w:r>
        <w:t xml:space="preserve">.5.2). Autor bere </w:t>
      </w:r>
      <w:r w:rsidRPr="00E5761A">
        <w:rPr>
          <w:i/>
        </w:rPr>
        <w:t>quidditas</w:t>
      </w:r>
      <w:r>
        <w:rPr>
          <w:i/>
        </w:rPr>
        <w:fldChar w:fldCharType="begin"/>
      </w:r>
      <w:r>
        <w:instrText xml:space="preserve"> XE "</w:instrText>
      </w:r>
      <w:r w:rsidRPr="007C7423">
        <w:rPr>
          <w:i/>
        </w:rPr>
        <w:instrText>quidditas:</w:instrText>
      </w:r>
      <w:r w:rsidRPr="000417EB">
        <w:instrText>Anonym Bazán</w:instrText>
      </w:r>
      <w:r>
        <w:instrText xml:space="preserve">" </w:instrText>
      </w:r>
      <w:r>
        <w:rPr>
          <w:i/>
        </w:rPr>
        <w:fldChar w:fldCharType="end"/>
      </w:r>
      <w:r>
        <w:t xml:space="preserve"> </w:t>
      </w:r>
      <w:r w:rsidR="00D6174C">
        <w:t xml:space="preserve">jako </w:t>
      </w:r>
      <w:r>
        <w:t>esenc</w:t>
      </w:r>
      <w:r w:rsidR="00D6174C">
        <w:t xml:space="preserve">i </w:t>
      </w:r>
      <w:r>
        <w:t xml:space="preserve">Avicenny. A současně podle schématu poznání prvního averroismu odmítá status </w:t>
      </w:r>
      <w:r w:rsidRPr="00E5761A">
        <w:rPr>
          <w:i/>
        </w:rPr>
        <w:t>quidditas</w:t>
      </w:r>
      <w:r>
        <w:t xml:space="preserve"> jako jsoucna třetího druhu. Viz např. polemiku ohledně pojetí pravd</w:t>
      </w:r>
      <w:r w:rsidR="00E41108">
        <w:t>y</w:t>
      </w:r>
      <w:r>
        <w:t xml:space="preserve"> (</w:t>
      </w:r>
      <w:r>
        <w:rPr>
          <w:i/>
        </w:rPr>
        <w:t xml:space="preserve">Q. </w:t>
      </w:r>
      <w:r>
        <w:t>3.17, p. 502.46‒54</w:t>
      </w:r>
      <w:r>
        <w:fldChar w:fldCharType="begin"/>
      </w:r>
      <w:r>
        <w:instrText xml:space="preserve"> XE "</w:instrText>
      </w:r>
      <w:r w:rsidRPr="00076C06">
        <w:rPr>
          <w:i/>
        </w:rPr>
        <w:instrText>Anonym Bazán</w:instrText>
      </w:r>
      <w:r>
        <w:instrText xml:space="preserve"> 502.46‒54" </w:instrText>
      </w:r>
      <w:r>
        <w:fldChar w:fldCharType="end"/>
      </w:r>
      <w:r>
        <w:t>). Ale na druhou stranu brání avicennovskou teorii komitace</w:t>
      </w:r>
      <w:r>
        <w:fldChar w:fldCharType="begin"/>
      </w:r>
      <w:r>
        <w:instrText xml:space="preserve"> XE "</w:instrText>
      </w:r>
      <w:r w:rsidRPr="00467B7F">
        <w:instrText>komitace</w:instrText>
      </w:r>
      <w:r>
        <w:instrText xml:space="preserve">" </w:instrText>
      </w:r>
      <w:r>
        <w:fldChar w:fldCharType="end"/>
      </w:r>
      <w:r w:rsidR="009E38F5">
        <w:t xml:space="preserve"> </w:t>
      </w:r>
      <w:r>
        <w:t>v objektivní verzi druh</w:t>
      </w:r>
      <w:r w:rsidR="009E38F5">
        <w:t xml:space="preserve">ého </w:t>
      </w:r>
      <w:r>
        <w:t>averrois</w:t>
      </w:r>
      <w:r w:rsidR="009E38F5">
        <w:t>mu</w:t>
      </w:r>
      <w:r>
        <w:t>.</w:t>
      </w:r>
      <w:r w:rsidRPr="00273106">
        <w:t xml:space="preserve"> Citované </w:t>
      </w:r>
      <w:r w:rsidR="005566AA">
        <w:t xml:space="preserve">váhání </w:t>
      </w:r>
      <w:r w:rsidRPr="00273106">
        <w:t>mezi prvním a druhým averroismem ukazuj</w:t>
      </w:r>
      <w:r w:rsidR="005566AA">
        <w:t>e</w:t>
      </w:r>
      <w:r w:rsidRPr="00273106">
        <w:t xml:space="preserve">, že </w:t>
      </w:r>
      <w:r>
        <w:t xml:space="preserve">anonym </w:t>
      </w:r>
      <w:r w:rsidRPr="00273106">
        <w:t>v určitých bodech pořád drží nauku druhého averroismu. Hermeneutika připomíná zej</w:t>
      </w:r>
      <w:r>
        <w:t>ména výše uvedenou podobnost s O</w:t>
      </w:r>
      <w:r w:rsidRPr="00273106">
        <w:t xml:space="preserve">xfordským rukopisem </w:t>
      </w:r>
      <w:r w:rsidRPr="00273106">
        <w:lastRenderedPageBreak/>
        <w:t xml:space="preserve">ohledně </w:t>
      </w:r>
      <w:r>
        <w:t>existence univerzálií ve věcech (</w:t>
      </w:r>
      <w:r w:rsidRPr="08F87E17">
        <w:rPr>
          <w:i/>
        </w:rPr>
        <w:t>universalia secundum</w:t>
      </w:r>
      <w:r w:rsidRPr="08683E6E">
        <w:rPr>
          <w:i/>
        </w:rPr>
        <w:t xml:space="preserve"> quod sunt in rerum natura</w:t>
      </w:r>
      <w:r w:rsidR="08F87E17" w:rsidRPr="08F87E17">
        <w:t>)</w:t>
      </w:r>
      <w:r w:rsidR="08F87E17">
        <w:t xml:space="preserve">. Objektivní „exsistence“ </w:t>
      </w:r>
      <w:r w:rsidR="00962190" w:rsidRPr="001147AC">
        <w:t>species</w:t>
      </w:r>
      <w:r w:rsidR="08F87E17">
        <w:t xml:space="preserve"> jako jsoucna třetího druhu je kombinovaná</w:t>
      </w:r>
      <w:r>
        <w:t xml:space="preserve"> s nasvícením zepředu podle prvního averroismu.</w:t>
      </w:r>
      <w:r>
        <w:rPr>
          <w:rStyle w:val="Znakapoznpodarou"/>
        </w:rPr>
        <w:footnoteReference w:id="189"/>
      </w:r>
      <w:r>
        <w:t xml:space="preserve"> To je typická pozice Aegidia Romana okolo roku 1270, kterou pak změnil na moderní dualismus. </w:t>
      </w:r>
      <w:r w:rsidR="00E81F0F">
        <w:t xml:space="preserve">Akceptace </w:t>
      </w:r>
      <w:r w:rsidRPr="00BF3449">
        <w:rPr>
          <w:i/>
        </w:rPr>
        <w:t>Oxfordian Fallacy</w:t>
      </w:r>
      <w:r>
        <w:rPr>
          <w:i/>
        </w:rPr>
        <w:fldChar w:fldCharType="begin"/>
      </w:r>
      <w:r>
        <w:instrText xml:space="preserve"> XE "</w:instrText>
      </w:r>
      <w:r w:rsidRPr="0015798D">
        <w:rPr>
          <w:i/>
        </w:rPr>
        <w:instrText>Oxfordian Fallacy:</w:instrText>
      </w:r>
      <w:r w:rsidRPr="005B0F8C">
        <w:instrText>Anonym Bazán</w:instrText>
      </w:r>
      <w:r>
        <w:instrText xml:space="preserve">" </w:instrText>
      </w:r>
      <w:r>
        <w:rPr>
          <w:i/>
        </w:rPr>
        <w:fldChar w:fldCharType="end"/>
      </w:r>
      <w:r>
        <w:t xml:space="preserve"> </w:t>
      </w:r>
      <w:r w:rsidRPr="00273106">
        <w:t xml:space="preserve">vysvětluje přímé poznání jednotlivin </w:t>
      </w:r>
      <w:r>
        <w:t>v</w:t>
      </w:r>
      <w:r w:rsidR="00E81F0F">
        <w:t> </w:t>
      </w:r>
      <w:r>
        <w:t>intelektu</w:t>
      </w:r>
      <w:r w:rsidR="00E81F0F">
        <w:t xml:space="preserve">. Přitom autor </w:t>
      </w:r>
      <w:r w:rsidRPr="00273106">
        <w:t xml:space="preserve">odmítl Avicennův princip imanentní aktuality intelektu a trvá na aristotelském poznání jako </w:t>
      </w:r>
      <w:r w:rsidRPr="00273106">
        <w:rPr>
          <w:i/>
        </w:rPr>
        <w:t>tabula rasa</w:t>
      </w:r>
      <w:r>
        <w:rPr>
          <w:i/>
        </w:rPr>
        <w:fldChar w:fldCharType="begin"/>
      </w:r>
      <w:r>
        <w:instrText xml:space="preserve"> XE "</w:instrText>
      </w:r>
      <w:r w:rsidRPr="00CE6D17">
        <w:rPr>
          <w:i/>
        </w:rPr>
        <w:instrText>tabula rasa</w:instrText>
      </w:r>
      <w:r>
        <w:instrText xml:space="preserve">" </w:instrText>
      </w:r>
      <w:r>
        <w:rPr>
          <w:i/>
        </w:rPr>
        <w:fldChar w:fldCharType="end"/>
      </w:r>
      <w:r w:rsidR="008A2499">
        <w:t xml:space="preserve"> v čistě receptivní duši.</w:t>
      </w:r>
    </w:p>
    <w:p w:rsidR="004C6360" w:rsidRDefault="008A2499" w:rsidP="00851F45">
      <w:pPr>
        <w:ind w:firstLine="397"/>
      </w:pPr>
      <w:r>
        <w:t xml:space="preserve">Aegidiův </w:t>
      </w:r>
      <w:r w:rsidR="08163013">
        <w:t xml:space="preserve">komentář </w:t>
      </w:r>
      <w:r w:rsidR="08163013" w:rsidRPr="00273106">
        <w:t xml:space="preserve">z Oxfordu </w:t>
      </w:r>
      <w:r w:rsidR="08163013">
        <w:t>psan</w:t>
      </w:r>
      <w:r>
        <w:t xml:space="preserve">ý okolo </w:t>
      </w:r>
      <w:r w:rsidR="08163013">
        <w:t xml:space="preserve">1268 </w:t>
      </w:r>
      <w:r w:rsidR="08163013" w:rsidRPr="00273106">
        <w:t xml:space="preserve">a </w:t>
      </w:r>
      <w:r w:rsidR="08163013">
        <w:t xml:space="preserve">kritika Pechama datovaná rokem 1270 </w:t>
      </w:r>
      <w:r w:rsidR="08163013" w:rsidRPr="00273106">
        <w:t xml:space="preserve">vysvětluje složitý myšlenkový postup </w:t>
      </w:r>
      <w:r w:rsidR="08163013">
        <w:t>semi</w:t>
      </w:r>
      <w:r>
        <w:t>averroistů</w:t>
      </w:r>
      <w:r w:rsidR="08F87E17">
        <w:t xml:space="preserve">. Tito </w:t>
      </w:r>
      <w:r w:rsidR="004714CF">
        <w:t xml:space="preserve">myslitelé </w:t>
      </w:r>
      <w:r w:rsidR="08163013">
        <w:t xml:space="preserve">se </w:t>
      </w:r>
      <w:r w:rsidR="08F87E17">
        <w:t>postavili pod prapor</w:t>
      </w:r>
      <w:r w:rsidR="08163013">
        <w:t xml:space="preserve"> Akvinského jako </w:t>
      </w:r>
      <w:r w:rsidR="004714CF" w:rsidRPr="00E62302">
        <w:rPr>
          <w:i/>
          <w:szCs w:val="24"/>
          <w:lang w:val="de-DE"/>
        </w:rPr>
        <w:t>Expositor Novus</w:t>
      </w:r>
      <w:r w:rsidR="004714CF">
        <w:rPr>
          <w:szCs w:val="24"/>
          <w:lang w:val="de-DE"/>
        </w:rPr>
        <w:t xml:space="preserve"> </w:t>
      </w:r>
      <w:r w:rsidR="08163013">
        <w:t>proti Sigerově straně na Rue du Fouarre</w:t>
      </w:r>
      <w:r w:rsidR="08163013" w:rsidRPr="00273106">
        <w:t xml:space="preserve">. </w:t>
      </w:r>
      <w:r w:rsidR="081979A2">
        <w:t xml:space="preserve">První tomisté </w:t>
      </w:r>
      <w:r w:rsidR="08163013">
        <w:t xml:space="preserve">zásadně odmítli moderní hylemorfismus a pluralitu substancí v člověku daný v Bonaventurově škole a na Oxfordu. </w:t>
      </w:r>
      <w:r w:rsidR="00972F0A">
        <w:t xml:space="preserve">Aegidius </w:t>
      </w:r>
      <w:r w:rsidR="08163013" w:rsidRPr="00273106">
        <w:t xml:space="preserve">zná </w:t>
      </w:r>
      <w:r w:rsidR="08163013">
        <w:t xml:space="preserve">základní rysy </w:t>
      </w:r>
      <w:r w:rsidR="08163013" w:rsidRPr="00273106">
        <w:t>Sigerovy argumentace</w:t>
      </w:r>
      <w:r w:rsidR="08163013">
        <w:t xml:space="preserve"> dané v jeho brilantním komentáři QIIIDA. Ale odmítl Sigerův mistrovský výklad CMDA a spokojil se s Akvinského </w:t>
      </w:r>
      <w:proofErr w:type="gramStart"/>
      <w:r w:rsidR="08163013">
        <w:t>polemikou</w:t>
      </w:r>
      <w:proofErr w:type="gramEnd"/>
      <w:r w:rsidR="08163013">
        <w:t xml:space="preserve"> proti druhému averroismu ve spisu </w:t>
      </w:r>
      <w:r w:rsidR="08163013" w:rsidRPr="00A35000">
        <w:rPr>
          <w:i/>
        </w:rPr>
        <w:t>De unitate</w:t>
      </w:r>
      <w:r w:rsidR="00972F0A">
        <w:rPr>
          <w:i/>
        </w:rPr>
        <w:t xml:space="preserve"> </w:t>
      </w:r>
      <w:r w:rsidR="00972F0A">
        <w:rPr>
          <w:i/>
          <w:szCs w:val="24"/>
        </w:rPr>
        <w:t>i</w:t>
      </w:r>
      <w:r w:rsidR="00972F0A" w:rsidRPr="00444936">
        <w:rPr>
          <w:i/>
          <w:szCs w:val="24"/>
        </w:rPr>
        <w:t>ntellectus</w:t>
      </w:r>
      <w:r w:rsidR="00972F0A" w:rsidRPr="00794616">
        <w:rPr>
          <w:szCs w:val="24"/>
        </w:rPr>
        <w:t xml:space="preserve"> </w:t>
      </w:r>
      <w:r w:rsidR="08163013">
        <w:t>(1270). Aegidius jako autor obou anonymních spisů s</w:t>
      </w:r>
      <w:r w:rsidR="08163013" w:rsidRPr="00273106">
        <w:t xml:space="preserve">e znalostí věci obhajuje základní teze prvního averroismu, ale </w:t>
      </w:r>
      <w:r w:rsidR="00E45689" w:rsidRPr="00273106">
        <w:t>nesouhlasí</w:t>
      </w:r>
      <w:r w:rsidR="00E45689">
        <w:t xml:space="preserve"> se všemi závěry této školy</w:t>
      </w:r>
      <w:r w:rsidR="08163013" w:rsidRPr="00273106">
        <w:t xml:space="preserve">. Zná </w:t>
      </w:r>
      <w:r w:rsidR="00E45689">
        <w:t xml:space="preserve">hlavní </w:t>
      </w:r>
      <w:r w:rsidR="08163013" w:rsidRPr="00273106">
        <w:t xml:space="preserve">části argumentace CMDA, ale </w:t>
      </w:r>
      <w:r w:rsidR="08163013">
        <w:t xml:space="preserve">zásadně </w:t>
      </w:r>
      <w:r w:rsidR="08163013" w:rsidRPr="00273106">
        <w:t xml:space="preserve">odmítá uznat </w:t>
      </w:r>
      <w:r w:rsidR="08163013">
        <w:t xml:space="preserve">Averroesovy </w:t>
      </w:r>
      <w:r w:rsidR="08163013" w:rsidRPr="00273106">
        <w:t xml:space="preserve">vývody ohledně </w:t>
      </w:r>
      <w:r w:rsidR="08163013">
        <w:t xml:space="preserve">existenciálního výkonu </w:t>
      </w:r>
      <w:r w:rsidR="08163013" w:rsidRPr="00273106">
        <w:t>intelektu</w:t>
      </w:r>
      <w:r w:rsidR="08163013">
        <w:t xml:space="preserve"> v modu </w:t>
      </w:r>
      <w:r w:rsidR="08163013" w:rsidRPr="08121EF1">
        <w:rPr>
          <w:i/>
        </w:rPr>
        <w:t xml:space="preserve">tertium </w:t>
      </w:r>
      <w:r w:rsidR="00962190">
        <w:rPr>
          <w:i/>
        </w:rPr>
        <w:t>genus</w:t>
      </w:r>
      <w:r w:rsidR="08163013">
        <w:rPr>
          <w:i/>
        </w:rPr>
        <w:fldChar w:fldCharType="begin"/>
      </w:r>
      <w:r w:rsidR="08163013">
        <w:instrText xml:space="preserve"> XE "semiaverroismus" </w:instrText>
      </w:r>
      <w:r w:rsidR="08163013">
        <w:rPr>
          <w:i/>
        </w:rPr>
        <w:fldChar w:fldCharType="end"/>
      </w:r>
      <w:r w:rsidR="08163013" w:rsidRPr="00273106">
        <w:t xml:space="preserve">. </w:t>
      </w:r>
      <w:r w:rsidR="08163013">
        <w:t>Jeho výklad je ovlivněn interpretací Averroese podle Toledské školy</w:t>
      </w:r>
      <w:r w:rsidR="00AE45AF">
        <w:t xml:space="preserve">. Aegidius </w:t>
      </w:r>
      <w:r w:rsidR="08163013">
        <w:t xml:space="preserve">po roce 1268 vyměnil </w:t>
      </w:r>
      <w:r w:rsidR="00AE45AF">
        <w:t xml:space="preserve">tuto argumentaci </w:t>
      </w:r>
      <w:r w:rsidR="08163013">
        <w:t>za aristotelismus Akvinského</w:t>
      </w:r>
      <w:r w:rsidR="00AE45AF">
        <w:t>,</w:t>
      </w:r>
      <w:r w:rsidR="08163013">
        <w:t xml:space="preserve"> a tím založil tomismus</w:t>
      </w:r>
      <w:r w:rsidR="00AE45AF">
        <w:t xml:space="preserve"> jako objektivní verzi druhého averroismu</w:t>
      </w:r>
      <w:r w:rsidR="08163013">
        <w:t xml:space="preserve">. </w:t>
      </w:r>
      <w:r w:rsidR="00AE45AF">
        <w:t>Sekulární artisté pod vedením Sigera (</w:t>
      </w:r>
      <w:r w:rsidR="00AE45AF" w:rsidRPr="00AE45AF">
        <w:rPr>
          <w:i/>
        </w:rPr>
        <w:t>pars Sigeri</w:t>
      </w:r>
      <w:r w:rsidR="00AE45AF">
        <w:t xml:space="preserve">) naopak </w:t>
      </w:r>
      <w:r w:rsidR="08163013">
        <w:t>přijali a prohloubili Komentátorův výklad podle Michaela Scota</w:t>
      </w:r>
      <w:r w:rsidR="00AE45AF">
        <w:t xml:space="preserve"> známý v P</w:t>
      </w:r>
      <w:r w:rsidR="00DC4AE0">
        <w:t>a</w:t>
      </w:r>
      <w:r w:rsidR="00AE45AF">
        <w:t xml:space="preserve">říži </w:t>
      </w:r>
      <w:r w:rsidR="08163013">
        <w:t xml:space="preserve">už od roku 1230. Už biskup Alvernus dobře věděl, že spis </w:t>
      </w:r>
      <w:r w:rsidR="08163013" w:rsidRPr="00F0713E">
        <w:rPr>
          <w:i/>
        </w:rPr>
        <w:t>De anima</w:t>
      </w:r>
      <w:r w:rsidR="08163013">
        <w:t xml:space="preserve"> lze vyložit jak na problematický způsob </w:t>
      </w:r>
      <w:r w:rsidR="08163013" w:rsidRPr="002207C0">
        <w:rPr>
          <w:i/>
        </w:rPr>
        <w:t>sequaces</w:t>
      </w:r>
      <w:r w:rsidR="08163013">
        <w:t xml:space="preserve"> </w:t>
      </w:r>
      <w:r w:rsidR="08163013" w:rsidRPr="00F0713E">
        <w:rPr>
          <w:i/>
        </w:rPr>
        <w:t>Aristotelis</w:t>
      </w:r>
      <w:r w:rsidR="08163013">
        <w:t xml:space="preserve">, tak na způsob nejvznešenějšího filosofa Averroese. </w:t>
      </w:r>
      <w:r w:rsidR="00047044">
        <w:rPr>
          <w:szCs w:val="24"/>
        </w:rPr>
        <w:t xml:space="preserve">Aegidius </w:t>
      </w:r>
      <w:r w:rsidR="08163013">
        <w:t xml:space="preserve"> chce udržet jednotu osoby proti modernistům typu Pechama a Bonaventury. </w:t>
      </w:r>
      <w:r w:rsidR="00047044" w:rsidRPr="00047044">
        <w:t xml:space="preserve">Proto Aegidius jako vynikající představitel modernistické školy </w:t>
      </w:r>
      <w:r w:rsidR="00047044" w:rsidRPr="00047044">
        <w:rPr>
          <w:i/>
        </w:rPr>
        <w:t>sophistae Latini</w:t>
      </w:r>
      <w:r w:rsidR="00047044" w:rsidRPr="00047044">
        <w:t xml:space="preserve"> převzal základní závěry CMDA a připsal je Aristotelovi podle postupu </w:t>
      </w:r>
      <w:r w:rsidR="00047044">
        <w:t xml:space="preserve">daného skrze Akvinského jako </w:t>
      </w:r>
      <w:r w:rsidR="00047044" w:rsidRPr="00047044">
        <w:rPr>
          <w:i/>
        </w:rPr>
        <w:t>Expositor Novus</w:t>
      </w:r>
      <w:r w:rsidR="00047044">
        <w:t xml:space="preserve">. </w:t>
      </w:r>
      <w:r w:rsidR="08163013">
        <w:t xml:space="preserve">V předešlém Oxfordském rukopise (O I‒II) ještě </w:t>
      </w:r>
      <w:r w:rsidR="08163013">
        <w:lastRenderedPageBreak/>
        <w:t xml:space="preserve">Aegidius </w:t>
      </w:r>
      <w:r w:rsidR="00A93E22" w:rsidRPr="00A93E22">
        <w:t xml:space="preserve">potřeboval explikaci </w:t>
      </w:r>
      <w:r w:rsidR="00A93E22">
        <w:t>Averroese</w:t>
      </w:r>
      <w:r w:rsidR="00A93E22" w:rsidRPr="00A93E22">
        <w:t xml:space="preserve"> v Avicennově paradigmatu </w:t>
      </w:r>
      <w:r w:rsidR="00A93E22">
        <w:t xml:space="preserve">Toledské školy. </w:t>
      </w:r>
      <w:r w:rsidR="08163013">
        <w:t>Tato primitivní sofistika zmizela v letech 1266‒68 pod vlivem aristotelské exegeze Nového expozitora</w:t>
      </w:r>
      <w:r w:rsidR="0008336A">
        <w:t xml:space="preserve">. Tuto transformaci </w:t>
      </w:r>
      <w:r w:rsidR="08163013">
        <w:t>ukazuje třetí část Oxfords</w:t>
      </w:r>
      <w:r w:rsidR="004C02EC">
        <w:t xml:space="preserve">kého rukopisu </w:t>
      </w:r>
      <w:r w:rsidR="00B249E1">
        <w:t xml:space="preserve">(O III) </w:t>
      </w:r>
      <w:r w:rsidR="004C02EC">
        <w:t xml:space="preserve">a </w:t>
      </w:r>
      <w:r w:rsidR="00B249E1" w:rsidRPr="00B249E1">
        <w:rPr>
          <w:i/>
        </w:rPr>
        <w:t>Anonymus Bazán</w:t>
      </w:r>
      <w:r w:rsidR="004C02EC">
        <w:t xml:space="preserve">. </w:t>
      </w:r>
      <w:r w:rsidR="00851F45">
        <w:t xml:space="preserve">Aegidius Romanus </w:t>
      </w:r>
      <w:r w:rsidR="00851F45" w:rsidRPr="00851F45">
        <w:t xml:space="preserve">založil ve spisech O III a </w:t>
      </w:r>
      <w:r w:rsidR="00851F45" w:rsidRPr="00851F45">
        <w:rPr>
          <w:i/>
        </w:rPr>
        <w:t>Quaestiones disputatae</w:t>
      </w:r>
      <w:r w:rsidR="00851F45" w:rsidRPr="00851F45">
        <w:t xml:space="preserve"> (1968-71) školu tomismu svou vynikající úrovní sofistiky, která </w:t>
      </w:r>
      <w:r w:rsidR="00851F45">
        <w:t>změnila učení školy zvané „</w:t>
      </w:r>
      <w:r w:rsidR="00851F45" w:rsidRPr="00851F45">
        <w:rPr>
          <w:i/>
        </w:rPr>
        <w:t>pars Sigeri</w:t>
      </w:r>
      <w:r w:rsidR="00851F45">
        <w:t>“</w:t>
      </w:r>
      <w:r w:rsidR="00851F45" w:rsidRPr="00851F45">
        <w:t xml:space="preserve">. Je zřejmé, </w:t>
      </w:r>
      <w:r w:rsidR="00851F45">
        <w:t>že Aegidius, hnaný mechanismem „</w:t>
      </w:r>
      <w:r w:rsidR="00851F45" w:rsidRPr="00851F45">
        <w:rPr>
          <w:i/>
        </w:rPr>
        <w:t>Verkehrung ins Gegenteil</w:t>
      </w:r>
      <w:r w:rsidR="00851F45">
        <w:t>“</w:t>
      </w:r>
      <w:r w:rsidR="00851F45" w:rsidRPr="00851F45">
        <w:t xml:space="preserve">, se stal jedním z největších nepřátel této školy. Jeho role v odsouzení z roku 1277 zůstává </w:t>
      </w:r>
      <w:r w:rsidR="00851F45">
        <w:t>zatím neobjasněna. S</w:t>
      </w:r>
      <w:r w:rsidR="08163013">
        <w:t xml:space="preserve">emiaverroismus Akvinského a Aegidia </w:t>
      </w:r>
      <w:r w:rsidR="00CA3DE4">
        <w:t xml:space="preserve">jistě </w:t>
      </w:r>
      <w:r w:rsidR="08163013">
        <w:t xml:space="preserve">představoval pro znalce CMDA </w:t>
      </w:r>
      <w:r w:rsidR="004C02EC">
        <w:t xml:space="preserve">zajímavou </w:t>
      </w:r>
      <w:r w:rsidR="089B1453">
        <w:t xml:space="preserve">aristotelskou </w:t>
      </w:r>
      <w:r w:rsidR="08163013">
        <w:t xml:space="preserve">sofistiku, která se </w:t>
      </w:r>
      <w:r w:rsidR="004C02EC">
        <w:t xml:space="preserve">zásadně </w:t>
      </w:r>
      <w:r w:rsidR="08163013">
        <w:t xml:space="preserve">lišila od primitivního výkladu modernistů. </w:t>
      </w:r>
      <w:r w:rsidR="002D30C6" w:rsidRPr="002D30C6">
        <w:t xml:space="preserve">Z tohoto důvodu vznikl kolem roku 1270 spis </w:t>
      </w:r>
      <w:r w:rsidR="002D30C6" w:rsidRPr="002D30C6">
        <w:rPr>
          <w:i/>
        </w:rPr>
        <w:t>Anonymus Giele</w:t>
      </w:r>
      <w:r w:rsidR="002D30C6">
        <w:t>. Boethius z Dá</w:t>
      </w:r>
      <w:r w:rsidR="002D30C6" w:rsidRPr="002D30C6">
        <w:t xml:space="preserve">cie vysvětlil tomistům přesnou argumentaci prvního averroismu </w:t>
      </w:r>
      <w:r w:rsidR="002D30C6">
        <w:t xml:space="preserve">podle </w:t>
      </w:r>
      <w:r w:rsidR="002D30C6" w:rsidRPr="002D30C6">
        <w:t>sicilské školy, kterou v Rue du Fo</w:t>
      </w:r>
      <w:r w:rsidR="002D30C6">
        <w:t>uarre obhajovala skupina zvaná „</w:t>
      </w:r>
      <w:r w:rsidR="002D30C6" w:rsidRPr="002D30C6">
        <w:rPr>
          <w:i/>
        </w:rPr>
        <w:t>pars Sigeri</w:t>
      </w:r>
      <w:r w:rsidR="002D30C6">
        <w:rPr>
          <w:rStyle w:val="Zvraznn"/>
          <w:i w:val="0"/>
        </w:rPr>
        <w:fldChar w:fldCharType="begin"/>
      </w:r>
      <w:r w:rsidR="002D30C6">
        <w:instrText xml:space="preserve"> XE "</w:instrText>
      </w:r>
      <w:r w:rsidR="002D30C6">
        <w:rPr>
          <w:rStyle w:val="Zvraznn"/>
          <w:i w:val="0"/>
        </w:rPr>
        <w:instrText>pr</w:instrText>
      </w:r>
      <w:r w:rsidR="002D30C6" w:rsidRPr="00D95B1D">
        <w:rPr>
          <w:rStyle w:val="Zvraznn"/>
          <w:i w:val="0"/>
        </w:rPr>
        <w:instrText>vní averroismus:</w:instrText>
      </w:r>
      <w:r w:rsidR="002D30C6" w:rsidRPr="0084029F">
        <w:rPr>
          <w:rStyle w:val="Zvraznn"/>
        </w:rPr>
        <w:instrText>pars Sigeri</w:instrText>
      </w:r>
      <w:r w:rsidR="002D30C6">
        <w:instrText xml:space="preserve">" </w:instrText>
      </w:r>
      <w:r w:rsidR="002D30C6">
        <w:rPr>
          <w:rStyle w:val="Zvraznn"/>
          <w:i w:val="0"/>
        </w:rPr>
        <w:fldChar w:fldCharType="end"/>
      </w:r>
      <w:r w:rsidR="002D30C6">
        <w:t>“</w:t>
      </w:r>
      <w:r w:rsidR="002D30C6" w:rsidRPr="002D30C6">
        <w:t>. Lakonické formulace</w:t>
      </w:r>
      <w:r w:rsidR="008E6CF5">
        <w:t xml:space="preserve"> ve spisu </w:t>
      </w:r>
      <w:r w:rsidR="008E6CF5">
        <w:rPr>
          <w:i/>
          <w:szCs w:val="24"/>
          <w:lang w:val="de-DE"/>
        </w:rPr>
        <w:t>Anonymus Giele</w:t>
      </w:r>
      <w:r w:rsidR="002D30C6" w:rsidRPr="002D30C6">
        <w:t xml:space="preserve">, které matou současné interprety tohoto spisu, jsou zcela pochopitelné. Na rozdíl od modernistů byli tito učení aristotelici obou proudů (tomismus, první averroismus) dobře obeznámeni se základními argumenty </w:t>
      </w:r>
      <w:r w:rsidR="002D30C6" w:rsidRPr="0095247B">
        <w:rPr>
          <w:i/>
        </w:rPr>
        <w:t>De anima</w:t>
      </w:r>
      <w:r w:rsidR="002D30C6" w:rsidRPr="002D30C6">
        <w:t xml:space="preserve"> a CMDA. Aegidius se naproti tomu musel uchýlit k přímé polemice a zjednodušené argument</w:t>
      </w:r>
      <w:r w:rsidR="0095247B">
        <w:t>aci proti Pechamově škole v Bazá</w:t>
      </w:r>
      <w:r w:rsidR="002D30C6" w:rsidRPr="002D30C6">
        <w:t xml:space="preserve">nově Anonymu. Po vydání Sigerových komentářů k </w:t>
      </w:r>
      <w:proofErr w:type="gramStart"/>
      <w:r w:rsidR="002D30C6" w:rsidRPr="0095247B">
        <w:rPr>
          <w:i/>
        </w:rPr>
        <w:t>De</w:t>
      </w:r>
      <w:proofErr w:type="gramEnd"/>
      <w:r w:rsidR="002D30C6" w:rsidRPr="0095247B">
        <w:rPr>
          <w:i/>
        </w:rPr>
        <w:t xml:space="preserve"> anima</w:t>
      </w:r>
      <w:r w:rsidR="0095247B">
        <w:t xml:space="preserve"> I–</w:t>
      </w:r>
      <w:r w:rsidR="002D30C6" w:rsidRPr="002D30C6">
        <w:t xml:space="preserve">III si vzdělaní </w:t>
      </w:r>
      <w:r w:rsidR="0095247B">
        <w:t xml:space="preserve">sekulární </w:t>
      </w:r>
      <w:r w:rsidR="002D30C6" w:rsidRPr="002D30C6">
        <w:t xml:space="preserve">magistři v Rue du Fouarre dobře uvědomovali, že Aristoteles v původním textu </w:t>
      </w:r>
      <w:r w:rsidR="002D30C6" w:rsidRPr="0095247B">
        <w:rPr>
          <w:i/>
        </w:rPr>
        <w:t>De anima</w:t>
      </w:r>
      <w:r w:rsidR="002D30C6" w:rsidRPr="002D30C6">
        <w:t xml:space="preserve"> podal pouze neúplné řešení jednoty osoby. </w:t>
      </w:r>
      <w:r w:rsidR="0095247B">
        <w:t xml:space="preserve">Plnou jednotu osoby </w:t>
      </w:r>
      <w:r w:rsidR="08163013">
        <w:t>vytvořil a</w:t>
      </w:r>
      <w:r w:rsidR="004C6360">
        <w:t>ž Averroes ve třetí části CMDA.</w:t>
      </w:r>
    </w:p>
    <w:p w:rsidR="00AB3889" w:rsidRDefault="004C6360" w:rsidP="00851F45">
      <w:pPr>
        <w:ind w:firstLine="397"/>
      </w:pPr>
      <w:r>
        <w:t xml:space="preserve">Bohužel, </w:t>
      </w:r>
      <w:r w:rsidR="08163013">
        <w:t xml:space="preserve">mnozí </w:t>
      </w:r>
      <w:r w:rsidR="00DD11A6">
        <w:t xml:space="preserve">studenti v Paříži </w:t>
      </w:r>
      <w:r w:rsidR="08460452">
        <w:t xml:space="preserve">nepřijali </w:t>
      </w:r>
      <w:r w:rsidR="08163013">
        <w:t xml:space="preserve">Sigerovu argumentaci </w:t>
      </w:r>
      <w:r w:rsidR="00DD11A6">
        <w:t xml:space="preserve">jistě známou už roku 1266 po vydání QIIIDA </w:t>
      </w:r>
      <w:r w:rsidR="08163013">
        <w:t xml:space="preserve">a </w:t>
      </w:r>
      <w:r w:rsidR="00DD11A6">
        <w:t>trvale obviňovali</w:t>
      </w:r>
      <w:r w:rsidR="08163013">
        <w:t xml:space="preserve"> Averroese z averroismu. To se týkalo zejména </w:t>
      </w:r>
      <w:r w:rsidR="00DD11A6">
        <w:t xml:space="preserve">studentů </w:t>
      </w:r>
      <w:r w:rsidR="08163013">
        <w:t>z</w:t>
      </w:r>
      <w:r w:rsidR="00DD11A6">
        <w:t xml:space="preserve"> řádových škol, </w:t>
      </w:r>
      <w:r w:rsidR="08163013">
        <w:t>jako byl Aegidius</w:t>
      </w:r>
      <w:r w:rsidR="00DD11A6">
        <w:t xml:space="preserve"> a Akvinský. Mnozí z mendikantů byli </w:t>
      </w:r>
      <w:r w:rsidR="08163013">
        <w:t xml:space="preserve">nepřátelští vůči sekulárním magistrům </w:t>
      </w:r>
      <w:r w:rsidR="00DD11A6">
        <w:t xml:space="preserve">v Rue du Fouarre </w:t>
      </w:r>
      <w:r w:rsidR="08163013">
        <w:t>už od roku 1255</w:t>
      </w:r>
      <w:r w:rsidR="00050A8C">
        <w:t>. O</w:t>
      </w:r>
      <w:r w:rsidR="00DD11A6">
        <w:t xml:space="preserve">bvinění Averrose z averroismu oficiálně provedl Bonaventura už v </w:t>
      </w:r>
      <w:r w:rsidR="007843C0">
        <w:t>letech 1252–53.</w:t>
      </w:r>
      <w:r w:rsidR="00950FAA">
        <w:t xml:space="preserve"> </w:t>
      </w:r>
      <w:r w:rsidR="08163013">
        <w:t>Hlavními představiteli této semiaverroistické skupiny byli kolem roku 1268‒70 právě Aegidius a Akvinský</w:t>
      </w:r>
      <w:r w:rsidR="00787485">
        <w:t xml:space="preserve">. Tento fakt </w:t>
      </w:r>
      <w:r w:rsidR="08163013">
        <w:t xml:space="preserve">explicitně doložil spis </w:t>
      </w:r>
      <w:r w:rsidR="08163013" w:rsidRPr="00977D0F">
        <w:rPr>
          <w:i/>
        </w:rPr>
        <w:t>De unitate intellectu</w:t>
      </w:r>
      <w:r w:rsidR="08163013">
        <w:rPr>
          <w:i/>
        </w:rPr>
        <w:t>s</w:t>
      </w:r>
      <w:r w:rsidR="08163013">
        <w:t xml:space="preserve"> po Tomášově příjezdu do Paříže. Proto jej za neúplné řešení jednoty osoby trvale kritizoval Siger, </w:t>
      </w:r>
      <w:r w:rsidR="00437945">
        <w:t xml:space="preserve">který byl a je </w:t>
      </w:r>
      <w:r w:rsidR="08163013">
        <w:t>největší zn</w:t>
      </w:r>
      <w:r w:rsidR="080D1BF3">
        <w:t>alec Averroese všech dob (kap. 4</w:t>
      </w:r>
      <w:r w:rsidR="08163013">
        <w:t xml:space="preserve">.5.3). Bazánův anonym trvá na tom, že Averroes je </w:t>
      </w:r>
      <w:r w:rsidR="08163013" w:rsidRPr="00273106">
        <w:t>averro</w:t>
      </w:r>
      <w:r w:rsidR="08163013">
        <w:t>istou, podobně jako to tvrdí Akvinsk</w:t>
      </w:r>
      <w:r w:rsidR="003B1420">
        <w:t>ý. Zásadním protivníkem</w:t>
      </w:r>
      <w:r w:rsidR="006D52F2">
        <w:t xml:space="preserve"> Aegi</w:t>
      </w:r>
      <w:r w:rsidR="003B1420">
        <w:t xml:space="preserve">dia ve spise </w:t>
      </w:r>
      <w:r w:rsidR="003B1420" w:rsidRPr="00D37E19">
        <w:rPr>
          <w:i/>
          <w:szCs w:val="24"/>
        </w:rPr>
        <w:t>Anonymus Bazán</w:t>
      </w:r>
      <w:r w:rsidR="003B1420">
        <w:rPr>
          <w:szCs w:val="24"/>
        </w:rPr>
        <w:t xml:space="preserve"> </w:t>
      </w:r>
      <w:r w:rsidR="08163013">
        <w:t xml:space="preserve">je františkán Pecham, stejně jako byl pro Akvinského při psaní </w:t>
      </w:r>
      <w:r w:rsidR="08163013" w:rsidRPr="005F0F95">
        <w:rPr>
          <w:i/>
        </w:rPr>
        <w:t>De unitate</w:t>
      </w:r>
      <w:r w:rsidR="006D52F2">
        <w:rPr>
          <w:i/>
        </w:rPr>
        <w:t xml:space="preserve"> intellectus</w:t>
      </w:r>
      <w:r w:rsidR="08163013">
        <w:t xml:space="preserve"> </w:t>
      </w:r>
      <w:r w:rsidR="003B1420">
        <w:t xml:space="preserve">v roce </w:t>
      </w:r>
      <w:r w:rsidR="08163013">
        <w:t xml:space="preserve">1270. </w:t>
      </w:r>
      <w:r w:rsidR="08163013">
        <w:lastRenderedPageBreak/>
        <w:t xml:space="preserve">Modernista Pecham </w:t>
      </w:r>
      <w:r w:rsidR="006D52F2">
        <w:t xml:space="preserve">byl </w:t>
      </w:r>
      <w:r w:rsidR="08163013">
        <w:t>vystavený drtivé kritice sekul</w:t>
      </w:r>
      <w:r w:rsidR="006D52F2">
        <w:t>árních aristoteliků kolem Sigera a Aegidius začal první útok na Pechambvy modernisty v O III kolo roku 1268. Od roku 1270 k nim přidal Bazánův anonym a ve stejné době přišel útok Akvinského na školu Pechama hned po Akvinského příjezdu do Paříže začátkem roku 1270.</w:t>
      </w:r>
      <w:r w:rsidR="0025471E">
        <w:t xml:space="preserve"> </w:t>
      </w:r>
      <w:r w:rsidR="08163013">
        <w:t>Proto Pecham v Paříži neobstál stejně jako Rufus</w:t>
      </w:r>
      <w:r w:rsidR="002937D2">
        <w:t xml:space="preserve"> a Kilwardby se </w:t>
      </w:r>
      <w:r w:rsidR="08163013">
        <w:t xml:space="preserve">musel vrátit na modernistický Oxford. </w:t>
      </w:r>
      <w:r w:rsidR="00D5303D">
        <w:t xml:space="preserve">Spis </w:t>
      </w:r>
      <w:r w:rsidR="00D5303D">
        <w:rPr>
          <w:i/>
        </w:rPr>
        <w:t>Questiones disputatae</w:t>
      </w:r>
      <w:r w:rsidR="08163013">
        <w:t xml:space="preserve"> je psán během těchto sporů a hájí Akvinského pozici, ne Sigerovu. Z</w:t>
      </w:r>
      <w:r w:rsidR="0099638E">
        <w:t xml:space="preserve">ávěry CMDA ohlkedně personalizovaného </w:t>
      </w:r>
      <w:r w:rsidR="08163013" w:rsidRPr="00273106">
        <w:t xml:space="preserve">intelektu jsou </w:t>
      </w:r>
      <w:r w:rsidR="0099638E">
        <w:t xml:space="preserve">všechny </w:t>
      </w:r>
      <w:r w:rsidR="08163013" w:rsidRPr="00273106">
        <w:t>připsány Aristotelovi</w:t>
      </w:r>
      <w:r w:rsidR="0099638E">
        <w:t xml:space="preserve">. Nebo je vyložil Akvinský jako </w:t>
      </w:r>
      <w:r w:rsidR="0099638E" w:rsidRPr="0099638E">
        <w:rPr>
          <w:i/>
        </w:rPr>
        <w:t>Expositur Novus</w:t>
      </w:r>
      <w:r w:rsidR="0099638E">
        <w:t xml:space="preserve"> místo Komentártora</w:t>
      </w:r>
      <w:r w:rsidR="08163013" w:rsidRPr="00273106">
        <w:t xml:space="preserve">. </w:t>
      </w:r>
      <w:r w:rsidR="08163013">
        <w:t xml:space="preserve">Tato </w:t>
      </w:r>
      <w:r w:rsidR="08163013" w:rsidRPr="00273106">
        <w:t xml:space="preserve">pozice </w:t>
      </w:r>
      <w:r w:rsidR="08163013">
        <w:t xml:space="preserve">charakterizuje jak </w:t>
      </w:r>
      <w:r w:rsidR="08163013" w:rsidRPr="00273106">
        <w:t>Oxfordsk</w:t>
      </w:r>
      <w:r w:rsidR="08163013">
        <w:t>ý</w:t>
      </w:r>
      <w:r w:rsidR="08163013" w:rsidRPr="00273106">
        <w:t xml:space="preserve"> rukopis </w:t>
      </w:r>
      <w:r w:rsidR="08163013">
        <w:t xml:space="preserve">ve výkladu třetí části </w:t>
      </w:r>
      <w:r w:rsidR="08163013" w:rsidRPr="08AA21B0">
        <w:rPr>
          <w:i/>
        </w:rPr>
        <w:t>De anima</w:t>
      </w:r>
      <w:r w:rsidR="08163013">
        <w:t xml:space="preserve"> tak i Bazánův anonym. Toto pojetí koresponduje se sofistickou pozicí </w:t>
      </w:r>
      <w:r w:rsidR="08163013" w:rsidRPr="00273106">
        <w:t xml:space="preserve">Aegidia Romana </w:t>
      </w:r>
      <w:r w:rsidR="08163013">
        <w:t xml:space="preserve">okolo roku </w:t>
      </w:r>
      <w:r w:rsidR="08163013" w:rsidRPr="00273106">
        <w:t>1270</w:t>
      </w:r>
      <w:r w:rsidR="00E16679">
        <w:t xml:space="preserve">. Tento první a proto nejdůležitější tomista ze školy </w:t>
      </w:r>
      <w:r w:rsidR="00E16679" w:rsidRPr="00E16679">
        <w:rPr>
          <w:i/>
        </w:rPr>
        <w:t>sophistae Latini</w:t>
      </w:r>
      <w:r w:rsidR="00E16679">
        <w:t xml:space="preserve"> pro</w:t>
      </w:r>
      <w:r w:rsidR="08163013">
        <w:t>vedl akademický slalom mezi prvním a druhým averroismem</w:t>
      </w:r>
      <w:r w:rsidR="08163013" w:rsidRPr="00273106">
        <w:t>.</w:t>
      </w:r>
      <w:r w:rsidR="08163013">
        <w:t xml:space="preserve"> </w:t>
      </w:r>
      <w:r w:rsidR="00300B76">
        <w:t xml:space="preserve">Spis </w:t>
      </w:r>
      <w:r w:rsidR="00300B76">
        <w:rPr>
          <w:i/>
        </w:rPr>
        <w:t xml:space="preserve">Questiones disputatae </w:t>
      </w:r>
      <w:r w:rsidR="08163013">
        <w:t xml:space="preserve">je psaný ve stejné době jako Akvinského spis </w:t>
      </w:r>
      <w:r w:rsidR="08163013" w:rsidRPr="00A95E1D">
        <w:rPr>
          <w:i/>
        </w:rPr>
        <w:t>De unitate intellectus</w:t>
      </w:r>
      <w:r w:rsidR="00815331">
        <w:t xml:space="preserve">. Aegidius </w:t>
      </w:r>
      <w:r w:rsidR="08163013">
        <w:t>vychází ze stejné argumentační pozice, včetně sofistické</w:t>
      </w:r>
      <w:r w:rsidR="00861DB1">
        <w:t xml:space="preserve"> kritiky Averroese a má stejné protivníky</w:t>
      </w:r>
      <w:r w:rsidR="08163013">
        <w:t xml:space="preserve"> ze školy druhého averroismu. Cílem Aegidiovy kritiky je škola druhého </w:t>
      </w:r>
      <w:r w:rsidR="00D52102">
        <w:t xml:space="preserve">averroismu zastoupená Pechamem. </w:t>
      </w:r>
      <w:r w:rsidR="006F5AAE" w:rsidRPr="006F5AAE">
        <w:t xml:space="preserve">Ve své argumentaci </w:t>
      </w:r>
      <w:r w:rsidR="006F5AAE">
        <w:t xml:space="preserve">Aegidius </w:t>
      </w:r>
      <w:r w:rsidR="006F5AAE" w:rsidRPr="006F5AAE">
        <w:t>sofistikovaně využívá postojů Sigerových stoupenců, a proto je v tomto pojednání nekritizuje. Skupi</w:t>
      </w:r>
      <w:r w:rsidR="006F5AAE">
        <w:t>na „</w:t>
      </w:r>
      <w:r w:rsidR="006F5AAE" w:rsidRPr="006F5AAE">
        <w:rPr>
          <w:i/>
        </w:rPr>
        <w:t>pars Sigeri</w:t>
      </w:r>
      <w:r w:rsidR="006F5AAE">
        <w:t>“</w:t>
      </w:r>
      <w:r w:rsidR="006F5AAE" w:rsidRPr="006F5AAE">
        <w:t xml:space="preserve"> stála v tomto sporu proti druhému averroismu na jeho straně. </w:t>
      </w:r>
      <w:r w:rsidR="08163013">
        <w:t>Aegidius chce přímou polemikou s Pechamem pomoci Akvinskému v jeho kritice školy druhého averroismu, pravděpodobně hned po Akvinského příje</w:t>
      </w:r>
      <w:r w:rsidR="00CF6FEC">
        <w:t>zdu do Paříže</w:t>
      </w:r>
      <w:r w:rsidR="08163013">
        <w:t>. Nebyl to pro něj problém, protože znal Akvinského argumentaci z</w:t>
      </w:r>
      <w:r w:rsidR="003152B6">
        <w:t> </w:t>
      </w:r>
      <w:r w:rsidR="08163013">
        <w:t>Itálie</w:t>
      </w:r>
      <w:r w:rsidR="003152B6">
        <w:t xml:space="preserve">. Navíc platí, že </w:t>
      </w:r>
      <w:r w:rsidR="08163013">
        <w:t xml:space="preserve">Tomášův výklad </w:t>
      </w:r>
      <w:r w:rsidR="0094301A">
        <w:t xml:space="preserve">Aristotela </w:t>
      </w:r>
      <w:r w:rsidR="08163013">
        <w:t xml:space="preserve">zůstal nezměněn i v Paříži. Aegidius </w:t>
      </w:r>
      <w:r w:rsidR="08163013" w:rsidRPr="00273106">
        <w:t>nepřijal teorii pravdy jako adekvace podle CMDA</w:t>
      </w:r>
      <w:r w:rsidR="08163013">
        <w:t>, protože z Averroese udělal averroistu</w:t>
      </w:r>
      <w:r w:rsidR="08163013" w:rsidRPr="00273106">
        <w:t>. A</w:t>
      </w:r>
      <w:r w:rsidR="08163013">
        <w:t xml:space="preserve">le </w:t>
      </w:r>
      <w:r w:rsidR="08163013" w:rsidRPr="00273106">
        <w:t xml:space="preserve">odmítl </w:t>
      </w:r>
      <w:r w:rsidR="08163013">
        <w:t>postavit metafyziku na Avicennově</w:t>
      </w:r>
      <w:r w:rsidR="08163013" w:rsidRPr="00273106">
        <w:t xml:space="preserve"> pojetí jsoucna jako </w:t>
      </w:r>
      <w:r w:rsidR="08163013" w:rsidRPr="002B0EE8">
        <w:rPr>
          <w:i/>
        </w:rPr>
        <w:t>tertium ens</w:t>
      </w:r>
      <w:r w:rsidR="08163013" w:rsidRPr="00273106">
        <w:t xml:space="preserve"> a </w:t>
      </w:r>
      <w:r w:rsidR="08163013">
        <w:t>také odmítl neoplatonsk</w:t>
      </w:r>
      <w:r w:rsidR="08163013" w:rsidRPr="00273106">
        <w:t>é pojetí poznání skrze nasvícení smyslu jsoucna zezadu</w:t>
      </w:r>
      <w:r w:rsidR="00166058">
        <w:t>,</w:t>
      </w:r>
      <w:r w:rsidR="08163013" w:rsidRPr="00273106">
        <w:t xml:space="preserve"> od světa automních forem</w:t>
      </w:r>
      <w:r w:rsidR="08163013">
        <w:t xml:space="preserve">. Proto hájí Bazánův anonym stejnou metafyzickou pozici jako měla třetí část Oxfordského rukopisu, která </w:t>
      </w:r>
      <w:r w:rsidR="001A6972">
        <w:t xml:space="preserve">asi </w:t>
      </w:r>
      <w:r w:rsidR="0098456B">
        <w:t>vznikla okolo roku 1268</w:t>
      </w:r>
      <w:r w:rsidR="08163013">
        <w:t>. Rozdíl v obou spisech je rozdílným zaměřením spisů. V případě</w:t>
      </w:r>
      <w:r w:rsidR="003C46D6">
        <w:t xml:space="preserve"> Oxfordského komentáře </w:t>
      </w:r>
      <w:r w:rsidR="08163013">
        <w:t xml:space="preserve">šlo o neutrální univerzitní traktát, ve druhém případě o disputaci proti </w:t>
      </w:r>
      <w:r w:rsidR="08A123E0">
        <w:t>protivníkům ze školy</w:t>
      </w:r>
      <w:r w:rsidR="08163013">
        <w:t xml:space="preserve"> </w:t>
      </w:r>
      <w:r w:rsidR="08A123E0">
        <w:t>druhého averroismu</w:t>
      </w:r>
      <w:r w:rsidR="08163013">
        <w:t xml:space="preserve">. </w:t>
      </w:r>
      <w:r w:rsidR="08163013" w:rsidRPr="00273106">
        <w:t xml:space="preserve">V první fázi Aegidius kolísá mezi pojetím abstrakce jako </w:t>
      </w:r>
      <w:r w:rsidR="08163013">
        <w:t xml:space="preserve">aristotelské </w:t>
      </w:r>
      <w:r w:rsidR="08163013" w:rsidRPr="00273106">
        <w:rPr>
          <w:i/>
        </w:rPr>
        <w:t>abstractio</w:t>
      </w:r>
      <w:r w:rsidR="08163013" w:rsidRPr="00273106">
        <w:t xml:space="preserve"> </w:t>
      </w:r>
      <w:r w:rsidR="08163013">
        <w:t xml:space="preserve">podle </w:t>
      </w:r>
      <w:r w:rsidR="08163013" w:rsidRPr="00273106">
        <w:t xml:space="preserve">prvního averroismu a mezi avicennovským </w:t>
      </w:r>
      <w:r w:rsidR="08163013" w:rsidRPr="00273106">
        <w:rPr>
          <w:i/>
        </w:rPr>
        <w:t>denudatio</w:t>
      </w:r>
      <w:r w:rsidR="08163013">
        <w:rPr>
          <w:i/>
        </w:rPr>
        <w:fldChar w:fldCharType="begin"/>
      </w:r>
      <w:r w:rsidR="08163013">
        <w:instrText xml:space="preserve"> XE "abstrakce:Aegidius Romanus" </w:instrText>
      </w:r>
      <w:r w:rsidR="08163013">
        <w:rPr>
          <w:i/>
        </w:rPr>
        <w:fldChar w:fldCharType="end"/>
      </w:r>
      <w:r w:rsidR="08163013" w:rsidRPr="00273106">
        <w:t xml:space="preserve"> podle druhého averroismu. </w:t>
      </w:r>
      <w:r w:rsidR="004B3CAA" w:rsidRPr="004B3CAA">
        <w:t xml:space="preserve">Založit tomismus na abstrakci jako </w:t>
      </w:r>
      <w:r w:rsidR="004B3CAA" w:rsidRPr="004B3CAA">
        <w:rPr>
          <w:i/>
        </w:rPr>
        <w:t>denudatio</w:t>
      </w:r>
      <w:r w:rsidR="004B3CAA" w:rsidRPr="004B3CAA">
        <w:t xml:space="preserve"> bylo nemožné, proto expozice </w:t>
      </w:r>
      <w:r w:rsidR="004B3CAA">
        <w:t xml:space="preserve">smyslu jsoucna </w:t>
      </w:r>
      <w:r w:rsidR="004B3CAA" w:rsidRPr="004B3CAA">
        <w:t xml:space="preserve">vychází ze smyslů. </w:t>
      </w:r>
      <w:r w:rsidR="004B3CAA" w:rsidRPr="004B3CAA">
        <w:lastRenderedPageBreak/>
        <w:t xml:space="preserve">Po odmítnutí Averroesova pojetí pravdy jako </w:t>
      </w:r>
      <w:r w:rsidR="004B3CAA" w:rsidRPr="004B3CAA">
        <w:rPr>
          <w:i/>
        </w:rPr>
        <w:t>proportio</w:t>
      </w:r>
      <w:r w:rsidR="004B3CAA" w:rsidRPr="004B3CAA">
        <w:t xml:space="preserve"> se však Aegidius nevyhnutelně postavil na opačnou stranu s ohledem na první averroismus. </w:t>
      </w:r>
      <w:r w:rsidR="004B3CAA">
        <w:t>T</w:t>
      </w:r>
      <w:r w:rsidR="08163013">
        <w:t xml:space="preserve">uto změnu připravuje Bazánův anonym tím, že hájí </w:t>
      </w:r>
      <w:r w:rsidR="08163013" w:rsidRPr="00AC3A45">
        <w:rPr>
          <w:i/>
        </w:rPr>
        <w:t>Oxfordian Fallacy</w:t>
      </w:r>
      <w:r w:rsidR="08163013">
        <w:rPr>
          <w:i/>
        </w:rPr>
        <w:fldChar w:fldCharType="begin"/>
      </w:r>
      <w:r w:rsidR="08163013">
        <w:instrText xml:space="preserve"> XE "</w:instrText>
      </w:r>
      <w:r w:rsidR="08163013" w:rsidRPr="0015798D">
        <w:rPr>
          <w:i/>
        </w:rPr>
        <w:instrText>Oxfordian Fallacy:</w:instrText>
      </w:r>
      <w:r w:rsidR="08163013">
        <w:instrText xml:space="preserve">semiaverroismus" </w:instrText>
      </w:r>
      <w:r w:rsidR="08163013">
        <w:rPr>
          <w:i/>
        </w:rPr>
        <w:fldChar w:fldCharType="end"/>
      </w:r>
      <w:r w:rsidR="08163013">
        <w:t>, která je neslučitelná s pojetím poznání podle prvního averroismu Sicilské školy</w:t>
      </w:r>
      <w:r w:rsidR="08163013" w:rsidRPr="00273106">
        <w:t xml:space="preserve">. </w:t>
      </w:r>
      <w:r w:rsidR="08163013">
        <w:t>Po odsouzení 1277 už ne</w:t>
      </w:r>
      <w:r w:rsidR="00B70167">
        <w:t>byl p</w:t>
      </w:r>
      <w:r w:rsidR="08163013">
        <w:t xml:space="preserve">roblém zavrhnout celou teorii prvního averroismu a vzít model objektivního pojetí jsoucna. </w:t>
      </w:r>
      <w:r w:rsidR="08163013" w:rsidRPr="00273106">
        <w:t>Ae</w:t>
      </w:r>
      <w:r w:rsidR="08163013">
        <w:t xml:space="preserve">gidius po napsání obou komentářů k </w:t>
      </w:r>
      <w:proofErr w:type="gramStart"/>
      <w:r w:rsidR="08163013" w:rsidRPr="004D4282">
        <w:rPr>
          <w:i/>
        </w:rPr>
        <w:t>De</w:t>
      </w:r>
      <w:proofErr w:type="gramEnd"/>
      <w:r w:rsidR="08163013" w:rsidRPr="004D4282">
        <w:rPr>
          <w:i/>
        </w:rPr>
        <w:t xml:space="preserve"> anima </w:t>
      </w:r>
      <w:r w:rsidR="08163013">
        <w:t xml:space="preserve">(ms. Oxford, ms. Bazán) </w:t>
      </w:r>
      <w:r w:rsidR="08163013" w:rsidRPr="00493DCD">
        <w:t>nakonec</w:t>
      </w:r>
      <w:r w:rsidR="08163013">
        <w:rPr>
          <w:i/>
        </w:rPr>
        <w:t xml:space="preserve"> </w:t>
      </w:r>
      <w:r w:rsidR="08163013" w:rsidRPr="00273106">
        <w:t xml:space="preserve">přejde na objektivistickou </w:t>
      </w:r>
      <w:proofErr w:type="gramStart"/>
      <w:r w:rsidR="08163013" w:rsidRPr="00273106">
        <w:t xml:space="preserve">pozici </w:t>
      </w:r>
      <w:r w:rsidR="00B70167">
        <w:t>jako</w:t>
      </w:r>
      <w:proofErr w:type="gramEnd"/>
      <w:r w:rsidR="00B70167">
        <w:t xml:space="preserve"> měl </w:t>
      </w:r>
      <w:r w:rsidR="08163013">
        <w:t xml:space="preserve">Henry z Gentu. Objektivisté ze školy druhého averroismu formálně přebírají pojetí poznání a osoby podle Akvinského verze prvního averroismu, ale jejich vidění metafyziky je augustiniánské a avicennistické. </w:t>
      </w:r>
      <w:r w:rsidR="00805E80">
        <w:t>Po odsouzení roku 1277, s</w:t>
      </w:r>
      <w:r w:rsidR="08163013">
        <w:t xml:space="preserve">emiaverroisté a tomisté typu Aegidia Romana </w:t>
      </w:r>
      <w:proofErr w:type="gramStart"/>
      <w:r w:rsidR="00805E80">
        <w:t>odmítli</w:t>
      </w:r>
      <w:proofErr w:type="gramEnd"/>
      <w:r w:rsidR="00805E80">
        <w:t xml:space="preserve"> školu </w:t>
      </w:r>
      <w:proofErr w:type="gramStart"/>
      <w:r w:rsidR="08163013" w:rsidRPr="0826792C">
        <w:rPr>
          <w:i/>
        </w:rPr>
        <w:t>augustinisme</w:t>
      </w:r>
      <w:proofErr w:type="gramEnd"/>
      <w:r w:rsidR="08163013" w:rsidRPr="0826792C">
        <w:rPr>
          <w:i/>
        </w:rPr>
        <w:t xml:space="preserve"> avicennisant</w:t>
      </w:r>
      <w:r w:rsidR="08163013">
        <w:fldChar w:fldCharType="begin"/>
      </w:r>
      <w:r w:rsidR="08163013">
        <w:instrText xml:space="preserve"> XE "druhý averroismus:</w:instrText>
      </w:r>
      <w:r w:rsidR="08163013" w:rsidRPr="00F707A4">
        <w:rPr>
          <w:i/>
        </w:rPr>
        <w:instrText>augustinisme avicennisant</w:instrText>
      </w:r>
      <w:r w:rsidR="08163013">
        <w:instrText xml:space="preserve">" </w:instrText>
      </w:r>
      <w:r w:rsidR="08163013">
        <w:fldChar w:fldCharType="end"/>
      </w:r>
      <w:r w:rsidR="08163013">
        <w:t xml:space="preserve"> a hlásali objektivní aristotelismus </w:t>
      </w:r>
      <w:r w:rsidR="00805E80">
        <w:t xml:space="preserve">kritizující </w:t>
      </w:r>
      <w:r w:rsidR="08163013">
        <w:t xml:space="preserve">Averroese. </w:t>
      </w:r>
      <w:r w:rsidR="00805E80">
        <w:t xml:space="preserve">Tato </w:t>
      </w:r>
      <w:r w:rsidR="08163013">
        <w:t>semiaverroistick</w:t>
      </w:r>
      <w:r w:rsidR="00805E80">
        <w:t xml:space="preserve">á </w:t>
      </w:r>
      <w:r w:rsidR="08163013">
        <w:t>skupin</w:t>
      </w:r>
      <w:r w:rsidR="00805E80">
        <w:t xml:space="preserve">a tomistů, jako byl </w:t>
      </w:r>
      <w:r w:rsidR="08163013">
        <w:t>Aegidi</w:t>
      </w:r>
      <w:r w:rsidR="00805E80">
        <w:t xml:space="preserve">us, po zničení školy prvního averroismu na Rue du Fouarre pak přeběhla k modernistům, jako byl </w:t>
      </w:r>
      <w:r w:rsidR="08163013">
        <w:t>Henr</w:t>
      </w:r>
      <w:r w:rsidR="00805E80">
        <w:t>y</w:t>
      </w:r>
      <w:r w:rsidR="08163013">
        <w:t xml:space="preserve"> z</w:t>
      </w:r>
      <w:r w:rsidR="00805E80">
        <w:t> </w:t>
      </w:r>
      <w:proofErr w:type="gramStart"/>
      <w:r w:rsidR="08163013">
        <w:t>Gentu</w:t>
      </w:r>
      <w:proofErr w:type="gramEnd"/>
      <w:r w:rsidR="00805E80">
        <w:t xml:space="preserve">. Všichni dohromady vytvořili </w:t>
      </w:r>
      <w:r w:rsidR="08163013">
        <w:t xml:space="preserve">po roce 1280 </w:t>
      </w:r>
      <w:r w:rsidR="00E66312">
        <w:t xml:space="preserve">v Paříži </w:t>
      </w:r>
      <w:r w:rsidR="00805E80">
        <w:t xml:space="preserve">školu </w:t>
      </w:r>
      <w:r w:rsidR="08163013">
        <w:t>objektivní</w:t>
      </w:r>
      <w:r w:rsidR="00805E80">
        <w:t>ho</w:t>
      </w:r>
      <w:r w:rsidR="08163013">
        <w:t xml:space="preserve"> aristoteli</w:t>
      </w:r>
      <w:r w:rsidR="00805E80">
        <w:t>smu</w:t>
      </w:r>
      <w:r w:rsidR="08163013">
        <w:fldChar w:fldCharType="begin"/>
      </w:r>
      <w:r w:rsidR="08163013">
        <w:instrText xml:space="preserve"> XE "</w:instrText>
      </w:r>
      <w:r w:rsidR="08163013" w:rsidRPr="085548C6">
        <w:instrText>objektivní aristotelismus</w:instrText>
      </w:r>
      <w:r w:rsidR="08163013">
        <w:instrText xml:space="preserve">" </w:instrText>
      </w:r>
      <w:r w:rsidR="08163013">
        <w:fldChar w:fldCharType="end"/>
      </w:r>
      <w:r w:rsidR="08163013">
        <w:t xml:space="preserve">. </w:t>
      </w:r>
      <w:r w:rsidR="00E229CC">
        <w:t xml:space="preserve">Aegidiův </w:t>
      </w:r>
      <w:proofErr w:type="gramStart"/>
      <w:r w:rsidR="00E229CC">
        <w:t xml:space="preserve">spis </w:t>
      </w:r>
      <w:r w:rsidR="08163013" w:rsidRPr="00273106">
        <w:t xml:space="preserve"> </w:t>
      </w:r>
      <w:r w:rsidR="08163013" w:rsidRPr="00273106">
        <w:rPr>
          <w:i/>
        </w:rPr>
        <w:t>Quodlibet</w:t>
      </w:r>
      <w:proofErr w:type="gramEnd"/>
      <w:r w:rsidR="08163013" w:rsidRPr="00273106">
        <w:t xml:space="preserve"> </w:t>
      </w:r>
      <w:r w:rsidR="00612E86">
        <w:t>II se datuje z velikonoc 1287. O</w:t>
      </w:r>
      <w:r w:rsidR="08163013" w:rsidRPr="00273106">
        <w:t>bsahuje kompletní sestavu objektivního pojetí jsoucna</w:t>
      </w:r>
      <w:r w:rsidR="08163013">
        <w:t xml:space="preserve"> v modu avicennovské denudace založené na sebereflexi karteziánského intelektu</w:t>
      </w:r>
      <w:r w:rsidR="08163013" w:rsidRPr="00273106">
        <w:t>.</w:t>
      </w:r>
      <w:r w:rsidR="08163013" w:rsidRPr="00273106">
        <w:rPr>
          <w:rStyle w:val="Znakapoznpodarou"/>
        </w:rPr>
        <w:footnoteReference w:id="190"/>
      </w:r>
      <w:r w:rsidR="08163013" w:rsidRPr="00273106">
        <w:t xml:space="preserve"> </w:t>
      </w:r>
      <w:r w:rsidR="08163013">
        <w:t xml:space="preserve">Citát potvrzuje nasvícení jsoucna zezadu, které tvoří základní rámec dvojí abstrakce </w:t>
      </w:r>
      <w:r w:rsidR="08163013" w:rsidRPr="00EE31A3">
        <w:rPr>
          <w:i/>
        </w:rPr>
        <w:t>Modernorum</w:t>
      </w:r>
      <w:r w:rsidR="08163013">
        <w:t xml:space="preserve">. </w:t>
      </w:r>
      <w:r w:rsidR="08163013" w:rsidRPr="00273106">
        <w:t xml:space="preserve">První intence poznání jde pouze k esenci aktualizované ve vnější věci, což tvoří první aspekt univerzality. Až druhá intence </w:t>
      </w:r>
      <w:r w:rsidR="08163013">
        <w:t xml:space="preserve">daná </w:t>
      </w:r>
      <w:r w:rsidR="08163013" w:rsidRPr="00273106">
        <w:t>nasvícením zezadu od autonomního aktivního intelektu chápe tutéž esenci v její skutečné univerzalitě postavené mimo reálnou věc.</w:t>
      </w:r>
      <w:r w:rsidR="08163013">
        <w:t xml:space="preserve"> Ale oba Aegidiovy předešlé komentáře k </w:t>
      </w:r>
      <w:proofErr w:type="gramStart"/>
      <w:r w:rsidR="08163013" w:rsidRPr="004D4282">
        <w:rPr>
          <w:i/>
        </w:rPr>
        <w:t>De</w:t>
      </w:r>
      <w:proofErr w:type="gramEnd"/>
      <w:r w:rsidR="08163013" w:rsidRPr="004D4282">
        <w:rPr>
          <w:i/>
        </w:rPr>
        <w:t xml:space="preserve"> anima </w:t>
      </w:r>
      <w:r w:rsidR="08163013">
        <w:t>(ms. Oxford, ms. Bazán) ještě zůstávají na středové semiaverroistické pozici, pro</w:t>
      </w:r>
      <w:r w:rsidR="009B53AE">
        <w:t>tože jsou psány v letech 1268‒71</w:t>
      </w:r>
      <w:r w:rsidR="08163013">
        <w:t>. V tomto období vrcholí spor mezi interpretací CMDA podle Sicilské a Toledské školy</w:t>
      </w:r>
      <w:r w:rsidR="0014529E">
        <w:t xml:space="preserve">. Aristotelik Akvinský se přidal k této debatě </w:t>
      </w:r>
      <w:r w:rsidR="08163013">
        <w:t xml:space="preserve">v letech 1266‒68 jako </w:t>
      </w:r>
      <w:r w:rsidR="08163013">
        <w:rPr>
          <w:i/>
        </w:rPr>
        <w:t>E</w:t>
      </w:r>
      <w:r w:rsidR="08163013" w:rsidRPr="086A7A48">
        <w:rPr>
          <w:i/>
        </w:rPr>
        <w:t>xpositor</w:t>
      </w:r>
      <w:r w:rsidR="08163013" w:rsidRPr="0880387C">
        <w:rPr>
          <w:i/>
        </w:rPr>
        <w:t xml:space="preserve"> </w:t>
      </w:r>
      <w:r w:rsidR="08163013">
        <w:rPr>
          <w:i/>
        </w:rPr>
        <w:t>Novus</w:t>
      </w:r>
      <w:r w:rsidR="08163013">
        <w:rPr>
          <w:i/>
        </w:rPr>
        <w:fldChar w:fldCharType="begin"/>
      </w:r>
      <w:r w:rsidR="08163013">
        <w:instrText xml:space="preserve"> XE "</w:instrText>
      </w:r>
      <w:r w:rsidR="08163013" w:rsidRPr="08D67D27">
        <w:rPr>
          <w:i/>
          <w:lang w:eastAsia="en-US"/>
        </w:rPr>
        <w:instrText>Expositor Novus</w:instrText>
      </w:r>
      <w:r w:rsidR="08163013">
        <w:instrText xml:space="preserve">" </w:instrText>
      </w:r>
      <w:r w:rsidR="08163013">
        <w:rPr>
          <w:i/>
        </w:rPr>
        <w:fldChar w:fldCharType="end"/>
      </w:r>
      <w:r w:rsidR="00AB3889">
        <w:t>.</w:t>
      </w:r>
    </w:p>
    <w:p w:rsidR="08163013" w:rsidRPr="00273106" w:rsidRDefault="08C729C0" w:rsidP="006C559C">
      <w:pPr>
        <w:ind w:firstLine="397"/>
      </w:pPr>
      <w:r>
        <w:t>Př</w:t>
      </w:r>
      <w:r w:rsidR="08163013">
        <w:t xml:space="preserve">edložený výklad </w:t>
      </w:r>
      <w:r w:rsidR="00AB3889">
        <w:t xml:space="preserve">objektivity sleduje </w:t>
      </w:r>
      <w:r>
        <w:t xml:space="preserve">dva odlišné spory. První spor se vede o jednotu osoby na základě přijetí nebo odmítnutí plurality forem v člověku a běží pouze uvnitř školy </w:t>
      </w:r>
      <w:r>
        <w:lastRenderedPageBreak/>
        <w:t>prvního averroismu (Akvinský a Aegidius versus Sigerova škola). Druhý spor se týká kompletního odmítnutí modernistů v otázce poznání a plurality substancí v člověku. V tomto sporu je zajedno kompletní škola prvního averroismu proti škole druhého averroismu. Pokud platí toto schéma</w:t>
      </w:r>
      <w:r w:rsidR="00422CCB">
        <w:t xml:space="preserve">, </w:t>
      </w:r>
      <w:r w:rsidR="08163013">
        <w:t xml:space="preserve">pak </w:t>
      </w:r>
      <w:r>
        <w:t xml:space="preserve">neexistuje </w:t>
      </w:r>
      <w:r w:rsidR="08163013">
        <w:t>jiný kandidát na autorství obou komentářů (Oxfordský rukopis</w:t>
      </w:r>
      <w:r>
        <w:t xml:space="preserve"> III</w:t>
      </w:r>
      <w:r w:rsidR="08163013">
        <w:t xml:space="preserve">, Anonymus Bazán) </w:t>
      </w:r>
      <w:r w:rsidR="085B0975">
        <w:t>než</w:t>
      </w:r>
      <w:r>
        <w:t xml:space="preserve"> Aegidius Romanus. O</w:t>
      </w:r>
      <w:r w:rsidR="085B0975">
        <w:t xml:space="preserve">ba komentáře </w:t>
      </w:r>
      <w:r>
        <w:t xml:space="preserve">vznikly v letech 1268‒71 a představují jeho jedinečnou pozici v tomto dvojím sporu. </w:t>
      </w:r>
      <w:r w:rsidR="08163013">
        <w:t xml:space="preserve">V této souvislosti bude třeba prozkoumat ještě rané spisy Henryho z </w:t>
      </w:r>
      <w:proofErr w:type="gramStart"/>
      <w:r w:rsidR="08163013">
        <w:t>Gentu</w:t>
      </w:r>
      <w:proofErr w:type="gramEnd"/>
      <w:r w:rsidR="08163013">
        <w:t>, protože předložené analýzy začínají až jeho spisy psanými po roce 1280. Ale Gandavův avicennismus spojený s augustinianismem jednoznačně řadí tohoto scholastika do školy druhého averroismu. Ani jeden z těchto dvou anonymních komentářů nevyhovuje linii prvního averroismu Sicilské školy dané na Rue du Fouarre skrze učení Modistů</w:t>
      </w:r>
      <w:r w:rsidR="007660CF">
        <w:t xml:space="preserve"> (</w:t>
      </w:r>
      <w:r w:rsidR="007660CF">
        <w:rPr>
          <w:i/>
        </w:rPr>
        <w:t>Modistae</w:t>
      </w:r>
      <w:r w:rsidR="007660CF">
        <w:t>)</w:t>
      </w:r>
      <w:r w:rsidR="00422CCB">
        <w:t xml:space="preserve">, kteří </w:t>
      </w:r>
      <w:r w:rsidR="08163013">
        <w:t>odmít</w:t>
      </w:r>
      <w:r w:rsidR="00422CCB">
        <w:t>li teologizaci</w:t>
      </w:r>
      <w:r w:rsidR="08163013">
        <w:t xml:space="preserve"> filosofie. Nadvládu teologie nad filosofií </w:t>
      </w:r>
      <w:r w:rsidR="00EA3E1D">
        <w:t xml:space="preserve">podle </w:t>
      </w:r>
      <w:r w:rsidR="08163013">
        <w:t xml:space="preserve">Toledské školy prosazoval jak Akvinský tak Aegidius, a pochopitelně i celá Bonaventurova modernistická škola interpretující postavení člověka v duchu biblické ontoteologie. Naopak magistři z Rue du Fouarre tuto sofistiku odmítli dekretem z roku 1272, protože zrušila samotnou podstatu aristotelského pojetí vědy. Akvinský a Aegidius postavili komentář </w:t>
      </w:r>
      <w:r w:rsidR="08163013" w:rsidRPr="08FC1527">
        <w:rPr>
          <w:i/>
        </w:rPr>
        <w:t>De anima</w:t>
      </w:r>
      <w:r w:rsidR="08163013">
        <w:t xml:space="preserve"> mimo moderní pluralismus substancí v člověku a drželi s Aristotelem výklad dan</w:t>
      </w:r>
      <w:r w:rsidR="008A78BE">
        <w:t>ý pluralitou forem;</w:t>
      </w:r>
      <w:r w:rsidR="08163013">
        <w:t xml:space="preserve"> zejména nemateriálního intelektu jako věčné formy zajišťující věčno</w:t>
      </w:r>
      <w:r w:rsidR="008A78BE">
        <w:t xml:space="preserve">st a nesmrtelnost lidské duše. Odsouzení z roku </w:t>
      </w:r>
      <w:r w:rsidR="08163013">
        <w:t>1277</w:t>
      </w:r>
      <w:r w:rsidR="008A78BE">
        <w:t xml:space="preserve"> psali akademikové z okruhu školy </w:t>
      </w:r>
      <w:r w:rsidR="008A78BE" w:rsidRPr="008A78BE">
        <w:rPr>
          <w:i/>
        </w:rPr>
        <w:t>sophistae Latini</w:t>
      </w:r>
      <w:r w:rsidR="008A78BE">
        <w:t xml:space="preserve">, v níž se spojili tomisté a modernisté. </w:t>
      </w:r>
      <w:r w:rsidR="006C559C">
        <w:t xml:space="preserve">Jejich úmyslem bylo zničit </w:t>
      </w:r>
      <w:proofErr w:type="gramStart"/>
      <w:r w:rsidR="006C559C">
        <w:t>školu  první</w:t>
      </w:r>
      <w:r w:rsidR="008A78BE">
        <w:t>ho</w:t>
      </w:r>
      <w:proofErr w:type="gramEnd"/>
      <w:r w:rsidR="008A78BE">
        <w:t xml:space="preserve"> averroismu, a to za každou cenu. Jednota osoby hájená Sigerovou školou prohrála, aby mohli zvítězi</w:t>
      </w:r>
      <w:r w:rsidR="006C559C">
        <w:t xml:space="preserve">t moderní sofisté všeho druhu. </w:t>
      </w:r>
      <w:r w:rsidR="008A78BE">
        <w:t xml:space="preserve">Kritikové </w:t>
      </w:r>
      <w:r w:rsidR="08163013">
        <w:t>s</w:t>
      </w:r>
      <w:r w:rsidR="006C559C">
        <w:t>ofisticky připsali</w:t>
      </w:r>
      <w:r w:rsidR="08163013">
        <w:t xml:space="preserve"> zmatky modernistů ohledně jednoty intelektu na účet školy prvního averroismu na Rue du Fouarre v popsaném obranném modu </w:t>
      </w:r>
      <w:r w:rsidR="08163013" w:rsidRPr="08FC398F">
        <w:rPr>
          <w:i/>
        </w:rPr>
        <w:t>Verkehrung ins Gegenteil</w:t>
      </w:r>
      <w:r w:rsidR="08163013">
        <w:rPr>
          <w:i/>
        </w:rPr>
        <w:fldChar w:fldCharType="begin"/>
      </w:r>
      <w:r w:rsidR="08163013">
        <w:instrText xml:space="preserve"> XE "</w:instrText>
      </w:r>
      <w:r w:rsidR="08163013" w:rsidRPr="086D412E">
        <w:rPr>
          <w:i/>
        </w:rPr>
        <w:instrText>Verkehrung ins Gegenteil</w:instrText>
      </w:r>
      <w:r w:rsidR="08163013">
        <w:instrText xml:space="preserve">" </w:instrText>
      </w:r>
      <w:r w:rsidR="08163013">
        <w:rPr>
          <w:i/>
        </w:rPr>
        <w:fldChar w:fldCharType="end"/>
      </w:r>
      <w:r w:rsidR="08163013">
        <w:t xml:space="preserve">. Na této sofistické a zcela demagogické pozici se plně shodli jak semiaverroisté jako byl Akvinský a Aegidius tak modernistická škola Bonaventury. A další shodný bod obou řádových škol angažovaných proti Sigerovým artistům v Rue du Fouarre bylo odmítnutí Komentátora jako averroistického heretika. To pochopitelně nemohla udělat škola prvního averroismu, která jasně postulovala podle </w:t>
      </w:r>
      <w:r w:rsidR="08163013" w:rsidRPr="083F6DD9">
        <w:rPr>
          <w:i/>
        </w:rPr>
        <w:t>Druhých analytik</w:t>
      </w:r>
      <w:r w:rsidR="08163013">
        <w:t xml:space="preserve"> generickou odlišnost vědeckého zkoumání teologie a filosofie. Pojetí jedné pravdy jasně stavělo posvátnou vědu nad rozumovou spekulaci</w:t>
      </w:r>
      <w:r w:rsidR="08785789">
        <w:t>. F</w:t>
      </w:r>
      <w:r w:rsidR="08163013">
        <w:t xml:space="preserve">ilosofie je pro semiaverrosty Akvinského a Aegidia jen služkou teologie. Ale unitární teologové a aristotelikové Aegidius a Akvinský odmítli primitivní aristotelismus </w:t>
      </w:r>
      <w:r w:rsidR="08163013" w:rsidRPr="08C358A3">
        <w:rPr>
          <w:i/>
        </w:rPr>
        <w:t>Modernorum</w:t>
      </w:r>
      <w:r w:rsidR="08163013">
        <w:t xml:space="preserve"> </w:t>
      </w:r>
      <w:r w:rsidR="08163013">
        <w:lastRenderedPageBreak/>
        <w:t xml:space="preserve">při výkladu </w:t>
      </w:r>
      <w:r w:rsidR="08163013" w:rsidRPr="083606BC">
        <w:rPr>
          <w:i/>
        </w:rPr>
        <w:t>De anima</w:t>
      </w:r>
      <w:r w:rsidR="08163013">
        <w:t>. Tento spis se povinně komentoval už celou generaci (od roku 1255) na Rue du Fouarre podle výkladu CMDA v Sicilské škole. Proto přijali noví expozitoři Aristotela model jednoty intelektu podle výkladu CMDA daném v Rue du Fouarre</w:t>
      </w:r>
      <w:r w:rsidR="003D12CD">
        <w:t xml:space="preserve">; </w:t>
      </w:r>
      <w:r w:rsidR="08163013">
        <w:t xml:space="preserve">ale odmítli její obranu Averroese a také odmítli rodové odlišení teologie a filosofie. Výsledkem byla nová figura averroistického Averroese daná v modu tomistického semiaverroismu Akvinského a Aegidia. Bazánův anonym a třetí část Oxfordského rukopisu ukazují všechy tyto rozporuplné charakteristiky začínajícího tomismu v modu původního </w:t>
      </w:r>
      <w:r w:rsidR="08163013" w:rsidRPr="080A7C9E">
        <w:rPr>
          <w:i/>
        </w:rPr>
        <w:t>Lichtung</w:t>
      </w:r>
      <w:r w:rsidR="08163013">
        <w:t xml:space="preserve"> pravdy a nepravdy této myšlenkové školy. </w:t>
      </w:r>
      <w:r w:rsidR="08163013" w:rsidRPr="00273106">
        <w:t xml:space="preserve">Tak </w:t>
      </w:r>
      <w:r w:rsidR="08163013">
        <w:t xml:space="preserve">schopný a sofistikovaný </w:t>
      </w:r>
      <w:r w:rsidR="08163013" w:rsidRPr="00273106">
        <w:t>autor</w:t>
      </w:r>
      <w:r w:rsidR="08163013" w:rsidRPr="08E7734F">
        <w:t xml:space="preserve"> </w:t>
      </w:r>
      <w:r w:rsidR="08163013">
        <w:t xml:space="preserve">ze školy prvního averroismu byl v této době mimo Tomáše Akvinského pouze </w:t>
      </w:r>
      <w:r w:rsidR="08163013" w:rsidRPr="00273106">
        <w:t>Aegidius Romanus</w:t>
      </w:r>
      <w:r w:rsidR="08163013">
        <w:t xml:space="preserve">. Tento </w:t>
      </w:r>
      <w:r w:rsidR="00491212">
        <w:t xml:space="preserve">člen </w:t>
      </w:r>
      <w:r w:rsidR="08163013">
        <w:t>řádu augustiniánů (</w:t>
      </w:r>
      <w:r w:rsidR="08163013">
        <w:rPr>
          <w:i/>
          <w:iCs/>
        </w:rPr>
        <w:t>Ordo Eremitarum Sancti Augustini</w:t>
      </w:r>
      <w:r w:rsidR="08163013">
        <w:t xml:space="preserve">) byl </w:t>
      </w:r>
      <w:r w:rsidR="00F76437">
        <w:t xml:space="preserve">dobrý </w:t>
      </w:r>
      <w:r w:rsidR="088F7B93">
        <w:t xml:space="preserve">znalec Sigera z Brabantu </w:t>
      </w:r>
      <w:r w:rsidR="08163013" w:rsidRPr="00273106">
        <w:t>a Tomáše Akvinského</w:t>
      </w:r>
      <w:r w:rsidR="088F7B93">
        <w:t xml:space="preserve">. Aegidius </w:t>
      </w:r>
      <w:r w:rsidR="08E435BF">
        <w:t xml:space="preserve">stál </w:t>
      </w:r>
      <w:proofErr w:type="gramStart"/>
      <w:r w:rsidR="08163013">
        <w:t>tomto</w:t>
      </w:r>
      <w:proofErr w:type="gramEnd"/>
      <w:r w:rsidR="08163013">
        <w:t xml:space="preserve"> období mimo Bonaventurovu školu a také mimo aristotelské artisty na Rue du Fouarre. Teprve po jejich vyhnání </w:t>
      </w:r>
      <w:r w:rsidR="003A50E9">
        <w:t xml:space="preserve">v roce 1277 </w:t>
      </w:r>
      <w:r w:rsidR="08163013">
        <w:t>mohli tomisté a modernisté obsadit artistickou fakultu</w:t>
      </w:r>
      <w:r w:rsidR="000012D6">
        <w:t xml:space="preserve">. Pak </w:t>
      </w:r>
      <w:r w:rsidR="00384CE2">
        <w:t xml:space="preserve">tato skupina </w:t>
      </w:r>
      <w:r w:rsidR="00384CE2" w:rsidRPr="00384CE2">
        <w:rPr>
          <w:i/>
        </w:rPr>
        <w:t>sophistae Latini</w:t>
      </w:r>
      <w:r w:rsidR="00384CE2">
        <w:t xml:space="preserve"> pod vedením akademických Fúrií </w:t>
      </w:r>
      <w:r w:rsidR="000012D6">
        <w:t>v</w:t>
      </w:r>
      <w:r w:rsidR="08163013">
        <w:t xml:space="preserve">ítězně </w:t>
      </w:r>
      <w:r w:rsidR="000012D6">
        <w:t>nas</w:t>
      </w:r>
      <w:r w:rsidR="00384CE2">
        <w:t>toupila</w:t>
      </w:r>
      <w:r w:rsidR="000012D6">
        <w:t xml:space="preserve"> na </w:t>
      </w:r>
      <w:proofErr w:type="gramStart"/>
      <w:r w:rsidR="08163013" w:rsidRPr="089330CA">
        <w:rPr>
          <w:i/>
        </w:rPr>
        <w:t>via</w:t>
      </w:r>
      <w:proofErr w:type="gramEnd"/>
      <w:r w:rsidR="08163013" w:rsidRPr="089330CA">
        <w:rPr>
          <w:i/>
        </w:rPr>
        <w:t xml:space="preserve"> Modernorum</w:t>
      </w:r>
      <w:r w:rsidR="08163013">
        <w:rPr>
          <w:i/>
        </w:rPr>
        <w:fldChar w:fldCharType="begin"/>
      </w:r>
      <w:r w:rsidR="08163013">
        <w:instrText xml:space="preserve"> XE "</w:instrText>
      </w:r>
      <w:r w:rsidR="08163013" w:rsidRPr="08620A93">
        <w:rPr>
          <w:i/>
        </w:rPr>
        <w:instrText>via Modernorum</w:instrText>
      </w:r>
      <w:r w:rsidR="08163013">
        <w:instrText xml:space="preserve">" </w:instrText>
      </w:r>
      <w:r w:rsidR="08163013">
        <w:rPr>
          <w:i/>
        </w:rPr>
        <w:fldChar w:fldCharType="end"/>
      </w:r>
      <w:r w:rsidR="08163013">
        <w:t xml:space="preserve">. Tuto semiaverroistickou středovou pozici sofisticky balancující mezi školou prvního a druhého averroismu jasně dokládají oba anonymní spisy. První spis se sofisticky snaží oddělit od Sigerova výkladu </w:t>
      </w:r>
      <w:r w:rsidR="08163013" w:rsidRPr="084E2CF9">
        <w:rPr>
          <w:i/>
        </w:rPr>
        <w:t>De anima</w:t>
      </w:r>
      <w:r w:rsidR="08163013">
        <w:t xml:space="preserve">. V první a druhé části </w:t>
      </w:r>
      <w:proofErr w:type="gramStart"/>
      <w:r w:rsidR="08D34239">
        <w:t>rukopisu O zůstal</w:t>
      </w:r>
      <w:proofErr w:type="gramEnd"/>
      <w:r w:rsidR="08D34239">
        <w:t xml:space="preserve"> Aegidius </w:t>
      </w:r>
      <w:r w:rsidR="08163013">
        <w:t>averroistou v porretánském modelu Toledské školy. Zlom v jeho pozici datuje třetí část rukopisu O, kdy se stal nejpozději roku 1268 semiaverroistou podle Akvinského výkladu Aristotela. A jeho pozici bránil proti Pechamovi okolo roku 12</w:t>
      </w:r>
      <w:r w:rsidR="08D34239">
        <w:t>69–</w:t>
      </w:r>
      <w:r w:rsidR="08163013">
        <w:t>70 po příchodu Akvinského do Paříže, což ukazuje Bazánův anonym. Hermeneutika ukázala návaznost jednoho traktátu na druhý v kontextu dobových sporů</w:t>
      </w:r>
      <w:r w:rsidR="00010EA4">
        <w:t xml:space="preserve"> okolo roku 1270 </w:t>
      </w:r>
      <w:r w:rsidR="08163013">
        <w:t>a navíc vysvětlila přechodnou fázi mezi oběma rukopisy (O I</w:t>
      </w:r>
      <w:r w:rsidR="087807AD">
        <w:t>–II a III). Aegidius nakonec bránil m</w:t>
      </w:r>
      <w:r w:rsidR="08163013">
        <w:t xml:space="preserve">odernistický dualismus na konci </w:t>
      </w:r>
      <w:r w:rsidR="08A02F18">
        <w:t xml:space="preserve">své </w:t>
      </w:r>
      <w:r w:rsidR="08163013">
        <w:t>akademické dráhy</w:t>
      </w:r>
      <w:r w:rsidR="087807AD">
        <w:t>,</w:t>
      </w:r>
      <w:r w:rsidR="08163013">
        <w:t xml:space="preserve"> po definitivním </w:t>
      </w:r>
      <w:r w:rsidR="00121CE0">
        <w:t xml:space="preserve">zničení </w:t>
      </w:r>
      <w:r w:rsidR="08163013">
        <w:t xml:space="preserve">školy prvního averroismu na Rue du Fouarre. </w:t>
      </w:r>
      <w:r w:rsidR="00C33F3C">
        <w:t>Aegidius Romanus, excel</w:t>
      </w:r>
      <w:r w:rsidR="00FE769E">
        <w:t>e</w:t>
      </w:r>
      <w:r w:rsidR="00C33F3C">
        <w:t>n</w:t>
      </w:r>
      <w:r w:rsidR="00FE769E">
        <w:t>tní l</w:t>
      </w:r>
      <w:r w:rsidR="08163013">
        <w:t xml:space="preserve">atinský sofista </w:t>
      </w:r>
      <w:r w:rsidR="082B50DA">
        <w:t>a první tomista</w:t>
      </w:r>
      <w:r w:rsidR="00C33F3C">
        <w:t>,</w:t>
      </w:r>
      <w:r w:rsidR="082B50DA">
        <w:t xml:space="preserve"> </w:t>
      </w:r>
      <w:r w:rsidR="00FE769E">
        <w:t xml:space="preserve">je </w:t>
      </w:r>
      <w:r w:rsidR="08163013">
        <w:t xml:space="preserve">jediným možným autorem anonymních spisů psaných v letech 1266‒68 (O I‒II) a pak v letech 1268‒70 (O III a </w:t>
      </w:r>
      <w:r w:rsidR="08163013" w:rsidRPr="004E5BE0">
        <w:rPr>
          <w:i/>
        </w:rPr>
        <w:t>Anonym</w:t>
      </w:r>
      <w:r w:rsidR="004E5BE0" w:rsidRPr="004E5BE0">
        <w:rPr>
          <w:i/>
        </w:rPr>
        <w:t>us</w:t>
      </w:r>
      <w:r w:rsidR="08163013" w:rsidRPr="004E5BE0">
        <w:rPr>
          <w:i/>
        </w:rPr>
        <w:t xml:space="preserve"> Bazán</w:t>
      </w:r>
      <w:r w:rsidR="08163013">
        <w:t>).</w:t>
      </w:r>
    </w:p>
    <w:p w:rsidR="08163013" w:rsidRPr="00273106" w:rsidRDefault="08C8030C" w:rsidP="08163013">
      <w:pPr>
        <w:pStyle w:val="Nadpis2"/>
      </w:pPr>
      <w:bookmarkStart w:id="29" w:name="_Toc36144143"/>
      <w:r>
        <w:rPr>
          <w:lang w:val="cs-CZ"/>
        </w:rPr>
        <w:br w:type="page"/>
      </w:r>
      <w:bookmarkStart w:id="30" w:name="_Toc180231655"/>
      <w:r w:rsidR="08163013">
        <w:rPr>
          <w:lang w:val="cs-CZ"/>
        </w:rPr>
        <w:lastRenderedPageBreak/>
        <w:t>4</w:t>
      </w:r>
      <w:r w:rsidR="08163013" w:rsidRPr="00273106">
        <w:t xml:space="preserve">.4 </w:t>
      </w:r>
      <w:r w:rsidR="08163013">
        <w:t>S</w:t>
      </w:r>
      <w:r w:rsidR="08163013" w:rsidRPr="00273106">
        <w:t>yntéza prvního averroismu (Siger z Brabantu)</w:t>
      </w:r>
      <w:bookmarkEnd w:id="29"/>
      <w:bookmarkEnd w:id="30"/>
    </w:p>
    <w:p w:rsidR="00495A85" w:rsidRDefault="08163013" w:rsidP="00867CBD">
      <w:pPr>
        <w:rPr>
          <w:lang w:eastAsia="en-US"/>
        </w:rPr>
      </w:pPr>
      <w:r>
        <w:rPr>
          <w:lang w:eastAsia="en-US"/>
        </w:rPr>
        <w:t xml:space="preserve">Magistr </w:t>
      </w:r>
      <w:r w:rsidRPr="00273106">
        <w:rPr>
          <w:lang w:eastAsia="en-US"/>
        </w:rPr>
        <w:t>Siger</w:t>
      </w:r>
      <w:r>
        <w:rPr>
          <w:lang w:eastAsia="en-US"/>
        </w:rPr>
        <w:t xml:space="preserve"> z Brabantu</w:t>
      </w:r>
      <w:r w:rsidRPr="00273106">
        <w:rPr>
          <w:lang w:eastAsia="en-US"/>
        </w:rPr>
        <w:t xml:space="preserve"> nebyl v pohodlné pozici </w:t>
      </w:r>
      <w:r>
        <w:rPr>
          <w:lang w:eastAsia="en-US"/>
        </w:rPr>
        <w:t xml:space="preserve">dominikána </w:t>
      </w:r>
      <w:r w:rsidRPr="00273106">
        <w:rPr>
          <w:lang w:eastAsia="en-US"/>
        </w:rPr>
        <w:t>Alberta</w:t>
      </w:r>
      <w:r w:rsidR="006B312D">
        <w:rPr>
          <w:lang w:eastAsia="en-US"/>
        </w:rPr>
        <w:t xml:space="preserve"> Velikého, který se stal biskupem v Regensburgu a předsedal </w:t>
      </w:r>
      <w:r w:rsidR="006F1C9D">
        <w:rPr>
          <w:lang w:eastAsia="en-US"/>
        </w:rPr>
        <w:t xml:space="preserve">na </w:t>
      </w:r>
      <w:r w:rsidR="006B312D">
        <w:rPr>
          <w:lang w:eastAsia="en-US"/>
        </w:rPr>
        <w:t>jím založené</w:t>
      </w:r>
      <w:r w:rsidR="006F1C9D">
        <w:rPr>
          <w:lang w:eastAsia="en-US"/>
        </w:rPr>
        <w:t>m</w:t>
      </w:r>
      <w:r w:rsidRPr="00273106">
        <w:rPr>
          <w:lang w:eastAsia="en-US"/>
        </w:rPr>
        <w:t xml:space="preserve"> </w:t>
      </w:r>
      <w:r w:rsidRPr="00273106">
        <w:rPr>
          <w:i/>
          <w:lang w:eastAsia="en-US"/>
        </w:rPr>
        <w:t>studium generale</w:t>
      </w:r>
      <w:r w:rsidRPr="00273106">
        <w:rPr>
          <w:lang w:eastAsia="en-US"/>
        </w:rPr>
        <w:t xml:space="preserve"> v Kolíně. Ani nebyl v situaci Tomáše Akvinského, který přijel na Pařížskou univerzitu z papežského </w:t>
      </w:r>
      <w:r>
        <w:rPr>
          <w:lang w:eastAsia="en-US"/>
        </w:rPr>
        <w:t xml:space="preserve">Říma </w:t>
      </w:r>
      <w:r w:rsidRPr="00273106">
        <w:rPr>
          <w:lang w:eastAsia="en-US"/>
        </w:rPr>
        <w:t xml:space="preserve">na </w:t>
      </w:r>
      <w:r>
        <w:rPr>
          <w:lang w:eastAsia="en-US"/>
        </w:rPr>
        <w:t>konci roku 1269 chráněn papežskou autoritou a dominikánským řádem</w:t>
      </w:r>
      <w:r w:rsidRPr="00273106">
        <w:rPr>
          <w:lang w:eastAsia="en-US"/>
        </w:rPr>
        <w:t xml:space="preserve">. Brilantní filosof, logik, metafyzik a světský kněz musel s </w:t>
      </w:r>
      <w:r w:rsidR="00C32089">
        <w:rPr>
          <w:lang w:eastAsia="en-US"/>
        </w:rPr>
        <w:t xml:space="preserve">latinskými sofisty usazenými v </w:t>
      </w:r>
      <w:r w:rsidR="0839649B">
        <w:rPr>
          <w:lang w:eastAsia="en-US"/>
        </w:rPr>
        <w:t xml:space="preserve">pařížských </w:t>
      </w:r>
      <w:r w:rsidRPr="00273106">
        <w:rPr>
          <w:lang w:eastAsia="en-US"/>
        </w:rPr>
        <w:t xml:space="preserve">školách </w:t>
      </w:r>
      <w:r w:rsidR="00142E2C">
        <w:rPr>
          <w:lang w:eastAsia="en-US"/>
        </w:rPr>
        <w:t>založených žebravými řády</w:t>
      </w:r>
      <w:r w:rsidRPr="00273106">
        <w:rPr>
          <w:lang w:eastAsia="en-US"/>
        </w:rPr>
        <w:t xml:space="preserve"> debatovat dlouhá léta z titulu magistra artistických u</w:t>
      </w:r>
      <w:r w:rsidR="0839649B">
        <w:rPr>
          <w:lang w:eastAsia="en-US"/>
        </w:rPr>
        <w:t>mění. Siger učil</w:t>
      </w:r>
      <w:r w:rsidRPr="00273106">
        <w:rPr>
          <w:lang w:eastAsia="en-US"/>
        </w:rPr>
        <w:t xml:space="preserve"> na </w:t>
      </w:r>
      <w:r>
        <w:rPr>
          <w:lang w:eastAsia="en-US"/>
        </w:rPr>
        <w:t xml:space="preserve">nejdůležitější </w:t>
      </w:r>
      <w:r w:rsidRPr="00273106">
        <w:rPr>
          <w:lang w:eastAsia="en-US"/>
        </w:rPr>
        <w:t xml:space="preserve">filosofické fakultě latinského Západu usazené v </w:t>
      </w:r>
      <w:r>
        <w:rPr>
          <w:lang w:eastAsia="en-US"/>
        </w:rPr>
        <w:t xml:space="preserve">Rue du Fouarre, </w:t>
      </w:r>
      <w:r w:rsidR="0839649B">
        <w:rPr>
          <w:lang w:eastAsia="en-US"/>
        </w:rPr>
        <w:t>kde se stal rektorem</w:t>
      </w:r>
      <w:r>
        <w:rPr>
          <w:lang w:eastAsia="en-US"/>
        </w:rPr>
        <w:t xml:space="preserve"> pařížských artistů</w:t>
      </w:r>
      <w:r w:rsidRPr="00273106">
        <w:rPr>
          <w:lang w:eastAsia="en-US"/>
        </w:rPr>
        <w:t xml:space="preserve">. </w:t>
      </w:r>
      <w:r w:rsidR="00C32089">
        <w:rPr>
          <w:lang w:eastAsia="en-US"/>
        </w:rPr>
        <w:t xml:space="preserve">Modernisté dostali svou katedru </w:t>
      </w:r>
      <w:r w:rsidR="00C32089" w:rsidRPr="00273106">
        <w:rPr>
          <w:lang w:eastAsia="en-US"/>
        </w:rPr>
        <w:t>na Pařížské univerzitě</w:t>
      </w:r>
      <w:r w:rsidR="00C32089">
        <w:rPr>
          <w:lang w:eastAsia="en-US"/>
        </w:rPr>
        <w:t xml:space="preserve"> a </w:t>
      </w:r>
      <w:r>
        <w:rPr>
          <w:lang w:eastAsia="en-US"/>
        </w:rPr>
        <w:t xml:space="preserve">v roce 1255 </w:t>
      </w:r>
      <w:r w:rsidR="00C32089">
        <w:rPr>
          <w:lang w:eastAsia="en-US"/>
        </w:rPr>
        <w:t>a v době Sigera už měli značný vliv</w:t>
      </w:r>
      <w:r w:rsidR="00272D7B">
        <w:rPr>
          <w:lang w:eastAsia="en-US"/>
        </w:rPr>
        <w:t xml:space="preserve">. </w:t>
      </w:r>
      <w:r w:rsidRPr="00273106">
        <w:rPr>
          <w:lang w:eastAsia="en-US"/>
        </w:rPr>
        <w:t xml:space="preserve">Albert po vydání </w:t>
      </w:r>
      <w:r w:rsidRPr="00273106">
        <w:rPr>
          <w:i/>
        </w:rPr>
        <w:t xml:space="preserve">De intellectu et intelligibili </w:t>
      </w:r>
      <w:r>
        <w:t>(asi 1257) a během editace komentářů k a</w:t>
      </w:r>
      <w:r w:rsidRPr="00273106">
        <w:t>ristotelskému korpusu</w:t>
      </w:r>
      <w:r w:rsidRPr="00273106">
        <w:rPr>
          <w:i/>
        </w:rPr>
        <w:t xml:space="preserve"> </w:t>
      </w:r>
      <w:r w:rsidRPr="00273106">
        <w:rPr>
          <w:lang w:eastAsia="en-US"/>
        </w:rPr>
        <w:t xml:space="preserve">odmítl diskutovat se zastánci druhého averroismu, protože jejich argumenty považoval za směšné. </w:t>
      </w:r>
      <w:r>
        <w:rPr>
          <w:lang w:eastAsia="en-US"/>
        </w:rPr>
        <w:t>Albert o</w:t>
      </w:r>
      <w:r w:rsidRPr="00273106">
        <w:rPr>
          <w:lang w:eastAsia="en-US"/>
        </w:rPr>
        <w:t xml:space="preserve">dmítl </w:t>
      </w:r>
      <w:r>
        <w:rPr>
          <w:lang w:eastAsia="en-US"/>
        </w:rPr>
        <w:t>při</w:t>
      </w:r>
      <w:r w:rsidRPr="00273106">
        <w:rPr>
          <w:lang w:eastAsia="en-US"/>
        </w:rPr>
        <w:t xml:space="preserve">jet </w:t>
      </w:r>
      <w:r>
        <w:rPr>
          <w:lang w:eastAsia="en-US"/>
        </w:rPr>
        <w:t>okolo roku 1270</w:t>
      </w:r>
      <w:r w:rsidRPr="00273106">
        <w:rPr>
          <w:lang w:eastAsia="en-US"/>
        </w:rPr>
        <w:t xml:space="preserve"> na Pařížskou univerzitu řešit spor mezi zastánci prvního a druhého averroismu a tuto nevděčnou roli přenechal </w:t>
      </w:r>
      <w:r w:rsidR="007D1EAD">
        <w:rPr>
          <w:lang w:eastAsia="en-US"/>
        </w:rPr>
        <w:t xml:space="preserve">svému nejlepšímu studentovi </w:t>
      </w:r>
      <w:r w:rsidRPr="00273106">
        <w:rPr>
          <w:lang w:eastAsia="en-US"/>
        </w:rPr>
        <w:t xml:space="preserve">Akvinskému. </w:t>
      </w:r>
      <w:r>
        <w:rPr>
          <w:lang w:eastAsia="en-US"/>
        </w:rPr>
        <w:t xml:space="preserve">Ale filosofické dějiny Západu se tehdy dělaly v Paříži, a ne v Kolíně. To </w:t>
      </w:r>
      <w:r w:rsidRPr="00273106">
        <w:rPr>
          <w:lang w:eastAsia="en-US"/>
        </w:rPr>
        <w:t xml:space="preserve">se </w:t>
      </w:r>
      <w:r>
        <w:rPr>
          <w:lang w:eastAsia="en-US"/>
        </w:rPr>
        <w:t>Sigerovi s</w:t>
      </w:r>
      <w:r w:rsidRPr="00273106">
        <w:rPr>
          <w:lang w:eastAsia="en-US"/>
        </w:rPr>
        <w:t xml:space="preserve">talo osudným osobně a západní filosofii obecně. </w:t>
      </w:r>
      <w:r>
        <w:rPr>
          <w:lang w:eastAsia="en-US"/>
        </w:rPr>
        <w:t>Ale ve filosofii se už leccos změnilo ohledně Sigerovy reputace.</w:t>
      </w:r>
      <w:r w:rsidRPr="00273106">
        <w:rPr>
          <w:rStyle w:val="Znakapoznpodarou"/>
          <w:lang w:eastAsia="en-US"/>
        </w:rPr>
        <w:footnoteReference w:id="191"/>
      </w:r>
      <w:r>
        <w:rPr>
          <w:lang w:eastAsia="en-US"/>
        </w:rPr>
        <w:t xml:space="preserve"> </w:t>
      </w:r>
      <w:r w:rsidR="00DE7425">
        <w:t>Nejdůležitější přínos měla již citovaná studie Gauthiera</w:t>
      </w:r>
      <w:r w:rsidR="00DE7425">
        <w:rPr>
          <w:lang w:eastAsia="en-US"/>
        </w:rPr>
        <w:fldChar w:fldCharType="begin"/>
      </w:r>
      <w:r w:rsidR="00DE7425">
        <w:instrText xml:space="preserve"> XE "</w:instrText>
      </w:r>
      <w:r w:rsidR="00DE7425" w:rsidRPr="00B030E6">
        <w:rPr>
          <w:lang w:eastAsia="en-US"/>
        </w:rPr>
        <w:instrText>Gauthier, A. R.</w:instrText>
      </w:r>
      <w:r w:rsidR="00DE7425">
        <w:instrText xml:space="preserve">" </w:instrText>
      </w:r>
      <w:r w:rsidR="00DE7425">
        <w:rPr>
          <w:lang w:eastAsia="en-US"/>
        </w:rPr>
        <w:fldChar w:fldCharType="end"/>
      </w:r>
      <w:r w:rsidR="00DE7425">
        <w:t xml:space="preserve">, která rehabilitovala akademickou pozici Sigera na artistické fakultě </w:t>
      </w:r>
      <w:r w:rsidR="00DE7425">
        <w:rPr>
          <w:lang w:eastAsia="en-US"/>
        </w:rPr>
        <w:t xml:space="preserve">(Gauthier 1983, 1984). Tento kritický znalec středověku podnikl </w:t>
      </w:r>
      <w:r>
        <w:rPr>
          <w:lang w:eastAsia="en-US"/>
        </w:rPr>
        <w:t>první krok k rehabilitaci filosofů prvního averroismu, který zahájil Étienne Gilson</w:t>
      </w:r>
      <w:r>
        <w:rPr>
          <w:lang w:eastAsia="en-US"/>
        </w:rPr>
        <w:fldChar w:fldCharType="begin"/>
      </w:r>
      <w:r>
        <w:instrText xml:space="preserve"> XE "</w:instrText>
      </w:r>
      <w:r w:rsidRPr="007F21F8">
        <w:instrText>Gilson, E.</w:instrText>
      </w:r>
      <w:r>
        <w:instrText xml:space="preserve">" </w:instrText>
      </w:r>
      <w:r>
        <w:rPr>
          <w:lang w:eastAsia="en-US"/>
        </w:rPr>
        <w:fldChar w:fldCharType="end"/>
      </w:r>
      <w:r w:rsidR="00425CAD">
        <w:rPr>
          <w:lang w:eastAsia="en-US"/>
        </w:rPr>
        <w:t xml:space="preserve">. Tento zjišťoval, zda </w:t>
      </w:r>
      <w:r w:rsidR="00A123B2">
        <w:rPr>
          <w:lang w:eastAsia="en-US"/>
        </w:rPr>
        <w:t xml:space="preserve">obvinění „averroisté“ </w:t>
      </w:r>
      <w:r w:rsidR="00425CAD">
        <w:rPr>
          <w:lang w:eastAsia="en-US"/>
        </w:rPr>
        <w:t>jako Siger</w:t>
      </w:r>
      <w:r>
        <w:rPr>
          <w:lang w:eastAsia="en-US"/>
        </w:rPr>
        <w:t xml:space="preserve"> </w:t>
      </w:r>
      <w:r w:rsidR="00425CAD">
        <w:rPr>
          <w:lang w:eastAsia="en-US"/>
        </w:rPr>
        <w:t>opravdu hájili teorii</w:t>
      </w:r>
      <w:r>
        <w:rPr>
          <w:lang w:eastAsia="en-US"/>
        </w:rPr>
        <w:t xml:space="preserve"> dvojí pravdy (Gilson 1921, 51‒69). </w:t>
      </w:r>
      <w:r>
        <w:t xml:space="preserve">Sigerův </w:t>
      </w:r>
      <w:r w:rsidRPr="00273106">
        <w:rPr>
          <w:lang w:eastAsia="en-US"/>
        </w:rPr>
        <w:t xml:space="preserve">výklad </w:t>
      </w:r>
      <w:r>
        <w:rPr>
          <w:lang w:eastAsia="en-US"/>
        </w:rPr>
        <w:t xml:space="preserve">spisu </w:t>
      </w:r>
      <w:r w:rsidRPr="002575EF">
        <w:rPr>
          <w:i/>
          <w:lang w:eastAsia="en-US"/>
        </w:rPr>
        <w:t>De anima</w:t>
      </w:r>
      <w:r>
        <w:rPr>
          <w:lang w:eastAsia="en-US"/>
        </w:rPr>
        <w:t xml:space="preserve"> </w:t>
      </w:r>
      <w:r w:rsidRPr="00273106">
        <w:rPr>
          <w:lang w:eastAsia="en-US"/>
        </w:rPr>
        <w:t xml:space="preserve">stál jak proti </w:t>
      </w:r>
      <w:r w:rsidR="00044DAA">
        <w:rPr>
          <w:lang w:eastAsia="en-US"/>
        </w:rPr>
        <w:t xml:space="preserve">objektivní </w:t>
      </w:r>
      <w:r w:rsidRPr="00273106">
        <w:rPr>
          <w:lang w:eastAsia="en-US"/>
        </w:rPr>
        <w:t>onto</w:t>
      </w:r>
      <w:r w:rsidR="00044DAA">
        <w:rPr>
          <w:lang w:eastAsia="en-US"/>
        </w:rPr>
        <w:t xml:space="preserve">teologii </w:t>
      </w:r>
      <w:r w:rsidRPr="00273106">
        <w:rPr>
          <w:lang w:eastAsia="en-US"/>
        </w:rPr>
        <w:t xml:space="preserve">(Bonaventura, </w:t>
      </w:r>
      <w:r>
        <w:rPr>
          <w:lang w:eastAsia="en-US"/>
        </w:rPr>
        <w:t>Pecham</w:t>
      </w:r>
      <w:r w:rsidRPr="00273106">
        <w:rPr>
          <w:lang w:eastAsia="en-US"/>
        </w:rPr>
        <w:t>), tak i proti polovičatým řešením od zastánců prvního averroismu (Albert, Akvinský</w:t>
      </w:r>
      <w:r>
        <w:rPr>
          <w:lang w:eastAsia="en-US"/>
        </w:rPr>
        <w:t>, Aegidius</w:t>
      </w:r>
      <w:r w:rsidRPr="00273106">
        <w:rPr>
          <w:lang w:eastAsia="en-US"/>
        </w:rPr>
        <w:t>).</w:t>
      </w:r>
    </w:p>
    <w:p w:rsidR="004F5402" w:rsidRDefault="08163013" w:rsidP="00006153">
      <w:pPr>
        <w:ind w:firstLine="397"/>
      </w:pPr>
      <w:r>
        <w:rPr>
          <w:lang w:eastAsia="en-US"/>
        </w:rPr>
        <w:t xml:space="preserve">Sigerova role při odmítnutí latinských sofistů a modernistů odpovídá zařazení Brabantského magistra v </w:t>
      </w:r>
      <w:r w:rsidRPr="08057B6E">
        <w:rPr>
          <w:i/>
          <w:lang w:eastAsia="en-US"/>
        </w:rPr>
        <w:t>Božské komedii</w:t>
      </w:r>
      <w:r>
        <w:rPr>
          <w:lang w:eastAsia="en-US"/>
        </w:rPr>
        <w:t xml:space="preserve"> do skupiny hlavních reprezentantů prvního averroismu. </w:t>
      </w:r>
      <w:r>
        <w:t>Cesta čtvrtou sluneční sférou sleduje logiku výkladu danou primátem Sigerovy filosofie</w:t>
      </w:r>
      <w:r w:rsidR="000E331C">
        <w:t>. N</w:t>
      </w:r>
      <w:r w:rsidR="00977983">
        <w:t xml:space="preserve">a časové ose jsou </w:t>
      </w:r>
      <w:r w:rsidR="000E331C">
        <w:t xml:space="preserve">oslaveni </w:t>
      </w:r>
      <w:r w:rsidR="00977983">
        <w:t>známí teologové církve (Gratián, Petr Lombardský, Boethius</w:t>
      </w:r>
      <w:r w:rsidR="00977983" w:rsidRPr="00977983">
        <w:t>, Bedy Ctihodn</w:t>
      </w:r>
      <w:r w:rsidR="00977983">
        <w:t xml:space="preserve">ý, </w:t>
      </w:r>
      <w:r w:rsidR="00977983" w:rsidRPr="00977983">
        <w:t>Richard</w:t>
      </w:r>
      <w:r w:rsidR="000E331C">
        <w:t xml:space="preserve"> od svatého V</w:t>
      </w:r>
      <w:r w:rsidR="001C1DBE">
        <w:t>iktora). Vzhledem k</w:t>
      </w:r>
      <w:r w:rsidR="0032436A">
        <w:t xml:space="preserve"> jeho době, </w:t>
      </w:r>
      <w:r w:rsidR="000E331C">
        <w:t>Dante</w:t>
      </w:r>
      <w:r w:rsidR="000E331C">
        <w:fldChar w:fldCharType="begin"/>
      </w:r>
      <w:r w:rsidR="000E331C">
        <w:instrText xml:space="preserve"> XE </w:instrText>
      </w:r>
      <w:r w:rsidR="000E331C">
        <w:lastRenderedPageBreak/>
        <w:instrText>"</w:instrText>
      </w:r>
      <w:r w:rsidR="000E331C" w:rsidRPr="00E871B9">
        <w:instrText>Dante, A.</w:instrText>
      </w:r>
      <w:r w:rsidR="000E331C">
        <w:instrText xml:space="preserve">" </w:instrText>
      </w:r>
      <w:r w:rsidR="000E331C">
        <w:fldChar w:fldCharType="end"/>
      </w:r>
      <w:r w:rsidR="000E331C">
        <w:t xml:space="preserve"> jasně oddělil teology Alberta a Akvinského (</w:t>
      </w:r>
      <w:r w:rsidR="000E331C" w:rsidRPr="00C64EEA">
        <w:rPr>
          <w:i/>
        </w:rPr>
        <w:t>Paradiso</w:t>
      </w:r>
      <w:r w:rsidR="000E331C">
        <w:t xml:space="preserve"> 10.64‒99</w:t>
      </w:r>
      <w:r w:rsidR="000E331C">
        <w:fldChar w:fldCharType="begin"/>
      </w:r>
      <w:r w:rsidR="000E331C">
        <w:instrText xml:space="preserve"> XE "Dante:</w:instrText>
      </w:r>
      <w:r w:rsidR="000E331C" w:rsidRPr="00C97461">
        <w:rPr>
          <w:i/>
        </w:rPr>
        <w:instrText>Paradiso</w:instrText>
      </w:r>
      <w:r w:rsidR="000E331C" w:rsidRPr="00C97461">
        <w:instrText xml:space="preserve"> 10.64‒99</w:instrText>
      </w:r>
      <w:r w:rsidR="000E331C">
        <w:instrText xml:space="preserve">" </w:instrText>
      </w:r>
      <w:r w:rsidR="000E331C">
        <w:fldChar w:fldCharType="end"/>
      </w:r>
      <w:r w:rsidR="000E331C">
        <w:t>) od Sigera jako jediného filosofa</w:t>
      </w:r>
      <w:r w:rsidR="009B1C43">
        <w:t>. Ten uzavírá celou sekci jak</w:t>
      </w:r>
      <w:r w:rsidR="000E331C">
        <w:t xml:space="preserve">o nejlepší ze všech (vv. </w:t>
      </w:r>
      <w:r w:rsidR="000E331C" w:rsidRPr="009B2F5E">
        <w:t>136–</w:t>
      </w:r>
      <w:r w:rsidR="000E331C">
        <w:t>3</w:t>
      </w:r>
      <w:r w:rsidR="000E331C" w:rsidRPr="009B2F5E">
        <w:t>8</w:t>
      </w:r>
      <w:r w:rsidR="000E331C">
        <w:fldChar w:fldCharType="begin"/>
      </w:r>
      <w:r w:rsidR="000E331C">
        <w:instrText xml:space="preserve"> XE "Dante:</w:instrText>
      </w:r>
      <w:r w:rsidR="000E331C" w:rsidRPr="00C97461">
        <w:rPr>
          <w:i/>
        </w:rPr>
        <w:instrText>Paradiso</w:instrText>
      </w:r>
      <w:r w:rsidR="000E331C" w:rsidRPr="00C97461">
        <w:instrText xml:space="preserve"> 10</w:instrText>
      </w:r>
      <w:r w:rsidR="000E331C">
        <w:instrText>.136</w:instrText>
      </w:r>
      <w:r w:rsidR="000E331C" w:rsidRPr="00C97461">
        <w:instrText>‒</w:instrText>
      </w:r>
      <w:r w:rsidR="000E331C">
        <w:instrText xml:space="preserve">38" </w:instrText>
      </w:r>
      <w:r w:rsidR="000E331C">
        <w:fldChar w:fldCharType="end"/>
      </w:r>
      <w:r w:rsidR="000E331C">
        <w:t xml:space="preserve">). </w:t>
      </w:r>
      <w:r w:rsidR="000D44BE">
        <w:t xml:space="preserve">Dante byl pravdivý básník v modu božské </w:t>
      </w:r>
      <w:r w:rsidR="000D44BE" w:rsidRPr="000D44BE">
        <w:rPr>
          <w:i/>
        </w:rPr>
        <w:t>alétheia</w:t>
      </w:r>
      <w:r w:rsidR="000D44BE">
        <w:t xml:space="preserve">, kterého vedly </w:t>
      </w:r>
      <w:r w:rsidR="00AB461B">
        <w:t xml:space="preserve">božské </w:t>
      </w:r>
      <w:r w:rsidR="000D44BE">
        <w:t>Múzy</w:t>
      </w:r>
      <w:r w:rsidR="00A871D3">
        <w:t>,</w:t>
      </w:r>
      <w:r w:rsidR="000D44BE">
        <w:t xml:space="preserve"> a ne objektivně vzdělané Fúrie. </w:t>
      </w:r>
      <w:r w:rsidR="00093E52">
        <w:t xml:space="preserve">Výklad Sigerovy filosofie </w:t>
      </w:r>
      <w:r w:rsidR="000D44BE">
        <w:t>mus</w:t>
      </w:r>
      <w:r w:rsidR="0000741B">
        <w:t>í plně obhájit Dantovo laudatio</w:t>
      </w:r>
      <w:r w:rsidR="00076BCB">
        <w:t xml:space="preserve">. Struktura veršů a jejich obsah jasně dokazuje, že titul </w:t>
      </w:r>
      <w:r w:rsidR="00076BCB" w:rsidRPr="00076BCB">
        <w:rPr>
          <w:i/>
        </w:rPr>
        <w:t>Expositor Novus</w:t>
      </w:r>
      <w:r w:rsidR="00076BCB">
        <w:t xml:space="preserve"> dostal podle daného ocenění Siger, a ne Akvinský. </w:t>
      </w:r>
      <w:r w:rsidR="000D44BE">
        <w:t>Nejprve je třeba určit, v jakých bodech se Siger jako filosof lišil od Dantem chválených teolog</w:t>
      </w:r>
      <w:r w:rsidR="00092F27">
        <w:t xml:space="preserve">ů, jako byl Akvinský a Albert. </w:t>
      </w:r>
      <w:r>
        <w:rPr>
          <w:lang w:eastAsia="en-US"/>
        </w:rPr>
        <w:t xml:space="preserve">Proto je třeba podat věcné důvody, proč tento básník vedený múzickou pravdou </w:t>
      </w:r>
      <w:r w:rsidRPr="00273106">
        <w:rPr>
          <w:lang w:eastAsia="en-US"/>
        </w:rPr>
        <w:t xml:space="preserve">ocenil </w:t>
      </w:r>
      <w:r>
        <w:rPr>
          <w:lang w:eastAsia="en-US"/>
        </w:rPr>
        <w:t xml:space="preserve">Sigera </w:t>
      </w:r>
      <w:r w:rsidRPr="00273106">
        <w:rPr>
          <w:lang w:eastAsia="en-US"/>
        </w:rPr>
        <w:t>v </w:t>
      </w:r>
      <w:r w:rsidRPr="08DD1DB7">
        <w:rPr>
          <w:i/>
          <w:lang w:eastAsia="en-US"/>
        </w:rPr>
        <w:t>Božské komedii</w:t>
      </w:r>
      <w:r>
        <w:rPr>
          <w:lang w:eastAsia="en-US"/>
        </w:rPr>
        <w:t xml:space="preserve"> jako největšího filosofa své doby a proč tento titul nedal Akvinskému. </w:t>
      </w:r>
      <w:r>
        <w:t>Dante</w:t>
      </w:r>
      <w:r>
        <w:fldChar w:fldCharType="begin"/>
      </w:r>
      <w:r>
        <w:instrText xml:space="preserve"> XE "</w:instrText>
      </w:r>
      <w:r w:rsidRPr="00E871B9">
        <w:instrText>Dante, A.</w:instrText>
      </w:r>
      <w:r>
        <w:instrText xml:space="preserve">" </w:instrText>
      </w:r>
      <w:r>
        <w:fldChar w:fldCharType="end"/>
      </w:r>
      <w:r>
        <w:t xml:space="preserve"> charakterizoval Sigerovy nesmrtelné zásluhy přesně v duchu skromného a nenápadného magistra, tedy lakonicky stručně a naprosto jasně.</w:t>
      </w:r>
      <w:r>
        <w:rPr>
          <w:rStyle w:val="Znakapoznpodarou"/>
        </w:rPr>
        <w:footnoteReference w:id="192"/>
      </w:r>
      <w:r>
        <w:t xml:space="preserve"> Citovaný verš vyzdvihuje zásadní rys Sigerova myšlení, schopného logicky jasným a demonstrativním způsobem podat záviděníhodné pravdy (</w:t>
      </w:r>
      <w:r w:rsidRPr="000B57E9">
        <w:rPr>
          <w:i/>
        </w:rPr>
        <w:t>silogizzò invidïosi veri</w:t>
      </w:r>
      <w:r>
        <w:t xml:space="preserve">). </w:t>
      </w:r>
      <w:r w:rsidR="0084134D">
        <w:t>Sloveso „</w:t>
      </w:r>
      <w:r w:rsidR="0084134D" w:rsidRPr="0084134D">
        <w:rPr>
          <w:i/>
        </w:rPr>
        <w:t>silogizzò</w:t>
      </w:r>
      <w:r w:rsidR="0084134D">
        <w:t>“</w:t>
      </w:r>
      <w:r w:rsidR="0084134D" w:rsidRPr="0084134D">
        <w:t>, které se vztahuje pouze k Sigerovi, je nesmírně důležité, když vezmeme v úvahu prohlášení magistrů v Rue du Fouarre v roce 1272 (ka</w:t>
      </w:r>
      <w:r w:rsidR="0084134D">
        <w:t>p. 4.3.3). Nejedná se o chválu „logika“</w:t>
      </w:r>
      <w:r w:rsidR="0084134D" w:rsidRPr="0084134D">
        <w:t xml:space="preserve"> Sigera, jak se obvykle předpo</w:t>
      </w:r>
      <w:r w:rsidR="0084134D">
        <w:t>kládá, ale o chválu „</w:t>
      </w:r>
      <w:r w:rsidR="0084134D" w:rsidRPr="0084134D">
        <w:rPr>
          <w:i/>
        </w:rPr>
        <w:t>pars Sigeri</w:t>
      </w:r>
      <w:r w:rsidR="0084134D">
        <w:t>“</w:t>
      </w:r>
      <w:r w:rsidR="0084134D" w:rsidRPr="0084134D">
        <w:t xml:space="preserve"> jako nejlepších vykladačů </w:t>
      </w:r>
      <w:r w:rsidR="0084134D">
        <w:t xml:space="preserve">spisu </w:t>
      </w:r>
      <w:r w:rsidR="0084134D" w:rsidRPr="0084134D">
        <w:rPr>
          <w:i/>
        </w:rPr>
        <w:t>Druhé Analytiky</w:t>
      </w:r>
      <w:r w:rsidR="0084134D" w:rsidRPr="0084134D">
        <w:t xml:space="preserve">. </w:t>
      </w:r>
      <w:r w:rsidR="0084134D">
        <w:t xml:space="preserve">Jen tato </w:t>
      </w:r>
      <w:r w:rsidR="0084134D" w:rsidRPr="0084134D">
        <w:t xml:space="preserve">skupina prvního averroismu vedená Sigerem oddělila teologii od </w:t>
      </w:r>
      <w:r w:rsidR="0084134D">
        <w:t xml:space="preserve">genericky </w:t>
      </w:r>
      <w:r w:rsidR="0084134D" w:rsidRPr="0084134D">
        <w:t xml:space="preserve">odlišné filosofie. </w:t>
      </w:r>
      <w:r w:rsidR="0084134D">
        <w:t>Proto je Siger jako jediný filosof oddělen od teologů jako Albert a Akvinský. Ti neprovedli správně toto rozdělení věd v rámci deduktivního syllogismu ustavujího vědecký důkaz (</w:t>
      </w:r>
      <w:r w:rsidR="0084134D" w:rsidRPr="0084134D">
        <w:rPr>
          <w:i/>
        </w:rPr>
        <w:t>demonstratio</w:t>
      </w:r>
      <w:r w:rsidR="0084134D">
        <w:t xml:space="preserve">). </w:t>
      </w:r>
      <w:r w:rsidR="0084134D" w:rsidRPr="0084134D">
        <w:t>Dante přesně věděl, co bylo skutečnou příčinou sporu kolem roku 1270 a o</w:t>
      </w:r>
      <w:r w:rsidR="004409D9">
        <w:t xml:space="preserve">dsouzení v roce 1277. </w:t>
      </w:r>
      <w:r>
        <w:t xml:space="preserve">Tyto </w:t>
      </w:r>
      <w:r w:rsidR="007B7C03">
        <w:t>„</w:t>
      </w:r>
      <w:r>
        <w:t>nepříjemné</w:t>
      </w:r>
      <w:r w:rsidR="007B7C03">
        <w:t>“ (</w:t>
      </w:r>
      <w:r w:rsidR="007B7C03">
        <w:rPr>
          <w:i/>
        </w:rPr>
        <w:t>invidïosi</w:t>
      </w:r>
      <w:r w:rsidR="007B7C03">
        <w:t xml:space="preserve">) </w:t>
      </w:r>
      <w:r>
        <w:t>filosofické pravdy ovšem vzbudily nevoli kritizovaných představitelů semiaverroismu (Aegidius</w:t>
      </w:r>
      <w:r>
        <w:fldChar w:fldCharType="begin"/>
      </w:r>
      <w:r>
        <w:instrText xml:space="preserve"> XE "</w:instrText>
      </w:r>
      <w:r w:rsidRPr="00B54432">
        <w:instrText>Aegidius Romanus</w:instrText>
      </w:r>
      <w:r>
        <w:instrText xml:space="preserve">" </w:instrText>
      </w:r>
      <w:r>
        <w:fldChar w:fldCharType="end"/>
      </w:r>
      <w:r>
        <w:t xml:space="preserve">, Akvinský, Albert), a hlavně pletichy a hněv odmítnutých představitelů druhého averroismu (Bonaventura, Pecham, Kilwardby). To je druhý význam termínu </w:t>
      </w:r>
      <w:r w:rsidR="00602DAC">
        <w:t>„</w:t>
      </w:r>
      <w:r w:rsidRPr="000B57E9">
        <w:rPr>
          <w:i/>
        </w:rPr>
        <w:t>invidïosi</w:t>
      </w:r>
      <w:r w:rsidR="00602DAC">
        <w:t>“</w:t>
      </w:r>
      <w:r w:rsidRPr="08644BF6">
        <w:t>, který Dante nezapomn</w:t>
      </w:r>
      <w:r>
        <w:t>ěl zdů</w:t>
      </w:r>
      <w:r w:rsidRPr="08644BF6">
        <w:t>raznit</w:t>
      </w:r>
      <w:r>
        <w:t xml:space="preserve">, protože přinesl Sigerův akademický pád. </w:t>
      </w:r>
      <w:r w:rsidR="00E77B27">
        <w:t xml:space="preserve">Proto je třeba zásadně ocenit Danteho </w:t>
      </w:r>
      <w:r w:rsidR="0011402C">
        <w:t xml:space="preserve">formu básnického a filosofického </w:t>
      </w:r>
      <w:r w:rsidR="00E77B27" w:rsidRPr="00E77B27">
        <w:rPr>
          <w:i/>
        </w:rPr>
        <w:t>Lichtung</w:t>
      </w:r>
      <w:r w:rsidR="0011402C">
        <w:t xml:space="preserve">, v němž </w:t>
      </w:r>
      <w:r w:rsidR="00E77B27">
        <w:t xml:space="preserve">múzicky </w:t>
      </w:r>
      <w:r w:rsidR="0011402C">
        <w:t>pravdivě</w:t>
      </w:r>
      <w:r w:rsidR="00E77B27" w:rsidRPr="00E77B27">
        <w:t xml:space="preserve"> </w:t>
      </w:r>
      <w:r w:rsidR="0011402C">
        <w:t xml:space="preserve">uchopil </w:t>
      </w:r>
      <w:r w:rsidR="00E77B27" w:rsidRPr="00E77B27">
        <w:t>podstat</w:t>
      </w:r>
      <w:r w:rsidR="0011402C">
        <w:t>u</w:t>
      </w:r>
      <w:r w:rsidR="00E77B27" w:rsidRPr="00E77B27">
        <w:t xml:space="preserve"> sporu</w:t>
      </w:r>
      <w:r w:rsidR="0011402C">
        <w:t xml:space="preserve"> v letch 1270–77. </w:t>
      </w:r>
      <w:r w:rsidR="00E77B27">
        <w:t xml:space="preserve">Siger </w:t>
      </w:r>
      <w:r w:rsidR="0011402C">
        <w:t xml:space="preserve">s modernisty a latinskými sofisty </w:t>
      </w:r>
      <w:r w:rsidR="00E77B27">
        <w:t xml:space="preserve">prohrál mocensky (to Dante </w:t>
      </w:r>
      <w:r w:rsidR="008747C6">
        <w:t xml:space="preserve">dobře </w:t>
      </w:r>
      <w:r w:rsidR="00E77B27">
        <w:t xml:space="preserve">věděl), ale </w:t>
      </w:r>
      <w:r w:rsidR="0011402C">
        <w:t>určitě ne filosoficky. Múzická h</w:t>
      </w:r>
      <w:r>
        <w:t xml:space="preserve">ermeneutika </w:t>
      </w:r>
      <w:r w:rsidR="088F64CC">
        <w:t xml:space="preserve">objektivity </w:t>
      </w:r>
      <w:r>
        <w:t>jednoznačně potvrzuje</w:t>
      </w:r>
      <w:r w:rsidRPr="00D9637C">
        <w:t xml:space="preserve"> </w:t>
      </w:r>
      <w:r w:rsidR="0011402C">
        <w:t xml:space="preserve">oslavu </w:t>
      </w:r>
      <w:r w:rsidR="08D7463E">
        <w:t>Danteho</w:t>
      </w:r>
      <w:r w:rsidR="0011402C">
        <w:t xml:space="preserve">, </w:t>
      </w:r>
      <w:r w:rsidR="0011402C">
        <w:lastRenderedPageBreak/>
        <w:t>která se skrývá v pythickém určení „</w:t>
      </w:r>
      <w:r w:rsidR="0011402C" w:rsidRPr="0011402C">
        <w:rPr>
          <w:i/>
        </w:rPr>
        <w:t>invidiosus</w:t>
      </w:r>
      <w:r w:rsidR="0011402C">
        <w:t xml:space="preserve">“. Proto </w:t>
      </w:r>
      <w:r>
        <w:t xml:space="preserve">dává Sigerovi čestný scholastický titul </w:t>
      </w:r>
      <w:r w:rsidR="006A645D">
        <w:t>„</w:t>
      </w:r>
      <w:r>
        <w:rPr>
          <w:i/>
        </w:rPr>
        <w:t>Doctor Invidiosus</w:t>
      </w:r>
      <w:r w:rsidR="006A645D">
        <w:t>“</w:t>
      </w:r>
      <w:r>
        <w:rPr>
          <w:i/>
        </w:rPr>
        <w:fldChar w:fldCharType="begin"/>
      </w:r>
      <w:r>
        <w:instrText xml:space="preserve"> XE "</w:instrText>
      </w:r>
      <w:r>
        <w:rPr>
          <w:i/>
        </w:rPr>
        <w:instrText>Doctor Invidiosus</w:instrText>
      </w:r>
      <w:r>
        <w:instrText xml:space="preserve">" </w:instrText>
      </w:r>
      <w:r>
        <w:rPr>
          <w:i/>
        </w:rPr>
        <w:fldChar w:fldCharType="end"/>
      </w:r>
      <w:r>
        <w:t xml:space="preserve"> se všemi múzickými konotacemi, které k tomuto titulu patří.</w:t>
      </w:r>
      <w:r w:rsidR="00006153">
        <w:t xml:space="preserve"> </w:t>
      </w:r>
      <w:r w:rsidR="00006153" w:rsidRPr="00006153">
        <w:t xml:space="preserve">Siger je </w:t>
      </w:r>
      <w:r w:rsidR="00006153">
        <w:t>filos</w:t>
      </w:r>
      <w:r w:rsidR="00006153" w:rsidRPr="00006153">
        <w:t>of „</w:t>
      </w:r>
      <w:r w:rsidR="00006153" w:rsidRPr="00006153">
        <w:rPr>
          <w:i/>
        </w:rPr>
        <w:t>invidiosus</w:t>
      </w:r>
      <w:r w:rsidR="00006153" w:rsidRPr="00006153">
        <w:t xml:space="preserve">“, kterého je třeba obdivovat a závidět mu, protože byl </w:t>
      </w:r>
      <w:r w:rsidR="00006153">
        <w:t>a je největším znalcem Averroese</w:t>
      </w:r>
      <w:r w:rsidR="00006153" w:rsidRPr="00006153">
        <w:t xml:space="preserve"> všech dob. Byl jediným filosofem pozdní scholastiky, který zásadně oddělil „meta</w:t>
      </w:r>
      <w:r w:rsidR="00006153">
        <w:t>-fyziku“ K</w:t>
      </w:r>
      <w:r w:rsidR="00006153" w:rsidRPr="00006153">
        <w:t>omentátora od metafyziky Avicenny.</w:t>
      </w:r>
      <w:r w:rsidR="00006153">
        <w:t xml:space="preserve"> </w:t>
      </w:r>
      <w:r w:rsidR="00022054">
        <w:t xml:space="preserve">K nenávisti akademických Fúrií </w:t>
      </w:r>
      <w:r w:rsidR="00A97FAE">
        <w:t>(</w:t>
      </w:r>
      <w:r w:rsidR="00A97FAE" w:rsidRPr="000B57E9">
        <w:rPr>
          <w:i/>
        </w:rPr>
        <w:t>invidïosi</w:t>
      </w:r>
      <w:r w:rsidR="00A97FAE">
        <w:t xml:space="preserve">) </w:t>
      </w:r>
      <w:r w:rsidR="00022054">
        <w:t xml:space="preserve">se přidružilo modernistické </w:t>
      </w:r>
      <w:r w:rsidR="00022054" w:rsidRPr="08E8443F">
        <w:rPr>
          <w:i/>
        </w:rPr>
        <w:t>damnatio memoriae</w:t>
      </w:r>
      <w:r w:rsidR="00022054">
        <w:rPr>
          <w:i/>
        </w:rPr>
        <w:fldChar w:fldCharType="begin"/>
      </w:r>
      <w:r w:rsidR="00022054">
        <w:instrText xml:space="preserve"> XE "</w:instrText>
      </w:r>
      <w:r w:rsidR="00022054" w:rsidRPr="08472B16">
        <w:rPr>
          <w:i/>
        </w:rPr>
        <w:instrText>damnatio memoriae</w:instrText>
      </w:r>
      <w:r w:rsidR="00022054">
        <w:instrText xml:space="preserve">" </w:instrText>
      </w:r>
      <w:r w:rsidR="00022054">
        <w:rPr>
          <w:i/>
        </w:rPr>
        <w:fldChar w:fldCharType="end"/>
      </w:r>
      <w:r w:rsidR="00022054">
        <w:t xml:space="preserve"> spojené s vytěsněním Sigerovy metafyziky v modu </w:t>
      </w:r>
      <w:r w:rsidR="00022054" w:rsidRPr="08AB1A32">
        <w:rPr>
          <w:i/>
        </w:rPr>
        <w:t>Verkehrung ins Gegenteil</w:t>
      </w:r>
      <w:r w:rsidR="00022054">
        <w:rPr>
          <w:i/>
        </w:rPr>
        <w:fldChar w:fldCharType="begin"/>
      </w:r>
      <w:r w:rsidR="00022054">
        <w:instrText xml:space="preserve"> XE "</w:instrText>
      </w:r>
      <w:r w:rsidR="00022054" w:rsidRPr="08E67463">
        <w:rPr>
          <w:i/>
        </w:rPr>
        <w:instrText xml:space="preserve">Verkehrung ins </w:instrText>
      </w:r>
      <w:proofErr w:type="gramStart"/>
      <w:r w:rsidR="00022054" w:rsidRPr="08E67463">
        <w:rPr>
          <w:i/>
        </w:rPr>
        <w:instrText>Gegenteil</w:instrText>
      </w:r>
      <w:r w:rsidR="00022054">
        <w:instrText xml:space="preserve">" </w:instrText>
      </w:r>
      <w:r w:rsidR="00022054">
        <w:rPr>
          <w:i/>
        </w:rPr>
        <w:fldChar w:fldCharType="end"/>
      </w:r>
      <w:r w:rsidR="00022054">
        <w:t xml:space="preserve">. </w:t>
      </w:r>
      <w:r>
        <w:t xml:space="preserve"> Archaická</w:t>
      </w:r>
      <w:proofErr w:type="gramEnd"/>
      <w:r>
        <w:t xml:space="preserve"> hermeneutika zásadně sleduje vliv </w:t>
      </w:r>
      <w:r>
        <w:rPr>
          <w:lang w:eastAsia="en-US"/>
        </w:rPr>
        <w:t>Múz</w:t>
      </w:r>
      <w:r>
        <w:rPr>
          <w:lang w:eastAsia="en-US"/>
        </w:rPr>
        <w:fldChar w:fldCharType="begin"/>
      </w:r>
      <w:r>
        <w:instrText xml:space="preserve"> XE "</w:instrText>
      </w:r>
      <w:r w:rsidRPr="08BA185F">
        <w:rPr>
          <w:lang w:eastAsia="en-US"/>
        </w:rPr>
        <w:instrText>Múzy</w:instrText>
      </w:r>
      <w:r>
        <w:instrText xml:space="preserve">" </w:instrText>
      </w:r>
      <w:r>
        <w:rPr>
          <w:lang w:eastAsia="en-US"/>
        </w:rPr>
        <w:fldChar w:fldCharType="end"/>
      </w:r>
      <w:r>
        <w:rPr>
          <w:lang w:eastAsia="en-US"/>
        </w:rPr>
        <w:t xml:space="preserve">, které v epoše mytopoetických akademických fabulací vrcholících kolem roku 1270 utvářejí novou formu božské komedie. Dante představuje jejich vrcholného mluvčího v modu múzické pravdy dané v jeho vrcholném díle. </w:t>
      </w:r>
      <w:r>
        <w:t xml:space="preserve">Danteho panteon pravdivě symbolizuje myslitelské zásluhy hlavních aktérů prvního averroismu. Světský kněz a filosof Siger </w:t>
      </w:r>
      <w:r w:rsidR="004F5402">
        <w:t xml:space="preserve">stojí nad </w:t>
      </w:r>
      <w:r>
        <w:t>Albert</w:t>
      </w:r>
      <w:r w:rsidR="004F5402">
        <w:t xml:space="preserve">em </w:t>
      </w:r>
      <w:r>
        <w:t>a Akvinsk</w:t>
      </w:r>
      <w:r w:rsidR="004F5402">
        <w:t xml:space="preserve">ým, což byly hlavní myslitelské osobnosti </w:t>
      </w:r>
      <w:r>
        <w:t>řádu Kazatelů. Jako poslední myslitel v řadě završuje filosofickou cestu slunce brilantní korekcí Albertova a Akvinského postoje v otázce jednoty osoby a intelektu.</w:t>
      </w:r>
      <w:r w:rsidRPr="00626ABE">
        <w:t xml:space="preserve"> </w:t>
      </w:r>
      <w:r>
        <w:rPr>
          <w:lang w:eastAsia="en-US"/>
        </w:rPr>
        <w:t xml:space="preserve">Dante </w:t>
      </w:r>
      <w:r w:rsidR="004C7948">
        <w:rPr>
          <w:lang w:eastAsia="en-US"/>
        </w:rPr>
        <w:t xml:space="preserve">potvrzuje </w:t>
      </w:r>
      <w:r>
        <w:rPr>
          <w:lang w:eastAsia="en-US"/>
        </w:rPr>
        <w:t>současnou charakteristik</w:t>
      </w:r>
      <w:r w:rsidRPr="00273106">
        <w:rPr>
          <w:lang w:eastAsia="en-US"/>
        </w:rPr>
        <w:t xml:space="preserve">u </w:t>
      </w:r>
      <w:r>
        <w:rPr>
          <w:lang w:eastAsia="en-US"/>
        </w:rPr>
        <w:t>B</w:t>
      </w:r>
      <w:r w:rsidRPr="00273106">
        <w:rPr>
          <w:lang w:eastAsia="en-US"/>
        </w:rPr>
        <w:t>rabantského magistra jako</w:t>
      </w:r>
      <w:r w:rsidRPr="00273106">
        <w:t xml:space="preserve"> prvního intelektuála Západu</w:t>
      </w:r>
      <w:r>
        <w:t xml:space="preserve">, jemuž se filosofie stala sokratovsky nevděčným </w:t>
      </w:r>
      <w:r w:rsidRPr="00273106">
        <w:t>povol</w:t>
      </w:r>
      <w:r>
        <w:t>áním</w:t>
      </w:r>
      <w:r w:rsidRPr="00273106">
        <w:rPr>
          <w:lang w:eastAsia="en-US"/>
        </w:rPr>
        <w:t>.</w:t>
      </w:r>
    </w:p>
    <w:p w:rsidR="007E775C" w:rsidRPr="005A0F6B" w:rsidRDefault="08163013" w:rsidP="007E775C">
      <w:r>
        <w:rPr>
          <w:lang w:eastAsia="en-US"/>
        </w:rPr>
        <w:t xml:space="preserve">Hermeneutika </w:t>
      </w:r>
      <w:r>
        <w:t xml:space="preserve">zkoumá filosofii </w:t>
      </w:r>
      <w:r w:rsidRPr="00273106">
        <w:rPr>
          <w:lang w:eastAsia="en-US"/>
        </w:rPr>
        <w:t xml:space="preserve">Sigera v </w:t>
      </w:r>
      <w:r>
        <w:rPr>
          <w:lang w:eastAsia="en-US"/>
        </w:rPr>
        <w:t xml:space="preserve">předložené </w:t>
      </w:r>
      <w:r w:rsidRPr="00273106">
        <w:rPr>
          <w:lang w:eastAsia="en-US"/>
        </w:rPr>
        <w:t>linii Danteho</w:t>
      </w:r>
      <w:r w:rsidR="00FA75F7">
        <w:rPr>
          <w:lang w:eastAsia="en-US"/>
        </w:rPr>
        <w:t xml:space="preserve">. Ten </w:t>
      </w:r>
      <w:r>
        <w:rPr>
          <w:lang w:eastAsia="en-US"/>
        </w:rPr>
        <w:t>je filosofickým žákem Sigera, i když se asi osobně nikdy nepotkali</w:t>
      </w:r>
      <w:r w:rsidRPr="00273106">
        <w:rPr>
          <w:lang w:eastAsia="en-US"/>
        </w:rPr>
        <w:t>.</w:t>
      </w:r>
      <w:r>
        <w:rPr>
          <w:lang w:eastAsia="en-US"/>
        </w:rPr>
        <w:t xml:space="preserve"> Vynikající znalec filosofických a politických sporů tehdejší doby beatifikoval Sigera umístěním do ráje, což zatím v katolické církvi není na pořadu dne. Církevní beatifikace se dočkal Bonaventura</w:t>
      </w:r>
      <w:r w:rsidR="0896100C">
        <w:rPr>
          <w:lang w:eastAsia="en-US"/>
        </w:rPr>
        <w:t>, Albert</w:t>
      </w:r>
      <w:r>
        <w:rPr>
          <w:lang w:eastAsia="en-US"/>
        </w:rPr>
        <w:t xml:space="preserve"> a Akvinský, ale básníci jsou často proroci nových časů. Danteho průvodce Vergilius také nesměl vstoupit s Dantem do křesťanského ráje.</w:t>
      </w:r>
      <w:r>
        <w:t xml:space="preserve"> </w:t>
      </w:r>
      <w:r w:rsidRPr="00273106">
        <w:t xml:space="preserve">Sigerův </w:t>
      </w:r>
      <w:r w:rsidRPr="00273106">
        <w:rPr>
          <w:lang w:eastAsia="en-US"/>
        </w:rPr>
        <w:t xml:space="preserve">boj proti objektivistické konstrukci metafyziky a za jednotu osoby zůstal po </w:t>
      </w:r>
      <w:r>
        <w:rPr>
          <w:lang w:eastAsia="en-US"/>
        </w:rPr>
        <w:t xml:space="preserve">celá </w:t>
      </w:r>
      <w:r w:rsidRPr="00273106">
        <w:rPr>
          <w:lang w:eastAsia="en-US"/>
        </w:rPr>
        <w:t>staletí nepochopen</w:t>
      </w:r>
      <w:r>
        <w:rPr>
          <w:lang w:eastAsia="en-US"/>
        </w:rPr>
        <w:t xml:space="preserve">, stejně jako Danteho hodnocení Sigera v </w:t>
      </w:r>
      <w:r w:rsidRPr="08255511">
        <w:rPr>
          <w:i/>
          <w:lang w:eastAsia="en-US"/>
        </w:rPr>
        <w:t>Božské komedii</w:t>
      </w:r>
      <w:r w:rsidRPr="00273106">
        <w:rPr>
          <w:lang w:eastAsia="en-US"/>
        </w:rPr>
        <w:t xml:space="preserve">. </w:t>
      </w:r>
      <w:r>
        <w:rPr>
          <w:lang w:eastAsia="en-US"/>
        </w:rPr>
        <w:t>Her</w:t>
      </w:r>
      <w:r w:rsidR="00E97350">
        <w:rPr>
          <w:lang w:eastAsia="en-US"/>
        </w:rPr>
        <w:t xml:space="preserve">meneutika objektivity sleduje </w:t>
      </w:r>
      <w:r>
        <w:rPr>
          <w:lang w:eastAsia="en-US"/>
        </w:rPr>
        <w:t xml:space="preserve">skryté působení </w:t>
      </w:r>
      <w:r w:rsidRPr="009273BA">
        <w:rPr>
          <w:i/>
          <w:lang w:eastAsia="en-US"/>
        </w:rPr>
        <w:t>a/létheia</w:t>
      </w:r>
      <w:r>
        <w:rPr>
          <w:i/>
          <w:lang w:eastAsia="en-US"/>
        </w:rPr>
        <w:fldChar w:fldCharType="begin"/>
      </w:r>
      <w:r>
        <w:instrText xml:space="preserve"> XE "</w:instrText>
      </w:r>
      <w:r w:rsidRPr="08937E60">
        <w:rPr>
          <w:i/>
          <w:lang w:eastAsia="en-US"/>
        </w:rPr>
        <w:instrText>a/létheia</w:instrText>
      </w:r>
      <w:r>
        <w:instrText xml:space="preserve">" </w:instrText>
      </w:r>
      <w:r>
        <w:rPr>
          <w:i/>
          <w:lang w:eastAsia="en-US"/>
        </w:rPr>
        <w:fldChar w:fldCharType="end"/>
      </w:r>
      <w:r>
        <w:rPr>
          <w:lang w:eastAsia="en-US"/>
        </w:rPr>
        <w:t xml:space="preserve"> při vzniku objektivity v modu epochálního </w:t>
      </w:r>
      <w:r w:rsidRPr="086C390D">
        <w:rPr>
          <w:i/>
          <w:lang w:eastAsia="en-US"/>
        </w:rPr>
        <w:t>Irrtum</w:t>
      </w:r>
      <w:r w:rsidR="00E97350">
        <w:rPr>
          <w:lang w:eastAsia="en-US"/>
        </w:rPr>
        <w:t xml:space="preserve">. </w:t>
      </w:r>
      <w:r w:rsidR="004474E7">
        <w:rPr>
          <w:lang w:eastAsia="en-US"/>
        </w:rPr>
        <w:t xml:space="preserve">Dante je hlavní představitel múzické </w:t>
      </w:r>
      <w:r w:rsidR="004474E7" w:rsidRPr="004474E7">
        <w:rPr>
          <w:i/>
          <w:lang w:eastAsia="en-US"/>
        </w:rPr>
        <w:t>alétheia</w:t>
      </w:r>
      <w:r w:rsidR="004474E7">
        <w:rPr>
          <w:lang w:eastAsia="en-US"/>
        </w:rPr>
        <w:t xml:space="preserve">, protože sledoval průběh božské komedie jeho doby. </w:t>
      </w:r>
      <w:r w:rsidR="00E97350">
        <w:rPr>
          <w:lang w:eastAsia="en-US"/>
        </w:rPr>
        <w:t xml:space="preserve">Proto musíme </w:t>
      </w:r>
      <w:r>
        <w:rPr>
          <w:lang w:eastAsia="en-US"/>
        </w:rPr>
        <w:t xml:space="preserve">vyložit </w:t>
      </w:r>
      <w:r w:rsidR="00DE0750">
        <w:rPr>
          <w:lang w:eastAsia="en-US"/>
        </w:rPr>
        <w:t xml:space="preserve">filosofii </w:t>
      </w:r>
      <w:r w:rsidRPr="00273106">
        <w:t xml:space="preserve">Sigera s ohledem na jeho brilantní výklad </w:t>
      </w:r>
      <w:r>
        <w:t>Averroes</w:t>
      </w:r>
      <w:r w:rsidRPr="00273106">
        <w:t xml:space="preserve">e. </w:t>
      </w:r>
      <w:r>
        <w:t>Siger</w:t>
      </w:r>
      <w:r w:rsidRPr="00273106">
        <w:t xml:space="preserve"> </w:t>
      </w:r>
      <w:r>
        <w:rPr>
          <w:lang w:eastAsia="en-US"/>
        </w:rPr>
        <w:t>odmítl</w:t>
      </w:r>
      <w:r w:rsidRPr="00273106">
        <w:rPr>
          <w:lang w:eastAsia="en-US"/>
        </w:rPr>
        <w:t xml:space="preserve"> averroismus</w:t>
      </w:r>
      <w:r>
        <w:rPr>
          <w:lang w:eastAsia="en-US"/>
        </w:rPr>
        <w:t xml:space="preserve"> všeho druhu, který </w:t>
      </w:r>
      <w:r w:rsidRPr="00273106">
        <w:rPr>
          <w:lang w:eastAsia="en-US"/>
        </w:rPr>
        <w:t>deform</w:t>
      </w:r>
      <w:r>
        <w:rPr>
          <w:lang w:eastAsia="en-US"/>
        </w:rPr>
        <w:t xml:space="preserve">oval </w:t>
      </w:r>
      <w:r w:rsidRPr="00273106">
        <w:rPr>
          <w:lang w:eastAsia="en-US"/>
        </w:rPr>
        <w:t xml:space="preserve">autentický výklad </w:t>
      </w:r>
      <w:r>
        <w:rPr>
          <w:lang w:eastAsia="en-US"/>
        </w:rPr>
        <w:t>Averroes</w:t>
      </w:r>
      <w:r w:rsidRPr="00273106">
        <w:rPr>
          <w:lang w:eastAsia="en-US"/>
        </w:rPr>
        <w:t>e</w:t>
      </w:r>
      <w:r>
        <w:rPr>
          <w:lang w:eastAsia="en-US"/>
        </w:rPr>
        <w:t xml:space="preserve"> v aristotelské linii </w:t>
      </w:r>
      <w:r w:rsidRPr="00A3778E">
        <w:rPr>
          <w:i/>
          <w:lang w:eastAsia="en-US"/>
        </w:rPr>
        <w:t>De anima</w:t>
      </w:r>
      <w:r>
        <w:rPr>
          <w:lang w:eastAsia="en-US"/>
        </w:rPr>
        <w:t xml:space="preserve">. </w:t>
      </w:r>
      <w:r w:rsidR="001B4D28">
        <w:rPr>
          <w:lang w:eastAsia="en-US"/>
        </w:rPr>
        <w:t xml:space="preserve">Syllogisticky </w:t>
      </w:r>
      <w:r>
        <w:rPr>
          <w:lang w:eastAsia="en-US"/>
        </w:rPr>
        <w:t xml:space="preserve">argumentující magistr </w:t>
      </w:r>
      <w:r w:rsidRPr="00273106">
        <w:rPr>
          <w:lang w:eastAsia="en-US"/>
        </w:rPr>
        <w:t>po</w:t>
      </w:r>
      <w:r w:rsidR="001B4D28">
        <w:rPr>
          <w:lang w:eastAsia="en-US"/>
        </w:rPr>
        <w:t xml:space="preserve">dal </w:t>
      </w:r>
      <w:r w:rsidRPr="00273106">
        <w:rPr>
          <w:lang w:eastAsia="en-US"/>
        </w:rPr>
        <w:t xml:space="preserve">fenomenologický rozbor myšlení </w:t>
      </w:r>
      <w:r w:rsidR="001B4D28">
        <w:rPr>
          <w:lang w:eastAsia="en-US"/>
        </w:rPr>
        <w:t xml:space="preserve">v rámci </w:t>
      </w:r>
      <w:r w:rsidR="00A55B2B">
        <w:rPr>
          <w:lang w:eastAsia="en-US"/>
        </w:rPr>
        <w:t xml:space="preserve">jednoty </w:t>
      </w:r>
      <w:r w:rsidR="001B4D28">
        <w:rPr>
          <w:lang w:eastAsia="en-US"/>
        </w:rPr>
        <w:t>j</w:t>
      </w:r>
      <w:r w:rsidRPr="00273106">
        <w:rPr>
          <w:lang w:eastAsia="en-US"/>
        </w:rPr>
        <w:t>ednot</w:t>
      </w:r>
      <w:r w:rsidR="001B4D28">
        <w:rPr>
          <w:lang w:eastAsia="en-US"/>
        </w:rPr>
        <w:t xml:space="preserve">y </w:t>
      </w:r>
      <w:r w:rsidR="00A55B2B">
        <w:rPr>
          <w:lang w:eastAsia="en-US"/>
        </w:rPr>
        <w:t>osoby</w:t>
      </w:r>
      <w:r w:rsidR="009C078C">
        <w:rPr>
          <w:lang w:eastAsia="en-US"/>
        </w:rPr>
        <w:t>. Jeho b</w:t>
      </w:r>
      <w:r w:rsidR="00A55B2B">
        <w:rPr>
          <w:lang w:eastAsia="en-US"/>
        </w:rPr>
        <w:t>rilan</w:t>
      </w:r>
      <w:r>
        <w:rPr>
          <w:lang w:eastAsia="en-US"/>
        </w:rPr>
        <w:t xml:space="preserve">tní </w:t>
      </w:r>
      <w:r w:rsidRPr="00273106">
        <w:rPr>
          <w:lang w:eastAsia="en-US"/>
        </w:rPr>
        <w:t>výklad CMDA</w:t>
      </w:r>
      <w:r w:rsidR="009C078C">
        <w:rPr>
          <w:lang w:eastAsia="en-US"/>
        </w:rPr>
        <w:t xml:space="preserve"> z</w:t>
      </w:r>
      <w:r w:rsidR="001B4D28">
        <w:rPr>
          <w:lang w:eastAsia="en-US"/>
        </w:rPr>
        <w:t xml:space="preserve">astavil </w:t>
      </w:r>
      <w:r>
        <w:rPr>
          <w:lang w:eastAsia="en-US"/>
        </w:rPr>
        <w:t>zhruba na jedno deseti</w:t>
      </w:r>
      <w:r w:rsidR="00BE1C65">
        <w:rPr>
          <w:lang w:eastAsia="en-US"/>
        </w:rPr>
        <w:t>letí vítězný postup modernistů</w:t>
      </w:r>
      <w:r w:rsidRPr="00273106">
        <w:rPr>
          <w:lang w:eastAsia="en-US"/>
        </w:rPr>
        <w:t xml:space="preserve">. </w:t>
      </w:r>
      <w:r w:rsidR="00742709">
        <w:rPr>
          <w:lang w:eastAsia="en-US"/>
        </w:rPr>
        <w:lastRenderedPageBreak/>
        <w:t xml:space="preserve">Moderna ví, že vědění není pravda ale moc. Proto </w:t>
      </w:r>
      <w:r w:rsidR="00E52F81">
        <w:rPr>
          <w:lang w:eastAsia="en-US"/>
        </w:rPr>
        <w:t xml:space="preserve">modernisté </w:t>
      </w:r>
      <w:r w:rsidR="00742709">
        <w:rPr>
          <w:lang w:eastAsia="en-US"/>
        </w:rPr>
        <w:t>na prohr</w:t>
      </w:r>
      <w:r w:rsidR="00DC48DC">
        <w:rPr>
          <w:lang w:eastAsia="en-US"/>
        </w:rPr>
        <w:t xml:space="preserve">anou gigantomachii o substanci </w:t>
      </w:r>
      <w:r w:rsidR="00E52F81">
        <w:rPr>
          <w:lang w:eastAsia="en-US"/>
        </w:rPr>
        <w:t>nikdy nezapomínají</w:t>
      </w:r>
      <w:r w:rsidR="00DC48DC">
        <w:rPr>
          <w:lang w:eastAsia="en-US"/>
        </w:rPr>
        <w:t>, i když na ni</w:t>
      </w:r>
      <w:r w:rsidR="00E52F81">
        <w:rPr>
          <w:lang w:eastAsia="en-US"/>
        </w:rPr>
        <w:t xml:space="preserve"> uvalili</w:t>
      </w:r>
      <w:r w:rsidR="00742709">
        <w:rPr>
          <w:lang w:eastAsia="en-US"/>
        </w:rPr>
        <w:t xml:space="preserve"> akademické </w:t>
      </w:r>
      <w:r w:rsidR="00742709" w:rsidRPr="00742709">
        <w:rPr>
          <w:i/>
          <w:lang w:eastAsia="en-US"/>
        </w:rPr>
        <w:t>damnatio memoriae</w:t>
      </w:r>
      <w:r w:rsidR="00742709">
        <w:rPr>
          <w:lang w:eastAsia="en-US"/>
        </w:rPr>
        <w:t xml:space="preserve">. Pod vlivem Fúriií musí </w:t>
      </w:r>
      <w:r w:rsidR="00BA54D0">
        <w:rPr>
          <w:lang w:eastAsia="en-US"/>
        </w:rPr>
        <w:t>mo</w:t>
      </w:r>
      <w:r w:rsidR="00742709">
        <w:rPr>
          <w:lang w:eastAsia="en-US"/>
        </w:rPr>
        <w:t>dernisté své prohry patřičně zmanipulovat v mocenský prospěch (</w:t>
      </w:r>
      <w:r w:rsidR="00742709" w:rsidRPr="00742709">
        <w:rPr>
          <w:i/>
          <w:szCs w:val="24"/>
        </w:rPr>
        <w:t>Verkehrung ins Gegenteil</w:t>
      </w:r>
      <w:r w:rsidR="00742709">
        <w:rPr>
          <w:lang w:eastAsia="en-US"/>
        </w:rPr>
        <w:t xml:space="preserve">). </w:t>
      </w:r>
      <w:r w:rsidRPr="00273106">
        <w:rPr>
          <w:lang w:eastAsia="en-US"/>
        </w:rPr>
        <w:t xml:space="preserve">Hermeneutiku zajímají </w:t>
      </w:r>
      <w:r>
        <w:rPr>
          <w:lang w:eastAsia="en-US"/>
        </w:rPr>
        <w:t xml:space="preserve">ze Sigerova díla </w:t>
      </w:r>
      <w:r w:rsidRPr="00273106">
        <w:rPr>
          <w:lang w:eastAsia="en-US"/>
        </w:rPr>
        <w:t xml:space="preserve">především </w:t>
      </w:r>
      <w:r>
        <w:rPr>
          <w:lang w:eastAsia="en-US"/>
        </w:rPr>
        <w:t>témata, která jsou klíčová</w:t>
      </w:r>
      <w:r w:rsidRPr="00273106">
        <w:rPr>
          <w:lang w:eastAsia="en-US"/>
        </w:rPr>
        <w:t xml:space="preserve"> pro </w:t>
      </w:r>
      <w:r>
        <w:rPr>
          <w:lang w:eastAsia="en-US"/>
        </w:rPr>
        <w:t xml:space="preserve">vznik objektivity. </w:t>
      </w:r>
      <w:r w:rsidR="00C65243" w:rsidRPr="00C65243">
        <w:rPr>
          <w:lang w:eastAsia="en-US"/>
        </w:rPr>
        <w:t xml:space="preserve">Výklad musí sledovat linii naznačenou Dantem. </w:t>
      </w:r>
      <w:r w:rsidRPr="00273106">
        <w:rPr>
          <w:lang w:eastAsia="en-US"/>
        </w:rPr>
        <w:t xml:space="preserve">Jak brání </w:t>
      </w:r>
      <w:r>
        <w:rPr>
          <w:lang w:eastAsia="en-US"/>
        </w:rPr>
        <w:t xml:space="preserve">Sigerův </w:t>
      </w:r>
      <w:r w:rsidRPr="00273106">
        <w:rPr>
          <w:lang w:eastAsia="en-US"/>
        </w:rPr>
        <w:t xml:space="preserve">traktát </w:t>
      </w:r>
      <w:r>
        <w:rPr>
          <w:i/>
          <w:lang w:eastAsia="en-US"/>
        </w:rPr>
        <w:t>Quaestiones in tertium D</w:t>
      </w:r>
      <w:r w:rsidRPr="00273106">
        <w:rPr>
          <w:i/>
          <w:lang w:eastAsia="en-US"/>
        </w:rPr>
        <w:t>e anima</w:t>
      </w:r>
      <w:r>
        <w:rPr>
          <w:lang w:eastAsia="en-US"/>
        </w:rPr>
        <w:t xml:space="preserve"> (QIIIDA, asi 1265</w:t>
      </w:r>
      <w:r w:rsidRPr="00273106">
        <w:rPr>
          <w:lang w:eastAsia="en-US"/>
        </w:rPr>
        <w:t>) linii prvního averroismu a proti komu? Proč Siger explicitně kritizuje Alberta Velikého a Tomáše Akvinského v</w:t>
      </w:r>
      <w:r>
        <w:rPr>
          <w:lang w:eastAsia="en-US"/>
        </w:rPr>
        <w:t xml:space="preserve">e svém druhém </w:t>
      </w:r>
      <w:r w:rsidRPr="00273106">
        <w:rPr>
          <w:lang w:eastAsia="en-US"/>
        </w:rPr>
        <w:t xml:space="preserve">díle </w:t>
      </w:r>
      <w:r w:rsidRPr="00273106">
        <w:rPr>
          <w:i/>
          <w:lang w:eastAsia="en-US"/>
        </w:rPr>
        <w:t>De anima intellectiva</w:t>
      </w:r>
      <w:r w:rsidRPr="00273106">
        <w:rPr>
          <w:lang w:eastAsia="en-US"/>
        </w:rPr>
        <w:t xml:space="preserve">? Proč </w:t>
      </w:r>
      <w:r>
        <w:rPr>
          <w:lang w:eastAsia="en-US"/>
        </w:rPr>
        <w:t xml:space="preserve">obě </w:t>
      </w:r>
      <w:r w:rsidRPr="00273106">
        <w:rPr>
          <w:lang w:eastAsia="en-US"/>
        </w:rPr>
        <w:t>tyto osobnosti vynikající ve filosofii (</w:t>
      </w:r>
      <w:r w:rsidRPr="00273106">
        <w:rPr>
          <w:i/>
          <w:lang w:eastAsia="en-US"/>
        </w:rPr>
        <w:t>precipui viri in philosophia</w:t>
      </w:r>
      <w:r w:rsidRPr="00273106">
        <w:rPr>
          <w:lang w:eastAsia="en-US"/>
        </w:rPr>
        <w:t xml:space="preserve">) nemají plné řešení jednoty osoby? Bojovat na dvou frontách současně se nevyplácí, a určitě ne v pohnuté době 1270‒77. </w:t>
      </w:r>
      <w:r w:rsidR="002E3529">
        <w:rPr>
          <w:lang w:eastAsia="en-US"/>
        </w:rPr>
        <w:t xml:space="preserve">Siger tvrdí, </w:t>
      </w:r>
      <w:r>
        <w:rPr>
          <w:lang w:eastAsia="en-US"/>
        </w:rPr>
        <w:t xml:space="preserve">že </w:t>
      </w:r>
      <w:r w:rsidRPr="00273106">
        <w:rPr>
          <w:lang w:eastAsia="en-US"/>
        </w:rPr>
        <w:t>Albert</w:t>
      </w:r>
      <w:r>
        <w:rPr>
          <w:lang w:eastAsia="en-US"/>
        </w:rPr>
        <w:t xml:space="preserve"> </w:t>
      </w:r>
      <w:r w:rsidRPr="00273106">
        <w:rPr>
          <w:lang w:eastAsia="en-US"/>
        </w:rPr>
        <w:t>a Tomáš</w:t>
      </w:r>
      <w:r>
        <w:rPr>
          <w:lang w:eastAsia="en-US"/>
        </w:rPr>
        <w:t xml:space="preserve"> </w:t>
      </w:r>
      <w:r w:rsidRPr="00273106">
        <w:rPr>
          <w:lang w:eastAsia="en-US"/>
        </w:rPr>
        <w:t xml:space="preserve">selhali v rozhodující otázce jednoty osoby a nebyli schopni pravdivě syntetizovat všechny antinomie ohledně </w:t>
      </w:r>
      <w:r>
        <w:rPr>
          <w:lang w:eastAsia="en-US"/>
        </w:rPr>
        <w:t xml:space="preserve">postavení lidského </w:t>
      </w:r>
      <w:r w:rsidRPr="00273106">
        <w:rPr>
          <w:lang w:eastAsia="en-US"/>
        </w:rPr>
        <w:t>intelektu</w:t>
      </w:r>
      <w:r>
        <w:rPr>
          <w:lang w:eastAsia="en-US"/>
        </w:rPr>
        <w:t xml:space="preserve"> a duše</w:t>
      </w:r>
      <w:r w:rsidRPr="00273106">
        <w:rPr>
          <w:lang w:eastAsia="en-US"/>
        </w:rPr>
        <w:t xml:space="preserve">. Originální přínos Sigera odmítajícího </w:t>
      </w:r>
      <w:r>
        <w:rPr>
          <w:lang w:eastAsia="en-US"/>
        </w:rPr>
        <w:t>chyby</w:t>
      </w:r>
      <w:r w:rsidRPr="00273106">
        <w:rPr>
          <w:lang w:eastAsia="en-US"/>
        </w:rPr>
        <w:t xml:space="preserve"> prvního a druhého averroismu nutně skončil v epochální </w:t>
      </w:r>
      <w:r w:rsidRPr="00273106">
        <w:rPr>
          <w:rStyle w:val="Zkladntext158dkovn0pt"/>
          <w:i/>
          <w:color w:val="auto"/>
          <w:spacing w:val="0"/>
          <w:sz w:val="24"/>
          <w:lang w:val="cs-CZ"/>
        </w:rPr>
        <w:t>Seinsvergessenheit</w:t>
      </w:r>
      <w:r>
        <w:rPr>
          <w:rStyle w:val="Zkladntext158dkovn0pt"/>
          <w:i/>
          <w:color w:val="auto"/>
          <w:spacing w:val="0"/>
          <w:sz w:val="24"/>
          <w:lang w:val="cs-CZ"/>
        </w:rPr>
        <w:fldChar w:fldCharType="begin"/>
      </w:r>
      <w:r>
        <w:instrText xml:space="preserve"> XE "</w:instrText>
      </w:r>
      <w:r w:rsidRPr="003B3CCF">
        <w:rPr>
          <w:i/>
        </w:rPr>
        <w:instrText>Seinsvergessenheit</w:instrText>
      </w:r>
      <w:r>
        <w:instrText xml:space="preserve">" </w:instrText>
      </w:r>
      <w:r>
        <w:rPr>
          <w:rStyle w:val="Zkladntext158dkovn0pt"/>
          <w:i/>
          <w:color w:val="auto"/>
          <w:spacing w:val="0"/>
          <w:sz w:val="24"/>
          <w:lang w:val="cs-CZ"/>
        </w:rPr>
        <w:fldChar w:fldCharType="end"/>
      </w:r>
      <w:r w:rsidR="00431B4D">
        <w:rPr>
          <w:lang w:eastAsia="en-US"/>
        </w:rPr>
        <w:t xml:space="preserve"> moderny. </w:t>
      </w:r>
      <w:r w:rsidR="00431B4D" w:rsidRPr="00431B4D">
        <w:rPr>
          <w:lang w:eastAsia="en-US"/>
        </w:rPr>
        <w:t xml:space="preserve">Objektivní metafyzika nesleduje </w:t>
      </w:r>
      <w:r w:rsidR="00431B4D">
        <w:rPr>
          <w:lang w:eastAsia="en-US"/>
        </w:rPr>
        <w:t xml:space="preserve">múzickou </w:t>
      </w:r>
      <w:r w:rsidR="00431B4D" w:rsidRPr="00431B4D">
        <w:rPr>
          <w:lang w:eastAsia="en-US"/>
        </w:rPr>
        <w:t xml:space="preserve">pravdu jako </w:t>
      </w:r>
      <w:r w:rsidR="00431B4D">
        <w:rPr>
          <w:lang w:eastAsia="en-US"/>
        </w:rPr>
        <w:t>po-od</w:t>
      </w:r>
      <w:r w:rsidR="00431B4D" w:rsidRPr="00431B4D">
        <w:rPr>
          <w:lang w:eastAsia="en-US"/>
        </w:rPr>
        <w:t>krytost (</w:t>
      </w:r>
      <w:r w:rsidR="00431B4D" w:rsidRPr="00431B4D">
        <w:rPr>
          <w:i/>
          <w:lang w:eastAsia="en-US"/>
        </w:rPr>
        <w:t>a/létheia</w:t>
      </w:r>
      <w:r w:rsidR="00431B4D">
        <w:rPr>
          <w:lang w:eastAsia="en-US"/>
        </w:rPr>
        <w:t xml:space="preserve">). </w:t>
      </w:r>
      <w:r w:rsidR="00431B4D" w:rsidRPr="00431B4D">
        <w:rPr>
          <w:lang w:eastAsia="en-US"/>
        </w:rPr>
        <w:t xml:space="preserve">Dante rozhodně nebyl objektivistou, když </w:t>
      </w:r>
      <w:r w:rsidR="00431B4D">
        <w:rPr>
          <w:lang w:eastAsia="en-US"/>
        </w:rPr>
        <w:t xml:space="preserve">pozoroval božskou komedii modernistů. </w:t>
      </w:r>
      <w:r>
        <w:rPr>
          <w:lang w:eastAsia="en-US"/>
        </w:rPr>
        <w:t xml:space="preserve">Sofistické simulákrum Sigera je dáno skrze západní objektivitu ovlivněnou negativním hodnocením Sigerova </w:t>
      </w:r>
      <w:r w:rsidR="085B482C">
        <w:rPr>
          <w:lang w:eastAsia="en-US"/>
        </w:rPr>
        <w:t>„</w:t>
      </w:r>
      <w:r>
        <w:rPr>
          <w:lang w:eastAsia="en-US"/>
        </w:rPr>
        <w:t>averroismu</w:t>
      </w:r>
      <w:r w:rsidR="085B482C">
        <w:rPr>
          <w:lang w:eastAsia="en-US"/>
        </w:rPr>
        <w:t>“</w:t>
      </w:r>
      <w:r>
        <w:rPr>
          <w:lang w:eastAsia="en-US"/>
        </w:rPr>
        <w:t xml:space="preserve"> a dnes už jen </w:t>
      </w:r>
      <w:r w:rsidR="085B482C">
        <w:rPr>
          <w:lang w:eastAsia="en-US"/>
        </w:rPr>
        <w:t>„</w:t>
      </w:r>
      <w:r>
        <w:rPr>
          <w:lang w:eastAsia="en-US"/>
        </w:rPr>
        <w:t>semiaverroismu</w:t>
      </w:r>
      <w:r w:rsidR="085B482C">
        <w:rPr>
          <w:lang w:eastAsia="en-US"/>
        </w:rPr>
        <w:t>“</w:t>
      </w:r>
      <w:r w:rsidRPr="00273106">
        <w:rPr>
          <w:lang w:eastAsia="en-US"/>
        </w:rPr>
        <w:t>.</w:t>
      </w:r>
      <w:r>
        <w:rPr>
          <w:lang w:eastAsia="en-US"/>
        </w:rPr>
        <w:t xml:space="preserve"> </w:t>
      </w:r>
      <w:r w:rsidRPr="00273106">
        <w:rPr>
          <w:lang w:eastAsia="en-US"/>
        </w:rPr>
        <w:t xml:space="preserve">Sigerovo pojetí jednoty osoby </w:t>
      </w:r>
      <w:r>
        <w:rPr>
          <w:lang w:eastAsia="en-US"/>
        </w:rPr>
        <w:t xml:space="preserve">ale </w:t>
      </w:r>
      <w:r w:rsidRPr="00273106">
        <w:rPr>
          <w:lang w:eastAsia="en-US"/>
        </w:rPr>
        <w:t xml:space="preserve">determinuje </w:t>
      </w:r>
      <w:r>
        <w:rPr>
          <w:lang w:eastAsia="en-US"/>
        </w:rPr>
        <w:t>skrytým způso</w:t>
      </w:r>
      <w:r w:rsidR="00191DEB">
        <w:rPr>
          <w:lang w:eastAsia="en-US"/>
        </w:rPr>
        <w:t xml:space="preserve">bem skrze Danteho dílo současný </w:t>
      </w:r>
      <w:r>
        <w:rPr>
          <w:lang w:eastAsia="en-US"/>
        </w:rPr>
        <w:t xml:space="preserve">epochální </w:t>
      </w:r>
      <w:r w:rsidR="00191DEB">
        <w:rPr>
          <w:lang w:eastAsia="en-US"/>
        </w:rPr>
        <w:t>blázinec (</w:t>
      </w:r>
      <w:r w:rsidR="00191DEB" w:rsidRPr="00191DEB">
        <w:rPr>
          <w:i/>
          <w:lang w:eastAsia="en-US"/>
        </w:rPr>
        <w:t>Irre</w:t>
      </w:r>
      <w:r w:rsidR="00191DEB">
        <w:rPr>
          <w:lang w:eastAsia="en-US"/>
        </w:rPr>
        <w:t xml:space="preserve">) </w:t>
      </w:r>
      <w:r>
        <w:rPr>
          <w:lang w:eastAsia="en-US"/>
        </w:rPr>
        <w:t xml:space="preserve">západního myšlení tím, že založilo pravdivou </w:t>
      </w:r>
      <w:r w:rsidR="005367A6">
        <w:rPr>
          <w:lang w:eastAsia="en-US"/>
        </w:rPr>
        <w:t xml:space="preserve">a zapomenutou </w:t>
      </w:r>
      <w:r>
        <w:rPr>
          <w:lang w:eastAsia="en-US"/>
        </w:rPr>
        <w:t>podobu evropského humanismu</w:t>
      </w:r>
      <w:r w:rsidR="005367A6">
        <w:rPr>
          <w:lang w:eastAsia="en-US"/>
        </w:rPr>
        <w:t xml:space="preserve"> (kap. 6.2)</w:t>
      </w:r>
      <w:r>
        <w:rPr>
          <w:lang w:eastAsia="en-US"/>
        </w:rPr>
        <w:t>.</w:t>
      </w:r>
      <w:r w:rsidR="007E775C">
        <w:rPr>
          <w:lang w:eastAsia="en-US"/>
        </w:rPr>
        <w:t xml:space="preserve"> </w:t>
      </w:r>
      <w:r w:rsidR="007E775C">
        <w:rPr>
          <w:szCs w:val="19"/>
        </w:rPr>
        <w:t xml:space="preserve">Původní Abelardova škola přetvořená na katedrální </w:t>
      </w:r>
      <w:r w:rsidR="007E775C" w:rsidRPr="089A7BBE">
        <w:rPr>
          <w:i/>
          <w:szCs w:val="19"/>
        </w:rPr>
        <w:t>École de Paris</w:t>
      </w:r>
      <w:r w:rsidR="007E775C">
        <w:rPr>
          <w:szCs w:val="19"/>
        </w:rPr>
        <w:t xml:space="preserve"> tuto jednotu osoby poprvé vytvořila v Blundově škole okolo roku 1200. Jejich m</w:t>
      </w:r>
      <w:r w:rsidR="007E775C" w:rsidRPr="00CD009D">
        <w:rPr>
          <w:szCs w:val="19"/>
        </w:rPr>
        <w:t xml:space="preserve">oderní nástupci odmítli zachovat tuto existenciální definici osoby </w:t>
      </w:r>
      <w:r w:rsidR="007E775C">
        <w:rPr>
          <w:szCs w:val="19"/>
        </w:rPr>
        <w:t>originálním způsobem v režimu „</w:t>
      </w:r>
      <w:r w:rsidR="007E775C" w:rsidRPr="00CD009D">
        <w:rPr>
          <w:i/>
          <w:szCs w:val="19"/>
        </w:rPr>
        <w:t>augere</w:t>
      </w:r>
      <w:r w:rsidR="007E775C">
        <w:rPr>
          <w:szCs w:val="19"/>
        </w:rPr>
        <w:t>“. Vzhledem k úpadku „</w:t>
      </w:r>
      <w:r w:rsidR="007E775C" w:rsidRPr="00CD009D">
        <w:rPr>
          <w:i/>
          <w:szCs w:val="19"/>
        </w:rPr>
        <w:t>auctoritas</w:t>
      </w:r>
      <w:r w:rsidR="007E775C">
        <w:rPr>
          <w:szCs w:val="19"/>
        </w:rPr>
        <w:t>“</w:t>
      </w:r>
      <w:r w:rsidR="007E775C" w:rsidRPr="00CD009D">
        <w:rPr>
          <w:szCs w:val="19"/>
        </w:rPr>
        <w:t xml:space="preserve"> této univerzity v oblasti autentické</w:t>
      </w:r>
      <w:r w:rsidR="007E775C">
        <w:rPr>
          <w:szCs w:val="19"/>
        </w:rPr>
        <w:t xml:space="preserve"> filosofie již neexistoval akt „</w:t>
      </w:r>
      <w:r w:rsidR="007E775C" w:rsidRPr="00CD009D">
        <w:rPr>
          <w:i/>
          <w:szCs w:val="19"/>
        </w:rPr>
        <w:t>tradere</w:t>
      </w:r>
      <w:r w:rsidR="007E775C">
        <w:rPr>
          <w:szCs w:val="19"/>
        </w:rPr>
        <w:t>“</w:t>
      </w:r>
      <w:r w:rsidR="007E775C" w:rsidRPr="00CD009D">
        <w:rPr>
          <w:szCs w:val="19"/>
        </w:rPr>
        <w:t xml:space="preserve"> týkající se jednoty osoby. Byl to konec </w:t>
      </w:r>
      <w:r w:rsidR="007E775C">
        <w:rPr>
          <w:szCs w:val="19"/>
        </w:rPr>
        <w:t xml:space="preserve">pravdivé </w:t>
      </w:r>
      <w:r w:rsidR="007E775C" w:rsidRPr="00CD009D">
        <w:rPr>
          <w:szCs w:val="19"/>
        </w:rPr>
        <w:t>křesťanské verze autentického aristotelismu, protože kritická filo</w:t>
      </w:r>
      <w:r w:rsidR="007E775C">
        <w:rPr>
          <w:szCs w:val="19"/>
        </w:rPr>
        <w:t>s</w:t>
      </w:r>
      <w:r w:rsidR="007E775C" w:rsidRPr="00CD009D">
        <w:rPr>
          <w:szCs w:val="19"/>
        </w:rPr>
        <w:t>ofie založená na deduktivním důkazu byla přísně oddělena od teologie.</w:t>
      </w:r>
      <w:r w:rsidR="007E775C">
        <w:rPr>
          <w:szCs w:val="19"/>
        </w:rPr>
        <w:t xml:space="preserve"> Zmizením osoby a nakonec i boha </w:t>
      </w:r>
      <w:r w:rsidR="007E775C" w:rsidRPr="08CB05B4">
        <w:rPr>
          <w:i/>
          <w:szCs w:val="19"/>
        </w:rPr>
        <w:t>Modernorum</w:t>
      </w:r>
      <w:r w:rsidR="007E775C">
        <w:rPr>
          <w:szCs w:val="19"/>
        </w:rPr>
        <w:t xml:space="preserve"> zmizel z filosofického myšlení Západu fenomén humanistického spojení boha a člověka (</w:t>
      </w:r>
      <w:r w:rsidR="007E775C" w:rsidRPr="08533280">
        <w:rPr>
          <w:i/>
          <w:szCs w:val="19"/>
        </w:rPr>
        <w:t>religio</w:t>
      </w:r>
      <w:r w:rsidR="007E775C">
        <w:rPr>
          <w:szCs w:val="19"/>
        </w:rPr>
        <w:t>) založeného falsafou (OBJ I, kap. 2.4.3). Zničením kritického myšlení moderny zničila základní triádu vztahů „</w:t>
      </w:r>
      <w:proofErr w:type="gramStart"/>
      <w:r w:rsidR="007E775C" w:rsidRPr="00135910">
        <w:rPr>
          <w:i/>
          <w:szCs w:val="19"/>
        </w:rPr>
        <w:t>au</w:t>
      </w:r>
      <w:r w:rsidR="007E775C">
        <w:rPr>
          <w:i/>
          <w:szCs w:val="19"/>
        </w:rPr>
        <w:t>c</w:t>
      </w:r>
      <w:r w:rsidR="007E775C" w:rsidRPr="00135910">
        <w:rPr>
          <w:i/>
          <w:szCs w:val="19"/>
        </w:rPr>
        <w:t>toritas</w:t>
      </w:r>
      <w:proofErr w:type="gramEnd"/>
      <w:r w:rsidR="007E775C" w:rsidRPr="00135910">
        <w:rPr>
          <w:rFonts w:cs="Calibri"/>
          <w:i/>
          <w:szCs w:val="19"/>
        </w:rPr>
        <w:t>—</w:t>
      </w:r>
      <w:proofErr w:type="gramStart"/>
      <w:r w:rsidR="007E775C" w:rsidRPr="00135910">
        <w:rPr>
          <w:i/>
          <w:szCs w:val="19"/>
        </w:rPr>
        <w:t>religio</w:t>
      </w:r>
      <w:proofErr w:type="gramEnd"/>
      <w:r w:rsidR="007E775C" w:rsidRPr="00135910">
        <w:rPr>
          <w:rFonts w:cs="Calibri"/>
          <w:i/>
          <w:szCs w:val="19"/>
        </w:rPr>
        <w:t>—</w:t>
      </w:r>
      <w:r w:rsidR="007E775C" w:rsidRPr="00135910">
        <w:rPr>
          <w:i/>
          <w:szCs w:val="19"/>
        </w:rPr>
        <w:t>traditio</w:t>
      </w:r>
      <w:r w:rsidR="007E775C">
        <w:rPr>
          <w:szCs w:val="19"/>
        </w:rPr>
        <w:t>“ (</w:t>
      </w:r>
      <w:r w:rsidR="007E775C">
        <w:t>Arendt 1961, 91‒142</w:t>
      </w:r>
      <w:r w:rsidR="007E775C">
        <w:rPr>
          <w:szCs w:val="19"/>
        </w:rPr>
        <w:t xml:space="preserve">), které zakládají historickou identitu Západu. Proto Arendtová správně říká skrze citaci básníka René </w:t>
      </w:r>
      <w:r w:rsidR="007E775C">
        <w:rPr>
          <w:szCs w:val="19"/>
        </w:rPr>
        <w:lastRenderedPageBreak/>
        <w:t>Chara</w:t>
      </w:r>
      <w:r w:rsidR="007E775C">
        <w:rPr>
          <w:szCs w:val="19"/>
        </w:rPr>
        <w:fldChar w:fldCharType="begin"/>
      </w:r>
      <w:r w:rsidR="007E775C">
        <w:instrText xml:space="preserve"> XE "</w:instrText>
      </w:r>
      <w:r w:rsidR="007E775C" w:rsidRPr="08472F15">
        <w:rPr>
          <w:szCs w:val="19"/>
        </w:rPr>
        <w:instrText>Char, R.</w:instrText>
      </w:r>
      <w:r w:rsidR="007E775C">
        <w:instrText xml:space="preserve">" </w:instrText>
      </w:r>
      <w:r w:rsidR="007E775C">
        <w:rPr>
          <w:szCs w:val="19"/>
        </w:rPr>
        <w:fldChar w:fldCharType="end"/>
      </w:r>
      <w:r w:rsidR="007E775C">
        <w:rPr>
          <w:szCs w:val="19"/>
        </w:rPr>
        <w:t>, že modernu nepředcházela žádná závěť.</w:t>
      </w:r>
      <w:r w:rsidR="007E775C">
        <w:rPr>
          <w:rStyle w:val="Znakapoznpodarou"/>
          <w:szCs w:val="19"/>
        </w:rPr>
        <w:footnoteReference w:id="193"/>
      </w:r>
      <w:r w:rsidR="007E775C">
        <w:rPr>
          <w:szCs w:val="19"/>
        </w:rPr>
        <w:t xml:space="preserve"> Můzy promluvily skrze Danteho, aby v poetickém modu </w:t>
      </w:r>
      <w:r w:rsidR="007E775C" w:rsidRPr="08637CFC">
        <w:rPr>
          <w:i/>
          <w:szCs w:val="19"/>
        </w:rPr>
        <w:t>alétheia</w:t>
      </w:r>
      <w:r w:rsidR="007E775C">
        <w:rPr>
          <w:szCs w:val="19"/>
        </w:rPr>
        <w:t xml:space="preserve"> demaskovaly nihilismus objektivní moderny a postmoderny. </w:t>
      </w:r>
      <w:r w:rsidR="007E775C" w:rsidRPr="00EE27AA">
        <w:t xml:space="preserve">Siger </w:t>
      </w:r>
      <w:r w:rsidR="007E775C">
        <w:t>prohrál g</w:t>
      </w:r>
      <w:r w:rsidR="007E775C" w:rsidRPr="00EE27AA">
        <w:t xml:space="preserve">igantomachii </w:t>
      </w:r>
      <w:r w:rsidR="007E775C">
        <w:t>ohledně osoby jako zcela jednotné</w:t>
      </w:r>
      <w:r w:rsidR="007E775C" w:rsidRPr="00EE27AA">
        <w:t xml:space="preserve"> hyp</w:t>
      </w:r>
      <w:r w:rsidR="007E775C">
        <w:t>archické substance</w:t>
      </w:r>
      <w:r w:rsidR="007E775C" w:rsidRPr="00EE27AA">
        <w:t xml:space="preserve">. Byl posledním autentickým </w:t>
      </w:r>
      <w:r w:rsidR="007E775C">
        <w:t>a</w:t>
      </w:r>
      <w:r w:rsidR="007E775C" w:rsidRPr="00EE27AA">
        <w:t>ristoteli</w:t>
      </w:r>
      <w:r w:rsidR="007E775C">
        <w:t xml:space="preserve">kem </w:t>
      </w:r>
      <w:r w:rsidR="007E775C" w:rsidRPr="00EE27AA">
        <w:t xml:space="preserve">(a rektorem) Pařížské univerzity a uzavřel řadu </w:t>
      </w:r>
      <w:r w:rsidR="007E775C">
        <w:t xml:space="preserve">těchto významných osobností, jako byl Johannes Blund, </w:t>
      </w:r>
      <w:r w:rsidR="007E775C" w:rsidRPr="00EE27AA">
        <w:t xml:space="preserve">William </w:t>
      </w:r>
      <w:r w:rsidR="007E775C">
        <w:t>z</w:t>
      </w:r>
      <w:r w:rsidR="007E775C" w:rsidRPr="00EE27AA">
        <w:t xml:space="preserve"> Auvergne, Guillelmus de Sancto Amore</w:t>
      </w:r>
      <w:r w:rsidR="007E775C">
        <w:rPr>
          <w:szCs w:val="19"/>
        </w:rPr>
        <w:fldChar w:fldCharType="begin"/>
      </w:r>
      <w:r w:rsidR="007E775C">
        <w:instrText xml:space="preserve"> XE "</w:instrText>
      </w:r>
      <w:r w:rsidR="007E775C" w:rsidRPr="003B256A">
        <w:instrText xml:space="preserve"> </w:instrText>
      </w:r>
      <w:r w:rsidR="007E775C">
        <w:instrText>Guillelmus</w:instrText>
      </w:r>
      <w:r w:rsidR="007E775C" w:rsidRPr="00E51395">
        <w:instrText xml:space="preserve"> de Sancto Amore</w:instrText>
      </w:r>
      <w:r w:rsidR="007E775C">
        <w:instrText xml:space="preserve">" </w:instrText>
      </w:r>
      <w:r w:rsidR="007E775C">
        <w:rPr>
          <w:szCs w:val="19"/>
        </w:rPr>
        <w:fldChar w:fldCharType="end"/>
      </w:r>
      <w:r w:rsidR="007E775C" w:rsidRPr="00EE27AA">
        <w:t>.</w:t>
      </w:r>
      <w:r w:rsidR="007E775C">
        <w:t xml:space="preserve"> </w:t>
      </w:r>
      <w:r w:rsidR="007E775C">
        <w:rPr>
          <w:szCs w:val="19"/>
        </w:rPr>
        <w:t xml:space="preserve">Protože akademická Paříž nepoznala hodinu své pravdy, pak následoval rozpad osoby a rozpad Pařížské univerzity. Zánik této univerzity </w:t>
      </w:r>
      <w:r w:rsidR="007E775C">
        <w:t xml:space="preserve">v epoše osvícenství představuje historický důsledek prohry kritické filosofie v roce 1277. </w:t>
      </w:r>
    </w:p>
    <w:p w:rsidR="08163013" w:rsidRPr="00273106" w:rsidRDefault="08163013" w:rsidP="00431B4D">
      <w:pPr>
        <w:ind w:firstLine="397"/>
        <w:rPr>
          <w:lang w:eastAsia="en-US"/>
        </w:rPr>
      </w:pPr>
    </w:p>
    <w:p w:rsidR="08163013" w:rsidRPr="00273106" w:rsidRDefault="00431B4D" w:rsidP="08163013">
      <w:pPr>
        <w:pStyle w:val="Nadpis3"/>
      </w:pPr>
      <w:bookmarkStart w:id="31" w:name="_Toc36144144"/>
      <w:r>
        <w:br w:type="page"/>
      </w:r>
      <w:bookmarkStart w:id="32" w:name="_Toc180231656"/>
      <w:r w:rsidR="08163013">
        <w:lastRenderedPageBreak/>
        <w:t>4</w:t>
      </w:r>
      <w:r w:rsidR="08163013" w:rsidRPr="00273106">
        <w:t>.4.1 Spor o dvojí pravdu</w:t>
      </w:r>
      <w:bookmarkEnd w:id="31"/>
      <w:bookmarkEnd w:id="32"/>
    </w:p>
    <w:p w:rsidR="00621E23" w:rsidRDefault="08163013" w:rsidP="08163013">
      <w:r w:rsidRPr="00273106">
        <w:rPr>
          <w:iCs/>
        </w:rPr>
        <w:t xml:space="preserve">Hermeneutika vychází z </w:t>
      </w:r>
      <w:r>
        <w:rPr>
          <w:iCs/>
        </w:rPr>
        <w:t xml:space="preserve">výše uvedené </w:t>
      </w:r>
      <w:r w:rsidRPr="00273106">
        <w:rPr>
          <w:iCs/>
        </w:rPr>
        <w:t>Gauthierovy teze</w:t>
      </w:r>
      <w:r>
        <w:rPr>
          <w:iCs/>
        </w:rPr>
        <w:fldChar w:fldCharType="begin"/>
      </w:r>
      <w:r>
        <w:instrText xml:space="preserve"> XE "</w:instrText>
      </w:r>
      <w:r w:rsidRPr="00B030E6">
        <w:rPr>
          <w:lang w:eastAsia="en-US"/>
        </w:rPr>
        <w:instrText>Gauthier, A. R.</w:instrText>
      </w:r>
      <w:r>
        <w:instrText xml:space="preserve">" </w:instrText>
      </w:r>
      <w:r>
        <w:rPr>
          <w:iCs/>
        </w:rPr>
        <w:fldChar w:fldCharType="end"/>
      </w:r>
      <w:r w:rsidRPr="00273106">
        <w:rPr>
          <w:iCs/>
        </w:rPr>
        <w:t xml:space="preserve">, že spis </w:t>
      </w:r>
      <w:r w:rsidRPr="00273106">
        <w:rPr>
          <w:i/>
          <w:iCs/>
        </w:rPr>
        <w:t xml:space="preserve">Quaestiones in tertium </w:t>
      </w:r>
      <w:r>
        <w:rPr>
          <w:i/>
          <w:iCs/>
          <w:szCs w:val="24"/>
        </w:rPr>
        <w:t>D</w:t>
      </w:r>
      <w:r w:rsidRPr="00273106">
        <w:rPr>
          <w:i/>
          <w:iCs/>
          <w:szCs w:val="24"/>
        </w:rPr>
        <w:t xml:space="preserve">e </w:t>
      </w:r>
      <w:r w:rsidRPr="00273106">
        <w:rPr>
          <w:i/>
          <w:iCs/>
        </w:rPr>
        <w:t xml:space="preserve">anima </w:t>
      </w:r>
      <w:r>
        <w:rPr>
          <w:iCs/>
        </w:rPr>
        <w:t xml:space="preserve">(dále jen QIIIDA) </w:t>
      </w:r>
      <w:r w:rsidRPr="00273106">
        <w:rPr>
          <w:iCs/>
        </w:rPr>
        <w:t>byl psaný kolem 1265‒66</w:t>
      </w:r>
      <w:r>
        <w:rPr>
          <w:iCs/>
        </w:rPr>
        <w:t xml:space="preserve"> a velmi </w:t>
      </w:r>
      <w:r w:rsidRPr="00273106">
        <w:rPr>
          <w:iCs/>
        </w:rPr>
        <w:t>brzo po zahájení výuky</w:t>
      </w:r>
      <w:r>
        <w:rPr>
          <w:iCs/>
        </w:rPr>
        <w:t xml:space="preserve"> Sigera na Pařížské univerzitě </w:t>
      </w:r>
      <w:r w:rsidRPr="00273106">
        <w:rPr>
          <w:iCs/>
        </w:rPr>
        <w:t>(Gauthier 1983, 201)</w:t>
      </w:r>
      <w:r>
        <w:rPr>
          <w:iCs/>
        </w:rPr>
        <w:t xml:space="preserve">. V této době </w:t>
      </w:r>
      <w:r w:rsidRPr="00273106">
        <w:rPr>
          <w:iCs/>
        </w:rPr>
        <w:t xml:space="preserve">byl Akvinský ještě v Itálii. Siger reaguje v tomto spise </w:t>
      </w:r>
      <w:r>
        <w:rPr>
          <w:iCs/>
        </w:rPr>
        <w:t xml:space="preserve">mimo jiné i </w:t>
      </w:r>
      <w:r w:rsidRPr="00273106">
        <w:rPr>
          <w:iCs/>
        </w:rPr>
        <w:t>na Akvinského pojetí intelektu před jeho druhým příchodem do Paříže</w:t>
      </w:r>
      <w:r w:rsidR="08A80A85">
        <w:rPr>
          <w:iCs/>
        </w:rPr>
        <w:t xml:space="preserve"> </w:t>
      </w:r>
      <w:r w:rsidR="08AE428D">
        <w:rPr>
          <w:iCs/>
        </w:rPr>
        <w:t xml:space="preserve">ve druhé polovině </w:t>
      </w:r>
      <w:r w:rsidR="08A80A85">
        <w:rPr>
          <w:iCs/>
        </w:rPr>
        <w:t>roku 1269</w:t>
      </w:r>
      <w:r w:rsidRPr="00273106">
        <w:rPr>
          <w:iCs/>
        </w:rPr>
        <w:t xml:space="preserve">. </w:t>
      </w:r>
      <w:r w:rsidRPr="00273106">
        <w:t xml:space="preserve">Sigerův výklad jednoty </w:t>
      </w:r>
      <w:r w:rsidR="00C746BA">
        <w:t xml:space="preserve">personální </w:t>
      </w:r>
      <w:r w:rsidRPr="00273106">
        <w:t xml:space="preserve">existence a intelektu vychází jak </w:t>
      </w:r>
      <w:r>
        <w:t>Averroes</w:t>
      </w:r>
      <w:r w:rsidRPr="00273106">
        <w:t>ova, tak i z Avicennova výkladu Aristotela</w:t>
      </w:r>
      <w:r>
        <w:rPr>
          <w:iCs/>
        </w:rPr>
        <w:t xml:space="preserve">. Logika argumentace </w:t>
      </w:r>
      <w:r w:rsidRPr="00273106">
        <w:t xml:space="preserve">Sigerova nejdůležitějšího traktátu </w:t>
      </w:r>
      <w:r>
        <w:rPr>
          <w:iCs/>
        </w:rPr>
        <w:t xml:space="preserve">není náhodná. Rozdělení QIIIDA do </w:t>
      </w:r>
      <w:proofErr w:type="gramStart"/>
      <w:r>
        <w:rPr>
          <w:iCs/>
        </w:rPr>
        <w:t>čtyřech</w:t>
      </w:r>
      <w:proofErr w:type="gramEnd"/>
      <w:r>
        <w:rPr>
          <w:iCs/>
        </w:rPr>
        <w:t xml:space="preserve"> okruhů tázání </w:t>
      </w:r>
      <w:r w:rsidRPr="00273106">
        <w:rPr>
          <w:iCs/>
        </w:rPr>
        <w:t>je velmi důležité</w:t>
      </w:r>
      <w:r>
        <w:rPr>
          <w:iCs/>
        </w:rPr>
        <w:t xml:space="preserve"> a sleduje základní argumentační linii CMDA danou v modu Sicilské školy</w:t>
      </w:r>
      <w:r>
        <w:rPr>
          <w:iCs/>
        </w:rPr>
        <w:fldChar w:fldCharType="begin"/>
      </w:r>
      <w:r>
        <w:instrText xml:space="preserve"> XE "</w:instrText>
      </w:r>
      <w:r w:rsidRPr="08463826">
        <w:rPr>
          <w:iCs/>
        </w:rPr>
        <w:instrText>Sicilská škola</w:instrText>
      </w:r>
      <w:r>
        <w:instrText xml:space="preserve">" </w:instrText>
      </w:r>
      <w:r>
        <w:rPr>
          <w:iCs/>
        </w:rPr>
        <w:fldChar w:fldCharType="end"/>
      </w:r>
      <w:r w:rsidRPr="00273106">
        <w:rPr>
          <w:iCs/>
        </w:rPr>
        <w:t>. Rozdíl mezi intelektem a ostatními schopnostmi duše (1) vede k</w:t>
      </w:r>
      <w:r w:rsidR="00FB02B3">
        <w:rPr>
          <w:iCs/>
        </w:rPr>
        <w:t> analýze podstaty</w:t>
      </w:r>
      <w:r w:rsidRPr="00273106">
        <w:rPr>
          <w:iCs/>
        </w:rPr>
        <w:t xml:space="preserve"> intelektu (2). Definice intelektu </w:t>
      </w:r>
      <w:r>
        <w:rPr>
          <w:iCs/>
        </w:rPr>
        <w:t>je dána skrze</w:t>
      </w:r>
      <w:r w:rsidR="00FB02B3">
        <w:rPr>
          <w:iCs/>
        </w:rPr>
        <w:t xml:space="preserve"> personální </w:t>
      </w:r>
      <w:r>
        <w:rPr>
          <w:iCs/>
        </w:rPr>
        <w:t>výkon</w:t>
      </w:r>
      <w:r w:rsidRPr="00273106">
        <w:rPr>
          <w:iCs/>
        </w:rPr>
        <w:t xml:space="preserve"> poznání (3), který podává obecně danou humanistickou definici člověka jako myslícího tvora v rámci jeho specifického postavení v inteligibilní struktuře celého kosmu (4). </w:t>
      </w:r>
      <w:r w:rsidR="004C0410">
        <w:rPr>
          <w:iCs/>
        </w:rPr>
        <w:t xml:space="preserve">Siger určuje </w:t>
      </w:r>
      <w:r>
        <w:rPr>
          <w:iCs/>
        </w:rPr>
        <w:t xml:space="preserve">postavení člověka v rámci integrálně daného humanismu založeného na plné jednotě osoby </w:t>
      </w:r>
      <w:r>
        <w:rPr>
          <w:iCs/>
        </w:rPr>
        <w:fldChar w:fldCharType="begin"/>
      </w:r>
      <w:r>
        <w:instrText xml:space="preserve"> XE "humanismus:Siger" </w:instrText>
      </w:r>
      <w:r>
        <w:rPr>
          <w:iCs/>
        </w:rPr>
        <w:fldChar w:fldCharType="end"/>
      </w:r>
      <w:r w:rsidR="004C0410">
        <w:rPr>
          <w:iCs/>
        </w:rPr>
        <w:t>. D</w:t>
      </w:r>
      <w:r>
        <w:rPr>
          <w:iCs/>
        </w:rPr>
        <w:t>ante</w:t>
      </w:r>
      <w:r>
        <w:rPr>
          <w:iCs/>
        </w:rPr>
        <w:fldChar w:fldCharType="begin"/>
      </w:r>
      <w:r>
        <w:instrText xml:space="preserve"> XE "</w:instrText>
      </w:r>
      <w:r w:rsidRPr="00E871B9">
        <w:instrText>Dante, A.</w:instrText>
      </w:r>
      <w:r>
        <w:instrText xml:space="preserve">" </w:instrText>
      </w:r>
      <w:r>
        <w:rPr>
          <w:iCs/>
        </w:rPr>
        <w:fldChar w:fldCharType="end"/>
      </w:r>
      <w:r>
        <w:rPr>
          <w:iCs/>
        </w:rPr>
        <w:t xml:space="preserve"> </w:t>
      </w:r>
      <w:r w:rsidR="004C0410">
        <w:rPr>
          <w:iCs/>
        </w:rPr>
        <w:t xml:space="preserve">převzal tuto linii </w:t>
      </w:r>
      <w:r>
        <w:rPr>
          <w:iCs/>
        </w:rPr>
        <w:t xml:space="preserve">do spisu </w:t>
      </w:r>
      <w:r w:rsidR="0024224B" w:rsidRPr="0024224B">
        <w:rPr>
          <w:i/>
          <w:iCs/>
        </w:rPr>
        <w:t>De</w:t>
      </w:r>
      <w:r w:rsidR="0024224B">
        <w:rPr>
          <w:iCs/>
        </w:rPr>
        <w:t xml:space="preserve"> </w:t>
      </w:r>
      <w:r w:rsidRPr="00343F17">
        <w:rPr>
          <w:i/>
          <w:iCs/>
        </w:rPr>
        <w:t>Monarchia</w:t>
      </w:r>
      <w:r>
        <w:rPr>
          <w:iCs/>
        </w:rPr>
        <w:t xml:space="preserve">. </w:t>
      </w:r>
      <w:r>
        <w:t>Hermeneutika objektivity musí vykládat teorii intelektu stejně přesně a pozorně jako tento brilantní znalec Aristotela a Averroese. Výklad schopností duše začíná u přírodovědných spisů Korpusu, což charakterizuje Sicilskou školu</w:t>
      </w:r>
      <w:r>
        <w:fldChar w:fldCharType="begin"/>
      </w:r>
      <w:r>
        <w:instrText xml:space="preserve"> XE "</w:instrText>
      </w:r>
      <w:r w:rsidRPr="08A33059">
        <w:instrText>Sicil</w:instrText>
      </w:r>
      <w:r>
        <w:instrText>s</w:instrText>
      </w:r>
      <w:r w:rsidRPr="08A33059">
        <w:instrText>ká škola</w:instrText>
      </w:r>
      <w:r>
        <w:instrText xml:space="preserve">" </w:instrText>
      </w:r>
      <w:r>
        <w:fldChar w:fldCharType="end"/>
      </w:r>
      <w:r>
        <w:t xml:space="preserve"> výkladu podaného </w:t>
      </w:r>
      <w:r>
        <w:rPr>
          <w:i/>
        </w:rPr>
        <w:t>ad mentem Averrois</w:t>
      </w:r>
      <w:r>
        <w:rPr>
          <w:i/>
        </w:rPr>
        <w:fldChar w:fldCharType="begin"/>
      </w:r>
      <w:r>
        <w:instrText xml:space="preserve"> XE "</w:instrText>
      </w:r>
      <w:r>
        <w:rPr>
          <w:i/>
        </w:rPr>
        <w:instrText>ad mentem Averrois</w:instrText>
      </w:r>
      <w:r>
        <w:instrText xml:space="preserve">" </w:instrText>
      </w:r>
      <w:r>
        <w:rPr>
          <w:i/>
        </w:rPr>
        <w:fldChar w:fldCharType="end"/>
      </w:r>
      <w:r>
        <w:t>. Aristoteles</w:t>
      </w:r>
      <w:r w:rsidRPr="00273106">
        <w:t xml:space="preserve"> v díl</w:t>
      </w:r>
      <w:r>
        <w:t>e</w:t>
      </w:r>
      <w:r w:rsidRPr="00273106">
        <w:t xml:space="preserve"> o vzniku živočichů </w:t>
      </w:r>
      <w:r>
        <w:t>(</w:t>
      </w:r>
      <w:r w:rsidRPr="00273106">
        <w:rPr>
          <w:i/>
        </w:rPr>
        <w:t>De gen</w:t>
      </w:r>
      <w:r>
        <w:rPr>
          <w:i/>
        </w:rPr>
        <w:t>eratione</w:t>
      </w:r>
      <w:r w:rsidRPr="00273106">
        <w:rPr>
          <w:i/>
        </w:rPr>
        <w:t xml:space="preserve"> anim</w:t>
      </w:r>
      <w:r>
        <w:rPr>
          <w:i/>
        </w:rPr>
        <w:t>alium</w:t>
      </w:r>
      <w:r>
        <w:t xml:space="preserve">) </w:t>
      </w:r>
      <w:r w:rsidR="00EC136F">
        <w:t xml:space="preserve">pojednává </w:t>
      </w:r>
      <w:r w:rsidRPr="00273106">
        <w:t>tř</w:t>
      </w:r>
      <w:r w:rsidR="00EC136F">
        <w:t>i potence</w:t>
      </w:r>
      <w:r>
        <w:t xml:space="preserve"> duše (nutritivní, senz</w:t>
      </w:r>
      <w:r w:rsidRPr="00273106">
        <w:t xml:space="preserve">itivní, racionální). Tyto schopnosti jedinečného organismu </w:t>
      </w:r>
      <w:r>
        <w:t xml:space="preserve">jsou konceptuálně dány </w:t>
      </w:r>
      <w:r w:rsidRPr="00273106">
        <w:t>v semenu</w:t>
      </w:r>
      <w:r>
        <w:t xml:space="preserve"> jako jeho potence</w:t>
      </w:r>
      <w:r w:rsidRPr="00273106">
        <w:t xml:space="preserve">, ale aktuálně </w:t>
      </w:r>
      <w:r>
        <w:t xml:space="preserve">existují </w:t>
      </w:r>
      <w:r w:rsidRPr="00273106">
        <w:t xml:space="preserve">pouze v oduševnělém jedinci </w:t>
      </w:r>
      <w:r w:rsidR="008B53BD">
        <w:t xml:space="preserve">nebo osobě s jejich </w:t>
      </w:r>
      <w:r w:rsidRPr="00273106">
        <w:t xml:space="preserve">somatickými </w:t>
      </w:r>
      <w:r w:rsidR="008B53BD">
        <w:t xml:space="preserve">a </w:t>
      </w:r>
      <w:r w:rsidR="008B53BD" w:rsidRPr="00273106">
        <w:t xml:space="preserve">intelektuálními </w:t>
      </w:r>
      <w:r w:rsidR="008B53BD">
        <w:t xml:space="preserve">schopnostmi </w:t>
      </w:r>
      <w:r w:rsidRPr="00273106">
        <w:t>(</w:t>
      </w:r>
      <w:r w:rsidRPr="00273106">
        <w:rPr>
          <w:i/>
        </w:rPr>
        <w:t xml:space="preserve">De gen. </w:t>
      </w:r>
      <w:proofErr w:type="gramStart"/>
      <w:r w:rsidRPr="00273106">
        <w:rPr>
          <w:i/>
        </w:rPr>
        <w:t>anim</w:t>
      </w:r>
      <w:proofErr w:type="gramEnd"/>
      <w:r w:rsidRPr="00273106">
        <w:t>. 736b14</w:t>
      </w:r>
      <w:r>
        <w:fldChar w:fldCharType="begin"/>
      </w:r>
      <w:r>
        <w:instrText xml:space="preserve"> XE "Aristoteles:</w:instrText>
      </w:r>
      <w:r w:rsidRPr="00C40514">
        <w:rPr>
          <w:i/>
        </w:rPr>
        <w:instrText>De generatione animalium</w:instrText>
      </w:r>
      <w:r w:rsidRPr="00391728">
        <w:instrText xml:space="preserve"> </w:instrText>
      </w:r>
      <w:r>
        <w:instrText xml:space="preserve">736b14" </w:instrText>
      </w:r>
      <w:r>
        <w:fldChar w:fldCharType="end"/>
      </w:r>
      <w:r w:rsidRPr="00273106">
        <w:t>). Akt chození závisí na nohách jako tělesném orgánu. Proto platí, že tělesné potence nemohou přistoupit k výkonu života jako vnější princip (ἄνευ σώματος ἀδύνατον ὑπάρχειν; 736b24</w:t>
      </w:r>
      <w:r>
        <w:fldChar w:fldCharType="begin"/>
      </w:r>
      <w:r>
        <w:instrText xml:space="preserve"> XE "Aristoteles:</w:instrText>
      </w:r>
      <w:r w:rsidRPr="00C40514">
        <w:rPr>
          <w:i/>
        </w:rPr>
        <w:instrText>De generatione animalium</w:instrText>
      </w:r>
      <w:r w:rsidRPr="00391728">
        <w:instrText xml:space="preserve"> </w:instrText>
      </w:r>
      <w:r>
        <w:instrText xml:space="preserve">736b24" </w:instrText>
      </w:r>
      <w:r>
        <w:fldChar w:fldCharType="end"/>
      </w:r>
      <w:r w:rsidRPr="00273106">
        <w:t xml:space="preserve">). </w:t>
      </w:r>
      <w:r w:rsidR="001B680F">
        <w:t>Toto h</w:t>
      </w:r>
      <w:r>
        <w:t>yparchické určení tělesných potencí v rámci těla zakládá</w:t>
      </w:r>
      <w:r w:rsidR="008E5896">
        <w:t xml:space="preserve"> Sigerovo pojetí somatické duše</w:t>
      </w:r>
      <w:r>
        <w:t xml:space="preserve">. </w:t>
      </w:r>
      <w:r w:rsidRPr="00273106">
        <w:t xml:space="preserve">Jednota existence je </w:t>
      </w:r>
      <w:r>
        <w:t xml:space="preserve">postulována na úrovni </w:t>
      </w:r>
      <w:r w:rsidRPr="00273106">
        <w:t>tělesného aktu života (ἐνέργεια σωματική</w:t>
      </w:r>
      <w:r>
        <w:t>, 736b22</w:t>
      </w:r>
      <w:r>
        <w:fldChar w:fldCharType="begin"/>
      </w:r>
      <w:r>
        <w:instrText xml:space="preserve"> XE "Aristoteles:</w:instrText>
      </w:r>
      <w:r w:rsidRPr="00C40514">
        <w:rPr>
          <w:i/>
        </w:rPr>
        <w:instrText>De generatione animalium</w:instrText>
      </w:r>
      <w:r w:rsidRPr="00391728">
        <w:instrText xml:space="preserve"> </w:instrText>
      </w:r>
      <w:r>
        <w:instrText xml:space="preserve">736b22" </w:instrText>
      </w:r>
      <w:r>
        <w:fldChar w:fldCharType="end"/>
      </w:r>
      <w:r w:rsidRPr="00273106">
        <w:t>)</w:t>
      </w:r>
      <w:r w:rsidR="009D1A65">
        <w:t>. Vý</w:t>
      </w:r>
      <w:r w:rsidR="0009139F">
        <w:t>chodisko Sigerova zkoumání lidského intelektu je první nedělitelná</w:t>
      </w:r>
      <w:r w:rsidRPr="00273106">
        <w:t xml:space="preserve"> substance</w:t>
      </w:r>
      <w:r>
        <w:fldChar w:fldCharType="begin"/>
      </w:r>
      <w:r>
        <w:instrText xml:space="preserve"> XE "osoba:hylemorfická </w:instrText>
      </w:r>
      <w:r w:rsidRPr="00DE2A32">
        <w:instrText>substance</w:instrText>
      </w:r>
      <w:r>
        <w:instrText xml:space="preserve">" </w:instrText>
      </w:r>
      <w:r>
        <w:fldChar w:fldCharType="end"/>
      </w:r>
      <w:r w:rsidRPr="00273106">
        <w:t xml:space="preserve"> bytující jak tělesně, tak i duševně a intelektuálně </w:t>
      </w:r>
      <w:r>
        <w:t>skrze takto</w:t>
      </w:r>
      <w:r w:rsidRPr="00273106">
        <w:t xml:space="preserve"> </w:t>
      </w:r>
      <w:r>
        <w:t>(</w:t>
      </w:r>
      <w:r w:rsidRPr="00273106">
        <w:t>τοιαύτης</w:t>
      </w:r>
      <w:r>
        <w:t xml:space="preserve">, </w:t>
      </w:r>
      <w:r w:rsidRPr="080B5B05">
        <w:rPr>
          <w:i/>
        </w:rPr>
        <w:t>ipse</w:t>
      </w:r>
      <w:r>
        <w:t xml:space="preserve">) </w:t>
      </w:r>
      <w:r w:rsidRPr="00273106">
        <w:lastRenderedPageBreak/>
        <w:t>daný výkon individuální duše (τῆς τοιαύτης ψυχῆς ἔργον</w:t>
      </w:r>
      <w:r>
        <w:t>,</w:t>
      </w:r>
      <w:r w:rsidRPr="00273106">
        <w:t xml:space="preserve"> 736b12</w:t>
      </w:r>
      <w:r>
        <w:fldChar w:fldCharType="begin"/>
      </w:r>
      <w:r>
        <w:instrText xml:space="preserve"> XE "Aristoteles:</w:instrText>
      </w:r>
      <w:r w:rsidRPr="00C40514">
        <w:rPr>
          <w:i/>
        </w:rPr>
        <w:instrText>De generatione animalium</w:instrText>
      </w:r>
      <w:r w:rsidRPr="00391728">
        <w:instrText xml:space="preserve"> </w:instrText>
      </w:r>
      <w:r>
        <w:instrText xml:space="preserve">736b12" </w:instrText>
      </w:r>
      <w:r>
        <w:fldChar w:fldCharType="end"/>
      </w:r>
      <w:r w:rsidRPr="00273106">
        <w:t xml:space="preserve">). </w:t>
      </w:r>
      <w:r>
        <w:t xml:space="preserve">Připomeňme centrální význam adjektiva </w:t>
      </w:r>
      <w:r w:rsidR="006862D9">
        <w:t>„</w:t>
      </w:r>
      <w:r w:rsidRPr="00A325C0">
        <w:rPr>
          <w:i/>
        </w:rPr>
        <w:t>ipse</w:t>
      </w:r>
      <w:r w:rsidR="006862D9">
        <w:t>“</w:t>
      </w:r>
      <w:r>
        <w:t>, který se objeví ve sporu mezi Sigerem a Akvinským o ipseitu osoby, duše a intelektu</w:t>
      </w:r>
      <w:r w:rsidR="088768B5">
        <w:t xml:space="preserve"> (</w:t>
      </w:r>
      <w:r w:rsidR="088768B5" w:rsidRPr="00CD2095">
        <w:rPr>
          <w:i/>
          <w:szCs w:val="24"/>
        </w:rPr>
        <w:t>homo ipse intelligit</w:t>
      </w:r>
      <w:r w:rsidR="088768B5">
        <w:t>)</w:t>
      </w:r>
      <w:r>
        <w:fldChar w:fldCharType="begin"/>
      </w:r>
      <w:r>
        <w:instrText xml:space="preserve"> XE "</w:instrText>
      </w:r>
      <w:r w:rsidRPr="00457334">
        <w:instrText>osoba:ipseita</w:instrText>
      </w:r>
      <w:r>
        <w:instrText xml:space="preserve">" </w:instrText>
      </w:r>
      <w:r>
        <w:fldChar w:fldCharType="end"/>
      </w:r>
      <w:r>
        <w:t xml:space="preserve">. Tělo má </w:t>
      </w:r>
      <w:r w:rsidR="00681AA4" w:rsidRPr="00273106">
        <w:t xml:space="preserve">hyparchickou funkci první substance </w:t>
      </w:r>
      <w:r w:rsidR="00681AA4" w:rsidRPr="00E42F5C">
        <w:t>(</w:t>
      </w:r>
      <w:r w:rsidR="00681AA4" w:rsidRPr="00E42F5C">
        <w:rPr>
          <w:i/>
        </w:rPr>
        <w:t>hoc aliquid</w:t>
      </w:r>
      <w:r w:rsidR="00681AA4" w:rsidRPr="00E42F5C">
        <w:fldChar w:fldCharType="begin"/>
      </w:r>
      <w:r w:rsidR="00681AA4" w:rsidRPr="00E42F5C">
        <w:instrText xml:space="preserve"> XE "</w:instrText>
      </w:r>
      <w:r w:rsidR="00681AA4" w:rsidRPr="00E42F5C">
        <w:rPr>
          <w:i/>
        </w:rPr>
        <w:instrText>hoc aliquid</w:instrText>
      </w:r>
      <w:r w:rsidR="00681AA4" w:rsidRPr="00E42F5C">
        <w:instrText xml:space="preserve">:Siger" </w:instrText>
      </w:r>
      <w:r w:rsidR="00681AA4" w:rsidRPr="00E42F5C">
        <w:fldChar w:fldCharType="end"/>
      </w:r>
      <w:r w:rsidR="00681AA4" w:rsidRPr="00E42F5C">
        <w:t>)</w:t>
      </w:r>
      <w:r w:rsidR="00681AA4">
        <w:t xml:space="preserve"> </w:t>
      </w:r>
      <w:r>
        <w:t xml:space="preserve">vzhledem k </w:t>
      </w:r>
      <w:r w:rsidRPr="00273106">
        <w:t xml:space="preserve">potencím </w:t>
      </w:r>
      <w:r w:rsidR="00681AA4">
        <w:t>duše</w:t>
      </w:r>
      <w:r w:rsidRPr="00E42F5C">
        <w:t>.</w:t>
      </w:r>
      <w:r>
        <w:t xml:space="preserve"> Osoba j</w:t>
      </w:r>
      <w:r w:rsidRPr="00273106">
        <w:t>e nositelem</w:t>
      </w:r>
      <w:r>
        <w:t xml:space="preserve"> jedinečného výkonu </w:t>
      </w:r>
      <w:r w:rsidRPr="00273106">
        <w:t>života</w:t>
      </w:r>
      <w:r>
        <w:t xml:space="preserve"> a jeho smyslových funkcí</w:t>
      </w:r>
      <w:r w:rsidR="00621E23">
        <w:t>.</w:t>
      </w:r>
    </w:p>
    <w:p w:rsidR="08163013" w:rsidRPr="08EF658C" w:rsidRDefault="08163013" w:rsidP="00621E23">
      <w:pPr>
        <w:ind w:firstLine="397"/>
      </w:pPr>
      <w:r w:rsidRPr="00273106">
        <w:t xml:space="preserve">Jiná situace panuje </w:t>
      </w:r>
      <w:r>
        <w:t xml:space="preserve">ohledně </w:t>
      </w:r>
      <w:r w:rsidRPr="00273106">
        <w:t xml:space="preserve">intelektu, který je nemateriální povahy. </w:t>
      </w:r>
      <w:r>
        <w:t>Aristoteles</w:t>
      </w:r>
      <w:r w:rsidRPr="00273106">
        <w:t xml:space="preserve"> v téže části </w:t>
      </w:r>
      <w:r>
        <w:t xml:space="preserve">spisu </w:t>
      </w:r>
      <w:r w:rsidRPr="00273106">
        <w:t xml:space="preserve">konstatuje, že intelekt díky jedinečné božské povaze (θεῖον εἶναι μόνον) musí být vzhledem k tělesným funkcím chápán jako jediná aktivita duše </w:t>
      </w:r>
      <w:r>
        <w:t>(</w:t>
      </w:r>
      <w:r w:rsidRPr="00273106">
        <w:t>τὸν νοῦν μόνον</w:t>
      </w:r>
      <w:r>
        <w:t xml:space="preserve">) </w:t>
      </w:r>
      <w:r w:rsidRPr="00273106">
        <w:t>přišlá k tělesným potencím zvnějšku (θύραθεν ἐπεισιέναι)</w:t>
      </w:r>
      <w:r>
        <w:t>. Č</w:t>
      </w:r>
      <w:r w:rsidRPr="00273106">
        <w:t>innost intelektu nemá spojitost s žádným tělesným orgánem (οὐθὲν γὰρ αὐτοῦ τῇ ἐνεργείᾳ κοινωνεῖ ἡ σωματικὴ ἐνέργεια</w:t>
      </w:r>
      <w:r w:rsidR="00AA0215">
        <w:t xml:space="preserve">, </w:t>
      </w:r>
      <w:r w:rsidRPr="00273106">
        <w:t>736b26‒28</w:t>
      </w:r>
      <w:r>
        <w:fldChar w:fldCharType="begin"/>
      </w:r>
      <w:r>
        <w:instrText xml:space="preserve"> XE "Aristoteles:</w:instrText>
      </w:r>
      <w:r w:rsidRPr="00C40514">
        <w:rPr>
          <w:i/>
        </w:rPr>
        <w:instrText>De generatione animalium</w:instrText>
      </w:r>
      <w:r w:rsidRPr="00391728">
        <w:instrText xml:space="preserve"> </w:instrText>
      </w:r>
      <w:r>
        <w:instrText xml:space="preserve">736b26‒28" </w:instrText>
      </w:r>
      <w:r>
        <w:fldChar w:fldCharType="end"/>
      </w:r>
      <w:r w:rsidRPr="00273106">
        <w:t xml:space="preserve">). </w:t>
      </w:r>
      <w:r>
        <w:t>Siger cituje výrok</w:t>
      </w:r>
      <w:r w:rsidRPr="00837D73">
        <w:rPr>
          <w:i/>
        </w:rPr>
        <w:t xml:space="preserve"> </w:t>
      </w:r>
      <w:r w:rsidRPr="00837D73">
        <w:t xml:space="preserve">Aristotelova díla </w:t>
      </w:r>
      <w:r w:rsidRPr="00273106">
        <w:rPr>
          <w:i/>
        </w:rPr>
        <w:t>De generatione animalium</w:t>
      </w:r>
      <w:r>
        <w:rPr>
          <w:i/>
        </w:rPr>
        <w:t xml:space="preserve"> </w:t>
      </w:r>
      <w:proofErr w:type="gramStart"/>
      <w:r>
        <w:t>II.3, že</w:t>
      </w:r>
      <w:proofErr w:type="gramEnd"/>
      <w:r>
        <w:t xml:space="preserve"> jedině intelekt přichází do duše zvnějšku (νοῦν μόνον θύραθεν ἐπεισιέναι, 736b27</w:t>
      </w:r>
      <w:r>
        <w:fldChar w:fldCharType="begin"/>
      </w:r>
      <w:r>
        <w:instrText xml:space="preserve"> XE "Aristoteles:</w:instrText>
      </w:r>
      <w:r w:rsidRPr="00C40514">
        <w:rPr>
          <w:i/>
        </w:rPr>
        <w:instrText>De generatione animalium</w:instrText>
      </w:r>
      <w:r w:rsidRPr="00391728">
        <w:instrText xml:space="preserve"> 736b27</w:instrText>
      </w:r>
      <w:r>
        <w:instrText xml:space="preserve">" </w:instrText>
      </w:r>
      <w:r>
        <w:fldChar w:fldCharType="end"/>
      </w:r>
      <w:r>
        <w:t xml:space="preserve">). Komentář </w:t>
      </w:r>
      <w:r>
        <w:rPr>
          <w:iCs/>
        </w:rPr>
        <w:t xml:space="preserve">tento citát uvádí </w:t>
      </w:r>
      <w:r>
        <w:t>hned v úvodu (</w:t>
      </w:r>
      <w:r w:rsidRPr="00291710">
        <w:rPr>
          <w:i/>
        </w:rPr>
        <w:t>solus intellectus est ab extrinseco</w:t>
      </w:r>
      <w:r>
        <w:t>;</w:t>
      </w:r>
      <w:r w:rsidRPr="002C38EF">
        <w:rPr>
          <w:i/>
        </w:rPr>
        <w:t xml:space="preserve"> </w:t>
      </w:r>
      <w:r w:rsidRPr="08BF3B3D">
        <w:t>QIIIDA</w:t>
      </w:r>
      <w:r>
        <w:t>, q. 1, p. 3.48‒49</w:t>
      </w:r>
      <w:r>
        <w:fldChar w:fldCharType="begin"/>
      </w:r>
      <w:r>
        <w:instrText xml:space="preserve"> XE "</w:instrText>
      </w:r>
      <w:r w:rsidRPr="00C40514">
        <w:instrText>Siger:</w:instrText>
      </w:r>
      <w:r>
        <w:rPr>
          <w:i/>
        </w:rPr>
        <w:instrText>Quaestiones in tertium D</w:instrText>
      </w:r>
      <w:r w:rsidRPr="00472F38">
        <w:rPr>
          <w:i/>
        </w:rPr>
        <w:instrText>e anima</w:instrText>
      </w:r>
      <w:r w:rsidRPr="0019480E">
        <w:instrText xml:space="preserve"> 3.48‒49</w:instrText>
      </w:r>
      <w:r>
        <w:instrText xml:space="preserve">" </w:instrText>
      </w:r>
      <w:r>
        <w:fldChar w:fldCharType="end"/>
      </w:r>
      <w:r>
        <w:t xml:space="preserve">). </w:t>
      </w:r>
      <w:r w:rsidRPr="00273106">
        <w:t xml:space="preserve">Siger definuje </w:t>
      </w:r>
      <w:r>
        <w:t xml:space="preserve">skrze výklad </w:t>
      </w:r>
      <w:r w:rsidRPr="00273106">
        <w:rPr>
          <w:i/>
        </w:rPr>
        <w:t>De generatione animalium</w:t>
      </w:r>
      <w:r w:rsidRPr="00273106">
        <w:t xml:space="preserve"> </w:t>
      </w:r>
      <w:proofErr w:type="gramStart"/>
      <w:r>
        <w:t xml:space="preserve">II.3 </w:t>
      </w:r>
      <w:r w:rsidRPr="00273106">
        <w:t>dvě</w:t>
      </w:r>
      <w:proofErr w:type="gramEnd"/>
      <w:r w:rsidRPr="00273106">
        <w:t xml:space="preserve"> základní danosti, které musí držet pravdivá filosofická nauka o duši a intelektu</w:t>
      </w:r>
      <w:r>
        <w:t xml:space="preserve"> podle Aristotela</w:t>
      </w:r>
      <w:r w:rsidRPr="00273106">
        <w:t xml:space="preserve">. Intelekt jako duševní jev existuje pouze v aktu </w:t>
      </w:r>
      <w:r>
        <w:t>ex</w:t>
      </w:r>
      <w:r w:rsidRPr="00273106">
        <w:t>istenc</w:t>
      </w:r>
      <w:r>
        <w:t>e</w:t>
      </w:r>
      <w:r>
        <w:fldChar w:fldCharType="begin"/>
      </w:r>
      <w:r>
        <w:instrText xml:space="preserve"> XE "</w:instrText>
      </w:r>
      <w:r w:rsidRPr="001D1E42">
        <w:instrText>subsistence</w:instrText>
      </w:r>
      <w:r>
        <w:instrText xml:space="preserve">:osoba" </w:instrText>
      </w:r>
      <w:r>
        <w:fldChar w:fldCharType="end"/>
      </w:r>
      <w:r>
        <w:t xml:space="preserve"> osoby jako </w:t>
      </w:r>
      <w:r w:rsidR="00391B05">
        <w:t>hylem</w:t>
      </w:r>
      <w:r w:rsidR="00391B05" w:rsidRPr="00273106">
        <w:t>or</w:t>
      </w:r>
      <w:r w:rsidR="00391B05">
        <w:t>f</w:t>
      </w:r>
      <w:r w:rsidR="00391B05" w:rsidRPr="00273106">
        <w:t xml:space="preserve">ické </w:t>
      </w:r>
      <w:r w:rsidR="00391B05">
        <w:t>substance</w:t>
      </w:r>
      <w:r>
        <w:t xml:space="preserve"> v modu </w:t>
      </w:r>
      <w:r w:rsidRPr="08CC4DFE">
        <w:rPr>
          <w:i/>
        </w:rPr>
        <w:t>simpliciter</w:t>
      </w:r>
      <w:r>
        <w:t xml:space="preserve"> a </w:t>
      </w:r>
      <w:r w:rsidRPr="08CC4DFE">
        <w:rPr>
          <w:i/>
        </w:rPr>
        <w:t>actualiter</w:t>
      </w:r>
      <w:r w:rsidRPr="00273106">
        <w:t>. Zároveň ale platí vzhledem k nemateriální a oddělené povaze intelektu, že intelekt není součástí tělesných funkcí organismu</w:t>
      </w:r>
      <w:r>
        <w:t xml:space="preserve">. Tímto specifickým postavením intelektu v duši vzniká ipseita osoby, kterou nemají živá zvířata. </w:t>
      </w:r>
      <w:r w:rsidRPr="00273106">
        <w:t>Intelekt ke své funkci nepotřebuje žádný smyslový orgán a jeho výko</w:t>
      </w:r>
      <w:r>
        <w:t xml:space="preserve">n se vztahuje na celek existenciálně dané </w:t>
      </w:r>
      <w:r w:rsidRPr="00273106">
        <w:t xml:space="preserve">duše jako oživující formy jedinečného těla. </w:t>
      </w:r>
      <w:r>
        <w:t xml:space="preserve">Intelekt </w:t>
      </w:r>
      <w:r w:rsidRPr="00273106">
        <w:t xml:space="preserve">je svým </w:t>
      </w:r>
      <w:r>
        <w:t>výkonem oddělený</w:t>
      </w:r>
      <w:r w:rsidRPr="00273106">
        <w:t xml:space="preserve"> od somatických funkcí duše, ale nikoliv od aktu subsistence první substance.</w:t>
      </w:r>
      <w:r>
        <w:t xml:space="preserve"> </w:t>
      </w:r>
      <w:r w:rsidR="00775831" w:rsidRPr="00775831">
        <w:t xml:space="preserve">Oba jevy, které Siger </w:t>
      </w:r>
      <w:r w:rsidR="00775831">
        <w:t>zkoumá, jsou základní zkušeností</w:t>
      </w:r>
      <w:r w:rsidR="00775831" w:rsidRPr="00775831">
        <w:t xml:space="preserve"> každého z nás. </w:t>
      </w:r>
      <w:r>
        <w:t xml:space="preserve">Funkce a povaha intelektu je nemateriální a přitom je vázán v individuálním výkonu na první substanci danou hylemorficky. </w:t>
      </w:r>
      <w:r w:rsidRPr="00273106">
        <w:t xml:space="preserve">První </w:t>
      </w:r>
      <w:r>
        <w:t>kvestie</w:t>
      </w:r>
      <w:r w:rsidRPr="00273106">
        <w:t xml:space="preserve"> traktující povahu duše </w:t>
      </w:r>
      <w:r>
        <w:t xml:space="preserve">shrnuje obě antinomie ve výslovném protikladu ke druhému averroismu. Moderna definuje duši jako kolekci nesourodých hypostází daných </w:t>
      </w:r>
      <w:r w:rsidRPr="0013602B">
        <w:rPr>
          <w:i/>
        </w:rPr>
        <w:t>simpliciter</w:t>
      </w:r>
      <w:r>
        <w:t xml:space="preserve"> jako </w:t>
      </w:r>
      <w:r w:rsidR="003066B1">
        <w:t xml:space="preserve">objektivní </w:t>
      </w:r>
      <w:r>
        <w:t>substance</w:t>
      </w:r>
      <w:r w:rsidRPr="00273106">
        <w:t>.</w:t>
      </w:r>
      <w:r>
        <w:t xml:space="preserve"> Siger zásadně hájí substanční jednotu osoby danou vzhledem k nemateriální povaze intelektu.</w:t>
      </w:r>
    </w:p>
    <w:p w:rsidR="08163013" w:rsidRPr="005A2125" w:rsidRDefault="08163013" w:rsidP="08163013">
      <w:pPr>
        <w:pStyle w:val="Citace"/>
        <w:rPr>
          <w:noProof/>
          <w:lang w:val="cs-CZ"/>
        </w:rPr>
      </w:pPr>
      <w:r w:rsidRPr="00273106">
        <w:rPr>
          <w:noProof/>
          <w:lang w:val="cs-CZ"/>
        </w:rPr>
        <w:lastRenderedPageBreak/>
        <w:t>„</w:t>
      </w:r>
      <w:r>
        <w:rPr>
          <w:noProof/>
          <w:lang w:val="cs-CZ"/>
        </w:rPr>
        <w:t>Je třeba říci, že intelektuální poznání není založeno (</w:t>
      </w:r>
      <w:r w:rsidRPr="00F6328D">
        <w:rPr>
          <w:i/>
          <w:noProof/>
          <w:lang w:val="cs-CZ"/>
        </w:rPr>
        <w:t>non radicantur</w:t>
      </w:r>
      <w:r>
        <w:rPr>
          <w:noProof/>
          <w:lang w:val="cs-CZ"/>
        </w:rPr>
        <w:t>) v duši společně s jejími vegetativními a animálními funkcemi, které jsou dány v reálné první substanci (</w:t>
      </w:r>
      <w:r w:rsidRPr="00F6328D">
        <w:rPr>
          <w:i/>
          <w:noProof/>
          <w:lang w:val="cs-CZ"/>
        </w:rPr>
        <w:t>in eadem simplici</w:t>
      </w:r>
      <w:r>
        <w:rPr>
          <w:noProof/>
          <w:lang w:val="cs-CZ"/>
        </w:rPr>
        <w:t>). Intelekt je s těmito funkcemi spojen v jedné a téže duši dané v těle (</w:t>
      </w:r>
      <w:r w:rsidRPr="00571844">
        <w:rPr>
          <w:i/>
          <w:noProof/>
        </w:rPr>
        <w:t>in eadem anima composita</w:t>
      </w:r>
      <w:r>
        <w:rPr>
          <w:noProof/>
          <w:lang w:val="cs-CZ"/>
        </w:rPr>
        <w:t>). Protože intelekt je nemateriálně jednoduchý, po svém vzniku se napojuje na vegetativní a animální schopnosti duše. Toto spojení vytváří nikoliv jednoduchou duši, ale složenou (</w:t>
      </w:r>
      <w:r w:rsidRPr="00EE1D48">
        <w:rPr>
          <w:i/>
          <w:noProof/>
        </w:rPr>
        <w:t>non faciunt animam simplicem, sed compositam</w:t>
      </w:r>
      <w:r>
        <w:rPr>
          <w:noProof/>
          <w:lang w:val="cs-CZ"/>
        </w:rPr>
        <w:t xml:space="preserve">).“ </w:t>
      </w:r>
      <w:r>
        <w:rPr>
          <w:rStyle w:val="Znakapoznpodarou"/>
        </w:rPr>
        <w:footnoteReference w:id="194"/>
      </w:r>
    </w:p>
    <w:p w:rsidR="08163013" w:rsidRPr="00273106" w:rsidRDefault="08163013" w:rsidP="08163013">
      <w:pPr>
        <w:rPr>
          <w:rFonts w:ascii="Times New Roman" w:eastAsia="Times New Roman" w:hAnsi="Times New Roman"/>
          <w:szCs w:val="24"/>
        </w:rPr>
      </w:pPr>
      <w:r w:rsidRPr="00273106">
        <w:t>Napětí je dáno mezi povahou smyslové duše (</w:t>
      </w:r>
      <w:r w:rsidRPr="00273106">
        <w:rPr>
          <w:i/>
        </w:rPr>
        <w:t>animam</w:t>
      </w:r>
      <w:r w:rsidRPr="00273106">
        <w:t xml:space="preserve"> </w:t>
      </w:r>
      <w:r w:rsidRPr="00273106">
        <w:rPr>
          <w:i/>
        </w:rPr>
        <w:t>simplicem</w:t>
      </w:r>
      <w:r w:rsidRPr="00273106">
        <w:t>)</w:t>
      </w:r>
      <w:r w:rsidRPr="00273106">
        <w:rPr>
          <w:i/>
        </w:rPr>
        <w:t xml:space="preserve"> </w:t>
      </w:r>
      <w:r w:rsidRPr="00273106">
        <w:t>a mezi aktem intelektuální duše (</w:t>
      </w:r>
      <w:r w:rsidRPr="00273106">
        <w:rPr>
          <w:i/>
        </w:rPr>
        <w:t>animam</w:t>
      </w:r>
      <w:r w:rsidRPr="00273106">
        <w:t xml:space="preserve"> </w:t>
      </w:r>
      <w:r w:rsidRPr="00273106">
        <w:rPr>
          <w:i/>
        </w:rPr>
        <w:t>compositam</w:t>
      </w:r>
      <w:r w:rsidRPr="00273106">
        <w:t>).</w:t>
      </w:r>
      <w:r w:rsidRPr="0045459A">
        <w:t xml:space="preserve"> </w:t>
      </w:r>
      <w:r>
        <w:t>Lidská duše je formálně dané kompozitum proto, že obsahuje materiální smyslové a nemateriální inteligibilní poznání. Nemateriální i</w:t>
      </w:r>
      <w:r w:rsidRPr="00273106">
        <w:t xml:space="preserve">ntelekt není vázaný na </w:t>
      </w:r>
      <w:r>
        <w:t xml:space="preserve">duši stejným způsobem, jako materiálně daná </w:t>
      </w:r>
      <w:r w:rsidRPr="00273106">
        <w:t>nutritivní a sensitivní složka duše</w:t>
      </w:r>
      <w:r>
        <w:t xml:space="preserve"> </w:t>
      </w:r>
      <w:r w:rsidRPr="00273106">
        <w:t>(</w:t>
      </w:r>
      <w:r w:rsidRPr="00273106">
        <w:rPr>
          <w:i/>
        </w:rPr>
        <w:t>intellectivum non radicatur in eadem anima simplici cum vegetativo et sensitivo</w:t>
      </w:r>
      <w:r w:rsidRPr="00273106">
        <w:t xml:space="preserve">). Tyto smyslově určené potence </w:t>
      </w:r>
      <w:r>
        <w:t xml:space="preserve">existují skrze tělesné orgány, proto </w:t>
      </w:r>
      <w:r w:rsidRPr="00273106">
        <w:t xml:space="preserve">tvoří jednotu danou </w:t>
      </w:r>
      <w:r w:rsidRPr="00273106">
        <w:rPr>
          <w:i/>
        </w:rPr>
        <w:t>simpliciter</w:t>
      </w:r>
      <w:r w:rsidRPr="00273106">
        <w:t xml:space="preserve"> s hylemorfickou podstatou první substance</w:t>
      </w:r>
      <w:r>
        <w:fldChar w:fldCharType="begin"/>
      </w:r>
      <w:r>
        <w:instrText xml:space="preserve"> XE "</w:instrText>
      </w:r>
      <w:r w:rsidRPr="00DE2A32">
        <w:instrText>substance</w:instrText>
      </w:r>
      <w:r>
        <w:instrText xml:space="preserve">:osoba" </w:instrText>
      </w:r>
      <w:r>
        <w:fldChar w:fldCharType="end"/>
      </w:r>
      <w:r w:rsidRPr="00273106">
        <w:t xml:space="preserve">. Intelekt je </w:t>
      </w:r>
      <w:r>
        <w:t xml:space="preserve">vzhledem k těmto tělesným výkonům duše </w:t>
      </w:r>
      <w:r w:rsidRPr="00273106">
        <w:t xml:space="preserve">jednoduchý </w:t>
      </w:r>
      <w:r>
        <w:t xml:space="preserve">a </w:t>
      </w:r>
      <w:r w:rsidRPr="00273106">
        <w:t>nemateriá</w:t>
      </w:r>
      <w:r>
        <w:t>l</w:t>
      </w:r>
      <w:r w:rsidRPr="00273106">
        <w:t>ní (</w:t>
      </w:r>
      <w:r w:rsidRPr="00273106">
        <w:rPr>
          <w:i/>
        </w:rPr>
        <w:t>intellectus simplex sit</w:t>
      </w:r>
      <w:r>
        <w:t>). Proto intelekt vzhledem k bytí smyslů přichází zvnějšku</w:t>
      </w:r>
      <w:r w:rsidRPr="00273106">
        <w:t xml:space="preserve"> (Aristotelovo θύραθεν, Sigerovo </w:t>
      </w:r>
      <w:r w:rsidRPr="00273106">
        <w:rPr>
          <w:i/>
        </w:rPr>
        <w:t>ab extrinseco</w:t>
      </w:r>
      <w:r>
        <w:rPr>
          <w:i/>
        </w:rPr>
        <w:fldChar w:fldCharType="begin"/>
      </w:r>
      <w:r>
        <w:instrText xml:space="preserve"> XE "</w:instrText>
      </w:r>
      <w:r w:rsidRPr="00C40514">
        <w:instrText>intelekt</w:instrText>
      </w:r>
      <w:r w:rsidRPr="00F11238">
        <w:rPr>
          <w:i/>
        </w:rPr>
        <w:instrText>:ab extrinseco</w:instrText>
      </w:r>
      <w:r>
        <w:instrText xml:space="preserve">" </w:instrText>
      </w:r>
      <w:r>
        <w:rPr>
          <w:i/>
        </w:rPr>
        <w:fldChar w:fldCharType="end"/>
      </w:r>
      <w:r w:rsidRPr="00273106">
        <w:t xml:space="preserve">) </w:t>
      </w:r>
      <w:r>
        <w:t xml:space="preserve">a připojuje se </w:t>
      </w:r>
      <w:r w:rsidRPr="00273106">
        <w:t xml:space="preserve">k původnímu výkonu existence duše dané </w:t>
      </w:r>
      <w:r w:rsidRPr="00273106">
        <w:rPr>
          <w:i/>
        </w:rPr>
        <w:t>simplex</w:t>
      </w:r>
      <w:r w:rsidR="0055279B">
        <w:t xml:space="preserve">, kde už jsou </w:t>
      </w:r>
      <w:r w:rsidR="00C57286">
        <w:t xml:space="preserve">dány </w:t>
      </w:r>
      <w:r w:rsidR="0055279B">
        <w:t>obě smyslové slož</w:t>
      </w:r>
      <w:r w:rsidRPr="00273106">
        <w:t>k</w:t>
      </w:r>
      <w:r w:rsidR="0055279B">
        <w:t>y</w:t>
      </w:r>
      <w:r w:rsidRPr="00273106">
        <w:t xml:space="preserve">. </w:t>
      </w:r>
      <w:r>
        <w:t xml:space="preserve">Identita daná materiálním aktem smyslové existence se změní na ipseitu danou intelektuálním aktem existence. </w:t>
      </w:r>
      <w:r w:rsidRPr="00273106">
        <w:t xml:space="preserve">Ke změně v pojetí duše u člověka dochází tím, že příchod </w:t>
      </w:r>
      <w:r>
        <w:t xml:space="preserve">nemateriálního </w:t>
      </w:r>
      <w:r w:rsidRPr="00273106">
        <w:t xml:space="preserve">intelektu vytváří ze </w:t>
      </w:r>
      <w:r w:rsidRPr="00273106">
        <w:rPr>
          <w:i/>
        </w:rPr>
        <w:t>simpliciter</w:t>
      </w:r>
      <w:r w:rsidRPr="00273106">
        <w:t xml:space="preserve"> dané duše nové </w:t>
      </w:r>
      <w:r w:rsidRPr="00273106">
        <w:rPr>
          <w:i/>
        </w:rPr>
        <w:t>compositum</w:t>
      </w:r>
      <w:r>
        <w:t xml:space="preserve"> </w:t>
      </w:r>
      <w:r w:rsidRPr="00273106">
        <w:t>(</w:t>
      </w:r>
      <w:r w:rsidRPr="00273106">
        <w:rPr>
          <w:i/>
        </w:rPr>
        <w:t>radicatur cum ipsis in eadem anima composita</w:t>
      </w:r>
      <w:r w:rsidRPr="00273106">
        <w:t xml:space="preserve">). </w:t>
      </w:r>
      <w:r>
        <w:t xml:space="preserve">Spojením smyslových a inteligibilních schopností vytvoří v duši </w:t>
      </w:r>
      <w:r w:rsidRPr="00273106">
        <w:t>nový druh oduševnělé existence</w:t>
      </w:r>
      <w:r>
        <w:t xml:space="preserve">. </w:t>
      </w:r>
      <w:r w:rsidRPr="00273106">
        <w:t xml:space="preserve">Příchodem intelektu se mění akt </w:t>
      </w:r>
      <w:r>
        <w:t xml:space="preserve">smyslové </w:t>
      </w:r>
      <w:r w:rsidRPr="00273106">
        <w:t xml:space="preserve">subsistence na akt </w:t>
      </w:r>
      <w:r>
        <w:t xml:space="preserve">rozumové </w:t>
      </w:r>
      <w:r w:rsidRPr="00273106">
        <w:t>existence (</w:t>
      </w:r>
      <w:r w:rsidRPr="00273106">
        <w:rPr>
          <w:i/>
        </w:rPr>
        <w:t>in suo adventu unitur vegetativo et sensitivo</w:t>
      </w:r>
      <w:r w:rsidRPr="00273106">
        <w:t xml:space="preserve">). </w:t>
      </w:r>
      <w:r>
        <w:t>Lidská e</w:t>
      </w:r>
      <w:r w:rsidRPr="00273106">
        <w:t>xist</w:t>
      </w:r>
      <w:r>
        <w:t xml:space="preserve">ence vykazuje </w:t>
      </w:r>
      <w:r w:rsidRPr="00273106">
        <w:t>zvláštní způsob integrity těla</w:t>
      </w:r>
      <w:r>
        <w:t xml:space="preserve"> (Aristotelovo </w:t>
      </w:r>
      <w:r w:rsidRPr="00273106">
        <w:t>τοιαύτης</w:t>
      </w:r>
      <w:r>
        <w:t xml:space="preserve">, Sigerovo </w:t>
      </w:r>
      <w:r w:rsidRPr="08B43EC0">
        <w:rPr>
          <w:i/>
        </w:rPr>
        <w:t>ipse</w:t>
      </w:r>
      <w:r>
        <w:t>). Obě smyslové slož</w:t>
      </w:r>
      <w:r w:rsidRPr="00273106">
        <w:t>k</w:t>
      </w:r>
      <w:r>
        <w:t>y</w:t>
      </w:r>
      <w:r w:rsidRPr="00273106">
        <w:t xml:space="preserve"> duše a nemateriálního intelektu </w:t>
      </w:r>
      <w:r>
        <w:t xml:space="preserve">se spojují </w:t>
      </w:r>
      <w:r w:rsidRPr="00273106">
        <w:t xml:space="preserve">v osobě jako jedné substanci oživené </w:t>
      </w:r>
      <w:r>
        <w:t>složenou duší</w:t>
      </w:r>
      <w:r w:rsidRPr="00273106">
        <w:t xml:space="preserve"> </w:t>
      </w:r>
      <w:r>
        <w:t>jako formou</w:t>
      </w:r>
      <w:r w:rsidRPr="00273106">
        <w:t xml:space="preserve"> těla. Další věta tuto nauku </w:t>
      </w:r>
      <w:r>
        <w:t xml:space="preserve">definuje </w:t>
      </w:r>
      <w:r w:rsidRPr="00273106">
        <w:t xml:space="preserve">jako autentický výklad Komentátora, který </w:t>
      </w:r>
      <w:r>
        <w:t xml:space="preserve">novým </w:t>
      </w:r>
      <w:r w:rsidRPr="00273106">
        <w:t xml:space="preserve">způsobem vyložil Aristotelovu nauku. </w:t>
      </w:r>
      <w:r>
        <w:t xml:space="preserve">Siger přesně ví, co je dáno v originálu </w:t>
      </w:r>
      <w:r w:rsidRPr="00A01804">
        <w:rPr>
          <w:i/>
        </w:rPr>
        <w:t>De anima</w:t>
      </w:r>
      <w:r>
        <w:t xml:space="preserve"> a co je geniální interpretace jednoty osoby v CMDA.</w:t>
      </w:r>
    </w:p>
    <w:p w:rsidR="08163013" w:rsidRPr="00721E91" w:rsidRDefault="08163013" w:rsidP="08163013">
      <w:pPr>
        <w:pStyle w:val="Citace"/>
        <w:rPr>
          <w:noProof/>
          <w:lang w:val="cs-CZ"/>
        </w:rPr>
      </w:pPr>
      <w:r w:rsidRPr="00273106">
        <w:rPr>
          <w:noProof/>
          <w:lang w:val="cs-CZ"/>
        </w:rPr>
        <w:lastRenderedPageBreak/>
        <w:t>„</w:t>
      </w:r>
      <w:r>
        <w:rPr>
          <w:noProof/>
          <w:lang w:val="cs-CZ"/>
        </w:rPr>
        <w:t>Proto tvrdil Averroes, že podle Aristotela tvoří vegetativní, smyslová a intelektuální složka jednu duši na společném substrátu (</w:t>
      </w:r>
      <w:r w:rsidRPr="00721E91">
        <w:rPr>
          <w:i/>
          <w:noProof/>
          <w:lang w:val="cs-CZ"/>
        </w:rPr>
        <w:t>unam animam in subiecto</w:t>
      </w:r>
      <w:r>
        <w:rPr>
          <w:noProof/>
          <w:lang w:val="cs-CZ"/>
        </w:rPr>
        <w:t>). A to je pravdivé: tvoří jednu složenou duši (</w:t>
      </w:r>
      <w:r w:rsidRPr="003F28E5">
        <w:rPr>
          <w:i/>
          <w:noProof/>
        </w:rPr>
        <w:t>unam compositam</w:t>
      </w:r>
      <w:r>
        <w:rPr>
          <w:noProof/>
          <w:lang w:val="cs-CZ"/>
        </w:rPr>
        <w:t xml:space="preserve">), nikoliv jednu jednoduchou duši.“ </w:t>
      </w:r>
      <w:r>
        <w:rPr>
          <w:rStyle w:val="Znakapoznpodarou"/>
        </w:rPr>
        <w:footnoteReference w:id="195"/>
      </w:r>
    </w:p>
    <w:p w:rsidR="08163013" w:rsidRDefault="08163013" w:rsidP="08163013">
      <w:r w:rsidRPr="00273106">
        <w:t xml:space="preserve">První část mluví o </w:t>
      </w:r>
      <w:r>
        <w:t xml:space="preserve">substanční </w:t>
      </w:r>
      <w:r w:rsidRPr="00273106">
        <w:t xml:space="preserve">jednotě tří potencí </w:t>
      </w:r>
      <w:r>
        <w:t xml:space="preserve">jedné duše </w:t>
      </w:r>
      <w:r w:rsidRPr="00273106">
        <w:t>(</w:t>
      </w:r>
      <w:r w:rsidRPr="00273106">
        <w:rPr>
          <w:i/>
        </w:rPr>
        <w:t>vegetativum, sensitivum et intellectivum</w:t>
      </w:r>
      <w:r w:rsidRPr="08974B82">
        <w:t>)</w:t>
      </w:r>
      <w:r>
        <w:t xml:space="preserve"> spojených </w:t>
      </w:r>
      <w:r w:rsidRPr="00273106">
        <w:t xml:space="preserve">v rámci individuálního výkonu </w:t>
      </w:r>
      <w:r>
        <w:t xml:space="preserve">duše </w:t>
      </w:r>
      <w:r w:rsidRPr="00273106">
        <w:t>na jednom hylemorfickém substrátu (</w:t>
      </w:r>
      <w:r w:rsidRPr="00273106">
        <w:rPr>
          <w:i/>
        </w:rPr>
        <w:t>unam animam in subiecto</w:t>
      </w:r>
      <w:r w:rsidRPr="00273106">
        <w:t xml:space="preserve">). </w:t>
      </w:r>
      <w:r>
        <w:t xml:space="preserve">Duše daná </w:t>
      </w:r>
      <w:r w:rsidRPr="08235B58">
        <w:rPr>
          <w:i/>
        </w:rPr>
        <w:t>subiective</w:t>
      </w:r>
      <w:r>
        <w:t xml:space="preserve"> v těle jako substrátu duševních činností </w:t>
      </w:r>
      <w:r w:rsidRPr="00273106">
        <w:t xml:space="preserve">existuje </w:t>
      </w:r>
      <w:r w:rsidRPr="00273106">
        <w:rPr>
          <w:i/>
        </w:rPr>
        <w:t>simpliciter</w:t>
      </w:r>
      <w:r w:rsidRPr="00273106">
        <w:t xml:space="preserve">, tedy jako </w:t>
      </w:r>
      <w:r>
        <w:t xml:space="preserve">aktuální forma </w:t>
      </w:r>
      <w:r w:rsidRPr="00273106">
        <w:t xml:space="preserve">hylemorficky </w:t>
      </w:r>
      <w:r>
        <w:t xml:space="preserve">dané </w:t>
      </w:r>
      <w:r w:rsidRPr="00273106">
        <w:t>první substance</w:t>
      </w:r>
      <w:r>
        <w:fldChar w:fldCharType="begin"/>
      </w:r>
      <w:r>
        <w:instrText xml:space="preserve"> XE "osoba:hylemorfická </w:instrText>
      </w:r>
      <w:r w:rsidRPr="00DE2A32">
        <w:instrText>substance</w:instrText>
      </w:r>
      <w:r>
        <w:instrText xml:space="preserve">" </w:instrText>
      </w:r>
      <w:r>
        <w:fldChar w:fldCharType="end"/>
      </w:r>
      <w:r w:rsidRPr="00273106">
        <w:t xml:space="preserve"> (ἁπλῶς τὴν οὐσίαν, </w:t>
      </w:r>
      <w:r w:rsidRPr="00A56694">
        <w:rPr>
          <w:i/>
        </w:rPr>
        <w:t>Anal. Post</w:t>
      </w:r>
      <w:r w:rsidRPr="00273106">
        <w:t>. 90a10</w:t>
      </w:r>
      <w:r>
        <w:fldChar w:fldCharType="begin"/>
      </w:r>
      <w:r>
        <w:instrText xml:space="preserve"> XE "Aristoteles:</w:instrText>
      </w:r>
      <w:r w:rsidRPr="00DD5348">
        <w:rPr>
          <w:i/>
        </w:rPr>
        <w:instrText>Anal. Post</w:instrText>
      </w:r>
      <w:r w:rsidRPr="00DD5348">
        <w:instrText>. 90a10</w:instrText>
      </w:r>
      <w:r>
        <w:instrText xml:space="preserve">" </w:instrText>
      </w:r>
      <w:r>
        <w:fldChar w:fldCharType="end"/>
      </w:r>
      <w:r w:rsidRPr="00273106">
        <w:t xml:space="preserve">). </w:t>
      </w:r>
      <w:r>
        <w:t>Ale v</w:t>
      </w:r>
      <w:r w:rsidRPr="00273106">
        <w:t xml:space="preserve">ýkon intelektu je vázán na tělesný akt života </w:t>
      </w:r>
      <w:r>
        <w:t xml:space="preserve">jiným způsobem, než smyslové poznání. </w:t>
      </w:r>
      <w:r w:rsidRPr="00273106">
        <w:t xml:space="preserve">Vzhledem k zvláštnímu postavení intelektu jako nemateriální schopnosti platí, že existující lidská duše je </w:t>
      </w:r>
      <w:r>
        <w:t xml:space="preserve">jednotné </w:t>
      </w:r>
      <w:r w:rsidRPr="00273106">
        <w:t>kompozitum</w:t>
      </w:r>
      <w:r w:rsidRPr="009311BB">
        <w:rPr>
          <w:i/>
        </w:rPr>
        <w:t xml:space="preserve"> </w:t>
      </w:r>
      <w:r>
        <w:t>(</w:t>
      </w:r>
      <w:r w:rsidRPr="00273106">
        <w:rPr>
          <w:i/>
        </w:rPr>
        <w:t>unam compositam</w:t>
      </w:r>
      <w:r>
        <w:t>)</w:t>
      </w:r>
      <w:r w:rsidRPr="00273106">
        <w:t xml:space="preserve">, které se liší od organických schopností duše </w:t>
      </w:r>
      <w:r>
        <w:t xml:space="preserve">daných </w:t>
      </w:r>
      <w:r w:rsidRPr="00273106">
        <w:rPr>
          <w:i/>
        </w:rPr>
        <w:t>simpliciter</w:t>
      </w:r>
      <w:r w:rsidRPr="00273106">
        <w:t xml:space="preserve"> </w:t>
      </w:r>
      <w:r>
        <w:t xml:space="preserve">na tělesném substrátu </w:t>
      </w:r>
      <w:r w:rsidRPr="00273106">
        <w:t>(</w:t>
      </w:r>
      <w:r w:rsidRPr="00273106">
        <w:rPr>
          <w:i/>
        </w:rPr>
        <w:t>non autem unam simplicem</w:t>
      </w:r>
      <w:r w:rsidRPr="00273106">
        <w:t xml:space="preserve">). </w:t>
      </w:r>
      <w:r>
        <w:t xml:space="preserve">Tento rozdíl anonymní spisy v předešlé kapitole vyložily rozdílem mezi nemateriálním a proto vnějším výkonem intelektu odděleného od smyslových schopností duše. Intelekt je v osobě daný </w:t>
      </w:r>
      <w:r w:rsidR="00D0316A">
        <w:t>„</w:t>
      </w:r>
      <w:r w:rsidRPr="089C499D">
        <w:rPr>
          <w:i/>
        </w:rPr>
        <w:t>subiective</w:t>
      </w:r>
      <w:r w:rsidR="00D0316A">
        <w:t>“</w:t>
      </w:r>
      <w:r>
        <w:t xml:space="preserve"> a je aktualizovaný </w:t>
      </w:r>
      <w:r w:rsidR="00D0316A">
        <w:t>„</w:t>
      </w:r>
      <w:r w:rsidRPr="00D31C2F">
        <w:rPr>
          <w:i/>
        </w:rPr>
        <w:t>obiective</w:t>
      </w:r>
      <w:r w:rsidR="00D0316A">
        <w:t>“</w:t>
      </w:r>
      <w:r>
        <w:t xml:space="preserve"> skrze aktuální fantasmata nutná k poznání intelektu</w:t>
      </w:r>
      <w:r>
        <w:fldChar w:fldCharType="begin"/>
      </w:r>
      <w:r>
        <w:instrText xml:space="preserve"> XE "</w:instrText>
      </w:r>
      <w:r w:rsidRPr="00843DCE">
        <w:instrText>intelekt:</w:instrText>
      </w:r>
      <w:r w:rsidRPr="00865A48">
        <w:rPr>
          <w:i/>
        </w:rPr>
        <w:instrText>subiective</w:instrText>
      </w:r>
      <w:r w:rsidRPr="00843DCE">
        <w:instrText>/</w:instrText>
      </w:r>
      <w:r w:rsidRPr="00865A48">
        <w:rPr>
          <w:i/>
        </w:rPr>
        <w:instrText>obiective</w:instrText>
      </w:r>
      <w:r>
        <w:instrText xml:space="preserve">" </w:instrText>
      </w:r>
      <w:r>
        <w:fldChar w:fldCharType="end"/>
      </w:r>
      <w:r>
        <w:t xml:space="preserve">. </w:t>
      </w:r>
      <w:r w:rsidR="008B6725" w:rsidRPr="008B6725">
        <w:t xml:space="preserve">Z hlediska své činnosti je intelekt oddělen od tělesné existence jako smyslově daná hylemorfní první substance. </w:t>
      </w:r>
      <w:r w:rsidR="008B6725">
        <w:t>Sigerem definovaný i</w:t>
      </w:r>
      <w:r>
        <w:t xml:space="preserve">ntelekt není ani porretánská hypostáze, ani avicennovská substance, ale má plný charakter </w:t>
      </w:r>
      <w:r w:rsidR="008B6725">
        <w:t xml:space="preserve">oddělené aktivity </w:t>
      </w:r>
      <w:r w:rsidR="00B52CF0">
        <w:t xml:space="preserve">tělesné </w:t>
      </w:r>
      <w:r w:rsidR="008B6725">
        <w:t>duše (</w:t>
      </w:r>
      <w:r w:rsidRPr="008D3DCB">
        <w:rPr>
          <w:i/>
        </w:rPr>
        <w:t>inmixtus</w:t>
      </w:r>
      <w:r w:rsidR="008B6725">
        <w:t xml:space="preserve">). </w:t>
      </w:r>
      <w:r>
        <w:t>J</w:t>
      </w:r>
      <w:r w:rsidRPr="00273106">
        <w:t>inak by neexistovala filosofy postulovaná nesmrtelnost duš</w:t>
      </w:r>
      <w:r>
        <w:t>e a božský charakter intelektu, který je z hlediska své činnosti oddělený od hyleformické první substance dané smyslově</w:t>
      </w:r>
      <w:r>
        <w:fldChar w:fldCharType="begin"/>
      </w:r>
      <w:r>
        <w:instrText xml:space="preserve"> XE "</w:instrText>
      </w:r>
      <w:r w:rsidRPr="00447ACD">
        <w:instrText>intelekt:</w:instrText>
      </w:r>
      <w:r w:rsidRPr="00C135E2">
        <w:rPr>
          <w:i/>
        </w:rPr>
        <w:instrText>inmixtus</w:instrText>
      </w:r>
      <w:r>
        <w:instrText xml:space="preserve">" </w:instrText>
      </w:r>
      <w:r>
        <w:fldChar w:fldCharType="end"/>
      </w:r>
      <w:r>
        <w:t xml:space="preserve">. Tato argumentace tvoří definici vztahu intelektu a těla v modu </w:t>
      </w:r>
      <w:r w:rsidRPr="006E002D">
        <w:rPr>
          <w:i/>
        </w:rPr>
        <w:t>subiective</w:t>
      </w:r>
      <w:r>
        <w:t xml:space="preserve"> a </w:t>
      </w:r>
      <w:r w:rsidRPr="00A73C55">
        <w:rPr>
          <w:i/>
        </w:rPr>
        <w:t>obiective</w:t>
      </w:r>
      <w:r w:rsidR="008B6725">
        <w:t xml:space="preserve">. Toto pojetí dané podle </w:t>
      </w:r>
      <w:r>
        <w:t>Siger</w:t>
      </w:r>
      <w:r w:rsidR="008B6725">
        <w:t>a</w:t>
      </w:r>
      <w:r>
        <w:t xml:space="preserve"> a v Averroesově duchu </w:t>
      </w:r>
      <w:r w:rsidR="003A141A">
        <w:t xml:space="preserve">měl </w:t>
      </w:r>
      <w:r>
        <w:t xml:space="preserve">pouze </w:t>
      </w:r>
      <w:r w:rsidR="003A141A" w:rsidRPr="003A141A">
        <w:rPr>
          <w:i/>
        </w:rPr>
        <w:t xml:space="preserve">Anonymus </w:t>
      </w:r>
      <w:r w:rsidRPr="003A141A">
        <w:rPr>
          <w:i/>
        </w:rPr>
        <w:t>Giele</w:t>
      </w:r>
      <w:r>
        <w:t xml:space="preserve"> a </w:t>
      </w:r>
      <w:r w:rsidRPr="003A141A">
        <w:rPr>
          <w:i/>
        </w:rPr>
        <w:t>Mnichovský rukopis</w:t>
      </w:r>
      <w:r>
        <w:t xml:space="preserve">. </w:t>
      </w:r>
      <w:r w:rsidR="00B041ED">
        <w:t>Oba Aegidiovy semiaverroistické spisy obsahují t</w:t>
      </w:r>
      <w:r>
        <w:t>uto nauku jen formálně (</w:t>
      </w:r>
      <w:r w:rsidR="00B041ED" w:rsidRPr="00B041ED">
        <w:rPr>
          <w:i/>
        </w:rPr>
        <w:t xml:space="preserve">Manuscript </w:t>
      </w:r>
      <w:r w:rsidRPr="00B041ED">
        <w:rPr>
          <w:i/>
        </w:rPr>
        <w:t>Oxford, Anonym</w:t>
      </w:r>
      <w:r w:rsidR="00B041ED" w:rsidRPr="00B041ED">
        <w:rPr>
          <w:i/>
        </w:rPr>
        <w:t>us</w:t>
      </w:r>
      <w:r w:rsidRPr="00B041ED">
        <w:rPr>
          <w:i/>
        </w:rPr>
        <w:t xml:space="preserve"> Bazán</w:t>
      </w:r>
      <w:r>
        <w:t>)</w:t>
      </w:r>
      <w:r w:rsidR="00B91DE0">
        <w:t xml:space="preserve">, protože nemají </w:t>
      </w:r>
      <w:r w:rsidR="087C082D">
        <w:t>nap</w:t>
      </w:r>
      <w:r w:rsidR="084D3FCF">
        <w:t>ojení na spis CMDA a na nauku Sicilské školy</w:t>
      </w:r>
      <w:r>
        <w:t xml:space="preserve">. </w:t>
      </w:r>
      <w:r w:rsidRPr="00273106">
        <w:t xml:space="preserve">Citát shrnuje odkazem na obě klasické autority předešlou část výkladu jako autentickou nauku prvního averroismu. </w:t>
      </w:r>
      <w:r>
        <w:t>Siger vysoce oceňuje interpretační výkon Averroese, který modifikoval nejasná místa v Aristot</w:t>
      </w:r>
      <w:r w:rsidR="00A225AA">
        <w:t xml:space="preserve">elově nauce o duši a intelektu. </w:t>
      </w:r>
      <w:r w:rsidR="00A225AA" w:rsidRPr="00A225AA">
        <w:t xml:space="preserve">Akvinský a Aegidius odmítli </w:t>
      </w:r>
      <w:r w:rsidR="00A225AA">
        <w:t xml:space="preserve">provést výklad </w:t>
      </w:r>
      <w:r w:rsidR="00A225AA">
        <w:lastRenderedPageBreak/>
        <w:t>t</w:t>
      </w:r>
      <w:r w:rsidR="00A225AA" w:rsidRPr="00A225AA">
        <w:t xml:space="preserve">ímto způsobem (kap. 4.4.2). Na rozdíl od Albertova výkladu </w:t>
      </w:r>
      <w:r w:rsidR="00A225AA" w:rsidRPr="00A225AA">
        <w:rPr>
          <w:i/>
        </w:rPr>
        <w:t>intellectus speculativus</w:t>
      </w:r>
      <w:r w:rsidR="00A225AA">
        <w:rPr>
          <w:i/>
        </w:rPr>
        <w:fldChar w:fldCharType="begin"/>
      </w:r>
      <w:r w:rsidR="00A225AA">
        <w:instrText xml:space="preserve"> XE "</w:instrText>
      </w:r>
      <w:r w:rsidR="00A225AA" w:rsidRPr="00E2134B">
        <w:rPr>
          <w:i/>
        </w:rPr>
        <w:instrText>intellectus speculativus:</w:instrText>
      </w:r>
      <w:r w:rsidR="00A225AA" w:rsidRPr="00E2134B">
        <w:instrText>A</w:instrText>
      </w:r>
      <w:r w:rsidR="00A225AA">
        <w:instrText xml:space="preserve">lbert" </w:instrText>
      </w:r>
      <w:r w:rsidR="00A225AA">
        <w:rPr>
          <w:i/>
        </w:rPr>
        <w:fldChar w:fldCharType="end"/>
      </w:r>
      <w:r w:rsidR="00A225AA" w:rsidRPr="00A225AA">
        <w:t xml:space="preserve">, který podal již kolem roku 1242, nechtěli </w:t>
      </w:r>
      <w:r w:rsidR="00A225AA">
        <w:t xml:space="preserve">definovat </w:t>
      </w:r>
      <w:r w:rsidR="00A225AA" w:rsidRPr="00A225AA">
        <w:t xml:space="preserve">činnost intelektu podle CMDA. </w:t>
      </w:r>
      <w:r w:rsidRPr="00273106">
        <w:t xml:space="preserve">Sigerova verze prvního averroismu ukázala výjimečnost člověka a jeho </w:t>
      </w:r>
      <w:r>
        <w:t xml:space="preserve">zvláštní </w:t>
      </w:r>
      <w:r w:rsidRPr="00273106">
        <w:t xml:space="preserve">existenciální jednotu hned na začátku </w:t>
      </w:r>
      <w:r>
        <w:t>traktátu. Duše jako forma je složená díky odlišné povaze nemateriálního intelektu a je dána na jednom hylemorfickém substrátu (</w:t>
      </w:r>
      <w:r w:rsidRPr="002A3925">
        <w:rPr>
          <w:i/>
        </w:rPr>
        <w:t>subiectum</w:t>
      </w:r>
      <w:r>
        <w:rPr>
          <w:i/>
        </w:rPr>
        <w:fldChar w:fldCharType="begin"/>
      </w:r>
      <w:r>
        <w:instrText xml:space="preserve"> XE "</w:instrText>
      </w:r>
      <w:r w:rsidRPr="00360013">
        <w:rPr>
          <w:i/>
        </w:rPr>
        <w:instrText>subiectum:</w:instrText>
      </w:r>
      <w:r w:rsidRPr="009C48C5">
        <w:instrText>Siger</w:instrText>
      </w:r>
      <w:r>
        <w:instrText xml:space="preserve">" </w:instrText>
      </w:r>
      <w:r>
        <w:rPr>
          <w:i/>
        </w:rPr>
        <w:fldChar w:fldCharType="end"/>
      </w:r>
      <w:r>
        <w:t xml:space="preserve">). </w:t>
      </w:r>
      <w:r w:rsidRPr="00273106">
        <w:t xml:space="preserve">Úvod navíc ukázal, že </w:t>
      </w:r>
      <w:r>
        <w:t xml:space="preserve">záviděníhodný </w:t>
      </w:r>
      <w:r w:rsidRPr="00273106">
        <w:t xml:space="preserve">magistr </w:t>
      </w:r>
      <w:r>
        <w:t>zná na rozdíl od moderních sofistů a averroistů hodnotu</w:t>
      </w:r>
      <w:r w:rsidRPr="00273106">
        <w:t xml:space="preserve"> </w:t>
      </w:r>
      <w:r>
        <w:t xml:space="preserve">jasného </w:t>
      </w:r>
      <w:r w:rsidRPr="00273106">
        <w:t xml:space="preserve">myšlení a </w:t>
      </w:r>
      <w:r>
        <w:t xml:space="preserve">přesný význam </w:t>
      </w:r>
      <w:r w:rsidRPr="00273106">
        <w:t>slov</w:t>
      </w:r>
      <w:r>
        <w:t xml:space="preserve"> v ducha Dantova </w:t>
      </w:r>
      <w:r w:rsidR="00B54A60">
        <w:t>„</w:t>
      </w:r>
      <w:r w:rsidRPr="006B23AE">
        <w:rPr>
          <w:i/>
        </w:rPr>
        <w:t>silogizzò invidïosi veri</w:t>
      </w:r>
      <w:r w:rsidR="00B54A60">
        <w:t>“</w:t>
      </w:r>
      <w:r w:rsidRPr="00273106">
        <w:t>. Všechny jeho výrazy jsou nabité přesně danými logickými a metafyzickými významy, které je třeba správně rozlišovat a interpretovat.</w:t>
      </w:r>
      <w:r>
        <w:t xml:space="preserve"> Není divu, že latinští sofisté hnaní</w:t>
      </w:r>
      <w:r w:rsidR="00BE5355">
        <w:t xml:space="preserve"> motivem intelektuální závisti </w:t>
      </w:r>
      <w:r>
        <w:t>a mocenských pletich udělali ze Sigera averroistu.</w:t>
      </w:r>
    </w:p>
    <w:p w:rsidR="08163013" w:rsidRPr="00273106" w:rsidRDefault="08163013" w:rsidP="00F524C2">
      <w:r>
        <w:tab/>
      </w:r>
      <w:r w:rsidRPr="00273106">
        <w:t>Úvodní kvestie podala fenomenologii duševních aktů člověka daných specifickým působením intelektu. Rozdíly mezi různými akty duše vytýčily dva zákla</w:t>
      </w:r>
      <w:r>
        <w:t>dní směry. Za prvé. Č</w:t>
      </w:r>
      <w:r w:rsidRPr="00273106">
        <w:t>lověk existuje pouze v jedné substanci a pluralita substancí je vylouč</w:t>
      </w:r>
      <w:r>
        <w:t>ena. Za druhé. I</w:t>
      </w:r>
      <w:r w:rsidRPr="00273106">
        <w:t xml:space="preserve">ntelekt je dán jako univerzální </w:t>
      </w:r>
      <w:r>
        <w:t xml:space="preserve">nemateriální potence a podle </w:t>
      </w:r>
      <w:r>
        <w:rPr>
          <w:i/>
        </w:rPr>
        <w:t xml:space="preserve">De generatione </w:t>
      </w:r>
      <w:r w:rsidRPr="00B251A6">
        <w:rPr>
          <w:i/>
        </w:rPr>
        <w:t>anim</w:t>
      </w:r>
      <w:r>
        <w:rPr>
          <w:i/>
        </w:rPr>
        <w:t>alium</w:t>
      </w:r>
      <w:r>
        <w:t xml:space="preserve"> </w:t>
      </w:r>
      <w:proofErr w:type="gramStart"/>
      <w:r>
        <w:t>II.3 je</w:t>
      </w:r>
      <w:proofErr w:type="gramEnd"/>
      <w:r>
        <w:t xml:space="preserve"> daná zvnějšku</w:t>
      </w:r>
      <w:r w:rsidRPr="00273106">
        <w:t xml:space="preserve"> vůči smyslov</w:t>
      </w:r>
      <w:r>
        <w:t>é duši a organickému tělu. O</w:t>
      </w:r>
      <w:r w:rsidRPr="00273106">
        <w:t xml:space="preserve">ba body tvoří v reálu jeden pozorovaný jev daný na jedné </w:t>
      </w:r>
      <w:r w:rsidR="0037502A" w:rsidRPr="00273106">
        <w:t>substanci</w:t>
      </w:r>
      <w:r w:rsidR="0037502A">
        <w:t>, kterou zakouší každý z nás osobně</w:t>
      </w:r>
      <w:r w:rsidRPr="00273106">
        <w:t xml:space="preserve">. </w:t>
      </w:r>
      <w:r>
        <w:t>V</w:t>
      </w:r>
      <w:r w:rsidRPr="00273106">
        <w:t xml:space="preserve"> souladu s CMDA </w:t>
      </w:r>
      <w:r>
        <w:t xml:space="preserve">každý akt myšlení existuje pouze </w:t>
      </w:r>
      <w:r w:rsidRPr="00273106">
        <w:t xml:space="preserve">v rámci výkonu </w:t>
      </w:r>
      <w:r w:rsidR="00A3423C">
        <w:t xml:space="preserve">osobní </w:t>
      </w:r>
      <w:r w:rsidRPr="00273106">
        <w:t xml:space="preserve">existence </w:t>
      </w:r>
      <w:r w:rsidR="00A3423C">
        <w:t xml:space="preserve">dané v </w:t>
      </w:r>
      <w:r w:rsidRPr="00273106">
        <w:t>jednom hylemorfickém substrátu</w:t>
      </w:r>
      <w:r>
        <w:t xml:space="preserve"> těla </w:t>
      </w:r>
      <w:r w:rsidR="00A3423C">
        <w:t>zakoušeného v modu „</w:t>
      </w:r>
      <w:r w:rsidR="00A3423C" w:rsidRPr="00A3423C">
        <w:rPr>
          <w:i/>
        </w:rPr>
        <w:t>ipse</w:t>
      </w:r>
      <w:r w:rsidR="00A3423C">
        <w:t xml:space="preserve">“ </w:t>
      </w:r>
      <w:r w:rsidRPr="00273106">
        <w:t>(</w:t>
      </w:r>
      <w:r>
        <w:rPr>
          <w:i/>
        </w:rPr>
        <w:t>homo ipse intelligit</w:t>
      </w:r>
      <w:r>
        <w:rPr>
          <w:i/>
        </w:rPr>
        <w:fldChar w:fldCharType="begin"/>
      </w:r>
      <w:r>
        <w:instrText xml:space="preserve"> XE "</w:instrText>
      </w:r>
      <w:r w:rsidRPr="003041A8">
        <w:instrText>intelekt:Siger</w:instrText>
      </w:r>
      <w:r>
        <w:instrText xml:space="preserve">" </w:instrText>
      </w:r>
      <w:r>
        <w:rPr>
          <w:i/>
        </w:rPr>
        <w:fldChar w:fldCharType="end"/>
      </w:r>
      <w:r w:rsidRPr="00273106">
        <w:t xml:space="preserve">). Činnost intelektu </w:t>
      </w:r>
      <w:r>
        <w:t xml:space="preserve">determinuje </w:t>
      </w:r>
      <w:r w:rsidRPr="00273106">
        <w:t>nasvícení zepředu</w:t>
      </w:r>
      <w:r>
        <w:t xml:space="preserve"> od smyslů a poznání probíhá díky tělesné existenci osoby. </w:t>
      </w:r>
      <w:r w:rsidR="007C015D">
        <w:t>Proto je intelekt jako „</w:t>
      </w:r>
      <w:r w:rsidR="007C015D" w:rsidRPr="007C015D">
        <w:rPr>
          <w:i/>
        </w:rPr>
        <w:t>inmixtus</w:t>
      </w:r>
      <w:r w:rsidR="007C015D">
        <w:t>“ pouze „</w:t>
      </w:r>
      <w:r w:rsidR="007C015D" w:rsidRPr="007C015D">
        <w:rPr>
          <w:i/>
        </w:rPr>
        <w:t>obiective</w:t>
      </w:r>
      <w:r w:rsidR="007C015D">
        <w:t>“ vázaný na tělo (</w:t>
      </w:r>
      <w:r w:rsidR="007C015D" w:rsidRPr="00273106">
        <w:rPr>
          <w:i/>
        </w:rPr>
        <w:t>ab extrinseco</w:t>
      </w:r>
      <w:r w:rsidR="007C015D">
        <w:t>), ale je „</w:t>
      </w:r>
      <w:r w:rsidR="007C015D" w:rsidRPr="007C015D">
        <w:rPr>
          <w:i/>
        </w:rPr>
        <w:t>subiective</w:t>
      </w:r>
      <w:r w:rsidR="007C015D">
        <w:t>“</w:t>
      </w:r>
      <w:r w:rsidR="007C015D" w:rsidRPr="007C015D">
        <w:t xml:space="preserve"> </w:t>
      </w:r>
      <w:r w:rsidR="007C015D">
        <w:t xml:space="preserve">daný jako specifická schopnost </w:t>
      </w:r>
      <w:r w:rsidR="007C015D" w:rsidRPr="007C015D">
        <w:t>d</w:t>
      </w:r>
      <w:r w:rsidR="007C015D">
        <w:t>uše</w:t>
      </w:r>
      <w:r w:rsidR="007C015D" w:rsidRPr="007C015D">
        <w:t xml:space="preserve">, </w:t>
      </w:r>
      <w:r w:rsidR="007C015D">
        <w:t>která je jediná oživující forma</w:t>
      </w:r>
      <w:r w:rsidR="007C015D" w:rsidRPr="007C015D">
        <w:t xml:space="preserve"> těla.</w:t>
      </w:r>
      <w:r w:rsidR="007C015D">
        <w:t xml:space="preserve"> </w:t>
      </w:r>
      <w:r w:rsidRPr="00273106">
        <w:t>Li</w:t>
      </w:r>
      <w:r w:rsidR="007F1BF4">
        <w:t xml:space="preserve">dský intelekt přistupuje </w:t>
      </w:r>
      <w:r w:rsidR="00112EA9">
        <w:t xml:space="preserve">ke </w:t>
      </w:r>
      <w:r w:rsidR="00112EA9" w:rsidRPr="00273106">
        <w:t>smyslov</w:t>
      </w:r>
      <w:r w:rsidR="00112EA9">
        <w:t xml:space="preserve">ým </w:t>
      </w:r>
      <w:r w:rsidR="00112EA9" w:rsidRPr="00273106">
        <w:t>akt</w:t>
      </w:r>
      <w:r w:rsidR="00112EA9">
        <w:t>ům duše</w:t>
      </w:r>
      <w:r w:rsidR="00103C1A">
        <w:t xml:space="preserve">, které jsou dány </w:t>
      </w:r>
      <w:r w:rsidR="00103C1A" w:rsidRPr="00103C1A">
        <w:rPr>
          <w:i/>
        </w:rPr>
        <w:t>simpliciter</w:t>
      </w:r>
      <w:r w:rsidR="00103C1A">
        <w:t xml:space="preserve"> v tělesně určené substanci. Protože schopnost intelektu je daná vůči </w:t>
      </w:r>
      <w:r w:rsidR="002A0739">
        <w:t xml:space="preserve">smyslovým </w:t>
      </w:r>
      <w:r w:rsidR="00103C1A">
        <w:t>aktům v modu „</w:t>
      </w:r>
      <w:r w:rsidR="00103C1A" w:rsidRPr="00103C1A">
        <w:rPr>
          <w:i/>
        </w:rPr>
        <w:t>obiective</w:t>
      </w:r>
      <w:r w:rsidR="00103C1A">
        <w:t>“, pak intelekt mění duši na nový stav zvaný „</w:t>
      </w:r>
      <w:r w:rsidR="00103C1A">
        <w:rPr>
          <w:i/>
        </w:rPr>
        <w:t>anima intellec</w:t>
      </w:r>
      <w:r w:rsidR="00103C1A" w:rsidRPr="00103C1A">
        <w:rPr>
          <w:i/>
        </w:rPr>
        <w:t>tiva</w:t>
      </w:r>
      <w:r w:rsidR="00103C1A">
        <w:t xml:space="preserve">“, což je už zvláštní typ složeniny </w:t>
      </w:r>
      <w:r w:rsidR="00E10F94">
        <w:t>(</w:t>
      </w:r>
      <w:r w:rsidRPr="00273106">
        <w:rPr>
          <w:i/>
        </w:rPr>
        <w:t>compositum</w:t>
      </w:r>
      <w:r w:rsidR="00E10F94">
        <w:t>)</w:t>
      </w:r>
      <w:r w:rsidR="007C015D">
        <w:t xml:space="preserve">. </w:t>
      </w:r>
      <w:r>
        <w:t xml:space="preserve">Nemateriální intelekt v člověku </w:t>
      </w:r>
      <w:r w:rsidRPr="00273106">
        <w:t xml:space="preserve">není </w:t>
      </w:r>
      <w:r>
        <w:t xml:space="preserve">ani </w:t>
      </w:r>
      <w:r w:rsidRPr="00273106">
        <w:t xml:space="preserve">samostatnou </w:t>
      </w:r>
      <w:r w:rsidR="007C781F">
        <w:t xml:space="preserve">formou jako to má </w:t>
      </w:r>
      <w:r>
        <w:t>semiaverroismus, ani substancí</w:t>
      </w:r>
      <w:r w:rsidR="007C781F">
        <w:t xml:space="preserve"> jako to má</w:t>
      </w:r>
      <w:r w:rsidR="00103C1A">
        <w:t xml:space="preserve"> druhý averroismus</w:t>
      </w:r>
      <w:r w:rsidR="00F524C2">
        <w:t xml:space="preserve">. </w:t>
      </w:r>
      <w:r w:rsidRPr="00273106">
        <w:t xml:space="preserve">Druhá kvestie proto nemá žádný problém s odmítnutím božské povahy lidského intelektu, který někteří antičtí filosofové chápali univočně s První příčinou. </w:t>
      </w:r>
      <w:r w:rsidR="00BB0383" w:rsidRPr="00BB0383">
        <w:t>Díky objektivnímu spojení různých schopností je lidský intel</w:t>
      </w:r>
      <w:r w:rsidR="00D96974">
        <w:t>ekt založen na smyslových fantas</w:t>
      </w:r>
      <w:r w:rsidR="00BB0383" w:rsidRPr="00BB0383">
        <w:t>matech, proto nemůže mít charakter</w:t>
      </w:r>
      <w:r w:rsidR="00BB0383">
        <w:t xml:space="preserve"> odděleného aktivního intelektu</w:t>
      </w:r>
      <w:r w:rsidRPr="00273106">
        <w:t xml:space="preserve">. </w:t>
      </w:r>
    </w:p>
    <w:p w:rsidR="08163013" w:rsidRPr="0001378E" w:rsidRDefault="08163013" w:rsidP="08163013">
      <w:pPr>
        <w:pStyle w:val="Citace"/>
        <w:rPr>
          <w:noProof/>
          <w:lang w:val="cs-CZ"/>
        </w:rPr>
      </w:pPr>
      <w:r w:rsidRPr="00273106">
        <w:rPr>
          <w:noProof/>
          <w:lang w:val="cs-CZ"/>
        </w:rPr>
        <w:lastRenderedPageBreak/>
        <w:t>„</w:t>
      </w:r>
      <w:r>
        <w:rPr>
          <w:noProof/>
          <w:lang w:val="cs-CZ"/>
        </w:rPr>
        <w:t xml:space="preserve">(...) intelekt Prvního Hybatele je v posledku dobrota, jednoduchost a dokonalost. Náš intelekt ale není dobrota, jednoduchost a dokonalost, protože je k němu přiřazena i </w:t>
      </w:r>
      <w:r w:rsidR="00F10CDF">
        <w:rPr>
          <w:noProof/>
          <w:lang w:val="cs-CZ"/>
        </w:rPr>
        <w:t xml:space="preserve">určitá </w:t>
      </w:r>
      <w:r>
        <w:rPr>
          <w:noProof/>
          <w:lang w:val="cs-CZ"/>
        </w:rPr>
        <w:t>potence. Náš intelekt je v potenci vůči každému porozumění a proto rozumí skrze smyslové představy (</w:t>
      </w:r>
      <w:r w:rsidRPr="007250D3">
        <w:rPr>
          <w:i/>
          <w:noProof/>
        </w:rPr>
        <w:t>intelligit cum phantasmate</w:t>
      </w:r>
      <w:r>
        <w:rPr>
          <w:noProof/>
          <w:lang w:val="cs-CZ"/>
        </w:rPr>
        <w:t>).“ </w:t>
      </w:r>
      <w:r>
        <w:rPr>
          <w:rStyle w:val="Znakapoznpodarou"/>
        </w:rPr>
        <w:footnoteReference w:id="196"/>
      </w:r>
    </w:p>
    <w:p w:rsidR="003B6704" w:rsidRDefault="08163013" w:rsidP="003B6704">
      <w:r>
        <w:t>Na r</w:t>
      </w:r>
      <w:r w:rsidRPr="00273106">
        <w:t>ozdíl od činného stvořitelského intelektu (</w:t>
      </w:r>
      <w:r w:rsidRPr="00273106">
        <w:rPr>
          <w:i/>
        </w:rPr>
        <w:t>Primum Agens</w:t>
      </w:r>
      <w:r w:rsidRPr="00273106">
        <w:t xml:space="preserve">) </w:t>
      </w:r>
      <w:r>
        <w:t xml:space="preserve">představuje lidský intelekt </w:t>
      </w:r>
      <w:r w:rsidRPr="00273106">
        <w:t>kompozitum potence a aktuality (</w:t>
      </w:r>
      <w:r w:rsidRPr="00273106">
        <w:rPr>
          <w:i/>
        </w:rPr>
        <w:t>sit ei admixta potentia</w:t>
      </w:r>
      <w:r w:rsidRPr="00273106">
        <w:t xml:space="preserve">). </w:t>
      </w:r>
      <w:r>
        <w:t xml:space="preserve">Složený </w:t>
      </w:r>
      <w:r w:rsidRPr="00273106">
        <w:t xml:space="preserve">charakter duše je determinovám nasvícením intelektu </w:t>
      </w:r>
      <w:r>
        <w:t>zepředu. R</w:t>
      </w:r>
      <w:r w:rsidRPr="00273106">
        <w:t>eceptivní intelekt je vzhledem k poznání pouze v potenci (</w:t>
      </w:r>
      <w:r w:rsidRPr="00273106">
        <w:rPr>
          <w:i/>
        </w:rPr>
        <w:t>potentia unumquodque intelligibilium</w:t>
      </w:r>
      <w:r>
        <w:t xml:space="preserve">) a </w:t>
      </w:r>
      <w:r w:rsidRPr="00273106">
        <w:t>poznává jen skrze smyslová fantasmata (</w:t>
      </w:r>
      <w:r w:rsidRPr="00273106">
        <w:rPr>
          <w:i/>
        </w:rPr>
        <w:t>intelligit cum phantasmate</w:t>
      </w:r>
      <w:r w:rsidRPr="00273106">
        <w:t>).</w:t>
      </w:r>
      <w:r>
        <w:t xml:space="preserve"> Oddělenost lidského intelektu je dána tím, že primární aktualizace daná objektem myšlení musí být dána mimo intelekt ve smyslovém poznání. Proto intelekt není nějaká hypostázovaná </w:t>
      </w:r>
      <w:r w:rsidR="00962190">
        <w:rPr>
          <w:i/>
        </w:rPr>
        <w:t>species</w:t>
      </w:r>
      <w:r>
        <w:t xml:space="preserve"> nebo habitus avicennovské sebereflexe dané v substančním a vždy aktuálním intelektu „létajího muže“. </w:t>
      </w:r>
      <w:r w:rsidR="0002668D" w:rsidRPr="0002668D">
        <w:t>Základní vlastnost lidského intelektu vychází z bezprostředního poznání těla, které zakoušíme přímo a kauzálně (</w:t>
      </w:r>
      <w:r w:rsidR="001C458F">
        <w:rPr>
          <w:i/>
        </w:rPr>
        <w:t>ex</w:t>
      </w:r>
      <w:r w:rsidR="0002668D" w:rsidRPr="0002668D">
        <w:rPr>
          <w:i/>
        </w:rPr>
        <w:t xml:space="preserve"> inmediatis</w:t>
      </w:r>
      <w:r w:rsidR="0002668D">
        <w:rPr>
          <w:i/>
        </w:rPr>
        <w:fldChar w:fldCharType="begin"/>
      </w:r>
      <w:r w:rsidR="0002668D">
        <w:instrText xml:space="preserve"> XE "princip </w:instrText>
      </w:r>
      <w:r w:rsidR="001C458F">
        <w:rPr>
          <w:i/>
        </w:rPr>
        <w:instrText>ex</w:instrText>
      </w:r>
      <w:r w:rsidR="0002668D" w:rsidRPr="00272893">
        <w:rPr>
          <w:i/>
        </w:rPr>
        <w:instrText xml:space="preserve"> inmediatis</w:instrText>
      </w:r>
      <w:r w:rsidR="0002668D">
        <w:instrText xml:space="preserve">" </w:instrText>
      </w:r>
      <w:r w:rsidR="0002668D">
        <w:rPr>
          <w:i/>
        </w:rPr>
        <w:fldChar w:fldCharType="end"/>
      </w:r>
      <w:r w:rsidR="0002668D" w:rsidRPr="0002668D">
        <w:t xml:space="preserve">). </w:t>
      </w:r>
      <w:r w:rsidRPr="00273106">
        <w:t xml:space="preserve">Složená a individuální duše-forma není dána substanciálně pomocí </w:t>
      </w:r>
      <w:r w:rsidRPr="00BA2ED7">
        <w:rPr>
          <w:i/>
        </w:rPr>
        <w:t>ad hoc</w:t>
      </w:r>
      <w:r w:rsidRPr="00273106">
        <w:t xml:space="preserve"> vytvořené materie třetího druhu, jak to má druhý averroismus.</w:t>
      </w:r>
      <w:r>
        <w:t xml:space="preserve"> Siger výslovně odmítá jakoukoliv substancializaci lidského intelektu, včetně spirituální materie</w:t>
      </w:r>
      <w:r w:rsidR="00EA761F">
        <w:t xml:space="preserve"> Rufuse a Bonaventury</w:t>
      </w:r>
      <w:r>
        <w:t xml:space="preserve"> (</w:t>
      </w:r>
      <w:r w:rsidRPr="00960700">
        <w:rPr>
          <w:i/>
        </w:rPr>
        <w:t>dicitur a Quibusdam quod duplex est materia</w:t>
      </w:r>
      <w:r>
        <w:t>).</w:t>
      </w:r>
      <w:r w:rsidRPr="00273106">
        <w:rPr>
          <w:rStyle w:val="Znakapoznpodarou"/>
        </w:rPr>
        <w:footnoteReference w:id="197"/>
      </w:r>
      <w:r w:rsidRPr="00273106">
        <w:t xml:space="preserve"> </w:t>
      </w:r>
      <w:r>
        <w:t>Matematická abstrakce</w:t>
      </w:r>
      <w:r>
        <w:fldChar w:fldCharType="begin"/>
      </w:r>
      <w:r>
        <w:instrText xml:space="preserve"> XE "</w:instrText>
      </w:r>
      <w:r w:rsidRPr="009B3D7D">
        <w:instrText>abstrakce:matematická</w:instrText>
      </w:r>
      <w:r>
        <w:instrText xml:space="preserve">" </w:instrText>
      </w:r>
      <w:r>
        <w:fldChar w:fldCharType="end"/>
      </w:r>
      <w:r>
        <w:t xml:space="preserve"> je odvozená od materie v jejím hylemorfickém bytí vnímaném smyslově (</w:t>
      </w:r>
      <w:r w:rsidRPr="00262321">
        <w:rPr>
          <w:i/>
        </w:rPr>
        <w:t>ad suum esse est sensibilis</w:t>
      </w:r>
      <w:r>
        <w:t>). Proto její koncepty nemají samostatnou existenci mimo mysl abstrahující matematické významy ze smyslového poznání (</w:t>
      </w:r>
      <w:r w:rsidRPr="084E7A15">
        <w:rPr>
          <w:i/>
        </w:rPr>
        <w:t>in mathematicis sit materia sensibilis intelligibilis</w:t>
      </w:r>
      <w:r>
        <w:t>). Tím padla možnost numerické individualizace intelektu</w:t>
      </w:r>
      <w:r w:rsidR="004F1BF6">
        <w:t xml:space="preserve"> jako nesmyslná. </w:t>
      </w:r>
      <w:r w:rsidR="004F1BF6" w:rsidRPr="004F1BF6">
        <w:t xml:space="preserve">Intelekt je </w:t>
      </w:r>
      <w:r w:rsidR="004F1BF6">
        <w:t>reálný, protože existuje v modu „</w:t>
      </w:r>
      <w:r w:rsidR="004F1BF6" w:rsidRPr="004F1BF6">
        <w:rPr>
          <w:i/>
        </w:rPr>
        <w:t>subiective</w:t>
      </w:r>
      <w:r w:rsidR="004F1BF6">
        <w:t>"</w:t>
      </w:r>
      <w:r w:rsidR="004F1BF6" w:rsidRPr="004F1BF6">
        <w:t xml:space="preserve">, tedy v entelechické duši dané jako nehmotná forma těla. </w:t>
      </w:r>
      <w:r w:rsidRPr="00273106">
        <w:t>Kompozice intelektuální duše je dána na úrovni schopností intelektu, které vznikly smíšením potence a aktuality v procesu nemateriálního způsobu poznání.</w:t>
      </w:r>
      <w:r>
        <w:t xml:space="preserve"> </w:t>
      </w:r>
      <w:r w:rsidRPr="00273106">
        <w:t xml:space="preserve">Výhoda nemateriální </w:t>
      </w:r>
      <w:r>
        <w:t xml:space="preserve">povahy </w:t>
      </w:r>
      <w:r w:rsidR="003C50C0">
        <w:t xml:space="preserve">potenciálního </w:t>
      </w:r>
      <w:r w:rsidRPr="00273106">
        <w:t xml:space="preserve">intelektu je v tom, že má univerzálně receptivní </w:t>
      </w:r>
      <w:r>
        <w:t>charakter</w:t>
      </w:r>
      <w:r w:rsidRPr="00273106">
        <w:t xml:space="preserve"> vzhledem ke všem </w:t>
      </w:r>
      <w:r>
        <w:lastRenderedPageBreak/>
        <w:t xml:space="preserve">poznatelným </w:t>
      </w:r>
      <w:r w:rsidRPr="00273106">
        <w:t>formám</w:t>
      </w:r>
      <w:r>
        <w:t xml:space="preserve">. Důraz na potencialitu intelektu </w:t>
      </w:r>
      <w:proofErr w:type="gramStart"/>
      <w:r>
        <w:t>nasvíceném</w:t>
      </w:r>
      <w:proofErr w:type="gramEnd"/>
      <w:r>
        <w:t xml:space="preserve"> zepředu zajistil splnění základní Aristotelovy teze </w:t>
      </w:r>
      <w:r w:rsidRPr="0040545D">
        <w:t>(</w:t>
      </w:r>
      <w:r w:rsidRPr="0040545D">
        <w:rPr>
          <w:i/>
        </w:rPr>
        <w:t>De anima</w:t>
      </w:r>
      <w:r w:rsidRPr="0040545D">
        <w:t xml:space="preserve"> 431b21</w:t>
      </w:r>
      <w:r w:rsidRPr="0040545D">
        <w:fldChar w:fldCharType="begin"/>
      </w:r>
      <w:r w:rsidRPr="0040545D">
        <w:instrText xml:space="preserve"> XE "Aristoteles:</w:instrText>
      </w:r>
      <w:r w:rsidRPr="0040545D">
        <w:rPr>
          <w:i/>
        </w:rPr>
        <w:instrText>De anima</w:instrText>
      </w:r>
      <w:r w:rsidRPr="0040545D">
        <w:instrText xml:space="preserve"> 431b21" </w:instrText>
      </w:r>
      <w:r w:rsidRPr="0040545D">
        <w:fldChar w:fldCharType="end"/>
      </w:r>
      <w:r w:rsidRPr="0040545D">
        <w:t>),</w:t>
      </w:r>
      <w:r>
        <w:t xml:space="preserve"> že duše musí být potenciálně vším, aby mohla vše poznávat (</w:t>
      </w:r>
      <w:r w:rsidRPr="00273106">
        <w:rPr>
          <w:rStyle w:val="st"/>
          <w:bCs/>
          <w:i/>
        </w:rPr>
        <w:t>anima</w:t>
      </w:r>
      <w:r w:rsidRPr="00273106">
        <w:rPr>
          <w:rStyle w:val="st"/>
          <w:i/>
        </w:rPr>
        <w:t xml:space="preserve"> est </w:t>
      </w:r>
      <w:r w:rsidRPr="00273106">
        <w:rPr>
          <w:rStyle w:val="st"/>
          <w:bCs/>
          <w:i/>
        </w:rPr>
        <w:t>quodammodo omnia</w:t>
      </w:r>
      <w:r>
        <w:t>). Nemateriální d</w:t>
      </w:r>
      <w:r w:rsidRPr="00273106">
        <w:t xml:space="preserve">uše </w:t>
      </w:r>
      <w:r>
        <w:t xml:space="preserve">je forma pro schopnost nemateriálního intelektu, který vzhledem k aktuálnímu poznání předávanému smysly funguje jako univerzální potence. Proto </w:t>
      </w:r>
      <w:r w:rsidRPr="00273106">
        <w:t xml:space="preserve">je </w:t>
      </w:r>
      <w:r>
        <w:t xml:space="preserve">receptivní intelekt </w:t>
      </w:r>
      <w:r w:rsidRPr="00273106">
        <w:t xml:space="preserve">vzhledem k poznání </w:t>
      </w:r>
      <w:r>
        <w:t xml:space="preserve">opravdu </w:t>
      </w:r>
      <w:r w:rsidR="003B6704">
        <w:t xml:space="preserve">vším. </w:t>
      </w:r>
      <w:r>
        <w:t>Výklad ukazuje, že d</w:t>
      </w:r>
      <w:r w:rsidRPr="00273106">
        <w:t xml:space="preserve">ruhá kvestie má metodologický charakter </w:t>
      </w:r>
      <w:r>
        <w:t xml:space="preserve">zásadního </w:t>
      </w:r>
      <w:r w:rsidRPr="00273106">
        <w:t xml:space="preserve">významu. </w:t>
      </w:r>
      <w:r>
        <w:t xml:space="preserve">Brilantní výklad poznání </w:t>
      </w:r>
      <w:r w:rsidRPr="00273106">
        <w:t>odmít</w:t>
      </w:r>
      <w:r>
        <w:t>nul</w:t>
      </w:r>
      <w:r w:rsidRPr="00273106">
        <w:t xml:space="preserve"> nejen </w:t>
      </w:r>
      <w:r>
        <w:t xml:space="preserve">schizofrenické </w:t>
      </w:r>
      <w:r w:rsidR="00A35F13">
        <w:t>určení osoby</w:t>
      </w:r>
      <w:r w:rsidRPr="00273106">
        <w:t>, ale také unitární ontoteologii</w:t>
      </w:r>
      <w:r>
        <w:fldChar w:fldCharType="begin"/>
      </w:r>
      <w:r>
        <w:instrText xml:space="preserve"> XE "</w:instrText>
      </w:r>
      <w:r w:rsidRPr="00A45678">
        <w:rPr>
          <w:rStyle w:val="addmd"/>
        </w:rPr>
        <w:instrText>ontoteologie</w:instrText>
      </w:r>
      <w:r>
        <w:instrText xml:space="preserve">" </w:instrText>
      </w:r>
      <w:r>
        <w:fldChar w:fldCharType="end"/>
      </w:r>
      <w:r w:rsidRPr="00273106">
        <w:t xml:space="preserve">, na které toto </w:t>
      </w:r>
      <w:r>
        <w:t>problematické u</w:t>
      </w:r>
      <w:r w:rsidRPr="00273106">
        <w:t xml:space="preserve">čení </w:t>
      </w:r>
      <w:r w:rsidRPr="0039677F">
        <w:rPr>
          <w:i/>
        </w:rPr>
        <w:t>Modernorum</w:t>
      </w:r>
      <w:r>
        <w:t xml:space="preserve"> </w:t>
      </w:r>
      <w:r w:rsidRPr="00273106">
        <w:t>stojí</w:t>
      </w:r>
      <w:r>
        <w:t>. Odmítnutí matematických entit daných abstrakcí z reálné materie a proto existujících pouze v duši odmítlo i jakoukoliv numeri</w:t>
      </w:r>
      <w:r w:rsidR="003B6704">
        <w:t>ckou definici intelektu a duše.</w:t>
      </w:r>
    </w:p>
    <w:p w:rsidR="08163013" w:rsidRPr="00273106" w:rsidRDefault="08163013" w:rsidP="003B6704">
      <w:pPr>
        <w:ind w:firstLine="397"/>
      </w:pPr>
      <w:r>
        <w:t>Zkoumání duše do sebe zahrnuje filosofickou a teologickou otázku</w:t>
      </w:r>
      <w:r w:rsidRPr="00273106">
        <w:t xml:space="preserve"> věčn</w:t>
      </w:r>
      <w:r>
        <w:t xml:space="preserve">osti světa a duše, což byla dvě hlavní </w:t>
      </w:r>
      <w:r w:rsidR="006813A7">
        <w:t>témata sporů 1270‒77</w:t>
      </w:r>
      <w:r w:rsidRPr="00273106">
        <w:t xml:space="preserve">. Siger stejně jako </w:t>
      </w:r>
      <w:r>
        <w:t>Averroes</w:t>
      </w:r>
      <w:r w:rsidRPr="00273106">
        <w:t xml:space="preserve"> zásadně brání argumentaci Aristotelovy </w:t>
      </w:r>
      <w:r w:rsidRPr="080362F1">
        <w:rPr>
          <w:i/>
        </w:rPr>
        <w:t>Fyziky</w:t>
      </w:r>
      <w:r w:rsidRPr="00273106">
        <w:t xml:space="preserve"> a </w:t>
      </w:r>
      <w:r w:rsidRPr="080362F1">
        <w:rPr>
          <w:i/>
        </w:rPr>
        <w:t>Metafyziky</w:t>
      </w:r>
      <w:r>
        <w:t>, protože jen ta vytváří pravdivý metafyzický rámec nauky o duši</w:t>
      </w:r>
      <w:r w:rsidRPr="00273106">
        <w:t xml:space="preserve">. Protože </w:t>
      </w:r>
      <w:r w:rsidRPr="00273106">
        <w:rPr>
          <w:i/>
        </w:rPr>
        <w:t>compositum</w:t>
      </w:r>
      <w:r w:rsidRPr="00273106">
        <w:t xml:space="preserve"> duše není </w:t>
      </w:r>
      <w:r>
        <w:t xml:space="preserve">díky intelektu </w:t>
      </w:r>
      <w:r w:rsidRPr="00273106">
        <w:t xml:space="preserve">materiální povahy, </w:t>
      </w:r>
      <w:r>
        <w:t xml:space="preserve">pak </w:t>
      </w:r>
      <w:r w:rsidRPr="00273106">
        <w:t xml:space="preserve">intelektuální duše nemohla vzniknout </w:t>
      </w:r>
      <w:r>
        <w:t xml:space="preserve">podle Aristotelovy </w:t>
      </w:r>
      <w:r w:rsidRPr="080362F1">
        <w:rPr>
          <w:i/>
        </w:rPr>
        <w:t>Fyziky</w:t>
      </w:r>
      <w:r>
        <w:t xml:space="preserve">, tedy </w:t>
      </w:r>
      <w:r w:rsidRPr="00273106">
        <w:t>v čase vázané</w:t>
      </w:r>
      <w:r>
        <w:t>m</w:t>
      </w:r>
      <w:r w:rsidRPr="00273106">
        <w:t xml:space="preserve"> na proměnu a na pohyb tělesa (</w:t>
      </w:r>
      <w:r w:rsidRPr="00273106">
        <w:rPr>
          <w:i/>
        </w:rPr>
        <w:t>transmutatio</w:t>
      </w:r>
      <w:r w:rsidRPr="00273106">
        <w:t>).</w:t>
      </w:r>
      <w:r>
        <w:rPr>
          <w:rStyle w:val="Znakapoznpodarou"/>
        </w:rPr>
        <w:footnoteReference w:id="198"/>
      </w:r>
      <w:r w:rsidRPr="00273106">
        <w:t xml:space="preserve"> </w:t>
      </w:r>
      <w:r>
        <w:t>I</w:t>
      </w:r>
      <w:r w:rsidRPr="00273106">
        <w:t>ntelekt a duše jsou nemateriální povahy</w:t>
      </w:r>
      <w:r>
        <w:t>. J</w:t>
      </w:r>
      <w:r w:rsidRPr="00273106">
        <w:t>akákoliv forma materie daná ve formě subsistentního bytí je vyloučena, protože předpokládá změnu materiální substance</w:t>
      </w:r>
      <w:r>
        <w:t xml:space="preserve"> v čase daném pohybem a změnou</w:t>
      </w:r>
      <w:r>
        <w:fldChar w:fldCharType="begin"/>
      </w:r>
      <w:r>
        <w:instrText xml:space="preserve"> XE "</w:instrText>
      </w:r>
      <w:r w:rsidRPr="00091CA0">
        <w:instrText>duše:věčnost</w:instrText>
      </w:r>
      <w:r>
        <w:instrText xml:space="preserve">" </w:instrText>
      </w:r>
      <w:r>
        <w:fldChar w:fldCharType="end"/>
      </w:r>
      <w:r w:rsidRPr="00273106">
        <w:t xml:space="preserve">. Nemateriální intelekt a duše </w:t>
      </w:r>
      <w:r>
        <w:t xml:space="preserve">ale </w:t>
      </w:r>
      <w:r w:rsidRPr="00273106">
        <w:t xml:space="preserve">nevylučuje </w:t>
      </w:r>
      <w:r>
        <w:t xml:space="preserve">stvoření </w:t>
      </w:r>
      <w:r w:rsidRPr="00C93F77">
        <w:rPr>
          <w:i/>
        </w:rPr>
        <w:t>ex nihilo</w:t>
      </w:r>
      <w:r>
        <w:rPr>
          <w:i/>
        </w:rPr>
        <w:fldChar w:fldCharType="begin"/>
      </w:r>
      <w:r>
        <w:instrText xml:space="preserve"> XE "</w:instrText>
      </w:r>
      <w:r w:rsidRPr="00474AE2">
        <w:rPr>
          <w:i/>
        </w:rPr>
        <w:instrText>creatio ex nihilo</w:instrText>
      </w:r>
      <w:r>
        <w:instrText xml:space="preserve">" </w:instrText>
      </w:r>
      <w:r>
        <w:rPr>
          <w:i/>
        </w:rPr>
        <w:fldChar w:fldCharType="end"/>
      </w:r>
      <w:r w:rsidRPr="00273106">
        <w:t xml:space="preserve">. </w:t>
      </w:r>
      <w:r>
        <w:t>Tvoření duše ovšem indikuje ve filosofii otázku změny stavu a pohyb před stvořením, popřípadě otázku tvoření duše či intelektu ve věčnosti, či jejich věčného</w:t>
      </w:r>
      <w:r w:rsidRPr="00273106">
        <w:t xml:space="preserve"> trvání.</w:t>
      </w:r>
      <w:r w:rsidRPr="00273106">
        <w:rPr>
          <w:rStyle w:val="Znakapoznpodarou"/>
        </w:rPr>
        <w:footnoteReference w:id="199"/>
      </w:r>
      <w:r>
        <w:t xml:space="preserve"> Citované </w:t>
      </w:r>
      <w:r w:rsidRPr="00273106">
        <w:rPr>
          <w:i/>
        </w:rPr>
        <w:t>inconveniens</w:t>
      </w:r>
      <w:r w:rsidRPr="00273106">
        <w:t xml:space="preserve"> je podle Sigera v tom, že stvoření </w:t>
      </w:r>
      <w:r>
        <w:t>duše či intelektu by provedlo změnu</w:t>
      </w:r>
      <w:r w:rsidRPr="00273106">
        <w:t xml:space="preserve"> </w:t>
      </w:r>
      <w:r>
        <w:lastRenderedPageBreak/>
        <w:t>na věčnosti danou</w:t>
      </w:r>
      <w:r w:rsidRPr="00273106">
        <w:t xml:space="preserve"> přechodem od nebytí k bytí (</w:t>
      </w:r>
      <w:r w:rsidRPr="00273106">
        <w:rPr>
          <w:i/>
        </w:rPr>
        <w:t>transmutatio</w:t>
      </w:r>
      <w:r w:rsidRPr="00273106">
        <w:t>).</w:t>
      </w:r>
      <w:r w:rsidRPr="00273106">
        <w:rPr>
          <w:rStyle w:val="Znakapoznpodarou"/>
        </w:rPr>
        <w:footnoteReference w:id="200"/>
      </w:r>
      <w:r w:rsidRPr="00273106">
        <w:t xml:space="preserve"> To je podle Aristotela nepřijatelné vzhledem k povaze pr</w:t>
      </w:r>
      <w:r>
        <w:t>vního intelektu jako Nehybného H</w:t>
      </w:r>
      <w:r w:rsidRPr="00273106">
        <w:t>ybatele</w:t>
      </w:r>
      <w:r>
        <w:t>. Stvoření duše na věčnosti předpokládá změnu v božím bytí (</w:t>
      </w:r>
      <w:r w:rsidRPr="00A82A21">
        <w:rPr>
          <w:i/>
        </w:rPr>
        <w:t xml:space="preserve">sua actio esset nova et transmutaretur, si aliquid faceret de </w:t>
      </w:r>
      <w:proofErr w:type="gramStart"/>
      <w:r w:rsidRPr="00A82A21">
        <w:rPr>
          <w:i/>
        </w:rPr>
        <w:t>novo</w:t>
      </w:r>
      <w:proofErr w:type="gramEnd"/>
      <w:r>
        <w:t>)</w:t>
      </w:r>
      <w:r w:rsidRPr="00273106">
        <w:t>.</w:t>
      </w:r>
      <w:r>
        <w:t xml:space="preserve"> </w:t>
      </w:r>
      <w:r w:rsidRPr="00273106">
        <w:t>Duše je podle Aristotela trvalá kosmická forma existující čase věčného trvání daného intelektuálním pohybem mysli (</w:t>
      </w:r>
      <w:r w:rsidRPr="00273106">
        <w:rPr>
          <w:i/>
        </w:rPr>
        <w:t>quoddam est tempus quod est mensura motus continui;</w:t>
      </w:r>
      <w:r w:rsidRPr="001E128F">
        <w:t xml:space="preserve"> </w:t>
      </w:r>
      <w:r>
        <w:t>QIIIDA</w:t>
      </w:r>
      <w:r w:rsidRPr="00273106">
        <w:t>, q. 3, p. 9.39</w:t>
      </w:r>
      <w:r>
        <w:fldChar w:fldCharType="begin"/>
      </w:r>
      <w:r>
        <w:instrText xml:space="preserve"> XE "</w:instrText>
      </w:r>
      <w:r w:rsidRPr="00C40514">
        <w:instrText>Siger:</w:instrText>
      </w:r>
      <w:r>
        <w:rPr>
          <w:i/>
        </w:rPr>
        <w:instrText>Quaestiones in tertium D</w:instrText>
      </w:r>
      <w:r w:rsidRPr="00472F38">
        <w:rPr>
          <w:i/>
        </w:rPr>
        <w:instrText>e anima</w:instrText>
      </w:r>
      <w:r w:rsidRPr="0019480E">
        <w:instrText xml:space="preserve"> </w:instrText>
      </w:r>
      <w:r>
        <w:instrText xml:space="preserve">3.39" </w:instrText>
      </w:r>
      <w:r>
        <w:fldChar w:fldCharType="end"/>
      </w:r>
      <w:r w:rsidRPr="00273106">
        <w:t xml:space="preserve">). Tato čistě formální potence duše je dána pouze v řadě formálních </w:t>
      </w:r>
      <w:r>
        <w:t xml:space="preserve">a věčných </w:t>
      </w:r>
      <w:r w:rsidRPr="00273106">
        <w:t xml:space="preserve">„nyní“ ustavených pohybem </w:t>
      </w:r>
      <w:r>
        <w:t xml:space="preserve">nemateriálního </w:t>
      </w:r>
      <w:r w:rsidRPr="00273106">
        <w:t>intelektu jako čisté kosmické formy (</w:t>
      </w:r>
      <w:r w:rsidRPr="00273106">
        <w:rPr>
          <w:i/>
        </w:rPr>
        <w:t>tale tempus non componitur ex ipsis nunc</w:t>
      </w:r>
      <w:r w:rsidRPr="00273106">
        <w:t xml:space="preserve">; </w:t>
      </w:r>
      <w:r>
        <w:t>ibid, p. 9.</w:t>
      </w:r>
      <w:r w:rsidRPr="00273106">
        <w:t>40</w:t>
      </w:r>
      <w:r>
        <w:fldChar w:fldCharType="begin"/>
      </w:r>
      <w:r>
        <w:instrText xml:space="preserve"> XE "</w:instrText>
      </w:r>
      <w:r w:rsidRPr="00C40514">
        <w:instrText>Siger:</w:instrText>
      </w:r>
      <w:r>
        <w:rPr>
          <w:i/>
        </w:rPr>
        <w:instrText>Quaestiones in tertium D</w:instrText>
      </w:r>
      <w:r w:rsidRPr="00472F38">
        <w:rPr>
          <w:i/>
        </w:rPr>
        <w:instrText>e anima</w:instrText>
      </w:r>
      <w:r w:rsidRPr="0019480E">
        <w:instrText xml:space="preserve"> </w:instrText>
      </w:r>
      <w:r>
        <w:instrText xml:space="preserve">9.39‒40" </w:instrText>
      </w:r>
      <w:r>
        <w:fldChar w:fldCharType="end"/>
      </w:r>
      <w:r w:rsidRPr="00273106">
        <w:t>). Siger dodává, že to nijak nebrání v tom, aby byla i t</w:t>
      </w:r>
      <w:r>
        <w:t>ato trvalá</w:t>
      </w:r>
      <w:r w:rsidRPr="00273106">
        <w:t xml:space="preserve"> forma stvořena podle křesťanské nauky. </w:t>
      </w:r>
      <w:r>
        <w:t xml:space="preserve">Duše byla stvořena jako všechny věci vybavené určitou mírou potence a existuje ve formálním a bezčasovém </w:t>
      </w:r>
      <w:r w:rsidRPr="00273106">
        <w:rPr>
          <w:i/>
        </w:rPr>
        <w:t>nunc</w:t>
      </w:r>
      <w:r>
        <w:t xml:space="preserve">. Tato bezčasová existence </w:t>
      </w:r>
      <w:r w:rsidRPr="08906B27">
        <w:rPr>
          <w:i/>
        </w:rPr>
        <w:t>anima intellectiva</w:t>
      </w:r>
      <w:r>
        <w:t xml:space="preserve"> je daná </w:t>
      </w:r>
      <w:r w:rsidRPr="00273106">
        <w:t xml:space="preserve">ve věčném trvání </w:t>
      </w:r>
      <w:r>
        <w:t xml:space="preserve">nemateriálních kosmických inteligencí, což </w:t>
      </w:r>
      <w:r w:rsidRPr="00273106">
        <w:t>není v rozporu s boží stvořitelskou věčností zcela oddělenou od stvoření.</w:t>
      </w:r>
      <w:bookmarkStart w:id="33" w:name="_Ref408130469"/>
      <w:r>
        <w:t xml:space="preserve"> V žádném případě ale není možná definice duše jako </w:t>
      </w:r>
      <w:r w:rsidR="00962190">
        <w:rPr>
          <w:i/>
        </w:rPr>
        <w:t>species</w:t>
      </w:r>
      <w:r>
        <w:t xml:space="preserve"> třetího druhu v univerzálním hylemorfismu </w:t>
      </w:r>
      <w:r w:rsidRPr="00B7111B">
        <w:rPr>
          <w:i/>
        </w:rPr>
        <w:t>Modernorum</w:t>
      </w:r>
      <w:r>
        <w:t xml:space="preserve">. Stvoření tohoto </w:t>
      </w:r>
      <w:r w:rsidR="00962190">
        <w:rPr>
          <w:i/>
        </w:rPr>
        <w:t>species</w:t>
      </w:r>
      <w:r>
        <w:t xml:space="preserve"> by předpokládalo fyzikální změnu danou vznikem materie, což by znamenalo zrušení nemateriality duše a intelektu</w:t>
      </w:r>
      <w:r>
        <w:fldChar w:fldCharType="begin"/>
      </w:r>
      <w:r>
        <w:instrText xml:space="preserve"> XE "</w:instrText>
      </w:r>
      <w:r w:rsidRPr="000419A8">
        <w:instrText>věčnost světa</w:instrText>
      </w:r>
      <w:r>
        <w:instrText xml:space="preserve">" </w:instrText>
      </w:r>
      <w:r>
        <w:fldChar w:fldCharType="end"/>
      </w:r>
      <w:r>
        <w:t xml:space="preserve">. Podobně argumentuje spis </w:t>
      </w:r>
      <w:r w:rsidRPr="0066169A">
        <w:rPr>
          <w:i/>
        </w:rPr>
        <w:t>De aeternitate mundi</w:t>
      </w:r>
      <w:r>
        <w:t xml:space="preserve"> (1272). Věčnost lidstva jako celku nemůže být dána stejně jako u nemateriálních kosmických inteligencí.</w:t>
      </w:r>
      <w:r w:rsidRPr="00273106">
        <w:rPr>
          <w:rStyle w:val="Znakapoznpodarou"/>
        </w:rPr>
        <w:footnoteReference w:id="201"/>
      </w:r>
      <w:r>
        <w:t xml:space="preserve"> Člověk se rodí z člověka náhodou a jeho druhové určení </w:t>
      </w:r>
      <w:r w:rsidR="085A3A77">
        <w:t xml:space="preserve">v intelektu </w:t>
      </w:r>
      <w:r>
        <w:t>je vázáno na kontigentní výskyt materiálního jednotlivce</w:t>
      </w:r>
      <w:r w:rsidR="087049D6">
        <w:t xml:space="preserve">. To </w:t>
      </w:r>
      <w:r>
        <w:t xml:space="preserve">není případ hvězdných sfér daných nutně a věčně mimo materii. Postulovat věčné </w:t>
      </w:r>
      <w:r w:rsidR="00962190">
        <w:rPr>
          <w:i/>
        </w:rPr>
        <w:t>species</w:t>
      </w:r>
      <w:r w:rsidRPr="000D7541">
        <w:rPr>
          <w:i/>
        </w:rPr>
        <w:t xml:space="preserve"> humana</w:t>
      </w:r>
      <w:r>
        <w:t xml:space="preserve"> podle druhého averroismu a </w:t>
      </w:r>
      <w:r w:rsidRPr="000D7541">
        <w:rPr>
          <w:i/>
        </w:rPr>
        <w:t>Nominales</w:t>
      </w:r>
      <w:r>
        <w:t xml:space="preserve"> představuje nesmysl přímo kosmického charakteru</w:t>
      </w:r>
      <w:r>
        <w:fldChar w:fldCharType="begin"/>
      </w:r>
      <w:r>
        <w:instrText xml:space="preserve"> XE "</w:instrText>
      </w:r>
      <w:r w:rsidRPr="003D11DB">
        <w:instrText>humanismus:Siger</w:instrText>
      </w:r>
      <w:r>
        <w:instrText xml:space="preserve">" </w:instrText>
      </w:r>
      <w:r>
        <w:fldChar w:fldCharType="end"/>
      </w:r>
      <w:r>
        <w:t xml:space="preserve">. Bůh by vytvořil naprosto zbytečné věčné jsoucno dané mimo výskyt člověka jako první substance. Toto zbytečné jsoucno by existovalo v kosmu jako přebytečná </w:t>
      </w:r>
      <w:r w:rsidR="00962190">
        <w:rPr>
          <w:i/>
        </w:rPr>
        <w:t>species</w:t>
      </w:r>
      <w:r>
        <w:t xml:space="preserve"> daná jako výsměch vší stvořitelské racionalitě (</w:t>
      </w:r>
      <w:r w:rsidRPr="005A0824">
        <w:rPr>
          <w:i/>
        </w:rPr>
        <w:t>frivola ratione decepti</w:t>
      </w:r>
      <w:r>
        <w:rPr>
          <w:i/>
        </w:rPr>
        <w:t>;</w:t>
      </w:r>
      <w:r w:rsidRPr="088614FE">
        <w:rPr>
          <w:i/>
        </w:rPr>
        <w:t xml:space="preserve"> </w:t>
      </w:r>
      <w:r w:rsidRPr="0066169A">
        <w:rPr>
          <w:i/>
        </w:rPr>
        <w:t>De aeternitate mundi</w:t>
      </w:r>
      <w:r w:rsidRPr="08D93D43">
        <w:t xml:space="preserve">, </w:t>
      </w:r>
      <w:r>
        <w:t>p. 120.57</w:t>
      </w:r>
      <w:r>
        <w:fldChar w:fldCharType="begin"/>
      </w:r>
      <w:r>
        <w:instrText xml:space="preserve"> XE Siger:</w:instrText>
      </w:r>
      <w:r w:rsidRPr="0066169A">
        <w:rPr>
          <w:i/>
        </w:rPr>
        <w:instrText>De aeternitate mundi</w:instrText>
      </w:r>
      <w:r w:rsidRPr="00D33583">
        <w:instrText xml:space="preserve"> 120.57</w:instrText>
      </w:r>
      <w:r>
        <w:instrText xml:space="preserve">" </w:instrText>
      </w:r>
      <w:r>
        <w:fldChar w:fldCharType="end"/>
      </w:r>
      <w:r>
        <w:t>)</w:t>
      </w:r>
      <w:bookmarkEnd w:id="33"/>
      <w:r>
        <w:t xml:space="preserve">. Lidstvo jako druh je jen abstrakce daná pouze v naší mysli v podobě Averroesova </w:t>
      </w:r>
      <w:r w:rsidRPr="00BE79FC">
        <w:rPr>
          <w:i/>
        </w:rPr>
        <w:t xml:space="preserve">quartum </w:t>
      </w:r>
      <w:r w:rsidR="00962190">
        <w:rPr>
          <w:i/>
        </w:rPr>
        <w:t>genus</w:t>
      </w:r>
      <w:r>
        <w:rPr>
          <w:i/>
        </w:rPr>
        <w:fldChar w:fldCharType="begin"/>
      </w:r>
      <w:r>
        <w:instrText xml:space="preserve"> XE "</w:instrText>
      </w:r>
      <w:r w:rsidRPr="00191848">
        <w:rPr>
          <w:i/>
        </w:rPr>
        <w:instrText xml:space="preserve">quartum </w:instrText>
      </w:r>
      <w:r w:rsidRPr="00191848">
        <w:rPr>
          <w:i/>
        </w:rPr>
        <w:lastRenderedPageBreak/>
        <w:instrText>genus</w:instrText>
      </w:r>
      <w:r>
        <w:instrText xml:space="preserve">" </w:instrText>
      </w:r>
      <w:r>
        <w:rPr>
          <w:i/>
        </w:rPr>
        <w:fldChar w:fldCharType="end"/>
      </w:r>
      <w:r>
        <w:t xml:space="preserve"> v CMDA. K</w:t>
      </w:r>
      <w:r w:rsidRPr="00273106">
        <w:t xml:space="preserve">ritický Siger </w:t>
      </w:r>
      <w:r>
        <w:t xml:space="preserve">oddělil inteligibilní </w:t>
      </w:r>
      <w:r w:rsidR="00962190">
        <w:rPr>
          <w:i/>
        </w:rPr>
        <w:t>species</w:t>
      </w:r>
      <w:r>
        <w:t xml:space="preserve"> a lidský intelekt od subsistentních kosmických forem. Vyloučení věčných </w:t>
      </w:r>
      <w:r w:rsidR="00962190">
        <w:rPr>
          <w:i/>
        </w:rPr>
        <w:t>species</w:t>
      </w:r>
      <w:r>
        <w:t xml:space="preserve"> daných jako exemplary v boží mysli zásadně změnilo vztah prvního averroismu ke stvoření, který nemůže produkovat ontoteologickou formu objektivity podle biblické verze </w:t>
      </w:r>
      <w:r w:rsidRPr="08D93D43">
        <w:rPr>
          <w:i/>
        </w:rPr>
        <w:t>Oxfordian Fallacy</w:t>
      </w:r>
      <w:r>
        <w:t xml:space="preserve"> dané v Bonaventurově škole. Siger </w:t>
      </w:r>
      <w:r w:rsidRPr="00273106">
        <w:t>odmít</w:t>
      </w:r>
      <w:r>
        <w:t>l</w:t>
      </w:r>
      <w:r w:rsidRPr="00273106">
        <w:t xml:space="preserve"> všechny ontoteologické spekulace</w:t>
      </w:r>
      <w:r>
        <w:t xml:space="preserve"> moderny</w:t>
      </w:r>
      <w:r w:rsidRPr="00273106">
        <w:t>, které vidí přímo do boží</w:t>
      </w:r>
      <w:r>
        <w:t xml:space="preserve"> esence. </w:t>
      </w:r>
      <w:r w:rsidRPr="00273106">
        <w:t xml:space="preserve">Důvod stvoření nebo věčnosti </w:t>
      </w:r>
      <w:r>
        <w:t xml:space="preserve">duše ve formální řadě </w:t>
      </w:r>
      <w:r w:rsidRPr="00273106">
        <w:rPr>
          <w:i/>
        </w:rPr>
        <w:t>nunc</w:t>
      </w:r>
      <w:r w:rsidRPr="00273106">
        <w:t xml:space="preserve"> je pouze v samotné boží vůli</w:t>
      </w:r>
      <w:r>
        <w:t>. Z hlediska filosofie</w:t>
      </w:r>
      <w:r w:rsidRPr="00273106">
        <w:t xml:space="preserve"> k tomu nelze říci nic víc. Co a jak dává tato </w:t>
      </w:r>
      <w:r>
        <w:t xml:space="preserve">boží </w:t>
      </w:r>
      <w:r w:rsidRPr="00273106">
        <w:t xml:space="preserve">vůle sama u sebe a ze sebe, to je dáno absolutně, a pro nás </w:t>
      </w:r>
      <w:r>
        <w:t xml:space="preserve">už </w:t>
      </w:r>
      <w:r w:rsidRPr="00273106">
        <w:t xml:space="preserve">zcela nepoznatelně. Ontoteologické spekulace v rámci </w:t>
      </w:r>
      <w:r w:rsidRPr="00273106">
        <w:rPr>
          <w:i/>
        </w:rPr>
        <w:t>potentia divina</w:t>
      </w:r>
      <w:r w:rsidRPr="00273106">
        <w:t xml:space="preserve"> nebo exemplarů jsou nepřijatelné</w:t>
      </w:r>
      <w:r>
        <w:t xml:space="preserve"> v oboru přirozeného filosofického poznání</w:t>
      </w:r>
      <w:r>
        <w:fldChar w:fldCharType="begin"/>
      </w:r>
      <w:r>
        <w:instrText xml:space="preserve"> XE "</w:instrText>
      </w:r>
      <w:r w:rsidRPr="00EE6E26">
        <w:instrText>ontoteologie:kritika Sigera</w:instrText>
      </w:r>
      <w:r>
        <w:instrText xml:space="preserve">" </w:instrText>
      </w:r>
      <w:r>
        <w:fldChar w:fldCharType="end"/>
      </w:r>
      <w:r>
        <w:t xml:space="preserve">. Spis </w:t>
      </w:r>
      <w:r w:rsidRPr="08D93D43">
        <w:rPr>
          <w:i/>
        </w:rPr>
        <w:t>Druhé analytiky</w:t>
      </w:r>
      <w:r>
        <w:t xml:space="preserve"> postuluje pro vědecký důkaz jen poznání determinované kauzálním působením existujících prvních substancí. </w:t>
      </w:r>
      <w:r w:rsidRPr="00273106">
        <w:t>Lidský intelekt a vůle není božím stvořitelským intelektem, ani jeho vůlí</w:t>
      </w:r>
      <w:r>
        <w:t xml:space="preserve">. Jeho stvořitelskou kauzalitu a reguli nemůže poznat analogicky, objektivně nebo antropomorficky, jak to má Bonaventurova moderna. Poznání boha je pravdivé pouze ze sekundárních účinků kauzálně daných ve stvoření. </w:t>
      </w:r>
      <w:r w:rsidRPr="08645523">
        <w:t>To ukázal Averroesův termín „důkaz“ (</w:t>
      </w:r>
      <w:r w:rsidRPr="08645523">
        <w:rPr>
          <w:i/>
        </w:rPr>
        <w:t>dalā'il</w:t>
      </w:r>
      <w:r w:rsidRPr="08645523">
        <w:fldChar w:fldCharType="begin"/>
      </w:r>
      <w:r w:rsidRPr="08645523">
        <w:instrText xml:space="preserve"> XE "dalā'il" </w:instrText>
      </w:r>
      <w:r w:rsidRPr="08645523">
        <w:fldChar w:fldCharType="end"/>
      </w:r>
      <w:r w:rsidRPr="08645523">
        <w:t>), který Siger a Akvinský v duchu Druhých analytik definovali pouze jako cestu směrem k oddělené existenci boha (</w:t>
      </w:r>
      <w:r w:rsidR="08645523">
        <w:t xml:space="preserve">OBJ I, </w:t>
      </w:r>
      <w:r w:rsidRPr="08645523">
        <w:t>kap. 2.4.1). Z</w:t>
      </w:r>
      <w:r>
        <w:t>avedením dvojí cesty k bohu podle teologie a filosofie padl základní argument ontoteologické konstrukce moderny dané univočně</w:t>
      </w:r>
      <w:r w:rsidRPr="00273106">
        <w:t xml:space="preserve">. </w:t>
      </w:r>
      <w:r>
        <w:t xml:space="preserve">Způsob, jak bůh tvořil svět či duši, nepatří do filosofie. Boží jednání a myšlení stojí mimo přirozené poznání lidského intelektu. Antropologizace boha na způsob Bonaventurova dvojpatrového systému regulí není možná, což připomíná Sigerův komentář k </w:t>
      </w:r>
      <w:proofErr w:type="gramStart"/>
      <w:r w:rsidRPr="08957348">
        <w:rPr>
          <w:i/>
        </w:rPr>
        <w:t>De</w:t>
      </w:r>
      <w:proofErr w:type="gramEnd"/>
      <w:r w:rsidRPr="08957348">
        <w:rPr>
          <w:i/>
        </w:rPr>
        <w:t xml:space="preserve"> anima</w:t>
      </w:r>
      <w:r w:rsidR="08975FE9">
        <w:t xml:space="preserve"> I–</w:t>
      </w:r>
      <w:r>
        <w:t>I</w:t>
      </w:r>
      <w:r w:rsidR="08975FE9">
        <w:t>I v Mnichovském rukopise (kap. 4</w:t>
      </w:r>
      <w:r>
        <w:t>.3.2). Povšimněme si změny názvu boha za prvního Hybatele (</w:t>
      </w:r>
      <w:r w:rsidRPr="088057D6">
        <w:rPr>
          <w:i/>
        </w:rPr>
        <w:t>Agens Primus</w:t>
      </w:r>
      <w:r>
        <w:t>) v duchu Averroesovy metafyziky, což okolo roku 1268 kanonizuje Akvinský v pojetí pěti kauzálních cest k první příčině (ST I, q. 2, a. 3</w:t>
      </w:r>
      <w:r>
        <w:fldChar w:fldCharType="begin"/>
      </w:r>
      <w:r>
        <w:instrText xml:space="preserve"> XE "Akvinský:</w:instrText>
      </w:r>
      <w:proofErr w:type="gramStart"/>
      <w:r w:rsidRPr="08ED7576">
        <w:instrText>ST I</w:instrText>
      </w:r>
      <w:r>
        <w:instrText>.</w:instrText>
      </w:r>
      <w:r w:rsidRPr="08ED7576">
        <w:instrText>2</w:instrText>
      </w:r>
      <w:r>
        <w:instrText>.</w:instrText>
      </w:r>
      <w:r w:rsidRPr="08ED7576">
        <w:instrText>3</w:instrText>
      </w:r>
      <w:proofErr w:type="gramEnd"/>
      <w:r>
        <w:instrText xml:space="preserve">" </w:instrText>
      </w:r>
      <w:r>
        <w:fldChar w:fldCharType="end"/>
      </w:r>
      <w:r>
        <w:t xml:space="preserve">). </w:t>
      </w:r>
    </w:p>
    <w:p w:rsidR="08163013" w:rsidRPr="00AB54E7" w:rsidRDefault="08163013" w:rsidP="08163013">
      <w:pPr>
        <w:pStyle w:val="Citace"/>
        <w:rPr>
          <w:noProof/>
          <w:lang w:val="cs-CZ" w:eastAsia="de-DE"/>
        </w:rPr>
      </w:pPr>
      <w:r w:rsidRPr="00273106">
        <w:rPr>
          <w:noProof/>
          <w:lang w:val="cs-CZ" w:eastAsia="de-DE"/>
        </w:rPr>
        <w:t>„</w:t>
      </w:r>
      <w:r>
        <w:rPr>
          <w:noProof/>
          <w:lang w:val="cs-CZ" w:eastAsia="de-DE"/>
        </w:rPr>
        <w:t xml:space="preserve">Jestliže [První hybatel] chtěl od věčnosti, aby se intelekt stal věčným, tak se také intelekt stal věčným, protože podle formy boží vůle nemohl vzniknout jiný předmět jeho chtění. Kdo by chtěl vědět, zda byl intelekt stvořen od počátku jako konečný nebo jako věčný, ten by musel zkoumat formu vůle Prvního hybatele. Ale kdo by ji mohl zkoumat?“ </w:t>
      </w:r>
      <w:r>
        <w:rPr>
          <w:rStyle w:val="Znakapoznpodarou"/>
        </w:rPr>
        <w:footnoteReference w:id="202"/>
      </w:r>
    </w:p>
    <w:p w:rsidR="08163013" w:rsidRPr="00273106" w:rsidRDefault="08163013" w:rsidP="08163013">
      <w:r w:rsidRPr="00273106">
        <w:lastRenderedPageBreak/>
        <w:t xml:space="preserve">Filosofie je schopna racionálně </w:t>
      </w:r>
      <w:r>
        <w:t xml:space="preserve">doložit </w:t>
      </w:r>
      <w:r w:rsidRPr="00273106">
        <w:t xml:space="preserve">jak neomezené trvání lidského intelektu </w:t>
      </w:r>
      <w:r>
        <w:t xml:space="preserve">vzniklého v modu </w:t>
      </w:r>
      <w:r w:rsidR="008A3F82">
        <w:t>věčnosti</w:t>
      </w:r>
      <w:r w:rsidRPr="00273106">
        <w:t xml:space="preserve"> (</w:t>
      </w:r>
      <w:r w:rsidRPr="00273106">
        <w:rPr>
          <w:i/>
          <w:lang w:eastAsia="de-DE"/>
        </w:rPr>
        <w:t xml:space="preserve">ab aeterno </w:t>
      </w:r>
      <w:r w:rsidRPr="00273106">
        <w:rPr>
          <w:i/>
        </w:rPr>
        <w:t>intellectum fieri aeternum, intellectus factus est aeternus</w:t>
      </w:r>
      <w:r w:rsidRPr="00273106">
        <w:t>). Zda bůh stvořil mimo čas aktem absolutně oddělené a zcela suverénní vůle to či ono ‒ tj. neomezené trvání nebo skutečnou věčnost duše</w:t>
      </w:r>
      <w:r w:rsidR="00822108">
        <w:fldChar w:fldCharType="begin"/>
      </w:r>
      <w:r w:rsidR="00822108">
        <w:instrText xml:space="preserve"> XE "</w:instrText>
      </w:r>
      <w:r w:rsidR="00822108" w:rsidRPr="007A3244">
        <w:instrText>věčnost světa</w:instrText>
      </w:r>
      <w:r w:rsidR="00822108">
        <w:instrText xml:space="preserve">" </w:instrText>
      </w:r>
      <w:r w:rsidR="00822108">
        <w:fldChar w:fldCharType="end"/>
      </w:r>
      <w:r w:rsidRPr="00273106">
        <w:t xml:space="preserve">, </w:t>
      </w:r>
      <w:r w:rsidR="00822108">
        <w:t xml:space="preserve">intelektu či světa ‒ to je boží </w:t>
      </w:r>
      <w:r w:rsidRPr="00273106">
        <w:t>věc</w:t>
      </w:r>
      <w:r w:rsidR="00822108">
        <w:t>, která nespadá do oboru filosofie</w:t>
      </w:r>
      <w:r w:rsidRPr="00273106">
        <w:t xml:space="preserve">. </w:t>
      </w:r>
      <w:r>
        <w:t>Poslední věta ukazuje, proč vznikl spor o dvojí pravdu už kolem roku 1266</w:t>
      </w:r>
      <w:r>
        <w:fldChar w:fldCharType="begin"/>
      </w:r>
      <w:r>
        <w:instrText xml:space="preserve"> XE "</w:instrText>
      </w:r>
      <w:r w:rsidRPr="006854A3">
        <w:instrText>teorie dvojí pravdy</w:instrText>
      </w:r>
      <w:r>
        <w:instrText xml:space="preserve">" </w:instrText>
      </w:r>
      <w:r>
        <w:fldChar w:fldCharType="end"/>
      </w:r>
      <w:r>
        <w:t xml:space="preserve">. Uvedený citát </w:t>
      </w:r>
      <w:r w:rsidRPr="00273106">
        <w:t xml:space="preserve">jasně odmítá </w:t>
      </w:r>
      <w:r>
        <w:t xml:space="preserve">neuvážené </w:t>
      </w:r>
      <w:r w:rsidRPr="00273106">
        <w:t xml:space="preserve">spekulace druhého averroismu. Všechny ontoteologické spekulace </w:t>
      </w:r>
      <w:r>
        <w:t xml:space="preserve">jsou založeny na chybném předpokladu, že člověk může </w:t>
      </w:r>
      <w:r w:rsidRPr="00273106">
        <w:t>zkoumat způsob bytí boží vůle (</w:t>
      </w:r>
      <w:r w:rsidRPr="00273106">
        <w:rPr>
          <w:i/>
          <w:lang w:eastAsia="de-DE"/>
        </w:rPr>
        <w:t xml:space="preserve">oportet </w:t>
      </w:r>
      <w:r w:rsidRPr="00273106">
        <w:rPr>
          <w:i/>
        </w:rPr>
        <w:t>eum investigare formam voluntatis Primi</w:t>
      </w:r>
      <w:r w:rsidRPr="00273106">
        <w:t xml:space="preserve">). Závěrečná řečnická otázka </w:t>
      </w:r>
      <w:r>
        <w:t>naznačuje</w:t>
      </w:r>
      <w:r w:rsidRPr="00273106">
        <w:t>, že takovou věc by mohl dělat jen úplný blázen</w:t>
      </w:r>
      <w:r>
        <w:fldChar w:fldCharType="begin"/>
      </w:r>
      <w:r>
        <w:instrText xml:space="preserve"> XE "</w:instrText>
      </w:r>
      <w:r w:rsidRPr="008E34E3">
        <w:instrText>druhý averroismus:kritika Sigera</w:instrText>
      </w:r>
      <w:r>
        <w:instrText xml:space="preserve">" </w:instrText>
      </w:r>
      <w:r>
        <w:fldChar w:fldCharType="end"/>
      </w:r>
      <w:r>
        <w:t xml:space="preserve">. Opět je potvrzeno Baconovo odmítnutí modernistů, kteří šílí proti pravdě. Siger nechce mít nic společného s bohem </w:t>
      </w:r>
      <w:r w:rsidRPr="004614A6">
        <w:rPr>
          <w:i/>
        </w:rPr>
        <w:t>Modernorum</w:t>
      </w:r>
      <w:r>
        <w:rPr>
          <w:i/>
        </w:rPr>
        <w:t xml:space="preserve"> </w:t>
      </w:r>
      <w:r w:rsidRPr="08EF63F4">
        <w:t xml:space="preserve">podle </w:t>
      </w:r>
      <w:r w:rsidR="00EF55F8">
        <w:t xml:space="preserve">filosofie </w:t>
      </w:r>
      <w:r w:rsidRPr="08EF63F4">
        <w:t xml:space="preserve">Bonaventury a Pechama, </w:t>
      </w:r>
      <w:r>
        <w:t>jehož pohřeb zařídil Nietzsche. Filosofická moderna a po ní postmoderna se nechtěla vzdát svých mytopoetických</w:t>
      </w:r>
      <w:r>
        <w:fldChar w:fldCharType="begin"/>
      </w:r>
      <w:r>
        <w:instrText xml:space="preserve"> XE "</w:instrText>
      </w:r>
      <w:r w:rsidRPr="08923E4E">
        <w:instrText>mytopoesis</w:instrText>
      </w:r>
      <w:r>
        <w:instrText xml:space="preserve">" </w:instrText>
      </w:r>
      <w:r>
        <w:fldChar w:fldCharType="end"/>
      </w:r>
      <w:r>
        <w:t xml:space="preserve"> představ o boží psychologii dané před stvořením světa. Pozdější Sigerův </w:t>
      </w:r>
      <w:r w:rsidRPr="00273106">
        <w:t xml:space="preserve">komentář </w:t>
      </w:r>
      <w:r>
        <w:t xml:space="preserve">ke knize </w:t>
      </w:r>
      <w:r w:rsidRPr="00273106">
        <w:rPr>
          <w:i/>
        </w:rPr>
        <w:t>De causis</w:t>
      </w:r>
      <w:r w:rsidRPr="00273106">
        <w:t xml:space="preserve"> jen </w:t>
      </w:r>
      <w:r>
        <w:t>rozšíří toto odmítnutí spekulativní ontoteologie moderny</w:t>
      </w:r>
      <w:r>
        <w:fldChar w:fldCharType="begin"/>
      </w:r>
      <w:r>
        <w:instrText xml:space="preserve"> XE "</w:instrText>
      </w:r>
      <w:r w:rsidRPr="002079BC">
        <w:instrText>diakosmos</w:instrText>
      </w:r>
      <w:r>
        <w:instrText xml:space="preserve">" </w:instrText>
      </w:r>
      <w:r>
        <w:fldChar w:fldCharType="end"/>
      </w:r>
      <w:r>
        <w:t xml:space="preserve">. </w:t>
      </w:r>
      <w:r w:rsidRPr="00273106">
        <w:t xml:space="preserve">V bohu nemůže být žádná potencialita stvořitelských idejí daných </w:t>
      </w:r>
      <w:r>
        <w:t>směrem ke stvoření</w:t>
      </w:r>
      <w:r w:rsidR="08975FE9">
        <w:t xml:space="preserve">. Tím by </w:t>
      </w:r>
      <w:r w:rsidRPr="00273106">
        <w:t>se zrušil jak princip pravdy dané buď bytím či nebytím stvořené věci, tak i princip plné aktuality bytí v První kauze.</w:t>
      </w:r>
      <w:r w:rsidRPr="00273106">
        <w:rPr>
          <w:rStyle w:val="Znakapoznpodarou"/>
        </w:rPr>
        <w:footnoteReference w:id="203"/>
      </w:r>
      <w:r w:rsidRPr="00273106">
        <w:t xml:space="preserve"> </w:t>
      </w:r>
      <w:r>
        <w:t xml:space="preserve">Siger potvrdil </w:t>
      </w:r>
      <w:r w:rsidRPr="00273106">
        <w:t xml:space="preserve">nauku o vyloučeném třetím </w:t>
      </w:r>
      <w:r>
        <w:t>pr</w:t>
      </w:r>
      <w:r w:rsidRPr="00273106">
        <w:t xml:space="preserve">oti </w:t>
      </w:r>
      <w:r w:rsidRPr="085F4840">
        <w:rPr>
          <w:i/>
        </w:rPr>
        <w:t xml:space="preserve">tertium ens </w:t>
      </w:r>
      <w:r w:rsidRPr="00273106">
        <w:t>druhé</w:t>
      </w:r>
      <w:r>
        <w:t>ho</w:t>
      </w:r>
      <w:r w:rsidRPr="00273106">
        <w:t xml:space="preserve"> a</w:t>
      </w:r>
      <w:r>
        <w:t xml:space="preserve">verroismu </w:t>
      </w:r>
      <w:r w:rsidRPr="00273106">
        <w:t>a zruš</w:t>
      </w:r>
      <w:r>
        <w:t xml:space="preserve">il </w:t>
      </w:r>
      <w:r w:rsidRPr="00273106">
        <w:t>dvoupatrovou ontoteologickou stavbu Bonaventury</w:t>
      </w:r>
      <w:r>
        <w:t>, která založila moderní objektivitu</w:t>
      </w:r>
      <w:r w:rsidR="08996DFA">
        <w:t xml:space="preserve"> (kap. 4</w:t>
      </w:r>
      <w:r w:rsidRPr="00273106">
        <w:t xml:space="preserve">.1.2). Siger </w:t>
      </w:r>
      <w:r w:rsidR="003C3CE4">
        <w:t>v komentáři</w:t>
      </w:r>
      <w:r>
        <w:t xml:space="preserve"> k </w:t>
      </w:r>
      <w:proofErr w:type="gramStart"/>
      <w:r w:rsidRPr="00F404E2">
        <w:rPr>
          <w:i/>
        </w:rPr>
        <w:t>De</w:t>
      </w:r>
      <w:proofErr w:type="gramEnd"/>
      <w:r w:rsidRPr="00F404E2">
        <w:rPr>
          <w:i/>
        </w:rPr>
        <w:t xml:space="preserve"> causis</w:t>
      </w:r>
      <w:r>
        <w:t xml:space="preserve"> </w:t>
      </w:r>
      <w:r w:rsidRPr="00273106">
        <w:t xml:space="preserve">jasně říká, že </w:t>
      </w:r>
      <w:r w:rsidRPr="00273106">
        <w:rPr>
          <w:i/>
        </w:rPr>
        <w:t>creatio ex nihilo</w:t>
      </w:r>
      <w:r>
        <w:rPr>
          <w:i/>
        </w:rPr>
        <w:fldChar w:fldCharType="begin"/>
      </w:r>
      <w:r>
        <w:instrText xml:space="preserve"> XE "</w:instrText>
      </w:r>
      <w:r w:rsidRPr="00807116">
        <w:rPr>
          <w:i/>
        </w:rPr>
        <w:instrText>creatio ex nihilo</w:instrText>
      </w:r>
      <w:r>
        <w:instrText xml:space="preserve">" </w:instrText>
      </w:r>
      <w:r>
        <w:rPr>
          <w:i/>
        </w:rPr>
        <w:fldChar w:fldCharType="end"/>
      </w:r>
      <w:r w:rsidRPr="00273106">
        <w:t xml:space="preserve"> je možné bez nějakého rozporu postulovat pro celek stvoření v řádu aristotelské metafyziky věčného pohybu a forem</w:t>
      </w:r>
      <w:r w:rsidR="00144C3B">
        <w:t>. P</w:t>
      </w:r>
      <w:r w:rsidRPr="00273106">
        <w:t xml:space="preserve">rvní kauza by dala </w:t>
      </w:r>
      <w:r w:rsidR="00144C3B" w:rsidRPr="00144C3B">
        <w:rPr>
          <w:i/>
        </w:rPr>
        <w:t>cr</w:t>
      </w:r>
      <w:r w:rsidR="00144C3B">
        <w:rPr>
          <w:i/>
        </w:rPr>
        <w:t>e</w:t>
      </w:r>
      <w:r w:rsidR="00144C3B" w:rsidRPr="00144C3B">
        <w:rPr>
          <w:i/>
        </w:rPr>
        <w:t>atio ex nihilo</w:t>
      </w:r>
      <w:r w:rsidR="00144C3B">
        <w:t xml:space="preserve"> </w:t>
      </w:r>
      <w:r w:rsidRPr="00273106">
        <w:t xml:space="preserve">do bytí </w:t>
      </w:r>
      <w:r w:rsidR="00144C3B">
        <w:t xml:space="preserve">ještě před věčným trváním světa, které postuluje Aristoteles </w:t>
      </w:r>
      <w:r w:rsidRPr="00273106">
        <w:t>(</w:t>
      </w:r>
      <w:r>
        <w:rPr>
          <w:i/>
        </w:rPr>
        <w:t>Quaestiones</w:t>
      </w:r>
      <w:r w:rsidRPr="003447C4">
        <w:rPr>
          <w:i/>
        </w:rPr>
        <w:t xml:space="preserve"> super Librum de causis</w:t>
      </w:r>
      <w:r w:rsidRPr="00273106">
        <w:t>, p. 87.104‒107</w:t>
      </w:r>
      <w:r>
        <w:fldChar w:fldCharType="begin"/>
      </w:r>
      <w:r>
        <w:instrText xml:space="preserve"> XE "Siger</w:instrText>
      </w:r>
      <w:r>
        <w:rPr>
          <w:i/>
        </w:rPr>
        <w:instrText>:Quaestiones</w:instrText>
      </w:r>
      <w:r w:rsidRPr="007B5A7F">
        <w:rPr>
          <w:i/>
        </w:rPr>
        <w:instrText xml:space="preserve"> super Librum de causis</w:instrText>
      </w:r>
      <w:r>
        <w:rPr>
          <w:i/>
        </w:rPr>
        <w:instrText xml:space="preserve"> </w:instrText>
      </w:r>
      <w:r w:rsidRPr="007B5A7F">
        <w:instrText>87.104‒107</w:instrText>
      </w:r>
      <w:r>
        <w:instrText xml:space="preserve">" </w:instrText>
      </w:r>
      <w:r>
        <w:fldChar w:fldCharType="end"/>
      </w:r>
      <w:r w:rsidRPr="00273106">
        <w:t xml:space="preserve">). </w:t>
      </w:r>
      <w:r>
        <w:t>Pozdější vývoj Sigera potvrzuje kvalitu a argumentační pevnost základního postoje QIIIDA na všechny klíčové problémy latinských sofistů</w:t>
      </w:r>
      <w:r w:rsidR="00B75E87">
        <w:t>. Základní řešení byla vypracována</w:t>
      </w:r>
      <w:r w:rsidR="004B1995">
        <w:t xml:space="preserve"> už </w:t>
      </w:r>
      <w:r w:rsidR="00B75E87">
        <w:t xml:space="preserve">okolo roku </w:t>
      </w:r>
      <w:r>
        <w:t xml:space="preserve">1265. </w:t>
      </w:r>
      <w:r w:rsidRPr="00273106">
        <w:t xml:space="preserve">Siger bere </w:t>
      </w:r>
      <w:r>
        <w:t xml:space="preserve">inteligentní </w:t>
      </w:r>
      <w:r w:rsidRPr="00273106">
        <w:t xml:space="preserve">boží vůli jako dále nezkoumatelný </w:t>
      </w:r>
      <w:r w:rsidRPr="00273106">
        <w:lastRenderedPageBreak/>
        <w:t xml:space="preserve">jev pro omezený lidský rozum, na rozdíl od spekulativní ontoteologie Bonaventury a </w:t>
      </w:r>
      <w:r>
        <w:t xml:space="preserve">moderní metafyziky </w:t>
      </w:r>
      <w:r w:rsidRPr="00273106">
        <w:t xml:space="preserve">Scota. </w:t>
      </w:r>
      <w:r>
        <w:t>M</w:t>
      </w:r>
      <w:r w:rsidRPr="00273106">
        <w:t>odernisté</w:t>
      </w:r>
      <w:r>
        <w:t xml:space="preserve"> udělali z Aristotelovy metafyziky moderní ontoteologii</w:t>
      </w:r>
      <w:r>
        <w:fldChar w:fldCharType="begin"/>
      </w:r>
      <w:r>
        <w:instrText xml:space="preserve"> XE "</w:instrText>
      </w:r>
      <w:r w:rsidRPr="00A45678">
        <w:rPr>
          <w:rStyle w:val="addmd"/>
        </w:rPr>
        <w:instrText>ontoteologie:</w:instrText>
      </w:r>
      <w:r>
        <w:rPr>
          <w:rStyle w:val="addmd"/>
        </w:rPr>
        <w:instrText>moderna</w:instrText>
      </w:r>
      <w:r>
        <w:instrText xml:space="preserve">" </w:instrText>
      </w:r>
      <w:r>
        <w:fldChar w:fldCharType="end"/>
      </w:r>
      <w:r>
        <w:t xml:space="preserve">, proto </w:t>
      </w:r>
      <w:r w:rsidRPr="00273106">
        <w:t xml:space="preserve">neměli </w:t>
      </w:r>
      <w:r>
        <w:t>podobné zábrany, v</w:t>
      </w:r>
      <w:r w:rsidRPr="00273106">
        <w:t xml:space="preserve">iz následný mocenský spor 1277. Předešlý citát </w:t>
      </w:r>
      <w:r>
        <w:t xml:space="preserve">QIIIDA </w:t>
      </w:r>
      <w:r w:rsidRPr="00273106">
        <w:t>proto pokračuje</w:t>
      </w:r>
      <w:r>
        <w:t xml:space="preserve"> tím, že obhajuje proti unitární ontoteologii modernistů aristotelskou nauku Modistů z Rue du Fouarre</w:t>
      </w:r>
      <w:r w:rsidRPr="00273106">
        <w:t xml:space="preserve">. </w:t>
      </w:r>
    </w:p>
    <w:p w:rsidR="08163013" w:rsidRPr="007E1B85" w:rsidRDefault="08163013" w:rsidP="08163013">
      <w:pPr>
        <w:pStyle w:val="Citace"/>
        <w:rPr>
          <w:noProof/>
          <w:lang w:val="cs-CZ"/>
        </w:rPr>
      </w:pPr>
      <w:r w:rsidRPr="00273106">
        <w:rPr>
          <w:noProof/>
        </w:rPr>
        <w:t>„</w:t>
      </w:r>
      <w:r>
        <w:rPr>
          <w:noProof/>
          <w:lang w:val="cs-CZ"/>
        </w:rPr>
        <w:t>Pokud zkoumáš, zda bůh chtěl stvořit věčný intelekt, a proč toto chtěl víc, než stvoření intelektu v čase, pak odpovím, že bůh chtěl to, co chtěl (</w:t>
      </w:r>
      <w:r w:rsidRPr="006912FC">
        <w:rPr>
          <w:i/>
          <w:noProof/>
        </w:rPr>
        <w:t>dico quod sic voluit, quia voluit</w:t>
      </w:r>
      <w:r>
        <w:rPr>
          <w:noProof/>
          <w:lang w:val="cs-CZ"/>
        </w:rPr>
        <w:t>). Jeho vůle nezávisí na věcech, jako naše vůle. Ta sice není nucena daností existujících věcí, ale přesto je determinována a podněcována skrze věci (</w:t>
      </w:r>
      <w:r w:rsidRPr="00FB3D1F">
        <w:rPr>
          <w:i/>
          <w:noProof/>
        </w:rPr>
        <w:t>trahitur et excitatur a rebus</w:t>
      </w:r>
      <w:r>
        <w:rPr>
          <w:noProof/>
          <w:lang w:val="cs-CZ"/>
        </w:rPr>
        <w:t xml:space="preserve">).  Ale vůle Prvního hybatele </w:t>
      </w:r>
      <w:r w:rsidR="005B2001">
        <w:rPr>
          <w:noProof/>
          <w:lang w:val="cs-CZ"/>
        </w:rPr>
        <w:t>není determinována poznanými věcmi</w:t>
      </w:r>
      <w:r>
        <w:rPr>
          <w:noProof/>
          <w:lang w:val="cs-CZ"/>
        </w:rPr>
        <w:t xml:space="preserve">.“ </w:t>
      </w:r>
      <w:r>
        <w:rPr>
          <w:rStyle w:val="Znakapoznpodarou"/>
        </w:rPr>
        <w:footnoteReference w:id="204"/>
      </w:r>
    </w:p>
    <w:p w:rsidR="08163013" w:rsidRDefault="08163013" w:rsidP="08163013">
      <w:r w:rsidRPr="00273106">
        <w:t xml:space="preserve">Světský kněz </w:t>
      </w:r>
      <w:r>
        <w:t xml:space="preserve">Siger </w:t>
      </w:r>
      <w:r w:rsidRPr="00273106">
        <w:t>obhajuje boží nevyzpytatelnou vůli mnohem radikálněji</w:t>
      </w:r>
      <w:r>
        <w:t xml:space="preserve"> </w:t>
      </w:r>
      <w:r w:rsidRPr="00273106">
        <w:t>(</w:t>
      </w:r>
      <w:r w:rsidRPr="00273106">
        <w:rPr>
          <w:i/>
        </w:rPr>
        <w:t>sic voluit, quia voluit</w:t>
      </w:r>
      <w:r w:rsidRPr="00273106">
        <w:t xml:space="preserve">), než tehdejší františkáni vedení Bonaventurou. Druhý averroismus zavedl do boží vůle a intelektu oblast objektivně daných exemplarů, které jsou předmětem </w:t>
      </w:r>
      <w:r>
        <w:t xml:space="preserve">lidské </w:t>
      </w:r>
      <w:r w:rsidRPr="00273106">
        <w:t>spekulace</w:t>
      </w:r>
      <w:r>
        <w:t>.</w:t>
      </w:r>
      <w:r w:rsidRPr="00273106">
        <w:t xml:space="preserve"> </w:t>
      </w:r>
      <w:r>
        <w:t xml:space="preserve">Exemplární a seminální ratia se stala součástí objektivní metafyziky </w:t>
      </w:r>
      <w:r w:rsidR="00677F0C">
        <w:t xml:space="preserve">a </w:t>
      </w:r>
      <w:r>
        <w:t xml:space="preserve">přešly skrze </w:t>
      </w:r>
      <w:proofErr w:type="gramStart"/>
      <w:r>
        <w:t>Leibnize  do</w:t>
      </w:r>
      <w:proofErr w:type="gramEnd"/>
      <w:r>
        <w:t xml:space="preserve"> nihilistické postmoderní filosofie. Tím se bůh </w:t>
      </w:r>
      <w:r w:rsidRPr="08401643">
        <w:rPr>
          <w:i/>
        </w:rPr>
        <w:t>Modernorum</w:t>
      </w:r>
      <w:r>
        <w:t xml:space="preserve"> stal objektivně nutným a psychologicky pochopitelným tvorem, což způsobilo jeho smrt. </w:t>
      </w:r>
      <w:r w:rsidRPr="00273106">
        <w:t xml:space="preserve">Text odmítá </w:t>
      </w:r>
      <w:r>
        <w:t xml:space="preserve">jakékoliv spekulace vzhledem k </w:t>
      </w:r>
      <w:r w:rsidRPr="00273106">
        <w:t>nedostupné boží vůli, jejíž forma je radikálně odlišná od naší. Lidská vůle závisí svou formou nepřímo na věcech (</w:t>
      </w:r>
      <w:r w:rsidRPr="00273106">
        <w:rPr>
          <w:i/>
        </w:rPr>
        <w:t>trahitur et excitatur a rebus</w:t>
      </w:r>
      <w:r w:rsidRPr="00273106">
        <w:t>), zatímco stvořitelská nikoliv (</w:t>
      </w:r>
      <w:r w:rsidRPr="00273106">
        <w:rPr>
          <w:i/>
        </w:rPr>
        <w:t>voluntas enim eius non dependet a rebus</w:t>
      </w:r>
      <w:r w:rsidRPr="00273106">
        <w:t>). Siger při obhajově dvou typů vůle (a tím i intelektu) zůstává kritickým aristotelikem</w:t>
      </w:r>
      <w:r>
        <w:t xml:space="preserve"> a jasně odděluje dva mody poznání a bytí</w:t>
      </w:r>
      <w:r w:rsidRPr="00273106">
        <w:t xml:space="preserve">. </w:t>
      </w:r>
      <w:r>
        <w:t xml:space="preserve">Proti latinským sofistům hájí teorii dvojího poznání, božího a lidského. Na rozdíl od antropologizujících </w:t>
      </w:r>
      <w:r w:rsidRPr="0034376E">
        <w:rPr>
          <w:i/>
        </w:rPr>
        <w:t>Modernorum</w:t>
      </w:r>
      <w:r>
        <w:t xml:space="preserve"> nechává boha být bohem a nedělá z něj ontoteologickou modlu demiurgicky vytvořenou k lidskému obrazu</w:t>
      </w:r>
      <w:r>
        <w:fldChar w:fldCharType="begin"/>
      </w:r>
      <w:r>
        <w:instrText xml:space="preserve"> XE "</w:instrText>
      </w:r>
      <w:r w:rsidRPr="009A1357">
        <w:instrText>demiurg</w:instrText>
      </w:r>
      <w:r>
        <w:instrText xml:space="preserve">" </w:instrText>
      </w:r>
      <w:r>
        <w:fldChar w:fldCharType="end"/>
      </w:r>
      <w:r>
        <w:t xml:space="preserve">. Moderna hájí objektivní pojetí neoplatonské materie třetího druhu a tělesa mimo fyzikální pohyb. V demiurgickém scénáři </w:t>
      </w:r>
      <w:r w:rsidRPr="085E0D8F">
        <w:rPr>
          <w:i/>
        </w:rPr>
        <w:t>Modernorum</w:t>
      </w:r>
      <w:r>
        <w:t xml:space="preserve"> je bůh garantem nového zásvětí </w:t>
      </w:r>
      <w:proofErr w:type="gramStart"/>
      <w:r>
        <w:t xml:space="preserve">ducha  </w:t>
      </w:r>
      <w:r w:rsidR="083534D6">
        <w:t>(</w:t>
      </w:r>
      <w:r w:rsidR="083534D6" w:rsidRPr="00273106">
        <w:rPr>
          <w:i/>
          <w:iCs/>
        </w:rPr>
        <w:t>mundus</w:t>
      </w:r>
      <w:proofErr w:type="gramEnd"/>
      <w:r w:rsidR="083534D6" w:rsidRPr="00273106">
        <w:rPr>
          <w:i/>
          <w:iCs/>
        </w:rPr>
        <w:t xml:space="preserve"> imaginalis</w:t>
      </w:r>
      <w:r w:rsidR="083534D6">
        <w:rPr>
          <w:i/>
          <w:iCs/>
        </w:rPr>
        <w:fldChar w:fldCharType="begin"/>
      </w:r>
      <w:r w:rsidR="083534D6">
        <w:instrText xml:space="preserve"> XE "</w:instrText>
      </w:r>
      <w:r w:rsidR="083534D6" w:rsidRPr="00FF0A6C">
        <w:rPr>
          <w:i/>
          <w:iCs/>
        </w:rPr>
        <w:instrText>mundus imaginalis</w:instrText>
      </w:r>
      <w:r w:rsidR="083534D6">
        <w:instrText xml:space="preserve">" </w:instrText>
      </w:r>
      <w:r w:rsidR="083534D6">
        <w:rPr>
          <w:i/>
          <w:iCs/>
        </w:rPr>
        <w:fldChar w:fldCharType="end"/>
      </w:r>
      <w:r w:rsidR="083534D6">
        <w:rPr>
          <w:i/>
          <w:iCs/>
        </w:rPr>
        <w:t xml:space="preserve">; </w:t>
      </w:r>
      <w:r w:rsidR="00237F73">
        <w:rPr>
          <w:iCs/>
        </w:rPr>
        <w:t>OBJ I, kap.</w:t>
      </w:r>
      <w:r w:rsidR="083534D6" w:rsidRPr="083534D6">
        <w:rPr>
          <w:iCs/>
        </w:rPr>
        <w:t xml:space="preserve"> 2.3.3</w:t>
      </w:r>
      <w:r w:rsidR="083534D6">
        <w:t>). N</w:t>
      </w:r>
      <w:r>
        <w:t xml:space="preserve">ový diakosmos </w:t>
      </w:r>
      <w:r w:rsidR="083534D6">
        <w:t xml:space="preserve">moderních scholastiků </w:t>
      </w:r>
      <w:r w:rsidR="08CA3C82">
        <w:t xml:space="preserve">byl vytvořen skrze </w:t>
      </w:r>
      <w:r>
        <w:t xml:space="preserve">objektivní bytí  exemplarů v boží mysli. Oba </w:t>
      </w:r>
      <w:r w:rsidR="086D101F">
        <w:t xml:space="preserve">metafyzické </w:t>
      </w:r>
      <w:r>
        <w:t xml:space="preserve">předpoklady </w:t>
      </w:r>
      <w:r w:rsidRPr="08DD3FC9">
        <w:rPr>
          <w:i/>
        </w:rPr>
        <w:t>Modernorum</w:t>
      </w:r>
      <w:r>
        <w:t xml:space="preserve"> jsou z hlediska aristotelismu nesmyslné. </w:t>
      </w:r>
      <w:r w:rsidRPr="00273106">
        <w:t xml:space="preserve">Aristotelova verze o věčnosti světa a intelektu je jen hypotéza, ale z hlediska filosofie mnohem pravděpodobnější, než unitární </w:t>
      </w:r>
      <w:r w:rsidRPr="00273106">
        <w:lastRenderedPageBreak/>
        <w:t xml:space="preserve">ontoteologie </w:t>
      </w:r>
      <w:r w:rsidRPr="00273106">
        <w:rPr>
          <w:i/>
        </w:rPr>
        <w:t>Modernorum</w:t>
      </w:r>
      <w:r w:rsidRPr="00273106">
        <w:t xml:space="preserve"> postavená na nesmyslných předpokladech</w:t>
      </w:r>
      <w:r>
        <w:t xml:space="preserve">: na pohybu v bohu od potence k aktualitě a na stanovení počátku pohybu tělesa mimo čas jasně definovaný podle Aristotelovy </w:t>
      </w:r>
      <w:r w:rsidRPr="082B6D7C">
        <w:rPr>
          <w:i/>
        </w:rPr>
        <w:t>Fyziky</w:t>
      </w:r>
      <w:r>
        <w:t xml:space="preserve"> jen ve vztahu k hyleformické první substanci (</w:t>
      </w:r>
      <w:r w:rsidR="08310A68">
        <w:t xml:space="preserve">OBJ I, </w:t>
      </w:r>
      <w:r>
        <w:t>kap. 1.3.3). Avicennovští augustiniáni nejsou schopni kriticky vnímat základní dráhu náhledu (</w:t>
      </w:r>
      <w:r w:rsidRPr="00055BC7">
        <w:rPr>
          <w:i/>
        </w:rPr>
        <w:t>Vor</w:t>
      </w:r>
      <w:r w:rsidRPr="00055BC7">
        <w:rPr>
          <w:i/>
        </w:rPr>
        <w:noBreakHyphen/>
        <w:t>blickbahn</w:t>
      </w:r>
      <w:r>
        <w:rPr>
          <w:i/>
        </w:rPr>
        <w:fldChar w:fldCharType="begin"/>
      </w:r>
      <w:r>
        <w:instrText xml:space="preserve"> XE "</w:instrText>
      </w:r>
      <w:r>
        <w:rPr>
          <w:i/>
        </w:rPr>
        <w:instrText>Vor-</w:instrText>
      </w:r>
      <w:r w:rsidRPr="000C66F2">
        <w:rPr>
          <w:i/>
        </w:rPr>
        <w:instrText>b</w:instrText>
      </w:r>
      <w:r w:rsidRPr="000C66F2">
        <w:rPr>
          <w:i/>
          <w:iCs/>
        </w:rPr>
        <w:instrText>lickbahn</w:instrText>
      </w:r>
      <w:r>
        <w:rPr>
          <w:iCs/>
        </w:rPr>
        <w:instrText>:Siger</w:instrText>
      </w:r>
      <w:r>
        <w:instrText xml:space="preserve">" </w:instrText>
      </w:r>
      <w:r>
        <w:rPr>
          <w:i/>
        </w:rPr>
        <w:fldChar w:fldCharType="end"/>
      </w:r>
      <w:r>
        <w:t>) na své spekulace.</w:t>
      </w:r>
      <w:r w:rsidRPr="08C4659B">
        <w:t xml:space="preserve"> </w:t>
      </w:r>
      <w:r>
        <w:t xml:space="preserve">Siger věcně vysvětluje prvním </w:t>
      </w:r>
      <w:r w:rsidRPr="00756965">
        <w:t>stoupencům</w:t>
      </w:r>
      <w:r>
        <w:t xml:space="preserve"> moderny</w:t>
      </w:r>
      <w:r w:rsidRPr="00756965">
        <w:t xml:space="preserve">, </w:t>
      </w:r>
      <w:r>
        <w:t xml:space="preserve">že </w:t>
      </w:r>
      <w:r w:rsidRPr="00756965">
        <w:t>jejich ontoteol</w:t>
      </w:r>
      <w:r>
        <w:t xml:space="preserve">ogické konstrukce ohledně věčnosti světa a </w:t>
      </w:r>
      <w:r w:rsidR="00962190">
        <w:rPr>
          <w:i/>
        </w:rPr>
        <w:t>species</w:t>
      </w:r>
      <w:r>
        <w:t xml:space="preserve"> jsou filosoficky úplně zmatené.</w:t>
      </w:r>
    </w:p>
    <w:p w:rsidR="08163013" w:rsidRDefault="08163013" w:rsidP="08163013">
      <w:pPr>
        <w:pStyle w:val="Citace"/>
        <w:rPr>
          <w:lang w:val="cs-CZ"/>
        </w:rPr>
      </w:pPr>
      <w:r w:rsidRPr="00756965">
        <w:t>„</w:t>
      </w:r>
      <w:r>
        <w:rPr>
          <w:lang w:val="cs-CZ"/>
        </w:rPr>
        <w:t xml:space="preserve">Tvrdím, že pozice Aristotela v této věci není sama o sobě nutná, jak bylo ukázáno výše. Přesto je mnohem pravděpodobnější, než pozice Augustina. Nemůžeme totiž zkoumat stvořený vznik nebo věčnost směrem od boží vůle, protože nejsme schopni přemýšlet o formě jeho vůle.“ </w:t>
      </w:r>
      <w:r w:rsidRPr="00273106">
        <w:rPr>
          <w:rStyle w:val="Znakapoznpodarou"/>
        </w:rPr>
        <w:footnoteReference w:id="205"/>
      </w:r>
    </w:p>
    <w:p w:rsidR="08163013" w:rsidRPr="00115C80" w:rsidRDefault="08163013" w:rsidP="08163013">
      <w:r w:rsidRPr="00273106">
        <w:t xml:space="preserve">Siger odmítne ontoteologické spekulace </w:t>
      </w:r>
      <w:r>
        <w:t>neoplatonsk</w:t>
      </w:r>
      <w:r w:rsidRPr="00273106">
        <w:t xml:space="preserve">ého Augustina odkazem na Aristotela, a to </w:t>
      </w:r>
      <w:r w:rsidR="08480CC3">
        <w:t xml:space="preserve">skrze </w:t>
      </w:r>
      <w:r w:rsidR="08206769">
        <w:t xml:space="preserve">disjunktivní </w:t>
      </w:r>
      <w:r w:rsidR="08480CC3">
        <w:t>logický soud</w:t>
      </w:r>
      <w:r w:rsidRPr="00273106">
        <w:t>. Druhá kvestie na základě formálních a metafyzických důvodů vylučuje platnost Augustinova pojetí intelekt</w:t>
      </w:r>
      <w:r>
        <w:t xml:space="preserve">u. Podle ní je intelekt </w:t>
      </w:r>
      <w:r w:rsidRPr="00273106">
        <w:t xml:space="preserve">stvořen </w:t>
      </w:r>
      <w:r w:rsidRPr="00273106">
        <w:rPr>
          <w:i/>
        </w:rPr>
        <w:t xml:space="preserve">de </w:t>
      </w:r>
      <w:proofErr w:type="gramStart"/>
      <w:r w:rsidRPr="00273106">
        <w:rPr>
          <w:i/>
        </w:rPr>
        <w:t>novo</w:t>
      </w:r>
      <w:proofErr w:type="gramEnd"/>
      <w:r w:rsidRPr="00273106">
        <w:t xml:space="preserve"> od boha mimo čas stvoření</w:t>
      </w:r>
      <w:r>
        <w:fldChar w:fldCharType="begin"/>
      </w:r>
      <w:r>
        <w:instrText xml:space="preserve"> XE "</w:instrText>
      </w:r>
      <w:r w:rsidRPr="009C6AA4">
        <w:instrText>intelekt:věčný</w:instrText>
      </w:r>
      <w:r>
        <w:instrText xml:space="preserve">" </w:instrText>
      </w:r>
      <w:r>
        <w:fldChar w:fldCharType="end"/>
      </w:r>
      <w:r>
        <w:t xml:space="preserve">. Tato teorie předpokládá ontoteologický náhled do boží inteligence a vůle, což je z hlediska přirozeného rozumu nesmysl. Podle Sigera je z filosofického hlediska mnohem výhodnější </w:t>
      </w:r>
      <w:r w:rsidRPr="00273106">
        <w:t>Aristotelova teze</w:t>
      </w:r>
      <w:r>
        <w:t xml:space="preserve">, že </w:t>
      </w:r>
      <w:r w:rsidRPr="00273106">
        <w:t xml:space="preserve">intelekt je dán </w:t>
      </w:r>
      <w:r>
        <w:t xml:space="preserve">ve věčném trvání formální řady </w:t>
      </w:r>
      <w:r w:rsidRPr="00273106">
        <w:rPr>
          <w:i/>
        </w:rPr>
        <w:t>nunc</w:t>
      </w:r>
      <w:r>
        <w:t>, které traktují pohyb věčných kosmických forem a inteligencí</w:t>
      </w:r>
      <w:r w:rsidRPr="00273106">
        <w:t xml:space="preserve">. Aristotelova verze věčného trvání světa a intelektu nevylučuje stvoření </w:t>
      </w:r>
      <w:r w:rsidRPr="00273106">
        <w:rPr>
          <w:i/>
        </w:rPr>
        <w:t>ex nihilo</w:t>
      </w:r>
      <w:r>
        <w:rPr>
          <w:i/>
        </w:rPr>
        <w:fldChar w:fldCharType="begin"/>
      </w:r>
      <w:r>
        <w:instrText xml:space="preserve"> XE "</w:instrText>
      </w:r>
      <w:r w:rsidRPr="00163691">
        <w:rPr>
          <w:i/>
        </w:rPr>
        <w:instrText>creatio ex nihilo</w:instrText>
      </w:r>
      <w:r>
        <w:instrText xml:space="preserve">" </w:instrText>
      </w:r>
      <w:r>
        <w:rPr>
          <w:i/>
        </w:rPr>
        <w:fldChar w:fldCharType="end"/>
      </w:r>
      <w:r w:rsidRPr="00273106">
        <w:rPr>
          <w:i/>
        </w:rPr>
        <w:t xml:space="preserve"> </w:t>
      </w:r>
      <w:r w:rsidRPr="00273106">
        <w:t xml:space="preserve">dané před tímto trváním v čisté věčnosti, ale činí jej z pohledu filosofie </w:t>
      </w:r>
      <w:r>
        <w:t>velmi problematickou (</w:t>
      </w:r>
      <w:r w:rsidRPr="00273106">
        <w:rPr>
          <w:i/>
        </w:rPr>
        <w:t>inconveniens</w:t>
      </w:r>
      <w:r>
        <w:t>). Modernistická teorie podle Augustina p</w:t>
      </w:r>
      <w:r w:rsidRPr="00273106">
        <w:t xml:space="preserve">ředpokládá </w:t>
      </w:r>
      <w:r>
        <w:t xml:space="preserve">jak </w:t>
      </w:r>
      <w:r w:rsidRPr="00273106">
        <w:rPr>
          <w:i/>
        </w:rPr>
        <w:t>transmutatio</w:t>
      </w:r>
      <w:r w:rsidRPr="00273106">
        <w:t xml:space="preserve"> v řádu božího bytí</w:t>
      </w:r>
      <w:r>
        <w:t>, tak i lidský náhled do tohoto dění. Obojí je z filosofického hlediska ne</w:t>
      </w:r>
      <w:r w:rsidR="086F1F22">
        <w:t>s</w:t>
      </w:r>
      <w:r>
        <w:t>mysl. Siger zásadně odmítl neoplatonský augustinianismus</w:t>
      </w:r>
      <w:r>
        <w:fldChar w:fldCharType="begin"/>
      </w:r>
      <w:r>
        <w:instrText xml:space="preserve"> XE "druhý averroismus:</w:instrText>
      </w:r>
      <w:r w:rsidRPr="00F707A4">
        <w:rPr>
          <w:i/>
        </w:rPr>
        <w:instrText>augustinisme avicennisant</w:instrText>
      </w:r>
      <w:r>
        <w:instrText xml:space="preserve">" </w:instrText>
      </w:r>
      <w:r>
        <w:fldChar w:fldCharType="end"/>
      </w:r>
      <w:r>
        <w:t>, který v Bonaventurově škole postuloval dvě analogicky propojená patra demiurgické vůle a inteligence</w:t>
      </w:r>
      <w:r>
        <w:fldChar w:fldCharType="begin"/>
      </w:r>
      <w:r>
        <w:instrText xml:space="preserve"> XE "</w:instrText>
      </w:r>
      <w:r w:rsidRPr="00BE3CD0">
        <w:instrText>regule</w:instrText>
      </w:r>
      <w:r>
        <w:rPr>
          <w:sz w:val="20"/>
        </w:rPr>
        <w:instrText>:</w:instrText>
      </w:r>
      <w:r w:rsidRPr="00F707A4">
        <w:rPr>
          <w:i/>
        </w:rPr>
        <w:instrText>agentis in/creati</w:instrText>
      </w:r>
      <w:r>
        <w:instrText xml:space="preserve">" </w:instrText>
      </w:r>
      <w:r>
        <w:fldChar w:fldCharType="end"/>
      </w:r>
      <w:r>
        <w:t xml:space="preserve">. Poznání a vůle člověka a boha se liší naprosto zásadním způsobem. Filosofickým rozumem můžeme boha zkoumat jen nepřímo, tedy vědeckou dedukcí z kauzálních účinků, které produkuje </w:t>
      </w:r>
      <w:r>
        <w:rPr>
          <w:i/>
        </w:rPr>
        <w:t>c</w:t>
      </w:r>
      <w:r w:rsidRPr="08E1202C">
        <w:rPr>
          <w:i/>
        </w:rPr>
        <w:t>ausa prima</w:t>
      </w:r>
      <w:r>
        <w:t xml:space="preserve"> v reálně daném stvoření. Ale náhled do sféry prvních inteligencí v jejich čisté nematerialitě a kauzalitě aktuálních prvních substancí je pro nás zásadně </w:t>
      </w:r>
      <w:r>
        <w:lastRenderedPageBreak/>
        <w:t xml:space="preserve">nedostupný. Smysly omezené poznání vědecky poznává pouze reálnou kauzalitu fyzikálních těles. </w:t>
      </w:r>
      <w:r w:rsidRPr="00273106">
        <w:t xml:space="preserve">Dogmaticky daná ontoteologie </w:t>
      </w:r>
      <w:r w:rsidRPr="00273106">
        <w:rPr>
          <w:i/>
        </w:rPr>
        <w:t>Modernorum</w:t>
      </w:r>
      <w:r w:rsidRPr="00273106">
        <w:t xml:space="preserve"> vytváří unitární koncept </w:t>
      </w:r>
      <w:r>
        <w:t xml:space="preserve">boha a </w:t>
      </w:r>
      <w:r w:rsidRPr="00273106">
        <w:t xml:space="preserve">jsoucna </w:t>
      </w:r>
      <w:r>
        <w:t xml:space="preserve">třetího druhu </w:t>
      </w:r>
      <w:r w:rsidRPr="00273106">
        <w:t xml:space="preserve">a v této tmě moderního rozumu jsou pak všechny kočky </w:t>
      </w:r>
      <w:r>
        <w:t xml:space="preserve">stejně objektivně </w:t>
      </w:r>
      <w:r w:rsidRPr="00273106">
        <w:t>černé. Siger se postavil proti ontoteologii</w:t>
      </w:r>
      <w:r>
        <w:fldChar w:fldCharType="begin"/>
      </w:r>
      <w:r>
        <w:instrText xml:space="preserve"> XE "</w:instrText>
      </w:r>
      <w:r w:rsidRPr="00A45678">
        <w:rPr>
          <w:rStyle w:val="addmd"/>
        </w:rPr>
        <w:instrText>ontoteologie:</w:instrText>
      </w:r>
      <w:r>
        <w:rPr>
          <w:rStyle w:val="addmd"/>
        </w:rPr>
        <w:instrText>moderna</w:instrText>
      </w:r>
      <w:r>
        <w:instrText xml:space="preserve">" </w:instrText>
      </w:r>
      <w:r>
        <w:fldChar w:fldCharType="end"/>
      </w:r>
      <w:r w:rsidRPr="00273106">
        <w:t xml:space="preserve">, aby obhájil pravdu </w:t>
      </w:r>
      <w:r>
        <w:t xml:space="preserve">krititického a tedy rozlišujícího </w:t>
      </w:r>
      <w:r w:rsidRPr="00273106">
        <w:t xml:space="preserve">rozumu. </w:t>
      </w:r>
      <w:r>
        <w:t xml:space="preserve">Tento znalec Averroese patří s Albertem a Baconem k </w:t>
      </w:r>
      <w:r w:rsidRPr="00273106">
        <w:t>první</w:t>
      </w:r>
      <w:r>
        <w:t>m</w:t>
      </w:r>
      <w:r w:rsidRPr="00273106">
        <w:t xml:space="preserve"> </w:t>
      </w:r>
      <w:r>
        <w:t xml:space="preserve">myslitelům </w:t>
      </w:r>
      <w:r w:rsidRPr="00273106">
        <w:t>latinského Západu</w:t>
      </w:r>
      <w:r>
        <w:t xml:space="preserve">, pro které se filosofická obrana pravdy proti škole </w:t>
      </w:r>
      <w:r w:rsidRPr="083A3187">
        <w:rPr>
          <w:i/>
        </w:rPr>
        <w:t>Modernorum</w:t>
      </w:r>
      <w:r>
        <w:t xml:space="preserve"> stala životním povoláním</w:t>
      </w:r>
      <w:r w:rsidRPr="00273106">
        <w:t xml:space="preserve">. </w:t>
      </w:r>
      <w:r>
        <w:t>První profesionální filos</w:t>
      </w:r>
      <w:r w:rsidR="00313CBA">
        <w:t>ofové Západu nebyli mytologičtí modernisté</w:t>
      </w:r>
      <w:r>
        <w:t>, ale aristotelsky pravdiví</w:t>
      </w:r>
      <w:r w:rsidR="00313CBA">
        <w:t xml:space="preserve"> myslitelé</w:t>
      </w:r>
      <w:r>
        <w:t xml:space="preserve">. </w:t>
      </w:r>
      <w:r w:rsidRPr="00273106">
        <w:t>Rozhodující vyhlášení války pr</w:t>
      </w:r>
      <w:r>
        <w:t xml:space="preserve">oti druhému averroismu ohledně </w:t>
      </w:r>
      <w:r w:rsidRPr="00273106">
        <w:t>teorie dvoj</w:t>
      </w:r>
      <w:r>
        <w:t>í pravdy</w:t>
      </w:r>
      <w:r w:rsidRPr="00273106">
        <w:t xml:space="preserve"> </w:t>
      </w:r>
      <w:r>
        <w:t xml:space="preserve">sofisticky podsunuté Sigerově škole od roku 1266 </w:t>
      </w:r>
      <w:r w:rsidRPr="00273106">
        <w:t>je dáno v následující</w:t>
      </w:r>
      <w:r>
        <w:t xml:space="preserve">m výroku daném v logické formě </w:t>
      </w:r>
      <w:r w:rsidRPr="00273106">
        <w:rPr>
          <w:bCs/>
          <w:i/>
          <w:iCs/>
        </w:rPr>
        <w:t>argumentum a contrario</w:t>
      </w:r>
      <w:r w:rsidRPr="00273106">
        <w:t xml:space="preserve">. </w:t>
      </w:r>
      <w:r>
        <w:t>Důkaz sporem vypadá následovně.</w:t>
      </w:r>
    </w:p>
    <w:p w:rsidR="08163013" w:rsidRPr="005D489C" w:rsidRDefault="08163013" w:rsidP="08163013">
      <w:pPr>
        <w:pStyle w:val="Citace"/>
        <w:rPr>
          <w:noProof/>
          <w:lang w:val="cs-CZ"/>
        </w:rPr>
      </w:pPr>
      <w:r w:rsidRPr="00273106">
        <w:rPr>
          <w:noProof/>
          <w:lang w:val="cs-CZ"/>
        </w:rPr>
        <w:t>„</w:t>
      </w:r>
      <w:r>
        <w:rPr>
          <w:noProof/>
          <w:lang w:val="cs-CZ"/>
        </w:rPr>
        <w:t>Pokud bereme intelekt v jemu vlastní povaze, pak je věčný a je stvořen (</w:t>
      </w:r>
      <w:r w:rsidRPr="005D489C">
        <w:rPr>
          <w:i/>
          <w:noProof/>
          <w:lang w:val="cs-CZ"/>
        </w:rPr>
        <w:t>factum aeternum et de novo</w:t>
      </w:r>
      <w:r>
        <w:rPr>
          <w:noProof/>
          <w:lang w:val="cs-CZ"/>
        </w:rPr>
        <w:t xml:space="preserve">). Proto je pozice Aristotela pravděpodobnější, než pozice Augustina. Kdo věří pozici Aristotela, ten nemůže přijmout pozici Augustina. Pokud věří pozici Augustina, platí totéž.“ </w:t>
      </w:r>
      <w:r>
        <w:rPr>
          <w:rStyle w:val="Znakapoznpodarou"/>
        </w:rPr>
        <w:footnoteReference w:id="206"/>
      </w:r>
    </w:p>
    <w:p w:rsidR="001E4C54" w:rsidRDefault="08163013" w:rsidP="08163013">
      <w:r w:rsidRPr="00273106">
        <w:t xml:space="preserve">Citát shrnuje debatu ohledně </w:t>
      </w:r>
      <w:r>
        <w:t xml:space="preserve">stvoření </w:t>
      </w:r>
      <w:r w:rsidRPr="00273106">
        <w:t xml:space="preserve">duše a intelektu vyslovením zásadního dilematu v podobě logické kontrárnosti: buď </w:t>
      </w:r>
      <w:r>
        <w:t>Aristoteles</w:t>
      </w:r>
      <w:r w:rsidRPr="00273106">
        <w:t xml:space="preserve"> nebo Augustin (</w:t>
      </w:r>
      <w:r w:rsidRPr="00273106">
        <w:rPr>
          <w:i/>
        </w:rPr>
        <w:t>si igitur credatur Aristoteli, planum est quod non est credendum Augustino</w:t>
      </w:r>
      <w:r w:rsidRPr="00273106">
        <w:t xml:space="preserve">). </w:t>
      </w:r>
      <w:r w:rsidR="003D3AC7" w:rsidRPr="003D3AC7">
        <w:t>V sázce bylo odmítnutí celé Bonaventurovy ontoteologie založené n</w:t>
      </w:r>
      <w:r w:rsidR="003D3AC7">
        <w:t xml:space="preserve">a </w:t>
      </w:r>
      <w:r w:rsidR="003D3AC7" w:rsidRPr="00273106">
        <w:rPr>
          <w:i/>
        </w:rPr>
        <w:t>Oxfordian Fallacy</w:t>
      </w:r>
      <w:r w:rsidR="003D3AC7">
        <w:rPr>
          <w:i/>
        </w:rPr>
        <w:fldChar w:fldCharType="begin"/>
      </w:r>
      <w:r w:rsidR="003D3AC7">
        <w:instrText xml:space="preserve"> XE "</w:instrText>
      </w:r>
      <w:r w:rsidR="003D3AC7" w:rsidRPr="0015798D">
        <w:rPr>
          <w:i/>
        </w:rPr>
        <w:instrText>Oxfordian Fallacy:</w:instrText>
      </w:r>
      <w:r w:rsidR="003D3AC7" w:rsidRPr="00987709">
        <w:instrText>kritika Sigera</w:instrText>
      </w:r>
      <w:r w:rsidR="003D3AC7">
        <w:instrText xml:space="preserve">" </w:instrText>
      </w:r>
      <w:r w:rsidR="003D3AC7">
        <w:rPr>
          <w:i/>
        </w:rPr>
        <w:fldChar w:fldCharType="end"/>
      </w:r>
      <w:r w:rsidR="003D3AC7">
        <w:t xml:space="preserve"> </w:t>
      </w:r>
      <w:r w:rsidR="003D3AC7" w:rsidRPr="003D3AC7">
        <w:t>a spojené s mystickým ponořením do bož</w:t>
      </w:r>
      <w:r w:rsidR="003D3AC7">
        <w:t>ího</w:t>
      </w:r>
      <w:r w:rsidR="003D3AC7" w:rsidRPr="003D3AC7">
        <w:t xml:space="preserve"> myšlení. Neexistuje žádná možnost univo</w:t>
      </w:r>
      <w:r w:rsidR="003D3AC7">
        <w:t xml:space="preserve">ční </w:t>
      </w:r>
      <w:r w:rsidR="003D3AC7" w:rsidRPr="003D3AC7">
        <w:t>spekulace o stavu světa před stvoře</w:t>
      </w:r>
      <w:r w:rsidR="003D3AC7">
        <w:t>ním a po něm; žádná předurčená b</w:t>
      </w:r>
      <w:r w:rsidR="003D3AC7" w:rsidRPr="003D3AC7">
        <w:t xml:space="preserve">oží stvořitelská vůle učiněná </w:t>
      </w:r>
      <w:r w:rsidR="003D3AC7">
        <w:t>v řádu exemp</w:t>
      </w:r>
      <w:r w:rsidR="003D3AC7" w:rsidRPr="003D3AC7">
        <w:t>l</w:t>
      </w:r>
      <w:r w:rsidR="003D3AC7">
        <w:t>arů</w:t>
      </w:r>
      <w:r w:rsidR="003D3AC7" w:rsidRPr="003D3AC7">
        <w:t xml:space="preserve"> a věčných pravd. Stejná </w:t>
      </w:r>
      <w:r w:rsidR="003D3AC7">
        <w:t xml:space="preserve">kritika </w:t>
      </w:r>
      <w:r w:rsidR="003D3AC7" w:rsidRPr="003D3AC7">
        <w:t xml:space="preserve">se týká i mnoha dalších mytologických spekulací modernistů. </w:t>
      </w:r>
      <w:r w:rsidR="086F1F22">
        <w:t xml:space="preserve">Všechny tyto </w:t>
      </w:r>
      <w:r>
        <w:t xml:space="preserve">mytopoetické </w:t>
      </w:r>
      <w:r w:rsidRPr="00273106">
        <w:t>spekulace souvisejí s ontoteologickým náhledem do boží vůle a intelektu. Siger vyloučil ontoteologický nárok avicennistického augustinianismu z</w:t>
      </w:r>
      <w:r w:rsidR="08280CA4">
        <w:t> </w:t>
      </w:r>
      <w:r w:rsidRPr="00273106">
        <w:t>filosofie</w:t>
      </w:r>
      <w:r w:rsidR="08280CA4">
        <w:t>, protože je neslučitelný</w:t>
      </w:r>
      <w:r>
        <w:t xml:space="preserve"> </w:t>
      </w:r>
      <w:r w:rsidRPr="00273106">
        <w:t>s aristotelskou metafyzikou.</w:t>
      </w:r>
      <w:r>
        <w:t xml:space="preserve"> Siger se vůbec nevyjadřuje k otázce zjevených pravd zkoumaných teologií</w:t>
      </w:r>
      <w:r>
        <w:fldChar w:fldCharType="begin"/>
      </w:r>
      <w:r>
        <w:instrText xml:space="preserve"> XE "</w:instrText>
      </w:r>
      <w:r w:rsidRPr="000669A8">
        <w:instrText>teorie dvojí pravdy</w:instrText>
      </w:r>
      <w:r>
        <w:instrText xml:space="preserve">" </w:instrText>
      </w:r>
      <w:r>
        <w:fldChar w:fldCharType="end"/>
      </w:r>
      <w:r>
        <w:t xml:space="preserve">. Pouze konstatuje, které z těchto pravd jsou více či méně kompatibilní s tou nebo onou filosofickou školou (Aristoteles, Augustin). A proč se obě školy vzájemně vylučují ve svých myslitelských předpokladech. Siger dogmaticky netvrdí jako vševědoucí sofisté v modu jedné </w:t>
      </w:r>
      <w:r>
        <w:lastRenderedPageBreak/>
        <w:t xml:space="preserve">pravdy, že tento filosof má pravdu a ten druhý je heretik. Siger filosoficky zdůvodní, proč Aristoteles a Augustin nemohou mít pravdu oba najednou. Rozum vylučuje </w:t>
      </w:r>
      <w:r w:rsidRPr="081579E6">
        <w:rPr>
          <w:i/>
        </w:rPr>
        <w:t>tertium ens</w:t>
      </w:r>
      <w:r>
        <w:t xml:space="preserve">. To je brilantní a zcela minimalistická filosofická argumentace zásadně obhajitelná v řádu přirozeného rozumu, tehdy i dnes. </w:t>
      </w:r>
      <w:r w:rsidRPr="00273106">
        <w:t>Obě pojetí vzniku duše vázané na spor o věčnost světa</w:t>
      </w:r>
      <w:r>
        <w:fldChar w:fldCharType="begin"/>
      </w:r>
      <w:r>
        <w:instrText xml:space="preserve"> XE "</w:instrText>
      </w:r>
      <w:r w:rsidRPr="0007307E">
        <w:instrText>věčnost světa</w:instrText>
      </w:r>
      <w:r>
        <w:instrText xml:space="preserve">" </w:instrText>
      </w:r>
      <w:r>
        <w:fldChar w:fldCharType="end"/>
      </w:r>
      <w:r w:rsidRPr="00273106">
        <w:t xml:space="preserve"> nejsou vzájemně kompatibilní, protože jde o dva různé typy pravd. </w:t>
      </w:r>
      <w:r>
        <w:t xml:space="preserve">To je jeden ze zásadních důvodů, proč v následující pětiletce vypukla v mendikantských řádech hájících moderní augustinianismus a avicennismus zásadní krize ohledně věčnosti stvoření a duše, která musela reagovat na tuto brilantní pozici odlišující rodové zkoumání teologie a filosofie. Viz otázky adresované generálem dominikánů roku 1271 ohledně výkladu Aristotelova </w:t>
      </w:r>
      <w:r w:rsidRPr="080677D5">
        <w:rPr>
          <w:i/>
        </w:rPr>
        <w:t>De animalibus</w:t>
      </w:r>
      <w:r>
        <w:rPr>
          <w:i/>
        </w:rPr>
        <w:t xml:space="preserve"> </w:t>
      </w:r>
      <w:r>
        <w:t xml:space="preserve">a kosmologie na </w:t>
      </w:r>
      <w:r w:rsidR="08DA29EF">
        <w:t>hlavní intelektuály řádu (kap. 4</w:t>
      </w:r>
      <w:r>
        <w:t>.5.3</w:t>
      </w:r>
      <w:r w:rsidRPr="08B832CD">
        <w:t>).</w:t>
      </w:r>
      <w:r>
        <w:t xml:space="preserve"> Sigerův postoj obhajovala filosofická fakulta 1272 v Paříži tím, že upozornila magistry a studenty na zásadní odděl</w:t>
      </w:r>
      <w:r w:rsidR="08DA29EF">
        <w:t>ení filosofie a teologie (kap. 4</w:t>
      </w:r>
      <w:r>
        <w:t xml:space="preserve">.1.2). Brilantní stanovisko dané v přednáškách a shrnuté v díle </w:t>
      </w:r>
      <w:r w:rsidRPr="08AE0945">
        <w:t>QIIIDA</w:t>
      </w:r>
      <w:r>
        <w:rPr>
          <w:i/>
        </w:rPr>
        <w:t xml:space="preserve"> </w:t>
      </w:r>
      <w:r>
        <w:t>jistě mělo zásadní vliv na to, že byl zvolen 1271 velkou částí magistrů (</w:t>
      </w:r>
      <w:r>
        <w:rPr>
          <w:i/>
          <w:iCs/>
        </w:rPr>
        <w:t>pars Sigeri</w:t>
      </w:r>
      <w:r>
        <w:rPr>
          <w:i/>
          <w:iCs/>
        </w:rPr>
        <w:fldChar w:fldCharType="begin"/>
      </w:r>
      <w:r>
        <w:instrText xml:space="preserve"> XE "</w:instrText>
      </w:r>
      <w:r w:rsidRPr="004831C6">
        <w:instrText>první averroismus</w:instrText>
      </w:r>
      <w:r w:rsidRPr="00B52EEE">
        <w:rPr>
          <w:i/>
        </w:rPr>
        <w:instrText>:pars Sigeri</w:instrText>
      </w:r>
      <w:r>
        <w:instrText xml:space="preserve">" </w:instrText>
      </w:r>
      <w:r>
        <w:rPr>
          <w:i/>
          <w:iCs/>
        </w:rPr>
        <w:fldChar w:fldCharType="end"/>
      </w:r>
      <w:r>
        <w:t>) jako rektor artistické fakulty proti neoplatoni</w:t>
      </w:r>
      <w:r w:rsidR="00A85649">
        <w:t xml:space="preserve">kovi Aubrymu z Remeše. Tím se ze Sigera </w:t>
      </w:r>
      <w:r>
        <w:t xml:space="preserve">stal oficiální </w:t>
      </w:r>
      <w:r>
        <w:rPr>
          <w:i/>
        </w:rPr>
        <w:t>Doctor Invidiosus</w:t>
      </w:r>
      <w:r>
        <w:rPr>
          <w:i/>
        </w:rPr>
        <w:fldChar w:fldCharType="begin"/>
      </w:r>
      <w:r>
        <w:instrText xml:space="preserve"> XE "</w:instrText>
      </w:r>
      <w:r>
        <w:rPr>
          <w:i/>
        </w:rPr>
        <w:instrText>Doctor Invidiosus</w:instrText>
      </w:r>
      <w:r>
        <w:instrText xml:space="preserve">" </w:instrText>
      </w:r>
      <w:r>
        <w:rPr>
          <w:i/>
        </w:rPr>
        <w:fldChar w:fldCharType="end"/>
      </w:r>
      <w:r w:rsidR="00B17928">
        <w:t>, což dokázala</w:t>
      </w:r>
      <w:r>
        <w:t xml:space="preserve"> následná historie sporu na Pařížské univerzitě. Brilantní aristotelik Siger se stal po roce 1266 mluvčím pařížských artistů sdružených ve škole prvního averroismu podle Sicilské školy</w:t>
      </w:r>
      <w:r w:rsidR="08DA29EF">
        <w:t>. Tito první filosofové z povolání byli shromážděni ve škole prvního averroismu podle Sicil</w:t>
      </w:r>
      <w:r w:rsidR="082F0DD9">
        <w:t>s</w:t>
      </w:r>
      <w:r w:rsidR="08DA29EF">
        <w:t xml:space="preserve">ké školy. Tito myslitelé odmítli jak avicennismus </w:t>
      </w:r>
      <w:r w:rsidR="08DA29EF" w:rsidRPr="08DA29EF">
        <w:rPr>
          <w:i/>
        </w:rPr>
        <w:t>Modernorum</w:t>
      </w:r>
      <w:r w:rsidR="08DA29EF">
        <w:t>, tak aristotelismus Akvinského a částečně také Alberta</w:t>
      </w:r>
      <w:r>
        <w:fldChar w:fldCharType="begin"/>
      </w:r>
      <w:r>
        <w:instrText xml:space="preserve"> XE "</w:instrText>
      </w:r>
      <w:r w:rsidRPr="08DC3A81">
        <w:instrText>Sicilská škola</w:instrText>
      </w:r>
      <w:r>
        <w:instrText xml:space="preserve">" </w:instrText>
      </w:r>
      <w:r>
        <w:fldChar w:fldCharType="end"/>
      </w:r>
      <w:r w:rsidR="08DA29EF">
        <w:t xml:space="preserve">. </w:t>
      </w:r>
      <w:r>
        <w:t xml:space="preserve">Po integrálním vydání Sigerova komentáře k </w:t>
      </w:r>
      <w:proofErr w:type="gramStart"/>
      <w:r w:rsidRPr="00902850">
        <w:rPr>
          <w:i/>
        </w:rPr>
        <w:t>De</w:t>
      </w:r>
      <w:proofErr w:type="gramEnd"/>
      <w:r w:rsidRPr="00902850">
        <w:rPr>
          <w:i/>
        </w:rPr>
        <w:t xml:space="preserve"> anima</w:t>
      </w:r>
      <w:r>
        <w:t xml:space="preserve"> (Mnichovský rukopis pr</w:t>
      </w:r>
      <w:r w:rsidR="082F0DD9">
        <w:t>o DA I–</w:t>
      </w:r>
      <w:r>
        <w:t>II</w:t>
      </w:r>
      <w:r>
        <w:rPr>
          <w:i/>
        </w:rPr>
        <w:t xml:space="preserve"> </w:t>
      </w:r>
      <w:r>
        <w:t xml:space="preserve">a QIIIDA) došlo k </w:t>
      </w:r>
      <w:r w:rsidRPr="00273106">
        <w:t>zásadní</w:t>
      </w:r>
      <w:r>
        <w:t xml:space="preserve">mu </w:t>
      </w:r>
      <w:r w:rsidRPr="00273106">
        <w:t>sporu mezi prvním a druhým averroismem</w:t>
      </w:r>
      <w:r>
        <w:t xml:space="preserve">. </w:t>
      </w:r>
      <w:r w:rsidRPr="00273106">
        <w:t>Začala se veřejně debatovat otázka pravdy dané božím zjevením a přirozeným rozumem, která se týkala definice člověka</w:t>
      </w:r>
      <w:r>
        <w:t>, statutu duše a poznání</w:t>
      </w:r>
      <w:r w:rsidRPr="00273106">
        <w:t>.</w:t>
      </w:r>
      <w:r>
        <w:t xml:space="preserve"> </w:t>
      </w:r>
      <w:r w:rsidR="0057348E">
        <w:t xml:space="preserve">Druhá kvestie QIIIDA </w:t>
      </w:r>
      <w:r w:rsidRPr="00273106">
        <w:t xml:space="preserve">představuje vyvážený text věřícího myslitele, který dává filosofii </w:t>
      </w:r>
      <w:r>
        <w:t>sice minimální, ale plně autonomní oblast zkoumání postavenou mimo pravdy víry</w:t>
      </w:r>
      <w:r w:rsidRPr="00273106">
        <w:t xml:space="preserve">. </w:t>
      </w:r>
      <w:r>
        <w:t xml:space="preserve">Jeho pojetí není v žádném případě v protikladu s těmito pravdami, protože jim neodporuje. Z hlediska vědeckého poznání podle </w:t>
      </w:r>
      <w:r w:rsidRPr="08FA6967">
        <w:rPr>
          <w:i/>
        </w:rPr>
        <w:t>Druhých analytik</w:t>
      </w:r>
      <w:r>
        <w:t xml:space="preserve"> patří teologie do</w:t>
      </w:r>
      <w:r w:rsidR="001E4C54">
        <w:t xml:space="preserve"> rodově odlišné sféry zkoumání.</w:t>
      </w:r>
    </w:p>
    <w:p w:rsidR="004167B8" w:rsidRDefault="08163013" w:rsidP="00A64D1F">
      <w:pPr>
        <w:ind w:firstLine="397"/>
      </w:pPr>
      <w:r w:rsidRPr="00273106">
        <w:t xml:space="preserve">Kritická filosofie </w:t>
      </w:r>
      <w:r>
        <w:t xml:space="preserve">Sigera přesně </w:t>
      </w:r>
      <w:r w:rsidRPr="00273106">
        <w:t xml:space="preserve">rozlišuje mezi zjevenými pravdami víry a mezi kritickým projektem filosofie zkoumajícím svět přirozeným světlem rozumu. </w:t>
      </w:r>
      <w:r>
        <w:t xml:space="preserve">Pojetí intelektu, duše, </w:t>
      </w:r>
      <w:r w:rsidR="00962190">
        <w:rPr>
          <w:i/>
        </w:rPr>
        <w:t>species</w:t>
      </w:r>
      <w:r>
        <w:t>, stvoření atd</w:t>
      </w:r>
      <w:r w:rsidR="082F0DD9">
        <w:t xml:space="preserve">. podle latinských sofistů </w:t>
      </w:r>
      <w:r>
        <w:t xml:space="preserve">je filosoficky naprosto zmatené, protože je </w:t>
      </w:r>
      <w:r>
        <w:lastRenderedPageBreak/>
        <w:t>založeno na objektivním jsoucnu třetího druhu. Sofismata moder</w:t>
      </w:r>
      <w:r w:rsidR="007D1DC0">
        <w:t>nistů vytvořila</w:t>
      </w:r>
      <w:r>
        <w:t xml:space="preserve"> dogmatickou mytologii v linii dialogu </w:t>
      </w:r>
      <w:r w:rsidRPr="08FA6967">
        <w:rPr>
          <w:i/>
        </w:rPr>
        <w:t>Timaios</w:t>
      </w:r>
      <w:r>
        <w:fldChar w:fldCharType="begin"/>
      </w:r>
      <w:r>
        <w:instrText xml:space="preserve"> XE "dialog </w:instrText>
      </w:r>
      <w:r w:rsidRPr="081325FA">
        <w:rPr>
          <w:i/>
        </w:rPr>
        <w:instrText>Timaios</w:instrText>
      </w:r>
      <w:r>
        <w:instrText xml:space="preserve">" </w:instrText>
      </w:r>
      <w:r>
        <w:fldChar w:fldCharType="end"/>
      </w:r>
      <w:r>
        <w:t>, kterou Scotus změn</w:t>
      </w:r>
      <w:r w:rsidR="08BB1520">
        <w:t>il</w:t>
      </w:r>
      <w:r>
        <w:t xml:space="preserve"> na objektivní metafyziku Západu. Siger </w:t>
      </w:r>
      <w:r w:rsidRPr="00273106">
        <w:t xml:space="preserve">nevidí </w:t>
      </w:r>
      <w:r>
        <w:t xml:space="preserve">filosofii a teologii </w:t>
      </w:r>
      <w:r w:rsidRPr="00273106">
        <w:t>jako pro</w:t>
      </w:r>
      <w:r>
        <w:t>ti</w:t>
      </w:r>
      <w:r w:rsidRPr="00273106">
        <w:t>kladné</w:t>
      </w:r>
      <w:r>
        <w:t xml:space="preserve"> vědy. A</w:t>
      </w:r>
      <w:r w:rsidRPr="00273106">
        <w:t xml:space="preserve">ni je nespojuje do </w:t>
      </w:r>
      <w:r>
        <w:t xml:space="preserve">ontoteologické </w:t>
      </w:r>
      <w:r w:rsidRPr="00273106">
        <w:t>dogmati</w:t>
      </w:r>
      <w:r>
        <w:t xml:space="preserve">ky </w:t>
      </w:r>
      <w:r>
        <w:fldChar w:fldCharType="begin"/>
      </w:r>
      <w:r>
        <w:instrText xml:space="preserve"> XE "</w:instrText>
      </w:r>
      <w:r w:rsidRPr="00337629">
        <w:instrText>ontoteologie:kritika Sigera</w:instrText>
      </w:r>
      <w:r>
        <w:instrText xml:space="preserve">" </w:instrText>
      </w:r>
      <w:r>
        <w:fldChar w:fldCharType="end"/>
      </w:r>
      <w:r w:rsidRPr="00273106">
        <w:t>jako Augustin v případě dědičného hříchu (Ricoeur</w:t>
      </w:r>
      <w:r>
        <w:fldChar w:fldCharType="begin"/>
      </w:r>
      <w:r>
        <w:instrText xml:space="preserve"> XE "</w:instrText>
      </w:r>
      <w:r w:rsidRPr="001B5CE9">
        <w:instrText>Ricoeur, P.</w:instrText>
      </w:r>
      <w:r>
        <w:instrText xml:space="preserve">" </w:instrText>
      </w:r>
      <w:r>
        <w:fldChar w:fldCharType="end"/>
      </w:r>
      <w:r w:rsidRPr="00273106">
        <w:t xml:space="preserve"> 1969) a po něm Bonaventura do dvoupatrové stavby </w:t>
      </w:r>
      <w:r w:rsidR="088406AE">
        <w:t>přirozena a nadpřirozena (kap. 4</w:t>
      </w:r>
      <w:r w:rsidRPr="00273106">
        <w:t xml:space="preserve">.1.1). Hermeneutika potvrzuje Gilsonovo </w:t>
      </w:r>
      <w:r>
        <w:fldChar w:fldCharType="begin"/>
      </w:r>
      <w:r>
        <w:instrText xml:space="preserve"> XE "</w:instrText>
      </w:r>
      <w:r w:rsidRPr="003377B9">
        <w:instrText>Gilson, E.</w:instrText>
      </w:r>
      <w:r>
        <w:instrText xml:space="preserve">" </w:instrText>
      </w:r>
      <w:r>
        <w:fldChar w:fldCharType="end"/>
      </w:r>
      <w:r w:rsidRPr="00273106">
        <w:t xml:space="preserve">tvrzení, že kolem 1277 nemáme doloženu žádnou nauku o </w:t>
      </w:r>
      <w:r>
        <w:t xml:space="preserve">dvojí pravdě </w:t>
      </w:r>
      <w:r w:rsidRPr="00273106">
        <w:t xml:space="preserve">(Gilson 1921, 63). </w:t>
      </w:r>
      <w:r>
        <w:t xml:space="preserve">Teorie dvojí pravdy neexistuje, protože </w:t>
      </w:r>
      <w:r w:rsidR="00E5489E">
        <w:t xml:space="preserve">takoévé nesmysly </w:t>
      </w:r>
      <w:r>
        <w:t>podle Sigera nepřipouští aristotelská metafyzika</w:t>
      </w:r>
      <w:r>
        <w:fldChar w:fldCharType="begin"/>
      </w:r>
      <w:r>
        <w:instrText xml:space="preserve"> XE "</w:instrText>
      </w:r>
      <w:r w:rsidRPr="001E617A">
        <w:instrText>teorie dvojí pravdy</w:instrText>
      </w:r>
      <w:r>
        <w:instrText xml:space="preserve">" </w:instrText>
      </w:r>
      <w:r>
        <w:fldChar w:fldCharType="end"/>
      </w:r>
      <w:r>
        <w:t xml:space="preserve">. </w:t>
      </w:r>
      <w:r w:rsidR="00E5489E">
        <w:t>Existuje dvojí genericky odlišná věda, ale pouze jedna pravda jako corespondence inteleut a reality, protože žijeme v jednom reálném světě. B</w:t>
      </w:r>
      <w:r>
        <w:t>ůh je jeden a první substance</w:t>
      </w:r>
      <w:r>
        <w:fldChar w:fldCharType="begin"/>
      </w:r>
      <w:r>
        <w:instrText xml:space="preserve"> XE "</w:instrText>
      </w:r>
      <w:r w:rsidRPr="004D05F3">
        <w:instrText>substance</w:instrText>
      </w:r>
      <w:r>
        <w:instrText xml:space="preserve">:první" </w:instrText>
      </w:r>
      <w:r>
        <w:fldChar w:fldCharType="end"/>
      </w:r>
      <w:r>
        <w:t xml:space="preserve"> existující v realitě je také jen jedna. Pravda jako aristotelská adekvace věci a intelektu v modu poznání podle CMDA nemůže být dvojí, protože by nebyla pravdivá. Ale existuje dvojí výklad </w:t>
      </w:r>
      <w:r w:rsidRPr="082515AA">
        <w:rPr>
          <w:i/>
        </w:rPr>
        <w:t>Druhých analytik</w:t>
      </w:r>
      <w:r>
        <w:t xml:space="preserve"> daných buď aristotelsky </w:t>
      </w:r>
      <w:r w:rsidR="00E5489E">
        <w:t>„</w:t>
      </w:r>
      <w:r>
        <w:rPr>
          <w:i/>
        </w:rPr>
        <w:t>ad mentem Averrois</w:t>
      </w:r>
      <w:r w:rsidR="00E5489E">
        <w:t>“</w:t>
      </w:r>
      <w:r>
        <w:rPr>
          <w:i/>
        </w:rPr>
        <w:fldChar w:fldCharType="begin"/>
      </w:r>
      <w:r>
        <w:instrText xml:space="preserve"> XE "</w:instrText>
      </w:r>
      <w:r>
        <w:rPr>
          <w:i/>
        </w:rPr>
        <w:instrText>ad mentem Averrois</w:instrText>
      </w:r>
      <w:r>
        <w:instrText xml:space="preserve">" </w:instrText>
      </w:r>
      <w:r>
        <w:rPr>
          <w:i/>
        </w:rPr>
        <w:fldChar w:fldCharType="end"/>
      </w:r>
      <w:r>
        <w:t xml:space="preserve">, nebo podle </w:t>
      </w:r>
      <w:r w:rsidRPr="00C847DC">
        <w:rPr>
          <w:i/>
        </w:rPr>
        <w:t>Oxfordian Fallacy</w:t>
      </w:r>
      <w:r>
        <w:t xml:space="preserve">. </w:t>
      </w:r>
      <w:r w:rsidR="0046350B">
        <w:t>Argument takzvané „dvojí pravdy“</w:t>
      </w:r>
      <w:r w:rsidR="0046350B" w:rsidRPr="0046350B">
        <w:t xml:space="preserve"> existoval pouze jako důvod k útoku vedenému modernisty všeho druhu sdruženými ve školách </w:t>
      </w:r>
      <w:r w:rsidR="0046350B">
        <w:rPr>
          <w:i/>
        </w:rPr>
        <w:t>sophistae Latini</w:t>
      </w:r>
      <w:r w:rsidR="0046350B" w:rsidRPr="0046350B">
        <w:t>.</w:t>
      </w:r>
      <w:r w:rsidR="0046350B">
        <w:t xml:space="preserve"> </w:t>
      </w:r>
      <w:r>
        <w:t xml:space="preserve">Druhý averroismus vykládal jednotu teologie a filosofie podle ontoteologické verze </w:t>
      </w:r>
      <w:r w:rsidRPr="00EE5747">
        <w:rPr>
          <w:i/>
        </w:rPr>
        <w:t>Oxfordian Fallacy</w:t>
      </w:r>
      <w:r>
        <w:rPr>
          <w:i/>
        </w:rPr>
        <w:fldChar w:fldCharType="begin"/>
      </w:r>
      <w:r>
        <w:instrText xml:space="preserve"> XE "</w:instrText>
      </w:r>
      <w:r w:rsidRPr="0015798D">
        <w:rPr>
          <w:i/>
        </w:rPr>
        <w:instrText>Oxfordian Fallacy:</w:instrText>
      </w:r>
      <w:r w:rsidRPr="00A07813">
        <w:instrText>ontoteologie</w:instrText>
      </w:r>
      <w:r>
        <w:instrText xml:space="preserve">" </w:instrText>
      </w:r>
      <w:r>
        <w:rPr>
          <w:i/>
        </w:rPr>
        <w:fldChar w:fldCharType="end"/>
      </w:r>
      <w:r>
        <w:t xml:space="preserve">, kterou hájily oba zmatené dekrety </w:t>
      </w:r>
      <w:r w:rsidR="088406AE">
        <w:t xml:space="preserve">v Paříži a v Oxfordu v roce </w:t>
      </w:r>
      <w:r>
        <w:t>1277</w:t>
      </w:r>
      <w:r>
        <w:fldChar w:fldCharType="begin"/>
      </w:r>
      <w:r>
        <w:instrText xml:space="preserve"> XE "</w:instrText>
      </w:r>
      <w:r w:rsidRPr="006D5047">
        <w:instrText>odsouzení 1277</w:instrText>
      </w:r>
      <w:r>
        <w:instrText xml:space="preserve">" </w:instrText>
      </w:r>
      <w:r>
        <w:fldChar w:fldCharType="end"/>
      </w:r>
      <w:r>
        <w:t>. V</w:t>
      </w:r>
      <w:r w:rsidRPr="00273106">
        <w:t>iz úvod Etienno</w:t>
      </w:r>
      <w:r>
        <w:t>va odsouzení odsuzující teorii fiktivních dvou pravd, které tehdy nikdo nehlásal (</w:t>
      </w:r>
      <w:r w:rsidRPr="00273106">
        <w:rPr>
          <w:i/>
        </w:rPr>
        <w:t>quasi sint due contrarie veritates</w:t>
      </w:r>
      <w:r w:rsidR="00982242">
        <w:rPr>
          <w:i/>
        </w:rPr>
        <w:t>;</w:t>
      </w:r>
      <w:r>
        <w:t xml:space="preserve"> </w:t>
      </w:r>
      <w:r>
        <w:rPr>
          <w:i/>
          <w:iCs/>
        </w:rPr>
        <w:t>Chartular</w:t>
      </w:r>
      <w:r w:rsidRPr="00273106">
        <w:rPr>
          <w:i/>
          <w:iCs/>
        </w:rPr>
        <w:t>ium</w:t>
      </w:r>
      <w:r>
        <w:rPr>
          <w:i/>
          <w:iCs/>
        </w:rPr>
        <w:t xml:space="preserve"> </w:t>
      </w:r>
      <w:r>
        <w:rPr>
          <w:iCs/>
        </w:rPr>
        <w:t xml:space="preserve">No. </w:t>
      </w:r>
      <w:r w:rsidRPr="00273106">
        <w:t>473, p. 543</w:t>
      </w:r>
      <w:r>
        <w:fldChar w:fldCharType="begin"/>
      </w:r>
      <w:r>
        <w:instrText xml:space="preserve"> XE "</w:instrText>
      </w:r>
      <w:r>
        <w:rPr>
          <w:i/>
          <w:iCs/>
        </w:rPr>
        <w:instrText>Chartular</w:instrText>
      </w:r>
      <w:r w:rsidRPr="001D6555">
        <w:rPr>
          <w:i/>
          <w:iCs/>
        </w:rPr>
        <w:instrText>ium</w:instrText>
      </w:r>
      <w:r>
        <w:rPr>
          <w:i/>
          <w:iCs/>
        </w:rPr>
        <w:instrText xml:space="preserve"> </w:instrText>
      </w:r>
      <w:r w:rsidRPr="001D6555">
        <w:instrText>473</w:instrText>
      </w:r>
      <w:r>
        <w:instrText xml:space="preserve">" </w:instrText>
      </w:r>
      <w:r>
        <w:fldChar w:fldCharType="end"/>
      </w:r>
      <w:r w:rsidRPr="00273106">
        <w:t>)</w:t>
      </w:r>
      <w:r>
        <w:t>. Dekretem zmíněnou dvojí pravdu podstrčili sofisté zakládající modernu oněm aristotelikům a znalcům Averroese jako byl Siger</w:t>
      </w:r>
      <w:r w:rsidR="006C6FC1">
        <w:t>, aby je mohli zničit</w:t>
      </w:r>
      <w:r w:rsidRPr="00273106">
        <w:t>.</w:t>
      </w:r>
      <w:r>
        <w:t xml:space="preserve"> </w:t>
      </w:r>
      <w:r w:rsidR="00DA3CC2">
        <w:t>Spor se tedy vůbec netýká teorie</w:t>
      </w:r>
      <w:r w:rsidRPr="00273106">
        <w:t xml:space="preserve"> </w:t>
      </w:r>
      <w:r w:rsidR="00DA3CC2">
        <w:t>„</w:t>
      </w:r>
      <w:r w:rsidRPr="00273106">
        <w:rPr>
          <w:i/>
        </w:rPr>
        <w:t>duplex veritas</w:t>
      </w:r>
      <w:r w:rsidR="00DA3CC2">
        <w:t>“</w:t>
      </w:r>
      <w:r>
        <w:rPr>
          <w:i/>
        </w:rPr>
        <w:fldChar w:fldCharType="begin"/>
      </w:r>
      <w:r>
        <w:instrText xml:space="preserve"> XE "pravda:</w:instrText>
      </w:r>
      <w:r w:rsidRPr="00660D14">
        <w:rPr>
          <w:i/>
        </w:rPr>
        <w:instrText>duplex veritas</w:instrText>
      </w:r>
      <w:r>
        <w:instrText xml:space="preserve">" </w:instrText>
      </w:r>
      <w:r>
        <w:rPr>
          <w:i/>
        </w:rPr>
        <w:fldChar w:fldCharType="end"/>
      </w:r>
      <w:r w:rsidRPr="00273106">
        <w:t xml:space="preserve">, kterou Siger a další </w:t>
      </w:r>
      <w:r>
        <w:t xml:space="preserve">magistři </w:t>
      </w:r>
      <w:r w:rsidRPr="00273106">
        <w:t xml:space="preserve">nikdy nehlásali, </w:t>
      </w:r>
      <w:r>
        <w:t xml:space="preserve">ale </w:t>
      </w:r>
      <w:r w:rsidR="001C57E0">
        <w:t xml:space="preserve">jde </w:t>
      </w:r>
      <w:r>
        <w:t xml:space="preserve">o hledanou </w:t>
      </w:r>
      <w:r w:rsidR="001C57E0">
        <w:t>„</w:t>
      </w:r>
      <w:r w:rsidRPr="00273106">
        <w:rPr>
          <w:i/>
        </w:rPr>
        <w:t>unité du savoir</w:t>
      </w:r>
      <w:r w:rsidR="001C57E0">
        <w:t>“</w:t>
      </w:r>
      <w:r>
        <w:t xml:space="preserve"> nebo </w:t>
      </w:r>
      <w:r w:rsidR="001C57E0">
        <w:t>„</w:t>
      </w:r>
      <w:r w:rsidRPr="00273106">
        <w:rPr>
          <w:i/>
        </w:rPr>
        <w:t>unicité de la vérité</w:t>
      </w:r>
      <w:r w:rsidR="001C57E0">
        <w:t>“</w:t>
      </w:r>
      <w:r w:rsidRPr="00273106">
        <w:t xml:space="preserve"> (Bianchi 2008, 17)</w:t>
      </w:r>
      <w:r>
        <w:t>. Druhý averroismus chápal pravdu naprosto univočně a ontoteologicky v pomýleném synkretismu moderní filosofie a teologie daném od Rufuse (</w:t>
      </w:r>
      <w:r w:rsidRPr="00A262AB">
        <w:rPr>
          <w:i/>
        </w:rPr>
        <w:t>coaequatio</w:t>
      </w:r>
      <w:r>
        <w:rPr>
          <w:i/>
        </w:rPr>
        <w:fldChar w:fldCharType="begin"/>
      </w:r>
      <w:r>
        <w:instrText xml:space="preserve"> XE "pravda:</w:instrText>
      </w:r>
      <w:r w:rsidRPr="00E11E1F">
        <w:rPr>
          <w:i/>
        </w:rPr>
        <w:instrText>coaequatio</w:instrText>
      </w:r>
      <w:r>
        <w:instrText xml:space="preserve">" </w:instrText>
      </w:r>
      <w:r>
        <w:rPr>
          <w:i/>
        </w:rPr>
        <w:fldChar w:fldCharType="end"/>
      </w:r>
      <w:r w:rsidR="08AC0F77">
        <w:t>; OBJ II, kap. 3</w:t>
      </w:r>
      <w:r w:rsidRPr="00273106">
        <w:t>.3.2</w:t>
      </w:r>
      <w:r>
        <w:t>)</w:t>
      </w:r>
      <w:r w:rsidRPr="00273106">
        <w:t xml:space="preserve">. </w:t>
      </w:r>
      <w:r>
        <w:t>Předešlé výklady jasně ukázaly v návaznosti na podobnou debatu ve falsafě (</w:t>
      </w:r>
      <w:r w:rsidR="08AC0F77">
        <w:t xml:space="preserve">OBJ I, </w:t>
      </w:r>
      <w:r>
        <w:t>kap. 2.5), že aristotelikové mají dvojí cestu k jedné pravdě a proto drží dvě rodově odlišné vědy o první pravdě</w:t>
      </w:r>
      <w:r w:rsidR="00293634">
        <w:t xml:space="preserve">: </w:t>
      </w:r>
      <w:r>
        <w:t xml:space="preserve">filosofii a teologii. Přechod mezi nimi není možný, protože jedna věda jde k bohu jako </w:t>
      </w:r>
      <w:r>
        <w:rPr>
          <w:i/>
        </w:rPr>
        <w:t>c</w:t>
      </w:r>
      <w:r w:rsidRPr="00D85B24">
        <w:rPr>
          <w:i/>
        </w:rPr>
        <w:t>ausa prima</w:t>
      </w:r>
      <w:r>
        <w:t xml:space="preserve"> a druhá věda zkoumá to, co ze sebe dává bůh přímo a bezprostředně v modu zjevených pravd </w:t>
      </w:r>
      <w:r>
        <w:lastRenderedPageBreak/>
        <w:t xml:space="preserve">jako Stvořitel a Vykupitel. Obě formy vědění mají rozdílný </w:t>
      </w:r>
      <w:r w:rsidR="001E5B3D">
        <w:t xml:space="preserve">formální </w:t>
      </w:r>
      <w:r>
        <w:t>předmět</w:t>
      </w:r>
      <w:r w:rsidR="001E5B3D">
        <w:t xml:space="preserve"> poznání</w:t>
      </w:r>
      <w:r>
        <w:t xml:space="preserve">, proto je nutné jít cestou vědeckého důkazu podle </w:t>
      </w:r>
      <w:r w:rsidRPr="08AA5198">
        <w:rPr>
          <w:i/>
        </w:rPr>
        <w:t>Druhých analytik</w:t>
      </w:r>
      <w:r>
        <w:t xml:space="preserve">. Z této skupiny obhajující jednotu osoby a kriticky stanovující meze racionálního poznání podle prvního averroismu udělala pozdější objektivní historie </w:t>
      </w:r>
      <w:r w:rsidR="007F5AE8">
        <w:t>skupinu averroistů</w:t>
      </w:r>
      <w:r>
        <w:t xml:space="preserve"> (Gauthier 1984). Druhý averroismus moderních iluminátů</w:t>
      </w:r>
      <w:r>
        <w:fldChar w:fldCharType="begin"/>
      </w:r>
      <w:r>
        <w:instrText xml:space="preserve"> XE "</w:instrText>
      </w:r>
      <w:r w:rsidRPr="00BD65D1">
        <w:instrText>ilumináti</w:instrText>
      </w:r>
      <w:r>
        <w:instrText xml:space="preserve">" </w:instrText>
      </w:r>
      <w:r>
        <w:fldChar w:fldCharType="end"/>
      </w:r>
      <w:r>
        <w:t xml:space="preserve"> vytvořil skrze ontoteologii</w:t>
      </w:r>
      <w:r>
        <w:fldChar w:fldCharType="begin"/>
      </w:r>
      <w:r>
        <w:instrText xml:space="preserve"> XE "</w:instrText>
      </w:r>
      <w:r w:rsidRPr="00A45678">
        <w:rPr>
          <w:rStyle w:val="addmd"/>
        </w:rPr>
        <w:instrText>ontoteologie:</w:instrText>
      </w:r>
      <w:r w:rsidRPr="00A45678">
        <w:instrText>Jamblichos</w:instrText>
      </w:r>
      <w:r>
        <w:instrText xml:space="preserve">" </w:instrText>
      </w:r>
      <w:r>
        <w:fldChar w:fldCharType="end"/>
      </w:r>
      <w:r>
        <w:t xml:space="preserve"> </w:t>
      </w:r>
      <w:r w:rsidRPr="00686548">
        <w:rPr>
          <w:i/>
        </w:rPr>
        <w:t>Modernorum</w:t>
      </w:r>
      <w:r>
        <w:t xml:space="preserve"> první verzi </w:t>
      </w:r>
      <w:r w:rsidRPr="00686548">
        <w:rPr>
          <w:i/>
        </w:rPr>
        <w:t>metaphysica generalis</w:t>
      </w:r>
      <w:r>
        <w:rPr>
          <w:i/>
        </w:rPr>
        <w:fldChar w:fldCharType="begin"/>
      </w:r>
      <w:r>
        <w:instrText xml:space="preserve"> XE "</w:instrText>
      </w:r>
      <w:r w:rsidRPr="007E3962">
        <w:rPr>
          <w:i/>
        </w:rPr>
        <w:instrText>metaphysica generalis</w:instrText>
      </w:r>
      <w:r>
        <w:instrText xml:space="preserve">" </w:instrText>
      </w:r>
      <w:r>
        <w:rPr>
          <w:i/>
        </w:rPr>
        <w:fldChar w:fldCharType="end"/>
      </w:r>
      <w:r w:rsidR="00A64D1F" w:rsidRPr="00A64D1F">
        <w:t xml:space="preserve">, která subsumovala objektivně pojatou teologii do oblasti obecné objektivní metafyziky. </w:t>
      </w:r>
      <w:r>
        <w:t>Tuto objektivistickou ontoteologii</w:t>
      </w:r>
      <w:r>
        <w:fldChar w:fldCharType="begin"/>
      </w:r>
      <w:r>
        <w:instrText xml:space="preserve"> XE "</w:instrText>
      </w:r>
      <w:r w:rsidRPr="00A45678">
        <w:rPr>
          <w:rStyle w:val="addmd"/>
        </w:rPr>
        <w:instrText>ontoteologie:</w:instrText>
      </w:r>
      <w:r>
        <w:rPr>
          <w:rStyle w:val="addmd"/>
        </w:rPr>
        <w:instrText>moderna</w:instrText>
      </w:r>
      <w:r>
        <w:instrText xml:space="preserve">" </w:instrText>
      </w:r>
      <w:r>
        <w:fldChar w:fldCharType="end"/>
      </w:r>
      <w:r>
        <w:t xml:space="preserve"> jedné pravdy zrušila po smrti boha </w:t>
      </w:r>
      <w:r>
        <w:rPr>
          <w:i/>
        </w:rPr>
        <w:t>Mode</w:t>
      </w:r>
      <w:r w:rsidRPr="08C02E76">
        <w:rPr>
          <w:i/>
        </w:rPr>
        <w:t>r</w:t>
      </w:r>
      <w:r>
        <w:rPr>
          <w:i/>
        </w:rPr>
        <w:t>n</w:t>
      </w:r>
      <w:r w:rsidRPr="08C02E76">
        <w:rPr>
          <w:i/>
        </w:rPr>
        <w:t>orum</w:t>
      </w:r>
      <w:r>
        <w:t xml:space="preserve"> současná nihilistická fáze metafyziky. </w:t>
      </w:r>
      <w:r w:rsidR="006D2519" w:rsidRPr="006D2519">
        <w:t xml:space="preserve">Po jeho smrti je vše dovoleno v říši metafor a analogií, které drží pohromadě díky </w:t>
      </w:r>
      <w:r w:rsidR="0070625F">
        <w:t xml:space="preserve">vědění jako </w:t>
      </w:r>
      <w:r w:rsidR="006D2519" w:rsidRPr="006D2519">
        <w:t>moci vytvořené moderní démonickou logikou založenou Grossetestem.</w:t>
      </w:r>
      <w:r w:rsidR="006D2519">
        <w:t xml:space="preserve"> </w:t>
      </w:r>
      <w:r>
        <w:t xml:space="preserve">Pohřeb moderního myšlení se konal navzdory úsilí současných avicennovských augustiniánů ve škole </w:t>
      </w:r>
      <w:r>
        <w:rPr>
          <w:i/>
        </w:rPr>
        <w:t>R</w:t>
      </w:r>
      <w:r w:rsidRPr="0014191B">
        <w:rPr>
          <w:i/>
        </w:rPr>
        <w:t xml:space="preserve">eformed </w:t>
      </w:r>
      <w:r>
        <w:rPr>
          <w:i/>
        </w:rPr>
        <w:t>E</w:t>
      </w:r>
      <w:r w:rsidRPr="0014191B">
        <w:rPr>
          <w:i/>
        </w:rPr>
        <w:t>pistemology</w:t>
      </w:r>
      <w:r>
        <w:t>, kte</w:t>
      </w:r>
      <w:r w:rsidR="007C0157">
        <w:t>ří vytvářejí postmoderní verzi teologie založené na</w:t>
      </w:r>
      <w:r>
        <w:t xml:space="preserve"> </w:t>
      </w:r>
      <w:r w:rsidRPr="08AA5198">
        <w:rPr>
          <w:i/>
        </w:rPr>
        <w:t>Oxfordian Fallacy</w:t>
      </w:r>
      <w:r>
        <w:rPr>
          <w:i/>
        </w:rPr>
        <w:fldChar w:fldCharType="begin"/>
      </w:r>
      <w:r>
        <w:instrText xml:space="preserve"> XE "</w:instrText>
      </w:r>
      <w:r w:rsidRPr="00CC09C4">
        <w:rPr>
          <w:i/>
        </w:rPr>
        <w:instrText>Reformed Epistemology</w:instrText>
      </w:r>
      <w:r>
        <w:instrText xml:space="preserve">" </w:instrText>
      </w:r>
      <w:r>
        <w:rPr>
          <w:i/>
        </w:rPr>
        <w:fldChar w:fldCharType="end"/>
      </w:r>
      <w:r>
        <w:t xml:space="preserve">. </w:t>
      </w:r>
      <w:r w:rsidR="00422845" w:rsidRPr="00422845">
        <w:t>Žijeme v tragikomických důsledcích božské komedie, kterou Dante načrtl pro svou dobu.</w:t>
      </w:r>
      <w:r w:rsidR="00422845">
        <w:t xml:space="preserve"> </w:t>
      </w:r>
      <w:r>
        <w:t xml:space="preserve">Smíšení objektivistické logiky </w:t>
      </w:r>
      <w:r w:rsidRPr="00983B70">
        <w:rPr>
          <w:i/>
        </w:rPr>
        <w:t>Nominales</w:t>
      </w:r>
      <w:r>
        <w:t xml:space="preserve">, neoplatonského aristotelismu a spekulativní teologie na způsob Bonaventury bylo pro </w:t>
      </w:r>
      <w:r w:rsidR="004167B8">
        <w:t>první averroismus nepřijatelné.</w:t>
      </w:r>
    </w:p>
    <w:p w:rsidR="003E683E" w:rsidRDefault="08163013" w:rsidP="003C5B33">
      <w:pPr>
        <w:ind w:firstLine="397"/>
      </w:pPr>
      <w:r>
        <w:t xml:space="preserve">Siger při zahájení akademických přednášek na Rue du Fouarre </w:t>
      </w:r>
      <w:r w:rsidRPr="00273106">
        <w:t xml:space="preserve">jasně řekl, které možnosti </w:t>
      </w:r>
      <w:r w:rsidRPr="00273106">
        <w:rPr>
          <w:i/>
        </w:rPr>
        <w:t>demonstratio</w:t>
      </w:r>
      <w:r>
        <w:rPr>
          <w:i/>
        </w:rPr>
        <w:fldChar w:fldCharType="begin"/>
      </w:r>
      <w:r>
        <w:instrText xml:space="preserve"> XE "</w:instrText>
      </w:r>
      <w:r w:rsidRPr="004E6075">
        <w:rPr>
          <w:i/>
        </w:rPr>
        <w:instrText>demonstratio:</w:instrText>
      </w:r>
      <w:r w:rsidRPr="0003483B">
        <w:instrText>Siger</w:instrText>
      </w:r>
      <w:r>
        <w:instrText xml:space="preserve">" </w:instrText>
      </w:r>
      <w:r>
        <w:rPr>
          <w:i/>
        </w:rPr>
        <w:fldChar w:fldCharType="end"/>
      </w:r>
      <w:r w:rsidRPr="00273106">
        <w:t xml:space="preserve"> </w:t>
      </w:r>
      <w:r>
        <w:t xml:space="preserve">teologických pravd </w:t>
      </w:r>
      <w:r w:rsidRPr="00273106">
        <w:t>jsou kompatibilní s Aristotelovou metafyzikou, které kompatibilní nejsou</w:t>
      </w:r>
      <w:r>
        <w:t xml:space="preserve"> a proč</w:t>
      </w:r>
      <w:r w:rsidRPr="00273106">
        <w:t>.</w:t>
      </w:r>
      <w:r>
        <w:t xml:space="preserve"> Ale modernisté nečtou Aristotela, jak správně poznamenal Averroes na adresu neoplatonských současníků kolem objektivního Avicenny (</w:t>
      </w:r>
      <w:r w:rsidRPr="00642B6B">
        <w:rPr>
          <w:i/>
        </w:rPr>
        <w:t>moderni</w:t>
      </w:r>
      <w:r>
        <w:t xml:space="preserve"> </w:t>
      </w:r>
      <w:r w:rsidRPr="00273106">
        <w:rPr>
          <w:i/>
        </w:rPr>
        <w:t>dimittunt libros Aristotelis</w:t>
      </w:r>
      <w:r w:rsidR="08AC0F77">
        <w:t xml:space="preserve">; OBJ I, </w:t>
      </w:r>
      <w:r>
        <w:t xml:space="preserve">kap. 2.5). </w:t>
      </w:r>
      <w:r w:rsidRPr="00273106">
        <w:t xml:space="preserve">Sigerovo poslední velké dílo, komentář k Aristotelově </w:t>
      </w:r>
      <w:r w:rsidRPr="08F91EC4">
        <w:rPr>
          <w:i/>
        </w:rPr>
        <w:t>Metafyzice</w:t>
      </w:r>
      <w:r>
        <w:t>,</w:t>
      </w:r>
      <w:r w:rsidRPr="00273106">
        <w:t xml:space="preserve"> se jasně staví za </w:t>
      </w:r>
      <w:r>
        <w:t>Averroes</w:t>
      </w:r>
      <w:r w:rsidRPr="00273106">
        <w:t xml:space="preserve">ův primát první substance, který je vyjádřen </w:t>
      </w:r>
      <w:r w:rsidR="00C2336D">
        <w:t xml:space="preserve">sekundárním </w:t>
      </w:r>
      <w:r w:rsidRPr="00273106">
        <w:t>smyslem jsoucna podle Avicenny</w:t>
      </w:r>
      <w:r>
        <w:t xml:space="preserve"> v rámci metafyzické abstrakce</w:t>
      </w:r>
      <w:r w:rsidRPr="00273106">
        <w:t xml:space="preserve">. </w:t>
      </w:r>
      <w:r>
        <w:t>P</w:t>
      </w:r>
      <w:r w:rsidRPr="00273106">
        <w:t xml:space="preserve">ojetí </w:t>
      </w:r>
      <w:r w:rsidR="00C2336D">
        <w:t>„</w:t>
      </w:r>
      <w:r w:rsidRPr="00273106">
        <w:rPr>
          <w:i/>
        </w:rPr>
        <w:t>ens inquantum ens</w:t>
      </w:r>
      <w:r w:rsidR="00C2336D">
        <w:t>“</w:t>
      </w:r>
      <w:r>
        <w:rPr>
          <w:i/>
        </w:rPr>
        <w:fldChar w:fldCharType="begin"/>
      </w:r>
      <w:r>
        <w:instrText xml:space="preserve"> XE "</w:instrText>
      </w:r>
      <w:r w:rsidRPr="005424E2">
        <w:rPr>
          <w:i/>
        </w:rPr>
        <w:instrText>ens inquantum ens</w:instrText>
      </w:r>
      <w:r>
        <w:instrText xml:space="preserve">" </w:instrText>
      </w:r>
      <w:r>
        <w:rPr>
          <w:i/>
        </w:rPr>
        <w:fldChar w:fldCharType="end"/>
      </w:r>
      <w:r w:rsidRPr="00273106">
        <w:t xml:space="preserve"> patří k </w:t>
      </w:r>
      <w:r>
        <w:t xml:space="preserve">pouze k abstraktní definici první substance. Ale </w:t>
      </w:r>
      <w:r w:rsidRPr="00273106">
        <w:t xml:space="preserve">tento </w:t>
      </w:r>
      <w:r w:rsidR="080124A7">
        <w:t xml:space="preserve">abstraktní </w:t>
      </w:r>
      <w:r w:rsidRPr="00273106">
        <w:t xml:space="preserve">smysl nelze dát </w:t>
      </w:r>
      <w:r>
        <w:t>v</w:t>
      </w:r>
      <w:r w:rsidR="080D4DDB">
        <w:t xml:space="preserve"> kategoriálním </w:t>
      </w:r>
      <w:r>
        <w:t xml:space="preserve">modu </w:t>
      </w:r>
      <w:r w:rsidRPr="00273106">
        <w:rPr>
          <w:i/>
        </w:rPr>
        <w:t>per prius</w:t>
      </w:r>
      <w:r>
        <w:rPr>
          <w:i/>
        </w:rPr>
        <w:fldChar w:fldCharType="begin"/>
      </w:r>
      <w:r>
        <w:instrText xml:space="preserve"> XE "predikace:</w:instrText>
      </w:r>
      <w:r w:rsidRPr="00604E58">
        <w:rPr>
          <w:i/>
        </w:rPr>
        <w:instrText>per prius</w:instrText>
      </w:r>
      <w:r>
        <w:instrText xml:space="preserve">" </w:instrText>
      </w:r>
      <w:r>
        <w:rPr>
          <w:i/>
        </w:rPr>
        <w:fldChar w:fldCharType="end"/>
      </w:r>
      <w:r>
        <w:t>, pro</w:t>
      </w:r>
      <w:r w:rsidR="080D4DDB">
        <w:t xml:space="preserve">tože není založen aktuálně. To </w:t>
      </w:r>
      <w:r>
        <w:t xml:space="preserve">je pouze případ </w:t>
      </w:r>
      <w:r w:rsidRPr="00273106">
        <w:t>jednot</w:t>
      </w:r>
      <w:r>
        <w:t>y</w:t>
      </w:r>
      <w:r w:rsidRPr="00273106">
        <w:t xml:space="preserve"> </w:t>
      </w:r>
      <w:r w:rsidR="080D4DDB">
        <w:t xml:space="preserve">metafyzického </w:t>
      </w:r>
      <w:r w:rsidRPr="00273106">
        <w:t xml:space="preserve">vědění vztažené k </w:t>
      </w:r>
      <w:r>
        <w:t xml:space="preserve">existující </w:t>
      </w:r>
      <w:r w:rsidRPr="00273106">
        <w:t xml:space="preserve">první substanci. </w:t>
      </w:r>
      <w:r>
        <w:t>T</w:t>
      </w:r>
      <w:r w:rsidRPr="00273106">
        <w:t>oto pojetí jedné metafyziky první substance a dvou přístupů ke smyslu jsoucího má i Albert</w:t>
      </w:r>
      <w:r w:rsidR="00EC0777">
        <w:t xml:space="preserve">. Jakmile Akvinský překonal své </w:t>
      </w:r>
      <w:r>
        <w:t>avicennistické období</w:t>
      </w:r>
      <w:r w:rsidR="00EC0777">
        <w:t xml:space="preserve">, tuto </w:t>
      </w:r>
      <w:r w:rsidR="00B13A73">
        <w:t xml:space="preserve">novou </w:t>
      </w:r>
      <w:r w:rsidR="00EC0777">
        <w:t xml:space="preserve">linii zahájily </w:t>
      </w:r>
      <w:r>
        <w:t xml:space="preserve">traktáty </w:t>
      </w:r>
      <w:r w:rsidRPr="00273106">
        <w:rPr>
          <w:i/>
        </w:rPr>
        <w:t>Expositio super librum Boethii De trinitate</w:t>
      </w:r>
      <w:r w:rsidRPr="00273106">
        <w:t xml:space="preserve"> </w:t>
      </w:r>
      <w:r>
        <w:t xml:space="preserve">a dílem </w:t>
      </w:r>
      <w:r w:rsidRPr="00E777D3">
        <w:rPr>
          <w:i/>
        </w:rPr>
        <w:t>Summa contra Gentiles</w:t>
      </w:r>
      <w:r w:rsidRPr="00273106">
        <w:t xml:space="preserve">. Kapitola věnovaná metodologii </w:t>
      </w:r>
      <w:r w:rsidRPr="00273106">
        <w:rPr>
          <w:lang w:eastAsia="en-US"/>
        </w:rPr>
        <w:t xml:space="preserve">Alberta </w:t>
      </w:r>
      <w:r w:rsidRPr="00273106">
        <w:rPr>
          <w:lang w:eastAsia="en-US"/>
        </w:rPr>
        <w:lastRenderedPageBreak/>
        <w:t xml:space="preserve">ukázala, že dělí zkoumání duše na přístup daný </w:t>
      </w:r>
      <w:r w:rsidR="00B15E01">
        <w:rPr>
          <w:lang w:eastAsia="en-US"/>
        </w:rPr>
        <w:t>„</w:t>
      </w:r>
      <w:r w:rsidRPr="00273106">
        <w:rPr>
          <w:i/>
          <w:lang w:eastAsia="en-US"/>
        </w:rPr>
        <w:t>simpliciter</w:t>
      </w:r>
      <w:r w:rsidR="00B15E01">
        <w:rPr>
          <w:lang w:eastAsia="en-US"/>
        </w:rPr>
        <w:t>“</w:t>
      </w:r>
      <w:r w:rsidRPr="00273106">
        <w:rPr>
          <w:lang w:eastAsia="en-US"/>
        </w:rPr>
        <w:t xml:space="preserve"> a na cestu danou </w:t>
      </w:r>
      <w:r w:rsidR="00B15E01">
        <w:rPr>
          <w:lang w:eastAsia="en-US"/>
        </w:rPr>
        <w:t>„</w:t>
      </w:r>
      <w:r w:rsidRPr="00273106">
        <w:rPr>
          <w:i/>
          <w:lang w:eastAsia="en-US"/>
        </w:rPr>
        <w:t>quoad nos</w:t>
      </w:r>
      <w:r w:rsidR="00B15E01">
        <w:rPr>
          <w:lang w:eastAsia="en-US"/>
        </w:rPr>
        <w:t>“</w:t>
      </w:r>
      <w:r w:rsidRPr="00273106">
        <w:rPr>
          <w:lang w:eastAsia="en-US"/>
        </w:rPr>
        <w:t xml:space="preserve"> (</w:t>
      </w:r>
      <w:r w:rsidR="08ED7182">
        <w:rPr>
          <w:lang w:eastAsia="en-US"/>
        </w:rPr>
        <w:t>OBJ II, kap. 2</w:t>
      </w:r>
      <w:r w:rsidRPr="00273106">
        <w:rPr>
          <w:lang w:eastAsia="en-US"/>
        </w:rPr>
        <w:t xml:space="preserve">.4.1). </w:t>
      </w:r>
      <w:r>
        <w:rPr>
          <w:lang w:eastAsia="en-US"/>
        </w:rPr>
        <w:t xml:space="preserve">Formální přístup Avicenny k poznání </w:t>
      </w:r>
      <w:r w:rsidRPr="00273106">
        <w:rPr>
          <w:lang w:eastAsia="en-US"/>
        </w:rPr>
        <w:t xml:space="preserve">daný </w:t>
      </w:r>
      <w:r w:rsidRPr="00273106">
        <w:rPr>
          <w:i/>
          <w:lang w:eastAsia="en-US"/>
        </w:rPr>
        <w:t>simpliciter</w:t>
      </w:r>
      <w:r w:rsidRPr="00273106">
        <w:rPr>
          <w:lang w:eastAsia="en-US"/>
        </w:rPr>
        <w:t xml:space="preserve"> </w:t>
      </w:r>
      <w:r>
        <w:rPr>
          <w:lang w:eastAsia="en-US"/>
        </w:rPr>
        <w:t xml:space="preserve">Albert </w:t>
      </w:r>
      <w:r w:rsidRPr="00273106">
        <w:rPr>
          <w:lang w:eastAsia="en-US"/>
        </w:rPr>
        <w:t xml:space="preserve">odmítl odkazem na </w:t>
      </w:r>
      <w:r w:rsidRPr="08933BE0">
        <w:rPr>
          <w:i/>
          <w:lang w:eastAsia="en-US"/>
        </w:rPr>
        <w:t>Druhé analytiky</w:t>
      </w:r>
      <w:r>
        <w:rPr>
          <w:lang w:eastAsia="en-US"/>
        </w:rPr>
        <w:t xml:space="preserve"> </w:t>
      </w:r>
      <w:r w:rsidR="08F13393">
        <w:rPr>
          <w:lang w:eastAsia="en-US"/>
        </w:rPr>
        <w:t xml:space="preserve">a na Averroese vzít jako základ </w:t>
      </w:r>
      <w:r>
        <w:rPr>
          <w:lang w:eastAsia="en-US"/>
        </w:rPr>
        <w:t>vědeckého dokazování</w:t>
      </w:r>
      <w:r w:rsidRPr="00273106">
        <w:rPr>
          <w:lang w:eastAsia="en-US"/>
        </w:rPr>
        <w:t xml:space="preserve">. </w:t>
      </w:r>
      <w:r>
        <w:rPr>
          <w:lang w:eastAsia="en-US"/>
        </w:rPr>
        <w:t xml:space="preserve">Stejnou </w:t>
      </w:r>
      <w:r w:rsidR="087B757A">
        <w:rPr>
          <w:lang w:eastAsia="en-US"/>
        </w:rPr>
        <w:t xml:space="preserve">realistickou </w:t>
      </w:r>
      <w:r>
        <w:rPr>
          <w:lang w:eastAsia="en-US"/>
        </w:rPr>
        <w:t>pozici má Siger. P</w:t>
      </w:r>
      <w:r w:rsidRPr="00273106">
        <w:t>oznání v řádu rozumové abstrakce má dvě složky (</w:t>
      </w:r>
      <w:r w:rsidRPr="00273106">
        <w:rPr>
          <w:i/>
        </w:rPr>
        <w:t>duplex est universale</w:t>
      </w:r>
      <w:r w:rsidRPr="00273106">
        <w:t>). Intelekt může poznávat vlastní obsahy bez ohledu na jejich referenci k reálným věcem, nebo má kategoriální poznání o věcech v rámci predikace univočně vztažené k hylemorfické složenině.</w:t>
      </w:r>
      <w:r w:rsidRPr="00273106">
        <w:rPr>
          <w:rStyle w:val="Znakapoznpodarou"/>
        </w:rPr>
        <w:footnoteReference w:id="207"/>
      </w:r>
      <w:r>
        <w:t xml:space="preserve"> </w:t>
      </w:r>
      <w:r w:rsidRPr="00273106">
        <w:rPr>
          <w:lang w:eastAsia="en-US"/>
        </w:rPr>
        <w:t xml:space="preserve">Metoda zkoumání první vědy musí jít podle Sigera v řádu </w:t>
      </w:r>
      <w:r w:rsidRPr="00273106">
        <w:rPr>
          <w:i/>
          <w:lang w:eastAsia="en-US"/>
        </w:rPr>
        <w:t>per prius</w:t>
      </w:r>
      <w:r w:rsidRPr="00273106">
        <w:rPr>
          <w:lang w:eastAsia="en-US"/>
        </w:rPr>
        <w:t xml:space="preserve"> pouze a jedině k substanci dané kauzálně a ne k esenci dané výměrem v mysli. </w:t>
      </w:r>
      <w:r w:rsidR="003C5B33" w:rsidRPr="00273106">
        <w:t xml:space="preserve">Protože známe kauzální působení substancí, tak můžeme </w:t>
      </w:r>
      <w:r w:rsidR="003C5B33">
        <w:t xml:space="preserve">uvažovat i o první kauze. </w:t>
      </w:r>
      <w:r w:rsidRPr="00273106">
        <w:rPr>
          <w:lang w:eastAsia="en-US"/>
        </w:rPr>
        <w:t xml:space="preserve">Pokud je dána v řádu </w:t>
      </w:r>
      <w:r w:rsidRPr="00273106">
        <w:rPr>
          <w:i/>
          <w:lang w:eastAsia="en-US"/>
        </w:rPr>
        <w:t>per prius</w:t>
      </w:r>
      <w:r w:rsidRPr="00273106">
        <w:rPr>
          <w:lang w:eastAsia="en-US"/>
        </w:rPr>
        <w:t xml:space="preserve"> esence podle moderních </w:t>
      </w:r>
      <w:r w:rsidRPr="00273106">
        <w:rPr>
          <w:i/>
          <w:lang w:eastAsia="en-US"/>
        </w:rPr>
        <w:t>Nominales</w:t>
      </w:r>
      <w:r w:rsidRPr="00273106">
        <w:rPr>
          <w:lang w:eastAsia="en-US"/>
        </w:rPr>
        <w:t>, pak metafyzika není vědeckým poznáním v plném rozsahu</w:t>
      </w:r>
      <w:r>
        <w:rPr>
          <w:lang w:eastAsia="en-US"/>
        </w:rPr>
        <w:t>, ale pouze analogickým poznáním v rámci abstrakce dané matematikou, logikou a geometrií</w:t>
      </w:r>
      <w:r w:rsidRPr="00273106">
        <w:rPr>
          <w:lang w:eastAsia="en-US"/>
        </w:rPr>
        <w:t>.</w:t>
      </w:r>
      <w:r w:rsidRPr="00273106">
        <w:t xml:space="preserve"> </w:t>
      </w:r>
      <w:r w:rsidR="004B1A96">
        <w:t>Siger o</w:t>
      </w:r>
      <w:r w:rsidR="003C5B33">
        <w:t>dmítl neoplatonské</w:t>
      </w:r>
      <w:r>
        <w:t xml:space="preserve"> </w:t>
      </w:r>
      <w:r w:rsidR="004B1A96">
        <w:t>pojetí smyslu jsoucna</w:t>
      </w:r>
      <w:r>
        <w:t xml:space="preserve">, které </w:t>
      </w:r>
      <w:r w:rsidRPr="00101568">
        <w:rPr>
          <w:i/>
        </w:rPr>
        <w:t>de facto</w:t>
      </w:r>
      <w:r w:rsidR="004B1A96">
        <w:t xml:space="preserve"> hájilo odsouzení 1277</w:t>
      </w:r>
      <w:r>
        <w:t xml:space="preserve">. </w:t>
      </w:r>
      <w:r w:rsidR="00265D6F">
        <w:t xml:space="preserve">Tento </w:t>
      </w:r>
      <w:r>
        <w:t xml:space="preserve">znalec Averroese souhlasí s Komentátorovou kritikou Avicenny danou z hlediska zásadní metafyzické </w:t>
      </w:r>
      <w:r w:rsidRPr="0003243C">
        <w:rPr>
          <w:i/>
        </w:rPr>
        <w:t>obscurity</w:t>
      </w:r>
      <w:r>
        <w:rPr>
          <w:i/>
        </w:rPr>
        <w:fldChar w:fldCharType="begin"/>
      </w:r>
      <w:r>
        <w:instrText xml:space="preserve"> XE "</w:instrText>
      </w:r>
      <w:r w:rsidRPr="000E608A">
        <w:instrText>zatmění:substance</w:instrText>
      </w:r>
      <w:r>
        <w:instrText xml:space="preserve">" </w:instrText>
      </w:r>
      <w:r>
        <w:rPr>
          <w:i/>
        </w:rPr>
        <w:fldChar w:fldCharType="end"/>
      </w:r>
      <w:r>
        <w:t xml:space="preserve"> (</w:t>
      </w:r>
      <w:r w:rsidR="087B757A">
        <w:t xml:space="preserve">OBJ I, </w:t>
      </w:r>
      <w:r w:rsidRPr="00273106">
        <w:t>kap. 2.4.1</w:t>
      </w:r>
      <w:r>
        <w:t xml:space="preserve">). Avicenna vytvořil neoplatonskou predikaci </w:t>
      </w:r>
      <w:r w:rsidR="005D0E27">
        <w:t>„</w:t>
      </w:r>
      <w:r w:rsidRPr="008D4087">
        <w:rPr>
          <w:i/>
        </w:rPr>
        <w:t xml:space="preserve">ad </w:t>
      </w:r>
      <w:proofErr w:type="gramStart"/>
      <w:r w:rsidRPr="008D4087">
        <w:rPr>
          <w:i/>
        </w:rPr>
        <w:t>unum</w:t>
      </w:r>
      <w:proofErr w:type="gramEnd"/>
      <w:r w:rsidR="005D0E27">
        <w:t>“</w:t>
      </w:r>
      <w:r>
        <w:t xml:space="preserve">, v níž chybným způsobem spojil dvě odlišné predikace jednoty jsoucna do univočního konceptu. </w:t>
      </w:r>
      <w:r w:rsidR="003E683E">
        <w:t xml:space="preserve">Citujme </w:t>
      </w:r>
      <w:r w:rsidR="00CC525E">
        <w:t xml:space="preserve">nejdůležitější část Sigerova posledního známého díla, </w:t>
      </w:r>
      <w:r w:rsidR="00453944">
        <w:t xml:space="preserve">což je zcela pochopitelně komentář k Aristotelově </w:t>
      </w:r>
      <w:r w:rsidR="00453944" w:rsidRPr="00453944">
        <w:rPr>
          <w:i/>
        </w:rPr>
        <w:t>Metafyzice</w:t>
      </w:r>
      <w:r w:rsidR="00453944">
        <w:t xml:space="preserve">. Siger </w:t>
      </w:r>
      <w:r w:rsidR="00CC525E">
        <w:t xml:space="preserve">jasně určil a odmítl bludnou cestu </w:t>
      </w:r>
      <w:r w:rsidR="009F5C81">
        <w:t xml:space="preserve">objektivního šílenství </w:t>
      </w:r>
      <w:r w:rsidR="00CC525E">
        <w:t>(</w:t>
      </w:r>
      <w:r w:rsidR="00CC525E" w:rsidRPr="00CC525E">
        <w:rPr>
          <w:i/>
        </w:rPr>
        <w:t>Irre</w:t>
      </w:r>
      <w:r w:rsidR="00CC525E">
        <w:t xml:space="preserve">) </w:t>
      </w:r>
      <w:r w:rsidR="009F5C81">
        <w:t xml:space="preserve">v </w:t>
      </w:r>
      <w:r w:rsidR="00CC525E">
        <w:t>moderní</w:t>
      </w:r>
      <w:r w:rsidR="009F5C81">
        <w:t>m</w:t>
      </w:r>
      <w:r w:rsidR="00CC525E">
        <w:t xml:space="preserve"> myšlení.</w:t>
      </w:r>
    </w:p>
    <w:p w:rsidR="00265686" w:rsidRDefault="003E683E" w:rsidP="00265686">
      <w:pPr>
        <w:pStyle w:val="Citace"/>
        <w:rPr>
          <w:lang w:val="cs-CZ"/>
        </w:rPr>
      </w:pPr>
      <w:r>
        <w:t xml:space="preserve">„Jak již bylo řečeno, jestliže se logické </w:t>
      </w:r>
      <w:r w:rsidR="00453944">
        <w:rPr>
          <w:lang w:val="cs-CZ"/>
        </w:rPr>
        <w:t xml:space="preserve">esence </w:t>
      </w:r>
      <w:r>
        <w:t>považuje za metafyzick</w:t>
      </w:r>
      <w:r w:rsidR="00453944">
        <w:rPr>
          <w:lang w:val="cs-CZ"/>
        </w:rPr>
        <w:t>ou druhou substanci</w:t>
      </w:r>
      <w:r>
        <w:t>, pak v žádném případě nepredikuje metafyzickou impozici danou od reálného jsoucna (non praedicat dispositionem additam ipsi enti)</w:t>
      </w:r>
      <w:r w:rsidR="006E160F">
        <w:rPr>
          <w:lang w:val="cs-CZ"/>
        </w:rPr>
        <w:t xml:space="preserve">; </w:t>
      </w:r>
      <w:r>
        <w:t xml:space="preserve">logicky </w:t>
      </w:r>
      <w:r w:rsidR="006E160F">
        <w:rPr>
          <w:lang w:val="cs-CZ"/>
        </w:rPr>
        <w:t xml:space="preserve">určená </w:t>
      </w:r>
      <w:r>
        <w:t xml:space="preserve">existence v modu </w:t>
      </w:r>
      <w:r w:rsidRPr="006E160F">
        <w:rPr>
          <w:i/>
        </w:rPr>
        <w:t>per se</w:t>
      </w:r>
      <w:r>
        <w:t xml:space="preserve"> je </w:t>
      </w:r>
      <w:r w:rsidR="006E160F">
        <w:rPr>
          <w:lang w:val="cs-CZ"/>
        </w:rPr>
        <w:t xml:space="preserve">vzata </w:t>
      </w:r>
      <w:r>
        <w:t xml:space="preserve">v modu </w:t>
      </w:r>
      <w:r>
        <w:rPr>
          <w:rFonts w:cs="Calibri"/>
        </w:rPr>
        <w:t>[metafyzicky falešné]</w:t>
      </w:r>
      <w:r>
        <w:t xml:space="preserve"> konvertibilní univocity </w:t>
      </w:r>
      <w:r w:rsidR="006E160F">
        <w:rPr>
          <w:lang w:val="cs-CZ"/>
        </w:rPr>
        <w:t xml:space="preserve">a tím je </w:t>
      </w:r>
      <w:r>
        <w:t>určena skrze abstraktně danou supozici významu (</w:t>
      </w:r>
      <w:r w:rsidRPr="003E683E">
        <w:rPr>
          <w:i/>
        </w:rPr>
        <w:t>convertibile existens cum eo in suppositis</w:t>
      </w:r>
      <w:r>
        <w:t xml:space="preserve">). Jednota jsoucna predikovaná skrze numerický daný základ je vztažena k vlastnostem, které jsou k reálně substanci přidány skrze takto určenou abstrakci (principium numeri significat dispositionem additam rei substantiae), protože jsou vztaženy k numericky určenému měřítku jsoucna. Ale každé numerické určení jsoucna je dáno v modu kvantity, jak je řečeno v X. knize </w:t>
      </w:r>
      <w:r w:rsidRPr="003E683E">
        <w:rPr>
          <w:i/>
        </w:rPr>
        <w:t>Metafyziky</w:t>
      </w:r>
      <w:r>
        <w:t xml:space="preserve">. Pak je jasné, že kategoriální určení </w:t>
      </w:r>
      <w:r>
        <w:rPr>
          <w:rFonts w:cs="Calibri"/>
        </w:rPr>
        <w:t xml:space="preserve">[Aristotela a </w:t>
      </w:r>
      <w:r>
        <w:rPr>
          <w:rFonts w:cs="Calibri"/>
        </w:rPr>
        <w:lastRenderedPageBreak/>
        <w:t>Averroése]</w:t>
      </w:r>
      <w:r>
        <w:t xml:space="preserve"> dané skrze metafyzickou impozici není stejné jako esenciální určení </w:t>
      </w:r>
      <w:r>
        <w:rPr>
          <w:rFonts w:cs="Calibri"/>
        </w:rPr>
        <w:t xml:space="preserve">[Avicenny] dané skrze </w:t>
      </w:r>
      <w:r>
        <w:t>logickou supozici.“ </w:t>
      </w:r>
      <w:r>
        <w:rPr>
          <w:rStyle w:val="Znakapoznpodarou"/>
        </w:rPr>
        <w:footnoteReference w:id="208"/>
      </w:r>
      <w:r w:rsidR="00265686">
        <w:t> </w:t>
      </w:r>
    </w:p>
    <w:p w:rsidR="08163013" w:rsidRDefault="08163013" w:rsidP="00ED300D">
      <w:r>
        <w:t xml:space="preserve">Fatální </w:t>
      </w:r>
      <w:r w:rsidRPr="009930B7">
        <w:rPr>
          <w:i/>
        </w:rPr>
        <w:t>Irrtum</w:t>
      </w:r>
      <w:r>
        <w:t xml:space="preserve"> celé pozdější </w:t>
      </w:r>
      <w:r w:rsidRPr="009930B7">
        <w:rPr>
          <w:i/>
        </w:rPr>
        <w:t>metaphysica generalis</w:t>
      </w:r>
      <w:r>
        <w:t xml:space="preserve"> spočívá v tom, že abstraktní numerická jednota daná pouze v abstrahující mysli se univočně predikuje </w:t>
      </w:r>
      <w:r w:rsidR="00073BF3">
        <w:t xml:space="preserve">jako </w:t>
      </w:r>
      <w:r>
        <w:t>jednot</w:t>
      </w:r>
      <w:r w:rsidR="00073BF3">
        <w:t>a</w:t>
      </w:r>
      <w:r>
        <w:t xml:space="preserve"> dan</w:t>
      </w:r>
      <w:r w:rsidR="00073BF3">
        <w:t xml:space="preserve">á </w:t>
      </w:r>
      <w:r w:rsidRPr="009930B7">
        <w:rPr>
          <w:i/>
        </w:rPr>
        <w:t>simpliciter</w:t>
      </w:r>
      <w:r>
        <w:t xml:space="preserve"> na úrovn</w:t>
      </w:r>
      <w:r w:rsidR="00F25A2A">
        <w:t>i hyleformických</w:t>
      </w:r>
      <w:r>
        <w:t xml:space="preserve"> první</w:t>
      </w:r>
      <w:r w:rsidR="00F25A2A">
        <w:t>ch</w:t>
      </w:r>
      <w:r>
        <w:t xml:space="preserve"> substanc</w:t>
      </w:r>
      <w:r w:rsidR="00F25A2A">
        <w:t>í</w:t>
      </w:r>
      <w:r>
        <w:t xml:space="preserve"> (</w:t>
      </w:r>
      <w:r w:rsidRPr="089F09DA">
        <w:rPr>
          <w:i/>
        </w:rPr>
        <w:t>unum istud non est convertibile cum ente in suppositis</w:t>
      </w:r>
      <w:r>
        <w:t xml:space="preserve">). </w:t>
      </w:r>
      <w:r w:rsidR="00C03E5E">
        <w:t>Jednota daná v modu „</w:t>
      </w:r>
      <w:r w:rsidR="00C03E5E" w:rsidRPr="00C03E5E">
        <w:rPr>
          <w:i/>
        </w:rPr>
        <w:t>ens inquantum ens</w:t>
      </w:r>
      <w:r w:rsidR="00C03E5E">
        <w:t>“</w:t>
      </w:r>
      <w:r w:rsidR="00C03E5E" w:rsidRPr="00C03E5E">
        <w:t xml:space="preserve"> je postavena na esenciální abstrakci, která </w:t>
      </w:r>
      <w:r w:rsidR="00C03E5E">
        <w:t xml:space="preserve">bere </w:t>
      </w:r>
      <w:r w:rsidR="00C03E5E" w:rsidRPr="00C03E5E">
        <w:t xml:space="preserve">bytí v jeho logické jednoduchosti jako takové. Celou debatu týkající se zrodu analytického bludu jsme analyzovali na základě zkoumání významu logické a metafyzické abstrakce (καθ' αὑτὰ δὲ διττῶς, </w:t>
      </w:r>
      <w:r w:rsidR="00C03E5E" w:rsidRPr="00C03E5E">
        <w:rPr>
          <w:i/>
        </w:rPr>
        <w:t>Anal. Post</w:t>
      </w:r>
      <w:r w:rsidR="00C03E5E" w:rsidRPr="00C03E5E">
        <w:t>. 84a12</w:t>
      </w:r>
      <w:r w:rsidR="00C03E5E">
        <w:fldChar w:fldCharType="begin"/>
      </w:r>
      <w:r w:rsidR="00C03E5E">
        <w:instrText xml:space="preserve"> XE "Aristoteles:</w:instrText>
      </w:r>
      <w:r w:rsidR="00C03E5E">
        <w:rPr>
          <w:i/>
        </w:rPr>
        <w:instrText>Anal</w:instrText>
      </w:r>
      <w:r w:rsidR="00C03E5E">
        <w:instrText xml:space="preserve">. </w:instrText>
      </w:r>
      <w:r w:rsidR="00C03E5E">
        <w:rPr>
          <w:i/>
        </w:rPr>
        <w:instrText>Post</w:instrText>
      </w:r>
      <w:r w:rsidR="00C03E5E">
        <w:instrText xml:space="preserve">. 84a12" </w:instrText>
      </w:r>
      <w:r w:rsidR="00C03E5E">
        <w:fldChar w:fldCharType="end"/>
      </w:r>
      <w:r w:rsidR="00C03E5E" w:rsidRPr="00C03E5E">
        <w:t xml:space="preserve">), která založila </w:t>
      </w:r>
      <w:r w:rsidR="00C03E5E" w:rsidRPr="00C03E5E">
        <w:rPr>
          <w:i/>
        </w:rPr>
        <w:t>Oxfordian Fallacy</w:t>
      </w:r>
      <w:r w:rsidR="00C03E5E">
        <w:t xml:space="preserve"> </w:t>
      </w:r>
      <w:r w:rsidR="00C03E5E" w:rsidRPr="00C03E5E">
        <w:t xml:space="preserve">(OBJ II, kap. 3.1.1). Kategorická predikace </w:t>
      </w:r>
      <w:r w:rsidR="00C03E5E">
        <w:t xml:space="preserve">sleduje cestu </w:t>
      </w:r>
      <w:r w:rsidR="00C03E5E" w:rsidRPr="00C03E5E">
        <w:t>meta</w:t>
      </w:r>
      <w:r w:rsidR="00DD26A3">
        <w:t xml:space="preserve">fyzického </w:t>
      </w:r>
      <w:r w:rsidR="00C03E5E">
        <w:t>dativu</w:t>
      </w:r>
      <w:r w:rsidR="00BC4D80">
        <w:fldChar w:fldCharType="begin"/>
      </w:r>
      <w:r w:rsidR="00BC4D80">
        <w:instrText xml:space="preserve"> XE "</w:instrText>
      </w:r>
      <w:r w:rsidR="00BC4D80">
        <w:rPr>
          <w:i/>
        </w:rPr>
        <w:instrText>dativus metaphysi</w:instrText>
      </w:r>
      <w:r w:rsidR="00BC4D80" w:rsidRPr="08E67C81">
        <w:rPr>
          <w:i/>
        </w:rPr>
        <w:instrText>cus</w:instrText>
      </w:r>
      <w:r w:rsidR="00BC4D80">
        <w:instrText xml:space="preserve">" </w:instrText>
      </w:r>
      <w:r w:rsidR="00BC4D80">
        <w:fldChar w:fldCharType="end"/>
      </w:r>
      <w:r w:rsidR="00C03E5E">
        <w:t xml:space="preserve"> a vytváří </w:t>
      </w:r>
      <w:r w:rsidR="00BC4D80">
        <w:t>„</w:t>
      </w:r>
      <w:r w:rsidR="00C03E5E" w:rsidRPr="00C03E5E">
        <w:t>meta</w:t>
      </w:r>
      <w:r w:rsidR="00C03E5E">
        <w:t>-</w:t>
      </w:r>
      <w:r w:rsidR="00BC4D80">
        <w:t>fyziku“</w:t>
      </w:r>
      <w:r w:rsidR="00C03E5E" w:rsidRPr="00C03E5E">
        <w:t xml:space="preserve"> </w:t>
      </w:r>
      <w:r w:rsidR="00984E91">
        <w:t>danou jako</w:t>
      </w:r>
      <w:r w:rsidR="00C03E5E">
        <w:t xml:space="preserve"> „</w:t>
      </w:r>
      <w:r w:rsidR="00C03E5E" w:rsidRPr="00C03E5E">
        <w:t xml:space="preserve">substance </w:t>
      </w:r>
      <w:r w:rsidR="00C03E5E" w:rsidRPr="00C03E5E">
        <w:rPr>
          <w:i/>
        </w:rPr>
        <w:t>qua</w:t>
      </w:r>
      <w:r w:rsidR="00C03E5E">
        <w:t xml:space="preserve"> substance“, která se </w:t>
      </w:r>
      <w:r w:rsidR="00C03E5E" w:rsidRPr="00C03E5E">
        <w:t>vztahuj</w:t>
      </w:r>
      <w:r w:rsidR="00C03E5E">
        <w:t xml:space="preserve">e </w:t>
      </w:r>
      <w:r w:rsidR="00C03E5E" w:rsidRPr="00C03E5E">
        <w:t xml:space="preserve">k hyparchickému bytí první substance. </w:t>
      </w:r>
      <w:r>
        <w:t xml:space="preserve">Citát v duchu dvojího způsobu predikace </w:t>
      </w:r>
      <w:r w:rsidR="00BC4D80">
        <w:t>„</w:t>
      </w:r>
      <w:r w:rsidRPr="004107C1">
        <w:rPr>
          <w:i/>
        </w:rPr>
        <w:t xml:space="preserve">ad </w:t>
      </w:r>
      <w:proofErr w:type="gramStart"/>
      <w:r w:rsidRPr="004107C1">
        <w:rPr>
          <w:i/>
        </w:rPr>
        <w:t>unum</w:t>
      </w:r>
      <w:proofErr w:type="gramEnd"/>
      <w:r w:rsidR="00BC4D80">
        <w:t>“</w:t>
      </w:r>
      <w:r>
        <w:t xml:space="preserve"> odděluje kategoriální predikaci podle Averroese od transcendentální predikace podle Avicenny. Tímto rozlišením se Siger zásadním oddělil způsobem od avicennistické moderny a od jejího metafyzického </w:t>
      </w:r>
      <w:r w:rsidRPr="004107C1">
        <w:rPr>
          <w:i/>
        </w:rPr>
        <w:t>Irrtum</w:t>
      </w:r>
      <w:r w:rsidR="00ED300D">
        <w:t xml:space="preserve">. Ale </w:t>
      </w:r>
      <w:r>
        <w:t xml:space="preserve">Siger už okolo roku 1266 ukázal mladé generaci filosofů jako Aegidius Romanus nedostatečnost Avicennova projektu metafyziky. Ale tito semiaverroisté věřili na mytopoetiku Toledské školy a odmítli jeho brilantní výklad. Aegidius a Akvinský spadli do </w:t>
      </w:r>
      <w:r w:rsidR="006028B3">
        <w:t xml:space="preserve">pasti </w:t>
      </w:r>
      <w:r>
        <w:t xml:space="preserve">averrorismu daného podle esenciální abstrakce intelektu jako </w:t>
      </w:r>
      <w:r w:rsidR="087E4F4A">
        <w:t xml:space="preserve">hypostázované </w:t>
      </w:r>
      <w:r w:rsidR="006028B3">
        <w:t>formy</w:t>
      </w:r>
      <w:r>
        <w:t>. Opět je ve hře hyparchické postavení první substance spojené se schématem poznání daným nasvícením zepředu</w:t>
      </w:r>
      <w:r>
        <w:fldChar w:fldCharType="begin"/>
      </w:r>
      <w:r>
        <w:instrText xml:space="preserve"> XE "zjevování:nasvícen</w:instrText>
      </w:r>
      <w:r w:rsidRPr="00DA72F5">
        <w:instrText>í zepředu</w:instrText>
      </w:r>
      <w:r>
        <w:instrText xml:space="preserve">" </w:instrText>
      </w:r>
      <w:r>
        <w:fldChar w:fldCharType="end"/>
      </w:r>
      <w:r>
        <w:t xml:space="preserve">. Klíčová je úvodní pasáž výkladu </w:t>
      </w:r>
      <w:r w:rsidRPr="0075111E">
        <w:rPr>
          <w:i/>
        </w:rPr>
        <w:t>Met</w:t>
      </w:r>
      <w:r>
        <w:t>. IV, kde Siger optuje pro integrální „meta</w:t>
      </w:r>
      <w:r>
        <w:noBreakHyphen/>
        <w:t xml:space="preserve">fyziku“ podle Averroese v modu substance </w:t>
      </w:r>
      <w:r w:rsidRPr="08780E8C">
        <w:rPr>
          <w:i/>
        </w:rPr>
        <w:t>qua</w:t>
      </w:r>
      <w:r>
        <w:t xml:space="preserve"> substance</w:t>
      </w:r>
      <w:r>
        <w:fldChar w:fldCharType="begin"/>
      </w:r>
      <w:r>
        <w:instrText xml:space="preserve"> XE "</w:instrText>
      </w:r>
      <w:r w:rsidRPr="080632B1">
        <w:instrText xml:space="preserve">substance </w:instrText>
      </w:r>
      <w:r w:rsidRPr="080632B1">
        <w:rPr>
          <w:i/>
        </w:rPr>
        <w:instrText>qua</w:instrText>
      </w:r>
      <w:r w:rsidRPr="080632B1">
        <w:instrText xml:space="preserve"> substance</w:instrText>
      </w:r>
      <w:r>
        <w:instrText xml:space="preserve">" </w:instrText>
      </w:r>
      <w:r>
        <w:fldChar w:fldCharType="end"/>
      </w:r>
      <w:r>
        <w:t>.</w:t>
      </w:r>
      <w:r w:rsidR="00F14AF7">
        <w:rPr>
          <w:rStyle w:val="Znakapoznpodarou"/>
        </w:rPr>
        <w:footnoteReference w:id="209"/>
      </w:r>
      <w:r>
        <w:t xml:space="preserve"> První hledaná věda o jsoucím jako jsoucím (</w:t>
      </w:r>
      <w:r w:rsidRPr="0075111E">
        <w:rPr>
          <w:i/>
        </w:rPr>
        <w:t>scientia ista considerat ens inquantum ens</w:t>
      </w:r>
      <w:r>
        <w:t>) do sebe musí zahrnovat kauzy a určení první substance (</w:t>
      </w:r>
      <w:r w:rsidRPr="0075111E">
        <w:rPr>
          <w:i/>
        </w:rPr>
        <w:t>considerat causas primas et prima principia</w:t>
      </w:r>
      <w:r>
        <w:t xml:space="preserve">), které dávají integrální smysl </w:t>
      </w:r>
      <w:r>
        <w:lastRenderedPageBreak/>
        <w:t xml:space="preserve">hledání první vědy o jsoucím jako jsoucím. </w:t>
      </w:r>
      <w:r w:rsidRPr="00C21224">
        <w:t xml:space="preserve">Siger odmítl </w:t>
      </w:r>
      <w:r>
        <w:t xml:space="preserve">primát </w:t>
      </w:r>
      <w:r w:rsidRPr="00C21224">
        <w:t>metafyziky</w:t>
      </w:r>
      <w:r>
        <w:t xml:space="preserve"> </w:t>
      </w:r>
      <w:r w:rsidRPr="00C21224">
        <w:rPr>
          <w:i/>
        </w:rPr>
        <w:t>ens inquantum ens</w:t>
      </w:r>
      <w:r>
        <w:t xml:space="preserve"> podle jako nedostatečný. Avicenna pominul predikaci kategoriální jednoty jsoucna vzhledem ke kauzalitě první substance.</w:t>
      </w:r>
      <w:r>
        <w:rPr>
          <w:rStyle w:val="Znakapoznpodarou"/>
        </w:rPr>
        <w:footnoteReference w:id="210"/>
      </w:r>
      <w:r>
        <w:t xml:space="preserve"> </w:t>
      </w:r>
      <w:r w:rsidR="00C03253">
        <w:t>Naprosto zásadní je správné pořadí</w:t>
      </w:r>
      <w:r>
        <w:t xml:space="preserve"> metafyzické</w:t>
      </w:r>
      <w:r w:rsidR="00C03253">
        <w:t xml:space="preserve"> formy </w:t>
      </w:r>
      <w:r w:rsidRPr="00AA3FF7">
        <w:rPr>
          <w:i/>
        </w:rPr>
        <w:t>resolutio</w:t>
      </w:r>
      <w:r>
        <w:rPr>
          <w:i/>
        </w:rPr>
        <w:fldChar w:fldCharType="begin"/>
      </w:r>
      <w:r>
        <w:instrText xml:space="preserve"> XE "</w:instrText>
      </w:r>
      <w:r w:rsidRPr="00111E9E">
        <w:rPr>
          <w:i/>
        </w:rPr>
        <w:instrText>resolutio</w:instrText>
      </w:r>
      <w:r>
        <w:rPr>
          <w:i/>
        </w:rPr>
        <w:instrText>:</w:instrText>
      </w:r>
      <w:r w:rsidRPr="007D3515">
        <w:instrText>první averroismus</w:instrText>
      </w:r>
      <w:r>
        <w:instrText xml:space="preserve">" </w:instrText>
      </w:r>
      <w:r>
        <w:rPr>
          <w:i/>
        </w:rPr>
        <w:fldChar w:fldCharType="end"/>
      </w:r>
      <w:r w:rsidR="00C03253">
        <w:t xml:space="preserve">. První vědy musí jít v modu </w:t>
      </w:r>
      <w:r w:rsidRPr="00AA3FF7">
        <w:rPr>
          <w:i/>
        </w:rPr>
        <w:t>per prius</w:t>
      </w:r>
      <w:r>
        <w:t xml:space="preserve"> od první </w:t>
      </w:r>
      <w:r w:rsidR="005D3EB9">
        <w:t xml:space="preserve">reálné </w:t>
      </w:r>
      <w:r>
        <w:t xml:space="preserve">substance </w:t>
      </w:r>
      <w:r w:rsidR="005D3EB9" w:rsidRPr="005D3EB9">
        <w:rPr>
          <w:i/>
        </w:rPr>
        <w:t>qua</w:t>
      </w:r>
      <w:r w:rsidR="005D3EB9">
        <w:t xml:space="preserve"> druhou kategoriální substanci </w:t>
      </w:r>
      <w:r>
        <w:t>(Averroes)</w:t>
      </w:r>
      <w:r w:rsidR="005D3EB9">
        <w:t xml:space="preserve">; pak se jde </w:t>
      </w:r>
      <w:r w:rsidRPr="00AA3FF7">
        <w:rPr>
          <w:i/>
        </w:rPr>
        <w:t>per posterius</w:t>
      </w:r>
      <w:r>
        <w:t xml:space="preserve"> </w:t>
      </w:r>
      <w:r w:rsidR="005D3EB9">
        <w:t xml:space="preserve">k jednotě </w:t>
      </w:r>
      <w:r>
        <w:t>js</w:t>
      </w:r>
      <w:r w:rsidR="005D3EB9">
        <w:t xml:space="preserve">oucího jako jsoucího (Avicenna). Tím </w:t>
      </w:r>
      <w:r w:rsidRPr="00273106">
        <w:t>dostaneme</w:t>
      </w:r>
      <w:r>
        <w:t xml:space="preserve"> celou strukturu aristotelské metafyziky</w:t>
      </w:r>
      <w:r w:rsidRPr="00273106">
        <w:t xml:space="preserve">. </w:t>
      </w:r>
      <w:r>
        <w:t xml:space="preserve">Siger jako jediný myslitel této epochy přesně pochopil, v čem byla ona </w:t>
      </w:r>
      <w:r w:rsidR="00C03253">
        <w:t>„</w:t>
      </w:r>
      <w:r w:rsidRPr="00793352">
        <w:rPr>
          <w:i/>
        </w:rPr>
        <w:t>obscurity</w:t>
      </w:r>
      <w:r w:rsidR="00C03253">
        <w:t>“</w:t>
      </w:r>
      <w:r>
        <w:t>, kterou kritizoval Averroes v metafyzice Avicenny (</w:t>
      </w:r>
      <w:r w:rsidRPr="00273106">
        <w:t>kap. 2.4.1</w:t>
      </w:r>
      <w:r>
        <w:t xml:space="preserve">). Citujme klíčovou část Sigerových </w:t>
      </w:r>
      <w:r>
        <w:rPr>
          <w:i/>
        </w:rPr>
        <w:t>Quaestiones</w:t>
      </w:r>
      <w:r w:rsidRPr="00E65D0C">
        <w:rPr>
          <w:i/>
        </w:rPr>
        <w:t xml:space="preserve"> in Metaphysicam</w:t>
      </w:r>
      <w:r>
        <w:t>, která ukazuje nejhlubší pochopení filosofick</w:t>
      </w:r>
      <w:r w:rsidR="00F662F6">
        <w:t>ých zápasů</w:t>
      </w:r>
      <w:r>
        <w:t xml:space="preserve"> jeho epochy. </w:t>
      </w:r>
    </w:p>
    <w:p w:rsidR="08163013" w:rsidRPr="00D36FE4" w:rsidRDefault="08163013" w:rsidP="08163013">
      <w:pPr>
        <w:pStyle w:val="Citace"/>
        <w:rPr>
          <w:lang w:val="cs-CZ"/>
        </w:rPr>
      </w:pPr>
      <w:r w:rsidRPr="0003243C">
        <w:t>„</w:t>
      </w:r>
      <w:r>
        <w:rPr>
          <w:lang w:val="cs-CZ"/>
        </w:rPr>
        <w:t>Pokud je jsoucno a jedno predikováno o jiných jsoucnech, pak vypovídá pouze o jejich podstatách. Z toho vyplývá, že jde o substanciální predikaci vzhledem ke jsoucnu (</w:t>
      </w:r>
      <w:r w:rsidRPr="001D6096">
        <w:rPr>
          <w:i/>
        </w:rPr>
        <w:t>substantialia praedicata de entibus</w:t>
      </w:r>
      <w:r>
        <w:rPr>
          <w:lang w:val="cs-CZ"/>
        </w:rPr>
        <w:t>). V úvodu tohoto díla bylo ukázáno, že Avicenna tvrdí opak toho, co tvrdí v této věci Komentátor (</w:t>
      </w:r>
      <w:r w:rsidRPr="002D2B99">
        <w:rPr>
          <w:i/>
        </w:rPr>
        <w:t>Avicenna</w:t>
      </w:r>
      <w:r w:rsidRPr="0066508C">
        <w:rPr>
          <w:rStyle w:val="Zkladntext7ptMalpsmena"/>
          <w:rFonts w:eastAsia="Times"/>
          <w:i/>
          <w:smallCaps w:val="0"/>
          <w:lang w:val="cs-CZ"/>
        </w:rPr>
        <w:t xml:space="preserve"> </w:t>
      </w:r>
      <w:r w:rsidRPr="002D2B99">
        <w:rPr>
          <w:i/>
        </w:rPr>
        <w:t>diceret oppositum, sicut recitat hic Commentator</w:t>
      </w:r>
      <w:r>
        <w:rPr>
          <w:lang w:val="cs-CZ"/>
        </w:rPr>
        <w:t>). Základní důvod Avicennova omylu byl v tom, že nerozlišil mezi jednotou danou na úrovni existujícího jsoucna (</w:t>
      </w:r>
      <w:r w:rsidRPr="00D36FE4">
        <w:rPr>
          <w:i/>
        </w:rPr>
        <w:t>unum quod convertitur cum ente</w:t>
      </w:r>
      <w:r>
        <w:rPr>
          <w:lang w:val="cs-CZ"/>
        </w:rPr>
        <w:t>) a jednotou danou jako numerický princip (</w:t>
      </w:r>
      <w:r w:rsidRPr="007C5784">
        <w:rPr>
          <w:i/>
        </w:rPr>
        <w:t>unum quod est principium numeri</w:t>
      </w:r>
      <w:r>
        <w:rPr>
          <w:lang w:val="cs-CZ"/>
        </w:rPr>
        <w:t>). Obě jednoty se velmi liší (</w:t>
      </w:r>
      <w:r w:rsidRPr="08212002">
        <w:rPr>
          <w:i/>
        </w:rPr>
        <w:t>multum differant</w:t>
      </w:r>
      <w:r>
        <w:rPr>
          <w:lang w:val="cs-CZ"/>
        </w:rPr>
        <w:t xml:space="preserve">).“ </w:t>
      </w:r>
      <w:r>
        <w:rPr>
          <w:rStyle w:val="Znakapoznpodarou"/>
          <w:lang w:val="fr-FR"/>
        </w:rPr>
        <w:footnoteReference w:id="211"/>
      </w:r>
    </w:p>
    <w:p w:rsidR="00331E92" w:rsidRDefault="08163013" w:rsidP="08163013">
      <w:r w:rsidRPr="00180586">
        <w:t xml:space="preserve">Citát začíná odkazem </w:t>
      </w:r>
      <w:r w:rsidRPr="00C21224">
        <w:t xml:space="preserve">na </w:t>
      </w:r>
      <w:r>
        <w:t xml:space="preserve">úvod komentáře ke čtvrté knize </w:t>
      </w:r>
      <w:r w:rsidRPr="08B4247B">
        <w:rPr>
          <w:i/>
        </w:rPr>
        <w:t>Metafyziky</w:t>
      </w:r>
      <w:r w:rsidRPr="00C21224">
        <w:t xml:space="preserve">, kde </w:t>
      </w:r>
      <w:r>
        <w:t xml:space="preserve">Siger zdůvodnil základní nedostatek Avicennova projektu první vědy. Modernisté nejsou schopni vidět rozdíl mezi skutečnou metafyzickou abstrakcí, kterou integrálně hájil Averroes, a mezi univočním projektem metafyziky Avicenny. Tento projekt navíc založili na univočně pojaté esenci skrze </w:t>
      </w:r>
      <w:r w:rsidRPr="007C5784">
        <w:rPr>
          <w:i/>
        </w:rPr>
        <w:t>Oxfordian Fallacy</w:t>
      </w:r>
      <w:r>
        <w:t xml:space="preserve"> a na matematické abstrakci. Jednota esence je daná pouze v mysli a tím se zásadně liší od aktuální jednoty reálné první substance. Modernisté spojili </w:t>
      </w:r>
      <w:r w:rsidRPr="00273106">
        <w:t xml:space="preserve">zkoumání esence </w:t>
      </w:r>
      <w:r>
        <w:t xml:space="preserve">a </w:t>
      </w:r>
      <w:r w:rsidRPr="00273106">
        <w:t>kauzalit</w:t>
      </w:r>
      <w:r>
        <w:t>u</w:t>
      </w:r>
      <w:r w:rsidRPr="00273106">
        <w:t xml:space="preserve"> prvních</w:t>
      </w:r>
      <w:r>
        <w:t xml:space="preserve"> substancí do </w:t>
      </w:r>
      <w:r w:rsidRPr="08B4247B">
        <w:rPr>
          <w:i/>
        </w:rPr>
        <w:t>metaphysica generalis</w:t>
      </w:r>
      <w:r>
        <w:rPr>
          <w:i/>
        </w:rPr>
        <w:fldChar w:fldCharType="begin"/>
      </w:r>
      <w:r>
        <w:instrText xml:space="preserve"> XE "</w:instrText>
      </w:r>
      <w:r w:rsidRPr="08CB36C4">
        <w:rPr>
          <w:i/>
        </w:rPr>
        <w:instrText>metaphysica generalis</w:instrText>
      </w:r>
      <w:r>
        <w:instrText xml:space="preserve">" </w:instrText>
      </w:r>
      <w:r>
        <w:rPr>
          <w:i/>
        </w:rPr>
        <w:fldChar w:fldCharType="end"/>
      </w:r>
      <w:r>
        <w:t xml:space="preserve"> podle Avicenny</w:t>
      </w:r>
      <w:r w:rsidRPr="00273106">
        <w:t>. Siger je zásadně proti</w:t>
      </w:r>
      <w:r>
        <w:t xml:space="preserve">, protože jednota esence a substance se liší zásadním </w:t>
      </w:r>
      <w:r>
        <w:lastRenderedPageBreak/>
        <w:t>způsobem (</w:t>
      </w:r>
      <w:r w:rsidRPr="08212002">
        <w:rPr>
          <w:i/>
        </w:rPr>
        <w:t>multum differant</w:t>
      </w:r>
      <w:r>
        <w:t>)</w:t>
      </w:r>
      <w:r>
        <w:rPr>
          <w:i/>
        </w:rPr>
        <w:fldChar w:fldCharType="begin"/>
      </w:r>
      <w:r>
        <w:instrText xml:space="preserve"> XE "</w:instrText>
      </w:r>
      <w:r w:rsidRPr="0015798D">
        <w:rPr>
          <w:i/>
        </w:rPr>
        <w:instrText>Oxfordian Fallacy:</w:instrText>
      </w:r>
      <w:r w:rsidRPr="00065E4F">
        <w:instrText>kritika Sigera</w:instrText>
      </w:r>
      <w:r>
        <w:instrText xml:space="preserve">" </w:instrText>
      </w:r>
      <w:r>
        <w:rPr>
          <w:i/>
        </w:rPr>
        <w:fldChar w:fldCharType="end"/>
      </w:r>
      <w:r w:rsidRPr="00273106">
        <w:t>. Neexistuje dvojí určení jsoucna</w:t>
      </w:r>
      <w:r>
        <w:t xml:space="preserve"> a tím i člověka</w:t>
      </w:r>
      <w:r w:rsidRPr="00273106">
        <w:t>, protože reálně existuje jen jedno jsoucno: to, které reálně a aktuálně</w:t>
      </w:r>
      <w:r>
        <w:t xml:space="preserve"> existuje jako hyparchická první substance</w:t>
      </w:r>
      <w:r>
        <w:fldChar w:fldCharType="begin"/>
      </w:r>
      <w:r>
        <w:instrText xml:space="preserve"> XE "</w:instrText>
      </w:r>
      <w:r w:rsidRPr="00DE2A32">
        <w:instrText>substance</w:instrText>
      </w:r>
      <w:r>
        <w:instrText xml:space="preserve">:první" </w:instrText>
      </w:r>
      <w:r>
        <w:fldChar w:fldCharType="end"/>
      </w:r>
      <w:r>
        <w:t xml:space="preserve">. Metafyzika musí být vědou o reálných příčinách, tím i o prvních substancích, nikoliv o moderních abstrakcích. Adekvátní </w:t>
      </w:r>
      <w:r w:rsidRPr="00273106">
        <w:t xml:space="preserve">metafyzika je první vědou o jsoucnu, které jest jsoucí, tím i poznatelné v řádu </w:t>
      </w:r>
      <w:r w:rsidRPr="00273106">
        <w:rPr>
          <w:i/>
        </w:rPr>
        <w:t>per prius</w:t>
      </w:r>
      <w:r w:rsidRPr="00273106">
        <w:t xml:space="preserve"> jako jsoucí (</w:t>
      </w:r>
      <w:r w:rsidR="00CE5925">
        <w:rPr>
          <w:i/>
        </w:rPr>
        <w:t>ou</w:t>
      </w:r>
      <w:r>
        <w:rPr>
          <w:i/>
        </w:rPr>
        <w:t>sía</w:t>
      </w:r>
      <w:r w:rsidRPr="00273106">
        <w:t xml:space="preserve">). </w:t>
      </w:r>
      <w:r w:rsidR="00FC3808">
        <w:t>Latinští s</w:t>
      </w:r>
      <w:r>
        <w:t xml:space="preserve">ofisté převedli Avicennovo zatmění první substance do dalších staletí skrze </w:t>
      </w:r>
      <w:proofErr w:type="gramStart"/>
      <w:r w:rsidRPr="00E33742">
        <w:rPr>
          <w:i/>
        </w:rPr>
        <w:t>via</w:t>
      </w:r>
      <w:proofErr w:type="gramEnd"/>
      <w:r w:rsidRPr="00E33742">
        <w:rPr>
          <w:i/>
        </w:rPr>
        <w:t xml:space="preserve"> Modernorum</w:t>
      </w:r>
      <w:r>
        <w:rPr>
          <w:i/>
        </w:rPr>
        <w:fldChar w:fldCharType="begin"/>
      </w:r>
      <w:r>
        <w:instrText xml:space="preserve"> XE "</w:instrText>
      </w:r>
      <w:r w:rsidRPr="00ED0748">
        <w:rPr>
          <w:i/>
        </w:rPr>
        <w:instrText>via Modernorum</w:instrText>
      </w:r>
      <w:r>
        <w:instrText xml:space="preserve">" </w:instrText>
      </w:r>
      <w:r>
        <w:rPr>
          <w:i/>
        </w:rPr>
        <w:fldChar w:fldCharType="end"/>
      </w:r>
      <w:r>
        <w:t xml:space="preserve">. V této </w:t>
      </w:r>
      <w:r w:rsidRPr="08212002">
        <w:rPr>
          <w:i/>
        </w:rPr>
        <w:t>epoché</w:t>
      </w:r>
      <w:r>
        <w:t xml:space="preserve"> moderního rozumu ze Sigera nutně udělali averroistu. Filosofové </w:t>
      </w:r>
      <w:r w:rsidRPr="00273106">
        <w:t xml:space="preserve">Siger </w:t>
      </w:r>
      <w:r>
        <w:t xml:space="preserve">s Baconem byli jediní myslitelé své generace, jež přesně znali </w:t>
      </w:r>
      <w:r w:rsidRPr="00273106">
        <w:t>epochální smysl sporu</w:t>
      </w:r>
      <w:r>
        <w:t xml:space="preserve"> mezi Averroesem a Avicennou pro vývoj metafyziky. Teologové Akvinský a Albert přijali v otázce jednoty intelektu Avicennova východiska metafyziky, protože zaměnili metafyzické </w:t>
      </w:r>
      <w:r w:rsidRPr="08764AAE">
        <w:rPr>
          <w:i/>
        </w:rPr>
        <w:t>resolutio</w:t>
      </w:r>
      <w:r>
        <w:t xml:space="preserve"> v klíčové otázce zkoumající způsob, jak poznáváme</w:t>
      </w:r>
      <w:r w:rsidR="0070182D">
        <w:t xml:space="preserve"> svět</w:t>
      </w:r>
      <w:r>
        <w:t xml:space="preserve">. Akvinský začal zkoumání osoby jako první substance skrze Avicennovu abstrakci, tedy podle Averroese v modu </w:t>
      </w:r>
      <w:r w:rsidRPr="08764AAE">
        <w:rPr>
          <w:i/>
        </w:rPr>
        <w:t>per posterius</w:t>
      </w:r>
      <w:r>
        <w:t xml:space="preserve"> místo kategoriální predikace od hyparchicky dané první substance v modu </w:t>
      </w:r>
      <w:r w:rsidRPr="08764AAE">
        <w:rPr>
          <w:i/>
        </w:rPr>
        <w:t>per prius</w:t>
      </w:r>
      <w:r>
        <w:t>. Pak ale nemohl jednotu člověka obhajovat v celé šíři, protože odmítl integrální výklad Averroese</w:t>
      </w:r>
      <w:r>
        <w:fldChar w:fldCharType="begin"/>
      </w:r>
      <w:r>
        <w:instrText xml:space="preserve"> XE "</w:instrText>
      </w:r>
      <w:r w:rsidRPr="00BB7D8E">
        <w:instrText>osoba:ipseita</w:instrText>
      </w:r>
      <w:r>
        <w:instrText xml:space="preserve">" </w:instrText>
      </w:r>
      <w:r>
        <w:fldChar w:fldCharType="end"/>
      </w:r>
      <w:r w:rsidR="00331E92">
        <w:t>.</w:t>
      </w:r>
    </w:p>
    <w:p w:rsidR="08163013" w:rsidRPr="00273106" w:rsidRDefault="08163013" w:rsidP="00331E92">
      <w:pPr>
        <w:ind w:firstLine="397"/>
      </w:pPr>
      <w:r w:rsidRPr="00273106">
        <w:rPr>
          <w:lang w:eastAsia="en-US"/>
        </w:rPr>
        <w:t xml:space="preserve">Siger </w:t>
      </w:r>
      <w:r>
        <w:rPr>
          <w:lang w:eastAsia="en-US"/>
        </w:rPr>
        <w:t>jako jediný představitel prvního averroismu provedl plnou i</w:t>
      </w:r>
      <w:r w:rsidRPr="00273106">
        <w:rPr>
          <w:lang w:eastAsia="en-US"/>
        </w:rPr>
        <w:t xml:space="preserve">ntegraci </w:t>
      </w:r>
      <w:r>
        <w:rPr>
          <w:lang w:eastAsia="en-US"/>
        </w:rPr>
        <w:t xml:space="preserve">jím kritizovaného </w:t>
      </w:r>
      <w:r w:rsidRPr="00273106">
        <w:rPr>
          <w:lang w:eastAsia="en-US"/>
        </w:rPr>
        <w:t>Avic</w:t>
      </w:r>
      <w:r>
        <w:rPr>
          <w:lang w:eastAsia="en-US"/>
        </w:rPr>
        <w:t>enny do „meta-fyziky“ Averroese (</w:t>
      </w:r>
      <w:r w:rsidRPr="003C68BE">
        <w:rPr>
          <w:i/>
        </w:rPr>
        <w:t>Avicenna</w:t>
      </w:r>
      <w:r w:rsidRPr="003C68BE">
        <w:rPr>
          <w:rStyle w:val="Zkladntext7ptMalpsmena"/>
          <w:rFonts w:eastAsia="Times"/>
          <w:i/>
          <w:smallCaps w:val="0"/>
          <w:sz w:val="22"/>
          <w:lang w:val="x-none"/>
        </w:rPr>
        <w:t xml:space="preserve"> </w:t>
      </w:r>
      <w:r w:rsidRPr="003C68BE">
        <w:rPr>
          <w:i/>
        </w:rPr>
        <w:t>diceret oppositum, sicut recitat hic Commentator</w:t>
      </w:r>
      <w:r>
        <w:rPr>
          <w:lang w:eastAsia="en-US"/>
        </w:rPr>
        <w:t xml:space="preserve">). Protože pochopil základní metafyzický omyl Avicenny, mohl jej patřičně korigovat a dát jeho abstraktnímu pojetí </w:t>
      </w:r>
      <w:r w:rsidRPr="00D13067">
        <w:rPr>
          <w:i/>
          <w:lang w:eastAsia="en-US"/>
        </w:rPr>
        <w:t>ens inqua</w:t>
      </w:r>
      <w:r>
        <w:rPr>
          <w:i/>
          <w:lang w:eastAsia="en-US"/>
        </w:rPr>
        <w:t>n</w:t>
      </w:r>
      <w:r w:rsidRPr="00D13067">
        <w:rPr>
          <w:i/>
          <w:lang w:eastAsia="en-US"/>
        </w:rPr>
        <w:t>tum ens</w:t>
      </w:r>
      <w:r>
        <w:rPr>
          <w:i/>
          <w:lang w:eastAsia="en-US"/>
        </w:rPr>
        <w:fldChar w:fldCharType="begin"/>
      </w:r>
      <w:r>
        <w:instrText xml:space="preserve"> XE "</w:instrText>
      </w:r>
      <w:r w:rsidRPr="004B3834">
        <w:rPr>
          <w:i/>
          <w:lang w:eastAsia="en-US"/>
        </w:rPr>
        <w:instrText>ens inquantum ens</w:instrText>
      </w:r>
      <w:r>
        <w:instrText xml:space="preserve">" </w:instrText>
      </w:r>
      <w:r>
        <w:rPr>
          <w:i/>
          <w:lang w:eastAsia="en-US"/>
        </w:rPr>
        <w:fldChar w:fldCharType="end"/>
      </w:r>
      <w:r>
        <w:rPr>
          <w:lang w:eastAsia="en-US"/>
        </w:rPr>
        <w:t xml:space="preserve"> správné místo až po Averroesově projektu. </w:t>
      </w:r>
      <w:r>
        <w:t xml:space="preserve">Albert už v </w:t>
      </w:r>
      <w:proofErr w:type="gramStart"/>
      <w:r w:rsidRPr="08E34DAF">
        <w:rPr>
          <w:i/>
        </w:rPr>
        <w:t>De</w:t>
      </w:r>
      <w:proofErr w:type="gramEnd"/>
      <w:r w:rsidRPr="08E34DAF">
        <w:rPr>
          <w:i/>
        </w:rPr>
        <w:t xml:space="preserve"> homine</w:t>
      </w:r>
      <w:r>
        <w:t xml:space="preserve"> provedl korektní výklad jednoty osoby podle CMDA, ale nestavil jednotu obou projektů metafyziky tak precizním způsobem jako Siger. Albert stejně jako před ním biskup Alvernus potřeboval zajistit napřirozené osvícení duše přímo od boha v systému metafyziky a také nesmrtelnost duše. Proto Albert podle Sigera postuluje</w:t>
      </w:r>
      <w:r w:rsidRPr="00273106">
        <w:t xml:space="preserve"> </w:t>
      </w:r>
      <w:r w:rsidRPr="00273106">
        <w:rPr>
          <w:i/>
        </w:rPr>
        <w:t>per prius</w:t>
      </w:r>
      <w:r w:rsidRPr="00273106">
        <w:t xml:space="preserve"> ontoteologicky danou esen</w:t>
      </w:r>
      <w:r>
        <w:t>ci věci, a tu následně přidává</w:t>
      </w:r>
      <w:r w:rsidRPr="00273106">
        <w:t xml:space="preserve"> k existujícím aktuálním jsoucnům daným kauzálně (</w:t>
      </w:r>
      <w:r w:rsidRPr="00273106">
        <w:rPr>
          <w:i/>
        </w:rPr>
        <w:t>per dispositionem additam essentiae suae</w:t>
      </w:r>
      <w:r w:rsidRPr="00273106">
        <w:t>).</w:t>
      </w:r>
      <w:r>
        <w:rPr>
          <w:rStyle w:val="Znakapoznpodarou"/>
        </w:rPr>
        <w:footnoteReference w:id="212"/>
      </w:r>
      <w:r w:rsidRPr="00273106">
        <w:t xml:space="preserve"> </w:t>
      </w:r>
      <w:r w:rsidR="085F5C59">
        <w:t>Kritika Alberta je obsažena v</w:t>
      </w:r>
      <w:r w:rsidR="089D1C47">
        <w:t xml:space="preserve"> obtížné </w:t>
      </w:r>
      <w:r w:rsidRPr="00273106">
        <w:t>část</w:t>
      </w:r>
      <w:r w:rsidR="085F5C59">
        <w:t>i</w:t>
      </w:r>
      <w:r w:rsidRPr="00273106">
        <w:t xml:space="preserve"> Sigerova úvodu do </w:t>
      </w:r>
      <w:r w:rsidRPr="083347C9">
        <w:rPr>
          <w:i/>
        </w:rPr>
        <w:lastRenderedPageBreak/>
        <w:t>Metafyziky</w:t>
      </w:r>
      <w:r w:rsidR="085F5C59">
        <w:t xml:space="preserve">. Tato brilantní </w:t>
      </w:r>
      <w:r w:rsidR="089D1C47">
        <w:t xml:space="preserve">argumentace podle CMDA </w:t>
      </w:r>
      <w:r w:rsidR="085F5C59">
        <w:t>odděluje</w:t>
      </w:r>
      <w:r w:rsidRPr="00273106">
        <w:t xml:space="preserve"> </w:t>
      </w:r>
      <w:r>
        <w:t xml:space="preserve">osobu jako </w:t>
      </w:r>
      <w:r w:rsidRPr="00273106">
        <w:t>autonomní první substanci (</w:t>
      </w:r>
      <w:r w:rsidRPr="00273106">
        <w:rPr>
          <w:i/>
        </w:rPr>
        <w:t>esse hominis</w:t>
      </w:r>
      <w:r w:rsidRPr="00273106">
        <w:t xml:space="preserve">) vyšetřovanou </w:t>
      </w:r>
      <w:r w:rsidRPr="083347C9">
        <w:rPr>
          <w:i/>
        </w:rPr>
        <w:t>Druhými analytikami</w:t>
      </w:r>
      <w:r w:rsidRPr="00273106">
        <w:t xml:space="preserve"> od hledání metafyzických prvních příčin této substance (</w:t>
      </w:r>
      <w:r w:rsidRPr="00273106">
        <w:rPr>
          <w:i/>
        </w:rPr>
        <w:t>esse enim hominis est ex alio, ut ex Primo</w:t>
      </w:r>
      <w:r w:rsidRPr="00273106">
        <w:t xml:space="preserve">). </w:t>
      </w:r>
      <w:r>
        <w:t xml:space="preserve">Sigerův náhled </w:t>
      </w:r>
      <w:r w:rsidRPr="00273106">
        <w:t>na prvn</w:t>
      </w:r>
      <w:r>
        <w:t xml:space="preserve">í substanci do sebe zahrnuje i formální pojetí Avicenny, ale v přesném pořadí </w:t>
      </w:r>
      <w:r w:rsidR="081942A4">
        <w:t xml:space="preserve">metafyzického </w:t>
      </w:r>
      <w:r>
        <w:t xml:space="preserve">dativu daném podle klasické věty </w:t>
      </w:r>
      <w:r w:rsidRPr="08BE7403">
        <w:rPr>
          <w:i/>
        </w:rPr>
        <w:t>Kategorií</w:t>
      </w:r>
      <w:r>
        <w:t xml:space="preserve">. Je-li etablován výkon myšlení v první substanci, pak je možné </w:t>
      </w:r>
      <w:r w:rsidRPr="00273106">
        <w:t>zkouma</w:t>
      </w:r>
      <w:r>
        <w:t>t</w:t>
      </w:r>
      <w:r w:rsidRPr="00273106">
        <w:t xml:space="preserve"> esenci takto dané první substance z pohledu </w:t>
      </w:r>
      <w:r w:rsidRPr="00273106">
        <w:rPr>
          <w:i/>
        </w:rPr>
        <w:t>causa prima</w:t>
      </w:r>
      <w:r>
        <w:rPr>
          <w:i/>
        </w:rPr>
        <w:fldChar w:fldCharType="begin"/>
      </w:r>
      <w:r>
        <w:instrText xml:space="preserve"> XE "</w:instrText>
      </w:r>
      <w:r w:rsidRPr="00EC783C">
        <w:rPr>
          <w:i/>
          <w:color w:val="000000"/>
        </w:rPr>
        <w:instrText>causa prima</w:instrText>
      </w:r>
      <w:r>
        <w:instrText xml:space="preserve">" </w:instrText>
      </w:r>
      <w:r>
        <w:rPr>
          <w:i/>
        </w:rPr>
        <w:fldChar w:fldCharType="end"/>
      </w:r>
      <w:r w:rsidRPr="00273106">
        <w:t xml:space="preserve"> (</w:t>
      </w:r>
      <w:r w:rsidRPr="00273106">
        <w:rPr>
          <w:i/>
        </w:rPr>
        <w:t>differt homo et esse hominis</w:t>
      </w:r>
      <w:r w:rsidRPr="00273106">
        <w:t xml:space="preserve">). </w:t>
      </w:r>
      <w:r>
        <w:t>Tato polemika je důležitá ohledně základního určení člověka</w:t>
      </w:r>
      <w:r w:rsidR="080E1D67">
        <w:t xml:space="preserve"> v západním humanismu</w:t>
      </w:r>
      <w:r>
        <w:t xml:space="preserve">, které v sobě inherentně obsahuje ten či onen projekt metafyziky. </w:t>
      </w:r>
      <w:r w:rsidR="08A13FED">
        <w:t xml:space="preserve">Dante věděl velice dobře, proč byl Siger nejlepší filosof jeho doby. </w:t>
      </w:r>
      <w:r>
        <w:rPr>
          <w:lang w:eastAsia="en-US"/>
        </w:rPr>
        <w:t>Integrací Avicennovy metafyziky do Averroesova projektu metafyziky v rámci jednoty osoby, duše a intelektu vznikla dnes zapomenutá syntéza falsafy a křesťanské filosofie, která splnila</w:t>
      </w:r>
      <w:r w:rsidRPr="00273106">
        <w:rPr>
          <w:lang w:eastAsia="en-US"/>
        </w:rPr>
        <w:t xml:space="preserve"> jednotu </w:t>
      </w:r>
      <w:r>
        <w:rPr>
          <w:lang w:eastAsia="en-US"/>
        </w:rPr>
        <w:t xml:space="preserve">hledané </w:t>
      </w:r>
      <w:r w:rsidRPr="00273106">
        <w:rPr>
          <w:lang w:eastAsia="en-US"/>
        </w:rPr>
        <w:t>první vědy</w:t>
      </w:r>
      <w:r>
        <w:rPr>
          <w:lang w:eastAsia="en-US"/>
        </w:rPr>
        <w:t xml:space="preserve"> a našla určení člověka jako jednotné substance</w:t>
      </w:r>
      <w:r w:rsidRPr="00273106">
        <w:rPr>
          <w:lang w:eastAsia="en-US"/>
        </w:rPr>
        <w:t>.</w:t>
      </w:r>
      <w:r>
        <w:rPr>
          <w:lang w:eastAsia="en-US"/>
        </w:rPr>
        <w:t xml:space="preserve"> Akvinský se o totéž </w:t>
      </w:r>
      <w:proofErr w:type="gramStart"/>
      <w:r>
        <w:rPr>
          <w:lang w:eastAsia="en-US"/>
        </w:rPr>
        <w:t>pokusil</w:t>
      </w:r>
      <w:proofErr w:type="gramEnd"/>
      <w:r>
        <w:rPr>
          <w:lang w:eastAsia="en-US"/>
        </w:rPr>
        <w:t xml:space="preserve"> v díle </w:t>
      </w:r>
      <w:r w:rsidRPr="08761977">
        <w:rPr>
          <w:i/>
          <w:lang w:eastAsia="en-US"/>
        </w:rPr>
        <w:t>Summa contra Gentiles</w:t>
      </w:r>
      <w:r>
        <w:rPr>
          <w:lang w:eastAsia="en-US"/>
        </w:rPr>
        <w:t>, ale z pozice kritizující Averroese jako averroistu. Tomismus odmítl projekt Averroesovy metafyziky v její integrální podobě obhajované Sigerem. Stejným exkluzívním způsobem postupoval i D</w:t>
      </w:r>
      <w:r>
        <w:t xml:space="preserve">uns Scotus, který do Avicennovy metafyziky navíc integroval aristotelismus porretánů a </w:t>
      </w:r>
      <w:r w:rsidRPr="007020A6">
        <w:rPr>
          <w:i/>
        </w:rPr>
        <w:t>Nominales</w:t>
      </w:r>
      <w:r>
        <w:t xml:space="preserve"> daný v rámci </w:t>
      </w:r>
      <w:r w:rsidRPr="007020A6">
        <w:rPr>
          <w:i/>
        </w:rPr>
        <w:t>Oxfordian Fallacy</w:t>
      </w:r>
      <w:r>
        <w:rPr>
          <w:i/>
        </w:rPr>
        <w:fldChar w:fldCharType="begin"/>
      </w:r>
      <w:r>
        <w:instrText xml:space="preserve"> XE "</w:instrText>
      </w:r>
      <w:r w:rsidRPr="0015798D">
        <w:rPr>
          <w:i/>
        </w:rPr>
        <w:instrText>Oxfordian Fallacy:</w:instrText>
      </w:r>
      <w:r w:rsidRPr="00D13067">
        <w:instrText>Scotus</w:instrText>
      </w:r>
      <w:r>
        <w:instrText xml:space="preserve">" </w:instrText>
      </w:r>
      <w:r>
        <w:rPr>
          <w:i/>
        </w:rPr>
        <w:fldChar w:fldCharType="end"/>
      </w:r>
      <w:r>
        <w:t>.</w:t>
      </w:r>
    </w:p>
    <w:p w:rsidR="08163013" w:rsidRPr="00273106" w:rsidRDefault="000207E9" w:rsidP="08163013">
      <w:pPr>
        <w:pStyle w:val="Nadpis3"/>
      </w:pPr>
      <w:bookmarkStart w:id="34" w:name="_Toc36144145"/>
      <w:r>
        <w:br w:type="page"/>
      </w:r>
      <w:bookmarkStart w:id="35" w:name="_Toc180231657"/>
      <w:r w:rsidR="08163013">
        <w:lastRenderedPageBreak/>
        <w:t>4</w:t>
      </w:r>
      <w:r w:rsidR="08163013" w:rsidRPr="00273106">
        <w:t xml:space="preserve">.4.2 </w:t>
      </w:r>
      <w:r w:rsidR="08163013">
        <w:t>F</w:t>
      </w:r>
      <w:r w:rsidR="08163013" w:rsidRPr="00273106">
        <w:t>enomenologie intelektu</w:t>
      </w:r>
      <w:bookmarkEnd w:id="34"/>
      <w:bookmarkEnd w:id="35"/>
      <w:r w:rsidR="08163013" w:rsidRPr="00273106">
        <w:t xml:space="preserve"> </w:t>
      </w:r>
    </w:p>
    <w:p w:rsidR="0094791D" w:rsidRDefault="08163013" w:rsidP="00ED2204">
      <w:r w:rsidRPr="00273106">
        <w:t xml:space="preserve">Předchozí kapitola ukázala, že </w:t>
      </w:r>
      <w:r>
        <w:t xml:space="preserve">Sigerova </w:t>
      </w:r>
      <w:r w:rsidRPr="00273106">
        <w:t>metafyzika</w:t>
      </w:r>
      <w:r>
        <w:fldChar w:fldCharType="begin"/>
      </w:r>
      <w:r>
        <w:instrText xml:space="preserve"> XE "</w:instrText>
      </w:r>
      <w:r w:rsidRPr="008655F3">
        <w:instrText>metafyzika:Siger</w:instrText>
      </w:r>
      <w:r>
        <w:instrText xml:space="preserve">" </w:instrText>
      </w:r>
      <w:r>
        <w:fldChar w:fldCharType="end"/>
      </w:r>
      <w:r w:rsidRPr="00273106">
        <w:t xml:space="preserve"> představuje první vědu vztaženou k </w:t>
      </w:r>
      <w:r w:rsidR="080D1F8C">
        <w:t>reálné substanci</w:t>
      </w:r>
      <w:r>
        <w:t xml:space="preserve"> poznané v modu </w:t>
      </w:r>
      <w:r w:rsidR="081942A4">
        <w:t xml:space="preserve">metafyzického </w:t>
      </w:r>
      <w:r>
        <w:t>dativu</w:t>
      </w:r>
      <w:r w:rsidRPr="00273106">
        <w:t xml:space="preserve">. </w:t>
      </w:r>
      <w:r>
        <w:t>Averroes</w:t>
      </w:r>
      <w:r w:rsidRPr="00273106">
        <w:t xml:space="preserve"> začíná zkoumání metafyziky nejprve fyzikou, tedy fenomenologickým popisem účinků daných kauzálním působením prvních substancí. </w:t>
      </w:r>
      <w:r>
        <w:t xml:space="preserve">Pak pokračuje popisem vnímání a poznání všech živých bytostí, k nimž pochopitelně patří i člověk. </w:t>
      </w:r>
      <w:r w:rsidRPr="00273106">
        <w:t xml:space="preserve">Siger </w:t>
      </w:r>
      <w:r>
        <w:t xml:space="preserve">metodicky budující </w:t>
      </w:r>
      <w:r w:rsidRPr="00273106">
        <w:t xml:space="preserve">vědu o duši </w:t>
      </w:r>
      <w:r>
        <w:t xml:space="preserve">podle Sicilské školy </w:t>
      </w:r>
      <w:r w:rsidRPr="00273106">
        <w:t xml:space="preserve">nemůže postupovat jinak, jestliže si nárokuje </w:t>
      </w:r>
      <w:r>
        <w:t xml:space="preserve">vědeckou </w:t>
      </w:r>
      <w:r w:rsidRPr="00273106">
        <w:t xml:space="preserve">pravdivost v rámci </w:t>
      </w:r>
      <w:r w:rsidRPr="08484B11">
        <w:rPr>
          <w:i/>
        </w:rPr>
        <w:t>Druhých analytik</w:t>
      </w:r>
      <w:r>
        <w:t>. Brilantní obhajobou Averroesova konceptu „meta</w:t>
      </w:r>
      <w:r>
        <w:noBreakHyphen/>
        <w:t xml:space="preserve">fyziky“ byla mimo jiné zdůvodněna základní teze prvního averroismu: </w:t>
      </w:r>
      <w:r w:rsidRPr="00273106">
        <w:t>člověk existuje pouze v jedné substanci a p</w:t>
      </w:r>
      <w:r>
        <w:t xml:space="preserve">luralita substancí je vyloučena. </w:t>
      </w:r>
      <w:r w:rsidRPr="00273106">
        <w:t>Druhý krok Sigerovy fenomenologie poznání je neméně závažný</w:t>
      </w:r>
      <w:r>
        <w:t>, protože umožňuje porozumět jeho polemice</w:t>
      </w:r>
      <w:r w:rsidRPr="00273106">
        <w:t xml:space="preserve"> s eminentními představiteli prvního averroismu, Albertem a Akvinským.</w:t>
      </w:r>
      <w:r>
        <w:t xml:space="preserve"> </w:t>
      </w:r>
      <w:r w:rsidRPr="00273106">
        <w:t xml:space="preserve">Úvodní tázání </w:t>
      </w:r>
      <w:r>
        <w:t>zjistilo</w:t>
      </w:r>
      <w:r w:rsidRPr="00273106">
        <w:t xml:space="preserve">, co </w:t>
      </w:r>
      <w:r>
        <w:t>Aristoteles</w:t>
      </w:r>
      <w:r w:rsidRPr="00273106">
        <w:t xml:space="preserve"> mínil tezí, že intelekt k nám přichází zvnějšku. </w:t>
      </w:r>
      <w:r>
        <w:t>V</w:t>
      </w:r>
      <w:r w:rsidRPr="00273106">
        <w:t xml:space="preserve">ýše uvedený Aristotelův citát z díla </w:t>
      </w:r>
      <w:r w:rsidRPr="00273106">
        <w:rPr>
          <w:i/>
        </w:rPr>
        <w:t>De generatione animalium</w:t>
      </w:r>
      <w:r w:rsidRPr="00273106">
        <w:t xml:space="preserve"> </w:t>
      </w:r>
      <w:proofErr w:type="gramStart"/>
      <w:r w:rsidRPr="00273106">
        <w:t xml:space="preserve">II.3 </w:t>
      </w:r>
      <w:r>
        <w:t>popisuje</w:t>
      </w:r>
      <w:proofErr w:type="gramEnd"/>
      <w:r>
        <w:t xml:space="preserve"> akt </w:t>
      </w:r>
      <w:r w:rsidRPr="00273106">
        <w:t>první nedělitelné substance bytující jak tělesně, tak i duševně a intelektuálně skrze výkon individuální duše</w:t>
      </w:r>
      <w:r>
        <w:t xml:space="preserve"> </w:t>
      </w:r>
      <w:r w:rsidRPr="00273106">
        <w:t>(τῆς τοιαύτης ψυχῆς ἔργον</w:t>
      </w:r>
      <w:r>
        <w:t>,</w:t>
      </w:r>
      <w:r w:rsidRPr="004D0F17">
        <w:t xml:space="preserve"> </w:t>
      </w:r>
      <w:r w:rsidRPr="00273106">
        <w:t>736b12</w:t>
      </w:r>
      <w:r>
        <w:fldChar w:fldCharType="begin"/>
      </w:r>
      <w:r>
        <w:instrText xml:space="preserve"> XE "Aristoteles:</w:instrText>
      </w:r>
      <w:r w:rsidRPr="00273106">
        <w:rPr>
          <w:i/>
        </w:rPr>
        <w:instrText>De generatione animalium</w:instrText>
      </w:r>
      <w:r w:rsidRPr="00273106">
        <w:instrText xml:space="preserve"> </w:instrText>
      </w:r>
      <w:r w:rsidRPr="00FE3B5D">
        <w:instrText>736b12</w:instrText>
      </w:r>
      <w:r>
        <w:instrText xml:space="preserve">" </w:instrText>
      </w:r>
      <w:r>
        <w:fldChar w:fldCharType="end"/>
      </w:r>
      <w:r w:rsidRPr="00273106">
        <w:t>)</w:t>
      </w:r>
      <w:r>
        <w:t>. Citovaný Aristotelův spis ukázal, že poznání duše a intelektu začíná na úrovni tělesného aktu života</w:t>
      </w:r>
      <w:r w:rsidRPr="00273106">
        <w:t xml:space="preserve"> (ἐνέργεια σωματική), čili v rámci </w:t>
      </w:r>
      <w:r>
        <w:t xml:space="preserve">kauzální aktivity </w:t>
      </w:r>
      <w:r w:rsidRPr="00273106">
        <w:t>první nedělitelné substance.</w:t>
      </w:r>
      <w:r w:rsidRPr="004454B5">
        <w:t xml:space="preserve"> </w:t>
      </w:r>
      <w:r>
        <w:t xml:space="preserve">Nyní je třeba prozkoumat </w:t>
      </w:r>
      <w:r w:rsidRPr="00273106">
        <w:t xml:space="preserve">zvláštní povahu intelektuálního aktu </w:t>
      </w:r>
      <w:r>
        <w:t xml:space="preserve">z </w:t>
      </w:r>
      <w:r w:rsidRPr="00273106">
        <w:t>výkonu existence</w:t>
      </w:r>
      <w:r>
        <w:t xml:space="preserve"> v modu existenciální ipseity, a ne objektivní identity, což je typická averroistická pozice moderny. </w:t>
      </w:r>
      <w:r w:rsidRPr="00273106">
        <w:t>Obhájená nematerialita a neproměnnost intelektu (</w:t>
      </w:r>
      <w:r w:rsidRPr="08484B11">
        <w:t>QIIIDA</w:t>
      </w:r>
      <w:r>
        <w:t xml:space="preserve">, </w:t>
      </w:r>
      <w:r w:rsidRPr="00273106">
        <w:t>qq. 2, 3) se vztahuje k externě danému intelektu (</w:t>
      </w:r>
      <w:r w:rsidRPr="00273106">
        <w:rPr>
          <w:i/>
        </w:rPr>
        <w:t>ab extrinseco</w:t>
      </w:r>
      <w:r w:rsidRPr="00273106">
        <w:t>), který je reálně zakoušený</w:t>
      </w:r>
      <w:r>
        <w:t xml:space="preserve"> v</w:t>
      </w:r>
      <w:r w:rsidR="00283DCC">
        <w:t xml:space="preserve"> osobní </w:t>
      </w:r>
      <w:r>
        <w:t>existenci</w:t>
      </w:r>
      <w:r w:rsidRPr="00273106">
        <w:t>.</w:t>
      </w:r>
      <w:r>
        <w:t xml:space="preserve"> Čtvrtá kvestie </w:t>
      </w:r>
      <w:r w:rsidR="000B0B10">
        <w:t xml:space="preserve">QIIIDA </w:t>
      </w:r>
      <w:r w:rsidRPr="00273106">
        <w:t xml:space="preserve">přidává k prvnímu určení intelektu </w:t>
      </w:r>
      <w:r>
        <w:t xml:space="preserve">zvnějšku </w:t>
      </w:r>
      <w:r w:rsidRPr="00273106">
        <w:t>další fenomenologický princip zkoumání vzatý přímo z CMDA.</w:t>
      </w:r>
      <w:r w:rsidRPr="000E6E9B">
        <w:rPr>
          <w:szCs w:val="16"/>
        </w:rPr>
        <w:t xml:space="preserve"> </w:t>
      </w:r>
      <w:r>
        <w:rPr>
          <w:szCs w:val="16"/>
        </w:rPr>
        <w:t xml:space="preserve">Hermeneutické </w:t>
      </w:r>
      <w:r>
        <w:t>„jak“ (</w:t>
      </w:r>
      <w:r w:rsidRPr="00AD1E93">
        <w:rPr>
          <w:i/>
        </w:rPr>
        <w:t>Wie</w:t>
      </w:r>
      <w:r>
        <w:rPr>
          <w:i/>
        </w:rPr>
        <w:fldChar w:fldCharType="begin"/>
      </w:r>
      <w:r>
        <w:instrText xml:space="preserve"> XE "</w:instrText>
      </w:r>
      <w:r w:rsidRPr="00EE51A7">
        <w:instrText xml:space="preserve">hermeneutické </w:instrText>
      </w:r>
      <w:r w:rsidRPr="00A02FE1">
        <w:rPr>
          <w:i/>
        </w:rPr>
        <w:instrText>Wie:</w:instrText>
      </w:r>
      <w:r w:rsidRPr="00EE51A7">
        <w:instrText>Siger</w:instrText>
      </w:r>
      <w:r>
        <w:instrText xml:space="preserve">" </w:instrText>
      </w:r>
      <w:r>
        <w:rPr>
          <w:i/>
        </w:rPr>
        <w:fldChar w:fldCharType="end"/>
      </w:r>
      <w:r>
        <w:t>) poznáváme v aktuálním výkonu existence dané v první osobě, se stává pro Sigera základní otázkou.</w:t>
      </w:r>
      <w:r w:rsidRPr="00B34ECC">
        <w:t xml:space="preserve"> </w:t>
      </w:r>
      <w:r w:rsidRPr="00273106">
        <w:t xml:space="preserve">Fenomenologicky dané pořadí zkoumání </w:t>
      </w:r>
      <w:r>
        <w:t xml:space="preserve">v rámci metafyziky kauzálně působící první substance </w:t>
      </w:r>
      <w:r w:rsidRPr="00273106">
        <w:t>je pro</w:t>
      </w:r>
      <w:r>
        <w:t xml:space="preserve"> Aristotela a Averroes</w:t>
      </w:r>
      <w:r w:rsidRPr="00273106">
        <w:t>e naprosto zásadní a tím i pro Sigera</w:t>
      </w:r>
      <w:r>
        <w:t xml:space="preserve"> (</w:t>
      </w:r>
      <w:r w:rsidRPr="003F03BA">
        <w:rPr>
          <w:i/>
        </w:rPr>
        <w:t>ecce ratio quae potuit Aristotelem movere</w:t>
      </w:r>
      <w:r>
        <w:t>;</w:t>
      </w:r>
      <w:r w:rsidRPr="0039592C">
        <w:rPr>
          <w:i/>
        </w:rPr>
        <w:t xml:space="preserve"> </w:t>
      </w:r>
      <w:r w:rsidRPr="088D23AD">
        <w:t>QIIIDA</w:t>
      </w:r>
      <w:r>
        <w:t xml:space="preserve">, </w:t>
      </w:r>
      <w:r w:rsidRPr="000D3910">
        <w:t>q. 4,</w:t>
      </w:r>
      <w:r>
        <w:rPr>
          <w:i/>
        </w:rPr>
        <w:t xml:space="preserve"> </w:t>
      </w:r>
      <w:r>
        <w:t>p. 12.67</w:t>
      </w:r>
      <w:r>
        <w:fldChar w:fldCharType="begin"/>
      </w:r>
      <w:r>
        <w:instrText xml:space="preserve"> XE "Siger:</w:instrText>
      </w:r>
      <w:r>
        <w:rPr>
          <w:i/>
        </w:rPr>
        <w:instrText>Quaestiones in tertium D</w:instrText>
      </w:r>
      <w:r w:rsidRPr="00064C48">
        <w:rPr>
          <w:i/>
        </w:rPr>
        <w:instrText>e anima</w:instrText>
      </w:r>
      <w:r>
        <w:instrText xml:space="preserve"> </w:instrText>
      </w:r>
      <w:r w:rsidRPr="00064C48">
        <w:instrText>12.67</w:instrText>
      </w:r>
      <w:r>
        <w:instrText xml:space="preserve">" </w:instrText>
      </w:r>
      <w:r>
        <w:fldChar w:fldCharType="end"/>
      </w:r>
      <w:r>
        <w:t>)</w:t>
      </w:r>
      <w:r w:rsidRPr="00273106">
        <w:t>.</w:t>
      </w:r>
      <w:r w:rsidRPr="00B56BCF">
        <w:t xml:space="preserve"> </w:t>
      </w:r>
      <w:r w:rsidRPr="00273106">
        <w:t>Čtvrtá kvestie řeší otázku, zda je lidský intelekt smyslově-materiální povahy (</w:t>
      </w:r>
      <w:r w:rsidRPr="00273106">
        <w:rPr>
          <w:i/>
        </w:rPr>
        <w:t>si est generabilis</w:t>
      </w:r>
      <w:r>
        <w:rPr>
          <w:i/>
        </w:rPr>
        <w:t>,</w:t>
      </w:r>
      <w:r>
        <w:t xml:space="preserve"> p. 12.70</w:t>
      </w:r>
      <w:r>
        <w:fldChar w:fldCharType="begin"/>
      </w:r>
      <w:r>
        <w:instrText xml:space="preserve"> XE "Siger:</w:instrText>
      </w:r>
      <w:r>
        <w:rPr>
          <w:i/>
        </w:rPr>
        <w:instrText>Quaestiones in tertium D</w:instrText>
      </w:r>
      <w:r w:rsidRPr="00064C48">
        <w:rPr>
          <w:i/>
        </w:rPr>
        <w:instrText>e anima</w:instrText>
      </w:r>
      <w:r>
        <w:instrText xml:space="preserve"> 12.70" </w:instrText>
      </w:r>
      <w:r>
        <w:fldChar w:fldCharType="end"/>
      </w:r>
      <w:r w:rsidRPr="00273106">
        <w:t>).</w:t>
      </w:r>
      <w:r>
        <w:t xml:space="preserve"> </w:t>
      </w:r>
      <w:r w:rsidRPr="00273106">
        <w:t>To tvrdil Alexander</w:t>
      </w:r>
      <w:r>
        <w:t xml:space="preserve"> a po něm moderní a postmoderní alexandrovci</w:t>
      </w:r>
      <w:r>
        <w:fldChar w:fldCharType="begin"/>
      </w:r>
      <w:r>
        <w:instrText xml:space="preserve"> XE "alexandrovci" </w:instrText>
      </w:r>
      <w:r>
        <w:fldChar w:fldCharType="end"/>
      </w:r>
      <w:r>
        <w:t xml:space="preserve">. </w:t>
      </w:r>
      <w:r w:rsidR="00356D90">
        <w:t xml:space="preserve">Ti definovali </w:t>
      </w:r>
      <w:r w:rsidRPr="08EB019D">
        <w:rPr>
          <w:i/>
        </w:rPr>
        <w:t>intellectus materialis</w:t>
      </w:r>
      <w:r>
        <w:t xml:space="preserve"> vázaný na smysly a pak </w:t>
      </w:r>
      <w:r>
        <w:lastRenderedPageBreak/>
        <w:t xml:space="preserve">oddělili nemateriální složku intelektu mimo </w:t>
      </w:r>
      <w:r w:rsidR="00356D90">
        <w:t>moderní individum</w:t>
      </w:r>
      <w:r>
        <w:t xml:space="preserve">, kterou spojili s tělem v modu </w:t>
      </w:r>
      <w:r w:rsidRPr="08665074">
        <w:rPr>
          <w:i/>
        </w:rPr>
        <w:t>copulatio</w:t>
      </w:r>
      <w:r>
        <w:t xml:space="preserve">. </w:t>
      </w:r>
      <w:r w:rsidR="00CD654A">
        <w:t>Siger po vzoru CMDA t</w:t>
      </w:r>
      <w:r>
        <w:t xml:space="preserve">oto řešení </w:t>
      </w:r>
      <w:r w:rsidR="00CD654A">
        <w:t>zásadně odmítl</w:t>
      </w:r>
      <w:r w:rsidR="00A71C3C">
        <w:t xml:space="preserve"> a d</w:t>
      </w:r>
      <w:r>
        <w:t xml:space="preserve">rží s Aristotelem nematerialitu lidského intelektu v modu </w:t>
      </w:r>
      <w:r w:rsidRPr="080212BD">
        <w:rPr>
          <w:i/>
        </w:rPr>
        <w:t>ingenerabilis</w:t>
      </w:r>
      <w:r>
        <w:t>, který přichází k animálním schopnostem duše zvnějšku</w:t>
      </w:r>
      <w:r w:rsidRPr="00273106">
        <w:t>.</w:t>
      </w:r>
      <w:r>
        <w:t xml:space="preserve"> </w:t>
      </w:r>
      <w:r w:rsidRPr="00273106">
        <w:t>Intelektuální složka duše nemů</w:t>
      </w:r>
      <w:r>
        <w:t xml:space="preserve">že mít stejný princip poznání </w:t>
      </w:r>
      <w:r w:rsidRPr="00273106">
        <w:t>jako smysl</w:t>
      </w:r>
      <w:r>
        <w:t xml:space="preserve">y, protože intelekt je </w:t>
      </w:r>
      <w:r w:rsidRPr="000C118A">
        <w:rPr>
          <w:i/>
        </w:rPr>
        <w:t>inmixtus</w:t>
      </w:r>
      <w:r>
        <w:rPr>
          <w:i/>
        </w:rPr>
        <w:fldChar w:fldCharType="begin"/>
      </w:r>
      <w:r>
        <w:instrText xml:space="preserve"> XE "intelekt:</w:instrText>
      </w:r>
      <w:r w:rsidRPr="000A52FB">
        <w:rPr>
          <w:i/>
        </w:rPr>
        <w:instrText>inmixtus</w:instrText>
      </w:r>
      <w:r>
        <w:instrText xml:space="preserve">" </w:instrText>
      </w:r>
      <w:r>
        <w:rPr>
          <w:i/>
        </w:rPr>
        <w:fldChar w:fldCharType="end"/>
      </w:r>
      <w:r>
        <w:t xml:space="preserve"> a je daný </w:t>
      </w:r>
      <w:r w:rsidRPr="000C118A">
        <w:rPr>
          <w:i/>
        </w:rPr>
        <w:t>extrinsece</w:t>
      </w:r>
      <w:r>
        <w:t xml:space="preserve"> vzhledem ke smyslovému poznání</w:t>
      </w:r>
      <w:r w:rsidRPr="00273106">
        <w:t>.</w:t>
      </w:r>
      <w:r>
        <w:t xml:space="preserve"> Ale proti dualismu moderních alexandrovců je třeba najít původní jednotu intelektu tak, aby vyhovovala vědeckým nárokům </w:t>
      </w:r>
      <w:r w:rsidRPr="08BF54E1">
        <w:rPr>
          <w:i/>
        </w:rPr>
        <w:t>Druhých analytik</w:t>
      </w:r>
      <w:r w:rsidR="00E55C80">
        <w:t>. S</w:t>
      </w:r>
      <w:r>
        <w:t xml:space="preserve">třední člen </w:t>
      </w:r>
      <w:r w:rsidR="00E55C80">
        <w:t xml:space="preserve">deduktivního syllogismu musí obsahovat </w:t>
      </w:r>
      <w:r>
        <w:t>kauzalitu první</w:t>
      </w:r>
      <w:r w:rsidR="00E55C80">
        <w:t>ch substancí</w:t>
      </w:r>
      <w:r>
        <w:t xml:space="preserve">. Postup </w:t>
      </w:r>
      <w:r w:rsidR="003C7DBE">
        <w:t xml:space="preserve">QIIIDA </w:t>
      </w:r>
      <w:r>
        <w:t>v otázce poznání světa je striktně anti</w:t>
      </w:r>
      <w:r>
        <w:noBreakHyphen/>
        <w:t>karteziánský. Siger zásadně věří smyslům, protože intelekt je aktualizován pouze skrze smyslové poznání. První modernista Rufus nevěří „neposlušné materii“</w:t>
      </w:r>
      <w:r w:rsidR="080D5A38">
        <w:t xml:space="preserve"> </w:t>
      </w:r>
      <w:r w:rsidR="080D5A38" w:rsidRPr="00273106">
        <w:t>(</w:t>
      </w:r>
      <w:r w:rsidR="080D5A38">
        <w:rPr>
          <w:i/>
        </w:rPr>
        <w:t>inoboedientia materiae</w:t>
      </w:r>
      <w:r w:rsidR="0826500C">
        <w:rPr>
          <w:i/>
        </w:rPr>
        <w:fldChar w:fldCharType="begin"/>
      </w:r>
      <w:r w:rsidR="0826500C">
        <w:instrText xml:space="preserve"> XE "</w:instrText>
      </w:r>
      <w:r w:rsidR="0826500C" w:rsidRPr="08057977">
        <w:rPr>
          <w:i/>
        </w:rPr>
        <w:instrText>inoboedientia materiae</w:instrText>
      </w:r>
      <w:r w:rsidR="0826500C">
        <w:instrText xml:space="preserve">" </w:instrText>
      </w:r>
      <w:r w:rsidR="0826500C">
        <w:rPr>
          <w:i/>
        </w:rPr>
        <w:fldChar w:fldCharType="end"/>
      </w:r>
      <w:r w:rsidR="080D5A38">
        <w:rPr>
          <w:i/>
        </w:rPr>
        <w:t xml:space="preserve">; </w:t>
      </w:r>
      <w:r w:rsidR="080D5A38">
        <w:t>OBJ II, kap. 3</w:t>
      </w:r>
      <w:r w:rsidR="080D5A38" w:rsidRPr="00273106">
        <w:t>.3.2)</w:t>
      </w:r>
      <w:r>
        <w:t>, což zopakují postmoderní Descartes a Husserl. Sigerova meditace o způsobu poznání postupu</w:t>
      </w:r>
      <w:r w:rsidR="00EA4816">
        <w:t>je přesně opačně než avicennisté</w:t>
      </w:r>
      <w:r>
        <w:t>. Mod</w:t>
      </w:r>
      <w:r w:rsidR="007718B2">
        <w:t xml:space="preserve">erna nahlíží myšlení jako esenciální aktivitu, která </w:t>
      </w:r>
      <w:r>
        <w:t>stojí mimo kauzalitu první</w:t>
      </w:r>
      <w:r w:rsidR="007718B2">
        <w:t>ch substancí</w:t>
      </w:r>
      <w:r w:rsidRPr="00273106">
        <w:t xml:space="preserve">. </w:t>
      </w:r>
      <w:r w:rsidR="000B3AFC" w:rsidRPr="000B3AFC">
        <w:t xml:space="preserve">Takto mylně pojatý intelekt je objektivně </w:t>
      </w:r>
      <w:r w:rsidR="000B3AFC">
        <w:t xml:space="preserve">přidán k tělu zvějšku. Tento dualismus určuje cestu </w:t>
      </w:r>
      <w:r w:rsidR="000B3AFC" w:rsidRPr="000B3AFC">
        <w:rPr>
          <w:i/>
        </w:rPr>
        <w:t>Oxfordian Fallacy</w:t>
      </w:r>
      <w:r w:rsidR="000B3AFC">
        <w:t xml:space="preserve"> a </w:t>
      </w:r>
      <w:r w:rsidR="000B3AFC" w:rsidRPr="000B3AFC">
        <w:t>končí</w:t>
      </w:r>
      <w:r w:rsidR="00ED2204">
        <w:t xml:space="preserve"> karteziánským dualismem osoby. Úvod Sigerova spisu naopak potvrdil</w:t>
      </w:r>
      <w:r>
        <w:t>, že poznání začíná u smyslů a je nedělitelným výkonem osoby. Proto neexistuje přímý náhled na podstatu duše, protože ta je v čistém stavu nepoznatelná sama o sobě</w:t>
      </w:r>
      <w:r>
        <w:rPr>
          <w:i/>
        </w:rPr>
        <w:fldChar w:fldCharType="begin"/>
      </w:r>
      <w:r>
        <w:instrText xml:space="preserve"> XE "vidění:eidetické" </w:instrText>
      </w:r>
      <w:r>
        <w:rPr>
          <w:i/>
        </w:rPr>
        <w:fldChar w:fldCharType="end"/>
      </w:r>
      <w:r>
        <w:t>. Navíc platí, že pravdivý obecný poznatek je</w:t>
      </w:r>
      <w:r w:rsidR="00B6193C">
        <w:t xml:space="preserve"> dán skrze </w:t>
      </w:r>
      <w:r>
        <w:t>vědeck</w:t>
      </w:r>
      <w:r w:rsidR="00B6193C">
        <w:t xml:space="preserve">ý důkaz postavný na </w:t>
      </w:r>
      <w:r>
        <w:t>reáln</w:t>
      </w:r>
      <w:r w:rsidR="00B6193C">
        <w:t xml:space="preserve">é </w:t>
      </w:r>
      <w:r>
        <w:t>kauzalit</w:t>
      </w:r>
      <w:r w:rsidR="00B6193C">
        <w:t xml:space="preserve">ě </w:t>
      </w:r>
      <w:r>
        <w:t>prvních substancí</w:t>
      </w:r>
      <w:r w:rsidR="00B6193C">
        <w:t xml:space="preserve">. </w:t>
      </w:r>
      <w:r w:rsidR="00B6193C" w:rsidRPr="00B6193C">
        <w:t xml:space="preserve">Pro vědecký důkaz lidské duše musí být tato základní teze vědeckého postupu nekompromisně pravdivá. </w:t>
      </w:r>
      <w:r w:rsidR="00B6193C">
        <w:t>Filosofie vědecky zkoumá jedinou bytost</w:t>
      </w:r>
      <w:r w:rsidR="00B6193C" w:rsidRPr="00B6193C">
        <w:t>, kter</w:t>
      </w:r>
      <w:r w:rsidR="00B6193C">
        <w:t>á</w:t>
      </w:r>
      <w:r w:rsidR="00B6193C" w:rsidRPr="00B6193C">
        <w:t xml:space="preserve"> dělá</w:t>
      </w:r>
      <w:r w:rsidR="00B6193C">
        <w:t xml:space="preserve"> vědu; proto musí být zkoumání „</w:t>
      </w:r>
      <w:r w:rsidR="00B6193C" w:rsidRPr="00B6193C">
        <w:rPr>
          <w:i/>
        </w:rPr>
        <w:t>anima intellectiva</w:t>
      </w:r>
      <w:r w:rsidR="00B6193C">
        <w:t>“</w:t>
      </w:r>
      <w:r w:rsidR="00B6193C" w:rsidRPr="00B6193C">
        <w:t xml:space="preserve"> metodologicky absolutně platné. </w:t>
      </w:r>
      <w:r w:rsidRPr="00273106">
        <w:t xml:space="preserve">Modernisté </w:t>
      </w:r>
      <w:r>
        <w:t xml:space="preserve">a postmodernisté </w:t>
      </w:r>
      <w:r w:rsidRPr="00273106">
        <w:t xml:space="preserve">nazírající svět pod vlivem </w:t>
      </w:r>
      <w:r w:rsidRPr="00273106">
        <w:rPr>
          <w:i/>
        </w:rPr>
        <w:t>Oxfordian Fallacy</w:t>
      </w:r>
      <w:r w:rsidRPr="00273106">
        <w:t xml:space="preserve"> postupují přesně opačně</w:t>
      </w:r>
      <w:r>
        <w:t xml:space="preserve"> než Siger</w:t>
      </w:r>
      <w:r w:rsidRPr="00273106">
        <w:t>.</w:t>
      </w:r>
      <w:r>
        <w:t xml:space="preserve"> </w:t>
      </w:r>
      <w:r w:rsidR="00A361C0">
        <w:t>Moderní „věda“</w:t>
      </w:r>
      <w:r w:rsidR="00A361C0" w:rsidRPr="00A361C0">
        <w:t xml:space="preserve"> </w:t>
      </w:r>
      <w:r w:rsidR="00A361C0">
        <w:t xml:space="preserve">pozoruje své </w:t>
      </w:r>
      <w:r w:rsidR="00A361C0" w:rsidRPr="00A361C0">
        <w:t xml:space="preserve">vlastní </w:t>
      </w:r>
      <w:r w:rsidR="00A361C0" w:rsidRPr="00A361C0">
        <w:rPr>
          <w:i/>
        </w:rPr>
        <w:t>scibile</w:t>
      </w:r>
      <w:r w:rsidR="00A361C0">
        <w:t>, které</w:t>
      </w:r>
      <w:r w:rsidR="00A361C0" w:rsidRPr="00A361C0">
        <w:t xml:space="preserve"> ve skutečnosti neexistuje. Modernímu paranoidnímu subjektu to nevadí, protože </w:t>
      </w:r>
      <w:r w:rsidR="00803AD1">
        <w:t xml:space="preserve">modernista </w:t>
      </w:r>
      <w:r w:rsidR="00A361C0" w:rsidRPr="00A361C0">
        <w:t xml:space="preserve">věří pouze sám v sebe </w:t>
      </w:r>
      <w:r w:rsidR="00565A75">
        <w:t xml:space="preserve">jako základ poznání </w:t>
      </w:r>
      <w:r w:rsidR="00A361C0" w:rsidRPr="00A361C0">
        <w:t>(</w:t>
      </w:r>
      <w:r w:rsidR="00A361C0" w:rsidRPr="00A361C0">
        <w:rPr>
          <w:i/>
        </w:rPr>
        <w:t>Ge-Stell</w:t>
      </w:r>
      <w:r w:rsidR="00A361C0">
        <w:rPr>
          <w:i/>
        </w:rPr>
        <w:fldChar w:fldCharType="begin"/>
      </w:r>
      <w:r w:rsidR="00A361C0">
        <w:instrText xml:space="preserve"> XE "</w:instrText>
      </w:r>
      <w:r w:rsidR="00A361C0" w:rsidRPr="00587DE5">
        <w:rPr>
          <w:i/>
        </w:rPr>
        <w:instrText>Ge-Stell</w:instrText>
      </w:r>
      <w:r w:rsidR="00A361C0">
        <w:instrText xml:space="preserve">" </w:instrText>
      </w:r>
      <w:r w:rsidR="00A361C0">
        <w:rPr>
          <w:i/>
        </w:rPr>
        <w:fldChar w:fldCharType="end"/>
      </w:r>
      <w:r w:rsidR="00A361C0" w:rsidRPr="00A361C0">
        <w:t>). Siger ví, že moderna začíná spekulativně danou substancí duše (</w:t>
      </w:r>
      <w:r w:rsidR="00A361C0" w:rsidRPr="00A361C0">
        <w:rPr>
          <w:i/>
        </w:rPr>
        <w:t>scibile</w:t>
      </w:r>
      <w:r w:rsidR="00A361C0" w:rsidRPr="00A361C0">
        <w:t>), která je vložena do mytologické ontoteologie. V druhém kroku modernisté z tohoto pomyslného objektivního světa deduktivně odvozují intelekt jako hypost</w:t>
      </w:r>
      <w:r w:rsidR="00A361C0">
        <w:t>áz</w:t>
      </w:r>
      <w:r w:rsidR="00A361C0" w:rsidRPr="00A361C0">
        <w:t>ovanou vlastno</w:t>
      </w:r>
      <w:r w:rsidR="00FD27E2">
        <w:t>st, nebo dokonce jako substanci</w:t>
      </w:r>
      <w:r w:rsidR="00A361C0" w:rsidRPr="00A361C0">
        <w:t xml:space="preserve">. </w:t>
      </w:r>
      <w:r w:rsidR="00A361C0">
        <w:t>Moderní definice „</w:t>
      </w:r>
      <w:r w:rsidR="00A361C0" w:rsidRPr="00A361C0">
        <w:rPr>
          <w:i/>
        </w:rPr>
        <w:t>anima intellectiva</w:t>
      </w:r>
      <w:r w:rsidR="00A361C0">
        <w:t xml:space="preserve">“ je tedy naprosto paranoická, je postavena mimo klasický vědecký postup </w:t>
      </w:r>
      <w:r w:rsidR="00A361C0" w:rsidRPr="00A361C0">
        <w:rPr>
          <w:i/>
        </w:rPr>
        <w:t>Druhých Analytik</w:t>
      </w:r>
      <w:r w:rsidR="00A361C0">
        <w:t xml:space="preserve"> a tato kolosální hloupost zakládá moderní pojetí osoby jako schizo</w:t>
      </w:r>
      <w:r w:rsidR="0044564B">
        <w:t xml:space="preserve">frenického individua. </w:t>
      </w:r>
      <w:r>
        <w:t xml:space="preserve">Siger v historicky prvních </w:t>
      </w:r>
      <w:r w:rsidRPr="00273106">
        <w:lastRenderedPageBreak/>
        <w:t>meditací</w:t>
      </w:r>
      <w:r>
        <w:t>ch</w:t>
      </w:r>
      <w:r w:rsidRPr="00273106">
        <w:t xml:space="preserve"> </w:t>
      </w:r>
      <w:r>
        <w:t xml:space="preserve">o filosofii na latinském Západě </w:t>
      </w:r>
      <w:r w:rsidRPr="00273106">
        <w:t xml:space="preserve">zkoumá </w:t>
      </w:r>
      <w:r>
        <w:t xml:space="preserve">skutečné </w:t>
      </w:r>
      <w:r w:rsidR="00A60900">
        <w:t>„</w:t>
      </w:r>
      <w:r w:rsidRPr="00273106">
        <w:rPr>
          <w:i/>
        </w:rPr>
        <w:t>operatio</w:t>
      </w:r>
      <w:r w:rsidR="00A60900">
        <w:t>“</w:t>
      </w:r>
      <w:r>
        <w:rPr>
          <w:i/>
        </w:rPr>
        <w:fldChar w:fldCharType="begin"/>
      </w:r>
      <w:r>
        <w:instrText xml:space="preserve"> XE "intelekt:</w:instrText>
      </w:r>
      <w:r w:rsidRPr="001A4626">
        <w:rPr>
          <w:i/>
        </w:rPr>
        <w:instrText>operatio</w:instrText>
      </w:r>
      <w:r>
        <w:instrText xml:space="preserve">" </w:instrText>
      </w:r>
      <w:r>
        <w:rPr>
          <w:i/>
        </w:rPr>
        <w:fldChar w:fldCharType="end"/>
      </w:r>
      <w:r w:rsidRPr="00273106">
        <w:t xml:space="preserve"> intelektu</w:t>
      </w:r>
      <w:r>
        <w:t xml:space="preserve"> podle CMDA</w:t>
      </w:r>
      <w:r w:rsidRPr="00273106">
        <w:t>.</w:t>
      </w:r>
      <w:r>
        <w:t xml:space="preserve"> Akt intelektuálního poznání ukazuje, že hylemorfická osoba jako první substance má specifickou kauzalitu, která se týká činnosti intelektu. Vědecky postupující Siger po vzoru Averroesovy metafyziky nejprve h</w:t>
      </w:r>
      <w:r w:rsidRPr="00273106">
        <w:t xml:space="preserve">ledá </w:t>
      </w:r>
      <w:r>
        <w:t xml:space="preserve">základní </w:t>
      </w:r>
      <w:r w:rsidRPr="00273106">
        <w:t>dráhu náhledu</w:t>
      </w:r>
      <w:r>
        <w:t xml:space="preserve"> (</w:t>
      </w:r>
      <w:r w:rsidRPr="003B536E">
        <w:rPr>
          <w:i/>
        </w:rPr>
        <w:t>Vor</w:t>
      </w:r>
      <w:r w:rsidRPr="003B536E">
        <w:rPr>
          <w:i/>
        </w:rPr>
        <w:noBreakHyphen/>
        <w:t>blickbahn</w:t>
      </w:r>
      <w:r>
        <w:rPr>
          <w:i/>
        </w:rPr>
        <w:fldChar w:fldCharType="begin"/>
      </w:r>
      <w:r>
        <w:instrText xml:space="preserve"> XE "</w:instrText>
      </w:r>
      <w:r>
        <w:rPr>
          <w:i/>
        </w:rPr>
        <w:instrText>Vor-</w:instrText>
      </w:r>
      <w:r w:rsidRPr="000C66F2">
        <w:rPr>
          <w:i/>
        </w:rPr>
        <w:instrText>b</w:instrText>
      </w:r>
      <w:r w:rsidRPr="000C66F2">
        <w:rPr>
          <w:i/>
          <w:iCs/>
        </w:rPr>
        <w:instrText>lickbahn</w:instrText>
      </w:r>
      <w:r>
        <w:rPr>
          <w:i/>
          <w:iCs/>
        </w:rPr>
        <w:instrText>:</w:instrText>
      </w:r>
      <w:r w:rsidRPr="008E773C">
        <w:rPr>
          <w:iCs/>
        </w:rPr>
        <w:instrText>Siger</w:instrText>
      </w:r>
      <w:r>
        <w:instrText xml:space="preserve">" </w:instrText>
      </w:r>
      <w:r>
        <w:rPr>
          <w:i/>
        </w:rPr>
        <w:fldChar w:fldCharType="end"/>
      </w:r>
      <w:r>
        <w:t>)</w:t>
      </w:r>
      <w:r w:rsidRPr="00273106">
        <w:t>, v níž se dává celkový smysl jsoucna poznaného intelektem.</w:t>
      </w:r>
      <w:r>
        <w:t xml:space="preserve"> Výklad způsobu poznání sleduje stejnou metodiku a principy jako CMDA. Proto </w:t>
      </w:r>
      <w:r w:rsidRPr="00273106">
        <w:t xml:space="preserve">se </w:t>
      </w:r>
      <w:r>
        <w:t xml:space="preserve">Siger </w:t>
      </w:r>
      <w:r w:rsidRPr="00273106">
        <w:t xml:space="preserve">oddělil </w:t>
      </w:r>
      <w:r>
        <w:t xml:space="preserve">jak </w:t>
      </w:r>
      <w:r w:rsidRPr="00273106">
        <w:t xml:space="preserve">od dogmatické </w:t>
      </w:r>
      <w:r>
        <w:t xml:space="preserve">a filosofické </w:t>
      </w:r>
      <w:r w:rsidRPr="00273106">
        <w:t xml:space="preserve">mytologie </w:t>
      </w:r>
      <w:r w:rsidRPr="00B41838">
        <w:rPr>
          <w:i/>
        </w:rPr>
        <w:t>Modernorum</w:t>
      </w:r>
      <w:r>
        <w:t>, tak od prvního averroismu Alberta a Akvinského, kteří byli v otázce jednoty intelektu ovlivněni avicennismem Toledské školy</w:t>
      </w:r>
      <w:r>
        <w:fldChar w:fldCharType="begin"/>
      </w:r>
      <w:r>
        <w:instrText xml:space="preserve"> XE "</w:instrText>
      </w:r>
      <w:r w:rsidRPr="082565ED">
        <w:instrText>Toledská škola</w:instrText>
      </w:r>
      <w:r>
        <w:instrText xml:space="preserve">" </w:instrText>
      </w:r>
      <w:r>
        <w:fldChar w:fldCharType="end"/>
      </w:r>
      <w:r w:rsidR="0094791D">
        <w:t>.</w:t>
      </w:r>
    </w:p>
    <w:p w:rsidR="08163013" w:rsidRPr="00CC12F8" w:rsidRDefault="08163013" w:rsidP="00CC12F8">
      <w:pPr>
        <w:ind w:firstLine="397"/>
        <w:rPr>
          <w:iCs/>
        </w:rPr>
      </w:pPr>
      <w:r>
        <w:t>Čtvrtá kvestie stanovila</w:t>
      </w:r>
      <w:r w:rsidRPr="00273106">
        <w:t xml:space="preserve"> nové fenomenologi</w:t>
      </w:r>
      <w:r>
        <w:t>cké východisko, kterým osvětlila</w:t>
      </w:r>
      <w:r w:rsidRPr="00273106">
        <w:t xml:space="preserve"> průběh poznání.</w:t>
      </w:r>
      <w:r>
        <w:t xml:space="preserve"> Fenomenálně </w:t>
      </w:r>
      <w:r>
        <w:rPr>
          <w:szCs w:val="16"/>
        </w:rPr>
        <w:t xml:space="preserve">daný </w:t>
      </w:r>
      <w:r w:rsidRPr="00273106">
        <w:rPr>
          <w:szCs w:val="16"/>
        </w:rPr>
        <w:t xml:space="preserve">intelekt </w:t>
      </w:r>
      <w:r>
        <w:rPr>
          <w:szCs w:val="16"/>
        </w:rPr>
        <w:t xml:space="preserve">existuje v modu </w:t>
      </w:r>
      <w:r w:rsidRPr="004C6F37">
        <w:rPr>
          <w:i/>
          <w:szCs w:val="16"/>
        </w:rPr>
        <w:t>per prius</w:t>
      </w:r>
      <w:r>
        <w:rPr>
          <w:szCs w:val="16"/>
        </w:rPr>
        <w:t xml:space="preserve"> skrze pozorované a zakoušené činnosti duše. </w:t>
      </w:r>
      <w:r w:rsidRPr="00273106">
        <w:t xml:space="preserve">Brabantský magistr vychází z Aristotelem pozorovaného faktu, že podstata duše není hned zjevná (οὐδέν πω φανερόν, </w:t>
      </w:r>
      <w:r>
        <w:rPr>
          <w:i/>
        </w:rPr>
        <w:t>De anima</w:t>
      </w:r>
      <w:r w:rsidRPr="00273106">
        <w:t xml:space="preserve"> 413b25</w:t>
      </w:r>
      <w:r>
        <w:fldChar w:fldCharType="begin"/>
      </w:r>
      <w:r>
        <w:instrText xml:space="preserve"> XE "</w:instrText>
      </w:r>
      <w:r>
        <w:rPr>
          <w:i/>
        </w:rPr>
        <w:instrText>Aristoteles</w:instrText>
      </w:r>
      <w:r w:rsidRPr="00043415">
        <w:rPr>
          <w:i/>
        </w:rPr>
        <w:instrText>:De anima</w:instrText>
      </w:r>
      <w:r w:rsidRPr="00043415">
        <w:instrText xml:space="preserve"> 413b25</w:instrText>
      </w:r>
      <w:r>
        <w:instrText xml:space="preserve">" </w:instrText>
      </w:r>
      <w:r>
        <w:fldChar w:fldCharType="end"/>
      </w:r>
      <w:r w:rsidRPr="00273106">
        <w:t xml:space="preserve">). </w:t>
      </w:r>
      <w:r>
        <w:t xml:space="preserve">Averroes </w:t>
      </w:r>
      <w:r w:rsidR="00CC12F8">
        <w:t xml:space="preserve">v geniálním </w:t>
      </w:r>
      <w:r>
        <w:rPr>
          <w:szCs w:val="16"/>
        </w:rPr>
        <w:t>komentář</w:t>
      </w:r>
      <w:r w:rsidR="00CC12F8">
        <w:rPr>
          <w:szCs w:val="16"/>
        </w:rPr>
        <w:t xml:space="preserve">i CMDA </w:t>
      </w:r>
      <w:r>
        <w:fldChar w:fldCharType="begin"/>
      </w:r>
      <w:r>
        <w:instrText xml:space="preserve"> XE "</w:instrText>
      </w:r>
      <w:r>
        <w:rPr>
          <w:i/>
        </w:rPr>
        <w:instrText>Aristoteles</w:instrText>
      </w:r>
      <w:r w:rsidRPr="00043415">
        <w:rPr>
          <w:i/>
        </w:rPr>
        <w:instrText>:De anima</w:instrText>
      </w:r>
      <w:r>
        <w:instrText xml:space="preserve"> 439b13" </w:instrText>
      </w:r>
      <w:r>
        <w:fldChar w:fldCharType="end"/>
      </w:r>
      <w:r w:rsidR="00CC12F8">
        <w:t xml:space="preserve"> </w:t>
      </w:r>
      <w:r>
        <w:t xml:space="preserve">nově </w:t>
      </w:r>
      <w:r w:rsidRPr="00273106">
        <w:rPr>
          <w:szCs w:val="16"/>
        </w:rPr>
        <w:t xml:space="preserve">řeší </w:t>
      </w:r>
      <w:r w:rsidR="00CC12F8">
        <w:rPr>
          <w:szCs w:val="16"/>
        </w:rPr>
        <w:t xml:space="preserve">hermeneutický způsob, „jak“ </w:t>
      </w:r>
      <w:r w:rsidR="00CC12F8">
        <w:rPr>
          <w:iCs/>
        </w:rPr>
        <w:t>je dáno poznání v lidské duši podle základní otázky dané v </w:t>
      </w:r>
      <w:r w:rsidR="00CC12F8" w:rsidRPr="00CC12F8">
        <w:rPr>
          <w:i/>
          <w:iCs/>
        </w:rPr>
        <w:t>De anima</w:t>
      </w:r>
      <w:r w:rsidR="00CC12F8">
        <w:rPr>
          <w:iCs/>
        </w:rPr>
        <w:t xml:space="preserve"> (</w:t>
      </w:r>
      <w:r w:rsidR="00CC12F8" w:rsidRPr="00273106">
        <w:t xml:space="preserve">πῶς ποτὲ γίνεται τὸ νοεῖν, </w:t>
      </w:r>
      <w:r w:rsidR="00CC12F8">
        <w:rPr>
          <w:i/>
        </w:rPr>
        <w:t>De anima</w:t>
      </w:r>
      <w:r w:rsidR="00CC12F8" w:rsidRPr="00273106">
        <w:t xml:space="preserve"> 439a13</w:t>
      </w:r>
      <w:r w:rsidR="00CC12F8">
        <w:fldChar w:fldCharType="begin"/>
      </w:r>
      <w:r w:rsidR="00CC12F8">
        <w:instrText xml:space="preserve"> XE "</w:instrText>
      </w:r>
      <w:r w:rsidR="00CC12F8">
        <w:rPr>
          <w:i/>
        </w:rPr>
        <w:instrText>Aristoteles</w:instrText>
      </w:r>
      <w:r w:rsidR="00CC12F8" w:rsidRPr="00043415">
        <w:rPr>
          <w:i/>
        </w:rPr>
        <w:instrText>:De anima</w:instrText>
      </w:r>
      <w:r w:rsidR="00CC12F8">
        <w:instrText xml:space="preserve"> 439a13" </w:instrText>
      </w:r>
      <w:r w:rsidR="00CC12F8">
        <w:fldChar w:fldCharType="end"/>
      </w:r>
      <w:r w:rsidR="00CC12F8">
        <w:rPr>
          <w:iCs/>
        </w:rPr>
        <w:t xml:space="preserve">). </w:t>
      </w:r>
      <w:r w:rsidR="00CC12F8">
        <w:rPr>
          <w:szCs w:val="16"/>
        </w:rPr>
        <w:t>I</w:t>
      </w:r>
      <w:r>
        <w:rPr>
          <w:szCs w:val="16"/>
        </w:rPr>
        <w:t xml:space="preserve">ntelekt </w:t>
      </w:r>
      <w:r w:rsidR="00CC12F8">
        <w:rPr>
          <w:szCs w:val="16"/>
        </w:rPr>
        <w:t xml:space="preserve">je </w:t>
      </w:r>
      <w:r w:rsidRPr="00273106">
        <w:rPr>
          <w:szCs w:val="16"/>
        </w:rPr>
        <w:t xml:space="preserve">separovaný </w:t>
      </w:r>
      <w:r w:rsidRPr="00273106">
        <w:t>od smyslových vlastností duše, které jsou lokalizovány v různých tělesných orgánech.</w:t>
      </w:r>
      <w:r>
        <w:t xml:space="preserve"> Metafyzika postavená na reálných účincích první substance </w:t>
      </w:r>
      <w:r w:rsidRPr="00273106">
        <w:t xml:space="preserve">vyšetřuje </w:t>
      </w:r>
      <w:r>
        <w:t xml:space="preserve">existenciální </w:t>
      </w:r>
      <w:r w:rsidR="00887D3A">
        <w:t>„</w:t>
      </w:r>
      <w:r w:rsidRPr="00273106">
        <w:rPr>
          <w:i/>
        </w:rPr>
        <w:t>Wie</w:t>
      </w:r>
      <w:r w:rsidR="00887D3A">
        <w:t>“</w:t>
      </w:r>
      <w:r w:rsidRPr="00273106">
        <w:t xml:space="preserve"> </w:t>
      </w:r>
      <w:r>
        <w:rPr>
          <w:i/>
        </w:rPr>
        <w:fldChar w:fldCharType="begin"/>
      </w:r>
      <w:r>
        <w:instrText xml:space="preserve"> XE "hermeneutické </w:instrText>
      </w:r>
      <w:r w:rsidRPr="00DF689A">
        <w:rPr>
          <w:i/>
        </w:rPr>
        <w:instrText>Wie</w:instrText>
      </w:r>
      <w:r>
        <w:rPr>
          <w:i/>
        </w:rPr>
        <w:instrText>:</w:instrText>
      </w:r>
      <w:r w:rsidRPr="00D307E9">
        <w:instrText>Siger</w:instrText>
      </w:r>
      <w:r>
        <w:instrText xml:space="preserve">" </w:instrText>
      </w:r>
      <w:r>
        <w:rPr>
          <w:i/>
        </w:rPr>
        <w:fldChar w:fldCharType="end"/>
      </w:r>
      <w:r w:rsidRPr="00273106">
        <w:t>určující fenomenologickou a her</w:t>
      </w:r>
      <w:r w:rsidR="008D7D93">
        <w:t>meneutickou perspektivu náhledu</w:t>
      </w:r>
      <w:r w:rsidR="00E14315">
        <w:t xml:space="preserve"> na zkoumání duše</w:t>
      </w:r>
      <w:r>
        <w:t xml:space="preserve">. Sigerův výklad sleduje klíčovou argumentaci </w:t>
      </w:r>
      <w:r w:rsidRPr="00273106">
        <w:t>CMDA</w:t>
      </w:r>
      <w:r>
        <w:t xml:space="preserve"> </w:t>
      </w:r>
      <w:proofErr w:type="gramStart"/>
      <w:r>
        <w:t>III.1</w:t>
      </w:r>
      <w:r w:rsidRPr="00273106">
        <w:t>, kde</w:t>
      </w:r>
      <w:proofErr w:type="gramEnd"/>
      <w:r w:rsidRPr="00273106">
        <w:t xml:space="preserve"> je tematizováno </w:t>
      </w:r>
      <w:r>
        <w:t xml:space="preserve">fundamentální </w:t>
      </w:r>
      <w:r w:rsidRPr="00273106">
        <w:t>hermeneutické „</w:t>
      </w:r>
      <w:r>
        <w:t>jak</w:t>
      </w:r>
      <w:r w:rsidRPr="00273106">
        <w:t xml:space="preserve">“ (πῶς, </w:t>
      </w:r>
      <w:r w:rsidRPr="00273106">
        <w:rPr>
          <w:i/>
          <w:iCs/>
        </w:rPr>
        <w:t>quomodo</w:t>
      </w:r>
      <w:r w:rsidRPr="00273106">
        <w:t>)</w:t>
      </w:r>
      <w:r w:rsidR="007B1755">
        <w:t>.</w:t>
      </w:r>
      <w:r w:rsidR="007B1755">
        <w:rPr>
          <w:rStyle w:val="Znakapoznpodarou"/>
        </w:rPr>
        <w:footnoteReference w:id="213"/>
      </w:r>
      <w:r w:rsidR="007B1755">
        <w:t xml:space="preserve"> Tato otázka </w:t>
      </w:r>
      <w:r>
        <w:t>určuje Averroesův metodický postup při poznání intelektu</w:t>
      </w:r>
      <w:r w:rsidRPr="00273106">
        <w:t>.</w:t>
      </w:r>
      <w:r>
        <w:t xml:space="preserve"> Toto místo oddělilo originální text </w:t>
      </w:r>
      <w:r w:rsidRPr="08D53C8F">
        <w:rPr>
          <w:i/>
        </w:rPr>
        <w:t>De anima</w:t>
      </w:r>
      <w:r>
        <w:t xml:space="preserve"> od geniálního výkladu Komentátora</w:t>
      </w:r>
      <w:r w:rsidR="0076103E">
        <w:t xml:space="preserve">. To </w:t>
      </w:r>
      <w:r>
        <w:t xml:space="preserve">odmítl </w:t>
      </w:r>
      <w:r w:rsidR="0076103E">
        <w:t xml:space="preserve">uznat </w:t>
      </w:r>
      <w:r>
        <w:t>Akvinský</w:t>
      </w:r>
      <w:r w:rsidR="0076103E">
        <w:t>, jak uvidíme dále</w:t>
      </w:r>
      <w:r>
        <w:t xml:space="preserve">. </w:t>
      </w:r>
      <w:r w:rsidRPr="00273106">
        <w:t xml:space="preserve">Tímto tázáním začíná </w:t>
      </w:r>
      <w:r>
        <w:t>CMDA</w:t>
      </w:r>
      <w:r w:rsidRPr="084A532F">
        <w:t xml:space="preserve"> </w:t>
      </w:r>
      <w:r w:rsidRPr="00273106">
        <w:t xml:space="preserve">analýzu reálného průběhu poznání v </w:t>
      </w:r>
      <w:r>
        <w:t xml:space="preserve">úvodu komentáře </w:t>
      </w:r>
      <w:r w:rsidR="00E67F3D">
        <w:t xml:space="preserve">k DA III, kde je centrální </w:t>
      </w:r>
      <w:r w:rsidRPr="00273106">
        <w:t xml:space="preserve">rozbor </w:t>
      </w:r>
      <w:r w:rsidR="00E67F3D">
        <w:t xml:space="preserve">intelektu jako </w:t>
      </w:r>
      <w:r>
        <w:rPr>
          <w:i/>
        </w:rPr>
        <w:t xml:space="preserve">tertium </w:t>
      </w:r>
      <w:r w:rsidR="00962190">
        <w:rPr>
          <w:i/>
        </w:rPr>
        <w:t>genus</w:t>
      </w:r>
      <w:r>
        <w:rPr>
          <w:i/>
        </w:rPr>
        <w:fldChar w:fldCharType="begin"/>
      </w:r>
      <w:r>
        <w:instrText xml:space="preserve"> XE "</w:instrText>
      </w:r>
      <w:r w:rsidRPr="00D80F84">
        <w:rPr>
          <w:i/>
        </w:rPr>
        <w:instrText>tertium genus</w:instrText>
      </w:r>
      <w:r>
        <w:instrText xml:space="preserve">" </w:instrText>
      </w:r>
      <w:r>
        <w:rPr>
          <w:i/>
        </w:rPr>
        <w:fldChar w:fldCharType="end"/>
      </w:r>
      <w:r w:rsidRPr="00273106">
        <w:rPr>
          <w:szCs w:val="16"/>
        </w:rPr>
        <w:t xml:space="preserve"> (</w:t>
      </w:r>
      <w:r w:rsidR="08331488">
        <w:rPr>
          <w:szCs w:val="16"/>
        </w:rPr>
        <w:t xml:space="preserve">OBJ I, </w:t>
      </w:r>
      <w:r w:rsidRPr="00273106">
        <w:rPr>
          <w:szCs w:val="16"/>
        </w:rPr>
        <w:t>kap. 2.4.3)</w:t>
      </w:r>
      <w:r>
        <w:rPr>
          <w:szCs w:val="16"/>
        </w:rPr>
        <w:t xml:space="preserve">. </w:t>
      </w:r>
      <w:r>
        <w:t xml:space="preserve">Averroesovo </w:t>
      </w:r>
      <w:r>
        <w:rPr>
          <w:szCs w:val="16"/>
        </w:rPr>
        <w:t xml:space="preserve">tázání zopakoval </w:t>
      </w:r>
      <w:r>
        <w:t>Siger a po něm až Heidegger</w:t>
      </w:r>
      <w:r w:rsidRPr="00273106">
        <w:rPr>
          <w:szCs w:val="16"/>
        </w:rPr>
        <w:t xml:space="preserve">. </w:t>
      </w:r>
      <w:r>
        <w:t>Východiskem zkoumání intelektu se stává citovaná část CMDA</w:t>
      </w:r>
      <w:r w:rsidRPr="00DA1965">
        <w:t xml:space="preserve"> </w:t>
      </w:r>
      <w:proofErr w:type="gramStart"/>
      <w:r>
        <w:t>III.1, s jejíž</w:t>
      </w:r>
      <w:proofErr w:type="gramEnd"/>
      <w:r>
        <w:t xml:space="preserve"> pomocí se řeší </w:t>
      </w:r>
      <w:r>
        <w:lastRenderedPageBreak/>
        <w:t>podstata duše a intelektu.</w:t>
      </w:r>
      <w:r w:rsidRPr="088F0B66">
        <w:t xml:space="preserve"> </w:t>
      </w:r>
      <w:r w:rsidRPr="00273106">
        <w:t>Citace CMDA nastoluje zkoumání od účinků k příčinám a určuje celkový postup Sigerovy metafyziky</w:t>
      </w:r>
      <w:r>
        <w:t xml:space="preserve"> a výkladu poznání</w:t>
      </w:r>
      <w:r w:rsidRPr="00273106">
        <w:t>.</w:t>
      </w:r>
    </w:p>
    <w:p w:rsidR="08163013" w:rsidRPr="00384A0E" w:rsidRDefault="08163013" w:rsidP="08163013">
      <w:pPr>
        <w:pStyle w:val="Citace"/>
        <w:rPr>
          <w:noProof/>
          <w:lang w:val="cs-CZ"/>
        </w:rPr>
      </w:pPr>
      <w:r w:rsidRPr="00273106">
        <w:rPr>
          <w:noProof/>
          <w:lang w:val="cs-CZ"/>
        </w:rPr>
        <w:t>„</w:t>
      </w:r>
      <w:r>
        <w:rPr>
          <w:noProof/>
          <w:lang w:val="cs-CZ"/>
        </w:rPr>
        <w:t xml:space="preserve">Komentátor ve výkladu třetí knihy </w:t>
      </w:r>
      <w:r w:rsidRPr="00230846">
        <w:rPr>
          <w:i/>
          <w:noProof/>
          <w:lang w:val="cs-CZ"/>
        </w:rPr>
        <w:t>De anima</w:t>
      </w:r>
      <w:r>
        <w:rPr>
          <w:noProof/>
          <w:lang w:val="cs-CZ"/>
        </w:rPr>
        <w:t xml:space="preserve"> praví, že 'duši primárně poznáváme vzhledem k nám podle jejích aktivit, a nikoliv podle substance'</w:t>
      </w:r>
      <w:r w:rsidRPr="00273106">
        <w:rPr>
          <w:noProof/>
          <w:lang w:val="cs-CZ"/>
        </w:rPr>
        <w:t>.</w:t>
      </w:r>
      <w:r>
        <w:rPr>
          <w:noProof/>
          <w:lang w:val="cs-CZ"/>
        </w:rPr>
        <w:t xml:space="preserve"> Proto platí, že činnost intelektu nám umožňuje poznání substance duše (</w:t>
      </w:r>
      <w:r w:rsidRPr="084E4FE4">
        <w:rPr>
          <w:i/>
          <w:noProof/>
        </w:rPr>
        <w:t>actio intellectus facit nos scire substantiam eius</w:t>
      </w:r>
      <w:r>
        <w:rPr>
          <w:noProof/>
          <w:lang w:val="cs-CZ"/>
        </w:rPr>
        <w:t xml:space="preserve">). Tak je možné hledat odpověď na otázku, zda je duše stvořená nebo nestvořená.“ </w:t>
      </w:r>
      <w:r>
        <w:rPr>
          <w:rStyle w:val="Znakapoznpodarou"/>
        </w:rPr>
        <w:footnoteReference w:id="214"/>
      </w:r>
    </w:p>
    <w:p w:rsidR="00D75D2F" w:rsidRDefault="08163013" w:rsidP="08163013">
      <w:r w:rsidRPr="00273106">
        <w:t>Duši poznáváme skrze její činnosti (</w:t>
      </w:r>
      <w:r w:rsidRPr="00273106">
        <w:rPr>
          <w:i/>
        </w:rPr>
        <w:t>actio intellectus</w:t>
      </w:r>
      <w:r w:rsidRPr="00273106">
        <w:t xml:space="preserve">), protože jen ty jsou dány v řádu </w:t>
      </w:r>
      <w:r>
        <w:t>predikované kauzality</w:t>
      </w:r>
      <w:r w:rsidRPr="00273106">
        <w:t xml:space="preserve">. </w:t>
      </w:r>
      <w:r>
        <w:t xml:space="preserve">Poznání duše musí vyjít z celkové architektury výkonu duševních činností </w:t>
      </w:r>
      <w:r w:rsidRPr="00273106">
        <w:t>(</w:t>
      </w:r>
      <w:r w:rsidRPr="00273106">
        <w:rPr>
          <w:i/>
        </w:rPr>
        <w:t>scire actiones animae prius est apud nos</w:t>
      </w:r>
      <w:r>
        <w:rPr>
          <w:i/>
        </w:rPr>
        <w:fldChar w:fldCharType="begin"/>
      </w:r>
      <w:r>
        <w:instrText xml:space="preserve"> XE "</w:instrText>
      </w:r>
      <w:r w:rsidRPr="00F372AF">
        <w:instrText>intelekt:</w:instrText>
      </w:r>
      <w:r w:rsidRPr="005645BF">
        <w:rPr>
          <w:i/>
        </w:rPr>
        <w:instrText>operatio</w:instrText>
      </w:r>
      <w:r>
        <w:instrText xml:space="preserve">" </w:instrText>
      </w:r>
      <w:r>
        <w:rPr>
          <w:i/>
        </w:rPr>
        <w:fldChar w:fldCharType="end"/>
      </w:r>
      <w:r>
        <w:t>). S</w:t>
      </w:r>
      <w:r w:rsidRPr="00273106">
        <w:t>ekundárně z</w:t>
      </w:r>
      <w:r w:rsidR="083E5E71">
        <w:t xml:space="preserve"> těchto činností </w:t>
      </w:r>
      <w:r>
        <w:t xml:space="preserve">usuzujeme na podstatu duše pomocí vědeckého soudu. Díky prokázané a predikované kauzalitě duše je možné poznání duše vzhledem k její esenci </w:t>
      </w:r>
      <w:r w:rsidRPr="00273106">
        <w:t>(</w:t>
      </w:r>
      <w:r w:rsidRPr="00273106">
        <w:rPr>
          <w:i/>
        </w:rPr>
        <w:t>scire eius substantiam</w:t>
      </w:r>
      <w:r w:rsidRPr="00273106">
        <w:t xml:space="preserve">). Intelekt </w:t>
      </w:r>
      <w:r>
        <w:t xml:space="preserve">se </w:t>
      </w:r>
      <w:r w:rsidRPr="00273106">
        <w:t xml:space="preserve">projevuje </w:t>
      </w:r>
      <w:r w:rsidR="08A45C97">
        <w:t xml:space="preserve">skrze svou aktivitu </w:t>
      </w:r>
      <w:r w:rsidRPr="00273106">
        <w:t>a podle těchto účinků můžeme usuzovat na jeho podstatu</w:t>
      </w:r>
      <w:r>
        <w:t xml:space="preserve"> (</w:t>
      </w:r>
      <w:r w:rsidRPr="00273106">
        <w:rPr>
          <w:i/>
        </w:rPr>
        <w:t>actio intellectus facit nos scire substantiam eius</w:t>
      </w:r>
      <w:r>
        <w:t>)</w:t>
      </w:r>
      <w:r w:rsidRPr="00273106">
        <w:t xml:space="preserve">. Jsme schopni sami v sobě </w:t>
      </w:r>
      <w:r>
        <w:t xml:space="preserve">a tedy ve výkonu vlastní tělesné existence (a nikoliv augustiniánské nebo avicennovské sebereflexe) </w:t>
      </w:r>
      <w:r w:rsidRPr="00273106">
        <w:t xml:space="preserve">vykázat a poznat způsob myšlení. Pak můžeme jít od následků k příčinám, od </w:t>
      </w:r>
      <w:proofErr w:type="gramStart"/>
      <w:r>
        <w:t>empirii</w:t>
      </w:r>
      <w:proofErr w:type="gramEnd"/>
      <w:r>
        <w:t xml:space="preserve"> </w:t>
      </w:r>
      <w:r w:rsidRPr="00273106">
        <w:t xml:space="preserve">k metafyzice, a ptát se na bytostné určení intelektu </w:t>
      </w:r>
      <w:r>
        <w:t xml:space="preserve">vyjádřené obecným pojmem v pravdivém poznávacím soudu </w:t>
      </w:r>
      <w:r w:rsidRPr="00273106">
        <w:t>(</w:t>
      </w:r>
      <w:r w:rsidRPr="00273106">
        <w:rPr>
          <w:i/>
        </w:rPr>
        <w:t>scire eius substantiam</w:t>
      </w:r>
      <w:r w:rsidRPr="00273106">
        <w:t>).</w:t>
      </w:r>
      <w:r>
        <w:t xml:space="preserve"> Postup zkoumání se oddělil </w:t>
      </w:r>
      <w:r w:rsidRPr="00273106">
        <w:t>od objektivistické pozi</w:t>
      </w:r>
      <w:r>
        <w:t xml:space="preserve">ce </w:t>
      </w:r>
      <w:r w:rsidRPr="08CE3231">
        <w:rPr>
          <w:i/>
        </w:rPr>
        <w:t>Oxfordian Fallacy</w:t>
      </w:r>
      <w:r>
        <w:t xml:space="preserve">, která objektivně definovala </w:t>
      </w:r>
      <w:r w:rsidRPr="08B83D1B">
        <w:rPr>
          <w:i/>
        </w:rPr>
        <w:t>anima intell</w:t>
      </w:r>
      <w:r>
        <w:rPr>
          <w:i/>
        </w:rPr>
        <w:t>e</w:t>
      </w:r>
      <w:r w:rsidRPr="08B83D1B">
        <w:rPr>
          <w:i/>
        </w:rPr>
        <w:t>ctiva</w:t>
      </w:r>
      <w:r>
        <w:t xml:space="preserve"> jako esenci. Moderna pak z této esence dedukuje</w:t>
      </w:r>
      <w:r w:rsidRPr="08CE3231">
        <w:t xml:space="preserve"> vlastnosti intelektu</w:t>
      </w:r>
      <w:r w:rsidRPr="08B83D1B">
        <w:t xml:space="preserve"> </w:t>
      </w:r>
      <w:r>
        <w:t xml:space="preserve">v neoplatonském modu podle </w:t>
      </w:r>
      <w:r w:rsidRPr="08243221">
        <w:rPr>
          <w:i/>
        </w:rPr>
        <w:t>Liber de causis</w:t>
      </w:r>
      <w:r>
        <w:t>, kdy aktivita vyšší formy určuje nižší činnosti (</w:t>
      </w:r>
      <w:r w:rsidRPr="00273106">
        <w:rPr>
          <w:i/>
        </w:rPr>
        <w:t>operatio sequitur formam</w:t>
      </w:r>
      <w:r w:rsidRPr="08243221">
        <w:t>)</w:t>
      </w:r>
      <w:r w:rsidRPr="08CE3231">
        <w:t xml:space="preserve">. </w:t>
      </w:r>
      <w:r w:rsidR="00970010" w:rsidRPr="00970010">
        <w:t xml:space="preserve">Siger naopak vědecky zkoumá povahu intelektu podle </w:t>
      </w:r>
      <w:r w:rsidR="00970010" w:rsidRPr="00970010">
        <w:rPr>
          <w:i/>
        </w:rPr>
        <w:t>Druhých Analytik</w:t>
      </w:r>
      <w:r w:rsidR="00970010" w:rsidRPr="00970010">
        <w:t xml:space="preserve">. Účinky skryté duše jako příčina kauzality </w:t>
      </w:r>
      <w:r w:rsidR="00970010">
        <w:t xml:space="preserve">se dávají skrze </w:t>
      </w:r>
      <w:r w:rsidR="00970010" w:rsidRPr="00970010">
        <w:t xml:space="preserve">duševní </w:t>
      </w:r>
      <w:r w:rsidR="005659D0" w:rsidRPr="00970010">
        <w:t>č</w:t>
      </w:r>
      <w:r w:rsidR="005659D0">
        <w:t>innosti</w:t>
      </w:r>
      <w:r w:rsidR="00970010">
        <w:t xml:space="preserve"> podle klasického hesla „</w:t>
      </w:r>
      <w:r w:rsidR="00970010" w:rsidRPr="00970010">
        <w:rPr>
          <w:i/>
        </w:rPr>
        <w:t>operatio sequitur esse</w:t>
      </w:r>
      <w:r w:rsidR="00970010">
        <w:t>“</w:t>
      </w:r>
      <w:r w:rsidR="00970010" w:rsidRPr="00970010">
        <w:t xml:space="preserve">. </w:t>
      </w:r>
      <w:r>
        <w:t xml:space="preserve">Termín </w:t>
      </w:r>
      <w:r w:rsidR="00970010">
        <w:t>„</w:t>
      </w:r>
      <w:r w:rsidRPr="08F22FD9">
        <w:rPr>
          <w:i/>
        </w:rPr>
        <w:t>esse</w:t>
      </w:r>
      <w:r w:rsidR="00970010">
        <w:t>“</w:t>
      </w:r>
      <w:r>
        <w:t xml:space="preserve"> je třeba chápat nikoliv avicennisticky-objektivně v modu </w:t>
      </w:r>
      <w:r w:rsidRPr="082E3B5B">
        <w:rPr>
          <w:i/>
        </w:rPr>
        <w:t>ens inquantum ens</w:t>
      </w:r>
      <w:r>
        <w:t xml:space="preserve">, ale podle Averroesovy metafyziky substance </w:t>
      </w:r>
      <w:r w:rsidRPr="082E3B5B">
        <w:rPr>
          <w:i/>
        </w:rPr>
        <w:t>qua</w:t>
      </w:r>
      <w:r>
        <w:t xml:space="preserve"> substance</w:t>
      </w:r>
      <w:r>
        <w:fldChar w:fldCharType="begin"/>
      </w:r>
      <w:r>
        <w:instrText xml:space="preserve"> XE "</w:instrText>
      </w:r>
      <w:r w:rsidRPr="080632B1">
        <w:instrText xml:space="preserve">substance </w:instrText>
      </w:r>
      <w:r w:rsidRPr="080632B1">
        <w:rPr>
          <w:i/>
        </w:rPr>
        <w:instrText>qua</w:instrText>
      </w:r>
      <w:r w:rsidRPr="080632B1">
        <w:instrText xml:space="preserve"> substance</w:instrText>
      </w:r>
      <w:r>
        <w:instrText xml:space="preserve">" </w:instrText>
      </w:r>
      <w:r>
        <w:fldChar w:fldCharType="end"/>
      </w:r>
      <w:r>
        <w:t xml:space="preserve">. Siger není modernista typu Rufuse, Kilwardbyho a Bonaventury. </w:t>
      </w:r>
      <w:r w:rsidRPr="00273106">
        <w:t xml:space="preserve">Akvinský </w:t>
      </w:r>
      <w:r>
        <w:t xml:space="preserve">začal </w:t>
      </w:r>
      <w:r w:rsidRPr="00273106">
        <w:t xml:space="preserve">od zkoumání intelektu jako formy a </w:t>
      </w:r>
      <w:r>
        <w:t xml:space="preserve">šel </w:t>
      </w:r>
      <w:r w:rsidRPr="00273106">
        <w:t>k jeho účinkům</w:t>
      </w:r>
      <w:r w:rsidR="08D76162">
        <w:t xml:space="preserve"> (kap. 4</w:t>
      </w:r>
      <w:r>
        <w:t>.5.2)</w:t>
      </w:r>
      <w:r w:rsidRPr="00273106">
        <w:t>. A totéž lze uděl</w:t>
      </w:r>
      <w:r>
        <w:t xml:space="preserve">at i při definici duše a z takto definového hypostázovaného bytí pak lze dedukovat účinky. Ale to je podle Sigera chybný postup daný v rámci </w:t>
      </w:r>
      <w:r w:rsidRPr="00B102C3">
        <w:rPr>
          <w:i/>
        </w:rPr>
        <w:t>Oxfordian Fallacy</w:t>
      </w:r>
      <w:r>
        <w:rPr>
          <w:i/>
        </w:rPr>
        <w:fldChar w:fldCharType="begin"/>
      </w:r>
      <w:r>
        <w:instrText xml:space="preserve"> XE "</w:instrText>
      </w:r>
      <w:r w:rsidRPr="0015798D">
        <w:rPr>
          <w:i/>
        </w:rPr>
        <w:instrText>Oxfordian Fallacy:</w:instrText>
      </w:r>
      <w:r w:rsidRPr="00EE30F2">
        <w:instrText>Akvinský</w:instrText>
      </w:r>
      <w:r>
        <w:instrText xml:space="preserve">" </w:instrText>
      </w:r>
      <w:r>
        <w:rPr>
          <w:i/>
        </w:rPr>
        <w:fldChar w:fldCharType="end"/>
      </w:r>
      <w:r w:rsidRPr="00273106">
        <w:t xml:space="preserve">. Pak dostáváme </w:t>
      </w:r>
      <w:r>
        <w:t xml:space="preserve">pouze formální </w:t>
      </w:r>
      <w:r>
        <w:lastRenderedPageBreak/>
        <w:t xml:space="preserve">definici toho </w:t>
      </w:r>
      <w:r w:rsidRPr="00273106">
        <w:t>„co“ je intelekt</w:t>
      </w:r>
      <w:r w:rsidR="00B41742" w:rsidRPr="006C7A0F">
        <w:rPr>
          <w:i/>
        </w:rPr>
        <w:fldChar w:fldCharType="begin"/>
      </w:r>
      <w:r w:rsidR="00B41742" w:rsidRPr="006C7A0F">
        <w:instrText xml:space="preserve"> XE "intelekt:modus </w:instrText>
      </w:r>
      <w:r w:rsidR="00B41742" w:rsidRPr="006C7A0F">
        <w:rPr>
          <w:i/>
        </w:rPr>
        <w:instrText>qua</w:instrText>
      </w:r>
      <w:r w:rsidR="00B41742" w:rsidRPr="006C7A0F">
        <w:rPr>
          <w:i/>
          <w:vertAlign w:val="superscript"/>
        </w:rPr>
        <w:instrText>2</w:instrText>
      </w:r>
      <w:r w:rsidR="00B41742" w:rsidRPr="006C7A0F">
        <w:instrText xml:space="preserve">" </w:instrText>
      </w:r>
      <w:r w:rsidR="00B41742" w:rsidRPr="006C7A0F">
        <w:rPr>
          <w:i/>
        </w:rPr>
        <w:fldChar w:fldCharType="end"/>
      </w:r>
      <w:r w:rsidR="00B41742">
        <w:t xml:space="preserve">. Predikace </w:t>
      </w:r>
      <w:r w:rsidR="007417E8">
        <w:t xml:space="preserve">intelektu jako esence je </w:t>
      </w:r>
      <w:r w:rsidR="00B41742" w:rsidRPr="00B41742">
        <w:t>provede</w:t>
      </w:r>
      <w:r w:rsidR="00B41742">
        <w:t>na</w:t>
      </w:r>
      <w:r w:rsidR="00B41742" w:rsidRPr="00B41742">
        <w:t xml:space="preserve"> </w:t>
      </w:r>
      <w:r w:rsidR="00B41742">
        <w:t xml:space="preserve">nasvícením intelektu </w:t>
      </w:r>
      <w:r w:rsidR="00B41742" w:rsidRPr="00B41742">
        <w:t>zezadu, z nominálně danéh</w:t>
      </w:r>
      <w:r w:rsidR="00B41742">
        <w:t>o významu avicenistického bytí. T</w:t>
      </w:r>
      <w:r>
        <w:t xml:space="preserve">akto zkoumaný intelekt je daný pro poznání pouze v modu </w:t>
      </w:r>
      <w:r w:rsidRPr="08984A2E">
        <w:rPr>
          <w:i/>
        </w:rPr>
        <w:t>obi</w:t>
      </w:r>
      <w:r>
        <w:rPr>
          <w:i/>
        </w:rPr>
        <w:t>e</w:t>
      </w:r>
      <w:r w:rsidRPr="08984A2E">
        <w:rPr>
          <w:i/>
        </w:rPr>
        <w:t>ctive</w:t>
      </w:r>
      <w:r>
        <w:t xml:space="preserve">, tedy pouze </w:t>
      </w:r>
      <w:r w:rsidRPr="00273106">
        <w:t xml:space="preserve">jako </w:t>
      </w:r>
      <w:r>
        <w:t xml:space="preserve">objektivní hypostáze, subsistentní </w:t>
      </w:r>
      <w:r w:rsidRPr="00273106">
        <w:t>forma</w:t>
      </w:r>
      <w:r>
        <w:t>,</w:t>
      </w:r>
      <w:r w:rsidRPr="00273106">
        <w:t xml:space="preserve"> </w:t>
      </w:r>
      <w:r>
        <w:t xml:space="preserve">karteziánská </w:t>
      </w:r>
      <w:r w:rsidRPr="08FA5ABA">
        <w:rPr>
          <w:i/>
        </w:rPr>
        <w:t>res</w:t>
      </w:r>
      <w:r>
        <w:t xml:space="preserve">, </w:t>
      </w:r>
      <w:r w:rsidRPr="00273106">
        <w:t>nebo dokonce substance</w:t>
      </w:r>
      <w:r>
        <w:t xml:space="preserve"> třetího druhu v modu univerzálního hylemorfismu. </w:t>
      </w:r>
      <w:r w:rsidR="08B53C00">
        <w:t xml:space="preserve">Podle předešlého výkladu </w:t>
      </w:r>
      <w:r w:rsidR="08B53C00" w:rsidRPr="08F22FD9">
        <w:rPr>
          <w:i/>
        </w:rPr>
        <w:t>De generatione animalium</w:t>
      </w:r>
      <w:r w:rsidR="08B53C00">
        <w:t xml:space="preserve"> </w:t>
      </w:r>
      <w:r w:rsidR="08B53C00" w:rsidRPr="00273106">
        <w:t>(τῆς τοιαύτης ψυχῆς ἔργον</w:t>
      </w:r>
      <w:r w:rsidR="08B53C00">
        <w:t>,</w:t>
      </w:r>
      <w:r w:rsidR="08B53C00" w:rsidRPr="00273106">
        <w:t xml:space="preserve"> 736b12</w:t>
      </w:r>
      <w:r w:rsidR="08B53C00">
        <w:fldChar w:fldCharType="begin"/>
      </w:r>
      <w:r w:rsidR="08B53C00">
        <w:instrText xml:space="preserve"> XE "Aristoteles:</w:instrText>
      </w:r>
      <w:r w:rsidR="08B53C00" w:rsidRPr="00C40514">
        <w:rPr>
          <w:i/>
        </w:rPr>
        <w:instrText>De generatione animalium</w:instrText>
      </w:r>
      <w:r w:rsidR="08B53C00" w:rsidRPr="00391728">
        <w:instrText xml:space="preserve"> </w:instrText>
      </w:r>
      <w:r w:rsidR="08B53C00">
        <w:instrText xml:space="preserve">736b12" </w:instrText>
      </w:r>
      <w:r w:rsidR="08B53C00">
        <w:fldChar w:fldCharType="end"/>
      </w:r>
      <w:r w:rsidR="08B53C00" w:rsidRPr="00273106">
        <w:t>)</w:t>
      </w:r>
      <w:r w:rsidR="08B53C00">
        <w:t xml:space="preserve"> ale platí, že t</w:t>
      </w:r>
      <w:r>
        <w:t xml:space="preserve">ělo je </w:t>
      </w:r>
      <w:r w:rsidRPr="082E3B5B">
        <w:rPr>
          <w:i/>
        </w:rPr>
        <w:t>subiectum</w:t>
      </w:r>
      <w:r>
        <w:t xml:space="preserve"> </w:t>
      </w:r>
      <w:r w:rsidR="08B53C00">
        <w:t>intelektuálních schopností duše</w:t>
      </w:r>
      <w:r>
        <w:t xml:space="preserve">. Bytí osoby v modu </w:t>
      </w:r>
      <w:r w:rsidRPr="082E3B5B">
        <w:rPr>
          <w:i/>
        </w:rPr>
        <w:t>actus essendi</w:t>
      </w:r>
      <w:r>
        <w:t xml:space="preserve"> je vázáno na </w:t>
      </w:r>
      <w:r w:rsidR="08951655">
        <w:t xml:space="preserve">existenci </w:t>
      </w:r>
      <w:r>
        <w:t>hylemorfické první substance</w:t>
      </w:r>
      <w:r w:rsidR="08951655">
        <w:t>. P</w:t>
      </w:r>
      <w:r>
        <w:t xml:space="preserve">říslušné </w:t>
      </w:r>
      <w:r w:rsidRPr="08186473">
        <w:rPr>
          <w:i/>
        </w:rPr>
        <w:t>operatio</w:t>
      </w:r>
      <w:r>
        <w:t xml:space="preserve"> intelektu daného </w:t>
      </w:r>
      <w:r w:rsidRPr="08186473">
        <w:rPr>
          <w:i/>
        </w:rPr>
        <w:t>ab extrinsece</w:t>
      </w:r>
      <w:r>
        <w:t xml:space="preserve"> musí být </w:t>
      </w:r>
      <w:r w:rsidR="08951655">
        <w:t xml:space="preserve">z těchto základních důvodů </w:t>
      </w:r>
      <w:r>
        <w:t xml:space="preserve">kauzálně vykazatelné v účincích první hylemorfické substance. Bytí intelektu či duše není zřejmé samo ze sebe, ale ze zakoušeného smyslového poznání. Proto nelze definovat poznání </w:t>
      </w:r>
      <w:r w:rsidRPr="00084B40">
        <w:rPr>
          <w:i/>
        </w:rPr>
        <w:t>per prius</w:t>
      </w:r>
      <w:r>
        <w:t xml:space="preserve"> skrze nějakou </w:t>
      </w:r>
      <w:r w:rsidRPr="00085672">
        <w:rPr>
          <w:i/>
        </w:rPr>
        <w:t>ad hoc</w:t>
      </w:r>
      <w:r>
        <w:t xml:space="preserve"> postulovanou esenci nebo hypostázi jako to má moderna a postmoderna. Viděli jsme, že Siger byl ochoten uznat tuto pozici ve zkoumání první a druhé části </w:t>
      </w:r>
      <w:r w:rsidRPr="003D1444">
        <w:rPr>
          <w:i/>
        </w:rPr>
        <w:t>De anima</w:t>
      </w:r>
      <w:r>
        <w:t>, což má Mnichovský ru</w:t>
      </w:r>
      <w:r w:rsidR="08496871">
        <w:t>kopis (kap. 4</w:t>
      </w:r>
      <w:r>
        <w:t xml:space="preserve">.3.2). Ve třetí části komentáře </w:t>
      </w:r>
      <w:r w:rsidRPr="003D1444">
        <w:rPr>
          <w:i/>
        </w:rPr>
        <w:t>De anima</w:t>
      </w:r>
      <w:r>
        <w:t xml:space="preserve"> je o</w:t>
      </w:r>
      <w:r w:rsidRPr="00273106">
        <w:t xml:space="preserve">bjektivní a esenciální přístup </w:t>
      </w:r>
      <w:r>
        <w:t>vyloučen</w:t>
      </w:r>
      <w:r w:rsidR="0019709E">
        <w:t xml:space="preserve">. </w:t>
      </w:r>
      <w:r w:rsidR="00CE1478">
        <w:t xml:space="preserve">Spis </w:t>
      </w:r>
      <w:r w:rsidR="0019709E" w:rsidRPr="0019709E">
        <w:t xml:space="preserve">QIIIDA </w:t>
      </w:r>
      <w:r w:rsidR="00CE1478">
        <w:t xml:space="preserve">by tím </w:t>
      </w:r>
      <w:r w:rsidR="0019709E">
        <w:t xml:space="preserve">zrušil </w:t>
      </w:r>
      <w:r w:rsidR="0019709E" w:rsidRPr="0019709E">
        <w:t xml:space="preserve">Averroësovu nejdůležitější hermeneutickou otázku, jak intelekt působí v reálném člověku jako existenciálně daná potence duše. </w:t>
      </w:r>
      <w:r w:rsidRPr="00273106">
        <w:t xml:space="preserve">Siger sladil perspektivu náhledu na intelekt podle intence spisu </w:t>
      </w:r>
      <w:r>
        <w:rPr>
          <w:i/>
        </w:rPr>
        <w:t>De anima</w:t>
      </w:r>
      <w:r w:rsidR="00CE1478">
        <w:t xml:space="preserve"> vykládaného v optice CMDA</w:t>
      </w:r>
      <w:r w:rsidR="08A35243">
        <w:t xml:space="preserve">. Proto se Siger stal </w:t>
      </w:r>
      <w:r w:rsidRPr="00273106">
        <w:t xml:space="preserve">prvním fenomenologem scholastiky a </w:t>
      </w:r>
      <w:r>
        <w:t xml:space="preserve">jediným plně pravdivým </w:t>
      </w:r>
      <w:r w:rsidRPr="00273106">
        <w:t xml:space="preserve">hermeneutikem </w:t>
      </w:r>
      <w:r>
        <w:t>Averroes</w:t>
      </w:r>
      <w:r w:rsidRPr="00273106">
        <w:t>e</w:t>
      </w:r>
      <w:r>
        <w:t xml:space="preserve"> na latinském Západě</w:t>
      </w:r>
      <w:r w:rsidRPr="00273106">
        <w:t xml:space="preserve">. </w:t>
      </w:r>
      <w:r>
        <w:t xml:space="preserve">Jím založená </w:t>
      </w:r>
      <w:r w:rsidR="00DC49BE">
        <w:t xml:space="preserve">definice </w:t>
      </w:r>
      <w:r>
        <w:t xml:space="preserve">osoby není totožná s představiteli prvního averroismu bráněného </w:t>
      </w:r>
      <w:r w:rsidRPr="00273106">
        <w:t>Akvinským</w:t>
      </w:r>
      <w:r>
        <w:t xml:space="preserve"> či Albertem. Oba aristotelikové v tomto bodě zůstali avicennisty, protože neviděli Avicennovu chybnou metafyzickou pozici danou primátem esenciální definice</w:t>
      </w:r>
      <w:r>
        <w:fldChar w:fldCharType="begin"/>
      </w:r>
      <w:r>
        <w:instrText xml:space="preserve"> XE "</w:instrText>
      </w:r>
      <w:r w:rsidRPr="004E0632">
        <w:instrText>osoba:esenciální definice</w:instrText>
      </w:r>
      <w:r>
        <w:instrText xml:space="preserve">" </w:instrText>
      </w:r>
      <w:r>
        <w:fldChar w:fldCharType="end"/>
      </w:r>
      <w:r>
        <w:t xml:space="preserve">. Přechozí kapitola ukázala, že Brabantský mistr odmítl z tohoto zásadního důvodu uznat Avicennovu metafyziku jako první vědu o jsoucnu, protože nebyla první vědou o substanci. Tak daleko v odmítnutí Avicenny nikdy nešli Akvinský a Albert, proto zůstali jednou nohou na </w:t>
      </w:r>
      <w:proofErr w:type="gramStart"/>
      <w:r w:rsidRPr="00567ADD">
        <w:rPr>
          <w:i/>
        </w:rPr>
        <w:t>via</w:t>
      </w:r>
      <w:proofErr w:type="gramEnd"/>
      <w:r w:rsidRPr="00567ADD">
        <w:rPr>
          <w:i/>
        </w:rPr>
        <w:t xml:space="preserve"> Modernorum</w:t>
      </w:r>
      <w:r>
        <w:rPr>
          <w:i/>
        </w:rPr>
        <w:fldChar w:fldCharType="begin"/>
      </w:r>
      <w:r>
        <w:instrText xml:space="preserve"> XE "</w:instrText>
      </w:r>
      <w:r w:rsidRPr="00ED0748">
        <w:rPr>
          <w:i/>
        </w:rPr>
        <w:instrText>via Modernorum</w:instrText>
      </w:r>
      <w:r>
        <w:instrText xml:space="preserve">" </w:instrText>
      </w:r>
      <w:r>
        <w:rPr>
          <w:i/>
        </w:rPr>
        <w:fldChar w:fldCharType="end"/>
      </w:r>
      <w:r w:rsidR="00D75D2F">
        <w:t>.</w:t>
      </w:r>
    </w:p>
    <w:p w:rsidR="00174A39" w:rsidRDefault="08163013" w:rsidP="003701FE">
      <w:pPr>
        <w:ind w:firstLine="397"/>
      </w:pPr>
      <w:r>
        <w:t>Siger a po něm až Heidegger jdou v otázce existence a poznání nikoliv k tomu, „co“ je</w:t>
      </w:r>
      <w:r w:rsidR="00D20F32">
        <w:t xml:space="preserve"> substančně definovaný intelekt</w:t>
      </w:r>
      <w:r>
        <w:t xml:space="preserve">, ale „jak“ je existence zakoušena v první osobě. Nyní je jasné, proč Sigerovi patří čestný titul </w:t>
      </w:r>
      <w:r>
        <w:rPr>
          <w:i/>
        </w:rPr>
        <w:t>Doctor Invidiosus</w:t>
      </w:r>
      <w:r>
        <w:rPr>
          <w:i/>
        </w:rPr>
        <w:fldChar w:fldCharType="begin"/>
      </w:r>
      <w:r>
        <w:instrText xml:space="preserve"> XE "</w:instrText>
      </w:r>
      <w:r>
        <w:rPr>
          <w:i/>
        </w:rPr>
        <w:instrText>Doctor Invidiosus</w:instrText>
      </w:r>
      <w:r>
        <w:instrText xml:space="preserve">" </w:instrText>
      </w:r>
      <w:r>
        <w:rPr>
          <w:i/>
        </w:rPr>
        <w:fldChar w:fldCharType="end"/>
      </w:r>
      <w:r w:rsidRPr="0888260E">
        <w:t>.</w:t>
      </w:r>
      <w:r>
        <w:t xml:space="preserve"> </w:t>
      </w:r>
      <w:r w:rsidRPr="00273106">
        <w:t xml:space="preserve">Vraťme se k citátu z díla </w:t>
      </w:r>
      <w:r w:rsidRPr="00273106">
        <w:rPr>
          <w:i/>
        </w:rPr>
        <w:t>De generatione animalium</w:t>
      </w:r>
      <w:r w:rsidRPr="00273106">
        <w:t xml:space="preserve"> </w:t>
      </w:r>
      <w:proofErr w:type="gramStart"/>
      <w:r w:rsidRPr="00273106">
        <w:t>II.3 (τῆς</w:t>
      </w:r>
      <w:proofErr w:type="gramEnd"/>
      <w:r w:rsidRPr="00273106">
        <w:t xml:space="preserve"> τοιαύτης ψυχῆς ἔργον</w:t>
      </w:r>
      <w:r>
        <w:fldChar w:fldCharType="begin"/>
      </w:r>
      <w:r>
        <w:instrText xml:space="preserve"> XE "Aristoteles:</w:instrText>
      </w:r>
      <w:r w:rsidRPr="00273106">
        <w:rPr>
          <w:i/>
        </w:rPr>
        <w:instrText>De generatione animalium</w:instrText>
      </w:r>
      <w:r w:rsidRPr="00273106">
        <w:instrText xml:space="preserve"> </w:instrText>
      </w:r>
      <w:r w:rsidRPr="00FE3B5D">
        <w:instrText>736b12</w:instrText>
      </w:r>
      <w:r>
        <w:instrText xml:space="preserve">" </w:instrText>
      </w:r>
      <w:r>
        <w:fldChar w:fldCharType="end"/>
      </w:r>
      <w:r w:rsidRPr="00273106">
        <w:t>)</w:t>
      </w:r>
      <w:r>
        <w:t xml:space="preserve">, které charakterizuje přístup Sicilské školy k jednotě </w:t>
      </w:r>
      <w:r>
        <w:lastRenderedPageBreak/>
        <w:t>osoby a intelektu</w:t>
      </w:r>
      <w:r w:rsidRPr="00273106">
        <w:t xml:space="preserve">. Akt </w:t>
      </w:r>
      <w:r>
        <w:t xml:space="preserve">inteligibilní </w:t>
      </w:r>
      <w:r w:rsidRPr="00273106">
        <w:t xml:space="preserve">existence </w:t>
      </w:r>
      <w:r>
        <w:t xml:space="preserve">se děje </w:t>
      </w:r>
      <w:r w:rsidRPr="00273106">
        <w:t>v </w:t>
      </w:r>
      <w:r>
        <w:t xml:space="preserve">tělesné osobě jako </w:t>
      </w:r>
      <w:r w:rsidRPr="00273106">
        <w:t xml:space="preserve">první substanci, nikoliv ve schizofrenním vědomí </w:t>
      </w:r>
      <w:r w:rsidRPr="00273106">
        <w:rPr>
          <w:i/>
        </w:rPr>
        <w:t>Modernorum</w:t>
      </w:r>
      <w:r>
        <w:t xml:space="preserve"> </w:t>
      </w:r>
      <w:r w:rsidRPr="00273106">
        <w:t xml:space="preserve">substančně odděleného od těla. Pluralita substancí v člověku daných jako </w:t>
      </w:r>
      <w:r>
        <w:t xml:space="preserve">neoplatonské </w:t>
      </w:r>
      <w:r w:rsidRPr="00273106">
        <w:t xml:space="preserve">tělo a </w:t>
      </w:r>
      <w:r>
        <w:t xml:space="preserve">duše, či karteziánská </w:t>
      </w:r>
      <w:r w:rsidRPr="084F619F">
        <w:rPr>
          <w:i/>
        </w:rPr>
        <w:t>res extensa</w:t>
      </w:r>
      <w:r>
        <w:t xml:space="preserve"> a </w:t>
      </w:r>
      <w:r w:rsidRPr="084F619F">
        <w:rPr>
          <w:i/>
        </w:rPr>
        <w:t>res cogitans</w:t>
      </w:r>
      <w:r>
        <w:t xml:space="preserve">, </w:t>
      </w:r>
      <w:r w:rsidRPr="00273106">
        <w:t xml:space="preserve">odporuje pojetí </w:t>
      </w:r>
      <w:r>
        <w:t>Averroes</w:t>
      </w:r>
      <w:r w:rsidRPr="00273106">
        <w:t xml:space="preserve">ovy první vědy založené na </w:t>
      </w:r>
      <w:r w:rsidR="001B2350">
        <w:t xml:space="preserve">kauzalitě </w:t>
      </w:r>
      <w:r w:rsidRPr="00273106">
        <w:t>první</w:t>
      </w:r>
      <w:r w:rsidR="001B2350">
        <w:t>ch substancí</w:t>
      </w:r>
      <w:r w:rsidRPr="00273106">
        <w:t xml:space="preserve">. </w:t>
      </w:r>
      <w:r>
        <w:t>Siger postuluje podle CMDA v</w:t>
      </w:r>
      <w:r w:rsidRPr="00273106">
        <w:t>ýklad fenomenologie duše a intelektu v </w:t>
      </w:r>
      <w:r>
        <w:t xml:space="preserve">triadickém </w:t>
      </w:r>
      <w:r w:rsidRPr="00273106">
        <w:t>modu</w:t>
      </w:r>
      <w:r>
        <w:t xml:space="preserve">: </w:t>
      </w:r>
      <w:r w:rsidRPr="00273106">
        <w:rPr>
          <w:i/>
        </w:rPr>
        <w:t>per actiones intellectus ‒ apud nos ‒ ad substantiam intellectus</w:t>
      </w:r>
      <w:r>
        <w:t xml:space="preserve">. Kauzalita poznání je dána výkonem intelektu, který je součástí duše jako její nemateriální schopnost v modu </w:t>
      </w:r>
      <w:r w:rsidRPr="08276ADB">
        <w:rPr>
          <w:i/>
        </w:rPr>
        <w:t xml:space="preserve">tertium </w:t>
      </w:r>
      <w:r w:rsidR="00962190">
        <w:rPr>
          <w:i/>
        </w:rPr>
        <w:t>genus</w:t>
      </w:r>
      <w:r>
        <w:t xml:space="preserve">. Po etablování této roviny středního členu </w:t>
      </w:r>
      <w:r w:rsidR="00D16BE1">
        <w:t xml:space="preserve">deduktivního syllogismu </w:t>
      </w:r>
      <w:r w:rsidR="08D80A4D">
        <w:t>(</w:t>
      </w:r>
      <w:r w:rsidR="08D80A4D" w:rsidRPr="08D80A4D">
        <w:rPr>
          <w:i/>
        </w:rPr>
        <w:t>medium</w:t>
      </w:r>
      <w:r w:rsidR="08D80A4D">
        <w:t>)</w:t>
      </w:r>
      <w:r w:rsidR="00D16BE1">
        <w:t xml:space="preserve">, může Siger </w:t>
      </w:r>
      <w:r>
        <w:t xml:space="preserve">vyvodit deduktivní obecný závěr o povaze intelektu v modu </w:t>
      </w:r>
      <w:r w:rsidRPr="08966D17">
        <w:rPr>
          <w:i/>
        </w:rPr>
        <w:t xml:space="preserve">quartum </w:t>
      </w:r>
      <w:r w:rsidR="00962190">
        <w:rPr>
          <w:i/>
        </w:rPr>
        <w:t>genus</w:t>
      </w:r>
      <w:r>
        <w:t xml:space="preserve">. Pak je intelekt chápán jako esence daná abstraktně v modu </w:t>
      </w:r>
      <w:r w:rsidRPr="0820472C">
        <w:rPr>
          <w:i/>
        </w:rPr>
        <w:t>obiective</w:t>
      </w:r>
      <w:r>
        <w:t xml:space="preserve">, tedy jako potenciální a univerzální koncept. Ale esenciální danost intelektu má díky kompletnímu </w:t>
      </w:r>
      <w:r w:rsidRPr="08B478F5">
        <w:rPr>
          <w:i/>
        </w:rPr>
        <w:t>demonstratio</w:t>
      </w:r>
      <w:r>
        <w:t xml:space="preserve"> vědecký charakter, proto není pouhou objektivní spekulací. </w:t>
      </w:r>
      <w:r w:rsidRPr="00273106">
        <w:t xml:space="preserve">Podobná triáda řídí Heideggerovo zkoumání </w:t>
      </w:r>
      <w:r w:rsidRPr="00273106">
        <w:rPr>
          <w:i/>
        </w:rPr>
        <w:t>Dasein</w:t>
      </w:r>
      <w:r w:rsidR="00300DD4">
        <w:t xml:space="preserve"> v rámci fundamentální ontologie</w:t>
      </w:r>
      <w:r w:rsidRPr="00273106">
        <w:t xml:space="preserve">. </w:t>
      </w:r>
      <w:r>
        <w:t xml:space="preserve">U Sigera je trojí výkon existenciálního porozumění dán kompletním popisem výkonu poznání, čili reálného způsobu, jak poznáváme. Výsledkem fenomenologie podané </w:t>
      </w:r>
      <w:r w:rsidR="0012313F">
        <w:t>„</w:t>
      </w:r>
      <w:r w:rsidRPr="085D1775">
        <w:rPr>
          <w:i/>
        </w:rPr>
        <w:t>ad mentem Averrois</w:t>
      </w:r>
      <w:r w:rsidR="0012313F">
        <w:t>“</w:t>
      </w:r>
      <w:r>
        <w:t xml:space="preserve"> je nová fakticita poznání</w:t>
      </w:r>
      <w:r w:rsidR="0012313F">
        <w:t xml:space="preserve">. Ta </w:t>
      </w:r>
      <w:r>
        <w:t xml:space="preserve">ukazuje základní aristotelský způsob „jak“ si </w:t>
      </w:r>
      <w:r w:rsidR="0012313F">
        <w:t xml:space="preserve">pravdivé poznání </w:t>
      </w:r>
      <w:r>
        <w:t>přivlastňuje bytí jsoucna (</w:t>
      </w:r>
      <w:r w:rsidRPr="085F47F4">
        <w:rPr>
          <w:i/>
        </w:rPr>
        <w:t>dativus possessivus</w:t>
      </w:r>
      <w:r>
        <w:rPr>
          <w:i/>
        </w:rPr>
        <w:fldChar w:fldCharType="begin"/>
      </w:r>
      <w:r>
        <w:instrText xml:space="preserve"> XE "</w:instrText>
      </w:r>
      <w:r w:rsidRPr="085450EB">
        <w:rPr>
          <w:i/>
        </w:rPr>
        <w:instrText>dativus possessivus</w:instrText>
      </w:r>
      <w:r>
        <w:instrText xml:space="preserve">" </w:instrText>
      </w:r>
      <w:r>
        <w:rPr>
          <w:i/>
        </w:rPr>
        <w:fldChar w:fldCharType="end"/>
      </w:r>
      <w:r w:rsidR="08915B6C">
        <w:t>, kap. 4</w:t>
      </w:r>
      <w:r>
        <w:t xml:space="preserve">). Sigerův komentář k </w:t>
      </w:r>
      <w:proofErr w:type="gramStart"/>
      <w:r w:rsidRPr="007B30AB">
        <w:rPr>
          <w:i/>
        </w:rPr>
        <w:t>De</w:t>
      </w:r>
      <w:proofErr w:type="gramEnd"/>
      <w:r w:rsidRPr="007B30AB">
        <w:rPr>
          <w:i/>
        </w:rPr>
        <w:t xml:space="preserve"> anima</w:t>
      </w:r>
      <w:r>
        <w:t xml:space="preserve"> </w:t>
      </w:r>
      <w:r w:rsidRPr="00273106">
        <w:t xml:space="preserve">sleduje </w:t>
      </w:r>
      <w:r>
        <w:t xml:space="preserve">nejen objektivní argumenty CMDA, což věcně správně provedli v prvním averroismu </w:t>
      </w:r>
      <w:r w:rsidRPr="00273106">
        <w:t>Albert a</w:t>
      </w:r>
      <w:r>
        <w:t xml:space="preserve"> Bacon. Čtvrtá kvestie ukazuje základní východisko v poznání intelektu ve zkoumání fenomenologického „jak“ poznáváme, protože duše a intelekt nemůže být substancí. Hermeneutický </w:t>
      </w:r>
      <w:r w:rsidRPr="00273106">
        <w:t xml:space="preserve">náhled </w:t>
      </w:r>
      <w:r>
        <w:t xml:space="preserve">Sigera nejprve etabluje směr, </w:t>
      </w:r>
      <w:r w:rsidRPr="00273106">
        <w:t>odkud přichází do pole manifestace smysl toho, čím je intel</w:t>
      </w:r>
      <w:r>
        <w:t xml:space="preserve">ekt. Viděno v modu Heideggerovy hermeneutiky fakticity člověk poznává skrze nemateriální a od smyslů oddělený intelekt a na tom se shodují všichni klasičtí filosofové </w:t>
      </w:r>
      <w:r w:rsidRPr="00273106">
        <w:t>(</w:t>
      </w:r>
      <w:r w:rsidRPr="00273106">
        <w:rPr>
          <w:rFonts w:eastAsia="AGaramondPro-Italic"/>
          <w:i/>
          <w:szCs w:val="21"/>
        </w:rPr>
        <w:t>Gehaltsinn</w:t>
      </w:r>
      <w:r w:rsidRPr="00273106">
        <w:rPr>
          <w:i/>
        </w:rPr>
        <w:t>, Gefragtes</w:t>
      </w:r>
      <w:r w:rsidRPr="00273106">
        <w:t xml:space="preserve">). </w:t>
      </w:r>
      <w:r>
        <w:t xml:space="preserve">Otázka ale zní, </w:t>
      </w:r>
      <w:r w:rsidR="005F5F29">
        <w:t>„</w:t>
      </w:r>
      <w:r>
        <w:t>jak</w:t>
      </w:r>
      <w:r w:rsidR="005F5F29">
        <w:t>“</w:t>
      </w:r>
      <w:r>
        <w:t xml:space="preserve"> doopravdy poznáváme</w:t>
      </w:r>
      <w:r w:rsidR="005F5F29">
        <w:t xml:space="preserve"> </w:t>
      </w:r>
      <w:r w:rsidR="08DA1224">
        <w:t>jako jednotná osoba v</w:t>
      </w:r>
      <w:r w:rsidR="005F5F29">
        <w:t> </w:t>
      </w:r>
      <w:r w:rsidR="08DA1224">
        <w:t>těle</w:t>
      </w:r>
      <w:r w:rsidR="005F5F29">
        <w:t xml:space="preserve"> </w:t>
      </w:r>
      <w:r w:rsidR="005F5F29" w:rsidRPr="00273106">
        <w:t>(</w:t>
      </w:r>
      <w:r w:rsidR="005F5F29">
        <w:rPr>
          <w:rFonts w:eastAsia="AGaramondPro-Italic"/>
          <w:i/>
          <w:szCs w:val="21"/>
        </w:rPr>
        <w:t>Bezugsinn</w:t>
      </w:r>
      <w:r w:rsidR="005F5F29" w:rsidRPr="00273106">
        <w:rPr>
          <w:i/>
        </w:rPr>
        <w:t>, Befragtes</w:t>
      </w:r>
      <w:r w:rsidR="005F5F29">
        <w:t xml:space="preserve">). </w:t>
      </w:r>
      <w:r>
        <w:t xml:space="preserve">Vlastní zkušenost poznání </w:t>
      </w:r>
      <w:r w:rsidRPr="00273106">
        <w:t xml:space="preserve">tvoří </w:t>
      </w:r>
      <w:r w:rsidRPr="00273106">
        <w:rPr>
          <w:i/>
        </w:rPr>
        <w:t>medium</w:t>
      </w:r>
      <w:r>
        <w:rPr>
          <w:i/>
        </w:rPr>
        <w:fldChar w:fldCharType="begin"/>
      </w:r>
      <w:r>
        <w:instrText xml:space="preserve"> XE "</w:instrText>
      </w:r>
      <w:r w:rsidRPr="001618A5">
        <w:rPr>
          <w:i/>
        </w:rPr>
        <w:instrText>medium:</w:instrText>
      </w:r>
      <w:r w:rsidRPr="00D307E9">
        <w:instrText>Siger</w:instrText>
      </w:r>
      <w:r>
        <w:instrText xml:space="preserve"> " </w:instrText>
      </w:r>
      <w:r>
        <w:rPr>
          <w:i/>
        </w:rPr>
        <w:fldChar w:fldCharType="end"/>
      </w:r>
      <w:r w:rsidRPr="00273106">
        <w:t xml:space="preserve"> vědeckého </w:t>
      </w:r>
      <w:r w:rsidRPr="00273106">
        <w:rPr>
          <w:i/>
        </w:rPr>
        <w:t>demonstratio</w:t>
      </w:r>
      <w:r>
        <w:rPr>
          <w:i/>
        </w:rPr>
        <w:fldChar w:fldCharType="begin"/>
      </w:r>
      <w:r>
        <w:instrText xml:space="preserve"> XE "</w:instrText>
      </w:r>
      <w:r w:rsidRPr="004E6075">
        <w:rPr>
          <w:i/>
        </w:rPr>
        <w:instrText>demonstratio:</w:instrText>
      </w:r>
      <w:r w:rsidRPr="00D307E9">
        <w:instrText>Siger</w:instrText>
      </w:r>
      <w:r>
        <w:instrText xml:space="preserve">" </w:instrText>
      </w:r>
      <w:r>
        <w:rPr>
          <w:i/>
        </w:rPr>
        <w:fldChar w:fldCharType="end"/>
      </w:r>
      <w:r w:rsidR="081D1D77">
        <w:t xml:space="preserve">. Výklad intellektu </w:t>
      </w:r>
      <w:r>
        <w:t xml:space="preserve">jde v rámci dedukce k tomu, </w:t>
      </w:r>
      <w:r w:rsidR="081D1D77">
        <w:t>„</w:t>
      </w:r>
      <w:r>
        <w:t>jak</w:t>
      </w:r>
      <w:r w:rsidR="081D1D77">
        <w:t>“</w:t>
      </w:r>
      <w:r>
        <w:t xml:space="preserve"> je dána intelektuální složka duše, </w:t>
      </w:r>
      <w:r w:rsidR="081D1D77">
        <w:t xml:space="preserve">protože ta </w:t>
      </w:r>
      <w:r>
        <w:t xml:space="preserve">má jiný charakter než smysly </w:t>
      </w:r>
      <w:r w:rsidR="08B14D59">
        <w:t>D</w:t>
      </w:r>
      <w:r>
        <w:t xml:space="preserve">eduktivní důkaz </w:t>
      </w:r>
      <w:r w:rsidR="08B14D59">
        <w:t xml:space="preserve">tím </w:t>
      </w:r>
      <w:proofErr w:type="gramStart"/>
      <w:r w:rsidR="08B14D59">
        <w:t xml:space="preserve">vyšel </w:t>
      </w:r>
      <w:r w:rsidRPr="00273106">
        <w:t xml:space="preserve"> z vlastností</w:t>
      </w:r>
      <w:proofErr w:type="gramEnd"/>
      <w:r w:rsidRPr="00273106">
        <w:t xml:space="preserve"> </w:t>
      </w:r>
      <w:r>
        <w:t xml:space="preserve">„mého“ myšlení jako </w:t>
      </w:r>
      <w:r w:rsidRPr="00273106">
        <w:t>první substance</w:t>
      </w:r>
      <w:r w:rsidR="08B14D59">
        <w:t xml:space="preserve"> dané v těle.</w:t>
      </w:r>
      <w:r w:rsidR="080869CC">
        <w:t xml:space="preserve"> A</w:t>
      </w:r>
      <w:r w:rsidR="08B14D59">
        <w:t xml:space="preserve">ž ve třetím kroku </w:t>
      </w:r>
      <w:r w:rsidRPr="00273106">
        <w:t xml:space="preserve">přijde </w:t>
      </w:r>
      <w:r w:rsidR="08B14D59">
        <w:t xml:space="preserve">výklad </w:t>
      </w:r>
      <w:r>
        <w:t xml:space="preserve">k metafyzické povaze člověka, který má schopnost inteligibilního poznání světa </w:t>
      </w:r>
      <w:r w:rsidRPr="00273106">
        <w:t>(</w:t>
      </w:r>
      <w:r w:rsidR="00764219">
        <w:rPr>
          <w:rFonts w:eastAsia="AGaramondPro-Italic"/>
          <w:i/>
          <w:szCs w:val="21"/>
        </w:rPr>
        <w:t>Vollzugs</w:t>
      </w:r>
      <w:r w:rsidRPr="00273106">
        <w:rPr>
          <w:rFonts w:eastAsia="AGaramondPro-Italic"/>
          <w:i/>
          <w:szCs w:val="21"/>
        </w:rPr>
        <w:t>inn</w:t>
      </w:r>
      <w:r w:rsidRPr="00273106">
        <w:rPr>
          <w:i/>
        </w:rPr>
        <w:t>, Erfragte</w:t>
      </w:r>
      <w:r w:rsidRPr="00273106">
        <w:t>).</w:t>
      </w:r>
      <w:r>
        <w:t xml:space="preserve"> Pokud intelekt a duše není „něco“ na způsob substance (</w:t>
      </w:r>
      <w:r w:rsidRPr="00610D18">
        <w:rPr>
          <w:i/>
        </w:rPr>
        <w:t>hoc aliquid</w:t>
      </w:r>
      <w:r>
        <w:rPr>
          <w:i/>
        </w:rPr>
        <w:fldChar w:fldCharType="begin"/>
      </w:r>
      <w:r>
        <w:instrText xml:space="preserve"> XE "substance:intelekt" </w:instrText>
      </w:r>
      <w:r>
        <w:rPr>
          <w:i/>
        </w:rPr>
        <w:fldChar w:fldCharType="end"/>
      </w:r>
      <w:r>
        <w:t xml:space="preserve">), pak obojí nelze </w:t>
      </w:r>
      <w:r>
        <w:lastRenderedPageBreak/>
        <w:t xml:space="preserve">objektivně definovat na způsob neoplatonského Avicenny. Proto je nutné na způsob Averroese aristotelsky zkoumat </w:t>
      </w:r>
      <w:r w:rsidRPr="00610D18">
        <w:rPr>
          <w:i/>
        </w:rPr>
        <w:t>operatio</w:t>
      </w:r>
      <w:r w:rsidRPr="000A7D99">
        <w:t xml:space="preserve"> </w:t>
      </w:r>
      <w:r>
        <w:t xml:space="preserve">intelektu v rámci animálních schopností duše, protože skrze jeho činnost lze pravdivě usoudit v řádu </w:t>
      </w:r>
      <w:r w:rsidRPr="000A7D99">
        <w:rPr>
          <w:i/>
        </w:rPr>
        <w:t>demonstratio</w:t>
      </w:r>
      <w:r>
        <w:t xml:space="preserve"> i na jeho podstatu. </w:t>
      </w:r>
      <w:r w:rsidRPr="00273106">
        <w:t xml:space="preserve">Fenomenologický přístup k jednotě intelektu </w:t>
      </w:r>
      <w:r>
        <w:t xml:space="preserve">lze </w:t>
      </w:r>
      <w:r w:rsidRPr="00273106">
        <w:t xml:space="preserve">vyjádřit jako </w:t>
      </w:r>
      <w:r>
        <w:t xml:space="preserve">diferenci mezi termínem </w:t>
      </w:r>
      <w:r>
        <w:rPr>
          <w:i/>
        </w:rPr>
        <w:t>homo ipse intelligit</w:t>
      </w:r>
      <w:r>
        <w:rPr>
          <w:i/>
        </w:rPr>
        <w:fldChar w:fldCharType="begin"/>
      </w:r>
      <w:r>
        <w:instrText xml:space="preserve"> XE "</w:instrText>
      </w:r>
      <w:r w:rsidRPr="00B935DC">
        <w:rPr>
          <w:rStyle w:val="Zkladntext350"/>
        </w:rPr>
        <w:instrText>osoba</w:instrText>
      </w:r>
      <w:r w:rsidRPr="00B935DC">
        <w:rPr>
          <w:rStyle w:val="Zkladntext350"/>
          <w:i/>
        </w:rPr>
        <w:instrText>:</w:instrText>
      </w:r>
      <w:r>
        <w:rPr>
          <w:rStyle w:val="Zkladntext350"/>
          <w:i/>
        </w:rPr>
        <w:instrText>homo ipse intelligit</w:instrText>
      </w:r>
      <w:r>
        <w:instrText xml:space="preserve">" </w:instrText>
      </w:r>
      <w:r>
        <w:rPr>
          <w:i/>
        </w:rPr>
        <w:fldChar w:fldCharType="end"/>
      </w:r>
      <w:r>
        <w:t xml:space="preserve"> (Siger) a mezi pojetím </w:t>
      </w:r>
      <w:r w:rsidRPr="00273106">
        <w:rPr>
          <w:i/>
        </w:rPr>
        <w:t>homo intelligit</w:t>
      </w:r>
      <w:r>
        <w:rPr>
          <w:i/>
        </w:rPr>
        <w:fldChar w:fldCharType="begin"/>
      </w:r>
      <w:r>
        <w:instrText xml:space="preserve"> XE "</w:instrText>
      </w:r>
      <w:r w:rsidRPr="007F785A">
        <w:rPr>
          <w:i/>
          <w:lang w:eastAsia="en-US"/>
        </w:rPr>
        <w:instrText>osoba:homo intelligit</w:instrText>
      </w:r>
      <w:r>
        <w:instrText xml:space="preserve">" </w:instrText>
      </w:r>
      <w:r>
        <w:rPr>
          <w:i/>
        </w:rPr>
        <w:fldChar w:fldCharType="end"/>
      </w:r>
      <w:r w:rsidRPr="00273106">
        <w:t xml:space="preserve"> (Akvinský). </w:t>
      </w:r>
      <w:r>
        <w:t xml:space="preserve">Tím se liší objektivistický výklad Akvinského v modu </w:t>
      </w:r>
      <w:r w:rsidRPr="08760258">
        <w:rPr>
          <w:i/>
        </w:rPr>
        <w:t>veritas</w:t>
      </w:r>
      <w:r>
        <w:t xml:space="preserve"> od fenomenologie Sigera v modu </w:t>
      </w:r>
      <w:r w:rsidRPr="08760258">
        <w:rPr>
          <w:i/>
        </w:rPr>
        <w:t>alétheia</w:t>
      </w:r>
      <w:r>
        <w:t xml:space="preserve">. </w:t>
      </w:r>
      <w:r w:rsidRPr="00273106">
        <w:t>Pojetí intele</w:t>
      </w:r>
      <w:r>
        <w:t xml:space="preserve">ktu jako </w:t>
      </w:r>
      <w:r w:rsidRPr="00273106">
        <w:rPr>
          <w:i/>
        </w:rPr>
        <w:t>ipse</w:t>
      </w:r>
      <w:r>
        <w:t xml:space="preserve"> (</w:t>
      </w:r>
      <w:r w:rsidRPr="08055988">
        <w:rPr>
          <w:i/>
        </w:rPr>
        <w:t xml:space="preserve">tertium </w:t>
      </w:r>
      <w:r w:rsidR="00962190">
        <w:rPr>
          <w:i/>
        </w:rPr>
        <w:t>genus</w:t>
      </w:r>
      <w:r>
        <w:t xml:space="preserve">) nebo jako </w:t>
      </w:r>
      <w:r w:rsidRPr="00273106">
        <w:rPr>
          <w:i/>
        </w:rPr>
        <w:t>idem</w:t>
      </w:r>
      <w:r>
        <w:t xml:space="preserve"> (</w:t>
      </w:r>
      <w:r w:rsidRPr="08055988">
        <w:rPr>
          <w:i/>
        </w:rPr>
        <w:t xml:space="preserve">quartum </w:t>
      </w:r>
      <w:r w:rsidR="00962190">
        <w:rPr>
          <w:i/>
        </w:rPr>
        <w:t>genus</w:t>
      </w:r>
      <w:r>
        <w:t>) není stejné</w:t>
      </w:r>
      <w:r w:rsidR="003701FE">
        <w:fldChar w:fldCharType="begin"/>
      </w:r>
      <w:r w:rsidR="003701FE">
        <w:instrText xml:space="preserve"> XE "osoba:</w:instrText>
      </w:r>
      <w:r w:rsidR="003701FE" w:rsidRPr="009762EA">
        <w:rPr>
          <w:i/>
        </w:rPr>
        <w:instrText>ipse</w:instrText>
      </w:r>
      <w:r w:rsidR="003701FE">
        <w:instrText>/</w:instrText>
      </w:r>
      <w:r w:rsidR="003701FE" w:rsidRPr="009762EA">
        <w:rPr>
          <w:i/>
        </w:rPr>
        <w:instrText>idem</w:instrText>
      </w:r>
      <w:r w:rsidR="003701FE">
        <w:instrText xml:space="preserve">" </w:instrText>
      </w:r>
      <w:r w:rsidR="003701FE">
        <w:fldChar w:fldCharType="end"/>
      </w:r>
      <w:r>
        <w:t xml:space="preserve"> z hlediska vědeckého dokazování</w:t>
      </w:r>
      <w:r w:rsidR="003701FE">
        <w:t>. O</w:t>
      </w:r>
      <w:r w:rsidR="003701FE" w:rsidRPr="003701FE">
        <w:t xml:space="preserve">tázka </w:t>
      </w:r>
      <w:r w:rsidR="003701FE">
        <w:t xml:space="preserve">metafyzické impozice </w:t>
      </w:r>
      <w:r w:rsidR="003701FE" w:rsidRPr="003701FE">
        <w:t>smyslu a logické</w:t>
      </w:r>
      <w:r w:rsidR="003701FE">
        <w:t xml:space="preserve"> supozice významu </w:t>
      </w:r>
      <w:r w:rsidR="003701FE" w:rsidRPr="003701FE">
        <w:t xml:space="preserve">je ve spise CMDA jasně rozlišena. </w:t>
      </w:r>
      <w:r w:rsidR="003701FE">
        <w:t xml:space="preserve">Vědecký důkaz intelektu musí mít správný postup kategorální predikace podle kanonického textu </w:t>
      </w:r>
      <w:r w:rsidR="003701FE" w:rsidRPr="003701FE">
        <w:rPr>
          <w:i/>
        </w:rPr>
        <w:t>Kategorií</w:t>
      </w:r>
      <w:r w:rsidR="003701FE">
        <w:t xml:space="preserve"> (</w:t>
      </w:r>
      <w:r w:rsidR="003701FE" w:rsidRPr="00FC5D31">
        <w:rPr>
          <w:i/>
        </w:rPr>
        <w:t>Cat</w:t>
      </w:r>
      <w:r w:rsidR="003701FE">
        <w:t>. 2a14‒16</w:t>
      </w:r>
      <w:r w:rsidR="003701FE">
        <w:fldChar w:fldCharType="begin"/>
      </w:r>
      <w:r w:rsidR="003701FE">
        <w:instrText xml:space="preserve"> XE "Aristoteles:</w:instrText>
      </w:r>
      <w:r w:rsidR="003701FE" w:rsidRPr="00A40A03">
        <w:rPr>
          <w:i/>
        </w:rPr>
        <w:instrText>Cat</w:instrText>
      </w:r>
      <w:r w:rsidR="003701FE" w:rsidRPr="00A40A03">
        <w:instrText>. 2a14‒16</w:instrText>
      </w:r>
      <w:r w:rsidR="003701FE">
        <w:instrText xml:space="preserve">" </w:instrText>
      </w:r>
      <w:r w:rsidR="003701FE">
        <w:fldChar w:fldCharType="end"/>
      </w:r>
      <w:r w:rsidR="003701FE">
        <w:t xml:space="preserve">). </w:t>
      </w:r>
      <w:r>
        <w:t xml:space="preserve">V prvním případě je </w:t>
      </w:r>
      <w:r w:rsidRPr="08BC59DA">
        <w:rPr>
          <w:i/>
        </w:rPr>
        <w:t>anima intellectiva</w:t>
      </w:r>
      <w:r>
        <w:t xml:space="preserve"> definována v modu </w:t>
      </w:r>
      <w:r w:rsidRPr="08BC59DA">
        <w:rPr>
          <w:i/>
        </w:rPr>
        <w:t>simpliciter</w:t>
      </w:r>
      <w:r>
        <w:t xml:space="preserve"> a </w:t>
      </w:r>
      <w:r w:rsidRPr="08BC59DA">
        <w:rPr>
          <w:i/>
        </w:rPr>
        <w:t>actualiter</w:t>
      </w:r>
      <w:r>
        <w:t xml:space="preserve">, tedy jako popis existenciálního způsobu, jak poznáváme. Ve druhém případě jde o definici pouze v modu </w:t>
      </w:r>
      <w:r w:rsidRPr="08BC59DA">
        <w:rPr>
          <w:i/>
        </w:rPr>
        <w:t>simpliciter</w:t>
      </w:r>
      <w:r>
        <w:t xml:space="preserve">, kdy duše existuje jako abstrahovaná </w:t>
      </w:r>
      <w:r w:rsidR="00962190">
        <w:rPr>
          <w:i/>
        </w:rPr>
        <w:t>species</w:t>
      </w:r>
      <w:r>
        <w:t xml:space="preserve"> a univerzálie daná pouze v mysli. Znovu se vrací do hry postup dokazovaní podle </w:t>
      </w:r>
      <w:r w:rsidRPr="08792BA3">
        <w:rPr>
          <w:i/>
        </w:rPr>
        <w:t>Druhých analytik</w:t>
      </w:r>
      <w:r>
        <w:t xml:space="preserve"> daný podle dvojí metafyzické predikace buď první substance nebo esence (</w:t>
      </w:r>
      <w:r w:rsidRPr="00273106">
        <w:rPr>
          <w:i/>
        </w:rPr>
        <w:t>Anal. Post</w:t>
      </w:r>
      <w:r w:rsidRPr="00273106">
        <w:t>. 84a11‒14</w:t>
      </w:r>
      <w:r>
        <w:t>)</w:t>
      </w:r>
      <w:r>
        <w:fldChar w:fldCharType="begin"/>
      </w:r>
      <w:r>
        <w:instrText xml:space="preserve"> XE "Aristoteles:</w:instrText>
      </w:r>
      <w:r w:rsidRPr="00273106">
        <w:rPr>
          <w:i/>
        </w:rPr>
        <w:instrText>Anal. Post</w:instrText>
      </w:r>
      <w:r w:rsidRPr="00273106">
        <w:instrText>. 84a11‒14</w:instrText>
      </w:r>
      <w:r>
        <w:instrText xml:space="preserve">" </w:instrText>
      </w:r>
      <w:r>
        <w:fldChar w:fldCharType="end"/>
      </w:r>
      <w:r w:rsidRPr="00273106">
        <w:t>.</w:t>
      </w:r>
      <w:r>
        <w:t xml:space="preserve"> Tento rozdíl mezi oběma přístupy k intelektu neviděl aristotelik Akvinský a udělal z Averroese averroistu, což předtím provedla Bonaventurova škola. Spis </w:t>
      </w:r>
      <w:r w:rsidRPr="0865333A">
        <w:rPr>
          <w:i/>
        </w:rPr>
        <w:t>De anima</w:t>
      </w:r>
      <w:r>
        <w:t xml:space="preserve"> toto rozdělení na existenciální a formální poznání duše takto </w:t>
      </w:r>
      <w:proofErr w:type="gramStart"/>
      <w:r>
        <w:t>explicitně  neobsahuje</w:t>
      </w:r>
      <w:proofErr w:type="gramEnd"/>
      <w:r>
        <w:t>, ale pouze Komentátorův kongeniální výklad v modu Sicilské školy</w:t>
      </w:r>
      <w:r>
        <w:fldChar w:fldCharType="begin"/>
      </w:r>
      <w:r>
        <w:instrText xml:space="preserve"> XE "</w:instrText>
      </w:r>
      <w:r w:rsidRPr="0845656D">
        <w:instrText>Sicilská škola</w:instrText>
      </w:r>
      <w:r>
        <w:instrText xml:space="preserve">" </w:instrText>
      </w:r>
      <w:r>
        <w:fldChar w:fldCharType="end"/>
      </w:r>
      <w:r>
        <w:t xml:space="preserve">. Jedině výklad CMDA je autenticky daný </w:t>
      </w:r>
      <w:r w:rsidR="00BF3A9A">
        <w:t>„</w:t>
      </w:r>
      <w:r>
        <w:rPr>
          <w:i/>
        </w:rPr>
        <w:t>ad</w:t>
      </w:r>
      <w:r w:rsidRPr="08617A1E">
        <w:rPr>
          <w:i/>
        </w:rPr>
        <w:t xml:space="preserve"> mentem Aristotelis</w:t>
      </w:r>
      <w:r w:rsidR="00BF3A9A">
        <w:t>“</w:t>
      </w:r>
      <w:r>
        <w:t xml:space="preserve">, protože podržuje základní cíl jeho metafyziky </w:t>
      </w:r>
      <w:r w:rsidR="00BF3A9A">
        <w:t>„</w:t>
      </w:r>
      <w:r>
        <w:t xml:space="preserve">substance </w:t>
      </w:r>
      <w:r w:rsidRPr="08617A1E">
        <w:rPr>
          <w:i/>
        </w:rPr>
        <w:t>qua</w:t>
      </w:r>
      <w:r>
        <w:t xml:space="preserve"> substance</w:t>
      </w:r>
      <w:r w:rsidR="00BF3A9A">
        <w:t>“</w:t>
      </w:r>
      <w:r>
        <w:fldChar w:fldCharType="begin"/>
      </w:r>
      <w:r>
        <w:instrText xml:space="preserve"> XE "</w:instrText>
      </w:r>
      <w:r w:rsidRPr="080632B1">
        <w:instrText xml:space="preserve">substance </w:instrText>
      </w:r>
      <w:r w:rsidRPr="080632B1">
        <w:rPr>
          <w:i/>
        </w:rPr>
        <w:instrText>qua</w:instrText>
      </w:r>
      <w:r w:rsidRPr="080632B1">
        <w:instrText xml:space="preserve"> substance</w:instrText>
      </w:r>
      <w:r>
        <w:instrText xml:space="preserve">" </w:instrText>
      </w:r>
      <w:r>
        <w:fldChar w:fldCharType="end"/>
      </w:r>
      <w:r>
        <w:t xml:space="preserve">. Ipseita osoby znamená mnohem víc, než jen </w:t>
      </w:r>
      <w:r w:rsidRPr="00273106">
        <w:t>identita individuálního aktu poznání</w:t>
      </w:r>
      <w:r>
        <w:t xml:space="preserve"> daná na základě formá</w:t>
      </w:r>
      <w:r w:rsidR="00174A39">
        <w:t>lní definice duše nebo člověka.</w:t>
      </w:r>
    </w:p>
    <w:p w:rsidR="00F916BE" w:rsidRDefault="08163013" w:rsidP="00A36C7C">
      <w:pPr>
        <w:ind w:firstLine="397"/>
        <w:rPr>
          <w:lang w:eastAsia="en-US"/>
        </w:rPr>
      </w:pPr>
      <w:r>
        <w:t>Toto rozlišení tvoří základní rozdíl uvnitř prvního averroismu</w:t>
      </w:r>
      <w:r>
        <w:fldChar w:fldCharType="begin"/>
      </w:r>
      <w:r>
        <w:instrText xml:space="preserve"> XE "</w:instrText>
      </w:r>
      <w:r w:rsidRPr="001B22FB">
        <w:instrText>semiaverroismus</w:instrText>
      </w:r>
      <w:r>
        <w:instrText xml:space="preserve">" </w:instrText>
      </w:r>
      <w:r>
        <w:fldChar w:fldCharType="end"/>
      </w:r>
      <w:r>
        <w:t xml:space="preserve"> mezi Sigerovci v Rue du Fouarre </w:t>
      </w:r>
      <w:r w:rsidR="082A5BE4" w:rsidRPr="081942A4">
        <w:rPr>
          <w:szCs w:val="24"/>
        </w:rPr>
        <w:t>(</w:t>
      </w:r>
      <w:r w:rsidR="082A5BE4" w:rsidRPr="081942A4">
        <w:rPr>
          <w:i/>
          <w:szCs w:val="24"/>
        </w:rPr>
        <w:t>pars Sigeri</w:t>
      </w:r>
      <w:r w:rsidR="082A5BE4" w:rsidRPr="081942A4">
        <w:rPr>
          <w:szCs w:val="24"/>
        </w:rPr>
        <w:t xml:space="preserve">) </w:t>
      </w:r>
      <w:r>
        <w:t>na jedné straně a mezi řádovými představiteli prvního averroismu</w:t>
      </w:r>
      <w:r w:rsidR="00807EBE">
        <w:t xml:space="preserve">. </w:t>
      </w:r>
      <w:r w:rsidR="00807EBE" w:rsidRPr="00807EBE">
        <w:t>Patřili k nim To</w:t>
      </w:r>
      <w:r w:rsidR="00807EBE">
        <w:t>máš Akvinský a Aegidius Romanus</w:t>
      </w:r>
      <w:r w:rsidR="00807EBE">
        <w:fldChar w:fldCharType="begin"/>
      </w:r>
      <w:r w:rsidR="00807EBE">
        <w:instrText xml:space="preserve"> XE "</w:instrText>
      </w:r>
      <w:r w:rsidR="00807EBE" w:rsidRPr="00B54432">
        <w:instrText>Aegidius Romanus</w:instrText>
      </w:r>
      <w:r w:rsidR="00807EBE">
        <w:instrText xml:space="preserve">" </w:instrText>
      </w:r>
      <w:r w:rsidR="00807EBE">
        <w:fldChar w:fldCharType="end"/>
      </w:r>
      <w:r w:rsidR="00807EBE">
        <w:t>, kteří se okolo roku 1268 oddělili od „</w:t>
      </w:r>
      <w:r w:rsidR="00807EBE" w:rsidRPr="0063174F">
        <w:rPr>
          <w:i/>
        </w:rPr>
        <w:t>pars Sigeri</w:t>
      </w:r>
      <w:r w:rsidR="00807EBE">
        <w:t xml:space="preserve">“ a </w:t>
      </w:r>
      <w:r w:rsidR="00807EBE" w:rsidRPr="00807EBE">
        <w:t xml:space="preserve">hájili nový výklad </w:t>
      </w:r>
      <w:r w:rsidR="00807EBE" w:rsidRPr="00807EBE">
        <w:rPr>
          <w:i/>
        </w:rPr>
        <w:t>De anima</w:t>
      </w:r>
      <w:r w:rsidR="00807EBE">
        <w:t xml:space="preserve"> podle </w:t>
      </w:r>
      <w:r w:rsidR="00807EBE" w:rsidRPr="00807EBE">
        <w:t xml:space="preserve">Tomáše </w:t>
      </w:r>
      <w:r w:rsidR="00807EBE">
        <w:t xml:space="preserve">oslaveného </w:t>
      </w:r>
      <w:r w:rsidR="00807EBE" w:rsidRPr="00807EBE">
        <w:t xml:space="preserve">jako </w:t>
      </w:r>
      <w:r w:rsidR="00807EBE" w:rsidRPr="00807EBE">
        <w:rPr>
          <w:i/>
        </w:rPr>
        <w:t>Expositor Novus</w:t>
      </w:r>
      <w:r w:rsidR="00807EBE">
        <w:t xml:space="preserve">. </w:t>
      </w:r>
      <w:r>
        <w:t xml:space="preserve">Stejně tak nemůže současná analytická moderna v modu objektivistické </w:t>
      </w:r>
      <w:r w:rsidRPr="08A07F4A">
        <w:rPr>
          <w:i/>
        </w:rPr>
        <w:t>Oxfordian Fallacy</w:t>
      </w:r>
      <w:r>
        <w:t xml:space="preserve"> pochopit Heideggerovu definici </w:t>
      </w:r>
      <w:r w:rsidRPr="08A07F4A">
        <w:rPr>
          <w:i/>
        </w:rPr>
        <w:t>Dasein</w:t>
      </w:r>
      <w:r>
        <w:t xml:space="preserve">. </w:t>
      </w:r>
      <w:r w:rsidR="08EA6CC4">
        <w:t xml:space="preserve">Rozchod aristotelského Heideggera s avicennovským Husserlem byl stejně nevyhnutelný, </w:t>
      </w:r>
      <w:r w:rsidR="08EA6CC4">
        <w:lastRenderedPageBreak/>
        <w:t>jako rozchod aristotelských artistů na Rue du Fouarre s m</w:t>
      </w:r>
      <w:r w:rsidR="08E41CD8">
        <w:t>odernistickou katedrou mendikan</w:t>
      </w:r>
      <w:r w:rsidR="08EA6CC4">
        <w:t>t</w:t>
      </w:r>
      <w:r w:rsidR="08E41CD8">
        <w:t>s</w:t>
      </w:r>
      <w:r w:rsidR="08EA6CC4">
        <w:t>kých řádů.</w:t>
      </w:r>
      <w:r w:rsidR="08EA6CC4">
        <w:rPr>
          <w:rStyle w:val="Znakapoznpodarou"/>
        </w:rPr>
        <w:footnoteReference w:id="215"/>
      </w:r>
      <w:r w:rsidR="088E1541">
        <w:t xml:space="preserve"> </w:t>
      </w:r>
      <w:r w:rsidR="00A36C7C">
        <w:t xml:space="preserve">Tím vzniklo další kolo gigantomachie o substanci, které navazuje na aristotelskou exegezi Komentátora a Sigera z Brabantu. </w:t>
      </w:r>
      <w:r w:rsidRPr="00273106">
        <w:t xml:space="preserve">Druhý averroismus </w:t>
      </w:r>
      <w:r>
        <w:t xml:space="preserve">byl zcela mimo debatu myslitelů ze školy prvního averroismu, což dokázaly opakované akademické útěky Rufuse, Kilwardbyho a Pechama z Pařížské univerzity </w:t>
      </w:r>
      <w:proofErr w:type="gramStart"/>
      <w:r>
        <w:t>do  Oxfordu</w:t>
      </w:r>
      <w:proofErr w:type="gramEnd"/>
      <w:r>
        <w:t xml:space="preserve">. Modernisté </w:t>
      </w:r>
      <w:r w:rsidRPr="00273106">
        <w:t>podal</w:t>
      </w:r>
      <w:r>
        <w:t>i</w:t>
      </w:r>
      <w:r w:rsidRPr="00273106">
        <w:t xml:space="preserve"> p</w:t>
      </w:r>
      <w:r>
        <w:t>ovahu intelektu zásadně mylně v duchu dualismu opřeného o svět neexistujících simuláker</w:t>
      </w:r>
      <w:r>
        <w:fldChar w:fldCharType="begin"/>
      </w:r>
      <w:r>
        <w:instrText xml:space="preserve"> XE "simulákrum" </w:instrText>
      </w:r>
      <w:r>
        <w:fldChar w:fldCharType="end"/>
      </w:r>
      <w:r>
        <w:t xml:space="preserve"> třetího druhu. </w:t>
      </w:r>
      <w:r w:rsidRPr="00273106">
        <w:t>Albert s </w:t>
      </w:r>
      <w:proofErr w:type="gramStart"/>
      <w:r w:rsidRPr="00273106">
        <w:t>Akvinským</w:t>
      </w:r>
      <w:proofErr w:type="gramEnd"/>
      <w:r>
        <w:t xml:space="preserve"> </w:t>
      </w:r>
      <w:r w:rsidRPr="00273106">
        <w:t xml:space="preserve">definovali jednotu osoby věcně správně, ale nedostatečně ozřejmili práci intelektu. </w:t>
      </w:r>
      <w:r w:rsidR="08732672">
        <w:t xml:space="preserve">Siger, Albert a Akvinský odmítají každý dualismu </w:t>
      </w:r>
      <w:r w:rsidR="08732672" w:rsidRPr="00273106">
        <w:t>na způsob Avicennova „létajícího muže</w:t>
      </w:r>
      <w:r w:rsidR="08732672">
        <w:fldChar w:fldCharType="begin"/>
      </w:r>
      <w:r w:rsidR="08732672">
        <w:instrText xml:space="preserve"> XE "</w:instrText>
      </w:r>
      <w:r w:rsidR="08732672" w:rsidRPr="00FC391D">
        <w:rPr>
          <w:rStyle w:val="FontStyle129"/>
          <w:sz w:val="24"/>
        </w:rPr>
        <w:instrText>létající muž</w:instrText>
      </w:r>
      <w:r w:rsidR="08732672">
        <w:instrText xml:space="preserve">" </w:instrText>
      </w:r>
      <w:r w:rsidR="08732672">
        <w:fldChar w:fldCharType="end"/>
      </w:r>
      <w:r w:rsidR="08732672">
        <w:t>“, protože intelekt není substance.</w:t>
      </w:r>
      <w:r w:rsidR="08732672" w:rsidRPr="00273106">
        <w:t xml:space="preserve"> </w:t>
      </w:r>
      <w:r w:rsidR="08732672">
        <w:t>Albert a Akvinský ale nejsou schopni plně vyložit</w:t>
      </w:r>
      <w:r w:rsidR="08732672" w:rsidRPr="00273106">
        <w:t xml:space="preserve"> akt poro</w:t>
      </w:r>
      <w:r w:rsidR="08732672">
        <w:t xml:space="preserve">zumění v rámci existenciálního </w:t>
      </w:r>
      <w:r w:rsidR="08E02F87">
        <w:t>způsobu, „jak“ (</w:t>
      </w:r>
      <w:r w:rsidR="08732672" w:rsidRPr="00273106">
        <w:rPr>
          <w:i/>
        </w:rPr>
        <w:t>Wie</w:t>
      </w:r>
      <w:r w:rsidR="08E02F87">
        <w:rPr>
          <w:i/>
        </w:rPr>
        <w:t>)</w:t>
      </w:r>
      <w:r w:rsidR="08E02F87">
        <w:t xml:space="preserve"> poznáváme. </w:t>
      </w:r>
      <w:r w:rsidR="0887284D">
        <w:t>Averro</w:t>
      </w:r>
      <w:r w:rsidR="088B7B48">
        <w:t>es a Siger potvrdili, že t</w:t>
      </w:r>
      <w:r w:rsidR="08E02F87">
        <w:t xml:space="preserve">ento způsob </w:t>
      </w:r>
      <w:r w:rsidR="08E02F87" w:rsidRPr="08E02F87">
        <w:t xml:space="preserve">vychází </w:t>
      </w:r>
      <w:r w:rsidR="08732672">
        <w:t xml:space="preserve">v modu </w:t>
      </w:r>
      <w:r w:rsidR="08732672" w:rsidRPr="080E375B">
        <w:rPr>
          <w:i/>
        </w:rPr>
        <w:t>per prius</w:t>
      </w:r>
      <w:r w:rsidR="08732672">
        <w:t xml:space="preserve"> od ipseitně dané kauzality myšlení v nás (</w:t>
      </w:r>
      <w:r w:rsidR="08732672" w:rsidRPr="003E082C">
        <w:rPr>
          <w:i/>
        </w:rPr>
        <w:t>scire actiones animae prius est apud nos quam scire eius substantiam</w:t>
      </w:r>
      <w:r w:rsidR="08732672">
        <w:t>).</w:t>
      </w:r>
      <w:r w:rsidR="08732672" w:rsidRPr="00DC0685">
        <w:rPr>
          <w:lang w:eastAsia="en-US"/>
        </w:rPr>
        <w:t xml:space="preserve"> </w:t>
      </w:r>
      <w:r w:rsidR="084A484A">
        <w:t>Siger viděl ve vědecké definici jednoty osoby něco jiného než Toledská moderna, protože šel cestou Sicilské školy. F</w:t>
      </w:r>
      <w:r>
        <w:t xml:space="preserve">ormální </w:t>
      </w:r>
      <w:r w:rsidRPr="00273106">
        <w:t xml:space="preserve">analýza </w:t>
      </w:r>
      <w:r w:rsidR="084A484A">
        <w:t xml:space="preserve">intelektu </w:t>
      </w:r>
      <w:r>
        <w:t>nepokrývá celou perspektivu</w:t>
      </w:r>
      <w:r w:rsidRPr="00273106">
        <w:t xml:space="preserve"> CMDA</w:t>
      </w:r>
      <w:r>
        <w:t xml:space="preserve">. </w:t>
      </w:r>
      <w:r>
        <w:rPr>
          <w:lang w:eastAsia="en-US"/>
        </w:rPr>
        <w:t>Sigerova</w:t>
      </w:r>
      <w:r w:rsidRPr="00273106">
        <w:rPr>
          <w:lang w:eastAsia="en-US"/>
        </w:rPr>
        <w:t xml:space="preserve"> apologie skutečného poznání </w:t>
      </w:r>
      <w:r>
        <w:rPr>
          <w:lang w:eastAsia="en-US"/>
        </w:rPr>
        <w:t>daná v</w:t>
      </w:r>
      <w:r w:rsidR="0887284D">
        <w:rPr>
          <w:lang w:eastAsia="en-US"/>
        </w:rPr>
        <w:t xml:space="preserve"> QIIIDA </w:t>
      </w:r>
      <w:r>
        <w:rPr>
          <w:lang w:eastAsia="en-US"/>
        </w:rPr>
        <w:t xml:space="preserve">už </w:t>
      </w:r>
      <w:r w:rsidRPr="00273106">
        <w:rPr>
          <w:lang w:eastAsia="en-US"/>
        </w:rPr>
        <w:t xml:space="preserve">obsahuje jádro pozdější polemiky proti Albertovi a Akvinskému dané v díle </w:t>
      </w:r>
      <w:r w:rsidRPr="00273106">
        <w:rPr>
          <w:i/>
          <w:lang w:eastAsia="en-US"/>
        </w:rPr>
        <w:t>De anima intellectiva</w:t>
      </w:r>
      <w:r>
        <w:rPr>
          <w:lang w:eastAsia="en-US"/>
        </w:rPr>
        <w:t>, kterou ukáže následující kapitola.</w:t>
      </w:r>
      <w:r>
        <w:t xml:space="preserve"> Debata Sigera s modernisty se vrací ke starší polemice Alvernovy školy s druhým averroismem. Zásadní otázka se týká statusu </w:t>
      </w:r>
      <w:r w:rsidR="00962190" w:rsidRPr="00EE2C8C">
        <w:t>species</w:t>
      </w:r>
      <w:r>
        <w:t xml:space="preserve">, </w:t>
      </w:r>
      <w:r w:rsidRPr="00273106">
        <w:t>kt</w:t>
      </w:r>
      <w:r>
        <w:t>eré</w:t>
      </w:r>
      <w:r w:rsidRPr="00273106">
        <w:t xml:space="preserve"> zakoušíme v aktuálním průběhu poznání</w:t>
      </w:r>
      <w:r>
        <w:t xml:space="preserve">. Traktát </w:t>
      </w:r>
      <w:r w:rsidRPr="00273106">
        <w:t xml:space="preserve">musí vyšetřit, </w:t>
      </w:r>
      <w:r>
        <w:t xml:space="preserve">jak je </w:t>
      </w:r>
      <w:r w:rsidRPr="00273106">
        <w:t xml:space="preserve">poznaná univerzální forma </w:t>
      </w:r>
      <w:r>
        <w:t xml:space="preserve">nemateriální povahy </w:t>
      </w:r>
      <w:r w:rsidRPr="00273106">
        <w:t>(</w:t>
      </w:r>
      <w:r w:rsidRPr="00273106">
        <w:rPr>
          <w:i/>
          <w:lang w:eastAsia="en-US"/>
        </w:rPr>
        <w:t>quod form</w:t>
      </w:r>
      <w:r>
        <w:rPr>
          <w:i/>
          <w:lang w:eastAsia="en-US"/>
        </w:rPr>
        <w:t>a, qua accep</w:t>
      </w:r>
      <w:r w:rsidRPr="00273106">
        <w:rPr>
          <w:i/>
          <w:lang w:eastAsia="en-US"/>
        </w:rPr>
        <w:t xml:space="preserve">tionem </w:t>
      </w:r>
      <w:r w:rsidRPr="00273106">
        <w:rPr>
          <w:i/>
          <w:lang w:eastAsia="de-DE"/>
        </w:rPr>
        <w:t xml:space="preserve">universalem </w:t>
      </w:r>
      <w:r w:rsidRPr="00273106">
        <w:rPr>
          <w:i/>
          <w:lang w:eastAsia="en-US"/>
        </w:rPr>
        <w:t xml:space="preserve">fieri in nobis experimur, </w:t>
      </w:r>
      <w:r>
        <w:rPr>
          <w:i/>
          <w:lang w:eastAsia="en-US"/>
        </w:rPr>
        <w:t xml:space="preserve">non </w:t>
      </w:r>
      <w:r w:rsidRPr="00273106">
        <w:rPr>
          <w:i/>
          <w:lang w:eastAsia="en-US"/>
        </w:rPr>
        <w:t>sit materialis</w:t>
      </w:r>
      <w:r>
        <w:rPr>
          <w:lang w:eastAsia="en-US"/>
        </w:rPr>
        <w:t xml:space="preserve">; </w:t>
      </w:r>
      <w:r w:rsidR="00B72161">
        <w:t>QIIIDA,</w:t>
      </w:r>
      <w:r>
        <w:rPr>
          <w:lang w:eastAsia="en-US"/>
        </w:rPr>
        <w:t xml:space="preserve"> </w:t>
      </w:r>
      <w:r w:rsidRPr="00273106">
        <w:rPr>
          <w:lang w:eastAsia="en-US"/>
        </w:rPr>
        <w:t>q. 4, p. 13.93‒94</w:t>
      </w:r>
      <w:r>
        <w:fldChar w:fldCharType="begin"/>
      </w:r>
      <w:r>
        <w:instrText xml:space="preserve"> XE "Siger:</w:instrText>
      </w:r>
      <w:r>
        <w:rPr>
          <w:i/>
        </w:rPr>
        <w:instrText>Quaestiones</w:instrText>
      </w:r>
      <w:r w:rsidRPr="00F61947">
        <w:rPr>
          <w:i/>
        </w:rPr>
        <w:instrText xml:space="preserve"> in tertiu</w:instrText>
      </w:r>
      <w:r>
        <w:rPr>
          <w:i/>
        </w:rPr>
        <w:instrText>m D</w:instrText>
      </w:r>
      <w:r w:rsidRPr="00F61947">
        <w:rPr>
          <w:i/>
        </w:rPr>
        <w:instrText>e anima</w:instrText>
      </w:r>
      <w:r>
        <w:instrText xml:space="preserve"> 13.93</w:instrText>
      </w:r>
      <w:r w:rsidRPr="00F61947">
        <w:instrText>‒</w:instrText>
      </w:r>
      <w:r>
        <w:instrText xml:space="preserve">94" </w:instrText>
      </w:r>
      <w:r>
        <w:fldChar w:fldCharType="end"/>
      </w:r>
      <w:r w:rsidRPr="00273106">
        <w:rPr>
          <w:lang w:eastAsia="en-US"/>
        </w:rPr>
        <w:t xml:space="preserve">). </w:t>
      </w:r>
      <w:r w:rsidRPr="00273106">
        <w:t xml:space="preserve">Ve hře je další </w:t>
      </w:r>
      <w:r w:rsidRPr="00273106">
        <w:rPr>
          <w:lang w:eastAsia="en-US"/>
        </w:rPr>
        <w:t>otázka sporu mezi prvním a druhým averroismem</w:t>
      </w:r>
      <w:r>
        <w:rPr>
          <w:lang w:eastAsia="en-US"/>
        </w:rPr>
        <w:t xml:space="preserve">, tedy rozdílný status </w:t>
      </w:r>
      <w:r w:rsidR="00962190">
        <w:rPr>
          <w:i/>
          <w:lang w:eastAsia="en-US"/>
        </w:rPr>
        <w:t>species</w:t>
      </w:r>
      <w:r w:rsidRPr="00273106">
        <w:rPr>
          <w:i/>
          <w:lang w:eastAsia="en-US"/>
        </w:rPr>
        <w:t xml:space="preserve"> intelligibilis</w:t>
      </w:r>
      <w:r>
        <w:rPr>
          <w:i/>
          <w:lang w:eastAsia="en-US"/>
        </w:rPr>
        <w:fldChar w:fldCharType="begin"/>
      </w:r>
      <w:r>
        <w:instrText xml:space="preserve"> XE "</w:instrText>
      </w:r>
      <w:r w:rsidRPr="00DD403C">
        <w:rPr>
          <w:i/>
        </w:rPr>
        <w:instrText>species intelligibilis:</w:instrText>
      </w:r>
      <w:r>
        <w:instrText xml:space="preserve">Siger" </w:instrText>
      </w:r>
      <w:r>
        <w:rPr>
          <w:i/>
          <w:lang w:eastAsia="en-US"/>
        </w:rPr>
        <w:fldChar w:fldCharType="end"/>
      </w:r>
      <w:r w:rsidRPr="00273106">
        <w:rPr>
          <w:lang w:eastAsia="en-US"/>
        </w:rPr>
        <w:t xml:space="preserve">. Má </w:t>
      </w:r>
      <w:r w:rsidR="00962190" w:rsidRPr="00EE2C8C">
        <w:rPr>
          <w:lang w:eastAsia="en-US"/>
        </w:rPr>
        <w:t>species</w:t>
      </w:r>
      <w:r w:rsidRPr="00273106">
        <w:rPr>
          <w:lang w:eastAsia="en-US"/>
        </w:rPr>
        <w:t xml:space="preserve"> </w:t>
      </w:r>
      <w:r>
        <w:rPr>
          <w:lang w:eastAsia="en-US"/>
        </w:rPr>
        <w:t xml:space="preserve">hypostatický </w:t>
      </w:r>
      <w:r w:rsidRPr="00273106">
        <w:rPr>
          <w:lang w:eastAsia="en-US"/>
        </w:rPr>
        <w:t xml:space="preserve">a univoční charakter nebo je </w:t>
      </w:r>
      <w:r>
        <w:rPr>
          <w:lang w:eastAsia="en-US"/>
        </w:rPr>
        <w:t xml:space="preserve">čistým </w:t>
      </w:r>
      <w:r w:rsidR="00F916BE">
        <w:rPr>
          <w:lang w:eastAsia="en-US"/>
        </w:rPr>
        <w:t>produktem intelektu?</w:t>
      </w:r>
    </w:p>
    <w:p w:rsidR="08163013" w:rsidRPr="00273106" w:rsidRDefault="08163013" w:rsidP="00A36C7C">
      <w:pPr>
        <w:ind w:firstLine="397"/>
      </w:pPr>
      <w:r w:rsidRPr="00273106">
        <w:rPr>
          <w:lang w:eastAsia="en-US"/>
        </w:rPr>
        <w:t xml:space="preserve">Siger postupuje podle </w:t>
      </w:r>
      <w:r w:rsidRPr="081A63F4">
        <w:rPr>
          <w:i/>
          <w:lang w:eastAsia="en-US"/>
        </w:rPr>
        <w:t>Druhých analytik</w:t>
      </w:r>
      <w:r>
        <w:rPr>
          <w:lang w:eastAsia="en-US"/>
        </w:rPr>
        <w:t xml:space="preserve"> hájících metafyzický primát</w:t>
      </w:r>
      <w:r w:rsidRPr="00273106">
        <w:rPr>
          <w:lang w:eastAsia="en-US"/>
        </w:rPr>
        <w:t xml:space="preserve"> aktuální první substance. </w:t>
      </w:r>
      <w:r w:rsidRPr="00273106">
        <w:t>Nasvícení zepředu od smysly poznané první substance determ</w:t>
      </w:r>
      <w:r>
        <w:t xml:space="preserve">inuje receptivní a proto čistě </w:t>
      </w:r>
      <w:r w:rsidRPr="00273106">
        <w:t xml:space="preserve">potenciální složku nemateriálního intelektu. </w:t>
      </w:r>
      <w:r w:rsidR="006B51D0">
        <w:rPr>
          <w:lang w:eastAsia="en-US"/>
        </w:rPr>
        <w:t>I</w:t>
      </w:r>
      <w:r w:rsidR="006B51D0" w:rsidRPr="00273106">
        <w:rPr>
          <w:lang w:eastAsia="en-US"/>
        </w:rPr>
        <w:t>ntelekt</w:t>
      </w:r>
      <w:r w:rsidR="006B51D0">
        <w:rPr>
          <w:lang w:eastAsia="en-US"/>
        </w:rPr>
        <w:t xml:space="preserve"> produkuje n</w:t>
      </w:r>
      <w:r w:rsidRPr="00273106">
        <w:rPr>
          <w:lang w:eastAsia="en-US"/>
        </w:rPr>
        <w:t>emateri</w:t>
      </w:r>
      <w:r w:rsidR="006B51D0">
        <w:rPr>
          <w:lang w:eastAsia="en-US"/>
        </w:rPr>
        <w:t xml:space="preserve">ální </w:t>
      </w:r>
      <w:r w:rsidR="00962190" w:rsidRPr="00EE2C8C">
        <w:rPr>
          <w:lang w:eastAsia="en-US"/>
        </w:rPr>
        <w:lastRenderedPageBreak/>
        <w:t>species</w:t>
      </w:r>
      <w:r w:rsidR="006B51D0">
        <w:rPr>
          <w:lang w:eastAsia="en-US"/>
        </w:rPr>
        <w:t xml:space="preserve">, což </w:t>
      </w:r>
      <w:r w:rsidRPr="00273106">
        <w:rPr>
          <w:lang w:eastAsia="en-US"/>
        </w:rPr>
        <w:t xml:space="preserve">vylučuje jejich materialitu danou smyslově. </w:t>
      </w:r>
      <w:r>
        <w:rPr>
          <w:lang w:eastAsia="en-US"/>
        </w:rPr>
        <w:t xml:space="preserve">Tím je </w:t>
      </w:r>
      <w:r w:rsidR="006B51D0">
        <w:rPr>
          <w:lang w:eastAsia="en-US"/>
        </w:rPr>
        <w:t xml:space="preserve">vyřazena </w:t>
      </w:r>
      <w:r>
        <w:rPr>
          <w:lang w:eastAsia="en-US"/>
        </w:rPr>
        <w:t>u</w:t>
      </w:r>
      <w:r w:rsidRPr="00273106">
        <w:rPr>
          <w:lang w:eastAsia="en-US"/>
        </w:rPr>
        <w:t xml:space="preserve">nivocita </w:t>
      </w:r>
      <w:r w:rsidR="00962190" w:rsidRPr="00EE2C8C">
        <w:rPr>
          <w:lang w:eastAsia="en-US"/>
        </w:rPr>
        <w:t>species</w:t>
      </w:r>
      <w:r>
        <w:rPr>
          <w:lang w:eastAsia="en-US"/>
        </w:rPr>
        <w:t xml:space="preserve"> </w:t>
      </w:r>
      <w:r w:rsidRPr="00273106">
        <w:rPr>
          <w:lang w:eastAsia="en-US"/>
        </w:rPr>
        <w:t>s realitou první substance</w:t>
      </w:r>
      <w:r w:rsidR="006B51D0">
        <w:rPr>
          <w:lang w:eastAsia="en-US"/>
        </w:rPr>
        <w:t xml:space="preserve"> a může platit </w:t>
      </w:r>
      <w:r w:rsidRPr="00273106">
        <w:rPr>
          <w:lang w:eastAsia="en-US"/>
        </w:rPr>
        <w:t>adekvační teorie pravdy</w:t>
      </w:r>
      <w:r>
        <w:rPr>
          <w:lang w:eastAsia="en-US"/>
        </w:rPr>
        <w:t xml:space="preserve"> daná termíny </w:t>
      </w:r>
      <w:r w:rsidRPr="00ED4D85">
        <w:rPr>
          <w:i/>
          <w:lang w:eastAsia="en-US"/>
        </w:rPr>
        <w:t>proportio</w:t>
      </w:r>
      <w:r>
        <w:rPr>
          <w:lang w:eastAsia="en-US"/>
        </w:rPr>
        <w:t xml:space="preserve"> a </w:t>
      </w:r>
      <w:r w:rsidRPr="00ED4D85">
        <w:rPr>
          <w:i/>
          <w:lang w:eastAsia="en-US"/>
        </w:rPr>
        <w:t>consimilitudo</w:t>
      </w:r>
      <w:r>
        <w:rPr>
          <w:i/>
          <w:lang w:eastAsia="en-US"/>
        </w:rPr>
        <w:fldChar w:fldCharType="begin"/>
      </w:r>
      <w:r>
        <w:instrText xml:space="preserve"> XE "pravda:</w:instrText>
      </w:r>
      <w:r w:rsidRPr="00732D01">
        <w:rPr>
          <w:i/>
          <w:lang w:eastAsia="en-US"/>
        </w:rPr>
        <w:instrText>consimilitudo</w:instrText>
      </w:r>
      <w:r>
        <w:instrText xml:space="preserve">" </w:instrText>
      </w:r>
      <w:r>
        <w:rPr>
          <w:i/>
          <w:lang w:eastAsia="en-US"/>
        </w:rPr>
        <w:fldChar w:fldCharType="end"/>
      </w:r>
      <w:r>
        <w:rPr>
          <w:lang w:eastAsia="en-US"/>
        </w:rPr>
        <w:t xml:space="preserve"> v CMDA</w:t>
      </w:r>
      <w:r w:rsidRPr="00273106">
        <w:rPr>
          <w:lang w:eastAsia="en-US"/>
        </w:rPr>
        <w:t xml:space="preserve">. </w:t>
      </w:r>
      <w:r>
        <w:rPr>
          <w:lang w:eastAsia="en-US"/>
        </w:rPr>
        <w:t xml:space="preserve">Rozdíl mezi pojetím </w:t>
      </w:r>
      <w:r w:rsidR="00962190" w:rsidRPr="00EE2C8C">
        <w:rPr>
          <w:lang w:eastAsia="en-US"/>
        </w:rPr>
        <w:t>species</w:t>
      </w:r>
      <w:r>
        <w:rPr>
          <w:lang w:eastAsia="en-US"/>
        </w:rPr>
        <w:t xml:space="preserve"> vede k analýze aktu poznání, kde má tato otázka svůj původ. </w:t>
      </w:r>
      <w:r w:rsidRPr="00273106">
        <w:t>Pravda jako adekvace vzn</w:t>
      </w:r>
      <w:r>
        <w:t>ikne díky rozdílu mezi smyslovými</w:t>
      </w:r>
      <w:r w:rsidRPr="00273106">
        <w:t xml:space="preserve"> a inteligibilním</w:t>
      </w:r>
      <w:r>
        <w:t>i</w:t>
      </w:r>
      <w:r w:rsidRPr="00273106">
        <w:t xml:space="preserve"> </w:t>
      </w:r>
      <w:r w:rsidR="00962190" w:rsidRPr="00EE2C8C">
        <w:t>species</w:t>
      </w:r>
      <w:r w:rsidRPr="00273106">
        <w:t xml:space="preserve">, protože intelekt je </w:t>
      </w:r>
      <w:r>
        <w:t>aktualizovaný směrem od smyslů</w:t>
      </w:r>
      <w:r w:rsidRPr="00273106">
        <w:t>.</w:t>
      </w:r>
      <w:r w:rsidRPr="00D92C4B">
        <w:rPr>
          <w:lang w:eastAsia="en-US"/>
        </w:rPr>
        <w:t xml:space="preserve"> </w:t>
      </w:r>
      <w:r>
        <w:rPr>
          <w:lang w:eastAsia="en-US"/>
        </w:rPr>
        <w:t>První intelektuál latinského Západu po Al</w:t>
      </w:r>
      <w:r>
        <w:rPr>
          <w:lang w:eastAsia="en-US"/>
        </w:rPr>
        <w:noBreakHyphen/>
        <w:t xml:space="preserve">Fárábím jako Druhém mistrovi </w:t>
      </w:r>
      <w:r w:rsidRPr="00273106">
        <w:rPr>
          <w:lang w:eastAsia="en-US"/>
        </w:rPr>
        <w:t>začín</w:t>
      </w:r>
      <w:r>
        <w:rPr>
          <w:lang w:eastAsia="en-US"/>
        </w:rPr>
        <w:t>á přesnou definicí univerzální</w:t>
      </w:r>
      <w:r w:rsidRPr="00273106">
        <w:rPr>
          <w:lang w:eastAsia="en-US"/>
        </w:rPr>
        <w:t xml:space="preserve"> </w:t>
      </w:r>
      <w:r w:rsidR="00962190">
        <w:rPr>
          <w:i/>
          <w:lang w:eastAsia="en-US"/>
        </w:rPr>
        <w:t>species</w:t>
      </w:r>
      <w:r>
        <w:rPr>
          <w:lang w:eastAsia="en-US"/>
        </w:rPr>
        <w:t xml:space="preserve"> a určuje její</w:t>
      </w:r>
      <w:r w:rsidRPr="00273106">
        <w:rPr>
          <w:lang w:eastAsia="en-US"/>
        </w:rPr>
        <w:t xml:space="preserve"> status vzhledem ke smyslům a vzhledem k intelektu.</w:t>
      </w:r>
    </w:p>
    <w:p w:rsidR="08163013" w:rsidRPr="00086248" w:rsidRDefault="08163013" w:rsidP="08163013">
      <w:pPr>
        <w:pStyle w:val="Citace"/>
        <w:rPr>
          <w:noProof/>
          <w:lang w:val="cs-CZ"/>
        </w:rPr>
      </w:pPr>
      <w:r w:rsidRPr="00273106">
        <w:rPr>
          <w:noProof/>
          <w:lang w:val="cs-CZ"/>
        </w:rPr>
        <w:t>„</w:t>
      </w:r>
      <w:r>
        <w:rPr>
          <w:noProof/>
          <w:lang w:val="cs-CZ"/>
        </w:rPr>
        <w:t xml:space="preserve">Pravda je to, co rozumíme skrze inteligibilní formy dané smyslovou abstrakcí. Ale v aktu samotného porozumění intelekt nepotřebuje žádný smyslový orgán. Skrze smyslová fantasmata intelekt přijímá nemateriální esence věcí, což nemůže dělat ani představivost, ani smysly.“ </w:t>
      </w:r>
      <w:r>
        <w:rPr>
          <w:rStyle w:val="Znakapoznpodarou"/>
        </w:rPr>
        <w:footnoteReference w:id="216"/>
      </w:r>
    </w:p>
    <w:p w:rsidR="08163013" w:rsidRPr="00273106" w:rsidRDefault="08163013" w:rsidP="08163013">
      <w:r w:rsidRPr="00273106">
        <w:t>Citát jasně definuje proces smyslové abstrakce dané směrem od smyslů, a proto determinované materiálně (</w:t>
      </w:r>
      <w:r w:rsidRPr="00273106">
        <w:rPr>
          <w:i/>
        </w:rPr>
        <w:t>cum phantasmate abstractione</w:t>
      </w:r>
      <w:r w:rsidRPr="00273106">
        <w:t xml:space="preserve">). </w:t>
      </w:r>
      <w:r w:rsidR="00642724">
        <w:t>Tělesné s</w:t>
      </w:r>
      <w:r w:rsidR="00682F24">
        <w:t xml:space="preserve">mysly jsou odděleny od </w:t>
      </w:r>
      <w:r w:rsidRPr="00273106">
        <w:t>nemateriální</w:t>
      </w:r>
      <w:r w:rsidR="00682F24">
        <w:t>ho</w:t>
      </w:r>
      <w:r w:rsidRPr="00273106">
        <w:t xml:space="preserve"> výkon</w:t>
      </w:r>
      <w:r w:rsidR="00682F24">
        <w:t>u</w:t>
      </w:r>
      <w:r w:rsidRPr="00273106">
        <w:t xml:space="preserve"> intelektu (</w:t>
      </w:r>
      <w:proofErr w:type="gramStart"/>
      <w:r w:rsidRPr="00273106">
        <w:rPr>
          <w:i/>
        </w:rPr>
        <w:t>intelligimus ...formae</w:t>
      </w:r>
      <w:proofErr w:type="gramEnd"/>
      <w:r w:rsidRPr="00273106">
        <w:rPr>
          <w:i/>
        </w:rPr>
        <w:t xml:space="preserve"> intelligibilis</w:t>
      </w:r>
      <w:r w:rsidRPr="00273106">
        <w:t xml:space="preserve">). Další věta ruší </w:t>
      </w:r>
      <w:r>
        <w:t xml:space="preserve">základní tezi </w:t>
      </w:r>
      <w:r w:rsidRPr="00273106">
        <w:t xml:space="preserve">druhého averroismu a popírá univoční status </w:t>
      </w:r>
      <w:r w:rsidR="00962190" w:rsidRPr="00EE2C8C">
        <w:t>species</w:t>
      </w:r>
      <w:r w:rsidRPr="00273106">
        <w:t xml:space="preserve">. Siger </w:t>
      </w:r>
      <w:r>
        <w:t>hájí Averroes</w:t>
      </w:r>
      <w:r w:rsidRPr="00273106">
        <w:t xml:space="preserve">ovo pojetí pravdy jako </w:t>
      </w:r>
      <w:r w:rsidRPr="00273106">
        <w:rPr>
          <w:i/>
        </w:rPr>
        <w:t>proportio</w:t>
      </w:r>
      <w:r w:rsidRPr="00273106">
        <w:t xml:space="preserve"> smyslů a intelektu, nikoliv pravdu moderny danou skrze </w:t>
      </w:r>
      <w:r>
        <w:t>Anselmovo</w:t>
      </w:r>
      <w:r w:rsidRPr="00273106">
        <w:t xml:space="preserve"> </w:t>
      </w:r>
      <w:r w:rsidRPr="00273106">
        <w:rPr>
          <w:i/>
        </w:rPr>
        <w:t>rectitudo</w:t>
      </w:r>
      <w:r w:rsidRPr="00273106">
        <w:t xml:space="preserve">. </w:t>
      </w:r>
      <w:r>
        <w:t xml:space="preserve">Hermeneutický princip „jak“ </w:t>
      </w:r>
      <w:r w:rsidR="00EE2C8C">
        <w:t>poznáváme, říká</w:t>
      </w:r>
      <w:r>
        <w:t xml:space="preserve">, že poznání zakoušíme v reálném výkonu existence dané v hylemorfické první substanci. </w:t>
      </w:r>
      <w:r w:rsidRPr="00273106">
        <w:t>Intelekt přijímá univerzální, a tudíž nemateriální quidditu věcí (</w:t>
      </w:r>
      <w:r w:rsidRPr="00273106">
        <w:rPr>
          <w:i/>
        </w:rPr>
        <w:t>intellectus accipit quidditates rerum insensibiles</w:t>
      </w:r>
      <w:r>
        <w:t xml:space="preserve">) </w:t>
      </w:r>
      <w:r w:rsidRPr="00273106">
        <w:t>skrze smyslové představy (</w:t>
      </w:r>
      <w:r w:rsidRPr="00273106">
        <w:rPr>
          <w:i/>
        </w:rPr>
        <w:t>sub phantasmatibus sensibilibus</w:t>
      </w:r>
      <w:r w:rsidRPr="00273106">
        <w:t>). Aegidius Romanus</w:t>
      </w:r>
      <w:r>
        <w:fldChar w:fldCharType="begin"/>
      </w:r>
      <w:r>
        <w:instrText xml:space="preserve"> XE "</w:instrText>
      </w:r>
      <w:r w:rsidRPr="00B54432">
        <w:instrText>Aegidius Romanus</w:instrText>
      </w:r>
      <w:r>
        <w:instrText xml:space="preserve">" </w:instrText>
      </w:r>
      <w:r>
        <w:fldChar w:fldCharType="end"/>
      </w:r>
      <w:r w:rsidRPr="00273106">
        <w:t xml:space="preserve"> </w:t>
      </w:r>
      <w:r>
        <w:t xml:space="preserve">v Oxfordském rukopise </w:t>
      </w:r>
      <w:r w:rsidRPr="00273106">
        <w:t>odmítl zkoumat toto paradoxní spojení a udělal z </w:t>
      </w:r>
      <w:r>
        <w:t>Averroes</w:t>
      </w:r>
      <w:r w:rsidR="08B63499">
        <w:t>e averroistu (kap. 4</w:t>
      </w:r>
      <w:r w:rsidRPr="00273106">
        <w:t xml:space="preserve">.3.2). </w:t>
      </w:r>
      <w:r>
        <w:t>Siger vychází z</w:t>
      </w:r>
      <w:r w:rsidR="08B63499">
        <w:t xml:space="preserve"> pravdivého </w:t>
      </w:r>
      <w:r>
        <w:t xml:space="preserve">porozumění CMDA a ukazuje </w:t>
      </w:r>
      <w:r w:rsidRPr="00273106">
        <w:t>reálný průběh poznání</w:t>
      </w:r>
      <w:r>
        <w:t>. Meditace o první filosofii metodicky rozvíjí fenomenologii</w:t>
      </w:r>
      <w:r w:rsidRPr="00273106">
        <w:t xml:space="preserve"> hledajícího porozumění (</w:t>
      </w:r>
      <w:r w:rsidRPr="00273106">
        <w:rPr>
          <w:i/>
        </w:rPr>
        <w:t>tu qu</w:t>
      </w:r>
      <w:r>
        <w:rPr>
          <w:i/>
        </w:rPr>
        <w:t>a</w:t>
      </w:r>
      <w:r w:rsidRPr="00273106">
        <w:rPr>
          <w:i/>
        </w:rPr>
        <w:t>eres</w:t>
      </w:r>
      <w:r>
        <w:t xml:space="preserve">) danou v rámci hermeneutického způsobu, jak poznáváme </w:t>
      </w:r>
      <w:r w:rsidRPr="00273106">
        <w:t>(</w:t>
      </w:r>
      <w:r w:rsidRPr="00273106">
        <w:rPr>
          <w:i/>
        </w:rPr>
        <w:t>qualiter</w:t>
      </w:r>
      <w:r>
        <w:t>)</w:t>
      </w:r>
      <w:r w:rsidRPr="00273106">
        <w:t>.</w:t>
      </w:r>
    </w:p>
    <w:p w:rsidR="08163013" w:rsidRPr="00B83B70" w:rsidRDefault="08163013" w:rsidP="08163013">
      <w:pPr>
        <w:pStyle w:val="Citace"/>
        <w:rPr>
          <w:noProof/>
          <w:lang w:val="cs-CZ"/>
        </w:rPr>
      </w:pPr>
      <w:r w:rsidRPr="00273106">
        <w:rPr>
          <w:noProof/>
          <w:lang w:val="cs-CZ"/>
        </w:rPr>
        <w:t>„</w:t>
      </w:r>
      <w:r>
        <w:rPr>
          <w:noProof/>
          <w:lang w:val="cs-CZ"/>
        </w:rPr>
        <w:t>Hledáš, jak zakoušíme sami v sobě přijetí univerzálních forem daných od intelektuálního poznání? Jaká je vlastní činnost intelektu? Tvrdím, že intelekt má svou vlastní činnost danou určitým způsobem (</w:t>
      </w:r>
      <w:r w:rsidRPr="00B83B70">
        <w:rPr>
          <w:i/>
          <w:noProof/>
          <w:lang w:val="cs-CZ"/>
        </w:rPr>
        <w:t>quodammodo</w:t>
      </w:r>
      <w:r>
        <w:rPr>
          <w:noProof/>
          <w:lang w:val="cs-CZ"/>
        </w:rPr>
        <w:t>) a také tvrdím, že jsme schopni ji zakoušet (</w:t>
      </w:r>
      <w:r w:rsidRPr="009E4007">
        <w:rPr>
          <w:i/>
          <w:noProof/>
        </w:rPr>
        <w:t>dico quod hoc experimur</w:t>
      </w:r>
      <w:r>
        <w:rPr>
          <w:noProof/>
          <w:lang w:val="cs-CZ"/>
        </w:rPr>
        <w:t>). Je tomu proto, že intelekt je určitým způsobem (</w:t>
      </w:r>
      <w:r w:rsidRPr="00B83B70">
        <w:rPr>
          <w:i/>
          <w:noProof/>
          <w:lang w:val="cs-CZ"/>
        </w:rPr>
        <w:t>quodammodo</w:t>
      </w:r>
      <w:r>
        <w:rPr>
          <w:noProof/>
          <w:lang w:val="cs-CZ"/>
        </w:rPr>
        <w:t>) je dán tak, jako by byl nějaká složenina (</w:t>
      </w:r>
      <w:r w:rsidRPr="081A0A52">
        <w:rPr>
          <w:i/>
          <w:noProof/>
        </w:rPr>
        <w:t xml:space="preserve">sicut aliquid </w:t>
      </w:r>
      <w:r w:rsidRPr="081A0A52">
        <w:rPr>
          <w:i/>
          <w:noProof/>
        </w:rPr>
        <w:lastRenderedPageBreak/>
        <w:t>compositum</w:t>
      </w:r>
      <w:r>
        <w:rPr>
          <w:noProof/>
          <w:lang w:val="cs-CZ"/>
        </w:rPr>
        <w:t>) z</w:t>
      </w:r>
      <w:r w:rsidR="00C75C2E">
        <w:rPr>
          <w:noProof/>
          <w:lang w:val="cs-CZ"/>
        </w:rPr>
        <w:t xml:space="preserve"> materie a z formy. V celku svých </w:t>
      </w:r>
      <w:r>
        <w:rPr>
          <w:noProof/>
          <w:lang w:val="cs-CZ"/>
        </w:rPr>
        <w:t>schopnost</w:t>
      </w:r>
      <w:r w:rsidR="00C75C2E">
        <w:rPr>
          <w:noProof/>
          <w:lang w:val="cs-CZ"/>
        </w:rPr>
        <w:t>í</w:t>
      </w:r>
      <w:r>
        <w:rPr>
          <w:noProof/>
          <w:lang w:val="cs-CZ"/>
        </w:rPr>
        <w:t xml:space="preserve"> intelekt vnímá činnost, která je určena formou, a odtud je intelekt formou; a dále činnost, která je určena materií, a odtud je intelekt materie.“ </w:t>
      </w:r>
      <w:r>
        <w:rPr>
          <w:rStyle w:val="Znakapoznpodarou"/>
        </w:rPr>
        <w:footnoteReference w:id="217"/>
      </w:r>
    </w:p>
    <w:p w:rsidR="08163013" w:rsidRPr="081942A4" w:rsidRDefault="00A66C58" w:rsidP="08163013">
      <w:pPr>
        <w:rPr>
          <w:szCs w:val="24"/>
        </w:rPr>
      </w:pPr>
      <w:r w:rsidRPr="00273106">
        <w:t>Otázka po charakteru</w:t>
      </w:r>
      <w:r>
        <w:t xml:space="preserve"> </w:t>
      </w:r>
      <w:r w:rsidRPr="002C5F33">
        <w:t>species</w:t>
      </w:r>
      <w:r>
        <w:t xml:space="preserve"> je položena úplně jinak než v moderně a postmoderně, která je objektivně slepá k hermeneutickému poznání osoby v modu </w:t>
      </w:r>
      <w:r w:rsidRPr="00A75349">
        <w:rPr>
          <w:i/>
        </w:rPr>
        <w:t>alétheia</w:t>
      </w:r>
      <w:r>
        <w:t xml:space="preserve">. Siger se neptá, „co“ je </w:t>
      </w:r>
      <w:r w:rsidRPr="002C5F33">
        <w:t>species</w:t>
      </w:r>
      <w:r>
        <w:fldChar w:fldCharType="begin"/>
      </w:r>
      <w:r>
        <w:instrText xml:space="preserve"> XE "</w:instrText>
      </w:r>
      <w:r w:rsidRPr="08F9505E">
        <w:rPr>
          <w:i/>
        </w:rPr>
        <w:instrText>species</w:instrText>
      </w:r>
      <w:r w:rsidRPr="000463BA">
        <w:instrText>:Siger</w:instrText>
      </w:r>
      <w:r>
        <w:instrText xml:space="preserve">" </w:instrText>
      </w:r>
      <w:r>
        <w:fldChar w:fldCharType="end"/>
      </w:r>
      <w:r>
        <w:t>, ale jako fenomenolog poznání klade jinou otázku:</w:t>
      </w:r>
      <w:r w:rsidRPr="00273106">
        <w:t xml:space="preserve"> Jak sami v sobě zakoušíme vznik </w:t>
      </w:r>
      <w:r>
        <w:t>univerzálního významu</w:t>
      </w:r>
      <w:r w:rsidRPr="00273106">
        <w:t xml:space="preserve">? </w:t>
      </w:r>
      <w:r>
        <w:t xml:space="preserve">Poznání v těle vytváří </w:t>
      </w:r>
      <w:r w:rsidR="08163013">
        <w:t>univerzální poznat</w:t>
      </w:r>
      <w:r>
        <w:t>e</w:t>
      </w:r>
      <w:r w:rsidR="08163013">
        <w:t xml:space="preserve">k </w:t>
      </w:r>
      <w:r w:rsidR="08163013" w:rsidRPr="00273106">
        <w:t xml:space="preserve">díky </w:t>
      </w:r>
      <w:r>
        <w:t xml:space="preserve">osobnímu </w:t>
      </w:r>
      <w:r w:rsidR="08163013" w:rsidRPr="00273106">
        <w:t>výkonu intelektu (</w:t>
      </w:r>
      <w:r w:rsidR="08163013" w:rsidRPr="00273106">
        <w:rPr>
          <w:i/>
        </w:rPr>
        <w:t>in nobis fieri ab intellectu</w:t>
      </w:r>
      <w:r w:rsidR="08163013" w:rsidRPr="00273106">
        <w:t xml:space="preserve">). </w:t>
      </w:r>
      <w:r>
        <w:t xml:space="preserve">Objektivní </w:t>
      </w:r>
      <w:r w:rsidRPr="00295259">
        <w:rPr>
          <w:i/>
        </w:rPr>
        <w:t>factum</w:t>
      </w:r>
      <w:r>
        <w:rPr>
          <w:i/>
        </w:rPr>
        <w:fldChar w:fldCharType="begin"/>
      </w:r>
      <w:r>
        <w:instrText xml:space="preserve"> XE "</w:instrText>
      </w:r>
      <w:r w:rsidRPr="0012277B">
        <w:rPr>
          <w:i/>
        </w:rPr>
        <w:instrText>factum</w:instrText>
      </w:r>
      <w:r>
        <w:instrText xml:space="preserve">" </w:instrText>
      </w:r>
      <w:r>
        <w:rPr>
          <w:i/>
        </w:rPr>
        <w:fldChar w:fldCharType="end"/>
      </w:r>
      <w:r>
        <w:t xml:space="preserve"> není totéž jako hermeneutické </w:t>
      </w:r>
      <w:r w:rsidRPr="00295259">
        <w:rPr>
          <w:i/>
        </w:rPr>
        <w:t>fieri</w:t>
      </w:r>
      <w:r>
        <w:fldChar w:fldCharType="begin"/>
      </w:r>
      <w:r>
        <w:instrText xml:space="preserve"> XE "</w:instrText>
      </w:r>
      <w:r w:rsidRPr="007804B8">
        <w:instrText>intelekt:</w:instrText>
      </w:r>
      <w:r w:rsidRPr="002F1398">
        <w:rPr>
          <w:i/>
        </w:rPr>
        <w:instrText>esse/fieri</w:instrText>
      </w:r>
      <w:r>
        <w:instrText xml:space="preserve">" </w:instrText>
      </w:r>
      <w:r>
        <w:fldChar w:fldCharType="end"/>
      </w:r>
      <w:r>
        <w:t xml:space="preserve">. </w:t>
      </w:r>
      <w:r w:rsidR="08163013">
        <w:t xml:space="preserve">První latinský fenomenolog </w:t>
      </w:r>
      <w:r w:rsidR="086A48B4">
        <w:t xml:space="preserve">osoby </w:t>
      </w:r>
      <w:r w:rsidR="08163013">
        <w:t xml:space="preserve">po Averroesovi </w:t>
      </w:r>
      <w:r w:rsidR="086A48B4">
        <w:t xml:space="preserve">se ptá </w:t>
      </w:r>
      <w:r w:rsidR="08052276">
        <w:t>na úrovni existence (</w:t>
      </w:r>
      <w:r w:rsidR="000706F8">
        <w:rPr>
          <w:i/>
          <w:szCs w:val="24"/>
        </w:rPr>
        <w:t>Bezugsinn</w:t>
      </w:r>
      <w:r w:rsidR="0826500C">
        <w:rPr>
          <w:i/>
          <w:szCs w:val="24"/>
          <w:lang w:val="de-DE"/>
        </w:rPr>
        <w:fldChar w:fldCharType="begin"/>
      </w:r>
      <w:r w:rsidR="0826500C">
        <w:instrText xml:space="preserve"> XE "</w:instrText>
      </w:r>
      <w:r w:rsidR="007E4FB3">
        <w:rPr>
          <w:i/>
          <w:szCs w:val="24"/>
        </w:rPr>
        <w:instrText>Bezugsinn</w:instrText>
      </w:r>
      <w:r w:rsidR="0826500C">
        <w:instrText xml:space="preserve">" </w:instrText>
      </w:r>
      <w:r w:rsidR="0826500C">
        <w:rPr>
          <w:i/>
          <w:szCs w:val="24"/>
          <w:lang w:val="de-DE"/>
        </w:rPr>
        <w:fldChar w:fldCharType="end"/>
      </w:r>
      <w:r w:rsidR="08052276" w:rsidRPr="081942A4">
        <w:rPr>
          <w:i/>
          <w:szCs w:val="24"/>
        </w:rPr>
        <w:t xml:space="preserve">, </w:t>
      </w:r>
      <w:r w:rsidR="086A48B4" w:rsidRPr="081942A4">
        <w:rPr>
          <w:i/>
          <w:szCs w:val="24"/>
        </w:rPr>
        <w:t>Befragtes</w:t>
      </w:r>
      <w:r w:rsidR="08052276" w:rsidRPr="081942A4">
        <w:rPr>
          <w:szCs w:val="24"/>
        </w:rPr>
        <w:t>), j</w:t>
      </w:r>
      <w:r w:rsidR="08163013" w:rsidRPr="00273106">
        <w:t xml:space="preserve">ak </w:t>
      </w:r>
      <w:r w:rsidR="08163013">
        <w:t xml:space="preserve">reálně a kauzálně </w:t>
      </w:r>
      <w:r w:rsidR="08163013" w:rsidRPr="00273106">
        <w:t>probíhá</w:t>
      </w:r>
      <w:r w:rsidR="08163013">
        <w:t xml:space="preserve"> recepce poznané formy </w:t>
      </w:r>
      <w:r w:rsidR="08163013" w:rsidRPr="00273106">
        <w:t>(</w:t>
      </w:r>
      <w:r w:rsidR="08163013" w:rsidRPr="00273106">
        <w:rPr>
          <w:i/>
        </w:rPr>
        <w:t>qualiter ergo experimur acceptionem formae communis</w:t>
      </w:r>
      <w:r w:rsidR="08163013" w:rsidRPr="00273106">
        <w:t>)</w:t>
      </w:r>
      <w:r w:rsidR="08163013">
        <w:fldChar w:fldCharType="begin"/>
      </w:r>
      <w:r w:rsidR="08163013">
        <w:instrText xml:space="preserve"> XE "</w:instrText>
      </w:r>
      <w:r w:rsidR="08163013" w:rsidRPr="007804B8">
        <w:instrText>intelekt:</w:instrText>
      </w:r>
      <w:r w:rsidR="08163013" w:rsidRPr="002F1398">
        <w:rPr>
          <w:i/>
        </w:rPr>
        <w:instrText>esse/fieri</w:instrText>
      </w:r>
      <w:r w:rsidR="08163013">
        <w:instrText xml:space="preserve">" </w:instrText>
      </w:r>
      <w:r w:rsidR="08163013">
        <w:fldChar w:fldCharType="end"/>
      </w:r>
      <w:r w:rsidR="08052276">
        <w:t>.</w:t>
      </w:r>
      <w:r w:rsidR="086A48B4">
        <w:t xml:space="preserve"> </w:t>
      </w:r>
      <w:r w:rsidR="08163013" w:rsidRPr="00273106">
        <w:t xml:space="preserve">V aktu vlastního výkonu poznání </w:t>
      </w:r>
      <w:r w:rsidR="08163013">
        <w:t>zakoušíme</w:t>
      </w:r>
      <w:r w:rsidR="08163013" w:rsidRPr="00273106">
        <w:t xml:space="preserve"> (</w:t>
      </w:r>
      <w:r w:rsidR="08163013" w:rsidRPr="00273106">
        <w:rPr>
          <w:i/>
        </w:rPr>
        <w:t>experimur</w:t>
      </w:r>
      <w:r w:rsidR="08163013" w:rsidRPr="00273106">
        <w:t xml:space="preserve">) </w:t>
      </w:r>
      <w:r w:rsidR="00962190">
        <w:rPr>
          <w:i/>
        </w:rPr>
        <w:t>species</w:t>
      </w:r>
      <w:r w:rsidR="08163013">
        <w:t xml:space="preserve"> skrze kompozitní</w:t>
      </w:r>
      <w:r w:rsidR="08163013" w:rsidRPr="00273106">
        <w:t xml:space="preserve"> vlastnost intelektu</w:t>
      </w:r>
      <w:r w:rsidR="08163013">
        <w:t xml:space="preserve"> daného jak smyslově tak inteligibilně</w:t>
      </w:r>
      <w:r w:rsidR="08163013" w:rsidRPr="00273106">
        <w:t xml:space="preserve">. </w:t>
      </w:r>
      <w:r w:rsidR="08163013">
        <w:t>Intelekt j</w:t>
      </w:r>
      <w:r w:rsidR="08163013" w:rsidRPr="00273106">
        <w:t xml:space="preserve">e </w:t>
      </w:r>
      <w:r w:rsidR="08163013">
        <w:t>podobný</w:t>
      </w:r>
      <w:r w:rsidR="08163013" w:rsidRPr="00273106">
        <w:t xml:space="preserve"> hylemorfické kompozici (</w:t>
      </w:r>
      <w:r w:rsidR="08163013" w:rsidRPr="00273106">
        <w:rPr>
          <w:i/>
        </w:rPr>
        <w:t>intellectus noster est quodammodo sicut aliquid compositum ex materia</w:t>
      </w:r>
      <w:r w:rsidR="08163013" w:rsidRPr="00273106">
        <w:t>). Ale jakákoliv mesaliance s pojetím Bonaventurovy kvazi-materie je vyloučena, viz předešlé teze o intelektu odděleného od materie</w:t>
      </w:r>
      <w:r w:rsidR="08163013">
        <w:t xml:space="preserve"> (</w:t>
      </w:r>
      <w:r w:rsidR="08163013" w:rsidRPr="00883C0E">
        <w:rPr>
          <w:i/>
        </w:rPr>
        <w:t>ab extrinseco</w:t>
      </w:r>
      <w:r w:rsidR="08163013">
        <w:t>)</w:t>
      </w:r>
      <w:r w:rsidR="08163013" w:rsidRPr="00273106">
        <w:t>. Naše přímá zkušenost vykazuje poznání j</w:t>
      </w:r>
      <w:r w:rsidR="08163013">
        <w:t>ak od</w:t>
      </w:r>
      <w:r w:rsidR="08163013" w:rsidRPr="00273106">
        <w:t xml:space="preserve"> materiálně daných smyslů (</w:t>
      </w:r>
      <w:r w:rsidR="08163013" w:rsidRPr="00273106">
        <w:rPr>
          <w:i/>
        </w:rPr>
        <w:t>debetur materiae unde materia est</w:t>
      </w:r>
      <w:r w:rsidR="08163013">
        <w:t xml:space="preserve">), tak i směrem </w:t>
      </w:r>
      <w:r w:rsidR="08163013" w:rsidRPr="00273106">
        <w:t>od abstrahujícího a syntetizujícího intelektu (</w:t>
      </w:r>
      <w:r w:rsidR="08163013" w:rsidRPr="00273106">
        <w:rPr>
          <w:i/>
        </w:rPr>
        <w:t>debetur formae unde forma est</w:t>
      </w:r>
      <w:r w:rsidR="08163013" w:rsidRPr="00273106">
        <w:t>). Závěr citátu tvrdí, že jsme schopni v celostním výkonu intelektu zakusit (</w:t>
      </w:r>
      <w:r w:rsidR="08163013" w:rsidRPr="00273106">
        <w:rPr>
          <w:i/>
        </w:rPr>
        <w:t>in toto enim potentia percipitur operatio</w:t>
      </w:r>
      <w:r w:rsidR="08163013" w:rsidRPr="00273106">
        <w:t>) oba směry</w:t>
      </w:r>
      <w:r w:rsidR="08163013">
        <w:t xml:space="preserve"> nebo způsoby</w:t>
      </w:r>
      <w:r w:rsidR="08163013" w:rsidRPr="00273106">
        <w:t xml:space="preserve">, odkud </w:t>
      </w:r>
      <w:r w:rsidR="08163013">
        <w:t xml:space="preserve">a jak </w:t>
      </w:r>
      <w:r w:rsidR="08163013" w:rsidRPr="00273106">
        <w:t xml:space="preserve">poznáváme celek jsoucna. Porovnejme </w:t>
      </w:r>
      <w:r w:rsidR="08163013">
        <w:t xml:space="preserve">Sigerovo </w:t>
      </w:r>
      <w:r w:rsidR="08163013" w:rsidRPr="00273106">
        <w:rPr>
          <w:i/>
        </w:rPr>
        <w:t>debetur</w:t>
      </w:r>
      <w:r w:rsidR="08163013" w:rsidRPr="00273106">
        <w:t xml:space="preserve"> </w:t>
      </w:r>
      <w:r w:rsidR="08163013">
        <w:t xml:space="preserve">daném nutností podle </w:t>
      </w:r>
      <w:r w:rsidR="08163013" w:rsidRPr="08564334">
        <w:rPr>
          <w:i/>
        </w:rPr>
        <w:t>Druhých analytik</w:t>
      </w:r>
      <w:r w:rsidR="08163013">
        <w:t xml:space="preserve"> </w:t>
      </w:r>
      <w:r w:rsidR="08163013" w:rsidRPr="00273106">
        <w:t xml:space="preserve">s dogmatickými </w:t>
      </w:r>
      <w:r w:rsidR="08163013">
        <w:t xml:space="preserve">a sofistickými </w:t>
      </w:r>
      <w:r w:rsidR="08163013" w:rsidRPr="00273106">
        <w:t>formulacemi druhého averroismu</w:t>
      </w:r>
      <w:r w:rsidR="08163013">
        <w:t>, zejména Oxfordské analytické školy (</w:t>
      </w:r>
      <w:r w:rsidR="08163013" w:rsidRPr="0014478B">
        <w:rPr>
          <w:i/>
        </w:rPr>
        <w:t>subiectum debet esse tale</w:t>
      </w:r>
      <w:r w:rsidR="084328C5">
        <w:t>, kap. 4</w:t>
      </w:r>
      <w:r w:rsidR="08163013" w:rsidRPr="00682199">
        <w:t>.3.2</w:t>
      </w:r>
      <w:r w:rsidR="08163013">
        <w:t xml:space="preserve">). Siger definoval nutnost poznání podle reálné kauzality středního členu soudu, tak jak to požadují </w:t>
      </w:r>
      <w:r w:rsidR="08163013" w:rsidRPr="089D14AE">
        <w:rPr>
          <w:i/>
        </w:rPr>
        <w:t>Druhé analytiky</w:t>
      </w:r>
      <w:r w:rsidR="08163013">
        <w:t xml:space="preserve"> pro vědecké poznání. </w:t>
      </w:r>
      <w:r w:rsidR="08163013" w:rsidRPr="00273106">
        <w:t xml:space="preserve">Znovu platí základní Aristotelova a </w:t>
      </w:r>
      <w:r w:rsidR="08163013">
        <w:t>Averroes</w:t>
      </w:r>
      <w:r w:rsidR="08163013" w:rsidRPr="00273106">
        <w:t xml:space="preserve">ova teze, že univerzália existují </w:t>
      </w:r>
      <w:r w:rsidR="08163013">
        <w:t xml:space="preserve">pouze v intelektu. Všem aristotelským magistrům </w:t>
      </w:r>
      <w:r w:rsidR="08DF2148">
        <w:t xml:space="preserve">v Paříži </w:t>
      </w:r>
      <w:r w:rsidR="08163013">
        <w:t xml:space="preserve">bylo jasné, že </w:t>
      </w:r>
      <w:r w:rsidR="08DF2148">
        <w:t xml:space="preserve">Siger </w:t>
      </w:r>
      <w:r w:rsidR="08163013">
        <w:t>obhájil metafyzi</w:t>
      </w:r>
      <w:r w:rsidR="00D70900">
        <w:t>ku „</w:t>
      </w:r>
      <w:r w:rsidR="08163013">
        <w:rPr>
          <w:i/>
        </w:rPr>
        <w:t>ad mentem Averrois</w:t>
      </w:r>
      <w:r w:rsidR="00D70900">
        <w:t>“</w:t>
      </w:r>
      <w:r w:rsidR="08163013">
        <w:t xml:space="preserve"> podle CMDA a opravil skrytý dualismus v originálním spise </w:t>
      </w:r>
      <w:r w:rsidR="08163013" w:rsidRPr="089A77E5">
        <w:rPr>
          <w:i/>
        </w:rPr>
        <w:t>De anima</w:t>
      </w:r>
      <w:r w:rsidR="08163013" w:rsidRPr="00273106">
        <w:t xml:space="preserve">. Siger ukázal </w:t>
      </w:r>
      <w:r w:rsidR="08163013">
        <w:t xml:space="preserve">v modu </w:t>
      </w:r>
      <w:r w:rsidR="08163013" w:rsidRPr="00273106">
        <w:t>hermeneutické</w:t>
      </w:r>
      <w:r w:rsidR="08163013">
        <w:t>ho „j</w:t>
      </w:r>
      <w:r w:rsidR="08163013" w:rsidRPr="00273106">
        <w:t>ak“ (</w:t>
      </w:r>
      <w:r w:rsidR="08163013" w:rsidRPr="00273106">
        <w:rPr>
          <w:i/>
        </w:rPr>
        <w:t>Wie</w:t>
      </w:r>
      <w:r w:rsidR="08163013" w:rsidRPr="00273106">
        <w:t xml:space="preserve">) probíhá skutečný průběh </w:t>
      </w:r>
      <w:r w:rsidR="08163013" w:rsidRPr="00273106">
        <w:lastRenderedPageBreak/>
        <w:t>poznání</w:t>
      </w:r>
      <w:r w:rsidR="08163013">
        <w:t xml:space="preserve">. Kolem roku 1266 předložil výklad </w:t>
      </w:r>
      <w:r w:rsidR="08163013" w:rsidRPr="00273106">
        <w:t>intelektu</w:t>
      </w:r>
      <w:r w:rsidR="08163013">
        <w:t xml:space="preserve"> podle vědeckého soudu </w:t>
      </w:r>
      <w:r w:rsidR="08163013" w:rsidRPr="08A57AAD">
        <w:rPr>
          <w:i/>
        </w:rPr>
        <w:t xml:space="preserve">Druhých analytik </w:t>
      </w:r>
      <w:r w:rsidR="08163013">
        <w:t>a v plné shodě s literou a duchem CMDA</w:t>
      </w:r>
      <w:r w:rsidR="08163013">
        <w:fldChar w:fldCharType="begin"/>
      </w:r>
      <w:r w:rsidR="08163013">
        <w:instrText xml:space="preserve"> XE "</w:instrText>
      </w:r>
      <w:r w:rsidR="08163013" w:rsidRPr="00E46FFF">
        <w:instrText>intelekt:Siger</w:instrText>
      </w:r>
      <w:r w:rsidR="08163013">
        <w:instrText xml:space="preserve">" </w:instrText>
      </w:r>
      <w:r w:rsidR="08163013">
        <w:fldChar w:fldCharType="end"/>
      </w:r>
      <w:r w:rsidR="08163013" w:rsidRPr="00273106">
        <w:t xml:space="preserve">. </w:t>
      </w:r>
      <w:r w:rsidR="08163013">
        <w:t xml:space="preserve">Jeho brilantní výklad vyřadil </w:t>
      </w:r>
      <w:r w:rsidR="08163013" w:rsidRPr="00DA6C31">
        <w:rPr>
          <w:i/>
        </w:rPr>
        <w:t>Oxfordian Fallacy</w:t>
      </w:r>
      <w:r w:rsidR="08163013">
        <w:rPr>
          <w:i/>
        </w:rPr>
        <w:fldChar w:fldCharType="begin"/>
      </w:r>
      <w:r w:rsidR="08163013">
        <w:instrText xml:space="preserve"> XE "</w:instrText>
      </w:r>
      <w:r w:rsidR="08163013" w:rsidRPr="0015798D">
        <w:rPr>
          <w:i/>
        </w:rPr>
        <w:instrText>Oxfordian Fallacy:</w:instrText>
      </w:r>
      <w:r w:rsidR="08163013" w:rsidRPr="00B26EF7">
        <w:instrText>kritika Sigera</w:instrText>
      </w:r>
      <w:r w:rsidR="08163013">
        <w:instrText xml:space="preserve">" </w:instrText>
      </w:r>
      <w:r w:rsidR="08163013">
        <w:rPr>
          <w:i/>
        </w:rPr>
        <w:fldChar w:fldCharType="end"/>
      </w:r>
      <w:r w:rsidR="08163013">
        <w:t xml:space="preserve"> z poznání tím, že začal demonstraci od kauzálně vykazatelného středního členu soudu, který každý z nás zakouší osobně, když cokoliv poznává. Brabantský magistr</w:t>
      </w:r>
      <w:r w:rsidR="08163013" w:rsidRPr="00273106">
        <w:t xml:space="preserve"> syntetizoval nový subjekt </w:t>
      </w:r>
      <w:r w:rsidR="08163013">
        <w:t xml:space="preserve">poznání v modu </w:t>
      </w:r>
      <w:r w:rsidR="08163013" w:rsidRPr="00273106">
        <w:t>anti</w:t>
      </w:r>
      <w:r w:rsidR="08163013" w:rsidRPr="00273106">
        <w:noBreakHyphen/>
        <w:t>karteziánské</w:t>
      </w:r>
      <w:r w:rsidR="08163013">
        <w:t xml:space="preserve"> evidence</w:t>
      </w:r>
      <w:r w:rsidR="08163013">
        <w:rPr>
          <w:i/>
        </w:rPr>
        <w:fldChar w:fldCharType="begin"/>
      </w:r>
      <w:r w:rsidR="08163013">
        <w:instrText xml:space="preserve"> XE "</w:instrText>
      </w:r>
      <w:r w:rsidR="08163013" w:rsidRPr="00360013">
        <w:rPr>
          <w:i/>
        </w:rPr>
        <w:instrText>subiectum:</w:instrText>
      </w:r>
      <w:r w:rsidR="08163013">
        <w:instrText xml:space="preserve">Siger" </w:instrText>
      </w:r>
      <w:r w:rsidR="08163013">
        <w:rPr>
          <w:i/>
        </w:rPr>
        <w:fldChar w:fldCharType="end"/>
      </w:r>
      <w:r w:rsidR="08163013">
        <w:t xml:space="preserve"> opřené o smyslovou zkušenost. Citujme jeho odpověď na otázku, jak intelekt syntetizuje obecnou formu na základě smyslového poznání.</w:t>
      </w:r>
    </w:p>
    <w:p w:rsidR="08163013" w:rsidRPr="003A41B5" w:rsidRDefault="08163013" w:rsidP="08163013">
      <w:pPr>
        <w:pStyle w:val="Citace"/>
        <w:rPr>
          <w:noProof/>
          <w:lang w:val="cs-CZ"/>
        </w:rPr>
      </w:pPr>
      <w:r w:rsidRPr="00273106">
        <w:rPr>
          <w:noProof/>
          <w:lang w:val="cs-CZ"/>
        </w:rPr>
        <w:t>„</w:t>
      </w:r>
      <w:r>
        <w:rPr>
          <w:noProof/>
          <w:lang w:val="cs-CZ"/>
        </w:rPr>
        <w:t>Jsme si vědomi činnosti intelektu (</w:t>
      </w:r>
      <w:r w:rsidRPr="001C3703">
        <w:rPr>
          <w:i/>
          <w:noProof/>
          <w:lang w:val="cs-CZ"/>
        </w:rPr>
        <w:t>nos</w:t>
      </w:r>
      <w:r>
        <w:rPr>
          <w:noProof/>
          <w:lang w:val="cs-CZ"/>
        </w:rPr>
        <w:t xml:space="preserve"> </w:t>
      </w:r>
      <w:r w:rsidRPr="008044FA">
        <w:rPr>
          <w:i/>
          <w:noProof/>
          <w:lang w:val="cs-CZ"/>
        </w:rPr>
        <w:t>conscii sumus intellectum</w:t>
      </w:r>
      <w:r>
        <w:rPr>
          <w:noProof/>
          <w:lang w:val="cs-CZ"/>
        </w:rPr>
        <w:t>) díky tělesným schopnostem (</w:t>
      </w:r>
      <w:r w:rsidRPr="00875253">
        <w:rPr>
          <w:i/>
          <w:noProof/>
          <w:lang w:val="cs-CZ"/>
        </w:rPr>
        <w:t>ex virtutibus corporis</w:t>
      </w:r>
      <w:r>
        <w:rPr>
          <w:noProof/>
          <w:lang w:val="cs-CZ"/>
        </w:rPr>
        <w:t xml:space="preserve">). Dění, které je v nás dáno nebo probíhá, vzniká skrze takto definované schopnosti těla a materie. </w:t>
      </w:r>
      <w:r>
        <w:rPr>
          <w:lang w:val="cs-CZ"/>
        </w:rPr>
        <w:t xml:space="preserve">Podobným způsobem </w:t>
      </w:r>
      <w:r>
        <w:rPr>
          <w:noProof/>
          <w:lang w:val="cs-CZ"/>
        </w:rPr>
        <w:t>(</w:t>
      </w:r>
      <w:r w:rsidRPr="00E5172D">
        <w:rPr>
          <w:i/>
          <w:noProof/>
          <w:lang w:val="cs-CZ"/>
        </w:rPr>
        <w:t>similiter</w:t>
      </w:r>
      <w:r>
        <w:rPr>
          <w:noProof/>
          <w:lang w:val="cs-CZ"/>
        </w:rPr>
        <w:t xml:space="preserve">) </w:t>
      </w:r>
      <w:r>
        <w:rPr>
          <w:lang w:val="cs-CZ"/>
        </w:rPr>
        <w:t>vnímáme dění, které v nás probíhá skrze intelekt.</w:t>
      </w:r>
      <w:r>
        <w:rPr>
          <w:noProof/>
          <w:lang w:val="cs-CZ"/>
        </w:rPr>
        <w:t xml:space="preserve"> Je to náš vlastní intelekt (</w:t>
      </w:r>
      <w:r w:rsidRPr="006D7911">
        <w:rPr>
          <w:i/>
          <w:noProof/>
          <w:lang w:val="cs-CZ" w:eastAsia="en-US"/>
        </w:rPr>
        <w:t>ipse est intellectus noster</w:t>
      </w:r>
      <w:r>
        <w:rPr>
          <w:noProof/>
          <w:lang w:val="cs-CZ"/>
        </w:rPr>
        <w:t>), skrze který zakoušíme (</w:t>
      </w:r>
      <w:r w:rsidRPr="006D7911">
        <w:rPr>
          <w:i/>
          <w:noProof/>
          <w:lang w:val="cs-CZ" w:eastAsia="en-US"/>
        </w:rPr>
        <w:t>per quem experimur</w:t>
      </w:r>
      <w:r>
        <w:rPr>
          <w:noProof/>
          <w:lang w:val="cs-CZ"/>
        </w:rPr>
        <w:t>) přijetí univerzálního poznatku, který v nás vzniká (</w:t>
      </w:r>
      <w:r w:rsidRPr="004E69B3">
        <w:rPr>
          <w:i/>
          <w:noProof/>
          <w:lang w:eastAsia="en-US"/>
        </w:rPr>
        <w:t>fieri in nobis</w:t>
      </w:r>
      <w:r>
        <w:rPr>
          <w:noProof/>
          <w:lang w:val="cs-CZ"/>
        </w:rPr>
        <w:t>). Náš intelekt zakouší sám sebe ve výkonu vlastní činnosti (</w:t>
      </w:r>
      <w:r w:rsidRPr="0022516D">
        <w:rPr>
          <w:i/>
          <w:noProof/>
          <w:lang w:val="cs-CZ" w:eastAsia="en-US"/>
        </w:rPr>
        <w:t>apprehendit se ipsum sicut operari</w:t>
      </w:r>
      <w:r>
        <w:rPr>
          <w:noProof/>
          <w:lang w:val="cs-CZ"/>
        </w:rPr>
        <w:t xml:space="preserve">). Pokud přijmeme tyto předpoklady, pak z nich vychází pojetí intelektu jako nemateriálního, a tím nezrozeného.“ </w:t>
      </w:r>
      <w:r>
        <w:rPr>
          <w:rStyle w:val="Znakapoznpodarou"/>
        </w:rPr>
        <w:footnoteReference w:id="218"/>
      </w:r>
    </w:p>
    <w:p w:rsidR="0068425E" w:rsidRDefault="08163013" w:rsidP="08163013">
      <w:pPr>
        <w:rPr>
          <w:lang w:eastAsia="en-US"/>
        </w:rPr>
      </w:pPr>
      <w:r w:rsidRPr="00273106">
        <w:t>Vraťme se k tázání po výkonu myšlení, které zakoušíme v první osobě. První věta r</w:t>
      </w:r>
      <w:r>
        <w:t xml:space="preserve">uší mýtus karteziánského </w:t>
      </w:r>
      <w:r w:rsidRPr="00122A5C">
        <w:rPr>
          <w:i/>
        </w:rPr>
        <w:t>cogito</w:t>
      </w:r>
      <w:r>
        <w:rPr>
          <w:i/>
        </w:rPr>
        <w:fldChar w:fldCharType="begin"/>
      </w:r>
      <w:r>
        <w:instrText xml:space="preserve"> XE "</w:instrText>
      </w:r>
      <w:r w:rsidRPr="003D2937">
        <w:rPr>
          <w:i/>
        </w:rPr>
        <w:instrText>cogito</w:instrText>
      </w:r>
      <w:r>
        <w:instrText xml:space="preserve">" </w:instrText>
      </w:r>
      <w:r>
        <w:rPr>
          <w:i/>
        </w:rPr>
        <w:fldChar w:fldCharType="end"/>
      </w:r>
      <w:r w:rsidRPr="00273106">
        <w:t>, které funguje jako oddělená substance vůči tělu jako jiné substanci. Protože intelekt je aktualizován směrem od smyslů</w:t>
      </w:r>
      <w:r>
        <w:t xml:space="preserve"> (</w:t>
      </w:r>
      <w:r w:rsidRPr="00273106">
        <w:rPr>
          <w:i/>
        </w:rPr>
        <w:t>ex virtutibus corporis</w:t>
      </w:r>
      <w:r>
        <w:t>)</w:t>
      </w:r>
      <w:r w:rsidRPr="00273106">
        <w:t>, získáváme jak vědění od smyslů, tak i vědění našeho vědění</w:t>
      </w:r>
      <w:r>
        <w:t xml:space="preserve"> (</w:t>
      </w:r>
      <w:r w:rsidRPr="005A7861">
        <w:rPr>
          <w:i/>
        </w:rPr>
        <w:t>nos conscii sumus</w:t>
      </w:r>
      <w:r w:rsidRPr="005A7861">
        <w:t xml:space="preserve">). </w:t>
      </w:r>
      <w:r>
        <w:t>Poznání intelektu</w:t>
      </w:r>
      <w:r>
        <w:fldChar w:fldCharType="begin"/>
      </w:r>
      <w:r>
        <w:instrText xml:space="preserve"> XE "intelekt:</w:instrText>
      </w:r>
      <w:r w:rsidRPr="00D04010">
        <w:rPr>
          <w:i/>
        </w:rPr>
        <w:instrText>experimur</w:instrText>
      </w:r>
      <w:r w:rsidRPr="008D12CB">
        <w:instrText>/</w:instrText>
      </w:r>
      <w:r w:rsidRPr="00D04010">
        <w:rPr>
          <w:i/>
        </w:rPr>
        <w:instrText>cons</w:instrText>
      </w:r>
      <w:r>
        <w:rPr>
          <w:i/>
        </w:rPr>
        <w:instrText>c</w:instrText>
      </w:r>
      <w:r w:rsidRPr="00D04010">
        <w:rPr>
          <w:i/>
        </w:rPr>
        <w:instrText>ii sumus</w:instrText>
      </w:r>
      <w:r>
        <w:instrText xml:space="preserve">" </w:instrText>
      </w:r>
      <w:r>
        <w:fldChar w:fldCharType="end"/>
      </w:r>
      <w:r>
        <w:t xml:space="preserve"> jako zakoušeného objektu (</w:t>
      </w:r>
      <w:r w:rsidRPr="005A7861">
        <w:rPr>
          <w:i/>
        </w:rPr>
        <w:t xml:space="preserve">conscii </w:t>
      </w:r>
      <w:proofErr w:type="gramStart"/>
      <w:r w:rsidRPr="005A7861">
        <w:rPr>
          <w:i/>
        </w:rPr>
        <w:t>sumus</w:t>
      </w:r>
      <w:r>
        <w:rPr>
          <w:i/>
        </w:rPr>
        <w:t xml:space="preserve"> ...intellectum</w:t>
      </w:r>
      <w:proofErr w:type="gramEnd"/>
      <w:r>
        <w:t xml:space="preserve">) je dáno tělesně a smyslově. Toto místo tvoří jádro tehdy zavedené teorie </w:t>
      </w:r>
      <w:r w:rsidR="00210AE2">
        <w:t>„</w:t>
      </w:r>
      <w:r w:rsidRPr="08487915">
        <w:rPr>
          <w:i/>
        </w:rPr>
        <w:t>subiective</w:t>
      </w:r>
      <w:r>
        <w:t>‒</w:t>
      </w:r>
      <w:r w:rsidRPr="08487915">
        <w:rPr>
          <w:i/>
        </w:rPr>
        <w:t>obiecti</w:t>
      </w:r>
      <w:r>
        <w:rPr>
          <w:i/>
        </w:rPr>
        <w:t>v</w:t>
      </w:r>
      <w:r w:rsidRPr="08487915">
        <w:rPr>
          <w:i/>
        </w:rPr>
        <w:t>e</w:t>
      </w:r>
      <w:r w:rsidR="00210AE2">
        <w:t>“</w:t>
      </w:r>
      <w:r>
        <w:rPr>
          <w:i/>
        </w:rPr>
        <w:fldChar w:fldCharType="begin"/>
      </w:r>
      <w:r>
        <w:instrText xml:space="preserve"> XE "</w:instrText>
      </w:r>
      <w:r w:rsidRPr="006841AD">
        <w:instrText>intelekt:</w:instrText>
      </w:r>
      <w:r w:rsidRPr="00863D73">
        <w:rPr>
          <w:i/>
        </w:rPr>
        <w:instrText>subiective</w:instrText>
      </w:r>
      <w:r w:rsidRPr="006841AD">
        <w:instrText>/</w:instrText>
      </w:r>
      <w:r w:rsidRPr="00863D73">
        <w:rPr>
          <w:i/>
        </w:rPr>
        <w:instrText>obiective</w:instrText>
      </w:r>
      <w:r>
        <w:instrText xml:space="preserve">" </w:instrText>
      </w:r>
      <w:r>
        <w:rPr>
          <w:i/>
        </w:rPr>
        <w:fldChar w:fldCharType="end"/>
      </w:r>
      <w:r>
        <w:t xml:space="preserve">. Nositelem intelektu je nemateriální schopnost kompozitní </w:t>
      </w:r>
      <w:r>
        <w:rPr>
          <w:i/>
        </w:rPr>
        <w:t>anima intel</w:t>
      </w:r>
      <w:r w:rsidRPr="08F952C3">
        <w:rPr>
          <w:i/>
        </w:rPr>
        <w:t>l</w:t>
      </w:r>
      <w:r>
        <w:rPr>
          <w:i/>
        </w:rPr>
        <w:t>e</w:t>
      </w:r>
      <w:r w:rsidRPr="08F952C3">
        <w:rPr>
          <w:i/>
        </w:rPr>
        <w:t>ctiva</w:t>
      </w:r>
      <w:r>
        <w:t xml:space="preserve">, která v tomto intelektuálním modu </w:t>
      </w:r>
      <w:r w:rsidRPr="08F952C3">
        <w:rPr>
          <w:i/>
        </w:rPr>
        <w:t>inmixtus</w:t>
      </w:r>
      <w:r>
        <w:t xml:space="preserve"> zakouší vlastní tělo jako poznaný předmět (</w:t>
      </w:r>
      <w:r w:rsidRPr="08EE5D41">
        <w:rPr>
          <w:i/>
        </w:rPr>
        <w:t>obiective</w:t>
      </w:r>
      <w:r>
        <w:t xml:space="preserve">). Intelektuání schopnost duše je aktualizována v existenciálním modu skrze smyslové tělo jako substanční subjekt </w:t>
      </w:r>
      <w:r w:rsidRPr="08683B26">
        <w:rPr>
          <w:i/>
        </w:rPr>
        <w:t>anima intellectiva</w:t>
      </w:r>
      <w:r>
        <w:t xml:space="preserve"> (</w:t>
      </w:r>
      <w:r w:rsidRPr="08B67875">
        <w:rPr>
          <w:i/>
        </w:rPr>
        <w:t>subiective</w:t>
      </w:r>
      <w:r>
        <w:t>). Poznání je dáno skrze náš vlastní intelekt (</w:t>
      </w:r>
      <w:r w:rsidRPr="006D7911">
        <w:rPr>
          <w:i/>
          <w:lang w:eastAsia="en-US"/>
        </w:rPr>
        <w:t>ipse est intellectus noster</w:t>
      </w:r>
      <w:r>
        <w:t>), skrze který zakoušíme (</w:t>
      </w:r>
      <w:r w:rsidRPr="006D7911">
        <w:rPr>
          <w:i/>
          <w:lang w:eastAsia="en-US"/>
        </w:rPr>
        <w:t>per quem experimur</w:t>
      </w:r>
      <w:r>
        <w:t xml:space="preserve">) přijetí univerzálního poznatku. Sigerovu nauku o dvojím charakteru intelektuálního poznání v modu </w:t>
      </w:r>
      <w:r w:rsidR="00A95777">
        <w:t>„</w:t>
      </w:r>
      <w:r w:rsidRPr="08487915">
        <w:rPr>
          <w:i/>
        </w:rPr>
        <w:t>subiective</w:t>
      </w:r>
      <w:r>
        <w:t>‒</w:t>
      </w:r>
      <w:r w:rsidRPr="08487915">
        <w:rPr>
          <w:i/>
        </w:rPr>
        <w:t>obiecti</w:t>
      </w:r>
      <w:r>
        <w:rPr>
          <w:i/>
        </w:rPr>
        <w:t>v</w:t>
      </w:r>
      <w:r w:rsidRPr="08487915">
        <w:rPr>
          <w:i/>
        </w:rPr>
        <w:t>e</w:t>
      </w:r>
      <w:r w:rsidR="00A95777">
        <w:t>“</w:t>
      </w:r>
      <w:r>
        <w:t xml:space="preserve"> převzali magistři </w:t>
      </w:r>
      <w:r>
        <w:lastRenderedPageBreak/>
        <w:t>na Rue du Fouarre, což potvrzuje Gieleho anonym psaný Boethiem z</w:t>
      </w:r>
      <w:r w:rsidR="08F41C21">
        <w:t> </w:t>
      </w:r>
      <w:r>
        <w:t>Dácie</w:t>
      </w:r>
      <w:r w:rsidR="08F41C21">
        <w:t xml:space="preserve"> (kap. 4.3.1)</w:t>
      </w:r>
      <w:r>
        <w:t xml:space="preserve">. Tuto argumentaci používali i objektivní semiaverroisté jako Aegidius, kteří ovšem nepochopili nebo odmítli její existenciálně-fenomenologický smysl. </w:t>
      </w:r>
      <w:r w:rsidRPr="00273106">
        <w:t xml:space="preserve">Intelekt </w:t>
      </w:r>
      <w:r>
        <w:t>poznáváme v první osobě tak, že tímto způsobem zakoušíme (</w:t>
      </w:r>
      <w:r w:rsidRPr="00494009">
        <w:rPr>
          <w:i/>
          <w:lang w:eastAsia="en-US"/>
        </w:rPr>
        <w:t>experimur huiusmodi</w:t>
      </w:r>
      <w:r>
        <w:rPr>
          <w:lang w:eastAsia="en-US"/>
        </w:rPr>
        <w:t>) výkon poznání na univerzální úrovni (</w:t>
      </w:r>
      <w:r w:rsidRPr="00494009">
        <w:rPr>
          <w:i/>
          <w:lang w:eastAsia="en-US"/>
        </w:rPr>
        <w:t>acceptionem universalem fieri in nobis</w:t>
      </w:r>
      <w:r>
        <w:t>). Intelekt je nasvícený zepředu a současně tento výkon probíhá ipseitně, protože my sami jsme středním členem poznání ve smyslu jedinečné kauzality</w:t>
      </w:r>
      <w:r w:rsidR="086C2B1D">
        <w:t xml:space="preserve">. Akt myšlení </w:t>
      </w:r>
      <w:r>
        <w:t>je plně v naší moci</w:t>
      </w:r>
      <w:r w:rsidR="086C2B1D">
        <w:t>, protože myslíme, když to sami chceme</w:t>
      </w:r>
      <w:r>
        <w:fldChar w:fldCharType="begin"/>
      </w:r>
      <w:r>
        <w:instrText xml:space="preserve"> XE "</w:instrText>
      </w:r>
      <w:r w:rsidRPr="007804B8">
        <w:instrText>intelekt:</w:instrText>
      </w:r>
      <w:r w:rsidRPr="002F1398">
        <w:rPr>
          <w:i/>
        </w:rPr>
        <w:instrText>esse/fieri</w:instrText>
      </w:r>
      <w:r>
        <w:instrText xml:space="preserve">" </w:instrText>
      </w:r>
      <w:r>
        <w:fldChar w:fldCharType="end"/>
      </w:r>
      <w:r>
        <w:t xml:space="preserve">. </w:t>
      </w:r>
      <w:r w:rsidR="00FD14AE" w:rsidRPr="00FD14AE">
        <w:t xml:space="preserve">Nejprve Singer zavedl zprostředkování poznání </w:t>
      </w:r>
      <w:r w:rsidR="00FD14AE">
        <w:t>(</w:t>
      </w:r>
      <w:proofErr w:type="gramStart"/>
      <w:r w:rsidR="00FD14AE" w:rsidRPr="081B38D0">
        <w:rPr>
          <w:i/>
        </w:rPr>
        <w:t>experimur</w:t>
      </w:r>
      <w:r w:rsidR="00FD14AE">
        <w:t>...</w:t>
      </w:r>
      <w:r w:rsidR="00FD14AE" w:rsidRPr="081B38D0">
        <w:rPr>
          <w:i/>
        </w:rPr>
        <w:t>conscii</w:t>
      </w:r>
      <w:proofErr w:type="gramEnd"/>
      <w:r w:rsidR="00FD14AE">
        <w:t xml:space="preserve"> </w:t>
      </w:r>
      <w:r w:rsidR="00FD14AE" w:rsidRPr="081B38D0">
        <w:rPr>
          <w:i/>
        </w:rPr>
        <w:t>sumus</w:t>
      </w:r>
      <w:r w:rsidR="00FD14AE">
        <w:t xml:space="preserve">) </w:t>
      </w:r>
      <w:r w:rsidR="00FD14AE" w:rsidRPr="00FD14AE">
        <w:t>na úrovni přímé kauzality dané v těle a v mysli (</w:t>
      </w:r>
      <w:r w:rsidR="00FD14AE" w:rsidRPr="00FD14AE">
        <w:rPr>
          <w:i/>
        </w:rPr>
        <w:t>tertium genus</w:t>
      </w:r>
      <w:r w:rsidR="00FD14AE" w:rsidRPr="00FD14AE">
        <w:t>). Když dokončil deduktivní důkaz, učinil konečný závěr, který lze formulovat jako univerzální koncep</w:t>
      </w:r>
      <w:r w:rsidR="00FD14AE">
        <w:t xml:space="preserve">t intelektu </w:t>
      </w:r>
      <w:r w:rsidR="00FD14AE" w:rsidRPr="00FD14AE">
        <w:t>(</w:t>
      </w:r>
      <w:r w:rsidR="00FD14AE" w:rsidRPr="00FD14AE">
        <w:rPr>
          <w:i/>
        </w:rPr>
        <w:t>quartum genus</w:t>
      </w:r>
      <w:r w:rsidR="00FD14AE" w:rsidRPr="00FD14AE">
        <w:t>).</w:t>
      </w:r>
      <w:r w:rsidR="00FD14AE">
        <w:t xml:space="preserve"> P</w:t>
      </w:r>
      <w:r>
        <w:t>o etablování obou mediací poznání daných tělesně a vědomě je možné přejít na závěrečnou esenciální rovinu obecného závěru. Až pak intelekt vystupuje jako esence v aktu karteziánské nebo augustiniánské sebereflexe (</w:t>
      </w:r>
      <w:r w:rsidRPr="081B38D0">
        <w:rPr>
          <w:i/>
        </w:rPr>
        <w:t>i</w:t>
      </w:r>
      <w:r w:rsidR="0826500C">
        <w:rPr>
          <w:i/>
          <w:lang w:eastAsia="en-US"/>
        </w:rPr>
        <w:t>ntellec</w:t>
      </w:r>
      <w:r w:rsidRPr="081B38D0">
        <w:rPr>
          <w:i/>
          <w:lang w:eastAsia="en-US"/>
        </w:rPr>
        <w:t>tus noster apprehendit se ipsum sicut operari</w:t>
      </w:r>
      <w:r>
        <w:rPr>
          <w:lang w:eastAsia="en-US"/>
        </w:rPr>
        <w:t xml:space="preserve">). Ale toto pojetí je u Sigera dáno až jako závěr deduktivního soudu predikujícího v plném rozsahu kauzální činnost intelektu. </w:t>
      </w:r>
      <w:r>
        <w:t xml:space="preserve">Citace ukazuje, že reflektovaný a poznaný intelekt jako předmět našeho poznání již není objektivní </w:t>
      </w:r>
      <w:r w:rsidRPr="00BB1F74">
        <w:rPr>
          <w:i/>
        </w:rPr>
        <w:t>scibile</w:t>
      </w:r>
      <w:r>
        <w:rPr>
          <w:i/>
        </w:rPr>
        <w:fldChar w:fldCharType="begin"/>
      </w:r>
      <w:r>
        <w:instrText xml:space="preserve"> XE "</w:instrText>
      </w:r>
      <w:r w:rsidRPr="00AA4F67">
        <w:rPr>
          <w:i/>
        </w:rPr>
        <w:instrText>scibile</w:instrText>
      </w:r>
      <w:r>
        <w:instrText xml:space="preserve">" </w:instrText>
      </w:r>
      <w:r>
        <w:rPr>
          <w:i/>
        </w:rPr>
        <w:fldChar w:fldCharType="end"/>
      </w:r>
      <w:r>
        <w:t xml:space="preserve"> druhého averroismu, ale </w:t>
      </w:r>
      <w:r w:rsidR="00090936">
        <w:t xml:space="preserve">univerzální pojem </w:t>
      </w:r>
      <w:r>
        <w:t xml:space="preserve">v modu </w:t>
      </w:r>
      <w:r w:rsidRPr="08D235EF">
        <w:rPr>
          <w:i/>
        </w:rPr>
        <w:t xml:space="preserve">quartum </w:t>
      </w:r>
      <w:r w:rsidR="00962190">
        <w:rPr>
          <w:i/>
        </w:rPr>
        <w:t>genus</w:t>
      </w:r>
      <w:r>
        <w:t xml:space="preserve"> podle CMDA. Tento abtrahovaný pojem intelektu ani nemyslí ani nepoznává, protože myslíme a myšlení zakoušíme pouze v první osobě (</w:t>
      </w:r>
      <w:r w:rsidRPr="08451DC9">
        <w:rPr>
          <w:i/>
        </w:rPr>
        <w:t xml:space="preserve">tertium </w:t>
      </w:r>
      <w:r w:rsidR="00962190">
        <w:rPr>
          <w:i/>
        </w:rPr>
        <w:t>genus</w:t>
      </w:r>
      <w:r>
        <w:t xml:space="preserve">). </w:t>
      </w:r>
      <w:r w:rsidR="088522A7">
        <w:t>Pak také platí nematerialita intelektu, který je ve vlastním výkonu myšlení oddělen od smyslů. Intelekt poznává, když to sami chceme jako osoba a jeho poznání běží v nemateriálním aktu</w:t>
      </w:r>
      <w:r w:rsidR="08386E4A">
        <w:t xml:space="preserve"> myšlení</w:t>
      </w:r>
      <w:r w:rsidR="088522A7">
        <w:t xml:space="preserve">. </w:t>
      </w:r>
      <w:r>
        <w:t>Naopak smysly musí poznávat v momentu, kdy jsou kauzálně ovlivněny změnou v receptivním materiálním orgánu. Tento základní argument použil spis CMDA z Themistia proti moderním alexandrovcům, protože poznání je plně v naší moci ve smyslu námi zakoušené ipseity (</w:t>
      </w:r>
      <w:r w:rsidR="08EA37AA">
        <w:t xml:space="preserve">OBJ I, </w:t>
      </w:r>
      <w:r>
        <w:t xml:space="preserve">kap. 2.4.3). Poznáváme v první osobě a v těle a proto poznáváme, když sami chceme. </w:t>
      </w:r>
      <w:r>
        <w:rPr>
          <w:lang w:eastAsia="en-US"/>
        </w:rPr>
        <w:t>Vědecky postupující filosof odmítá definovat intelekt jako porretánskou hypostázi, která kontempluje sama s</w:t>
      </w:r>
      <w:r w:rsidR="08EA37AA">
        <w:rPr>
          <w:lang w:eastAsia="en-US"/>
        </w:rPr>
        <w:t>ebe v aktu objektivní iluminace</w:t>
      </w:r>
      <w:r>
        <w:rPr>
          <w:lang w:eastAsia="en-US"/>
        </w:rPr>
        <w:t xml:space="preserve">. </w:t>
      </w:r>
      <w:r w:rsidR="002879FA" w:rsidRPr="002879FA">
        <w:rPr>
          <w:lang w:eastAsia="en-US"/>
        </w:rPr>
        <w:t>Intelektuální zkušenost vychází ze smy</w:t>
      </w:r>
      <w:r w:rsidR="002879FA">
        <w:rPr>
          <w:lang w:eastAsia="en-US"/>
        </w:rPr>
        <w:t>slově daného poznání (</w:t>
      </w:r>
      <w:r w:rsidR="002879FA" w:rsidRPr="002879FA">
        <w:rPr>
          <w:i/>
          <w:lang w:eastAsia="en-US"/>
        </w:rPr>
        <w:t>experimur</w:t>
      </w:r>
      <w:r w:rsidR="002879FA" w:rsidRPr="002879FA">
        <w:rPr>
          <w:lang w:eastAsia="en-US"/>
        </w:rPr>
        <w:t>); tep</w:t>
      </w:r>
      <w:r w:rsidR="002879FA">
        <w:rPr>
          <w:lang w:eastAsia="en-US"/>
        </w:rPr>
        <w:t>rve ve druhém kroku může tento a</w:t>
      </w:r>
      <w:r w:rsidR="002879FA" w:rsidRPr="002879FA">
        <w:rPr>
          <w:lang w:eastAsia="en-US"/>
        </w:rPr>
        <w:t>kt vytvořit augustiniánské nebo avicenni</w:t>
      </w:r>
      <w:r w:rsidR="002879FA">
        <w:rPr>
          <w:lang w:eastAsia="en-US"/>
        </w:rPr>
        <w:t>sti</w:t>
      </w:r>
      <w:r w:rsidR="002879FA" w:rsidRPr="002879FA">
        <w:rPr>
          <w:lang w:eastAsia="en-US"/>
        </w:rPr>
        <w:t>cké sebereflexní vědomí, které je spojeno s již aktualizovaným intelektem (</w:t>
      </w:r>
      <w:r w:rsidR="002879FA" w:rsidRPr="002879FA">
        <w:rPr>
          <w:i/>
          <w:lang w:eastAsia="en-US"/>
        </w:rPr>
        <w:t>conscii sumus</w:t>
      </w:r>
      <w:r w:rsidR="002879FA" w:rsidRPr="00273106">
        <w:t>)</w:t>
      </w:r>
      <w:r w:rsidR="002879FA">
        <w:fldChar w:fldCharType="begin"/>
      </w:r>
      <w:r w:rsidR="002879FA">
        <w:instrText xml:space="preserve"> XE "intelekt:</w:instrText>
      </w:r>
      <w:r w:rsidR="002879FA" w:rsidRPr="00D04010">
        <w:rPr>
          <w:i/>
        </w:rPr>
        <w:instrText>experimur</w:instrText>
      </w:r>
      <w:r w:rsidR="002879FA" w:rsidRPr="008D12CB">
        <w:instrText>/</w:instrText>
      </w:r>
      <w:r w:rsidR="002879FA" w:rsidRPr="00D04010">
        <w:rPr>
          <w:i/>
        </w:rPr>
        <w:instrText>cons</w:instrText>
      </w:r>
      <w:r w:rsidR="002879FA">
        <w:rPr>
          <w:i/>
        </w:rPr>
        <w:instrText>c</w:instrText>
      </w:r>
      <w:r w:rsidR="002879FA" w:rsidRPr="00D04010">
        <w:rPr>
          <w:i/>
        </w:rPr>
        <w:instrText>ii sumus</w:instrText>
      </w:r>
      <w:r w:rsidR="002879FA">
        <w:instrText xml:space="preserve">" </w:instrText>
      </w:r>
      <w:r w:rsidR="002879FA">
        <w:fldChar w:fldCharType="end"/>
      </w:r>
      <w:r w:rsidR="002879FA" w:rsidRPr="002879FA">
        <w:rPr>
          <w:lang w:eastAsia="en-US"/>
        </w:rPr>
        <w:t>.</w:t>
      </w:r>
      <w:r w:rsidR="002879FA">
        <w:rPr>
          <w:lang w:eastAsia="en-US"/>
        </w:rPr>
        <w:t xml:space="preserve"> </w:t>
      </w:r>
    </w:p>
    <w:p w:rsidR="00F706A6" w:rsidRDefault="0068425E" w:rsidP="08163013">
      <w:r w:rsidRPr="0068425E">
        <w:rPr>
          <w:lang w:eastAsia="en-US"/>
        </w:rPr>
        <w:lastRenderedPageBreak/>
        <w:t xml:space="preserve">Na rozdíl od moderny, Siger definuje intelekt prostřednictvím kauzality fyzicky existující osoby, protože poznání je určeno </w:t>
      </w:r>
      <w:r>
        <w:rPr>
          <w:lang w:eastAsia="en-US"/>
        </w:rPr>
        <w:t xml:space="preserve">skrze </w:t>
      </w:r>
      <w:r w:rsidRPr="0068425E">
        <w:rPr>
          <w:i/>
          <w:lang w:eastAsia="en-US"/>
        </w:rPr>
        <w:t>species sensibilis</w:t>
      </w:r>
      <w:r w:rsidRPr="0068425E">
        <w:rPr>
          <w:lang w:eastAsia="en-US"/>
        </w:rPr>
        <w:t xml:space="preserve"> syntetizovaný</w:t>
      </w:r>
      <w:r>
        <w:rPr>
          <w:lang w:eastAsia="en-US"/>
        </w:rPr>
        <w:t>ch</w:t>
      </w:r>
      <w:r w:rsidRPr="0068425E">
        <w:rPr>
          <w:lang w:eastAsia="en-US"/>
        </w:rPr>
        <w:t xml:space="preserve"> v představivosti. Rozdíl mezi poznáním prožívaným ze smyslů a poznáním prožívaným prostřednictvím vědomí odděleného intelektu vytváří novou definici poznání.</w:t>
      </w:r>
      <w:r>
        <w:rPr>
          <w:lang w:eastAsia="en-US"/>
        </w:rPr>
        <w:t xml:space="preserve"> </w:t>
      </w:r>
      <w:r w:rsidR="08163013">
        <w:t>I</w:t>
      </w:r>
      <w:r w:rsidR="08163013" w:rsidRPr="00273106">
        <w:t xml:space="preserve">ntelekt je vzhledem ke smyslům v externí pozici </w:t>
      </w:r>
      <w:r w:rsidR="08163013">
        <w:t xml:space="preserve">dané </w:t>
      </w:r>
      <w:r w:rsidR="08163013" w:rsidRPr="086E2411">
        <w:rPr>
          <w:i/>
        </w:rPr>
        <w:t>obiective</w:t>
      </w:r>
      <w:r w:rsidR="08163013">
        <w:t xml:space="preserve">, protože jeho činnost </w:t>
      </w:r>
      <w:r w:rsidR="08163013" w:rsidRPr="00273106">
        <w:t xml:space="preserve">nemá smyslový orgán. </w:t>
      </w:r>
      <w:r w:rsidR="08163013">
        <w:t xml:space="preserve">Ale jeho receptivní schopnost je v čisté nemateriální potenci, proto musí být aktualizována od smyslových </w:t>
      </w:r>
      <w:r w:rsidR="00962190">
        <w:rPr>
          <w:i/>
        </w:rPr>
        <w:t>species</w:t>
      </w:r>
      <w:r w:rsidR="08AB2EE4">
        <w:t xml:space="preserve"> </w:t>
      </w:r>
      <w:r w:rsidR="08AB2EE4" w:rsidRPr="081942A4">
        <w:rPr>
          <w:szCs w:val="24"/>
        </w:rPr>
        <w:t>(</w:t>
      </w:r>
      <w:r w:rsidR="08AB2EE4" w:rsidRPr="081942A4">
        <w:rPr>
          <w:i/>
          <w:szCs w:val="24"/>
        </w:rPr>
        <w:t>subiective</w:t>
      </w:r>
      <w:r w:rsidR="08AB2EE4" w:rsidRPr="081942A4">
        <w:rPr>
          <w:szCs w:val="24"/>
        </w:rPr>
        <w:t xml:space="preserve">). </w:t>
      </w:r>
      <w:r w:rsidR="08163013">
        <w:t xml:space="preserve">Jinou aktualizaci </w:t>
      </w:r>
      <w:r w:rsidR="08163013" w:rsidRPr="08B574C2">
        <w:rPr>
          <w:i/>
        </w:rPr>
        <w:t>intellectus possib</w:t>
      </w:r>
      <w:r w:rsidR="08163013">
        <w:rPr>
          <w:i/>
        </w:rPr>
        <w:t>i</w:t>
      </w:r>
      <w:r w:rsidR="08163013" w:rsidRPr="08B574C2">
        <w:rPr>
          <w:i/>
        </w:rPr>
        <w:t>lis</w:t>
      </w:r>
      <w:r w:rsidR="08163013">
        <w:t xml:space="preserve"> mít nemůže, protože by byl materiální nebo nemateriální substancí. Receptivní schopnost duše v modu </w:t>
      </w:r>
      <w:r w:rsidR="08163013" w:rsidRPr="086E2411">
        <w:rPr>
          <w:i/>
        </w:rPr>
        <w:t>intellectus possibilis</w:t>
      </w:r>
      <w:r w:rsidR="08163013">
        <w:t xml:space="preserve"> představuje </w:t>
      </w:r>
      <w:r w:rsidR="08163013" w:rsidRPr="00273106">
        <w:t xml:space="preserve">pole zjevování univerzálního smyslu jsoucna </w:t>
      </w:r>
      <w:r w:rsidR="08163013">
        <w:t>v novém druhu vědění daném univerzálně a nemateriálně. Poznání je stále dané v první osobě, protože je tělesně a smyslově podmíněným aktem</w:t>
      </w:r>
      <w:r w:rsidR="00F706A6">
        <w:t>.</w:t>
      </w:r>
      <w:r w:rsidR="007D261B">
        <w:t xml:space="preserve"> </w:t>
      </w:r>
      <w:r w:rsidR="007D261B" w:rsidRPr="007D261B">
        <w:t xml:space="preserve">Toto brilantní určení sebevědomí je spojeno s existencí fyzické osoby jako první substance. Bylo zcela zapomenuto, dokud Heideggerova </w:t>
      </w:r>
      <w:r w:rsidR="007D261B">
        <w:t xml:space="preserve">existenciální analytika Dasein nevytvořila novou fenomenologii </w:t>
      </w:r>
      <w:r w:rsidR="007D261B" w:rsidRPr="007D261B">
        <w:t xml:space="preserve">osoby jako </w:t>
      </w:r>
      <w:r w:rsidR="007D261B" w:rsidRPr="007D261B">
        <w:rPr>
          <w:i/>
        </w:rPr>
        <w:t>tertium genus</w:t>
      </w:r>
      <w:r w:rsidR="007D261B" w:rsidRPr="007D261B">
        <w:t>.</w:t>
      </w:r>
    </w:p>
    <w:p w:rsidR="0097339D" w:rsidRDefault="08163013" w:rsidP="001438EA">
      <w:pPr>
        <w:ind w:firstLine="397"/>
      </w:pPr>
      <w:r>
        <w:t xml:space="preserve">Siger našel novou formu </w:t>
      </w:r>
      <w:r w:rsidRPr="087135AE">
        <w:rPr>
          <w:i/>
        </w:rPr>
        <w:t>dativus auctoris</w:t>
      </w:r>
      <w:r>
        <w:rPr>
          <w:i/>
        </w:rPr>
        <w:fldChar w:fldCharType="begin"/>
      </w:r>
      <w:r>
        <w:instrText xml:space="preserve"> XE "</w:instrText>
      </w:r>
      <w:r w:rsidRPr="00C5228F">
        <w:rPr>
          <w:i/>
          <w:iCs/>
        </w:rPr>
        <w:instrText>dativus auctoris</w:instrText>
      </w:r>
      <w:r>
        <w:instrText xml:space="preserve">" </w:instrText>
      </w:r>
      <w:r>
        <w:rPr>
          <w:i/>
        </w:rPr>
        <w:fldChar w:fldCharType="end"/>
      </w:r>
      <w:r w:rsidR="08ED2E5F">
        <w:t xml:space="preserve"> (kap. 4</w:t>
      </w:r>
      <w:r>
        <w:t>). Brabantský magistr fenomenologicky popsal způsob, jak existující osoba</w:t>
      </w:r>
      <w:r w:rsidRPr="081F1A97">
        <w:t xml:space="preserve"> </w:t>
      </w:r>
      <w:r>
        <w:t>poznává svět. Dualistický moderní subjekt</w:t>
      </w:r>
      <w:r w:rsidRPr="08C55871">
        <w:t xml:space="preserve"> </w:t>
      </w:r>
      <w:r>
        <w:t>neexistuje v jednot</w:t>
      </w:r>
      <w:r w:rsidR="08F37BF1">
        <w:t xml:space="preserve">ě svého existenciálního výkonu a má před sebou mytopoetický </w:t>
      </w:r>
      <w:r>
        <w:t>svět objektivních jsoucen třetího druhu. Po staletí moderního averroismu zůstal pouze avicennistický model sebereflexivního intelektu jako karteziánské substance třetího druhu (</w:t>
      </w:r>
      <w:r w:rsidRPr="00B14FC8">
        <w:rPr>
          <w:i/>
        </w:rPr>
        <w:t>res cogitans</w:t>
      </w:r>
      <w:r>
        <w:rPr>
          <w:i/>
        </w:rPr>
        <w:fldChar w:fldCharType="begin"/>
      </w:r>
      <w:r>
        <w:instrText xml:space="preserve"> XE "</w:instrText>
      </w:r>
      <w:r w:rsidRPr="003F49D8">
        <w:rPr>
          <w:i/>
        </w:rPr>
        <w:instrText>res cogitans</w:instrText>
      </w:r>
      <w:r>
        <w:instrText xml:space="preserve">" </w:instrText>
      </w:r>
      <w:r>
        <w:rPr>
          <w:i/>
        </w:rPr>
        <w:fldChar w:fldCharType="end"/>
      </w:r>
      <w:r>
        <w:t xml:space="preserve">). Sigerem definovaný intelekt zakoušený ve výkonu </w:t>
      </w:r>
      <w:r w:rsidR="009F2D63">
        <w:t xml:space="preserve">osobního </w:t>
      </w:r>
      <w:r>
        <w:t>poznání (</w:t>
      </w:r>
      <w:r w:rsidRPr="006D7911">
        <w:rPr>
          <w:i/>
          <w:lang w:eastAsia="en-US"/>
        </w:rPr>
        <w:t>ipse est intellectus noster</w:t>
      </w:r>
      <w:r>
        <w:t xml:space="preserve">) se zásadně liší v modu </w:t>
      </w:r>
      <w:r w:rsidR="009F2D63">
        <w:t>„</w:t>
      </w:r>
      <w:r>
        <w:rPr>
          <w:i/>
        </w:rPr>
        <w:t>subiective</w:t>
      </w:r>
      <w:r w:rsidR="009F2D63">
        <w:t>“</w:t>
      </w:r>
      <w:r>
        <w:t xml:space="preserve"> od obecného pojmu intelektu</w:t>
      </w:r>
      <w:r w:rsidR="009F2D63">
        <w:t xml:space="preserve">. Ten </w:t>
      </w:r>
      <w:r>
        <w:t xml:space="preserve">je dán na konci poznání jako čistá abstrakce v modu </w:t>
      </w:r>
      <w:r w:rsidR="009F2D63">
        <w:t>„</w:t>
      </w:r>
      <w:r>
        <w:rPr>
          <w:i/>
        </w:rPr>
        <w:t>obiective</w:t>
      </w:r>
      <w:r w:rsidR="009F2D63">
        <w:t>“</w:t>
      </w:r>
      <w:r>
        <w:t>. Výkon existenciálního poznání (</w:t>
      </w:r>
      <w:r>
        <w:rPr>
          <w:i/>
        </w:rPr>
        <w:t xml:space="preserve">tertium </w:t>
      </w:r>
      <w:r w:rsidR="00962190">
        <w:rPr>
          <w:i/>
        </w:rPr>
        <w:t>genus</w:t>
      </w:r>
      <w:r w:rsidR="0826500C">
        <w:rPr>
          <w:i/>
        </w:rPr>
        <w:fldChar w:fldCharType="begin"/>
      </w:r>
      <w:r w:rsidR="0826500C">
        <w:instrText xml:space="preserve"> XE "</w:instrText>
      </w:r>
      <w:r w:rsidR="0826500C" w:rsidRPr="082E6A0D">
        <w:rPr>
          <w:i/>
        </w:rPr>
        <w:instrText>tertium genus</w:instrText>
      </w:r>
      <w:r w:rsidR="0826500C">
        <w:instrText xml:space="preserve">" </w:instrText>
      </w:r>
      <w:r w:rsidR="0826500C">
        <w:rPr>
          <w:i/>
        </w:rPr>
        <w:fldChar w:fldCharType="end"/>
      </w:r>
      <w:r>
        <w:t>) vytvořil poznání intelekt</w:t>
      </w:r>
      <w:r w:rsidR="009F2D63">
        <w:t>u</w:t>
      </w:r>
      <w:r>
        <w:t xml:space="preserve"> jako univerzálie (</w:t>
      </w:r>
      <w:r w:rsidRPr="00BB1F74">
        <w:rPr>
          <w:i/>
        </w:rPr>
        <w:t xml:space="preserve">quartum </w:t>
      </w:r>
      <w:r w:rsidR="00962190">
        <w:rPr>
          <w:i/>
        </w:rPr>
        <w:t>genus</w:t>
      </w:r>
      <w:r>
        <w:rPr>
          <w:i/>
        </w:rPr>
        <w:fldChar w:fldCharType="begin"/>
      </w:r>
      <w:r>
        <w:instrText xml:space="preserve"> XE "</w:instrText>
      </w:r>
      <w:r w:rsidRPr="00191848">
        <w:rPr>
          <w:i/>
        </w:rPr>
        <w:instrText>quartum genus</w:instrText>
      </w:r>
      <w:r>
        <w:instrText xml:space="preserve">" </w:instrText>
      </w:r>
      <w:r>
        <w:rPr>
          <w:i/>
        </w:rPr>
        <w:fldChar w:fldCharType="end"/>
      </w:r>
      <w:r>
        <w:t xml:space="preserve">). Tím je dán také </w:t>
      </w:r>
      <w:r w:rsidRPr="08251C06">
        <w:rPr>
          <w:i/>
        </w:rPr>
        <w:t>dativus finalis</w:t>
      </w:r>
      <w:r>
        <w:rPr>
          <w:i/>
        </w:rPr>
        <w:fldChar w:fldCharType="begin"/>
      </w:r>
      <w:r>
        <w:instrText xml:space="preserve"> XE "</w:instrText>
      </w:r>
      <w:r w:rsidRPr="0846716B">
        <w:rPr>
          <w:i/>
        </w:rPr>
        <w:instrText>dativus finalis</w:instrText>
      </w:r>
      <w:r>
        <w:instrText xml:space="preserve">" </w:instrText>
      </w:r>
      <w:r>
        <w:rPr>
          <w:i/>
        </w:rPr>
        <w:fldChar w:fldCharType="end"/>
      </w:r>
      <w:r>
        <w:t xml:space="preserve"> celého procesu poznání, kterým je specifická univerzalita poznání daná v modu </w:t>
      </w:r>
      <w:r w:rsidRPr="08251C06">
        <w:rPr>
          <w:i/>
        </w:rPr>
        <w:t xml:space="preserve">quartum </w:t>
      </w:r>
      <w:r w:rsidR="00962190">
        <w:rPr>
          <w:i/>
        </w:rPr>
        <w:t>genus</w:t>
      </w:r>
      <w:r>
        <w:t xml:space="preserve"> na úrovni celého lidstva. Tento typ intelektu existuje pouze jako abstrakce v mysli ve formě univerzální </w:t>
      </w:r>
      <w:r w:rsidR="00F14C5B">
        <w:t>„</w:t>
      </w:r>
      <w:r w:rsidR="00962190">
        <w:rPr>
          <w:i/>
        </w:rPr>
        <w:t>species</w:t>
      </w:r>
      <w:r w:rsidRPr="08251C06">
        <w:rPr>
          <w:i/>
        </w:rPr>
        <w:t xml:space="preserve"> humana</w:t>
      </w:r>
      <w:r w:rsidR="00F14C5B">
        <w:t>“</w:t>
      </w:r>
      <w:r>
        <w:t xml:space="preserve">. Toto rozlišení mezi intelektem jako </w:t>
      </w:r>
      <w:r w:rsidRPr="00D567B3">
        <w:rPr>
          <w:i/>
        </w:rPr>
        <w:t>tertium</w:t>
      </w:r>
      <w:r>
        <w:t xml:space="preserve"> a </w:t>
      </w:r>
      <w:r w:rsidRPr="00D567B3">
        <w:rPr>
          <w:i/>
        </w:rPr>
        <w:t xml:space="preserve">quartum </w:t>
      </w:r>
      <w:r w:rsidR="00962190">
        <w:rPr>
          <w:i/>
        </w:rPr>
        <w:t>genus</w:t>
      </w:r>
      <w:r>
        <w:t xml:space="preserve"> už Akvinský a moderna nemohli vidět, protože odmítli vědecké poznání intelektu podle CMDA jako averroistické. Zatměním osoby jako první substance vzniklo objektivní panství univoční hypostáze zvané „intelekt“ nebo „duše“ a tato vláda objektivního intelektu třetího druhu zahájila epochální </w:t>
      </w:r>
      <w:r w:rsidRPr="00CE11AA">
        <w:rPr>
          <w:i/>
        </w:rPr>
        <w:t>Irrtum</w:t>
      </w:r>
      <w:r>
        <w:t xml:space="preserve"> nové metafyziky. </w:t>
      </w:r>
      <w:r w:rsidRPr="00273106">
        <w:t xml:space="preserve">Siger obě stránky </w:t>
      </w:r>
      <w:r>
        <w:t xml:space="preserve">intelektu úplně </w:t>
      </w:r>
      <w:r w:rsidRPr="00273106">
        <w:t xml:space="preserve">neodděluje, ale přesně </w:t>
      </w:r>
      <w:r>
        <w:t xml:space="preserve">je </w:t>
      </w:r>
      <w:r w:rsidRPr="00273106">
        <w:t xml:space="preserve">rozlišuje tím, že stanoví nasvícení </w:t>
      </w:r>
      <w:r w:rsidRPr="00273106">
        <w:lastRenderedPageBreak/>
        <w:t xml:space="preserve">intelektu zepředu, od reálných věcí. Protože jsme tělo, čili první substance daná </w:t>
      </w:r>
      <w:r w:rsidRPr="00273106">
        <w:rPr>
          <w:i/>
        </w:rPr>
        <w:t>simpliciter</w:t>
      </w:r>
      <w:r>
        <w:t xml:space="preserve"> a přímo zakoušená </w:t>
      </w:r>
      <w:r w:rsidRPr="089D5F0A">
        <w:rPr>
          <w:i/>
        </w:rPr>
        <w:t>causaliter</w:t>
      </w:r>
      <w:r>
        <w:t xml:space="preserve">, </w:t>
      </w:r>
      <w:r w:rsidRPr="00273106">
        <w:t xml:space="preserve">tak máme i jednotné a celistvé interní poznání toho, jak intelekt pracuje. Nová forma vědomí vázaná na Sigerovo </w:t>
      </w:r>
      <w:r w:rsidRPr="00273106">
        <w:rPr>
          <w:i/>
        </w:rPr>
        <w:t>subiectum</w:t>
      </w:r>
      <w:r>
        <w:rPr>
          <w:i/>
        </w:rPr>
        <w:fldChar w:fldCharType="begin"/>
      </w:r>
      <w:r>
        <w:instrText xml:space="preserve"> XE "</w:instrText>
      </w:r>
      <w:r w:rsidRPr="00360013">
        <w:rPr>
          <w:i/>
        </w:rPr>
        <w:instrText>subiectum:</w:instrText>
      </w:r>
      <w:r w:rsidRPr="008E31F8">
        <w:instrText>Siger</w:instrText>
      </w:r>
      <w:r>
        <w:instrText xml:space="preserve">" </w:instrText>
      </w:r>
      <w:r>
        <w:rPr>
          <w:i/>
        </w:rPr>
        <w:fldChar w:fldCharType="end"/>
      </w:r>
      <w:r w:rsidRPr="00273106">
        <w:t xml:space="preserve"> není avicennovské a karteziánské </w:t>
      </w:r>
      <w:r w:rsidRPr="003B673E">
        <w:rPr>
          <w:i/>
        </w:rPr>
        <w:t>cogito</w:t>
      </w:r>
      <w:r w:rsidR="001438EA">
        <w:t xml:space="preserve"> dané jako fiktivní „</w:t>
      </w:r>
      <w:r w:rsidR="001438EA" w:rsidRPr="00986595">
        <w:rPr>
          <w:i/>
        </w:rPr>
        <w:t>ich</w:t>
      </w:r>
      <w:r w:rsidR="001438EA">
        <w:t>-</w:t>
      </w:r>
      <w:r w:rsidRPr="00273106">
        <w:t>osob</w:t>
      </w:r>
      <w:r w:rsidR="001438EA">
        <w:t>a“</w:t>
      </w:r>
      <w:r w:rsidRPr="00273106">
        <w:t xml:space="preserve"> </w:t>
      </w:r>
      <w:r w:rsidR="001438EA">
        <w:t>oddělená</w:t>
      </w:r>
      <w:r w:rsidRPr="00273106">
        <w:t xml:space="preserve"> od těla</w:t>
      </w:r>
      <w:r w:rsidR="001438EA">
        <w:t xml:space="preserve">, například </w:t>
      </w:r>
      <w:r w:rsidRPr="00273106">
        <w:t>v rámci transcendentální egologie</w:t>
      </w:r>
      <w:r>
        <w:t xml:space="preserve"> Husserla</w:t>
      </w:r>
      <w:r w:rsidRPr="00273106">
        <w:t xml:space="preserve">. </w:t>
      </w:r>
      <w:r>
        <w:t xml:space="preserve">Sigerova definice </w:t>
      </w:r>
      <w:r w:rsidRPr="00273106">
        <w:t xml:space="preserve">subjektu </w:t>
      </w:r>
      <w:r>
        <w:t>je dána</w:t>
      </w:r>
      <w:r w:rsidRPr="00273106">
        <w:t xml:space="preserve"> jako </w:t>
      </w:r>
      <w:r w:rsidR="003C6E92">
        <w:t xml:space="preserve">dvojitá </w:t>
      </w:r>
      <w:r w:rsidR="00CE400F">
        <w:t>„</w:t>
      </w:r>
      <w:r w:rsidRPr="00273106">
        <w:rPr>
          <w:i/>
        </w:rPr>
        <w:t>conscientia</w:t>
      </w:r>
      <w:r w:rsidR="00CE400F">
        <w:t xml:space="preserve">“. Ta </w:t>
      </w:r>
      <w:r w:rsidRPr="00273106">
        <w:t xml:space="preserve">subsistuje na </w:t>
      </w:r>
      <w:r w:rsidR="006B2FEA">
        <w:t xml:space="preserve">personální </w:t>
      </w:r>
      <w:r>
        <w:t xml:space="preserve">entelechické </w:t>
      </w:r>
      <w:r w:rsidRPr="00273106">
        <w:t xml:space="preserve">duši dané jako </w:t>
      </w:r>
      <w:r w:rsidRPr="00273106">
        <w:rPr>
          <w:i/>
        </w:rPr>
        <w:t>compositum</w:t>
      </w:r>
      <w:r w:rsidRPr="00273106">
        <w:t xml:space="preserve"> formy aktualizované v materiálním</w:t>
      </w:r>
      <w:r>
        <w:t xml:space="preserve"> substrátu. Modernistům zcela unikla fundamentální nuance v CMDA daná Sigerovým rozdílem mezi </w:t>
      </w:r>
      <w:r w:rsidRPr="08B94795">
        <w:rPr>
          <w:i/>
        </w:rPr>
        <w:t>subiective</w:t>
      </w:r>
      <w:r>
        <w:t xml:space="preserve"> daným výkonem intelektu v duši a </w:t>
      </w:r>
      <w:r w:rsidRPr="08B94795">
        <w:rPr>
          <w:i/>
        </w:rPr>
        <w:t>obi</w:t>
      </w:r>
      <w:r>
        <w:rPr>
          <w:i/>
        </w:rPr>
        <w:t>e</w:t>
      </w:r>
      <w:r w:rsidRPr="08B94795">
        <w:rPr>
          <w:i/>
        </w:rPr>
        <w:t>ctive</w:t>
      </w:r>
      <w:r>
        <w:t xml:space="preserve"> syntetizovaným intelektem jako poznatkem osobního výkonu myšlení. </w:t>
      </w:r>
      <w:r w:rsidRPr="00273106">
        <w:t>Tím je dána jak jednota inte</w:t>
      </w:r>
      <w:r>
        <w:t xml:space="preserve">lektu v rámci </w:t>
      </w:r>
      <w:r w:rsidR="00986595">
        <w:t>„</w:t>
      </w:r>
      <w:r>
        <w:rPr>
          <w:i/>
        </w:rPr>
        <w:t>homo ipse intelligit</w:t>
      </w:r>
      <w:r w:rsidR="00986595" w:rsidRPr="00986595">
        <w:t>“</w:t>
      </w:r>
      <w:r>
        <w:rPr>
          <w:i/>
        </w:rPr>
        <w:fldChar w:fldCharType="begin"/>
      </w:r>
      <w:r>
        <w:instrText xml:space="preserve"> XE "</w:instrText>
      </w:r>
      <w:r w:rsidRPr="00B935DC">
        <w:rPr>
          <w:rStyle w:val="Zkladntext350"/>
        </w:rPr>
        <w:instrText>osoba</w:instrText>
      </w:r>
      <w:r w:rsidRPr="00B935DC">
        <w:rPr>
          <w:rStyle w:val="Zkladntext350"/>
          <w:i/>
        </w:rPr>
        <w:instrText>:</w:instrText>
      </w:r>
      <w:r>
        <w:rPr>
          <w:rStyle w:val="Zkladntext350"/>
          <w:i/>
        </w:rPr>
        <w:instrText>homo ipse intelligit</w:instrText>
      </w:r>
      <w:r>
        <w:instrText xml:space="preserve">" </w:instrText>
      </w:r>
      <w:r>
        <w:rPr>
          <w:i/>
        </w:rPr>
        <w:fldChar w:fldCharType="end"/>
      </w:r>
      <w:r w:rsidRPr="00273106">
        <w:t>, tak i jeho oddělen</w:t>
      </w:r>
      <w:r w:rsidR="00F147EC">
        <w:t>í</w:t>
      </w:r>
      <w:r w:rsidRPr="00273106">
        <w:t xml:space="preserve"> od smyslů. </w:t>
      </w:r>
      <w:r w:rsidR="00914FFF" w:rsidRPr="00273106">
        <w:t xml:space="preserve">Vědění musí mít </w:t>
      </w:r>
      <w:r w:rsidR="00914FFF" w:rsidRPr="00273106">
        <w:rPr>
          <w:i/>
        </w:rPr>
        <w:t>plurál majesticus</w:t>
      </w:r>
      <w:r w:rsidR="00914FFF">
        <w:t xml:space="preserve"> (</w:t>
      </w:r>
      <w:r w:rsidR="00914FFF" w:rsidRPr="005A7861">
        <w:rPr>
          <w:i/>
        </w:rPr>
        <w:t xml:space="preserve">conscii </w:t>
      </w:r>
      <w:r w:rsidR="00914FFF" w:rsidRPr="00273106">
        <w:rPr>
          <w:i/>
        </w:rPr>
        <w:t>sumus</w:t>
      </w:r>
      <w:r w:rsidR="00914FFF" w:rsidRPr="00273106">
        <w:t>) proto, že je jedno, nedělitelné, nemateriální a oddělené od smyslů.</w:t>
      </w:r>
      <w:r w:rsidR="00914FFF">
        <w:t xml:space="preserve"> </w:t>
      </w:r>
      <w:r w:rsidRPr="00273106">
        <w:t xml:space="preserve">Receptivita v rámci </w:t>
      </w:r>
      <w:r w:rsidRPr="00273106">
        <w:rPr>
          <w:i/>
        </w:rPr>
        <w:t>intellectus possibilis</w:t>
      </w:r>
      <w:r>
        <w:rPr>
          <w:i/>
        </w:rPr>
        <w:fldChar w:fldCharType="begin"/>
      </w:r>
      <w:r>
        <w:instrText xml:space="preserve"> XE "</w:instrText>
      </w:r>
      <w:r w:rsidRPr="00770D02">
        <w:rPr>
          <w:i/>
        </w:rPr>
        <w:instrText>intellectus possibilis</w:instrText>
      </w:r>
      <w:r>
        <w:instrText xml:space="preserve">:Siger" </w:instrText>
      </w:r>
      <w:r>
        <w:rPr>
          <w:i/>
        </w:rPr>
        <w:fldChar w:fldCharType="end"/>
      </w:r>
      <w:r w:rsidRPr="00273106">
        <w:t xml:space="preserve"> je nemateriální potence duše, skrze kterou vzniká </w:t>
      </w:r>
      <w:r>
        <w:t xml:space="preserve">skrze výkon </w:t>
      </w:r>
      <w:r w:rsidRPr="00273106">
        <w:t>porozumění</w:t>
      </w:r>
      <w:r>
        <w:t xml:space="preserve"> daného na úrovni aktuální první substance v první osobě, tedy jako výkon celistvé osoby</w:t>
      </w:r>
      <w:r w:rsidRPr="00273106">
        <w:t xml:space="preserve">. </w:t>
      </w:r>
      <w:r>
        <w:t xml:space="preserve">Poznání jako </w:t>
      </w:r>
      <w:r w:rsidRPr="00582B89">
        <w:rPr>
          <w:i/>
        </w:rPr>
        <w:t xml:space="preserve">tertium </w:t>
      </w:r>
      <w:r w:rsidR="00962190">
        <w:rPr>
          <w:i/>
        </w:rPr>
        <w:t>genus</w:t>
      </w:r>
      <w:r>
        <w:t xml:space="preserve"> </w:t>
      </w:r>
      <w:r w:rsidRPr="00273106">
        <w:t>je výkon našeho hylemorfického těla</w:t>
      </w:r>
      <w:r>
        <w:t xml:space="preserve"> v modu existenciálně zakoušené kauzality</w:t>
      </w:r>
      <w:r w:rsidRPr="00273106">
        <w:t>, nikoliv nějaké oddělené substance</w:t>
      </w:r>
      <w:r>
        <w:t>, kterou meditujeme z výšin moderního ducha odděleného od těla</w:t>
      </w:r>
      <w:r w:rsidRPr="00273106">
        <w:t xml:space="preserve">. Tím je odmítnuta teze druhého averroismu </w:t>
      </w:r>
      <w:r>
        <w:t>o pluralitě substancí v člověku jako zcela zbytečná a nesmyslná</w:t>
      </w:r>
      <w:r w:rsidR="0097339D">
        <w:t xml:space="preserve">. To </w:t>
      </w:r>
      <w:r>
        <w:t xml:space="preserve">představuje </w:t>
      </w:r>
      <w:r w:rsidR="08160258">
        <w:t xml:space="preserve">aristotelskou </w:t>
      </w:r>
      <w:r>
        <w:t xml:space="preserve">verzi </w:t>
      </w:r>
      <w:r w:rsidRPr="08251C06">
        <w:rPr>
          <w:i/>
        </w:rPr>
        <w:t>dativus incommodi</w:t>
      </w:r>
      <w:r>
        <w:rPr>
          <w:i/>
        </w:rPr>
        <w:fldChar w:fldCharType="begin"/>
      </w:r>
      <w:r>
        <w:instrText xml:space="preserve"> XE "</w:instrText>
      </w:r>
      <w:r w:rsidRPr="08433D31">
        <w:rPr>
          <w:i/>
        </w:rPr>
        <w:instrText>dativus incommodi</w:instrText>
      </w:r>
      <w:r>
        <w:instrText xml:space="preserve">" </w:instrText>
      </w:r>
      <w:r>
        <w:rPr>
          <w:i/>
        </w:rPr>
        <w:fldChar w:fldCharType="end"/>
      </w:r>
      <w:r w:rsidR="0097339D">
        <w:t>.</w:t>
      </w:r>
      <w:r w:rsidR="003A06E1">
        <w:t xml:space="preserve"> Modernistická verze tohoto dativu je zcela šílená, protože nastolila objektivní metafyziku bez první substance a nihilistický humanismus bez existující osoby.  </w:t>
      </w:r>
    </w:p>
    <w:p w:rsidR="08163013" w:rsidRDefault="08163013" w:rsidP="001438EA">
      <w:pPr>
        <w:ind w:firstLine="397"/>
      </w:pPr>
      <w:r>
        <w:t xml:space="preserve">Siger provedl fenomenologickou destrukci modernismu po vzoru Heideggerovy </w:t>
      </w:r>
      <w:r w:rsidRPr="08BA76B8">
        <w:rPr>
          <w:i/>
        </w:rPr>
        <w:t>Destruktion</w:t>
      </w:r>
      <w:r>
        <w:t xml:space="preserve"> </w:t>
      </w:r>
      <w:proofErr w:type="gramStart"/>
      <w:r>
        <w:t>dané  v první</w:t>
      </w:r>
      <w:proofErr w:type="gramEnd"/>
      <w:r>
        <w:t xml:space="preserve"> fenomenologické interpretaci Aristotela z roku 1922, kterou </w:t>
      </w:r>
      <w:r w:rsidR="08BA4E83">
        <w:t xml:space="preserve">nově </w:t>
      </w:r>
      <w:r>
        <w:t xml:space="preserve">rozvedlo dílo </w:t>
      </w:r>
      <w:r w:rsidRPr="081D0584">
        <w:rPr>
          <w:i/>
        </w:rPr>
        <w:t>Bytí a čas</w:t>
      </w:r>
      <w:r>
        <w:t xml:space="preserve"> (SZ, § 6). Proto spis QIIIDA odmítnul semiaverroismus </w:t>
      </w:r>
      <w:r w:rsidRPr="00273106">
        <w:t>Akvinského</w:t>
      </w:r>
      <w:r w:rsidRPr="088C566D">
        <w:t xml:space="preserve"> </w:t>
      </w:r>
      <w:r>
        <w:t xml:space="preserve">výkladu </w:t>
      </w:r>
      <w:r w:rsidRPr="088C566D">
        <w:rPr>
          <w:i/>
        </w:rPr>
        <w:t>De anima</w:t>
      </w:r>
      <w:r w:rsidRPr="00273106">
        <w:t xml:space="preserve">, </w:t>
      </w:r>
      <w:r>
        <w:t>který měl o</w:t>
      </w:r>
      <w:r w:rsidRPr="00273106">
        <w:t xml:space="preserve">ddělený intelekt jako </w:t>
      </w:r>
      <w:r>
        <w:t xml:space="preserve">objektivní </w:t>
      </w:r>
      <w:r w:rsidRPr="00273106">
        <w:t>formu</w:t>
      </w:r>
      <w:r>
        <w:t xml:space="preserve">. Tato hypostázovaná forma daná </w:t>
      </w:r>
      <w:r>
        <w:rPr>
          <w:i/>
        </w:rPr>
        <w:t>ad mentem</w:t>
      </w:r>
      <w:r w:rsidRPr="088C566D">
        <w:rPr>
          <w:i/>
        </w:rPr>
        <w:t xml:space="preserve"> Aristotelis</w:t>
      </w:r>
      <w:r>
        <w:t xml:space="preserve"> </w:t>
      </w:r>
      <w:r w:rsidRPr="00273106">
        <w:t>nasvěcuje a aktualizuje proces poznání zezadu</w:t>
      </w:r>
      <w:r>
        <w:t xml:space="preserve"> svou vlastní aktualitou</w:t>
      </w:r>
      <w:r>
        <w:fldChar w:fldCharType="begin"/>
      </w:r>
      <w:r>
        <w:instrText xml:space="preserve"> XE "osoba:</w:instrText>
      </w:r>
      <w:r w:rsidRPr="009762EA">
        <w:rPr>
          <w:i/>
        </w:rPr>
        <w:instrText>ipse</w:instrText>
      </w:r>
      <w:r>
        <w:instrText>/</w:instrText>
      </w:r>
      <w:r w:rsidRPr="009762EA">
        <w:rPr>
          <w:i/>
        </w:rPr>
        <w:instrText>idem</w:instrText>
      </w:r>
      <w:r>
        <w:instrText xml:space="preserve">" </w:instrText>
      </w:r>
      <w:r>
        <w:fldChar w:fldCharType="end"/>
      </w:r>
      <w:r w:rsidRPr="00273106">
        <w:t xml:space="preserve">. </w:t>
      </w:r>
      <w:r>
        <w:t xml:space="preserve">To sice odpovídá liteře </w:t>
      </w:r>
      <w:r w:rsidRPr="00285918">
        <w:rPr>
          <w:i/>
        </w:rPr>
        <w:t>De anima</w:t>
      </w:r>
      <w:r>
        <w:t xml:space="preserve">, ale rozhodně to není původní smysl CMDA a jednoty osoby dané </w:t>
      </w:r>
      <w:r>
        <w:rPr>
          <w:i/>
        </w:rPr>
        <w:t>ad mentem Averrois</w:t>
      </w:r>
      <w:r>
        <w:rPr>
          <w:i/>
        </w:rPr>
        <w:fldChar w:fldCharType="begin"/>
      </w:r>
      <w:r>
        <w:instrText xml:space="preserve"> XE "</w:instrText>
      </w:r>
      <w:r>
        <w:rPr>
          <w:i/>
        </w:rPr>
        <w:instrText>ad mentem Averrois</w:instrText>
      </w:r>
      <w:r>
        <w:instrText xml:space="preserve">" </w:instrText>
      </w:r>
      <w:r>
        <w:rPr>
          <w:i/>
        </w:rPr>
        <w:fldChar w:fldCharType="end"/>
      </w:r>
      <w:r>
        <w:t xml:space="preserve">. </w:t>
      </w:r>
      <w:r w:rsidRPr="00273106">
        <w:t>Pak by aktuální duše tvořila karteziánského hybatele těla (</w:t>
      </w:r>
      <w:r w:rsidRPr="00273106">
        <w:rPr>
          <w:i/>
        </w:rPr>
        <w:t>anima ut motor</w:t>
      </w:r>
      <w:r>
        <w:rPr>
          <w:i/>
        </w:rPr>
        <w:fldChar w:fldCharType="begin"/>
      </w:r>
      <w:r>
        <w:instrText xml:space="preserve"> XE "</w:instrText>
      </w:r>
      <w:r w:rsidRPr="00A00037">
        <w:rPr>
          <w:i/>
        </w:rPr>
        <w:instrText>anima ut motor</w:instrText>
      </w:r>
      <w:r>
        <w:instrText xml:space="preserve">" </w:instrText>
      </w:r>
      <w:r>
        <w:rPr>
          <w:i/>
        </w:rPr>
        <w:fldChar w:fldCharType="end"/>
      </w:r>
      <w:r w:rsidRPr="00273106">
        <w:t xml:space="preserve">), nebo by </w:t>
      </w:r>
      <w:r>
        <w:t xml:space="preserve">duše </w:t>
      </w:r>
      <w:r w:rsidRPr="00273106">
        <w:t xml:space="preserve">tvořila </w:t>
      </w:r>
      <w:r>
        <w:t xml:space="preserve">po vzoru neoplatonismu </w:t>
      </w:r>
      <w:r w:rsidRPr="00273106">
        <w:t xml:space="preserve">řídící a oddělený </w:t>
      </w:r>
      <w:r w:rsidRPr="00273106">
        <w:lastRenderedPageBreak/>
        <w:t>intelektuální princip typu lodníka a lodě (</w:t>
      </w:r>
      <w:r w:rsidRPr="00273106">
        <w:rPr>
          <w:i/>
        </w:rPr>
        <w:t>sicut nauta navis</w:t>
      </w:r>
      <w:r w:rsidRPr="00273106">
        <w:t xml:space="preserve">). Siger </w:t>
      </w:r>
      <w:r>
        <w:t xml:space="preserve">zásadně odmítá jakékoliv </w:t>
      </w:r>
      <w:r w:rsidRPr="00273106">
        <w:t xml:space="preserve">substanční pojetí nemateriálního intelektu, </w:t>
      </w:r>
      <w:r>
        <w:t xml:space="preserve">což </w:t>
      </w:r>
      <w:r w:rsidRPr="00273106">
        <w:t>opět dokazuje jeho pečlivou četbu CMDA.</w:t>
      </w:r>
    </w:p>
    <w:p w:rsidR="08163013" w:rsidRPr="00721D60" w:rsidRDefault="08163013" w:rsidP="08163013">
      <w:pPr>
        <w:pStyle w:val="Citace"/>
        <w:rPr>
          <w:noProof/>
        </w:rPr>
      </w:pPr>
      <w:r w:rsidRPr="00273106">
        <w:rPr>
          <w:noProof/>
        </w:rPr>
        <w:t>„</w:t>
      </w:r>
      <w:r>
        <w:rPr>
          <w:noProof/>
        </w:rPr>
        <w:t>Intelekt završuje tělo nikoliv skrze svou substanci, ale skrze svou potenci. Kdyby tak činil skrze substanci, už by nebyl odděl</w:t>
      </w:r>
      <w:r>
        <w:rPr>
          <w:noProof/>
          <w:lang w:val="cs-CZ"/>
        </w:rPr>
        <w:t>itel</w:t>
      </w:r>
      <w:r>
        <w:rPr>
          <w:noProof/>
        </w:rPr>
        <w:t>ný</w:t>
      </w:r>
      <w:r>
        <w:rPr>
          <w:noProof/>
          <w:lang w:val="cs-CZ"/>
        </w:rPr>
        <w:t xml:space="preserve"> (</w:t>
      </w:r>
      <w:r w:rsidRPr="008431B1">
        <w:rPr>
          <w:i/>
          <w:noProof/>
        </w:rPr>
        <w:t>non esset separabilis</w:t>
      </w:r>
      <w:r>
        <w:rPr>
          <w:noProof/>
          <w:lang w:val="cs-CZ"/>
        </w:rPr>
        <w:t>)</w:t>
      </w:r>
      <w:r>
        <w:rPr>
          <w:noProof/>
        </w:rPr>
        <w:t xml:space="preserve">. Averroes </w:t>
      </w:r>
      <w:r>
        <w:rPr>
          <w:noProof/>
          <w:lang w:val="cs-CZ"/>
        </w:rPr>
        <w:t xml:space="preserve">řekl </w:t>
      </w:r>
      <w:r>
        <w:rPr>
          <w:noProof/>
        </w:rPr>
        <w:t xml:space="preserve">v komentáři ke druhé knize </w:t>
      </w:r>
      <w:r w:rsidRPr="00721D60">
        <w:rPr>
          <w:i/>
          <w:noProof/>
        </w:rPr>
        <w:t>De anima</w:t>
      </w:r>
      <w:r>
        <w:rPr>
          <w:noProof/>
          <w:lang w:val="cs-CZ"/>
        </w:rPr>
        <w:t>: p</w:t>
      </w:r>
      <w:r>
        <w:rPr>
          <w:noProof/>
        </w:rPr>
        <w:t>rotože intelekt neužívá těla jako nástroj</w:t>
      </w:r>
      <w:r>
        <w:rPr>
          <w:noProof/>
          <w:lang w:val="cs-CZ"/>
        </w:rPr>
        <w:t>e</w:t>
      </w:r>
      <w:r>
        <w:rPr>
          <w:noProof/>
        </w:rPr>
        <w:t xml:space="preserve">, nemůže </w:t>
      </w:r>
      <w:r w:rsidR="087D2542">
        <w:rPr>
          <w:noProof/>
          <w:lang w:val="cs-CZ"/>
        </w:rPr>
        <w:t>sám sebe</w:t>
      </w:r>
      <w:r w:rsidR="08FA6CC2">
        <w:rPr>
          <w:noProof/>
        </w:rPr>
        <w:t xml:space="preserve"> </w:t>
      </w:r>
      <w:r>
        <w:rPr>
          <w:noProof/>
        </w:rPr>
        <w:t xml:space="preserve">završit </w:t>
      </w:r>
      <w:r w:rsidR="08FA6CC2">
        <w:rPr>
          <w:noProof/>
          <w:lang w:val="cs-CZ"/>
        </w:rPr>
        <w:t xml:space="preserve">jako </w:t>
      </w:r>
      <w:r>
        <w:rPr>
          <w:noProof/>
        </w:rPr>
        <w:t>s</w:t>
      </w:r>
      <w:r w:rsidR="087101C3">
        <w:rPr>
          <w:noProof/>
        </w:rPr>
        <w:t>ubstanc</w:t>
      </w:r>
      <w:r w:rsidR="087101C3">
        <w:rPr>
          <w:noProof/>
          <w:lang w:val="cs-CZ"/>
        </w:rPr>
        <w:t>e</w:t>
      </w:r>
      <w:r>
        <w:rPr>
          <w:noProof/>
        </w:rPr>
        <w:t xml:space="preserve">. Stejně Aristoteles řekl ve druhé knize, že intelekt není v aktu vzhledem k žádnému tělu, to znamená, vzhledem </w:t>
      </w:r>
      <w:r w:rsidR="001B5534">
        <w:rPr>
          <w:noProof/>
        </w:rPr>
        <w:t>k žádné části těla, protože těl</w:t>
      </w:r>
      <w:r w:rsidR="001B5534">
        <w:rPr>
          <w:noProof/>
          <w:lang w:val="cs-CZ"/>
        </w:rPr>
        <w:t>o</w:t>
      </w:r>
      <w:r>
        <w:rPr>
          <w:noProof/>
        </w:rPr>
        <w:t xml:space="preserve"> </w:t>
      </w:r>
      <w:r w:rsidR="001B5534">
        <w:rPr>
          <w:noProof/>
          <w:lang w:val="cs-CZ"/>
        </w:rPr>
        <w:t>po</w:t>
      </w:r>
      <w:r>
        <w:rPr>
          <w:noProof/>
        </w:rPr>
        <w:t xml:space="preserve">užívá </w:t>
      </w:r>
      <w:r w:rsidR="001B5534">
        <w:rPr>
          <w:noProof/>
          <w:lang w:val="cs-CZ"/>
        </w:rPr>
        <w:t>jiným způsobem</w:t>
      </w:r>
      <w:r>
        <w:rPr>
          <w:noProof/>
        </w:rPr>
        <w:t xml:space="preserve">.“ </w:t>
      </w:r>
      <w:r>
        <w:rPr>
          <w:rStyle w:val="Znakapoznpodarou"/>
        </w:rPr>
        <w:footnoteReference w:id="219"/>
      </w:r>
    </w:p>
    <w:p w:rsidR="00877BCF" w:rsidRDefault="08163013" w:rsidP="08163013">
      <w:r w:rsidRPr="00273106">
        <w:t>Lidský intelekt je oddělený od organického těla velmi specifickým způsobem</w:t>
      </w:r>
      <w:r>
        <w:t xml:space="preserve"> </w:t>
      </w:r>
      <w:r w:rsidRPr="00273106">
        <w:t>(</w:t>
      </w:r>
      <w:r w:rsidRPr="00273106">
        <w:rPr>
          <w:i/>
        </w:rPr>
        <w:t>separabilis</w:t>
      </w:r>
      <w:r w:rsidR="08A1443B" w:rsidRPr="00353C04">
        <w:rPr>
          <w:i/>
          <w:szCs w:val="24"/>
        </w:rPr>
        <w:fldChar w:fldCharType="begin"/>
      </w:r>
      <w:r w:rsidR="08A1443B" w:rsidRPr="00353C04">
        <w:rPr>
          <w:szCs w:val="24"/>
        </w:rPr>
        <w:instrText xml:space="preserve"> XE "</w:instrText>
      </w:r>
      <w:r w:rsidR="08A1443B">
        <w:rPr>
          <w:szCs w:val="24"/>
        </w:rPr>
        <w:instrText>i</w:instrText>
      </w:r>
      <w:r w:rsidR="08A1443B" w:rsidRPr="00353C04">
        <w:rPr>
          <w:szCs w:val="24"/>
        </w:rPr>
        <w:instrText>nte</w:instrText>
      </w:r>
      <w:r w:rsidR="08A1443B">
        <w:rPr>
          <w:szCs w:val="24"/>
        </w:rPr>
        <w:instrText>l</w:instrText>
      </w:r>
      <w:r w:rsidR="08A1443B" w:rsidRPr="00353C04">
        <w:rPr>
          <w:szCs w:val="24"/>
        </w:rPr>
        <w:instrText>ekt:</w:instrText>
      </w:r>
      <w:r w:rsidR="08A1443B" w:rsidRPr="00353C04">
        <w:rPr>
          <w:i/>
          <w:szCs w:val="24"/>
        </w:rPr>
        <w:instrText>s</w:instrText>
      </w:r>
      <w:r w:rsidR="08A1443B">
        <w:rPr>
          <w:i/>
          <w:szCs w:val="24"/>
        </w:rPr>
        <w:instrText>eparabilis</w:instrText>
      </w:r>
      <w:r w:rsidR="08A1443B" w:rsidRPr="00353C04">
        <w:rPr>
          <w:szCs w:val="24"/>
        </w:rPr>
        <w:instrText>/</w:instrText>
      </w:r>
      <w:r w:rsidR="08A1443B">
        <w:rPr>
          <w:i/>
          <w:szCs w:val="24"/>
        </w:rPr>
        <w:instrText>separatus</w:instrText>
      </w:r>
      <w:r w:rsidR="08A1443B" w:rsidRPr="00353C04">
        <w:rPr>
          <w:szCs w:val="24"/>
        </w:rPr>
        <w:instrText xml:space="preserve">" </w:instrText>
      </w:r>
      <w:r w:rsidR="08A1443B" w:rsidRPr="00353C04">
        <w:rPr>
          <w:i/>
          <w:szCs w:val="24"/>
        </w:rPr>
        <w:fldChar w:fldCharType="end"/>
      </w:r>
      <w:r w:rsidRPr="00273106">
        <w:t>). Je nemateriální</w:t>
      </w:r>
      <w:r w:rsidR="0852342E">
        <w:t xml:space="preserve"> dokonalost těla </w:t>
      </w:r>
      <w:r w:rsidR="005145BF">
        <w:t xml:space="preserve">v rámci </w:t>
      </w:r>
      <w:r w:rsidR="0852342E">
        <w:t>osoby (</w:t>
      </w:r>
      <w:r w:rsidR="0852342E" w:rsidRPr="00273106">
        <w:rPr>
          <w:i/>
        </w:rPr>
        <w:t>intellectus perficit corpus</w:t>
      </w:r>
      <w:r w:rsidR="0852342E">
        <w:t xml:space="preserve">). Ale intelekt </w:t>
      </w:r>
      <w:r w:rsidRPr="00273106">
        <w:t xml:space="preserve">nezavršuje </w:t>
      </w:r>
      <w:r w:rsidR="0852342E" w:rsidRPr="00273106">
        <w:t xml:space="preserve">tělesné potence </w:t>
      </w:r>
      <w:r w:rsidR="0852342E">
        <w:t xml:space="preserve">dané hylemorficky, protože to by byl další substance v člověku </w:t>
      </w:r>
      <w:r w:rsidR="0852342E" w:rsidRPr="00273106">
        <w:t>(</w:t>
      </w:r>
      <w:r w:rsidR="0852342E" w:rsidRPr="00273106">
        <w:rPr>
          <w:i/>
        </w:rPr>
        <w:t>non per suam substantiam</w:t>
      </w:r>
      <w:r w:rsidR="0852342E" w:rsidRPr="00273106">
        <w:t>)</w:t>
      </w:r>
      <w:r w:rsidR="0852342E">
        <w:t xml:space="preserve">. </w:t>
      </w:r>
      <w:r w:rsidR="086308C9">
        <w:t xml:space="preserve">Intelekt je na tělo vázaný </w:t>
      </w:r>
      <w:r w:rsidR="086308C9" w:rsidRPr="086308C9">
        <w:rPr>
          <w:i/>
        </w:rPr>
        <w:t>subiective</w:t>
      </w:r>
      <w:r w:rsidR="086308C9">
        <w:t>, protože není další substancí, ale tvoří pouze další a nadřazenou schopnost duše</w:t>
      </w:r>
      <w:r w:rsidR="08F27940">
        <w:t xml:space="preserve"> jako form</w:t>
      </w:r>
      <w:r w:rsidR="085979FD">
        <w:t>y</w:t>
      </w:r>
      <w:r w:rsidR="08F27940">
        <w:t xml:space="preserve"> těla</w:t>
      </w:r>
      <w:r w:rsidR="086308C9">
        <w:t xml:space="preserve">. Ale intelekt je nemateriální schopnost oddělitelná od smyslů ve svém vlastním výkonu myšlení, proto završuje schopnosti těla </w:t>
      </w:r>
      <w:r w:rsidR="086308C9" w:rsidRPr="086308C9">
        <w:rPr>
          <w:i/>
        </w:rPr>
        <w:t>obiective</w:t>
      </w:r>
      <w:r w:rsidR="086308C9">
        <w:t xml:space="preserve">. </w:t>
      </w:r>
      <w:r>
        <w:t>Oddělitelnost intelektu z hlediska jeho nemateriálního výkonu (</w:t>
      </w:r>
      <w:r w:rsidRPr="000D2A4C">
        <w:rPr>
          <w:i/>
        </w:rPr>
        <w:t>separabilis</w:t>
      </w:r>
      <w:r>
        <w:t>) je metafyzicky odlišná v modu potence od moderního intelektu daného jako oddělená substance (</w:t>
      </w:r>
      <w:r w:rsidRPr="00DE5196">
        <w:rPr>
          <w:i/>
        </w:rPr>
        <w:t>separatus</w:t>
      </w:r>
      <w:r>
        <w:t xml:space="preserve">). Z hlediska datace a autorství Mnichovského rukopisu má toto odlišení intelektu v modu </w:t>
      </w:r>
      <w:r w:rsidRPr="086A3542">
        <w:rPr>
          <w:i/>
        </w:rPr>
        <w:t>separabilis</w:t>
      </w:r>
      <w:r>
        <w:t xml:space="preserve"> klíčový význam, protože odkazuje na druhou knihu </w:t>
      </w:r>
      <w:r w:rsidRPr="086A3542">
        <w:rPr>
          <w:i/>
        </w:rPr>
        <w:t>De anima</w:t>
      </w:r>
      <w:r w:rsidR="00877BCF">
        <w:t>.</w:t>
      </w:r>
    </w:p>
    <w:p w:rsidR="00186BF7" w:rsidRDefault="08163013" w:rsidP="00B828EA">
      <w:pPr>
        <w:ind w:firstLine="397"/>
      </w:pPr>
      <w:r>
        <w:t xml:space="preserve">Podle DA </w:t>
      </w:r>
      <w:r w:rsidR="00877BCF">
        <w:t>I–</w:t>
      </w:r>
      <w:r>
        <w:t xml:space="preserve">II komentovaném Sigerem v Mnichovském rukopise je totiž možné připustit objektivní náhled na intelekt v modu </w:t>
      </w:r>
      <w:r w:rsidR="00877BCF">
        <w:t>„</w:t>
      </w:r>
      <w:r w:rsidRPr="083F4226">
        <w:rPr>
          <w:i/>
        </w:rPr>
        <w:t>separa</w:t>
      </w:r>
      <w:r>
        <w:rPr>
          <w:i/>
        </w:rPr>
        <w:t>tus</w:t>
      </w:r>
      <w:r w:rsidR="00877BCF">
        <w:t>“</w:t>
      </w:r>
      <w:r>
        <w:t>, jako to má Akvinský kolem roku 1267 (</w:t>
      </w:r>
      <w:r w:rsidRPr="087D22BD">
        <w:rPr>
          <w:i/>
        </w:rPr>
        <w:t>potest esse</w:t>
      </w:r>
      <w:r w:rsidR="08192CFD">
        <w:t>, kap. 4</w:t>
      </w:r>
      <w:r>
        <w:t xml:space="preserve">.3.2). Ale </w:t>
      </w:r>
      <w:r w:rsidR="00FB714D">
        <w:t>spr</w:t>
      </w:r>
      <w:r w:rsidR="003724A7">
        <w:t>á</w:t>
      </w:r>
      <w:r w:rsidR="00FB714D">
        <w:t xml:space="preserve">vný </w:t>
      </w:r>
      <w:r>
        <w:t xml:space="preserve">náhled na intelekt daný </w:t>
      </w:r>
      <w:r w:rsidR="00F26509">
        <w:t>„</w:t>
      </w:r>
      <w:r w:rsidRPr="086A3542">
        <w:rPr>
          <w:i/>
        </w:rPr>
        <w:t>obiective</w:t>
      </w:r>
      <w:r w:rsidR="00F26509">
        <w:t>“</w:t>
      </w:r>
      <w:r>
        <w:t xml:space="preserve"> je možný pouze tehdy, pokud fenomenologicky správně určíme existenciální výkon myšlení v modu </w:t>
      </w:r>
      <w:r w:rsidR="00F26509">
        <w:t>„</w:t>
      </w:r>
      <w:r w:rsidRPr="086A3542">
        <w:rPr>
          <w:i/>
        </w:rPr>
        <w:t>subiective</w:t>
      </w:r>
      <w:r w:rsidR="00F26509">
        <w:t>“</w:t>
      </w:r>
      <w:r>
        <w:t xml:space="preserve">. Siger napsal komentář k prvním dvěma částem </w:t>
      </w:r>
      <w:r w:rsidRPr="083F4226">
        <w:rPr>
          <w:i/>
        </w:rPr>
        <w:t>De anima</w:t>
      </w:r>
      <w:r>
        <w:t xml:space="preserve"> a poslal je Akvinskému do Itálie buď samostatně nebo společně s již publikovaným komentářem třetí části (QIIIDA), což se shoduje s tvrzením Agostina Nifa. Proto má Aegidius k Sigerovu </w:t>
      </w:r>
      <w:r w:rsidR="08B24128">
        <w:t>„</w:t>
      </w:r>
      <w:r>
        <w:t>objektivnímu</w:t>
      </w:r>
      <w:r w:rsidR="08B24128">
        <w:t>“</w:t>
      </w:r>
      <w:r>
        <w:t xml:space="preserve"> výkladu DA I‒II v Mnichovském rukopise kladný vztah a bez zábran používá schéma </w:t>
      </w:r>
      <w:r w:rsidRPr="08487915">
        <w:rPr>
          <w:i/>
        </w:rPr>
        <w:t>subiective</w:t>
      </w:r>
      <w:r>
        <w:t>‒</w:t>
      </w:r>
      <w:r w:rsidRPr="08487915">
        <w:rPr>
          <w:i/>
        </w:rPr>
        <w:t>obiective</w:t>
      </w:r>
      <w:r>
        <w:rPr>
          <w:i/>
        </w:rPr>
        <w:fldChar w:fldCharType="begin"/>
      </w:r>
      <w:r>
        <w:instrText xml:space="preserve"> XE "</w:instrText>
      </w:r>
      <w:r w:rsidRPr="006841AD">
        <w:instrText>intelekt:</w:instrText>
      </w:r>
      <w:r w:rsidRPr="00863D73">
        <w:rPr>
          <w:i/>
        </w:rPr>
        <w:instrText>subiective</w:instrText>
      </w:r>
      <w:r w:rsidRPr="006841AD">
        <w:instrText>/</w:instrText>
      </w:r>
      <w:r w:rsidRPr="00863D73">
        <w:rPr>
          <w:i/>
        </w:rPr>
        <w:instrText>obiective</w:instrText>
      </w:r>
      <w:r>
        <w:instrText xml:space="preserve">" </w:instrText>
      </w:r>
      <w:r>
        <w:rPr>
          <w:i/>
        </w:rPr>
        <w:fldChar w:fldCharType="end"/>
      </w:r>
      <w:r w:rsidR="00F66405">
        <w:t>. Rozdíl však pojímá jako a</w:t>
      </w:r>
      <w:r w:rsidR="00F66405" w:rsidRPr="00F66405">
        <w:t>vicennista, protože intelekt je definován jako objektivní intelektuální forma.</w:t>
      </w:r>
      <w:r w:rsidR="00F66405">
        <w:t xml:space="preserve"> </w:t>
      </w:r>
      <w:r>
        <w:t xml:space="preserve">Pak je intelekt </w:t>
      </w:r>
      <w:r>
        <w:lastRenderedPageBreak/>
        <w:t xml:space="preserve">substance </w:t>
      </w:r>
      <w:r w:rsidR="08D44AEC">
        <w:t xml:space="preserve">modernistů </w:t>
      </w:r>
      <w:r>
        <w:t xml:space="preserve">daná v modu  </w:t>
      </w:r>
      <w:r w:rsidRPr="08132AB7">
        <w:rPr>
          <w:i/>
        </w:rPr>
        <w:t>separatus</w:t>
      </w:r>
      <w:r w:rsidR="0841340D">
        <w:t>. P</w:t>
      </w:r>
      <w:r>
        <w:t>roto Aegidius v Oxfo</w:t>
      </w:r>
      <w:r w:rsidR="08E46743">
        <w:t xml:space="preserve">rdském rukopisu odmítl </w:t>
      </w:r>
      <w:r w:rsidR="0841340D">
        <w:t xml:space="preserve">kompletní výklad </w:t>
      </w:r>
      <w:r w:rsidR="08E46743">
        <w:t>QIIIDA</w:t>
      </w:r>
      <w:r w:rsidR="0841340D">
        <w:t xml:space="preserve">, protože </w:t>
      </w:r>
      <w:r>
        <w:t xml:space="preserve">třetí část Sigerova komentáře </w:t>
      </w:r>
      <w:r w:rsidRPr="08851C69">
        <w:rPr>
          <w:i/>
        </w:rPr>
        <w:t>De anima</w:t>
      </w:r>
      <w:r w:rsidR="0841340D">
        <w:t xml:space="preserve"> </w:t>
      </w:r>
      <w:r w:rsidR="08E46743">
        <w:t xml:space="preserve">byla psána </w:t>
      </w:r>
      <w:r w:rsidR="007E589E">
        <w:t>„</w:t>
      </w:r>
      <w:r w:rsidR="08E46743" w:rsidRPr="08E46743">
        <w:rPr>
          <w:i/>
        </w:rPr>
        <w:t>ad mentem Averrois</w:t>
      </w:r>
      <w:r w:rsidR="007E589E">
        <w:t>“</w:t>
      </w:r>
      <w:r w:rsidR="08E46743">
        <w:rPr>
          <w:i/>
        </w:rPr>
        <w:t>.</w:t>
      </w:r>
      <w:r w:rsidR="0841340D">
        <w:t xml:space="preserve"> Aegidius </w:t>
      </w:r>
      <w:r w:rsidR="08E46743">
        <w:t xml:space="preserve">nahradil </w:t>
      </w:r>
      <w:r w:rsidR="0841340D">
        <w:t xml:space="preserve">třetí část </w:t>
      </w:r>
      <w:r w:rsidR="0841340D" w:rsidRPr="081942A4">
        <w:rPr>
          <w:szCs w:val="24"/>
        </w:rPr>
        <w:t xml:space="preserve">QIIIDA svou vlastní kreací </w:t>
      </w:r>
      <w:r w:rsidR="007E589E">
        <w:rPr>
          <w:szCs w:val="24"/>
        </w:rPr>
        <w:t>„</w:t>
      </w:r>
      <w:r w:rsidR="0841340D" w:rsidRPr="081942A4">
        <w:rPr>
          <w:i/>
          <w:szCs w:val="24"/>
        </w:rPr>
        <w:t>ad mentem Aristotelis</w:t>
      </w:r>
      <w:r w:rsidR="007E589E">
        <w:rPr>
          <w:szCs w:val="24"/>
        </w:rPr>
        <w:t>“</w:t>
      </w:r>
      <w:r w:rsidR="0841340D" w:rsidRPr="081942A4">
        <w:rPr>
          <w:i/>
          <w:szCs w:val="24"/>
        </w:rPr>
        <w:t xml:space="preserve"> </w:t>
      </w:r>
      <w:r w:rsidR="0841340D" w:rsidRPr="081942A4">
        <w:rPr>
          <w:szCs w:val="24"/>
        </w:rPr>
        <w:t>podle Akvinského</w:t>
      </w:r>
      <w:r w:rsidR="08C279BC" w:rsidRPr="081942A4">
        <w:rPr>
          <w:szCs w:val="24"/>
        </w:rPr>
        <w:t xml:space="preserve">. </w:t>
      </w:r>
      <w:r w:rsidR="0841340D" w:rsidRPr="081942A4">
        <w:rPr>
          <w:szCs w:val="24"/>
        </w:rPr>
        <w:t xml:space="preserve">Aegidiova kompilace Sigerova spisu  QIIIDA </w:t>
      </w:r>
      <w:r w:rsidR="08C279BC" w:rsidRPr="081942A4">
        <w:rPr>
          <w:szCs w:val="24"/>
        </w:rPr>
        <w:t xml:space="preserve">je historicky </w:t>
      </w:r>
      <w:r w:rsidR="0841340D" w:rsidRPr="081942A4">
        <w:rPr>
          <w:szCs w:val="24"/>
        </w:rPr>
        <w:t xml:space="preserve">první tomistickou (tj. sofistickou) intepretací </w:t>
      </w:r>
      <w:r w:rsidR="0841340D" w:rsidRPr="081942A4">
        <w:rPr>
          <w:i/>
          <w:szCs w:val="24"/>
        </w:rPr>
        <w:t>De anima</w:t>
      </w:r>
      <w:r w:rsidR="0841340D" w:rsidRPr="081942A4">
        <w:rPr>
          <w:szCs w:val="24"/>
        </w:rPr>
        <w:t xml:space="preserve">. </w:t>
      </w:r>
      <w:r w:rsidR="0841340D" w:rsidRPr="00D10BB4">
        <w:rPr>
          <w:szCs w:val="24"/>
        </w:rPr>
        <w:t>A</w:t>
      </w:r>
      <w:r w:rsidR="08C279BC" w:rsidRPr="00D10BB4">
        <w:rPr>
          <w:szCs w:val="24"/>
        </w:rPr>
        <w:t>egidius vytvořil první tomistick</w:t>
      </w:r>
      <w:r w:rsidR="0841340D" w:rsidRPr="00D10BB4">
        <w:rPr>
          <w:szCs w:val="24"/>
        </w:rPr>
        <w:t xml:space="preserve">ý spis podle Akvinského interpretace </w:t>
      </w:r>
      <w:r w:rsidR="007E589E">
        <w:rPr>
          <w:szCs w:val="24"/>
        </w:rPr>
        <w:t>intelektu provedené „</w:t>
      </w:r>
      <w:r w:rsidR="0841340D" w:rsidRPr="00D10BB4">
        <w:rPr>
          <w:i/>
          <w:szCs w:val="24"/>
        </w:rPr>
        <w:t>ad mentem Aristotelis</w:t>
      </w:r>
      <w:r w:rsidR="007E589E">
        <w:rPr>
          <w:szCs w:val="24"/>
        </w:rPr>
        <w:t>“.</w:t>
      </w:r>
      <w:r w:rsidR="08CD7008" w:rsidRPr="00D10BB4">
        <w:rPr>
          <w:szCs w:val="24"/>
        </w:rPr>
        <w:t xml:space="preserve"> </w:t>
      </w:r>
      <w:r w:rsidR="0841340D" w:rsidRPr="00D10BB4">
        <w:rPr>
          <w:szCs w:val="24"/>
        </w:rPr>
        <w:t xml:space="preserve">Siger odmítl </w:t>
      </w:r>
      <w:r w:rsidR="08CD7008" w:rsidRPr="00D10BB4">
        <w:rPr>
          <w:szCs w:val="24"/>
        </w:rPr>
        <w:t>Akvinského vysvětlení j</w:t>
      </w:r>
      <w:r w:rsidR="007E589E">
        <w:rPr>
          <w:szCs w:val="24"/>
        </w:rPr>
        <w:t>ako neúplné</w:t>
      </w:r>
      <w:r w:rsidR="08CD7008" w:rsidRPr="00D10BB4">
        <w:rPr>
          <w:szCs w:val="24"/>
        </w:rPr>
        <w:t xml:space="preserve">, a </w:t>
      </w:r>
      <w:r w:rsidR="081A5C28" w:rsidRPr="00D10BB4">
        <w:rPr>
          <w:szCs w:val="24"/>
        </w:rPr>
        <w:t>proto filosofick</w:t>
      </w:r>
      <w:r w:rsidR="08CD7008" w:rsidRPr="00D10BB4">
        <w:rPr>
          <w:szCs w:val="24"/>
        </w:rPr>
        <w:t>y chybné</w:t>
      </w:r>
      <w:r w:rsidR="081A5C28" w:rsidRPr="00D10BB4">
        <w:rPr>
          <w:szCs w:val="24"/>
        </w:rPr>
        <w:t xml:space="preserve"> </w:t>
      </w:r>
      <w:r w:rsidR="0841340D" w:rsidRPr="00D10BB4">
        <w:rPr>
          <w:szCs w:val="24"/>
        </w:rPr>
        <w:t>(Kap. 4.5.3).</w:t>
      </w:r>
      <w:r w:rsidR="08C279BC" w:rsidRPr="00D10BB4">
        <w:rPr>
          <w:szCs w:val="24"/>
        </w:rPr>
        <w:t xml:space="preserve"> </w:t>
      </w:r>
      <w:r>
        <w:t xml:space="preserve">Akvinský a Aegidius hlásající averroistického Averrose odmítli přijmout Sigerovy závěry ve </w:t>
      </w:r>
      <w:r w:rsidR="00ED2829">
        <w:t xml:space="preserve">spisu </w:t>
      </w:r>
      <w:r>
        <w:t>QIIIDA</w:t>
      </w:r>
      <w:r w:rsidR="00ED2829">
        <w:t xml:space="preserve">. </w:t>
      </w:r>
      <w:r w:rsidR="00ED2829" w:rsidRPr="00ED2829">
        <w:t>A</w:t>
      </w:r>
      <w:r w:rsidR="00ED2829">
        <w:t>le celá škola „</w:t>
      </w:r>
      <w:r w:rsidR="00ED2829" w:rsidRPr="00ED2829">
        <w:rPr>
          <w:i/>
        </w:rPr>
        <w:t>pars Sigeri</w:t>
      </w:r>
      <w:r w:rsidR="00ED2829">
        <w:t>“</w:t>
      </w:r>
      <w:r w:rsidR="00ED2829" w:rsidRPr="00ED2829">
        <w:t xml:space="preserve"> v Rue du Fou</w:t>
      </w:r>
      <w:r w:rsidR="00ED2829">
        <w:t>arre souhlasila s interpretací S</w:t>
      </w:r>
      <w:r w:rsidR="00ED2829" w:rsidRPr="00ED2829">
        <w:t>iger</w:t>
      </w:r>
      <w:r w:rsidR="00ED2829">
        <w:t>a</w:t>
      </w:r>
      <w:r w:rsidR="00ED2829" w:rsidRPr="00ED2829">
        <w:t xml:space="preserve">, protože byla prostě geniální. Proto Boethius </w:t>
      </w:r>
      <w:r w:rsidR="00ED2829">
        <w:t>z Dacie</w:t>
      </w:r>
      <w:r w:rsidR="00ED2829" w:rsidRPr="00ED2829">
        <w:t xml:space="preserve"> v</w:t>
      </w:r>
      <w:r w:rsidR="00ED2829">
        <w:t xml:space="preserve">e spise </w:t>
      </w:r>
      <w:r w:rsidR="00ED2829" w:rsidRPr="00ED2829">
        <w:rPr>
          <w:i/>
        </w:rPr>
        <w:t>Anonymus Giele</w:t>
      </w:r>
      <w:r w:rsidR="00ED2829">
        <w:t xml:space="preserve"> hájil </w:t>
      </w:r>
      <w:r w:rsidR="00461469">
        <w:t>Sigerovo</w:t>
      </w:r>
      <w:r w:rsidR="00461469" w:rsidRPr="00ED2829">
        <w:t xml:space="preserve"> učení </w:t>
      </w:r>
      <w:r w:rsidR="00ED2829">
        <w:t xml:space="preserve">jménem celé školy prvního averroismu </w:t>
      </w:r>
      <w:r w:rsidR="00ED2829" w:rsidRPr="00ED2829">
        <w:t>(Kap. 4.3.1).</w:t>
      </w:r>
      <w:r w:rsidR="00ED2829">
        <w:t xml:space="preserve"> </w:t>
      </w:r>
      <w:r>
        <w:t xml:space="preserve">Aegidius </w:t>
      </w:r>
      <w:r w:rsidR="00792AE5">
        <w:t xml:space="preserve">ze školy </w:t>
      </w:r>
      <w:r w:rsidR="00792AE5">
        <w:rPr>
          <w:i/>
          <w:szCs w:val="24"/>
          <w:lang w:val="de-DE"/>
        </w:rPr>
        <w:t xml:space="preserve">sophistae Latini </w:t>
      </w:r>
      <w:r>
        <w:t>nemohl tvrdit, že nerozuměl tomuto jasnému postoji obou hlavních artistických magistrů na Rue du Fouarre. Proto se tento augustinián obrátil v letech 1267‒68 k Akvinského semiaverroismu</w:t>
      </w:r>
      <w:r w:rsidR="00830617">
        <w:t xml:space="preserve"> a opustil Sigerovu školu</w:t>
      </w:r>
      <w:r>
        <w:t xml:space="preserve">. Tento obrat ukazuje třetí část Oxfordského rukopisu, která ukazuje </w:t>
      </w:r>
      <w:r w:rsidRPr="08380A89">
        <w:rPr>
          <w:i/>
        </w:rPr>
        <w:t>Lichtung</w:t>
      </w:r>
      <w:r>
        <w:t xml:space="preserve"> tomismu jako nové metafyzické doktríny</w:t>
      </w:r>
      <w:r w:rsidRPr="08814B19">
        <w:t xml:space="preserve"> </w:t>
      </w:r>
      <w:r>
        <w:t>v jeho pravdě a nepravdě</w:t>
      </w:r>
      <w:r w:rsidR="00B3501A">
        <w:t>, která určila vítěznou modernu</w:t>
      </w:r>
      <w:r>
        <w:t xml:space="preserve">. Bazánův anonym pak potvrzuje nově vzniklý tomismus Aegidiovou obranou Akvinského proti Pechamovi kolem roku 1270. Siger ve QIIIDA zrušil jakoukoliv možnost semiaverroismu jako intelektuálně mylnou, protože intelekt nemůže být subsistentní  forma v člověku. </w:t>
      </w:r>
      <w:r w:rsidR="08D22AF9">
        <w:t xml:space="preserve">To byla výslovná pozice Akvinského, Aegidia a částečně i Alberta. </w:t>
      </w:r>
      <w:r>
        <w:t xml:space="preserve">Výklad třetí knihy </w:t>
      </w:r>
      <w:r w:rsidRPr="08D471CA">
        <w:rPr>
          <w:i/>
        </w:rPr>
        <w:t>De anima</w:t>
      </w:r>
      <w:r>
        <w:t xml:space="preserve"> podle CMDA jako jediný</w:t>
      </w:r>
      <w:r w:rsidR="00814815">
        <w:t xml:space="preserve"> splňuje podmínky existenciální analýzy </w:t>
      </w:r>
      <w:r>
        <w:t xml:space="preserve">nutné pro vědecký důkaz nemateriální a oddělené povahy intelektu podle </w:t>
      </w:r>
      <w:r w:rsidRPr="087D22BD">
        <w:rPr>
          <w:i/>
        </w:rPr>
        <w:t>Druhých analytik</w:t>
      </w:r>
      <w:r>
        <w:t xml:space="preserve">. Siger byl a je skutečný </w:t>
      </w:r>
      <w:r w:rsidRPr="086A5C83">
        <w:rPr>
          <w:i/>
        </w:rPr>
        <w:t>Expositor Novus</w:t>
      </w:r>
      <w:r>
        <w:rPr>
          <w:i/>
        </w:rPr>
        <w:fldChar w:fldCharType="begin"/>
      </w:r>
      <w:r>
        <w:instrText xml:space="preserve"> XE "</w:instrText>
      </w:r>
      <w:r w:rsidRPr="08E42E2B">
        <w:rPr>
          <w:i/>
        </w:rPr>
        <w:instrText>Expositor Novus</w:instrText>
      </w:r>
      <w:r>
        <w:instrText xml:space="preserve">" </w:instrText>
      </w:r>
      <w:r>
        <w:rPr>
          <w:i/>
        </w:rPr>
        <w:fldChar w:fldCharType="end"/>
      </w:r>
      <w:r>
        <w:t xml:space="preserve">, protože pochopil smysl Aristotelovy metafyziky </w:t>
      </w:r>
      <w:r w:rsidR="00E05712">
        <w:t>„</w:t>
      </w:r>
      <w:r w:rsidRPr="086A5C83">
        <w:rPr>
          <w:i/>
        </w:rPr>
        <w:t>ad mentem Averrois</w:t>
      </w:r>
      <w:r w:rsidR="00E05712">
        <w:t>“</w:t>
      </w:r>
      <w:r>
        <w:t xml:space="preserve"> a z této pozice kongeniálně vyložil spis </w:t>
      </w:r>
      <w:r w:rsidRPr="086A5C83">
        <w:rPr>
          <w:i/>
        </w:rPr>
        <w:t>De anima</w:t>
      </w:r>
      <w:r w:rsidR="00B828EA">
        <w:t xml:space="preserve"> podle CMDA. Jiná </w:t>
      </w:r>
      <w:r w:rsidR="00B828EA" w:rsidRPr="00B828EA">
        <w:t xml:space="preserve">vysvětlení jednoty osoby </w:t>
      </w:r>
      <w:r w:rsidR="00B828EA">
        <w:t xml:space="preserve">založené na tělesně definované </w:t>
      </w:r>
      <w:r w:rsidR="00B828EA" w:rsidRPr="00B828EA">
        <w:rPr>
          <w:i/>
        </w:rPr>
        <w:t>anima intellectiva</w:t>
      </w:r>
      <w:r w:rsidR="00B828EA" w:rsidRPr="00B828EA">
        <w:t xml:space="preserve"> jsou nedostatečná. Vycházejí pouz</w:t>
      </w:r>
      <w:r w:rsidR="00B828EA">
        <w:t xml:space="preserve">e z teoreticky určené esence </w:t>
      </w:r>
      <w:r w:rsidR="00B828EA" w:rsidRPr="00B828EA">
        <w:rPr>
          <w:i/>
        </w:rPr>
        <w:t>anima intellectiva</w:t>
      </w:r>
      <w:r w:rsidR="00B828EA" w:rsidRPr="00B828EA">
        <w:t>, která je navíc definována na základě teologického postulátu nesmrtelnosti duše.</w:t>
      </w:r>
      <w:r w:rsidR="00B828EA">
        <w:t xml:space="preserve"> </w:t>
      </w:r>
      <w:r>
        <w:t xml:space="preserve">Existenciální hermeneutická predikace porozumění v modu </w:t>
      </w:r>
      <w:r w:rsidRPr="00721D60">
        <w:rPr>
          <w:i/>
        </w:rPr>
        <w:t>separabilis</w:t>
      </w:r>
      <w:r>
        <w:t xml:space="preserve"> </w:t>
      </w:r>
      <w:r w:rsidR="00050897">
        <w:t xml:space="preserve">je </w:t>
      </w:r>
      <w:r>
        <w:t>vztažen</w:t>
      </w:r>
      <w:r w:rsidR="00050897">
        <w:t xml:space="preserve">a </w:t>
      </w:r>
      <w:r>
        <w:t>k Averroesovu intelektu jako výkonu individuálního porozumění</w:t>
      </w:r>
      <w:r w:rsidR="00050897">
        <w:t xml:space="preserve">. Komentátor odmítl </w:t>
      </w:r>
      <w:r>
        <w:t xml:space="preserve">hypostázovaný intelekt v objektivním modu </w:t>
      </w:r>
      <w:r w:rsidRPr="00725F23">
        <w:rPr>
          <w:i/>
        </w:rPr>
        <w:t>separatus</w:t>
      </w:r>
      <w:r>
        <w:fldChar w:fldCharType="begin"/>
      </w:r>
      <w:r>
        <w:instrText xml:space="preserve"> XE "intelekt:</w:instrText>
      </w:r>
      <w:r w:rsidRPr="008E31F8">
        <w:rPr>
          <w:i/>
        </w:rPr>
        <w:instrText>separabilis</w:instrText>
      </w:r>
      <w:r>
        <w:instrText>/</w:instrText>
      </w:r>
      <w:r w:rsidRPr="008E31F8">
        <w:rPr>
          <w:i/>
        </w:rPr>
        <w:instrText>separatus</w:instrText>
      </w:r>
      <w:r>
        <w:instrText xml:space="preserve">" </w:instrText>
      </w:r>
      <w:r>
        <w:fldChar w:fldCharType="end"/>
      </w:r>
      <w:r>
        <w:t xml:space="preserve">. Tento intelekt je </w:t>
      </w:r>
      <w:r w:rsidR="00050897">
        <w:t>kompletně při</w:t>
      </w:r>
      <w:r>
        <w:t xml:space="preserve">daný </w:t>
      </w:r>
      <w:r w:rsidR="00050897">
        <w:t xml:space="preserve">k osobě </w:t>
      </w:r>
      <w:r>
        <w:t>zvnějšku</w:t>
      </w:r>
      <w:r w:rsidR="00050897">
        <w:t xml:space="preserve">. Moderní intelekt je definován jako  </w:t>
      </w:r>
      <w:r w:rsidR="00050897">
        <w:lastRenderedPageBreak/>
        <w:t>neoplatonská</w:t>
      </w:r>
      <w:r>
        <w:t xml:space="preserve"> </w:t>
      </w:r>
      <w:r w:rsidR="00050897">
        <w:t>oddělená</w:t>
      </w:r>
      <w:r w:rsidR="00F76CF6">
        <w:t xml:space="preserve"> substance</w:t>
      </w:r>
      <w:r>
        <w:t xml:space="preserve"> (</w:t>
      </w:r>
      <w:r w:rsidR="00F76CF6">
        <w:t>druhý averroismus</w:t>
      </w:r>
      <w:r>
        <w:t xml:space="preserve">) nebo </w:t>
      </w:r>
      <w:r w:rsidR="00050897">
        <w:t xml:space="preserve">jako </w:t>
      </w:r>
      <w:r>
        <w:t>subsistentní form</w:t>
      </w:r>
      <w:r w:rsidR="00050897">
        <w:t>a</w:t>
      </w:r>
      <w:r>
        <w:t xml:space="preserve"> (Grosseteste, </w:t>
      </w:r>
      <w:r w:rsidR="00186BF7">
        <w:t>Akvinský, Aegidius).</w:t>
      </w:r>
    </w:p>
    <w:p w:rsidR="00932657" w:rsidRDefault="08163013" w:rsidP="001E05F5">
      <w:pPr>
        <w:ind w:firstLine="397"/>
      </w:pPr>
      <w:r>
        <w:t xml:space="preserve">Akvinský musel odejít z Paříže o velikonocích 1272, protože artistická fakulta pod vedením Sigera nepřijala jeho aristotelský výklad, který zrušil </w:t>
      </w:r>
      <w:r w:rsidR="0068235F">
        <w:t xml:space="preserve">plnou </w:t>
      </w:r>
      <w:r>
        <w:t xml:space="preserve">jednotu osoby. </w:t>
      </w:r>
      <w:r w:rsidR="088971C8">
        <w:t xml:space="preserve">Klasický aristotelismus Akvinského (a o to více modernistický tomismus Aegidia) </w:t>
      </w:r>
      <w:r>
        <w:t xml:space="preserve">odmítl výklad CMDA a proto podal nedostatečný výklad </w:t>
      </w:r>
      <w:r w:rsidRPr="086D60AA">
        <w:rPr>
          <w:i/>
        </w:rPr>
        <w:t>De anima</w:t>
      </w:r>
      <w:r>
        <w:t xml:space="preserve"> obsahující dualismus </w:t>
      </w:r>
      <w:r w:rsidR="00F27EB9">
        <w:t xml:space="preserve">dvou subsistentních </w:t>
      </w:r>
      <w:r>
        <w:t xml:space="preserve">forem v člověku. Pak ale nepoznáváme, kdy chceme, protože hypostázovaný intelekt zůstává v modu </w:t>
      </w:r>
      <w:r w:rsidRPr="08D3292E">
        <w:rPr>
          <w:i/>
        </w:rPr>
        <w:t>separatus</w:t>
      </w:r>
      <w:r>
        <w:t xml:space="preserve">. A v tomto modu nemůže duše poznávat vše, protože jí chybí univerzální nemateriální receptivita. Také nelze v tomto modu vytvořit </w:t>
      </w:r>
      <w:r w:rsidRPr="08BD0F33">
        <w:rPr>
          <w:i/>
        </w:rPr>
        <w:t>intellectus possibilis</w:t>
      </w:r>
      <w:r>
        <w:t xml:space="preserve"> podle CMDA, ale pouze materiální intelekt na způsob Themistia, Alexandra a Bonaventury. Definice poznání </w:t>
      </w:r>
      <w:r w:rsidRPr="00273106">
        <w:t xml:space="preserve">z hlediska </w:t>
      </w:r>
      <w:r>
        <w:t xml:space="preserve">materiálního </w:t>
      </w:r>
      <w:r w:rsidRPr="00273106">
        <w:t>aktuálního intel</w:t>
      </w:r>
      <w:r>
        <w:t>ektu by znamenala</w:t>
      </w:r>
      <w:r w:rsidRPr="00273106">
        <w:t>, že intelekt je materiální povahy stejně jako tělo</w:t>
      </w:r>
      <w:r>
        <w:t xml:space="preserve">. Pak by nebyl v modu </w:t>
      </w:r>
      <w:r w:rsidRPr="08173F77">
        <w:rPr>
          <w:i/>
        </w:rPr>
        <w:t>inmixtus</w:t>
      </w:r>
      <w:r>
        <w:t xml:space="preserve"> oddělitelný od smyslového </w:t>
      </w:r>
      <w:proofErr w:type="gramStart"/>
      <w:r>
        <w:t xml:space="preserve">poznání </w:t>
      </w:r>
      <w:r w:rsidRPr="00273106">
        <w:t xml:space="preserve"> (</w:t>
      </w:r>
      <w:r w:rsidRPr="00273106">
        <w:rPr>
          <w:i/>
        </w:rPr>
        <w:t>si</w:t>
      </w:r>
      <w:proofErr w:type="gramEnd"/>
      <w:r w:rsidRPr="00273106">
        <w:rPr>
          <w:i/>
        </w:rPr>
        <w:t xml:space="preserve"> per suam substantiam perficeret, non esset separabilis</w:t>
      </w:r>
      <w:r w:rsidRPr="00273106">
        <w:t xml:space="preserve">). </w:t>
      </w:r>
      <w:r>
        <w:t xml:space="preserve">Intelekt svou činností nepatří k tělu, protože nemá smyslový orgán. Ale na druhou stranu není hypostázovaná forma, protože to by byl oddělený </w:t>
      </w:r>
      <w:r w:rsidR="086D1610">
        <w:t xml:space="preserve">jako substance </w:t>
      </w:r>
      <w:r>
        <w:t xml:space="preserve">v modu </w:t>
      </w:r>
      <w:r w:rsidRPr="08173F77">
        <w:rPr>
          <w:i/>
        </w:rPr>
        <w:t>separatus</w:t>
      </w:r>
      <w:r>
        <w:t xml:space="preserve">. Obojí chybné řešení má </w:t>
      </w:r>
      <w:r w:rsidRPr="00273106">
        <w:t xml:space="preserve">averroismus karteziánských </w:t>
      </w:r>
      <w:r w:rsidRPr="00273106">
        <w:rPr>
          <w:i/>
        </w:rPr>
        <w:t>Modernorum</w:t>
      </w:r>
      <w:r w:rsidRPr="00273106">
        <w:t xml:space="preserve"> definujících osobu jako složeninu dvou </w:t>
      </w:r>
      <w:r>
        <w:t xml:space="preserve">nekompatibilních </w:t>
      </w:r>
      <w:r w:rsidRPr="00273106">
        <w:t>sub</w:t>
      </w:r>
      <w:r>
        <w:t xml:space="preserve">stancí (materiální, nemateriální). Nebo </w:t>
      </w:r>
      <w:r w:rsidR="00C26A8F">
        <w:t xml:space="preserve">se </w:t>
      </w:r>
      <w:r>
        <w:t xml:space="preserve">odmítne řešení v modu </w:t>
      </w:r>
      <w:r w:rsidRPr="00205AFE">
        <w:rPr>
          <w:i/>
        </w:rPr>
        <w:t>separabilis</w:t>
      </w:r>
      <w:r>
        <w:t xml:space="preserve"> a </w:t>
      </w:r>
      <w:r w:rsidR="00C26A8F">
        <w:t xml:space="preserve">pak se </w:t>
      </w:r>
      <w:r>
        <w:t xml:space="preserve">redukuje intelekt na akt těla v modu </w:t>
      </w:r>
      <w:r w:rsidRPr="08A65384">
        <w:rPr>
          <w:i/>
        </w:rPr>
        <w:t>intellectus materialis</w:t>
      </w:r>
      <w:r w:rsidR="00C26A8F">
        <w:t>. Redukce člověka na zvíře, znemaná, že m</w:t>
      </w:r>
      <w:r>
        <w:t xml:space="preserve">yšlení </w:t>
      </w:r>
      <w:r w:rsidR="00C26A8F">
        <w:t xml:space="preserve">běží podle Avicennovy zvířecí </w:t>
      </w:r>
      <w:r w:rsidRPr="084111C9">
        <w:rPr>
          <w:i/>
        </w:rPr>
        <w:t>vis ae</w:t>
      </w:r>
      <w:r>
        <w:rPr>
          <w:i/>
        </w:rPr>
        <w:t>s</w:t>
      </w:r>
      <w:r w:rsidRPr="084111C9">
        <w:rPr>
          <w:i/>
        </w:rPr>
        <w:t>timativa</w:t>
      </w:r>
      <w:r w:rsidR="00C26A8F">
        <w:t>, která zná jen intencionalitu</w:t>
      </w:r>
      <w:r>
        <w:t xml:space="preserve"> smyslového poznání</w:t>
      </w:r>
      <w:r w:rsidR="00C26A8F">
        <w:t xml:space="preserve">. To je </w:t>
      </w:r>
      <w:r>
        <w:t xml:space="preserve">běžný </w:t>
      </w:r>
      <w:r w:rsidRPr="084111C9">
        <w:rPr>
          <w:i/>
        </w:rPr>
        <w:t>Irrtum</w:t>
      </w:r>
      <w:r>
        <w:t xml:space="preserve"> na samém konci moderních časů v době vlády </w:t>
      </w:r>
      <w:r w:rsidRPr="087604A3">
        <w:rPr>
          <w:i/>
        </w:rPr>
        <w:t>cognitive sciences</w:t>
      </w:r>
      <w:r>
        <w:t xml:space="preserve"> jako plně nihilistické formy první filosofie. </w:t>
      </w:r>
      <w:r w:rsidR="006D6359">
        <w:t>V posledních čas</w:t>
      </w:r>
      <w:r w:rsidR="00B10AFB">
        <w:t xml:space="preserve">ech nerozumu </w:t>
      </w:r>
      <w:r w:rsidR="002E0FD2">
        <w:t>(</w:t>
      </w:r>
      <w:r w:rsidR="002E0FD2">
        <w:rPr>
          <w:i/>
        </w:rPr>
        <w:t>apaideusía</w:t>
      </w:r>
      <w:r w:rsidR="00B66D32">
        <w:rPr>
          <w:i/>
        </w:rPr>
        <w:fldChar w:fldCharType="begin"/>
      </w:r>
      <w:r w:rsidR="00B66D32">
        <w:instrText xml:space="preserve"> XE "</w:instrText>
      </w:r>
      <w:r w:rsidR="00B66D32" w:rsidRPr="00894E5D">
        <w:rPr>
          <w:i/>
        </w:rPr>
        <w:instrText>apaideusía</w:instrText>
      </w:r>
      <w:r w:rsidR="00B66D32">
        <w:instrText xml:space="preserve">" </w:instrText>
      </w:r>
      <w:r w:rsidR="00B66D32">
        <w:rPr>
          <w:i/>
        </w:rPr>
        <w:fldChar w:fldCharType="end"/>
      </w:r>
      <w:r w:rsidR="002E0FD2">
        <w:t xml:space="preserve">) </w:t>
      </w:r>
      <w:r w:rsidR="00781B8D">
        <w:t>stvořil demiurg</w:t>
      </w:r>
      <w:r w:rsidR="00B10AFB">
        <w:t xml:space="preserve"> </w:t>
      </w:r>
      <w:r w:rsidR="006D6359">
        <w:t xml:space="preserve">umělý intelekt </w:t>
      </w:r>
      <w:r w:rsidR="00B10AFB">
        <w:t>ke svému šílenému obrazu a začal se mu klanět jako nové modle.</w:t>
      </w:r>
      <w:r w:rsidR="006D6359">
        <w:t xml:space="preserve"> </w:t>
      </w:r>
      <w:r w:rsidR="001E05F5" w:rsidRPr="001E05F5">
        <w:t xml:space="preserve">Moderní doba považuje člověka za konkrétní </w:t>
      </w:r>
      <w:r w:rsidR="001E05F5">
        <w:t xml:space="preserve">specifickou </w:t>
      </w:r>
      <w:r w:rsidR="001E05F5" w:rsidRPr="001E05F5">
        <w:t xml:space="preserve">mrtvolu nebo hmotný intelekt, ať už zvířecí, nebo umělý. </w:t>
      </w:r>
      <w:r>
        <w:t>O</w:t>
      </w:r>
      <w:r w:rsidRPr="00273106">
        <w:t xml:space="preserve">dkaz na </w:t>
      </w:r>
      <w:r>
        <w:t>Averroes</w:t>
      </w:r>
      <w:r w:rsidRPr="00273106">
        <w:t>e a na Aristotela upozorňuje, že vnějškovost intelektu vzhledem k tělu spočívá v jeho nematerialitě jako čisté potencialitě (</w:t>
      </w:r>
      <w:r w:rsidRPr="00273106">
        <w:rPr>
          <w:i/>
        </w:rPr>
        <w:t xml:space="preserve">intellectus perficit </w:t>
      </w:r>
      <w:proofErr w:type="gramStart"/>
      <w:r w:rsidRPr="00273106">
        <w:rPr>
          <w:i/>
        </w:rPr>
        <w:t>corpus ...per</w:t>
      </w:r>
      <w:proofErr w:type="gramEnd"/>
      <w:r w:rsidRPr="00273106">
        <w:rPr>
          <w:i/>
        </w:rPr>
        <w:t xml:space="preserve"> suam potentiam</w:t>
      </w:r>
      <w:r w:rsidRPr="00273106">
        <w:t xml:space="preserve">). </w:t>
      </w:r>
      <w:r>
        <w:t xml:space="preserve">Potence nemůže být v aristotelismu nikdy </w:t>
      </w:r>
      <w:r w:rsidR="00E43192">
        <w:t>hypostáze</w:t>
      </w:r>
      <w:r>
        <w:t xml:space="preserve">, protože </w:t>
      </w:r>
      <w:r w:rsidR="00930DEE">
        <w:t xml:space="preserve">neexistuje. Pak platí, že </w:t>
      </w:r>
      <w:r w:rsidRPr="08287373">
        <w:rPr>
          <w:i/>
        </w:rPr>
        <w:t>intellectus possibilis</w:t>
      </w:r>
      <w:r>
        <w:t xml:space="preserve"> není ani aktuální substance avicennistů ani svébytná nemateriální forma semiaverroistů. Každá osoba jako hylemorfická první substance nadaná intelektem má možnost aktualizovat od smyslů své vlastní poznání dané jako nemateriální výkon intelektuální části duše, která je dána v osobně zakoušeném těle. </w:t>
      </w:r>
      <w:r w:rsidRPr="00273106">
        <w:t xml:space="preserve">Pokud je intelekt </w:t>
      </w:r>
      <w:r w:rsidRPr="00273106">
        <w:lastRenderedPageBreak/>
        <w:t xml:space="preserve">nemateriální a čistě receptivní potence </w:t>
      </w:r>
      <w:r>
        <w:t xml:space="preserve">takto složené </w:t>
      </w:r>
      <w:r w:rsidRPr="00273106">
        <w:t xml:space="preserve">duše, pak můžeme trvat na plné odlišnosti </w:t>
      </w:r>
      <w:r w:rsidRPr="083578FC">
        <w:t>potenciálního a nemateriálního</w:t>
      </w:r>
      <w:r w:rsidRPr="00273106">
        <w:t xml:space="preserve"> intelektu vůči </w:t>
      </w:r>
      <w:r w:rsidRPr="083578FC">
        <w:t>aktuálnímu a materiálnímu</w:t>
      </w:r>
      <w:r>
        <w:t xml:space="preserve"> smyslovému poznání v modu </w:t>
      </w:r>
      <w:r w:rsidRPr="08575169">
        <w:rPr>
          <w:i/>
        </w:rPr>
        <w:t>inmixtus</w:t>
      </w:r>
      <w:r>
        <w:t xml:space="preserve"> a </w:t>
      </w:r>
      <w:r w:rsidRPr="08575169">
        <w:rPr>
          <w:i/>
        </w:rPr>
        <w:t>separabilis</w:t>
      </w:r>
      <w:r>
        <w:t>. Touto novou formou dualismu danou uvnitř existující osoby je zrušeno substanční schéma druhého averroismu a moderny. Úvod QIIIDA trval na tom, že lidská duše má složený charakter, protože intelekt je nemateriálně jednoduchý a v této podobě se napojuje na vegetativní a animální schopnosti duše (</w:t>
      </w:r>
      <w:r w:rsidRPr="00EE1D48">
        <w:rPr>
          <w:i/>
        </w:rPr>
        <w:t>non faciunt animam simplicem, sed compositam</w:t>
      </w:r>
      <w:r w:rsidR="08CF4C4F">
        <w:t>, kap. 4</w:t>
      </w:r>
      <w:r>
        <w:t>.</w:t>
      </w:r>
      <w:r w:rsidRPr="08695725">
        <w:t>4.1)</w:t>
      </w:r>
      <w:r>
        <w:t>. Siger d</w:t>
      </w:r>
      <w:r w:rsidRPr="00273106">
        <w:t xml:space="preserve">al </w:t>
      </w:r>
      <w:r>
        <w:t xml:space="preserve">po vzoru CMDA </w:t>
      </w:r>
      <w:r w:rsidRPr="00273106">
        <w:t>intelektu statut n</w:t>
      </w:r>
      <w:r>
        <w:t xml:space="preserve">emateriální potence duše a tím zrušil moderní dualismus intelektuální duše a smyslového těla. Intelekt jako potence </w:t>
      </w:r>
      <w:r w:rsidRPr="00273106">
        <w:t xml:space="preserve">doplňuje </w:t>
      </w:r>
      <w:r>
        <w:t>existenc</w:t>
      </w:r>
      <w:r w:rsidR="00747545">
        <w:t xml:space="preserve">i </w:t>
      </w:r>
      <w:r w:rsidR="00815771">
        <w:t xml:space="preserve">osoby </w:t>
      </w:r>
      <w:r w:rsidRPr="00273106">
        <w:t>v těle jako aktuální materiální substanci. Intelekt je sice nemater</w:t>
      </w:r>
      <w:r>
        <w:t>i</w:t>
      </w:r>
      <w:r w:rsidRPr="00273106">
        <w:t>ální</w:t>
      </w:r>
      <w:r>
        <w:t xml:space="preserve"> podstaty</w:t>
      </w:r>
      <w:r w:rsidRPr="00273106">
        <w:t xml:space="preserve">, ale </w:t>
      </w:r>
      <w:r>
        <w:t xml:space="preserve">je </w:t>
      </w:r>
      <w:r w:rsidRPr="00273106">
        <w:t xml:space="preserve">pouhá potence. </w:t>
      </w:r>
      <w:r>
        <w:t>Tato nemateriální potence je oddělitelná (</w:t>
      </w:r>
      <w:r w:rsidRPr="00E91E8F">
        <w:rPr>
          <w:i/>
        </w:rPr>
        <w:t>separabilis</w:t>
      </w:r>
      <w:r>
        <w:t xml:space="preserve">) z hlediska svého specifického výkonu od aktuálního těla jako materiální substance. Způsob, jak intelekt bytuje v modu </w:t>
      </w:r>
      <w:r w:rsidRPr="00E91E8F">
        <w:rPr>
          <w:i/>
        </w:rPr>
        <w:t>separabilis</w:t>
      </w:r>
      <w:r>
        <w:t xml:space="preserve"> vychází z fenomenologického</w:t>
      </w:r>
      <w:r w:rsidRPr="00273106">
        <w:t xml:space="preserve"> popis</w:t>
      </w:r>
      <w:r>
        <w:t>u</w:t>
      </w:r>
      <w:r w:rsidRPr="00273106">
        <w:t xml:space="preserve"> toho, </w:t>
      </w:r>
      <w:r>
        <w:t>jak</w:t>
      </w:r>
      <w:r w:rsidRPr="00273106">
        <w:t xml:space="preserve"> skutečně poznáváme</w:t>
      </w:r>
      <w:r>
        <w:fldChar w:fldCharType="begin"/>
      </w:r>
      <w:r>
        <w:instrText xml:space="preserve"> XE "intelekt:</w:instrText>
      </w:r>
      <w:r w:rsidRPr="008E31F8">
        <w:rPr>
          <w:i/>
        </w:rPr>
        <w:instrText>separabilis</w:instrText>
      </w:r>
      <w:r>
        <w:instrText>/</w:instrText>
      </w:r>
      <w:r w:rsidRPr="008E31F8">
        <w:rPr>
          <w:i/>
        </w:rPr>
        <w:instrText>separatus</w:instrText>
      </w:r>
      <w:r>
        <w:instrText xml:space="preserve">" </w:instrText>
      </w:r>
      <w:r>
        <w:fldChar w:fldCharType="end"/>
      </w:r>
      <w:r w:rsidR="00512A00">
        <w:t xml:space="preserve">. </w:t>
      </w:r>
      <w:r w:rsidR="00512A00" w:rsidRPr="00512A00">
        <w:t>Rozpozná</w:t>
      </w:r>
      <w:r w:rsidR="00512A00">
        <w:t>váme tedy objektivně (</w:t>
      </w:r>
      <w:r w:rsidR="00512A00" w:rsidRPr="00512A00">
        <w:rPr>
          <w:i/>
        </w:rPr>
        <w:t>obiective</w:t>
      </w:r>
      <w:r w:rsidR="00512A00" w:rsidRPr="00512A00">
        <w:t xml:space="preserve">) v režimu CMDA, protože rozpoznáváme své vlastní tělo jako intelektuálně animovaný objekt. Nikdy toho nelze dosáhnout </w:t>
      </w:r>
      <w:r w:rsidR="00512A00">
        <w:t xml:space="preserve">pouze </w:t>
      </w:r>
      <w:r w:rsidR="00512A00" w:rsidRPr="00512A00">
        <w:t>smysl</w:t>
      </w:r>
      <w:r w:rsidR="00512A00">
        <w:t>ov</w:t>
      </w:r>
      <w:r w:rsidR="00512A00" w:rsidRPr="00512A00">
        <w:t>ým poznáním.</w:t>
      </w:r>
      <w:r w:rsidR="00512A00">
        <w:t xml:space="preserve"> </w:t>
      </w:r>
      <w:r w:rsidR="00302114">
        <w:t xml:space="preserve">Intelektuální poznání závisí na smyslovém, ale zásadně se od něj liší. </w:t>
      </w:r>
      <w:r w:rsidR="008D4DC8">
        <w:t xml:space="preserve">Duše je </w:t>
      </w:r>
      <w:r w:rsidR="008D4DC8" w:rsidRPr="008D4DC8">
        <w:rPr>
          <w:i/>
        </w:rPr>
        <w:t>subiective</w:t>
      </w:r>
      <w:r w:rsidR="008D4DC8" w:rsidRPr="008D4DC8">
        <w:t xml:space="preserve"> definována jako nový fundament (</w:t>
      </w:r>
      <w:r w:rsidR="008D4DC8" w:rsidRPr="008D4DC8">
        <w:rPr>
          <w:i/>
        </w:rPr>
        <w:t>subiectum</w:t>
      </w:r>
      <w:r w:rsidR="008D4DC8" w:rsidRPr="008D4DC8">
        <w:t>) poznání, protože in</w:t>
      </w:r>
      <w:r w:rsidR="008D4DC8">
        <w:t>telektuální schopnost poznání při</w:t>
      </w:r>
      <w:r w:rsidR="008D4DC8" w:rsidRPr="008D4DC8">
        <w:t>chází zvenčí ke smyslnému poznání.</w:t>
      </w:r>
      <w:r w:rsidR="008D4DC8">
        <w:t xml:space="preserve"> </w:t>
      </w:r>
      <w:r>
        <w:t>Jejich aktuálně daný intencionální předmět (</w:t>
      </w:r>
      <w:r w:rsidR="00962190">
        <w:rPr>
          <w:i/>
        </w:rPr>
        <w:t>species</w:t>
      </w:r>
      <w:r w:rsidRPr="08A5103A">
        <w:rPr>
          <w:i/>
        </w:rPr>
        <w:t xml:space="preserve"> sensibilis</w:t>
      </w:r>
      <w:r>
        <w:t>) v představivosti se bere jako předmět pro druhou intencionalitu receptivního intelektu (</w:t>
      </w:r>
      <w:r w:rsidR="00962190">
        <w:rPr>
          <w:i/>
        </w:rPr>
        <w:t>species</w:t>
      </w:r>
      <w:r>
        <w:rPr>
          <w:i/>
        </w:rPr>
        <w:t xml:space="preserve"> intelligibilis</w:t>
      </w:r>
      <w:r>
        <w:t xml:space="preserve">). Toto schéma </w:t>
      </w:r>
      <w:r w:rsidRPr="08223B3B">
        <w:rPr>
          <w:i/>
        </w:rPr>
        <w:t>intellectus in potencia</w:t>
      </w:r>
      <w:r>
        <w:t xml:space="preserve"> poprvé tematizoval Druhý mistr (</w:t>
      </w:r>
      <w:r w:rsidRPr="00273106">
        <w:rPr>
          <w:i/>
        </w:rPr>
        <w:t>intellectum secundum</w:t>
      </w:r>
      <w:r>
        <w:rPr>
          <w:rStyle w:val="Zvraznn"/>
        </w:rPr>
        <w:fldChar w:fldCharType="begin"/>
      </w:r>
      <w:r>
        <w:instrText xml:space="preserve"> XE "druhá intence" </w:instrText>
      </w:r>
      <w:r>
        <w:rPr>
          <w:rStyle w:val="Zvraznn"/>
        </w:rPr>
        <w:fldChar w:fldCharType="end"/>
      </w:r>
      <w:r w:rsidR="086835CE">
        <w:t>. OBJ I,</w:t>
      </w:r>
      <w:r>
        <w:t xml:space="preserve"> kap. 2.1.1). Pak poznání intelektu běží v modu </w:t>
      </w:r>
      <w:r w:rsidRPr="08472F14">
        <w:rPr>
          <w:i/>
        </w:rPr>
        <w:t>subiective</w:t>
      </w:r>
      <w:r>
        <w:t xml:space="preserve"> vázaném na nemateriální schopnost </w:t>
      </w:r>
      <w:r w:rsidRPr="08185EBD">
        <w:rPr>
          <w:i/>
        </w:rPr>
        <w:t>anima intellectiva</w:t>
      </w:r>
      <w:r w:rsidR="08726979">
        <w:t>, která vzhledem ke smyslovému poznání</w:t>
      </w:r>
      <w:r>
        <w:t xml:space="preserve"> vystupuje v modu </w:t>
      </w:r>
      <w:r w:rsidRPr="08185EBD">
        <w:rPr>
          <w:i/>
        </w:rPr>
        <w:t>obiective</w:t>
      </w:r>
      <w:r>
        <w:t xml:space="preserve">. </w:t>
      </w:r>
      <w:r w:rsidRPr="00273106">
        <w:t>Smyslové poznání je dané hylemorficky a aktuálně v rámci individuální první substance</w:t>
      </w:r>
      <w:r>
        <w:t xml:space="preserve">, ale nositelem intelektu je nemateriální </w:t>
      </w:r>
      <w:r w:rsidRPr="08472F14">
        <w:rPr>
          <w:i/>
        </w:rPr>
        <w:t>anima intellectiva</w:t>
      </w:r>
      <w:r>
        <w:t>, a nikoliv tělo. Ale protože intelekt je pouhá nemateriální potence duše, pak musí aktualizovaný od smyslů. Intelekt nemá jiný objekt poznání než smyslovou intenci, protože sám o sobě je čistá potence</w:t>
      </w:r>
      <w:r w:rsidR="083E4DCD">
        <w:t xml:space="preserve"> </w:t>
      </w:r>
      <w:r w:rsidR="083E4DCD" w:rsidRPr="081942A4">
        <w:rPr>
          <w:szCs w:val="24"/>
        </w:rPr>
        <w:t>(</w:t>
      </w:r>
      <w:r w:rsidR="083E4DCD" w:rsidRPr="081942A4">
        <w:rPr>
          <w:i/>
          <w:szCs w:val="24"/>
        </w:rPr>
        <w:t>tabula rasa</w:t>
      </w:r>
      <w:r w:rsidR="08824A43">
        <w:rPr>
          <w:i/>
          <w:szCs w:val="24"/>
          <w:lang w:val="de-DE"/>
        </w:rPr>
        <w:fldChar w:fldCharType="begin"/>
      </w:r>
      <w:r w:rsidR="08824A43">
        <w:instrText xml:space="preserve"> XE "</w:instrText>
      </w:r>
      <w:r w:rsidR="08824A43" w:rsidRPr="081942A4">
        <w:rPr>
          <w:i/>
          <w:szCs w:val="24"/>
        </w:rPr>
        <w:instrText>tabula rasa</w:instrText>
      </w:r>
      <w:r w:rsidR="08824A43">
        <w:instrText xml:space="preserve">" </w:instrText>
      </w:r>
      <w:r w:rsidR="08824A43">
        <w:rPr>
          <w:i/>
          <w:szCs w:val="24"/>
          <w:lang w:val="de-DE"/>
        </w:rPr>
        <w:fldChar w:fldCharType="end"/>
      </w:r>
      <w:r w:rsidR="083E4DCD" w:rsidRPr="081942A4">
        <w:rPr>
          <w:szCs w:val="24"/>
        </w:rPr>
        <w:t>)</w:t>
      </w:r>
      <w:r>
        <w:t xml:space="preserve">. Smyslové poznatky zase samy </w:t>
      </w:r>
      <w:r w:rsidRPr="00273106">
        <w:t xml:space="preserve">o sobě </w:t>
      </w:r>
      <w:r>
        <w:t>nemají</w:t>
      </w:r>
      <w:r w:rsidRPr="00273106">
        <w:t xml:space="preserve"> </w:t>
      </w:r>
      <w:r>
        <w:t xml:space="preserve">žádnou </w:t>
      </w:r>
      <w:r w:rsidRPr="00273106">
        <w:t>m</w:t>
      </w:r>
      <w:r>
        <w:t>ožnost, jak by mohly být univerzální, protože nemat</w:t>
      </w:r>
      <w:r w:rsidR="088E024F">
        <w:t>er</w:t>
      </w:r>
      <w:r>
        <w:t>iální duševní schop</w:t>
      </w:r>
      <w:r w:rsidR="00932657">
        <w:t>nost k nim přistupuje zvnějšku.</w:t>
      </w:r>
    </w:p>
    <w:p w:rsidR="00A15C1D" w:rsidRDefault="08163013" w:rsidP="00D13054">
      <w:pPr>
        <w:ind w:firstLine="397"/>
      </w:pPr>
      <w:r>
        <w:lastRenderedPageBreak/>
        <w:t xml:space="preserve">Fenomenologie intelektuálního poznání </w:t>
      </w:r>
      <w:r w:rsidR="0032046E">
        <w:t xml:space="preserve">je dána </w:t>
      </w:r>
      <w:r>
        <w:t xml:space="preserve">v modu </w:t>
      </w:r>
      <w:r w:rsidR="08E702A2">
        <w:t xml:space="preserve">existenciálně </w:t>
      </w:r>
      <w:r>
        <w:t>zakoušené jednoty poznání daného inteligibilně (</w:t>
      </w:r>
      <w:r w:rsidRPr="00096889">
        <w:rPr>
          <w:i/>
        </w:rPr>
        <w:t>conscii sumus</w:t>
      </w:r>
      <w:r>
        <w:t>)</w:t>
      </w:r>
      <w:r w:rsidR="0032046E">
        <w:t xml:space="preserve">, Tím se liší </w:t>
      </w:r>
      <w:r>
        <w:t xml:space="preserve">od modu </w:t>
      </w:r>
      <w:r w:rsidR="0032046E">
        <w:t>„</w:t>
      </w:r>
      <w:r w:rsidRPr="00096889">
        <w:rPr>
          <w:i/>
        </w:rPr>
        <w:t>experimur</w:t>
      </w:r>
      <w:r w:rsidR="0032046E">
        <w:t>“</w:t>
      </w:r>
      <w:r>
        <w:rPr>
          <w:i/>
        </w:rPr>
        <w:t xml:space="preserve"> </w:t>
      </w:r>
      <w:r w:rsidRPr="08840723">
        <w:t>danému smyslově</w:t>
      </w:r>
      <w:r>
        <w:fldChar w:fldCharType="begin"/>
      </w:r>
      <w:r>
        <w:instrText xml:space="preserve"> XE "intelekt:</w:instrText>
      </w:r>
      <w:r w:rsidRPr="00D04010">
        <w:rPr>
          <w:i/>
        </w:rPr>
        <w:instrText>experimur</w:instrText>
      </w:r>
      <w:r w:rsidRPr="008D12CB">
        <w:instrText>/</w:instrText>
      </w:r>
      <w:r w:rsidRPr="00D04010">
        <w:rPr>
          <w:i/>
        </w:rPr>
        <w:instrText>cons</w:instrText>
      </w:r>
      <w:r>
        <w:rPr>
          <w:i/>
        </w:rPr>
        <w:instrText>c</w:instrText>
      </w:r>
      <w:r w:rsidRPr="00D04010">
        <w:rPr>
          <w:i/>
        </w:rPr>
        <w:instrText>ii sumus</w:instrText>
      </w:r>
      <w:r>
        <w:instrText xml:space="preserve">" </w:instrText>
      </w:r>
      <w:r>
        <w:fldChar w:fldCharType="end"/>
      </w:r>
      <w:r>
        <w:t xml:space="preserve">. </w:t>
      </w:r>
      <w:r w:rsidR="0032046E">
        <w:t xml:space="preserve">Ale intelekt jako </w:t>
      </w:r>
      <w:r w:rsidR="0032046E" w:rsidRPr="0032046E">
        <w:rPr>
          <w:i/>
        </w:rPr>
        <w:t>separabilis</w:t>
      </w:r>
      <w:r w:rsidR="0032046E">
        <w:t xml:space="preserve"> je v modu </w:t>
      </w:r>
      <w:r w:rsidR="0032046E" w:rsidRPr="0032046E">
        <w:rPr>
          <w:i/>
        </w:rPr>
        <w:t>subiective</w:t>
      </w:r>
      <w:r w:rsidR="0032046E">
        <w:t xml:space="preserve"> zcela závislý na aktualizaci ze smyslů, proto je sám o sobě čistá potence duše. Tuto jedinečnou pozici Sigera neuznala ani modena, ani semiaverroismus Akvinského a Aegidia. Ale tuto jedinečnost ocenil Dante</w:t>
      </w:r>
      <w:r w:rsidR="00E72A44">
        <w:fldChar w:fldCharType="begin"/>
      </w:r>
      <w:r w:rsidR="00E72A44">
        <w:instrText xml:space="preserve"> XE "</w:instrText>
      </w:r>
      <w:r w:rsidR="00E72A44" w:rsidRPr="007A152C">
        <w:instrText>Dante, A.</w:instrText>
      </w:r>
      <w:r w:rsidR="00E72A44">
        <w:instrText xml:space="preserve">" </w:instrText>
      </w:r>
      <w:r w:rsidR="00E72A44">
        <w:fldChar w:fldCharType="end"/>
      </w:r>
      <w:r w:rsidR="0032046E">
        <w:t xml:space="preserve"> a zcela správně ocenil Sigera jako nejlepšího filosofa své doby. </w:t>
      </w:r>
      <w:r>
        <w:t xml:space="preserve">Člověk není zvíře, protože animální poznání duše nemá </w:t>
      </w:r>
      <w:r w:rsidR="0045589C">
        <w:t>výkon v modu „</w:t>
      </w:r>
      <w:r w:rsidR="0045589C" w:rsidRPr="0045589C">
        <w:rPr>
          <w:i/>
        </w:rPr>
        <w:t>ipse</w:t>
      </w:r>
      <w:r w:rsidR="0045589C">
        <w:t xml:space="preserve">“, což je </w:t>
      </w:r>
      <w:r>
        <w:t>univerzální</w:t>
      </w:r>
      <w:r w:rsidR="0045589C">
        <w:t xml:space="preserve"> a takto složená</w:t>
      </w:r>
      <w:r>
        <w:t xml:space="preserve"> </w:t>
      </w:r>
      <w:r w:rsidRPr="005E699A">
        <w:rPr>
          <w:i/>
        </w:rPr>
        <w:t>anima intellectiva</w:t>
      </w:r>
      <w:r>
        <w:t xml:space="preserve"> (Aristotelovo </w:t>
      </w:r>
      <w:r w:rsidRPr="00273106">
        <w:t>τοιαύτης</w:t>
      </w:r>
      <w:r>
        <w:t xml:space="preserve">, Sigerovo </w:t>
      </w:r>
      <w:r w:rsidRPr="08B43EC0">
        <w:rPr>
          <w:i/>
        </w:rPr>
        <w:t>ipse</w:t>
      </w:r>
      <w:r>
        <w:t>). Ale intelekt je i</w:t>
      </w:r>
      <w:r w:rsidR="0045589C">
        <w:t xml:space="preserve">ntencionálně obrácen k již aktualizovaným </w:t>
      </w:r>
      <w:r>
        <w:t xml:space="preserve">smyslům, proto je pouze </w:t>
      </w:r>
      <w:r w:rsidR="008B73F1">
        <w:t xml:space="preserve">jako </w:t>
      </w:r>
      <w:r>
        <w:t xml:space="preserve">schopnosti duše v modu </w:t>
      </w:r>
      <w:r w:rsidRPr="08840723">
        <w:rPr>
          <w:i/>
        </w:rPr>
        <w:t>separabilis</w:t>
      </w:r>
      <w:r>
        <w:t>. Potenci k u</w:t>
      </w:r>
      <w:r w:rsidRPr="00273106">
        <w:t>niverzalit</w:t>
      </w:r>
      <w:r>
        <w:t>ě</w:t>
      </w:r>
      <w:r w:rsidRPr="00273106">
        <w:t xml:space="preserve"> má pouze nemateriální a oddělená potence duše, která díky čisté potencialitě je zásadně odkázána na aktualizaci směrem od smyslů. Oba způsoby poznání</w:t>
      </w:r>
      <w:r w:rsidR="004470EF">
        <w:t xml:space="preserve"> se musí sejít v rámci hledané pravdy jako </w:t>
      </w:r>
      <w:r w:rsidRPr="00273106">
        <w:rPr>
          <w:i/>
        </w:rPr>
        <w:t>proportio</w:t>
      </w:r>
      <w:r w:rsidRPr="00273106">
        <w:t xml:space="preserve"> </w:t>
      </w:r>
      <w:r w:rsidR="004470EF">
        <w:t xml:space="preserve">definované </w:t>
      </w:r>
      <w:r w:rsidRPr="00273106">
        <w:t>v CMDA.</w:t>
      </w:r>
      <w:r w:rsidR="004470EF">
        <w:t xml:space="preserve"> Siger </w:t>
      </w:r>
      <w:r>
        <w:t>zachov</w:t>
      </w:r>
      <w:r w:rsidR="004470EF">
        <w:t>al reálnou jednotu</w:t>
      </w:r>
      <w:r>
        <w:t xml:space="preserve"> osoby, která poznává svět i sebe různými způsoby.</w:t>
      </w:r>
      <w:r w:rsidR="00D13054">
        <w:t xml:space="preserve"> </w:t>
      </w:r>
      <w:r>
        <w:t>Rozdíl mezi nemateriální potencí intelektu (</w:t>
      </w:r>
      <w:r w:rsidRPr="00721D60">
        <w:rPr>
          <w:i/>
        </w:rPr>
        <w:t>separabilis</w:t>
      </w:r>
      <w:r w:rsidR="08F16E32" w:rsidRPr="00353C04">
        <w:rPr>
          <w:i/>
          <w:szCs w:val="24"/>
        </w:rPr>
        <w:fldChar w:fldCharType="begin"/>
      </w:r>
      <w:r w:rsidR="08F16E32" w:rsidRPr="00353C04">
        <w:rPr>
          <w:szCs w:val="24"/>
        </w:rPr>
        <w:instrText xml:space="preserve"> XE "</w:instrText>
      </w:r>
      <w:r w:rsidR="08F16E32">
        <w:rPr>
          <w:szCs w:val="24"/>
        </w:rPr>
        <w:instrText>i</w:instrText>
      </w:r>
      <w:r w:rsidR="08F16E32" w:rsidRPr="00353C04">
        <w:rPr>
          <w:szCs w:val="24"/>
        </w:rPr>
        <w:instrText>nte</w:instrText>
      </w:r>
      <w:r w:rsidR="08F16E32">
        <w:rPr>
          <w:szCs w:val="24"/>
        </w:rPr>
        <w:instrText>l</w:instrText>
      </w:r>
      <w:r w:rsidR="08F16E32" w:rsidRPr="00353C04">
        <w:rPr>
          <w:szCs w:val="24"/>
        </w:rPr>
        <w:instrText>ekt:</w:instrText>
      </w:r>
      <w:r w:rsidR="08F16E32" w:rsidRPr="00353C04">
        <w:rPr>
          <w:i/>
          <w:szCs w:val="24"/>
        </w:rPr>
        <w:instrText>s</w:instrText>
      </w:r>
      <w:r w:rsidR="08F16E32">
        <w:rPr>
          <w:i/>
          <w:szCs w:val="24"/>
        </w:rPr>
        <w:instrText>eparabilis</w:instrText>
      </w:r>
      <w:r w:rsidR="08F16E32" w:rsidRPr="00353C04">
        <w:rPr>
          <w:szCs w:val="24"/>
        </w:rPr>
        <w:instrText>/</w:instrText>
      </w:r>
      <w:r w:rsidR="08F16E32">
        <w:rPr>
          <w:i/>
          <w:szCs w:val="24"/>
        </w:rPr>
        <w:instrText>separatus</w:instrText>
      </w:r>
      <w:r w:rsidR="08F16E32" w:rsidRPr="00353C04">
        <w:rPr>
          <w:szCs w:val="24"/>
        </w:rPr>
        <w:instrText xml:space="preserve">" </w:instrText>
      </w:r>
      <w:r w:rsidR="08F16E32" w:rsidRPr="00353C04">
        <w:rPr>
          <w:i/>
          <w:szCs w:val="24"/>
        </w:rPr>
        <w:fldChar w:fldCharType="end"/>
      </w:r>
      <w:r>
        <w:t>) a odmítnutým statutem intelektu jako aktuální kosmické substance (</w:t>
      </w:r>
      <w:r w:rsidRPr="005D0A1D">
        <w:rPr>
          <w:i/>
        </w:rPr>
        <w:t>separatus</w:t>
      </w:r>
      <w:r>
        <w:t xml:space="preserve">) </w:t>
      </w:r>
      <w:r w:rsidRPr="00273106">
        <w:t xml:space="preserve">zajistil </w:t>
      </w:r>
      <w:r>
        <w:t>Averroes</w:t>
      </w:r>
      <w:r w:rsidR="001624C0">
        <w:t>ovo</w:t>
      </w:r>
      <w:r w:rsidRPr="00273106">
        <w:t xml:space="preserve"> pojetí pravdy jako </w:t>
      </w:r>
      <w:r w:rsidRPr="00273106">
        <w:rPr>
          <w:i/>
        </w:rPr>
        <w:t>proportio</w:t>
      </w:r>
      <w:r>
        <w:rPr>
          <w:i/>
        </w:rPr>
        <w:fldChar w:fldCharType="begin"/>
      </w:r>
      <w:r>
        <w:instrText xml:space="preserve"> XE "pravda:</w:instrText>
      </w:r>
      <w:r w:rsidRPr="0010056E">
        <w:rPr>
          <w:i/>
        </w:rPr>
        <w:instrText>proportio</w:instrText>
      </w:r>
      <w:r>
        <w:instrText xml:space="preserve">" </w:instrText>
      </w:r>
      <w:r>
        <w:rPr>
          <w:i/>
        </w:rPr>
        <w:fldChar w:fldCharType="end"/>
      </w:r>
      <w:r>
        <w:t xml:space="preserve">. </w:t>
      </w:r>
      <w:r w:rsidRPr="00273106">
        <w:t xml:space="preserve">Povahu adekvace mezi smysly a intelektem řeší </w:t>
      </w:r>
      <w:r>
        <w:t xml:space="preserve">QIIIDA v </w:t>
      </w:r>
      <w:r w:rsidRPr="00273106">
        <w:t>9.</w:t>
      </w:r>
      <w:r>
        <w:t xml:space="preserve"> kvestii.</w:t>
      </w:r>
      <w:r w:rsidRPr="00273106">
        <w:t xml:space="preserve"> Úvod klade základní fenomenologickou otázku</w:t>
      </w:r>
      <w:r>
        <w:t xml:space="preserve">, </w:t>
      </w:r>
      <w:r w:rsidR="089B44E4">
        <w:t>„</w:t>
      </w:r>
      <w:r>
        <w:t>jak</w:t>
      </w:r>
      <w:r w:rsidR="089B44E4">
        <w:t>“</w:t>
      </w:r>
      <w:r w:rsidRPr="00273106">
        <w:t xml:space="preserve"> (</w:t>
      </w:r>
      <w:r w:rsidRPr="00273106">
        <w:rPr>
          <w:i/>
        </w:rPr>
        <w:t>qualiter</w:t>
      </w:r>
      <w:r w:rsidRPr="00273106">
        <w:t xml:space="preserve">) je spojen </w:t>
      </w:r>
      <w:r>
        <w:t xml:space="preserve">oddělený </w:t>
      </w:r>
      <w:r w:rsidRPr="00273106">
        <w:t>intelekt s hylemorfickou první substancí (</w:t>
      </w:r>
      <w:r w:rsidRPr="00273106">
        <w:rPr>
          <w:i/>
        </w:rPr>
        <w:t>qualiter intellectus nobis copulatur</w:t>
      </w:r>
      <w:r w:rsidRPr="00273106">
        <w:t>).</w:t>
      </w:r>
      <w:r w:rsidR="00226A30">
        <w:rPr>
          <w:rStyle w:val="Znakapoznpodarou"/>
        </w:rPr>
        <w:footnoteReference w:id="220"/>
      </w:r>
      <w:r w:rsidR="002653C1">
        <w:t xml:space="preserve"> </w:t>
      </w:r>
      <w:r w:rsidRPr="00273106">
        <w:t xml:space="preserve">Prozkoumejme </w:t>
      </w:r>
      <w:r w:rsidR="002653C1">
        <w:t xml:space="preserve">tuto </w:t>
      </w:r>
      <w:r w:rsidRPr="00273106">
        <w:t>klíčovou část traktátu, která Sigerovi vynesla obvinění z averroismu.</w:t>
      </w:r>
      <w:r w:rsidR="00226A30">
        <w:t xml:space="preserve"> </w:t>
      </w:r>
      <w:r w:rsidRPr="00273106">
        <w:t>Oddělenost intelektu znamená mnoho věcí</w:t>
      </w:r>
      <w:r>
        <w:t>, což ukázaly předešlé kvestie</w:t>
      </w:r>
      <w:r w:rsidRPr="00273106">
        <w:t>. Buď je intelekt numericky jeden a je aktuálně daný ve všech lidech stejně a zvnějšku (</w:t>
      </w:r>
      <w:r w:rsidRPr="00273106">
        <w:rPr>
          <w:i/>
        </w:rPr>
        <w:t>unus intellectus in omnibus</w:t>
      </w:r>
      <w:r w:rsidRPr="00273106">
        <w:t xml:space="preserve">). Nebo je intelekt jen potenciální nemateriální schopnost duše, kterou od těla a od smyslů odlišuje </w:t>
      </w:r>
      <w:r>
        <w:t xml:space="preserve">její </w:t>
      </w:r>
      <w:r w:rsidRPr="00273106">
        <w:t>nemateriální charakter</w:t>
      </w:r>
      <w:r>
        <w:t xml:space="preserve"> v modu </w:t>
      </w:r>
      <w:r w:rsidRPr="087B0416">
        <w:rPr>
          <w:i/>
        </w:rPr>
        <w:t xml:space="preserve">tertium </w:t>
      </w:r>
      <w:r w:rsidR="00962190">
        <w:rPr>
          <w:i/>
        </w:rPr>
        <w:t>genus</w:t>
      </w:r>
      <w:r>
        <w:t xml:space="preserve"> a </w:t>
      </w:r>
      <w:r w:rsidRPr="087B0416">
        <w:rPr>
          <w:i/>
        </w:rPr>
        <w:t>subiective</w:t>
      </w:r>
      <w:r w:rsidRPr="00273106">
        <w:t xml:space="preserve">. Tím je intelekt </w:t>
      </w:r>
      <w:r>
        <w:t xml:space="preserve">aktuálně bytující </w:t>
      </w:r>
      <w:r w:rsidRPr="00273106">
        <w:t>v každém člověku</w:t>
      </w:r>
      <w:r>
        <w:t xml:space="preserve"> v modu ipseity</w:t>
      </w:r>
      <w:r w:rsidRPr="00273106">
        <w:t>, protože je vázaný na hylemorfický akt těla jako aktuálně existující první substance</w:t>
      </w:r>
      <w:r>
        <w:t xml:space="preserve"> (</w:t>
      </w:r>
      <w:r w:rsidRPr="080766B8">
        <w:rPr>
          <w:i/>
        </w:rPr>
        <w:t>separabilis</w:t>
      </w:r>
      <w:r>
        <w:t>)</w:t>
      </w:r>
      <w:r w:rsidRPr="00273106">
        <w:t xml:space="preserve">. </w:t>
      </w:r>
      <w:r>
        <w:t>Nebo je numericky odlišný intelekt daný jako ex</w:t>
      </w:r>
      <w:r w:rsidR="08F10D10">
        <w:t>terní substance</w:t>
      </w:r>
      <w:r w:rsidR="083969D9">
        <w:t xml:space="preserve"> (</w:t>
      </w:r>
      <w:r w:rsidR="083969D9" w:rsidRPr="001F45E5">
        <w:rPr>
          <w:i/>
          <w:szCs w:val="24"/>
        </w:rPr>
        <w:t>hoc aliquid</w:t>
      </w:r>
      <w:r w:rsidR="083969D9" w:rsidRPr="083969D9">
        <w:rPr>
          <w:szCs w:val="24"/>
        </w:rPr>
        <w:t>)</w:t>
      </w:r>
      <w:r w:rsidR="08F10D10">
        <w:t>. Nebo je intele</w:t>
      </w:r>
      <w:r>
        <w:t>k</w:t>
      </w:r>
      <w:r w:rsidR="08F10D10">
        <w:t>t</w:t>
      </w:r>
      <w:r>
        <w:t xml:space="preserve"> definovaný jako hypostázovaná forma či esence duše v modu </w:t>
      </w:r>
      <w:r w:rsidRPr="080766B8">
        <w:rPr>
          <w:i/>
        </w:rPr>
        <w:t>separatus</w:t>
      </w:r>
      <w:r w:rsidR="00A15C1D">
        <w:t>.</w:t>
      </w:r>
    </w:p>
    <w:p w:rsidR="08163013" w:rsidRPr="00273106" w:rsidRDefault="08163013" w:rsidP="00D13054">
      <w:pPr>
        <w:ind w:firstLine="397"/>
      </w:pPr>
      <w:r>
        <w:lastRenderedPageBreak/>
        <w:t xml:space="preserve">Podle Sigera nemůže existovat lidský intelekt na žádný z těchto způsobů v modu </w:t>
      </w:r>
      <w:r w:rsidRPr="08E10280">
        <w:rPr>
          <w:i/>
        </w:rPr>
        <w:t>separatus</w:t>
      </w:r>
      <w:r w:rsidR="08393B70">
        <w:rPr>
          <w:i/>
        </w:rPr>
        <w:t xml:space="preserve"> </w:t>
      </w:r>
      <w:r w:rsidR="08393B70" w:rsidRPr="08393B70">
        <w:t>(substance, forma)</w:t>
      </w:r>
      <w:r w:rsidRPr="08393B70">
        <w:t xml:space="preserve">, </w:t>
      </w:r>
      <w:r>
        <w:t>protože by byl oddě</w:t>
      </w:r>
      <w:r w:rsidR="086D1892">
        <w:t>lenou kosmickou substancí, která</w:t>
      </w:r>
      <w:r>
        <w:t xml:space="preserve"> se člověkem spojuje zvnějšku. Tuto teorii </w:t>
      </w:r>
      <w:r w:rsidR="00D6107C">
        <w:t>„</w:t>
      </w:r>
      <w:r w:rsidRPr="089F5D65">
        <w:rPr>
          <w:i/>
        </w:rPr>
        <w:t>sequaces Aristotelis</w:t>
      </w:r>
      <w:r w:rsidR="00D6107C">
        <w:t>“</w:t>
      </w:r>
      <w:r>
        <w:t xml:space="preserve"> zásadně odmítl biskup Alvernus jako heretickou (</w:t>
      </w:r>
      <w:r w:rsidR="086D1892">
        <w:t>OBJ II, kap. 2</w:t>
      </w:r>
      <w:r>
        <w:t xml:space="preserve">.3). Ještě větší nesmysl představuje univerzální hylemorfismus a jeho  simulákrum numerického odděleného </w:t>
      </w:r>
      <w:r w:rsidRPr="085B6873">
        <w:rPr>
          <w:i/>
        </w:rPr>
        <w:t>intellectus possibilis</w:t>
      </w:r>
      <w:r>
        <w:t xml:space="preserve"> individualizovaného skrze Dinantovu </w:t>
      </w:r>
      <w:r w:rsidRPr="085B6873">
        <w:rPr>
          <w:i/>
        </w:rPr>
        <w:t>materia prima</w:t>
      </w:r>
      <w:r w:rsidR="00D6107C">
        <w:t xml:space="preserve">. Ten </w:t>
      </w:r>
      <w:r>
        <w:t xml:space="preserve">zvnějšku kopuluje s </w:t>
      </w:r>
      <w:r w:rsidR="00D6107C">
        <w:rPr>
          <w:i/>
        </w:rPr>
        <w:t>intellectus materialis</w:t>
      </w:r>
      <w:r w:rsidR="00D6107C" w:rsidRPr="00D6107C">
        <w:t>, který je</w:t>
      </w:r>
      <w:r w:rsidR="00D6107C">
        <w:rPr>
          <w:i/>
        </w:rPr>
        <w:t xml:space="preserve"> </w:t>
      </w:r>
      <w:r>
        <w:t xml:space="preserve">v člověku </w:t>
      </w:r>
      <w:r w:rsidR="00D6107C">
        <w:t xml:space="preserve">individualizovaný </w:t>
      </w:r>
      <w:r>
        <w:t xml:space="preserve">skrze </w:t>
      </w:r>
      <w:r w:rsidRPr="085B6873">
        <w:rPr>
          <w:i/>
        </w:rPr>
        <w:t>materia spiritualis</w:t>
      </w:r>
      <w:r>
        <w:t>. Tuto mytopoetiku připsali modernisté averroistickému Averroesovi</w:t>
      </w:r>
      <w:r>
        <w:fldChar w:fldCharType="begin"/>
      </w:r>
      <w:r>
        <w:instrText xml:space="preserve"> XE "</w:instrText>
      </w:r>
      <w:r w:rsidRPr="00666E67">
        <w:instrText>univerzální hylemorfismus</w:instrText>
      </w:r>
      <w:r>
        <w:instrText xml:space="preserve">" </w:instrText>
      </w:r>
      <w:r>
        <w:fldChar w:fldCharType="end"/>
      </w:r>
      <w:r>
        <w:t>. Kdo vezme vážně teorii o numericky individualizovaném intelektu, ten udělá z intelektu oddělenou substanci</w:t>
      </w:r>
      <w:r w:rsidR="00FA455A">
        <w:t>,</w:t>
      </w:r>
      <w:r>
        <w:t xml:space="preserve"> a navíc ji materializuje</w:t>
      </w:r>
      <w:r>
        <w:fldChar w:fldCharType="begin"/>
      </w:r>
      <w:r>
        <w:instrText xml:space="preserve"> XE "intelekt:numericky odlišný" </w:instrText>
      </w:r>
      <w:r>
        <w:fldChar w:fldCharType="end"/>
      </w:r>
      <w:r>
        <w:t xml:space="preserve">. </w:t>
      </w:r>
      <w:r w:rsidRPr="00273106">
        <w:t>To by</w:t>
      </w:r>
      <w:r>
        <w:t>lo a je řešení všech moderních a</w:t>
      </w:r>
      <w:r w:rsidRPr="00273106">
        <w:t>lexandrovců</w:t>
      </w:r>
      <w:r>
        <w:fldChar w:fldCharType="begin"/>
      </w:r>
      <w:r>
        <w:instrText xml:space="preserve"> XE "alexandrovci" </w:instrText>
      </w:r>
      <w:r>
        <w:fldChar w:fldCharType="end"/>
      </w:r>
      <w:r w:rsidRPr="00273106">
        <w:t xml:space="preserve">, kteří skončili u schizofrenie jedné osoby a dvou </w:t>
      </w:r>
      <w:r>
        <w:t xml:space="preserve">protikladných </w:t>
      </w:r>
      <w:r w:rsidRPr="00273106">
        <w:t>substancí</w:t>
      </w:r>
      <w:r>
        <w:t xml:space="preserve"> určených numericky</w:t>
      </w:r>
      <w:r w:rsidRPr="00273106">
        <w:t xml:space="preserve">. </w:t>
      </w:r>
      <w:r>
        <w:t xml:space="preserve">Poznání jako potence nemá materii, která jako jediná individualizuje hylemorfickou substanci. </w:t>
      </w:r>
      <w:r w:rsidRPr="00273106">
        <w:t>Siger začíná tím, že připomíná oddělenost a nematerialitu intelektu danou podle CMDA.</w:t>
      </w:r>
    </w:p>
    <w:p w:rsidR="08163013" w:rsidRPr="00301E34" w:rsidRDefault="08163013" w:rsidP="08163013">
      <w:pPr>
        <w:pStyle w:val="Citace"/>
        <w:rPr>
          <w:noProof/>
          <w:lang w:val="cs-CZ"/>
        </w:rPr>
      </w:pPr>
      <w:r w:rsidRPr="00273106">
        <w:rPr>
          <w:noProof/>
          <w:lang w:val="cs-CZ"/>
        </w:rPr>
        <w:t>„</w:t>
      </w:r>
      <w:r>
        <w:rPr>
          <w:noProof/>
          <w:lang w:val="cs-CZ"/>
        </w:rPr>
        <w:t>Komentátor k tomu dává následující vysvětlení. Kdyby byl intelekt numericky odlišný ve všech lidech (</w:t>
      </w:r>
      <w:r w:rsidRPr="003C4C9C">
        <w:rPr>
          <w:i/>
          <w:noProof/>
        </w:rPr>
        <w:t>numeraretur numeratione hominum</w:t>
      </w:r>
      <w:r>
        <w:rPr>
          <w:noProof/>
          <w:lang w:val="cs-CZ"/>
        </w:rPr>
        <w:t xml:space="preserve">), pak by byl schopností umístěnou v těle. Ale intelekt není tělesná schopnost. </w:t>
      </w:r>
      <w:r w:rsidR="000B60D6">
        <w:rPr>
          <w:noProof/>
          <w:lang w:val="cs-CZ"/>
        </w:rPr>
        <w:t>Proto jej</w:t>
      </w:r>
      <w:r w:rsidR="000B60D6" w:rsidRPr="000B60D6">
        <w:rPr>
          <w:noProof/>
          <w:lang w:val="cs-CZ"/>
        </w:rPr>
        <w:t xml:space="preserve"> nelze individualizovat</w:t>
      </w:r>
      <w:r w:rsidR="000B60D6">
        <w:rPr>
          <w:noProof/>
          <w:lang w:val="cs-CZ"/>
        </w:rPr>
        <w:t xml:space="preserve"> tímto způsobem</w:t>
      </w:r>
      <w:r w:rsidR="000B60D6" w:rsidRPr="000B60D6">
        <w:rPr>
          <w:noProof/>
          <w:lang w:val="cs-CZ"/>
        </w:rPr>
        <w:t>.</w:t>
      </w:r>
      <w:r>
        <w:rPr>
          <w:noProof/>
          <w:lang w:val="cs-CZ"/>
        </w:rPr>
        <w:t xml:space="preserve">“ </w:t>
      </w:r>
      <w:r>
        <w:rPr>
          <w:rStyle w:val="Znakapoznpodarou"/>
        </w:rPr>
        <w:footnoteReference w:id="221"/>
      </w:r>
    </w:p>
    <w:p w:rsidR="08163013" w:rsidRDefault="08163013" w:rsidP="08163013">
      <w:r w:rsidRPr="00273106">
        <w:t>Protože intelekt není materiální povahy (</w:t>
      </w:r>
      <w:r w:rsidRPr="00273106">
        <w:rPr>
          <w:i/>
        </w:rPr>
        <w:t>virtus in corpore</w:t>
      </w:r>
      <w:r w:rsidRPr="00273106">
        <w:t>), každá individualizace na způsob materiálního fyzického těla je vyloučena (</w:t>
      </w:r>
      <w:r w:rsidRPr="00273106">
        <w:rPr>
          <w:i/>
        </w:rPr>
        <w:t>non numeratur numeratione hominum</w:t>
      </w:r>
      <w:r w:rsidRPr="00273106">
        <w:t xml:space="preserve">). </w:t>
      </w:r>
      <w:r>
        <w:t>Pro Sigera a Averroese je m</w:t>
      </w:r>
      <w:r w:rsidRPr="00273106">
        <w:t>ate</w:t>
      </w:r>
      <w:r>
        <w:t xml:space="preserve">riální individuace intelektu </w:t>
      </w:r>
      <w:r w:rsidR="00F54B27">
        <w:t>nesmysl. N</w:t>
      </w:r>
      <w:r w:rsidRPr="00273106">
        <w:t>emateriální intelekt</w:t>
      </w:r>
      <w:r>
        <w:t xml:space="preserve"> je pouhá potence nemateriální povahy</w:t>
      </w:r>
      <w:r w:rsidRPr="00273106">
        <w:t>. Jinak by totiž byl intelekt materiální a aktuální schopnost vázaná na tělo (</w:t>
      </w:r>
      <w:r w:rsidRPr="00273106">
        <w:rPr>
          <w:i/>
        </w:rPr>
        <w:t>intellectus esset virtus in corpore</w:t>
      </w:r>
      <w:r w:rsidRPr="00273106">
        <w:t xml:space="preserve">). </w:t>
      </w:r>
      <w:r w:rsidR="00DF5213">
        <w:t>P</w:t>
      </w:r>
      <w:r>
        <w:t xml:space="preserve">ředešlé kvestie jasně určily postavení </w:t>
      </w:r>
      <w:r w:rsidR="00DF5213">
        <w:t xml:space="preserve">intelektu </w:t>
      </w:r>
      <w:r>
        <w:t xml:space="preserve">dané </w:t>
      </w:r>
      <w:r w:rsidRPr="0891101F">
        <w:rPr>
          <w:i/>
        </w:rPr>
        <w:t>separabilis</w:t>
      </w:r>
      <w:r>
        <w:t xml:space="preserve"> vzhledem k</w:t>
      </w:r>
      <w:r w:rsidR="00DF5213">
        <w:t> </w:t>
      </w:r>
      <w:r>
        <w:t>tělu</w:t>
      </w:r>
      <w:r w:rsidR="00DF5213">
        <w:t>,</w:t>
      </w:r>
      <w:r>
        <w:t xml:space="preserve"> </w:t>
      </w:r>
      <w:r w:rsidR="00DF5213">
        <w:t xml:space="preserve">a navíc </w:t>
      </w:r>
      <w:r>
        <w:t xml:space="preserve">v modu </w:t>
      </w:r>
      <w:r w:rsidRPr="08D556AD">
        <w:rPr>
          <w:i/>
        </w:rPr>
        <w:t>inmixtus</w:t>
      </w:r>
      <w:r>
        <w:t xml:space="preserve"> a </w:t>
      </w:r>
      <w:r w:rsidRPr="08D556AD">
        <w:rPr>
          <w:i/>
        </w:rPr>
        <w:t>obiective</w:t>
      </w:r>
      <w:r>
        <w:t xml:space="preserve">. Siger brilantně pochopil argumentaci CMDA proti hylickému intelektu Themistia a Alexandra. Intelektuální činnost duše je nemateriální a nesídlí v žádných smyslových orgánech. </w:t>
      </w:r>
      <w:r w:rsidRPr="00273106">
        <w:t xml:space="preserve">Siger odmítne v klíčové části argumentace </w:t>
      </w:r>
      <w:r>
        <w:t>numerickou identitu</w:t>
      </w:r>
      <w:r w:rsidRPr="00273106">
        <w:t xml:space="preserve"> intelektu jako falešný</w:t>
      </w:r>
      <w:r w:rsidRPr="0896117C">
        <w:t xml:space="preserve"> </w:t>
      </w:r>
      <w:r>
        <w:t>problém</w:t>
      </w:r>
      <w:r>
        <w:fldChar w:fldCharType="begin"/>
      </w:r>
      <w:r>
        <w:instrText xml:space="preserve"> XE "intelekt:numericky odlišný" </w:instrText>
      </w:r>
      <w:r>
        <w:fldChar w:fldCharType="end"/>
      </w:r>
      <w:r w:rsidRPr="00273106">
        <w:t xml:space="preserve">. </w:t>
      </w:r>
      <w:r>
        <w:t xml:space="preserve">Intelekt není v modu numerického </w:t>
      </w:r>
      <w:r w:rsidRPr="0896117C">
        <w:rPr>
          <w:i/>
        </w:rPr>
        <w:t>idem</w:t>
      </w:r>
      <w:r>
        <w:rPr>
          <w:i/>
        </w:rPr>
        <w:t xml:space="preserve"> </w:t>
      </w:r>
      <w:r w:rsidRPr="08436C7B">
        <w:t>individualizovaného</w:t>
      </w:r>
      <w:r>
        <w:rPr>
          <w:i/>
        </w:rPr>
        <w:t xml:space="preserve"> </w:t>
      </w:r>
      <w:r w:rsidRPr="08436C7B">
        <w:t>materií,</w:t>
      </w:r>
      <w:r>
        <w:t xml:space="preserve"> protože je </w:t>
      </w:r>
      <w:r w:rsidRPr="08436C7B">
        <w:rPr>
          <w:i/>
        </w:rPr>
        <w:t>inmixtus</w:t>
      </w:r>
      <w:r>
        <w:t xml:space="preserve"> a </w:t>
      </w:r>
      <w:r w:rsidRPr="08436C7B">
        <w:rPr>
          <w:i/>
        </w:rPr>
        <w:t>separabilis</w:t>
      </w:r>
      <w:r w:rsidR="00F97DB6">
        <w:t xml:space="preserve"> v </w:t>
      </w:r>
      <w:r>
        <w:t xml:space="preserve">modu existenciálního </w:t>
      </w:r>
      <w:r w:rsidRPr="0896117C">
        <w:rPr>
          <w:i/>
        </w:rPr>
        <w:t>ipse</w:t>
      </w:r>
      <w:r>
        <w:t xml:space="preserve">. Problém numerické jednoty intelektu má objektivní averroismus moderních alexandrovců, ale nikoliv kritický </w:t>
      </w:r>
      <w:r>
        <w:lastRenderedPageBreak/>
        <w:t>aristotelismus Averroese a Sigera. Proto také moderní a postmoderní objektivisté udělali ze Sigera averroistu v modu identitární teorie intelektu daného jako kvazi-materiální substance třetího druhu (</w:t>
      </w:r>
      <w:r w:rsidRPr="08B95B1B">
        <w:rPr>
          <w:i/>
        </w:rPr>
        <w:t>intellectus materialis</w:t>
      </w:r>
      <w:r>
        <w:t xml:space="preserve">). </w:t>
      </w:r>
      <w:r w:rsidRPr="00273106">
        <w:t xml:space="preserve">Numerická identita </w:t>
      </w:r>
      <w:r>
        <w:t xml:space="preserve">či mnohost </w:t>
      </w:r>
      <w:r w:rsidRPr="00273106">
        <w:t xml:space="preserve">intelektu je </w:t>
      </w:r>
      <w:r>
        <w:t xml:space="preserve">z hlediska CMDA a Sigera naprostý </w:t>
      </w:r>
      <w:r w:rsidRPr="00273106">
        <w:t>nes</w:t>
      </w:r>
      <w:r>
        <w:t>mysl</w:t>
      </w:r>
      <w:r w:rsidRPr="00273106">
        <w:t xml:space="preserve">. </w:t>
      </w:r>
      <w:r>
        <w:t>Nemateriální individualizovaný i</w:t>
      </w:r>
      <w:r w:rsidRPr="00273106">
        <w:t>ntelekt by musel být dán v rámci matematické</w:t>
      </w:r>
      <w:r>
        <w:t xml:space="preserve"> abstrakce a byl by abstraktním číslem daným pouze v mysli</w:t>
      </w:r>
      <w:r w:rsidRPr="00273106">
        <w:t xml:space="preserve">. </w:t>
      </w:r>
      <w:r>
        <w:t xml:space="preserve">Anebo by byl intelekt individualizovaný v materii, a přestal by být nemateriální schopností duše v modu </w:t>
      </w:r>
      <w:r w:rsidRPr="00531324">
        <w:rPr>
          <w:i/>
        </w:rPr>
        <w:t>extrinsece</w:t>
      </w:r>
      <w:r>
        <w:t xml:space="preserve"> ke smyslovému poznání. Ale </w:t>
      </w:r>
      <w:r w:rsidRPr="080C7738">
        <w:rPr>
          <w:i/>
        </w:rPr>
        <w:t>intelectus possibilis</w:t>
      </w:r>
      <w:r>
        <w:t xml:space="preserve"> a </w:t>
      </w:r>
      <w:r w:rsidRPr="088B7EE0">
        <w:rPr>
          <w:i/>
        </w:rPr>
        <w:t>agens</w:t>
      </w:r>
      <w:r>
        <w:t xml:space="preserve"> </w:t>
      </w:r>
      <w:r w:rsidRPr="00273106">
        <w:t xml:space="preserve">nemůže být ani čistou abstrakcí ani substancí, protože reálně </w:t>
      </w:r>
      <w:r>
        <w:t xml:space="preserve">zakoušíme receptivní </w:t>
      </w:r>
      <w:r w:rsidRPr="00273106">
        <w:t xml:space="preserve">poznání </w:t>
      </w:r>
      <w:r>
        <w:t xml:space="preserve">intelektu </w:t>
      </w:r>
      <w:r w:rsidRPr="00273106">
        <w:t>v našem těle jako jediné existující substanci (</w:t>
      </w:r>
      <w:r w:rsidRPr="00273106">
        <w:rPr>
          <w:i/>
        </w:rPr>
        <w:t>conscii sumus</w:t>
      </w:r>
      <w:r>
        <w:t xml:space="preserve">). Proto jsme schopni syntetizovat na základě takto poznané existenciální kauzality také objektivní podobu tohoto intelektu v modu </w:t>
      </w:r>
      <w:r w:rsidRPr="08BF483D">
        <w:rPr>
          <w:i/>
        </w:rPr>
        <w:t xml:space="preserve">quartum </w:t>
      </w:r>
      <w:r w:rsidR="00962190">
        <w:rPr>
          <w:i/>
        </w:rPr>
        <w:t>genus</w:t>
      </w:r>
      <w:r w:rsidRPr="00273106">
        <w:t>. Siger radikálně a zásadně odmítl otázku po numerické povaze intelektu. Numericky určený intelekt by vznikl pouze skrze individualizaci nějaké materie.</w:t>
      </w:r>
      <w:r>
        <w:t xml:space="preserve"> </w:t>
      </w:r>
      <w:r w:rsidRPr="00273106">
        <w:t xml:space="preserve">Takový intelekt by se redukoval na pouhý </w:t>
      </w:r>
      <w:r w:rsidRPr="00273106">
        <w:rPr>
          <w:i/>
        </w:rPr>
        <w:t>intellectus materialis</w:t>
      </w:r>
      <w:r>
        <w:rPr>
          <w:i/>
        </w:rPr>
        <w:fldChar w:fldCharType="begin"/>
      </w:r>
      <w:r>
        <w:instrText xml:space="preserve"> XE "</w:instrText>
      </w:r>
      <w:r w:rsidRPr="00BE489A">
        <w:rPr>
          <w:i/>
        </w:rPr>
        <w:instrText>intellectus materialis:</w:instrText>
      </w:r>
      <w:r w:rsidRPr="00531324">
        <w:instrText>moderna</w:instrText>
      </w:r>
      <w:r>
        <w:instrText xml:space="preserve">" </w:instrText>
      </w:r>
      <w:r>
        <w:rPr>
          <w:i/>
        </w:rPr>
        <w:fldChar w:fldCharType="end"/>
      </w:r>
      <w:r w:rsidRPr="00273106">
        <w:t xml:space="preserve">, a </w:t>
      </w:r>
      <w:r w:rsidR="006056D6">
        <w:t>přestal by existovat jako A</w:t>
      </w:r>
      <w:r>
        <w:t>verroes</w:t>
      </w:r>
      <w:r w:rsidR="006056D6">
        <w:t>ů</w:t>
      </w:r>
      <w:r w:rsidRPr="00273106">
        <w:t xml:space="preserve">v </w:t>
      </w:r>
      <w:r w:rsidRPr="00273106">
        <w:rPr>
          <w:i/>
        </w:rPr>
        <w:t>intellectus possibilis</w:t>
      </w:r>
      <w:r>
        <w:rPr>
          <w:i/>
        </w:rPr>
        <w:fldChar w:fldCharType="begin"/>
      </w:r>
      <w:r>
        <w:instrText xml:space="preserve"> XE "</w:instrText>
      </w:r>
      <w:r w:rsidRPr="00770D02">
        <w:rPr>
          <w:i/>
        </w:rPr>
        <w:instrText>intellectus possibilis</w:instrText>
      </w:r>
      <w:r>
        <w:instrText xml:space="preserve">:Siger" </w:instrText>
      </w:r>
      <w:r>
        <w:rPr>
          <w:i/>
        </w:rPr>
        <w:fldChar w:fldCharType="end"/>
      </w:r>
      <w:r w:rsidRPr="00273106">
        <w:t>.</w:t>
      </w:r>
    </w:p>
    <w:p w:rsidR="08163013" w:rsidRDefault="08163013" w:rsidP="08163013">
      <w:pPr>
        <w:pStyle w:val="Citace"/>
        <w:rPr>
          <w:noProof/>
          <w:lang w:val="cs-CZ"/>
        </w:rPr>
      </w:pPr>
      <w:r>
        <w:rPr>
          <w:noProof/>
          <w:lang w:val="cs-CZ"/>
        </w:rPr>
        <w:t xml:space="preserve">„Z předešlého je zřejmý závěr, že intelekt, protože je nemateriální, nemůže být podle své přirozenosti dělen podle numericky dané individuality.“ </w:t>
      </w:r>
      <w:r>
        <w:rPr>
          <w:rStyle w:val="Znakapoznpodarou"/>
        </w:rPr>
        <w:footnoteReference w:id="222"/>
      </w:r>
    </w:p>
    <w:p w:rsidR="08163013" w:rsidRPr="00273106" w:rsidRDefault="08163013" w:rsidP="08163013">
      <w:r w:rsidRPr="00273106">
        <w:t xml:space="preserve">Otázka po numerické povaze intelektu je položena </w:t>
      </w:r>
      <w:r>
        <w:t xml:space="preserve">fundamentálně </w:t>
      </w:r>
      <w:r w:rsidRPr="00273106">
        <w:t>špatně.</w:t>
      </w:r>
      <w:r>
        <w:t xml:space="preserve"> Intelekt nemůže být pouhou matematickou abstrakcí, protože myslíme v první osobě jako hylemorfická substance. </w:t>
      </w:r>
      <w:r w:rsidRPr="00273106">
        <w:t xml:space="preserve">Intelekt je dán </w:t>
      </w:r>
      <w:r w:rsidRPr="00273106">
        <w:rPr>
          <w:i/>
        </w:rPr>
        <w:t>extrinsece</w:t>
      </w:r>
      <w:r w:rsidRPr="00273106">
        <w:t xml:space="preserve"> vzhledem k materii, proto jej není možné zahrnout do postupů matematické abstrakce</w:t>
      </w:r>
      <w:r>
        <w:fldChar w:fldCharType="begin"/>
      </w:r>
      <w:r>
        <w:instrText xml:space="preserve"> XE "</w:instrText>
      </w:r>
      <w:r w:rsidRPr="00A824F0">
        <w:instrText>abstrakce:matematická</w:instrText>
      </w:r>
      <w:r>
        <w:instrText xml:space="preserve">" </w:instrText>
      </w:r>
      <w:r>
        <w:fldChar w:fldCharType="end"/>
      </w:r>
      <w:r w:rsidRPr="00273106">
        <w:t xml:space="preserve"> (</w:t>
      </w:r>
      <w:r w:rsidRPr="00273106">
        <w:rPr>
          <w:i/>
        </w:rPr>
        <w:t xml:space="preserve">in eius </w:t>
      </w:r>
      <w:r w:rsidRPr="00273106">
        <w:rPr>
          <w:i/>
          <w:lang w:eastAsia="de-DE"/>
        </w:rPr>
        <w:t xml:space="preserve">natura </w:t>
      </w:r>
      <w:r w:rsidRPr="00273106">
        <w:rPr>
          <w:i/>
        </w:rPr>
        <w:t>non est quod multiplicetur secundum numerum</w:t>
      </w:r>
      <w:r w:rsidRPr="00273106">
        <w:t xml:space="preserve">). </w:t>
      </w:r>
      <w:r>
        <w:t xml:space="preserve">Sigerův intelekt je výkonem osoby. Proto není a nemůže být objektivní porretánské </w:t>
      </w:r>
      <w:r w:rsidRPr="002E610B">
        <w:rPr>
          <w:i/>
        </w:rPr>
        <w:t>individuum</w:t>
      </w:r>
      <w:r>
        <w:t xml:space="preserve"> Rufuse a Bonaventury, které na konci řady dané dělením univerzálních významů identifikuje </w:t>
      </w:r>
      <w:r w:rsidRPr="00405632">
        <w:rPr>
          <w:i/>
        </w:rPr>
        <w:t>materia spiritualis</w:t>
      </w:r>
      <w:r>
        <w:rPr>
          <w:i/>
        </w:rPr>
        <w:fldChar w:fldCharType="begin"/>
      </w:r>
      <w:r>
        <w:instrText xml:space="preserve"> XE "</w:instrText>
      </w:r>
      <w:r w:rsidRPr="08A516BF">
        <w:instrText>materie</w:instrText>
      </w:r>
      <w:r>
        <w:rPr>
          <w:i/>
        </w:rPr>
        <w:instrText xml:space="preserve">:materia </w:instrText>
      </w:r>
      <w:r w:rsidRPr="00612581">
        <w:rPr>
          <w:i/>
        </w:rPr>
        <w:instrText>spiritualis</w:instrText>
      </w:r>
      <w:r>
        <w:instrText xml:space="preserve">" </w:instrText>
      </w:r>
      <w:r>
        <w:rPr>
          <w:i/>
        </w:rPr>
        <w:fldChar w:fldCharType="end"/>
      </w:r>
      <w:r>
        <w:t>. S</w:t>
      </w:r>
      <w:r w:rsidRPr="00273106">
        <w:t xml:space="preserve">pekulace o numerické povaze intelektu byla a je zasazena do myšlení druhého averroismu s objektivisticky pojatou materií jako </w:t>
      </w:r>
      <w:r w:rsidRPr="00316A3E">
        <w:rPr>
          <w:i/>
        </w:rPr>
        <w:t>tertium ens</w:t>
      </w:r>
      <w:r>
        <w:rPr>
          <w:i/>
        </w:rPr>
        <w:fldChar w:fldCharType="begin"/>
      </w:r>
      <w:r>
        <w:instrText xml:space="preserve"> XE "</w:instrText>
      </w:r>
      <w:r w:rsidRPr="002F10B4">
        <w:rPr>
          <w:rStyle w:val="Zvraznn"/>
        </w:rPr>
        <w:instrText>tertium ens</w:instrText>
      </w:r>
      <w:r>
        <w:rPr>
          <w:rStyle w:val="Zvraznn"/>
        </w:rPr>
        <w:instrText>:</w:instrText>
      </w:r>
      <w:r w:rsidRPr="003F7598">
        <w:rPr>
          <w:rStyle w:val="Zvraznn"/>
          <w:i w:val="0"/>
        </w:rPr>
        <w:instrText>intelekt</w:instrText>
      </w:r>
      <w:r>
        <w:instrText xml:space="preserve">" </w:instrText>
      </w:r>
      <w:r>
        <w:rPr>
          <w:i/>
        </w:rPr>
        <w:fldChar w:fldCharType="end"/>
      </w:r>
      <w:r>
        <w:t>. I</w:t>
      </w:r>
      <w:r w:rsidRPr="00273106">
        <w:t xml:space="preserve">ndividuace intelektu </w:t>
      </w:r>
      <w:r>
        <w:t xml:space="preserve">je nesmysl, protože individuum není existující osoba, ale jen abstraktní koncept daný v mysli. A koncepty </w:t>
      </w:r>
      <w:r w:rsidR="08A04BAA">
        <w:t>nemyslí, protože nemají jak. O</w:t>
      </w:r>
      <w:r>
        <w:t xml:space="preserve">ddělený substanční intelekt </w:t>
      </w:r>
      <w:r>
        <w:lastRenderedPageBreak/>
        <w:t xml:space="preserve">kosmických inteligencí nemá žádnou </w:t>
      </w:r>
      <w:r w:rsidRPr="00273106">
        <w:t>materi</w:t>
      </w:r>
      <w:r>
        <w:t xml:space="preserve">i. </w:t>
      </w:r>
      <w:r w:rsidR="08A04BAA">
        <w:t xml:space="preserve">Jenže tento typ intelektu je zcela mimo lidskou existenci. </w:t>
      </w:r>
      <w:r>
        <w:t xml:space="preserve">Takový intelekt v člověku by </w:t>
      </w:r>
      <w:r w:rsidRPr="00273106">
        <w:t xml:space="preserve">byl karteziánsky oddělenou aktuální substancí </w:t>
      </w:r>
      <w:r w:rsidRPr="00E33152">
        <w:t>(</w:t>
      </w:r>
      <w:r w:rsidRPr="00273106">
        <w:rPr>
          <w:i/>
        </w:rPr>
        <w:t>hoc aliquid</w:t>
      </w:r>
      <w:r>
        <w:rPr>
          <w:i/>
        </w:rPr>
        <w:fldChar w:fldCharType="begin"/>
      </w:r>
      <w:r>
        <w:instrText xml:space="preserve"> XE "</w:instrText>
      </w:r>
      <w:r w:rsidRPr="006B0AC6">
        <w:rPr>
          <w:rStyle w:val="FontStyle129"/>
          <w:i/>
          <w:sz w:val="24"/>
        </w:rPr>
        <w:instrText>hoc aliquid:</w:instrText>
      </w:r>
      <w:r w:rsidRPr="003F7598">
        <w:rPr>
          <w:rStyle w:val="FontStyle129"/>
          <w:sz w:val="24"/>
        </w:rPr>
        <w:instrText>intelekt</w:instrText>
      </w:r>
      <w:r>
        <w:instrText xml:space="preserve">" </w:instrText>
      </w:r>
      <w:r>
        <w:rPr>
          <w:i/>
        </w:rPr>
        <w:fldChar w:fldCharType="end"/>
      </w:r>
      <w:r w:rsidRPr="00273106">
        <w:t xml:space="preserve">, </w:t>
      </w:r>
      <w:r w:rsidRPr="00273106">
        <w:rPr>
          <w:i/>
        </w:rPr>
        <w:t>res cogitans</w:t>
      </w:r>
      <w:r>
        <w:rPr>
          <w:i/>
        </w:rPr>
        <w:fldChar w:fldCharType="begin"/>
      </w:r>
      <w:r>
        <w:instrText xml:space="preserve"> XE "</w:instrText>
      </w:r>
      <w:r w:rsidRPr="003F49D8">
        <w:rPr>
          <w:i/>
        </w:rPr>
        <w:instrText>res cogitans</w:instrText>
      </w:r>
      <w:r>
        <w:instrText xml:space="preserve">" </w:instrText>
      </w:r>
      <w:r>
        <w:rPr>
          <w:i/>
        </w:rPr>
        <w:fldChar w:fldCharType="end"/>
      </w:r>
      <w:r w:rsidRPr="00273106">
        <w:t>). Intelekt avicennistů a karteziánců je substančně oddělený a je individualizo</w:t>
      </w:r>
      <w:r>
        <w:t xml:space="preserve">vaný skrze materiální akty těla, k nimž se připojuje zvnějšku v modu avicennistického </w:t>
      </w:r>
      <w:r>
        <w:rPr>
          <w:i/>
        </w:rPr>
        <w:t>coniunctio</w:t>
      </w:r>
      <w:r>
        <w:t xml:space="preserve"> nebo porretánského </w:t>
      </w:r>
      <w:r w:rsidRPr="086B746D">
        <w:rPr>
          <w:i/>
        </w:rPr>
        <w:t>colligatio</w:t>
      </w:r>
      <w:r>
        <w:t xml:space="preserve">. </w:t>
      </w:r>
      <w:r w:rsidRPr="00273106">
        <w:t xml:space="preserve">Siger připomíná, že jakákoliv vazba materiálně individualizovaného intelektu na tělo představuje </w:t>
      </w:r>
      <w:r>
        <w:t xml:space="preserve">chybné </w:t>
      </w:r>
      <w:r w:rsidRPr="00273106">
        <w:t xml:space="preserve">učení Avicenny, které odmítl </w:t>
      </w:r>
      <w:r>
        <w:t>Averroes</w:t>
      </w:r>
      <w:r w:rsidRPr="00273106">
        <w:t>.</w:t>
      </w:r>
      <w:r>
        <w:rPr>
          <w:rStyle w:val="Znakapoznpodarou"/>
        </w:rPr>
        <w:footnoteReference w:id="223"/>
      </w:r>
      <w:r>
        <w:t xml:space="preserve"> </w:t>
      </w:r>
      <w:r w:rsidRPr="00273106">
        <w:t>Traktát zása</w:t>
      </w:r>
      <w:r>
        <w:t xml:space="preserve">dně odmítl společně s </w:t>
      </w:r>
      <w:proofErr w:type="gramStart"/>
      <w:r>
        <w:t>Akvinským</w:t>
      </w:r>
      <w:proofErr w:type="gramEnd"/>
      <w:r>
        <w:t xml:space="preserve">, </w:t>
      </w:r>
      <w:r w:rsidRPr="00273106">
        <w:t>Albe</w:t>
      </w:r>
      <w:r>
        <w:t xml:space="preserve">rtem a Aegidiem </w:t>
      </w:r>
      <w:r w:rsidR="00351918">
        <w:t xml:space="preserve">jako autorem </w:t>
      </w:r>
      <w:r w:rsidR="00351918" w:rsidRPr="00351918">
        <w:rPr>
          <w:i/>
        </w:rPr>
        <w:t xml:space="preserve">Anonymus </w:t>
      </w:r>
      <w:r w:rsidRPr="00351918">
        <w:rPr>
          <w:i/>
        </w:rPr>
        <w:t>Bazán</w:t>
      </w:r>
      <w:r>
        <w:t xml:space="preserve"> chybné řešení druhého averroismu. Modernisté </w:t>
      </w:r>
      <w:r w:rsidRPr="00273106">
        <w:t>přidal</w:t>
      </w:r>
      <w:r>
        <w:t>i</w:t>
      </w:r>
      <w:r w:rsidRPr="00273106">
        <w:t xml:space="preserve"> k intelektu a k duši </w:t>
      </w:r>
      <w:r>
        <w:t>spirituální materii</w:t>
      </w:r>
      <w:r w:rsidRPr="00273106">
        <w:t xml:space="preserve"> a tak vytvořil</w:t>
      </w:r>
      <w:r>
        <w:t>i</w:t>
      </w:r>
      <w:r w:rsidRPr="00273106">
        <w:t xml:space="preserve"> objektivní hylemorfickou substanci</w:t>
      </w:r>
      <w:r>
        <w:t>, ke které nakonec přičetli také numerickou individualizaci</w:t>
      </w:r>
      <w:r w:rsidRPr="00273106">
        <w:t xml:space="preserve">. Individuace intelektu podle Aristotela a </w:t>
      </w:r>
      <w:r>
        <w:t>Averroes</w:t>
      </w:r>
      <w:r w:rsidRPr="00273106">
        <w:t>e musí probíhat jinak, viz výše uvedená fenomenologie výkonu existence</w:t>
      </w:r>
      <w:r>
        <w:t xml:space="preserve"> ve druhé a ve čtvrté kvestii v modu </w:t>
      </w:r>
      <w:r w:rsidRPr="08407994">
        <w:rPr>
          <w:i/>
        </w:rPr>
        <w:t>subiective</w:t>
      </w:r>
      <w:r w:rsidRPr="00273106">
        <w:t>. Nemateriálnost zaručuje jednotu intelektu pouze podobnou substanci</w:t>
      </w:r>
      <w:r>
        <w:t xml:space="preserve"> v modu </w:t>
      </w:r>
      <w:r w:rsidR="00D76427">
        <w:t>„</w:t>
      </w:r>
      <w:r w:rsidRPr="00273106">
        <w:rPr>
          <w:i/>
        </w:rPr>
        <w:t>quodammodo</w:t>
      </w:r>
      <w:r w:rsidR="00D76427">
        <w:t>“</w:t>
      </w:r>
      <w:r w:rsidRPr="00273106">
        <w:t xml:space="preserve">, viz citát </w:t>
      </w:r>
      <w:r>
        <w:t xml:space="preserve">podaný </w:t>
      </w:r>
      <w:r w:rsidRPr="00273106">
        <w:t>výše (</w:t>
      </w:r>
      <w:r w:rsidRPr="00273106">
        <w:rPr>
          <w:i/>
        </w:rPr>
        <w:t>intellectus noster est quodammodo sicut aliquid compositum ex materia et forma</w:t>
      </w:r>
      <w:r>
        <w:rPr>
          <w:i/>
        </w:rPr>
        <w:t xml:space="preserve">; </w:t>
      </w:r>
      <w:r>
        <w:t>QIIIDA, q. 4</w:t>
      </w:r>
      <w:r w:rsidRPr="00273106">
        <w:t xml:space="preserve">). Intelekt tvoří čistou nemateriální potenci duše jako oživující formy těla. Důkazem je naše vlastní duševní činnost, v níž akt </w:t>
      </w:r>
      <w:proofErr w:type="gramStart"/>
      <w:r w:rsidR="00D76427">
        <w:t xml:space="preserve">osobního </w:t>
      </w:r>
      <w:r w:rsidRPr="00273106">
        <w:t xml:space="preserve"> myšlení</w:t>
      </w:r>
      <w:proofErr w:type="gramEnd"/>
      <w:r w:rsidRPr="00273106">
        <w:t xml:space="preserve"> vytváří univerzální myšlenkové obsahy</w:t>
      </w:r>
      <w:r>
        <w:t xml:space="preserve"> (</w:t>
      </w:r>
      <w:r w:rsidRPr="0021131B">
        <w:rPr>
          <w:i/>
        </w:rPr>
        <w:t>ex quo intentionum imaginatarum est una ratio</w:t>
      </w:r>
      <w:r>
        <w:t>)</w:t>
      </w:r>
      <w:r w:rsidRPr="00273106">
        <w:t>.</w:t>
      </w:r>
      <w:r w:rsidRPr="00273106">
        <w:rPr>
          <w:rStyle w:val="Znakapoznpodarou"/>
        </w:rPr>
        <w:footnoteReference w:id="224"/>
      </w:r>
      <w:r w:rsidRPr="00273106">
        <w:t xml:space="preserve"> Další část devát</w:t>
      </w:r>
      <w:r>
        <w:t xml:space="preserve">é kvestie proto odmítá zkoumat </w:t>
      </w:r>
      <w:r w:rsidRPr="00273106">
        <w:t xml:space="preserve">intelekt jako </w:t>
      </w:r>
      <w:r>
        <w:t xml:space="preserve">substanci nebo hypostázovanou formu, což provedl </w:t>
      </w:r>
      <w:r w:rsidRPr="00273106">
        <w:t>Akvinský</w:t>
      </w:r>
      <w:r>
        <w:t xml:space="preserve"> za prvního pařížského pobytu a později v </w:t>
      </w:r>
      <w:proofErr w:type="gramStart"/>
      <w:r w:rsidRPr="00BD2FAA">
        <w:rPr>
          <w:i/>
        </w:rPr>
        <w:t>De</w:t>
      </w:r>
      <w:proofErr w:type="gramEnd"/>
      <w:r w:rsidRPr="00BD2FAA">
        <w:rPr>
          <w:i/>
        </w:rPr>
        <w:t xml:space="preserve"> unitate</w:t>
      </w:r>
      <w:r>
        <w:rPr>
          <w:i/>
        </w:rPr>
        <w:t xml:space="preserve"> intellectus</w:t>
      </w:r>
      <w:r w:rsidRPr="00273106">
        <w:t>. Siger se musí vrátit ke klíčovému fenomenol</w:t>
      </w:r>
      <w:r>
        <w:t xml:space="preserve">ogickému principu </w:t>
      </w:r>
      <w:r w:rsidRPr="006A1CCF">
        <w:rPr>
          <w:i/>
        </w:rPr>
        <w:t>similiter</w:t>
      </w:r>
      <w:r>
        <w:t xml:space="preserve"> či </w:t>
      </w:r>
      <w:r w:rsidRPr="007F5CE8">
        <w:rPr>
          <w:i/>
        </w:rPr>
        <w:t>consimile</w:t>
      </w:r>
      <w:r>
        <w:t xml:space="preserve">  danému v CMDA. Výkon </w:t>
      </w:r>
      <w:r w:rsidRPr="00273106">
        <w:t>intelektu</w:t>
      </w:r>
      <w:r>
        <w:t xml:space="preserve"> </w:t>
      </w:r>
      <w:r w:rsidRPr="00273106">
        <w:t>j</w:t>
      </w:r>
      <w:r>
        <w:t>e dán</w:t>
      </w:r>
      <w:r w:rsidRPr="00273106">
        <w:t xml:space="preserve"> </w:t>
      </w:r>
      <w:r w:rsidRPr="00273106">
        <w:rPr>
          <w:i/>
        </w:rPr>
        <w:t>per prius</w:t>
      </w:r>
      <w:r w:rsidRPr="00273106">
        <w:t xml:space="preserve">, jeho </w:t>
      </w:r>
      <w:r>
        <w:t xml:space="preserve">esenci </w:t>
      </w:r>
      <w:r w:rsidRPr="00273106">
        <w:t>poznáváme</w:t>
      </w:r>
      <w:r w:rsidRPr="00273106">
        <w:rPr>
          <w:i/>
        </w:rPr>
        <w:t xml:space="preserve"> per posterius</w:t>
      </w:r>
      <w:r w:rsidRPr="00273106">
        <w:t xml:space="preserve">. Siger začíná </w:t>
      </w:r>
      <w:r w:rsidRPr="00273106">
        <w:rPr>
          <w:rFonts w:eastAsia="Times New Roman" w:cs="Calibri"/>
          <w:color w:val="000000"/>
          <w:szCs w:val="24"/>
        </w:rPr>
        <w:t>u specifického aktu intelektuálního poznání, které je odděleno od poznání smyslů.</w:t>
      </w:r>
      <w:r w:rsidRPr="00766C05">
        <w:t xml:space="preserve"> </w:t>
      </w:r>
      <w:r w:rsidRPr="00273106">
        <w:t>Znovu se rozlišuje</w:t>
      </w:r>
      <w:r>
        <w:t xml:space="preserve"> dvojí fenomenologický způsob, </w:t>
      </w:r>
      <w:r w:rsidRPr="00273106">
        <w:t>j</w:t>
      </w:r>
      <w:r>
        <w:t>ak</w:t>
      </w:r>
      <w:r w:rsidRPr="00273106">
        <w:t xml:space="preserve"> poznáváme.</w:t>
      </w:r>
    </w:p>
    <w:p w:rsidR="08163013" w:rsidRPr="00E6705A" w:rsidRDefault="08163013" w:rsidP="08163013">
      <w:pPr>
        <w:pStyle w:val="Citace"/>
        <w:rPr>
          <w:noProof/>
          <w:lang w:val="cs-CZ"/>
        </w:rPr>
      </w:pPr>
      <w:r w:rsidRPr="00273106">
        <w:rPr>
          <w:noProof/>
        </w:rPr>
        <w:t>„</w:t>
      </w:r>
      <w:r>
        <w:rPr>
          <w:noProof/>
          <w:lang w:val="cs-CZ"/>
        </w:rPr>
        <w:t>Smysly jsou s námi spojeny skrze tu část osoby, která je materií. Ale intelekt se s námi spojuje skrze tu část osoby, která je formou. A protože smysly jsou s námi materiálně spojeny, pak také je s námi spojeno i to, co je smysly zakoušeno. Ale tak to není v případě intelektu, ale právě naopak. Není to tak, že by se s námi s námi spojoval intelekt (</w:t>
      </w:r>
      <w:r w:rsidRPr="08B6284D">
        <w:rPr>
          <w:i/>
          <w:noProof/>
        </w:rPr>
        <w:t>non enim per hoc quod intellectus copulatur nobis</w:t>
      </w:r>
      <w:r>
        <w:rPr>
          <w:noProof/>
          <w:lang w:val="cs-CZ"/>
        </w:rPr>
        <w:t xml:space="preserve">) nebo </w:t>
      </w:r>
      <w:r>
        <w:rPr>
          <w:noProof/>
          <w:lang w:val="cs-CZ"/>
        </w:rPr>
        <w:lastRenderedPageBreak/>
        <w:t>externě daná inteligibilia, ale proto, že my sami jsme spojeni s obsahy myšlení (</w:t>
      </w:r>
      <w:r w:rsidRPr="006A1CCF">
        <w:rPr>
          <w:i/>
          <w:noProof/>
        </w:rPr>
        <w:t>sed quia intellecta copulantur nobis</w:t>
      </w:r>
      <w:r>
        <w:rPr>
          <w:noProof/>
          <w:lang w:val="cs-CZ"/>
        </w:rPr>
        <w:t xml:space="preserve">).“ </w:t>
      </w:r>
      <w:r>
        <w:rPr>
          <w:rStyle w:val="Znakapoznpodarou"/>
          <w:lang w:val="cs-CZ"/>
        </w:rPr>
        <w:footnoteReference w:id="225"/>
      </w:r>
    </w:p>
    <w:p w:rsidR="08163013" w:rsidRDefault="08163013" w:rsidP="08163013">
      <w:r w:rsidRPr="00273106">
        <w:t>Smyslové poznání je dáno substančně, protože probíhá v těle jako materiálním substrátu (</w:t>
      </w:r>
      <w:r w:rsidRPr="00273106">
        <w:rPr>
          <w:i/>
          <w:lang w:eastAsia="en-US"/>
        </w:rPr>
        <w:t>sensus enim copulatur nobis per partem eius quae est materia</w:t>
      </w:r>
      <w:r w:rsidRPr="00273106">
        <w:t xml:space="preserve">). </w:t>
      </w:r>
      <w:r>
        <w:t xml:space="preserve">Orgány smyslů jsou lokalizovatelné v těle jako subjektu smyslového poznání. </w:t>
      </w:r>
      <w:r w:rsidRPr="00273106">
        <w:t xml:space="preserve">Oddělený </w:t>
      </w:r>
      <w:r>
        <w:t xml:space="preserve">nemateriální </w:t>
      </w:r>
      <w:r w:rsidRPr="00273106">
        <w:t>intelekt je spojen s tělesným výkonem pouze formálně (</w:t>
      </w:r>
      <w:r w:rsidRPr="00273106">
        <w:rPr>
          <w:i/>
          <w:lang w:eastAsia="en-US"/>
        </w:rPr>
        <w:t>per partem eius quae est forma</w:t>
      </w:r>
      <w:r w:rsidRPr="00273106">
        <w:t>). Způsob spojení smyslů s tělem</w:t>
      </w:r>
      <w:r>
        <w:t xml:space="preserve"> a intelektu s tělem není daný v modu kopulace, protože je dán v modu </w:t>
      </w:r>
      <w:r w:rsidRPr="08BE5543">
        <w:rPr>
          <w:i/>
        </w:rPr>
        <w:t>subi</w:t>
      </w:r>
      <w:r>
        <w:rPr>
          <w:i/>
        </w:rPr>
        <w:t>e</w:t>
      </w:r>
      <w:r w:rsidRPr="08BE5543">
        <w:rPr>
          <w:i/>
        </w:rPr>
        <w:t>ctive</w:t>
      </w:r>
      <w:r>
        <w:t xml:space="preserve"> a </w:t>
      </w:r>
      <w:r w:rsidRPr="08BE5543">
        <w:rPr>
          <w:i/>
        </w:rPr>
        <w:t>obiective</w:t>
      </w:r>
      <w:r w:rsidRPr="00273106">
        <w:t>. Proto existuje i</w:t>
      </w:r>
      <w:r>
        <w:t xml:space="preserve"> dvojí způsob, </w:t>
      </w:r>
      <w:r w:rsidRPr="00273106">
        <w:t>jak poznáváme. Smyslové poznání je přímo vázáno na tělo</w:t>
      </w:r>
      <w:r>
        <w:t xml:space="preserve"> (</w:t>
      </w:r>
      <w:r w:rsidRPr="00273106">
        <w:rPr>
          <w:i/>
        </w:rPr>
        <w:t>quia sensus copulatur nobis</w:t>
      </w:r>
      <w:r>
        <w:t>)</w:t>
      </w:r>
      <w:r w:rsidRPr="00273106">
        <w:t xml:space="preserve">, a tím je individualizováno </w:t>
      </w:r>
      <w:r>
        <w:t xml:space="preserve">z hlediska smyslových </w:t>
      </w:r>
      <w:r w:rsidR="00962190">
        <w:rPr>
          <w:i/>
        </w:rPr>
        <w:t>species</w:t>
      </w:r>
      <w:r w:rsidRPr="00273106">
        <w:t xml:space="preserve"> (</w:t>
      </w:r>
      <w:r w:rsidRPr="00273106">
        <w:rPr>
          <w:i/>
        </w:rPr>
        <w:t>ideo sensata copulantur nobis</w:t>
      </w:r>
      <w:r>
        <w:t xml:space="preserve">). </w:t>
      </w:r>
      <w:r w:rsidRPr="00273106">
        <w:t xml:space="preserve">Nemateriální intelekt nemůže mít stejnou formu </w:t>
      </w:r>
      <w:r>
        <w:t xml:space="preserve">numerické </w:t>
      </w:r>
      <w:r w:rsidRPr="00273106">
        <w:t>individuace jako smysly, proto musíme postupovat opačně (</w:t>
      </w:r>
      <w:r w:rsidRPr="00273106">
        <w:rPr>
          <w:i/>
        </w:rPr>
        <w:t>non sic de intellectu, sed e converso</w:t>
      </w:r>
      <w:r w:rsidRPr="00273106">
        <w:t xml:space="preserve">). Intelekt </w:t>
      </w:r>
      <w:r>
        <w:t xml:space="preserve">poznává tělo jako objekt. Proto </w:t>
      </w:r>
      <w:r w:rsidRPr="00273106">
        <w:t>není dán jako nějaká kvazi-substance nebo výkon smyslů pracující skrze orgán daný na tělesném substrátu (</w:t>
      </w:r>
      <w:r w:rsidRPr="00273106">
        <w:rPr>
          <w:i/>
        </w:rPr>
        <w:t>non enim per hoc quod intellectus copulatur nobis</w:t>
      </w:r>
      <w:r w:rsidRPr="00273106">
        <w:t xml:space="preserve">). </w:t>
      </w:r>
      <w:r>
        <w:t xml:space="preserve">Siger není moderní averroista a proto nemá žádnou formu kopulace vnějšího intelektu s poznávající osobou. </w:t>
      </w:r>
      <w:r w:rsidRPr="00273106">
        <w:t xml:space="preserve">Fenomenologický </w:t>
      </w:r>
      <w:r>
        <w:t xml:space="preserve">a vědecký </w:t>
      </w:r>
      <w:r w:rsidRPr="00273106">
        <w:t xml:space="preserve">přístup </w:t>
      </w:r>
      <w:r w:rsidRPr="0823646E">
        <w:rPr>
          <w:i/>
        </w:rPr>
        <w:t>Druhých analytik</w:t>
      </w:r>
      <w:r>
        <w:t xml:space="preserve"> </w:t>
      </w:r>
      <w:r w:rsidRPr="00273106">
        <w:t xml:space="preserve">velí postupovat od </w:t>
      </w:r>
      <w:r>
        <w:t xml:space="preserve">reálných </w:t>
      </w:r>
      <w:r w:rsidRPr="00273106">
        <w:t>účinků k </w:t>
      </w:r>
      <w:r>
        <w:t xml:space="preserve">reálným </w:t>
      </w:r>
      <w:r w:rsidRPr="00273106">
        <w:t>příčinám</w:t>
      </w:r>
      <w:r>
        <w:t>, a pak teprve univerzálně definovat esenci</w:t>
      </w:r>
      <w:r w:rsidRPr="00273106">
        <w:t>. Fenomenologie aktu myšl</w:t>
      </w:r>
      <w:r>
        <w:t>ení upozorňuje všechny moderní a</w:t>
      </w:r>
      <w:r w:rsidRPr="00273106">
        <w:t xml:space="preserve">lexandrovce, že se s námi nespojuje nějaký </w:t>
      </w:r>
      <w:r>
        <w:t>hypostázovaný intelekt</w:t>
      </w:r>
      <w:r w:rsidRPr="00273106">
        <w:t xml:space="preserve"> </w:t>
      </w:r>
      <w:r>
        <w:t>jako jsoucno třetího druhu, nebo nějaké kosmické eidetické formy. V</w:t>
      </w:r>
      <w:r w:rsidRPr="00273106">
        <w:t xml:space="preserve">nímáme akty myšlení </w:t>
      </w:r>
      <w:r>
        <w:t xml:space="preserve">jako naše vlastní, protože jen ty zakoušíme přímo a tedy subjektivně </w:t>
      </w:r>
      <w:r w:rsidRPr="00273106">
        <w:t>(</w:t>
      </w:r>
      <w:r w:rsidRPr="00273106">
        <w:rPr>
          <w:i/>
        </w:rPr>
        <w:t>non quod intellectus copulatur nobis</w:t>
      </w:r>
      <w:r>
        <w:t>). Pak jsme s nimi spojeni</w:t>
      </w:r>
      <w:r w:rsidRPr="00273106">
        <w:t xml:space="preserve"> </w:t>
      </w:r>
      <w:r>
        <w:t xml:space="preserve">objektivně jako s předmětnými obsahy myšlení </w:t>
      </w:r>
      <w:r w:rsidRPr="00273106">
        <w:t>(</w:t>
      </w:r>
      <w:r w:rsidRPr="00273106">
        <w:rPr>
          <w:i/>
        </w:rPr>
        <w:t>intellecta copulantur nobis</w:t>
      </w:r>
      <w:r>
        <w:t xml:space="preserve">). </w:t>
      </w:r>
      <w:r w:rsidRPr="00273106">
        <w:t xml:space="preserve">Citovaná část </w:t>
      </w:r>
      <w:r>
        <w:t xml:space="preserve">ohledně spojení s poznanými obsahy myšlení </w:t>
      </w:r>
      <w:r w:rsidRPr="00273106">
        <w:t xml:space="preserve">je klíčová a zůstala po stalení nepochopena. </w:t>
      </w:r>
      <w:r>
        <w:t>Intelekt s námi nemůže mytopoeticky kopulovat, protože není substance a je s námi spojen existenciálně (</w:t>
      </w:r>
      <w:r w:rsidRPr="08EF5054">
        <w:rPr>
          <w:i/>
        </w:rPr>
        <w:t>subiective</w:t>
      </w:r>
      <w:r w:rsidR="08094606">
        <w:rPr>
          <w:i/>
        </w:rPr>
        <w:t xml:space="preserve">, tertium </w:t>
      </w:r>
      <w:r w:rsidR="00962190">
        <w:rPr>
          <w:i/>
        </w:rPr>
        <w:t>genus</w:t>
      </w:r>
      <w:r>
        <w:t xml:space="preserve">). Intelekt existuje pouze v aktu </w:t>
      </w:r>
      <w:r w:rsidR="00405D17">
        <w:t>„</w:t>
      </w:r>
      <w:r w:rsidRPr="08656553">
        <w:rPr>
          <w:i/>
        </w:rPr>
        <w:t>ipse homo intelligit</w:t>
      </w:r>
      <w:r w:rsidR="00405D17">
        <w:t>“</w:t>
      </w:r>
      <w:r>
        <w:t xml:space="preserve">, což nebyli a </w:t>
      </w:r>
      <w:r w:rsidR="00405D17">
        <w:t xml:space="preserve">dosud </w:t>
      </w:r>
      <w:r>
        <w:t>nejsou schopni pochopit kritikové Sigera. V externím modu vnímáme pouze inteligibilia jako poznané předmětnosti (</w:t>
      </w:r>
      <w:r w:rsidRPr="0823646E">
        <w:rPr>
          <w:i/>
        </w:rPr>
        <w:t>obiective</w:t>
      </w:r>
      <w:r w:rsidR="08FA2CB8">
        <w:t xml:space="preserve">), protože je </w:t>
      </w:r>
      <w:r w:rsidR="08200E38">
        <w:t xml:space="preserve">vnímáme </w:t>
      </w:r>
      <w:r>
        <w:t xml:space="preserve">jako výsledek našeho </w:t>
      </w:r>
      <w:r w:rsidR="08EA6605">
        <w:t xml:space="preserve">existenciálně zakoušeného </w:t>
      </w:r>
      <w:r>
        <w:t>poznávacího aktu</w:t>
      </w:r>
      <w:r w:rsidR="08EA6605">
        <w:t xml:space="preserve"> </w:t>
      </w:r>
      <w:r w:rsidR="08EA6605" w:rsidRPr="081942A4">
        <w:rPr>
          <w:szCs w:val="24"/>
        </w:rPr>
        <w:lastRenderedPageBreak/>
        <w:t>(</w:t>
      </w:r>
      <w:r w:rsidR="08EA6605" w:rsidRPr="081942A4">
        <w:rPr>
          <w:i/>
          <w:szCs w:val="24"/>
        </w:rPr>
        <w:t>subiective</w:t>
      </w:r>
      <w:r w:rsidR="08EA6605" w:rsidRPr="081942A4">
        <w:rPr>
          <w:szCs w:val="24"/>
        </w:rPr>
        <w:t>)</w:t>
      </w:r>
      <w:r>
        <w:t xml:space="preserve">. V modu </w:t>
      </w:r>
      <w:r w:rsidR="00D71D5F">
        <w:t>„</w:t>
      </w:r>
      <w:r w:rsidRPr="086405C1">
        <w:rPr>
          <w:i/>
        </w:rPr>
        <w:t>copulatur</w:t>
      </w:r>
      <w:r w:rsidR="00D71D5F">
        <w:t>“</w:t>
      </w:r>
      <w:r>
        <w:t xml:space="preserve"> jsou s námi spojena pouze </w:t>
      </w:r>
      <w:r w:rsidR="00D71D5F">
        <w:t>„</w:t>
      </w:r>
      <w:r w:rsidRPr="086405C1">
        <w:rPr>
          <w:i/>
        </w:rPr>
        <w:t>intellecta</w:t>
      </w:r>
      <w:r w:rsidR="00D71D5F">
        <w:t>“</w:t>
      </w:r>
      <w:r>
        <w:t xml:space="preserve"> jako produkty myšlení, a nikoliv samotný </w:t>
      </w:r>
      <w:r w:rsidR="00D71D5F">
        <w:t>„</w:t>
      </w:r>
      <w:r w:rsidRPr="086405C1">
        <w:rPr>
          <w:i/>
        </w:rPr>
        <w:t>intellectus</w:t>
      </w:r>
      <w:r w:rsidR="00D71D5F">
        <w:t>“</w:t>
      </w:r>
      <w:r>
        <w:t xml:space="preserve">, který tvoří potenci duše. Brabantský magistr </w:t>
      </w:r>
      <w:r w:rsidRPr="00273106">
        <w:t>zásadně odmítá ideu, že by nějaký substanční intelekt byl spojen s tělem na způsob smyslového orgánu daného v těle.</w:t>
      </w:r>
      <w:r>
        <w:t xml:space="preserve"> </w:t>
      </w:r>
      <w:r w:rsidRPr="00273106">
        <w:t xml:space="preserve">Komentář k </w:t>
      </w:r>
      <w:proofErr w:type="gramStart"/>
      <w:r w:rsidRPr="00273106">
        <w:rPr>
          <w:i/>
        </w:rPr>
        <w:t>Liber</w:t>
      </w:r>
      <w:proofErr w:type="gramEnd"/>
      <w:r w:rsidRPr="00273106">
        <w:rPr>
          <w:i/>
        </w:rPr>
        <w:t xml:space="preserve"> de causis</w:t>
      </w:r>
      <w:r w:rsidRPr="00273106">
        <w:t>, p</w:t>
      </w:r>
      <w:r>
        <w:t xml:space="preserve">oslední Sigerovo známé dílo </w:t>
      </w:r>
      <w:r w:rsidRPr="00273106">
        <w:t>z let 1275‒76</w:t>
      </w:r>
      <w:r>
        <w:t>,</w:t>
      </w:r>
      <w:r w:rsidRPr="00273106">
        <w:t xml:space="preserve"> shrnuje Sigerův postoj k výkladu intelektu podle Komentátora</w:t>
      </w:r>
      <w:r>
        <w:t xml:space="preserve"> a z</w:t>
      </w:r>
      <w:r w:rsidRPr="00273106">
        <w:t>ásadně hájí princip ipseity člověka</w:t>
      </w:r>
      <w:r>
        <w:fldChar w:fldCharType="begin"/>
      </w:r>
      <w:r>
        <w:instrText xml:space="preserve"> XE "</w:instrText>
      </w:r>
      <w:r w:rsidRPr="00A91B55">
        <w:instrText>osoba:ipseita</w:instrText>
      </w:r>
      <w:r>
        <w:instrText xml:space="preserve">" </w:instrText>
      </w:r>
      <w:r>
        <w:fldChar w:fldCharType="end"/>
      </w:r>
      <w:r w:rsidRPr="00273106">
        <w:t xml:space="preserve">. </w:t>
      </w:r>
      <w:r>
        <w:t>D</w:t>
      </w:r>
      <w:r w:rsidRPr="00273106">
        <w:t xml:space="preserve">iferenciace </w:t>
      </w:r>
      <w:r>
        <w:t xml:space="preserve">intelektu </w:t>
      </w:r>
      <w:r w:rsidRPr="00273106">
        <w:t xml:space="preserve">nemůže být dána pouze materií, protože tím by vznikla pouhá identita osoby. Člověk je sám sebou díky jedinečnému výkonu intelektuálně dané a zakoušené existenci, což je jiná diferenciace, než skrze esenciálně danou intelektuální formu či skrze </w:t>
      </w:r>
      <w:r w:rsidR="00962190">
        <w:rPr>
          <w:i/>
        </w:rPr>
        <w:t>species</w:t>
      </w:r>
      <w:r w:rsidRPr="00273106">
        <w:rPr>
          <w:i/>
        </w:rPr>
        <w:t xml:space="preserve"> intellig</w:t>
      </w:r>
      <w:r>
        <w:rPr>
          <w:i/>
        </w:rPr>
        <w:t>i</w:t>
      </w:r>
      <w:r w:rsidRPr="00273106">
        <w:rPr>
          <w:i/>
        </w:rPr>
        <w:t>bilis</w:t>
      </w:r>
      <w:r w:rsidRPr="00273106">
        <w:t>.</w:t>
      </w:r>
      <w:r>
        <w:t xml:space="preserve"> Všechny tyto zbytky avicennismu nemohou obstát po důkladné četbě </w:t>
      </w:r>
      <w:r w:rsidRPr="085F5039">
        <w:rPr>
          <w:i/>
        </w:rPr>
        <w:t>De anima</w:t>
      </w:r>
      <w:r>
        <w:t xml:space="preserve"> podle CMDA. Odmítnutí spekulací o numerické jednotě či pluralitě intelektu obsahuje tato pasáž</w:t>
      </w:r>
      <w:r w:rsidRPr="086F7022">
        <w:rPr>
          <w:i/>
        </w:rPr>
        <w:t xml:space="preserve"> </w:t>
      </w:r>
      <w:r>
        <w:rPr>
          <w:i/>
        </w:rPr>
        <w:t>Quaestiones</w:t>
      </w:r>
      <w:r w:rsidRPr="003447C4">
        <w:rPr>
          <w:i/>
        </w:rPr>
        <w:t xml:space="preserve"> super Librum de causis</w:t>
      </w:r>
      <w:r>
        <w:t>.</w:t>
      </w:r>
    </w:p>
    <w:p w:rsidR="08163013" w:rsidRPr="083C6A4E" w:rsidRDefault="08163013" w:rsidP="08163013">
      <w:pPr>
        <w:pStyle w:val="Citace"/>
      </w:pPr>
      <w:r>
        <w:t>„</w:t>
      </w:r>
      <w:r>
        <w:rPr>
          <w:lang w:val="cs-CZ"/>
        </w:rPr>
        <w:t xml:space="preserve">Kdyby se lidský intelekt dělil podle individuálních těl, byl by individualizovaný podle materie. Jak bylo řečeno výše, rozdíl v numerickém počtu forem v rámci jedné </w:t>
      </w:r>
      <w:r w:rsidR="00962190">
        <w:rPr>
          <w:i/>
          <w:lang w:val="cs-CZ"/>
        </w:rPr>
        <w:t>species</w:t>
      </w:r>
      <w:r>
        <w:rPr>
          <w:lang w:val="cs-CZ"/>
        </w:rPr>
        <w:t xml:space="preserve"> je daný pouze skrze individuální materii (</w:t>
      </w:r>
      <w:r w:rsidRPr="009E4099">
        <w:rPr>
          <w:i/>
        </w:rPr>
        <w:t>in formis per materiam individuatis</w:t>
      </w:r>
      <w:r>
        <w:rPr>
          <w:lang w:val="cs-CZ"/>
        </w:rPr>
        <w:t xml:space="preserve">). Pak ale </w:t>
      </w:r>
      <w:r w:rsidR="0098403B">
        <w:rPr>
          <w:lang w:val="cs-CZ"/>
        </w:rPr>
        <w:t xml:space="preserve">v </w:t>
      </w:r>
      <w:r>
        <w:rPr>
          <w:lang w:val="cs-CZ"/>
        </w:rPr>
        <w:t xml:space="preserve">takto </w:t>
      </w:r>
      <w:r w:rsidR="0098403B">
        <w:rPr>
          <w:lang w:val="cs-CZ"/>
        </w:rPr>
        <w:t xml:space="preserve">daném receptivním intelektu by </w:t>
      </w:r>
      <w:r>
        <w:rPr>
          <w:lang w:val="cs-CZ"/>
        </w:rPr>
        <w:t xml:space="preserve">inteligibilní </w:t>
      </w:r>
      <w:r w:rsidR="00962190" w:rsidRPr="0098403B">
        <w:rPr>
          <w:lang w:val="cs-CZ"/>
        </w:rPr>
        <w:t>species</w:t>
      </w:r>
      <w:r>
        <w:rPr>
          <w:lang w:val="cs-CZ"/>
        </w:rPr>
        <w:t xml:space="preserve"> nemohla být </w:t>
      </w:r>
      <w:r w:rsidR="0098403B">
        <w:rPr>
          <w:lang w:val="cs-CZ"/>
        </w:rPr>
        <w:t xml:space="preserve">nositelem </w:t>
      </w:r>
      <w:r>
        <w:rPr>
          <w:lang w:val="cs-CZ"/>
        </w:rPr>
        <w:t>univerzálního poznání, ale pouze poznání individuálního. Tím by se intelekt nelišil od smyslů nebo od imaginace. Všechna tato tvrzení jsou mylná, pokud tvrdí, že intelekt je individualizovaný podle jednotlivých lidských těl skrze materii a tím je numericky odlišný.“ </w:t>
      </w:r>
      <w:r w:rsidRPr="00273106">
        <w:rPr>
          <w:rStyle w:val="Znakapoznpodarou"/>
        </w:rPr>
        <w:footnoteReference w:id="226"/>
      </w:r>
    </w:p>
    <w:p w:rsidR="00636387" w:rsidRDefault="08163013" w:rsidP="08163013">
      <w:r>
        <w:t>Siger tím ukončil debatu s tehdejší a dnešní modernou o numerické jednotě či mnohosti intelektu. Osobně zakoušený intelekt není orgán těla ve smyslu lokalizované entity (</w:t>
      </w:r>
      <w:r w:rsidRPr="00B17CC6">
        <w:rPr>
          <w:i/>
        </w:rPr>
        <w:t>hoc aliquid</w:t>
      </w:r>
      <w:r>
        <w:t xml:space="preserve">), která by byla individualizovatelná pomocí nějaké materie nebo orgánu. </w:t>
      </w:r>
      <w:r w:rsidRPr="00273106">
        <w:t>Předešlá část ukázala, že výkon intelektu zahrnuje jak empirické poznání směrem od</w:t>
      </w:r>
      <w:r>
        <w:t xml:space="preserve"> materiálních</w:t>
      </w:r>
      <w:r w:rsidRPr="00273106">
        <w:t xml:space="preserve"> smyslů (</w:t>
      </w:r>
      <w:r w:rsidRPr="00273106">
        <w:rPr>
          <w:i/>
        </w:rPr>
        <w:t>experimur</w:t>
      </w:r>
      <w:r w:rsidRPr="00273106">
        <w:t>), tak i spoluvědění (</w:t>
      </w:r>
      <w:r w:rsidRPr="00273106">
        <w:rPr>
          <w:i/>
        </w:rPr>
        <w:t>conscii sumus</w:t>
      </w:r>
      <w:r w:rsidRPr="00273106">
        <w:t>)</w:t>
      </w:r>
      <w:r>
        <w:t xml:space="preserve"> vlastního výkonu odděleného nemateriálního </w:t>
      </w:r>
      <w:r w:rsidRPr="00273106">
        <w:t xml:space="preserve">intelektu </w:t>
      </w:r>
      <w:r>
        <w:t xml:space="preserve">v modu </w:t>
      </w:r>
      <w:r w:rsidRPr="08373A0F">
        <w:rPr>
          <w:i/>
        </w:rPr>
        <w:t>separabilis</w:t>
      </w:r>
      <w:r w:rsidRPr="00273106">
        <w:t xml:space="preserve">. </w:t>
      </w:r>
      <w:r>
        <w:t>Dualita mezi subjektivně-smyslov</w:t>
      </w:r>
      <w:r w:rsidR="00424F4C">
        <w:t>ým zakoušením (</w:t>
      </w:r>
      <w:r w:rsidRPr="00016816">
        <w:rPr>
          <w:i/>
        </w:rPr>
        <w:t>experim</w:t>
      </w:r>
      <w:r>
        <w:rPr>
          <w:i/>
        </w:rPr>
        <w:t>ur</w:t>
      </w:r>
      <w:r w:rsidR="00424F4C">
        <w:t xml:space="preserve">) </w:t>
      </w:r>
      <w:r>
        <w:t>a objektivně-intelektuální</w:t>
      </w:r>
      <w:r w:rsidR="00424F4C">
        <w:t xml:space="preserve"> reflexí (</w:t>
      </w:r>
      <w:r w:rsidRPr="00016816">
        <w:rPr>
          <w:i/>
        </w:rPr>
        <w:t>consci</w:t>
      </w:r>
      <w:r>
        <w:rPr>
          <w:i/>
        </w:rPr>
        <w:t>i sumus</w:t>
      </w:r>
      <w:r w:rsidR="00424F4C">
        <w:t xml:space="preserve">) </w:t>
      </w:r>
      <w:r>
        <w:t>má zásadní charakter</w:t>
      </w:r>
      <w:r>
        <w:fldChar w:fldCharType="begin"/>
      </w:r>
      <w:r>
        <w:instrText xml:space="preserve"> XE "intelekt:</w:instrText>
      </w:r>
      <w:r w:rsidRPr="00D04010">
        <w:rPr>
          <w:i/>
        </w:rPr>
        <w:instrText>experimur</w:instrText>
      </w:r>
      <w:r w:rsidRPr="008D12CB">
        <w:instrText>/</w:instrText>
      </w:r>
      <w:r w:rsidRPr="00D04010">
        <w:rPr>
          <w:i/>
        </w:rPr>
        <w:instrText>cons</w:instrText>
      </w:r>
      <w:r>
        <w:rPr>
          <w:i/>
        </w:rPr>
        <w:instrText>c</w:instrText>
      </w:r>
      <w:r w:rsidRPr="00D04010">
        <w:rPr>
          <w:i/>
        </w:rPr>
        <w:instrText>ii sumus</w:instrText>
      </w:r>
      <w:r>
        <w:instrText xml:space="preserve">" </w:instrText>
      </w:r>
      <w:r>
        <w:fldChar w:fldCharType="end"/>
      </w:r>
      <w:r>
        <w:t xml:space="preserve">. </w:t>
      </w:r>
      <w:r w:rsidRPr="00273106">
        <w:t>Protože víme z osobní zkušenosti</w:t>
      </w:r>
      <w:r>
        <w:t xml:space="preserve">, </w:t>
      </w:r>
      <w:r w:rsidRPr="00273106">
        <w:t xml:space="preserve">jak v </w:t>
      </w:r>
      <w:r w:rsidRPr="00273106">
        <w:lastRenderedPageBreak/>
        <w:t>nás intelekt pracuje, p</w:t>
      </w:r>
      <w:r>
        <w:t xml:space="preserve">ak také </w:t>
      </w:r>
      <w:r w:rsidRPr="00273106">
        <w:t xml:space="preserve">obecně konstatujeme, </w:t>
      </w:r>
      <w:r>
        <w:t>„</w:t>
      </w:r>
      <w:r w:rsidRPr="00273106">
        <w:t>co</w:t>
      </w:r>
      <w:r>
        <w:t>“</w:t>
      </w:r>
      <w:r w:rsidRPr="00273106">
        <w:t xml:space="preserve"> je intelekt</w:t>
      </w:r>
      <w:r>
        <w:t xml:space="preserve"> jako nemateriální potence člověka definovaná v modu esence. Plurál </w:t>
      </w:r>
      <w:r w:rsidRPr="00273106">
        <w:rPr>
          <w:i/>
        </w:rPr>
        <w:t>conscii sumus</w:t>
      </w:r>
      <w:r w:rsidRPr="00273106">
        <w:t xml:space="preserve"> </w:t>
      </w:r>
      <w:r>
        <w:t xml:space="preserve">je na rozdíl od karteziánského </w:t>
      </w:r>
      <w:r w:rsidRPr="00273106">
        <w:rPr>
          <w:i/>
        </w:rPr>
        <w:t>cogito ergo sum</w:t>
      </w:r>
      <w:r>
        <w:rPr>
          <w:i/>
        </w:rPr>
        <w:fldChar w:fldCharType="begin"/>
      </w:r>
      <w:r>
        <w:instrText xml:space="preserve"> XE "</w:instrText>
      </w:r>
      <w:r w:rsidRPr="00B45955">
        <w:rPr>
          <w:i/>
        </w:rPr>
        <w:instrText>cogito</w:instrText>
      </w:r>
      <w:r w:rsidRPr="00B45955">
        <w:instrText xml:space="preserve"> </w:instrText>
      </w:r>
      <w:r w:rsidRPr="00B45955">
        <w:rPr>
          <w:i/>
        </w:rPr>
        <w:instrText>ergo sum</w:instrText>
      </w:r>
      <w:r>
        <w:instrText xml:space="preserve">" </w:instrText>
      </w:r>
      <w:r>
        <w:rPr>
          <w:i/>
        </w:rPr>
        <w:fldChar w:fldCharType="end"/>
      </w:r>
      <w:r w:rsidRPr="00273106">
        <w:t xml:space="preserve"> naprosto zásadní. Intelekt jako nemateriální schopnost duše je od</w:t>
      </w:r>
      <w:r>
        <w:t xml:space="preserve">dělený od smyslů. Tím je </w:t>
      </w:r>
      <w:r w:rsidRPr="00273106">
        <w:t xml:space="preserve">zcela jednotný a </w:t>
      </w:r>
      <w:r>
        <w:t>neseparovatelný díky své podstatě dané</w:t>
      </w:r>
      <w:r w:rsidRPr="00273106">
        <w:t xml:space="preserve"> </w:t>
      </w:r>
      <w:r>
        <w:t>jako trvalá a univerzální potencialita. Po realizaci obou mediací poznání daných tělesně a vědomě (</w:t>
      </w:r>
      <w:proofErr w:type="gramStart"/>
      <w:r w:rsidRPr="081B38D0">
        <w:rPr>
          <w:i/>
        </w:rPr>
        <w:t>experimur</w:t>
      </w:r>
      <w:r>
        <w:t>...</w:t>
      </w:r>
      <w:r w:rsidRPr="081B38D0">
        <w:rPr>
          <w:i/>
        </w:rPr>
        <w:t>conscii</w:t>
      </w:r>
      <w:proofErr w:type="gramEnd"/>
      <w:r>
        <w:t xml:space="preserve"> </w:t>
      </w:r>
      <w:r w:rsidRPr="081B38D0">
        <w:rPr>
          <w:i/>
        </w:rPr>
        <w:t>sumus</w:t>
      </w:r>
      <w:r>
        <w:t>) vznikne esenciální obecný závěr, kdy intelekt vystupuje v aktu sebereflexe (</w:t>
      </w:r>
      <w:r w:rsidRPr="081B38D0">
        <w:rPr>
          <w:i/>
        </w:rPr>
        <w:t>i</w:t>
      </w:r>
      <w:r w:rsidR="08936023">
        <w:rPr>
          <w:i/>
          <w:lang w:eastAsia="en-US"/>
        </w:rPr>
        <w:t>ntellec</w:t>
      </w:r>
      <w:r w:rsidRPr="081B38D0">
        <w:rPr>
          <w:i/>
          <w:lang w:eastAsia="en-US"/>
        </w:rPr>
        <w:t>tus noster apprehendit se ipsum sicut operari</w:t>
      </w:r>
      <w:r>
        <w:rPr>
          <w:lang w:eastAsia="en-US"/>
        </w:rPr>
        <w:t xml:space="preserve">). </w:t>
      </w:r>
      <w:r>
        <w:t xml:space="preserve">Tuto specifickou univerzalitu osoby v modu </w:t>
      </w:r>
      <w:r w:rsidRPr="08A37F60">
        <w:rPr>
          <w:i/>
        </w:rPr>
        <w:t xml:space="preserve">quartum </w:t>
      </w:r>
      <w:r w:rsidR="00962190">
        <w:rPr>
          <w:i/>
        </w:rPr>
        <w:t>genus</w:t>
      </w:r>
      <w:r w:rsidR="08936023">
        <w:rPr>
          <w:i/>
        </w:rPr>
        <w:fldChar w:fldCharType="begin"/>
      </w:r>
      <w:r w:rsidR="08936023">
        <w:instrText xml:space="preserve"> XE "</w:instrText>
      </w:r>
      <w:r w:rsidR="08936023" w:rsidRPr="085631C6">
        <w:rPr>
          <w:i/>
        </w:rPr>
        <w:instrText>quartum genus</w:instrText>
      </w:r>
      <w:r w:rsidR="08936023">
        <w:instrText xml:space="preserve">" </w:instrText>
      </w:r>
      <w:r w:rsidR="08936023">
        <w:rPr>
          <w:i/>
        </w:rPr>
        <w:fldChar w:fldCharType="end"/>
      </w:r>
      <w:r>
        <w:t xml:space="preserve"> můžeme nakonec genericky pojat jako univerzální přirozenost lidstva</w:t>
      </w:r>
      <w:r w:rsidRPr="00273106">
        <w:t xml:space="preserve">. </w:t>
      </w:r>
      <w:r>
        <w:t xml:space="preserve">To co zakoušíme v univerzálním modu je pouze intelekt jako obecnina, která je všem lidem společná a je dána pouze v mysli. Viz Dantův termín </w:t>
      </w:r>
      <w:r w:rsidR="00C623F6">
        <w:t>„</w:t>
      </w:r>
      <w:r>
        <w:rPr>
          <w:i/>
        </w:rPr>
        <w:t>univers</w:t>
      </w:r>
      <w:r w:rsidRPr="0831029D">
        <w:rPr>
          <w:i/>
        </w:rPr>
        <w:t>ita</w:t>
      </w:r>
      <w:r>
        <w:rPr>
          <w:i/>
        </w:rPr>
        <w:t>s</w:t>
      </w:r>
      <w:r w:rsidRPr="0831029D">
        <w:rPr>
          <w:i/>
        </w:rPr>
        <w:t xml:space="preserve"> humana</w:t>
      </w:r>
      <w:r w:rsidR="00C623F6">
        <w:t>“</w:t>
      </w:r>
      <w:r>
        <w:rPr>
          <w:i/>
        </w:rPr>
        <w:fldChar w:fldCharType="begin"/>
      </w:r>
      <w:r>
        <w:instrText xml:space="preserve"> XE "</w:instrText>
      </w:r>
      <w:r w:rsidRPr="08E10A26">
        <w:rPr>
          <w:i/>
        </w:rPr>
        <w:instrText>universitas humana</w:instrText>
      </w:r>
      <w:r>
        <w:instrText xml:space="preserve">" </w:instrText>
      </w:r>
      <w:r>
        <w:rPr>
          <w:i/>
        </w:rPr>
        <w:fldChar w:fldCharType="end"/>
      </w:r>
      <w:r w:rsidR="00515263">
        <w:t>, který přesně sleduje toto “</w:t>
      </w:r>
      <w:r w:rsidR="00515263">
        <w:rPr>
          <w:i/>
        </w:rPr>
        <w:t>silogizzò</w:t>
      </w:r>
      <w:r w:rsidR="00515263">
        <w:t xml:space="preserve">” </w:t>
      </w:r>
      <w:r>
        <w:t>Sigera</w:t>
      </w:r>
      <w:r w:rsidR="001B4643">
        <w:t xml:space="preserve"> (kap. 4.4</w:t>
      </w:r>
      <w:r w:rsidR="08055B7C">
        <w:t>)</w:t>
      </w:r>
      <w:r>
        <w:t xml:space="preserve">. </w:t>
      </w:r>
      <w:r w:rsidR="00E11570" w:rsidRPr="00E11570">
        <w:t xml:space="preserve">Univerzální pojem intelektu nemůže nikdy myslet, protože je v </w:t>
      </w:r>
      <w:r w:rsidR="00E11570">
        <w:t>modu</w:t>
      </w:r>
      <w:r w:rsidR="00E11570" w:rsidRPr="00E11570">
        <w:t xml:space="preserve"> </w:t>
      </w:r>
      <w:r w:rsidR="00E11570" w:rsidRPr="00E11570">
        <w:rPr>
          <w:i/>
        </w:rPr>
        <w:t>quartum genus</w:t>
      </w:r>
      <w:r w:rsidR="00E11570" w:rsidRPr="00E11570">
        <w:t xml:space="preserve">. Intelekt však může myslet v modu </w:t>
      </w:r>
      <w:r w:rsidR="00E11570" w:rsidRPr="00E11570">
        <w:rPr>
          <w:i/>
        </w:rPr>
        <w:t>obiective</w:t>
      </w:r>
      <w:r w:rsidR="00E11570" w:rsidRPr="00E11570">
        <w:t>, pr</w:t>
      </w:r>
      <w:r w:rsidR="00E11570">
        <w:t>otože je ve stavu myšlení daném</w:t>
      </w:r>
      <w:r w:rsidR="00E11570" w:rsidRPr="00E11570">
        <w:t xml:space="preserve"> </w:t>
      </w:r>
      <w:r w:rsidR="00E11570" w:rsidRPr="00E11570">
        <w:rPr>
          <w:i/>
        </w:rPr>
        <w:t>subiective</w:t>
      </w:r>
      <w:r w:rsidR="00E11570" w:rsidRPr="00E11570">
        <w:t xml:space="preserve">. Tento detail činí rozdíl mezi </w:t>
      </w:r>
      <w:r w:rsidR="00E11570">
        <w:rPr>
          <w:i/>
        </w:rPr>
        <w:t>sophistae Latini</w:t>
      </w:r>
      <w:r w:rsidR="00E11570">
        <w:t xml:space="preserve"> všeho druhu a Sigerem. </w:t>
      </w:r>
      <w:r w:rsidR="00B11901">
        <w:t>Není žádný o</w:t>
      </w:r>
      <w:r w:rsidR="00B11901" w:rsidRPr="00B11901">
        <w:t>bjektivist</w:t>
      </w:r>
      <w:r w:rsidR="00B11901">
        <w:t>a</w:t>
      </w:r>
      <w:r w:rsidR="00B11901" w:rsidRPr="00B11901">
        <w:t xml:space="preserve">, </w:t>
      </w:r>
      <w:r w:rsidR="00B11901">
        <w:t>protože myslí „</w:t>
      </w:r>
      <w:r w:rsidR="00B11901" w:rsidRPr="00B11901">
        <w:rPr>
          <w:i/>
        </w:rPr>
        <w:t>obiective</w:t>
      </w:r>
      <w:r w:rsidR="00B11901">
        <w:t>“</w:t>
      </w:r>
      <w:r w:rsidR="00B11901" w:rsidRPr="00B11901">
        <w:t>.</w:t>
      </w:r>
      <w:r w:rsidR="00B11901">
        <w:t xml:space="preserve"> </w:t>
      </w:r>
      <w:r>
        <w:t xml:space="preserve">Potence daná ve výkonu existence osoby nemůže být objektivní substance třetího druhu. </w:t>
      </w:r>
      <w:r w:rsidRPr="00273106">
        <w:t xml:space="preserve">Intelekt </w:t>
      </w:r>
      <w:r>
        <w:t>jako čistá potence nebo dokonce abstrakce daná v pouze mysli s námi nemůže kopulovat</w:t>
      </w:r>
      <w:r w:rsidRPr="00273106">
        <w:t xml:space="preserve"> jako nějaká oddělená substance</w:t>
      </w:r>
      <w:r>
        <w:t xml:space="preserve"> </w:t>
      </w:r>
      <w:r w:rsidRPr="009F76DD">
        <w:rPr>
          <w:i/>
        </w:rPr>
        <w:t>Modernorum</w:t>
      </w:r>
      <w:r>
        <w:t>, protože jej tak nezakoušíme</w:t>
      </w:r>
      <w:r w:rsidRPr="00273106">
        <w:t xml:space="preserve">. </w:t>
      </w:r>
      <w:r>
        <w:t xml:space="preserve">Intelekt je </w:t>
      </w:r>
      <w:r w:rsidRPr="00E67DDF">
        <w:rPr>
          <w:i/>
        </w:rPr>
        <w:t>separabilis</w:t>
      </w:r>
      <w:r>
        <w:t xml:space="preserve"> z hlediska své nemateriální činnosti, ale není </w:t>
      </w:r>
      <w:r w:rsidRPr="00E67DDF">
        <w:rPr>
          <w:i/>
        </w:rPr>
        <w:t>separatus</w:t>
      </w:r>
      <w:r>
        <w:rPr>
          <w:i/>
        </w:rPr>
        <w:t xml:space="preserve"> </w:t>
      </w:r>
      <w:r w:rsidRPr="08FA1392">
        <w:t xml:space="preserve">z hlediska </w:t>
      </w:r>
      <w:r>
        <w:t>s</w:t>
      </w:r>
      <w:r w:rsidRPr="08FA1392">
        <w:t>vého výkonu</w:t>
      </w:r>
      <w:r>
        <w:t>, protože není ani substance ani forma</w:t>
      </w:r>
      <w:r>
        <w:fldChar w:fldCharType="begin"/>
      </w:r>
      <w:r>
        <w:instrText xml:space="preserve"> XE "intelekt:</w:instrText>
      </w:r>
      <w:r w:rsidRPr="008E31F8">
        <w:rPr>
          <w:i/>
        </w:rPr>
        <w:instrText>separabilis</w:instrText>
      </w:r>
      <w:r>
        <w:instrText>/</w:instrText>
      </w:r>
      <w:r w:rsidRPr="008E31F8">
        <w:rPr>
          <w:i/>
        </w:rPr>
        <w:instrText>separatus</w:instrText>
      </w:r>
      <w:r>
        <w:instrText xml:space="preserve">" </w:instrText>
      </w:r>
      <w:r>
        <w:fldChar w:fldCharType="end"/>
      </w:r>
      <w:r>
        <w:t xml:space="preserve">. </w:t>
      </w:r>
      <w:r w:rsidRPr="00273106">
        <w:t>V případě nemateriálního intelektuálního poznání duše platí pravý opak toho, co platilo pro smyslové poznání.</w:t>
      </w:r>
      <w:r>
        <w:t xml:space="preserve"> Nemáme lokalizovatelný orgán nebo tělesnou substanci, ale máme zakoušený výkon, čili osobně aktualizovanou potenci duše v rámci specificky lidského existenciálního výkonu. </w:t>
      </w:r>
      <w:r w:rsidRPr="00273106">
        <w:t>Myslíme intelektuální obsahy (</w:t>
      </w:r>
      <w:r w:rsidRPr="00273106">
        <w:rPr>
          <w:i/>
        </w:rPr>
        <w:t>intellecta</w:t>
      </w:r>
      <w:r w:rsidRPr="00273106">
        <w:t>) v první</w:t>
      </w:r>
      <w:r>
        <w:t xml:space="preserve"> osobě, proto je zakoušíme v existenciálním výkonu </w:t>
      </w:r>
      <w:r w:rsidRPr="00273106">
        <w:t xml:space="preserve">spoluvědění </w:t>
      </w:r>
      <w:r>
        <w:t xml:space="preserve">v modu </w:t>
      </w:r>
      <w:r w:rsidRPr="08096426">
        <w:rPr>
          <w:i/>
        </w:rPr>
        <w:t>obiective</w:t>
      </w:r>
      <w:r>
        <w:t xml:space="preserve">, tedy jako oddělené inteligibilní obsahy </w:t>
      </w:r>
      <w:r w:rsidRPr="00273106">
        <w:t>(</w:t>
      </w:r>
      <w:r w:rsidRPr="00273106">
        <w:rPr>
          <w:i/>
        </w:rPr>
        <w:t>intellecta copulantur nobis</w:t>
      </w:r>
      <w:r w:rsidRPr="00273106">
        <w:t xml:space="preserve">). </w:t>
      </w:r>
      <w:r>
        <w:t>Siger v duchu Blundovy školy přesně rozlišuje mezi intencionálním aktem vázaným na myslící osobu (</w:t>
      </w:r>
      <w:r w:rsidRPr="08E70330">
        <w:rPr>
          <w:i/>
        </w:rPr>
        <w:t>subiectum intentionis</w:t>
      </w:r>
      <w:r>
        <w:t>) a jeho výsledným předmětem (</w:t>
      </w:r>
      <w:r w:rsidRPr="08E70330">
        <w:rPr>
          <w:i/>
        </w:rPr>
        <w:t>intentio</w:t>
      </w:r>
      <w:r w:rsidR="08CE2911">
        <w:t>; OBJ II, kap. 2</w:t>
      </w:r>
      <w:r w:rsidR="00636387">
        <w:t>.1.2).</w:t>
      </w:r>
    </w:p>
    <w:p w:rsidR="08163013" w:rsidRPr="00273106" w:rsidRDefault="08163013" w:rsidP="00636387">
      <w:pPr>
        <w:ind w:firstLine="397"/>
      </w:pPr>
      <w:r>
        <w:t xml:space="preserve">Brabantský magistr </w:t>
      </w:r>
      <w:r w:rsidRPr="00273106">
        <w:t>je v odmítnutí substanční povahy intelektu mnohem radikálnější než Albert a Akvinský</w:t>
      </w:r>
      <w:r>
        <w:t xml:space="preserve"> a proto je také kritizuje za jejich polovičatá řešení jednoty intelektu</w:t>
      </w:r>
      <w:r w:rsidRPr="00273106">
        <w:t>. Inte</w:t>
      </w:r>
      <w:r>
        <w:t>le</w:t>
      </w:r>
      <w:r w:rsidRPr="00273106">
        <w:t xml:space="preserve">kt jako formální schopnost duše nemá žádný smyslový orgán a nemůžeme na něj </w:t>
      </w:r>
      <w:r w:rsidRPr="00273106">
        <w:lastRenderedPageBreak/>
        <w:t>ukázat jako na „toto zde“</w:t>
      </w:r>
      <w:r>
        <w:t xml:space="preserve"> (</w:t>
      </w:r>
      <w:r w:rsidRPr="08473D69">
        <w:rPr>
          <w:i/>
        </w:rPr>
        <w:t>hoc aliquid</w:t>
      </w:r>
      <w:r>
        <w:t>)</w:t>
      </w:r>
      <w:r w:rsidRPr="00273106">
        <w:t xml:space="preserve">. </w:t>
      </w:r>
      <w:r>
        <w:t xml:space="preserve">Každá objektivace intelektu z něj dělá </w:t>
      </w:r>
      <w:r w:rsidRPr="08926423">
        <w:rPr>
          <w:i/>
        </w:rPr>
        <w:t>intellectum</w:t>
      </w:r>
      <w:r>
        <w:t xml:space="preserve">, tedy univerzálii danou v mysli jako </w:t>
      </w:r>
      <w:r w:rsidRPr="08926423">
        <w:rPr>
          <w:i/>
        </w:rPr>
        <w:t xml:space="preserve">quartum </w:t>
      </w:r>
      <w:r w:rsidR="00962190">
        <w:rPr>
          <w:i/>
        </w:rPr>
        <w:t>genus</w:t>
      </w:r>
      <w:r>
        <w:t>. Vykázání poznatku daného materiálně je možné udělat v případě smyslového orgánu daného v těle, který má díky individualiz</w:t>
      </w:r>
      <w:r w:rsidR="00125D22">
        <w:t>aci skrze materii také numericky odlišný</w:t>
      </w:r>
      <w:r>
        <w:t xml:space="preserve"> charakter. Intelekt n</w:t>
      </w:r>
      <w:r w:rsidRPr="00273106">
        <w:t>emá a nemůže mít substanční či esenciální definici</w:t>
      </w:r>
      <w:r>
        <w:t xml:space="preserve"> ve vědeckém poznání podle </w:t>
      </w:r>
      <w:r w:rsidRPr="08A26F52">
        <w:rPr>
          <w:i/>
        </w:rPr>
        <w:t>Druhých analytik</w:t>
      </w:r>
      <w:r>
        <w:t>, protože není individualizovatelný jako nějaká substance</w:t>
      </w:r>
      <w:r w:rsidRPr="00273106">
        <w:t>.</w:t>
      </w:r>
      <w:r>
        <w:t xml:space="preserve"> Ale kauzálně v nás působí, protože myslíme, když sami chceme</w:t>
      </w:r>
      <w:r w:rsidRPr="080417DE">
        <w:t xml:space="preserve"> </w:t>
      </w:r>
      <w:r>
        <w:t xml:space="preserve">jako osoba. Proto je akt porozumění zakoušený v první osobě, jejíž kauzalita tvoří </w:t>
      </w:r>
      <w:r w:rsidRPr="087D3850">
        <w:rPr>
          <w:i/>
        </w:rPr>
        <w:t>medium</w:t>
      </w:r>
      <w:r>
        <w:t xml:space="preserve"> vědeckého sylogismu. Skrze zkušenost primárního „spolu</w:t>
      </w:r>
      <w:r>
        <w:noBreakHyphen/>
        <w:t>vědění“ (</w:t>
      </w:r>
      <w:r w:rsidRPr="00C75E79">
        <w:rPr>
          <w:i/>
        </w:rPr>
        <w:t>con</w:t>
      </w:r>
      <w:r w:rsidRPr="00C75E79">
        <w:rPr>
          <w:i/>
        </w:rPr>
        <w:noBreakHyphen/>
        <w:t>scientia</w:t>
      </w:r>
      <w:r>
        <w:t xml:space="preserve">) determinovaného od smyslového poznání duše k inteligibilnímu lze konstatovat základní charakteristiky </w:t>
      </w:r>
      <w:r w:rsidRPr="08A409C4">
        <w:rPr>
          <w:i/>
        </w:rPr>
        <w:t>anima intellectiva</w:t>
      </w:r>
      <w:r>
        <w:t xml:space="preserve"> dané na první substanci jako její kauzální účinky (</w:t>
      </w:r>
      <w:r w:rsidRPr="00C75E79">
        <w:rPr>
          <w:i/>
        </w:rPr>
        <w:t xml:space="preserve">tertium </w:t>
      </w:r>
      <w:r w:rsidR="00962190">
        <w:rPr>
          <w:i/>
        </w:rPr>
        <w:t>genus</w:t>
      </w:r>
      <w:r>
        <w:rPr>
          <w:i/>
        </w:rPr>
        <w:fldChar w:fldCharType="begin"/>
      </w:r>
      <w:r>
        <w:instrText xml:space="preserve"> XE "</w:instrText>
      </w:r>
      <w:r w:rsidRPr="00D80F84">
        <w:rPr>
          <w:i/>
        </w:rPr>
        <w:instrText>tertium genus</w:instrText>
      </w:r>
      <w:r>
        <w:instrText xml:space="preserve">" </w:instrText>
      </w:r>
      <w:r>
        <w:rPr>
          <w:i/>
        </w:rPr>
        <w:fldChar w:fldCharType="end"/>
      </w:r>
      <w:r>
        <w:t>).</w:t>
      </w:r>
      <w:r w:rsidRPr="00273106">
        <w:t xml:space="preserve"> </w:t>
      </w:r>
      <w:r>
        <w:t xml:space="preserve">Následně je možné tuto zkušenost univerzalizovat a vytvořit výkonem abstrakce také abstraktní pojem. Pak vznikne intelekt jako jedna univerzální </w:t>
      </w:r>
      <w:r w:rsidR="00962190">
        <w:rPr>
          <w:i/>
        </w:rPr>
        <w:t>species</w:t>
      </w:r>
      <w:r>
        <w:t xml:space="preserve"> společná všem lidem (</w:t>
      </w:r>
      <w:r w:rsidRPr="00C75E79">
        <w:rPr>
          <w:i/>
        </w:rPr>
        <w:t xml:space="preserve">quartum </w:t>
      </w:r>
      <w:r w:rsidR="00962190">
        <w:rPr>
          <w:i/>
        </w:rPr>
        <w:t>genus</w:t>
      </w:r>
      <w:r>
        <w:rPr>
          <w:i/>
        </w:rPr>
        <w:fldChar w:fldCharType="begin"/>
      </w:r>
      <w:r>
        <w:instrText xml:space="preserve"> XE "</w:instrText>
      </w:r>
      <w:r w:rsidRPr="00191848">
        <w:rPr>
          <w:i/>
        </w:rPr>
        <w:instrText>quartum genus</w:instrText>
      </w:r>
      <w:r>
        <w:instrText xml:space="preserve">" </w:instrText>
      </w:r>
      <w:r>
        <w:rPr>
          <w:i/>
        </w:rPr>
        <w:fldChar w:fldCharType="end"/>
      </w:r>
      <w:r>
        <w:t xml:space="preserve">). </w:t>
      </w:r>
      <w:r w:rsidRPr="00273106">
        <w:t xml:space="preserve">Debata o tom, zda </w:t>
      </w:r>
      <w:r>
        <w:t xml:space="preserve">moderní či postmoderní jsoucno třetího druhu zvané </w:t>
      </w:r>
      <w:r w:rsidRPr="00273106">
        <w:t xml:space="preserve">„intelekt“ </w:t>
      </w:r>
      <w:r>
        <w:t>je individualizované</w:t>
      </w:r>
      <w:r w:rsidRPr="00273106">
        <w:t xml:space="preserve"> nebo ne, j</w:t>
      </w:r>
      <w:r>
        <w:t>e podle Sigera úplně zcestná. I</w:t>
      </w:r>
      <w:r w:rsidRPr="00273106">
        <w:t xml:space="preserve">ntelekt </w:t>
      </w:r>
      <w:r>
        <w:t xml:space="preserve">daný </w:t>
      </w:r>
      <w:r w:rsidR="00AB129C">
        <w:t>„</w:t>
      </w:r>
      <w:r w:rsidR="08650CA1" w:rsidRPr="08650CA1">
        <w:rPr>
          <w:i/>
        </w:rPr>
        <w:t>ab</w:t>
      </w:r>
      <w:r w:rsidR="08650CA1">
        <w:t xml:space="preserve"> </w:t>
      </w:r>
      <w:r w:rsidRPr="000C56D3">
        <w:rPr>
          <w:i/>
        </w:rPr>
        <w:t>extrinsec</w:t>
      </w:r>
      <w:r w:rsidR="08C23F9C">
        <w:rPr>
          <w:i/>
        </w:rPr>
        <w:t>o</w:t>
      </w:r>
      <w:r w:rsidR="00AB129C">
        <w:t>“</w:t>
      </w:r>
      <w:r>
        <w:t xml:space="preserve"> a v modu </w:t>
      </w:r>
      <w:r w:rsidR="00AB129C">
        <w:t>„</w:t>
      </w:r>
      <w:r w:rsidRPr="000C56D3">
        <w:rPr>
          <w:i/>
        </w:rPr>
        <w:t>inmixtus</w:t>
      </w:r>
      <w:r w:rsidR="00AB129C">
        <w:t>“</w:t>
      </w:r>
      <w:r>
        <w:t xml:space="preserve"> jako abstrahovaná univerzálie </w:t>
      </w:r>
      <w:r w:rsidRPr="00273106">
        <w:t>není materiální</w:t>
      </w:r>
      <w:r>
        <w:t xml:space="preserve"> povahy</w:t>
      </w:r>
      <w:r w:rsidRPr="00273106">
        <w:t xml:space="preserve">, a tím ani není numericky individualizovaný. </w:t>
      </w:r>
      <w:r>
        <w:t xml:space="preserve">Odkud je tedy dána </w:t>
      </w:r>
      <w:r w:rsidRPr="00273106">
        <w:t>jeho</w:t>
      </w:r>
      <w:r>
        <w:t xml:space="preserve"> existenciální jedinečnost</w:t>
      </w:r>
      <w:r w:rsidRPr="00273106">
        <w:t>?</w:t>
      </w:r>
    </w:p>
    <w:p w:rsidR="08163013" w:rsidRPr="00753146" w:rsidRDefault="08163013" w:rsidP="08163013">
      <w:pPr>
        <w:pStyle w:val="Citace"/>
        <w:rPr>
          <w:noProof/>
          <w:lang w:val="cs-CZ"/>
        </w:rPr>
      </w:pPr>
      <w:r w:rsidRPr="00273106">
        <w:rPr>
          <w:noProof/>
          <w:lang w:val="cs-CZ"/>
        </w:rPr>
        <w:t>„</w:t>
      </w:r>
      <w:r>
        <w:rPr>
          <w:noProof/>
          <w:lang w:val="cs-CZ"/>
        </w:rPr>
        <w:t xml:space="preserve">Proto je třeba říci, že intelekt </w:t>
      </w:r>
      <w:r w:rsidR="00773007">
        <w:rPr>
          <w:noProof/>
          <w:lang w:val="cs-CZ"/>
        </w:rPr>
        <w:t xml:space="preserve">díky své receptivní povaze </w:t>
      </w:r>
      <w:r w:rsidR="00DB6D4B">
        <w:rPr>
          <w:noProof/>
          <w:lang w:val="cs-CZ"/>
        </w:rPr>
        <w:t>může přijmout smyslově dané intence</w:t>
      </w:r>
      <w:r>
        <w:rPr>
          <w:noProof/>
          <w:lang w:val="cs-CZ"/>
        </w:rPr>
        <w:t>, protože takto je s námi spojen skrze své potenciální bytí. Tím se spojuje ve svém výkonu s smyslovými intencemi tak, že se k nim vztahuje v rámci své potence (</w:t>
      </w:r>
      <w:r w:rsidR="00DB7A21" w:rsidRPr="00DB7A21">
        <w:rPr>
          <w:i/>
          <w:noProof/>
          <w:lang w:val="cs-CZ"/>
        </w:rPr>
        <w:t>se</w:t>
      </w:r>
      <w:r w:rsidR="00DB7A21">
        <w:rPr>
          <w:noProof/>
          <w:lang w:val="cs-CZ"/>
        </w:rPr>
        <w:t xml:space="preserve"> </w:t>
      </w:r>
      <w:r w:rsidRPr="083C6A4E">
        <w:rPr>
          <w:i/>
          <w:noProof/>
          <w:lang w:val="cs-CZ"/>
        </w:rPr>
        <w:t xml:space="preserve">haberet </w:t>
      </w:r>
      <w:r w:rsidRPr="083C6A4E">
        <w:rPr>
          <w:i/>
          <w:noProof/>
        </w:rPr>
        <w:t>in potentia ad illas</w:t>
      </w:r>
      <w:r>
        <w:rPr>
          <w:noProof/>
          <w:lang w:val="cs-CZ"/>
        </w:rPr>
        <w:t>)</w:t>
      </w:r>
      <w:r w:rsidR="00A32E44">
        <w:rPr>
          <w:noProof/>
          <w:lang w:val="cs-CZ"/>
        </w:rPr>
        <w:t xml:space="preserve">; </w:t>
      </w:r>
      <w:r>
        <w:rPr>
          <w:noProof/>
          <w:lang w:val="cs-CZ"/>
        </w:rPr>
        <w:t xml:space="preserve"> </w:t>
      </w:r>
      <w:r w:rsidR="00A32E44">
        <w:rPr>
          <w:noProof/>
          <w:lang w:val="cs-CZ"/>
        </w:rPr>
        <w:t xml:space="preserve">intelekt je s námi spojen skrze tento způsob aktualizace </w:t>
      </w:r>
      <w:r>
        <w:rPr>
          <w:noProof/>
          <w:lang w:val="cs-CZ"/>
        </w:rPr>
        <w:t>(</w:t>
      </w:r>
      <w:r w:rsidRPr="083C6A4E">
        <w:rPr>
          <w:i/>
          <w:noProof/>
        </w:rPr>
        <w:t>per hoc copulatur nobis in actu</w:t>
      </w:r>
      <w:r w:rsidR="0032477A">
        <w:rPr>
          <w:noProof/>
          <w:lang w:val="cs-CZ"/>
        </w:rPr>
        <w:t xml:space="preserve">). </w:t>
      </w:r>
      <w:r w:rsidR="00417645">
        <w:rPr>
          <w:noProof/>
          <w:lang w:val="cs-CZ"/>
        </w:rPr>
        <w:t>P</w:t>
      </w:r>
      <w:r>
        <w:rPr>
          <w:noProof/>
          <w:lang w:val="cs-CZ"/>
        </w:rPr>
        <w:t xml:space="preserve">rotože smyslové intence jsou numericky odlišné podle jednotlivých lidí, pak je intelekt numericky odlišný skrze své spojení se smyslovými představami.“ </w:t>
      </w:r>
      <w:r>
        <w:rPr>
          <w:rStyle w:val="Znakapoznpodarou"/>
        </w:rPr>
        <w:footnoteReference w:id="227"/>
      </w:r>
    </w:p>
    <w:p w:rsidR="00CC63B3" w:rsidRDefault="08163013" w:rsidP="081D04B2">
      <w:r w:rsidRPr="00273106">
        <w:t>Citát jasně říká s odvoláním na předešlé části, že intelekt je nemateriální část duše a je čistou potencí vzhledem ke smyslově vnímaným intencím (</w:t>
      </w:r>
      <w:r w:rsidRPr="00273106">
        <w:rPr>
          <w:i/>
        </w:rPr>
        <w:t>quantum est de natura sua, est in potentia ad intentiones imaginatas</w:t>
      </w:r>
      <w:r w:rsidRPr="00273106">
        <w:t xml:space="preserve">). Potenci nelze </w:t>
      </w:r>
      <w:r>
        <w:t xml:space="preserve">ani individualizovat ani </w:t>
      </w:r>
      <w:r w:rsidRPr="00273106">
        <w:t>substancializovat na způsob</w:t>
      </w:r>
      <w:r>
        <w:t xml:space="preserve"> </w:t>
      </w:r>
      <w:r w:rsidRPr="00273106">
        <w:t xml:space="preserve">něčeho </w:t>
      </w:r>
      <w:r>
        <w:t>jsoucího. Intelekt není něco</w:t>
      </w:r>
      <w:r w:rsidRPr="00273106">
        <w:t xml:space="preserve"> </w:t>
      </w:r>
      <w:r>
        <w:t>potenciáln</w:t>
      </w:r>
      <w:r w:rsidR="00BF28D0">
        <w:t xml:space="preserve">ího, co je následně aktualizovanáno </w:t>
      </w:r>
      <w:r>
        <w:t xml:space="preserve">na způsob </w:t>
      </w:r>
      <w:r w:rsidRPr="00273106">
        <w:t>první substance</w:t>
      </w:r>
      <w:r>
        <w:t xml:space="preserve"> (τόδε τι</w:t>
      </w:r>
      <w:r>
        <w:fldChar w:fldCharType="begin"/>
      </w:r>
      <w:r>
        <w:instrText xml:space="preserve"> XE "</w:instrText>
      </w:r>
      <w:r w:rsidRPr="00E373E1">
        <w:instrText>substance:τόδε τι</w:instrText>
      </w:r>
      <w:r>
        <w:instrText xml:space="preserve">" </w:instrText>
      </w:r>
      <w:r>
        <w:fldChar w:fldCharType="end"/>
      </w:r>
      <w:r>
        <w:t xml:space="preserve">, </w:t>
      </w:r>
      <w:r w:rsidRPr="00273106">
        <w:rPr>
          <w:i/>
        </w:rPr>
        <w:t>hoc aliquid</w:t>
      </w:r>
      <w:r>
        <w:rPr>
          <w:i/>
        </w:rPr>
        <w:fldChar w:fldCharType="begin"/>
      </w:r>
      <w:r>
        <w:instrText xml:space="preserve"> XE "</w:instrText>
      </w:r>
      <w:r w:rsidRPr="006B0AC6">
        <w:rPr>
          <w:rStyle w:val="FontStyle129"/>
          <w:i/>
          <w:sz w:val="24"/>
        </w:rPr>
        <w:instrText xml:space="preserve">hoc </w:instrText>
      </w:r>
      <w:r w:rsidRPr="006B0AC6">
        <w:rPr>
          <w:rStyle w:val="FontStyle129"/>
          <w:i/>
          <w:sz w:val="24"/>
        </w:rPr>
        <w:lastRenderedPageBreak/>
        <w:instrText>aliquid:</w:instrText>
      </w:r>
      <w:r w:rsidRPr="006B0AC6">
        <w:instrText>Avicenna</w:instrText>
      </w:r>
      <w:r>
        <w:instrText xml:space="preserve">" </w:instrText>
      </w:r>
      <w:r>
        <w:rPr>
          <w:i/>
        </w:rPr>
        <w:fldChar w:fldCharType="end"/>
      </w:r>
      <w:r w:rsidRPr="00273106">
        <w:t>)</w:t>
      </w:r>
      <w:r>
        <w:t>, jak se mylně domnívá objektivismus</w:t>
      </w:r>
      <w:r w:rsidRPr="00273106">
        <w:t xml:space="preserve">. </w:t>
      </w:r>
      <w:r>
        <w:t>Lidský intelekt p</w:t>
      </w:r>
      <w:r w:rsidRPr="00273106">
        <w:t xml:space="preserve">ředstavuje </w:t>
      </w:r>
      <w:r>
        <w:t>zvláštní způsob, jak</w:t>
      </w:r>
      <w:r w:rsidRPr="00273106">
        <w:t xml:space="preserve"> </w:t>
      </w:r>
      <w:r>
        <w:t xml:space="preserve">v modu fenomenologického </w:t>
      </w:r>
      <w:r w:rsidR="00774393">
        <w:t>„</w:t>
      </w:r>
      <w:r w:rsidRPr="00065A0E">
        <w:rPr>
          <w:i/>
        </w:rPr>
        <w:t>Wie</w:t>
      </w:r>
      <w:r w:rsidR="00774393">
        <w:t>“</w:t>
      </w:r>
      <w:r>
        <w:t xml:space="preserve"> </w:t>
      </w:r>
      <w:r w:rsidRPr="00273106">
        <w:t xml:space="preserve">pracuje nemateriální </w:t>
      </w:r>
      <w:r>
        <w:t xml:space="preserve">část </w:t>
      </w:r>
      <w:r w:rsidRPr="00273106">
        <w:t>duše</w:t>
      </w:r>
      <w:r>
        <w:t xml:space="preserve">. Pouze a jedině </w:t>
      </w:r>
      <w:r w:rsidRPr="08F80A85">
        <w:rPr>
          <w:i/>
        </w:rPr>
        <w:t>anima intellectiva</w:t>
      </w:r>
      <w:r>
        <w:t xml:space="preserve"> </w:t>
      </w:r>
      <w:r w:rsidRPr="00273106">
        <w:t xml:space="preserve">je díky nemateriální potenci, čili schopnosti poznávat čisté formy, oddělena od materiálního poznání smyslů. </w:t>
      </w:r>
      <w:r w:rsidR="001A1F47">
        <w:t xml:space="preserve">A protože intelekt jako </w:t>
      </w:r>
      <w:r>
        <w:t xml:space="preserve">potence je výkonem osoby, je skrze její </w:t>
      </w:r>
      <w:r w:rsidRPr="084B3B30">
        <w:rPr>
          <w:i/>
        </w:rPr>
        <w:t>actus essendi</w:t>
      </w:r>
      <w:r>
        <w:t xml:space="preserve"> také aktualizovaný. Smyslové poznání přináší intelektuální potenci duše základní aktualitu. Tím je intelekt </w:t>
      </w:r>
      <w:r w:rsidRPr="00273106">
        <w:t>aktualizován</w:t>
      </w:r>
      <w:r>
        <w:t xml:space="preserve"> </w:t>
      </w:r>
      <w:r w:rsidRPr="00273106">
        <w:t xml:space="preserve">skrze tělesně situované orgány a skrze </w:t>
      </w:r>
      <w:r>
        <w:t xml:space="preserve">smyslové poznání </w:t>
      </w:r>
      <w:r w:rsidRPr="00273106">
        <w:t>externí věc</w:t>
      </w:r>
      <w:r>
        <w:t>i</w:t>
      </w:r>
      <w:r w:rsidRPr="00273106">
        <w:t xml:space="preserve">. </w:t>
      </w:r>
      <w:r>
        <w:t>Pak probíhá duševní poznání osoby ve striktním slova smyslu (</w:t>
      </w:r>
      <w:r w:rsidRPr="08D35B38">
        <w:rPr>
          <w:i/>
        </w:rPr>
        <w:t>subiective</w:t>
      </w:r>
      <w:r>
        <w:t xml:space="preserve">), protože osobní intelekt se aktualizuje v existenciálním modu </w:t>
      </w:r>
      <w:r w:rsidRPr="08D35B38">
        <w:rPr>
          <w:i/>
        </w:rPr>
        <w:t>inmixtus</w:t>
      </w:r>
      <w:r>
        <w:t xml:space="preserve"> a </w:t>
      </w:r>
      <w:r w:rsidRPr="00883C0E">
        <w:rPr>
          <w:i/>
        </w:rPr>
        <w:t>ab extrinseco</w:t>
      </w:r>
      <w:r>
        <w:t xml:space="preserve"> od smyslového poznání materiálně individualizovaného skrze smyslové orgány v těle. Smyslové poznání má jak individuaci, tak i aktualizaci skrze ma</w:t>
      </w:r>
      <w:r w:rsidR="08401995">
        <w:t xml:space="preserve">terii těla. </w:t>
      </w:r>
      <w:r w:rsidRPr="00273106">
        <w:t xml:space="preserve">Intelekt </w:t>
      </w:r>
      <w:r>
        <w:t>nemůže být numericky individuální, protože neexis</w:t>
      </w:r>
      <w:r w:rsidR="08401995">
        <w:t xml:space="preserve">tuje aktuálně jako hypostáze. </w:t>
      </w:r>
      <w:r w:rsidR="08650CA1">
        <w:t>Intelekt je čistá nemateriální potence a jeho individuace probíhá skrze smyslovou species, protože to je jedině smyslově daná forma, která má jako jediná formálně danou aktualitu</w:t>
      </w:r>
      <w:r w:rsidR="007C6754">
        <w:t xml:space="preserve"> schopnou spustit </w:t>
      </w:r>
      <w:r w:rsidR="08650CA1">
        <w:t xml:space="preserve">proces poznání. </w:t>
      </w:r>
      <w:r>
        <w:t xml:space="preserve">Intelekt je dán pouze ve dvou modech, tedy jako existenciální akt osoby </w:t>
      </w:r>
      <w:r w:rsidR="080B4B94">
        <w:t xml:space="preserve">(pak je </w:t>
      </w:r>
      <w:r w:rsidR="004C7646">
        <w:t xml:space="preserve">personalizovaný </w:t>
      </w:r>
      <w:r w:rsidR="080B4B94">
        <w:t>skrze tělo)</w:t>
      </w:r>
      <w:r w:rsidR="08A350A3">
        <w:t>,</w:t>
      </w:r>
      <w:r w:rsidR="080B4B94">
        <w:t xml:space="preserve"> </w:t>
      </w:r>
      <w:r>
        <w:t>nebo jako abstraktní pojem</w:t>
      </w:r>
      <w:r w:rsidR="080B4B94">
        <w:t xml:space="preserve"> (pak je </w:t>
      </w:r>
      <w:r w:rsidR="004C7646">
        <w:t xml:space="preserve">individualizovaný </w:t>
      </w:r>
      <w:r w:rsidR="080B4B94">
        <w:t>skrze abstrakci)</w:t>
      </w:r>
      <w:r>
        <w:t>. Intelekt ne</w:t>
      </w:r>
      <w:r w:rsidRPr="00273106">
        <w:t>má žádný smyslový orgán</w:t>
      </w:r>
      <w:r w:rsidR="002D5121">
        <w:t>. K</w:t>
      </w:r>
      <w:r w:rsidRPr="00273106">
        <w:t>e smyslům přichází zvnějšku</w:t>
      </w:r>
      <w:r w:rsidR="002D5121">
        <w:t xml:space="preserve"> (</w:t>
      </w:r>
      <w:r w:rsidR="002D5121">
        <w:rPr>
          <w:i/>
        </w:rPr>
        <w:t>ab extrinseco</w:t>
      </w:r>
      <w:r w:rsidR="002D5121">
        <w:t>)</w:t>
      </w:r>
      <w:r>
        <w:t>, protože je nemateriální potence duše</w:t>
      </w:r>
      <w:r w:rsidR="002D5121">
        <w:t xml:space="preserve">; proto přebírá smyslové </w:t>
      </w:r>
      <w:r w:rsidR="002D5121" w:rsidRPr="00273106">
        <w:t>poznání</w:t>
      </w:r>
      <w:r w:rsidR="002D5121">
        <w:t xml:space="preserve"> v modu </w:t>
      </w:r>
      <w:r w:rsidR="002D5121" w:rsidRPr="002D5121">
        <w:rPr>
          <w:i/>
        </w:rPr>
        <w:t>inmixtus</w:t>
      </w:r>
      <w:r w:rsidR="002D5121">
        <w:t xml:space="preserve"> a </w:t>
      </w:r>
      <w:r w:rsidR="002D5121" w:rsidRPr="002D5121">
        <w:rPr>
          <w:i/>
        </w:rPr>
        <w:t>obiective</w:t>
      </w:r>
      <w:r w:rsidR="002D5121">
        <w:t xml:space="preserve">. </w:t>
      </w:r>
      <w:r>
        <w:t xml:space="preserve">Tato univerzální </w:t>
      </w:r>
      <w:r w:rsidRPr="00273106">
        <w:t xml:space="preserve">potence </w:t>
      </w:r>
      <w:r>
        <w:t xml:space="preserve">k poznání všeho (tedy i nemateriálního bytí) </w:t>
      </w:r>
      <w:r w:rsidRPr="00273106">
        <w:t xml:space="preserve">je </w:t>
      </w:r>
      <w:r>
        <w:t xml:space="preserve">aktualizovaná </w:t>
      </w:r>
      <w:r w:rsidRPr="00273106">
        <w:t xml:space="preserve">pouze a jedině směrem od </w:t>
      </w:r>
      <w:r>
        <w:t xml:space="preserve">aktuálních </w:t>
      </w:r>
      <w:r w:rsidRPr="00273106">
        <w:t>smyslových fantasmat, která vznikají na materiálním substrátu (</w:t>
      </w:r>
      <w:r w:rsidRPr="00273106">
        <w:rPr>
          <w:i/>
        </w:rPr>
        <w:t>intentiones imaginatae numerentur secundum hominum numerationem</w:t>
      </w:r>
      <w:r w:rsidRPr="00273106">
        <w:t xml:space="preserve">). Fantamata jsou individuální, protože představují </w:t>
      </w:r>
      <w:r>
        <w:t xml:space="preserve">intencionální poznané formy dané smyslově od </w:t>
      </w:r>
      <w:r w:rsidRPr="00273106">
        <w:t>tělesných orgánů (</w:t>
      </w:r>
      <w:r w:rsidR="00962190">
        <w:rPr>
          <w:i/>
        </w:rPr>
        <w:t>species</w:t>
      </w:r>
      <w:r w:rsidRPr="00273106">
        <w:rPr>
          <w:i/>
        </w:rPr>
        <w:t xml:space="preserve"> sensibilis</w:t>
      </w:r>
      <w:r>
        <w:rPr>
          <w:i/>
        </w:rPr>
        <w:fldChar w:fldCharType="begin"/>
      </w:r>
      <w:r>
        <w:instrText xml:space="preserve"> XE "</w:instrText>
      </w:r>
      <w:r w:rsidRPr="00374FA1">
        <w:rPr>
          <w:i/>
        </w:rPr>
        <w:instrText>species sensibilis</w:instrText>
      </w:r>
      <w:r>
        <w:instrText xml:space="preserve">" </w:instrText>
      </w:r>
      <w:r>
        <w:rPr>
          <w:i/>
        </w:rPr>
        <w:fldChar w:fldCharType="end"/>
      </w:r>
      <w:r w:rsidRPr="00273106">
        <w:t xml:space="preserve">). </w:t>
      </w:r>
      <w:r>
        <w:t>Receptivní složka intelektu přebírá smyslové intence skrze sv</w:t>
      </w:r>
      <w:r w:rsidR="0041010D">
        <w:t>ou vlastní nemateriální potenci</w:t>
      </w:r>
      <w:r w:rsidR="001539E0">
        <w:t xml:space="preserve">. </w:t>
      </w:r>
      <w:r w:rsidR="001539E0" w:rsidRPr="001539E0">
        <w:t xml:space="preserve">V aktu recepce je intelekt zapojen </w:t>
      </w:r>
      <w:r w:rsidR="001539E0">
        <w:t xml:space="preserve">v </w:t>
      </w:r>
      <w:r w:rsidR="001539E0" w:rsidRPr="001539E0">
        <w:t xml:space="preserve">modu </w:t>
      </w:r>
      <w:r w:rsidR="001539E0" w:rsidRPr="001539E0">
        <w:rPr>
          <w:i/>
        </w:rPr>
        <w:t>tertium genus</w:t>
      </w:r>
      <w:r w:rsidR="001539E0">
        <w:t>, neboť v momentu „</w:t>
      </w:r>
      <w:r w:rsidR="001539E0" w:rsidRPr="001539E0">
        <w:rPr>
          <w:i/>
        </w:rPr>
        <w:t>intellectio</w:t>
      </w:r>
      <w:r w:rsidR="001539E0">
        <w:t>“</w:t>
      </w:r>
      <w:r w:rsidR="001539E0" w:rsidRPr="001539E0">
        <w:t xml:space="preserve"> se tato specifická nemateriální potencialita duše uskutečňuje v modu </w:t>
      </w:r>
      <w:r w:rsidR="001539E0" w:rsidRPr="001539E0">
        <w:rPr>
          <w:i/>
        </w:rPr>
        <w:t>subiective</w:t>
      </w:r>
      <w:r w:rsidR="001539E0" w:rsidRPr="001539E0">
        <w:t xml:space="preserve">. Intelekt jako potence v modu </w:t>
      </w:r>
      <w:r w:rsidR="001539E0" w:rsidRPr="001539E0">
        <w:rPr>
          <w:i/>
        </w:rPr>
        <w:t>separabilis</w:t>
      </w:r>
      <w:r w:rsidR="001539E0" w:rsidRPr="001539E0">
        <w:t xml:space="preserve"> přeměňuje </w:t>
      </w:r>
      <w:r w:rsidR="001539E0" w:rsidRPr="001539E0">
        <w:rPr>
          <w:i/>
        </w:rPr>
        <w:t>species sensibilis</w:t>
      </w:r>
      <w:r w:rsidR="001539E0">
        <w:t xml:space="preserve"> na</w:t>
      </w:r>
      <w:r w:rsidR="001539E0" w:rsidRPr="001539E0">
        <w:t xml:space="preserve"> </w:t>
      </w:r>
      <w:r w:rsidR="001539E0" w:rsidRPr="001539E0">
        <w:rPr>
          <w:i/>
        </w:rPr>
        <w:t>species intelligibilis</w:t>
      </w:r>
      <w:r w:rsidR="001539E0">
        <w:t xml:space="preserve">. </w:t>
      </w:r>
      <w:r w:rsidR="001539E0" w:rsidRPr="001539E0">
        <w:t xml:space="preserve">Protože jsou již aktualizovány jako empirické poznání, iniciují nemateriální a čistě potenciální část </w:t>
      </w:r>
      <w:r w:rsidR="001539E0" w:rsidRPr="001539E0">
        <w:rPr>
          <w:i/>
        </w:rPr>
        <w:t>anima intellectiva</w:t>
      </w:r>
      <w:r w:rsidR="001539E0">
        <w:t xml:space="preserve">. </w:t>
      </w:r>
      <w:r>
        <w:t xml:space="preserve">Tím se aktualizuje schopnost recepce pro </w:t>
      </w:r>
      <w:r w:rsidRPr="00363CAB">
        <w:rPr>
          <w:i/>
        </w:rPr>
        <w:t>intellectus possibilis</w:t>
      </w:r>
      <w:r>
        <w:rPr>
          <w:i/>
        </w:rPr>
        <w:fldChar w:fldCharType="begin"/>
      </w:r>
      <w:r>
        <w:instrText xml:space="preserve"> XE "</w:instrText>
      </w:r>
      <w:r w:rsidRPr="00770D02">
        <w:rPr>
          <w:i/>
        </w:rPr>
        <w:instrText>intellectus possibilis</w:instrText>
      </w:r>
      <w:r>
        <w:instrText xml:space="preserve">:Siger" </w:instrText>
      </w:r>
      <w:r>
        <w:rPr>
          <w:i/>
        </w:rPr>
        <w:fldChar w:fldCharType="end"/>
      </w:r>
      <w:r>
        <w:t xml:space="preserve"> a zároveň dojde k jeho individuaci skrze přijetí nemateriálních intencí daných ze smyslových </w:t>
      </w:r>
      <w:r w:rsidR="00962190" w:rsidRPr="0063394A">
        <w:t>species</w:t>
      </w:r>
      <w:r>
        <w:t xml:space="preserve"> v modu </w:t>
      </w:r>
      <w:r w:rsidR="00300AD5">
        <w:t>„</w:t>
      </w:r>
      <w:r w:rsidRPr="00A11FAC">
        <w:rPr>
          <w:i/>
        </w:rPr>
        <w:t>experimur</w:t>
      </w:r>
      <w:r w:rsidR="00300AD5">
        <w:t>“</w:t>
      </w:r>
      <w:r>
        <w:t xml:space="preserve">. Výkon intelektu je pak zakoušen jako existenciální zkušenost dané osoby v modu </w:t>
      </w:r>
      <w:r w:rsidR="00300AD5">
        <w:t>„</w:t>
      </w:r>
      <w:r w:rsidRPr="00A11FAC">
        <w:rPr>
          <w:i/>
        </w:rPr>
        <w:t xml:space="preserve">conscii </w:t>
      </w:r>
      <w:r w:rsidRPr="00A11FAC">
        <w:rPr>
          <w:i/>
        </w:rPr>
        <w:lastRenderedPageBreak/>
        <w:t>sumus</w:t>
      </w:r>
      <w:r w:rsidR="00300AD5">
        <w:t>“</w:t>
      </w:r>
      <w:r w:rsidR="080E1D55">
        <w:t xml:space="preserve"> </w:t>
      </w:r>
      <w:r w:rsidR="080E1D55" w:rsidRPr="081942A4">
        <w:rPr>
          <w:szCs w:val="24"/>
        </w:rPr>
        <w:t>(</w:t>
      </w:r>
      <w:r w:rsidR="080E1D55" w:rsidRPr="081942A4">
        <w:rPr>
          <w:i/>
          <w:szCs w:val="24"/>
        </w:rPr>
        <w:t>subiective</w:t>
      </w:r>
      <w:r w:rsidR="080E1D55" w:rsidRPr="081942A4">
        <w:rPr>
          <w:szCs w:val="24"/>
        </w:rPr>
        <w:t xml:space="preserve">, </w:t>
      </w:r>
      <w:r w:rsidR="080E1D55" w:rsidRPr="081942A4">
        <w:rPr>
          <w:i/>
          <w:szCs w:val="24"/>
        </w:rPr>
        <w:t xml:space="preserve">tertium </w:t>
      </w:r>
      <w:r w:rsidR="00962190">
        <w:rPr>
          <w:i/>
          <w:szCs w:val="24"/>
        </w:rPr>
        <w:t>genus</w:t>
      </w:r>
      <w:r w:rsidR="080E1D55" w:rsidRPr="081942A4">
        <w:rPr>
          <w:szCs w:val="24"/>
        </w:rPr>
        <w:t>).</w:t>
      </w:r>
      <w:r>
        <w:t xml:space="preserve"> </w:t>
      </w:r>
      <w:r w:rsidR="08922B15">
        <w:t>Tím je dán intelekt v duševně-tělesném výkonu (</w:t>
      </w:r>
      <w:r w:rsidR="08922B15" w:rsidRPr="08922B15">
        <w:rPr>
          <w:i/>
        </w:rPr>
        <w:t>fieri</w:t>
      </w:r>
      <w:r w:rsidR="08922B15">
        <w:t xml:space="preserve">) </w:t>
      </w:r>
      <w:r>
        <w:t>sebereflexivního vnímání (</w:t>
      </w:r>
      <w:r w:rsidRPr="081B38D0">
        <w:rPr>
          <w:i/>
        </w:rPr>
        <w:t>i</w:t>
      </w:r>
      <w:r w:rsidRPr="081B38D0">
        <w:rPr>
          <w:i/>
          <w:lang w:eastAsia="en-US"/>
        </w:rPr>
        <w:t>ntellec</w:t>
      </w:r>
      <w:r w:rsidRPr="081B38D0">
        <w:rPr>
          <w:i/>
          <w:lang w:eastAsia="en-US"/>
        </w:rPr>
        <w:softHyphen/>
        <w:t>tus noster apprehendit se ipsum sicut operari</w:t>
      </w:r>
      <w:r>
        <w:rPr>
          <w:lang w:eastAsia="en-US"/>
        </w:rPr>
        <w:t xml:space="preserve">). </w:t>
      </w:r>
      <w:r w:rsidR="08A866E4">
        <w:rPr>
          <w:lang w:eastAsia="en-US"/>
        </w:rPr>
        <w:t xml:space="preserve">Tím je zajištěna reálná kauzalita intelektu. Výsledný závěr </w:t>
      </w:r>
      <w:r w:rsidR="008F7232">
        <w:rPr>
          <w:lang w:eastAsia="en-US"/>
        </w:rPr>
        <w:t xml:space="preserve">deduktivního </w:t>
      </w:r>
      <w:r w:rsidR="08A866E4">
        <w:rPr>
          <w:lang w:eastAsia="en-US"/>
        </w:rPr>
        <w:t xml:space="preserve">sylogismu pak prezentuje intelekt jako esenci </w:t>
      </w:r>
      <w:r w:rsidR="08A866E4" w:rsidRPr="081942A4">
        <w:rPr>
          <w:szCs w:val="24"/>
        </w:rPr>
        <w:t>(</w:t>
      </w:r>
      <w:r w:rsidR="08A866E4" w:rsidRPr="081942A4">
        <w:rPr>
          <w:i/>
          <w:szCs w:val="24"/>
        </w:rPr>
        <w:t xml:space="preserve">quartum </w:t>
      </w:r>
      <w:r w:rsidR="00962190">
        <w:rPr>
          <w:i/>
          <w:szCs w:val="24"/>
        </w:rPr>
        <w:t>genus</w:t>
      </w:r>
      <w:r w:rsidR="08A866E4" w:rsidRPr="081942A4">
        <w:rPr>
          <w:szCs w:val="24"/>
        </w:rPr>
        <w:t xml:space="preserve">). </w:t>
      </w:r>
      <w:r>
        <w:t xml:space="preserve">Schéma nasvícení intelektu zepředu od aktuálních a individuálních </w:t>
      </w:r>
      <w:r w:rsidR="00962190">
        <w:rPr>
          <w:i/>
        </w:rPr>
        <w:t>species</w:t>
      </w:r>
      <w:r w:rsidRPr="007B5E5B">
        <w:rPr>
          <w:i/>
        </w:rPr>
        <w:t xml:space="preserve"> sensibilis</w:t>
      </w:r>
      <w:r>
        <w:t xml:space="preserve"> ukazuje Sigerovo brilantní řešení jednoty osoby a poznání podle CMDA. Protože intelekt je jen potencí, je také potencí vůči aktuálně danému smyslovému poznání, které je materiálně individualizováno. Ale identita smyslového poznání není totéž jako ipseita osoby daná skrze poznání intelektu. Zakoušení skrze intelekt je dáno vzhledem ke smyslové identitě </w:t>
      </w:r>
      <w:r w:rsidR="008F56BE">
        <w:t>„</w:t>
      </w:r>
      <w:r w:rsidRPr="081006E0">
        <w:rPr>
          <w:i/>
        </w:rPr>
        <w:t>ab extrinseco</w:t>
      </w:r>
      <w:r w:rsidR="008F56BE">
        <w:t>“</w:t>
      </w:r>
      <w:r w:rsidRPr="081006E0">
        <w:t xml:space="preserve">, tedy v modu </w:t>
      </w:r>
      <w:r w:rsidR="008F56BE">
        <w:t>„</w:t>
      </w:r>
      <w:r w:rsidRPr="081006E0">
        <w:rPr>
          <w:i/>
        </w:rPr>
        <w:t>conscii sumus</w:t>
      </w:r>
      <w:r w:rsidR="008F56BE">
        <w:t>“</w:t>
      </w:r>
      <w:r>
        <w:rPr>
          <w:i/>
        </w:rPr>
        <w:t xml:space="preserve">. </w:t>
      </w:r>
      <w:r w:rsidR="008B43A3">
        <w:t>S</w:t>
      </w:r>
      <w:r>
        <w:t>myslové poznání je nezbytné, protože zajišťuje aktuální individualizaci, kterou v odděleném modu intenduje, přijímá a syntetizuje nemateriální potence intelektu</w:t>
      </w:r>
      <w:r w:rsidR="00076089">
        <w:t xml:space="preserve"> jako </w:t>
      </w:r>
      <w:r w:rsidR="00076089" w:rsidRPr="00076089">
        <w:rPr>
          <w:i/>
        </w:rPr>
        <w:t>separabilis</w:t>
      </w:r>
      <w:r>
        <w:t xml:space="preserve">. Proto </w:t>
      </w:r>
      <w:r w:rsidRPr="00AF5C17">
        <w:rPr>
          <w:i/>
        </w:rPr>
        <w:t>intellectus possibilis</w:t>
      </w:r>
      <w:r>
        <w:t xml:space="preserve"> přebírá aktuální smyslově individualizované </w:t>
      </w:r>
      <w:r w:rsidR="000A293A">
        <w:t>„</w:t>
      </w:r>
      <w:r w:rsidRPr="00E73FAE">
        <w:rPr>
          <w:i/>
        </w:rPr>
        <w:t>intentiones imaginatas</w:t>
      </w:r>
      <w:r w:rsidR="000A293A">
        <w:t>“</w:t>
      </w:r>
      <w:r w:rsidRPr="00273106">
        <w:t xml:space="preserve"> </w:t>
      </w:r>
      <w:r>
        <w:t xml:space="preserve">na úrovni své nemateriální potence. Výkonem této dvojí intencionality se individualizované porozumění stává </w:t>
      </w:r>
      <w:r w:rsidR="082376B8">
        <w:t xml:space="preserve">jednotným </w:t>
      </w:r>
      <w:r>
        <w:t>aktem osobně vykonávané</w:t>
      </w:r>
      <w:r w:rsidR="000A293A">
        <w:t xml:space="preserve">ho myšlení. To je </w:t>
      </w:r>
      <w:r>
        <w:t>postaven</w:t>
      </w:r>
      <w:r w:rsidR="000A293A">
        <w:t>o</w:t>
      </w:r>
      <w:r>
        <w:t xml:space="preserve"> mimo smysly</w:t>
      </w:r>
      <w:r w:rsidR="000A293A">
        <w:t xml:space="preserve"> (</w:t>
      </w:r>
      <w:r w:rsidR="000A293A" w:rsidRPr="000A293A">
        <w:rPr>
          <w:i/>
        </w:rPr>
        <w:t>obiective</w:t>
      </w:r>
      <w:r w:rsidR="000A293A">
        <w:t>), ale ne mimo tělo (</w:t>
      </w:r>
      <w:r w:rsidR="000A293A" w:rsidRPr="000A293A">
        <w:rPr>
          <w:i/>
        </w:rPr>
        <w:t>subiective</w:t>
      </w:r>
      <w:r w:rsidR="000A293A">
        <w:t>)</w:t>
      </w:r>
      <w:r w:rsidR="00361400">
        <w:t xml:space="preserve">. Intelekt </w:t>
      </w:r>
      <w:r>
        <w:t xml:space="preserve">přebírá </w:t>
      </w:r>
      <w:r w:rsidR="00962190" w:rsidRPr="000A293A">
        <w:t>species</w:t>
      </w:r>
      <w:r>
        <w:t xml:space="preserve"> jako smyslové poznatky</w:t>
      </w:r>
      <w:r w:rsidR="00361400">
        <w:t xml:space="preserve"> tím, že je </w:t>
      </w:r>
      <w:r>
        <w:t xml:space="preserve">v procesu abstrakce intenduje </w:t>
      </w:r>
      <w:r w:rsidR="00361400">
        <w:t xml:space="preserve">jako smyslově a </w:t>
      </w:r>
      <w:r>
        <w:t>aktuálně</w:t>
      </w:r>
      <w:r w:rsidR="00361400">
        <w:t xml:space="preserve"> dané kognitivní formy</w:t>
      </w:r>
      <w:r>
        <w:t xml:space="preserve">. Tato druhá forma intencionality abstrahuje oddělené nemateriální formy od numericky individuálních, aktuálních a materiálních </w:t>
      </w:r>
      <w:r w:rsidR="00962190">
        <w:rPr>
          <w:i/>
        </w:rPr>
        <w:t>species</w:t>
      </w:r>
      <w:r w:rsidRPr="00DC173E">
        <w:rPr>
          <w:i/>
        </w:rPr>
        <w:t xml:space="preserve"> sensibilis</w:t>
      </w:r>
      <w:r>
        <w:t>.</w:t>
      </w:r>
      <w:r w:rsidRPr="00FE025B">
        <w:rPr>
          <w:rStyle w:val="Znakapoznpodarou"/>
        </w:rPr>
        <w:t xml:space="preserve"> </w:t>
      </w:r>
      <w:r>
        <w:t xml:space="preserve">Intencionální zaměření receptivního intelektu směrem k materiálně diferencovaným představám vytváří výsledný </w:t>
      </w:r>
      <w:r w:rsidR="00962190">
        <w:rPr>
          <w:i/>
        </w:rPr>
        <w:t>species</w:t>
      </w:r>
      <w:r w:rsidRPr="007878C4">
        <w:rPr>
          <w:i/>
        </w:rPr>
        <w:t xml:space="preserve"> intelligibilis</w:t>
      </w:r>
      <w:r>
        <w:rPr>
          <w:i/>
        </w:rPr>
        <w:fldChar w:fldCharType="begin"/>
      </w:r>
      <w:r>
        <w:instrText xml:space="preserve"> XE "</w:instrText>
      </w:r>
      <w:r w:rsidRPr="00DD403C">
        <w:rPr>
          <w:i/>
        </w:rPr>
        <w:instrText>species intelligibilis:</w:instrText>
      </w:r>
      <w:r w:rsidRPr="00DD403C">
        <w:instrText>Avicenna</w:instrText>
      </w:r>
      <w:r>
        <w:instrText xml:space="preserve">" </w:instrText>
      </w:r>
      <w:r>
        <w:rPr>
          <w:i/>
        </w:rPr>
        <w:fldChar w:fldCharType="end"/>
      </w:r>
      <w:r>
        <w:t xml:space="preserve"> součinností s činným intelektem. Ale </w:t>
      </w:r>
      <w:r w:rsidR="00962190" w:rsidRPr="00D369BE">
        <w:t>species</w:t>
      </w:r>
      <w:r>
        <w:t xml:space="preserve"> intelektu jsou vzhledem ke své univerzalitě jen v potenci vůči singulárním a aktuálně (tj. materiálně) daným smyslovým </w:t>
      </w:r>
      <w:r w:rsidR="00962190" w:rsidRPr="0039640D">
        <w:t>species</w:t>
      </w:r>
      <w:r>
        <w:t>. Tím je dáno kompletní postavení intelektu vzhledem ke smyslovému poznání</w:t>
      </w:r>
      <w:r w:rsidR="00CC63B3">
        <w:t>.</w:t>
      </w:r>
    </w:p>
    <w:p w:rsidR="006B10AC" w:rsidRDefault="08163013" w:rsidP="000408D4">
      <w:pPr>
        <w:ind w:firstLine="397"/>
      </w:pPr>
      <w:r w:rsidRPr="00273106">
        <w:t xml:space="preserve">Termíny typu </w:t>
      </w:r>
      <w:r w:rsidRPr="00273106">
        <w:rPr>
          <w:i/>
        </w:rPr>
        <w:t>consimile</w:t>
      </w:r>
      <w:r>
        <w:t xml:space="preserve"> a </w:t>
      </w:r>
      <w:r w:rsidRPr="00273106">
        <w:rPr>
          <w:i/>
        </w:rPr>
        <w:t>simile</w:t>
      </w:r>
      <w:r w:rsidRPr="00273106">
        <w:t xml:space="preserve"> oddělují </w:t>
      </w:r>
      <w:r>
        <w:t>Averroes</w:t>
      </w:r>
      <w:r w:rsidRPr="00273106">
        <w:t xml:space="preserve">ovo pojetí </w:t>
      </w:r>
      <w:r w:rsidRPr="00273106">
        <w:rPr>
          <w:i/>
        </w:rPr>
        <w:t>intellectus possibilis</w:t>
      </w:r>
      <w:r w:rsidRPr="00273106">
        <w:t xml:space="preserve"> od Avicennova pojetí intelektu jako substance</w:t>
      </w:r>
      <w:r w:rsidR="004C079B">
        <w:t xml:space="preserve"> </w:t>
      </w:r>
      <w:r w:rsidRPr="00273106">
        <w:t>materiálně dané v těle (</w:t>
      </w:r>
      <w:r w:rsidRPr="00273106">
        <w:rPr>
          <w:i/>
        </w:rPr>
        <w:t>intellectus materialis</w:t>
      </w:r>
      <w:r>
        <w:rPr>
          <w:i/>
        </w:rPr>
        <w:fldChar w:fldCharType="begin"/>
      </w:r>
      <w:r>
        <w:instrText xml:space="preserve"> XE "</w:instrText>
      </w:r>
      <w:r w:rsidRPr="00BE489A">
        <w:rPr>
          <w:i/>
        </w:rPr>
        <w:instrText>intellectus materialis:</w:instrText>
      </w:r>
      <w:r w:rsidRPr="00BE489A">
        <w:instrText>Avicenna</w:instrText>
      </w:r>
      <w:r>
        <w:instrText xml:space="preserve">" </w:instrText>
      </w:r>
      <w:r>
        <w:rPr>
          <w:i/>
        </w:rPr>
        <w:fldChar w:fldCharType="end"/>
      </w:r>
      <w:r w:rsidR="004C079B">
        <w:t>), která komunikuje se zcela oddělenou formou</w:t>
      </w:r>
      <w:r w:rsidRPr="00273106">
        <w:t xml:space="preserve"> </w:t>
      </w:r>
      <w:r w:rsidR="004C079B">
        <w:t xml:space="preserve">kosmického intelektu </w:t>
      </w:r>
      <w:r w:rsidRPr="00273106">
        <w:t>(</w:t>
      </w:r>
      <w:r w:rsidRPr="00273106">
        <w:rPr>
          <w:i/>
        </w:rPr>
        <w:t>intellectus</w:t>
      </w:r>
      <w:r w:rsidR="00575826">
        <w:rPr>
          <w:i/>
        </w:rPr>
        <w:t xml:space="preserve"> </w:t>
      </w:r>
      <w:r>
        <w:rPr>
          <w:i/>
        </w:rPr>
        <w:t>agens</w:t>
      </w:r>
      <w:r w:rsidRPr="00273106">
        <w:t xml:space="preserve">). </w:t>
      </w:r>
      <w:r>
        <w:t>Averroes</w:t>
      </w:r>
      <w:r w:rsidRPr="00273106">
        <w:t xml:space="preserve"> odmítl </w:t>
      </w:r>
      <w:r>
        <w:t xml:space="preserve">dualistické </w:t>
      </w:r>
      <w:r w:rsidRPr="00273106">
        <w:t>řešení Themistia</w:t>
      </w:r>
      <w:r>
        <w:fldChar w:fldCharType="begin"/>
      </w:r>
      <w:r>
        <w:instrText xml:space="preserve"> XE "</w:instrText>
      </w:r>
      <w:r w:rsidRPr="002255E5">
        <w:instrText>Themistius</w:instrText>
      </w:r>
      <w:r>
        <w:instrText xml:space="preserve">" </w:instrText>
      </w:r>
      <w:r>
        <w:fldChar w:fldCharType="end"/>
      </w:r>
      <w:r w:rsidRPr="00273106">
        <w:t xml:space="preserve"> a Alexandra</w:t>
      </w:r>
      <w:r>
        <w:fldChar w:fldCharType="begin"/>
      </w:r>
      <w:r>
        <w:instrText xml:space="preserve"> XE "Alexander, Afrodisias" </w:instrText>
      </w:r>
      <w:r>
        <w:fldChar w:fldCharType="end"/>
      </w:r>
      <w:r>
        <w:t xml:space="preserve"> (</w:t>
      </w:r>
      <w:r w:rsidR="08057264">
        <w:t xml:space="preserve">OBJ I, </w:t>
      </w:r>
      <w:r>
        <w:t>kap. 2.4.3)</w:t>
      </w:r>
      <w:r w:rsidRPr="00273106">
        <w:t>. Si</w:t>
      </w:r>
      <w:r>
        <w:t xml:space="preserve">ger </w:t>
      </w:r>
      <w:r w:rsidR="00EF5524">
        <w:t xml:space="preserve">odmítl </w:t>
      </w:r>
      <w:r>
        <w:t xml:space="preserve">lidský intelekt </w:t>
      </w:r>
      <w:r w:rsidR="00EF5524">
        <w:t xml:space="preserve">jako </w:t>
      </w:r>
      <w:r w:rsidRPr="00273106">
        <w:rPr>
          <w:i/>
        </w:rPr>
        <w:t>hoc aliquid</w:t>
      </w:r>
      <w:r>
        <w:rPr>
          <w:i/>
        </w:rPr>
        <w:fldChar w:fldCharType="begin"/>
      </w:r>
      <w:r>
        <w:instrText xml:space="preserve"> XE "</w:instrText>
      </w:r>
      <w:r w:rsidRPr="006B0AC6">
        <w:rPr>
          <w:rStyle w:val="FontStyle129"/>
          <w:i/>
          <w:sz w:val="24"/>
        </w:rPr>
        <w:instrText>hoc aliquid:</w:instrText>
      </w:r>
      <w:r w:rsidRPr="006B0AC6">
        <w:instrText>Avicenna</w:instrText>
      </w:r>
      <w:r>
        <w:instrText xml:space="preserve">" </w:instrText>
      </w:r>
      <w:r>
        <w:rPr>
          <w:i/>
        </w:rPr>
        <w:fldChar w:fldCharType="end"/>
      </w:r>
      <w:r w:rsidR="00EF5524">
        <w:t xml:space="preserve">. Intelekt je </w:t>
      </w:r>
      <w:r w:rsidRPr="00273106">
        <w:t xml:space="preserve">pasivní nemateriální </w:t>
      </w:r>
      <w:r>
        <w:t xml:space="preserve">potence </w:t>
      </w:r>
      <w:r w:rsidRPr="00273106">
        <w:t xml:space="preserve">duše, která díky </w:t>
      </w:r>
      <w:r>
        <w:t>při</w:t>
      </w:r>
      <w:r w:rsidRPr="00273106">
        <w:t>dané receptivitě intelektu (</w:t>
      </w:r>
      <w:r w:rsidRPr="00273106">
        <w:rPr>
          <w:i/>
        </w:rPr>
        <w:t>inmixtus</w:t>
      </w:r>
      <w:r w:rsidRPr="00273106">
        <w:t xml:space="preserve">, </w:t>
      </w:r>
      <w:r w:rsidRPr="00273106">
        <w:rPr>
          <w:i/>
        </w:rPr>
        <w:t>inmaterialis</w:t>
      </w:r>
      <w:r w:rsidRPr="00273106">
        <w:t xml:space="preserve">, </w:t>
      </w:r>
      <w:r w:rsidRPr="00273106">
        <w:rPr>
          <w:i/>
        </w:rPr>
        <w:t>ab extrinseco</w:t>
      </w:r>
      <w:r w:rsidRPr="00273106">
        <w:t xml:space="preserve">, </w:t>
      </w:r>
      <w:proofErr w:type="gramStart"/>
      <w:r w:rsidRPr="00273106">
        <w:rPr>
          <w:i/>
        </w:rPr>
        <w:t>separa</w:t>
      </w:r>
      <w:r>
        <w:rPr>
          <w:i/>
        </w:rPr>
        <w:t>bilis</w:t>
      </w:r>
      <w:r w:rsidRPr="00273106">
        <w:t>...) je</w:t>
      </w:r>
      <w:proofErr w:type="gramEnd"/>
      <w:r w:rsidRPr="00273106">
        <w:t xml:space="preserve"> schopna individualizace skrze smyslové materiální obsahy. Tyto smyslově </w:t>
      </w:r>
      <w:r w:rsidRPr="00273106">
        <w:lastRenderedPageBreak/>
        <w:t xml:space="preserve">dané obsahy </w:t>
      </w:r>
      <w:r w:rsidR="0073410D">
        <w:t xml:space="preserve">intelekt </w:t>
      </w:r>
      <w:r w:rsidRPr="00273106">
        <w:t xml:space="preserve">dále zpracovává jako naše vlastní poznání, které zakoušíme ve výkonu </w:t>
      </w:r>
      <w:r w:rsidR="0073410D">
        <w:t xml:space="preserve">porozumění </w:t>
      </w:r>
      <w:r>
        <w:t>(</w:t>
      </w:r>
      <w:r w:rsidRPr="00376EC4">
        <w:rPr>
          <w:i/>
        </w:rPr>
        <w:t>conscientia</w:t>
      </w:r>
      <w:r w:rsidR="0073410D">
        <w:rPr>
          <w:i/>
        </w:rPr>
        <w:t xml:space="preserve">, </w:t>
      </w:r>
      <w:r w:rsidRPr="081B38D0">
        <w:rPr>
          <w:i/>
          <w:lang w:eastAsia="en-US"/>
        </w:rPr>
        <w:t>app</w:t>
      </w:r>
      <w:r>
        <w:rPr>
          <w:i/>
          <w:lang w:eastAsia="en-US"/>
        </w:rPr>
        <w:t>rehensio</w:t>
      </w:r>
      <w:r>
        <w:t xml:space="preserve">). </w:t>
      </w:r>
      <w:r w:rsidR="08D55A5B">
        <w:t>Absolutní z</w:t>
      </w:r>
      <w:r w:rsidRPr="00273106">
        <w:t xml:space="preserve">ávislost </w:t>
      </w:r>
      <w:r w:rsidR="08D55A5B">
        <w:t xml:space="preserve">aktualizovaného </w:t>
      </w:r>
      <w:r w:rsidRPr="00273106">
        <w:t>intelektu na smyslech</w:t>
      </w:r>
      <w:r>
        <w:t xml:space="preserve"> v modu </w:t>
      </w:r>
      <w:r w:rsidRPr="082428B5">
        <w:rPr>
          <w:i/>
        </w:rPr>
        <w:t xml:space="preserve">tertium </w:t>
      </w:r>
      <w:r w:rsidR="00962190">
        <w:rPr>
          <w:i/>
        </w:rPr>
        <w:t>genus</w:t>
      </w:r>
      <w:r>
        <w:fldChar w:fldCharType="begin"/>
      </w:r>
      <w:r>
        <w:instrText xml:space="preserve"> XE "intelekt:</w:instrText>
      </w:r>
      <w:r w:rsidRPr="00D04010">
        <w:rPr>
          <w:i/>
        </w:rPr>
        <w:instrText>experimur</w:instrText>
      </w:r>
      <w:r w:rsidRPr="008D12CB">
        <w:instrText>/</w:instrText>
      </w:r>
      <w:r w:rsidRPr="00D04010">
        <w:rPr>
          <w:i/>
        </w:rPr>
        <w:instrText>cons</w:instrText>
      </w:r>
      <w:r>
        <w:rPr>
          <w:i/>
        </w:rPr>
        <w:instrText>c</w:instrText>
      </w:r>
      <w:r w:rsidRPr="00D04010">
        <w:rPr>
          <w:i/>
        </w:rPr>
        <w:instrText>ii sumus</w:instrText>
      </w:r>
      <w:r>
        <w:instrText xml:space="preserve">" </w:instrText>
      </w:r>
      <w:r>
        <w:fldChar w:fldCharType="end"/>
      </w:r>
      <w:r>
        <w:t xml:space="preserve"> </w:t>
      </w:r>
      <w:r w:rsidR="082E2716">
        <w:t xml:space="preserve">a </w:t>
      </w:r>
      <w:r w:rsidR="082E2716" w:rsidRPr="082E2716">
        <w:rPr>
          <w:i/>
        </w:rPr>
        <w:t>subiective</w:t>
      </w:r>
      <w:r w:rsidR="082E2716">
        <w:t xml:space="preserve"> </w:t>
      </w:r>
      <w:r w:rsidR="08D55A5B">
        <w:t>definuje n</w:t>
      </w:r>
      <w:r>
        <w:t>aprosto zásadní charakter</w:t>
      </w:r>
      <w:r w:rsidR="082E2716">
        <w:t xml:space="preserve"> </w:t>
      </w:r>
      <w:r w:rsidR="08D55A5B">
        <w:t xml:space="preserve">lidského intelektu jako </w:t>
      </w:r>
      <w:r w:rsidR="082E2716" w:rsidRPr="081942A4">
        <w:rPr>
          <w:i/>
          <w:szCs w:val="24"/>
        </w:rPr>
        <w:t>tabula rasa</w:t>
      </w:r>
      <w:r w:rsidR="089F7F4F">
        <w:rPr>
          <w:i/>
          <w:szCs w:val="24"/>
          <w:lang w:val="de-LU"/>
        </w:rPr>
        <w:fldChar w:fldCharType="begin"/>
      </w:r>
      <w:r w:rsidR="089F7F4F">
        <w:instrText xml:space="preserve"> XE "</w:instrText>
      </w:r>
      <w:r w:rsidR="089F7F4F" w:rsidRPr="081942A4">
        <w:rPr>
          <w:i/>
          <w:szCs w:val="24"/>
        </w:rPr>
        <w:instrText>tabula rasa</w:instrText>
      </w:r>
      <w:r w:rsidR="089F7F4F">
        <w:instrText xml:space="preserve">" </w:instrText>
      </w:r>
      <w:r w:rsidR="089F7F4F">
        <w:rPr>
          <w:i/>
          <w:szCs w:val="24"/>
          <w:lang w:val="de-LU"/>
        </w:rPr>
        <w:fldChar w:fldCharType="end"/>
      </w:r>
      <w:r>
        <w:t xml:space="preserve">. Přenos aktuality z reality přes smysly do intelektu v modu </w:t>
      </w:r>
      <w:r w:rsidR="081942A4">
        <w:t xml:space="preserve">metafyzického </w:t>
      </w:r>
      <w:r>
        <w:t>dativu</w:t>
      </w:r>
      <w:r>
        <w:fldChar w:fldCharType="begin"/>
      </w:r>
      <w:r>
        <w:instrText xml:space="preserve"> XE "</w:instrText>
      </w:r>
      <w:r w:rsidR="081942A4">
        <w:rPr>
          <w:i/>
        </w:rPr>
        <w:instrText>dativus metaphysi</w:instrText>
      </w:r>
      <w:r w:rsidRPr="08A625B6">
        <w:rPr>
          <w:i/>
        </w:rPr>
        <w:instrText>cus</w:instrText>
      </w:r>
      <w:r>
        <w:instrText xml:space="preserve">" </w:instrText>
      </w:r>
      <w:r>
        <w:fldChar w:fldCharType="end"/>
      </w:r>
      <w:r>
        <w:t xml:space="preserve"> zajišťuje poznání jako adevakci</w:t>
      </w:r>
      <w:r w:rsidR="000408D4">
        <w:t xml:space="preserve"> prvních substancí a intelektu. Pravda jako adekvace věci a intelektu je plně ustavena, až poznání prošlo všemi stupni mediace. </w:t>
      </w:r>
      <w:r w:rsidR="00700425">
        <w:t>N</w:t>
      </w:r>
      <w:r w:rsidRPr="00273106">
        <w:t>emateriální sch</w:t>
      </w:r>
      <w:r w:rsidR="001C1724">
        <w:t>opnost intelektu nemá numerickou individuaci danou</w:t>
      </w:r>
      <w:r w:rsidRPr="00273106">
        <w:t xml:space="preserve"> </w:t>
      </w:r>
      <w:r w:rsidR="001C1724">
        <w:t>skrze materii</w:t>
      </w:r>
      <w:r w:rsidRPr="00273106">
        <w:t xml:space="preserve">, protože </w:t>
      </w:r>
      <w:r w:rsidR="00700425">
        <w:t>o</w:t>
      </w:r>
      <w:r>
        <w:t xml:space="preserve">sobní </w:t>
      </w:r>
      <w:r w:rsidRPr="00273106">
        <w:t>intelekt je dán jako oddělená, tedy nemateriální potence duše</w:t>
      </w:r>
      <w:r>
        <w:t xml:space="preserve"> (</w:t>
      </w:r>
      <w:r w:rsidRPr="009E49A3">
        <w:rPr>
          <w:i/>
        </w:rPr>
        <w:t>separabilis</w:t>
      </w:r>
      <w:r w:rsidRPr="08A25987">
        <w:t>)</w:t>
      </w:r>
      <w:r>
        <w:t xml:space="preserve">. </w:t>
      </w:r>
      <w:r w:rsidRPr="00273106">
        <w:t>Ta</w:t>
      </w:r>
      <w:r>
        <w:t>to schopnost</w:t>
      </w:r>
      <w:r w:rsidRPr="00273106">
        <w:t xml:space="preserve"> </w:t>
      </w:r>
      <w:r>
        <w:t xml:space="preserve">představuje potenci duše jako jediné formy </w:t>
      </w:r>
      <w:r w:rsidRPr="00273106">
        <w:t xml:space="preserve">bytující </w:t>
      </w:r>
      <w:r>
        <w:t>v aktu osoby jako hylemorfického</w:t>
      </w:r>
      <w:r w:rsidRPr="00273106">
        <w:t xml:space="preserve"> substrát</w:t>
      </w:r>
      <w:r>
        <w:t>u.</w:t>
      </w:r>
      <w:r w:rsidRPr="00273106">
        <w:t xml:space="preserve"> </w:t>
      </w:r>
      <w:r>
        <w:t xml:space="preserve">Proto je intelekt pro Sigera v modu </w:t>
      </w:r>
      <w:r w:rsidRPr="0851231E">
        <w:rPr>
          <w:i/>
        </w:rPr>
        <w:t>subiective</w:t>
      </w:r>
      <w:r>
        <w:t xml:space="preserve"> vázaný na smysly pouze skrze intendovanou aktualitu smyslových </w:t>
      </w:r>
      <w:r w:rsidR="00962190" w:rsidRPr="006B10AC">
        <w:t>species</w:t>
      </w:r>
      <w:r w:rsidR="006B10AC">
        <w:t>.</w:t>
      </w:r>
    </w:p>
    <w:p w:rsidR="081D04B2" w:rsidRPr="000408D4" w:rsidRDefault="006B10AC" w:rsidP="00D45100">
      <w:pPr>
        <w:ind w:firstLine="397"/>
      </w:pPr>
      <w:r>
        <w:t>Jejich klíčová vlastnost</w:t>
      </w:r>
      <w:r w:rsidR="002C4C76">
        <w:t xml:space="preserve"> je </w:t>
      </w:r>
      <w:r>
        <w:t xml:space="preserve">v tom, že </w:t>
      </w:r>
      <w:r w:rsidR="002C4C76">
        <w:t xml:space="preserve">fungují jako </w:t>
      </w:r>
      <w:r>
        <w:t>diafanum</w:t>
      </w:r>
      <w:r w:rsidR="00B8183C">
        <w:fldChar w:fldCharType="begin"/>
      </w:r>
      <w:r w:rsidR="00B8183C">
        <w:instrText xml:space="preserve"> XE "</w:instrText>
      </w:r>
      <w:r w:rsidR="00B8183C" w:rsidRPr="00B955E4">
        <w:instrText>diafanum</w:instrText>
      </w:r>
      <w:r w:rsidR="00B8183C">
        <w:instrText xml:space="preserve">" </w:instrText>
      </w:r>
      <w:r w:rsidR="00B8183C">
        <w:fldChar w:fldCharType="end"/>
      </w:r>
      <w:r>
        <w:t>, proto</w:t>
      </w:r>
      <w:r w:rsidR="00A77AAB">
        <w:t>že</w:t>
      </w:r>
      <w:r>
        <w:t xml:space="preserve"> představují nemateriální poznávací formu. Tato </w:t>
      </w:r>
      <w:r w:rsidRPr="002C4C76">
        <w:rPr>
          <w:i/>
        </w:rPr>
        <w:t>species sensibilis</w:t>
      </w:r>
      <w:r w:rsidR="00B8183C">
        <w:rPr>
          <w:i/>
        </w:rPr>
        <w:fldChar w:fldCharType="begin"/>
      </w:r>
      <w:r w:rsidR="00B8183C">
        <w:instrText xml:space="preserve"> XE "</w:instrText>
      </w:r>
      <w:r w:rsidR="00B8183C" w:rsidRPr="002E2471">
        <w:rPr>
          <w:i/>
        </w:rPr>
        <w:instrText>species sensibilis</w:instrText>
      </w:r>
      <w:r w:rsidR="00B8183C">
        <w:instrText xml:space="preserve">" </w:instrText>
      </w:r>
      <w:r w:rsidR="00B8183C">
        <w:rPr>
          <w:i/>
        </w:rPr>
        <w:fldChar w:fldCharType="end"/>
      </w:r>
      <w:r>
        <w:t xml:space="preserve"> jsou už aktuální formy</w:t>
      </w:r>
      <w:r w:rsidR="0085600C">
        <w:t>. S</w:t>
      </w:r>
      <w:r>
        <w:t>myslová představivost jako schopnost duše (</w:t>
      </w:r>
      <w:r w:rsidRPr="006B10AC">
        <w:rPr>
          <w:i/>
        </w:rPr>
        <w:t>imaginatio, sensus communis</w:t>
      </w:r>
      <w:r>
        <w:t xml:space="preserve">) zpracovala </w:t>
      </w:r>
      <w:r w:rsidR="002C4C76">
        <w:t xml:space="preserve">do formy </w:t>
      </w:r>
      <w:r>
        <w:t xml:space="preserve"> </w:t>
      </w:r>
      <w:r w:rsidR="002C4C76" w:rsidRPr="002C4C76">
        <w:rPr>
          <w:i/>
        </w:rPr>
        <w:t>species sensibilis</w:t>
      </w:r>
      <w:r w:rsidR="002C4C76">
        <w:t xml:space="preserve"> ty </w:t>
      </w:r>
      <w:r>
        <w:t>vjemy, které přišly z materiálně daných smyslů. Každá ovce vidí svého „vlka“ (</w:t>
      </w:r>
      <w:r w:rsidRPr="006B10AC">
        <w:rPr>
          <w:i/>
        </w:rPr>
        <w:t>species sensibilis</w:t>
      </w:r>
      <w:r>
        <w:t xml:space="preserve">), který je syntetickým poznatkem individuálního zvířete </w:t>
      </w:r>
      <w:r w:rsidR="008C5E79">
        <w:t xml:space="preserve">skrze </w:t>
      </w:r>
      <w:r w:rsidR="008C5E79">
        <w:rPr>
          <w:i/>
        </w:rPr>
        <w:t>vis</w:t>
      </w:r>
      <w:r w:rsidR="008C5E79" w:rsidRPr="008C5E79">
        <w:rPr>
          <w:i/>
        </w:rPr>
        <w:t xml:space="preserve"> aestimativa</w:t>
      </w:r>
      <w:r w:rsidR="008C5E79">
        <w:t xml:space="preserve"> </w:t>
      </w:r>
      <w:r>
        <w:t>(OBJ I, kap. 2.4.4). Rozbor Oxfords</w:t>
      </w:r>
      <w:r w:rsidR="00A77AAB">
        <w:t>kého manusk</w:t>
      </w:r>
      <w:r>
        <w:t>riptu ukázal, že ani semiaverroisté jako byl Aegidius a Akvinsk</w:t>
      </w:r>
      <w:r w:rsidR="00A77AAB">
        <w:t>ý nepochopili spr</w:t>
      </w:r>
      <w:r>
        <w:t>á</w:t>
      </w:r>
      <w:r w:rsidR="00A77AAB">
        <w:t>vn</w:t>
      </w:r>
      <w:r>
        <w:t>ě fun</w:t>
      </w:r>
      <w:r w:rsidR="00A77AAB">
        <w:t>k</w:t>
      </w:r>
      <w:r>
        <w:t>ci diafanum v CMDA. Pouze diafanum v různých rovinách media</w:t>
      </w:r>
      <w:r w:rsidR="00A77AAB">
        <w:t>ce je vys</w:t>
      </w:r>
      <w:r>
        <w:t xml:space="preserve">větlí způsob, jak </w:t>
      </w:r>
      <w:r w:rsidR="08163013">
        <w:t xml:space="preserve">inteligibilní materie přijímá individualizaci z materiálních smyslů. </w:t>
      </w:r>
      <w:r w:rsidR="00D45100">
        <w:t>Zásadní je správně definovaná</w:t>
      </w:r>
      <w:r w:rsidR="00D45100" w:rsidRPr="00D45100">
        <w:t xml:space="preserve"> </w:t>
      </w:r>
      <w:r w:rsidR="00D45100">
        <w:t>mediace</w:t>
      </w:r>
      <w:r w:rsidR="00D45100" w:rsidRPr="00D45100">
        <w:t xml:space="preserve">. Skutečně existující věc není empirické poznání zvířat, které je samo o sobě ze své podstaty nehmotné. To, co je v těle hmotné ve své podstatě, </w:t>
      </w:r>
      <w:r w:rsidR="00D45100">
        <w:t xml:space="preserve">to </w:t>
      </w:r>
      <w:r w:rsidR="00D45100" w:rsidRPr="00D45100">
        <w:t xml:space="preserve">jsou vjemy smyslových orgánů těla. Empirické poznání navíc není intelektuálním poznáním. </w:t>
      </w:r>
      <w:r w:rsidR="00D45100">
        <w:t>S</w:t>
      </w:r>
      <w:r w:rsidR="00A77AAB">
        <w:t xml:space="preserve">myslové nemateriální formy jsou vázány na tělo, zatímco </w:t>
      </w:r>
      <w:r w:rsidR="00A77AAB" w:rsidRPr="00925061">
        <w:rPr>
          <w:i/>
        </w:rPr>
        <w:t>species intelligiblis</w:t>
      </w:r>
      <w:r w:rsidR="00925061">
        <w:t xml:space="preserve"> jsou vázany na Sigere</w:t>
      </w:r>
      <w:r w:rsidR="00A77AAB">
        <w:t>m definovaný intelekt s </w:t>
      </w:r>
      <w:r w:rsidR="00925061">
        <w:t>vý</w:t>
      </w:r>
      <w:r w:rsidR="00A77AAB">
        <w:t>še uvedenými charakteristikami.</w:t>
      </w:r>
      <w:r w:rsidR="00B8183C">
        <w:t xml:space="preserve"> </w:t>
      </w:r>
      <w:r w:rsidR="08163013">
        <w:t xml:space="preserve">Moderna odmítla status </w:t>
      </w:r>
      <w:r w:rsidR="00962190">
        <w:rPr>
          <w:i/>
        </w:rPr>
        <w:t>species</w:t>
      </w:r>
      <w:r w:rsidR="08163013" w:rsidRPr="08C32FDB">
        <w:rPr>
          <w:i/>
        </w:rPr>
        <w:t xml:space="preserve"> sensibil</w:t>
      </w:r>
      <w:r w:rsidR="08163013">
        <w:rPr>
          <w:i/>
        </w:rPr>
        <w:t>i</w:t>
      </w:r>
      <w:r w:rsidR="08163013" w:rsidRPr="08C32FDB">
        <w:rPr>
          <w:i/>
        </w:rPr>
        <w:t>s</w:t>
      </w:r>
      <w:r w:rsidR="08163013">
        <w:t xml:space="preserve"> jako základní formy zakládající lidské poznání v </w:t>
      </w:r>
      <w:r w:rsidR="00FD023D">
        <w:t>duši</w:t>
      </w:r>
      <w:r w:rsidR="08163013">
        <w:t xml:space="preserve"> jako </w:t>
      </w:r>
      <w:r w:rsidR="08163013" w:rsidRPr="087B4629">
        <w:rPr>
          <w:i/>
        </w:rPr>
        <w:t>tabula rasa</w:t>
      </w:r>
      <w:r w:rsidR="08163013">
        <w:t xml:space="preserve">. Iluminát má přímý přístup k vyššímu světu forem a nepotřebuje aktualizovat svůj intelekt nasvícením zepředu. Citujme znovu klíčovou část </w:t>
      </w:r>
      <w:r w:rsidR="08163013" w:rsidRPr="00273106">
        <w:t xml:space="preserve">CMDA </w:t>
      </w:r>
      <w:proofErr w:type="gramStart"/>
      <w:r w:rsidR="08163013">
        <w:t>III.5, která</w:t>
      </w:r>
      <w:proofErr w:type="gramEnd"/>
      <w:r w:rsidR="08163013">
        <w:t xml:space="preserve"> tematizuje dvojí povahu </w:t>
      </w:r>
      <w:r w:rsidR="08163013">
        <w:lastRenderedPageBreak/>
        <w:t>intelektuální</w:t>
      </w:r>
      <w:r w:rsidR="009A0565">
        <w:t>ho p</w:t>
      </w:r>
      <w:r w:rsidR="08163013">
        <w:t>oznání.</w:t>
      </w:r>
      <w:r w:rsidR="08163013" w:rsidRPr="00273106">
        <w:rPr>
          <w:rStyle w:val="Znakapoznpodarou"/>
        </w:rPr>
        <w:footnoteReference w:id="228"/>
      </w:r>
      <w:r w:rsidR="08163013">
        <w:t xml:space="preserve"> Intelekt nemůže být v žádném případě daný v nějakém aktu vlastní subsistence</w:t>
      </w:r>
      <w:r w:rsidR="082B44A1">
        <w:t>, protože je pouze potence duše jako jediné formy těla</w:t>
      </w:r>
      <w:r w:rsidR="08163013">
        <w:t xml:space="preserve">. </w:t>
      </w:r>
      <w:r w:rsidR="08FE207C">
        <w:t>Jakýmkoliv h</w:t>
      </w:r>
      <w:r w:rsidR="08083AB7">
        <w:t xml:space="preserve">ypostázovaním intelektu </w:t>
      </w:r>
      <w:r w:rsidR="08163013">
        <w:t xml:space="preserve">by se rozpadla substanční jednota osoby, zrušilo by se potenciální poznání celku bytí, přestalo by platit pojetí pravdy jako aristotelské adekvace. Magistři v Rue du Fouarre a s nimi Bacon usazený v Paříži nemohli dopustit tuto moderní sebevraždu filosofie, která se začala odehrávat před jejich očima na </w:t>
      </w:r>
      <w:r w:rsidR="009D58A1">
        <w:t xml:space="preserve">fakultě </w:t>
      </w:r>
      <w:r w:rsidR="08163013">
        <w:t xml:space="preserve">mendikantských řádů. </w:t>
      </w:r>
      <w:r w:rsidR="08FA7408">
        <w:t>Bacon naprosto přesně charakterizoval tento nebezpečný postup svých současníků, kt</w:t>
      </w:r>
      <w:r w:rsidR="080E5389">
        <w:t>eří</w:t>
      </w:r>
      <w:r w:rsidR="08FA7408">
        <w:t xml:space="preserve"> </w:t>
      </w:r>
      <w:r w:rsidR="00040F69">
        <w:t xml:space="preserve">vzali falešnou filosofii jako základ moderní </w:t>
      </w:r>
      <w:r w:rsidR="08FA7408">
        <w:t xml:space="preserve">teologie </w:t>
      </w:r>
      <w:r w:rsidR="08FA7408" w:rsidRPr="081942A4">
        <w:rPr>
          <w:szCs w:val="24"/>
        </w:rPr>
        <w:t>(</w:t>
      </w:r>
      <w:r w:rsidR="08FA7408" w:rsidRPr="00273106">
        <w:rPr>
          <w:i/>
        </w:rPr>
        <w:t>philosophia dominatur in usu theologiam</w:t>
      </w:r>
      <w:r w:rsidR="08FA7408">
        <w:t>, OBJ II, Kap. 3.4.3</w:t>
      </w:r>
      <w:r w:rsidR="08FA7408" w:rsidRPr="081942A4">
        <w:rPr>
          <w:szCs w:val="24"/>
        </w:rPr>
        <w:t xml:space="preserve">). </w:t>
      </w:r>
      <w:r w:rsidR="08163013">
        <w:t xml:space="preserve">Subsistenci intelektu hájila moderna a semiaverrostičtí teologové jako Akvinský a </w:t>
      </w:r>
      <w:r w:rsidR="085019EF">
        <w:t>Aegidius</w:t>
      </w:r>
      <w:r w:rsidR="08163013">
        <w:t xml:space="preserve">. Ti museli hypostázovat nemateriální intelekt jako </w:t>
      </w:r>
      <w:r w:rsidR="00732F56">
        <w:t xml:space="preserve">formu, aby zajistili teologické </w:t>
      </w:r>
      <w:r w:rsidR="08163013">
        <w:t>postulát</w:t>
      </w:r>
      <w:r w:rsidR="00732F56">
        <w:t xml:space="preserve">y, jako byla například </w:t>
      </w:r>
      <w:r w:rsidR="08163013">
        <w:t>nesmrtelnost</w:t>
      </w:r>
      <w:r w:rsidR="00D7057A">
        <w:t xml:space="preserve"> lidské duše. Siger byl</w:t>
      </w:r>
      <w:r w:rsidR="08163013">
        <w:t xml:space="preserve"> povoláním </w:t>
      </w:r>
      <w:r w:rsidR="00D7057A">
        <w:t xml:space="preserve">první </w:t>
      </w:r>
      <w:r w:rsidR="08163013">
        <w:t xml:space="preserve">kritický filosof </w:t>
      </w:r>
      <w:r w:rsidR="00D7057A">
        <w:t>na latinském Západě. Proto odmítl mrzačení filosofie skrze genericky odlišné předpoklady jiných věd jako nevědecký postup</w:t>
      </w:r>
      <w:r w:rsidR="08163013">
        <w:t xml:space="preserve">. Teologie jako genericky odlišná věda má podle </w:t>
      </w:r>
      <w:r w:rsidR="08163013" w:rsidRPr="08AA5D70">
        <w:rPr>
          <w:i/>
        </w:rPr>
        <w:t>Druhých analytik</w:t>
      </w:r>
      <w:r w:rsidR="08163013">
        <w:t xml:space="preserve"> jiná kritéria dokazování než filosofický výklad Aristotelovy </w:t>
      </w:r>
      <w:r w:rsidR="08163013" w:rsidRPr="08634CC7">
        <w:rPr>
          <w:i/>
        </w:rPr>
        <w:t>De anima</w:t>
      </w:r>
      <w:r w:rsidR="08163013">
        <w:t xml:space="preserve"> podaný </w:t>
      </w:r>
      <w:r w:rsidR="08163013">
        <w:rPr>
          <w:i/>
        </w:rPr>
        <w:t>ad mentem Averrois</w:t>
      </w:r>
      <w:r w:rsidR="08163013">
        <w:t xml:space="preserve"> podle Sicilské školy</w:t>
      </w:r>
      <w:r w:rsidR="08163013">
        <w:fldChar w:fldCharType="begin"/>
      </w:r>
      <w:r w:rsidR="08163013">
        <w:instrText xml:space="preserve"> XE "</w:instrText>
      </w:r>
      <w:r w:rsidR="08163013" w:rsidRPr="08270B19">
        <w:instrText>Sicilská škola</w:instrText>
      </w:r>
      <w:r w:rsidR="08163013">
        <w:instrText xml:space="preserve">" </w:instrText>
      </w:r>
      <w:r w:rsidR="08163013">
        <w:fldChar w:fldCharType="end"/>
      </w:r>
      <w:r w:rsidR="08163013">
        <w:t>. Proto prohlášení magistrů z roku 1272 postihlo i Akvinského a Aegidia, kteří postulovali intelekt jako hypostázovanou formu přidanou k animální duši zvnějšku, aby zachránili křesťanskou nesmrtelnost lidské duše. Brilantní myslitel Siger byl zvolen proti Alberichovi z Remeše rektorem artistů, protože zachránil jak pravdu filosofie</w:t>
      </w:r>
      <w:r w:rsidR="002E2AD1">
        <w:t>,</w:t>
      </w:r>
      <w:r w:rsidR="08163013">
        <w:t xml:space="preserve"> tak i teologie, což dokumentovalo prohlášení fakulty z dubna 1272. </w:t>
      </w:r>
      <w:r w:rsidR="002E2AD1" w:rsidRPr="002E2AD1">
        <w:t>Moderní Bůh se nemusel zrodit</w:t>
      </w:r>
      <w:r w:rsidR="00A05CB7">
        <w:t xml:space="preserve"> z chybné </w:t>
      </w:r>
      <w:r w:rsidR="00354ED9">
        <w:t xml:space="preserve">filosofie </w:t>
      </w:r>
      <w:r w:rsidR="002E1094">
        <w:t xml:space="preserve">falsafy </w:t>
      </w:r>
      <w:r w:rsidR="002E2AD1" w:rsidRPr="002E2AD1">
        <w:t xml:space="preserve">a zemřít </w:t>
      </w:r>
      <w:r w:rsidR="00354ED9">
        <w:t>v současném nihilismu latinského Západu</w:t>
      </w:r>
      <w:r w:rsidR="009A298D">
        <w:t>. Je třeba říci, že moderní bůh nepře</w:t>
      </w:r>
      <w:r w:rsidR="002E2AD1" w:rsidRPr="002E2AD1">
        <w:t xml:space="preserve">šel </w:t>
      </w:r>
      <w:r w:rsidR="002E2AD1">
        <w:t>ve f</w:t>
      </w:r>
      <w:r w:rsidR="002E2AD1" w:rsidRPr="002E2AD1">
        <w:t>alsafě</w:t>
      </w:r>
      <w:r w:rsidR="002E2AD1">
        <w:t xml:space="preserve"> </w:t>
      </w:r>
      <w:r w:rsidR="002E2AD1" w:rsidRPr="002E2AD1">
        <w:t xml:space="preserve">do </w:t>
      </w:r>
      <w:r w:rsidR="002E2AD1" w:rsidRPr="002E2AD1">
        <w:rPr>
          <w:i/>
        </w:rPr>
        <w:t>Wirkungsgeschichte</w:t>
      </w:r>
      <w:r w:rsidR="002E2AD1">
        <w:t xml:space="preserve"> myšlení v této kacířské podobě</w:t>
      </w:r>
      <w:r w:rsidR="002E2AD1" w:rsidRPr="002E2AD1">
        <w:t>.</w:t>
      </w:r>
      <w:r w:rsidR="002E2AD1">
        <w:t xml:space="preserve"> </w:t>
      </w:r>
      <w:r w:rsidR="0075345B">
        <w:t>Proto mělo prohlášení z roku 1272 tak zásadní charakter a modernisté je museli zničit i s ce</w:t>
      </w:r>
      <w:r w:rsidR="00013295">
        <w:t xml:space="preserve">lou fakultou na rue du Fouarre. </w:t>
      </w:r>
      <w:r w:rsidR="08163013">
        <w:t xml:space="preserve">Pro modernu a pro semiaverroisty </w:t>
      </w:r>
      <w:r w:rsidR="002E2AD1">
        <w:t xml:space="preserve">bylo prohlášení artistů z dubna 1272 </w:t>
      </w:r>
      <w:r w:rsidR="08163013">
        <w:t>poslední kapka do plného poháru jejich sofistikované hoř</w:t>
      </w:r>
      <w:r w:rsidR="00A924FB">
        <w:t>kosti. Poražený Akvinský odešel</w:t>
      </w:r>
      <w:r w:rsidR="08163013">
        <w:t xml:space="preserve"> z Paříže o velikonocích v du</w:t>
      </w:r>
      <w:r w:rsidR="00A924FB">
        <w:t>bnu 1272 a hned v květnu 1272 byl</w:t>
      </w:r>
      <w:r w:rsidR="08163013">
        <w:t xml:space="preserve"> papežským legátem jmenován Petrus z Auvergne jako nový rektor artistů. Po vydání Sigerova traktátu </w:t>
      </w:r>
      <w:r w:rsidR="08163013" w:rsidRPr="08080913">
        <w:rPr>
          <w:i/>
        </w:rPr>
        <w:t>De aeternitate mundi</w:t>
      </w:r>
      <w:r w:rsidR="08163013">
        <w:t xml:space="preserve"> a </w:t>
      </w:r>
      <w:r w:rsidR="08163013" w:rsidRPr="08080913">
        <w:rPr>
          <w:i/>
        </w:rPr>
        <w:t>De anima intellectiva</w:t>
      </w:r>
      <w:r w:rsidR="08163013">
        <w:t xml:space="preserve"> následovalo akademické mlčení modernistů a semiaverroistů</w:t>
      </w:r>
      <w:r w:rsidR="089B12D1">
        <w:t xml:space="preserve">. </w:t>
      </w:r>
      <w:r w:rsidR="081D04B2">
        <w:t xml:space="preserve">Poražení akademikové modernistické frakce sáhli jako obvykle k mocenským prostředkům, protože </w:t>
      </w:r>
      <w:r w:rsidR="081D04B2">
        <w:lastRenderedPageBreak/>
        <w:t xml:space="preserve">měli na své straně pařížského biskupa i papeže. </w:t>
      </w:r>
      <w:r w:rsidR="00D16749">
        <w:t xml:space="preserve">Moc je moderní forma pravdy. </w:t>
      </w:r>
      <w:r w:rsidR="081D04B2">
        <w:t>Celý spor o tzv. „averroismus“ ukončilo odsouzení a zničení Sigerovy skupiny Tempierovým biskupským dekretem z roku 1277.</w:t>
      </w:r>
    </w:p>
    <w:p w:rsidR="08163013" w:rsidRDefault="00002762" w:rsidP="08163013">
      <w:pPr>
        <w:pStyle w:val="Nadpis3"/>
      </w:pPr>
      <w:bookmarkStart w:id="36" w:name="_Toc36144146"/>
      <w:r>
        <w:br w:type="page"/>
      </w:r>
      <w:bookmarkStart w:id="37" w:name="_Toc180231658"/>
      <w:r w:rsidR="08163013">
        <w:lastRenderedPageBreak/>
        <w:t>4.4.3 Jednota osoby</w:t>
      </w:r>
      <w:bookmarkEnd w:id="36"/>
      <w:bookmarkEnd w:id="37"/>
    </w:p>
    <w:p w:rsidR="08163013" w:rsidRPr="084E026F" w:rsidRDefault="08163013" w:rsidP="08163013">
      <w:r>
        <w:t xml:space="preserve">Sigerova pozice je brilantní, protože </w:t>
      </w:r>
      <w:r>
        <w:rPr>
          <w:i/>
        </w:rPr>
        <w:t>Doctor Invidiosus</w:t>
      </w:r>
      <w:r>
        <w:rPr>
          <w:i/>
        </w:rPr>
        <w:fldChar w:fldCharType="begin"/>
      </w:r>
      <w:r>
        <w:instrText xml:space="preserve"> XE "</w:instrText>
      </w:r>
      <w:r w:rsidRPr="08513275">
        <w:rPr>
          <w:i/>
        </w:rPr>
        <w:instrText>Doctor Invidiosus</w:instrText>
      </w:r>
      <w:r>
        <w:instrText xml:space="preserve">" </w:instrText>
      </w:r>
      <w:r>
        <w:rPr>
          <w:i/>
        </w:rPr>
        <w:fldChar w:fldCharType="end"/>
      </w:r>
      <w:r>
        <w:t xml:space="preserve"> jako jediný </w:t>
      </w:r>
      <w:r w:rsidR="008A60EA">
        <w:t xml:space="preserve">latinský </w:t>
      </w:r>
      <w:r>
        <w:t xml:space="preserve">filosof své doby zachránil plnou jednotu osoby a intelektu pro západní filosofii. </w:t>
      </w:r>
      <w:r w:rsidRPr="00273106">
        <w:t>Protože intelekt je vzhledem ke smyslům plně receptivní (</w:t>
      </w:r>
      <w:r w:rsidRPr="00273106">
        <w:rPr>
          <w:i/>
        </w:rPr>
        <w:t>possibilis</w:t>
      </w:r>
      <w:r w:rsidRPr="00273106">
        <w:t>), pak je nasvícen pouze zepředu</w:t>
      </w:r>
      <w:r>
        <w:t>,</w:t>
      </w:r>
      <w:r w:rsidRPr="00273106">
        <w:t xml:space="preserve"> od smyslových fantasmat. A tato fantasmata tvoří díky smyslové individuálnosti a aktualitě základ lidského intelektu </w:t>
      </w:r>
      <w:r w:rsidR="006D671B">
        <w:t xml:space="preserve">daného </w:t>
      </w:r>
      <w:r w:rsidR="006D671B" w:rsidRPr="006D671B">
        <w:rPr>
          <w:i/>
        </w:rPr>
        <w:t>subiective</w:t>
      </w:r>
      <w:r w:rsidRPr="00273106">
        <w:t xml:space="preserve">. </w:t>
      </w:r>
      <w:r>
        <w:t>Z</w:t>
      </w:r>
      <w:r w:rsidRPr="00273106">
        <w:t xml:space="preserve">ávěr deváté kvestie </w:t>
      </w:r>
      <w:r w:rsidR="00667F07">
        <w:t xml:space="preserve">QIIIDA </w:t>
      </w:r>
      <w:r w:rsidRPr="00273106">
        <w:t xml:space="preserve">odmítá názor, že by se s námi </w:t>
      </w:r>
      <w:r>
        <w:t>intelekt spojoval</w:t>
      </w:r>
      <w:r w:rsidRPr="00273106">
        <w:t xml:space="preserve"> nějakým způsobem na způsob oddělené substance</w:t>
      </w:r>
      <w:r>
        <w:fldChar w:fldCharType="begin"/>
      </w:r>
      <w:r>
        <w:instrText xml:space="preserve"> XE "</w:instrText>
      </w:r>
      <w:r w:rsidRPr="0068615E">
        <w:instrText>intelekt:objektivní substance</w:instrText>
      </w:r>
      <w:r>
        <w:instrText xml:space="preserve">" </w:instrText>
      </w:r>
      <w:r>
        <w:fldChar w:fldCharType="end"/>
      </w:r>
      <w:r w:rsidRPr="00273106">
        <w:t>. To je známá teze všech averroistů</w:t>
      </w:r>
      <w:r>
        <w:t xml:space="preserve"> a objektivistů</w:t>
      </w:r>
      <w:r w:rsidRPr="00273106">
        <w:t xml:space="preserve">, kteří nepochopili </w:t>
      </w:r>
      <w:r>
        <w:t xml:space="preserve">ani postup CMDA, ani </w:t>
      </w:r>
      <w:r w:rsidRPr="00273106">
        <w:t>Sigerovu argumentaci</w:t>
      </w:r>
      <w:r>
        <w:t xml:space="preserve">. Proto </w:t>
      </w:r>
      <w:r w:rsidRPr="00273106">
        <w:t xml:space="preserve">připsali </w:t>
      </w:r>
      <w:r>
        <w:t>Averroes</w:t>
      </w:r>
      <w:r w:rsidRPr="00273106">
        <w:t>ovi a Sigerovi vlastní epochální omyly o materiální, popřípadě o substanční povaze intelektu.</w:t>
      </w:r>
      <w:r>
        <w:t xml:space="preserve"> Udělali z intelektu moderní porretánskou hypostázi, popřípadě postmoderní substanci typu </w:t>
      </w:r>
      <w:r w:rsidRPr="00750982">
        <w:rPr>
          <w:i/>
        </w:rPr>
        <w:t>res cogitans</w:t>
      </w:r>
      <w:r>
        <w:rPr>
          <w:i/>
        </w:rPr>
        <w:fldChar w:fldCharType="begin"/>
      </w:r>
      <w:r>
        <w:instrText xml:space="preserve"> XE "</w:instrText>
      </w:r>
      <w:r w:rsidRPr="003F49D8">
        <w:rPr>
          <w:i/>
        </w:rPr>
        <w:instrText>res cogitans</w:instrText>
      </w:r>
      <w:r>
        <w:instrText xml:space="preserve">" </w:instrText>
      </w:r>
      <w:r>
        <w:rPr>
          <w:i/>
        </w:rPr>
        <w:fldChar w:fldCharType="end"/>
      </w:r>
      <w:r>
        <w:t xml:space="preserve">. Toto jsoucno třetího druhu pak připojili k tělu na způsob moderního </w:t>
      </w:r>
      <w:r w:rsidRPr="00535A48">
        <w:rPr>
          <w:i/>
        </w:rPr>
        <w:t>colligatio</w:t>
      </w:r>
      <w:r>
        <w:rPr>
          <w:i/>
        </w:rPr>
        <w:fldChar w:fldCharType="begin"/>
      </w:r>
      <w:r>
        <w:instrText xml:space="preserve"> XE "</w:instrText>
      </w:r>
      <w:r w:rsidRPr="00466C4B">
        <w:rPr>
          <w:i/>
        </w:rPr>
        <w:instrText>colligatio</w:instrText>
      </w:r>
      <w:r>
        <w:instrText xml:space="preserve">" </w:instrText>
      </w:r>
      <w:r>
        <w:rPr>
          <w:i/>
        </w:rPr>
        <w:fldChar w:fldCharType="end"/>
      </w:r>
      <w:r w:rsidR="084B4CC0">
        <w:t xml:space="preserve"> (kap. 4</w:t>
      </w:r>
      <w:r>
        <w:t>.2.2). Tím vzniklo numericky odlišené individuum jako substrát nesoucí hypostázovaný intelekt, taktéž numericky odlišený, protože moderní intelek</w:t>
      </w:r>
      <w:r w:rsidR="0076723F">
        <w:t>t</w:t>
      </w:r>
      <w:r>
        <w:t xml:space="preserve"> je samostatná substance. Siger jasně odmítá </w:t>
      </w:r>
      <w:r w:rsidR="0076723F">
        <w:t xml:space="preserve">tento </w:t>
      </w:r>
      <w:r>
        <w:t xml:space="preserve">základní </w:t>
      </w:r>
      <w:r w:rsidR="00AA210F">
        <w:t xml:space="preserve">omyl </w:t>
      </w:r>
      <w:r>
        <w:t>moderny</w:t>
      </w:r>
      <w:r w:rsidR="00AA210F">
        <w:t>. M</w:t>
      </w:r>
      <w:r>
        <w:t xml:space="preserve">odernisté nepochopili základní </w:t>
      </w:r>
      <w:r w:rsidR="005D0CA8">
        <w:t xml:space="preserve">teze </w:t>
      </w:r>
      <w:r>
        <w:t>CMDA</w:t>
      </w:r>
      <w:r w:rsidR="00F1672D">
        <w:t xml:space="preserve">, protože nečetli spis </w:t>
      </w:r>
      <w:r w:rsidR="00F1672D" w:rsidRPr="00F1672D">
        <w:rPr>
          <w:i/>
        </w:rPr>
        <w:t>De anima</w:t>
      </w:r>
      <w:r w:rsidR="00F1672D">
        <w:t xml:space="preserve"> od první knihy ke třetím, ale opačně. Pak </w:t>
      </w:r>
      <w:r w:rsidR="00AA210F">
        <w:t xml:space="preserve">postulovali intelekt jako nezávislou substanci v modu </w:t>
      </w:r>
      <w:r w:rsidR="00AA210F" w:rsidRPr="00AA210F">
        <w:rPr>
          <w:i/>
        </w:rPr>
        <w:t>separatus</w:t>
      </w:r>
      <w:r>
        <w:t>.</w:t>
      </w:r>
    </w:p>
    <w:p w:rsidR="08163013" w:rsidRPr="00B3663B" w:rsidRDefault="08163013" w:rsidP="08163013">
      <w:pPr>
        <w:pStyle w:val="Citace"/>
        <w:rPr>
          <w:noProof/>
          <w:lang w:val="cs-CZ"/>
        </w:rPr>
      </w:pPr>
      <w:r w:rsidRPr="00273106">
        <w:rPr>
          <w:noProof/>
          <w:lang w:val="cs-CZ"/>
        </w:rPr>
        <w:t>„</w:t>
      </w:r>
      <w:r>
        <w:rPr>
          <w:noProof/>
          <w:lang w:val="cs-CZ"/>
        </w:rPr>
        <w:t>Ti totiž připsali Averroesovi pravý opak toho, co tvrdil (</w:t>
      </w:r>
      <w:r w:rsidRPr="004B55F8">
        <w:rPr>
          <w:i/>
          <w:noProof/>
        </w:rPr>
        <w:t>oppositum suppositionis</w:t>
      </w:r>
      <w:r w:rsidRPr="004B55F8">
        <w:rPr>
          <w:rStyle w:val="Zkladntext259pt4"/>
          <w:i/>
          <w:noProof/>
          <w:lang w:val="cs-CZ" w:eastAsia="en-US"/>
        </w:rPr>
        <w:t xml:space="preserve"> </w:t>
      </w:r>
      <w:r w:rsidRPr="004B55F8">
        <w:rPr>
          <w:i/>
          <w:noProof/>
        </w:rPr>
        <w:t>Averrois</w:t>
      </w:r>
      <w:r>
        <w:rPr>
          <w:noProof/>
          <w:lang w:val="cs-CZ"/>
        </w:rPr>
        <w:t xml:space="preserve">). Tvrdí, že myšlené obsahy s námi zůstávají jen proto, že s námi zůstává intelekt. To je omyl. Intelekt s námi zůstává právě proto, že produkujeme obsahy myšlení.“ </w:t>
      </w:r>
      <w:r>
        <w:rPr>
          <w:rStyle w:val="Znakapoznpodarou"/>
        </w:rPr>
        <w:footnoteReference w:id="229"/>
      </w:r>
    </w:p>
    <w:p w:rsidR="00327794" w:rsidRDefault="08163013" w:rsidP="08163013">
      <w:r w:rsidRPr="00273106">
        <w:t>Nemyslíme proto, že by s námi byl spojen předchůdně daný intelekt na nějaký karteziánský způsob substance nebo aktuality</w:t>
      </w:r>
      <w:r w:rsidRPr="00273106">
        <w:rPr>
          <w:i/>
        </w:rPr>
        <w:t xml:space="preserve"> </w:t>
      </w:r>
      <w:r w:rsidRPr="00273106">
        <w:t>(</w:t>
      </w:r>
      <w:r w:rsidRPr="00273106">
        <w:rPr>
          <w:i/>
        </w:rPr>
        <w:t>quod intellectus continuatur nobis</w:t>
      </w:r>
      <w:r w:rsidRPr="00273106">
        <w:t>)</w:t>
      </w:r>
      <w:r>
        <w:t>. Toto av</w:t>
      </w:r>
      <w:r w:rsidR="00F1672D">
        <w:t>icennistické „</w:t>
      </w:r>
      <w:r w:rsidRPr="08B4040C">
        <w:rPr>
          <w:i/>
        </w:rPr>
        <w:t>continuatio</w:t>
      </w:r>
      <w:r w:rsidR="00F1672D">
        <w:t>“</w:t>
      </w:r>
      <w:r>
        <w:t xml:space="preserve"> připsal Akvinský v roce 1268 Averroesovi v jeho aristotelském výkladu </w:t>
      </w:r>
      <w:r w:rsidRPr="088F0DD7">
        <w:rPr>
          <w:i/>
        </w:rPr>
        <w:t>De anima</w:t>
      </w:r>
      <w:r w:rsidR="00AF0836">
        <w:t xml:space="preserve">, který se nachází </w:t>
      </w:r>
      <w:r>
        <w:t>v</w:t>
      </w:r>
      <w:r w:rsidR="0044078E">
        <w:t xml:space="preserve"> díle </w:t>
      </w:r>
      <w:r>
        <w:t>ST I, q. 88</w:t>
      </w:r>
      <w:r w:rsidR="00AF0836">
        <w:t>. T</w:t>
      </w:r>
      <w:r w:rsidR="08210D06">
        <w:t xml:space="preserve">uto pasáž </w:t>
      </w:r>
      <w:r>
        <w:t>citoval Aegidius ve třetí čá</w:t>
      </w:r>
      <w:r w:rsidR="08210D06">
        <w:t>sti Oxfordského rukopisu (kap. 4</w:t>
      </w:r>
      <w:r>
        <w:t xml:space="preserve">.3.2). Ale </w:t>
      </w:r>
      <w:r w:rsidR="082F1241">
        <w:t xml:space="preserve">chybnou (tj. „averroistickou“) </w:t>
      </w:r>
      <w:r>
        <w:t xml:space="preserve">pozici měl Akvinský už dávno předtím během svého prvního pobytu v Paříži, kdy zde ve stejné době studoval i Siger. Citovaná pasáž ukazuje, že Siger tento averroistický výklad intelektu </w:t>
      </w:r>
      <w:r w:rsidR="08D375C3">
        <w:t xml:space="preserve">Akvinského </w:t>
      </w:r>
      <w:r>
        <w:t xml:space="preserve">výslovně </w:t>
      </w:r>
      <w:r>
        <w:lastRenderedPageBreak/>
        <w:t xml:space="preserve">odmítl jménem Sicilské školy okolo roku 1266. Aegidius jako žák Sigera to jistě věděl a jeho sofistika v roku 1268 ohledně Averroese v Oxfordském rukopisu dokazuje jeho </w:t>
      </w:r>
      <w:r w:rsidR="08AD22CA">
        <w:t xml:space="preserve">„tomistickou“ </w:t>
      </w:r>
      <w:r>
        <w:t xml:space="preserve">bezradnost </w:t>
      </w:r>
      <w:r w:rsidRPr="00273106">
        <w:t>(</w:t>
      </w:r>
      <w:r w:rsidRPr="00273106">
        <w:rPr>
          <w:i/>
        </w:rPr>
        <w:t>per rationes quas ponit Commentator contra seipsum</w:t>
      </w:r>
      <w:r w:rsidR="08AD22CA">
        <w:t>, kap. 4</w:t>
      </w:r>
      <w:r>
        <w:t>.3.2). Siger nemůže připustit žádnou formu nasvícení poznání zezadu od nějakého hypostázovaného intelektu. A</w:t>
      </w:r>
      <w:r w:rsidRPr="00273106">
        <w:t>kt myšlení</w:t>
      </w:r>
      <w:r>
        <w:t xml:space="preserve"> by byl</w:t>
      </w:r>
      <w:r w:rsidRPr="00273106">
        <w:t xml:space="preserve"> plně závislý na takto připojeném intelektu</w:t>
      </w:r>
      <w:r>
        <w:t xml:space="preserve"> v modu </w:t>
      </w:r>
      <w:r w:rsidRPr="085010E2">
        <w:rPr>
          <w:i/>
        </w:rPr>
        <w:t>separatus</w:t>
      </w:r>
      <w:r w:rsidRPr="00273106">
        <w:t xml:space="preserve">. </w:t>
      </w:r>
      <w:r>
        <w:t xml:space="preserve">Kdo bere intelekt jako </w:t>
      </w:r>
      <w:r w:rsidRPr="00273106">
        <w:t xml:space="preserve">numericky </w:t>
      </w:r>
      <w:r>
        <w:t>individualizovaný</w:t>
      </w:r>
      <w:r w:rsidRPr="00273106">
        <w:t>, te</w:t>
      </w:r>
      <w:r w:rsidR="08BE56F6">
        <w:t xml:space="preserve">n nepochopil základní tezi CMDA. </w:t>
      </w:r>
      <w:r w:rsidRPr="00273106">
        <w:t xml:space="preserve">Siger </w:t>
      </w:r>
      <w:r w:rsidR="08B815AE">
        <w:t>vykládá</w:t>
      </w:r>
      <w:r w:rsidRPr="00273106">
        <w:t xml:space="preserve"> povahu intelektu z primárně zakoušených účinků poznání </w:t>
      </w:r>
      <w:r>
        <w:t>(</w:t>
      </w:r>
      <w:r w:rsidRPr="00E15574">
        <w:rPr>
          <w:i/>
        </w:rPr>
        <w:t>intellecta</w:t>
      </w:r>
      <w:r>
        <w:t>) odděleného od smyslového poznání</w:t>
      </w:r>
      <w:r w:rsidRPr="00273106">
        <w:t xml:space="preserve">. </w:t>
      </w:r>
      <w:r>
        <w:t>Intelek</w:t>
      </w:r>
      <w:r w:rsidR="080E16A0">
        <w:t xml:space="preserve">t „není“, protože „neexistuje“. </w:t>
      </w:r>
      <w:r w:rsidR="08AD0A3B">
        <w:t>Z entelechicky dané první substance jako původní kauzy intelektu osoby (</w:t>
      </w:r>
      <w:r w:rsidR="08AD0A3B" w:rsidRPr="08667BD5">
        <w:rPr>
          <w:i/>
        </w:rPr>
        <w:t>subiectiv</w:t>
      </w:r>
      <w:r w:rsidR="00997082">
        <w:rPr>
          <w:i/>
        </w:rPr>
        <w:t>e</w:t>
      </w:r>
      <w:r w:rsidR="08AD0A3B">
        <w:t xml:space="preserve">) můžeme vědecky poznat účinek, čili nemateriální intelektuální potenci </w:t>
      </w:r>
      <w:r w:rsidR="08AD0A3B" w:rsidRPr="086C79FD">
        <w:rPr>
          <w:i/>
        </w:rPr>
        <w:t>anima intellectiva</w:t>
      </w:r>
      <w:r w:rsidR="08AD0A3B">
        <w:t xml:space="preserve"> danou produkcí univerzálních poznatků osoby (</w:t>
      </w:r>
      <w:r w:rsidR="08AD0A3B" w:rsidRPr="08667BD5">
        <w:rPr>
          <w:i/>
        </w:rPr>
        <w:t>obiectiv</w:t>
      </w:r>
      <w:r w:rsidR="00997082">
        <w:rPr>
          <w:i/>
        </w:rPr>
        <w:t>e</w:t>
      </w:r>
      <w:r w:rsidR="08AD0A3B">
        <w:t xml:space="preserve">). </w:t>
      </w:r>
      <w:r w:rsidR="00810E7D">
        <w:t>S</w:t>
      </w:r>
      <w:r>
        <w:t>kutečně existuje</w:t>
      </w:r>
      <w:r w:rsidR="00810E7D">
        <w:t xml:space="preserve"> pouze </w:t>
      </w:r>
      <w:r>
        <w:t>reálná osoba</w:t>
      </w:r>
      <w:r w:rsidR="08563FED">
        <w:t xml:space="preserve"> jako aktuálně daná první substance</w:t>
      </w:r>
      <w:r>
        <w:t xml:space="preserve">, která myslí v rámci </w:t>
      </w:r>
      <w:r w:rsidR="08563FED">
        <w:t>duševních potencí</w:t>
      </w:r>
      <w:r>
        <w:t xml:space="preserve">. Domnělý averroismus Sigera daný popíráním numericky individualizovaného intelektu </w:t>
      </w:r>
      <w:r w:rsidRPr="00273106">
        <w:t xml:space="preserve">je </w:t>
      </w:r>
      <w:r w:rsidR="086B614E">
        <w:t xml:space="preserve">stejný nesmysl jako averroismus </w:t>
      </w:r>
      <w:r>
        <w:t>Averroes</w:t>
      </w:r>
      <w:r w:rsidRPr="00273106">
        <w:t xml:space="preserve">e. </w:t>
      </w:r>
      <w:r>
        <w:t>Teze o numericky jednotném nebo odlišném intelektu představuje sofistické simulákrum</w:t>
      </w:r>
      <w:r>
        <w:fldChar w:fldCharType="begin"/>
      </w:r>
      <w:r>
        <w:instrText xml:space="preserve"> XE "</w:instrText>
      </w:r>
      <w:r w:rsidRPr="000F2842">
        <w:instrText>simulákrum</w:instrText>
      </w:r>
      <w:r>
        <w:instrText xml:space="preserve">" </w:instrText>
      </w:r>
      <w:r>
        <w:fldChar w:fldCharType="end"/>
      </w:r>
      <w:r w:rsidR="08C17038">
        <w:t xml:space="preserve"> moderny. </w:t>
      </w:r>
      <w:r>
        <w:t xml:space="preserve">Spekulativně myslící moderna nahlíží a odsuzuje v Sigerově filosofii jako v křivém zrcadle </w:t>
      </w:r>
      <w:r w:rsidR="00AB2333">
        <w:t>(</w:t>
      </w:r>
      <w:r w:rsidR="00AB2333" w:rsidRPr="00C70850">
        <w:rPr>
          <w:i/>
        </w:rPr>
        <w:t>speculum</w:t>
      </w:r>
      <w:r w:rsidR="00AB2333">
        <w:t xml:space="preserve">) </w:t>
      </w:r>
      <w:r>
        <w:t xml:space="preserve">své vlastní omyly a sofismata. </w:t>
      </w:r>
      <w:r w:rsidRPr="00273106">
        <w:t xml:space="preserve">Čistou nematerialitou a potencí intelektu Siger plně obhájil pojetí intelektu jako </w:t>
      </w:r>
      <w:r w:rsidRPr="00273106">
        <w:rPr>
          <w:i/>
        </w:rPr>
        <w:t>tabula rasa</w:t>
      </w:r>
      <w:r>
        <w:rPr>
          <w:i/>
        </w:rPr>
        <w:fldChar w:fldCharType="begin"/>
      </w:r>
      <w:r>
        <w:instrText xml:space="preserve"> XE "</w:instrText>
      </w:r>
      <w:r w:rsidRPr="00CE6D17">
        <w:rPr>
          <w:i/>
        </w:rPr>
        <w:instrText>tabula rasa</w:instrText>
      </w:r>
      <w:r>
        <w:instrText xml:space="preserve">" </w:instrText>
      </w:r>
      <w:r>
        <w:rPr>
          <w:i/>
        </w:rPr>
        <w:fldChar w:fldCharType="end"/>
      </w:r>
      <w:r w:rsidRPr="00273106">
        <w:t xml:space="preserve">, </w:t>
      </w:r>
      <w:r>
        <w:t xml:space="preserve">což </w:t>
      </w:r>
      <w:r w:rsidRPr="00273106">
        <w:t>neměl druhý averroismus</w:t>
      </w:r>
      <w:r>
        <w:t xml:space="preserve"> a jen částečně semiaverroismus Alberta, Akvinského a Aegidia</w:t>
      </w:r>
      <w:r w:rsidRPr="00273106">
        <w:t>.</w:t>
      </w:r>
    </w:p>
    <w:p w:rsidR="08163013" w:rsidRPr="00273106" w:rsidRDefault="08163013" w:rsidP="00327794">
      <w:pPr>
        <w:ind w:firstLine="397"/>
      </w:pPr>
      <w:r w:rsidRPr="00273106">
        <w:t>Dvanáctá k</w:t>
      </w:r>
      <w:r w:rsidR="00327794">
        <w:t xml:space="preserve">vestie </w:t>
      </w:r>
      <w:r w:rsidR="002573FF">
        <w:t xml:space="preserve">QIIIDA </w:t>
      </w:r>
      <w:r w:rsidR="00327794">
        <w:t>proto jednoznačně odmítla</w:t>
      </w:r>
      <w:r w:rsidRPr="00273106">
        <w:t xml:space="preserve"> všechny teorie </w:t>
      </w:r>
      <w:r w:rsidRPr="00273106">
        <w:rPr>
          <w:i/>
        </w:rPr>
        <w:t>Modernorum</w:t>
      </w:r>
      <w:r w:rsidRPr="00273106">
        <w:t xml:space="preserve"> o vrozených principech poznání, které jsou dány v</w:t>
      </w:r>
      <w:r w:rsidR="003A5AD1">
        <w:t xml:space="preserve"> lidské </w:t>
      </w:r>
      <w:r w:rsidRPr="00273106">
        <w:t xml:space="preserve">duši. Buď jsou dány </w:t>
      </w:r>
      <w:r w:rsidR="00455709">
        <w:t>spojením</w:t>
      </w:r>
      <w:r w:rsidRPr="00273106">
        <w:t xml:space="preserve"> substančního intelektu s duší, nebo habituálně</w:t>
      </w:r>
      <w:r>
        <w:t xml:space="preserve"> v modu Themistiova materiálního intelektu</w:t>
      </w:r>
      <w:r w:rsidRPr="00273106">
        <w:t>, nebo jako bohem dané či vrozené principy poznání</w:t>
      </w:r>
      <w:r>
        <w:t xml:space="preserve"> jako to měl Rufus (</w:t>
      </w:r>
      <w:r w:rsidRPr="0871366A">
        <w:rPr>
          <w:i/>
        </w:rPr>
        <w:t>potentia substantialis</w:t>
      </w:r>
      <w:r>
        <w:t>)</w:t>
      </w:r>
      <w:r w:rsidRPr="00273106">
        <w:t xml:space="preserve">. Siger zařazuje do této skupiny i Alberta </w:t>
      </w:r>
      <w:r>
        <w:t>a všechny avicennisty</w:t>
      </w:r>
      <w:r w:rsidR="00597487">
        <w:t xml:space="preserve">. Ti </w:t>
      </w:r>
      <w:r>
        <w:t xml:space="preserve">mají vrozený </w:t>
      </w:r>
      <w:r w:rsidR="00597487">
        <w:t>„</w:t>
      </w:r>
      <w:r w:rsidRPr="00F91171">
        <w:rPr>
          <w:i/>
        </w:rPr>
        <w:t>intellectus in potentia</w:t>
      </w:r>
      <w:r w:rsidR="00597487">
        <w:t>“</w:t>
      </w:r>
      <w:r>
        <w:t xml:space="preserve"> nebo </w:t>
      </w:r>
      <w:r w:rsidR="00597487">
        <w:t>„</w:t>
      </w:r>
      <w:r w:rsidRPr="00DD690D">
        <w:rPr>
          <w:i/>
        </w:rPr>
        <w:t>intellectus in habitu</w:t>
      </w:r>
      <w:r w:rsidR="00597487">
        <w:t>“</w:t>
      </w:r>
      <w:r>
        <w:t xml:space="preserve"> daný skrze vrozené první principy poznání podle Avicenny (</w:t>
      </w:r>
      <w:r w:rsidR="00237F73">
        <w:t>OBJ I, kap.</w:t>
      </w:r>
      <w:r>
        <w:t xml:space="preserve"> 2.3.1)</w:t>
      </w:r>
      <w:r w:rsidRPr="00273106">
        <w:t>.</w:t>
      </w:r>
      <w:r w:rsidRPr="083C6A4E">
        <w:t xml:space="preserve"> </w:t>
      </w:r>
      <w:r w:rsidRPr="00273106">
        <w:t>Všechny tyto názory jsou</w:t>
      </w:r>
      <w:r>
        <w:t xml:space="preserve"> mylné, protože principy poznání jsou generovány v existenciálním aktu poznání a intelekt je </w:t>
      </w:r>
      <w:r w:rsidRPr="083C6A4E">
        <w:rPr>
          <w:i/>
        </w:rPr>
        <w:t>tabula rasa</w:t>
      </w:r>
      <w:r>
        <w:rPr>
          <w:i/>
        </w:rPr>
        <w:fldChar w:fldCharType="begin"/>
      </w:r>
      <w:r>
        <w:instrText xml:space="preserve"> XE "</w:instrText>
      </w:r>
      <w:r w:rsidRPr="08844CAA">
        <w:rPr>
          <w:i/>
        </w:rPr>
        <w:instrText>tabula rasa</w:instrText>
      </w:r>
      <w:r>
        <w:instrText xml:space="preserve">" </w:instrText>
      </w:r>
      <w:r>
        <w:rPr>
          <w:i/>
        </w:rPr>
        <w:fldChar w:fldCharType="end"/>
      </w:r>
      <w:r>
        <w:t>.</w:t>
      </w:r>
    </w:p>
    <w:p w:rsidR="08163013" w:rsidRPr="003C51B8" w:rsidRDefault="08163013" w:rsidP="08163013">
      <w:pPr>
        <w:pStyle w:val="Citace"/>
        <w:rPr>
          <w:noProof/>
          <w:lang w:val="cs-CZ"/>
        </w:rPr>
      </w:pPr>
      <w:r w:rsidRPr="00273106">
        <w:rPr>
          <w:noProof/>
          <w:lang w:val="cs-CZ"/>
        </w:rPr>
        <w:t>„</w:t>
      </w:r>
      <w:r>
        <w:rPr>
          <w:noProof/>
          <w:lang w:val="cs-CZ"/>
        </w:rPr>
        <w:t>Někteří tvrdí a zdá se, že to je i pozice Alberta (</w:t>
      </w:r>
      <w:r w:rsidRPr="005F39CF">
        <w:rPr>
          <w:i/>
        </w:rPr>
        <w:t>videtur esse positio Alberti</w:t>
      </w:r>
      <w:r>
        <w:rPr>
          <w:noProof/>
          <w:lang w:val="cs-CZ"/>
        </w:rPr>
        <w:t xml:space="preserve">), že našemu intelektu je vrozeno určité poznání, například prvních principů, které je dáno každému, například úsudek o něčem v </w:t>
      </w:r>
      <w:r w:rsidRPr="00F91171">
        <w:rPr>
          <w:noProof/>
          <w:lang w:val="cs-CZ"/>
        </w:rPr>
        <w:t>rámc</w:t>
      </w:r>
      <w:r>
        <w:rPr>
          <w:noProof/>
          <w:lang w:val="cs-CZ"/>
        </w:rPr>
        <w:t xml:space="preserve">i </w:t>
      </w:r>
      <w:r w:rsidRPr="00F91171">
        <w:rPr>
          <w:noProof/>
          <w:lang w:val="cs-CZ"/>
        </w:rPr>
        <w:t>afirmace</w:t>
      </w:r>
      <w:r>
        <w:rPr>
          <w:noProof/>
          <w:lang w:val="cs-CZ"/>
        </w:rPr>
        <w:t xml:space="preserve"> a negace a podobně. </w:t>
      </w:r>
      <w:r w:rsidR="00985FBA">
        <w:rPr>
          <w:noProof/>
          <w:lang w:val="cs-CZ"/>
        </w:rPr>
        <w:t xml:space="preserve">Netvrdí, že </w:t>
      </w:r>
      <w:r>
        <w:rPr>
          <w:noProof/>
          <w:lang w:val="cs-CZ"/>
        </w:rPr>
        <w:t xml:space="preserve">by </w:t>
      </w:r>
      <w:r w:rsidR="00985FBA">
        <w:rPr>
          <w:noProof/>
          <w:lang w:val="cs-CZ"/>
        </w:rPr>
        <w:t xml:space="preserve">tyto principy </w:t>
      </w:r>
      <w:r>
        <w:rPr>
          <w:noProof/>
          <w:lang w:val="cs-CZ"/>
        </w:rPr>
        <w:t>vrozené</w:t>
      </w:r>
      <w:r w:rsidR="00985FBA">
        <w:rPr>
          <w:noProof/>
          <w:lang w:val="cs-CZ"/>
        </w:rPr>
        <w:t>ho</w:t>
      </w:r>
      <w:r>
        <w:rPr>
          <w:noProof/>
          <w:lang w:val="cs-CZ"/>
        </w:rPr>
        <w:t xml:space="preserve"> poznání byl</w:t>
      </w:r>
      <w:r w:rsidR="00985FBA">
        <w:rPr>
          <w:noProof/>
          <w:lang w:val="cs-CZ"/>
        </w:rPr>
        <w:t xml:space="preserve">y </w:t>
      </w:r>
      <w:r w:rsidR="00985FBA">
        <w:rPr>
          <w:noProof/>
          <w:lang w:val="cs-CZ"/>
        </w:rPr>
        <w:lastRenderedPageBreak/>
        <w:t>činným intelektem</w:t>
      </w:r>
      <w:r w:rsidR="00AE3AE2">
        <w:rPr>
          <w:noProof/>
          <w:lang w:val="cs-CZ"/>
        </w:rPr>
        <w:t xml:space="preserve">; jsou údajně </w:t>
      </w:r>
      <w:r>
        <w:rPr>
          <w:noProof/>
          <w:lang w:val="cs-CZ"/>
        </w:rPr>
        <w:t>nástrojem činného intelektu (</w:t>
      </w:r>
      <w:r w:rsidRPr="00E1238C">
        <w:rPr>
          <w:i/>
          <w:noProof/>
        </w:rPr>
        <w:t>sunt instrumenta intellectus agentis</w:t>
      </w:r>
      <w:r>
        <w:rPr>
          <w:noProof/>
          <w:lang w:val="cs-CZ"/>
        </w:rPr>
        <w:t xml:space="preserve">), kterým činný intelekt přivádí možný </w:t>
      </w:r>
      <w:r w:rsidR="00D10D44">
        <w:rPr>
          <w:noProof/>
          <w:lang w:val="cs-CZ"/>
        </w:rPr>
        <w:t>intelekt k aktualitě. Ale toto tvrzení je mylné</w:t>
      </w:r>
      <w:r>
        <w:rPr>
          <w:noProof/>
          <w:lang w:val="cs-CZ"/>
        </w:rPr>
        <w:t xml:space="preserve">.“ </w:t>
      </w:r>
      <w:r>
        <w:rPr>
          <w:rStyle w:val="Znakapoznpodarou"/>
        </w:rPr>
        <w:footnoteReference w:id="230"/>
      </w:r>
    </w:p>
    <w:p w:rsidR="08163013" w:rsidRPr="00273106" w:rsidRDefault="08163013" w:rsidP="08163013">
      <w:r w:rsidRPr="00273106">
        <w:t xml:space="preserve">Podle Sigerova výkladu drží Albert averroistickou pozici v tom, že trvá na vrozených </w:t>
      </w:r>
      <w:r w:rsidR="00983EAF">
        <w:t xml:space="preserve">nebo habituálních </w:t>
      </w:r>
      <w:r w:rsidRPr="00273106">
        <w:t>prvních principech poznání (</w:t>
      </w:r>
      <w:r w:rsidRPr="00273106">
        <w:rPr>
          <w:i/>
        </w:rPr>
        <w:t>intellectui nostro est innata aliqua cognito</w:t>
      </w:r>
      <w:r w:rsidRPr="00273106">
        <w:t>), které jsou aktualizovány aktivním intelektem (</w:t>
      </w:r>
      <w:r w:rsidRPr="00273106">
        <w:rPr>
          <w:i/>
        </w:rPr>
        <w:t>sunt instrumenta intellectus agentis</w:t>
      </w:r>
      <w:r w:rsidRPr="00273106">
        <w:t xml:space="preserve">). </w:t>
      </w:r>
      <w:r w:rsidR="00DA039B">
        <w:t>To je typická pozice Avicenny</w:t>
      </w:r>
      <w:r w:rsidR="00983EAF">
        <w:t xml:space="preserve">, kterou pak převzali postmodernisté jako Kant. </w:t>
      </w:r>
      <w:r w:rsidRPr="00273106">
        <w:t xml:space="preserve">Činný intelekt pracuje tak, že skrze tyto první principy </w:t>
      </w:r>
      <w:r>
        <w:t xml:space="preserve">autonomně </w:t>
      </w:r>
      <w:r w:rsidRPr="00273106">
        <w:t>aktualizuje receptivní složku intelektu (</w:t>
      </w:r>
      <w:r w:rsidRPr="00273106">
        <w:rPr>
          <w:i/>
        </w:rPr>
        <w:t>per quae educit intellectum possibilem ad actum</w:t>
      </w:r>
      <w:r w:rsidRPr="00273106">
        <w:t xml:space="preserve">). Alberta </w:t>
      </w:r>
      <w:r w:rsidR="0004277C">
        <w:t xml:space="preserve">má </w:t>
      </w:r>
      <w:r w:rsidRPr="00273106">
        <w:t xml:space="preserve">podobné tvrzení </w:t>
      </w:r>
      <w:r>
        <w:t xml:space="preserve">ve výše uvedené avicennistické definici </w:t>
      </w:r>
      <w:r w:rsidRPr="0844223E">
        <w:rPr>
          <w:i/>
        </w:rPr>
        <w:t>intellectus san</w:t>
      </w:r>
      <w:r>
        <w:rPr>
          <w:i/>
        </w:rPr>
        <w:t>c</w:t>
      </w:r>
      <w:r w:rsidRPr="0844223E">
        <w:rPr>
          <w:i/>
        </w:rPr>
        <w:t>tus</w:t>
      </w:r>
      <w:r>
        <w:t xml:space="preserve">, která po vzoru Alverna umožňuje </w:t>
      </w:r>
      <w:r w:rsidR="0004277C">
        <w:t>mystické poznání dané iluminací</w:t>
      </w:r>
      <w:r>
        <w:t xml:space="preserve"> (</w:t>
      </w:r>
      <w:r w:rsidR="08EF2C61">
        <w:t>OBJ II</w:t>
      </w:r>
      <w:r w:rsidR="08C229D6">
        <w:t>, kap. 2</w:t>
      </w:r>
      <w:r>
        <w:t>.4.2). Ale přirozené poznání sleduje aristotelský výklad</w:t>
      </w:r>
      <w:r w:rsidR="002B403B">
        <w:t xml:space="preserve">, což </w:t>
      </w:r>
      <w:proofErr w:type="gramStart"/>
      <w:r w:rsidR="002B403B">
        <w:t xml:space="preserve">spis </w:t>
      </w:r>
      <w:r>
        <w:t xml:space="preserve"> </w:t>
      </w:r>
      <w:r w:rsidRPr="002603AE">
        <w:rPr>
          <w:i/>
        </w:rPr>
        <w:t>De</w:t>
      </w:r>
      <w:proofErr w:type="gramEnd"/>
      <w:r w:rsidRPr="002603AE">
        <w:rPr>
          <w:i/>
        </w:rPr>
        <w:t xml:space="preserve"> homine</w:t>
      </w:r>
      <w:r w:rsidR="0004277C">
        <w:t xml:space="preserve"> </w:t>
      </w:r>
      <w:r w:rsidR="002B403B">
        <w:t xml:space="preserve">potvrdil užitím termínu </w:t>
      </w:r>
      <w:r w:rsidR="0004277C">
        <w:t>„</w:t>
      </w:r>
      <w:r w:rsidRPr="00273106">
        <w:rPr>
          <w:i/>
        </w:rPr>
        <w:t xml:space="preserve">diffinitio </w:t>
      </w:r>
      <w:r w:rsidRPr="002603AE">
        <w:rPr>
          <w:i/>
        </w:rPr>
        <w:t>passionis</w:t>
      </w:r>
      <w:r w:rsidR="0004277C">
        <w:t xml:space="preserve">“. Albert </w:t>
      </w:r>
      <w:r>
        <w:t>háj</w:t>
      </w:r>
      <w:r w:rsidR="0004277C">
        <w:t xml:space="preserve">í </w:t>
      </w:r>
      <w:r w:rsidR="00C7750A">
        <w:t xml:space="preserve">stejně jako Siger </w:t>
      </w:r>
      <w:r w:rsidR="0004277C">
        <w:t>st</w:t>
      </w:r>
      <w:r>
        <w:t xml:space="preserve">anovisko kauzálního zakoušení poznání v duši podle správně utvořeného </w:t>
      </w:r>
      <w:r w:rsidR="00C7750A">
        <w:t>středního členu soudu (</w:t>
      </w:r>
      <w:r w:rsidRPr="002603AE">
        <w:rPr>
          <w:i/>
        </w:rPr>
        <w:t>medium</w:t>
      </w:r>
      <w:r>
        <w:rPr>
          <w:i/>
        </w:rPr>
        <w:fldChar w:fldCharType="begin"/>
      </w:r>
      <w:r>
        <w:instrText xml:space="preserve"> XE "</w:instrText>
      </w:r>
      <w:r w:rsidRPr="001618A5">
        <w:rPr>
          <w:i/>
        </w:rPr>
        <w:instrText>medium:</w:instrText>
      </w:r>
      <w:r w:rsidRPr="001618A5">
        <w:instrText>Albert</w:instrText>
      </w:r>
      <w:r>
        <w:instrText xml:space="preserve">" </w:instrText>
      </w:r>
      <w:r>
        <w:rPr>
          <w:i/>
        </w:rPr>
        <w:fldChar w:fldCharType="end"/>
      </w:r>
      <w:r w:rsidR="00C7750A">
        <w:t xml:space="preserve">), který určuje </w:t>
      </w:r>
      <w:r>
        <w:t>vědecké</w:t>
      </w:r>
      <w:r w:rsidR="00C7750A">
        <w:t xml:space="preserve"> poznání podle </w:t>
      </w:r>
      <w:r w:rsidRPr="086A150E">
        <w:rPr>
          <w:i/>
        </w:rPr>
        <w:t>Druhých analytik</w:t>
      </w:r>
      <w:r w:rsidR="08A36BA2">
        <w:t xml:space="preserve"> (</w:t>
      </w:r>
      <w:r w:rsidR="08EF2C61">
        <w:t>OBJ II</w:t>
      </w:r>
      <w:r w:rsidR="08A36BA2">
        <w:t>, kap. 2</w:t>
      </w:r>
      <w:r>
        <w:t xml:space="preserve">.4.1). Také Albertův pozdější komentář </w:t>
      </w:r>
      <w:r w:rsidRPr="086A150E">
        <w:rPr>
          <w:i/>
        </w:rPr>
        <w:t>Druhých analytik</w:t>
      </w:r>
      <w:r>
        <w:t xml:space="preserve"> se drží výkladu podaného v </w:t>
      </w:r>
      <w:proofErr w:type="gramStart"/>
      <w:r w:rsidRPr="00B604E4">
        <w:rPr>
          <w:i/>
        </w:rPr>
        <w:t>De</w:t>
      </w:r>
      <w:proofErr w:type="gramEnd"/>
      <w:r w:rsidRPr="00B604E4">
        <w:rPr>
          <w:i/>
        </w:rPr>
        <w:t xml:space="preserve"> homine</w:t>
      </w:r>
      <w:r>
        <w:t>.</w:t>
      </w:r>
      <w:r w:rsidRPr="00273106">
        <w:rPr>
          <w:rStyle w:val="Znakapoznpodarou"/>
        </w:rPr>
        <w:footnoteReference w:id="231"/>
      </w:r>
      <w:r w:rsidRPr="00273106">
        <w:t xml:space="preserve"> </w:t>
      </w:r>
      <w:r>
        <w:t xml:space="preserve">Biskup Alvernus jasně viděl kolem 1240 neoplatonské rysy Aristotela, které ale neměl aristotelský výklad Averroese, poctěného právě z tohoto důvodu titulem </w:t>
      </w:r>
      <w:r w:rsidRPr="00273106">
        <w:rPr>
          <w:i/>
        </w:rPr>
        <w:t>philosophus nobilissimus</w:t>
      </w:r>
      <w:r>
        <w:t xml:space="preserve">. </w:t>
      </w:r>
      <w:r w:rsidRPr="00273106">
        <w:t xml:space="preserve">Albertovo </w:t>
      </w:r>
      <w:r>
        <w:t xml:space="preserve">pojetí poznání odmítá hypostázované principy poznání ze stejného důvodu jako Siger. Intelekt by nebyl </w:t>
      </w:r>
      <w:r w:rsidRPr="008445B0">
        <w:rPr>
          <w:i/>
        </w:rPr>
        <w:t>tabula rasa</w:t>
      </w:r>
      <w:r>
        <w:rPr>
          <w:i/>
        </w:rPr>
        <w:fldChar w:fldCharType="begin"/>
      </w:r>
      <w:r>
        <w:instrText xml:space="preserve"> XE "</w:instrText>
      </w:r>
      <w:r w:rsidRPr="00CE6D17">
        <w:rPr>
          <w:i/>
        </w:rPr>
        <w:instrText>tabula rasa</w:instrText>
      </w:r>
      <w:r>
        <w:instrText xml:space="preserve">" </w:instrText>
      </w:r>
      <w:r>
        <w:rPr>
          <w:i/>
        </w:rPr>
        <w:fldChar w:fldCharType="end"/>
      </w:r>
      <w:r>
        <w:t xml:space="preserve"> a stal by se nějakou formou substance. Albert v tomto bodě sleduje syntézu </w:t>
      </w:r>
      <w:r w:rsidR="008378C6">
        <w:t xml:space="preserve">poznání </w:t>
      </w:r>
      <w:r>
        <w:t xml:space="preserve">v rámci </w:t>
      </w:r>
      <w:r w:rsidRPr="005975E2">
        <w:rPr>
          <w:i/>
        </w:rPr>
        <w:t>intellectus speculativus</w:t>
      </w:r>
      <w:r>
        <w:rPr>
          <w:i/>
        </w:rPr>
        <w:fldChar w:fldCharType="begin"/>
      </w:r>
      <w:r>
        <w:instrText xml:space="preserve"> XE "</w:instrText>
      </w:r>
      <w:r w:rsidRPr="00E2134B">
        <w:rPr>
          <w:i/>
        </w:rPr>
        <w:instrText>intellectus speculativus:</w:instrText>
      </w:r>
      <w:r w:rsidRPr="00E2134B">
        <w:instrText>A</w:instrText>
      </w:r>
      <w:r>
        <w:instrText xml:space="preserve">lbert" </w:instrText>
      </w:r>
      <w:r>
        <w:rPr>
          <w:i/>
        </w:rPr>
        <w:fldChar w:fldCharType="end"/>
      </w:r>
      <w:r>
        <w:t xml:space="preserve"> podle CMDA (</w:t>
      </w:r>
      <w:r w:rsidR="08EF2C61">
        <w:t>OBJ II</w:t>
      </w:r>
      <w:r w:rsidR="08A36BA2">
        <w:t xml:space="preserve">, </w:t>
      </w:r>
      <w:r>
        <w:t xml:space="preserve">kap. </w:t>
      </w:r>
      <w:r w:rsidR="08A36BA2">
        <w:t>2</w:t>
      </w:r>
      <w:r>
        <w:t>.4.2)</w:t>
      </w:r>
      <w:r w:rsidRPr="00273106">
        <w:t xml:space="preserve">. Protože duše je </w:t>
      </w:r>
      <w:r w:rsidRPr="00273106">
        <w:rPr>
          <w:i/>
        </w:rPr>
        <w:t>tabula rasa</w:t>
      </w:r>
      <w:r w:rsidRPr="00273106">
        <w:t>, poznání prvních principů je založeno na re</w:t>
      </w:r>
      <w:r w:rsidR="005E1343">
        <w:t xml:space="preserve">álném uvažování daném smyslově. </w:t>
      </w:r>
      <w:r w:rsidR="005E1343" w:rsidRPr="00273106">
        <w:t xml:space="preserve">Principy poznání máme v momentu, kdy činíme závěry soudu, a teprve pak je držíme jako </w:t>
      </w:r>
      <w:r w:rsidR="005E1343" w:rsidRPr="00273106">
        <w:rPr>
          <w:i/>
        </w:rPr>
        <w:t>habitus</w:t>
      </w:r>
      <w:r w:rsidR="005E1343" w:rsidRPr="00273106">
        <w:t xml:space="preserve"> mysli.</w:t>
      </w:r>
      <w:r w:rsidR="005E1343">
        <w:t xml:space="preserve"> </w:t>
      </w:r>
      <w:r w:rsidR="008378C6">
        <w:t>Obrácené p</w:t>
      </w:r>
      <w:r w:rsidR="005E1343" w:rsidRPr="005E1343">
        <w:t xml:space="preserve">ořadí vytváří problematickou definici intelektu jako </w:t>
      </w:r>
      <w:r w:rsidR="008378C6">
        <w:t>esenciální f</w:t>
      </w:r>
      <w:r w:rsidR="005E1343" w:rsidRPr="005E1343">
        <w:t>ormy, jak ukazuje Sigerova polemika s Albertem a Akvinským.</w:t>
      </w:r>
      <w:r w:rsidR="005E1343" w:rsidRPr="00273106">
        <w:rPr>
          <w:rStyle w:val="Znakapoznpodarou"/>
        </w:rPr>
        <w:footnoteReference w:id="232"/>
      </w:r>
      <w:r w:rsidR="005E1343" w:rsidRPr="005E1343">
        <w:t xml:space="preserve"> Albertovo tvrzení </w:t>
      </w:r>
      <w:r w:rsidR="005E1343">
        <w:lastRenderedPageBreak/>
        <w:t>„</w:t>
      </w:r>
      <w:r w:rsidR="005E1343" w:rsidRPr="005E1343">
        <w:rPr>
          <w:i/>
        </w:rPr>
        <w:t>impossibile esset evadere conclusionem</w:t>
      </w:r>
      <w:r w:rsidR="005E1343">
        <w:t>“</w:t>
      </w:r>
      <w:r w:rsidR="005E1343" w:rsidRPr="005E1343">
        <w:t xml:space="preserve"> znamená </w:t>
      </w:r>
      <w:r w:rsidR="000C761E">
        <w:t xml:space="preserve">oba body najednou: </w:t>
      </w:r>
      <w:r w:rsidR="005E1343">
        <w:t xml:space="preserve">avicennistický </w:t>
      </w:r>
      <w:r w:rsidR="005E1343" w:rsidRPr="005E1343">
        <w:t>intelekt jako habitus</w:t>
      </w:r>
      <w:r w:rsidR="000C761E">
        <w:t xml:space="preserve"> a </w:t>
      </w:r>
      <w:r w:rsidR="005E1343" w:rsidRPr="005E1343">
        <w:t xml:space="preserve">intelekt </w:t>
      </w:r>
      <w:r w:rsidR="005E1343">
        <w:t xml:space="preserve">Komentátora </w:t>
      </w:r>
      <w:r w:rsidR="005E1343" w:rsidRPr="005E1343">
        <w:t xml:space="preserve">aktualizovaný </w:t>
      </w:r>
      <w:r w:rsidR="000C761E">
        <w:t xml:space="preserve">skrze </w:t>
      </w:r>
      <w:r w:rsidR="005E1343" w:rsidRPr="005E1343">
        <w:rPr>
          <w:i/>
        </w:rPr>
        <w:t>species sensibilis</w:t>
      </w:r>
      <w:r w:rsidR="005E1343" w:rsidRPr="005E1343">
        <w:t xml:space="preserve">. </w:t>
      </w:r>
      <w:r>
        <w:t>Siger proti Albertovi tvrdí, že k</w:t>
      </w:r>
      <w:r w:rsidRPr="00273106">
        <w:t xml:space="preserve">aždá substancializace nebo předem daná aktualita poznání </w:t>
      </w:r>
      <w:r>
        <w:t xml:space="preserve">(skrze vrozené </w:t>
      </w:r>
      <w:r w:rsidR="003572B8">
        <w:t xml:space="preserve">nebo habituální </w:t>
      </w:r>
      <w:r>
        <w:t>první principy</w:t>
      </w:r>
      <w:r w:rsidR="003572B8">
        <w:t xml:space="preserve">, skrze </w:t>
      </w:r>
      <w:r w:rsidR="00F132EB">
        <w:t xml:space="preserve">intelekt jako </w:t>
      </w:r>
      <w:r w:rsidR="004D26C4">
        <w:t xml:space="preserve">hypostatickou </w:t>
      </w:r>
      <w:r w:rsidR="00F132EB">
        <w:t>formu</w:t>
      </w:r>
      <w:r w:rsidR="004D26C4">
        <w:t xml:space="preserve"> duše</w:t>
      </w:r>
      <w:r>
        <w:t xml:space="preserve">) </w:t>
      </w:r>
      <w:r w:rsidRPr="00273106">
        <w:t xml:space="preserve">by znamenala, že lidské poznání má vlastní aktualizaci danou mimo přijatá </w:t>
      </w:r>
      <w:r>
        <w:t>fantasmata</w:t>
      </w:r>
      <w:r w:rsidRPr="00273106">
        <w:t xml:space="preserve">. Pak by duše nebyla </w:t>
      </w:r>
      <w:r w:rsidRPr="00273106">
        <w:rPr>
          <w:i/>
        </w:rPr>
        <w:t>tabula rasa</w:t>
      </w:r>
      <w:r w:rsidRPr="00273106">
        <w:t xml:space="preserve"> a </w:t>
      </w:r>
      <w:r>
        <w:t xml:space="preserve">intelekt by </w:t>
      </w:r>
      <w:r w:rsidRPr="00273106">
        <w:t>aktualizoval</w:t>
      </w:r>
      <w:r>
        <w:t xml:space="preserve"> poznání sám</w:t>
      </w:r>
      <w:r w:rsidRPr="00273106">
        <w:t xml:space="preserve"> ze sebe, místo nasvícení zepředu, od reálných věcí poznaných smyslově. Tím by </w:t>
      </w:r>
      <w:r>
        <w:t xml:space="preserve">duše </w:t>
      </w:r>
      <w:r w:rsidRPr="00273106">
        <w:t xml:space="preserve">nemohla být </w:t>
      </w:r>
      <w:r>
        <w:t xml:space="preserve">z hlediska poznávací nemateriální potence </w:t>
      </w:r>
      <w:r w:rsidRPr="00273106">
        <w:t xml:space="preserve">vším, což je klíčová teze </w:t>
      </w:r>
      <w:r>
        <w:rPr>
          <w:i/>
        </w:rPr>
        <w:t>De anima</w:t>
      </w:r>
      <w:r w:rsidRPr="00273106">
        <w:t xml:space="preserve">. Siger polemizuje </w:t>
      </w:r>
      <w:r>
        <w:t xml:space="preserve">stejně jako Bacon proti Bonaventurovi ohledně predikace </w:t>
      </w:r>
      <w:r w:rsidRPr="00273106">
        <w:rPr>
          <w:i/>
        </w:rPr>
        <w:t>in artificialibus</w:t>
      </w:r>
      <w:r>
        <w:rPr>
          <w:i/>
        </w:rPr>
        <w:fldChar w:fldCharType="begin"/>
      </w:r>
      <w:r>
        <w:instrText xml:space="preserve"> XE "predikace:</w:instrText>
      </w:r>
      <w:r w:rsidRPr="009578AB">
        <w:rPr>
          <w:i/>
        </w:rPr>
        <w:instrText>in artificialibus</w:instrText>
      </w:r>
      <w:r>
        <w:instrText xml:space="preserve">" </w:instrText>
      </w:r>
      <w:r>
        <w:rPr>
          <w:i/>
        </w:rPr>
        <w:fldChar w:fldCharType="end"/>
      </w:r>
      <w:r w:rsidRPr="00273106">
        <w:t xml:space="preserve"> </w:t>
      </w:r>
      <w:r w:rsidR="08A36BA2">
        <w:t>(kap. 4</w:t>
      </w:r>
      <w:r>
        <w:t xml:space="preserve">.1.1). V duši neexistují žádná vrozená </w:t>
      </w:r>
      <w:r w:rsidR="00962190">
        <w:rPr>
          <w:i/>
        </w:rPr>
        <w:t>species</w:t>
      </w:r>
      <w:r>
        <w:t xml:space="preserve">, která by sloužila jako materie pro aktivní intelekt, který by tato </w:t>
      </w:r>
      <w:r w:rsidRPr="08C745EC">
        <w:rPr>
          <w:i/>
        </w:rPr>
        <w:t>scibile</w:t>
      </w:r>
      <w:r>
        <w:t xml:space="preserve"> zpracovával jako nástroj (</w:t>
      </w:r>
      <w:r w:rsidRPr="00273106">
        <w:rPr>
          <w:i/>
        </w:rPr>
        <w:t>instrumenta intellectus agentis</w:t>
      </w:r>
      <w:r w:rsidRPr="00273106">
        <w:t>).</w:t>
      </w:r>
      <w:r>
        <w:t xml:space="preserve"> Ontoteologie moderny má pojetí mysli jako tvůrčího aktu, který v sobě zpracováná materii třetího druhu a používá k tomu vrozené ideje jako nástroje. Modernisté predikují intelekt jako aktuální substanci danou na způsob moderního „létajícího muže</w:t>
      </w:r>
      <w:r>
        <w:fldChar w:fldCharType="begin"/>
      </w:r>
      <w:r>
        <w:instrText xml:space="preserve"> XE "</w:instrText>
      </w:r>
      <w:r w:rsidRPr="00FC391D">
        <w:rPr>
          <w:rStyle w:val="FontStyle129"/>
          <w:sz w:val="24"/>
        </w:rPr>
        <w:instrText>létající muž</w:instrText>
      </w:r>
      <w:r>
        <w:instrText xml:space="preserve">" </w:instrText>
      </w:r>
      <w:r>
        <w:fldChar w:fldCharType="end"/>
      </w:r>
      <w:r>
        <w:t>“ n</w:t>
      </w:r>
      <w:r w:rsidR="004D58A4">
        <w:t xml:space="preserve">ebo </w:t>
      </w:r>
      <w:r w:rsidR="00A2714A">
        <w:t xml:space="preserve">její nihilistické verze dnes známé jako </w:t>
      </w:r>
      <w:r w:rsidR="004D58A4">
        <w:t>„moz</w:t>
      </w:r>
      <w:r w:rsidR="00A2714A">
        <w:t>ek</w:t>
      </w:r>
      <w:r w:rsidR="004D58A4">
        <w:t xml:space="preserve"> ve vaně</w:t>
      </w:r>
      <w:r>
        <w:t>“ (</w:t>
      </w:r>
      <w:r>
        <w:rPr>
          <w:i/>
        </w:rPr>
        <w:t>Brain in a V</w:t>
      </w:r>
      <w:r w:rsidRPr="080E0B8D">
        <w:rPr>
          <w:i/>
        </w:rPr>
        <w:t>at</w:t>
      </w:r>
      <w:r>
        <w:rPr>
          <w:i/>
        </w:rPr>
        <w:fldChar w:fldCharType="begin"/>
      </w:r>
      <w:r>
        <w:instrText xml:space="preserve"> XE "</w:instrText>
      </w:r>
      <w:r w:rsidRPr="08E7732C">
        <w:rPr>
          <w:i/>
        </w:rPr>
        <w:instrText>Brain in a Vat</w:instrText>
      </w:r>
      <w:r>
        <w:instrText xml:space="preserve">" </w:instrText>
      </w:r>
      <w:r>
        <w:rPr>
          <w:i/>
        </w:rPr>
        <w:fldChar w:fldCharType="end"/>
      </w:r>
      <w:r>
        <w:t>). M</w:t>
      </w:r>
      <w:r w:rsidRPr="00273106">
        <w:t xml:space="preserve">ysl nepracuje na způsob řemeslníka, který </w:t>
      </w:r>
      <w:r>
        <w:t xml:space="preserve">má ideu </w:t>
      </w:r>
      <w:r w:rsidRPr="00273106">
        <w:t>díla a pak ji vtiskuje do materiálu.</w:t>
      </w:r>
      <w:r>
        <w:t xml:space="preserve"> Receptivní složka intelektuální schopnosti duše zakládá poznání tím, že poznávající osoba vše přijímá ze smyslů. Aristotelský intelekt jako </w:t>
      </w:r>
      <w:r w:rsidRPr="00B278B6">
        <w:rPr>
          <w:i/>
        </w:rPr>
        <w:t>tabula rasa</w:t>
      </w:r>
      <w:r>
        <w:t xml:space="preserve"> sám ze sebe nemůže vymyslet vůbec nic, protože nemá </w:t>
      </w:r>
      <w:r w:rsidR="00053059">
        <w:t xml:space="preserve">vlastní </w:t>
      </w:r>
      <w:r>
        <w:t xml:space="preserve">aktualitu nutnou k rozběhnutí procesu myšlení. </w:t>
      </w:r>
      <w:r w:rsidR="002A4214" w:rsidRPr="002A4214">
        <w:t xml:space="preserve">Aktualizace intelektu </w:t>
      </w:r>
      <w:r w:rsidR="002A4214">
        <w:t>po</w:t>
      </w:r>
      <w:r w:rsidR="002A4214" w:rsidRPr="002A4214">
        <w:t xml:space="preserve">chází výhradně ze smyslového poznání, které </w:t>
      </w:r>
      <w:r w:rsidR="002A4214">
        <w:t xml:space="preserve">tvoří </w:t>
      </w:r>
      <w:r w:rsidR="002A4214" w:rsidRPr="002A4214">
        <w:t>skutečný subjekt intelektuálního poznání (</w:t>
      </w:r>
      <w:r w:rsidR="002A4214" w:rsidRPr="002A4214">
        <w:rPr>
          <w:i/>
        </w:rPr>
        <w:t>subiective</w:t>
      </w:r>
      <w:r w:rsidR="002A4214" w:rsidRPr="002A4214">
        <w:t xml:space="preserve">). </w:t>
      </w:r>
      <w:r>
        <w:t xml:space="preserve">Stanovisko Sigera je v tomto bodu stejné jako výše citované stanovisko Bacona. </w:t>
      </w:r>
      <w:r w:rsidRPr="00273106">
        <w:t>Univerzální intence tvůrce (</w:t>
      </w:r>
      <w:r w:rsidRPr="00273106">
        <w:rPr>
          <w:i/>
        </w:rPr>
        <w:t>universale quod est in artificialibus</w:t>
      </w:r>
      <w:r w:rsidRPr="00273106">
        <w:t xml:space="preserve">) </w:t>
      </w:r>
      <w:r>
        <w:t>je v modu univerzální predikace</w:t>
      </w:r>
      <w:r>
        <w:fldChar w:fldCharType="begin"/>
      </w:r>
      <w:r>
        <w:instrText xml:space="preserve"> XE "</w:instrText>
      </w:r>
      <w:r w:rsidRPr="001B7686">
        <w:instrText>predikace:</w:instrText>
      </w:r>
      <w:r w:rsidRPr="003B0E20">
        <w:rPr>
          <w:i/>
        </w:rPr>
        <w:instrText>in artificialibus</w:instrText>
      </w:r>
      <w:r>
        <w:instrText xml:space="preserve">" </w:instrText>
      </w:r>
      <w:r>
        <w:fldChar w:fldCharType="end"/>
      </w:r>
      <w:r w:rsidR="008759AA">
        <w:t xml:space="preserve">, která sama o sobě nemá kauzalitu </w:t>
      </w:r>
      <w:r>
        <w:t>první</w:t>
      </w:r>
      <w:r w:rsidR="00AF7453">
        <w:t>ch substancí</w:t>
      </w:r>
      <w:r>
        <w:t xml:space="preserve"> </w:t>
      </w:r>
      <w:r w:rsidRPr="00273106">
        <w:t>(</w:t>
      </w:r>
      <w:r>
        <w:rPr>
          <w:i/>
        </w:rPr>
        <w:t xml:space="preserve">non retinet </w:t>
      </w:r>
      <w:r w:rsidRPr="00273106">
        <w:rPr>
          <w:i/>
        </w:rPr>
        <w:t>ratio causalitatis</w:t>
      </w:r>
      <w:r w:rsidR="08EF2C61">
        <w:t>; OBJ II</w:t>
      </w:r>
      <w:r w:rsidR="085418A4" w:rsidRPr="085418A4">
        <w:t>,</w:t>
      </w:r>
      <w:r w:rsidR="085418A4">
        <w:rPr>
          <w:i/>
        </w:rPr>
        <w:t xml:space="preserve"> </w:t>
      </w:r>
      <w:r w:rsidR="085418A4">
        <w:t>kap. 2</w:t>
      </w:r>
      <w:r>
        <w:t>.4.3</w:t>
      </w:r>
      <w:r w:rsidRPr="00273106">
        <w:t>).</w:t>
      </w:r>
      <w:r>
        <w:t xml:space="preserve"> Sigerův t</w:t>
      </w:r>
      <w:r w:rsidRPr="00273106">
        <w:t>raktát o duši upřel lidskému intelektu jakoukoliv s</w:t>
      </w:r>
      <w:r>
        <w:t xml:space="preserve">tvořitelskou aktualitu. Tento průlomový spis </w:t>
      </w:r>
      <w:r w:rsidRPr="00273106">
        <w:t>přesně an</w:t>
      </w:r>
      <w:r>
        <w:t>alyzoval a vyložil pravdivý způ</w:t>
      </w:r>
      <w:r w:rsidRPr="00273106">
        <w:t>sob poznání</w:t>
      </w:r>
      <w:r>
        <w:t xml:space="preserve"> zachovávající oddělenost intelektu</w:t>
      </w:r>
      <w:r w:rsidR="088C4CA7">
        <w:t xml:space="preserve"> </w:t>
      </w:r>
      <w:r w:rsidR="088C4CA7" w:rsidRPr="081942A4">
        <w:rPr>
          <w:szCs w:val="24"/>
        </w:rPr>
        <w:t>(</w:t>
      </w:r>
      <w:r w:rsidR="088C4CA7" w:rsidRPr="081942A4">
        <w:rPr>
          <w:i/>
          <w:szCs w:val="24"/>
        </w:rPr>
        <w:t>separabilis</w:t>
      </w:r>
      <w:r w:rsidR="088C4CA7" w:rsidRPr="081942A4">
        <w:rPr>
          <w:szCs w:val="24"/>
        </w:rPr>
        <w:t>)</w:t>
      </w:r>
      <w:r w:rsidR="080172FB">
        <w:t xml:space="preserve"> </w:t>
      </w:r>
      <w:r>
        <w:t>a substanční jednotu osoby</w:t>
      </w:r>
      <w:r w:rsidRPr="00273106">
        <w:t xml:space="preserve">. </w:t>
      </w:r>
      <w:r>
        <w:t>Habituálně daný intelekt by měl vlastní aktualitu a ste</w:t>
      </w:r>
      <w:r w:rsidR="00A056E5">
        <w:t xml:space="preserve">jně by to platilo i pro vrozené </w:t>
      </w:r>
      <w:r>
        <w:t>princip</w:t>
      </w:r>
      <w:r w:rsidR="00A056E5">
        <w:t>y</w:t>
      </w:r>
      <w:r>
        <w:t xml:space="preserve"> poznání. </w:t>
      </w:r>
      <w:r w:rsidR="00DA7BE4" w:rsidRPr="00DA7BE4">
        <w:t>Taková pov</w:t>
      </w:r>
      <w:r w:rsidR="00DA7BE4">
        <w:t>aha intelektu připomíná neoplato</w:t>
      </w:r>
      <w:r w:rsidR="00DA7BE4" w:rsidRPr="00DA7BE4">
        <w:t>nský model lodníka a lodi (</w:t>
      </w:r>
      <w:r w:rsidR="00DA7BE4" w:rsidRPr="00DA7BE4">
        <w:rPr>
          <w:i/>
        </w:rPr>
        <w:t>sicut nauta navis</w:t>
      </w:r>
      <w:r w:rsidR="00DA7BE4" w:rsidRPr="00DA7BE4">
        <w:t xml:space="preserve">, kap. 4.4.2). </w:t>
      </w:r>
      <w:r>
        <w:t xml:space="preserve">Siger používá </w:t>
      </w:r>
      <w:r>
        <w:lastRenderedPageBreak/>
        <w:t>argumentu o schopnosti řemeslníka vůči materiálu (</w:t>
      </w:r>
      <w:r w:rsidRPr="00034AE0">
        <w:rPr>
          <w:i/>
        </w:rPr>
        <w:t>ut ars ad materiam</w:t>
      </w:r>
      <w:r>
        <w:t>) pro zpracování smyslové materie, aby napojil receptivní intelekt na fantasmata. Smyslové představy skrze aktualitu danou ze smyslů zakládají kauzalitu intelektuálního poznání</w:t>
      </w:r>
      <w:r w:rsidR="00856788">
        <w:t xml:space="preserve"> odděleného od smyslů</w:t>
      </w:r>
      <w:r>
        <w:t xml:space="preserve">. </w:t>
      </w:r>
      <w:r w:rsidR="00856788">
        <w:t>Ale i</w:t>
      </w:r>
      <w:r>
        <w:t xml:space="preserve">ntelekt </w:t>
      </w:r>
      <w:r w:rsidR="0056419D">
        <w:t xml:space="preserve">je plně závislý na aktualizaci </w:t>
      </w:r>
      <w:r>
        <w:t xml:space="preserve">poznání ze smyslů, protože </w:t>
      </w:r>
      <w:r w:rsidR="00856788">
        <w:t xml:space="preserve">nemá </w:t>
      </w:r>
      <w:r w:rsidR="0056419D">
        <w:t xml:space="preserve">vlastní </w:t>
      </w:r>
      <w:r w:rsidR="00856788">
        <w:t>aktualitu</w:t>
      </w:r>
      <w:r w:rsidR="00104444">
        <w:t xml:space="preserve">. </w:t>
      </w:r>
      <w:r w:rsidR="080172FB">
        <w:t xml:space="preserve">Viz výše uvedenou definici intelektu daného v modu </w:t>
      </w:r>
      <w:r w:rsidR="080172FB" w:rsidRPr="080172FB">
        <w:rPr>
          <w:i/>
        </w:rPr>
        <w:t>subiective</w:t>
      </w:r>
      <w:r w:rsidR="080172FB">
        <w:t xml:space="preserve">. </w:t>
      </w:r>
      <w:r>
        <w:t xml:space="preserve">Ale nemateriální forma </w:t>
      </w:r>
      <w:r w:rsidR="00E13B46">
        <w:t>je založena na smyslovém</w:t>
      </w:r>
      <w:r>
        <w:t xml:space="preserve"> poznání, které </w:t>
      </w:r>
      <w:r w:rsidR="001B6DD0">
        <w:t>tvoří diafanum modifikované</w:t>
      </w:r>
      <w:r>
        <w:t xml:space="preserve"> v aktu druhé intencionality a nemateriální abstrakce</w:t>
      </w:r>
      <w:r w:rsidR="080172FB">
        <w:t xml:space="preserve"> (modus </w:t>
      </w:r>
      <w:r w:rsidR="080172FB" w:rsidRPr="080172FB">
        <w:rPr>
          <w:i/>
        </w:rPr>
        <w:t>obiective</w:t>
      </w:r>
      <w:r w:rsidR="080172FB">
        <w:t>)</w:t>
      </w:r>
      <w:r>
        <w:t xml:space="preserve">. </w:t>
      </w:r>
      <w:r w:rsidRPr="00273106">
        <w:t>Siger popírá avicennovskou pozici o vrozených principech poznání, imanentně daných</w:t>
      </w:r>
      <w:r>
        <w:t xml:space="preserve"> jako nástroje, které pak používá </w:t>
      </w:r>
      <w:r w:rsidRPr="00BF5D54">
        <w:rPr>
          <w:i/>
        </w:rPr>
        <w:t>intellectus agens</w:t>
      </w:r>
      <w:r>
        <w:rPr>
          <w:i/>
        </w:rPr>
        <w:fldChar w:fldCharType="begin"/>
      </w:r>
      <w:r>
        <w:instrText xml:space="preserve"> XE "</w:instrText>
      </w:r>
      <w:r w:rsidRPr="00490D32">
        <w:rPr>
          <w:i/>
        </w:rPr>
        <w:instrText>intellectus agens:</w:instrText>
      </w:r>
      <w:r w:rsidRPr="004B4E0B">
        <w:instrText>Avicenna</w:instrText>
      </w:r>
      <w:r>
        <w:instrText xml:space="preserve">" </w:instrText>
      </w:r>
      <w:r>
        <w:rPr>
          <w:i/>
        </w:rPr>
        <w:fldChar w:fldCharType="end"/>
      </w:r>
      <w:r>
        <w:t xml:space="preserve">. Takový intelekt </w:t>
      </w:r>
      <w:r w:rsidRPr="00273106">
        <w:t xml:space="preserve">funguje jako </w:t>
      </w:r>
      <w:r>
        <w:t xml:space="preserve">hypostázovaná </w:t>
      </w:r>
      <w:r w:rsidRPr="00273106">
        <w:t xml:space="preserve">schopnost uvažování na způsob karteziánského </w:t>
      </w:r>
      <w:r w:rsidRPr="00BF5D54">
        <w:rPr>
          <w:i/>
        </w:rPr>
        <w:t>cogito</w:t>
      </w:r>
      <w:r>
        <w:rPr>
          <w:i/>
        </w:rPr>
        <w:fldChar w:fldCharType="begin"/>
      </w:r>
      <w:r>
        <w:instrText xml:space="preserve"> XE "</w:instrText>
      </w:r>
      <w:r w:rsidRPr="003D2937">
        <w:rPr>
          <w:i/>
        </w:rPr>
        <w:instrText>cogito</w:instrText>
      </w:r>
      <w:r>
        <w:instrText xml:space="preserve">" </w:instrText>
      </w:r>
      <w:r>
        <w:rPr>
          <w:i/>
        </w:rPr>
        <w:fldChar w:fldCharType="end"/>
      </w:r>
      <w:r>
        <w:t xml:space="preserve"> a má k dispozici vlastní aktuální nástroje trvale přítomné v duši. Siger řadí poznání v predikaci </w:t>
      </w:r>
      <w:r w:rsidR="0060427F">
        <w:t>„</w:t>
      </w:r>
      <w:r w:rsidRPr="08B11A9F">
        <w:rPr>
          <w:i/>
        </w:rPr>
        <w:t>in arficialibus</w:t>
      </w:r>
      <w:r w:rsidR="0060427F">
        <w:t>“</w:t>
      </w:r>
      <w:r w:rsidR="00AE0BBC">
        <w:t xml:space="preserve"> do nauky Aristotela. Nová škola „</w:t>
      </w:r>
      <w:r w:rsidRPr="08B11A9F">
        <w:rPr>
          <w:i/>
        </w:rPr>
        <w:t>sequaces Aristotelis</w:t>
      </w:r>
      <w:r w:rsidR="00AE0BBC">
        <w:t>“</w:t>
      </w:r>
      <w:r>
        <w:t xml:space="preserve"> </w:t>
      </w:r>
      <w:r w:rsidR="00AE0BBC">
        <w:t>váže poznání na nějakou formu</w:t>
      </w:r>
      <w:r>
        <w:t xml:space="preserve"> odděleného intelektu v duši. </w:t>
      </w:r>
      <w:r w:rsidR="0060427F" w:rsidRPr="0060427F">
        <w:t xml:space="preserve">Tato otázka je velmi důležitá, protože odděluje Aristotelovu definici intelektu v </w:t>
      </w:r>
      <w:proofErr w:type="gramStart"/>
      <w:r w:rsidR="0060427F" w:rsidRPr="0060427F">
        <w:rPr>
          <w:i/>
        </w:rPr>
        <w:t>De</w:t>
      </w:r>
      <w:proofErr w:type="gramEnd"/>
      <w:r w:rsidR="0060427F" w:rsidRPr="0060427F">
        <w:rPr>
          <w:i/>
        </w:rPr>
        <w:t xml:space="preserve"> anima</w:t>
      </w:r>
      <w:r w:rsidR="0060427F" w:rsidRPr="0060427F">
        <w:t xml:space="preserve"> od vysvětlení v CMDA.</w:t>
      </w:r>
      <w:r w:rsidR="0086272F">
        <w:t xml:space="preserve"> </w:t>
      </w:r>
      <w:r w:rsidR="0086272F" w:rsidRPr="0086272F">
        <w:t xml:space="preserve">Tímto rozlišením se Siger oddělil od semiaverroistů ve škole prvního averroismu, </w:t>
      </w:r>
      <w:r w:rsidR="00AD3A27">
        <w:t>jako</w:t>
      </w:r>
      <w:r w:rsidR="0086272F">
        <w:t xml:space="preserve"> byli </w:t>
      </w:r>
      <w:r w:rsidR="0086272F" w:rsidRPr="0086272F">
        <w:t xml:space="preserve">Albert a Akvinský. </w:t>
      </w:r>
      <w:r w:rsidR="0060427F" w:rsidRPr="0060427F">
        <w:t xml:space="preserve"> </w:t>
      </w:r>
    </w:p>
    <w:p w:rsidR="08163013" w:rsidRPr="00FC16FD" w:rsidRDefault="08163013" w:rsidP="08163013">
      <w:pPr>
        <w:pStyle w:val="Citace"/>
        <w:rPr>
          <w:noProof/>
          <w:lang w:val="cs-CZ"/>
        </w:rPr>
      </w:pPr>
      <w:r w:rsidRPr="00273106">
        <w:rPr>
          <w:noProof/>
          <w:lang w:val="cs-CZ"/>
        </w:rPr>
        <w:t>„</w:t>
      </w:r>
      <w:r w:rsidRPr="085602C3">
        <w:t>Aristoteles říkal, že činný intelekt</w:t>
      </w:r>
      <w:r>
        <w:rPr>
          <w:noProof/>
          <w:lang w:val="cs-CZ"/>
        </w:rPr>
        <w:t xml:space="preserve"> může 'dělat vše jako řemeslo vzhledem k materii', ale intelekt a řemeslná dovednost jednají odlišným způsobem (</w:t>
      </w:r>
      <w:r w:rsidRPr="005A4ABC">
        <w:rPr>
          <w:i/>
          <w:noProof/>
        </w:rPr>
        <w:t>differenter tamen agunt intellectus et ars</w:t>
      </w:r>
      <w:r>
        <w:rPr>
          <w:noProof/>
          <w:lang w:val="cs-CZ"/>
        </w:rPr>
        <w:t xml:space="preserve">). Umění vtiskuje formu do látky samo ze sebe. Ale intelekt nikoliv, protože potřebuje smyslové intence. To tvrdí Averroes.“ </w:t>
      </w:r>
      <w:r>
        <w:rPr>
          <w:rStyle w:val="Znakapoznpodarou"/>
        </w:rPr>
        <w:footnoteReference w:id="233"/>
      </w:r>
    </w:p>
    <w:p w:rsidR="08163013" w:rsidRPr="00273106" w:rsidRDefault="00806D21" w:rsidP="08163013">
      <w:r>
        <w:t>Sigerem definovaný</w:t>
      </w:r>
      <w:r w:rsidR="08163013">
        <w:t xml:space="preserve"> intelekt nemůže fungovat v artistickém modelu moderny díky radikální potencialitě </w:t>
      </w:r>
      <w:r w:rsidR="08163013" w:rsidRPr="00273106">
        <w:t>(</w:t>
      </w:r>
      <w:r w:rsidR="08163013" w:rsidRPr="00273106">
        <w:rPr>
          <w:i/>
        </w:rPr>
        <w:t>differenter tamen agunt intellectus et ars</w:t>
      </w:r>
      <w:r w:rsidR="08163013" w:rsidRPr="00273106">
        <w:t xml:space="preserve">). </w:t>
      </w:r>
      <w:r w:rsidR="0060427F" w:rsidRPr="0060427F">
        <w:t xml:space="preserve">Lidský intelekt není v pozici řemeslníka, který žije jako existující první substance. </w:t>
      </w:r>
      <w:r w:rsidR="0060427F">
        <w:t>I</w:t>
      </w:r>
      <w:r w:rsidR="08163013" w:rsidRPr="00273106">
        <w:t xml:space="preserve">ntelekt </w:t>
      </w:r>
      <w:r w:rsidR="08163013">
        <w:t>je aktuálně determinován od smyslových fantasmat</w:t>
      </w:r>
      <w:r w:rsidR="08163013" w:rsidRPr="00273106">
        <w:t xml:space="preserve">, proto nemá čistě kreativní charakter </w:t>
      </w:r>
      <w:r w:rsidR="08163013">
        <w:t xml:space="preserve">jako u modernistů </w:t>
      </w:r>
      <w:r w:rsidR="08163013" w:rsidRPr="00273106">
        <w:t>(</w:t>
      </w:r>
      <w:proofErr w:type="gramStart"/>
      <w:r w:rsidR="08163013" w:rsidRPr="00273106">
        <w:rPr>
          <w:i/>
        </w:rPr>
        <w:t>intellectus... eget</w:t>
      </w:r>
      <w:proofErr w:type="gramEnd"/>
      <w:r w:rsidR="08163013" w:rsidRPr="00273106">
        <w:rPr>
          <w:i/>
        </w:rPr>
        <w:t xml:space="preserve"> intentionibus imaginatis</w:t>
      </w:r>
      <w:r w:rsidR="08163013" w:rsidRPr="00273106">
        <w:t xml:space="preserve">). Řemeslná a umělecká schopnost </w:t>
      </w:r>
      <w:r w:rsidR="08163013">
        <w:t xml:space="preserve">aktivně </w:t>
      </w:r>
      <w:r w:rsidR="08163013" w:rsidRPr="00273106">
        <w:t>formuje materiál (</w:t>
      </w:r>
      <w:r w:rsidR="08163013" w:rsidRPr="00273106">
        <w:rPr>
          <w:i/>
        </w:rPr>
        <w:t>ars per se sufficit ad ponendum formam in materia</w:t>
      </w:r>
      <w:r w:rsidR="08163013">
        <w:t>). A</w:t>
      </w:r>
      <w:r w:rsidR="08163013" w:rsidRPr="00273106">
        <w:t xml:space="preserve">le to není případ </w:t>
      </w:r>
      <w:r w:rsidR="08163013">
        <w:t xml:space="preserve">teoretického poznání, které je univerzální jen proto, že je absolutně receptivní. Lidský intelekt je </w:t>
      </w:r>
      <w:r w:rsidR="00A50860">
        <w:t xml:space="preserve">instrumentem </w:t>
      </w:r>
      <w:r w:rsidR="08163013">
        <w:t>jen ve spojení s vůlí, která aktualizuje poznání v realitě (</w:t>
      </w:r>
      <w:r w:rsidR="08163013" w:rsidRPr="087C57B5">
        <w:rPr>
          <w:i/>
        </w:rPr>
        <w:t>intellectus practicus</w:t>
      </w:r>
      <w:r w:rsidR="08C13CF5">
        <w:t>, kap. 6</w:t>
      </w:r>
      <w:r w:rsidR="08163013">
        <w:t>.1)</w:t>
      </w:r>
      <w:r w:rsidR="08163013" w:rsidRPr="00273106">
        <w:t xml:space="preserve">. </w:t>
      </w:r>
      <w:r w:rsidR="08163013">
        <w:t xml:space="preserve">Intelekt v sobě nemá materii ani aktualitu, proto nemůže být </w:t>
      </w:r>
      <w:r w:rsidR="082D0AD8">
        <w:t xml:space="preserve">aktivní </w:t>
      </w:r>
      <w:r w:rsidR="08163013">
        <w:t xml:space="preserve">sám ze sebe. </w:t>
      </w:r>
      <w:r w:rsidR="08163013">
        <w:lastRenderedPageBreak/>
        <w:t>Poznání bez smyslů nemá jak vzniknout</w:t>
      </w:r>
      <w:r w:rsidR="08163013" w:rsidRPr="00273106">
        <w:t xml:space="preserve">, </w:t>
      </w:r>
      <w:r w:rsidR="08163013">
        <w:t>protože intelekt neexistuje samostatně jako něco substanciálně nebo habituálně daného. Intelekt je čistá potence duše, na rozdíl od ideje řemeslníka aktivně utvářejícího materiál skrze jeho artistické schopnosti dané osobně. A duše je schopná</w:t>
      </w:r>
      <w:r w:rsidR="08163013" w:rsidRPr="00273106">
        <w:t xml:space="preserve"> poznávat i jinak než smyslově</w:t>
      </w:r>
      <w:r w:rsidR="08163013">
        <w:t>, protože je z hlediska své potence univerzálně vším</w:t>
      </w:r>
      <w:r w:rsidR="08163013" w:rsidRPr="00273106">
        <w:t>. Cito</w:t>
      </w:r>
      <w:r w:rsidR="08163013">
        <w:t xml:space="preserve">vaný Aristotelův výrok </w:t>
      </w:r>
      <w:r w:rsidR="00DF077A">
        <w:t>„</w:t>
      </w:r>
      <w:r w:rsidR="08163013" w:rsidRPr="00273106">
        <w:rPr>
          <w:i/>
        </w:rPr>
        <w:t>omnia facere</w:t>
      </w:r>
      <w:r w:rsidR="00DF077A">
        <w:t>“</w:t>
      </w:r>
      <w:r w:rsidR="08163013">
        <w:t xml:space="preserve"> se </w:t>
      </w:r>
      <w:r w:rsidR="001668E7">
        <w:t xml:space="preserve">podle Sigerova výkladu CMDA </w:t>
      </w:r>
      <w:r w:rsidR="08163013">
        <w:t>vztahuje ke způsobu, jak</w:t>
      </w:r>
      <w:r w:rsidR="08163013" w:rsidRPr="00273106">
        <w:t xml:space="preserve"> se aktualizuje činná složka intelektu v nás. Lidská mysl n</w:t>
      </w:r>
      <w:r w:rsidR="08163013">
        <w:t xml:space="preserve">emá vlastní aktualitu </w:t>
      </w:r>
      <w:r w:rsidR="08163013" w:rsidRPr="00273106">
        <w:t xml:space="preserve">v podobě vrozených principů poznání a </w:t>
      </w:r>
      <w:r w:rsidR="08163013">
        <w:t>poznává</w:t>
      </w:r>
      <w:r w:rsidR="08163013" w:rsidRPr="00273106">
        <w:t xml:space="preserve"> jen skrze fantasmata. Proto je třeba integrálně interpretovat celý aristotelský korpus včetně </w:t>
      </w:r>
      <w:r w:rsidR="08163013">
        <w:rPr>
          <w:i/>
        </w:rPr>
        <w:t>De anima</w:t>
      </w:r>
      <w:r w:rsidR="08163013" w:rsidRPr="00273106">
        <w:t xml:space="preserve">, </w:t>
      </w:r>
      <w:r w:rsidR="08163013" w:rsidRPr="08315842">
        <w:rPr>
          <w:i/>
        </w:rPr>
        <w:t>Fyziky</w:t>
      </w:r>
      <w:r w:rsidR="08163013" w:rsidRPr="00273106">
        <w:t xml:space="preserve"> a </w:t>
      </w:r>
      <w:r w:rsidR="08163013" w:rsidRPr="08315842">
        <w:rPr>
          <w:i/>
        </w:rPr>
        <w:t>Metafyziky</w:t>
      </w:r>
      <w:r w:rsidR="08163013" w:rsidRPr="00273106">
        <w:t xml:space="preserve">, ne dogmatizovat </w:t>
      </w:r>
      <w:r w:rsidR="08163013" w:rsidRPr="08315842">
        <w:rPr>
          <w:i/>
        </w:rPr>
        <w:t>Druhé analytiky</w:t>
      </w:r>
      <w:r w:rsidR="08163013" w:rsidRPr="00273106">
        <w:t xml:space="preserve"> a </w:t>
      </w:r>
      <w:r w:rsidR="08163013">
        <w:t xml:space="preserve">absolutizovat </w:t>
      </w:r>
      <w:r w:rsidR="08163013" w:rsidRPr="00273106">
        <w:t xml:space="preserve">logické spisy </w:t>
      </w:r>
      <w:r w:rsidR="08163013" w:rsidRPr="08315842">
        <w:rPr>
          <w:i/>
        </w:rPr>
        <w:t>Organonu</w:t>
      </w:r>
      <w:r w:rsidR="08163013" w:rsidRPr="00273106">
        <w:t xml:space="preserve">, jako to dělali a dělají moderní sofisté, objektivisté a pozitivisté. </w:t>
      </w:r>
      <w:r w:rsidR="005C263C">
        <w:t xml:space="preserve">Výklad CMDA v otázce poznání </w:t>
      </w:r>
      <w:r w:rsidR="08163013">
        <w:t xml:space="preserve">překonal výklad </w:t>
      </w:r>
      <w:r w:rsidR="08163013" w:rsidRPr="08B11A9F">
        <w:rPr>
          <w:i/>
        </w:rPr>
        <w:t>De anima</w:t>
      </w:r>
      <w:r w:rsidR="08163013">
        <w:t xml:space="preserve">. Tento fakt od sebe zásadně oddělil okolo roku 1266 výklad Akvinského podaný </w:t>
      </w:r>
      <w:r w:rsidR="002F3397">
        <w:t>„</w:t>
      </w:r>
      <w:r w:rsidR="08163013" w:rsidRPr="08E7781A">
        <w:rPr>
          <w:i/>
        </w:rPr>
        <w:t>ad mentem Aristotelis</w:t>
      </w:r>
      <w:r w:rsidR="002F3397">
        <w:t>“</w:t>
      </w:r>
      <w:r w:rsidR="08163013">
        <w:t xml:space="preserve"> a výklad Sigera podaný </w:t>
      </w:r>
      <w:r w:rsidR="002F3397">
        <w:t>„</w:t>
      </w:r>
      <w:r w:rsidR="08163013" w:rsidRPr="08E7781A">
        <w:rPr>
          <w:i/>
        </w:rPr>
        <w:t>ad mentem Averrois</w:t>
      </w:r>
      <w:r w:rsidR="002F3397">
        <w:t>“</w:t>
      </w:r>
      <w:r w:rsidR="08163013">
        <w:t xml:space="preserve">. Semiaverroisté a tomisté jako Aegidius volili po roce 1266 Akvinského výklad a udělali z něj Nového expositora </w:t>
      </w:r>
      <w:r w:rsidR="08254913" w:rsidRPr="081942A4">
        <w:rPr>
          <w:szCs w:val="24"/>
        </w:rPr>
        <w:t>(</w:t>
      </w:r>
      <w:r w:rsidR="08254913" w:rsidRPr="081942A4">
        <w:rPr>
          <w:i/>
          <w:szCs w:val="24"/>
        </w:rPr>
        <w:t>Expositor Novus</w:t>
      </w:r>
      <w:r w:rsidR="08254913" w:rsidRPr="081942A4">
        <w:rPr>
          <w:szCs w:val="24"/>
        </w:rPr>
        <w:t xml:space="preserve">) </w:t>
      </w:r>
      <w:r w:rsidR="08163013">
        <w:t>proti Sigerovi</w:t>
      </w:r>
      <w:r w:rsidR="08E71B98">
        <w:t xml:space="preserve">. Tento postup nově vzniklého tomismu </w:t>
      </w:r>
      <w:r w:rsidR="08163013">
        <w:t xml:space="preserve">ukazuje </w:t>
      </w:r>
      <w:r w:rsidR="08254913">
        <w:t xml:space="preserve">Aegidiova </w:t>
      </w:r>
      <w:r w:rsidR="08163013">
        <w:t xml:space="preserve">třetí část Oxfordského rukopisu psaná okolo roku 1268. </w:t>
      </w:r>
      <w:r w:rsidR="08163013" w:rsidRPr="00273106">
        <w:t xml:space="preserve">Siger </w:t>
      </w:r>
      <w:r w:rsidR="088A58E9">
        <w:t xml:space="preserve">jako skutečný </w:t>
      </w:r>
      <w:r w:rsidR="088A58E9" w:rsidRPr="088A58E9">
        <w:rPr>
          <w:i/>
        </w:rPr>
        <w:t>Expositor Nov</w:t>
      </w:r>
      <w:r w:rsidR="088A58E9">
        <w:t xml:space="preserve">us </w:t>
      </w:r>
      <w:r w:rsidR="08163013" w:rsidRPr="00273106">
        <w:t xml:space="preserve">je skutečný znalec </w:t>
      </w:r>
      <w:r w:rsidR="08163013">
        <w:t>Averroes</w:t>
      </w:r>
      <w:r w:rsidR="08DE115B">
        <w:t>e a tím i Aristotela, což ukazuje jeho spor s </w:t>
      </w:r>
      <w:proofErr w:type="gramStart"/>
      <w:r w:rsidR="08DE115B">
        <w:t>Akvinským</w:t>
      </w:r>
      <w:proofErr w:type="gramEnd"/>
      <w:r w:rsidR="08DE115B">
        <w:t xml:space="preserve"> (kap. 4.4.4). </w:t>
      </w:r>
      <w:r w:rsidR="08163013">
        <w:t>Proto nemůže přijmout</w:t>
      </w:r>
      <w:r w:rsidR="08163013" w:rsidRPr="00273106">
        <w:t xml:space="preserve"> tezi avicennistů jako Bonaventura a Descartes o autonomně myslícím </w:t>
      </w:r>
      <w:r w:rsidR="08163013" w:rsidRPr="00BB1D60">
        <w:rPr>
          <w:i/>
        </w:rPr>
        <w:t>cogito</w:t>
      </w:r>
      <w:r w:rsidR="08163013">
        <w:rPr>
          <w:i/>
        </w:rPr>
        <w:fldChar w:fldCharType="begin"/>
      </w:r>
      <w:r w:rsidR="08163013">
        <w:instrText xml:space="preserve"> XE "</w:instrText>
      </w:r>
      <w:r w:rsidR="08163013" w:rsidRPr="003D2937">
        <w:rPr>
          <w:i/>
        </w:rPr>
        <w:instrText>cogito</w:instrText>
      </w:r>
      <w:r w:rsidR="08163013">
        <w:instrText xml:space="preserve">" </w:instrText>
      </w:r>
      <w:r w:rsidR="08163013">
        <w:rPr>
          <w:i/>
        </w:rPr>
        <w:fldChar w:fldCharType="end"/>
      </w:r>
      <w:r w:rsidR="08163013" w:rsidRPr="00273106">
        <w:t xml:space="preserve"> a o vrozené ideji </w:t>
      </w:r>
      <w:r w:rsidR="00027B75">
        <w:t xml:space="preserve">moderního </w:t>
      </w:r>
      <w:r w:rsidR="08163013" w:rsidRPr="00273106">
        <w:t>boha v nás.</w:t>
      </w:r>
      <w:r w:rsidR="08163013">
        <w:t xml:space="preserve"> </w:t>
      </w:r>
      <w:r w:rsidR="08163013" w:rsidRPr="00273106">
        <w:t xml:space="preserve">Shrňme </w:t>
      </w:r>
      <w:r w:rsidR="08163013">
        <w:t xml:space="preserve">Sigerovo </w:t>
      </w:r>
      <w:r w:rsidR="08163013" w:rsidRPr="00273106">
        <w:t>krédo vzhledem k</w:t>
      </w:r>
      <w:r w:rsidR="00B53B1A">
        <w:t> </w:t>
      </w:r>
      <w:r w:rsidR="08163013" w:rsidRPr="00273106">
        <w:t>poznání</w:t>
      </w:r>
      <w:r w:rsidR="00B53B1A">
        <w:t xml:space="preserve"> dané </w:t>
      </w:r>
      <w:r w:rsidR="00083FAC">
        <w:t xml:space="preserve">v QIIIDA, </w:t>
      </w:r>
      <w:r w:rsidR="00B53B1A">
        <w:t xml:space="preserve">q. 12. Siger </w:t>
      </w:r>
      <w:r w:rsidR="08163013" w:rsidRPr="00273106">
        <w:t xml:space="preserve">hájí princip </w:t>
      </w:r>
      <w:r w:rsidR="08163013" w:rsidRPr="00273106">
        <w:rPr>
          <w:i/>
        </w:rPr>
        <w:t>tabula rasa</w:t>
      </w:r>
      <w:r w:rsidR="08163013">
        <w:rPr>
          <w:i/>
        </w:rPr>
        <w:fldChar w:fldCharType="begin"/>
      </w:r>
      <w:r w:rsidR="08163013">
        <w:instrText xml:space="preserve"> XE "</w:instrText>
      </w:r>
      <w:r w:rsidR="08163013" w:rsidRPr="00CE6D17">
        <w:rPr>
          <w:i/>
        </w:rPr>
        <w:instrText>tabula rasa</w:instrText>
      </w:r>
      <w:r w:rsidR="08163013">
        <w:instrText xml:space="preserve">" </w:instrText>
      </w:r>
      <w:r w:rsidR="08163013">
        <w:rPr>
          <w:i/>
        </w:rPr>
        <w:fldChar w:fldCharType="end"/>
      </w:r>
      <w:r w:rsidR="08163013" w:rsidRPr="00273106">
        <w:t xml:space="preserve"> a nasvícení smyslu jsoucna pouze z reality první</w:t>
      </w:r>
      <w:r w:rsidR="00C06E5E">
        <w:t>ch substancí</w:t>
      </w:r>
      <w:r w:rsidR="08163013">
        <w:fldChar w:fldCharType="begin"/>
      </w:r>
      <w:r w:rsidR="08163013">
        <w:instrText xml:space="preserve"> XE "</w:instrText>
      </w:r>
      <w:r w:rsidR="08163013" w:rsidRPr="00DE2A32">
        <w:instrText>substance</w:instrText>
      </w:r>
      <w:r w:rsidR="08163013">
        <w:instrText xml:space="preserve">:první" </w:instrText>
      </w:r>
      <w:r w:rsidR="08163013">
        <w:fldChar w:fldCharType="end"/>
      </w:r>
      <w:r w:rsidR="08163013" w:rsidRPr="00273106">
        <w:t>.</w:t>
      </w:r>
    </w:p>
    <w:p w:rsidR="08163013" w:rsidRPr="00A17A88" w:rsidRDefault="08163013" w:rsidP="08163013">
      <w:pPr>
        <w:pStyle w:val="Citace"/>
        <w:rPr>
          <w:lang w:val="cs-CZ"/>
        </w:rPr>
      </w:pPr>
      <w:r w:rsidRPr="00A17A88">
        <w:t>„</w:t>
      </w:r>
      <w:r>
        <w:rPr>
          <w:lang w:val="cs-CZ"/>
        </w:rPr>
        <w:t>Tvrdím a věřím, že v našem intelektu neexistuje žádné vrozené poznání inteligibilních obsahů, ale že intelekt je v čisté možnosti ke všemu intelektuálně poznatelnému. Neexistuje žádný vrozený náhled do prvních principů poznání, protože veškeré poznání čehokoliv pochází ze smyslových fantasmat.“ </w:t>
      </w:r>
      <w:r>
        <w:rPr>
          <w:rStyle w:val="Znakapoznpodarou"/>
        </w:rPr>
        <w:footnoteReference w:id="234"/>
      </w:r>
    </w:p>
    <w:p w:rsidR="00544A63" w:rsidRDefault="08163013" w:rsidP="00544A63">
      <w:r w:rsidRPr="00273106">
        <w:t>Duše tvoří nepopsaný list a nemáme žádné vrozené principy poznání, které by produkovaly sobě vlastní obsahy poznání (</w:t>
      </w:r>
      <w:r w:rsidRPr="00273106">
        <w:rPr>
          <w:i/>
        </w:rPr>
        <w:t>non est innata aliqua cognitio intelligibilium</w:t>
      </w:r>
      <w:r w:rsidRPr="00273106">
        <w:t xml:space="preserve">). Intelekt je pouhá potence, nic víc a také nic míň, protože je nemateriální schopnost duše aktuálně dané v těle. </w:t>
      </w:r>
      <w:r w:rsidR="08AF1E2F">
        <w:t>A</w:t>
      </w:r>
      <w:r w:rsidRPr="00273106">
        <w:t xml:space="preserve">ktivní složka intelektu se aktualizuje pouze skrze receptivní složku nemateriálního intelektu odděleného od smyslů. </w:t>
      </w:r>
      <w:r w:rsidR="08AF1E2F">
        <w:t>U</w:t>
      </w:r>
      <w:r>
        <w:t xml:space="preserve">niverzální potence </w:t>
      </w:r>
      <w:r w:rsidRPr="00273106">
        <w:t xml:space="preserve">je aktualizována pouze a jedině skrze smyslová </w:t>
      </w:r>
      <w:r w:rsidRPr="00273106">
        <w:lastRenderedPageBreak/>
        <w:t>fantasmata (</w:t>
      </w:r>
      <w:r w:rsidRPr="00273106">
        <w:rPr>
          <w:i/>
        </w:rPr>
        <w:t>ex phantasmatibus intelligit quidquid intelligit</w:t>
      </w:r>
      <w:r w:rsidRPr="00273106">
        <w:t>). Protože intelekt je vzhledem ke smyslům v čisté potenci, nemá žádnou vlastní aktualitu</w:t>
      </w:r>
      <w:r>
        <w:t xml:space="preserve"> </w:t>
      </w:r>
      <w:r w:rsidRPr="00273106">
        <w:t>(</w:t>
      </w:r>
      <w:r w:rsidRPr="00273106">
        <w:rPr>
          <w:i/>
        </w:rPr>
        <w:t>nullius intus habens innatam cognitionem</w:t>
      </w:r>
      <w:r w:rsidRPr="00273106">
        <w:t>).</w:t>
      </w:r>
      <w:r>
        <w:t xml:space="preserve"> Proto intelekt nemá </w:t>
      </w:r>
      <w:r w:rsidRPr="00273106">
        <w:t>vrozené principy poznání, které by intuitivně nazíra</w:t>
      </w:r>
      <w:r>
        <w:t xml:space="preserve">l na Avicennův, Grossetesteho, </w:t>
      </w:r>
      <w:r w:rsidRPr="00273106">
        <w:t xml:space="preserve">Kartéziův </w:t>
      </w:r>
      <w:r>
        <w:t xml:space="preserve">a Kantův způsob. Siger není modernista a nepotřebuje vrozené či apriorní principy k založení poznání. </w:t>
      </w:r>
      <w:r w:rsidR="08AF1E2F" w:rsidRPr="081942A4">
        <w:rPr>
          <w:szCs w:val="24"/>
        </w:rPr>
        <w:t>Ockham zastával na Oxfordu stejnou pozici proti scotistům (kap. 5.4.1). Jeho minimalistický výklad poznání dnes známý jako „Ockhamova břitva“ odmítl jakékoliv myto</w:t>
      </w:r>
      <w:r w:rsidR="00496813">
        <w:rPr>
          <w:szCs w:val="24"/>
        </w:rPr>
        <w:t xml:space="preserve">logické </w:t>
      </w:r>
      <w:r w:rsidR="08AF1E2F" w:rsidRPr="081942A4">
        <w:rPr>
          <w:szCs w:val="24"/>
        </w:rPr>
        <w:t xml:space="preserve">přídavky </w:t>
      </w:r>
      <w:r w:rsidR="00496813">
        <w:rPr>
          <w:szCs w:val="24"/>
        </w:rPr>
        <w:t xml:space="preserve">k </w:t>
      </w:r>
      <w:r w:rsidR="08AF1E2F" w:rsidRPr="081942A4">
        <w:rPr>
          <w:szCs w:val="24"/>
        </w:rPr>
        <w:t xml:space="preserve">pojetí poznání podle CMDA. </w:t>
      </w:r>
      <w:r w:rsidRPr="00273106">
        <w:t xml:space="preserve">V případě jakýchkoliv interních </w:t>
      </w:r>
      <w:r w:rsidR="00F73A33">
        <w:t xml:space="preserve">hypostázovaných </w:t>
      </w:r>
      <w:r w:rsidRPr="00273106">
        <w:t>principů poznání by duše byla oddělená substance (</w:t>
      </w:r>
      <w:r w:rsidRPr="00273106">
        <w:rPr>
          <w:i/>
        </w:rPr>
        <w:t>hoc aliquid</w:t>
      </w:r>
      <w:r>
        <w:t>). Tím by se rozpadla jednota osoby, což schizofrenické moderně a postmoderně nijak nevadilo a nevadí</w:t>
      </w:r>
      <w:r w:rsidRPr="00273106">
        <w:t>. Siger zdůrazňuje, že takto aktualizovaná duše by nemohla čistě receptivně poznávat celek jsoucna</w:t>
      </w:r>
      <w:r w:rsidR="00765600">
        <w:t xml:space="preserve">. Pak by </w:t>
      </w:r>
      <w:r w:rsidRPr="00273106">
        <w:t>nemohla být vším z hlediska čisté a oddělené potence schopné přijímat všechny inteligibilní obsahy (</w:t>
      </w:r>
      <w:r w:rsidRPr="00273106">
        <w:rPr>
          <w:i/>
        </w:rPr>
        <w:t>in pura potentia ad omnia intelligibilia</w:t>
      </w:r>
      <w:r w:rsidRPr="00273106">
        <w:t xml:space="preserve">). </w:t>
      </w:r>
      <w:r>
        <w:t xml:space="preserve">Proto Siger brilantně vyložil </w:t>
      </w:r>
      <w:r w:rsidR="004909F0">
        <w:t xml:space="preserve">spis </w:t>
      </w:r>
      <w:r>
        <w:t xml:space="preserve">CMDA. </w:t>
      </w:r>
      <w:r w:rsidR="00F51642">
        <w:t>D</w:t>
      </w:r>
      <w:r>
        <w:t>efinoval i</w:t>
      </w:r>
      <w:r w:rsidRPr="00273106">
        <w:t>n</w:t>
      </w:r>
      <w:r>
        <w:t xml:space="preserve">telekt jako nemateriální potenci, která </w:t>
      </w:r>
      <w:r w:rsidR="00F51642">
        <w:t xml:space="preserve">je aktualizovaná </w:t>
      </w:r>
      <w:r w:rsidRPr="00273106">
        <w:t>od smyslových poznatků</w:t>
      </w:r>
      <w:r w:rsidR="00F51642">
        <w:t xml:space="preserve">. Ty </w:t>
      </w:r>
      <w:r w:rsidRPr="00273106">
        <w:t>zásadně determinují poznání</w:t>
      </w:r>
      <w:r w:rsidR="00F51642">
        <w:t xml:space="preserve"> </w:t>
      </w:r>
      <w:r w:rsidR="00233CA4">
        <w:t xml:space="preserve">intelektu </w:t>
      </w:r>
      <w:r w:rsidR="00A4362E">
        <w:t xml:space="preserve">jako </w:t>
      </w:r>
      <w:r w:rsidR="00A4362E" w:rsidRPr="00822C75">
        <w:rPr>
          <w:i/>
        </w:rPr>
        <w:t>tertium genus</w:t>
      </w:r>
      <w:r w:rsidR="00A4362E">
        <w:t xml:space="preserve"> </w:t>
      </w:r>
      <w:r w:rsidR="00F51642">
        <w:t xml:space="preserve">v modu </w:t>
      </w:r>
      <w:r w:rsidR="00F51642" w:rsidRPr="00D84FD2">
        <w:rPr>
          <w:i/>
        </w:rPr>
        <w:t>subiective</w:t>
      </w:r>
      <w:r w:rsidRPr="00273106">
        <w:t>.</w:t>
      </w:r>
      <w:r>
        <w:t xml:space="preserve"> Nemateriální potence po své aktualizaci skrze smysly vytváří nemateriální a univerzální koncepty (</w:t>
      </w:r>
      <w:r w:rsidRPr="0897253A">
        <w:rPr>
          <w:i/>
        </w:rPr>
        <w:t>intelligibilia</w:t>
      </w:r>
      <w:r>
        <w:t xml:space="preserve">), k nimž se staví v modu </w:t>
      </w:r>
      <w:r w:rsidRPr="0897253A">
        <w:rPr>
          <w:i/>
        </w:rPr>
        <w:t>obiective</w:t>
      </w:r>
      <w:r>
        <w:t xml:space="preserve"> jako ke svým předmětům</w:t>
      </w:r>
      <w:r w:rsidR="08E36823">
        <w:t xml:space="preserve">. Teprve pak je intelekt také </w:t>
      </w:r>
      <w:r w:rsidR="08E36823" w:rsidRPr="08E36823">
        <w:rPr>
          <w:i/>
        </w:rPr>
        <w:t>obiective</w:t>
      </w:r>
      <w:r w:rsidR="08E36823">
        <w:t xml:space="preserve"> poznatelný jako aristotelská druhá substance </w:t>
      </w:r>
      <w:r>
        <w:t>(</w:t>
      </w:r>
      <w:r w:rsidRPr="0897253A">
        <w:rPr>
          <w:i/>
        </w:rPr>
        <w:t xml:space="preserve">quartum </w:t>
      </w:r>
      <w:r w:rsidR="00962190">
        <w:rPr>
          <w:i/>
        </w:rPr>
        <w:t>genus</w:t>
      </w:r>
      <w:r>
        <w:t xml:space="preserve">). </w:t>
      </w:r>
      <w:r w:rsidR="00544A63" w:rsidRPr="00544A63">
        <w:t>Objektivní dedukce pro vědecký důkaz intelektu (a ne moderní mytologie</w:t>
      </w:r>
      <w:r w:rsidR="00544A63">
        <w:t xml:space="preserve"> o intelektu</w:t>
      </w:r>
      <w:r w:rsidR="00544A63" w:rsidRPr="00544A63">
        <w:t>) má následující podobu.</w:t>
      </w:r>
    </w:p>
    <w:p w:rsidR="00544A63" w:rsidRDefault="00AD3A27" w:rsidP="00544A63">
      <w:pPr>
        <w:numPr>
          <w:ilvl w:val="0"/>
          <w:numId w:val="7"/>
        </w:numPr>
        <w:rPr>
          <w:szCs w:val="24"/>
          <w:lang w:val="de-DE"/>
        </w:rPr>
      </w:pPr>
      <w:r>
        <w:rPr>
          <w:i/>
        </w:rPr>
        <w:t>M</w:t>
      </w:r>
      <w:r w:rsidR="0052796C">
        <w:rPr>
          <w:i/>
        </w:rPr>
        <w:t>ai</w:t>
      </w:r>
      <w:r>
        <w:rPr>
          <w:i/>
        </w:rPr>
        <w:t>or</w:t>
      </w:r>
      <w:r w:rsidR="00544A63">
        <w:t>: Všichni lidé jsou od přírody racionální bytosti. (</w:t>
      </w:r>
      <w:r w:rsidR="00544A63" w:rsidRPr="00544A63">
        <w:rPr>
          <w:i/>
        </w:rPr>
        <w:t>Gehaltsinn</w:t>
      </w:r>
      <w:r w:rsidR="00544A63">
        <w:t>)</w:t>
      </w:r>
    </w:p>
    <w:p w:rsidR="00544A63" w:rsidRDefault="00AD3A27" w:rsidP="00544A63">
      <w:pPr>
        <w:numPr>
          <w:ilvl w:val="0"/>
          <w:numId w:val="7"/>
        </w:numPr>
        <w:rPr>
          <w:szCs w:val="24"/>
          <w:lang w:val="de-DE"/>
        </w:rPr>
      </w:pPr>
      <w:r w:rsidRPr="00544A63">
        <w:rPr>
          <w:i/>
        </w:rPr>
        <w:t>Minor</w:t>
      </w:r>
      <w:r>
        <w:rPr>
          <w:i/>
        </w:rPr>
        <w:t xml:space="preserve"> </w:t>
      </w:r>
      <w:r w:rsidRPr="00AD3A27">
        <w:t>jako správné</w:t>
      </w:r>
      <w:r>
        <w:rPr>
          <w:i/>
        </w:rPr>
        <w:t xml:space="preserve"> m</w:t>
      </w:r>
      <w:r w:rsidR="00544A63" w:rsidRPr="00544A63">
        <w:rPr>
          <w:i/>
        </w:rPr>
        <w:t>edium</w:t>
      </w:r>
      <w:r w:rsidR="00544A63">
        <w:t xml:space="preserve">: </w:t>
      </w:r>
      <w:r w:rsidR="00FE1987">
        <w:t xml:space="preserve">Výkon </w:t>
      </w:r>
      <w:r w:rsidR="00544A63">
        <w:t xml:space="preserve">intelektu je </w:t>
      </w:r>
      <w:r w:rsidR="00FE1987">
        <w:t xml:space="preserve">definován skrze </w:t>
      </w:r>
      <w:r w:rsidR="00F23D2B">
        <w:t xml:space="preserve">výkon reálné </w:t>
      </w:r>
      <w:r w:rsidR="00544A63">
        <w:t>kauzalit</w:t>
      </w:r>
      <w:r w:rsidR="00F23D2B">
        <w:t>y</w:t>
      </w:r>
      <w:r w:rsidR="00FE1987">
        <w:t xml:space="preserve"> dan</w:t>
      </w:r>
      <w:r w:rsidR="00F23D2B">
        <w:t>é v</w:t>
      </w:r>
      <w:r w:rsidR="00FE1987">
        <w:t xml:space="preserve"> modu </w:t>
      </w:r>
      <w:r w:rsidR="00FE1987" w:rsidRPr="00FE1987">
        <w:rPr>
          <w:i/>
        </w:rPr>
        <w:t>subiective</w:t>
      </w:r>
      <w:r w:rsidR="00FE1987">
        <w:t>, který je založen na metafyzické</w:t>
      </w:r>
      <w:r w:rsidR="00544A63">
        <w:t xml:space="preserve"> </w:t>
      </w:r>
      <w:r w:rsidR="00FE1987">
        <w:t xml:space="preserve">impozici </w:t>
      </w:r>
      <w:r w:rsidR="00544A63">
        <w:t xml:space="preserve">intelektu jako </w:t>
      </w:r>
      <w:r w:rsidR="00544A63" w:rsidRPr="00FE1987">
        <w:rPr>
          <w:i/>
        </w:rPr>
        <w:t>tertium genus</w:t>
      </w:r>
      <w:r w:rsidR="00544A63">
        <w:t>. (</w:t>
      </w:r>
      <w:r w:rsidR="00544A63" w:rsidRPr="00544A63">
        <w:rPr>
          <w:i/>
        </w:rPr>
        <w:t>Bezugssinn</w:t>
      </w:r>
      <w:r w:rsidR="00544A63">
        <w:t>)</w:t>
      </w:r>
    </w:p>
    <w:p w:rsidR="00544A63" w:rsidRPr="00544A63" w:rsidRDefault="00544A63" w:rsidP="00FE1987">
      <w:pPr>
        <w:numPr>
          <w:ilvl w:val="0"/>
          <w:numId w:val="7"/>
        </w:numPr>
        <w:rPr>
          <w:szCs w:val="24"/>
          <w:lang w:val="de-DE"/>
        </w:rPr>
      </w:pPr>
      <w:r w:rsidRPr="00544A63">
        <w:rPr>
          <w:i/>
        </w:rPr>
        <w:t>Závěr</w:t>
      </w:r>
      <w:r>
        <w:t xml:space="preserve">: </w:t>
      </w:r>
      <w:r w:rsidR="00FE1987" w:rsidRPr="00FE1987">
        <w:t xml:space="preserve">Intelekt </w:t>
      </w:r>
      <w:r w:rsidR="008B380E">
        <w:t>jako nutně sprá</w:t>
      </w:r>
      <w:r w:rsidR="00AD4F03">
        <w:t>vná</w:t>
      </w:r>
      <w:r w:rsidR="008B380E">
        <w:t xml:space="preserve">, a tudíž </w:t>
      </w:r>
      <w:r w:rsidR="008B380E" w:rsidRPr="00FE1987">
        <w:t xml:space="preserve">vědecky </w:t>
      </w:r>
      <w:r w:rsidR="008B380E">
        <w:t xml:space="preserve">dedukovaná univerzální esence, </w:t>
      </w:r>
      <w:r w:rsidR="00FE1987" w:rsidRPr="00FE1987">
        <w:t>je poznatelný</w:t>
      </w:r>
      <w:r w:rsidR="00FF6372">
        <w:t xml:space="preserve"> </w:t>
      </w:r>
      <w:r w:rsidR="00FF6372" w:rsidRPr="00FF6372">
        <w:rPr>
          <w:i/>
        </w:rPr>
        <w:t>obiective</w:t>
      </w:r>
      <w:r w:rsidR="008B380E">
        <w:t xml:space="preserve">, tedy </w:t>
      </w:r>
      <w:r w:rsidR="00FE1987" w:rsidRPr="00FE1987">
        <w:t xml:space="preserve">jako správně </w:t>
      </w:r>
      <w:r w:rsidR="00FF6372">
        <w:t xml:space="preserve">vytvořené </w:t>
      </w:r>
      <w:r w:rsidR="00FE1987" w:rsidRPr="00FF6372">
        <w:rPr>
          <w:i/>
        </w:rPr>
        <w:t>quartum genus</w:t>
      </w:r>
      <w:r w:rsidR="00FF6372">
        <w:t xml:space="preserve">. </w:t>
      </w:r>
      <w:r>
        <w:t>(</w:t>
      </w:r>
      <w:r w:rsidRPr="00544A63">
        <w:rPr>
          <w:i/>
        </w:rPr>
        <w:t>Vollzugssin</w:t>
      </w:r>
      <w:r>
        <w:t>)</w:t>
      </w:r>
    </w:p>
    <w:p w:rsidR="00CC3F9E" w:rsidRDefault="00521672" w:rsidP="08163013">
      <w:r>
        <w:t>M</w:t>
      </w:r>
      <w:r w:rsidR="004D7351">
        <w:t xml:space="preserve">moderní </w:t>
      </w:r>
      <w:r w:rsidR="008563C3">
        <w:t>„intelekt“</w:t>
      </w:r>
      <w:r w:rsidR="008563C3" w:rsidRPr="00FE1987">
        <w:t xml:space="preserve"> jako </w:t>
      </w:r>
      <w:r>
        <w:t xml:space="preserve">objeitivní </w:t>
      </w:r>
      <w:r w:rsidR="008563C3" w:rsidRPr="00FF6372">
        <w:rPr>
          <w:i/>
        </w:rPr>
        <w:t>tertium ens</w:t>
      </w:r>
      <w:r w:rsidR="008563C3" w:rsidRPr="00FE1987">
        <w:t xml:space="preserve"> </w:t>
      </w:r>
      <w:r>
        <w:t xml:space="preserve">je </w:t>
      </w:r>
      <w:r w:rsidR="004D7351">
        <w:t xml:space="preserve">podle Sigera </w:t>
      </w:r>
      <w:r>
        <w:t xml:space="preserve">opět </w:t>
      </w:r>
      <w:r w:rsidR="008563C3" w:rsidRPr="00FE1987">
        <w:t>poznatelný</w:t>
      </w:r>
      <w:r w:rsidR="008563C3">
        <w:t xml:space="preserve"> </w:t>
      </w:r>
      <w:r w:rsidR="008563C3" w:rsidRPr="00FE1987">
        <w:t>objektivně</w:t>
      </w:r>
      <w:r>
        <w:t>, a tedy falešně</w:t>
      </w:r>
      <w:r w:rsidR="005A3D9B">
        <w:t>. V</w:t>
      </w:r>
      <w:r w:rsidR="004D7351">
        <w:t> tomto chybném modu je z dogmaticky daného „důkazu“ moderny vyloučeno deduktivní vědecké poznání založené na reálné kauzalitě</w:t>
      </w:r>
      <w:r w:rsidR="008563C3">
        <w:t xml:space="preserve">. </w:t>
      </w:r>
      <w:r w:rsidR="005A3D9B">
        <w:t>Teologické</w:t>
      </w:r>
      <w:r w:rsidR="004D7351">
        <w:t xml:space="preserve"> postulát</w:t>
      </w:r>
      <w:r w:rsidR="005A3D9B">
        <w:t>y</w:t>
      </w:r>
      <w:r w:rsidR="004D7351">
        <w:t xml:space="preserve"> </w:t>
      </w:r>
      <w:r w:rsidR="005A3D9B">
        <w:t xml:space="preserve">typu </w:t>
      </w:r>
      <w:r w:rsidR="004D7351">
        <w:t>nesmrtelnosti duše a současné nihilistické nesmysly jsou filosoficky postaveny chybně</w:t>
      </w:r>
      <w:r w:rsidR="00FB53A7">
        <w:t>. M</w:t>
      </w:r>
      <w:r w:rsidR="004D7351">
        <w:t xml:space="preserve">ytologové použili </w:t>
      </w:r>
      <w:r w:rsidR="00FB53A7">
        <w:t xml:space="preserve">pro určení povahy intelektu </w:t>
      </w:r>
      <w:r w:rsidR="004D7351">
        <w:t>esenciální</w:t>
      </w:r>
      <w:r w:rsidR="00FB53A7">
        <w:t>,</w:t>
      </w:r>
      <w:r w:rsidR="004D7351">
        <w:t xml:space="preserve"> a tedy logickou formu dedu</w:t>
      </w:r>
      <w:r w:rsidR="00FB53A7">
        <w:t>ktivního důkazu</w:t>
      </w:r>
      <w:r w:rsidR="004D7351">
        <w:t xml:space="preserve">. Siger tím vyloučil </w:t>
      </w:r>
      <w:r w:rsidR="004D7351" w:rsidRPr="00FE1987">
        <w:t>z</w:t>
      </w:r>
      <w:r w:rsidR="004D7351">
        <w:t> </w:t>
      </w:r>
      <w:r w:rsidR="004D7351" w:rsidRPr="00FE1987">
        <w:t>důkazu</w:t>
      </w:r>
      <w:r w:rsidR="004D7351">
        <w:t xml:space="preserve"> logickou podstatu</w:t>
      </w:r>
      <w:r w:rsidR="008563C3" w:rsidRPr="00FE1987">
        <w:t xml:space="preserve"> intelektu </w:t>
      </w:r>
      <w:r w:rsidR="004D7351">
        <w:t xml:space="preserve">jako </w:t>
      </w:r>
      <w:r w:rsidR="005B1108">
        <w:t xml:space="preserve">nějaké </w:t>
      </w:r>
      <w:r w:rsidR="004D7351">
        <w:lastRenderedPageBreak/>
        <w:t xml:space="preserve">hypostázované formy </w:t>
      </w:r>
      <w:r w:rsidR="008563C3" w:rsidRPr="00FE1987">
        <w:t>(Ak</w:t>
      </w:r>
      <w:r w:rsidR="004D7351">
        <w:t>vinský, Albert)</w:t>
      </w:r>
      <w:r w:rsidR="008563C3" w:rsidRPr="00FE1987">
        <w:t xml:space="preserve">. </w:t>
      </w:r>
      <w:r w:rsidR="00192C78" w:rsidRPr="00192C78">
        <w:t>Metafyzika není logika, a už vůbec ne moderní logika založená na démonických postulátech j</w:t>
      </w:r>
      <w:r w:rsidR="00EF505B">
        <w:t xml:space="preserve">ako budoucí příchod Antikrista (OBJ II, kap. 3.1.3). </w:t>
      </w:r>
      <w:r w:rsidR="08163013">
        <w:t xml:space="preserve">V tomto modu </w:t>
      </w:r>
      <w:r w:rsidR="00544A63" w:rsidRPr="00544A63">
        <w:rPr>
          <w:i/>
        </w:rPr>
        <w:t>demonstratio</w:t>
      </w:r>
      <w:r w:rsidR="00544A63">
        <w:t xml:space="preserve"> </w:t>
      </w:r>
      <w:r w:rsidR="08163013" w:rsidRPr="00610456">
        <w:t>je třeba chápat Sigerova</w:t>
      </w:r>
      <w:r w:rsidR="08163013">
        <w:t xml:space="preserve"> zdánlivě </w:t>
      </w:r>
      <w:r w:rsidR="08163013" w:rsidRPr="00610456">
        <w:t>averroistic</w:t>
      </w:r>
      <w:r w:rsidR="08163013">
        <w:t>ká</w:t>
      </w:r>
      <w:r w:rsidR="08163013" w:rsidRPr="00610456">
        <w:t xml:space="preserve"> tvrzení typu „</w:t>
      </w:r>
      <w:r w:rsidR="00E930DC" w:rsidRPr="00E930DC">
        <w:rPr>
          <w:i/>
        </w:rPr>
        <w:t>i</w:t>
      </w:r>
      <w:r w:rsidR="08163013" w:rsidRPr="00E930DC">
        <w:rPr>
          <w:i/>
        </w:rPr>
        <w:t>ntelligibilia</w:t>
      </w:r>
      <w:r w:rsidR="08163013" w:rsidRPr="08B002A1">
        <w:rPr>
          <w:i/>
        </w:rPr>
        <w:t xml:space="preserve"> autem non educuntur de potentia intellectus, sed fluunt in eo ab extrinseco</w:t>
      </w:r>
      <w:r w:rsidR="08163013" w:rsidRPr="00610456">
        <w:t>.</w:t>
      </w:r>
      <w:r w:rsidR="08163013">
        <w:t>“ (</w:t>
      </w:r>
      <w:r w:rsidR="08163013" w:rsidRPr="08BF3B3D">
        <w:t>QIIIDA</w:t>
      </w:r>
      <w:r w:rsidR="08163013">
        <w:t>, q. 13; 43.94</w:t>
      </w:r>
      <w:r w:rsidR="08163013" w:rsidRPr="00EB0491">
        <w:rPr>
          <w:rFonts w:ascii="Arial" w:hAnsi="Arial" w:cs="Arial"/>
        </w:rPr>
        <w:t>‒</w:t>
      </w:r>
      <w:r w:rsidR="08163013">
        <w:t>96</w:t>
      </w:r>
      <w:r w:rsidR="08163013">
        <w:fldChar w:fldCharType="begin"/>
      </w:r>
      <w:r w:rsidR="08163013">
        <w:instrText xml:space="preserve"> XE "Siger:</w:instrText>
      </w:r>
      <w:r w:rsidR="08163013">
        <w:rPr>
          <w:i/>
        </w:rPr>
        <w:instrText>Quaestiones</w:instrText>
      </w:r>
      <w:r w:rsidR="08163013" w:rsidRPr="00603622">
        <w:rPr>
          <w:i/>
        </w:rPr>
        <w:instrText xml:space="preserve"> </w:instrText>
      </w:r>
      <w:r w:rsidR="08163013">
        <w:rPr>
          <w:i/>
        </w:rPr>
        <w:instrText>in tertium D</w:instrText>
      </w:r>
      <w:r w:rsidR="08163013" w:rsidRPr="00603622">
        <w:rPr>
          <w:i/>
        </w:rPr>
        <w:instrText>e anima</w:instrText>
      </w:r>
      <w:r w:rsidR="08163013">
        <w:instrText xml:space="preserve"> 43.94</w:instrText>
      </w:r>
      <w:r w:rsidR="08163013">
        <w:rPr>
          <w:rFonts w:ascii="Arial" w:hAnsi="Arial" w:cs="Arial"/>
        </w:rPr>
        <w:instrText>‒</w:instrText>
      </w:r>
      <w:r w:rsidR="08163013">
        <w:instrText xml:space="preserve">96" </w:instrText>
      </w:r>
      <w:r w:rsidR="08163013">
        <w:fldChar w:fldCharType="end"/>
      </w:r>
      <w:r w:rsidR="08163013">
        <w:t>) Poznáváme skrze materiální smyslová fantasma</w:t>
      </w:r>
      <w:r w:rsidR="00EF505B">
        <w:t>ta, protože jen ta</w:t>
      </w:r>
      <w:r w:rsidR="08163013">
        <w:t xml:space="preserve"> přicházejí k nemateriálnímu receptivnímu intelektu zvněj</w:t>
      </w:r>
      <w:r w:rsidR="0080232E">
        <w:t>šku. Proto je tato adekvace věcí</w:t>
      </w:r>
      <w:r w:rsidR="08163013">
        <w:t xml:space="preserve">, smyslů a mysli </w:t>
      </w:r>
      <w:r w:rsidR="08163013" w:rsidRPr="00273106">
        <w:t>je</w:t>
      </w:r>
      <w:r w:rsidR="08163013">
        <w:t>diný</w:t>
      </w:r>
      <w:r w:rsidR="08163013" w:rsidRPr="00273106">
        <w:t xml:space="preserve"> způsob, jak </w:t>
      </w:r>
      <w:r w:rsidR="08163013">
        <w:t xml:space="preserve">pravdivě </w:t>
      </w:r>
      <w:r w:rsidR="08163013" w:rsidRPr="00273106">
        <w:t>poznáváme</w:t>
      </w:r>
      <w:r w:rsidR="08163013">
        <w:t xml:space="preserve"> svět</w:t>
      </w:r>
      <w:r w:rsidR="08163013" w:rsidRPr="00273106">
        <w:t xml:space="preserve">. Jen potence může být aktualizována, </w:t>
      </w:r>
      <w:r w:rsidR="08163013">
        <w:t xml:space="preserve">ale ne </w:t>
      </w:r>
      <w:r w:rsidR="08163013" w:rsidRPr="00273106">
        <w:t xml:space="preserve">již daná aktualita nějaké </w:t>
      </w:r>
      <w:r w:rsidR="08D65CF5">
        <w:t xml:space="preserve">intelektuální </w:t>
      </w:r>
      <w:r w:rsidR="08163013" w:rsidRPr="00273106">
        <w:t xml:space="preserve">substance. Duše jako aktuální forma vybavená nematerialitou intelektuální potence by ztratila jedinou možnost </w:t>
      </w:r>
      <w:r w:rsidR="006B4F17">
        <w:t xml:space="preserve">aktualizace </w:t>
      </w:r>
      <w:r w:rsidR="08163013" w:rsidRPr="00273106">
        <w:t>intel</w:t>
      </w:r>
      <w:r w:rsidR="08163013">
        <w:t>e</w:t>
      </w:r>
      <w:r w:rsidR="08163013" w:rsidRPr="00273106">
        <w:t>ktu danou jedině a pouze skrze smyslová fantasmata</w:t>
      </w:r>
      <w:r w:rsidR="006B4F17">
        <w:t xml:space="preserve"> (</w:t>
      </w:r>
      <w:r w:rsidR="006B4F17" w:rsidRPr="00F47313">
        <w:rPr>
          <w:i/>
        </w:rPr>
        <w:t>subiective</w:t>
      </w:r>
      <w:r w:rsidR="006B4F17">
        <w:t>)</w:t>
      </w:r>
      <w:r w:rsidR="08163013" w:rsidRPr="00273106">
        <w:t xml:space="preserve">. </w:t>
      </w:r>
      <w:r w:rsidR="08163013">
        <w:t>Teorie pravdy jako adekvace tvrdí, že pravdu ne</w:t>
      </w:r>
      <w:r w:rsidR="00F8509E">
        <w:t>produkujeme v</w:t>
      </w:r>
      <w:r w:rsidR="007C0138">
        <w:t> moderním mytologickém modelu „</w:t>
      </w:r>
      <w:r w:rsidR="08163013" w:rsidRPr="00335DAB">
        <w:rPr>
          <w:i/>
        </w:rPr>
        <w:t>in artificialibus</w:t>
      </w:r>
      <w:r w:rsidR="007C0138">
        <w:t>“</w:t>
      </w:r>
      <w:r w:rsidR="08163013">
        <w:rPr>
          <w:i/>
        </w:rPr>
        <w:fldChar w:fldCharType="begin"/>
      </w:r>
      <w:r w:rsidR="08163013">
        <w:instrText xml:space="preserve"> XE "</w:instrText>
      </w:r>
      <w:r w:rsidR="08163013" w:rsidRPr="003B0E20">
        <w:instrText>predikace</w:instrText>
      </w:r>
      <w:r w:rsidR="08163013" w:rsidRPr="00B24B02">
        <w:rPr>
          <w:i/>
        </w:rPr>
        <w:instrText>:in artificialibus</w:instrText>
      </w:r>
      <w:r w:rsidR="08163013">
        <w:instrText xml:space="preserve">" </w:instrText>
      </w:r>
      <w:r w:rsidR="08163013">
        <w:rPr>
          <w:i/>
        </w:rPr>
        <w:fldChar w:fldCharType="end"/>
      </w:r>
      <w:r w:rsidR="08163013">
        <w:t xml:space="preserve"> na dnešní způsob mediálních a ideologických simuláker</w:t>
      </w:r>
      <w:r w:rsidR="08163013">
        <w:fldChar w:fldCharType="begin"/>
      </w:r>
      <w:r w:rsidR="08163013">
        <w:instrText xml:space="preserve"> XE "simulákrum" </w:instrText>
      </w:r>
      <w:r w:rsidR="08163013">
        <w:fldChar w:fldCharType="end"/>
      </w:r>
      <w:r w:rsidR="00CC3F9E">
        <w:t xml:space="preserve">. </w:t>
      </w:r>
      <w:r w:rsidR="00CC3F9E" w:rsidRPr="00CC3F9E">
        <w:t xml:space="preserve">Poznáváme svět takový, jaký skutečně je. Siger odmítl moderní </w:t>
      </w:r>
      <w:r w:rsidR="00CC3F9E" w:rsidRPr="00CC3F9E">
        <w:rPr>
          <w:i/>
        </w:rPr>
        <w:t>dativus possessivus</w:t>
      </w:r>
      <w:r w:rsidR="00CC3F9E">
        <w:rPr>
          <w:i/>
        </w:rPr>
        <w:fldChar w:fldCharType="begin"/>
      </w:r>
      <w:r w:rsidR="00CC3F9E">
        <w:instrText xml:space="preserve"> XE "</w:instrText>
      </w:r>
      <w:r w:rsidR="00CC3F9E" w:rsidRPr="00D667D1">
        <w:rPr>
          <w:i/>
        </w:rPr>
        <w:instrText>dativus possessivus</w:instrText>
      </w:r>
      <w:r w:rsidR="00CC3F9E">
        <w:instrText xml:space="preserve">" </w:instrText>
      </w:r>
      <w:r w:rsidR="00CC3F9E">
        <w:rPr>
          <w:i/>
        </w:rPr>
        <w:fldChar w:fldCharType="end"/>
      </w:r>
      <w:r w:rsidR="00CC3F9E" w:rsidRPr="00CC3F9E">
        <w:t xml:space="preserve">. Přivlastnění moderní pravdy se děje jako subjektivní </w:t>
      </w:r>
      <w:r w:rsidR="00CC3F9E" w:rsidRPr="00CC3F9E">
        <w:rPr>
          <w:i/>
        </w:rPr>
        <w:t>Ge-Stell</w:t>
      </w:r>
      <w:r w:rsidR="00CC3F9E">
        <w:rPr>
          <w:i/>
        </w:rPr>
        <w:fldChar w:fldCharType="begin"/>
      </w:r>
      <w:r w:rsidR="00CC3F9E">
        <w:instrText xml:space="preserve"> XE "</w:instrText>
      </w:r>
      <w:r w:rsidR="00CC3F9E" w:rsidRPr="0049314B">
        <w:rPr>
          <w:i/>
        </w:rPr>
        <w:instrText>Ge-Stell</w:instrText>
      </w:r>
      <w:r w:rsidR="00CC3F9E">
        <w:instrText xml:space="preserve">" </w:instrText>
      </w:r>
      <w:r w:rsidR="00CC3F9E">
        <w:rPr>
          <w:i/>
        </w:rPr>
        <w:fldChar w:fldCharType="end"/>
      </w:r>
      <w:r w:rsidR="00DC305E">
        <w:t>, tedy kompletně „</w:t>
      </w:r>
      <w:r w:rsidR="00DC305E" w:rsidRPr="008E36A7">
        <w:rPr>
          <w:i/>
        </w:rPr>
        <w:t>in artificialibus</w:t>
      </w:r>
      <w:r w:rsidR="00DC305E">
        <w:t>“</w:t>
      </w:r>
      <w:r w:rsidR="00C0271E">
        <w:t xml:space="preserve">. Ve skutečnosti je </w:t>
      </w:r>
      <w:r w:rsidR="00C0271E" w:rsidRPr="00C0271E">
        <w:rPr>
          <w:i/>
        </w:rPr>
        <w:t>Ge-Stell</w:t>
      </w:r>
      <w:r w:rsidR="00CC3F9E" w:rsidRPr="00CC3F9E">
        <w:t xml:space="preserve"> Aristotela, Averroëse a Sigera proveden opačně</w:t>
      </w:r>
      <w:r w:rsidR="00CC3F9E">
        <w:t xml:space="preserve">, tedy v modu </w:t>
      </w:r>
      <w:r w:rsidR="00CC3F9E" w:rsidRPr="00CC3F9E">
        <w:rPr>
          <w:i/>
        </w:rPr>
        <w:t>subiective</w:t>
      </w:r>
      <w:r w:rsidR="00121DF8">
        <w:t xml:space="preserve"> daném reálnou kauzalitou poznání. My ne</w:t>
      </w:r>
      <w:r w:rsidR="00887905">
        <w:t xml:space="preserve">vlastníme </w:t>
      </w:r>
      <w:r w:rsidR="00121DF8">
        <w:t xml:space="preserve">pravdu, ale pravda </w:t>
      </w:r>
      <w:r w:rsidR="00887905">
        <w:t xml:space="preserve">vlastní </w:t>
      </w:r>
      <w:r w:rsidR="00121DF8">
        <w:t>nás</w:t>
      </w:r>
      <w:r w:rsidR="00887905">
        <w:t xml:space="preserve"> jako </w:t>
      </w:r>
      <w:r w:rsidR="00887905" w:rsidRPr="00887905">
        <w:rPr>
          <w:i/>
        </w:rPr>
        <w:t>possessio</w:t>
      </w:r>
      <w:r w:rsidR="00121DF8">
        <w:t xml:space="preserve">. </w:t>
      </w:r>
      <w:r w:rsidR="00CC3F9E">
        <w:t xml:space="preserve">Realita </w:t>
      </w:r>
      <w:r w:rsidR="00CC3F9E" w:rsidRPr="00CC3F9E">
        <w:t>si přivlastňuje intelekt jako univerzální schopnost duše</w:t>
      </w:r>
      <w:r w:rsidR="00D05760">
        <w:t>. Ta poznává svět v modu</w:t>
      </w:r>
      <w:r w:rsidR="003A1D17">
        <w:t xml:space="preserve"> </w:t>
      </w:r>
      <w:r w:rsidR="00D05760" w:rsidRPr="00121DF8">
        <w:rPr>
          <w:i/>
        </w:rPr>
        <w:t>obiective</w:t>
      </w:r>
      <w:r w:rsidR="00D05760">
        <w:t xml:space="preserve">, tedy jako </w:t>
      </w:r>
      <w:r w:rsidR="003A1D17">
        <w:t>adekvátně</w:t>
      </w:r>
      <w:r w:rsidR="00D05760">
        <w:t xml:space="preserve"> produkované poznání</w:t>
      </w:r>
      <w:r w:rsidR="00CC3F9E" w:rsidRPr="00CC3F9E">
        <w:t xml:space="preserve">. </w:t>
      </w:r>
    </w:p>
    <w:p w:rsidR="08163013" w:rsidRPr="00544A63" w:rsidRDefault="00F942A9" w:rsidP="00CC3F9E">
      <w:pPr>
        <w:ind w:firstLine="397"/>
      </w:pPr>
      <w:r w:rsidRPr="00F942A9">
        <w:t>Z předchozího výkladu je zřejmé, že Siger jednoznačně odmítá tezi druhého averroismu, že intelekt přímo pozná</w:t>
      </w:r>
      <w:r>
        <w:t xml:space="preserve">vá </w:t>
      </w:r>
      <w:r w:rsidRPr="00273106">
        <w:t>jednotliviny</w:t>
      </w:r>
      <w:r>
        <w:t xml:space="preserve"> tak, že jsou v jejich partikularitě vzaty do našeho poznání </w:t>
      </w:r>
      <w:r w:rsidR="08163013">
        <w:t>(</w:t>
      </w:r>
      <w:r w:rsidR="08163013" w:rsidRPr="00212D8A">
        <w:rPr>
          <w:i/>
        </w:rPr>
        <w:t>particulare particulariter non intelligit</w:t>
      </w:r>
      <w:r w:rsidR="08163013">
        <w:t>)</w:t>
      </w:r>
      <w:r w:rsidR="08163013" w:rsidRPr="00273106">
        <w:t>.</w:t>
      </w:r>
      <w:r w:rsidR="08163013" w:rsidRPr="00273106">
        <w:rPr>
          <w:rStyle w:val="Znakapoznpodarou"/>
        </w:rPr>
        <w:footnoteReference w:id="235"/>
      </w:r>
      <w:r w:rsidR="08163013" w:rsidRPr="00273106">
        <w:t xml:space="preserve"> To není možné z důvodů zcela odlišného způsobu poznání smyslů a intelektu</w:t>
      </w:r>
      <w:r w:rsidR="00520334">
        <w:t xml:space="preserve">. Ten poukazuje na věci v aktu myšlení, který </w:t>
      </w:r>
      <w:r w:rsidR="08163013" w:rsidRPr="00273106">
        <w:t>subsistuj</w:t>
      </w:r>
      <w:r w:rsidR="00520334">
        <w:t>e</w:t>
      </w:r>
      <w:r w:rsidR="08163013" w:rsidRPr="00273106">
        <w:t xml:space="preserve"> v rámci existence osoby jako první substance. Vlastním výkonem poznáváme formální a všem společné </w:t>
      </w:r>
      <w:r w:rsidR="08163013" w:rsidRPr="00273106">
        <w:rPr>
          <w:i/>
        </w:rPr>
        <w:t>ratio</w:t>
      </w:r>
      <w:r w:rsidR="08163013">
        <w:t xml:space="preserve"> věcí. Až výsledný produkt osobního poznání </w:t>
      </w:r>
      <w:r w:rsidR="08163013" w:rsidRPr="00273106">
        <w:t xml:space="preserve">dokazuje díky nematerialitě a jednotě </w:t>
      </w:r>
      <w:r w:rsidR="08163013">
        <w:t xml:space="preserve">univerzálně </w:t>
      </w:r>
      <w:r w:rsidR="08163013" w:rsidRPr="00273106">
        <w:t xml:space="preserve">daného poznání, že intelekt jako schopnost duše je pro všechny lidi </w:t>
      </w:r>
      <w:r w:rsidR="08163013" w:rsidRPr="00273106">
        <w:lastRenderedPageBreak/>
        <w:t>společný.</w:t>
      </w:r>
      <w:r w:rsidR="08163013" w:rsidRPr="00273106">
        <w:rPr>
          <w:rStyle w:val="Znakapoznpodarou"/>
        </w:rPr>
        <w:footnoteReference w:id="236"/>
      </w:r>
      <w:r w:rsidR="08163013" w:rsidRPr="00273106">
        <w:t xml:space="preserve"> Možný intelekt nemá vlastní aktualitu, která by mu umožňovala podržet </w:t>
      </w:r>
      <w:r w:rsidR="08163013">
        <w:t xml:space="preserve">poznatky </w:t>
      </w:r>
      <w:r w:rsidR="08163013" w:rsidRPr="00273106">
        <w:t xml:space="preserve">na způsob Augustinovy </w:t>
      </w:r>
      <w:r w:rsidR="08163013">
        <w:t>neoplatonsk</w:t>
      </w:r>
      <w:r w:rsidR="08163013" w:rsidRPr="00273106">
        <w:t xml:space="preserve">é </w:t>
      </w:r>
      <w:r w:rsidR="08163013" w:rsidRPr="00273106">
        <w:rPr>
          <w:i/>
        </w:rPr>
        <w:t>memoria</w:t>
      </w:r>
      <w:r w:rsidR="08163013">
        <w:rPr>
          <w:i/>
        </w:rPr>
        <w:fldChar w:fldCharType="begin"/>
      </w:r>
      <w:r w:rsidR="08163013">
        <w:instrText xml:space="preserve"> XE "</w:instrText>
      </w:r>
      <w:r w:rsidR="08163013" w:rsidRPr="00840D0F">
        <w:rPr>
          <w:i/>
        </w:rPr>
        <w:instrText>memoria:</w:instrText>
      </w:r>
      <w:r w:rsidR="08163013" w:rsidRPr="00840D0F">
        <w:instrText>druhý averroismus</w:instrText>
      </w:r>
      <w:r w:rsidR="08163013">
        <w:instrText xml:space="preserve">" </w:instrText>
      </w:r>
      <w:r w:rsidR="08163013">
        <w:rPr>
          <w:i/>
        </w:rPr>
        <w:fldChar w:fldCharType="end"/>
      </w:r>
      <w:r w:rsidR="08163013" w:rsidRPr="00273106">
        <w:t xml:space="preserve">, popřípadě na způsob </w:t>
      </w:r>
      <w:r w:rsidR="08163013">
        <w:t xml:space="preserve">postmoderních </w:t>
      </w:r>
      <w:r w:rsidR="08163013" w:rsidRPr="00273106">
        <w:t>vrozených principů poznání</w:t>
      </w:r>
      <w:r w:rsidR="08163013">
        <w:t xml:space="preserve"> </w:t>
      </w:r>
      <w:r w:rsidR="086E68F7">
        <w:t xml:space="preserve">na způsob </w:t>
      </w:r>
      <w:r w:rsidR="08163013">
        <w:t>Kanta</w:t>
      </w:r>
      <w:r w:rsidR="08163013" w:rsidRPr="00273106">
        <w:t xml:space="preserve">. Inteligibilní </w:t>
      </w:r>
      <w:r w:rsidR="00962190" w:rsidRPr="00343761">
        <w:t>species</w:t>
      </w:r>
      <w:r w:rsidR="08163013" w:rsidRPr="00273106">
        <w:t xml:space="preserve"> jsou syntetizována skrze výkon receptivní</w:t>
      </w:r>
      <w:r w:rsidR="00343761">
        <w:t>ho</w:t>
      </w:r>
      <w:r w:rsidR="08163013" w:rsidRPr="00273106">
        <w:t xml:space="preserve"> </w:t>
      </w:r>
      <w:r w:rsidR="08163013" w:rsidRPr="00273106">
        <w:rPr>
          <w:i/>
        </w:rPr>
        <w:t>intellectus possibilis</w:t>
      </w:r>
      <w:r w:rsidR="08163013" w:rsidRPr="00273106">
        <w:t>.</w:t>
      </w:r>
    </w:p>
    <w:p w:rsidR="08163013" w:rsidRPr="082F6AAF" w:rsidRDefault="08163013" w:rsidP="082F6AAF">
      <w:pPr>
        <w:pStyle w:val="Citace"/>
      </w:pPr>
      <w:r w:rsidRPr="082F6AAF">
        <w:rPr>
          <w:rStyle w:val="Zkladntext119pt5"/>
          <w:rFonts w:ascii="Calibri" w:hAnsi="Calibri"/>
          <w:smallCaps w:val="0"/>
          <w:sz w:val="22"/>
          <w:szCs w:val="20"/>
          <w:lang w:val="x-none" w:eastAsia="x-none"/>
        </w:rPr>
        <w:t xml:space="preserve">„Aristoteles říká, že duše je místo </w:t>
      </w:r>
      <w:r w:rsidR="00962190" w:rsidRPr="0092362D">
        <w:rPr>
          <w:rStyle w:val="Zkladntext119pt5"/>
          <w:rFonts w:ascii="Calibri" w:hAnsi="Calibri"/>
          <w:smallCaps w:val="0"/>
          <w:sz w:val="22"/>
          <w:szCs w:val="20"/>
          <w:lang w:val="x-none" w:eastAsia="x-none"/>
        </w:rPr>
        <w:t>species</w:t>
      </w:r>
      <w:r w:rsidRPr="082F6AAF">
        <w:rPr>
          <w:rStyle w:val="Zkladntext119pt5"/>
          <w:rFonts w:ascii="Calibri" w:hAnsi="Calibri"/>
          <w:smallCaps w:val="0"/>
          <w:sz w:val="22"/>
          <w:szCs w:val="20"/>
          <w:lang w:val="x-none" w:eastAsia="x-none"/>
        </w:rPr>
        <w:t xml:space="preserve"> (</w:t>
      </w:r>
      <w:r w:rsidRPr="082F6AAF">
        <w:rPr>
          <w:i/>
        </w:rPr>
        <w:t>locus specierum</w:t>
      </w:r>
      <w:r w:rsidRPr="082F6AAF">
        <w:rPr>
          <w:rStyle w:val="Zkladntext119pt5"/>
          <w:rFonts w:ascii="Calibri" w:hAnsi="Calibri"/>
          <w:smallCaps w:val="0"/>
          <w:sz w:val="22"/>
          <w:szCs w:val="20"/>
          <w:lang w:val="x-none" w:eastAsia="x-none"/>
        </w:rPr>
        <w:t xml:space="preserve">), tedy intelektuální duše. Ale místem </w:t>
      </w:r>
      <w:r w:rsidR="00962190" w:rsidRPr="000719A1">
        <w:rPr>
          <w:rStyle w:val="Zkladntext119pt5"/>
          <w:rFonts w:ascii="Calibri" w:hAnsi="Calibri"/>
          <w:smallCaps w:val="0"/>
          <w:sz w:val="22"/>
          <w:szCs w:val="20"/>
          <w:lang w:val="x-none" w:eastAsia="x-none"/>
        </w:rPr>
        <w:t>species</w:t>
      </w:r>
      <w:r w:rsidRPr="082F6AAF">
        <w:rPr>
          <w:rStyle w:val="Zkladntext119pt5"/>
          <w:rFonts w:ascii="Calibri" w:hAnsi="Calibri"/>
          <w:smallCaps w:val="0"/>
          <w:sz w:val="22"/>
          <w:szCs w:val="20"/>
          <w:lang w:val="x-none" w:eastAsia="x-none"/>
        </w:rPr>
        <w:t xml:space="preserve"> se stává jedině a pouze skrze akt myšlení. Z toho vyplývá, že k výkonu porozumění jsou třeba obsahy uložené v možném intelektu.“ </w:t>
      </w:r>
      <w:r w:rsidRPr="082F6AAF">
        <w:rPr>
          <w:rStyle w:val="Znakapoznpodarou"/>
        </w:rPr>
        <w:footnoteReference w:id="237"/>
      </w:r>
    </w:p>
    <w:p w:rsidR="08163013" w:rsidRPr="00273106" w:rsidRDefault="08163013" w:rsidP="08163013">
      <w:r w:rsidRPr="00273106">
        <w:t xml:space="preserve">Nemateriální </w:t>
      </w:r>
      <w:r w:rsidR="00323E29">
        <w:t>„</w:t>
      </w:r>
      <w:r w:rsidRPr="00273106">
        <w:rPr>
          <w:i/>
        </w:rPr>
        <w:t>modus receptionis</w:t>
      </w:r>
      <w:r w:rsidR="00323E29">
        <w:t>“</w:t>
      </w:r>
      <w:r w:rsidRPr="00273106">
        <w:t xml:space="preserve"> se váže </w:t>
      </w:r>
      <w:r>
        <w:t>na způsob jak</w:t>
      </w:r>
      <w:r w:rsidRPr="00273106">
        <w:t xml:space="preserve"> intelektuální </w:t>
      </w:r>
      <w:r w:rsidR="00962190" w:rsidRPr="00323E29">
        <w:t>species</w:t>
      </w:r>
      <w:r w:rsidRPr="00273106">
        <w:t xml:space="preserve"> přijímáme mimo smyslová species (</w:t>
      </w:r>
      <w:r w:rsidRPr="00273106">
        <w:rPr>
          <w:i/>
        </w:rPr>
        <w:t>locus specierum</w:t>
      </w:r>
      <w:r>
        <w:rPr>
          <w:i/>
        </w:rPr>
        <w:fldChar w:fldCharType="begin"/>
      </w:r>
      <w:r>
        <w:instrText xml:space="preserve"> XE "</w:instrText>
      </w:r>
      <w:r w:rsidRPr="009E5259">
        <w:rPr>
          <w:i/>
        </w:rPr>
        <w:instrText>locus specierum</w:instrText>
      </w:r>
      <w:r>
        <w:instrText xml:space="preserve">" </w:instrText>
      </w:r>
      <w:r>
        <w:rPr>
          <w:i/>
        </w:rPr>
        <w:fldChar w:fldCharType="end"/>
      </w:r>
      <w:r w:rsidRPr="00273106">
        <w:t xml:space="preserve">). Duše nemá habituální poznání </w:t>
      </w:r>
      <w:r w:rsidR="00962190" w:rsidRPr="00323E29">
        <w:t>species</w:t>
      </w:r>
      <w:r w:rsidRPr="00273106">
        <w:t xml:space="preserve">, ale </w:t>
      </w:r>
      <w:r>
        <w:t xml:space="preserve">její výkon poznání je </w:t>
      </w:r>
      <w:r w:rsidRPr="00273106">
        <w:t xml:space="preserve">způsobem, jak se tato </w:t>
      </w:r>
      <w:r w:rsidR="00962190" w:rsidRPr="00323E29">
        <w:t>species</w:t>
      </w:r>
      <w:r w:rsidRPr="00273106">
        <w:t xml:space="preserve"> stávají zjevnými</w:t>
      </w:r>
      <w:r>
        <w:t xml:space="preserve"> ve smyslu poznaných předmětných obsahů</w:t>
      </w:r>
      <w:r w:rsidRPr="00273106">
        <w:t xml:space="preserve">. </w:t>
      </w:r>
      <w:r>
        <w:t xml:space="preserve">V duši nemůže existovat nějaká sféra typu počítačové paměti RAM definovaná Bonaventurou a Pechamem, kde by byla uložena porretánská jsoucna třetího druhu. Duševní proces intencionality a abstrakce vytváří </w:t>
      </w:r>
      <w:r w:rsidR="00962190" w:rsidRPr="00323E29">
        <w:t>species</w:t>
      </w:r>
      <w:r>
        <w:t xml:space="preserve"> a tím se duše stává „místem“ vzniku </w:t>
      </w:r>
      <w:r w:rsidR="00962190" w:rsidRPr="00323E29">
        <w:t>species</w:t>
      </w:r>
      <w:r>
        <w:t xml:space="preserve">. </w:t>
      </w:r>
      <w:r w:rsidRPr="00273106">
        <w:t>Aktivní intelekt jako další schopnost duše může</w:t>
      </w:r>
      <w:r w:rsidRPr="00273106">
        <w:rPr>
          <w:i/>
        </w:rPr>
        <w:t xml:space="preserve"> </w:t>
      </w:r>
      <w:r w:rsidRPr="00273106">
        <w:t>v posledním stádiu abstrakce</w:t>
      </w:r>
      <w:r w:rsidRPr="00273106">
        <w:rPr>
          <w:i/>
        </w:rPr>
        <w:t xml:space="preserve"> </w:t>
      </w:r>
      <w:r w:rsidRPr="00273106">
        <w:t>aktualizovat</w:t>
      </w:r>
      <w:r w:rsidRPr="00273106">
        <w:rPr>
          <w:i/>
        </w:rPr>
        <w:t xml:space="preserve"> </w:t>
      </w:r>
      <w:r w:rsidR="00962190">
        <w:rPr>
          <w:i/>
        </w:rPr>
        <w:t>species</w:t>
      </w:r>
      <w:r w:rsidRPr="00273106">
        <w:rPr>
          <w:i/>
        </w:rPr>
        <w:t xml:space="preserve"> intelligibilis</w:t>
      </w:r>
      <w:r>
        <w:rPr>
          <w:i/>
        </w:rPr>
        <w:fldChar w:fldCharType="begin"/>
      </w:r>
      <w:r>
        <w:instrText xml:space="preserve"> XE "</w:instrText>
      </w:r>
      <w:r w:rsidRPr="00DD403C">
        <w:rPr>
          <w:i/>
        </w:rPr>
        <w:instrText>species intelligibilis:</w:instrText>
      </w:r>
      <w:r w:rsidRPr="00585E5B">
        <w:instrText>první averroismus</w:instrText>
      </w:r>
      <w:r>
        <w:instrText xml:space="preserve">" </w:instrText>
      </w:r>
      <w:r>
        <w:rPr>
          <w:i/>
        </w:rPr>
        <w:fldChar w:fldCharType="end"/>
      </w:r>
      <w:r>
        <w:t xml:space="preserve"> na výsledný jazykový pojem. </w:t>
      </w:r>
      <w:r w:rsidRPr="00273106">
        <w:t xml:space="preserve">Podle </w:t>
      </w:r>
      <w:r w:rsidRPr="08F541FF">
        <w:rPr>
          <w:i/>
        </w:rPr>
        <w:t xml:space="preserve">Druhých analytik </w:t>
      </w:r>
      <w:r w:rsidRPr="00273106">
        <w:t xml:space="preserve">musí </w:t>
      </w:r>
      <w:r w:rsidRPr="00273106">
        <w:rPr>
          <w:i/>
        </w:rPr>
        <w:t>medium</w:t>
      </w:r>
      <w:r>
        <w:rPr>
          <w:i/>
        </w:rPr>
        <w:fldChar w:fldCharType="begin"/>
      </w:r>
      <w:r>
        <w:instrText xml:space="preserve"> XE "</w:instrText>
      </w:r>
      <w:r w:rsidRPr="001618A5">
        <w:rPr>
          <w:i/>
        </w:rPr>
        <w:instrText>medium</w:instrText>
      </w:r>
      <w:r w:rsidRPr="082526E0">
        <w:rPr>
          <w:i/>
        </w:rPr>
        <w:instrText>:Druhé analytiky</w:instrText>
      </w:r>
      <w:r>
        <w:instrText xml:space="preserve">" </w:instrText>
      </w:r>
      <w:r>
        <w:rPr>
          <w:i/>
        </w:rPr>
        <w:fldChar w:fldCharType="end"/>
      </w:r>
      <w:r w:rsidRPr="00273106">
        <w:t xml:space="preserve"> demonstrativního soudu obsahovat zkušenostně daný poznatek. Jinak je dedukce neplatná</w:t>
      </w:r>
      <w:r>
        <w:t xml:space="preserve"> ve smyslu vědecké pravdivosti</w:t>
      </w:r>
      <w:r w:rsidRPr="00273106">
        <w:t xml:space="preserve">, protože by nepostihla reálnou kauzalitu na úrovni prvních substancí. </w:t>
      </w:r>
      <w:r w:rsidR="007F0CE4">
        <w:t xml:space="preserve">Ta vnesena do deduktivního důkazu skrze impozici smyslu od reálné kauzality. </w:t>
      </w:r>
      <w:r w:rsidRPr="00273106">
        <w:t xml:space="preserve">Viz princip </w:t>
      </w:r>
      <w:r w:rsidR="007F0CE4">
        <w:t>„</w:t>
      </w:r>
      <w:r w:rsidR="08A649EB" w:rsidRPr="08A649EB">
        <w:rPr>
          <w:i/>
        </w:rPr>
        <w:t>ex</w:t>
      </w:r>
      <w:r w:rsidR="08A649EB">
        <w:t xml:space="preserve"> </w:t>
      </w:r>
      <w:r w:rsidR="08A649EB">
        <w:rPr>
          <w:i/>
        </w:rPr>
        <w:t>in</w:t>
      </w:r>
      <w:r w:rsidRPr="00273106">
        <w:rPr>
          <w:i/>
        </w:rPr>
        <w:t>mediat</w:t>
      </w:r>
      <w:r w:rsidR="08A649EB">
        <w:rPr>
          <w:i/>
        </w:rPr>
        <w:t>is</w:t>
      </w:r>
      <w:r w:rsidR="007F0CE4">
        <w:t>“</w:t>
      </w:r>
      <w:r>
        <w:rPr>
          <w:i/>
        </w:rPr>
        <w:fldChar w:fldCharType="begin"/>
      </w:r>
      <w:r>
        <w:instrText xml:space="preserve"> XE "princip </w:instrText>
      </w:r>
      <w:r w:rsidR="08A649EB">
        <w:rPr>
          <w:i/>
        </w:rPr>
        <w:instrText>ex in</w:instrText>
      </w:r>
      <w:r w:rsidRPr="00625B88">
        <w:rPr>
          <w:i/>
        </w:rPr>
        <w:instrText>mediatis</w:instrText>
      </w:r>
      <w:r>
        <w:instrText xml:space="preserve">" </w:instrText>
      </w:r>
      <w:r>
        <w:rPr>
          <w:i/>
        </w:rPr>
        <w:fldChar w:fldCharType="end"/>
      </w:r>
      <w:r w:rsidRPr="00273106">
        <w:t xml:space="preserve"> </w:t>
      </w:r>
      <w:r w:rsidR="00D36C6A">
        <w:t xml:space="preserve">podle </w:t>
      </w:r>
      <w:r w:rsidRPr="08F541FF">
        <w:rPr>
          <w:i/>
        </w:rPr>
        <w:t>Druhých analytik</w:t>
      </w:r>
      <w:r w:rsidRPr="00273106">
        <w:t xml:space="preserve"> obhajovaný Albertem proti </w:t>
      </w:r>
      <w:r w:rsidRPr="00273106">
        <w:rPr>
          <w:i/>
        </w:rPr>
        <w:t>Oxfordian Fallacy</w:t>
      </w:r>
      <w:r w:rsidRPr="00273106">
        <w:t xml:space="preserve"> zavedené </w:t>
      </w:r>
      <w:r>
        <w:t xml:space="preserve">Grossetestem a </w:t>
      </w:r>
      <w:r w:rsidRPr="00273106">
        <w:t>Kilwardbym (</w:t>
      </w:r>
      <w:r w:rsidR="082872F8">
        <w:t xml:space="preserve">OBJ II, </w:t>
      </w:r>
      <w:r w:rsidRPr="00273106">
        <w:t xml:space="preserve">kap. </w:t>
      </w:r>
      <w:r w:rsidR="082872F8">
        <w:t>3</w:t>
      </w:r>
      <w:r w:rsidRPr="00273106">
        <w:t xml:space="preserve">.4.1). </w:t>
      </w:r>
      <w:r w:rsidR="00DC3F73" w:rsidRPr="00273106">
        <w:t xml:space="preserve">Siger znovu připomíná </w:t>
      </w:r>
      <w:r w:rsidR="00DC3F73">
        <w:t>Averroes</w:t>
      </w:r>
      <w:r w:rsidR="00DC3F73" w:rsidRPr="00273106">
        <w:t xml:space="preserve">ovo fenomenologické hledisko, </w:t>
      </w:r>
      <w:r w:rsidR="00DC3F73">
        <w:t xml:space="preserve">tedy dvojí způsob </w:t>
      </w:r>
      <w:r w:rsidR="00DC3F73" w:rsidRPr="00273106">
        <w:t xml:space="preserve">v modu </w:t>
      </w:r>
      <w:r w:rsidR="00DC3F73">
        <w:t xml:space="preserve">hermeneutického </w:t>
      </w:r>
      <w:r w:rsidR="00DC3F73" w:rsidRPr="00273106">
        <w:rPr>
          <w:i/>
        </w:rPr>
        <w:t>Wie</w:t>
      </w:r>
      <w:r w:rsidR="00DC3F73">
        <w:fldChar w:fldCharType="begin"/>
      </w:r>
      <w:r w:rsidR="00DC3F73">
        <w:instrText xml:space="preserve"> XE "</w:instrText>
      </w:r>
      <w:r w:rsidR="00DC3F73" w:rsidRPr="00181D8F">
        <w:instrText xml:space="preserve">hermeneutické </w:instrText>
      </w:r>
      <w:r w:rsidR="00DC3F73" w:rsidRPr="00181D8F">
        <w:rPr>
          <w:i/>
        </w:rPr>
        <w:instrText>Wie</w:instrText>
      </w:r>
      <w:r w:rsidR="00DC3F73" w:rsidRPr="00181D8F">
        <w:instrText>:Siger</w:instrText>
      </w:r>
      <w:r w:rsidR="00DC3F73">
        <w:instrText xml:space="preserve">" </w:instrText>
      </w:r>
      <w:r w:rsidR="00DC3F73">
        <w:fldChar w:fldCharType="end"/>
      </w:r>
      <w:r w:rsidR="00DC3F73">
        <w:t xml:space="preserve">, jak </w:t>
      </w:r>
      <w:r w:rsidR="00DC3F73" w:rsidRPr="00273106">
        <w:t>se tato abstrakce děje.</w:t>
      </w:r>
      <w:r w:rsidR="00DC3F73">
        <w:t xml:space="preserve"> </w:t>
      </w:r>
      <w:r>
        <w:t>Citát přesně odliš</w:t>
      </w:r>
      <w:r w:rsidR="002A61DF">
        <w:t xml:space="preserve">uje akt univerzální abstrakce od </w:t>
      </w:r>
      <w:r>
        <w:t>akt</w:t>
      </w:r>
      <w:r w:rsidR="002A61DF">
        <w:t>u</w:t>
      </w:r>
      <w:r>
        <w:t xml:space="preserve"> individuální intencionality</w:t>
      </w:r>
      <w:r w:rsidR="002A61DF">
        <w:t xml:space="preserve">. Každý z těchto aktů </w:t>
      </w:r>
      <w:r w:rsidR="002B4FAF">
        <w:t xml:space="preserve">je založen </w:t>
      </w:r>
      <w:r>
        <w:t>jiným způsobem.</w:t>
      </w:r>
    </w:p>
    <w:p w:rsidR="08163013" w:rsidRPr="00C16629" w:rsidRDefault="08163013" w:rsidP="08163013">
      <w:pPr>
        <w:pStyle w:val="Citace"/>
        <w:rPr>
          <w:noProof/>
          <w:lang w:val="cs-CZ"/>
        </w:rPr>
      </w:pPr>
      <w:r w:rsidRPr="00273106">
        <w:rPr>
          <w:noProof/>
          <w:lang w:val="cs-CZ"/>
        </w:rPr>
        <w:lastRenderedPageBreak/>
        <w:t>„</w:t>
      </w:r>
      <w:r>
        <w:rPr>
          <w:noProof/>
          <w:lang w:val="cs-CZ"/>
        </w:rPr>
        <w:t>Zakoušíme v nás dva procesy abstrakce (</w:t>
      </w:r>
      <w:r w:rsidRPr="00D151F7">
        <w:rPr>
          <w:i/>
          <w:noProof/>
          <w:lang w:val="cs-CZ"/>
        </w:rPr>
        <w:t>e</w:t>
      </w:r>
      <w:r w:rsidRPr="00D151F7">
        <w:rPr>
          <w:i/>
          <w:noProof/>
        </w:rPr>
        <w:t>xperimur autem in nobis duas operationes abstractas</w:t>
      </w:r>
      <w:r>
        <w:rPr>
          <w:noProof/>
          <w:lang w:val="cs-CZ"/>
        </w:rPr>
        <w:t>). Primární činnost abstrahování je recepce univerzálních poznatků, které jsou abstraktní (</w:t>
      </w:r>
      <w:r w:rsidRPr="00FD07D4">
        <w:rPr>
          <w:i/>
          <w:noProof/>
        </w:rPr>
        <w:t>receptio intelligibilium universalium abstractorum</w:t>
      </w:r>
      <w:r>
        <w:rPr>
          <w:noProof/>
          <w:lang w:val="cs-CZ"/>
        </w:rPr>
        <w:t>). Druhá námi zakoušená operace abstrakce se týká abstrahování inteligibilních obsahů, protože ty byly předtím jen smyslovými intencemi. Protože v nás zakoušíme oba tyto procesy abstrahování, víme, že v nás musí existovat dvě duševní schopnosti, jejichž zprostředkováním se tato činnost děje. Poznání činností duše v nás totiž předchází znalost její podstaty (</w:t>
      </w:r>
      <w:r w:rsidRPr="00F80906">
        <w:rPr>
          <w:i/>
          <w:noProof/>
          <w:lang w:val="cs-CZ" w:eastAsia="en-US"/>
        </w:rPr>
        <w:t>s</w:t>
      </w:r>
      <w:r w:rsidRPr="00F80906">
        <w:rPr>
          <w:i/>
          <w:noProof/>
          <w:lang w:eastAsia="en-US"/>
        </w:rPr>
        <w:t>cire enim actiones animae prius est apud nos quam scire eius substantiam</w:t>
      </w:r>
      <w:r>
        <w:rPr>
          <w:noProof/>
          <w:lang w:val="cs-CZ"/>
        </w:rPr>
        <w:t xml:space="preserve">).“ </w:t>
      </w:r>
      <w:r>
        <w:rPr>
          <w:rStyle w:val="Znakapoznpodarou"/>
        </w:rPr>
        <w:footnoteReference w:id="238"/>
      </w:r>
    </w:p>
    <w:p w:rsidR="00A05F4E" w:rsidRDefault="08163013" w:rsidP="08163013">
      <w:r>
        <w:t>N</w:t>
      </w:r>
      <w:r w:rsidRPr="00273106">
        <w:t>ejdůslednější obhájce prvního averroismu začíná popisem duševních aktů (</w:t>
      </w:r>
      <w:r w:rsidRPr="00273106">
        <w:rPr>
          <w:i/>
        </w:rPr>
        <w:t>experimur autem in nobis duas operationes abstractas</w:t>
      </w:r>
      <w:r>
        <w:t xml:space="preserve">). Nejdůležitější </w:t>
      </w:r>
      <w:r w:rsidRPr="00273106">
        <w:t xml:space="preserve">schopnost duše zkoumané skrze zakoušený proces abstrakce je </w:t>
      </w:r>
      <w:r>
        <w:t xml:space="preserve">její </w:t>
      </w:r>
      <w:r w:rsidRPr="00273106">
        <w:t xml:space="preserve">potence k přijetí nemateriálních poznávacích forem </w:t>
      </w:r>
      <w:r>
        <w:t xml:space="preserve">vytvořených v procesu abstrakce </w:t>
      </w:r>
      <w:r w:rsidRPr="00273106">
        <w:t>(</w:t>
      </w:r>
      <w:r w:rsidRPr="00273106">
        <w:rPr>
          <w:i/>
        </w:rPr>
        <w:t>receptio intelligibilium universalium abstractorum</w:t>
      </w:r>
      <w:r w:rsidRPr="00273106">
        <w:t xml:space="preserve">). </w:t>
      </w:r>
      <w:r>
        <w:t xml:space="preserve">Proto je možný intelekt místem recipovaných </w:t>
      </w:r>
      <w:r w:rsidR="00962190">
        <w:rPr>
          <w:i/>
        </w:rPr>
        <w:t>species</w:t>
      </w:r>
      <w:r>
        <w:t xml:space="preserve">. </w:t>
      </w:r>
      <w:r w:rsidRPr="00273106">
        <w:t>Klíčová je následující věta</w:t>
      </w:r>
      <w:r>
        <w:t xml:space="preserve"> definující dráhu náhledu, odkud je tato abstrakce determinována (</w:t>
      </w:r>
      <w:r w:rsidRPr="0006576B">
        <w:rPr>
          <w:i/>
        </w:rPr>
        <w:t>Vor</w:t>
      </w:r>
      <w:r w:rsidRPr="0006576B">
        <w:rPr>
          <w:i/>
        </w:rPr>
        <w:noBreakHyphen/>
        <w:t>blickbahn</w:t>
      </w:r>
      <w:r>
        <w:rPr>
          <w:i/>
        </w:rPr>
        <w:fldChar w:fldCharType="begin"/>
      </w:r>
      <w:r>
        <w:instrText xml:space="preserve"> XE "</w:instrText>
      </w:r>
      <w:r>
        <w:rPr>
          <w:i/>
        </w:rPr>
        <w:instrText>Vor-</w:instrText>
      </w:r>
      <w:r w:rsidRPr="000C66F2">
        <w:rPr>
          <w:i/>
        </w:rPr>
        <w:instrText>b</w:instrText>
      </w:r>
      <w:r w:rsidRPr="000C66F2">
        <w:rPr>
          <w:i/>
          <w:iCs/>
        </w:rPr>
        <w:instrText>lickbahn</w:instrText>
      </w:r>
      <w:r>
        <w:rPr>
          <w:i/>
          <w:iCs/>
        </w:rPr>
        <w:instrText>:</w:instrText>
      </w:r>
      <w:r w:rsidRPr="00F56047">
        <w:rPr>
          <w:iCs/>
        </w:rPr>
        <w:instrText>Siger</w:instrText>
      </w:r>
      <w:r>
        <w:instrText xml:space="preserve">" </w:instrText>
      </w:r>
      <w:r>
        <w:rPr>
          <w:i/>
        </w:rPr>
        <w:fldChar w:fldCharType="end"/>
      </w:r>
      <w:r>
        <w:t xml:space="preserve">). Porozumění jako čistá </w:t>
      </w:r>
      <w:r w:rsidRPr="00273106">
        <w:t xml:space="preserve">potence </w:t>
      </w:r>
      <w:r>
        <w:t>nemůže myslet tyto obsahy samo z</w:t>
      </w:r>
      <w:r w:rsidRPr="00273106">
        <w:t xml:space="preserve">e sebe, protože neexistují žádné vrozené principy poznání. </w:t>
      </w:r>
      <w:r>
        <w:t xml:space="preserve">Výkon intelektuální abstrakce </w:t>
      </w:r>
      <w:r w:rsidRPr="00273106">
        <w:t>vnímáme tak, že ji zakoušíme (</w:t>
      </w:r>
      <w:r w:rsidRPr="00273106">
        <w:rPr>
          <w:i/>
        </w:rPr>
        <w:t>operatio abstracta, quam in nobis experimur</w:t>
      </w:r>
      <w:r>
        <w:t>)</w:t>
      </w:r>
      <w:r>
        <w:fldChar w:fldCharType="begin"/>
      </w:r>
      <w:r>
        <w:instrText xml:space="preserve"> XE "intelekt:</w:instrText>
      </w:r>
      <w:r w:rsidRPr="00D04010">
        <w:rPr>
          <w:i/>
        </w:rPr>
        <w:instrText>experimur</w:instrText>
      </w:r>
      <w:r w:rsidRPr="008D12CB">
        <w:instrText>/</w:instrText>
      </w:r>
      <w:r w:rsidRPr="00D04010">
        <w:rPr>
          <w:i/>
        </w:rPr>
        <w:instrText>cons</w:instrText>
      </w:r>
      <w:r>
        <w:rPr>
          <w:i/>
        </w:rPr>
        <w:instrText>c</w:instrText>
      </w:r>
      <w:r w:rsidRPr="00D04010">
        <w:rPr>
          <w:i/>
        </w:rPr>
        <w:instrText>ii sumus</w:instrText>
      </w:r>
      <w:r>
        <w:instrText xml:space="preserve">" </w:instrText>
      </w:r>
      <w:r>
        <w:fldChar w:fldCharType="end"/>
      </w:r>
      <w:r>
        <w:t xml:space="preserve">. Smyslová </w:t>
      </w:r>
      <w:r w:rsidR="00962190">
        <w:rPr>
          <w:i/>
        </w:rPr>
        <w:t>species</w:t>
      </w:r>
      <w:r>
        <w:t xml:space="preserve"> daná</w:t>
      </w:r>
      <w:r w:rsidRPr="00273106">
        <w:t xml:space="preserve"> individuálně </w:t>
      </w:r>
      <w:r>
        <w:t xml:space="preserve">jsou znovu recipována ve výkonu abstrakce </w:t>
      </w:r>
      <w:r w:rsidRPr="00273106">
        <w:t>(</w:t>
      </w:r>
      <w:r w:rsidRPr="00273106">
        <w:rPr>
          <w:i/>
        </w:rPr>
        <w:t>abstractio intelligibilium, cum prius essent intentiones imaginatae</w:t>
      </w:r>
      <w:r>
        <w:t xml:space="preserve">). </w:t>
      </w:r>
      <w:r w:rsidRPr="00273106">
        <w:t>Teprve nyní je vědecké poznání duše úplné, protože obě návěsti (</w:t>
      </w:r>
      <w:r w:rsidRPr="00273106">
        <w:rPr>
          <w:i/>
        </w:rPr>
        <w:t>maior</w:t>
      </w:r>
      <w:r w:rsidRPr="00273106">
        <w:t xml:space="preserve">, </w:t>
      </w:r>
      <w:r w:rsidRPr="00273106">
        <w:rPr>
          <w:i/>
        </w:rPr>
        <w:t>minor</w:t>
      </w:r>
      <w:r w:rsidRPr="00273106">
        <w:t xml:space="preserve">) dávají deduktivní závěr. </w:t>
      </w:r>
      <w:r>
        <w:t xml:space="preserve">Recepce je obecná potence duše v rámci nemateriálního </w:t>
      </w:r>
      <w:r w:rsidRPr="00583EF6">
        <w:rPr>
          <w:i/>
        </w:rPr>
        <w:t>intellectus possibilis</w:t>
      </w:r>
      <w:r>
        <w:rPr>
          <w:i/>
        </w:rPr>
        <w:fldChar w:fldCharType="begin"/>
      </w:r>
      <w:r>
        <w:instrText xml:space="preserve"> XE "</w:instrText>
      </w:r>
      <w:r w:rsidRPr="00770D02">
        <w:rPr>
          <w:i/>
        </w:rPr>
        <w:instrText>intellectus possibilis</w:instrText>
      </w:r>
      <w:r>
        <w:instrText xml:space="preserve">" </w:instrText>
      </w:r>
      <w:r>
        <w:rPr>
          <w:i/>
        </w:rPr>
        <w:fldChar w:fldCharType="end"/>
      </w:r>
      <w:r>
        <w:t>, který je univerzálně receptivní (</w:t>
      </w:r>
      <w:r w:rsidRPr="00583EF6">
        <w:rPr>
          <w:i/>
        </w:rPr>
        <w:t>maior</w:t>
      </w:r>
      <w:r>
        <w:t xml:space="preserve">). Tato obecná potence je kauzálně </w:t>
      </w:r>
      <w:r w:rsidRPr="000F02FC">
        <w:rPr>
          <w:i/>
        </w:rPr>
        <w:t>ad hoc</w:t>
      </w:r>
      <w:r>
        <w:t xml:space="preserve"> aktualizována pomocí smyslových intencí v procesu kauzálně daného a zakoušeného poznání (</w:t>
      </w:r>
      <w:r w:rsidRPr="00583EF6">
        <w:rPr>
          <w:i/>
        </w:rPr>
        <w:t>minor</w:t>
      </w:r>
      <w:r>
        <w:t>). Výsledkem je proces abstrakce</w:t>
      </w:r>
      <w:r>
        <w:fldChar w:fldCharType="begin"/>
      </w:r>
      <w:r>
        <w:instrText xml:space="preserve"> XE "</w:instrText>
      </w:r>
      <w:r w:rsidRPr="00454685">
        <w:instrText>abstrakce:Siger</w:instrText>
      </w:r>
      <w:r>
        <w:instrText xml:space="preserve">" </w:instrText>
      </w:r>
      <w:r>
        <w:fldChar w:fldCharType="end"/>
      </w:r>
      <w:r>
        <w:t xml:space="preserve"> opět poznaný aktuálně skrze vlastní zkušenost, ale již danou v rámci obecniny (závěr). F</w:t>
      </w:r>
      <w:r w:rsidRPr="00273106">
        <w:t>enomenologie duševních aktů na rozdíl od Descarta</w:t>
      </w:r>
      <w:r>
        <w:fldChar w:fldCharType="begin"/>
      </w:r>
      <w:r>
        <w:instrText xml:space="preserve"> XE "</w:instrText>
      </w:r>
      <w:r w:rsidRPr="004146C6">
        <w:rPr>
          <w:rStyle w:val="addmd"/>
        </w:rPr>
        <w:instrText>Descartes, R.</w:instrText>
      </w:r>
      <w:r>
        <w:instrText xml:space="preserve">" </w:instrText>
      </w:r>
      <w:r>
        <w:fldChar w:fldCharType="end"/>
      </w:r>
      <w:r w:rsidRPr="00273106">
        <w:t xml:space="preserve"> </w:t>
      </w:r>
      <w:r>
        <w:t xml:space="preserve">rozlišuje </w:t>
      </w:r>
      <w:r w:rsidRPr="00273106">
        <w:t>dva rozdílné procesy, „jak“ se myšlení reflektuje ve vlastním spoluvědění (</w:t>
      </w:r>
      <w:r w:rsidRPr="00273106">
        <w:rPr>
          <w:i/>
        </w:rPr>
        <w:t>experimur has duas operationes fieri</w:t>
      </w:r>
      <w:r w:rsidRPr="00273106">
        <w:t xml:space="preserve">). </w:t>
      </w:r>
      <w:r w:rsidR="00DA5FFD">
        <w:t>Termín „</w:t>
      </w:r>
      <w:r w:rsidR="00DA5FFD" w:rsidRPr="00DA5FFD">
        <w:rPr>
          <w:i/>
        </w:rPr>
        <w:t>fieri</w:t>
      </w:r>
      <w:r w:rsidR="00DA5FFD">
        <w:t xml:space="preserve">“ označuje proces poznání v modu </w:t>
      </w:r>
      <w:r w:rsidR="00DA5FFD" w:rsidRPr="00DA5FFD">
        <w:rPr>
          <w:i/>
        </w:rPr>
        <w:t>subiective</w:t>
      </w:r>
      <w:r w:rsidR="00DA5FFD">
        <w:t xml:space="preserve">. </w:t>
      </w:r>
      <w:r>
        <w:t>Pak m</w:t>
      </w:r>
      <w:r w:rsidRPr="00273106">
        <w:t xml:space="preserve">ůžeme ve správně utvořeném </w:t>
      </w:r>
      <w:r>
        <w:t xml:space="preserve">deduktivním </w:t>
      </w:r>
      <w:r w:rsidRPr="00273106">
        <w:t>závěru konstatovat</w:t>
      </w:r>
      <w:r>
        <w:t xml:space="preserve"> (</w:t>
      </w:r>
      <w:r w:rsidRPr="00273106">
        <w:rPr>
          <w:i/>
        </w:rPr>
        <w:t>scimus quod necesse est</w:t>
      </w:r>
      <w:r>
        <w:t>)</w:t>
      </w:r>
      <w:r w:rsidRPr="00273106">
        <w:t xml:space="preserve">, že v nás musí existovat právě tyto dvě funce vázané </w:t>
      </w:r>
      <w:r w:rsidRPr="00273106">
        <w:lastRenderedPageBreak/>
        <w:t>na intelektuální povahu lidské duše (</w:t>
      </w:r>
      <w:r w:rsidRPr="00273106">
        <w:rPr>
          <w:i/>
        </w:rPr>
        <w:t>in nobis duas virtutes esse</w:t>
      </w:r>
      <w:r w:rsidRPr="00273106">
        <w:t xml:space="preserve">). </w:t>
      </w:r>
      <w:r>
        <w:t xml:space="preserve">Klíčový je přechod vědeckého důkazu od </w:t>
      </w:r>
      <w:r w:rsidR="00FB722F">
        <w:t>„</w:t>
      </w:r>
      <w:r w:rsidRPr="08C46147">
        <w:rPr>
          <w:i/>
        </w:rPr>
        <w:t>fieri</w:t>
      </w:r>
      <w:r w:rsidR="00FB722F">
        <w:t>“</w:t>
      </w:r>
      <w:r>
        <w:t xml:space="preserve"> intelektu k jeho </w:t>
      </w:r>
      <w:r w:rsidR="00FB722F">
        <w:t>„</w:t>
      </w:r>
      <w:r w:rsidRPr="08C46147">
        <w:rPr>
          <w:i/>
        </w:rPr>
        <w:t>esse</w:t>
      </w:r>
      <w:r w:rsidR="00FB722F">
        <w:t>“</w:t>
      </w:r>
      <w:r>
        <w:fldChar w:fldCharType="begin"/>
      </w:r>
      <w:r>
        <w:instrText xml:space="preserve"> XE "</w:instrText>
      </w:r>
      <w:r w:rsidRPr="007804B8">
        <w:instrText>intelekt:</w:instrText>
      </w:r>
      <w:r w:rsidRPr="002F1398">
        <w:rPr>
          <w:i/>
        </w:rPr>
        <w:instrText>esse/fieri</w:instrText>
      </w:r>
      <w:r>
        <w:instrText xml:space="preserve">" </w:instrText>
      </w:r>
      <w:r>
        <w:fldChar w:fldCharType="end"/>
      </w:r>
      <w:r w:rsidR="00FB722F">
        <w:t xml:space="preserve">. Tento postup </w:t>
      </w:r>
      <w:r w:rsidR="00F840FE">
        <w:t xml:space="preserve">důkazu </w:t>
      </w:r>
      <w:r>
        <w:t>úplně pominula averroistická moderna a postmoderna. S</w:t>
      </w:r>
      <w:r w:rsidRPr="00273106">
        <w:t>třední člen soudu</w:t>
      </w:r>
      <w:r>
        <w:t xml:space="preserve"> musí obsahovat kauzálně danou realitu </w:t>
      </w:r>
      <w:r w:rsidRPr="00273106">
        <w:t>poznaného jevu (</w:t>
      </w:r>
      <w:r w:rsidRPr="00273106">
        <w:rPr>
          <w:i/>
        </w:rPr>
        <w:t>experimur</w:t>
      </w:r>
      <w:r w:rsidRPr="00273106">
        <w:t>)</w:t>
      </w:r>
      <w:r>
        <w:t xml:space="preserve">. Výsledná definice intelektu je dána v modu univerzální esence. </w:t>
      </w:r>
      <w:r w:rsidRPr="00273106">
        <w:t>Siger</w:t>
      </w:r>
      <w:r>
        <w:t xml:space="preserve"> plně pochopil smysl CMDA v tom, čím Averroes doplnil Aristotela. Toto pojetí explicitně nehájili semiaverroisté Albert a Akvinský, proto je Siger kritizuje ve svém druhém komentáři </w:t>
      </w:r>
      <w:r w:rsidR="00AF62DF">
        <w:t>k </w:t>
      </w:r>
      <w:proofErr w:type="gramStart"/>
      <w:r w:rsidR="00AF62DF" w:rsidRPr="00AF62DF">
        <w:rPr>
          <w:i/>
        </w:rPr>
        <w:t>De</w:t>
      </w:r>
      <w:proofErr w:type="gramEnd"/>
      <w:r w:rsidR="00AF62DF" w:rsidRPr="00AF62DF">
        <w:rPr>
          <w:i/>
        </w:rPr>
        <w:t xml:space="preserve"> anima</w:t>
      </w:r>
      <w:r w:rsidR="00AF62DF">
        <w:t xml:space="preserve"> </w:t>
      </w:r>
      <w:r>
        <w:t>psaném v době zásadní krize po roce 1270. Fenomenologické „j</w:t>
      </w:r>
      <w:r w:rsidRPr="00273106">
        <w:t xml:space="preserve">ak“ </w:t>
      </w:r>
      <w:r>
        <w:t>poznáváme</w:t>
      </w:r>
      <w:r w:rsidR="005F1EEB">
        <w:t xml:space="preserve">, je </w:t>
      </w:r>
      <w:r w:rsidRPr="00273106">
        <w:t xml:space="preserve">dané zakoušením </w:t>
      </w:r>
      <w:r>
        <w:t xml:space="preserve">v první osobě </w:t>
      </w:r>
      <w:r w:rsidR="005F1EEB">
        <w:t xml:space="preserve">a </w:t>
      </w:r>
      <w:r w:rsidRPr="00273106">
        <w:t>musí tvořit so</w:t>
      </w:r>
      <w:r w:rsidR="005F1EEB">
        <w:t>učást popisu poznání intelektu i</w:t>
      </w:r>
      <w:r w:rsidRPr="00273106">
        <w:t xml:space="preserve"> duše</w:t>
      </w:r>
      <w:r>
        <w:fldChar w:fldCharType="begin"/>
      </w:r>
      <w:r>
        <w:instrText xml:space="preserve"> XE "intelekt:</w:instrText>
      </w:r>
      <w:r w:rsidRPr="00D04010">
        <w:rPr>
          <w:i/>
        </w:rPr>
        <w:instrText>experimur</w:instrText>
      </w:r>
      <w:r w:rsidRPr="008D12CB">
        <w:instrText>/</w:instrText>
      </w:r>
      <w:r w:rsidRPr="00D04010">
        <w:rPr>
          <w:i/>
        </w:rPr>
        <w:instrText>cons</w:instrText>
      </w:r>
      <w:r>
        <w:rPr>
          <w:i/>
        </w:rPr>
        <w:instrText>c</w:instrText>
      </w:r>
      <w:r w:rsidRPr="00D04010">
        <w:rPr>
          <w:i/>
        </w:rPr>
        <w:instrText>ii sumus</w:instrText>
      </w:r>
      <w:r>
        <w:instrText xml:space="preserve">" </w:instrText>
      </w:r>
      <w:r>
        <w:fldChar w:fldCharType="end"/>
      </w:r>
      <w:r>
        <w:t>. Siger odmítá definovat poznání, duši a osobu skrze esenciální přístup k intelektu</w:t>
      </w:r>
      <w:r w:rsidRPr="00273106">
        <w:t xml:space="preserve">. To je </w:t>
      </w:r>
      <w:r w:rsidR="00220F8E">
        <w:t xml:space="preserve">působení </w:t>
      </w:r>
      <w:r w:rsidRPr="009D233D">
        <w:rPr>
          <w:i/>
        </w:rPr>
        <w:t>Oxfordian Fallacy</w:t>
      </w:r>
      <w:r>
        <w:rPr>
          <w:i/>
        </w:rPr>
        <w:fldChar w:fldCharType="begin"/>
      </w:r>
      <w:r>
        <w:instrText xml:space="preserve"> XE "</w:instrText>
      </w:r>
      <w:r w:rsidRPr="0015798D">
        <w:rPr>
          <w:i/>
        </w:rPr>
        <w:instrText>Oxfordian Fallacy:</w:instrText>
      </w:r>
      <w:r w:rsidRPr="00F56047">
        <w:instrText>první averroismus</w:instrText>
      </w:r>
      <w:r>
        <w:instrText xml:space="preserve">" </w:instrText>
      </w:r>
      <w:r>
        <w:rPr>
          <w:i/>
        </w:rPr>
        <w:fldChar w:fldCharType="end"/>
      </w:r>
      <w:r>
        <w:t xml:space="preserve"> v rámci porretánského principu </w:t>
      </w:r>
      <w:r w:rsidR="00220F8E">
        <w:t>„</w:t>
      </w:r>
      <w:r w:rsidRPr="009D233D">
        <w:rPr>
          <w:i/>
        </w:rPr>
        <w:t>inmediate</w:t>
      </w:r>
      <w:r w:rsidR="00220F8E">
        <w:t xml:space="preserve">“ v rámci </w:t>
      </w:r>
      <w:r w:rsidRPr="00273106">
        <w:t xml:space="preserve">prvního averroismu. </w:t>
      </w:r>
      <w:r w:rsidR="0087486D">
        <w:t>Siger správně utvořil</w:t>
      </w:r>
      <w:r w:rsidR="0087486D" w:rsidRPr="00273106">
        <w:t xml:space="preserve"> </w:t>
      </w:r>
      <w:r w:rsidR="0087486D" w:rsidRPr="00273106">
        <w:rPr>
          <w:i/>
        </w:rPr>
        <w:t>demonstratio</w:t>
      </w:r>
      <w:r w:rsidR="0087486D">
        <w:rPr>
          <w:i/>
        </w:rPr>
        <w:fldChar w:fldCharType="begin"/>
      </w:r>
      <w:r w:rsidR="0087486D">
        <w:instrText xml:space="preserve"> XE "</w:instrText>
      </w:r>
      <w:r w:rsidR="0087486D" w:rsidRPr="004E6075">
        <w:rPr>
          <w:i/>
        </w:rPr>
        <w:instrText>demonstratio:</w:instrText>
      </w:r>
      <w:r w:rsidR="0087486D">
        <w:instrText xml:space="preserve">Averroes" </w:instrText>
      </w:r>
      <w:r w:rsidR="0087486D">
        <w:rPr>
          <w:i/>
        </w:rPr>
        <w:fldChar w:fldCharType="end"/>
      </w:r>
      <w:r w:rsidR="0087486D" w:rsidRPr="00273106">
        <w:t xml:space="preserve"> podle principu </w:t>
      </w:r>
      <w:r w:rsidR="0087486D">
        <w:t>„</w:t>
      </w:r>
      <w:r w:rsidR="0087486D" w:rsidRPr="08027AC2">
        <w:rPr>
          <w:i/>
        </w:rPr>
        <w:t>ex</w:t>
      </w:r>
      <w:r w:rsidR="0087486D">
        <w:t xml:space="preserve"> </w:t>
      </w:r>
      <w:r w:rsidR="0087486D">
        <w:rPr>
          <w:i/>
        </w:rPr>
        <w:t>inmediatis</w:t>
      </w:r>
      <w:r w:rsidR="0087486D" w:rsidRPr="001C458F">
        <w:t>“</w:t>
      </w:r>
      <w:r w:rsidR="0087486D">
        <w:t xml:space="preserve"> ve </w:t>
      </w:r>
      <w:r w:rsidR="0087486D" w:rsidRPr="08027AC2">
        <w:rPr>
          <w:i/>
        </w:rPr>
        <w:t>Druhých analytikách</w:t>
      </w:r>
      <w:r w:rsidR="0087486D">
        <w:t xml:space="preserve">. </w:t>
      </w:r>
      <w:r>
        <w:t xml:space="preserve">Protože je dán fenomén, tj. proces poznání v rámci individuálního </w:t>
      </w:r>
      <w:r w:rsidRPr="00920D42">
        <w:rPr>
          <w:i/>
        </w:rPr>
        <w:t>intellectio</w:t>
      </w:r>
      <w:r>
        <w:t xml:space="preserve"> jako Averroesův aktuální </w:t>
      </w:r>
      <w:r w:rsidRPr="00920D42">
        <w:rPr>
          <w:i/>
        </w:rPr>
        <w:t xml:space="preserve">tertium </w:t>
      </w:r>
      <w:r w:rsidR="00962190">
        <w:rPr>
          <w:i/>
        </w:rPr>
        <w:t>genus</w:t>
      </w:r>
      <w:r>
        <w:rPr>
          <w:i/>
        </w:rPr>
        <w:fldChar w:fldCharType="begin"/>
      </w:r>
      <w:r>
        <w:instrText xml:space="preserve"> XE "</w:instrText>
      </w:r>
      <w:r w:rsidRPr="00D80F84">
        <w:rPr>
          <w:i/>
        </w:rPr>
        <w:instrText>tertium genus</w:instrText>
      </w:r>
      <w:r>
        <w:instrText xml:space="preserve">" </w:instrText>
      </w:r>
      <w:r>
        <w:rPr>
          <w:i/>
        </w:rPr>
        <w:fldChar w:fldCharType="end"/>
      </w:r>
      <w:r>
        <w:t>, pak je dána i vědecky poznaná podstata tohoto jevu, tedy poznaná univerzália (</w:t>
      </w:r>
      <w:r w:rsidRPr="08F541FF">
        <w:rPr>
          <w:i/>
        </w:rPr>
        <w:t>intellecta</w:t>
      </w:r>
      <w:r>
        <w:t xml:space="preserve">). A nakonec je v závěru deduktivní demonstrace definována i samotná esence, tedy </w:t>
      </w:r>
      <w:r w:rsidRPr="00920D42">
        <w:rPr>
          <w:i/>
        </w:rPr>
        <w:t>intellectus</w:t>
      </w:r>
      <w:r>
        <w:t xml:space="preserve"> jako poznaná univerzální forma stejná pro všechny lidi v modu </w:t>
      </w:r>
      <w:r w:rsidRPr="00920D42">
        <w:rPr>
          <w:i/>
        </w:rPr>
        <w:t xml:space="preserve">quartum </w:t>
      </w:r>
      <w:r w:rsidR="00962190">
        <w:rPr>
          <w:i/>
        </w:rPr>
        <w:t>genus</w:t>
      </w:r>
      <w:r>
        <w:rPr>
          <w:i/>
        </w:rPr>
        <w:fldChar w:fldCharType="begin"/>
      </w:r>
      <w:r>
        <w:instrText xml:space="preserve"> XE "</w:instrText>
      </w:r>
      <w:r w:rsidRPr="00191848">
        <w:rPr>
          <w:i/>
        </w:rPr>
        <w:instrText>quartum genus</w:instrText>
      </w:r>
      <w:r>
        <w:instrText xml:space="preserve">" </w:instrText>
      </w:r>
      <w:r>
        <w:rPr>
          <w:i/>
        </w:rPr>
        <w:fldChar w:fldCharType="end"/>
      </w:r>
      <w:r>
        <w:t xml:space="preserve">. Magistři v Rue du Fouarre, tento postup nařídili v roce 1272 jako závazný pro vědecké zkoumání osoby a intelektu v rámci pravdivé filosofie. Jedině tento postup predikující reálnou kauzalitu intelektu v nás zajišťuje, že </w:t>
      </w:r>
      <w:r w:rsidRPr="00273106">
        <w:t>víme</w:t>
      </w:r>
      <w:r>
        <w:t xml:space="preserve"> v modu esenciálně učiněného univerzálního a nutného závěru, co</w:t>
      </w:r>
      <w:r w:rsidRPr="00273106">
        <w:t xml:space="preserve"> je intelekt</w:t>
      </w:r>
      <w:r>
        <w:t xml:space="preserve"> a co</w:t>
      </w:r>
      <w:r w:rsidRPr="00273106">
        <w:t xml:space="preserve"> je duše.</w:t>
      </w:r>
      <w:r>
        <w:t xml:space="preserve"> </w:t>
      </w:r>
      <w:r w:rsidRPr="00273106">
        <w:t xml:space="preserve">Vědecky a fenomenologický zdůvodněný přechod od </w:t>
      </w:r>
      <w:r w:rsidR="00AD57F4">
        <w:t>„</w:t>
      </w:r>
      <w:r w:rsidRPr="00273106">
        <w:rPr>
          <w:i/>
        </w:rPr>
        <w:t>fieri</w:t>
      </w:r>
      <w:r w:rsidR="00AD57F4">
        <w:t>“</w:t>
      </w:r>
      <w:r>
        <w:t xml:space="preserve"> k </w:t>
      </w:r>
      <w:r w:rsidR="00AD57F4">
        <w:t>„</w:t>
      </w:r>
      <w:r w:rsidRPr="08F75040">
        <w:rPr>
          <w:i/>
        </w:rPr>
        <w:t>factum</w:t>
      </w:r>
      <w:r w:rsidR="00AD57F4">
        <w:t>“</w:t>
      </w:r>
      <w:r w:rsidRPr="00273106">
        <w:t xml:space="preserve"> potvrzuje platnost </w:t>
      </w:r>
      <w:r w:rsidR="004A58C5">
        <w:t xml:space="preserve">důkazu podle </w:t>
      </w:r>
      <w:r w:rsidR="004A58C5" w:rsidRPr="004A58C5">
        <w:rPr>
          <w:i/>
        </w:rPr>
        <w:t>Druhých Analytik</w:t>
      </w:r>
      <w:r w:rsidR="004A58C5">
        <w:t>. Důkaz začíná u intelektu v modu „</w:t>
      </w:r>
      <w:r w:rsidR="004A58C5" w:rsidRPr="00CD2893">
        <w:rPr>
          <w:i/>
        </w:rPr>
        <w:t>fieri</w:t>
      </w:r>
      <w:r w:rsidR="004A58C5">
        <w:t>“</w:t>
      </w:r>
      <w:r w:rsidR="004A58C5" w:rsidRPr="00532D4E">
        <w:t xml:space="preserve"> </w:t>
      </w:r>
      <w:r w:rsidR="004A58C5">
        <w:t>(</w:t>
      </w:r>
      <w:r w:rsidR="004A58C5" w:rsidRPr="00FE0813">
        <w:rPr>
          <w:i/>
        </w:rPr>
        <w:t>tertium genus</w:t>
      </w:r>
      <w:r w:rsidR="004A58C5">
        <w:t>) a jde k intelektu jako „</w:t>
      </w:r>
      <w:r w:rsidR="004A58C5" w:rsidRPr="00CD2893">
        <w:rPr>
          <w:i/>
        </w:rPr>
        <w:t>factum</w:t>
      </w:r>
      <w:r w:rsidR="004A58C5">
        <w:t>“ (</w:t>
      </w:r>
      <w:r w:rsidR="004A58C5">
        <w:rPr>
          <w:i/>
        </w:rPr>
        <w:t>quartum</w:t>
      </w:r>
      <w:r w:rsidR="004A58C5" w:rsidRPr="00FE0813">
        <w:rPr>
          <w:i/>
        </w:rPr>
        <w:t xml:space="preserve"> genus</w:t>
      </w:r>
      <w:r w:rsidR="004A58C5">
        <w:t xml:space="preserve">). </w:t>
      </w:r>
      <w:r w:rsidR="00ED0A86">
        <w:t>Postup sleduje nutnost gen</w:t>
      </w:r>
      <w:r w:rsidR="00B8179A">
        <w:t>e</w:t>
      </w:r>
      <w:r w:rsidR="00ED0A86">
        <w:t>rovanou skrze metafyzický</w:t>
      </w:r>
      <w:r w:rsidR="081942A4">
        <w:t xml:space="preserve"> </w:t>
      </w:r>
      <w:r>
        <w:t>dativ</w:t>
      </w:r>
      <w:r>
        <w:fldChar w:fldCharType="begin"/>
      </w:r>
      <w:r>
        <w:instrText xml:space="preserve"> XE "</w:instrText>
      </w:r>
      <w:r w:rsidR="081942A4">
        <w:rPr>
          <w:i/>
        </w:rPr>
        <w:instrText>dativus metaphysi</w:instrText>
      </w:r>
      <w:r w:rsidRPr="08B415E3">
        <w:rPr>
          <w:i/>
        </w:rPr>
        <w:instrText>cus</w:instrText>
      </w:r>
      <w:r>
        <w:instrText xml:space="preserve">" </w:instrText>
      </w:r>
      <w:r>
        <w:fldChar w:fldCharType="end"/>
      </w:r>
      <w:r>
        <w:t xml:space="preserve">. Fenomenologický popis poznání jde od reálného dění </w:t>
      </w:r>
      <w:r w:rsidRPr="002B736A">
        <w:rPr>
          <w:i/>
        </w:rPr>
        <w:t>anima intellectiva</w:t>
      </w:r>
      <w:r>
        <w:t xml:space="preserve">, které je existenciálně </w:t>
      </w:r>
      <w:r w:rsidRPr="00273106">
        <w:t xml:space="preserve">dané a zakoušené </w:t>
      </w:r>
      <w:r w:rsidRPr="00273106">
        <w:rPr>
          <w:i/>
        </w:rPr>
        <w:t>per prius</w:t>
      </w:r>
      <w:r>
        <w:rPr>
          <w:i/>
        </w:rPr>
        <w:t xml:space="preserve"> </w:t>
      </w:r>
      <w:r w:rsidRPr="08A212E1">
        <w:t>(</w:t>
      </w:r>
      <w:r w:rsidRPr="00273106">
        <w:rPr>
          <w:i/>
          <w:lang w:eastAsia="en-US"/>
        </w:rPr>
        <w:t>scire enim actiones animae prius est</w:t>
      </w:r>
      <w:r w:rsidRPr="08A212E1">
        <w:t>)</w:t>
      </w:r>
      <w:r w:rsidR="08326747">
        <w:t>. D</w:t>
      </w:r>
      <w:r>
        <w:t>ruh</w:t>
      </w:r>
      <w:r w:rsidR="08326747">
        <w:t xml:space="preserve">ý </w:t>
      </w:r>
      <w:r>
        <w:t xml:space="preserve">krok jde </w:t>
      </w:r>
      <w:r w:rsidR="08104A11">
        <w:t>k </w:t>
      </w:r>
      <w:r w:rsidRPr="00273106">
        <w:rPr>
          <w:i/>
        </w:rPr>
        <w:t>per posterius</w:t>
      </w:r>
      <w:r w:rsidRPr="00273106">
        <w:t xml:space="preserve"> poznané </w:t>
      </w:r>
      <w:r w:rsidR="00971AE0">
        <w:t xml:space="preserve">esenci </w:t>
      </w:r>
      <w:r w:rsidR="08104A11">
        <w:t xml:space="preserve">intelektuální duše </w:t>
      </w:r>
      <w:r w:rsidRPr="00273106">
        <w:t>(</w:t>
      </w:r>
      <w:r w:rsidRPr="00273106">
        <w:rPr>
          <w:i/>
          <w:lang w:eastAsia="en-US"/>
        </w:rPr>
        <w:t>scire eius substantiam</w:t>
      </w:r>
      <w:r w:rsidRPr="00273106">
        <w:t xml:space="preserve">). </w:t>
      </w:r>
      <w:r>
        <w:t xml:space="preserve">Kauzou jsme my sami, protože poznáváme, když sami chceme, a ne proto, že se s námi spojuje nějaký externí intelekt. Také nepoznáváme jen jako zvířata, protože náš </w:t>
      </w:r>
      <w:r w:rsidRPr="00E8267F">
        <w:rPr>
          <w:i/>
        </w:rPr>
        <w:t xml:space="preserve">intellectus </w:t>
      </w:r>
      <w:r>
        <w:rPr>
          <w:i/>
        </w:rPr>
        <w:t xml:space="preserve">possibilis </w:t>
      </w:r>
      <w:r>
        <w:t xml:space="preserve">je vůči smyslům daný zvnějšku, tedy v modu </w:t>
      </w:r>
      <w:r w:rsidRPr="00F20C46">
        <w:rPr>
          <w:i/>
        </w:rPr>
        <w:t>separabilis</w:t>
      </w:r>
      <w:r>
        <w:t xml:space="preserve"> a </w:t>
      </w:r>
      <w:r w:rsidRPr="00F20C46">
        <w:rPr>
          <w:i/>
        </w:rPr>
        <w:t>inmixtus</w:t>
      </w:r>
      <w:r>
        <w:rPr>
          <w:i/>
        </w:rPr>
        <w:fldChar w:fldCharType="begin"/>
      </w:r>
      <w:r>
        <w:instrText xml:space="preserve"> XE "intelekt:</w:instrText>
      </w:r>
      <w:r w:rsidRPr="00C11C2F">
        <w:rPr>
          <w:i/>
        </w:rPr>
        <w:instrText>inmixtus</w:instrText>
      </w:r>
      <w:r>
        <w:instrText xml:space="preserve">" </w:instrText>
      </w:r>
      <w:r>
        <w:rPr>
          <w:i/>
        </w:rPr>
        <w:fldChar w:fldCharType="end"/>
      </w:r>
      <w:r w:rsidR="00A05F4E">
        <w:t>.</w:t>
      </w:r>
    </w:p>
    <w:p w:rsidR="00592790" w:rsidRDefault="08163013" w:rsidP="00592790">
      <w:pPr>
        <w:ind w:firstLine="397"/>
      </w:pPr>
      <w:r>
        <w:lastRenderedPageBreak/>
        <w:t xml:space="preserve">Pozdější traktát </w:t>
      </w:r>
      <w:r w:rsidRPr="00AE0D8C">
        <w:rPr>
          <w:i/>
        </w:rPr>
        <w:t xml:space="preserve">De aeternitate </w:t>
      </w:r>
      <w:r w:rsidRPr="00133AAD">
        <w:rPr>
          <w:i/>
        </w:rPr>
        <w:t>mundi</w:t>
      </w:r>
      <w:r w:rsidRPr="00133AAD">
        <w:t xml:space="preserve"> v polemice prot</w:t>
      </w:r>
      <w:r>
        <w:t xml:space="preserve">i věčnosti </w:t>
      </w:r>
      <w:r w:rsidR="00962190" w:rsidRPr="00A72EF5">
        <w:t>species</w:t>
      </w:r>
      <w:r>
        <w:t xml:space="preserve"> ukazuje, že tento omyl modernistů typu Bonaventury a Pechama souvisí s chybným pojetím </w:t>
      </w:r>
      <w:r w:rsidRPr="00133AAD">
        <w:rPr>
          <w:i/>
        </w:rPr>
        <w:t>intellectus possibilis</w:t>
      </w:r>
      <w:r w:rsidR="0897082A">
        <w:t xml:space="preserve">. Receptivní intelekt modernistů </w:t>
      </w:r>
      <w:r>
        <w:t>zmateně integruje všechny funkce poznání</w:t>
      </w:r>
      <w:r w:rsidR="08F66FA1">
        <w:t xml:space="preserve"> a přitom „exsistuje“ </w:t>
      </w:r>
      <w:r>
        <w:t xml:space="preserve"> hypostázovaném  modu (</w:t>
      </w:r>
      <w:r w:rsidRPr="00DA0517">
        <w:rPr>
          <w:i/>
        </w:rPr>
        <w:t>cum sit possibilis sicut subiecti, est ipsius agentis ut efficientis</w:t>
      </w:r>
      <w:r>
        <w:t>).</w:t>
      </w:r>
      <w:r w:rsidRPr="00273106">
        <w:rPr>
          <w:rStyle w:val="Znakapoznpodarou"/>
          <w:lang w:eastAsia="en-US"/>
        </w:rPr>
        <w:footnoteReference w:id="239"/>
      </w:r>
      <w:r w:rsidRPr="00273106">
        <w:rPr>
          <w:lang w:eastAsia="en-US"/>
        </w:rPr>
        <w:t xml:space="preserve"> Citovaný spis </w:t>
      </w:r>
      <w:r w:rsidR="0826307B">
        <w:rPr>
          <w:lang w:eastAsia="en-US"/>
        </w:rPr>
        <w:t xml:space="preserve">Sigera </w:t>
      </w:r>
      <w:r w:rsidRPr="00273106">
        <w:rPr>
          <w:lang w:eastAsia="en-US"/>
        </w:rPr>
        <w:t>potvrzuje</w:t>
      </w:r>
      <w:r w:rsidR="0827326C">
        <w:rPr>
          <w:lang w:eastAsia="en-US"/>
        </w:rPr>
        <w:t xml:space="preserve"> s Averro</w:t>
      </w:r>
      <w:r w:rsidR="089F14D5">
        <w:rPr>
          <w:lang w:eastAsia="en-US"/>
        </w:rPr>
        <w:t>e</w:t>
      </w:r>
      <w:r w:rsidR="0827326C">
        <w:rPr>
          <w:lang w:eastAsia="en-US"/>
        </w:rPr>
        <w:t>se</w:t>
      </w:r>
      <w:r w:rsidR="089F14D5">
        <w:rPr>
          <w:lang w:eastAsia="en-US"/>
        </w:rPr>
        <w:t>m</w:t>
      </w:r>
      <w:r w:rsidRPr="00273106">
        <w:rPr>
          <w:lang w:eastAsia="en-US"/>
        </w:rPr>
        <w:t xml:space="preserve">, že </w:t>
      </w:r>
      <w:r w:rsidR="00745643">
        <w:t xml:space="preserve">univerzální významy jsou čistá potence; pouze v této formě je může přijmout </w:t>
      </w:r>
      <w:r w:rsidR="00745643" w:rsidRPr="00745643">
        <w:rPr>
          <w:i/>
        </w:rPr>
        <w:t>subiective</w:t>
      </w:r>
      <w:r w:rsidR="00745643">
        <w:t xml:space="preserve"> daný intelekt, který je čistá potence duše</w:t>
      </w:r>
      <w:r w:rsidRPr="00273106">
        <w:t xml:space="preserve"> (</w:t>
      </w:r>
      <w:r w:rsidRPr="00273106">
        <w:rPr>
          <w:i/>
        </w:rPr>
        <w:t>intellectus rei qui est in possibili, cum sit possibilis sicut subiecti</w:t>
      </w:r>
      <w:r w:rsidRPr="00273106">
        <w:t xml:space="preserve">). </w:t>
      </w:r>
      <w:r>
        <w:t xml:space="preserve">Klíčové slůvko </w:t>
      </w:r>
      <w:r w:rsidR="00745643">
        <w:t>„</w:t>
      </w:r>
      <w:r w:rsidR="00745643" w:rsidRPr="00AD2CB1">
        <w:rPr>
          <w:i/>
        </w:rPr>
        <w:t>sicut subiecti</w:t>
      </w:r>
      <w:r w:rsidR="00745643" w:rsidRPr="00745643">
        <w:t>“</w:t>
      </w:r>
      <w:r w:rsidR="00745643">
        <w:rPr>
          <w:i/>
        </w:rPr>
        <w:t xml:space="preserve"> </w:t>
      </w:r>
      <w:r>
        <w:t>upozorňuje, že intelekt není subjekt ve smyslu substance</w:t>
      </w:r>
      <w:r>
        <w:fldChar w:fldCharType="begin"/>
      </w:r>
      <w:r>
        <w:instrText xml:space="preserve"> XE "intelekt:</w:instrText>
      </w:r>
      <w:r w:rsidRPr="00F56047">
        <w:rPr>
          <w:i/>
        </w:rPr>
        <w:instrText>subiective/obiective</w:instrText>
      </w:r>
      <w:r>
        <w:instrText xml:space="preserve">" </w:instrText>
      </w:r>
      <w:r>
        <w:fldChar w:fldCharType="end"/>
      </w:r>
      <w:r>
        <w:t xml:space="preserve">, protože intelekt by byl hypostázovaná moderní </w:t>
      </w:r>
      <w:r w:rsidRPr="00DE5360">
        <w:rPr>
          <w:i/>
        </w:rPr>
        <w:t>res</w:t>
      </w:r>
      <w:r>
        <w:t>. Tím je uzvařena hermeneutická triáda porozumění poszupem od jevu k jeho příčině. Máme nemateriální obsahy vědomí (</w:t>
      </w:r>
      <w:r w:rsidRPr="08593176">
        <w:rPr>
          <w:i/>
        </w:rPr>
        <w:t>intellecta</w:t>
      </w:r>
      <w:r>
        <w:t xml:space="preserve">, </w:t>
      </w:r>
      <w:r w:rsidR="086E1DEB">
        <w:t xml:space="preserve">Heideggerův </w:t>
      </w:r>
      <w:r w:rsidRPr="08593176">
        <w:rPr>
          <w:i/>
        </w:rPr>
        <w:t>Gehaltsinn</w:t>
      </w:r>
      <w:r>
        <w:rPr>
          <w:i/>
        </w:rPr>
        <w:fldChar w:fldCharType="begin"/>
      </w:r>
      <w:r>
        <w:instrText xml:space="preserve"> XE "</w:instrText>
      </w:r>
      <w:r w:rsidRPr="08C35C46">
        <w:rPr>
          <w:i/>
        </w:rPr>
        <w:instrText>Gehaltsinn</w:instrText>
      </w:r>
      <w:r>
        <w:instrText xml:space="preserve">" </w:instrText>
      </w:r>
      <w:r>
        <w:rPr>
          <w:i/>
        </w:rPr>
        <w:fldChar w:fldCharType="end"/>
      </w:r>
      <w:r>
        <w:t>), které produkuje dvojí typ kauzality přímo zakoušené v nás (</w:t>
      </w:r>
      <w:r w:rsidRPr="08593176">
        <w:rPr>
          <w:i/>
        </w:rPr>
        <w:t>experimur</w:t>
      </w:r>
      <w:r>
        <w:t>‒</w:t>
      </w:r>
      <w:r w:rsidRPr="08593176">
        <w:rPr>
          <w:i/>
        </w:rPr>
        <w:t>consciii sumus</w:t>
      </w:r>
      <w:r>
        <w:t xml:space="preserve">, </w:t>
      </w:r>
      <w:r w:rsidR="000706F8">
        <w:rPr>
          <w:i/>
        </w:rPr>
        <w:t>Bezugsinn</w:t>
      </w:r>
      <w:r>
        <w:t xml:space="preserve">). A skrze takto dané dvojí fenonemologické „jak“ se </w:t>
      </w:r>
      <w:proofErr w:type="gramStart"/>
      <w:r>
        <w:t>dává</w:t>
      </w:r>
      <w:proofErr w:type="gramEnd"/>
      <w:r>
        <w:t xml:space="preserve"> fenomén intelektu </w:t>
      </w:r>
      <w:proofErr w:type="gramStart"/>
      <w:r>
        <w:t>jsme</w:t>
      </w:r>
      <w:proofErr w:type="gramEnd"/>
      <w:r>
        <w:t xml:space="preserve"> schopni ve vědeckém sylogismu etablovat celkový proces porozumění daný v esenciální definici intelektu (</w:t>
      </w:r>
      <w:r>
        <w:rPr>
          <w:i/>
        </w:rPr>
        <w:t>Vollzu</w:t>
      </w:r>
      <w:r w:rsidR="00764219">
        <w:rPr>
          <w:i/>
        </w:rPr>
        <w:t>gs</w:t>
      </w:r>
      <w:r w:rsidRPr="08593176">
        <w:rPr>
          <w:i/>
        </w:rPr>
        <w:t>inn</w:t>
      </w:r>
      <w:r>
        <w:rPr>
          <w:i/>
        </w:rPr>
        <w:fldChar w:fldCharType="begin"/>
      </w:r>
      <w:r>
        <w:instrText xml:space="preserve"> XE "</w:instrText>
      </w:r>
      <w:r w:rsidRPr="08C95544">
        <w:rPr>
          <w:i/>
        </w:rPr>
        <w:instrText>Vollzugsinn</w:instrText>
      </w:r>
      <w:r>
        <w:instrText xml:space="preserve">" </w:instrText>
      </w:r>
      <w:r>
        <w:rPr>
          <w:i/>
        </w:rPr>
        <w:fldChar w:fldCharType="end"/>
      </w:r>
      <w:r>
        <w:t xml:space="preserve">). Avicennisté </w:t>
      </w:r>
      <w:r w:rsidR="00DD2D36">
        <w:t xml:space="preserve">začínají </w:t>
      </w:r>
      <w:r>
        <w:t>od esence a vytvář</w:t>
      </w:r>
      <w:r w:rsidR="00DD2D36">
        <w:t xml:space="preserve">ejí teologickou, </w:t>
      </w:r>
      <w:r>
        <w:t>ideologickou nebo myto</w:t>
      </w:r>
      <w:r w:rsidR="00DD2D36">
        <w:t>logickou definici l</w:t>
      </w:r>
      <w:r w:rsidR="08AB1741">
        <w:t xml:space="preserve">idského intelektu. </w:t>
      </w:r>
      <w:r w:rsidR="08AB1741" w:rsidRPr="081942A4">
        <w:rPr>
          <w:szCs w:val="24"/>
        </w:rPr>
        <w:t>Moderna nevidí žádný rozdíl mezi existenciální zkušeností intelektu a esenciální definicí intelektu. Mrtvola je esenciálně viděno také člověk, což odmítl už Abelard (OBJ II, kap. 1.3).</w:t>
      </w:r>
      <w:r w:rsidR="08AB1741">
        <w:t xml:space="preserve"> </w:t>
      </w:r>
      <w:r>
        <w:t xml:space="preserve">Sicilská škola Komentátora </w:t>
      </w:r>
      <w:r w:rsidR="08AB1741">
        <w:t>sleduje existenciální akt duše (</w:t>
      </w:r>
      <w:r w:rsidR="08AB1741" w:rsidRPr="00273106">
        <w:t>ψυχῆς ἔργον</w:t>
      </w:r>
      <w:r w:rsidR="08AB1741">
        <w:t xml:space="preserve">, kap. 4.4.2). </w:t>
      </w:r>
      <w:r w:rsidR="08C242B5">
        <w:t>První averro</w:t>
      </w:r>
      <w:r w:rsidR="08AB1741">
        <w:t>i</w:t>
      </w:r>
      <w:r w:rsidR="08C242B5">
        <w:t>s</w:t>
      </w:r>
      <w:r w:rsidR="08AB1741">
        <w:t>mus není vedený mytopoetickým vědě</w:t>
      </w:r>
      <w:r>
        <w:t xml:space="preserve">ním manipulovaným </w:t>
      </w:r>
      <w:r w:rsidR="08DB3AED">
        <w:t xml:space="preserve">akademicky vzdělanými </w:t>
      </w:r>
      <w:r>
        <w:t>Fúriemi</w:t>
      </w:r>
      <w:r w:rsidR="08DB3AED">
        <w:t>. Kritické vidění</w:t>
      </w:r>
      <w:r>
        <w:t xml:space="preserve"> </w:t>
      </w:r>
      <w:r w:rsidR="08DB3AED">
        <w:t xml:space="preserve">sleduje cestu reálných </w:t>
      </w:r>
      <w:r>
        <w:t xml:space="preserve">fenoménů, které </w:t>
      </w:r>
      <w:r w:rsidR="00803946">
        <w:t xml:space="preserve">filosofie musí </w:t>
      </w:r>
      <w:r>
        <w:t>zachránit</w:t>
      </w:r>
      <w:r w:rsidR="00803946">
        <w:t>, aby mohla vytvořit pravdivé poznání</w:t>
      </w:r>
      <w:r w:rsidR="00381ED3">
        <w:t>. Proto Siger a jeho škola bránili</w:t>
      </w:r>
      <w:r>
        <w:t xml:space="preserve"> slovem a skutkem filosofii jako první vědu o reálném stavu světa. Ilumináti museli zničit tuto pravdivou výpoveď o jednotě osoby a jejího intelektuálního poznání. Latinští sofisté toho dosáhli plně racionálně</w:t>
      </w:r>
      <w:r w:rsidR="00DE1B70">
        <w:t xml:space="preserve"> a objektivně</w:t>
      </w:r>
      <w:r>
        <w:t>.</w:t>
      </w:r>
      <w:r w:rsidRPr="080461C4">
        <w:t xml:space="preserve"> </w:t>
      </w:r>
      <w:r w:rsidR="00DE1B70">
        <w:t>Tempierův dekret z března 1277</w:t>
      </w:r>
      <w:r w:rsidR="00DE1B70">
        <w:fldChar w:fldCharType="begin"/>
      </w:r>
      <w:r w:rsidR="00DE1B70">
        <w:instrText xml:space="preserve"> XE "</w:instrText>
      </w:r>
      <w:r w:rsidR="00DE1B70" w:rsidRPr="085E40FF">
        <w:instrText>odsouzení 1277</w:instrText>
      </w:r>
      <w:r w:rsidR="00DE1B70">
        <w:instrText xml:space="preserve">" </w:instrText>
      </w:r>
      <w:r w:rsidR="00DE1B70">
        <w:fldChar w:fldCharType="end"/>
      </w:r>
      <w:r w:rsidR="00DE1B70">
        <w:t xml:space="preserve"> se stal f</w:t>
      </w:r>
      <w:r>
        <w:t>ilosofickou agorou</w:t>
      </w:r>
      <w:r w:rsidR="00DE1B70">
        <w:t xml:space="preserve">, která </w:t>
      </w:r>
      <w:r>
        <w:t xml:space="preserve">múzicky </w:t>
      </w:r>
      <w:r w:rsidR="00DE1B70">
        <w:t xml:space="preserve">manifestovala </w:t>
      </w:r>
      <w:r>
        <w:t>gigantomachii osoby jako jedné substanc</w:t>
      </w:r>
      <w:r w:rsidR="00DE1B70">
        <w:t>e</w:t>
      </w:r>
      <w:r>
        <w:t xml:space="preserve">. Fúrie </w:t>
      </w:r>
      <w:r w:rsidR="00DE1B70">
        <w:t xml:space="preserve">v subjeitivním převleku </w:t>
      </w:r>
      <w:r>
        <w:t>zůstaly neusmířeny</w:t>
      </w:r>
      <w:r w:rsidR="00DE1B70">
        <w:t xml:space="preserve">. V </w:t>
      </w:r>
      <w:r>
        <w:t xml:space="preserve">církvi tehdy chyběli moudří lidé schopní </w:t>
      </w:r>
      <w:r w:rsidR="00DE1B70">
        <w:t>vidět archaickou</w:t>
      </w:r>
      <w:r>
        <w:t xml:space="preserve"> </w:t>
      </w:r>
      <w:r w:rsidRPr="080461C4">
        <w:rPr>
          <w:i/>
        </w:rPr>
        <w:t>alétheia</w:t>
      </w:r>
      <w:r w:rsidR="00DE1B70">
        <w:t xml:space="preserve">, </w:t>
      </w:r>
      <w:r w:rsidR="00DE1B70">
        <w:lastRenderedPageBreak/>
        <w:t xml:space="preserve">která manifestovala </w:t>
      </w:r>
      <w:r>
        <w:t>původní smysl tohoto zásadního sporu</w:t>
      </w:r>
      <w:r w:rsidR="00DE1B70">
        <w:t xml:space="preserve">. Touto osobou byl v </w:t>
      </w:r>
      <w:r>
        <w:t xml:space="preserve">předešlé generaci pařížský biskup Alvernus. </w:t>
      </w:r>
      <w:r w:rsidR="00555193">
        <w:t>Tímto epochálním omylem (</w:t>
      </w:r>
      <w:r w:rsidR="00555193" w:rsidRPr="003E5B47">
        <w:rPr>
          <w:i/>
        </w:rPr>
        <w:t>Irrtum</w:t>
      </w:r>
      <w:r w:rsidR="003E5B47">
        <w:rPr>
          <w:i/>
        </w:rPr>
        <w:fldChar w:fldCharType="begin"/>
      </w:r>
      <w:r w:rsidR="003E5B47">
        <w:instrText xml:space="preserve"> XE "</w:instrText>
      </w:r>
      <w:r w:rsidR="003E5B47" w:rsidRPr="0041402D">
        <w:rPr>
          <w:i/>
        </w:rPr>
        <w:instrText>Irrtum</w:instrText>
      </w:r>
      <w:r w:rsidR="003E5B47">
        <w:instrText xml:space="preserve">" </w:instrText>
      </w:r>
      <w:r w:rsidR="003E5B47">
        <w:rPr>
          <w:i/>
        </w:rPr>
        <w:fldChar w:fldCharType="end"/>
      </w:r>
      <w:r w:rsidR="00555193">
        <w:t xml:space="preserve">) je dáno základní objektivní </w:t>
      </w:r>
      <w:r w:rsidR="00555193" w:rsidRPr="00555193">
        <w:rPr>
          <w:i/>
        </w:rPr>
        <w:t>factum</w:t>
      </w:r>
      <w:r w:rsidR="00555193">
        <w:t xml:space="preserve"> moderny a moderny, které vyústilo do </w:t>
      </w:r>
      <w:r>
        <w:t>nihilistické filosofi</w:t>
      </w:r>
      <w:r w:rsidR="00555193">
        <w:t>e dneška (</w:t>
      </w:r>
      <w:r w:rsidR="00555193" w:rsidRPr="00555193">
        <w:rPr>
          <w:i/>
        </w:rPr>
        <w:t>Irre</w:t>
      </w:r>
      <w:r w:rsidR="003E5B47">
        <w:rPr>
          <w:i/>
        </w:rPr>
        <w:fldChar w:fldCharType="begin"/>
      </w:r>
      <w:r w:rsidR="003E5B47">
        <w:instrText xml:space="preserve"> XE "</w:instrText>
      </w:r>
      <w:r w:rsidR="003E5B47" w:rsidRPr="00822C0A">
        <w:rPr>
          <w:i/>
        </w:rPr>
        <w:instrText>Irre</w:instrText>
      </w:r>
      <w:r w:rsidR="003E5B47">
        <w:instrText xml:space="preserve">" </w:instrText>
      </w:r>
      <w:r w:rsidR="003E5B47">
        <w:rPr>
          <w:i/>
        </w:rPr>
        <w:fldChar w:fldCharType="end"/>
      </w:r>
      <w:r w:rsidR="00555193">
        <w:t>). Schizofrenická osoba rozpadlá na několik mytologických substancí se nakonec změnila v rozdíl binární jedničk</w:t>
      </w:r>
      <w:r w:rsidR="003E5B47">
        <w:t xml:space="preserve">y a nuly. </w:t>
      </w:r>
      <w:r>
        <w:t>Jedinečné místo Sigera ve filosofii latinsk</w:t>
      </w:r>
      <w:r w:rsidRPr="08593176">
        <w:t xml:space="preserve">ého Západu </w:t>
      </w:r>
      <w:r>
        <w:t>u</w:t>
      </w:r>
      <w:r w:rsidR="08411BF7">
        <w:t>kázal</w:t>
      </w:r>
      <w:r w:rsidRPr="08593176">
        <w:t xml:space="preserve"> </w:t>
      </w:r>
      <w:r w:rsidR="08411BF7">
        <w:t>Dante pod vedením apollinských Múz</w:t>
      </w:r>
      <w:r w:rsidR="08930942">
        <w:t xml:space="preserve">. Čestný titul </w:t>
      </w:r>
      <w:r w:rsidRPr="089A6EFF">
        <w:rPr>
          <w:i/>
        </w:rPr>
        <w:t>Doctor Invidiosus</w:t>
      </w:r>
      <w:r w:rsidR="08930942">
        <w:t xml:space="preserve"> ukazuje v modu apollinské </w:t>
      </w:r>
      <w:r w:rsidR="00596066">
        <w:t>ne/</w:t>
      </w:r>
      <w:r w:rsidR="08930942">
        <w:t xml:space="preserve">pravdy plnou </w:t>
      </w:r>
      <w:r w:rsidR="08930942" w:rsidRPr="08930942">
        <w:rPr>
          <w:i/>
        </w:rPr>
        <w:t>a/létheia</w:t>
      </w:r>
      <w:r w:rsidR="08930942">
        <w:t xml:space="preserve"> </w:t>
      </w:r>
      <w:r w:rsidR="082E4841">
        <w:t xml:space="preserve">jeho </w:t>
      </w:r>
      <w:r w:rsidR="08930942">
        <w:t xml:space="preserve">filosofie. </w:t>
      </w:r>
      <w:r w:rsidR="00596066">
        <w:t>Božská komedie Múz a Fúrií</w:t>
      </w:r>
      <w:r>
        <w:t xml:space="preserve"> je provozovaná skrze hermeneutickou kategorii </w:t>
      </w:r>
      <w:r w:rsidRPr="08DF38B8">
        <w:rPr>
          <w:i/>
        </w:rPr>
        <w:t>dativus</w:t>
      </w:r>
      <w:r>
        <w:rPr>
          <w:i/>
        </w:rPr>
        <w:t xml:space="preserve"> modi</w:t>
      </w:r>
      <w:r>
        <w:rPr>
          <w:i/>
        </w:rPr>
        <w:fldChar w:fldCharType="begin"/>
      </w:r>
      <w:r>
        <w:instrText xml:space="preserve"> XE "</w:instrText>
      </w:r>
      <w:r w:rsidRPr="08837797">
        <w:rPr>
          <w:i/>
        </w:rPr>
        <w:instrText>dativus</w:instrText>
      </w:r>
      <w:r>
        <w:rPr>
          <w:i/>
        </w:rPr>
        <w:instrText xml:space="preserve"> modi</w:instrText>
      </w:r>
      <w:r>
        <w:instrText xml:space="preserve">" </w:instrText>
      </w:r>
      <w:r>
        <w:rPr>
          <w:i/>
        </w:rPr>
        <w:fldChar w:fldCharType="end"/>
      </w:r>
      <w:r w:rsidR="08FD0CAB">
        <w:t xml:space="preserve"> (kap. 4</w:t>
      </w:r>
      <w:r>
        <w:t xml:space="preserve">). </w:t>
      </w:r>
      <w:r w:rsidR="002344E4">
        <w:t>Modalita intelektuálního porozumění v rámci osoby je dána buď pravdivě a tím aristotelsky, nebo schizofrenicky a tím moderně. Filosofie musí zachránit původní fenomén Sigera</w:t>
      </w:r>
      <w:r w:rsidR="00355A50">
        <w:t xml:space="preserve"> jako skutečného averroisty </w:t>
      </w:r>
      <w:r w:rsidR="002344E4">
        <w:t xml:space="preserve">před </w:t>
      </w:r>
      <w:r w:rsidR="00355A50">
        <w:t xml:space="preserve">tragikomickým </w:t>
      </w:r>
      <w:r w:rsidR="002344E4">
        <w:t>Sigerem</w:t>
      </w:r>
      <w:r w:rsidR="00355A50">
        <w:t xml:space="preserve"> jako </w:t>
      </w:r>
      <w:r w:rsidR="00D10980">
        <w:t xml:space="preserve">moderním </w:t>
      </w:r>
      <w:r w:rsidR="00355A50">
        <w:t>averroistou</w:t>
      </w:r>
      <w:r w:rsidR="002344E4">
        <w:t>. Proto je třeba znovu jít na filosofickou agoru a provést kategorickou obžalobu</w:t>
      </w:r>
      <w:r>
        <w:t xml:space="preserve"> </w:t>
      </w:r>
      <w:r w:rsidR="0052100E">
        <w:t>(</w:t>
      </w:r>
      <w:r w:rsidR="0052100E" w:rsidRPr="0052100E">
        <w:t>κατηγορέω</w:t>
      </w:r>
      <w:r w:rsidR="0052100E">
        <w:t xml:space="preserve">) </w:t>
      </w:r>
      <w:r w:rsidR="00DC320A">
        <w:t xml:space="preserve">božské </w:t>
      </w:r>
      <w:r>
        <w:t xml:space="preserve">komedie </w:t>
      </w:r>
      <w:r w:rsidR="002344E4">
        <w:t xml:space="preserve">skrze správnou formu </w:t>
      </w:r>
      <w:r w:rsidR="0052100E">
        <w:t xml:space="preserve">kategoriální </w:t>
      </w:r>
      <w:r w:rsidR="002344E4">
        <w:t>p</w:t>
      </w:r>
      <w:r w:rsidR="0052100E">
        <w:t>redikace</w:t>
      </w:r>
      <w:r w:rsidR="002344E4">
        <w:t xml:space="preserve">. </w:t>
      </w:r>
      <w:r w:rsidR="00DC320A">
        <w:t xml:space="preserve">Četba pythického „averroisty“ Sigera </w:t>
      </w:r>
      <w:r w:rsidR="002344E4">
        <w:t>musí nutně vyjít z kauzálně určeného fenoménu</w:t>
      </w:r>
      <w:r w:rsidR="0052100E">
        <w:t xml:space="preserve"> </w:t>
      </w:r>
      <w:r w:rsidR="002344E4">
        <w:t xml:space="preserve">intelektuálního porozumění, a ne z modernistických </w:t>
      </w:r>
      <w:r w:rsidR="00DC320A">
        <w:t>bludů</w:t>
      </w:r>
      <w:r w:rsidR="002344E4">
        <w:t>.</w:t>
      </w:r>
      <w:r w:rsidR="00DC320A">
        <w:t xml:space="preserve"> Je třeba </w:t>
      </w:r>
      <w:r>
        <w:t xml:space="preserve">nezastřeně </w:t>
      </w:r>
      <w:r w:rsidR="00DC320A">
        <w:t xml:space="preserve">vyložit </w:t>
      </w:r>
      <w:r>
        <w:t>jak múzickou tak manickou formu božské komedie</w:t>
      </w:r>
      <w:r w:rsidR="00BE36BC">
        <w:t>, kterou vyložil Dante</w:t>
      </w:r>
      <w:r w:rsidR="00CB4E96">
        <w:t>. P</w:t>
      </w:r>
      <w:r>
        <w:t xml:space="preserve">rvní forma </w:t>
      </w:r>
      <w:r w:rsidR="00CB4E96">
        <w:t xml:space="preserve">božské </w:t>
      </w:r>
      <w:r w:rsidR="00BE36BC">
        <w:t>prav</w:t>
      </w:r>
      <w:r w:rsidR="085B7720">
        <w:t xml:space="preserve">dy </w:t>
      </w:r>
      <w:r>
        <w:t>je pravdivá a skrytá</w:t>
      </w:r>
      <w:r w:rsidR="00BE36BC">
        <w:t xml:space="preserve"> v modu </w:t>
      </w:r>
      <w:r w:rsidR="00BE36BC" w:rsidRPr="00BE36BC">
        <w:rPr>
          <w:i/>
        </w:rPr>
        <w:t>obiective</w:t>
      </w:r>
      <w:r w:rsidR="00BE36BC">
        <w:t xml:space="preserve">; </w:t>
      </w:r>
      <w:r>
        <w:t xml:space="preserve">druhá forma </w:t>
      </w:r>
      <w:r w:rsidR="00CB4E96">
        <w:t xml:space="preserve">démonického </w:t>
      </w:r>
      <w:r w:rsidR="085B7720">
        <w:t xml:space="preserve">omylu </w:t>
      </w:r>
      <w:r>
        <w:t>je tragická a plně odkrytá</w:t>
      </w:r>
      <w:r w:rsidR="00BE36BC">
        <w:t xml:space="preserve"> v modu objektivity</w:t>
      </w:r>
      <w:r>
        <w:t xml:space="preserve">. Obě formy </w:t>
      </w:r>
      <w:r w:rsidR="085B7720">
        <w:t xml:space="preserve">dějinnosti </w:t>
      </w:r>
      <w:r>
        <w:t xml:space="preserve">dnes tvoří v modu </w:t>
      </w:r>
      <w:r w:rsidRPr="081E0BF7">
        <w:rPr>
          <w:i/>
        </w:rPr>
        <w:t>a/létheia</w:t>
      </w:r>
      <w:r>
        <w:t xml:space="preserve"> osud Západu, </w:t>
      </w:r>
      <w:r w:rsidR="00BE36BC">
        <w:t xml:space="preserve">dnes </w:t>
      </w:r>
      <w:r>
        <w:t>již nejen latinského.</w:t>
      </w:r>
    </w:p>
    <w:p w:rsidR="08163013" w:rsidRDefault="08163013" w:rsidP="00592790">
      <w:pPr>
        <w:ind w:firstLine="397"/>
      </w:pPr>
      <w:r>
        <w:t xml:space="preserve"> </w:t>
      </w:r>
      <w:r>
        <w:tab/>
        <w:t xml:space="preserve">První část </w:t>
      </w:r>
      <w:r w:rsidR="00BE37B0">
        <w:t xml:space="preserve">QIIIDA </w:t>
      </w:r>
      <w:r w:rsidRPr="00273106">
        <w:t xml:space="preserve">je naprosto </w:t>
      </w:r>
      <w:r w:rsidR="00BE37B0">
        <w:t>nezbytná pro pochopení Sigerovy filosofie</w:t>
      </w:r>
      <w:r>
        <w:t xml:space="preserve">. </w:t>
      </w:r>
      <w:r w:rsidRPr="00273106">
        <w:t>Znovu je třeba mít na mysli architektonickou výstavbu všech čtyř částí traktátu</w:t>
      </w:r>
      <w:r w:rsidR="085B7720">
        <w:t xml:space="preserve"> danou v úvodu (kap. 4</w:t>
      </w:r>
      <w:r>
        <w:t>.4.1)</w:t>
      </w:r>
      <w:r w:rsidRPr="00273106">
        <w:t xml:space="preserve">. </w:t>
      </w:r>
      <w:r w:rsidR="00592790" w:rsidRPr="00592790">
        <w:t xml:space="preserve">Komentátor správně sledoval </w:t>
      </w:r>
      <w:r w:rsidR="00592790" w:rsidRPr="00592790">
        <w:rPr>
          <w:i/>
        </w:rPr>
        <w:t>De anima</w:t>
      </w:r>
      <w:r w:rsidR="00592790" w:rsidRPr="00592790">
        <w:t xml:space="preserve"> o</w:t>
      </w:r>
      <w:r w:rsidR="00592790">
        <w:t>d začátku (DA I–</w:t>
      </w:r>
      <w:r w:rsidR="00592790" w:rsidRPr="00592790">
        <w:t xml:space="preserve">II) až do konce (DA III). Stejným způsobem je třeba </w:t>
      </w:r>
      <w:r w:rsidR="00592790">
        <w:t xml:space="preserve">procházet </w:t>
      </w:r>
      <w:r w:rsidR="00592790" w:rsidRPr="00592790">
        <w:t xml:space="preserve">i </w:t>
      </w:r>
      <w:r w:rsidR="00592790">
        <w:t xml:space="preserve">spis QIIIDA. </w:t>
      </w:r>
      <w:r w:rsidRPr="00273106">
        <w:t xml:space="preserve">Receptivita intelektu daná a zakoušená </w:t>
      </w:r>
      <w:r>
        <w:t xml:space="preserve">individuálním aktem intencionality </w:t>
      </w:r>
      <w:r w:rsidRPr="00273106">
        <w:t>(</w:t>
      </w:r>
      <w:r w:rsidRPr="00273106">
        <w:rPr>
          <w:i/>
        </w:rPr>
        <w:t>experimur</w:t>
      </w:r>
      <w:r w:rsidRPr="00273106">
        <w:t xml:space="preserve">) musí být nutně podržena i v rámci </w:t>
      </w:r>
      <w:r w:rsidR="00E02672">
        <w:t>abstrahovaných</w:t>
      </w:r>
      <w:r>
        <w:t xml:space="preserve"> univerzální</w:t>
      </w:r>
      <w:r w:rsidR="00E02672">
        <w:t>ch</w:t>
      </w:r>
      <w:r>
        <w:t xml:space="preserve"> </w:t>
      </w:r>
      <w:r w:rsidR="00962190" w:rsidRPr="00E02672">
        <w:t>species</w:t>
      </w:r>
      <w:r>
        <w:t xml:space="preserve"> </w:t>
      </w:r>
      <w:r w:rsidRPr="00273106">
        <w:t>(</w:t>
      </w:r>
      <w:r w:rsidRPr="00273106">
        <w:rPr>
          <w:i/>
        </w:rPr>
        <w:t>conscii sumus</w:t>
      </w:r>
      <w:r w:rsidRPr="00273106">
        <w:t xml:space="preserve">). </w:t>
      </w:r>
      <w:r>
        <w:t xml:space="preserve">Nyní </w:t>
      </w:r>
      <w:r w:rsidRPr="00273106">
        <w:t>můžeme přis</w:t>
      </w:r>
      <w:r>
        <w:t>toupit k typicky averroistické</w:t>
      </w:r>
      <w:r w:rsidRPr="00273106">
        <w:t xml:space="preserve"> spekulaci CMDA </w:t>
      </w:r>
      <w:proofErr w:type="gramStart"/>
      <w:r w:rsidRPr="00273106">
        <w:t>III.5 o věčnosti</w:t>
      </w:r>
      <w:proofErr w:type="gramEnd"/>
      <w:r w:rsidRPr="00273106">
        <w:t xml:space="preserve"> </w:t>
      </w:r>
      <w:r w:rsidRPr="00273106">
        <w:rPr>
          <w:i/>
        </w:rPr>
        <w:t xml:space="preserve">intellectus possibilis </w:t>
      </w:r>
      <w:r w:rsidRPr="00273106">
        <w:t>(</w:t>
      </w:r>
      <w:r w:rsidR="08955CE5">
        <w:t xml:space="preserve">OBJ I, </w:t>
      </w:r>
      <w:r w:rsidRPr="00273106">
        <w:t xml:space="preserve">kap. 2.4.3). </w:t>
      </w:r>
      <w:r>
        <w:t>Obecné určení intelektu je možné rozbírat až nyní, po dokončeném důk</w:t>
      </w:r>
      <w:r w:rsidR="08792758">
        <w:t xml:space="preserve">azu podle </w:t>
      </w:r>
      <w:r w:rsidR="08792758" w:rsidRPr="08792758">
        <w:rPr>
          <w:i/>
        </w:rPr>
        <w:t>operatio</w:t>
      </w:r>
      <w:r w:rsidR="08792758">
        <w:t xml:space="preserve"> </w:t>
      </w:r>
      <w:r>
        <w:t xml:space="preserve">intelektu. Intelektuální poznání </w:t>
      </w:r>
      <w:r w:rsidR="00962190">
        <w:rPr>
          <w:i/>
        </w:rPr>
        <w:t>species</w:t>
      </w:r>
      <w:r>
        <w:t xml:space="preserve"> bude trvat</w:t>
      </w:r>
      <w:r w:rsidRPr="00273106">
        <w:t xml:space="preserve"> tak dlouho, dokud </w:t>
      </w:r>
      <w:r>
        <w:t>bude existovat</w:t>
      </w:r>
      <w:r w:rsidRPr="00273106">
        <w:t xml:space="preserve"> filosofie jako způsob vědeckého poznání </w:t>
      </w:r>
      <w:r>
        <w:t xml:space="preserve">založeného na </w:t>
      </w:r>
      <w:r w:rsidR="005B1CE2">
        <w:t xml:space="preserve">osobně </w:t>
      </w:r>
      <w:r>
        <w:t xml:space="preserve">zakoušeném </w:t>
      </w:r>
      <w:r w:rsidRPr="00273106">
        <w:rPr>
          <w:i/>
        </w:rPr>
        <w:t>intellectus possibilis</w:t>
      </w:r>
      <w:r>
        <w:rPr>
          <w:i/>
        </w:rPr>
        <w:fldChar w:fldCharType="begin"/>
      </w:r>
      <w:r>
        <w:instrText xml:space="preserve"> XE "</w:instrText>
      </w:r>
      <w:r w:rsidRPr="00B047EA">
        <w:rPr>
          <w:i/>
        </w:rPr>
        <w:instrText>intellectus possibilis:</w:instrText>
      </w:r>
      <w:r w:rsidRPr="000C4753">
        <w:instrText>Siger</w:instrText>
      </w:r>
      <w:r>
        <w:instrText xml:space="preserve">" </w:instrText>
      </w:r>
      <w:r>
        <w:rPr>
          <w:i/>
        </w:rPr>
        <w:fldChar w:fldCharType="end"/>
      </w:r>
      <w:r w:rsidRPr="00273106">
        <w:t xml:space="preserve">. </w:t>
      </w:r>
      <w:r>
        <w:t xml:space="preserve">Následující citát čtou moderní averroisté tak, že dělají z </w:t>
      </w:r>
      <w:r w:rsidRPr="007C4C00">
        <w:rPr>
          <w:i/>
        </w:rPr>
        <w:t>intellectus possibilis</w:t>
      </w:r>
      <w:r>
        <w:t xml:space="preserve"> substanci. Předešlé vývody ukázaly, že to v žádném případě není </w:t>
      </w:r>
      <w:r>
        <w:lastRenderedPageBreak/>
        <w:t>Sigerova pozice.</w:t>
      </w:r>
      <w:r w:rsidR="00012AC1">
        <w:t xml:space="preserve"> Ten </w:t>
      </w:r>
      <w:r w:rsidR="00012AC1" w:rsidRPr="00273106">
        <w:t xml:space="preserve">v tomto bodě potvrzuje </w:t>
      </w:r>
      <w:r w:rsidR="00012AC1">
        <w:t xml:space="preserve">Averroesovu pozici ohledně podstaty intelektu jako </w:t>
      </w:r>
      <w:r w:rsidR="00012AC1" w:rsidRPr="009F1971">
        <w:rPr>
          <w:i/>
        </w:rPr>
        <w:t xml:space="preserve">quartum </w:t>
      </w:r>
      <w:r w:rsidR="00012AC1">
        <w:rPr>
          <w:i/>
        </w:rPr>
        <w:t>genus</w:t>
      </w:r>
      <w:r w:rsidR="00012AC1">
        <w:rPr>
          <w:i/>
        </w:rPr>
        <w:fldChar w:fldCharType="begin"/>
      </w:r>
      <w:r w:rsidR="00012AC1">
        <w:instrText xml:space="preserve"> XE "</w:instrText>
      </w:r>
      <w:r w:rsidR="00012AC1" w:rsidRPr="00191848">
        <w:rPr>
          <w:i/>
        </w:rPr>
        <w:instrText>quartum genus</w:instrText>
      </w:r>
      <w:r w:rsidR="00012AC1">
        <w:instrText xml:space="preserve">" </w:instrText>
      </w:r>
      <w:r w:rsidR="00012AC1">
        <w:rPr>
          <w:i/>
        </w:rPr>
        <w:fldChar w:fldCharType="end"/>
      </w:r>
      <w:r w:rsidR="00012AC1" w:rsidRPr="00273106">
        <w:t>.</w:t>
      </w:r>
      <w:r w:rsidR="00012AC1">
        <w:t xml:space="preserve"> </w:t>
      </w:r>
    </w:p>
    <w:p w:rsidR="08163013" w:rsidRDefault="08163013" w:rsidP="08163013">
      <w:pPr>
        <w:pStyle w:val="Citace"/>
        <w:rPr>
          <w:lang w:val="cs-CZ"/>
        </w:rPr>
      </w:pPr>
      <w:r w:rsidRPr="009F1971">
        <w:t>„</w:t>
      </w:r>
      <w:r>
        <w:rPr>
          <w:lang w:val="cs-CZ"/>
        </w:rPr>
        <w:t xml:space="preserve">Komentátor to řeší takto: </w:t>
      </w:r>
      <w:r w:rsidR="00632802" w:rsidRPr="00632802">
        <w:rPr>
          <w:lang w:val="cs-CZ"/>
        </w:rPr>
        <w:t>jeden intelekt je spojen s lidským druhem</w:t>
      </w:r>
      <w:r w:rsidR="00D37754">
        <w:rPr>
          <w:lang w:val="cs-CZ"/>
        </w:rPr>
        <w:t xml:space="preserve"> </w:t>
      </w:r>
      <w:r w:rsidR="00D37754">
        <w:t>(</w:t>
      </w:r>
      <w:r w:rsidR="00D37754" w:rsidRPr="00664C48">
        <w:rPr>
          <w:i/>
        </w:rPr>
        <w:t>copulatur humanae speciei</w:t>
      </w:r>
      <w:r w:rsidR="00D37754">
        <w:t>)</w:t>
      </w:r>
      <w:r w:rsidR="00632802" w:rsidRPr="00632802">
        <w:rPr>
          <w:lang w:val="cs-CZ"/>
        </w:rPr>
        <w:t xml:space="preserve"> a druhý intelekt je spojen s existující osobou prostřednictví</w:t>
      </w:r>
      <w:r w:rsidR="00632802">
        <w:rPr>
          <w:lang w:val="cs-CZ"/>
        </w:rPr>
        <w:t>m poznávací formy osobní</w:t>
      </w:r>
      <w:r w:rsidR="009D6D7E">
        <w:rPr>
          <w:lang w:val="cs-CZ"/>
        </w:rPr>
        <w:t>ch</w:t>
      </w:r>
      <w:r w:rsidR="00632802">
        <w:rPr>
          <w:lang w:val="cs-CZ"/>
        </w:rPr>
        <w:t xml:space="preserve"> species</w:t>
      </w:r>
      <w:r w:rsidR="00D37754">
        <w:rPr>
          <w:lang w:val="cs-CZ"/>
        </w:rPr>
        <w:t xml:space="preserve"> </w:t>
      </w:r>
      <w:r w:rsidR="00D37754">
        <w:t>(</w:t>
      </w:r>
      <w:r w:rsidR="00D37754" w:rsidRPr="00664C48">
        <w:rPr>
          <w:i/>
        </w:rPr>
        <w:t>copulatur huic individuo humanae speciei</w:t>
      </w:r>
      <w:r w:rsidR="00D37754">
        <w:t>)</w:t>
      </w:r>
      <w:r w:rsidR="00632802" w:rsidRPr="00632802">
        <w:rPr>
          <w:lang w:val="cs-CZ"/>
        </w:rPr>
        <w:t xml:space="preserve">. </w:t>
      </w:r>
      <w:r>
        <w:rPr>
          <w:lang w:val="cs-CZ"/>
        </w:rPr>
        <w:t>Spojení možného intelektu s lidským rodem má substanciálnější charakter (</w:t>
      </w:r>
      <w:r w:rsidRPr="009F1971">
        <w:rPr>
          <w:i/>
        </w:rPr>
        <w:t>essentialior est</w:t>
      </w:r>
      <w:r>
        <w:rPr>
          <w:lang w:val="cs-CZ"/>
        </w:rPr>
        <w:t xml:space="preserve">), než </w:t>
      </w:r>
      <w:r w:rsidR="009A6913">
        <w:rPr>
          <w:lang w:val="cs-CZ"/>
        </w:rPr>
        <w:t>spojení na úrovni osobně daných specie</w:t>
      </w:r>
      <w:r>
        <w:rPr>
          <w:lang w:val="cs-CZ"/>
        </w:rPr>
        <w:t xml:space="preserve">s. Je to dáno tím, že lidský druh je věčná </w:t>
      </w:r>
      <w:r w:rsidR="00962190" w:rsidRPr="009D6D7E">
        <w:rPr>
          <w:lang w:val="cs-CZ"/>
        </w:rPr>
        <w:t>species</w:t>
      </w:r>
      <w:r>
        <w:rPr>
          <w:lang w:val="cs-CZ"/>
        </w:rPr>
        <w:t xml:space="preserve"> a stejně musí být spojen s intelektem, který je věčný. Spojení s</w:t>
      </w:r>
      <w:r w:rsidR="00856D71">
        <w:rPr>
          <w:lang w:val="cs-CZ"/>
        </w:rPr>
        <w:t xml:space="preserve"> jednotlivou osobou </w:t>
      </w:r>
      <w:r>
        <w:rPr>
          <w:lang w:val="cs-CZ"/>
        </w:rPr>
        <w:t>v rámci lidského rodu je méně substanciální (</w:t>
      </w:r>
      <w:r w:rsidRPr="009F1971">
        <w:rPr>
          <w:i/>
        </w:rPr>
        <w:t>minus essentialis est</w:t>
      </w:r>
      <w:r w:rsidR="00563594">
        <w:rPr>
          <w:lang w:val="cs-CZ"/>
        </w:rPr>
        <w:t xml:space="preserve">). Intelekt se může </w:t>
      </w:r>
      <w:r>
        <w:rPr>
          <w:lang w:val="cs-CZ"/>
        </w:rPr>
        <w:t>odloučit</w:t>
      </w:r>
      <w:r w:rsidR="00563594">
        <w:rPr>
          <w:lang w:val="cs-CZ"/>
        </w:rPr>
        <w:t xml:space="preserve"> od jednotlivé osoby</w:t>
      </w:r>
      <w:r w:rsidR="009C2421">
        <w:rPr>
          <w:lang w:val="cs-CZ"/>
        </w:rPr>
        <w:t xml:space="preserve">, ale intelekt vázaný na lidskou species </w:t>
      </w:r>
      <w:r>
        <w:rPr>
          <w:lang w:val="cs-CZ"/>
        </w:rPr>
        <w:t>se od n</w:t>
      </w:r>
      <w:r w:rsidR="009C2421">
        <w:rPr>
          <w:lang w:val="cs-CZ"/>
        </w:rPr>
        <w:t xml:space="preserve">í </w:t>
      </w:r>
      <w:r>
        <w:rPr>
          <w:lang w:val="cs-CZ"/>
        </w:rPr>
        <w:t>nemůže nikdy odloučit</w:t>
      </w:r>
      <w:r w:rsidR="009C2421">
        <w:rPr>
          <w:lang w:val="cs-CZ"/>
        </w:rPr>
        <w:t xml:space="preserve"> (</w:t>
      </w:r>
      <w:r w:rsidR="009C2421" w:rsidRPr="00ED0858">
        <w:rPr>
          <w:i/>
        </w:rPr>
        <w:t>intellectus a specie humana numquam separetur</w:t>
      </w:r>
      <w:r w:rsidR="009C2421">
        <w:rPr>
          <w:lang w:val="cs-CZ"/>
        </w:rPr>
        <w:t>)</w:t>
      </w:r>
      <w:r>
        <w:rPr>
          <w:lang w:val="cs-CZ"/>
        </w:rPr>
        <w:t xml:space="preserve">.“ </w:t>
      </w:r>
      <w:r w:rsidRPr="00273106">
        <w:rPr>
          <w:rStyle w:val="Znakapoznpodarou"/>
        </w:rPr>
        <w:footnoteReference w:id="240"/>
      </w:r>
    </w:p>
    <w:p w:rsidR="08163013" w:rsidRDefault="08163013" w:rsidP="004E213E">
      <w:r>
        <w:t xml:space="preserve">Z předešlého výkladu vědeckého důkazu jednoty osoby a intelektu podle </w:t>
      </w:r>
      <w:r w:rsidRPr="08785CC4">
        <w:rPr>
          <w:i/>
        </w:rPr>
        <w:t xml:space="preserve">Druhých analytik </w:t>
      </w:r>
      <w:r>
        <w:t xml:space="preserve">je jasné, že text míní  </w:t>
      </w:r>
      <w:r w:rsidRPr="00A848F5">
        <w:rPr>
          <w:i/>
        </w:rPr>
        <w:t>intellectus</w:t>
      </w:r>
      <w:r>
        <w:t xml:space="preserve"> jako esenci a univerzálii, protože je vázaná na specifickou abstrakci jménem lidstvo. Lidstvo nemyslí, pouze osoba. </w:t>
      </w:r>
      <w:r w:rsidR="005C7505" w:rsidRPr="005C7505">
        <w:t>V</w:t>
      </w:r>
      <w:r w:rsidR="005C7505">
        <w:t xml:space="preserve"> latině by bylo lepší říci, že „</w:t>
      </w:r>
      <w:r w:rsidR="005C7505" w:rsidRPr="005C7505">
        <w:rPr>
          <w:i/>
        </w:rPr>
        <w:t>species humana</w:t>
      </w:r>
      <w:r w:rsidR="005C7505">
        <w:t xml:space="preserve">“ </w:t>
      </w:r>
      <w:r w:rsidR="00382907">
        <w:t xml:space="preserve">nesená intelektem jako </w:t>
      </w:r>
      <w:r w:rsidR="00382907" w:rsidRPr="00382907">
        <w:rPr>
          <w:i/>
        </w:rPr>
        <w:t>quartum genus</w:t>
      </w:r>
      <w:r w:rsidR="00382907">
        <w:t xml:space="preserve"> </w:t>
      </w:r>
      <w:r w:rsidR="005C7505">
        <w:t>není „</w:t>
      </w:r>
      <w:r w:rsidR="005C7505" w:rsidRPr="005C7505">
        <w:rPr>
          <w:i/>
        </w:rPr>
        <w:t>species hominis</w:t>
      </w:r>
      <w:r w:rsidR="005C7505">
        <w:t>“</w:t>
      </w:r>
      <w:r w:rsidR="00382907">
        <w:t xml:space="preserve"> nesená intelektem </w:t>
      </w:r>
      <w:r w:rsidR="00382907">
        <w:rPr>
          <w:i/>
        </w:rPr>
        <w:t>terti</w:t>
      </w:r>
      <w:r w:rsidR="00382907" w:rsidRPr="00382907">
        <w:rPr>
          <w:i/>
        </w:rPr>
        <w:t>um genus</w:t>
      </w:r>
      <w:r w:rsidR="005C7505" w:rsidRPr="005C7505">
        <w:t xml:space="preserve">. </w:t>
      </w:r>
      <w:r>
        <w:t>Určení intelektu je jinak dáno na úrovni existující osoby (</w:t>
      </w:r>
      <w:r w:rsidRPr="009F1971">
        <w:rPr>
          <w:i/>
        </w:rPr>
        <w:t>minus essentialis</w:t>
      </w:r>
      <w:r>
        <w:t>), a jinak na úrovni celého lidstva (</w:t>
      </w:r>
      <w:r w:rsidRPr="009F1971">
        <w:rPr>
          <w:i/>
        </w:rPr>
        <w:t>essentialior</w:t>
      </w:r>
      <w:r>
        <w:t xml:space="preserve">). V prvním případě daném existenciálním výkonem intelektu v modu </w:t>
      </w:r>
      <w:r w:rsidRPr="084C7BBD">
        <w:rPr>
          <w:i/>
        </w:rPr>
        <w:t xml:space="preserve">tertium </w:t>
      </w:r>
      <w:r w:rsidR="00962190">
        <w:rPr>
          <w:i/>
        </w:rPr>
        <w:t>genus</w:t>
      </w:r>
      <w:r>
        <w:t xml:space="preserve"> je intelekt jen kvazi-substance, a je tedy dán v modu </w:t>
      </w:r>
      <w:r w:rsidRPr="084C7BBD">
        <w:rPr>
          <w:i/>
        </w:rPr>
        <w:t>minus</w:t>
      </w:r>
      <w:r>
        <w:t xml:space="preserve"> vzhledem k jeho bytí jako univerzální </w:t>
      </w:r>
      <w:r w:rsidR="00962190">
        <w:rPr>
          <w:i/>
        </w:rPr>
        <w:t>species</w:t>
      </w:r>
      <w:r>
        <w:t>. V lidstvu je naopak plně univerzální, ale za tu cenu, že existuje pouze v mysli poznávajícího filosofa jako abstrakce. Díky specifickému určení lidstva na úrovni univerzálie nemá tato definice intelektu v CMDA deficientní charakter, jako je tomu při jeho reálném bytí v jednotlivci.</w:t>
      </w:r>
      <w:r w:rsidRPr="00273106">
        <w:rPr>
          <w:rStyle w:val="Znakapoznpodarou"/>
        </w:rPr>
        <w:footnoteReference w:id="241"/>
      </w:r>
      <w:r w:rsidRPr="00273106">
        <w:t xml:space="preserve"> Z hlediska dedukce založené na takto daném </w:t>
      </w:r>
      <w:r w:rsidR="0075674D">
        <w:t>esenciálním „</w:t>
      </w:r>
      <w:r w:rsidRPr="00273106">
        <w:rPr>
          <w:i/>
        </w:rPr>
        <w:t>esse</w:t>
      </w:r>
      <w:r w:rsidR="0075674D">
        <w:t>“</w:t>
      </w:r>
      <w:r w:rsidRPr="00273106">
        <w:t xml:space="preserve"> možného intelektu platí</w:t>
      </w:r>
      <w:r w:rsidR="0075674D">
        <w:t xml:space="preserve"> druhý postup </w:t>
      </w:r>
      <w:r w:rsidR="0075674D" w:rsidRPr="0075674D">
        <w:rPr>
          <w:i/>
        </w:rPr>
        <w:t>Kategorií</w:t>
      </w:r>
      <w:r w:rsidR="0075674D">
        <w:t xml:space="preserve">. Nyní predikujeme v modu </w:t>
      </w:r>
      <w:r w:rsidR="0075674D" w:rsidRPr="0075674D">
        <w:rPr>
          <w:i/>
        </w:rPr>
        <w:t>per prius</w:t>
      </w:r>
      <w:r w:rsidR="0075674D">
        <w:t xml:space="preserve"> smysl od univerzálně nadřazeného rodu směrem ke druhu </w:t>
      </w:r>
      <w:r w:rsidR="0075674D" w:rsidRPr="003D1E07">
        <w:t xml:space="preserve">(τὰ τῶν εἰδῶν τούτων γένη, </w:t>
      </w:r>
      <w:r w:rsidR="0075674D" w:rsidRPr="003D1E07">
        <w:rPr>
          <w:i/>
        </w:rPr>
        <w:t>Cat</w:t>
      </w:r>
      <w:r w:rsidR="0075674D" w:rsidRPr="003D1E07">
        <w:t xml:space="preserve">. </w:t>
      </w:r>
      <w:proofErr w:type="gramStart"/>
      <w:r w:rsidR="0075674D" w:rsidRPr="003D1E07">
        <w:t>2a15</w:t>
      </w:r>
      <w:proofErr w:type="gramEnd"/>
      <w:r w:rsidR="0075674D" w:rsidRPr="003D1E07">
        <w:t>–</w:t>
      </w:r>
      <w:proofErr w:type="gramStart"/>
      <w:r w:rsidR="0075674D" w:rsidRPr="003D1E07">
        <w:t>16</w:t>
      </w:r>
      <w:proofErr w:type="gramEnd"/>
      <w:r w:rsidR="0075674D" w:rsidRPr="003D1E07">
        <w:fldChar w:fldCharType="begin"/>
      </w:r>
      <w:r w:rsidR="0075674D" w:rsidRPr="003D1E07">
        <w:instrText xml:space="preserve"> XE "Aristoteles:</w:instrText>
      </w:r>
      <w:r w:rsidR="0075674D" w:rsidRPr="003D1E07">
        <w:rPr>
          <w:i/>
        </w:rPr>
        <w:instrText>Cat</w:instrText>
      </w:r>
      <w:r w:rsidR="0075674D" w:rsidRPr="003D1E07">
        <w:instrText xml:space="preserve">. 2a15–16" </w:instrText>
      </w:r>
      <w:r w:rsidR="0075674D" w:rsidRPr="003D1E07">
        <w:fldChar w:fldCharType="end"/>
      </w:r>
      <w:r w:rsidR="0075674D" w:rsidRPr="003D1E07">
        <w:t>).</w:t>
      </w:r>
      <w:r w:rsidR="0075674D">
        <w:t xml:space="preserve"> Teď je jasné, že „</w:t>
      </w:r>
      <w:r w:rsidR="0075674D" w:rsidRPr="0075674D">
        <w:rPr>
          <w:i/>
        </w:rPr>
        <w:t>intellectus</w:t>
      </w:r>
      <w:r w:rsidR="0075674D">
        <w:t xml:space="preserve">“ bereme v modu </w:t>
      </w:r>
      <w:r w:rsidR="0075674D" w:rsidRPr="0075674D">
        <w:rPr>
          <w:i/>
        </w:rPr>
        <w:t>obiective</w:t>
      </w:r>
      <w:r w:rsidR="0075674D">
        <w:t xml:space="preserve"> jako „</w:t>
      </w:r>
      <w:r w:rsidR="0075674D" w:rsidRPr="0075674D">
        <w:rPr>
          <w:i/>
        </w:rPr>
        <w:t>intellectum</w:t>
      </w:r>
      <w:r w:rsidR="0075674D">
        <w:t xml:space="preserve">“. Intelekt jako esence je na úrovni osoby spojen pouze v modu vnějšího poznatku </w:t>
      </w:r>
      <w:r>
        <w:t>(</w:t>
      </w:r>
      <w:r w:rsidRPr="00273106">
        <w:rPr>
          <w:i/>
        </w:rPr>
        <w:t>intellectus copulatur huic individuo</w:t>
      </w:r>
      <w:r w:rsidR="00B93A39">
        <w:t xml:space="preserve">). </w:t>
      </w:r>
      <w:r w:rsidR="001752E1" w:rsidRPr="001752E1">
        <w:t xml:space="preserve">Tento druh sjednocení se týká pouze intelektu jako univerzálního pojmu, který můžeme </w:t>
      </w:r>
      <w:r w:rsidR="001752E1" w:rsidRPr="001752E1">
        <w:lastRenderedPageBreak/>
        <w:t>přijmout nebo odmítnout, protože je záležitostí osobního poznání (</w:t>
      </w:r>
      <w:r w:rsidR="001752E1" w:rsidRPr="00B93A39">
        <w:rPr>
          <w:i/>
        </w:rPr>
        <w:t>minus essentialis</w:t>
      </w:r>
      <w:r w:rsidR="00B93A39">
        <w:t>). Na úrovni „</w:t>
      </w:r>
      <w:r w:rsidR="00B93A39" w:rsidRPr="004E213E">
        <w:rPr>
          <w:i/>
        </w:rPr>
        <w:t>species humana</w:t>
      </w:r>
      <w:r w:rsidR="00B93A39">
        <w:t>“</w:t>
      </w:r>
      <w:r w:rsidR="001752E1" w:rsidRPr="001752E1">
        <w:t xml:space="preserve"> naproti tomu esencialita intelektu představuje skutečnou</w:t>
      </w:r>
      <w:r w:rsidR="00B93A39">
        <w:t xml:space="preserve"> podstatu lidstva</w:t>
      </w:r>
      <w:r w:rsidR="004E213E">
        <w:rPr>
          <w:i/>
        </w:rPr>
        <w:fldChar w:fldCharType="begin"/>
      </w:r>
      <w:r w:rsidR="004E213E">
        <w:instrText xml:space="preserve"> XE "</w:instrText>
      </w:r>
      <w:r w:rsidR="004E213E" w:rsidRPr="00C23ED2">
        <w:instrText>humanismus:Siger</w:instrText>
      </w:r>
      <w:r w:rsidR="004E213E">
        <w:instrText xml:space="preserve">" </w:instrText>
      </w:r>
      <w:r w:rsidR="004E213E">
        <w:rPr>
          <w:i/>
        </w:rPr>
        <w:fldChar w:fldCharType="end"/>
      </w:r>
      <w:r w:rsidR="00B93A39">
        <w:t xml:space="preserve"> </w:t>
      </w:r>
      <w:r w:rsidR="001752E1" w:rsidRPr="001752E1">
        <w:t>(</w:t>
      </w:r>
      <w:r w:rsidR="001752E1" w:rsidRPr="00B93A39">
        <w:rPr>
          <w:i/>
        </w:rPr>
        <w:t>essentialior</w:t>
      </w:r>
      <w:r w:rsidR="001752E1" w:rsidRPr="001752E1">
        <w:t xml:space="preserve">). </w:t>
      </w:r>
      <w:r w:rsidR="005D5B7C">
        <w:t xml:space="preserve">Intelekt jako </w:t>
      </w:r>
      <w:r>
        <w:t xml:space="preserve">univerzálie </w:t>
      </w:r>
      <w:r w:rsidR="005D5B7C">
        <w:t>v rámci lidského druhu vznikl</w:t>
      </w:r>
      <w:r>
        <w:t xml:space="preserve"> jako správný závěr vědeckého deduktivního </w:t>
      </w:r>
      <w:r w:rsidR="00C5747B">
        <w:t>syllogismu</w:t>
      </w:r>
      <w:r>
        <w:t xml:space="preserve">, tedy na základě kauzálně zakoušeného poznání, které máme osobně ve své moci. Pak je závěr tohoto </w:t>
      </w:r>
      <w:r w:rsidR="00C5747B">
        <w:t xml:space="preserve">důkazu </w:t>
      </w:r>
      <w:r>
        <w:t xml:space="preserve">univerzálně platný pro všechny lidi. Rozdíl mezi potenciální schopností danou v existující osobě a mezi univerzálním konceptem intelektu jako </w:t>
      </w:r>
      <w:r w:rsidR="00962190">
        <w:rPr>
          <w:i/>
        </w:rPr>
        <w:t>species</w:t>
      </w:r>
      <w:r>
        <w:t xml:space="preserve"> je naprosto zásadní, což ovšem objektivní výklady moderny a postmoderny nemohou vidět. Bacon a Siger by řekli, že moderna vůbec nemyslí, protože nemá ponětí o výkonu myšlení (</w:t>
      </w:r>
      <w:r w:rsidRPr="08596091">
        <w:rPr>
          <w:i/>
        </w:rPr>
        <w:t>intellectio</w:t>
      </w:r>
      <w:r>
        <w:t>), ale považuje jej za myšlenkový obsah (</w:t>
      </w:r>
      <w:r w:rsidRPr="08AF6627">
        <w:rPr>
          <w:i/>
        </w:rPr>
        <w:t>intellectum</w:t>
      </w:r>
      <w:r>
        <w:t xml:space="preserve">). Teoretický </w:t>
      </w:r>
      <w:r w:rsidRPr="00273106">
        <w:t>náhled</w:t>
      </w:r>
      <w:r>
        <w:t xml:space="preserve"> na specifické, tedy univerzální </w:t>
      </w:r>
      <w:r w:rsidRPr="00273106">
        <w:t xml:space="preserve">bytí intelektu </w:t>
      </w:r>
      <w:r>
        <w:t>(</w:t>
      </w:r>
      <w:r w:rsidR="002E0E46" w:rsidRPr="002E0E46">
        <w:rPr>
          <w:i/>
        </w:rPr>
        <w:t>factum</w:t>
      </w:r>
      <w:r w:rsidR="005F5D95">
        <w:t xml:space="preserve">) stojí v protikladu k výkonu </w:t>
      </w:r>
      <w:r w:rsidRPr="00273106">
        <w:t>jednotlivce</w:t>
      </w:r>
      <w:r>
        <w:t xml:space="preserve"> </w:t>
      </w:r>
      <w:r w:rsidRPr="00273106">
        <w:t>(</w:t>
      </w:r>
      <w:r w:rsidRPr="00273106">
        <w:rPr>
          <w:i/>
        </w:rPr>
        <w:t>fieri</w:t>
      </w:r>
      <w:r w:rsidRPr="00273106">
        <w:t>)</w:t>
      </w:r>
      <w:r>
        <w:fldChar w:fldCharType="begin"/>
      </w:r>
      <w:r>
        <w:instrText xml:space="preserve"> XE "</w:instrText>
      </w:r>
      <w:r w:rsidRPr="007804B8">
        <w:instrText>intelekt:</w:instrText>
      </w:r>
      <w:r w:rsidRPr="002F1398">
        <w:rPr>
          <w:i/>
        </w:rPr>
        <w:instrText>esse/fieri</w:instrText>
      </w:r>
      <w:r>
        <w:instrText xml:space="preserve">" </w:instrText>
      </w:r>
      <w:r>
        <w:fldChar w:fldCharType="end"/>
      </w:r>
      <w:r>
        <w:t xml:space="preserve">. </w:t>
      </w:r>
      <w:r w:rsidR="002E0E46">
        <w:t>Osobně s</w:t>
      </w:r>
      <w:r w:rsidRPr="00273106">
        <w:t xml:space="preserve">e intelekt manifestuje tím, že </w:t>
      </w:r>
      <w:r w:rsidR="002E0E46">
        <w:t xml:space="preserve">každý z nás </w:t>
      </w:r>
      <w:r w:rsidRPr="00273106">
        <w:t>myslí</w:t>
      </w:r>
      <w:r>
        <w:t xml:space="preserve"> jako osoba</w:t>
      </w:r>
      <w:r w:rsidRPr="00273106">
        <w:t xml:space="preserve">. </w:t>
      </w:r>
      <w:r w:rsidR="002E0E46">
        <w:t xml:space="preserve">Moderní </w:t>
      </w:r>
      <w:r w:rsidR="002E0E46" w:rsidRPr="002E0E46">
        <w:rPr>
          <w:i/>
        </w:rPr>
        <w:t>individuum</w:t>
      </w:r>
      <w:r w:rsidR="002E0E46">
        <w:t xml:space="preserve"> má intelekt jako mytologické a tedy objektivní </w:t>
      </w:r>
      <w:r w:rsidR="002E0E46" w:rsidRPr="002E0E46">
        <w:rPr>
          <w:i/>
        </w:rPr>
        <w:t>tertium ens</w:t>
      </w:r>
      <w:r w:rsidR="002E0E46">
        <w:t xml:space="preserve">; pak „to“ nemůže myslet správně a současný stav </w:t>
      </w:r>
      <w:r w:rsidR="005F5D95">
        <w:t xml:space="preserve">Západu </w:t>
      </w:r>
      <w:r w:rsidR="002E0E46">
        <w:t xml:space="preserve">tomu zcela objektivně odpovídá. </w:t>
      </w:r>
      <w:r w:rsidRPr="00273106">
        <w:t>Abstraktní bytí (</w:t>
      </w:r>
      <w:r w:rsidRPr="00273106">
        <w:rPr>
          <w:i/>
        </w:rPr>
        <w:t>esse</w:t>
      </w:r>
      <w:r w:rsidRPr="00273106">
        <w:t xml:space="preserve">) receptivního intelektu </w:t>
      </w:r>
      <w:r>
        <w:t xml:space="preserve">dané deduktivně jako univerzálie </w:t>
      </w:r>
      <w:r w:rsidRPr="00273106">
        <w:t xml:space="preserve">je </w:t>
      </w:r>
      <w:r>
        <w:t xml:space="preserve">plně </w:t>
      </w:r>
      <w:r w:rsidRPr="00273106">
        <w:t xml:space="preserve">vázáno </w:t>
      </w:r>
      <w:r>
        <w:t xml:space="preserve">pouze </w:t>
      </w:r>
      <w:r w:rsidRPr="00273106">
        <w:t xml:space="preserve">na lidstvo jako </w:t>
      </w:r>
      <w:r w:rsidR="00962190">
        <w:rPr>
          <w:i/>
        </w:rPr>
        <w:t>species</w:t>
      </w:r>
      <w:r>
        <w:t>, což je pochopitelné</w:t>
      </w:r>
      <w:r w:rsidR="087228C2">
        <w:t xml:space="preserve"> a správné</w:t>
      </w:r>
      <w:r w:rsidRPr="00273106">
        <w:t xml:space="preserve">. </w:t>
      </w:r>
      <w:r>
        <w:t>V</w:t>
      </w:r>
      <w:r w:rsidR="087228C2">
        <w:t xml:space="preserve"> existující osobě </w:t>
      </w:r>
      <w:r>
        <w:t>je totiž intelekt porušitelný</w:t>
      </w:r>
      <w:r w:rsidR="087228C2">
        <w:t xml:space="preserve"> (</w:t>
      </w:r>
      <w:r w:rsidR="087228C2" w:rsidRPr="087228C2">
        <w:rPr>
          <w:i/>
          <w:lang w:val="la"/>
        </w:rPr>
        <w:t>corruptibil</w:t>
      </w:r>
      <w:r w:rsidR="087228C2" w:rsidRPr="087228C2">
        <w:rPr>
          <w:i/>
        </w:rPr>
        <w:t>is</w:t>
      </w:r>
      <w:r w:rsidR="087228C2">
        <w:t xml:space="preserve">), </w:t>
      </w:r>
      <w:r w:rsidR="08AF0F74">
        <w:t xml:space="preserve">což není případ </w:t>
      </w:r>
      <w:r w:rsidR="087228C2">
        <w:t>intelekt</w:t>
      </w:r>
      <w:r w:rsidR="08AF0F74">
        <w:t>u</w:t>
      </w:r>
      <w:r w:rsidR="087228C2">
        <w:t xml:space="preserve"> jako univerzál</w:t>
      </w:r>
      <w:r w:rsidR="08AF0F74">
        <w:t>ie</w:t>
      </w:r>
      <w:r>
        <w:t>. Správně vytvořený vědecký soud ohledně povahy intelektu umožňuje u</w:t>
      </w:r>
      <w:r w:rsidRPr="00273106">
        <w:t>rči</w:t>
      </w:r>
      <w:r w:rsidR="08A41B98">
        <w:t>t s</w:t>
      </w:r>
      <w:r w:rsidRPr="00273106">
        <w:t xml:space="preserve">pecifickou a plně univerzální charakteristiku </w:t>
      </w:r>
      <w:r w:rsidRPr="00273106">
        <w:rPr>
          <w:i/>
        </w:rPr>
        <w:t>intellectus possibilis</w:t>
      </w:r>
      <w:r>
        <w:rPr>
          <w:i/>
        </w:rPr>
        <w:fldChar w:fldCharType="begin"/>
      </w:r>
      <w:r>
        <w:instrText xml:space="preserve"> XE "</w:instrText>
      </w:r>
      <w:r w:rsidRPr="00770D02">
        <w:rPr>
          <w:i/>
        </w:rPr>
        <w:instrText>intellectus possibilis</w:instrText>
      </w:r>
      <w:r>
        <w:rPr>
          <w:i/>
        </w:rPr>
        <w:instrText>:</w:instrText>
      </w:r>
      <w:r w:rsidRPr="000C4753">
        <w:instrText>Siger</w:instrText>
      </w:r>
      <w:r>
        <w:instrText xml:space="preserve">" </w:instrText>
      </w:r>
      <w:r>
        <w:rPr>
          <w:i/>
        </w:rPr>
        <w:fldChar w:fldCharType="end"/>
      </w:r>
      <w:r w:rsidRPr="00273106">
        <w:t xml:space="preserve"> z hlediska </w:t>
      </w:r>
      <w:r>
        <w:t xml:space="preserve">obecného </w:t>
      </w:r>
      <w:r w:rsidRPr="00273106">
        <w:t>určení člověka</w:t>
      </w:r>
      <w:r>
        <w:t xml:space="preserve"> </w:t>
      </w:r>
      <w:r w:rsidR="08A1294E">
        <w:t xml:space="preserve">jako </w:t>
      </w:r>
      <w:r>
        <w:t>schopného filosofie</w:t>
      </w:r>
      <w:r w:rsidRPr="00273106">
        <w:t xml:space="preserve">. </w:t>
      </w:r>
      <w:r>
        <w:t>Tento závěr ve stejném pořadí a ve stejné důkazové řadě má i Averroes</w:t>
      </w:r>
      <w:r w:rsidR="00205262">
        <w:t xml:space="preserve"> v CMDA</w:t>
      </w:r>
      <w:r>
        <w:t>.</w:t>
      </w:r>
      <w:r w:rsidRPr="00273106">
        <w:rPr>
          <w:rStyle w:val="Znakapoznpodarou"/>
        </w:rPr>
        <w:footnoteReference w:id="242"/>
      </w:r>
      <w:r>
        <w:t xml:space="preserve"> Univerzální charakter </w:t>
      </w:r>
      <w:r w:rsidRPr="00CD3750">
        <w:rPr>
          <w:i/>
        </w:rPr>
        <w:t>intellectus possib</w:t>
      </w:r>
      <w:r>
        <w:rPr>
          <w:i/>
        </w:rPr>
        <w:t>i</w:t>
      </w:r>
      <w:r w:rsidRPr="00CD3750">
        <w:rPr>
          <w:i/>
        </w:rPr>
        <w:t>lis</w:t>
      </w:r>
      <w:r>
        <w:t xml:space="preserve"> </w:t>
      </w:r>
      <w:r w:rsidRPr="00273106">
        <w:t xml:space="preserve">v rámci lidstva jako </w:t>
      </w:r>
      <w:r w:rsidR="00962190" w:rsidRPr="00387909">
        <w:t>species</w:t>
      </w:r>
      <w:r w:rsidRPr="00273106">
        <w:t xml:space="preserve"> je vázán na existenci filosofie. Nemateriální receptivitu jako specifickou </w:t>
      </w:r>
      <w:r>
        <w:t xml:space="preserve">a tedy obecnou </w:t>
      </w:r>
      <w:r w:rsidRPr="00273106">
        <w:t xml:space="preserve">vlastnost duše dokazuje pouze existence </w:t>
      </w:r>
      <w:r>
        <w:t xml:space="preserve">receptivně myslícího lidstva jako </w:t>
      </w:r>
      <w:r w:rsidR="00962190">
        <w:rPr>
          <w:i/>
        </w:rPr>
        <w:t>species</w:t>
      </w:r>
      <w:r>
        <w:rPr>
          <w:i/>
        </w:rPr>
        <w:t xml:space="preserve"> </w:t>
      </w:r>
      <w:r w:rsidRPr="08594655">
        <w:t>v mysli</w:t>
      </w:r>
      <w:r w:rsidRPr="00273106">
        <w:t xml:space="preserve">. </w:t>
      </w:r>
      <w:r>
        <w:t xml:space="preserve">Filosofie sestavující komplexní demonstratio podle </w:t>
      </w:r>
      <w:r w:rsidRPr="08E71E97">
        <w:rPr>
          <w:i/>
        </w:rPr>
        <w:t>Druhých analytik</w:t>
      </w:r>
      <w:r>
        <w:t xml:space="preserve"> zajišťuje pravdivé vědecké poznání na úrovni univerzality intelektu jako esence až poslední v celkové řadě důkazů (</w:t>
      </w:r>
      <w:r w:rsidRPr="08007841">
        <w:rPr>
          <w:i/>
        </w:rPr>
        <w:t xml:space="preserve">quartum </w:t>
      </w:r>
      <w:r w:rsidR="00962190">
        <w:rPr>
          <w:i/>
        </w:rPr>
        <w:t>genus</w:t>
      </w:r>
      <w:r>
        <w:t xml:space="preserve">). A tato predikace intelektu jako </w:t>
      </w:r>
      <w:r w:rsidR="00962190">
        <w:rPr>
          <w:i/>
        </w:rPr>
        <w:t>species</w:t>
      </w:r>
      <w:r>
        <w:t xml:space="preserve"> je vázána na existenci osobního intelektu jako první substance v realitě (</w:t>
      </w:r>
      <w:r w:rsidRPr="08007841">
        <w:rPr>
          <w:i/>
        </w:rPr>
        <w:t xml:space="preserve">tertium </w:t>
      </w:r>
      <w:r w:rsidR="00962190">
        <w:rPr>
          <w:i/>
        </w:rPr>
        <w:t>genus</w:t>
      </w:r>
      <w:r>
        <w:t xml:space="preserve">). Deduktivně poznaný intelekt jako univerzálie je určen abstraktně-specificky, tedy v </w:t>
      </w:r>
      <w:r w:rsidRPr="00273106">
        <w:t>rámci lidstva jako druhu</w:t>
      </w:r>
      <w:r>
        <w:t xml:space="preserve"> (</w:t>
      </w:r>
      <w:r w:rsidR="00962190">
        <w:rPr>
          <w:i/>
        </w:rPr>
        <w:t>species</w:t>
      </w:r>
      <w:r w:rsidRPr="00D31F2C">
        <w:rPr>
          <w:i/>
        </w:rPr>
        <w:t xml:space="preserve"> humana</w:t>
      </w:r>
      <w:r>
        <w:rPr>
          <w:i/>
        </w:rPr>
        <w:fldChar w:fldCharType="begin"/>
      </w:r>
      <w:r>
        <w:instrText xml:space="preserve"> XE "</w:instrText>
      </w:r>
      <w:r w:rsidRPr="00770D02">
        <w:rPr>
          <w:i/>
        </w:rPr>
        <w:instrText xml:space="preserve">intellectus </w:instrText>
      </w:r>
      <w:r w:rsidRPr="00770D02">
        <w:rPr>
          <w:i/>
        </w:rPr>
        <w:lastRenderedPageBreak/>
        <w:instrText>possibilis</w:instrText>
      </w:r>
      <w:r>
        <w:rPr>
          <w:i/>
        </w:rPr>
        <w:instrText>:</w:instrText>
      </w:r>
      <w:r w:rsidRPr="00D5441F">
        <w:instrText>Siger</w:instrText>
      </w:r>
      <w:r>
        <w:instrText xml:space="preserve">" </w:instrText>
      </w:r>
      <w:r>
        <w:rPr>
          <w:i/>
        </w:rPr>
        <w:fldChar w:fldCharType="end"/>
      </w:r>
      <w:r>
        <w:t>)</w:t>
      </w:r>
      <w:r w:rsidRPr="00273106">
        <w:t>.</w:t>
      </w:r>
      <w:r>
        <w:t xml:space="preserve"> Tato univerzálie nemá vlastní subsistenci, protože je abstrakcí v mysli. Jedině existující člověk myslí a může myšlení kauzálně vyvolat a existenciálně zakoušet v modu </w:t>
      </w:r>
      <w:r w:rsidRPr="00F920BE">
        <w:rPr>
          <w:i/>
        </w:rPr>
        <w:t>inmixtus</w:t>
      </w:r>
      <w:r>
        <w:t xml:space="preserve">. </w:t>
      </w:r>
      <w:r w:rsidR="00F625B2">
        <w:t xml:space="preserve">Humanismus Sigera a Danteho </w:t>
      </w:r>
      <w:r>
        <w:t xml:space="preserve">potřebuje intelekt existující osoby jako </w:t>
      </w:r>
      <w:r w:rsidRPr="000E705D">
        <w:rPr>
          <w:i/>
        </w:rPr>
        <w:t xml:space="preserve">tertium </w:t>
      </w:r>
      <w:r w:rsidR="00962190">
        <w:rPr>
          <w:i/>
        </w:rPr>
        <w:t>genus</w:t>
      </w:r>
      <w:r>
        <w:rPr>
          <w:i/>
        </w:rPr>
        <w:fldChar w:fldCharType="begin"/>
      </w:r>
      <w:r>
        <w:instrText xml:space="preserve"> XE "</w:instrText>
      </w:r>
      <w:r w:rsidRPr="00D80F84">
        <w:rPr>
          <w:i/>
        </w:rPr>
        <w:instrText>tertium genus</w:instrText>
      </w:r>
      <w:r>
        <w:instrText xml:space="preserve">" </w:instrText>
      </w:r>
      <w:r>
        <w:rPr>
          <w:i/>
        </w:rPr>
        <w:fldChar w:fldCharType="end"/>
      </w:r>
      <w:r w:rsidR="00F625B2">
        <w:t>, aby určil</w:t>
      </w:r>
      <w:r>
        <w:t xml:space="preserve"> univerzální charakter člověka či lidstva jako </w:t>
      </w:r>
      <w:r w:rsidRPr="000E705D">
        <w:rPr>
          <w:i/>
        </w:rPr>
        <w:t xml:space="preserve">quartum </w:t>
      </w:r>
      <w:r w:rsidR="00962190">
        <w:rPr>
          <w:i/>
        </w:rPr>
        <w:t>genus</w:t>
      </w:r>
      <w:r>
        <w:rPr>
          <w:i/>
        </w:rPr>
        <w:fldChar w:fldCharType="begin"/>
      </w:r>
      <w:r>
        <w:instrText xml:space="preserve"> XE "</w:instrText>
      </w:r>
      <w:r w:rsidRPr="00191848">
        <w:rPr>
          <w:i/>
        </w:rPr>
        <w:instrText>quartum genus</w:instrText>
      </w:r>
      <w:r>
        <w:instrText xml:space="preserve">" </w:instrText>
      </w:r>
      <w:r>
        <w:rPr>
          <w:i/>
        </w:rPr>
        <w:fldChar w:fldCharType="end"/>
      </w:r>
      <w:r>
        <w:t xml:space="preserve">. Bez existenciálně daného receptivního intelektu by střední člen soudu neměl efektivní kauzalitu danou z první substance. </w:t>
      </w:r>
      <w:r w:rsidRPr="00273106">
        <w:t xml:space="preserve">Stejnou pozici obsahuje i pozdější dílo </w:t>
      </w:r>
      <w:r w:rsidRPr="00273106">
        <w:rPr>
          <w:i/>
        </w:rPr>
        <w:t>De anima intellectiva</w:t>
      </w:r>
      <w:r w:rsidRPr="00273106">
        <w:t>.</w:t>
      </w:r>
      <w:r w:rsidRPr="00273106">
        <w:rPr>
          <w:rStyle w:val="Znakapoznpodarou"/>
        </w:rPr>
        <w:footnoteReference w:id="243"/>
      </w:r>
      <w:r w:rsidRPr="00273106">
        <w:t xml:space="preserve"> Klíčo</w:t>
      </w:r>
      <w:r>
        <w:t xml:space="preserve">vá je pasáž </w:t>
      </w:r>
      <w:r w:rsidR="00BA367C">
        <w:t>„</w:t>
      </w:r>
      <w:r w:rsidRPr="00273106">
        <w:rPr>
          <w:i/>
        </w:rPr>
        <w:t>anima secundum apparentia de ipsa</w:t>
      </w:r>
      <w:r w:rsidR="00BA367C">
        <w:t>“</w:t>
      </w:r>
      <w:r w:rsidRPr="00273106">
        <w:t xml:space="preserve">, která je brána odděleně od skutečného </w:t>
      </w:r>
      <w:r w:rsidR="00BA367C">
        <w:t>„</w:t>
      </w:r>
      <w:r w:rsidRPr="00273106">
        <w:rPr>
          <w:i/>
        </w:rPr>
        <w:t>fieri</w:t>
      </w:r>
      <w:r w:rsidR="00BA367C">
        <w:t>“</w:t>
      </w:r>
      <w:r w:rsidRPr="00273106">
        <w:t xml:space="preserve"> duše v těle</w:t>
      </w:r>
      <w:r>
        <w:fldChar w:fldCharType="begin"/>
      </w:r>
      <w:r>
        <w:instrText xml:space="preserve"> XE "</w:instrText>
      </w:r>
      <w:r w:rsidRPr="007804B8">
        <w:instrText>intelekt:</w:instrText>
      </w:r>
      <w:r w:rsidRPr="002F1398">
        <w:rPr>
          <w:i/>
        </w:rPr>
        <w:instrText>esse/fieri</w:instrText>
      </w:r>
      <w:r>
        <w:instrText xml:space="preserve">" </w:instrText>
      </w:r>
      <w:r>
        <w:fldChar w:fldCharType="end"/>
      </w:r>
      <w:r w:rsidRPr="00273106">
        <w:t xml:space="preserve">. Intelekt jako </w:t>
      </w:r>
      <w:r w:rsidR="00BA367C">
        <w:t xml:space="preserve">esenci </w:t>
      </w:r>
      <w:r w:rsidRPr="00273106">
        <w:t xml:space="preserve">je možné brát podle teoreticky postulovaného </w:t>
      </w:r>
      <w:r w:rsidRPr="00273106">
        <w:rPr>
          <w:i/>
        </w:rPr>
        <w:t>esse</w:t>
      </w:r>
      <w:r w:rsidRPr="00273106">
        <w:t>, které je ontologicky odlišné od aktu</w:t>
      </w:r>
      <w:r>
        <w:t>a</w:t>
      </w:r>
      <w:r w:rsidRPr="00273106">
        <w:t xml:space="preserve">lizace intelektu jako </w:t>
      </w:r>
      <w:r w:rsidR="00BA367C">
        <w:t xml:space="preserve">osobní </w:t>
      </w:r>
      <w:r w:rsidRPr="00273106">
        <w:t>potence v duši (</w:t>
      </w:r>
      <w:r w:rsidRPr="00273106">
        <w:rPr>
          <w:i/>
        </w:rPr>
        <w:t>non habet opus sine corpore</w:t>
      </w:r>
      <w:r w:rsidRPr="00273106">
        <w:t xml:space="preserve">). Specifické určení </w:t>
      </w:r>
      <w:r w:rsidRPr="00273106">
        <w:rPr>
          <w:i/>
        </w:rPr>
        <w:t>intellectus possibilis</w:t>
      </w:r>
      <w:r w:rsidRPr="00273106">
        <w:t xml:space="preserve"> </w:t>
      </w:r>
      <w:r>
        <w:t xml:space="preserve">v modu univerzálního </w:t>
      </w:r>
      <w:r w:rsidR="00962190">
        <w:rPr>
          <w:i/>
        </w:rPr>
        <w:t>species</w:t>
      </w:r>
      <w:r>
        <w:t xml:space="preserve"> </w:t>
      </w:r>
      <w:r w:rsidRPr="00273106">
        <w:t>je možné pouze v r</w:t>
      </w:r>
      <w:r w:rsidR="0064041D">
        <w:t>ámci intelektu jako abstraktní</w:t>
      </w:r>
      <w:r w:rsidRPr="00273106">
        <w:t xml:space="preserve"> </w:t>
      </w:r>
      <w:r w:rsidR="00962190" w:rsidRPr="0064041D">
        <w:t>species</w:t>
      </w:r>
      <w:r w:rsidR="0064041D">
        <w:t xml:space="preserve"> patřící</w:t>
      </w:r>
      <w:r>
        <w:t xml:space="preserve"> lidskému rodu</w:t>
      </w:r>
      <w:r>
        <w:rPr>
          <w:i/>
        </w:rPr>
        <w:fldChar w:fldCharType="begin"/>
      </w:r>
      <w:r>
        <w:instrText xml:space="preserve"> XE "</w:instrText>
      </w:r>
      <w:r w:rsidRPr="00770D02">
        <w:rPr>
          <w:i/>
        </w:rPr>
        <w:instrText>intellectus possibilis</w:instrText>
      </w:r>
      <w:r>
        <w:rPr>
          <w:i/>
        </w:rPr>
        <w:instrText>:</w:instrText>
      </w:r>
      <w:r w:rsidRPr="000258DE">
        <w:instrText>Siger</w:instrText>
      </w:r>
      <w:r>
        <w:instrText xml:space="preserve">" </w:instrText>
      </w:r>
      <w:r>
        <w:rPr>
          <w:i/>
        </w:rPr>
        <w:fldChar w:fldCharType="end"/>
      </w:r>
      <w:r>
        <w:t xml:space="preserve">. Lidstvo nemyslí, protože nemá intelekt jako </w:t>
      </w:r>
      <w:r w:rsidR="00EA0924">
        <w:t xml:space="preserve">personalizovaný </w:t>
      </w:r>
      <w:r>
        <w:t>výkon duše</w:t>
      </w:r>
      <w:r w:rsidR="08A731B0">
        <w:t xml:space="preserve"> </w:t>
      </w:r>
      <w:r w:rsidR="08A731B0" w:rsidRPr="081942A4">
        <w:rPr>
          <w:szCs w:val="24"/>
        </w:rPr>
        <w:t>(</w:t>
      </w:r>
      <w:r w:rsidR="08A731B0" w:rsidRPr="081942A4">
        <w:rPr>
          <w:i/>
          <w:szCs w:val="24"/>
        </w:rPr>
        <w:t>subiective</w:t>
      </w:r>
      <w:r w:rsidR="08A731B0" w:rsidRPr="081942A4">
        <w:rPr>
          <w:szCs w:val="24"/>
        </w:rPr>
        <w:t xml:space="preserve">, </w:t>
      </w:r>
      <w:r w:rsidR="08A731B0" w:rsidRPr="081942A4">
        <w:rPr>
          <w:i/>
          <w:szCs w:val="24"/>
        </w:rPr>
        <w:t xml:space="preserve">tertium </w:t>
      </w:r>
      <w:r w:rsidR="00962190">
        <w:rPr>
          <w:i/>
          <w:szCs w:val="24"/>
        </w:rPr>
        <w:t>genus</w:t>
      </w:r>
      <w:r w:rsidR="08A731B0" w:rsidRPr="081942A4">
        <w:rPr>
          <w:szCs w:val="24"/>
        </w:rPr>
        <w:t>)</w:t>
      </w:r>
      <w:r>
        <w:t>. Proto myslí zcela paranoicky také objektivní moderna, která odmítla domnělý averroismus Sigera a Komentátora</w:t>
      </w:r>
      <w:r w:rsidR="007516F9">
        <w:t xml:space="preserve">. Škola druhého averroismu vytvořila mýtus </w:t>
      </w:r>
      <w:r>
        <w:t xml:space="preserve">kosmického </w:t>
      </w:r>
      <w:r w:rsidRPr="08550661">
        <w:rPr>
          <w:i/>
        </w:rPr>
        <w:t>intellectus possibilis</w:t>
      </w:r>
      <w:r>
        <w:t xml:space="preserve"> na úrovni lidstva</w:t>
      </w:r>
      <w:r w:rsidR="083E11E0">
        <w:t xml:space="preserve"> podle Davida z Dinantu</w:t>
      </w:r>
      <w:r w:rsidR="007516F9">
        <w:rPr>
          <w:szCs w:val="24"/>
          <w:lang w:val="de-DE"/>
        </w:rPr>
        <w:fldChar w:fldCharType="begin"/>
      </w:r>
      <w:r w:rsidR="007516F9">
        <w:instrText xml:space="preserve"> XE "</w:instrText>
      </w:r>
      <w:r w:rsidR="007516F9">
        <w:rPr>
          <w:szCs w:val="24"/>
          <w:lang w:val="de-DE"/>
        </w:rPr>
        <w:instrText xml:space="preserve">David z </w:instrText>
      </w:r>
      <w:r w:rsidR="007516F9" w:rsidRPr="08DF4DFA">
        <w:rPr>
          <w:szCs w:val="24"/>
          <w:lang w:val="de-DE"/>
        </w:rPr>
        <w:instrText>Dinant</w:instrText>
      </w:r>
      <w:r w:rsidR="007516F9">
        <w:rPr>
          <w:szCs w:val="24"/>
          <w:lang w:val="de-DE"/>
        </w:rPr>
        <w:instrText>u</w:instrText>
      </w:r>
      <w:r w:rsidR="007516F9">
        <w:instrText xml:space="preserve">" </w:instrText>
      </w:r>
      <w:r w:rsidR="007516F9">
        <w:rPr>
          <w:szCs w:val="24"/>
          <w:lang w:val="de-DE"/>
        </w:rPr>
        <w:fldChar w:fldCharType="end"/>
      </w:r>
      <w:r w:rsidR="083E11E0">
        <w:t xml:space="preserve"> </w:t>
      </w:r>
      <w:r w:rsidR="083E11E0" w:rsidRPr="08F82A48">
        <w:rPr>
          <w:szCs w:val="24"/>
        </w:rPr>
        <w:t>(OBJ II, Kap. 2.1.3)</w:t>
      </w:r>
      <w:r w:rsidR="00E26EC4">
        <w:rPr>
          <w:szCs w:val="24"/>
        </w:rPr>
        <w:t xml:space="preserve">. Tento kosmický intelekt pak </w:t>
      </w:r>
      <w:r w:rsidR="007516F9">
        <w:t>kopuluje s lidským intelektem. Akvinský uznal, že takový nesmysl se averr</w:t>
      </w:r>
      <w:r w:rsidR="00413AA3">
        <w:t>o</w:t>
      </w:r>
      <w:r w:rsidR="007516F9">
        <w:t>istickém</w:t>
      </w:r>
      <w:r w:rsidR="006B1CFD">
        <w:t>u</w:t>
      </w:r>
      <w:r w:rsidR="007516F9">
        <w:t xml:space="preserve"> Averroés</w:t>
      </w:r>
      <w:r w:rsidR="00413AA3">
        <w:t>o</w:t>
      </w:r>
      <w:r w:rsidR="007516F9">
        <w:t xml:space="preserve">vi nesmí příčítat. Proto vytvořil filosoficky přijatelnější mýtus, opět spojený s intelektuální kopulací. </w:t>
      </w:r>
      <w:r>
        <w:t>Dějiny moderníh</w:t>
      </w:r>
      <w:r w:rsidR="007516F9">
        <w:t>o šílenství v modu metafyzické</w:t>
      </w:r>
      <w:r>
        <w:t xml:space="preserve"> </w:t>
      </w:r>
      <w:r w:rsidR="007516F9">
        <w:rPr>
          <w:i/>
        </w:rPr>
        <w:t xml:space="preserve">Irre </w:t>
      </w:r>
      <w:r>
        <w:t>začínají dávno před Foucaultovým známým dílem</w:t>
      </w:r>
      <w:r w:rsidR="088477F7">
        <w:t xml:space="preserve"> </w:t>
      </w:r>
      <w:r w:rsidR="088477F7" w:rsidRPr="0019331D">
        <w:rPr>
          <w:i/>
        </w:rPr>
        <w:t>Histoire de la folie à l'âge classique</w:t>
      </w:r>
      <w:r w:rsidR="007516F9">
        <w:t xml:space="preserve"> (1961).</w:t>
      </w:r>
      <w:r>
        <w:t xml:space="preserve"> Mrt</w:t>
      </w:r>
      <w:r w:rsidR="00D5209E">
        <w:t xml:space="preserve">vola </w:t>
      </w:r>
      <w:r>
        <w:t>nemyslí, což objektivně myslícím filosofům při určování identity konkrétního individua nijak nevadí. Moderna definuje subjekt</w:t>
      </w:r>
      <w:r w:rsidR="00111C0F">
        <w:t xml:space="preserve"> jako </w:t>
      </w:r>
      <w:r w:rsidR="00111C0F" w:rsidRPr="00111C0F">
        <w:rPr>
          <w:i/>
        </w:rPr>
        <w:t>tertium ens</w:t>
      </w:r>
      <w:r w:rsidR="00111C0F">
        <w:rPr>
          <w:i/>
        </w:rPr>
        <w:t xml:space="preserve"> </w:t>
      </w:r>
      <w:r>
        <w:t xml:space="preserve">skrze specifickou formu kopulace </w:t>
      </w:r>
      <w:r w:rsidR="00111C0F">
        <w:t xml:space="preserve">s </w:t>
      </w:r>
      <w:r>
        <w:t xml:space="preserve">vlastní intelektuální </w:t>
      </w:r>
      <w:r w:rsidRPr="087D288F">
        <w:rPr>
          <w:i/>
        </w:rPr>
        <w:t>hýbris</w:t>
      </w:r>
      <w:r>
        <w:t>. Matematická a logická abstrakce realitu myslící osoby nepotřebuje, protože pracuje s esencemi</w:t>
      </w:r>
      <w:r>
        <w:rPr>
          <w:i/>
        </w:rPr>
        <w:fldChar w:fldCharType="begin"/>
      </w:r>
      <w:r>
        <w:instrText xml:space="preserve"> XE "sofisma člověk-mrtvola" </w:instrText>
      </w:r>
      <w:r>
        <w:rPr>
          <w:i/>
        </w:rPr>
        <w:fldChar w:fldCharType="end"/>
      </w:r>
      <w:r>
        <w:t>. Ke specifickému určení člověka jako individua jí stačí mrtvola a dnes pouze její DNA. Siger a jím inspirovaný Dante</w:t>
      </w:r>
      <w:r>
        <w:fldChar w:fldCharType="begin"/>
      </w:r>
      <w:r>
        <w:instrText xml:space="preserve"> XE "</w:instrText>
      </w:r>
      <w:r w:rsidRPr="00E871B9">
        <w:instrText>Dante, A.</w:instrText>
      </w:r>
      <w:r>
        <w:instrText xml:space="preserve">" </w:instrText>
      </w:r>
      <w:r>
        <w:fldChar w:fldCharType="end"/>
      </w:r>
      <w:r>
        <w:t xml:space="preserve"> správně pochopil fundamentální význam Averroesovy filosofie pro </w:t>
      </w:r>
      <w:r>
        <w:lastRenderedPageBreak/>
        <w:t xml:space="preserve">humanistické určení člověka dané v rámci přirozeného rozumu. Filosofie </w:t>
      </w:r>
      <w:r w:rsidRPr="00273106">
        <w:t xml:space="preserve">zkoumá bytostné určení </w:t>
      </w:r>
      <w:r w:rsidRPr="00273106">
        <w:rPr>
          <w:i/>
        </w:rPr>
        <w:t>intellectus possibilis</w:t>
      </w:r>
      <w:r w:rsidRPr="00273106">
        <w:t xml:space="preserve"> z hlediska principiálního způsob</w:t>
      </w:r>
      <w:r>
        <w:t xml:space="preserve">u, jak intelekt </w:t>
      </w:r>
      <w:r w:rsidR="002715BB">
        <w:t>pravdivě poznává v existující osobě</w:t>
      </w:r>
      <w:r>
        <w:t xml:space="preserve">. Z </w:t>
      </w:r>
      <w:r w:rsidRPr="00273106">
        <w:t xml:space="preserve">hlediska Aristotela a </w:t>
      </w:r>
      <w:r>
        <w:t>Averroes</w:t>
      </w:r>
      <w:r w:rsidRPr="00273106">
        <w:t xml:space="preserve">e lidstvo jako </w:t>
      </w:r>
      <w:r w:rsidR="00962190" w:rsidRPr="004528BF">
        <w:t>species</w:t>
      </w:r>
      <w:r w:rsidRPr="00273106">
        <w:t xml:space="preserve"> </w:t>
      </w:r>
      <w:r>
        <w:t>existuje potud</w:t>
      </w:r>
      <w:r w:rsidR="004528BF">
        <w:t xml:space="preserve"> </w:t>
      </w:r>
      <w:r w:rsidR="004528BF">
        <w:rPr>
          <w:szCs w:val="24"/>
          <w:lang w:val="de-DE"/>
        </w:rPr>
        <w:t>(</w:t>
      </w:r>
      <w:r w:rsidR="004528BF" w:rsidRPr="0037627A">
        <w:rPr>
          <w:i/>
          <w:szCs w:val="24"/>
          <w:lang w:val="de-DE"/>
        </w:rPr>
        <w:t>quartum</w:t>
      </w:r>
      <w:r w:rsidR="004528BF" w:rsidRPr="00BB15A2">
        <w:rPr>
          <w:i/>
        </w:rPr>
        <w:t xml:space="preserve"> genus</w:t>
      </w:r>
      <w:r w:rsidR="004528BF">
        <w:t>)</w:t>
      </w:r>
      <w:r>
        <w:t xml:space="preserve">, pokud existuje alespoň jeden existující exemplář schopný </w:t>
      </w:r>
      <w:r w:rsidR="00902340">
        <w:t xml:space="preserve">specificky </w:t>
      </w:r>
      <w:r>
        <w:t>lidsky myslet</w:t>
      </w:r>
      <w:r w:rsidR="004528BF">
        <w:t xml:space="preserve"> </w:t>
      </w:r>
      <w:r w:rsidR="004528BF">
        <w:rPr>
          <w:szCs w:val="24"/>
          <w:lang w:val="de-DE"/>
        </w:rPr>
        <w:t>(</w:t>
      </w:r>
      <w:r w:rsidR="004528BF">
        <w:rPr>
          <w:i/>
          <w:szCs w:val="24"/>
          <w:lang w:val="de-DE"/>
        </w:rPr>
        <w:t>terti</w:t>
      </w:r>
      <w:r w:rsidR="004528BF" w:rsidRPr="0037627A">
        <w:rPr>
          <w:i/>
          <w:szCs w:val="24"/>
          <w:lang w:val="de-DE"/>
        </w:rPr>
        <w:t>um</w:t>
      </w:r>
      <w:r w:rsidR="004528BF" w:rsidRPr="00BB15A2">
        <w:rPr>
          <w:i/>
        </w:rPr>
        <w:t xml:space="preserve"> genus</w:t>
      </w:r>
      <w:r w:rsidR="004528BF">
        <w:t>)</w:t>
      </w:r>
      <w:r w:rsidR="00241C1C">
        <w:t xml:space="preserve">. </w:t>
      </w:r>
      <w:r w:rsidR="00241C1C" w:rsidRPr="00241C1C">
        <w:t xml:space="preserve">Najít takové osobnosti bylo dost obtížné i v dobách klasického věku, kdy dějiny moderního šílenství teprve začínaly. </w:t>
      </w:r>
      <w:r>
        <w:t>Siger a po něm Dante</w:t>
      </w:r>
      <w:r>
        <w:fldChar w:fldCharType="begin"/>
      </w:r>
      <w:r>
        <w:instrText xml:space="preserve"> XE "</w:instrText>
      </w:r>
      <w:r w:rsidRPr="00E871B9">
        <w:instrText>Dante, A.</w:instrText>
      </w:r>
      <w:r>
        <w:instrText xml:space="preserve">" </w:instrText>
      </w:r>
      <w:r>
        <w:fldChar w:fldCharType="end"/>
      </w:r>
      <w:r>
        <w:t xml:space="preserve"> přesně věděli, že Averroes zde mluví o abstraktní </w:t>
      </w:r>
      <w:r w:rsidR="00962190">
        <w:rPr>
          <w:i/>
        </w:rPr>
        <w:t>species</w:t>
      </w:r>
      <w:r w:rsidRPr="003D3603">
        <w:rPr>
          <w:i/>
        </w:rPr>
        <w:t xml:space="preserve"> human</w:t>
      </w:r>
      <w:r>
        <w:rPr>
          <w:i/>
        </w:rPr>
        <w:t>a</w:t>
      </w:r>
      <w:r>
        <w:rPr>
          <w:i/>
        </w:rPr>
        <w:fldChar w:fldCharType="begin"/>
      </w:r>
      <w:r>
        <w:instrText xml:space="preserve"> XE "</w:instrText>
      </w:r>
      <w:r w:rsidRPr="00770D02">
        <w:rPr>
          <w:i/>
        </w:rPr>
        <w:instrText>intellectus possibilis</w:instrText>
      </w:r>
      <w:r>
        <w:rPr>
          <w:i/>
        </w:rPr>
        <w:instrText>:</w:instrText>
      </w:r>
      <w:r w:rsidRPr="008D3A49">
        <w:instrText>Dante</w:instrText>
      </w:r>
      <w:r>
        <w:instrText xml:space="preserve">" </w:instrText>
      </w:r>
      <w:r>
        <w:rPr>
          <w:i/>
        </w:rPr>
        <w:fldChar w:fldCharType="end"/>
      </w:r>
      <w:r>
        <w:t xml:space="preserve">. Bytí této </w:t>
      </w:r>
      <w:r w:rsidR="00962190">
        <w:rPr>
          <w:i/>
        </w:rPr>
        <w:t>species</w:t>
      </w:r>
      <w:r>
        <w:t xml:space="preserve"> je pouze v našem intelektu, a nikdy nemůže být vzato substančně, jak to měli a mají averroisté. Humanismus daný novou interpretací Averroese neurčuje specifičnost člověka od mrtvoly, jako ve druhém averroismu a v novověké moderně.</w:t>
      </w:r>
    </w:p>
    <w:p w:rsidR="08163013" w:rsidRPr="009F1971" w:rsidRDefault="08163013" w:rsidP="00707556">
      <w:r>
        <w:tab/>
      </w:r>
      <w:r w:rsidRPr="00273106">
        <w:t xml:space="preserve">Siger </w:t>
      </w:r>
      <w:r>
        <w:t xml:space="preserve">kritizuje </w:t>
      </w:r>
      <w:r w:rsidRPr="00273106">
        <w:t xml:space="preserve">moderní </w:t>
      </w:r>
      <w:r w:rsidRPr="00273106">
        <w:rPr>
          <w:i/>
        </w:rPr>
        <w:t>Nominales</w:t>
      </w:r>
      <w:r w:rsidRPr="00273106">
        <w:t xml:space="preserve"> a averroist</w:t>
      </w:r>
      <w:r>
        <w:t xml:space="preserve">y </w:t>
      </w:r>
      <w:r w:rsidR="00FF0DB8">
        <w:t xml:space="preserve">ve škole </w:t>
      </w:r>
      <w:r>
        <w:t>Bonaventury, proto</w:t>
      </w:r>
      <w:r w:rsidRPr="00273106">
        <w:t>že berou nematerialitu intelektu jako oddělenou substanci.</w:t>
      </w:r>
      <w:r w:rsidRPr="00273106">
        <w:rPr>
          <w:rStyle w:val="Znakapoznpodarou"/>
        </w:rPr>
        <w:footnoteReference w:id="244"/>
      </w:r>
      <w:r w:rsidRPr="00273106">
        <w:t xml:space="preserve"> Modernisté </w:t>
      </w:r>
      <w:r>
        <w:t xml:space="preserve">hypostázují </w:t>
      </w:r>
      <w:r w:rsidRPr="00273106">
        <w:t>intelekt místo toho, aby</w:t>
      </w:r>
      <w:r>
        <w:t xml:space="preserve"> hledali</w:t>
      </w:r>
      <w:r w:rsidRPr="00273106">
        <w:t xml:space="preserve">, jak </w:t>
      </w:r>
      <w:r>
        <w:t>skutečně myslíme</w:t>
      </w:r>
      <w:r w:rsidRPr="00273106">
        <w:t>. Pak ale vůbec</w:t>
      </w:r>
      <w:r>
        <w:t xml:space="preserve"> nevidí fenomenologické „</w:t>
      </w:r>
      <w:r w:rsidRPr="00273106">
        <w:t>jak</w:t>
      </w:r>
      <w:r>
        <w:t>“ (</w:t>
      </w:r>
      <w:r w:rsidRPr="00387BEF">
        <w:rPr>
          <w:i/>
        </w:rPr>
        <w:t>Wie</w:t>
      </w:r>
      <w:r>
        <w:t>)</w:t>
      </w:r>
      <w:r w:rsidRPr="00273106">
        <w:t xml:space="preserve"> se myšlení děje skrze naše spojení s intelektuálními intencemi (</w:t>
      </w:r>
      <w:r w:rsidRPr="00273106">
        <w:rPr>
          <w:i/>
        </w:rPr>
        <w:t>intentiones intellectae</w:t>
      </w:r>
      <w:r w:rsidRPr="00273106">
        <w:t>). Je nutno sledovat způsob, jak se tyto intence stávají v nás srozumitelnými, a nikoliv posuzovat intelekt jako nějakou oddělenou substanci (</w:t>
      </w:r>
      <w:r w:rsidRPr="00273106">
        <w:rPr>
          <w:i/>
        </w:rPr>
        <w:t>secundum quod</w:t>
      </w:r>
      <w:r w:rsidRPr="00273106">
        <w:t xml:space="preserve"> </w:t>
      </w:r>
      <w:r w:rsidRPr="00273106">
        <w:rPr>
          <w:i/>
        </w:rPr>
        <w:t>copulatur isti et non absolute</w:t>
      </w:r>
      <w:r w:rsidRPr="00273106">
        <w:t>). Myšlení může být vzato čistě abstraktně (</w:t>
      </w:r>
      <w:r w:rsidRPr="00273106">
        <w:rPr>
          <w:i/>
        </w:rPr>
        <w:t xml:space="preserve">simpliciter in </w:t>
      </w:r>
      <w:proofErr w:type="gramStart"/>
      <w:r w:rsidRPr="00273106">
        <w:rPr>
          <w:i/>
        </w:rPr>
        <w:t>se</w:t>
      </w:r>
      <w:proofErr w:type="gramEnd"/>
      <w:r w:rsidRPr="00273106">
        <w:t xml:space="preserve">), ale pak spekulujeme pouze o </w:t>
      </w:r>
      <w:r w:rsidRPr="00273106">
        <w:rPr>
          <w:i/>
        </w:rPr>
        <w:t>esse</w:t>
      </w:r>
      <w:r w:rsidRPr="00273106">
        <w:t xml:space="preserve"> intelektu, a nikoliv o jeho fenomenologicky zakoušeném a tím i daném </w:t>
      </w:r>
      <w:r w:rsidRPr="00273106">
        <w:rPr>
          <w:i/>
        </w:rPr>
        <w:t>fieri</w:t>
      </w:r>
      <w:r w:rsidRPr="00273106">
        <w:t xml:space="preserve">. </w:t>
      </w:r>
      <w:r>
        <w:t xml:space="preserve">Opět platí základní rozdíl mezi definicí intelektu jako </w:t>
      </w:r>
      <w:r w:rsidRPr="08E47E3E">
        <w:rPr>
          <w:i/>
        </w:rPr>
        <w:t>tertium</w:t>
      </w:r>
      <w:r>
        <w:t xml:space="preserve"> a </w:t>
      </w:r>
      <w:r w:rsidRPr="08E47E3E">
        <w:rPr>
          <w:i/>
        </w:rPr>
        <w:t xml:space="preserve">quartum </w:t>
      </w:r>
      <w:r w:rsidR="00962190">
        <w:rPr>
          <w:i/>
        </w:rPr>
        <w:t>genus</w:t>
      </w:r>
      <w:r>
        <w:t xml:space="preserve">. </w:t>
      </w:r>
      <w:r w:rsidR="006D72D4">
        <w:t>Sigerova</w:t>
      </w:r>
      <w:r w:rsidRPr="00273106">
        <w:t xml:space="preserve"> analýz</w:t>
      </w:r>
      <w:r w:rsidR="006D72D4">
        <w:t>a</w:t>
      </w:r>
      <w:r w:rsidRPr="00273106">
        <w:t xml:space="preserve"> poznání</w:t>
      </w:r>
      <w:r w:rsidR="006D72D4">
        <w:t xml:space="preserve"> v QIIIDA </w:t>
      </w:r>
      <w:r>
        <w:t xml:space="preserve">jasně rozlišuje mezi textem </w:t>
      </w:r>
      <w:r w:rsidRPr="00986937">
        <w:rPr>
          <w:i/>
        </w:rPr>
        <w:t>De anima</w:t>
      </w:r>
      <w:r>
        <w:t xml:space="preserve"> a geniálním výkladem Komentát</w:t>
      </w:r>
      <w:r w:rsidR="006D72D4">
        <w:t xml:space="preserve">ora. Siger navázal na Alverna, který oddělil při výkladu </w:t>
      </w:r>
      <w:r w:rsidR="006D72D4" w:rsidRPr="006D72D4">
        <w:rPr>
          <w:i/>
        </w:rPr>
        <w:t>Corpus Aristotelicum</w:t>
      </w:r>
      <w:r w:rsidR="006D72D4">
        <w:t xml:space="preserve"> metafyziku Averroése a Avicenny. </w:t>
      </w:r>
      <w:r w:rsidR="08730C4B">
        <w:t xml:space="preserve">Siger začal filosofickou kariéru zhruba ve stejné době, kdy zemřel tento kancléř Pařížské univerzity a zdejší biskup. </w:t>
      </w:r>
      <w:r>
        <w:t xml:space="preserve">Magistr </w:t>
      </w:r>
      <w:r w:rsidR="08730C4B">
        <w:t xml:space="preserve">z Rue du Fouarre </w:t>
      </w:r>
      <w:r>
        <w:t xml:space="preserve">přesně </w:t>
      </w:r>
      <w:r w:rsidR="007017C6">
        <w:t xml:space="preserve">určil </w:t>
      </w:r>
      <w:r w:rsidR="00DD5959">
        <w:t xml:space="preserve">avicennistického </w:t>
      </w:r>
      <w:r>
        <w:t xml:space="preserve">Aristotela, aristotelského Aristotela a výklad Aristotela podle Averroese. To byl epochální interpretační výkon, který bohužel zůstal zcela mimo intelektuální kapacitu tehdejší moderny. </w:t>
      </w:r>
      <w:r w:rsidR="008423E6" w:rsidRPr="008423E6">
        <w:t>Sigerovu filozofii bohužel odmítli teologičtí aristotelici</w:t>
      </w:r>
      <w:r w:rsidR="008423E6">
        <w:fldChar w:fldCharType="begin"/>
      </w:r>
      <w:r w:rsidR="008423E6">
        <w:instrText xml:space="preserve"> XE "</w:instrText>
      </w:r>
      <w:r w:rsidR="008423E6" w:rsidRPr="003040F4">
        <w:instrText>semiaverroismus</w:instrText>
      </w:r>
      <w:r w:rsidR="008423E6">
        <w:instrText xml:space="preserve">" </w:instrText>
      </w:r>
      <w:r w:rsidR="008423E6">
        <w:fldChar w:fldCharType="end"/>
      </w:r>
      <w:r w:rsidR="008423E6" w:rsidRPr="008423E6">
        <w:t xml:space="preserve"> usazení v náboženských školách </w:t>
      </w:r>
      <w:r w:rsidR="008423E6" w:rsidRPr="008423E6">
        <w:rPr>
          <w:i/>
        </w:rPr>
        <w:t>sophistae Latini</w:t>
      </w:r>
      <w:r w:rsidR="008423E6">
        <w:t xml:space="preserve"> </w:t>
      </w:r>
      <w:r w:rsidR="008423E6" w:rsidRPr="008423E6">
        <w:t xml:space="preserve">(Aegidius, Akvinský). V protikladu ke škole </w:t>
      </w:r>
      <w:r w:rsidR="008423E6">
        <w:lastRenderedPageBreak/>
        <w:t xml:space="preserve">druhého </w:t>
      </w:r>
      <w:r w:rsidR="008423E6" w:rsidRPr="008423E6">
        <w:t>averroismu</w:t>
      </w:r>
      <w:r w:rsidR="008423E6">
        <w:t xml:space="preserve">, tito semiaverroisté </w:t>
      </w:r>
      <w:r w:rsidR="008423E6" w:rsidRPr="008423E6">
        <w:t xml:space="preserve">velmi dobře </w:t>
      </w:r>
      <w:r w:rsidR="008423E6">
        <w:t xml:space="preserve">pochopili Sigerovu </w:t>
      </w:r>
      <w:r w:rsidR="008423E6" w:rsidRPr="008423E6">
        <w:t>argu</w:t>
      </w:r>
      <w:r w:rsidR="008423E6">
        <w:t>mentaci, ale odmít</w:t>
      </w:r>
      <w:r w:rsidR="008423E6" w:rsidRPr="008423E6">
        <w:t>li ji</w:t>
      </w:r>
      <w:r w:rsidR="008423E6">
        <w:t xml:space="preserve"> z teologických důvodů</w:t>
      </w:r>
      <w:r w:rsidR="008423E6" w:rsidRPr="008423E6">
        <w:t xml:space="preserve">. </w:t>
      </w:r>
      <w:r w:rsidR="008423E6">
        <w:t xml:space="preserve">To byl případ </w:t>
      </w:r>
      <w:r w:rsidR="08181B82">
        <w:t>Albert</w:t>
      </w:r>
      <w:r w:rsidR="008423E6">
        <w:t>a, kterého Siger kritizoval. Albert odmítl filosofii „</w:t>
      </w:r>
      <w:r w:rsidR="008423E6" w:rsidRPr="008423E6">
        <w:rPr>
          <w:i/>
        </w:rPr>
        <w:t>pars Sigeri</w:t>
      </w:r>
      <w:r w:rsidR="008423E6">
        <w:t xml:space="preserve">“ nepřímo, ale zato velmi efektivně. </w:t>
      </w:r>
      <w:r w:rsidR="08181B82">
        <w:t xml:space="preserve">Albert </w:t>
      </w:r>
      <w:r>
        <w:t xml:space="preserve">nepřišel na pomoc </w:t>
      </w:r>
      <w:r w:rsidR="008423E6">
        <w:t xml:space="preserve">této </w:t>
      </w:r>
      <w:r>
        <w:t xml:space="preserve">škole biskupa Alverna v těžkých časech hlavního útoku </w:t>
      </w:r>
      <w:r w:rsidR="008423E6">
        <w:t xml:space="preserve">v letech </w:t>
      </w:r>
      <w:r>
        <w:t xml:space="preserve">1270‒74. </w:t>
      </w:r>
      <w:r w:rsidR="008423E6">
        <w:t xml:space="preserve">A přitom k ní patřil, což Siger jasně prohlásil na jeho obranu. </w:t>
      </w:r>
      <w:r>
        <w:t xml:space="preserve">Siger brilantně obhájil tradici autentického aristotelismu na Pařížské univerzitě v Rue du Fouarre, proto se stal rektorem zdejších artistů. Následující citát </w:t>
      </w:r>
      <w:r w:rsidR="00A169E4">
        <w:t>jednotu</w:t>
      </w:r>
      <w:r>
        <w:t xml:space="preserve"> intelektu podle správně vyloženého </w:t>
      </w:r>
      <w:r w:rsidRPr="08A94571">
        <w:rPr>
          <w:i/>
        </w:rPr>
        <w:t>intentum</w:t>
      </w:r>
      <w:r>
        <w:rPr>
          <w:i/>
        </w:rPr>
        <w:t xml:space="preserve"> </w:t>
      </w:r>
      <w:r w:rsidR="00A169E4">
        <w:t>Aristotelovy</w:t>
      </w:r>
      <w:r w:rsidRPr="083F04F0">
        <w:t xml:space="preserve"> metafyziky</w:t>
      </w:r>
      <w:r>
        <w:t xml:space="preserve">. </w:t>
      </w:r>
    </w:p>
    <w:p w:rsidR="08163013" w:rsidRPr="00103F80" w:rsidRDefault="08163013" w:rsidP="08163013">
      <w:pPr>
        <w:pStyle w:val="Citace"/>
        <w:rPr>
          <w:noProof/>
          <w:lang w:val="cs-CZ"/>
        </w:rPr>
      </w:pPr>
      <w:r w:rsidRPr="00273106">
        <w:rPr>
          <w:noProof/>
          <w:lang w:val="cs-CZ"/>
        </w:rPr>
        <w:t>„</w:t>
      </w:r>
      <w:r>
        <w:rPr>
          <w:noProof/>
          <w:lang w:val="cs-CZ"/>
        </w:rPr>
        <w:t>Činný a možný intelekt je nutno chápat tak, že to nejsou dvě substance, ale dvě odlišné schopnosti jedné a téže substance. To už tušil (</w:t>
      </w:r>
      <w:r w:rsidRPr="00986937">
        <w:rPr>
          <w:i/>
          <w:noProof/>
          <w:lang w:val="cs-CZ"/>
        </w:rPr>
        <w:t>sentit</w:t>
      </w:r>
      <w:r>
        <w:rPr>
          <w:noProof/>
          <w:lang w:val="cs-CZ"/>
        </w:rPr>
        <w:t xml:space="preserve">) Aristoteles, když tvrdil ve třetí knize </w:t>
      </w:r>
      <w:r w:rsidRPr="00103F80">
        <w:rPr>
          <w:i/>
          <w:noProof/>
          <w:lang w:val="cs-CZ"/>
        </w:rPr>
        <w:t>De anima</w:t>
      </w:r>
      <w:r>
        <w:rPr>
          <w:noProof/>
          <w:lang w:val="cs-CZ"/>
        </w:rPr>
        <w:t xml:space="preserve">, že jeden rod </w:t>
      </w:r>
      <w:r w:rsidR="08877A1B">
        <w:rPr>
          <w:rFonts w:cs="Calibri"/>
          <w:noProof/>
          <w:lang w:val="cs-CZ"/>
        </w:rPr>
        <w:t>[intelektu]</w:t>
      </w:r>
      <w:r w:rsidR="08877A1B">
        <w:rPr>
          <w:noProof/>
          <w:lang w:val="cs-CZ"/>
        </w:rPr>
        <w:t xml:space="preserve"> </w:t>
      </w:r>
      <w:r>
        <w:rPr>
          <w:noProof/>
          <w:lang w:val="cs-CZ"/>
        </w:rPr>
        <w:t>má schopnost, skrze něž všechno poznání dělá, a druhému rodu patří schopnost, být pro všechno</w:t>
      </w:r>
      <w:r w:rsidRPr="00422EB9">
        <w:rPr>
          <w:noProof/>
          <w:lang w:val="cs-CZ"/>
        </w:rPr>
        <w:t xml:space="preserve"> </w:t>
      </w:r>
      <w:r>
        <w:rPr>
          <w:noProof/>
          <w:lang w:val="cs-CZ"/>
        </w:rPr>
        <w:t xml:space="preserve">v potenci. V duši dané spojením činného a trpného intelektu přijímáme a abstrahujeme podle individuálního chtění. Tím konstatujeme, že jde o schopnosti jedné a téže substance a našeho intelektu.“ </w:t>
      </w:r>
      <w:r>
        <w:rPr>
          <w:rStyle w:val="Znakapoznpodarou"/>
        </w:rPr>
        <w:footnoteReference w:id="245"/>
      </w:r>
    </w:p>
    <w:p w:rsidR="08163013" w:rsidRDefault="08163013" w:rsidP="08163013">
      <w:r w:rsidRPr="00273106">
        <w:t>Jednota intelektu (</w:t>
      </w:r>
      <w:r w:rsidRPr="00273106">
        <w:rPr>
          <w:i/>
        </w:rPr>
        <w:t>de intellectu agente et possibili</w:t>
      </w:r>
      <w:r w:rsidRPr="00273106">
        <w:t xml:space="preserve">) je dána dvěma </w:t>
      </w:r>
      <w:r w:rsidR="00092524">
        <w:t xml:space="preserve">odlišnými </w:t>
      </w:r>
      <w:r w:rsidRPr="00273106">
        <w:t>schopnostmi duše (receptivní, syntetickou), které jsou dány v rámci jedné existující substance</w:t>
      </w:r>
      <w:r>
        <w:fldChar w:fldCharType="begin"/>
      </w:r>
      <w:r>
        <w:instrText xml:space="preserve"> XE "osoba:hylemorfická </w:instrText>
      </w:r>
      <w:r w:rsidRPr="00DE2A32">
        <w:instrText>substance</w:instrText>
      </w:r>
      <w:r>
        <w:instrText xml:space="preserve">" </w:instrText>
      </w:r>
      <w:r>
        <w:fldChar w:fldCharType="end"/>
      </w:r>
      <w:r w:rsidRPr="00273106">
        <w:t xml:space="preserve"> (</w:t>
      </w:r>
      <w:r w:rsidRPr="00273106">
        <w:rPr>
          <w:i/>
        </w:rPr>
        <w:t>sunt duae virtutes eiusdem substantiae</w:t>
      </w:r>
      <w:r w:rsidRPr="00273106">
        <w:t>). Díky správnému pojetí těchto dvou schopností platí teze o univer</w:t>
      </w:r>
      <w:r>
        <w:t>zální receptivitě duše. T</w:t>
      </w:r>
      <w:r w:rsidRPr="00273106">
        <w:t xml:space="preserve">ím </w:t>
      </w:r>
      <w:r>
        <w:t xml:space="preserve">je fundamentálně dána </w:t>
      </w:r>
      <w:r w:rsidRPr="00273106">
        <w:t xml:space="preserve">možnost univerzálního poznání </w:t>
      </w:r>
      <w:r>
        <w:t xml:space="preserve">tím, že jedna schopnost může vše syntetizovat a druhá odlišná schopnost zase vše přijmout v čisté potenci </w:t>
      </w:r>
      <w:r w:rsidRPr="00273106">
        <w:t>(</w:t>
      </w:r>
      <w:r w:rsidRPr="00273106">
        <w:rPr>
          <w:i/>
        </w:rPr>
        <w:t>est omnia facere et aliquod aliud quod est in potentia omnia</w:t>
      </w:r>
      <w:r w:rsidRPr="00273106">
        <w:t xml:space="preserve">). Obě oddělené schopnosti </w:t>
      </w:r>
      <w:r>
        <w:t xml:space="preserve">duše dané v rámci dvojího aktu </w:t>
      </w:r>
      <w:r w:rsidR="00F77AF0">
        <w:t>osobního</w:t>
      </w:r>
      <w:r w:rsidRPr="00273106">
        <w:t xml:space="preserve"> porozumění (</w:t>
      </w:r>
      <w:r w:rsidRPr="00273106">
        <w:rPr>
          <w:i/>
        </w:rPr>
        <w:t>passio</w:t>
      </w:r>
      <w:r w:rsidRPr="00273106">
        <w:t xml:space="preserve">, </w:t>
      </w:r>
      <w:r w:rsidRPr="00273106">
        <w:rPr>
          <w:i/>
        </w:rPr>
        <w:t>actio</w:t>
      </w:r>
      <w:r w:rsidRPr="00273106">
        <w:t xml:space="preserve">) tvoří </w:t>
      </w:r>
      <w:r>
        <w:t xml:space="preserve">substanční </w:t>
      </w:r>
      <w:r w:rsidRPr="00273106">
        <w:t>jednotu</w:t>
      </w:r>
      <w:r>
        <w:t xml:space="preserve"> </w:t>
      </w:r>
      <w:r w:rsidRPr="00273106">
        <w:t>(</w:t>
      </w:r>
      <w:r w:rsidRPr="00273106">
        <w:rPr>
          <w:i/>
        </w:rPr>
        <w:t>virtutes eiusdem substantiae</w:t>
      </w:r>
      <w:r w:rsidRPr="00273106">
        <w:t>)</w:t>
      </w:r>
      <w:r>
        <w:t xml:space="preserve"> </w:t>
      </w:r>
      <w:r w:rsidRPr="00273106">
        <w:t>intelektu</w:t>
      </w:r>
      <w:r>
        <w:t xml:space="preserve"> daného v rámci </w:t>
      </w:r>
      <w:r w:rsidR="002E2CF7">
        <w:t xml:space="preserve">poznávající </w:t>
      </w:r>
      <w:r>
        <w:t>osoby (</w:t>
      </w:r>
      <w:r w:rsidRPr="00273106">
        <w:rPr>
          <w:i/>
        </w:rPr>
        <w:t>intellectus nostri</w:t>
      </w:r>
      <w:r>
        <w:t>)</w:t>
      </w:r>
      <w:r w:rsidRPr="00273106">
        <w:t xml:space="preserve">. </w:t>
      </w:r>
      <w:r>
        <w:t>I</w:t>
      </w:r>
      <w:r w:rsidRPr="00273106">
        <w:t>ntelekt není oddělená substance, jak to má druhý averroismus</w:t>
      </w:r>
      <w:r w:rsidR="00F279CC">
        <w:t xml:space="preserve">, protože </w:t>
      </w:r>
      <w:r>
        <w:t xml:space="preserve">jde o dvě </w:t>
      </w:r>
      <w:r w:rsidR="0020130C">
        <w:t xml:space="preserve">komplementární </w:t>
      </w:r>
      <w:r>
        <w:t xml:space="preserve">schopnosti duše. Proto </w:t>
      </w:r>
      <w:r w:rsidRPr="00273106">
        <w:t xml:space="preserve">máme oba akty </w:t>
      </w:r>
      <w:r>
        <w:t xml:space="preserve">pasivního a aktivního </w:t>
      </w:r>
      <w:r w:rsidRPr="00273106">
        <w:t>myšlení plně ve své moci (</w:t>
      </w:r>
      <w:r w:rsidRPr="00273106">
        <w:rPr>
          <w:i/>
        </w:rPr>
        <w:t>recipimus et abstrahimus ad libitum nostrum</w:t>
      </w:r>
      <w:r w:rsidRPr="00273106">
        <w:t xml:space="preserve">). </w:t>
      </w:r>
      <w:r w:rsidR="003865AC">
        <w:t xml:space="preserve">Teorie </w:t>
      </w:r>
      <w:r w:rsidRPr="00273106">
        <w:t xml:space="preserve">plně </w:t>
      </w:r>
      <w:r w:rsidR="003865AC">
        <w:t xml:space="preserve">personalizovaného </w:t>
      </w:r>
      <w:r w:rsidRPr="00273106">
        <w:t>poznání je tím uzavřen</w:t>
      </w:r>
      <w:r w:rsidR="003865AC">
        <w:t xml:space="preserve">a; </w:t>
      </w:r>
      <w:r>
        <w:t>z</w:t>
      </w:r>
      <w:r w:rsidRPr="00273106">
        <w:t>ároveň jsou odmítnuty všechny základní teze druhého averroismu. Tento jasný a precizní styl Sigerova myšlení obdivoval a chválil Dante</w:t>
      </w:r>
      <w:r>
        <w:fldChar w:fldCharType="begin"/>
      </w:r>
      <w:r>
        <w:instrText xml:space="preserve"> XE "</w:instrText>
      </w:r>
      <w:r w:rsidRPr="00E871B9">
        <w:instrText>Dante, A.</w:instrText>
      </w:r>
      <w:r>
        <w:instrText xml:space="preserve">" </w:instrText>
      </w:r>
      <w:r>
        <w:fldChar w:fldCharType="end"/>
      </w:r>
      <w:r>
        <w:t xml:space="preserve">. Proto </w:t>
      </w:r>
      <w:r w:rsidRPr="00273106">
        <w:t>přidal tohoto skromného, nenápadného a pronásledovaného magistra do nebeského panteonu křesťanských filosofů</w:t>
      </w:r>
      <w:r>
        <w:t xml:space="preserve"> velmi specifickým </w:t>
      </w:r>
      <w:r>
        <w:lastRenderedPageBreak/>
        <w:t xml:space="preserve">způsobem. Magistr Siger v 10. zpěvu ráje završuje filosofii </w:t>
      </w:r>
      <w:r w:rsidRPr="00273106">
        <w:t>obou známých dominikánů</w:t>
      </w:r>
      <w:r>
        <w:t xml:space="preserve">, Alberta a Akvinského. Opravil a doplnil to, co bylo u těchto dvou aristotelských myslitelů nedokonalé. </w:t>
      </w:r>
      <w:r w:rsidR="00263EC7">
        <w:t>Proto Danta považuje S</w:t>
      </w:r>
      <w:r>
        <w:t>iger</w:t>
      </w:r>
      <w:r w:rsidR="00263EC7">
        <w:t>a</w:t>
      </w:r>
      <w:r>
        <w:t xml:space="preserve"> </w:t>
      </w:r>
      <w:r w:rsidR="00263EC7">
        <w:t xml:space="preserve">za </w:t>
      </w:r>
      <w:r>
        <w:t>největší</w:t>
      </w:r>
      <w:r w:rsidR="00263EC7">
        <w:t>ho tehdejšího filosofa</w:t>
      </w:r>
      <w:r>
        <w:t xml:space="preserve">. Bonaventura </w:t>
      </w:r>
      <w:r w:rsidR="00263EC7">
        <w:t xml:space="preserve">nepatří </w:t>
      </w:r>
      <w:r>
        <w:t>k této trojici filosofických představitelů prvního averroismu</w:t>
      </w:r>
      <w:r w:rsidR="00263EC7">
        <w:t xml:space="preserve">. Je </w:t>
      </w:r>
      <w:r>
        <w:t>chválen pro církevní a teologické zásluhy (</w:t>
      </w:r>
      <w:r w:rsidRPr="00D127CF">
        <w:rPr>
          <w:i/>
        </w:rPr>
        <w:t>Paradiso</w:t>
      </w:r>
      <w:r>
        <w:t xml:space="preserve">, </w:t>
      </w:r>
      <w:r w:rsidRPr="001C36EB">
        <w:rPr>
          <w:i/>
        </w:rPr>
        <w:t>canto</w:t>
      </w:r>
      <w:r>
        <w:t xml:space="preserve"> XII</w:t>
      </w:r>
      <w:r>
        <w:fldChar w:fldCharType="begin"/>
      </w:r>
      <w:r>
        <w:instrText xml:space="preserve"> XE "Dante:</w:instrText>
      </w:r>
      <w:r w:rsidRPr="001D5719">
        <w:rPr>
          <w:i/>
        </w:rPr>
        <w:instrText>Paradiso</w:instrText>
      </w:r>
      <w:r w:rsidRPr="001D5719">
        <w:instrText xml:space="preserve"> 12</w:instrText>
      </w:r>
      <w:r>
        <w:instrText xml:space="preserve">" </w:instrText>
      </w:r>
      <w:r>
        <w:fldChar w:fldCharType="end"/>
      </w:r>
      <w:r>
        <w:t>).</w:t>
      </w:r>
      <w:r w:rsidRPr="003C341A">
        <w:t xml:space="preserve"> </w:t>
      </w:r>
      <w:r w:rsidR="00263EC7" w:rsidRPr="00263EC7">
        <w:t xml:space="preserve">Dantovo hodnocení je přesně v souladu s analýzou uvedenou ve čtvrté matici. </w:t>
      </w:r>
      <w:r>
        <w:t xml:space="preserve">Florentský myslitel </w:t>
      </w:r>
      <w:r w:rsidRPr="00273106">
        <w:t xml:space="preserve">na rozdíl od </w:t>
      </w:r>
      <w:r>
        <w:t xml:space="preserve">tehdejších </w:t>
      </w:r>
      <w:r w:rsidRPr="00273106">
        <w:t xml:space="preserve">modernistů </w:t>
      </w:r>
      <w:r>
        <w:t xml:space="preserve">a dnešních postmodernistů pravdivě </w:t>
      </w:r>
      <w:r w:rsidRPr="00273106">
        <w:t xml:space="preserve">uznal epochální </w:t>
      </w:r>
      <w:r>
        <w:t xml:space="preserve">Sigerovy </w:t>
      </w:r>
      <w:r w:rsidRPr="00273106">
        <w:t>zásluhy pro rajsky danou věčnost</w:t>
      </w:r>
      <w:r w:rsidR="00707556">
        <w:t>.</w:t>
      </w:r>
    </w:p>
    <w:p w:rsidR="00707556" w:rsidRPr="00273106" w:rsidRDefault="00707556" w:rsidP="08163013">
      <w:r>
        <w:tab/>
        <w:t>Siger se stal objektivně vytěsněným zakladatelm západního humanismu</w:t>
      </w:r>
      <w:r>
        <w:fldChar w:fldCharType="begin"/>
      </w:r>
      <w:r>
        <w:instrText xml:space="preserve"> XE "</w:instrText>
      </w:r>
      <w:r w:rsidRPr="00482AFE">
        <w:instrText>humanismus:Siger</w:instrText>
      </w:r>
      <w:r>
        <w:instrText xml:space="preserve">" </w:instrText>
      </w:r>
      <w:r>
        <w:fldChar w:fldCharType="end"/>
      </w:r>
      <w:r>
        <w:t xml:space="preserve">. Rozdíl v určení člověka mezi modernou a prvním averroismem ukázal </w:t>
      </w:r>
      <w:r w:rsidRPr="00273106">
        <w:t>spor o</w:t>
      </w:r>
      <w:r>
        <w:t>hledně</w:t>
      </w:r>
      <w:r w:rsidRPr="00273106">
        <w:t xml:space="preserve"> </w:t>
      </w:r>
      <w:r>
        <w:t>„</w:t>
      </w:r>
      <w:r w:rsidRPr="08F82A48">
        <w:rPr>
          <w:i/>
          <w:szCs w:val="24"/>
        </w:rPr>
        <w:t>homo mortuus</w:t>
      </w:r>
      <w:r>
        <w:rPr>
          <w:szCs w:val="24"/>
        </w:rPr>
        <w:t>“</w:t>
      </w:r>
      <w:r w:rsidRPr="08F82A48">
        <w:rPr>
          <w:i/>
          <w:szCs w:val="24"/>
        </w:rPr>
        <w:t xml:space="preserve"> </w:t>
      </w:r>
      <w:r w:rsidRPr="00273106">
        <w:t xml:space="preserve">zmíněný v traktátu </w:t>
      </w:r>
      <w:r>
        <w:rPr>
          <w:i/>
        </w:rPr>
        <w:t>De anima et de potenciis eius</w:t>
      </w:r>
      <w:r w:rsidRPr="00273106">
        <w:t xml:space="preserve"> </w:t>
      </w:r>
      <w:r>
        <w:t>(OBJ II, kap. 2</w:t>
      </w:r>
      <w:r w:rsidRPr="00273106">
        <w:t>.2</w:t>
      </w:r>
      <w:r>
        <w:t>.1</w:t>
      </w:r>
      <w:r w:rsidRPr="00273106">
        <w:t>).</w:t>
      </w:r>
      <w:r>
        <w:t xml:space="preserve"> P</w:t>
      </w:r>
      <w:r w:rsidRPr="00273106">
        <w:t>ředešl</w:t>
      </w:r>
      <w:r>
        <w:t xml:space="preserve">á </w:t>
      </w:r>
      <w:r w:rsidRPr="00273106">
        <w:t>matric</w:t>
      </w:r>
      <w:r>
        <w:t>e</w:t>
      </w:r>
      <w:r w:rsidRPr="00273106">
        <w:t xml:space="preserve"> zkouma</w:t>
      </w:r>
      <w:r>
        <w:t xml:space="preserve">la </w:t>
      </w:r>
      <w:r w:rsidRPr="00273106">
        <w:t xml:space="preserve">školu </w:t>
      </w:r>
      <w:r w:rsidRPr="00273106">
        <w:rPr>
          <w:i/>
        </w:rPr>
        <w:t>Nominales</w:t>
      </w:r>
      <w:r>
        <w:t xml:space="preserve">, která etablovala </w:t>
      </w:r>
      <w:r w:rsidRPr="00273106">
        <w:t xml:space="preserve">podobu moderního humanismu </w:t>
      </w:r>
      <w:r>
        <w:t xml:space="preserve">odvozeného od specificky hypostázované mrtvoly. První averroismus brání humanismus v modu </w:t>
      </w:r>
      <w:r w:rsidRPr="08790599">
        <w:rPr>
          <w:i/>
        </w:rPr>
        <w:t>dativus finalis</w:t>
      </w:r>
      <w:r>
        <w:rPr>
          <w:i/>
        </w:rPr>
        <w:fldChar w:fldCharType="begin"/>
      </w:r>
      <w:r>
        <w:instrText xml:space="preserve"> XE "</w:instrText>
      </w:r>
      <w:r w:rsidRPr="08B17F56">
        <w:rPr>
          <w:i/>
        </w:rPr>
        <w:instrText>dativus finalis</w:instrText>
      </w:r>
      <w:r>
        <w:instrText xml:space="preserve">" </w:instrText>
      </w:r>
      <w:r>
        <w:rPr>
          <w:i/>
        </w:rPr>
        <w:fldChar w:fldCharType="end"/>
      </w:r>
      <w:r>
        <w:t xml:space="preserve"> vztaženého k existující osobě. D</w:t>
      </w:r>
      <w:r w:rsidRPr="00273106">
        <w:t xml:space="preserve">vojí pojetí blaženosti </w:t>
      </w:r>
      <w:r>
        <w:t xml:space="preserve">je </w:t>
      </w:r>
      <w:r w:rsidRPr="00273106">
        <w:t xml:space="preserve">dané </w:t>
      </w:r>
      <w:r>
        <w:t xml:space="preserve">nejprve </w:t>
      </w:r>
      <w:r w:rsidRPr="00273106">
        <w:t xml:space="preserve">rozumem a </w:t>
      </w:r>
      <w:r>
        <w:t xml:space="preserve">pak je </w:t>
      </w:r>
      <w:r w:rsidRPr="00273106">
        <w:t xml:space="preserve">završené </w:t>
      </w:r>
      <w:r>
        <w:t xml:space="preserve">zjevenou křesťanskou </w:t>
      </w:r>
      <w:r w:rsidRPr="00273106">
        <w:t>vírou.</w:t>
      </w:r>
      <w:r>
        <w:t xml:space="preserve"> Sigerovo určení </w:t>
      </w:r>
      <w:r w:rsidRPr="00D56F57">
        <w:rPr>
          <w:i/>
        </w:rPr>
        <w:t>intellectus possibilis</w:t>
      </w:r>
      <w:r>
        <w:t xml:space="preserve"> mělo epochální dopad na evropské myšlení skrze Danteho, jenž převzal</w:t>
      </w:r>
      <w:r w:rsidRPr="00273106">
        <w:t xml:space="preserve"> </w:t>
      </w:r>
      <w:r>
        <w:t xml:space="preserve">Sigerovo </w:t>
      </w:r>
      <w:r w:rsidRPr="00273106">
        <w:t xml:space="preserve">pojetí </w:t>
      </w:r>
      <w:r w:rsidRPr="00273106">
        <w:rPr>
          <w:i/>
        </w:rPr>
        <w:t>intellectus possibilis</w:t>
      </w:r>
      <w:r w:rsidRPr="00273106">
        <w:t xml:space="preserve"> vzhledem lidstvu jako</w:t>
      </w:r>
      <w:r>
        <w:t xml:space="preserve"> </w:t>
      </w:r>
      <w:r>
        <w:rPr>
          <w:i/>
        </w:rPr>
        <w:t>species</w:t>
      </w:r>
      <w:r w:rsidRPr="00467963">
        <w:rPr>
          <w:i/>
        </w:rPr>
        <w:t xml:space="preserve"> human</w:t>
      </w:r>
      <w:r>
        <w:rPr>
          <w:i/>
        </w:rPr>
        <w:t>a</w:t>
      </w:r>
      <w:r>
        <w:rPr>
          <w:i/>
        </w:rPr>
        <w:fldChar w:fldCharType="begin"/>
      </w:r>
      <w:r>
        <w:instrText xml:space="preserve"> XE "</w:instrText>
      </w:r>
      <w:r w:rsidRPr="00770D02">
        <w:rPr>
          <w:i/>
        </w:rPr>
        <w:instrText>intellectus possibilis</w:instrText>
      </w:r>
      <w:r>
        <w:rPr>
          <w:i/>
        </w:rPr>
        <w:instrText>:</w:instrText>
      </w:r>
      <w:r w:rsidRPr="008D3A49">
        <w:instrText>Dante</w:instrText>
      </w:r>
      <w:r>
        <w:instrText xml:space="preserve">" </w:instrText>
      </w:r>
      <w:r>
        <w:rPr>
          <w:i/>
        </w:rPr>
        <w:fldChar w:fldCharType="end"/>
      </w:r>
      <w:r w:rsidRPr="00273106">
        <w:t xml:space="preserve">. </w:t>
      </w:r>
      <w:r>
        <w:t xml:space="preserve">V jeho pojetí receptivního intelektu jako specifického univerzálního určení lidstva je dáno </w:t>
      </w:r>
      <w:r w:rsidRPr="00D56F57">
        <w:rPr>
          <w:i/>
        </w:rPr>
        <w:t>Lichtung</w:t>
      </w:r>
      <w:r>
        <w:t xml:space="preserve"> západního humanismu určující jeho epochální </w:t>
      </w:r>
      <w:r w:rsidRPr="0079420E">
        <w:rPr>
          <w:i/>
        </w:rPr>
        <w:t>a/létheia</w:t>
      </w:r>
      <w:r>
        <w:rPr>
          <w:i/>
        </w:rPr>
        <w:fldChar w:fldCharType="begin"/>
      </w:r>
      <w:r>
        <w:instrText xml:space="preserve"> XE "</w:instrText>
      </w:r>
      <w:r w:rsidRPr="005670DA">
        <w:rPr>
          <w:i/>
        </w:rPr>
        <w:instrText>a/létheia:</w:instrText>
      </w:r>
      <w:r w:rsidRPr="00EE2E03">
        <w:instrText>humanismus</w:instrText>
      </w:r>
      <w:r>
        <w:instrText xml:space="preserve">" </w:instrText>
      </w:r>
      <w:r>
        <w:rPr>
          <w:i/>
        </w:rPr>
        <w:fldChar w:fldCharType="end"/>
      </w:r>
      <w:r>
        <w:t xml:space="preserve"> jak v modu pravdivé odkrytosti, tak i v modu objektivního </w:t>
      </w:r>
      <w:r w:rsidRPr="00D11D00">
        <w:rPr>
          <w:i/>
        </w:rPr>
        <w:t>Irrtum</w:t>
      </w:r>
      <w:r>
        <w:t xml:space="preserve">. Siger přesně určil způsob poznání osoby vzhledem k pravdě jako adekvaci. Byl nejlepším filosofem své doby, který vědecky správně obhájil substanciální jednotu osoby. Proto dal lidskému rodu specifickou jednotu vzhledem k jeho úkolu a cíli vše pravdivě poznat na svůj vlastní receptivní způsob, který není vlastní ani zvířatům, ani andělům, ani bohu. Brilantní </w:t>
      </w:r>
      <w:r>
        <w:rPr>
          <w:i/>
        </w:rPr>
        <w:t>Doctor Invidiosus</w:t>
      </w:r>
      <w:r>
        <w:rPr>
          <w:i/>
        </w:rPr>
        <w:fldChar w:fldCharType="begin"/>
      </w:r>
      <w:r>
        <w:instrText xml:space="preserve"> XE "</w:instrText>
      </w:r>
      <w:r w:rsidRPr="08F4470C">
        <w:rPr>
          <w:i/>
        </w:rPr>
        <w:instrText>Doctor Invidiosus</w:instrText>
      </w:r>
      <w:r>
        <w:instrText xml:space="preserve">" </w:instrText>
      </w:r>
      <w:r>
        <w:rPr>
          <w:i/>
        </w:rPr>
        <w:fldChar w:fldCharType="end"/>
      </w:r>
      <w:r>
        <w:rPr>
          <w:i/>
        </w:rPr>
        <w:t xml:space="preserve"> </w:t>
      </w:r>
      <w:r>
        <w:t xml:space="preserve">založil humanistickou verzi </w:t>
      </w:r>
      <w:r w:rsidRPr="08B87EB4">
        <w:rPr>
          <w:i/>
        </w:rPr>
        <w:t>dativus finalis</w:t>
      </w:r>
      <w:r>
        <w:rPr>
          <w:i/>
        </w:rPr>
        <w:fldChar w:fldCharType="begin"/>
      </w:r>
      <w:r>
        <w:instrText xml:space="preserve"> XE "</w:instrText>
      </w:r>
      <w:r w:rsidRPr="08744296">
        <w:rPr>
          <w:i/>
        </w:rPr>
        <w:instrText>dativus finalis</w:instrText>
      </w:r>
      <w:r>
        <w:instrText xml:space="preserve">" </w:instrText>
      </w:r>
      <w:r>
        <w:rPr>
          <w:i/>
        </w:rPr>
        <w:fldChar w:fldCharType="end"/>
      </w:r>
      <w:r>
        <w:t xml:space="preserve"> (kap. 4). Lidstvo je vybavené specificky danou schopností receptivního intelektu, která představuje společné určení lidstva. Existence filosofie je nutná k tomu, aby lidstvo bylo definováno v jedinečném modu </w:t>
      </w:r>
      <w:r>
        <w:rPr>
          <w:i/>
        </w:rPr>
        <w:t>species</w:t>
      </w:r>
      <w:r>
        <w:t xml:space="preserve">, protože rodem jsme </w:t>
      </w:r>
      <w:r w:rsidRPr="081B5B9D">
        <w:rPr>
          <w:i/>
        </w:rPr>
        <w:t>animalia</w:t>
      </w:r>
      <w:r>
        <w:t xml:space="preserve">. Možný intelekt podaný ve specifické univerzálii definoval podstatu celého lidského rodu tak, že přitom zůstala zachována jednota existující osoby jako fundamentu. </w:t>
      </w:r>
      <w:r w:rsidRPr="00273106">
        <w:t>Dante</w:t>
      </w:r>
      <w:r>
        <w:fldChar w:fldCharType="begin"/>
      </w:r>
      <w:r>
        <w:instrText xml:space="preserve"> XE "</w:instrText>
      </w:r>
      <w:r w:rsidRPr="00E871B9">
        <w:instrText>Dante, A.</w:instrText>
      </w:r>
      <w:r>
        <w:instrText xml:space="preserve">" </w:instrText>
      </w:r>
      <w:r>
        <w:fldChar w:fldCharType="end"/>
      </w:r>
      <w:r w:rsidRPr="00273106">
        <w:t xml:space="preserve"> použil pojetí </w:t>
      </w:r>
      <w:r w:rsidRPr="00273106">
        <w:rPr>
          <w:i/>
        </w:rPr>
        <w:t>intellectus possibilis</w:t>
      </w:r>
      <w:r w:rsidRPr="00273106">
        <w:t xml:space="preserve"> v jeho dvojím pojetí </w:t>
      </w:r>
      <w:r w:rsidRPr="00273106">
        <w:lastRenderedPageBreak/>
        <w:t>(</w:t>
      </w:r>
      <w:r w:rsidRPr="00273106">
        <w:rPr>
          <w:i/>
        </w:rPr>
        <w:t>fieri</w:t>
      </w:r>
      <w:r w:rsidRPr="00273106">
        <w:t xml:space="preserve">, </w:t>
      </w:r>
      <w:r w:rsidRPr="00273106">
        <w:rPr>
          <w:i/>
        </w:rPr>
        <w:t>esse</w:t>
      </w:r>
      <w:r w:rsidRPr="00273106">
        <w:t xml:space="preserve">) k tomu, aby zahájil </w:t>
      </w:r>
      <w:r>
        <w:t>praktickou epochu humanismu v rámci „</w:t>
      </w:r>
      <w:r w:rsidRPr="00273106">
        <w:rPr>
          <w:i/>
        </w:rPr>
        <w:t>universitas humana</w:t>
      </w:r>
      <w:r>
        <w:t>“</w:t>
      </w:r>
      <w:r>
        <w:rPr>
          <w:i/>
        </w:rPr>
        <w:fldChar w:fldCharType="begin"/>
      </w:r>
      <w:r>
        <w:instrText xml:space="preserve"> XE "</w:instrText>
      </w:r>
      <w:r w:rsidRPr="00A16633">
        <w:rPr>
          <w:i/>
        </w:rPr>
        <w:instrText>universitas humana</w:instrText>
      </w:r>
      <w:r>
        <w:instrText xml:space="preserve">" </w:instrText>
      </w:r>
      <w:r>
        <w:rPr>
          <w:i/>
        </w:rPr>
        <w:fldChar w:fldCharType="end"/>
      </w:r>
      <w:r w:rsidRPr="00273106">
        <w:t>.</w:t>
      </w:r>
      <w:r>
        <w:t xml:space="preserve"> S</w:t>
      </w:r>
      <w:r w:rsidRPr="00273106">
        <w:t xml:space="preserve">pis </w:t>
      </w:r>
      <w:r w:rsidRPr="003E5C89">
        <w:rPr>
          <w:i/>
        </w:rPr>
        <w:t>De</w:t>
      </w:r>
      <w:r>
        <w:t xml:space="preserve"> </w:t>
      </w:r>
      <w:r w:rsidRPr="00273106">
        <w:rPr>
          <w:i/>
        </w:rPr>
        <w:t>Monarchia</w:t>
      </w:r>
      <w:r>
        <w:t xml:space="preserve"> p</w:t>
      </w:r>
      <w:r w:rsidRPr="00273106">
        <w:t xml:space="preserve">ostupuje stejně jako Siger odkazem na CMDA, a to směrem od specifického </w:t>
      </w:r>
      <w:r>
        <w:t>„</w:t>
      </w:r>
      <w:r w:rsidRPr="00273106">
        <w:rPr>
          <w:i/>
        </w:rPr>
        <w:t>esse</w:t>
      </w:r>
      <w:r>
        <w:t>“</w:t>
      </w:r>
      <w:r w:rsidRPr="00273106">
        <w:t xml:space="preserve"> možného intelektu daného jako </w:t>
      </w:r>
      <w:r w:rsidRPr="003E5C89">
        <w:t>species</w:t>
      </w:r>
      <w:r w:rsidRPr="00273106">
        <w:t xml:space="preserve"> lidstva vzhledem k reálnému </w:t>
      </w:r>
      <w:r>
        <w:t>„</w:t>
      </w:r>
      <w:r w:rsidRPr="00273106">
        <w:rPr>
          <w:i/>
        </w:rPr>
        <w:t>fieri</w:t>
      </w:r>
      <w:r>
        <w:t>“</w:t>
      </w:r>
      <w:r w:rsidRPr="00273106">
        <w:t xml:space="preserve"> toho intelektu v</w:t>
      </w:r>
      <w:r>
        <w:t xml:space="preserve"> existující osobě </w:t>
      </w:r>
      <w:r>
        <w:fldChar w:fldCharType="begin"/>
      </w:r>
      <w:r>
        <w:instrText xml:space="preserve"> XE "</w:instrText>
      </w:r>
      <w:r w:rsidRPr="007804B8">
        <w:instrText>intelekt:</w:instrText>
      </w:r>
      <w:r w:rsidRPr="002F1398">
        <w:rPr>
          <w:i/>
        </w:rPr>
        <w:instrText>esse/fieri</w:instrText>
      </w:r>
      <w:r>
        <w:instrText xml:space="preserve">" </w:instrText>
      </w:r>
      <w:r>
        <w:fldChar w:fldCharType="end"/>
      </w:r>
      <w:r w:rsidRPr="00273106">
        <w:t>.</w:t>
      </w:r>
      <w:bookmarkStart w:id="38" w:name="_Ref408073414"/>
      <w:r w:rsidRPr="00273106">
        <w:rPr>
          <w:rStyle w:val="Znakapoznpodarou"/>
        </w:rPr>
        <w:footnoteReference w:id="246"/>
      </w:r>
      <w:bookmarkStart w:id="39" w:name="_Ref408061767"/>
      <w:bookmarkEnd w:id="38"/>
      <w:r>
        <w:t xml:space="preserve"> </w:t>
      </w:r>
      <w:r w:rsidRPr="00B86292">
        <w:t xml:space="preserve">Florentský myslitel a básník nepoužil výše zmíněný Sigerův argument ve filozofickém rámci věčnosti druhů, </w:t>
      </w:r>
      <w:r>
        <w:t xml:space="preserve">ale použil ji pro definici politické racionality. </w:t>
      </w:r>
      <w:bookmarkEnd w:id="39"/>
      <w:r>
        <w:t xml:space="preserve">Lidstvo realizuje specifický potenciál v rámci </w:t>
      </w:r>
      <w:r w:rsidRPr="00273106">
        <w:t>(</w:t>
      </w:r>
      <w:r w:rsidRPr="00273106">
        <w:rPr>
          <w:i/>
        </w:rPr>
        <w:t>fieri</w:t>
      </w:r>
      <w:r w:rsidRPr="00273106">
        <w:t>)</w:t>
      </w:r>
      <w:r>
        <w:t xml:space="preserve"> politické racionality jednotlivce (</w:t>
      </w:r>
      <w:r w:rsidRPr="00266EFF">
        <w:rPr>
          <w:i/>
        </w:rPr>
        <w:t>intellectus practicus</w:t>
      </w:r>
      <w:r>
        <w:rPr>
          <w:i/>
        </w:rPr>
        <w:fldChar w:fldCharType="begin"/>
      </w:r>
      <w:r>
        <w:instrText xml:space="preserve"> XE "</w:instrText>
      </w:r>
      <w:r w:rsidRPr="001A1255">
        <w:rPr>
          <w:i/>
        </w:rPr>
        <w:instrText>intellectus practicus</w:instrText>
      </w:r>
      <w:r>
        <w:instrText xml:space="preserve">" </w:instrText>
      </w:r>
      <w:r>
        <w:rPr>
          <w:i/>
        </w:rPr>
        <w:fldChar w:fldCharType="end"/>
      </w:r>
      <w:r>
        <w:t>). Dante</w:t>
      </w:r>
      <w:r>
        <w:fldChar w:fldCharType="begin"/>
      </w:r>
      <w:r>
        <w:instrText xml:space="preserve"> XE "</w:instrText>
      </w:r>
      <w:r w:rsidRPr="00E871B9">
        <w:instrText>Dante, A.</w:instrText>
      </w:r>
      <w:r>
        <w:instrText xml:space="preserve">" </w:instrText>
      </w:r>
      <w:r>
        <w:fldChar w:fldCharType="end"/>
      </w:r>
      <w:r>
        <w:t xml:space="preserve"> váže tuto politickou racionalitu na individuální výkon Albertova </w:t>
      </w:r>
      <w:r w:rsidRPr="003C63E9">
        <w:rPr>
          <w:i/>
        </w:rPr>
        <w:t>intellectus speculativus</w:t>
      </w:r>
      <w:r>
        <w:rPr>
          <w:i/>
        </w:rPr>
        <w:fldChar w:fldCharType="begin"/>
      </w:r>
      <w:r>
        <w:instrText xml:space="preserve"> XE "</w:instrText>
      </w:r>
      <w:r>
        <w:rPr>
          <w:i/>
        </w:rPr>
        <w:instrText>intellectus speculativus</w:instrText>
      </w:r>
      <w:r>
        <w:instrText xml:space="preserve">" </w:instrText>
      </w:r>
      <w:r>
        <w:rPr>
          <w:i/>
        </w:rPr>
        <w:fldChar w:fldCharType="end"/>
      </w:r>
      <w:r>
        <w:t xml:space="preserve"> (OBJ II, kap. 2.4.2). </w:t>
      </w:r>
      <w:r w:rsidRPr="009D00D4">
        <w:t xml:space="preserve">Siger interpretoval akt duše jako osobní výkon intelektu </w:t>
      </w:r>
      <w:r w:rsidRPr="00273106">
        <w:t>(τῆς τοιαύτης ψυχῆς ἔργον</w:t>
      </w:r>
      <w:r>
        <w:t xml:space="preserve">, </w:t>
      </w:r>
      <w:r w:rsidRPr="00273106">
        <w:rPr>
          <w:i/>
        </w:rPr>
        <w:t>De generatione animalium</w:t>
      </w:r>
      <w:r w:rsidRPr="00273106">
        <w:t xml:space="preserve"> </w:t>
      </w:r>
      <w:r w:rsidRPr="00FE3B5D">
        <w:t>736b12</w:t>
      </w:r>
      <w:r>
        <w:fldChar w:fldCharType="begin"/>
      </w:r>
      <w:r>
        <w:instrText xml:space="preserve"> XE "Aristoteles:</w:instrText>
      </w:r>
      <w:r w:rsidRPr="00273106">
        <w:rPr>
          <w:i/>
        </w:rPr>
        <w:instrText>De generatione animalium</w:instrText>
      </w:r>
      <w:r w:rsidRPr="00273106">
        <w:instrText xml:space="preserve"> </w:instrText>
      </w:r>
      <w:r w:rsidRPr="00FE3B5D">
        <w:instrText>736b12</w:instrText>
      </w:r>
      <w:r>
        <w:instrText xml:space="preserve">" </w:instrText>
      </w:r>
      <w:r>
        <w:fldChar w:fldCharType="end"/>
      </w:r>
      <w:r>
        <w:t>)</w:t>
      </w:r>
      <w:r w:rsidRPr="009D00D4">
        <w:t xml:space="preserve">. Dante využil Aristotelovu extenzi </w:t>
      </w:r>
      <w:r>
        <w:t xml:space="preserve">teoretického intelektu </w:t>
      </w:r>
      <w:r w:rsidRPr="009D00D4">
        <w:t>do praxe (</w:t>
      </w:r>
      <w:r w:rsidRPr="00566EC1">
        <w:rPr>
          <w:i/>
        </w:rPr>
        <w:t>intellectus speculativus extensione fit practicus</w:t>
      </w:r>
      <w:r w:rsidRPr="009D00D4">
        <w:t xml:space="preserve">, </w:t>
      </w:r>
      <w:r w:rsidRPr="00566EC1">
        <w:rPr>
          <w:i/>
        </w:rPr>
        <w:t>Mon</w:t>
      </w:r>
      <w:r>
        <w:t>. 1.3.9</w:t>
      </w:r>
      <w:r>
        <w:fldChar w:fldCharType="begin"/>
      </w:r>
      <w:r>
        <w:instrText xml:space="preserve"> XE "Dante:</w:instrText>
      </w:r>
      <w:r w:rsidRPr="00EF6A31">
        <w:rPr>
          <w:i/>
        </w:rPr>
        <w:instrText>Monarchia</w:instrText>
      </w:r>
      <w:r w:rsidRPr="00EF6A31">
        <w:instrText xml:space="preserve"> 1</w:instrText>
      </w:r>
      <w:r>
        <w:instrText xml:space="preserve">.3.9" </w:instrText>
      </w:r>
      <w:r>
        <w:fldChar w:fldCharType="end"/>
      </w:r>
      <w:r>
        <w:t xml:space="preserve">) k utváření osobně vykonávané </w:t>
      </w:r>
      <w:r w:rsidRPr="009D00D4">
        <w:t xml:space="preserve">politické moci. </w:t>
      </w:r>
      <w:r>
        <w:t xml:space="preserve">Spojení mezi </w:t>
      </w:r>
      <w:r w:rsidRPr="001B01E5">
        <w:rPr>
          <w:i/>
        </w:rPr>
        <w:t>tertium</w:t>
      </w:r>
      <w:r>
        <w:t xml:space="preserve"> a </w:t>
      </w:r>
      <w:r w:rsidRPr="001B01E5">
        <w:rPr>
          <w:i/>
        </w:rPr>
        <w:t>quartum</w:t>
      </w:r>
      <w:r>
        <w:t xml:space="preserve"> </w:t>
      </w:r>
      <w:r>
        <w:rPr>
          <w:i/>
        </w:rPr>
        <w:t>genus</w:t>
      </w:r>
      <w:r>
        <w:t xml:space="preserve"> vytváří literát Dante </w:t>
      </w:r>
      <w:r w:rsidRPr="007637DA">
        <w:t>pomocí synekdochy</w:t>
      </w:r>
      <w:r>
        <w:t xml:space="preserve"> kauzálně spojující celek a část.</w:t>
      </w:r>
      <w:r w:rsidRPr="00273106">
        <w:rPr>
          <w:rStyle w:val="Znakapoznpodarou"/>
        </w:rPr>
        <w:footnoteReference w:id="247"/>
      </w:r>
      <w:r w:rsidRPr="00273106">
        <w:t xml:space="preserve"> </w:t>
      </w:r>
      <w:r>
        <w:t>Racionální jednání tvoří</w:t>
      </w:r>
      <w:r w:rsidRPr="00273106">
        <w:t xml:space="preserve"> </w:t>
      </w:r>
      <w:r>
        <w:t>specifický výkon lidstva (</w:t>
      </w:r>
      <w:r w:rsidRPr="00273106">
        <w:rPr>
          <w:i/>
        </w:rPr>
        <w:t>operatio humane universitatis</w:t>
      </w:r>
      <w:r>
        <w:t>)</w:t>
      </w:r>
      <w:r w:rsidRPr="00273106">
        <w:t>, které k němu patří z hlediska finality intelektu jako nejvyšší složky v člověku (</w:t>
      </w:r>
      <w:r w:rsidRPr="00273106">
        <w:rPr>
          <w:i/>
        </w:rPr>
        <w:t>ad quam ipsa universitas hominum in tanta multitudine ordinatur</w:t>
      </w:r>
      <w:r w:rsidRPr="00273106">
        <w:t xml:space="preserve">; </w:t>
      </w:r>
      <w:r w:rsidRPr="00273106">
        <w:rPr>
          <w:i/>
        </w:rPr>
        <w:t>Mon</w:t>
      </w:r>
      <w:r>
        <w:rPr>
          <w:i/>
        </w:rPr>
        <w:t>.</w:t>
      </w:r>
      <w:r w:rsidRPr="00273106">
        <w:rPr>
          <w:i/>
        </w:rPr>
        <w:t xml:space="preserve"> </w:t>
      </w:r>
      <w:r w:rsidRPr="00273106">
        <w:t>1.3.4</w:t>
      </w:r>
      <w:r>
        <w:fldChar w:fldCharType="begin"/>
      </w:r>
      <w:r>
        <w:instrText xml:space="preserve"> XE "Dante:</w:instrText>
      </w:r>
      <w:r w:rsidRPr="00EF6A31">
        <w:rPr>
          <w:i/>
        </w:rPr>
        <w:instrText>Monarchia</w:instrText>
      </w:r>
      <w:r w:rsidRPr="00EF6A31">
        <w:instrText xml:space="preserve"> 1</w:instrText>
      </w:r>
      <w:r>
        <w:instrText xml:space="preserve">.3.4" </w:instrText>
      </w:r>
      <w:r>
        <w:fldChar w:fldCharType="end"/>
      </w:r>
      <w:r w:rsidRPr="00273106">
        <w:t xml:space="preserve">). </w:t>
      </w:r>
      <w:r>
        <w:t xml:space="preserve">Protože akt myšlení má univerzální </w:t>
      </w:r>
      <w:r>
        <w:rPr>
          <w:i/>
        </w:rPr>
        <w:t>species</w:t>
      </w:r>
      <w:r>
        <w:t xml:space="preserve"> dané abstraktně (Averroesův intelekt jako </w:t>
      </w:r>
      <w:r w:rsidRPr="00702BCD">
        <w:rPr>
          <w:i/>
        </w:rPr>
        <w:t xml:space="preserve">quartum </w:t>
      </w:r>
      <w:r>
        <w:rPr>
          <w:i/>
        </w:rPr>
        <w:t>genus</w:t>
      </w:r>
      <w:r>
        <w:t xml:space="preserve">), pak touto univerzální receptivitou na úrovni </w:t>
      </w:r>
      <w:r w:rsidRPr="00E9016B">
        <w:rPr>
          <w:i/>
        </w:rPr>
        <w:t>intellectus</w:t>
      </w:r>
      <w:r>
        <w:t xml:space="preserve"> </w:t>
      </w:r>
      <w:r w:rsidRPr="009E2415">
        <w:rPr>
          <w:i/>
        </w:rPr>
        <w:t>possibilis</w:t>
      </w:r>
      <w:r>
        <w:t xml:space="preserve"> je definována i jednota lidstva, které se stalo jedním druhem. Jsme jedinečným druhem (</w:t>
      </w:r>
      <w:r>
        <w:rPr>
          <w:i/>
        </w:rPr>
        <w:t>species</w:t>
      </w:r>
      <w:r w:rsidRPr="08620E1A">
        <w:rPr>
          <w:i/>
        </w:rPr>
        <w:t xml:space="preserve"> humana</w:t>
      </w:r>
      <w:r>
        <w:t xml:space="preserve">) jeden pro druhého, protože v sobě navzájem respektujeme tuto specificky lidskou přirozenost. Jako jedinečná osoba existujeme a myslíme, ale jako lidský druh se univerzálně poznáváme a predikujeme. Návazností na Al-Fárábího pojetí lidské přirozenosti vznikla nová forma humanity dnes objektivně vytěsněného humanismu (OBJ I, kap. 2.1.1). Abstraktní pojetí možného intelektu </w:t>
      </w:r>
      <w:r>
        <w:lastRenderedPageBreak/>
        <w:t xml:space="preserve">dalo </w:t>
      </w:r>
      <w:r w:rsidRPr="00273106">
        <w:t>základní určení</w:t>
      </w:r>
      <w:r>
        <w:t xml:space="preserve"> </w:t>
      </w:r>
      <w:r w:rsidRPr="00273106">
        <w:t>autonomně my</w:t>
      </w:r>
      <w:r>
        <w:t>slícího a jednajícího lidstva (</w:t>
      </w:r>
      <w:r w:rsidRPr="005E227B">
        <w:rPr>
          <w:i/>
        </w:rPr>
        <w:t>ultimum de potentia ipsius humanitatis</w:t>
      </w:r>
      <w:r>
        <w:t xml:space="preserve">; </w:t>
      </w:r>
      <w:r w:rsidRPr="001766B5">
        <w:rPr>
          <w:i/>
        </w:rPr>
        <w:t>Mon</w:t>
      </w:r>
      <w:r>
        <w:rPr>
          <w:i/>
        </w:rPr>
        <w:t>.</w:t>
      </w:r>
      <w:r>
        <w:t xml:space="preserve"> 1.3.7</w:t>
      </w:r>
      <w:r>
        <w:fldChar w:fldCharType="begin"/>
      </w:r>
      <w:r>
        <w:instrText xml:space="preserve"> XE "Dante:</w:instrText>
      </w:r>
      <w:r w:rsidRPr="00EF6A31">
        <w:rPr>
          <w:i/>
        </w:rPr>
        <w:instrText>Monarchia</w:instrText>
      </w:r>
      <w:r w:rsidRPr="00EF6A31">
        <w:instrText xml:space="preserve"> 1.3.7</w:instrText>
      </w:r>
      <w:r>
        <w:instrText xml:space="preserve">" </w:instrText>
      </w:r>
      <w:r>
        <w:fldChar w:fldCharType="end"/>
      </w:r>
      <w:r>
        <w:t xml:space="preserve">). Tímto odlišením vznikl </w:t>
      </w:r>
      <w:r w:rsidRPr="00273106">
        <w:t xml:space="preserve">na teoretické rovině </w:t>
      </w:r>
      <w:r>
        <w:t>specifický lidský receptivní intelekt (</w:t>
      </w:r>
      <w:r w:rsidRPr="006B4EA9">
        <w:rPr>
          <w:i/>
        </w:rPr>
        <w:t>intellectus possibilis</w:t>
      </w:r>
      <w:r>
        <w:t xml:space="preserve">) </w:t>
      </w:r>
      <w:r w:rsidRPr="00273106">
        <w:t xml:space="preserve">jako </w:t>
      </w:r>
      <w:r>
        <w:t xml:space="preserve">základ jednoty </w:t>
      </w:r>
      <w:r w:rsidRPr="00273106">
        <w:t>lidského rodu</w:t>
      </w:r>
      <w:r>
        <w:t>. Jednota lidstva je podle výše citovaného QIIIDA, q. 14 dána formě specifické možnosti celého lidského rodu mít vlastní specifické bytí (</w:t>
      </w:r>
      <w:r w:rsidRPr="000532E8">
        <w:rPr>
          <w:i/>
        </w:rPr>
        <w:t xml:space="preserve">humana </w:t>
      </w:r>
      <w:r>
        <w:rPr>
          <w:i/>
        </w:rPr>
        <w:t>species</w:t>
      </w:r>
      <w:r w:rsidRPr="000532E8">
        <w:rPr>
          <w:i/>
        </w:rPr>
        <w:t xml:space="preserve"> aeterna est</w:t>
      </w:r>
      <w:r>
        <w:t>) navázané na stejně specifickou schopnost myslet vlastní pouze člověku (</w:t>
      </w:r>
      <w:r w:rsidRPr="0081526A">
        <w:rPr>
          <w:i/>
        </w:rPr>
        <w:t>intellectus qui ei copulatur aeternus est</w:t>
      </w:r>
      <w:r>
        <w:t>)</w:t>
      </w:r>
      <w:r w:rsidRPr="00273106">
        <w:t xml:space="preserve">. Autonomní jednání a myšlení </w:t>
      </w:r>
      <w:r w:rsidR="006D7803">
        <w:t xml:space="preserve">osoby </w:t>
      </w:r>
      <w:r>
        <w:t xml:space="preserve">dané na úrovni existenciálního aktu </w:t>
      </w:r>
      <w:r w:rsidRPr="00273106">
        <w:t>(</w:t>
      </w:r>
      <w:r w:rsidRPr="002F38EA">
        <w:rPr>
          <w:i/>
        </w:rPr>
        <w:t>intellectum</w:t>
      </w:r>
      <w:r>
        <w:t xml:space="preserve"> </w:t>
      </w:r>
      <w:r>
        <w:rPr>
          <w:i/>
        </w:rPr>
        <w:t>fieri</w:t>
      </w:r>
      <w:r w:rsidRPr="00273106">
        <w:t>)</w:t>
      </w:r>
      <w:r>
        <w:t xml:space="preserve"> </w:t>
      </w:r>
      <w:r w:rsidRPr="00273106">
        <w:t xml:space="preserve">sleduje </w:t>
      </w:r>
      <w:r>
        <w:t>univerzální možnost poznání (</w:t>
      </w:r>
      <w:r w:rsidRPr="007B5513">
        <w:rPr>
          <w:i/>
        </w:rPr>
        <w:t>intellectum esse</w:t>
      </w:r>
      <w:r>
        <w:t xml:space="preserve">) </w:t>
      </w:r>
      <w:r w:rsidRPr="00273106">
        <w:t xml:space="preserve">v rámci lidstva jako </w:t>
      </w:r>
      <w:r>
        <w:t>specifické jednoty</w:t>
      </w:r>
      <w:r>
        <w:fldChar w:fldCharType="begin"/>
      </w:r>
      <w:r>
        <w:instrText xml:space="preserve"> XE "</w:instrText>
      </w:r>
      <w:r w:rsidRPr="007804B8">
        <w:instrText>intelekt:</w:instrText>
      </w:r>
      <w:r w:rsidRPr="002F1398">
        <w:rPr>
          <w:i/>
        </w:rPr>
        <w:instrText>esse/fieri</w:instrText>
      </w:r>
      <w:r>
        <w:instrText xml:space="preserve">" </w:instrText>
      </w:r>
      <w:r>
        <w:fldChar w:fldCharType="end"/>
      </w:r>
      <w:r>
        <w:t xml:space="preserve">. Tento poznávající intelekt jedná podle </w:t>
      </w:r>
      <w:r w:rsidRPr="08576F40">
        <w:rPr>
          <w:i/>
        </w:rPr>
        <w:t>Etiky Nikomachovy</w:t>
      </w:r>
      <w:r>
        <w:t xml:space="preserve"> v realitě zde a nyní jako kauzálně působící praktický intelekt </w:t>
      </w:r>
      <w:r w:rsidR="009F425A">
        <w:t xml:space="preserve">osoby </w:t>
      </w:r>
      <w:r>
        <w:t>(</w:t>
      </w:r>
      <w:r w:rsidRPr="00273106">
        <w:rPr>
          <w:i/>
        </w:rPr>
        <w:t>extensione fit practicus</w:t>
      </w:r>
      <w:r>
        <w:rPr>
          <w:i/>
        </w:rPr>
        <w:fldChar w:fldCharType="begin"/>
      </w:r>
      <w:r>
        <w:instrText xml:space="preserve"> XE "intelekt:</w:instrText>
      </w:r>
      <w:r w:rsidRPr="000614C2">
        <w:rPr>
          <w:i/>
        </w:rPr>
        <w:instrText>extensione fit practicus</w:instrText>
      </w:r>
      <w:r>
        <w:instrText xml:space="preserve">" </w:instrText>
      </w:r>
      <w:r>
        <w:rPr>
          <w:i/>
        </w:rPr>
        <w:fldChar w:fldCharType="end"/>
      </w:r>
      <w:r>
        <w:t>, kap. 6</w:t>
      </w:r>
      <w:r w:rsidRPr="00625F1F">
        <w:t>.1</w:t>
      </w:r>
      <w:r>
        <w:t xml:space="preserve">). Toto rozšíření se nesmí chápat averroisticky nasvícením zezadu od hypostázovaného </w:t>
      </w:r>
      <w:r w:rsidRPr="08576F40">
        <w:rPr>
          <w:i/>
        </w:rPr>
        <w:t>intellectus possibilis</w:t>
      </w:r>
      <w:r>
        <w:t xml:space="preserve">, ale společně se Sigerem a s Dantem od jednání jedinečné osoby, tedy nasvícením zepředu od etické a politické formy praktického intelektu jako </w:t>
      </w:r>
      <w:r w:rsidRPr="08D907F4">
        <w:rPr>
          <w:i/>
        </w:rPr>
        <w:t xml:space="preserve">tertium </w:t>
      </w:r>
      <w:r>
        <w:rPr>
          <w:i/>
        </w:rPr>
        <w:t>genus</w:t>
      </w:r>
      <w:r>
        <w:t>. Pak filosofická jednota lidstva zakládá i jednotu danou jako univerzální eticko-politické společenství (</w:t>
      </w:r>
      <w:r w:rsidRPr="008341B6">
        <w:rPr>
          <w:i/>
        </w:rPr>
        <w:t>universitas humana</w:t>
      </w:r>
      <w:r>
        <w:rPr>
          <w:i/>
        </w:rPr>
        <w:fldChar w:fldCharType="begin"/>
      </w:r>
      <w:r>
        <w:instrText xml:space="preserve"> XE "</w:instrText>
      </w:r>
      <w:r w:rsidRPr="00AD6445">
        <w:rPr>
          <w:i/>
        </w:rPr>
        <w:instrText>universitas humana</w:instrText>
      </w:r>
      <w:r>
        <w:instrText xml:space="preserve">" </w:instrText>
      </w:r>
      <w:r>
        <w:rPr>
          <w:i/>
        </w:rPr>
        <w:fldChar w:fldCharType="end"/>
      </w:r>
      <w:r>
        <w:t xml:space="preserve">). Politická činnost a teoretické poznání se staly epochálním osudem Západu a určují formu jeho lidskosti. Materiální intelekt animálně vázaný na smysly by tuto specifickou jednotu lidstva nevybudoval. Oddělený činný intelekt zase představuje způsob bytí vlastní kosmickým a andělským inteligencím, nikoliv smyslově poznávajícímu člověku. </w:t>
      </w:r>
      <w:r w:rsidRPr="00273106">
        <w:t xml:space="preserve">Předešlá kapitola ukázala, že </w:t>
      </w:r>
      <w:r>
        <w:t xml:space="preserve">lidský intelekt jako </w:t>
      </w:r>
      <w:r>
        <w:rPr>
          <w:i/>
        </w:rPr>
        <w:t>species</w:t>
      </w:r>
      <w:r>
        <w:t xml:space="preserve"> u Sigera je jasně oddělen</w:t>
      </w:r>
      <w:r w:rsidRPr="00273106">
        <w:t xml:space="preserve"> od věčného stvořen</w:t>
      </w:r>
      <w:r>
        <w:t xml:space="preserve">ého bytí kosmických inteligencí, které mají pouze plně aktuální </w:t>
      </w:r>
      <w:r w:rsidRPr="00850C93">
        <w:rPr>
          <w:i/>
        </w:rPr>
        <w:t>intellectus agens</w:t>
      </w:r>
      <w:r>
        <w:t xml:space="preserve"> (kap. 4</w:t>
      </w:r>
      <w:r w:rsidRPr="00273106">
        <w:t xml:space="preserve">.4.1). </w:t>
      </w:r>
      <w:r>
        <w:t xml:space="preserve">Proto je jednota lidstva budována na specifickém charakteru </w:t>
      </w:r>
      <w:r w:rsidRPr="007D102F">
        <w:rPr>
          <w:i/>
        </w:rPr>
        <w:t>intellectus possibilis</w:t>
      </w:r>
      <w:r>
        <w:rPr>
          <w:i/>
        </w:rPr>
        <w:t>, speculativus</w:t>
      </w:r>
      <w:r>
        <w:t xml:space="preserve"> a </w:t>
      </w:r>
      <w:r w:rsidRPr="00910158">
        <w:rPr>
          <w:i/>
        </w:rPr>
        <w:t>practicus</w:t>
      </w:r>
      <w:r>
        <w:t xml:space="preserve"> (modus </w:t>
      </w:r>
      <w:r w:rsidRPr="08F82A48">
        <w:rPr>
          <w:i/>
        </w:rPr>
        <w:t>separabilis</w:t>
      </w:r>
      <w:r>
        <w:t xml:space="preserve">), a ne na činném kosmickém </w:t>
      </w:r>
      <w:proofErr w:type="gramStart"/>
      <w:r>
        <w:t>intelektu  (modus</w:t>
      </w:r>
      <w:proofErr w:type="gramEnd"/>
      <w:r>
        <w:t xml:space="preserve"> </w:t>
      </w:r>
      <w:r w:rsidRPr="00B44B90">
        <w:rPr>
          <w:i/>
        </w:rPr>
        <w:t>separatus</w:t>
      </w:r>
      <w:r>
        <w:t xml:space="preserve">). </w:t>
      </w:r>
      <w:r w:rsidRPr="00273106">
        <w:t>Dante</w:t>
      </w:r>
      <w:r>
        <w:fldChar w:fldCharType="begin"/>
      </w:r>
      <w:r>
        <w:instrText xml:space="preserve"> XE "</w:instrText>
      </w:r>
      <w:r w:rsidRPr="00E871B9">
        <w:instrText>Dante, A.</w:instrText>
      </w:r>
      <w:r>
        <w:instrText xml:space="preserve">" </w:instrText>
      </w:r>
      <w:r>
        <w:fldChar w:fldCharType="end"/>
      </w:r>
      <w:r w:rsidRPr="00273106">
        <w:t xml:space="preserve"> zaháj</w:t>
      </w:r>
      <w:r>
        <w:t xml:space="preserve">il epochu evropského </w:t>
      </w:r>
      <w:r w:rsidRPr="00273106">
        <w:t>humanismu</w:t>
      </w:r>
      <w:r>
        <w:t xml:space="preserve"> tím, že upravil filosof</w:t>
      </w:r>
      <w:r w:rsidRPr="00273106">
        <w:t>i</w:t>
      </w:r>
      <w:r>
        <w:t xml:space="preserve">cký humanismus </w:t>
      </w:r>
      <w:r w:rsidRPr="00273106">
        <w:t xml:space="preserve">sekulárního kněze Sigera </w:t>
      </w:r>
      <w:r>
        <w:t>na politickou formu humanismu</w:t>
      </w:r>
      <w:r w:rsidRPr="00273106">
        <w:t xml:space="preserve">. </w:t>
      </w:r>
      <w:r>
        <w:t>Hermeneutika „</w:t>
      </w:r>
      <w:r w:rsidRPr="007637DA">
        <w:rPr>
          <w:i/>
        </w:rPr>
        <w:t>universitas humana</w:t>
      </w:r>
      <w:r>
        <w:t>“</w:t>
      </w:r>
      <w:r>
        <w:rPr>
          <w:i/>
        </w:rPr>
        <w:fldChar w:fldCharType="begin"/>
      </w:r>
      <w:r>
        <w:instrText xml:space="preserve"> XE "</w:instrText>
      </w:r>
      <w:r w:rsidRPr="00185C0A">
        <w:rPr>
          <w:i/>
        </w:rPr>
        <w:instrText>universitas humana</w:instrText>
      </w:r>
      <w:r>
        <w:instrText xml:space="preserve">" </w:instrText>
      </w:r>
      <w:r>
        <w:rPr>
          <w:i/>
        </w:rPr>
        <w:fldChar w:fldCharType="end"/>
      </w:r>
      <w:r w:rsidRPr="007637DA">
        <w:t xml:space="preserve"> ukázala na </w:t>
      </w:r>
      <w:r>
        <w:t>vý</w:t>
      </w:r>
      <w:r w:rsidRPr="007637DA">
        <w:t xml:space="preserve">kladu spisu </w:t>
      </w:r>
      <w:r>
        <w:rPr>
          <w:i/>
        </w:rPr>
        <w:t>M</w:t>
      </w:r>
      <w:r w:rsidRPr="007637DA">
        <w:rPr>
          <w:i/>
        </w:rPr>
        <w:t>onarchia</w:t>
      </w:r>
      <w:r w:rsidRPr="007637DA">
        <w:t>, že Dante</w:t>
      </w:r>
      <w:r>
        <w:fldChar w:fldCharType="begin"/>
      </w:r>
      <w:r>
        <w:instrText xml:space="preserve"> XE "</w:instrText>
      </w:r>
      <w:r w:rsidRPr="00E871B9">
        <w:instrText>Dante, A.</w:instrText>
      </w:r>
      <w:r>
        <w:instrText xml:space="preserve">" </w:instrText>
      </w:r>
      <w:r>
        <w:fldChar w:fldCharType="end"/>
      </w:r>
      <w:r w:rsidRPr="007637DA">
        <w:t xml:space="preserve"> nebyl averroista (Umlauf 2012). </w:t>
      </w:r>
      <w:r>
        <w:t xml:space="preserve">Florentský myslitel a básník </w:t>
      </w:r>
      <w:r w:rsidRPr="00273106">
        <w:t>by řekl</w:t>
      </w:r>
      <w:r>
        <w:t xml:space="preserve"> po vzoru Averroese a Sigera</w:t>
      </w:r>
      <w:r w:rsidRPr="00273106">
        <w:t xml:space="preserve">, že ipseita </w:t>
      </w:r>
      <w:r>
        <w:t>člověka jako politického tvora tkví v tom, že lidstvo jako „</w:t>
      </w:r>
      <w:r w:rsidRPr="00273106">
        <w:rPr>
          <w:i/>
        </w:rPr>
        <w:t>universitas humana</w:t>
      </w:r>
      <w:r>
        <w:t>“</w:t>
      </w:r>
      <w:r w:rsidRPr="00273106">
        <w:t xml:space="preserve"> </w:t>
      </w:r>
      <w:r w:rsidR="001256A4">
        <w:t xml:space="preserve">je definováno </w:t>
      </w:r>
      <w:r>
        <w:t>v rámci specificky a univerzálně stejné blaženosti a politické moudrosti</w:t>
      </w:r>
      <w:r w:rsidR="001256A4">
        <w:t xml:space="preserve">; </w:t>
      </w:r>
      <w:r w:rsidRPr="00273106">
        <w:t xml:space="preserve">ale každý </w:t>
      </w:r>
      <w:r>
        <w:t xml:space="preserve">ji realizuje </w:t>
      </w:r>
      <w:r w:rsidRPr="00273106">
        <w:t>sám za sebe</w:t>
      </w:r>
      <w:r w:rsidR="001256A4">
        <w:t xml:space="preserve"> skrze vlastní osobu</w:t>
      </w:r>
      <w:r w:rsidRPr="00273106">
        <w:t xml:space="preserve">. </w:t>
      </w:r>
      <w:r>
        <w:t>Dante</w:t>
      </w:r>
      <w:r>
        <w:fldChar w:fldCharType="begin"/>
      </w:r>
      <w:r>
        <w:instrText xml:space="preserve"> XE "</w:instrText>
      </w:r>
      <w:r w:rsidRPr="00E871B9">
        <w:instrText>Dante, A.</w:instrText>
      </w:r>
      <w:r>
        <w:instrText xml:space="preserve">" </w:instrText>
      </w:r>
      <w:r>
        <w:fldChar w:fldCharType="end"/>
      </w:r>
      <w:r>
        <w:t xml:space="preserve"> pochopil, že univerzální jednota intelektu, a tím i určení lidstva je </w:t>
      </w:r>
      <w:r>
        <w:lastRenderedPageBreak/>
        <w:t xml:space="preserve">dána mimo zjevenou teologickou pravdu. Jednota lidstva existuje specifickým způsobem ve </w:t>
      </w:r>
      <w:r w:rsidRPr="00273106">
        <w:t>filosofii velikánů jako Siger</w:t>
      </w:r>
      <w:r w:rsidR="00357C19">
        <w:t xml:space="preserve">, kterého </w:t>
      </w:r>
      <w:r w:rsidR="004C10EE">
        <w:t xml:space="preserve">Dante </w:t>
      </w:r>
      <w:r>
        <w:t xml:space="preserve">oslavil v </w:t>
      </w:r>
      <w:r w:rsidRPr="08EB132A">
        <w:rPr>
          <w:i/>
        </w:rPr>
        <w:t>Božské komedii</w:t>
      </w:r>
      <w:r w:rsidR="008135A3">
        <w:t xml:space="preserve"> božským způso</w:t>
      </w:r>
      <w:r w:rsidR="008135A3" w:rsidRPr="008135A3">
        <w:t>bem.</w:t>
      </w:r>
      <w:r>
        <w:t xml:space="preserve"> </w:t>
      </w:r>
      <w:r w:rsidRPr="00273106">
        <w:t xml:space="preserve">Proto se </w:t>
      </w:r>
      <w:r>
        <w:t>Dante</w:t>
      </w:r>
      <w:r>
        <w:fldChar w:fldCharType="begin"/>
      </w:r>
      <w:r>
        <w:instrText xml:space="preserve"> XE "</w:instrText>
      </w:r>
      <w:r w:rsidRPr="00E871B9">
        <w:instrText>Dante, A.</w:instrText>
      </w:r>
      <w:r>
        <w:instrText xml:space="preserve">" </w:instrText>
      </w:r>
      <w:r>
        <w:fldChar w:fldCharType="end"/>
      </w:r>
      <w:r>
        <w:t xml:space="preserve"> </w:t>
      </w:r>
      <w:r w:rsidRPr="00273106">
        <w:t xml:space="preserve">stal </w:t>
      </w:r>
      <w:r>
        <w:t xml:space="preserve">pro další generace </w:t>
      </w:r>
      <w:r w:rsidRPr="00F146A5">
        <w:rPr>
          <w:i/>
        </w:rPr>
        <w:t>Modernorum</w:t>
      </w:r>
      <w:r>
        <w:t xml:space="preserve"> stejným </w:t>
      </w:r>
      <w:r w:rsidRPr="00273106">
        <w:t>averroistou jako Siger.</w:t>
      </w:r>
    </w:p>
    <w:p w:rsidR="08163013" w:rsidRPr="00273106" w:rsidRDefault="00707556" w:rsidP="08163013">
      <w:pPr>
        <w:pStyle w:val="Nadpis3"/>
      </w:pPr>
      <w:bookmarkStart w:id="40" w:name="_Toc36144147"/>
      <w:r>
        <w:br w:type="page"/>
      </w:r>
      <w:bookmarkStart w:id="41" w:name="_Toc180231659"/>
      <w:r w:rsidR="08163013">
        <w:lastRenderedPageBreak/>
        <w:t>4.4.4</w:t>
      </w:r>
      <w:r w:rsidR="08163013" w:rsidRPr="00273106">
        <w:t xml:space="preserve"> </w:t>
      </w:r>
      <w:r w:rsidR="08163013">
        <w:t xml:space="preserve">Spor o titul </w:t>
      </w:r>
      <w:r w:rsidR="08163013" w:rsidRPr="080919C4">
        <w:rPr>
          <w:i/>
        </w:rPr>
        <w:t>Expositor Novus</w:t>
      </w:r>
      <w:bookmarkEnd w:id="40"/>
      <w:bookmarkEnd w:id="41"/>
      <w:r w:rsidR="08163013" w:rsidRPr="00273106">
        <w:t xml:space="preserve"> </w:t>
      </w:r>
    </w:p>
    <w:p w:rsidR="00A52D4E" w:rsidRDefault="08163013" w:rsidP="00A52D4E">
      <w:r w:rsidRPr="00273106">
        <w:rPr>
          <w:lang w:eastAsia="en-US"/>
        </w:rPr>
        <w:t xml:space="preserve">Po vydání Akvinského </w:t>
      </w:r>
      <w:r w:rsidR="08556682">
        <w:rPr>
          <w:lang w:eastAsia="en-US"/>
        </w:rPr>
        <w:t xml:space="preserve">díla </w:t>
      </w:r>
      <w:r w:rsidRPr="00273106">
        <w:rPr>
          <w:i/>
        </w:rPr>
        <w:t xml:space="preserve">De unitate intellectus </w:t>
      </w:r>
      <w:r w:rsidRPr="00273106">
        <w:rPr>
          <w:lang w:eastAsia="en-US"/>
        </w:rPr>
        <w:t xml:space="preserve">(1270) bylo Sigerovi jasné, že nauka </w:t>
      </w:r>
      <w:r w:rsidR="00CA3A1F">
        <w:rPr>
          <w:lang w:eastAsia="en-US"/>
        </w:rPr>
        <w:t xml:space="preserve">známých </w:t>
      </w:r>
      <w:r w:rsidRPr="00273106">
        <w:rPr>
          <w:lang w:eastAsia="en-US"/>
        </w:rPr>
        <w:t>dominikánů</w:t>
      </w:r>
      <w:r w:rsidR="0028298F">
        <w:rPr>
          <w:lang w:eastAsia="en-US"/>
        </w:rPr>
        <w:t>,</w:t>
      </w:r>
      <w:r w:rsidRPr="00273106">
        <w:rPr>
          <w:lang w:eastAsia="en-US"/>
        </w:rPr>
        <w:t xml:space="preserve"> </w:t>
      </w:r>
      <w:r w:rsidR="0028298F">
        <w:rPr>
          <w:lang w:eastAsia="en-US"/>
        </w:rPr>
        <w:t xml:space="preserve">Alberta i Akvinského, </w:t>
      </w:r>
      <w:r w:rsidRPr="00273106">
        <w:rPr>
          <w:lang w:eastAsia="en-US"/>
        </w:rPr>
        <w:t>v některých bodech souzní s averroistickým řešením</w:t>
      </w:r>
      <w:r>
        <w:rPr>
          <w:lang w:eastAsia="en-US"/>
        </w:rPr>
        <w:t xml:space="preserve"> podle chybné met</w:t>
      </w:r>
      <w:r w:rsidR="08556682">
        <w:rPr>
          <w:lang w:eastAsia="en-US"/>
        </w:rPr>
        <w:t>afyziky Avicenny (kap. 4</w:t>
      </w:r>
      <w:r>
        <w:rPr>
          <w:lang w:eastAsia="en-US"/>
        </w:rPr>
        <w:t>.4.1). Ale o</w:t>
      </w:r>
      <w:r w:rsidRPr="00273106">
        <w:rPr>
          <w:lang w:eastAsia="en-US"/>
        </w:rPr>
        <w:t xml:space="preserve">ba </w:t>
      </w:r>
      <w:r>
        <w:rPr>
          <w:lang w:eastAsia="en-US"/>
        </w:rPr>
        <w:t xml:space="preserve">aristotelikové </w:t>
      </w:r>
      <w:r w:rsidRPr="00273106">
        <w:rPr>
          <w:lang w:eastAsia="en-US"/>
        </w:rPr>
        <w:t>zásadně odmítají všechny omyly druhého averroismu</w:t>
      </w:r>
      <w:r>
        <w:rPr>
          <w:lang w:eastAsia="en-US"/>
        </w:rPr>
        <w:t>, zejména univerzální hylemorfismus</w:t>
      </w:r>
      <w:r>
        <w:rPr>
          <w:lang w:eastAsia="en-US"/>
        </w:rPr>
        <w:fldChar w:fldCharType="begin"/>
      </w:r>
      <w:r>
        <w:instrText xml:space="preserve"> XE "</w:instrText>
      </w:r>
      <w:r w:rsidRPr="005619B2">
        <w:instrText>univerzální hylemorfismus</w:instrText>
      </w:r>
      <w:r>
        <w:instrText xml:space="preserve">" </w:instrText>
      </w:r>
      <w:r>
        <w:rPr>
          <w:lang w:eastAsia="en-US"/>
        </w:rPr>
        <w:fldChar w:fldCharType="end"/>
      </w:r>
      <w:r>
        <w:rPr>
          <w:lang w:eastAsia="en-US"/>
        </w:rPr>
        <w:t xml:space="preserve"> a </w:t>
      </w:r>
      <w:r w:rsidR="00910E75">
        <w:rPr>
          <w:lang w:eastAsia="en-US"/>
        </w:rPr>
        <w:t>pluralitu</w:t>
      </w:r>
      <w:r>
        <w:rPr>
          <w:lang w:eastAsia="en-US"/>
        </w:rPr>
        <w:t xml:space="preserve"> substancí v člověku</w:t>
      </w:r>
      <w:r>
        <w:rPr>
          <w:lang w:eastAsia="en-US"/>
        </w:rPr>
        <w:fldChar w:fldCharType="begin"/>
      </w:r>
      <w:r>
        <w:instrText xml:space="preserve"> XE "</w:instrText>
      </w:r>
      <w:r w:rsidRPr="00550A49">
        <w:instrText>osoba:pluralita substancí</w:instrText>
      </w:r>
      <w:r>
        <w:instrText xml:space="preserve">" </w:instrText>
      </w:r>
      <w:r>
        <w:rPr>
          <w:lang w:eastAsia="en-US"/>
        </w:rPr>
        <w:fldChar w:fldCharType="end"/>
      </w:r>
      <w:r w:rsidRPr="00273106">
        <w:rPr>
          <w:lang w:eastAsia="en-US"/>
        </w:rPr>
        <w:t xml:space="preserve">. </w:t>
      </w:r>
      <w:r>
        <w:t>Siger jasně viděl zásadní rozdíl mezi metafyzi</w:t>
      </w:r>
      <w:r w:rsidR="083D63D3">
        <w:t>kou Avicenny a Averroese</w:t>
      </w:r>
      <w:r>
        <w:t xml:space="preserve">. Tento zásadní rozdíl v interpretaci </w:t>
      </w:r>
      <w:r w:rsidRPr="08D07C9D">
        <w:rPr>
          <w:i/>
        </w:rPr>
        <w:t>Corpus Aristotelicum</w:t>
      </w:r>
      <w:r>
        <w:t xml:space="preserve"> vedl k zatím neprozkoumané debatě o titul </w:t>
      </w:r>
      <w:r w:rsidRPr="08E55FF4">
        <w:rPr>
          <w:i/>
        </w:rPr>
        <w:t>Expositor Novus</w:t>
      </w:r>
      <w:r>
        <w:fldChar w:fldCharType="begin"/>
      </w:r>
      <w:r>
        <w:instrText xml:space="preserve"> XE "</w:instrText>
      </w:r>
      <w:r w:rsidRPr="08E55FF4">
        <w:rPr>
          <w:i/>
        </w:rPr>
        <w:instrText>Expositor Novus</w:instrText>
      </w:r>
      <w:r>
        <w:instrText xml:space="preserve">" </w:instrText>
      </w:r>
      <w:r>
        <w:fldChar w:fldCharType="end"/>
      </w:r>
      <w:r>
        <w:t xml:space="preserve"> mezi S</w:t>
      </w:r>
      <w:r w:rsidR="00175C68">
        <w:t>igerem a Akvinským v letech 1270</w:t>
      </w:r>
      <w:r>
        <w:t xml:space="preserve">‒72. Tuto debatu překryla falešná obvinění z averroismu a vyhnání Sigerovy skupiny magistrů z artistické fakulty v roce 1277. </w:t>
      </w:r>
      <w:r w:rsidR="008440E4" w:rsidRPr="008440E4">
        <w:t>Aegidius založil tomismus jako s</w:t>
      </w:r>
      <w:r w:rsidR="008440E4">
        <w:t>ofistikovaný druh objektivního a</w:t>
      </w:r>
      <w:r w:rsidR="008440E4" w:rsidRPr="008440E4">
        <w:t xml:space="preserve">verroismu, který založil novou školu </w:t>
      </w:r>
      <w:r w:rsidR="008440E4" w:rsidRPr="008440E4">
        <w:rPr>
          <w:i/>
        </w:rPr>
        <w:t>sophistae Latini</w:t>
      </w:r>
      <w:r w:rsidR="008440E4" w:rsidRPr="008440E4">
        <w:t xml:space="preserve">. Vítězové této školy založili objektivistickou metafyziku po roce 1280. Sigerův druhý komentář k </w:t>
      </w:r>
      <w:proofErr w:type="gramStart"/>
      <w:r w:rsidR="008440E4" w:rsidRPr="008440E4">
        <w:rPr>
          <w:i/>
        </w:rPr>
        <w:t>De</w:t>
      </w:r>
      <w:proofErr w:type="gramEnd"/>
      <w:r w:rsidR="008440E4" w:rsidRPr="008440E4">
        <w:rPr>
          <w:i/>
        </w:rPr>
        <w:t xml:space="preserve"> anima</w:t>
      </w:r>
      <w:r w:rsidR="008440E4" w:rsidRPr="008440E4">
        <w:t xml:space="preserve"> </w:t>
      </w:r>
      <w:r w:rsidR="008440E4">
        <w:t xml:space="preserve">byl publikovaný </w:t>
      </w:r>
      <w:r w:rsidR="008440E4" w:rsidRPr="008440E4">
        <w:t xml:space="preserve">v tomto </w:t>
      </w:r>
      <w:r w:rsidR="008440E4">
        <w:t xml:space="preserve">zajímavém </w:t>
      </w:r>
      <w:r w:rsidR="008440E4" w:rsidRPr="008440E4">
        <w:t>období po roce 1270.</w:t>
      </w:r>
      <w:r w:rsidR="008440E4">
        <w:t xml:space="preserve"> </w:t>
      </w:r>
      <w:r>
        <w:rPr>
          <w:lang w:eastAsia="en-US"/>
        </w:rPr>
        <w:t xml:space="preserve">Brilantní </w:t>
      </w:r>
      <w:r w:rsidRPr="088B0439">
        <w:rPr>
          <w:i/>
          <w:lang w:eastAsia="en-US"/>
        </w:rPr>
        <w:t>Doctor Invidiosus</w:t>
      </w:r>
      <w:r>
        <w:rPr>
          <w:lang w:eastAsia="en-US"/>
        </w:rPr>
        <w:t xml:space="preserve"> </w:t>
      </w:r>
      <w:r w:rsidR="008440E4">
        <w:rPr>
          <w:lang w:eastAsia="en-US"/>
        </w:rPr>
        <w:t>neměl</w:t>
      </w:r>
      <w:r w:rsidRPr="00273106">
        <w:rPr>
          <w:lang w:eastAsia="en-US"/>
        </w:rPr>
        <w:t xml:space="preserve"> žádný důvod měnit předešlé body argumentace</w:t>
      </w:r>
      <w:r>
        <w:rPr>
          <w:lang w:eastAsia="en-US"/>
        </w:rPr>
        <w:t xml:space="preserve"> v komentáři </w:t>
      </w:r>
      <w:r w:rsidRPr="08654F83">
        <w:rPr>
          <w:i/>
          <w:lang w:eastAsia="en-US"/>
        </w:rPr>
        <w:t>De anima</w:t>
      </w:r>
      <w:r>
        <w:rPr>
          <w:lang w:eastAsia="en-US"/>
        </w:rPr>
        <w:t xml:space="preserve"> I</w:t>
      </w:r>
      <w:r>
        <w:rPr>
          <w:rFonts w:ascii="Arial" w:hAnsi="Arial" w:cs="Arial"/>
        </w:rPr>
        <w:t>‒</w:t>
      </w:r>
      <w:r>
        <w:rPr>
          <w:lang w:eastAsia="en-US"/>
        </w:rPr>
        <w:t>III (Mnichovský rukopis a QIIIDA)</w:t>
      </w:r>
      <w:r w:rsidR="004D3456">
        <w:rPr>
          <w:lang w:eastAsia="en-US"/>
        </w:rPr>
        <w:t xml:space="preserve">. </w:t>
      </w:r>
      <w:r w:rsidR="00314D03">
        <w:rPr>
          <w:lang w:eastAsia="en-US"/>
        </w:rPr>
        <w:t>Oba komentáře DA I–III</w:t>
      </w:r>
      <w:r w:rsidR="004D3456">
        <w:rPr>
          <w:lang w:eastAsia="en-US"/>
        </w:rPr>
        <w:t xml:space="preserve"> </w:t>
      </w:r>
      <w:r>
        <w:rPr>
          <w:lang w:eastAsia="en-US"/>
        </w:rPr>
        <w:t xml:space="preserve">vytvořily jedinou teorii plné jednoty osoby na latinském Západě před existenciální analytikou Heideggera </w:t>
      </w:r>
      <w:r w:rsidR="086F54E1">
        <w:t>(kap. 4</w:t>
      </w:r>
      <w:r>
        <w:t>.4.1)</w:t>
      </w:r>
      <w:r w:rsidRPr="00273106">
        <w:t xml:space="preserve">. </w:t>
      </w:r>
      <w:r>
        <w:t>Podle Brabantského magistra</w:t>
      </w:r>
      <w:r w:rsidR="00517E21">
        <w:t xml:space="preserve"> musí vědecký důkaz </w:t>
      </w:r>
      <w:r>
        <w:t xml:space="preserve">duše </w:t>
      </w:r>
      <w:r w:rsidR="00517E21">
        <w:t xml:space="preserve">jít </w:t>
      </w:r>
      <w:r>
        <w:t xml:space="preserve">od kauzality reálné osoby, jejíž akt myšlení se predikuje ve středním členu </w:t>
      </w:r>
      <w:r w:rsidRPr="08572BB2">
        <w:rPr>
          <w:i/>
        </w:rPr>
        <w:t>demonstratio</w:t>
      </w:r>
      <w:r w:rsidR="009F5DF3">
        <w:rPr>
          <w:i/>
        </w:rPr>
        <w:t xml:space="preserve"> </w:t>
      </w:r>
      <w:r w:rsidR="009F5DF3">
        <w:t xml:space="preserve">podle </w:t>
      </w:r>
      <w:r w:rsidR="009F5DF3" w:rsidRPr="08572BB2">
        <w:rPr>
          <w:i/>
        </w:rPr>
        <w:t>Druhých analytik</w:t>
      </w:r>
      <w:r>
        <w:t>. Zkoumání musí vyjít od reálně zakoušených účinků intelektu v nás</w:t>
      </w:r>
      <w:r w:rsidR="009F5DF3">
        <w:fldChar w:fldCharType="begin"/>
      </w:r>
      <w:r w:rsidR="009F5DF3">
        <w:instrText xml:space="preserve"> XE "</w:instrText>
      </w:r>
      <w:r w:rsidR="009F5DF3" w:rsidRPr="00C30F6A">
        <w:instrText>zjevování:nasvícení zepředu</w:instrText>
      </w:r>
      <w:r w:rsidR="009F5DF3">
        <w:instrText xml:space="preserve">" </w:instrText>
      </w:r>
      <w:r w:rsidR="009F5DF3">
        <w:fldChar w:fldCharType="end"/>
      </w:r>
      <w:r>
        <w:t>. Nemateriální duše a intelekt nejsou poznatelné v přímém náhledu poznání</w:t>
      </w:r>
      <w:r w:rsidR="00D87D28">
        <w:t xml:space="preserve">; deduktivní důkaz </w:t>
      </w:r>
      <w:r>
        <w:t xml:space="preserve">vychází z abstrakce </w:t>
      </w:r>
      <w:r w:rsidR="00D87D28">
        <w:t xml:space="preserve">dané na základě </w:t>
      </w:r>
      <w:r w:rsidR="00167ACF" w:rsidRPr="00781073">
        <w:rPr>
          <w:i/>
        </w:rPr>
        <w:t>species sensib</w:t>
      </w:r>
      <w:r w:rsidR="00167ACF">
        <w:rPr>
          <w:i/>
        </w:rPr>
        <w:t>i</w:t>
      </w:r>
      <w:r w:rsidR="00167ACF" w:rsidRPr="00781073">
        <w:rPr>
          <w:i/>
        </w:rPr>
        <w:t>lis</w:t>
      </w:r>
      <w:r w:rsidR="006707B7">
        <w:rPr>
          <w:lang w:eastAsia="en-US"/>
        </w:rPr>
        <w:fldChar w:fldCharType="begin"/>
      </w:r>
      <w:r w:rsidR="006707B7">
        <w:instrText xml:space="preserve"> XE "</w:instrText>
      </w:r>
      <w:r w:rsidR="006707B7" w:rsidRPr="006C3117">
        <w:instrText>osoba:ipseita</w:instrText>
      </w:r>
      <w:r w:rsidR="006707B7">
        <w:instrText xml:space="preserve">" </w:instrText>
      </w:r>
      <w:r w:rsidR="006707B7">
        <w:rPr>
          <w:lang w:eastAsia="en-US"/>
        </w:rPr>
        <w:fldChar w:fldCharType="end"/>
      </w:r>
      <w:r>
        <w:t xml:space="preserve">. </w:t>
      </w:r>
      <w:r>
        <w:rPr>
          <w:lang w:eastAsia="en-US"/>
        </w:rPr>
        <w:t>Z hlediska Sigerovy fenomenologie se stalo problémem semiaverroistické pojetí intelektu ze škol</w:t>
      </w:r>
      <w:r w:rsidR="006707B7">
        <w:rPr>
          <w:lang w:eastAsia="en-US"/>
        </w:rPr>
        <w:t>y prvního averroismu. Siger pod</w:t>
      </w:r>
      <w:r>
        <w:rPr>
          <w:lang w:eastAsia="en-US"/>
        </w:rPr>
        <w:t xml:space="preserve">al v deduktivním vědeckém sylogismu </w:t>
      </w:r>
      <w:r w:rsidR="006707B7">
        <w:rPr>
          <w:lang w:eastAsia="en-US"/>
        </w:rPr>
        <w:t>d</w:t>
      </w:r>
      <w:r w:rsidR="004145BC">
        <w:t>efinici</w:t>
      </w:r>
      <w:r>
        <w:t xml:space="preserve"> intelektu </w:t>
      </w:r>
      <w:r w:rsidR="006707B7">
        <w:t xml:space="preserve">na základě </w:t>
      </w:r>
      <w:r>
        <w:t>existenciální jednoty osoby</w:t>
      </w:r>
      <w:r w:rsidR="006707B7">
        <w:t xml:space="preserve"> (</w:t>
      </w:r>
      <w:r w:rsidR="006707B7" w:rsidRPr="0078176F">
        <w:rPr>
          <w:i/>
          <w:szCs w:val="24"/>
        </w:rPr>
        <w:t>homo ipse</w:t>
      </w:r>
      <w:r w:rsidR="006707B7" w:rsidRPr="0078176F">
        <w:rPr>
          <w:szCs w:val="24"/>
        </w:rPr>
        <w:t xml:space="preserve"> </w:t>
      </w:r>
      <w:r w:rsidR="006707B7" w:rsidRPr="0078176F">
        <w:rPr>
          <w:i/>
          <w:szCs w:val="24"/>
        </w:rPr>
        <w:t>intelligit</w:t>
      </w:r>
      <w:r w:rsidR="006707B7" w:rsidRPr="0078176F">
        <w:rPr>
          <w:i/>
          <w:szCs w:val="24"/>
        </w:rPr>
        <w:fldChar w:fldCharType="begin"/>
      </w:r>
      <w:r w:rsidR="006707B7" w:rsidRPr="0078176F">
        <w:rPr>
          <w:szCs w:val="24"/>
        </w:rPr>
        <w:instrText xml:space="preserve"> XE "</w:instrText>
      </w:r>
      <w:r w:rsidR="006707B7">
        <w:rPr>
          <w:szCs w:val="24"/>
        </w:rPr>
        <w:instrText>Per</w:instrText>
      </w:r>
      <w:r w:rsidR="006707B7" w:rsidRPr="0078176F">
        <w:rPr>
          <w:szCs w:val="24"/>
        </w:rPr>
        <w:instrText>so</w:instrText>
      </w:r>
      <w:r w:rsidR="006707B7">
        <w:rPr>
          <w:szCs w:val="24"/>
        </w:rPr>
        <w:instrText>n</w:instrText>
      </w:r>
      <w:r w:rsidR="006707B7" w:rsidRPr="0078176F">
        <w:rPr>
          <w:i/>
          <w:szCs w:val="24"/>
        </w:rPr>
        <w:instrText>:homo ipse intelligit</w:instrText>
      </w:r>
      <w:r w:rsidR="006707B7" w:rsidRPr="0078176F">
        <w:rPr>
          <w:szCs w:val="24"/>
        </w:rPr>
        <w:instrText xml:space="preserve">" </w:instrText>
      </w:r>
      <w:r w:rsidR="006707B7" w:rsidRPr="0078176F">
        <w:rPr>
          <w:i/>
          <w:szCs w:val="24"/>
        </w:rPr>
        <w:fldChar w:fldCharType="end"/>
      </w:r>
      <w:r w:rsidR="006707B7">
        <w:t>)</w:t>
      </w:r>
      <w:r>
        <w:t xml:space="preserve">. </w:t>
      </w:r>
      <w:r w:rsidRPr="00273106">
        <w:t xml:space="preserve">Pro argumentaci </w:t>
      </w:r>
      <w:r w:rsidRPr="00273106">
        <w:rPr>
          <w:lang w:eastAsia="en-US"/>
        </w:rPr>
        <w:t>je z</w:t>
      </w:r>
      <w:r w:rsidRPr="00273106">
        <w:t xml:space="preserve">ásadní zejména druhý fenomenologický princip z </w:t>
      </w:r>
      <w:r w:rsidRPr="00273106">
        <w:rPr>
          <w:i/>
        </w:rPr>
        <w:t>De generatione animalium</w:t>
      </w:r>
      <w:r w:rsidRPr="00273106">
        <w:t xml:space="preserve"> </w:t>
      </w:r>
      <w:proofErr w:type="gramStart"/>
      <w:r w:rsidRPr="00273106">
        <w:t>II.3 (τῆς</w:t>
      </w:r>
      <w:proofErr w:type="gramEnd"/>
      <w:r w:rsidRPr="00273106">
        <w:t xml:space="preserve"> τοιαύτης ψυχῆς ἔργον</w:t>
      </w:r>
      <w:r>
        <w:fldChar w:fldCharType="begin"/>
      </w:r>
      <w:r>
        <w:instrText xml:space="preserve"> XE "Aristoteles:</w:instrText>
      </w:r>
      <w:r w:rsidRPr="00273106">
        <w:rPr>
          <w:i/>
        </w:rPr>
        <w:instrText>De generatione animalium</w:instrText>
      </w:r>
      <w:r w:rsidRPr="00273106">
        <w:instrText xml:space="preserve"> </w:instrText>
      </w:r>
      <w:r w:rsidRPr="00FE3B5D">
        <w:instrText>736b12</w:instrText>
      </w:r>
      <w:r>
        <w:instrText xml:space="preserve">" </w:instrText>
      </w:r>
      <w:r>
        <w:fldChar w:fldCharType="end"/>
      </w:r>
      <w:r w:rsidRPr="00273106">
        <w:t xml:space="preserve">). </w:t>
      </w:r>
      <w:r w:rsidR="00A52D4E" w:rsidRPr="00A52D4E">
        <w:t>Podobnou debatu do hermeneutiky zavedl až Heidegger v modu dvojitého existenciálního porozumění</w:t>
      </w:r>
      <w:r w:rsidR="00A52D4E">
        <w:t xml:space="preserve"> (</w:t>
      </w:r>
      <w:r w:rsidR="00A52D4E">
        <w:rPr>
          <w:i/>
        </w:rPr>
        <w:t>Bezugsinn</w:t>
      </w:r>
      <w:r w:rsidR="00A52D4E">
        <w:rPr>
          <w:i/>
        </w:rPr>
        <w:fldChar w:fldCharType="begin"/>
      </w:r>
      <w:r w:rsidR="00A52D4E">
        <w:instrText xml:space="preserve"> XE "</w:instrText>
      </w:r>
      <w:r w:rsidR="00A52D4E">
        <w:rPr>
          <w:i/>
        </w:rPr>
        <w:instrText>Bezugsinn</w:instrText>
      </w:r>
      <w:r w:rsidR="00A52D4E">
        <w:instrText xml:space="preserve">" </w:instrText>
      </w:r>
      <w:r w:rsidR="00A52D4E">
        <w:rPr>
          <w:i/>
        </w:rPr>
        <w:fldChar w:fldCharType="end"/>
      </w:r>
      <w:r w:rsidR="00A52D4E">
        <w:t xml:space="preserve">). </w:t>
      </w:r>
      <w:r w:rsidR="00A52D4E" w:rsidRPr="00A52D4E">
        <w:t>Klíčová věta se týká dvojího pojetí predik</w:t>
      </w:r>
      <w:r w:rsidR="00A52D4E">
        <w:t>a</w:t>
      </w:r>
      <w:r w:rsidR="00A52D4E" w:rsidRPr="00A52D4E">
        <w:t xml:space="preserve">ce </w:t>
      </w:r>
      <w:r w:rsidR="00A52D4E">
        <w:t xml:space="preserve">lidské </w:t>
      </w:r>
      <w:r w:rsidR="00A52D4E" w:rsidRPr="00A52D4E">
        <w:t xml:space="preserve">existence </w:t>
      </w:r>
      <w:r w:rsidR="00A52D4E">
        <w:t>(</w:t>
      </w:r>
      <w:r w:rsidR="00A52D4E" w:rsidRPr="08780207">
        <w:rPr>
          <w:i/>
        </w:rPr>
        <w:t>vivere, utroque modo dictum, est ab anima</w:t>
      </w:r>
      <w:r w:rsidR="00A52D4E">
        <w:t>), která</w:t>
      </w:r>
      <w:r w:rsidR="00A52D4E" w:rsidRPr="00A52D4E">
        <w:t xml:space="preserve"> </w:t>
      </w:r>
      <w:r w:rsidR="00A52D4E">
        <w:t xml:space="preserve">vysvětluje komentovanou část </w:t>
      </w:r>
      <w:r w:rsidR="00A52D4E" w:rsidRPr="00273106">
        <w:rPr>
          <w:i/>
        </w:rPr>
        <w:t>De anima</w:t>
      </w:r>
      <w:r w:rsidR="00A52D4E" w:rsidRPr="00273106">
        <w:t xml:space="preserve"> </w:t>
      </w:r>
      <w:r w:rsidR="00A52D4E">
        <w:t>(</w:t>
      </w:r>
      <w:r w:rsidR="00A52D4E" w:rsidRPr="00396FE3">
        <w:t>τὸ δὲ ζῆν τοῖς ζῶσι τὸ εἶναί ἐ</w:t>
      </w:r>
      <w:r w:rsidR="00A52D4E">
        <w:t>στιν,</w:t>
      </w:r>
      <w:r w:rsidR="00A52D4E" w:rsidRPr="00396FE3">
        <w:rPr>
          <w:szCs w:val="24"/>
        </w:rPr>
        <w:t xml:space="preserve"> </w:t>
      </w:r>
      <w:r w:rsidR="00A52D4E">
        <w:t>415b13</w:t>
      </w:r>
      <w:r w:rsidR="00A52D4E">
        <w:fldChar w:fldCharType="begin"/>
      </w:r>
      <w:r w:rsidR="00A52D4E">
        <w:instrText xml:space="preserve"> XE "Aristoteles:</w:instrText>
      </w:r>
      <w:r w:rsidR="00A52D4E" w:rsidRPr="00801184">
        <w:rPr>
          <w:i/>
        </w:rPr>
        <w:instrText>De anima</w:instrText>
      </w:r>
      <w:r w:rsidR="00A52D4E" w:rsidRPr="00AC1EA8">
        <w:instrText xml:space="preserve"> 415b13</w:instrText>
      </w:r>
      <w:r w:rsidR="00A52D4E">
        <w:instrText xml:space="preserve">" </w:instrText>
      </w:r>
      <w:r w:rsidR="00A52D4E">
        <w:fldChar w:fldCharType="end"/>
      </w:r>
      <w:r w:rsidR="00A52D4E">
        <w:t>).</w:t>
      </w:r>
    </w:p>
    <w:p w:rsidR="08163013" w:rsidRDefault="08163013" w:rsidP="00A52D4E">
      <w:pPr>
        <w:pStyle w:val="Citace"/>
      </w:pPr>
      <w:r w:rsidRPr="00396FE3">
        <w:lastRenderedPageBreak/>
        <w:t>„</w:t>
      </w:r>
      <w:r>
        <w:t xml:space="preserve">K předchozímu je třeba dodat, že </w:t>
      </w:r>
      <w:r w:rsidR="003C6104">
        <w:rPr>
          <w:lang w:val="cs-CZ"/>
        </w:rPr>
        <w:t>primárním z</w:t>
      </w:r>
      <w:r w:rsidR="003C6104">
        <w:t>působem (</w:t>
      </w:r>
      <w:r w:rsidR="003C6104" w:rsidRPr="00F31D0A">
        <w:rPr>
          <w:i/>
        </w:rPr>
        <w:t>uno modo</w:t>
      </w:r>
      <w:r w:rsidR="003C6104">
        <w:t>)</w:t>
      </w:r>
      <w:r w:rsidR="003C6104">
        <w:rPr>
          <w:lang w:val="cs-CZ"/>
        </w:rPr>
        <w:t xml:space="preserve"> </w:t>
      </w:r>
      <w:r w:rsidR="003C6104">
        <w:t>rozumíme nebo můžeme rozumět</w:t>
      </w:r>
      <w:r w:rsidR="003C6104">
        <w:rPr>
          <w:lang w:val="cs-CZ"/>
        </w:rPr>
        <w:t xml:space="preserve"> skrze </w:t>
      </w:r>
      <w:r>
        <w:t xml:space="preserve">akt </w:t>
      </w:r>
      <w:r w:rsidR="003C6104">
        <w:rPr>
          <w:lang w:val="cs-CZ"/>
        </w:rPr>
        <w:t xml:space="preserve">existence </w:t>
      </w:r>
      <w:r>
        <w:t>(</w:t>
      </w:r>
      <w:r w:rsidRPr="007515ED">
        <w:rPr>
          <w:i/>
        </w:rPr>
        <w:t>vivere</w:t>
      </w:r>
      <w:r w:rsidR="003C6104">
        <w:t>)</w:t>
      </w:r>
      <w:r>
        <w:t xml:space="preserve">, </w:t>
      </w:r>
      <w:r w:rsidR="003C6104">
        <w:rPr>
          <w:lang w:val="cs-CZ"/>
        </w:rPr>
        <w:t xml:space="preserve">která je základním </w:t>
      </w:r>
      <w:r>
        <w:t>bytím živého těla (</w:t>
      </w:r>
      <w:r w:rsidRPr="005559DC">
        <w:rPr>
          <w:i/>
        </w:rPr>
        <w:t>primum viventis corporis</w:t>
      </w:r>
      <w:r>
        <w:t xml:space="preserve">). Filosof říká ve druhé knize </w:t>
      </w:r>
      <w:r w:rsidRPr="00A1186E">
        <w:rPr>
          <w:i/>
        </w:rPr>
        <w:t>De anima</w:t>
      </w:r>
      <w:r>
        <w:t>, že aktuální výkon života je pro živé bytosti jejich bytím (</w:t>
      </w:r>
      <w:r w:rsidRPr="00A1186E">
        <w:rPr>
          <w:i/>
        </w:rPr>
        <w:t>vivere viventibus est esse</w:t>
      </w:r>
      <w:r>
        <w:t>). Ale pod aktem života máme také rozumět obecně predikované projevy života a duše (</w:t>
      </w:r>
      <w:r w:rsidRPr="00540486">
        <w:rPr>
          <w:i/>
        </w:rPr>
        <w:t>opera vitae et animae</w:t>
      </w:r>
      <w:r>
        <w:t>). Obojí druh žití je dán od duše (</w:t>
      </w:r>
      <w:r w:rsidRPr="08DC1B40">
        <w:rPr>
          <w:i/>
        </w:rPr>
        <w:t>vivere, utroque modo dictum, est ab anima</w:t>
      </w:r>
      <w:r>
        <w:t xml:space="preserve">). Ale akt života zahrnující bytí živých bytostí je manifestován pouze prvním způsobem </w:t>
      </w:r>
      <w:r w:rsidRPr="00A1186E">
        <w:t>(</w:t>
      </w:r>
      <w:r w:rsidRPr="00A1186E">
        <w:rPr>
          <w:i/>
        </w:rPr>
        <w:t>manifestatur vivere primo modo</w:t>
      </w:r>
      <w:r w:rsidRPr="00A1186E">
        <w:t>)</w:t>
      </w:r>
      <w:r>
        <w:t xml:space="preserve"> a postihuje bytí duše v oživených bytostech pouze skrze život sám, který je projevem duše a živé bytosti (</w:t>
      </w:r>
      <w:r w:rsidRPr="00540486">
        <w:rPr>
          <w:i/>
        </w:rPr>
        <w:t>per vivere quod est opus animae et vitae</w:t>
      </w:r>
      <w:r>
        <w:t xml:space="preserve">).“ </w:t>
      </w:r>
      <w:r w:rsidRPr="00273106">
        <w:rPr>
          <w:rStyle w:val="Znakapoznpodarou"/>
        </w:rPr>
        <w:footnoteReference w:id="248"/>
      </w:r>
    </w:p>
    <w:p w:rsidR="006B7C21" w:rsidRDefault="08163013" w:rsidP="08163013">
      <w:r>
        <w:t xml:space="preserve">Citát odmítá esenciální definici duše podle Toledské školy, což měl už spis QIIIDA. Duše není manifestovaná ve svém abstraktním </w:t>
      </w:r>
      <w:r w:rsidR="003E140E">
        <w:t>„</w:t>
      </w:r>
      <w:r w:rsidRPr="007F4836">
        <w:rPr>
          <w:i/>
        </w:rPr>
        <w:t>esse</w:t>
      </w:r>
      <w:r w:rsidR="003E140E">
        <w:t>“</w:t>
      </w:r>
      <w:r>
        <w:t xml:space="preserve">, ale pouze ve svém faktickém </w:t>
      </w:r>
      <w:r w:rsidR="003E140E">
        <w:t>„</w:t>
      </w:r>
      <w:r w:rsidRPr="007F4836">
        <w:rPr>
          <w:i/>
        </w:rPr>
        <w:t>fieri</w:t>
      </w:r>
      <w:r w:rsidR="003E140E">
        <w:t>“</w:t>
      </w:r>
      <w:r>
        <w:t>, tedy ve výkonech života</w:t>
      </w:r>
      <w:r>
        <w:fldChar w:fldCharType="begin"/>
      </w:r>
      <w:r>
        <w:instrText xml:space="preserve"> XE "</w:instrText>
      </w:r>
      <w:r w:rsidRPr="007804B8">
        <w:instrText>intelekt:</w:instrText>
      </w:r>
      <w:r w:rsidRPr="002F1398">
        <w:rPr>
          <w:i/>
        </w:rPr>
        <w:instrText>esse/fieri</w:instrText>
      </w:r>
      <w:r>
        <w:instrText xml:space="preserve">" </w:instrText>
      </w:r>
      <w:r>
        <w:fldChar w:fldCharType="end"/>
      </w:r>
      <w:r>
        <w:t xml:space="preserve">. Akt života jako Aristotelovo </w:t>
      </w:r>
      <w:r w:rsidR="003E140E">
        <w:t>„</w:t>
      </w:r>
      <w:r w:rsidRPr="00396FE3">
        <w:t>τὸ ζῆ</w:t>
      </w:r>
      <w:r>
        <w:t>ν</w:t>
      </w:r>
      <w:r w:rsidR="003E140E">
        <w:t>“</w:t>
      </w:r>
      <w:r>
        <w:t xml:space="preserve"> nebo Sigerovo </w:t>
      </w:r>
      <w:r w:rsidR="003E140E">
        <w:t>„</w:t>
      </w:r>
      <w:r w:rsidRPr="007515ED">
        <w:rPr>
          <w:i/>
        </w:rPr>
        <w:t>vivere</w:t>
      </w:r>
      <w:r w:rsidR="003E140E">
        <w:t>“</w:t>
      </w:r>
      <w:r>
        <w:t xml:space="preserve"> je možné chápat jak </w:t>
      </w:r>
      <w:r w:rsidR="005147A3">
        <w:t>esenciálně</w:t>
      </w:r>
      <w:r>
        <w:t xml:space="preserve">, tak fenomenologicky. Druhý postup zaručuje poznání duše pomocí vědecké </w:t>
      </w:r>
      <w:r w:rsidR="000C7986">
        <w:t xml:space="preserve">dedukce </w:t>
      </w:r>
      <w:r>
        <w:t xml:space="preserve">vztažené k hyparchickému bytí osoby jako první substance. Pouze tento přístup naplňuje smysl </w:t>
      </w:r>
      <w:r w:rsidRPr="08B338E3">
        <w:rPr>
          <w:i/>
        </w:rPr>
        <w:t>Druhých analytik</w:t>
      </w:r>
      <w:r>
        <w:t xml:space="preserve"> v modu </w:t>
      </w:r>
      <w:r w:rsidR="00C84D2C">
        <w:t>„</w:t>
      </w:r>
      <w:r w:rsidR="088E1A13">
        <w:rPr>
          <w:i/>
        </w:rPr>
        <w:t>ex in</w:t>
      </w:r>
      <w:r w:rsidRPr="082031CB">
        <w:rPr>
          <w:i/>
        </w:rPr>
        <w:t>meditatis</w:t>
      </w:r>
      <w:r w:rsidR="00C84D2C">
        <w:t>“</w:t>
      </w:r>
      <w:r>
        <w:t xml:space="preserve"> (</w:t>
      </w:r>
      <w:r w:rsidRPr="00273106">
        <w:t>ἐν τῷ τί ἐστιν ὑπάρχουσιν αὐτοῖς</w:t>
      </w:r>
      <w:r>
        <w:t xml:space="preserve">, </w:t>
      </w:r>
      <w:r w:rsidRPr="00273106">
        <w:rPr>
          <w:i/>
        </w:rPr>
        <w:t>Anal. Post</w:t>
      </w:r>
      <w:r>
        <w:t>. 84a</w:t>
      </w:r>
      <w:r w:rsidRPr="00273106">
        <w:t>14</w:t>
      </w:r>
      <w:r>
        <w:fldChar w:fldCharType="begin"/>
      </w:r>
      <w:r>
        <w:instrText xml:space="preserve"> XE "Aristoteles:</w:instrText>
      </w:r>
      <w:r w:rsidRPr="00273106">
        <w:rPr>
          <w:i/>
        </w:rPr>
        <w:instrText>Anal. Post</w:instrText>
      </w:r>
      <w:r>
        <w:instrText>. 84a</w:instrText>
      </w:r>
      <w:r w:rsidRPr="00273106">
        <w:instrText>14</w:instrText>
      </w:r>
      <w:r>
        <w:instrText xml:space="preserve">" </w:instrText>
      </w:r>
      <w:r>
        <w:fldChar w:fldCharType="end"/>
      </w:r>
      <w:r>
        <w:t xml:space="preserve">). Takto vedený důkaz vede k plnému vědeckému poznání duše a intelektu skrze zakoušenou kauzalitu v modu </w:t>
      </w:r>
      <w:r w:rsidR="007C3CDA">
        <w:t>„</w:t>
      </w:r>
      <w:r w:rsidRPr="085E5E41">
        <w:rPr>
          <w:i/>
        </w:rPr>
        <w:t>conscii sumus</w:t>
      </w:r>
      <w:r w:rsidR="007C3CDA">
        <w:t>“</w:t>
      </w:r>
      <w:r w:rsidR="088F0EAF">
        <w:t xml:space="preserve"> (kap. 4</w:t>
      </w:r>
      <w:r>
        <w:t xml:space="preserve">.4.2). Akvinský tak daleko nešel, což dokazuje jeho disputace </w:t>
      </w:r>
      <w:r w:rsidRPr="00943200">
        <w:rPr>
          <w:rStyle w:val="ref"/>
          <w:i/>
        </w:rPr>
        <w:t>De virtutibus</w:t>
      </w:r>
      <w:r>
        <w:rPr>
          <w:rStyle w:val="ref"/>
        </w:rPr>
        <w:t xml:space="preserve"> konaná již v Paříži (1271‒72). </w:t>
      </w:r>
      <w:r>
        <w:t xml:space="preserve">Disputace </w:t>
      </w:r>
      <w:r>
        <w:rPr>
          <w:rStyle w:val="ref"/>
        </w:rPr>
        <w:t xml:space="preserve">cituje </w:t>
      </w:r>
      <w:r w:rsidRPr="00192307">
        <w:rPr>
          <w:rStyle w:val="ref"/>
          <w:i/>
        </w:rPr>
        <w:t>De anima</w:t>
      </w:r>
      <w:r>
        <w:rPr>
          <w:rStyle w:val="ref"/>
        </w:rPr>
        <w:t xml:space="preserve"> </w:t>
      </w:r>
      <w:r>
        <w:t>415b13‒</w:t>
      </w:r>
      <w:r w:rsidRPr="00396FE3">
        <w:t>14</w:t>
      </w:r>
      <w:r>
        <w:fldChar w:fldCharType="begin"/>
      </w:r>
      <w:r>
        <w:instrText xml:space="preserve"> XE "Aristoteles:</w:instrText>
      </w:r>
      <w:r w:rsidRPr="009E6A73">
        <w:rPr>
          <w:rStyle w:val="ref"/>
          <w:i/>
        </w:rPr>
        <w:instrText>De anima</w:instrText>
      </w:r>
      <w:r w:rsidRPr="009E6A73">
        <w:rPr>
          <w:rStyle w:val="ref"/>
        </w:rPr>
        <w:instrText xml:space="preserve"> </w:instrText>
      </w:r>
      <w:r w:rsidRPr="009E6A73">
        <w:instrText>415b13‒14</w:instrText>
      </w:r>
      <w:r>
        <w:instrText xml:space="preserve">" </w:instrText>
      </w:r>
      <w:r>
        <w:fldChar w:fldCharType="end"/>
      </w:r>
      <w:r>
        <w:t xml:space="preserve"> (</w:t>
      </w:r>
      <w:r w:rsidRPr="00943200">
        <w:rPr>
          <w:i/>
        </w:rPr>
        <w:t>vivere viventibus est esse</w:t>
      </w:r>
      <w:r>
        <w:t>) proti modernistům jako doklad nedostatečné definice ctnosti podle Augustina (</w:t>
      </w:r>
      <w:r>
        <w:rPr>
          <w:i/>
        </w:rPr>
        <w:t>virtus qua rec</w:t>
      </w:r>
      <w:r w:rsidRPr="00B81108">
        <w:rPr>
          <w:i/>
        </w:rPr>
        <w:t>te vivitur</w:t>
      </w:r>
      <w:r>
        <w:rPr>
          <w:i/>
        </w:rPr>
        <w:t xml:space="preserve">; </w:t>
      </w:r>
      <w:r w:rsidRPr="00943200">
        <w:rPr>
          <w:rStyle w:val="ref"/>
          <w:i/>
        </w:rPr>
        <w:t>De virtutibus</w:t>
      </w:r>
      <w:r>
        <w:rPr>
          <w:rStyle w:val="ref"/>
        </w:rPr>
        <w:t>, q. 1, a. 2, arg. 15</w:t>
      </w:r>
      <w:r w:rsidR="004754E8">
        <w:rPr>
          <w:szCs w:val="24"/>
        </w:rPr>
        <w:fldChar w:fldCharType="begin"/>
      </w:r>
      <w:r w:rsidR="004754E8">
        <w:instrText xml:space="preserve"> XE "Aquin:</w:instrText>
      </w:r>
      <w:r w:rsidR="004754E8" w:rsidRPr="009A496F">
        <w:rPr>
          <w:i/>
          <w:szCs w:val="24"/>
        </w:rPr>
        <w:instrText>De virtutibus</w:instrText>
      </w:r>
      <w:r w:rsidR="004754E8" w:rsidRPr="009A496F">
        <w:rPr>
          <w:szCs w:val="24"/>
        </w:rPr>
        <w:instrText>, q. 1, a. 2, arg. 15</w:instrText>
      </w:r>
      <w:r w:rsidR="004754E8">
        <w:instrText xml:space="preserve">" </w:instrText>
      </w:r>
      <w:r w:rsidR="004754E8">
        <w:rPr>
          <w:szCs w:val="24"/>
        </w:rPr>
        <w:fldChar w:fldCharType="end"/>
      </w:r>
      <w:r>
        <w:t>). Akvinský váže Aristotelův akt bytí pouze na duši duši jako esenci v modu Gundissalinovy a Avicennovy definice podle Toledské školy (</w:t>
      </w:r>
      <w:r w:rsidRPr="0022698D">
        <w:rPr>
          <w:i/>
        </w:rPr>
        <w:t>anima enim est principium vitae per suam essentiam</w:t>
      </w:r>
      <w:r>
        <w:t>).</w:t>
      </w:r>
      <w:r>
        <w:rPr>
          <w:rStyle w:val="Znakapoznpodarou"/>
        </w:rPr>
        <w:footnoteReference w:id="249"/>
      </w:r>
      <w:r>
        <w:t xml:space="preserve"> </w:t>
      </w:r>
      <w:r>
        <w:rPr>
          <w:rStyle w:val="ref"/>
        </w:rPr>
        <w:t xml:space="preserve">Akvinského výklad </w:t>
      </w:r>
      <w:r w:rsidRPr="00273106">
        <w:rPr>
          <w:i/>
        </w:rPr>
        <w:t>De anima</w:t>
      </w:r>
      <w:r w:rsidRPr="00273106">
        <w:t xml:space="preserve"> </w:t>
      </w:r>
      <w:r>
        <w:t>415b13</w:t>
      </w:r>
      <w:r>
        <w:fldChar w:fldCharType="begin"/>
      </w:r>
      <w:r>
        <w:instrText xml:space="preserve"> XE "Aristoteles:</w:instrText>
      </w:r>
      <w:r w:rsidRPr="00801184">
        <w:rPr>
          <w:i/>
        </w:rPr>
        <w:instrText>De anima</w:instrText>
      </w:r>
      <w:r w:rsidRPr="00AC1EA8">
        <w:instrText xml:space="preserve"> 415b13</w:instrText>
      </w:r>
      <w:r>
        <w:instrText xml:space="preserve">" </w:instrText>
      </w:r>
      <w:r>
        <w:fldChar w:fldCharType="end"/>
      </w:r>
      <w:r>
        <w:t xml:space="preserve"> nemá fenomenologický charakter podle Sigera. Z obou citací je zřejmé, že Akvinský nevidí fenomenologický princip zkoumání duše, který ve škole prvního averroismu hájila Sigerova </w:t>
      </w:r>
      <w:r>
        <w:lastRenderedPageBreak/>
        <w:t xml:space="preserve">škola v modu </w:t>
      </w:r>
      <w:r w:rsidRPr="08572BB2">
        <w:rPr>
          <w:i/>
        </w:rPr>
        <w:t>tert</w:t>
      </w:r>
      <w:r>
        <w:rPr>
          <w:i/>
        </w:rPr>
        <w:t>i</w:t>
      </w:r>
      <w:r w:rsidRPr="08572BB2">
        <w:rPr>
          <w:i/>
        </w:rPr>
        <w:t xml:space="preserve">um </w:t>
      </w:r>
      <w:r w:rsidR="00962190">
        <w:rPr>
          <w:i/>
        </w:rPr>
        <w:t>genus</w:t>
      </w:r>
      <w:r>
        <w:t xml:space="preserve"> podle CMDA. </w:t>
      </w:r>
      <w:r w:rsidR="00FA193B">
        <w:t>Siger spojil A</w:t>
      </w:r>
      <w:r w:rsidR="00FA193B" w:rsidRPr="00FA193B">
        <w:t>lbertovu chybnou interpretaci s Akvi</w:t>
      </w:r>
      <w:r w:rsidR="00FA193B">
        <w:t>nského</w:t>
      </w:r>
      <w:r w:rsidR="00FA193B" w:rsidRPr="00FA193B">
        <w:t xml:space="preserve"> </w:t>
      </w:r>
      <w:proofErr w:type="gramStart"/>
      <w:r w:rsidR="00FA193B" w:rsidRPr="00FA193B">
        <w:t>učením</w:t>
      </w:r>
      <w:proofErr w:type="gramEnd"/>
      <w:r w:rsidR="00FA193B" w:rsidRPr="00FA193B">
        <w:t>, protože obě teorie se týkaly podstaty duše zmíněné v</w:t>
      </w:r>
      <w:r w:rsidR="00FA193B">
        <w:t xml:space="preserve">ýše. Duše je prezentována jako </w:t>
      </w:r>
      <w:r w:rsidR="00FA193B" w:rsidRPr="00FA193B">
        <w:rPr>
          <w:i/>
        </w:rPr>
        <w:t>a priori</w:t>
      </w:r>
      <w:r w:rsidR="00FA193B" w:rsidRPr="00FA193B">
        <w:t xml:space="preserve"> </w:t>
      </w:r>
      <w:r w:rsidR="00FA193B">
        <w:t xml:space="preserve">určený </w:t>
      </w:r>
      <w:r w:rsidR="00FA193B" w:rsidRPr="00FA193B">
        <w:t>princip života (</w:t>
      </w:r>
      <w:r w:rsidR="00FA193B" w:rsidRPr="00FA193B">
        <w:rPr>
          <w:i/>
        </w:rPr>
        <w:t>principium vitae per suam essentiam</w:t>
      </w:r>
      <w:r w:rsidR="00FA193B" w:rsidRPr="00FA193B">
        <w:t>).</w:t>
      </w:r>
      <w:r w:rsidR="00FA193B">
        <w:t xml:space="preserve"> </w:t>
      </w:r>
      <w:r>
        <w:t>Tato esenciální definice duše podle Avicenny ukazuje primát substančního pojetí, které nevidí výkon vlastní zakoušené existence pro střední člen vědeckého soudu (</w:t>
      </w:r>
      <w:proofErr w:type="gramStart"/>
      <w:r w:rsidRPr="00B95C0D">
        <w:rPr>
          <w:i/>
        </w:rPr>
        <w:t>experimur</w:t>
      </w:r>
      <w:r>
        <w:t>...</w:t>
      </w:r>
      <w:r w:rsidRPr="00B95C0D">
        <w:rPr>
          <w:i/>
        </w:rPr>
        <w:t>conscii</w:t>
      </w:r>
      <w:proofErr w:type="gramEnd"/>
      <w:r w:rsidRPr="00B95C0D">
        <w:rPr>
          <w:i/>
        </w:rPr>
        <w:t xml:space="preserve"> sumus</w:t>
      </w:r>
      <w:r>
        <w:t>,</w:t>
      </w:r>
      <w:r w:rsidRPr="00781D9C">
        <w:t xml:space="preserve"> </w:t>
      </w:r>
      <w:r>
        <w:t xml:space="preserve">kap. </w:t>
      </w:r>
      <w:r w:rsidR="08A37BC5">
        <w:t>4</w:t>
      </w:r>
      <w:r>
        <w:t>.4.2</w:t>
      </w:r>
      <w:r>
        <w:fldChar w:fldCharType="begin"/>
      </w:r>
      <w:r>
        <w:instrText xml:space="preserve"> XE "intelekt:</w:instrText>
      </w:r>
      <w:r w:rsidRPr="00D04010">
        <w:rPr>
          <w:i/>
        </w:rPr>
        <w:instrText>experimur</w:instrText>
      </w:r>
      <w:r w:rsidRPr="008D12CB">
        <w:instrText>/</w:instrText>
      </w:r>
      <w:r w:rsidRPr="00D04010">
        <w:rPr>
          <w:i/>
        </w:rPr>
        <w:instrText>cons</w:instrText>
      </w:r>
      <w:r>
        <w:rPr>
          <w:i/>
        </w:rPr>
        <w:instrText>c</w:instrText>
      </w:r>
      <w:r w:rsidRPr="00D04010">
        <w:rPr>
          <w:i/>
        </w:rPr>
        <w:instrText>ii sumus</w:instrText>
      </w:r>
      <w:r>
        <w:instrText xml:space="preserve">" </w:instrText>
      </w:r>
      <w:r>
        <w:fldChar w:fldCharType="end"/>
      </w:r>
      <w:r w:rsidR="002A5985">
        <w:t xml:space="preserve">). </w:t>
      </w:r>
      <w:r w:rsidR="002A5985" w:rsidRPr="002A5985">
        <w:t>Deduktivní důkaz intelektu a duše není stanoven</w:t>
      </w:r>
      <w:r w:rsidR="002A5985">
        <w:t xml:space="preserve"> podle metafyzického dativu</w:t>
      </w:r>
      <w:r w:rsidR="002A5985" w:rsidRPr="002A5985">
        <w:t>.</w:t>
      </w:r>
      <w:r w:rsidR="002A5985">
        <w:t xml:space="preserve"> T</w:t>
      </w:r>
      <w:r>
        <w:t xml:space="preserve">oto základní </w:t>
      </w:r>
      <w:r w:rsidR="002A5985">
        <w:t>pochybení</w:t>
      </w:r>
      <w:r w:rsidR="00805214">
        <w:t xml:space="preserve"> (</w:t>
      </w:r>
      <w:r w:rsidR="00805214" w:rsidRPr="08D80ADE">
        <w:rPr>
          <w:i/>
        </w:rPr>
        <w:t>Irrtum</w:t>
      </w:r>
      <w:r w:rsidR="00805214">
        <w:t xml:space="preserve">) školy </w:t>
      </w:r>
      <w:r w:rsidR="00805214" w:rsidRPr="00805214">
        <w:rPr>
          <w:i/>
        </w:rPr>
        <w:t>sophistae Latini</w:t>
      </w:r>
      <w:r w:rsidR="00805214">
        <w:t xml:space="preserve"> </w:t>
      </w:r>
      <w:r>
        <w:t xml:space="preserve">určuje moderní podobu </w:t>
      </w:r>
      <w:r w:rsidRPr="08D80ADE">
        <w:rPr>
          <w:i/>
        </w:rPr>
        <w:t>dativus possesivus</w:t>
      </w:r>
      <w:r>
        <w:rPr>
          <w:i/>
        </w:rPr>
        <w:fldChar w:fldCharType="begin"/>
      </w:r>
      <w:r>
        <w:instrText xml:space="preserve"> XE "</w:instrText>
      </w:r>
      <w:r w:rsidRPr="084C2445">
        <w:rPr>
          <w:i/>
        </w:rPr>
        <w:instrText>dativus possesivus</w:instrText>
      </w:r>
      <w:r>
        <w:instrText xml:space="preserve">" </w:instrText>
      </w:r>
      <w:r>
        <w:rPr>
          <w:i/>
        </w:rPr>
        <w:fldChar w:fldCharType="end"/>
      </w:r>
      <w:r w:rsidR="08A37BC5">
        <w:t xml:space="preserve"> (kap. 4</w:t>
      </w:r>
      <w:r w:rsidR="00805214">
        <w:t>)</w:t>
      </w:r>
      <w:r>
        <w:t xml:space="preserve"> </w:t>
      </w:r>
      <w:r w:rsidR="00805214">
        <w:t xml:space="preserve">v modu </w:t>
      </w:r>
      <w:r w:rsidR="00805214">
        <w:rPr>
          <w:i/>
        </w:rPr>
        <w:t>Oxf</w:t>
      </w:r>
      <w:r w:rsidR="00805214" w:rsidRPr="08D80ADE">
        <w:rPr>
          <w:i/>
        </w:rPr>
        <w:t>o</w:t>
      </w:r>
      <w:r w:rsidR="00805214">
        <w:rPr>
          <w:i/>
        </w:rPr>
        <w:t>rdian F</w:t>
      </w:r>
      <w:r w:rsidR="00805214" w:rsidRPr="08D80ADE">
        <w:rPr>
          <w:i/>
        </w:rPr>
        <w:t>allacy</w:t>
      </w:r>
      <w:r w:rsidR="00805214">
        <w:t xml:space="preserve">. </w:t>
      </w:r>
      <w:r>
        <w:t>Povahu intelektu je nutno zkoumat vědecky ve dvojím modu vědecké predikace (</w:t>
      </w:r>
      <w:r w:rsidRPr="00273106">
        <w:rPr>
          <w:i/>
        </w:rPr>
        <w:t>Anal. Post</w:t>
      </w:r>
      <w:r w:rsidRPr="00273106">
        <w:t>. 84a11‒14</w:t>
      </w:r>
      <w:r>
        <w:t xml:space="preserve">). </w:t>
      </w:r>
      <w:r w:rsidR="085828C6">
        <w:rPr>
          <w:lang w:eastAsia="en-US"/>
        </w:rPr>
        <w:t xml:space="preserve">Hermeneutika objektivity musí přesně definovat existenciální definici osoby predikovanou </w:t>
      </w:r>
      <w:r w:rsidR="006A4BE3">
        <w:rPr>
          <w:lang w:eastAsia="en-US"/>
        </w:rPr>
        <w:t>„</w:t>
      </w:r>
      <w:r w:rsidR="085828C6" w:rsidRPr="08780207">
        <w:rPr>
          <w:i/>
        </w:rPr>
        <w:t>utroque modo</w:t>
      </w:r>
      <w:r w:rsidR="006A4BE3">
        <w:t>“</w:t>
      </w:r>
      <w:r w:rsidR="085828C6">
        <w:rPr>
          <w:i/>
        </w:rPr>
        <w:t xml:space="preserve"> </w:t>
      </w:r>
      <w:r w:rsidR="085828C6">
        <w:t>pod</w:t>
      </w:r>
      <w:r w:rsidR="085828C6" w:rsidRPr="08D10ECD">
        <w:t>l</w:t>
      </w:r>
      <w:r w:rsidR="085828C6">
        <w:t>e</w:t>
      </w:r>
      <w:r w:rsidR="085828C6" w:rsidRPr="08D10ECD">
        <w:t xml:space="preserve"> Sigera. </w:t>
      </w:r>
      <w:r w:rsidR="085828C6">
        <w:t xml:space="preserve">Jeho </w:t>
      </w:r>
      <w:r w:rsidR="08B52D25">
        <w:t xml:space="preserve">brilantní </w:t>
      </w:r>
      <w:r w:rsidR="085828C6">
        <w:t>definice podle CMDA se</w:t>
      </w:r>
      <w:r w:rsidR="086B774D">
        <w:t xml:space="preserve"> zásadně </w:t>
      </w:r>
      <w:r w:rsidR="085828C6">
        <w:t xml:space="preserve">liší od </w:t>
      </w:r>
      <w:r w:rsidR="0089609C">
        <w:t xml:space="preserve">moderní </w:t>
      </w:r>
      <w:r w:rsidR="085828C6">
        <w:t xml:space="preserve">univerzality, která nemá existenciálně-fenomenologický základ. V tomismu je definice osoby dána v modu </w:t>
      </w:r>
      <w:r w:rsidR="085828C6" w:rsidRPr="089D4784">
        <w:rPr>
          <w:i/>
        </w:rPr>
        <w:t>per se</w:t>
      </w:r>
      <w:r w:rsidR="085828C6">
        <w:t>, ale pouze esenciálně-univerzálně</w:t>
      </w:r>
      <w:r w:rsidR="00BA6C3A">
        <w:t xml:space="preserve">. </w:t>
      </w:r>
      <w:r w:rsidR="00BA6C3A" w:rsidRPr="00BA6C3A">
        <w:t>To znamená, že jedn</w:t>
      </w:r>
      <w:r w:rsidR="00BA6C3A">
        <w:t xml:space="preserve">ota osoby je založena výhradně </w:t>
      </w:r>
      <w:r w:rsidR="085828C6">
        <w:t xml:space="preserve">v Avicennově metafyzice esence. To je typický omyl Grossetesteho a Rufuse, kteří ve výkladu </w:t>
      </w:r>
      <w:r w:rsidR="085828C6" w:rsidRPr="089D4784">
        <w:rPr>
          <w:i/>
        </w:rPr>
        <w:t>Druhých analytik</w:t>
      </w:r>
      <w:r w:rsidR="085828C6">
        <w:t xml:space="preserve"> zrušili metafyzicko</w:t>
      </w:r>
      <w:r w:rsidR="00F502CE">
        <w:t>u abstrakci Averroese a defin</w:t>
      </w:r>
      <w:r w:rsidR="00712DA0">
        <w:t>ovali</w:t>
      </w:r>
      <w:r w:rsidR="085828C6">
        <w:t xml:space="preserve"> aristotelskou substanci pouze jako avicennovskou esenci. Termín „</w:t>
      </w:r>
      <w:r w:rsidR="085828C6" w:rsidRPr="089D4784">
        <w:rPr>
          <w:i/>
        </w:rPr>
        <w:t>per se</w:t>
      </w:r>
      <w:r w:rsidR="085828C6">
        <w:t xml:space="preserve">“ </w:t>
      </w:r>
      <w:r w:rsidR="00C71A37">
        <w:t xml:space="preserve">je pro duši a intelekt </w:t>
      </w:r>
      <w:r w:rsidR="085828C6">
        <w:t>vzatý bu</w:t>
      </w:r>
      <w:r w:rsidR="004002EA">
        <w:t xml:space="preserve">ď existenciálně, </w:t>
      </w:r>
      <w:r w:rsidR="00C71A37">
        <w:t xml:space="preserve">nebo esenciálně; </w:t>
      </w:r>
      <w:r w:rsidR="085828C6">
        <w:t xml:space="preserve">v žádném případě nemá stejný smysl v Sigerově škole a v tomistické škole. </w:t>
      </w:r>
      <w:r w:rsidR="08971D86">
        <w:t xml:space="preserve">Obě školy dělí odlišný výklad vědeckého důkazu podle </w:t>
      </w:r>
      <w:r w:rsidR="08971D86" w:rsidRPr="08971D86">
        <w:rPr>
          <w:i/>
        </w:rPr>
        <w:t>Druhých analytik</w:t>
      </w:r>
      <w:r w:rsidR="08971D86">
        <w:t xml:space="preserve"> (OBJ II, kap. 3.1.1). </w:t>
      </w:r>
      <w:r w:rsidR="085828C6">
        <w:t xml:space="preserve">Ipseita </w:t>
      </w:r>
      <w:r w:rsidR="08CA01D8">
        <w:t xml:space="preserve">osoby </w:t>
      </w:r>
      <w:r w:rsidR="00712711">
        <w:t xml:space="preserve">podle </w:t>
      </w:r>
      <w:r w:rsidR="08CA01D8">
        <w:t>Sigera</w:t>
      </w:r>
      <w:r w:rsidR="00712711">
        <w:t xml:space="preserve"> přesně sleduje dvojí logiku impozice smyslu danou dvojím výkladem „</w:t>
      </w:r>
      <w:r w:rsidR="00712711" w:rsidRPr="00712711">
        <w:rPr>
          <w:i/>
        </w:rPr>
        <w:t>per se</w:t>
      </w:r>
      <w:r w:rsidR="00712711">
        <w:t xml:space="preserve">“ </w:t>
      </w:r>
      <w:r w:rsidR="00712711" w:rsidRPr="00532D4E">
        <w:t xml:space="preserve">(καθ' αὑτὰ δὲ διττῶς, </w:t>
      </w:r>
      <w:r w:rsidR="00712711" w:rsidRPr="00532D4E">
        <w:rPr>
          <w:i/>
        </w:rPr>
        <w:t>Anal. Post</w:t>
      </w:r>
      <w:r w:rsidR="00712711" w:rsidRPr="00532D4E">
        <w:t>. 84a12</w:t>
      </w:r>
      <w:r w:rsidR="00712711" w:rsidRPr="00532D4E">
        <w:fldChar w:fldCharType="begin"/>
      </w:r>
      <w:r w:rsidR="00712711" w:rsidRPr="00532D4E">
        <w:instrText xml:space="preserve"> XE "Aristoteles:</w:instrText>
      </w:r>
      <w:r w:rsidR="00712711" w:rsidRPr="00532D4E">
        <w:rPr>
          <w:i/>
        </w:rPr>
        <w:instrText>Anal</w:instrText>
      </w:r>
      <w:r w:rsidR="00712711" w:rsidRPr="00532D4E">
        <w:instrText xml:space="preserve">. </w:instrText>
      </w:r>
      <w:r w:rsidR="00712711" w:rsidRPr="00532D4E">
        <w:rPr>
          <w:i/>
        </w:rPr>
        <w:instrText>Post</w:instrText>
      </w:r>
      <w:r w:rsidR="00712711" w:rsidRPr="00532D4E">
        <w:instrText xml:space="preserve">. 84a12" </w:instrText>
      </w:r>
      <w:r w:rsidR="00712711" w:rsidRPr="00532D4E">
        <w:fldChar w:fldCharType="end"/>
      </w:r>
      <w:r w:rsidR="00712711">
        <w:t>), které musí mít jasně dané pořadí podle kompletně provedého důkazu (</w:t>
      </w:r>
      <w:r w:rsidR="00712711" w:rsidRPr="00486B04">
        <w:rPr>
          <w:i/>
        </w:rPr>
        <w:t>Anal. Post</w:t>
      </w:r>
      <w:r w:rsidR="00712711">
        <w:t xml:space="preserve">. </w:t>
      </w:r>
      <w:proofErr w:type="gramStart"/>
      <w:r w:rsidR="00712711">
        <w:t>84a13</w:t>
      </w:r>
      <w:proofErr w:type="gramEnd"/>
      <w:r w:rsidR="00712711">
        <w:t>–</w:t>
      </w:r>
      <w:proofErr w:type="gramStart"/>
      <w:r w:rsidR="00712711">
        <w:t>14</w:t>
      </w:r>
      <w:proofErr w:type="gramEnd"/>
      <w:r w:rsidR="00712711" w:rsidRPr="00532D4E">
        <w:fldChar w:fldCharType="begin"/>
      </w:r>
      <w:r w:rsidR="00712711" w:rsidRPr="00532D4E">
        <w:instrText xml:space="preserve"> XE "Aristoteles:</w:instrText>
      </w:r>
      <w:r w:rsidR="00712711" w:rsidRPr="00532D4E">
        <w:rPr>
          <w:i/>
        </w:rPr>
        <w:instrText>Anal</w:instrText>
      </w:r>
      <w:r w:rsidR="00712711" w:rsidRPr="00532D4E">
        <w:instrText xml:space="preserve">. </w:instrText>
      </w:r>
      <w:r w:rsidR="00712711" w:rsidRPr="00532D4E">
        <w:rPr>
          <w:i/>
        </w:rPr>
        <w:instrText>Post</w:instrText>
      </w:r>
      <w:r w:rsidR="00712711">
        <w:instrText xml:space="preserve">. </w:instrText>
      </w:r>
      <w:proofErr w:type="gramStart"/>
      <w:r w:rsidR="00712711">
        <w:instrText>84a13</w:instrText>
      </w:r>
      <w:proofErr w:type="gramEnd"/>
      <w:r w:rsidR="00712711">
        <w:instrText>–</w:instrText>
      </w:r>
      <w:proofErr w:type="gramStart"/>
      <w:r w:rsidR="00712711">
        <w:instrText>14</w:instrText>
      </w:r>
      <w:proofErr w:type="gramEnd"/>
      <w:r w:rsidR="00712711" w:rsidRPr="00532D4E">
        <w:instrText xml:space="preserve">" </w:instrText>
      </w:r>
      <w:r w:rsidR="00712711" w:rsidRPr="00532D4E">
        <w:fldChar w:fldCharType="end"/>
      </w:r>
      <w:r w:rsidR="00712711">
        <w:t>). Správně vytvořený vědecký důkaz má jít od „</w:t>
      </w:r>
      <w:r w:rsidR="00712711" w:rsidRPr="00273106">
        <w:t>ἐνυπάρχει ἐν τῷ</w:t>
      </w:r>
      <w:r w:rsidR="00712711">
        <w:t>“ (a13) směrem k „</w:t>
      </w:r>
      <w:r w:rsidR="00712711" w:rsidRPr="00273106">
        <w:t>ὑπάρχουσιν αὐτοῖς</w:t>
      </w:r>
      <w:r w:rsidR="00712711">
        <w:t xml:space="preserve">“ (a14). </w:t>
      </w:r>
      <w:r w:rsidR="00BB0AA2">
        <w:t>Škola sophistae Latini daná v rámci prvního averroismu (Albert, Akvinský, Aegidius) má nekompletní důkaz daný pouze na základě „</w:t>
      </w:r>
      <w:r w:rsidR="00BB0AA2" w:rsidRPr="00BB0AA2">
        <w:rPr>
          <w:i/>
        </w:rPr>
        <w:t>per se</w:t>
      </w:r>
      <w:r w:rsidR="00BB0AA2">
        <w:t>“ určené esence. Pak ale nemají určení osoby jako Sigerovo „</w:t>
      </w:r>
      <w:r w:rsidR="00BB0AA2" w:rsidRPr="00BB0AA2">
        <w:rPr>
          <w:i/>
        </w:rPr>
        <w:t>homo ipse intelligit</w:t>
      </w:r>
      <w:r w:rsidR="00BB0AA2">
        <w:t>“, ale pouze určení v rámci „</w:t>
      </w:r>
      <w:r w:rsidR="00BB0AA2" w:rsidRPr="00BB0AA2">
        <w:rPr>
          <w:i/>
        </w:rPr>
        <w:t>homo intelligit</w:t>
      </w:r>
      <w:r w:rsidR="00BB0AA2">
        <w:t>“. Z důkazu zmizel modus „</w:t>
      </w:r>
      <w:r w:rsidR="00BB0AA2" w:rsidRPr="007E395C">
        <w:rPr>
          <w:i/>
        </w:rPr>
        <w:t>ipse</w:t>
      </w:r>
      <w:r w:rsidR="00BB0AA2">
        <w:t>“</w:t>
      </w:r>
      <w:r w:rsidR="007E395C">
        <w:t xml:space="preserve"> daný metafyzicko</w:t>
      </w:r>
      <w:r w:rsidR="00BB0AA2">
        <w:t xml:space="preserve">u impozicí jedinečné existence, což </w:t>
      </w:r>
      <w:r w:rsidR="007E395C">
        <w:t xml:space="preserve">o několik </w:t>
      </w:r>
      <w:r w:rsidR="00BB0AA2">
        <w:t xml:space="preserve">staletí později </w:t>
      </w:r>
      <w:r w:rsidR="007E395C">
        <w:t xml:space="preserve">napravilo </w:t>
      </w:r>
      <w:r w:rsidR="00BB0AA2">
        <w:t xml:space="preserve">Heideggerovo </w:t>
      </w:r>
      <w:r w:rsidR="007E395C">
        <w:t xml:space="preserve">pojetí </w:t>
      </w:r>
      <w:r w:rsidR="00BB0AA2" w:rsidRPr="00BB0AA2">
        <w:rPr>
          <w:i/>
        </w:rPr>
        <w:t>Dasein</w:t>
      </w:r>
      <w:r w:rsidR="00BB0AA2">
        <w:t>. Impozice kauzálně určené existence byla nahrazen</w:t>
      </w:r>
      <w:r w:rsidR="007E395C">
        <w:t>a skrze logickou supozici</w:t>
      </w:r>
      <w:r w:rsidR="00BB0AA2">
        <w:t xml:space="preserve"> esence. Tím vznikla v modu </w:t>
      </w:r>
      <w:r w:rsidR="00BB0AA2" w:rsidRPr="00486B04">
        <w:rPr>
          <w:i/>
        </w:rPr>
        <w:t>Anal. Post</w:t>
      </w:r>
      <w:r w:rsidR="00BB0AA2">
        <w:t>. 84a14 pouze esenciální identita člověka v modu „</w:t>
      </w:r>
      <w:r w:rsidR="007E395C">
        <w:rPr>
          <w:i/>
        </w:rPr>
        <w:t>idem</w:t>
      </w:r>
      <w:r w:rsidR="00BB0AA2">
        <w:t xml:space="preserve">“. </w:t>
      </w:r>
      <w:r w:rsidR="006B515D">
        <w:t>Si</w:t>
      </w:r>
      <w:r w:rsidR="006B515D" w:rsidRPr="006B515D">
        <w:t xml:space="preserve">ger definoval jednotu člověka v režimu </w:t>
      </w:r>
      <w:r w:rsidR="006B515D" w:rsidRPr="006B515D">
        <w:rPr>
          <w:i/>
        </w:rPr>
        <w:t>alétheia</w:t>
      </w:r>
      <w:r w:rsidR="006B515D" w:rsidRPr="006B515D">
        <w:t xml:space="preserve">; proto ho Dante </w:t>
      </w:r>
      <w:r w:rsidR="006B515D" w:rsidRPr="006B515D">
        <w:lastRenderedPageBreak/>
        <w:t>os</w:t>
      </w:r>
      <w:r w:rsidR="006B515D">
        <w:t>lavil</w:t>
      </w:r>
      <w:r w:rsidR="006B515D" w:rsidRPr="006B515D">
        <w:t xml:space="preserve"> jako nejlepšího filo</w:t>
      </w:r>
      <w:r w:rsidR="006B515D">
        <w:t xml:space="preserve">sofa své doby. Akvinský </w:t>
      </w:r>
      <w:r w:rsidR="006B515D" w:rsidRPr="006B515D">
        <w:t xml:space="preserve">nabídl </w:t>
      </w:r>
      <w:r w:rsidR="006B515D">
        <w:t>druhořadou d</w:t>
      </w:r>
      <w:r w:rsidR="006B515D" w:rsidRPr="006B515D">
        <w:t>efinici jednoty</w:t>
      </w:r>
      <w:r w:rsidR="006B515D">
        <w:t xml:space="preserve"> </w:t>
      </w:r>
      <w:r w:rsidR="0090305D">
        <w:t xml:space="preserve">osoby </w:t>
      </w:r>
      <w:r w:rsidR="006B515D">
        <w:t>provedené v režimu objektivní</w:t>
      </w:r>
      <w:r w:rsidR="006B515D" w:rsidRPr="006B515D">
        <w:t xml:space="preserve"> </w:t>
      </w:r>
      <w:r w:rsidR="006B515D">
        <w:rPr>
          <w:i/>
        </w:rPr>
        <w:t xml:space="preserve">veritas. </w:t>
      </w:r>
      <w:r w:rsidR="089E75B3">
        <w:t xml:space="preserve">Termín </w:t>
      </w:r>
      <w:r w:rsidR="006B515D">
        <w:t>„</w:t>
      </w:r>
      <w:r w:rsidR="089E75B3" w:rsidRPr="00464A33">
        <w:rPr>
          <w:i/>
        </w:rPr>
        <w:t>ipse</w:t>
      </w:r>
      <w:r w:rsidR="006B515D">
        <w:t>“</w:t>
      </w:r>
      <w:r w:rsidR="089E75B3">
        <w:t xml:space="preserve"> sleduj</w:t>
      </w:r>
      <w:r w:rsidR="008467C9">
        <w:t>e aristotelskou vědeckou metodu</w:t>
      </w:r>
      <w:r w:rsidR="089E75B3">
        <w:t xml:space="preserve">, která se v případě Sigerovy fenomenologie intelektu ukazuje jako vlastní výkon </w:t>
      </w:r>
      <w:r w:rsidR="08222672">
        <w:t xml:space="preserve">lidské </w:t>
      </w:r>
      <w:r w:rsidR="089E75B3">
        <w:t>duše (</w:t>
      </w:r>
      <w:r w:rsidR="089E75B3" w:rsidRPr="00273106">
        <w:t>τῆς τοιαύτης ψυχῆς ἔργον</w:t>
      </w:r>
      <w:r w:rsidR="089E75B3">
        <w:t>).</w:t>
      </w:r>
      <w:r w:rsidR="08222672">
        <w:t xml:space="preserve"> </w:t>
      </w:r>
      <w:r>
        <w:t xml:space="preserve">Jedině tento postup daný podle komplexní analýzy </w:t>
      </w:r>
      <w:r w:rsidRPr="08977818">
        <w:rPr>
          <w:i/>
        </w:rPr>
        <w:t>Druhých analytik</w:t>
      </w:r>
      <w:r>
        <w:t xml:space="preserve"> </w:t>
      </w:r>
      <w:r w:rsidR="008467C9">
        <w:t xml:space="preserve">očistil </w:t>
      </w:r>
      <w:r>
        <w:t xml:space="preserve">definici osoby od omylů typu </w:t>
      </w:r>
      <w:r w:rsidRPr="00C4781D">
        <w:rPr>
          <w:i/>
        </w:rPr>
        <w:t>Oxfordian Fallacy</w:t>
      </w:r>
      <w:r>
        <w:rPr>
          <w:i/>
        </w:rPr>
        <w:fldChar w:fldCharType="begin"/>
      </w:r>
      <w:r>
        <w:instrText xml:space="preserve"> XE "</w:instrText>
      </w:r>
      <w:r w:rsidRPr="0015798D">
        <w:rPr>
          <w:i/>
        </w:rPr>
        <w:instrText>Oxfordian Fallacy:</w:instrText>
      </w:r>
      <w:r w:rsidRPr="00F423F8">
        <w:instrText>kritika Sigera</w:instrText>
      </w:r>
      <w:r>
        <w:instrText xml:space="preserve">" </w:instrText>
      </w:r>
      <w:r>
        <w:rPr>
          <w:i/>
        </w:rPr>
        <w:fldChar w:fldCharType="end"/>
      </w:r>
      <w:r>
        <w:t xml:space="preserve">. </w:t>
      </w:r>
      <w:r w:rsidRPr="00273106">
        <w:rPr>
          <w:lang w:eastAsia="en-US"/>
        </w:rPr>
        <w:t>Kr</w:t>
      </w:r>
      <w:r>
        <w:rPr>
          <w:lang w:eastAsia="en-US"/>
        </w:rPr>
        <w:t>itiku obou dominikánů obsahoval</w:t>
      </w:r>
      <w:r w:rsidRPr="00273106">
        <w:rPr>
          <w:lang w:eastAsia="en-US"/>
        </w:rPr>
        <w:t xml:space="preserve"> již </w:t>
      </w:r>
      <w:r>
        <w:rPr>
          <w:lang w:eastAsia="en-US"/>
        </w:rPr>
        <w:t xml:space="preserve">Sigerův </w:t>
      </w:r>
      <w:r w:rsidRPr="00273106">
        <w:rPr>
          <w:lang w:eastAsia="en-US"/>
        </w:rPr>
        <w:t xml:space="preserve">první </w:t>
      </w:r>
      <w:r>
        <w:rPr>
          <w:lang w:eastAsia="en-US"/>
        </w:rPr>
        <w:t xml:space="preserve">kompletní komentář </w:t>
      </w:r>
      <w:r>
        <w:rPr>
          <w:i/>
          <w:lang w:eastAsia="en-US"/>
        </w:rPr>
        <w:t>D</w:t>
      </w:r>
      <w:r w:rsidRPr="00273106">
        <w:rPr>
          <w:i/>
          <w:lang w:eastAsia="en-US"/>
        </w:rPr>
        <w:t>e anima</w:t>
      </w:r>
      <w:r w:rsidRPr="00273106">
        <w:rPr>
          <w:lang w:eastAsia="en-US"/>
        </w:rPr>
        <w:t xml:space="preserve">. </w:t>
      </w:r>
      <w:r>
        <w:rPr>
          <w:lang w:eastAsia="en-US"/>
        </w:rPr>
        <w:t xml:space="preserve">Mnichovský rukopis a QIIIDA  kritizovaly umírněnou verzi </w:t>
      </w:r>
      <w:r w:rsidRPr="009D6223">
        <w:rPr>
          <w:i/>
          <w:lang w:eastAsia="en-US"/>
        </w:rPr>
        <w:t>Oxfordian Fallacy</w:t>
      </w:r>
      <w:r>
        <w:rPr>
          <w:i/>
          <w:lang w:eastAsia="en-US"/>
        </w:rPr>
        <w:fldChar w:fldCharType="begin"/>
      </w:r>
      <w:r>
        <w:instrText xml:space="preserve"> XE "</w:instrText>
      </w:r>
      <w:r w:rsidRPr="0015798D">
        <w:rPr>
          <w:i/>
        </w:rPr>
        <w:instrText>Oxfordian Fallacy:</w:instrText>
      </w:r>
      <w:r w:rsidRPr="007B3955">
        <w:instrText>Akvinský</w:instrText>
      </w:r>
      <w:r>
        <w:instrText xml:space="preserve">" </w:instrText>
      </w:r>
      <w:r>
        <w:rPr>
          <w:i/>
          <w:lang w:eastAsia="en-US"/>
        </w:rPr>
        <w:fldChar w:fldCharType="end"/>
      </w:r>
      <w:r>
        <w:rPr>
          <w:lang w:eastAsia="en-US"/>
        </w:rPr>
        <w:t xml:space="preserve"> pro </w:t>
      </w:r>
      <w:r w:rsidR="000C3929">
        <w:rPr>
          <w:lang w:eastAsia="en-US"/>
        </w:rPr>
        <w:t xml:space="preserve">definice </w:t>
      </w:r>
      <w:r>
        <w:rPr>
          <w:lang w:eastAsia="en-US"/>
        </w:rPr>
        <w:t xml:space="preserve">duše a intelektu. Brilantní metafyzik </w:t>
      </w:r>
      <w:r w:rsidRPr="00273106">
        <w:rPr>
          <w:lang w:eastAsia="en-US"/>
        </w:rPr>
        <w:t xml:space="preserve">jasně viděl, že </w:t>
      </w:r>
      <w:r>
        <w:rPr>
          <w:lang w:eastAsia="en-US"/>
        </w:rPr>
        <w:t xml:space="preserve">Albertovi a Akvinskému </w:t>
      </w:r>
      <w:r w:rsidRPr="00273106">
        <w:rPr>
          <w:lang w:eastAsia="en-US"/>
        </w:rPr>
        <w:t xml:space="preserve">chybí </w:t>
      </w:r>
      <w:r w:rsidR="08280F36">
        <w:rPr>
          <w:lang w:eastAsia="en-US"/>
        </w:rPr>
        <w:t xml:space="preserve">fenomenologie vnímání a myšlení. </w:t>
      </w:r>
      <w:r w:rsidR="00F60011">
        <w:rPr>
          <w:lang w:eastAsia="en-US"/>
        </w:rPr>
        <w:t>Sigerova š</w:t>
      </w:r>
      <w:r w:rsidR="00F60011" w:rsidRPr="00F60011">
        <w:rPr>
          <w:lang w:eastAsia="en-US"/>
        </w:rPr>
        <w:t>kola (</w:t>
      </w:r>
      <w:r w:rsidR="00F60011" w:rsidRPr="00F60011">
        <w:rPr>
          <w:i/>
          <w:lang w:eastAsia="en-US"/>
        </w:rPr>
        <w:t>pars Sigeri</w:t>
      </w:r>
      <w:r w:rsidR="00F60011" w:rsidRPr="00F60011">
        <w:rPr>
          <w:lang w:eastAsia="en-US"/>
        </w:rPr>
        <w:t>) byla jediná, k</w:t>
      </w:r>
      <w:r w:rsidR="00F60011">
        <w:rPr>
          <w:lang w:eastAsia="en-US"/>
        </w:rPr>
        <w:t>terá obhajovala definici osoby „</w:t>
      </w:r>
      <w:r w:rsidR="00F60011" w:rsidRPr="00F60011">
        <w:rPr>
          <w:i/>
          <w:lang w:eastAsia="en-US"/>
        </w:rPr>
        <w:t>utroque modo</w:t>
      </w:r>
      <w:r w:rsidR="00F60011">
        <w:rPr>
          <w:lang w:eastAsia="en-US"/>
        </w:rPr>
        <w:t>“</w:t>
      </w:r>
      <w:r w:rsidR="00F60011" w:rsidRPr="00F60011">
        <w:rPr>
          <w:lang w:eastAsia="en-US"/>
        </w:rPr>
        <w:t xml:space="preserve"> a </w:t>
      </w:r>
      <w:r w:rsidR="00F60011">
        <w:rPr>
          <w:lang w:eastAsia="en-US"/>
        </w:rPr>
        <w:t xml:space="preserve">to </w:t>
      </w:r>
      <w:r w:rsidR="00F60011" w:rsidRPr="00F60011">
        <w:rPr>
          <w:lang w:eastAsia="en-US"/>
        </w:rPr>
        <w:t xml:space="preserve">proti oběma školám </w:t>
      </w:r>
      <w:r w:rsidR="00F60011" w:rsidRPr="00F60011">
        <w:rPr>
          <w:i/>
          <w:lang w:eastAsia="en-US"/>
        </w:rPr>
        <w:t>sophistae Latini</w:t>
      </w:r>
      <w:r w:rsidR="00F60011" w:rsidRPr="00F60011">
        <w:rPr>
          <w:lang w:eastAsia="en-US"/>
        </w:rPr>
        <w:t xml:space="preserve"> (</w:t>
      </w:r>
      <w:r w:rsidR="00F60011" w:rsidRPr="00F60011">
        <w:rPr>
          <w:i/>
          <w:lang w:eastAsia="en-US"/>
        </w:rPr>
        <w:t>Moderni</w:t>
      </w:r>
      <w:r w:rsidR="00F60011" w:rsidRPr="00F60011">
        <w:rPr>
          <w:lang w:eastAsia="en-US"/>
        </w:rPr>
        <w:t>, Albert, tomismus).</w:t>
      </w:r>
      <w:r w:rsidR="00F60011">
        <w:rPr>
          <w:lang w:eastAsia="en-US"/>
        </w:rPr>
        <w:t xml:space="preserve"> </w:t>
      </w:r>
      <w:r w:rsidR="00F60011" w:rsidRPr="00F60011">
        <w:rPr>
          <w:lang w:eastAsia="en-US"/>
        </w:rPr>
        <w:t xml:space="preserve">Existenciální definice osoby </w:t>
      </w:r>
      <w:r w:rsidR="00F60011">
        <w:rPr>
          <w:lang w:eastAsia="en-US"/>
        </w:rPr>
        <w:t>určila správné místo, které zaujala tomistická metafyzická univerzalita</w:t>
      </w:r>
      <w:r w:rsidR="00F60011" w:rsidRPr="00F60011">
        <w:rPr>
          <w:lang w:eastAsia="en-US"/>
        </w:rPr>
        <w:t xml:space="preserve"> </w:t>
      </w:r>
      <w:r w:rsidR="00F60011">
        <w:rPr>
          <w:lang w:eastAsia="en-US"/>
        </w:rPr>
        <w:t xml:space="preserve">v </w:t>
      </w:r>
      <w:r w:rsidR="00F60011" w:rsidRPr="00F60011">
        <w:rPr>
          <w:lang w:eastAsia="en-US"/>
        </w:rPr>
        <w:t xml:space="preserve">avicennově metafyzice </w:t>
      </w:r>
      <w:r w:rsidR="00F60011">
        <w:rPr>
          <w:lang w:eastAsia="en-US"/>
        </w:rPr>
        <w:t xml:space="preserve">essence. </w:t>
      </w:r>
      <w:r w:rsidR="086A7230">
        <w:t xml:space="preserve">Siger odmítl </w:t>
      </w:r>
      <w:r w:rsidR="08D00BF1">
        <w:t xml:space="preserve">Akvinského a Albertovu </w:t>
      </w:r>
      <w:r>
        <w:t>definic</w:t>
      </w:r>
      <w:r w:rsidR="086A7230">
        <w:t>i</w:t>
      </w:r>
      <w:r>
        <w:t xml:space="preserve"> </w:t>
      </w:r>
      <w:r w:rsidR="08D00BF1">
        <w:t xml:space="preserve">osoby </w:t>
      </w:r>
      <w:r>
        <w:t xml:space="preserve">jako nedostatečnou jménem predikace </w:t>
      </w:r>
      <w:r w:rsidRPr="08767631">
        <w:rPr>
          <w:i/>
        </w:rPr>
        <w:t>anima intellectiva</w:t>
      </w:r>
      <w:r>
        <w:t xml:space="preserve"> dané také </w:t>
      </w:r>
      <w:r w:rsidRPr="08767631">
        <w:rPr>
          <w:i/>
        </w:rPr>
        <w:t>per se</w:t>
      </w:r>
      <w:r w:rsidRPr="08767631">
        <w:t>, ale nyní již</w:t>
      </w:r>
      <w:r>
        <w:rPr>
          <w:i/>
        </w:rPr>
        <w:t xml:space="preserve"> </w:t>
      </w:r>
      <w:r>
        <w:t xml:space="preserve"> existenciálně-hyparchicky podle Komentátor</w:t>
      </w:r>
      <w:r w:rsidR="08106F06">
        <w:t>ov</w:t>
      </w:r>
      <w:r>
        <w:t xml:space="preserve">a výkladu v CMDA. </w:t>
      </w:r>
      <w:r w:rsidR="00B53E35" w:rsidRPr="00B53E35">
        <w:t xml:space="preserve">Latinští sofisté </w:t>
      </w:r>
      <w:r w:rsidR="00B53E35">
        <w:t xml:space="preserve">postupovali podle Rufusovy verze Oxfodian Fallacy (OBJ II, kap. 3.3.1) a vypracovali </w:t>
      </w:r>
      <w:r w:rsidR="00B53E35" w:rsidRPr="00B53E35">
        <w:t xml:space="preserve">objektivní definici intelektu </w:t>
      </w:r>
      <w:r w:rsidR="00B53E35">
        <w:t>v modu „</w:t>
      </w:r>
      <w:r w:rsidR="00B53E35" w:rsidRPr="00273106">
        <w:rPr>
          <w:i/>
        </w:rPr>
        <w:t>secundum-quod-ipsum-est</w:t>
      </w:r>
      <w:r w:rsidR="00B53E35">
        <w:t>“</w:t>
      </w:r>
      <w:r w:rsidR="00B53E35" w:rsidRPr="00273106">
        <w:t xml:space="preserve"> (καθ' αὑτὸ καὶ ᾗ αὐ</w:t>
      </w:r>
      <w:r w:rsidR="00B53E35">
        <w:t xml:space="preserve">τό, </w:t>
      </w:r>
      <w:r w:rsidR="00B53E35" w:rsidRPr="08E00F8B">
        <w:rPr>
          <w:i/>
        </w:rPr>
        <w:t>Anal. Post</w:t>
      </w:r>
      <w:r w:rsidR="00B53E35">
        <w:t>. 73b27</w:t>
      </w:r>
      <w:r w:rsidR="00B53E35">
        <w:fldChar w:fldCharType="begin"/>
      </w:r>
      <w:r w:rsidR="00B53E35">
        <w:instrText xml:space="preserve"> XE "Aristoteles:</w:instrText>
      </w:r>
      <w:r w:rsidR="00B53E35" w:rsidRPr="001B2AC8">
        <w:rPr>
          <w:i/>
        </w:rPr>
        <w:instrText>Anal. Post</w:instrText>
      </w:r>
      <w:r w:rsidR="00B53E35" w:rsidRPr="001B2AC8">
        <w:instrText>. 73b27</w:instrText>
      </w:r>
      <w:r w:rsidR="00B53E35">
        <w:instrText xml:space="preserve">" </w:instrText>
      </w:r>
      <w:r w:rsidR="00B53E35">
        <w:fldChar w:fldCharType="end"/>
      </w:r>
      <w:r w:rsidR="00B53E35">
        <w:t xml:space="preserve">). </w:t>
      </w:r>
      <w:r w:rsidR="00B53E35" w:rsidRPr="00B53E35">
        <w:t xml:space="preserve">Spojili dohromady oba </w:t>
      </w:r>
      <w:r w:rsidR="00B53E35">
        <w:t xml:space="preserve">genericky mody bytí určené v modu </w:t>
      </w:r>
      <w:r w:rsidR="00B53E35" w:rsidRPr="00B53E35">
        <w:rPr>
          <w:i/>
        </w:rPr>
        <w:t>simpliciter</w:t>
      </w:r>
      <w:r w:rsidR="00B53E35">
        <w:t xml:space="preserve"> a </w:t>
      </w:r>
      <w:r w:rsidR="00B53E35" w:rsidRPr="00B53E35">
        <w:rPr>
          <w:i/>
        </w:rPr>
        <w:t>per se</w:t>
      </w:r>
      <w:r w:rsidR="00B53E35">
        <w:t>. Siger však již ve spise QIIIDA</w:t>
      </w:r>
      <w:r w:rsidR="00B53E35" w:rsidRPr="00B53E35">
        <w:t xml:space="preserve"> jasně rozlišoval </w:t>
      </w:r>
      <w:r w:rsidR="00B53E35">
        <w:t xml:space="preserve">mezi </w:t>
      </w:r>
      <w:r w:rsidR="00B53E35" w:rsidRPr="00B53E35">
        <w:t>metafyzickým a logickým způsobem</w:t>
      </w:r>
      <w:r w:rsidR="00B53E35">
        <w:t xml:space="preserve"> predikace fenoménu „</w:t>
      </w:r>
      <w:r w:rsidR="00B53E35" w:rsidRPr="00B53E35">
        <w:rPr>
          <w:i/>
        </w:rPr>
        <w:t>homo ipse intelligit</w:t>
      </w:r>
      <w:r w:rsidR="00B53E35">
        <w:t>“</w:t>
      </w:r>
      <w:r w:rsidR="00B53E35" w:rsidRPr="00B53E35">
        <w:t>.</w:t>
      </w:r>
    </w:p>
    <w:p w:rsidR="00A84BF2" w:rsidRDefault="00F3503E" w:rsidP="00C767EB">
      <w:pPr>
        <w:ind w:firstLine="397"/>
      </w:pPr>
      <w:r w:rsidRPr="00F3503E">
        <w:t xml:space="preserve">Spis </w:t>
      </w:r>
      <w:r>
        <w:rPr>
          <w:i/>
        </w:rPr>
        <w:t>De a</w:t>
      </w:r>
      <w:r w:rsidRPr="00F3503E">
        <w:rPr>
          <w:i/>
        </w:rPr>
        <w:t>nima intellectiva</w:t>
      </w:r>
      <w:r w:rsidRPr="00F3503E">
        <w:t xml:space="preserve"> (1272) potvrdil výše uvedené nejdůležitější body Sigerovy kritiky. Stalo se to ve chvíli, kdy Akvinský dorazil do Paříže se svým </w:t>
      </w:r>
      <w:r>
        <w:t>filosoficky chybným pojetím „</w:t>
      </w:r>
      <w:r w:rsidRPr="00F3503E">
        <w:rPr>
          <w:i/>
        </w:rPr>
        <w:t>anima intellectiva</w:t>
      </w:r>
      <w:r>
        <w:t>“</w:t>
      </w:r>
      <w:r w:rsidRPr="00F3503E">
        <w:t>.</w:t>
      </w:r>
      <w:r>
        <w:t xml:space="preserve"> </w:t>
      </w:r>
      <w:r w:rsidR="08854F6C">
        <w:t xml:space="preserve">Esenciální </w:t>
      </w:r>
      <w:r w:rsidR="08163013">
        <w:t xml:space="preserve">definice </w:t>
      </w:r>
      <w:r w:rsidR="08854F6C" w:rsidRPr="08854F6C">
        <w:rPr>
          <w:i/>
        </w:rPr>
        <w:t>anima intellectiva</w:t>
      </w:r>
      <w:r w:rsidR="08854F6C">
        <w:t xml:space="preserve"> </w:t>
      </w:r>
      <w:r>
        <w:t>nemá</w:t>
      </w:r>
      <w:r w:rsidR="08163013">
        <w:t xml:space="preserve"> zajištěnou predikaci z </w:t>
      </w:r>
      <w:r w:rsidR="081942A4">
        <w:t xml:space="preserve">metafyzického </w:t>
      </w:r>
      <w:r w:rsidR="08163013">
        <w:t xml:space="preserve">dativu, ale dogmatických teologických předpokladů. Tím bylo zrušeno vědecké pojetí poznání </w:t>
      </w:r>
      <w:r w:rsidR="08163013" w:rsidRPr="08B81BED">
        <w:rPr>
          <w:i/>
        </w:rPr>
        <w:t>anima intellectiva</w:t>
      </w:r>
      <w:r w:rsidR="08163013">
        <w:t xml:space="preserve">, protože semiaverroisté </w:t>
      </w:r>
      <w:r w:rsidR="002A4878">
        <w:t xml:space="preserve">(Albert, Akvinský, Aegidius) </w:t>
      </w:r>
      <w:r w:rsidR="08163013">
        <w:t xml:space="preserve">se dopustili zásadních chyb. Albert a Tomáš mají špatně vybudovaný vědecký důkaz </w:t>
      </w:r>
      <w:r w:rsidR="000A5D1C">
        <w:t xml:space="preserve">podaný </w:t>
      </w:r>
      <w:r w:rsidR="08163013">
        <w:t xml:space="preserve">mimo reálnou </w:t>
      </w:r>
      <w:r w:rsidR="00B34A23">
        <w:t xml:space="preserve">kognitivní </w:t>
      </w:r>
      <w:r w:rsidR="08163013">
        <w:t xml:space="preserve">kauzalitu. </w:t>
      </w:r>
      <w:r w:rsidR="08163013">
        <w:rPr>
          <w:lang w:eastAsia="en-US"/>
        </w:rPr>
        <w:t xml:space="preserve">Bez vyjasnění základního způsobu, jak </w:t>
      </w:r>
      <w:r w:rsidR="000A5D1C">
        <w:rPr>
          <w:lang w:eastAsia="en-US"/>
        </w:rPr>
        <w:t xml:space="preserve">vše </w:t>
      </w:r>
      <w:r w:rsidR="08163013">
        <w:rPr>
          <w:lang w:eastAsia="en-US"/>
        </w:rPr>
        <w:t xml:space="preserve">poznáváme, nelze </w:t>
      </w:r>
      <w:r w:rsidR="08163013" w:rsidRPr="00273106">
        <w:rPr>
          <w:lang w:eastAsia="en-US"/>
        </w:rPr>
        <w:t>defin</w:t>
      </w:r>
      <w:r w:rsidR="08163013">
        <w:rPr>
          <w:lang w:eastAsia="en-US"/>
        </w:rPr>
        <w:t xml:space="preserve">ovat </w:t>
      </w:r>
      <w:r w:rsidR="08163013" w:rsidRPr="00273106">
        <w:rPr>
          <w:lang w:eastAsia="en-US"/>
        </w:rPr>
        <w:t xml:space="preserve">bytostné určení intelektu. </w:t>
      </w:r>
      <w:r w:rsidR="08163013">
        <w:rPr>
          <w:lang w:eastAsia="en-US"/>
        </w:rPr>
        <w:t xml:space="preserve">Protože poznáváme reálně, tak intelekt predikujeme kategoriálně. </w:t>
      </w:r>
      <w:r w:rsidR="00DB7AAE">
        <w:rPr>
          <w:lang w:eastAsia="en-US"/>
        </w:rPr>
        <w:t>Siger popsal a</w:t>
      </w:r>
      <w:r w:rsidR="088967C3">
        <w:rPr>
          <w:lang w:eastAsia="en-US"/>
        </w:rPr>
        <w:t xml:space="preserve">kt myšlení </w:t>
      </w:r>
      <w:r w:rsidR="08163013" w:rsidRPr="00273106">
        <w:rPr>
          <w:lang w:eastAsia="en-US"/>
        </w:rPr>
        <w:t xml:space="preserve">skrze originálně utvářený princip </w:t>
      </w:r>
      <w:r w:rsidR="00DB7AAE">
        <w:rPr>
          <w:lang w:eastAsia="en-US"/>
        </w:rPr>
        <w:t>„</w:t>
      </w:r>
      <w:r w:rsidR="08213B53">
        <w:rPr>
          <w:lang w:eastAsia="en-US"/>
        </w:rPr>
        <w:t xml:space="preserve">ex </w:t>
      </w:r>
      <w:r w:rsidR="08027AC2">
        <w:rPr>
          <w:i/>
          <w:lang w:eastAsia="en-US"/>
        </w:rPr>
        <w:t>in</w:t>
      </w:r>
      <w:r w:rsidR="08213B53">
        <w:rPr>
          <w:i/>
          <w:lang w:eastAsia="en-US"/>
        </w:rPr>
        <w:t>mediatis</w:t>
      </w:r>
      <w:r w:rsidR="00DB7AAE">
        <w:rPr>
          <w:lang w:eastAsia="en-US"/>
        </w:rPr>
        <w:t>“</w:t>
      </w:r>
      <w:r w:rsidR="088967C3">
        <w:rPr>
          <w:lang w:eastAsia="en-US"/>
        </w:rPr>
        <w:t xml:space="preserve"> </w:t>
      </w:r>
      <w:r w:rsidR="00DB7AAE">
        <w:rPr>
          <w:lang w:eastAsia="en-US"/>
        </w:rPr>
        <w:t>daný v první osobě</w:t>
      </w:r>
      <w:r w:rsidR="088967C3">
        <w:rPr>
          <w:lang w:eastAsia="en-US"/>
        </w:rPr>
        <w:t xml:space="preserve">. Kauzalita mého těla jako </w:t>
      </w:r>
      <w:r w:rsidR="088967C3" w:rsidRPr="00273106">
        <w:rPr>
          <w:lang w:eastAsia="en-US"/>
        </w:rPr>
        <w:t xml:space="preserve">první </w:t>
      </w:r>
      <w:proofErr w:type="gramStart"/>
      <w:r w:rsidR="088967C3" w:rsidRPr="00273106">
        <w:rPr>
          <w:lang w:eastAsia="en-US"/>
        </w:rPr>
        <w:t>substance</w:t>
      </w:r>
      <w:r w:rsidR="088967C3">
        <w:rPr>
          <w:lang w:eastAsia="en-US"/>
        </w:rPr>
        <w:t xml:space="preserve"> </w:t>
      </w:r>
      <w:r w:rsidR="088967C3" w:rsidRPr="081942A4">
        <w:rPr>
          <w:szCs w:val="24"/>
        </w:rPr>
        <w:t xml:space="preserve"> </w:t>
      </w:r>
      <w:r w:rsidR="088967C3">
        <w:rPr>
          <w:lang w:eastAsia="en-US"/>
        </w:rPr>
        <w:t>je</w:t>
      </w:r>
      <w:proofErr w:type="gramEnd"/>
      <w:r w:rsidR="088967C3">
        <w:rPr>
          <w:lang w:eastAsia="en-US"/>
        </w:rPr>
        <w:t xml:space="preserve"> </w:t>
      </w:r>
      <w:r w:rsidR="08452917">
        <w:rPr>
          <w:lang w:eastAsia="en-US"/>
        </w:rPr>
        <w:t>zakoušena</w:t>
      </w:r>
      <w:r w:rsidR="08163013" w:rsidRPr="00273106">
        <w:rPr>
          <w:lang w:eastAsia="en-US"/>
        </w:rPr>
        <w:t xml:space="preserve"> jak z </w:t>
      </w:r>
      <w:r w:rsidR="08163013">
        <w:rPr>
          <w:lang w:eastAsia="en-US"/>
        </w:rPr>
        <w:t xml:space="preserve">kauzality </w:t>
      </w:r>
      <w:r w:rsidR="08163013" w:rsidRPr="00273106">
        <w:rPr>
          <w:lang w:eastAsia="en-US"/>
        </w:rPr>
        <w:t xml:space="preserve">smyslů, tak i </w:t>
      </w:r>
      <w:r w:rsidR="08163013">
        <w:rPr>
          <w:lang w:eastAsia="en-US"/>
        </w:rPr>
        <w:t xml:space="preserve">z kauzality </w:t>
      </w:r>
      <w:r w:rsidR="08163013" w:rsidRPr="00273106">
        <w:rPr>
          <w:lang w:eastAsia="en-US"/>
        </w:rPr>
        <w:t xml:space="preserve">intelektu </w:t>
      </w:r>
      <w:r w:rsidR="08452917" w:rsidRPr="081942A4">
        <w:rPr>
          <w:szCs w:val="24"/>
        </w:rPr>
        <w:t>(</w:t>
      </w:r>
      <w:r w:rsidR="00B2355F">
        <w:rPr>
          <w:i/>
          <w:szCs w:val="24"/>
        </w:rPr>
        <w:t>experimur–</w:t>
      </w:r>
      <w:r w:rsidR="08452917" w:rsidRPr="081942A4">
        <w:rPr>
          <w:i/>
          <w:szCs w:val="24"/>
        </w:rPr>
        <w:t>conscii sumus</w:t>
      </w:r>
      <w:r w:rsidR="08452917" w:rsidRPr="081942A4">
        <w:rPr>
          <w:szCs w:val="24"/>
        </w:rPr>
        <w:t xml:space="preserve">). </w:t>
      </w:r>
      <w:r w:rsidR="08452917" w:rsidRPr="00D10BB4">
        <w:rPr>
          <w:szCs w:val="24"/>
        </w:rPr>
        <w:t xml:space="preserve">Tím je podle </w:t>
      </w:r>
      <w:r w:rsidR="08452917" w:rsidRPr="00D10BB4">
        <w:rPr>
          <w:szCs w:val="24"/>
        </w:rPr>
        <w:lastRenderedPageBreak/>
        <w:t xml:space="preserve">Sigerovy školy </w:t>
      </w:r>
      <w:r w:rsidR="08163013" w:rsidRPr="00273106">
        <w:rPr>
          <w:lang w:eastAsia="en-US"/>
        </w:rPr>
        <w:t>zajišt</w:t>
      </w:r>
      <w:r w:rsidR="08452917">
        <w:rPr>
          <w:lang w:eastAsia="en-US"/>
        </w:rPr>
        <w:t>ěno v</w:t>
      </w:r>
      <w:r w:rsidR="08163013" w:rsidRPr="00273106">
        <w:rPr>
          <w:lang w:eastAsia="en-US"/>
        </w:rPr>
        <w:t xml:space="preserve">ědecké </w:t>
      </w:r>
      <w:r w:rsidR="08163013" w:rsidRPr="00273106">
        <w:rPr>
          <w:i/>
          <w:lang w:eastAsia="en-US"/>
        </w:rPr>
        <w:t>demonstratio</w:t>
      </w:r>
      <w:r w:rsidR="08163013">
        <w:rPr>
          <w:i/>
          <w:lang w:eastAsia="en-US"/>
        </w:rPr>
        <w:fldChar w:fldCharType="begin"/>
      </w:r>
      <w:r w:rsidR="08163013">
        <w:instrText xml:space="preserve"> XE "</w:instrText>
      </w:r>
      <w:r w:rsidR="08163013" w:rsidRPr="004E6075">
        <w:rPr>
          <w:i/>
        </w:rPr>
        <w:instrText>demonstratio:</w:instrText>
      </w:r>
      <w:r w:rsidR="08163013">
        <w:instrText xml:space="preserve">Siger" </w:instrText>
      </w:r>
      <w:r w:rsidR="08163013">
        <w:rPr>
          <w:i/>
          <w:lang w:eastAsia="en-US"/>
        </w:rPr>
        <w:fldChar w:fldCharType="end"/>
      </w:r>
      <w:r w:rsidR="08163013" w:rsidRPr="00273106">
        <w:rPr>
          <w:lang w:eastAsia="en-US"/>
        </w:rPr>
        <w:t xml:space="preserve"> duše a intelektu</w:t>
      </w:r>
      <w:r w:rsidR="089E5DE7">
        <w:rPr>
          <w:lang w:eastAsia="en-US"/>
        </w:rPr>
        <w:t xml:space="preserve"> v modu </w:t>
      </w:r>
      <w:r w:rsidR="089E5DE7" w:rsidRPr="089E5DE7">
        <w:rPr>
          <w:i/>
          <w:lang w:eastAsia="en-US"/>
        </w:rPr>
        <w:t>subiective</w:t>
      </w:r>
      <w:r w:rsidR="089E5DE7">
        <w:rPr>
          <w:lang w:eastAsia="en-US"/>
        </w:rPr>
        <w:t xml:space="preserve"> a </w:t>
      </w:r>
      <w:r w:rsidR="089E5DE7" w:rsidRPr="089E5DE7">
        <w:rPr>
          <w:i/>
          <w:lang w:eastAsia="en-US"/>
        </w:rPr>
        <w:t>obiective</w:t>
      </w:r>
      <w:r w:rsidR="08163013" w:rsidRPr="00273106">
        <w:rPr>
          <w:lang w:eastAsia="en-US"/>
        </w:rPr>
        <w:t>.</w:t>
      </w:r>
      <w:r w:rsidR="08163013">
        <w:rPr>
          <w:lang w:eastAsia="en-US"/>
        </w:rPr>
        <w:t xml:space="preserve"> </w:t>
      </w:r>
      <w:r w:rsidR="08014B1C">
        <w:t>M</w:t>
      </w:r>
      <w:r w:rsidR="08163013">
        <w:t xml:space="preserve">etafyzika </w:t>
      </w:r>
      <w:r w:rsidR="08014B1C">
        <w:t xml:space="preserve">Akvinského a Alberta </w:t>
      </w:r>
      <w:r w:rsidR="08163013">
        <w:t xml:space="preserve">pracuje s abstrahovaným pojetím intelektu jako avicennistické esence, místo aby predikovala výkon intelektu v rámci osoby jako první substance. </w:t>
      </w:r>
      <w:r w:rsidR="08163013">
        <w:rPr>
          <w:lang w:eastAsia="en-US"/>
        </w:rPr>
        <w:t xml:space="preserve">Esenciálně definovaný intelekt u Tomáše a Alberta vytěsnil v jejich důkazu existenciální </w:t>
      </w:r>
      <w:r w:rsidR="08163013" w:rsidRPr="009F2163">
        <w:rPr>
          <w:i/>
          <w:lang w:eastAsia="en-US"/>
        </w:rPr>
        <w:t>medium</w:t>
      </w:r>
      <w:r w:rsidR="08163013">
        <w:rPr>
          <w:i/>
          <w:lang w:eastAsia="en-US"/>
        </w:rPr>
        <w:fldChar w:fldCharType="begin"/>
      </w:r>
      <w:r w:rsidR="08163013">
        <w:instrText xml:space="preserve"> XE "</w:instrText>
      </w:r>
      <w:r w:rsidR="08163013" w:rsidRPr="001618A5">
        <w:rPr>
          <w:i/>
        </w:rPr>
        <w:instrText>medium:</w:instrText>
      </w:r>
      <w:r w:rsidR="08163013" w:rsidRPr="009A63AD">
        <w:instrText>Siger</w:instrText>
      </w:r>
      <w:r w:rsidR="08163013">
        <w:instrText xml:space="preserve">" </w:instrText>
      </w:r>
      <w:r w:rsidR="08163013">
        <w:rPr>
          <w:i/>
          <w:lang w:eastAsia="en-US"/>
        </w:rPr>
        <w:fldChar w:fldCharType="end"/>
      </w:r>
      <w:r w:rsidR="08163013">
        <w:rPr>
          <w:lang w:eastAsia="en-US"/>
        </w:rPr>
        <w:t xml:space="preserve"> vázané na osobu jako kauzálně působící první substanci.</w:t>
      </w:r>
      <w:r w:rsidR="000854FA">
        <w:rPr>
          <w:lang w:eastAsia="en-US"/>
        </w:rPr>
        <w:t xml:space="preserve"> </w:t>
      </w:r>
      <w:r w:rsidR="000C4DDA" w:rsidRPr="000C4DDA">
        <w:rPr>
          <w:lang w:eastAsia="en-US"/>
        </w:rPr>
        <w:t xml:space="preserve">Sigerův </w:t>
      </w:r>
      <w:r w:rsidR="000C4DDA">
        <w:rPr>
          <w:lang w:eastAsia="en-US"/>
        </w:rPr>
        <w:t>reálný fenomén „</w:t>
      </w:r>
      <w:r w:rsidR="000C4DDA" w:rsidRPr="000C4DDA">
        <w:rPr>
          <w:i/>
          <w:lang w:eastAsia="en-US"/>
        </w:rPr>
        <w:t>homo ipse intelligit</w:t>
      </w:r>
      <w:r w:rsidR="000C4DDA">
        <w:rPr>
          <w:lang w:eastAsia="en-US"/>
        </w:rPr>
        <w:t xml:space="preserve">“ </w:t>
      </w:r>
      <w:r w:rsidR="000C4DDA" w:rsidRPr="000C4DDA">
        <w:rPr>
          <w:lang w:eastAsia="en-US"/>
        </w:rPr>
        <w:t xml:space="preserve">musí být správně </w:t>
      </w:r>
      <w:r w:rsidR="000C4DDA">
        <w:rPr>
          <w:lang w:eastAsia="en-US"/>
        </w:rPr>
        <w:t xml:space="preserve">predikován </w:t>
      </w:r>
      <w:r w:rsidR="000C4DDA" w:rsidRPr="000C4DDA">
        <w:rPr>
          <w:lang w:eastAsia="en-US"/>
        </w:rPr>
        <w:t>v</w:t>
      </w:r>
      <w:r w:rsidR="000C4DDA">
        <w:rPr>
          <w:lang w:eastAsia="en-US"/>
        </w:rPr>
        <w:t> </w:t>
      </w:r>
      <w:r w:rsidR="000C4DDA" w:rsidRPr="000C4DDA">
        <w:rPr>
          <w:lang w:eastAsia="en-US"/>
        </w:rPr>
        <w:t>režimu</w:t>
      </w:r>
      <w:r w:rsidR="000C4DDA">
        <w:rPr>
          <w:lang w:eastAsia="en-US"/>
        </w:rPr>
        <w:t xml:space="preserve"> „</w:t>
      </w:r>
      <w:proofErr w:type="gramStart"/>
      <w:r w:rsidR="000C4DDA" w:rsidRPr="000C4DDA">
        <w:rPr>
          <w:i/>
          <w:lang w:eastAsia="en-US"/>
        </w:rPr>
        <w:t>subiective</w:t>
      </w:r>
      <w:proofErr w:type="gramEnd"/>
      <w:r w:rsidR="000C4DDA" w:rsidRPr="000C4DDA">
        <w:rPr>
          <w:i/>
          <w:lang w:eastAsia="en-US"/>
        </w:rPr>
        <w:t>–</w:t>
      </w:r>
      <w:proofErr w:type="gramStart"/>
      <w:r w:rsidR="000C4DDA" w:rsidRPr="000C4DDA">
        <w:rPr>
          <w:i/>
          <w:lang w:eastAsia="en-US"/>
        </w:rPr>
        <w:t>obiective</w:t>
      </w:r>
      <w:proofErr w:type="gramEnd"/>
      <w:r w:rsidR="000C4DDA">
        <w:rPr>
          <w:lang w:eastAsia="en-US"/>
        </w:rPr>
        <w:t xml:space="preserve">“. Tomistický „intelekt“ </w:t>
      </w:r>
      <w:r w:rsidR="000C4DDA" w:rsidRPr="000C4DDA">
        <w:rPr>
          <w:lang w:eastAsia="en-US"/>
        </w:rPr>
        <w:t xml:space="preserve">je </w:t>
      </w:r>
      <w:r w:rsidR="000C4DDA">
        <w:rPr>
          <w:lang w:eastAsia="en-US"/>
        </w:rPr>
        <w:t xml:space="preserve">naopak určen </w:t>
      </w:r>
      <w:r w:rsidR="000C4DDA" w:rsidRPr="000C4DDA">
        <w:rPr>
          <w:lang w:eastAsia="en-US"/>
        </w:rPr>
        <w:t xml:space="preserve">v moderním objektivistickém </w:t>
      </w:r>
      <w:r w:rsidR="000C4DDA">
        <w:rPr>
          <w:lang w:eastAsia="en-US"/>
        </w:rPr>
        <w:t xml:space="preserve">modu logické indentity dané supozicí. Akvinský tím vytvořil nový druh ontoteologického </w:t>
      </w:r>
      <w:r w:rsidR="000C4DDA" w:rsidRPr="000C4DDA">
        <w:rPr>
          <w:i/>
          <w:lang w:eastAsia="en-US"/>
        </w:rPr>
        <w:t>tertium ens</w:t>
      </w:r>
      <w:r w:rsidR="000C4DDA" w:rsidRPr="000C4DDA">
        <w:rPr>
          <w:lang w:eastAsia="en-US"/>
        </w:rPr>
        <w:t xml:space="preserve">, </w:t>
      </w:r>
      <w:r w:rsidR="000C4DDA">
        <w:rPr>
          <w:lang w:eastAsia="en-US"/>
        </w:rPr>
        <w:t xml:space="preserve">které mělo dogmaticky </w:t>
      </w:r>
      <w:r w:rsidR="000C4DDA" w:rsidRPr="000C4DDA">
        <w:rPr>
          <w:lang w:eastAsia="en-US"/>
        </w:rPr>
        <w:t>potvrdi</w:t>
      </w:r>
      <w:r w:rsidR="000C4DDA">
        <w:rPr>
          <w:lang w:eastAsia="en-US"/>
        </w:rPr>
        <w:t>t</w:t>
      </w:r>
      <w:r w:rsidR="000C4DDA" w:rsidRPr="000C4DDA">
        <w:rPr>
          <w:lang w:eastAsia="en-US"/>
        </w:rPr>
        <w:t xml:space="preserve"> obecnou tezi</w:t>
      </w:r>
      <w:r w:rsidR="000C4DDA">
        <w:rPr>
          <w:lang w:eastAsia="en-US"/>
        </w:rPr>
        <w:t xml:space="preserve"> „</w:t>
      </w:r>
      <w:r w:rsidR="000C4DDA" w:rsidRPr="000C4DDA">
        <w:rPr>
          <w:i/>
          <w:lang w:eastAsia="en-US"/>
        </w:rPr>
        <w:t>homo intelligit</w:t>
      </w:r>
      <w:r w:rsidR="000C4DDA">
        <w:rPr>
          <w:lang w:eastAsia="en-US"/>
        </w:rPr>
        <w:t xml:space="preserve">“. Tento rozdíl </w:t>
      </w:r>
      <w:r w:rsidR="00DF3360">
        <w:rPr>
          <w:lang w:eastAsia="en-US"/>
        </w:rPr>
        <w:t xml:space="preserve">v obou pojetích školy prvního averroimsu </w:t>
      </w:r>
      <w:r w:rsidR="000C4DDA">
        <w:rPr>
          <w:lang w:eastAsia="en-US"/>
        </w:rPr>
        <w:t>jasně viděl Boeth</w:t>
      </w:r>
      <w:r w:rsidR="00DF3360">
        <w:rPr>
          <w:lang w:eastAsia="en-US"/>
        </w:rPr>
        <w:t>i</w:t>
      </w:r>
      <w:r w:rsidR="000C4DDA">
        <w:rPr>
          <w:lang w:eastAsia="en-US"/>
        </w:rPr>
        <w:t>us z</w:t>
      </w:r>
      <w:r w:rsidR="00DF3360">
        <w:rPr>
          <w:lang w:eastAsia="en-US"/>
        </w:rPr>
        <w:t> </w:t>
      </w:r>
      <w:r w:rsidR="000C4DDA">
        <w:rPr>
          <w:lang w:eastAsia="en-US"/>
        </w:rPr>
        <w:t>Dácie</w:t>
      </w:r>
      <w:r w:rsidR="00DF3360">
        <w:rPr>
          <w:lang w:eastAsia="en-US"/>
        </w:rPr>
        <w:t xml:space="preserve">. Proto hájil </w:t>
      </w:r>
      <w:r w:rsidR="000C4DDA">
        <w:rPr>
          <w:lang w:eastAsia="en-US"/>
        </w:rPr>
        <w:t>školu „</w:t>
      </w:r>
      <w:r w:rsidR="000C4DDA" w:rsidRPr="00DF3360">
        <w:rPr>
          <w:i/>
          <w:lang w:eastAsia="en-US"/>
        </w:rPr>
        <w:t>pars Sigeri</w:t>
      </w:r>
      <w:r w:rsidR="000C4DDA">
        <w:rPr>
          <w:lang w:eastAsia="en-US"/>
        </w:rPr>
        <w:t xml:space="preserve">“ </w:t>
      </w:r>
      <w:r w:rsidR="00DF3360">
        <w:rPr>
          <w:lang w:eastAsia="en-US"/>
        </w:rPr>
        <w:t xml:space="preserve">tím, že </w:t>
      </w:r>
      <w:r w:rsidR="000C4DDA">
        <w:rPr>
          <w:lang w:eastAsia="en-US"/>
        </w:rPr>
        <w:t xml:space="preserve">tomistům </w:t>
      </w:r>
      <w:r w:rsidR="00DF3360">
        <w:rPr>
          <w:lang w:eastAsia="en-US"/>
        </w:rPr>
        <w:t xml:space="preserve">věcně </w:t>
      </w:r>
      <w:r w:rsidR="000C4DDA">
        <w:rPr>
          <w:lang w:eastAsia="en-US"/>
        </w:rPr>
        <w:t>vys</w:t>
      </w:r>
      <w:r w:rsidR="00DF3360">
        <w:rPr>
          <w:lang w:eastAsia="en-US"/>
        </w:rPr>
        <w:t>větlil</w:t>
      </w:r>
      <w:r w:rsidR="000C4DDA">
        <w:rPr>
          <w:lang w:eastAsia="en-US"/>
        </w:rPr>
        <w:t xml:space="preserve"> ve spisu </w:t>
      </w:r>
      <w:r w:rsidR="000C4DDA" w:rsidRPr="000C4DDA">
        <w:rPr>
          <w:i/>
          <w:lang w:eastAsia="en-US"/>
        </w:rPr>
        <w:t>Anonymus Giele</w:t>
      </w:r>
      <w:r w:rsidR="00DF3360">
        <w:rPr>
          <w:lang w:eastAsia="en-US"/>
        </w:rPr>
        <w:t xml:space="preserve">, ja má vypadat </w:t>
      </w:r>
      <w:r w:rsidR="000C4DDA">
        <w:rPr>
          <w:lang w:eastAsia="en-US"/>
        </w:rPr>
        <w:t>správně predikovaný modus „</w:t>
      </w:r>
      <w:proofErr w:type="gramStart"/>
      <w:r w:rsidR="000C4DDA" w:rsidRPr="000C4DDA">
        <w:rPr>
          <w:i/>
          <w:lang w:eastAsia="en-US"/>
        </w:rPr>
        <w:t>subiective</w:t>
      </w:r>
      <w:proofErr w:type="gramEnd"/>
      <w:r w:rsidR="000C4DDA" w:rsidRPr="000C4DDA">
        <w:rPr>
          <w:i/>
          <w:lang w:eastAsia="en-US"/>
        </w:rPr>
        <w:t>–</w:t>
      </w:r>
      <w:proofErr w:type="gramStart"/>
      <w:r w:rsidR="000C4DDA" w:rsidRPr="000C4DDA">
        <w:rPr>
          <w:i/>
          <w:lang w:eastAsia="en-US"/>
        </w:rPr>
        <w:t>obiective</w:t>
      </w:r>
      <w:proofErr w:type="gramEnd"/>
      <w:r w:rsidR="000C4DDA">
        <w:rPr>
          <w:lang w:eastAsia="en-US"/>
        </w:rPr>
        <w:t>“</w:t>
      </w:r>
      <w:r w:rsidR="00DF3360">
        <w:rPr>
          <w:lang w:eastAsia="en-US"/>
        </w:rPr>
        <w:t xml:space="preserve"> podle CMDA.</w:t>
      </w:r>
      <w:r w:rsidR="000854FA">
        <w:rPr>
          <w:lang w:eastAsia="en-US"/>
        </w:rPr>
        <w:t xml:space="preserve"> </w:t>
      </w:r>
      <w:r w:rsidR="08163013">
        <w:t xml:space="preserve">Vzhledem k filosofickým nehoráznostem modernistů </w:t>
      </w:r>
      <w:r w:rsidR="000854FA">
        <w:t>v </w:t>
      </w:r>
      <w:r w:rsidR="008117C5">
        <w:t>Bona</w:t>
      </w:r>
      <w:r w:rsidR="000854FA">
        <w:t>ve</w:t>
      </w:r>
      <w:r w:rsidR="008117C5">
        <w:t>n</w:t>
      </w:r>
      <w:r w:rsidR="000854FA">
        <w:t xml:space="preserve">turově škole šlo jen </w:t>
      </w:r>
      <w:r w:rsidR="08163013">
        <w:t>o menší nedostat</w:t>
      </w:r>
      <w:r w:rsidR="000854FA">
        <w:t>ky</w:t>
      </w:r>
      <w:r w:rsidR="008117C5">
        <w:t>. S</w:t>
      </w:r>
      <w:r w:rsidR="000854FA">
        <w:t xml:space="preserve">emiaverroisté měli </w:t>
      </w:r>
      <w:r w:rsidR="08163013">
        <w:t>správně postavené poznání dané nasvícením zepředu a dr</w:t>
      </w:r>
      <w:r w:rsidR="000854FA">
        <w:t>želi</w:t>
      </w:r>
      <w:r w:rsidR="08163013">
        <w:t xml:space="preserve"> substanční </w:t>
      </w:r>
      <w:r w:rsidR="089E5DE7">
        <w:t xml:space="preserve">(přesněji řečeno: esenciální) </w:t>
      </w:r>
      <w:r w:rsidR="08163013">
        <w:t xml:space="preserve">jednotu osoby. </w:t>
      </w:r>
      <w:r w:rsidR="00574493">
        <w:t xml:space="preserve">Ale z </w:t>
      </w:r>
      <w:r w:rsidR="08163013">
        <w:t>tomistické definice osoby</w:t>
      </w:r>
      <w:r w:rsidR="00574493">
        <w:t xml:space="preserve"> </w:t>
      </w:r>
      <w:r w:rsidR="08163013">
        <w:t xml:space="preserve">zmizelo fundamentální hyparchické určení </w:t>
      </w:r>
      <w:r w:rsidR="08163013" w:rsidRPr="08B338E3">
        <w:rPr>
          <w:i/>
        </w:rPr>
        <w:t>Druhých analytik</w:t>
      </w:r>
      <w:r w:rsidR="08163013">
        <w:t xml:space="preserve"> v modu </w:t>
      </w:r>
      <w:r w:rsidR="00AD1CC5">
        <w:t>„</w:t>
      </w:r>
      <w:r w:rsidR="08163013" w:rsidRPr="082031CB">
        <w:rPr>
          <w:i/>
        </w:rPr>
        <w:t>ex immeditatis</w:t>
      </w:r>
      <w:r w:rsidR="00AD1CC5">
        <w:t>“. T</w:t>
      </w:r>
      <w:r w:rsidR="00AD1CC5" w:rsidRPr="00AD1CC5">
        <w:t xml:space="preserve">o znamenalo </w:t>
      </w:r>
      <w:r w:rsidR="002A3627">
        <w:t>chyb</w:t>
      </w:r>
      <w:r w:rsidR="00637019">
        <w:t xml:space="preserve">ně vytvořený </w:t>
      </w:r>
      <w:r w:rsidR="00AD1CC5" w:rsidRPr="00AD1CC5">
        <w:t>důkaz</w:t>
      </w:r>
      <w:r w:rsidR="00AD1CC5">
        <w:t xml:space="preserve"> v modu </w:t>
      </w:r>
      <w:r w:rsidR="00637019" w:rsidRPr="00637019">
        <w:rPr>
          <w:i/>
        </w:rPr>
        <w:t>Oxfordian Fallacy</w:t>
      </w:r>
      <w:r w:rsidR="00637019">
        <w:t xml:space="preserve"> podle </w:t>
      </w:r>
      <w:r w:rsidR="00AD1CC5">
        <w:t>Rufuse a Kilwardbyho</w:t>
      </w:r>
      <w:r w:rsidR="00AD1CC5" w:rsidRPr="00AD1CC5">
        <w:t xml:space="preserve">, protože </w:t>
      </w:r>
      <w:r w:rsidR="00AD1CC5">
        <w:t xml:space="preserve">první </w:t>
      </w:r>
      <w:r w:rsidR="00AD1CC5" w:rsidRPr="00AD1CC5">
        <w:t>triáda kognitivních principů byla nahrazena druhou triádou.</w:t>
      </w:r>
      <w:r w:rsidR="00AD1CC5">
        <w:t xml:space="preserve"> </w:t>
      </w:r>
      <w:r w:rsidR="08163013">
        <w:rPr>
          <w:lang w:eastAsia="en-US"/>
        </w:rPr>
        <w:t xml:space="preserve">Siger bere citovanou </w:t>
      </w:r>
      <w:r w:rsidR="08163013" w:rsidRPr="00192307">
        <w:rPr>
          <w:rStyle w:val="ref"/>
          <w:i/>
        </w:rPr>
        <w:t>De anima</w:t>
      </w:r>
      <w:r w:rsidR="08163013">
        <w:rPr>
          <w:rStyle w:val="ref"/>
        </w:rPr>
        <w:t xml:space="preserve"> </w:t>
      </w:r>
      <w:r w:rsidR="08163013">
        <w:t>415b13‒</w:t>
      </w:r>
      <w:r w:rsidR="08163013" w:rsidRPr="00396FE3">
        <w:t>14</w:t>
      </w:r>
      <w:r w:rsidR="08163013">
        <w:fldChar w:fldCharType="begin"/>
      </w:r>
      <w:r w:rsidR="08163013">
        <w:instrText xml:space="preserve"> XE "Aristoteles:</w:instrText>
      </w:r>
      <w:r w:rsidR="08163013" w:rsidRPr="00AD3549">
        <w:rPr>
          <w:rStyle w:val="ref"/>
          <w:i/>
        </w:rPr>
        <w:instrText>De anima</w:instrText>
      </w:r>
      <w:r w:rsidR="08163013" w:rsidRPr="00AD3549">
        <w:rPr>
          <w:rStyle w:val="ref"/>
        </w:rPr>
        <w:instrText xml:space="preserve"> </w:instrText>
      </w:r>
      <w:r w:rsidR="08163013" w:rsidRPr="00AD3549">
        <w:instrText>415b13‒14</w:instrText>
      </w:r>
      <w:r w:rsidR="08163013">
        <w:instrText xml:space="preserve">" </w:instrText>
      </w:r>
      <w:r w:rsidR="08163013">
        <w:fldChar w:fldCharType="end"/>
      </w:r>
      <w:r w:rsidR="08163013">
        <w:t xml:space="preserve"> (</w:t>
      </w:r>
      <w:r w:rsidR="08163013" w:rsidRPr="00943200">
        <w:rPr>
          <w:i/>
        </w:rPr>
        <w:t>vivere viventibus est esse</w:t>
      </w:r>
      <w:r w:rsidR="08163013">
        <w:t xml:space="preserve">) jako duševní výkon jedinečné existence. Aktualita osoby jako první substance zakládá </w:t>
      </w:r>
      <w:r w:rsidR="00C248B9">
        <w:t xml:space="preserve">svým </w:t>
      </w:r>
      <w:r w:rsidR="08163013">
        <w:t xml:space="preserve">hyparchickým bytím možnost vědecké predikace </w:t>
      </w:r>
      <w:r w:rsidR="08163013" w:rsidRPr="08BC7EF0">
        <w:rPr>
          <w:i/>
        </w:rPr>
        <w:t>anima intellectiva</w:t>
      </w:r>
      <w:r w:rsidR="00C248B9">
        <w:t>. Pak platí v modu „</w:t>
      </w:r>
      <w:r w:rsidR="00C248B9" w:rsidRPr="082031CB">
        <w:rPr>
          <w:i/>
        </w:rPr>
        <w:t>ex immeditatis</w:t>
      </w:r>
      <w:r w:rsidR="00C248B9">
        <w:t xml:space="preserve">“, že predikovaná nutnost sleduje existenticální nutnost danou v </w:t>
      </w:r>
      <w:r w:rsidR="08163013">
        <w:t xml:space="preserve">modu </w:t>
      </w:r>
      <w:r w:rsidR="081942A4">
        <w:t xml:space="preserve">metafyzického </w:t>
      </w:r>
      <w:r w:rsidR="08163013">
        <w:t xml:space="preserve">dativu. Siger popřel prioritu formálního poznání duše jako substance, viz Akvinského výše uvedenou formulaci </w:t>
      </w:r>
      <w:r w:rsidR="08163013" w:rsidRPr="0022698D">
        <w:rPr>
          <w:i/>
        </w:rPr>
        <w:t>per suam essentiam</w:t>
      </w:r>
      <w:r w:rsidR="08163013">
        <w:t xml:space="preserve">. Již první spis QIIIDA odmítl první </w:t>
      </w:r>
      <w:r w:rsidR="00DA51F0">
        <w:t>tomistickou esenciální definici</w:t>
      </w:r>
      <w:r w:rsidR="08163013">
        <w:t xml:space="preserve"> </w:t>
      </w:r>
      <w:r w:rsidR="08163013" w:rsidRPr="08DD0B85">
        <w:rPr>
          <w:i/>
        </w:rPr>
        <w:t>anima intellectiva</w:t>
      </w:r>
      <w:r w:rsidR="00DA51F0">
        <w:t xml:space="preserve">, kterou </w:t>
      </w:r>
      <w:r w:rsidR="08163013">
        <w:t>podal výklad ST I, q. 88. Jeho význam pro začínající tomistickou školu na Pařížské univerzitě zmínil Aegidi</w:t>
      </w:r>
      <w:r w:rsidR="00CA5FA1">
        <w:t>us v Oxfordském rukopise (kap. 4</w:t>
      </w:r>
      <w:r w:rsidR="08163013">
        <w:t xml:space="preserve">.3.2). Tento spor datovaný rokem 1268 zahajuje další kolo sporu o výklad </w:t>
      </w:r>
      <w:r w:rsidR="00CA5FA1">
        <w:t xml:space="preserve">DA III </w:t>
      </w:r>
      <w:r w:rsidR="08163013">
        <w:t>mezi Akvinským a Sigere</w:t>
      </w:r>
      <w:r w:rsidR="00A84BF2">
        <w:t>m.</w:t>
      </w:r>
    </w:p>
    <w:p w:rsidR="08163013" w:rsidRPr="08132A35" w:rsidRDefault="00A84BF2" w:rsidP="00C767EB">
      <w:pPr>
        <w:ind w:firstLine="397"/>
      </w:pPr>
      <w:r>
        <w:t xml:space="preserve">Siger </w:t>
      </w:r>
      <w:r w:rsidR="08163013">
        <w:t>n</w:t>
      </w:r>
      <w:r w:rsidR="08163013" w:rsidRPr="00273106">
        <w:t>emá žádný problém s tím, že nemateriální intelektuální složka duše (</w:t>
      </w:r>
      <w:r w:rsidR="08163013" w:rsidRPr="00273106">
        <w:rPr>
          <w:i/>
        </w:rPr>
        <w:t>anima intellectiva</w:t>
      </w:r>
      <w:r w:rsidR="08207C9B">
        <w:t>) je po smrti odloučená od těla</w:t>
      </w:r>
      <w:r w:rsidR="08163013">
        <w:t>, protože to je záležitost rodově odlišného zkoumání v rámci teologie</w:t>
      </w:r>
      <w:r w:rsidR="08163013" w:rsidRPr="00273106">
        <w:t xml:space="preserve">. </w:t>
      </w:r>
      <w:r w:rsidR="08163013">
        <w:t xml:space="preserve">Problém ovšem je, co je možné k nesmrtelnosti duše říci z pozice </w:t>
      </w:r>
      <w:r w:rsidR="08163013">
        <w:lastRenderedPageBreak/>
        <w:t xml:space="preserve">filosofie. </w:t>
      </w:r>
      <w:r w:rsidR="085D498A">
        <w:t xml:space="preserve">Tento spor mezi filosofií a teologií ukazuje </w:t>
      </w:r>
      <w:r w:rsidR="085D498A" w:rsidRPr="007C2EAA">
        <w:rPr>
          <w:i/>
        </w:rPr>
        <w:t>Gieleho anonym</w:t>
      </w:r>
      <w:r w:rsidR="085D498A">
        <w:t xml:space="preserve"> (kap. 4.3.1). Boethius z Dácie odmítl oddělení intelektu jako samost</w:t>
      </w:r>
      <w:r w:rsidR="007C2EAA">
        <w:t>at</w:t>
      </w:r>
      <w:r w:rsidR="085D498A">
        <w:t xml:space="preserve">né formy (Akvinský), nebo dokonce substance (modernisté). Modus </w:t>
      </w:r>
      <w:r w:rsidR="085D498A" w:rsidRPr="08207C9B">
        <w:rPr>
          <w:i/>
        </w:rPr>
        <w:t>obiective</w:t>
      </w:r>
      <w:r w:rsidR="085D498A">
        <w:t xml:space="preserve"> ukazuje, že intelekt má nemateriální výkon a není vázaný na tělesný orgán jako smysly</w:t>
      </w:r>
      <w:r w:rsidR="080B4BE5" w:rsidRPr="00CF1B86">
        <w:rPr>
          <w:szCs w:val="24"/>
        </w:rPr>
        <w:fldChar w:fldCharType="begin"/>
      </w:r>
      <w:r w:rsidR="080B4BE5" w:rsidRPr="00CF1B86">
        <w:rPr>
          <w:szCs w:val="24"/>
        </w:rPr>
        <w:instrText xml:space="preserve"> XE "</w:instrText>
      </w:r>
      <w:r w:rsidR="080B4BE5">
        <w:rPr>
          <w:szCs w:val="24"/>
        </w:rPr>
        <w:instrText>I</w:instrText>
      </w:r>
      <w:r w:rsidR="080B4BE5" w:rsidRPr="00CF1B86">
        <w:rPr>
          <w:szCs w:val="24"/>
        </w:rPr>
        <w:instrText>nte</w:instrText>
      </w:r>
      <w:r w:rsidR="080B4BE5">
        <w:rPr>
          <w:szCs w:val="24"/>
        </w:rPr>
        <w:instrText>l</w:instrText>
      </w:r>
      <w:r w:rsidR="080B4BE5" w:rsidRPr="00CF1B86">
        <w:rPr>
          <w:szCs w:val="24"/>
        </w:rPr>
        <w:instrText>lekt:</w:instrText>
      </w:r>
      <w:r w:rsidR="080B4BE5">
        <w:rPr>
          <w:i/>
          <w:szCs w:val="24"/>
        </w:rPr>
        <w:instrText>subiective</w:instrText>
      </w:r>
      <w:r w:rsidR="080B4BE5" w:rsidRPr="00CF1B86">
        <w:rPr>
          <w:i/>
          <w:szCs w:val="24"/>
        </w:rPr>
        <w:instrText>/</w:instrText>
      </w:r>
      <w:r w:rsidR="080B4BE5">
        <w:rPr>
          <w:i/>
          <w:szCs w:val="24"/>
        </w:rPr>
        <w:instrText>obiective</w:instrText>
      </w:r>
      <w:r w:rsidR="080B4BE5" w:rsidRPr="00CF1B86">
        <w:rPr>
          <w:szCs w:val="24"/>
        </w:rPr>
        <w:instrText xml:space="preserve">" </w:instrText>
      </w:r>
      <w:r w:rsidR="080B4BE5" w:rsidRPr="00CF1B86">
        <w:rPr>
          <w:szCs w:val="24"/>
        </w:rPr>
        <w:fldChar w:fldCharType="end"/>
      </w:r>
      <w:r w:rsidR="085D498A">
        <w:t xml:space="preserve">. Ale intelekt je na tělo vázaný </w:t>
      </w:r>
      <w:r w:rsidR="085D498A" w:rsidRPr="08207C9B">
        <w:rPr>
          <w:i/>
        </w:rPr>
        <w:t>subiective</w:t>
      </w:r>
      <w:r w:rsidR="085D498A">
        <w:t xml:space="preserve">, protože akt myšlení je výkonem duše jako </w:t>
      </w:r>
      <w:r w:rsidR="007C2EAA">
        <w:t xml:space="preserve">entelechické </w:t>
      </w:r>
      <w:r w:rsidR="085D498A">
        <w:t xml:space="preserve">formy těla. Kritická filosofie aristotelismu nezajistí žádný vědecký </w:t>
      </w:r>
      <w:r w:rsidR="00295061">
        <w:t xml:space="preserve">(tedy: deduktivní) </w:t>
      </w:r>
      <w:r w:rsidR="085D498A">
        <w:t>důkaz nesmrtelnosti duše</w:t>
      </w:r>
      <w:r w:rsidR="00295061">
        <w:t>. Filosofie má k dispozici pouze existenciálně založenou kauzalitu danou v rámci žijící osoby, která zajišťuje dedukti</w:t>
      </w:r>
      <w:r w:rsidR="008A71B9">
        <w:t>v</w:t>
      </w:r>
      <w:r w:rsidR="00295061">
        <w:t xml:space="preserve">ní </w:t>
      </w:r>
      <w:r w:rsidR="00295061" w:rsidRPr="00295061">
        <w:rPr>
          <w:i/>
        </w:rPr>
        <w:t>demonstratio</w:t>
      </w:r>
      <w:r w:rsidR="00295061">
        <w:t xml:space="preserve">. Jiný </w:t>
      </w:r>
      <w:r w:rsidR="085D498A">
        <w:t xml:space="preserve">„důkaz“ může poskytnout </w:t>
      </w:r>
      <w:r w:rsidR="008A71B9">
        <w:t xml:space="preserve">avicennismus </w:t>
      </w:r>
      <w:r w:rsidR="085D498A">
        <w:t xml:space="preserve">založený esenciálně. </w:t>
      </w:r>
      <w:r w:rsidR="08163013">
        <w:t xml:space="preserve">Kritický filosof se liší od </w:t>
      </w:r>
      <w:r w:rsidR="00AF7C35">
        <w:t xml:space="preserve">škol </w:t>
      </w:r>
      <w:r w:rsidR="00AF7C35" w:rsidRPr="009A56E2">
        <w:rPr>
          <w:i/>
        </w:rPr>
        <w:t>sophistae Latini</w:t>
      </w:r>
      <w:r w:rsidR="00AF7C35">
        <w:t xml:space="preserve"> </w:t>
      </w:r>
      <w:r w:rsidR="08163013">
        <w:t xml:space="preserve">tím, že musí provést akt dvojí metafyzické predikace dané </w:t>
      </w:r>
      <w:r w:rsidR="00477654">
        <w:rPr>
          <w:rStyle w:val="TextpoznpodarouChar"/>
        </w:rPr>
        <w:t>dvojí povahou univerzálií</w:t>
      </w:r>
      <w:r w:rsidR="00E6507B">
        <w:rPr>
          <w:rStyle w:val="TextpoznpodarouChar"/>
        </w:rPr>
        <w:t>. Vědecký důkaz musí obsahovat univerzální definice dané pouze na základě impozice odvozené od reálné kauzality prv</w:t>
      </w:r>
      <w:r w:rsidR="00C767EB">
        <w:rPr>
          <w:rStyle w:val="TextpoznpodarouChar"/>
        </w:rPr>
        <w:t xml:space="preserve">ních hyparchických substancí. </w:t>
      </w:r>
      <w:r w:rsidR="08163013">
        <w:rPr>
          <w:rStyle w:val="TextpoznpodarouChar"/>
        </w:rPr>
        <w:t xml:space="preserve">Tato </w:t>
      </w:r>
      <w:r w:rsidR="08163013">
        <w:t xml:space="preserve">metodika vědeckého důkazu </w:t>
      </w:r>
      <w:r w:rsidR="004E7ADD">
        <w:t xml:space="preserve">podle </w:t>
      </w:r>
      <w:r w:rsidR="004E7ADD">
        <w:rPr>
          <w:i/>
        </w:rPr>
        <w:t>Druhých analytik</w:t>
      </w:r>
      <w:r w:rsidR="08163013">
        <w:t xml:space="preserve"> je </w:t>
      </w:r>
      <w:r w:rsidR="001C5694">
        <w:t xml:space="preserve">v Sigerově škole </w:t>
      </w:r>
      <w:r w:rsidR="08163013">
        <w:t>závazně daná zmíněným dekretem artistů z Rue du Fouarre</w:t>
      </w:r>
      <w:r w:rsidR="001C5694">
        <w:t xml:space="preserve"> z roku 1272</w:t>
      </w:r>
      <w:r w:rsidR="08163013">
        <w:t xml:space="preserve">. Filosofie a teologie jsou dvě rodově odlišné vědy a mezi nimi není možná univocita vědecké výpovědi. Proto je nutné proti semiaverroistům vyložit povahu lidské duše skrze zakoušení smyslově determinovaného výkonu myšlení v modu </w:t>
      </w:r>
      <w:proofErr w:type="gramStart"/>
      <w:r w:rsidR="08163013" w:rsidRPr="00D04010">
        <w:rPr>
          <w:i/>
        </w:rPr>
        <w:t>experimur</w:t>
      </w:r>
      <w:r w:rsidR="08163013">
        <w:t>...</w:t>
      </w:r>
      <w:r w:rsidR="08163013">
        <w:rPr>
          <w:i/>
        </w:rPr>
        <w:t>con</w:t>
      </w:r>
      <w:r w:rsidR="08163013" w:rsidRPr="00D04010">
        <w:rPr>
          <w:i/>
        </w:rPr>
        <w:t>s</w:t>
      </w:r>
      <w:r w:rsidR="08163013">
        <w:rPr>
          <w:i/>
        </w:rPr>
        <w:t>c</w:t>
      </w:r>
      <w:r w:rsidR="08163013" w:rsidRPr="00D04010">
        <w:rPr>
          <w:i/>
        </w:rPr>
        <w:t>ii</w:t>
      </w:r>
      <w:proofErr w:type="gramEnd"/>
      <w:r w:rsidR="08163013" w:rsidRPr="00D04010">
        <w:rPr>
          <w:i/>
        </w:rPr>
        <w:t xml:space="preserve"> sumus</w:t>
      </w:r>
      <w:r w:rsidR="08163013">
        <w:fldChar w:fldCharType="begin"/>
      </w:r>
      <w:r w:rsidR="08163013">
        <w:instrText xml:space="preserve"> XE "intelekt:</w:instrText>
      </w:r>
      <w:r w:rsidR="08163013" w:rsidRPr="00D04010">
        <w:rPr>
          <w:i/>
        </w:rPr>
        <w:instrText>experimur</w:instrText>
      </w:r>
      <w:r w:rsidR="08163013" w:rsidRPr="008D12CB">
        <w:instrText>/</w:instrText>
      </w:r>
      <w:r w:rsidR="08163013" w:rsidRPr="00D04010">
        <w:rPr>
          <w:i/>
        </w:rPr>
        <w:instrText>cons</w:instrText>
      </w:r>
      <w:r w:rsidR="08163013">
        <w:rPr>
          <w:i/>
        </w:rPr>
        <w:instrText>c</w:instrText>
      </w:r>
      <w:r w:rsidR="08163013" w:rsidRPr="00D04010">
        <w:rPr>
          <w:i/>
        </w:rPr>
        <w:instrText>ii sumus</w:instrText>
      </w:r>
      <w:r w:rsidR="08163013">
        <w:instrText xml:space="preserve">" </w:instrText>
      </w:r>
      <w:r w:rsidR="08163013">
        <w:fldChar w:fldCharType="end"/>
      </w:r>
      <w:r w:rsidR="08163013">
        <w:t xml:space="preserve">. Jedině v tomto případě je střední člen deduktivního soudu dán kauzálně přímo z reality jak pro smyslové tak pro intelektuální výkony duše. Jsme </w:t>
      </w:r>
      <w:r w:rsidR="08613AAE">
        <w:t xml:space="preserve">reálnou </w:t>
      </w:r>
      <w:r w:rsidR="08163013">
        <w:t>kauzou vlastního poznání, protože poznáváme, když sami chceme. N</w:t>
      </w:r>
      <w:r w:rsidR="08163013" w:rsidRPr="00273106">
        <w:t xml:space="preserve">emístnou radikalizací principu </w:t>
      </w:r>
      <w:r w:rsidR="08163013" w:rsidRPr="00273106">
        <w:rPr>
          <w:i/>
        </w:rPr>
        <w:t>ab extrinsece</w:t>
      </w:r>
      <w:r w:rsidR="08163013" w:rsidRPr="00273106">
        <w:t xml:space="preserve"> </w:t>
      </w:r>
      <w:r w:rsidR="08163013">
        <w:t xml:space="preserve">v modu semiaverroismu </w:t>
      </w:r>
      <w:r w:rsidR="08163013" w:rsidRPr="00273106">
        <w:t xml:space="preserve">může snadno vniknout dojem, že </w:t>
      </w:r>
      <w:r w:rsidR="08163013">
        <w:t xml:space="preserve">hypostázovaná </w:t>
      </w:r>
      <w:r w:rsidR="08163013" w:rsidRPr="00273106">
        <w:t xml:space="preserve">duše </w:t>
      </w:r>
      <w:r w:rsidR="08163013">
        <w:t>v modu Toledské školy nebo</w:t>
      </w:r>
      <w:r w:rsidR="08163013" w:rsidRPr="00273106">
        <w:t xml:space="preserve"> </w:t>
      </w:r>
      <w:r w:rsidR="08163013">
        <w:t xml:space="preserve">dokonce hypostázovaný </w:t>
      </w:r>
      <w:r w:rsidR="08163013" w:rsidRPr="00273106">
        <w:t>intelekt jsou vlastním nositelem (</w:t>
      </w:r>
      <w:r w:rsidR="08163013" w:rsidRPr="00273106">
        <w:rPr>
          <w:i/>
        </w:rPr>
        <w:t>subiectum</w:t>
      </w:r>
      <w:r w:rsidR="08163013">
        <w:rPr>
          <w:i/>
        </w:rPr>
        <w:fldChar w:fldCharType="begin"/>
      </w:r>
      <w:r w:rsidR="08163013">
        <w:instrText xml:space="preserve"> XE "</w:instrText>
      </w:r>
      <w:r w:rsidR="08163013" w:rsidRPr="00360013">
        <w:rPr>
          <w:i/>
        </w:rPr>
        <w:instrText>subiectum:</w:instrText>
      </w:r>
      <w:r w:rsidR="08163013" w:rsidRPr="0011633C">
        <w:instrText>semiaverroismus</w:instrText>
      </w:r>
      <w:r w:rsidR="08163013">
        <w:instrText xml:space="preserve">" </w:instrText>
      </w:r>
      <w:r w:rsidR="08163013">
        <w:rPr>
          <w:i/>
        </w:rPr>
        <w:fldChar w:fldCharType="end"/>
      </w:r>
      <w:r w:rsidR="08163013" w:rsidRPr="00273106">
        <w:t>) aktu myšlení, a nikoliv člověk jako reá</w:t>
      </w:r>
      <w:r w:rsidR="00BD640B">
        <w:t>lně existující první substance.</w:t>
      </w:r>
      <w:r w:rsidR="00F40FAF">
        <w:t xml:space="preserve"> Subsistentní d</w:t>
      </w:r>
      <w:r w:rsidR="00F40FAF" w:rsidRPr="00273106">
        <w:t xml:space="preserve">uše </w:t>
      </w:r>
      <w:r w:rsidR="00F40FAF">
        <w:t>nebo</w:t>
      </w:r>
      <w:r w:rsidR="00F40FAF" w:rsidRPr="00273106">
        <w:t xml:space="preserve"> intelekt </w:t>
      </w:r>
      <w:r w:rsidR="00F40FAF">
        <w:t>ne</w:t>
      </w:r>
      <w:r w:rsidR="00F40FAF" w:rsidRPr="00273106">
        <w:t>jsou vlastním nositelem (</w:t>
      </w:r>
      <w:r w:rsidR="00F40FAF" w:rsidRPr="00273106">
        <w:rPr>
          <w:i/>
        </w:rPr>
        <w:t>subiectum</w:t>
      </w:r>
      <w:r w:rsidR="00F40FAF">
        <w:rPr>
          <w:i/>
        </w:rPr>
        <w:fldChar w:fldCharType="begin"/>
      </w:r>
      <w:r w:rsidR="00F40FAF">
        <w:instrText xml:space="preserve"> XE "</w:instrText>
      </w:r>
      <w:r w:rsidR="00F40FAF" w:rsidRPr="00360013">
        <w:rPr>
          <w:i/>
        </w:rPr>
        <w:instrText>subiectum:</w:instrText>
      </w:r>
      <w:r w:rsidR="00F40FAF" w:rsidRPr="0011633C">
        <w:instrText>semiaverroismus</w:instrText>
      </w:r>
      <w:r w:rsidR="00F40FAF">
        <w:instrText xml:space="preserve">" </w:instrText>
      </w:r>
      <w:r w:rsidR="00F40FAF">
        <w:rPr>
          <w:i/>
        </w:rPr>
        <w:fldChar w:fldCharType="end"/>
      </w:r>
      <w:r w:rsidR="00F40FAF" w:rsidRPr="00273106">
        <w:t>) aktu myšlení</w:t>
      </w:r>
      <w:r w:rsidR="00F40FAF">
        <w:t xml:space="preserve">; substanční charakter dostaly v modu druhého averroismu. </w:t>
      </w:r>
      <w:r w:rsidR="08163013">
        <w:t xml:space="preserve">Předchozí kapitoly ukázaly, že v tomto klíčovém bodě se zásadně liší užití </w:t>
      </w:r>
      <w:r w:rsidR="08163013" w:rsidRPr="088D3B3E">
        <w:rPr>
          <w:i/>
        </w:rPr>
        <w:t>subiective</w:t>
      </w:r>
      <w:r w:rsidR="08163013">
        <w:t xml:space="preserve"> u objektivisty Aegidia (Oxfordský rukopis, Anonymus Bazán) a existencialistů jak byl Siger (Mnichovský rukopis) či Boethius z Dácie (Anonymus Giele). F</w:t>
      </w:r>
      <w:r w:rsidR="08163013" w:rsidRPr="00273106">
        <w:t>enomenologie</w:t>
      </w:r>
      <w:r w:rsidR="08163013">
        <w:t xml:space="preserve"> nemůže dopustit redukci osoby na esenciálně definovaný subjekt, protože </w:t>
      </w:r>
      <w:r w:rsidR="08E96E78">
        <w:t>to odporuje argumentaci podle CMDA. Každá jiná defin</w:t>
      </w:r>
      <w:r w:rsidR="00AC166C">
        <w:t>i</w:t>
      </w:r>
      <w:r w:rsidR="08E96E78">
        <w:t xml:space="preserve">ce osoby </w:t>
      </w:r>
      <w:r w:rsidR="00AC166C">
        <w:t>zrušila Aristotelovu</w:t>
      </w:r>
      <w:r w:rsidR="08163013" w:rsidRPr="00273106">
        <w:t xml:space="preserve"> a </w:t>
      </w:r>
      <w:r w:rsidR="00AC166C">
        <w:t>Averroesovu</w:t>
      </w:r>
      <w:r w:rsidR="08163013">
        <w:t xml:space="preserve"> metafyziky</w:t>
      </w:r>
      <w:r w:rsidR="08163013" w:rsidRPr="00273106">
        <w:t xml:space="preserve"> první substance, </w:t>
      </w:r>
      <w:r w:rsidR="08163013">
        <w:t xml:space="preserve">realistického </w:t>
      </w:r>
      <w:r w:rsidR="08163013" w:rsidRPr="00273106">
        <w:t xml:space="preserve">pojetí vědy a učení o </w:t>
      </w:r>
      <w:r w:rsidR="08163013">
        <w:lastRenderedPageBreak/>
        <w:t>jednotném</w:t>
      </w:r>
      <w:r w:rsidR="08E96E78">
        <w:t xml:space="preserve"> poznání v existující osobě</w:t>
      </w:r>
      <w:r w:rsidR="08EB6822">
        <w:t xml:space="preserve"> (</w:t>
      </w:r>
      <w:r w:rsidR="08EB6822">
        <w:rPr>
          <w:i/>
        </w:rPr>
        <w:t>ipse h</w:t>
      </w:r>
      <w:r w:rsidR="08EB6822" w:rsidRPr="08EB6822">
        <w:rPr>
          <w:i/>
        </w:rPr>
        <w:t>omo intelligit</w:t>
      </w:r>
      <w:r w:rsidR="08EB6822">
        <w:t>)</w:t>
      </w:r>
      <w:r w:rsidR="08163013" w:rsidRPr="00273106">
        <w:t>.</w:t>
      </w:r>
      <w:r w:rsidR="08163013" w:rsidRPr="00ED2399">
        <w:t xml:space="preserve"> </w:t>
      </w:r>
      <w:r w:rsidR="00AD6059">
        <w:t xml:space="preserve">Siger </w:t>
      </w:r>
      <w:r w:rsidR="08163013">
        <w:t xml:space="preserve">kritizuje pojetí </w:t>
      </w:r>
      <w:r w:rsidR="00AD6059">
        <w:t>„</w:t>
      </w:r>
      <w:r w:rsidR="00AD6059">
        <w:rPr>
          <w:i/>
        </w:rPr>
        <w:t>tantum anima intelligit</w:t>
      </w:r>
      <w:r w:rsidR="00AD6059">
        <w:t>“</w:t>
      </w:r>
      <w:r w:rsidR="08163013">
        <w:t xml:space="preserve">, které hypostázovalo duši a intelekt. </w:t>
      </w:r>
    </w:p>
    <w:p w:rsidR="08163013" w:rsidRDefault="08163013" w:rsidP="08163013">
      <w:pPr>
        <w:pStyle w:val="Citace"/>
        <w:rPr>
          <w:rStyle w:val="Zkladntext350"/>
          <w:lang w:val="cs-CZ"/>
        </w:rPr>
      </w:pPr>
      <w:r w:rsidRPr="00E70287">
        <w:rPr>
          <w:rStyle w:val="Zkladntext350"/>
        </w:rPr>
        <w:t xml:space="preserve">„Všechno, co je aktivní a co jedná, činí tak skrze svou </w:t>
      </w:r>
      <w:r w:rsidRPr="00947970">
        <w:rPr>
          <w:rStyle w:val="Zkladntext350"/>
        </w:rPr>
        <w:t>formu</w:t>
      </w:r>
      <w:r w:rsidRPr="00E70287">
        <w:rPr>
          <w:rStyle w:val="Zkladntext350"/>
        </w:rPr>
        <w:t xml:space="preserve"> a působí nějaký účinek, který je oddělený od vlastního úkonu bytí (</w:t>
      </w:r>
      <w:r w:rsidRPr="00E70287">
        <w:rPr>
          <w:rStyle w:val="Zkladntext350"/>
          <w:i/>
        </w:rPr>
        <w:t>in esse separatum</w:t>
      </w:r>
      <w:r w:rsidRPr="00E70287">
        <w:rPr>
          <w:rStyle w:val="Zkladntext350"/>
        </w:rPr>
        <w:t>). Duše rozumí nejen jako taková (</w:t>
      </w:r>
      <w:r w:rsidRPr="00E70287">
        <w:rPr>
          <w:rStyle w:val="Zkladntext350"/>
          <w:i/>
        </w:rPr>
        <w:t>non tantum anima intelligit</w:t>
      </w:r>
      <w:r w:rsidRPr="00E70287">
        <w:rPr>
          <w:rStyle w:val="Zkladntext350"/>
        </w:rPr>
        <w:t xml:space="preserve">), ale rozumí </w:t>
      </w:r>
      <w:r>
        <w:rPr>
          <w:rStyle w:val="Zkladntext350"/>
          <w:lang w:val="cs-CZ"/>
        </w:rPr>
        <w:t xml:space="preserve">samotná osoba </w:t>
      </w:r>
      <w:r w:rsidRPr="00E70287">
        <w:rPr>
          <w:rStyle w:val="Zkladntext350"/>
        </w:rPr>
        <w:t>skrze inteligibilní duši (</w:t>
      </w:r>
      <w:r w:rsidRPr="00E70287">
        <w:rPr>
          <w:rStyle w:val="Zkladntext350"/>
          <w:i/>
        </w:rPr>
        <w:t>ipse homo per animam intellectivam</w:t>
      </w:r>
      <w:r w:rsidRPr="00E70287">
        <w:rPr>
          <w:rStyle w:val="Zkladntext350"/>
        </w:rPr>
        <w:t>). Proto je intelektuální duše formou a završením člověka, a není od něj oddělená z hlediska jejího bytí (</w:t>
      </w:r>
      <w:r w:rsidRPr="00E70287">
        <w:rPr>
          <w:rStyle w:val="Zkladntext350"/>
          <w:i/>
        </w:rPr>
        <w:t>non ab eo in esse separata</w:t>
      </w:r>
      <w:r w:rsidRPr="00E70287">
        <w:rPr>
          <w:rStyle w:val="Zkladntext350"/>
        </w:rPr>
        <w:t xml:space="preserve">).“ </w:t>
      </w:r>
      <w:r>
        <w:rPr>
          <w:rStyle w:val="Znakapoznpodarou"/>
        </w:rPr>
        <w:footnoteReference w:id="250"/>
      </w:r>
    </w:p>
    <w:p w:rsidR="00D5076B" w:rsidRDefault="08163013" w:rsidP="00D5076B">
      <w:r w:rsidRPr="00273106">
        <w:t>Akt porozumění se nevztahuje pouze k</w:t>
      </w:r>
      <w:r>
        <w:t> objektivní definice duše jako formy</w:t>
      </w:r>
      <w:r w:rsidRPr="00273106">
        <w:t xml:space="preserve"> těla </w:t>
      </w:r>
      <w:r>
        <w:t xml:space="preserve">dané esenciálně </w:t>
      </w:r>
      <w:r w:rsidRPr="00273106">
        <w:t>(</w:t>
      </w:r>
      <w:r w:rsidRPr="00273106">
        <w:rPr>
          <w:rStyle w:val="Zkladntext350"/>
          <w:i/>
        </w:rPr>
        <w:t>non tantum anima intelligit</w:t>
      </w:r>
      <w:r w:rsidRPr="00273106">
        <w:t>)</w:t>
      </w:r>
      <w:r>
        <w:t xml:space="preserve">. Porozumění </w:t>
      </w:r>
      <w:r w:rsidRPr="00273106">
        <w:t xml:space="preserve">zahrnuje </w:t>
      </w:r>
      <w:r>
        <w:t>existenci osoby v jejím výkonu existence. Definice intelektu musí predikovat existenci</w:t>
      </w:r>
      <w:r w:rsidRPr="00273106">
        <w:t xml:space="preserve"> </w:t>
      </w:r>
      <w:r>
        <w:t xml:space="preserve">osoby v modu ipseity </w:t>
      </w:r>
      <w:r w:rsidRPr="00273106">
        <w:t>(</w:t>
      </w:r>
      <w:r w:rsidRPr="00273106">
        <w:rPr>
          <w:rStyle w:val="Zkladntext350"/>
          <w:i/>
        </w:rPr>
        <w:t>ipse homo per animam intellectivam</w:t>
      </w:r>
      <w:r w:rsidRPr="00273106">
        <w:t xml:space="preserve">). </w:t>
      </w:r>
      <w:r>
        <w:t xml:space="preserve">Princip </w:t>
      </w:r>
      <w:r w:rsidRPr="08934697">
        <w:rPr>
          <w:i/>
        </w:rPr>
        <w:t>subiective</w:t>
      </w:r>
      <w:r>
        <w:t xml:space="preserve"> hájený Sigerem proti Akvinskému a Aegidiovi nepatří </w:t>
      </w:r>
      <w:r w:rsidR="08EB6822">
        <w:t xml:space="preserve">do </w:t>
      </w:r>
      <w:r>
        <w:t>par</w:t>
      </w:r>
      <w:r w:rsidR="08EB6822">
        <w:t>adigmatu Toledské šk</w:t>
      </w:r>
      <w:r w:rsidR="087254E0">
        <w:t xml:space="preserve">oly, </w:t>
      </w:r>
      <w:r w:rsidR="00BA6275">
        <w:t xml:space="preserve">která bere </w:t>
      </w:r>
      <w:r w:rsidR="087254E0">
        <w:t xml:space="preserve">intelekt </w:t>
      </w:r>
      <w:r w:rsidR="00BA6275">
        <w:t xml:space="preserve">jako </w:t>
      </w:r>
      <w:r w:rsidR="087254E0">
        <w:t xml:space="preserve">další </w:t>
      </w:r>
      <w:r w:rsidR="00BA6275">
        <w:t>formu</w:t>
      </w:r>
      <w:r w:rsidR="087254E0">
        <w:t xml:space="preserve"> vedle duše. A p</w:t>
      </w:r>
      <w:r w:rsidR="08EB6822">
        <w:t xml:space="preserve">ojetí </w:t>
      </w:r>
      <w:r>
        <w:t xml:space="preserve">intelektu v </w:t>
      </w:r>
      <w:r w:rsidR="00BA6275">
        <w:t>Bonaventurově</w:t>
      </w:r>
      <w:r w:rsidR="00D42F35">
        <w:t xml:space="preserve"> škole</w:t>
      </w:r>
      <w:r w:rsidR="087254E0">
        <w:t xml:space="preserve"> je úplně mylné, protože </w:t>
      </w:r>
      <w:r>
        <w:t>intelekt je podaný jako porretánská hypostáze po</w:t>
      </w:r>
      <w:r w:rsidR="00D5076B">
        <w:t xml:space="preserve">dle univerzálního hylemorfismu. </w:t>
      </w:r>
      <w:r>
        <w:t>Ú</w:t>
      </w:r>
      <w:r w:rsidRPr="00273106">
        <w:t xml:space="preserve">vodní citace </w:t>
      </w:r>
      <w:r w:rsidRPr="00192307">
        <w:rPr>
          <w:rStyle w:val="ref"/>
          <w:i/>
        </w:rPr>
        <w:t>De anima</w:t>
      </w:r>
      <w:r>
        <w:t xml:space="preserve"> </w:t>
      </w:r>
      <w:r w:rsidRPr="00273106">
        <w:t>komentuje základní fenomén jednotné existence</w:t>
      </w:r>
      <w:r>
        <w:t xml:space="preserve"> (</w:t>
      </w:r>
      <w:r w:rsidRPr="00943200">
        <w:rPr>
          <w:i/>
        </w:rPr>
        <w:t>vivere viventibus est esse</w:t>
      </w:r>
      <w:r>
        <w:t>), jenž tvoří základní výkladový princip Sigerovy jednoty osoby</w:t>
      </w:r>
      <w:r w:rsidRPr="00273106">
        <w:t xml:space="preserve">. </w:t>
      </w:r>
      <w:r w:rsidR="00E704B6">
        <w:t>T</w:t>
      </w:r>
      <w:r w:rsidR="00A617BE">
        <w:t>ím</w:t>
      </w:r>
      <w:r w:rsidR="00E704B6">
        <w:t xml:space="preserve"> navazuje </w:t>
      </w:r>
      <w:r>
        <w:t>na úvodní kvestii QIIIDA</w:t>
      </w:r>
      <w:r w:rsidRPr="08716416">
        <w:t>, kde je výkon života řešen podl</w:t>
      </w:r>
      <w:r>
        <w:t>e</w:t>
      </w:r>
      <w:r w:rsidRPr="08716416">
        <w:t xml:space="preserve"> Sicilské škol</w:t>
      </w:r>
      <w:r>
        <w:t>y</w:t>
      </w:r>
      <w:r w:rsidRPr="08716416">
        <w:t xml:space="preserve"> </w:t>
      </w:r>
      <w:r>
        <w:t xml:space="preserve">determinované </w:t>
      </w:r>
      <w:r w:rsidRPr="08716416">
        <w:t>biologickým</w:t>
      </w:r>
      <w:r>
        <w:t>i</w:t>
      </w:r>
      <w:r w:rsidRPr="08716416">
        <w:t xml:space="preserve"> spis</w:t>
      </w:r>
      <w:r>
        <w:t>y</w:t>
      </w:r>
      <w:r w:rsidRPr="08716416">
        <w:t xml:space="preserve"> Aristotela.</w:t>
      </w:r>
      <w:r>
        <w:t xml:space="preserve"> </w:t>
      </w:r>
      <w:r w:rsidR="00B96DAA">
        <w:t xml:space="preserve">První komentář </w:t>
      </w:r>
      <w:r w:rsidR="00B96DAA" w:rsidRPr="00F00B8C">
        <w:rPr>
          <w:i/>
        </w:rPr>
        <w:t>De anima</w:t>
      </w:r>
      <w:r w:rsidR="00B96DAA">
        <w:t xml:space="preserve"> </w:t>
      </w:r>
      <w:r w:rsidR="00B96DAA" w:rsidRPr="00273106">
        <w:t xml:space="preserve">zásadně odmítl možnost, že by intelekt mohl být </w:t>
      </w:r>
      <w:r w:rsidR="00B96DAA">
        <w:t xml:space="preserve">vědecky </w:t>
      </w:r>
      <w:r w:rsidR="00B96DAA" w:rsidRPr="00273106">
        <w:t xml:space="preserve">pojednáván jako nějaká </w:t>
      </w:r>
      <w:r w:rsidR="00B96DAA">
        <w:t xml:space="preserve">individualizovaná </w:t>
      </w:r>
      <w:r w:rsidR="00B96DAA" w:rsidRPr="00273106">
        <w:t>substance</w:t>
      </w:r>
      <w:r w:rsidR="00B96DAA">
        <w:t xml:space="preserve"> nebo moderní hypostáze třetího druhu</w:t>
      </w:r>
      <w:r w:rsidR="00B96DAA" w:rsidRPr="00273106">
        <w:t>.</w:t>
      </w:r>
      <w:r w:rsidR="00B96DAA">
        <w:t xml:space="preserve"> Numericky daná identita intelektu </w:t>
      </w:r>
      <w:r w:rsidR="00B96DAA" w:rsidRPr="00273106">
        <w:t xml:space="preserve">je podle Sigera </w:t>
      </w:r>
      <w:r w:rsidR="00B96DAA">
        <w:t xml:space="preserve">naprostý nesmysl, což ukázala předešlá kapitola. </w:t>
      </w:r>
      <w:r>
        <w:t xml:space="preserve">Sporný bod výkladu jednotného intelektu mezi oběma filosofy představuje pojetí </w:t>
      </w:r>
      <w:r w:rsidR="004C3207">
        <w:t>„</w:t>
      </w:r>
      <w:r w:rsidRPr="0064013C">
        <w:rPr>
          <w:i/>
        </w:rPr>
        <w:t>homo</w:t>
      </w:r>
      <w:r>
        <w:rPr>
          <w:i/>
        </w:rPr>
        <w:t xml:space="preserve"> </w:t>
      </w:r>
      <w:r w:rsidRPr="0064013C">
        <w:rPr>
          <w:i/>
        </w:rPr>
        <w:t xml:space="preserve">ipse </w:t>
      </w:r>
      <w:r>
        <w:rPr>
          <w:i/>
        </w:rPr>
        <w:t>intelligit</w:t>
      </w:r>
      <w:r w:rsidR="004C3207">
        <w:t>“</w:t>
      </w:r>
      <w:r>
        <w:t>, které nemá Akvinský</w:t>
      </w:r>
      <w:r w:rsidR="00B96DAA">
        <w:t xml:space="preserve">. Konflikt o titul </w:t>
      </w:r>
      <w:r w:rsidR="00B96DAA" w:rsidRPr="086F1121">
        <w:rPr>
          <w:i/>
        </w:rPr>
        <w:t>Expositor Novus</w:t>
      </w:r>
      <w:r w:rsidR="00B96DAA">
        <w:rPr>
          <w:i/>
        </w:rPr>
        <w:fldChar w:fldCharType="begin"/>
      </w:r>
      <w:r w:rsidR="00B96DAA">
        <w:instrText xml:space="preserve"> XE "</w:instrText>
      </w:r>
      <w:r w:rsidR="00B96DAA" w:rsidRPr="08BD0834">
        <w:rPr>
          <w:i/>
        </w:rPr>
        <w:instrText>Expositor Novus</w:instrText>
      </w:r>
      <w:r w:rsidR="00B96DAA">
        <w:instrText xml:space="preserve">" </w:instrText>
      </w:r>
      <w:r w:rsidR="00B96DAA">
        <w:rPr>
          <w:i/>
        </w:rPr>
        <w:fldChar w:fldCharType="end"/>
      </w:r>
      <w:r w:rsidR="00B96DAA">
        <w:t xml:space="preserve"> běží mezi objektivní identitou porozumění v Heideggerově modu </w:t>
      </w:r>
      <w:r w:rsidR="00B96DAA">
        <w:rPr>
          <w:i/>
        </w:rPr>
        <w:t>Gehaltsinn</w:t>
      </w:r>
      <w:r w:rsidR="00B96DAA">
        <w:t xml:space="preserve">, nebo fenomenologickou ipseitou porozumění v Heideggerově modu </w:t>
      </w:r>
      <w:r w:rsidR="00B96DAA">
        <w:rPr>
          <w:i/>
        </w:rPr>
        <w:t>Bezugssinn</w:t>
      </w:r>
      <w:r w:rsidR="00B96DAA">
        <w:t xml:space="preserve"> (kap. 4.4.3). </w:t>
      </w:r>
      <w:r w:rsidRPr="00273106">
        <w:t xml:space="preserve"> </w:t>
      </w:r>
      <w:r w:rsidR="00346741">
        <w:t xml:space="preserve">K tomuto dvojímu pojetí porozumění jsou slepí objektivní vykladači Sigerova myšlení v modu analytického tomismu podle </w:t>
      </w:r>
      <w:r w:rsidR="00346741" w:rsidRPr="08886C68">
        <w:rPr>
          <w:i/>
        </w:rPr>
        <w:t>Oxfordian Fallacy</w:t>
      </w:r>
      <w:r w:rsidR="00D5076B">
        <w:t>.</w:t>
      </w:r>
      <w:r w:rsidR="0056590A">
        <w:t xml:space="preserve"> Identitární vidění osoby vidí místo Sigerova brilantního výkladu jen objektivní simulákrum, tedy falešný spor o numerickou jednotu nebo mnohost intelektu. </w:t>
      </w:r>
    </w:p>
    <w:p w:rsidR="08163013" w:rsidRPr="00273106" w:rsidRDefault="08163013" w:rsidP="006D0135">
      <w:pPr>
        <w:ind w:firstLine="397"/>
      </w:pPr>
      <w:r w:rsidRPr="00273106">
        <w:lastRenderedPageBreak/>
        <w:t xml:space="preserve">Siger musí </w:t>
      </w:r>
      <w:r>
        <w:t>ve sporech v letech 1270</w:t>
      </w:r>
      <w:r w:rsidRPr="00273106">
        <w:t>‒</w:t>
      </w:r>
      <w:r>
        <w:t>75 znovu řešit otázku, jak</w:t>
      </w:r>
      <w:r w:rsidRPr="00273106">
        <w:t xml:space="preserve"> intelekt a duše zakládají jednotu člověka v jeho vlastním výkonu poznání</w:t>
      </w:r>
      <w:r>
        <w:t xml:space="preserve">. </w:t>
      </w:r>
      <w:r w:rsidR="08905840">
        <w:t>Siger jako p</w:t>
      </w:r>
      <w:r>
        <w:t xml:space="preserve">rvní západní latinský humanista po Al-Fárábím a Ibn Rušdovi musí bránit výkon myšlení na úrovni existence osoby. Jen tak dosáhne člověk jako osoba blaženosti definované v desáté knize </w:t>
      </w:r>
      <w:r w:rsidRPr="087F4663">
        <w:rPr>
          <w:i/>
        </w:rPr>
        <w:t>Eti</w:t>
      </w:r>
      <w:r>
        <w:rPr>
          <w:i/>
        </w:rPr>
        <w:t>ky</w:t>
      </w:r>
      <w:r w:rsidRPr="087F4663">
        <w:rPr>
          <w:i/>
        </w:rPr>
        <w:t xml:space="preserve"> Nikomachov</w:t>
      </w:r>
      <w:r>
        <w:rPr>
          <w:i/>
        </w:rPr>
        <w:t>y</w:t>
      </w:r>
      <w:r>
        <w:t xml:space="preserve"> skrze svobodný akt filosofického myšlení a </w:t>
      </w:r>
      <w:r w:rsidR="001D113F">
        <w:t>politického jednání</w:t>
      </w:r>
      <w:r>
        <w:t xml:space="preserve">. Tento zapomenutý existenciální modus ipseity znovu objeví Heideggerova hermeneutika </w:t>
      </w:r>
      <w:r w:rsidRPr="00661B2A">
        <w:rPr>
          <w:i/>
        </w:rPr>
        <w:t>Dasein</w:t>
      </w:r>
      <w:r>
        <w:rPr>
          <w:i/>
        </w:rPr>
        <w:fldChar w:fldCharType="begin"/>
      </w:r>
      <w:r>
        <w:instrText xml:space="preserve"> XE "</w:instrText>
      </w:r>
      <w:r w:rsidRPr="006F06CD">
        <w:instrText>hermeneutika:</w:instrText>
      </w:r>
      <w:r w:rsidRPr="006E7E70">
        <w:rPr>
          <w:i/>
        </w:rPr>
        <w:instrText>Dasein</w:instrText>
      </w:r>
      <w:r>
        <w:instrText xml:space="preserve">" </w:instrText>
      </w:r>
      <w:r>
        <w:rPr>
          <w:i/>
        </w:rPr>
        <w:fldChar w:fldCharType="end"/>
      </w:r>
      <w:r>
        <w:t xml:space="preserve">, k níž Hana Arendtová přidala politický rozměr jednání podle Aristotela. </w:t>
      </w:r>
      <w:r w:rsidR="00C54E02">
        <w:t>Sigerova kritika</w:t>
      </w:r>
      <w:r>
        <w:t xml:space="preserve"> výkladů Akvinského a Alberta</w:t>
      </w:r>
      <w:r w:rsidR="006D0135">
        <w:t xml:space="preserve"> ohledně </w:t>
      </w:r>
      <w:proofErr w:type="gramStart"/>
      <w:r w:rsidR="006D0135" w:rsidRPr="006D0135">
        <w:rPr>
          <w:i/>
        </w:rPr>
        <w:t>De</w:t>
      </w:r>
      <w:proofErr w:type="gramEnd"/>
      <w:r w:rsidR="006D0135" w:rsidRPr="006D0135">
        <w:rPr>
          <w:i/>
        </w:rPr>
        <w:t xml:space="preserve"> anima</w:t>
      </w:r>
      <w:r w:rsidR="006D0135">
        <w:t xml:space="preserve"> </w:t>
      </w:r>
      <w:r w:rsidR="00C54E02">
        <w:t xml:space="preserve">začíná u </w:t>
      </w:r>
      <w:r w:rsidRPr="00273106">
        <w:t>podobnosti a nepodobnosti aktu vidění a myšlení.</w:t>
      </w:r>
      <w:r>
        <w:t xml:space="preserve"> Siger definuje první formu existenciálního porozumění na latinském Západě.</w:t>
      </w:r>
    </w:p>
    <w:p w:rsidR="08163013" w:rsidRPr="009C50F2" w:rsidRDefault="08163013" w:rsidP="08163013">
      <w:pPr>
        <w:pStyle w:val="Citace"/>
        <w:rPr>
          <w:noProof/>
          <w:lang w:val="cs-CZ"/>
        </w:rPr>
      </w:pPr>
      <w:r w:rsidRPr="00273106">
        <w:rPr>
          <w:noProof/>
          <w:lang w:val="cs-CZ"/>
        </w:rPr>
        <w:t>„</w:t>
      </w:r>
      <w:r>
        <w:rPr>
          <w:noProof/>
          <w:lang w:val="cs-CZ"/>
        </w:rPr>
        <w:t>Intelektuální duše poznává jedině a pouze (</w:t>
      </w:r>
      <w:r w:rsidRPr="00E7252F">
        <w:rPr>
          <w:i/>
          <w:noProof/>
        </w:rPr>
        <w:t>non cognoscitur nisi</w:t>
      </w:r>
      <w:r>
        <w:rPr>
          <w:noProof/>
          <w:lang w:val="cs-CZ"/>
        </w:rPr>
        <w:t>) skrze svou činnost (</w:t>
      </w:r>
      <w:r w:rsidRPr="0079767C">
        <w:rPr>
          <w:i/>
          <w:noProof/>
        </w:rPr>
        <w:t>ex eius opere</w:t>
      </w:r>
      <w:r>
        <w:rPr>
          <w:noProof/>
          <w:lang w:val="cs-CZ"/>
        </w:rPr>
        <w:t>), tedy skrze akt porozumění (</w:t>
      </w:r>
      <w:r w:rsidRPr="087A456D">
        <w:rPr>
          <w:i/>
          <w:noProof/>
          <w:lang w:val="cs-CZ"/>
        </w:rPr>
        <w:t>intelligere</w:t>
      </w:r>
      <w:r>
        <w:rPr>
          <w:noProof/>
          <w:lang w:val="cs-CZ"/>
        </w:rPr>
        <w:t>). Porozumění je ale nějakým způsobem (</w:t>
      </w:r>
      <w:r w:rsidRPr="009C50F2">
        <w:rPr>
          <w:i/>
          <w:noProof/>
          <w:lang w:val="cs-CZ"/>
        </w:rPr>
        <w:t>quodammodo</w:t>
      </w:r>
      <w:r>
        <w:rPr>
          <w:noProof/>
          <w:lang w:val="cs-CZ"/>
        </w:rPr>
        <w:t>) spojeno s materií a nějakým způsobem (</w:t>
      </w:r>
      <w:r w:rsidRPr="009C50F2">
        <w:rPr>
          <w:i/>
          <w:noProof/>
          <w:lang w:val="cs-CZ"/>
        </w:rPr>
        <w:t>quodammodo</w:t>
      </w:r>
      <w:r>
        <w:rPr>
          <w:noProof/>
          <w:lang w:val="cs-CZ"/>
        </w:rPr>
        <w:t>) je od ní odděleno. Kdyby porozumění nebylo určitým způsobem (</w:t>
      </w:r>
      <w:r w:rsidRPr="001B1D69">
        <w:rPr>
          <w:i/>
          <w:noProof/>
          <w:lang w:val="cs-CZ"/>
        </w:rPr>
        <w:t>aliquo modo</w:t>
      </w:r>
      <w:r>
        <w:rPr>
          <w:noProof/>
          <w:lang w:val="cs-CZ"/>
        </w:rPr>
        <w:t>) spojeno s materií, pak by nebylo pravdivé, že poznává právě tento jedinečný člověk (</w:t>
      </w:r>
      <w:r w:rsidRPr="009C50F2">
        <w:rPr>
          <w:i/>
          <w:noProof/>
          <w:lang w:val="cs-CZ"/>
        </w:rPr>
        <w:t>homo ipse intelligit</w:t>
      </w:r>
      <w:r>
        <w:rPr>
          <w:noProof/>
          <w:lang w:val="cs-CZ"/>
        </w:rPr>
        <w:t xml:space="preserve">).“ </w:t>
      </w:r>
      <w:r>
        <w:rPr>
          <w:rStyle w:val="Znakapoznpodarou"/>
        </w:rPr>
        <w:footnoteReference w:id="251"/>
      </w:r>
    </w:p>
    <w:p w:rsidR="005A0F6B" w:rsidRDefault="00D1740E" w:rsidP="005A0F6B">
      <w:r w:rsidRPr="00273106">
        <w:t xml:space="preserve">Oddělenost intelektu od smyslů </w:t>
      </w:r>
      <w:proofErr w:type="gramStart"/>
      <w:r>
        <w:t>představuje</w:t>
      </w:r>
      <w:proofErr w:type="gramEnd"/>
      <w:r>
        <w:t xml:space="preserve"> podle </w:t>
      </w:r>
      <w:r w:rsidRPr="086B6705">
        <w:rPr>
          <w:i/>
        </w:rPr>
        <w:t>De anima</w:t>
      </w:r>
      <w:r>
        <w:t xml:space="preserve"> III zcela zásadní </w:t>
      </w:r>
      <w:r w:rsidRPr="00273106">
        <w:t>věc</w:t>
      </w:r>
      <w:r>
        <w:t xml:space="preserve"> v modu </w:t>
      </w:r>
      <w:r w:rsidRPr="08085379">
        <w:rPr>
          <w:i/>
        </w:rPr>
        <w:t>obiective</w:t>
      </w:r>
      <w:r>
        <w:t xml:space="preserve">. </w:t>
      </w:r>
      <w:r w:rsidR="08163013" w:rsidRPr="00273106">
        <w:t>Duše se poznává pouze z výkonu</w:t>
      </w:r>
      <w:r w:rsidR="08163013" w:rsidRPr="00BC12C9">
        <w:rPr>
          <w:i/>
        </w:rPr>
        <w:t xml:space="preserve"> </w:t>
      </w:r>
      <w:r w:rsidR="08163013">
        <w:t>(</w:t>
      </w:r>
      <w:r w:rsidR="08163013" w:rsidRPr="00273106">
        <w:rPr>
          <w:i/>
        </w:rPr>
        <w:t>anima cognoscitur ex eius opere</w:t>
      </w:r>
      <w:r w:rsidR="08163013">
        <w:t>)</w:t>
      </w:r>
      <w:r w:rsidR="08163013" w:rsidRPr="00273106">
        <w:t>, kterým je samotné myšlení (</w:t>
      </w:r>
      <w:r w:rsidR="08163013" w:rsidRPr="00273106">
        <w:rPr>
          <w:i/>
        </w:rPr>
        <w:t>scilicet intelligere</w:t>
      </w:r>
      <w:r w:rsidR="08163013" w:rsidRPr="00273106">
        <w:t xml:space="preserve">). </w:t>
      </w:r>
      <w:r>
        <w:t>D</w:t>
      </w:r>
      <w:r w:rsidR="08163013" w:rsidRPr="00273106">
        <w:t xml:space="preserve">alší argument </w:t>
      </w:r>
      <w:r w:rsidR="08262E57">
        <w:t xml:space="preserve">v modu </w:t>
      </w:r>
      <w:r w:rsidR="08262E57" w:rsidRPr="08262E57">
        <w:rPr>
          <w:i/>
        </w:rPr>
        <w:t>subiective</w:t>
      </w:r>
      <w:r w:rsidR="08262E57">
        <w:t xml:space="preserve"> </w:t>
      </w:r>
      <w:r w:rsidR="08163013" w:rsidRPr="00273106">
        <w:t xml:space="preserve">zdůrazňuje, že díky materii </w:t>
      </w:r>
      <w:r>
        <w:t>vzniká osoba jako „</w:t>
      </w:r>
      <w:r w:rsidRPr="00D1740E">
        <w:rPr>
          <w:i/>
        </w:rPr>
        <w:t>ipse</w:t>
      </w:r>
      <w:r>
        <w:t xml:space="preserve">“, která myslí skrze jedinečný výkon intelektu </w:t>
      </w:r>
      <w:r w:rsidR="08163013" w:rsidRPr="00273106">
        <w:t>(</w:t>
      </w:r>
      <w:r w:rsidR="08163013" w:rsidRPr="00273106">
        <w:rPr>
          <w:i/>
        </w:rPr>
        <w:t xml:space="preserve">ad </w:t>
      </w:r>
      <w:proofErr w:type="gramStart"/>
      <w:r w:rsidR="08163013" w:rsidRPr="00273106">
        <w:rPr>
          <w:i/>
        </w:rPr>
        <w:t>materiam...quod</w:t>
      </w:r>
      <w:proofErr w:type="gramEnd"/>
      <w:r w:rsidR="08163013" w:rsidRPr="00273106">
        <w:rPr>
          <w:i/>
        </w:rPr>
        <w:t xml:space="preserve"> homo ipse intelligit</w:t>
      </w:r>
      <w:r w:rsidR="08163013">
        <w:rPr>
          <w:i/>
        </w:rPr>
        <w:fldChar w:fldCharType="begin"/>
      </w:r>
      <w:r w:rsidR="08163013">
        <w:instrText xml:space="preserve"> XE "osoba:</w:instrText>
      </w:r>
      <w:r w:rsidR="08163013" w:rsidRPr="00160D3E">
        <w:rPr>
          <w:i/>
        </w:rPr>
        <w:instrText>homo ipse intelligit</w:instrText>
      </w:r>
      <w:r w:rsidR="08163013">
        <w:instrText xml:space="preserve">" </w:instrText>
      </w:r>
      <w:r w:rsidR="08163013">
        <w:rPr>
          <w:i/>
        </w:rPr>
        <w:fldChar w:fldCharType="end"/>
      </w:r>
      <w:r w:rsidR="08163013" w:rsidRPr="00273106">
        <w:t xml:space="preserve">). Oko </w:t>
      </w:r>
      <w:r w:rsidR="00464CCB">
        <w:t xml:space="preserve">je </w:t>
      </w:r>
      <w:r w:rsidR="08163013" w:rsidRPr="00273106">
        <w:t xml:space="preserve">tělesný orgán a </w:t>
      </w:r>
      <w:r w:rsidR="08163013">
        <w:t xml:space="preserve">osoba </w:t>
      </w:r>
      <w:r w:rsidR="009C653F">
        <w:t xml:space="preserve">vidí </w:t>
      </w:r>
      <w:r w:rsidR="08163013">
        <w:t xml:space="preserve">individuálně skrze </w:t>
      </w:r>
      <w:r w:rsidR="00677B9D">
        <w:t xml:space="preserve">tento </w:t>
      </w:r>
      <w:r w:rsidR="08163013">
        <w:t xml:space="preserve">materiální </w:t>
      </w:r>
      <w:r w:rsidR="009C653F">
        <w:t>akt</w:t>
      </w:r>
      <w:r w:rsidR="08163013" w:rsidRPr="00273106">
        <w:t xml:space="preserve">. To není případ </w:t>
      </w:r>
      <w:r w:rsidR="08163013">
        <w:t xml:space="preserve">lidského </w:t>
      </w:r>
      <w:r w:rsidR="08163013" w:rsidRPr="00273106">
        <w:t>intelektu pracujícího bez tělesného smyslového orgánu (</w:t>
      </w:r>
      <w:r w:rsidR="08163013" w:rsidRPr="00273106">
        <w:rPr>
          <w:i/>
        </w:rPr>
        <w:t xml:space="preserve">separatum a materia, cum non sit in organo corporeo, ut videre in </w:t>
      </w:r>
      <w:r w:rsidR="08163013" w:rsidRPr="00D702B8">
        <w:rPr>
          <w:i/>
        </w:rPr>
        <w:t>oculo</w:t>
      </w:r>
      <w:r w:rsidR="08163013">
        <w:t xml:space="preserve">; </w:t>
      </w:r>
      <w:r w:rsidR="08163013" w:rsidRPr="00D6592E">
        <w:t>p</w:t>
      </w:r>
      <w:r w:rsidR="08163013">
        <w:t>. 80.</w:t>
      </w:r>
      <w:r w:rsidR="08163013" w:rsidRPr="007B29B6">
        <w:t>72</w:t>
      </w:r>
      <w:r w:rsidR="08163013" w:rsidRPr="00273106">
        <w:t xml:space="preserve">). </w:t>
      </w:r>
      <w:r w:rsidR="00D15DA8">
        <w:t>S</w:t>
      </w:r>
      <w:r w:rsidR="08163013">
        <w:t xml:space="preserve">pojení mezi vnímáním smyslů a porozuměním intelektu </w:t>
      </w:r>
      <w:r w:rsidR="00D15DA8">
        <w:t xml:space="preserve">rozdělil </w:t>
      </w:r>
      <w:r w:rsidR="08163013">
        <w:t xml:space="preserve">Sigerův a Aegidiův výklad </w:t>
      </w:r>
      <w:r w:rsidR="08163013" w:rsidRPr="086E1AE1">
        <w:rPr>
          <w:i/>
        </w:rPr>
        <w:t>De anima</w:t>
      </w:r>
      <w:r w:rsidR="08801048">
        <w:t xml:space="preserve"> I–II (kap. 4</w:t>
      </w:r>
      <w:r w:rsidR="08163013">
        <w:t xml:space="preserve">.3.2). Otázka </w:t>
      </w:r>
      <w:r w:rsidR="00090217">
        <w:t>v rámci výkonu „</w:t>
      </w:r>
      <w:r w:rsidR="00090217">
        <w:rPr>
          <w:i/>
        </w:rPr>
        <w:t>homo ipse intelligit</w:t>
      </w:r>
      <w:r w:rsidR="00090217">
        <w:t>“</w:t>
      </w:r>
      <w:r w:rsidR="00090217">
        <w:rPr>
          <w:i/>
        </w:rPr>
        <w:fldChar w:fldCharType="begin"/>
      </w:r>
      <w:r w:rsidR="00090217">
        <w:instrText xml:space="preserve"> XE "</w:instrText>
      </w:r>
      <w:r w:rsidR="00090217" w:rsidRPr="00B935DC">
        <w:rPr>
          <w:rStyle w:val="Zkladntext350"/>
        </w:rPr>
        <w:instrText>osoba</w:instrText>
      </w:r>
      <w:r w:rsidR="00090217" w:rsidRPr="00B935DC">
        <w:rPr>
          <w:rStyle w:val="Zkladntext350"/>
          <w:i/>
        </w:rPr>
        <w:instrText>:</w:instrText>
      </w:r>
      <w:r w:rsidR="00090217">
        <w:rPr>
          <w:rStyle w:val="Zkladntext350"/>
          <w:i/>
        </w:rPr>
        <w:instrText>homo ipse intelligit</w:instrText>
      </w:r>
      <w:r w:rsidR="00090217">
        <w:instrText xml:space="preserve">" </w:instrText>
      </w:r>
      <w:r w:rsidR="00090217">
        <w:rPr>
          <w:i/>
        </w:rPr>
        <w:fldChar w:fldCharType="end"/>
      </w:r>
      <w:r w:rsidR="00090217">
        <w:rPr>
          <w:i/>
        </w:rPr>
        <w:t xml:space="preserve"> </w:t>
      </w:r>
      <w:r w:rsidR="08163013">
        <w:t xml:space="preserve">zní, </w:t>
      </w:r>
      <w:r w:rsidR="08163013" w:rsidRPr="00273106">
        <w:t xml:space="preserve">jak je tato potence duše s tělem </w:t>
      </w:r>
      <w:r w:rsidR="08163013">
        <w:t>spojena a jak</w:t>
      </w:r>
      <w:r w:rsidR="08163013" w:rsidRPr="00273106">
        <w:t xml:space="preserve"> je od něj oddělena (</w:t>
      </w:r>
      <w:r w:rsidR="08163013" w:rsidRPr="00273106">
        <w:rPr>
          <w:i/>
        </w:rPr>
        <w:t>anima igitur intellectiva aliquo modo est unita corpori et aliquo modo separata ab eo</w:t>
      </w:r>
      <w:r w:rsidR="08163013" w:rsidRPr="00D6592E">
        <w:t>;</w:t>
      </w:r>
      <w:r w:rsidR="08163013">
        <w:t xml:space="preserve"> ibid, p. 80.74</w:t>
      </w:r>
      <w:r w:rsidR="08163013">
        <w:fldChar w:fldCharType="begin"/>
      </w:r>
      <w:r w:rsidR="08163013">
        <w:instrText xml:space="preserve"> XE "Siger:</w:instrText>
      </w:r>
      <w:r w:rsidR="08163013" w:rsidRPr="008B3D77">
        <w:rPr>
          <w:i/>
          <w:lang w:eastAsia="en-US"/>
        </w:rPr>
        <w:instrText>De anima intellectiva</w:instrText>
      </w:r>
      <w:r w:rsidR="08163013" w:rsidRPr="008B3D77">
        <w:rPr>
          <w:lang w:eastAsia="en-US"/>
        </w:rPr>
        <w:instrText xml:space="preserve"> </w:instrText>
      </w:r>
      <w:r w:rsidR="08163013">
        <w:instrText xml:space="preserve">80.74" </w:instrText>
      </w:r>
      <w:r w:rsidR="08163013">
        <w:fldChar w:fldCharType="end"/>
      </w:r>
      <w:r w:rsidR="08163013" w:rsidRPr="00273106">
        <w:t xml:space="preserve">). </w:t>
      </w:r>
      <w:r w:rsidR="006E3D58" w:rsidRPr="006E3D58">
        <w:t xml:space="preserve">Způsob vidění a myšlení člověka se liší podle interpretace </w:t>
      </w:r>
      <w:r w:rsidR="006E3D58">
        <w:t>„</w:t>
      </w:r>
      <w:r w:rsidR="006E3D58" w:rsidRPr="006E3D58">
        <w:rPr>
          <w:i/>
        </w:rPr>
        <w:t>aliquo modo</w:t>
      </w:r>
      <w:r w:rsidR="006E3D58">
        <w:t>“</w:t>
      </w:r>
      <w:r w:rsidR="006E3D58" w:rsidRPr="006E3D58">
        <w:t>, která odděluje obě modality poznání.</w:t>
      </w:r>
    </w:p>
    <w:p w:rsidR="08163013" w:rsidRPr="00273106" w:rsidRDefault="08163013" w:rsidP="005A0F6B">
      <w:pPr>
        <w:ind w:firstLine="397"/>
      </w:pPr>
      <w:r>
        <w:lastRenderedPageBreak/>
        <w:t xml:space="preserve">Nyní můžeme přistoupit k základní argumentaci v gigantomachii o titul </w:t>
      </w:r>
      <w:r w:rsidRPr="08214800">
        <w:rPr>
          <w:i/>
        </w:rPr>
        <w:t>Expositor Novus</w:t>
      </w:r>
      <w:r>
        <w:t xml:space="preserve">, </w:t>
      </w:r>
      <w:r w:rsidRPr="00273106">
        <w:t>kterou pokračuje zbytek třetí kapitoly hned po citované části (</w:t>
      </w:r>
      <w:r>
        <w:t xml:space="preserve">ibid, </w:t>
      </w:r>
      <w:r w:rsidRPr="00273106">
        <w:t>pp. 81‒88</w:t>
      </w:r>
      <w:r>
        <w:fldChar w:fldCharType="begin"/>
      </w:r>
      <w:r>
        <w:instrText xml:space="preserve"> XE "Siger:</w:instrText>
      </w:r>
      <w:r w:rsidRPr="008B3D77">
        <w:rPr>
          <w:i/>
          <w:lang w:eastAsia="en-US"/>
        </w:rPr>
        <w:instrText>De anima intellectiva</w:instrText>
      </w:r>
      <w:r w:rsidRPr="008B3D77">
        <w:rPr>
          <w:lang w:eastAsia="en-US"/>
        </w:rPr>
        <w:instrText xml:space="preserve"> </w:instrText>
      </w:r>
      <w:r>
        <w:instrText>81</w:instrText>
      </w:r>
      <w:r w:rsidRPr="008B3D77">
        <w:instrText>‒</w:instrText>
      </w:r>
      <w:r>
        <w:instrText xml:space="preserve">88" </w:instrText>
      </w:r>
      <w:r>
        <w:fldChar w:fldCharType="end"/>
      </w:r>
      <w:r w:rsidRPr="00273106">
        <w:t xml:space="preserve">). </w:t>
      </w:r>
      <w:r w:rsidR="00764A41">
        <w:t>Sigerova nová expozice</w:t>
      </w:r>
      <w:r>
        <w:t xml:space="preserve"> Aristotela podle Sicilské školy </w:t>
      </w:r>
      <w:r w:rsidRPr="00273106">
        <w:t>se stal</w:t>
      </w:r>
      <w:r w:rsidR="00764A41">
        <w:t>a</w:t>
      </w:r>
      <w:r w:rsidRPr="00273106">
        <w:t xml:space="preserve"> </w:t>
      </w:r>
      <w:r>
        <w:t xml:space="preserve">základem </w:t>
      </w:r>
      <w:r w:rsidRPr="00273106">
        <w:t xml:space="preserve">kritiky </w:t>
      </w:r>
      <w:r>
        <w:t xml:space="preserve">jak nedůsledného siciliána Alberta tak zcela důsledného toletána </w:t>
      </w:r>
      <w:r w:rsidRPr="00273106">
        <w:t>Akvinského</w:t>
      </w:r>
      <w:r>
        <w:t>.</w:t>
      </w:r>
      <w:r w:rsidRPr="00273106">
        <w:t xml:space="preserve"> </w:t>
      </w:r>
      <w:r>
        <w:t xml:space="preserve">Kritika obou aristoteliků </w:t>
      </w:r>
      <w:r w:rsidRPr="00273106">
        <w:t>začíná rozbor</w:t>
      </w:r>
      <w:r>
        <w:t>em</w:t>
      </w:r>
      <w:r w:rsidRPr="00273106">
        <w:t xml:space="preserve"> </w:t>
      </w:r>
      <w:r>
        <w:t xml:space="preserve">obou </w:t>
      </w:r>
      <w:r w:rsidR="00266911">
        <w:t>„</w:t>
      </w:r>
      <w:r w:rsidRPr="00273106">
        <w:t xml:space="preserve">význačných </w:t>
      </w:r>
      <w:r w:rsidR="00266911">
        <w:t>filosofů“</w:t>
      </w:r>
      <w:r w:rsidRPr="00273106">
        <w:t xml:space="preserve"> (</w:t>
      </w:r>
      <w:r w:rsidRPr="00273106">
        <w:rPr>
          <w:i/>
        </w:rPr>
        <w:t>praecipui viri in philosophia</w:t>
      </w:r>
      <w:r w:rsidR="004F4DDD">
        <w:t xml:space="preserve">) z hlediska </w:t>
      </w:r>
      <w:r w:rsidRPr="00273106">
        <w:t>dvojí</w:t>
      </w:r>
      <w:r w:rsidR="004F4DDD">
        <w:t>ho</w:t>
      </w:r>
      <w:r w:rsidRPr="00273106">
        <w:t xml:space="preserve"> určení duše dané v materiálním těle a skrze nemateriální intelekt</w:t>
      </w:r>
      <w:r w:rsidR="004F4DDD">
        <w:t xml:space="preserve">. Siger připomíná, že tento </w:t>
      </w:r>
      <w:r>
        <w:t>modu</w:t>
      </w:r>
      <w:r w:rsidR="004F4DDD">
        <w:t>s</w:t>
      </w:r>
      <w:r>
        <w:t xml:space="preserve"> </w:t>
      </w:r>
      <w:r w:rsidR="004F4DDD">
        <w:t>„</w:t>
      </w:r>
      <w:r w:rsidRPr="009C50F2">
        <w:rPr>
          <w:i/>
        </w:rPr>
        <w:t>quodammodo</w:t>
      </w:r>
      <w:r w:rsidR="004F4DDD">
        <w:t xml:space="preserve">“ vyložil Averroes v CMDA a </w:t>
      </w:r>
      <w:r>
        <w:t>pokračuje kritikou Alberta a Akvinského</w:t>
      </w:r>
      <w:r w:rsidRPr="00273106">
        <w:t xml:space="preserve">. </w:t>
      </w:r>
    </w:p>
    <w:p w:rsidR="08163013" w:rsidRPr="002A5333" w:rsidRDefault="08163013" w:rsidP="08163013">
      <w:pPr>
        <w:pStyle w:val="Citace"/>
        <w:rPr>
          <w:noProof/>
          <w:lang w:val="cs-CZ"/>
        </w:rPr>
      </w:pPr>
      <w:r w:rsidRPr="00273106">
        <w:rPr>
          <w:noProof/>
          <w:lang w:val="cs-CZ"/>
        </w:rPr>
        <w:t>„</w:t>
      </w:r>
      <w:r>
        <w:rPr>
          <w:noProof/>
          <w:lang w:val="cs-CZ"/>
        </w:rPr>
        <w:t>Jakým způsobem je duše spojena s tělem a zároveň je od něj oddělena, k tomu význační mužové ve filosofii, Albert a Tomáš, říkají následující. Substance intelektuální duše je spojena s tělem v</w:t>
      </w:r>
      <w:r w:rsidR="000503BE">
        <w:rPr>
          <w:noProof/>
          <w:lang w:val="cs-CZ"/>
        </w:rPr>
        <w:t> </w:t>
      </w:r>
      <w:r>
        <w:rPr>
          <w:noProof/>
          <w:lang w:val="cs-CZ"/>
        </w:rPr>
        <w:t>takto</w:t>
      </w:r>
      <w:r w:rsidR="000503BE">
        <w:rPr>
          <w:noProof/>
          <w:lang w:val="cs-CZ"/>
        </w:rPr>
        <w:t xml:space="preserve"> identicky daném </w:t>
      </w:r>
      <w:r>
        <w:rPr>
          <w:noProof/>
          <w:lang w:val="cs-CZ"/>
        </w:rPr>
        <w:t>bytí (</w:t>
      </w:r>
      <w:r w:rsidRPr="001333E1">
        <w:rPr>
          <w:i/>
          <w:noProof/>
          <w:lang w:val="cs-CZ"/>
        </w:rPr>
        <w:t>substantia animae intellectivae unita est corpori dans esse eidem</w:t>
      </w:r>
      <w:r>
        <w:rPr>
          <w:noProof/>
          <w:lang w:val="cs-CZ"/>
        </w:rPr>
        <w:t>). Ale potence duše je prý oddělena od těla (</w:t>
      </w:r>
      <w:r w:rsidRPr="002A5333">
        <w:rPr>
          <w:i/>
          <w:noProof/>
          <w:lang w:val="cs-CZ"/>
        </w:rPr>
        <w:t>potentia animae intellectivae separata est a corpore</w:t>
      </w:r>
      <w:r>
        <w:rPr>
          <w:noProof/>
          <w:lang w:val="cs-CZ"/>
        </w:rPr>
        <w:t xml:space="preserve">), protože tato intelektuální potence nevykonává své činnosti skrze tělený orgán.“ </w:t>
      </w:r>
      <w:r>
        <w:rPr>
          <w:rStyle w:val="Znakapoznpodarou"/>
        </w:rPr>
        <w:footnoteReference w:id="252"/>
      </w:r>
    </w:p>
    <w:p w:rsidR="08163013" w:rsidRPr="0084416E" w:rsidRDefault="08163013" w:rsidP="007E775C">
      <w:r w:rsidRPr="00273106">
        <w:t>Siger konstatuje, že oba filosofové sledují učení Aristotela o člověku jako jed</w:t>
      </w:r>
      <w:r w:rsidR="00BF69EE">
        <w:t>i</w:t>
      </w:r>
      <w:r w:rsidRPr="00273106">
        <w:t>né substanci</w:t>
      </w:r>
      <w:r w:rsidR="08801048">
        <w:t xml:space="preserve">. Tato substance </w:t>
      </w:r>
      <w:r w:rsidRPr="00273106">
        <w:t xml:space="preserve">má různé činnosti dané jak smysly, tak i </w:t>
      </w:r>
      <w:r>
        <w:t xml:space="preserve">nemateriálním či </w:t>
      </w:r>
      <w:r w:rsidRPr="00273106">
        <w:t xml:space="preserve">nesmrtelným určením </w:t>
      </w:r>
      <w:r w:rsidR="08801048">
        <w:t xml:space="preserve">intelektuální </w:t>
      </w:r>
      <w:r w:rsidR="08E17792">
        <w:t xml:space="preserve">části </w:t>
      </w:r>
      <w:r w:rsidRPr="00273106">
        <w:t>duše</w:t>
      </w:r>
      <w:r>
        <w:t xml:space="preserve"> </w:t>
      </w:r>
      <w:r w:rsidRPr="00273106">
        <w:t>(</w:t>
      </w:r>
      <w:r w:rsidRPr="00273106">
        <w:rPr>
          <w:i/>
        </w:rPr>
        <w:t>anima intellectiva sit unita corpori, et separata ab eodem</w:t>
      </w:r>
      <w:r w:rsidRPr="00273106">
        <w:t xml:space="preserve">). </w:t>
      </w:r>
      <w:r>
        <w:t xml:space="preserve">Nesmrtelná a nemateriální </w:t>
      </w:r>
      <w:r w:rsidRPr="00273106">
        <w:t xml:space="preserve">duše </w:t>
      </w:r>
      <w:r>
        <w:t xml:space="preserve">je </w:t>
      </w:r>
      <w:r w:rsidRPr="00273106">
        <w:t>s tělem spojena</w:t>
      </w:r>
      <w:r>
        <w:t xml:space="preserve"> jen vnějšně</w:t>
      </w:r>
      <w:r w:rsidRPr="00273106">
        <w:t xml:space="preserve">, </w:t>
      </w:r>
      <w:r>
        <w:t xml:space="preserve">protože je díky </w:t>
      </w:r>
      <w:r w:rsidR="00F245CB">
        <w:t xml:space="preserve">nemateriální </w:t>
      </w:r>
      <w:r>
        <w:t xml:space="preserve">intelektuální potenci </w:t>
      </w:r>
      <w:r w:rsidR="00BF69EE">
        <w:t xml:space="preserve">oddělena </w:t>
      </w:r>
      <w:r>
        <w:t>od těla (</w:t>
      </w:r>
      <w:r w:rsidRPr="002A5333">
        <w:rPr>
          <w:i/>
        </w:rPr>
        <w:t>separata est a corpore</w:t>
      </w:r>
      <w:r>
        <w:t>)</w:t>
      </w:r>
      <w:r w:rsidRPr="00273106">
        <w:t xml:space="preserve">. </w:t>
      </w:r>
      <w:r>
        <w:t xml:space="preserve">Siger definoval </w:t>
      </w:r>
      <w:r w:rsidR="000342CC">
        <w:t xml:space="preserve">už </w:t>
      </w:r>
      <w:r>
        <w:t xml:space="preserve">v QIIIDA výkon lidské duše v modu </w:t>
      </w:r>
      <w:r w:rsidR="000342CC">
        <w:t>„</w:t>
      </w:r>
      <w:r w:rsidRPr="08101673">
        <w:rPr>
          <w:i/>
        </w:rPr>
        <w:t>separabilis</w:t>
      </w:r>
      <w:r w:rsidR="000342CC">
        <w:t>“</w:t>
      </w:r>
      <w:r>
        <w:fldChar w:fldCharType="begin"/>
      </w:r>
      <w:r>
        <w:instrText xml:space="preserve"> XE "první averroismus:</w:instrText>
      </w:r>
      <w:r w:rsidRPr="001B5D79">
        <w:instrText>semiaverroismus</w:instrText>
      </w:r>
      <w:r>
        <w:instrText xml:space="preserve">" </w:instrText>
      </w:r>
      <w:r>
        <w:fldChar w:fldCharType="end"/>
      </w:r>
      <w:r>
        <w:t>. Oba dominikáni oddělili nemateriální schopnost duše myslet od smyslového zakoušení těla (</w:t>
      </w:r>
      <w:r w:rsidRPr="002A5333">
        <w:rPr>
          <w:i/>
        </w:rPr>
        <w:t>potentia animae intellectivae separata est a corpore</w:t>
      </w:r>
      <w:r>
        <w:t xml:space="preserve">) a nemají ve vědeckém důkazu fenomenologii duševních aktů. Zavedením plurality hypostází v člověku </w:t>
      </w:r>
      <w:r w:rsidRPr="08331285">
        <w:rPr>
          <w:i/>
        </w:rPr>
        <w:t>de facto</w:t>
      </w:r>
      <w:r>
        <w:t xml:space="preserve"> přijali tezi druhého averroismu, který definuje člověka skrze pluralitu substancí</w:t>
      </w:r>
      <w:r w:rsidR="00826229">
        <w:fldChar w:fldCharType="begin"/>
      </w:r>
      <w:r w:rsidR="00826229">
        <w:instrText xml:space="preserve"> XE "intelekt:</w:instrText>
      </w:r>
      <w:r w:rsidR="00826229" w:rsidRPr="008E31F8">
        <w:rPr>
          <w:i/>
        </w:rPr>
        <w:instrText>separabilis</w:instrText>
      </w:r>
      <w:r w:rsidR="00826229">
        <w:instrText>/</w:instrText>
      </w:r>
      <w:r w:rsidR="00826229" w:rsidRPr="008E31F8">
        <w:rPr>
          <w:i/>
        </w:rPr>
        <w:instrText>separatus</w:instrText>
      </w:r>
      <w:r w:rsidR="00826229">
        <w:instrText xml:space="preserve">" </w:instrText>
      </w:r>
      <w:r w:rsidR="00826229">
        <w:fldChar w:fldCharType="end"/>
      </w:r>
      <w:r>
        <w:t xml:space="preserve">. </w:t>
      </w:r>
      <w:r w:rsidR="00826229">
        <w:t>Filosof Si</w:t>
      </w:r>
      <w:r w:rsidR="00826229" w:rsidRPr="00826229">
        <w:t xml:space="preserve">ger odmítl interpretaci </w:t>
      </w:r>
      <w:r w:rsidR="00826229" w:rsidRPr="00826229">
        <w:rPr>
          <w:i/>
        </w:rPr>
        <w:t>De anima</w:t>
      </w:r>
      <w:r w:rsidR="00826229" w:rsidRPr="00826229">
        <w:t xml:space="preserve"> </w:t>
      </w:r>
      <w:r w:rsidR="00826229">
        <w:t xml:space="preserve">podle </w:t>
      </w:r>
      <w:r w:rsidR="00826229" w:rsidRPr="00826229">
        <w:t xml:space="preserve">dvou hlavních teologů prvního </w:t>
      </w:r>
      <w:r w:rsidR="00826229">
        <w:t>a</w:t>
      </w:r>
      <w:r w:rsidR="00826229" w:rsidRPr="00826229">
        <w:t xml:space="preserve">verroismu. Nedefinovali akt porozumění, ale </w:t>
      </w:r>
      <w:r w:rsidR="00826229">
        <w:t xml:space="preserve">pouze eseenci </w:t>
      </w:r>
      <w:r w:rsidR="00826229" w:rsidRPr="00826229">
        <w:t>porozumění pomocí teologické teze věčné duše oddělené od těla po smrti (</w:t>
      </w:r>
      <w:r w:rsidR="00826229" w:rsidRPr="00826229">
        <w:rPr>
          <w:i/>
        </w:rPr>
        <w:t>separata est</w:t>
      </w:r>
      <w:r w:rsidR="00826229" w:rsidRPr="00826229">
        <w:t>).</w:t>
      </w:r>
      <w:r w:rsidR="00826229">
        <w:t xml:space="preserve"> </w:t>
      </w:r>
      <w:r>
        <w:t>Klíčový rozdíl je dán v</w:t>
      </w:r>
      <w:r w:rsidR="00826229">
        <w:t> otázce, co tvoří onu „</w:t>
      </w:r>
      <w:r w:rsidR="00826229" w:rsidRPr="00826229">
        <w:rPr>
          <w:i/>
        </w:rPr>
        <w:t>substantia animae intellectivae</w:t>
      </w:r>
      <w:r w:rsidR="00826229">
        <w:t>“</w:t>
      </w:r>
      <w:r w:rsidR="00F90765">
        <w:t xml:space="preserve"> danou</w:t>
      </w:r>
      <w:r w:rsidR="00826229">
        <w:t xml:space="preserve"> buď v modu „</w:t>
      </w:r>
      <w:r w:rsidR="00826229" w:rsidRPr="00826229">
        <w:rPr>
          <w:i/>
        </w:rPr>
        <w:t>separabilis</w:t>
      </w:r>
      <w:r w:rsidR="00826229">
        <w:t>“ nebo „</w:t>
      </w:r>
      <w:r w:rsidR="00826229" w:rsidRPr="00826229">
        <w:rPr>
          <w:i/>
        </w:rPr>
        <w:t>separatus</w:t>
      </w:r>
      <w:r w:rsidR="00826229">
        <w:t xml:space="preserve">“. Duše je definována buď jako </w:t>
      </w:r>
      <w:r w:rsidR="00EE27AA">
        <w:t xml:space="preserve">jako jednotný výkon osoby (Siger) nebo jako </w:t>
      </w:r>
      <w:r>
        <w:t>hypost</w:t>
      </w:r>
      <w:r w:rsidR="00826229">
        <w:t>áze (Akvinský a Albert)</w:t>
      </w:r>
      <w:r>
        <w:t>.</w:t>
      </w:r>
      <w:r w:rsidR="005A0F6B">
        <w:t xml:space="preserve"> </w:t>
      </w:r>
      <w:r w:rsidR="001E20E7">
        <w:t xml:space="preserve">Noví vykladači </w:t>
      </w:r>
      <w:r>
        <w:t>Aristotela</w:t>
      </w:r>
      <w:r w:rsidR="001E20E7">
        <w:t>,</w:t>
      </w:r>
      <w:r>
        <w:t xml:space="preserve"> jako byl </w:t>
      </w:r>
      <w:r>
        <w:lastRenderedPageBreak/>
        <w:t>Albert a Akvinský</w:t>
      </w:r>
      <w:r w:rsidR="001E20E7">
        <w:t xml:space="preserve">, založili jednotu osoby </w:t>
      </w:r>
      <w:r>
        <w:t xml:space="preserve">pouze </w:t>
      </w:r>
      <w:r w:rsidR="001E20E7">
        <w:t>na esenciální avicennistické</w:t>
      </w:r>
      <w:r>
        <w:t xml:space="preserve"> definici </w:t>
      </w:r>
      <w:r w:rsidRPr="0803452D">
        <w:rPr>
          <w:i/>
        </w:rPr>
        <w:t>anima intellectiva</w:t>
      </w:r>
      <w:r>
        <w:t>. Pro klasické metafyziky platí, že esence není existence. Formální vědecká definice člověka zakládá podle Sigera pouze porretánský moderní subjekt ve smyslu nemateriálního a věčného substrátu (</w:t>
      </w:r>
      <w:r>
        <w:rPr>
          <w:rStyle w:val="st"/>
        </w:rPr>
        <w:t>ὑποκείμενον</w:t>
      </w:r>
      <w:r>
        <w:t>), který abstraktně nese oddělené duše</w:t>
      </w:r>
      <w:r w:rsidR="00CA6F2E">
        <w:t xml:space="preserve">vní činnosti. Jenže taková duše daná jako esence </w:t>
      </w:r>
      <w:r>
        <w:t xml:space="preserve">je ze své podstaty </w:t>
      </w:r>
      <w:r w:rsidR="00CA6F2E">
        <w:t>„</w:t>
      </w:r>
      <w:r w:rsidRPr="0043000C">
        <w:rPr>
          <w:i/>
        </w:rPr>
        <w:t>hoc aliquid</w:t>
      </w:r>
      <w:r w:rsidR="00CA6F2E">
        <w:t>“</w:t>
      </w:r>
      <w:r>
        <w:t>, tedy substance</w:t>
      </w:r>
      <w:r w:rsidRPr="006C7A0F">
        <w:rPr>
          <w:i/>
        </w:rPr>
        <w:fldChar w:fldCharType="begin"/>
      </w:r>
      <w:r w:rsidRPr="006C7A0F">
        <w:instrText xml:space="preserve"> XE "intelekt:modus </w:instrText>
      </w:r>
      <w:r w:rsidRPr="006C7A0F">
        <w:rPr>
          <w:i/>
        </w:rPr>
        <w:instrText>qua</w:instrText>
      </w:r>
      <w:r w:rsidRPr="006C7A0F">
        <w:rPr>
          <w:i/>
          <w:vertAlign w:val="superscript"/>
        </w:rPr>
        <w:instrText>2</w:instrText>
      </w:r>
      <w:r w:rsidRPr="006C7A0F">
        <w:instrText xml:space="preserve">" </w:instrText>
      </w:r>
      <w:r w:rsidRPr="006C7A0F">
        <w:rPr>
          <w:i/>
        </w:rPr>
        <w:fldChar w:fldCharType="end"/>
      </w:r>
      <w:r>
        <w:t xml:space="preserve">. </w:t>
      </w:r>
      <w:r w:rsidR="0084416E" w:rsidRPr="0084416E">
        <w:t>V takovém případě objektivní definice duše následuje logické výroky založené na druhém</w:t>
      </w:r>
      <w:r w:rsidR="0084416E">
        <w:t xml:space="preserve"> případě dedukce (</w:t>
      </w:r>
      <w:r w:rsidR="0084416E" w:rsidRPr="0084416E">
        <w:rPr>
          <w:i/>
        </w:rPr>
        <w:t>Anal. Post</w:t>
      </w:r>
      <w:r w:rsidR="0084416E" w:rsidRPr="0084416E">
        <w:t>. 84a14</w:t>
      </w:r>
      <w:r w:rsidR="0084416E" w:rsidRPr="002E1F3A">
        <w:rPr>
          <w:szCs w:val="24"/>
        </w:rPr>
        <w:fldChar w:fldCharType="begin"/>
      </w:r>
      <w:r w:rsidR="0084416E" w:rsidRPr="002E1F3A">
        <w:rPr>
          <w:szCs w:val="24"/>
        </w:rPr>
        <w:instrText xml:space="preserve"> XE "Aristoteles:</w:instrText>
      </w:r>
      <w:r w:rsidR="0084416E" w:rsidRPr="002E1F3A">
        <w:rPr>
          <w:i/>
          <w:szCs w:val="24"/>
        </w:rPr>
        <w:instrText>Anal. Post.</w:instrText>
      </w:r>
      <w:r w:rsidR="0084416E" w:rsidRPr="002E1F3A">
        <w:rPr>
          <w:szCs w:val="24"/>
        </w:rPr>
        <w:instrText xml:space="preserve"> 84a1</w:instrText>
      </w:r>
      <w:r w:rsidR="0084416E">
        <w:rPr>
          <w:szCs w:val="24"/>
        </w:rPr>
        <w:instrText>4</w:instrText>
      </w:r>
      <w:r w:rsidR="0084416E" w:rsidRPr="002E1F3A">
        <w:rPr>
          <w:szCs w:val="24"/>
        </w:rPr>
        <w:instrText xml:space="preserve">" </w:instrText>
      </w:r>
      <w:r w:rsidR="0084416E" w:rsidRPr="002E1F3A">
        <w:rPr>
          <w:szCs w:val="24"/>
        </w:rPr>
        <w:fldChar w:fldCharType="end"/>
      </w:r>
      <w:r w:rsidR="0084416E" w:rsidRPr="0084416E">
        <w:t>).</w:t>
      </w:r>
      <w:r w:rsidR="0084416E">
        <w:t xml:space="preserve"> Ty v</w:t>
      </w:r>
      <w:r w:rsidR="0084416E" w:rsidRPr="0084416E">
        <w:t xml:space="preserve">ytvářejí </w:t>
      </w:r>
      <w:r w:rsidR="0084416E">
        <w:t>esenciální identitu osoby v režimu „</w:t>
      </w:r>
      <w:r w:rsidR="0084416E" w:rsidRPr="0084416E">
        <w:rPr>
          <w:i/>
        </w:rPr>
        <w:t>idem</w:t>
      </w:r>
      <w:r w:rsidR="0084416E">
        <w:t>“</w:t>
      </w:r>
      <w:r w:rsidR="0084416E" w:rsidRPr="0084416E">
        <w:t xml:space="preserve">. </w:t>
      </w:r>
      <w:r w:rsidR="0084416E">
        <w:t>J</w:t>
      </w:r>
      <w:r w:rsidR="0084416E" w:rsidRPr="0084416E">
        <w:t xml:space="preserve">ednota osoby, založená na ontoteologických předpokladech, jako je nesmrtelnost duše, může odůvodnit pouze </w:t>
      </w:r>
      <w:r w:rsidR="0084416E">
        <w:t xml:space="preserve">esenciální </w:t>
      </w:r>
      <w:r w:rsidR="0084416E" w:rsidRPr="0084416E">
        <w:t>definici duševních a intelektuálních schopností.</w:t>
      </w:r>
      <w:r w:rsidR="0084416E">
        <w:t xml:space="preserve"> </w:t>
      </w:r>
      <w:r>
        <w:t>Semiaverroisté jako Aegidius a Akvinský jako intelektuální spoluzakladatelé moderny odmítli aristotelskou závěť Pařížské univerzity a rozdvojili duši do dvou forem podle neoplatonismu Toledské školy. Tento sofistický výklad aristotelismu zásadně odmítl Siger</w:t>
      </w:r>
      <w:r w:rsidR="00A21635">
        <w:t xml:space="preserve">, protože odporoval pojetí </w:t>
      </w:r>
      <w:r>
        <w:t>Sicilské školy</w:t>
      </w:r>
      <w:r>
        <w:fldChar w:fldCharType="begin"/>
      </w:r>
      <w:r>
        <w:instrText xml:space="preserve"> XE "</w:instrText>
      </w:r>
      <w:r w:rsidRPr="08B12727">
        <w:instrText>Sicilská škola</w:instrText>
      </w:r>
      <w:r>
        <w:instrText xml:space="preserve">" </w:instrText>
      </w:r>
      <w:r>
        <w:fldChar w:fldCharType="end"/>
      </w:r>
      <w:r>
        <w:t xml:space="preserve">. Konflikt mezi Sigerem a Akvinským jako dvěma novými expozitory Filosofa je ve skutečnosti sporem o to, zda je možné dogmatizovat filosofii pro teologické účely. Dogmatizací filosofie vznikla objektivní forma myšlení Západu založená na ontoteologické </w:t>
      </w:r>
      <w:r w:rsidRPr="088D63E0">
        <w:rPr>
          <w:i/>
        </w:rPr>
        <w:t>metaphysica generalis</w:t>
      </w:r>
      <w:r>
        <w:t xml:space="preserve"> podle Avicennovy abstrakce jsoucna v esenciálním modu </w:t>
      </w:r>
      <w:r w:rsidRPr="082B6D1E">
        <w:rPr>
          <w:i/>
        </w:rPr>
        <w:t>ens inquantum ens</w:t>
      </w:r>
      <w:r>
        <w:rPr>
          <w:i/>
        </w:rPr>
        <w:fldChar w:fldCharType="begin"/>
      </w:r>
      <w:r>
        <w:instrText xml:space="preserve"> XE "</w:instrText>
      </w:r>
      <w:r w:rsidRPr="08BB6927">
        <w:rPr>
          <w:i/>
        </w:rPr>
        <w:instrText>ens inquantum ens</w:instrText>
      </w:r>
      <w:r>
        <w:instrText xml:space="preserve">" </w:instrText>
      </w:r>
      <w:r>
        <w:rPr>
          <w:i/>
        </w:rPr>
        <w:fldChar w:fldCharType="end"/>
      </w:r>
      <w:r>
        <w:t>. V kritické filosofii tato dogmatizace možná není</w:t>
      </w:r>
      <w:r w:rsidR="00837145">
        <w:t xml:space="preserve">, protože věda je </w:t>
      </w:r>
      <w:r>
        <w:t xml:space="preserve">pravdivá </w:t>
      </w:r>
      <w:r w:rsidR="00837145">
        <w:t xml:space="preserve">pouze vzhledem ke </w:t>
      </w:r>
      <w:r w:rsidR="00222B09">
        <w:t>kauzalit</w:t>
      </w:r>
      <w:r w:rsidR="00DD5397">
        <w:t>ě</w:t>
      </w:r>
      <w:r w:rsidR="00222B09">
        <w:t xml:space="preserve"> reá</w:t>
      </w:r>
      <w:r>
        <w:t>lných prvních substancí. Proto musíme o bohu vypovídat v rodově odlišné vědě zvané teologie</w:t>
      </w:r>
      <w:r w:rsidR="086940F3">
        <w:t>. Tento typ vědění je</w:t>
      </w:r>
      <w:r>
        <w:t xml:space="preserve"> dan</w:t>
      </w:r>
      <w:r w:rsidR="086940F3">
        <w:t>ý</w:t>
      </w:r>
      <w:r>
        <w:t xml:space="preserve"> skrze boží zjevení a posvátné spisy. Filosofie může vědecky zkoumat pouze působení </w:t>
      </w:r>
      <w:r>
        <w:rPr>
          <w:i/>
        </w:rPr>
        <w:t>c</w:t>
      </w:r>
      <w:r w:rsidRPr="087502E6">
        <w:rPr>
          <w:i/>
        </w:rPr>
        <w:t>ausa prima</w:t>
      </w:r>
      <w:r w:rsidR="00006C59">
        <w:t xml:space="preserve">. To bylo učení Modistů z Rue du Fouarre </w:t>
      </w:r>
      <w:r>
        <w:t xml:space="preserve">podané </w:t>
      </w:r>
      <w:r>
        <w:rPr>
          <w:i/>
        </w:rPr>
        <w:t>ad mentem Averrois</w:t>
      </w:r>
      <w:r>
        <w:rPr>
          <w:i/>
        </w:rPr>
        <w:fldChar w:fldCharType="begin"/>
      </w:r>
      <w:r>
        <w:instrText xml:space="preserve"> XE "</w:instrText>
      </w:r>
      <w:r>
        <w:rPr>
          <w:i/>
        </w:rPr>
        <w:instrText>ad mentem Averrois</w:instrText>
      </w:r>
      <w:r>
        <w:instrText xml:space="preserve">" </w:instrText>
      </w:r>
      <w:r>
        <w:rPr>
          <w:i/>
        </w:rPr>
        <w:fldChar w:fldCharType="end"/>
      </w:r>
      <w:r>
        <w:t>, tedy podle jeho „meta</w:t>
      </w:r>
      <w:r>
        <w:noBreakHyphen/>
        <w:t xml:space="preserve">fyziky“ pojednávající první principy substance </w:t>
      </w:r>
      <w:r w:rsidRPr="082B6D1E">
        <w:rPr>
          <w:i/>
        </w:rPr>
        <w:t>qua</w:t>
      </w:r>
      <w:r>
        <w:t xml:space="preserve"> substance</w:t>
      </w:r>
      <w:r>
        <w:fldChar w:fldCharType="begin"/>
      </w:r>
      <w:r>
        <w:instrText xml:space="preserve"> XE "</w:instrText>
      </w:r>
      <w:r w:rsidRPr="080632B1">
        <w:instrText xml:space="preserve">substance </w:instrText>
      </w:r>
      <w:r w:rsidRPr="080632B1">
        <w:rPr>
          <w:i/>
        </w:rPr>
        <w:instrText>qua</w:instrText>
      </w:r>
      <w:r w:rsidRPr="080632B1">
        <w:instrText xml:space="preserve"> substance</w:instrText>
      </w:r>
      <w:r>
        <w:instrText xml:space="preserve">" </w:instrText>
      </w:r>
      <w:r>
        <w:fldChar w:fldCharType="end"/>
      </w:r>
      <w:r>
        <w:t xml:space="preserve">. Stejný spor v téže době vedl Bacon s Bonaventurou </w:t>
      </w:r>
      <w:r w:rsidRPr="00273106">
        <w:t>(</w:t>
      </w:r>
      <w:r w:rsidRPr="00273106">
        <w:rPr>
          <w:i/>
        </w:rPr>
        <w:t>philosophia dominatur in usu theologiam</w:t>
      </w:r>
      <w:r w:rsidR="086940F3">
        <w:t xml:space="preserve">; OBJ II. </w:t>
      </w:r>
      <w:r w:rsidRPr="00A50106">
        <w:t>kap</w:t>
      </w:r>
      <w:r>
        <w:t>.</w:t>
      </w:r>
      <w:r w:rsidR="086940F3">
        <w:t xml:space="preserve"> 3</w:t>
      </w:r>
      <w:r w:rsidRPr="00A50106">
        <w:t>.4.3</w:t>
      </w:r>
      <w:r w:rsidRPr="00273106">
        <w:t>)</w:t>
      </w:r>
      <w:r>
        <w:t xml:space="preserve">. Spor o rodově odlišené vědění teologie a filosofie vedl po odsouzení Sigerovy školy roku 1277 k Baconově internaci a k jeho akademickému pronásledování v Paříži. Bacon patří v této zásadní metodologické otázce do skupiny </w:t>
      </w:r>
      <w:r w:rsidR="0027006A">
        <w:t>„</w:t>
      </w:r>
      <w:r w:rsidRPr="08AE254D">
        <w:rPr>
          <w:i/>
        </w:rPr>
        <w:t>pars Sigeri</w:t>
      </w:r>
      <w:r w:rsidR="0027006A">
        <w:t>“</w:t>
      </w:r>
      <w:r>
        <w:t xml:space="preserve">, což jasně ukazuje jeho dílo </w:t>
      </w:r>
      <w:r w:rsidRPr="08385EA5">
        <w:rPr>
          <w:i/>
        </w:rPr>
        <w:t xml:space="preserve">Compendium </w:t>
      </w:r>
      <w:r>
        <w:rPr>
          <w:i/>
        </w:rPr>
        <w:t xml:space="preserve">studii </w:t>
      </w:r>
      <w:r w:rsidRPr="08385EA5">
        <w:rPr>
          <w:i/>
        </w:rPr>
        <w:t>philosophiae</w:t>
      </w:r>
      <w:r>
        <w:rPr>
          <w:lang w:eastAsia="en-US"/>
        </w:rPr>
        <w:t xml:space="preserve"> psané okolo roku 1272. Bacon kritizuje Alberta a Akvinského za principiálně chybný přístup k výkladu Korpusu podle paradigmatu </w:t>
      </w:r>
      <w:r>
        <w:rPr>
          <w:lang w:eastAsia="en-US"/>
        </w:rPr>
        <w:lastRenderedPageBreak/>
        <w:t>aristotelského výkladu Toledské školy.</w:t>
      </w:r>
      <w:r>
        <w:rPr>
          <w:rStyle w:val="Znakapoznpodarou"/>
          <w:lang w:eastAsia="en-US"/>
        </w:rPr>
        <w:footnoteReference w:id="253"/>
      </w:r>
      <w:r>
        <w:rPr>
          <w:lang w:eastAsia="en-US"/>
        </w:rPr>
        <w:t xml:space="preserve"> Bacon vidí nedostatek filosofického a vědeckého vzdělání u </w:t>
      </w:r>
      <w:r w:rsidR="00962CF2">
        <w:rPr>
          <w:lang w:eastAsia="en-US"/>
        </w:rPr>
        <w:t xml:space="preserve">této </w:t>
      </w:r>
      <w:r>
        <w:rPr>
          <w:lang w:eastAsia="en-US"/>
        </w:rPr>
        <w:t>generace dogmatických teologů, kteří zanedbali kritické studium filosofie a přírodních věd.</w:t>
      </w:r>
      <w:r>
        <w:rPr>
          <w:rStyle w:val="Znakapoznpodarou"/>
          <w:lang w:eastAsia="en-US"/>
        </w:rPr>
        <w:footnoteReference w:id="254"/>
      </w:r>
      <w:r>
        <w:rPr>
          <w:lang w:eastAsia="en-US"/>
        </w:rPr>
        <w:t xml:space="preserve"> Ale Bacon na rozdíl od Sigera hájil </w:t>
      </w:r>
      <w:r>
        <w:t xml:space="preserve">v tomto konkrétním sporu o status </w:t>
      </w:r>
      <w:r w:rsidRPr="085B0144">
        <w:rPr>
          <w:i/>
        </w:rPr>
        <w:t>anima intellectiva</w:t>
      </w:r>
      <w:r>
        <w:t xml:space="preserve"> stanovisko Grossetesteho o pluralitě forem v duši (</w:t>
      </w:r>
      <w:r w:rsidR="086940F3">
        <w:t>OBJ II, kap. 3</w:t>
      </w:r>
      <w:r>
        <w:t xml:space="preserve">.2). Siger </w:t>
      </w:r>
      <w:r w:rsidR="00670F9E">
        <w:t xml:space="preserve">naopak </w:t>
      </w:r>
      <w:r>
        <w:t xml:space="preserve">tvrdí, že esenciální výklad duše je vědecky nedostatečný a neodpovídá existenciálnímu výkladu </w:t>
      </w:r>
      <w:r w:rsidRPr="08A40DBA">
        <w:rPr>
          <w:i/>
        </w:rPr>
        <w:t>De anima</w:t>
      </w:r>
      <w:r>
        <w:t xml:space="preserve"> podaného </w:t>
      </w:r>
      <w:r w:rsidR="005B678D">
        <w:t>„</w:t>
      </w:r>
      <w:r>
        <w:rPr>
          <w:i/>
        </w:rPr>
        <w:t>ad mentem Averrois</w:t>
      </w:r>
      <w:r w:rsidR="005B678D">
        <w:t>“</w:t>
      </w:r>
      <w:r>
        <w:rPr>
          <w:i/>
        </w:rPr>
        <w:t xml:space="preserve"> </w:t>
      </w:r>
      <w:r w:rsidRPr="080B4EC9">
        <w:t>v paradigmatu Sicilské školy</w:t>
      </w:r>
      <w:r>
        <w:t>. Siger prezentuje brilantní výklad aristotelismu podle Komentátora a z něj jasně vyplývá, že Akvinský je semiaverroistou. Tato pozice byla jasná Albertovi jako představiteli Sicilské školy a obránce myšl</w:t>
      </w:r>
      <w:r w:rsidR="00B43286">
        <w:t xml:space="preserve">ení biskupa Alverna. Ale Albert jako </w:t>
      </w:r>
      <w:r>
        <w:t xml:space="preserve">teolog odmítl jet do Paříže roku 1270, aby bránil filosofické dědictví Blundovy školy. Jeho zaváhání či nedostatek odvahy v obraně kritického myšlení proti semiaverroistům typu Akvinského </w:t>
      </w:r>
      <w:r w:rsidR="086940F3">
        <w:t xml:space="preserve">a Aegidia </w:t>
      </w:r>
      <w:r>
        <w:t>určilo dějiny latinského</w:t>
      </w:r>
      <w:r w:rsidR="00B43286">
        <w:t xml:space="preserve"> Západu. Spor roku 1270 běžel</w:t>
      </w:r>
      <w:r>
        <w:t xml:space="preserve"> o vědecký status teologického nebo filosofického paradigmatu uplatňovaného na aristotelský výklad </w:t>
      </w:r>
      <w:r w:rsidRPr="08C44DC5">
        <w:rPr>
          <w:i/>
        </w:rPr>
        <w:t>anima intellectiva</w:t>
      </w:r>
      <w:r>
        <w:t xml:space="preserve">. Titul </w:t>
      </w:r>
      <w:r w:rsidRPr="0806106F">
        <w:rPr>
          <w:i/>
        </w:rPr>
        <w:t>Expositor Novus</w:t>
      </w:r>
      <w:r>
        <w:rPr>
          <w:i/>
        </w:rPr>
        <w:fldChar w:fldCharType="begin"/>
      </w:r>
      <w:r>
        <w:instrText xml:space="preserve"> XE "</w:instrText>
      </w:r>
      <w:r w:rsidRPr="08BD31AE">
        <w:rPr>
          <w:i/>
        </w:rPr>
        <w:instrText>Expositor Novus</w:instrText>
      </w:r>
      <w:r>
        <w:instrText xml:space="preserve">" </w:instrText>
      </w:r>
      <w:r>
        <w:rPr>
          <w:i/>
        </w:rPr>
        <w:fldChar w:fldCharType="end"/>
      </w:r>
      <w:r w:rsidR="00B43286">
        <w:t xml:space="preserve"> rozhodoval</w:t>
      </w:r>
      <w:r>
        <w:t xml:space="preserve"> mezi autonomiií vědy podle </w:t>
      </w:r>
      <w:r w:rsidRPr="08852804">
        <w:rPr>
          <w:i/>
        </w:rPr>
        <w:t>Druhých analytik</w:t>
      </w:r>
      <w:r>
        <w:t xml:space="preserve"> nebo nadvládou teologické dogmatické spekulace modernistů nad filosofií. Moderní bůh zemřel proto, že modernisté vyhráli tento spor a určili následné d</w:t>
      </w:r>
      <w:r w:rsidR="00B43286">
        <w:t>ějiny myšlení v modu epochální</w:t>
      </w:r>
      <w:r>
        <w:t xml:space="preserve"> </w:t>
      </w:r>
      <w:r w:rsidR="00B43286">
        <w:t>sofistiky (</w:t>
      </w:r>
      <w:r w:rsidR="00B43286" w:rsidRPr="00B43286">
        <w:rPr>
          <w:i/>
        </w:rPr>
        <w:t>Irre</w:t>
      </w:r>
      <w:r w:rsidR="00B43286">
        <w:rPr>
          <w:i/>
        </w:rPr>
        <w:fldChar w:fldCharType="begin"/>
      </w:r>
      <w:r w:rsidR="00B43286">
        <w:instrText xml:space="preserve"> XE "</w:instrText>
      </w:r>
      <w:r w:rsidR="00B43286" w:rsidRPr="007E3196">
        <w:rPr>
          <w:i/>
        </w:rPr>
        <w:instrText>Irre</w:instrText>
      </w:r>
      <w:r w:rsidR="00B43286">
        <w:instrText xml:space="preserve">" </w:instrText>
      </w:r>
      <w:r w:rsidR="00B43286">
        <w:rPr>
          <w:i/>
        </w:rPr>
        <w:fldChar w:fldCharType="end"/>
      </w:r>
      <w:r w:rsidR="00B43286">
        <w:t>)</w:t>
      </w:r>
      <w:r>
        <w:t xml:space="preserve">. Jejich vítězství šlo skrze semiaverroistu Akvinského, který tehdy v Paříži akademicky prohrál a musel z univerzity odejít. </w:t>
      </w:r>
      <w:r w:rsidR="00B43286">
        <w:t>Ale j</w:t>
      </w:r>
      <w:r>
        <w:t xml:space="preserve">eho tomistickou kauzu dovedli k vítězství Albert a Aegidius skrze nově ustavený tomismus. </w:t>
      </w:r>
    </w:p>
    <w:p w:rsidR="00925D48" w:rsidRDefault="08163013" w:rsidP="08163013">
      <w:r>
        <w:tab/>
      </w:r>
      <w:r>
        <w:rPr>
          <w:lang w:eastAsia="en-US"/>
        </w:rPr>
        <w:t xml:space="preserve">Vraťme se ke sporu </w:t>
      </w:r>
      <w:proofErr w:type="gramStart"/>
      <w:r>
        <w:rPr>
          <w:lang w:eastAsia="en-US"/>
        </w:rPr>
        <w:t>exponovaném</w:t>
      </w:r>
      <w:proofErr w:type="gramEnd"/>
      <w:r>
        <w:rPr>
          <w:lang w:eastAsia="en-US"/>
        </w:rPr>
        <w:t xml:space="preserve"> v díle </w:t>
      </w:r>
      <w:r w:rsidRPr="08A77D7C">
        <w:rPr>
          <w:i/>
          <w:lang w:eastAsia="en-US"/>
        </w:rPr>
        <w:t xml:space="preserve">De </w:t>
      </w:r>
      <w:r w:rsidRPr="08A77D7C">
        <w:rPr>
          <w:i/>
        </w:rPr>
        <w:t>anima intellectiva</w:t>
      </w:r>
      <w:r>
        <w:t xml:space="preserve">. </w:t>
      </w:r>
      <w:r w:rsidRPr="00273106">
        <w:rPr>
          <w:lang w:eastAsia="en-US"/>
        </w:rPr>
        <w:t xml:space="preserve">Rozdíl mezi </w:t>
      </w:r>
      <w:r>
        <w:rPr>
          <w:lang w:eastAsia="en-US"/>
        </w:rPr>
        <w:t xml:space="preserve">moderní numerickou substanční </w:t>
      </w:r>
      <w:r w:rsidRPr="00273106">
        <w:rPr>
          <w:lang w:eastAsia="en-US"/>
        </w:rPr>
        <w:t>identitou (</w:t>
      </w:r>
      <w:r w:rsidRPr="00273106">
        <w:rPr>
          <w:i/>
          <w:lang w:eastAsia="en-US"/>
        </w:rPr>
        <w:t>idem homo</w:t>
      </w:r>
      <w:r w:rsidRPr="00273106">
        <w:rPr>
          <w:lang w:eastAsia="en-US"/>
        </w:rPr>
        <w:t xml:space="preserve">) a </w:t>
      </w:r>
      <w:r>
        <w:rPr>
          <w:lang w:eastAsia="en-US"/>
        </w:rPr>
        <w:t xml:space="preserve">existenciální </w:t>
      </w:r>
      <w:r w:rsidRPr="00273106">
        <w:rPr>
          <w:lang w:eastAsia="en-US"/>
        </w:rPr>
        <w:t>ipseitou (</w:t>
      </w:r>
      <w:r w:rsidRPr="00273106">
        <w:rPr>
          <w:i/>
          <w:lang w:eastAsia="en-US"/>
        </w:rPr>
        <w:t>ipse homo</w:t>
      </w:r>
      <w:r w:rsidRPr="00273106">
        <w:rPr>
          <w:lang w:eastAsia="en-US"/>
        </w:rPr>
        <w:t xml:space="preserve">) je pro Sigera naprosto zásadní. Zrušením tohoto principu dostaneme vnější a </w:t>
      </w:r>
      <w:r>
        <w:rPr>
          <w:lang w:eastAsia="en-US"/>
        </w:rPr>
        <w:t xml:space="preserve">pouze </w:t>
      </w:r>
      <w:r w:rsidRPr="00273106">
        <w:rPr>
          <w:lang w:eastAsia="en-US"/>
        </w:rPr>
        <w:t xml:space="preserve">numerickou </w:t>
      </w:r>
      <w:r w:rsidR="088B6E3E">
        <w:rPr>
          <w:lang w:eastAsia="en-US"/>
        </w:rPr>
        <w:t>identitu člověka jako esence</w:t>
      </w:r>
      <w:r>
        <w:rPr>
          <w:rStyle w:val="Zkladntext184"/>
        </w:rPr>
        <w:fldChar w:fldCharType="begin"/>
      </w:r>
      <w:r>
        <w:instrText xml:space="preserve"> XE "</w:instrText>
      </w:r>
      <w:r>
        <w:rPr>
          <w:rStyle w:val="FontStyle129"/>
          <w:sz w:val="24"/>
        </w:rPr>
        <w:instrText>intelekt:numericky jednotný</w:instrText>
      </w:r>
      <w:r>
        <w:instrText xml:space="preserve">" </w:instrText>
      </w:r>
      <w:r>
        <w:rPr>
          <w:rStyle w:val="Zkladntext184"/>
        </w:rPr>
        <w:fldChar w:fldCharType="end"/>
      </w:r>
      <w:r w:rsidRPr="00273106">
        <w:rPr>
          <w:lang w:eastAsia="en-US"/>
        </w:rPr>
        <w:t xml:space="preserve">. </w:t>
      </w:r>
      <w:r>
        <w:rPr>
          <w:lang w:eastAsia="en-US"/>
        </w:rPr>
        <w:t xml:space="preserve">Intelekt jako nemateriální potence </w:t>
      </w:r>
      <w:r w:rsidRPr="000D1A94">
        <w:rPr>
          <w:i/>
          <w:lang w:eastAsia="en-US"/>
        </w:rPr>
        <w:t>anima intellectiva</w:t>
      </w:r>
      <w:r>
        <w:rPr>
          <w:lang w:eastAsia="en-US"/>
        </w:rPr>
        <w:t xml:space="preserve"> pak přichází k tělu zvnějšku jako poslední a nejvyšší dokonalost a provádí jeho individualizaci ve formě nesmrtelné hypostáze. To je averroistické pojetí duše </w:t>
      </w:r>
      <w:r>
        <w:rPr>
          <w:lang w:eastAsia="en-US"/>
        </w:rPr>
        <w:lastRenderedPageBreak/>
        <w:t xml:space="preserve">dané podle </w:t>
      </w:r>
      <w:r w:rsidR="00303224">
        <w:rPr>
          <w:lang w:eastAsia="en-US"/>
        </w:rPr>
        <w:t>„</w:t>
      </w:r>
      <w:r w:rsidRPr="08A56CE3">
        <w:rPr>
          <w:i/>
          <w:lang w:eastAsia="en-US"/>
        </w:rPr>
        <w:t>sequaces Aristotelis</w:t>
      </w:r>
      <w:r w:rsidR="00303224">
        <w:rPr>
          <w:lang w:eastAsia="en-US"/>
        </w:rPr>
        <w:t>“</w:t>
      </w:r>
      <w:r>
        <w:rPr>
          <w:i/>
        </w:rPr>
        <w:fldChar w:fldCharType="begin"/>
      </w:r>
      <w:r>
        <w:instrText xml:space="preserve"> XE "první averroismus:</w:instrText>
      </w:r>
      <w:r w:rsidRPr="001D7C7D">
        <w:rPr>
          <w:i/>
        </w:rPr>
        <w:instrText>sequaces Aristotelis</w:instrText>
      </w:r>
      <w:r>
        <w:instrText xml:space="preserve">" </w:instrText>
      </w:r>
      <w:r>
        <w:rPr>
          <w:i/>
        </w:rPr>
        <w:fldChar w:fldCharType="end"/>
      </w:r>
      <w:r>
        <w:rPr>
          <w:lang w:eastAsia="en-US"/>
        </w:rPr>
        <w:t xml:space="preserve"> typu Avicenny, které je v rozporu s argumentací CMDA. V tomto scénáři dvou oddělených hypostází </w:t>
      </w:r>
      <w:r w:rsidR="00071627">
        <w:rPr>
          <w:lang w:eastAsia="en-US"/>
        </w:rPr>
        <w:t xml:space="preserve">vysvětlení </w:t>
      </w:r>
      <w:r w:rsidRPr="00273106">
        <w:rPr>
          <w:lang w:eastAsia="en-US"/>
        </w:rPr>
        <w:t>nikdy nepřijde</w:t>
      </w:r>
      <w:r w:rsidR="00071627">
        <w:rPr>
          <w:lang w:eastAsia="en-US"/>
        </w:rPr>
        <w:t xml:space="preserve"> </w:t>
      </w:r>
      <w:r w:rsidRPr="00273106">
        <w:rPr>
          <w:lang w:eastAsia="en-US"/>
        </w:rPr>
        <w:t xml:space="preserve">k </w:t>
      </w:r>
      <w:r>
        <w:rPr>
          <w:lang w:eastAsia="en-US"/>
        </w:rPr>
        <w:t xml:space="preserve">existenciální </w:t>
      </w:r>
      <w:r w:rsidRPr="00273106">
        <w:rPr>
          <w:lang w:eastAsia="en-US"/>
        </w:rPr>
        <w:t>ipseitě osoby</w:t>
      </w:r>
      <w:r>
        <w:rPr>
          <w:lang w:eastAsia="en-US"/>
        </w:rPr>
        <w:t xml:space="preserve">. </w:t>
      </w:r>
      <w:r w:rsidRPr="00273106">
        <w:rPr>
          <w:lang w:eastAsia="en-US"/>
        </w:rPr>
        <w:t xml:space="preserve">Přijetím identitního řešení jednoty člověka podle </w:t>
      </w:r>
      <w:r>
        <w:rPr>
          <w:lang w:eastAsia="en-US"/>
        </w:rPr>
        <w:t xml:space="preserve">semiaverroismu </w:t>
      </w:r>
      <w:r w:rsidRPr="00273106">
        <w:rPr>
          <w:lang w:eastAsia="en-US"/>
        </w:rPr>
        <w:t xml:space="preserve">Alberta a Akvinského by </w:t>
      </w:r>
      <w:r>
        <w:rPr>
          <w:lang w:eastAsia="en-US"/>
        </w:rPr>
        <w:t xml:space="preserve">zmizel </w:t>
      </w:r>
      <w:r w:rsidRPr="00273106">
        <w:rPr>
          <w:lang w:eastAsia="en-US"/>
        </w:rPr>
        <w:t xml:space="preserve">základní </w:t>
      </w:r>
      <w:r>
        <w:rPr>
          <w:lang w:eastAsia="en-US"/>
        </w:rPr>
        <w:t>Averroes</w:t>
      </w:r>
      <w:r w:rsidRPr="00273106">
        <w:rPr>
          <w:lang w:eastAsia="en-US"/>
        </w:rPr>
        <w:t>ův princip poznání duše</w:t>
      </w:r>
      <w:r>
        <w:rPr>
          <w:lang w:eastAsia="en-US"/>
        </w:rPr>
        <w:t xml:space="preserve"> podle upraveného Themistiova </w:t>
      </w:r>
      <w:r w:rsidR="08CF7C16" w:rsidRPr="081942A4">
        <w:rPr>
          <w:i/>
          <w:szCs w:val="24"/>
        </w:rPr>
        <w:t>intellectus materialis</w:t>
      </w:r>
      <w:r>
        <w:rPr>
          <w:lang w:eastAsia="en-US"/>
        </w:rPr>
        <w:t xml:space="preserve">. Komentátor potřebuje predikovat pro vědecký důkaz kauzálně zakoušený </w:t>
      </w:r>
      <w:r w:rsidRPr="00273106">
        <w:rPr>
          <w:lang w:eastAsia="en-US"/>
        </w:rPr>
        <w:t xml:space="preserve">způsob, jak </w:t>
      </w:r>
      <w:r>
        <w:rPr>
          <w:lang w:eastAsia="en-US"/>
        </w:rPr>
        <w:t xml:space="preserve">náš </w:t>
      </w:r>
      <w:r w:rsidRPr="00273106">
        <w:rPr>
          <w:lang w:eastAsia="en-US"/>
        </w:rPr>
        <w:t>intelekt poznává nemateriální formy</w:t>
      </w:r>
      <w:r>
        <w:rPr>
          <w:i/>
        </w:rPr>
        <w:fldChar w:fldCharType="begin"/>
      </w:r>
      <w:r>
        <w:instrText xml:space="preserve"> XE "</w:instrText>
      </w:r>
      <w:r w:rsidRPr="007A6285">
        <w:instrText>osoba:</w:instrText>
      </w:r>
      <w:r w:rsidRPr="001D7F39">
        <w:rPr>
          <w:i/>
        </w:rPr>
        <w:instrText>ipse</w:instrText>
      </w:r>
      <w:r w:rsidRPr="007A6285">
        <w:instrText>/</w:instrText>
      </w:r>
      <w:r w:rsidRPr="001D7F39">
        <w:rPr>
          <w:i/>
        </w:rPr>
        <w:instrText>idem</w:instrText>
      </w:r>
      <w:r>
        <w:instrText xml:space="preserve">" </w:instrText>
      </w:r>
      <w:r>
        <w:rPr>
          <w:i/>
        </w:rPr>
        <w:fldChar w:fldCharType="end"/>
      </w:r>
      <w:r w:rsidRPr="00273106">
        <w:rPr>
          <w:lang w:eastAsia="en-US"/>
        </w:rPr>
        <w:t xml:space="preserve">. </w:t>
      </w:r>
      <w:r>
        <w:rPr>
          <w:lang w:eastAsia="en-US"/>
        </w:rPr>
        <w:t>Myšlení je v naší moci, což je důkaz kauzality osoby jako první substance</w:t>
      </w:r>
      <w:r w:rsidR="00A805E5">
        <w:rPr>
          <w:lang w:eastAsia="en-US"/>
        </w:rPr>
        <w:t xml:space="preserve"> </w:t>
      </w:r>
      <w:r>
        <w:rPr>
          <w:lang w:eastAsia="en-US"/>
        </w:rPr>
        <w:t>(</w:t>
      </w:r>
      <w:r w:rsidRPr="00651B60">
        <w:rPr>
          <w:i/>
          <w:lang w:eastAsia="en-US"/>
        </w:rPr>
        <w:t>vivere est viventibus esse</w:t>
      </w:r>
      <w:r>
        <w:rPr>
          <w:lang w:eastAsia="en-US"/>
        </w:rPr>
        <w:t xml:space="preserve">). Intelektuální schopnost osoby existuje, </w:t>
      </w:r>
      <w:r w:rsidR="08EE37D3">
        <w:rPr>
          <w:lang w:eastAsia="en-US"/>
        </w:rPr>
        <w:t>protože jsem tu „já“ v „mém“ těle</w:t>
      </w:r>
      <w:r w:rsidR="00BE0FF8">
        <w:rPr>
          <w:lang w:eastAsia="en-US"/>
        </w:rPr>
        <w:t xml:space="preserve"> (Sigerův modus </w:t>
      </w:r>
      <w:r w:rsidR="00BE0FF8" w:rsidRPr="00BE0FF8">
        <w:rPr>
          <w:i/>
          <w:lang w:eastAsia="en-US"/>
        </w:rPr>
        <w:t>subiective</w:t>
      </w:r>
      <w:r w:rsidR="00BE0FF8">
        <w:rPr>
          <w:lang w:eastAsia="en-US"/>
        </w:rPr>
        <w:t>)</w:t>
      </w:r>
      <w:r w:rsidR="08EE37D3">
        <w:rPr>
          <w:lang w:eastAsia="en-US"/>
        </w:rPr>
        <w:t xml:space="preserve">. To </w:t>
      </w:r>
      <w:r>
        <w:rPr>
          <w:lang w:eastAsia="en-US"/>
        </w:rPr>
        <w:t xml:space="preserve">je rozdíl od objektivní „exsistence“ </w:t>
      </w:r>
      <w:r w:rsidR="00111A9B">
        <w:rPr>
          <w:lang w:eastAsia="en-US"/>
        </w:rPr>
        <w:t xml:space="preserve">intelektu jako hypostázované formy. </w:t>
      </w:r>
      <w:r w:rsidR="088810D2">
        <w:rPr>
          <w:lang w:eastAsia="en-US"/>
        </w:rPr>
        <w:t xml:space="preserve">Takový intelekt reálně neexistuje, protože nemůže být zakoušen v těle. </w:t>
      </w:r>
      <w:r>
        <w:rPr>
          <w:lang w:eastAsia="en-US"/>
        </w:rPr>
        <w:t>Proto je i</w:t>
      </w:r>
      <w:r w:rsidRPr="00273106">
        <w:rPr>
          <w:lang w:eastAsia="en-US"/>
        </w:rPr>
        <w:t xml:space="preserve">ntelekt jako nemateriální potence duše daná zvnějšku zakoušen </w:t>
      </w:r>
      <w:r>
        <w:rPr>
          <w:lang w:eastAsia="en-US"/>
        </w:rPr>
        <w:t xml:space="preserve">jedině a pouze v tělesně daných aktech osoby. Tuto tezi zásadně popřela moderna a zavedla přímý náhled na hypostázovaný intelekt substančně oddělený od těla. Opět platí základní fenomenologický princip QIIIDA o poznání reálné kauzality a následné definici univerzální esence </w:t>
      </w:r>
      <w:r w:rsidRPr="00273106">
        <w:rPr>
          <w:lang w:eastAsia="en-US"/>
        </w:rPr>
        <w:t>(</w:t>
      </w:r>
      <w:r w:rsidRPr="00273106">
        <w:rPr>
          <w:i/>
          <w:lang w:eastAsia="en-US"/>
        </w:rPr>
        <w:t>scire enim actiones animae prius est apud nos quam scire eius substantiam</w:t>
      </w:r>
      <w:r w:rsidR="088810D2">
        <w:rPr>
          <w:lang w:eastAsia="en-US"/>
        </w:rPr>
        <w:t>, kap. 4</w:t>
      </w:r>
      <w:r w:rsidRPr="00925086">
        <w:rPr>
          <w:lang w:eastAsia="en-US"/>
        </w:rPr>
        <w:t>.4.2</w:t>
      </w:r>
      <w:r w:rsidRPr="00273106">
        <w:rPr>
          <w:lang w:eastAsia="en-US"/>
        </w:rPr>
        <w:t>).</w:t>
      </w:r>
      <w:r>
        <w:rPr>
          <w:lang w:eastAsia="en-US"/>
        </w:rPr>
        <w:t xml:space="preserve"> </w:t>
      </w:r>
      <w:r w:rsidRPr="00273106">
        <w:rPr>
          <w:lang w:eastAsia="en-US"/>
        </w:rPr>
        <w:t xml:space="preserve">Albert a Akvinský </w:t>
      </w:r>
      <w:r>
        <w:rPr>
          <w:lang w:eastAsia="en-US"/>
        </w:rPr>
        <w:t xml:space="preserve">jako noví expozitoři Aristotela </w:t>
      </w:r>
      <w:r w:rsidRPr="00273106">
        <w:rPr>
          <w:lang w:eastAsia="en-US"/>
        </w:rPr>
        <w:t xml:space="preserve">nechali </w:t>
      </w:r>
      <w:r w:rsidRPr="00273106">
        <w:rPr>
          <w:i/>
          <w:lang w:eastAsia="en-US"/>
        </w:rPr>
        <w:t>anima intellectiva</w:t>
      </w:r>
      <w:r w:rsidRPr="00273106">
        <w:rPr>
          <w:lang w:eastAsia="en-US"/>
        </w:rPr>
        <w:t xml:space="preserve"> subsistovat v rámci intelektu jako </w:t>
      </w:r>
      <w:r>
        <w:rPr>
          <w:lang w:eastAsia="en-US"/>
        </w:rPr>
        <w:t xml:space="preserve">hypostázované </w:t>
      </w:r>
      <w:r w:rsidRPr="00273106">
        <w:rPr>
          <w:lang w:eastAsia="en-US"/>
        </w:rPr>
        <w:t>potence</w:t>
      </w:r>
      <w:r>
        <w:rPr>
          <w:lang w:eastAsia="en-US"/>
        </w:rPr>
        <w:t xml:space="preserve"> (Akvinský) nebo hypostázované duše (Albert)</w:t>
      </w:r>
      <w:r w:rsidRPr="00273106">
        <w:rPr>
          <w:lang w:eastAsia="en-US"/>
        </w:rPr>
        <w:t xml:space="preserve">. </w:t>
      </w:r>
      <w:r>
        <w:rPr>
          <w:lang w:eastAsia="en-US"/>
        </w:rPr>
        <w:t>Jejich důvody byly hlavně teologické, což dobře viděl také Bacon</w:t>
      </w:r>
      <w:r w:rsidR="007F54F3">
        <w:rPr>
          <w:lang w:eastAsia="en-US"/>
        </w:rPr>
        <w:t>,</w:t>
      </w:r>
      <w:r>
        <w:rPr>
          <w:lang w:eastAsia="en-US"/>
        </w:rPr>
        <w:t xml:space="preserve"> proto oba teology kritizuje za chybný přístup k výkladu Korpusu. Siger provádí kritiku těchto teologů z podobné pozice jako Bacon, ale nechává bokem tehdejší krizi vzdělání na mendikantských fakultách ovlivněných dogmatickým modernismem a naukou akademických iluminátů. To bylo hlavní téma Baconovy kritiky, protože papež Clemens IV. si osobně vyžádal Baconův názor na reformu univerzitního vzdělání a systému vědeckého studia. Albert a Akvinský nemají zajištěnu kauzalitu ve středním členu vědeckého soudu (</w:t>
      </w:r>
      <w:r w:rsidRPr="00454F35">
        <w:rPr>
          <w:i/>
          <w:lang w:eastAsia="en-US"/>
        </w:rPr>
        <w:t>medium</w:t>
      </w:r>
      <w:r>
        <w:rPr>
          <w:i/>
          <w:lang w:eastAsia="en-US"/>
        </w:rPr>
        <w:fldChar w:fldCharType="begin"/>
      </w:r>
      <w:r>
        <w:instrText xml:space="preserve"> XE "</w:instrText>
      </w:r>
      <w:r w:rsidRPr="001618A5">
        <w:rPr>
          <w:i/>
        </w:rPr>
        <w:instrText>medium:</w:instrText>
      </w:r>
      <w:r>
        <w:instrText xml:space="preserve">Akvinský" </w:instrText>
      </w:r>
      <w:r>
        <w:rPr>
          <w:i/>
          <w:lang w:eastAsia="en-US"/>
        </w:rPr>
        <w:fldChar w:fldCharType="end"/>
      </w:r>
      <w:r>
        <w:rPr>
          <w:lang w:eastAsia="en-US"/>
        </w:rPr>
        <w:t>), protože opominuli fenomenologické zkoumání osoby jako hyparchické první substance. Albert a Akvinský jako moderní expozitoři Aristotela začali poznání osoby nasvícením zezadu</w:t>
      </w:r>
      <w:r>
        <w:rPr>
          <w:lang w:eastAsia="en-US"/>
        </w:rPr>
        <w:fldChar w:fldCharType="begin"/>
      </w:r>
      <w:r>
        <w:instrText xml:space="preserve"> XE "</w:instrText>
      </w:r>
      <w:r w:rsidRPr="0014749B">
        <w:rPr>
          <w:lang w:eastAsia="en-US"/>
        </w:rPr>
        <w:instrText>zjevování:nasvícení zezadu</w:instrText>
      </w:r>
      <w:r>
        <w:instrText xml:space="preserve">" </w:instrText>
      </w:r>
      <w:r>
        <w:rPr>
          <w:lang w:eastAsia="en-US"/>
        </w:rPr>
        <w:fldChar w:fldCharType="end"/>
      </w:r>
      <w:r>
        <w:rPr>
          <w:lang w:eastAsia="en-US"/>
        </w:rPr>
        <w:t xml:space="preserve">, od teologicky určené esence, a nikoliv od zakoušené první substance v modu </w:t>
      </w:r>
      <w:r w:rsidRPr="00595045">
        <w:rPr>
          <w:i/>
          <w:lang w:eastAsia="en-US"/>
        </w:rPr>
        <w:t>conscientia</w:t>
      </w:r>
      <w:r w:rsidR="00F46389">
        <w:rPr>
          <w:lang w:eastAsia="en-US"/>
        </w:rPr>
        <w:t>. Tím propadli podle Sigera a</w:t>
      </w:r>
      <w:r>
        <w:rPr>
          <w:lang w:eastAsia="en-US"/>
        </w:rPr>
        <w:t>vicennis</w:t>
      </w:r>
      <w:r w:rsidR="00F46389">
        <w:rPr>
          <w:lang w:eastAsia="en-US"/>
        </w:rPr>
        <w:t xml:space="preserve">mu </w:t>
      </w:r>
      <w:r>
        <w:rPr>
          <w:lang w:eastAsia="en-US"/>
        </w:rPr>
        <w:t>Toledské školy</w:t>
      </w:r>
      <w:r>
        <w:rPr>
          <w:lang w:eastAsia="en-US"/>
        </w:rPr>
        <w:fldChar w:fldCharType="begin"/>
      </w:r>
      <w:r>
        <w:instrText xml:space="preserve"> XE "</w:instrText>
      </w:r>
      <w:r w:rsidRPr="08521723">
        <w:rPr>
          <w:lang w:eastAsia="en-US"/>
        </w:rPr>
        <w:instrText>Toledská škola</w:instrText>
      </w:r>
      <w:r>
        <w:instrText xml:space="preserve">" </w:instrText>
      </w:r>
      <w:r>
        <w:rPr>
          <w:lang w:eastAsia="en-US"/>
        </w:rPr>
        <w:fldChar w:fldCharType="end"/>
      </w:r>
      <w:r>
        <w:rPr>
          <w:lang w:eastAsia="en-US"/>
        </w:rPr>
        <w:t>. Tento výklad Filosofa považoval za principiálně špatný</w:t>
      </w:r>
      <w:r w:rsidRPr="08C430D2">
        <w:rPr>
          <w:lang w:eastAsia="en-US"/>
        </w:rPr>
        <w:t xml:space="preserve"> </w:t>
      </w:r>
      <w:r>
        <w:rPr>
          <w:lang w:eastAsia="en-US"/>
        </w:rPr>
        <w:t xml:space="preserve">také výše citovaný Bacon. Ve výše citované pasáži </w:t>
      </w:r>
      <w:r w:rsidRPr="08385EA5">
        <w:rPr>
          <w:i/>
        </w:rPr>
        <w:t xml:space="preserve">Compendium </w:t>
      </w:r>
      <w:r>
        <w:rPr>
          <w:i/>
        </w:rPr>
        <w:t xml:space="preserve">studii </w:t>
      </w:r>
      <w:r w:rsidRPr="08385EA5">
        <w:rPr>
          <w:i/>
        </w:rPr>
        <w:t>philosophiae</w:t>
      </w:r>
      <w:r>
        <w:rPr>
          <w:lang w:eastAsia="en-US"/>
        </w:rPr>
        <w:t xml:space="preserve"> prohlásil, že kdyby mohl, tak by tyto moderní překlady </w:t>
      </w:r>
      <w:r>
        <w:rPr>
          <w:lang w:eastAsia="en-US"/>
        </w:rPr>
        <w:lastRenderedPageBreak/>
        <w:t>Aristotela (tj. podle Toledské školy</w:t>
      </w:r>
      <w:r>
        <w:rPr>
          <w:lang w:eastAsia="en-US"/>
        </w:rPr>
        <w:fldChar w:fldCharType="begin"/>
      </w:r>
      <w:r>
        <w:instrText xml:space="preserve"> XE "</w:instrText>
      </w:r>
      <w:r w:rsidRPr="08976161">
        <w:rPr>
          <w:lang w:eastAsia="en-US"/>
        </w:rPr>
        <w:instrText>Toledská škola</w:instrText>
      </w:r>
      <w:r>
        <w:instrText xml:space="preserve">" </w:instrText>
      </w:r>
      <w:r>
        <w:rPr>
          <w:lang w:eastAsia="en-US"/>
        </w:rPr>
        <w:fldChar w:fldCharType="end"/>
      </w:r>
      <w:r>
        <w:rPr>
          <w:lang w:eastAsia="en-US"/>
        </w:rPr>
        <w:t xml:space="preserve">) spálil do poslední kopie. Teologové Akvinský a Albert zrušili základní předpoklad vědeckého poznání intelektu tím, že jednostranně zdůraznili pojetí intelektu jako </w:t>
      </w:r>
      <w:r w:rsidRPr="005E345A">
        <w:rPr>
          <w:i/>
          <w:lang w:eastAsia="en-US"/>
        </w:rPr>
        <w:t>inmixtus</w:t>
      </w:r>
      <w:r>
        <w:rPr>
          <w:lang w:eastAsia="en-US"/>
        </w:rPr>
        <w:t xml:space="preserve">, což bylo dogmaticky </w:t>
      </w:r>
      <w:r>
        <w:rPr>
          <w:lang w:eastAsia="en-US"/>
        </w:rPr>
        <w:fldChar w:fldCharType="begin"/>
      </w:r>
      <w:r>
        <w:instrText xml:space="preserve"> XE "</w:instrText>
      </w:r>
      <w:r w:rsidRPr="00330ED1">
        <w:instrText>intelekt:</w:instrText>
      </w:r>
      <w:r w:rsidRPr="00A933D5">
        <w:rPr>
          <w:i/>
        </w:rPr>
        <w:instrText>inmixtus</w:instrText>
      </w:r>
      <w:r>
        <w:instrText xml:space="preserve">" </w:instrText>
      </w:r>
      <w:r>
        <w:rPr>
          <w:lang w:eastAsia="en-US"/>
        </w:rPr>
        <w:fldChar w:fldCharType="end"/>
      </w:r>
      <w:r>
        <w:rPr>
          <w:lang w:eastAsia="en-US"/>
        </w:rPr>
        <w:t>nutné pro zajištění nesmrtelnosti duše. Výklad poznání začali definicí intelektu danou přímým intelektuálním náhledem do podstaty lidské intelektuální duše podle Avicenny (</w:t>
      </w:r>
      <w:r w:rsidRPr="00273106">
        <w:rPr>
          <w:i/>
          <w:lang w:eastAsia="en-US"/>
        </w:rPr>
        <w:t>scire eius substantiam</w:t>
      </w:r>
      <w:r>
        <w:rPr>
          <w:lang w:eastAsia="en-US"/>
        </w:rPr>
        <w:t xml:space="preserve">). Tím ovšem spadli do kategorie neoplatonských </w:t>
      </w:r>
      <w:r w:rsidRPr="082C6750">
        <w:rPr>
          <w:i/>
          <w:lang w:eastAsia="en-US"/>
        </w:rPr>
        <w:t>sequaces Aristotelis</w:t>
      </w:r>
      <w:r>
        <w:rPr>
          <w:i/>
          <w:lang w:eastAsia="en-US"/>
        </w:rPr>
        <w:fldChar w:fldCharType="begin"/>
      </w:r>
      <w:r>
        <w:instrText xml:space="preserve"> XE "první averroismus:</w:instrText>
      </w:r>
      <w:r w:rsidRPr="0896089E">
        <w:rPr>
          <w:i/>
          <w:lang w:eastAsia="en-US"/>
        </w:rPr>
        <w:instrText>sequaces Aristotelis</w:instrText>
      </w:r>
      <w:r>
        <w:instrText xml:space="preserve">" </w:instrText>
      </w:r>
      <w:r>
        <w:rPr>
          <w:i/>
          <w:lang w:eastAsia="en-US"/>
        </w:rPr>
        <w:fldChar w:fldCharType="end"/>
      </w:r>
      <w:r>
        <w:rPr>
          <w:lang w:eastAsia="en-US"/>
        </w:rPr>
        <w:t xml:space="preserve">, které kritizoval už biskup Alvernus a po něm pochopitelně všichni aristotelští magistři na Rue du Fouarre. Oběma </w:t>
      </w:r>
      <w:r w:rsidRPr="00273106">
        <w:rPr>
          <w:lang w:eastAsia="en-US"/>
        </w:rPr>
        <w:t xml:space="preserve">filosofům zbylo pouze dogmaticky dané tvrzení o duši jako formě dané v těle a také od něj </w:t>
      </w:r>
      <w:r>
        <w:rPr>
          <w:lang w:eastAsia="en-US"/>
        </w:rPr>
        <w:t xml:space="preserve">po smrti </w:t>
      </w:r>
      <w:r w:rsidRPr="00273106">
        <w:rPr>
          <w:lang w:eastAsia="en-US"/>
        </w:rPr>
        <w:t>oddělené</w:t>
      </w:r>
      <w:r>
        <w:rPr>
          <w:lang w:eastAsia="en-US"/>
        </w:rPr>
        <w:t xml:space="preserve"> (</w:t>
      </w:r>
      <w:r w:rsidRPr="00683E66">
        <w:rPr>
          <w:i/>
          <w:lang w:eastAsia="en-US"/>
        </w:rPr>
        <w:t>separatus</w:t>
      </w:r>
      <w:r>
        <w:rPr>
          <w:lang w:eastAsia="en-US"/>
        </w:rPr>
        <w:t xml:space="preserve">). Separaci nesmrtelné duše zajistili </w:t>
      </w:r>
      <w:r w:rsidRPr="00273106">
        <w:rPr>
          <w:lang w:eastAsia="en-US"/>
        </w:rPr>
        <w:t xml:space="preserve">díky schopnosti intelektu daného </w:t>
      </w:r>
      <w:r w:rsidR="00AD2249">
        <w:rPr>
          <w:lang w:eastAsia="en-US"/>
        </w:rPr>
        <w:t>„</w:t>
      </w:r>
      <w:r w:rsidR="00AD2249" w:rsidRPr="00AD2249">
        <w:rPr>
          <w:i/>
          <w:lang w:eastAsia="en-US"/>
        </w:rPr>
        <w:t>ab</w:t>
      </w:r>
      <w:r w:rsidR="00AD2249">
        <w:rPr>
          <w:lang w:eastAsia="en-US"/>
        </w:rPr>
        <w:t xml:space="preserve"> </w:t>
      </w:r>
      <w:r w:rsidRPr="00FD509C">
        <w:rPr>
          <w:i/>
          <w:lang w:eastAsia="en-US"/>
        </w:rPr>
        <w:t>extrinsece</w:t>
      </w:r>
      <w:r w:rsidR="00AD2249">
        <w:rPr>
          <w:lang w:eastAsia="en-US"/>
        </w:rPr>
        <w:t>“</w:t>
      </w:r>
      <w:r w:rsidRPr="00273106">
        <w:rPr>
          <w:lang w:eastAsia="en-US"/>
        </w:rPr>
        <w:t xml:space="preserve"> jako nemateriální potence duše</w:t>
      </w:r>
      <w:r w:rsidRPr="006C7A0F">
        <w:rPr>
          <w:i/>
        </w:rPr>
        <w:fldChar w:fldCharType="begin"/>
      </w:r>
      <w:r w:rsidRPr="006C7A0F">
        <w:instrText xml:space="preserve"> XE "intelekt:modus </w:instrText>
      </w:r>
      <w:r w:rsidRPr="006C7A0F">
        <w:rPr>
          <w:i/>
        </w:rPr>
        <w:instrText>qua</w:instrText>
      </w:r>
      <w:r w:rsidRPr="006C7A0F">
        <w:rPr>
          <w:i/>
          <w:vertAlign w:val="superscript"/>
        </w:rPr>
        <w:instrText>2</w:instrText>
      </w:r>
      <w:r w:rsidRPr="006C7A0F">
        <w:instrText xml:space="preserve">" </w:instrText>
      </w:r>
      <w:r w:rsidRPr="006C7A0F">
        <w:rPr>
          <w:i/>
        </w:rPr>
        <w:fldChar w:fldCharType="end"/>
      </w:r>
      <w:r w:rsidR="00AD2249">
        <w:t xml:space="preserve">. </w:t>
      </w:r>
    </w:p>
    <w:p w:rsidR="08163013" w:rsidRPr="00273106" w:rsidRDefault="00AD2249" w:rsidP="00925D48">
      <w:pPr>
        <w:ind w:firstLine="397"/>
        <w:rPr>
          <w:lang w:eastAsia="en-US"/>
        </w:rPr>
      </w:pPr>
      <w:r>
        <w:t xml:space="preserve">Esenciální definice </w:t>
      </w:r>
      <w:r>
        <w:rPr>
          <w:lang w:eastAsia="en-US"/>
        </w:rPr>
        <w:t>zrušila</w:t>
      </w:r>
      <w:r w:rsidR="08163013">
        <w:rPr>
          <w:lang w:eastAsia="en-US"/>
        </w:rPr>
        <w:t xml:space="preserve"> </w:t>
      </w:r>
      <w:r>
        <w:rPr>
          <w:lang w:eastAsia="en-US"/>
        </w:rPr>
        <w:t xml:space="preserve">postup </w:t>
      </w:r>
      <w:r w:rsidR="08163013">
        <w:rPr>
          <w:lang w:eastAsia="en-US"/>
        </w:rPr>
        <w:t>vědeckého důkazu p</w:t>
      </w:r>
      <w:r>
        <w:rPr>
          <w:lang w:eastAsia="en-US"/>
        </w:rPr>
        <w:t xml:space="preserve">odle reálné kauzality </w:t>
      </w:r>
      <w:r w:rsidR="08163013">
        <w:t xml:space="preserve">v modu </w:t>
      </w:r>
      <w:r>
        <w:t>„</w:t>
      </w:r>
      <w:r w:rsidR="08163013" w:rsidRPr="082031CB">
        <w:rPr>
          <w:i/>
        </w:rPr>
        <w:t>ex immeditatis</w:t>
      </w:r>
      <w:r>
        <w:t>“</w:t>
      </w:r>
      <w:r w:rsidR="00925D48">
        <w:t xml:space="preserve">, která se tím dostala až na druhé místo. </w:t>
      </w:r>
      <w:r w:rsidR="08163013">
        <w:t>Oba modernisté ze školy prvního averroismu zrušili Si</w:t>
      </w:r>
      <w:r w:rsidR="08163013">
        <w:rPr>
          <w:lang w:eastAsia="en-US"/>
        </w:rPr>
        <w:t xml:space="preserve">gerovu ipseitu osoby založenou na pojetí intelektu jako </w:t>
      </w:r>
      <w:r w:rsidR="08163013" w:rsidRPr="00CE18C2">
        <w:rPr>
          <w:i/>
          <w:lang w:eastAsia="en-US"/>
        </w:rPr>
        <w:t>separabilis</w:t>
      </w:r>
      <w:r w:rsidR="08163013">
        <w:rPr>
          <w:lang w:eastAsia="en-US"/>
        </w:rPr>
        <w:t xml:space="preserve"> podle CMDA. </w:t>
      </w:r>
      <w:r w:rsidR="08163013" w:rsidRPr="00273106">
        <w:rPr>
          <w:lang w:eastAsia="en-US"/>
        </w:rPr>
        <w:t xml:space="preserve">Bez zakoušené intelektuální potence duše nemají </w:t>
      </w:r>
      <w:r w:rsidR="08163013">
        <w:rPr>
          <w:lang w:eastAsia="en-US"/>
        </w:rPr>
        <w:t xml:space="preserve">vědecký </w:t>
      </w:r>
      <w:r w:rsidR="08163013" w:rsidRPr="00273106">
        <w:rPr>
          <w:lang w:eastAsia="en-US"/>
        </w:rPr>
        <w:t xml:space="preserve">důkaz o nematerialitě </w:t>
      </w:r>
      <w:r w:rsidR="08A642A1">
        <w:rPr>
          <w:lang w:eastAsia="en-US"/>
        </w:rPr>
        <w:t>duše</w:t>
      </w:r>
      <w:r w:rsidR="08057092">
        <w:rPr>
          <w:lang w:eastAsia="en-US"/>
        </w:rPr>
        <w:t xml:space="preserve">. Nesmrtelnost duše podle CMDA vědecky dokázat nejde, pouze jedinečný výkon </w:t>
      </w:r>
      <w:r w:rsidR="08057092" w:rsidRPr="08057092">
        <w:rPr>
          <w:i/>
          <w:lang w:eastAsia="en-US"/>
        </w:rPr>
        <w:t>anima intellectiva</w:t>
      </w:r>
      <w:r w:rsidR="08057092">
        <w:rPr>
          <w:lang w:eastAsia="en-US"/>
        </w:rPr>
        <w:t xml:space="preserve"> v modu </w:t>
      </w:r>
      <w:r w:rsidR="08057092" w:rsidRPr="08057092">
        <w:rPr>
          <w:i/>
          <w:lang w:eastAsia="en-US"/>
        </w:rPr>
        <w:t>inmixtus</w:t>
      </w:r>
      <w:r w:rsidR="08057092">
        <w:rPr>
          <w:lang w:eastAsia="en-US"/>
        </w:rPr>
        <w:t xml:space="preserve"> a </w:t>
      </w:r>
      <w:r w:rsidR="08057092" w:rsidRPr="08057092">
        <w:rPr>
          <w:i/>
          <w:lang w:eastAsia="en-US"/>
        </w:rPr>
        <w:t>obiective</w:t>
      </w:r>
      <w:r w:rsidR="08057092">
        <w:rPr>
          <w:lang w:eastAsia="en-US"/>
        </w:rPr>
        <w:t xml:space="preserve">. </w:t>
      </w:r>
      <w:r w:rsidR="08163013">
        <w:rPr>
          <w:lang w:eastAsia="en-US"/>
        </w:rPr>
        <w:t xml:space="preserve">Ale oba tito zastánci prvního averroismu </w:t>
      </w:r>
      <w:r w:rsidR="08163013" w:rsidRPr="00273106">
        <w:rPr>
          <w:lang w:eastAsia="en-US"/>
        </w:rPr>
        <w:t>zachovali substanční jednotu osoby</w:t>
      </w:r>
      <w:r w:rsidR="08163013">
        <w:rPr>
          <w:lang w:eastAsia="en-US"/>
        </w:rPr>
        <w:t>, což Siger velmi oceňuje v epoše modernistického zatmění rozumu</w:t>
      </w:r>
      <w:r w:rsidR="08163013" w:rsidRPr="00273106">
        <w:rPr>
          <w:lang w:eastAsia="en-US"/>
        </w:rPr>
        <w:t>.</w:t>
      </w:r>
      <w:r w:rsidR="08163013">
        <w:rPr>
          <w:lang w:eastAsia="en-US"/>
        </w:rPr>
        <w:t xml:space="preserve"> </w:t>
      </w:r>
      <w:r w:rsidR="08163013">
        <w:t xml:space="preserve">Akvinský a Albert </w:t>
      </w:r>
      <w:r w:rsidR="08163013" w:rsidRPr="00273106">
        <w:rPr>
          <w:lang w:eastAsia="en-US"/>
        </w:rPr>
        <w:t>ne</w:t>
      </w:r>
      <w:r w:rsidR="005D7D76">
        <w:rPr>
          <w:lang w:eastAsia="en-US"/>
        </w:rPr>
        <w:t xml:space="preserve">měli fenomenologickou </w:t>
      </w:r>
      <w:r w:rsidR="08163013" w:rsidRPr="00273106">
        <w:rPr>
          <w:lang w:eastAsia="en-US"/>
        </w:rPr>
        <w:t>jednot</w:t>
      </w:r>
      <w:r w:rsidR="005D7D76">
        <w:rPr>
          <w:lang w:eastAsia="en-US"/>
        </w:rPr>
        <w:t>u</w:t>
      </w:r>
      <w:r w:rsidR="08163013" w:rsidRPr="00273106">
        <w:rPr>
          <w:lang w:eastAsia="en-US"/>
        </w:rPr>
        <w:t xml:space="preserve"> osoby </w:t>
      </w:r>
      <w:r w:rsidR="005D7D76">
        <w:rPr>
          <w:lang w:eastAsia="en-US"/>
        </w:rPr>
        <w:t xml:space="preserve">podle </w:t>
      </w:r>
      <w:r w:rsidR="08163013" w:rsidRPr="00273106">
        <w:rPr>
          <w:lang w:eastAsia="en-US"/>
        </w:rPr>
        <w:t xml:space="preserve">CMDA, proto je </w:t>
      </w:r>
      <w:r w:rsidR="08163013">
        <w:rPr>
          <w:lang w:eastAsia="en-US"/>
        </w:rPr>
        <w:t>Siger</w:t>
      </w:r>
      <w:r w:rsidR="08163013" w:rsidRPr="00273106">
        <w:rPr>
          <w:lang w:eastAsia="en-US"/>
        </w:rPr>
        <w:t xml:space="preserve"> kritizuje v tomto zásadním bodě. Oba dominikáni otočili perspektivu CMDA a staví vůz před koně</w:t>
      </w:r>
      <w:r w:rsidR="08163013">
        <w:rPr>
          <w:lang w:eastAsia="en-US"/>
        </w:rPr>
        <w:t xml:space="preserve">. V kategoriální predikaci </w:t>
      </w:r>
      <w:r w:rsidR="08163013" w:rsidRPr="081F123D">
        <w:rPr>
          <w:i/>
          <w:lang w:eastAsia="en-US"/>
        </w:rPr>
        <w:t>per prius</w:t>
      </w:r>
      <w:r w:rsidR="08163013">
        <w:rPr>
          <w:lang w:eastAsia="en-US"/>
        </w:rPr>
        <w:t xml:space="preserve"> mají formálně definovanou esenci duše, a ne existenciálně zakoušenou potenci duše. Siger nejprve analyzuje Albertovu pozici. </w:t>
      </w:r>
      <w:r w:rsidR="00A91C08">
        <w:rPr>
          <w:lang w:eastAsia="en-US"/>
        </w:rPr>
        <w:t xml:space="preserve">Ten </w:t>
      </w:r>
      <w:r w:rsidR="08163013" w:rsidRPr="00273106">
        <w:rPr>
          <w:lang w:eastAsia="en-US"/>
        </w:rPr>
        <w:t xml:space="preserve">provádí </w:t>
      </w:r>
      <w:r w:rsidR="08163013">
        <w:rPr>
          <w:lang w:eastAsia="en-US"/>
        </w:rPr>
        <w:t xml:space="preserve">chybnou substancializaci duše v modu </w:t>
      </w:r>
      <w:r w:rsidR="00406104">
        <w:rPr>
          <w:lang w:eastAsia="en-US"/>
        </w:rPr>
        <w:t>„</w:t>
      </w:r>
      <w:r w:rsidR="08163013" w:rsidRPr="00407EBE">
        <w:rPr>
          <w:i/>
          <w:lang w:eastAsia="en-US"/>
        </w:rPr>
        <w:t>debet</w:t>
      </w:r>
      <w:r w:rsidR="00406104">
        <w:rPr>
          <w:i/>
          <w:lang w:eastAsia="en-US"/>
        </w:rPr>
        <w:t xml:space="preserve"> esse</w:t>
      </w:r>
      <w:r w:rsidR="00406104" w:rsidRPr="00406104">
        <w:rPr>
          <w:lang w:eastAsia="en-US"/>
        </w:rPr>
        <w:t>“</w:t>
      </w:r>
      <w:r w:rsidR="08163013">
        <w:rPr>
          <w:lang w:eastAsia="en-US"/>
        </w:rPr>
        <w:t>, který nutnost chápe pomocí esenciální definice, nikoliv kauzální.</w:t>
      </w:r>
    </w:p>
    <w:p w:rsidR="08163013" w:rsidRPr="0064428D" w:rsidRDefault="08163013" w:rsidP="08163013">
      <w:pPr>
        <w:pStyle w:val="Citace"/>
        <w:rPr>
          <w:lang w:val="cs-CZ"/>
        </w:rPr>
      </w:pPr>
      <w:r>
        <w:rPr>
          <w:noProof/>
          <w:lang w:val="cs-CZ"/>
        </w:rPr>
        <w:t>„Albertův argument, proč by měla (</w:t>
      </w:r>
      <w:r w:rsidRPr="00407EBE">
        <w:rPr>
          <w:i/>
          <w:noProof/>
          <w:lang w:val="cs-CZ"/>
        </w:rPr>
        <w:t>debet esse</w:t>
      </w:r>
      <w:r>
        <w:rPr>
          <w:noProof/>
          <w:lang w:val="cs-CZ"/>
        </w:rPr>
        <w:t>) substance intelektuální duše být spojena s tělem v jednom bytí, je následující. V člověku patří vegetativní a smyslová schopnost do stejného bytí formy a substance jako intelektuální potence. Je zřejmé, že substance, k níž patří vegetativní a smyslová schopnost, je dána materiálně a tělesně; proto i substance, k níž patří inteligibilní potence, bude dána (</w:t>
      </w:r>
      <w:r w:rsidRPr="009F14AE">
        <w:rPr>
          <w:i/>
          <w:noProof/>
          <w:lang w:val="cs-CZ"/>
        </w:rPr>
        <w:t>dabit</w:t>
      </w:r>
      <w:r>
        <w:rPr>
          <w:noProof/>
          <w:lang w:val="cs-CZ"/>
        </w:rPr>
        <w:t>) v materiálním a tělesném bytí. Ale my označujeme termínem 'intelektuální duše' (</w:t>
      </w:r>
      <w:r w:rsidRPr="009F14AE">
        <w:rPr>
          <w:i/>
          <w:noProof/>
        </w:rPr>
        <w:t>dicimus animam intellectivam</w:t>
      </w:r>
      <w:r>
        <w:rPr>
          <w:noProof/>
          <w:lang w:val="cs-CZ"/>
        </w:rPr>
        <w:t xml:space="preserve">) tu substanci, k níž patří schopnost intelektu </w:t>
      </w:r>
      <w:r>
        <w:t>(</w:t>
      </w:r>
      <w:r w:rsidRPr="009F14AE">
        <w:rPr>
          <w:i/>
          <w:noProof/>
        </w:rPr>
        <w:t xml:space="preserve">substantiam ad quam pertinet </w:t>
      </w:r>
      <w:r w:rsidRPr="009F14AE">
        <w:rPr>
          <w:i/>
          <w:noProof/>
        </w:rPr>
        <w:lastRenderedPageBreak/>
        <w:t>potentia intelligendi</w:t>
      </w:r>
      <w:r>
        <w:t>)</w:t>
      </w:r>
      <w:r>
        <w:rPr>
          <w:lang w:val="cs-CZ"/>
        </w:rPr>
        <w:t>. Pak platí, že tato duše jako celek aktuálně dává (</w:t>
      </w:r>
      <w:r w:rsidRPr="009F14AE">
        <w:rPr>
          <w:i/>
          <w:lang w:val="cs-CZ"/>
        </w:rPr>
        <w:t>dat</w:t>
      </w:r>
      <w:r>
        <w:rPr>
          <w:lang w:val="cs-CZ"/>
        </w:rPr>
        <w:t>) bytí jak materii, tak tělu.“ </w:t>
      </w:r>
      <w:r>
        <w:rPr>
          <w:rStyle w:val="Znakapoznpodarou"/>
          <w:lang w:eastAsia="en-US"/>
        </w:rPr>
        <w:footnoteReference w:id="255"/>
      </w:r>
    </w:p>
    <w:p w:rsidR="008A0A66" w:rsidRDefault="08163013" w:rsidP="08163013">
      <w:pPr>
        <w:rPr>
          <w:lang w:eastAsia="en-US"/>
        </w:rPr>
      </w:pPr>
      <w:r>
        <w:rPr>
          <w:i/>
        </w:rPr>
        <w:t>Doctor Invidiosus</w:t>
      </w:r>
      <w:r>
        <w:rPr>
          <w:lang w:eastAsia="en-US"/>
        </w:rPr>
        <w:t xml:space="preserve"> umí fenomenologicky vidět reálné jevy a pak viděné precizně predikovat. Základní rozdíl je dán v rozdílu mezi Albertovým </w:t>
      </w:r>
      <w:r w:rsidR="00EF79AC">
        <w:rPr>
          <w:lang w:eastAsia="en-US"/>
        </w:rPr>
        <w:t>„</w:t>
      </w:r>
      <w:r w:rsidRPr="009F14AE">
        <w:rPr>
          <w:i/>
          <w:lang w:eastAsia="en-US"/>
        </w:rPr>
        <w:t>dabit</w:t>
      </w:r>
      <w:r w:rsidR="00EF79AC">
        <w:rPr>
          <w:lang w:eastAsia="en-US"/>
        </w:rPr>
        <w:t>“</w:t>
      </w:r>
      <w:r>
        <w:rPr>
          <w:lang w:eastAsia="en-US"/>
        </w:rPr>
        <w:t xml:space="preserve"> ve futuru a Sigerovým </w:t>
      </w:r>
      <w:r w:rsidR="00EF79AC">
        <w:rPr>
          <w:lang w:eastAsia="en-US"/>
        </w:rPr>
        <w:t>„</w:t>
      </w:r>
      <w:r w:rsidRPr="009F14AE">
        <w:rPr>
          <w:i/>
          <w:lang w:eastAsia="en-US"/>
        </w:rPr>
        <w:t>dat</w:t>
      </w:r>
      <w:r w:rsidR="00D105C8">
        <w:rPr>
          <w:lang w:eastAsia="en-US"/>
        </w:rPr>
        <w:t>“</w:t>
      </w:r>
      <w:r>
        <w:rPr>
          <w:lang w:eastAsia="en-US"/>
        </w:rPr>
        <w:t xml:space="preserve"> v přítomnosti. Albertův p</w:t>
      </w:r>
      <w:r w:rsidRPr="00273106">
        <w:rPr>
          <w:lang w:eastAsia="en-US"/>
        </w:rPr>
        <w:t xml:space="preserve">ostup </w:t>
      </w:r>
      <w:r>
        <w:rPr>
          <w:lang w:eastAsia="en-US"/>
        </w:rPr>
        <w:t xml:space="preserve">dedukce </w:t>
      </w:r>
      <w:r w:rsidRPr="00273106">
        <w:rPr>
          <w:lang w:eastAsia="en-US"/>
        </w:rPr>
        <w:t>směřuje od substančně pojatých smyslů (</w:t>
      </w:r>
      <w:r w:rsidRPr="00273106">
        <w:rPr>
          <w:i/>
        </w:rPr>
        <w:t>substantiam ad quam pertinet potentia vegetandi et sentiendi</w:t>
      </w:r>
      <w:r w:rsidRPr="00273106">
        <w:rPr>
          <w:lang w:eastAsia="en-US"/>
        </w:rPr>
        <w:t>) k nemateriálnímu intelektu završujícímu předešlé potence subsistující na jedné hylemorfické substanci (</w:t>
      </w:r>
      <w:r w:rsidRPr="00273106">
        <w:rPr>
          <w:i/>
        </w:rPr>
        <w:t>ergo et substantia ad quam pertinet potentia intelligendi</w:t>
      </w:r>
      <w:r w:rsidRPr="00273106">
        <w:rPr>
          <w:lang w:eastAsia="en-US"/>
        </w:rPr>
        <w:t>).</w:t>
      </w:r>
      <w:r>
        <w:rPr>
          <w:lang w:eastAsia="en-US"/>
        </w:rPr>
        <w:t xml:space="preserve"> Albert má nejprve koncept hypostázované schopnosti inteligibilní duše a pak jej kompletuje s oběma nižšími částmi duše</w:t>
      </w:r>
      <w:r w:rsidRPr="006C7A0F">
        <w:rPr>
          <w:i/>
        </w:rPr>
        <w:fldChar w:fldCharType="begin"/>
      </w:r>
      <w:r w:rsidRPr="006C7A0F">
        <w:instrText xml:space="preserve"> XE "intelekt:modus </w:instrText>
      </w:r>
      <w:r w:rsidRPr="006C7A0F">
        <w:rPr>
          <w:i/>
        </w:rPr>
        <w:instrText>qua</w:instrText>
      </w:r>
      <w:r w:rsidRPr="006C7A0F">
        <w:rPr>
          <w:i/>
          <w:vertAlign w:val="superscript"/>
        </w:rPr>
        <w:instrText>2</w:instrText>
      </w:r>
      <w:r w:rsidRPr="006C7A0F">
        <w:instrText xml:space="preserve">" </w:instrText>
      </w:r>
      <w:r w:rsidRPr="006C7A0F">
        <w:rPr>
          <w:i/>
        </w:rPr>
        <w:fldChar w:fldCharType="end"/>
      </w:r>
      <w:r>
        <w:rPr>
          <w:lang w:eastAsia="en-US"/>
        </w:rPr>
        <w:t xml:space="preserve">. </w:t>
      </w:r>
      <w:r w:rsidR="08764F88">
        <w:rPr>
          <w:lang w:eastAsia="en-US"/>
        </w:rPr>
        <w:t xml:space="preserve">Úvaha je formálně správná v modu </w:t>
      </w:r>
      <w:r w:rsidR="08764F88" w:rsidRPr="00407EBE">
        <w:rPr>
          <w:i/>
          <w:lang w:eastAsia="en-US"/>
        </w:rPr>
        <w:t>debet esse</w:t>
      </w:r>
      <w:r w:rsidR="08764F88">
        <w:rPr>
          <w:lang w:eastAsia="en-US"/>
        </w:rPr>
        <w:t xml:space="preserve">, které pochopitelně platí v modu logické tj. „věčné“ správnosti. Esenciální bytí duše je dáno v modu </w:t>
      </w:r>
      <w:proofErr w:type="gramStart"/>
      <w:r w:rsidR="08764F88">
        <w:rPr>
          <w:i/>
          <w:lang w:eastAsia="en-US"/>
        </w:rPr>
        <w:t>semel</w:t>
      </w:r>
      <w:proofErr w:type="gramEnd"/>
      <w:r w:rsidR="08764F88">
        <w:rPr>
          <w:i/>
          <w:lang w:eastAsia="en-US"/>
        </w:rPr>
        <w:t>–</w:t>
      </w:r>
      <w:proofErr w:type="gramStart"/>
      <w:r w:rsidR="08764F88" w:rsidRPr="08EC0900">
        <w:rPr>
          <w:i/>
          <w:lang w:eastAsia="en-US"/>
        </w:rPr>
        <w:t>semper</w:t>
      </w:r>
      <w:proofErr w:type="gramEnd"/>
      <w:r w:rsidR="08764F88">
        <w:rPr>
          <w:lang w:eastAsia="en-US"/>
        </w:rPr>
        <w:t xml:space="preserve"> ve formě abstraktní dedukce podle výše uveden</w:t>
      </w:r>
      <w:r w:rsidR="08764F88">
        <w:t>é matematické dedukce esence trojúhelníka (</w:t>
      </w:r>
      <w:r w:rsidR="08764F88" w:rsidRPr="08D3313F">
        <w:rPr>
          <w:i/>
        </w:rPr>
        <w:t>Anal. Post.</w:t>
      </w:r>
      <w:r w:rsidR="00D105C8">
        <w:t xml:space="preserve"> 84a14</w:t>
      </w:r>
      <w:r w:rsidR="08764F88">
        <w:fldChar w:fldCharType="begin"/>
      </w:r>
      <w:r w:rsidR="08764F88">
        <w:instrText xml:space="preserve"> XE "Aristoteles:</w:instrText>
      </w:r>
      <w:r w:rsidR="08764F88" w:rsidRPr="08FB7F27">
        <w:rPr>
          <w:i/>
        </w:rPr>
        <w:instrText>Anal. Post.</w:instrText>
      </w:r>
      <w:r w:rsidR="08764F88" w:rsidRPr="08FB7F27">
        <w:instrText xml:space="preserve"> 84a1</w:instrText>
      </w:r>
      <w:r w:rsidR="00D105C8">
        <w:instrText>4</w:instrText>
      </w:r>
      <w:r w:rsidR="08764F88">
        <w:instrText xml:space="preserve">" </w:instrText>
      </w:r>
      <w:r w:rsidR="08764F88">
        <w:fldChar w:fldCharType="end"/>
      </w:r>
      <w:r w:rsidR="08764F88">
        <w:t xml:space="preserve">). Albertova definice intelektuální duše vyjadřuje pouze esenciální podstatu intelektuálních schopností. </w:t>
      </w:r>
      <w:r>
        <w:rPr>
          <w:lang w:eastAsia="en-US"/>
        </w:rPr>
        <w:t xml:space="preserve">Pak ale v důkazu chybí princip </w:t>
      </w:r>
      <w:r w:rsidR="00D105C8">
        <w:rPr>
          <w:lang w:eastAsia="en-US"/>
        </w:rPr>
        <w:t xml:space="preserve">poznání podle reálné kauzality </w:t>
      </w:r>
      <w:r w:rsidR="006D1EAD">
        <w:t>v modu „</w:t>
      </w:r>
      <w:r w:rsidR="006D1EAD">
        <w:rPr>
          <w:i/>
        </w:rPr>
        <w:t>ex in</w:t>
      </w:r>
      <w:r w:rsidR="006D1EAD" w:rsidRPr="082031CB">
        <w:rPr>
          <w:i/>
        </w:rPr>
        <w:t>meditatis</w:t>
      </w:r>
      <w:r w:rsidR="006D1EAD">
        <w:t>“ (</w:t>
      </w:r>
      <w:r w:rsidR="006D1EAD" w:rsidRPr="00273106">
        <w:rPr>
          <w:i/>
        </w:rPr>
        <w:t>Anal. Post</w:t>
      </w:r>
      <w:r w:rsidR="006D1EAD">
        <w:t>. 84a13</w:t>
      </w:r>
      <w:r w:rsidR="006D1EAD">
        <w:fldChar w:fldCharType="begin"/>
      </w:r>
      <w:r w:rsidR="006D1EAD">
        <w:instrText xml:space="preserve"> XE "Aristoteles:</w:instrText>
      </w:r>
      <w:r w:rsidR="006D1EAD" w:rsidRPr="00273106">
        <w:rPr>
          <w:i/>
        </w:rPr>
        <w:instrText>Anal. Post</w:instrText>
      </w:r>
      <w:r w:rsidR="006D1EAD">
        <w:instrText>. 84a</w:instrText>
      </w:r>
      <w:r w:rsidR="006D1EAD" w:rsidRPr="00273106">
        <w:instrText>1</w:instrText>
      </w:r>
      <w:r w:rsidR="006D1EAD">
        <w:instrText xml:space="preserve">3" </w:instrText>
      </w:r>
      <w:r w:rsidR="006D1EAD">
        <w:fldChar w:fldCharType="end"/>
      </w:r>
      <w:r w:rsidR="006D1EAD">
        <w:t xml:space="preserve">). Tato </w:t>
      </w:r>
      <w:r w:rsidR="006D1EAD">
        <w:rPr>
          <w:lang w:eastAsia="en-US"/>
        </w:rPr>
        <w:t xml:space="preserve">impozice intellektu v rámci vědecké dedukce a kategoriální predikace může být provedena jedině v modu </w:t>
      </w:r>
      <w:r w:rsidR="006D1EAD" w:rsidRPr="006D1EAD">
        <w:rPr>
          <w:i/>
          <w:lang w:eastAsia="en-US"/>
        </w:rPr>
        <w:t>subiective</w:t>
      </w:r>
      <w:r w:rsidR="006D1EAD">
        <w:rPr>
          <w:lang w:eastAsia="en-US"/>
        </w:rPr>
        <w:t xml:space="preserve">. Kauzalita intelektu je pouze v těle jako jediné reálné první substance, v níž je intelekt jako </w:t>
      </w:r>
      <w:r w:rsidR="006D1EAD" w:rsidRPr="006D1EAD">
        <w:rPr>
          <w:i/>
          <w:lang w:eastAsia="en-US"/>
        </w:rPr>
        <w:t>tertium genus</w:t>
      </w:r>
      <w:r>
        <w:t xml:space="preserve">. </w:t>
      </w:r>
      <w:r w:rsidR="00D81FEA">
        <w:rPr>
          <w:lang w:eastAsia="en-US"/>
        </w:rPr>
        <w:t xml:space="preserve">Nutnost predikace sleduje kauzální účinky intelektu nutně dané v těle a ty vzala do středního členu deduktivního syllogismu pro určení intelektu jako esence. Tím </w:t>
      </w:r>
      <w:r w:rsidR="00D81FEA">
        <w:t xml:space="preserve">má Siger správně určenou </w:t>
      </w:r>
      <w:r w:rsidR="00D81FEA">
        <w:rPr>
          <w:lang w:eastAsia="en-US"/>
        </w:rPr>
        <w:t xml:space="preserve">abstraktní definici duše jako esenci a má univočně vytvořenou formální jednotu osoby. Pak běží predikace v rámci </w:t>
      </w:r>
      <w:r w:rsidR="00D81FEA" w:rsidRPr="00D81FEA">
        <w:rPr>
          <w:i/>
          <w:lang w:eastAsia="en-US"/>
        </w:rPr>
        <w:t>Cat.</w:t>
      </w:r>
      <w:r w:rsidR="00D81FEA">
        <w:rPr>
          <w:lang w:eastAsia="en-US"/>
        </w:rPr>
        <w:t xml:space="preserve"> </w:t>
      </w:r>
      <w:proofErr w:type="gramStart"/>
      <w:r w:rsidR="00D81FEA">
        <w:rPr>
          <w:lang w:eastAsia="en-US"/>
        </w:rPr>
        <w:t>2a15</w:t>
      </w:r>
      <w:proofErr w:type="gramEnd"/>
      <w:r w:rsidR="00D81FEA">
        <w:rPr>
          <w:lang w:eastAsia="en-US"/>
        </w:rPr>
        <w:t>–</w:t>
      </w:r>
      <w:proofErr w:type="gramStart"/>
      <w:r w:rsidR="00D81FEA">
        <w:rPr>
          <w:lang w:eastAsia="en-US"/>
        </w:rPr>
        <w:t>16</w:t>
      </w:r>
      <w:proofErr w:type="gramEnd"/>
      <w:r w:rsidR="00D81FEA">
        <w:fldChar w:fldCharType="begin"/>
      </w:r>
      <w:r w:rsidR="00D81FEA">
        <w:instrText xml:space="preserve"> XE "Aristoteles:</w:instrText>
      </w:r>
      <w:r w:rsidR="00D81FEA" w:rsidRPr="00550E77">
        <w:rPr>
          <w:i/>
          <w:szCs w:val="24"/>
          <w:lang w:val="de-DE"/>
        </w:rPr>
        <w:instrText>Cat</w:instrText>
      </w:r>
      <w:r w:rsidR="00D81FEA">
        <w:rPr>
          <w:szCs w:val="24"/>
          <w:lang w:val="de-DE"/>
        </w:rPr>
        <w:instrText>. 2a15–</w:instrText>
      </w:r>
      <w:r w:rsidR="00D81FEA" w:rsidRPr="00550E77">
        <w:rPr>
          <w:szCs w:val="24"/>
          <w:lang w:val="de-DE"/>
        </w:rPr>
        <w:instrText>16</w:instrText>
      </w:r>
      <w:r w:rsidR="00D81FEA">
        <w:instrText xml:space="preserve">" </w:instrText>
      </w:r>
      <w:r w:rsidR="00D81FEA">
        <w:fldChar w:fldCharType="end"/>
      </w:r>
      <w:r w:rsidR="00D81FEA">
        <w:rPr>
          <w:lang w:eastAsia="en-US"/>
        </w:rPr>
        <w:t xml:space="preserve">, tedy od esenciálně nadřazeného </w:t>
      </w:r>
      <w:r w:rsidR="00D81FEA" w:rsidRPr="00D81FEA">
        <w:rPr>
          <w:lang w:eastAsia="en-US"/>
        </w:rPr>
        <w:t>genus</w:t>
      </w:r>
      <w:r w:rsidR="00D81FEA">
        <w:rPr>
          <w:lang w:eastAsia="en-US"/>
        </w:rPr>
        <w:t xml:space="preserve"> (</w:t>
      </w:r>
      <w:r w:rsidR="00D81FEA" w:rsidRPr="00D81FEA">
        <w:rPr>
          <w:i/>
          <w:lang w:eastAsia="en-US"/>
        </w:rPr>
        <w:t>anima intellectiva</w:t>
      </w:r>
      <w:r w:rsidR="00D81FEA">
        <w:rPr>
          <w:lang w:eastAsia="en-US"/>
        </w:rPr>
        <w:t xml:space="preserve">) ke </w:t>
      </w:r>
      <w:r w:rsidR="00D81FEA" w:rsidRPr="00D81FEA">
        <w:rPr>
          <w:lang w:eastAsia="en-US"/>
        </w:rPr>
        <w:t>species</w:t>
      </w:r>
      <w:r w:rsidR="00D81FEA">
        <w:rPr>
          <w:lang w:eastAsia="en-US"/>
        </w:rPr>
        <w:t xml:space="preserve"> (</w:t>
      </w:r>
      <w:r w:rsidR="00D81FEA" w:rsidRPr="00D81FEA">
        <w:rPr>
          <w:i/>
          <w:lang w:eastAsia="en-US"/>
        </w:rPr>
        <w:t>anima sensitiva</w:t>
      </w:r>
      <w:r w:rsidR="00D81FEA">
        <w:rPr>
          <w:lang w:eastAsia="en-US"/>
        </w:rPr>
        <w:t xml:space="preserve">). </w:t>
      </w:r>
      <w:r>
        <w:rPr>
          <w:lang w:eastAsia="en-US"/>
        </w:rPr>
        <w:t xml:space="preserve">Proto lze esenciálně </w:t>
      </w:r>
      <w:r w:rsidR="08797ACD">
        <w:rPr>
          <w:lang w:eastAsia="en-US"/>
        </w:rPr>
        <w:t xml:space="preserve">správně </w:t>
      </w:r>
      <w:r>
        <w:rPr>
          <w:lang w:eastAsia="en-US"/>
        </w:rPr>
        <w:t xml:space="preserve">predikovat jednotu osoby z vyšší formy </w:t>
      </w:r>
      <w:r w:rsidRPr="081817BB">
        <w:rPr>
          <w:i/>
          <w:lang w:eastAsia="en-US"/>
        </w:rPr>
        <w:t>anima intellectiva</w:t>
      </w:r>
      <w:r w:rsidR="08797ACD">
        <w:rPr>
          <w:lang w:eastAsia="en-US"/>
        </w:rPr>
        <w:t xml:space="preserve"> </w:t>
      </w:r>
      <w:r>
        <w:rPr>
          <w:lang w:eastAsia="en-US"/>
        </w:rPr>
        <w:t>do nižších forem poznání daných smyslově (</w:t>
      </w:r>
      <w:r w:rsidRPr="081817BB">
        <w:rPr>
          <w:i/>
        </w:rPr>
        <w:t>ergo et substantia ad quam pertinet potentia intelligendi dabit esse materiae et corpori</w:t>
      </w:r>
      <w:r>
        <w:rPr>
          <w:lang w:eastAsia="en-US"/>
        </w:rPr>
        <w:t xml:space="preserve">). Pak je možné dosadit intelektuální schopnosti do duše </w:t>
      </w:r>
      <w:r w:rsidRPr="08DC6B37">
        <w:rPr>
          <w:i/>
          <w:lang w:eastAsia="en-US"/>
        </w:rPr>
        <w:t>modo geometrico</w:t>
      </w:r>
      <w:r>
        <w:rPr>
          <w:i/>
          <w:lang w:eastAsia="en-US"/>
        </w:rPr>
        <w:fldChar w:fldCharType="begin"/>
      </w:r>
      <w:r>
        <w:instrText xml:space="preserve"> XE "</w:instrText>
      </w:r>
      <w:r w:rsidRPr="087D25CE">
        <w:rPr>
          <w:i/>
          <w:lang w:eastAsia="en-US"/>
        </w:rPr>
        <w:instrText>modo geometrico</w:instrText>
      </w:r>
      <w:r>
        <w:instrText xml:space="preserve">" </w:instrText>
      </w:r>
      <w:r>
        <w:rPr>
          <w:i/>
          <w:lang w:eastAsia="en-US"/>
        </w:rPr>
        <w:fldChar w:fldCharType="end"/>
      </w:r>
      <w:r>
        <w:rPr>
          <w:lang w:eastAsia="en-US"/>
        </w:rPr>
        <w:t xml:space="preserve">, </w:t>
      </w:r>
      <w:r>
        <w:rPr>
          <w:lang w:eastAsia="en-US"/>
        </w:rPr>
        <w:lastRenderedPageBreak/>
        <w:t xml:space="preserve">což obsahuje </w:t>
      </w:r>
      <w:r>
        <w:t xml:space="preserve">přirovnání o </w:t>
      </w:r>
      <w:r w:rsidRPr="00273106">
        <w:t>trojúhelník</w:t>
      </w:r>
      <w:r>
        <w:t>u</w:t>
      </w:r>
      <w:r w:rsidRPr="00273106">
        <w:t xml:space="preserve"> v</w:t>
      </w:r>
      <w:r>
        <w:t xml:space="preserve">epsaném do čtyřúhelníka podle </w:t>
      </w:r>
      <w:r w:rsidRPr="084B2931">
        <w:rPr>
          <w:i/>
        </w:rPr>
        <w:t>De anima</w:t>
      </w:r>
      <w:r>
        <w:rPr>
          <w:i/>
        </w:rPr>
        <w:t xml:space="preserve"> </w:t>
      </w:r>
      <w:r>
        <w:t>414b31</w:t>
      </w:r>
      <w:r>
        <w:fldChar w:fldCharType="begin"/>
      </w:r>
      <w:r>
        <w:instrText xml:space="preserve"> XE "Aristoteles:</w:instrText>
      </w:r>
      <w:r w:rsidRPr="08A448E9">
        <w:rPr>
          <w:i/>
        </w:rPr>
        <w:instrText xml:space="preserve">De anima </w:instrText>
      </w:r>
      <w:r w:rsidRPr="08A448E9">
        <w:instrText>414b</w:instrText>
      </w:r>
      <w:r>
        <w:instrText xml:space="preserve">31" </w:instrText>
      </w:r>
      <w:r>
        <w:fldChar w:fldCharType="end"/>
      </w:r>
      <w:r>
        <w:t xml:space="preserve">. </w:t>
      </w:r>
      <w:r>
        <w:rPr>
          <w:lang w:eastAsia="en-US"/>
        </w:rPr>
        <w:t xml:space="preserve">Nasvícení intelektu zepředu od smyslů platí, a tím i dedukce dané na úrovni esenciální abstrakce. Albertův metodologický lapsus ale způsobil, že jeho vědecká definice </w:t>
      </w:r>
      <w:r w:rsidRPr="080476A5">
        <w:rPr>
          <w:i/>
          <w:lang w:eastAsia="en-US"/>
        </w:rPr>
        <w:t>anima intellectiva</w:t>
      </w:r>
      <w:r>
        <w:rPr>
          <w:lang w:eastAsia="en-US"/>
        </w:rPr>
        <w:t xml:space="preserve"> je definována v modu Avicenny, a ne podle Komentátora. Albert predikuje aristotelský scénář jednoty intelektu v modu Toledské školy, ale nikoliv v duchu CMDA. Podle Sigera jde o abstraktní tezi postavenou mimo reálné působení intelektu jako účinné kauzy</w:t>
      </w:r>
      <w:r w:rsidR="00DF36BE">
        <w:rPr>
          <w:lang w:eastAsia="en-US"/>
        </w:rPr>
        <w:t xml:space="preserve"> v těle. </w:t>
      </w:r>
      <w:r>
        <w:rPr>
          <w:lang w:eastAsia="en-US"/>
        </w:rPr>
        <w:t xml:space="preserve">Myšlení kauzálně zakoušíme v první osobě, protože myslíme, když sami chceme. Albertova verze jednoty daná ve futuru </w:t>
      </w:r>
      <w:r w:rsidR="00F1584A">
        <w:t>(</w:t>
      </w:r>
      <w:r w:rsidR="00F1584A" w:rsidRPr="00360FCF">
        <w:rPr>
          <w:i/>
        </w:rPr>
        <w:t>dabit</w:t>
      </w:r>
      <w:r w:rsidR="00F1584A">
        <w:t xml:space="preserve">) </w:t>
      </w:r>
      <w:r>
        <w:rPr>
          <w:lang w:eastAsia="en-US"/>
        </w:rPr>
        <w:t>nedává jasnou odpověď na to, jaká je aktuální a reálná jednota osoby v přítomném indikativu</w:t>
      </w:r>
      <w:r w:rsidR="08797ACD">
        <w:rPr>
          <w:lang w:eastAsia="en-US"/>
        </w:rPr>
        <w:t xml:space="preserve"> (</w:t>
      </w:r>
      <w:r w:rsidR="08797ACD" w:rsidRPr="08797ACD">
        <w:rPr>
          <w:i/>
        </w:rPr>
        <w:t>anima igitur intellectiva dat esse materiae et corpori</w:t>
      </w:r>
      <w:r w:rsidR="08797ACD">
        <w:rPr>
          <w:lang w:eastAsia="en-US"/>
        </w:rPr>
        <w:t>)</w:t>
      </w:r>
      <w:r>
        <w:rPr>
          <w:lang w:eastAsia="en-US"/>
        </w:rPr>
        <w:t>. P</w:t>
      </w:r>
      <w:r w:rsidRPr="00273106">
        <w:rPr>
          <w:lang w:eastAsia="en-US"/>
        </w:rPr>
        <w:t xml:space="preserve">ostup </w:t>
      </w:r>
      <w:r>
        <w:rPr>
          <w:lang w:eastAsia="en-US"/>
        </w:rPr>
        <w:t xml:space="preserve">dokazování je dán ve vědecky </w:t>
      </w:r>
      <w:r w:rsidR="00AC5454">
        <w:rPr>
          <w:lang w:eastAsia="en-US"/>
        </w:rPr>
        <w:t xml:space="preserve">neúplném </w:t>
      </w:r>
      <w:r>
        <w:rPr>
          <w:lang w:eastAsia="en-US"/>
        </w:rPr>
        <w:t>postupu</w:t>
      </w:r>
      <w:r w:rsidR="00AC5454">
        <w:rPr>
          <w:lang w:eastAsia="en-US"/>
        </w:rPr>
        <w:t>. Z</w:t>
      </w:r>
      <w:r>
        <w:rPr>
          <w:lang w:eastAsia="en-US"/>
        </w:rPr>
        <w:t>ávěr je pouze hypotetický a futurum nepostihuje reálnou kauzal</w:t>
      </w:r>
      <w:r w:rsidR="08C76486">
        <w:rPr>
          <w:lang w:eastAsia="en-US"/>
        </w:rPr>
        <w:t>itu intelektuálně myslící osoby</w:t>
      </w:r>
      <w:r>
        <w:rPr>
          <w:lang w:eastAsia="en-US"/>
        </w:rPr>
        <w:t xml:space="preserve">. </w:t>
      </w:r>
      <w:r w:rsidRPr="08F818DC">
        <w:rPr>
          <w:lang w:eastAsia="en-US"/>
        </w:rPr>
        <w:t>Důkaz</w:t>
      </w:r>
      <w:r w:rsidR="00A247A3" w:rsidRPr="08F818DC">
        <w:rPr>
          <w:lang w:eastAsia="en-US"/>
        </w:rPr>
        <w:fldChar w:fldCharType="begin"/>
      </w:r>
      <w:r w:rsidR="00A247A3" w:rsidRPr="08F818DC">
        <w:instrText xml:space="preserve"> XE "Oxfordian Fallacy:Albert" </w:instrText>
      </w:r>
      <w:r w:rsidR="00A247A3" w:rsidRPr="08F818DC">
        <w:rPr>
          <w:lang w:eastAsia="en-US"/>
        </w:rPr>
        <w:fldChar w:fldCharType="end"/>
      </w:r>
      <w:r>
        <w:rPr>
          <w:lang w:eastAsia="en-US"/>
        </w:rPr>
        <w:t xml:space="preserve"> predikuje hypostázovanou duši</w:t>
      </w:r>
      <w:r w:rsidRPr="00273106">
        <w:rPr>
          <w:lang w:eastAsia="en-US"/>
        </w:rPr>
        <w:t xml:space="preserve"> jako </w:t>
      </w:r>
      <w:r>
        <w:rPr>
          <w:lang w:eastAsia="en-US"/>
        </w:rPr>
        <w:t xml:space="preserve">esenci a </w:t>
      </w:r>
      <w:r w:rsidRPr="00273106">
        <w:rPr>
          <w:lang w:eastAsia="en-US"/>
        </w:rPr>
        <w:t>bytí</w:t>
      </w:r>
      <w:r>
        <w:rPr>
          <w:lang w:eastAsia="en-US"/>
        </w:rPr>
        <w:t xml:space="preserve"> duše je nasvíceno zezadu </w:t>
      </w:r>
      <w:r w:rsidRPr="00273106">
        <w:rPr>
          <w:lang w:eastAsia="en-US"/>
        </w:rPr>
        <w:t>skrze abstraktní koncept (</w:t>
      </w:r>
      <w:r w:rsidRPr="00273106">
        <w:rPr>
          <w:i/>
        </w:rPr>
        <w:t>substantiam ad quam</w:t>
      </w:r>
      <w:r w:rsidRPr="00273106">
        <w:rPr>
          <w:lang w:eastAsia="en-US"/>
        </w:rPr>
        <w:t xml:space="preserve">). </w:t>
      </w:r>
      <w:r>
        <w:rPr>
          <w:lang w:eastAsia="en-US"/>
        </w:rPr>
        <w:t xml:space="preserve">Albert měl toto gradualistické pojetí intelektu jako formy už v </w:t>
      </w:r>
      <w:proofErr w:type="gramStart"/>
      <w:r w:rsidRPr="08B3120D">
        <w:rPr>
          <w:i/>
          <w:lang w:eastAsia="en-US"/>
        </w:rPr>
        <w:t>De</w:t>
      </w:r>
      <w:proofErr w:type="gramEnd"/>
      <w:r w:rsidRPr="08B3120D">
        <w:rPr>
          <w:i/>
          <w:lang w:eastAsia="en-US"/>
        </w:rPr>
        <w:t xml:space="preserve"> homine</w:t>
      </w:r>
      <w:r>
        <w:rPr>
          <w:lang w:eastAsia="en-US"/>
        </w:rPr>
        <w:t xml:space="preserve"> (</w:t>
      </w:r>
      <w:r w:rsidRPr="08660FA5">
        <w:rPr>
          <w:i/>
          <w:lang w:eastAsia="en-US"/>
        </w:rPr>
        <w:t>quattuor sunt gradus</w:t>
      </w:r>
      <w:r>
        <w:rPr>
          <w:lang w:eastAsia="en-US"/>
        </w:rPr>
        <w:t xml:space="preserve">), ale tehdy trval pod vlivem Blundovy školy na reálném průběhu abstrakce a definoval poznání skrze princip </w:t>
      </w:r>
      <w:r w:rsidR="08213B53" w:rsidRPr="08213B53">
        <w:rPr>
          <w:i/>
          <w:lang w:eastAsia="en-US"/>
        </w:rPr>
        <w:t>ex</w:t>
      </w:r>
      <w:r w:rsidR="08213B53">
        <w:rPr>
          <w:lang w:eastAsia="en-US"/>
        </w:rPr>
        <w:t xml:space="preserve"> </w:t>
      </w:r>
      <w:r w:rsidR="08027AC2">
        <w:rPr>
          <w:i/>
          <w:lang w:eastAsia="en-US"/>
        </w:rPr>
        <w:t>in</w:t>
      </w:r>
      <w:r w:rsidR="08213B53">
        <w:rPr>
          <w:i/>
          <w:lang w:eastAsia="en-US"/>
        </w:rPr>
        <w:t>mediatis</w:t>
      </w:r>
      <w:r>
        <w:rPr>
          <w:lang w:eastAsia="en-US"/>
        </w:rPr>
        <w:t xml:space="preserve"> (</w:t>
      </w:r>
      <w:r w:rsidRPr="08A46556">
        <w:rPr>
          <w:i/>
          <w:lang w:eastAsia="en-US"/>
        </w:rPr>
        <w:t xml:space="preserve">tres sunt </w:t>
      </w:r>
      <w:r w:rsidR="00962190">
        <w:rPr>
          <w:i/>
          <w:lang w:eastAsia="en-US"/>
        </w:rPr>
        <w:t>species</w:t>
      </w:r>
      <w:r w:rsidR="08C76486">
        <w:rPr>
          <w:lang w:eastAsia="en-US"/>
        </w:rPr>
        <w:t>; OBJ II, kap. 2</w:t>
      </w:r>
      <w:r>
        <w:rPr>
          <w:lang w:eastAsia="en-US"/>
        </w:rPr>
        <w:t xml:space="preserve">.4.2). Albert neměl postup ve výslovně chybném </w:t>
      </w:r>
      <w:r w:rsidRPr="004E5599">
        <w:rPr>
          <w:lang w:eastAsia="en-US"/>
        </w:rPr>
        <w:t xml:space="preserve">modu </w:t>
      </w:r>
      <w:r w:rsidRPr="005A4C09">
        <w:rPr>
          <w:i/>
          <w:lang w:eastAsia="en-US"/>
        </w:rPr>
        <w:t xml:space="preserve">Oxfordian </w:t>
      </w:r>
      <w:r w:rsidRPr="087F1C40">
        <w:rPr>
          <w:i/>
          <w:lang w:eastAsia="en-US"/>
        </w:rPr>
        <w:t>Fallacy</w:t>
      </w:r>
      <w:r>
        <w:rPr>
          <w:lang w:eastAsia="en-US"/>
        </w:rPr>
        <w:t xml:space="preserve"> a Siger proto uplatnil vůči jeho pojetí jinou kritiku, než vůči semiaverroistickému Tomášovi. Esenciální definice není chybná </w:t>
      </w:r>
      <w:r w:rsidRPr="00273106">
        <w:rPr>
          <w:lang w:eastAsia="en-US"/>
        </w:rPr>
        <w:t>v</w:t>
      </w:r>
      <w:r>
        <w:rPr>
          <w:lang w:eastAsia="en-US"/>
        </w:rPr>
        <w:t xml:space="preserve"> případě materiální substance, k níž patří materiálně dané schopnosti smyslů. A</w:t>
      </w:r>
      <w:r w:rsidRPr="00273106">
        <w:rPr>
          <w:lang w:eastAsia="en-US"/>
        </w:rPr>
        <w:t>le u nemateriá</w:t>
      </w:r>
      <w:r>
        <w:rPr>
          <w:lang w:eastAsia="en-US"/>
        </w:rPr>
        <w:t>l</w:t>
      </w:r>
      <w:r w:rsidRPr="00273106">
        <w:rPr>
          <w:lang w:eastAsia="en-US"/>
        </w:rPr>
        <w:t>ního intelektu daného vůči smyslům zvnějšku je to omyl</w:t>
      </w:r>
      <w:r>
        <w:rPr>
          <w:lang w:eastAsia="en-US"/>
        </w:rPr>
        <w:t xml:space="preserve">, protože intelekt je svou podstatou čistá potence a není </w:t>
      </w:r>
      <w:r w:rsidR="009741A1">
        <w:rPr>
          <w:lang w:eastAsia="en-US"/>
        </w:rPr>
        <w:t xml:space="preserve">aktualizovaná </w:t>
      </w:r>
      <w:r>
        <w:rPr>
          <w:lang w:eastAsia="en-US"/>
        </w:rPr>
        <w:t>esence</w:t>
      </w:r>
      <w:r w:rsidRPr="00273106">
        <w:rPr>
          <w:lang w:eastAsia="en-US"/>
        </w:rPr>
        <w:t xml:space="preserve">. </w:t>
      </w:r>
      <w:r>
        <w:rPr>
          <w:lang w:eastAsia="en-US"/>
        </w:rPr>
        <w:t xml:space="preserve">Avicennistická gradualita forem zrušila fenomenologické pojetí intelektu jako </w:t>
      </w:r>
      <w:r w:rsidRPr="004A6430">
        <w:rPr>
          <w:i/>
          <w:lang w:eastAsia="en-US"/>
        </w:rPr>
        <w:t>separabilis</w:t>
      </w:r>
      <w:r>
        <w:rPr>
          <w:lang w:eastAsia="en-US"/>
        </w:rPr>
        <w:t xml:space="preserve"> a predikuje intelekt-esenci v avicennistickém modu </w:t>
      </w:r>
      <w:r w:rsidRPr="004A6430">
        <w:rPr>
          <w:i/>
          <w:lang w:eastAsia="en-US"/>
        </w:rPr>
        <w:t>separatus</w:t>
      </w:r>
      <w:r>
        <w:rPr>
          <w:lang w:eastAsia="en-US"/>
        </w:rPr>
        <w:t xml:space="preserve">, čili jako oddělenou nemateriální substanci třetího druhu. </w:t>
      </w:r>
      <w:r w:rsidRPr="00273106">
        <w:rPr>
          <w:lang w:eastAsia="en-US"/>
        </w:rPr>
        <w:t xml:space="preserve">Siger přičítá Albertovi mylné pojetí </w:t>
      </w:r>
      <w:r>
        <w:rPr>
          <w:lang w:eastAsia="en-US"/>
        </w:rPr>
        <w:t xml:space="preserve">skrze výrok </w:t>
      </w:r>
      <w:r w:rsidR="00840BA3">
        <w:rPr>
          <w:lang w:eastAsia="en-US"/>
        </w:rPr>
        <w:t>„</w:t>
      </w:r>
      <w:proofErr w:type="gramStart"/>
      <w:r w:rsidRPr="00273106">
        <w:rPr>
          <w:i/>
          <w:lang w:eastAsia="en-US"/>
        </w:rPr>
        <w:t>substantia</w:t>
      </w:r>
      <w:r w:rsidRPr="00273106">
        <w:rPr>
          <w:lang w:eastAsia="en-US"/>
        </w:rPr>
        <w:t>...</w:t>
      </w:r>
      <w:r w:rsidRPr="00273106">
        <w:rPr>
          <w:i/>
          <w:lang w:eastAsia="en-US"/>
        </w:rPr>
        <w:t>dabit</w:t>
      </w:r>
      <w:proofErr w:type="gramEnd"/>
      <w:r w:rsidRPr="00273106">
        <w:rPr>
          <w:i/>
          <w:lang w:eastAsia="en-US"/>
        </w:rPr>
        <w:t xml:space="preserve"> esse</w:t>
      </w:r>
      <w:r w:rsidR="00840BA3">
        <w:rPr>
          <w:lang w:eastAsia="en-US"/>
        </w:rPr>
        <w:t>“</w:t>
      </w:r>
      <w:r w:rsidRPr="00273106">
        <w:rPr>
          <w:lang w:eastAsia="en-US"/>
        </w:rPr>
        <w:t>, což je v protikladu s vědeckým a fenomenologickým postupem</w:t>
      </w:r>
      <w:r>
        <w:rPr>
          <w:lang w:eastAsia="en-US"/>
        </w:rPr>
        <w:t xml:space="preserve"> </w:t>
      </w:r>
      <w:r w:rsidRPr="00616C18">
        <w:rPr>
          <w:i/>
          <w:lang w:eastAsia="en-US"/>
        </w:rPr>
        <w:t>Druhých analytik</w:t>
      </w:r>
      <w:r>
        <w:rPr>
          <w:lang w:eastAsia="en-US"/>
        </w:rPr>
        <w:t xml:space="preserve">. Kritika esencialistického přístupu ukazuje rozdíl mezi komentářem </w:t>
      </w:r>
      <w:r w:rsidR="00227F7F">
        <w:rPr>
          <w:lang w:eastAsia="en-US"/>
        </w:rPr>
        <w:t xml:space="preserve">DA </w:t>
      </w:r>
      <w:r w:rsidR="08F32102">
        <w:rPr>
          <w:lang w:eastAsia="en-US"/>
        </w:rPr>
        <w:t>I</w:t>
      </w:r>
      <w:r w:rsidR="00227F7F">
        <w:rPr>
          <w:lang w:eastAsia="en-US"/>
        </w:rPr>
        <w:t>–</w:t>
      </w:r>
      <w:r>
        <w:rPr>
          <w:lang w:eastAsia="en-US"/>
        </w:rPr>
        <w:t>II v Mnichovském rukopise (</w:t>
      </w:r>
      <w:r w:rsidRPr="00AC5C98">
        <w:rPr>
          <w:i/>
        </w:rPr>
        <w:t>potest esse</w:t>
      </w:r>
      <w:r w:rsidR="089507CB">
        <w:rPr>
          <w:lang w:eastAsia="en-US"/>
        </w:rPr>
        <w:t>, kap. 4</w:t>
      </w:r>
      <w:r>
        <w:rPr>
          <w:lang w:eastAsia="en-US"/>
        </w:rPr>
        <w:t xml:space="preserve">.3.2) a komentářem QIIIDA, kde toto esencialistické pojetí není možné. Třetí část </w:t>
      </w:r>
      <w:r w:rsidRPr="08566938">
        <w:rPr>
          <w:i/>
          <w:lang w:eastAsia="en-US"/>
        </w:rPr>
        <w:t>De anima</w:t>
      </w:r>
      <w:r>
        <w:rPr>
          <w:lang w:eastAsia="en-US"/>
        </w:rPr>
        <w:t xml:space="preserve"> totiž zkoumá intelektuální způsob poznání duše, a ne smyslový. Siger postupuje </w:t>
      </w:r>
      <w:r w:rsidRPr="00273106">
        <w:rPr>
          <w:lang w:eastAsia="en-US"/>
        </w:rPr>
        <w:t xml:space="preserve">podle CMDA od potence jako kauzálního a empiricky zjistitelného </w:t>
      </w:r>
      <w:r>
        <w:rPr>
          <w:lang w:eastAsia="en-US"/>
        </w:rPr>
        <w:t>přítomného aktu myšlení v první osobě (</w:t>
      </w:r>
      <w:r w:rsidRPr="003008C5">
        <w:rPr>
          <w:i/>
          <w:lang w:eastAsia="en-US"/>
        </w:rPr>
        <w:t>dat</w:t>
      </w:r>
      <w:r>
        <w:rPr>
          <w:lang w:eastAsia="en-US"/>
        </w:rPr>
        <w:t xml:space="preserve">) </w:t>
      </w:r>
      <w:r w:rsidRPr="00273106">
        <w:rPr>
          <w:lang w:eastAsia="en-US"/>
        </w:rPr>
        <w:t xml:space="preserve">k samotné kauze, tedy </w:t>
      </w:r>
      <w:r>
        <w:rPr>
          <w:lang w:eastAsia="en-US"/>
        </w:rPr>
        <w:t>k</w:t>
      </w:r>
      <w:r w:rsidR="00054E37">
        <w:rPr>
          <w:lang w:eastAsia="en-US"/>
        </w:rPr>
        <w:t> účinně myslící</w:t>
      </w:r>
      <w:r>
        <w:rPr>
          <w:lang w:eastAsia="en-US"/>
        </w:rPr>
        <w:t xml:space="preserve"> první </w:t>
      </w:r>
      <w:r w:rsidRPr="00273106">
        <w:rPr>
          <w:lang w:eastAsia="en-US"/>
        </w:rPr>
        <w:t>substanci</w:t>
      </w:r>
      <w:r>
        <w:rPr>
          <w:lang w:eastAsia="en-US"/>
        </w:rPr>
        <w:t xml:space="preserve">, což je </w:t>
      </w:r>
      <w:r w:rsidR="00054E37">
        <w:rPr>
          <w:lang w:eastAsia="en-US"/>
        </w:rPr>
        <w:t xml:space="preserve">existující </w:t>
      </w:r>
      <w:r>
        <w:rPr>
          <w:lang w:eastAsia="en-US"/>
        </w:rPr>
        <w:t>osoba jako hylemorfický celek (</w:t>
      </w:r>
      <w:r w:rsidRPr="08F560C2">
        <w:rPr>
          <w:i/>
        </w:rPr>
        <w:t xml:space="preserve">anima igitur intellectiva dat esse materiae et </w:t>
      </w:r>
      <w:r w:rsidRPr="08F560C2">
        <w:rPr>
          <w:i/>
        </w:rPr>
        <w:lastRenderedPageBreak/>
        <w:t>corpori</w:t>
      </w:r>
      <w:r>
        <w:rPr>
          <w:lang w:eastAsia="en-US"/>
        </w:rPr>
        <w:t>)</w:t>
      </w:r>
      <w:r w:rsidRPr="00273106">
        <w:rPr>
          <w:lang w:eastAsia="en-US"/>
        </w:rPr>
        <w:t xml:space="preserve">. Správný </w:t>
      </w:r>
      <w:r>
        <w:rPr>
          <w:lang w:eastAsia="en-US"/>
        </w:rPr>
        <w:t xml:space="preserve">vědecký důkaz </w:t>
      </w:r>
      <w:r w:rsidRPr="00273106">
        <w:rPr>
          <w:lang w:eastAsia="en-US"/>
        </w:rPr>
        <w:t xml:space="preserve">jde </w:t>
      </w:r>
      <w:r>
        <w:rPr>
          <w:lang w:eastAsia="en-US"/>
        </w:rPr>
        <w:t>v</w:t>
      </w:r>
      <w:r w:rsidR="081942A4">
        <w:rPr>
          <w:lang w:eastAsia="en-US"/>
        </w:rPr>
        <w:t> </w:t>
      </w:r>
      <w:r w:rsidR="081942A4">
        <w:t xml:space="preserve">metafyzickém </w:t>
      </w:r>
      <w:r>
        <w:rPr>
          <w:lang w:eastAsia="en-US"/>
        </w:rPr>
        <w:t xml:space="preserve">dativu </w:t>
      </w:r>
      <w:r w:rsidRPr="00273106">
        <w:rPr>
          <w:lang w:eastAsia="en-US"/>
        </w:rPr>
        <w:t xml:space="preserve">od </w:t>
      </w:r>
      <w:r>
        <w:rPr>
          <w:lang w:eastAsia="en-US"/>
        </w:rPr>
        <w:t>zde a nyní reálně zakoušeného aktu myšlení (</w:t>
      </w:r>
      <w:r w:rsidRPr="003F1005">
        <w:rPr>
          <w:i/>
          <w:lang w:eastAsia="en-US"/>
        </w:rPr>
        <w:t xml:space="preserve">tertium </w:t>
      </w:r>
      <w:r w:rsidR="00962190">
        <w:rPr>
          <w:i/>
          <w:lang w:eastAsia="en-US"/>
        </w:rPr>
        <w:t>genus</w:t>
      </w:r>
      <w:r>
        <w:rPr>
          <w:lang w:eastAsia="en-US"/>
        </w:rPr>
        <w:t xml:space="preserve"> v CMDA) </w:t>
      </w:r>
      <w:r w:rsidRPr="00273106">
        <w:rPr>
          <w:lang w:eastAsia="en-US"/>
        </w:rPr>
        <w:t xml:space="preserve">k </w:t>
      </w:r>
      <w:r>
        <w:rPr>
          <w:lang w:eastAsia="en-US"/>
        </w:rPr>
        <w:t>dedukované esenci (</w:t>
      </w:r>
      <w:r w:rsidRPr="003F1005">
        <w:rPr>
          <w:i/>
          <w:lang w:eastAsia="en-US"/>
        </w:rPr>
        <w:t xml:space="preserve">quartum </w:t>
      </w:r>
      <w:r w:rsidR="00962190">
        <w:rPr>
          <w:i/>
          <w:lang w:eastAsia="en-US"/>
        </w:rPr>
        <w:t>genus</w:t>
      </w:r>
      <w:r>
        <w:rPr>
          <w:lang w:eastAsia="en-US"/>
        </w:rPr>
        <w:t xml:space="preserve"> v CMDA)</w:t>
      </w:r>
      <w:r w:rsidRPr="00273106">
        <w:rPr>
          <w:lang w:eastAsia="en-US"/>
        </w:rPr>
        <w:t xml:space="preserve">. </w:t>
      </w:r>
      <w:r>
        <w:rPr>
          <w:lang w:eastAsia="en-US"/>
        </w:rPr>
        <w:t xml:space="preserve">Gramatický rozdíl mezi futurem a indikativem implikuje metafyzickou chybu typu </w:t>
      </w:r>
      <w:r w:rsidR="00F519B4">
        <w:rPr>
          <w:lang w:eastAsia="en-US"/>
        </w:rPr>
        <w:t>„</w:t>
      </w:r>
      <w:r>
        <w:rPr>
          <w:i/>
          <w:lang w:eastAsia="en-US"/>
        </w:rPr>
        <w:t>fallac</w:t>
      </w:r>
      <w:r w:rsidRPr="005B503C">
        <w:rPr>
          <w:i/>
          <w:lang w:eastAsia="en-US"/>
        </w:rPr>
        <w:t>ia secundum quid et simpliciter</w:t>
      </w:r>
      <w:r w:rsidR="00F519B4">
        <w:rPr>
          <w:lang w:eastAsia="en-US"/>
        </w:rPr>
        <w:t>“</w:t>
      </w:r>
      <w:r>
        <w:rPr>
          <w:i/>
          <w:lang w:eastAsia="en-US"/>
        </w:rPr>
        <w:fldChar w:fldCharType="begin"/>
      </w:r>
      <w:r>
        <w:instrText xml:space="preserve"> XE "</w:instrText>
      </w:r>
      <w:r w:rsidRPr="00027DD3">
        <w:rPr>
          <w:i/>
        </w:rPr>
        <w:instrText>fallacia secundum quid et simpliciter</w:instrText>
      </w:r>
      <w:r>
        <w:instrText xml:space="preserve">" </w:instrText>
      </w:r>
      <w:r>
        <w:rPr>
          <w:i/>
          <w:lang w:eastAsia="en-US"/>
        </w:rPr>
        <w:fldChar w:fldCharType="end"/>
      </w:r>
      <w:r>
        <w:rPr>
          <w:lang w:eastAsia="en-US"/>
        </w:rPr>
        <w:t xml:space="preserve">. </w:t>
      </w:r>
      <w:r w:rsidRPr="00273106">
        <w:rPr>
          <w:lang w:eastAsia="en-US"/>
        </w:rPr>
        <w:t xml:space="preserve">Albert má </w:t>
      </w:r>
      <w:r>
        <w:rPr>
          <w:lang w:eastAsia="en-US"/>
        </w:rPr>
        <w:t xml:space="preserve">logicky a formálně </w:t>
      </w:r>
      <w:r w:rsidRPr="00273106">
        <w:rPr>
          <w:lang w:eastAsia="en-US"/>
        </w:rPr>
        <w:t>správný závěr o povaze intelektu a duše</w:t>
      </w:r>
      <w:r>
        <w:rPr>
          <w:lang w:eastAsia="en-US"/>
        </w:rPr>
        <w:t xml:space="preserve"> (</w:t>
      </w:r>
      <w:r w:rsidRPr="00E159FC">
        <w:rPr>
          <w:i/>
          <w:lang w:eastAsia="en-US"/>
        </w:rPr>
        <w:t>simpliciter</w:t>
      </w:r>
      <w:r>
        <w:rPr>
          <w:lang w:eastAsia="en-US"/>
        </w:rPr>
        <w:t>)</w:t>
      </w:r>
      <w:r w:rsidRPr="00273106">
        <w:rPr>
          <w:lang w:eastAsia="en-US"/>
        </w:rPr>
        <w:t>, ale zvolil mylný metodologický postup zkoumání</w:t>
      </w:r>
      <w:r>
        <w:rPr>
          <w:lang w:eastAsia="en-US"/>
        </w:rPr>
        <w:t>, který není vědecký v reálném kauzálním modu</w:t>
      </w:r>
      <w:r w:rsidRPr="00E159FC">
        <w:rPr>
          <w:i/>
          <w:lang w:eastAsia="en-US"/>
        </w:rPr>
        <w:t xml:space="preserve"> </w:t>
      </w:r>
      <w:r w:rsidR="00001A67" w:rsidRPr="00001A67">
        <w:rPr>
          <w:lang w:eastAsia="en-US"/>
        </w:rPr>
        <w:t>„</w:t>
      </w:r>
      <w:r w:rsidRPr="00E159FC">
        <w:rPr>
          <w:i/>
          <w:lang w:eastAsia="en-US"/>
        </w:rPr>
        <w:t>secundum quid</w:t>
      </w:r>
      <w:r w:rsidR="00001A67">
        <w:rPr>
          <w:lang w:eastAsia="en-US"/>
        </w:rPr>
        <w:t>“</w:t>
      </w:r>
      <w:r>
        <w:rPr>
          <w:lang w:eastAsia="en-US"/>
        </w:rPr>
        <w:t>. Ve středním členu soudu vypadla jedinečná kauzalita intelektu zakoušená pouze v modu ipseity (</w:t>
      </w:r>
      <w:r>
        <w:rPr>
          <w:i/>
          <w:lang w:eastAsia="en-US"/>
        </w:rPr>
        <w:t>homo ipse intelligit</w:t>
      </w:r>
      <w:r>
        <w:rPr>
          <w:i/>
          <w:lang w:eastAsia="en-US"/>
        </w:rPr>
        <w:fldChar w:fldCharType="begin"/>
      </w:r>
      <w:r>
        <w:instrText xml:space="preserve"> XE "</w:instrText>
      </w:r>
      <w:r w:rsidRPr="00B935DC">
        <w:rPr>
          <w:rStyle w:val="Zkladntext350"/>
        </w:rPr>
        <w:instrText>osoba</w:instrText>
      </w:r>
      <w:r w:rsidRPr="00B935DC">
        <w:rPr>
          <w:rStyle w:val="Zkladntext350"/>
          <w:i/>
        </w:rPr>
        <w:instrText>:</w:instrText>
      </w:r>
      <w:r>
        <w:rPr>
          <w:rStyle w:val="Zkladntext350"/>
          <w:i/>
        </w:rPr>
        <w:instrText>homo ipse intelligit</w:instrText>
      </w:r>
      <w:r>
        <w:instrText xml:space="preserve">" </w:instrText>
      </w:r>
      <w:r>
        <w:rPr>
          <w:i/>
          <w:lang w:eastAsia="en-US"/>
        </w:rPr>
        <w:fldChar w:fldCharType="end"/>
      </w:r>
      <w:r>
        <w:rPr>
          <w:lang w:eastAsia="en-US"/>
        </w:rPr>
        <w:t xml:space="preserve">), tedy v modu </w:t>
      </w:r>
      <w:r w:rsidRPr="08AB544E">
        <w:rPr>
          <w:i/>
          <w:lang w:eastAsia="en-US"/>
        </w:rPr>
        <w:t xml:space="preserve">tertium </w:t>
      </w:r>
      <w:r w:rsidR="00962190">
        <w:rPr>
          <w:i/>
          <w:lang w:eastAsia="en-US"/>
        </w:rPr>
        <w:t>genus</w:t>
      </w:r>
      <w:r>
        <w:rPr>
          <w:lang w:eastAsia="en-US"/>
        </w:rPr>
        <w:t xml:space="preserve"> podle CMDA. </w:t>
      </w:r>
      <w:r w:rsidRPr="00273106">
        <w:rPr>
          <w:lang w:eastAsia="en-US"/>
        </w:rPr>
        <w:t xml:space="preserve">Albert má správně </w:t>
      </w:r>
      <w:r>
        <w:rPr>
          <w:lang w:eastAsia="en-US"/>
        </w:rPr>
        <w:t xml:space="preserve">daný </w:t>
      </w:r>
      <w:r w:rsidRPr="00273106">
        <w:rPr>
          <w:lang w:eastAsia="en-US"/>
        </w:rPr>
        <w:t xml:space="preserve">závěr o materiální a nemateriální potenci duše, která je oživujícím principem těla. Ale jeho postup důkazu není v souladu s reálně </w:t>
      </w:r>
      <w:r>
        <w:rPr>
          <w:lang w:eastAsia="en-US"/>
        </w:rPr>
        <w:t xml:space="preserve">danou </w:t>
      </w:r>
      <w:r w:rsidRPr="00273106">
        <w:rPr>
          <w:lang w:eastAsia="en-US"/>
        </w:rPr>
        <w:t xml:space="preserve">existencí této potence, jak </w:t>
      </w:r>
      <w:r>
        <w:rPr>
          <w:lang w:eastAsia="en-US"/>
        </w:rPr>
        <w:t xml:space="preserve">to </w:t>
      </w:r>
      <w:r w:rsidRPr="00273106">
        <w:rPr>
          <w:lang w:eastAsia="en-US"/>
        </w:rPr>
        <w:t xml:space="preserve">požadují </w:t>
      </w:r>
      <w:r w:rsidRPr="08287DAE">
        <w:rPr>
          <w:i/>
          <w:lang w:eastAsia="en-US"/>
        </w:rPr>
        <w:t>Druhé analytiky</w:t>
      </w:r>
      <w:r w:rsidRPr="00273106">
        <w:rPr>
          <w:lang w:eastAsia="en-US"/>
        </w:rPr>
        <w:t xml:space="preserve"> pro </w:t>
      </w:r>
      <w:r>
        <w:rPr>
          <w:lang w:eastAsia="en-US"/>
        </w:rPr>
        <w:t xml:space="preserve">vědeckou formu </w:t>
      </w:r>
      <w:r w:rsidRPr="00273106">
        <w:rPr>
          <w:lang w:eastAsia="en-US"/>
        </w:rPr>
        <w:t>deduktivní</w:t>
      </w:r>
      <w:r>
        <w:rPr>
          <w:lang w:eastAsia="en-US"/>
        </w:rPr>
        <w:t>ho</w:t>
      </w:r>
      <w:r w:rsidRPr="00273106">
        <w:rPr>
          <w:lang w:eastAsia="en-US"/>
        </w:rPr>
        <w:t xml:space="preserve"> soud</w:t>
      </w:r>
      <w:r>
        <w:rPr>
          <w:lang w:eastAsia="en-US"/>
        </w:rPr>
        <w:t>u, která musí být dána na rovině kauzality první substance, a ne z definicie univerzální esence</w:t>
      </w:r>
      <w:r w:rsidRPr="00273106">
        <w:rPr>
          <w:lang w:eastAsia="en-US"/>
        </w:rPr>
        <w:t>.</w:t>
      </w:r>
      <w:r>
        <w:rPr>
          <w:lang w:eastAsia="en-US"/>
        </w:rPr>
        <w:t xml:space="preserve"> Metafyzické </w:t>
      </w:r>
      <w:r w:rsidR="008A0A66">
        <w:rPr>
          <w:lang w:eastAsia="en-US"/>
        </w:rPr>
        <w:t>„</w:t>
      </w:r>
      <w:r w:rsidRPr="00273106">
        <w:rPr>
          <w:i/>
          <w:lang w:eastAsia="en-US"/>
        </w:rPr>
        <w:t>non sequitur</w:t>
      </w:r>
      <w:r w:rsidR="008A0A66">
        <w:rPr>
          <w:lang w:eastAsia="en-US"/>
        </w:rPr>
        <w:t>“</w:t>
      </w:r>
      <w:r w:rsidRPr="00273106">
        <w:rPr>
          <w:lang w:eastAsia="en-US"/>
        </w:rPr>
        <w:t xml:space="preserve"> </w:t>
      </w:r>
      <w:r>
        <w:rPr>
          <w:lang w:eastAsia="en-US"/>
        </w:rPr>
        <w:t>z pozice brilantního znalce Averroesovy „meta</w:t>
      </w:r>
      <w:r>
        <w:rPr>
          <w:lang w:eastAsia="en-US"/>
        </w:rPr>
        <w:noBreakHyphen/>
        <w:t xml:space="preserve">fyziky“ dané na rozdíl od Avicenny jako vědy o první substanci </w:t>
      </w:r>
      <w:r w:rsidRPr="08B30F26">
        <w:rPr>
          <w:i/>
          <w:lang w:eastAsia="en-US"/>
        </w:rPr>
        <w:t>qua</w:t>
      </w:r>
      <w:r>
        <w:rPr>
          <w:lang w:eastAsia="en-US"/>
        </w:rPr>
        <w:t xml:space="preserve"> substanci</w:t>
      </w:r>
      <w:r w:rsidR="008A0A66">
        <w:rPr>
          <w:lang w:eastAsia="en-US"/>
        </w:rPr>
        <w:t xml:space="preserve">. Omyl </w:t>
      </w:r>
      <w:r>
        <w:rPr>
          <w:lang w:eastAsia="en-US"/>
        </w:rPr>
        <w:t xml:space="preserve">v případě Alberta </w:t>
      </w:r>
      <w:r w:rsidR="008A0A66">
        <w:rPr>
          <w:lang w:eastAsia="en-US"/>
        </w:rPr>
        <w:t>je naprosto jasný.</w:t>
      </w:r>
    </w:p>
    <w:p w:rsidR="08163013" w:rsidRPr="00AC0CFA" w:rsidRDefault="08163013" w:rsidP="008A0A66">
      <w:pPr>
        <w:ind w:firstLine="397"/>
        <w:rPr>
          <w:lang w:eastAsia="en-US"/>
        </w:rPr>
      </w:pPr>
      <w:r>
        <w:rPr>
          <w:lang w:eastAsia="en-US"/>
        </w:rPr>
        <w:t xml:space="preserve">Hned po této kritice následuje rozbor </w:t>
      </w:r>
      <w:r w:rsidR="004330AE">
        <w:rPr>
          <w:lang w:eastAsia="en-US"/>
        </w:rPr>
        <w:t xml:space="preserve">Akvinského, oslavovaného modernisty jako </w:t>
      </w:r>
      <w:r w:rsidR="004330AE" w:rsidRPr="004330AE">
        <w:rPr>
          <w:i/>
          <w:lang w:eastAsia="en-US"/>
        </w:rPr>
        <w:t>Expos</w:t>
      </w:r>
      <w:r w:rsidRPr="004330AE">
        <w:rPr>
          <w:i/>
          <w:lang w:eastAsia="en-US"/>
        </w:rPr>
        <w:t>itor</w:t>
      </w:r>
      <w:r w:rsidR="004330AE" w:rsidRPr="004330AE">
        <w:rPr>
          <w:i/>
          <w:lang w:eastAsia="en-US"/>
        </w:rPr>
        <w:t xml:space="preserve"> Novus</w:t>
      </w:r>
      <w:r>
        <w:rPr>
          <w:lang w:eastAsia="en-US"/>
        </w:rPr>
        <w:t>. Akvinský se podle Sigera dopustil mnohem horšího omylu. Tento teolog argumentuje jednotu intelektu a osoby</w:t>
      </w:r>
      <w:r w:rsidR="00BD175C">
        <w:rPr>
          <w:lang w:eastAsia="en-US"/>
        </w:rPr>
        <w:t xml:space="preserve"> způsobem, který už je </w:t>
      </w:r>
      <w:r>
        <w:rPr>
          <w:lang w:eastAsia="en-US"/>
        </w:rPr>
        <w:t>averroistický, což nebyl případ Alberta uznávajícího výklad CMDA</w:t>
      </w:r>
      <w:r w:rsidRPr="00273106">
        <w:rPr>
          <w:lang w:eastAsia="en-US"/>
        </w:rPr>
        <w:t>.</w:t>
      </w:r>
      <w:r w:rsidRPr="00273106">
        <w:t xml:space="preserve"> </w:t>
      </w:r>
      <w:r>
        <w:t xml:space="preserve">Klíčový spor běží o dvojí výklad termínu </w:t>
      </w:r>
      <w:r w:rsidRPr="00616C46">
        <w:rPr>
          <w:i/>
        </w:rPr>
        <w:t>anima est qua intelligimus</w:t>
      </w:r>
      <w:r>
        <w:t>.</w:t>
      </w:r>
    </w:p>
    <w:p w:rsidR="08163013" w:rsidRPr="00616C46" w:rsidRDefault="08163013" w:rsidP="08163013">
      <w:pPr>
        <w:pStyle w:val="Citace"/>
        <w:rPr>
          <w:noProof/>
          <w:lang w:val="cs-CZ"/>
        </w:rPr>
      </w:pPr>
      <w:r w:rsidRPr="00273106">
        <w:rPr>
          <w:noProof/>
          <w:lang w:val="cs-CZ"/>
        </w:rPr>
        <w:t>„</w:t>
      </w:r>
      <w:r>
        <w:rPr>
          <w:noProof/>
          <w:lang w:val="cs-CZ"/>
        </w:rPr>
        <w:t>Teze T</w:t>
      </w:r>
      <w:r w:rsidR="00F141A3">
        <w:rPr>
          <w:noProof/>
          <w:lang w:val="cs-CZ"/>
        </w:rPr>
        <w:t xml:space="preserve">omáše zní, že akt porozumění existuje </w:t>
      </w:r>
      <w:r>
        <w:rPr>
          <w:noProof/>
          <w:lang w:val="cs-CZ"/>
        </w:rPr>
        <w:t>ve výkonu samotného intelektu (</w:t>
      </w:r>
      <w:r w:rsidRPr="00616C46">
        <w:rPr>
          <w:i/>
          <w:noProof/>
          <w:lang w:val="cs-CZ"/>
        </w:rPr>
        <w:t>fit secundum ipsum intellectum</w:t>
      </w:r>
      <w:r>
        <w:rPr>
          <w:noProof/>
          <w:lang w:val="cs-CZ"/>
        </w:rPr>
        <w:t>). Ale porozumění nelze přiřadit pouze intelektu, ale také jedinečně existujícímu člověku (</w:t>
      </w:r>
      <w:r w:rsidRPr="00616C46">
        <w:rPr>
          <w:i/>
          <w:noProof/>
          <w:lang w:val="cs-CZ"/>
        </w:rPr>
        <w:t>non solum intellectui sed etiam homini ipsi</w:t>
      </w:r>
      <w:r>
        <w:rPr>
          <w:noProof/>
          <w:lang w:val="cs-CZ"/>
        </w:rPr>
        <w:t>). To by bylo nemožné, kdyby intelektuální duše měla vlastní bytí oddělené (</w:t>
      </w:r>
      <w:r w:rsidRPr="00616C46">
        <w:rPr>
          <w:i/>
          <w:noProof/>
          <w:lang w:val="cs-CZ"/>
        </w:rPr>
        <w:t>esse separatum</w:t>
      </w:r>
      <w:r>
        <w:rPr>
          <w:noProof/>
          <w:lang w:val="cs-CZ"/>
        </w:rPr>
        <w:t xml:space="preserve">) od materie a od těla.  Proto Filosof ve druhé knize </w:t>
      </w:r>
      <w:r w:rsidRPr="00616C46">
        <w:rPr>
          <w:i/>
          <w:noProof/>
          <w:lang w:val="cs-CZ"/>
        </w:rPr>
        <w:t>De anima</w:t>
      </w:r>
      <w:r>
        <w:rPr>
          <w:noProof/>
          <w:lang w:val="cs-CZ"/>
        </w:rPr>
        <w:t xml:space="preserve"> praví, že </w:t>
      </w:r>
      <w:r w:rsidR="00DF72B6">
        <w:rPr>
          <w:noProof/>
          <w:lang w:val="cs-CZ"/>
        </w:rPr>
        <w:t xml:space="preserve">rozumíme skrze </w:t>
      </w:r>
      <w:r>
        <w:rPr>
          <w:noProof/>
          <w:lang w:val="cs-CZ"/>
        </w:rPr>
        <w:t>duš</w:t>
      </w:r>
      <w:r w:rsidR="00DF72B6">
        <w:rPr>
          <w:noProof/>
          <w:lang w:val="cs-CZ"/>
        </w:rPr>
        <w:t xml:space="preserve">i </w:t>
      </w:r>
      <w:r>
        <w:rPr>
          <w:noProof/>
          <w:lang w:val="cs-CZ"/>
        </w:rPr>
        <w:t>(</w:t>
      </w:r>
      <w:r w:rsidRPr="00616C46">
        <w:rPr>
          <w:i/>
          <w:noProof/>
          <w:lang w:val="cs-CZ"/>
        </w:rPr>
        <w:t>anima est qua intelligimus</w:t>
      </w:r>
      <w:r>
        <w:rPr>
          <w:noProof/>
          <w:lang w:val="cs-CZ"/>
        </w:rPr>
        <w:t xml:space="preserve">) a činí závěr, že duše je aktem a završením těla.“ </w:t>
      </w:r>
      <w:r>
        <w:rPr>
          <w:rStyle w:val="Znakapoznpodarou"/>
        </w:rPr>
        <w:footnoteReference w:id="256"/>
      </w:r>
    </w:p>
    <w:p w:rsidR="00247F0F" w:rsidRDefault="08163013" w:rsidP="08163013">
      <w:r w:rsidRPr="00273106">
        <w:t xml:space="preserve">Akvinský postupuje tak, že nematerialitu duše chápe vzhledem ke specifické povaze intelektu, který je nemateriální povahy </w:t>
      </w:r>
      <w:r>
        <w:t>dané díky specifickému</w:t>
      </w:r>
      <w:r w:rsidRPr="00273106">
        <w:t xml:space="preserve"> výkon</w:t>
      </w:r>
      <w:r>
        <w:t>u</w:t>
      </w:r>
      <w:r w:rsidRPr="00273106">
        <w:t xml:space="preserve"> myšlení (</w:t>
      </w:r>
      <w:r w:rsidRPr="00273106">
        <w:rPr>
          <w:i/>
        </w:rPr>
        <w:t xml:space="preserve">intelligere fit </w:t>
      </w:r>
      <w:r w:rsidRPr="00273106">
        <w:rPr>
          <w:i/>
        </w:rPr>
        <w:lastRenderedPageBreak/>
        <w:t>secundum ipsum intellectum</w:t>
      </w:r>
      <w:r w:rsidRPr="00273106">
        <w:t xml:space="preserve">). Klíčovým problémem se stává statut </w:t>
      </w:r>
      <w:r w:rsidR="00A926A8">
        <w:t>termínu „</w:t>
      </w:r>
      <w:r w:rsidRPr="00273106">
        <w:rPr>
          <w:i/>
        </w:rPr>
        <w:t>fieri</w:t>
      </w:r>
      <w:r w:rsidR="00A926A8">
        <w:t>“</w:t>
      </w:r>
      <w:r w:rsidRPr="00273106">
        <w:t xml:space="preserve"> vztaž</w:t>
      </w:r>
      <w:r>
        <w:t>e</w:t>
      </w:r>
      <w:r w:rsidR="00A926A8">
        <w:t>ného</w:t>
      </w:r>
      <w:r w:rsidRPr="00273106">
        <w:t xml:space="preserve"> k intele</w:t>
      </w:r>
      <w:r>
        <w:t>ktu</w:t>
      </w:r>
      <w:r>
        <w:fldChar w:fldCharType="begin"/>
      </w:r>
      <w:r>
        <w:instrText xml:space="preserve"> XE "</w:instrText>
      </w:r>
      <w:r w:rsidRPr="007804B8">
        <w:instrText>intelekt:</w:instrText>
      </w:r>
      <w:r w:rsidRPr="002F1398">
        <w:rPr>
          <w:i/>
        </w:rPr>
        <w:instrText>esse/fieri</w:instrText>
      </w:r>
      <w:r>
        <w:instrText xml:space="preserve">" </w:instrText>
      </w:r>
      <w:r>
        <w:fldChar w:fldCharType="end"/>
      </w:r>
      <w:r>
        <w:t xml:space="preserve">. </w:t>
      </w:r>
      <w:r w:rsidR="00873CF8">
        <w:t>Akvinský tvrdí, že v modu „</w:t>
      </w:r>
      <w:r w:rsidR="00873CF8" w:rsidRPr="00D8635A">
        <w:rPr>
          <w:i/>
        </w:rPr>
        <w:t>ipse</w:t>
      </w:r>
      <w:r w:rsidR="00A07D9E">
        <w:t xml:space="preserve">“ </w:t>
      </w:r>
      <w:r w:rsidR="00873CF8">
        <w:t xml:space="preserve">existuje </w:t>
      </w:r>
      <w:r w:rsidR="00A07D9E">
        <w:t xml:space="preserve">i </w:t>
      </w:r>
      <w:r>
        <w:t>samotný intelekt</w:t>
      </w:r>
      <w:r w:rsidR="00D8635A">
        <w:t>,</w:t>
      </w:r>
      <w:r>
        <w:t xml:space="preserve"> a ne</w:t>
      </w:r>
      <w:r w:rsidR="00D8635A">
        <w:t>jen</w:t>
      </w:r>
      <w:r>
        <w:t xml:space="preserve"> tělesně daná osoba. Teolog </w:t>
      </w:r>
      <w:r w:rsidRPr="00273106">
        <w:t xml:space="preserve">Akvinský </w:t>
      </w:r>
      <w:r>
        <w:t xml:space="preserve">přináší </w:t>
      </w:r>
      <w:r w:rsidR="08CA7998">
        <w:t xml:space="preserve">z Říma </w:t>
      </w:r>
      <w:r>
        <w:t xml:space="preserve">do Paříže </w:t>
      </w:r>
      <w:r w:rsidR="08CA7998">
        <w:t xml:space="preserve">toto </w:t>
      </w:r>
      <w:r>
        <w:t>problematické</w:t>
      </w:r>
      <w:r w:rsidRPr="00273106">
        <w:t xml:space="preserve"> tvrzení</w:t>
      </w:r>
      <w:r w:rsidR="00050EED">
        <w:t xml:space="preserve"> v roce 1270. Ale </w:t>
      </w:r>
      <w:r>
        <w:t xml:space="preserve">první tomista  Aegidius </w:t>
      </w:r>
      <w:r w:rsidR="00050EED">
        <w:t xml:space="preserve">je hlásal </w:t>
      </w:r>
      <w:r w:rsidR="007A555F">
        <w:t xml:space="preserve">v Paříži </w:t>
      </w:r>
      <w:r>
        <w:t xml:space="preserve">od roku 1268. </w:t>
      </w:r>
      <w:r w:rsidR="00B3498F" w:rsidRPr="00B3498F">
        <w:t xml:space="preserve">Intelekt je vedle </w:t>
      </w:r>
      <w:r w:rsidR="00B3498F" w:rsidRPr="00B3498F">
        <w:rPr>
          <w:i/>
        </w:rPr>
        <w:t>anima intellectiva</w:t>
      </w:r>
      <w:r w:rsidR="00B3498F" w:rsidRPr="00B3498F">
        <w:t xml:space="preserve"> zvláštní intelektuáln</w:t>
      </w:r>
      <w:r w:rsidR="00B3498F">
        <w:t>í a subsistentní formou. Hypostá</w:t>
      </w:r>
      <w:r w:rsidR="00B3498F" w:rsidRPr="00B3498F">
        <w:t>zovaný intelekt zajišťuje nesmrtelnost a nezničitelnost osoby díky své ne</w:t>
      </w:r>
      <w:r w:rsidR="00B3498F">
        <w:t xml:space="preserve">materialitě </w:t>
      </w:r>
      <w:r w:rsidR="00B3498F" w:rsidRPr="00B3498F">
        <w:t xml:space="preserve">a oddělenosti. </w:t>
      </w:r>
      <w:r>
        <w:t xml:space="preserve"> Tato teze je co do smyslu autenticky aristotelská, ale nikoliv křesťanská. To dobře viděl Alvernus v podobné polemice okolo roku 1240 proti </w:t>
      </w:r>
      <w:r w:rsidRPr="085F767C">
        <w:rPr>
          <w:i/>
        </w:rPr>
        <w:t>sequ</w:t>
      </w:r>
      <w:r>
        <w:rPr>
          <w:i/>
        </w:rPr>
        <w:t>a</w:t>
      </w:r>
      <w:r w:rsidRPr="085F767C">
        <w:rPr>
          <w:i/>
        </w:rPr>
        <w:t>ces Aristotelis</w:t>
      </w:r>
      <w:r>
        <w:t xml:space="preserve">, kam zařadil i Aristotela </w:t>
      </w:r>
      <w:r w:rsidR="0013694F">
        <w:rPr>
          <w:szCs w:val="24"/>
          <w:lang w:val="de-DE"/>
        </w:rPr>
        <w:t>(</w:t>
      </w:r>
      <w:r w:rsidR="0013694F">
        <w:rPr>
          <w:i/>
          <w:szCs w:val="24"/>
          <w:lang w:val="de-DE"/>
        </w:rPr>
        <w:t>ex quibus fuit Aristoteles, et sequaces eius videlicet Alpharalius, Algaxel, et Avicenna</w:t>
      </w:r>
      <w:r w:rsidR="0013694F">
        <w:rPr>
          <w:szCs w:val="24"/>
          <w:lang w:val="de-DE"/>
        </w:rPr>
        <w:t xml:space="preserve">; OBJ II, Kap. 2.3). </w:t>
      </w:r>
      <w:r>
        <w:t xml:space="preserve">Publikace této teze </w:t>
      </w:r>
      <w:r w:rsidR="003E4B62">
        <w:t xml:space="preserve">je </w:t>
      </w:r>
      <w:r>
        <w:t xml:space="preserve">v první části </w:t>
      </w:r>
      <w:r w:rsidR="00E755B4" w:rsidRPr="0015023E">
        <w:rPr>
          <w:rStyle w:val="expandableitem"/>
          <w:i/>
        </w:rPr>
        <w:t>Summa Theologiae</w:t>
      </w:r>
      <w:r w:rsidR="00E755B4">
        <w:rPr>
          <w:rStyle w:val="expandableitem"/>
          <w:i/>
        </w:rPr>
        <w:t xml:space="preserve"> </w:t>
      </w:r>
      <w:r>
        <w:t>sestavené ještě v</w:t>
      </w:r>
      <w:r w:rsidR="003E4B62">
        <w:t> </w:t>
      </w:r>
      <w:r>
        <w:t>Itálii</w:t>
      </w:r>
      <w:r w:rsidR="003E4B62">
        <w:t xml:space="preserve">. Díky této interpretaci se z </w:t>
      </w:r>
      <w:r>
        <w:t xml:space="preserve">Akvinského </w:t>
      </w:r>
      <w:r w:rsidR="003E4B62">
        <w:t xml:space="preserve">stal </w:t>
      </w:r>
      <w:r w:rsidR="003E4B62" w:rsidRPr="003E4B62">
        <w:rPr>
          <w:i/>
        </w:rPr>
        <w:t>Expositor Novus</w:t>
      </w:r>
      <w:r w:rsidR="003E4B62">
        <w:t xml:space="preserve"> </w:t>
      </w:r>
      <w:r>
        <w:t xml:space="preserve">pro bezradné </w:t>
      </w:r>
      <w:r w:rsidR="003E4B62">
        <w:t xml:space="preserve">pařížské </w:t>
      </w:r>
      <w:r>
        <w:t>scholastiky kolísající mezi prvním a druhým averroismem</w:t>
      </w:r>
      <w:r w:rsidR="003E4B62">
        <w:t>,</w:t>
      </w:r>
      <w:r>
        <w:t xml:space="preserve"> jako byl Aegidius Romanus. Následující kapitoly věnované Akvinskému ukáží </w:t>
      </w:r>
      <w:r w:rsidRPr="00273106">
        <w:t>rozdíl mezi dvěma akty</w:t>
      </w:r>
      <w:r>
        <w:t xml:space="preserve"> subsistence:</w:t>
      </w:r>
      <w:r w:rsidRPr="00273106">
        <w:t xml:space="preserve"> duše jako </w:t>
      </w:r>
      <w:r>
        <w:t xml:space="preserve">formy </w:t>
      </w:r>
      <w:r w:rsidR="00706B04">
        <w:t xml:space="preserve">osoby </w:t>
      </w:r>
      <w:r w:rsidRPr="00273106">
        <w:t>(</w:t>
      </w:r>
      <w:r w:rsidRPr="00273106">
        <w:rPr>
          <w:i/>
        </w:rPr>
        <w:t>qua</w:t>
      </w:r>
      <w:r w:rsidRPr="00273106">
        <w:rPr>
          <w:i/>
          <w:vertAlign w:val="superscript"/>
        </w:rPr>
        <w:t>1</w:t>
      </w:r>
      <w:r w:rsidRPr="00273106">
        <w:t xml:space="preserve">) a intelektu jako formy </w:t>
      </w:r>
      <w:r w:rsidR="00706B04">
        <w:t xml:space="preserve">v duši </w:t>
      </w:r>
      <w:r w:rsidRPr="00273106">
        <w:t>(</w:t>
      </w:r>
      <w:r w:rsidRPr="00273106">
        <w:rPr>
          <w:i/>
        </w:rPr>
        <w:t>qua</w:t>
      </w:r>
      <w:r w:rsidRPr="00273106">
        <w:rPr>
          <w:i/>
          <w:vertAlign w:val="superscript"/>
        </w:rPr>
        <w:t>2</w:t>
      </w:r>
      <w:r w:rsidRPr="00273106">
        <w:t>)</w:t>
      </w:r>
      <w:r w:rsidRPr="006C7A0F">
        <w:rPr>
          <w:i/>
        </w:rPr>
        <w:fldChar w:fldCharType="begin"/>
      </w:r>
      <w:r w:rsidRPr="006C7A0F">
        <w:instrText xml:space="preserve"> XE "intelekt:modus </w:instrText>
      </w:r>
      <w:r w:rsidRPr="006C7A0F">
        <w:rPr>
          <w:i/>
        </w:rPr>
        <w:instrText>qua</w:instrText>
      </w:r>
      <w:r w:rsidRPr="006C7A0F">
        <w:rPr>
          <w:i/>
          <w:vertAlign w:val="superscript"/>
        </w:rPr>
        <w:instrText>2</w:instrText>
      </w:r>
      <w:r w:rsidRPr="006C7A0F">
        <w:instrText xml:space="preserve">" </w:instrText>
      </w:r>
      <w:r w:rsidRPr="006C7A0F">
        <w:rPr>
          <w:i/>
        </w:rPr>
        <w:fldChar w:fldCharType="end"/>
      </w:r>
      <w:r>
        <w:t xml:space="preserve">. </w:t>
      </w:r>
      <w:r w:rsidRPr="00273106">
        <w:t xml:space="preserve">Siger zásadně vztahuje </w:t>
      </w:r>
      <w:r w:rsidRPr="00E52880">
        <w:rPr>
          <w:i/>
        </w:rPr>
        <w:t>anima intellectiva</w:t>
      </w:r>
      <w:r>
        <w:t xml:space="preserve"> </w:t>
      </w:r>
      <w:r w:rsidRPr="00273106">
        <w:t>k celostnímu aktu existence</w:t>
      </w:r>
      <w:r>
        <w:t xml:space="preserve"> v modu </w:t>
      </w:r>
      <w:r w:rsidR="00BC663D">
        <w:t>„</w:t>
      </w:r>
      <w:r>
        <w:rPr>
          <w:i/>
        </w:rPr>
        <w:t>homo ipse intelligit</w:t>
      </w:r>
      <w:r w:rsidR="00BC663D">
        <w:t>“</w:t>
      </w:r>
      <w:r>
        <w:rPr>
          <w:i/>
        </w:rPr>
        <w:fldChar w:fldCharType="begin"/>
      </w:r>
      <w:r>
        <w:instrText xml:space="preserve"> XE "</w:instrText>
      </w:r>
      <w:r w:rsidRPr="00B935DC">
        <w:rPr>
          <w:rStyle w:val="Zkladntext350"/>
        </w:rPr>
        <w:instrText>osoba</w:instrText>
      </w:r>
      <w:r w:rsidRPr="00B935DC">
        <w:rPr>
          <w:rStyle w:val="Zkladntext350"/>
          <w:i/>
        </w:rPr>
        <w:instrText>:</w:instrText>
      </w:r>
      <w:r>
        <w:rPr>
          <w:rStyle w:val="Zkladntext350"/>
          <w:i/>
        </w:rPr>
        <w:instrText>homo ipse intelligit</w:instrText>
      </w:r>
      <w:r>
        <w:instrText xml:space="preserve">" </w:instrText>
      </w:r>
      <w:r>
        <w:rPr>
          <w:i/>
        </w:rPr>
        <w:fldChar w:fldCharType="end"/>
      </w:r>
      <w:r w:rsidR="00BC663D">
        <w:t xml:space="preserve">. Proto zásadně odmítl </w:t>
      </w:r>
      <w:r>
        <w:t xml:space="preserve">dualismus dvou hypostází </w:t>
      </w:r>
      <w:r w:rsidR="00BC663D">
        <w:t>v člověku</w:t>
      </w:r>
      <w:r>
        <w:t xml:space="preserve">. Intelekt nelze nijak hypostázovat, protože by byl substancí. Opět je zdůrazněn princip </w:t>
      </w:r>
      <w:r w:rsidRPr="08F27684">
        <w:rPr>
          <w:i/>
        </w:rPr>
        <w:t>subiective</w:t>
      </w:r>
      <w:r>
        <w:t>, který patří pouze nemateriální duši jako aktuální formě těla (</w:t>
      </w:r>
      <w:r w:rsidRPr="00616C46">
        <w:rPr>
          <w:i/>
        </w:rPr>
        <w:t>anima est qua intelligimus</w:t>
      </w:r>
      <w:r>
        <w:t xml:space="preserve">). </w:t>
      </w:r>
      <w:r w:rsidRPr="00273106">
        <w:t>Magistr jasně tvrdí ve výše uvedených pasážích, že ipseita patří pouze člověku v jeho celostním výkonu žít a rozumět</w:t>
      </w:r>
      <w:r>
        <w:t>. Duše je tím, čím rozumíme, protože rozumíme pouze v těle, kde tento výkon také kauzálně zakoušíme (</w:t>
      </w:r>
      <w:r w:rsidRPr="00273106">
        <w:rPr>
          <w:i/>
        </w:rPr>
        <w:t>qua</w:t>
      </w:r>
      <w:r>
        <w:rPr>
          <w:i/>
          <w:vertAlign w:val="superscript"/>
        </w:rPr>
        <w:t>1</w:t>
      </w:r>
      <w:r>
        <w:t>)</w:t>
      </w:r>
      <w:r w:rsidRPr="00273106">
        <w:t xml:space="preserve">. Připsat ipseitu přímo intelektu </w:t>
      </w:r>
      <w:r>
        <w:t xml:space="preserve">v modu </w:t>
      </w:r>
      <w:r w:rsidRPr="00273106">
        <w:rPr>
          <w:i/>
        </w:rPr>
        <w:t>qua</w:t>
      </w:r>
      <w:r w:rsidRPr="00273106">
        <w:rPr>
          <w:i/>
          <w:vertAlign w:val="superscript"/>
        </w:rPr>
        <w:t>2</w:t>
      </w:r>
      <w:r>
        <w:t xml:space="preserve"> </w:t>
      </w:r>
      <w:r w:rsidR="088E3127">
        <w:t>by znamenalo</w:t>
      </w:r>
      <w:r w:rsidRPr="00273106">
        <w:t xml:space="preserve">, že se z něj udělá aktuální </w:t>
      </w:r>
      <w:r>
        <w:t xml:space="preserve">první substance nebo nějaká forma hypostáze. To je ale fundamentální omyl v modu Rufusovy formy </w:t>
      </w:r>
      <w:r w:rsidRPr="089D6D63">
        <w:rPr>
          <w:i/>
        </w:rPr>
        <w:t>Oxfordian Fallacy</w:t>
      </w:r>
      <w:r>
        <w:t>, protože univerzální esence se stává reálnou účinnou kauzou (</w:t>
      </w:r>
      <w:r w:rsidRPr="089D6D63">
        <w:rPr>
          <w:i/>
        </w:rPr>
        <w:t>medium et causa idem</w:t>
      </w:r>
      <w:r w:rsidR="081E6BBD">
        <w:t>; OBJ II, kap. 3</w:t>
      </w:r>
      <w:r>
        <w:t xml:space="preserve">.3.1). Tomistická </w:t>
      </w:r>
      <w:r w:rsidRPr="089B2457">
        <w:rPr>
          <w:i/>
        </w:rPr>
        <w:t>anima intellectiva</w:t>
      </w:r>
      <w:r>
        <w:t xml:space="preserve"> </w:t>
      </w:r>
      <w:r w:rsidR="0005123E">
        <w:t xml:space="preserve">je </w:t>
      </w:r>
      <w:r>
        <w:t>napojená na hypostázovaný intelekt</w:t>
      </w:r>
      <w:r w:rsidR="0005123E">
        <w:t xml:space="preserve"> jako „</w:t>
      </w:r>
      <w:r w:rsidRPr="08BD1B36">
        <w:t>νοῦς</w:t>
      </w:r>
      <w:r w:rsidR="0005123E">
        <w:t xml:space="preserve">“ Aristotela. Ten </w:t>
      </w:r>
      <w:r>
        <w:t>tvoří samos</w:t>
      </w:r>
      <w:r w:rsidR="00072DC5">
        <w:t xml:space="preserve">tatnou aktivní a kauzální formu, která může existovat </w:t>
      </w:r>
      <w:r>
        <w:t xml:space="preserve">mimo tělo </w:t>
      </w:r>
      <w:r w:rsidRPr="00273106">
        <w:t>(</w:t>
      </w:r>
      <w:r w:rsidRPr="00273106">
        <w:rPr>
          <w:i/>
        </w:rPr>
        <w:t>anima intellectiva haberet esse separatum a materia et corpore</w:t>
      </w:r>
      <w:r w:rsidRPr="00273106">
        <w:t>)</w:t>
      </w:r>
      <w:r>
        <w:t xml:space="preserve">. Přesně toto pojetí hypostázované </w:t>
      </w:r>
      <w:r w:rsidR="081967F2">
        <w:t xml:space="preserve">intelektuální </w:t>
      </w:r>
      <w:r>
        <w:t xml:space="preserve">duše má tomistický Aegidius kolem roku 1270, což ukázaly předešlé kapitoly. Tuto hypostázi potřebuje teolog Akvinský proto, aby zachránil nesmrtelnost duše. </w:t>
      </w:r>
      <w:r w:rsidRPr="00273106">
        <w:t>Intelektuální potence duše zaručuje její jednotu v</w:t>
      </w:r>
      <w:r w:rsidR="009710D0">
        <w:t> </w:t>
      </w:r>
      <w:r w:rsidRPr="00273106">
        <w:t>těle</w:t>
      </w:r>
      <w:r w:rsidR="009710D0">
        <w:t xml:space="preserve">. Intelekt </w:t>
      </w:r>
      <w:r>
        <w:t xml:space="preserve">ve formě hypostáze </w:t>
      </w:r>
      <w:r w:rsidR="009710D0" w:rsidRPr="00273106">
        <w:t xml:space="preserve">definuje </w:t>
      </w:r>
      <w:r w:rsidRPr="00273106">
        <w:t>způsob nemateriální subsistence duše</w:t>
      </w:r>
      <w:r w:rsidR="009710D0">
        <w:t xml:space="preserve">, která </w:t>
      </w:r>
      <w:r w:rsidR="009710D0">
        <w:lastRenderedPageBreak/>
        <w:t xml:space="preserve">existuje i </w:t>
      </w:r>
      <w:r w:rsidRPr="00273106">
        <w:t>po smrti</w:t>
      </w:r>
      <w:r w:rsidR="009710D0">
        <w:t xml:space="preserve">, protože je </w:t>
      </w:r>
      <w:r w:rsidRPr="00273106">
        <w:t>oddělen</w:t>
      </w:r>
      <w:r w:rsidR="009710D0">
        <w:t>a</w:t>
      </w:r>
      <w:r w:rsidRPr="00273106">
        <w:t xml:space="preserve"> od těla</w:t>
      </w:r>
      <w:r>
        <w:t xml:space="preserve">. To je pro Sigera čistý sofismus. Akvinský </w:t>
      </w:r>
      <w:r w:rsidR="00695E3E">
        <w:t xml:space="preserve">jako filosof </w:t>
      </w:r>
      <w:r>
        <w:t>v případě analýzy poznání osoby bere in</w:t>
      </w:r>
      <w:r w:rsidR="08B24FEA">
        <w:t>telekt jako potenci duše</w:t>
      </w:r>
      <w:r>
        <w:t xml:space="preserve">. Akvinský </w:t>
      </w:r>
      <w:r w:rsidR="00695E3E">
        <w:t xml:space="preserve">jako teolog </w:t>
      </w:r>
      <w:r>
        <w:t xml:space="preserve">bere stejný intelekt jako hypostázi s odvoláním na Aristotelovu </w:t>
      </w:r>
      <w:r w:rsidRPr="084A6150">
        <w:rPr>
          <w:i/>
        </w:rPr>
        <w:t>De anima</w:t>
      </w:r>
      <w:r>
        <w:t>, aby obháji</w:t>
      </w:r>
      <w:r w:rsidR="08B24FEA">
        <w:t>l nesmrtelnost duše</w:t>
      </w:r>
      <w:r>
        <w:t xml:space="preserve">. </w:t>
      </w:r>
      <w:r w:rsidR="00383877" w:rsidRPr="00383877">
        <w:t xml:space="preserve">Intelekt je brán současně a ve stejném druhu </w:t>
      </w:r>
      <w:r w:rsidR="00383877" w:rsidRPr="00383877">
        <w:rPr>
          <w:i/>
        </w:rPr>
        <w:t>demonstratio</w:t>
      </w:r>
      <w:r w:rsidR="00383877" w:rsidRPr="00383877">
        <w:t xml:space="preserve"> jako filosofická potencialita a </w:t>
      </w:r>
      <w:r w:rsidR="00383877">
        <w:t xml:space="preserve">jako </w:t>
      </w:r>
      <w:r w:rsidR="00383877" w:rsidRPr="00383877">
        <w:t xml:space="preserve">teologická hypostatická forma. </w:t>
      </w:r>
      <w:r>
        <w:t xml:space="preserve">Tuto sofistiku ukazuje spis </w:t>
      </w:r>
      <w:r w:rsidRPr="084A6150">
        <w:rPr>
          <w:i/>
        </w:rPr>
        <w:t>De unitate intellectus</w:t>
      </w:r>
      <w:r>
        <w:t xml:space="preserve"> psaný v Paříži, který odmítli magistři v Rue du Fouarre a Bacon. Artisté v Rue du Fouarre výslovně zakázali smíšení teologie a filosofie dekretem z roku 1272. Tomášova a</w:t>
      </w:r>
      <w:r w:rsidRPr="00273106">
        <w:t xml:space="preserve">rgumentace </w:t>
      </w:r>
      <w:r>
        <w:t xml:space="preserve">se </w:t>
      </w:r>
      <w:r w:rsidRPr="00273106">
        <w:t>dosta</w:t>
      </w:r>
      <w:r>
        <w:t xml:space="preserve">la </w:t>
      </w:r>
      <w:r w:rsidRPr="00273106">
        <w:t>na úroveň zásadního omylu druhého averroismu</w:t>
      </w:r>
      <w:r w:rsidR="00247F0F">
        <w:t xml:space="preserve">. </w:t>
      </w:r>
      <w:r w:rsidR="00247F0F" w:rsidRPr="00247F0F">
        <w:t>Akvinský však hájil pluralitu forem v člověku, nikoliv pluralitu substancí jako druhý averroismus.</w:t>
      </w:r>
    </w:p>
    <w:p w:rsidR="00E44553" w:rsidRDefault="08163013" w:rsidP="00434C2A">
      <w:pPr>
        <w:ind w:firstLine="397"/>
      </w:pPr>
      <w:r>
        <w:t xml:space="preserve">Sigera </w:t>
      </w:r>
      <w:r w:rsidR="00247F0F">
        <w:t xml:space="preserve">považoval Akvinského výklad </w:t>
      </w:r>
      <w:r w:rsidR="00247F0F" w:rsidRPr="00247F0F">
        <w:rPr>
          <w:i/>
        </w:rPr>
        <w:t>De anima</w:t>
      </w:r>
      <w:r w:rsidR="00247F0F">
        <w:t xml:space="preserve"> za </w:t>
      </w:r>
      <w:r>
        <w:t>mnohem h</w:t>
      </w:r>
      <w:r w:rsidR="00247F0F">
        <w:t xml:space="preserve">orší omyl než v případě Alberta. Ten </w:t>
      </w:r>
      <w:r>
        <w:t>držel plnou jednotu osoby</w:t>
      </w:r>
      <w:r w:rsidRPr="08FD19E3">
        <w:t xml:space="preserve"> </w:t>
      </w:r>
      <w:r>
        <w:t xml:space="preserve">podle CMDA. </w:t>
      </w:r>
      <w:r w:rsidRPr="00273106">
        <w:t>Siger upozorňuje</w:t>
      </w:r>
      <w:r>
        <w:t xml:space="preserve"> znalce problému na to</w:t>
      </w:r>
      <w:r w:rsidRPr="00273106">
        <w:t xml:space="preserve">, že Akvinský špatně pochopil centrální část Aristotelovy a </w:t>
      </w:r>
      <w:r>
        <w:t>Averroes</w:t>
      </w:r>
      <w:r w:rsidRPr="00273106">
        <w:t xml:space="preserve">ovy nauky. </w:t>
      </w:r>
      <w:r w:rsidR="00584484">
        <w:t>D</w:t>
      </w:r>
      <w:r w:rsidRPr="00273106">
        <w:t xml:space="preserve">uše </w:t>
      </w:r>
      <w:r w:rsidR="00584484">
        <w:t xml:space="preserve">zajišťuje </w:t>
      </w:r>
      <w:r w:rsidRPr="00273106">
        <w:t>akt</w:t>
      </w:r>
      <w:r w:rsidR="00584484">
        <w:t xml:space="preserve"> intelektuální existence </w:t>
      </w:r>
      <w:r w:rsidRPr="00273106">
        <w:t>(</w:t>
      </w:r>
      <w:r w:rsidRPr="00273106">
        <w:rPr>
          <w:i/>
        </w:rPr>
        <w:t>anima est qua intelligimus</w:t>
      </w:r>
      <w:r w:rsidRPr="00273106">
        <w:t>), a proto završuje tělesnou existenci (</w:t>
      </w:r>
      <w:r w:rsidRPr="00273106">
        <w:rPr>
          <w:i/>
        </w:rPr>
        <w:t>eam esse actum et perfectionem corporis</w:t>
      </w:r>
      <w:r w:rsidR="00BF6273">
        <w:t xml:space="preserve">). </w:t>
      </w:r>
      <w:r w:rsidR="00BF6273" w:rsidRPr="00BF6273">
        <w:t xml:space="preserve">V Albertově případě vystupoval esenciální intelekt jako </w:t>
      </w:r>
      <w:r w:rsidR="00BF6273">
        <w:t xml:space="preserve">supozice </w:t>
      </w:r>
      <w:r w:rsidR="00BF6273" w:rsidRPr="00BF6273">
        <w:t>v deduktivním důkazu</w:t>
      </w:r>
      <w:r w:rsidR="00BF6273">
        <w:t xml:space="preserve">, v modu </w:t>
      </w:r>
      <w:r w:rsidR="00BF6273" w:rsidRPr="00BF6273">
        <w:rPr>
          <w:i/>
        </w:rPr>
        <w:t>obiective</w:t>
      </w:r>
      <w:r w:rsidR="00BF6273" w:rsidRPr="00BF6273">
        <w:t xml:space="preserve">. </w:t>
      </w:r>
      <w:r w:rsidR="00BF6273">
        <w:t>Ale m</w:t>
      </w:r>
      <w:r w:rsidR="00BF6273" w:rsidRPr="00BF6273">
        <w:t xml:space="preserve">ěl by být predikován v modu </w:t>
      </w:r>
      <w:r w:rsidR="00BF6273" w:rsidRPr="00BF6273">
        <w:rPr>
          <w:i/>
        </w:rPr>
        <w:t>subiective</w:t>
      </w:r>
      <w:r w:rsidR="00BF6273" w:rsidRPr="00BF6273">
        <w:t xml:space="preserve"> pomocí metafyzické imp</w:t>
      </w:r>
      <w:r w:rsidR="00BF6273">
        <w:t xml:space="preserve">ozice </w:t>
      </w:r>
      <w:r w:rsidR="00BF6273" w:rsidRPr="00BF6273">
        <w:t xml:space="preserve">intelektu jako </w:t>
      </w:r>
      <w:r w:rsidR="00BF6273" w:rsidRPr="00BF6273">
        <w:rPr>
          <w:i/>
        </w:rPr>
        <w:t>tertium genus</w:t>
      </w:r>
      <w:r w:rsidR="009A01AF">
        <w:t xml:space="preserve">. Albert reflektoval </w:t>
      </w:r>
      <w:r>
        <w:t>skutečný průběh poznání</w:t>
      </w:r>
      <w:r w:rsidR="00182C98">
        <w:t xml:space="preserve"> v rámci </w:t>
      </w:r>
      <w:r w:rsidR="00182C98" w:rsidRPr="00182C98">
        <w:rPr>
          <w:i/>
        </w:rPr>
        <w:t>anima intellectiva</w:t>
      </w:r>
      <w:r>
        <w:t xml:space="preserve">. Akvinský má špatně </w:t>
      </w:r>
      <w:r w:rsidR="009A01AF">
        <w:t xml:space="preserve">definovaný samotný průběh poznání, protože dal intelektu jako </w:t>
      </w:r>
      <w:r>
        <w:t xml:space="preserve">esenci kauzální účinnost v Rufusově modu </w:t>
      </w:r>
      <w:r w:rsidRPr="083E3510">
        <w:rPr>
          <w:i/>
        </w:rPr>
        <w:t>Oxfordian Fallacy</w:t>
      </w:r>
      <w:r>
        <w:t xml:space="preserve">. </w:t>
      </w:r>
      <w:r w:rsidR="00095569" w:rsidRPr="00095569">
        <w:t xml:space="preserve">Intelekt nemůže provozovat akt </w:t>
      </w:r>
      <w:r w:rsidR="00095569">
        <w:t xml:space="preserve">porozumění </w:t>
      </w:r>
      <w:r w:rsidR="00095569" w:rsidRPr="00095569">
        <w:t>jako hypost</w:t>
      </w:r>
      <w:r w:rsidR="00095569">
        <w:t>áze v modu „</w:t>
      </w:r>
      <w:r w:rsidR="00095569" w:rsidRPr="00095569">
        <w:rPr>
          <w:i/>
        </w:rPr>
        <w:t>ipse</w:t>
      </w:r>
      <w:r w:rsidR="00095569">
        <w:t>“</w:t>
      </w:r>
      <w:r w:rsidR="00095569" w:rsidRPr="00095569">
        <w:t xml:space="preserve">, protože všechny akty nehmotné </w:t>
      </w:r>
      <w:r w:rsidR="00095569" w:rsidRPr="00095569">
        <w:rPr>
          <w:i/>
        </w:rPr>
        <w:t>anima intellectiva</w:t>
      </w:r>
      <w:r w:rsidR="00095569" w:rsidRPr="00095569">
        <w:t xml:space="preserve"> jsou osobní</w:t>
      </w:r>
      <w:r w:rsidR="00095569">
        <w:t xml:space="preserve"> povahy</w:t>
      </w:r>
      <w:r w:rsidR="00095569" w:rsidRPr="00095569">
        <w:t xml:space="preserve">. </w:t>
      </w:r>
      <w:r w:rsidR="00095569">
        <w:t>Kompletně všechny akty porozumění (smyslové i intelektuální) j</w:t>
      </w:r>
      <w:r w:rsidR="00095569" w:rsidRPr="00095569">
        <w:t xml:space="preserve">sou ustaveny v modu </w:t>
      </w:r>
      <w:r w:rsidR="00095569" w:rsidRPr="00095569">
        <w:rPr>
          <w:i/>
        </w:rPr>
        <w:t>subiective</w:t>
      </w:r>
      <w:r w:rsidR="00095569">
        <w:t xml:space="preserve">, tj. jako činnost </w:t>
      </w:r>
      <w:r w:rsidR="00CA7F1D">
        <w:t>tělesně</w:t>
      </w:r>
      <w:r w:rsidR="00095569">
        <w:t xml:space="preserve"> existující</w:t>
      </w:r>
      <w:r w:rsidR="00495973">
        <w:t xml:space="preserve"> osoby. </w:t>
      </w:r>
      <w:r>
        <w:t>Siger hájil od samého počátku intelekt</w:t>
      </w:r>
      <w:r w:rsidR="08111A57">
        <w:t>uální duši jako složenou (kap. 4</w:t>
      </w:r>
      <w:r>
        <w:t>.4.1), protože intelektuální potence duše je nemateriální a přichází ke smyslovým schopnostem duše zvnějšku</w:t>
      </w:r>
      <w:r w:rsidR="00495973">
        <w:t xml:space="preserve"> v modu intelektu jako </w:t>
      </w:r>
      <w:r w:rsidR="00495973" w:rsidRPr="00152B16">
        <w:rPr>
          <w:i/>
        </w:rPr>
        <w:t>separabilis</w:t>
      </w:r>
      <w:r>
        <w:t xml:space="preserve">. </w:t>
      </w:r>
      <w:r w:rsidRPr="00273106">
        <w:t xml:space="preserve">Autonomně chápající intelekt by musel obsahovat </w:t>
      </w:r>
      <w:r w:rsidR="00212A0C">
        <w:t xml:space="preserve">hypostatické and </w:t>
      </w:r>
      <w:r w:rsidR="00212A0C" w:rsidRPr="00DE2B9C">
        <w:rPr>
          <w:i/>
        </w:rPr>
        <w:t xml:space="preserve">a </w:t>
      </w:r>
      <w:proofErr w:type="gramStart"/>
      <w:r w:rsidR="00212A0C" w:rsidRPr="00DE2B9C">
        <w:rPr>
          <w:i/>
        </w:rPr>
        <w:t>priori</w:t>
      </w:r>
      <w:r w:rsidR="00212A0C">
        <w:t xml:space="preserve"> </w:t>
      </w:r>
      <w:r w:rsidRPr="00273106">
        <w:t xml:space="preserve"> </w:t>
      </w:r>
      <w:r w:rsidR="00212A0C">
        <w:t>dané</w:t>
      </w:r>
      <w:proofErr w:type="gramEnd"/>
      <w:r w:rsidR="00212A0C">
        <w:t xml:space="preserve"> </w:t>
      </w:r>
      <w:r w:rsidRPr="00273106">
        <w:t>poznávací principy na způsob Avicennova „létajího muže</w:t>
      </w:r>
      <w:r>
        <w:fldChar w:fldCharType="begin"/>
      </w:r>
      <w:r>
        <w:instrText xml:space="preserve"> XE "</w:instrText>
      </w:r>
      <w:r w:rsidRPr="00CB049B">
        <w:instrText>létající muž</w:instrText>
      </w:r>
      <w:r>
        <w:instrText xml:space="preserve">" </w:instrText>
      </w:r>
      <w:r>
        <w:fldChar w:fldCharType="end"/>
      </w:r>
      <w:r w:rsidRPr="00273106">
        <w:t>“</w:t>
      </w:r>
      <w:r>
        <w:t xml:space="preserve"> </w:t>
      </w:r>
      <w:r w:rsidRPr="00273106">
        <w:t>a Descartova</w:t>
      </w:r>
      <w:r>
        <w:t xml:space="preserve"> </w:t>
      </w:r>
      <w:r w:rsidRPr="00106CE4">
        <w:rPr>
          <w:i/>
        </w:rPr>
        <w:t>cogito</w:t>
      </w:r>
      <w:r>
        <w:rPr>
          <w:i/>
        </w:rPr>
        <w:fldChar w:fldCharType="begin"/>
      </w:r>
      <w:r>
        <w:instrText xml:space="preserve"> XE "</w:instrText>
      </w:r>
      <w:r w:rsidRPr="003D2937">
        <w:rPr>
          <w:i/>
        </w:rPr>
        <w:instrText>cogito</w:instrText>
      </w:r>
      <w:r>
        <w:instrText xml:space="preserve">" </w:instrText>
      </w:r>
      <w:r>
        <w:rPr>
          <w:i/>
        </w:rPr>
        <w:fldChar w:fldCharType="end"/>
      </w:r>
      <w:r w:rsidRPr="00273106">
        <w:t xml:space="preserve">. Jenže </w:t>
      </w:r>
      <w:r>
        <w:t xml:space="preserve">originální spis </w:t>
      </w:r>
      <w:r>
        <w:rPr>
          <w:i/>
        </w:rPr>
        <w:t>De anima</w:t>
      </w:r>
      <w:r>
        <w:t xml:space="preserve"> há</w:t>
      </w:r>
      <w:r w:rsidRPr="00273106">
        <w:t xml:space="preserve">jí nasvícení smyslu jsoucna pouze zepředu, skrze aktualizaci intelektu </w:t>
      </w:r>
      <w:r>
        <w:t xml:space="preserve">přes </w:t>
      </w:r>
      <w:r w:rsidRPr="00273106">
        <w:t xml:space="preserve">smysly. Jinak by intelekt nebyl </w:t>
      </w:r>
      <w:r w:rsidRPr="00273106">
        <w:rPr>
          <w:i/>
        </w:rPr>
        <w:t>tabula rasa</w:t>
      </w:r>
      <w:r>
        <w:rPr>
          <w:i/>
        </w:rPr>
        <w:fldChar w:fldCharType="begin"/>
      </w:r>
      <w:r>
        <w:instrText xml:space="preserve"> XE "</w:instrText>
      </w:r>
      <w:r w:rsidRPr="00CE6D17">
        <w:rPr>
          <w:i/>
        </w:rPr>
        <w:instrText>tabula rasa</w:instrText>
      </w:r>
      <w:r>
        <w:instrText xml:space="preserve">" </w:instrText>
      </w:r>
      <w:r>
        <w:rPr>
          <w:i/>
        </w:rPr>
        <w:fldChar w:fldCharType="end"/>
      </w:r>
      <w:r w:rsidRPr="00273106">
        <w:t xml:space="preserve">, což ovšem Akvinský v </w:t>
      </w:r>
      <w:proofErr w:type="gramStart"/>
      <w:r w:rsidRPr="00273106">
        <w:rPr>
          <w:i/>
        </w:rPr>
        <w:t>De</w:t>
      </w:r>
      <w:proofErr w:type="gramEnd"/>
      <w:r w:rsidRPr="00273106">
        <w:rPr>
          <w:i/>
        </w:rPr>
        <w:t xml:space="preserve"> unitate </w:t>
      </w:r>
      <w:r w:rsidRPr="00273106">
        <w:t>nekompromisně hájí</w:t>
      </w:r>
      <w:r>
        <w:t xml:space="preserve"> proti druhému averroismu</w:t>
      </w:r>
      <w:r w:rsidRPr="00273106">
        <w:t>. Siger proti</w:t>
      </w:r>
      <w:r>
        <w:t xml:space="preserve"> Tomášovu nedotaženému ře</w:t>
      </w:r>
      <w:r w:rsidRPr="00273106">
        <w:t xml:space="preserve">šení </w:t>
      </w:r>
      <w:r>
        <w:t xml:space="preserve">jednoty osoby </w:t>
      </w:r>
      <w:r w:rsidRPr="00273106">
        <w:t xml:space="preserve">namítá, že </w:t>
      </w:r>
      <w:r w:rsidR="00A06213">
        <w:t xml:space="preserve">má </w:t>
      </w:r>
      <w:r w:rsidRPr="00273106">
        <w:lastRenderedPageBreak/>
        <w:t>intelekt</w:t>
      </w:r>
      <w:r w:rsidR="00A06213">
        <w:t xml:space="preserve"> jako aktua</w:t>
      </w:r>
      <w:r w:rsidRPr="00273106">
        <w:t>l</w:t>
      </w:r>
      <w:r w:rsidR="00A06213">
        <w:t>izovanou kvazi-substanci</w:t>
      </w:r>
      <w:r w:rsidRPr="00273106">
        <w:t xml:space="preserve"> (</w:t>
      </w:r>
      <w:r w:rsidRPr="00273106">
        <w:rPr>
          <w:i/>
        </w:rPr>
        <w:t>hoc aliquid</w:t>
      </w:r>
      <w:r w:rsidRPr="006C7A0F">
        <w:rPr>
          <w:i/>
        </w:rPr>
        <w:fldChar w:fldCharType="begin"/>
      </w:r>
      <w:r w:rsidRPr="006C7A0F">
        <w:instrText xml:space="preserve"> XE "intelekt:modus </w:instrText>
      </w:r>
      <w:r w:rsidRPr="006C7A0F">
        <w:rPr>
          <w:i/>
        </w:rPr>
        <w:instrText>qua</w:instrText>
      </w:r>
      <w:r w:rsidRPr="006C7A0F">
        <w:rPr>
          <w:i/>
          <w:vertAlign w:val="superscript"/>
        </w:rPr>
        <w:instrText>2</w:instrText>
      </w:r>
      <w:r w:rsidRPr="006C7A0F">
        <w:instrText xml:space="preserve">" </w:instrText>
      </w:r>
      <w:r w:rsidRPr="006C7A0F">
        <w:rPr>
          <w:i/>
        </w:rPr>
        <w:fldChar w:fldCharType="end"/>
      </w:r>
      <w:r w:rsidRPr="00273106">
        <w:t>)</w:t>
      </w:r>
      <w:r>
        <w:t xml:space="preserve">. </w:t>
      </w:r>
      <w:r w:rsidR="00A06213">
        <w:t xml:space="preserve">Tento sofistický intelekt daný jako </w:t>
      </w:r>
      <w:r>
        <w:t xml:space="preserve">forma </w:t>
      </w:r>
      <w:r w:rsidR="00A06213">
        <w:t xml:space="preserve">na </w:t>
      </w:r>
      <w:r>
        <w:t>způsob averroistické moderny by</w:t>
      </w:r>
      <w:r w:rsidRPr="00273106">
        <w:t xml:space="preserve"> nemohl poznávat vše v čisté receptivitě. Siger jasně a nekompromisně hájí pojetí intelektu j</w:t>
      </w:r>
      <w:r>
        <w:t xml:space="preserve">ako čisté nemateriální potence v modu </w:t>
      </w:r>
      <w:r w:rsidRPr="00522291">
        <w:rPr>
          <w:i/>
        </w:rPr>
        <w:t>separabilis</w:t>
      </w:r>
      <w:r>
        <w:t xml:space="preserve">, a nikoliv </w:t>
      </w:r>
      <w:r w:rsidRPr="00522291">
        <w:rPr>
          <w:i/>
        </w:rPr>
        <w:t>separatus</w:t>
      </w:r>
      <w:r>
        <w:t xml:space="preserve">. Akvinského teze hájí intelekt v hypostázované formě </w:t>
      </w:r>
      <w:r w:rsidRPr="0818536D">
        <w:rPr>
          <w:i/>
        </w:rPr>
        <w:t>separatus</w:t>
      </w:r>
      <w:r>
        <w:t xml:space="preserve"> a </w:t>
      </w:r>
      <w:r w:rsidRPr="0818536D">
        <w:rPr>
          <w:i/>
        </w:rPr>
        <w:t>inmixtus</w:t>
      </w:r>
      <w:r>
        <w:t>, protože takto definovaný intelekt zajišťuje nesmrtelnost duše</w:t>
      </w:r>
      <w:r>
        <w:fldChar w:fldCharType="begin"/>
      </w:r>
      <w:r>
        <w:instrText xml:space="preserve"> XE "intelekt:</w:instrText>
      </w:r>
      <w:r w:rsidRPr="008E31F8">
        <w:rPr>
          <w:i/>
        </w:rPr>
        <w:instrText>separabilis</w:instrText>
      </w:r>
      <w:r>
        <w:instrText>/</w:instrText>
      </w:r>
      <w:r w:rsidRPr="008E31F8">
        <w:rPr>
          <w:i/>
        </w:rPr>
        <w:instrText>separatus</w:instrText>
      </w:r>
      <w:r>
        <w:instrText xml:space="preserve">" </w:instrText>
      </w:r>
      <w:r>
        <w:fldChar w:fldCharType="end"/>
      </w:r>
      <w:r w:rsidR="00585120">
        <w:t>. Tento přístup je druhou</w:t>
      </w:r>
      <w:r w:rsidR="00585120" w:rsidRPr="00585120">
        <w:t xml:space="preserve"> velkou chybou Akvinského. Používá geometrické příklady esencí (trojúhelník, čtyřúhelník), které lze vzájemně kombinovat. V případě intel</w:t>
      </w:r>
      <w:r w:rsidR="00585120">
        <w:t>ektu tomu tak není. Jeho hypostá</w:t>
      </w:r>
      <w:r w:rsidR="00585120" w:rsidRPr="00585120">
        <w:t xml:space="preserve">sovaný intelekt představuje jednu formu a </w:t>
      </w:r>
      <w:r w:rsidR="00585120" w:rsidRPr="00585120">
        <w:rPr>
          <w:i/>
        </w:rPr>
        <w:t>anima intellectiva</w:t>
      </w:r>
      <w:r w:rsidR="00585120" w:rsidRPr="00585120">
        <w:t xml:space="preserve"> je </w:t>
      </w:r>
      <w:r w:rsidR="00585120">
        <w:t xml:space="preserve">druhou </w:t>
      </w:r>
      <w:r w:rsidR="00585120" w:rsidRPr="00585120">
        <w:t xml:space="preserve">formou. U člověka takový druh intelektu neexistuje, neboť všechny esence jsou dány výhradně v mysli (intelekt jako </w:t>
      </w:r>
      <w:r w:rsidR="00585120" w:rsidRPr="00585120">
        <w:rPr>
          <w:i/>
        </w:rPr>
        <w:t>quartum genus</w:t>
      </w:r>
      <w:r w:rsidR="00585120" w:rsidRPr="00585120">
        <w:t xml:space="preserve">). </w:t>
      </w:r>
      <w:r>
        <w:t xml:space="preserve">Podle Sigera má </w:t>
      </w:r>
      <w:r w:rsidR="00585120">
        <w:t xml:space="preserve">aktuální </w:t>
      </w:r>
      <w:r>
        <w:t xml:space="preserve">formu pouze </w:t>
      </w:r>
      <w:r w:rsidRPr="00754F03">
        <w:rPr>
          <w:i/>
        </w:rPr>
        <w:t>anima intellectiva</w:t>
      </w:r>
      <w:r>
        <w:t>, a ne intelekt jako hypostázovaná potence. Skrze entelechický výkon života</w:t>
      </w:r>
      <w:r w:rsidRPr="00273106">
        <w:t xml:space="preserve"> </w:t>
      </w:r>
      <w:r>
        <w:t>(</w:t>
      </w:r>
      <w:r w:rsidRPr="004C7688">
        <w:rPr>
          <w:i/>
        </w:rPr>
        <w:t>esse actum</w:t>
      </w:r>
      <w:r>
        <w:t xml:space="preserve">) </w:t>
      </w:r>
      <w:r w:rsidRPr="00273106">
        <w:t xml:space="preserve">jsme schopni </w:t>
      </w:r>
      <w:r>
        <w:t xml:space="preserve">intelektuálně poznávat a zakoušet ve </w:t>
      </w:r>
      <w:r w:rsidRPr="00273106">
        <w:t xml:space="preserve">výkonu </w:t>
      </w:r>
      <w:r>
        <w:t xml:space="preserve">vlastního </w:t>
      </w:r>
      <w:r w:rsidRPr="00273106">
        <w:t xml:space="preserve">porozumění </w:t>
      </w:r>
      <w:r>
        <w:t xml:space="preserve">daného v duši jako aktualizované formě </w:t>
      </w:r>
      <w:r w:rsidRPr="00273106">
        <w:t>(</w:t>
      </w:r>
      <w:r w:rsidRPr="00273106">
        <w:rPr>
          <w:i/>
        </w:rPr>
        <w:t>anima est qua intelligimus</w:t>
      </w:r>
      <w:r w:rsidRPr="00273106">
        <w:t xml:space="preserve">). </w:t>
      </w:r>
      <w:r w:rsidR="003C5653">
        <w:t>Duše je zapojena v modalitě „</w:t>
      </w:r>
      <w:r w:rsidR="003C5653" w:rsidRPr="003C5653">
        <w:rPr>
          <w:i/>
        </w:rPr>
        <w:t>ipse</w:t>
      </w:r>
      <w:r w:rsidR="003C5653">
        <w:t>“</w:t>
      </w:r>
      <w:r w:rsidR="003C5653" w:rsidRPr="003C5653">
        <w:t xml:space="preserve"> do </w:t>
      </w:r>
      <w:r w:rsidR="003C5653" w:rsidRPr="003C5653">
        <w:rPr>
          <w:i/>
        </w:rPr>
        <w:t xml:space="preserve">actus essendi </w:t>
      </w:r>
      <w:r w:rsidR="003C5653">
        <w:t xml:space="preserve">existující </w:t>
      </w:r>
      <w:r w:rsidR="003C5653" w:rsidRPr="003C5653">
        <w:t xml:space="preserve">osoby. Proto ji nelze </w:t>
      </w:r>
      <w:r w:rsidR="003C5653">
        <w:t xml:space="preserve">predikovat </w:t>
      </w:r>
      <w:r w:rsidR="003C5653" w:rsidRPr="003C5653">
        <w:t xml:space="preserve">s ohledem na intelekt v řádu </w:t>
      </w:r>
      <w:r w:rsidR="003C5653" w:rsidRPr="003C5653">
        <w:rPr>
          <w:i/>
        </w:rPr>
        <w:t>per prius</w:t>
      </w:r>
      <w:r w:rsidR="00894057">
        <w:t xml:space="preserve">. </w:t>
      </w:r>
      <w:r w:rsidR="003C5653">
        <w:t>Duše není primárně esence, jak to mylně predikuje Akvinský, ale entelechická forma existence daná v modu „</w:t>
      </w:r>
      <w:r w:rsidR="003C5653" w:rsidRPr="003C5653">
        <w:rPr>
          <w:i/>
        </w:rPr>
        <w:t>qua</w:t>
      </w:r>
      <w:r w:rsidR="003C5653">
        <w:t xml:space="preserve">“. Pak také intelekt je primárně pouze pouze </w:t>
      </w:r>
      <w:r>
        <w:t>čistá potence</w:t>
      </w:r>
      <w:r w:rsidR="003C5653">
        <w:t xml:space="preserve"> takto existující duše v modu „</w:t>
      </w:r>
      <w:r w:rsidR="003C5653" w:rsidRPr="003C5653">
        <w:rPr>
          <w:i/>
        </w:rPr>
        <w:t>qua</w:t>
      </w:r>
      <w:r w:rsidR="003C5653">
        <w:t xml:space="preserve">“. Pak je intelekt sám o sobě v modu </w:t>
      </w:r>
      <w:r w:rsidR="003C5653" w:rsidRPr="003C5653">
        <w:rPr>
          <w:i/>
        </w:rPr>
        <w:t>per prius</w:t>
      </w:r>
      <w:r w:rsidR="003C5653">
        <w:t xml:space="preserve"> pouze jako čistá možnost, a ne jako aktualizovaná esence.</w:t>
      </w:r>
      <w:r w:rsidR="00E7716B">
        <w:t xml:space="preserve"> Akvinský má </w:t>
      </w:r>
      <w:r w:rsidR="00D3148D">
        <w:t xml:space="preserve">špatně postavenou architekturu </w:t>
      </w:r>
      <w:r w:rsidR="00D3148D" w:rsidRPr="00E7716B">
        <w:rPr>
          <w:i/>
        </w:rPr>
        <w:t>anima intellectiva</w:t>
      </w:r>
      <w:r w:rsidR="00D3148D">
        <w:t xml:space="preserve">, protože </w:t>
      </w:r>
      <w:r w:rsidR="00782C59">
        <w:t xml:space="preserve">definuje </w:t>
      </w:r>
      <w:r w:rsidR="00D3148D">
        <w:t xml:space="preserve">duši primárně v modu </w:t>
      </w:r>
      <w:r w:rsidR="00D3148D" w:rsidRPr="00782C59">
        <w:rPr>
          <w:i/>
        </w:rPr>
        <w:t>quartum genus</w:t>
      </w:r>
      <w:r w:rsidR="00782C59">
        <w:t xml:space="preserve"> a </w:t>
      </w:r>
      <w:r w:rsidR="00D3148D">
        <w:t>p</w:t>
      </w:r>
      <w:r w:rsidR="00782C59">
        <w:t>a</w:t>
      </w:r>
      <w:r w:rsidR="00D3148D">
        <w:t>k ji dodatečně aktualizuje v </w:t>
      </w:r>
      <w:r w:rsidR="00782C59">
        <w:t>mod</w:t>
      </w:r>
      <w:r w:rsidR="00D3148D">
        <w:t xml:space="preserve">u </w:t>
      </w:r>
      <w:r w:rsidR="00D3148D" w:rsidRPr="00782C59">
        <w:rPr>
          <w:i/>
        </w:rPr>
        <w:t>tertium genus</w:t>
      </w:r>
      <w:r w:rsidR="00782C59">
        <w:t>. Nemůže to u</w:t>
      </w:r>
      <w:r w:rsidR="00D3148D">
        <w:t xml:space="preserve">dělat jinak, protože intelekt potřebuje v modu </w:t>
      </w:r>
      <w:r w:rsidR="00D3148D" w:rsidRPr="00782C59">
        <w:rPr>
          <w:i/>
        </w:rPr>
        <w:t>separatus</w:t>
      </w:r>
      <w:r w:rsidR="00D3148D">
        <w:t xml:space="preserve">, aby zajistil </w:t>
      </w:r>
      <w:r w:rsidR="00BD36A4">
        <w:t xml:space="preserve">genericky zcela odlišný </w:t>
      </w:r>
      <w:r w:rsidR="00D3148D">
        <w:t>teologický postulát nesmrtelnosti duše. Hypo</w:t>
      </w:r>
      <w:r w:rsidR="00782C59">
        <w:t>s</w:t>
      </w:r>
      <w:r w:rsidR="00822800">
        <w:t xml:space="preserve">tatický intelekt </w:t>
      </w:r>
      <w:r w:rsidR="00D3148D">
        <w:t>v </w:t>
      </w:r>
      <w:r w:rsidR="00782C59">
        <w:t>mod</w:t>
      </w:r>
      <w:r w:rsidR="00D3148D">
        <w:t xml:space="preserve">u supozice </w:t>
      </w:r>
      <w:r w:rsidR="00822800">
        <w:t>stačí na logicky platný závěr důkazu</w:t>
      </w:r>
      <w:r w:rsidR="00D3148D">
        <w:t>. Vě</w:t>
      </w:r>
      <w:r w:rsidR="00822800">
        <w:t xml:space="preserve">decký důkaz v modu </w:t>
      </w:r>
      <w:r w:rsidR="00822800" w:rsidRPr="00822800">
        <w:rPr>
          <w:i/>
        </w:rPr>
        <w:t>demonstratio</w:t>
      </w:r>
      <w:r w:rsidR="00822800">
        <w:t xml:space="preserve"> to nemůže být v žádném případě. A</w:t>
      </w:r>
      <w:r w:rsidR="006E6BFC">
        <w:t>kvinský zrušil impozici intelektu danou kauzálně po</w:t>
      </w:r>
      <w:r w:rsidR="00D3148D">
        <w:t>uze a jedině v těle (Sigerovo „</w:t>
      </w:r>
      <w:proofErr w:type="gramStart"/>
      <w:r w:rsidR="00D3148D" w:rsidRPr="00D3148D">
        <w:rPr>
          <w:i/>
        </w:rPr>
        <w:t>experimur</w:t>
      </w:r>
      <w:proofErr w:type="gramEnd"/>
      <w:r w:rsidR="00D3148D" w:rsidRPr="00D3148D">
        <w:rPr>
          <w:i/>
        </w:rPr>
        <w:t>–</w:t>
      </w:r>
      <w:proofErr w:type="gramStart"/>
      <w:r w:rsidR="00D3148D" w:rsidRPr="00D3148D">
        <w:rPr>
          <w:i/>
        </w:rPr>
        <w:t>conscii</w:t>
      </w:r>
      <w:proofErr w:type="gramEnd"/>
      <w:r w:rsidR="00D3148D" w:rsidRPr="00D3148D">
        <w:rPr>
          <w:i/>
        </w:rPr>
        <w:t xml:space="preserve"> sumus</w:t>
      </w:r>
      <w:r w:rsidR="00D3148D">
        <w:t xml:space="preserve">“). </w:t>
      </w:r>
      <w:r w:rsidR="006E6BFC">
        <w:t xml:space="preserve">Vědecky a filosoficky poznáváme pouze </w:t>
      </w:r>
      <w:r w:rsidR="00D3148D">
        <w:t xml:space="preserve">existenci </w:t>
      </w:r>
      <w:r w:rsidR="00D3148D" w:rsidRPr="00D3148D">
        <w:rPr>
          <w:i/>
        </w:rPr>
        <w:t>anima intellectiva</w:t>
      </w:r>
      <w:r w:rsidR="00D3148D">
        <w:t xml:space="preserve"> danou kauzálně v</w:t>
      </w:r>
      <w:r w:rsidR="00E90F4A">
        <w:t> </w:t>
      </w:r>
      <w:r w:rsidR="00D3148D">
        <w:t>těle</w:t>
      </w:r>
      <w:r w:rsidR="00E90F4A">
        <w:t xml:space="preserve"> </w:t>
      </w:r>
      <w:r>
        <w:t>(</w:t>
      </w:r>
      <w:r w:rsidRPr="082135B9">
        <w:rPr>
          <w:i/>
        </w:rPr>
        <w:t>homo ipse intelligit</w:t>
      </w:r>
      <w:r w:rsidR="00894057">
        <w:t xml:space="preserve">). </w:t>
      </w:r>
      <w:r w:rsidRPr="00273106">
        <w:t xml:space="preserve">Formálním principem života není </w:t>
      </w:r>
      <w:r>
        <w:t xml:space="preserve">oddělený </w:t>
      </w:r>
      <w:r w:rsidRPr="00273106">
        <w:t>intelekt</w:t>
      </w:r>
      <w:r>
        <w:t xml:space="preserve"> jako schopnost duše</w:t>
      </w:r>
      <w:r w:rsidRPr="00273106">
        <w:t>, ale entelechická duše</w:t>
      </w:r>
      <w:r>
        <w:t xml:space="preserve"> jako forma těla</w:t>
      </w:r>
      <w:r w:rsidRPr="00273106">
        <w:t xml:space="preserve">. </w:t>
      </w:r>
      <w:r>
        <w:t xml:space="preserve">Opět platí minulostní ráz poznání podle </w:t>
      </w:r>
      <w:r w:rsidRPr="08E666CA">
        <w:rPr>
          <w:i/>
        </w:rPr>
        <w:t>Druhých analytik</w:t>
      </w:r>
      <w:r w:rsidRPr="082135B9">
        <w:t>, kdy</w:t>
      </w:r>
      <w:r>
        <w:rPr>
          <w:i/>
        </w:rPr>
        <w:t xml:space="preserve"> </w:t>
      </w:r>
      <w:r>
        <w:t>unive</w:t>
      </w:r>
      <w:r w:rsidR="002F166F">
        <w:t>rzální poznání následuje realitu prvních substancí</w:t>
      </w:r>
      <w:r>
        <w:t xml:space="preserve">. Akvinský jako teolog dal na první místo do modu </w:t>
      </w:r>
      <w:r w:rsidR="081942A4">
        <w:t xml:space="preserve">metafyzického </w:t>
      </w:r>
      <w:r>
        <w:t>dativu (</w:t>
      </w:r>
      <w:r w:rsidR="08F91697">
        <w:t xml:space="preserve">OBJ I, </w:t>
      </w:r>
      <w:r w:rsidRPr="08484FB4">
        <w:t>kap. 1.1</w:t>
      </w:r>
      <w:r>
        <w:rPr>
          <w:i/>
        </w:rPr>
        <w:fldChar w:fldCharType="begin"/>
      </w:r>
      <w:r>
        <w:instrText xml:space="preserve"> XE "</w:instrText>
      </w:r>
      <w:r w:rsidR="081942A4">
        <w:rPr>
          <w:i/>
        </w:rPr>
        <w:instrText>dativus metaphysi</w:instrText>
      </w:r>
      <w:r w:rsidRPr="082F5A4B">
        <w:rPr>
          <w:i/>
        </w:rPr>
        <w:instrText>cus</w:instrText>
      </w:r>
      <w:r>
        <w:instrText xml:space="preserve">" </w:instrText>
      </w:r>
      <w:r>
        <w:rPr>
          <w:i/>
        </w:rPr>
        <w:fldChar w:fldCharType="end"/>
      </w:r>
      <w:r>
        <w:t xml:space="preserve">) teologický postulát místo predikace reálné substance. Tím změnil </w:t>
      </w:r>
      <w:r w:rsidR="00EC404E">
        <w:t xml:space="preserve">metafyzickou </w:t>
      </w:r>
      <w:r>
        <w:t xml:space="preserve">donaci </w:t>
      </w:r>
      <w:r w:rsidR="00EC404E">
        <w:lastRenderedPageBreak/>
        <w:t xml:space="preserve">smyslu jsoucna </w:t>
      </w:r>
      <w:r>
        <w:t xml:space="preserve">na objektivní donaci </w:t>
      </w:r>
      <w:r w:rsidR="00EC404E">
        <w:t xml:space="preserve">danou na základě moderního subjektu </w:t>
      </w:r>
      <w:r>
        <w:t>(</w:t>
      </w:r>
      <w:r w:rsidRPr="08484FB4">
        <w:rPr>
          <w:i/>
        </w:rPr>
        <w:t>dativus obiectivus</w:t>
      </w:r>
      <w:r w:rsidR="00923055">
        <w:rPr>
          <w:i/>
        </w:rPr>
        <w:fldChar w:fldCharType="begin"/>
      </w:r>
      <w:r w:rsidR="00923055">
        <w:instrText xml:space="preserve"> XE "</w:instrText>
      </w:r>
      <w:r w:rsidR="00923055" w:rsidRPr="0025636A">
        <w:rPr>
          <w:i/>
        </w:rPr>
        <w:instrText>dativus obiectivus</w:instrText>
      </w:r>
      <w:r w:rsidR="00923055">
        <w:instrText xml:space="preserve">" </w:instrText>
      </w:r>
      <w:r w:rsidR="00923055">
        <w:rPr>
          <w:i/>
        </w:rPr>
        <w:fldChar w:fldCharType="end"/>
      </w:r>
      <w:r w:rsidR="081220F1">
        <w:t>, kap. 4</w:t>
      </w:r>
      <w:r>
        <w:t xml:space="preserve">). </w:t>
      </w:r>
      <w:r w:rsidR="00434C2A">
        <w:t xml:space="preserve">Aegidius tuto sofistikovanou formu objektivity postavil jako nové filosofické dogma a tím založil tomistickou školu </w:t>
      </w:r>
      <w:r w:rsidR="00434C2A" w:rsidRPr="00667CF1">
        <w:rPr>
          <w:i/>
        </w:rPr>
        <w:t>sophistae Latini</w:t>
      </w:r>
      <w:r w:rsidR="00434C2A">
        <w:t xml:space="preserve">. </w:t>
      </w:r>
      <w:r>
        <w:t xml:space="preserve">Teolog Akvinský potřebuje nesmrtelnou duši v modu kauzálně působící esence, což tvoří základ výkladu </w:t>
      </w:r>
      <w:r w:rsidR="087719DE">
        <w:t xml:space="preserve">osoby </w:t>
      </w:r>
      <w:r>
        <w:t>v </w:t>
      </w:r>
      <w:proofErr w:type="gramStart"/>
      <w:r w:rsidRPr="089E0DF9">
        <w:rPr>
          <w:i/>
        </w:rPr>
        <w:t>De</w:t>
      </w:r>
      <w:proofErr w:type="gramEnd"/>
      <w:r w:rsidRPr="089E0DF9">
        <w:rPr>
          <w:i/>
        </w:rPr>
        <w:t xml:space="preserve"> unitate</w:t>
      </w:r>
      <w:r>
        <w:t>. Tento aristotelismus neodpovídá k</w:t>
      </w:r>
      <w:r w:rsidR="00AE50A2">
        <w:t xml:space="preserve">ritické filosofii podle Sigera. Ta stanovuje </w:t>
      </w:r>
      <w:r>
        <w:t xml:space="preserve">kauzalitu </w:t>
      </w:r>
      <w:r w:rsidRPr="08071C18">
        <w:rPr>
          <w:i/>
        </w:rPr>
        <w:t>anima intellectiva</w:t>
      </w:r>
      <w:r>
        <w:t xml:space="preserve"> skrze bytí osoby jako aktuální substance</w:t>
      </w:r>
      <w:r w:rsidRPr="00273106">
        <w:t xml:space="preserve"> (</w:t>
      </w:r>
      <w:r w:rsidRPr="08FA5BA6">
        <w:rPr>
          <w:i/>
        </w:rPr>
        <w:t>anima est qua intelligimus</w:t>
      </w:r>
      <w:r>
        <w:t xml:space="preserve">). Kauzalitu v původním modu </w:t>
      </w:r>
      <w:r w:rsidRPr="08FA5BA6">
        <w:rPr>
          <w:i/>
        </w:rPr>
        <w:t xml:space="preserve">actus esendi </w:t>
      </w:r>
      <w:r>
        <w:t xml:space="preserve">má jedině entelechická duše v těle, proto primát účinné příčiny poznání </w:t>
      </w:r>
      <w:r w:rsidRPr="00273106">
        <w:t>nemůže patřit intelektu</w:t>
      </w:r>
      <w:r>
        <w:t xml:space="preserve"> jako hypostázované formě. Intelektuální duše kauzálně zakoušená v těle jako oživené substanci představu</w:t>
      </w:r>
      <w:r w:rsidRPr="00273106">
        <w:t xml:space="preserve">je </w:t>
      </w:r>
      <w:r>
        <w:t>podle Sigera jediný zdroj aktuality, protože je vázaná na bytí hylemorfické první substance</w:t>
      </w:r>
      <w:r w:rsidRPr="00273106">
        <w:t xml:space="preserve">. </w:t>
      </w:r>
      <w:r>
        <w:t>Znovu je vidět obrana Averroeso</w:t>
      </w:r>
      <w:r w:rsidR="00E44553">
        <w:t>vy metafyziky proti Avicennovi.</w:t>
      </w:r>
    </w:p>
    <w:p w:rsidR="000E0363" w:rsidRDefault="08163013" w:rsidP="003C3EAE">
      <w:pPr>
        <w:ind w:firstLine="397"/>
      </w:pPr>
      <w:r w:rsidRPr="00273106">
        <w:t xml:space="preserve">Akvinský udělal </w:t>
      </w:r>
      <w:r>
        <w:t xml:space="preserve">mnohem </w:t>
      </w:r>
      <w:r w:rsidRPr="00273106">
        <w:t>větší chybu než Albert</w:t>
      </w:r>
      <w:r w:rsidR="00694CBB">
        <w:t xml:space="preserve">, protože dal intelektu jako </w:t>
      </w:r>
      <w:r>
        <w:t>esenci reálnou kauzalitu v modu existenciální ipseity (</w:t>
      </w:r>
      <w:r w:rsidRPr="08E72B2F">
        <w:rPr>
          <w:i/>
        </w:rPr>
        <w:t>intelligere fit secundum ipsum intellectum</w:t>
      </w:r>
      <w:r>
        <w:t>).</w:t>
      </w:r>
      <w:r w:rsidR="00436A0B">
        <w:t xml:space="preserve"> </w:t>
      </w:r>
      <w:r w:rsidR="000A5096">
        <w:t>Albert jen zaměnil modus “</w:t>
      </w:r>
      <w:r w:rsidR="000A5096" w:rsidRPr="00C02B2F">
        <w:rPr>
          <w:i/>
        </w:rPr>
        <w:t>subiective</w:t>
      </w:r>
      <w:r w:rsidR="000A5096">
        <w:t>”, který musí bít pro intelekt daná v rámci metafyzické supozicie, za modus “</w:t>
      </w:r>
      <w:r w:rsidR="000A5096" w:rsidRPr="00C02B2F">
        <w:rPr>
          <w:i/>
        </w:rPr>
        <w:t>obiective</w:t>
      </w:r>
      <w:r w:rsidR="000A5096">
        <w:t xml:space="preserve">” daný logickou supozicí. Ale predikace </w:t>
      </w:r>
      <w:r w:rsidR="000A5096" w:rsidRPr="000A5096">
        <w:rPr>
          <w:i/>
        </w:rPr>
        <w:t xml:space="preserve">anima intellectiva </w:t>
      </w:r>
      <w:r w:rsidR="000A5096">
        <w:t>byla dána v modu jednoty osoby podle Sigerova modu „</w:t>
      </w:r>
      <w:r w:rsidR="000A5096" w:rsidRPr="000A5096">
        <w:rPr>
          <w:i/>
        </w:rPr>
        <w:t>homo ipse intelligit</w:t>
      </w:r>
      <w:r w:rsidR="000A5096">
        <w:t xml:space="preserve">“. </w:t>
      </w:r>
      <w:r>
        <w:t xml:space="preserve">Akvinský definoval hypostázovaný </w:t>
      </w:r>
      <w:r w:rsidRPr="00273106">
        <w:t xml:space="preserve">intelekt </w:t>
      </w:r>
      <w:r>
        <w:t xml:space="preserve">jako další formu vedle </w:t>
      </w:r>
      <w:r w:rsidRPr="00273106">
        <w:rPr>
          <w:i/>
        </w:rPr>
        <w:t>anima intellectiva</w:t>
      </w:r>
      <w:r>
        <w:t xml:space="preserve">. Po zavedení intelektu jako nové hypostáze </w:t>
      </w:r>
      <w:r w:rsidRPr="00273106">
        <w:t xml:space="preserve">přestal platit </w:t>
      </w:r>
      <w:r>
        <w:t xml:space="preserve">princip </w:t>
      </w:r>
      <w:r w:rsidR="009F3349">
        <w:t>„</w:t>
      </w:r>
      <w:r>
        <w:rPr>
          <w:i/>
        </w:rPr>
        <w:t>homo ipse intelligit</w:t>
      </w:r>
      <w:r w:rsidR="009F3349">
        <w:t>“</w:t>
      </w:r>
      <w:r>
        <w:rPr>
          <w:i/>
        </w:rPr>
        <w:fldChar w:fldCharType="begin"/>
      </w:r>
      <w:r>
        <w:instrText xml:space="preserve"> XE "</w:instrText>
      </w:r>
      <w:r w:rsidRPr="00B935DC">
        <w:rPr>
          <w:rStyle w:val="Zkladntext350"/>
        </w:rPr>
        <w:instrText>osoba</w:instrText>
      </w:r>
      <w:r w:rsidRPr="00B935DC">
        <w:rPr>
          <w:rStyle w:val="Zkladntext350"/>
          <w:i/>
        </w:rPr>
        <w:instrText>:</w:instrText>
      </w:r>
      <w:r>
        <w:rPr>
          <w:rStyle w:val="Zkladntext350"/>
          <w:i/>
        </w:rPr>
        <w:instrText>homo ipse intelligit</w:instrText>
      </w:r>
      <w:r>
        <w:instrText xml:space="preserve">" </w:instrText>
      </w:r>
      <w:r>
        <w:rPr>
          <w:i/>
        </w:rPr>
        <w:fldChar w:fldCharType="end"/>
      </w:r>
      <w:r>
        <w:t xml:space="preserve">. </w:t>
      </w:r>
      <w:r w:rsidR="000B4DED">
        <w:t xml:space="preserve">Hypostázování </w:t>
      </w:r>
      <w:r w:rsidRPr="00273106">
        <w:t xml:space="preserve">intelektu </w:t>
      </w:r>
      <w:r w:rsidR="000B4DED">
        <w:t>pro teologické účely vytvořilo</w:t>
      </w:r>
      <w:r>
        <w:t xml:space="preserve"> </w:t>
      </w:r>
      <w:r w:rsidR="00D13154">
        <w:t xml:space="preserve">simulákrum </w:t>
      </w:r>
      <w:r w:rsidR="00EC1579">
        <w:t xml:space="preserve">sofisticky </w:t>
      </w:r>
      <w:r w:rsidR="006439BE">
        <w:t xml:space="preserve">definované </w:t>
      </w:r>
      <w:r w:rsidR="00D13154" w:rsidRPr="00D13154">
        <w:rPr>
          <w:i/>
        </w:rPr>
        <w:t>anima intellectiva</w:t>
      </w:r>
      <w:r w:rsidR="00D13154">
        <w:t xml:space="preserve"> </w:t>
      </w:r>
      <w:r w:rsidR="08BD2607">
        <w:t>(</w:t>
      </w:r>
      <w:r w:rsidRPr="00273106">
        <w:rPr>
          <w:i/>
        </w:rPr>
        <w:t>ipsum intellectum intelligit</w:t>
      </w:r>
      <w:r w:rsidR="08BD2607">
        <w:t>).</w:t>
      </w:r>
      <w:r>
        <w:t xml:space="preserve"> Toto simulákrum osoby chápe Tomáš a Aegidiův tomismus jako autentický aristotelský výklad </w:t>
      </w:r>
      <w:r w:rsidRPr="004F0983">
        <w:rPr>
          <w:i/>
        </w:rPr>
        <w:t>De anima</w:t>
      </w:r>
      <w:r>
        <w:t xml:space="preserve">. Akvinský odmítl Averroesův výklad jednoty osoby podle CMDA a optoval pro původní výklad </w:t>
      </w:r>
      <w:r w:rsidRPr="08720ADC">
        <w:rPr>
          <w:i/>
        </w:rPr>
        <w:t>De anima</w:t>
      </w:r>
      <w:r w:rsidR="003C3EAE">
        <w:t xml:space="preserve"> podle Aristotela. </w:t>
      </w:r>
      <w:r w:rsidR="00AE4DB3" w:rsidRPr="00AE4DB3">
        <w:t xml:space="preserve">Moderní, postmoderní a tomističtí stoupenci považují výklad </w:t>
      </w:r>
      <w:r w:rsidR="00AE4DB3" w:rsidRPr="00AE4DB3">
        <w:rPr>
          <w:i/>
        </w:rPr>
        <w:t>anima intellectiva</w:t>
      </w:r>
      <w:r w:rsidR="00AE4DB3">
        <w:t xml:space="preserve"> provedený „</w:t>
      </w:r>
      <w:r w:rsidR="00AE4DB3" w:rsidRPr="00AE4DB3">
        <w:rPr>
          <w:i/>
        </w:rPr>
        <w:t>ad mentem Aristotelis</w:t>
      </w:r>
      <w:r w:rsidR="00AE4DB3">
        <w:t>“</w:t>
      </w:r>
      <w:r w:rsidR="00AE4DB3" w:rsidRPr="00AE4DB3">
        <w:t xml:space="preserve"> podle </w:t>
      </w:r>
      <w:r w:rsidR="00AE4DB3" w:rsidRPr="00AE4DB3">
        <w:rPr>
          <w:i/>
        </w:rPr>
        <w:t>De anima</w:t>
      </w:r>
      <w:r w:rsidR="00AE4DB3" w:rsidRPr="00AE4DB3">
        <w:t xml:space="preserve"> za </w:t>
      </w:r>
      <w:r w:rsidR="00AE4DB3">
        <w:t>identický s výkladem provedeným „</w:t>
      </w:r>
      <w:r w:rsidR="00AE4DB3" w:rsidRPr="00AE4DB3">
        <w:rPr>
          <w:i/>
        </w:rPr>
        <w:t>ad mentem Averrois</w:t>
      </w:r>
      <w:r w:rsidR="00AE4DB3">
        <w:t>“</w:t>
      </w:r>
      <w:r w:rsidR="00AE4DB3" w:rsidRPr="00AE4DB3">
        <w:t xml:space="preserve"> podle CMDA. Mají objektivně pravdu, ale v té době se v Paříži </w:t>
      </w:r>
      <w:r w:rsidR="00AE4DB3">
        <w:t xml:space="preserve">ještě </w:t>
      </w:r>
      <w:r w:rsidR="00AE4DB3" w:rsidRPr="00AE4DB3">
        <w:t>v</w:t>
      </w:r>
      <w:r w:rsidR="00AE4DB3">
        <w:t>yskytovali kritičtí myslitelé. Toto pojetí b</w:t>
      </w:r>
      <w:r>
        <w:t>ylo pro poslední zástupce Blundovy a Alvernovy školy na Pařížské univerzit</w:t>
      </w:r>
      <w:r w:rsidR="00BD186B">
        <w:t>ě zásadně nepřijatelné. Akvinského škola „</w:t>
      </w:r>
      <w:r w:rsidRPr="0808472C">
        <w:rPr>
          <w:i/>
        </w:rPr>
        <w:t>sequaces Aristotelis</w:t>
      </w:r>
      <w:r w:rsidR="00BD186B">
        <w:t>“ neměla</w:t>
      </w:r>
      <w:r>
        <w:t xml:space="preserve"> křesťanské určení plné jednoty osoby dané pouze </w:t>
      </w:r>
      <w:r w:rsidR="00BD186B">
        <w:t>„</w:t>
      </w:r>
      <w:r w:rsidRPr="08720ADC">
        <w:rPr>
          <w:i/>
        </w:rPr>
        <w:t>ad mentem Averrois</w:t>
      </w:r>
      <w:r w:rsidR="00BD186B">
        <w:t>“</w:t>
      </w:r>
      <w:r>
        <w:rPr>
          <w:i/>
        </w:rPr>
        <w:fldChar w:fldCharType="begin"/>
      </w:r>
      <w:r>
        <w:instrText xml:space="preserve"> XE "</w:instrText>
      </w:r>
      <w:r w:rsidRPr="08723ADA">
        <w:rPr>
          <w:i/>
        </w:rPr>
        <w:instrText>ad mentem Averrois</w:instrText>
      </w:r>
      <w:r>
        <w:instrText xml:space="preserve">" </w:instrText>
      </w:r>
      <w:r>
        <w:rPr>
          <w:i/>
        </w:rPr>
        <w:fldChar w:fldCharType="end"/>
      </w:r>
      <w:r>
        <w:t xml:space="preserve">. Tomistická </w:t>
      </w:r>
      <w:r w:rsidRPr="08BF3C8B">
        <w:rPr>
          <w:i/>
        </w:rPr>
        <w:t>anima intellectiva</w:t>
      </w:r>
      <w:r>
        <w:t xml:space="preserve"> se rozpadla v novém modu semiaverroismu na dvě formy-hypostáze. Aegidius je autorem Oxfordského rukopisu a Bazánova anonyma mimo jiné i proto, že přesně znal průběh této slavné debaty </w:t>
      </w:r>
      <w:r>
        <w:rPr>
          <w:i/>
        </w:rPr>
        <w:t>homo ipse intelligit</w:t>
      </w:r>
      <w:r>
        <w:rPr>
          <w:i/>
        </w:rPr>
        <w:fldChar w:fldCharType="begin"/>
      </w:r>
      <w:r>
        <w:instrText xml:space="preserve"> XE "</w:instrText>
      </w:r>
      <w:r w:rsidRPr="00B935DC">
        <w:rPr>
          <w:rStyle w:val="Zkladntext350"/>
        </w:rPr>
        <w:instrText>osoba</w:instrText>
      </w:r>
      <w:r w:rsidRPr="00B935DC">
        <w:rPr>
          <w:rStyle w:val="Zkladntext350"/>
          <w:i/>
        </w:rPr>
        <w:instrText>:</w:instrText>
      </w:r>
      <w:r>
        <w:rPr>
          <w:rStyle w:val="Zkladntext350"/>
          <w:i/>
        </w:rPr>
        <w:instrText xml:space="preserve">homo ipse </w:instrText>
      </w:r>
      <w:r>
        <w:rPr>
          <w:rStyle w:val="Zkladntext350"/>
          <w:i/>
        </w:rPr>
        <w:lastRenderedPageBreak/>
        <w:instrText>intelligit</w:instrText>
      </w:r>
      <w:r>
        <w:instrText xml:space="preserve">" </w:instrText>
      </w:r>
      <w:r>
        <w:rPr>
          <w:i/>
        </w:rPr>
        <w:fldChar w:fldCharType="end"/>
      </w:r>
      <w:r>
        <w:t xml:space="preserve"> mezi představiteli prvního averroismu na Pařížské univerzitě do roku 1272. Ale změnil její vyznění tak, že averroistou se stal Averroes a Siger. Odchod Akvinského po </w:t>
      </w:r>
      <w:r w:rsidR="08D83934">
        <w:t xml:space="preserve">prohrané </w:t>
      </w:r>
      <w:proofErr w:type="gramStart"/>
      <w:r w:rsidR="08D83934">
        <w:t xml:space="preserve">disputaci </w:t>
      </w:r>
      <w:r>
        <w:t>, jasně</w:t>
      </w:r>
      <w:proofErr w:type="gramEnd"/>
      <w:r>
        <w:t xml:space="preserve"> ukazuje, kdo a proč dostal titul </w:t>
      </w:r>
      <w:r w:rsidRPr="084471D8">
        <w:rPr>
          <w:i/>
        </w:rPr>
        <w:t>Expositor Novus</w:t>
      </w:r>
      <w:r>
        <w:t xml:space="preserve">. </w:t>
      </w:r>
      <w:r w:rsidR="00336EDC">
        <w:t xml:space="preserve">Jádro debaty obsahuje Sigerovo dílo </w:t>
      </w:r>
      <w:r w:rsidR="00336EDC" w:rsidRPr="00273106">
        <w:rPr>
          <w:i/>
          <w:lang w:eastAsia="en-US"/>
        </w:rPr>
        <w:t>De anima intellectiva</w:t>
      </w:r>
      <w:r w:rsidR="00336EDC" w:rsidRPr="00273106">
        <w:rPr>
          <w:lang w:eastAsia="en-US"/>
        </w:rPr>
        <w:t xml:space="preserve"> </w:t>
      </w:r>
      <w:r w:rsidR="00336EDC">
        <w:t>3. Poražený Akvinský odešel</w:t>
      </w:r>
      <w:r>
        <w:t xml:space="preserve"> do Neapole a pak do Lyonu na koncil</w:t>
      </w:r>
      <w:r w:rsidR="00336EDC">
        <w:t xml:space="preserve"> a </w:t>
      </w:r>
      <w:r>
        <w:t xml:space="preserve">umírá </w:t>
      </w:r>
      <w:r w:rsidR="00336EDC">
        <w:t xml:space="preserve">během cesty </w:t>
      </w:r>
      <w:r>
        <w:t>roku 1274. Aegidius jako první tomista zvolil stranu Akvinského proti Sigerovi a jeho sekulárním stoupencům na Rue du Fouarre</w:t>
      </w:r>
      <w:r w:rsidR="00336EDC">
        <w:t xml:space="preserve"> (</w:t>
      </w:r>
      <w:r w:rsidR="00336EDC" w:rsidRPr="004A125D">
        <w:rPr>
          <w:i/>
        </w:rPr>
        <w:t>pars Sigeri</w:t>
      </w:r>
      <w:r w:rsidR="00336EDC">
        <w:t>)</w:t>
      </w:r>
      <w:r>
        <w:t xml:space="preserve">. Ale přesně znal Sigerovy argumenty a věděl, že jsou pravdivé. Proto je sofisticky přidal jako pravdivé k Aristotelovi a tím posílil pozici Akvinského jako Nového Expozitora. A naopak Tomášovo chybné řešení hypostázovaného intelektu sofisticky připsal Komentátorovi a tím vytvořil </w:t>
      </w:r>
      <w:r w:rsidR="0083006B">
        <w:t xml:space="preserve">tomistické simulákrum Averroese jako </w:t>
      </w:r>
      <w:r>
        <w:t xml:space="preserve">heretika a špatného filosofa. Tak vznikl nový typ averroistického Averroese v tomistické škole. Pluralismus forem daný v Akvinského </w:t>
      </w:r>
      <w:r w:rsidRPr="00BB12E6">
        <w:rPr>
          <w:i/>
        </w:rPr>
        <w:t>De unitate</w:t>
      </w:r>
      <w:r>
        <w:t xml:space="preserve"> a kritizovaný Sigerem byl falešně a sofisticky připsán samotnému Averroesovi. Toto pojetí má jak Aegidiův výklad </w:t>
      </w:r>
      <w:r w:rsidRPr="08AF11D2">
        <w:rPr>
          <w:i/>
        </w:rPr>
        <w:t>De anima</w:t>
      </w:r>
      <w:r>
        <w:t xml:space="preserve"> v Oxfordském rukopise tak jeho dílo </w:t>
      </w:r>
      <w:r w:rsidRPr="08470C07">
        <w:rPr>
          <w:i/>
        </w:rPr>
        <w:t>De plurificatione</w:t>
      </w:r>
      <w:r>
        <w:t>.</w:t>
      </w:r>
      <w:r>
        <w:rPr>
          <w:rStyle w:val="Znakapoznpodarou"/>
        </w:rPr>
        <w:footnoteReference w:id="257"/>
      </w:r>
      <w:r w:rsidRPr="00273106">
        <w:t xml:space="preserve"> Subjektem myšlení je subsistující unifikovaný intelekt, který je v individuálním člověku aktualizován </w:t>
      </w:r>
      <w:r>
        <w:t xml:space="preserve">spojením s tělem v modu averroistickém modu </w:t>
      </w:r>
      <w:r w:rsidRPr="088E67AB">
        <w:rPr>
          <w:i/>
        </w:rPr>
        <w:t>continuatio</w:t>
      </w:r>
      <w:r>
        <w:t xml:space="preserve">. </w:t>
      </w:r>
      <w:r w:rsidRPr="00273106">
        <w:t xml:space="preserve">Pak nemyslí </w:t>
      </w:r>
      <w:r>
        <w:t xml:space="preserve">osoba </w:t>
      </w:r>
      <w:r w:rsidRPr="00273106">
        <w:t>(</w:t>
      </w:r>
      <w:r w:rsidRPr="00273106">
        <w:rPr>
          <w:i/>
        </w:rPr>
        <w:t>homo intelligat</w:t>
      </w:r>
      <w:r w:rsidRPr="00273106">
        <w:t xml:space="preserve">), ale </w:t>
      </w:r>
      <w:r>
        <w:t xml:space="preserve">její intelektuální obsah </w:t>
      </w:r>
      <w:r w:rsidRPr="00273106">
        <w:t xml:space="preserve">je </w:t>
      </w:r>
      <w:r>
        <w:t>myslen</w:t>
      </w:r>
      <w:r w:rsidRPr="00273106">
        <w:t xml:space="preserve"> (</w:t>
      </w:r>
      <w:r w:rsidRPr="00273106">
        <w:rPr>
          <w:i/>
        </w:rPr>
        <w:t>quod intelligatur</w:t>
      </w:r>
      <w:r w:rsidRPr="00273106">
        <w:t>) skrze neosobní výkon odděl</w:t>
      </w:r>
      <w:r>
        <w:t xml:space="preserve">eného intelektu, který se námi </w:t>
      </w:r>
      <w:r w:rsidRPr="00273106">
        <w:t>zde a nyní spojil (</w:t>
      </w:r>
      <w:r w:rsidRPr="00273106">
        <w:rPr>
          <w:i/>
        </w:rPr>
        <w:t>ex tali unione intellectus ad nos</w:t>
      </w:r>
      <w:r w:rsidRPr="00273106">
        <w:t>).</w:t>
      </w:r>
      <w:r>
        <w:t xml:space="preserve"> Latinský sofista pak averroistického Averroese odsoudil jako pohanského filosofa v citovaných </w:t>
      </w:r>
      <w:r>
        <w:rPr>
          <w:i/>
        </w:rPr>
        <w:t>De erroribus P</w:t>
      </w:r>
      <w:r w:rsidRPr="00DD41B7">
        <w:rPr>
          <w:i/>
        </w:rPr>
        <w:t>hilosophorum</w:t>
      </w:r>
      <w:r w:rsidRPr="00AA2790">
        <w:t xml:space="preserve"> (</w:t>
      </w:r>
      <w:r w:rsidR="00C55E37">
        <w:t>1270</w:t>
      </w:r>
      <w:r w:rsidRPr="00AA2790">
        <w:t xml:space="preserve">). </w:t>
      </w:r>
      <w:r>
        <w:t>Aegidius nemohl tento omyl</w:t>
      </w:r>
      <w:r w:rsidR="00F151C4">
        <w:t xml:space="preserve"> připsat do roku 1277</w:t>
      </w:r>
      <w:r>
        <w:t xml:space="preserve"> přímo Sigerovi, protože by se akademicky znemožnil. Simulákrum Sig</w:t>
      </w:r>
      <w:r w:rsidR="006B52DD">
        <w:t xml:space="preserve">era jako </w:t>
      </w:r>
      <w:r>
        <w:t xml:space="preserve">averroisty vytvořila poražená generace oxfordských </w:t>
      </w:r>
      <w:r w:rsidRPr="08D67D15">
        <w:rPr>
          <w:i/>
        </w:rPr>
        <w:t>Modernorum</w:t>
      </w:r>
      <w:r>
        <w:t xml:space="preserve"> v čele s </w:t>
      </w:r>
      <w:r w:rsidR="00A54AE3">
        <w:t>Pechamem až po roce 1280</w:t>
      </w:r>
      <w:r w:rsidR="000E0363">
        <w:t>.</w:t>
      </w:r>
    </w:p>
    <w:p w:rsidR="08163013" w:rsidRPr="08393CF5" w:rsidRDefault="08163013" w:rsidP="003C3EAE">
      <w:pPr>
        <w:ind w:firstLine="397"/>
      </w:pPr>
      <w:r>
        <w:t>Spojením obou simuláker pařížského tomismu a oxfordského modernismu vznikla historická figura averroistického Averroese. Další kapitola ukáže, že Akvinský byl v kritice Averroese opatrnější, ale filosoficky postupoval stejně jako Aegidius. Nová škola aristotelského semiaverroismu (Akvinský, Aegidius) odmítla jak avicennovský a augustiniánský averroismus ze školy druhého averroismu, tak i Sigerovu skupinu světských kněží a znalců CMDA na artistické fakultě (</w:t>
      </w:r>
      <w:r w:rsidRPr="00AA2790">
        <w:rPr>
          <w:i/>
        </w:rPr>
        <w:t>pars Sigeri</w:t>
      </w:r>
      <w:r>
        <w:rPr>
          <w:i/>
        </w:rPr>
        <w:fldChar w:fldCharType="begin"/>
      </w:r>
      <w:r>
        <w:instrText xml:space="preserve"> XE "</w:instrText>
      </w:r>
      <w:r w:rsidRPr="00112774">
        <w:instrText>první averroismus</w:instrText>
      </w:r>
      <w:r w:rsidRPr="00B52EEE">
        <w:rPr>
          <w:i/>
        </w:rPr>
        <w:instrText>:pars Sigeri</w:instrText>
      </w:r>
      <w:r>
        <w:instrText xml:space="preserve">" </w:instrText>
      </w:r>
      <w:r>
        <w:rPr>
          <w:i/>
        </w:rPr>
        <w:fldChar w:fldCharType="end"/>
      </w:r>
      <w:r>
        <w:t xml:space="preserve">). Kolem roku 1275 všichni znalci ze školy prvního averroismu sledující debatu o nového </w:t>
      </w:r>
      <w:r>
        <w:lastRenderedPageBreak/>
        <w:t xml:space="preserve">expozitora dobře věděli, že Siger má mnohem lepší řešení jednoty osoby. Jeho řešení navíc podrželo křesťanskou tradici výkladu </w:t>
      </w:r>
      <w:r w:rsidRPr="08B57BF9">
        <w:rPr>
          <w:i/>
        </w:rPr>
        <w:t>De anima</w:t>
      </w:r>
      <w:r>
        <w:t xml:space="preserve"> podle </w:t>
      </w:r>
      <w:r w:rsidRPr="08B57BF9">
        <w:rPr>
          <w:i/>
        </w:rPr>
        <w:t>École de Paris</w:t>
      </w:r>
      <w:r>
        <w:t xml:space="preserve"> danou v Blundově škole. Vzdělaní magistři latinského Západu znali Sigerovu kritiku obou dominikánů podanou ve spisech QIIIDA a </w:t>
      </w:r>
      <w:r w:rsidRPr="00273106">
        <w:rPr>
          <w:i/>
          <w:lang w:eastAsia="en-US"/>
        </w:rPr>
        <w:t>De anima intellectiva</w:t>
      </w:r>
      <w:r>
        <w:t xml:space="preserve"> a museli na ni reagovat, což ukázal příklad Aegidia Romana. Akvinský a Aegidius Romanus</w:t>
      </w:r>
      <w:r>
        <w:fldChar w:fldCharType="begin"/>
      </w:r>
      <w:r>
        <w:instrText xml:space="preserve"> XE "</w:instrText>
      </w:r>
      <w:r w:rsidRPr="00B54432">
        <w:instrText>Aegidius Romanus</w:instrText>
      </w:r>
      <w:r>
        <w:instrText xml:space="preserve">" </w:instrText>
      </w:r>
      <w:r>
        <w:fldChar w:fldCharType="end"/>
      </w:r>
      <w:r>
        <w:t xml:space="preserve"> </w:t>
      </w:r>
      <w:r w:rsidRPr="00273106">
        <w:t>se přiblížil</w:t>
      </w:r>
      <w:r>
        <w:t>i</w:t>
      </w:r>
      <w:r w:rsidRPr="00273106">
        <w:t xml:space="preserve"> </w:t>
      </w:r>
      <w:r w:rsidR="008A18DD">
        <w:t>druhému</w:t>
      </w:r>
      <w:r w:rsidRPr="00273106">
        <w:t xml:space="preserve"> averrorismu, který z duše udělal pouhou hnací sílu těla (</w:t>
      </w:r>
      <w:r w:rsidRPr="00273106">
        <w:rPr>
          <w:i/>
        </w:rPr>
        <w:t>anima ut motor</w:t>
      </w:r>
      <w:r>
        <w:rPr>
          <w:i/>
        </w:rPr>
        <w:fldChar w:fldCharType="begin"/>
      </w:r>
      <w:r>
        <w:instrText xml:space="preserve"> XE "</w:instrText>
      </w:r>
      <w:r w:rsidRPr="00A00037">
        <w:rPr>
          <w:i/>
        </w:rPr>
        <w:instrText>anima ut motor</w:instrText>
      </w:r>
      <w:r>
        <w:instrText xml:space="preserve">" </w:instrText>
      </w:r>
      <w:r>
        <w:rPr>
          <w:i/>
        </w:rPr>
        <w:fldChar w:fldCharType="end"/>
      </w:r>
      <w:r w:rsidRPr="00273106">
        <w:t>)</w:t>
      </w:r>
      <w:r>
        <w:t xml:space="preserve">. </w:t>
      </w:r>
      <w:r w:rsidR="08870A2C">
        <w:t xml:space="preserve">Tím přestala platit definice intelektuální duše v modu </w:t>
      </w:r>
      <w:r w:rsidR="08870A2C" w:rsidRPr="00BE1F92">
        <w:rPr>
          <w:i/>
        </w:rPr>
        <w:t>subiective</w:t>
      </w:r>
      <w:r w:rsidR="08870A2C">
        <w:t xml:space="preserve">, která zajišťovala vědeckou definici člověka jako </w:t>
      </w:r>
      <w:r w:rsidR="08870A2C" w:rsidRPr="00273106">
        <w:t>aktuá</w:t>
      </w:r>
      <w:r w:rsidR="08870A2C">
        <w:t xml:space="preserve">lně existující první substance. </w:t>
      </w:r>
      <w:r>
        <w:t xml:space="preserve">Spor o titul </w:t>
      </w:r>
      <w:r w:rsidRPr="083364F9">
        <w:rPr>
          <w:i/>
        </w:rPr>
        <w:t xml:space="preserve">Expositor Novus </w:t>
      </w:r>
      <w:r>
        <w:t xml:space="preserve">v případě výkladu </w:t>
      </w:r>
      <w:r w:rsidRPr="083364F9">
        <w:rPr>
          <w:i/>
        </w:rPr>
        <w:t>De anima</w:t>
      </w:r>
      <w:r>
        <w:t xml:space="preserve"> končí Siger tímto stručným hodnocením aristotelismu Alberta a Akvinského: </w:t>
      </w:r>
      <w:r w:rsidRPr="00815AE8">
        <w:t>„</w:t>
      </w:r>
      <w:r w:rsidRPr="083364F9">
        <w:rPr>
          <w:i/>
        </w:rPr>
        <w:t>Isti viri deficiunt ab intentione Philosophi, nec intentum determinant</w:t>
      </w:r>
      <w:r w:rsidRPr="00815AE8">
        <w:t>.“</w:t>
      </w:r>
      <w:r w:rsidRPr="00C22027">
        <w:t xml:space="preserve"> (</w:t>
      </w:r>
      <w:r w:rsidRPr="00273106">
        <w:rPr>
          <w:i/>
          <w:lang w:eastAsia="en-US"/>
        </w:rPr>
        <w:t>De anima intellectiva</w:t>
      </w:r>
      <w:r w:rsidRPr="00273106">
        <w:rPr>
          <w:lang w:eastAsia="en-US"/>
        </w:rPr>
        <w:t xml:space="preserve"> </w:t>
      </w:r>
      <w:r>
        <w:t xml:space="preserve">3; ed. Bazán, </w:t>
      </w:r>
      <w:r w:rsidRPr="00C22027">
        <w:t>p. 82.98‒99</w:t>
      </w:r>
      <w:r>
        <w:fldChar w:fldCharType="begin"/>
      </w:r>
      <w:r>
        <w:instrText xml:space="preserve"> XE "Siger:</w:instrText>
      </w:r>
      <w:r w:rsidRPr="009E2201">
        <w:rPr>
          <w:i/>
          <w:lang w:eastAsia="en-US"/>
        </w:rPr>
        <w:instrText>De anima intellectiva</w:instrText>
      </w:r>
      <w:r w:rsidRPr="009E2201">
        <w:rPr>
          <w:lang w:eastAsia="en-US"/>
        </w:rPr>
        <w:instrText xml:space="preserve"> </w:instrText>
      </w:r>
      <w:r w:rsidRPr="009E2201">
        <w:instrText>82.98‒99</w:instrText>
      </w:r>
      <w:r>
        <w:instrText xml:space="preserve">" </w:instrText>
      </w:r>
      <w:r>
        <w:fldChar w:fldCharType="end"/>
      </w:r>
      <w:r w:rsidRPr="00C22027">
        <w:t>)</w:t>
      </w:r>
      <w:r>
        <w:t xml:space="preserve"> </w:t>
      </w:r>
      <w:r w:rsidR="08DC63D6">
        <w:t xml:space="preserve">Sigerovo posouzení Alberta a Akvinského je lakonické a brilantní, jako vždy. Magistr udělal rozdíl mezi </w:t>
      </w:r>
      <w:r w:rsidR="08B1496A">
        <w:t>„</w:t>
      </w:r>
      <w:r w:rsidR="08DC63D6">
        <w:t>křesťanským</w:t>
      </w:r>
      <w:r w:rsidR="08B1496A">
        <w:t>“</w:t>
      </w:r>
      <w:r w:rsidR="08DC63D6">
        <w:t xml:space="preserve"> a </w:t>
      </w:r>
      <w:r w:rsidR="08B1496A">
        <w:t>„</w:t>
      </w:r>
      <w:r w:rsidR="08DC63D6">
        <w:t>pohanským</w:t>
      </w:r>
      <w:r w:rsidR="08B1496A">
        <w:t>“</w:t>
      </w:r>
      <w:r w:rsidR="08DC63D6">
        <w:t xml:space="preserve"> Aristotelem. Obě interpretace </w:t>
      </w:r>
      <w:r w:rsidR="08DC63D6" w:rsidRPr="08DC63D6">
        <w:rPr>
          <w:i/>
        </w:rPr>
        <w:t>De anima</w:t>
      </w:r>
      <w:r w:rsidR="08DC63D6">
        <w:t xml:space="preserve"> jsou aristotelsky správné, ale jedna z nich bete k úvahu nejen literu, ale přímo nevyjádřenou intenci Filosofa. </w:t>
      </w:r>
      <w:r w:rsidR="00C879B7">
        <w:t xml:space="preserve">Siger nemohl uznat Akvinského </w:t>
      </w:r>
      <w:r>
        <w:t>jako nového vykladače Aristotelova korpusu</w:t>
      </w:r>
      <w:r w:rsidR="08DC63D6">
        <w:t xml:space="preserve">. Tomáš nepochopil plný záměr </w:t>
      </w:r>
      <w:r w:rsidR="08DC63D6" w:rsidRPr="08DC63D6">
        <w:rPr>
          <w:i/>
        </w:rPr>
        <w:t>De anima</w:t>
      </w:r>
      <w:r w:rsidR="00C879B7">
        <w:t xml:space="preserve"> </w:t>
      </w:r>
      <w:r w:rsidR="08DC63D6">
        <w:t>dotažený v CMDA (</w:t>
      </w:r>
      <w:r w:rsidR="08DC63D6" w:rsidRPr="08DC63D6">
        <w:rPr>
          <w:i/>
        </w:rPr>
        <w:t>intentum</w:t>
      </w:r>
      <w:r w:rsidR="08DC63D6">
        <w:t xml:space="preserve">). </w:t>
      </w:r>
      <w:r w:rsidR="084A27B5">
        <w:t xml:space="preserve">Sigerův </w:t>
      </w:r>
      <w:r w:rsidR="08DC63D6">
        <w:t xml:space="preserve">výkon dalece překonal </w:t>
      </w:r>
      <w:r>
        <w:t xml:space="preserve">tomistu Aegidia </w:t>
      </w:r>
      <w:r w:rsidR="08DC63D6">
        <w:t xml:space="preserve">a jeho sofistický </w:t>
      </w:r>
      <w:r>
        <w:t xml:space="preserve">výklad Komentátora. A to byla poslední kapka do poháru akademické hořkosti poražených </w:t>
      </w:r>
      <w:r w:rsidRPr="08682D9C">
        <w:rPr>
          <w:i/>
        </w:rPr>
        <w:t>Modernorum</w:t>
      </w:r>
      <w:r>
        <w:t>. Generální útok na magistry v Rue du Fouarre začal po publikaci druhého Sigerova komentáře, který je proto možné d</w:t>
      </w:r>
      <w:r w:rsidR="08C65645">
        <w:t xml:space="preserve">atovat už do začátku roku 1272. Pod vlivem </w:t>
      </w:r>
      <w:r w:rsidR="08C65645" w:rsidRPr="00273106">
        <w:rPr>
          <w:i/>
          <w:lang w:eastAsia="en-US"/>
        </w:rPr>
        <w:t>De anima intellectiva</w:t>
      </w:r>
      <w:r w:rsidR="08C65645">
        <w:t xml:space="preserve"> asi bylo napsáno prohlášení magistrů z dubna 1272 a také lze tím vysvětlit odchod poraženého filosofa (ale nikoliv teologa) Akvinského z Paříže na konci dubna 1272. </w:t>
      </w:r>
      <w:r>
        <w:t xml:space="preserve">Brabantský magistr odmítl </w:t>
      </w:r>
      <w:r>
        <w:rPr>
          <w:lang w:eastAsia="en-US"/>
        </w:rPr>
        <w:t xml:space="preserve">v linii interdiktu kancléře Alverna každé </w:t>
      </w:r>
      <w:r w:rsidRPr="00273106">
        <w:rPr>
          <w:lang w:eastAsia="en-US"/>
        </w:rPr>
        <w:t xml:space="preserve">pojetí </w:t>
      </w:r>
      <w:r>
        <w:rPr>
          <w:lang w:eastAsia="en-US"/>
        </w:rPr>
        <w:t xml:space="preserve">lidského </w:t>
      </w:r>
      <w:r w:rsidRPr="00273106">
        <w:rPr>
          <w:lang w:eastAsia="en-US"/>
        </w:rPr>
        <w:t xml:space="preserve">intelektu jako </w:t>
      </w:r>
      <w:r w:rsidR="08622B96">
        <w:rPr>
          <w:lang w:eastAsia="en-US"/>
        </w:rPr>
        <w:t>hypostázované esence (OBJ II, kap. 2</w:t>
      </w:r>
      <w:r>
        <w:rPr>
          <w:lang w:eastAsia="en-US"/>
        </w:rPr>
        <w:t>.3)</w:t>
      </w:r>
      <w:r>
        <w:rPr>
          <w:lang w:eastAsia="en-US"/>
        </w:rPr>
        <w:fldChar w:fldCharType="begin"/>
      </w:r>
      <w:r>
        <w:instrText xml:space="preserve"> XE "</w:instrText>
      </w:r>
      <w:r w:rsidRPr="00E27FF8">
        <w:instrText>semiaverroismus</w:instrText>
      </w:r>
      <w:r>
        <w:instrText xml:space="preserve">" </w:instrText>
      </w:r>
      <w:r>
        <w:rPr>
          <w:lang w:eastAsia="en-US"/>
        </w:rPr>
        <w:fldChar w:fldCharType="end"/>
      </w:r>
      <w:r w:rsidR="003C610C">
        <w:rPr>
          <w:lang w:eastAsia="en-US"/>
        </w:rPr>
        <w:t xml:space="preserve">. </w:t>
      </w:r>
      <w:r>
        <w:t xml:space="preserve">Siger </w:t>
      </w:r>
      <w:r w:rsidR="003C610C">
        <w:t xml:space="preserve">odmítá </w:t>
      </w:r>
      <w:r>
        <w:t>hypostázovaní duše nebo intelektu podle fenomenologického principu daného hned v úvodu QIIIDA</w:t>
      </w:r>
      <w:r w:rsidR="003C610C">
        <w:t>. I</w:t>
      </w:r>
      <w:r>
        <w:t xml:space="preserve">ntelektuální duši nemůžeme nazírat jako univerzálii nebo substanci, protože účinky intelektu zakoušíme pouze v těle. Univerzálie a tím i druhá substance jako duše a intelekt jsou jen specifické konstrukty poznání (Averroesův </w:t>
      </w:r>
      <w:r w:rsidRPr="001F4F1E">
        <w:rPr>
          <w:i/>
        </w:rPr>
        <w:t xml:space="preserve">quartum </w:t>
      </w:r>
      <w:r w:rsidR="00962190">
        <w:rPr>
          <w:i/>
        </w:rPr>
        <w:t>genus</w:t>
      </w:r>
      <w:r>
        <w:rPr>
          <w:i/>
        </w:rPr>
        <w:fldChar w:fldCharType="begin"/>
      </w:r>
      <w:r>
        <w:instrText xml:space="preserve"> XE "</w:instrText>
      </w:r>
      <w:r w:rsidRPr="00191848">
        <w:rPr>
          <w:i/>
        </w:rPr>
        <w:instrText>quartum genus</w:instrText>
      </w:r>
      <w:r>
        <w:instrText xml:space="preserve">" </w:instrText>
      </w:r>
      <w:r>
        <w:rPr>
          <w:i/>
        </w:rPr>
        <w:fldChar w:fldCharType="end"/>
      </w:r>
      <w:r>
        <w:t xml:space="preserve">). Jejich univerzální povaha a charakter musí být v metafyzice podané </w:t>
      </w:r>
      <w:r w:rsidR="00DE7C15">
        <w:t>„</w:t>
      </w:r>
      <w:r>
        <w:rPr>
          <w:i/>
        </w:rPr>
        <w:t>ad mentem Averrois</w:t>
      </w:r>
      <w:r w:rsidR="00DE7C15">
        <w:t>“</w:t>
      </w:r>
      <w:r>
        <w:t xml:space="preserve"> dokázané skrze správně vytvořený deduktivní soud podle </w:t>
      </w:r>
      <w:r w:rsidRPr="08824748">
        <w:rPr>
          <w:i/>
        </w:rPr>
        <w:t>Druhých analytik</w:t>
      </w:r>
      <w:r>
        <w:t xml:space="preserve">. Siger tvrdí, že naše poznání nemůže přímo nazírat duši jako druhou substanci, protože v modu </w:t>
      </w:r>
      <w:r w:rsidRPr="00DF4B58">
        <w:rPr>
          <w:i/>
        </w:rPr>
        <w:t>per prius</w:t>
      </w:r>
      <w:r>
        <w:t xml:space="preserve"> a podle principu </w:t>
      </w:r>
      <w:r w:rsidR="002A09B7">
        <w:t>„</w:t>
      </w:r>
      <w:r w:rsidR="08213B53" w:rsidRPr="08213B53">
        <w:rPr>
          <w:i/>
        </w:rPr>
        <w:t>ex</w:t>
      </w:r>
      <w:r w:rsidR="08213B53">
        <w:t xml:space="preserve"> </w:t>
      </w:r>
      <w:r w:rsidR="08A649EB">
        <w:rPr>
          <w:i/>
        </w:rPr>
        <w:lastRenderedPageBreak/>
        <w:t>in</w:t>
      </w:r>
      <w:r w:rsidR="08213B53">
        <w:rPr>
          <w:i/>
        </w:rPr>
        <w:t>mediatis</w:t>
      </w:r>
      <w:r w:rsidR="002A09B7">
        <w:t>“</w:t>
      </w:r>
      <w:r>
        <w:t xml:space="preserve"> poznáváme pouze její výkony</w:t>
      </w:r>
      <w:r>
        <w:fldChar w:fldCharType="begin"/>
      </w:r>
      <w:r>
        <w:instrText xml:space="preserve"> XE "</w:instrText>
      </w:r>
      <w:r w:rsidRPr="003C388B">
        <w:instrText>pr</w:instrText>
      </w:r>
      <w:r>
        <w:instrText>i</w:instrText>
      </w:r>
      <w:r w:rsidRPr="003C388B">
        <w:instrText xml:space="preserve">ncip </w:instrText>
      </w:r>
      <w:r w:rsidR="08A649EB">
        <w:rPr>
          <w:i/>
        </w:rPr>
        <w:instrText>ex in</w:instrText>
      </w:r>
      <w:r w:rsidRPr="008125A3">
        <w:rPr>
          <w:i/>
        </w:rPr>
        <w:instrText>mediatis</w:instrText>
      </w:r>
      <w:r>
        <w:instrText xml:space="preserve">" </w:instrText>
      </w:r>
      <w:r>
        <w:fldChar w:fldCharType="end"/>
      </w:r>
      <w:r>
        <w:t>. Ty zakoušíme v modu naší ipseity a kauzality, a proto jsme si vědomi jejich povahy. Duše a intelekt nemohou být ani reálné první substance jako to má druhý averroismus, ani nějaké porretánské hypostáze, jako to má Akvinský pro intelekt a pozdní Albert pro esenciálně nazíranou duši.</w:t>
      </w:r>
    </w:p>
    <w:p w:rsidR="00991D0D" w:rsidRDefault="08163013" w:rsidP="00991D0D">
      <w:pPr>
        <w:rPr>
          <w:lang w:eastAsia="en-US"/>
        </w:rPr>
      </w:pPr>
      <w:r>
        <w:tab/>
      </w:r>
      <w:r w:rsidR="003B38CA">
        <w:t>Následující část Sigerova</w:t>
      </w:r>
      <w:r w:rsidRPr="00273106">
        <w:t xml:space="preserve"> </w:t>
      </w:r>
      <w:r w:rsidR="0020262F">
        <w:t xml:space="preserve">díla </w:t>
      </w:r>
      <w:r w:rsidR="00C07185">
        <w:t>podává vý</w:t>
      </w:r>
      <w:r w:rsidR="0020262F">
        <w:t xml:space="preserve">klad </w:t>
      </w:r>
      <w:r w:rsidR="00C07185" w:rsidRPr="00273106">
        <w:t>Aristotel</w:t>
      </w:r>
      <w:r w:rsidR="00C07185">
        <w:t xml:space="preserve">ovy </w:t>
      </w:r>
      <w:r w:rsidR="0020262F">
        <w:t>m</w:t>
      </w:r>
      <w:r w:rsidRPr="00273106">
        <w:t>etafyzi</w:t>
      </w:r>
      <w:r w:rsidR="00C07185">
        <w:t xml:space="preserve">ky podle </w:t>
      </w:r>
      <w:r w:rsidRPr="00273106">
        <w:t xml:space="preserve">CMDA. </w:t>
      </w:r>
      <w:r w:rsidRPr="00273106">
        <w:rPr>
          <w:lang w:eastAsia="en-US"/>
        </w:rPr>
        <w:t xml:space="preserve">Prvních pět argumentů detailně ukazuje, proč </w:t>
      </w:r>
      <w:r>
        <w:rPr>
          <w:lang w:eastAsia="en-US"/>
        </w:rPr>
        <w:t xml:space="preserve">Albert i Akvinský </w:t>
      </w:r>
      <w:r w:rsidRPr="00273106">
        <w:rPr>
          <w:lang w:eastAsia="en-US"/>
        </w:rPr>
        <w:t xml:space="preserve">deficientně pochopili roli intelektu a určení </w:t>
      </w:r>
      <w:r w:rsidRPr="00273106">
        <w:rPr>
          <w:i/>
          <w:lang w:eastAsia="en-US"/>
        </w:rPr>
        <w:t>anima intellectiva</w:t>
      </w:r>
      <w:r w:rsidRPr="00273106">
        <w:rPr>
          <w:lang w:eastAsia="en-US"/>
        </w:rPr>
        <w:t xml:space="preserve"> podle Aristotela. </w:t>
      </w:r>
      <w:r w:rsidR="008C1D58" w:rsidRPr="008C1D58">
        <w:rPr>
          <w:lang w:eastAsia="en-US"/>
        </w:rPr>
        <w:t xml:space="preserve">Buď považují duši za nezávislou </w:t>
      </w:r>
      <w:r w:rsidR="008C1D58">
        <w:rPr>
          <w:lang w:eastAsia="en-US"/>
        </w:rPr>
        <w:t xml:space="preserve">esenci </w:t>
      </w:r>
      <w:r w:rsidR="008C1D58" w:rsidRPr="008C1D58">
        <w:rPr>
          <w:lang w:eastAsia="en-US"/>
        </w:rPr>
        <w:t>(Albert), nebo definují intelekt jako oddělenou formu, která patří k duši zvenčí a zajišťuje její teologicky nutnou nesmrtelnost a</w:t>
      </w:r>
      <w:r w:rsidR="008C1D58">
        <w:rPr>
          <w:lang w:eastAsia="en-US"/>
        </w:rPr>
        <w:t xml:space="preserve"> oddělenost od těla (Akvinský). Základní společný o</w:t>
      </w:r>
      <w:r w:rsidRPr="00273106">
        <w:rPr>
          <w:lang w:eastAsia="en-US"/>
        </w:rPr>
        <w:t xml:space="preserve">myl </w:t>
      </w:r>
      <w:r w:rsidR="00DC3383">
        <w:rPr>
          <w:lang w:eastAsia="en-US"/>
        </w:rPr>
        <w:t xml:space="preserve">Alberta i Akvinského </w:t>
      </w:r>
      <w:r w:rsidRPr="00273106">
        <w:rPr>
          <w:lang w:eastAsia="en-US"/>
        </w:rPr>
        <w:t>spočívá v nedos</w:t>
      </w:r>
      <w:r>
        <w:rPr>
          <w:lang w:eastAsia="en-US"/>
        </w:rPr>
        <w:t>tatečně dotažené individualizaci</w:t>
      </w:r>
      <w:r w:rsidRPr="00273106">
        <w:rPr>
          <w:lang w:eastAsia="en-US"/>
        </w:rPr>
        <w:t xml:space="preserve"> osoby dané pouze v numerickém modu </w:t>
      </w:r>
      <w:r w:rsidRPr="00273106">
        <w:rPr>
          <w:i/>
          <w:lang w:eastAsia="en-US"/>
        </w:rPr>
        <w:t>idem</w:t>
      </w:r>
      <w:r>
        <w:rPr>
          <w:i/>
        </w:rPr>
        <w:fldChar w:fldCharType="begin"/>
      </w:r>
      <w:r>
        <w:instrText xml:space="preserve"> XE "</w:instrText>
      </w:r>
      <w:r w:rsidRPr="007A6285">
        <w:instrText>osoba:</w:instrText>
      </w:r>
      <w:r w:rsidRPr="001D7F39">
        <w:rPr>
          <w:i/>
        </w:rPr>
        <w:instrText>ipse</w:instrText>
      </w:r>
      <w:r w:rsidRPr="007A6285">
        <w:instrText>/</w:instrText>
      </w:r>
      <w:r w:rsidRPr="001D7F39">
        <w:rPr>
          <w:i/>
        </w:rPr>
        <w:instrText>idem</w:instrText>
      </w:r>
      <w:r>
        <w:instrText xml:space="preserve">" </w:instrText>
      </w:r>
      <w:r>
        <w:rPr>
          <w:i/>
        </w:rPr>
        <w:fldChar w:fldCharType="end"/>
      </w:r>
      <w:r w:rsidR="008C1D58">
        <w:rPr>
          <w:lang w:eastAsia="en-US"/>
        </w:rPr>
        <w:t>. I</w:t>
      </w:r>
      <w:r w:rsidRPr="00273106">
        <w:rPr>
          <w:lang w:eastAsia="en-US"/>
        </w:rPr>
        <w:t xml:space="preserve">ndividuace </w:t>
      </w:r>
      <w:r>
        <w:rPr>
          <w:lang w:eastAsia="en-US"/>
        </w:rPr>
        <w:t xml:space="preserve">dána </w:t>
      </w:r>
      <w:r w:rsidRPr="00273106">
        <w:rPr>
          <w:lang w:eastAsia="en-US"/>
        </w:rPr>
        <w:t xml:space="preserve">pomocí </w:t>
      </w:r>
      <w:r>
        <w:rPr>
          <w:lang w:eastAsia="en-US"/>
        </w:rPr>
        <w:t xml:space="preserve">těla jako </w:t>
      </w:r>
      <w:r w:rsidRPr="00273106">
        <w:rPr>
          <w:lang w:eastAsia="en-US"/>
        </w:rPr>
        <w:t>materie</w:t>
      </w:r>
      <w:r>
        <w:rPr>
          <w:lang w:eastAsia="en-US"/>
        </w:rPr>
        <w:t xml:space="preserve">, k níž přijde zvnějšku nemateriální intelekt. Tím vznikne pouze formálně správný (ale nikoliv metafyzicky pravdivý) popis jednoty intelektu a osoby v esenciálním a analytickém modu </w:t>
      </w:r>
      <w:r w:rsidRPr="08D56D33">
        <w:rPr>
          <w:i/>
          <w:lang w:eastAsia="en-US"/>
        </w:rPr>
        <w:t>Oxfordian Fallacy</w:t>
      </w:r>
      <w:r>
        <w:rPr>
          <w:lang w:eastAsia="en-US"/>
        </w:rPr>
        <w:t xml:space="preserve"> vyjádřený větou </w:t>
      </w:r>
      <w:r w:rsidR="00B73A02">
        <w:rPr>
          <w:lang w:eastAsia="en-US"/>
        </w:rPr>
        <w:t>„</w:t>
      </w:r>
      <w:r w:rsidRPr="00076D10">
        <w:rPr>
          <w:i/>
          <w:lang w:eastAsia="en-US"/>
        </w:rPr>
        <w:t>homo intelligit</w:t>
      </w:r>
      <w:r w:rsidR="00B73A02">
        <w:rPr>
          <w:lang w:eastAsia="en-US"/>
        </w:rPr>
        <w:t>“</w:t>
      </w:r>
      <w:r>
        <w:rPr>
          <w:i/>
          <w:lang w:eastAsia="en-US"/>
        </w:rPr>
        <w:fldChar w:fldCharType="begin"/>
      </w:r>
      <w:r>
        <w:instrText xml:space="preserve"> XE "</w:instrText>
      </w:r>
      <w:r>
        <w:rPr>
          <w:i/>
          <w:lang w:eastAsia="en-US"/>
        </w:rPr>
        <w:instrText>osoba:</w:instrText>
      </w:r>
      <w:r w:rsidRPr="007F785A">
        <w:rPr>
          <w:i/>
          <w:lang w:eastAsia="en-US"/>
        </w:rPr>
        <w:instrText>homo intelligit</w:instrText>
      </w:r>
      <w:r>
        <w:instrText xml:space="preserve">" </w:instrText>
      </w:r>
      <w:r>
        <w:rPr>
          <w:i/>
          <w:lang w:eastAsia="en-US"/>
        </w:rPr>
        <w:fldChar w:fldCharType="end"/>
      </w:r>
      <w:r w:rsidRPr="00273106">
        <w:rPr>
          <w:lang w:eastAsia="en-US"/>
        </w:rPr>
        <w:t xml:space="preserve">. </w:t>
      </w:r>
      <w:r>
        <w:rPr>
          <w:lang w:eastAsia="en-US"/>
        </w:rPr>
        <w:t xml:space="preserve">Siger naopak hájí individualizaci poznání v rámci jednoty osoby dané v pojetí </w:t>
      </w:r>
      <w:r w:rsidR="00DC3383">
        <w:rPr>
          <w:lang w:eastAsia="en-US"/>
        </w:rPr>
        <w:t>„</w:t>
      </w:r>
      <w:r>
        <w:rPr>
          <w:i/>
          <w:lang w:eastAsia="en-US"/>
        </w:rPr>
        <w:t xml:space="preserve">homo </w:t>
      </w:r>
      <w:r w:rsidR="00B73A02" w:rsidRPr="001376F6">
        <w:rPr>
          <w:i/>
          <w:lang w:eastAsia="en-US"/>
        </w:rPr>
        <w:t>ipse</w:t>
      </w:r>
      <w:r w:rsidR="00B73A02">
        <w:rPr>
          <w:i/>
          <w:lang w:eastAsia="en-US"/>
        </w:rPr>
        <w:t xml:space="preserve"> </w:t>
      </w:r>
      <w:r>
        <w:rPr>
          <w:i/>
          <w:lang w:eastAsia="en-US"/>
        </w:rPr>
        <w:t>intelligit</w:t>
      </w:r>
      <w:r w:rsidR="00DC3383">
        <w:rPr>
          <w:lang w:eastAsia="en-US"/>
        </w:rPr>
        <w:t>“</w:t>
      </w:r>
      <w:r w:rsidR="00DC4882">
        <w:rPr>
          <w:lang w:eastAsia="en-US"/>
        </w:rPr>
        <w:t>. I</w:t>
      </w:r>
      <w:r>
        <w:rPr>
          <w:lang w:eastAsia="en-US"/>
        </w:rPr>
        <w:t xml:space="preserve">ndividualizace </w:t>
      </w:r>
      <w:r w:rsidR="00DC4882">
        <w:rPr>
          <w:lang w:eastAsia="en-US"/>
        </w:rPr>
        <w:t xml:space="preserve">je založena na osobně zakoušeném </w:t>
      </w:r>
      <w:r>
        <w:rPr>
          <w:lang w:eastAsia="en-US"/>
        </w:rPr>
        <w:t>akt</w:t>
      </w:r>
      <w:r w:rsidR="00DC4882">
        <w:rPr>
          <w:lang w:eastAsia="en-US"/>
        </w:rPr>
        <w:t>u</w:t>
      </w:r>
      <w:r>
        <w:rPr>
          <w:lang w:eastAsia="en-US"/>
        </w:rPr>
        <w:t xml:space="preserve"> porozumění</w:t>
      </w:r>
      <w:r w:rsidR="00BA024C">
        <w:rPr>
          <w:lang w:eastAsia="en-US"/>
        </w:rPr>
        <w:t xml:space="preserve">. Tím </w:t>
      </w:r>
      <w:r w:rsidR="00F70BB6">
        <w:rPr>
          <w:lang w:eastAsia="en-US"/>
        </w:rPr>
        <w:t xml:space="preserve">vznikla </w:t>
      </w:r>
      <w:r>
        <w:rPr>
          <w:lang w:eastAsia="en-US"/>
        </w:rPr>
        <w:t xml:space="preserve">první existenciální </w:t>
      </w:r>
      <w:r w:rsidR="00F70BB6">
        <w:rPr>
          <w:lang w:eastAsia="en-US"/>
        </w:rPr>
        <w:t xml:space="preserve">filosofie </w:t>
      </w:r>
      <w:r>
        <w:rPr>
          <w:lang w:eastAsia="en-US"/>
        </w:rPr>
        <w:t>na latinském Západě</w:t>
      </w:r>
      <w:r>
        <w:rPr>
          <w:i/>
          <w:lang w:eastAsia="en-US"/>
        </w:rPr>
        <w:fldChar w:fldCharType="begin"/>
      </w:r>
      <w:r>
        <w:instrText xml:space="preserve"> XE "</w:instrText>
      </w:r>
      <w:r w:rsidRPr="00B935DC">
        <w:rPr>
          <w:rStyle w:val="Zkladntext350"/>
        </w:rPr>
        <w:instrText>osoba</w:instrText>
      </w:r>
      <w:r w:rsidRPr="00B935DC">
        <w:rPr>
          <w:rStyle w:val="Zkladntext350"/>
          <w:i/>
        </w:rPr>
        <w:instrText>:</w:instrText>
      </w:r>
      <w:r>
        <w:rPr>
          <w:rStyle w:val="Zkladntext350"/>
          <w:i/>
        </w:rPr>
        <w:instrText>homo ipse intelligit</w:instrText>
      </w:r>
      <w:r>
        <w:instrText xml:space="preserve">" </w:instrText>
      </w:r>
      <w:r>
        <w:rPr>
          <w:i/>
          <w:lang w:eastAsia="en-US"/>
        </w:rPr>
        <w:fldChar w:fldCharType="end"/>
      </w:r>
      <w:r>
        <w:rPr>
          <w:lang w:eastAsia="en-US"/>
        </w:rPr>
        <w:t xml:space="preserve">. </w:t>
      </w:r>
      <w:r w:rsidR="00F70BB6">
        <w:rPr>
          <w:lang w:eastAsia="en-US"/>
        </w:rPr>
        <w:t>I</w:t>
      </w:r>
      <w:r>
        <w:rPr>
          <w:lang w:eastAsia="en-US"/>
        </w:rPr>
        <w:t xml:space="preserve">ntelekt </w:t>
      </w:r>
      <w:r w:rsidR="00F70BB6">
        <w:rPr>
          <w:lang w:eastAsia="en-US"/>
        </w:rPr>
        <w:t xml:space="preserve">je </w:t>
      </w:r>
      <w:r>
        <w:rPr>
          <w:lang w:eastAsia="en-US"/>
        </w:rPr>
        <w:t>zakoušená nemateriální potence duše, skrze kterou nemateriálně poznáváme</w:t>
      </w:r>
      <w:r w:rsidR="003E6B9A">
        <w:rPr>
          <w:lang w:eastAsia="en-US"/>
        </w:rPr>
        <w:t>. T</w:t>
      </w:r>
      <w:r>
        <w:rPr>
          <w:lang w:eastAsia="en-US"/>
        </w:rPr>
        <w:t xml:space="preserve">ato zkušenost je univerzálně predikována podle hyparchické  kauzality osoby jako existující první substance, což </w:t>
      </w:r>
      <w:r w:rsidR="003E6B9A">
        <w:rPr>
          <w:lang w:eastAsia="en-US"/>
        </w:rPr>
        <w:t xml:space="preserve">podává </w:t>
      </w:r>
      <w:r>
        <w:rPr>
          <w:lang w:eastAsia="en-US"/>
        </w:rPr>
        <w:t>vědeck</w:t>
      </w:r>
      <w:r w:rsidR="003E6B9A">
        <w:rPr>
          <w:lang w:eastAsia="en-US"/>
        </w:rPr>
        <w:t xml:space="preserve">é </w:t>
      </w:r>
      <w:r>
        <w:rPr>
          <w:lang w:eastAsia="en-US"/>
        </w:rPr>
        <w:t>určení intelektu. Ve středním členu soudu (</w:t>
      </w:r>
      <w:r w:rsidRPr="001376F6">
        <w:rPr>
          <w:i/>
          <w:lang w:eastAsia="en-US"/>
        </w:rPr>
        <w:t>experimur</w:t>
      </w:r>
      <w:r>
        <w:rPr>
          <w:lang w:eastAsia="en-US"/>
        </w:rPr>
        <w:t xml:space="preserve">, </w:t>
      </w:r>
      <w:r w:rsidRPr="001376F6">
        <w:rPr>
          <w:i/>
          <w:lang w:eastAsia="en-US"/>
        </w:rPr>
        <w:t>conscii sumus</w:t>
      </w:r>
      <w:r>
        <w:rPr>
          <w:lang w:eastAsia="en-US"/>
        </w:rPr>
        <w:t xml:space="preserve">) </w:t>
      </w:r>
      <w:r w:rsidR="00CE5024">
        <w:rPr>
          <w:lang w:eastAsia="en-US"/>
        </w:rPr>
        <w:t xml:space="preserve">působá kauzalita </w:t>
      </w:r>
      <w:r>
        <w:rPr>
          <w:lang w:eastAsia="en-US"/>
        </w:rPr>
        <w:t>intelekt</w:t>
      </w:r>
      <w:r w:rsidR="00CE5024">
        <w:rPr>
          <w:lang w:eastAsia="en-US"/>
        </w:rPr>
        <w:t xml:space="preserve">u </w:t>
      </w:r>
      <w:r>
        <w:rPr>
          <w:lang w:eastAsia="en-US"/>
        </w:rPr>
        <w:t>v oživeném těle jako první substanci. O</w:t>
      </w:r>
      <w:r w:rsidRPr="00273106">
        <w:rPr>
          <w:lang w:eastAsia="en-US"/>
        </w:rPr>
        <w:t xml:space="preserve">ba dominikáni </w:t>
      </w:r>
      <w:r>
        <w:rPr>
          <w:lang w:eastAsia="en-US"/>
        </w:rPr>
        <w:t xml:space="preserve">hájí podle Sigera </w:t>
      </w:r>
      <w:r w:rsidRPr="00273106">
        <w:rPr>
          <w:lang w:eastAsia="en-US"/>
        </w:rPr>
        <w:t xml:space="preserve">nematerialitu a oddělenost </w:t>
      </w:r>
      <w:r>
        <w:rPr>
          <w:lang w:eastAsia="en-US"/>
        </w:rPr>
        <w:t xml:space="preserve">intelektu v modu </w:t>
      </w:r>
      <w:r w:rsidRPr="00BD79C8">
        <w:rPr>
          <w:i/>
          <w:lang w:eastAsia="en-US"/>
        </w:rPr>
        <w:t>separatus</w:t>
      </w:r>
      <w:r>
        <w:rPr>
          <w:lang w:eastAsia="en-US"/>
        </w:rPr>
        <w:t xml:space="preserve">, a nikoliv </w:t>
      </w:r>
      <w:r w:rsidRPr="00371C6A">
        <w:rPr>
          <w:i/>
          <w:lang w:eastAsia="en-US"/>
        </w:rPr>
        <w:t>separabilis</w:t>
      </w:r>
      <w:r>
        <w:fldChar w:fldCharType="begin"/>
      </w:r>
      <w:r>
        <w:instrText xml:space="preserve"> XE "intelekt:</w:instrText>
      </w:r>
      <w:r w:rsidRPr="008E31F8">
        <w:rPr>
          <w:i/>
        </w:rPr>
        <w:instrText>separabilis</w:instrText>
      </w:r>
      <w:r>
        <w:instrText>/</w:instrText>
      </w:r>
      <w:r w:rsidRPr="008E31F8">
        <w:rPr>
          <w:i/>
        </w:rPr>
        <w:instrText>separatus</w:instrText>
      </w:r>
      <w:r>
        <w:instrText xml:space="preserve">" </w:instrText>
      </w:r>
      <w:r>
        <w:fldChar w:fldCharType="end"/>
      </w:r>
      <w:r>
        <w:rPr>
          <w:lang w:eastAsia="en-US"/>
        </w:rPr>
        <w:t xml:space="preserve">. Albert to udělal </w:t>
      </w:r>
      <w:r w:rsidR="00CE5024">
        <w:rPr>
          <w:lang w:eastAsia="en-US"/>
        </w:rPr>
        <w:t>v modu deduktivní</w:t>
      </w:r>
      <w:r>
        <w:rPr>
          <w:lang w:eastAsia="en-US"/>
        </w:rPr>
        <w:t xml:space="preserve"> </w:t>
      </w:r>
      <w:r w:rsidR="00CE5024">
        <w:rPr>
          <w:lang w:eastAsia="en-US"/>
        </w:rPr>
        <w:t>hypotézy</w:t>
      </w:r>
      <w:r>
        <w:rPr>
          <w:lang w:eastAsia="en-US"/>
        </w:rPr>
        <w:t xml:space="preserve">. Akvinský už má separaci danou jako účinný princip v realitě. Tím vznikla další forma </w:t>
      </w:r>
      <w:r w:rsidRPr="08D2196C">
        <w:rPr>
          <w:i/>
          <w:lang w:eastAsia="en-US"/>
        </w:rPr>
        <w:t>Oxfordian Fallacy</w:t>
      </w:r>
      <w:r>
        <w:rPr>
          <w:lang w:eastAsia="en-US"/>
        </w:rPr>
        <w:t xml:space="preserve"> a další simulákrum averroistického Averrose, kte</w:t>
      </w:r>
      <w:r w:rsidR="005D7DB1">
        <w:rPr>
          <w:lang w:eastAsia="en-US"/>
        </w:rPr>
        <w:t>rou v dějinách filosofie tradoval</w:t>
      </w:r>
      <w:r>
        <w:rPr>
          <w:lang w:eastAsia="en-US"/>
        </w:rPr>
        <w:t xml:space="preserve"> tomismus ustavený Aegidiem. Filosofické </w:t>
      </w:r>
      <w:r w:rsidR="00115CC5">
        <w:rPr>
          <w:lang w:eastAsia="en-US"/>
        </w:rPr>
        <w:t>„</w:t>
      </w:r>
      <w:r w:rsidRPr="081752E6">
        <w:rPr>
          <w:i/>
          <w:lang w:eastAsia="en-US"/>
        </w:rPr>
        <w:t>peccatum originale</w:t>
      </w:r>
      <w:r w:rsidR="00115CC5">
        <w:rPr>
          <w:lang w:eastAsia="en-US"/>
        </w:rPr>
        <w:t>“</w:t>
      </w:r>
      <w:r>
        <w:rPr>
          <w:lang w:eastAsia="en-US"/>
        </w:rPr>
        <w:t xml:space="preserve"> tomismu vzniklo tím, že teologicky daná jednota intelektu není </w:t>
      </w:r>
      <w:r w:rsidRPr="00273106">
        <w:rPr>
          <w:lang w:eastAsia="en-US"/>
        </w:rPr>
        <w:t>schopn</w:t>
      </w:r>
      <w:r>
        <w:rPr>
          <w:lang w:eastAsia="en-US"/>
        </w:rPr>
        <w:t>a</w:t>
      </w:r>
      <w:r w:rsidRPr="00273106">
        <w:rPr>
          <w:lang w:eastAsia="en-US"/>
        </w:rPr>
        <w:t xml:space="preserve"> definovat akt myšlení tak, aby byl nemateriální vzhledem ke smyslům a přitom tvořil </w:t>
      </w:r>
      <w:r w:rsidR="00F20B86">
        <w:rPr>
          <w:lang w:eastAsia="en-US"/>
        </w:rPr>
        <w:t xml:space="preserve">součást </w:t>
      </w:r>
      <w:r w:rsidRPr="00273106">
        <w:rPr>
          <w:lang w:eastAsia="en-US"/>
        </w:rPr>
        <w:t>tělesně dané subsistence duše. Akvinsk</w:t>
      </w:r>
      <w:r>
        <w:rPr>
          <w:lang w:eastAsia="en-US"/>
        </w:rPr>
        <w:t xml:space="preserve">ý </w:t>
      </w:r>
      <w:r w:rsidRPr="00273106">
        <w:rPr>
          <w:lang w:eastAsia="en-US"/>
        </w:rPr>
        <w:t>přehnaným zdůraznění</w:t>
      </w:r>
      <w:r>
        <w:rPr>
          <w:lang w:eastAsia="en-US"/>
        </w:rPr>
        <w:t>m</w:t>
      </w:r>
      <w:r w:rsidRPr="00273106">
        <w:rPr>
          <w:lang w:eastAsia="en-US"/>
        </w:rPr>
        <w:t xml:space="preserve"> principu </w:t>
      </w:r>
      <w:r w:rsidRPr="00273106">
        <w:rPr>
          <w:i/>
          <w:lang w:eastAsia="en-US"/>
        </w:rPr>
        <w:t>ipse</w:t>
      </w:r>
      <w:r w:rsidRPr="00273106">
        <w:rPr>
          <w:lang w:eastAsia="en-US"/>
        </w:rPr>
        <w:t xml:space="preserve"> připsanému jednostranně k intelektu dostal dualismus dvou </w:t>
      </w:r>
      <w:r w:rsidR="009C078D">
        <w:rPr>
          <w:lang w:eastAsia="en-US"/>
        </w:rPr>
        <w:t xml:space="preserve">forem </w:t>
      </w:r>
      <w:r>
        <w:rPr>
          <w:lang w:eastAsia="en-US"/>
        </w:rPr>
        <w:t xml:space="preserve">podobný druhému averroismu. </w:t>
      </w:r>
      <w:r w:rsidRPr="00273106">
        <w:rPr>
          <w:lang w:eastAsia="en-US"/>
        </w:rPr>
        <w:t xml:space="preserve">Další kolo argumentace je filosofické povahy. Siger </w:t>
      </w:r>
      <w:r>
        <w:rPr>
          <w:lang w:eastAsia="en-US"/>
        </w:rPr>
        <w:t xml:space="preserve">vysvětluje skutečné </w:t>
      </w:r>
      <w:r w:rsidRPr="00273106">
        <w:rPr>
          <w:i/>
        </w:rPr>
        <w:t>intentum</w:t>
      </w:r>
      <w:r>
        <w:rPr>
          <w:lang w:eastAsia="en-US"/>
        </w:rPr>
        <w:t xml:space="preserve"> Aristotelovy metafyziky dané primátem reálné první </w:t>
      </w:r>
      <w:r>
        <w:rPr>
          <w:lang w:eastAsia="en-US"/>
        </w:rPr>
        <w:lastRenderedPageBreak/>
        <w:t xml:space="preserve">substance, což nepochopili oba kritizovaní zastánci prvního averoismu </w:t>
      </w:r>
      <w:r w:rsidRPr="00273106">
        <w:rPr>
          <w:lang w:eastAsia="en-US"/>
        </w:rPr>
        <w:t>(</w:t>
      </w:r>
      <w:r w:rsidRPr="00273106">
        <w:rPr>
          <w:i/>
        </w:rPr>
        <w:t>praedicti viri non concludunt intentum</w:t>
      </w:r>
      <w:r>
        <w:t xml:space="preserve">; </w:t>
      </w:r>
      <w:r w:rsidRPr="00273106">
        <w:rPr>
          <w:i/>
          <w:lang w:eastAsia="en-US"/>
        </w:rPr>
        <w:t>De anima intellectiva</w:t>
      </w:r>
      <w:r w:rsidRPr="00273106">
        <w:rPr>
          <w:lang w:eastAsia="en-US"/>
        </w:rPr>
        <w:t xml:space="preserve"> </w:t>
      </w:r>
      <w:r>
        <w:t xml:space="preserve">3, </w:t>
      </w:r>
      <w:r w:rsidRPr="00273106">
        <w:t>p. 83.39</w:t>
      </w:r>
      <w:r>
        <w:fldChar w:fldCharType="begin"/>
      </w:r>
      <w:r>
        <w:instrText xml:space="preserve"> XE "Siger:</w:instrText>
      </w:r>
      <w:r w:rsidRPr="006C169C">
        <w:rPr>
          <w:i/>
          <w:lang w:eastAsia="en-US"/>
        </w:rPr>
        <w:instrText>De anima intellectiva</w:instrText>
      </w:r>
      <w:r>
        <w:rPr>
          <w:lang w:eastAsia="en-US"/>
        </w:rPr>
        <w:instrText xml:space="preserve"> </w:instrText>
      </w:r>
      <w:r w:rsidRPr="006C169C">
        <w:instrText>83.39</w:instrText>
      </w:r>
      <w:r>
        <w:instrText xml:space="preserve">" </w:instrText>
      </w:r>
      <w:r>
        <w:fldChar w:fldCharType="end"/>
      </w:r>
      <w:r w:rsidRPr="00273106">
        <w:rPr>
          <w:lang w:eastAsia="en-US"/>
        </w:rPr>
        <w:t>)</w:t>
      </w:r>
      <w:r>
        <w:rPr>
          <w:lang w:eastAsia="en-US"/>
        </w:rPr>
        <w:t xml:space="preserve">. </w:t>
      </w:r>
      <w:r w:rsidRPr="00273106">
        <w:rPr>
          <w:lang w:eastAsia="en-US"/>
        </w:rPr>
        <w:t>Albert a Akvinský nebyli schopni vstoupit do fenomenologické perspektivy CMDA (</w:t>
      </w:r>
      <w:r w:rsidRPr="00273106">
        <w:t xml:space="preserve">πῶς, </w:t>
      </w:r>
      <w:r w:rsidRPr="00273106">
        <w:rPr>
          <w:i/>
          <w:iCs/>
        </w:rPr>
        <w:t>quomodo</w:t>
      </w:r>
      <w:r w:rsidRPr="00273106">
        <w:rPr>
          <w:lang w:eastAsia="en-US"/>
        </w:rPr>
        <w:t>) ohledně fungování intelektu</w:t>
      </w:r>
      <w:r>
        <w:rPr>
          <w:lang w:eastAsia="en-US"/>
        </w:rPr>
        <w:t xml:space="preserve"> v jedinečné existenci osoby</w:t>
      </w:r>
      <w:r>
        <w:rPr>
          <w:lang w:eastAsia="en-US"/>
        </w:rPr>
        <w:fldChar w:fldCharType="begin"/>
      </w:r>
      <w:r>
        <w:instrText xml:space="preserve"> XE "</w:instrText>
      </w:r>
      <w:r w:rsidRPr="002B79BE">
        <w:instrText xml:space="preserve">hermeneutické </w:instrText>
      </w:r>
      <w:r w:rsidRPr="002D29CB">
        <w:rPr>
          <w:i/>
        </w:rPr>
        <w:instrText>Wie</w:instrText>
      </w:r>
      <w:r w:rsidRPr="002B79BE">
        <w:instrText>:Siger</w:instrText>
      </w:r>
      <w:r>
        <w:instrText xml:space="preserve">" </w:instrText>
      </w:r>
      <w:r>
        <w:rPr>
          <w:lang w:eastAsia="en-US"/>
        </w:rPr>
        <w:fldChar w:fldCharType="end"/>
      </w:r>
      <w:r w:rsidRPr="00273106">
        <w:rPr>
          <w:lang w:eastAsia="en-US"/>
        </w:rPr>
        <w:t>.</w:t>
      </w:r>
      <w:r w:rsidR="00991D0D">
        <w:rPr>
          <w:lang w:eastAsia="en-US"/>
        </w:rPr>
        <w:t xml:space="preserve"> </w:t>
      </w:r>
      <w:r w:rsidRPr="00273106">
        <w:rPr>
          <w:lang w:eastAsia="en-US"/>
        </w:rPr>
        <w:t xml:space="preserve">Siger </w:t>
      </w:r>
      <w:r w:rsidR="001A2563" w:rsidRPr="00273106">
        <w:rPr>
          <w:lang w:eastAsia="en-US"/>
        </w:rPr>
        <w:t xml:space="preserve">vstoupil </w:t>
      </w:r>
      <w:r w:rsidRPr="00273106">
        <w:rPr>
          <w:lang w:eastAsia="en-US"/>
        </w:rPr>
        <w:t xml:space="preserve">jako jediný myslitel latinského Západu do perspektivy CMDA a přesně pochopil jemnosti a kličky </w:t>
      </w:r>
      <w:r>
        <w:rPr>
          <w:lang w:eastAsia="en-US"/>
        </w:rPr>
        <w:t>Averroes</w:t>
      </w:r>
      <w:r w:rsidRPr="00273106">
        <w:rPr>
          <w:lang w:eastAsia="en-US"/>
        </w:rPr>
        <w:t xml:space="preserve">ovy debaty s Alexandrem, a hlavně s Themistiem </w:t>
      </w:r>
      <w:r>
        <w:rPr>
          <w:lang w:eastAsia="en-US"/>
        </w:rPr>
        <w:t xml:space="preserve">a </w:t>
      </w:r>
      <w:r w:rsidR="001A2563">
        <w:rPr>
          <w:lang w:eastAsia="en-US"/>
        </w:rPr>
        <w:t xml:space="preserve">(Siger </w:t>
      </w:r>
      <w:r>
        <w:rPr>
          <w:lang w:eastAsia="en-US"/>
        </w:rPr>
        <w:t>s</w:t>
      </w:r>
      <w:r w:rsidR="001A2563">
        <w:rPr>
          <w:lang w:eastAsia="en-US"/>
        </w:rPr>
        <w:t> </w:t>
      </w:r>
      <w:r>
        <w:rPr>
          <w:lang w:eastAsia="en-US"/>
        </w:rPr>
        <w:t>Avicennou</w:t>
      </w:r>
      <w:r w:rsidR="001A2563">
        <w:rPr>
          <w:lang w:eastAsia="en-US"/>
        </w:rPr>
        <w:t>)</w:t>
      </w:r>
      <w:r>
        <w:rPr>
          <w:lang w:eastAsia="en-US"/>
        </w:rPr>
        <w:t xml:space="preserve"> </w:t>
      </w:r>
      <w:r w:rsidRPr="00273106">
        <w:rPr>
          <w:lang w:eastAsia="en-US"/>
        </w:rPr>
        <w:t xml:space="preserve">o smysl </w:t>
      </w:r>
      <w:r w:rsidR="00D62270">
        <w:rPr>
          <w:lang w:eastAsia="en-US"/>
        </w:rPr>
        <w:t xml:space="preserve">spisu </w:t>
      </w:r>
      <w:r>
        <w:rPr>
          <w:i/>
          <w:lang w:eastAsia="en-US"/>
        </w:rPr>
        <w:t>De anima</w:t>
      </w:r>
      <w:r>
        <w:rPr>
          <w:lang w:eastAsia="en-US"/>
        </w:rPr>
        <w:t xml:space="preserve">. Siger v následující generaci po biskupu Alvernovi dokázal naplno obhájit, proč je Averroes </w:t>
      </w:r>
      <w:r w:rsidR="00D62270">
        <w:rPr>
          <w:lang w:eastAsia="en-US"/>
        </w:rPr>
        <w:t>„</w:t>
      </w:r>
      <w:r w:rsidRPr="00001363">
        <w:rPr>
          <w:i/>
          <w:lang w:eastAsia="en-US"/>
        </w:rPr>
        <w:t>philosophus nobilissimus</w:t>
      </w:r>
      <w:r w:rsidR="00D62270">
        <w:rPr>
          <w:lang w:eastAsia="en-US"/>
        </w:rPr>
        <w:t>“</w:t>
      </w:r>
      <w:r>
        <w:rPr>
          <w:lang w:eastAsia="en-US"/>
        </w:rPr>
        <w:t xml:space="preserve"> a proč je nejlepším vykladačem Aristotela (</w:t>
      </w:r>
      <w:r w:rsidR="08FF29A1">
        <w:rPr>
          <w:lang w:eastAsia="en-US"/>
        </w:rPr>
        <w:t>OBJ II, kap. 2</w:t>
      </w:r>
      <w:r>
        <w:rPr>
          <w:lang w:eastAsia="en-US"/>
        </w:rPr>
        <w:t xml:space="preserve">.3). Je tedy úplně jasné, komu magistři na Rue du Fouarre dali titul </w:t>
      </w:r>
      <w:r w:rsidRPr="08E67AA0">
        <w:rPr>
          <w:i/>
          <w:lang w:eastAsia="en-US"/>
        </w:rPr>
        <w:t>Expositor Novus</w:t>
      </w:r>
      <w:r>
        <w:rPr>
          <w:i/>
          <w:lang w:eastAsia="en-US"/>
        </w:rPr>
        <w:fldChar w:fldCharType="begin"/>
      </w:r>
      <w:r>
        <w:instrText xml:space="preserve"> XE "</w:instrText>
      </w:r>
      <w:r w:rsidRPr="089E0B6C">
        <w:rPr>
          <w:i/>
          <w:lang w:eastAsia="en-US"/>
        </w:rPr>
        <w:instrText>Expositor Novus</w:instrText>
      </w:r>
      <w:r>
        <w:instrText xml:space="preserve">" </w:instrText>
      </w:r>
      <w:r>
        <w:rPr>
          <w:i/>
          <w:lang w:eastAsia="en-US"/>
        </w:rPr>
        <w:fldChar w:fldCharType="end"/>
      </w:r>
      <w:r>
        <w:rPr>
          <w:lang w:eastAsia="en-US"/>
        </w:rPr>
        <w:t xml:space="preserve"> a ko</w:t>
      </w:r>
      <w:r w:rsidR="00991D0D">
        <w:rPr>
          <w:lang w:eastAsia="en-US"/>
        </w:rPr>
        <w:t>ho si zvolili za svého rektora.</w:t>
      </w:r>
    </w:p>
    <w:p w:rsidR="08163013" w:rsidRDefault="08163013" w:rsidP="00991D0D">
      <w:pPr>
        <w:ind w:firstLine="397"/>
        <w:rPr>
          <w:lang w:eastAsia="en-US"/>
        </w:rPr>
      </w:pPr>
      <w:r>
        <w:rPr>
          <w:lang w:eastAsia="en-US"/>
        </w:rPr>
        <w:t xml:space="preserve">Podívejme se na vrcholný výkon Sigerovy filosofie, který představuje prozatím nejlepší výklad </w:t>
      </w:r>
      <w:r w:rsidRPr="0006149D">
        <w:rPr>
          <w:i/>
          <w:lang w:eastAsia="en-US"/>
        </w:rPr>
        <w:t>De anima</w:t>
      </w:r>
      <w:r>
        <w:rPr>
          <w:lang w:eastAsia="en-US"/>
        </w:rPr>
        <w:t xml:space="preserve"> na latinském Západě. </w:t>
      </w:r>
      <w:r w:rsidR="00633DCD">
        <w:rPr>
          <w:lang w:eastAsia="en-US"/>
        </w:rPr>
        <w:t xml:space="preserve">Siger </w:t>
      </w:r>
      <w:r w:rsidRPr="00273106">
        <w:rPr>
          <w:lang w:eastAsia="en-US"/>
        </w:rPr>
        <w:t>nejprve upozorní, že argumentace se týká jen a pouze</w:t>
      </w:r>
      <w:r>
        <w:rPr>
          <w:lang w:eastAsia="en-US"/>
        </w:rPr>
        <w:t xml:space="preserve"> filosofické nauky o duši</w:t>
      </w:r>
      <w:r w:rsidRPr="00273106">
        <w:rPr>
          <w:lang w:eastAsia="en-US"/>
        </w:rPr>
        <w:t xml:space="preserve"> dané Aristotelem a poznatelné čistým rozumem, nikoliv teologických determinací duše vyplývajících z křesťanské nauky.</w:t>
      </w:r>
      <w:bookmarkStart w:id="42" w:name="_Ref407963662"/>
      <w:r w:rsidRPr="00273106">
        <w:rPr>
          <w:rStyle w:val="Znakapoznpodarou"/>
          <w:lang w:eastAsia="en-US"/>
        </w:rPr>
        <w:footnoteReference w:id="258"/>
      </w:r>
      <w:bookmarkEnd w:id="42"/>
      <w:r w:rsidRPr="00273106">
        <w:rPr>
          <w:lang w:eastAsia="en-US"/>
        </w:rPr>
        <w:t xml:space="preserve"> </w:t>
      </w:r>
      <w:r>
        <w:rPr>
          <w:lang w:eastAsia="en-US"/>
        </w:rPr>
        <w:t xml:space="preserve">Toto pojetí </w:t>
      </w:r>
      <w:r w:rsidR="00FD7680">
        <w:rPr>
          <w:lang w:eastAsia="en-US"/>
        </w:rPr>
        <w:t xml:space="preserve">založilo argumentaci v </w:t>
      </w:r>
      <w:r>
        <w:rPr>
          <w:lang w:eastAsia="en-US"/>
        </w:rPr>
        <w:t>dekret</w:t>
      </w:r>
      <w:r w:rsidR="00FD7680">
        <w:rPr>
          <w:lang w:eastAsia="en-US"/>
        </w:rPr>
        <w:t>u</w:t>
      </w:r>
      <w:r>
        <w:rPr>
          <w:lang w:eastAsia="en-US"/>
        </w:rPr>
        <w:t xml:space="preserve"> pařížských artistů z roku 1272</w:t>
      </w:r>
      <w:r>
        <w:rPr>
          <w:szCs w:val="24"/>
        </w:rPr>
        <w:fldChar w:fldCharType="begin"/>
      </w:r>
      <w:r>
        <w:instrText xml:space="preserve"> XE "</w:instrText>
      </w:r>
      <w:r w:rsidRPr="00FD37CA">
        <w:rPr>
          <w:szCs w:val="24"/>
        </w:rPr>
        <w:instrText>dekret artistů 1272</w:instrText>
      </w:r>
      <w:r>
        <w:instrText xml:space="preserve">" </w:instrText>
      </w:r>
      <w:r>
        <w:rPr>
          <w:szCs w:val="24"/>
        </w:rPr>
        <w:fldChar w:fldCharType="end"/>
      </w:r>
      <w:r>
        <w:rPr>
          <w:lang w:eastAsia="en-US"/>
        </w:rPr>
        <w:t xml:space="preserve">, který brání odlišné rody zkoumání pro teologii a pro filosofii. Proto toto prohlášení formuloval Siger a jeho artistická škola. Rozlišení rodového zkoumání filosofie a teologie bylo primárně namířeno proti </w:t>
      </w:r>
      <w:r w:rsidRPr="00BE5AA6">
        <w:rPr>
          <w:i/>
          <w:lang w:eastAsia="en-US"/>
        </w:rPr>
        <w:t>Oxfordian Fallacy</w:t>
      </w:r>
      <w:r>
        <w:rPr>
          <w:lang w:eastAsia="en-US"/>
        </w:rPr>
        <w:t xml:space="preserve"> druhého averroismu</w:t>
      </w:r>
      <w:r w:rsidR="000E436D">
        <w:rPr>
          <w:lang w:eastAsia="en-US"/>
        </w:rPr>
        <w:t xml:space="preserve">. Ti </w:t>
      </w:r>
      <w:r>
        <w:rPr>
          <w:lang w:eastAsia="en-US"/>
        </w:rPr>
        <w:t>vyznáva</w:t>
      </w:r>
      <w:r w:rsidR="000E436D">
        <w:rPr>
          <w:lang w:eastAsia="en-US"/>
        </w:rPr>
        <w:t xml:space="preserve">li </w:t>
      </w:r>
      <w:r>
        <w:rPr>
          <w:lang w:eastAsia="en-US"/>
        </w:rPr>
        <w:t>univerzální hylemorfismus</w:t>
      </w:r>
      <w:r w:rsidR="000E436D">
        <w:rPr>
          <w:lang w:eastAsia="en-US"/>
        </w:rPr>
        <w:t xml:space="preserve"> a </w:t>
      </w:r>
      <w:r>
        <w:rPr>
          <w:lang w:eastAsia="en-US"/>
        </w:rPr>
        <w:t xml:space="preserve">vytvořili vedle reálné osoby její sofistické simulákrum. Ale obrana </w:t>
      </w:r>
      <w:r w:rsidRPr="08E92C45">
        <w:rPr>
          <w:i/>
          <w:lang w:eastAsia="en-US"/>
        </w:rPr>
        <w:t>Druhých analytik</w:t>
      </w:r>
      <w:r>
        <w:rPr>
          <w:lang w:eastAsia="en-US"/>
        </w:rPr>
        <w:t xml:space="preserve"> ve správně vyložené fenomenologii aktu myšlení (</w:t>
      </w:r>
      <w:r w:rsidRPr="001D1360">
        <w:rPr>
          <w:i/>
          <w:lang w:eastAsia="en-US"/>
        </w:rPr>
        <w:t>homo ipse intelligit</w:t>
      </w:r>
      <w:r>
        <w:rPr>
          <w:lang w:eastAsia="en-US"/>
        </w:rPr>
        <w:t xml:space="preserve">) šla i proti myslitelům ze školy aristotelského semiaverroismu vedené v Paříži Akvinským a Aegidiem, k nimž Siger přiřadil i Alberta v Kolíně. </w:t>
      </w:r>
      <w:r w:rsidR="00A8027D">
        <w:rPr>
          <w:lang w:eastAsia="en-US"/>
        </w:rPr>
        <w:t xml:space="preserve">Tito autoři </w:t>
      </w:r>
      <w:r>
        <w:rPr>
          <w:lang w:eastAsia="en-US"/>
        </w:rPr>
        <w:t xml:space="preserve">hlásali </w:t>
      </w:r>
      <w:r w:rsidR="00A8027D">
        <w:rPr>
          <w:lang w:eastAsia="en-US"/>
        </w:rPr>
        <w:t>n</w:t>
      </w:r>
      <w:r>
        <w:rPr>
          <w:lang w:eastAsia="en-US"/>
        </w:rPr>
        <w:t xml:space="preserve">ovou verzi </w:t>
      </w:r>
      <w:r w:rsidRPr="001D1360">
        <w:rPr>
          <w:i/>
          <w:lang w:eastAsia="en-US"/>
        </w:rPr>
        <w:t>Oxfordian Fallacy</w:t>
      </w:r>
      <w:r>
        <w:rPr>
          <w:lang w:eastAsia="en-US"/>
        </w:rPr>
        <w:t xml:space="preserve"> ohledně hypostázované duše (Albert) a intelektu</w:t>
      </w:r>
      <w:r w:rsidR="000E0670">
        <w:rPr>
          <w:lang w:eastAsia="en-US"/>
        </w:rPr>
        <w:t xml:space="preserve"> jako autonomní formy </w:t>
      </w:r>
      <w:r>
        <w:rPr>
          <w:lang w:eastAsia="en-US"/>
        </w:rPr>
        <w:t xml:space="preserve">(Akvinský), popřípadě vytvořili sofistický zmatek obojího (Aegidius). </w:t>
      </w:r>
      <w:r w:rsidRPr="00273106">
        <w:t xml:space="preserve">Proti Albertovi je </w:t>
      </w:r>
      <w:r>
        <w:t xml:space="preserve">Sigerova </w:t>
      </w:r>
      <w:r w:rsidRPr="00273106">
        <w:t xml:space="preserve">argumentace celkem jednoduchá. </w:t>
      </w:r>
      <w:r w:rsidR="00640B48">
        <w:t>Albert integroval intelektu jako potenci</w:t>
      </w:r>
      <w:r w:rsidRPr="00273106">
        <w:t xml:space="preserve"> duše do materiálně daných schopností duše</w:t>
      </w:r>
      <w:r w:rsidR="00640B48">
        <w:t xml:space="preserve"> a </w:t>
      </w:r>
      <w:r w:rsidRPr="00273106">
        <w:t>dostal jednotu osoby</w:t>
      </w:r>
      <w:r w:rsidR="00640B48">
        <w:t>. A</w:t>
      </w:r>
      <w:r w:rsidRPr="00273106">
        <w:t xml:space="preserve">le nebyl schopen dotáhnout do konce </w:t>
      </w:r>
      <w:r>
        <w:t>Averroes</w:t>
      </w:r>
      <w:r w:rsidRPr="00273106">
        <w:t xml:space="preserve">ovu </w:t>
      </w:r>
      <w:r>
        <w:t xml:space="preserve">brilantní </w:t>
      </w:r>
      <w:r w:rsidRPr="00273106">
        <w:lastRenderedPageBreak/>
        <w:t>integraci Themistia</w:t>
      </w:r>
      <w:r>
        <w:fldChar w:fldCharType="begin"/>
      </w:r>
      <w:r>
        <w:instrText xml:space="preserve"> XE "</w:instrText>
      </w:r>
      <w:r w:rsidRPr="002255E5">
        <w:instrText>Themistius</w:instrText>
      </w:r>
      <w:r>
        <w:instrText xml:space="preserve">" </w:instrText>
      </w:r>
      <w:r>
        <w:fldChar w:fldCharType="end"/>
      </w:r>
      <w:r w:rsidRPr="00273106">
        <w:t xml:space="preserve">. </w:t>
      </w:r>
      <w:r>
        <w:t>Averroes</w:t>
      </w:r>
      <w:r w:rsidRPr="00273106">
        <w:t xml:space="preserve"> přijal Themistiův princip oddělenosti </w:t>
      </w:r>
      <w:r w:rsidRPr="00273106">
        <w:rPr>
          <w:i/>
        </w:rPr>
        <w:t>intellectus possibilis</w:t>
      </w:r>
      <w:r>
        <w:rPr>
          <w:i/>
        </w:rPr>
        <w:fldChar w:fldCharType="begin"/>
      </w:r>
      <w:r>
        <w:instrText xml:space="preserve"> XE "</w:instrText>
      </w:r>
      <w:r w:rsidRPr="00770D02">
        <w:rPr>
          <w:i/>
        </w:rPr>
        <w:instrText>intellectus possibilis</w:instrText>
      </w:r>
      <w:r>
        <w:rPr>
          <w:i/>
        </w:rPr>
        <w:instrText>:</w:instrText>
      </w:r>
      <w:r w:rsidRPr="002255E5">
        <w:instrText>Themistius</w:instrText>
      </w:r>
      <w:r>
        <w:instrText xml:space="preserve">" </w:instrText>
      </w:r>
      <w:r>
        <w:rPr>
          <w:i/>
        </w:rPr>
        <w:fldChar w:fldCharType="end"/>
      </w:r>
      <w:r w:rsidRPr="00273106">
        <w:t xml:space="preserve"> vzhledem k jeho nemateriálnímu původu a postavil tento typ intelektu </w:t>
      </w:r>
      <w:r w:rsidR="00035E11">
        <w:t xml:space="preserve">mimo </w:t>
      </w:r>
      <w:r w:rsidRPr="00273106">
        <w:t>smyslové poznání</w:t>
      </w:r>
      <w:r>
        <w:t xml:space="preserve">. Ale zároveň přijal princip individuace skrze materiální intelekt, který Themistius odmítl </w:t>
      </w:r>
      <w:r w:rsidRPr="00273106">
        <w:t>(</w:t>
      </w:r>
      <w:r w:rsidR="0878424D">
        <w:t xml:space="preserve">OBJ I, </w:t>
      </w:r>
      <w:r w:rsidRPr="00273106">
        <w:t xml:space="preserve">kap. 2.4.3). </w:t>
      </w:r>
      <w:r>
        <w:t xml:space="preserve">Albert chybně určil materialitu intelektu, kterou CMDA vzala podle upravené nauky Themistia. Intelekt je individualizován jako kvazi-materie, tedy v modu </w:t>
      </w:r>
      <w:r w:rsidRPr="003611B9">
        <w:rPr>
          <w:i/>
        </w:rPr>
        <w:t xml:space="preserve">tertium </w:t>
      </w:r>
      <w:r w:rsidR="00962190">
        <w:rPr>
          <w:i/>
        </w:rPr>
        <w:t>genus</w:t>
      </w:r>
      <w:r>
        <w:rPr>
          <w:i/>
        </w:rPr>
        <w:fldChar w:fldCharType="begin"/>
      </w:r>
      <w:r>
        <w:instrText xml:space="preserve"> XE "</w:instrText>
      </w:r>
      <w:r w:rsidRPr="00D80F84">
        <w:rPr>
          <w:i/>
        </w:rPr>
        <w:instrText>tertium genus</w:instrText>
      </w:r>
      <w:r>
        <w:instrText xml:space="preserve">" </w:instrText>
      </w:r>
      <w:r>
        <w:rPr>
          <w:i/>
        </w:rPr>
        <w:fldChar w:fldCharType="end"/>
      </w:r>
      <w:r w:rsidRPr="00273106">
        <w:t>.</w:t>
      </w:r>
      <w:r>
        <w:t xml:space="preserve"> Albert vinou deduktivního postupu univočně spojil </w:t>
      </w:r>
      <w:r w:rsidRPr="00CF5059">
        <w:rPr>
          <w:i/>
        </w:rPr>
        <w:t>intellectus possib</w:t>
      </w:r>
      <w:r>
        <w:rPr>
          <w:i/>
        </w:rPr>
        <w:t>i</w:t>
      </w:r>
      <w:r w:rsidRPr="00CF5059">
        <w:rPr>
          <w:i/>
        </w:rPr>
        <w:t>lis</w:t>
      </w:r>
      <w:r>
        <w:t xml:space="preserve"> a nižší složky </w:t>
      </w:r>
      <w:r w:rsidR="0878424D">
        <w:t xml:space="preserve">duše, což Themistiův </w:t>
      </w:r>
      <w:r>
        <w:t xml:space="preserve"> </w:t>
      </w:r>
      <w:r w:rsidR="0878424D" w:rsidRPr="00CF5059">
        <w:rPr>
          <w:i/>
        </w:rPr>
        <w:t>intellectus possib</w:t>
      </w:r>
      <w:r w:rsidR="0878424D">
        <w:rPr>
          <w:i/>
        </w:rPr>
        <w:t>i</w:t>
      </w:r>
      <w:r w:rsidR="0878424D" w:rsidRPr="00CF5059">
        <w:rPr>
          <w:i/>
        </w:rPr>
        <w:t>lis</w:t>
      </w:r>
      <w:r w:rsidR="0878424D">
        <w:t xml:space="preserve"> </w:t>
      </w:r>
      <w:r>
        <w:t xml:space="preserve">neměl, </w:t>
      </w:r>
      <w:r w:rsidR="08DD3D13">
        <w:t>protože byl oddělen od smyslů</w:t>
      </w:r>
      <w:r>
        <w:t xml:space="preserve">. Albert nemůže provést plnou integraci intelektu </w:t>
      </w:r>
      <w:r w:rsidR="009C58CC">
        <w:t>v modu „</w:t>
      </w:r>
      <w:r w:rsidR="009C58CC" w:rsidRPr="009251F7">
        <w:rPr>
          <w:i/>
          <w:szCs w:val="24"/>
        </w:rPr>
        <w:t xml:space="preserve">homo ipse </w:t>
      </w:r>
      <w:r w:rsidR="009C58CC" w:rsidRPr="007D2532">
        <w:rPr>
          <w:i/>
          <w:szCs w:val="24"/>
        </w:rPr>
        <w:t>intelligit</w:t>
      </w:r>
      <w:r w:rsidR="009C58CC">
        <w:rPr>
          <w:szCs w:val="24"/>
        </w:rPr>
        <w:t xml:space="preserve">“ podle </w:t>
      </w:r>
      <w:r>
        <w:t xml:space="preserve">CMDA. Jeho nárok na titul </w:t>
      </w:r>
      <w:r w:rsidRPr="08197931">
        <w:rPr>
          <w:i/>
        </w:rPr>
        <w:t xml:space="preserve">Expositor Novus </w:t>
      </w:r>
      <w:r>
        <w:t>je invalidován následujícím argumentem.</w:t>
      </w:r>
    </w:p>
    <w:p w:rsidR="08163013" w:rsidRDefault="08163013" w:rsidP="08163013">
      <w:pPr>
        <w:pStyle w:val="Citace"/>
        <w:rPr>
          <w:lang w:val="cs-CZ"/>
        </w:rPr>
      </w:pPr>
      <w:r w:rsidRPr="00273106">
        <w:rPr>
          <w:noProof/>
        </w:rPr>
        <w:t>„</w:t>
      </w:r>
      <w:r>
        <w:t>Albert</w:t>
      </w:r>
      <w:r w:rsidR="00CB066E">
        <w:rPr>
          <w:lang w:val="cs-CZ"/>
        </w:rPr>
        <w:t xml:space="preserve"> p</w:t>
      </w:r>
      <w:r>
        <w:t>ředpokládá, že vegetativní a smyslová potence patří k</w:t>
      </w:r>
      <w:r w:rsidR="001E62BA">
        <w:t> </w:t>
      </w:r>
      <w:r w:rsidR="001E62BA">
        <w:rPr>
          <w:lang w:val="cs-CZ"/>
        </w:rPr>
        <w:t xml:space="preserve">té </w:t>
      </w:r>
      <w:r>
        <w:t xml:space="preserve">substanci, k níž patří také intelektuální potence. A to není pravda ani podle Filosofa, ani podle výkladu Themistia, jak je podáno </w:t>
      </w:r>
      <w:r>
        <w:rPr>
          <w:lang w:val="cs-CZ"/>
        </w:rPr>
        <w:t>níž</w:t>
      </w:r>
      <w:r>
        <w:t xml:space="preserve">e.“ </w:t>
      </w:r>
      <w:r>
        <w:rPr>
          <w:rStyle w:val="Znakapoznpodarou"/>
        </w:rPr>
        <w:footnoteReference w:id="259"/>
      </w:r>
    </w:p>
    <w:p w:rsidR="002C191F" w:rsidRDefault="08163013" w:rsidP="08163013">
      <w:r>
        <w:t xml:space="preserve">Albert zkompromitoval faktický průběh poznání tezí o primárním poznání z perspektivy duše jako hypostázované esence. </w:t>
      </w:r>
      <w:r w:rsidR="001F40B0" w:rsidRPr="001F40B0">
        <w:t>Albert má základní definici všech schopností, které jsou na stejné</w:t>
      </w:r>
      <w:r w:rsidR="001F40B0">
        <w:t xml:space="preserve"> úrovni abstrakce díky logické</w:t>
      </w:r>
      <w:r w:rsidR="001F40B0" w:rsidRPr="001F40B0">
        <w:t xml:space="preserve"> </w:t>
      </w:r>
      <w:r w:rsidR="001F40B0">
        <w:t>supozici</w:t>
      </w:r>
      <w:r w:rsidR="001F40B0" w:rsidRPr="001F40B0">
        <w:t>. Proto si všechny schopnosti zachovávají stejnou esenciální povahu</w:t>
      </w:r>
      <w:r w:rsidR="001F40B0">
        <w:t xml:space="preserve"> vzhledem k logickému subjektu jako abstraktnímu nositeli těchto schopností</w:t>
      </w:r>
      <w:r w:rsidR="001F40B0" w:rsidRPr="001F40B0">
        <w:t xml:space="preserve"> (</w:t>
      </w:r>
      <w:r w:rsidR="001F40B0" w:rsidRPr="001F40B0">
        <w:rPr>
          <w:i/>
        </w:rPr>
        <w:t>potentia vegetandi et potentia sentiendi pertineant ad illam substantiam ad quam pertinet potentia intelligendi</w:t>
      </w:r>
      <w:r w:rsidR="001F40B0" w:rsidRPr="001F40B0">
        <w:t xml:space="preserve">). Intelekt je navíc postulován jako </w:t>
      </w:r>
      <w:r w:rsidR="001F40B0" w:rsidRPr="001F40B0">
        <w:rPr>
          <w:i/>
        </w:rPr>
        <w:t>separatus</w:t>
      </w:r>
      <w:r w:rsidR="001F40B0">
        <w:t xml:space="preserve">, protože Albert ho musel nějak oddělit od formálně definovaných schopností </w:t>
      </w:r>
      <w:r w:rsidR="007B184D">
        <w:t xml:space="preserve">smyslové </w:t>
      </w:r>
      <w:r w:rsidR="001F40B0">
        <w:t xml:space="preserve">duše. </w:t>
      </w:r>
      <w:r w:rsidR="001F40B0" w:rsidRPr="001F40B0">
        <w:t xml:space="preserve"> </w:t>
      </w:r>
      <w:r>
        <w:t xml:space="preserve">Siger tvrdí, že duše jako druhá substance je dána v univerzálním esenciálním modu až na konci vědecké dedukce poznání, a ne na jejím začátku. Themistius podle CMDA správně pochopil, že </w:t>
      </w:r>
      <w:r w:rsidRPr="00A87A14">
        <w:rPr>
          <w:i/>
        </w:rPr>
        <w:t>intellectus materialis</w:t>
      </w:r>
      <w:r>
        <w:t xml:space="preserve"> musí být navázán na individuální výkon poznání a naopak </w:t>
      </w:r>
      <w:r w:rsidRPr="00CD0784">
        <w:rPr>
          <w:i/>
        </w:rPr>
        <w:t>intellectus possibilis</w:t>
      </w:r>
      <w:r>
        <w:t xml:space="preserve"> musí být od smyslové části duše oddělený</w:t>
      </w:r>
      <w:r>
        <w:fldChar w:fldCharType="begin"/>
      </w:r>
      <w:r>
        <w:instrText xml:space="preserve"> XE "</w:instrText>
      </w:r>
      <w:r w:rsidRPr="00830315">
        <w:instrText>intelekt:</w:instrText>
      </w:r>
      <w:r w:rsidRPr="00D83C40">
        <w:rPr>
          <w:i/>
        </w:rPr>
        <w:instrText>inmixtus</w:instrText>
      </w:r>
      <w:r>
        <w:instrText xml:space="preserve">" </w:instrText>
      </w:r>
      <w:r>
        <w:fldChar w:fldCharType="end"/>
      </w:r>
      <w:r>
        <w:t xml:space="preserve">. Jenže </w:t>
      </w:r>
      <w:r w:rsidR="002F7C98">
        <w:t xml:space="preserve">Themistius </w:t>
      </w:r>
      <w:r>
        <w:t xml:space="preserve">syntézu nedotáhl do konce, a nakonec nemateriální </w:t>
      </w:r>
      <w:r w:rsidRPr="008510B9">
        <w:rPr>
          <w:i/>
        </w:rPr>
        <w:t>intelle</w:t>
      </w:r>
      <w:r>
        <w:rPr>
          <w:i/>
        </w:rPr>
        <w:t>ctus possibili</w:t>
      </w:r>
      <w:r w:rsidRPr="008510B9">
        <w:rPr>
          <w:i/>
        </w:rPr>
        <w:t>s</w:t>
      </w:r>
      <w:r>
        <w:t xml:space="preserve"> zcela oddělil, což Averroes napravil svým pojetím. </w:t>
      </w:r>
      <w:r w:rsidRPr="00273106">
        <w:t xml:space="preserve">Albert nepochopil perspektivu CMDA v tom, že </w:t>
      </w:r>
      <w:r w:rsidRPr="00273106">
        <w:rPr>
          <w:i/>
        </w:rPr>
        <w:t>intellectus possibilis</w:t>
      </w:r>
      <w:r w:rsidRPr="00273106">
        <w:t xml:space="preserve"> musí být oddělený od smyslů </w:t>
      </w:r>
      <w:r>
        <w:t xml:space="preserve">pouze v modu </w:t>
      </w:r>
      <w:r w:rsidRPr="00A87A14">
        <w:rPr>
          <w:i/>
        </w:rPr>
        <w:t>separabilis</w:t>
      </w:r>
      <w:r w:rsidRPr="00273106">
        <w:t xml:space="preserve">, aby duše mohla poznávat </w:t>
      </w:r>
      <w:r>
        <w:t>přímo v těle</w:t>
      </w:r>
      <w:r w:rsidRPr="00273106">
        <w:t xml:space="preserve"> receptivně</w:t>
      </w:r>
      <w:r>
        <w:t xml:space="preserve"> a </w:t>
      </w:r>
      <w:r w:rsidRPr="00273106">
        <w:t>nemateriálně</w:t>
      </w:r>
      <w:r>
        <w:t>. Proto intelekt pozná</w:t>
      </w:r>
      <w:r w:rsidR="002F7C98">
        <w:t>vá</w:t>
      </w:r>
      <w:r>
        <w:t xml:space="preserve"> tělo a smysly </w:t>
      </w:r>
      <w:r>
        <w:lastRenderedPageBreak/>
        <w:t xml:space="preserve">v modu </w:t>
      </w:r>
      <w:r w:rsidRPr="08491E26">
        <w:rPr>
          <w:i/>
        </w:rPr>
        <w:t>obiective</w:t>
      </w:r>
      <w:r>
        <w:t xml:space="preserve">, ale v duši je daný </w:t>
      </w:r>
      <w:r w:rsidRPr="08491E26">
        <w:rPr>
          <w:i/>
        </w:rPr>
        <w:t>subiective</w:t>
      </w:r>
      <w:r>
        <w:t>. I</w:t>
      </w:r>
      <w:r w:rsidRPr="00273106">
        <w:t xml:space="preserve">ntelekt </w:t>
      </w:r>
      <w:r>
        <w:t xml:space="preserve">je </w:t>
      </w:r>
      <w:r w:rsidRPr="00273106">
        <w:t>nemater</w:t>
      </w:r>
      <w:r>
        <w:t>i</w:t>
      </w:r>
      <w:r w:rsidRPr="00273106">
        <w:t>ální a oddělená potence</w:t>
      </w:r>
      <w:r>
        <w:t xml:space="preserve"> hylemorfického těla a </w:t>
      </w:r>
      <w:r w:rsidR="002F7C98">
        <w:t xml:space="preserve">potřebuje jeho </w:t>
      </w:r>
      <w:r>
        <w:t xml:space="preserve">materiálním bytí </w:t>
      </w:r>
      <w:r w:rsidR="002F7C98">
        <w:t xml:space="preserve">kvůli aktualizaci poznání. </w:t>
      </w:r>
      <w:r>
        <w:t>Jen tak m</w:t>
      </w:r>
      <w:r w:rsidRPr="00273106">
        <w:t xml:space="preserve">ůže být </w:t>
      </w:r>
      <w:r w:rsidRPr="009359D7">
        <w:rPr>
          <w:i/>
        </w:rPr>
        <w:t>intellectus possibilis</w:t>
      </w:r>
      <w:r>
        <w:t xml:space="preserve"> </w:t>
      </w:r>
      <w:r w:rsidRPr="00273106">
        <w:t xml:space="preserve">univerzálním příjemcem pro </w:t>
      </w:r>
      <w:r>
        <w:t xml:space="preserve">metafyzicky </w:t>
      </w:r>
      <w:r w:rsidRPr="00273106">
        <w:t xml:space="preserve">zcela odlišné, tj. smyslově aktuální a individuální obsahy dané skrze smyslové orgány. Siger doplnil Albertovu tezi o klíčovou část argumentace v CMDA </w:t>
      </w:r>
      <w:r>
        <w:t xml:space="preserve">v rámci </w:t>
      </w:r>
      <w:r w:rsidRPr="002C1D6E">
        <w:rPr>
          <w:i/>
        </w:rPr>
        <w:t xml:space="preserve">tertium </w:t>
      </w:r>
      <w:r w:rsidR="00962190">
        <w:rPr>
          <w:i/>
        </w:rPr>
        <w:t>genus</w:t>
      </w:r>
      <w:r>
        <w:rPr>
          <w:i/>
        </w:rPr>
        <w:fldChar w:fldCharType="begin"/>
      </w:r>
      <w:r>
        <w:instrText xml:space="preserve"> XE "</w:instrText>
      </w:r>
      <w:r w:rsidRPr="00D80F84">
        <w:rPr>
          <w:i/>
        </w:rPr>
        <w:instrText>tertium genus</w:instrText>
      </w:r>
      <w:r>
        <w:instrText xml:space="preserve">" </w:instrText>
      </w:r>
      <w:r>
        <w:rPr>
          <w:i/>
        </w:rPr>
        <w:fldChar w:fldCharType="end"/>
      </w:r>
      <w:r>
        <w:t xml:space="preserve"> </w:t>
      </w:r>
      <w:r w:rsidRPr="00273106">
        <w:t xml:space="preserve">a </w:t>
      </w:r>
      <w:r>
        <w:t xml:space="preserve">obnovil plnou vědeckou predikaci </w:t>
      </w:r>
      <w:r w:rsidRPr="082F58AB">
        <w:rPr>
          <w:i/>
        </w:rPr>
        <w:t>anima intellectiva</w:t>
      </w:r>
      <w:r>
        <w:t xml:space="preserve"> podle </w:t>
      </w:r>
      <w:r w:rsidRPr="082F58AB">
        <w:rPr>
          <w:i/>
        </w:rPr>
        <w:t>Druhých analytik</w:t>
      </w:r>
      <w:r w:rsidRPr="00273106">
        <w:t xml:space="preserve">. </w:t>
      </w:r>
      <w:r>
        <w:t xml:space="preserve">Poznáváme ne proto, že primárně nazíráme </w:t>
      </w:r>
      <w:r w:rsidRPr="00A87A14">
        <w:rPr>
          <w:i/>
        </w:rPr>
        <w:t>anima intellectiva</w:t>
      </w:r>
      <w:r>
        <w:t xml:space="preserve"> jako nějakou </w:t>
      </w:r>
      <w:r w:rsidR="009713D9">
        <w:t xml:space="preserve">esenci </w:t>
      </w:r>
      <w:r>
        <w:t>třetího druhu, ale proto, že v sobě smyslově a tedy materiálně zakoušíme způsob, jak poznáváme (</w:t>
      </w:r>
      <w:r w:rsidRPr="082442DF">
        <w:rPr>
          <w:i/>
        </w:rPr>
        <w:t>experimur</w:t>
      </w:r>
      <w:r>
        <w:t xml:space="preserve">). </w:t>
      </w:r>
      <w:r w:rsidRPr="00244661">
        <w:t xml:space="preserve">Proto je v modu </w:t>
      </w:r>
      <w:r w:rsidRPr="00244661">
        <w:rPr>
          <w:i/>
        </w:rPr>
        <w:t>per prius</w:t>
      </w:r>
      <w:r w:rsidRPr="00244661">
        <w:t xml:space="preserve"> </w:t>
      </w:r>
      <w:r>
        <w:t xml:space="preserve">nejprve dán osobně (tj. ipseitně) </w:t>
      </w:r>
      <w:r w:rsidRPr="00244661">
        <w:t>zakoušen</w:t>
      </w:r>
      <w:r>
        <w:t>ý</w:t>
      </w:r>
      <w:r w:rsidRPr="00244661">
        <w:t xml:space="preserve"> výkon poznání</w:t>
      </w:r>
      <w:r>
        <w:rPr>
          <w:i/>
        </w:rPr>
        <w:t xml:space="preserve"> </w:t>
      </w:r>
      <w:r w:rsidRPr="00244661">
        <w:t>(</w:t>
      </w:r>
      <w:proofErr w:type="gramStart"/>
      <w:r>
        <w:rPr>
          <w:i/>
        </w:rPr>
        <w:t>experimur...conscii</w:t>
      </w:r>
      <w:proofErr w:type="gramEnd"/>
      <w:r>
        <w:rPr>
          <w:i/>
        </w:rPr>
        <w:t xml:space="preserve"> sumus</w:t>
      </w:r>
      <w:r>
        <w:fldChar w:fldCharType="begin"/>
      </w:r>
      <w:r>
        <w:instrText xml:space="preserve"> XE "intelekt:</w:instrText>
      </w:r>
      <w:r w:rsidRPr="00D04010">
        <w:rPr>
          <w:i/>
        </w:rPr>
        <w:instrText>experimur</w:instrText>
      </w:r>
      <w:r w:rsidRPr="008D12CB">
        <w:instrText>/</w:instrText>
      </w:r>
      <w:r w:rsidRPr="00D04010">
        <w:rPr>
          <w:i/>
        </w:rPr>
        <w:instrText>cons</w:instrText>
      </w:r>
      <w:r>
        <w:rPr>
          <w:i/>
        </w:rPr>
        <w:instrText>c</w:instrText>
      </w:r>
      <w:r w:rsidRPr="00D04010">
        <w:rPr>
          <w:i/>
        </w:rPr>
        <w:instrText>ii sumus</w:instrText>
      </w:r>
      <w:r>
        <w:instrText xml:space="preserve">" </w:instrText>
      </w:r>
      <w:r>
        <w:fldChar w:fldCharType="end"/>
      </w:r>
      <w:r w:rsidRPr="00244661">
        <w:t>)</w:t>
      </w:r>
      <w:r>
        <w:t xml:space="preserve">. Proto Averroes opravil  Themistiův koncept </w:t>
      </w:r>
      <w:r w:rsidRPr="005E5434">
        <w:rPr>
          <w:i/>
        </w:rPr>
        <w:t>intellectus materialis</w:t>
      </w:r>
      <w:r>
        <w:rPr>
          <w:i/>
        </w:rPr>
        <w:fldChar w:fldCharType="begin"/>
      </w:r>
      <w:r>
        <w:instrText xml:space="preserve"> XE "</w:instrText>
      </w:r>
      <w:r w:rsidRPr="00BE489A">
        <w:rPr>
          <w:i/>
        </w:rPr>
        <w:instrText>intellectus materialis:</w:instrText>
      </w:r>
      <w:r>
        <w:instrText xml:space="preserve">Averroes" </w:instrText>
      </w:r>
      <w:r>
        <w:rPr>
          <w:i/>
        </w:rPr>
        <w:fldChar w:fldCharType="end"/>
      </w:r>
      <w:r>
        <w:rPr>
          <w:i/>
        </w:rPr>
        <w:t xml:space="preserve"> </w:t>
      </w:r>
      <w:r>
        <w:t>(</w:t>
      </w:r>
      <w:r w:rsidR="086C203A">
        <w:t xml:space="preserve">OBJ I, </w:t>
      </w:r>
      <w:r w:rsidR="002C191F">
        <w:t xml:space="preserve">kap. 2.4.2). Fenomenologie chápe intelekt jako </w:t>
      </w:r>
      <w:r w:rsidR="002C191F" w:rsidRPr="000509FE">
        <w:rPr>
          <w:i/>
        </w:rPr>
        <w:t>inmixtus</w:t>
      </w:r>
      <w:r w:rsidR="002C191F">
        <w:rPr>
          <w:i/>
        </w:rPr>
        <w:t xml:space="preserve"> </w:t>
      </w:r>
      <w:r w:rsidR="002C191F" w:rsidRPr="00244661">
        <w:t>nebo</w:t>
      </w:r>
      <w:r w:rsidR="002C191F">
        <w:rPr>
          <w:i/>
        </w:rPr>
        <w:t xml:space="preserve"> separabilis </w:t>
      </w:r>
      <w:r w:rsidR="002C191F">
        <w:t xml:space="preserve">podle správně utvořeného středního členu soudu mimo </w:t>
      </w:r>
      <w:r w:rsidR="002C191F" w:rsidRPr="00244661">
        <w:rPr>
          <w:i/>
        </w:rPr>
        <w:t>Oxfordian Fallacy</w:t>
      </w:r>
      <w:r w:rsidR="002C191F">
        <w:t>, t</w:t>
      </w:r>
      <w:r w:rsidR="002C191F" w:rsidRPr="00244661">
        <w:t>edy</w:t>
      </w:r>
      <w:r w:rsidR="00427CB5">
        <w:t xml:space="preserve"> nejprve reálně a </w:t>
      </w:r>
      <w:r w:rsidR="002C191F">
        <w:t>kauz</w:t>
      </w:r>
      <w:r w:rsidR="002C191F" w:rsidRPr="00244661">
        <w:t>ál</w:t>
      </w:r>
      <w:r w:rsidR="002C191F">
        <w:t>n</w:t>
      </w:r>
      <w:r w:rsidR="002C191F" w:rsidRPr="00244661">
        <w:t xml:space="preserve">ě. </w:t>
      </w:r>
    </w:p>
    <w:p w:rsidR="08163013" w:rsidRPr="008510B9" w:rsidRDefault="00E40080" w:rsidP="002C191F">
      <w:pPr>
        <w:ind w:firstLine="397"/>
      </w:pPr>
      <w:r w:rsidRPr="00E40080">
        <w:t xml:space="preserve">Argument proti Akvinskému kritizuje další ztrátu perspektivy CMDA. </w:t>
      </w:r>
      <w:r>
        <w:t xml:space="preserve">Jeho </w:t>
      </w:r>
      <w:r w:rsidRPr="00E40080">
        <w:t>aristotelismus kulhá na druhou nohu, neboť převzal část Alexandrova</w:t>
      </w:r>
      <w:r>
        <w:fldChar w:fldCharType="begin"/>
      </w:r>
      <w:r>
        <w:instrText xml:space="preserve"> XE "Alexander, Afrodisias" </w:instrText>
      </w:r>
      <w:r>
        <w:fldChar w:fldCharType="end"/>
      </w:r>
      <w:r>
        <w:t xml:space="preserve"> omylu</w:t>
      </w:r>
      <w:r w:rsidR="08163013">
        <w:t>.</w:t>
      </w:r>
    </w:p>
    <w:p w:rsidR="08163013" w:rsidRDefault="08163013" w:rsidP="08163013">
      <w:pPr>
        <w:pStyle w:val="Citace"/>
        <w:rPr>
          <w:rStyle w:val="Zkladntext399pt4"/>
          <w:rFonts w:ascii="Calibri" w:hAnsi="Calibri"/>
          <w:smallCaps w:val="0"/>
          <w:sz w:val="22"/>
          <w:lang w:val="cs-CZ"/>
        </w:rPr>
      </w:pPr>
      <w:r w:rsidRPr="00363A12">
        <w:rPr>
          <w:rStyle w:val="Zkladntext399pt4"/>
          <w:rFonts w:ascii="Calibri" w:hAnsi="Calibri"/>
          <w:smallCaps w:val="0"/>
          <w:sz w:val="22"/>
        </w:rPr>
        <w:t>„</w:t>
      </w:r>
      <w:r>
        <w:rPr>
          <w:rStyle w:val="Zkladntext399pt4"/>
          <w:rFonts w:ascii="Calibri" w:hAnsi="Calibri"/>
          <w:smallCaps w:val="0"/>
          <w:sz w:val="22"/>
          <w:lang w:val="cs-CZ"/>
        </w:rPr>
        <w:t>Tomáš také argumentačně nesleduje úmysl Aristotelovy metafyziky, ale pouze zkoumá Aristotelův formální výměr (</w:t>
      </w:r>
      <w:r w:rsidRPr="00712706">
        <w:rPr>
          <w:rStyle w:val="Zkladntext399pt4"/>
          <w:rFonts w:ascii="Calibri" w:hAnsi="Calibri"/>
          <w:i/>
          <w:smallCaps w:val="0"/>
          <w:sz w:val="22"/>
          <w:lang w:val="cs-CZ"/>
        </w:rPr>
        <w:t>eius</w:t>
      </w:r>
      <w:r w:rsidRPr="00363A12">
        <w:rPr>
          <w:rStyle w:val="Zkladntext399pt4"/>
          <w:rFonts w:ascii="Calibri" w:hAnsi="Calibri"/>
          <w:i/>
          <w:smallCaps w:val="0"/>
          <w:sz w:val="22"/>
          <w:lang w:val="cs-CZ"/>
        </w:rPr>
        <w:t xml:space="preserve"> ratio</w:t>
      </w:r>
      <w:r>
        <w:rPr>
          <w:rStyle w:val="Zkladntext399pt4"/>
          <w:rFonts w:ascii="Calibri" w:hAnsi="Calibri"/>
          <w:smallCaps w:val="0"/>
          <w:sz w:val="22"/>
          <w:lang w:val="cs-CZ"/>
        </w:rPr>
        <w:t xml:space="preserve">) porozumění </w:t>
      </w:r>
      <w:r w:rsidR="00A450FC">
        <w:rPr>
          <w:rStyle w:val="Zkladntext399pt4"/>
          <w:rFonts w:ascii="Calibri" w:hAnsi="Calibri"/>
          <w:smallCaps w:val="0"/>
          <w:sz w:val="22"/>
          <w:lang w:val="cs-CZ"/>
        </w:rPr>
        <w:t xml:space="preserve">daný </w:t>
      </w:r>
      <w:r>
        <w:rPr>
          <w:rStyle w:val="Zkladntext399pt4"/>
          <w:rFonts w:ascii="Calibri" w:hAnsi="Calibri"/>
          <w:smallCaps w:val="0"/>
          <w:sz w:val="22"/>
          <w:lang w:val="cs-CZ"/>
        </w:rPr>
        <w:t>v abstraktní materiální složenině (</w:t>
      </w:r>
      <w:r w:rsidRPr="00363A12">
        <w:rPr>
          <w:i/>
        </w:rPr>
        <w:t>quomodo compositum materiale intelligeret</w:t>
      </w:r>
      <w:r w:rsidR="00A450FC">
        <w:rPr>
          <w:rStyle w:val="Zkladntext399pt4"/>
          <w:rFonts w:ascii="Calibri" w:hAnsi="Calibri"/>
          <w:smallCaps w:val="0"/>
          <w:sz w:val="22"/>
          <w:lang w:val="cs-CZ"/>
        </w:rPr>
        <w:t xml:space="preserve">). Tato složenina dostala lidský charakter </w:t>
      </w:r>
      <w:r>
        <w:rPr>
          <w:rStyle w:val="Zkladntext399pt4"/>
          <w:rFonts w:ascii="Calibri" w:hAnsi="Calibri"/>
          <w:smallCaps w:val="0"/>
          <w:sz w:val="22"/>
          <w:lang w:val="cs-CZ"/>
        </w:rPr>
        <w:t>(</w:t>
      </w:r>
      <w:r w:rsidRPr="00363A12">
        <w:rPr>
          <w:rStyle w:val="Zkladntext399pt4"/>
          <w:rFonts w:ascii="Calibri" w:hAnsi="Calibri"/>
          <w:i/>
          <w:smallCaps w:val="0"/>
          <w:sz w:val="22"/>
          <w:lang w:val="cs-CZ"/>
        </w:rPr>
        <w:t>ut homo</w:t>
      </w:r>
      <w:r>
        <w:rPr>
          <w:rStyle w:val="Zkladntext399pt4"/>
          <w:rFonts w:ascii="Calibri" w:hAnsi="Calibri"/>
          <w:smallCaps w:val="0"/>
          <w:sz w:val="22"/>
          <w:lang w:val="cs-CZ"/>
        </w:rPr>
        <w:t>)</w:t>
      </w:r>
      <w:r w:rsidR="00A450FC">
        <w:rPr>
          <w:rStyle w:val="Zkladntext399pt4"/>
          <w:rFonts w:ascii="Calibri" w:hAnsi="Calibri"/>
          <w:smallCaps w:val="0"/>
          <w:sz w:val="22"/>
          <w:lang w:val="cs-CZ"/>
        </w:rPr>
        <w:t xml:space="preserve"> tím, jako by byla </w:t>
      </w:r>
      <w:r>
        <w:rPr>
          <w:rStyle w:val="Zkladntext399pt4"/>
          <w:rFonts w:ascii="Calibri" w:hAnsi="Calibri"/>
          <w:smallCaps w:val="0"/>
          <w:sz w:val="22"/>
          <w:lang w:val="cs-CZ"/>
        </w:rPr>
        <w:t>(</w:t>
      </w:r>
      <w:r w:rsidRPr="007C1C51">
        <w:rPr>
          <w:rStyle w:val="Zkladntext399pt4"/>
          <w:rFonts w:ascii="Calibri" w:hAnsi="Calibri"/>
          <w:i/>
          <w:smallCaps w:val="0"/>
          <w:sz w:val="22"/>
          <w:lang w:val="cs-CZ"/>
        </w:rPr>
        <w:t>sit</w:t>
      </w:r>
      <w:r>
        <w:rPr>
          <w:rStyle w:val="Zkladntext399pt4"/>
          <w:rFonts w:ascii="Calibri" w:hAnsi="Calibri"/>
          <w:smallCaps w:val="0"/>
          <w:sz w:val="22"/>
          <w:lang w:val="cs-CZ"/>
        </w:rPr>
        <w:t>) intelektuální duše ve svém bytí (</w:t>
      </w:r>
      <w:r w:rsidRPr="00363A12">
        <w:rPr>
          <w:i/>
        </w:rPr>
        <w:t>anima intellectiva in essendo</w:t>
      </w:r>
      <w:r>
        <w:rPr>
          <w:rStyle w:val="Zkladntext399pt4"/>
          <w:rFonts w:ascii="Calibri" w:hAnsi="Calibri"/>
          <w:smallCaps w:val="0"/>
          <w:sz w:val="22"/>
          <w:lang w:val="cs-CZ"/>
        </w:rPr>
        <w:t>) oddělena od materie a od těla (</w:t>
      </w:r>
      <w:r w:rsidRPr="00F626D8">
        <w:rPr>
          <w:i/>
        </w:rPr>
        <w:t>separata a materia et corpore</w:t>
      </w:r>
      <w:r>
        <w:rPr>
          <w:rStyle w:val="Zkladntext399pt4"/>
          <w:rFonts w:ascii="Calibri" w:hAnsi="Calibri"/>
          <w:smallCaps w:val="0"/>
          <w:sz w:val="22"/>
          <w:lang w:val="cs-CZ"/>
        </w:rPr>
        <w:t>).“ </w:t>
      </w:r>
      <w:r>
        <w:rPr>
          <w:rStyle w:val="Znakapoznpodarou"/>
        </w:rPr>
        <w:footnoteReference w:id="260"/>
      </w:r>
    </w:p>
    <w:p w:rsidR="00A608BB" w:rsidRDefault="08163013" w:rsidP="08163013">
      <w:pPr>
        <w:rPr>
          <w:lang w:eastAsia="en-US"/>
        </w:rPr>
      </w:pPr>
      <w:r w:rsidRPr="00273106">
        <w:t>Akvinský drží jednotu osoby tím, že vyšetřuje akt porozumění v rámci hylemorfické substance (</w:t>
      </w:r>
      <w:r w:rsidRPr="00273106">
        <w:rPr>
          <w:i/>
        </w:rPr>
        <w:t>quomodo compositum materiale intelligeret</w:t>
      </w:r>
      <w:r w:rsidRPr="00273106">
        <w:t xml:space="preserve">). To je </w:t>
      </w:r>
      <w:r>
        <w:t xml:space="preserve">podle Sigera </w:t>
      </w:r>
      <w:r w:rsidRPr="00273106">
        <w:t xml:space="preserve">chvályhodný počin v době </w:t>
      </w:r>
      <w:r>
        <w:t xml:space="preserve">moderního </w:t>
      </w:r>
      <w:r w:rsidRPr="00273106">
        <w:t>zmatení rozumu</w:t>
      </w:r>
      <w:r>
        <w:t xml:space="preserve"> a schizofrenie substančně rozdělené osoby</w:t>
      </w:r>
      <w:r w:rsidRPr="00273106">
        <w:t xml:space="preserve">. Ale </w:t>
      </w:r>
      <w:r>
        <w:t xml:space="preserve">Siger </w:t>
      </w:r>
      <w:r w:rsidRPr="00273106">
        <w:t xml:space="preserve">namítá, že správná idea </w:t>
      </w:r>
      <w:r>
        <w:t xml:space="preserve">nestačí, protože Akvinského argumentace </w:t>
      </w:r>
      <w:r w:rsidRPr="00273106">
        <w:t xml:space="preserve">neodpovídá </w:t>
      </w:r>
      <w:r>
        <w:t xml:space="preserve">skutečnému </w:t>
      </w:r>
      <w:r w:rsidRPr="00273106">
        <w:t>postupu Aristotela a CMDA</w:t>
      </w:r>
      <w:r>
        <w:t xml:space="preserve">. Akvinský predikuje esenciálně definovaný subjekt. Spis </w:t>
      </w:r>
      <w:r w:rsidRPr="000733FA">
        <w:rPr>
          <w:i/>
        </w:rPr>
        <w:t>De anima</w:t>
      </w:r>
      <w:r>
        <w:t xml:space="preserve"> musí být vztažený k celku Korpusu, protože chápe člověka v modu jeho existenciálního výkonu. Viz citované pasáže v předešlých kapitolách ohledně života jako ipseitně daného výkonu jedinečné hyleformické substance (</w:t>
      </w:r>
      <w:r w:rsidRPr="00221B71">
        <w:rPr>
          <w:i/>
        </w:rPr>
        <w:t>vivere est viventibus esse</w:t>
      </w:r>
      <w:r>
        <w:t>)</w:t>
      </w:r>
      <w:r w:rsidRPr="00273106">
        <w:t xml:space="preserve">. Předchozí pasáže jasně ukázaly, že Akvinský přehnaným důrazem na ipseitu samotného </w:t>
      </w:r>
      <w:r w:rsidRPr="00273106">
        <w:lastRenderedPageBreak/>
        <w:t>intelektu vytvořil dojem, že intelektuální schopnost duše je oddělená od existující hylemorfické substance (</w:t>
      </w:r>
      <w:r w:rsidRPr="00273106">
        <w:rPr>
          <w:i/>
        </w:rPr>
        <w:t>anima intellectiva in essendo sit separata a materia et corpore</w:t>
      </w:r>
      <w:r w:rsidRPr="00273106">
        <w:t>). Klíč</w:t>
      </w:r>
      <w:r>
        <w:t xml:space="preserve"> ke kritice představuje termín </w:t>
      </w:r>
      <w:r w:rsidRPr="00273106">
        <w:rPr>
          <w:i/>
        </w:rPr>
        <w:t>in essendo</w:t>
      </w:r>
      <w:r w:rsidRPr="00273106">
        <w:t xml:space="preserve">, který přesně vystihuje </w:t>
      </w:r>
      <w:r>
        <w:t xml:space="preserve">chybnou </w:t>
      </w:r>
      <w:r w:rsidRPr="00273106">
        <w:t xml:space="preserve">perspektivu </w:t>
      </w:r>
      <w:r>
        <w:t xml:space="preserve">Tomášova spisu </w:t>
      </w:r>
      <w:r w:rsidRPr="00273106">
        <w:rPr>
          <w:i/>
        </w:rPr>
        <w:t>De unitate</w:t>
      </w:r>
      <w:r>
        <w:rPr>
          <w:i/>
        </w:rPr>
        <w:t xml:space="preserve"> intellectus</w:t>
      </w:r>
      <w:r>
        <w:t>, viz následující kapitoly</w:t>
      </w:r>
      <w:r w:rsidRPr="00273106">
        <w:t xml:space="preserve">. </w:t>
      </w:r>
      <w:r>
        <w:t xml:space="preserve">Akvinského pozice je sofistická v tom, že zdánlivě definuje živou osobu, ale ve skutečnosti má před sebou simulákrum složené z hypostázovaného těla a z hypostázované duše, což přesně ukazuje Sigerův </w:t>
      </w:r>
      <w:r w:rsidR="086C203A">
        <w:t xml:space="preserve">diplomatický </w:t>
      </w:r>
      <w:r>
        <w:t>konjuktiv (</w:t>
      </w:r>
      <w:r w:rsidRPr="003B525C">
        <w:rPr>
          <w:i/>
        </w:rPr>
        <w:t xml:space="preserve">ut </w:t>
      </w:r>
      <w:proofErr w:type="gramStart"/>
      <w:r w:rsidRPr="003B525C">
        <w:rPr>
          <w:i/>
        </w:rPr>
        <w:t>homo</w:t>
      </w:r>
      <w:r>
        <w:t>...</w:t>
      </w:r>
      <w:r w:rsidRPr="003B525C">
        <w:rPr>
          <w:i/>
        </w:rPr>
        <w:t>sit</w:t>
      </w:r>
      <w:proofErr w:type="gramEnd"/>
      <w:r>
        <w:t>). Jednota osoby u Akvinského je podle Sigera dogmatický postulát teologa, nikoliv řádně obhájená filosofická realita. Tím se Akvinský dostal na pozici jím kritizovaných modernistů, kterým stačí ke specifické definici člověka pouhá mrtvola</w:t>
      </w:r>
      <w:r>
        <w:rPr>
          <w:i/>
        </w:rPr>
        <w:fldChar w:fldCharType="begin"/>
      </w:r>
      <w:r>
        <w:instrText xml:space="preserve"> XE "sofisma člověk-mrtvola" </w:instrText>
      </w:r>
      <w:r>
        <w:rPr>
          <w:i/>
        </w:rPr>
        <w:fldChar w:fldCharType="end"/>
      </w:r>
      <w:r w:rsidR="086C203A">
        <w:t>. T</w:t>
      </w:r>
      <w:r>
        <w:t xml:space="preserve">eolog zkrátka potřebuje nesmrtelnost duše mnohem víc než správný existencialistický výklad </w:t>
      </w:r>
      <w:r w:rsidRPr="08FC76AB">
        <w:rPr>
          <w:i/>
        </w:rPr>
        <w:t>De anima</w:t>
      </w:r>
      <w:r>
        <w:t xml:space="preserve"> podle CMDA. </w:t>
      </w:r>
      <w:r w:rsidRPr="00273106">
        <w:t xml:space="preserve">Siger </w:t>
      </w:r>
      <w:r>
        <w:t xml:space="preserve">jako </w:t>
      </w:r>
      <w:r w:rsidRPr="08247F7A">
        <w:rPr>
          <w:i/>
        </w:rPr>
        <w:t>Expositor Novus</w:t>
      </w:r>
      <w:r>
        <w:t xml:space="preserve"> </w:t>
      </w:r>
      <w:r w:rsidRPr="00273106">
        <w:t xml:space="preserve">nemůže uznat </w:t>
      </w:r>
      <w:r w:rsidR="00493BA5">
        <w:t xml:space="preserve">telesné založení intelektu </w:t>
      </w:r>
      <w:r w:rsidRPr="00273106">
        <w:t>jako aut</w:t>
      </w:r>
      <w:r>
        <w:t xml:space="preserve">entickou Aristotelovu nauku. </w:t>
      </w:r>
      <w:r w:rsidR="00493BA5">
        <w:t xml:space="preserve">Siger uznává, že </w:t>
      </w:r>
      <w:r>
        <w:t xml:space="preserve">tomistický výklad sleduje literu </w:t>
      </w:r>
      <w:r>
        <w:rPr>
          <w:i/>
        </w:rPr>
        <w:t>De anima</w:t>
      </w:r>
      <w:r w:rsidR="00BE0FF8">
        <w:t>. Jen</w:t>
      </w:r>
      <w:r w:rsidR="00493BA5">
        <w:t>ž</w:t>
      </w:r>
      <w:r w:rsidR="00BE0FF8">
        <w:t>e</w:t>
      </w:r>
      <w:r w:rsidR="00493BA5">
        <w:t xml:space="preserve"> </w:t>
      </w:r>
      <w:r>
        <w:t xml:space="preserve">deficience tomismu se týká </w:t>
      </w:r>
      <w:r w:rsidRPr="08247F7A">
        <w:rPr>
          <w:i/>
        </w:rPr>
        <w:t>intentum</w:t>
      </w:r>
      <w:r>
        <w:t xml:space="preserve"> Filosofa, nikoliv litery textu. </w:t>
      </w:r>
      <w:r w:rsidR="08411B3F">
        <w:t xml:space="preserve">Původního </w:t>
      </w:r>
      <w:r w:rsidR="08041581">
        <w:t>„p</w:t>
      </w:r>
      <w:r>
        <w:t>ohanského</w:t>
      </w:r>
      <w:r w:rsidR="08041581">
        <w:t>“</w:t>
      </w:r>
      <w:r>
        <w:t xml:space="preserve"> Aristotela je třeba převést ze skupiny </w:t>
      </w:r>
      <w:r w:rsidR="00493BA5">
        <w:t>„</w:t>
      </w:r>
      <w:r w:rsidRPr="08247F7A">
        <w:rPr>
          <w:i/>
        </w:rPr>
        <w:t>sequaces Aristotelis</w:t>
      </w:r>
      <w:r w:rsidR="00493BA5">
        <w:t>“</w:t>
      </w:r>
      <w:r>
        <w:t xml:space="preserve"> do </w:t>
      </w:r>
      <w:r w:rsidR="00493BA5">
        <w:t xml:space="preserve">skupiny </w:t>
      </w:r>
      <w:r>
        <w:t>křesťansk</w:t>
      </w:r>
      <w:r w:rsidR="00493BA5">
        <w:t xml:space="preserve">ých apologetů </w:t>
      </w:r>
      <w:r>
        <w:t>jedinečnosti a jednoty osoby</w:t>
      </w:r>
      <w:r w:rsidR="00493BA5">
        <w:t>. To poprvé provedl „</w:t>
      </w:r>
      <w:r w:rsidR="00493BA5" w:rsidRPr="08247F7A">
        <w:rPr>
          <w:i/>
        </w:rPr>
        <w:t>ad mentem Averrois</w:t>
      </w:r>
      <w:r w:rsidR="00493BA5">
        <w:t>“</w:t>
      </w:r>
      <w:r w:rsidR="00493BA5">
        <w:rPr>
          <w:i/>
        </w:rPr>
        <w:t xml:space="preserve"> </w:t>
      </w:r>
      <w:r>
        <w:t>kancléř a biskup Alvernus na Pařížské u</w:t>
      </w:r>
      <w:r w:rsidR="00493BA5">
        <w:t>niverzitě</w:t>
      </w:r>
      <w:r>
        <w:t xml:space="preserve">. Aristotelismus Akvinského školy spadá pod Sigerovu kritiku </w:t>
      </w:r>
      <w:r w:rsidRPr="00BB42D6">
        <w:rPr>
          <w:i/>
        </w:rPr>
        <w:t>Oxfordian Fallacy</w:t>
      </w:r>
      <w:r>
        <w:t xml:space="preserve">, která neměla predikaci kauzality ve středním členu </w:t>
      </w:r>
      <w:r w:rsidRPr="08BF7800">
        <w:rPr>
          <w:i/>
        </w:rPr>
        <w:t>demonstratio</w:t>
      </w:r>
      <w:r>
        <w:t>. Akvinský neměl zpracovaný existenciální výkon porozumění osoby v modu ipseity (</w:t>
      </w:r>
      <w:r w:rsidRPr="00663FE1">
        <w:rPr>
          <w:i/>
        </w:rPr>
        <w:t>homo ipse intelligit</w:t>
      </w:r>
      <w:r>
        <w:rPr>
          <w:i/>
        </w:rPr>
        <w:fldChar w:fldCharType="begin"/>
      </w:r>
      <w:r>
        <w:instrText xml:space="preserve"> XE "osoba:</w:instrText>
      </w:r>
      <w:r w:rsidRPr="00036BAA">
        <w:rPr>
          <w:i/>
        </w:rPr>
        <w:instrText>homo ipse intelligit</w:instrText>
      </w:r>
      <w:r>
        <w:instrText xml:space="preserve">" </w:instrText>
      </w:r>
      <w:r>
        <w:rPr>
          <w:i/>
        </w:rPr>
        <w:fldChar w:fldCharType="end"/>
      </w:r>
      <w:r>
        <w:t xml:space="preserve">). </w:t>
      </w:r>
      <w:r w:rsidR="00CD4498">
        <w:t xml:space="preserve">Opět je třeba se vrátit </w:t>
      </w:r>
      <w:r>
        <w:t xml:space="preserve">k Sigerovu výkladu </w:t>
      </w:r>
      <w:r w:rsidRPr="00273106">
        <w:rPr>
          <w:i/>
        </w:rPr>
        <w:t>De generatione animalium</w:t>
      </w:r>
      <w:r w:rsidRPr="00273106">
        <w:t xml:space="preserve"> </w:t>
      </w:r>
      <w:proofErr w:type="gramStart"/>
      <w:r>
        <w:t>II.3 koment</w:t>
      </w:r>
      <w:r w:rsidR="08411B3F">
        <w:t>ovaném</w:t>
      </w:r>
      <w:proofErr w:type="gramEnd"/>
      <w:r w:rsidR="08411B3F">
        <w:t xml:space="preserve"> na počátku QIIIDA (kap. 4</w:t>
      </w:r>
      <w:r>
        <w:t xml:space="preserve">.4.1). Ipseita patří pouze žijící osobě jako první substanci díky jejímu nedělitelnému bytí danému </w:t>
      </w:r>
      <w:r w:rsidRPr="002B24CD">
        <w:rPr>
          <w:i/>
        </w:rPr>
        <w:t>actualiter</w:t>
      </w:r>
      <w:r>
        <w:t xml:space="preserve"> a </w:t>
      </w:r>
      <w:r w:rsidRPr="002B24CD">
        <w:rPr>
          <w:i/>
        </w:rPr>
        <w:t>simpliciter</w:t>
      </w:r>
      <w:r>
        <w:t xml:space="preserve">. Vědecky myslící metafyzik Siger nutně </w:t>
      </w:r>
      <w:r w:rsidR="00F72267">
        <w:t>odmítl</w:t>
      </w:r>
      <w:r w:rsidRPr="00273106">
        <w:t xml:space="preserve"> </w:t>
      </w:r>
      <w:r>
        <w:t xml:space="preserve">teologický formalismus Akvinského spisu </w:t>
      </w:r>
      <w:r w:rsidRPr="00C01985">
        <w:rPr>
          <w:i/>
        </w:rPr>
        <w:t>De unitate</w:t>
      </w:r>
      <w:r>
        <w:t xml:space="preserve"> </w:t>
      </w:r>
      <w:r w:rsidRPr="00273106">
        <w:t xml:space="preserve">jako </w:t>
      </w:r>
      <w:r>
        <w:t>nedostatečně pravdivý</w:t>
      </w:r>
      <w:r w:rsidRPr="00273106">
        <w:t xml:space="preserve">. </w:t>
      </w:r>
      <w:r>
        <w:t>Teologicky daný d</w:t>
      </w:r>
      <w:r w:rsidRPr="00273106">
        <w:t xml:space="preserve">ůraz </w:t>
      </w:r>
      <w:r w:rsidR="00721BE2">
        <w:t>subsistence</w:t>
      </w:r>
      <w:r w:rsidRPr="00273106">
        <w:t xml:space="preserve"> duše jako kvazi-substance </w:t>
      </w:r>
      <w:r>
        <w:t xml:space="preserve">s vlastním hypostázovaným intelektem daným zvnějšku </w:t>
      </w:r>
      <w:r w:rsidRPr="00273106">
        <w:t xml:space="preserve">porušuje základní princip aktuálního výkonu </w:t>
      </w:r>
      <w:r w:rsidR="007900A4">
        <w:t xml:space="preserve">existence </w:t>
      </w:r>
      <w:r>
        <w:t>(</w:t>
      </w:r>
      <w:r w:rsidRPr="00651B60">
        <w:rPr>
          <w:i/>
          <w:lang w:eastAsia="en-US"/>
        </w:rPr>
        <w:t>vivere est viventibus esse</w:t>
      </w:r>
      <w:r>
        <w:t xml:space="preserve">) </w:t>
      </w:r>
      <w:r w:rsidRPr="00273106">
        <w:t xml:space="preserve">daného pouze v reálné první substanci. </w:t>
      </w:r>
      <w:r>
        <w:t xml:space="preserve">Žádné jiné </w:t>
      </w:r>
      <w:r w:rsidR="003E5AF5">
        <w:t>lidské „</w:t>
      </w:r>
      <w:r w:rsidRPr="08BF3B65">
        <w:rPr>
          <w:i/>
        </w:rPr>
        <w:t>esse</w:t>
      </w:r>
      <w:r w:rsidR="003E5AF5">
        <w:t>“</w:t>
      </w:r>
      <w:r>
        <w:t xml:space="preserve"> v reálu neexistuje. </w:t>
      </w:r>
      <w:r w:rsidRPr="00273106">
        <w:t>Akvinský brání individualitu aktu myšlení v jednotlivci</w:t>
      </w:r>
      <w:r>
        <w:t xml:space="preserve"> v modu </w:t>
      </w:r>
      <w:r w:rsidRPr="08BF3B65">
        <w:rPr>
          <w:i/>
        </w:rPr>
        <w:t>idem</w:t>
      </w:r>
      <w:r w:rsidRPr="00273106">
        <w:t xml:space="preserve">, </w:t>
      </w:r>
      <w:r>
        <w:t xml:space="preserve">proto </w:t>
      </w:r>
      <w:r w:rsidRPr="00273106">
        <w:t xml:space="preserve">nepostupuje stejně jako Siger. </w:t>
      </w:r>
      <w:r>
        <w:t xml:space="preserve">Formální identita myšlení v esenciálně pojaté hylemorfické substanci není totéž, jako hermeneutická ipseita myšlení v existující osobě. Akvinského teologická formulace </w:t>
      </w:r>
      <w:r w:rsidR="009F2493">
        <w:t>„</w:t>
      </w:r>
      <w:r w:rsidRPr="00DB0F40">
        <w:rPr>
          <w:i/>
        </w:rPr>
        <w:t>homo intelligit</w:t>
      </w:r>
      <w:r w:rsidR="009F2493">
        <w:t>“</w:t>
      </w:r>
      <w:r>
        <w:rPr>
          <w:i/>
        </w:rPr>
        <w:fldChar w:fldCharType="begin"/>
      </w:r>
      <w:r>
        <w:instrText xml:space="preserve"> XE "osoba:</w:instrText>
      </w:r>
      <w:r w:rsidRPr="003964F9">
        <w:rPr>
          <w:i/>
        </w:rPr>
        <w:instrText>homo intelligit</w:instrText>
      </w:r>
      <w:r>
        <w:instrText xml:space="preserve">" </w:instrText>
      </w:r>
      <w:r>
        <w:rPr>
          <w:i/>
        </w:rPr>
        <w:fldChar w:fldCharType="end"/>
      </w:r>
      <w:r>
        <w:t xml:space="preserve"> nemá v rámci prvního averroismu stejný význam jako Sigerova filosofická formulace </w:t>
      </w:r>
      <w:r w:rsidR="009F2493">
        <w:t>„</w:t>
      </w:r>
      <w:r>
        <w:rPr>
          <w:i/>
        </w:rPr>
        <w:t xml:space="preserve">homo ipse </w:t>
      </w:r>
      <w:r>
        <w:rPr>
          <w:i/>
        </w:rPr>
        <w:lastRenderedPageBreak/>
        <w:t>intelligit</w:t>
      </w:r>
      <w:r w:rsidR="009F2493">
        <w:t>“</w:t>
      </w:r>
      <w:r>
        <w:rPr>
          <w:i/>
        </w:rPr>
        <w:fldChar w:fldCharType="begin"/>
      </w:r>
      <w:r>
        <w:instrText xml:space="preserve"> XE "</w:instrText>
      </w:r>
      <w:r w:rsidRPr="00B935DC">
        <w:rPr>
          <w:rStyle w:val="Zkladntext350"/>
        </w:rPr>
        <w:instrText>osoba</w:instrText>
      </w:r>
      <w:r w:rsidRPr="00B935DC">
        <w:rPr>
          <w:rStyle w:val="Zkladntext350"/>
          <w:i/>
        </w:rPr>
        <w:instrText>:</w:instrText>
      </w:r>
      <w:r>
        <w:rPr>
          <w:rStyle w:val="Zkladntext350"/>
          <w:i/>
        </w:rPr>
        <w:instrText>homo ipse intelligit</w:instrText>
      </w:r>
      <w:r>
        <w:instrText xml:space="preserve">" </w:instrText>
      </w:r>
      <w:r>
        <w:rPr>
          <w:i/>
        </w:rPr>
        <w:fldChar w:fldCharType="end"/>
      </w:r>
      <w:r>
        <w:t xml:space="preserve">. </w:t>
      </w:r>
      <w:r w:rsidR="009F2493" w:rsidRPr="009F2493">
        <w:t>Z teologického hlediska je jeho argumentace správná, protože j</w:t>
      </w:r>
      <w:r w:rsidR="009F2493">
        <w:t>e založena na správné logické supozici</w:t>
      </w:r>
      <w:r w:rsidR="009F2493" w:rsidRPr="009F2493">
        <w:t xml:space="preserve">; z filozofického hlediska </w:t>
      </w:r>
      <w:r w:rsidR="00C604EC">
        <w:t xml:space="preserve">jako </w:t>
      </w:r>
      <w:r w:rsidR="00C604EC" w:rsidRPr="00B32707">
        <w:rPr>
          <w:i/>
        </w:rPr>
        <w:t>demonstratio</w:t>
      </w:r>
      <w:r w:rsidR="00C604EC">
        <w:rPr>
          <w:i/>
        </w:rPr>
        <w:t xml:space="preserve"> </w:t>
      </w:r>
      <w:r w:rsidR="009F2493" w:rsidRPr="009F2493">
        <w:t xml:space="preserve">je </w:t>
      </w:r>
      <w:r w:rsidR="00C604EC">
        <w:t xml:space="preserve">argumentace </w:t>
      </w:r>
      <w:r w:rsidR="009A5C41">
        <w:t>chybná</w:t>
      </w:r>
      <w:r w:rsidR="009F2493" w:rsidRPr="009F2493">
        <w:t>, protože ne</w:t>
      </w:r>
      <w:r w:rsidR="009F2493">
        <w:t xml:space="preserve">má reálnou </w:t>
      </w:r>
      <w:r w:rsidR="009F2493" w:rsidRPr="009F2493">
        <w:t xml:space="preserve">kauzalitu jako </w:t>
      </w:r>
      <w:r w:rsidR="009F2493">
        <w:t>impozici</w:t>
      </w:r>
      <w:r w:rsidR="009F2493" w:rsidRPr="009F2493">
        <w:t>.</w:t>
      </w:r>
      <w:r w:rsidR="009F2493">
        <w:t xml:space="preserve"> </w:t>
      </w:r>
      <w:r>
        <w:t xml:space="preserve">Tomáš ve spisu </w:t>
      </w:r>
      <w:r w:rsidRPr="00132183">
        <w:rPr>
          <w:i/>
        </w:rPr>
        <w:t>De unitate</w:t>
      </w:r>
      <w:r>
        <w:t xml:space="preserve"> </w:t>
      </w:r>
      <w:r w:rsidR="009F2493" w:rsidRPr="009F2493">
        <w:rPr>
          <w:i/>
        </w:rPr>
        <w:t>intellectus</w:t>
      </w:r>
      <w:r w:rsidR="009F2493">
        <w:t xml:space="preserve"> </w:t>
      </w:r>
      <w:r>
        <w:t>z</w:t>
      </w:r>
      <w:r w:rsidRPr="00273106">
        <w:t>důraz</w:t>
      </w:r>
      <w:r>
        <w:t>nil</w:t>
      </w:r>
      <w:r w:rsidRPr="00273106">
        <w:t xml:space="preserve"> autonomní </w:t>
      </w:r>
      <w:r>
        <w:t xml:space="preserve">akt porozumění </w:t>
      </w:r>
      <w:r w:rsidR="00521B09">
        <w:t xml:space="preserve">daná v rámci hypostázovaného </w:t>
      </w:r>
      <w:r>
        <w:t>intelektu (</w:t>
      </w:r>
      <w:r w:rsidRPr="00954402">
        <w:rPr>
          <w:i/>
        </w:rPr>
        <w:t>intelligere non est nisi in intellectu</w:t>
      </w:r>
      <w:r>
        <w:t>)</w:t>
      </w:r>
      <w:r w:rsidRPr="00273106">
        <w:t>.</w:t>
      </w:r>
      <w:r w:rsidRPr="00273106">
        <w:rPr>
          <w:rStyle w:val="Znakapoznpodarou"/>
        </w:rPr>
        <w:footnoteReference w:id="261"/>
      </w:r>
      <w:r w:rsidRPr="00273106">
        <w:t xml:space="preserve"> </w:t>
      </w:r>
      <w:r>
        <w:rPr>
          <w:lang w:eastAsia="en-US"/>
        </w:rPr>
        <w:t>Siger definova</w:t>
      </w:r>
      <w:r w:rsidR="00773454">
        <w:rPr>
          <w:lang w:eastAsia="en-US"/>
        </w:rPr>
        <w:t>l</w:t>
      </w:r>
      <w:r>
        <w:rPr>
          <w:lang w:eastAsia="en-US"/>
        </w:rPr>
        <w:t xml:space="preserve"> </w:t>
      </w:r>
      <w:r w:rsidRPr="00273106">
        <w:rPr>
          <w:i/>
          <w:lang w:eastAsia="en-US"/>
        </w:rPr>
        <w:t>subiectum</w:t>
      </w:r>
      <w:r>
        <w:rPr>
          <w:i/>
          <w:lang w:eastAsia="en-US"/>
        </w:rPr>
        <w:fldChar w:fldCharType="begin"/>
      </w:r>
      <w:r>
        <w:instrText xml:space="preserve"> XE "</w:instrText>
      </w:r>
      <w:r w:rsidRPr="00360013">
        <w:rPr>
          <w:i/>
        </w:rPr>
        <w:instrText>subiectum:</w:instrText>
      </w:r>
      <w:r w:rsidRPr="009B4EC0">
        <w:instrText>Siger</w:instrText>
      </w:r>
      <w:r>
        <w:instrText xml:space="preserve">" </w:instrText>
      </w:r>
      <w:r>
        <w:rPr>
          <w:i/>
          <w:lang w:eastAsia="en-US"/>
        </w:rPr>
        <w:fldChar w:fldCharType="end"/>
      </w:r>
      <w:r>
        <w:rPr>
          <w:lang w:eastAsia="en-US"/>
        </w:rPr>
        <w:t xml:space="preserve"> poznání v modu ipseity osoby. Proto odmítl Albertovu esenciální definici </w:t>
      </w:r>
      <w:r w:rsidRPr="082D58FB">
        <w:rPr>
          <w:i/>
          <w:lang w:eastAsia="en-US"/>
        </w:rPr>
        <w:t>anima intellectiva</w:t>
      </w:r>
      <w:r>
        <w:rPr>
          <w:lang w:eastAsia="en-US"/>
        </w:rPr>
        <w:t xml:space="preserve"> a tím spíš Tomášův intelekt jako hypostázovanou formu v duši</w:t>
      </w:r>
      <w:r w:rsidRPr="00273106">
        <w:rPr>
          <w:lang w:eastAsia="en-US"/>
        </w:rPr>
        <w:t xml:space="preserve">. </w:t>
      </w:r>
      <w:r>
        <w:rPr>
          <w:lang w:eastAsia="en-US"/>
        </w:rPr>
        <w:t xml:space="preserve">Subjektem poznání není duše v těle jako abstraktní substanci, ale existenciální výkon porozumění zakoušený v první osobě. Přecházející kritika </w:t>
      </w:r>
      <w:r w:rsidRPr="00273106">
        <w:rPr>
          <w:lang w:eastAsia="en-US"/>
        </w:rPr>
        <w:t>Akvinského</w:t>
      </w:r>
      <w:r>
        <w:rPr>
          <w:lang w:eastAsia="en-US"/>
        </w:rPr>
        <w:t xml:space="preserve"> a Alberta ohledně pojetí intelektu přirovnala jejich pozici k Themistiovi. Ten</w:t>
      </w:r>
      <w:r w:rsidRPr="00273106">
        <w:rPr>
          <w:lang w:eastAsia="en-US"/>
        </w:rPr>
        <w:t xml:space="preserve"> definoval pojetí intelektu v rámci principu </w:t>
      </w:r>
      <w:r w:rsidRPr="00503BCF">
        <w:rPr>
          <w:i/>
          <w:lang w:eastAsia="en-US"/>
        </w:rPr>
        <w:t>extrinsece</w:t>
      </w:r>
      <w:r w:rsidRPr="00273106">
        <w:rPr>
          <w:lang w:eastAsia="en-US"/>
        </w:rPr>
        <w:t xml:space="preserve"> a podle Aristotelova modelu </w:t>
      </w:r>
      <w:r>
        <w:rPr>
          <w:lang w:eastAsia="en-US"/>
        </w:rPr>
        <w:t>lodníka a lodě</w:t>
      </w:r>
      <w:r w:rsidRPr="00273106">
        <w:rPr>
          <w:lang w:eastAsia="en-US"/>
        </w:rPr>
        <w:t xml:space="preserve"> (</w:t>
      </w:r>
      <w:r w:rsidRPr="00273106">
        <w:rPr>
          <w:i/>
          <w:lang w:eastAsia="en-US"/>
        </w:rPr>
        <w:t>ubi</w:t>
      </w:r>
      <w:r w:rsidRPr="00273106">
        <w:rPr>
          <w:rStyle w:val="Zkladntext399pt1"/>
          <w:i/>
          <w:lang w:eastAsia="en-US"/>
        </w:rPr>
        <w:t xml:space="preserve"> </w:t>
      </w:r>
      <w:r w:rsidRPr="00273106">
        <w:rPr>
          <w:i/>
        </w:rPr>
        <w:t>Themistius</w:t>
      </w:r>
      <w:r w:rsidRPr="00273106">
        <w:rPr>
          <w:i/>
          <w:lang w:eastAsia="en-US"/>
        </w:rPr>
        <w:t xml:space="preserve"> dicit quod intellectus sic se habere videtur</w:t>
      </w:r>
      <w:r>
        <w:rPr>
          <w:lang w:eastAsia="en-US"/>
        </w:rPr>
        <w:t xml:space="preserve">; ibid, </w:t>
      </w:r>
      <w:r w:rsidRPr="00273106">
        <w:rPr>
          <w:lang w:eastAsia="en-US"/>
        </w:rPr>
        <w:t>p. 85.88‒89). Siger</w:t>
      </w:r>
      <w:r>
        <w:rPr>
          <w:lang w:eastAsia="en-US"/>
        </w:rPr>
        <w:t xml:space="preserve"> jasně vidí a kritizuje chybné použití Themistiova pojetí hypostázovaného receptivního intelektu u Akvinského</w:t>
      </w:r>
      <w:r w:rsidRPr="006C7A0F">
        <w:rPr>
          <w:i/>
        </w:rPr>
        <w:fldChar w:fldCharType="begin"/>
      </w:r>
      <w:r w:rsidRPr="006C7A0F">
        <w:instrText xml:space="preserve"> XE "intelekt:modus </w:instrText>
      </w:r>
      <w:r w:rsidRPr="006C7A0F">
        <w:rPr>
          <w:i/>
        </w:rPr>
        <w:instrText>qua</w:instrText>
      </w:r>
      <w:r w:rsidRPr="006C7A0F">
        <w:rPr>
          <w:i/>
          <w:vertAlign w:val="superscript"/>
        </w:rPr>
        <w:instrText>2</w:instrText>
      </w:r>
      <w:r w:rsidRPr="006C7A0F">
        <w:instrText xml:space="preserve">" </w:instrText>
      </w:r>
      <w:r w:rsidRPr="006C7A0F">
        <w:rPr>
          <w:i/>
        </w:rPr>
        <w:fldChar w:fldCharType="end"/>
      </w:r>
      <w:r w:rsidR="007B184D">
        <w:rPr>
          <w:lang w:eastAsia="en-US"/>
        </w:rPr>
        <w:t xml:space="preserve">. </w:t>
      </w:r>
      <w:r w:rsidR="00101A33">
        <w:rPr>
          <w:lang w:eastAsia="en-US"/>
        </w:rPr>
        <w:t>Akvinský nemá jednotu osoby, což je zásadní selhání vzhledem k </w:t>
      </w:r>
      <w:r w:rsidR="00101A33" w:rsidRPr="00BE0FF8">
        <w:rPr>
          <w:lang w:eastAsia="en-US"/>
        </w:rPr>
        <w:t>zamýšlenému cíli spisu</w:t>
      </w:r>
      <w:r w:rsidR="00101A33" w:rsidRPr="00101A33">
        <w:rPr>
          <w:i/>
          <w:lang w:eastAsia="en-US"/>
        </w:rPr>
        <w:t xml:space="preserve"> De anima</w:t>
      </w:r>
      <w:r w:rsidR="00101A33">
        <w:rPr>
          <w:lang w:eastAsia="en-US"/>
        </w:rPr>
        <w:t>. Aristoteles tuto jednotu osoby postuloval (viz DA I–II), ale ve skutečnosti ji naplnil až Averroes ve spise CMDA. Albert měl p</w:t>
      </w:r>
      <w:r>
        <w:rPr>
          <w:lang w:eastAsia="en-US"/>
        </w:rPr>
        <w:t xml:space="preserve">ouze formální </w:t>
      </w:r>
      <w:r w:rsidR="00101A33">
        <w:rPr>
          <w:lang w:eastAsia="en-US"/>
        </w:rPr>
        <w:t xml:space="preserve">část </w:t>
      </w:r>
      <w:r w:rsidR="00935F34">
        <w:rPr>
          <w:lang w:eastAsia="en-US"/>
        </w:rPr>
        <w:t>vědeckého</w:t>
      </w:r>
      <w:r>
        <w:rPr>
          <w:lang w:eastAsia="en-US"/>
        </w:rPr>
        <w:t xml:space="preserve"> důkazu </w:t>
      </w:r>
      <w:r w:rsidRPr="08EE6D82">
        <w:rPr>
          <w:i/>
          <w:lang w:eastAsia="en-US"/>
        </w:rPr>
        <w:t>anima intellectiva</w:t>
      </w:r>
      <w:r>
        <w:rPr>
          <w:lang w:eastAsia="en-US"/>
        </w:rPr>
        <w:t xml:space="preserve">. Siger přesně viděl, že toto pojetí odmítla argumentace v CMDA, která vzala princip čisté receptivity z Alexandrova </w:t>
      </w:r>
      <w:r w:rsidR="00101A33">
        <w:rPr>
          <w:i/>
          <w:lang w:eastAsia="en-US"/>
        </w:rPr>
        <w:t xml:space="preserve">intellectus </w:t>
      </w:r>
      <w:r w:rsidR="00101A33" w:rsidRPr="00101A33">
        <w:rPr>
          <w:lang w:eastAsia="en-US"/>
        </w:rPr>
        <w:t>possibilis</w:t>
      </w:r>
      <w:r w:rsidR="00101A33">
        <w:rPr>
          <w:lang w:eastAsia="en-US"/>
        </w:rPr>
        <w:t xml:space="preserve">, </w:t>
      </w:r>
      <w:r w:rsidRPr="00101A33">
        <w:rPr>
          <w:lang w:eastAsia="en-US"/>
        </w:rPr>
        <w:t>a</w:t>
      </w:r>
      <w:r>
        <w:rPr>
          <w:lang w:eastAsia="en-US"/>
        </w:rPr>
        <w:t xml:space="preserve"> ne z</w:t>
      </w:r>
      <w:r w:rsidR="083923AF">
        <w:rPr>
          <w:lang w:eastAsia="en-US"/>
        </w:rPr>
        <w:t> </w:t>
      </w:r>
      <w:r>
        <w:rPr>
          <w:lang w:eastAsia="en-US"/>
        </w:rPr>
        <w:t>Themisti</w:t>
      </w:r>
      <w:r w:rsidR="083923AF">
        <w:rPr>
          <w:lang w:eastAsia="en-US"/>
        </w:rPr>
        <w:t xml:space="preserve">ova </w:t>
      </w:r>
      <w:r w:rsidR="085140DE">
        <w:rPr>
          <w:lang w:eastAsia="en-US"/>
        </w:rPr>
        <w:t xml:space="preserve">odděleného </w:t>
      </w:r>
      <w:r w:rsidR="083923AF" w:rsidRPr="081942A4">
        <w:rPr>
          <w:i/>
          <w:szCs w:val="24"/>
        </w:rPr>
        <w:t>intellectus possibilis</w:t>
      </w:r>
      <w:r>
        <w:rPr>
          <w:lang w:eastAsia="en-US"/>
        </w:rPr>
        <w:t xml:space="preserve">. Komentátor </w:t>
      </w:r>
      <w:r w:rsidR="00101A33">
        <w:rPr>
          <w:lang w:eastAsia="en-US"/>
        </w:rPr>
        <w:t xml:space="preserve">ale </w:t>
      </w:r>
      <w:r>
        <w:rPr>
          <w:lang w:eastAsia="en-US"/>
        </w:rPr>
        <w:t xml:space="preserve">vzal z Themistia jeho pojetí </w:t>
      </w:r>
      <w:r w:rsidRPr="083E4934">
        <w:rPr>
          <w:i/>
          <w:lang w:eastAsia="en-US"/>
        </w:rPr>
        <w:t>intellectus materialis</w:t>
      </w:r>
      <w:r>
        <w:rPr>
          <w:lang w:eastAsia="en-US"/>
        </w:rPr>
        <w:t>, což je zásadní rozdíl proti Akvinskému. Proto má CMDA princip volní determinace nemateriálního intelektu od smyslů, což neoplatonik Themistius pochopitelně nemá. Proto</w:t>
      </w:r>
      <w:r w:rsidRPr="00273106">
        <w:rPr>
          <w:lang w:eastAsia="en-US"/>
        </w:rPr>
        <w:t xml:space="preserve"> </w:t>
      </w:r>
      <w:r w:rsidR="000E518E">
        <w:rPr>
          <w:lang w:eastAsia="en-US"/>
        </w:rPr>
        <w:t xml:space="preserve">Siger </w:t>
      </w:r>
      <w:r w:rsidRPr="00273106">
        <w:rPr>
          <w:lang w:eastAsia="en-US"/>
        </w:rPr>
        <w:t>připomíná</w:t>
      </w:r>
      <w:r w:rsidR="000E518E">
        <w:rPr>
          <w:lang w:eastAsia="en-US"/>
        </w:rPr>
        <w:t xml:space="preserve"> oběma dominikánům</w:t>
      </w:r>
      <w:r w:rsidRPr="00273106">
        <w:rPr>
          <w:lang w:eastAsia="en-US"/>
        </w:rPr>
        <w:t xml:space="preserve">, že Themistiovo </w:t>
      </w:r>
      <w:r>
        <w:rPr>
          <w:lang w:eastAsia="en-US"/>
        </w:rPr>
        <w:t xml:space="preserve">pojetí vnějšně daného </w:t>
      </w:r>
      <w:r w:rsidRPr="001E7BA5">
        <w:rPr>
          <w:i/>
          <w:lang w:eastAsia="en-US"/>
        </w:rPr>
        <w:t>intellectus po</w:t>
      </w:r>
      <w:r>
        <w:rPr>
          <w:i/>
          <w:lang w:eastAsia="en-US"/>
        </w:rPr>
        <w:t>s</w:t>
      </w:r>
      <w:r w:rsidRPr="001E7BA5">
        <w:rPr>
          <w:i/>
          <w:lang w:eastAsia="en-US"/>
        </w:rPr>
        <w:t>sibilis</w:t>
      </w:r>
      <w:r>
        <w:rPr>
          <w:i/>
          <w:lang w:eastAsia="en-US"/>
        </w:rPr>
        <w:fldChar w:fldCharType="begin"/>
      </w:r>
      <w:r>
        <w:instrText xml:space="preserve"> XE "</w:instrText>
      </w:r>
      <w:r w:rsidRPr="00770D02">
        <w:rPr>
          <w:i/>
        </w:rPr>
        <w:instrText>intellectus possibilis</w:instrText>
      </w:r>
      <w:r>
        <w:rPr>
          <w:i/>
        </w:rPr>
        <w:instrText>:</w:instrText>
      </w:r>
      <w:r w:rsidRPr="006B0FD0">
        <w:instrText>Themistius</w:instrText>
      </w:r>
      <w:r>
        <w:instrText xml:space="preserve">" </w:instrText>
      </w:r>
      <w:r>
        <w:rPr>
          <w:i/>
          <w:lang w:eastAsia="en-US"/>
        </w:rPr>
        <w:fldChar w:fldCharType="end"/>
      </w:r>
      <w:r>
        <w:rPr>
          <w:lang w:eastAsia="en-US"/>
        </w:rPr>
        <w:t xml:space="preserve"> nezávislého na vegeta</w:t>
      </w:r>
      <w:r w:rsidRPr="00273106">
        <w:rPr>
          <w:lang w:eastAsia="en-US"/>
        </w:rPr>
        <w:t>tivní a animální stránce duše je z hlediska celku Aristotelovy filosofie správné jen napůl.</w:t>
      </w:r>
      <w:r w:rsidRPr="00273106">
        <w:rPr>
          <w:rStyle w:val="Znakapoznpodarou"/>
          <w:lang w:eastAsia="en-US"/>
        </w:rPr>
        <w:footnoteReference w:id="262"/>
      </w:r>
      <w:r w:rsidRPr="00273106">
        <w:rPr>
          <w:lang w:eastAsia="en-US"/>
        </w:rPr>
        <w:t xml:space="preserve"> Fenomenologický princip z </w:t>
      </w:r>
      <w:proofErr w:type="gramStart"/>
      <w:r w:rsidRPr="00273106">
        <w:rPr>
          <w:i/>
        </w:rPr>
        <w:t>De</w:t>
      </w:r>
      <w:proofErr w:type="gramEnd"/>
      <w:r w:rsidRPr="00273106">
        <w:rPr>
          <w:i/>
        </w:rPr>
        <w:t xml:space="preserve"> generatione animalium </w:t>
      </w:r>
      <w:r w:rsidRPr="00273106">
        <w:t xml:space="preserve">jasně vidí </w:t>
      </w:r>
      <w:r>
        <w:t xml:space="preserve">a brání společně s Averroesem </w:t>
      </w:r>
      <w:r w:rsidRPr="00273106">
        <w:t xml:space="preserve">princip ipseity člověka </w:t>
      </w:r>
      <w:r>
        <w:t xml:space="preserve">skrze </w:t>
      </w:r>
      <w:r w:rsidRPr="00273106">
        <w:t>a</w:t>
      </w:r>
      <w:r>
        <w:t>kt</w:t>
      </w:r>
      <w:r w:rsidRPr="00273106">
        <w:t xml:space="preserve"> bytí první substance. </w:t>
      </w:r>
      <w:r>
        <w:t xml:space="preserve">Sigerem hájená </w:t>
      </w:r>
      <w:r w:rsidRPr="00273106">
        <w:t xml:space="preserve">ipseita </w:t>
      </w:r>
      <w:r>
        <w:lastRenderedPageBreak/>
        <w:t xml:space="preserve">platí pro jedinečnou osobu, která </w:t>
      </w:r>
      <w:r w:rsidRPr="00273106">
        <w:t xml:space="preserve">existuje </w:t>
      </w:r>
      <w:r>
        <w:t>a myslí. Intelekt myslí jen skrze tělo, ale myslí podle své nemateriální přirozenosti (</w:t>
      </w:r>
      <w:r w:rsidRPr="080E5EE8">
        <w:rPr>
          <w:i/>
        </w:rPr>
        <w:t>intellectus in intelligendo est operans intrinsecum ad corpus per suam naturam</w:t>
      </w:r>
      <w:r>
        <w:t>).</w:t>
      </w:r>
      <w:r>
        <w:rPr>
          <w:rStyle w:val="Znakapoznpodarou"/>
        </w:rPr>
        <w:footnoteReference w:id="263"/>
      </w:r>
      <w:r>
        <w:t xml:space="preserve"> Tento c</w:t>
      </w:r>
      <w:r w:rsidRPr="00273106">
        <w:t xml:space="preserve">itát </w:t>
      </w:r>
      <w:r>
        <w:t xml:space="preserve">a celá Sigerova kritika odmítá </w:t>
      </w:r>
      <w:r w:rsidRPr="00273106">
        <w:t>Tomášo</w:t>
      </w:r>
      <w:r>
        <w:t xml:space="preserve">vu ipseitu intelektu danou v </w:t>
      </w:r>
      <w:proofErr w:type="gramStart"/>
      <w:r w:rsidRPr="00906830">
        <w:rPr>
          <w:i/>
        </w:rPr>
        <w:t>De</w:t>
      </w:r>
      <w:proofErr w:type="gramEnd"/>
      <w:r w:rsidRPr="00906830">
        <w:rPr>
          <w:i/>
        </w:rPr>
        <w:t xml:space="preserve"> unitate</w:t>
      </w:r>
      <w:r w:rsidR="00065287">
        <w:t xml:space="preserve">. Akvinský </w:t>
      </w:r>
      <w:r>
        <w:t xml:space="preserve">dělá z intelektu vnějšího hybatele duše v neoplatonském modu </w:t>
      </w:r>
      <w:r w:rsidR="00065287">
        <w:t>„</w:t>
      </w:r>
      <w:r>
        <w:rPr>
          <w:i/>
        </w:rPr>
        <w:t>a</w:t>
      </w:r>
      <w:r w:rsidRPr="089A7E7F">
        <w:rPr>
          <w:i/>
        </w:rPr>
        <w:t>nima ut motor</w:t>
      </w:r>
      <w:r w:rsidR="00065287">
        <w:t>“</w:t>
      </w:r>
      <w:r>
        <w:t xml:space="preserve">. Siger </w:t>
      </w:r>
      <w:r w:rsidRPr="00273106">
        <w:t xml:space="preserve">obhajuje </w:t>
      </w:r>
      <w:r>
        <w:t>činnost intelektu danou</w:t>
      </w:r>
      <w:r w:rsidRPr="00273106">
        <w:t xml:space="preserve"> </w:t>
      </w:r>
      <w:r>
        <w:t xml:space="preserve">v duši </w:t>
      </w:r>
      <w:r w:rsidR="007B184D">
        <w:t>„</w:t>
      </w:r>
      <w:r w:rsidR="007B184D" w:rsidRPr="004D6AB4">
        <w:rPr>
          <w:i/>
          <w:szCs w:val="24"/>
        </w:rPr>
        <w:t>ex</w:t>
      </w:r>
      <w:r w:rsidR="007B184D">
        <w:rPr>
          <w:szCs w:val="24"/>
        </w:rPr>
        <w:t xml:space="preserve"> </w:t>
      </w:r>
      <w:r w:rsidR="007B184D">
        <w:rPr>
          <w:i/>
          <w:szCs w:val="24"/>
        </w:rPr>
        <w:t>intrinseco</w:t>
      </w:r>
      <w:r w:rsidR="007B184D" w:rsidRPr="007B184D">
        <w:rPr>
          <w:szCs w:val="24"/>
        </w:rPr>
        <w:t>“</w:t>
      </w:r>
      <w:r>
        <w:t>, čili v modu existenciání ipseity založené na aktu bytí osoby jako hylemorfické</w:t>
      </w:r>
      <w:r w:rsidRPr="00273106">
        <w:t xml:space="preserve"> složenin</w:t>
      </w:r>
      <w:r>
        <w:t>y</w:t>
      </w:r>
      <w:r w:rsidRPr="00273106">
        <w:t xml:space="preserve"> (</w:t>
      </w:r>
      <w:r w:rsidRPr="00273106">
        <w:rPr>
          <w:i/>
        </w:rPr>
        <w:t>attribuuntur compositis ex intrinseco operanti et eo ad quod sic intrinsece operatur</w:t>
      </w:r>
      <w:r w:rsidRPr="00273106">
        <w:t>). Navíc tato kauzalita působí v rámci formá</w:t>
      </w:r>
      <w:r>
        <w:t>l</w:t>
      </w:r>
      <w:r w:rsidRPr="00273106">
        <w:t xml:space="preserve">ní a finální příčiny </w:t>
      </w:r>
      <w:r w:rsidR="00065287">
        <w:t xml:space="preserve">jako </w:t>
      </w:r>
      <w:r w:rsidRPr="00273106">
        <w:t xml:space="preserve">celek </w:t>
      </w:r>
      <w:r w:rsidR="00065287">
        <w:t>lidského bytí</w:t>
      </w:r>
      <w:r w:rsidRPr="00273106">
        <w:t xml:space="preserve"> (</w:t>
      </w:r>
      <w:r w:rsidRPr="00273106">
        <w:rPr>
          <w:i/>
        </w:rPr>
        <w:t>formae et perfectiones eorum appellantur</w:t>
      </w:r>
      <w:r w:rsidRPr="00273106">
        <w:t>)</w:t>
      </w:r>
      <w:r w:rsidR="00065287">
        <w:t xml:space="preserve">. </w:t>
      </w:r>
      <w:r>
        <w:t>I</w:t>
      </w:r>
      <w:r w:rsidRPr="00273106">
        <w:t xml:space="preserve">ntelekt nelze </w:t>
      </w:r>
      <w:r>
        <w:t xml:space="preserve">individualizovat </w:t>
      </w:r>
      <w:r w:rsidRPr="00273106">
        <w:t>stejně</w:t>
      </w:r>
      <w:r>
        <w:t xml:space="preserve"> materiálně</w:t>
      </w:r>
      <w:r w:rsidRPr="00273106">
        <w:t>, jako to lze v případě aktu vidění vázaného na materiální orgán</w:t>
      </w:r>
      <w:r>
        <w:fldChar w:fldCharType="begin"/>
      </w:r>
      <w:r>
        <w:instrText xml:space="preserve"> XE "osoba:</w:instrText>
      </w:r>
      <w:r w:rsidRPr="00562704">
        <w:rPr>
          <w:i/>
        </w:rPr>
        <w:instrText>ipse/idem</w:instrText>
      </w:r>
      <w:r>
        <w:instrText xml:space="preserve">" </w:instrText>
      </w:r>
      <w:r>
        <w:fldChar w:fldCharType="end"/>
      </w:r>
      <w:r w:rsidRPr="00273106">
        <w:t xml:space="preserve">. </w:t>
      </w:r>
      <w:r>
        <w:t xml:space="preserve">Podle Sigera hájil </w:t>
      </w:r>
      <w:r w:rsidRPr="00273106">
        <w:t xml:space="preserve">Akvinský </w:t>
      </w:r>
      <w:r>
        <w:t xml:space="preserve">tuto </w:t>
      </w:r>
      <w:r w:rsidRPr="00273106">
        <w:t xml:space="preserve">identifikaci </w:t>
      </w:r>
      <w:r>
        <w:t>porozumění a vidění v modu intelektu-slunce podle Toledské školy</w:t>
      </w:r>
      <w:r w:rsidRPr="00273106">
        <w:t>.</w:t>
      </w:r>
      <w:r>
        <w:rPr>
          <w:rStyle w:val="Znakapoznpodarou"/>
        </w:rPr>
        <w:footnoteReference w:id="264"/>
      </w:r>
      <w:r>
        <w:t xml:space="preserve"> </w:t>
      </w:r>
      <w:r w:rsidRPr="00273106">
        <w:t xml:space="preserve">Pro </w:t>
      </w:r>
      <w:r w:rsidR="007D6717">
        <w:t xml:space="preserve">akt </w:t>
      </w:r>
      <w:r w:rsidRPr="00273106">
        <w:t xml:space="preserve">vidění opravdu platí, že schopnost duše vidět dává formu beztvarým smyslovým počitkům v rámci orgánu oka jako části těla, a to v modu </w:t>
      </w:r>
      <w:r w:rsidR="00CC4845">
        <w:t>„</w:t>
      </w:r>
      <w:r>
        <w:t>forma versus materie</w:t>
      </w:r>
      <w:r w:rsidR="00CC4845">
        <w:t>“</w:t>
      </w:r>
      <w:r w:rsidRPr="00273106">
        <w:t xml:space="preserve">. </w:t>
      </w:r>
      <w:r>
        <w:t>Oko</w:t>
      </w:r>
      <w:r w:rsidRPr="00273106">
        <w:t xml:space="preserve"> je formální princip vidění, počitek tvoří formovanou materii. Jenže intelekt nemá žádný smyslový orgán a jeho </w:t>
      </w:r>
      <w:r w:rsidR="00962190">
        <w:rPr>
          <w:i/>
        </w:rPr>
        <w:t>species</w:t>
      </w:r>
      <w:r w:rsidRPr="00273106">
        <w:t xml:space="preserve"> nejsou materiální povahy, jako jsou smyslová </w:t>
      </w:r>
      <w:r w:rsidR="00962190" w:rsidRPr="00CC4845">
        <w:t>species</w:t>
      </w:r>
      <w:r w:rsidRPr="00273106">
        <w:t xml:space="preserve"> pro vidění. </w:t>
      </w:r>
      <w:r>
        <w:t xml:space="preserve">Forma vzniklá ve </w:t>
      </w:r>
      <w:r w:rsidR="00962190">
        <w:rPr>
          <w:i/>
        </w:rPr>
        <w:t>species</w:t>
      </w:r>
      <w:r w:rsidRPr="00C60E0F">
        <w:rPr>
          <w:i/>
        </w:rPr>
        <w:t xml:space="preserve"> sensib</w:t>
      </w:r>
      <w:r>
        <w:rPr>
          <w:i/>
        </w:rPr>
        <w:t>i</w:t>
      </w:r>
      <w:r w:rsidRPr="00C60E0F">
        <w:rPr>
          <w:i/>
        </w:rPr>
        <w:t>lis</w:t>
      </w:r>
      <w:r>
        <w:rPr>
          <w:i/>
        </w:rPr>
        <w:fldChar w:fldCharType="begin"/>
      </w:r>
      <w:r>
        <w:instrText xml:space="preserve"> XE "</w:instrText>
      </w:r>
      <w:r w:rsidRPr="00374FA1">
        <w:rPr>
          <w:i/>
        </w:rPr>
        <w:instrText>species sensibilis</w:instrText>
      </w:r>
      <w:r>
        <w:instrText xml:space="preserve">" </w:instrText>
      </w:r>
      <w:r>
        <w:rPr>
          <w:i/>
        </w:rPr>
        <w:fldChar w:fldCharType="end"/>
      </w:r>
      <w:r>
        <w:t xml:space="preserve"> a forma vzniklá ve </w:t>
      </w:r>
      <w:r w:rsidR="00962190">
        <w:rPr>
          <w:i/>
        </w:rPr>
        <w:t>species</w:t>
      </w:r>
      <w:r w:rsidRPr="00C60E0F">
        <w:rPr>
          <w:i/>
        </w:rPr>
        <w:t xml:space="preserve"> intelligibilis</w:t>
      </w:r>
      <w:r>
        <w:rPr>
          <w:i/>
        </w:rPr>
        <w:fldChar w:fldCharType="begin"/>
      </w:r>
      <w:r>
        <w:instrText xml:space="preserve"> XE "</w:instrText>
      </w:r>
      <w:r w:rsidRPr="00DD403C">
        <w:rPr>
          <w:i/>
        </w:rPr>
        <w:instrText>species intelligibilis:</w:instrText>
      </w:r>
      <w:r w:rsidRPr="00562704">
        <w:instrText>Siger</w:instrText>
      </w:r>
      <w:r>
        <w:instrText xml:space="preserve">" </w:instrText>
      </w:r>
      <w:r>
        <w:rPr>
          <w:i/>
        </w:rPr>
        <w:fldChar w:fldCharType="end"/>
      </w:r>
      <w:r>
        <w:t xml:space="preserve"> je dána ve dvou odlišných výkonech duše a nesou ji dvě různé schopnosti: materiální a nemateriální. A formální schopnost duše není moderní </w:t>
      </w:r>
      <w:r w:rsidR="082E4BF4">
        <w:t xml:space="preserve">avicennovská a postmoderní </w:t>
      </w:r>
      <w:r>
        <w:t>karteziánská hypostáze, ale potence</w:t>
      </w:r>
      <w:r w:rsidR="08C20B94">
        <w:t xml:space="preserve"> duše jako </w:t>
      </w:r>
      <w:r w:rsidR="08C20B94">
        <w:rPr>
          <w:i/>
        </w:rPr>
        <w:t>anima intel</w:t>
      </w:r>
      <w:r w:rsidR="08C20B94" w:rsidRPr="08C20B94">
        <w:rPr>
          <w:i/>
        </w:rPr>
        <w:t>l</w:t>
      </w:r>
      <w:r w:rsidR="08C20B94">
        <w:rPr>
          <w:i/>
        </w:rPr>
        <w:t>e</w:t>
      </w:r>
      <w:r w:rsidR="08C20B94" w:rsidRPr="08C20B94">
        <w:rPr>
          <w:i/>
        </w:rPr>
        <w:t>ctiva</w:t>
      </w:r>
      <w:r>
        <w:t xml:space="preserve">. </w:t>
      </w:r>
      <w:r w:rsidRPr="00273106">
        <w:t xml:space="preserve">Siger posluchačům </w:t>
      </w:r>
      <w:r>
        <w:t>u</w:t>
      </w:r>
      <w:r w:rsidRPr="00273106">
        <w:t>kazuje, že perspektiva</w:t>
      </w:r>
      <w:r>
        <w:t xml:space="preserve"> Tomášova postoje kolem 12</w:t>
      </w:r>
      <w:r w:rsidRPr="00273106">
        <w:t xml:space="preserve">70 je primárně teologická, a nikoliv filosofická. Protože je teologicky postavena správně, </w:t>
      </w:r>
      <w:r>
        <w:t xml:space="preserve">Siger </w:t>
      </w:r>
      <w:r w:rsidRPr="00273106">
        <w:t>s ní souhlasí</w:t>
      </w:r>
      <w:r>
        <w:t xml:space="preserve"> </w:t>
      </w:r>
      <w:r w:rsidRPr="00171CCC">
        <w:t xml:space="preserve">jako </w:t>
      </w:r>
      <w:r>
        <w:t>křesťan a katolický kněz. A</w:t>
      </w:r>
      <w:r w:rsidRPr="00273106">
        <w:t xml:space="preserve">le </w:t>
      </w:r>
      <w:r>
        <w:t xml:space="preserve">protože Akvinského teze je </w:t>
      </w:r>
      <w:r w:rsidRPr="00273106">
        <w:t xml:space="preserve">filosoficky problematická, </w:t>
      </w:r>
      <w:r>
        <w:t>filosof Siger musí opravit</w:t>
      </w:r>
      <w:r w:rsidRPr="00273106">
        <w:t xml:space="preserve"> Akvinského </w:t>
      </w:r>
      <w:r>
        <w:t xml:space="preserve">teologickou </w:t>
      </w:r>
      <w:r w:rsidRPr="00273106">
        <w:t xml:space="preserve">nauku </w:t>
      </w:r>
      <w:r>
        <w:t xml:space="preserve">o intelektu </w:t>
      </w:r>
      <w:r w:rsidRPr="00273106">
        <w:t xml:space="preserve">tak, aby byla v souladu s </w:t>
      </w:r>
      <w:r>
        <w:t xml:space="preserve">filosofickým </w:t>
      </w:r>
      <w:r w:rsidRPr="00273106">
        <w:t xml:space="preserve">učením </w:t>
      </w:r>
      <w:r>
        <w:rPr>
          <w:i/>
        </w:rPr>
        <w:t>De anima</w:t>
      </w:r>
      <w:r w:rsidRPr="00273106">
        <w:t xml:space="preserve"> a CMDA. </w:t>
      </w:r>
      <w:r>
        <w:t xml:space="preserve">Jinak to není vědecká teorie o jednotě intelektu, ale teologický postulát daný na </w:t>
      </w:r>
      <w:proofErr w:type="gramStart"/>
      <w:r>
        <w:t>nižší</w:t>
      </w:r>
      <w:proofErr w:type="gramEnd"/>
      <w:r>
        <w:t xml:space="preserve"> </w:t>
      </w:r>
      <w:r>
        <w:lastRenderedPageBreak/>
        <w:t xml:space="preserve">stupni abstrakce, než je požadovaná metafyzická abstrakce zakládající první vědu o jsoucnu, což je původní </w:t>
      </w:r>
      <w:r w:rsidRPr="08CC305D">
        <w:rPr>
          <w:i/>
        </w:rPr>
        <w:t>intentum</w:t>
      </w:r>
      <w:r>
        <w:t xml:space="preserve"> Filosofa držené </w:t>
      </w:r>
      <w:r w:rsidR="00A608BB">
        <w:t>v podání Komentátora.</w:t>
      </w:r>
    </w:p>
    <w:p w:rsidR="000363CB" w:rsidRDefault="08163013" w:rsidP="00A608BB">
      <w:pPr>
        <w:ind w:firstLine="397"/>
      </w:pPr>
      <w:r>
        <w:t>Akvinského aristotelismus je primárně teologický a dogmatický. Jeho objektivní simulákrum intelektu představuje z hlediska kritické filosofie Sigera dosti problematický koncept</w:t>
      </w:r>
      <w:r>
        <w:fldChar w:fldCharType="begin"/>
      </w:r>
      <w:r>
        <w:instrText xml:space="preserve"> XE "</w:instrText>
      </w:r>
      <w:r w:rsidRPr="00F50036">
        <w:instrText>teorie dvojí pravdy</w:instrText>
      </w:r>
      <w:r>
        <w:instrText xml:space="preserve">" </w:instrText>
      </w:r>
      <w:r>
        <w:fldChar w:fldCharType="end"/>
      </w:r>
      <w:r>
        <w:t xml:space="preserve">. Mezi </w:t>
      </w:r>
      <w:proofErr w:type="gramStart"/>
      <w:r>
        <w:t>Akvinským</w:t>
      </w:r>
      <w:proofErr w:type="gramEnd"/>
      <w:r>
        <w:t xml:space="preserve"> a Sigerem jako novými expozitory Aristotela </w:t>
      </w:r>
      <w:r w:rsidR="00900E33">
        <w:t xml:space="preserve">ve </w:t>
      </w:r>
      <w:r>
        <w:t>skutečn</w:t>
      </w:r>
      <w:r w:rsidR="00900E33">
        <w:t>osti běžel</w:t>
      </w:r>
      <w:r>
        <w:t xml:space="preserve"> spor o dvojí pravdu determinovaný teologickým a filosofickým výkladem Aristotela v rámci prvního averroismu. </w:t>
      </w:r>
      <w:r w:rsidR="00726283">
        <w:t xml:space="preserve">Siger </w:t>
      </w:r>
      <w:r w:rsidRPr="00273106">
        <w:t>jasně vidí Tomášovo dilema. Teolog Akvinský musí zajistit nesmrtelnost duše i po zániku těla</w:t>
      </w:r>
      <w:r>
        <w:t xml:space="preserve"> a hledá k tomu vhodný filosofický argument podle Aristotelovy </w:t>
      </w:r>
      <w:r w:rsidRPr="00BE030D">
        <w:rPr>
          <w:i/>
        </w:rPr>
        <w:t>De anima</w:t>
      </w:r>
      <w:r>
        <w:t xml:space="preserve">. Tento teologizující výklad je podle litery textu možný. Proto jej Siger zásadně nekritizuje, na rozdíl od hrubých omylů druhého averrorismu, s nimiž se už ve spise </w:t>
      </w:r>
      <w:r w:rsidRPr="08052C4E">
        <w:rPr>
          <w:i/>
        </w:rPr>
        <w:t>De anima intellectiva</w:t>
      </w:r>
      <w:r>
        <w:t xml:space="preserve"> detailně nezabývá. Ale Tomášův dogmatický aristotelismus je zásadně chybný, pokud interpretujeme jako Averroes celek Aristotelova díla z pozice „meta</w:t>
      </w:r>
      <w:r>
        <w:noBreakHyphen/>
        <w:t>fyziky“ založené na primátu reálné první substance (</w:t>
      </w:r>
      <w:r w:rsidR="08E44951">
        <w:t xml:space="preserve">OBJ I, </w:t>
      </w:r>
      <w:r>
        <w:t xml:space="preserve">kap. 2.4.1). </w:t>
      </w:r>
      <w:r w:rsidR="00D960BB">
        <w:t>Bacon hájil p</w:t>
      </w:r>
      <w:r>
        <w:t>odobné aristotelské pojetí postavené mimo dogm</w:t>
      </w:r>
      <w:r w:rsidR="00D960BB">
        <w:t>atickou teologii ve stejné době</w:t>
      </w:r>
      <w:r>
        <w:t xml:space="preserve">. Tento křesťanský aristotelismus sleduje skutečné </w:t>
      </w:r>
      <w:r w:rsidRPr="0851544F">
        <w:rPr>
          <w:i/>
        </w:rPr>
        <w:t>intentum</w:t>
      </w:r>
      <w:r>
        <w:t xml:space="preserve"> Filosofa podané </w:t>
      </w:r>
      <w:r w:rsidR="007B6779">
        <w:t>„</w:t>
      </w:r>
      <w:r w:rsidRPr="0851544F">
        <w:rPr>
          <w:i/>
        </w:rPr>
        <w:t>ad mentem Averrois</w:t>
      </w:r>
      <w:r w:rsidR="007B6779">
        <w:t>“. P</w:t>
      </w:r>
      <w:r>
        <w:t xml:space="preserve">roto byl a je jako jediný aristotelský výklad schopen obhájit plnou jednotu osoby a jejího myšlení. Nárok Akvinského na titul </w:t>
      </w:r>
      <w:r w:rsidRPr="0808708B">
        <w:rPr>
          <w:i/>
        </w:rPr>
        <w:t>Expositor Novus</w:t>
      </w:r>
      <w:r>
        <w:t xml:space="preserve"> zrušila Sigerova existenciální analytika podle CMDA </w:t>
      </w:r>
      <w:r w:rsidR="00800799">
        <w:t xml:space="preserve">provedená </w:t>
      </w:r>
      <w:r>
        <w:t xml:space="preserve">v modu Sicilské školy. Tomášův a Aegidiův aristotelský tomismus bez Komentátora není schopen obhájit plnou jednotu osoby v modu vědeckého </w:t>
      </w:r>
      <w:r w:rsidRPr="08654573">
        <w:rPr>
          <w:i/>
        </w:rPr>
        <w:t>demonstratio</w:t>
      </w:r>
      <w:r>
        <w:t xml:space="preserve"> podle </w:t>
      </w:r>
      <w:r w:rsidRPr="08654573">
        <w:rPr>
          <w:i/>
        </w:rPr>
        <w:t>Druhých analytik</w:t>
      </w:r>
      <w:r>
        <w:t xml:space="preserve">. Hypostázování intelektu jako nemateriální složky věčné duše </w:t>
      </w:r>
      <w:r w:rsidR="00881755">
        <w:t xml:space="preserve">převzalo </w:t>
      </w:r>
      <w:r w:rsidR="00881755" w:rsidRPr="00273106">
        <w:t xml:space="preserve">pozici </w:t>
      </w:r>
      <w:r w:rsidR="00881755">
        <w:t xml:space="preserve">Alexandra a Themistia, kteří měli teorii </w:t>
      </w:r>
      <w:r w:rsidRPr="00273106">
        <w:t xml:space="preserve">odděleného </w:t>
      </w:r>
      <w:r>
        <w:t xml:space="preserve">a subsistentního </w:t>
      </w:r>
      <w:r w:rsidRPr="00273106">
        <w:t>intelektu</w:t>
      </w:r>
      <w:r>
        <w:t xml:space="preserve">. Neoplatonský intelekt v modu </w:t>
      </w:r>
      <w:r w:rsidRPr="003D35B6">
        <w:rPr>
          <w:i/>
        </w:rPr>
        <w:t>separatus</w:t>
      </w:r>
      <w:r>
        <w:t xml:space="preserve"> </w:t>
      </w:r>
      <w:r w:rsidRPr="00273106">
        <w:t xml:space="preserve">aktualizuje zvnějšku </w:t>
      </w:r>
      <w:r>
        <w:t xml:space="preserve">hylický intelekt, který je daný individuálně v těle jako </w:t>
      </w:r>
      <w:r w:rsidRPr="00273106">
        <w:t xml:space="preserve">první substanci. Akvinského problém z hlediska </w:t>
      </w:r>
      <w:r>
        <w:t xml:space="preserve">Sigerem hájené teze </w:t>
      </w:r>
      <w:r>
        <w:rPr>
          <w:i/>
        </w:rPr>
        <w:t>homo ipse intelligit</w:t>
      </w:r>
      <w:r>
        <w:rPr>
          <w:i/>
        </w:rPr>
        <w:fldChar w:fldCharType="begin"/>
      </w:r>
      <w:r>
        <w:instrText xml:space="preserve"> XE "</w:instrText>
      </w:r>
      <w:r w:rsidRPr="00B935DC">
        <w:rPr>
          <w:rStyle w:val="Zkladntext350"/>
        </w:rPr>
        <w:instrText>osoba</w:instrText>
      </w:r>
      <w:r w:rsidRPr="00B935DC">
        <w:rPr>
          <w:rStyle w:val="Zkladntext350"/>
          <w:i/>
        </w:rPr>
        <w:instrText>:</w:instrText>
      </w:r>
      <w:r>
        <w:rPr>
          <w:rStyle w:val="Zkladntext350"/>
          <w:i/>
        </w:rPr>
        <w:instrText>homo ipse intelligit</w:instrText>
      </w:r>
      <w:r>
        <w:instrText xml:space="preserve">" </w:instrText>
      </w:r>
      <w:r>
        <w:rPr>
          <w:i/>
        </w:rPr>
        <w:fldChar w:fldCharType="end"/>
      </w:r>
      <w:r>
        <w:t xml:space="preserve"> je daný stejně jako u a</w:t>
      </w:r>
      <w:r w:rsidRPr="00273106">
        <w:t>lexandrovců</w:t>
      </w:r>
      <w:r>
        <w:fldChar w:fldCharType="begin"/>
      </w:r>
      <w:r>
        <w:instrText xml:space="preserve"> XE "alexandrovci" </w:instrText>
      </w:r>
      <w:r>
        <w:fldChar w:fldCharType="end"/>
      </w:r>
      <w:r w:rsidRPr="00273106">
        <w:t xml:space="preserve">, tedy u představitelů druhého averroismu. Teologická obrana duše subsistující po </w:t>
      </w:r>
      <w:r>
        <w:t>smrti musí nutně hájit hypostázovaný intelekt přicházející</w:t>
      </w:r>
      <w:r w:rsidRPr="00273106">
        <w:t xml:space="preserve"> ke smyslům zvnějšku. Intelekt je jediná </w:t>
      </w:r>
      <w:r w:rsidR="00236850">
        <w:t xml:space="preserve">nemateriální </w:t>
      </w:r>
      <w:r w:rsidRPr="00273106">
        <w:t xml:space="preserve">schopnost duše, a tím zajišťuje křesťanskou věčnost </w:t>
      </w:r>
      <w:r w:rsidRPr="00273106">
        <w:rPr>
          <w:i/>
        </w:rPr>
        <w:t>anima intellectiva</w:t>
      </w:r>
      <w:r w:rsidRPr="00273106">
        <w:t xml:space="preserve">. Jenže tato teologická úvaha způsobila, že Akvinský přijal Alexandrovu </w:t>
      </w:r>
      <w:r>
        <w:t xml:space="preserve">a Themistiovu </w:t>
      </w:r>
      <w:r w:rsidRPr="00273106">
        <w:t>perspektivu</w:t>
      </w:r>
      <w:r>
        <w:t xml:space="preserve"> a stal se objektivním alexandrovcem</w:t>
      </w:r>
      <w:r w:rsidRPr="00273106">
        <w:t xml:space="preserve">. </w:t>
      </w:r>
      <w:r>
        <w:t xml:space="preserve">Tomáš </w:t>
      </w:r>
      <w:r w:rsidRPr="00273106">
        <w:t>mus</w:t>
      </w:r>
      <w:r w:rsidR="00327818">
        <w:t>el</w:t>
      </w:r>
      <w:r w:rsidRPr="00273106">
        <w:t xml:space="preserve"> </w:t>
      </w:r>
      <w:r w:rsidR="00327818">
        <w:t>vytvořit</w:t>
      </w:r>
      <w:r>
        <w:t xml:space="preserve"> formálně oddělený intelekt, který bytuje jako </w:t>
      </w:r>
      <w:r w:rsidRPr="08E45E7F">
        <w:rPr>
          <w:i/>
        </w:rPr>
        <w:t>tertium ens</w:t>
      </w:r>
      <w:r>
        <w:t xml:space="preserve"> vedle duše </w:t>
      </w:r>
      <w:r>
        <w:lastRenderedPageBreak/>
        <w:t>jako entelechické formy těla</w:t>
      </w:r>
      <w:r w:rsidRPr="00273106">
        <w:t xml:space="preserve">. </w:t>
      </w:r>
      <w:r>
        <w:t>Hypostázování intelektu v zájmu teologie podává podstatný rozdíl mezi filosofe</w:t>
      </w:r>
      <w:r w:rsidR="000363CB">
        <w:t>m Sigerem a teologem Akvinským.</w:t>
      </w:r>
    </w:p>
    <w:p w:rsidR="08163013" w:rsidRDefault="000363CB" w:rsidP="00A608BB">
      <w:pPr>
        <w:ind w:firstLine="397"/>
        <w:rPr>
          <w:lang w:eastAsia="en-US"/>
        </w:rPr>
      </w:pPr>
      <w:r>
        <w:t>T</w:t>
      </w:r>
      <w:r w:rsidR="08163013">
        <w:t xml:space="preserve">ento rozdíl přesně </w:t>
      </w:r>
      <w:r w:rsidR="08163013" w:rsidRPr="00273106">
        <w:t>viděl Dante</w:t>
      </w:r>
      <w:r w:rsidR="08163013">
        <w:fldChar w:fldCharType="begin"/>
      </w:r>
      <w:r w:rsidR="08163013">
        <w:instrText xml:space="preserve"> XE "</w:instrText>
      </w:r>
      <w:r w:rsidR="08163013" w:rsidRPr="00E871B9">
        <w:instrText>Dante, A.</w:instrText>
      </w:r>
      <w:r w:rsidR="08163013">
        <w:instrText xml:space="preserve">" </w:instrText>
      </w:r>
      <w:r w:rsidR="08163013">
        <w:fldChar w:fldCharType="end"/>
      </w:r>
      <w:r w:rsidR="08163013" w:rsidRPr="00273106">
        <w:t xml:space="preserve"> v </w:t>
      </w:r>
      <w:r w:rsidR="08163013" w:rsidRPr="08E45E7F">
        <w:rPr>
          <w:i/>
        </w:rPr>
        <w:t>Božské komedii</w:t>
      </w:r>
      <w:r w:rsidR="08163013">
        <w:t>. Dante zařadil Akvinského do proudu druhého averroismu a nechává Bonaventuru chválit Akvinského jako inspirujícího teologa (</w:t>
      </w:r>
      <w:r w:rsidR="08163013" w:rsidRPr="007A249E">
        <w:rPr>
          <w:i/>
        </w:rPr>
        <w:t>di fra Tommaso e 'l discreto latino</w:t>
      </w:r>
      <w:r w:rsidR="08163013" w:rsidRPr="004E61AF">
        <w:t xml:space="preserve"> / </w:t>
      </w:r>
      <w:r w:rsidR="08163013" w:rsidRPr="007A249E">
        <w:rPr>
          <w:i/>
        </w:rPr>
        <w:t>e mosse meco questa compagnia</w:t>
      </w:r>
      <w:r w:rsidR="08163013">
        <w:t xml:space="preserve">; </w:t>
      </w:r>
      <w:r w:rsidR="08163013" w:rsidRPr="00232553">
        <w:rPr>
          <w:i/>
        </w:rPr>
        <w:t>Paradiso</w:t>
      </w:r>
      <w:r w:rsidR="08163013">
        <w:t xml:space="preserve"> 12.144‒45</w:t>
      </w:r>
      <w:r w:rsidR="08163013">
        <w:fldChar w:fldCharType="begin"/>
      </w:r>
      <w:r w:rsidR="08163013">
        <w:instrText xml:space="preserve"> XE "Dante:</w:instrText>
      </w:r>
      <w:r w:rsidR="08163013" w:rsidRPr="00A36F06">
        <w:rPr>
          <w:i/>
        </w:rPr>
        <w:instrText>Paradiso</w:instrText>
      </w:r>
      <w:r w:rsidR="08163013" w:rsidRPr="00A36F06">
        <w:instrText xml:space="preserve"> 12.144‒</w:instrText>
      </w:r>
      <w:r w:rsidR="08163013">
        <w:instrText>4</w:instrText>
      </w:r>
      <w:r w:rsidR="08163013" w:rsidRPr="00A36F06">
        <w:instrText>5</w:instrText>
      </w:r>
      <w:r w:rsidR="08163013">
        <w:instrText xml:space="preserve">" </w:instrText>
      </w:r>
      <w:r w:rsidR="08163013">
        <w:fldChar w:fldCharType="end"/>
      </w:r>
      <w:r w:rsidR="08163013">
        <w:t>).</w:t>
      </w:r>
      <w:r w:rsidR="08163013" w:rsidRPr="00273106">
        <w:t xml:space="preserve"> </w:t>
      </w:r>
      <w:r w:rsidR="000E2009" w:rsidRPr="000E2009">
        <w:t xml:space="preserve">To byla vynikající verze </w:t>
      </w:r>
      <w:r w:rsidR="000E2009">
        <w:t>m</w:t>
      </w:r>
      <w:r w:rsidR="00F07798">
        <w:t>ú</w:t>
      </w:r>
      <w:r w:rsidR="000E2009">
        <w:t xml:space="preserve">zické </w:t>
      </w:r>
      <w:r w:rsidR="000E2009" w:rsidRPr="000E2009">
        <w:rPr>
          <w:i/>
        </w:rPr>
        <w:t>alétheia</w:t>
      </w:r>
      <w:r w:rsidR="000E2009" w:rsidRPr="000E2009">
        <w:t xml:space="preserve">, protože toto laudatio bylo ve skutečnosti </w:t>
      </w:r>
      <w:r w:rsidR="000E2009">
        <w:t xml:space="preserve">zásadní </w:t>
      </w:r>
      <w:r w:rsidR="000E2009" w:rsidRPr="000E2009">
        <w:t>kritikou Akvinského jako filozofa.</w:t>
      </w:r>
      <w:r w:rsidR="009D666B">
        <w:rPr>
          <w:rStyle w:val="Znakapoznpodarou"/>
        </w:rPr>
        <w:footnoteReference w:id="265"/>
      </w:r>
      <w:r w:rsidR="000E2009" w:rsidRPr="000E2009">
        <w:t xml:space="preserve"> </w:t>
      </w:r>
      <w:r w:rsidR="00B037B5" w:rsidRPr="00B037B5">
        <w:t xml:space="preserve">Dante odhalil </w:t>
      </w:r>
      <w:r w:rsidR="00B037B5" w:rsidRPr="00B037B5">
        <w:rPr>
          <w:i/>
        </w:rPr>
        <w:t>Lichtung</w:t>
      </w:r>
      <w:r w:rsidR="00B037B5">
        <w:t xml:space="preserve"> </w:t>
      </w:r>
      <w:r w:rsidR="00B037B5" w:rsidRPr="00B037B5">
        <w:t xml:space="preserve">pravdy a nepravdy tomismu podle </w:t>
      </w:r>
      <w:r w:rsidR="00130F99">
        <w:t xml:space="preserve">božských </w:t>
      </w:r>
      <w:r w:rsidR="00C625F8">
        <w:t xml:space="preserve">Múz. </w:t>
      </w:r>
      <w:r w:rsidR="0059241F">
        <w:t>T</w:t>
      </w:r>
      <w:r w:rsidR="08163013">
        <w:t>o</w:t>
      </w:r>
      <w:r w:rsidR="0059241F">
        <w:t xml:space="preserve">mismus vytvořil </w:t>
      </w:r>
      <w:r w:rsidR="08163013">
        <w:t>vzhledem k jednotě existující osoby skrytou verzi plurality forem (ale nikoliv substan</w:t>
      </w:r>
      <w:r w:rsidR="0059241F">
        <w:t>cí), protože z intelektu udělal</w:t>
      </w:r>
      <w:r w:rsidR="08163013">
        <w:t xml:space="preserve"> hypostázovanou formu</w:t>
      </w:r>
      <w:r w:rsidR="08163013" w:rsidRPr="00273106">
        <w:t>.</w:t>
      </w:r>
      <w:r w:rsidR="08163013" w:rsidRPr="00CB4EA0">
        <w:t xml:space="preserve"> </w:t>
      </w:r>
      <w:r w:rsidR="08163013" w:rsidRPr="081325D5">
        <w:rPr>
          <w:i/>
        </w:rPr>
        <w:t>Doctor Invidiosus</w:t>
      </w:r>
      <w:r w:rsidR="08163013">
        <w:t xml:space="preserve"> </w:t>
      </w:r>
      <w:r w:rsidR="08163013" w:rsidRPr="00273106">
        <w:t>pokračuje v kritice Akvinského následovně.</w:t>
      </w:r>
    </w:p>
    <w:p w:rsidR="08163013" w:rsidRPr="006817E9" w:rsidRDefault="08163013" w:rsidP="08163013">
      <w:pPr>
        <w:pStyle w:val="Citace"/>
        <w:rPr>
          <w:noProof/>
        </w:rPr>
      </w:pPr>
      <w:r w:rsidRPr="00273106">
        <w:rPr>
          <w:noProof/>
        </w:rPr>
        <w:t>„</w:t>
      </w:r>
      <w:r>
        <w:rPr>
          <w:noProof/>
        </w:rPr>
        <w:t>Tím Akvinský řekl, jak je dáno spojení, jak je intelektuální duše spojena s tělem a jak je od něj oddělena. Znovu je zřejmé, že existující osoba (</w:t>
      </w:r>
      <w:r w:rsidRPr="006817E9">
        <w:rPr>
          <w:i/>
          <w:noProof/>
        </w:rPr>
        <w:t>hominem ipsum</w:t>
      </w:r>
      <w:r>
        <w:rPr>
          <w:noProof/>
        </w:rPr>
        <w:t xml:space="preserve">) nemůže rozumět skrze </w:t>
      </w:r>
      <w:r>
        <w:rPr>
          <w:noProof/>
          <w:lang w:val="cs-CZ"/>
        </w:rPr>
        <w:t xml:space="preserve">Akvinského </w:t>
      </w:r>
      <w:r>
        <w:rPr>
          <w:noProof/>
        </w:rPr>
        <w:t>pojetí kauzality (</w:t>
      </w:r>
      <w:r w:rsidRPr="006817E9">
        <w:rPr>
          <w:i/>
          <w:noProof/>
        </w:rPr>
        <w:t>ex causa quam assignat</w:t>
      </w:r>
      <w:r>
        <w:rPr>
          <w:noProof/>
        </w:rPr>
        <w:t>).  Podle jeho pojetí by nerozuměl člověk ve své ipseitě (</w:t>
      </w:r>
      <w:r w:rsidRPr="006817E9">
        <w:rPr>
          <w:rStyle w:val="Zkladntext39dkovn-1pt1"/>
          <w:rFonts w:ascii="Calibri" w:hAnsi="Calibri"/>
          <w:i/>
          <w:noProof/>
          <w:sz w:val="21"/>
          <w:lang w:val="cs-CZ"/>
        </w:rPr>
        <w:t xml:space="preserve">non </w:t>
      </w:r>
      <w:r w:rsidRPr="006817E9">
        <w:rPr>
          <w:i/>
          <w:noProof/>
        </w:rPr>
        <w:t>solum homo ipse intelligeret</w:t>
      </w:r>
      <w:r>
        <w:rPr>
          <w:noProof/>
        </w:rPr>
        <w:t xml:space="preserve">), ale jen materiální část </w:t>
      </w:r>
      <w:r>
        <w:rPr>
          <w:noProof/>
          <w:lang w:val="cs-CZ"/>
        </w:rPr>
        <w:t xml:space="preserve">jím definované </w:t>
      </w:r>
      <w:r>
        <w:rPr>
          <w:noProof/>
        </w:rPr>
        <w:t>složeniny (</w:t>
      </w:r>
      <w:r w:rsidRPr="006817E9">
        <w:rPr>
          <w:i/>
          <w:noProof/>
        </w:rPr>
        <w:t>sed pars materialis huius compositi</w:t>
      </w:r>
      <w:r>
        <w:rPr>
          <w:noProof/>
        </w:rPr>
        <w:t xml:space="preserve">). </w:t>
      </w:r>
      <w:r w:rsidR="004A7239">
        <w:rPr>
          <w:noProof/>
          <w:lang w:val="cs-CZ"/>
        </w:rPr>
        <w:t>Takovým s</w:t>
      </w:r>
      <w:r>
        <w:rPr>
          <w:noProof/>
        </w:rPr>
        <w:t xml:space="preserve">pojením by opět došlo k tomu, že intelekt by byl v těle a v nějakém orgánu, jak již bylo řečeno výše.“ </w:t>
      </w:r>
      <w:r>
        <w:rPr>
          <w:rStyle w:val="Znakapoznpodarou"/>
        </w:rPr>
        <w:footnoteReference w:id="266"/>
      </w:r>
    </w:p>
    <w:p w:rsidR="0093508A" w:rsidRDefault="08163013" w:rsidP="08163013">
      <w:r>
        <w:t xml:space="preserve">Klíčová část kritiky jasně vidí a odmítá tomistickou formu </w:t>
      </w:r>
      <w:r w:rsidRPr="086D2BAF">
        <w:rPr>
          <w:i/>
        </w:rPr>
        <w:t>Oxfordian Fallacy</w:t>
      </w:r>
      <w:r>
        <w:t xml:space="preserve"> danou v chybném pojetí kauzality (</w:t>
      </w:r>
      <w:r w:rsidRPr="006817E9">
        <w:rPr>
          <w:i/>
        </w:rPr>
        <w:t>ex causa quam assignat</w:t>
      </w:r>
      <w:r>
        <w:t xml:space="preserve">). Kauzu nelze asignovat v dogmatickém modu, protože esence kauzálně nepůsobí, ale pouze univerzálně predikuje již danou kauzalitu v reálu. </w:t>
      </w:r>
      <w:r w:rsidRPr="086D2BAF">
        <w:t xml:space="preserve">Tomismus nemá ipsitu </w:t>
      </w:r>
      <w:r>
        <w:t xml:space="preserve">osoby </w:t>
      </w:r>
      <w:r w:rsidRPr="086D2BAF">
        <w:t>danou existenciálně, což Siger výsl</w:t>
      </w:r>
      <w:r>
        <w:t>ov</w:t>
      </w:r>
      <w:r w:rsidRPr="086D2BAF">
        <w:t>n</w:t>
      </w:r>
      <w:r>
        <w:t>ě</w:t>
      </w:r>
      <w:r w:rsidRPr="086D2BAF">
        <w:t xml:space="preserve"> kon</w:t>
      </w:r>
      <w:r>
        <w:t>sta</w:t>
      </w:r>
      <w:r w:rsidRPr="086D2BAF">
        <w:t>t</w:t>
      </w:r>
      <w:r>
        <w:t>uje v další větě.</w:t>
      </w:r>
      <w:r w:rsidRPr="086D2BAF">
        <w:t xml:space="preserve"> </w:t>
      </w:r>
      <w:r>
        <w:t xml:space="preserve">Akt porozumění u Akvinského se </w:t>
      </w:r>
      <w:r w:rsidRPr="00273106">
        <w:t xml:space="preserve">nevztahuje k nemateriální a oddělené potenci </w:t>
      </w:r>
      <w:r>
        <w:t>ipseitně existující osoby (</w:t>
      </w:r>
      <w:r w:rsidRPr="00273106">
        <w:rPr>
          <w:i/>
        </w:rPr>
        <w:t>non solum homo ipse intelligeret</w:t>
      </w:r>
      <w:r>
        <w:t xml:space="preserve">). </w:t>
      </w:r>
      <w:r w:rsidR="001B5917">
        <w:t xml:space="preserve">Akvinský sice uvádí definici osoby jako substance, ale ta je pouze formální, nikoliv existenciální. Proto musí udělat osudový krok a oddělit intelekt jako hypostázovanou nehmotnou formu duše od hmotné formy těla. </w:t>
      </w:r>
      <w:r w:rsidR="001B5917">
        <w:lastRenderedPageBreak/>
        <w:t>Důvodem je nedostatečná individualizace intelektu, protože chybí procedura v modu „</w:t>
      </w:r>
      <w:r w:rsidR="001B5917" w:rsidRPr="001B5917">
        <w:rPr>
          <w:i/>
        </w:rPr>
        <w:t>ipse</w:t>
      </w:r>
      <w:r w:rsidR="001B5917">
        <w:t>“. Pak je osoba individualizována pouze v modu „</w:t>
      </w:r>
      <w:r w:rsidR="001B5917" w:rsidRPr="001B5917">
        <w:rPr>
          <w:i/>
        </w:rPr>
        <w:t>idem</w:t>
      </w:r>
      <w:r w:rsidR="001B5917">
        <w:t>“ a není personalizována v modu „</w:t>
      </w:r>
      <w:r w:rsidR="001B5917" w:rsidRPr="001B5917">
        <w:rPr>
          <w:i/>
        </w:rPr>
        <w:t>ipse</w:t>
      </w:r>
      <w:r w:rsidR="001B5917">
        <w:t xml:space="preserve">“. </w:t>
      </w:r>
      <w:r w:rsidR="006447B3">
        <w:t>I</w:t>
      </w:r>
      <w:r w:rsidR="00AF0803">
        <w:t xml:space="preserve">ndividuem </w:t>
      </w:r>
      <w:r w:rsidR="00AF0803" w:rsidRPr="00AF0803">
        <w:t>je i Sokrates jako mrtvola.</w:t>
      </w:r>
      <w:r w:rsidR="00AF0803">
        <w:t xml:space="preserve"> </w:t>
      </w:r>
      <w:r w:rsidR="001B5917">
        <w:t xml:space="preserve">Taková filosofie nemá jednotu osoby, protože redukuje osobu na animální individuum. Intelekt je oddělen od těla, takže místo procesu personalizace probíhá pouze proces individualizace. Hypostázovaný intelekt Akvinského </w:t>
      </w:r>
      <w:r w:rsidR="001B5917" w:rsidRPr="00273106">
        <w:t xml:space="preserve">tvoří </w:t>
      </w:r>
      <w:r w:rsidR="001B5917">
        <w:t xml:space="preserve">pouze esenciální </w:t>
      </w:r>
      <w:r w:rsidR="001B5917" w:rsidRPr="00273106">
        <w:t xml:space="preserve">jednotu s </w:t>
      </w:r>
      <w:r w:rsidR="001B5917">
        <w:t xml:space="preserve">člověkem jako formálně určenou </w:t>
      </w:r>
      <w:r w:rsidR="001B5917" w:rsidRPr="00273106">
        <w:t>hylemorfickou substancí (</w:t>
      </w:r>
      <w:r w:rsidR="001B5917" w:rsidRPr="00273106">
        <w:rPr>
          <w:i/>
        </w:rPr>
        <w:t>pars materialis huius compositi</w:t>
      </w:r>
      <w:r w:rsidR="001B5917" w:rsidRPr="00273106">
        <w:t>)</w:t>
      </w:r>
      <w:r w:rsidR="001B5917" w:rsidRPr="006C7A0F">
        <w:rPr>
          <w:i/>
        </w:rPr>
        <w:fldChar w:fldCharType="begin"/>
      </w:r>
      <w:r w:rsidR="001B5917" w:rsidRPr="006C7A0F">
        <w:instrText xml:space="preserve"> XE "intelekt:modus </w:instrText>
      </w:r>
      <w:r w:rsidR="001B5917" w:rsidRPr="006C7A0F">
        <w:rPr>
          <w:i/>
        </w:rPr>
        <w:instrText>qua</w:instrText>
      </w:r>
      <w:r w:rsidR="001B5917" w:rsidRPr="006C7A0F">
        <w:rPr>
          <w:i/>
          <w:vertAlign w:val="superscript"/>
        </w:rPr>
        <w:instrText>2</w:instrText>
      </w:r>
      <w:r w:rsidR="001B5917" w:rsidRPr="006C7A0F">
        <w:instrText xml:space="preserve">" </w:instrText>
      </w:r>
      <w:r w:rsidR="001B5917" w:rsidRPr="006C7A0F">
        <w:rPr>
          <w:i/>
        </w:rPr>
        <w:fldChar w:fldCharType="end"/>
      </w:r>
      <w:r w:rsidR="001B5917" w:rsidRPr="00273106">
        <w:t xml:space="preserve">. </w:t>
      </w:r>
      <w:r w:rsidR="001B5917">
        <w:t>Opět jde o formální proces složení částí, funkcí nebo potencí v porretánském modu hypostází. Ve skutečnosti Akvinský nemá pouze determinaci osoby v modu „anima intellectiva“, protože individuaci zajišťují smyslové schopnosti duše. I</w:t>
      </w:r>
      <w:r>
        <w:t xml:space="preserve">ntelekt </w:t>
      </w:r>
      <w:r w:rsidR="001B5917">
        <w:t xml:space="preserve">se stal </w:t>
      </w:r>
      <w:r>
        <w:t>oddělenou hypostází a duše se stala orgánem jeho výkonu</w:t>
      </w:r>
      <w:r w:rsidR="001B5917">
        <w:t>, i když nemateriálním a věčným. Pak to ale z hlediska Sigerovy teze „</w:t>
      </w:r>
      <w:r w:rsidR="001B5917" w:rsidRPr="00273106">
        <w:rPr>
          <w:i/>
        </w:rPr>
        <w:t>homo ipse intellig</w:t>
      </w:r>
      <w:r w:rsidR="001B5917">
        <w:rPr>
          <w:i/>
        </w:rPr>
        <w:t>i</w:t>
      </w:r>
      <w:r w:rsidR="001B5917" w:rsidRPr="00273106">
        <w:rPr>
          <w:i/>
        </w:rPr>
        <w:t>t</w:t>
      </w:r>
      <w:r w:rsidR="001B5917" w:rsidRPr="001B5917">
        <w:t xml:space="preserve">“ </w:t>
      </w:r>
      <w:r w:rsidR="001B5917">
        <w:t xml:space="preserve">znamená, že výkon porozumění dostal materiální charakter </w:t>
      </w:r>
      <w:r>
        <w:t>(</w:t>
      </w:r>
      <w:r w:rsidRPr="08F03A1C">
        <w:rPr>
          <w:i/>
        </w:rPr>
        <w:t>intelligere esset in corpore et in organo</w:t>
      </w:r>
      <w:r>
        <w:t xml:space="preserve">). Obě chyby </w:t>
      </w:r>
      <w:r w:rsidR="00B9208F">
        <w:t xml:space="preserve">(formální určení intelektu a jeho materiální determinace) </w:t>
      </w:r>
      <w:r>
        <w:t>mají zásadní charakter, protože zrušily jednotu osoby a udělaly z intelektu další porretánskou hypostázi. Pojetí intelektu jako hypostázované nemateriální potence přicházející zvnějšku k duši dané v těle představuje typický konstrukt alexandrovců</w:t>
      </w:r>
      <w:r>
        <w:fldChar w:fldCharType="begin"/>
      </w:r>
      <w:r>
        <w:instrText xml:space="preserve"> XE "alexandrovci" </w:instrText>
      </w:r>
      <w:r>
        <w:fldChar w:fldCharType="end"/>
      </w:r>
      <w:r>
        <w:t>. Tuto verzi semiaverroismu obhajoval Aegidius Romanus</w:t>
      </w:r>
      <w:r>
        <w:fldChar w:fldCharType="begin"/>
      </w:r>
      <w:r>
        <w:instrText xml:space="preserve"> XE "</w:instrText>
      </w:r>
      <w:r w:rsidRPr="00B54432">
        <w:instrText>Aegidius Romanus</w:instrText>
      </w:r>
      <w:r>
        <w:instrText xml:space="preserve">" </w:instrText>
      </w:r>
      <w:r>
        <w:fldChar w:fldCharType="end"/>
      </w:r>
      <w:r>
        <w:t xml:space="preserve"> v Bazánově anonymu tím, že Akvinského chybnou pozici sofisticky prohlásil za </w:t>
      </w:r>
      <w:r w:rsidR="08301C91">
        <w:t>omyl samotného Averroese (kap. 4</w:t>
      </w:r>
      <w:r>
        <w:t>.3.3). Dilema Akvinského se skrze Aegidiem založený tomismus stalo dilematem všech moderních a dnešních nihilistických alexandrovců</w:t>
      </w:r>
      <w:r>
        <w:fldChar w:fldCharType="begin"/>
      </w:r>
      <w:r>
        <w:instrText xml:space="preserve"> XE "alexandrovci" </w:instrText>
      </w:r>
      <w:r>
        <w:fldChar w:fldCharType="end"/>
      </w:r>
      <w:r>
        <w:t xml:space="preserve">. Intelekt je dán mimo tělo a pokud má být na materiální způsob individualizován v těle, tak se mu musí najít nějaký odpovídající smyslový orgán. Podle objektivních avicennistů funguje mozek jako smyslový orgán intelektu. Tím se intelekt stal opět materiálně smyslovým v modu Alexandrova </w:t>
      </w:r>
      <w:r w:rsidRPr="008A3478">
        <w:rPr>
          <w:i/>
        </w:rPr>
        <w:t>intellectus materialis</w:t>
      </w:r>
      <w:r>
        <w:rPr>
          <w:i/>
        </w:rPr>
        <w:fldChar w:fldCharType="begin"/>
      </w:r>
      <w:r>
        <w:instrText xml:space="preserve"> XE "</w:instrText>
      </w:r>
      <w:r w:rsidRPr="001C1C51">
        <w:rPr>
          <w:i/>
        </w:rPr>
        <w:instrText>intellectus materialis</w:instrText>
      </w:r>
      <w:r w:rsidRPr="008A3478">
        <w:instrText>:Alexander</w:instrText>
      </w:r>
      <w:r>
        <w:instrText xml:space="preserve">" </w:instrText>
      </w:r>
      <w:r>
        <w:rPr>
          <w:i/>
        </w:rPr>
        <w:fldChar w:fldCharType="end"/>
      </w:r>
      <w:r>
        <w:t xml:space="preserve"> a jeho nemateriální část funguje mimo osobu jako avicennovská či karteziánská oddělená substance. Proto CMDA jasně odlišil hylický intelekt Alexandra</w:t>
      </w:r>
      <w:r>
        <w:fldChar w:fldCharType="begin"/>
      </w:r>
      <w:r>
        <w:instrText xml:space="preserve"> XE "</w:instrText>
      </w:r>
      <w:r w:rsidRPr="005C0795">
        <w:instrText>Alexander, A</w:instrText>
      </w:r>
      <w:r>
        <w:instrText xml:space="preserve">frodisias" </w:instrText>
      </w:r>
      <w:r>
        <w:fldChar w:fldCharType="end"/>
      </w:r>
      <w:r>
        <w:t xml:space="preserve"> (</w:t>
      </w:r>
      <w:r w:rsidRPr="006C49A0">
        <w:rPr>
          <w:i/>
        </w:rPr>
        <w:t>intellectus materialis</w:t>
      </w:r>
      <w:r>
        <w:rPr>
          <w:i/>
        </w:rPr>
        <w:fldChar w:fldCharType="begin"/>
      </w:r>
      <w:r>
        <w:instrText xml:space="preserve"> XE "</w:instrText>
      </w:r>
      <w:r w:rsidRPr="00BE489A">
        <w:rPr>
          <w:i/>
        </w:rPr>
        <w:instrText>intellectus materialis:</w:instrText>
      </w:r>
      <w:r w:rsidRPr="00BE489A">
        <w:instrText>Avicenna</w:instrText>
      </w:r>
      <w:r>
        <w:instrText xml:space="preserve">" </w:instrText>
      </w:r>
      <w:r>
        <w:rPr>
          <w:i/>
        </w:rPr>
        <w:fldChar w:fldCharType="end"/>
      </w:r>
      <w:r>
        <w:t xml:space="preserve">) od nového konceptu </w:t>
      </w:r>
      <w:r w:rsidRPr="009831C9">
        <w:rPr>
          <w:i/>
        </w:rPr>
        <w:t>intellectus possibilis</w:t>
      </w:r>
      <w:r>
        <w:rPr>
          <w:i/>
        </w:rPr>
        <w:fldChar w:fldCharType="begin"/>
      </w:r>
      <w:r>
        <w:instrText xml:space="preserve"> XE "</w:instrText>
      </w:r>
      <w:r w:rsidRPr="00770D02">
        <w:rPr>
          <w:i/>
        </w:rPr>
        <w:instrText>intellectus possibilis</w:instrText>
      </w:r>
      <w:r>
        <w:instrText xml:space="preserve">" </w:instrText>
      </w:r>
      <w:r>
        <w:rPr>
          <w:i/>
        </w:rPr>
        <w:fldChar w:fldCharType="end"/>
      </w:r>
      <w:r>
        <w:rPr>
          <w:i/>
        </w:rPr>
        <w:t xml:space="preserve"> </w:t>
      </w:r>
      <w:r w:rsidRPr="006250B9">
        <w:t>(</w:t>
      </w:r>
      <w:r w:rsidR="08301C91">
        <w:t xml:space="preserve">OBJ I, </w:t>
      </w:r>
      <w:r w:rsidRPr="006250B9">
        <w:t>kap. 2.4.3).</w:t>
      </w:r>
      <w:r w:rsidR="0093508A">
        <w:t xml:space="preserve"> Definici čistě materiálního intelektu musí Siger zásadně odmítnout, protože vede k falešnému dualismu dvou substancí v člověku. </w:t>
      </w:r>
    </w:p>
    <w:p w:rsidR="08163013" w:rsidRPr="00273106" w:rsidRDefault="08163013" w:rsidP="0093508A">
      <w:pPr>
        <w:ind w:firstLine="397"/>
      </w:pPr>
      <w:r>
        <w:t xml:space="preserve">Vraťme se k Sigerovu prvnímu komentáři k </w:t>
      </w:r>
      <w:proofErr w:type="gramStart"/>
      <w:r w:rsidRPr="00DB7465">
        <w:rPr>
          <w:i/>
        </w:rPr>
        <w:t>De</w:t>
      </w:r>
      <w:proofErr w:type="gramEnd"/>
      <w:r w:rsidRPr="00DB7465">
        <w:rPr>
          <w:i/>
        </w:rPr>
        <w:t xml:space="preserve"> anima</w:t>
      </w:r>
      <w:r>
        <w:t xml:space="preserve">, protože nyní je mnohem jasnější, co chtěl tento brilantní aristotelik říci kritikou Alberta a Tomáše. Kritika zahrnuje </w:t>
      </w:r>
      <w:r w:rsidRPr="00273106">
        <w:t xml:space="preserve">jak </w:t>
      </w:r>
      <w:r w:rsidRPr="00273106">
        <w:lastRenderedPageBreak/>
        <w:t xml:space="preserve">averroistickou substancializaci intelektu na způsob </w:t>
      </w:r>
      <w:r>
        <w:t>objektivní</w:t>
      </w:r>
      <w:r w:rsidRPr="00273106">
        <w:t xml:space="preserve"> </w:t>
      </w:r>
      <w:r w:rsidR="00962190">
        <w:rPr>
          <w:i/>
        </w:rPr>
        <w:t>species</w:t>
      </w:r>
      <w:r w:rsidRPr="00273106">
        <w:t xml:space="preserve"> (Avicenna, Rufus, Bonaventura), tak </w:t>
      </w:r>
      <w:r>
        <w:t xml:space="preserve">Albertovu esenciální definici </w:t>
      </w:r>
      <w:r w:rsidRPr="005E3D38">
        <w:rPr>
          <w:i/>
        </w:rPr>
        <w:t>anima intellectiva</w:t>
      </w:r>
      <w:r>
        <w:t xml:space="preserve">, tak </w:t>
      </w:r>
      <w:r w:rsidRPr="00273106">
        <w:t xml:space="preserve">i Akvinského </w:t>
      </w:r>
      <w:r>
        <w:t xml:space="preserve">pojetí intelektu jako hypostázované formy </w:t>
      </w:r>
      <w:r w:rsidRPr="00273106">
        <w:t xml:space="preserve">duše. </w:t>
      </w:r>
      <w:r w:rsidR="00D67A53" w:rsidRPr="00D67A53">
        <w:t>Po roce 1270 se Aegidius zařadil do kategorie druhého averroismu, protože vytvořil radikalizovanou verzi tomismu.</w:t>
      </w:r>
      <w:r w:rsidR="00D67A53">
        <w:t xml:space="preserve"> To je důvod, proč </w:t>
      </w:r>
      <w:r>
        <w:t xml:space="preserve">se jím Siger vůbec nezabývá. Akvinského </w:t>
      </w:r>
      <w:r w:rsidRPr="00273106">
        <w:t xml:space="preserve">řešení </w:t>
      </w:r>
      <w:r>
        <w:t>je averroistické</w:t>
      </w:r>
      <w:r w:rsidRPr="00273106">
        <w:t xml:space="preserve">, </w:t>
      </w:r>
      <w:r>
        <w:t>protože dělá</w:t>
      </w:r>
      <w:r w:rsidRPr="00273106">
        <w:t xml:space="preserve"> z intelektu vnější intelektuální formu danou externě vůči duši</w:t>
      </w:r>
      <w:r w:rsidR="000E2CA9">
        <w:t xml:space="preserve"> (</w:t>
      </w:r>
      <w:r w:rsidR="000E2CA9" w:rsidRPr="00202C00">
        <w:rPr>
          <w:i/>
        </w:rPr>
        <w:t>ab extrinsece</w:t>
      </w:r>
      <w:r w:rsidR="000E2CA9">
        <w:t>)</w:t>
      </w:r>
      <w:r w:rsidRPr="00273106">
        <w:t xml:space="preserve">. Znalec CMDA shrnuje dilemata nedostatečných řešení individuace intelektu </w:t>
      </w:r>
      <w:r>
        <w:t>v následující citaci</w:t>
      </w:r>
      <w:r w:rsidR="000E2CA9">
        <w:t xml:space="preserve">. Je velmi důležité, že je dána </w:t>
      </w:r>
      <w:r>
        <w:t>již v prvním komentáři QIIIDA.</w:t>
      </w:r>
    </w:p>
    <w:p w:rsidR="08163013" w:rsidRPr="004E6F4E" w:rsidRDefault="08163013" w:rsidP="08163013">
      <w:pPr>
        <w:pStyle w:val="Citace"/>
        <w:rPr>
          <w:lang w:val="cs-CZ"/>
        </w:rPr>
      </w:pPr>
      <w:r w:rsidRPr="00273106">
        <w:rPr>
          <w:noProof/>
        </w:rPr>
        <w:t>„</w:t>
      </w:r>
      <w:r>
        <w:rPr>
          <w:noProof/>
        </w:rPr>
        <w:t xml:space="preserve">Tvrdím, že intelekt se s námi spojuje </w:t>
      </w:r>
      <w:r>
        <w:rPr>
          <w:noProof/>
          <w:lang w:val="cs-CZ"/>
        </w:rPr>
        <w:t>tím, že rozumíme ze smyslových intencí (</w:t>
      </w:r>
      <w:r w:rsidRPr="00E06CC4">
        <w:rPr>
          <w:i/>
          <w:noProof/>
        </w:rPr>
        <w:t>ex intentionibus imaginatis</w:t>
      </w:r>
      <w:r>
        <w:rPr>
          <w:noProof/>
          <w:lang w:val="cs-CZ"/>
        </w:rPr>
        <w:t xml:space="preserve">). Protože tyto intence jsou s námi spojené aktuálně, pak intelekt, protože je uchopuje, je také s námi spojen aktuálně. Ale ne tak, že by byl s námi spojen skrze nějakou materiální část těla, jako je smyslové poznání spojené skrze materiální tělesný orgán. A také netvrdím, že intelekt se s námi spojuje z hlediska své </w:t>
      </w:r>
      <w:r w:rsidR="00BA10AC">
        <w:rPr>
          <w:noProof/>
          <w:lang w:val="cs-CZ"/>
        </w:rPr>
        <w:t xml:space="preserve">esence </w:t>
      </w:r>
      <w:r>
        <w:rPr>
          <w:noProof/>
          <w:lang w:val="cs-CZ"/>
        </w:rPr>
        <w:t>(</w:t>
      </w:r>
      <w:r w:rsidRPr="004E6F4E">
        <w:rPr>
          <w:rStyle w:val="CitaceChar"/>
          <w:i/>
          <w:lang w:val="cs-CZ"/>
        </w:rPr>
        <w:t>n</w:t>
      </w:r>
      <w:r w:rsidRPr="004E6F4E">
        <w:rPr>
          <w:rStyle w:val="CitaceChar"/>
          <w:i/>
        </w:rPr>
        <w:t>ec intelligo dicere quod intellectus in sui natura aliquam habeat copulationem</w:t>
      </w:r>
      <w:r>
        <w:rPr>
          <w:noProof/>
          <w:lang w:val="cs-CZ"/>
        </w:rPr>
        <w:t xml:space="preserve">). </w:t>
      </w:r>
      <w:r w:rsidR="00BA10AC">
        <w:rPr>
          <w:noProof/>
          <w:lang w:val="cs-CZ"/>
        </w:rPr>
        <w:t xml:space="preserve">Essence </w:t>
      </w:r>
      <w:r>
        <w:rPr>
          <w:noProof/>
          <w:lang w:val="cs-CZ"/>
        </w:rPr>
        <w:t>intelektu je pouze v potenci a jen tak se s námi může spojit (</w:t>
      </w:r>
      <w:r w:rsidRPr="004E6F4E">
        <w:rPr>
          <w:rStyle w:val="CitaceChar"/>
          <w:i/>
        </w:rPr>
        <w:t>solum est in potentia ut nobis copuletur</w:t>
      </w:r>
      <w:r>
        <w:rPr>
          <w:noProof/>
          <w:lang w:val="cs-CZ"/>
        </w:rPr>
        <w:t>). Kdyby s námi nebyl spojen jako schopnost duše, pak by se s námi nutně spojoval vnějšně (</w:t>
      </w:r>
      <w:r w:rsidRPr="004E6F4E">
        <w:rPr>
          <w:rStyle w:val="CitaceChar"/>
          <w:i/>
        </w:rPr>
        <w:t>copulari autem deberet nobiscum</w:t>
      </w:r>
      <w:r>
        <w:rPr>
          <w:noProof/>
          <w:lang w:val="cs-CZ"/>
        </w:rPr>
        <w:t>). Pak by intelekt byl forma a tělesný akt daný substančně (</w:t>
      </w:r>
      <w:r w:rsidRPr="004E6F4E">
        <w:rPr>
          <w:rStyle w:val="CitaceChar"/>
          <w:i/>
        </w:rPr>
        <w:t>necesse esset forma et actus corporis nostri per suam substantiam</w:t>
      </w:r>
      <w:r>
        <w:rPr>
          <w:noProof/>
          <w:lang w:val="cs-CZ"/>
        </w:rPr>
        <w:t>). Z toho nutně vyplývá, že ten, kdo chce postulovat jednotu intelektu ve všech lidech, musí to udělat skrze smyslové intence dané v představivosti.“</w:t>
      </w:r>
      <w:r w:rsidRPr="00273106">
        <w:rPr>
          <w:rStyle w:val="CitaceChar"/>
          <w:lang w:val="cs-CZ"/>
        </w:rPr>
        <w:t xml:space="preserve"> </w:t>
      </w:r>
      <w:r>
        <w:rPr>
          <w:rStyle w:val="Znakapoznpodarou"/>
          <w:lang w:val="cs-CZ"/>
        </w:rPr>
        <w:footnoteReference w:id="267"/>
      </w:r>
    </w:p>
    <w:p w:rsidR="08163013" w:rsidRDefault="08163013" w:rsidP="08163013">
      <w:pPr>
        <w:rPr>
          <w:lang w:eastAsia="en-US"/>
        </w:rPr>
      </w:pPr>
      <w:r w:rsidRPr="00273106">
        <w:t>Intelekt v nás aktuálně existuje pouze v aktu myšlení, který je dán nasvícením od fantasmat (</w:t>
      </w:r>
      <w:r w:rsidRPr="00273106">
        <w:rPr>
          <w:i/>
          <w:lang w:eastAsia="en-US"/>
        </w:rPr>
        <w:t>intellectus, cum eas intelligit, actu nobis copulatur</w:t>
      </w:r>
      <w:r w:rsidRPr="00273106">
        <w:t>). Ale sám o sobě představuje pouze nemateriální potenci duše oddělenou od smyslů, protože nemá materiální orgán jako smysly (</w:t>
      </w:r>
      <w:r w:rsidRPr="00273106">
        <w:rPr>
          <w:i/>
          <w:lang w:eastAsia="en-US"/>
        </w:rPr>
        <w:t>non copulatur nobis per partem eius quae est materia, sicut sensus</w:t>
      </w:r>
      <w:r w:rsidRPr="00273106">
        <w:t xml:space="preserve">). Pak přijde rozhodující část, která obvinila z averroismu jak tehdejší </w:t>
      </w:r>
      <w:r>
        <w:t xml:space="preserve">moderní </w:t>
      </w:r>
      <w:r w:rsidRPr="00273106">
        <w:t xml:space="preserve">avicennisty tak Akvinského. Intelekt nemůže být formou, protože to by k jeho nematerialitě přibyla i samostatná aktualita </w:t>
      </w:r>
      <w:r>
        <w:t xml:space="preserve">další </w:t>
      </w:r>
      <w:r w:rsidRPr="00273106">
        <w:t xml:space="preserve">subsistentní formy dané v duši. </w:t>
      </w:r>
      <w:r w:rsidR="0019391D">
        <w:t xml:space="preserve">Nejdůležitější </w:t>
      </w:r>
      <w:r>
        <w:t xml:space="preserve">část citace </w:t>
      </w:r>
      <w:r w:rsidRPr="00273106">
        <w:t>představuje vrcholné pojetí jed</w:t>
      </w:r>
      <w:r>
        <w:t>noty osoby v prvním averroismu dané přesnou definicí intelektu: „</w:t>
      </w:r>
      <w:r w:rsidRPr="00273106">
        <w:rPr>
          <w:i/>
          <w:lang w:eastAsia="de-DE"/>
        </w:rPr>
        <w:t xml:space="preserve">De </w:t>
      </w:r>
      <w:r w:rsidRPr="00273106">
        <w:rPr>
          <w:i/>
          <w:lang w:eastAsia="en-US"/>
        </w:rPr>
        <w:t>natura sua solum est in potentia ut nobis copuletur.</w:t>
      </w:r>
      <w:r w:rsidRPr="08233148">
        <w:rPr>
          <w:lang w:eastAsia="en-US"/>
        </w:rPr>
        <w:t>“</w:t>
      </w:r>
      <w:r w:rsidRPr="00273106">
        <w:rPr>
          <w:lang w:eastAsia="en-US"/>
        </w:rPr>
        <w:t xml:space="preserve"> </w:t>
      </w:r>
      <w:r>
        <w:rPr>
          <w:lang w:eastAsia="en-US"/>
        </w:rPr>
        <w:t xml:space="preserve">Intelekt podle Sigera není „něco“, co by se námi mohlo „nějak“ </w:t>
      </w:r>
      <w:r>
        <w:rPr>
          <w:lang w:eastAsia="en-US"/>
        </w:rPr>
        <w:lastRenderedPageBreak/>
        <w:t>spojit. Potence se nemůže s ničím spojovat, protože reálně neexistuje. Intelekt je existenciální způsob, jak žijeme a myslíme jako osoby</w:t>
      </w:r>
      <w:r>
        <w:rPr>
          <w:lang w:eastAsia="en-US"/>
        </w:rPr>
        <w:fldChar w:fldCharType="begin"/>
      </w:r>
      <w:r>
        <w:instrText xml:space="preserve"> XE "</w:instrText>
      </w:r>
      <w:r w:rsidRPr="00E73BBD">
        <w:instrText>osoba:ipseita</w:instrText>
      </w:r>
      <w:r>
        <w:instrText xml:space="preserve">" </w:instrText>
      </w:r>
      <w:r>
        <w:rPr>
          <w:lang w:eastAsia="en-US"/>
        </w:rPr>
        <w:fldChar w:fldCharType="end"/>
      </w:r>
      <w:r>
        <w:rPr>
          <w:lang w:eastAsia="en-US"/>
        </w:rPr>
        <w:t xml:space="preserve">. </w:t>
      </w:r>
      <w:r w:rsidR="00325C35" w:rsidRPr="00325C35">
        <w:rPr>
          <w:lang w:eastAsia="en-US"/>
        </w:rPr>
        <w:t>Sigerova první, a proto nejdůležitější interpretace CMDA zavedla h</w:t>
      </w:r>
      <w:r w:rsidR="00325C35">
        <w:rPr>
          <w:lang w:eastAsia="en-US"/>
        </w:rPr>
        <w:t>ermeneutické „</w:t>
      </w:r>
      <w:r w:rsidR="00325C35" w:rsidRPr="00325C35">
        <w:rPr>
          <w:i/>
          <w:lang w:eastAsia="en-US"/>
        </w:rPr>
        <w:t>ipse</w:t>
      </w:r>
      <w:r w:rsidR="00325C35">
        <w:rPr>
          <w:lang w:eastAsia="en-US"/>
        </w:rPr>
        <w:t xml:space="preserve">“ do definice </w:t>
      </w:r>
      <w:r w:rsidR="00325C35" w:rsidRPr="00325C35">
        <w:rPr>
          <w:i/>
          <w:lang w:eastAsia="en-US"/>
        </w:rPr>
        <w:t>anima intellectiva</w:t>
      </w:r>
      <w:r w:rsidR="00325C35">
        <w:rPr>
          <w:lang w:eastAsia="en-US"/>
        </w:rPr>
        <w:t xml:space="preserve"> a tím </w:t>
      </w:r>
      <w:r w:rsidRPr="00273106">
        <w:rPr>
          <w:lang w:eastAsia="en-US"/>
        </w:rPr>
        <w:t xml:space="preserve">radikálně odmítla všechny druhy </w:t>
      </w:r>
      <w:r w:rsidR="00216FDC">
        <w:rPr>
          <w:lang w:eastAsia="en-US"/>
        </w:rPr>
        <w:t>dualismu</w:t>
      </w:r>
      <w:r>
        <w:rPr>
          <w:lang w:eastAsia="en-US"/>
        </w:rPr>
        <w:t xml:space="preserve">. </w:t>
      </w:r>
      <w:r w:rsidR="00216FDC" w:rsidRPr="00216FDC">
        <w:rPr>
          <w:lang w:eastAsia="en-US"/>
        </w:rPr>
        <w:t xml:space="preserve">Tomismus pracuje s metafyzickou identitou osoby namísto existenciální ipseity. </w:t>
      </w:r>
      <w:r w:rsidR="00216FDC">
        <w:rPr>
          <w:lang w:eastAsia="en-US"/>
        </w:rPr>
        <w:t>K</w:t>
      </w:r>
      <w:r>
        <w:rPr>
          <w:lang w:eastAsia="en-US"/>
        </w:rPr>
        <w:t xml:space="preserve">řesťanští aristotelikové </w:t>
      </w:r>
      <w:r w:rsidR="00216FDC">
        <w:rPr>
          <w:lang w:eastAsia="en-US"/>
        </w:rPr>
        <w:t>v Rue du Fouarre zahrnuli do definice</w:t>
      </w:r>
      <w:r>
        <w:rPr>
          <w:lang w:eastAsia="en-US"/>
        </w:rPr>
        <w:t xml:space="preserve"> osoby její reálnou </w:t>
      </w:r>
      <w:r w:rsidR="00216FDC">
        <w:rPr>
          <w:lang w:eastAsia="en-US"/>
        </w:rPr>
        <w:t xml:space="preserve">existenci a </w:t>
      </w:r>
      <w:r>
        <w:rPr>
          <w:lang w:eastAsia="en-US"/>
        </w:rPr>
        <w:t xml:space="preserve">tomu také odpovídal jejich humanismus. </w:t>
      </w:r>
      <w:r w:rsidR="081057A0">
        <w:rPr>
          <w:lang w:eastAsia="en-US"/>
        </w:rPr>
        <w:t xml:space="preserve">Až Heidegger znovu poznal, že abstraktní osoba v modu </w:t>
      </w:r>
      <w:r w:rsidR="081057A0" w:rsidRPr="085146D8">
        <w:rPr>
          <w:i/>
          <w:lang w:eastAsia="en-US"/>
        </w:rPr>
        <w:t>idem</w:t>
      </w:r>
      <w:r w:rsidR="081057A0">
        <w:rPr>
          <w:lang w:eastAsia="en-US"/>
        </w:rPr>
        <w:t xml:space="preserve"> není totéž, jako existující </w:t>
      </w:r>
      <w:r w:rsidR="081057A0" w:rsidRPr="085146D8">
        <w:rPr>
          <w:i/>
          <w:lang w:eastAsia="en-US"/>
        </w:rPr>
        <w:t>Dasein</w:t>
      </w:r>
      <w:r w:rsidR="081057A0">
        <w:rPr>
          <w:lang w:eastAsia="en-US"/>
        </w:rPr>
        <w:t xml:space="preserve"> v modu </w:t>
      </w:r>
      <w:r w:rsidR="081057A0" w:rsidRPr="085146D8">
        <w:rPr>
          <w:i/>
          <w:lang w:eastAsia="en-US"/>
        </w:rPr>
        <w:t>ipse</w:t>
      </w:r>
      <w:r w:rsidR="081057A0">
        <w:rPr>
          <w:lang w:eastAsia="en-US"/>
        </w:rPr>
        <w:t>.</w:t>
      </w:r>
      <w:r w:rsidR="008B515D" w:rsidRPr="00273106">
        <w:rPr>
          <w:rStyle w:val="Znakapoznpodarou"/>
        </w:rPr>
        <w:footnoteReference w:id="268"/>
      </w:r>
      <w:r w:rsidR="081057A0">
        <w:rPr>
          <w:lang w:eastAsia="en-US"/>
        </w:rPr>
        <w:t xml:space="preserve"> </w:t>
      </w:r>
      <w:r>
        <w:rPr>
          <w:lang w:eastAsia="en-US"/>
        </w:rPr>
        <w:t xml:space="preserve">Jakékoliv pojetí intelektu </w:t>
      </w:r>
      <w:r w:rsidRPr="00273106">
        <w:rPr>
          <w:lang w:eastAsia="en-US"/>
        </w:rPr>
        <w:t xml:space="preserve">jako </w:t>
      </w:r>
      <w:r>
        <w:rPr>
          <w:lang w:eastAsia="en-US"/>
        </w:rPr>
        <w:t xml:space="preserve">hypostázované </w:t>
      </w:r>
      <w:r w:rsidRPr="00273106">
        <w:rPr>
          <w:lang w:eastAsia="en-US"/>
        </w:rPr>
        <w:t xml:space="preserve">formy </w:t>
      </w:r>
      <w:r>
        <w:rPr>
          <w:lang w:eastAsia="en-US"/>
        </w:rPr>
        <w:t xml:space="preserve">(Akvinský) či duše jako hypostázované esence (Albert) </w:t>
      </w:r>
      <w:r w:rsidRPr="00273106">
        <w:rPr>
          <w:lang w:eastAsia="en-US"/>
        </w:rPr>
        <w:t xml:space="preserve">nutně předpokládá substancializaci </w:t>
      </w:r>
      <w:r>
        <w:rPr>
          <w:lang w:eastAsia="en-US"/>
        </w:rPr>
        <w:t xml:space="preserve">intelektu </w:t>
      </w:r>
      <w:r w:rsidRPr="00273106">
        <w:rPr>
          <w:lang w:eastAsia="en-US"/>
        </w:rPr>
        <w:t>(</w:t>
      </w:r>
      <w:r w:rsidRPr="00273106">
        <w:rPr>
          <w:i/>
        </w:rPr>
        <w:t>necesse esset forma et actus corporis nostri per suam substantiam</w:t>
      </w:r>
      <w:r w:rsidRPr="00273106">
        <w:rPr>
          <w:lang w:eastAsia="en-US"/>
        </w:rPr>
        <w:t xml:space="preserve">). </w:t>
      </w:r>
      <w:r w:rsidR="00685786">
        <w:rPr>
          <w:lang w:eastAsia="en-US"/>
        </w:rPr>
        <w:t>A</w:t>
      </w:r>
      <w:r w:rsidRPr="00273106">
        <w:rPr>
          <w:lang w:eastAsia="en-US"/>
        </w:rPr>
        <w:t>verr</w:t>
      </w:r>
      <w:r>
        <w:rPr>
          <w:lang w:eastAsia="en-US"/>
        </w:rPr>
        <w:t>oistické řešení moderních a</w:t>
      </w:r>
      <w:r w:rsidRPr="00273106">
        <w:rPr>
          <w:lang w:eastAsia="en-US"/>
        </w:rPr>
        <w:t>lexandrovců</w:t>
      </w:r>
      <w:r>
        <w:rPr>
          <w:lang w:eastAsia="en-US"/>
        </w:rPr>
        <w:fldChar w:fldCharType="begin"/>
      </w:r>
      <w:r>
        <w:instrText xml:space="preserve"> XE "alexandrovci" </w:instrText>
      </w:r>
      <w:r>
        <w:rPr>
          <w:lang w:eastAsia="en-US"/>
        </w:rPr>
        <w:fldChar w:fldCharType="end"/>
      </w:r>
      <w:r w:rsidR="00685786">
        <w:rPr>
          <w:lang w:eastAsia="en-US"/>
        </w:rPr>
        <w:t xml:space="preserve"> dělá </w:t>
      </w:r>
      <w:r w:rsidRPr="00273106">
        <w:rPr>
          <w:lang w:eastAsia="en-US"/>
        </w:rPr>
        <w:t xml:space="preserve">z intelektuální části duše oddělenou </w:t>
      </w:r>
      <w:r>
        <w:rPr>
          <w:lang w:eastAsia="en-US"/>
        </w:rPr>
        <w:t xml:space="preserve">formu, věc, </w:t>
      </w:r>
      <w:r w:rsidRPr="00273106">
        <w:rPr>
          <w:lang w:eastAsia="en-US"/>
        </w:rPr>
        <w:t>nebo substanci</w:t>
      </w:r>
      <w:r w:rsidRPr="006C7A0F">
        <w:rPr>
          <w:i/>
        </w:rPr>
        <w:fldChar w:fldCharType="begin"/>
      </w:r>
      <w:r w:rsidRPr="006C7A0F">
        <w:instrText xml:space="preserve"> XE "intelekt:modus </w:instrText>
      </w:r>
      <w:r w:rsidRPr="006C7A0F">
        <w:rPr>
          <w:i/>
        </w:rPr>
        <w:instrText>qua</w:instrText>
      </w:r>
      <w:r w:rsidRPr="006C7A0F">
        <w:rPr>
          <w:i/>
          <w:vertAlign w:val="superscript"/>
        </w:rPr>
        <w:instrText>2</w:instrText>
      </w:r>
      <w:r w:rsidRPr="006C7A0F">
        <w:instrText xml:space="preserve">" </w:instrText>
      </w:r>
      <w:r w:rsidRPr="006C7A0F">
        <w:rPr>
          <w:i/>
        </w:rPr>
        <w:fldChar w:fldCharType="end"/>
      </w:r>
      <w:r w:rsidR="00AF0A65">
        <w:rPr>
          <w:lang w:eastAsia="en-US"/>
        </w:rPr>
        <w:t xml:space="preserve">. </w:t>
      </w:r>
      <w:r w:rsidR="00AF0A65" w:rsidRPr="00AF0A65">
        <w:rPr>
          <w:lang w:eastAsia="en-US"/>
        </w:rPr>
        <w:t>Citát výslovně odmítá falešný averroismus, který mylná tradice novověku připisuje Averroesovi a Sigerovi</w:t>
      </w:r>
      <w:r w:rsidR="00AF0A65">
        <w:rPr>
          <w:lang w:eastAsia="en-US"/>
        </w:rPr>
        <w:t xml:space="preserve">. Modernisté tím </w:t>
      </w:r>
      <w:r w:rsidR="00AF0A65" w:rsidRPr="00AF0A65">
        <w:rPr>
          <w:lang w:eastAsia="en-US"/>
        </w:rPr>
        <w:t>navazují</w:t>
      </w:r>
      <w:r w:rsidR="00967953">
        <w:rPr>
          <w:lang w:eastAsia="en-US"/>
        </w:rPr>
        <w:t xml:space="preserve"> na linii avicenismu T</w:t>
      </w:r>
      <w:r w:rsidR="00AF0A65" w:rsidRPr="00AF0A65">
        <w:rPr>
          <w:lang w:eastAsia="en-US"/>
        </w:rPr>
        <w:t xml:space="preserve">oledské školy. </w:t>
      </w:r>
      <w:r>
        <w:rPr>
          <w:lang w:eastAsia="en-US"/>
        </w:rPr>
        <w:t xml:space="preserve">Podle Sigera je zcela vyloučeno, aby </w:t>
      </w:r>
      <w:r w:rsidRPr="0016181A">
        <w:rPr>
          <w:i/>
          <w:lang w:eastAsia="en-US"/>
        </w:rPr>
        <w:t>intellectus possib</w:t>
      </w:r>
      <w:r>
        <w:rPr>
          <w:i/>
          <w:lang w:eastAsia="en-US"/>
        </w:rPr>
        <w:t>i</w:t>
      </w:r>
      <w:r w:rsidRPr="0016181A">
        <w:rPr>
          <w:i/>
          <w:lang w:eastAsia="en-US"/>
        </w:rPr>
        <w:t>lis</w:t>
      </w:r>
      <w:r>
        <w:rPr>
          <w:i/>
          <w:lang w:eastAsia="en-US"/>
        </w:rPr>
        <w:fldChar w:fldCharType="begin"/>
      </w:r>
      <w:r>
        <w:instrText xml:space="preserve"> XE "</w:instrText>
      </w:r>
      <w:r w:rsidRPr="00770D02">
        <w:rPr>
          <w:i/>
        </w:rPr>
        <w:instrText>intellectus possibilis</w:instrText>
      </w:r>
      <w:r>
        <w:rPr>
          <w:i/>
        </w:rPr>
        <w:instrText>:</w:instrText>
      </w:r>
      <w:r w:rsidRPr="00426D25">
        <w:instrText>Siger</w:instrText>
      </w:r>
      <w:r>
        <w:instrText xml:space="preserve">" </w:instrText>
      </w:r>
      <w:r>
        <w:rPr>
          <w:i/>
          <w:lang w:eastAsia="en-US"/>
        </w:rPr>
        <w:fldChar w:fldCharType="end"/>
      </w:r>
      <w:r>
        <w:rPr>
          <w:lang w:eastAsia="en-US"/>
        </w:rPr>
        <w:t xml:space="preserve"> jako čistá potence se nějak zvnějšku spojoval </w:t>
      </w:r>
      <w:r w:rsidRPr="00273106">
        <w:rPr>
          <w:lang w:eastAsia="en-US"/>
        </w:rPr>
        <w:t xml:space="preserve">s intelektuální </w:t>
      </w:r>
      <w:r w:rsidR="003565E7">
        <w:rPr>
          <w:lang w:eastAsia="en-US"/>
        </w:rPr>
        <w:t xml:space="preserve">částí </w:t>
      </w:r>
      <w:r w:rsidRPr="00273106">
        <w:rPr>
          <w:lang w:eastAsia="en-US"/>
        </w:rPr>
        <w:t>duše.</w:t>
      </w:r>
      <w:r>
        <w:rPr>
          <w:lang w:eastAsia="en-US"/>
        </w:rPr>
        <w:t xml:space="preserve"> Čistá potence sama o sobě vůbec neexistuje, protože nemá způsob</w:t>
      </w:r>
      <w:r w:rsidR="00D565E6">
        <w:rPr>
          <w:lang w:eastAsia="en-US"/>
        </w:rPr>
        <w:t>,</w:t>
      </w:r>
      <w:r>
        <w:rPr>
          <w:lang w:eastAsia="en-US"/>
        </w:rPr>
        <w:t xml:space="preserve"> jak by mohla existovat. Potence je </w:t>
      </w:r>
      <w:r w:rsidR="00D565E6">
        <w:rPr>
          <w:lang w:eastAsia="en-US"/>
        </w:rPr>
        <w:t xml:space="preserve">univerzální koncept v mysli, který se vztahuje k zatím neexistujícím možnostem </w:t>
      </w:r>
      <w:r>
        <w:rPr>
          <w:lang w:eastAsia="en-US"/>
        </w:rPr>
        <w:t xml:space="preserve">první substance. </w:t>
      </w:r>
      <w:r w:rsidR="00D565E6">
        <w:rPr>
          <w:lang w:eastAsia="en-US"/>
        </w:rPr>
        <w:t xml:space="preserve">Co neexistuje, to nelze hypostatizovat, a tím objektivně aktualizovat na způsob </w:t>
      </w:r>
      <w:r w:rsidR="00D565E6" w:rsidRPr="00D565E6">
        <w:rPr>
          <w:i/>
          <w:lang w:eastAsia="en-US"/>
        </w:rPr>
        <w:t>tertium ens</w:t>
      </w:r>
      <w:r w:rsidR="00824133">
        <w:rPr>
          <w:lang w:eastAsia="en-US"/>
        </w:rPr>
        <w:t xml:space="preserve">. </w:t>
      </w:r>
      <w:r>
        <w:rPr>
          <w:lang w:eastAsia="en-US"/>
        </w:rPr>
        <w:t xml:space="preserve">Jediná cesta k definici a jednotě intelektu ve všech lidech jde skrze smyslově dané poznání </w:t>
      </w:r>
      <w:r w:rsidR="002964A5">
        <w:rPr>
          <w:lang w:eastAsia="en-US"/>
        </w:rPr>
        <w:t>osob</w:t>
      </w:r>
      <w:r>
        <w:rPr>
          <w:lang w:eastAsia="en-US"/>
        </w:rPr>
        <w:t xml:space="preserve">, což zdůrazňuje poslední věta. </w:t>
      </w:r>
      <w:r w:rsidRPr="00273106">
        <w:t>Znovu se tím vracíme na začátek traktátu, kdy Siger upozorňuje posluchače na zásadní rozdíl mezi viděním a porozuměním. Oba akty je třeba rozl</w:t>
      </w:r>
      <w:r>
        <w:t>išit v jejich hermeneutickém „jak“ (</w:t>
      </w:r>
      <w:r w:rsidRPr="0810647E">
        <w:rPr>
          <w:i/>
        </w:rPr>
        <w:t>Wie</w:t>
      </w:r>
      <w:r>
        <w:t xml:space="preserve">) se dějí. </w:t>
      </w:r>
      <w:r w:rsidR="00AF6243" w:rsidRPr="00AF6243">
        <w:t xml:space="preserve">Definice poznání v Tomášově a Albertově teologickém stylu neodpovídá tomu, jak poznání </w:t>
      </w:r>
      <w:r w:rsidR="00AF6243">
        <w:t xml:space="preserve">skutečně </w:t>
      </w:r>
      <w:r w:rsidR="00AF6243" w:rsidRPr="00AF6243">
        <w:t xml:space="preserve">probíhá. </w:t>
      </w:r>
      <w:r w:rsidR="00AF6243">
        <w:t xml:space="preserve">Nejdůležitější </w:t>
      </w:r>
      <w:r w:rsidRPr="00273106">
        <w:t>teze o novém subjektu</w:t>
      </w:r>
      <w:r>
        <w:t xml:space="preserve"> poznání </w:t>
      </w:r>
      <w:r w:rsidRPr="00273106">
        <w:t>najdeme</w:t>
      </w:r>
      <w:r>
        <w:t xml:space="preserve"> v pasáži </w:t>
      </w:r>
      <w:r w:rsidRPr="00273106">
        <w:rPr>
          <w:i/>
          <w:lang w:eastAsia="en-US"/>
        </w:rPr>
        <w:t>De anima intellectiva</w:t>
      </w:r>
      <w:r>
        <w:t xml:space="preserve">, která </w:t>
      </w:r>
      <w:r w:rsidRPr="00273106">
        <w:t>nejprve vyjmenovává aporie Tomášovy pozice.</w:t>
      </w:r>
    </w:p>
    <w:p w:rsidR="08163013" w:rsidRPr="0009279B" w:rsidRDefault="08163013" w:rsidP="08163013">
      <w:pPr>
        <w:pStyle w:val="Citace"/>
        <w:rPr>
          <w:noProof/>
        </w:rPr>
      </w:pPr>
      <w:r w:rsidRPr="00273106">
        <w:rPr>
          <w:noProof/>
        </w:rPr>
        <w:t>„</w:t>
      </w:r>
      <w:r>
        <w:rPr>
          <w:noProof/>
        </w:rPr>
        <w:t>Nelze přijmout, že člověk myslí ze sebe tak, že intelekt pohybuje s člověkem zvnějšku</w:t>
      </w:r>
      <w:r>
        <w:rPr>
          <w:noProof/>
          <w:lang w:val="cs-CZ"/>
        </w:rPr>
        <w:t xml:space="preserve"> (</w:t>
      </w:r>
      <w:r w:rsidRPr="00540FD5">
        <w:rPr>
          <w:i/>
          <w:noProof/>
        </w:rPr>
        <w:t>intellectus sit motor hominis</w:t>
      </w:r>
      <w:r>
        <w:rPr>
          <w:noProof/>
          <w:lang w:val="cs-CZ"/>
        </w:rPr>
        <w:t>)</w:t>
      </w:r>
      <w:r>
        <w:rPr>
          <w:noProof/>
        </w:rPr>
        <w:t xml:space="preserve">. Porozumění totiž v člověku přirozeně předchází </w:t>
      </w:r>
      <w:r>
        <w:rPr>
          <w:noProof/>
          <w:lang w:val="cs-CZ"/>
        </w:rPr>
        <w:t xml:space="preserve">tělesný </w:t>
      </w:r>
      <w:r>
        <w:rPr>
          <w:noProof/>
        </w:rPr>
        <w:t xml:space="preserve">pohyb. Člověk také nerozumí proto, že se s námi nějak spojují inteligibilní fantasmata.  Porozumění se děje proto, jak bylo výše řečeno, že intelekt v nás působí bez vnějšího pohybu. Je činný v myslícím člověku </w:t>
      </w:r>
      <w:r>
        <w:rPr>
          <w:noProof/>
          <w:lang w:val="cs-CZ"/>
        </w:rPr>
        <w:t>(</w:t>
      </w:r>
      <w:r w:rsidRPr="00540FD5">
        <w:rPr>
          <w:i/>
          <w:noProof/>
        </w:rPr>
        <w:t xml:space="preserve">operans in </w:t>
      </w:r>
      <w:r w:rsidRPr="00540FD5">
        <w:rPr>
          <w:i/>
          <w:noProof/>
        </w:rPr>
        <w:lastRenderedPageBreak/>
        <w:t>operando</w:t>
      </w:r>
      <w:r>
        <w:rPr>
          <w:noProof/>
          <w:lang w:val="cs-CZ"/>
        </w:rPr>
        <w:t xml:space="preserve">) </w:t>
      </w:r>
      <w:r>
        <w:rPr>
          <w:noProof/>
        </w:rPr>
        <w:t>tím</w:t>
      </w:r>
      <w:r>
        <w:rPr>
          <w:noProof/>
          <w:lang w:val="cs-CZ"/>
        </w:rPr>
        <w:t xml:space="preserve">, </w:t>
      </w:r>
      <w:r>
        <w:rPr>
          <w:noProof/>
        </w:rPr>
        <w:t>že skrze svou přirozenost vytváří jednotu s tělem</w:t>
      </w:r>
      <w:r>
        <w:rPr>
          <w:noProof/>
          <w:lang w:val="cs-CZ"/>
        </w:rPr>
        <w:t xml:space="preserve"> (</w:t>
      </w:r>
      <w:r w:rsidRPr="00540FD5">
        <w:rPr>
          <w:i/>
          <w:noProof/>
        </w:rPr>
        <w:t>unite se habens ad corpus per suam naturam</w:t>
      </w:r>
      <w:r>
        <w:rPr>
          <w:noProof/>
          <w:lang w:val="cs-CZ"/>
        </w:rPr>
        <w:t>)</w:t>
      </w:r>
      <w:r>
        <w:rPr>
          <w:noProof/>
        </w:rPr>
        <w:t>.“ </w:t>
      </w:r>
      <w:r>
        <w:rPr>
          <w:rStyle w:val="Znakapoznpodarou"/>
        </w:rPr>
        <w:footnoteReference w:id="269"/>
      </w:r>
    </w:p>
    <w:p w:rsidR="08163013" w:rsidRPr="00273106" w:rsidRDefault="08163013" w:rsidP="08163013">
      <w:r w:rsidRPr="00273106">
        <w:t>Intelekt nemůže mít ipseitu ve smyslu aktuálního hybatele odděleného od těla, viz pře</w:t>
      </w:r>
      <w:r>
        <w:t xml:space="preserve">dešlé odmítnutí Tomášova intelektu jako hypostázované formy v duši </w:t>
      </w:r>
      <w:r w:rsidRPr="00273106">
        <w:t>(</w:t>
      </w:r>
      <w:r w:rsidRPr="00273106">
        <w:rPr>
          <w:i/>
        </w:rPr>
        <w:t>intellectus sit motor hominis</w:t>
      </w:r>
      <w:r w:rsidRPr="00273106">
        <w:t xml:space="preserve">). Akvinského argument o spojení fantasmat a intelektu je </w:t>
      </w:r>
      <w:r>
        <w:t>chybně po</w:t>
      </w:r>
      <w:r w:rsidRPr="00273106">
        <w:t>stavený z hlediska</w:t>
      </w:r>
      <w:r>
        <w:t xml:space="preserve"> ipseity člověka.</w:t>
      </w:r>
      <w:r w:rsidR="00352A25">
        <w:t xml:space="preserve"> </w:t>
      </w:r>
      <w:r w:rsidR="00352A25" w:rsidRPr="00352A25">
        <w:t xml:space="preserve">Myšlení prožíváme nezávisle na </w:t>
      </w:r>
      <w:r w:rsidR="00352A25">
        <w:t xml:space="preserve">smyslových vjemech </w:t>
      </w:r>
      <w:r w:rsidR="00352A25" w:rsidRPr="00352A25">
        <w:t>(</w:t>
      </w:r>
      <w:r w:rsidR="00352A25" w:rsidRPr="00352A25">
        <w:rPr>
          <w:i/>
        </w:rPr>
        <w:t>obiective</w:t>
      </w:r>
      <w:r w:rsidR="00352A25">
        <w:t>)</w:t>
      </w:r>
      <w:r>
        <w:t xml:space="preserve">, proto mají obě </w:t>
      </w:r>
      <w:r w:rsidRPr="00273106">
        <w:t xml:space="preserve">operace </w:t>
      </w:r>
      <w:r>
        <w:t>rozdílnou</w:t>
      </w:r>
      <w:r w:rsidRPr="00273106">
        <w:t xml:space="preserve"> podstat</w:t>
      </w:r>
      <w:r>
        <w:t>u, materiální a nemateriální</w:t>
      </w:r>
      <w:r>
        <w:fldChar w:fldCharType="begin"/>
      </w:r>
      <w:r>
        <w:instrText xml:space="preserve"> XE "</w:instrText>
      </w:r>
      <w:r w:rsidRPr="0038102B">
        <w:instrText>osoba:</w:instrText>
      </w:r>
      <w:r w:rsidRPr="002C0CE3">
        <w:rPr>
          <w:i/>
        </w:rPr>
        <w:instrText>ipse/idem</w:instrText>
      </w:r>
      <w:r>
        <w:instrText xml:space="preserve">" </w:instrText>
      </w:r>
      <w:r>
        <w:fldChar w:fldCharType="end"/>
      </w:r>
      <w:r>
        <w:t xml:space="preserve">. Jejich </w:t>
      </w:r>
      <w:r w:rsidR="00A7540C">
        <w:t xml:space="preserve">přímé spojení </w:t>
      </w:r>
      <w:r w:rsidR="00A6794D">
        <w:t xml:space="preserve">nemůže </w:t>
      </w:r>
      <w:r>
        <w:t>vzniknout</w:t>
      </w:r>
      <w:r w:rsidR="00A7540C">
        <w:t xml:space="preserve">, protože </w:t>
      </w:r>
      <w:r>
        <w:t xml:space="preserve">nemohou vytvořit nějaké jsoucno třetího druhu, jak </w:t>
      </w:r>
      <w:r w:rsidR="00A7540C">
        <w:t xml:space="preserve">to </w:t>
      </w:r>
      <w:r>
        <w:t xml:space="preserve">předpokládá Akvinský </w:t>
      </w:r>
      <w:r w:rsidRPr="00273106">
        <w:t>(</w:t>
      </w:r>
      <w:r w:rsidRPr="00273106">
        <w:rPr>
          <w:i/>
        </w:rPr>
        <w:t>nec etiam homo intelligit quia intelligibilia phantasmata sint nobis unita</w:t>
      </w:r>
      <w:r w:rsidR="005F4F2D">
        <w:t xml:space="preserve">). To by byl model poznání podle Rufuse a Bonaventury, kdy se spojují různé druhy objektivních </w:t>
      </w:r>
      <w:r w:rsidR="005F4F2D" w:rsidRPr="005F4F2D">
        <w:rPr>
          <w:i/>
        </w:rPr>
        <w:t>scibile</w:t>
      </w:r>
      <w:r w:rsidR="005F4F2D">
        <w:t xml:space="preserve"> dané v mysli a v realitě. </w:t>
      </w:r>
      <w:r>
        <w:t>Siger namítá, že intelekt nemůže být hypostázovaný</w:t>
      </w:r>
      <w:r w:rsidRPr="006C7A0F">
        <w:rPr>
          <w:i/>
        </w:rPr>
        <w:fldChar w:fldCharType="begin"/>
      </w:r>
      <w:r w:rsidRPr="006C7A0F">
        <w:instrText xml:space="preserve"> XE "intelekt:modus </w:instrText>
      </w:r>
      <w:r w:rsidRPr="006C7A0F">
        <w:rPr>
          <w:i/>
        </w:rPr>
        <w:instrText>qua</w:instrText>
      </w:r>
      <w:r w:rsidRPr="006C7A0F">
        <w:rPr>
          <w:i/>
          <w:vertAlign w:val="superscript"/>
        </w:rPr>
        <w:instrText>2</w:instrText>
      </w:r>
      <w:r w:rsidRPr="006C7A0F">
        <w:instrText xml:space="preserve">" </w:instrText>
      </w:r>
      <w:r w:rsidRPr="006C7A0F">
        <w:rPr>
          <w:i/>
        </w:rPr>
        <w:fldChar w:fldCharType="end"/>
      </w:r>
      <w:r>
        <w:t>, protože by ve své aktualitě nemohl přijmout aktualizaci z fantasmat. Averroes nemá teorii kopulace</w:t>
      </w:r>
      <w:r w:rsidR="00F57D00">
        <w:t xml:space="preserve"> jako základ poznání</w:t>
      </w:r>
      <w:r>
        <w:t xml:space="preserve">, ale podle Sigera ji má Akvinský. Vinou hypostázovaného intelektu jako formy v duši nemá jak spojit fantasmata a inteligibilní obsahy. </w:t>
      </w:r>
      <w:r w:rsidRPr="00273106">
        <w:t xml:space="preserve">Je třeba se vrátit zpět na úvodní úvahy o výkonu existence v rámci </w:t>
      </w:r>
      <w:r w:rsidRPr="00273106">
        <w:rPr>
          <w:i/>
        </w:rPr>
        <w:t>anima intellectiva</w:t>
      </w:r>
      <w:r w:rsidR="08466101">
        <w:t xml:space="preserve"> (kap. 4</w:t>
      </w:r>
      <w:r>
        <w:t>.4.1)</w:t>
      </w:r>
      <w:r w:rsidRPr="00273106">
        <w:t>. Siger fenomeno</w:t>
      </w:r>
      <w:r>
        <w:t>logicky zkoumá, jak</w:t>
      </w:r>
      <w:r w:rsidRPr="00273106">
        <w:t xml:space="preserve"> v nás intelekt operuje v rámci námi zakoušeného aktu </w:t>
      </w:r>
      <w:r>
        <w:t xml:space="preserve">nemateriálního </w:t>
      </w:r>
      <w:r w:rsidRPr="00273106">
        <w:t>myšlení (</w:t>
      </w:r>
      <w:r w:rsidRPr="00273106">
        <w:rPr>
          <w:i/>
        </w:rPr>
        <w:t>intellectus intelligendo sit operans sine motu</w:t>
      </w:r>
      <w:r w:rsidRPr="00273106">
        <w:t>). Protože intelekt je spojen s tělem</w:t>
      </w:r>
      <w:r>
        <w:t xml:space="preserve"> jako nemateriální potence (</w:t>
      </w:r>
      <w:r w:rsidRPr="00273106">
        <w:rPr>
          <w:i/>
        </w:rPr>
        <w:t>est operans in operando</w:t>
      </w:r>
      <w:r>
        <w:t>)</w:t>
      </w:r>
      <w:r w:rsidRPr="00273106">
        <w:t xml:space="preserve">, pak má odlišný druh </w:t>
      </w:r>
      <w:r>
        <w:t xml:space="preserve">tělesné </w:t>
      </w:r>
      <w:r w:rsidRPr="00273106">
        <w:t>subjektivity, než vidění smyslově daného orgánu (</w:t>
      </w:r>
      <w:r w:rsidRPr="00273106">
        <w:rPr>
          <w:i/>
        </w:rPr>
        <w:t>unite se habens ad corpus</w:t>
      </w:r>
      <w:r w:rsidRPr="00273106">
        <w:t xml:space="preserve">). </w:t>
      </w:r>
      <w:r>
        <w:t>I</w:t>
      </w:r>
      <w:r w:rsidRPr="00273106">
        <w:t xml:space="preserve">ntelekt </w:t>
      </w:r>
      <w:r>
        <w:t xml:space="preserve">je </w:t>
      </w:r>
      <w:r w:rsidRPr="00273106">
        <w:t>zcela určitě subjektem svých aktů</w:t>
      </w:r>
      <w:r>
        <w:t xml:space="preserve"> v modu </w:t>
      </w:r>
      <w:r w:rsidRPr="08AB626B">
        <w:rPr>
          <w:i/>
        </w:rPr>
        <w:t>subiective</w:t>
      </w:r>
      <w:r w:rsidRPr="00273106">
        <w:t xml:space="preserve">, protože má </w:t>
      </w:r>
      <w:r>
        <w:t xml:space="preserve">v duši </w:t>
      </w:r>
      <w:r w:rsidRPr="00273106">
        <w:t xml:space="preserve">vlastní </w:t>
      </w:r>
      <w:r w:rsidRPr="008872A5">
        <w:rPr>
          <w:i/>
        </w:rPr>
        <w:t>operatio</w:t>
      </w:r>
      <w:r w:rsidRPr="00273106">
        <w:t xml:space="preserve"> dané </w:t>
      </w:r>
      <w:r w:rsidRPr="00273106">
        <w:rPr>
          <w:i/>
        </w:rPr>
        <w:t>intrisece</w:t>
      </w:r>
      <w:r w:rsidRPr="00273106">
        <w:t>, tedy svou nemateriální, a tím i od smyslů oddělenou přirozenost (</w:t>
      </w:r>
      <w:r w:rsidRPr="00273106">
        <w:rPr>
          <w:i/>
        </w:rPr>
        <w:t>per suam naturam</w:t>
      </w:r>
      <w:r w:rsidRPr="00273106">
        <w:t xml:space="preserve">). </w:t>
      </w:r>
      <w:r>
        <w:t xml:space="preserve">V modu </w:t>
      </w:r>
      <w:r w:rsidR="00920DE9">
        <w:t>„</w:t>
      </w:r>
      <w:r w:rsidRPr="00427F97">
        <w:rPr>
          <w:i/>
        </w:rPr>
        <w:t>conscii sumus</w:t>
      </w:r>
      <w:r w:rsidR="00920DE9">
        <w:t>“</w:t>
      </w:r>
      <w:r>
        <w:t xml:space="preserve"> jsme schopni tuto jednotu vnímat v rámci zakoušené kauzality, protože každá osoba myslí, když sama chce. </w:t>
      </w:r>
      <w:r w:rsidR="00E87EBE" w:rsidRPr="00E87EBE">
        <w:t xml:space="preserve">Akvinský </w:t>
      </w:r>
      <w:r w:rsidR="00E87EBE">
        <w:t>má i</w:t>
      </w:r>
      <w:r w:rsidR="00E87EBE" w:rsidRPr="00E87EBE">
        <w:t>ntelekt jako esenci pouze v teoretickém modu (</w:t>
      </w:r>
      <w:r w:rsidR="00E87EBE" w:rsidRPr="00E87EBE">
        <w:rPr>
          <w:i/>
        </w:rPr>
        <w:t>quartum genus</w:t>
      </w:r>
      <w:r w:rsidR="00E87EBE" w:rsidRPr="00E87EBE">
        <w:t xml:space="preserve">); </w:t>
      </w:r>
      <w:r w:rsidR="00E87EBE">
        <w:t xml:space="preserve">intelekt v této podobě </w:t>
      </w:r>
      <w:r w:rsidR="00E87EBE" w:rsidRPr="00E87EBE">
        <w:t>nemůže být nikdy uchopen přímo</w:t>
      </w:r>
      <w:r w:rsidR="00E87EBE">
        <w:t xml:space="preserve"> (</w:t>
      </w:r>
      <w:r w:rsidR="00E87EBE" w:rsidRPr="00E87EBE">
        <w:rPr>
          <w:i/>
        </w:rPr>
        <w:t>subiective</w:t>
      </w:r>
      <w:r w:rsidR="00E87EBE">
        <w:t>)</w:t>
      </w:r>
      <w:r w:rsidR="00E87EBE" w:rsidRPr="00E87EBE">
        <w:t xml:space="preserve">, </w:t>
      </w:r>
      <w:r w:rsidR="00E87EBE">
        <w:t>tedy v modu „</w:t>
      </w:r>
      <w:r w:rsidR="00E87EBE" w:rsidRPr="00E87EBE">
        <w:rPr>
          <w:i/>
        </w:rPr>
        <w:t>fieri</w:t>
      </w:r>
      <w:r w:rsidR="00E87EBE">
        <w:t>“</w:t>
      </w:r>
      <w:r w:rsidR="00E87EBE" w:rsidRPr="00E87EBE">
        <w:t xml:space="preserve"> (</w:t>
      </w:r>
      <w:r w:rsidR="00E87EBE" w:rsidRPr="00E87EBE">
        <w:rPr>
          <w:i/>
        </w:rPr>
        <w:t>tertium genus</w:t>
      </w:r>
      <w:r w:rsidR="00E87EBE" w:rsidRPr="00E87EBE">
        <w:t xml:space="preserve">). </w:t>
      </w:r>
      <w:r w:rsidR="00811012">
        <w:t xml:space="preserve">Osobní </w:t>
      </w:r>
      <w:r w:rsidRPr="00273106">
        <w:t xml:space="preserve">akty myšlení se dějí pouze v modu nemateriální potence, což je Sigerova základní definice </w:t>
      </w:r>
      <w:r w:rsidRPr="00273106">
        <w:rPr>
          <w:i/>
        </w:rPr>
        <w:t>intellectus possibilis</w:t>
      </w:r>
      <w:r>
        <w:rPr>
          <w:i/>
        </w:rPr>
        <w:fldChar w:fldCharType="begin"/>
      </w:r>
      <w:r>
        <w:instrText xml:space="preserve"> XE "</w:instrText>
      </w:r>
      <w:r w:rsidRPr="00770D02">
        <w:rPr>
          <w:i/>
        </w:rPr>
        <w:instrText>intellectus possibilis</w:instrText>
      </w:r>
      <w:r w:rsidRPr="00254979">
        <w:instrText>:Siger</w:instrText>
      </w:r>
      <w:r>
        <w:instrText xml:space="preserve">" </w:instrText>
      </w:r>
      <w:r>
        <w:rPr>
          <w:i/>
        </w:rPr>
        <w:fldChar w:fldCharType="end"/>
      </w:r>
      <w:r w:rsidRPr="00273106">
        <w:t xml:space="preserve">. </w:t>
      </w:r>
      <w:r w:rsidR="00811012" w:rsidRPr="00811012">
        <w:t>Intelekt nemá svou</w:t>
      </w:r>
      <w:r w:rsidR="00811012">
        <w:t xml:space="preserve"> </w:t>
      </w:r>
      <w:r w:rsidR="00811012">
        <w:lastRenderedPageBreak/>
        <w:t>přirozenost vytvořenou v modu „</w:t>
      </w:r>
      <w:r w:rsidR="00811012" w:rsidRPr="00811012">
        <w:rPr>
          <w:i/>
        </w:rPr>
        <w:t>ipse</w:t>
      </w:r>
      <w:r w:rsidR="00811012">
        <w:t>“</w:t>
      </w:r>
      <w:r w:rsidR="00811012" w:rsidRPr="00811012">
        <w:t xml:space="preserve">, protože ani duše ji nemá. </w:t>
      </w:r>
      <w:r>
        <w:t>Ipseitu má podle Sigera pouze exist</w:t>
      </w:r>
      <w:r w:rsidR="00811012">
        <w:t>ující osoba</w:t>
      </w:r>
      <w:r>
        <w:t xml:space="preserve"> </w:t>
      </w:r>
      <w:r w:rsidR="00811012">
        <w:t>jaké reálná hylemorfická</w:t>
      </w:r>
      <w:r>
        <w:t xml:space="preserve"> </w:t>
      </w:r>
      <w:r w:rsidR="00811012">
        <w:t>substance</w:t>
      </w:r>
      <w:r>
        <w:t xml:space="preserve">. </w:t>
      </w:r>
      <w:r w:rsidR="00811012">
        <w:t xml:space="preserve">Tělesná osoba je základním zdrojem aktuality pro všechny druhy poznání (smyslové, inteligibilní), které jsou vždy určené </w:t>
      </w:r>
      <w:r w:rsidR="0079626F">
        <w:t xml:space="preserve">v tomto modu </w:t>
      </w:r>
      <w:r w:rsidR="00811012" w:rsidRPr="00811012">
        <w:rPr>
          <w:i/>
        </w:rPr>
        <w:t>subiective</w:t>
      </w:r>
      <w:r w:rsidR="00811012">
        <w:t xml:space="preserve">. </w:t>
      </w:r>
      <w:r>
        <w:t xml:space="preserve">Proto </w:t>
      </w:r>
      <w:r w:rsidRPr="00273106">
        <w:t xml:space="preserve">nemůže </w:t>
      </w:r>
      <w:r>
        <w:t>čistě potenciální intelekt tvořit nějakého hypostázovaného nositele (</w:t>
      </w:r>
      <w:r w:rsidRPr="00273106">
        <w:rPr>
          <w:i/>
        </w:rPr>
        <w:t>subiectum</w:t>
      </w:r>
      <w:r>
        <w:t>)</w:t>
      </w:r>
      <w:r w:rsidRPr="00273106">
        <w:t xml:space="preserve"> myšlení</w:t>
      </w:r>
      <w:r>
        <w:t xml:space="preserve"> ve smyslu nemateriální schopnosti přicházející k duši zvenku</w:t>
      </w:r>
      <w:r w:rsidRPr="00273106">
        <w:t xml:space="preserve">, jak to tvrdil Akvinský. Siger upozorňuje Akvinského, že </w:t>
      </w:r>
      <w:r>
        <w:t xml:space="preserve">jeho esenciální </w:t>
      </w:r>
      <w:r w:rsidRPr="00273106">
        <w:t xml:space="preserve">definice intelektu </w:t>
      </w:r>
      <w:r>
        <w:t xml:space="preserve">daná v modu </w:t>
      </w:r>
      <w:r w:rsidRPr="08A43DDD">
        <w:rPr>
          <w:i/>
        </w:rPr>
        <w:t>inmixtus</w:t>
      </w:r>
      <w:r>
        <w:t xml:space="preserve"> je omyl daný chybným pojetím metafyzické abstrakce vzatém modu </w:t>
      </w:r>
      <w:r w:rsidR="00411635">
        <w:t>„</w:t>
      </w:r>
      <w:r w:rsidRPr="08A43DDD">
        <w:rPr>
          <w:i/>
        </w:rPr>
        <w:t>simpliciter</w:t>
      </w:r>
      <w:r w:rsidR="00411635">
        <w:t>“</w:t>
      </w:r>
      <w:r>
        <w:t xml:space="preserve"> místo </w:t>
      </w:r>
      <w:r w:rsidR="00411635">
        <w:t>„</w:t>
      </w:r>
      <w:r w:rsidRPr="08A43DDD">
        <w:rPr>
          <w:i/>
        </w:rPr>
        <w:t>secundum quid</w:t>
      </w:r>
      <w:r w:rsidR="00411635">
        <w:t>“</w:t>
      </w:r>
      <w:r w:rsidRPr="00273106">
        <w:t xml:space="preserve">. </w:t>
      </w:r>
      <w:r>
        <w:t>V</w:t>
      </w:r>
      <w:r w:rsidRPr="00273106">
        <w:t xml:space="preserve"> zájmu plné pravdy je třeba ji pochopit z opačného konce</w:t>
      </w:r>
      <w:r>
        <w:t xml:space="preserve"> daného kauzálně v realitě</w:t>
      </w:r>
      <w:r w:rsidRPr="00273106">
        <w:t>, čili od vědomí aktů samotného intelektu</w:t>
      </w:r>
      <w:r>
        <w:t xml:space="preserve"> </w:t>
      </w:r>
      <w:r w:rsidRPr="00273106">
        <w:t>(</w:t>
      </w:r>
      <w:r w:rsidRPr="00273106">
        <w:rPr>
          <w:i/>
        </w:rPr>
        <w:t>conscii sumus</w:t>
      </w:r>
      <w:r>
        <w:rPr>
          <w:i/>
        </w:rPr>
        <w:fldChar w:fldCharType="begin"/>
      </w:r>
      <w:r>
        <w:instrText xml:space="preserve"> XE "osoba:</w:instrText>
      </w:r>
      <w:r w:rsidRPr="004A2754">
        <w:rPr>
          <w:i/>
        </w:rPr>
        <w:instrText>experimur</w:instrText>
      </w:r>
      <w:r>
        <w:instrText>/</w:instrText>
      </w:r>
      <w:r w:rsidRPr="001578E9">
        <w:rPr>
          <w:i/>
        </w:rPr>
        <w:instrText>conscii sumus</w:instrText>
      </w:r>
      <w:r>
        <w:instrText xml:space="preserve">" </w:instrText>
      </w:r>
      <w:r>
        <w:rPr>
          <w:i/>
        </w:rPr>
        <w:fldChar w:fldCharType="end"/>
      </w:r>
      <w:r w:rsidRPr="00273106">
        <w:t xml:space="preserve">). </w:t>
      </w:r>
      <w:r>
        <w:t xml:space="preserve">Siger se v polemice znovu vrací ke smířlivému tónu prvního komentáře k </w:t>
      </w:r>
      <w:proofErr w:type="gramStart"/>
      <w:r w:rsidRPr="001A0FAF">
        <w:rPr>
          <w:i/>
        </w:rPr>
        <w:t>De</w:t>
      </w:r>
      <w:proofErr w:type="gramEnd"/>
      <w:r w:rsidRPr="001A0FAF">
        <w:rPr>
          <w:i/>
        </w:rPr>
        <w:t xml:space="preserve"> anima</w:t>
      </w:r>
      <w:r>
        <w:t xml:space="preserve"> I‒II, kterou obs</w:t>
      </w:r>
      <w:r w:rsidR="081818C6">
        <w:t>ahuje Mnichovský rukopis (kap. 4</w:t>
      </w:r>
      <w:r>
        <w:t>.3.2).</w:t>
      </w:r>
    </w:p>
    <w:p w:rsidR="08163013" w:rsidRPr="0044510C" w:rsidRDefault="08163013" w:rsidP="08163013">
      <w:pPr>
        <w:pStyle w:val="Citace"/>
        <w:rPr>
          <w:noProof/>
          <w:lang w:val="cs-CZ"/>
        </w:rPr>
      </w:pPr>
      <w:r w:rsidRPr="006177C6">
        <w:t xml:space="preserve">„Jistěže člověk je definován porozuměním daným od </w:t>
      </w:r>
      <w:r>
        <w:rPr>
          <w:lang w:val="cs-CZ"/>
        </w:rPr>
        <w:t xml:space="preserve">vlastní činnosti </w:t>
      </w:r>
      <w:r w:rsidRPr="006177C6">
        <w:t>intelektu a také je definován od jeho</w:t>
      </w:r>
      <w:r>
        <w:rPr>
          <w:lang w:val="cs-CZ"/>
        </w:rPr>
        <w:t xml:space="preserve"> substance</w:t>
      </w:r>
      <w:r w:rsidRPr="006177C6">
        <w:t>. Tato denominace běží jak od akcidentu, tak od substance. Kolika způsoby je možno definovat</w:t>
      </w:r>
      <w:r>
        <w:rPr>
          <w:lang w:val="cs-CZ"/>
        </w:rPr>
        <w:t xml:space="preserve"> a predikovat</w:t>
      </w:r>
      <w:r w:rsidRPr="006177C6">
        <w:t xml:space="preserve">, </w:t>
      </w:r>
      <w:r>
        <w:rPr>
          <w:lang w:val="cs-CZ"/>
        </w:rPr>
        <w:t>tolik je způsobů bytí</w:t>
      </w:r>
      <w:r w:rsidRPr="006177C6">
        <w:t xml:space="preserve">, jak řekl Filosof v páté knize </w:t>
      </w:r>
      <w:r w:rsidRPr="089759B7">
        <w:rPr>
          <w:i/>
        </w:rPr>
        <w:t>Metafyziky</w:t>
      </w:r>
      <w:r>
        <w:rPr>
          <w:lang w:val="cs-CZ"/>
        </w:rPr>
        <w:t xml:space="preserve">. Poznání </w:t>
      </w:r>
      <w:r w:rsidRPr="006177C6">
        <w:t>člověka je tedy dáno skrze intelekt</w:t>
      </w:r>
      <w:r>
        <w:rPr>
          <w:lang w:val="cs-CZ"/>
        </w:rPr>
        <w:t xml:space="preserve"> a takto je i predikováno</w:t>
      </w:r>
      <w:r w:rsidRPr="006177C6">
        <w:t>.“</w:t>
      </w:r>
      <w:r>
        <w:rPr>
          <w:rStyle w:val="Zkladntext429"/>
          <w:rFonts w:ascii="Calibri" w:hAnsi="Calibri"/>
          <w:i w:val="0"/>
          <w:iCs w:val="0"/>
          <w:noProof/>
          <w:sz w:val="21"/>
          <w:lang w:val="cs-CZ"/>
        </w:rPr>
        <w:t xml:space="preserve"> </w:t>
      </w:r>
      <w:r>
        <w:rPr>
          <w:rStyle w:val="Znakapoznpodarou"/>
        </w:rPr>
        <w:footnoteReference w:id="270"/>
      </w:r>
    </w:p>
    <w:p w:rsidR="08A06DEB" w:rsidRPr="08A06DEB" w:rsidRDefault="08163013" w:rsidP="08A06DEB">
      <w:r w:rsidRPr="00273106">
        <w:t>Denominace je správně postavená směrem od substance (</w:t>
      </w:r>
      <w:r w:rsidRPr="00273106">
        <w:rPr>
          <w:i/>
        </w:rPr>
        <w:t>substantia eius habet denominationem</w:t>
      </w:r>
      <w:r w:rsidRPr="00273106">
        <w:t>)</w:t>
      </w:r>
      <w:r>
        <w:t xml:space="preserve">. </w:t>
      </w:r>
      <w:r w:rsidRPr="00273106">
        <w:t xml:space="preserve">To je pozice Alberta a Akvinského daná substančním určením </w:t>
      </w:r>
      <w:r>
        <w:t>duše</w:t>
      </w:r>
      <w:r w:rsidRPr="00273106">
        <w:t xml:space="preserve"> </w:t>
      </w:r>
      <w:r>
        <w:t xml:space="preserve">a </w:t>
      </w:r>
      <w:r w:rsidRPr="00273106">
        <w:t xml:space="preserve">intelektu, jak jsme viděli výše. </w:t>
      </w:r>
      <w:r>
        <w:t>Ale k</w:t>
      </w:r>
      <w:r w:rsidR="001B3B35">
        <w:t xml:space="preserve"> vědecké </w:t>
      </w:r>
      <w:r>
        <w:t xml:space="preserve">definici člověka zásadně patří existenciální určení </w:t>
      </w:r>
      <w:r w:rsidRPr="00273106">
        <w:t>(</w:t>
      </w:r>
      <w:r w:rsidRPr="00273106">
        <w:rPr>
          <w:i/>
        </w:rPr>
        <w:t>homo denominetur intelligens ab opere intellectus</w:t>
      </w:r>
      <w:r w:rsidRPr="00273106">
        <w:t>).</w:t>
      </w:r>
      <w:r>
        <w:t xml:space="preserve"> </w:t>
      </w:r>
      <w:r w:rsidR="004E2832">
        <w:t xml:space="preserve">Definice Alberta a Akvinského </w:t>
      </w:r>
      <w:r w:rsidR="004E2832" w:rsidRPr="004E2832">
        <w:t>jsou objektivn</w:t>
      </w:r>
      <w:r w:rsidR="004E2832">
        <w:t xml:space="preserve">ě správné, ale vědecky chybné. </w:t>
      </w:r>
      <w:r w:rsidR="004E2832" w:rsidRPr="004E2832">
        <w:t>Nebero</w:t>
      </w:r>
      <w:r w:rsidR="004E2832">
        <w:t>u v úvahu určení dané akcidenty</w:t>
      </w:r>
      <w:r w:rsidR="004E2832" w:rsidRPr="004E2832">
        <w:t xml:space="preserve"> (Sigerův modus </w:t>
      </w:r>
      <w:r w:rsidR="004E2832" w:rsidRPr="004E2832">
        <w:rPr>
          <w:i/>
        </w:rPr>
        <w:t>subiective</w:t>
      </w:r>
      <w:r w:rsidR="004E2832" w:rsidRPr="004E2832">
        <w:t>), protože berou definici intelektu v</w:t>
      </w:r>
      <w:r w:rsidR="004E2832">
        <w:t> </w:t>
      </w:r>
      <w:r w:rsidR="004E2832" w:rsidRPr="004E2832">
        <w:t>porret</w:t>
      </w:r>
      <w:r w:rsidR="004E2832">
        <w:t>ánském modu „</w:t>
      </w:r>
      <w:proofErr w:type="gramStart"/>
      <w:r w:rsidR="004E2832" w:rsidRPr="004E2832">
        <w:rPr>
          <w:i/>
        </w:rPr>
        <w:t>semel</w:t>
      </w:r>
      <w:proofErr w:type="gramEnd"/>
      <w:r w:rsidR="004E2832" w:rsidRPr="004E2832">
        <w:rPr>
          <w:i/>
        </w:rPr>
        <w:t>–</w:t>
      </w:r>
      <w:proofErr w:type="gramStart"/>
      <w:r w:rsidR="004E2832" w:rsidRPr="004E2832">
        <w:rPr>
          <w:i/>
        </w:rPr>
        <w:t>semper</w:t>
      </w:r>
      <w:proofErr w:type="gramEnd"/>
      <w:r w:rsidR="004E2832">
        <w:t>“</w:t>
      </w:r>
      <w:r w:rsidR="004E2832" w:rsidRPr="004E2832">
        <w:t xml:space="preserve">. Pak je jejich intelekt mytologickým </w:t>
      </w:r>
      <w:r w:rsidR="004E2832" w:rsidRPr="004E2832">
        <w:rPr>
          <w:i/>
        </w:rPr>
        <w:t>tertium ens</w:t>
      </w:r>
      <w:r w:rsidR="004E2832" w:rsidRPr="004E2832">
        <w:t xml:space="preserve">, a </w:t>
      </w:r>
      <w:r w:rsidR="004E2832">
        <w:t xml:space="preserve">není </w:t>
      </w:r>
      <w:r w:rsidR="004E2832" w:rsidRPr="004E2832">
        <w:t xml:space="preserve">dokonce ani </w:t>
      </w:r>
      <w:r w:rsidR="004E2832">
        <w:t>„</w:t>
      </w:r>
      <w:r w:rsidR="004E2832" w:rsidRPr="004E2832">
        <w:rPr>
          <w:i/>
        </w:rPr>
        <w:t>quartum genus</w:t>
      </w:r>
      <w:r w:rsidR="004E2832">
        <w:t>“</w:t>
      </w:r>
      <w:r w:rsidR="004E2832" w:rsidRPr="004E2832">
        <w:t>, protože chybí</w:t>
      </w:r>
      <w:r w:rsidR="004E2832">
        <w:t xml:space="preserve"> </w:t>
      </w:r>
      <w:r w:rsidR="004E2832" w:rsidRPr="004E2832">
        <w:t xml:space="preserve">určení intelektu jako </w:t>
      </w:r>
      <w:r w:rsidR="004E2832" w:rsidRPr="004E2832">
        <w:rPr>
          <w:i/>
        </w:rPr>
        <w:t>tertium genus</w:t>
      </w:r>
      <w:r w:rsidR="004E2832" w:rsidRPr="004E2832">
        <w:t xml:space="preserve">. </w:t>
      </w:r>
      <w:r>
        <w:t>Siger vychází z kontingentně daného myšlení osoby daného kauzálně v první osobě, protože máme akt myšlení ve své moci. Tím je zajištěn střední člen demonstrativního soudu o jednotě intelektu, protože teprve nyní predikujeme myšlení vzhledem k existenciálně dané kauzalitě myšlení operujícího v první osobě.</w:t>
      </w:r>
      <w:r w:rsidR="08CB4E2A">
        <w:t xml:space="preserve"> Tím je uzavře</w:t>
      </w:r>
      <w:r w:rsidR="08AE000F">
        <w:t>na hlavní část Sigerovy polemik</w:t>
      </w:r>
      <w:r w:rsidR="08CB4E2A">
        <w:t>y</w:t>
      </w:r>
      <w:r w:rsidR="08A06DEB">
        <w:t xml:space="preserve"> s Albertem a </w:t>
      </w:r>
      <w:r w:rsidR="08A06DEB">
        <w:lastRenderedPageBreak/>
        <w:t xml:space="preserve">Akvinským. Výklad předložil zásadní důvody, proč Siger dostal čestný titul </w:t>
      </w:r>
      <w:r w:rsidR="08A06DEB" w:rsidRPr="080919C4">
        <w:rPr>
          <w:i/>
        </w:rPr>
        <w:t>Expositor Novus</w:t>
      </w:r>
      <w:r w:rsidR="08A06DEB" w:rsidRPr="00273106">
        <w:t xml:space="preserve"> </w:t>
      </w:r>
      <w:r w:rsidR="007F6798">
        <w:t xml:space="preserve">a proč se </w:t>
      </w:r>
      <w:r w:rsidR="007F6798" w:rsidRPr="007F6798">
        <w:t xml:space="preserve">stal </w:t>
      </w:r>
      <w:r w:rsidR="007F6798">
        <w:t>r</w:t>
      </w:r>
      <w:r w:rsidR="007F6798" w:rsidRPr="007F6798">
        <w:t xml:space="preserve">ektorem pařížských </w:t>
      </w:r>
      <w:r w:rsidR="007F6798">
        <w:t>artistů</w:t>
      </w:r>
      <w:r w:rsidR="007F6798" w:rsidRPr="007F6798">
        <w:t xml:space="preserve">. Poražený Akvinský opustil artistickou fakultu </w:t>
      </w:r>
      <w:r w:rsidR="007F6798">
        <w:t xml:space="preserve">prakticky </w:t>
      </w:r>
      <w:r w:rsidR="007F6798" w:rsidRPr="007F6798">
        <w:t>okamžitě</w:t>
      </w:r>
      <w:r w:rsidR="007F6798">
        <w:t xml:space="preserve"> poté</w:t>
      </w:r>
      <w:r w:rsidR="007F6798" w:rsidRPr="007F6798">
        <w:t xml:space="preserve">, </w:t>
      </w:r>
      <w:r w:rsidR="007F6798">
        <w:t xml:space="preserve">tedy v roce 1272. </w:t>
      </w:r>
      <w:r w:rsidR="08A06DEB">
        <w:t xml:space="preserve">Po vydání </w:t>
      </w:r>
      <w:r w:rsidR="08A06DEB" w:rsidRPr="00273106">
        <w:rPr>
          <w:i/>
        </w:rPr>
        <w:t>De anima intellectiva</w:t>
      </w:r>
      <w:r w:rsidR="08A06DEB" w:rsidRPr="00273106">
        <w:t xml:space="preserve"> </w:t>
      </w:r>
      <w:r w:rsidR="08A06DEB">
        <w:t xml:space="preserve">by musel tento teolog veřejně uznat chybu ve své filosofické argumentaci. Akvinský zvolil čestný ústup zpět do Itálie, kde </w:t>
      </w:r>
      <w:r w:rsidR="00B11D0B">
        <w:t>se hrála nižší filosofická liga</w:t>
      </w:r>
      <w:r w:rsidR="08A06DEB">
        <w:t xml:space="preserve">. </w:t>
      </w:r>
      <w:r w:rsidR="08086655">
        <w:t xml:space="preserve">Tento představitel prvního averroismu zcela pochopitelně nemohl učit na </w:t>
      </w:r>
      <w:r w:rsidR="08A06DEB">
        <w:t>modernistické fakultě mendikantů v </w:t>
      </w:r>
      <w:r w:rsidR="085132ED">
        <w:t>Paříži</w:t>
      </w:r>
      <w:r w:rsidR="08A06DEB">
        <w:t>, viz následujíc</w:t>
      </w:r>
      <w:r w:rsidR="088E51EA">
        <w:t>í k</w:t>
      </w:r>
      <w:r w:rsidR="08A06DEB">
        <w:t xml:space="preserve">apitoly. </w:t>
      </w:r>
    </w:p>
    <w:p w:rsidR="08163013" w:rsidRPr="00273106" w:rsidRDefault="08163013" w:rsidP="08163013">
      <w:r>
        <w:tab/>
      </w:r>
      <w:r w:rsidRPr="00273106">
        <w:t xml:space="preserve">Siger </w:t>
      </w:r>
      <w:r>
        <w:t>byl jediný fenomenolog existence před Heideggerem, který přesně určil dráhu náhledu (</w:t>
      </w:r>
      <w:r w:rsidRPr="00FA0DE2">
        <w:rPr>
          <w:i/>
        </w:rPr>
        <w:t>Vor</w:t>
      </w:r>
      <w:r w:rsidRPr="00FA0DE2">
        <w:rPr>
          <w:i/>
        </w:rPr>
        <w:noBreakHyphen/>
        <w:t>blickbahn</w:t>
      </w:r>
      <w:r>
        <w:rPr>
          <w:i/>
        </w:rPr>
        <w:fldChar w:fldCharType="begin"/>
      </w:r>
      <w:r>
        <w:instrText xml:space="preserve"> XE "</w:instrText>
      </w:r>
      <w:r>
        <w:rPr>
          <w:i/>
        </w:rPr>
        <w:instrText>Vor-</w:instrText>
      </w:r>
      <w:r w:rsidRPr="000C66F2">
        <w:rPr>
          <w:i/>
        </w:rPr>
        <w:instrText>b</w:instrText>
      </w:r>
      <w:r w:rsidRPr="000C66F2">
        <w:rPr>
          <w:i/>
          <w:iCs/>
        </w:rPr>
        <w:instrText>lickbahn</w:instrText>
      </w:r>
      <w:r>
        <w:rPr>
          <w:i/>
          <w:iCs/>
        </w:rPr>
        <w:instrText>:</w:instrText>
      </w:r>
      <w:r w:rsidRPr="00872D73">
        <w:rPr>
          <w:iCs/>
        </w:rPr>
        <w:instrText>Siger</w:instrText>
      </w:r>
      <w:r>
        <w:instrText xml:space="preserve">" </w:instrText>
      </w:r>
      <w:r>
        <w:rPr>
          <w:i/>
        </w:rPr>
        <w:fldChar w:fldCharType="end"/>
      </w:r>
      <w:r>
        <w:t xml:space="preserve">), odkud musíme akt poznání zkoumat, aby byl vědecky pravdivý podle demonstrace </w:t>
      </w:r>
      <w:r w:rsidRPr="08B11D46">
        <w:rPr>
          <w:i/>
        </w:rPr>
        <w:t>Druhých analytik</w:t>
      </w:r>
      <w:r>
        <w:t>. Jen tak totiž zůstane zachována jednota osoby, kterou objektivní humanismus člověka jako mrtvoly ztratil po úplném zatmění první substance</w:t>
      </w:r>
      <w:r>
        <w:fldChar w:fldCharType="begin"/>
      </w:r>
      <w:r>
        <w:instrText xml:space="preserve"> XE "</w:instrText>
      </w:r>
      <w:r w:rsidRPr="00DE5F07">
        <w:instrText>substance:zatmění</w:instrText>
      </w:r>
      <w:r>
        <w:instrText xml:space="preserve">" </w:instrText>
      </w:r>
      <w:r>
        <w:fldChar w:fldCharType="end"/>
      </w:r>
      <w:r>
        <w:t xml:space="preserve">. Siger </w:t>
      </w:r>
      <w:r w:rsidRPr="00273106">
        <w:t>připomíná Tomášovi, aby správně vnímal per</w:t>
      </w:r>
      <w:r>
        <w:t xml:space="preserve">spektivu esenciální </w:t>
      </w:r>
      <w:r w:rsidRPr="00273106">
        <w:t xml:space="preserve">denominace </w:t>
      </w:r>
      <w:r>
        <w:t xml:space="preserve">intelektu </w:t>
      </w:r>
      <w:r w:rsidRPr="00273106">
        <w:t>jako filosof</w:t>
      </w:r>
      <w:r>
        <w:t xml:space="preserve">, a ne jako teolog. Podle Aristotelova výkladu </w:t>
      </w:r>
      <w:r w:rsidRPr="08B44FB0">
        <w:rPr>
          <w:i/>
        </w:rPr>
        <w:t>Kategorií</w:t>
      </w:r>
      <w:r>
        <w:t xml:space="preserve">, </w:t>
      </w:r>
      <w:r w:rsidRPr="08B44FB0">
        <w:rPr>
          <w:i/>
        </w:rPr>
        <w:t>Metafyziky</w:t>
      </w:r>
      <w:r>
        <w:t xml:space="preserve">, </w:t>
      </w:r>
      <w:r w:rsidRPr="08B44FB0">
        <w:rPr>
          <w:i/>
        </w:rPr>
        <w:t>De generatione animalium</w:t>
      </w:r>
      <w:r>
        <w:t xml:space="preserve">, </w:t>
      </w:r>
      <w:r w:rsidRPr="08B44FB0">
        <w:rPr>
          <w:i/>
        </w:rPr>
        <w:t>De anima</w:t>
      </w:r>
      <w:r>
        <w:t xml:space="preserve"> a </w:t>
      </w:r>
      <w:r w:rsidRPr="08B44FB0">
        <w:rPr>
          <w:i/>
        </w:rPr>
        <w:t>Druhých analytik</w:t>
      </w:r>
      <w:r>
        <w:t xml:space="preserve"> </w:t>
      </w:r>
      <w:r w:rsidR="003F7BBC">
        <w:t xml:space="preserve">sledoval </w:t>
      </w:r>
      <w:r>
        <w:t xml:space="preserve">tento </w:t>
      </w:r>
      <w:r w:rsidRPr="08436257">
        <w:rPr>
          <w:i/>
        </w:rPr>
        <w:t>Expositor Novus</w:t>
      </w:r>
      <w:r>
        <w:rPr>
          <w:i/>
        </w:rPr>
        <w:fldChar w:fldCharType="begin"/>
      </w:r>
      <w:r>
        <w:instrText xml:space="preserve"> XE "</w:instrText>
      </w:r>
      <w:r w:rsidRPr="088F2CB1">
        <w:rPr>
          <w:i/>
        </w:rPr>
        <w:instrText>Expositor Novus</w:instrText>
      </w:r>
      <w:r>
        <w:instrText xml:space="preserve">" </w:instrText>
      </w:r>
      <w:r>
        <w:rPr>
          <w:i/>
        </w:rPr>
        <w:fldChar w:fldCharType="end"/>
      </w:r>
      <w:r>
        <w:t xml:space="preserve"> původní </w:t>
      </w:r>
      <w:r w:rsidRPr="08B53B48">
        <w:rPr>
          <w:i/>
        </w:rPr>
        <w:t>intentum</w:t>
      </w:r>
      <w:r>
        <w:t xml:space="preserve"> dané v podstatě aristotelismu, což je vědecký popis účinků první substance. Pak je třeba vidět intelekt zepředu, tedy od reálného výkonu myšlení v ipseitně dané osobě jako první substanci. A</w:t>
      </w:r>
      <w:r w:rsidR="003F7BBC">
        <w:t>ž potom Siger jako teolog definoval</w:t>
      </w:r>
      <w:r>
        <w:t xml:space="preserve"> intelekt </w:t>
      </w:r>
      <w:r w:rsidRPr="00273106">
        <w:t>zezadu</w:t>
      </w:r>
      <w:r w:rsidR="003F7BBC">
        <w:t xml:space="preserve">, </w:t>
      </w:r>
      <w:r w:rsidRPr="00273106">
        <w:t xml:space="preserve">tedy od posledního cíle člověka. </w:t>
      </w:r>
      <w:r>
        <w:t>To</w:t>
      </w:r>
      <w:r w:rsidR="003F7BBC">
        <w:t>to hledisko</w:t>
      </w:r>
      <w:r>
        <w:t xml:space="preserve"> odpovídá liteře spisu </w:t>
      </w:r>
      <w:r w:rsidRPr="00334266">
        <w:rPr>
          <w:i/>
        </w:rPr>
        <w:t>De anima</w:t>
      </w:r>
      <w:r>
        <w:t xml:space="preserve"> a závěru </w:t>
      </w:r>
      <w:r w:rsidRPr="080B49C7">
        <w:rPr>
          <w:i/>
        </w:rPr>
        <w:t>Etiky Nikomachovy</w:t>
      </w:r>
      <w:r>
        <w:t xml:space="preserve"> preferované Akvinským, ale určitě ne celkovému záměru Aristotela. </w:t>
      </w:r>
      <w:r w:rsidR="002F1979">
        <w:t xml:space="preserve">Původní </w:t>
      </w:r>
      <w:r w:rsidRPr="080B49C7">
        <w:rPr>
          <w:i/>
        </w:rPr>
        <w:t>intentum</w:t>
      </w:r>
      <w:r>
        <w:t xml:space="preserve"> Filosofa odhalil v plnosti komentář CMDA pojatý v celkové perpektivě Averroesovy a Aristotelovy </w:t>
      </w:r>
      <w:r w:rsidR="085132ED">
        <w:t>„</w:t>
      </w:r>
      <w:r>
        <w:t>meta</w:t>
      </w:r>
      <w:r w:rsidR="085132ED">
        <w:t>-</w:t>
      </w:r>
      <w:r>
        <w:t>fyziky</w:t>
      </w:r>
      <w:r w:rsidR="085132ED">
        <w:t>“</w:t>
      </w:r>
      <w:r>
        <w:t>. Proto platí výše uvedená kritika obou vynikajících mužů ve filosofii (</w:t>
      </w:r>
      <w:r w:rsidRPr="00273106">
        <w:rPr>
          <w:i/>
          <w:lang w:eastAsia="en-US"/>
        </w:rPr>
        <w:t>precipui viri in philosophia</w:t>
      </w:r>
      <w:r>
        <w:t xml:space="preserve">). Albert a Akvinský nepoznali skutečnou intenci Aristotela a nebyli schopni do hloubky intepretovat spis </w:t>
      </w:r>
      <w:r w:rsidRPr="00334266">
        <w:rPr>
          <w:i/>
        </w:rPr>
        <w:t>De anima</w:t>
      </w:r>
      <w:r>
        <w:t xml:space="preserve"> (</w:t>
      </w:r>
      <w:r w:rsidRPr="00334266">
        <w:rPr>
          <w:i/>
        </w:rPr>
        <w:t>isti viri deficiunt ab intentione</w:t>
      </w:r>
      <w:r>
        <w:rPr>
          <w:i/>
        </w:rPr>
        <w:t xml:space="preserve"> Philosophi, nec intentum deter</w:t>
      </w:r>
      <w:r w:rsidRPr="00334266">
        <w:rPr>
          <w:i/>
        </w:rPr>
        <w:t>minant</w:t>
      </w:r>
      <w:r>
        <w:t xml:space="preserve">). </w:t>
      </w:r>
      <w:r w:rsidRPr="00273106">
        <w:t xml:space="preserve">S tímto pojetím </w:t>
      </w:r>
      <w:r>
        <w:t xml:space="preserve">metafyziky </w:t>
      </w:r>
      <w:r w:rsidRPr="00273106">
        <w:t>souvisí i Sigerova korekce Akvinského</w:t>
      </w:r>
      <w:r>
        <w:t xml:space="preserve"> spisu </w:t>
      </w:r>
      <w:r w:rsidRPr="00250FED">
        <w:rPr>
          <w:i/>
        </w:rPr>
        <w:t>De unitate</w:t>
      </w:r>
      <w:r>
        <w:t xml:space="preserve">. Tento spis </w:t>
      </w:r>
      <w:r w:rsidRPr="00273106">
        <w:t xml:space="preserve">postavil myšlení po vzoru </w:t>
      </w:r>
      <w:r>
        <w:t>neoplatonsk</w:t>
      </w:r>
      <w:r w:rsidRPr="00273106">
        <w:t>ého Themistia</w:t>
      </w:r>
      <w:r>
        <w:fldChar w:fldCharType="begin"/>
      </w:r>
      <w:r>
        <w:instrText xml:space="preserve"> XE "</w:instrText>
      </w:r>
      <w:r w:rsidRPr="002255E5">
        <w:instrText>Themistius</w:instrText>
      </w:r>
      <w:r>
        <w:instrText xml:space="preserve">" </w:instrText>
      </w:r>
      <w:r>
        <w:fldChar w:fldCharType="end"/>
      </w:r>
      <w:r w:rsidRPr="00273106">
        <w:t xml:space="preserve"> jako otisk pečetidla do vosku. To je v rozporu se známou pozicí </w:t>
      </w:r>
      <w:r w:rsidRPr="08E2298A">
        <w:rPr>
          <w:i/>
        </w:rPr>
        <w:t>Etiky Nikomachovy</w:t>
      </w:r>
      <w:r w:rsidRPr="00273106">
        <w:t xml:space="preserve"> o bytostném určení člověka.</w:t>
      </w:r>
    </w:p>
    <w:p w:rsidR="08163013" w:rsidRPr="000B11DB" w:rsidRDefault="08163013" w:rsidP="08163013">
      <w:pPr>
        <w:pStyle w:val="Citace"/>
      </w:pPr>
      <w:r w:rsidRPr="000B11DB">
        <w:t xml:space="preserve">„Ke třetímu je třeba říci, že myšlení je beze vší pochyby vlastním úkonem člověka a díky němu také </w:t>
      </w:r>
      <w:r w:rsidR="008B4555">
        <w:rPr>
          <w:lang w:val="cs-CZ"/>
        </w:rPr>
        <w:t xml:space="preserve">člověk </w:t>
      </w:r>
      <w:r w:rsidRPr="000B11DB">
        <w:t xml:space="preserve">nabývá blaženosti, jak je řečeno v desáté knize </w:t>
      </w:r>
      <w:r w:rsidRPr="082323E2">
        <w:rPr>
          <w:i/>
        </w:rPr>
        <w:t>Etiky Nikomachovy</w:t>
      </w:r>
      <w:r w:rsidRPr="000B11DB">
        <w:t xml:space="preserve"> </w:t>
      </w:r>
      <w:r w:rsidRPr="000B11DB">
        <w:rPr>
          <w:rStyle w:val="Zkladntext429"/>
          <w:rFonts w:ascii="Calibri" w:hAnsi="Calibri"/>
          <w:i w:val="0"/>
          <w:iCs w:val="0"/>
          <w:sz w:val="22"/>
        </w:rPr>
        <w:t>[</w:t>
      </w:r>
      <w:r w:rsidRPr="000B11DB">
        <w:t>εὐδαιμονία κατ' ἀρετὴν ἐνέργεια, E.N. 1077a12</w:t>
      </w:r>
      <w:r>
        <w:fldChar w:fldCharType="begin"/>
      </w:r>
      <w:r>
        <w:instrText xml:space="preserve"> XE "</w:instrText>
      </w:r>
      <w:r>
        <w:rPr>
          <w:lang w:val="cs-CZ"/>
        </w:rPr>
        <w:instrText>Aristoteles:</w:instrText>
      </w:r>
      <w:r w:rsidRPr="00171CE0">
        <w:instrText>E.N. 1077a12</w:instrText>
      </w:r>
      <w:r>
        <w:instrText xml:space="preserve">" </w:instrText>
      </w:r>
      <w:r>
        <w:fldChar w:fldCharType="end"/>
      </w:r>
      <w:r w:rsidRPr="000B11DB">
        <w:rPr>
          <w:rStyle w:val="Zkladntext429"/>
          <w:rFonts w:ascii="Calibri" w:hAnsi="Calibri"/>
          <w:i w:val="0"/>
          <w:iCs w:val="0"/>
          <w:sz w:val="22"/>
        </w:rPr>
        <w:t xml:space="preserve">]. Intelekt, od něhož myšlení pochází, je nejvyšší ctností v člověku a patří k tomu, co je člověku vlastní. Ale argument, že myšlení je </w:t>
      </w:r>
      <w:r w:rsidRPr="000B11DB">
        <w:rPr>
          <w:rStyle w:val="Zkladntext429"/>
          <w:rFonts w:ascii="Calibri" w:hAnsi="Calibri"/>
          <w:i w:val="0"/>
          <w:iCs w:val="0"/>
          <w:sz w:val="22"/>
        </w:rPr>
        <w:lastRenderedPageBreak/>
        <w:t>nejvlastnější činnost člověka, neznamená, ž</w:t>
      </w:r>
      <w:r>
        <w:rPr>
          <w:rStyle w:val="Zkladntext429"/>
          <w:rFonts w:ascii="Calibri" w:hAnsi="Calibri"/>
          <w:i w:val="0"/>
          <w:iCs w:val="0"/>
          <w:sz w:val="22"/>
        </w:rPr>
        <w:t>e jednotlivý člověk je složen z</w:t>
      </w:r>
      <w:r w:rsidRPr="000B11DB">
        <w:rPr>
          <w:rStyle w:val="Zkladntext429"/>
          <w:rFonts w:ascii="Calibri" w:hAnsi="Calibri"/>
          <w:i w:val="0"/>
          <w:iCs w:val="0"/>
          <w:sz w:val="22"/>
        </w:rPr>
        <w:t xml:space="preserve"> </w:t>
      </w:r>
      <w:r>
        <w:rPr>
          <w:rStyle w:val="Zkladntext429"/>
          <w:rFonts w:ascii="Calibri" w:hAnsi="Calibri"/>
          <w:i w:val="0"/>
          <w:iCs w:val="0"/>
          <w:sz w:val="22"/>
          <w:lang w:val="cs-CZ"/>
        </w:rPr>
        <w:t xml:space="preserve">nějaké </w:t>
      </w:r>
      <w:r w:rsidRPr="000B11DB">
        <w:rPr>
          <w:rStyle w:val="Zkladntext429"/>
          <w:rFonts w:ascii="Calibri" w:hAnsi="Calibri"/>
          <w:i w:val="0"/>
          <w:iCs w:val="0"/>
          <w:sz w:val="22"/>
        </w:rPr>
        <w:t>substance</w:t>
      </w:r>
      <w:r>
        <w:rPr>
          <w:rStyle w:val="Zkladntext429"/>
          <w:rFonts w:ascii="Calibri" w:hAnsi="Calibri"/>
          <w:i w:val="0"/>
          <w:iCs w:val="0"/>
          <w:sz w:val="22"/>
          <w:lang w:val="cs-CZ"/>
        </w:rPr>
        <w:t xml:space="preserve"> (</w:t>
      </w:r>
      <w:r w:rsidRPr="00556C72">
        <w:rPr>
          <w:i/>
          <w:noProof/>
        </w:rPr>
        <w:t>ipsius hominis compositi substantia</w:t>
      </w:r>
      <w:r>
        <w:rPr>
          <w:rStyle w:val="Zkladntext429"/>
          <w:rFonts w:ascii="Calibri" w:hAnsi="Calibri"/>
          <w:i w:val="0"/>
          <w:iCs w:val="0"/>
          <w:sz w:val="22"/>
          <w:lang w:val="cs-CZ"/>
        </w:rPr>
        <w:t>)</w:t>
      </w:r>
      <w:r w:rsidRPr="000B11DB">
        <w:rPr>
          <w:rStyle w:val="Zkladntext429"/>
          <w:rFonts w:ascii="Calibri" w:hAnsi="Calibri"/>
          <w:i w:val="0"/>
          <w:iCs w:val="0"/>
          <w:sz w:val="22"/>
        </w:rPr>
        <w:t>, od níž jako od subjektu myšlení (</w:t>
      </w:r>
      <w:r w:rsidRPr="000B11DB">
        <w:rPr>
          <w:i/>
        </w:rPr>
        <w:t>substantia a qua est intelligere</w:t>
      </w:r>
      <w:r w:rsidRPr="000B11DB">
        <w:rPr>
          <w:rStyle w:val="Zkladntext429"/>
          <w:rFonts w:ascii="Calibri" w:hAnsi="Calibri"/>
          <w:i w:val="0"/>
          <w:iCs w:val="0"/>
          <w:sz w:val="22"/>
        </w:rPr>
        <w:t>) probíhá spojení s dalšími část</w:t>
      </w:r>
      <w:r>
        <w:rPr>
          <w:rStyle w:val="Zkladntext429"/>
          <w:rFonts w:ascii="Calibri" w:hAnsi="Calibri"/>
          <w:i w:val="0"/>
          <w:iCs w:val="0"/>
          <w:sz w:val="22"/>
          <w:lang w:val="cs-CZ"/>
        </w:rPr>
        <w:t>m</w:t>
      </w:r>
      <w:r w:rsidRPr="000B11DB">
        <w:rPr>
          <w:rStyle w:val="Zkladntext429"/>
          <w:rFonts w:ascii="Calibri" w:hAnsi="Calibri"/>
          <w:i w:val="0"/>
          <w:iCs w:val="0"/>
          <w:sz w:val="22"/>
        </w:rPr>
        <w:t>i složeniny zvané „člověk“</w:t>
      </w:r>
      <w:r w:rsidR="008B4555">
        <w:rPr>
          <w:rStyle w:val="Zkladntext429"/>
          <w:rFonts w:ascii="Calibri" w:hAnsi="Calibri"/>
          <w:i w:val="0"/>
          <w:iCs w:val="0"/>
          <w:sz w:val="22"/>
        </w:rPr>
        <w:t xml:space="preserve">, jako by vosk dostával formu. </w:t>
      </w:r>
      <w:r w:rsidR="008B4555" w:rsidRPr="008B4555">
        <w:rPr>
          <w:rStyle w:val="Zkladntext429"/>
          <w:rFonts w:ascii="Calibri" w:hAnsi="Calibri"/>
          <w:i w:val="0"/>
          <w:iCs w:val="0"/>
          <w:sz w:val="22"/>
        </w:rPr>
        <w:t>Argumen</w:t>
      </w:r>
      <w:r w:rsidR="008B4555">
        <w:rPr>
          <w:rStyle w:val="Zkladntext429"/>
          <w:rFonts w:ascii="Calibri" w:hAnsi="Calibri"/>
          <w:i w:val="0"/>
          <w:iCs w:val="0"/>
          <w:sz w:val="22"/>
        </w:rPr>
        <w:t>ty proti tomu byly uvedeny výše</w:t>
      </w:r>
      <w:r w:rsidRPr="000B11DB">
        <w:rPr>
          <w:rStyle w:val="Zkladntext429"/>
          <w:rFonts w:ascii="Calibri" w:hAnsi="Calibri"/>
          <w:i w:val="0"/>
          <w:iCs w:val="0"/>
          <w:sz w:val="22"/>
        </w:rPr>
        <w:t>.“</w:t>
      </w:r>
      <w:r w:rsidRPr="000B11DB">
        <w:rPr>
          <w:rStyle w:val="Znakapoznpodarou"/>
        </w:rPr>
        <w:t xml:space="preserve"> </w:t>
      </w:r>
      <w:r w:rsidRPr="000B11DB">
        <w:rPr>
          <w:rStyle w:val="Znakapoznpodarou"/>
        </w:rPr>
        <w:footnoteReference w:id="271"/>
      </w:r>
    </w:p>
    <w:p w:rsidR="00A4498D" w:rsidRDefault="08163013" w:rsidP="08163013">
      <w:r w:rsidRPr="00273106">
        <w:t xml:space="preserve">Citát opět staví proti Akvinskému </w:t>
      </w:r>
      <w:r>
        <w:t>faktické hermeneutické „j</w:t>
      </w:r>
      <w:r w:rsidRPr="00273106">
        <w:t>ak“ člověk myslí. Akvinský absolutizoval ipseitu intelektu, kterou spojoval po vzoru Themistiova pečetidla s tělesnými akty, s čímž Siger nesouhlasí (</w:t>
      </w:r>
      <w:r w:rsidRPr="00273106">
        <w:rPr>
          <w:i/>
        </w:rPr>
        <w:t>intelligere uniatur alteri parti compositi ut figura cerae</w:t>
      </w:r>
      <w:r w:rsidRPr="00273106">
        <w:t xml:space="preserve">). </w:t>
      </w:r>
      <w:r w:rsidR="00973D71" w:rsidRPr="00973D71">
        <w:t>Siger ze svého pohledu tvrdí, že tento názor je zcela zbytečný a navíc velmi problematický. Moderní mytologie není kritickou filozofií, což jasně vyložil (</w:t>
      </w:r>
      <w:r w:rsidR="00973D71" w:rsidRPr="00973D71">
        <w:rPr>
          <w:i/>
        </w:rPr>
        <w:t>sufficit quod modo praedicto</w:t>
      </w:r>
      <w:r w:rsidR="00973D71">
        <w:t xml:space="preserve">). </w:t>
      </w:r>
      <w:r w:rsidR="08D71F0A">
        <w:t xml:space="preserve">Tato latinská formulace je velmi důležitá, protože tvoří jádro Ockhamovy argumentace (kap. 5.4). </w:t>
      </w:r>
      <w:r w:rsidRPr="00273106">
        <w:t xml:space="preserve">Z hermeneutického primátu daného skrze </w:t>
      </w:r>
      <w:r>
        <w:t xml:space="preserve">činnosti duše </w:t>
      </w:r>
      <w:r w:rsidRPr="00273106">
        <w:t xml:space="preserve">jasně vyplývá, že princip myšlení je daný </w:t>
      </w:r>
      <w:r w:rsidRPr="00293FE4">
        <w:rPr>
          <w:i/>
        </w:rPr>
        <w:t>intrinsece</w:t>
      </w:r>
      <w:r>
        <w:rPr>
          <w:i/>
        </w:rPr>
        <w:t xml:space="preserve"> </w:t>
      </w:r>
      <w:r w:rsidRPr="00293FE4">
        <w:t xml:space="preserve">v modu </w:t>
      </w:r>
      <w:r>
        <w:t>Averroes</w:t>
      </w:r>
      <w:r w:rsidRPr="00293FE4">
        <w:t xml:space="preserve">ova </w:t>
      </w:r>
      <w:r>
        <w:rPr>
          <w:i/>
        </w:rPr>
        <w:t xml:space="preserve">tertium </w:t>
      </w:r>
      <w:r w:rsidR="00962190">
        <w:rPr>
          <w:i/>
        </w:rPr>
        <w:t>genus</w:t>
      </w:r>
      <w:r>
        <w:rPr>
          <w:i/>
        </w:rPr>
        <w:fldChar w:fldCharType="begin"/>
      </w:r>
      <w:r>
        <w:instrText xml:space="preserve"> XE "</w:instrText>
      </w:r>
      <w:r w:rsidRPr="00A241F5">
        <w:rPr>
          <w:i/>
        </w:rPr>
        <w:instrText>tertium genus</w:instrText>
      </w:r>
      <w:r>
        <w:instrText xml:space="preserve">" </w:instrText>
      </w:r>
      <w:r>
        <w:rPr>
          <w:i/>
        </w:rPr>
        <w:fldChar w:fldCharType="end"/>
      </w:r>
      <w:r w:rsidRPr="00273106">
        <w:t>. A to přesně dosvědčuje Aristotelem postulované pojetí lidské blaženosti jako nejvy</w:t>
      </w:r>
      <w:r>
        <w:t>š</w:t>
      </w:r>
      <w:r w:rsidRPr="00273106">
        <w:t>šího aktu existence (</w:t>
      </w:r>
      <w:r w:rsidRPr="00273106">
        <w:rPr>
          <w:i/>
        </w:rPr>
        <w:t>intelligere sit homini propria operatio</w:t>
      </w:r>
      <w:r w:rsidRPr="00273106">
        <w:t xml:space="preserve">). Důrazem na </w:t>
      </w:r>
      <w:r>
        <w:t xml:space="preserve">aristotelské pojetí </w:t>
      </w:r>
      <w:r w:rsidR="00411047">
        <w:t>„</w:t>
      </w:r>
      <w:r w:rsidRPr="00273106">
        <w:rPr>
          <w:i/>
        </w:rPr>
        <w:t>propria operatio</w:t>
      </w:r>
      <w:r w:rsidR="00411047">
        <w:t>“</w:t>
      </w:r>
      <w:r w:rsidRPr="00273106">
        <w:t xml:space="preserve"> </w:t>
      </w:r>
      <w:r>
        <w:t>(</w:t>
      </w:r>
      <w:r w:rsidRPr="000B11DB">
        <w:t>κατ' ἀρετὴν ἐνέργεια</w:t>
      </w:r>
      <w:r>
        <w:t xml:space="preserve">) vzhledem k blaženosti </w:t>
      </w:r>
      <w:r w:rsidRPr="00273106">
        <w:t xml:space="preserve">Siger jasně odmítl </w:t>
      </w:r>
      <w:r>
        <w:t xml:space="preserve">Tomášovo pojetí intelektu jako </w:t>
      </w:r>
      <w:r w:rsidR="00411047">
        <w:t>„</w:t>
      </w:r>
      <w:r w:rsidRPr="00273106">
        <w:rPr>
          <w:i/>
        </w:rPr>
        <w:t>ipsum intelligere</w:t>
      </w:r>
      <w:r w:rsidR="00411047">
        <w:t>“</w:t>
      </w:r>
      <w:r w:rsidRPr="00273106">
        <w:t>.</w:t>
      </w:r>
      <w:r>
        <w:t xml:space="preserve"> </w:t>
      </w:r>
      <w:r w:rsidR="00457CB4">
        <w:rPr>
          <w:szCs w:val="24"/>
        </w:rPr>
        <w:t xml:space="preserve">Pojetí člověka u Sigera a moderních škol </w:t>
      </w:r>
      <w:r w:rsidR="00457CB4" w:rsidRPr="00457CB4">
        <w:rPr>
          <w:i/>
          <w:szCs w:val="24"/>
        </w:rPr>
        <w:t>sophistae Latini</w:t>
      </w:r>
      <w:r w:rsidR="00457CB4">
        <w:rPr>
          <w:szCs w:val="24"/>
        </w:rPr>
        <w:t xml:space="preserve"> stojí na komentáři stejného klíčového textu </w:t>
      </w:r>
      <w:r w:rsidR="00457CB4" w:rsidRPr="00457CB4">
        <w:rPr>
          <w:i/>
          <w:szCs w:val="24"/>
        </w:rPr>
        <w:t>Etiky Nikomachovy</w:t>
      </w:r>
      <w:r w:rsidR="00457CB4">
        <w:rPr>
          <w:szCs w:val="24"/>
        </w:rPr>
        <w:t xml:space="preserve">. Ale když dva říkají totéž v objektivním modu </w:t>
      </w:r>
      <w:r w:rsidR="00457CB4" w:rsidRPr="00457CB4">
        <w:rPr>
          <w:i/>
          <w:szCs w:val="24"/>
        </w:rPr>
        <w:t>idem</w:t>
      </w:r>
      <w:r w:rsidR="00457CB4">
        <w:rPr>
          <w:szCs w:val="24"/>
        </w:rPr>
        <w:t xml:space="preserve">, není to totéž ve existenciáním a fenomenologickém modu </w:t>
      </w:r>
      <w:r w:rsidR="00457CB4" w:rsidRPr="00457CB4">
        <w:rPr>
          <w:i/>
          <w:szCs w:val="24"/>
        </w:rPr>
        <w:t>ipse</w:t>
      </w:r>
      <w:r w:rsidR="00457CB4">
        <w:rPr>
          <w:szCs w:val="24"/>
        </w:rPr>
        <w:t>.  Proto h</w:t>
      </w:r>
      <w:r w:rsidR="00457CB4" w:rsidRPr="00DD2422">
        <w:rPr>
          <w:szCs w:val="24"/>
        </w:rPr>
        <w:t>umanismus</w:t>
      </w:r>
      <w:r w:rsidR="00457CB4">
        <w:rPr>
          <w:szCs w:val="24"/>
        </w:rPr>
        <w:t xml:space="preserve"> Sigera a Danteho není stejný jako humanismus tomismu.</w:t>
      </w:r>
      <w:r w:rsidR="00457CB4" w:rsidRPr="00DD2422">
        <w:rPr>
          <w:szCs w:val="24"/>
        </w:rPr>
        <w:t xml:space="preserve"> </w:t>
      </w:r>
      <w:r>
        <w:t xml:space="preserve">Znovu se vraťme k základu této pozice </w:t>
      </w:r>
      <w:r w:rsidR="08B00ACC">
        <w:t>(kap. 4</w:t>
      </w:r>
      <w:r>
        <w:t xml:space="preserve">.4.2). Dílo </w:t>
      </w:r>
      <w:r w:rsidRPr="00273106">
        <w:rPr>
          <w:i/>
        </w:rPr>
        <w:t>De generatione animalium</w:t>
      </w:r>
      <w:r w:rsidRPr="00273106">
        <w:t xml:space="preserve"> </w:t>
      </w:r>
      <w:proofErr w:type="gramStart"/>
      <w:r w:rsidRPr="00273106">
        <w:t xml:space="preserve">II.3 </w:t>
      </w:r>
      <w:r>
        <w:t>popisuje</w:t>
      </w:r>
      <w:proofErr w:type="gramEnd"/>
      <w:r>
        <w:t xml:space="preserve"> existenci </w:t>
      </w:r>
      <w:r w:rsidR="008A185E">
        <w:t xml:space="preserve">živého </w:t>
      </w:r>
      <w:r>
        <w:t xml:space="preserve">organismu skrze </w:t>
      </w:r>
      <w:r w:rsidRPr="00273106">
        <w:t>výkon individuální duše</w:t>
      </w:r>
      <w:r>
        <w:t xml:space="preserve"> </w:t>
      </w:r>
      <w:r w:rsidRPr="00273106">
        <w:t>(τῆς τοιαύτης ψυχῆς ἔργον</w:t>
      </w:r>
      <w:r>
        <w:t>,</w:t>
      </w:r>
      <w:r w:rsidRPr="004D0F17">
        <w:t xml:space="preserve"> </w:t>
      </w:r>
      <w:r w:rsidRPr="00273106">
        <w:t>736b12</w:t>
      </w:r>
      <w:r>
        <w:fldChar w:fldCharType="begin"/>
      </w:r>
      <w:r>
        <w:instrText xml:space="preserve"> XE "Aristoteles:</w:instrText>
      </w:r>
      <w:r w:rsidRPr="00273106">
        <w:rPr>
          <w:i/>
        </w:rPr>
        <w:instrText>De generatione animalium</w:instrText>
      </w:r>
      <w:r w:rsidRPr="00273106">
        <w:instrText xml:space="preserve"> </w:instrText>
      </w:r>
      <w:r w:rsidRPr="00FE3B5D">
        <w:instrText>736b12</w:instrText>
      </w:r>
      <w:r>
        <w:instrText xml:space="preserve">" </w:instrText>
      </w:r>
      <w:r>
        <w:fldChar w:fldCharType="end"/>
      </w:r>
      <w:r w:rsidRPr="00273106">
        <w:t>)</w:t>
      </w:r>
      <w:r>
        <w:t xml:space="preserve">. Proti teologům jako Akvinský a mystikům jako Bonaventura vrací Siger tehdy diskutovaný výklad </w:t>
      </w:r>
      <w:r>
        <w:rPr>
          <w:i/>
        </w:rPr>
        <w:t>Etiky</w:t>
      </w:r>
      <w:r w:rsidRPr="088D2A35">
        <w:rPr>
          <w:i/>
        </w:rPr>
        <w:t xml:space="preserve"> Nikomachovy</w:t>
      </w:r>
      <w:r>
        <w:t xml:space="preserve"> k jeho základní intenci, totiž ke specifickému postavení člověka, kterého odděluje od zvířet schopnost nemateriálně daného poznání. Tento humanismus</w:t>
      </w:r>
      <w:r w:rsidRPr="086E482C">
        <w:rPr>
          <w:i/>
        </w:rPr>
        <w:t xml:space="preserve"> </w:t>
      </w:r>
      <w:r>
        <w:rPr>
          <w:i/>
        </w:rPr>
        <w:fldChar w:fldCharType="begin"/>
      </w:r>
      <w:r>
        <w:instrText xml:space="preserve"> XE "humanismus:aristotelský" </w:instrText>
      </w:r>
      <w:r>
        <w:rPr>
          <w:i/>
        </w:rPr>
        <w:fldChar w:fldCharType="end"/>
      </w:r>
      <w:r>
        <w:t xml:space="preserve">je </w:t>
      </w:r>
      <w:r w:rsidR="00DB3E31">
        <w:t xml:space="preserve">vytvořený </w:t>
      </w:r>
      <w:r>
        <w:t xml:space="preserve">zásadně vědecky </w:t>
      </w:r>
      <w:r w:rsidR="00DB3E31">
        <w:t xml:space="preserve">a </w:t>
      </w:r>
      <w:r>
        <w:t xml:space="preserve">podle přirozeného kritického rozumu, což dobře viděl Dante. </w:t>
      </w:r>
      <w:r w:rsidRPr="00273106">
        <w:t>Filosof Siger nemůže souhlasit s linií Themistia</w:t>
      </w:r>
      <w:r>
        <w:fldChar w:fldCharType="begin"/>
      </w:r>
      <w:r>
        <w:instrText xml:space="preserve"> XE "</w:instrText>
      </w:r>
      <w:r w:rsidRPr="002255E5">
        <w:instrText>Themistius</w:instrText>
      </w:r>
      <w:r>
        <w:instrText xml:space="preserve">" </w:instrText>
      </w:r>
      <w:r>
        <w:fldChar w:fldCharType="end"/>
      </w:r>
      <w:r w:rsidRPr="00273106">
        <w:t xml:space="preserve"> a </w:t>
      </w:r>
      <w:r w:rsidR="00B20EDE">
        <w:t>Akvinského, kteř</w:t>
      </w:r>
      <w:r w:rsidRPr="00273106">
        <w:t xml:space="preserve">í se snaží určit povahu </w:t>
      </w:r>
      <w:r w:rsidRPr="00273106">
        <w:rPr>
          <w:i/>
        </w:rPr>
        <w:t>anima intellectiva</w:t>
      </w:r>
      <w:r>
        <w:t xml:space="preserve"> pouze z intelektu </w:t>
      </w:r>
      <w:r>
        <w:lastRenderedPageBreak/>
        <w:t xml:space="preserve">jako </w:t>
      </w:r>
      <w:r w:rsidRPr="00273106">
        <w:t>principu</w:t>
      </w:r>
      <w:r w:rsidRPr="0069709C">
        <w:rPr>
          <w:i/>
        </w:rPr>
        <w:t xml:space="preserve"> </w:t>
      </w:r>
      <w:r w:rsidRPr="00273106">
        <w:t>daného</w:t>
      </w:r>
      <w:r w:rsidRPr="0069709C">
        <w:rPr>
          <w:i/>
        </w:rPr>
        <w:t xml:space="preserve"> </w:t>
      </w:r>
      <w:r w:rsidR="00E709D7">
        <w:rPr>
          <w:i/>
        </w:rPr>
        <w:t>„ab extrinseco</w:t>
      </w:r>
      <w:r w:rsidR="00E709D7">
        <w:t>“</w:t>
      </w:r>
      <w:r w:rsidRPr="00273106">
        <w:t>.</w:t>
      </w:r>
      <w:r w:rsidRPr="00273106">
        <w:rPr>
          <w:rStyle w:val="Znakapoznpodarou"/>
        </w:rPr>
        <w:footnoteReference w:id="272"/>
      </w:r>
      <w:r w:rsidRPr="00273106">
        <w:t xml:space="preserve"> </w:t>
      </w:r>
      <w:r>
        <w:t>Text dále konstatuje, že původně jde o Maimonidovo pojetí, který otočil povahu zkoumání duše a začal od potenciálního intelektu jako substance</w:t>
      </w:r>
      <w:r>
        <w:fldChar w:fldCharType="begin"/>
      </w:r>
      <w:r>
        <w:instrText xml:space="preserve"> XE "</w:instrText>
      </w:r>
      <w:r w:rsidRPr="00DE2A32">
        <w:instrText>substance</w:instrText>
      </w:r>
      <w:r>
        <w:instrText xml:space="preserve">:Akvinský" </w:instrText>
      </w:r>
      <w:r>
        <w:fldChar w:fldCharType="end"/>
      </w:r>
      <w:r>
        <w:t>, místo aby nejprve zkoumal akt našeho porozumění.</w:t>
      </w:r>
      <w:r w:rsidRPr="00273106">
        <w:rPr>
          <w:rStyle w:val="Znakapoznpodarou"/>
        </w:rPr>
        <w:footnoteReference w:id="273"/>
      </w:r>
      <w:r w:rsidRPr="00273106">
        <w:t xml:space="preserve"> </w:t>
      </w:r>
      <w:r>
        <w:t xml:space="preserve">Aristoteles, Averroes a Siger </w:t>
      </w:r>
      <w:r w:rsidRPr="00273106">
        <w:t>a po nich poli</w:t>
      </w:r>
      <w:r>
        <w:t>ticky myslící a jednající Dante</w:t>
      </w:r>
      <w:r>
        <w:fldChar w:fldCharType="begin"/>
      </w:r>
      <w:r>
        <w:instrText xml:space="preserve"> XE "</w:instrText>
      </w:r>
      <w:r w:rsidRPr="00E871B9">
        <w:instrText>Dante, A.</w:instrText>
      </w:r>
      <w:r>
        <w:instrText xml:space="preserve">" </w:instrText>
      </w:r>
      <w:r>
        <w:fldChar w:fldCharType="end"/>
      </w:r>
      <w:r w:rsidRPr="00273106">
        <w:t xml:space="preserve"> definují intelekt hermeneuticky, z hlediska jeho fenomenálních aktů daných v těle</w:t>
      </w:r>
      <w:r>
        <w:t xml:space="preserve"> a v polis</w:t>
      </w:r>
      <w:r w:rsidRPr="00273106">
        <w:t>. Themist</w:t>
      </w:r>
      <w:r w:rsidR="002177B3">
        <w:t>i</w:t>
      </w:r>
      <w:r w:rsidRPr="00273106">
        <w:t>us a Akvinský to dělají pouze abstraktně, čímž zrazují</w:t>
      </w:r>
      <w:r>
        <w:t xml:space="preserve"> princip </w:t>
      </w:r>
      <w:r w:rsidR="002177B3">
        <w:t>„</w:t>
      </w:r>
      <w:r w:rsidR="08A649EB" w:rsidRPr="08A649EB">
        <w:rPr>
          <w:i/>
        </w:rPr>
        <w:t>ex</w:t>
      </w:r>
      <w:r w:rsidR="08A649EB">
        <w:t xml:space="preserve"> </w:t>
      </w:r>
      <w:r w:rsidR="08A649EB">
        <w:rPr>
          <w:i/>
        </w:rPr>
        <w:t>in</w:t>
      </w:r>
      <w:r w:rsidRPr="00273106">
        <w:rPr>
          <w:i/>
        </w:rPr>
        <w:t>mediat</w:t>
      </w:r>
      <w:r w:rsidR="08A649EB">
        <w:rPr>
          <w:i/>
        </w:rPr>
        <w:t>is</w:t>
      </w:r>
      <w:r w:rsidR="002177B3">
        <w:t>“</w:t>
      </w:r>
      <w:r>
        <w:t xml:space="preserve"> </w:t>
      </w:r>
      <w:r w:rsidR="002177B3">
        <w:t xml:space="preserve">podaný </w:t>
      </w:r>
      <w:r>
        <w:t xml:space="preserve">ve </w:t>
      </w:r>
      <w:r w:rsidRPr="08B943E5">
        <w:rPr>
          <w:i/>
        </w:rPr>
        <w:t>Druhých analytikách</w:t>
      </w:r>
      <w:r>
        <w:fldChar w:fldCharType="begin"/>
      </w:r>
      <w:r>
        <w:instrText xml:space="preserve"> XE "</w:instrText>
      </w:r>
      <w:r w:rsidRPr="00AF58C0">
        <w:instrText xml:space="preserve">princip </w:instrText>
      </w:r>
      <w:r w:rsidR="08A649EB">
        <w:rPr>
          <w:i/>
        </w:rPr>
        <w:instrText>ex in</w:instrText>
      </w:r>
      <w:r w:rsidRPr="00A561FD">
        <w:rPr>
          <w:i/>
        </w:rPr>
        <w:instrText>mediatis</w:instrText>
      </w:r>
      <w:r>
        <w:instrText xml:space="preserve">" </w:instrText>
      </w:r>
      <w:r>
        <w:fldChar w:fldCharType="end"/>
      </w:r>
      <w:r>
        <w:t xml:space="preserve">. Proto nemají ani vědecké poznání osoby v modu </w:t>
      </w:r>
      <w:r w:rsidRPr="089A703B">
        <w:rPr>
          <w:i/>
        </w:rPr>
        <w:t>demonstratio</w:t>
      </w:r>
      <w:r>
        <w:t xml:space="preserve"> ani plnou jednotu osoby. Jednota intelektu v modu semiaverroistické hypostáze nemá potřebnou realitu </w:t>
      </w:r>
      <w:r w:rsidRPr="00273106">
        <w:t>pro vědecký důkaz podstaty duše</w:t>
      </w:r>
      <w:r>
        <w:rPr>
          <w:i/>
        </w:rPr>
        <w:fldChar w:fldCharType="begin"/>
      </w:r>
      <w:r>
        <w:instrText xml:space="preserve"> XE "</w:instrText>
      </w:r>
      <w:r w:rsidRPr="0015798D">
        <w:rPr>
          <w:i/>
        </w:rPr>
        <w:instrText>Oxfordian Fallacy:</w:instrText>
      </w:r>
      <w:r w:rsidRPr="00363AA3">
        <w:instrText>kritika Sigera</w:instrText>
      </w:r>
      <w:r>
        <w:instrText xml:space="preserve">" </w:instrText>
      </w:r>
      <w:r>
        <w:rPr>
          <w:i/>
        </w:rPr>
        <w:fldChar w:fldCharType="end"/>
      </w:r>
      <w:r w:rsidRPr="00273106">
        <w:t xml:space="preserve">. </w:t>
      </w:r>
      <w:r>
        <w:t xml:space="preserve">Oba teologové podlehli vábení </w:t>
      </w:r>
      <w:r w:rsidRPr="007470DE">
        <w:rPr>
          <w:i/>
        </w:rPr>
        <w:t>Oxfordian Fallacy</w:t>
      </w:r>
      <w:r>
        <w:t xml:space="preserve"> a definovali duši primárně substančně</w:t>
      </w:r>
      <w:r w:rsidRPr="006C7A0F">
        <w:rPr>
          <w:i/>
        </w:rPr>
        <w:fldChar w:fldCharType="begin"/>
      </w:r>
      <w:r w:rsidRPr="006C7A0F">
        <w:instrText xml:space="preserve"> XE "intelekt:modus </w:instrText>
      </w:r>
      <w:r w:rsidRPr="006C7A0F">
        <w:rPr>
          <w:i/>
        </w:rPr>
        <w:instrText>qua</w:instrText>
      </w:r>
      <w:r w:rsidRPr="006C7A0F">
        <w:rPr>
          <w:i/>
          <w:vertAlign w:val="superscript"/>
        </w:rPr>
        <w:instrText>2</w:instrText>
      </w:r>
      <w:r w:rsidRPr="006C7A0F">
        <w:instrText xml:space="preserve">" </w:instrText>
      </w:r>
      <w:r w:rsidRPr="006C7A0F">
        <w:rPr>
          <w:i/>
        </w:rPr>
        <w:fldChar w:fldCharType="end"/>
      </w:r>
      <w:r>
        <w:t xml:space="preserve">, místo aby fenomenologicky zkoumali původní a kauzálně daný výkon </w:t>
      </w:r>
      <w:r w:rsidRPr="00273106">
        <w:t>praktického a teoretického intelektu</w:t>
      </w:r>
      <w:r w:rsidR="00A4498D">
        <w:t>.</w:t>
      </w:r>
    </w:p>
    <w:p w:rsidR="08654E68" w:rsidRDefault="08163013" w:rsidP="00A4498D">
      <w:pPr>
        <w:ind w:firstLine="397"/>
      </w:pPr>
      <w:r>
        <w:t>Substanční definice duše a intelektu nejsou samy o sobě chybné, ale postrádají sílu vědeckého důkazu. Z</w:t>
      </w:r>
      <w:r w:rsidRPr="00273106">
        <w:t xml:space="preserve">ávěr třetí kvestie </w:t>
      </w:r>
      <w:r w:rsidRPr="00953D69">
        <w:rPr>
          <w:i/>
          <w:lang w:eastAsia="en-US"/>
        </w:rPr>
        <w:t>De anima intellectiva</w:t>
      </w:r>
      <w:r w:rsidRPr="00953D69">
        <w:rPr>
          <w:lang w:eastAsia="en-US"/>
        </w:rPr>
        <w:t xml:space="preserve"> </w:t>
      </w:r>
      <w:r w:rsidR="087D0D1F">
        <w:rPr>
          <w:lang w:eastAsia="en-US"/>
        </w:rPr>
        <w:t xml:space="preserve">stojí v plném </w:t>
      </w:r>
      <w:r w:rsidR="08B1676D">
        <w:rPr>
          <w:lang w:eastAsia="en-US"/>
        </w:rPr>
        <w:t xml:space="preserve">a naprostém </w:t>
      </w:r>
      <w:r w:rsidRPr="00273106">
        <w:t xml:space="preserve">souladu s oficiálním postojem </w:t>
      </w:r>
      <w:r>
        <w:t xml:space="preserve">sekulárních </w:t>
      </w:r>
      <w:r w:rsidRPr="00273106">
        <w:t>magistrů artistické fakulty</w:t>
      </w:r>
      <w:r>
        <w:t xml:space="preserve"> daným 1. dubna 1272</w:t>
      </w:r>
      <w:r w:rsidR="087D0D1F">
        <w:t xml:space="preserve">. </w:t>
      </w:r>
      <w:r>
        <w:rPr>
          <w:szCs w:val="24"/>
        </w:rPr>
        <w:fldChar w:fldCharType="begin"/>
      </w:r>
      <w:r>
        <w:instrText xml:space="preserve"> XE "</w:instrText>
      </w:r>
      <w:r w:rsidRPr="00FD37CA">
        <w:rPr>
          <w:szCs w:val="24"/>
        </w:rPr>
        <w:instrText>dekret artistů 1272</w:instrText>
      </w:r>
      <w:r>
        <w:instrText xml:space="preserve">" </w:instrText>
      </w:r>
      <w:r>
        <w:rPr>
          <w:szCs w:val="24"/>
        </w:rPr>
        <w:fldChar w:fldCharType="end"/>
      </w:r>
      <w:r w:rsidR="087D0D1F">
        <w:rPr>
          <w:szCs w:val="24"/>
        </w:rPr>
        <w:t>F</w:t>
      </w:r>
      <w:r w:rsidRPr="00273106">
        <w:t>ilosofie se musí podřídit teologii v těch otázkách, které jsou definované z hlediska zjevené víry (</w:t>
      </w:r>
      <w:r w:rsidRPr="00273106">
        <w:rPr>
          <w:i/>
          <w:lang w:eastAsia="en-US"/>
        </w:rPr>
        <w:t>sententiam tamen sanctae fidei catholicae, si contraria huic sit sententiae</w:t>
      </w:r>
      <w:r w:rsidRPr="00273106">
        <w:rPr>
          <w:rStyle w:val="Zkladntext417pt"/>
          <w:i/>
          <w:lang w:eastAsia="en-US"/>
        </w:rPr>
        <w:t xml:space="preserve"> </w:t>
      </w:r>
      <w:r w:rsidRPr="001D3DE0">
        <w:rPr>
          <w:i/>
        </w:rPr>
        <w:t>Philosophi</w:t>
      </w:r>
      <w:r w:rsidRPr="00273106">
        <w:rPr>
          <w:rStyle w:val="Zkladntext419pt3"/>
          <w:i/>
          <w:lang w:eastAsia="en-US"/>
        </w:rPr>
        <w:t>,</w:t>
      </w:r>
      <w:r w:rsidRPr="00273106">
        <w:rPr>
          <w:i/>
          <w:lang w:eastAsia="en-US"/>
        </w:rPr>
        <w:t xml:space="preserve"> praeferre volentes, </w:t>
      </w:r>
      <w:r>
        <w:rPr>
          <w:lang w:eastAsia="en-US"/>
        </w:rPr>
        <w:t>p. 88</w:t>
      </w:r>
      <w:r w:rsidRPr="00273106">
        <w:rPr>
          <w:lang w:eastAsia="en-US"/>
        </w:rPr>
        <w:t>.51‒52</w:t>
      </w:r>
      <w:r>
        <w:fldChar w:fldCharType="begin"/>
      </w:r>
      <w:r>
        <w:instrText xml:space="preserve"> XE "Siger:</w:instrText>
      </w:r>
      <w:r w:rsidRPr="00953D69">
        <w:rPr>
          <w:i/>
          <w:lang w:eastAsia="en-US"/>
        </w:rPr>
        <w:instrText>De anima intellectiva</w:instrText>
      </w:r>
      <w:r w:rsidRPr="00953D69">
        <w:rPr>
          <w:lang w:eastAsia="en-US"/>
        </w:rPr>
        <w:instrText xml:space="preserve"> </w:instrText>
      </w:r>
      <w:r>
        <w:instrText xml:space="preserve">88.51‒52" </w:instrText>
      </w:r>
      <w:r>
        <w:fldChar w:fldCharType="end"/>
      </w:r>
      <w:r w:rsidRPr="007658B4">
        <w:rPr>
          <w:rStyle w:val="TextpoznpodarouChar"/>
        </w:rPr>
        <w:t>)</w:t>
      </w:r>
      <w:r w:rsidRPr="00273106">
        <w:t xml:space="preserve">. </w:t>
      </w:r>
      <w:r w:rsidR="08C036AA">
        <w:t xml:space="preserve">Ale otázky, které jsou filosofii vlastní, ty je třeba řešit na vlastní intelektuální odpovědnost a podle autonomní pravdy dané pouze v samotném rozumu. Filosofie není žádná služka teologie a nesmí být instrumentalizovaná pro účely teologie. </w:t>
      </w:r>
      <w:r w:rsidRPr="00273106">
        <w:t>Tolik brila</w:t>
      </w:r>
      <w:r>
        <w:t>n</w:t>
      </w:r>
      <w:r w:rsidRPr="00273106">
        <w:t>tně myslící kněz a filosof Siger</w:t>
      </w:r>
      <w:r w:rsidR="08951B9A">
        <w:t xml:space="preserve"> </w:t>
      </w:r>
      <w:r w:rsidR="08C51D47">
        <w:t>a jeho skupina artistů na Rue de Fouarre</w:t>
      </w:r>
      <w:r w:rsidR="08951B9A">
        <w:t xml:space="preserve">, kteří našli cestu ke „křesťanskému“ Aristotelovi danému podle </w:t>
      </w:r>
      <w:r w:rsidR="00B7215B">
        <w:t>„</w:t>
      </w:r>
      <w:r w:rsidR="08951B9A">
        <w:t>muslimského</w:t>
      </w:r>
      <w:r w:rsidR="00B7215B">
        <w:t>“</w:t>
      </w:r>
      <w:r w:rsidR="08951B9A">
        <w:t xml:space="preserve"> Komentátora</w:t>
      </w:r>
      <w:r w:rsidRPr="00273106">
        <w:t>.</w:t>
      </w:r>
      <w:r>
        <w:t xml:space="preserve"> </w:t>
      </w:r>
      <w:r w:rsidR="081173DF">
        <w:t xml:space="preserve">Sigerovo dílo </w:t>
      </w:r>
      <w:r>
        <w:t>se stal</w:t>
      </w:r>
      <w:r w:rsidR="081173DF">
        <w:t>o</w:t>
      </w:r>
      <w:r w:rsidR="08962040">
        <w:t xml:space="preserve"> základní inspirací magistrů pro </w:t>
      </w:r>
      <w:r>
        <w:t>prohlášení filosofické fakulty z roku 1272</w:t>
      </w:r>
      <w:r>
        <w:rPr>
          <w:szCs w:val="24"/>
        </w:rPr>
        <w:fldChar w:fldCharType="begin"/>
      </w:r>
      <w:r>
        <w:instrText xml:space="preserve"> XE "</w:instrText>
      </w:r>
      <w:r w:rsidRPr="00FD37CA">
        <w:rPr>
          <w:szCs w:val="24"/>
        </w:rPr>
        <w:instrText xml:space="preserve">dekret artistů </w:instrText>
      </w:r>
      <w:proofErr w:type="gramStart"/>
      <w:r w:rsidRPr="00FD37CA">
        <w:rPr>
          <w:szCs w:val="24"/>
        </w:rPr>
        <w:instrText>1272</w:instrText>
      </w:r>
      <w:r>
        <w:instrText xml:space="preserve">" </w:instrText>
      </w:r>
      <w:r>
        <w:rPr>
          <w:szCs w:val="24"/>
        </w:rPr>
        <w:fldChar w:fldCharType="end"/>
      </w:r>
      <w:r>
        <w:t>.  A pokud</w:t>
      </w:r>
      <w:proofErr w:type="gramEnd"/>
      <w:r>
        <w:t xml:space="preserve"> byl spis </w:t>
      </w:r>
      <w:r w:rsidRPr="00C7401B">
        <w:rPr>
          <w:i/>
          <w:lang w:eastAsia="en-US"/>
        </w:rPr>
        <w:t>De anima intellectiva</w:t>
      </w:r>
      <w:r>
        <w:rPr>
          <w:i/>
          <w:lang w:eastAsia="en-US"/>
        </w:rPr>
        <w:t xml:space="preserve"> </w:t>
      </w:r>
      <w:r w:rsidRPr="00865E56">
        <w:rPr>
          <w:lang w:eastAsia="en-US"/>
        </w:rPr>
        <w:t>nap</w:t>
      </w:r>
      <w:r>
        <w:rPr>
          <w:lang w:eastAsia="en-US"/>
        </w:rPr>
        <w:t>sán až po tomto prohlášení, tak</w:t>
      </w:r>
      <w:r w:rsidRPr="00865E56">
        <w:rPr>
          <w:lang w:eastAsia="en-US"/>
        </w:rPr>
        <w:t xml:space="preserve"> </w:t>
      </w:r>
      <w:r w:rsidRPr="00865E56">
        <w:rPr>
          <w:lang w:eastAsia="en-US"/>
        </w:rPr>
        <w:lastRenderedPageBreak/>
        <w:t>s</w:t>
      </w:r>
      <w:r>
        <w:rPr>
          <w:lang w:eastAsia="en-US"/>
        </w:rPr>
        <w:t xml:space="preserve">kvěle potvrdil jeho pravdivost jak proti avicennistickým modernistům, tak proti </w:t>
      </w:r>
      <w:r w:rsidR="00836BF6">
        <w:rPr>
          <w:lang w:eastAsia="en-US"/>
        </w:rPr>
        <w:t xml:space="preserve">aristotelským </w:t>
      </w:r>
      <w:r>
        <w:rPr>
          <w:lang w:eastAsia="en-US"/>
        </w:rPr>
        <w:t xml:space="preserve">semiaverroistům. Kritizoval jak nedotažený aristotelismus Akvinského, tak sofismata modernistů Bonaventurovy školy. Stejnou kritiku provedl ve stejné době i Bacon odmítnutím primátu objektivně-unitární filosofie nad teologií </w:t>
      </w:r>
      <w:r w:rsidRPr="00273106">
        <w:t>(</w:t>
      </w:r>
      <w:r w:rsidRPr="00273106">
        <w:rPr>
          <w:i/>
        </w:rPr>
        <w:t>philosophia dominatur in usu theologiam</w:t>
      </w:r>
      <w:r w:rsidR="08962040">
        <w:t xml:space="preserve">; OBJ II, </w:t>
      </w:r>
      <w:r w:rsidRPr="00A50106">
        <w:t>kap</w:t>
      </w:r>
      <w:r>
        <w:t>.</w:t>
      </w:r>
      <w:r w:rsidR="08962040">
        <w:t xml:space="preserve"> 3</w:t>
      </w:r>
      <w:r w:rsidRPr="00A50106">
        <w:t>.4.3</w:t>
      </w:r>
      <w:r w:rsidRPr="00273106">
        <w:t>)</w:t>
      </w:r>
      <w:r>
        <w:rPr>
          <w:lang w:eastAsia="en-US"/>
        </w:rPr>
        <w:t xml:space="preserve">. </w:t>
      </w:r>
      <w:r w:rsidR="08486559">
        <w:rPr>
          <w:lang w:eastAsia="en-US"/>
        </w:rPr>
        <w:t xml:space="preserve">Bacon kritizuje ideologizovanou filosofii modernistů, což je jen zdánlivě opačná pozice, než má Siger. </w:t>
      </w:r>
      <w:r w:rsidRPr="00273106">
        <w:t xml:space="preserve">Albert i Akvinský </w:t>
      </w:r>
      <w:r>
        <w:t xml:space="preserve">nepředložili analýzu fenomenologického průběhu poznání daného </w:t>
      </w:r>
      <w:r w:rsidRPr="00187DC5">
        <w:rPr>
          <w:i/>
        </w:rPr>
        <w:t>per prius</w:t>
      </w:r>
      <w:r>
        <w:t xml:space="preserve"> v existenciálním aktu jedinečné osoby. </w:t>
      </w:r>
      <w:r w:rsidRPr="00273106">
        <w:t xml:space="preserve">Hlavní důvod neúplné intence </w:t>
      </w:r>
      <w:r>
        <w:rPr>
          <w:i/>
        </w:rPr>
        <w:t>De anima</w:t>
      </w:r>
      <w:r w:rsidRPr="00273106">
        <w:t xml:space="preserve"> a CMDA </w:t>
      </w:r>
      <w:r>
        <w:t xml:space="preserve">charakterizoval výše uvedený citát slovem </w:t>
      </w:r>
      <w:r w:rsidRPr="00273106">
        <w:rPr>
          <w:i/>
          <w:lang w:eastAsia="en-US"/>
        </w:rPr>
        <w:t>deficiunt</w:t>
      </w:r>
      <w:r w:rsidRPr="00273106">
        <w:rPr>
          <w:lang w:eastAsia="en-US"/>
        </w:rPr>
        <w:t xml:space="preserve">. </w:t>
      </w:r>
      <w:r>
        <w:t xml:space="preserve">Oba myslitelé prvního averroismu vzali intelekt jako hypostázi (Akvinský) nebo </w:t>
      </w:r>
      <w:r w:rsidRPr="003C135D">
        <w:rPr>
          <w:i/>
        </w:rPr>
        <w:t>anima intellectiva</w:t>
      </w:r>
      <w:r>
        <w:t xml:space="preserve"> jako abstraktní </w:t>
      </w:r>
      <w:r w:rsidR="00087156">
        <w:t xml:space="preserve">esenci </w:t>
      </w:r>
      <w:r>
        <w:t xml:space="preserve">(Albert). Substanční pojetí a definice jsou sice věcně správné, ale </w:t>
      </w:r>
      <w:proofErr w:type="gramStart"/>
      <w:r>
        <w:t xml:space="preserve">nejdou  </w:t>
      </w:r>
      <w:r w:rsidRPr="00273106">
        <w:t>od</w:t>
      </w:r>
      <w:proofErr w:type="gramEnd"/>
      <w:r w:rsidRPr="00273106">
        <w:t xml:space="preserve"> zakoušené potence k postulované substanci</w:t>
      </w:r>
      <w:r>
        <w:t>,</w:t>
      </w:r>
      <w:r w:rsidRPr="00273106">
        <w:t xml:space="preserve"> jako to má </w:t>
      </w:r>
      <w:r>
        <w:t>Aristoteles</w:t>
      </w:r>
      <w:r w:rsidRPr="00273106">
        <w:t xml:space="preserve"> a CMDA</w:t>
      </w:r>
      <w:r>
        <w:fldChar w:fldCharType="begin"/>
      </w:r>
      <w:r>
        <w:instrText xml:space="preserve"> XE "</w:instrText>
      </w:r>
      <w:r w:rsidRPr="005F6AFC">
        <w:instrText>intelekt:</w:instrText>
      </w:r>
      <w:r w:rsidRPr="000126CA">
        <w:rPr>
          <w:i/>
        </w:rPr>
        <w:instrText>fieri/esse</w:instrText>
      </w:r>
      <w:r>
        <w:instrText xml:space="preserve">" </w:instrText>
      </w:r>
      <w:r>
        <w:fldChar w:fldCharType="end"/>
      </w:r>
      <w:r w:rsidRPr="00273106">
        <w:t xml:space="preserve">. </w:t>
      </w:r>
      <w:r>
        <w:t xml:space="preserve">Albertův důkaz není chybný, ale není vědecký </w:t>
      </w:r>
      <w:r w:rsidRPr="003C135D">
        <w:rPr>
          <w:i/>
        </w:rPr>
        <w:t>stricto sensu</w:t>
      </w:r>
      <w:r>
        <w:t xml:space="preserve">, protože nesleduje postup </w:t>
      </w:r>
      <w:r w:rsidRPr="00A1094D">
        <w:rPr>
          <w:i/>
        </w:rPr>
        <w:t>demonst</w:t>
      </w:r>
      <w:r>
        <w:rPr>
          <w:i/>
        </w:rPr>
        <w:t>rat</w:t>
      </w:r>
      <w:r w:rsidRPr="00A1094D">
        <w:rPr>
          <w:i/>
        </w:rPr>
        <w:t>io</w:t>
      </w:r>
      <w:r>
        <w:rPr>
          <w:i/>
        </w:rPr>
        <w:fldChar w:fldCharType="begin"/>
      </w:r>
      <w:r>
        <w:instrText xml:space="preserve"> XE "</w:instrText>
      </w:r>
      <w:r w:rsidRPr="004E6075">
        <w:rPr>
          <w:i/>
        </w:rPr>
        <w:instrText>demonstratio:</w:instrText>
      </w:r>
      <w:r>
        <w:instrText xml:space="preserve">Averroes" </w:instrText>
      </w:r>
      <w:r>
        <w:rPr>
          <w:i/>
        </w:rPr>
        <w:fldChar w:fldCharType="end"/>
      </w:r>
      <w:r>
        <w:t xml:space="preserve"> podle </w:t>
      </w:r>
      <w:r w:rsidRPr="086718CA">
        <w:rPr>
          <w:i/>
        </w:rPr>
        <w:t>Druhých analytik</w:t>
      </w:r>
      <w:r>
        <w:t xml:space="preserve">. Teolog </w:t>
      </w:r>
      <w:r w:rsidRPr="00273106">
        <w:t xml:space="preserve">Akvinský postavil bytí nemateriálního intelektu v modu </w:t>
      </w:r>
      <w:r w:rsidRPr="00273106">
        <w:rPr>
          <w:i/>
        </w:rPr>
        <w:t>per prius</w:t>
      </w:r>
      <w:r>
        <w:t xml:space="preserve"> a pak teprve hledal způsob, jak</w:t>
      </w:r>
      <w:r w:rsidRPr="00273106">
        <w:t xml:space="preserve"> toto nepomíjivé bytí intelektuální duše spojit s aktem vezdejší existence. Akvinského </w:t>
      </w:r>
      <w:r>
        <w:t xml:space="preserve">pojetí </w:t>
      </w:r>
      <w:r w:rsidRPr="00273106">
        <w:t>jedn</w:t>
      </w:r>
      <w:r>
        <w:t>oty intelektu a osoby je dáno</w:t>
      </w:r>
      <w:r w:rsidRPr="00273106">
        <w:t xml:space="preserve"> z pozice </w:t>
      </w:r>
      <w:r>
        <w:t xml:space="preserve">aristotelské </w:t>
      </w:r>
      <w:r w:rsidRPr="00273106">
        <w:t xml:space="preserve">filosofie, ale </w:t>
      </w:r>
      <w:r>
        <w:t>nerespektuje vědecky založenou jednotu osoby</w:t>
      </w:r>
      <w:r w:rsidR="08486559">
        <w:t xml:space="preserve"> pdle vědeckého důkazu </w:t>
      </w:r>
      <w:r w:rsidR="08486559" w:rsidRPr="08486559">
        <w:rPr>
          <w:i/>
        </w:rPr>
        <w:t>Druhých analytik</w:t>
      </w:r>
      <w:r>
        <w:t xml:space="preserve">. Náhled na jednotu </w:t>
      </w:r>
      <w:r w:rsidR="08DC7FC3">
        <w:t xml:space="preserve">osoby </w:t>
      </w:r>
      <w:r>
        <w:t xml:space="preserve">je veden </w:t>
      </w:r>
      <w:r w:rsidRPr="00273106">
        <w:t xml:space="preserve">spekulativně, tedy z pozice teologie. Siger, povoláním </w:t>
      </w:r>
      <w:r w:rsidR="00474270">
        <w:t xml:space="preserve">první evropský </w:t>
      </w:r>
      <w:r w:rsidRPr="00273106">
        <w:t>filosof</w:t>
      </w:r>
      <w:r>
        <w:t xml:space="preserve">, byl </w:t>
      </w:r>
      <w:r w:rsidRPr="00273106">
        <w:t xml:space="preserve">nejlepší aristotelik své doby a </w:t>
      </w:r>
      <w:r>
        <w:t xml:space="preserve">dodnes byl a je největší </w:t>
      </w:r>
      <w:r w:rsidRPr="00273106">
        <w:t xml:space="preserve">znalec </w:t>
      </w:r>
      <w:r>
        <w:t>Averroes</w:t>
      </w:r>
      <w:r w:rsidRPr="00273106">
        <w:t>e</w:t>
      </w:r>
      <w:r>
        <w:t xml:space="preserve">. Siger a jeho skupina </w:t>
      </w:r>
      <w:proofErr w:type="gramStart"/>
      <w:r>
        <w:t>tvrdila</w:t>
      </w:r>
      <w:proofErr w:type="gramEnd"/>
      <w:r>
        <w:t xml:space="preserve">, že zásadně a bezvýhradně </w:t>
      </w:r>
      <w:r w:rsidRPr="00273106">
        <w:t xml:space="preserve">platí teze </w:t>
      </w:r>
      <w:r w:rsidRPr="087549E5">
        <w:rPr>
          <w:i/>
        </w:rPr>
        <w:t>Druhých analytik</w:t>
      </w:r>
      <w:r w:rsidRPr="00273106">
        <w:t xml:space="preserve"> o rodové rozdílnosti teologie a filosofie, která nedovoluje jednotný vědecký důkaz</w:t>
      </w:r>
      <w:r>
        <w:t xml:space="preserve"> pro obě disciplíny</w:t>
      </w:r>
      <w:r w:rsidRPr="00273106">
        <w:t>. Pravda nadpřirozené víry nemůže být univočně dána s pravdou přirozeného rozumu</w:t>
      </w:r>
      <w:r>
        <w:fldChar w:fldCharType="begin"/>
      </w:r>
      <w:r>
        <w:instrText xml:space="preserve"> XE "</w:instrText>
      </w:r>
      <w:r w:rsidRPr="00900555">
        <w:instrText>teorie dvojí pravdy</w:instrText>
      </w:r>
      <w:r>
        <w:instrText xml:space="preserve">" </w:instrText>
      </w:r>
      <w:r>
        <w:fldChar w:fldCharType="end"/>
      </w:r>
      <w:r>
        <w:t xml:space="preserve">. Hermeneutika ukázala, že tuto tezi o vlastní důstojnosti filosofie a teologie hájil spis </w:t>
      </w:r>
      <w:r w:rsidRPr="00273106">
        <w:rPr>
          <w:i/>
          <w:lang w:eastAsia="en-US"/>
        </w:rPr>
        <w:t>De anima intellectiva</w:t>
      </w:r>
      <w:r w:rsidRPr="00273106">
        <w:rPr>
          <w:lang w:eastAsia="en-US"/>
        </w:rPr>
        <w:t xml:space="preserve"> </w:t>
      </w:r>
      <w:r>
        <w:t xml:space="preserve">ve </w:t>
      </w:r>
      <w:r w:rsidRPr="00273106">
        <w:t xml:space="preserve">sporu o status intelektu a duše v rámci </w:t>
      </w:r>
      <w:r w:rsidR="0048459D">
        <w:t xml:space="preserve">existující </w:t>
      </w:r>
      <w:r w:rsidRPr="00273106">
        <w:t>osoby</w:t>
      </w:r>
      <w:r w:rsidR="0048459D">
        <w:t xml:space="preserve">. Tento spor </w:t>
      </w:r>
      <w:r>
        <w:t xml:space="preserve">vypukl </w:t>
      </w:r>
      <w:r w:rsidR="0048459D">
        <w:t xml:space="preserve">v plné síle </w:t>
      </w:r>
      <w:r>
        <w:t xml:space="preserve">po </w:t>
      </w:r>
      <w:r w:rsidR="0048459D">
        <w:t xml:space="preserve">roce </w:t>
      </w:r>
      <w:r>
        <w:t>1270</w:t>
      </w:r>
      <w:r w:rsidRPr="00273106">
        <w:t xml:space="preserve">. </w:t>
      </w:r>
      <w:r>
        <w:t xml:space="preserve">Stejnou pozici ohledně </w:t>
      </w:r>
      <w:r w:rsidRPr="00273106">
        <w:rPr>
          <w:i/>
        </w:rPr>
        <w:t>dignitatis philosophia</w:t>
      </w:r>
      <w:r>
        <w:t xml:space="preserve"> hájil Bacon proti Bonaventurovi </w:t>
      </w:r>
      <w:r w:rsidRPr="00273106">
        <w:t>(</w:t>
      </w:r>
      <w:r w:rsidR="08CF129F">
        <w:t>OB II, kap. 3</w:t>
      </w:r>
      <w:r>
        <w:t xml:space="preserve">.4.3). </w:t>
      </w:r>
      <w:r w:rsidRPr="00273106">
        <w:t xml:space="preserve">Siger postavil vůči oběma dominikánům stejnou kritiku, jak to v předešlé generaci provedli aristotelikové jako Grosseteste a Bacon vůči Rufusovi, Kilwardbymu a Bonaventurovi. </w:t>
      </w:r>
      <w:r>
        <w:t xml:space="preserve">Siger se řadí k těmto význačným aristotelikům tím, že jasně oddělil dvě rodově odlišné vědy, teologii a filosofii. Hledání povahy duše je pro něj stejně jako pro biskupa Alverna filosofický úkol řešitelný v rámci rozumu, především podle Aristotela podaného v linii Komentátora </w:t>
      </w:r>
      <w:r w:rsidRPr="00273106">
        <w:t>(</w:t>
      </w:r>
      <w:r w:rsidRPr="00273106">
        <w:rPr>
          <w:i/>
        </w:rPr>
        <w:t xml:space="preserve">quaerimus enim </w:t>
      </w:r>
      <w:r w:rsidRPr="00273106">
        <w:rPr>
          <w:i/>
        </w:rPr>
        <w:lastRenderedPageBreak/>
        <w:t>hic solum intentionem philosophorum et praecipue Aristotelis</w:t>
      </w:r>
      <w:r w:rsidRPr="00F13831">
        <w:t>;</w:t>
      </w:r>
      <w:r>
        <w:rPr>
          <w:i/>
        </w:rPr>
        <w:t xml:space="preserve"> </w:t>
      </w:r>
      <w:r w:rsidRPr="00C7401B">
        <w:rPr>
          <w:i/>
          <w:lang w:eastAsia="en-US"/>
        </w:rPr>
        <w:t>De anima intellectiva</w:t>
      </w:r>
      <w:r>
        <w:rPr>
          <w:lang w:eastAsia="en-US"/>
        </w:rPr>
        <w:t xml:space="preserve"> </w:t>
      </w:r>
      <w:r>
        <w:t>3; p. 83.44</w:t>
      </w:r>
      <w:r>
        <w:fldChar w:fldCharType="begin"/>
      </w:r>
      <w:r>
        <w:instrText xml:space="preserve"> XE "Siger:</w:instrText>
      </w:r>
      <w:r w:rsidRPr="005D20AE">
        <w:rPr>
          <w:i/>
          <w:lang w:eastAsia="en-US"/>
        </w:rPr>
        <w:instrText>De anima intellectiva</w:instrText>
      </w:r>
      <w:r>
        <w:rPr>
          <w:i/>
          <w:lang w:eastAsia="en-US"/>
        </w:rPr>
        <w:instrText xml:space="preserve"> </w:instrText>
      </w:r>
      <w:r w:rsidRPr="005D20AE">
        <w:instrText>83.44</w:instrText>
      </w:r>
      <w:r>
        <w:instrText xml:space="preserve">" </w:instrText>
      </w:r>
      <w:r>
        <w:fldChar w:fldCharType="end"/>
      </w:r>
      <w:r w:rsidRPr="00273106">
        <w:t>).</w:t>
      </w:r>
      <w:r>
        <w:t xml:space="preserve"> K tomu patří i výše citovaná věta o tom, že filosofie se nebaví o zázracích, ale argumentuje přirozeným rozumem o přirozených věcech. </w:t>
      </w:r>
      <w:r w:rsidRPr="00273106">
        <w:t xml:space="preserve">Rozdíl mezi oběma </w:t>
      </w:r>
      <w:r>
        <w:t xml:space="preserve">školami </w:t>
      </w:r>
      <w:r w:rsidRPr="00273106">
        <w:t>ukazuje, jak hluboko pokročila integrace aristotelismu do teologie</w:t>
      </w:r>
      <w:r>
        <w:t>, kterou zahájila Toledská škola</w:t>
      </w:r>
      <w:r w:rsidRPr="00273106">
        <w:t xml:space="preserve">. </w:t>
      </w:r>
      <w:r>
        <w:t xml:space="preserve">Akvinský se stal v další generaci novým členem školy </w:t>
      </w:r>
      <w:r w:rsidRPr="001578F8">
        <w:rPr>
          <w:i/>
        </w:rPr>
        <w:t>sequaces Aristotelis</w:t>
      </w:r>
      <w:r>
        <w:rPr>
          <w:i/>
        </w:rPr>
        <w:fldChar w:fldCharType="begin"/>
      </w:r>
      <w:r>
        <w:instrText xml:space="preserve"> XE "</w:instrText>
      </w:r>
      <w:r w:rsidRPr="001578F8">
        <w:instrText>první averroismus</w:instrText>
      </w:r>
      <w:r w:rsidRPr="007068FD">
        <w:rPr>
          <w:i/>
        </w:rPr>
        <w:instrText>:sequaces Aristotelis</w:instrText>
      </w:r>
      <w:r>
        <w:instrText xml:space="preserve">" </w:instrText>
      </w:r>
      <w:r>
        <w:rPr>
          <w:i/>
        </w:rPr>
        <w:fldChar w:fldCharType="end"/>
      </w:r>
      <w:r>
        <w:t xml:space="preserve">, i když v jiném smyslu než byl druhý averroismus. </w:t>
      </w:r>
      <w:r w:rsidRPr="00273106">
        <w:t>Grosseteste kolem 1235 v citované poznámce obhajuje dvojí pravdu, filosofickou a teologickou, proti nominalistickým kritikům Aristotela ze školy druhého averroismu. Udělali z Aristotela heretika, a tím sami sebe usvědčují z hereze</w:t>
      </w:r>
      <w:r>
        <w:t xml:space="preserve"> (</w:t>
      </w:r>
      <w:r w:rsidR="08CF129F">
        <w:t>OBJ II, kap. 3</w:t>
      </w:r>
      <w:r w:rsidRPr="00564CE7">
        <w:t>.4.2</w:t>
      </w:r>
      <w:r>
        <w:t>)</w:t>
      </w:r>
      <w:r w:rsidRPr="00273106">
        <w:t xml:space="preserve">. Připomeňme v této souvislosti Baconovu kritiku </w:t>
      </w:r>
      <w:r>
        <w:t>mendikantských teologických škol, které byly odpovědné za nedostatečné vědecké vzdělání moderních teologů, a navíc pracovaly s  neoplatonskými překlady Korpusu podle Toledské školy</w:t>
      </w:r>
      <w:r>
        <w:fldChar w:fldCharType="begin"/>
      </w:r>
      <w:r>
        <w:instrText xml:space="preserve"> XE "</w:instrText>
      </w:r>
      <w:r w:rsidRPr="080457BD">
        <w:instrText>Toledská škola</w:instrText>
      </w:r>
      <w:r>
        <w:instrText xml:space="preserve">" </w:instrText>
      </w:r>
      <w:r>
        <w:fldChar w:fldCharType="end"/>
      </w:r>
      <w:r w:rsidRPr="00273106">
        <w:t xml:space="preserve">. </w:t>
      </w:r>
      <w:r>
        <w:t xml:space="preserve">Tento deficit kritického aristotelského myšlení je jasně vidět na gigantomachii o nový výklad Aristotela. </w:t>
      </w:r>
      <w:r w:rsidRPr="00273106">
        <w:t>Podle jemné, ale přesné kritiky Sigera staví Akvinský a Albert teologii nad filosofii</w:t>
      </w:r>
      <w:r>
        <w:t>, protože do filosofie zavedli dogmatický aristotelismus. T</w:t>
      </w:r>
      <w:r w:rsidRPr="00273106">
        <w:t xml:space="preserve">o </w:t>
      </w:r>
      <w:r>
        <w:t xml:space="preserve">je </w:t>
      </w:r>
      <w:r w:rsidRPr="00273106">
        <w:t>výslovně daná pozice</w:t>
      </w:r>
      <w:r w:rsidRPr="00601DFE">
        <w:t xml:space="preserve"> </w:t>
      </w:r>
      <w:r w:rsidRPr="00273106">
        <w:t xml:space="preserve">Akvinského, protože podle biblické </w:t>
      </w:r>
      <w:r w:rsidRPr="08482C15">
        <w:rPr>
          <w:i/>
        </w:rPr>
        <w:t>Písně Písní</w:t>
      </w:r>
      <w:r w:rsidRPr="00273106">
        <w:t xml:space="preserve"> je teologie královnou, které mají ostatní vědy pokorně sloužit (</w:t>
      </w:r>
      <w:r w:rsidRPr="00273106">
        <w:rPr>
          <w:bCs/>
          <w:i/>
        </w:rPr>
        <w:t>aliae</w:t>
      </w:r>
      <w:r w:rsidRPr="00273106">
        <w:t xml:space="preserve"> </w:t>
      </w:r>
      <w:r w:rsidRPr="00273106">
        <w:rPr>
          <w:bCs/>
          <w:i/>
        </w:rPr>
        <w:t>scientiae</w:t>
      </w:r>
      <w:r w:rsidRPr="00273106">
        <w:rPr>
          <w:i/>
        </w:rPr>
        <w:t xml:space="preserve"> </w:t>
      </w:r>
      <w:r w:rsidRPr="00273106">
        <w:rPr>
          <w:bCs/>
          <w:i/>
        </w:rPr>
        <w:t>dicuntur</w:t>
      </w:r>
      <w:r w:rsidRPr="00273106">
        <w:rPr>
          <w:i/>
        </w:rPr>
        <w:t xml:space="preserve"> ancillae huius</w:t>
      </w:r>
      <w:r>
        <w:t xml:space="preserve">; ST </w:t>
      </w:r>
      <w:r w:rsidRPr="00273106">
        <w:t xml:space="preserve">I, </w:t>
      </w:r>
      <w:r w:rsidRPr="00273106">
        <w:rPr>
          <w:rStyle w:val="ref"/>
        </w:rPr>
        <w:t>q. 1, a. 5</w:t>
      </w:r>
      <w:r>
        <w:rPr>
          <w:rStyle w:val="ref"/>
        </w:rPr>
        <w:fldChar w:fldCharType="begin"/>
      </w:r>
      <w:r>
        <w:instrText xml:space="preserve"> XE "Akvinský:</w:instrText>
      </w:r>
      <w:proofErr w:type="gramStart"/>
      <w:r w:rsidRPr="00781182">
        <w:instrText>ST I</w:instrText>
      </w:r>
      <w:r>
        <w:instrText>.1.5</w:instrText>
      </w:r>
      <w:proofErr w:type="gramEnd"/>
      <w:r>
        <w:instrText xml:space="preserve">" </w:instrText>
      </w:r>
      <w:r>
        <w:rPr>
          <w:rStyle w:val="ref"/>
        </w:rPr>
        <w:fldChar w:fldCharType="end"/>
      </w:r>
      <w:r>
        <w:rPr>
          <w:rStyle w:val="ref"/>
        </w:rPr>
        <w:t>; ed. Leonina 4, 16</w:t>
      </w:r>
      <w:r w:rsidRPr="00273106">
        <w:t xml:space="preserve">). Siger ukazuje oběma zastáncům prvního averroismu a znalcům Aristotela, že nadvláda teologie nad filosofí v </w:t>
      </w:r>
      <w:r>
        <w:t>otázce jednoty</w:t>
      </w:r>
      <w:r w:rsidRPr="00273106">
        <w:t xml:space="preserve"> osoby a intelektu vede k tomu, že filosofie prohraje</w:t>
      </w:r>
      <w:r>
        <w:t>,</w:t>
      </w:r>
      <w:r w:rsidRPr="00273106">
        <w:t xml:space="preserve"> a s ní i pravda rozumu. A to podle </w:t>
      </w:r>
      <w:r>
        <w:t xml:space="preserve">katolického </w:t>
      </w:r>
      <w:r w:rsidRPr="00273106">
        <w:t>kněze Sigera není dobré ani pro teologii</w:t>
      </w:r>
      <w:r>
        <w:t>, natož pro filosofii. Moudrost je totiž křesťanská jen tehdy, když je pravdivá, třebas s pohanem Averroesem a navzdory svatořečenému Akvinskému. V tom se Siger shodoval s postojem Williama z Auvergne, který byl v předešlé generaci skutečných aristoteliků pařížským biskupem a kancléřem zdejší univerzity. Moudrý kněz</w:t>
      </w:r>
      <w:r w:rsidRPr="00273106">
        <w:t xml:space="preserve"> </w:t>
      </w:r>
      <w:r>
        <w:t xml:space="preserve">a teolog </w:t>
      </w:r>
      <w:r w:rsidR="08110EB4">
        <w:t xml:space="preserve">Siger </w:t>
      </w:r>
      <w:r w:rsidRPr="00273106">
        <w:t xml:space="preserve">nemůže připustit mesalianci </w:t>
      </w:r>
      <w:r>
        <w:t xml:space="preserve">chybně vyloženého </w:t>
      </w:r>
      <w:r w:rsidRPr="00273106">
        <w:t>Aristotela a křesťanské teologie</w:t>
      </w:r>
      <w:r>
        <w:t>, navíc pouhé dvě dekády od smrti biskupa Alverna, jehož působení Siger možná ještě zažil během svých bakalářských studií</w:t>
      </w:r>
      <w:r w:rsidRPr="00273106">
        <w:t xml:space="preserve">. </w:t>
      </w:r>
      <w:r>
        <w:t>Siger jistě neměl při inkvizičním vyšetřování vedeným v letech 1275‒76 papežským delegátem (dominikán Simon du Val</w:t>
      </w:r>
      <w:r>
        <w:fldChar w:fldCharType="begin"/>
      </w:r>
      <w:r>
        <w:instrText xml:space="preserve"> XE "</w:instrText>
      </w:r>
      <w:r w:rsidRPr="00CF02FC">
        <w:instrText>Simon du Val</w:instrText>
      </w:r>
      <w:r>
        <w:instrText xml:space="preserve">" </w:instrText>
      </w:r>
      <w:r>
        <w:fldChar w:fldCharType="end"/>
      </w:r>
      <w:r>
        <w:t xml:space="preserve">) žádný velký problém. Stačilo se odvolat na celou tradici prvního averroismu na Pařížské univerzitě korunovanou Alvernovým rozlišením mezi heretickými </w:t>
      </w:r>
      <w:r w:rsidRPr="00744CBD">
        <w:rPr>
          <w:i/>
        </w:rPr>
        <w:t>sequaces Aristotelis</w:t>
      </w:r>
      <w:r>
        <w:rPr>
          <w:i/>
        </w:rPr>
        <w:fldChar w:fldCharType="begin"/>
      </w:r>
      <w:r>
        <w:instrText xml:space="preserve"> XE "druhý averroismus:</w:instrText>
      </w:r>
      <w:r w:rsidRPr="00742B72">
        <w:rPr>
          <w:i/>
        </w:rPr>
        <w:instrText>sequaces Aristotelis</w:instrText>
      </w:r>
      <w:r>
        <w:instrText xml:space="preserve">" </w:instrText>
      </w:r>
      <w:r>
        <w:rPr>
          <w:i/>
        </w:rPr>
        <w:fldChar w:fldCharType="end"/>
      </w:r>
      <w:r>
        <w:t xml:space="preserve">, od nichž se odlišil jediný </w:t>
      </w:r>
      <w:r w:rsidRPr="008C2D49">
        <w:rPr>
          <w:i/>
        </w:rPr>
        <w:t>philoso</w:t>
      </w:r>
      <w:r>
        <w:rPr>
          <w:i/>
        </w:rPr>
        <w:t>p</w:t>
      </w:r>
      <w:r w:rsidRPr="008C2D49">
        <w:rPr>
          <w:i/>
        </w:rPr>
        <w:t>hus nobilissimus</w:t>
      </w:r>
      <w:r>
        <w:t xml:space="preserve">, </w:t>
      </w:r>
      <w:r>
        <w:lastRenderedPageBreak/>
        <w:t>kterým byl pochopitelně Averroes (</w:t>
      </w:r>
      <w:r w:rsidR="08654E68">
        <w:t>OBJ II, kap. 2</w:t>
      </w:r>
      <w:r>
        <w:t>.3). Ale univerzitu už musel opustit, protože zmíněná stalinská pětiletka latinských sofistů, modernistů a agresivních semiaverroistů typu Aegidia byla úspěšná (1272‒77). Z předloženého výkladu je naprosto jasné, že h</w:t>
      </w:r>
      <w:r w:rsidRPr="00273106">
        <w:t>ermeneutika nemůže souhlasit s romantickou zápletkou o pečlivém filosofu Sigerovi, který prý byl umírněný averroista, ale po 1270 se pokorně podřídil genialitě Akvinského. Tyto teze odmítl již Gilson</w:t>
      </w:r>
      <w:r>
        <w:fldChar w:fldCharType="begin"/>
      </w:r>
      <w:r>
        <w:instrText xml:space="preserve"> XE "</w:instrText>
      </w:r>
      <w:r w:rsidRPr="00AE407F">
        <w:instrText>Gilson, E.</w:instrText>
      </w:r>
      <w:r>
        <w:instrText xml:space="preserve">" </w:instrText>
      </w:r>
      <w:r>
        <w:fldChar w:fldCharType="end"/>
      </w:r>
      <w:r w:rsidRPr="00273106">
        <w:t xml:space="preserve"> v</w:t>
      </w:r>
      <w:r>
        <w:t xml:space="preserve"> závěru monografie o</w:t>
      </w:r>
      <w:r w:rsidRPr="00273106">
        <w:t xml:space="preserve"> Dantovi</w:t>
      </w:r>
      <w:r>
        <w:t xml:space="preserve"> z roku 1939</w:t>
      </w:r>
      <w:r w:rsidRPr="00273106">
        <w:t>.</w:t>
      </w:r>
      <w:r>
        <w:t xml:space="preserve"> </w:t>
      </w:r>
      <w:r w:rsidRPr="00273106">
        <w:t xml:space="preserve">Polemika ohledně </w:t>
      </w:r>
      <w:r>
        <w:t xml:space="preserve">pravdivého </w:t>
      </w:r>
      <w:r w:rsidRPr="00273106">
        <w:rPr>
          <w:i/>
        </w:rPr>
        <w:t>intentum</w:t>
      </w:r>
      <w:r w:rsidRPr="00273106">
        <w:t xml:space="preserve"> </w:t>
      </w:r>
      <w:r>
        <w:t xml:space="preserve">Aristotela </w:t>
      </w:r>
      <w:r w:rsidRPr="00273106">
        <w:t xml:space="preserve">tvoří </w:t>
      </w:r>
      <w:r w:rsidRPr="00273106">
        <w:rPr>
          <w:lang w:eastAsia="en-US"/>
        </w:rPr>
        <w:t xml:space="preserve">zásadní přínos Sigera k epochálnímu utváření západní metafyziky. </w:t>
      </w:r>
      <w:r>
        <w:rPr>
          <w:lang w:eastAsia="en-US"/>
        </w:rPr>
        <w:t xml:space="preserve">Pro hermeneutiku hájící aristotelskou </w:t>
      </w:r>
      <w:r w:rsidRPr="087879A5">
        <w:rPr>
          <w:i/>
          <w:lang w:eastAsia="en-US"/>
        </w:rPr>
        <w:t>alétheia</w:t>
      </w:r>
      <w:r>
        <w:rPr>
          <w:lang w:eastAsia="en-US"/>
        </w:rPr>
        <w:t xml:space="preserve"> magistrů z Rue du Fouarre je naprosto zřejmé, že titul </w:t>
      </w:r>
      <w:r w:rsidRPr="08B73C0E">
        <w:rPr>
          <w:i/>
          <w:lang w:eastAsia="en-US"/>
        </w:rPr>
        <w:t>Expositor Novus</w:t>
      </w:r>
      <w:r>
        <w:rPr>
          <w:i/>
          <w:lang w:eastAsia="en-US"/>
        </w:rPr>
        <w:fldChar w:fldCharType="begin"/>
      </w:r>
      <w:r>
        <w:instrText xml:space="preserve"> XE "</w:instrText>
      </w:r>
      <w:r w:rsidRPr="08BD0834">
        <w:rPr>
          <w:i/>
        </w:rPr>
        <w:instrText>Expositor Novus</w:instrText>
      </w:r>
      <w:r>
        <w:instrText xml:space="preserve">" </w:instrText>
      </w:r>
      <w:r>
        <w:rPr>
          <w:i/>
          <w:lang w:eastAsia="en-US"/>
        </w:rPr>
        <w:fldChar w:fldCharType="end"/>
      </w:r>
      <w:r>
        <w:rPr>
          <w:lang w:eastAsia="en-US"/>
        </w:rPr>
        <w:t xml:space="preserve"> patří Sigerovi. Na rozdíl od semiaverroismu Alberta a Akvinského tento skromný kněz a myslitel plně obhájil jednotu osoby, jak to požadoval biskup Alvernus při kritice modernistů. Za zásluhy o filosofické zdůvodnění jednoty osoby a pravdy mu patří plným právem titul „</w:t>
      </w:r>
      <w:r w:rsidR="00E7121F">
        <w:rPr>
          <w:lang w:eastAsia="en-US"/>
        </w:rPr>
        <w:t xml:space="preserve">filosofický </w:t>
      </w:r>
      <w:r>
        <w:rPr>
          <w:lang w:eastAsia="en-US"/>
        </w:rPr>
        <w:t xml:space="preserve">učitel církve“, který </w:t>
      </w:r>
      <w:r w:rsidRPr="0818465A">
        <w:rPr>
          <w:i/>
          <w:lang w:eastAsia="en-US"/>
        </w:rPr>
        <w:t>Doctor Invidiosus</w:t>
      </w:r>
      <w:r>
        <w:rPr>
          <w:i/>
          <w:lang w:eastAsia="en-US"/>
        </w:rPr>
        <w:fldChar w:fldCharType="begin"/>
      </w:r>
      <w:r>
        <w:instrText xml:space="preserve"> XE "</w:instrText>
      </w:r>
      <w:r w:rsidRPr="08B903A4">
        <w:rPr>
          <w:i/>
          <w:lang w:eastAsia="en-US"/>
        </w:rPr>
        <w:instrText>Doctor Invidiosus</w:instrText>
      </w:r>
      <w:r>
        <w:instrText xml:space="preserve">" </w:instrText>
      </w:r>
      <w:r>
        <w:rPr>
          <w:i/>
          <w:lang w:eastAsia="en-US"/>
        </w:rPr>
        <w:fldChar w:fldCharType="end"/>
      </w:r>
      <w:r>
        <w:rPr>
          <w:lang w:eastAsia="en-US"/>
        </w:rPr>
        <w:t xml:space="preserve"> jednou jistě dostane</w:t>
      </w:r>
      <w:r w:rsidR="00A8790C">
        <w:rPr>
          <w:lang w:eastAsia="en-US"/>
        </w:rPr>
        <w:t xml:space="preserve">. Zvláště, když učitelé církve už jsou teologové jako </w:t>
      </w:r>
      <w:r w:rsidR="08654E68">
        <w:rPr>
          <w:lang w:eastAsia="en-US"/>
        </w:rPr>
        <w:t>Akvinský a Bonaventura.</w:t>
      </w:r>
      <w:r w:rsidR="00A8790C">
        <w:rPr>
          <w:lang w:eastAsia="en-US"/>
        </w:rPr>
        <w:t xml:space="preserve"> </w:t>
      </w:r>
      <w:r w:rsidR="00A8790C" w:rsidRPr="00A8790C">
        <w:rPr>
          <w:lang w:eastAsia="en-US"/>
        </w:rPr>
        <w:t>Díky Sigerově filozo</w:t>
      </w:r>
      <w:r w:rsidR="003E19FC">
        <w:rPr>
          <w:lang w:eastAsia="en-US"/>
        </w:rPr>
        <w:t>fii se Komentátor již stal filos</w:t>
      </w:r>
      <w:r w:rsidR="00A8790C" w:rsidRPr="00A8790C">
        <w:rPr>
          <w:lang w:eastAsia="en-US"/>
        </w:rPr>
        <w:t xml:space="preserve">ofickým učitelem </w:t>
      </w:r>
      <w:r w:rsidR="006979EF" w:rsidRPr="00A8790C">
        <w:rPr>
          <w:lang w:eastAsia="en-US"/>
        </w:rPr>
        <w:t xml:space="preserve">celého </w:t>
      </w:r>
      <w:r w:rsidR="006979EF">
        <w:rPr>
          <w:lang w:eastAsia="en-US"/>
        </w:rPr>
        <w:t xml:space="preserve">myslícího </w:t>
      </w:r>
      <w:r w:rsidR="006979EF" w:rsidRPr="00A8790C">
        <w:rPr>
          <w:lang w:eastAsia="en-US"/>
        </w:rPr>
        <w:t>Západu</w:t>
      </w:r>
      <w:r w:rsidR="006979EF">
        <w:rPr>
          <w:lang w:eastAsia="en-US"/>
        </w:rPr>
        <w:t xml:space="preserve"> </w:t>
      </w:r>
      <w:r w:rsidR="00A8790C" w:rsidRPr="00A8790C">
        <w:rPr>
          <w:lang w:eastAsia="en-US"/>
        </w:rPr>
        <w:t>s čestným titulem</w:t>
      </w:r>
      <w:r w:rsidR="00957B89">
        <w:rPr>
          <w:lang w:eastAsia="en-US"/>
        </w:rPr>
        <w:t xml:space="preserve"> „</w:t>
      </w:r>
      <w:r w:rsidR="00A8790C">
        <w:rPr>
          <w:lang w:eastAsia="en-US"/>
        </w:rPr>
        <w:t>T</w:t>
      </w:r>
      <w:r w:rsidR="006979EF">
        <w:rPr>
          <w:lang w:eastAsia="en-US"/>
        </w:rPr>
        <w:t>řetí</w:t>
      </w:r>
      <w:r w:rsidR="00A8790C">
        <w:rPr>
          <w:lang w:eastAsia="en-US"/>
        </w:rPr>
        <w:t xml:space="preserve"> M</w:t>
      </w:r>
      <w:r w:rsidR="00957B89">
        <w:rPr>
          <w:lang w:eastAsia="en-US"/>
        </w:rPr>
        <w:t>istr“</w:t>
      </w:r>
      <w:r w:rsidR="00A8790C" w:rsidRPr="00A8790C">
        <w:rPr>
          <w:lang w:eastAsia="en-US"/>
        </w:rPr>
        <w:t xml:space="preserve"> </w:t>
      </w:r>
      <w:r w:rsidR="00EA76CE">
        <w:rPr>
          <w:lang w:eastAsia="en-US"/>
        </w:rPr>
        <w:t xml:space="preserve">a </w:t>
      </w:r>
      <w:r w:rsidR="00EA76CE" w:rsidRPr="00953C72">
        <w:rPr>
          <w:i/>
          <w:szCs w:val="24"/>
        </w:rPr>
        <w:t>Philosophus Nobilissimus</w:t>
      </w:r>
      <w:r w:rsidR="00A8790C" w:rsidRPr="00A8790C">
        <w:rPr>
          <w:lang w:eastAsia="en-US"/>
        </w:rPr>
        <w:t>.</w:t>
      </w:r>
    </w:p>
    <w:p w:rsidR="08163013" w:rsidRPr="009E4099" w:rsidRDefault="08654E68" w:rsidP="08654E68">
      <w:pPr>
        <w:ind w:firstLine="397"/>
      </w:pPr>
      <w:r>
        <w:rPr>
          <w:lang w:eastAsia="en-US"/>
        </w:rPr>
        <w:t>N</w:t>
      </w:r>
      <w:r w:rsidR="008018F4">
        <w:rPr>
          <w:lang w:eastAsia="en-US"/>
        </w:rPr>
        <w:t xml:space="preserve">uceným odchodem </w:t>
      </w:r>
      <w:r>
        <w:rPr>
          <w:lang w:eastAsia="en-US"/>
        </w:rPr>
        <w:t xml:space="preserve">Sigera </w:t>
      </w:r>
      <w:r w:rsidR="008018F4">
        <w:rPr>
          <w:lang w:eastAsia="en-US"/>
        </w:rPr>
        <w:t>z funkce r</w:t>
      </w:r>
      <w:r w:rsidR="08163013">
        <w:rPr>
          <w:lang w:eastAsia="en-US"/>
        </w:rPr>
        <w:t xml:space="preserve">ektora a nakonec </w:t>
      </w:r>
      <w:r>
        <w:rPr>
          <w:lang w:eastAsia="en-US"/>
        </w:rPr>
        <w:t xml:space="preserve">i jeho kolegů </w:t>
      </w:r>
      <w:r w:rsidR="08163013">
        <w:rPr>
          <w:lang w:eastAsia="en-US"/>
        </w:rPr>
        <w:t xml:space="preserve">z katedry na Rue du Fouarre </w:t>
      </w:r>
      <w:r w:rsidR="08163013" w:rsidRPr="00273106">
        <w:rPr>
          <w:lang w:eastAsia="en-US"/>
        </w:rPr>
        <w:t xml:space="preserve">začíná </w:t>
      </w:r>
      <w:r w:rsidR="08163013">
        <w:rPr>
          <w:lang w:eastAsia="en-US"/>
        </w:rPr>
        <w:t xml:space="preserve">nová fáze </w:t>
      </w:r>
      <w:r w:rsidR="08163013" w:rsidRPr="00273106">
        <w:rPr>
          <w:i/>
          <w:lang w:eastAsia="en-US"/>
        </w:rPr>
        <w:t>Seinsvergessenheit</w:t>
      </w:r>
      <w:r w:rsidR="08163013">
        <w:rPr>
          <w:i/>
          <w:lang w:eastAsia="en-US"/>
        </w:rPr>
        <w:fldChar w:fldCharType="begin"/>
      </w:r>
      <w:r w:rsidR="08163013">
        <w:instrText xml:space="preserve"> XE "</w:instrText>
      </w:r>
      <w:r w:rsidR="08163013" w:rsidRPr="003B3CCF">
        <w:rPr>
          <w:i/>
        </w:rPr>
        <w:instrText>Seinsvergessenheit</w:instrText>
      </w:r>
      <w:r w:rsidR="08163013">
        <w:instrText xml:space="preserve">" </w:instrText>
      </w:r>
      <w:r w:rsidR="08163013">
        <w:rPr>
          <w:i/>
          <w:lang w:eastAsia="en-US"/>
        </w:rPr>
        <w:fldChar w:fldCharType="end"/>
      </w:r>
      <w:r w:rsidR="08163013" w:rsidRPr="00273106">
        <w:rPr>
          <w:lang w:eastAsia="en-US"/>
        </w:rPr>
        <w:t xml:space="preserve"> západního nihilistického myšlení</w:t>
      </w:r>
      <w:r w:rsidR="08163013">
        <w:rPr>
          <w:lang w:eastAsia="en-US"/>
        </w:rPr>
        <w:t xml:space="preserve"> </w:t>
      </w:r>
      <w:r w:rsidR="008018F4">
        <w:rPr>
          <w:lang w:eastAsia="en-US"/>
        </w:rPr>
        <w:t xml:space="preserve">daná </w:t>
      </w:r>
      <w:r w:rsidR="00FC73CC">
        <w:rPr>
          <w:lang w:eastAsia="en-US"/>
        </w:rPr>
        <w:t xml:space="preserve">dokonce </w:t>
      </w:r>
      <w:r w:rsidR="08163013">
        <w:rPr>
          <w:lang w:eastAsia="en-US"/>
        </w:rPr>
        <w:t>uvnitř prvního averroismu</w:t>
      </w:r>
      <w:r w:rsidR="08163013" w:rsidRPr="00273106">
        <w:rPr>
          <w:lang w:eastAsia="en-US"/>
        </w:rPr>
        <w:t xml:space="preserve">. </w:t>
      </w:r>
      <w:r w:rsidR="08163013">
        <w:rPr>
          <w:lang w:eastAsia="en-US"/>
        </w:rPr>
        <w:t xml:space="preserve">Výklad </w:t>
      </w:r>
      <w:r w:rsidR="08163013" w:rsidRPr="00273106">
        <w:rPr>
          <w:lang w:eastAsia="en-US"/>
        </w:rPr>
        <w:t xml:space="preserve">Alberta a </w:t>
      </w:r>
      <w:r w:rsidR="08163013">
        <w:rPr>
          <w:lang w:eastAsia="en-US"/>
        </w:rPr>
        <w:t>Akvinského objektivoval</w:t>
      </w:r>
      <w:r w:rsidR="08163013" w:rsidRPr="00273106">
        <w:rPr>
          <w:lang w:eastAsia="en-US"/>
        </w:rPr>
        <w:t xml:space="preserve"> </w:t>
      </w:r>
      <w:r w:rsidR="08163013">
        <w:rPr>
          <w:lang w:eastAsia="en-US"/>
        </w:rPr>
        <w:t xml:space="preserve">numericky jednotnou osobu </w:t>
      </w:r>
      <w:r w:rsidR="08163013" w:rsidRPr="00273106">
        <w:rPr>
          <w:lang w:eastAsia="en-US"/>
        </w:rPr>
        <w:t>v deficientním modu identity a v tomto vývoji pokračovala celá moderna</w:t>
      </w:r>
      <w:r w:rsidR="08163013">
        <w:rPr>
          <w:lang w:eastAsia="en-US"/>
        </w:rPr>
        <w:fldChar w:fldCharType="begin"/>
      </w:r>
      <w:r w:rsidR="08163013">
        <w:instrText xml:space="preserve"> XE "</w:instrText>
      </w:r>
      <w:r w:rsidR="08163013" w:rsidRPr="009E2166">
        <w:instrText>osoba:</w:instrText>
      </w:r>
      <w:r w:rsidR="08163013" w:rsidRPr="00D41E15">
        <w:rPr>
          <w:i/>
        </w:rPr>
        <w:instrText>ipse/idem</w:instrText>
      </w:r>
      <w:r w:rsidR="08163013">
        <w:instrText xml:space="preserve">" </w:instrText>
      </w:r>
      <w:r w:rsidR="08163013">
        <w:rPr>
          <w:lang w:eastAsia="en-US"/>
        </w:rPr>
        <w:fldChar w:fldCharType="end"/>
      </w:r>
      <w:r w:rsidR="08163013" w:rsidRPr="00273106">
        <w:rPr>
          <w:lang w:eastAsia="en-US"/>
        </w:rPr>
        <w:t xml:space="preserve">. Druhý averroismus nemohl dokonce mít ani numerickou identitu osoby v modu </w:t>
      </w:r>
      <w:r w:rsidR="08163013" w:rsidRPr="00273106">
        <w:rPr>
          <w:i/>
          <w:lang w:eastAsia="en-US"/>
        </w:rPr>
        <w:t>idem</w:t>
      </w:r>
      <w:r w:rsidR="08163013" w:rsidRPr="00273106">
        <w:rPr>
          <w:lang w:eastAsia="en-US"/>
        </w:rPr>
        <w:t>, protože postuloval v člověku pluralitu subst</w:t>
      </w:r>
      <w:r w:rsidR="08163013">
        <w:rPr>
          <w:lang w:eastAsia="en-US"/>
        </w:rPr>
        <w:t xml:space="preserve">ancí. </w:t>
      </w:r>
      <w:r w:rsidR="08163013" w:rsidRPr="00273106">
        <w:rPr>
          <w:lang w:eastAsia="en-US"/>
        </w:rPr>
        <w:t>Ipseita subjektu přestala ve filosofii tématem na půl tisíciletí, protože zůstala nepochopena Sigerova brilantní kritika Alberta a Akvinského</w:t>
      </w:r>
      <w:r w:rsidR="0079731A">
        <w:rPr>
          <w:lang w:eastAsia="en-US"/>
        </w:rPr>
        <w:t xml:space="preserve"> v rámci prvního averroismu</w:t>
      </w:r>
      <w:r w:rsidR="08163013" w:rsidRPr="00273106">
        <w:rPr>
          <w:lang w:eastAsia="en-US"/>
        </w:rPr>
        <w:t xml:space="preserve">. </w:t>
      </w:r>
      <w:r w:rsidR="08163013">
        <w:t xml:space="preserve">Jeho spor s Tomášem dále vyložíme v další kapitole z pozice tomismu. Siger odmítá </w:t>
      </w:r>
      <w:r w:rsidR="08163013" w:rsidRPr="00273106">
        <w:t xml:space="preserve">intelekt jako </w:t>
      </w:r>
      <w:r w:rsidR="08163013">
        <w:t>hypostázovanou formu</w:t>
      </w:r>
      <w:r w:rsidR="08163013" w:rsidRPr="00273106">
        <w:t xml:space="preserve"> (</w:t>
      </w:r>
      <w:r w:rsidR="08163013">
        <w:t xml:space="preserve">viz Akvinského termín </w:t>
      </w:r>
      <w:r w:rsidR="08163013" w:rsidRPr="00273106">
        <w:rPr>
          <w:i/>
        </w:rPr>
        <w:t>qua</w:t>
      </w:r>
      <w:r w:rsidR="08163013" w:rsidRPr="00273106">
        <w:rPr>
          <w:i/>
          <w:vertAlign w:val="superscript"/>
        </w:rPr>
        <w:t>2</w:t>
      </w:r>
      <w:r w:rsidR="08163013" w:rsidRPr="00273106">
        <w:t>)</w:t>
      </w:r>
      <w:r w:rsidR="08163013" w:rsidRPr="006C7A0F">
        <w:rPr>
          <w:i/>
        </w:rPr>
        <w:fldChar w:fldCharType="begin"/>
      </w:r>
      <w:r w:rsidR="08163013" w:rsidRPr="006C7A0F">
        <w:instrText xml:space="preserve"> XE "intelekt:modus </w:instrText>
      </w:r>
      <w:r w:rsidR="08163013" w:rsidRPr="006C7A0F">
        <w:rPr>
          <w:i/>
        </w:rPr>
        <w:instrText>qua</w:instrText>
      </w:r>
      <w:r w:rsidR="08163013" w:rsidRPr="006C7A0F">
        <w:rPr>
          <w:i/>
          <w:vertAlign w:val="superscript"/>
        </w:rPr>
        <w:instrText>2</w:instrText>
      </w:r>
      <w:r w:rsidR="08163013" w:rsidRPr="006C7A0F">
        <w:instrText xml:space="preserve">" </w:instrText>
      </w:r>
      <w:r w:rsidR="08163013" w:rsidRPr="006C7A0F">
        <w:rPr>
          <w:i/>
        </w:rPr>
        <w:fldChar w:fldCharType="end"/>
      </w:r>
      <w:r w:rsidR="08163013" w:rsidRPr="00273106">
        <w:t xml:space="preserve">, protože ta by zajistila maximálně </w:t>
      </w:r>
      <w:r w:rsidR="08163013">
        <w:t xml:space="preserve">esenciální </w:t>
      </w:r>
      <w:r w:rsidR="08163013" w:rsidRPr="00273106">
        <w:t xml:space="preserve">identitu, a ne </w:t>
      </w:r>
      <w:r w:rsidR="08163013">
        <w:t xml:space="preserve">existenciální ipseitu člověka. Každá hypostázovaná forma by potřebovala nějaký substrát pro numerickou individuaci. </w:t>
      </w:r>
      <w:r w:rsidR="08163013" w:rsidRPr="00273106">
        <w:t xml:space="preserve">Klíčová pasáž </w:t>
      </w:r>
      <w:r w:rsidR="08674E4C">
        <w:t xml:space="preserve">Sigerova </w:t>
      </w:r>
      <w:r w:rsidR="08163013" w:rsidRPr="00273106">
        <w:t xml:space="preserve">komentáře </w:t>
      </w:r>
      <w:r w:rsidR="08674E4C">
        <w:t xml:space="preserve">díla </w:t>
      </w:r>
      <w:r w:rsidR="08163013" w:rsidRPr="00273106">
        <w:rPr>
          <w:i/>
        </w:rPr>
        <w:t>De causis</w:t>
      </w:r>
      <w:r w:rsidR="08163013" w:rsidRPr="00273106">
        <w:t xml:space="preserve"> odmítá formálně danou identitu člověka podle špatně pochopeného pojetí </w:t>
      </w:r>
      <w:r w:rsidR="08163013" w:rsidRPr="006D5FE1">
        <w:rPr>
          <w:i/>
        </w:rPr>
        <w:t>intellectus materialis</w:t>
      </w:r>
      <w:r w:rsidR="08163013">
        <w:rPr>
          <w:i/>
        </w:rPr>
        <w:fldChar w:fldCharType="begin"/>
      </w:r>
      <w:r w:rsidR="08163013">
        <w:instrText xml:space="preserve"> XE "</w:instrText>
      </w:r>
      <w:r w:rsidR="08163013" w:rsidRPr="00BE489A">
        <w:rPr>
          <w:i/>
        </w:rPr>
        <w:instrText>intellectus materialis:</w:instrText>
      </w:r>
      <w:r w:rsidR="08163013" w:rsidRPr="008F1FE7">
        <w:instrText>moderna</w:instrText>
      </w:r>
      <w:r w:rsidR="08163013">
        <w:instrText xml:space="preserve">" </w:instrText>
      </w:r>
      <w:r w:rsidR="08163013">
        <w:rPr>
          <w:i/>
        </w:rPr>
        <w:fldChar w:fldCharType="end"/>
      </w:r>
      <w:r w:rsidR="08163013">
        <w:t xml:space="preserve"> magistrálně podaného </w:t>
      </w:r>
      <w:r w:rsidR="08163013" w:rsidRPr="00273106">
        <w:t xml:space="preserve">v CMDA. </w:t>
      </w:r>
      <w:r w:rsidR="08163013">
        <w:t>T</w:t>
      </w:r>
      <w:r w:rsidR="08163013" w:rsidRPr="00273106">
        <w:t>ento averrois</w:t>
      </w:r>
      <w:r w:rsidR="08163013">
        <w:t>tický výklad Averroes</w:t>
      </w:r>
      <w:r w:rsidR="08163013" w:rsidRPr="00273106">
        <w:t xml:space="preserve">e </w:t>
      </w:r>
      <w:r w:rsidR="08163013">
        <w:t xml:space="preserve">završil mimo jiné </w:t>
      </w:r>
      <w:r w:rsidR="08163013" w:rsidRPr="00273106">
        <w:lastRenderedPageBreak/>
        <w:t xml:space="preserve">Akvinský tím, že </w:t>
      </w:r>
      <w:r w:rsidR="08163013">
        <w:t xml:space="preserve">kolem 1270 </w:t>
      </w:r>
      <w:r w:rsidR="08163013" w:rsidRPr="00273106">
        <w:t xml:space="preserve">připsal CMDA pouze model vnější individuace intelektu. Siger ve svém posledním známém díle jasně říká, že pouhý </w:t>
      </w:r>
      <w:r w:rsidR="08163013">
        <w:t>aristotelský</w:t>
      </w:r>
      <w:r w:rsidR="08163013" w:rsidRPr="00273106">
        <w:t xml:space="preserve"> výklad </w:t>
      </w:r>
      <w:r w:rsidR="08163013">
        <w:rPr>
          <w:i/>
        </w:rPr>
        <w:t>De anima</w:t>
      </w:r>
      <w:r w:rsidR="08163013" w:rsidRPr="00273106">
        <w:rPr>
          <w:i/>
        </w:rPr>
        <w:t>,</w:t>
      </w:r>
      <w:r w:rsidR="08163013" w:rsidRPr="00273106">
        <w:t xml:space="preserve"> jako měl Akvinský, nestačí na zajištění jednoty dané v rámci ipseity, protože nemá dostatečnou diferenciaci aktu myšlení. Plnost jednoty člověka </w:t>
      </w:r>
      <w:r w:rsidR="08163013">
        <w:t xml:space="preserve">v rámci ipseity osoby </w:t>
      </w:r>
      <w:r w:rsidR="08163013" w:rsidRPr="00273106">
        <w:t xml:space="preserve">podal pouze </w:t>
      </w:r>
      <w:r w:rsidR="08163013">
        <w:t>Averroes</w:t>
      </w:r>
      <w:r w:rsidR="08163013" w:rsidRPr="00273106">
        <w:t xml:space="preserve"> v CMDA. </w:t>
      </w:r>
      <w:r w:rsidR="08163013">
        <w:t xml:space="preserve">Tento </w:t>
      </w:r>
      <w:r w:rsidR="08163013" w:rsidRPr="008E1BE6">
        <w:rPr>
          <w:i/>
        </w:rPr>
        <w:t>philosophus nobilissimus</w:t>
      </w:r>
      <w:r w:rsidR="08163013">
        <w:t xml:space="preserve"> byl </w:t>
      </w:r>
      <w:r w:rsidR="08163013" w:rsidRPr="00273106">
        <w:t>jediný aristotelik</w:t>
      </w:r>
      <w:r w:rsidR="08163013">
        <w:t xml:space="preserve">, který </w:t>
      </w:r>
      <w:r w:rsidR="08163013" w:rsidRPr="00273106">
        <w:t>pochopil do hloubky, co znamená</w:t>
      </w:r>
      <w:r w:rsidR="08163013">
        <w:t xml:space="preserve"> oddělený</w:t>
      </w:r>
      <w:r w:rsidR="08163013" w:rsidRPr="00273106">
        <w:t xml:space="preserve"> (</w:t>
      </w:r>
      <w:r w:rsidR="08163013" w:rsidRPr="00273106">
        <w:rPr>
          <w:i/>
        </w:rPr>
        <w:t>inmixtus</w:t>
      </w:r>
      <w:r w:rsidR="08163013">
        <w:rPr>
          <w:i/>
        </w:rPr>
        <w:fldChar w:fldCharType="begin"/>
      </w:r>
      <w:r w:rsidR="08163013">
        <w:instrText xml:space="preserve"> XE "intelekt:</w:instrText>
      </w:r>
      <w:r w:rsidR="08163013" w:rsidRPr="0061562A">
        <w:rPr>
          <w:i/>
        </w:rPr>
        <w:instrText>inmixtus</w:instrText>
      </w:r>
      <w:r w:rsidR="08163013">
        <w:instrText xml:space="preserve">" </w:instrText>
      </w:r>
      <w:r w:rsidR="08163013">
        <w:rPr>
          <w:i/>
        </w:rPr>
        <w:fldChar w:fldCharType="end"/>
      </w:r>
      <w:r w:rsidR="08163013" w:rsidRPr="00273106">
        <w:t>) intelekt, který myslí obecné obsahy a přitom zůstává</w:t>
      </w:r>
      <w:r w:rsidR="08163013">
        <w:t xml:space="preserve"> </w:t>
      </w:r>
      <w:r w:rsidR="08462A8C">
        <w:t xml:space="preserve">žijící </w:t>
      </w:r>
      <w:r w:rsidR="08163013">
        <w:t>osobou</w:t>
      </w:r>
      <w:r w:rsidR="08163013" w:rsidRPr="00273106">
        <w:t xml:space="preserve">. </w:t>
      </w:r>
      <w:r w:rsidR="08163013">
        <w:t xml:space="preserve">Citujme </w:t>
      </w:r>
      <w:r w:rsidR="08163013" w:rsidRPr="00273106">
        <w:t>Sigerovu myslitelskou závěť</w:t>
      </w:r>
      <w:r w:rsidR="08163013">
        <w:t xml:space="preserve">, </w:t>
      </w:r>
      <w:proofErr w:type="gramStart"/>
      <w:r w:rsidR="08163013">
        <w:t>jenž</w:t>
      </w:r>
      <w:proofErr w:type="gramEnd"/>
      <w:r w:rsidR="08163013">
        <w:t xml:space="preserve"> ukazuje jeho dosud nepřekonané pochopení Averroese</w:t>
      </w:r>
      <w:r w:rsidR="08163013" w:rsidRPr="00273106">
        <w:t xml:space="preserve">. </w:t>
      </w:r>
    </w:p>
    <w:p w:rsidR="08163013" w:rsidRPr="00503DC5" w:rsidRDefault="08163013" w:rsidP="08163013">
      <w:pPr>
        <w:pStyle w:val="Citace"/>
        <w:rPr>
          <w:noProof/>
          <w:lang w:val="cs-CZ"/>
        </w:rPr>
      </w:pPr>
      <w:r w:rsidRPr="00273106">
        <w:rPr>
          <w:noProof/>
          <w:lang w:val="cs-CZ"/>
        </w:rPr>
        <w:t>„</w:t>
      </w:r>
      <w:r>
        <w:rPr>
          <w:noProof/>
          <w:lang w:val="cs-CZ"/>
        </w:rPr>
        <w:t>Averroes nepodal tělo tak, že se účastní myšlení, jako by bylo jeho subjektem (</w:t>
      </w:r>
      <w:r w:rsidRPr="00A81E3F">
        <w:rPr>
          <w:i/>
          <w:noProof/>
          <w:lang w:val="cs-CZ"/>
        </w:rPr>
        <w:t>quod esset subiectum eius</w:t>
      </w:r>
      <w:r>
        <w:rPr>
          <w:noProof/>
          <w:lang w:val="cs-CZ"/>
        </w:rPr>
        <w:t>). Akt myšlení v rámci intelektu také nepotřebuje tělo jako tělesného nositele (</w:t>
      </w:r>
      <w:r w:rsidRPr="00A81E3F">
        <w:rPr>
          <w:i/>
          <w:noProof/>
          <w:lang w:val="cs-CZ"/>
        </w:rPr>
        <w:t>corpore ut corpore subiecto</w:t>
      </w:r>
      <w:r>
        <w:rPr>
          <w:noProof/>
          <w:lang w:val="cs-CZ"/>
        </w:rPr>
        <w:t>), ale spíše tělo jako objekt (</w:t>
      </w:r>
      <w:r w:rsidRPr="00A81E3F">
        <w:rPr>
          <w:i/>
          <w:noProof/>
          <w:lang w:val="cs-CZ"/>
        </w:rPr>
        <w:t>sed magis sicut obiecto</w:t>
      </w:r>
      <w:r>
        <w:rPr>
          <w:noProof/>
          <w:lang w:val="cs-CZ"/>
        </w:rPr>
        <w:t xml:space="preserve">), s nímž se intelekt přirozeně spojuje. Pro myšlení dané obecně platí, že jeho výkon nemůže probíhat bez fantasmat. Ale o Sokratovi se říká, že sděloval jiné myšlení než jaké </w:t>
      </w:r>
      <w:r w:rsidR="00A92BD9">
        <w:rPr>
          <w:noProof/>
          <w:lang w:val="cs-CZ"/>
        </w:rPr>
        <w:t xml:space="preserve">hlásal </w:t>
      </w:r>
      <w:r>
        <w:rPr>
          <w:noProof/>
          <w:lang w:val="cs-CZ"/>
        </w:rPr>
        <w:t xml:space="preserve">Platon, jehož akt myšlení přece neprobíhal skrze fantasmata Sokrata.  Volní výkon </w:t>
      </w:r>
      <w:r w:rsidR="00A92BD9">
        <w:rPr>
          <w:noProof/>
          <w:lang w:val="cs-CZ"/>
        </w:rPr>
        <w:t xml:space="preserve">osobní </w:t>
      </w:r>
      <w:r>
        <w:rPr>
          <w:noProof/>
          <w:lang w:val="cs-CZ"/>
        </w:rPr>
        <w:t>existence (</w:t>
      </w:r>
      <w:r w:rsidRPr="0098609B">
        <w:rPr>
          <w:i/>
          <w:noProof/>
          <w:lang w:val="cs-CZ"/>
        </w:rPr>
        <w:t>sic vitare voluit</w:t>
      </w:r>
      <w:r>
        <w:rPr>
          <w:noProof/>
          <w:lang w:val="cs-CZ"/>
        </w:rPr>
        <w:t xml:space="preserve">) u Sokrata přece nepotřebuje ke shodě v myšlení onen </w:t>
      </w:r>
      <w:r w:rsidR="00A92BD9">
        <w:rPr>
          <w:noProof/>
          <w:lang w:val="cs-CZ"/>
        </w:rPr>
        <w:t xml:space="preserve">osobní </w:t>
      </w:r>
      <w:r>
        <w:rPr>
          <w:noProof/>
          <w:lang w:val="cs-CZ"/>
        </w:rPr>
        <w:t>akt myšlení Platona. Akt myšlení není vázán na tělo jako subjekt. Produkt myšlení není determinován právě tímto fantasmatem a v této osobě (</w:t>
      </w:r>
      <w:r w:rsidRPr="00503DC5">
        <w:rPr>
          <w:i/>
          <w:noProof/>
          <w:lang w:val="cs-CZ"/>
        </w:rPr>
        <w:t>non oporteat intellectum intelligentem ut in hoc corpore et non sine huius corporis phantasmate</w:t>
      </w:r>
      <w:r>
        <w:rPr>
          <w:noProof/>
          <w:lang w:val="cs-CZ"/>
        </w:rPr>
        <w:t xml:space="preserve">), protože v jiném těle probíhá myšlení stejným způsobem, ale pomocí jiných fantasmat.“ </w:t>
      </w:r>
      <w:r>
        <w:rPr>
          <w:rStyle w:val="Znakapoznpodarou"/>
        </w:rPr>
        <w:footnoteReference w:id="274"/>
      </w:r>
    </w:p>
    <w:p w:rsidR="08163013" w:rsidRPr="00273106" w:rsidRDefault="08163013" w:rsidP="08163013">
      <w:r w:rsidRPr="00273106">
        <w:t>Tělo nemůže být subjektem myšlení</w:t>
      </w:r>
      <w:r>
        <w:t xml:space="preserve"> ve smyslu materiálního substrátu</w:t>
      </w:r>
      <w:r w:rsidRPr="00273106">
        <w:t>, protože to by intelekt nebyl oddělený od smyslů a zůstal by pouh</w:t>
      </w:r>
      <w:r>
        <w:t>ým hylickým intelektem Alexandra</w:t>
      </w:r>
      <w:r>
        <w:fldChar w:fldCharType="begin"/>
      </w:r>
      <w:r>
        <w:instrText xml:space="preserve"> XE "Alexander, Afrodisias" </w:instrText>
      </w:r>
      <w:r>
        <w:fldChar w:fldCharType="end"/>
      </w:r>
      <w:r w:rsidRPr="00273106">
        <w:t>. A pokud by intelekt byl oddělený</w:t>
      </w:r>
      <w:r>
        <w:t xml:space="preserve"> na způsob moderního </w:t>
      </w:r>
      <w:r w:rsidRPr="0077175F">
        <w:rPr>
          <w:i/>
        </w:rPr>
        <w:t>separatus</w:t>
      </w:r>
      <w:r w:rsidRPr="00273106">
        <w:t>, tak by fungoval jako aktuální substance</w:t>
      </w:r>
      <w:r>
        <w:fldChar w:fldCharType="begin"/>
      </w:r>
      <w:r>
        <w:instrText xml:space="preserve"> XE "</w:instrText>
      </w:r>
      <w:r w:rsidRPr="00DE2A32">
        <w:instrText>substance</w:instrText>
      </w:r>
      <w:r>
        <w:instrText xml:space="preserve">:intelekt" </w:instrText>
      </w:r>
      <w:r>
        <w:fldChar w:fldCharType="end"/>
      </w:r>
      <w:r w:rsidRPr="00273106">
        <w:t xml:space="preserve"> na způsob moderních avicennistů a postmoderních karteziánů. </w:t>
      </w:r>
      <w:r>
        <w:t xml:space="preserve">Tím ale vznikne moderní a postmoderní dualismus dvou oddělených substancí, což je pro Sigera prohra kritického rozumu. </w:t>
      </w:r>
      <w:r w:rsidRPr="00273106">
        <w:t xml:space="preserve">Tělo je pro </w:t>
      </w:r>
      <w:r>
        <w:t xml:space="preserve">nemateriální </w:t>
      </w:r>
      <w:r w:rsidRPr="00273106">
        <w:t>intelekt objektem v tom smyslu (</w:t>
      </w:r>
      <w:r w:rsidRPr="00273106">
        <w:rPr>
          <w:i/>
        </w:rPr>
        <w:t>magis sicut obiecto, cui naturaliter intellectus unitur</w:t>
      </w:r>
      <w:r w:rsidRPr="00273106">
        <w:t>), že jen od něj má individualizovaná aktuální fantasmata, která tvoří materii jeho vlastního výkonu myšlení (</w:t>
      </w:r>
      <w:r w:rsidRPr="00273106">
        <w:rPr>
          <w:i/>
        </w:rPr>
        <w:t xml:space="preserve">intelligere enim dixit commune ex modo quo non est sine </w:t>
      </w:r>
      <w:r w:rsidRPr="00273106">
        <w:rPr>
          <w:i/>
        </w:rPr>
        <w:lastRenderedPageBreak/>
        <w:t>phantasmate</w:t>
      </w:r>
      <w:r w:rsidRPr="00273106">
        <w:t xml:space="preserve">). </w:t>
      </w:r>
      <w:r>
        <w:t>Tělo a fantasmata tvoří ve své materialitě pouze předmět myšlení, protože myšlení má jemu vlastní nemateriální a univerzální charakter (</w:t>
      </w:r>
      <w:r w:rsidRPr="00E744AF">
        <w:rPr>
          <w:i/>
        </w:rPr>
        <w:t>quo est</w:t>
      </w:r>
      <w:r>
        <w:rPr>
          <w:i/>
        </w:rPr>
        <w:fldChar w:fldCharType="begin"/>
      </w:r>
      <w:r>
        <w:instrText xml:space="preserve"> XE "</w:instrText>
      </w:r>
      <w:r w:rsidRPr="003C4F2E">
        <w:rPr>
          <w:i/>
        </w:rPr>
        <w:instrText>quo est</w:instrText>
      </w:r>
      <w:r>
        <w:instrText xml:space="preserve">" </w:instrText>
      </w:r>
      <w:r>
        <w:rPr>
          <w:i/>
        </w:rPr>
        <w:fldChar w:fldCharType="end"/>
      </w:r>
      <w:r>
        <w:t xml:space="preserve">). </w:t>
      </w:r>
      <w:r w:rsidRPr="00273106">
        <w:t xml:space="preserve">Pak je jasné, že intelektuální </w:t>
      </w:r>
      <w:r w:rsidR="08926219">
        <w:t xml:space="preserve">procesy </w:t>
      </w:r>
      <w:r>
        <w:t>Platon</w:t>
      </w:r>
      <w:r w:rsidRPr="00273106">
        <w:t>a a Sokrata nejsou stejné, protože jejich akt myšlení je individuální podle daných fantasmat (</w:t>
      </w:r>
      <w:r w:rsidRPr="00273106">
        <w:rPr>
          <w:i/>
        </w:rPr>
        <w:t>in alio corpore intelligere ex phantasmatibus eiusdem corporis</w:t>
      </w:r>
      <w:r w:rsidRPr="00273106">
        <w:t xml:space="preserve">). </w:t>
      </w:r>
      <w:r>
        <w:t xml:space="preserve">Ale univerzální produkt jejich myšlení ve smylu Averroesova </w:t>
      </w:r>
      <w:r w:rsidRPr="000134B0">
        <w:rPr>
          <w:i/>
        </w:rPr>
        <w:t xml:space="preserve">quartum </w:t>
      </w:r>
      <w:r w:rsidR="00962190">
        <w:rPr>
          <w:i/>
        </w:rPr>
        <w:t>genus</w:t>
      </w:r>
      <w:r>
        <w:rPr>
          <w:i/>
        </w:rPr>
        <w:fldChar w:fldCharType="begin"/>
      </w:r>
      <w:r>
        <w:instrText xml:space="preserve"> XE "</w:instrText>
      </w:r>
      <w:r w:rsidRPr="00191848">
        <w:rPr>
          <w:i/>
        </w:rPr>
        <w:instrText>quartum genus</w:instrText>
      </w:r>
      <w:r>
        <w:instrText xml:space="preserve">" </w:instrText>
      </w:r>
      <w:r>
        <w:rPr>
          <w:i/>
        </w:rPr>
        <w:fldChar w:fldCharType="end"/>
      </w:r>
      <w:r>
        <w:t xml:space="preserve"> už je oběma společný, i když vznikl dvojím odlišným výkonem myšlení (</w:t>
      </w:r>
      <w:r w:rsidRPr="003F58A0">
        <w:rPr>
          <w:i/>
        </w:rPr>
        <w:t xml:space="preserve">tertium </w:t>
      </w:r>
      <w:r w:rsidR="00962190">
        <w:rPr>
          <w:i/>
        </w:rPr>
        <w:t>genus</w:t>
      </w:r>
      <w:r>
        <w:rPr>
          <w:i/>
        </w:rPr>
        <w:fldChar w:fldCharType="begin"/>
      </w:r>
      <w:r>
        <w:instrText xml:space="preserve"> XE "</w:instrText>
      </w:r>
      <w:r w:rsidRPr="00D80F84">
        <w:rPr>
          <w:i/>
        </w:rPr>
        <w:instrText>tertium genus</w:instrText>
      </w:r>
      <w:r>
        <w:instrText xml:space="preserve">" </w:instrText>
      </w:r>
      <w:r>
        <w:rPr>
          <w:i/>
        </w:rPr>
        <w:fldChar w:fldCharType="end"/>
      </w:r>
      <w:r>
        <w:t xml:space="preserve">). Siger vykládá </w:t>
      </w:r>
      <w:r w:rsidRPr="00273106">
        <w:t xml:space="preserve">autentické pojetí CMDA, viz předešlé analýzy. Identitu </w:t>
      </w:r>
      <w:r>
        <w:t xml:space="preserve">myšlení </w:t>
      </w:r>
      <w:r w:rsidRPr="00273106">
        <w:t xml:space="preserve">nedělá </w:t>
      </w:r>
      <w:r>
        <w:t>spojení materiálního těla</w:t>
      </w:r>
      <w:r w:rsidRPr="00273106">
        <w:t xml:space="preserve"> </w:t>
      </w:r>
      <w:r>
        <w:t xml:space="preserve">a </w:t>
      </w:r>
      <w:r w:rsidRPr="00273106">
        <w:t>intelekt</w:t>
      </w:r>
      <w:r>
        <w:t>u</w:t>
      </w:r>
      <w:r w:rsidRPr="00273106">
        <w:t xml:space="preserve"> jako </w:t>
      </w:r>
      <w:r>
        <w:t xml:space="preserve">nemateriální schopnosti duše jako formy. To je pojetí dvou hypostází, které má Akvinský v </w:t>
      </w:r>
      <w:proofErr w:type="gramStart"/>
      <w:r w:rsidRPr="00E119F4">
        <w:rPr>
          <w:i/>
        </w:rPr>
        <w:t>De</w:t>
      </w:r>
      <w:proofErr w:type="gramEnd"/>
      <w:r w:rsidRPr="00E119F4">
        <w:rPr>
          <w:i/>
        </w:rPr>
        <w:t xml:space="preserve"> unitate</w:t>
      </w:r>
      <w:r w:rsidRPr="00273106">
        <w:t>. Viz ná</w:t>
      </w:r>
      <w:r>
        <w:t>sledující kapitoly</w:t>
      </w:r>
      <w:r w:rsidRPr="00273106">
        <w:t xml:space="preserve"> a rozdíl mezi dvěma formálními akty duše jako </w:t>
      </w:r>
      <w:r>
        <w:t xml:space="preserve">formy </w:t>
      </w:r>
      <w:r w:rsidRPr="00273106">
        <w:t>(</w:t>
      </w:r>
      <w:r w:rsidRPr="00273106">
        <w:rPr>
          <w:i/>
        </w:rPr>
        <w:t>qua</w:t>
      </w:r>
      <w:r w:rsidRPr="00273106">
        <w:rPr>
          <w:i/>
          <w:vertAlign w:val="superscript"/>
        </w:rPr>
        <w:t>1</w:t>
      </w:r>
      <w:r w:rsidRPr="00273106">
        <w:t>)</w:t>
      </w:r>
      <w:r w:rsidRPr="00054891">
        <w:rPr>
          <w:i/>
        </w:rPr>
        <w:t xml:space="preserve"> </w:t>
      </w:r>
      <w:r w:rsidRPr="006C7A0F">
        <w:rPr>
          <w:i/>
        </w:rPr>
        <w:fldChar w:fldCharType="begin"/>
      </w:r>
      <w:r w:rsidRPr="006C7A0F">
        <w:instrText xml:space="preserve"> XE "intelekt:modus </w:instrText>
      </w:r>
      <w:r w:rsidRPr="006C7A0F">
        <w:rPr>
          <w:i/>
        </w:rPr>
        <w:instrText>qua</w:instrText>
      </w:r>
      <w:r>
        <w:rPr>
          <w:i/>
          <w:vertAlign w:val="superscript"/>
        </w:rPr>
        <w:instrText>1</w:instrText>
      </w:r>
      <w:r w:rsidRPr="006C7A0F">
        <w:instrText xml:space="preserve">" </w:instrText>
      </w:r>
      <w:r w:rsidRPr="006C7A0F">
        <w:rPr>
          <w:i/>
        </w:rPr>
        <w:fldChar w:fldCharType="end"/>
      </w:r>
      <w:r w:rsidRPr="00273106">
        <w:t xml:space="preserve"> a intelektu jako formy (</w:t>
      </w:r>
      <w:r w:rsidRPr="00273106">
        <w:rPr>
          <w:i/>
        </w:rPr>
        <w:t>qua</w:t>
      </w:r>
      <w:r w:rsidRPr="00273106">
        <w:rPr>
          <w:i/>
          <w:vertAlign w:val="superscript"/>
        </w:rPr>
        <w:t>2</w:t>
      </w:r>
      <w:r w:rsidRPr="00273106">
        <w:t>)</w:t>
      </w:r>
      <w:r w:rsidRPr="006C7A0F">
        <w:rPr>
          <w:i/>
        </w:rPr>
        <w:fldChar w:fldCharType="begin"/>
      </w:r>
      <w:r w:rsidRPr="006C7A0F">
        <w:instrText xml:space="preserve"> XE "intelekt:modus </w:instrText>
      </w:r>
      <w:r w:rsidRPr="006C7A0F">
        <w:rPr>
          <w:i/>
        </w:rPr>
        <w:instrText>qua</w:instrText>
      </w:r>
      <w:r w:rsidRPr="006C7A0F">
        <w:rPr>
          <w:i/>
          <w:vertAlign w:val="superscript"/>
        </w:rPr>
        <w:instrText>2</w:instrText>
      </w:r>
      <w:r w:rsidRPr="006C7A0F">
        <w:instrText xml:space="preserve">" </w:instrText>
      </w:r>
      <w:r w:rsidRPr="006C7A0F">
        <w:rPr>
          <w:i/>
        </w:rPr>
        <w:fldChar w:fldCharType="end"/>
      </w:r>
      <w:r w:rsidRPr="00273106">
        <w:t xml:space="preserve">. </w:t>
      </w:r>
      <w:r w:rsidR="00AB7663">
        <w:t xml:space="preserve">Siger </w:t>
      </w:r>
      <w:r w:rsidRPr="00273106">
        <w:t xml:space="preserve">nemůže připustit podobnou mesalianci, i když jde o autentický výklad </w:t>
      </w:r>
      <w:r>
        <w:rPr>
          <w:i/>
        </w:rPr>
        <w:t>De anima</w:t>
      </w:r>
      <w:r w:rsidRPr="00273106">
        <w:t xml:space="preserve">. </w:t>
      </w:r>
      <w:r>
        <w:t xml:space="preserve">Jednota osoby by pak byla dána jako </w:t>
      </w:r>
      <w:r w:rsidRPr="00273106">
        <w:t xml:space="preserve">pouhá </w:t>
      </w:r>
      <w:r>
        <w:t xml:space="preserve">formální (tj. numerická) </w:t>
      </w:r>
      <w:r w:rsidRPr="00273106">
        <w:t xml:space="preserve">diferenciace intelektu </w:t>
      </w:r>
      <w:r>
        <w:t xml:space="preserve">danému v aktu </w:t>
      </w:r>
      <w:r w:rsidRPr="00273106">
        <w:t xml:space="preserve">identity jako </w:t>
      </w:r>
      <w:r w:rsidRPr="00273106">
        <w:rPr>
          <w:i/>
        </w:rPr>
        <w:t>idem</w:t>
      </w:r>
      <w:r w:rsidRPr="00273106">
        <w:t xml:space="preserve">. Ipseitu člověka jako </w:t>
      </w:r>
      <w:r w:rsidRPr="00273106">
        <w:rPr>
          <w:i/>
        </w:rPr>
        <w:t>imago Dei</w:t>
      </w:r>
      <w:r w:rsidRPr="00273106">
        <w:t xml:space="preserve">, a tím i vrchol filosofie, dělá schopnost myslet daná jako nejvyšší potence člověka v rámci </w:t>
      </w:r>
      <w:r w:rsidRPr="00273106">
        <w:rPr>
          <w:i/>
        </w:rPr>
        <w:t>anima intellectiva</w:t>
      </w:r>
      <w:r w:rsidRPr="00273106">
        <w:t xml:space="preserve">. Takto daná a zakoušená duše v první osobě je jedinou formou, </w:t>
      </w:r>
      <w:r>
        <w:t xml:space="preserve">skrze kterou </w:t>
      </w:r>
      <w:r w:rsidRPr="00273106">
        <w:t>člověk žije, a tím i myslí. Zbytek jsou animální potence duše, které tvoří jeho identitu, ale ne ipseitu. Další věta proto obsahuje implicitní kritiku Akvinského za jeho aristotelský postoj</w:t>
      </w:r>
      <w:r>
        <w:t>, který neodpovídá jednotě osoby podle geniálního výkladu CMDA</w:t>
      </w:r>
      <w:r w:rsidRPr="00273106">
        <w:t xml:space="preserve">. </w:t>
      </w:r>
      <w:r>
        <w:t xml:space="preserve">Nemateriální výkon intelektu není vázaný na tělo v modu </w:t>
      </w:r>
      <w:r w:rsidRPr="08452A0C">
        <w:rPr>
          <w:i/>
        </w:rPr>
        <w:t>subiective</w:t>
      </w:r>
      <w:r>
        <w:t xml:space="preserve"> ale jen </w:t>
      </w:r>
      <w:r w:rsidRPr="08452A0C">
        <w:rPr>
          <w:i/>
        </w:rPr>
        <w:t>obiective</w:t>
      </w:r>
      <w:r>
        <w:t xml:space="preserve">. Proto je myšlení ve svém výkonu nemateriálně jednotné ve všech lidech, protože intelekt nemá indivualizaci skrze materii. Siger obhajuje existující osobu jako </w:t>
      </w:r>
      <w:r w:rsidR="081942A4">
        <w:t xml:space="preserve">metafyzický </w:t>
      </w:r>
      <w:r>
        <w:t>dativ</w:t>
      </w:r>
      <w:r>
        <w:fldChar w:fldCharType="begin"/>
      </w:r>
      <w:r>
        <w:instrText xml:space="preserve"> XE "</w:instrText>
      </w:r>
      <w:r w:rsidR="081942A4">
        <w:rPr>
          <w:i/>
        </w:rPr>
        <w:instrText>dativus metaphysi</w:instrText>
      </w:r>
      <w:r w:rsidRPr="08E856CF">
        <w:rPr>
          <w:i/>
        </w:rPr>
        <w:instrText>cus</w:instrText>
      </w:r>
      <w:r>
        <w:instrText xml:space="preserve">" </w:instrText>
      </w:r>
      <w:r>
        <w:fldChar w:fldCharType="end"/>
      </w:r>
      <w:r>
        <w:t xml:space="preserve"> zakládající vědeckou predikaci popisující způsob a výkon intelektu. </w:t>
      </w:r>
    </w:p>
    <w:p w:rsidR="08163013" w:rsidRDefault="08163013" w:rsidP="08163013">
      <w:pPr>
        <w:pStyle w:val="Citace"/>
        <w:rPr>
          <w:noProof/>
          <w:lang w:val="cs-CZ"/>
        </w:rPr>
      </w:pPr>
      <w:r w:rsidRPr="00273106">
        <w:rPr>
          <w:noProof/>
          <w:lang w:val="cs-CZ"/>
        </w:rPr>
        <w:t>„</w:t>
      </w:r>
      <w:r>
        <w:rPr>
          <w:noProof/>
          <w:lang w:val="cs-CZ"/>
        </w:rPr>
        <w:t>Takový názor je podle našeho přesvědčení heretický, a navíc i iracionální, a to z tohoto důvodu. Tělesná forma dává existující intelekt (</w:t>
      </w:r>
      <w:r w:rsidRPr="08E856CF">
        <w:rPr>
          <w:i/>
          <w:noProof/>
          <w:lang w:val="cs-CZ"/>
        </w:rPr>
        <w:t>i</w:t>
      </w:r>
      <w:r w:rsidRPr="08E856CF">
        <w:rPr>
          <w:i/>
          <w:noProof/>
        </w:rPr>
        <w:t>ntellectu enim existente forma corporis</w:t>
      </w:r>
      <w:r>
        <w:rPr>
          <w:noProof/>
          <w:lang w:val="cs-CZ"/>
        </w:rPr>
        <w:t xml:space="preserve">), jako to měl Aristoteles obecně pro duši. Pak je zcela jasné, že </w:t>
      </w:r>
      <w:r>
        <w:rPr>
          <w:lang w:val="cs-CZ"/>
        </w:rPr>
        <w:t>intelekt je třeba počítat a násobit počtem jednotlivých lidských těl (</w:t>
      </w:r>
      <w:r w:rsidRPr="080E4E5F">
        <w:rPr>
          <w:i/>
          <w:noProof/>
        </w:rPr>
        <w:t>intellectum numerari et multiplicari multiplicatione humanorum corporum</w:t>
      </w:r>
      <w:r>
        <w:rPr>
          <w:lang w:val="cs-CZ"/>
        </w:rPr>
        <w:t>)</w:t>
      </w:r>
      <w:r>
        <w:rPr>
          <w:noProof/>
          <w:lang w:val="cs-CZ"/>
        </w:rPr>
        <w:t xml:space="preserve">. A pokud se intelekt postaví tímto způsobem, pak nemůže </w:t>
      </w:r>
      <w:r>
        <w:rPr>
          <w:lang w:val="cs-CZ"/>
        </w:rPr>
        <w:t>být jeden intelekt u všech lidí</w:t>
      </w:r>
      <w:r>
        <w:rPr>
          <w:noProof/>
          <w:lang w:val="cs-CZ"/>
        </w:rPr>
        <w:t xml:space="preserve"> (</w:t>
      </w:r>
      <w:r w:rsidRPr="007653A1">
        <w:rPr>
          <w:i/>
          <w:noProof/>
        </w:rPr>
        <w:t>intellectum non posse unum esse numero hominum omnium</w:t>
      </w:r>
      <w:r>
        <w:rPr>
          <w:noProof/>
          <w:lang w:val="cs-CZ"/>
        </w:rPr>
        <w:t xml:space="preserve">).“ </w:t>
      </w:r>
      <w:r>
        <w:rPr>
          <w:rStyle w:val="Znakapoznpodarou"/>
        </w:rPr>
        <w:footnoteReference w:id="275"/>
      </w:r>
    </w:p>
    <w:p w:rsidR="003C6CEC" w:rsidRDefault="08163013" w:rsidP="003C6CEC">
      <w:r w:rsidRPr="00273106">
        <w:lastRenderedPageBreak/>
        <w:t>Siger brání ipseitu člověka tím</w:t>
      </w:r>
      <w:r>
        <w:t>,</w:t>
      </w:r>
      <w:r w:rsidRPr="00273106">
        <w:t xml:space="preserve"> že zásadně odmítá jakoukoliv numerickou identitu člověka, ať již danou individuací podle materie</w:t>
      </w:r>
      <w:r>
        <w:t>,</w:t>
      </w:r>
      <w:r w:rsidRPr="00273106">
        <w:t xml:space="preserve"> nebo podle intelektu jako formy. </w:t>
      </w:r>
      <w:r>
        <w:t xml:space="preserve">Intelekt je výkonem existující osoby, která v rámci </w:t>
      </w:r>
      <w:r w:rsidR="081942A4">
        <w:t xml:space="preserve">metafyzického </w:t>
      </w:r>
      <w:r>
        <w:t>dativu určuje jeho vědecké poznání a predikaci (</w:t>
      </w:r>
      <w:r w:rsidRPr="08E856CF">
        <w:rPr>
          <w:i/>
        </w:rPr>
        <w:t>intellectu enim existente forma corporis</w:t>
      </w:r>
      <w:r>
        <w:t xml:space="preserve">). </w:t>
      </w:r>
      <w:r w:rsidRPr="00273106">
        <w:t xml:space="preserve">Člověk nemůže být „něco“ na způsob materie individualizované </w:t>
      </w:r>
      <w:r>
        <w:t xml:space="preserve">duší jako vnější </w:t>
      </w:r>
      <w:r w:rsidRPr="00273106">
        <w:t>formou</w:t>
      </w:r>
      <w:r>
        <w:t>,</w:t>
      </w:r>
      <w:r w:rsidRPr="00273106">
        <w:t xml:space="preserve"> nebo intelekt jako individualizované formy</w:t>
      </w:r>
      <w:r>
        <w:t xml:space="preserve"> dané </w:t>
      </w:r>
      <w:r w:rsidRPr="00D9098C">
        <w:rPr>
          <w:i/>
        </w:rPr>
        <w:t>per se</w:t>
      </w:r>
      <w:r>
        <w:t xml:space="preserve"> a zajišťující duši nesmrtelnost svou odděleností a nematerialitou. To všechno definuje pouze numerickou</w:t>
      </w:r>
      <w:r w:rsidRPr="00273106">
        <w:t xml:space="preserve"> jednot</w:t>
      </w:r>
      <w:r>
        <w:t>u</w:t>
      </w:r>
      <w:r w:rsidRPr="00273106">
        <w:t xml:space="preserve"> intelektu v modu </w:t>
      </w:r>
      <w:r w:rsidRPr="00273106">
        <w:rPr>
          <w:i/>
        </w:rPr>
        <w:t>idem</w:t>
      </w:r>
      <w:r>
        <w:rPr>
          <w:i/>
        </w:rPr>
        <w:fldChar w:fldCharType="begin"/>
      </w:r>
      <w:r>
        <w:instrText xml:space="preserve"> XE "</w:instrText>
      </w:r>
      <w:r w:rsidRPr="003D7DA4">
        <w:instrText>osoba:</w:instrText>
      </w:r>
      <w:r w:rsidRPr="00721783">
        <w:rPr>
          <w:i/>
        </w:rPr>
        <w:instrText>ipse/idem</w:instrText>
      </w:r>
      <w:r>
        <w:instrText xml:space="preserve">" </w:instrText>
      </w:r>
      <w:r>
        <w:rPr>
          <w:i/>
        </w:rPr>
        <w:fldChar w:fldCharType="end"/>
      </w:r>
      <w:r w:rsidRPr="00273106">
        <w:t>: buď avicennistů z druhého averroismu, nebo aristoteliků prvního averroismu</w:t>
      </w:r>
      <w:r>
        <w:t xml:space="preserve"> jako byl Aegidius Romanus</w:t>
      </w:r>
      <w:r>
        <w:fldChar w:fldCharType="begin"/>
      </w:r>
      <w:r>
        <w:instrText xml:space="preserve"> XE "</w:instrText>
      </w:r>
      <w:r w:rsidRPr="00B54432">
        <w:instrText>Aegidius Romanus</w:instrText>
      </w:r>
      <w:r>
        <w:instrText xml:space="preserve">" </w:instrText>
      </w:r>
      <w:r>
        <w:fldChar w:fldCharType="end"/>
      </w:r>
      <w:r w:rsidR="00660C61">
        <w:t xml:space="preserve"> a</w:t>
      </w:r>
      <w:r>
        <w:t xml:space="preserve"> také Akvinský</w:t>
      </w:r>
      <w:r w:rsidRPr="00273106">
        <w:t>.</w:t>
      </w:r>
      <w:r>
        <w:t xml:space="preserve"> Citát znovu připomíná zastáncům numericky dané plurality intelektu, že je to nesmysl. Intelekt je buď osobní existenciální výkon porozumění (</w:t>
      </w:r>
      <w:r w:rsidRPr="084E6F7D">
        <w:rPr>
          <w:i/>
        </w:rPr>
        <w:t xml:space="preserve">tertium </w:t>
      </w:r>
      <w:r w:rsidR="00962190">
        <w:rPr>
          <w:i/>
        </w:rPr>
        <w:t>genus</w:t>
      </w:r>
      <w:r>
        <w:t>) nebo nemateriální a oddělená schopnost duše definované jako esence (</w:t>
      </w:r>
      <w:r w:rsidRPr="089D0EBE">
        <w:rPr>
          <w:i/>
        </w:rPr>
        <w:t xml:space="preserve">quartum </w:t>
      </w:r>
      <w:r w:rsidR="00962190">
        <w:rPr>
          <w:i/>
        </w:rPr>
        <w:t>genus</w:t>
      </w:r>
      <w:r>
        <w:t xml:space="preserve">). A pokud tito myslitelé spojí oba významy dohromady a připustí intelekt jako </w:t>
      </w:r>
      <w:r w:rsidRPr="08F2784D">
        <w:rPr>
          <w:i/>
        </w:rPr>
        <w:t>tertium ens</w:t>
      </w:r>
      <w:r>
        <w:t xml:space="preserve"> do existenciálního výkonu osoby, tak jej mají jako </w:t>
      </w:r>
      <w:r w:rsidRPr="08EA7335">
        <w:rPr>
          <w:i/>
        </w:rPr>
        <w:t>separatus</w:t>
      </w:r>
      <w:r>
        <w:t xml:space="preserve"> v averroistické formě </w:t>
      </w:r>
      <w:r w:rsidRPr="08EA7335">
        <w:rPr>
          <w:i/>
        </w:rPr>
        <w:t>copulatio</w:t>
      </w:r>
      <w:r>
        <w:t xml:space="preserve">. Pak má aktuální a vnější intelekt tělo či duši jako subjekt, k němuž se připojuje zvnějšku, protože se potřebuje numericky individualizovat na nějakém substrátu. Tento substrát je buď entelechická hylemorfická první substance (Akvinský), nebo objektivní duše, cogito, </w:t>
      </w:r>
      <w:r w:rsidRPr="086B1B6B">
        <w:rPr>
          <w:i/>
        </w:rPr>
        <w:t>mind</w:t>
      </w:r>
      <w:r>
        <w:t xml:space="preserve"> atd. daná univerzálně-hylemorficky (</w:t>
      </w:r>
      <w:r w:rsidR="081D0C09">
        <w:t>post</w:t>
      </w:r>
      <w:r>
        <w:t xml:space="preserve">moderna). Siger hájí vztah intelektu k tělu v modu </w:t>
      </w:r>
      <w:r w:rsidRPr="08FE71BA">
        <w:rPr>
          <w:i/>
        </w:rPr>
        <w:t>obiective</w:t>
      </w:r>
      <w:r>
        <w:t xml:space="preserve">, protože existující osoba realizuje skrze intelekt svou nemateriální schopnost myslet. Individualita této schopnosti nejde z materie, jak si to myslí moderna, ale z aktuálně intendovaných </w:t>
      </w:r>
      <w:r w:rsidR="00962190">
        <w:rPr>
          <w:i/>
        </w:rPr>
        <w:t>species</w:t>
      </w:r>
      <w:r w:rsidRPr="08B119E6">
        <w:rPr>
          <w:i/>
        </w:rPr>
        <w:t xml:space="preserve"> sensibilis</w:t>
      </w:r>
      <w:r>
        <w:t xml:space="preserve">. Interpretace </w:t>
      </w:r>
      <w:r>
        <w:rPr>
          <w:i/>
        </w:rPr>
        <w:t>De anima</w:t>
      </w:r>
      <w:r w:rsidRPr="00273106">
        <w:t xml:space="preserve"> </w:t>
      </w:r>
      <w:r>
        <w:t xml:space="preserve">postavené mimo rámec CMDA </w:t>
      </w:r>
      <w:r w:rsidRPr="00273106">
        <w:t xml:space="preserve">jsou </w:t>
      </w:r>
      <w:r>
        <w:t xml:space="preserve">podle Sigera </w:t>
      </w:r>
      <w:r w:rsidRPr="00273106">
        <w:t>j</w:t>
      </w:r>
      <w:r>
        <w:t>ak iracionální, tak i heretické</w:t>
      </w:r>
      <w:r w:rsidRPr="00273106">
        <w:t xml:space="preserve">. Nezaručují plnou jednotu osoby, což chtěl </w:t>
      </w:r>
      <w:r>
        <w:t xml:space="preserve">Aristoteles </w:t>
      </w:r>
      <w:r w:rsidRPr="00273106">
        <w:rPr>
          <w:i/>
        </w:rPr>
        <w:t>universaliter</w:t>
      </w:r>
      <w:r w:rsidRPr="00273106">
        <w:t xml:space="preserve">, tedy </w:t>
      </w:r>
      <w:r>
        <w:t xml:space="preserve">v rámci celkové metafyziky, do ní patří i </w:t>
      </w:r>
      <w:r w:rsidRPr="00273106">
        <w:t xml:space="preserve">jeho </w:t>
      </w:r>
      <w:r>
        <w:t xml:space="preserve">pojetí duše </w:t>
      </w:r>
      <w:r w:rsidRPr="00273106">
        <w:t>(</w:t>
      </w:r>
      <w:r w:rsidRPr="00273106">
        <w:rPr>
          <w:i/>
        </w:rPr>
        <w:t xml:space="preserve">sicut vult </w:t>
      </w:r>
      <w:r>
        <w:rPr>
          <w:i/>
        </w:rPr>
        <w:t>Aristotele</w:t>
      </w:r>
      <w:r w:rsidRPr="00273106">
        <w:rPr>
          <w:i/>
        </w:rPr>
        <w:t>s universaliter de anima</w:t>
      </w:r>
      <w:r w:rsidRPr="00273106">
        <w:t xml:space="preserve">). </w:t>
      </w:r>
      <w:r>
        <w:t xml:space="preserve">Akvinský jako expozitor sice hájí Aristotelovu nauku o jednotě intelektu, ale neobhájil jednotu osoby. Siger podal jiný aristotelský výklad duše daný také </w:t>
      </w:r>
      <w:r w:rsidRPr="08D04C5F">
        <w:rPr>
          <w:i/>
        </w:rPr>
        <w:t>universaliter</w:t>
      </w:r>
      <w:r>
        <w:t>, který byl plně v souladu křesťanským učením o jednotě osoby. Sigerovo brilantně zdůvodněné obvinění z hereze dané na adresu aristotelských vykladačů asi roku 1275 už byl poslední krok před mocenským odvoláním Sigera z akademických pozic. Ale pravdivý aristotelik tuto zásadní pravdu říci musel, a také ji proti latinským sofistům jasně a přesně řekl v duchu Dantovy nesmrtelné chvály (</w:t>
      </w:r>
      <w:r w:rsidRPr="000B57E9">
        <w:rPr>
          <w:i/>
        </w:rPr>
        <w:t xml:space="preserve">silogizzò </w:t>
      </w:r>
      <w:r w:rsidRPr="000B57E9">
        <w:rPr>
          <w:i/>
        </w:rPr>
        <w:lastRenderedPageBreak/>
        <w:t>invidïosi veri</w:t>
      </w:r>
      <w:r>
        <w:t xml:space="preserve">). Danteho aforismus pythickým způsobem naráží na tento múzický a filosofický spor o titul nejlepšího komentátora Aristotela na latinském Západě. Hermeneutika jasně povrzuje stanovisko Danteho. Sofistická moderna vedená prvním tomistou Aegidiem připsala tohoto vítězství Akvinskému v modu objektivní </w:t>
      </w:r>
      <w:r w:rsidRPr="08CC0A9B">
        <w:rPr>
          <w:i/>
        </w:rPr>
        <w:t>veritas</w:t>
      </w:r>
      <w:r>
        <w:t xml:space="preserve">. Z Dantovy </w:t>
      </w:r>
      <w:r w:rsidR="08084ADC">
        <w:t xml:space="preserve">múzické </w:t>
      </w:r>
      <w:r w:rsidRPr="08BD2C83">
        <w:rPr>
          <w:i/>
        </w:rPr>
        <w:t>Božské komedie</w:t>
      </w:r>
      <w:r>
        <w:t xml:space="preserve"> se stala objektivní božská komedie</w:t>
      </w:r>
      <w:r>
        <w:fldChar w:fldCharType="begin"/>
      </w:r>
      <w:r>
        <w:instrText xml:space="preserve"> XE "</w:instrText>
      </w:r>
      <w:r w:rsidRPr="08B27944">
        <w:instrText>božská komedie</w:instrText>
      </w:r>
      <w:r>
        <w:instrText xml:space="preserve">" </w:instrText>
      </w:r>
      <w:r>
        <w:fldChar w:fldCharType="end"/>
      </w:r>
      <w:r>
        <w:t xml:space="preserve"> vedená pomstychtivými a chaotickými Fúriemi. Schizofrenickým rozštěpením osoby a moderním chaosem ohledně učení Aristotela a Komentátora vznikla kompletní figura epochálně účinného metafyzického </w:t>
      </w:r>
      <w:r w:rsidRPr="08CC0A9B">
        <w:rPr>
          <w:i/>
        </w:rPr>
        <w:t>Irrtum</w:t>
      </w:r>
      <w:r>
        <w:rPr>
          <w:i/>
        </w:rPr>
        <w:fldChar w:fldCharType="begin"/>
      </w:r>
      <w:r>
        <w:instrText xml:space="preserve"> XE "</w:instrText>
      </w:r>
      <w:r w:rsidRPr="08AB286C">
        <w:rPr>
          <w:i/>
        </w:rPr>
        <w:instrText>Irrtum</w:instrText>
      </w:r>
      <w:r>
        <w:instrText xml:space="preserve">" </w:instrText>
      </w:r>
      <w:r>
        <w:rPr>
          <w:i/>
        </w:rPr>
        <w:fldChar w:fldCharType="end"/>
      </w:r>
      <w:r w:rsidR="004F5473">
        <w:t xml:space="preserve"> moderny.</w:t>
      </w:r>
      <w:r w:rsidR="002350F5">
        <w:t xml:space="preserve"> D</w:t>
      </w:r>
      <w:r w:rsidRPr="00273106">
        <w:t>ante</w:t>
      </w:r>
      <w:r>
        <w:fldChar w:fldCharType="begin"/>
      </w:r>
      <w:r>
        <w:instrText xml:space="preserve"> XE "</w:instrText>
      </w:r>
      <w:r w:rsidRPr="00E871B9">
        <w:instrText>Dante, A.</w:instrText>
      </w:r>
      <w:r>
        <w:instrText xml:space="preserve">" </w:instrText>
      </w:r>
      <w:r>
        <w:fldChar w:fldCharType="end"/>
      </w:r>
      <w:r w:rsidRPr="00273106">
        <w:t xml:space="preserve"> dobře věděl, že Siger byl prvním humanist</w:t>
      </w:r>
      <w:r>
        <w:t xml:space="preserve">ou Západu v aristotelském modu </w:t>
      </w:r>
      <w:r w:rsidRPr="00273106">
        <w:rPr>
          <w:i/>
        </w:rPr>
        <w:t>universaliter</w:t>
      </w:r>
      <w:r>
        <w:t>, a proto podle něj koncipoval univer</w:t>
      </w:r>
      <w:r w:rsidR="003C6CEC">
        <w:t xml:space="preserve">zální ideu západního humanismu. </w:t>
      </w:r>
      <w:r w:rsidRPr="00273106">
        <w:t>Díky D</w:t>
      </w:r>
      <w:r>
        <w:t xml:space="preserve">antovi </w:t>
      </w:r>
      <w:r w:rsidRPr="00273106">
        <w:t xml:space="preserve">zůstala </w:t>
      </w:r>
      <w:r>
        <w:t xml:space="preserve">v západním myšlení </w:t>
      </w:r>
      <w:r w:rsidRPr="00273106">
        <w:t xml:space="preserve">aspoň idea </w:t>
      </w:r>
      <w:r w:rsidRPr="00273106">
        <w:rPr>
          <w:i/>
        </w:rPr>
        <w:t>universitas humana</w:t>
      </w:r>
      <w:r>
        <w:rPr>
          <w:i/>
        </w:rPr>
        <w:fldChar w:fldCharType="begin"/>
      </w:r>
      <w:r>
        <w:instrText xml:space="preserve"> XE "</w:instrText>
      </w:r>
      <w:r w:rsidRPr="00A16633">
        <w:rPr>
          <w:i/>
        </w:rPr>
        <w:instrText>universitas humana</w:instrText>
      </w:r>
      <w:r>
        <w:instrText xml:space="preserve">" </w:instrText>
      </w:r>
      <w:r>
        <w:rPr>
          <w:i/>
        </w:rPr>
        <w:fldChar w:fldCharType="end"/>
      </w:r>
      <w:r>
        <w:t>, jež umožnila skryté působení Sigerovy filosofie v rámci západního humanismu. Jak víme, k udržení jednoty lidského rodu stací podle Komentátora kontinuální existence filosofie zajištěná alespoň jednou osobou, která moudře myslí. Dante</w:t>
      </w:r>
      <w:r>
        <w:fldChar w:fldCharType="begin"/>
      </w:r>
      <w:r>
        <w:instrText xml:space="preserve"> XE "</w:instrText>
      </w:r>
      <w:r w:rsidRPr="00E871B9">
        <w:instrText>Dante, A.</w:instrText>
      </w:r>
      <w:r>
        <w:instrText xml:space="preserve">" </w:instrText>
      </w:r>
      <w:r>
        <w:fldChar w:fldCharType="end"/>
      </w:r>
      <w:r>
        <w:t xml:space="preserve"> zachránil politickou podobu </w:t>
      </w:r>
      <w:r w:rsidRPr="00273106">
        <w:t>Sigerem bráněné ipseity</w:t>
      </w:r>
      <w:r>
        <w:t xml:space="preserve">. Ale </w:t>
      </w:r>
      <w:r w:rsidR="083B3155">
        <w:t xml:space="preserve">Danteho múzická </w:t>
      </w:r>
      <w:r>
        <w:t xml:space="preserve">odkrytost </w:t>
      </w:r>
      <w:r w:rsidR="08D6583A" w:rsidRPr="081942A4">
        <w:rPr>
          <w:szCs w:val="24"/>
        </w:rPr>
        <w:t>(</w:t>
      </w:r>
      <w:r w:rsidR="002E333F">
        <w:rPr>
          <w:i/>
          <w:szCs w:val="24"/>
        </w:rPr>
        <w:t>a</w:t>
      </w:r>
      <w:r w:rsidR="08D6583A" w:rsidRPr="081942A4">
        <w:rPr>
          <w:i/>
          <w:szCs w:val="24"/>
        </w:rPr>
        <w:t>létheia</w:t>
      </w:r>
      <w:r w:rsidR="08D6583A" w:rsidRPr="081942A4">
        <w:rPr>
          <w:szCs w:val="24"/>
        </w:rPr>
        <w:t xml:space="preserve">) </w:t>
      </w:r>
      <w:r w:rsidR="083B3155" w:rsidRPr="081942A4">
        <w:rPr>
          <w:szCs w:val="24"/>
        </w:rPr>
        <w:t xml:space="preserve">Sigerova odkazu </w:t>
      </w:r>
      <w:r w:rsidRPr="00273106">
        <w:t xml:space="preserve">přešla do </w:t>
      </w:r>
      <w:r>
        <w:t>epochálního zatmění moderního rozumu, stejně jako aristotelská predikace první substance.</w:t>
      </w:r>
    </w:p>
    <w:p w:rsidR="08163013" w:rsidRDefault="003C6CEC" w:rsidP="003C6CEC">
      <w:pPr>
        <w:ind w:firstLine="397"/>
      </w:pPr>
      <w:r w:rsidRPr="00273106">
        <w:t xml:space="preserve">Hermeneutiku </w:t>
      </w:r>
      <w:r w:rsidR="00905248">
        <w:t>Sigerova „</w:t>
      </w:r>
      <w:r w:rsidR="00905248" w:rsidRPr="00905248">
        <w:rPr>
          <w:i/>
        </w:rPr>
        <w:t>homo ipse intelligit</w:t>
      </w:r>
      <w:r w:rsidR="00905248">
        <w:t xml:space="preserve">“ </w:t>
      </w:r>
      <w:r>
        <w:t xml:space="preserve">znovu objevila </w:t>
      </w:r>
      <w:r w:rsidRPr="003C6CEC">
        <w:fldChar w:fldCharType="begin"/>
      </w:r>
      <w:r w:rsidRPr="003C6CEC">
        <w:instrText xml:space="preserve"> XE "Ereignis" </w:instrText>
      </w:r>
      <w:r w:rsidRPr="003C6CEC">
        <w:fldChar w:fldCharType="end"/>
      </w:r>
      <w:r w:rsidRPr="003C6CEC">
        <w:t>Heideggerova</w:t>
      </w:r>
      <w:r>
        <w:t xml:space="preserve"> hermeneutika fakticity. </w:t>
      </w:r>
      <w:r w:rsidR="00BB30A1">
        <w:t xml:space="preserve">Její první fáze stála </w:t>
      </w:r>
      <w:r>
        <w:t>na interpretaci</w:t>
      </w:r>
      <w:r w:rsidRPr="00273106">
        <w:t xml:space="preserve"> eschatologických pasáží apoštola Pavla v jeho novozákon</w:t>
      </w:r>
      <w:r>
        <w:t>ních listech (Umlauf 2010, 401‒4</w:t>
      </w:r>
      <w:r w:rsidRPr="00273106">
        <w:t xml:space="preserve">17). </w:t>
      </w:r>
      <w:r w:rsidR="08163013">
        <w:t xml:space="preserve">Ipseitu člověka v modu Sigerova humanismu drží ve filosofii pouze proud fundamentální hermeneutiky dané na časovosti a dějinnosti </w:t>
      </w:r>
      <w:r w:rsidR="08163013" w:rsidRPr="00BA71D9">
        <w:rPr>
          <w:i/>
        </w:rPr>
        <w:t>Da</w:t>
      </w:r>
      <w:r w:rsidR="08163013">
        <w:rPr>
          <w:i/>
        </w:rPr>
        <w:noBreakHyphen/>
      </w:r>
      <w:r w:rsidR="08163013" w:rsidRPr="00BA71D9">
        <w:rPr>
          <w:i/>
        </w:rPr>
        <w:t>sein</w:t>
      </w:r>
      <w:r w:rsidR="08163013">
        <w:t xml:space="preserve"> (Heidegger, </w:t>
      </w:r>
      <w:r w:rsidR="08163013" w:rsidRPr="005E3350">
        <w:rPr>
          <w:rStyle w:val="st"/>
          <w:bCs/>
          <w:i/>
        </w:rPr>
        <w:t>Brief</w:t>
      </w:r>
      <w:r w:rsidR="08163013" w:rsidRPr="005E3350">
        <w:rPr>
          <w:rStyle w:val="st"/>
          <w:i/>
        </w:rPr>
        <w:t xml:space="preserve"> über den </w:t>
      </w:r>
      <w:r w:rsidR="08163013" w:rsidRPr="005E3350">
        <w:rPr>
          <w:rStyle w:val="st"/>
          <w:bCs/>
          <w:i/>
        </w:rPr>
        <w:t>Humanismus</w:t>
      </w:r>
      <w:r w:rsidR="08163013" w:rsidRPr="005E3350">
        <w:rPr>
          <w:rStyle w:val="st"/>
          <w:bCs/>
        </w:rPr>
        <w:t>, 1947</w:t>
      </w:r>
      <w:r w:rsidR="08163013">
        <w:t xml:space="preserve">) a na dějinné existenci </w:t>
      </w:r>
      <w:r w:rsidR="08163013" w:rsidRPr="005F4DA6">
        <w:rPr>
          <w:i/>
        </w:rPr>
        <w:t>homme capable</w:t>
      </w:r>
      <w:r w:rsidR="08163013">
        <w:rPr>
          <w:i/>
        </w:rPr>
        <w:fldChar w:fldCharType="begin"/>
      </w:r>
      <w:r w:rsidR="08163013">
        <w:instrText xml:space="preserve"> XE "</w:instrText>
      </w:r>
      <w:r w:rsidR="08163013" w:rsidRPr="00A5084A">
        <w:instrText>osoba</w:instrText>
      </w:r>
      <w:r w:rsidR="08163013" w:rsidRPr="00A5084A">
        <w:rPr>
          <w:i/>
        </w:rPr>
        <w:instrText>:homme capable</w:instrText>
      </w:r>
      <w:r w:rsidR="08163013">
        <w:instrText xml:space="preserve">" </w:instrText>
      </w:r>
      <w:r w:rsidR="08163013">
        <w:rPr>
          <w:i/>
        </w:rPr>
        <w:fldChar w:fldCharType="end"/>
      </w:r>
      <w:r w:rsidR="08163013">
        <w:t xml:space="preserve"> (Ricoeur: </w:t>
      </w:r>
      <w:r w:rsidR="08163013" w:rsidRPr="00863A3D">
        <w:rPr>
          <w:rStyle w:val="st"/>
          <w:i/>
        </w:rPr>
        <w:t xml:space="preserve">La </w:t>
      </w:r>
      <w:r w:rsidR="08163013" w:rsidRPr="00863A3D">
        <w:rPr>
          <w:rStyle w:val="st"/>
          <w:bCs/>
          <w:i/>
        </w:rPr>
        <w:t>mémoire</w:t>
      </w:r>
      <w:r w:rsidR="002350F5">
        <w:rPr>
          <w:rStyle w:val="st"/>
          <w:i/>
        </w:rPr>
        <w:t>, l'</w:t>
      </w:r>
      <w:r w:rsidR="08163013" w:rsidRPr="00863A3D">
        <w:rPr>
          <w:rStyle w:val="st"/>
          <w:bCs/>
          <w:i/>
        </w:rPr>
        <w:t>histoire</w:t>
      </w:r>
      <w:r w:rsidR="08163013" w:rsidRPr="00863A3D">
        <w:rPr>
          <w:rStyle w:val="st"/>
          <w:i/>
        </w:rPr>
        <w:t>, l'</w:t>
      </w:r>
      <w:r w:rsidR="08163013" w:rsidRPr="00863A3D">
        <w:rPr>
          <w:rStyle w:val="st"/>
          <w:bCs/>
          <w:i/>
        </w:rPr>
        <w:t>oubli</w:t>
      </w:r>
      <w:r w:rsidR="08163013">
        <w:rPr>
          <w:i/>
        </w:rPr>
        <w:t xml:space="preserve">, </w:t>
      </w:r>
      <w:r w:rsidR="08163013" w:rsidRPr="005E3350">
        <w:t>2000</w:t>
      </w:r>
      <w:r w:rsidR="08163013">
        <w:t>). K obraně ipseity jistě patří i radikální etika antihermeneutického Lévinase, který na straně židovství vystoupil po Jakubově a Bonaventurově ontoteologickém žebříku od filosofie až k teologii. Koncepty alterity u Lévinase jsou dané nikoliv v rámci fundamentální ontologie (tu pro konstituci etického subjektu odmítá), ale v rámci asymetrické etiky odpovědnosti dané metaforicky, biblicky a talmudicky (</w:t>
      </w:r>
      <w:r w:rsidR="08163013" w:rsidRPr="004E454F">
        <w:rPr>
          <w:rStyle w:val="st"/>
          <w:i/>
        </w:rPr>
        <w:t>visage d'</w:t>
      </w:r>
      <w:r w:rsidR="08163013" w:rsidRPr="004E454F">
        <w:rPr>
          <w:rStyle w:val="st"/>
          <w:bCs/>
          <w:i/>
        </w:rPr>
        <w:t>Autrui</w:t>
      </w:r>
      <w:r w:rsidR="08163013">
        <w:rPr>
          <w:rStyle w:val="st"/>
          <w:bCs/>
          <w:i/>
        </w:rPr>
        <w:fldChar w:fldCharType="begin"/>
      </w:r>
      <w:r w:rsidR="08163013">
        <w:instrText xml:space="preserve"> XE "osoba:</w:instrText>
      </w:r>
      <w:r w:rsidR="08163013" w:rsidRPr="00720300">
        <w:rPr>
          <w:rStyle w:val="st"/>
          <w:i/>
        </w:rPr>
        <w:instrText>visage d'</w:instrText>
      </w:r>
      <w:r w:rsidR="08163013" w:rsidRPr="00720300">
        <w:rPr>
          <w:rStyle w:val="st"/>
          <w:bCs/>
          <w:i/>
        </w:rPr>
        <w:instrText>Autrui</w:instrText>
      </w:r>
      <w:r w:rsidR="08163013">
        <w:instrText xml:space="preserve">" </w:instrText>
      </w:r>
      <w:r w:rsidR="08163013">
        <w:rPr>
          <w:rStyle w:val="st"/>
          <w:bCs/>
          <w:i/>
        </w:rPr>
        <w:fldChar w:fldCharType="end"/>
      </w:r>
      <w:r w:rsidR="08163013" w:rsidRPr="00E55A21">
        <w:rPr>
          <w:rStyle w:val="st"/>
          <w:bCs/>
        </w:rPr>
        <w:t>,</w:t>
      </w:r>
      <w:r w:rsidR="08163013" w:rsidRPr="00E55A21">
        <w:t xml:space="preserve"> </w:t>
      </w:r>
      <w:r w:rsidR="08163013">
        <w:rPr>
          <w:i/>
        </w:rPr>
        <w:t>i</w:t>
      </w:r>
      <w:r w:rsidR="08163013" w:rsidRPr="00333416">
        <w:rPr>
          <w:i/>
        </w:rPr>
        <w:t>lléité</w:t>
      </w:r>
      <w:r w:rsidR="08163013">
        <w:t>,</w:t>
      </w:r>
      <w:r w:rsidR="08163013">
        <w:rPr>
          <w:i/>
        </w:rPr>
        <w:t xml:space="preserve"> à-dieu</w:t>
      </w:r>
      <w:r w:rsidR="08163013" w:rsidRPr="00E55A21">
        <w:t xml:space="preserve">, </w:t>
      </w:r>
      <w:r w:rsidR="08163013">
        <w:rPr>
          <w:i/>
        </w:rPr>
        <w:t>Autre</w:t>
      </w:r>
      <w:r w:rsidR="08163013">
        <w:t xml:space="preserve">, </w:t>
      </w:r>
      <w:r w:rsidR="08163013" w:rsidRPr="0073238C">
        <w:rPr>
          <w:i/>
        </w:rPr>
        <w:t>infini</w:t>
      </w:r>
      <w:r w:rsidR="08163013">
        <w:t xml:space="preserve">, atd.). </w:t>
      </w:r>
      <w:r w:rsidR="08163013" w:rsidRPr="00273106">
        <w:t xml:space="preserve">Západní křesťanství a filosofie se </w:t>
      </w:r>
      <w:r w:rsidR="08163013">
        <w:t xml:space="preserve">pro </w:t>
      </w:r>
      <w:r w:rsidR="00745C6A">
        <w:t>další staletí spokojily</w:t>
      </w:r>
      <w:r w:rsidR="08163013" w:rsidRPr="00273106">
        <w:t xml:space="preserve"> </w:t>
      </w:r>
      <w:r w:rsidR="08163013">
        <w:t>s pouhou identitou osoby, kterou</w:t>
      </w:r>
      <w:r w:rsidR="08163013" w:rsidRPr="00273106">
        <w:t xml:space="preserve"> prosadil oficiální tomismus</w:t>
      </w:r>
      <w:r w:rsidR="00A76866">
        <w:t xml:space="preserve"> v katolické církvi</w:t>
      </w:r>
      <w:r w:rsidR="08163013">
        <w:fldChar w:fldCharType="begin"/>
      </w:r>
      <w:r w:rsidR="08163013">
        <w:instrText xml:space="preserve"> XE "</w:instrText>
      </w:r>
      <w:r w:rsidR="08163013" w:rsidRPr="0813533C">
        <w:instrText>tomismus</w:instrText>
      </w:r>
      <w:r w:rsidR="08163013">
        <w:instrText xml:space="preserve">" </w:instrText>
      </w:r>
      <w:r w:rsidR="08163013">
        <w:fldChar w:fldCharType="end"/>
      </w:r>
      <w:r w:rsidR="08163013" w:rsidRPr="00273106">
        <w:t>.</w:t>
      </w:r>
      <w:r w:rsidR="08163013">
        <w:t xml:space="preserve"> </w:t>
      </w:r>
      <w:r w:rsidR="08163013" w:rsidRPr="00273106">
        <w:rPr>
          <w:lang w:eastAsia="en-US"/>
        </w:rPr>
        <w:t xml:space="preserve">Nepochopení fenomenologie popisující </w:t>
      </w:r>
      <w:r w:rsidR="08163013" w:rsidRPr="00273106">
        <w:rPr>
          <w:i/>
          <w:lang w:eastAsia="en-US"/>
        </w:rPr>
        <w:t>anima intellectiva</w:t>
      </w:r>
      <w:r w:rsidR="08163013" w:rsidRPr="00273106">
        <w:rPr>
          <w:lang w:eastAsia="en-US"/>
        </w:rPr>
        <w:t xml:space="preserve"> vedlo nejen k odsouzení Sigera jako averroisty, ale hlavně k </w:t>
      </w:r>
      <w:r w:rsidR="00C82139" w:rsidRPr="00470EF3">
        <w:rPr>
          <w:i/>
        </w:rPr>
        <w:t>damnatio memoriae</w:t>
      </w:r>
      <w:r w:rsidR="00C82139">
        <w:t xml:space="preserve"> </w:t>
      </w:r>
      <w:r w:rsidR="00C82139">
        <w:rPr>
          <w:lang w:eastAsia="en-US"/>
        </w:rPr>
        <w:lastRenderedPageBreak/>
        <w:t>Averroesovy metafyziky</w:t>
      </w:r>
      <w:r w:rsidR="08163013">
        <w:rPr>
          <w:lang w:eastAsia="en-US"/>
        </w:rPr>
        <w:t xml:space="preserve">. Jeho projekt metafyziky </w:t>
      </w:r>
      <w:r w:rsidR="08163013" w:rsidRPr="00273106">
        <w:rPr>
          <w:lang w:eastAsia="en-US"/>
        </w:rPr>
        <w:t xml:space="preserve">skončil epochálním vítězstvím objektivity jako </w:t>
      </w:r>
      <w:r w:rsidR="08163013">
        <w:rPr>
          <w:lang w:eastAsia="en-US"/>
        </w:rPr>
        <w:t xml:space="preserve">dějinně </w:t>
      </w:r>
      <w:r w:rsidR="08163013" w:rsidRPr="00273106">
        <w:rPr>
          <w:lang w:eastAsia="en-US"/>
        </w:rPr>
        <w:t>manifestované nepravdy</w:t>
      </w:r>
      <w:r w:rsidR="08163013">
        <w:rPr>
          <w:lang w:eastAsia="en-US"/>
        </w:rPr>
        <w:t xml:space="preserve"> Komentátora v modu objektivního </w:t>
      </w:r>
      <w:r w:rsidR="08163013" w:rsidRPr="002B2CE3">
        <w:rPr>
          <w:i/>
          <w:lang w:eastAsia="en-US"/>
        </w:rPr>
        <w:t>Irrtum</w:t>
      </w:r>
      <w:r w:rsidR="08163013">
        <w:rPr>
          <w:lang w:eastAsia="en-US"/>
        </w:rPr>
        <w:t>.</w:t>
      </w:r>
      <w:r w:rsidR="08163013">
        <w:t xml:space="preserve"> Otázka lidské identity dané do souvislosti s pamětí se vynořuje v souvislosti s Lockovým hledáním nového </w:t>
      </w:r>
      <w:r w:rsidR="00F06FB7">
        <w:t>„</w:t>
      </w:r>
      <w:r w:rsidR="08163013" w:rsidRPr="00A03519">
        <w:rPr>
          <w:i/>
        </w:rPr>
        <w:t>principium individuationis</w:t>
      </w:r>
      <w:r w:rsidR="00F06FB7">
        <w:t>“</w:t>
      </w:r>
      <w:r w:rsidR="08163013">
        <w:rPr>
          <w:i/>
        </w:rPr>
        <w:fldChar w:fldCharType="begin"/>
      </w:r>
      <w:r w:rsidR="08163013">
        <w:instrText xml:space="preserve"> XE "osoba:</w:instrText>
      </w:r>
      <w:r w:rsidR="08163013" w:rsidRPr="00980D46">
        <w:rPr>
          <w:i/>
        </w:rPr>
        <w:instrText>principium individuationis</w:instrText>
      </w:r>
      <w:r w:rsidR="08163013">
        <w:instrText xml:space="preserve">" </w:instrText>
      </w:r>
      <w:r w:rsidR="08163013">
        <w:rPr>
          <w:i/>
        </w:rPr>
        <w:fldChar w:fldCharType="end"/>
      </w:r>
      <w:r w:rsidR="08163013">
        <w:t xml:space="preserve"> pro postmoderní pojetí osoby. To ukazuje výměna dopisů Locke</w:t>
      </w:r>
      <w:r w:rsidR="08163013">
        <w:fldChar w:fldCharType="begin"/>
      </w:r>
      <w:r w:rsidR="08163013">
        <w:instrText xml:space="preserve"> XE "</w:instrText>
      </w:r>
      <w:r w:rsidR="08163013" w:rsidRPr="00772E1F">
        <w:instrText>Locke, J.</w:instrText>
      </w:r>
      <w:r w:rsidR="08163013">
        <w:instrText xml:space="preserve">" </w:instrText>
      </w:r>
      <w:r w:rsidR="08163013">
        <w:fldChar w:fldCharType="end"/>
      </w:r>
      <w:r w:rsidR="08163013">
        <w:t>‒</w:t>
      </w:r>
      <w:r w:rsidR="08163013" w:rsidRPr="00A03519">
        <w:t xml:space="preserve">Molyneux </w:t>
      </w:r>
      <w:r w:rsidR="08163013">
        <w:t>(</w:t>
      </w:r>
      <w:r w:rsidR="08163013" w:rsidRPr="00A03519">
        <w:t>1693</w:t>
      </w:r>
      <w:r w:rsidR="08163013">
        <w:t>‒94) a závěrečná redakce Lockova eseje ohledně identity osoby (</w:t>
      </w:r>
      <w:r w:rsidR="08163013" w:rsidRPr="00346B24">
        <w:rPr>
          <w:i/>
        </w:rPr>
        <w:t>Essay</w:t>
      </w:r>
      <w:r w:rsidR="08163013">
        <w:t xml:space="preserve"> 2.27</w:t>
      </w:r>
      <w:r w:rsidR="08163013">
        <w:fldChar w:fldCharType="begin"/>
      </w:r>
      <w:r w:rsidR="08163013">
        <w:instrText xml:space="preserve"> XE "Locke:</w:instrText>
      </w:r>
      <w:r w:rsidR="08163013" w:rsidRPr="00756A7B">
        <w:rPr>
          <w:rStyle w:val="st"/>
          <w:i/>
        </w:rPr>
        <w:instrText xml:space="preserve">An </w:instrText>
      </w:r>
      <w:r w:rsidR="08163013" w:rsidRPr="00756A7B">
        <w:rPr>
          <w:rStyle w:val="st"/>
          <w:bCs/>
          <w:i/>
        </w:rPr>
        <w:instrText>Essay</w:instrText>
      </w:r>
      <w:r w:rsidR="08163013" w:rsidRPr="00756A7B">
        <w:rPr>
          <w:rStyle w:val="st"/>
          <w:i/>
        </w:rPr>
        <w:instrText xml:space="preserve"> Concerning </w:instrText>
      </w:r>
      <w:r w:rsidR="08163013" w:rsidRPr="00756A7B">
        <w:rPr>
          <w:rStyle w:val="st"/>
          <w:bCs/>
          <w:i/>
        </w:rPr>
        <w:instrText>Human Understanding</w:instrText>
      </w:r>
      <w:r w:rsidR="08163013">
        <w:instrText xml:space="preserve"> 2.27" </w:instrText>
      </w:r>
      <w:r w:rsidR="08163013">
        <w:fldChar w:fldCharType="end"/>
      </w:r>
      <w:r w:rsidR="08163013">
        <w:t xml:space="preserve">). Následná debata mezi Lockem a Leibnizem připomíná kritiku Sigerovu kritiku Akvinského v modu </w:t>
      </w:r>
      <w:r w:rsidR="004A7988">
        <w:t>„</w:t>
      </w:r>
      <w:r w:rsidR="08163013" w:rsidRPr="00DB3D92">
        <w:rPr>
          <w:i/>
        </w:rPr>
        <w:t>ipse</w:t>
      </w:r>
      <w:r w:rsidR="08163013">
        <w:t>‒</w:t>
      </w:r>
      <w:r w:rsidR="08163013" w:rsidRPr="00DB3D92">
        <w:rPr>
          <w:i/>
        </w:rPr>
        <w:t>idem</w:t>
      </w:r>
      <w:r w:rsidR="004A7988">
        <w:t>“</w:t>
      </w:r>
      <w:r w:rsidR="08163013">
        <w:t>, ale přesunutou do epochy postmoderny</w:t>
      </w:r>
      <w:r w:rsidR="004A7988">
        <w:t xml:space="preserve">. Ta </w:t>
      </w:r>
      <w:r w:rsidR="08163013">
        <w:t>má identitu osoby podle karteziánského intelektu jako sebevědomé substance</w:t>
      </w:r>
      <w:r w:rsidR="08163013">
        <w:fldChar w:fldCharType="begin"/>
      </w:r>
      <w:r w:rsidR="08163013">
        <w:instrText xml:space="preserve"> XE "</w:instrText>
      </w:r>
      <w:r w:rsidR="08163013" w:rsidRPr="00154E06">
        <w:instrText>osoba:</w:instrText>
      </w:r>
      <w:r w:rsidR="08163013">
        <w:rPr>
          <w:i/>
        </w:rPr>
        <w:instrText>ipse</w:instrText>
      </w:r>
      <w:r w:rsidR="08163013">
        <w:instrText>‒</w:instrText>
      </w:r>
      <w:r w:rsidR="08163013" w:rsidRPr="00F12E9D">
        <w:rPr>
          <w:i/>
        </w:rPr>
        <w:instrText>idem</w:instrText>
      </w:r>
      <w:r w:rsidR="08163013">
        <w:instrText xml:space="preserve">" </w:instrText>
      </w:r>
      <w:r w:rsidR="08163013">
        <w:fldChar w:fldCharType="end"/>
      </w:r>
      <w:r w:rsidR="08163013">
        <w:t>. Leibniz bránící ipseitu intelektu v modu Akvinského namítá proti Lockovi, že jeho typ identity vázané na materiální intelekt a na paměť může mít i pouhý stroj</w:t>
      </w:r>
      <w:r w:rsidR="08163013" w:rsidRPr="001E2FB7">
        <w:t>.</w:t>
      </w:r>
      <w:r w:rsidR="08163013">
        <w:rPr>
          <w:rStyle w:val="Znakapoznpodarou"/>
        </w:rPr>
        <w:footnoteReference w:id="276"/>
      </w:r>
      <w:r w:rsidR="08163013">
        <w:t xml:space="preserve"> John Locke</w:t>
      </w:r>
      <w:r w:rsidR="08163013">
        <w:fldChar w:fldCharType="begin"/>
      </w:r>
      <w:r w:rsidR="08163013">
        <w:instrText xml:space="preserve"> XE "</w:instrText>
      </w:r>
      <w:r w:rsidR="08163013" w:rsidRPr="00772E1F">
        <w:instrText>Locke, J.</w:instrText>
      </w:r>
      <w:r w:rsidR="08163013">
        <w:instrText xml:space="preserve">" </w:instrText>
      </w:r>
      <w:r w:rsidR="08163013">
        <w:fldChar w:fldCharType="end"/>
      </w:r>
      <w:r w:rsidR="08163013">
        <w:t xml:space="preserve"> vytvořil první postmoderní traktát ve stylu </w:t>
      </w:r>
      <w:r w:rsidR="08163013" w:rsidRPr="00022289">
        <w:rPr>
          <w:i/>
        </w:rPr>
        <w:t>De anima</w:t>
      </w:r>
      <w:r w:rsidR="08163013">
        <w:t>, ovšem v duchu karteziánské verze druhého averroismu. V</w:t>
      </w:r>
      <w:r w:rsidR="08163013" w:rsidRPr="00273106">
        <w:t xml:space="preserve">rátil </w:t>
      </w:r>
      <w:r w:rsidR="08163013">
        <w:t xml:space="preserve">se </w:t>
      </w:r>
      <w:r w:rsidR="08163013" w:rsidRPr="00273106">
        <w:t xml:space="preserve">k augustiniánské </w:t>
      </w:r>
      <w:r w:rsidR="08163013" w:rsidRPr="00273106">
        <w:rPr>
          <w:i/>
        </w:rPr>
        <w:t>memoria</w:t>
      </w:r>
      <w:r w:rsidR="08163013">
        <w:rPr>
          <w:i/>
        </w:rPr>
        <w:fldChar w:fldCharType="begin"/>
      </w:r>
      <w:r w:rsidR="08163013">
        <w:instrText xml:space="preserve"> XE "</w:instrText>
      </w:r>
      <w:r w:rsidR="08163013" w:rsidRPr="00840D0F">
        <w:rPr>
          <w:i/>
        </w:rPr>
        <w:instrText>memoria:</w:instrText>
      </w:r>
      <w:r w:rsidR="08163013" w:rsidRPr="00840D0F">
        <w:instrText>druhý averroismus</w:instrText>
      </w:r>
      <w:r w:rsidR="08163013">
        <w:instrText xml:space="preserve">" </w:instrText>
      </w:r>
      <w:r w:rsidR="08163013">
        <w:rPr>
          <w:i/>
        </w:rPr>
        <w:fldChar w:fldCharType="end"/>
      </w:r>
      <w:r w:rsidR="08163013" w:rsidRPr="00273106">
        <w:t xml:space="preserve"> jako vrozenému principu poznání a kombin</w:t>
      </w:r>
      <w:r w:rsidR="08163013">
        <w:t xml:space="preserve">oval jej s karteziánským </w:t>
      </w:r>
      <w:r w:rsidR="08163013" w:rsidRPr="00A17297">
        <w:rPr>
          <w:i/>
        </w:rPr>
        <w:t>cogito</w:t>
      </w:r>
      <w:r w:rsidR="08163013">
        <w:rPr>
          <w:i/>
        </w:rPr>
        <w:fldChar w:fldCharType="begin"/>
      </w:r>
      <w:r w:rsidR="08163013">
        <w:instrText xml:space="preserve"> XE "</w:instrText>
      </w:r>
      <w:r w:rsidR="08163013" w:rsidRPr="003D2937">
        <w:rPr>
          <w:i/>
        </w:rPr>
        <w:instrText>cogito</w:instrText>
      </w:r>
      <w:r w:rsidR="08163013">
        <w:instrText xml:space="preserve">" </w:instrText>
      </w:r>
      <w:r w:rsidR="08163013">
        <w:rPr>
          <w:i/>
        </w:rPr>
        <w:fldChar w:fldCharType="end"/>
      </w:r>
      <w:r w:rsidR="08163013" w:rsidRPr="00273106">
        <w:t xml:space="preserve"> jako nositelem existence a identity</w:t>
      </w:r>
      <w:r w:rsidR="08163013">
        <w:t xml:space="preserve">. </w:t>
      </w:r>
      <w:r w:rsidR="08163013" w:rsidRPr="00273106">
        <w:t>Vrozené ideje zrušil</w:t>
      </w:r>
      <w:r w:rsidR="08163013">
        <w:t xml:space="preserve"> a </w:t>
      </w:r>
      <w:r w:rsidR="08163013" w:rsidRPr="00273106">
        <w:t>místo aktuality intelektu nechal fungovat paměť a vůli</w:t>
      </w:r>
      <w:r w:rsidR="08163013">
        <w:t xml:space="preserve"> jako </w:t>
      </w:r>
      <w:r w:rsidR="08163013" w:rsidRPr="08D77250">
        <w:rPr>
          <w:i/>
        </w:rPr>
        <w:t>locus specierum</w:t>
      </w:r>
      <w:r w:rsidR="08163013">
        <w:t xml:space="preserve"> pro materiální počitky primárních kvalit, které chápe jako Rufusova </w:t>
      </w:r>
      <w:r w:rsidR="08163013" w:rsidRPr="08D77250">
        <w:rPr>
          <w:i/>
        </w:rPr>
        <w:t>scibile</w:t>
      </w:r>
      <w:r w:rsidR="08163013">
        <w:t>, čili jako jsoucna třetího druhu</w:t>
      </w:r>
      <w:r w:rsidR="08163013" w:rsidRPr="00273106">
        <w:t>.</w:t>
      </w:r>
      <w:r w:rsidR="08163013">
        <w:rPr>
          <w:rStyle w:val="Znakapoznpodarou"/>
        </w:rPr>
        <w:footnoteReference w:id="277"/>
      </w:r>
      <w:r w:rsidR="08163013">
        <w:t xml:space="preserve"> Argumenty desáté kapitoly Lockova eseje lze srovnat s debatami o vztahu intelektu k tělesným orgánům, viz například pasáže o poškození mysli a duševních nemocech. Za strukturalismus tuto debatu ohledně </w:t>
      </w:r>
      <w:r w:rsidR="004A7988">
        <w:t>„</w:t>
      </w:r>
      <w:r w:rsidR="08163013" w:rsidRPr="08447129">
        <w:rPr>
          <w:i/>
        </w:rPr>
        <w:t>intellectus materialis</w:t>
      </w:r>
      <w:r w:rsidR="004A7988">
        <w:t>“</w:t>
      </w:r>
      <w:r w:rsidR="08163013">
        <w:t xml:space="preserve"> převezme lingvistika (Jacobson 1956, 55‒82) a dnes i kognitivní neurologie. </w:t>
      </w:r>
      <w:r w:rsidR="08163013">
        <w:rPr>
          <w:lang w:eastAsia="en-US"/>
        </w:rPr>
        <w:t>Foucault</w:t>
      </w:r>
      <w:r w:rsidR="08163013">
        <w:rPr>
          <w:lang w:eastAsia="en-US"/>
        </w:rPr>
        <w:fldChar w:fldCharType="begin"/>
      </w:r>
      <w:r w:rsidR="08163013">
        <w:instrText xml:space="preserve"> XE "</w:instrText>
      </w:r>
      <w:r w:rsidR="08163013" w:rsidRPr="00CA516C">
        <w:rPr>
          <w:lang w:eastAsia="en-US"/>
        </w:rPr>
        <w:instrText>Foucault, M.</w:instrText>
      </w:r>
      <w:r w:rsidR="08163013">
        <w:instrText xml:space="preserve">" </w:instrText>
      </w:r>
      <w:r w:rsidR="08163013">
        <w:rPr>
          <w:lang w:eastAsia="en-US"/>
        </w:rPr>
        <w:fldChar w:fldCharType="end"/>
      </w:r>
      <w:r w:rsidR="08163013">
        <w:rPr>
          <w:lang w:eastAsia="en-US"/>
        </w:rPr>
        <w:t xml:space="preserve"> definuje novou produkci významu toho, co je „člověk“ paradigmatem nové diferenciace zavedené mezi 17. až 19. stoletím</w:t>
      </w:r>
      <w:r w:rsidR="08163013">
        <w:rPr>
          <w:i/>
        </w:rPr>
        <w:fldChar w:fldCharType="begin"/>
      </w:r>
      <w:r w:rsidR="08163013">
        <w:instrText xml:space="preserve"> XE "humanismus:objektivní" </w:instrText>
      </w:r>
      <w:r w:rsidR="08163013">
        <w:rPr>
          <w:i/>
        </w:rPr>
        <w:fldChar w:fldCharType="end"/>
      </w:r>
      <w:r w:rsidR="08163013">
        <w:rPr>
          <w:lang w:eastAsia="en-US"/>
        </w:rPr>
        <w:t xml:space="preserve">. Nová </w:t>
      </w:r>
      <w:r w:rsidR="08163013" w:rsidRPr="00EE6E8D">
        <w:rPr>
          <w:i/>
          <w:lang w:eastAsia="en-US"/>
        </w:rPr>
        <w:t>epistémé</w:t>
      </w:r>
      <w:r w:rsidR="08163013">
        <w:rPr>
          <w:i/>
          <w:lang w:eastAsia="en-US"/>
        </w:rPr>
        <w:fldChar w:fldCharType="begin"/>
      </w:r>
      <w:r w:rsidR="08163013">
        <w:instrText xml:space="preserve"> XE "</w:instrText>
      </w:r>
      <w:r w:rsidR="08163013" w:rsidRPr="005B05F0">
        <w:rPr>
          <w:i/>
        </w:rPr>
        <w:instrText>epistémé</w:instrText>
      </w:r>
      <w:r w:rsidR="08163013">
        <w:instrText xml:space="preserve">" </w:instrText>
      </w:r>
      <w:r w:rsidR="08163013">
        <w:rPr>
          <w:i/>
          <w:lang w:eastAsia="en-US"/>
        </w:rPr>
        <w:fldChar w:fldCharType="end"/>
      </w:r>
      <w:r w:rsidR="08163013">
        <w:rPr>
          <w:lang w:eastAsia="en-US"/>
        </w:rPr>
        <w:t xml:space="preserve"> je pouhá diference </w:t>
      </w:r>
      <w:r w:rsidR="08163013" w:rsidRPr="00273106">
        <w:rPr>
          <w:lang w:eastAsia="en-US"/>
        </w:rPr>
        <w:t>význ</w:t>
      </w:r>
      <w:r w:rsidR="08163013">
        <w:rPr>
          <w:lang w:eastAsia="en-US"/>
        </w:rPr>
        <w:t xml:space="preserve">amu daná rozdílem mezi syntagmatickým </w:t>
      </w:r>
      <w:r w:rsidR="08163013">
        <w:rPr>
          <w:lang w:eastAsia="en-US"/>
        </w:rPr>
        <w:lastRenderedPageBreak/>
        <w:t>tokem produkovaných událostí a mezi paradigmatickými významy danými v rámci té či oné významové struktury</w:t>
      </w:r>
      <w:r w:rsidR="083B3155">
        <w:rPr>
          <w:lang w:eastAsia="en-US"/>
        </w:rPr>
        <w:t xml:space="preserve">. Systém </w:t>
      </w:r>
      <w:r w:rsidR="08F70AFD">
        <w:rPr>
          <w:lang w:eastAsia="en-US"/>
        </w:rPr>
        <w:t xml:space="preserve">náhodných </w:t>
      </w:r>
      <w:r w:rsidR="083B3155">
        <w:rPr>
          <w:lang w:eastAsia="en-US"/>
        </w:rPr>
        <w:t xml:space="preserve">diferencí určuje </w:t>
      </w:r>
      <w:r w:rsidR="08163013">
        <w:rPr>
          <w:lang w:eastAsia="en-US"/>
        </w:rPr>
        <w:t xml:space="preserve">biologickou, ekonomickou, a lingvistickou produkci </w:t>
      </w:r>
      <w:r w:rsidR="08175B40">
        <w:rPr>
          <w:lang w:eastAsia="en-US"/>
        </w:rPr>
        <w:t xml:space="preserve">významů </w:t>
      </w:r>
      <w:r w:rsidR="081B2F88">
        <w:rPr>
          <w:lang w:eastAsia="en-US"/>
        </w:rPr>
        <w:t xml:space="preserve">nových </w:t>
      </w:r>
      <w:r w:rsidR="08175B40">
        <w:rPr>
          <w:lang w:eastAsia="en-US"/>
        </w:rPr>
        <w:t xml:space="preserve">„humanitních věd“ </w:t>
      </w:r>
      <w:r w:rsidR="08163013">
        <w:rPr>
          <w:lang w:eastAsia="en-US"/>
        </w:rPr>
        <w:t xml:space="preserve">na způsob dispozitivu </w:t>
      </w:r>
      <w:r w:rsidR="08163013" w:rsidRPr="00273106">
        <w:rPr>
          <w:lang w:eastAsia="en-US"/>
        </w:rPr>
        <w:t>(</w:t>
      </w:r>
      <w:r w:rsidR="08163013" w:rsidRPr="00E249B4">
        <w:rPr>
          <w:bCs/>
          <w:i/>
          <w:iCs/>
        </w:rPr>
        <w:t>Les mots et les choses</w:t>
      </w:r>
      <w:r w:rsidR="08163013" w:rsidRPr="00273106">
        <w:rPr>
          <w:lang w:eastAsia="en-US"/>
        </w:rPr>
        <w:t xml:space="preserve">, kap. X). </w:t>
      </w:r>
      <w:r w:rsidR="08163013">
        <w:t>P</w:t>
      </w:r>
      <w:r w:rsidR="08163013" w:rsidRPr="00273106">
        <w:t xml:space="preserve">rávnická a politická definice osoby </w:t>
      </w:r>
      <w:r w:rsidR="08163013">
        <w:t>vznikla n</w:t>
      </w:r>
      <w:r w:rsidR="08163013" w:rsidRPr="00273106">
        <w:t>a přelomu 16</w:t>
      </w:r>
      <w:r w:rsidR="08163013">
        <w:t>.</w:t>
      </w:r>
      <w:r w:rsidR="08163013" w:rsidRPr="00273106">
        <w:t xml:space="preserve"> a 17. století</w:t>
      </w:r>
      <w:r w:rsidR="004A7988">
        <w:t xml:space="preserve">. K </w:t>
      </w:r>
      <w:r w:rsidR="08163013">
        <w:t xml:space="preserve">modernímu subjektu postavenému mimo existenci osoby přišla i funkce nositele </w:t>
      </w:r>
      <w:r w:rsidR="08163013" w:rsidRPr="00273106">
        <w:t>nezadatelných práv</w:t>
      </w:r>
      <w:r w:rsidR="08163013">
        <w:t xml:space="preserve">, převším Hobbesova práva na život. </w:t>
      </w:r>
      <w:r w:rsidR="08163013" w:rsidRPr="00273106">
        <w:t>Ztráta ipseity člověka je dovršena nihilismem</w:t>
      </w:r>
      <w:r w:rsidR="08163013">
        <w:fldChar w:fldCharType="begin"/>
      </w:r>
      <w:r w:rsidR="08163013">
        <w:instrText xml:space="preserve"> XE "osoba:</w:instrText>
      </w:r>
      <w:r w:rsidR="08163013" w:rsidRPr="00061BDF">
        <w:instrText>nihilismus</w:instrText>
      </w:r>
      <w:r w:rsidR="08163013">
        <w:instrText xml:space="preserve">" </w:instrText>
      </w:r>
      <w:r w:rsidR="08163013">
        <w:fldChar w:fldCharType="end"/>
      </w:r>
      <w:r w:rsidR="08163013" w:rsidRPr="00273106">
        <w:t xml:space="preserve"> techniky v rámci totalitarismů</w:t>
      </w:r>
      <w:r w:rsidR="08163013">
        <w:fldChar w:fldCharType="begin"/>
      </w:r>
      <w:r w:rsidR="08163013">
        <w:instrText xml:space="preserve"> XE "</w:instrText>
      </w:r>
      <w:r w:rsidR="08163013" w:rsidRPr="00340484">
        <w:instrText>totalitarismus</w:instrText>
      </w:r>
      <w:r w:rsidR="08163013">
        <w:instrText xml:space="preserve">" </w:instrText>
      </w:r>
      <w:r w:rsidR="08163013">
        <w:fldChar w:fldCharType="end"/>
      </w:r>
      <w:r w:rsidR="08163013" w:rsidRPr="00273106">
        <w:t xml:space="preserve"> a světových válek XX. století, včetně dnešní neoliberální ekonomiky potvrzující destruktivní identitu jednoho procenta vládnoucích globálních zbohatlíků. Po ztrátě první substan</w:t>
      </w:r>
      <w:r w:rsidR="08163013">
        <w:t xml:space="preserve">ce jako principu individuace marně hledají jak tehdejší </w:t>
      </w:r>
      <w:r w:rsidR="08163013" w:rsidRPr="00273106">
        <w:rPr>
          <w:i/>
        </w:rPr>
        <w:t>Moderni</w:t>
      </w:r>
      <w:r w:rsidR="08163013">
        <w:rPr>
          <w:i/>
        </w:rPr>
        <w:fldChar w:fldCharType="begin"/>
      </w:r>
      <w:r w:rsidR="08163013">
        <w:instrText xml:space="preserve"> XE "</w:instrText>
      </w:r>
      <w:r w:rsidR="08163013" w:rsidRPr="00B46F32">
        <w:instrText>averroismus:</w:instrText>
      </w:r>
      <w:r w:rsidR="08163013" w:rsidRPr="00831210">
        <w:rPr>
          <w:i/>
        </w:rPr>
        <w:instrText>Moderni</w:instrText>
      </w:r>
      <w:r w:rsidR="08163013">
        <w:instrText xml:space="preserve">" </w:instrText>
      </w:r>
      <w:r w:rsidR="08163013">
        <w:rPr>
          <w:i/>
        </w:rPr>
        <w:fldChar w:fldCharType="end"/>
      </w:r>
      <w:r w:rsidR="08163013">
        <w:t xml:space="preserve">, tak současná </w:t>
      </w:r>
      <w:r w:rsidR="08163013" w:rsidRPr="00273106">
        <w:t xml:space="preserve">postmoderna </w:t>
      </w:r>
      <w:r w:rsidR="08163013">
        <w:t xml:space="preserve">onen </w:t>
      </w:r>
      <w:r w:rsidR="08163013" w:rsidRPr="00273106">
        <w:t>ra</w:t>
      </w:r>
      <w:r w:rsidR="08163013">
        <w:t>jský s</w:t>
      </w:r>
      <w:r w:rsidR="004A7988">
        <w:t xml:space="preserve">tav jednoty, odkud byli vyhnáni </w:t>
      </w:r>
      <w:r w:rsidR="08163013">
        <w:t xml:space="preserve">vinou </w:t>
      </w:r>
      <w:r w:rsidR="08163013" w:rsidRPr="00273106">
        <w:t xml:space="preserve">epochálního </w:t>
      </w:r>
      <w:r w:rsidR="08163013" w:rsidRPr="00273106">
        <w:rPr>
          <w:i/>
        </w:rPr>
        <w:t>Irrtum</w:t>
      </w:r>
      <w:r w:rsidR="08163013">
        <w:t xml:space="preserve"> daného sporem o averroismus</w:t>
      </w:r>
      <w:r w:rsidR="08163013" w:rsidRPr="00273106">
        <w:t>.</w:t>
      </w:r>
      <w:r w:rsidR="089A6852">
        <w:t xml:space="preserve"> Z hlediska pozdějšího vývoje je jasné, že Sigerovi jako dosud jedinému mysliteli křesťanského Západu patří čestný titul </w:t>
      </w:r>
      <w:r w:rsidR="00580A5A" w:rsidRPr="00891F91">
        <w:rPr>
          <w:i/>
          <w:szCs w:val="24"/>
        </w:rPr>
        <w:t>Doctor Invidiosus</w:t>
      </w:r>
      <w:r w:rsidR="00580A5A">
        <w:t xml:space="preserve"> </w:t>
      </w:r>
      <w:r w:rsidR="08955DF6">
        <w:t xml:space="preserve">a </w:t>
      </w:r>
      <w:r w:rsidR="08576139">
        <w:t xml:space="preserve">plným právem </w:t>
      </w:r>
      <w:r w:rsidR="08955DF6">
        <w:t xml:space="preserve">patří mezi hlavní </w:t>
      </w:r>
      <w:r w:rsidR="082F567C" w:rsidRPr="004A7988">
        <w:rPr>
          <w:i/>
        </w:rPr>
        <w:t>filosofické</w:t>
      </w:r>
      <w:r w:rsidR="082F567C">
        <w:t xml:space="preserve"> </w:t>
      </w:r>
      <w:r w:rsidR="08955DF6">
        <w:t>učitele</w:t>
      </w:r>
      <w:r w:rsidR="00580A5A">
        <w:t xml:space="preserve"> křesťanství</w:t>
      </w:r>
      <w:r w:rsidR="08955DF6">
        <w:t>.</w:t>
      </w:r>
      <w:r w:rsidR="089A6852">
        <w:t xml:space="preserve"> Tento skromný a modernisty pronásledovaný magistr spojil učení arabského a latinského aristotelismu do kompetní jednoty, která přesáhla obzor moderny o jedno milénium.</w:t>
      </w:r>
    </w:p>
    <w:p w:rsidR="08163013" w:rsidRPr="00273106" w:rsidRDefault="08C8030C" w:rsidP="08163013">
      <w:pPr>
        <w:pStyle w:val="Nadpis2"/>
      </w:pPr>
      <w:bookmarkStart w:id="43" w:name="_Toc36144148"/>
      <w:r>
        <w:rPr>
          <w:lang w:val="cs-CZ"/>
        </w:rPr>
        <w:br w:type="page"/>
      </w:r>
      <w:bookmarkStart w:id="44" w:name="_Toc180231660"/>
      <w:r w:rsidR="08163013">
        <w:rPr>
          <w:lang w:val="cs-CZ"/>
        </w:rPr>
        <w:lastRenderedPageBreak/>
        <w:t>4</w:t>
      </w:r>
      <w:r w:rsidR="08163013" w:rsidRPr="00273106">
        <w:t xml:space="preserve">.5 </w:t>
      </w:r>
      <w:r w:rsidR="08163013">
        <w:t xml:space="preserve">Vznik </w:t>
      </w:r>
      <w:r w:rsidR="08163013" w:rsidRPr="00273106">
        <w:t xml:space="preserve">objektivního </w:t>
      </w:r>
      <w:r w:rsidR="08163013">
        <w:t xml:space="preserve">semiaverroismu </w:t>
      </w:r>
      <w:r w:rsidR="08163013" w:rsidRPr="00273106">
        <w:t>(Tomáš Akvinský)</w:t>
      </w:r>
      <w:bookmarkEnd w:id="43"/>
      <w:bookmarkEnd w:id="44"/>
    </w:p>
    <w:p w:rsidR="08163013" w:rsidRDefault="08163013" w:rsidP="08163013">
      <w:r w:rsidRPr="00273106">
        <w:t xml:space="preserve">Pojednat Akvinského roli v konfliktu mezi prvním a druhým averroismem v rozsahu jedné kapitoly je nemožné, </w:t>
      </w:r>
      <w:r>
        <w:t xml:space="preserve">proto </w:t>
      </w:r>
      <w:r w:rsidRPr="00273106">
        <w:t xml:space="preserve">je nutné provést zásadní výběr. Hermeneutika objektivity se soustředí pouze na </w:t>
      </w:r>
      <w:r>
        <w:t xml:space="preserve">tři </w:t>
      </w:r>
      <w:r w:rsidRPr="00273106">
        <w:t xml:space="preserve">body, které se dotýkají recepce Aristotelovy metafyziky a identity osoby. Za prvé je třeba schematicky </w:t>
      </w:r>
      <w:r>
        <w:t xml:space="preserve">určit </w:t>
      </w:r>
      <w:r w:rsidRPr="00273106">
        <w:t>hlavní linie Akvinského kritiky druhého averroismu</w:t>
      </w:r>
      <w:r>
        <w:t xml:space="preserve">, která vychází z komentářů Averroesovy </w:t>
      </w:r>
      <w:r w:rsidRPr="00F76632">
        <w:rPr>
          <w:i/>
        </w:rPr>
        <w:t>Metafyziky</w:t>
      </w:r>
      <w:r>
        <w:t xml:space="preserve"> a </w:t>
      </w:r>
      <w:r w:rsidRPr="00F76632">
        <w:rPr>
          <w:i/>
        </w:rPr>
        <w:t>Fyziky</w:t>
      </w:r>
      <w:r>
        <w:t>. Klíčovým dílem je magisterský komentář k Sentencím psaný kolem roku 1253‒57</w:t>
      </w:r>
      <w:r w:rsidRPr="009B4248">
        <w:rPr>
          <w:i/>
        </w:rPr>
        <w:t xml:space="preserve"> </w:t>
      </w:r>
      <w:r>
        <w:t>(</w:t>
      </w:r>
      <w:r w:rsidRPr="009B4248">
        <w:rPr>
          <w:i/>
        </w:rPr>
        <w:t>Scriptum super libros Sententiarum</w:t>
      </w:r>
      <w:r>
        <w:t>), kterým se Akvinský přihlásil k linii prvního averroismu v otázce odmítnutí univerzálního hylemorfismu a neoplatonského jsoucna třetího druhu. V této zásadní věci nasvícení smyslu jsoucna zepředu od reálné první substance zůstal Akvinský po celou akademickou dráhu striktním anti</w:t>
      </w:r>
      <w:r>
        <w:noBreakHyphen/>
        <w:t xml:space="preserve">modernistou. Druhý bod se týká Tomášovy interpretace </w:t>
      </w:r>
      <w:r w:rsidRPr="08FB4C61">
        <w:rPr>
          <w:i/>
        </w:rPr>
        <w:t>intellectus possib</w:t>
      </w:r>
      <w:r>
        <w:rPr>
          <w:i/>
        </w:rPr>
        <w:t>i</w:t>
      </w:r>
      <w:r w:rsidRPr="08FB4C61">
        <w:rPr>
          <w:i/>
        </w:rPr>
        <w:t>lis</w:t>
      </w:r>
      <w:r>
        <w:t xml:space="preserve">. Akvinský vytvořil originální figuru semiaverroistického Averroese, která nebyla dána v porretánském paradigmatu školy </w:t>
      </w:r>
      <w:r w:rsidRPr="0001502C">
        <w:rPr>
          <w:i/>
        </w:rPr>
        <w:t>Modernorum</w:t>
      </w:r>
      <w:r>
        <w:t xml:space="preserve">. Zmíněný komentář k Sentencím dosvědčuje originální recepci CMDA a tím završil první důležité dílo </w:t>
      </w:r>
      <w:r w:rsidRPr="00610E3C">
        <w:rPr>
          <w:i/>
        </w:rPr>
        <w:t>De ente et essentia</w:t>
      </w:r>
      <w:r>
        <w:t xml:space="preserve"> psané v letech 1252‒56. Tomáš udělal z Averrose semiaverroistu tím, že uznal pouze výklad Toledské školy</w:t>
      </w:r>
      <w:r>
        <w:fldChar w:fldCharType="begin"/>
      </w:r>
      <w:r>
        <w:instrText xml:space="preserve"> XE "Toledská škola" </w:instrText>
      </w:r>
      <w:r>
        <w:fldChar w:fldCharType="end"/>
      </w:r>
      <w:r>
        <w:t xml:space="preserve"> vycházející z metafyzické konkordance Avicenny a Averroese. Hermeneutika proto musí určit jaké pojetí </w:t>
      </w:r>
      <w:r w:rsidRPr="00A725A0">
        <w:rPr>
          <w:i/>
        </w:rPr>
        <w:t>intellectus possibilis</w:t>
      </w:r>
      <w:r>
        <w:t xml:space="preserve"> má Akvinský na mysli, když </w:t>
      </w:r>
      <w:proofErr w:type="gramStart"/>
      <w:r>
        <w:t>komentuje</w:t>
      </w:r>
      <w:proofErr w:type="gramEnd"/>
      <w:r>
        <w:t xml:space="preserve"> </w:t>
      </w:r>
      <w:r w:rsidRPr="08D53EDF">
        <w:rPr>
          <w:i/>
        </w:rPr>
        <w:t>De anima</w:t>
      </w:r>
      <w:r>
        <w:t xml:space="preserve"> a CMDA. Akvinský posunul Toledský výklad Komentátora směrem k neoplatonismu tím, že interpretoval možný intelekt jen podle modu </w:t>
      </w:r>
      <w:r w:rsidRPr="006A7E42">
        <w:rPr>
          <w:i/>
        </w:rPr>
        <w:t xml:space="preserve">quartum </w:t>
      </w:r>
      <w:r w:rsidR="00962190">
        <w:rPr>
          <w:i/>
        </w:rPr>
        <w:t>genus</w:t>
      </w:r>
      <w:r>
        <w:t xml:space="preserve"> v CMDA a z abstrahovaného intelektu udělal substanci třetího druhu. Definice </w:t>
      </w:r>
      <w:r w:rsidRPr="00C352B0">
        <w:rPr>
          <w:i/>
        </w:rPr>
        <w:t>intellectus possibilis</w:t>
      </w:r>
      <w:r>
        <w:t xml:space="preserve"> se změnila na hypostázovanou substanci, což představuje zásadní nepochopení základní linie argumentace v CMDA. Tomismus pojal Komentátorův výklad </w:t>
      </w:r>
      <w:r w:rsidRPr="083250E0">
        <w:rPr>
          <w:i/>
        </w:rPr>
        <w:t>De anima</w:t>
      </w:r>
      <w:r>
        <w:t xml:space="preserve"> v modu avicennovského </w:t>
      </w:r>
      <w:r w:rsidRPr="00B212FF">
        <w:rPr>
          <w:i/>
        </w:rPr>
        <w:t>copulatio</w:t>
      </w:r>
      <w:r>
        <w:t xml:space="preserve">, v němž se aktuální smyslové </w:t>
      </w:r>
      <w:r w:rsidR="00962190">
        <w:rPr>
          <w:i/>
        </w:rPr>
        <w:t>species</w:t>
      </w:r>
      <w:r>
        <w:t xml:space="preserve"> obtiskne do receptivní složky možného intelektu podle aristotelského výkladu </w:t>
      </w:r>
      <w:r w:rsidRPr="004719F1">
        <w:rPr>
          <w:i/>
        </w:rPr>
        <w:t>De anima</w:t>
      </w:r>
      <w:r>
        <w:t xml:space="preserve">. Akvinský </w:t>
      </w:r>
      <w:r w:rsidR="081D5B20">
        <w:t xml:space="preserve">pak ve druhém kroku odmítl </w:t>
      </w:r>
      <w:r>
        <w:t xml:space="preserve">tento averroistický výklad Averroese jako nesmyslný a obvinil Komentátora z heretické nauky o numericky jednotném </w:t>
      </w:r>
      <w:r w:rsidRPr="086074D3">
        <w:rPr>
          <w:i/>
        </w:rPr>
        <w:t>intellectus possibilis</w:t>
      </w:r>
      <w:r>
        <w:t xml:space="preserve">, kterou Averroes nikdy nehlásal. Tato nová interpretace CMDA je kompletně hotova v obou citovaných pařížských spisech psaných do roku 1257. Akvinský spojil do jedné linie výklad </w:t>
      </w:r>
      <w:r w:rsidRPr="0067701A">
        <w:rPr>
          <w:i/>
        </w:rPr>
        <w:t>De anima</w:t>
      </w:r>
      <w:r>
        <w:t xml:space="preserve"> podle Alexandra a podle Averoese, což odporuje liteře CMDA psané proti moderním alexandrovcům jako byl Avicenna. Záměnou </w:t>
      </w:r>
      <w:r w:rsidRPr="00C352B0">
        <w:rPr>
          <w:i/>
        </w:rPr>
        <w:t>intellectus possibilis</w:t>
      </w:r>
      <w:r>
        <w:t xml:space="preserve">  jako univerzálie (</w:t>
      </w:r>
      <w:r w:rsidRPr="007E112E">
        <w:rPr>
          <w:i/>
        </w:rPr>
        <w:t xml:space="preserve">quartum </w:t>
      </w:r>
      <w:r w:rsidR="00962190">
        <w:rPr>
          <w:i/>
        </w:rPr>
        <w:t>genus</w:t>
      </w:r>
      <w:r>
        <w:t xml:space="preserve">) za substanci třetího druhu vzniklo nové pojetí objektivního poznání dané nasvícením </w:t>
      </w:r>
      <w:r w:rsidRPr="00C352B0">
        <w:rPr>
          <w:i/>
        </w:rPr>
        <w:lastRenderedPageBreak/>
        <w:t>intellectus possibilis</w:t>
      </w:r>
      <w:r>
        <w:t xml:space="preserve"> zezadu, od subsistentní formy odděleného receptivního intelektu vyloženého jako kosmická substance třetího druhu podle Davida z Dinantu</w:t>
      </w:r>
      <w:r>
        <w:fldChar w:fldCharType="begin"/>
      </w:r>
      <w:r>
        <w:instrText xml:space="preserve"> XE "</w:instrText>
      </w:r>
      <w:r w:rsidRPr="08A22399">
        <w:instrText>David z Dinantu</w:instrText>
      </w:r>
      <w:r>
        <w:instrText xml:space="preserve">" </w:instrText>
      </w:r>
      <w:r>
        <w:fldChar w:fldCharType="end"/>
      </w:r>
      <w:r>
        <w:t xml:space="preserve">. Akvinského výklad je sofistický v nové variantě Alvernem odmítnuté školy </w:t>
      </w:r>
      <w:r>
        <w:rPr>
          <w:i/>
        </w:rPr>
        <w:t>sophistae Latini</w:t>
      </w:r>
      <w:r>
        <w:t>. Nové simulákrum Averroese vzniklo avicennistickou modernizací Komentátora, ale přitom zůstalo z velké části v paradigmatu prvního averroismu. Nová figura averroistického Averroese oddělila Akvinského od školy prvního averroismu na Rue du Fouarre (</w:t>
      </w:r>
      <w:r w:rsidRPr="00E90593">
        <w:rPr>
          <w:i/>
        </w:rPr>
        <w:t>pars Sigeri</w:t>
      </w:r>
      <w:r>
        <w:t xml:space="preserve">) a také od výkladu CMDA podle Alberta a Bacona. Akvinský pominul ve výkladu CMDA pojetí </w:t>
      </w:r>
      <w:r w:rsidRPr="00C352B0">
        <w:rPr>
          <w:i/>
        </w:rPr>
        <w:t>intellectus possibilis</w:t>
      </w:r>
      <w:r>
        <w:t xml:space="preserve"> jako </w:t>
      </w:r>
      <w:r w:rsidRPr="00A725A0">
        <w:rPr>
          <w:i/>
        </w:rPr>
        <w:t xml:space="preserve">tertium </w:t>
      </w:r>
      <w:r w:rsidR="00962190">
        <w:rPr>
          <w:i/>
        </w:rPr>
        <w:t>genus</w:t>
      </w:r>
      <w:r>
        <w:t xml:space="preserve"> a zrušil fenomenologické pojetí poznání, které měla Alvernova škola a Albert Veliký kolem roku 1240. Talentovaný dominikán vytvořil pomocí vlastní mytopoetiky novou figuru semiaverroistického Averroese, kterou držel až do své smrti, i přes zásadní kritiku Sigera jako vrcholného představitele artistických magistrů na Rue du Fouarre. Filosof a teolog Tomášova formátu nemohl takovou operaci udělat omylem či z nevědomosti. Modernizace Averroese do nové figury heretika proběhla v rámci mendikantského útoku na sekulární magistry ze školy prvního averroismu na Rue du Fouarre, jako byl již citovaný aristotelik a rektor Guillelmus de Sancto Amore.</w:t>
      </w:r>
      <w:r>
        <w:fldChar w:fldCharType="begin"/>
      </w:r>
      <w:r>
        <w:instrText xml:space="preserve"> XE "</w:instrText>
      </w:r>
      <w:r w:rsidRPr="0089711D">
        <w:instrText>Guillelmus de Sancto Amore</w:instrText>
      </w:r>
      <w:r>
        <w:instrText xml:space="preserve">" </w:instrText>
      </w:r>
      <w:r>
        <w:fldChar w:fldCharType="end"/>
      </w:r>
      <w:r>
        <w:t xml:space="preserve"> Semiaverroistický výklad CMDA postavený na reálném průběhu poznání dané nasvícením zepředu a na substanční jednotě osoby byl pochopitelně v zásadním rozporu s modernistickou školou Bonaventury, které patřila nově založená mendikantská katedra (1255). Semiaverroistickou pozici nešlo držet na Pařížské univerzitě dlouho, protože hlavní artistické fakulty zde byly jen dvě. Nově jmenovaný magistr nepatřil ani do jedné z obou pařížských škol, proto abdikoval na funkci magistra regens (1256‒59) a odešel do rodné Itálie. Pro modernisty byl Akvinský averroistou, což ukazuje útok Pechama jako hlavního představitele této školy na Tomáše při jeho druhém návratu do Paříže. Díle </w:t>
      </w:r>
      <w:r w:rsidRPr="00952BC0">
        <w:rPr>
          <w:i/>
        </w:rPr>
        <w:t>De unitate intellectus</w:t>
      </w:r>
      <w:r>
        <w:t xml:space="preserve"> Pechama akademicky znemožnilo. Tento trojnásobně poražený akademik napadený také školou Sigera a tomisty typu Aegidia musel utéci z Paříže zpět do Oxfordu po roce 1270. Akvinského výklad CMDA byl v jasném rozporu se školou prvního averroismu na Rue du Fouarre. Zásadní kritiku adresoval Siger na Akvinského jak ve spise QIIIDA </w:t>
      </w:r>
      <w:r w:rsidR="089E5806">
        <w:t xml:space="preserve"> a </w:t>
      </w:r>
      <w:r w:rsidR="089E5806" w:rsidRPr="00273106">
        <w:rPr>
          <w:i/>
          <w:lang w:eastAsia="en-US"/>
        </w:rPr>
        <w:t>De anima intellectiva</w:t>
      </w:r>
      <w:r w:rsidR="089E5806">
        <w:rPr>
          <w:i/>
          <w:lang w:eastAsia="en-US"/>
        </w:rPr>
        <w:t xml:space="preserve">. </w:t>
      </w:r>
      <w:r w:rsidR="089E5806">
        <w:rPr>
          <w:lang w:eastAsia="en-US"/>
        </w:rPr>
        <w:t xml:space="preserve">Siger </w:t>
      </w:r>
      <w:r w:rsidR="089E5806">
        <w:t xml:space="preserve">reflektoval </w:t>
      </w:r>
      <w:r>
        <w:t xml:space="preserve">první Akvinského pobyt v Paříži a </w:t>
      </w:r>
      <w:r w:rsidR="089E5806">
        <w:t xml:space="preserve">jeho </w:t>
      </w:r>
      <w:r>
        <w:t xml:space="preserve">italské spisy, tak zejména </w:t>
      </w:r>
      <w:r w:rsidR="089E5806">
        <w:t xml:space="preserve">spiy vzniklé </w:t>
      </w:r>
      <w:r>
        <w:t>po druhém návratu Tomáše z papežského Říma do akademické Paříže (</w:t>
      </w:r>
      <w:r w:rsidR="089E5806" w:rsidRPr="08D520A6">
        <w:rPr>
          <w:i/>
        </w:rPr>
        <w:t>De unitate intellectus contra Averroistas</w:t>
      </w:r>
      <w:r>
        <w:rPr>
          <w:lang w:eastAsia="en-US"/>
        </w:rPr>
        <w:t>)</w:t>
      </w:r>
      <w:r>
        <w:t xml:space="preserve">. Předešlá kapitola popisovala tento důležitý spor mezi Sigerem a Akvinským o titul </w:t>
      </w:r>
      <w:r w:rsidRPr="08692F33">
        <w:rPr>
          <w:i/>
        </w:rPr>
        <w:t>Expositor Novus</w:t>
      </w:r>
      <w:r>
        <w:rPr>
          <w:i/>
        </w:rPr>
        <w:fldChar w:fldCharType="begin"/>
      </w:r>
      <w:r>
        <w:instrText xml:space="preserve"> XE "</w:instrText>
      </w:r>
      <w:r w:rsidRPr="08BD0834">
        <w:rPr>
          <w:i/>
        </w:rPr>
        <w:instrText>Expositor Novus</w:instrText>
      </w:r>
      <w:r>
        <w:instrText xml:space="preserve">" </w:instrText>
      </w:r>
      <w:r>
        <w:rPr>
          <w:i/>
        </w:rPr>
        <w:fldChar w:fldCharType="end"/>
      </w:r>
      <w:r>
        <w:t xml:space="preserve">, který proběhl v </w:t>
      </w:r>
      <w:r w:rsidR="000653E9">
        <w:lastRenderedPageBreak/>
        <w:t>letech 1270</w:t>
      </w:r>
      <w:r>
        <w:t xml:space="preserve">‒72. Druhý pařížský pobyt Akvinského má pro vznik objektivity kapitální význam, protože vytvořil objektivní model poznání ve škole prvního averroismu. Tomistický výklad CMDA v dualistickém </w:t>
      </w:r>
      <w:proofErr w:type="gramStart"/>
      <w:r>
        <w:t>scénáři  spojený</w:t>
      </w:r>
      <w:proofErr w:type="gramEnd"/>
      <w:r>
        <w:t xml:space="preserve"> s odmítnutím averroistického Averroese převezme a modifikuje pařížská modernistická škola semiaverroistů, kterou </w:t>
      </w:r>
      <w:r w:rsidR="08D520A6">
        <w:t xml:space="preserve">už za života </w:t>
      </w:r>
      <w:r>
        <w:t xml:space="preserve">Akvinského </w:t>
      </w:r>
      <w:r w:rsidR="08D520A6">
        <w:t xml:space="preserve">založil </w:t>
      </w:r>
      <w:r>
        <w:t xml:space="preserve">tomistický aristotelik Aegidius Romanus. Spojením těchto dvou proudů prvního a druhého averroismu vznikla moderní forma objektivity, kterou během pařížského pobytu </w:t>
      </w:r>
      <w:r w:rsidR="08CF66E4">
        <w:t xml:space="preserve">(okolo roku 1300) </w:t>
      </w:r>
      <w:r>
        <w:t xml:space="preserve">transformuje Duns Scotus do finálního </w:t>
      </w:r>
      <w:r w:rsidRPr="082B64A7">
        <w:rPr>
          <w:i/>
        </w:rPr>
        <w:t>Aufhebung</w:t>
      </w:r>
      <w:r>
        <w:t xml:space="preserve"> obou škol.</w:t>
      </w:r>
    </w:p>
    <w:p w:rsidR="08163013" w:rsidRDefault="08163013" w:rsidP="08163013">
      <w:r>
        <w:tab/>
        <w:t>Za třetí</w:t>
      </w:r>
      <w:r w:rsidRPr="00273106">
        <w:t xml:space="preserve"> je třeba zjistit, jak Tomáš řeší otázku jednoty osoby</w:t>
      </w:r>
      <w:r w:rsidRPr="00DF3C84">
        <w:t xml:space="preserve"> </w:t>
      </w:r>
      <w:r>
        <w:t xml:space="preserve">završenou ve spise </w:t>
      </w:r>
      <w:r w:rsidRPr="08DF5F5A">
        <w:rPr>
          <w:i/>
        </w:rPr>
        <w:t>De unitate intellectus</w:t>
      </w:r>
      <w:r>
        <w:t>. Tomášovo pojetí hájené během druhého pobytu v Paříži je třeba srovnat s prvním</w:t>
      </w:r>
      <w:r w:rsidRPr="00273106">
        <w:t xml:space="preserve"> </w:t>
      </w:r>
      <w:r>
        <w:t>averroismem</w:t>
      </w:r>
      <w:r w:rsidRPr="00273106">
        <w:t xml:space="preserve"> </w:t>
      </w:r>
      <w:r>
        <w:t xml:space="preserve">reprezentovaným Sigerem a se školou </w:t>
      </w:r>
      <w:r w:rsidRPr="00273106">
        <w:t>druhého</w:t>
      </w:r>
      <w:r>
        <w:t xml:space="preserve"> averroismu reprezentovanou Pechamem</w:t>
      </w:r>
      <w:r w:rsidRPr="00273106">
        <w:t xml:space="preserve">. Negativní hodnocení </w:t>
      </w:r>
      <w:r>
        <w:t>Averroes</w:t>
      </w:r>
      <w:r w:rsidRPr="00273106">
        <w:t xml:space="preserve">e je pro Tomášovu koncepci intelektu a jednotu osoby klíčové. Akvinský </w:t>
      </w:r>
      <w:r>
        <w:t xml:space="preserve">navrhl v době vydání Sigerových komentářů k </w:t>
      </w:r>
      <w:proofErr w:type="gramStart"/>
      <w:r w:rsidRPr="08502B29">
        <w:rPr>
          <w:i/>
        </w:rPr>
        <w:t>De</w:t>
      </w:r>
      <w:proofErr w:type="gramEnd"/>
      <w:r w:rsidRPr="08502B29">
        <w:rPr>
          <w:i/>
        </w:rPr>
        <w:t xml:space="preserve"> anima</w:t>
      </w:r>
      <w:r>
        <w:t xml:space="preserve"> </w:t>
      </w:r>
      <w:r w:rsidRPr="00273106">
        <w:t xml:space="preserve">vlastní strukturu </w:t>
      </w:r>
      <w:r>
        <w:t xml:space="preserve">poznání, která bránila výklad </w:t>
      </w:r>
      <w:r w:rsidRPr="085B187D">
        <w:rPr>
          <w:i/>
        </w:rPr>
        <w:t>De anima</w:t>
      </w:r>
      <w:r>
        <w:t xml:space="preserve"> podle Blundovy školy, ale odmítla Sigerovu existenciální intepretaci CMDA</w:t>
      </w:r>
      <w:r w:rsidRPr="00273106">
        <w:t xml:space="preserve">. </w:t>
      </w:r>
      <w:r>
        <w:t xml:space="preserve">Jeho samostatný </w:t>
      </w:r>
      <w:r w:rsidRPr="00273106">
        <w:t xml:space="preserve">vývoj lze vidět porovnáním koncepce v </w:t>
      </w:r>
      <w:proofErr w:type="gramStart"/>
      <w:r>
        <w:rPr>
          <w:i/>
        </w:rPr>
        <w:t>Summa</w:t>
      </w:r>
      <w:proofErr w:type="gramEnd"/>
      <w:r>
        <w:rPr>
          <w:i/>
        </w:rPr>
        <w:t xml:space="preserve"> contra Gentiles </w:t>
      </w:r>
      <w:r w:rsidRPr="00273106">
        <w:t xml:space="preserve">(ukončeno kolem 1263) a v díle </w:t>
      </w:r>
      <w:r>
        <w:rPr>
          <w:i/>
        </w:rPr>
        <w:t>Quaestiones disputatae D</w:t>
      </w:r>
      <w:r w:rsidRPr="00273106">
        <w:rPr>
          <w:i/>
        </w:rPr>
        <w:t>e potentia</w:t>
      </w:r>
      <w:r w:rsidRPr="00273106">
        <w:t xml:space="preserve"> (1265‒66). Disputace byly proneseny v Římě před druhým návratem do Paříže uskutečněným na přelomu roku 1269‒70. </w:t>
      </w:r>
      <w:r>
        <w:t xml:space="preserve">Výklad musí ukázat, jak Akvinského teorie poznání </w:t>
      </w:r>
      <w:r w:rsidRPr="00273106">
        <w:t>naplnil</w:t>
      </w:r>
      <w:r>
        <w:t>a</w:t>
      </w:r>
      <w:r w:rsidRPr="00273106">
        <w:t xml:space="preserve"> požadavek </w:t>
      </w:r>
      <w:r>
        <w:t xml:space="preserve">Averroese daný v termínech </w:t>
      </w:r>
      <w:r w:rsidRPr="00273106">
        <w:rPr>
          <w:i/>
        </w:rPr>
        <w:t>proportio</w:t>
      </w:r>
      <w:r>
        <w:t xml:space="preserve"> či </w:t>
      </w:r>
      <w:r>
        <w:rPr>
          <w:i/>
        </w:rPr>
        <w:t>consimilitudo</w:t>
      </w:r>
      <w:r>
        <w:rPr>
          <w:i/>
        </w:rPr>
        <w:fldChar w:fldCharType="begin"/>
      </w:r>
      <w:r>
        <w:instrText xml:space="preserve"> XE "</w:instrText>
      </w:r>
      <w:r>
        <w:rPr>
          <w:i/>
        </w:rPr>
        <w:instrText>consimilitudo</w:instrText>
      </w:r>
      <w:r>
        <w:instrText xml:space="preserve">" </w:instrText>
      </w:r>
      <w:r>
        <w:rPr>
          <w:i/>
        </w:rPr>
        <w:fldChar w:fldCharType="end"/>
      </w:r>
      <w:r w:rsidRPr="00273106">
        <w:t xml:space="preserve"> vzhledem k adekvačnímu pojetí pravdy.</w:t>
      </w:r>
      <w:r>
        <w:t xml:space="preserve"> Hermeneutiku zajímá </w:t>
      </w:r>
      <w:r w:rsidRPr="00273106">
        <w:t xml:space="preserve">především </w:t>
      </w:r>
      <w:r>
        <w:t xml:space="preserve">pojetí </w:t>
      </w:r>
      <w:r w:rsidRPr="00273106">
        <w:t>adekvace smyslového a intelektuálního poznání</w:t>
      </w:r>
      <w:r>
        <w:t xml:space="preserve">. </w:t>
      </w:r>
      <w:r w:rsidRPr="00273106">
        <w:t>Práce napsané za druhého pařížského pobytu již reflektují kritiku Sigera na adresu Akvinského danou v</w:t>
      </w:r>
      <w:r>
        <w:t xml:space="preserve"> Mnichovském rukopise a v QIIIDA</w:t>
      </w:r>
      <w:r w:rsidRPr="00273106">
        <w:t>. Za nedostatečné pochopení Aver</w:t>
      </w:r>
      <w:r>
        <w:t>roe</w:t>
      </w:r>
      <w:r w:rsidRPr="00273106">
        <w:t xml:space="preserve">sova učení o duši, zejména v Tomášově díle </w:t>
      </w:r>
      <w:r>
        <w:rPr>
          <w:i/>
        </w:rPr>
        <w:t>Quaestiones</w:t>
      </w:r>
      <w:r w:rsidRPr="00273106">
        <w:rPr>
          <w:i/>
        </w:rPr>
        <w:t xml:space="preserve"> diputate de anima</w:t>
      </w:r>
      <w:r w:rsidRPr="00273106">
        <w:t xml:space="preserve"> a </w:t>
      </w:r>
      <w:r w:rsidRPr="00273106">
        <w:rPr>
          <w:i/>
        </w:rPr>
        <w:t>De unitate intellectus</w:t>
      </w:r>
      <w:r w:rsidRPr="00273106">
        <w:t xml:space="preserve">, jej později kritizuje Siger v díle </w:t>
      </w:r>
      <w:r w:rsidRPr="00273106">
        <w:rPr>
          <w:i/>
        </w:rPr>
        <w:t>De anima intellectiva</w:t>
      </w:r>
      <w:r w:rsidRPr="00273106">
        <w:t xml:space="preserve">. </w:t>
      </w:r>
      <w:r>
        <w:t xml:space="preserve">Výsledem této kritiky je druhý odchod Akvinského z Paříže ze stejných důvodů jako v roce 1259. Jeho výklad Aristotela nepřijali ani Pechamovi modernisté ani Sigerova strana na Rue du Fouarre. </w:t>
      </w:r>
      <w:r w:rsidRPr="00273106">
        <w:t xml:space="preserve">Tomáš ponechává </w:t>
      </w:r>
      <w:r>
        <w:t xml:space="preserve">i </w:t>
      </w:r>
      <w:r w:rsidRPr="00273106">
        <w:t xml:space="preserve">po </w:t>
      </w:r>
      <w:r>
        <w:t xml:space="preserve">roce </w:t>
      </w:r>
      <w:r w:rsidRPr="00273106">
        <w:t xml:space="preserve">1270 kritické hodnocení </w:t>
      </w:r>
      <w:r>
        <w:t>Averroes</w:t>
      </w:r>
      <w:r w:rsidRPr="00273106">
        <w:t xml:space="preserve">e, jehož pojetí odděleného </w:t>
      </w:r>
      <w:r w:rsidRPr="00273106">
        <w:rPr>
          <w:i/>
        </w:rPr>
        <w:t>intellectus possibilis</w:t>
      </w:r>
      <w:r w:rsidRPr="00273106">
        <w:t xml:space="preserve"> řadí k linii Alexandra</w:t>
      </w:r>
      <w:r>
        <w:t xml:space="preserve"> a Themistia</w:t>
      </w:r>
      <w:r w:rsidRPr="00273106">
        <w:t xml:space="preserve">. Poslední shrnutí kritiky </w:t>
      </w:r>
      <w:r>
        <w:t xml:space="preserve">Tomáše </w:t>
      </w:r>
      <w:r w:rsidRPr="00273106">
        <w:t xml:space="preserve">najdeme v </w:t>
      </w:r>
      <w:r>
        <w:t>Sigerových</w:t>
      </w:r>
      <w:r w:rsidRPr="00273106">
        <w:t xml:space="preserve"> </w:t>
      </w:r>
      <w:r>
        <w:rPr>
          <w:i/>
        </w:rPr>
        <w:t>Quaestiones</w:t>
      </w:r>
      <w:r w:rsidRPr="00273106">
        <w:rPr>
          <w:i/>
        </w:rPr>
        <w:t xml:space="preserve"> super Librum de causis</w:t>
      </w:r>
      <w:r>
        <w:rPr>
          <w:i/>
        </w:rPr>
        <w:t xml:space="preserve"> </w:t>
      </w:r>
      <w:r w:rsidRPr="001F0D07">
        <w:t>(1275).</w:t>
      </w:r>
      <w:r w:rsidRPr="00273106">
        <w:t xml:space="preserve"> </w:t>
      </w:r>
      <w:r>
        <w:t>C</w:t>
      </w:r>
      <w:r w:rsidRPr="00273106">
        <w:t>eloživotní pojetí prvního averroismu dané podle Aristotela</w:t>
      </w:r>
      <w:r>
        <w:t xml:space="preserve"> se spojilo s Tomášovou semiaverroistickou</w:t>
      </w:r>
      <w:r w:rsidRPr="00273106">
        <w:t xml:space="preserve"> interpretaci</w:t>
      </w:r>
      <w:r>
        <w:t xml:space="preserve"> </w:t>
      </w:r>
      <w:r w:rsidRPr="006D539E">
        <w:rPr>
          <w:i/>
        </w:rPr>
        <w:t>De anima</w:t>
      </w:r>
      <w:r w:rsidRPr="00273106">
        <w:t xml:space="preserve">, kterou </w:t>
      </w:r>
      <w:r>
        <w:t xml:space="preserve">brilantně kritizoval </w:t>
      </w:r>
      <w:r>
        <w:rPr>
          <w:i/>
        </w:rPr>
        <w:t>Doctor In</w:t>
      </w:r>
      <w:r w:rsidRPr="087D137F">
        <w:rPr>
          <w:i/>
        </w:rPr>
        <w:t>vidiosus</w:t>
      </w:r>
      <w:r w:rsidRPr="00273106">
        <w:t xml:space="preserve">. Spor mezi Sigerem a Akvinským, kterému </w:t>
      </w:r>
      <w:r>
        <w:t xml:space="preserve">na straně Akvinského </w:t>
      </w:r>
      <w:r w:rsidRPr="00273106">
        <w:t>sekundoval Aegidius Romanus</w:t>
      </w:r>
      <w:r>
        <w:fldChar w:fldCharType="begin"/>
      </w:r>
      <w:r>
        <w:instrText xml:space="preserve"> XE </w:instrText>
      </w:r>
      <w:r>
        <w:lastRenderedPageBreak/>
        <w:instrText>"</w:instrText>
      </w:r>
      <w:r w:rsidRPr="00B54432">
        <w:instrText>Aegidius Romanus</w:instrText>
      </w:r>
      <w:r>
        <w:instrText xml:space="preserve">" </w:instrText>
      </w:r>
      <w:r>
        <w:fldChar w:fldCharType="end"/>
      </w:r>
      <w:r w:rsidRPr="00273106">
        <w:t xml:space="preserve">, měl zásadní charakter pro utváření sporu o </w:t>
      </w:r>
      <w:r>
        <w:t>averroismus.</w:t>
      </w:r>
      <w:r w:rsidRPr="00273106">
        <w:t xml:space="preserve"> </w:t>
      </w:r>
      <w:r>
        <w:t>Akvinského semiaverrismus se stal oficiálním tomismem</w:t>
      </w:r>
      <w:r w:rsidR="081E102D">
        <w:t xml:space="preserve"> skrze výklad Aegidia Romana</w:t>
      </w:r>
      <w:r>
        <w:t xml:space="preserve">. Tento latinský sofista </w:t>
      </w:r>
      <w:r w:rsidRPr="08703BFB">
        <w:t>připsal</w:t>
      </w:r>
      <w:r>
        <w:t xml:space="preserve"> Averroesovi všechny rozpory v Tomášově výkladu </w:t>
      </w:r>
      <w:r w:rsidRPr="08703BFB">
        <w:rPr>
          <w:i/>
        </w:rPr>
        <w:t>De anima</w:t>
      </w:r>
      <w:r>
        <w:t xml:space="preserve"> a naopak všechny správné interpretace použité Tomášem z CMDA připsal Aristotelovi. Tímto dvojím překroucením pravdy se Aegidius stal </w:t>
      </w:r>
      <w:r>
        <w:rPr>
          <w:i/>
          <w:iCs/>
        </w:rPr>
        <w:t xml:space="preserve">Doctor Fundatissimus </w:t>
      </w:r>
      <w:r>
        <w:rPr>
          <w:iCs/>
        </w:rPr>
        <w:t xml:space="preserve">filosofického </w:t>
      </w:r>
      <w:r w:rsidRPr="08703BFB">
        <w:rPr>
          <w:iCs/>
        </w:rPr>
        <w:t>tomismu</w:t>
      </w:r>
      <w:r>
        <w:rPr>
          <w:i/>
          <w:iCs/>
        </w:rPr>
        <w:t xml:space="preserve"> </w:t>
      </w:r>
      <w:r w:rsidRPr="08703BFB">
        <w:t>j</w:t>
      </w:r>
      <w:r>
        <w:t>a</w:t>
      </w:r>
      <w:r w:rsidRPr="08703BFB">
        <w:t>ko ofic</w:t>
      </w:r>
      <w:r>
        <w:t>iální dok</w:t>
      </w:r>
      <w:r w:rsidR="009815E2">
        <w:t>t</w:t>
      </w:r>
      <w:r>
        <w:t>rí</w:t>
      </w:r>
      <w:r w:rsidRPr="08703BFB">
        <w:t>ny a ide</w:t>
      </w:r>
      <w:r>
        <w:t>o</w:t>
      </w:r>
      <w:r w:rsidRPr="08703BFB">
        <w:t>logie</w:t>
      </w:r>
      <w:r w:rsidR="00B66E89">
        <w:t xml:space="preserve"> katolické církve</w:t>
      </w:r>
      <w:r>
        <w:t xml:space="preserve">. </w:t>
      </w:r>
      <w:r>
        <w:rPr>
          <w:szCs w:val="19"/>
        </w:rPr>
        <w:t>N</w:t>
      </w:r>
      <w:r>
        <w:rPr>
          <w:szCs w:val="17"/>
        </w:rPr>
        <w:t xml:space="preserve">a Pařížské univerzitě tehdy existovaly </w:t>
      </w:r>
      <w:r>
        <w:t xml:space="preserve">dvě figury západního intelektuála. Pravdivá a sofistická produkce vědění běžela podle dvojího </w:t>
      </w:r>
      <w:r w:rsidRPr="088E78A6">
        <w:rPr>
          <w:i/>
        </w:rPr>
        <w:t>dativus modi</w:t>
      </w:r>
      <w:r>
        <w:rPr>
          <w:i/>
        </w:rPr>
        <w:fldChar w:fldCharType="begin"/>
      </w:r>
      <w:r>
        <w:instrText xml:space="preserve"> XE "</w:instrText>
      </w:r>
      <w:r w:rsidRPr="08ED6ACF">
        <w:rPr>
          <w:i/>
        </w:rPr>
        <w:instrText>dativus modi</w:instrText>
      </w:r>
      <w:r>
        <w:instrText xml:space="preserve">" </w:instrText>
      </w:r>
      <w:r>
        <w:rPr>
          <w:i/>
        </w:rPr>
        <w:fldChar w:fldCharType="end"/>
      </w:r>
      <w:r>
        <w:t xml:space="preserve"> </w:t>
      </w:r>
      <w:r w:rsidR="081E102D">
        <w:rPr>
          <w:szCs w:val="17"/>
        </w:rPr>
        <w:t>(kap. 4</w:t>
      </w:r>
      <w:r>
        <w:rPr>
          <w:szCs w:val="17"/>
        </w:rPr>
        <w:t xml:space="preserve">.4.4). Moderně myslící Fúrie začaly v této době vskutku sériovou výrobu simuláker třetího druhu, protože z intelektu se stala hylemorfická substance, která byla navíc numericky individualizována. </w:t>
      </w:r>
      <w:r w:rsidR="000612EB" w:rsidRPr="000612EB">
        <w:rPr>
          <w:szCs w:val="17"/>
        </w:rPr>
        <w:t>Po herezích Davida z Dinantu a zavedení univerzálního hylemorfismu se první křesťanská univerzita lat</w:t>
      </w:r>
      <w:r w:rsidR="000612EB">
        <w:rPr>
          <w:szCs w:val="17"/>
        </w:rPr>
        <w:t xml:space="preserve">inského Západu stala centrem intelektuálních zmatků kvůli další vlně </w:t>
      </w:r>
      <w:r w:rsidR="00591F24">
        <w:rPr>
          <w:szCs w:val="17"/>
        </w:rPr>
        <w:t xml:space="preserve">modernistických </w:t>
      </w:r>
      <w:r w:rsidR="000612EB">
        <w:rPr>
          <w:szCs w:val="17"/>
        </w:rPr>
        <w:t>i</w:t>
      </w:r>
      <w:r w:rsidR="000612EB" w:rsidRPr="000612EB">
        <w:rPr>
          <w:szCs w:val="17"/>
        </w:rPr>
        <w:t>luminátů.</w:t>
      </w:r>
      <w:r w:rsidR="000612EB">
        <w:rPr>
          <w:szCs w:val="17"/>
        </w:rPr>
        <w:t xml:space="preserve"> </w:t>
      </w:r>
      <w:r w:rsidR="081E102D">
        <w:rPr>
          <w:szCs w:val="17"/>
        </w:rPr>
        <w:t xml:space="preserve">Tato simulákra </w:t>
      </w:r>
      <w:r>
        <w:rPr>
          <w:szCs w:val="17"/>
        </w:rPr>
        <w:t xml:space="preserve">předtím produkovala pouze Oxfordská univerzita. </w:t>
      </w:r>
      <w:r>
        <w:t>Poznámka shrnuje absurditu postoje Bonaventurovy školy univerzálního hylemorfismu o numericky jednotném intelektu pro všechny lidi</w:t>
      </w:r>
      <w:r w:rsidR="081E102D">
        <w:t>.</w:t>
      </w:r>
      <w:r w:rsidR="081E102D">
        <w:rPr>
          <w:rStyle w:val="Znakapoznpodarou"/>
        </w:rPr>
        <w:footnoteReference w:id="278"/>
      </w:r>
      <w:r w:rsidR="081E102D">
        <w:t xml:space="preserve"> Tuto nauku </w:t>
      </w:r>
      <w:r>
        <w:t xml:space="preserve">před vydáním Tempierova dekretu údajně hlásali mnozí pařížští </w:t>
      </w:r>
      <w:r w:rsidR="00D63D4B">
        <w:t>studenti</w:t>
      </w:r>
      <w:r>
        <w:t>. Není problém poznat v této herezi myšlení Davida z Dinantu</w:t>
      </w:r>
      <w:r>
        <w:fldChar w:fldCharType="begin"/>
      </w:r>
      <w:r>
        <w:instrText xml:space="preserve"> XE "</w:instrText>
      </w:r>
      <w:r w:rsidRPr="083F239D">
        <w:instrText>David z Dinantu</w:instrText>
      </w:r>
      <w:r>
        <w:instrText xml:space="preserve">" </w:instrText>
      </w:r>
      <w:r>
        <w:fldChar w:fldCharType="end"/>
      </w:r>
      <w:r>
        <w:t xml:space="preserve"> o kosmické formě individualizovaného </w:t>
      </w:r>
      <w:r w:rsidRPr="08A20C8D">
        <w:rPr>
          <w:i/>
        </w:rPr>
        <w:t xml:space="preserve">intellectus possibilis </w:t>
      </w:r>
      <w:r>
        <w:t>v člověku, kterou modernističtí averroisté připsali Averroesovi.</w:t>
      </w:r>
      <w:r>
        <w:rPr>
          <w:szCs w:val="17"/>
        </w:rPr>
        <w:t xml:space="preserve"> Množení mytopoetických nesmyslů a intelektuálního blouznění daného skrze logická sofismata vystavilo Pařížskou univerzitu riziku disciplinárního zásahu</w:t>
      </w:r>
      <w:r w:rsidRPr="088F0124">
        <w:rPr>
          <w:szCs w:val="17"/>
        </w:rPr>
        <w:t xml:space="preserve"> </w:t>
      </w:r>
      <w:r>
        <w:rPr>
          <w:szCs w:val="17"/>
        </w:rPr>
        <w:t xml:space="preserve">papeže Jana XXI. na začátku roku 1277. </w:t>
      </w:r>
      <w:r>
        <w:t xml:space="preserve">Papež nařídil dopisem datovaným dne 18. ledna 1277, aby biskup Tempier prozkoumal hereze a omyly, které se objevily na Pařížské univerzitě. Biskup měl za úkol prozkoumat tyto nauky, identifikovat jejich </w:t>
      </w:r>
      <w:r w:rsidR="00A42E0B">
        <w:t xml:space="preserve">autory </w:t>
      </w:r>
      <w:r>
        <w:t>a podat o tom nezkreslenou zprávu.</w:t>
      </w:r>
      <w:r>
        <w:rPr>
          <w:rStyle w:val="Znakapoznpodarou"/>
        </w:rPr>
        <w:footnoteReference w:id="279"/>
      </w:r>
      <w:r>
        <w:t xml:space="preserve"> Zničení aristotelské školy na Rue du Fouarre vůbec nebylo tématem citovaného dopisu papeže Jana XXI. a biskup Tempier jednal v zájmu modernistů </w:t>
      </w:r>
      <w:r>
        <w:lastRenderedPageBreak/>
        <w:t xml:space="preserve">na vlastní pěst. Sofističtí </w:t>
      </w:r>
      <w:r w:rsidRPr="00257D7D">
        <w:rPr>
          <w:i/>
        </w:rPr>
        <w:t>Modern</w:t>
      </w:r>
      <w:r>
        <w:rPr>
          <w:i/>
        </w:rPr>
        <w:t>i</w:t>
      </w:r>
      <w:r>
        <w:rPr>
          <w:i/>
        </w:rPr>
        <w:fldChar w:fldCharType="begin"/>
      </w:r>
      <w:r>
        <w:instrText xml:space="preserve"> XE "</w:instrText>
      </w:r>
      <w:r w:rsidRPr="00B46F32">
        <w:instrText>averroismus:</w:instrText>
      </w:r>
      <w:r w:rsidRPr="003872D1">
        <w:rPr>
          <w:i/>
        </w:rPr>
        <w:instrText>Moderni</w:instrText>
      </w:r>
      <w:r>
        <w:instrText xml:space="preserve">" </w:instrText>
      </w:r>
      <w:r>
        <w:rPr>
          <w:i/>
        </w:rPr>
        <w:fldChar w:fldCharType="end"/>
      </w:r>
      <w:r>
        <w:t xml:space="preserve"> během akademické pětiletky 1272‒77 nepřijali artistické prohlášení fakulty z roku 1272</w:t>
      </w:r>
      <w:r>
        <w:rPr>
          <w:szCs w:val="24"/>
        </w:rPr>
        <w:fldChar w:fldCharType="begin"/>
      </w:r>
      <w:r>
        <w:instrText xml:space="preserve"> XE "</w:instrText>
      </w:r>
      <w:r w:rsidRPr="00FD37CA">
        <w:rPr>
          <w:szCs w:val="24"/>
        </w:rPr>
        <w:instrText>dekret artistů 1272</w:instrText>
      </w:r>
      <w:r>
        <w:instrText xml:space="preserve">" </w:instrText>
      </w:r>
      <w:r>
        <w:rPr>
          <w:szCs w:val="24"/>
        </w:rPr>
        <w:fldChar w:fldCharType="end"/>
      </w:r>
      <w:r>
        <w:t xml:space="preserve"> a pustili se do mocenského boje. </w:t>
      </w:r>
      <w:r w:rsidR="00BC294C">
        <w:t xml:space="preserve">Excesy </w:t>
      </w:r>
      <w:r w:rsidR="00BC294C" w:rsidRPr="00BC294C">
        <w:t>moderní sofistiky způsobil</w:t>
      </w:r>
      <w:r w:rsidR="00BC294C">
        <w:t>y</w:t>
      </w:r>
      <w:r w:rsidR="00BC294C" w:rsidRPr="00BC294C">
        <w:t xml:space="preserve"> moderní intelektuální ch</w:t>
      </w:r>
      <w:r w:rsidR="00BC294C">
        <w:t>aos. Intelektuální a ideologické</w:t>
      </w:r>
      <w:r w:rsidR="00BC294C" w:rsidRPr="00BC294C">
        <w:t xml:space="preserve"> </w:t>
      </w:r>
      <w:r w:rsidR="00BC294C">
        <w:t xml:space="preserve">pitomosti </w:t>
      </w:r>
      <w:r w:rsidR="00BC294C" w:rsidRPr="00BC294C">
        <w:t>současného nihilismu (</w:t>
      </w:r>
      <w:r w:rsidR="00BC294C" w:rsidRPr="00BC294C">
        <w:rPr>
          <w:i/>
        </w:rPr>
        <w:t>novissimum</w:t>
      </w:r>
      <w:r w:rsidR="00BC294C" w:rsidRPr="00BC294C">
        <w:t xml:space="preserve">) </w:t>
      </w:r>
      <w:r w:rsidR="00BC294C">
        <w:t xml:space="preserve">tedy završují </w:t>
      </w:r>
      <w:r w:rsidR="00BC294C" w:rsidRPr="00BC294C">
        <w:t>první krizi modernistického myšlení na latinském Západě.</w:t>
      </w:r>
      <w:r w:rsidR="001A41AA">
        <w:t xml:space="preserve"> P</w:t>
      </w:r>
      <w:r>
        <w:t>rvní vsku</w:t>
      </w:r>
      <w:r w:rsidR="00B4535A">
        <w:t>tku m</w:t>
      </w:r>
      <w:r w:rsidR="001A41AA">
        <w:t xml:space="preserve">oderní intelektuální chaos </w:t>
      </w:r>
      <w:r w:rsidR="00B4535A">
        <w:t xml:space="preserve">byl </w:t>
      </w:r>
      <w:r>
        <w:t>daný nerespektováním pravidla magistrů o generické rozdílnosti teologie a filosofie</w:t>
      </w:r>
      <w:r w:rsidR="001A41AA">
        <w:t xml:space="preserve">, určený </w:t>
      </w:r>
      <w:r w:rsidR="00B4535A">
        <w:t>dekretem z roku 1272</w:t>
      </w:r>
      <w:r>
        <w:t>. Preambule z Tempierova odsuzujícího dekretu z března 1277 jasně ukazuje, že akademické Fúrie už pracovaly na plné obrátky (</w:t>
      </w:r>
      <w:r w:rsidRPr="08CE7566">
        <w:rPr>
          <w:i/>
        </w:rPr>
        <w:t>proprie facultatis limites excedentes</w:t>
      </w:r>
      <w:r>
        <w:t>).</w:t>
      </w:r>
      <w:r>
        <w:rPr>
          <w:rStyle w:val="Znakapoznpodarou"/>
        </w:rPr>
        <w:footnoteReference w:id="280"/>
      </w:r>
      <w:r>
        <w:t xml:space="preserve"> Dante si uchoval zdravý rozum a tento kriticky myslící intelektuál, básník a politik přesně viděl jedinečnou roli brilantního Sigera v moderním chaosu myšlení. Akvinského působení v Paříži v letech 1270‒72 způsobilo, že p</w:t>
      </w:r>
      <w:r w:rsidRPr="00273106">
        <w:t>ochybné obvi</w:t>
      </w:r>
      <w:r>
        <w:t>nění z averroismu nakonec zůstalo Averroes</w:t>
      </w:r>
      <w:r w:rsidRPr="00273106">
        <w:t xml:space="preserve">ovi a oběma artistickým magistrům Sigerovi z Brabantu a Boethiovi z Dácie. </w:t>
      </w:r>
      <w:r w:rsidR="00423792">
        <w:t xml:space="preserve">Tomášovu </w:t>
      </w:r>
      <w:r>
        <w:t xml:space="preserve">slávu jako objektivně vítězného </w:t>
      </w:r>
      <w:r w:rsidR="00423792" w:rsidRPr="00423792">
        <w:rPr>
          <w:i/>
        </w:rPr>
        <w:t>Expositor Novus</w:t>
      </w:r>
      <w:r w:rsidR="00423792">
        <w:t xml:space="preserve"> </w:t>
      </w:r>
      <w:r>
        <w:t>zařídil první tomista Aegidius Romanus. S</w:t>
      </w:r>
      <w:r w:rsidRPr="00273106">
        <w:t xml:space="preserve">větské kněze </w:t>
      </w:r>
      <w:r>
        <w:t xml:space="preserve">a artisty na Rue du Fouarre </w:t>
      </w:r>
      <w:r w:rsidRPr="00273106">
        <w:t xml:space="preserve">mocensky nikdo nebránil, na rozdíl od vlivného řádu Bratří kazatelů, k němuž patřili Albert i Akvinský. Stejně tak zůstali uchráněni před </w:t>
      </w:r>
      <w:r>
        <w:t xml:space="preserve">oficiálním </w:t>
      </w:r>
      <w:r w:rsidRPr="00273106">
        <w:t xml:space="preserve">obviněním z averroismu vlivní pařížští a oxfordští františkáni </w:t>
      </w:r>
      <w:r>
        <w:t>Bonaventura</w:t>
      </w:r>
      <w:r w:rsidRPr="00273106">
        <w:t xml:space="preserve"> a </w:t>
      </w:r>
      <w:r>
        <w:t>Pecham</w:t>
      </w:r>
      <w:r w:rsidRPr="00273106">
        <w:t>a</w:t>
      </w:r>
      <w:r>
        <w:t>, k nimž patřil i dominikán Kilwardby</w:t>
      </w:r>
      <w:r w:rsidRPr="00273106">
        <w:t xml:space="preserve">. Na Oxfordu se stal černou ovcí </w:t>
      </w:r>
      <w:r>
        <w:t xml:space="preserve">aristotelik </w:t>
      </w:r>
      <w:r w:rsidRPr="00273106">
        <w:t xml:space="preserve"> Bacon, jehož exil</w:t>
      </w:r>
      <w:r>
        <w:t xml:space="preserve"> do Paříže</w:t>
      </w:r>
      <w:r w:rsidRPr="00273106">
        <w:t>, vyšetřování</w:t>
      </w:r>
      <w:r>
        <w:t xml:space="preserve">, vězení </w:t>
      </w:r>
      <w:r w:rsidRPr="00273106">
        <w:t xml:space="preserve">a zákaz vyučování </w:t>
      </w:r>
      <w:r>
        <w:t xml:space="preserve">ale </w:t>
      </w:r>
      <w:r w:rsidRPr="00273106">
        <w:t>neskončil ofici</w:t>
      </w:r>
      <w:r>
        <w:t>álním odsouzením</w:t>
      </w:r>
      <w:r w:rsidRPr="00273106">
        <w:t>.</w:t>
      </w:r>
      <w:r>
        <w:t xml:space="preserve"> Vyložení objektivního semiaverroismu Akvinského poskytne</w:t>
      </w:r>
      <w:r w:rsidRPr="00273106">
        <w:t xml:space="preserve"> základní vodítko pro posouzení </w:t>
      </w:r>
      <w:r>
        <w:t xml:space="preserve">jeho </w:t>
      </w:r>
      <w:r w:rsidRPr="00273106">
        <w:t>podílu na vzniku objektivity, která vyrůstá ze specifické ontoteologické struktury pozdně antického, islámského a la</w:t>
      </w:r>
      <w:r>
        <w:t>tinského křesťanského Západu.</w:t>
      </w:r>
    </w:p>
    <w:p w:rsidR="08163013" w:rsidRDefault="00BD199A" w:rsidP="08163013">
      <w:pPr>
        <w:pStyle w:val="Nadpis3"/>
      </w:pPr>
      <w:bookmarkStart w:id="45" w:name="_Toc36144149"/>
      <w:r>
        <w:br w:type="page"/>
      </w:r>
      <w:bookmarkStart w:id="46" w:name="_Toc180231661"/>
      <w:r w:rsidR="08163013">
        <w:lastRenderedPageBreak/>
        <w:t>4</w:t>
      </w:r>
      <w:r w:rsidR="08163013" w:rsidRPr="00273106">
        <w:t xml:space="preserve">.5.1 </w:t>
      </w:r>
      <w:r w:rsidR="08163013">
        <w:t>Modernizace Avicenn</w:t>
      </w:r>
      <w:r w:rsidR="005F6721">
        <w:t>ov</w:t>
      </w:r>
      <w:r w:rsidR="08163013">
        <w:t>y</w:t>
      </w:r>
      <w:bookmarkEnd w:id="45"/>
      <w:r w:rsidR="005F6721">
        <w:t xml:space="preserve"> metafyziky</w:t>
      </w:r>
      <w:bookmarkEnd w:id="46"/>
    </w:p>
    <w:p w:rsidR="08163013" w:rsidRPr="08D61851" w:rsidRDefault="08163013" w:rsidP="08163013">
      <w:pPr>
        <w:rPr>
          <w:szCs w:val="17"/>
        </w:rPr>
      </w:pPr>
      <w:r>
        <w:rPr>
          <w:lang w:eastAsia="en-US"/>
        </w:rPr>
        <w:t xml:space="preserve">Začněme angažovaností Akvinského ve sporu se sekulárními magistry v letech 1255‒56, který popsala kapitola věnovaná </w:t>
      </w:r>
      <w:r w:rsidR="08D917EF">
        <w:rPr>
          <w:lang w:eastAsia="en-US"/>
        </w:rPr>
        <w:t>Bonaventurově averroismu (kap. 4</w:t>
      </w:r>
      <w:r>
        <w:rPr>
          <w:lang w:eastAsia="en-US"/>
        </w:rPr>
        <w:t xml:space="preserve">.1.2). </w:t>
      </w:r>
      <w:proofErr w:type="gramStart"/>
      <w:r>
        <w:rPr>
          <w:szCs w:val="17"/>
        </w:rPr>
        <w:t>Akvinského  dílo</w:t>
      </w:r>
      <w:proofErr w:type="gramEnd"/>
      <w:r>
        <w:rPr>
          <w:szCs w:val="17"/>
        </w:rPr>
        <w:t xml:space="preserve"> </w:t>
      </w:r>
      <w:r w:rsidRPr="00390327">
        <w:rPr>
          <w:i/>
          <w:szCs w:val="15"/>
        </w:rPr>
        <w:t>Contra im</w:t>
      </w:r>
      <w:r w:rsidRPr="00390327">
        <w:rPr>
          <w:i/>
          <w:szCs w:val="16"/>
        </w:rPr>
        <w:t xml:space="preserve">pugnantes </w:t>
      </w:r>
      <w:r w:rsidRPr="00390327">
        <w:rPr>
          <w:i/>
          <w:szCs w:val="13"/>
        </w:rPr>
        <w:t xml:space="preserve">dei </w:t>
      </w:r>
      <w:r w:rsidRPr="00390327">
        <w:rPr>
          <w:i/>
          <w:szCs w:val="15"/>
        </w:rPr>
        <w:t>cultum</w:t>
      </w:r>
      <w:r>
        <w:rPr>
          <w:szCs w:val="15"/>
        </w:rPr>
        <w:t xml:space="preserve"> (1256</w:t>
      </w:r>
      <w:r w:rsidRPr="00390327">
        <w:rPr>
          <w:szCs w:val="15"/>
        </w:rPr>
        <w:t>)</w:t>
      </w:r>
      <w:r w:rsidRPr="00F63AF9">
        <w:rPr>
          <w:szCs w:val="17"/>
        </w:rPr>
        <w:t xml:space="preserve"> </w:t>
      </w:r>
      <w:r>
        <w:rPr>
          <w:szCs w:val="17"/>
        </w:rPr>
        <w:t xml:space="preserve">odpovědělo na </w:t>
      </w:r>
      <w:r>
        <w:t xml:space="preserve">Wilhelmův spis </w:t>
      </w:r>
      <w:r w:rsidRPr="00E735C5">
        <w:rPr>
          <w:i/>
          <w:szCs w:val="18"/>
        </w:rPr>
        <w:t xml:space="preserve">De </w:t>
      </w:r>
      <w:r w:rsidRPr="00E735C5">
        <w:rPr>
          <w:i/>
        </w:rPr>
        <w:t xml:space="preserve">periculis </w:t>
      </w:r>
      <w:r w:rsidRPr="00E735C5">
        <w:rPr>
          <w:i/>
          <w:szCs w:val="16"/>
        </w:rPr>
        <w:t xml:space="preserve">novissimorum </w:t>
      </w:r>
      <w:r w:rsidRPr="003B6710">
        <w:rPr>
          <w:i/>
          <w:szCs w:val="17"/>
        </w:rPr>
        <w:t>temporum</w:t>
      </w:r>
      <w:r>
        <w:rPr>
          <w:szCs w:val="17"/>
        </w:rPr>
        <w:t xml:space="preserve"> (1256), který napadl akademické a morální kvality mendikantských pedagogů na Pařížské univerzitě. Před vydáním tohoto polemického spisu nebo těsně po jeho publikaci byl rektor artistů </w:t>
      </w:r>
      <w:r>
        <w:t>Guillelmus</w:t>
      </w:r>
      <w:r w:rsidRPr="00E735C5">
        <w:t xml:space="preserve"> de </w:t>
      </w:r>
      <w:r w:rsidRPr="00E735C5">
        <w:rPr>
          <w:szCs w:val="16"/>
        </w:rPr>
        <w:t xml:space="preserve">Sancto </w:t>
      </w:r>
      <w:r w:rsidRPr="00E735C5">
        <w:rPr>
          <w:szCs w:val="19"/>
        </w:rPr>
        <w:t>Amore</w:t>
      </w:r>
      <w:r>
        <w:rPr>
          <w:szCs w:val="19"/>
        </w:rPr>
        <w:fldChar w:fldCharType="begin"/>
      </w:r>
      <w:r>
        <w:instrText xml:space="preserve"> XE "</w:instrText>
      </w:r>
      <w:r w:rsidRPr="003B256A">
        <w:instrText xml:space="preserve"> </w:instrText>
      </w:r>
      <w:r>
        <w:instrText>Guillelmus</w:instrText>
      </w:r>
      <w:r w:rsidRPr="00E51395">
        <w:instrText xml:space="preserve"> de Sancto Amore</w:instrText>
      </w:r>
      <w:r>
        <w:instrText xml:space="preserve">" </w:instrText>
      </w:r>
      <w:r>
        <w:rPr>
          <w:szCs w:val="19"/>
        </w:rPr>
        <w:fldChar w:fldCharType="end"/>
      </w:r>
      <w:r>
        <w:rPr>
          <w:szCs w:val="19"/>
        </w:rPr>
        <w:t xml:space="preserve"> poslán do akademického exilu. Teolog </w:t>
      </w:r>
      <w:r>
        <w:rPr>
          <w:szCs w:val="17"/>
        </w:rPr>
        <w:t xml:space="preserve">Akvinský během studijních let v Paříži stál na straně mendikantů nejen ideologicky, ale i filosoficky. Tento postoj asi ovlivnil jeho negativní hodnocení Averroese, kterého naopak bránili sekulární magistři na Rue du Fouarre. </w:t>
      </w:r>
      <w:r>
        <w:rPr>
          <w:lang w:eastAsia="en-US"/>
        </w:rPr>
        <w:t xml:space="preserve">První kolo tázání musí vyjasnit vznik Akvinského výkladu CMDA v modu semiaverroismu podle spisu </w:t>
      </w:r>
      <w:r w:rsidRPr="000D668B">
        <w:rPr>
          <w:i/>
          <w:lang w:eastAsia="en-US"/>
        </w:rPr>
        <w:t>De ente et es</w:t>
      </w:r>
      <w:r>
        <w:rPr>
          <w:i/>
          <w:lang w:eastAsia="en-US"/>
        </w:rPr>
        <w:t>s</w:t>
      </w:r>
      <w:r w:rsidRPr="000D668B">
        <w:rPr>
          <w:i/>
          <w:lang w:eastAsia="en-US"/>
        </w:rPr>
        <w:t>entia</w:t>
      </w:r>
      <w:r>
        <w:rPr>
          <w:lang w:eastAsia="en-US"/>
        </w:rPr>
        <w:t xml:space="preserve"> dokončeného okolo roku 1256 v Paříži. Tomášův výklad Averroese je dán v paradigmatu Toledské školy, která harmonizovala učení Avicenny a Averroese do metafyzické konkordance. Během pařížských studií Tomáš podnikl poslední pokus o spojení Averroesovy a Avicennovy nauky o intelektu.</w:t>
      </w:r>
      <w:r w:rsidRPr="085075BE">
        <w:rPr>
          <w:lang w:eastAsia="en-US"/>
        </w:rPr>
        <w:t xml:space="preserve"> </w:t>
      </w:r>
      <w:r>
        <w:rPr>
          <w:lang w:eastAsia="en-US"/>
        </w:rPr>
        <w:t>Klíčová věta z citace spojuje Avicennovu metafyziku s Averroesovou první filosofií. Používá k tomu modernisty hojně citovaný výrok Averroese o intelektu, který způsobuje univerzalitu ve věcech.</w:t>
      </w:r>
    </w:p>
    <w:p w:rsidR="08163013" w:rsidRDefault="08163013" w:rsidP="08163013">
      <w:pPr>
        <w:pStyle w:val="Citace"/>
        <w:rPr>
          <w:lang w:val="cs-CZ" w:eastAsia="en-US"/>
        </w:rPr>
      </w:pPr>
      <w:r>
        <w:t>„</w:t>
      </w:r>
      <w:r w:rsidR="007936CC">
        <w:rPr>
          <w:lang w:val="cs-CZ"/>
        </w:rPr>
        <w:t>L</w:t>
      </w:r>
      <w:r>
        <w:rPr>
          <w:lang w:val="cs-CZ"/>
        </w:rPr>
        <w:t xml:space="preserve">idská přirozenost v intelektu má jsoucno abstrahované od všech jednotlivin a proto má jednotnou definici vzhledem ke všem jednotlivinám, které jsou mimo duši. Proto je intelekt podobností všeho a vede k poznání všeho, nakolik jsme lidé.  A protože máme v takto daném intelektu vztah ke všem jednotlivinám, intelekt nachází výměr </w:t>
      </w:r>
      <w:r w:rsidR="00962190">
        <w:rPr>
          <w:i/>
          <w:lang w:val="cs-CZ"/>
        </w:rPr>
        <w:t>species</w:t>
      </w:r>
      <w:r>
        <w:rPr>
          <w:lang w:val="cs-CZ"/>
        </w:rPr>
        <w:t xml:space="preserve"> a přivlastňuje si ho (</w:t>
      </w:r>
      <w:r w:rsidRPr="083776C1">
        <w:rPr>
          <w:i/>
          <w:lang w:val="cs-CZ"/>
        </w:rPr>
        <w:t xml:space="preserve">adinvenit </w:t>
      </w:r>
      <w:r w:rsidRPr="083776C1">
        <w:rPr>
          <w:i/>
        </w:rPr>
        <w:t>rationem speciei et attribuit sibi</w:t>
      </w:r>
      <w:r>
        <w:rPr>
          <w:lang w:val="cs-CZ"/>
        </w:rPr>
        <w:t xml:space="preserve">). Proto praví Komentátor v úvodu </w:t>
      </w:r>
      <w:r w:rsidRPr="083776C1">
        <w:rPr>
          <w:i/>
          <w:lang w:val="cs-CZ"/>
        </w:rPr>
        <w:t>De anima</w:t>
      </w:r>
      <w:r>
        <w:rPr>
          <w:lang w:val="cs-CZ"/>
        </w:rPr>
        <w:t>, že 'intelekt je to, co ve věcech způsobuje univerzalitu'. A to také říká Avicenna v</w:t>
      </w:r>
      <w:r w:rsidR="008807EE">
        <w:rPr>
          <w:lang w:val="cs-CZ"/>
        </w:rPr>
        <w:t xml:space="preserve"> jeho </w:t>
      </w:r>
      <w:r w:rsidRPr="083776C1">
        <w:rPr>
          <w:i/>
          <w:lang w:val="cs-CZ"/>
        </w:rPr>
        <w:t>Metafyzice</w:t>
      </w:r>
      <w:r>
        <w:rPr>
          <w:lang w:val="cs-CZ"/>
        </w:rPr>
        <w:t>.“ </w:t>
      </w:r>
      <w:r>
        <w:rPr>
          <w:rStyle w:val="Znakapoznpodarou"/>
          <w:lang w:eastAsia="en-US"/>
        </w:rPr>
        <w:footnoteReference w:id="281"/>
      </w:r>
      <w:r>
        <w:rPr>
          <w:lang w:eastAsia="en-US"/>
        </w:rPr>
        <w:t xml:space="preserve"> </w:t>
      </w:r>
    </w:p>
    <w:p w:rsidR="00867FB8" w:rsidRDefault="08163013" w:rsidP="08163013">
      <w:pPr>
        <w:rPr>
          <w:lang w:eastAsia="en-US"/>
        </w:rPr>
      </w:pPr>
      <w:r>
        <w:rPr>
          <w:lang w:eastAsia="en-US"/>
        </w:rPr>
        <w:t xml:space="preserve">Intelekt podle Avicenny a Averroese zakládá ve věcech univerzální poznání </w:t>
      </w:r>
      <w:r>
        <w:t>(</w:t>
      </w:r>
      <w:r w:rsidRPr="005A5A67">
        <w:rPr>
          <w:i/>
        </w:rPr>
        <w:t>intellectus est qu</w:t>
      </w:r>
      <w:r>
        <w:rPr>
          <w:i/>
        </w:rPr>
        <w:t>i agit in rebus univ</w:t>
      </w:r>
      <w:r w:rsidRPr="005A5A67">
        <w:rPr>
          <w:i/>
        </w:rPr>
        <w:t>ersalitatem</w:t>
      </w:r>
      <w:r>
        <w:t xml:space="preserve">). </w:t>
      </w:r>
      <w:r>
        <w:rPr>
          <w:lang w:eastAsia="en-US"/>
        </w:rPr>
        <w:t xml:space="preserve">Citát spojuje obě metafyziky do jednoty, v níž převládá Avicennovo pojetí. Klíčové je velmi dvojznačné slovo </w:t>
      </w:r>
      <w:r w:rsidRPr="08F0324C">
        <w:rPr>
          <w:i/>
          <w:lang w:eastAsia="en-US"/>
        </w:rPr>
        <w:t>adinvenit</w:t>
      </w:r>
      <w:r>
        <w:rPr>
          <w:lang w:eastAsia="en-US"/>
        </w:rPr>
        <w:t xml:space="preserve">, které jasně neříká, zda </w:t>
      </w:r>
      <w:r>
        <w:rPr>
          <w:lang w:eastAsia="en-US"/>
        </w:rPr>
        <w:lastRenderedPageBreak/>
        <w:t xml:space="preserve">intelekt univerzální významy produkuje v duši, nebo zda je nějak nachází v samotných věcech. Pro celkovou linii Akvinského je charakteristické, že na prvním místě stojí Avicenna, jehož metafyzika určuje v modu </w:t>
      </w:r>
      <w:r w:rsidRPr="009C4644">
        <w:rPr>
          <w:i/>
          <w:lang w:eastAsia="en-US"/>
        </w:rPr>
        <w:t>per prius</w:t>
      </w:r>
      <w:r>
        <w:rPr>
          <w:lang w:eastAsia="en-US"/>
        </w:rPr>
        <w:t xml:space="preserve"> otázku poznání, definici intelektu, jednotu osoby a nesmrtelnosti duše. Proto mladý </w:t>
      </w:r>
      <w:r w:rsidR="007F3EB6">
        <w:rPr>
          <w:lang w:eastAsia="en-US"/>
        </w:rPr>
        <w:t xml:space="preserve">filosof </w:t>
      </w:r>
      <w:r>
        <w:rPr>
          <w:lang w:eastAsia="en-US"/>
        </w:rPr>
        <w:t xml:space="preserve">nijak zásadně nekomentoval okolo roku 1255 ani v </w:t>
      </w:r>
      <w:proofErr w:type="gramStart"/>
      <w:r w:rsidR="007F3EB6" w:rsidRPr="000D668B">
        <w:rPr>
          <w:i/>
          <w:lang w:eastAsia="en-US"/>
        </w:rPr>
        <w:t>De</w:t>
      </w:r>
      <w:proofErr w:type="gramEnd"/>
      <w:r w:rsidR="007F3EB6" w:rsidRPr="000D668B">
        <w:rPr>
          <w:i/>
          <w:lang w:eastAsia="en-US"/>
        </w:rPr>
        <w:t xml:space="preserve"> ente et es</w:t>
      </w:r>
      <w:r w:rsidR="007F3EB6">
        <w:rPr>
          <w:i/>
          <w:lang w:eastAsia="en-US"/>
        </w:rPr>
        <w:t>s</w:t>
      </w:r>
      <w:r w:rsidR="007F3EB6" w:rsidRPr="000D668B">
        <w:rPr>
          <w:i/>
          <w:lang w:eastAsia="en-US"/>
        </w:rPr>
        <w:t>entia</w:t>
      </w:r>
      <w:r w:rsidR="007F3EB6">
        <w:rPr>
          <w:lang w:eastAsia="en-US"/>
        </w:rPr>
        <w:t xml:space="preserve"> </w:t>
      </w:r>
      <w:r>
        <w:rPr>
          <w:lang w:eastAsia="en-US"/>
        </w:rPr>
        <w:t xml:space="preserve">ani </w:t>
      </w:r>
      <w:r w:rsidR="00E104E7">
        <w:rPr>
          <w:lang w:eastAsia="en-US"/>
        </w:rPr>
        <w:t xml:space="preserve">v jeho komentáři k </w:t>
      </w:r>
      <w:r>
        <w:rPr>
          <w:lang w:eastAsia="en-US"/>
        </w:rPr>
        <w:t>Sentencí</w:t>
      </w:r>
      <w:r w:rsidR="00E104E7">
        <w:rPr>
          <w:lang w:eastAsia="en-US"/>
        </w:rPr>
        <w:t>m</w:t>
      </w:r>
      <w:r>
        <w:rPr>
          <w:lang w:eastAsia="en-US"/>
        </w:rPr>
        <w:t xml:space="preserve"> klíčové pasáže Averroesovy </w:t>
      </w:r>
      <w:r w:rsidRPr="00773718">
        <w:rPr>
          <w:i/>
          <w:lang w:eastAsia="en-US"/>
        </w:rPr>
        <w:t>Fyziky</w:t>
      </w:r>
      <w:r>
        <w:rPr>
          <w:lang w:eastAsia="en-US"/>
        </w:rPr>
        <w:t xml:space="preserve"> a </w:t>
      </w:r>
      <w:r w:rsidRPr="00773718">
        <w:rPr>
          <w:i/>
          <w:lang w:eastAsia="en-US"/>
        </w:rPr>
        <w:t>Metafyziky</w:t>
      </w:r>
      <w:r>
        <w:rPr>
          <w:lang w:eastAsia="en-US"/>
        </w:rPr>
        <w:t xml:space="preserve">, které kritizovaly Avicennu za chybný projekt první vědy. </w:t>
      </w:r>
      <w:r>
        <w:t>Komentář k Sentencím vidí rozdíl mezi oběma projekty hlavně v otázce signifikace, kde se Akvinský postavil na stranu Averroese proti Avicennově esencialismu</w:t>
      </w:r>
      <w:r>
        <w:rPr>
          <w:lang w:eastAsia="en-US"/>
        </w:rPr>
        <w:t>.</w:t>
      </w:r>
      <w:r>
        <w:rPr>
          <w:rStyle w:val="Znakapoznpodarou"/>
          <w:lang w:eastAsia="en-US"/>
        </w:rPr>
        <w:footnoteReference w:id="282"/>
      </w:r>
      <w:r>
        <w:rPr>
          <w:lang w:eastAsia="en-US"/>
        </w:rPr>
        <w:t xml:space="preserve"> Odmítnutí Avicenny ve prospěch Averroese se týká odmítnutí porretánského esencialismu a avicennismu v případě definice osoby v Boží Trojici. Odtud také vychází Tomášovo klíčové pojetí poznání centrované na jednotu poznávající osoby v  </w:t>
      </w:r>
      <w:r>
        <w:t xml:space="preserve">QD </w:t>
      </w:r>
      <w:r w:rsidRPr="08DD1C4E">
        <w:rPr>
          <w:i/>
        </w:rPr>
        <w:t>De potentia</w:t>
      </w:r>
      <w:r>
        <w:t xml:space="preserve"> </w:t>
      </w:r>
      <w:r w:rsidR="08170E5D">
        <w:rPr>
          <w:lang w:eastAsia="en-US"/>
        </w:rPr>
        <w:t>(kap. 4</w:t>
      </w:r>
      <w:r>
        <w:rPr>
          <w:lang w:eastAsia="en-US"/>
        </w:rPr>
        <w:t xml:space="preserve">.5.2). Akvinský po vzoru Toledské školy </w:t>
      </w:r>
      <w:r w:rsidR="08821E72">
        <w:rPr>
          <w:lang w:eastAsia="en-US"/>
        </w:rPr>
        <w:t xml:space="preserve">ale </w:t>
      </w:r>
      <w:r>
        <w:rPr>
          <w:lang w:eastAsia="en-US"/>
        </w:rPr>
        <w:t xml:space="preserve">předpokládá, že oba projekty metafyziky mají podobný aristotelský výklad první vědy a harmonicky se doplňují. V případě Avicenny jde o zásadní omyl, což jasně viděla Sicilská škola a Siger. Akvinský v komentáři k Sentencím psaném ve stejné době jako </w:t>
      </w:r>
      <w:r w:rsidRPr="00956987">
        <w:rPr>
          <w:i/>
          <w:lang w:eastAsia="en-US"/>
        </w:rPr>
        <w:t>De ente et essentia</w:t>
      </w:r>
      <w:r>
        <w:rPr>
          <w:lang w:eastAsia="en-US"/>
        </w:rPr>
        <w:t xml:space="preserve"> používá Averroesův komentář k </w:t>
      </w:r>
      <w:r w:rsidRPr="00F81F8A">
        <w:rPr>
          <w:i/>
          <w:lang w:eastAsia="en-US"/>
        </w:rPr>
        <w:t>Metafyzice</w:t>
      </w:r>
      <w:r>
        <w:rPr>
          <w:lang w:eastAsia="en-US"/>
        </w:rPr>
        <w:t xml:space="preserve"> a k </w:t>
      </w:r>
      <w:r w:rsidRPr="00F81F8A">
        <w:rPr>
          <w:i/>
          <w:lang w:eastAsia="en-US"/>
        </w:rPr>
        <w:t>Fyzice</w:t>
      </w:r>
      <w:r>
        <w:rPr>
          <w:lang w:eastAsia="en-US"/>
        </w:rPr>
        <w:t xml:space="preserve">. Tehdejší komentátoři dobře znali citáty z Averroesovy </w:t>
      </w:r>
      <w:r>
        <w:rPr>
          <w:i/>
          <w:lang w:eastAsia="en-US"/>
        </w:rPr>
        <w:t>M</w:t>
      </w:r>
      <w:r w:rsidRPr="00F81F8A">
        <w:rPr>
          <w:i/>
          <w:lang w:eastAsia="en-US"/>
        </w:rPr>
        <w:t>etafyziky</w:t>
      </w:r>
      <w:r>
        <w:rPr>
          <w:lang w:eastAsia="en-US"/>
        </w:rPr>
        <w:t xml:space="preserve"> odmítající základní omyly Avicennovy první filosofie (</w:t>
      </w:r>
      <w:r w:rsidR="08821E72">
        <w:rPr>
          <w:lang w:eastAsia="en-US"/>
        </w:rPr>
        <w:t xml:space="preserve">OBJ I, </w:t>
      </w:r>
      <w:r>
        <w:rPr>
          <w:lang w:eastAsia="en-US"/>
        </w:rPr>
        <w:t xml:space="preserve">kap. 2.4.1). Komentátorův velký </w:t>
      </w:r>
      <w:r w:rsidRPr="00273106">
        <w:t xml:space="preserve">komentář k Aristotelově </w:t>
      </w:r>
      <w:r w:rsidRPr="00773718">
        <w:rPr>
          <w:i/>
        </w:rPr>
        <w:t>Fyzice</w:t>
      </w:r>
      <w:r w:rsidRPr="00273106">
        <w:t xml:space="preserve"> </w:t>
      </w:r>
      <w:r>
        <w:t xml:space="preserve">podobně </w:t>
      </w:r>
      <w:r w:rsidRPr="00273106">
        <w:t>tvrdí, že Avicennova dedukce prvních principů metafyziky je naprosto mylná (</w:t>
      </w:r>
      <w:r w:rsidRPr="00273106">
        <w:rPr>
          <w:i/>
        </w:rPr>
        <w:t>Avicenna peccavit maxime</w:t>
      </w:r>
      <w:r w:rsidRPr="00273106">
        <w:t>), protože opominul provést dedukci prvních principů metafyziky směrem od fyzikální substance.</w:t>
      </w:r>
      <w:r w:rsidRPr="00273106">
        <w:rPr>
          <w:rStyle w:val="Znakapoznpodarou"/>
        </w:rPr>
        <w:footnoteReference w:id="283"/>
      </w:r>
      <w:r>
        <w:t xml:space="preserve"> </w:t>
      </w:r>
      <w:r>
        <w:rPr>
          <w:lang w:eastAsia="en-US"/>
        </w:rPr>
        <w:t xml:space="preserve">Z Tomášových citací Komentátora do roku 1257 je zřejmé, že </w:t>
      </w:r>
      <w:r w:rsidR="00E30FE3">
        <w:rPr>
          <w:lang w:eastAsia="en-US"/>
        </w:rPr>
        <w:t xml:space="preserve">Tomáš </w:t>
      </w:r>
      <w:r w:rsidR="0020798F">
        <w:rPr>
          <w:lang w:eastAsia="en-US"/>
        </w:rPr>
        <w:t xml:space="preserve">vzal </w:t>
      </w:r>
      <w:r>
        <w:rPr>
          <w:lang w:eastAsia="en-US"/>
        </w:rPr>
        <w:t xml:space="preserve">zaměření „meta-fyziky“ postavené na primátu </w:t>
      </w:r>
      <w:r w:rsidR="00E30FE3">
        <w:rPr>
          <w:lang w:eastAsia="en-US"/>
        </w:rPr>
        <w:t>„</w:t>
      </w:r>
      <w:r>
        <w:rPr>
          <w:lang w:eastAsia="en-US"/>
        </w:rPr>
        <w:t xml:space="preserve">substance </w:t>
      </w:r>
      <w:r w:rsidRPr="00F81F8A">
        <w:rPr>
          <w:i/>
          <w:lang w:eastAsia="en-US"/>
        </w:rPr>
        <w:t>qua</w:t>
      </w:r>
      <w:r>
        <w:rPr>
          <w:lang w:eastAsia="en-US"/>
        </w:rPr>
        <w:t xml:space="preserve"> substance</w:t>
      </w:r>
      <w:r w:rsidR="00E30FE3">
        <w:rPr>
          <w:lang w:eastAsia="en-US"/>
        </w:rPr>
        <w:t>“</w:t>
      </w:r>
      <w:r>
        <w:rPr>
          <w:lang w:eastAsia="en-US"/>
        </w:rPr>
        <w:fldChar w:fldCharType="begin"/>
      </w:r>
      <w:r>
        <w:instrText xml:space="preserve"> XE "</w:instrText>
      </w:r>
      <w:r w:rsidRPr="080632B1">
        <w:instrText xml:space="preserve">substance </w:instrText>
      </w:r>
      <w:r w:rsidRPr="080632B1">
        <w:rPr>
          <w:i/>
        </w:rPr>
        <w:instrText>qua</w:instrText>
      </w:r>
      <w:r w:rsidRPr="080632B1">
        <w:instrText xml:space="preserve"> substance</w:instrText>
      </w:r>
      <w:r>
        <w:instrText xml:space="preserve">" </w:instrText>
      </w:r>
      <w:r>
        <w:rPr>
          <w:lang w:eastAsia="en-US"/>
        </w:rPr>
        <w:fldChar w:fldCharType="end"/>
      </w:r>
      <w:r>
        <w:rPr>
          <w:lang w:eastAsia="en-US"/>
        </w:rPr>
        <w:t xml:space="preserve"> a konkordančně ji spojil s projektem Avicennovy metafyziky postavené na primátu </w:t>
      </w:r>
      <w:r w:rsidR="00E30FE3">
        <w:rPr>
          <w:lang w:eastAsia="en-US"/>
        </w:rPr>
        <w:t>„</w:t>
      </w:r>
      <w:r w:rsidRPr="00F81F8A">
        <w:rPr>
          <w:i/>
          <w:lang w:eastAsia="en-US"/>
        </w:rPr>
        <w:t>ens inquantum ens</w:t>
      </w:r>
      <w:r w:rsidR="00E30FE3">
        <w:rPr>
          <w:lang w:eastAsia="en-US"/>
        </w:rPr>
        <w:t>“</w:t>
      </w:r>
      <w:r w:rsidR="0024535F">
        <w:rPr>
          <w:lang w:eastAsia="en-US"/>
        </w:rPr>
        <w:t xml:space="preserve">. Tato </w:t>
      </w:r>
      <w:r w:rsidR="0020798F">
        <w:rPr>
          <w:lang w:eastAsia="en-US"/>
        </w:rPr>
        <w:t xml:space="preserve">nejasná </w:t>
      </w:r>
      <w:r w:rsidR="0024535F">
        <w:rPr>
          <w:lang w:eastAsia="en-US"/>
        </w:rPr>
        <w:t xml:space="preserve">konkordance </w:t>
      </w:r>
      <w:r w:rsidR="00AD752E">
        <w:rPr>
          <w:lang w:eastAsia="en-US"/>
        </w:rPr>
        <w:t xml:space="preserve">obou metafyzik </w:t>
      </w:r>
      <w:r>
        <w:rPr>
          <w:lang w:eastAsia="en-US"/>
        </w:rPr>
        <w:t>vytvořil</w:t>
      </w:r>
      <w:r w:rsidR="0024535F">
        <w:rPr>
          <w:lang w:eastAsia="en-US"/>
        </w:rPr>
        <w:t>a</w:t>
      </w:r>
      <w:r>
        <w:rPr>
          <w:lang w:eastAsia="en-US"/>
        </w:rPr>
        <w:t xml:space="preserve"> uvnitř prvního averroismu </w:t>
      </w:r>
      <w:r w:rsidR="0020798F">
        <w:rPr>
          <w:lang w:eastAsia="en-US"/>
        </w:rPr>
        <w:t xml:space="preserve">sofistické </w:t>
      </w:r>
      <w:r>
        <w:rPr>
          <w:lang w:eastAsia="en-US"/>
        </w:rPr>
        <w:t xml:space="preserve">unitární </w:t>
      </w:r>
      <w:r w:rsidR="00472CC3">
        <w:rPr>
          <w:lang w:eastAsia="en-US"/>
        </w:rPr>
        <w:t>pojetí první vědy</w:t>
      </w:r>
      <w:r w:rsidR="0020798F">
        <w:rPr>
          <w:lang w:eastAsia="en-US"/>
        </w:rPr>
        <w:t xml:space="preserve">, z níž vznikla pozdější </w:t>
      </w:r>
      <w:r w:rsidRPr="08EE62FE">
        <w:rPr>
          <w:i/>
          <w:lang w:eastAsia="en-US"/>
        </w:rPr>
        <w:t>metaphysica generalis</w:t>
      </w:r>
      <w:r>
        <w:rPr>
          <w:i/>
          <w:lang w:eastAsia="en-US"/>
        </w:rPr>
        <w:fldChar w:fldCharType="begin"/>
      </w:r>
      <w:r>
        <w:instrText xml:space="preserve"> XE "</w:instrText>
      </w:r>
      <w:r w:rsidRPr="089974C4">
        <w:rPr>
          <w:i/>
          <w:lang w:eastAsia="en-US"/>
        </w:rPr>
        <w:instrText>metaphysica generalis</w:instrText>
      </w:r>
      <w:r>
        <w:instrText xml:space="preserve">" </w:instrText>
      </w:r>
      <w:r>
        <w:rPr>
          <w:i/>
          <w:lang w:eastAsia="en-US"/>
        </w:rPr>
        <w:fldChar w:fldCharType="end"/>
      </w:r>
      <w:r w:rsidR="00867FB8">
        <w:rPr>
          <w:lang w:eastAsia="en-US"/>
        </w:rPr>
        <w:t>.</w:t>
      </w:r>
    </w:p>
    <w:p w:rsidR="08163013" w:rsidRDefault="08163013" w:rsidP="00FE096F">
      <w:pPr>
        <w:ind w:firstLine="397"/>
        <w:rPr>
          <w:lang w:eastAsia="en-US"/>
        </w:rPr>
      </w:pPr>
      <w:r>
        <w:rPr>
          <w:lang w:eastAsia="en-US"/>
        </w:rPr>
        <w:lastRenderedPageBreak/>
        <w:t xml:space="preserve">Synkretistické pojetí obou </w:t>
      </w:r>
      <w:r w:rsidR="08B164C3">
        <w:rPr>
          <w:lang w:eastAsia="en-US"/>
        </w:rPr>
        <w:t xml:space="preserve">arabských </w:t>
      </w:r>
      <w:r>
        <w:rPr>
          <w:lang w:eastAsia="en-US"/>
        </w:rPr>
        <w:t>metafyzik</w:t>
      </w:r>
      <w:r w:rsidR="08B164C3">
        <w:rPr>
          <w:lang w:eastAsia="en-US"/>
        </w:rPr>
        <w:t>ů</w:t>
      </w:r>
      <w:r>
        <w:rPr>
          <w:lang w:eastAsia="en-US"/>
        </w:rPr>
        <w:t xml:space="preserve"> dosvědčuje první Tomášovo důležité filosofické dílo </w:t>
      </w:r>
      <w:r w:rsidRPr="001357E9">
        <w:rPr>
          <w:i/>
          <w:lang w:eastAsia="en-US"/>
        </w:rPr>
        <w:t>De ent</w:t>
      </w:r>
      <w:r>
        <w:rPr>
          <w:i/>
          <w:lang w:eastAsia="en-US"/>
        </w:rPr>
        <w:t>e</w:t>
      </w:r>
      <w:r w:rsidRPr="001357E9">
        <w:rPr>
          <w:i/>
          <w:lang w:eastAsia="en-US"/>
        </w:rPr>
        <w:t xml:space="preserve"> et essentia</w:t>
      </w:r>
      <w:r>
        <w:rPr>
          <w:lang w:eastAsia="en-US"/>
        </w:rPr>
        <w:t xml:space="preserve">. Znalec Avicenny vysvětluje modernistům Bonaventurovy školy, že nemohou vzít porretánské hypostáze jako první substance, které navíc nekriticky idenfikují s Avicennovým konceptem jsoucna v modu </w:t>
      </w:r>
      <w:r w:rsidR="00E56084">
        <w:rPr>
          <w:lang w:eastAsia="en-US"/>
        </w:rPr>
        <w:t>„</w:t>
      </w:r>
      <w:r w:rsidRPr="089E7EA6">
        <w:rPr>
          <w:i/>
          <w:lang w:eastAsia="en-US"/>
        </w:rPr>
        <w:t>hoc esse</w:t>
      </w:r>
      <w:r>
        <w:rPr>
          <w:lang w:eastAsia="en-US"/>
        </w:rPr>
        <w:t xml:space="preserve"> </w:t>
      </w:r>
      <w:r>
        <w:rPr>
          <w:i/>
          <w:lang w:eastAsia="en-US"/>
        </w:rPr>
        <w:t>ta</w:t>
      </w:r>
      <w:r w:rsidRPr="00956987">
        <w:rPr>
          <w:i/>
          <w:lang w:eastAsia="en-US"/>
        </w:rPr>
        <w:t>ntum</w:t>
      </w:r>
      <w:r w:rsidR="00E56084">
        <w:rPr>
          <w:lang w:eastAsia="en-US"/>
        </w:rPr>
        <w:t>“</w:t>
      </w:r>
      <w:r>
        <w:rPr>
          <w:lang w:eastAsia="en-US"/>
        </w:rPr>
        <w:t xml:space="preserve">. Akvinský </w:t>
      </w:r>
      <w:r w:rsidR="08584346">
        <w:rPr>
          <w:lang w:eastAsia="en-US"/>
        </w:rPr>
        <w:t xml:space="preserve">udělal z Avicenny čistého aristotelika proti škole modernistů. Tomáš </w:t>
      </w:r>
      <w:r>
        <w:rPr>
          <w:lang w:eastAsia="en-US"/>
        </w:rPr>
        <w:t xml:space="preserve">dobře ví, že </w:t>
      </w:r>
      <w:r w:rsidR="004D0CE3">
        <w:rPr>
          <w:lang w:eastAsia="en-US"/>
        </w:rPr>
        <w:t>Avicennova</w:t>
      </w:r>
      <w:r>
        <w:rPr>
          <w:lang w:eastAsia="en-US"/>
        </w:rPr>
        <w:t xml:space="preserve"> </w:t>
      </w:r>
      <w:r w:rsidR="004D0CE3">
        <w:rPr>
          <w:lang w:eastAsia="en-US"/>
        </w:rPr>
        <w:t>esencialita</w:t>
      </w:r>
      <w:r w:rsidRPr="00273106">
        <w:rPr>
          <w:lang w:eastAsia="en-US"/>
        </w:rPr>
        <w:t xml:space="preserve"> </w:t>
      </w:r>
      <w:r w:rsidR="08584346">
        <w:rPr>
          <w:lang w:eastAsia="en-US"/>
        </w:rPr>
        <w:t xml:space="preserve">v modu </w:t>
      </w:r>
      <w:r w:rsidR="004D0CE3">
        <w:rPr>
          <w:lang w:eastAsia="en-US"/>
        </w:rPr>
        <w:t>„</w:t>
      </w:r>
      <w:r w:rsidR="08584346" w:rsidRPr="089E7EA6">
        <w:rPr>
          <w:i/>
          <w:lang w:eastAsia="en-US"/>
        </w:rPr>
        <w:t>hoc esse</w:t>
      </w:r>
      <w:r w:rsidR="08584346">
        <w:rPr>
          <w:lang w:eastAsia="en-US"/>
        </w:rPr>
        <w:t xml:space="preserve"> </w:t>
      </w:r>
      <w:r w:rsidR="08584346">
        <w:rPr>
          <w:i/>
          <w:lang w:eastAsia="en-US"/>
        </w:rPr>
        <w:t>ta</w:t>
      </w:r>
      <w:r w:rsidR="08584346" w:rsidRPr="00956987">
        <w:rPr>
          <w:i/>
          <w:lang w:eastAsia="en-US"/>
        </w:rPr>
        <w:t>ntum</w:t>
      </w:r>
      <w:r w:rsidR="004D0CE3">
        <w:rPr>
          <w:lang w:eastAsia="en-US"/>
        </w:rPr>
        <w:t>“</w:t>
      </w:r>
      <w:r w:rsidR="08584346">
        <w:rPr>
          <w:i/>
          <w:lang w:eastAsia="en-US"/>
        </w:rPr>
        <w:t xml:space="preserve"> </w:t>
      </w:r>
      <w:r w:rsidRPr="00273106">
        <w:rPr>
          <w:lang w:eastAsia="en-US"/>
        </w:rPr>
        <w:t xml:space="preserve">má vlastní </w:t>
      </w:r>
      <w:r w:rsidR="08584346">
        <w:rPr>
          <w:lang w:eastAsia="en-US"/>
        </w:rPr>
        <w:t xml:space="preserve">způsob existence, který </w:t>
      </w:r>
      <w:r w:rsidRPr="00273106">
        <w:rPr>
          <w:lang w:eastAsia="en-US"/>
        </w:rPr>
        <w:t>ne</w:t>
      </w:r>
      <w:r w:rsidR="08584346">
        <w:rPr>
          <w:lang w:eastAsia="en-US"/>
        </w:rPr>
        <w:t>ní aktualizovaný</w:t>
      </w:r>
      <w:r w:rsidRPr="00273106">
        <w:rPr>
          <w:lang w:eastAsia="en-US"/>
        </w:rPr>
        <w:t xml:space="preserve"> v jednotlivinách. </w:t>
      </w:r>
      <w:r w:rsidRPr="00273106">
        <w:t xml:space="preserve">Náhled intelektu </w:t>
      </w:r>
      <w:r>
        <w:t xml:space="preserve">podle Avicenny </w:t>
      </w:r>
      <w:r w:rsidRPr="00273106">
        <w:t>odkrývá univerzální přirozenost věcí (</w:t>
      </w:r>
      <w:r w:rsidRPr="00273106">
        <w:rPr>
          <w:i/>
        </w:rPr>
        <w:t>ad modum universalis</w:t>
      </w:r>
      <w:r>
        <w:rPr>
          <w:i/>
        </w:rPr>
        <w:fldChar w:fldCharType="begin"/>
      </w:r>
      <w:r>
        <w:instrText xml:space="preserve"> XE "vidění:</w:instrText>
      </w:r>
      <w:r w:rsidRPr="00273106">
        <w:rPr>
          <w:i/>
        </w:rPr>
        <w:instrText>ad modum universalis</w:instrText>
      </w:r>
      <w:r>
        <w:instrText xml:space="preserve">" </w:instrText>
      </w:r>
      <w:r>
        <w:rPr>
          <w:i/>
        </w:rPr>
        <w:fldChar w:fldCharType="end"/>
      </w:r>
      <w:r w:rsidRPr="00273106">
        <w:t>), která se zásadně liší od partikulární přirozenosti dané pouze v jednotlivinách a modifikované skrze smyslovou představivost (</w:t>
      </w:r>
      <w:r w:rsidRPr="00273106">
        <w:rPr>
          <w:i/>
        </w:rPr>
        <w:t>ad modum particularis</w:t>
      </w:r>
      <w:r w:rsidR="08584346" w:rsidRPr="08584346">
        <w:t xml:space="preserve">; OBJ I, </w:t>
      </w:r>
      <w:r>
        <w:rPr>
          <w:lang w:eastAsia="en-US"/>
        </w:rPr>
        <w:t>kap. 2.3.2). Tento Avicennův koncept je podle Akvinského striktně oddělen od kategoriální predikace dané impozicí od reálné první substance. Akvinský připomene sofistickým modernistům z nově zřízené katedry, že Avicenna byl aristotelik a ne porretánský platonik.</w:t>
      </w:r>
      <w:r>
        <w:rPr>
          <w:rStyle w:val="Znakapoznpodarou"/>
          <w:lang w:eastAsia="en-US"/>
        </w:rPr>
        <w:footnoteReference w:id="284"/>
      </w:r>
      <w:r>
        <w:rPr>
          <w:lang w:eastAsia="en-US"/>
        </w:rPr>
        <w:t xml:space="preserve"> Hypostázovaním čisté esence udělali porretáni z Avicenny čistého platonika, kterým tento žák Al-Fárábího nikdy nebyl. Oba hlavní představitelé falsafy byli aristotelikové. Nový výklad aristotelismu odmítl dát oba projekty do hierarchické pozice nadřazenosti a podřazenosti jako to udělal Siger a postavil oba projekty do jedné roviny. Pro Tomáše pak už není problém zkombinovat v konkordančním modelu Averroesovu „meta-fyziku“ první substance a Avicennův teoretický pohled na </w:t>
      </w:r>
      <w:r w:rsidRPr="0073002F">
        <w:rPr>
          <w:i/>
          <w:lang w:eastAsia="en-US"/>
        </w:rPr>
        <w:t>ens inquantum ens</w:t>
      </w:r>
      <w:r>
        <w:rPr>
          <w:lang w:eastAsia="en-US"/>
        </w:rPr>
        <w:t>.</w:t>
      </w:r>
      <w:r w:rsidRPr="08941C45">
        <w:t xml:space="preserve"> </w:t>
      </w:r>
      <w:r>
        <w:t xml:space="preserve">Toledská škola se snažila o harmonizaci obou myslitelů, proto pominula fundamentální rozdíly v obou projektech první vědy stejně jako dnešní komentátoři. </w:t>
      </w:r>
      <w:r>
        <w:rPr>
          <w:lang w:eastAsia="en-US"/>
        </w:rPr>
        <w:t xml:space="preserve">Spis </w:t>
      </w:r>
      <w:r w:rsidRPr="00221853">
        <w:rPr>
          <w:i/>
        </w:rPr>
        <w:t>De ente et essentia</w:t>
      </w:r>
      <w:r>
        <w:rPr>
          <w:lang w:eastAsia="en-US"/>
        </w:rPr>
        <w:t xml:space="preserve"> posuzuje obě formy první vědy z nezaujaté perspektivy objektivního myslitele. Tím vznikla kolem roku 1258 nová syntéza Avicenny a Averroese v originální formě aristotelismu, kterému se později zcela správně začalo říkat „tomismus</w:t>
      </w:r>
      <w:r>
        <w:rPr>
          <w:lang w:eastAsia="en-US"/>
        </w:rPr>
        <w:fldChar w:fldCharType="begin"/>
      </w:r>
      <w:r>
        <w:instrText xml:space="preserve"> XE "</w:instrText>
      </w:r>
      <w:r w:rsidRPr="007255A1">
        <w:rPr>
          <w:lang w:eastAsia="en-US"/>
        </w:rPr>
        <w:instrText>tomismus</w:instrText>
      </w:r>
      <w:r>
        <w:instrText xml:space="preserve">" </w:instrText>
      </w:r>
      <w:r>
        <w:rPr>
          <w:lang w:eastAsia="en-US"/>
        </w:rPr>
        <w:fldChar w:fldCharType="end"/>
      </w:r>
      <w:r>
        <w:rPr>
          <w:lang w:eastAsia="en-US"/>
        </w:rPr>
        <w:t xml:space="preserve">“. První významný filosofický spis Akvinského </w:t>
      </w:r>
      <w:r>
        <w:rPr>
          <w:i/>
          <w:lang w:eastAsia="en-US"/>
        </w:rPr>
        <w:fldChar w:fldCharType="begin"/>
      </w:r>
      <w:r>
        <w:instrText xml:space="preserve"> XE "</w:instrText>
      </w:r>
      <w:r w:rsidRPr="00A33E84">
        <w:rPr>
          <w:i/>
          <w:lang w:eastAsia="en-US"/>
        </w:rPr>
        <w:instrText>ens inquantum ens</w:instrText>
      </w:r>
      <w:r>
        <w:instrText xml:space="preserve">" </w:instrText>
      </w:r>
      <w:r>
        <w:rPr>
          <w:i/>
          <w:lang w:eastAsia="en-US"/>
        </w:rPr>
        <w:fldChar w:fldCharType="end"/>
      </w:r>
      <w:r>
        <w:rPr>
          <w:lang w:eastAsia="en-US"/>
        </w:rPr>
        <w:t>vytvořil základ pro pozdější unifikovanou podobu objektivní metafyziky</w:t>
      </w:r>
      <w:r>
        <w:rPr>
          <w:i/>
          <w:lang w:eastAsia="en-US"/>
        </w:rPr>
        <w:fldChar w:fldCharType="begin"/>
      </w:r>
      <w:r>
        <w:instrText xml:space="preserve"> XE "</w:instrText>
      </w:r>
      <w:r w:rsidRPr="000C596A">
        <w:rPr>
          <w:i/>
          <w:lang w:eastAsia="en-US"/>
        </w:rPr>
        <w:instrText>metaphysica generalis</w:instrText>
      </w:r>
      <w:r>
        <w:instrText xml:space="preserve">" </w:instrText>
      </w:r>
      <w:r>
        <w:rPr>
          <w:i/>
          <w:lang w:eastAsia="en-US"/>
        </w:rPr>
        <w:fldChar w:fldCharType="end"/>
      </w:r>
      <w:r>
        <w:rPr>
          <w:lang w:eastAsia="en-US"/>
        </w:rPr>
        <w:t xml:space="preserve">. Postup Akvinského zásadně odmítl fenomenolog Siger bránící </w:t>
      </w:r>
      <w:r w:rsidR="00FE096F">
        <w:rPr>
          <w:lang w:eastAsia="en-US"/>
        </w:rPr>
        <w:t>„</w:t>
      </w:r>
      <w:r>
        <w:rPr>
          <w:i/>
          <w:lang w:eastAsia="en-US"/>
        </w:rPr>
        <w:t>ad mentem Averrois</w:t>
      </w:r>
      <w:r w:rsidR="00FE096F">
        <w:rPr>
          <w:lang w:eastAsia="en-US"/>
        </w:rPr>
        <w:t>“</w:t>
      </w:r>
      <w:r>
        <w:rPr>
          <w:lang w:eastAsia="en-US"/>
        </w:rPr>
        <w:t xml:space="preserve"> konfliktuální paradigma dané v linii Alvernova výkladu </w:t>
      </w:r>
      <w:r w:rsidRPr="00A00D17">
        <w:rPr>
          <w:i/>
          <w:lang w:eastAsia="en-US"/>
        </w:rPr>
        <w:t>De anima</w:t>
      </w:r>
      <w:r w:rsidR="08F76754">
        <w:rPr>
          <w:lang w:eastAsia="en-US"/>
        </w:rPr>
        <w:t xml:space="preserve"> podle Sicilské školy (kap. 4</w:t>
      </w:r>
      <w:r>
        <w:rPr>
          <w:lang w:eastAsia="en-US"/>
        </w:rPr>
        <w:t>.4.1)</w:t>
      </w:r>
      <w:r>
        <w:rPr>
          <w:lang w:eastAsia="en-US"/>
        </w:rPr>
        <w:fldChar w:fldCharType="begin"/>
      </w:r>
      <w:r>
        <w:instrText xml:space="preserve"> XE "</w:instrText>
      </w:r>
      <w:r>
        <w:rPr>
          <w:lang w:eastAsia="en-US"/>
        </w:rPr>
        <w:instrText>Sicilská škola</w:instrText>
      </w:r>
      <w:r>
        <w:instrText xml:space="preserve">" </w:instrText>
      </w:r>
      <w:r>
        <w:rPr>
          <w:lang w:eastAsia="en-US"/>
        </w:rPr>
        <w:fldChar w:fldCharType="end"/>
      </w:r>
      <w:r>
        <w:rPr>
          <w:lang w:eastAsia="en-US"/>
        </w:rPr>
        <w:t xml:space="preserve">. </w:t>
      </w:r>
      <w:r w:rsidR="00FE096F" w:rsidRPr="00FE096F">
        <w:rPr>
          <w:lang w:eastAsia="en-US"/>
        </w:rPr>
        <w:t xml:space="preserve">Vzhledem </w:t>
      </w:r>
      <w:r w:rsidR="00FE096F" w:rsidRPr="00FE096F">
        <w:rPr>
          <w:lang w:eastAsia="en-US"/>
        </w:rPr>
        <w:lastRenderedPageBreak/>
        <w:t>k nové syntéze Avicenny a Averroes</w:t>
      </w:r>
      <w:r w:rsidR="00FE096F">
        <w:rPr>
          <w:lang w:eastAsia="en-US"/>
        </w:rPr>
        <w:t>e</w:t>
      </w:r>
      <w:r w:rsidR="00FE096F" w:rsidRPr="00FE096F">
        <w:rPr>
          <w:lang w:eastAsia="en-US"/>
        </w:rPr>
        <w:t xml:space="preserve">, mladí studenti jako Aegidius </w:t>
      </w:r>
      <w:r w:rsidR="00FE096F">
        <w:rPr>
          <w:lang w:eastAsia="en-US"/>
        </w:rPr>
        <w:t xml:space="preserve">vybrali Tomáše do role </w:t>
      </w:r>
      <w:r w:rsidR="00FE096F" w:rsidRPr="00FE096F">
        <w:rPr>
          <w:i/>
          <w:lang w:eastAsia="en-US"/>
        </w:rPr>
        <w:t>Expositor Novus</w:t>
      </w:r>
      <w:r w:rsidR="00FE096F">
        <w:rPr>
          <w:lang w:eastAsia="en-US"/>
        </w:rPr>
        <w:t xml:space="preserve"> ohledně aristotelského K</w:t>
      </w:r>
      <w:r w:rsidR="00FE096F" w:rsidRPr="00FE096F">
        <w:rPr>
          <w:lang w:eastAsia="en-US"/>
        </w:rPr>
        <w:t>orpusu.</w:t>
      </w:r>
      <w:r w:rsidR="00FE096F">
        <w:rPr>
          <w:lang w:eastAsia="en-US"/>
        </w:rPr>
        <w:t xml:space="preserve"> </w:t>
      </w:r>
      <w:r>
        <w:rPr>
          <w:lang w:eastAsia="en-US"/>
        </w:rPr>
        <w:t>Nyní je jasné, proč Oxfordský rukopis brání tomistické synkretistické pojetí</w:t>
      </w:r>
      <w:r w:rsidR="08F76754">
        <w:rPr>
          <w:lang w:eastAsia="en-US"/>
        </w:rPr>
        <w:t>,</w:t>
      </w:r>
      <w:r>
        <w:rPr>
          <w:lang w:eastAsia="en-US"/>
        </w:rPr>
        <w:t xml:space="preserve"> a ne Sigerovu a Baconovu hierarchizaci obou metafyzik.</w:t>
      </w:r>
    </w:p>
    <w:p w:rsidR="08163013" w:rsidRPr="083776C1" w:rsidRDefault="08163013" w:rsidP="08163013">
      <w:pPr>
        <w:rPr>
          <w:lang w:eastAsia="en-US"/>
        </w:rPr>
      </w:pPr>
      <w:r>
        <w:rPr>
          <w:lang w:eastAsia="en-US"/>
        </w:rPr>
        <w:tab/>
        <w:t xml:space="preserve">Status </w:t>
      </w:r>
      <w:r w:rsidRPr="005B1D13">
        <w:rPr>
          <w:i/>
          <w:lang w:eastAsia="en-US"/>
        </w:rPr>
        <w:t>intellectus possibilis</w:t>
      </w:r>
      <w:r>
        <w:rPr>
          <w:lang w:eastAsia="en-US"/>
        </w:rPr>
        <w:t xml:space="preserve"> tvoří první a zcela základní bod výkladu, protože Akvinského specifické pojetí averroistického Averroese určilo následné dějiny filosofie. Objektivní tomistický postoj vedoucí k sofistickému smíření obou metafyzik se nutně musel projevit v klíčové otázce </w:t>
      </w:r>
      <w:r w:rsidRPr="005B1D13">
        <w:rPr>
          <w:i/>
          <w:lang w:eastAsia="en-US"/>
        </w:rPr>
        <w:t>intellectus possibilis</w:t>
      </w:r>
      <w:r>
        <w:rPr>
          <w:lang w:eastAsia="en-US"/>
        </w:rPr>
        <w:t xml:space="preserve">, která oddělila Averroese od všech předešlých komentátorů </w:t>
      </w:r>
      <w:r w:rsidRPr="005B1D13">
        <w:rPr>
          <w:i/>
          <w:lang w:eastAsia="en-US"/>
        </w:rPr>
        <w:t>De anima</w:t>
      </w:r>
      <w:r>
        <w:rPr>
          <w:lang w:eastAsia="en-US"/>
        </w:rPr>
        <w:t xml:space="preserve">. Zástupci Blundovy a Alvernovy školy na Rue du Fouarre uznali jedinečnost Averroesova řešení, protože chápali vztah Avicenny a Averroese v konfliktualistickém paradigmatu. Komentátor odmítl neoplatonský dualismus a jako jediný vykladač </w:t>
      </w:r>
      <w:r w:rsidRPr="00E3068B">
        <w:rPr>
          <w:i/>
          <w:lang w:eastAsia="en-US"/>
        </w:rPr>
        <w:t>De anima</w:t>
      </w:r>
      <w:r>
        <w:rPr>
          <w:lang w:eastAsia="en-US"/>
        </w:rPr>
        <w:t xml:space="preserve"> dospěl k plné jednotě aktu poznání a reálně existující osoby. Tím se nejvznešenější filosof oddělil od jiných </w:t>
      </w:r>
      <w:r w:rsidR="00C47B93">
        <w:rPr>
          <w:lang w:eastAsia="en-US"/>
        </w:rPr>
        <w:t>„</w:t>
      </w:r>
      <w:r w:rsidRPr="00DD2D24">
        <w:rPr>
          <w:i/>
          <w:lang w:eastAsia="en-US"/>
        </w:rPr>
        <w:t>sequaces Aristotelis</w:t>
      </w:r>
      <w:r w:rsidR="00C47B93">
        <w:rPr>
          <w:lang w:eastAsia="en-US"/>
        </w:rPr>
        <w:t>“,</w:t>
      </w:r>
      <w:r>
        <w:rPr>
          <w:lang w:eastAsia="en-US"/>
        </w:rPr>
        <w:t xml:space="preserve"> a dokonce i od Aristotela</w:t>
      </w:r>
      <w:r w:rsidR="00C47B93">
        <w:rPr>
          <w:lang w:eastAsia="en-US"/>
        </w:rPr>
        <w:t xml:space="preserve"> samotného</w:t>
      </w:r>
      <w:r>
        <w:rPr>
          <w:lang w:eastAsia="en-US"/>
        </w:rPr>
        <w:t xml:space="preserve">. Mendikanti četli CMDA podle neoplatonského výkladu Toledské školy v paradigmatu nasvícení </w:t>
      </w:r>
      <w:r w:rsidR="00C47B93">
        <w:rPr>
          <w:lang w:eastAsia="en-US"/>
        </w:rPr>
        <w:t xml:space="preserve">porozumění </w:t>
      </w:r>
      <w:r>
        <w:rPr>
          <w:lang w:eastAsia="en-US"/>
        </w:rPr>
        <w:t>zezadu</w:t>
      </w:r>
      <w:r w:rsidR="00C47B93">
        <w:rPr>
          <w:lang w:eastAsia="en-US"/>
        </w:rPr>
        <w:t>,</w:t>
      </w:r>
      <w:r>
        <w:rPr>
          <w:lang w:eastAsia="en-US"/>
        </w:rPr>
        <w:t xml:space="preserve"> od hypostázovaného intelektu-slunce. Pro toletány platí, že Averroesův </w:t>
      </w:r>
      <w:r w:rsidRPr="00CB30CE">
        <w:rPr>
          <w:i/>
          <w:lang w:eastAsia="en-US"/>
        </w:rPr>
        <w:t>intellectus possib</w:t>
      </w:r>
      <w:r>
        <w:rPr>
          <w:i/>
          <w:lang w:eastAsia="en-US"/>
        </w:rPr>
        <w:t>i</w:t>
      </w:r>
      <w:r w:rsidRPr="00CB30CE">
        <w:rPr>
          <w:i/>
          <w:lang w:eastAsia="en-US"/>
        </w:rPr>
        <w:t>lis</w:t>
      </w:r>
      <w:r>
        <w:rPr>
          <w:lang w:eastAsia="en-US"/>
        </w:rPr>
        <w:t xml:space="preserve"> je oddělená kosmická substance. Proto musí tato nemateriální substance vytvořit nějakou formu </w:t>
      </w:r>
      <w:r>
        <w:rPr>
          <w:i/>
          <w:lang w:eastAsia="en-US"/>
        </w:rPr>
        <w:t>coniunctio</w:t>
      </w:r>
      <w:r>
        <w:rPr>
          <w:lang w:eastAsia="en-US"/>
        </w:rPr>
        <w:t xml:space="preserve"> s lidským intelektem</w:t>
      </w:r>
      <w:r w:rsidRPr="081E5A73">
        <w:rPr>
          <w:lang w:eastAsia="en-US"/>
        </w:rPr>
        <w:t xml:space="preserve"> </w:t>
      </w:r>
      <w:r>
        <w:rPr>
          <w:lang w:eastAsia="en-US"/>
        </w:rPr>
        <w:t xml:space="preserve">v aktu individuálního poznání. </w:t>
      </w:r>
      <w:r w:rsidR="000266A5">
        <w:rPr>
          <w:lang w:eastAsia="en-US"/>
        </w:rPr>
        <w:t xml:space="preserve">Tomáš </w:t>
      </w:r>
      <w:r>
        <w:rPr>
          <w:lang w:eastAsia="en-US"/>
        </w:rPr>
        <w:t xml:space="preserve">objevil v díle </w:t>
      </w:r>
      <w:r w:rsidRPr="00067E97">
        <w:rPr>
          <w:i/>
          <w:lang w:eastAsia="en-US"/>
        </w:rPr>
        <w:t>De ente et essentia</w:t>
      </w:r>
      <w:r>
        <w:rPr>
          <w:lang w:eastAsia="en-US"/>
        </w:rPr>
        <w:t xml:space="preserve"> aristotelského Avicennu a v lini aristot</w:t>
      </w:r>
      <w:r w:rsidR="000266A5">
        <w:rPr>
          <w:lang w:eastAsia="en-US"/>
        </w:rPr>
        <w:t>elského avicennismu interpretoval</w:t>
      </w:r>
      <w:r>
        <w:rPr>
          <w:lang w:eastAsia="en-US"/>
        </w:rPr>
        <w:t xml:space="preserve"> </w:t>
      </w:r>
      <w:r w:rsidR="000266A5">
        <w:rPr>
          <w:lang w:eastAsia="en-US"/>
        </w:rPr>
        <w:t xml:space="preserve">spis </w:t>
      </w:r>
      <w:r>
        <w:rPr>
          <w:lang w:eastAsia="en-US"/>
        </w:rPr>
        <w:t>CMDA</w:t>
      </w:r>
      <w:r w:rsidRPr="08767633">
        <w:rPr>
          <w:lang w:eastAsia="en-US"/>
        </w:rPr>
        <w:t xml:space="preserve"> </w:t>
      </w:r>
      <w:r>
        <w:rPr>
          <w:lang w:eastAsia="en-US"/>
        </w:rPr>
        <w:t xml:space="preserve">pro porretánské a augustiniánské modernisty. Akvinský provedl hypostázování receptivní složky poznání v linii Toledského výkladu CMDA a vytvořil novou verzi averroismu. Z abstraktního pojmu </w:t>
      </w:r>
      <w:r w:rsidRPr="007D71EE">
        <w:rPr>
          <w:i/>
          <w:lang w:eastAsia="en-US"/>
        </w:rPr>
        <w:t>intellectus possibilis</w:t>
      </w:r>
      <w:r>
        <w:rPr>
          <w:lang w:eastAsia="en-US"/>
        </w:rPr>
        <w:t xml:space="preserve"> v modu </w:t>
      </w:r>
      <w:r w:rsidRPr="08AD3645">
        <w:rPr>
          <w:i/>
          <w:lang w:eastAsia="en-US"/>
        </w:rPr>
        <w:t xml:space="preserve">quartum </w:t>
      </w:r>
      <w:r w:rsidR="00962190">
        <w:rPr>
          <w:i/>
          <w:lang w:eastAsia="en-US"/>
        </w:rPr>
        <w:t>genus</w:t>
      </w:r>
      <w:r>
        <w:rPr>
          <w:lang w:eastAsia="en-US"/>
        </w:rPr>
        <w:t xml:space="preserve"> v CMDA vznikla substance třetího druhu na způsob Alexandrova odděleného </w:t>
      </w:r>
      <w:r w:rsidRPr="080272A5">
        <w:rPr>
          <w:i/>
          <w:lang w:eastAsia="en-US"/>
        </w:rPr>
        <w:t>intellectus possibilis</w:t>
      </w:r>
      <w:r>
        <w:rPr>
          <w:lang w:eastAsia="en-US"/>
        </w:rPr>
        <w:t>. Nová forma averroistického Averroese vzn</w:t>
      </w:r>
      <w:r w:rsidR="00680B98">
        <w:rPr>
          <w:lang w:eastAsia="en-US"/>
        </w:rPr>
        <w:t>ikla tím, že CMDA se interpretovalo</w:t>
      </w:r>
      <w:r>
        <w:rPr>
          <w:lang w:eastAsia="en-US"/>
        </w:rPr>
        <w:t xml:space="preserve"> skrze Avicennův výklad </w:t>
      </w:r>
      <w:r w:rsidRPr="08AD3645">
        <w:rPr>
          <w:i/>
          <w:lang w:eastAsia="en-US"/>
        </w:rPr>
        <w:t>De anima</w:t>
      </w:r>
      <w:r>
        <w:rPr>
          <w:lang w:eastAsia="en-US"/>
        </w:rPr>
        <w:t xml:space="preserve">. Definice averroistického receptivního intelektu je odvozena z faktu, že kosmické inteligence jako stvořená jsoucna obsahují potenci, i když nikoliv ve formě materie. Tomistický výklad Averroese je daný od kosmické formy možného intelektu, který je koncipovaný jako substance. Z možného intelektu daného u Averroese pouze jako abstrahované </w:t>
      </w:r>
      <w:r w:rsidR="00962190" w:rsidRPr="004D29C7">
        <w:rPr>
          <w:lang w:eastAsia="en-US"/>
        </w:rPr>
        <w:t>species</w:t>
      </w:r>
      <w:r>
        <w:rPr>
          <w:lang w:eastAsia="en-US"/>
        </w:rPr>
        <w:t xml:space="preserve"> v modu </w:t>
      </w:r>
      <w:r w:rsidRPr="0012341E">
        <w:rPr>
          <w:i/>
          <w:lang w:eastAsia="en-US"/>
        </w:rPr>
        <w:t xml:space="preserve">quartum </w:t>
      </w:r>
      <w:r w:rsidR="00962190">
        <w:rPr>
          <w:i/>
          <w:lang w:eastAsia="en-US"/>
        </w:rPr>
        <w:t>genus</w:t>
      </w:r>
      <w:r>
        <w:rPr>
          <w:lang w:eastAsia="en-US"/>
        </w:rPr>
        <w:t xml:space="preserve"> vznikla nová substance třetího druhu. Akvinský volně cituje pasáž CMDA </w:t>
      </w:r>
      <w:proofErr w:type="gramStart"/>
      <w:r>
        <w:rPr>
          <w:lang w:eastAsia="en-US"/>
        </w:rPr>
        <w:t>III.5, která</w:t>
      </w:r>
      <w:proofErr w:type="gramEnd"/>
      <w:r>
        <w:rPr>
          <w:lang w:eastAsia="en-US"/>
        </w:rPr>
        <w:t xml:space="preserve"> výslovně mluví o intelektu v podobě </w:t>
      </w:r>
      <w:r w:rsidRPr="00DC5AD5">
        <w:rPr>
          <w:i/>
          <w:lang w:eastAsia="en-US"/>
        </w:rPr>
        <w:t xml:space="preserve">quartum </w:t>
      </w:r>
      <w:r w:rsidR="00962190">
        <w:rPr>
          <w:i/>
          <w:lang w:eastAsia="en-US"/>
        </w:rPr>
        <w:t>genus</w:t>
      </w:r>
      <w:r>
        <w:rPr>
          <w:lang w:eastAsia="en-US"/>
        </w:rPr>
        <w:t xml:space="preserve"> (</w:t>
      </w:r>
      <w:r w:rsidRPr="00DC5AD5">
        <w:rPr>
          <w:i/>
          <w:lang w:eastAsia="en-US"/>
        </w:rPr>
        <w:t xml:space="preserve">iste est quartum </w:t>
      </w:r>
      <w:r w:rsidR="00962190">
        <w:rPr>
          <w:i/>
          <w:lang w:eastAsia="en-US"/>
        </w:rPr>
        <w:t>genus</w:t>
      </w:r>
      <w:r w:rsidRPr="00DC5AD5">
        <w:rPr>
          <w:i/>
          <w:lang w:eastAsia="en-US"/>
        </w:rPr>
        <w:t xml:space="preserve"> esse</w:t>
      </w:r>
      <w:r>
        <w:rPr>
          <w:lang w:eastAsia="en-US"/>
        </w:rPr>
        <w:t>, CMDA 409.657). Averroes tvrdí, že v</w:t>
      </w:r>
      <w:r w:rsidR="00EC6020">
        <w:rPr>
          <w:lang w:eastAsia="en-US"/>
        </w:rPr>
        <w:t>ýsledná</w:t>
      </w:r>
      <w:r>
        <w:rPr>
          <w:lang w:eastAsia="en-US"/>
        </w:rPr>
        <w:t xml:space="preserve"> podob</w:t>
      </w:r>
      <w:r w:rsidR="00EC6020">
        <w:rPr>
          <w:lang w:eastAsia="en-US"/>
        </w:rPr>
        <w:t>a</w:t>
      </w:r>
      <w:r>
        <w:rPr>
          <w:lang w:eastAsia="en-US"/>
        </w:rPr>
        <w:t xml:space="preserve"> </w:t>
      </w:r>
      <w:r w:rsidRPr="00A5278E">
        <w:rPr>
          <w:i/>
          <w:lang w:eastAsia="en-US"/>
        </w:rPr>
        <w:t>intellectus possibilis</w:t>
      </w:r>
      <w:r>
        <w:rPr>
          <w:lang w:eastAsia="en-US"/>
        </w:rPr>
        <w:t xml:space="preserve"> </w:t>
      </w:r>
      <w:r w:rsidR="00EC6020">
        <w:rPr>
          <w:lang w:eastAsia="en-US"/>
        </w:rPr>
        <w:t>je daná</w:t>
      </w:r>
      <w:r w:rsidR="000A7136">
        <w:rPr>
          <w:lang w:eastAsia="en-US"/>
        </w:rPr>
        <w:t xml:space="preserve"> </w:t>
      </w:r>
      <w:r>
        <w:rPr>
          <w:lang w:eastAsia="en-US"/>
        </w:rPr>
        <w:t xml:space="preserve">jako trvalé </w:t>
      </w:r>
      <w:r w:rsidR="00962190" w:rsidRPr="000A7136">
        <w:rPr>
          <w:lang w:eastAsia="en-US"/>
        </w:rPr>
        <w:t>species</w:t>
      </w:r>
      <w:r>
        <w:rPr>
          <w:lang w:eastAsia="en-US"/>
        </w:rPr>
        <w:t xml:space="preserve">. </w:t>
      </w:r>
      <w:r w:rsidRPr="00273106">
        <w:t xml:space="preserve">Kontinuální existence filosofie dokládá, že vždy existuje alespoň jeden reálně existující </w:t>
      </w:r>
      <w:r w:rsidRPr="00273106">
        <w:lastRenderedPageBreak/>
        <w:t>člověk, který je schopen aktua</w:t>
      </w:r>
      <w:r>
        <w:t xml:space="preserve">lizace spekulativního intelektu </w:t>
      </w:r>
      <w:r>
        <w:rPr>
          <w:lang w:eastAsia="en-US"/>
        </w:rPr>
        <w:t>(</w:t>
      </w:r>
      <w:r w:rsidR="080875E9">
        <w:rPr>
          <w:lang w:eastAsia="en-US"/>
        </w:rPr>
        <w:t xml:space="preserve">OBJ I, </w:t>
      </w:r>
      <w:r>
        <w:rPr>
          <w:lang w:eastAsia="en-US"/>
        </w:rPr>
        <w:t xml:space="preserve">kap. 2.4.3). Stejným způsobem, tedy díky abstrahované podobě </w:t>
      </w:r>
      <w:r w:rsidRPr="00A5278E">
        <w:rPr>
          <w:i/>
          <w:lang w:eastAsia="en-US"/>
        </w:rPr>
        <w:t>intellectus possibilis</w:t>
      </w:r>
      <w:r>
        <w:rPr>
          <w:i/>
          <w:lang w:eastAsia="en-US"/>
        </w:rPr>
        <w:t xml:space="preserve"> </w:t>
      </w:r>
      <w:r w:rsidRPr="08016B79">
        <w:rPr>
          <w:lang w:eastAsia="en-US"/>
        </w:rPr>
        <w:t xml:space="preserve">jako univerzálního konceptu v duši, </w:t>
      </w:r>
      <w:r>
        <w:rPr>
          <w:lang w:eastAsia="en-US"/>
        </w:rPr>
        <w:t>jsme schopni vnímat svět kosmických inteligencí.</w:t>
      </w:r>
      <w:r>
        <w:rPr>
          <w:rStyle w:val="Znakapoznpodarou"/>
          <w:lang w:eastAsia="en-US"/>
        </w:rPr>
        <w:footnoteReference w:id="285"/>
      </w:r>
      <w:r>
        <w:rPr>
          <w:lang w:eastAsia="en-US"/>
        </w:rPr>
        <w:t xml:space="preserve"> </w:t>
      </w:r>
      <w:r w:rsidR="0891489D" w:rsidRPr="081942A4">
        <w:rPr>
          <w:szCs w:val="24"/>
        </w:rPr>
        <w:t xml:space="preserve">Averroes </w:t>
      </w:r>
      <w:r>
        <w:rPr>
          <w:lang w:eastAsia="en-US"/>
        </w:rPr>
        <w:t>dokazuje schopnost intelektu poznávat vše, ale pochopitelně podle specifického způsobu poznání daného tělesně a duševně (</w:t>
      </w:r>
      <w:r w:rsidRPr="084724FF">
        <w:rPr>
          <w:i/>
          <w:lang w:eastAsia="en-US"/>
        </w:rPr>
        <w:t xml:space="preserve">tertium </w:t>
      </w:r>
      <w:r w:rsidR="00962190">
        <w:rPr>
          <w:i/>
          <w:lang w:eastAsia="en-US"/>
        </w:rPr>
        <w:t>genus</w:t>
      </w:r>
      <w:r>
        <w:rPr>
          <w:lang w:eastAsia="en-US"/>
        </w:rPr>
        <w:t xml:space="preserve">). Specifický charakter receptivního intelektu je podaný v logice </w:t>
      </w:r>
      <w:r w:rsidRPr="08BD7B85">
        <w:rPr>
          <w:i/>
          <w:lang w:eastAsia="en-US"/>
        </w:rPr>
        <w:t>modus tollens</w:t>
      </w:r>
      <w:r>
        <w:rPr>
          <w:i/>
        </w:rPr>
        <w:fldChar w:fldCharType="begin"/>
      </w:r>
      <w:r>
        <w:instrText xml:space="preserve"> XE "</w:instrText>
      </w:r>
      <w:r w:rsidRPr="08643422">
        <w:rPr>
          <w:i/>
        </w:rPr>
        <w:instrText>modus tollens</w:instrText>
      </w:r>
      <w:r>
        <w:instrText xml:space="preserve">" </w:instrText>
      </w:r>
      <w:r>
        <w:rPr>
          <w:i/>
        </w:rPr>
        <w:fldChar w:fldCharType="end"/>
      </w:r>
      <w:r>
        <w:rPr>
          <w:lang w:eastAsia="en-US"/>
        </w:rPr>
        <w:t xml:space="preserve"> a kategoriálního </w:t>
      </w:r>
      <w:r w:rsidRPr="08BD7B85">
        <w:rPr>
          <w:i/>
          <w:lang w:eastAsia="en-US"/>
        </w:rPr>
        <w:t>destructio primis</w:t>
      </w:r>
      <w:r>
        <w:rPr>
          <w:i/>
          <w:lang w:eastAsia="en-US"/>
        </w:rPr>
        <w:fldChar w:fldCharType="begin"/>
      </w:r>
      <w:r>
        <w:instrText xml:space="preserve"> XE "</w:instrText>
      </w:r>
      <w:r w:rsidRPr="08B54A1F">
        <w:rPr>
          <w:i/>
          <w:lang w:eastAsia="en-US"/>
        </w:rPr>
        <w:instrText>destructio primis</w:instrText>
      </w:r>
      <w:r>
        <w:instrText xml:space="preserve">" </w:instrText>
      </w:r>
      <w:r>
        <w:rPr>
          <w:i/>
          <w:lang w:eastAsia="en-US"/>
        </w:rPr>
        <w:fldChar w:fldCharType="end"/>
      </w:r>
      <w:r>
        <w:rPr>
          <w:lang w:eastAsia="en-US"/>
        </w:rPr>
        <w:t xml:space="preserve"> (</w:t>
      </w:r>
      <w:r w:rsidR="08094A8F">
        <w:rPr>
          <w:lang w:eastAsia="en-US"/>
        </w:rPr>
        <w:t xml:space="preserve">OBJ I, </w:t>
      </w:r>
      <w:r>
        <w:rPr>
          <w:lang w:eastAsia="en-US"/>
        </w:rPr>
        <w:t xml:space="preserve">kap. 1.3), tedy skrze trvalou existenci filosofie danou ve výkonu existujících myslitelů. Toletán Akvinský </w:t>
      </w:r>
      <w:r w:rsidR="00667CCE">
        <w:rPr>
          <w:lang w:eastAsia="en-US"/>
        </w:rPr>
        <w:t xml:space="preserve">vyložil </w:t>
      </w:r>
      <w:r>
        <w:rPr>
          <w:lang w:eastAsia="en-US"/>
        </w:rPr>
        <w:t>citovanou pasáž CMDA Avicenny. Akvinský udělal z Averroesovy receptivní schopnosti reálné osoby schopné nemateriálního poznání kosmick</w:t>
      </w:r>
      <w:r w:rsidR="00301677">
        <w:rPr>
          <w:lang w:eastAsia="en-US"/>
        </w:rPr>
        <w:t>ých inteligencí novou substanci</w:t>
      </w:r>
      <w:r>
        <w:rPr>
          <w:lang w:eastAsia="en-US"/>
        </w:rPr>
        <w:t xml:space="preserve">. </w:t>
      </w:r>
      <w:r w:rsidR="00301677">
        <w:rPr>
          <w:lang w:eastAsia="en-US"/>
        </w:rPr>
        <w:t>P</w:t>
      </w:r>
      <w:r>
        <w:rPr>
          <w:lang w:eastAsia="en-US"/>
        </w:rPr>
        <w:t>oznání ko</w:t>
      </w:r>
      <w:r w:rsidR="08F821A8">
        <w:rPr>
          <w:lang w:eastAsia="en-US"/>
        </w:rPr>
        <w:t>s</w:t>
      </w:r>
      <w:r w:rsidR="00301677">
        <w:rPr>
          <w:lang w:eastAsia="en-US"/>
        </w:rPr>
        <w:t>mických inteligencí dané skrze smysly jako esence</w:t>
      </w:r>
      <w:r>
        <w:rPr>
          <w:lang w:eastAsia="en-US"/>
        </w:rPr>
        <w:t xml:space="preserve"> </w:t>
      </w:r>
      <w:r w:rsidR="00301677">
        <w:rPr>
          <w:lang w:eastAsia="en-US"/>
        </w:rPr>
        <w:t>(</w:t>
      </w:r>
      <w:r w:rsidRPr="08455DAE">
        <w:rPr>
          <w:i/>
          <w:lang w:eastAsia="en-US"/>
        </w:rPr>
        <w:t xml:space="preserve">quartum </w:t>
      </w:r>
      <w:r w:rsidR="00962190">
        <w:rPr>
          <w:i/>
          <w:lang w:eastAsia="en-US"/>
        </w:rPr>
        <w:t>genus</w:t>
      </w:r>
      <w:r w:rsidR="00301677">
        <w:rPr>
          <w:lang w:eastAsia="en-US"/>
        </w:rPr>
        <w:t xml:space="preserve">) se stalo novým druhem intelektu v modu </w:t>
      </w:r>
      <w:r w:rsidR="00301677" w:rsidRPr="00301677">
        <w:rPr>
          <w:i/>
          <w:lang w:eastAsia="en-US"/>
        </w:rPr>
        <w:t>tertium ens</w:t>
      </w:r>
      <w:r w:rsidR="00301677">
        <w:rPr>
          <w:lang w:eastAsia="en-US"/>
        </w:rPr>
        <w:t>.</w:t>
      </w:r>
      <w:r>
        <w:rPr>
          <w:lang w:eastAsia="en-US"/>
        </w:rPr>
        <w:t xml:space="preserve"> Tyto aktuální nemateriální formy jsme schopni poznávat podle CMDA, ale pouze v abstrakci na náš smyslový způsob, což dobře věděla Sigerova škola. Akvinský </w:t>
      </w:r>
      <w:r w:rsidR="00740ABC">
        <w:rPr>
          <w:lang w:eastAsia="en-US"/>
        </w:rPr>
        <w:t xml:space="preserve">jako aristotelik </w:t>
      </w:r>
      <w:r>
        <w:rPr>
          <w:lang w:eastAsia="en-US"/>
        </w:rPr>
        <w:t>zrušil model avicennovské komitace a zavedl do neoplatonské nebeské hierarchie princip potence a aktuality</w:t>
      </w:r>
      <w:r w:rsidR="08587819">
        <w:rPr>
          <w:lang w:eastAsia="en-US"/>
        </w:rPr>
        <w:t xml:space="preserve"> a tím dostal hierachii substancí podle míry nemateriality a </w:t>
      </w:r>
      <w:r w:rsidR="00B65437">
        <w:rPr>
          <w:lang w:eastAsia="en-US"/>
        </w:rPr>
        <w:t>stupně trvale dané aktualizace</w:t>
      </w:r>
      <w:r w:rsidR="08587819">
        <w:rPr>
          <w:lang w:eastAsia="en-US"/>
        </w:rPr>
        <w:t xml:space="preserve">. Poznání nebeské hierachie pak vyložil </w:t>
      </w:r>
      <w:r>
        <w:rPr>
          <w:lang w:eastAsia="en-US"/>
        </w:rPr>
        <w:t xml:space="preserve">skrze kategoriální predikaci Aristotelovy </w:t>
      </w:r>
      <w:r w:rsidRPr="08BA4281">
        <w:rPr>
          <w:i/>
          <w:lang w:eastAsia="en-US"/>
        </w:rPr>
        <w:t>Fyziky</w:t>
      </w:r>
      <w:r w:rsidR="08587819">
        <w:rPr>
          <w:lang w:eastAsia="en-US"/>
        </w:rPr>
        <w:t xml:space="preserve">. Tímto způsobem vznikla nová figura </w:t>
      </w:r>
      <w:r w:rsidR="08587819" w:rsidRPr="081942A4">
        <w:rPr>
          <w:i/>
          <w:szCs w:val="24"/>
        </w:rPr>
        <w:t xml:space="preserve">intellectus possibilis </w:t>
      </w:r>
      <w:r>
        <w:rPr>
          <w:lang w:eastAsia="en-US"/>
        </w:rPr>
        <w:t>vykládané</w:t>
      </w:r>
      <w:r w:rsidR="08587819">
        <w:rPr>
          <w:lang w:eastAsia="en-US"/>
        </w:rPr>
        <w:t>ho</w:t>
      </w:r>
      <w:r>
        <w:rPr>
          <w:lang w:eastAsia="en-US"/>
        </w:rPr>
        <w:t xml:space="preserve"> </w:t>
      </w:r>
      <w:r w:rsidR="00460BDA">
        <w:rPr>
          <w:lang w:eastAsia="en-US"/>
        </w:rPr>
        <w:t>„</w:t>
      </w:r>
      <w:r w:rsidRPr="08BA4281">
        <w:rPr>
          <w:i/>
          <w:lang w:eastAsia="en-US"/>
        </w:rPr>
        <w:t>ad mentem Averrois</w:t>
      </w:r>
      <w:r w:rsidR="00460BDA">
        <w:rPr>
          <w:lang w:eastAsia="en-US"/>
        </w:rPr>
        <w:t>“</w:t>
      </w:r>
      <w:r>
        <w:rPr>
          <w:lang w:eastAsia="en-US"/>
        </w:rPr>
        <w:t xml:space="preserve"> podle Toledské školy</w:t>
      </w:r>
      <w:r>
        <w:rPr>
          <w:lang w:eastAsia="en-US"/>
        </w:rPr>
        <w:fldChar w:fldCharType="begin"/>
      </w:r>
      <w:r>
        <w:instrText xml:space="preserve"> XE "</w:instrText>
      </w:r>
      <w:r w:rsidRPr="089C3E4C">
        <w:rPr>
          <w:lang w:eastAsia="en-US"/>
        </w:rPr>
        <w:instrText>Toledská škola</w:instrText>
      </w:r>
      <w:r>
        <w:instrText xml:space="preserve">" </w:instrText>
      </w:r>
      <w:r>
        <w:rPr>
          <w:lang w:eastAsia="en-US"/>
        </w:rPr>
        <w:fldChar w:fldCharType="end"/>
      </w:r>
      <w:r>
        <w:rPr>
          <w:lang w:eastAsia="en-US"/>
        </w:rPr>
        <w:t xml:space="preserve">. V novém modelu kosmických forem je směrem dolů dáno maximální a neomezené působení kosmické inteligence. Naopak umenšená aktuální forma kosmického </w:t>
      </w:r>
      <w:r w:rsidRPr="08A223E9">
        <w:rPr>
          <w:i/>
          <w:lang w:eastAsia="en-US"/>
        </w:rPr>
        <w:t>intellectus agens</w:t>
      </w:r>
      <w:r>
        <w:rPr>
          <w:lang w:eastAsia="en-US"/>
        </w:rPr>
        <w:t xml:space="preserve"> představuje na dané nižší sféře receptivní možnost poznání vyššího patra inteligencí. </w:t>
      </w:r>
      <w:r w:rsidR="08071F3C">
        <w:rPr>
          <w:lang w:eastAsia="en-US"/>
        </w:rPr>
        <w:t xml:space="preserve">Toto řešení připomíná Bovanenturův </w:t>
      </w:r>
      <w:r w:rsidR="08071F3C" w:rsidRPr="081942A4">
        <w:rPr>
          <w:szCs w:val="24"/>
        </w:rPr>
        <w:t>substanční</w:t>
      </w:r>
      <w:r w:rsidR="08071F3C" w:rsidRPr="081942A4">
        <w:rPr>
          <w:i/>
          <w:szCs w:val="24"/>
        </w:rPr>
        <w:t xml:space="preserve"> intellectus possibilis </w:t>
      </w:r>
      <w:r w:rsidR="08071F3C" w:rsidRPr="081942A4">
        <w:rPr>
          <w:szCs w:val="24"/>
        </w:rPr>
        <w:t>jako mytopoetický mix potence a aktuality</w:t>
      </w:r>
      <w:r w:rsidR="00CE6E1A">
        <w:rPr>
          <w:szCs w:val="24"/>
        </w:rPr>
        <w:t xml:space="preserve"> </w:t>
      </w:r>
      <w:r w:rsidR="00CE6E1A" w:rsidRPr="081942A4">
        <w:rPr>
          <w:szCs w:val="24"/>
        </w:rPr>
        <w:t>(kap. 4.1.2)</w:t>
      </w:r>
      <w:r w:rsidR="08071F3C" w:rsidRPr="081942A4">
        <w:rPr>
          <w:szCs w:val="24"/>
        </w:rPr>
        <w:t xml:space="preserve">, ale Akvinský jej vytvořil bez </w:t>
      </w:r>
      <w:r w:rsidR="08071F3C" w:rsidRPr="081942A4">
        <w:rPr>
          <w:i/>
          <w:szCs w:val="24"/>
        </w:rPr>
        <w:t>materia spiritualis</w:t>
      </w:r>
      <w:r w:rsidR="08071F3C" w:rsidRPr="081942A4">
        <w:rPr>
          <w:szCs w:val="24"/>
        </w:rPr>
        <w:t xml:space="preserve">. </w:t>
      </w:r>
      <w:r>
        <w:rPr>
          <w:lang w:eastAsia="en-US"/>
        </w:rPr>
        <w:t xml:space="preserve">Akvinský implantoval do Averroeovy kosmologie </w:t>
      </w:r>
      <w:r>
        <w:t xml:space="preserve">pasáž o dvou složkách lidského intelektu </w:t>
      </w:r>
      <w:r w:rsidRPr="086E1483">
        <w:t xml:space="preserve">(νοῦς τῷ πάντα γίνεσθαι, ὁ δὲ τῷ πάντα ποιεῖν, </w:t>
      </w:r>
      <w:r w:rsidRPr="086E1483">
        <w:rPr>
          <w:i/>
        </w:rPr>
        <w:t>De anima</w:t>
      </w:r>
      <w:r w:rsidRPr="086E1483">
        <w:t xml:space="preserve"> 430a14‒15</w:t>
      </w:r>
      <w:r>
        <w:fldChar w:fldCharType="begin"/>
      </w:r>
      <w:r>
        <w:instrText xml:space="preserve"> XE "Aristoteles:</w:instrText>
      </w:r>
      <w:r w:rsidRPr="081E4C56">
        <w:rPr>
          <w:i/>
        </w:rPr>
        <w:instrText>De anima</w:instrText>
      </w:r>
      <w:r w:rsidRPr="081E4C56">
        <w:instrText xml:space="preserve"> 430a14‒15</w:instrText>
      </w:r>
      <w:r>
        <w:instrText xml:space="preserve">" </w:instrText>
      </w:r>
      <w:r>
        <w:fldChar w:fldCharType="end"/>
      </w:r>
      <w:r w:rsidRPr="086E1483">
        <w:t>)</w:t>
      </w:r>
      <w:r>
        <w:t xml:space="preserve">. </w:t>
      </w:r>
      <w:r w:rsidR="00BE70D0" w:rsidRPr="00BE70D0">
        <w:t xml:space="preserve">Proto sestavil schéma nebeské hierarchie </w:t>
      </w:r>
      <w:r w:rsidR="000273CA">
        <w:t xml:space="preserve">v duchu Toledské školy, </w:t>
      </w:r>
      <w:r w:rsidR="00BE70D0" w:rsidRPr="00BE70D0">
        <w:t xml:space="preserve">podle </w:t>
      </w:r>
      <w:r w:rsidR="00BE70D0">
        <w:rPr>
          <w:lang w:eastAsia="en-US"/>
        </w:rPr>
        <w:t xml:space="preserve">podle Komentátorova výkladu </w:t>
      </w:r>
      <w:r w:rsidR="00BE70D0" w:rsidRPr="088A150D">
        <w:rPr>
          <w:i/>
          <w:lang w:eastAsia="en-US"/>
        </w:rPr>
        <w:t>Fyziky</w:t>
      </w:r>
      <w:r w:rsidR="00BE70D0" w:rsidRPr="00BE70D0">
        <w:t xml:space="preserve">. K tomu potřeboval kosmický </w:t>
      </w:r>
      <w:r w:rsidR="00BE70D0" w:rsidRPr="00BE70D0">
        <w:rPr>
          <w:i/>
        </w:rPr>
        <w:t>intellectus possibilis</w:t>
      </w:r>
      <w:r w:rsidR="00BE70D0" w:rsidRPr="00BE70D0">
        <w:t xml:space="preserve"> Davida Dinanta.</w:t>
      </w:r>
      <w:r w:rsidR="00BE70D0">
        <w:t xml:space="preserve"> </w:t>
      </w:r>
      <w:r w:rsidR="08A760D5">
        <w:rPr>
          <w:lang w:eastAsia="en-US"/>
        </w:rPr>
        <w:t xml:space="preserve">Nižší hierachie </w:t>
      </w:r>
      <w:r w:rsidR="0826339E">
        <w:rPr>
          <w:lang w:eastAsia="en-US"/>
        </w:rPr>
        <w:t xml:space="preserve">nemateriálních </w:t>
      </w:r>
      <w:r w:rsidR="08A760D5">
        <w:rPr>
          <w:lang w:eastAsia="en-US"/>
        </w:rPr>
        <w:t>nebeských intel</w:t>
      </w:r>
      <w:r w:rsidR="085B08BA">
        <w:rPr>
          <w:lang w:eastAsia="en-US"/>
        </w:rPr>
        <w:t>ligencí má rostoucí míru potence</w:t>
      </w:r>
      <w:r w:rsidR="08A760D5">
        <w:rPr>
          <w:lang w:eastAsia="en-US"/>
        </w:rPr>
        <w:t xml:space="preserve">. </w:t>
      </w:r>
      <w:r w:rsidR="00922AA6">
        <w:rPr>
          <w:lang w:eastAsia="en-US"/>
        </w:rPr>
        <w:t>Mytologická</w:t>
      </w:r>
      <w:r>
        <w:rPr>
          <w:lang w:eastAsia="en-US"/>
        </w:rPr>
        <w:t xml:space="preserve"> projekce lidského intelektu do nebeských sfér je daná skrze kosmickou formu materie jako čisté potence. Tato forma </w:t>
      </w:r>
      <w:r>
        <w:rPr>
          <w:lang w:eastAsia="en-US"/>
        </w:rPr>
        <w:lastRenderedPageBreak/>
        <w:t xml:space="preserve">omezenosti a konečnosti daná receptivitou představuje kosmickou verzi </w:t>
      </w:r>
      <w:r w:rsidRPr="081D456A">
        <w:rPr>
          <w:i/>
          <w:lang w:eastAsia="en-US"/>
        </w:rPr>
        <w:t>intellectus possibilis</w:t>
      </w:r>
      <w:r>
        <w:rPr>
          <w:lang w:eastAsia="en-US"/>
        </w:rPr>
        <w:t xml:space="preserve">. </w:t>
      </w:r>
      <w:r w:rsidR="0016218C">
        <w:rPr>
          <w:lang w:eastAsia="en-US"/>
        </w:rPr>
        <w:t>Tím vznikla inovace a</w:t>
      </w:r>
      <w:r w:rsidR="0016218C" w:rsidRPr="00922AA6">
        <w:rPr>
          <w:lang w:eastAsia="en-US"/>
        </w:rPr>
        <w:t xml:space="preserve">ristotelika </w:t>
      </w:r>
      <w:r w:rsidR="0016218C">
        <w:rPr>
          <w:lang w:eastAsia="en-US"/>
        </w:rPr>
        <w:t>Tomáš</w:t>
      </w:r>
      <w:r w:rsidR="0016218C" w:rsidRPr="00922AA6">
        <w:rPr>
          <w:lang w:eastAsia="en-US"/>
        </w:rPr>
        <w:t xml:space="preserve">e, která nahradila </w:t>
      </w:r>
      <w:r w:rsidR="0016218C">
        <w:rPr>
          <w:lang w:eastAsia="en-US"/>
        </w:rPr>
        <w:t>Bonaventurovu zastaralou n</w:t>
      </w:r>
      <w:r w:rsidR="0016218C" w:rsidRPr="00922AA6">
        <w:rPr>
          <w:lang w:eastAsia="en-US"/>
        </w:rPr>
        <w:t>eoplaton</w:t>
      </w:r>
      <w:r w:rsidR="0016218C">
        <w:rPr>
          <w:lang w:eastAsia="en-US"/>
        </w:rPr>
        <w:t>s</w:t>
      </w:r>
      <w:r w:rsidR="0016218C" w:rsidRPr="00922AA6">
        <w:rPr>
          <w:lang w:eastAsia="en-US"/>
        </w:rPr>
        <w:t>kou kosmologii.</w:t>
      </w:r>
      <w:r w:rsidR="0016218C">
        <w:rPr>
          <w:lang w:eastAsia="en-US"/>
        </w:rPr>
        <w:t xml:space="preserve"> </w:t>
      </w:r>
      <w:r>
        <w:rPr>
          <w:lang w:eastAsia="en-US"/>
        </w:rPr>
        <w:t xml:space="preserve">Kosmické inteligence mají specificky omezenou a konečnou formu </w:t>
      </w:r>
      <w:r w:rsidRPr="08BB72B6">
        <w:rPr>
          <w:i/>
          <w:lang w:eastAsia="en-US"/>
        </w:rPr>
        <w:t>intellectus agens</w:t>
      </w:r>
      <w:r>
        <w:rPr>
          <w:lang w:eastAsia="en-US"/>
        </w:rPr>
        <w:t>, která jim umožňuje pouze omezené poznání vyšších sfér (</w:t>
      </w:r>
      <w:r w:rsidRPr="08475F62">
        <w:rPr>
          <w:i/>
        </w:rPr>
        <w:t>limitatum et finitum ad capacitatem naturae recipientis</w:t>
      </w:r>
      <w:r>
        <w:rPr>
          <w:lang w:eastAsia="en-US"/>
        </w:rPr>
        <w:t>).</w:t>
      </w:r>
      <w:r>
        <w:rPr>
          <w:rStyle w:val="Znakapoznpodarou"/>
          <w:lang w:eastAsia="en-US"/>
        </w:rPr>
        <w:footnoteReference w:id="286"/>
      </w:r>
      <w:r>
        <w:rPr>
          <w:lang w:eastAsia="en-US"/>
        </w:rPr>
        <w:t xml:space="preserve"> Kosmické inteligence jsou stvořená jsoucna</w:t>
      </w:r>
      <w:r w:rsidR="005A4234">
        <w:rPr>
          <w:lang w:eastAsia="en-US"/>
        </w:rPr>
        <w:t>,</w:t>
      </w:r>
      <w:r>
        <w:rPr>
          <w:lang w:eastAsia="en-US"/>
        </w:rPr>
        <w:t xml:space="preserve"> proto mají potenci jako specifickou formu konečnosti (</w:t>
      </w:r>
      <w:r w:rsidRPr="08D6533E">
        <w:rPr>
          <w:i/>
        </w:rPr>
        <w:t>finitae quantum ad esse s</w:t>
      </w:r>
      <w:r>
        <w:rPr>
          <w:i/>
        </w:rPr>
        <w:t>uum</w:t>
      </w:r>
      <w:r>
        <w:rPr>
          <w:lang w:eastAsia="en-US"/>
        </w:rPr>
        <w:t>). Tato potence musí nutně tvořit i součást jejich aktu poznání</w:t>
      </w:r>
      <w:r w:rsidR="005A4234">
        <w:rPr>
          <w:lang w:eastAsia="en-US"/>
        </w:rPr>
        <w:t>. Tato potence je aktualizována v </w:t>
      </w:r>
      <w:r>
        <w:rPr>
          <w:lang w:eastAsia="en-US"/>
        </w:rPr>
        <w:t>reálné</w:t>
      </w:r>
      <w:r w:rsidR="005A4234">
        <w:rPr>
          <w:lang w:eastAsia="en-US"/>
        </w:rPr>
        <w:t xml:space="preserve">m </w:t>
      </w:r>
      <w:r>
        <w:rPr>
          <w:lang w:eastAsia="en-US"/>
        </w:rPr>
        <w:t xml:space="preserve">výkonu </w:t>
      </w:r>
      <w:r w:rsidR="005A4234">
        <w:rPr>
          <w:lang w:eastAsia="en-US"/>
        </w:rPr>
        <w:t xml:space="preserve">poznání, kdy roli </w:t>
      </w:r>
      <w:r>
        <w:rPr>
          <w:lang w:eastAsia="en-US"/>
        </w:rPr>
        <w:t>kosmické kauzality vykonáv</w:t>
      </w:r>
      <w:r w:rsidR="005A4234">
        <w:rPr>
          <w:lang w:eastAsia="en-US"/>
        </w:rPr>
        <w:t xml:space="preserve">á hierarchicky výše postavený </w:t>
      </w:r>
      <w:r w:rsidRPr="08512269">
        <w:rPr>
          <w:i/>
          <w:lang w:eastAsia="en-US"/>
        </w:rPr>
        <w:t>intellectus agens</w:t>
      </w:r>
      <w:r>
        <w:rPr>
          <w:lang w:eastAsia="en-US"/>
        </w:rPr>
        <w:t xml:space="preserve"> (</w:t>
      </w:r>
      <w:r>
        <w:rPr>
          <w:i/>
        </w:rPr>
        <w:t>quod a superiori recipiunt</w:t>
      </w:r>
      <w:r>
        <w:rPr>
          <w:lang w:eastAsia="en-US"/>
        </w:rPr>
        <w:t>). Naopak směrem do nižší sféry jsou kosmické formy neomezeně aktivní (</w:t>
      </w:r>
      <w:r w:rsidRPr="08D6533E">
        <w:rPr>
          <w:i/>
        </w:rPr>
        <w:t>non tamen finiuntur inferius</w:t>
      </w:r>
      <w:r>
        <w:rPr>
          <w:lang w:eastAsia="en-US"/>
        </w:rPr>
        <w:t xml:space="preserve">). Tento typ kosmické poznávací potence dané pasivně vzhledem k nadřazeným kosmickým inteligencím prý hypostázoval Averroes v modu </w:t>
      </w:r>
      <w:r w:rsidRPr="081D456A">
        <w:rPr>
          <w:i/>
          <w:lang w:eastAsia="en-US"/>
        </w:rPr>
        <w:t>intellectus possibilis</w:t>
      </w:r>
      <w:r>
        <w:rPr>
          <w:lang w:eastAsia="en-US"/>
        </w:rPr>
        <w:t xml:space="preserve">. Akvinský vytvořil zcela nový </w:t>
      </w:r>
      <w:r w:rsidR="00E905A6">
        <w:t>mytologický</w:t>
      </w:r>
      <w:r w:rsidRPr="088C5FEA">
        <w:t xml:space="preserve"> koncept kosmického </w:t>
      </w:r>
      <w:r w:rsidRPr="00E905A6">
        <w:rPr>
          <w:i/>
        </w:rPr>
        <w:t>intellectus possibilis</w:t>
      </w:r>
      <w:r w:rsidRPr="088C5FEA">
        <w:t xml:space="preserve">, který připsal Komentátorovi. </w:t>
      </w:r>
      <w:r w:rsidR="00951643" w:rsidRPr="00951643">
        <w:t>Tato av</w:t>
      </w:r>
      <w:r w:rsidR="00951643">
        <w:t>erroistická interpretace Averroé</w:t>
      </w:r>
      <w:r w:rsidR="00951643" w:rsidRPr="00951643">
        <w:t>s</w:t>
      </w:r>
      <w:r w:rsidR="00951643">
        <w:t>e</w:t>
      </w:r>
      <w:r w:rsidR="00951643" w:rsidRPr="00951643">
        <w:t xml:space="preserve"> zavedla </w:t>
      </w:r>
      <w:r w:rsidR="00951643">
        <w:t xml:space="preserve">receptivní </w:t>
      </w:r>
      <w:r w:rsidR="00951643" w:rsidRPr="00951643">
        <w:t xml:space="preserve">schopnost nebeským inteligencím, které rozpoznávají vyšší úroveň duchovního světa podle citované části </w:t>
      </w:r>
      <w:r w:rsidR="00951643" w:rsidRPr="00951643">
        <w:rPr>
          <w:i/>
        </w:rPr>
        <w:t>De anima</w:t>
      </w:r>
      <w:r w:rsidR="00951643" w:rsidRPr="00951643">
        <w:t>.</w:t>
      </w:r>
      <w:r w:rsidR="00951643">
        <w:t xml:space="preserve"> </w:t>
      </w:r>
      <w:r w:rsidR="088C5FEA">
        <w:t xml:space="preserve">Tímto způsobem vznikl </w:t>
      </w:r>
      <w:r w:rsidR="088C5FEA" w:rsidRPr="082F567C">
        <w:rPr>
          <w:i/>
          <w:szCs w:val="24"/>
        </w:rPr>
        <w:t>intellectus possibilis</w:t>
      </w:r>
      <w:r w:rsidR="088C5FEA" w:rsidRPr="082F567C">
        <w:rPr>
          <w:szCs w:val="24"/>
        </w:rPr>
        <w:t xml:space="preserve"> jako</w:t>
      </w:r>
      <w:r w:rsidR="08B7696B" w:rsidRPr="082F567C">
        <w:rPr>
          <w:szCs w:val="24"/>
        </w:rPr>
        <w:t xml:space="preserve"> kosmická </w:t>
      </w:r>
      <w:r w:rsidR="088C5FEA" w:rsidRPr="082F567C">
        <w:rPr>
          <w:szCs w:val="24"/>
        </w:rPr>
        <w:t xml:space="preserve">substance a hypostáse. </w:t>
      </w:r>
      <w:r w:rsidRPr="088C5FEA">
        <w:t>Tom</w:t>
      </w:r>
      <w:r w:rsidR="089118FC">
        <w:t xml:space="preserve">áš </w:t>
      </w:r>
      <w:r w:rsidRPr="088C5FEA">
        <w:t xml:space="preserve">modernizoval kosmologii Avicenny </w:t>
      </w:r>
      <w:r w:rsidRPr="088C5FEA">
        <w:rPr>
          <w:i/>
        </w:rPr>
        <w:t>ad mentem Averrois</w:t>
      </w:r>
      <w:r w:rsidRPr="088C5FEA">
        <w:t xml:space="preserve"> zavedením receptivní potence kosmických inteligencí podle CMDA. Tím vznikla uvnitř toletánské školy nová kosmologie plně předvedená v Tomášových Sentencích. Poznání hypostázovaných forem </w:t>
      </w:r>
      <w:r w:rsidRPr="089118FC">
        <w:rPr>
          <w:i/>
        </w:rPr>
        <w:t>intellectus possibilis</w:t>
      </w:r>
      <w:r w:rsidRPr="088C5FEA">
        <w:fldChar w:fldCharType="begin"/>
      </w:r>
      <w:r w:rsidRPr="088C5FEA">
        <w:instrText xml:space="preserve"> XE "intellectus possibilis:Akvinský" </w:instrText>
      </w:r>
      <w:r w:rsidRPr="088C5FEA">
        <w:fldChar w:fldCharType="end"/>
      </w:r>
      <w:r w:rsidRPr="088C5FEA">
        <w:t xml:space="preserve"> se liší mírou potenciality rostoucí od první kosmické sféry směrem dolů. </w:t>
      </w:r>
      <w:r w:rsidR="00211B81">
        <w:t xml:space="preserve">Nová </w:t>
      </w:r>
      <w:r w:rsidRPr="088C5FEA">
        <w:t xml:space="preserve">kosmologie se </w:t>
      </w:r>
      <w:r w:rsidR="00DF5469">
        <w:t>tím oddělila od</w:t>
      </w:r>
      <w:r w:rsidRPr="088C5FEA">
        <w:t xml:space="preserve"> neoplatonské dedukce forem </w:t>
      </w:r>
      <w:r w:rsidR="00211B81">
        <w:t xml:space="preserve">podané </w:t>
      </w:r>
      <w:r w:rsidRPr="088C5FEA">
        <w:t xml:space="preserve">v </w:t>
      </w:r>
      <w:proofErr w:type="gramStart"/>
      <w:r w:rsidRPr="00211B81">
        <w:rPr>
          <w:i/>
        </w:rPr>
        <w:t>Liber</w:t>
      </w:r>
      <w:proofErr w:type="gramEnd"/>
      <w:r w:rsidRPr="00211B81">
        <w:rPr>
          <w:i/>
        </w:rPr>
        <w:t xml:space="preserve"> de causis</w:t>
      </w:r>
      <w:r w:rsidRPr="088C5FEA">
        <w:t>. Komitace</w:t>
      </w:r>
      <w:r w:rsidRPr="088C5FEA">
        <w:fldChar w:fldCharType="begin"/>
      </w:r>
      <w:r w:rsidRPr="088C5FEA">
        <w:instrText xml:space="preserve"> XE "komitace" </w:instrText>
      </w:r>
      <w:r w:rsidRPr="088C5FEA">
        <w:fldChar w:fldCharType="end"/>
      </w:r>
      <w:r w:rsidR="00277838">
        <w:t xml:space="preserve"> Avicenny zůstala pouze směrem dolů, </w:t>
      </w:r>
      <w:r w:rsidRPr="088C5FEA">
        <w:t>v modu katabáze</w:t>
      </w:r>
      <w:r>
        <w:rPr>
          <w:lang w:eastAsia="en-US"/>
        </w:rPr>
        <w:t xml:space="preserve"> kosmických intelektů z vyšší formy do nižší, protože aktivní </w:t>
      </w:r>
      <w:r w:rsidR="00277838">
        <w:rPr>
          <w:lang w:eastAsia="en-US"/>
        </w:rPr>
        <w:t xml:space="preserve">intelekt neomezeně působí </w:t>
      </w:r>
      <w:r>
        <w:rPr>
          <w:lang w:eastAsia="en-US"/>
        </w:rPr>
        <w:t>smě</w:t>
      </w:r>
      <w:r w:rsidR="00EC1D77">
        <w:rPr>
          <w:lang w:eastAsia="en-US"/>
        </w:rPr>
        <w:t>rem dolů</w:t>
      </w:r>
      <w:r w:rsidR="00223263">
        <w:rPr>
          <w:lang w:eastAsia="en-US"/>
        </w:rPr>
        <w:t xml:space="preserve"> (</w:t>
      </w:r>
      <w:r w:rsidR="00223263" w:rsidRPr="00223263">
        <w:rPr>
          <w:i/>
          <w:lang w:eastAsia="en-US"/>
        </w:rPr>
        <w:t>exitus</w:t>
      </w:r>
      <w:r w:rsidR="00223263">
        <w:rPr>
          <w:lang w:eastAsia="en-US"/>
        </w:rPr>
        <w:t>)</w:t>
      </w:r>
      <w:r w:rsidR="00EC1D77">
        <w:rPr>
          <w:lang w:eastAsia="en-US"/>
        </w:rPr>
        <w:t xml:space="preserve">. Poznání směrem nahoru </w:t>
      </w:r>
      <w:r w:rsidR="00C974CF">
        <w:rPr>
          <w:lang w:eastAsia="en-US"/>
        </w:rPr>
        <w:t>(</w:t>
      </w:r>
      <w:r w:rsidR="00C974CF" w:rsidRPr="00EC1D77">
        <w:rPr>
          <w:i/>
          <w:lang w:eastAsia="en-US"/>
        </w:rPr>
        <w:t>reditus</w:t>
      </w:r>
      <w:r w:rsidR="00C974CF">
        <w:rPr>
          <w:lang w:eastAsia="en-US"/>
        </w:rPr>
        <w:t xml:space="preserve">) </w:t>
      </w:r>
      <w:r w:rsidR="00EC1D77">
        <w:rPr>
          <w:lang w:eastAsia="en-US"/>
        </w:rPr>
        <w:t xml:space="preserve">už </w:t>
      </w:r>
      <w:r>
        <w:rPr>
          <w:lang w:eastAsia="en-US"/>
        </w:rPr>
        <w:t xml:space="preserve">není determinováno emanačním modelem podle </w:t>
      </w:r>
      <w:r w:rsidRPr="08831F8B">
        <w:rPr>
          <w:i/>
          <w:lang w:eastAsia="en-US"/>
        </w:rPr>
        <w:t>Liber de causis</w:t>
      </w:r>
      <w:r w:rsidR="00EC1D77">
        <w:rPr>
          <w:lang w:eastAsia="en-US"/>
        </w:rPr>
        <w:t xml:space="preserve">. Nové poznání </w:t>
      </w:r>
      <w:r w:rsidR="00C974CF">
        <w:rPr>
          <w:lang w:eastAsia="en-US"/>
        </w:rPr>
        <w:t>změnilo neoplatonskou anabasis</w:t>
      </w:r>
      <w:r w:rsidR="00EC1D77">
        <w:rPr>
          <w:lang w:eastAsia="en-US"/>
        </w:rPr>
        <w:t xml:space="preserve"> tím, že </w:t>
      </w:r>
      <w:r>
        <w:rPr>
          <w:lang w:eastAsia="en-US"/>
        </w:rPr>
        <w:t xml:space="preserve">dostalo aristotelský model poznání v modu </w:t>
      </w:r>
      <w:r w:rsidR="00EC1D77">
        <w:rPr>
          <w:lang w:eastAsia="en-US"/>
        </w:rPr>
        <w:t>„</w:t>
      </w:r>
      <w:r>
        <w:rPr>
          <w:lang w:eastAsia="en-US"/>
        </w:rPr>
        <w:t>akt‒potence</w:t>
      </w:r>
      <w:r w:rsidR="00EC1D77">
        <w:rPr>
          <w:lang w:eastAsia="en-US"/>
        </w:rPr>
        <w:t xml:space="preserve">“ </w:t>
      </w:r>
      <w:r w:rsidR="00EC1D77">
        <w:rPr>
          <w:lang w:eastAsia="en-US"/>
        </w:rPr>
        <w:lastRenderedPageBreak/>
        <w:t xml:space="preserve">daný podle </w:t>
      </w:r>
      <w:r w:rsidR="00EC1D77" w:rsidRPr="00EC1D77">
        <w:rPr>
          <w:i/>
          <w:lang w:eastAsia="en-US"/>
        </w:rPr>
        <w:t>De anima</w:t>
      </w:r>
      <w:r>
        <w:rPr>
          <w:lang w:eastAsia="en-US"/>
        </w:rPr>
        <w:t xml:space="preserve">. </w:t>
      </w:r>
      <w:r w:rsidR="00C04370">
        <w:rPr>
          <w:lang w:eastAsia="en-US"/>
        </w:rPr>
        <w:t xml:space="preserve">V letech 1256‒57 převedl </w:t>
      </w:r>
      <w:r>
        <w:rPr>
          <w:lang w:eastAsia="en-US"/>
        </w:rPr>
        <w:t>Akvinský porretánskou modernu od neoplaton</w:t>
      </w:r>
      <w:r w:rsidR="00C04370">
        <w:rPr>
          <w:lang w:eastAsia="en-US"/>
        </w:rPr>
        <w:t>ismu k aristotelismu</w:t>
      </w:r>
      <w:r>
        <w:rPr>
          <w:lang w:eastAsia="en-US"/>
        </w:rPr>
        <w:t xml:space="preserve">. </w:t>
      </w:r>
      <w:r w:rsidR="089118FC">
        <w:rPr>
          <w:lang w:eastAsia="en-US"/>
        </w:rPr>
        <w:t xml:space="preserve">Svérázný </w:t>
      </w:r>
      <w:r>
        <w:rPr>
          <w:lang w:eastAsia="en-US"/>
        </w:rPr>
        <w:t xml:space="preserve">komentátor Komentátora zrušil deduktivní styl </w:t>
      </w:r>
      <w:r w:rsidRPr="08E22893">
        <w:rPr>
          <w:i/>
          <w:lang w:eastAsia="en-US"/>
        </w:rPr>
        <w:t>modo geometrico</w:t>
      </w:r>
      <w:r>
        <w:rPr>
          <w:lang w:eastAsia="en-US"/>
        </w:rPr>
        <w:t xml:space="preserve"> daný v </w:t>
      </w:r>
      <w:proofErr w:type="gramStart"/>
      <w:r w:rsidRPr="08E22893">
        <w:rPr>
          <w:i/>
          <w:lang w:eastAsia="en-US"/>
        </w:rPr>
        <w:t>Liber</w:t>
      </w:r>
      <w:proofErr w:type="gramEnd"/>
      <w:r w:rsidRPr="08E22893">
        <w:rPr>
          <w:i/>
          <w:lang w:eastAsia="en-US"/>
        </w:rPr>
        <w:t xml:space="preserve"> de causis</w:t>
      </w:r>
      <w:r w:rsidR="00AB137E">
        <w:rPr>
          <w:lang w:eastAsia="en-US"/>
        </w:rPr>
        <w:t>. P</w:t>
      </w:r>
      <w:r>
        <w:rPr>
          <w:lang w:eastAsia="en-US"/>
        </w:rPr>
        <w:t>ředávání vyššího aktu bytí a poznání do nižší receptivní potence</w:t>
      </w:r>
      <w:r w:rsidR="00AB137E">
        <w:rPr>
          <w:lang w:eastAsia="en-US"/>
        </w:rPr>
        <w:t xml:space="preserve"> není dáno skrze logickou dedukci, ale skrze impozici poznávací formy daná na vyšší úrovni aktualizace směrem do nižší formy, která má tomu odpovídající vyšší míru receptivity. </w:t>
      </w:r>
      <w:r w:rsidR="00274125" w:rsidRPr="00274125">
        <w:rPr>
          <w:lang w:eastAsia="en-US"/>
        </w:rPr>
        <w:t>Sigerov</w:t>
      </w:r>
      <w:r w:rsidR="00274125">
        <w:rPr>
          <w:lang w:eastAsia="en-US"/>
        </w:rPr>
        <w:t>a škola velmi dobře viděla, že t</w:t>
      </w:r>
      <w:r w:rsidR="00274125" w:rsidRPr="00274125">
        <w:rPr>
          <w:lang w:eastAsia="en-US"/>
        </w:rPr>
        <w:t>o</w:t>
      </w:r>
      <w:r w:rsidR="00274125">
        <w:rPr>
          <w:lang w:eastAsia="en-US"/>
        </w:rPr>
        <w:t>mistická kosmologie má skrytou n</w:t>
      </w:r>
      <w:r w:rsidR="00274125" w:rsidRPr="00274125">
        <w:rPr>
          <w:lang w:eastAsia="en-US"/>
        </w:rPr>
        <w:t xml:space="preserve">eoplatonickou povahu. Za účelem vybudování nové kosmologie Thomas nevytvořil </w:t>
      </w:r>
      <w:r w:rsidR="00274125">
        <w:rPr>
          <w:lang w:eastAsia="en-US"/>
        </w:rPr>
        <w:t xml:space="preserve">impozici </w:t>
      </w:r>
      <w:r w:rsidR="00274125" w:rsidRPr="00274125">
        <w:rPr>
          <w:lang w:eastAsia="en-US"/>
        </w:rPr>
        <w:t xml:space="preserve">významu ze skutečných hylemorfních </w:t>
      </w:r>
      <w:r w:rsidR="00274125">
        <w:rPr>
          <w:lang w:eastAsia="en-US"/>
        </w:rPr>
        <w:t>substancí</w:t>
      </w:r>
      <w:r w:rsidR="00274125" w:rsidRPr="00274125">
        <w:rPr>
          <w:lang w:eastAsia="en-US"/>
        </w:rPr>
        <w:t>, a</w:t>
      </w:r>
      <w:r w:rsidR="00274125">
        <w:rPr>
          <w:lang w:eastAsia="en-US"/>
        </w:rPr>
        <w:t>le hypostatizoval kosmickou potencialitu</w:t>
      </w:r>
      <w:r w:rsidR="00274125" w:rsidRPr="00274125">
        <w:rPr>
          <w:lang w:eastAsia="en-US"/>
        </w:rPr>
        <w:t xml:space="preserve">, aby nahradil kosmickou </w:t>
      </w:r>
      <w:r w:rsidR="00274125" w:rsidRPr="00274125">
        <w:rPr>
          <w:i/>
          <w:lang w:eastAsia="en-US"/>
        </w:rPr>
        <w:t xml:space="preserve">materia prima </w:t>
      </w:r>
      <w:r w:rsidR="00274125">
        <w:rPr>
          <w:lang w:eastAsia="en-US"/>
        </w:rPr>
        <w:t xml:space="preserve">podle </w:t>
      </w:r>
      <w:r w:rsidR="00274125" w:rsidRPr="00274125">
        <w:rPr>
          <w:lang w:eastAsia="en-US"/>
        </w:rPr>
        <w:t>Dinanta. Kosmologie není za</w:t>
      </w:r>
      <w:r w:rsidR="00274125">
        <w:rPr>
          <w:lang w:eastAsia="en-US"/>
        </w:rPr>
        <w:t xml:space="preserve">ložena na metafyzickém </w:t>
      </w:r>
      <w:r w:rsidR="00274125" w:rsidRPr="00274125">
        <w:rPr>
          <w:i/>
          <w:lang w:eastAsia="en-US"/>
        </w:rPr>
        <w:t>ordinatio</w:t>
      </w:r>
      <w:r w:rsidR="00274125" w:rsidRPr="00274125">
        <w:rPr>
          <w:lang w:eastAsia="en-US"/>
        </w:rPr>
        <w:t>, ale na logické</w:t>
      </w:r>
      <w:r w:rsidR="00274125">
        <w:rPr>
          <w:lang w:eastAsia="en-US"/>
        </w:rPr>
        <w:t xml:space="preserve"> verzi modernistického </w:t>
      </w:r>
      <w:r w:rsidR="00274125" w:rsidRPr="00274125">
        <w:rPr>
          <w:i/>
          <w:lang w:eastAsia="en-US"/>
        </w:rPr>
        <w:t>resolutio</w:t>
      </w:r>
      <w:r w:rsidR="00274125" w:rsidRPr="00274125">
        <w:rPr>
          <w:lang w:eastAsia="en-US"/>
        </w:rPr>
        <w:t xml:space="preserve">. Logická </w:t>
      </w:r>
      <w:r w:rsidR="00274125">
        <w:rPr>
          <w:lang w:eastAsia="en-US"/>
        </w:rPr>
        <w:t>supozice</w:t>
      </w:r>
      <w:r w:rsidR="00274125" w:rsidRPr="00274125">
        <w:rPr>
          <w:lang w:eastAsia="en-US"/>
        </w:rPr>
        <w:t xml:space="preserve">, která </w:t>
      </w:r>
      <w:r w:rsidR="00274125">
        <w:rPr>
          <w:lang w:eastAsia="en-US"/>
        </w:rPr>
        <w:t xml:space="preserve">zakládá </w:t>
      </w:r>
      <w:r w:rsidR="00274125" w:rsidRPr="00274125">
        <w:rPr>
          <w:lang w:eastAsia="en-US"/>
        </w:rPr>
        <w:t>kosmologickou dedukci, je dána ve formě u</w:t>
      </w:r>
      <w:r w:rsidR="00274125">
        <w:rPr>
          <w:lang w:eastAsia="en-US"/>
        </w:rPr>
        <w:t>niverzální metafyzické a hypostá</w:t>
      </w:r>
      <w:r w:rsidR="00274125" w:rsidRPr="00274125">
        <w:rPr>
          <w:lang w:eastAsia="en-US"/>
        </w:rPr>
        <w:t>zované potence.</w:t>
      </w:r>
      <w:r w:rsidR="00274125">
        <w:rPr>
          <w:lang w:eastAsia="en-US"/>
        </w:rPr>
        <w:t xml:space="preserve"> Nová kosmologie </w:t>
      </w:r>
      <w:r w:rsidR="00274125" w:rsidRPr="00274125">
        <w:rPr>
          <w:lang w:eastAsia="en-US"/>
        </w:rPr>
        <w:t xml:space="preserve">existuje v režimu </w:t>
      </w:r>
      <w:r w:rsidR="006D5762">
        <w:rPr>
          <w:i/>
          <w:lang w:eastAsia="en-US"/>
        </w:rPr>
        <w:t>simpliciter</w:t>
      </w:r>
      <w:r w:rsidR="00274125" w:rsidRPr="00274125">
        <w:rPr>
          <w:lang w:eastAsia="en-US"/>
        </w:rPr>
        <w:t xml:space="preserve"> a je vytvořen</w:t>
      </w:r>
      <w:r w:rsidR="00274125">
        <w:rPr>
          <w:lang w:eastAsia="en-US"/>
        </w:rPr>
        <w:t>a</w:t>
      </w:r>
      <w:r w:rsidR="00274125" w:rsidRPr="00274125">
        <w:rPr>
          <w:lang w:eastAsia="en-US"/>
        </w:rPr>
        <w:t xml:space="preserve"> plně racionálně ve smyslu logické dedukce </w:t>
      </w:r>
      <w:r w:rsidR="00274125" w:rsidRPr="00274125">
        <w:rPr>
          <w:i/>
          <w:lang w:eastAsia="en-US"/>
        </w:rPr>
        <w:t>per se</w:t>
      </w:r>
      <w:r w:rsidR="00274125" w:rsidRPr="00274125">
        <w:rPr>
          <w:lang w:eastAsia="en-US"/>
        </w:rPr>
        <w:t xml:space="preserve"> (</w:t>
      </w:r>
      <w:r w:rsidR="00274125" w:rsidRPr="00274125">
        <w:rPr>
          <w:i/>
          <w:lang w:eastAsia="en-US"/>
        </w:rPr>
        <w:t>Anal. Post</w:t>
      </w:r>
      <w:r w:rsidR="00274125">
        <w:rPr>
          <w:lang w:eastAsia="en-US"/>
        </w:rPr>
        <w:t xml:space="preserve">. </w:t>
      </w:r>
      <w:r w:rsidR="00274125" w:rsidRPr="00274125">
        <w:rPr>
          <w:lang w:eastAsia="en-US"/>
        </w:rPr>
        <w:t>84a14</w:t>
      </w:r>
      <w:r w:rsidR="00274125">
        <w:fldChar w:fldCharType="begin"/>
      </w:r>
      <w:r w:rsidR="00274125">
        <w:instrText xml:space="preserve"> XE "Aristoteles</w:instrText>
      </w:r>
      <w:r w:rsidR="00274125" w:rsidRPr="00DC21B7">
        <w:instrText>:</w:instrText>
      </w:r>
      <w:r w:rsidR="00274125" w:rsidRPr="003B2ED4">
        <w:rPr>
          <w:i/>
        </w:rPr>
        <w:instrText>Anal. Post</w:instrText>
      </w:r>
      <w:r w:rsidR="00274125" w:rsidRPr="00DC21B7">
        <w:instrText>. 84a14</w:instrText>
      </w:r>
      <w:r w:rsidR="00274125">
        <w:instrText xml:space="preserve">" </w:instrText>
      </w:r>
      <w:r w:rsidR="00274125">
        <w:fldChar w:fldCharType="end"/>
      </w:r>
      <w:r w:rsidR="00274125" w:rsidRPr="00274125">
        <w:rPr>
          <w:lang w:eastAsia="en-US"/>
        </w:rPr>
        <w:t>).</w:t>
      </w:r>
      <w:r w:rsidR="00274125">
        <w:rPr>
          <w:lang w:eastAsia="en-US"/>
        </w:rPr>
        <w:t xml:space="preserve"> </w:t>
      </w:r>
      <w:r w:rsidR="088C39EE">
        <w:rPr>
          <w:lang w:eastAsia="en-US"/>
        </w:rPr>
        <w:t xml:space="preserve">Duns </w:t>
      </w:r>
      <w:r>
        <w:rPr>
          <w:lang w:eastAsia="en-US"/>
        </w:rPr>
        <w:t xml:space="preserve">Scotus </w:t>
      </w:r>
      <w:r w:rsidR="083F50AD">
        <w:rPr>
          <w:lang w:eastAsia="en-US"/>
        </w:rPr>
        <w:t xml:space="preserve">během studia v Paříži </w:t>
      </w:r>
      <w:r>
        <w:rPr>
          <w:lang w:eastAsia="en-US"/>
        </w:rPr>
        <w:t xml:space="preserve">vybuduje novou objektivní metafyziku na </w:t>
      </w:r>
      <w:r w:rsidR="00BE22AB">
        <w:rPr>
          <w:lang w:eastAsia="en-US"/>
        </w:rPr>
        <w:t xml:space="preserve">takto podané </w:t>
      </w:r>
      <w:r>
        <w:rPr>
          <w:lang w:eastAsia="en-US"/>
        </w:rPr>
        <w:t>tomistické kosmolog</w:t>
      </w:r>
      <w:r w:rsidR="00BE22AB">
        <w:rPr>
          <w:lang w:eastAsia="en-US"/>
        </w:rPr>
        <w:t>ii</w:t>
      </w:r>
      <w:r w:rsidR="083F50AD">
        <w:rPr>
          <w:lang w:eastAsia="en-US"/>
        </w:rPr>
        <w:t xml:space="preserve">. </w:t>
      </w:r>
      <w:r w:rsidR="088C39EE">
        <w:rPr>
          <w:lang w:eastAsia="en-US"/>
        </w:rPr>
        <w:t>Nový</w:t>
      </w:r>
      <w:r w:rsidR="083F50AD">
        <w:rPr>
          <w:lang w:eastAsia="en-US"/>
        </w:rPr>
        <w:t xml:space="preserve"> řád světa je dán </w:t>
      </w:r>
      <w:r>
        <w:rPr>
          <w:lang w:eastAsia="en-US"/>
        </w:rPr>
        <w:t xml:space="preserve">ve formě univerzální metafyzické potence, která existuje v modu </w:t>
      </w:r>
      <w:r w:rsidRPr="08F677D2">
        <w:rPr>
          <w:i/>
          <w:lang w:eastAsia="en-US"/>
        </w:rPr>
        <w:t>simplex</w:t>
      </w:r>
      <w:r>
        <w:rPr>
          <w:lang w:eastAsia="en-US"/>
        </w:rPr>
        <w:t xml:space="preserve"> a je plně racionální. Vznik tomistického simulákra </w:t>
      </w:r>
      <w:r w:rsidRPr="00A5278E">
        <w:rPr>
          <w:i/>
          <w:lang w:eastAsia="en-US"/>
        </w:rPr>
        <w:t>intellectus possibilis</w:t>
      </w:r>
      <w:r>
        <w:rPr>
          <w:lang w:eastAsia="en-US"/>
        </w:rPr>
        <w:t xml:space="preserve"> ukazuje následující pasáž </w:t>
      </w:r>
      <w:r w:rsidRPr="00067E97">
        <w:rPr>
          <w:i/>
          <w:lang w:eastAsia="en-US"/>
        </w:rPr>
        <w:t>De ente et essentia</w:t>
      </w:r>
      <w:r>
        <w:rPr>
          <w:lang w:eastAsia="en-US"/>
        </w:rPr>
        <w:t>.</w:t>
      </w:r>
    </w:p>
    <w:p w:rsidR="08163013" w:rsidRDefault="08163013" w:rsidP="08163013">
      <w:pPr>
        <w:pStyle w:val="Citace"/>
        <w:rPr>
          <w:lang w:val="cs-CZ"/>
        </w:rPr>
      </w:pPr>
      <w:r>
        <w:t xml:space="preserve">„Proto pravil Komentátor ve výkladu </w:t>
      </w:r>
      <w:r>
        <w:rPr>
          <w:lang w:val="cs-CZ"/>
        </w:rPr>
        <w:t>třetí knihy</w:t>
      </w:r>
      <w:r>
        <w:t xml:space="preserve"> </w:t>
      </w:r>
      <w:r w:rsidRPr="00DC5AD5">
        <w:rPr>
          <w:i/>
        </w:rPr>
        <w:t>De anima</w:t>
      </w:r>
      <w:r>
        <w:rPr>
          <w:i/>
          <w:lang w:val="cs-CZ"/>
        </w:rPr>
        <w:t xml:space="preserve"> </w:t>
      </w:r>
      <w:r w:rsidRPr="0834256F">
        <w:t>[</w:t>
      </w:r>
      <w:r w:rsidRPr="00DC5AD5">
        <w:t>CMDA III.5; 410.667‒72</w:t>
      </w:r>
      <w:r w:rsidRPr="0834256F">
        <w:t>]</w:t>
      </w:r>
      <w:r>
        <w:t xml:space="preserve">, že kdyby byla povaha možného intelektu neznámá, pak bychom nemohli poznat mnohost v </w:t>
      </w:r>
      <w:r>
        <w:rPr>
          <w:lang w:val="cs-CZ"/>
        </w:rPr>
        <w:t xml:space="preserve">kosmických </w:t>
      </w:r>
      <w:r>
        <w:t>substancích. Proto existuje reálná distinkce mezi těmito inteligencemi navzájem podle stupně potence a aktuality a to tak, že vyšší inteligence</w:t>
      </w:r>
      <w:r>
        <w:rPr>
          <w:lang w:val="cs-CZ"/>
        </w:rPr>
        <w:t xml:space="preserve"> </w:t>
      </w:r>
      <w:r>
        <w:t xml:space="preserve">je více disponována </w:t>
      </w:r>
      <w:r>
        <w:rPr>
          <w:lang w:val="cs-CZ"/>
        </w:rPr>
        <w:t xml:space="preserve">k </w:t>
      </w:r>
      <w:r w:rsidR="00823B46">
        <w:t xml:space="preserve">první </w:t>
      </w:r>
      <w:r>
        <w:rPr>
          <w:lang w:val="cs-CZ"/>
        </w:rPr>
        <w:t xml:space="preserve">Inteligenci </w:t>
      </w:r>
      <w:r>
        <w:t xml:space="preserve">a má více aktuality a méně </w:t>
      </w:r>
      <w:r w:rsidR="00475201">
        <w:t xml:space="preserve">potence, což platí i </w:t>
      </w:r>
      <w:r w:rsidR="00475201">
        <w:rPr>
          <w:lang w:val="cs-CZ"/>
        </w:rPr>
        <w:t>v ostatních případech</w:t>
      </w:r>
      <w:r>
        <w:t>.“</w:t>
      </w:r>
      <w:r>
        <w:rPr>
          <w:lang w:val="cs-CZ"/>
        </w:rPr>
        <w:t> </w:t>
      </w:r>
      <w:r>
        <w:rPr>
          <w:rStyle w:val="Znakapoznpodarou"/>
          <w:lang w:eastAsia="en-US"/>
        </w:rPr>
        <w:footnoteReference w:id="287"/>
      </w:r>
    </w:p>
    <w:p w:rsidR="005B4C34" w:rsidRDefault="000F01AB" w:rsidP="005B4C34">
      <w:pPr>
        <w:rPr>
          <w:lang w:eastAsia="en-US"/>
        </w:rPr>
      </w:pPr>
      <w:r>
        <w:rPr>
          <w:lang w:eastAsia="en-US"/>
        </w:rPr>
        <w:t>Podle Tomášova výkladu Averroese je d</w:t>
      </w:r>
      <w:r w:rsidR="08163013">
        <w:rPr>
          <w:lang w:eastAsia="en-US"/>
        </w:rPr>
        <w:t xml:space="preserve">ůkaz o substančním charakteru </w:t>
      </w:r>
      <w:r w:rsidR="08163013" w:rsidRPr="08C81415">
        <w:rPr>
          <w:i/>
          <w:lang w:eastAsia="en-US"/>
        </w:rPr>
        <w:t>intellectus possib</w:t>
      </w:r>
      <w:r w:rsidR="08163013">
        <w:rPr>
          <w:i/>
          <w:lang w:eastAsia="en-US"/>
        </w:rPr>
        <w:t>i</w:t>
      </w:r>
      <w:r w:rsidR="08163013" w:rsidRPr="08C81415">
        <w:rPr>
          <w:i/>
          <w:lang w:eastAsia="en-US"/>
        </w:rPr>
        <w:t>lis</w:t>
      </w:r>
      <w:r w:rsidR="08163013">
        <w:rPr>
          <w:lang w:eastAsia="en-US"/>
        </w:rPr>
        <w:t xml:space="preserve"> dán v modu avicennistického </w:t>
      </w:r>
      <w:r w:rsidR="08163013" w:rsidRPr="00DC5AD5">
        <w:rPr>
          <w:i/>
          <w:lang w:eastAsia="en-US"/>
        </w:rPr>
        <w:t>con</w:t>
      </w:r>
      <w:r w:rsidR="081434CC">
        <w:rPr>
          <w:i/>
          <w:lang w:eastAsia="en-US"/>
        </w:rPr>
        <w:t>i</w:t>
      </w:r>
      <w:r w:rsidR="08163013" w:rsidRPr="00DC5AD5">
        <w:rPr>
          <w:i/>
          <w:lang w:eastAsia="en-US"/>
        </w:rPr>
        <w:t>u</w:t>
      </w:r>
      <w:r>
        <w:rPr>
          <w:i/>
          <w:lang w:eastAsia="en-US"/>
        </w:rPr>
        <w:t>n</w:t>
      </w:r>
      <w:r w:rsidR="08163013" w:rsidRPr="00DC5AD5">
        <w:rPr>
          <w:i/>
          <w:lang w:eastAsia="en-US"/>
        </w:rPr>
        <w:t>ctio</w:t>
      </w:r>
      <w:r w:rsidR="006C3719">
        <w:rPr>
          <w:lang w:eastAsia="en-US"/>
        </w:rPr>
        <w:t xml:space="preserve"> hypostázovaných forem. </w:t>
      </w:r>
      <w:r>
        <w:rPr>
          <w:lang w:eastAsia="en-US"/>
        </w:rPr>
        <w:t xml:space="preserve">Každá </w:t>
      </w:r>
      <w:r w:rsidR="006C3719">
        <w:rPr>
          <w:lang w:eastAsia="en-US"/>
        </w:rPr>
        <w:t xml:space="preserve">hypostáze </w:t>
      </w:r>
      <w:r>
        <w:rPr>
          <w:lang w:eastAsia="en-US"/>
        </w:rPr>
        <w:t xml:space="preserve">možného intelektu recipuje potenci kosmických inteligencí na své vlastní úrovni existence a tím pádem </w:t>
      </w:r>
      <w:r w:rsidR="08163013">
        <w:rPr>
          <w:lang w:eastAsia="en-US"/>
        </w:rPr>
        <w:t xml:space="preserve">v modu </w:t>
      </w:r>
      <w:r>
        <w:rPr>
          <w:lang w:eastAsia="en-US"/>
        </w:rPr>
        <w:t>aristotelské adekvace</w:t>
      </w:r>
      <w:r w:rsidR="08163013">
        <w:rPr>
          <w:lang w:eastAsia="en-US"/>
        </w:rPr>
        <w:t xml:space="preserve">. Existence </w:t>
      </w:r>
      <w:r w:rsidR="08163013" w:rsidRPr="00DC5AD5">
        <w:rPr>
          <w:i/>
          <w:lang w:eastAsia="en-US"/>
        </w:rPr>
        <w:t>intellectus possibilis</w:t>
      </w:r>
      <w:r w:rsidR="08163013">
        <w:rPr>
          <w:i/>
          <w:lang w:eastAsia="en-US"/>
        </w:rPr>
        <w:t xml:space="preserve"> </w:t>
      </w:r>
      <w:r w:rsidR="08163013">
        <w:rPr>
          <w:lang w:eastAsia="en-US"/>
        </w:rPr>
        <w:t>jako hypostázované substance (</w:t>
      </w:r>
      <w:r w:rsidR="006C3719">
        <w:rPr>
          <w:i/>
          <w:lang w:eastAsia="en-US"/>
        </w:rPr>
        <w:t>tertium ens</w:t>
      </w:r>
      <w:r w:rsidR="08163013">
        <w:rPr>
          <w:lang w:eastAsia="en-US"/>
        </w:rPr>
        <w:t xml:space="preserve">) je dedukována z poznatelnosti kosmického řádu. Poznáváme kosmické inteligence jen řádu nemateriální abstrakce, tedy skrze lidsky daný </w:t>
      </w:r>
      <w:r w:rsidR="08163013" w:rsidRPr="086377EA">
        <w:rPr>
          <w:i/>
          <w:lang w:eastAsia="en-US"/>
        </w:rPr>
        <w:t xml:space="preserve">intellectus possibilis </w:t>
      </w:r>
      <w:r w:rsidR="08163013">
        <w:rPr>
          <w:lang w:eastAsia="en-US"/>
        </w:rPr>
        <w:t xml:space="preserve">jako </w:t>
      </w:r>
      <w:r w:rsidR="08163013">
        <w:rPr>
          <w:lang w:eastAsia="en-US"/>
        </w:rPr>
        <w:lastRenderedPageBreak/>
        <w:t xml:space="preserve">schopnost duše a ta je aktivována od kosmické podoby </w:t>
      </w:r>
      <w:r w:rsidR="08163013" w:rsidRPr="08741BB4">
        <w:rPr>
          <w:i/>
          <w:lang w:eastAsia="en-US"/>
        </w:rPr>
        <w:t>intellectus possib</w:t>
      </w:r>
      <w:r w:rsidR="08163013">
        <w:rPr>
          <w:i/>
          <w:lang w:eastAsia="en-US"/>
        </w:rPr>
        <w:t>i</w:t>
      </w:r>
      <w:r w:rsidR="08163013" w:rsidRPr="08741BB4">
        <w:rPr>
          <w:i/>
          <w:lang w:eastAsia="en-US"/>
        </w:rPr>
        <w:t>lis</w:t>
      </w:r>
      <w:r w:rsidR="08163013">
        <w:rPr>
          <w:lang w:eastAsia="en-US"/>
        </w:rPr>
        <w:t xml:space="preserve">. Akvinský vytvořil novou mytopoetiku </w:t>
      </w:r>
      <w:r w:rsidR="003966A5">
        <w:rPr>
          <w:lang w:eastAsia="en-US"/>
        </w:rPr>
        <w:t xml:space="preserve">Averroese jako </w:t>
      </w:r>
      <w:r w:rsidR="08163013">
        <w:rPr>
          <w:lang w:eastAsia="en-US"/>
        </w:rPr>
        <w:t>averroist</w:t>
      </w:r>
      <w:r w:rsidR="003966A5">
        <w:rPr>
          <w:lang w:eastAsia="en-US"/>
        </w:rPr>
        <w:t xml:space="preserve">y. Tato démonická figura </w:t>
      </w:r>
      <w:r w:rsidR="08163013">
        <w:rPr>
          <w:lang w:eastAsia="en-US"/>
        </w:rPr>
        <w:t>se stal</w:t>
      </w:r>
      <w:r w:rsidR="003966A5">
        <w:rPr>
          <w:lang w:eastAsia="en-US"/>
        </w:rPr>
        <w:t>a</w:t>
      </w:r>
      <w:r w:rsidR="08163013">
        <w:rPr>
          <w:lang w:eastAsia="en-US"/>
        </w:rPr>
        <w:t xml:space="preserve"> </w:t>
      </w:r>
      <w:r w:rsidR="006F02E4">
        <w:rPr>
          <w:lang w:eastAsia="en-US"/>
        </w:rPr>
        <w:t xml:space="preserve">kosmickým </w:t>
      </w:r>
      <w:r w:rsidR="08163013">
        <w:rPr>
          <w:lang w:eastAsia="en-US"/>
        </w:rPr>
        <w:t xml:space="preserve">panteistou na způsob Davida z Dinantu. Kosmické inteligence prý poznáváme podle </w:t>
      </w:r>
      <w:r w:rsidR="0875008A">
        <w:rPr>
          <w:lang w:eastAsia="en-US"/>
        </w:rPr>
        <w:t xml:space="preserve">tomistického </w:t>
      </w:r>
      <w:r w:rsidR="08163013">
        <w:rPr>
          <w:lang w:eastAsia="en-US"/>
        </w:rPr>
        <w:t>A</w:t>
      </w:r>
      <w:r w:rsidR="00EE272C">
        <w:rPr>
          <w:lang w:eastAsia="en-US"/>
        </w:rPr>
        <w:t xml:space="preserve">verroese skrze konjunkci lidského </w:t>
      </w:r>
      <w:r w:rsidR="08163013" w:rsidRPr="08701A75">
        <w:rPr>
          <w:i/>
          <w:lang w:eastAsia="en-US"/>
        </w:rPr>
        <w:t>intellectus possibilis</w:t>
      </w:r>
      <w:r w:rsidR="00EE272C">
        <w:rPr>
          <w:lang w:eastAsia="en-US"/>
        </w:rPr>
        <w:t xml:space="preserve"> s jeho kosmickým dvojníkem</w:t>
      </w:r>
      <w:r w:rsidR="08163013">
        <w:rPr>
          <w:lang w:eastAsia="en-US"/>
        </w:rPr>
        <w:t xml:space="preserve">. Na tento výklad odkazuje Aegidius ve třetí části Oxfordského rukopisu citací </w:t>
      </w:r>
      <w:r w:rsidR="08C66C3F">
        <w:t>ST I, q. 88 (kap. 4</w:t>
      </w:r>
      <w:r w:rsidR="08163013">
        <w:t xml:space="preserve">.3.2). </w:t>
      </w:r>
      <w:r w:rsidR="08163013">
        <w:rPr>
          <w:lang w:eastAsia="en-US"/>
        </w:rPr>
        <w:t xml:space="preserve">Teorii sofistické kopulace </w:t>
      </w:r>
      <w:r w:rsidR="08163013" w:rsidRPr="08475F62">
        <w:rPr>
          <w:i/>
          <w:lang w:eastAsia="en-US"/>
        </w:rPr>
        <w:t>intellectus agens</w:t>
      </w:r>
      <w:r w:rsidR="08163013">
        <w:rPr>
          <w:lang w:eastAsia="en-US"/>
        </w:rPr>
        <w:t xml:space="preserve"> a </w:t>
      </w:r>
      <w:r w:rsidR="08163013" w:rsidRPr="08475F62">
        <w:rPr>
          <w:i/>
          <w:lang w:eastAsia="en-US"/>
        </w:rPr>
        <w:t>possibilis</w:t>
      </w:r>
      <w:r w:rsidR="08163013">
        <w:rPr>
          <w:lang w:eastAsia="en-US"/>
        </w:rPr>
        <w:t xml:space="preserve"> dále najdeme ve výše citované </w:t>
      </w:r>
      <w:r w:rsidR="08163013" w:rsidRPr="007551D7">
        <w:rPr>
          <w:i/>
        </w:rPr>
        <w:t>Summa philosophiae</w:t>
      </w:r>
      <w:r w:rsidR="08163013">
        <w:t>, která</w:t>
      </w:r>
      <w:r w:rsidR="08163013" w:rsidRPr="08475F62">
        <w:t xml:space="preserve"> dosvědčuje </w:t>
      </w:r>
      <w:r w:rsidR="08163013">
        <w:t xml:space="preserve">původní podobu </w:t>
      </w:r>
      <w:r w:rsidR="08163013" w:rsidRPr="08475F62">
        <w:t>ofic</w:t>
      </w:r>
      <w:r w:rsidR="08163013">
        <w:t>i</w:t>
      </w:r>
      <w:r w:rsidR="08163013" w:rsidRPr="08475F62">
        <w:t>álního tomismu na Oxfordu</w:t>
      </w:r>
      <w:r w:rsidR="00BE142D">
        <w:rPr>
          <w:i/>
        </w:rPr>
        <w:t xml:space="preserve"> </w:t>
      </w:r>
      <w:r w:rsidR="08C66C3F">
        <w:rPr>
          <w:lang w:eastAsia="en-US"/>
        </w:rPr>
        <w:t>(OBJ II, kap. 3</w:t>
      </w:r>
      <w:r w:rsidR="08163013">
        <w:rPr>
          <w:lang w:eastAsia="en-US"/>
        </w:rPr>
        <w:t xml:space="preserve">.1.3). Oba spisy vznikly </w:t>
      </w:r>
      <w:r w:rsidR="00BE142D">
        <w:rPr>
          <w:lang w:eastAsia="en-US"/>
        </w:rPr>
        <w:t xml:space="preserve">ve stejné době jako </w:t>
      </w:r>
      <w:r w:rsidR="08C66C3F">
        <w:rPr>
          <w:lang w:eastAsia="en-US"/>
        </w:rPr>
        <w:t>Sigerov</w:t>
      </w:r>
      <w:r w:rsidR="00BE142D">
        <w:rPr>
          <w:lang w:eastAsia="en-US"/>
        </w:rPr>
        <w:t>y komentáře k </w:t>
      </w:r>
      <w:proofErr w:type="gramStart"/>
      <w:r w:rsidR="00BE142D" w:rsidRPr="00BE142D">
        <w:rPr>
          <w:i/>
          <w:lang w:eastAsia="en-US"/>
        </w:rPr>
        <w:t>De</w:t>
      </w:r>
      <w:proofErr w:type="gramEnd"/>
      <w:r w:rsidR="00BE142D" w:rsidRPr="00BE142D">
        <w:rPr>
          <w:i/>
          <w:lang w:eastAsia="en-US"/>
        </w:rPr>
        <w:t xml:space="preserve"> anima</w:t>
      </w:r>
      <w:r w:rsidR="08C66C3F">
        <w:rPr>
          <w:lang w:eastAsia="en-US"/>
        </w:rPr>
        <w:t>. A</w:t>
      </w:r>
      <w:r w:rsidR="08163013">
        <w:rPr>
          <w:lang w:eastAsia="en-US"/>
        </w:rPr>
        <w:t>le původní tomistický výklad je předchází o jedno desetiletí</w:t>
      </w:r>
      <w:r w:rsidR="08C66C3F">
        <w:rPr>
          <w:lang w:eastAsia="en-US"/>
        </w:rPr>
        <w:t>, protože vznikl během Akvinského prvního pobytu v Paříži</w:t>
      </w:r>
      <w:r w:rsidR="08163013">
        <w:rPr>
          <w:lang w:eastAsia="en-US"/>
        </w:rPr>
        <w:t>. Nový receptivní intelekt se stal kosmickou hypostází</w:t>
      </w:r>
      <w:r w:rsidR="00745ED3">
        <w:rPr>
          <w:lang w:eastAsia="en-US"/>
        </w:rPr>
        <w:t>,</w:t>
      </w:r>
      <w:r w:rsidR="08163013">
        <w:rPr>
          <w:lang w:eastAsia="en-US"/>
        </w:rPr>
        <w:t xml:space="preserve"> </w:t>
      </w:r>
      <w:r w:rsidR="00B2053B">
        <w:rPr>
          <w:lang w:eastAsia="en-US"/>
        </w:rPr>
        <w:t xml:space="preserve">a tím doplnil </w:t>
      </w:r>
      <w:r w:rsidR="08163013">
        <w:rPr>
          <w:lang w:eastAsia="en-US"/>
        </w:rPr>
        <w:t>kosmick</w:t>
      </w:r>
      <w:r w:rsidR="00B2053B">
        <w:rPr>
          <w:lang w:eastAsia="en-US"/>
        </w:rPr>
        <w:t xml:space="preserve">ý </w:t>
      </w:r>
      <w:r w:rsidR="08163013">
        <w:rPr>
          <w:lang w:eastAsia="en-US"/>
        </w:rPr>
        <w:t>a oddělen</w:t>
      </w:r>
      <w:r w:rsidR="00B2053B">
        <w:rPr>
          <w:lang w:eastAsia="en-US"/>
        </w:rPr>
        <w:t xml:space="preserve">ý </w:t>
      </w:r>
      <w:r w:rsidR="08163013" w:rsidRPr="080B175D">
        <w:rPr>
          <w:i/>
          <w:lang w:eastAsia="en-US"/>
        </w:rPr>
        <w:t>intellectus agens</w:t>
      </w:r>
      <w:r w:rsidR="08163013">
        <w:rPr>
          <w:lang w:eastAsia="en-US"/>
        </w:rPr>
        <w:t xml:space="preserve">. </w:t>
      </w:r>
      <w:r w:rsidR="085205F6">
        <w:rPr>
          <w:lang w:eastAsia="en-US"/>
        </w:rPr>
        <w:t>Ob</w:t>
      </w:r>
      <w:r w:rsidR="081A4384">
        <w:rPr>
          <w:lang w:eastAsia="en-US"/>
        </w:rPr>
        <w:t>a</w:t>
      </w:r>
      <w:r w:rsidR="085205F6">
        <w:rPr>
          <w:lang w:eastAsia="en-US"/>
        </w:rPr>
        <w:t xml:space="preserve"> druhy </w:t>
      </w:r>
      <w:r w:rsidR="08560405">
        <w:rPr>
          <w:lang w:eastAsia="en-US"/>
        </w:rPr>
        <w:t xml:space="preserve">averroistického </w:t>
      </w:r>
      <w:r w:rsidR="08163013">
        <w:rPr>
          <w:lang w:eastAsia="en-US"/>
        </w:rPr>
        <w:t xml:space="preserve">intelektu </w:t>
      </w:r>
      <w:r w:rsidR="08C23689">
        <w:rPr>
          <w:lang w:eastAsia="en-US"/>
        </w:rPr>
        <w:t>j</w:t>
      </w:r>
      <w:r w:rsidR="085205F6">
        <w:rPr>
          <w:lang w:eastAsia="en-US"/>
        </w:rPr>
        <w:t>sou</w:t>
      </w:r>
      <w:r w:rsidR="08C23689">
        <w:rPr>
          <w:lang w:eastAsia="en-US"/>
        </w:rPr>
        <w:t xml:space="preserve"> v modu </w:t>
      </w:r>
      <w:r w:rsidR="08C23689" w:rsidRPr="08C23689">
        <w:rPr>
          <w:i/>
          <w:lang w:eastAsia="en-US"/>
        </w:rPr>
        <w:t>copulatio</w:t>
      </w:r>
      <w:r w:rsidR="08C23689">
        <w:rPr>
          <w:lang w:eastAsia="en-US"/>
        </w:rPr>
        <w:t xml:space="preserve"> spojen</w:t>
      </w:r>
      <w:r w:rsidR="085205F6">
        <w:rPr>
          <w:lang w:eastAsia="en-US"/>
        </w:rPr>
        <w:t>y</w:t>
      </w:r>
      <w:r w:rsidR="08C23689">
        <w:rPr>
          <w:lang w:eastAsia="en-US"/>
        </w:rPr>
        <w:t xml:space="preserve"> s </w:t>
      </w:r>
      <w:r w:rsidR="08163013">
        <w:rPr>
          <w:lang w:eastAsia="en-US"/>
        </w:rPr>
        <w:t xml:space="preserve">aktivní a pasivní schopnosti v tělesně dané duši. Akvinský podle Toledské školy dal kosmický </w:t>
      </w:r>
      <w:r w:rsidR="08163013" w:rsidRPr="08BA723E">
        <w:rPr>
          <w:i/>
          <w:lang w:eastAsia="en-US"/>
        </w:rPr>
        <w:t>intellectus agens</w:t>
      </w:r>
      <w:r w:rsidR="08163013">
        <w:rPr>
          <w:lang w:eastAsia="en-US"/>
        </w:rPr>
        <w:t xml:space="preserve"> a </w:t>
      </w:r>
      <w:r w:rsidR="08163013" w:rsidRPr="08BA723E">
        <w:rPr>
          <w:i/>
          <w:lang w:eastAsia="en-US"/>
        </w:rPr>
        <w:t>possibilis</w:t>
      </w:r>
      <w:r w:rsidR="08163013">
        <w:rPr>
          <w:lang w:eastAsia="en-US"/>
        </w:rPr>
        <w:t xml:space="preserve"> do dvou oddělených kosmických hypostází a z toh</w:t>
      </w:r>
      <w:r w:rsidR="005B4C34">
        <w:rPr>
          <w:lang w:eastAsia="en-US"/>
        </w:rPr>
        <w:t xml:space="preserve">oto nesmyslu obvinil Averroese. </w:t>
      </w:r>
      <w:r w:rsidR="08163013">
        <w:rPr>
          <w:lang w:eastAsia="en-US"/>
        </w:rPr>
        <w:t xml:space="preserve">Kosmická podoba </w:t>
      </w:r>
      <w:r w:rsidR="08163013" w:rsidRPr="086377EA">
        <w:rPr>
          <w:i/>
          <w:lang w:eastAsia="en-US"/>
        </w:rPr>
        <w:t>intellectus possibilis</w:t>
      </w:r>
      <w:r w:rsidR="08163013">
        <w:rPr>
          <w:i/>
          <w:lang w:eastAsia="en-US"/>
        </w:rPr>
        <w:t xml:space="preserve"> </w:t>
      </w:r>
      <w:r w:rsidR="08163013" w:rsidRPr="086377EA">
        <w:rPr>
          <w:lang w:eastAsia="en-US"/>
        </w:rPr>
        <w:t>v originálu CM</w:t>
      </w:r>
      <w:r w:rsidR="08163013">
        <w:rPr>
          <w:lang w:eastAsia="en-US"/>
        </w:rPr>
        <w:t>DA neexistuje</w:t>
      </w:r>
      <w:r w:rsidR="081A4384">
        <w:rPr>
          <w:lang w:eastAsia="en-US"/>
        </w:rPr>
        <w:t xml:space="preserve"> jako substance</w:t>
      </w:r>
      <w:r w:rsidR="0879057D">
        <w:rPr>
          <w:lang w:eastAsia="en-US"/>
        </w:rPr>
        <w:t>, protože čistá potence nemá žádnou možnost autonomní existence</w:t>
      </w:r>
      <w:r w:rsidR="08163013">
        <w:rPr>
          <w:lang w:eastAsia="en-US"/>
        </w:rPr>
        <w:t xml:space="preserve">. </w:t>
      </w:r>
    </w:p>
    <w:p w:rsidR="08163013" w:rsidRPr="005B4C34" w:rsidRDefault="08163013" w:rsidP="005B4C34">
      <w:pPr>
        <w:ind w:firstLine="397"/>
        <w:rPr>
          <w:lang w:eastAsia="en-US"/>
        </w:rPr>
      </w:pPr>
      <w:r>
        <w:rPr>
          <w:lang w:eastAsia="en-US"/>
        </w:rPr>
        <w:t xml:space="preserve">Akvinského modernismus měl nepopiratelné intelektuální kouzlo pro porretánské a avicennistické nominalisty v Oxfordu a v Paříži. </w:t>
      </w:r>
      <w:r w:rsidR="005B4C34">
        <w:rPr>
          <w:lang w:eastAsia="en-US"/>
        </w:rPr>
        <w:t xml:space="preserve">První případ toletánského mixu obou oddělených intelektů měla </w:t>
      </w:r>
      <w:r w:rsidR="005B4C34" w:rsidRPr="08BA723E">
        <w:rPr>
          <w:i/>
          <w:lang w:eastAsia="en-US"/>
        </w:rPr>
        <w:t>Summa Duacensis</w:t>
      </w:r>
      <w:r w:rsidR="005B4C34">
        <w:rPr>
          <w:lang w:eastAsia="en-US"/>
        </w:rPr>
        <w:t>, kde je vidět původní zdroj tohoto omylu ve škole Filipa Kancléře (</w:t>
      </w:r>
      <w:r w:rsidR="005B4C34" w:rsidRPr="08BA723E">
        <w:rPr>
          <w:i/>
        </w:rPr>
        <w:t>intellectus agens aut possibilis manet semper in sua substantia incorruptibilis et inmixtus materie</w:t>
      </w:r>
      <w:r w:rsidR="005B4C34">
        <w:t xml:space="preserve">; OBJ II, </w:t>
      </w:r>
      <w:r w:rsidR="005B4C34">
        <w:rPr>
          <w:lang w:eastAsia="en-US"/>
        </w:rPr>
        <w:t xml:space="preserve">kap 2.2.2). </w:t>
      </w:r>
      <w:r>
        <w:rPr>
          <w:lang w:eastAsia="en-US"/>
        </w:rPr>
        <w:t>Grossetesteho škola modernistů na Oxfordu neměla s přijetím tomismu žádný problém, na rozdíl od Pechamovy školy bránící s Rufusem a Bonaventurou univerzální hylemorfism</w:t>
      </w:r>
      <w:r w:rsidR="08C35CC9">
        <w:rPr>
          <w:lang w:eastAsia="en-US"/>
        </w:rPr>
        <w:t>us a pluralitu substancí (kap. 4</w:t>
      </w:r>
      <w:r>
        <w:rPr>
          <w:lang w:eastAsia="en-US"/>
        </w:rPr>
        <w:t xml:space="preserve">.2.2). Latinští sofisté se chtěli stát moderními aristoteliky, aby mohli jít po </w:t>
      </w:r>
      <w:proofErr w:type="gramStart"/>
      <w:r w:rsidRPr="08E06725">
        <w:rPr>
          <w:i/>
          <w:lang w:eastAsia="en-US"/>
        </w:rPr>
        <w:t>via</w:t>
      </w:r>
      <w:proofErr w:type="gramEnd"/>
      <w:r w:rsidRPr="08E06725">
        <w:rPr>
          <w:i/>
          <w:lang w:eastAsia="en-US"/>
        </w:rPr>
        <w:t xml:space="preserve"> Modernorum</w:t>
      </w:r>
      <w:r>
        <w:rPr>
          <w:lang w:eastAsia="en-US"/>
        </w:rPr>
        <w:t>. U modernistů v Paříži vznikl díky Akvinskému pluralismus fo</w:t>
      </w:r>
      <w:r w:rsidR="00F704A6">
        <w:rPr>
          <w:lang w:eastAsia="en-US"/>
        </w:rPr>
        <w:t>rem v duši, jako to měl Grosseteste. O</w:t>
      </w:r>
      <w:r>
        <w:rPr>
          <w:lang w:eastAsia="en-US"/>
        </w:rPr>
        <w:t xml:space="preserve">bojí výklad metafyziky a kosmologie byl veden v modu Toledské školy </w:t>
      </w:r>
      <w:r w:rsidRPr="080E11C8">
        <w:rPr>
          <w:i/>
          <w:lang w:eastAsia="en-US"/>
        </w:rPr>
        <w:t>ad mentem Averrois</w:t>
      </w:r>
      <w:r>
        <w:rPr>
          <w:i/>
          <w:lang w:eastAsia="en-US"/>
        </w:rPr>
        <w:fldChar w:fldCharType="begin"/>
      </w:r>
      <w:r>
        <w:instrText xml:space="preserve"> XE "</w:instrText>
      </w:r>
      <w:r w:rsidRPr="0882544D">
        <w:rPr>
          <w:i/>
          <w:lang w:eastAsia="en-US"/>
        </w:rPr>
        <w:instrText>ad mentem Averrois</w:instrText>
      </w:r>
      <w:r>
        <w:instrText xml:space="preserve">" </w:instrText>
      </w:r>
      <w:r>
        <w:rPr>
          <w:i/>
          <w:lang w:eastAsia="en-US"/>
        </w:rPr>
        <w:fldChar w:fldCharType="end"/>
      </w:r>
      <w:r>
        <w:rPr>
          <w:lang w:eastAsia="en-US"/>
        </w:rPr>
        <w:t xml:space="preserve">. </w:t>
      </w:r>
      <w:r w:rsidRPr="001701C6">
        <w:t>Nový aristotelský averroismus vzniká podle Avicennovy kosm</w:t>
      </w:r>
      <w:r w:rsidR="00FC2B5E">
        <w:t xml:space="preserve">ologie čistých inteligibilních </w:t>
      </w:r>
      <w:r w:rsidRPr="001701C6">
        <w:t>substančních forem (</w:t>
      </w:r>
      <w:r w:rsidRPr="001701C6">
        <w:rPr>
          <w:i/>
        </w:rPr>
        <w:t>Liber de philosophia prima</w:t>
      </w:r>
      <w:r w:rsidRPr="001701C6">
        <w:t xml:space="preserve"> V) a podle Komentátorova výkladu </w:t>
      </w:r>
      <w:r w:rsidRPr="001701C6">
        <w:rPr>
          <w:i/>
        </w:rPr>
        <w:t>Fyziky</w:t>
      </w:r>
      <w:r w:rsidRPr="001701C6">
        <w:t xml:space="preserve">. </w:t>
      </w:r>
      <w:r>
        <w:rPr>
          <w:lang w:eastAsia="en-US"/>
        </w:rPr>
        <w:t>Akvinský proto odmítl učení modernistů o kosmické duši (</w:t>
      </w:r>
      <w:r w:rsidRPr="083C0BC7">
        <w:rPr>
          <w:i/>
          <w:lang w:eastAsia="en-US"/>
        </w:rPr>
        <w:t>anima mundi</w:t>
      </w:r>
      <w:r>
        <w:rPr>
          <w:lang w:eastAsia="en-US"/>
        </w:rPr>
        <w:t>)</w:t>
      </w:r>
      <w:r>
        <w:rPr>
          <w:lang w:eastAsia="en-US"/>
        </w:rPr>
        <w:fldChar w:fldCharType="begin"/>
      </w:r>
      <w:r>
        <w:instrText xml:space="preserve"> XE "</w:instrText>
      </w:r>
      <w:r w:rsidRPr="083C0BC7">
        <w:rPr>
          <w:i/>
          <w:lang w:eastAsia="en-US"/>
        </w:rPr>
        <w:instrText>anima mundi</w:instrText>
      </w:r>
      <w:r>
        <w:instrText xml:space="preserve">" </w:instrText>
      </w:r>
      <w:r>
        <w:rPr>
          <w:lang w:eastAsia="en-US"/>
        </w:rPr>
        <w:fldChar w:fldCharType="end"/>
      </w:r>
      <w:r>
        <w:rPr>
          <w:lang w:eastAsia="en-US"/>
        </w:rPr>
        <w:t xml:space="preserve">, kterou měli modernisté v Oxfordu včetně Grossetesteho a Rufuse. Výklad averroistického </w:t>
      </w:r>
      <w:r w:rsidRPr="00DC5AD5">
        <w:rPr>
          <w:i/>
          <w:lang w:eastAsia="en-US"/>
        </w:rPr>
        <w:t>intellectus possibilis</w:t>
      </w:r>
      <w:r>
        <w:rPr>
          <w:i/>
          <w:lang w:eastAsia="en-US"/>
        </w:rPr>
        <w:t xml:space="preserve"> </w:t>
      </w:r>
      <w:r w:rsidRPr="00F34CA3">
        <w:rPr>
          <w:lang w:eastAsia="en-US"/>
        </w:rPr>
        <w:t xml:space="preserve">je dán </w:t>
      </w:r>
      <w:r>
        <w:rPr>
          <w:lang w:eastAsia="en-US"/>
        </w:rPr>
        <w:t xml:space="preserve">v modu nebeské </w:t>
      </w:r>
      <w:r>
        <w:rPr>
          <w:lang w:eastAsia="en-US"/>
        </w:rPr>
        <w:lastRenderedPageBreak/>
        <w:t xml:space="preserve">hierarchie intelektů, které představují plně aktuální formu </w:t>
      </w:r>
      <w:r w:rsidRPr="08A223E9">
        <w:rPr>
          <w:i/>
          <w:lang w:eastAsia="en-US"/>
        </w:rPr>
        <w:t>intellectus agens</w:t>
      </w:r>
      <w:r>
        <w:rPr>
          <w:lang w:eastAsia="en-US"/>
        </w:rPr>
        <w:t xml:space="preserve">. Ale jako stvořená jsoucna obsahují určitou míru potence. Tato potence musí být dána na úrovni čistých kosmických inteligencí-substancí jako kosmická forma </w:t>
      </w:r>
      <w:r w:rsidRPr="08A223E9">
        <w:rPr>
          <w:i/>
          <w:lang w:eastAsia="en-US"/>
        </w:rPr>
        <w:t>intellectus possibilis</w:t>
      </w:r>
      <w:r>
        <w:rPr>
          <w:lang w:eastAsia="en-US"/>
        </w:rPr>
        <w:t xml:space="preserve">, která umožňuje receptivní poznání </w:t>
      </w:r>
      <w:r w:rsidRPr="08A223E9">
        <w:rPr>
          <w:i/>
          <w:lang w:eastAsia="en-US"/>
        </w:rPr>
        <w:t>intellectus agens</w:t>
      </w:r>
      <w:r>
        <w:rPr>
          <w:lang w:eastAsia="en-US"/>
        </w:rPr>
        <w:t xml:space="preserve"> směrem do nižších forem. Synkretismem Avicenny a Averroese vznikl nový systém poznání kosmických inteligencí, který odpovídá pasivní a aktivní schopnosti intelektu podle spisu </w:t>
      </w:r>
      <w:r w:rsidRPr="08B82F92">
        <w:rPr>
          <w:i/>
          <w:lang w:eastAsia="en-US"/>
        </w:rPr>
        <w:t>De anima</w:t>
      </w:r>
      <w:r>
        <w:rPr>
          <w:lang w:eastAsia="en-US"/>
        </w:rPr>
        <w:t>. Pasivní složka nižší kosmické inteligence se připodobňuje vyšším sférám v modu recepce (</w:t>
      </w:r>
      <w:r w:rsidRPr="08834109">
        <w:rPr>
          <w:i/>
          <w:lang w:eastAsia="en-US"/>
        </w:rPr>
        <w:t>intellectus possibilis</w:t>
      </w:r>
      <w:r>
        <w:rPr>
          <w:lang w:eastAsia="en-US"/>
        </w:rPr>
        <w:t>), aktivní složka stejné inteligence naopak formuje nižší sféry (</w:t>
      </w:r>
      <w:r>
        <w:rPr>
          <w:i/>
          <w:lang w:eastAsia="en-US"/>
        </w:rPr>
        <w:t>intellectus agens</w:t>
      </w:r>
      <w:r>
        <w:rPr>
          <w:lang w:eastAsia="en-US"/>
        </w:rPr>
        <w:t xml:space="preserve">). Obojí druh poznání se děje v modu pravdy jako aristotelské adekvace odpovídajících schopností kosmických inteligencí. Averroistická osoba jako </w:t>
      </w:r>
      <w:r w:rsidRPr="08CB69AB">
        <w:rPr>
          <w:i/>
          <w:lang w:eastAsia="en-US"/>
        </w:rPr>
        <w:t>compositum</w:t>
      </w:r>
      <w:r>
        <w:rPr>
          <w:lang w:eastAsia="en-US"/>
        </w:rPr>
        <w:t xml:space="preserve"> dané konjunkcí obou intelektů představuje definici </w:t>
      </w:r>
      <w:r w:rsidR="00FC2B5E">
        <w:rPr>
          <w:lang w:eastAsia="en-US"/>
        </w:rPr>
        <w:t xml:space="preserve">poznávajícího subjektu </w:t>
      </w:r>
      <w:r>
        <w:rPr>
          <w:lang w:eastAsia="en-US"/>
        </w:rPr>
        <w:t xml:space="preserve">podle Avicenny a s pojetím </w:t>
      </w:r>
      <w:r w:rsidR="001C2F3A">
        <w:rPr>
          <w:lang w:eastAsia="en-US"/>
        </w:rPr>
        <w:t xml:space="preserve">poznávající </w:t>
      </w:r>
      <w:r>
        <w:rPr>
          <w:lang w:eastAsia="en-US"/>
        </w:rPr>
        <w:t xml:space="preserve">osoby v CMDA nemá nic společného. Aristotelik Averroes podle Akvinského učí mimo panteismus totéž, co neoplatonský aristotelik David z Dinantu, který spojuje kosmický a lidský </w:t>
      </w:r>
      <w:r w:rsidRPr="08AE5BA6">
        <w:rPr>
          <w:i/>
          <w:lang w:eastAsia="en-US"/>
        </w:rPr>
        <w:t>intellectus possibilis</w:t>
      </w:r>
      <w:r>
        <w:rPr>
          <w:lang w:eastAsia="en-US"/>
        </w:rPr>
        <w:t xml:space="preserve">. První je individualizován skrze </w:t>
      </w:r>
      <w:r w:rsidRPr="08AE5BA6">
        <w:rPr>
          <w:i/>
          <w:lang w:eastAsia="en-US"/>
        </w:rPr>
        <w:t>materia prima</w:t>
      </w:r>
      <w:r>
        <w:rPr>
          <w:lang w:eastAsia="en-US"/>
        </w:rPr>
        <w:t>, druhý skrze</w:t>
      </w:r>
      <w:r w:rsidR="00D17B3C">
        <w:rPr>
          <w:lang w:eastAsia="en-US"/>
        </w:rPr>
        <w:t xml:space="preserve"> potence těla</w:t>
      </w:r>
      <w:r>
        <w:rPr>
          <w:lang w:eastAsia="en-US"/>
        </w:rPr>
        <w:t>.</w:t>
      </w:r>
      <w:r w:rsidRPr="08157AD5">
        <w:rPr>
          <w:lang w:eastAsia="en-US"/>
        </w:rPr>
        <w:t xml:space="preserve"> </w:t>
      </w:r>
      <w:r w:rsidR="00997AEF">
        <w:rPr>
          <w:lang w:eastAsia="en-US"/>
        </w:rPr>
        <w:t xml:space="preserve">Pak </w:t>
      </w:r>
      <w:r w:rsidR="00C42E52">
        <w:rPr>
          <w:lang w:eastAsia="en-US"/>
        </w:rPr>
        <w:t xml:space="preserve">tento </w:t>
      </w:r>
      <w:r w:rsidR="00997AEF">
        <w:rPr>
          <w:lang w:eastAsia="en-US"/>
        </w:rPr>
        <w:t xml:space="preserve">averroistický </w:t>
      </w:r>
      <w:r w:rsidR="00997AEF" w:rsidRPr="00CF2092">
        <w:rPr>
          <w:i/>
          <w:szCs w:val="24"/>
        </w:rPr>
        <w:t xml:space="preserve">intellectus possibilis </w:t>
      </w:r>
      <w:r w:rsidR="00997AEF">
        <w:rPr>
          <w:szCs w:val="24"/>
        </w:rPr>
        <w:t xml:space="preserve">jako </w:t>
      </w:r>
      <w:r w:rsidR="08D13BE4">
        <w:rPr>
          <w:lang w:eastAsia="en-US"/>
        </w:rPr>
        <w:t>kosmická</w:t>
      </w:r>
      <w:r>
        <w:rPr>
          <w:lang w:eastAsia="en-US"/>
        </w:rPr>
        <w:t xml:space="preserve"> hypostáze </w:t>
      </w:r>
      <w:r w:rsidR="08D13BE4">
        <w:rPr>
          <w:lang w:eastAsia="en-US"/>
        </w:rPr>
        <w:t xml:space="preserve">působí </w:t>
      </w:r>
      <w:r>
        <w:rPr>
          <w:lang w:eastAsia="en-US"/>
        </w:rPr>
        <w:t xml:space="preserve">na naši duši v modu Alexandrova </w:t>
      </w:r>
      <w:r w:rsidR="08E438B7">
        <w:rPr>
          <w:lang w:eastAsia="en-US"/>
        </w:rPr>
        <w:t xml:space="preserve">odděleného </w:t>
      </w:r>
      <w:r w:rsidRPr="08932B4D">
        <w:rPr>
          <w:i/>
          <w:lang w:eastAsia="en-US"/>
        </w:rPr>
        <w:t>intellectus possibilis</w:t>
      </w:r>
      <w:r w:rsidR="08D13BE4">
        <w:rPr>
          <w:lang w:eastAsia="en-US"/>
        </w:rPr>
        <w:t xml:space="preserve">. Její recipient </w:t>
      </w:r>
      <w:r w:rsidR="08D57CEF">
        <w:rPr>
          <w:lang w:eastAsia="en-US"/>
        </w:rPr>
        <w:t xml:space="preserve">v duši </w:t>
      </w:r>
      <w:r>
        <w:rPr>
          <w:lang w:eastAsia="en-US"/>
        </w:rPr>
        <w:t xml:space="preserve">je </w:t>
      </w:r>
      <w:r w:rsidR="08D13BE4">
        <w:rPr>
          <w:lang w:eastAsia="en-US"/>
        </w:rPr>
        <w:t xml:space="preserve">pochopitelně hypostázovaná forma </w:t>
      </w:r>
      <w:r>
        <w:rPr>
          <w:lang w:eastAsia="en-US"/>
        </w:rPr>
        <w:t xml:space="preserve">Themistiova </w:t>
      </w:r>
      <w:r w:rsidRPr="00DC5AD5">
        <w:rPr>
          <w:i/>
          <w:lang w:eastAsia="en-US"/>
        </w:rPr>
        <w:t>intellectus</w:t>
      </w:r>
      <w:r>
        <w:rPr>
          <w:i/>
          <w:lang w:eastAsia="en-US"/>
        </w:rPr>
        <w:t xml:space="preserve"> materialis</w:t>
      </w:r>
      <w:r w:rsidR="00D4152F">
        <w:rPr>
          <w:lang w:eastAsia="en-US"/>
        </w:rPr>
        <w:t>. N</w:t>
      </w:r>
      <w:r>
        <w:rPr>
          <w:lang w:eastAsia="en-US"/>
        </w:rPr>
        <w:t>ásledující argument</w:t>
      </w:r>
      <w:r w:rsidR="00D4152F">
        <w:rPr>
          <w:lang w:eastAsia="en-US"/>
        </w:rPr>
        <w:t xml:space="preserve"> shrnuje celou teorii</w:t>
      </w:r>
      <w:r w:rsidRPr="00DC5AD5">
        <w:rPr>
          <w:lang w:eastAsia="en-US"/>
        </w:rPr>
        <w:t>.</w:t>
      </w:r>
    </w:p>
    <w:p w:rsidR="08163013" w:rsidRPr="00DC5AD5" w:rsidRDefault="08163013" w:rsidP="08163013">
      <w:pPr>
        <w:pStyle w:val="Citace"/>
        <w:rPr>
          <w:lang w:val="cs-CZ"/>
        </w:rPr>
      </w:pPr>
      <w:r>
        <w:rPr>
          <w:lang w:val="cs-CZ"/>
        </w:rPr>
        <w:t>„A tak je to i završeno v lidské duši, která zaujímá poslední stupeň na úrovni inteligibilních substancí. Možný intelekt v duši se totiž má k inteligibilním formám jako primární materie (</w:t>
      </w:r>
      <w:r w:rsidRPr="08AE5BA6">
        <w:rPr>
          <w:i/>
        </w:rPr>
        <w:t>intellectus possibilis eius se habet ad formas intelligibiles sicut materia prima</w:t>
      </w:r>
      <w:r>
        <w:rPr>
          <w:lang w:val="cs-CZ"/>
        </w:rPr>
        <w:t xml:space="preserve">), která zaujímá poslední stupeň na úrovni materiálních jsoucen vzhledem k materiálním formám, jak řekl Komentátor ve třetí knize </w:t>
      </w:r>
      <w:r w:rsidRPr="00DC5AD5">
        <w:rPr>
          <w:i/>
          <w:lang w:val="cs-CZ"/>
        </w:rPr>
        <w:t>De anima</w:t>
      </w:r>
      <w:r>
        <w:rPr>
          <w:lang w:val="cs-CZ"/>
        </w:rPr>
        <w:t>. Filosof srovnává tento intelekt s prázdnou tabulkou, na které není nic napsáno. A právě proto, že tento lidský intelekt má proti jiným inteligencím mnohem více potence, pak se realizuje tímto vhodným způsobem vůči materiálním věcem tak, aby materiální věc přitáhl k participaci na svém bytí (</w:t>
      </w:r>
      <w:r w:rsidRPr="00305955">
        <w:rPr>
          <w:i/>
        </w:rPr>
        <w:t>ut res materialis trahatur ad participandum esse suum</w:t>
      </w:r>
      <w:r>
        <w:rPr>
          <w:lang w:val="cs-CZ"/>
        </w:rPr>
        <w:t>). Tak totiž z duše a těla vzniká jedno bytí a jedna hylemorfická složenina v té míře (</w:t>
      </w:r>
      <w:r w:rsidRPr="08CB69AB">
        <w:rPr>
          <w:i/>
        </w:rPr>
        <w:t>ex anima et corpore resultat unum esse in uno composito</w:t>
      </w:r>
      <w:r>
        <w:rPr>
          <w:lang w:val="cs-CZ"/>
        </w:rPr>
        <w:t xml:space="preserve">), v jaké toto bytí vlastní duši není závislé na těle.“ </w:t>
      </w:r>
      <w:r>
        <w:rPr>
          <w:rStyle w:val="Znakapoznpodarou"/>
          <w:lang w:val="cs-CZ"/>
        </w:rPr>
        <w:footnoteReference w:id="288"/>
      </w:r>
    </w:p>
    <w:p w:rsidR="00115F9E" w:rsidRDefault="08163013" w:rsidP="08163013">
      <w:pPr>
        <w:rPr>
          <w:lang w:eastAsia="en-US"/>
        </w:rPr>
      </w:pPr>
      <w:r>
        <w:rPr>
          <w:lang w:eastAsia="en-US"/>
        </w:rPr>
        <w:lastRenderedPageBreak/>
        <w:t xml:space="preserve">Tomistická definice podává sofistickou podobu </w:t>
      </w:r>
      <w:r w:rsidRPr="00DC5AD5">
        <w:rPr>
          <w:i/>
          <w:lang w:eastAsia="en-US"/>
        </w:rPr>
        <w:t>intellectus possibilis</w:t>
      </w:r>
      <w:r>
        <w:rPr>
          <w:i/>
          <w:lang w:eastAsia="en-US"/>
        </w:rPr>
        <w:t xml:space="preserve"> </w:t>
      </w:r>
      <w:r w:rsidRPr="00FE5C48">
        <w:rPr>
          <w:lang w:eastAsia="en-US"/>
        </w:rPr>
        <w:t>jako</w:t>
      </w:r>
      <w:r>
        <w:rPr>
          <w:i/>
          <w:lang w:eastAsia="en-US"/>
        </w:rPr>
        <w:t xml:space="preserve"> </w:t>
      </w:r>
      <w:r>
        <w:rPr>
          <w:lang w:eastAsia="en-US"/>
        </w:rPr>
        <w:t xml:space="preserve">substance třetího druhu, která tvoří apriorně danou podmínku poznání kosmických inteligencí ve stylu Kantovy transcendentální dedukce. Lidský receptivní intelekt stojí v řadě komitací kosmického hypostázovaného </w:t>
      </w:r>
      <w:r w:rsidRPr="00DC5AD5">
        <w:rPr>
          <w:i/>
          <w:lang w:eastAsia="en-US"/>
        </w:rPr>
        <w:t>intellectus possibilis</w:t>
      </w:r>
      <w:r>
        <w:rPr>
          <w:i/>
          <w:lang w:eastAsia="en-US"/>
        </w:rPr>
        <w:t xml:space="preserve"> </w:t>
      </w:r>
      <w:r>
        <w:rPr>
          <w:lang w:eastAsia="en-US"/>
        </w:rPr>
        <w:t>až na posle</w:t>
      </w:r>
      <w:r w:rsidRPr="0884003C">
        <w:rPr>
          <w:lang w:eastAsia="en-US"/>
        </w:rPr>
        <w:t xml:space="preserve">dním místě. </w:t>
      </w:r>
      <w:r>
        <w:rPr>
          <w:lang w:eastAsia="en-US"/>
        </w:rPr>
        <w:t xml:space="preserve">Náš </w:t>
      </w:r>
      <w:r w:rsidRPr="00DC5AD5">
        <w:rPr>
          <w:i/>
          <w:lang w:eastAsia="en-US"/>
        </w:rPr>
        <w:t>intellectus possibilis</w:t>
      </w:r>
      <w:r>
        <w:rPr>
          <w:lang w:eastAsia="en-US"/>
        </w:rPr>
        <w:t xml:space="preserve"> </w:t>
      </w:r>
      <w:r w:rsidR="007C66CE">
        <w:rPr>
          <w:lang w:eastAsia="en-US"/>
        </w:rPr>
        <w:t xml:space="preserve">je </w:t>
      </w:r>
      <w:r>
        <w:rPr>
          <w:lang w:eastAsia="en-US"/>
        </w:rPr>
        <w:t xml:space="preserve">daný individuálně </w:t>
      </w:r>
      <w:r w:rsidR="007C66CE">
        <w:rPr>
          <w:lang w:eastAsia="en-US"/>
        </w:rPr>
        <w:t xml:space="preserve">a komunikuje s </w:t>
      </w:r>
      <w:r>
        <w:rPr>
          <w:lang w:eastAsia="en-US"/>
        </w:rPr>
        <w:t>materií, protože přímo recipuje svět hylemorfických substanc</w:t>
      </w:r>
      <w:r w:rsidR="00115F9E">
        <w:rPr>
          <w:lang w:eastAsia="en-US"/>
        </w:rPr>
        <w:t>í.</w:t>
      </w:r>
    </w:p>
    <w:p w:rsidR="08163013" w:rsidRDefault="00115F9E" w:rsidP="002F5630">
      <w:pPr>
        <w:ind w:firstLine="397"/>
        <w:rPr>
          <w:lang w:eastAsia="en-US"/>
        </w:rPr>
      </w:pPr>
      <w:r>
        <w:rPr>
          <w:lang w:eastAsia="en-US"/>
        </w:rPr>
        <w:t>Akvinský obhajoval</w:t>
      </w:r>
      <w:r w:rsidR="08D57CEF">
        <w:rPr>
          <w:lang w:eastAsia="en-US"/>
        </w:rPr>
        <w:t xml:space="preserve"> až d</w:t>
      </w:r>
      <w:r w:rsidR="08A8245A">
        <w:rPr>
          <w:lang w:eastAsia="en-US"/>
        </w:rPr>
        <w:t>o své smrti tento výklad averro</w:t>
      </w:r>
      <w:r w:rsidR="08D57CEF">
        <w:rPr>
          <w:lang w:eastAsia="en-US"/>
        </w:rPr>
        <w:t>i</w:t>
      </w:r>
      <w:r w:rsidR="08A8245A">
        <w:rPr>
          <w:lang w:eastAsia="en-US"/>
        </w:rPr>
        <w:t>s</w:t>
      </w:r>
      <w:r w:rsidR="08D57CEF">
        <w:rPr>
          <w:lang w:eastAsia="en-US"/>
        </w:rPr>
        <w:t xml:space="preserve">tického Averrose. Toto naprosto mylné pojetí CMDA </w:t>
      </w:r>
      <w:r w:rsidR="08A8245A">
        <w:rPr>
          <w:lang w:eastAsia="en-US"/>
        </w:rPr>
        <w:t xml:space="preserve">pak logicky </w:t>
      </w:r>
      <w:r w:rsidR="08D57CEF">
        <w:rPr>
          <w:lang w:eastAsia="en-US"/>
        </w:rPr>
        <w:t xml:space="preserve">potřebuje </w:t>
      </w:r>
      <w:r w:rsidR="08A8245A">
        <w:rPr>
          <w:lang w:eastAsia="en-US"/>
        </w:rPr>
        <w:t>upravenou verzi Themistio</w:t>
      </w:r>
      <w:r w:rsidR="08163013">
        <w:rPr>
          <w:lang w:eastAsia="en-US"/>
        </w:rPr>
        <w:t>v</w:t>
      </w:r>
      <w:r w:rsidR="08A8245A">
        <w:rPr>
          <w:lang w:eastAsia="en-US"/>
        </w:rPr>
        <w:t>a a Teofrasto</w:t>
      </w:r>
      <w:r w:rsidR="08163013">
        <w:rPr>
          <w:lang w:eastAsia="en-US"/>
        </w:rPr>
        <w:t>v</w:t>
      </w:r>
      <w:r w:rsidR="08A8245A">
        <w:rPr>
          <w:lang w:eastAsia="en-US"/>
        </w:rPr>
        <w:t>a</w:t>
      </w:r>
      <w:r w:rsidR="08163013">
        <w:rPr>
          <w:lang w:eastAsia="en-US"/>
        </w:rPr>
        <w:t xml:space="preserve"> </w:t>
      </w:r>
      <w:r w:rsidR="08D57CEF" w:rsidRPr="08D57CEF">
        <w:rPr>
          <w:i/>
          <w:lang w:eastAsia="en-US"/>
        </w:rPr>
        <w:t>intellectus materialis</w:t>
      </w:r>
      <w:r w:rsidR="08D57CEF">
        <w:rPr>
          <w:lang w:eastAsia="en-US"/>
        </w:rPr>
        <w:t xml:space="preserve"> </w:t>
      </w:r>
      <w:r w:rsidR="08AC11FF">
        <w:rPr>
          <w:lang w:eastAsia="en-US"/>
        </w:rPr>
        <w:t>jako další hypostázovanou formu v lidské duši</w:t>
      </w:r>
      <w:r w:rsidR="08163013">
        <w:rPr>
          <w:lang w:eastAsia="en-US"/>
        </w:rPr>
        <w:t xml:space="preserve">. Dílo </w:t>
      </w:r>
      <w:r w:rsidR="08163013" w:rsidRPr="08386A86">
        <w:rPr>
          <w:i/>
          <w:lang w:eastAsia="en-US"/>
        </w:rPr>
        <w:t>De unitate</w:t>
      </w:r>
      <w:r w:rsidR="08163013">
        <w:rPr>
          <w:lang w:eastAsia="en-US"/>
        </w:rPr>
        <w:t xml:space="preserve"> </w:t>
      </w:r>
      <w:r w:rsidR="08163013" w:rsidRPr="08386A86">
        <w:rPr>
          <w:i/>
          <w:lang w:eastAsia="en-US"/>
        </w:rPr>
        <w:t>intellectus</w:t>
      </w:r>
      <w:r w:rsidR="08842788">
        <w:rPr>
          <w:lang w:eastAsia="en-US"/>
        </w:rPr>
        <w:t xml:space="preserve"> </w:t>
      </w:r>
      <w:r w:rsidR="08163013">
        <w:rPr>
          <w:lang w:eastAsia="en-US"/>
        </w:rPr>
        <w:t xml:space="preserve">pouze vydělilo </w:t>
      </w:r>
      <w:r w:rsidR="08842788">
        <w:rPr>
          <w:lang w:eastAsia="en-US"/>
        </w:rPr>
        <w:t xml:space="preserve">tento </w:t>
      </w:r>
      <w:r w:rsidR="083B777B">
        <w:rPr>
          <w:lang w:eastAsia="en-US"/>
        </w:rPr>
        <w:t xml:space="preserve">hypostázovaný </w:t>
      </w:r>
      <w:r w:rsidR="08842788">
        <w:rPr>
          <w:lang w:eastAsia="en-US"/>
        </w:rPr>
        <w:t xml:space="preserve">receptivní intelekt </w:t>
      </w:r>
      <w:r w:rsidR="08163013">
        <w:rPr>
          <w:lang w:eastAsia="en-US"/>
        </w:rPr>
        <w:t>z</w:t>
      </w:r>
      <w:r w:rsidR="081051AF">
        <w:rPr>
          <w:lang w:eastAsia="en-US"/>
        </w:rPr>
        <w:t xml:space="preserve"> naprosto </w:t>
      </w:r>
      <w:r w:rsidR="08163013">
        <w:rPr>
          <w:lang w:eastAsia="en-US"/>
        </w:rPr>
        <w:t xml:space="preserve">chybné koncepce </w:t>
      </w:r>
      <w:r w:rsidR="08842788">
        <w:rPr>
          <w:lang w:eastAsia="en-US"/>
        </w:rPr>
        <w:t>modernistů dané v modu univerzá</w:t>
      </w:r>
      <w:r w:rsidR="081051AF">
        <w:rPr>
          <w:lang w:eastAsia="en-US"/>
        </w:rPr>
        <w:t>l</w:t>
      </w:r>
      <w:r w:rsidR="08842788">
        <w:rPr>
          <w:lang w:eastAsia="en-US"/>
        </w:rPr>
        <w:t xml:space="preserve">ního hylemorfismu. Akvinský vytvořil novou formu averroistického </w:t>
      </w:r>
      <w:r w:rsidR="08842788" w:rsidRPr="08842788">
        <w:rPr>
          <w:i/>
          <w:lang w:eastAsia="en-US"/>
        </w:rPr>
        <w:t>intellectus possibilis</w:t>
      </w:r>
      <w:r w:rsidR="08842788">
        <w:rPr>
          <w:lang w:eastAsia="en-US"/>
        </w:rPr>
        <w:t xml:space="preserve"> na způsob výše uvedeného aristotelismu Avicenny a </w:t>
      </w:r>
      <w:r w:rsidR="08163013">
        <w:rPr>
          <w:lang w:eastAsia="en-US"/>
        </w:rPr>
        <w:t xml:space="preserve">dal </w:t>
      </w:r>
      <w:r w:rsidR="08842788">
        <w:rPr>
          <w:lang w:eastAsia="en-US"/>
        </w:rPr>
        <w:t xml:space="preserve">jej </w:t>
      </w:r>
      <w:r w:rsidR="08D57CEF">
        <w:rPr>
          <w:lang w:eastAsia="en-US"/>
        </w:rPr>
        <w:t>do duše jako samostatnou formu</w:t>
      </w:r>
      <w:r w:rsidR="08163013">
        <w:rPr>
          <w:lang w:eastAsia="en-US"/>
        </w:rPr>
        <w:t>. Citát předvádí dionýsiovskou nebeskou hierarchii substančních intelektů (</w:t>
      </w:r>
      <w:r w:rsidR="08163013" w:rsidRPr="0878062F">
        <w:rPr>
          <w:i/>
          <w:lang w:eastAsia="en-US"/>
        </w:rPr>
        <w:t>agens</w:t>
      </w:r>
      <w:r w:rsidR="08163013">
        <w:rPr>
          <w:lang w:eastAsia="en-US"/>
        </w:rPr>
        <w:t xml:space="preserve">, </w:t>
      </w:r>
      <w:r w:rsidR="08163013" w:rsidRPr="0878062F">
        <w:rPr>
          <w:i/>
          <w:lang w:eastAsia="en-US"/>
        </w:rPr>
        <w:t>possibilis</w:t>
      </w:r>
      <w:r w:rsidR="08163013">
        <w:rPr>
          <w:lang w:eastAsia="en-US"/>
        </w:rPr>
        <w:t xml:space="preserve">) sestupujících od kosmických forem směrem dolů k člověku a sofisticky </w:t>
      </w:r>
      <w:r w:rsidR="08EC1CBD">
        <w:rPr>
          <w:lang w:eastAsia="en-US"/>
        </w:rPr>
        <w:t>ji vydává za Averroesovo pojetí</w:t>
      </w:r>
      <w:r w:rsidR="08163013">
        <w:rPr>
          <w:lang w:eastAsia="en-US"/>
        </w:rPr>
        <w:t>. Tento fakt neunikl bdělému Wéberovi</w:t>
      </w:r>
      <w:r w:rsidR="08163013">
        <w:rPr>
          <w:lang w:eastAsia="en-US"/>
        </w:rPr>
        <w:fldChar w:fldCharType="begin"/>
      </w:r>
      <w:r w:rsidR="08163013">
        <w:instrText xml:space="preserve"> XE "</w:instrText>
      </w:r>
      <w:r w:rsidR="08163013" w:rsidRPr="005B021F">
        <w:rPr>
          <w:lang w:eastAsia="en-US"/>
        </w:rPr>
        <w:instrText>Wéber, E. H.</w:instrText>
      </w:r>
      <w:r w:rsidR="08163013">
        <w:instrText xml:space="preserve">" </w:instrText>
      </w:r>
      <w:r w:rsidR="08163013">
        <w:rPr>
          <w:lang w:eastAsia="en-US"/>
        </w:rPr>
        <w:fldChar w:fldCharType="end"/>
      </w:r>
      <w:r w:rsidR="08163013">
        <w:rPr>
          <w:lang w:eastAsia="en-US"/>
        </w:rPr>
        <w:t xml:space="preserve"> v jeho originální analýze T</w:t>
      </w:r>
      <w:r w:rsidR="08EC1CBD">
        <w:rPr>
          <w:lang w:eastAsia="en-US"/>
        </w:rPr>
        <w:t xml:space="preserve">omášova korpusu, ale bohužel </w:t>
      </w:r>
      <w:r w:rsidR="08163013">
        <w:rPr>
          <w:lang w:eastAsia="en-US"/>
        </w:rPr>
        <w:t xml:space="preserve">tento tomista interpretoval </w:t>
      </w:r>
      <w:r w:rsidR="08EC1CBD">
        <w:rPr>
          <w:lang w:eastAsia="en-US"/>
        </w:rPr>
        <w:t xml:space="preserve">hierarchii inteligencí </w:t>
      </w:r>
      <w:r w:rsidR="08163013">
        <w:rPr>
          <w:lang w:eastAsia="en-US"/>
        </w:rPr>
        <w:t xml:space="preserve">neoplatonsky místo aristotelsky (Wéber 1991, 218‒32). Wéber navíc paušálně připsal typ receptivní kosmické inteligence v modu Dionysiova </w:t>
      </w:r>
      <w:r w:rsidR="08163013" w:rsidRPr="002C786F">
        <w:rPr>
          <w:i/>
          <w:lang w:eastAsia="en-US"/>
        </w:rPr>
        <w:t>Peri Fýseon</w:t>
      </w:r>
      <w:r w:rsidR="08163013">
        <w:rPr>
          <w:lang w:eastAsia="en-US"/>
        </w:rPr>
        <w:t xml:space="preserve"> celé škole prvního a druhého averroismu, tedy Dinantovi, Alvernovi, Albertovi a Akvinskému, z nichž udělal zástupce neoplatonismu. </w:t>
      </w:r>
      <w:r w:rsidR="00F25F62">
        <w:rPr>
          <w:lang w:eastAsia="en-US"/>
        </w:rPr>
        <w:t xml:space="preserve">Nejdůležitější text na toto téma </w:t>
      </w:r>
      <w:r w:rsidR="08163013">
        <w:rPr>
          <w:lang w:eastAsia="en-US"/>
        </w:rPr>
        <w:t xml:space="preserve">obsahuje druhá kniha Sentencí, v níž se řeší všechny hlavní teorie ohledně numericky jednotného intelektu. Akvinský nejprve odmítne Avicennovo pojetí kosmického a odděleného </w:t>
      </w:r>
      <w:r w:rsidR="08163013" w:rsidRPr="00E50250">
        <w:rPr>
          <w:i/>
          <w:lang w:eastAsia="en-US"/>
        </w:rPr>
        <w:t>intellectus agens</w:t>
      </w:r>
      <w:r w:rsidR="00C73C0F">
        <w:rPr>
          <w:lang w:eastAsia="en-US"/>
        </w:rPr>
        <w:t xml:space="preserve">. V souladu s biskupem Alvernem (OBJ II, kap. 2.3) odmítne přímé působení tohoto odděleného činného intelektu </w:t>
      </w:r>
      <w:r w:rsidR="08163013">
        <w:rPr>
          <w:lang w:eastAsia="en-US"/>
        </w:rPr>
        <w:t>n</w:t>
      </w:r>
      <w:r w:rsidR="00C73C0F">
        <w:rPr>
          <w:lang w:eastAsia="en-US"/>
        </w:rPr>
        <w:t>a lidské poznání jako herezi</w:t>
      </w:r>
      <w:r w:rsidR="08163013">
        <w:rPr>
          <w:lang w:eastAsia="en-US"/>
        </w:rPr>
        <w:t xml:space="preserve">. Pak odmítne kosmický </w:t>
      </w:r>
      <w:r w:rsidR="08163013" w:rsidRPr="08024B7A">
        <w:rPr>
          <w:i/>
          <w:lang w:eastAsia="en-US"/>
        </w:rPr>
        <w:t>intellectus possibilis</w:t>
      </w:r>
      <w:r w:rsidR="08163013">
        <w:rPr>
          <w:lang w:eastAsia="en-US"/>
        </w:rPr>
        <w:t xml:space="preserve"> podle </w:t>
      </w:r>
      <w:r w:rsidR="00C73C0F">
        <w:rPr>
          <w:lang w:eastAsia="en-US"/>
        </w:rPr>
        <w:t xml:space="preserve">vlastního averroistického </w:t>
      </w:r>
      <w:r w:rsidR="08163013">
        <w:rPr>
          <w:lang w:eastAsia="en-US"/>
        </w:rPr>
        <w:t xml:space="preserve">výkladu Averroese vyloženého výše. Ve finále bere Avicennovo pojetí možného intelektu jako křesťanské, protože jeho </w:t>
      </w:r>
      <w:r w:rsidR="08163013" w:rsidRPr="08024B7A">
        <w:rPr>
          <w:i/>
          <w:lang w:eastAsia="en-US"/>
        </w:rPr>
        <w:t>intellectus possibilis</w:t>
      </w:r>
      <w:r w:rsidR="08163013">
        <w:rPr>
          <w:lang w:eastAsia="en-US"/>
        </w:rPr>
        <w:t xml:space="preserve"> je numericky individualizovaný podle poznávající</w:t>
      </w:r>
      <w:r w:rsidR="00B806CA">
        <w:rPr>
          <w:lang w:eastAsia="en-US"/>
        </w:rPr>
        <w:t>ch</w:t>
      </w:r>
      <w:r w:rsidR="002F5630">
        <w:rPr>
          <w:lang w:eastAsia="en-US"/>
        </w:rPr>
        <w:t xml:space="preserve"> osob. </w:t>
      </w:r>
      <w:r w:rsidR="00117929">
        <w:rPr>
          <w:lang w:eastAsia="en-US"/>
        </w:rPr>
        <w:t xml:space="preserve">Tomáš jako velmi nadaný reprezentant školy </w:t>
      </w:r>
      <w:r w:rsidR="00117929" w:rsidRPr="00117929">
        <w:rPr>
          <w:i/>
          <w:lang w:eastAsia="en-US"/>
        </w:rPr>
        <w:t>sophistae Latini</w:t>
      </w:r>
      <w:r w:rsidR="00117929">
        <w:rPr>
          <w:lang w:eastAsia="en-US"/>
        </w:rPr>
        <w:t xml:space="preserve"> vytvořil novou mytologii poznávacího aktu. Z hlediska výkladu CMDA, je jeho raná tomistická teorie (ale nikoliv její </w:t>
      </w:r>
      <w:r w:rsidR="00117929">
        <w:rPr>
          <w:lang w:eastAsia="en-US"/>
        </w:rPr>
        <w:lastRenderedPageBreak/>
        <w:t xml:space="preserve">konečná fáze) založena na dvou zásadních omylech. </w:t>
      </w:r>
      <w:r w:rsidR="00E536FB" w:rsidRPr="00E536FB">
        <w:rPr>
          <w:lang w:eastAsia="en-US"/>
        </w:rPr>
        <w:t xml:space="preserve">Za prvé: osobní výkon intelektu jako </w:t>
      </w:r>
      <w:r w:rsidR="00E536FB" w:rsidRPr="00E536FB">
        <w:rPr>
          <w:i/>
          <w:lang w:eastAsia="en-US"/>
        </w:rPr>
        <w:t>tertium genus</w:t>
      </w:r>
      <w:r w:rsidR="00E536FB" w:rsidRPr="00E536FB">
        <w:rPr>
          <w:lang w:eastAsia="en-US"/>
        </w:rPr>
        <w:t xml:space="preserve"> podle CMDA byl nahrazen sofistickou výměnou </w:t>
      </w:r>
      <w:r w:rsidR="00E536FB">
        <w:rPr>
          <w:lang w:eastAsia="en-US"/>
        </w:rPr>
        <w:t xml:space="preserve">za </w:t>
      </w:r>
      <w:r w:rsidR="00E536FB" w:rsidRPr="00E536FB">
        <w:rPr>
          <w:i/>
          <w:lang w:eastAsia="en-US"/>
        </w:rPr>
        <w:t>intellectus materialis</w:t>
      </w:r>
      <w:r w:rsidR="00E536FB">
        <w:rPr>
          <w:lang w:eastAsia="en-US"/>
        </w:rPr>
        <w:t xml:space="preserve"> podle Avi</w:t>
      </w:r>
      <w:r w:rsidR="00E536FB" w:rsidRPr="00E536FB">
        <w:rPr>
          <w:lang w:eastAsia="en-US"/>
        </w:rPr>
        <w:t>cenny. Za druhé: vůbec ne</w:t>
      </w:r>
      <w:r w:rsidR="00E536FB">
        <w:rPr>
          <w:lang w:eastAsia="en-US"/>
        </w:rPr>
        <w:t xml:space="preserve">pochopil </w:t>
      </w:r>
      <w:r w:rsidR="00E536FB" w:rsidRPr="00E536FB">
        <w:rPr>
          <w:lang w:eastAsia="en-US"/>
        </w:rPr>
        <w:t xml:space="preserve">funkci a pojetí intelektu jako </w:t>
      </w:r>
      <w:r w:rsidR="00E536FB" w:rsidRPr="00E536FB">
        <w:rPr>
          <w:i/>
          <w:lang w:eastAsia="en-US"/>
        </w:rPr>
        <w:t>quartum genus</w:t>
      </w:r>
      <w:r w:rsidR="00E536FB" w:rsidRPr="00E536FB">
        <w:rPr>
          <w:lang w:eastAsia="en-US"/>
        </w:rPr>
        <w:t xml:space="preserve"> podle CMDA a bral </w:t>
      </w:r>
      <w:r w:rsidR="00E536FB">
        <w:rPr>
          <w:lang w:eastAsia="en-US"/>
        </w:rPr>
        <w:t xml:space="preserve">Averroésův </w:t>
      </w:r>
      <w:r w:rsidR="00E536FB" w:rsidRPr="00E536FB">
        <w:rPr>
          <w:lang w:eastAsia="en-US"/>
        </w:rPr>
        <w:t xml:space="preserve">intelekt jako </w:t>
      </w:r>
      <w:r w:rsidR="00E536FB">
        <w:rPr>
          <w:lang w:eastAsia="en-US"/>
        </w:rPr>
        <w:t>quartum g</w:t>
      </w:r>
      <w:r w:rsidR="00E536FB" w:rsidRPr="00E536FB">
        <w:rPr>
          <w:lang w:eastAsia="en-US"/>
        </w:rPr>
        <w:t xml:space="preserve">enus </w:t>
      </w:r>
      <w:r w:rsidR="00E536FB">
        <w:rPr>
          <w:lang w:eastAsia="en-US"/>
        </w:rPr>
        <w:t xml:space="preserve">za jím vytvořený </w:t>
      </w:r>
      <w:r w:rsidR="00E536FB" w:rsidRPr="00E536FB">
        <w:rPr>
          <w:lang w:eastAsia="en-US"/>
        </w:rPr>
        <w:t xml:space="preserve">kosmický </w:t>
      </w:r>
      <w:r w:rsidR="00E536FB" w:rsidRPr="00E536FB">
        <w:rPr>
          <w:i/>
          <w:lang w:eastAsia="en-US"/>
        </w:rPr>
        <w:t>intellectus possibilis</w:t>
      </w:r>
      <w:r w:rsidR="00E536FB" w:rsidRPr="00E536FB">
        <w:rPr>
          <w:lang w:eastAsia="en-US"/>
        </w:rPr>
        <w:t xml:space="preserve">. </w:t>
      </w:r>
      <w:r w:rsidR="00E536FB">
        <w:rPr>
          <w:lang w:eastAsia="en-US"/>
        </w:rPr>
        <w:t xml:space="preserve">Na základě těchto dvou </w:t>
      </w:r>
      <w:r w:rsidR="00E536FB" w:rsidRPr="00E536FB">
        <w:rPr>
          <w:lang w:eastAsia="en-US"/>
        </w:rPr>
        <w:t>základní</w:t>
      </w:r>
      <w:r w:rsidR="00E536FB">
        <w:rPr>
          <w:lang w:eastAsia="en-US"/>
        </w:rPr>
        <w:t xml:space="preserve">ch </w:t>
      </w:r>
      <w:r w:rsidR="00E536FB" w:rsidRPr="00E536FB">
        <w:rPr>
          <w:lang w:eastAsia="en-US"/>
        </w:rPr>
        <w:t>chyb Akvinský vytvořil</w:t>
      </w:r>
      <w:r w:rsidR="00E536FB">
        <w:rPr>
          <w:lang w:eastAsia="en-US"/>
        </w:rPr>
        <w:t xml:space="preserve"> tomistickou verzi averroismu</w:t>
      </w:r>
      <w:r w:rsidR="00E536FB" w:rsidRPr="00E536FB">
        <w:rPr>
          <w:lang w:eastAsia="en-US"/>
        </w:rPr>
        <w:t>.</w:t>
      </w:r>
      <w:r w:rsidR="00E536FB">
        <w:rPr>
          <w:lang w:eastAsia="en-US"/>
        </w:rPr>
        <w:t xml:space="preserve"> </w:t>
      </w:r>
      <w:r w:rsidR="08163013">
        <w:rPr>
          <w:lang w:eastAsia="en-US"/>
        </w:rPr>
        <w:t>Následující citát ukazuje základní rysy avicennistického pojetí možného intelektu, které drží Akvinský až do konce své myslitelské dráhy.</w:t>
      </w:r>
    </w:p>
    <w:p w:rsidR="08163013" w:rsidRDefault="08163013" w:rsidP="08163013">
      <w:pPr>
        <w:pStyle w:val="Citace"/>
        <w:rPr>
          <w:lang w:eastAsia="en-US"/>
        </w:rPr>
      </w:pPr>
      <w:r>
        <w:rPr>
          <w:lang w:val="cs-CZ"/>
        </w:rPr>
        <w:t>„</w:t>
      </w:r>
      <w:r>
        <w:t xml:space="preserve">Třetí názor je Avicenny v jeho traktátu </w:t>
      </w:r>
      <w:r w:rsidRPr="00760342">
        <w:rPr>
          <w:i/>
        </w:rPr>
        <w:t>De anima</w:t>
      </w:r>
      <w:r>
        <w:rPr>
          <w:i/>
          <w:lang w:val="cs-CZ"/>
        </w:rPr>
        <w:t xml:space="preserve"> </w:t>
      </w:r>
      <w:proofErr w:type="gramStart"/>
      <w:r w:rsidRPr="086F5AAC">
        <w:rPr>
          <w:lang w:val="cs-CZ"/>
        </w:rPr>
        <w:t>VII.5‒6</w:t>
      </w:r>
      <w:proofErr w:type="gramEnd"/>
      <w:r>
        <w:t>, v němž dal možný intelekt individualizovaně do každého jednotlivce zvlášť (</w:t>
      </w:r>
      <w:r w:rsidRPr="00760342">
        <w:rPr>
          <w:i/>
        </w:rPr>
        <w:t>ponit intellectum possibilem in diversis diversum</w:t>
      </w:r>
      <w:r>
        <w:t>) a založil jej přímo v esenci racionální duše</w:t>
      </w:r>
      <w:r>
        <w:rPr>
          <w:lang w:val="cs-CZ"/>
        </w:rPr>
        <w:t>,</w:t>
      </w:r>
      <w:r>
        <w:t xml:space="preserve"> a nikoliv jako tělesnou schopnost</w:t>
      </w:r>
      <w:r>
        <w:rPr>
          <w:lang w:val="cs-CZ"/>
        </w:rPr>
        <w:t xml:space="preserve"> (</w:t>
      </w:r>
      <w:r w:rsidRPr="08F45BAB">
        <w:rPr>
          <w:i/>
        </w:rPr>
        <w:t>fundatum in essentia animae rationalis, et non esse virtutem corporalem</w:t>
      </w:r>
      <w:r>
        <w:rPr>
          <w:lang w:val="cs-CZ"/>
        </w:rPr>
        <w:t>)</w:t>
      </w:r>
      <w:r>
        <w:t>. Z těla tato schopnost vychází, ale zánikem těla nekončí (</w:t>
      </w:r>
      <w:r>
        <w:rPr>
          <w:i/>
        </w:rPr>
        <w:t>corpore incipere, sed non cum</w:t>
      </w:r>
      <w:r>
        <w:rPr>
          <w:i/>
          <w:lang w:val="cs-CZ"/>
        </w:rPr>
        <w:t xml:space="preserve"> </w:t>
      </w:r>
      <w:r w:rsidRPr="00760342">
        <w:rPr>
          <w:i/>
        </w:rPr>
        <w:t xml:space="preserve">corpore </w:t>
      </w:r>
      <w:r w:rsidRPr="00760342">
        <w:rPr>
          <w:i/>
          <w:lang w:val="cs-CZ"/>
        </w:rPr>
        <w:t>f</w:t>
      </w:r>
      <w:r w:rsidRPr="00760342">
        <w:rPr>
          <w:i/>
        </w:rPr>
        <w:t>iniri</w:t>
      </w:r>
      <w:r>
        <w:t>). Proto jeho výklad možného intelektu považujeme za shodný s křesťanskou vírou</w:t>
      </w:r>
      <w:r>
        <w:rPr>
          <w:lang w:val="cs-CZ"/>
        </w:rPr>
        <w:t xml:space="preserve"> (</w:t>
      </w:r>
      <w:r w:rsidRPr="087847A3">
        <w:rPr>
          <w:i/>
        </w:rPr>
        <w:t>ad intellectum possibilem, ejus opinio est quam tenemus secundum fidem catholicam</w:t>
      </w:r>
      <w:r>
        <w:rPr>
          <w:lang w:val="cs-CZ"/>
        </w:rPr>
        <w:t>)</w:t>
      </w:r>
      <w:r>
        <w:t xml:space="preserve">, i když se s ostatními filosofy mýlil v otázce </w:t>
      </w:r>
      <w:r w:rsidR="00476815">
        <w:rPr>
          <w:rFonts w:cs="Calibri"/>
        </w:rPr>
        <w:t>[</w:t>
      </w:r>
      <w:r w:rsidR="00476815">
        <w:rPr>
          <w:rFonts w:cs="Calibri"/>
          <w:lang w:val="cs-CZ"/>
        </w:rPr>
        <w:t>odděleného</w:t>
      </w:r>
      <w:r w:rsidR="00476815">
        <w:rPr>
          <w:rFonts w:cs="Calibri"/>
        </w:rPr>
        <w:t>]</w:t>
      </w:r>
      <w:r w:rsidR="00476815">
        <w:rPr>
          <w:rFonts w:cs="Calibri"/>
          <w:lang w:val="cs-CZ"/>
        </w:rPr>
        <w:t xml:space="preserve"> </w:t>
      </w:r>
      <w:r>
        <w:t>činného intelektu, jak už bylo řečeno výše.“ </w:t>
      </w:r>
      <w:r>
        <w:rPr>
          <w:rStyle w:val="Znakapoznpodarou"/>
          <w:lang w:eastAsia="en-US"/>
        </w:rPr>
        <w:footnoteReference w:id="289"/>
      </w:r>
      <w:r>
        <w:rPr>
          <w:lang w:eastAsia="en-US"/>
        </w:rPr>
        <w:t xml:space="preserve"> </w:t>
      </w:r>
    </w:p>
    <w:p w:rsidR="08163013" w:rsidRDefault="08163013" w:rsidP="08163013">
      <w:pPr>
        <w:rPr>
          <w:lang w:eastAsia="en-US"/>
        </w:rPr>
      </w:pPr>
      <w:r>
        <w:t xml:space="preserve">Avicennův </w:t>
      </w:r>
      <w:r w:rsidRPr="080A4F36">
        <w:rPr>
          <w:i/>
        </w:rPr>
        <w:t>intellectus possibilis</w:t>
      </w:r>
      <w:r>
        <w:t xml:space="preserve"> je nemateriální schopnost založená v racionální esenci duše (</w:t>
      </w:r>
      <w:r w:rsidRPr="080A4F36">
        <w:rPr>
          <w:i/>
        </w:rPr>
        <w:t>in essentia animae rationalis</w:t>
      </w:r>
      <w:r>
        <w:t xml:space="preserve">). Proto je na rozdíl od Averroesovy verze kosmického </w:t>
      </w:r>
      <w:r w:rsidRPr="080A4F36">
        <w:rPr>
          <w:i/>
        </w:rPr>
        <w:t>intellectus possibilis</w:t>
      </w:r>
      <w:r>
        <w:t xml:space="preserve"> tato forma vázaná na individuální tělo (</w:t>
      </w:r>
      <w:r w:rsidRPr="08D96417">
        <w:rPr>
          <w:i/>
        </w:rPr>
        <w:t>in diversis diversum</w:t>
      </w:r>
      <w:r>
        <w:t>). V těle tento intelekt vzniká v individualizované podobě dané materiálně (</w:t>
      </w:r>
      <w:r w:rsidRPr="080A4F36">
        <w:rPr>
          <w:i/>
        </w:rPr>
        <w:t>cum corpore incipere</w:t>
      </w:r>
      <w:r>
        <w:t>). Ale jako nemateriální esence nemůže s tělem zaniknout (</w:t>
      </w:r>
      <w:r w:rsidRPr="080A4F36">
        <w:rPr>
          <w:i/>
        </w:rPr>
        <w:t>non cum corpore finiri</w:t>
      </w:r>
      <w:r>
        <w:t xml:space="preserve">). </w:t>
      </w:r>
      <w:r w:rsidR="00B3553C">
        <w:rPr>
          <w:lang w:eastAsia="en-US"/>
        </w:rPr>
        <w:t xml:space="preserve">V otázce </w:t>
      </w:r>
      <w:r w:rsidR="00B3553C" w:rsidRPr="00A80B2E">
        <w:rPr>
          <w:i/>
          <w:lang w:eastAsia="en-US"/>
        </w:rPr>
        <w:t>intellectus possibilis</w:t>
      </w:r>
      <w:r w:rsidR="00B3553C">
        <w:rPr>
          <w:lang w:eastAsia="en-US"/>
        </w:rPr>
        <w:t xml:space="preserve"> je </w:t>
      </w:r>
      <w:r>
        <w:rPr>
          <w:lang w:eastAsia="en-US"/>
        </w:rPr>
        <w:t>Akvinský avicennistou</w:t>
      </w:r>
      <w:r w:rsidR="00635B58">
        <w:rPr>
          <w:lang w:eastAsia="en-US"/>
        </w:rPr>
        <w:t xml:space="preserve">. Proto považuje </w:t>
      </w:r>
      <w:r>
        <w:rPr>
          <w:lang w:eastAsia="en-US"/>
        </w:rPr>
        <w:t xml:space="preserve">numerickou individualizaci receptivního intelektu v člověku za křesťanské pojetí. </w:t>
      </w:r>
      <w:r w:rsidR="0087487D">
        <w:rPr>
          <w:lang w:eastAsia="en-US"/>
        </w:rPr>
        <w:t xml:space="preserve">Numerizace hypostázovaného </w:t>
      </w:r>
      <w:r w:rsidR="0087487D" w:rsidRPr="0087487D">
        <w:rPr>
          <w:i/>
          <w:lang w:eastAsia="en-US"/>
        </w:rPr>
        <w:t>intellectus possibilis</w:t>
      </w:r>
      <w:r w:rsidR="0087487D">
        <w:rPr>
          <w:lang w:eastAsia="en-US"/>
        </w:rPr>
        <w:t xml:space="preserve"> podle Avicenny je v člověku daná správně, protože tato hypostáze je daná imanentně. Naopak averroistický </w:t>
      </w:r>
      <w:r w:rsidR="0087487D" w:rsidRPr="0087487D">
        <w:rPr>
          <w:i/>
          <w:lang w:eastAsia="en-US"/>
        </w:rPr>
        <w:t>intellectus possibilis</w:t>
      </w:r>
      <w:r w:rsidR="0087487D">
        <w:rPr>
          <w:lang w:eastAsia="en-US"/>
        </w:rPr>
        <w:t xml:space="preserve"> je daný špatně, prootže k člověku přichází z vnějšku v jeho kosmické formě. </w:t>
      </w:r>
      <w:r>
        <w:rPr>
          <w:lang w:eastAsia="en-US"/>
        </w:rPr>
        <w:t xml:space="preserve">Spojením Avicenny a averroistického Averroese </w:t>
      </w:r>
      <w:r w:rsidRPr="0087487D">
        <w:rPr>
          <w:lang w:eastAsia="en-US"/>
        </w:rPr>
        <w:t>vznikla</w:t>
      </w:r>
      <w:r>
        <w:rPr>
          <w:lang w:eastAsia="en-US"/>
        </w:rPr>
        <w:t xml:space="preserve"> okolo roku 1258 nová teorie numericky odlišného </w:t>
      </w:r>
      <w:r w:rsidRPr="0815046A">
        <w:rPr>
          <w:i/>
          <w:lang w:eastAsia="en-US"/>
        </w:rPr>
        <w:t>intellectus possibilis</w:t>
      </w:r>
      <w:r>
        <w:rPr>
          <w:lang w:eastAsia="en-US"/>
        </w:rPr>
        <w:t xml:space="preserve">, který je individualizovaný </w:t>
      </w:r>
      <w:r w:rsidR="087B1DA8">
        <w:rPr>
          <w:lang w:eastAsia="en-US"/>
        </w:rPr>
        <w:t>v člověku</w:t>
      </w:r>
      <w:r>
        <w:rPr>
          <w:lang w:eastAsia="en-US"/>
        </w:rPr>
        <w:t xml:space="preserve">. </w:t>
      </w:r>
      <w:r w:rsidR="00BD0C8A">
        <w:rPr>
          <w:lang w:eastAsia="en-US"/>
        </w:rPr>
        <w:t xml:space="preserve">Tento intelekt </w:t>
      </w:r>
      <w:r w:rsidR="00BD0C8A" w:rsidRPr="00BD0C8A">
        <w:rPr>
          <w:lang w:eastAsia="en-US"/>
        </w:rPr>
        <w:t xml:space="preserve">individualizován v člověku správně, což </w:t>
      </w:r>
      <w:r w:rsidR="00BD0C8A">
        <w:rPr>
          <w:lang w:eastAsia="en-US"/>
        </w:rPr>
        <w:t>je křesťanská</w:t>
      </w:r>
      <w:r w:rsidR="00BD0C8A" w:rsidRPr="00BD0C8A">
        <w:rPr>
          <w:lang w:eastAsia="en-US"/>
        </w:rPr>
        <w:t xml:space="preserve"> verz</w:t>
      </w:r>
      <w:r w:rsidR="00BD0C8A">
        <w:rPr>
          <w:lang w:eastAsia="en-US"/>
        </w:rPr>
        <w:t>e a</w:t>
      </w:r>
      <w:r w:rsidR="00BD0C8A" w:rsidRPr="00BD0C8A">
        <w:rPr>
          <w:lang w:eastAsia="en-US"/>
        </w:rPr>
        <w:t xml:space="preserve">verroismu podle Avicenny. Nebo je </w:t>
      </w:r>
      <w:r w:rsidR="00BD0C8A" w:rsidRPr="00BD0C8A">
        <w:rPr>
          <w:i/>
          <w:lang w:eastAsia="en-US"/>
        </w:rPr>
        <w:t>intellectus possibilis</w:t>
      </w:r>
      <w:r w:rsidR="00BD0C8A" w:rsidRPr="00BD0C8A">
        <w:rPr>
          <w:lang w:eastAsia="en-US"/>
        </w:rPr>
        <w:t xml:space="preserve"> nesprávně </w:t>
      </w:r>
      <w:r w:rsidR="00BD0C8A">
        <w:rPr>
          <w:lang w:eastAsia="en-US"/>
        </w:rPr>
        <w:t xml:space="preserve">individualizován </w:t>
      </w:r>
      <w:r w:rsidR="00BD0C8A" w:rsidRPr="00BD0C8A">
        <w:rPr>
          <w:lang w:eastAsia="en-US"/>
        </w:rPr>
        <w:t>podle Averroese</w:t>
      </w:r>
      <w:r w:rsidR="00BD0C8A">
        <w:rPr>
          <w:lang w:eastAsia="en-US"/>
        </w:rPr>
        <w:t xml:space="preserve">, což </w:t>
      </w:r>
      <w:r w:rsidR="00BD0C8A" w:rsidRPr="00BD0C8A">
        <w:rPr>
          <w:lang w:eastAsia="en-US"/>
        </w:rPr>
        <w:t>vytváří kacířskou v</w:t>
      </w:r>
      <w:r w:rsidR="00BD0C8A">
        <w:rPr>
          <w:lang w:eastAsia="en-US"/>
        </w:rPr>
        <w:t>erzi a</w:t>
      </w:r>
      <w:r w:rsidR="00BD0C8A" w:rsidRPr="00BD0C8A">
        <w:rPr>
          <w:lang w:eastAsia="en-US"/>
        </w:rPr>
        <w:t xml:space="preserve">verroismu. Tato základní </w:t>
      </w:r>
      <w:r w:rsidR="00BD0C8A">
        <w:rPr>
          <w:lang w:eastAsia="en-US"/>
        </w:rPr>
        <w:lastRenderedPageBreak/>
        <w:t>pochybení (</w:t>
      </w:r>
      <w:r w:rsidR="00BD0C8A" w:rsidRPr="00BD0C8A">
        <w:rPr>
          <w:i/>
          <w:lang w:eastAsia="en-US"/>
        </w:rPr>
        <w:t>Irrtum</w:t>
      </w:r>
      <w:r w:rsidR="00BD0C8A">
        <w:rPr>
          <w:lang w:eastAsia="en-US"/>
        </w:rPr>
        <w:t>) prvního tomismu založilo</w:t>
      </w:r>
      <w:r w:rsidR="00BD0C8A" w:rsidRPr="00BD0C8A">
        <w:rPr>
          <w:lang w:eastAsia="en-US"/>
        </w:rPr>
        <w:t xml:space="preserve"> objekt</w:t>
      </w:r>
      <w:r w:rsidR="00BD0C8A">
        <w:rPr>
          <w:lang w:eastAsia="en-US"/>
        </w:rPr>
        <w:t xml:space="preserve">ivní definici moderního poznání. </w:t>
      </w:r>
      <w:r>
        <w:rPr>
          <w:lang w:eastAsia="en-US"/>
        </w:rPr>
        <w:t xml:space="preserve">Akvinský hlásal numerickou individuaci </w:t>
      </w:r>
      <w:r w:rsidRPr="081253F2">
        <w:rPr>
          <w:i/>
          <w:lang w:eastAsia="en-US"/>
        </w:rPr>
        <w:t>intellectus possibilis</w:t>
      </w:r>
      <w:r>
        <w:rPr>
          <w:lang w:eastAsia="en-US"/>
        </w:rPr>
        <w:t xml:space="preserve"> během prvního pobytu v Paříži. Nyní je jasné, proti komu je namířeno Sigerovo zásadní odmítnutí numericky odlišné</w:t>
      </w:r>
      <w:r w:rsidR="005E4FFA">
        <w:rPr>
          <w:lang w:eastAsia="en-US"/>
        </w:rPr>
        <w:t>ho</w:t>
      </w:r>
      <w:r>
        <w:rPr>
          <w:lang w:eastAsia="en-US"/>
        </w:rPr>
        <w:t xml:space="preserve"> </w:t>
      </w:r>
      <w:r w:rsidRPr="081253F2">
        <w:rPr>
          <w:i/>
          <w:lang w:eastAsia="en-US"/>
        </w:rPr>
        <w:t>intellectus possibilis</w:t>
      </w:r>
      <w:r>
        <w:rPr>
          <w:lang w:eastAsia="en-US"/>
        </w:rPr>
        <w:t xml:space="preserve"> v člověku podané v QIIIDA a v následných spisech. Albert toto averroistické sofisma nemá, protože jeho výklad individuálního pojetí poznání sledoval Sicilský výklad CMDA v linii Alverna a Blundovy školy (kap. 4.4.2). Následná argumentace </w:t>
      </w:r>
      <w:r w:rsidR="087B1DA8">
        <w:rPr>
          <w:lang w:eastAsia="en-US"/>
        </w:rPr>
        <w:t xml:space="preserve">Tomášových </w:t>
      </w:r>
      <w:r>
        <w:rPr>
          <w:lang w:eastAsia="en-US"/>
        </w:rPr>
        <w:t xml:space="preserve">Sentencí odmítne Teofrastovo a Themistiovo pojetí numericky jednotného možného intelektu ve všech lidech podle Averroesovy kritiky CMDA. Pak zbývá výše uvedené </w:t>
      </w:r>
      <w:r w:rsidR="00815CD8">
        <w:rPr>
          <w:lang w:eastAsia="en-US"/>
        </w:rPr>
        <w:t xml:space="preserve">Tomášovo </w:t>
      </w:r>
      <w:r>
        <w:rPr>
          <w:lang w:eastAsia="en-US"/>
        </w:rPr>
        <w:t xml:space="preserve">simulákrum numericky jednotného </w:t>
      </w:r>
      <w:r w:rsidR="006E35A7">
        <w:rPr>
          <w:lang w:eastAsia="en-US"/>
        </w:rPr>
        <w:t xml:space="preserve">kosmického </w:t>
      </w:r>
      <w:r w:rsidRPr="00663199">
        <w:rPr>
          <w:i/>
          <w:lang w:eastAsia="en-US"/>
        </w:rPr>
        <w:t>intellectus possibilis</w:t>
      </w:r>
      <w:r>
        <w:rPr>
          <w:lang w:eastAsia="en-US"/>
        </w:rPr>
        <w:t xml:space="preserve"> daného externě a jednotně pro všechny lidi</w:t>
      </w:r>
      <w:r w:rsidR="0062090A">
        <w:rPr>
          <w:lang w:eastAsia="en-US"/>
        </w:rPr>
        <w:t>. Toto chybné averroistické</w:t>
      </w:r>
      <w:r w:rsidR="00A75485">
        <w:rPr>
          <w:lang w:eastAsia="en-US"/>
        </w:rPr>
        <w:t xml:space="preserve"> pojetí receptivního intelektu, </w:t>
      </w:r>
      <w:r>
        <w:rPr>
          <w:lang w:eastAsia="en-US"/>
        </w:rPr>
        <w:t xml:space="preserve">které </w:t>
      </w:r>
      <w:r w:rsidR="0062090A">
        <w:rPr>
          <w:lang w:eastAsia="en-US"/>
        </w:rPr>
        <w:t>Akvinský osobně vytvořil</w:t>
      </w:r>
      <w:r w:rsidR="00A75485">
        <w:rPr>
          <w:lang w:eastAsia="en-US"/>
        </w:rPr>
        <w:t xml:space="preserve">, </w:t>
      </w:r>
      <w:r>
        <w:rPr>
          <w:lang w:eastAsia="en-US"/>
        </w:rPr>
        <w:t xml:space="preserve">musí </w:t>
      </w:r>
      <w:r w:rsidR="004C70F1">
        <w:rPr>
          <w:lang w:eastAsia="en-US"/>
        </w:rPr>
        <w:t xml:space="preserve">tento </w:t>
      </w:r>
      <w:r>
        <w:rPr>
          <w:lang w:eastAsia="en-US"/>
        </w:rPr>
        <w:t xml:space="preserve">avicennistický </w:t>
      </w:r>
      <w:r w:rsidR="0062090A">
        <w:rPr>
          <w:lang w:eastAsia="en-US"/>
        </w:rPr>
        <w:t xml:space="preserve">a křesťanský </w:t>
      </w:r>
      <w:r>
        <w:rPr>
          <w:lang w:eastAsia="en-US"/>
        </w:rPr>
        <w:t xml:space="preserve">aristotelik zásadně odmítnout. Výsledné vypořádání s pojetím </w:t>
      </w:r>
      <w:r w:rsidR="0822563F">
        <w:rPr>
          <w:lang w:eastAsia="en-US"/>
        </w:rPr>
        <w:t xml:space="preserve">averroistického </w:t>
      </w:r>
      <w:r w:rsidRPr="00B84F85">
        <w:rPr>
          <w:i/>
          <w:lang w:eastAsia="en-US"/>
        </w:rPr>
        <w:t>intellectus possibilis</w:t>
      </w:r>
      <w:r>
        <w:rPr>
          <w:lang w:eastAsia="en-US"/>
        </w:rPr>
        <w:t xml:space="preserve"> podle Tomášova výkladu CMDA vypadá následovně. Činný a trpný intelekt je prý </w:t>
      </w:r>
      <w:r w:rsidR="08195CF0">
        <w:rPr>
          <w:lang w:eastAsia="en-US"/>
        </w:rPr>
        <w:t xml:space="preserve">podle Averroese </w:t>
      </w:r>
      <w:r>
        <w:rPr>
          <w:lang w:eastAsia="en-US"/>
        </w:rPr>
        <w:t xml:space="preserve">numericky jeden ve všech lidech, ale nikoliv inteligibilní </w:t>
      </w:r>
      <w:r w:rsidR="00962190">
        <w:rPr>
          <w:i/>
          <w:lang w:eastAsia="en-US"/>
        </w:rPr>
        <w:t>species</w:t>
      </w:r>
      <w:r>
        <w:rPr>
          <w:lang w:eastAsia="en-US"/>
        </w:rPr>
        <w:t xml:space="preserve">, která vznikají v individuálním výkonu poznání. Oddělený kosmický </w:t>
      </w:r>
      <w:r w:rsidRPr="08396369">
        <w:rPr>
          <w:i/>
          <w:lang w:eastAsia="en-US"/>
        </w:rPr>
        <w:t>intellectus possibilis</w:t>
      </w:r>
      <w:r>
        <w:rPr>
          <w:lang w:eastAsia="en-US"/>
        </w:rPr>
        <w:t xml:space="preserve"> působí směrem dolů neomezeně, proto přetváří lidský receptovní intelekt podobně jako řemeslník přetváří materii. Akvinský stejně jako Aegidius </w:t>
      </w:r>
      <w:r>
        <w:t xml:space="preserve">promítl do výkladu </w:t>
      </w:r>
      <w:r w:rsidR="08924BD0">
        <w:t xml:space="preserve">lidského </w:t>
      </w:r>
      <w:r>
        <w:t xml:space="preserve">poznání podle CMDA objektivní substanční model graduálně hierarchizovaných forem kosmických intelektů, které má Avicennova kosmologie a metafyzika. </w:t>
      </w:r>
      <w:r w:rsidR="009E45F1" w:rsidRPr="009E45F1">
        <w:t xml:space="preserve">Akvinský </w:t>
      </w:r>
      <w:r w:rsidR="009E45F1">
        <w:t>j</w:t>
      </w:r>
      <w:r w:rsidR="009E45F1" w:rsidRPr="009E45F1">
        <w:t xml:space="preserve">ako avicenista transformoval intelekt </w:t>
      </w:r>
      <w:r w:rsidR="009E45F1">
        <w:t xml:space="preserve">v podobě </w:t>
      </w:r>
      <w:r w:rsidR="009E45F1" w:rsidRPr="009E45F1">
        <w:rPr>
          <w:i/>
        </w:rPr>
        <w:t xml:space="preserve">tertium </w:t>
      </w:r>
      <w:r w:rsidR="009E45F1" w:rsidRPr="009E45F1">
        <w:t>a</w:t>
      </w:r>
      <w:r w:rsidR="009E45F1" w:rsidRPr="009E45F1">
        <w:rPr>
          <w:i/>
        </w:rPr>
        <w:t xml:space="preserve"> quartum genus</w:t>
      </w:r>
      <w:r w:rsidR="009E45F1">
        <w:t xml:space="preserve"> v CMDA do dvou hypostáz</w:t>
      </w:r>
      <w:r w:rsidR="009E45F1" w:rsidRPr="009E45F1">
        <w:t xml:space="preserve">ovaných forem </w:t>
      </w:r>
      <w:r w:rsidR="009E45F1">
        <w:t xml:space="preserve">v podobě </w:t>
      </w:r>
      <w:r w:rsidR="009E45F1" w:rsidRPr="009E45F1">
        <w:rPr>
          <w:i/>
        </w:rPr>
        <w:t>tertium ens</w:t>
      </w:r>
      <w:r w:rsidR="009E45F1" w:rsidRPr="009E45F1">
        <w:t xml:space="preserve"> a </w:t>
      </w:r>
      <w:r w:rsidR="009E45F1">
        <w:t xml:space="preserve">pak </w:t>
      </w:r>
      <w:r w:rsidR="009E45F1" w:rsidRPr="009E45F1">
        <w:t>obě formy smísil</w:t>
      </w:r>
      <w:r w:rsidR="009E45F1">
        <w:t xml:space="preserve"> dohromady</w:t>
      </w:r>
      <w:r w:rsidR="009E45F1" w:rsidRPr="009E45F1">
        <w:t xml:space="preserve">. </w:t>
      </w:r>
      <w:r>
        <w:t>D</w:t>
      </w:r>
      <w:r>
        <w:rPr>
          <w:lang w:eastAsia="en-US"/>
        </w:rPr>
        <w:t xml:space="preserve">efinitivní podobu averroistického modelu poznání skrze oddělený a substanční </w:t>
      </w:r>
      <w:r w:rsidRPr="083E6E10">
        <w:rPr>
          <w:i/>
          <w:lang w:eastAsia="en-US"/>
        </w:rPr>
        <w:t>intellectus possibilis</w:t>
      </w:r>
      <w:r>
        <w:rPr>
          <w:lang w:eastAsia="en-US"/>
        </w:rPr>
        <w:t xml:space="preserve"> ukazuje tento citát.</w:t>
      </w:r>
    </w:p>
    <w:p w:rsidR="08163013" w:rsidRPr="00EF4EBD" w:rsidRDefault="08163013" w:rsidP="08163013">
      <w:pPr>
        <w:pStyle w:val="Citace"/>
        <w:rPr>
          <w:lang w:val="cs-CZ"/>
        </w:rPr>
      </w:pPr>
      <w:r>
        <w:t>„</w:t>
      </w:r>
      <w:r>
        <w:rPr>
          <w:lang w:val="cs-CZ"/>
        </w:rPr>
        <w:t>Proto Averroes vyvodil vzhledem k intelektu, jak je v nás určitým způsobem porušitelný a jak je neporušitelný. Pak totiž z té části, která produkuje fantasmata, nastává porušitelnost, ale z možného intelektu je neporušitelnost (</w:t>
      </w:r>
      <w:r w:rsidRPr="00EF4EBD">
        <w:rPr>
          <w:i/>
          <w:lang w:val="la"/>
        </w:rPr>
        <w:t>ex parte intellectus possibilis est incorruptibilitas</w:t>
      </w:r>
      <w:r>
        <w:rPr>
          <w:lang w:val="cs-CZ"/>
        </w:rPr>
        <w:t xml:space="preserve">). Z toho plyne, že po smrti porušitelné části možného intelektu daného v těle nezůstane žádná pluralita jednotlivých duší. Toto pojetí je z mnoha důvodů směšné.“ </w:t>
      </w:r>
      <w:r>
        <w:rPr>
          <w:rStyle w:val="Znakapoznpodarou"/>
          <w:lang w:eastAsia="en-US"/>
        </w:rPr>
        <w:footnoteReference w:id="290"/>
      </w:r>
    </w:p>
    <w:p w:rsidR="00522BCB" w:rsidRDefault="08163013" w:rsidP="08163013">
      <w:pPr>
        <w:rPr>
          <w:lang w:eastAsia="en-US"/>
        </w:rPr>
      </w:pPr>
      <w:r>
        <w:rPr>
          <w:lang w:eastAsia="en-US"/>
        </w:rPr>
        <w:lastRenderedPageBreak/>
        <w:t xml:space="preserve">Oddělená kosmická substance </w:t>
      </w:r>
      <w:r w:rsidRPr="08D853DD">
        <w:rPr>
          <w:i/>
          <w:lang w:eastAsia="en-US"/>
        </w:rPr>
        <w:t>intellectus possibilis</w:t>
      </w:r>
      <w:r>
        <w:rPr>
          <w:lang w:eastAsia="en-US"/>
        </w:rPr>
        <w:t xml:space="preserve"> představuje hypostázovanou formu, která se v modu </w:t>
      </w:r>
      <w:r w:rsidRPr="00D7286B">
        <w:rPr>
          <w:i/>
          <w:lang w:eastAsia="en-US"/>
        </w:rPr>
        <w:t>copulatio</w:t>
      </w:r>
      <w:r>
        <w:rPr>
          <w:lang w:eastAsia="en-US"/>
        </w:rPr>
        <w:t xml:space="preserve"> spojuje s lidským receptivním intelektem. Ten se nachází v kosmologii </w:t>
      </w:r>
      <w:r w:rsidRPr="08AE0A12">
        <w:rPr>
          <w:i/>
          <w:lang w:eastAsia="en-US"/>
        </w:rPr>
        <w:t>intellectus possib</w:t>
      </w:r>
      <w:r>
        <w:rPr>
          <w:i/>
          <w:lang w:eastAsia="en-US"/>
        </w:rPr>
        <w:t>i</w:t>
      </w:r>
      <w:r w:rsidRPr="08AE0A12">
        <w:rPr>
          <w:i/>
          <w:lang w:eastAsia="en-US"/>
        </w:rPr>
        <w:t>lis</w:t>
      </w:r>
      <w:r>
        <w:rPr>
          <w:lang w:eastAsia="en-US"/>
        </w:rPr>
        <w:t xml:space="preserve"> na nejnižším stupni substančních nebeských inteligencí. Obě formy jsou nemateriální a jsou oddělené od tělesného poznání daného smyslově, proto spolu mohou úspěšně kopulovat. Pak se spojuje kosmická forma numericky jednotného </w:t>
      </w:r>
      <w:r w:rsidRPr="08A87D2D">
        <w:rPr>
          <w:i/>
          <w:lang w:eastAsia="en-US"/>
        </w:rPr>
        <w:t>intellectus possibilis</w:t>
      </w:r>
      <w:r>
        <w:rPr>
          <w:lang w:eastAsia="en-US"/>
        </w:rPr>
        <w:t xml:space="preserve"> s lidsko</w:t>
      </w:r>
      <w:r w:rsidR="08924BD0">
        <w:rPr>
          <w:lang w:eastAsia="en-US"/>
        </w:rPr>
        <w:t xml:space="preserve">u individuální formou </w:t>
      </w:r>
      <w:r w:rsidRPr="08A87D2D">
        <w:rPr>
          <w:i/>
          <w:lang w:eastAsia="en-US"/>
        </w:rPr>
        <w:t>intellectus materialis</w:t>
      </w:r>
      <w:r>
        <w:rPr>
          <w:lang w:eastAsia="en-US"/>
        </w:rPr>
        <w:t xml:space="preserve">. </w:t>
      </w:r>
      <w:r w:rsidR="00980802">
        <w:rPr>
          <w:lang w:eastAsia="en-US"/>
        </w:rPr>
        <w:t xml:space="preserve">Tato </w:t>
      </w:r>
      <w:r>
        <w:rPr>
          <w:lang w:eastAsia="en-US"/>
        </w:rPr>
        <w:t>individuace běží skrze</w:t>
      </w:r>
      <w:r w:rsidR="00980802">
        <w:rPr>
          <w:lang w:eastAsia="en-US"/>
        </w:rPr>
        <w:t xml:space="preserve"> </w:t>
      </w:r>
      <w:r w:rsidR="08924BD0">
        <w:rPr>
          <w:lang w:eastAsia="en-US"/>
        </w:rPr>
        <w:t xml:space="preserve">lidské </w:t>
      </w:r>
      <w:r>
        <w:rPr>
          <w:lang w:eastAsia="en-US"/>
        </w:rPr>
        <w:t xml:space="preserve">tělo. Averroes prý sice odmítl přímé působené odděleného kosmického </w:t>
      </w:r>
      <w:r w:rsidRPr="08277F75">
        <w:rPr>
          <w:i/>
          <w:lang w:eastAsia="en-US"/>
        </w:rPr>
        <w:t>intellectus agens</w:t>
      </w:r>
      <w:r>
        <w:rPr>
          <w:lang w:eastAsia="en-US"/>
        </w:rPr>
        <w:t xml:space="preserve"> na lidské poznání, ale celou numerickou individuaci </w:t>
      </w:r>
      <w:r>
        <w:rPr>
          <w:lang w:eastAsia="en-US"/>
        </w:rPr>
        <w:fldChar w:fldCharType="begin"/>
      </w:r>
      <w:r>
        <w:instrText xml:space="preserve"> XE "</w:instrText>
      </w:r>
      <w:r w:rsidRPr="0879585A">
        <w:instrText>intelekt:numericky jednotný</w:instrText>
      </w:r>
      <w:r>
        <w:instrText xml:space="preserve">" </w:instrText>
      </w:r>
      <w:r>
        <w:rPr>
          <w:lang w:eastAsia="en-US"/>
        </w:rPr>
        <w:fldChar w:fldCharType="end"/>
      </w:r>
      <w:r>
        <w:rPr>
          <w:lang w:eastAsia="en-US"/>
        </w:rPr>
        <w:t xml:space="preserve">poznání v člověku provedl přes kosmickou formu </w:t>
      </w:r>
      <w:r w:rsidRPr="08277F75">
        <w:rPr>
          <w:i/>
          <w:lang w:eastAsia="en-US"/>
        </w:rPr>
        <w:t>intellectus possibilis</w:t>
      </w:r>
      <w:r>
        <w:rPr>
          <w:lang w:eastAsia="en-US"/>
        </w:rPr>
        <w:t>. Z Averroese se stal umírněný amalricián</w:t>
      </w:r>
      <w:r>
        <w:rPr>
          <w:lang w:eastAsia="en-US"/>
        </w:rPr>
        <w:fldChar w:fldCharType="begin"/>
      </w:r>
      <w:r>
        <w:instrText xml:space="preserve"> XE "</w:instrText>
      </w:r>
      <w:r w:rsidRPr="089F113E">
        <w:rPr>
          <w:lang w:eastAsia="en-US"/>
        </w:rPr>
        <w:instrText>amalriciáni</w:instrText>
      </w:r>
      <w:r>
        <w:instrText xml:space="preserve">" </w:instrText>
      </w:r>
      <w:r>
        <w:rPr>
          <w:lang w:eastAsia="en-US"/>
        </w:rPr>
        <w:fldChar w:fldCharType="end"/>
      </w:r>
      <w:r>
        <w:rPr>
          <w:lang w:eastAsia="en-US"/>
        </w:rPr>
        <w:t xml:space="preserve"> ve stylu Davida z Dinantu (</w:t>
      </w:r>
      <w:r w:rsidR="08BF6A91">
        <w:rPr>
          <w:lang w:eastAsia="en-US"/>
        </w:rPr>
        <w:t>OBJ II, kap. 2</w:t>
      </w:r>
      <w:r>
        <w:rPr>
          <w:lang w:eastAsia="en-US"/>
        </w:rPr>
        <w:t xml:space="preserve">.1.3). </w:t>
      </w:r>
      <w:r>
        <w:rPr>
          <w:rStyle w:val="FontStyle129"/>
          <w:sz w:val="24"/>
        </w:rPr>
        <w:t>A</w:t>
      </w:r>
      <w:r>
        <w:rPr>
          <w:lang w:eastAsia="en-US"/>
        </w:rPr>
        <w:t xml:space="preserve">vicenna prý neměl </w:t>
      </w:r>
      <w:r w:rsidR="001B6B7B">
        <w:rPr>
          <w:lang w:eastAsia="en-US"/>
        </w:rPr>
        <w:t xml:space="preserve">tento </w:t>
      </w:r>
      <w:r>
        <w:rPr>
          <w:lang w:eastAsia="en-US"/>
        </w:rPr>
        <w:t xml:space="preserve">typ </w:t>
      </w:r>
      <w:r w:rsidRPr="080B175D">
        <w:rPr>
          <w:i/>
          <w:lang w:eastAsia="en-US"/>
        </w:rPr>
        <w:t>intellectus possibilis</w:t>
      </w:r>
      <w:r>
        <w:rPr>
          <w:lang w:eastAsia="en-US"/>
        </w:rPr>
        <w:t>, protože jej chápe čistě individuálně, což je v souladu s k</w:t>
      </w:r>
      <w:r w:rsidR="00522BCB">
        <w:rPr>
          <w:lang w:eastAsia="en-US"/>
        </w:rPr>
        <w:t>řesťanským pojetím lidské duše.</w:t>
      </w:r>
    </w:p>
    <w:p w:rsidR="00EB2365" w:rsidRDefault="00522BCB" w:rsidP="003A4F1D">
      <w:pPr>
        <w:ind w:firstLine="397"/>
      </w:pPr>
      <w:r>
        <w:t xml:space="preserve">Z pozice reálné nauky dané v CMDA </w:t>
      </w:r>
      <w:r w:rsidR="00411E41">
        <w:t xml:space="preserve">představil </w:t>
      </w:r>
      <w:r w:rsidR="08163013">
        <w:t xml:space="preserve">Akvinský </w:t>
      </w:r>
      <w:r>
        <w:t xml:space="preserve">neoplatonský model </w:t>
      </w:r>
      <w:r w:rsidR="08163013">
        <w:t xml:space="preserve">kosmického </w:t>
      </w:r>
      <w:r w:rsidR="08163013" w:rsidRPr="00026974">
        <w:rPr>
          <w:i/>
        </w:rPr>
        <w:t>intellectus possibilis</w:t>
      </w:r>
      <w:r w:rsidR="00775D4A">
        <w:rPr>
          <w:i/>
        </w:rPr>
        <w:t xml:space="preserve"> </w:t>
      </w:r>
      <w:r w:rsidR="00775D4A">
        <w:t>v řádu nebeských hierarchií</w:t>
      </w:r>
      <w:r w:rsidR="08163013">
        <w:t xml:space="preserve">, který působí jako formující prvek na lidský </w:t>
      </w:r>
      <w:r w:rsidR="08163013" w:rsidRPr="00026974">
        <w:rPr>
          <w:i/>
        </w:rPr>
        <w:t>intellectus</w:t>
      </w:r>
      <w:r w:rsidR="08163013" w:rsidRPr="089E6797">
        <w:rPr>
          <w:i/>
        </w:rPr>
        <w:t xml:space="preserve"> </w:t>
      </w:r>
      <w:r w:rsidR="08163013" w:rsidRPr="00026974">
        <w:rPr>
          <w:i/>
        </w:rPr>
        <w:t>possibilis</w:t>
      </w:r>
      <w:r w:rsidR="08163013">
        <w:t xml:space="preserve">. </w:t>
      </w:r>
      <w:r w:rsidR="08163013">
        <w:rPr>
          <w:lang w:eastAsia="en-US"/>
        </w:rPr>
        <w:t xml:space="preserve">Akvinského averroistický výklad Averroese stojí na avicennistickém dualismu, který převzal první tomista Aegidius. Závěrečná věta konstatuje v modu pythické </w:t>
      </w:r>
      <w:r w:rsidR="08163013" w:rsidRPr="08A07418">
        <w:rPr>
          <w:i/>
          <w:lang w:eastAsia="en-US"/>
        </w:rPr>
        <w:t>alétheia</w:t>
      </w:r>
      <w:r w:rsidR="08163013">
        <w:rPr>
          <w:lang w:eastAsia="en-US"/>
        </w:rPr>
        <w:t>, že jde opravdu o směšné simulákrum poznání a intelektu (</w:t>
      </w:r>
      <w:r w:rsidR="08163013" w:rsidRPr="08075FA0">
        <w:rPr>
          <w:i/>
          <w:lang w:val="la"/>
        </w:rPr>
        <w:t>ha</w:t>
      </w:r>
      <w:r w:rsidR="08163013" w:rsidRPr="08075FA0">
        <w:rPr>
          <w:i/>
        </w:rPr>
        <w:t>e</w:t>
      </w:r>
      <w:r w:rsidR="08163013" w:rsidRPr="08075FA0">
        <w:rPr>
          <w:i/>
          <w:lang w:val="la"/>
        </w:rPr>
        <w:t>c ratio ostenditur esse frivola multipliciter</w:t>
      </w:r>
      <w:r w:rsidR="08163013">
        <w:rPr>
          <w:lang w:eastAsia="en-US"/>
        </w:rPr>
        <w:t>). Averroes se stal v Tomášově pojetí chybujícím a neumělým avicennistou</w:t>
      </w:r>
      <w:r w:rsidR="00B969B2">
        <w:rPr>
          <w:lang w:eastAsia="en-US"/>
        </w:rPr>
        <w:t xml:space="preserve">. Skuteční znalci CMDA </w:t>
      </w:r>
      <w:r w:rsidR="08163013">
        <w:rPr>
          <w:lang w:eastAsia="en-US"/>
        </w:rPr>
        <w:t xml:space="preserve"> v Rue du Fouarre </w:t>
      </w:r>
      <w:r w:rsidR="00B969B2">
        <w:rPr>
          <w:lang w:eastAsia="en-US"/>
        </w:rPr>
        <w:t xml:space="preserve">ti jistě </w:t>
      </w:r>
      <w:r w:rsidR="08163013">
        <w:rPr>
          <w:lang w:eastAsia="en-US"/>
        </w:rPr>
        <w:t>považova</w:t>
      </w:r>
      <w:r w:rsidR="00B969B2">
        <w:rPr>
          <w:lang w:eastAsia="en-US"/>
        </w:rPr>
        <w:t>li</w:t>
      </w:r>
      <w:r w:rsidR="08163013">
        <w:rPr>
          <w:lang w:eastAsia="en-US"/>
        </w:rPr>
        <w:t xml:space="preserve"> za opravdu frivolní výklad</w:t>
      </w:r>
      <w:r w:rsidR="08163013" w:rsidRPr="08CD661A">
        <w:rPr>
          <w:lang w:eastAsia="en-US"/>
        </w:rPr>
        <w:t xml:space="preserve"> </w:t>
      </w:r>
      <w:r w:rsidR="08163013">
        <w:rPr>
          <w:lang w:eastAsia="en-US"/>
        </w:rPr>
        <w:t xml:space="preserve">Komentátora. Mytopoetický výklad CMDA podle Akvinského jasně ukázal, že škola modernistů hned po svém ustavení začala produkovat sofistická simulákra a jsoucna třetího druhu. Nezapomeňme, že Akvinský byl jedním z prvních magistrů nově vzniklé mendikantské fakulty. Tento </w:t>
      </w:r>
      <w:r w:rsidR="08597FAF">
        <w:rPr>
          <w:lang w:eastAsia="en-US"/>
        </w:rPr>
        <w:t>semi-</w:t>
      </w:r>
      <w:r w:rsidR="08F65CED">
        <w:rPr>
          <w:lang w:eastAsia="en-US"/>
        </w:rPr>
        <w:t xml:space="preserve">averroista </w:t>
      </w:r>
      <w:r w:rsidR="08163013">
        <w:rPr>
          <w:lang w:eastAsia="en-US"/>
        </w:rPr>
        <w:t xml:space="preserve">odsoudil </w:t>
      </w:r>
      <w:r w:rsidR="08023E20">
        <w:rPr>
          <w:lang w:eastAsia="en-US"/>
        </w:rPr>
        <w:t xml:space="preserve">„heretika“ </w:t>
      </w:r>
      <w:r w:rsidR="08163013">
        <w:rPr>
          <w:lang w:eastAsia="en-US"/>
        </w:rPr>
        <w:t xml:space="preserve">Averroese za mytopoetický nesmysl, který sám vytvořil a pak pochválil </w:t>
      </w:r>
      <w:r w:rsidR="08023E20">
        <w:rPr>
          <w:lang w:eastAsia="en-US"/>
        </w:rPr>
        <w:t>„</w:t>
      </w:r>
      <w:r w:rsidR="08163013">
        <w:rPr>
          <w:lang w:eastAsia="en-US"/>
        </w:rPr>
        <w:t>katolického</w:t>
      </w:r>
      <w:r w:rsidR="08023E20">
        <w:rPr>
          <w:lang w:eastAsia="en-US"/>
        </w:rPr>
        <w:t>“</w:t>
      </w:r>
      <w:r w:rsidR="08163013">
        <w:rPr>
          <w:lang w:eastAsia="en-US"/>
        </w:rPr>
        <w:t xml:space="preserve"> Avicennu za to, že nechal </w:t>
      </w:r>
      <w:r w:rsidR="08163013" w:rsidRPr="080B175D">
        <w:rPr>
          <w:i/>
          <w:lang w:eastAsia="en-US"/>
        </w:rPr>
        <w:t>intellectus possibilis</w:t>
      </w:r>
      <w:r w:rsidR="08163013">
        <w:rPr>
          <w:lang w:eastAsia="en-US"/>
        </w:rPr>
        <w:t xml:space="preserve"> jako individuální poznávací schopnost člověka. Toto pojetí museli magistři na Rue du Fouarre zásadně odmítnout</w:t>
      </w:r>
      <w:r w:rsidR="00220D83">
        <w:rPr>
          <w:lang w:eastAsia="en-US"/>
        </w:rPr>
        <w:t xml:space="preserve">. Akvinský </w:t>
      </w:r>
      <w:r w:rsidR="08163013">
        <w:rPr>
          <w:lang w:eastAsia="en-US"/>
        </w:rPr>
        <w:t xml:space="preserve">vytvořil novou </w:t>
      </w:r>
      <w:r w:rsidR="00220D83">
        <w:rPr>
          <w:lang w:eastAsia="en-US"/>
        </w:rPr>
        <w:t xml:space="preserve">verzi </w:t>
      </w:r>
      <w:r w:rsidR="08163013">
        <w:rPr>
          <w:lang w:eastAsia="en-US"/>
        </w:rPr>
        <w:t>kosmické</w:t>
      </w:r>
      <w:r w:rsidR="00220D83">
        <w:rPr>
          <w:lang w:eastAsia="en-US"/>
        </w:rPr>
        <w:t>ho</w:t>
      </w:r>
      <w:r w:rsidR="08163013">
        <w:rPr>
          <w:lang w:eastAsia="en-US"/>
        </w:rPr>
        <w:t xml:space="preserve"> </w:t>
      </w:r>
      <w:r w:rsidR="08163013" w:rsidRPr="08027973">
        <w:rPr>
          <w:i/>
          <w:lang w:eastAsia="en-US"/>
        </w:rPr>
        <w:t>intellectus possibilis</w:t>
      </w:r>
      <w:r w:rsidR="08163013">
        <w:rPr>
          <w:lang w:eastAsia="en-US"/>
        </w:rPr>
        <w:t>, kterou měl David z Dinantu</w:t>
      </w:r>
      <w:r w:rsidR="08163013">
        <w:rPr>
          <w:lang w:eastAsia="en-US"/>
        </w:rPr>
        <w:fldChar w:fldCharType="begin"/>
      </w:r>
      <w:r w:rsidR="08163013">
        <w:instrText xml:space="preserve"> XE "</w:instrText>
      </w:r>
      <w:r w:rsidR="08163013" w:rsidRPr="08EC311C">
        <w:rPr>
          <w:lang w:eastAsia="en-US"/>
        </w:rPr>
        <w:instrText>David z Dinantu</w:instrText>
      </w:r>
      <w:r w:rsidR="08163013">
        <w:instrText xml:space="preserve">" </w:instrText>
      </w:r>
      <w:r w:rsidR="08163013">
        <w:rPr>
          <w:lang w:eastAsia="en-US"/>
        </w:rPr>
        <w:fldChar w:fldCharType="end"/>
      </w:r>
      <w:r w:rsidR="08163013">
        <w:rPr>
          <w:lang w:eastAsia="en-US"/>
        </w:rPr>
        <w:t xml:space="preserve">. Zavedení tohoto averroismu byl pravděpodobně jeden z hlavních důvodů Tomášova prvního odchodu z Paříže. Znalci Komentátora jej kritizovali za averroistické pojetí </w:t>
      </w:r>
      <w:r w:rsidR="08163013" w:rsidRPr="08E82A4D">
        <w:rPr>
          <w:i/>
          <w:lang w:eastAsia="en-US"/>
        </w:rPr>
        <w:t>intell</w:t>
      </w:r>
      <w:r w:rsidR="08163013">
        <w:rPr>
          <w:i/>
          <w:lang w:eastAsia="en-US"/>
        </w:rPr>
        <w:t>e</w:t>
      </w:r>
      <w:r w:rsidR="08163013" w:rsidRPr="08E82A4D">
        <w:rPr>
          <w:i/>
          <w:lang w:eastAsia="en-US"/>
        </w:rPr>
        <w:t>ctus possibilis</w:t>
      </w:r>
      <w:r w:rsidR="08163013">
        <w:rPr>
          <w:lang w:eastAsia="en-US"/>
        </w:rPr>
        <w:t xml:space="preserve"> a za hlásání nové formy komitační teorie podle Avicenny. Škola prvního averroismu z Rue du Fouarre zásadně odmítla moderní alexandrovce, k nimž patřil Akvinského výklad </w:t>
      </w:r>
      <w:r w:rsidR="08163013" w:rsidRPr="00CA48A2">
        <w:rPr>
          <w:i/>
          <w:lang w:eastAsia="en-US"/>
        </w:rPr>
        <w:t>intellectus possibilis</w:t>
      </w:r>
      <w:r w:rsidR="08163013">
        <w:rPr>
          <w:lang w:eastAsia="en-US"/>
        </w:rPr>
        <w:t xml:space="preserve"> </w:t>
      </w:r>
      <w:r w:rsidR="08163013">
        <w:rPr>
          <w:lang w:eastAsia="en-US"/>
        </w:rPr>
        <w:lastRenderedPageBreak/>
        <w:t xml:space="preserve">podaného v modu kosmické substance typu </w:t>
      </w:r>
      <w:r w:rsidR="08163013" w:rsidRPr="0856065D">
        <w:rPr>
          <w:i/>
          <w:lang w:eastAsia="en-US"/>
        </w:rPr>
        <w:t xml:space="preserve">quartum </w:t>
      </w:r>
      <w:r w:rsidR="00962190">
        <w:rPr>
          <w:i/>
          <w:lang w:eastAsia="en-US"/>
        </w:rPr>
        <w:t>genus</w:t>
      </w:r>
      <w:r w:rsidR="08163013">
        <w:rPr>
          <w:lang w:eastAsia="en-US"/>
        </w:rPr>
        <w:t xml:space="preserve">. Kritičtí aristotelikové správně viděli, že toto substanční simulákrum připsané Averroesovi reprezentuje další sofistický výplod </w:t>
      </w:r>
      <w:r w:rsidR="00066C31">
        <w:rPr>
          <w:lang w:eastAsia="en-US"/>
        </w:rPr>
        <w:t xml:space="preserve">avicennistů </w:t>
      </w:r>
      <w:r w:rsidR="08163013">
        <w:rPr>
          <w:lang w:eastAsia="en-US"/>
        </w:rPr>
        <w:t>z</w:t>
      </w:r>
      <w:r w:rsidR="00066C31">
        <w:rPr>
          <w:lang w:eastAsia="en-US"/>
        </w:rPr>
        <w:t xml:space="preserve"> právě založené </w:t>
      </w:r>
      <w:r w:rsidR="08163013">
        <w:rPr>
          <w:lang w:eastAsia="en-US"/>
        </w:rPr>
        <w:t xml:space="preserve">mendikantské </w:t>
      </w:r>
      <w:r w:rsidR="00066C31">
        <w:rPr>
          <w:lang w:eastAsia="en-US"/>
        </w:rPr>
        <w:t xml:space="preserve">fakulty. </w:t>
      </w:r>
      <w:r w:rsidR="00B71313">
        <w:rPr>
          <w:lang w:eastAsia="en-US"/>
        </w:rPr>
        <w:t>Polemiku s magistry z Rue du Fouarre</w:t>
      </w:r>
      <w:r w:rsidR="00B71313" w:rsidRPr="08116BF5">
        <w:rPr>
          <w:lang w:eastAsia="en-US"/>
        </w:rPr>
        <w:t xml:space="preserve"> </w:t>
      </w:r>
      <w:r w:rsidR="00B71313">
        <w:rPr>
          <w:lang w:eastAsia="en-US"/>
        </w:rPr>
        <w:t xml:space="preserve">představuje </w:t>
      </w:r>
      <w:r w:rsidR="00B71313">
        <w:rPr>
          <w:i/>
          <w:lang w:eastAsia="en-US"/>
        </w:rPr>
        <w:t>Summa c</w:t>
      </w:r>
      <w:r w:rsidR="00B71313" w:rsidRPr="08223900">
        <w:rPr>
          <w:i/>
          <w:lang w:eastAsia="en-US"/>
        </w:rPr>
        <w:t>ontra Gentiles</w:t>
      </w:r>
      <w:r w:rsidR="00B71313">
        <w:rPr>
          <w:lang w:eastAsia="en-US"/>
        </w:rPr>
        <w:t xml:space="preserve"> psaná v Itálii. Akvinského </w:t>
      </w:r>
      <w:r w:rsidR="00066C31">
        <w:rPr>
          <w:lang w:eastAsia="en-US"/>
        </w:rPr>
        <w:t xml:space="preserve">teorii </w:t>
      </w:r>
      <w:r w:rsidR="00066C31" w:rsidRPr="00066C31">
        <w:rPr>
          <w:i/>
          <w:lang w:eastAsia="en-US"/>
        </w:rPr>
        <w:t>intellectus possibilis</w:t>
      </w:r>
      <w:r w:rsidR="00066C31">
        <w:rPr>
          <w:lang w:eastAsia="en-US"/>
        </w:rPr>
        <w:t xml:space="preserve"> museli odmítnout i zastánci Bonaventury a Rufuse. Individuace intelektu byla provedena mimo jimi hlásanou verzi univerzálního hylemorfismu, a navíc popírala pluralitu substancí v člověku. </w:t>
      </w:r>
      <w:r w:rsidR="08163013">
        <w:rPr>
          <w:lang w:eastAsia="en-US"/>
        </w:rPr>
        <w:t>Bonaventurova fakulta jej odmítla z důvodů uvedených dále, protože Akvinský odmítl hlavní teze modernistů. Následoval odchod Akvinského z Paříže roku 1259, protože akademicky už nepatřil k žádné ze dvou tehdy vládnoucích škol prvního a druhého averroismu. Jeho</w:t>
      </w:r>
      <w:r w:rsidR="00885A1A">
        <w:rPr>
          <w:lang w:eastAsia="en-US"/>
        </w:rPr>
        <w:t xml:space="preserve"> kosmologický výklad receptivních</w:t>
      </w:r>
      <w:r w:rsidR="08163013">
        <w:rPr>
          <w:lang w:eastAsia="en-US"/>
        </w:rPr>
        <w:t xml:space="preserve"> kosmických forem dal Komentátora do jední linie s aristotelským výkladem Davida z Dinantu</w:t>
      </w:r>
      <w:r w:rsidR="08163013">
        <w:rPr>
          <w:lang w:eastAsia="en-US"/>
        </w:rPr>
        <w:fldChar w:fldCharType="begin"/>
      </w:r>
      <w:r w:rsidR="08163013">
        <w:instrText xml:space="preserve"> XE "</w:instrText>
      </w:r>
      <w:r w:rsidR="08163013" w:rsidRPr="084A7364">
        <w:rPr>
          <w:lang w:eastAsia="en-US"/>
        </w:rPr>
        <w:instrText>David z Dinantu</w:instrText>
      </w:r>
      <w:r w:rsidR="08163013">
        <w:instrText xml:space="preserve">" </w:instrText>
      </w:r>
      <w:r w:rsidR="08163013">
        <w:rPr>
          <w:lang w:eastAsia="en-US"/>
        </w:rPr>
        <w:fldChar w:fldCharType="end"/>
      </w:r>
      <w:r w:rsidR="08163013">
        <w:rPr>
          <w:lang w:eastAsia="en-US"/>
        </w:rPr>
        <w:t>. To bylo zásadně nepřijatelné pro komunitu skutečných znalců Averroese</w:t>
      </w:r>
      <w:r w:rsidR="00AF5C1A">
        <w:rPr>
          <w:lang w:eastAsia="en-US"/>
        </w:rPr>
        <w:t>. N</w:t>
      </w:r>
      <w:r w:rsidR="08163013">
        <w:rPr>
          <w:lang w:eastAsia="en-US"/>
        </w:rPr>
        <w:t xml:space="preserve">avíc uplynulo pouhých </w:t>
      </w:r>
      <w:r w:rsidR="00AF5C1A">
        <w:rPr>
          <w:lang w:eastAsia="en-US"/>
        </w:rPr>
        <w:t xml:space="preserve">deset </w:t>
      </w:r>
      <w:r w:rsidR="003A4F1D">
        <w:rPr>
          <w:lang w:eastAsia="en-US"/>
        </w:rPr>
        <w:t xml:space="preserve">let od smrti biskupa Alverna. </w:t>
      </w:r>
      <w:r w:rsidR="08163013">
        <w:rPr>
          <w:lang w:eastAsia="en-US"/>
        </w:rPr>
        <w:t xml:space="preserve">Averroistické pojetí možného intelektu jako substance třetího druhu najdeme v definitivní podobě v komentáři k Sentencím, který vznikal ve stejné době jako spis </w:t>
      </w:r>
      <w:r w:rsidR="08163013" w:rsidRPr="00221853">
        <w:rPr>
          <w:i/>
        </w:rPr>
        <w:t>De ente et essentia</w:t>
      </w:r>
      <w:r w:rsidR="003A4F1D">
        <w:rPr>
          <w:lang w:eastAsia="en-US"/>
        </w:rPr>
        <w:t>. První t</w:t>
      </w:r>
      <w:r w:rsidR="003A4F1D" w:rsidRPr="003A4F1D">
        <w:rPr>
          <w:lang w:eastAsia="en-US"/>
        </w:rPr>
        <w:t xml:space="preserve">omistická verze </w:t>
      </w:r>
      <w:r w:rsidR="003A4F1D">
        <w:rPr>
          <w:lang w:eastAsia="en-US"/>
        </w:rPr>
        <w:t>a</w:t>
      </w:r>
      <w:r w:rsidR="003A4F1D" w:rsidRPr="003A4F1D">
        <w:rPr>
          <w:lang w:eastAsia="en-US"/>
        </w:rPr>
        <w:t>verro</w:t>
      </w:r>
      <w:r w:rsidR="003A4F1D">
        <w:rPr>
          <w:lang w:eastAsia="en-US"/>
        </w:rPr>
        <w:t>ismu vznikla v letech 1256–</w:t>
      </w:r>
      <w:r w:rsidR="003A4F1D" w:rsidRPr="003A4F1D">
        <w:rPr>
          <w:lang w:eastAsia="en-US"/>
        </w:rPr>
        <w:t>57. Potenciální intelekt se stal kos</w:t>
      </w:r>
      <w:r w:rsidR="003A4F1D">
        <w:rPr>
          <w:lang w:eastAsia="en-US"/>
        </w:rPr>
        <w:t xml:space="preserve">mickou substancí a kopuloval </w:t>
      </w:r>
      <w:r w:rsidR="003A4F1D" w:rsidRPr="003A4F1D">
        <w:rPr>
          <w:lang w:eastAsia="en-US"/>
        </w:rPr>
        <w:t xml:space="preserve">s lidským </w:t>
      </w:r>
      <w:r w:rsidR="003A4F1D">
        <w:rPr>
          <w:lang w:eastAsia="en-US"/>
        </w:rPr>
        <w:t>materiálním i</w:t>
      </w:r>
      <w:r w:rsidR="003A4F1D" w:rsidRPr="003A4F1D">
        <w:rPr>
          <w:lang w:eastAsia="en-US"/>
        </w:rPr>
        <w:t>ntelektem.</w:t>
      </w:r>
      <w:r w:rsidR="003A4F1D">
        <w:rPr>
          <w:lang w:eastAsia="en-US"/>
        </w:rPr>
        <w:t xml:space="preserve"> </w:t>
      </w:r>
      <w:r w:rsidR="08163013">
        <w:rPr>
          <w:lang w:eastAsia="en-US"/>
        </w:rPr>
        <w:t xml:space="preserve">Akvinský definoval možný intelekt v CMDA jako univerzální kosmickou hypostázi-potenci a pak jeho individuaci v člověku odmítl jménem modernizovaného Avicenny. </w:t>
      </w:r>
      <w:r w:rsidR="00B12BDB">
        <w:rPr>
          <w:lang w:eastAsia="en-US"/>
        </w:rPr>
        <w:t xml:space="preserve">Tomáš drží Avicennovu teorii numericky individualizovaného </w:t>
      </w:r>
      <w:r w:rsidR="00B12BDB" w:rsidRPr="085467BA">
        <w:rPr>
          <w:i/>
          <w:lang w:eastAsia="en-US"/>
        </w:rPr>
        <w:t>intellectus materialis</w:t>
      </w:r>
      <w:r w:rsidR="00B12BDB">
        <w:rPr>
          <w:lang w:eastAsia="en-US"/>
        </w:rPr>
        <w:t xml:space="preserve"> v jednotlivém člověku a odmítl averroistickou teorii </w:t>
      </w:r>
      <w:r w:rsidR="00B12BDB" w:rsidRPr="081253F2">
        <w:rPr>
          <w:i/>
          <w:lang w:eastAsia="en-US"/>
        </w:rPr>
        <w:t>intellectus possibilis</w:t>
      </w:r>
      <w:r w:rsidR="00B12BDB">
        <w:rPr>
          <w:lang w:eastAsia="en-US"/>
        </w:rPr>
        <w:t xml:space="preserve"> jako kosmické substance. </w:t>
      </w:r>
      <w:r w:rsidR="08163013">
        <w:rPr>
          <w:lang w:eastAsia="en-US"/>
        </w:rPr>
        <w:t>J</w:t>
      </w:r>
      <w:r w:rsidR="08163013">
        <w:t xml:space="preserve">eho výklad individualizovaného </w:t>
      </w:r>
      <w:r w:rsidR="08163013" w:rsidRPr="081253F2">
        <w:rPr>
          <w:i/>
          <w:lang w:eastAsia="en-US"/>
        </w:rPr>
        <w:t>intellectus possibilis</w:t>
      </w:r>
      <w:r w:rsidR="08163013">
        <w:rPr>
          <w:lang w:eastAsia="en-US"/>
        </w:rPr>
        <w:t xml:space="preserve"> </w:t>
      </w:r>
      <w:r w:rsidR="00A42E89">
        <w:rPr>
          <w:lang w:eastAsia="en-US"/>
        </w:rPr>
        <w:t xml:space="preserve">je daný </w:t>
      </w:r>
      <w:r w:rsidR="08163013">
        <w:rPr>
          <w:lang w:eastAsia="en-US"/>
        </w:rPr>
        <w:t>v reálném člověku</w:t>
      </w:r>
      <w:r w:rsidR="00A42E89">
        <w:rPr>
          <w:lang w:eastAsia="en-US"/>
        </w:rPr>
        <w:t xml:space="preserve">. Intelekt je </w:t>
      </w:r>
      <w:r w:rsidR="08163013">
        <w:rPr>
          <w:lang w:eastAsia="en-US"/>
        </w:rPr>
        <w:t>založen</w:t>
      </w:r>
      <w:r w:rsidR="00A42E89">
        <w:rPr>
          <w:lang w:eastAsia="en-US"/>
        </w:rPr>
        <w:t xml:space="preserve">ý </w:t>
      </w:r>
      <w:r w:rsidR="08163013">
        <w:rPr>
          <w:lang w:eastAsia="en-US"/>
        </w:rPr>
        <w:t>ne</w:t>
      </w:r>
      <w:r w:rsidR="00A42E89">
        <w:rPr>
          <w:lang w:eastAsia="en-US"/>
        </w:rPr>
        <w:t>materiálně a tím přetrvává</w:t>
      </w:r>
      <w:r w:rsidR="08163013">
        <w:rPr>
          <w:lang w:eastAsia="en-US"/>
        </w:rPr>
        <w:t xml:space="preserve"> v duši i po smrti</w:t>
      </w:r>
      <w:r w:rsidR="00A42E89">
        <w:rPr>
          <w:lang w:eastAsia="en-US"/>
        </w:rPr>
        <w:t xml:space="preserve">. Pouze Avicenna prý individualizoval možný intelekt v člověku jako individuální nemateriální formu, proto Akvinský </w:t>
      </w:r>
      <w:r w:rsidR="08163013">
        <w:t xml:space="preserve">považuje </w:t>
      </w:r>
      <w:r w:rsidR="00A42E89">
        <w:t xml:space="preserve">jeho výklad </w:t>
      </w:r>
      <w:r w:rsidR="00A5384F" w:rsidRPr="00A5384F">
        <w:rPr>
          <w:i/>
        </w:rPr>
        <w:t>De anima</w:t>
      </w:r>
      <w:r w:rsidR="00A5384F">
        <w:t xml:space="preserve"> </w:t>
      </w:r>
      <w:r w:rsidR="08163013">
        <w:t>za shodný s křesťanskou vírou (</w:t>
      </w:r>
      <w:r w:rsidR="08163013" w:rsidRPr="087E708B">
        <w:rPr>
          <w:i/>
        </w:rPr>
        <w:t>secundum fidem catholicam</w:t>
      </w:r>
      <w:r w:rsidR="00EB2365">
        <w:t>).</w:t>
      </w:r>
    </w:p>
    <w:p w:rsidR="08163013" w:rsidRDefault="00EB2365" w:rsidP="003A4F1D">
      <w:pPr>
        <w:ind w:firstLine="397"/>
        <w:rPr>
          <w:lang w:eastAsia="en-US"/>
        </w:rPr>
      </w:pPr>
      <w:r>
        <w:t>T</w:t>
      </w:r>
      <w:r w:rsidR="08163013">
        <w:rPr>
          <w:lang w:eastAsia="en-US"/>
        </w:rPr>
        <w:t xml:space="preserve">omistický výklad CMDA </w:t>
      </w:r>
      <w:r>
        <w:rPr>
          <w:lang w:eastAsia="en-US"/>
        </w:rPr>
        <w:t xml:space="preserve">patří </w:t>
      </w:r>
      <w:r w:rsidR="08163013">
        <w:rPr>
          <w:lang w:eastAsia="en-US"/>
        </w:rPr>
        <w:t>do specifické skupiny semiaverroismu</w:t>
      </w:r>
      <w:r w:rsidR="006F4DBB">
        <w:rPr>
          <w:lang w:eastAsia="en-US"/>
        </w:rPr>
        <w:t xml:space="preserve">. Akvinský </w:t>
      </w:r>
      <w:r w:rsidR="08163013">
        <w:rPr>
          <w:lang w:eastAsia="en-US"/>
        </w:rPr>
        <w:t>odmítl p</w:t>
      </w:r>
      <w:r w:rsidR="006F4DBB">
        <w:rPr>
          <w:lang w:eastAsia="en-US"/>
        </w:rPr>
        <w:t xml:space="preserve">římý účinek kosmického </w:t>
      </w:r>
      <w:r w:rsidR="08163013" w:rsidRPr="088C0057">
        <w:rPr>
          <w:i/>
          <w:lang w:eastAsia="en-US"/>
        </w:rPr>
        <w:t>intellectus agens</w:t>
      </w:r>
      <w:r w:rsidR="08163013">
        <w:rPr>
          <w:lang w:eastAsia="en-US"/>
        </w:rPr>
        <w:t xml:space="preserve"> a </w:t>
      </w:r>
      <w:r w:rsidR="08163013">
        <w:rPr>
          <w:i/>
          <w:lang w:eastAsia="en-US"/>
        </w:rPr>
        <w:t xml:space="preserve">possibilis </w:t>
      </w:r>
      <w:r w:rsidR="08163013">
        <w:rPr>
          <w:lang w:eastAsia="en-US"/>
        </w:rPr>
        <w:t xml:space="preserve">na lidskou duši. </w:t>
      </w:r>
      <w:r w:rsidR="00D35321">
        <w:rPr>
          <w:lang w:eastAsia="en-US"/>
        </w:rPr>
        <w:t xml:space="preserve">Avicennistický výklad receptivního intelektu jako individualizované formy jako substance se vydává za autentickou interpretaci </w:t>
      </w:r>
      <w:r w:rsidR="08163013">
        <w:rPr>
          <w:lang w:eastAsia="en-US"/>
        </w:rPr>
        <w:t xml:space="preserve">CMDA. Akvinský provedl klasický sofistický manévr modernistů </w:t>
      </w:r>
      <w:r w:rsidR="08163013" w:rsidRPr="08912F5F">
        <w:t xml:space="preserve">v </w:t>
      </w:r>
      <w:r w:rsidR="08163013">
        <w:t xml:space="preserve">obranné projekci </w:t>
      </w:r>
      <w:r w:rsidR="08163013" w:rsidRPr="08912F5F">
        <w:rPr>
          <w:i/>
        </w:rPr>
        <w:t>Verkehrung ins Gegenteil</w:t>
      </w:r>
      <w:r w:rsidR="00092BC9">
        <w:rPr>
          <w:lang w:eastAsia="en-US"/>
        </w:rPr>
        <w:t xml:space="preserve"> a </w:t>
      </w:r>
      <w:r w:rsidR="00092BC9">
        <w:t>připsal Averro</w:t>
      </w:r>
      <w:r w:rsidR="00092BC9" w:rsidRPr="08912F5F">
        <w:t>e</w:t>
      </w:r>
      <w:r w:rsidR="00092BC9">
        <w:t>sovi h</w:t>
      </w:r>
      <w:r w:rsidR="08163013">
        <w:rPr>
          <w:lang w:eastAsia="en-US"/>
        </w:rPr>
        <w:t xml:space="preserve">eretickou formu </w:t>
      </w:r>
      <w:r w:rsidR="08163013" w:rsidRPr="089F49FF">
        <w:rPr>
          <w:i/>
          <w:lang w:eastAsia="en-US"/>
        </w:rPr>
        <w:t>intellectus possibilis</w:t>
      </w:r>
      <w:r w:rsidR="00092BC9">
        <w:rPr>
          <w:i/>
          <w:lang w:eastAsia="en-US"/>
        </w:rPr>
        <w:t xml:space="preserve">, </w:t>
      </w:r>
      <w:r w:rsidR="00092BC9">
        <w:rPr>
          <w:lang w:eastAsia="en-US"/>
        </w:rPr>
        <w:t>kterou sám vytvořil chybným výkladem C</w:t>
      </w:r>
      <w:r w:rsidR="08163013">
        <w:t xml:space="preserve">MDA </w:t>
      </w:r>
      <w:r w:rsidR="08163013">
        <w:rPr>
          <w:i/>
        </w:rPr>
        <w:fldChar w:fldCharType="begin"/>
      </w:r>
      <w:r w:rsidR="08163013">
        <w:instrText xml:space="preserve"> XE "</w:instrText>
      </w:r>
      <w:r w:rsidR="08163013" w:rsidRPr="0869615C">
        <w:rPr>
          <w:i/>
        </w:rPr>
        <w:instrText>Verkehrung ins Gegenteil</w:instrText>
      </w:r>
      <w:r w:rsidR="08163013">
        <w:instrText xml:space="preserve">" </w:instrText>
      </w:r>
      <w:r w:rsidR="08163013">
        <w:rPr>
          <w:i/>
        </w:rPr>
        <w:fldChar w:fldCharType="end"/>
      </w:r>
      <w:r w:rsidR="08163013" w:rsidRPr="08912F5F">
        <w:t xml:space="preserve">. </w:t>
      </w:r>
      <w:r w:rsidR="08E70E6E">
        <w:t xml:space="preserve">Do </w:t>
      </w:r>
      <w:r w:rsidR="00FE43B0">
        <w:t xml:space="preserve">heretického </w:t>
      </w:r>
      <w:r w:rsidR="08163013">
        <w:t xml:space="preserve">portfolia </w:t>
      </w:r>
      <w:r w:rsidR="08E70E6E">
        <w:t xml:space="preserve">Averroese přišel </w:t>
      </w:r>
      <w:r w:rsidR="08163013">
        <w:rPr>
          <w:lang w:eastAsia="en-US"/>
        </w:rPr>
        <w:t xml:space="preserve">kosmický </w:t>
      </w:r>
      <w:r w:rsidR="08163013" w:rsidRPr="08605987">
        <w:rPr>
          <w:i/>
          <w:lang w:eastAsia="en-US"/>
        </w:rPr>
        <w:t>intellectus possibilis</w:t>
      </w:r>
      <w:r w:rsidR="08163013">
        <w:rPr>
          <w:lang w:eastAsia="en-US"/>
        </w:rPr>
        <w:t xml:space="preserve"> podle Davida z </w:t>
      </w:r>
      <w:r w:rsidR="08163013">
        <w:rPr>
          <w:lang w:eastAsia="en-US"/>
        </w:rPr>
        <w:lastRenderedPageBreak/>
        <w:t xml:space="preserve">Dinantu. </w:t>
      </w:r>
      <w:r w:rsidR="08163013">
        <w:t xml:space="preserve">Tuto dvojí verzi tomistického averroismu statečně nese Komentátor až dodnes v modu kristologické expiace cizích vin podle knihy </w:t>
      </w:r>
      <w:r w:rsidR="08163013" w:rsidRPr="08912F5F">
        <w:rPr>
          <w:i/>
        </w:rPr>
        <w:t>Leviticus</w:t>
      </w:r>
      <w:r w:rsidR="08163013">
        <w:t xml:space="preserve"> </w:t>
      </w:r>
      <w:r w:rsidR="08E70E6E">
        <w:t xml:space="preserve">16:21–22 </w:t>
      </w:r>
      <w:r w:rsidR="08163013">
        <w:t>a podle Izaiášova Božího služebníka</w:t>
      </w:r>
      <w:r w:rsidR="00BD199A">
        <w:t xml:space="preserve"> (Iz 53:2‒5</w:t>
      </w:r>
      <w:r w:rsidR="00BD199A">
        <w:fldChar w:fldCharType="begin"/>
      </w:r>
      <w:r w:rsidR="00BD199A">
        <w:instrText xml:space="preserve"> XE "Starý zákon:</w:instrText>
      </w:r>
      <w:r w:rsidR="00BD199A" w:rsidRPr="080E6A23">
        <w:rPr>
          <w:i/>
        </w:rPr>
        <w:instrText>Iz</w:instrText>
      </w:r>
      <w:r w:rsidR="00BD199A" w:rsidRPr="08FB0F0C">
        <w:instrText xml:space="preserve"> 53.2‒</w:instrText>
      </w:r>
      <w:r w:rsidR="00BD199A">
        <w:instrText xml:space="preserve">5" </w:instrText>
      </w:r>
      <w:r w:rsidR="00BD199A">
        <w:fldChar w:fldCharType="end"/>
      </w:r>
      <w:r w:rsidR="00BD199A">
        <w:t>)</w:t>
      </w:r>
      <w:r w:rsidR="08163013">
        <w:t>.</w:t>
      </w:r>
      <w:r w:rsidR="00BD199A">
        <w:t xml:space="preserve"> </w:t>
      </w:r>
      <w:r w:rsidR="08163013">
        <w:t xml:space="preserve">Hermeneutická archeologie použila tuto pythickou a múzickou formu biblického orákula k tomu, aby v modu </w:t>
      </w:r>
      <w:r w:rsidR="005A2011">
        <w:t xml:space="preserve">archaické </w:t>
      </w:r>
      <w:r w:rsidR="08163013" w:rsidRPr="088C1E27">
        <w:rPr>
          <w:i/>
        </w:rPr>
        <w:t>alétheia</w:t>
      </w:r>
      <w:r w:rsidR="086F4F5D">
        <w:t xml:space="preserve"> vyložila skryté dějiny </w:t>
      </w:r>
      <w:r w:rsidR="08163013">
        <w:t>tomismu. Falešná forma averroismu pod vedením tomisticky</w:t>
      </w:r>
      <w:r w:rsidR="08163013">
        <w:fldChar w:fldCharType="begin"/>
      </w:r>
      <w:r w:rsidR="08163013">
        <w:instrText xml:space="preserve"> XE "</w:instrText>
      </w:r>
      <w:r w:rsidR="08163013" w:rsidRPr="08AB742A">
        <w:instrText>tomismus</w:instrText>
      </w:r>
      <w:r w:rsidR="08163013">
        <w:instrText xml:space="preserve">" </w:instrText>
      </w:r>
      <w:r w:rsidR="08163013">
        <w:fldChar w:fldCharType="end"/>
      </w:r>
      <w:r w:rsidR="08163013">
        <w:t xml:space="preserve"> vzdělaných </w:t>
      </w:r>
      <w:r w:rsidR="08B722EF">
        <w:t xml:space="preserve">akademických </w:t>
      </w:r>
      <w:r w:rsidR="08163013">
        <w:t xml:space="preserve">Fúrií ovlivňuje tento systém myšlení. </w:t>
      </w:r>
      <w:r w:rsidR="08163013">
        <w:rPr>
          <w:lang w:eastAsia="en-US"/>
        </w:rPr>
        <w:t>Akvinský během prvního pařížského období je pro zástupce prvního averroismu jasný avicennista, i když jiného ražení než škola druhého averrroismu pod vedením Kilwardbyho, Pechama a Bonaventury. Albert gradualistické pojetí intelektu podle Avicenny hájil pouze jako abstrakci, což bylo v souladu s výkladem CMDA (kap. 4.4.2). Albert odmítl Aristotelovu a Avicennovu neoplatonskou gradualitu intelektů (</w:t>
      </w:r>
      <w:r w:rsidR="08163013" w:rsidRPr="08F14CC1">
        <w:rPr>
          <w:i/>
        </w:rPr>
        <w:t>secundum Aristotelem et Avicennam, potentiae existentis in actu quatuor sunt gradu</w:t>
      </w:r>
      <w:r w:rsidR="08163013" w:rsidRPr="00DF3E26">
        <w:t>s</w:t>
      </w:r>
      <w:r w:rsidR="08163013">
        <w:rPr>
          <w:lang w:eastAsia="en-US"/>
        </w:rPr>
        <w:t>) ve jménu Sicilského výkladu CMDA (</w:t>
      </w:r>
      <w:r w:rsidR="08163013" w:rsidRPr="08F14CC1">
        <w:rPr>
          <w:i/>
        </w:rPr>
        <w:t xml:space="preserve">Averroes vero videtur ponere tres </w:t>
      </w:r>
      <w:r w:rsidR="00962190">
        <w:rPr>
          <w:i/>
        </w:rPr>
        <w:t>species</w:t>
      </w:r>
      <w:r w:rsidR="08163013" w:rsidRPr="08F14CC1">
        <w:rPr>
          <w:i/>
        </w:rPr>
        <w:t xml:space="preserve"> intellectus</w:t>
      </w:r>
      <w:r w:rsidR="08163013">
        <w:rPr>
          <w:lang w:eastAsia="en-US"/>
        </w:rPr>
        <w:t xml:space="preserve">). Siger dobře znal Albertův výklad </w:t>
      </w:r>
      <w:r w:rsidR="08163013" w:rsidRPr="08EC0520">
        <w:rPr>
          <w:i/>
          <w:lang w:eastAsia="en-US"/>
        </w:rPr>
        <w:t>De anima</w:t>
      </w:r>
      <w:r w:rsidR="08163013">
        <w:rPr>
          <w:lang w:eastAsia="en-US"/>
        </w:rPr>
        <w:t xml:space="preserve"> daný ve spisu </w:t>
      </w:r>
      <w:r w:rsidR="08163013" w:rsidRPr="087A2AB0">
        <w:rPr>
          <w:i/>
          <w:lang w:eastAsia="en-US"/>
        </w:rPr>
        <w:t>De homine</w:t>
      </w:r>
      <w:r w:rsidR="08163013">
        <w:rPr>
          <w:lang w:eastAsia="en-US"/>
        </w:rPr>
        <w:t xml:space="preserve">, protože figuroval v dalších Albertových pojednáních o intelektu publikovaných v době vzniku </w:t>
      </w:r>
      <w:r w:rsidR="00740A13">
        <w:rPr>
          <w:lang w:eastAsia="en-US"/>
        </w:rPr>
        <w:t xml:space="preserve">Sigerovy </w:t>
      </w:r>
      <w:r w:rsidR="08163013">
        <w:rPr>
          <w:lang w:eastAsia="en-US"/>
        </w:rPr>
        <w:t xml:space="preserve">QIIIDA. Vůči Albertovi uplatnil </w:t>
      </w:r>
      <w:r w:rsidR="08163013" w:rsidRPr="08932510">
        <w:rPr>
          <w:i/>
          <w:lang w:eastAsia="en-US"/>
        </w:rPr>
        <w:t>Doctor Invidiosus</w:t>
      </w:r>
      <w:r w:rsidR="08163013">
        <w:rPr>
          <w:i/>
          <w:lang w:eastAsia="en-US"/>
        </w:rPr>
        <w:fldChar w:fldCharType="begin"/>
      </w:r>
      <w:r w:rsidR="08163013">
        <w:instrText xml:space="preserve"> XE "</w:instrText>
      </w:r>
      <w:r w:rsidR="08163013" w:rsidRPr="08AA4276">
        <w:rPr>
          <w:i/>
          <w:lang w:eastAsia="en-US"/>
        </w:rPr>
        <w:instrText>Doctor Invidiosus</w:instrText>
      </w:r>
      <w:r w:rsidR="08163013">
        <w:instrText xml:space="preserve">" </w:instrText>
      </w:r>
      <w:r w:rsidR="08163013">
        <w:rPr>
          <w:i/>
          <w:lang w:eastAsia="en-US"/>
        </w:rPr>
        <w:fldChar w:fldCharType="end"/>
      </w:r>
      <w:r w:rsidR="08163013">
        <w:rPr>
          <w:lang w:eastAsia="en-US"/>
        </w:rPr>
        <w:t xml:space="preserve"> jinou kritiku než vůči Tomášovi, kterého poznal během společných bakalářských studií v Paříži jako </w:t>
      </w:r>
      <w:r w:rsidR="08101F6D">
        <w:rPr>
          <w:lang w:eastAsia="en-US"/>
        </w:rPr>
        <w:t>avicennistu a averroistu (kap. 4</w:t>
      </w:r>
      <w:r w:rsidR="08163013">
        <w:rPr>
          <w:lang w:eastAsia="en-US"/>
        </w:rPr>
        <w:t xml:space="preserve">.4.3). Siger jménem prvního averroismu Sicilské školy zásadně odmítl jakoukoliv možnost materiální individuace intelektu v modu </w:t>
      </w:r>
      <w:r w:rsidR="08163013" w:rsidRPr="08C3030E">
        <w:rPr>
          <w:i/>
          <w:lang w:eastAsia="en-US"/>
        </w:rPr>
        <w:t>separatus</w:t>
      </w:r>
      <w:r w:rsidR="08163013">
        <w:rPr>
          <w:lang w:eastAsia="en-US"/>
        </w:rPr>
        <w:t>, protože CMDA odmítá všechny hypostázované form</w:t>
      </w:r>
      <w:r w:rsidR="08101F6D">
        <w:rPr>
          <w:lang w:eastAsia="en-US"/>
        </w:rPr>
        <w:t>y moderních alexandrovců (kap. 4</w:t>
      </w:r>
      <w:r w:rsidR="08163013">
        <w:rPr>
          <w:lang w:eastAsia="en-US"/>
        </w:rPr>
        <w:t xml:space="preserve">.4.3). Tomáš hypostázoval intelektuální potenci osoby danou v těle a definoval tento intelekt </w:t>
      </w:r>
      <w:r w:rsidR="004422FA">
        <w:rPr>
          <w:lang w:eastAsia="en-US"/>
        </w:rPr>
        <w:t>jako esenci v nemateriální duši</w:t>
      </w:r>
      <w:r w:rsidR="08163013">
        <w:rPr>
          <w:lang w:eastAsia="en-US"/>
        </w:rPr>
        <w:t>. T</w:t>
      </w:r>
      <w:r w:rsidR="08163013">
        <w:t xml:space="preserve">ento výklad </w:t>
      </w:r>
      <w:r w:rsidR="08163013" w:rsidRPr="00456207">
        <w:rPr>
          <w:i/>
        </w:rPr>
        <w:t>anima intellectiva</w:t>
      </w:r>
      <w:r w:rsidR="08163013">
        <w:t xml:space="preserve"> obsahuje skrytý dualismus podle Avicennova </w:t>
      </w:r>
      <w:r w:rsidR="000B71D0">
        <w:t>„</w:t>
      </w:r>
      <w:r w:rsidR="08163013">
        <w:t>katolického</w:t>
      </w:r>
      <w:r w:rsidR="000B71D0">
        <w:t>“</w:t>
      </w:r>
      <w:r w:rsidR="08163013">
        <w:t xml:space="preserve"> výkladu </w:t>
      </w:r>
      <w:r w:rsidR="08163013" w:rsidRPr="089502A5">
        <w:rPr>
          <w:i/>
        </w:rPr>
        <w:t>intellectus possibilis</w:t>
      </w:r>
      <w:r w:rsidR="08163013">
        <w:t xml:space="preserve">, v němž nemateriální a oddělený intelekt funguje jako hypostázovaná forma duše v modu </w:t>
      </w:r>
      <w:r w:rsidR="08163013" w:rsidRPr="00BE5CB6">
        <w:rPr>
          <w:i/>
        </w:rPr>
        <w:t>qua</w:t>
      </w:r>
      <w:r w:rsidR="08163013" w:rsidRPr="00BE5CB6">
        <w:rPr>
          <w:i/>
          <w:vertAlign w:val="superscript"/>
        </w:rPr>
        <w:t>2</w:t>
      </w:r>
      <w:r w:rsidR="08163013">
        <w:rPr>
          <w:i/>
        </w:rPr>
        <w:t xml:space="preserve"> </w:t>
      </w:r>
      <w:r w:rsidR="08163013" w:rsidRPr="00BE5CB6">
        <w:t>(kap.</w:t>
      </w:r>
      <w:r w:rsidR="08F41CA5">
        <w:t xml:space="preserve"> 4</w:t>
      </w:r>
      <w:r w:rsidR="08163013">
        <w:t>.5.3</w:t>
      </w:r>
      <w:r w:rsidR="08163013" w:rsidRPr="00BE5CB6">
        <w:t>).</w:t>
      </w:r>
      <w:r w:rsidR="08163013" w:rsidRPr="08C24D5D">
        <w:t xml:space="preserve"> </w:t>
      </w:r>
      <w:r w:rsidR="08163013">
        <w:t xml:space="preserve">Tomismus </w:t>
      </w:r>
      <w:r w:rsidR="08163013">
        <w:rPr>
          <w:lang w:eastAsia="en-US"/>
        </w:rPr>
        <w:t>vytvořil v duši intelekt jako hypostázovanou formu</w:t>
      </w:r>
      <w:r w:rsidR="00FB7EFD">
        <w:rPr>
          <w:lang w:eastAsia="en-US"/>
        </w:rPr>
        <w:t>. Taková pr</w:t>
      </w:r>
      <w:r w:rsidR="08163013">
        <w:rPr>
          <w:lang w:eastAsia="en-US"/>
        </w:rPr>
        <w:t xml:space="preserve">odukce </w:t>
      </w:r>
      <w:r w:rsidR="00FB7EFD" w:rsidRPr="00B75F8B">
        <w:rPr>
          <w:i/>
        </w:rPr>
        <w:t>tertium ens</w:t>
      </w:r>
      <w:r w:rsidR="08163013">
        <w:rPr>
          <w:lang w:eastAsia="en-US"/>
        </w:rPr>
        <w:t xml:space="preserve"> představuje typický omyl porretánů a modernistů. Pozdější výklad v </w:t>
      </w:r>
      <w:proofErr w:type="gramStart"/>
      <w:r w:rsidR="08163013" w:rsidRPr="00FA02A5">
        <w:rPr>
          <w:i/>
          <w:lang w:eastAsia="en-US"/>
        </w:rPr>
        <w:t>De</w:t>
      </w:r>
      <w:proofErr w:type="gramEnd"/>
      <w:r w:rsidR="08163013" w:rsidRPr="00FA02A5">
        <w:rPr>
          <w:i/>
          <w:lang w:eastAsia="en-US"/>
        </w:rPr>
        <w:t xml:space="preserve"> unitate intellectus</w:t>
      </w:r>
      <w:r w:rsidR="08163013">
        <w:rPr>
          <w:lang w:eastAsia="en-US"/>
        </w:rPr>
        <w:t xml:space="preserve"> hájí podobný </w:t>
      </w:r>
      <w:r w:rsidR="08163013">
        <w:t xml:space="preserve">aristotelismus odmítající Komentátorův výklad CMDA. Akvinský založil dualistickou jednotu osoby </w:t>
      </w:r>
      <w:r w:rsidR="00CC6F96">
        <w:t>re</w:t>
      </w:r>
      <w:r w:rsidR="08163013">
        <w:t xml:space="preserve">katolizací Avicenny a diabolizací Averroese, což po něm převzal Aegidius Romanus do první verze tomismu. </w:t>
      </w:r>
      <w:r w:rsidR="08163013">
        <w:rPr>
          <w:lang w:eastAsia="en-US"/>
        </w:rPr>
        <w:t xml:space="preserve">Kritičtí magistři na Rue du Fouarre nemohli připustit mytopoetický vpád dogmatické teologie do filosofie, navíc pouhých </w:t>
      </w:r>
      <w:r w:rsidR="009442C3">
        <w:rPr>
          <w:lang w:eastAsia="en-US"/>
        </w:rPr>
        <w:t xml:space="preserve">několik </w:t>
      </w:r>
      <w:r w:rsidR="08163013">
        <w:rPr>
          <w:lang w:eastAsia="en-US"/>
        </w:rPr>
        <w:t>let po odchodu biskupa Alverna na věčnost.</w:t>
      </w:r>
      <w:r w:rsidR="08163013" w:rsidRPr="08B64287">
        <w:rPr>
          <w:lang w:eastAsia="en-US"/>
        </w:rPr>
        <w:t xml:space="preserve"> </w:t>
      </w:r>
      <w:r w:rsidR="08163013">
        <w:rPr>
          <w:lang w:eastAsia="en-US"/>
        </w:rPr>
        <w:t xml:space="preserve">Sigerova škola odmítla averroismus Akvinského ohledně kosmické formy </w:t>
      </w:r>
      <w:r w:rsidR="08163013" w:rsidRPr="00DC5AD5">
        <w:rPr>
          <w:i/>
          <w:lang w:eastAsia="en-US"/>
        </w:rPr>
        <w:t>intellectus possibilis</w:t>
      </w:r>
      <w:r w:rsidR="08163013">
        <w:rPr>
          <w:i/>
          <w:lang w:eastAsia="en-US"/>
        </w:rPr>
        <w:t xml:space="preserve"> </w:t>
      </w:r>
      <w:r w:rsidR="08163013">
        <w:rPr>
          <w:lang w:eastAsia="en-US"/>
        </w:rPr>
        <w:t xml:space="preserve">a s ní spojený averroistický výklad CMDA jako </w:t>
      </w:r>
      <w:r w:rsidR="08163013">
        <w:rPr>
          <w:lang w:eastAsia="en-US"/>
        </w:rPr>
        <w:lastRenderedPageBreak/>
        <w:t xml:space="preserve">další sofisma z modernistické školy </w:t>
      </w:r>
      <w:r w:rsidR="08163013" w:rsidRPr="00CA48A2">
        <w:rPr>
          <w:i/>
          <w:lang w:eastAsia="en-US"/>
        </w:rPr>
        <w:t>sequaces Aristotelis</w:t>
      </w:r>
      <w:r w:rsidR="08163013">
        <w:rPr>
          <w:lang w:eastAsia="en-US"/>
        </w:rPr>
        <w:t>.</w:t>
      </w:r>
      <w:r w:rsidR="08163013" w:rsidRPr="082F27BA">
        <w:rPr>
          <w:lang w:eastAsia="en-US"/>
        </w:rPr>
        <w:t xml:space="preserve"> </w:t>
      </w:r>
      <w:r w:rsidR="08163013">
        <w:rPr>
          <w:lang w:eastAsia="en-US"/>
        </w:rPr>
        <w:t>Ale další kapito</w:t>
      </w:r>
      <w:r w:rsidR="00E1139C">
        <w:rPr>
          <w:lang w:eastAsia="en-US"/>
        </w:rPr>
        <w:t xml:space="preserve">ly ukáží, že Tomášova teorie </w:t>
      </w:r>
      <w:r w:rsidR="08163013">
        <w:rPr>
          <w:lang w:eastAsia="en-US"/>
        </w:rPr>
        <w:t xml:space="preserve">poznání podle </w:t>
      </w:r>
      <w:r w:rsidR="08163013" w:rsidRPr="082F27BA">
        <w:rPr>
          <w:i/>
          <w:lang w:eastAsia="en-US"/>
        </w:rPr>
        <w:t>De anima</w:t>
      </w:r>
      <w:r w:rsidR="08163013">
        <w:rPr>
          <w:lang w:eastAsia="en-US"/>
        </w:rPr>
        <w:t xml:space="preserve"> patří do pojetí prvního averroismu.</w:t>
      </w:r>
    </w:p>
    <w:p w:rsidR="08163013" w:rsidRDefault="08163013" w:rsidP="08163013">
      <w:r>
        <w:rPr>
          <w:lang w:eastAsia="en-US"/>
        </w:rPr>
        <w:tab/>
        <w:t>Tím se dostáváme ke druhému bodu, což je vztah Akvinské</w:t>
      </w:r>
      <w:r w:rsidR="00FD7506">
        <w:rPr>
          <w:lang w:eastAsia="en-US"/>
        </w:rPr>
        <w:t xml:space="preserve">ho ke škole druhého averroismu. Ten je </w:t>
      </w:r>
      <w:r>
        <w:rPr>
          <w:lang w:eastAsia="en-US"/>
        </w:rPr>
        <w:t xml:space="preserve">naprosto jednoznačně a zásadně odmítavý po celou dobu jeho působení. Nově jmenovaný magistr </w:t>
      </w:r>
      <w:r w:rsidRPr="00273106">
        <w:t xml:space="preserve">pokračuje ve </w:t>
      </w:r>
      <w:r>
        <w:t xml:space="preserve">filosofickém </w:t>
      </w:r>
      <w:r w:rsidRPr="00273106">
        <w:t xml:space="preserve">sporu </w:t>
      </w:r>
      <w:r>
        <w:t xml:space="preserve">nástupců z řad zakladatelů Pařížské univerzity proti tehdejším školám </w:t>
      </w:r>
      <w:r w:rsidRPr="08A61320">
        <w:rPr>
          <w:i/>
        </w:rPr>
        <w:t>sophistae Latini</w:t>
      </w:r>
      <w:r>
        <w:t xml:space="preserve"> a </w:t>
      </w:r>
      <w:r w:rsidRPr="08A61320">
        <w:rPr>
          <w:i/>
        </w:rPr>
        <w:t>Grammatici</w:t>
      </w:r>
      <w:r>
        <w:t xml:space="preserve">. Jeho cílem je Bonaventura a jeho pařížská škola </w:t>
      </w:r>
      <w:r w:rsidRPr="08A61320">
        <w:rPr>
          <w:i/>
        </w:rPr>
        <w:t>Modernorum</w:t>
      </w:r>
      <w:r>
        <w:t xml:space="preserve">, </w:t>
      </w:r>
      <w:r w:rsidRPr="00273106">
        <w:t xml:space="preserve">kterou </w:t>
      </w:r>
      <w:r>
        <w:t xml:space="preserve">dobře znal v Paříži během sporu sekulárních artistů a mendikantů. Ve sporu proti druhému averroismu postupoval </w:t>
      </w:r>
      <w:r w:rsidRPr="00273106">
        <w:t xml:space="preserve">stejně diskrétním </w:t>
      </w:r>
      <w:r w:rsidRPr="00273106">
        <w:rPr>
          <w:i/>
        </w:rPr>
        <w:t>modo obliquo</w:t>
      </w:r>
      <w:r>
        <w:t xml:space="preserve"> </w:t>
      </w:r>
      <w:r w:rsidRPr="00273106">
        <w:t>jako Albert Veliký.</w:t>
      </w:r>
      <w:r>
        <w:t xml:space="preserve"> </w:t>
      </w:r>
      <w:r w:rsidRPr="00273106">
        <w:t xml:space="preserve">Hermeneutika sporu prvního </w:t>
      </w:r>
      <w:r w:rsidR="00233332">
        <w:t xml:space="preserve">a druhého averroismu konstatuje, </w:t>
      </w:r>
      <w:r w:rsidRPr="00273106">
        <w:t xml:space="preserve">že </w:t>
      </w:r>
      <w:r>
        <w:t>Pecham</w:t>
      </w:r>
      <w:r w:rsidRPr="00273106">
        <w:t xml:space="preserve"> byl </w:t>
      </w:r>
      <w:r>
        <w:t xml:space="preserve">hlavním terčem </w:t>
      </w:r>
      <w:r w:rsidRPr="00273106">
        <w:t>Akvinského</w:t>
      </w:r>
      <w:r>
        <w:t xml:space="preserve"> kritiky okolo roku 1270</w:t>
      </w:r>
      <w:r w:rsidRPr="00273106">
        <w:t xml:space="preserve">. V této době Akvinský přichází na Pařížskou univerzitu a v přednáškách reaguje na učení zdejších magistrů. </w:t>
      </w:r>
      <w:r>
        <w:t>Ve stejném roce Pecham opouští Pařížskou univerzitu ze stejného důvodu jako před ním Rufus v roce 1250. Pechamova filosofie nemohla obstát před kritikou Akvinského a Sigera, stejně jako se to stalo osudným Rufusovi po kritice Alverna a Alberta. Akvinský představoval nový směr výkladu Aristotela na Pařížské univerzitě po svém druhém příjezdu na konci roku 1269. Proto se mladí bakaláři typu Aegidia přidali na stranu Nového Expozitora a modernisté bránili Pechama, jako to nepřímo dělal Bonaventura v postních kázáních (</w:t>
      </w:r>
      <w:r w:rsidRPr="087045AC">
        <w:rPr>
          <w:i/>
        </w:rPr>
        <w:t>Collationes</w:t>
      </w:r>
      <w:r>
        <w:t>) z této doby</w:t>
      </w:r>
      <w:r w:rsidR="005034EF">
        <w:t xml:space="preserve"> (kap. 4.1.1)</w:t>
      </w:r>
      <w:r>
        <w:t>. Pro Sigerovu školu na Rue du Fouarre nebyl přijatelný ani jeden z těchto latinských sofistů. Tomisté a modernisté byli averroisté podle avicennismu toletánů a zničili křesťanské pojetí osoby rozpadem na různé formy nebo dokonce substance. Není divu, že zmatený pařížský biskup Tempier po rozpadu metafyziky a jednotného vidění světa nevěděl, co dělat. V tomto moderním zmatku nebyl sám, což ukáže dále citovaný dopis generála dominikánů z roku 1271 s otázkami ohledně duše a kosmologie, na které měli odpovědět hlavní magis</w:t>
      </w:r>
      <w:r w:rsidR="08F41CA5">
        <w:t>tři řádu (kap. 4</w:t>
      </w:r>
      <w:r>
        <w:t>.5.3</w:t>
      </w:r>
      <w:r w:rsidRPr="08B832CD">
        <w:t>).</w:t>
      </w:r>
      <w:r>
        <w:t xml:space="preserve"> </w:t>
      </w:r>
      <w:r w:rsidRPr="00273106">
        <w:t xml:space="preserve">Spor </w:t>
      </w:r>
      <w:r>
        <w:t xml:space="preserve">Tomáše a Pechama </w:t>
      </w:r>
      <w:r w:rsidRPr="00273106">
        <w:t xml:space="preserve">byl nevyhnutelný a navazoval na </w:t>
      </w:r>
      <w:r>
        <w:t>Pecham</w:t>
      </w:r>
      <w:r w:rsidRPr="00273106">
        <w:t>ův spor s Albertem Velikým</w:t>
      </w:r>
      <w:r>
        <w:t xml:space="preserve">. Polemické </w:t>
      </w:r>
      <w:r w:rsidRPr="00273106">
        <w:t xml:space="preserve">dílo </w:t>
      </w:r>
      <w:r>
        <w:rPr>
          <w:i/>
        </w:rPr>
        <w:t>Quaestiones tractantes De anima</w:t>
      </w:r>
      <w:r w:rsidRPr="00273106">
        <w:t xml:space="preserve"> </w:t>
      </w:r>
      <w:r>
        <w:t xml:space="preserve">dnes známé i jako </w:t>
      </w:r>
      <w:r>
        <w:rPr>
          <w:i/>
        </w:rPr>
        <w:t>Quaestiones disputatae D</w:t>
      </w:r>
      <w:r w:rsidRPr="080A56B2">
        <w:rPr>
          <w:i/>
        </w:rPr>
        <w:t>e anima</w:t>
      </w:r>
      <w:r>
        <w:t xml:space="preserve"> do</w:t>
      </w:r>
      <w:r w:rsidRPr="00273106">
        <w:t xml:space="preserve">psal </w:t>
      </w:r>
      <w:r>
        <w:t>Pecham proti Albertovi a Akvinskému nejpozději na začátku roku 1270</w:t>
      </w:r>
      <w:r w:rsidRPr="00273106">
        <w:t xml:space="preserve"> v Paříži</w:t>
      </w:r>
      <w:r w:rsidR="08F41CA5">
        <w:t xml:space="preserve"> (kap. 4</w:t>
      </w:r>
      <w:r>
        <w:t>.2.1)</w:t>
      </w:r>
      <w:r w:rsidRPr="00273106">
        <w:t xml:space="preserve">. </w:t>
      </w:r>
      <w:r>
        <w:t>Proti Sigerovu pojetí</w:t>
      </w:r>
      <w:r w:rsidR="08F41CA5">
        <w:t xml:space="preserve"> věčnosti světa v QIIIDA (kap. 4</w:t>
      </w:r>
      <w:r>
        <w:t xml:space="preserve">.4.1) polemizuje tento augustinián v díle </w:t>
      </w:r>
      <w:r w:rsidR="082A2A40">
        <w:rPr>
          <w:i/>
        </w:rPr>
        <w:t>Quaestio disputata D</w:t>
      </w:r>
      <w:r w:rsidRPr="08587D77">
        <w:rPr>
          <w:i/>
        </w:rPr>
        <w:t>e aeternitate mundi</w:t>
      </w:r>
      <w:r>
        <w:t xml:space="preserve"> dokončeném asi v roce 1271. Akvinský navíc Pechama přímo napadl v závěru </w:t>
      </w:r>
      <w:r w:rsidRPr="08CD66FF">
        <w:rPr>
          <w:i/>
        </w:rPr>
        <w:t>De unitate</w:t>
      </w:r>
      <w:r>
        <w:t xml:space="preserve"> </w:t>
      </w:r>
      <w:r w:rsidR="00277BDD" w:rsidRPr="00277BDD">
        <w:rPr>
          <w:i/>
        </w:rPr>
        <w:t>intellectus</w:t>
      </w:r>
      <w:r w:rsidR="00277BDD">
        <w:t xml:space="preserve"> </w:t>
      </w:r>
      <w:r>
        <w:t>jako podřadného myslitele</w:t>
      </w:r>
      <w:r w:rsidR="00DA2847">
        <w:t>. Citujme závěrečnou část spisu</w:t>
      </w:r>
      <w:r>
        <w:t xml:space="preserve">, která jinými </w:t>
      </w:r>
      <w:r>
        <w:lastRenderedPageBreak/>
        <w:t xml:space="preserve">slovy opakuje výše citovanou Albertovu pozici z komentáře k </w:t>
      </w:r>
      <w:proofErr w:type="gramStart"/>
      <w:r w:rsidRPr="00EF5F78">
        <w:rPr>
          <w:i/>
        </w:rPr>
        <w:t>De</w:t>
      </w:r>
      <w:proofErr w:type="gramEnd"/>
      <w:r w:rsidRPr="00EF5F78">
        <w:rPr>
          <w:i/>
        </w:rPr>
        <w:t xml:space="preserve"> anima</w:t>
      </w:r>
      <w:r>
        <w:t xml:space="preserve"> (</w:t>
      </w:r>
      <w:r w:rsidRPr="00273106">
        <w:rPr>
          <w:i/>
        </w:rPr>
        <w:t>scientiam veritatis nec ostendunt</w:t>
      </w:r>
      <w:r>
        <w:rPr>
          <w:i/>
        </w:rPr>
        <w:t xml:space="preserve"> </w:t>
      </w:r>
      <w:r w:rsidRPr="00273106">
        <w:rPr>
          <w:i/>
        </w:rPr>
        <w:t>nec verbis propriis attingunt</w:t>
      </w:r>
      <w:r w:rsidR="08F41CA5">
        <w:t>; OBJ II, kap. 2</w:t>
      </w:r>
      <w:r w:rsidRPr="00B36E91">
        <w:t>.4.3</w:t>
      </w:r>
      <w:r>
        <w:t>).</w:t>
      </w:r>
    </w:p>
    <w:p w:rsidR="08163013" w:rsidRDefault="08163013" w:rsidP="08163013">
      <w:pPr>
        <w:pStyle w:val="Citace"/>
        <w:rPr>
          <w:lang w:val="cs-CZ"/>
        </w:rPr>
      </w:pPr>
      <w:r>
        <w:t>„Toto je psáno proto, aby byl odstraněny výše popsané omyly, ale nikoliv pomocí církevních dekretů, ale skrze filosofické argumenty a spisy. A jestliže se někdo chlubí falešnou znalostí danou jen podle slov (</w:t>
      </w:r>
      <w:r w:rsidRPr="008C3CFB">
        <w:rPr>
          <w:i/>
        </w:rPr>
        <w:t>falsi nominis scientia</w:t>
      </w:r>
      <w:r>
        <w:t>) a chce něco namítnou</w:t>
      </w:r>
      <w:r>
        <w:rPr>
          <w:lang w:val="cs-CZ"/>
        </w:rPr>
        <w:t>t</w:t>
      </w:r>
      <w:r>
        <w:t xml:space="preserve"> proti tomu, co jsme napsali, ať se nechovává za rohem a nemluví o tom před nedospělci, kteří nejsou schopni posoudit tak složité otázky</w:t>
      </w:r>
      <w:r>
        <w:rPr>
          <w:lang w:val="cs-CZ"/>
        </w:rPr>
        <w:t xml:space="preserve"> (</w:t>
      </w:r>
      <w:r w:rsidRPr="08BA26F2">
        <w:rPr>
          <w:i/>
        </w:rPr>
        <w:t>coram pueris qui nesciunt de tam arduis iudicare</w:t>
      </w:r>
      <w:r>
        <w:rPr>
          <w:lang w:val="cs-CZ"/>
        </w:rPr>
        <w:t>)</w:t>
      </w:r>
      <w:r>
        <w:t>. Pokud se odváží, ať napíše odpověď na to, co je zde dáno. A pa</w:t>
      </w:r>
      <w:r w:rsidR="00827804">
        <w:t xml:space="preserve">k uvidí, že nejen moje </w:t>
      </w:r>
      <w:r w:rsidR="00827804">
        <w:rPr>
          <w:lang w:val="cs-CZ"/>
        </w:rPr>
        <w:t>nauka</w:t>
      </w:r>
      <w:r>
        <w:t>, ale i ostatní zastánci pravdy budou vzdorovat jeho omylům a opraví jeho neznalost.“</w:t>
      </w:r>
      <w:r>
        <w:rPr>
          <w:lang w:val="cs-CZ"/>
        </w:rPr>
        <w:t> </w:t>
      </w:r>
      <w:r w:rsidRPr="00273106">
        <w:rPr>
          <w:rStyle w:val="Znakapoznpodarou"/>
        </w:rPr>
        <w:footnoteReference w:id="291"/>
      </w:r>
    </w:p>
    <w:p w:rsidR="08163013" w:rsidRDefault="08163013" w:rsidP="08163013">
      <w:r>
        <w:t>Dvojnásobně poražený Pecham odchází na Oxford ve funkci magistra-regenta. Po jmenování rektora Kilwardbyho arcibiskupem v Canterbury (1272) dokončuje Pecham přeměnu této univerzity na baštu modernismu. Pecham</w:t>
      </w:r>
      <w:r w:rsidRPr="00273106">
        <w:t xml:space="preserve"> v několika dopisech </w:t>
      </w:r>
      <w:r>
        <w:t>z roku 1284‒</w:t>
      </w:r>
      <w:r w:rsidRPr="00273106">
        <w:t>85</w:t>
      </w:r>
      <w:r>
        <w:t xml:space="preserve"> </w:t>
      </w:r>
      <w:r w:rsidRPr="00273106">
        <w:t xml:space="preserve">zmiňuje základní ideový spor s </w:t>
      </w:r>
      <w:proofErr w:type="gramStart"/>
      <w:r w:rsidRPr="00273106">
        <w:t>Akvinským</w:t>
      </w:r>
      <w:proofErr w:type="gramEnd"/>
      <w:r w:rsidRPr="00273106">
        <w:t xml:space="preserve"> ohledně otázky, </w:t>
      </w:r>
      <w:r>
        <w:t xml:space="preserve">zda v člověku existuje jen jedna substanční forma, což </w:t>
      </w:r>
      <w:r w:rsidRPr="00273106">
        <w:t xml:space="preserve">považoval v souladu s učením druhého averroismu za zásadní omyl. </w:t>
      </w:r>
      <w:r w:rsidR="0097085C">
        <w:t xml:space="preserve">Citujme důležitý </w:t>
      </w:r>
      <w:r w:rsidRPr="00273106">
        <w:t xml:space="preserve">dopis z 1. června 1285, v němž </w:t>
      </w:r>
      <w:r>
        <w:t>Pecham</w:t>
      </w:r>
      <w:r w:rsidRPr="00273106">
        <w:t xml:space="preserve"> zmiňuje sporné body mezi ním a Akvinským. Dopis na začátku uvádí jako základn</w:t>
      </w:r>
      <w:r>
        <w:t>í sporný bod Akvinským nekompro</w:t>
      </w:r>
      <w:r w:rsidRPr="00273106">
        <w:t>misně hájenou jednu substanční formu v člověku, která tvořila jádro sporu mezi prvním a druhým averroismem. Canterburský arcibiskup brání učení františkánské školy druhého averroismu v Paříži</w:t>
      </w:r>
      <w:r>
        <w:t xml:space="preserve"> </w:t>
      </w:r>
      <w:r w:rsidR="00CE2E2D">
        <w:t>založenou Alexandrem Halským</w:t>
      </w:r>
      <w:r w:rsidR="00CE2E2D">
        <w:fldChar w:fldCharType="begin"/>
      </w:r>
      <w:r w:rsidR="00CE2E2D">
        <w:instrText xml:space="preserve"> XE "Alexander, Halský" </w:instrText>
      </w:r>
      <w:r w:rsidR="00CE2E2D">
        <w:fldChar w:fldCharType="end"/>
      </w:r>
      <w:r w:rsidR="00CE2E2D">
        <w:t xml:space="preserve">, kterou pak vedl </w:t>
      </w:r>
      <w:proofErr w:type="gramStart"/>
      <w:r>
        <w:t>Bonaventur</w:t>
      </w:r>
      <w:r w:rsidR="00CE2E2D">
        <w:t>a</w:t>
      </w:r>
      <w:r>
        <w:t xml:space="preserve">  </w:t>
      </w:r>
      <w:r w:rsidRPr="00273106">
        <w:t>(</w:t>
      </w:r>
      <w:r w:rsidRPr="00273106">
        <w:rPr>
          <w:i/>
        </w:rPr>
        <w:t>memorie</w:t>
      </w:r>
      <w:proofErr w:type="gramEnd"/>
      <w:r w:rsidRPr="00273106">
        <w:rPr>
          <w:i/>
        </w:rPr>
        <w:t xml:space="preserve"> fratris Alexandri ac fratris Bonaventure et consimilium</w:t>
      </w:r>
      <w:r w:rsidRPr="00273106">
        <w:t>).</w:t>
      </w:r>
      <w:r w:rsidRPr="00273106">
        <w:rPr>
          <w:rStyle w:val="Znakapoznpodarou"/>
        </w:rPr>
        <w:footnoteReference w:id="292"/>
      </w:r>
      <w:r w:rsidRPr="00273106">
        <w:t xml:space="preserve"> </w:t>
      </w:r>
      <w:r>
        <w:t>Pecham</w:t>
      </w:r>
      <w:r w:rsidRPr="00273106">
        <w:t xml:space="preserve"> v citované části listu </w:t>
      </w:r>
      <w:r>
        <w:t>uvádí</w:t>
      </w:r>
      <w:r w:rsidRPr="00273106">
        <w:t>, že hlavní změna v jím odmítnutém myšlení proběhla během posledních dvaceti let (</w:t>
      </w:r>
      <w:r w:rsidRPr="00273106">
        <w:rPr>
          <w:i/>
        </w:rPr>
        <w:t>citra viginti annos</w:t>
      </w:r>
      <w:r w:rsidRPr="00273106">
        <w:t xml:space="preserve">). </w:t>
      </w:r>
      <w:r>
        <w:t>List byl psaný roku 1285, což znamená, že s</w:t>
      </w:r>
      <w:r w:rsidRPr="00273106">
        <w:t xml:space="preserve">por vedený </w:t>
      </w:r>
      <w:r>
        <w:t>Pecham</w:t>
      </w:r>
      <w:r w:rsidRPr="00273106">
        <w:t>em se netýkal pouze pozice Akvinského kolem 1270, ale i kritiky Alberta Velikého (</w:t>
      </w:r>
      <w:r w:rsidRPr="00273106">
        <w:rPr>
          <w:i/>
        </w:rPr>
        <w:t>De unitate intellectus</w:t>
      </w:r>
      <w:r>
        <w:t xml:space="preserve">, 1263) a Sigerova výkladu </w:t>
      </w:r>
      <w:r w:rsidRPr="08C07D74">
        <w:rPr>
          <w:i/>
        </w:rPr>
        <w:t>De anima</w:t>
      </w:r>
      <w:r>
        <w:t xml:space="preserve"> I‒III redigovaného do roku 1266. Albert </w:t>
      </w:r>
      <w:r w:rsidR="007E665D">
        <w:t>publikoval</w:t>
      </w:r>
      <w:r w:rsidRPr="00273106">
        <w:t xml:space="preserve"> hlavní spisy proti druhému averroismu již jednu dekádu před </w:t>
      </w:r>
      <w:proofErr w:type="gramStart"/>
      <w:r w:rsidRPr="00273106">
        <w:t>Akvinským</w:t>
      </w:r>
      <w:proofErr w:type="gramEnd"/>
      <w:r w:rsidR="00545734">
        <w:t xml:space="preserve"> a </w:t>
      </w:r>
      <w:r w:rsidR="00545734">
        <w:lastRenderedPageBreak/>
        <w:t>Sigerem</w:t>
      </w:r>
      <w:r w:rsidRPr="00273106">
        <w:t xml:space="preserve">. </w:t>
      </w:r>
      <w:r>
        <w:t>Pak v Pechamově dopise n</w:t>
      </w:r>
      <w:r w:rsidRPr="00273106">
        <w:t>ásleduje doktrinální část obhajující hlavní body nauky druhého averroismu.</w:t>
      </w:r>
      <w:r>
        <w:rPr>
          <w:rStyle w:val="Znakapoznpodarou"/>
        </w:rPr>
        <w:footnoteReference w:id="293"/>
      </w:r>
      <w:r>
        <w:t xml:space="preserve"> </w:t>
      </w:r>
      <w:r w:rsidRPr="00273106">
        <w:t xml:space="preserve">Františkánský arcibiskup v Canterbury jmenovaný hned po dominikánovi Kilwardbymu cituje ve své apologii sporné body jeden po druhém a podle pořadí důležitosti. </w:t>
      </w:r>
      <w:r>
        <w:t>Pecham</w:t>
      </w:r>
      <w:r w:rsidRPr="00273106">
        <w:t xml:space="preserve"> začíná </w:t>
      </w:r>
      <w:r>
        <w:t xml:space="preserve">obranou </w:t>
      </w:r>
      <w:r w:rsidRPr="00273106">
        <w:t xml:space="preserve">univočního ontoteologického </w:t>
      </w:r>
      <w:r w:rsidRPr="00273106">
        <w:rPr>
          <w:i/>
        </w:rPr>
        <w:t>resolutio</w:t>
      </w:r>
      <w:r>
        <w:rPr>
          <w:i/>
        </w:rPr>
        <w:fldChar w:fldCharType="begin"/>
      </w:r>
      <w:r>
        <w:instrText xml:space="preserve"> XE "</w:instrText>
      </w:r>
      <w:r w:rsidRPr="00111E9E">
        <w:rPr>
          <w:i/>
        </w:rPr>
        <w:instrText>resolutio</w:instrText>
      </w:r>
      <w:r>
        <w:rPr>
          <w:i/>
        </w:rPr>
        <w:instrText>:</w:instrText>
      </w:r>
      <w:r>
        <w:instrText xml:space="preserve">Pecham" </w:instrText>
      </w:r>
      <w:r>
        <w:rPr>
          <w:i/>
        </w:rPr>
        <w:fldChar w:fldCharType="end"/>
      </w:r>
      <w:r w:rsidRPr="00273106">
        <w:t xml:space="preserve"> jsoucna podle dvojího typu regulí a </w:t>
      </w:r>
      <w:r>
        <w:t xml:space="preserve">jim odpovídající </w:t>
      </w:r>
      <w:r w:rsidRPr="00273106">
        <w:t>nauku o exemplarech</w:t>
      </w:r>
      <w:r>
        <w:fldChar w:fldCharType="begin"/>
      </w:r>
      <w:r>
        <w:instrText xml:space="preserve"> XE "</w:instrText>
      </w:r>
      <w:r w:rsidRPr="00F6718E">
        <w:instrText>exemplar</w:instrText>
      </w:r>
      <w:r>
        <w:instrText xml:space="preserve">" </w:instrText>
      </w:r>
      <w:r>
        <w:fldChar w:fldCharType="end"/>
      </w:r>
      <w:r w:rsidRPr="00273106">
        <w:t xml:space="preserve"> (</w:t>
      </w:r>
      <w:r w:rsidRPr="00273106">
        <w:rPr>
          <w:i/>
        </w:rPr>
        <w:t>de regulis eternis</w:t>
      </w:r>
      <w:r>
        <w:t>). D</w:t>
      </w:r>
      <w:r w:rsidRPr="00273106">
        <w:t xml:space="preserve">ále následuje </w:t>
      </w:r>
      <w:r>
        <w:t xml:space="preserve">obrana smyslu </w:t>
      </w:r>
      <w:r w:rsidRPr="00273106">
        <w:t>jsoucna dané</w:t>
      </w:r>
      <w:r>
        <w:t>ho</w:t>
      </w:r>
      <w:r w:rsidRPr="00273106">
        <w:t xml:space="preserve"> nasvícením zezadu (</w:t>
      </w:r>
      <w:r w:rsidRPr="00273106">
        <w:rPr>
          <w:i/>
        </w:rPr>
        <w:t>de luce incommutabili</w:t>
      </w:r>
      <w:r>
        <w:t>). P</w:t>
      </w:r>
      <w:r w:rsidRPr="00273106">
        <w:t xml:space="preserve">ak </w:t>
      </w:r>
      <w:r>
        <w:t xml:space="preserve">brání </w:t>
      </w:r>
      <w:r w:rsidRPr="00273106">
        <w:t>dualismus duše podle mixu substančně daného činného a receptivního intelektu (</w:t>
      </w:r>
      <w:r w:rsidRPr="00273106">
        <w:rPr>
          <w:i/>
        </w:rPr>
        <w:t>de potentiis anime</w:t>
      </w:r>
      <w:r>
        <w:t>). N</w:t>
      </w:r>
      <w:r w:rsidRPr="00273106">
        <w:t xml:space="preserve">akonec </w:t>
      </w:r>
      <w:r>
        <w:t xml:space="preserve">Pecham brání proti prvnímu averroismu </w:t>
      </w:r>
      <w:r w:rsidRPr="00273106">
        <w:t>objektivní strukturu jsoucna danou skrze formu a materii třetího druhu (</w:t>
      </w:r>
      <w:r w:rsidRPr="00273106">
        <w:rPr>
          <w:i/>
        </w:rPr>
        <w:t>de rationibus seminalibus inditis materie</w:t>
      </w:r>
      <w:r w:rsidRPr="00273106">
        <w:t xml:space="preserve">). </w:t>
      </w:r>
      <w:r w:rsidR="00E37157">
        <w:t>T</w:t>
      </w:r>
      <w:r w:rsidRPr="00273106">
        <w:t>yto sporné body vyjmenov</w:t>
      </w:r>
      <w:r w:rsidR="00E37157">
        <w:t>al</w:t>
      </w:r>
      <w:r w:rsidRPr="00273106">
        <w:t xml:space="preserve"> samotný </w:t>
      </w:r>
      <w:r>
        <w:t>Pecham</w:t>
      </w:r>
      <w:r w:rsidR="00E37157">
        <w:t xml:space="preserve"> s dvacetiletým odstupem od tehdejších debat a považoval je za </w:t>
      </w:r>
      <w:r w:rsidRPr="00273106">
        <w:t>zásadní</w:t>
      </w:r>
      <w:r>
        <w:t xml:space="preserve"> námitky proti tehdy ustavenému tomismu v Oxfordu podle linie Grossetesteho</w:t>
      </w:r>
      <w:r w:rsidR="00E37157">
        <w:t>. Proto j</w:t>
      </w:r>
      <w:r w:rsidRPr="00273106">
        <w:t>eho výčet přijmeme jako faktický po</w:t>
      </w:r>
      <w:r w:rsidR="00E37157">
        <w:t>pis ideových sporů obou škol</w:t>
      </w:r>
      <w:r w:rsidRPr="00273106">
        <w:t xml:space="preserve">. </w:t>
      </w:r>
      <w:r>
        <w:t>Pecham</w:t>
      </w:r>
      <w:r w:rsidRPr="00273106">
        <w:t>ovu zprávu je třeba číst v dobových souvislostech</w:t>
      </w:r>
      <w:r w:rsidR="0859792F">
        <w:t xml:space="preserve"> roku </w:t>
      </w:r>
      <w:r w:rsidR="0859792F" w:rsidRPr="081942A4">
        <w:rPr>
          <w:szCs w:val="24"/>
        </w:rPr>
        <w:t>1285</w:t>
      </w:r>
      <w:r w:rsidRPr="00273106">
        <w:t xml:space="preserve">. Rehabilitace Akvinského zahájená dominikány je v době psaní dopisu už v plném proudu a osobně se v ní angažoval Albert Veliký hned po Tomášově smrti (1274). </w:t>
      </w:r>
      <w:r>
        <w:t xml:space="preserve">Grossetesteho modernisté se spojili s prvními tomisty a modernizují avicennistickou metafyziku s benevolencí arcibiskupa Kildwardbyho směrem k nově pojatému aristotelismu Akvinského. Z něj se se stal </w:t>
      </w:r>
      <w:r w:rsidRPr="081F4FF2">
        <w:rPr>
          <w:i/>
        </w:rPr>
        <w:t>Expositor Novus</w:t>
      </w:r>
      <w:r w:rsidRPr="08330AD0">
        <w:t xml:space="preserve"> </w:t>
      </w:r>
      <w:r>
        <w:t xml:space="preserve">přičiněním mediálně zdatného latinského sofisty Aegidia. </w:t>
      </w:r>
      <w:r w:rsidRPr="00273106">
        <w:t xml:space="preserve">Představitelé druhého averroismu po </w:t>
      </w:r>
      <w:r>
        <w:t xml:space="preserve">roce </w:t>
      </w:r>
      <w:r w:rsidRPr="00273106">
        <w:t>1280 přešli do defenzívy a úporně brání již jen hlavní body jimi podníceného odsouzení z března 1277</w:t>
      </w:r>
      <w:r>
        <w:t xml:space="preserve">. Oxfordští sofisté v této době také provádějí první diabolizaci Sigera, který se po Aristotelovi a Komentátorovi stal dalším obětním beránkem zdejších modernistů (kap. </w:t>
      </w:r>
      <w:r w:rsidR="0859454C">
        <w:t>5</w:t>
      </w:r>
      <w:r>
        <w:t>.5)</w:t>
      </w:r>
      <w:r w:rsidRPr="00273106">
        <w:t xml:space="preserve">. </w:t>
      </w:r>
      <w:r>
        <w:t>Spor Pechama s Grossetesteho školou tomistů tiše podporovanou dominikánem Kilwardbym symbolizuje o</w:t>
      </w:r>
      <w:r w:rsidRPr="00273106">
        <w:t xml:space="preserve">sud </w:t>
      </w:r>
      <w:r>
        <w:t xml:space="preserve">Richarda </w:t>
      </w:r>
      <w:r w:rsidRPr="00273106">
        <w:t>Knapwella</w:t>
      </w:r>
      <w:r>
        <w:fldChar w:fldCharType="begin"/>
      </w:r>
      <w:r>
        <w:instrText xml:space="preserve"> XE "</w:instrText>
      </w:r>
      <w:r w:rsidRPr="00563A97">
        <w:instrText>Knapwell, R.</w:instrText>
      </w:r>
      <w:r>
        <w:instrText xml:space="preserve">" </w:instrText>
      </w:r>
      <w:r>
        <w:fldChar w:fldCharType="end"/>
      </w:r>
      <w:r>
        <w:t xml:space="preserve"> v letech 1284‒86. Tento oxfordský magistr </w:t>
      </w:r>
      <w:r w:rsidRPr="00273106">
        <w:t xml:space="preserve">napadl františkánské </w:t>
      </w:r>
      <w:r w:rsidRPr="00273106">
        <w:rPr>
          <w:i/>
        </w:rPr>
        <w:t>Correctorium fratris Thomae</w:t>
      </w:r>
      <w:r>
        <w:t xml:space="preserve"> (William de la </w:t>
      </w:r>
      <w:proofErr w:type="gramStart"/>
      <w:r>
        <w:t>Mare</w:t>
      </w:r>
      <w:proofErr w:type="gramEnd"/>
      <w:r>
        <w:t xml:space="preserve">, 1279) </w:t>
      </w:r>
      <w:r w:rsidRPr="00273106">
        <w:t xml:space="preserve">za regentování arbiskupa Johna </w:t>
      </w:r>
      <w:r>
        <w:t xml:space="preserve">Pechama. Odvážný myslitel kritizující modernistická sofismata dopadl stejně </w:t>
      </w:r>
      <w:r>
        <w:lastRenderedPageBreak/>
        <w:t>špatně jako Bacon, Siger a po nich také Ockham.</w:t>
      </w:r>
      <w:r w:rsidRPr="00273106">
        <w:rPr>
          <w:rStyle w:val="Znakapoznpodarou"/>
        </w:rPr>
        <w:footnoteReference w:id="294"/>
      </w:r>
      <w:r w:rsidRPr="00273106">
        <w:t xml:space="preserve"> Na Oxfordu ovládané</w:t>
      </w:r>
      <w:r>
        <w:t>m</w:t>
      </w:r>
      <w:r w:rsidRPr="00273106">
        <w:t xml:space="preserve"> analytickým myšlením </w:t>
      </w:r>
      <w:r w:rsidRPr="00273106">
        <w:rPr>
          <w:i/>
        </w:rPr>
        <w:t>Oxfordian Fallacy</w:t>
      </w:r>
      <w:r w:rsidRPr="00273106">
        <w:t xml:space="preserve"> a školou druhého averroismu, byla rehabilitace Akvinského dokončena roku 1286, kdy tamější kapitula dominikánů prohlásila všechna díla Akvinského za ortodoxní.</w:t>
      </w:r>
      <w:r>
        <w:t xml:space="preserve"> </w:t>
      </w:r>
      <w:r w:rsidRPr="00273106">
        <w:t xml:space="preserve">Z </w:t>
      </w:r>
      <w:r>
        <w:t>Pecham</w:t>
      </w:r>
      <w:r w:rsidRPr="00273106">
        <w:t>ova dopisu jasně vyplývá, že Akvinský odmítl všechny zásadní body, na kterých stojí ontoteologická stavba objektivity. Její moderní verzi analyzovaly kapitoly věno</w:t>
      </w:r>
      <w:r>
        <w:t xml:space="preserve">vané Bonaventurovi a Pechamovi. </w:t>
      </w:r>
      <w:r w:rsidRPr="00273106">
        <w:t xml:space="preserve">Svědectví </w:t>
      </w:r>
      <w:r>
        <w:t xml:space="preserve">františkána </w:t>
      </w:r>
      <w:r w:rsidRPr="00273106">
        <w:t>Rogera Marstona</w:t>
      </w:r>
      <w:r>
        <w:fldChar w:fldCharType="begin"/>
      </w:r>
      <w:r>
        <w:instrText xml:space="preserve"> XE "</w:instrText>
      </w:r>
      <w:r w:rsidRPr="00497723">
        <w:instrText>Marston, R.</w:instrText>
      </w:r>
      <w:r>
        <w:instrText xml:space="preserve">" </w:instrText>
      </w:r>
      <w:r>
        <w:fldChar w:fldCharType="end"/>
      </w:r>
      <w:r>
        <w:t xml:space="preserve"> (†1303)</w:t>
      </w:r>
      <w:r w:rsidRPr="00273106">
        <w:t xml:space="preserve">, současníka </w:t>
      </w:r>
      <w:r>
        <w:t>Pecham</w:t>
      </w:r>
      <w:r w:rsidRPr="00273106">
        <w:t>a a ideového odpůrce Akvinského z pozice druhého averroismu ukazuje, že klíč</w:t>
      </w:r>
      <w:r w:rsidR="00D165A2">
        <w:t xml:space="preserve">ový spor se týkal zejména ST I, </w:t>
      </w:r>
      <w:r w:rsidRPr="00273106">
        <w:t>q. 85, a. 5‒7, kde najdeme komplexní kritiku augustinianismu (Grabmann 1906, 70‒72).</w:t>
      </w:r>
      <w:r>
        <w:t xml:space="preserve"> Klíčová je zejména </w:t>
      </w:r>
      <w:r w:rsidRPr="00273106">
        <w:t>pasáž, kde Tomáš odmítá pozici druhého averroismu danou ozářením intelektu zezadu</w:t>
      </w:r>
      <w:r>
        <w:fldChar w:fldCharType="begin"/>
      </w:r>
      <w:r>
        <w:instrText xml:space="preserve"> XE "</w:instrText>
      </w:r>
      <w:r w:rsidRPr="009B447A">
        <w:instrText>zjevování:nasvícení zezadu</w:instrText>
      </w:r>
      <w:r>
        <w:instrText xml:space="preserve">" </w:instrText>
      </w:r>
      <w:r>
        <w:fldChar w:fldCharType="end"/>
      </w:r>
      <w:r w:rsidRPr="00273106">
        <w:t>, skrze exemplary dané v boží mysli.</w:t>
      </w:r>
      <w:r w:rsidRPr="00273106">
        <w:rPr>
          <w:rStyle w:val="Znakapoznpodarou"/>
        </w:rPr>
        <w:footnoteReference w:id="295"/>
      </w:r>
      <w:r w:rsidRPr="00273106">
        <w:t xml:space="preserve"> </w:t>
      </w:r>
      <w:r>
        <w:t>Tomášovu pozici převezme analytický porretán a avicennista Scotus ovlivněný v mnoha bodech tomistickou větví Grossetesteho školy. Scotus přijme základní tezi tomismu danou ozářením smyslu jsoucna zepředu</w:t>
      </w:r>
      <w:r w:rsidR="003F3446">
        <w:t>,</w:t>
      </w:r>
      <w:r>
        <w:t xml:space="preserve"> jako autenticky aristotelskou</w:t>
      </w:r>
      <w:r w:rsidR="003F3446">
        <w:t xml:space="preserve"> nauku</w:t>
      </w:r>
      <w:r>
        <w:t>. Odmítnutí iluminačního augustinianismu vytvoří sc</w:t>
      </w:r>
      <w:r w:rsidR="08FF6ADB">
        <w:t>otistickou verzi tomismu (kap. 5</w:t>
      </w:r>
      <w:r>
        <w:t xml:space="preserve">.3.2). </w:t>
      </w:r>
      <w:r w:rsidRPr="00273106">
        <w:t>Shrnutí citované kvestie 85 končí odmítnutím augustiniánského avicennismu z filosofické pozice aristotelismu</w:t>
      </w:r>
      <w:r w:rsidR="00EB4CBD">
        <w:t xml:space="preserve">. Ale kritika nebyla tak radikální, jako v případě </w:t>
      </w:r>
      <w:r w:rsidRPr="00273106">
        <w:t>metafyzik</w:t>
      </w:r>
      <w:r w:rsidR="008C657A">
        <w:t>y</w:t>
      </w:r>
      <w:r w:rsidRPr="00273106">
        <w:t xml:space="preserve"> Sigera</w:t>
      </w:r>
      <w:r w:rsidR="08FF6ADB">
        <w:t xml:space="preserve"> (kap. 4</w:t>
      </w:r>
      <w:r>
        <w:t xml:space="preserve">.4.1). </w:t>
      </w:r>
      <w:r w:rsidR="08E721A6">
        <w:t>Akvinský z</w:t>
      </w:r>
      <w:r w:rsidRPr="00273106">
        <w:t xml:space="preserve">ásadně odmítl </w:t>
      </w:r>
      <w:r w:rsidR="08E721A6">
        <w:t>každou formu</w:t>
      </w:r>
      <w:r w:rsidRPr="00273106">
        <w:t xml:space="preserve"> </w:t>
      </w:r>
      <w:r w:rsidR="08E721A6">
        <w:t xml:space="preserve">přirozeného </w:t>
      </w:r>
      <w:r w:rsidRPr="00273106">
        <w:t xml:space="preserve">poznání, </w:t>
      </w:r>
      <w:r w:rsidR="08E721A6">
        <w:t xml:space="preserve">v níž </w:t>
      </w:r>
      <w:r w:rsidRPr="00273106">
        <w:t>by byl smysl jsoucna dán nasvícením zezadu. Přímé vidění exemplarů by se rovnalo blaženému patření duše na věčnosti, kdy intelekt poznává</w:t>
      </w:r>
      <w:r w:rsidR="00447C73">
        <w:t xml:space="preserve"> exemplary </w:t>
      </w:r>
      <w:r w:rsidRPr="00273106">
        <w:t>mimo fantasmata</w:t>
      </w:r>
      <w:r>
        <w:t>, což není možné v pozemské existenci</w:t>
      </w:r>
      <w:r w:rsidRPr="00273106">
        <w:t>.</w:t>
      </w:r>
      <w:r>
        <w:rPr>
          <w:rStyle w:val="Znakapoznpodarou"/>
        </w:rPr>
        <w:footnoteReference w:id="296"/>
      </w:r>
      <w:r w:rsidRPr="00273106">
        <w:t xml:space="preserve"> Citov</w:t>
      </w:r>
      <w:r>
        <w:t xml:space="preserve">aná kvestie 85 koncipovaná proti modernistům považuje přirozený </w:t>
      </w:r>
      <w:r w:rsidRPr="00273106">
        <w:t xml:space="preserve">způsob </w:t>
      </w:r>
      <w:r>
        <w:t xml:space="preserve">poznání daný na základě iluminace za nemožný. </w:t>
      </w:r>
      <w:r w:rsidRPr="00273106">
        <w:t>Tím je dána první a n</w:t>
      </w:r>
      <w:r>
        <w:t xml:space="preserve">ejdůležitější odpověď na otázku, jaká je hlavní </w:t>
      </w:r>
      <w:r>
        <w:lastRenderedPageBreak/>
        <w:t>linie</w:t>
      </w:r>
      <w:r w:rsidRPr="00273106">
        <w:t xml:space="preserve"> kritiky druhého averroismu. Podobnou </w:t>
      </w:r>
      <w:r>
        <w:t xml:space="preserve">tezi měl již Tomášův komentář ke druhé knize Sentencí, který držel nasvícení zepředu od fantasmat. Citujme důležitou část Sentencí, která ve shodě s pozdějším Sigerovým výkladem stanovuje modus </w:t>
      </w:r>
      <w:r w:rsidR="002A25B7">
        <w:t>„</w:t>
      </w:r>
      <w:r w:rsidRPr="08A605B9">
        <w:rPr>
          <w:i/>
        </w:rPr>
        <w:t>obiective</w:t>
      </w:r>
      <w:r w:rsidR="002A25B7">
        <w:t>“</w:t>
      </w:r>
      <w:r>
        <w:t xml:space="preserve"> pro vztah intelektu daného </w:t>
      </w:r>
      <w:r w:rsidR="002A25B7">
        <w:t>„</w:t>
      </w:r>
      <w:r w:rsidRPr="08A605B9">
        <w:rPr>
          <w:i/>
        </w:rPr>
        <w:t>separabilis</w:t>
      </w:r>
      <w:r w:rsidR="002A25B7">
        <w:t>“</w:t>
      </w:r>
      <w:r>
        <w:t xml:space="preserve"> vzhledem ke smyslům. Tím se Akvinský jasně přihlásil ke schématu poznání </w:t>
      </w:r>
      <w:r w:rsidR="004932CF">
        <w:t xml:space="preserve">podle </w:t>
      </w:r>
      <w:r>
        <w:t>škol</w:t>
      </w:r>
      <w:r w:rsidR="004932CF">
        <w:t>y</w:t>
      </w:r>
      <w:r>
        <w:t xml:space="preserve"> prvního averroismu. Jeho pojetí nasvícení zepředu ale sleduje </w:t>
      </w:r>
      <w:r w:rsidR="08044EC2">
        <w:t xml:space="preserve">mylný výklad </w:t>
      </w:r>
      <w:r>
        <w:t>CMDA</w:t>
      </w:r>
      <w:r w:rsidRPr="08F562F0">
        <w:t xml:space="preserve"> </w:t>
      </w:r>
      <w:r>
        <w:t xml:space="preserve">z výše uvedených averroistických důvodů. Tomáš předkládá nový výklad třetí knihy </w:t>
      </w:r>
      <w:r w:rsidRPr="08A605B9">
        <w:rPr>
          <w:i/>
        </w:rPr>
        <w:t>De anima</w:t>
      </w:r>
      <w:r>
        <w:t xml:space="preserve"> už v Sentencích psaných během prvního pobytu v Paříži.</w:t>
      </w:r>
    </w:p>
    <w:p w:rsidR="08163013" w:rsidRDefault="00C113B4" w:rsidP="08163013">
      <w:pPr>
        <w:pStyle w:val="Citace"/>
        <w:rPr>
          <w:lang w:val="cs-CZ"/>
        </w:rPr>
      </w:pPr>
      <w:r>
        <w:t>„A tímto způsobem</w:t>
      </w:r>
      <w:r>
        <w:rPr>
          <w:lang w:val="cs-CZ"/>
        </w:rPr>
        <w:t xml:space="preserve"> </w:t>
      </w:r>
      <w:r>
        <w:t xml:space="preserve">tvoří </w:t>
      </w:r>
      <w:r w:rsidR="08163013">
        <w:t xml:space="preserve">porozumění součást </w:t>
      </w:r>
      <w:r>
        <w:rPr>
          <w:lang w:val="cs-CZ"/>
        </w:rPr>
        <w:t>vý</w:t>
      </w:r>
      <w:r w:rsidR="08163013">
        <w:t>konu</w:t>
      </w:r>
      <w:r>
        <w:rPr>
          <w:lang w:val="cs-CZ"/>
        </w:rPr>
        <w:t xml:space="preserve"> intelektu</w:t>
      </w:r>
      <w:r w:rsidR="08163013">
        <w:rPr>
          <w:lang w:val="cs-CZ"/>
        </w:rPr>
        <w:t xml:space="preserve">, </w:t>
      </w:r>
      <w:r w:rsidR="08163013">
        <w:t xml:space="preserve">jako </w:t>
      </w:r>
      <w:r w:rsidR="08163013">
        <w:rPr>
          <w:lang w:val="cs-CZ"/>
        </w:rPr>
        <w:t xml:space="preserve">tělesný </w:t>
      </w:r>
      <w:r w:rsidR="08163013">
        <w:t xml:space="preserve">orgán </w:t>
      </w:r>
      <w:r>
        <w:rPr>
          <w:lang w:val="cs-CZ"/>
        </w:rPr>
        <w:t xml:space="preserve">oka </w:t>
      </w:r>
      <w:r w:rsidR="08163013">
        <w:t>současně vidí skrze schopnost vidění</w:t>
      </w:r>
      <w:r w:rsidR="08163013">
        <w:rPr>
          <w:lang w:val="cs-CZ"/>
        </w:rPr>
        <w:t>. T</w:t>
      </w:r>
      <w:r w:rsidR="08163013">
        <w:t>akto intelekt rozumí mimo tělo, protože jeho činnost nepotřebuje žádný tělesný orgán. Ale protože t</w:t>
      </w:r>
      <w:r w:rsidR="08163013">
        <w:rPr>
          <w:lang w:val="cs-CZ"/>
        </w:rPr>
        <w:t xml:space="preserve">ento výkon poznání </w:t>
      </w:r>
      <w:r w:rsidR="08163013">
        <w:t>je předmětem výkonu porozumění (</w:t>
      </w:r>
      <w:r w:rsidR="08163013" w:rsidRPr="08B20C9F">
        <w:rPr>
          <w:i/>
        </w:rPr>
        <w:t>illud sit objectum operationis</w:t>
      </w:r>
      <w:r w:rsidR="08163013">
        <w:t>), jako zrak nemůže vidět bez barvy, stejným způsobem (</w:t>
      </w:r>
      <w:r w:rsidR="08163013" w:rsidRPr="08B20C9F">
        <w:rPr>
          <w:i/>
        </w:rPr>
        <w:t>hoc modo</w:t>
      </w:r>
      <w:r w:rsidR="08163013">
        <w:t xml:space="preserve">) také intelekt nemůže rozumět </w:t>
      </w:r>
      <w:r>
        <w:rPr>
          <w:lang w:val="cs-CZ"/>
        </w:rPr>
        <w:t xml:space="preserve">ve vezdejší existenci </w:t>
      </w:r>
      <w:r w:rsidR="08163013">
        <w:t xml:space="preserve">bez smyslového fantasmatu. Fantasma se má k intelektu jako barva k vidění, jak řekl Filosof ve třetí knize </w:t>
      </w:r>
      <w:r w:rsidR="08163013" w:rsidRPr="08C44CAB">
        <w:rPr>
          <w:i/>
        </w:rPr>
        <w:t>De anima</w:t>
      </w:r>
      <w:r w:rsidR="08163013" w:rsidRPr="08C44CAB">
        <w:rPr>
          <w:lang w:val="cs-CZ"/>
        </w:rPr>
        <w:t xml:space="preserve">, </w:t>
      </w:r>
      <w:r w:rsidR="08163013">
        <w:rPr>
          <w:lang w:val="cs-CZ"/>
        </w:rPr>
        <w:t xml:space="preserve">odstavec </w:t>
      </w:r>
      <w:r w:rsidR="08163013" w:rsidRPr="08C44CAB">
        <w:rPr>
          <w:lang w:val="cs-CZ"/>
        </w:rPr>
        <w:t>30</w:t>
      </w:r>
      <w:r w:rsidR="08163013">
        <w:t>.“</w:t>
      </w:r>
      <w:r w:rsidR="08163013">
        <w:rPr>
          <w:lang w:val="cs-CZ"/>
        </w:rPr>
        <w:t> </w:t>
      </w:r>
      <w:r w:rsidR="08163013">
        <w:rPr>
          <w:rStyle w:val="Znakapoznpodarou"/>
        </w:rPr>
        <w:footnoteReference w:id="297"/>
      </w:r>
    </w:p>
    <w:p w:rsidR="004B75DA" w:rsidRDefault="08163013" w:rsidP="08163013">
      <w:r>
        <w:t xml:space="preserve">Nyní je jasné, odkud vzal Aegidius ve svém </w:t>
      </w:r>
      <w:r w:rsidR="0000294A">
        <w:t xml:space="preserve">díle </w:t>
      </w:r>
      <w:r w:rsidR="0000294A" w:rsidRPr="0000294A">
        <w:rPr>
          <w:i/>
        </w:rPr>
        <w:t xml:space="preserve">Anonymus </w:t>
      </w:r>
      <w:r w:rsidRPr="0000294A">
        <w:rPr>
          <w:i/>
        </w:rPr>
        <w:t>Bazán</w:t>
      </w:r>
      <w:r>
        <w:t xml:space="preserve"> </w:t>
      </w:r>
      <w:r w:rsidR="0000294A">
        <w:t xml:space="preserve">definici </w:t>
      </w:r>
      <w:r>
        <w:t>barvy</w:t>
      </w:r>
      <w:r w:rsidR="0000294A">
        <w:t xml:space="preserve">, která je </w:t>
      </w:r>
      <w:r>
        <w:t>v rozporu s pojetím diafanum v CMDA (</w:t>
      </w:r>
      <w:r w:rsidRPr="0090441A">
        <w:rPr>
          <w:i/>
        </w:rPr>
        <w:t>color est ens reale</w:t>
      </w:r>
      <w:r w:rsidR="08CA7C9C">
        <w:t>; kap. 4</w:t>
      </w:r>
      <w:r>
        <w:t>.3.3). Smyslově dané fantasma se má k intelektu jako fyzicky daná barva k vidění. Obojí vztah je formálně identický a má charakter reálně kauzálního děje na úrovni prvních substancí. Další důležitá pasáž se týká přirovnání intelektu k vidění, které tento citát dává do modu plné podobnosti (</w:t>
      </w:r>
      <w:r w:rsidRPr="08CC24D1">
        <w:rPr>
          <w:i/>
        </w:rPr>
        <w:t>hoc modo</w:t>
      </w:r>
      <w:r>
        <w:t xml:space="preserve">). Siger </w:t>
      </w:r>
      <w:r w:rsidR="00A36709">
        <w:t>zásadně odmítl ekvivalenci</w:t>
      </w:r>
      <w:r>
        <w:t xml:space="preserve"> smyslového a intelektuálního poznání v komentáři QIIIDA a jeho stanovisko podpořil Boethius z Dácie jako autor </w:t>
      </w:r>
      <w:r w:rsidR="00A36709">
        <w:t xml:space="preserve">díla </w:t>
      </w:r>
      <w:r w:rsidR="00A36709" w:rsidRPr="00A36709">
        <w:rPr>
          <w:i/>
        </w:rPr>
        <w:t xml:space="preserve">Anonymus </w:t>
      </w:r>
      <w:r w:rsidRPr="00A36709">
        <w:rPr>
          <w:i/>
        </w:rPr>
        <w:t>Giele</w:t>
      </w:r>
      <w:r>
        <w:t>. Akt porozumění běží díky nematerialitě intelektu v modu ipseity (</w:t>
      </w:r>
      <w:r w:rsidRPr="08B020C7">
        <w:rPr>
          <w:i/>
        </w:rPr>
        <w:t xml:space="preserve">tertium </w:t>
      </w:r>
      <w:r w:rsidR="00962190">
        <w:rPr>
          <w:i/>
        </w:rPr>
        <w:t>genus</w:t>
      </w:r>
      <w:r>
        <w:t xml:space="preserve"> CMDA)</w:t>
      </w:r>
      <w:r w:rsidR="00F56AE1">
        <w:t xml:space="preserve">. Zde není možná </w:t>
      </w:r>
      <w:r w:rsidR="00D571A7">
        <w:t>materiální identita</w:t>
      </w:r>
      <w:r>
        <w:t xml:space="preserve"> a numerick</w:t>
      </w:r>
      <w:r w:rsidR="00F56AE1">
        <w:t>á</w:t>
      </w:r>
      <w:r>
        <w:t xml:space="preserve"> individuace intelektu, jak to předpokládá Akvinského avicennistická exegeze </w:t>
      </w:r>
      <w:r w:rsidRPr="08B020C7">
        <w:rPr>
          <w:i/>
        </w:rPr>
        <w:t>De anima</w:t>
      </w:r>
      <w:r>
        <w:t xml:space="preserve"> III. Tento důležitý výklad zahajuje Akvinského kariéru jako </w:t>
      </w:r>
      <w:r w:rsidRPr="08A605B9">
        <w:rPr>
          <w:i/>
        </w:rPr>
        <w:t>Exposito</w:t>
      </w:r>
      <w:r>
        <w:rPr>
          <w:i/>
        </w:rPr>
        <w:t>r</w:t>
      </w:r>
      <w:r w:rsidRPr="08A605B9">
        <w:rPr>
          <w:i/>
        </w:rPr>
        <w:t xml:space="preserve"> Novus</w:t>
      </w:r>
      <w:r>
        <w:rPr>
          <w:i/>
        </w:rPr>
        <w:fldChar w:fldCharType="begin"/>
      </w:r>
      <w:r>
        <w:instrText xml:space="preserve"> XE "</w:instrText>
      </w:r>
      <w:r w:rsidRPr="082C372E">
        <w:rPr>
          <w:i/>
        </w:rPr>
        <w:instrText>Expositor Novus</w:instrText>
      </w:r>
      <w:r>
        <w:instrText xml:space="preserve">" </w:instrText>
      </w:r>
      <w:r>
        <w:rPr>
          <w:i/>
        </w:rPr>
        <w:fldChar w:fldCharType="end"/>
      </w:r>
      <w:r>
        <w:t xml:space="preserve"> už v letech 1257‒58. Tomášův výklad odmítly obě hlavní školy prvního a druhého averroismu, proto musel opustit Pařížskou univerzitu roku 1259. Jeho pozici začal hájit první tomista Aegidius, což ukazují jeho modernistické úprav</w:t>
      </w:r>
      <w:r w:rsidR="004537E3">
        <w:t xml:space="preserve">y v Oxfordském rukopise DA I-II. Ty </w:t>
      </w:r>
      <w:r>
        <w:t xml:space="preserve">změnily Sigerův komentář DA I-II v Mnichovském rukopise do první verze oficiálního tomismu. Aegidius plně konvertovaný na tomismus sleduje </w:t>
      </w:r>
      <w:r>
        <w:lastRenderedPageBreak/>
        <w:t>Tomášovu linii v duchu modernizovaného prvního averroismu</w:t>
      </w:r>
      <w:r w:rsidRPr="08A64CB0">
        <w:t xml:space="preserve"> </w:t>
      </w:r>
      <w:r>
        <w:t xml:space="preserve">od roku 1268, ale pravděpodobně již dříve. Jeho konverzi k tomismu dokazuje zásadní odmítnutí Avicennovy </w:t>
      </w:r>
      <w:r w:rsidRPr="08AE6568">
        <w:rPr>
          <w:i/>
        </w:rPr>
        <w:t>De anima</w:t>
      </w:r>
      <w:r>
        <w:t xml:space="preserve"> dané v Oxfordském rukopise DA III</w:t>
      </w:r>
      <w:r w:rsidR="08384962">
        <w:t xml:space="preserve">. Tato konverze k tomismu a proti modernistům </w:t>
      </w:r>
      <w:r>
        <w:t>jistě souvisí s</w:t>
      </w:r>
      <w:r w:rsidR="08384962">
        <w:t xml:space="preserve"> Tomášovými </w:t>
      </w:r>
      <w:r>
        <w:t xml:space="preserve">disputacemi </w:t>
      </w:r>
      <w:r w:rsidRPr="08AE6568">
        <w:rPr>
          <w:i/>
        </w:rPr>
        <w:t>Q</w:t>
      </w:r>
      <w:r>
        <w:rPr>
          <w:i/>
        </w:rPr>
        <w:t>D D</w:t>
      </w:r>
      <w:r w:rsidRPr="08AE6568">
        <w:rPr>
          <w:i/>
        </w:rPr>
        <w:t>e anima</w:t>
      </w:r>
      <w:r>
        <w:t xml:space="preserve"> a </w:t>
      </w:r>
      <w:r>
        <w:rPr>
          <w:i/>
        </w:rPr>
        <w:t>QD D</w:t>
      </w:r>
      <w:r w:rsidRPr="00273106">
        <w:rPr>
          <w:i/>
        </w:rPr>
        <w:t>e potentia</w:t>
      </w:r>
      <w:r w:rsidRPr="00273106">
        <w:t xml:space="preserve"> </w:t>
      </w:r>
      <w:r>
        <w:t xml:space="preserve">konanými </w:t>
      </w:r>
      <w:r w:rsidRPr="08AE6568">
        <w:t>v</w:t>
      </w:r>
      <w:r>
        <w:t xml:space="preserve"> Římě do roku 1268. Proto jde Aegidius po prvních přednáškách Akvinského na Pařížské univerzitě (1270) do sporu s Pechamem a s jeho modernistickou školou v Paříži (</w:t>
      </w:r>
      <w:r w:rsidRPr="004B75DA">
        <w:rPr>
          <w:i/>
        </w:rPr>
        <w:t>Anonym</w:t>
      </w:r>
      <w:r w:rsidR="004B75DA">
        <w:rPr>
          <w:i/>
        </w:rPr>
        <w:t>us</w:t>
      </w:r>
      <w:r w:rsidRPr="004B75DA">
        <w:rPr>
          <w:i/>
        </w:rPr>
        <w:t xml:space="preserve"> Bazán</w:t>
      </w:r>
      <w:r>
        <w:t xml:space="preserve">). Akvinský kritizoval školu moderních Latiníků z pozice Aristotelovy </w:t>
      </w:r>
      <w:r w:rsidRPr="08CC24D1">
        <w:rPr>
          <w:i/>
        </w:rPr>
        <w:t>De anima</w:t>
      </w:r>
      <w:r w:rsidR="00846C82">
        <w:t>. E</w:t>
      </w:r>
      <w:r>
        <w:t>xegeze</w:t>
      </w:r>
      <w:r w:rsidR="00846C82">
        <w:t xml:space="preserve"> </w:t>
      </w:r>
      <w:proofErr w:type="gramStart"/>
      <w:r w:rsidR="00846C82">
        <w:t xml:space="preserve">Sigera </w:t>
      </w:r>
      <w:r>
        <w:t xml:space="preserve"> zásadně</w:t>
      </w:r>
      <w:proofErr w:type="gramEnd"/>
      <w:r>
        <w:t xml:space="preserve"> odmítla </w:t>
      </w:r>
      <w:r w:rsidR="004B75DA">
        <w:t xml:space="preserve">iluminační scénář </w:t>
      </w:r>
      <w:r w:rsidR="00846C82">
        <w:t>modernistů</w:t>
      </w:r>
      <w:r w:rsidR="004B75DA">
        <w:t>.</w:t>
      </w:r>
    </w:p>
    <w:p w:rsidR="00E410E5" w:rsidRDefault="08163013" w:rsidP="004B75DA">
      <w:pPr>
        <w:ind w:firstLine="397"/>
      </w:pPr>
      <w:r>
        <w:t xml:space="preserve">Akvinského rozchod s akademickými ilumináty druhého averroismu byl jasný a nekompromisní. Originální aristotelský magistr vykládající Sentence </w:t>
      </w:r>
      <w:r w:rsidRPr="08D24F35">
        <w:rPr>
          <w:i/>
        </w:rPr>
        <w:t>ad mentem Averrois</w:t>
      </w:r>
      <w:r>
        <w:t xml:space="preserve"> nemohl učit na mendikantské katedře </w:t>
      </w:r>
      <w:r w:rsidRPr="089830F0">
        <w:rPr>
          <w:i/>
        </w:rPr>
        <w:t>Modernorum</w:t>
      </w:r>
      <w:r>
        <w:t xml:space="preserve"> zřízené roku 1255, i když byl uznávaným magistrem regens dominikánů. Dalším důvodem k odchodu od modernistů bylo odmítnutí </w:t>
      </w:r>
      <w:r>
        <w:rPr>
          <w:i/>
        </w:rPr>
        <w:t>Oxf</w:t>
      </w:r>
      <w:r w:rsidRPr="086C0A86">
        <w:rPr>
          <w:i/>
        </w:rPr>
        <w:t>o</w:t>
      </w:r>
      <w:r>
        <w:rPr>
          <w:i/>
        </w:rPr>
        <w:t>r</w:t>
      </w:r>
      <w:r w:rsidRPr="086C0A86">
        <w:rPr>
          <w:i/>
        </w:rPr>
        <w:t>dian Fallacy</w:t>
      </w:r>
      <w:r>
        <w:t xml:space="preserve"> jako chybného výkladu </w:t>
      </w:r>
      <w:r w:rsidRPr="086C0A86">
        <w:rPr>
          <w:i/>
        </w:rPr>
        <w:t>Druhých analytik</w:t>
      </w:r>
      <w:r>
        <w:t xml:space="preserve">. </w:t>
      </w:r>
      <w:r w:rsidRPr="00273106">
        <w:t xml:space="preserve">Akvinský bránil celou dobu princip </w:t>
      </w:r>
      <w:r w:rsidR="008D6B39">
        <w:t>„</w:t>
      </w:r>
      <w:r w:rsidRPr="00E93FD4">
        <w:rPr>
          <w:i/>
        </w:rPr>
        <w:t>ex</w:t>
      </w:r>
      <w:r>
        <w:t xml:space="preserve"> </w:t>
      </w:r>
      <w:r w:rsidR="08A649EB">
        <w:rPr>
          <w:i/>
        </w:rPr>
        <w:t>in</w:t>
      </w:r>
      <w:r w:rsidRPr="00273106">
        <w:rPr>
          <w:i/>
        </w:rPr>
        <w:t>mediat</w:t>
      </w:r>
      <w:r>
        <w:rPr>
          <w:i/>
        </w:rPr>
        <w:t>is</w:t>
      </w:r>
      <w:r w:rsidR="008D6B39">
        <w:t>“</w:t>
      </w:r>
      <w:r>
        <w:rPr>
          <w:i/>
        </w:rPr>
        <w:fldChar w:fldCharType="begin"/>
      </w:r>
      <w:r>
        <w:instrText xml:space="preserve"> XE "princip </w:instrText>
      </w:r>
      <w:r w:rsidR="08A649EB">
        <w:rPr>
          <w:i/>
        </w:rPr>
        <w:instrText>ex in</w:instrText>
      </w:r>
      <w:r w:rsidRPr="00C70BD9">
        <w:rPr>
          <w:i/>
        </w:rPr>
        <w:instrText>mediatis</w:instrText>
      </w:r>
      <w:r>
        <w:instrText xml:space="preserve">" </w:instrText>
      </w:r>
      <w:r>
        <w:rPr>
          <w:i/>
        </w:rPr>
        <w:fldChar w:fldCharType="end"/>
      </w:r>
      <w:r w:rsidRPr="00273106">
        <w:t xml:space="preserve"> vzhledem k první substanci stejně jako Albert </w:t>
      </w:r>
      <w:r w:rsidR="008E0D8C">
        <w:t>na začátku své dráhy ve spi</w:t>
      </w:r>
      <w:r w:rsidR="00130AD7">
        <w:t>su</w:t>
      </w:r>
      <w:r w:rsidR="008E0D8C">
        <w:t xml:space="preserve"> </w:t>
      </w:r>
      <w:r w:rsidRPr="00273106">
        <w:rPr>
          <w:i/>
        </w:rPr>
        <w:t>De homine</w:t>
      </w:r>
      <w:r w:rsidRPr="00273106">
        <w:t xml:space="preserve"> (</w:t>
      </w:r>
      <w:r w:rsidR="08540955">
        <w:t>OBJ II, kap. 2</w:t>
      </w:r>
      <w:r w:rsidRPr="00273106">
        <w:t xml:space="preserve">.4.1). </w:t>
      </w:r>
      <w:r>
        <w:t>Formulace bránící hyparchický primát první substance odmítla univoční záměnu první a druhé triády principů poznání</w:t>
      </w:r>
      <w:r w:rsidR="08540955">
        <w:t xml:space="preserve">. Tuto pozici zastávali okolo 1255 </w:t>
      </w:r>
      <w:r>
        <w:t xml:space="preserve">v Paříži Rufus a Kilwardby v jejich výkladech </w:t>
      </w:r>
      <w:r w:rsidRPr="086E4024">
        <w:rPr>
          <w:i/>
        </w:rPr>
        <w:t>Druhých analytik</w:t>
      </w:r>
      <w:r>
        <w:t xml:space="preserve"> daných v duchu </w:t>
      </w:r>
      <w:r w:rsidRPr="006D7132">
        <w:rPr>
          <w:i/>
        </w:rPr>
        <w:t>Oxfordian Fallacy</w:t>
      </w:r>
      <w:r>
        <w:rPr>
          <w:i/>
        </w:rPr>
        <w:fldChar w:fldCharType="begin"/>
      </w:r>
      <w:r>
        <w:instrText xml:space="preserve"> XE "</w:instrText>
      </w:r>
      <w:r w:rsidRPr="0015798D">
        <w:rPr>
          <w:i/>
        </w:rPr>
        <w:instrText>Oxfordian Fallacy:</w:instrText>
      </w:r>
      <w:r w:rsidRPr="001A7682">
        <w:instrText>druhý averroismus</w:instrText>
      </w:r>
      <w:r>
        <w:instrText xml:space="preserve">" </w:instrText>
      </w:r>
      <w:r>
        <w:rPr>
          <w:i/>
        </w:rPr>
        <w:fldChar w:fldCharType="end"/>
      </w:r>
      <w:r w:rsidR="08540955">
        <w:t xml:space="preserve">. Jasné odmítnutí </w:t>
      </w:r>
      <w:r w:rsidR="08540955" w:rsidRPr="00E3731C">
        <w:rPr>
          <w:i/>
          <w:szCs w:val="24"/>
        </w:rPr>
        <w:t>Oxfordian Fallacy</w:t>
      </w:r>
      <w:r w:rsidR="08540955">
        <w:rPr>
          <w:i/>
          <w:szCs w:val="24"/>
        </w:rPr>
        <w:t xml:space="preserve"> </w:t>
      </w:r>
      <w:r>
        <w:t xml:space="preserve">dosvědčuje </w:t>
      </w:r>
      <w:r w:rsidRPr="00273106">
        <w:t xml:space="preserve">Akvinského komentář ke </w:t>
      </w:r>
      <w:r w:rsidRPr="083714B5">
        <w:rPr>
          <w:i/>
        </w:rPr>
        <w:t>Druhým analytikám</w:t>
      </w:r>
      <w:r w:rsidRPr="00273106">
        <w:t xml:space="preserve"> psaný v závěru druhého pobytu v Paříži (1271‒72). Nejprve je princip </w:t>
      </w:r>
      <w:r w:rsidR="08213B53" w:rsidRPr="08213B53">
        <w:rPr>
          <w:i/>
        </w:rPr>
        <w:t>ex</w:t>
      </w:r>
      <w:r w:rsidR="08213B53">
        <w:t xml:space="preserve"> </w:t>
      </w:r>
      <w:r w:rsidR="08027AC2">
        <w:rPr>
          <w:i/>
        </w:rPr>
        <w:t>in</w:t>
      </w:r>
      <w:r w:rsidR="08213B53">
        <w:rPr>
          <w:i/>
        </w:rPr>
        <w:t>mediatis</w:t>
      </w:r>
      <w:r w:rsidRPr="00273106">
        <w:t xml:space="preserve"> vztažen k první substanci, včetně aristotelského členění šestice axiomů poznání na </w:t>
      </w:r>
      <w:r>
        <w:t xml:space="preserve">primární </w:t>
      </w:r>
      <w:r w:rsidRPr="00273106">
        <w:t xml:space="preserve">tři principy vzaté z reality a na </w:t>
      </w:r>
      <w:r>
        <w:t xml:space="preserve">následující </w:t>
      </w:r>
      <w:r w:rsidRPr="00273106">
        <w:t>tři principy formálních vlastností soudu</w:t>
      </w:r>
      <w:r>
        <w:t xml:space="preserve"> (</w:t>
      </w:r>
      <w:r w:rsidRPr="08BF73BE">
        <w:rPr>
          <w:i/>
        </w:rPr>
        <w:t>non per aliquod medium demonstrantur, sed per seipsas sunt manifestae</w:t>
      </w:r>
      <w:r>
        <w:t>)</w:t>
      </w:r>
      <w:r w:rsidRPr="00273106">
        <w:t>.</w:t>
      </w:r>
      <w:r w:rsidRPr="00273106">
        <w:rPr>
          <w:rStyle w:val="Znakapoznpodarou"/>
        </w:rPr>
        <w:footnoteReference w:id="298"/>
      </w:r>
      <w:r w:rsidRPr="00273106">
        <w:t xml:space="preserve"> Následně je takto založené </w:t>
      </w:r>
      <w:r w:rsidRPr="083714B5">
        <w:rPr>
          <w:i/>
        </w:rPr>
        <w:t>medium</w:t>
      </w:r>
      <w:r w:rsidRPr="083714B5">
        <w:rPr>
          <w:i/>
        </w:rPr>
        <w:fldChar w:fldCharType="begin"/>
      </w:r>
      <w:r w:rsidRPr="083714B5">
        <w:rPr>
          <w:i/>
        </w:rPr>
        <w:instrText xml:space="preserve"> XE "medium:Akvinský" </w:instrText>
      </w:r>
      <w:r w:rsidRPr="083714B5">
        <w:rPr>
          <w:i/>
        </w:rPr>
        <w:fldChar w:fldCharType="end"/>
      </w:r>
      <w:r w:rsidRPr="00273106">
        <w:t xml:space="preserve"> soudu </w:t>
      </w:r>
      <w:r w:rsidR="003A4CA6">
        <w:t xml:space="preserve">dané predikací hyparchické </w:t>
      </w:r>
      <w:r>
        <w:t>kauzality (</w:t>
      </w:r>
      <w:r w:rsidRPr="08EE01E5">
        <w:rPr>
          <w:i/>
        </w:rPr>
        <w:t>ex causis rei</w:t>
      </w:r>
      <w:r>
        <w:t xml:space="preserve">) </w:t>
      </w:r>
      <w:r w:rsidR="003A4CA6">
        <w:t xml:space="preserve">a je postaveno jako </w:t>
      </w:r>
      <w:r w:rsidRPr="00273106">
        <w:t xml:space="preserve">základ deduktivního </w:t>
      </w:r>
      <w:r w:rsidR="003A4CA6">
        <w:t xml:space="preserve">syllogismu </w:t>
      </w:r>
      <w:r w:rsidRPr="00273106">
        <w:t>(</w:t>
      </w:r>
      <w:r w:rsidRPr="00273106">
        <w:rPr>
          <w:i/>
        </w:rPr>
        <w:t>demonstratione propter quid</w:t>
      </w:r>
      <w:r w:rsidRPr="00273106">
        <w:t>).</w:t>
      </w:r>
      <w:r w:rsidRPr="00273106">
        <w:rPr>
          <w:rStyle w:val="Znakapoznpodarou"/>
        </w:rPr>
        <w:footnoteReference w:id="299"/>
      </w:r>
      <w:r w:rsidRPr="00273106">
        <w:t xml:space="preserve"> Primát </w:t>
      </w:r>
      <w:r>
        <w:t xml:space="preserve">hyparchické </w:t>
      </w:r>
      <w:r w:rsidRPr="00273106">
        <w:t>první substance pro vědecké po</w:t>
      </w:r>
      <w:r>
        <w:t xml:space="preserve">znání je dán zásadním </w:t>
      </w:r>
      <w:r>
        <w:lastRenderedPageBreak/>
        <w:t xml:space="preserve">způsobem, což také zásadně poznamenalo negativní vztah Akvinského ke všem iluminačním teoriím a statusu porretánských </w:t>
      </w:r>
      <w:r w:rsidR="00962190">
        <w:rPr>
          <w:i/>
        </w:rPr>
        <w:t>species</w:t>
      </w:r>
      <w:r>
        <w:t xml:space="preserve">. </w:t>
      </w:r>
      <w:r w:rsidRPr="00273106">
        <w:t xml:space="preserve">Polemika s druhým averroismem se týkala vztahu smyslových a inteligibilních </w:t>
      </w:r>
      <w:r w:rsidR="00962190">
        <w:rPr>
          <w:i/>
        </w:rPr>
        <w:t>species</w:t>
      </w:r>
      <w:r w:rsidRPr="00273106">
        <w:t xml:space="preserve">, který tvoří jádro </w:t>
      </w:r>
      <w:r>
        <w:t>Averroes</w:t>
      </w:r>
      <w:r w:rsidRPr="00273106">
        <w:t xml:space="preserve">ova </w:t>
      </w:r>
      <w:r w:rsidRPr="00273106">
        <w:rPr>
          <w:i/>
        </w:rPr>
        <w:t>proportio</w:t>
      </w:r>
      <w:r w:rsidRPr="00273106">
        <w:t xml:space="preserve"> a také základ adekvační teorie</w:t>
      </w:r>
      <w:r>
        <w:t xml:space="preserve"> pravdy. S</w:t>
      </w:r>
      <w:r w:rsidRPr="00273106">
        <w:t xml:space="preserve">pojení </w:t>
      </w:r>
      <w:r>
        <w:t xml:space="preserve">obou forem </w:t>
      </w:r>
      <w:r w:rsidR="00962190">
        <w:rPr>
          <w:i/>
        </w:rPr>
        <w:t>species</w:t>
      </w:r>
      <w:r>
        <w:t xml:space="preserve"> </w:t>
      </w:r>
      <w:r w:rsidRPr="00273106">
        <w:t xml:space="preserve">představuje principiální kámen úrazu mezi prvním a druhým averroismem. Akvinský v této klíčové otázce jednoznačně sleduje linii Aristotela a CMDA, což ukazuje rozbor díla </w:t>
      </w:r>
      <w:r w:rsidRPr="00273106">
        <w:rPr>
          <w:i/>
        </w:rPr>
        <w:t>Expositio super librum Boethii De trinitate</w:t>
      </w:r>
      <w:r w:rsidRPr="00273106">
        <w:t xml:space="preserve"> psaného </w:t>
      </w:r>
      <w:r>
        <w:t xml:space="preserve">hned po </w:t>
      </w:r>
      <w:r w:rsidRPr="00273106">
        <w:t>první</w:t>
      </w:r>
      <w:r>
        <w:t>m</w:t>
      </w:r>
      <w:r w:rsidRPr="00273106">
        <w:t xml:space="preserve"> pobytu v Paříži </w:t>
      </w:r>
      <w:r>
        <w:t>asi roku 1260</w:t>
      </w:r>
      <w:r w:rsidRPr="00273106">
        <w:t>.</w:t>
      </w:r>
      <w:r>
        <w:t xml:space="preserve"> Akvinský po odchodu z Paříže si nejprve vyřídil akademické účty s modernisty kolem Bonaventury. To bylo mnohem snadnější než polemika se Sigerovou školou v pozdějším díle </w:t>
      </w:r>
      <w:r w:rsidRPr="08BF1B0A">
        <w:rPr>
          <w:i/>
        </w:rPr>
        <w:t>Summa contra Gentiles</w:t>
      </w:r>
      <w:r>
        <w:t xml:space="preserve">, kde </w:t>
      </w:r>
      <w:r w:rsidR="084E4724">
        <w:t xml:space="preserve">Tomáš musel </w:t>
      </w:r>
      <w:r>
        <w:t>odmítnout u</w:t>
      </w:r>
      <w:r w:rsidR="00E410E5">
        <w:t>čení Avicenny.</w:t>
      </w:r>
    </w:p>
    <w:p w:rsidR="08163013" w:rsidRPr="08027AC2" w:rsidRDefault="08163013" w:rsidP="004B75DA">
      <w:pPr>
        <w:ind w:firstLine="397"/>
        <w:rPr>
          <w:i/>
        </w:rPr>
      </w:pPr>
      <w:r w:rsidRPr="00273106">
        <w:rPr>
          <w:rStyle w:val="TextpoznpodarouChar"/>
        </w:rPr>
        <w:t xml:space="preserve">Citovali jsme význam </w:t>
      </w:r>
      <w:r w:rsidRPr="00273106">
        <w:rPr>
          <w:i/>
        </w:rPr>
        <w:t>De hebdomadibus</w:t>
      </w:r>
      <w:r>
        <w:t xml:space="preserve"> </w:t>
      </w:r>
      <w:r>
        <w:rPr>
          <w:rStyle w:val="TextpoznpodarouChar"/>
        </w:rPr>
        <w:t>při rozboru hypostázovaného pojetí existence Gilberta z</w:t>
      </w:r>
      <w:r w:rsidR="00290DBB">
        <w:rPr>
          <w:rStyle w:val="TextpoznpodarouChar"/>
        </w:rPr>
        <w:t xml:space="preserve"> </w:t>
      </w:r>
      <w:proofErr w:type="gramStart"/>
      <w:r w:rsidR="00290DBB" w:rsidRPr="002E6F08">
        <w:t>Po</w:t>
      </w:r>
      <w:r w:rsidR="00290DBB">
        <w:t>rrée</w:t>
      </w:r>
      <w:proofErr w:type="gramEnd"/>
      <w:r w:rsidR="00290DBB">
        <w:t xml:space="preserve"> </w:t>
      </w:r>
      <w:r w:rsidRPr="00273106">
        <w:rPr>
          <w:rStyle w:val="TextpoznpodarouChar"/>
        </w:rPr>
        <w:t>(</w:t>
      </w:r>
      <w:r w:rsidR="084E4724">
        <w:rPr>
          <w:rStyle w:val="TextpoznpodarouChar"/>
        </w:rPr>
        <w:t xml:space="preserve">OBJ II, </w:t>
      </w:r>
      <w:r w:rsidRPr="00273106">
        <w:rPr>
          <w:rStyle w:val="TextpoznpodarouChar"/>
        </w:rPr>
        <w:t xml:space="preserve">kap. </w:t>
      </w:r>
      <w:r w:rsidR="084E4724">
        <w:rPr>
          <w:rStyle w:val="TextpoznpodarouChar"/>
        </w:rPr>
        <w:t>1</w:t>
      </w:r>
      <w:r w:rsidRPr="00273106">
        <w:rPr>
          <w:rStyle w:val="TextpoznpodarouChar"/>
        </w:rPr>
        <w:t xml:space="preserve">.4). </w:t>
      </w:r>
      <w:r>
        <w:t>N</w:t>
      </w:r>
      <w:r w:rsidRPr="00273106">
        <w:t xml:space="preserve">ový výklad </w:t>
      </w:r>
      <w:r w:rsidRPr="00273106">
        <w:rPr>
          <w:i/>
        </w:rPr>
        <w:t>De hebdomadibus</w:t>
      </w:r>
      <w:r>
        <w:t xml:space="preserve"> stál proti porretánskému </w:t>
      </w:r>
      <w:r w:rsidRPr="00273106">
        <w:t>výkladu Boethia</w:t>
      </w:r>
      <w:r>
        <w:t>, kter</w:t>
      </w:r>
      <w:r w:rsidR="00290DBB">
        <w:t>ý hrál důležitou roli v pařížských</w:t>
      </w:r>
      <w:r>
        <w:t xml:space="preserve"> škol</w:t>
      </w:r>
      <w:r w:rsidR="00290DBB">
        <w:t>ách</w:t>
      </w:r>
      <w:r>
        <w:t xml:space="preserve"> </w:t>
      </w:r>
      <w:r w:rsidRPr="08D2367B">
        <w:rPr>
          <w:i/>
        </w:rPr>
        <w:t>Modernorum</w:t>
      </w:r>
      <w:r>
        <w:t xml:space="preserve"> po roce 1250. Bonaventurova škola spojila Rufusův analytický výklad přinesený od porretánů z Oxfordu s naukou o transcendentáliích podanou v avicennistické škole Filipa Kancléře. </w:t>
      </w:r>
      <w:r>
        <w:rPr>
          <w:szCs w:val="18"/>
        </w:rPr>
        <w:t xml:space="preserve">Akvinský dobře věděl stejně jako biskup Alvernus v tažení proti škole Gramatiků, kde a jak vzniklo esencialistické a hypostázované pojetí jsoucna třetího druhu. Proto vložil do výkladu Boethiova textu </w:t>
      </w:r>
      <w:r>
        <w:rPr>
          <w:i/>
        </w:rPr>
        <w:t>De hebdomadibus</w:t>
      </w:r>
      <w:r>
        <w:rPr>
          <w:szCs w:val="18"/>
        </w:rPr>
        <w:t xml:space="preserve"> novou reguli proti </w:t>
      </w:r>
      <w:proofErr w:type="gramStart"/>
      <w:r>
        <w:rPr>
          <w:szCs w:val="18"/>
        </w:rPr>
        <w:t>Gilbertově</w:t>
      </w:r>
      <w:proofErr w:type="gramEnd"/>
      <w:r>
        <w:rPr>
          <w:szCs w:val="18"/>
        </w:rPr>
        <w:t xml:space="preserve"> výkladu </w:t>
      </w:r>
      <w:r>
        <w:rPr>
          <w:i/>
          <w:color w:val="000000"/>
        </w:rPr>
        <w:t>Třetí regule</w:t>
      </w:r>
      <w:r>
        <w:rPr>
          <w:color w:val="000000"/>
        </w:rPr>
        <w:t xml:space="preserve">. </w:t>
      </w:r>
      <w:r>
        <w:rPr>
          <w:szCs w:val="18"/>
        </w:rPr>
        <w:fldChar w:fldCharType="begin"/>
      </w:r>
      <w:r>
        <w:instrText xml:space="preserve"> XE "</w:instrText>
      </w:r>
      <w:r w:rsidRPr="00B32D10">
        <w:instrText>regule:Akvinský</w:instrText>
      </w:r>
      <w:r>
        <w:instrText xml:space="preserve">" </w:instrText>
      </w:r>
      <w:r>
        <w:rPr>
          <w:szCs w:val="18"/>
        </w:rPr>
        <w:fldChar w:fldCharType="end"/>
      </w:r>
      <w:r>
        <w:rPr>
          <w:szCs w:val="18"/>
        </w:rPr>
        <w:t xml:space="preserve">Akvinský </w:t>
      </w:r>
      <w:r>
        <w:t xml:space="preserve">stanovil metafyzický rozdíl mezi existencí v realitě a intencionálně poznanou esencí v mysli </w:t>
      </w:r>
      <w:r w:rsidRPr="00DC225D">
        <w:t>(</w:t>
      </w:r>
      <w:r w:rsidRPr="00DC225D">
        <w:rPr>
          <w:i/>
        </w:rPr>
        <w:t>diversum est esse et id quod est</w:t>
      </w:r>
      <w:r w:rsidRPr="00DC225D">
        <w:t>).</w:t>
      </w:r>
      <w:r w:rsidRPr="00273106">
        <w:rPr>
          <w:rStyle w:val="Znakapoznpodarou"/>
        </w:rPr>
        <w:footnoteReference w:id="300"/>
      </w:r>
      <w:r w:rsidRPr="00273106">
        <w:t xml:space="preserve"> </w:t>
      </w:r>
      <w:r>
        <w:t xml:space="preserve">Komentátoři si všimli, že tato formulace se nevyskytuje v originálním Boethiově díle (Wippel 2000, 99). Akvinského výklad Boethia navazuje na Blundův výklad intencionality podle </w:t>
      </w:r>
      <w:r w:rsidRPr="08BF297E">
        <w:rPr>
          <w:i/>
        </w:rPr>
        <w:t>De anima</w:t>
      </w:r>
      <w:r>
        <w:t xml:space="preserve"> (</w:t>
      </w:r>
      <w:r w:rsidR="08652E47">
        <w:t>OBJ II, kap. 2</w:t>
      </w:r>
      <w:r>
        <w:t xml:space="preserve">.1.2) a na </w:t>
      </w:r>
      <w:r w:rsidRPr="00273106">
        <w:rPr>
          <w:rStyle w:val="TextpoznpodarouChar"/>
        </w:rPr>
        <w:t xml:space="preserve">primát </w:t>
      </w:r>
      <w:r w:rsidRPr="00273106">
        <w:rPr>
          <w:rStyle w:val="TextpoznpodarouChar"/>
          <w:i/>
        </w:rPr>
        <w:t>actus essendi</w:t>
      </w:r>
      <w:r>
        <w:rPr>
          <w:rStyle w:val="TextpoznpodarouChar"/>
          <w:i/>
        </w:rPr>
        <w:fldChar w:fldCharType="begin"/>
      </w:r>
      <w:r>
        <w:instrText xml:space="preserve"> XE "</w:instrText>
      </w:r>
      <w:r w:rsidRPr="006D3950">
        <w:rPr>
          <w:i/>
        </w:rPr>
        <w:instrText>actus essendi</w:instrText>
      </w:r>
      <w:r>
        <w:instrText xml:space="preserve">" </w:instrText>
      </w:r>
      <w:r>
        <w:rPr>
          <w:rStyle w:val="TextpoznpodarouChar"/>
          <w:i/>
        </w:rPr>
        <w:fldChar w:fldCharType="end"/>
      </w:r>
      <w:r w:rsidRPr="00273106">
        <w:rPr>
          <w:rStyle w:val="TextpoznpodarouChar"/>
        </w:rPr>
        <w:t xml:space="preserve"> první substance</w:t>
      </w:r>
      <w:r>
        <w:rPr>
          <w:rStyle w:val="TextpoznpodarouChar"/>
        </w:rPr>
        <w:t xml:space="preserve"> podle </w:t>
      </w:r>
      <w:r w:rsidR="00406201" w:rsidRPr="00273106">
        <w:t>výklad</w:t>
      </w:r>
      <w:r w:rsidR="00406201">
        <w:t>u</w:t>
      </w:r>
      <w:r w:rsidR="00406201" w:rsidRPr="00273106">
        <w:t xml:space="preserve"> </w:t>
      </w:r>
      <w:r w:rsidR="00406201">
        <w:t>Averroésovy</w:t>
      </w:r>
      <w:r>
        <w:t xml:space="preserve"> </w:t>
      </w:r>
      <w:r w:rsidRPr="00273106">
        <w:t>metafyziky</w:t>
      </w:r>
      <w:r>
        <w:t xml:space="preserve">. Akvinský odkazem na metafyziku Komentátora obhajuje </w:t>
      </w:r>
      <w:r w:rsidRPr="00273106">
        <w:t>nasvícení smyslu jsoucna od aktuálně dané první substance</w:t>
      </w:r>
      <w:r>
        <w:t xml:space="preserve"> a odlišuje ji od bytí univerzálií. Na konci prvního pařížského pobytu se Akvinský zásadně rozchází s Bonaventurovými modernisty. </w:t>
      </w:r>
      <w:r>
        <w:lastRenderedPageBreak/>
        <w:t xml:space="preserve">Finální odmítnutí jsoucna třetího druhu obsahuje dílo </w:t>
      </w:r>
      <w:r w:rsidRPr="00FA1CCB">
        <w:rPr>
          <w:i/>
        </w:rPr>
        <w:t>Expositio super librum Boethii De trinitate</w:t>
      </w:r>
      <w:r>
        <w:t xml:space="preserve"> napsané po studiích v Paříži (asi 1261).</w:t>
      </w:r>
    </w:p>
    <w:p w:rsidR="08163013" w:rsidRDefault="08163013" w:rsidP="08163013">
      <w:pPr>
        <w:pStyle w:val="Citace"/>
      </w:pPr>
      <w:r>
        <w:t>„</w:t>
      </w:r>
      <w:r w:rsidRPr="00D12B39">
        <w:t>Takto abstrahované univerzální pojmy je možné určit dvojím způsobem.  Nejprve tak, že se vezmou o sobě (</w:t>
      </w:r>
      <w:r w:rsidRPr="00D12B39">
        <w:rPr>
          <w:i/>
        </w:rPr>
        <w:t>secundum se</w:t>
      </w:r>
      <w:r w:rsidRPr="00D12B39">
        <w:t>), tedy bez vztahu k pohybu a bez určení daném první substancí (</w:t>
      </w:r>
      <w:r w:rsidRPr="00D12B39">
        <w:rPr>
          <w:i/>
        </w:rPr>
        <w:t>sine motu et materia signata</w:t>
      </w:r>
      <w:r w:rsidRPr="00D12B39">
        <w:t>). Pak ale neexistují jinak než skrze bytí, které mají dáno v našem intelektu</w:t>
      </w:r>
      <w:r>
        <w:rPr>
          <w:lang w:val="cs-CZ"/>
        </w:rPr>
        <w:t xml:space="preserve"> (</w:t>
      </w:r>
      <w:r w:rsidRPr="00EB6B04">
        <w:rPr>
          <w:rStyle w:val="TextpoznpodarouChar"/>
          <w:i/>
        </w:rPr>
        <w:t>secundum esse quod habent in intellectu</w:t>
      </w:r>
      <w:r>
        <w:rPr>
          <w:lang w:val="cs-CZ"/>
        </w:rPr>
        <w:t>)</w:t>
      </w:r>
      <w:r w:rsidRPr="00D12B39">
        <w:t>. Ve druhém smyslu je jejich určení vztaženo k reálné věci, jejíž určení vyjadřují (</w:t>
      </w:r>
      <w:r w:rsidRPr="00D12B39">
        <w:rPr>
          <w:i/>
        </w:rPr>
        <w:t>ad res, quarum sunt rationes</w:t>
      </w:r>
      <w:r w:rsidR="08652E47">
        <w:t xml:space="preserve">). A </w:t>
      </w:r>
      <w:r w:rsidRPr="00D12B39">
        <w:t xml:space="preserve">věci jsou dány v materii a mají vlastní pohyb. Pak jsou pojmy poznáním těchto věcí, protože každá věc je </w:t>
      </w:r>
      <w:r>
        <w:t>poznatelná skrze svou formu.“</w:t>
      </w:r>
      <w:r w:rsidRPr="00D12B39">
        <w:rPr>
          <w:rStyle w:val="Znakapoznpodarou"/>
        </w:rPr>
        <w:t xml:space="preserve"> </w:t>
      </w:r>
      <w:r w:rsidRPr="00273106">
        <w:rPr>
          <w:rStyle w:val="Znakapoznpodarou"/>
        </w:rPr>
        <w:footnoteReference w:id="301"/>
      </w:r>
    </w:p>
    <w:p w:rsidR="00D450B4" w:rsidRDefault="08163013" w:rsidP="08163013">
      <w:pPr>
        <w:rPr>
          <w:rStyle w:val="TextpoznpodarouChar"/>
        </w:rPr>
      </w:pPr>
      <w:r w:rsidRPr="00273106">
        <w:t xml:space="preserve">Tomáš odděluje výměr jsoucna vztaženého k první substanci od abstraktně daných </w:t>
      </w:r>
      <w:r w:rsidRPr="00273106">
        <w:rPr>
          <w:i/>
        </w:rPr>
        <w:t>rationes</w:t>
      </w:r>
      <w:r w:rsidRPr="00273106">
        <w:t xml:space="preserve"> </w:t>
      </w:r>
      <w:r>
        <w:t>daných</w:t>
      </w:r>
      <w:r w:rsidRPr="00273106">
        <w:t xml:space="preserve"> </w:t>
      </w:r>
      <w:r w:rsidRPr="00273106">
        <w:rPr>
          <w:i/>
        </w:rPr>
        <w:t>secundum se</w:t>
      </w:r>
      <w:r>
        <w:rPr>
          <w:i/>
        </w:rPr>
        <w:t xml:space="preserve"> </w:t>
      </w:r>
      <w:r w:rsidRPr="08E9097D">
        <w:t xml:space="preserve">v univerzálním modu. </w:t>
      </w:r>
      <w:r>
        <w:t>B</w:t>
      </w:r>
      <w:r w:rsidRPr="00273106">
        <w:rPr>
          <w:rStyle w:val="TextpoznpodarouChar"/>
        </w:rPr>
        <w:t>ytí nemůže být nejvyšší rod</w:t>
      </w:r>
      <w:r>
        <w:rPr>
          <w:rStyle w:val="TextpoznpodarouChar"/>
        </w:rPr>
        <w:t xml:space="preserve">, </w:t>
      </w:r>
      <w:r w:rsidR="08102605">
        <w:rPr>
          <w:rStyle w:val="TextpoznpodarouChar"/>
        </w:rPr>
        <w:t>protože rody nemají reálnou existenci. Totéž platí pro R</w:t>
      </w:r>
      <w:r>
        <w:rPr>
          <w:rStyle w:val="TextpoznpodarouChar"/>
        </w:rPr>
        <w:t>ufusovo jsoucno třetího druhu</w:t>
      </w:r>
      <w:r w:rsidRPr="00273106">
        <w:rPr>
          <w:rStyle w:val="TextpoznpodarouChar"/>
        </w:rPr>
        <w:t xml:space="preserve">. Zkoumání metafyziky musí jít cestou aktuálního </w:t>
      </w:r>
      <w:r>
        <w:rPr>
          <w:rStyle w:val="TextpoznpodarouChar"/>
        </w:rPr>
        <w:t xml:space="preserve">jsoucna </w:t>
      </w:r>
      <w:r w:rsidRPr="00273106">
        <w:rPr>
          <w:rStyle w:val="TextpoznpodarouChar"/>
        </w:rPr>
        <w:t xml:space="preserve">daného v aktuálně dané jednotlivině (Aristotelovo </w:t>
      </w:r>
      <w:r w:rsidRPr="00273106">
        <w:t>τόδε τι</w:t>
      </w:r>
      <w:r>
        <w:fldChar w:fldCharType="begin"/>
      </w:r>
      <w:r>
        <w:instrText xml:space="preserve"> XE "</w:instrText>
      </w:r>
      <w:r w:rsidRPr="00E373E1">
        <w:instrText>substance:τόδε τι</w:instrText>
      </w:r>
      <w:r>
        <w:instrText xml:space="preserve">" </w:instrText>
      </w:r>
      <w:r>
        <w:fldChar w:fldCharType="end"/>
      </w:r>
      <w:r w:rsidRPr="00273106">
        <w:rPr>
          <w:rStyle w:val="TextpoznpodarouChar"/>
        </w:rPr>
        <w:t xml:space="preserve">). </w:t>
      </w:r>
      <w:r>
        <w:rPr>
          <w:rStyle w:val="TextpoznpodarouChar"/>
        </w:rPr>
        <w:t xml:space="preserve">Univerzální určení jsou pouze v duši a kromě abstraktního významu nesou i pravdivostní </w:t>
      </w:r>
      <w:r w:rsidR="083A05CE">
        <w:rPr>
          <w:rStyle w:val="TextpoznpodarouChar"/>
        </w:rPr>
        <w:t xml:space="preserve">určení </w:t>
      </w:r>
      <w:r>
        <w:rPr>
          <w:rStyle w:val="TextpoznpodarouChar"/>
        </w:rPr>
        <w:t>dan</w:t>
      </w:r>
      <w:r w:rsidR="083A05CE">
        <w:rPr>
          <w:rStyle w:val="TextpoznpodarouChar"/>
        </w:rPr>
        <w:t xml:space="preserve">é </w:t>
      </w:r>
      <w:r>
        <w:rPr>
          <w:rStyle w:val="TextpoznpodarouChar"/>
        </w:rPr>
        <w:t>v modu adekvace k reálným věcem (</w:t>
      </w:r>
      <w:r w:rsidRPr="00273106">
        <w:rPr>
          <w:rStyle w:val="TextpoznpodarouChar"/>
          <w:i/>
        </w:rPr>
        <w:t>comparantur ad res, quarum sunt rationes</w:t>
      </w:r>
      <w:r>
        <w:rPr>
          <w:rStyle w:val="TextpoznpodarouChar"/>
        </w:rPr>
        <w:t xml:space="preserve">). </w:t>
      </w:r>
      <w:r>
        <w:t xml:space="preserve">Akvinský </w:t>
      </w:r>
      <w:r w:rsidR="08215ED3">
        <w:t xml:space="preserve">kriticky </w:t>
      </w:r>
      <w:r>
        <w:t xml:space="preserve">reaguje na spojení esence a existence v rámci </w:t>
      </w:r>
      <w:r w:rsidRPr="00370CD5">
        <w:rPr>
          <w:i/>
        </w:rPr>
        <w:t>Oxfordian Fallacy</w:t>
      </w:r>
      <w:r>
        <w:rPr>
          <w:i/>
        </w:rPr>
        <w:fldChar w:fldCharType="begin"/>
      </w:r>
      <w:r>
        <w:instrText xml:space="preserve"> XE "</w:instrText>
      </w:r>
      <w:r w:rsidRPr="0015798D">
        <w:rPr>
          <w:i/>
        </w:rPr>
        <w:instrText>Oxfordian Fallacy:</w:instrText>
      </w:r>
      <w:r>
        <w:instrText xml:space="preserve">kritika Akvinského" </w:instrText>
      </w:r>
      <w:r>
        <w:rPr>
          <w:i/>
        </w:rPr>
        <w:fldChar w:fldCharType="end"/>
      </w:r>
      <w:r>
        <w:t xml:space="preserve"> podle Rufuse a Kilwardbyho</w:t>
      </w:r>
      <w:r w:rsidR="00FB51C7">
        <w:t xml:space="preserve">. Ti </w:t>
      </w:r>
      <w:r>
        <w:t>z</w:t>
      </w:r>
      <w:r>
        <w:rPr>
          <w:szCs w:val="18"/>
        </w:rPr>
        <w:t xml:space="preserve">rušili primát existence a zavedli do kategoriální predikace esenci přičítanou univočně druhé substanci i akcidentu </w:t>
      </w:r>
      <w:r>
        <w:t>(</w:t>
      </w:r>
      <w:r w:rsidR="08445BB4">
        <w:t>OBJ II, kap. 3</w:t>
      </w:r>
      <w:r>
        <w:t>.4.2)</w:t>
      </w:r>
      <w:r>
        <w:rPr>
          <w:szCs w:val="18"/>
        </w:rPr>
        <w:t xml:space="preserve">. </w:t>
      </w:r>
      <w:r w:rsidRPr="00273106">
        <w:t xml:space="preserve">Tomášovo </w:t>
      </w:r>
      <w:r w:rsidRPr="00273106">
        <w:rPr>
          <w:rStyle w:val="TextpoznpodarouChar"/>
        </w:rPr>
        <w:t xml:space="preserve">pojetí </w:t>
      </w:r>
      <w:r>
        <w:rPr>
          <w:rStyle w:val="TextpoznpodarouChar"/>
        </w:rPr>
        <w:t xml:space="preserve">v základních rysech </w:t>
      </w:r>
      <w:r w:rsidRPr="00273106">
        <w:rPr>
          <w:rStyle w:val="TextpoznpodarouChar"/>
        </w:rPr>
        <w:t xml:space="preserve">odpovídá </w:t>
      </w:r>
      <w:r>
        <w:rPr>
          <w:rStyle w:val="TextpoznpodarouChar"/>
        </w:rPr>
        <w:t>Averroesově meta</w:t>
      </w:r>
      <w:r w:rsidRPr="00273106">
        <w:rPr>
          <w:rStyle w:val="TextpoznpodarouChar"/>
        </w:rPr>
        <w:t>fyzice</w:t>
      </w:r>
      <w:r>
        <w:rPr>
          <w:rStyle w:val="TextpoznpodarouChar"/>
        </w:rPr>
        <w:fldChar w:fldCharType="begin"/>
      </w:r>
      <w:r>
        <w:instrText xml:space="preserve"> XE "</w:instrText>
      </w:r>
      <w:r w:rsidRPr="006A4577">
        <w:instrText>metafyzika:</w:instrText>
      </w:r>
      <w:r>
        <w:instrText xml:space="preserve">Averroes" </w:instrText>
      </w:r>
      <w:r>
        <w:rPr>
          <w:rStyle w:val="TextpoznpodarouChar"/>
        </w:rPr>
        <w:fldChar w:fldCharType="end"/>
      </w:r>
      <w:r w:rsidRPr="00273106">
        <w:rPr>
          <w:rStyle w:val="TextpoznpodarouChar"/>
        </w:rPr>
        <w:t xml:space="preserve">, která odmítla </w:t>
      </w:r>
      <w:r>
        <w:rPr>
          <w:rStyle w:val="TextpoznpodarouChar"/>
        </w:rPr>
        <w:t xml:space="preserve">univoční metafyziku neoplatonských </w:t>
      </w:r>
      <w:r w:rsidRPr="085E2BD4">
        <w:rPr>
          <w:rStyle w:val="TextpoznpodarouChar"/>
          <w:i/>
        </w:rPr>
        <w:t>Modernorum</w:t>
      </w:r>
      <w:r w:rsidRPr="00273106">
        <w:rPr>
          <w:rStyle w:val="TextpoznpodarouChar"/>
        </w:rPr>
        <w:t>.</w:t>
      </w:r>
      <w:r>
        <w:rPr>
          <w:rStyle w:val="TextpoznpodarouChar"/>
        </w:rPr>
        <w:t xml:space="preserve"> V tom shoduje se školou </w:t>
      </w:r>
      <w:r w:rsidR="00B235C1">
        <w:rPr>
          <w:rStyle w:val="TextpoznpodarouChar"/>
        </w:rPr>
        <w:t>na Rue du Fouarre. A</w:t>
      </w:r>
      <w:r>
        <w:rPr>
          <w:rStyle w:val="TextpoznpodarouChar"/>
        </w:rPr>
        <w:t xml:space="preserve">le vinou konkordančního pojetí obou </w:t>
      </w:r>
      <w:r w:rsidR="004C7F5F">
        <w:rPr>
          <w:rStyle w:val="TextpoznpodarouChar"/>
        </w:rPr>
        <w:t xml:space="preserve">filosofií </w:t>
      </w:r>
      <w:r>
        <w:rPr>
          <w:rStyle w:val="TextpoznpodarouChar"/>
        </w:rPr>
        <w:t xml:space="preserve">nevidí </w:t>
      </w:r>
      <w:r w:rsidR="004C7F5F">
        <w:rPr>
          <w:rStyle w:val="TextpoznpodarouChar"/>
        </w:rPr>
        <w:t xml:space="preserve">Akvinský </w:t>
      </w:r>
      <w:r>
        <w:rPr>
          <w:rStyle w:val="TextpoznpodarouChar"/>
        </w:rPr>
        <w:t>rozdíl mezi metafyzikou Averroese a Avicenny stejně jasně a kriticky</w:t>
      </w:r>
      <w:r w:rsidR="080D4F22">
        <w:rPr>
          <w:rStyle w:val="TextpoznpodarouChar"/>
        </w:rPr>
        <w:t xml:space="preserve"> jako </w:t>
      </w:r>
      <w:r w:rsidR="00B235C1">
        <w:rPr>
          <w:rStyle w:val="TextpoznpodarouChar"/>
        </w:rPr>
        <w:t xml:space="preserve">Siger </w:t>
      </w:r>
      <w:r w:rsidR="080D4F22">
        <w:rPr>
          <w:rStyle w:val="TextpoznpodarouChar"/>
        </w:rPr>
        <w:t>(kap. 4</w:t>
      </w:r>
      <w:r>
        <w:rPr>
          <w:rStyle w:val="TextpoznpodarouChar"/>
        </w:rPr>
        <w:t xml:space="preserve">.4.1). </w:t>
      </w:r>
      <w:r>
        <w:t xml:space="preserve">Rozchod se všemi formami </w:t>
      </w:r>
      <w:r w:rsidRPr="08C35FDE">
        <w:rPr>
          <w:i/>
        </w:rPr>
        <w:t>tertium ens</w:t>
      </w:r>
      <w:r>
        <w:t xml:space="preserve"> byl daný tím, že </w:t>
      </w:r>
      <w:r w:rsidRPr="00273106">
        <w:t>Akvinsk</w:t>
      </w:r>
      <w:r>
        <w:t xml:space="preserve">ý zásadně </w:t>
      </w:r>
      <w:r w:rsidRPr="00273106">
        <w:t>odmít</w:t>
      </w:r>
      <w:r>
        <w:t>l jakoukoliv metafyziku založenou na logické nebo matematické</w:t>
      </w:r>
      <w:r w:rsidRPr="00273106">
        <w:t xml:space="preserve"> a</w:t>
      </w:r>
      <w:r>
        <w:t>bstrakci</w:t>
      </w:r>
      <w:r w:rsidRPr="00273106">
        <w:t>.</w:t>
      </w:r>
      <w:r>
        <w:t xml:space="preserve"> </w:t>
      </w:r>
      <w:r w:rsidRPr="002B2418">
        <w:t>McInerny</w:t>
      </w:r>
      <w:r>
        <w:t xml:space="preserve"> po Gilsonovi znovu ukázal na rozdíl mezi Akvinským a avicennismem </w:t>
      </w:r>
      <w:r w:rsidR="00A824AC">
        <w:t xml:space="preserve">ohledně </w:t>
      </w:r>
      <w:r>
        <w:t xml:space="preserve">logické abstrakce a </w:t>
      </w:r>
      <w:r w:rsidR="00A824AC">
        <w:t>existence</w:t>
      </w:r>
      <w:r>
        <w:t xml:space="preserve"> reálné věci.</w:t>
      </w:r>
      <w:r w:rsidRPr="00273106">
        <w:rPr>
          <w:rStyle w:val="Znakapoznpodarou"/>
        </w:rPr>
        <w:footnoteReference w:id="302"/>
      </w:r>
      <w:r>
        <w:t xml:space="preserve"> </w:t>
      </w:r>
      <w:r>
        <w:lastRenderedPageBreak/>
        <w:t>P</w:t>
      </w:r>
      <w:r w:rsidRPr="00273106">
        <w:rPr>
          <w:rStyle w:val="TextpoznpodarouChar"/>
        </w:rPr>
        <w:t xml:space="preserve">rimát první substance </w:t>
      </w:r>
      <w:r>
        <w:rPr>
          <w:rStyle w:val="TextpoznpodarouChar"/>
        </w:rPr>
        <w:t xml:space="preserve">v řádu hyparchické aktuality není slučitelný s objektivně </w:t>
      </w:r>
      <w:r w:rsidRPr="00273106">
        <w:rPr>
          <w:rStyle w:val="TextpoznpodarouChar"/>
        </w:rPr>
        <w:t xml:space="preserve">pojatým bytím </w:t>
      </w:r>
      <w:r>
        <w:rPr>
          <w:rStyle w:val="TextpoznpodarouChar"/>
        </w:rPr>
        <w:t>v podobě amfibolií</w:t>
      </w:r>
      <w:r>
        <w:rPr>
          <w:rStyle w:val="TextpoznpodarouChar"/>
        </w:rPr>
        <w:fldChar w:fldCharType="begin"/>
      </w:r>
      <w:r>
        <w:instrText xml:space="preserve"> XE "</w:instrText>
      </w:r>
      <w:r w:rsidRPr="08E76631">
        <w:rPr>
          <w:rStyle w:val="TextpoznpodarouChar"/>
        </w:rPr>
        <w:instrText>amfibolia</w:instrText>
      </w:r>
      <w:r>
        <w:instrText xml:space="preserve">" </w:instrText>
      </w:r>
      <w:r>
        <w:rPr>
          <w:rStyle w:val="TextpoznpodarouChar"/>
        </w:rPr>
        <w:fldChar w:fldCharType="end"/>
      </w:r>
      <w:r>
        <w:rPr>
          <w:rStyle w:val="TextpoznpodarouChar"/>
        </w:rPr>
        <w:t xml:space="preserve"> a transcendentálií. Proto </w:t>
      </w:r>
      <w:r w:rsidRPr="00273106">
        <w:rPr>
          <w:rStyle w:val="TextpoznpodarouChar"/>
        </w:rPr>
        <w:t xml:space="preserve">mají klíčové termíny </w:t>
      </w:r>
      <w:r>
        <w:rPr>
          <w:rStyle w:val="TextpoznpodarouChar"/>
        </w:rPr>
        <w:t xml:space="preserve">metafyzického </w:t>
      </w:r>
      <w:r w:rsidRPr="00273106">
        <w:rPr>
          <w:rStyle w:val="TextpoznpodarouChar"/>
        </w:rPr>
        <w:t>poznání (</w:t>
      </w:r>
      <w:r w:rsidRPr="00273106">
        <w:rPr>
          <w:rStyle w:val="TextpoznpodarouChar"/>
          <w:i/>
        </w:rPr>
        <w:t>abstractio</w:t>
      </w:r>
      <w:r w:rsidRPr="00273106">
        <w:rPr>
          <w:rStyle w:val="TextpoznpodarouChar"/>
        </w:rPr>
        <w:t xml:space="preserve">, </w:t>
      </w:r>
      <w:r w:rsidRPr="00273106">
        <w:rPr>
          <w:rStyle w:val="TextpoznpodarouChar"/>
          <w:i/>
        </w:rPr>
        <w:t>separatio</w:t>
      </w:r>
      <w:r w:rsidRPr="00273106">
        <w:rPr>
          <w:rStyle w:val="TextpoznpodarouChar"/>
        </w:rPr>
        <w:t xml:space="preserve">, </w:t>
      </w:r>
      <w:r w:rsidRPr="00273106">
        <w:rPr>
          <w:rStyle w:val="TextpoznpodarouChar"/>
          <w:i/>
        </w:rPr>
        <w:t>resolutio</w:t>
      </w:r>
      <w:r>
        <w:rPr>
          <w:rStyle w:val="TextpoznpodarouChar"/>
          <w:i/>
        </w:rPr>
        <w:fldChar w:fldCharType="begin"/>
      </w:r>
      <w:r>
        <w:instrText xml:space="preserve"> XE "</w:instrText>
      </w:r>
      <w:r w:rsidRPr="00111E9E">
        <w:rPr>
          <w:i/>
        </w:rPr>
        <w:instrText>resolutio</w:instrText>
      </w:r>
      <w:r>
        <w:rPr>
          <w:i/>
        </w:rPr>
        <w:instrText>:</w:instrText>
      </w:r>
      <w:r w:rsidRPr="007D3515">
        <w:instrText>Akvinský</w:instrText>
      </w:r>
      <w:r>
        <w:instrText xml:space="preserve">" </w:instrText>
      </w:r>
      <w:r>
        <w:rPr>
          <w:rStyle w:val="TextpoznpodarouChar"/>
          <w:i/>
        </w:rPr>
        <w:fldChar w:fldCharType="end"/>
      </w:r>
      <w:r w:rsidRPr="00273106">
        <w:rPr>
          <w:rStyle w:val="TextpoznpodarouChar"/>
        </w:rPr>
        <w:t>) pro Akvinského úplně jiný význam než ve druhém averroismu.</w:t>
      </w:r>
      <w:r w:rsidR="00280E70">
        <w:rPr>
          <w:rStyle w:val="TextpoznpodarouChar"/>
        </w:rPr>
        <w:t xml:space="preserve"> Základy tomistického</w:t>
      </w:r>
      <w:r>
        <w:rPr>
          <w:rStyle w:val="TextpoznpodarouChar"/>
        </w:rPr>
        <w:t xml:space="preserve"> aristoteli</w:t>
      </w:r>
      <w:r w:rsidR="00280E70">
        <w:rPr>
          <w:rStyle w:val="TextpoznpodarouChar"/>
        </w:rPr>
        <w:t xml:space="preserve">anismu jsou jasně vidět ve třech </w:t>
      </w:r>
      <w:r w:rsidR="00280E70">
        <w:t xml:space="preserve">kvodlibetální debatách </w:t>
      </w:r>
      <w:r w:rsidRPr="00273106">
        <w:t>(</w:t>
      </w:r>
      <w:r w:rsidRPr="00273106">
        <w:rPr>
          <w:i/>
        </w:rPr>
        <w:t xml:space="preserve">Quodlibet </w:t>
      </w:r>
      <w:r w:rsidR="00280E70">
        <w:t xml:space="preserve">VII, VIII, IX), které Akvinský </w:t>
      </w:r>
      <w:r w:rsidRPr="00273106">
        <w:t>postupně diskutova</w:t>
      </w:r>
      <w:r w:rsidR="00280E70">
        <w:t xml:space="preserve">l </w:t>
      </w:r>
      <w:r w:rsidRPr="00273106">
        <w:t>v Paříži v letech 1256‒58</w:t>
      </w:r>
      <w:r>
        <w:t xml:space="preserve">. Z hlediska polemiky se školou druhého averroismu hájící univerzální hylemorfismus jsou z citovaných děl důležité tyto části: </w:t>
      </w:r>
      <w:r w:rsidRPr="00FC2201">
        <w:rPr>
          <w:i/>
        </w:rPr>
        <w:t xml:space="preserve">Quodlibet </w:t>
      </w:r>
      <w:r w:rsidRPr="00975055">
        <w:t>VII</w:t>
      </w:r>
      <w:r>
        <w:t xml:space="preserve">, q. 1, a. 1‒2 (rozchod s augustinismem v otázce poznání); </w:t>
      </w:r>
      <w:r w:rsidRPr="00FC2201">
        <w:rPr>
          <w:i/>
        </w:rPr>
        <w:t xml:space="preserve">Quodlibet </w:t>
      </w:r>
      <w:r w:rsidRPr="00975055">
        <w:t>VII</w:t>
      </w:r>
      <w:r>
        <w:t xml:space="preserve">I, q. 1, a. 2 (kritika Bonaventurových exemplarů v boží mysli); q. 2, a. 2 (kritika autonomních </w:t>
      </w:r>
      <w:r w:rsidR="00962190" w:rsidRPr="00211F7D">
        <w:t>species</w:t>
      </w:r>
      <w:r>
        <w:t xml:space="preserve"> u </w:t>
      </w:r>
      <w:r w:rsidRPr="00DB4D0F">
        <w:rPr>
          <w:i/>
        </w:rPr>
        <w:t>Nominales</w:t>
      </w:r>
      <w:r>
        <w:t xml:space="preserve">); q. 8 (odmítnutí kauzálního působení pekelného ohně jako </w:t>
      </w:r>
      <w:r w:rsidRPr="002A56AB">
        <w:rPr>
          <w:i/>
        </w:rPr>
        <w:t>poena igni</w:t>
      </w:r>
      <w:r>
        <w:t xml:space="preserve">); </w:t>
      </w:r>
      <w:r w:rsidRPr="00FC2201">
        <w:rPr>
          <w:i/>
        </w:rPr>
        <w:t xml:space="preserve">Quodlibet </w:t>
      </w:r>
      <w:r>
        <w:t xml:space="preserve">IX, q. 4, a. 1 (odmítnutí materie pro anděly). Stejně nesmlouvaný postoj zaujal Akvinský proti asimilační teorii pravdy ve škole </w:t>
      </w:r>
      <w:r w:rsidRPr="08D4214D">
        <w:rPr>
          <w:i/>
        </w:rPr>
        <w:t>Modernorum</w:t>
      </w:r>
      <w:r>
        <w:t xml:space="preserve">. To ukazují pařížské </w:t>
      </w:r>
      <w:r w:rsidRPr="00273106">
        <w:t xml:space="preserve">disputace věnované otázce pravdy </w:t>
      </w:r>
      <w:r w:rsidRPr="00273106">
        <w:rPr>
          <w:i/>
        </w:rPr>
        <w:t xml:space="preserve">Quaestiones disputatae </w:t>
      </w:r>
      <w:r w:rsidR="080D4F22">
        <w:rPr>
          <w:i/>
        </w:rPr>
        <w:t>D</w:t>
      </w:r>
      <w:r w:rsidRPr="00273106">
        <w:rPr>
          <w:i/>
        </w:rPr>
        <w:t>e veritate</w:t>
      </w:r>
      <w:r w:rsidRPr="00273106">
        <w:t xml:space="preserve"> (1256‒59).</w:t>
      </w:r>
      <w:r w:rsidRPr="00273106">
        <w:rPr>
          <w:rStyle w:val="TextpoznpodarouChar"/>
        </w:rPr>
        <w:t xml:space="preserve"> </w:t>
      </w:r>
      <w:r>
        <w:rPr>
          <w:rStyle w:val="TextpoznpodarouChar"/>
        </w:rPr>
        <w:t xml:space="preserve">Toto </w:t>
      </w:r>
      <w:r w:rsidRPr="00650DB0">
        <w:t xml:space="preserve">dílo </w:t>
      </w:r>
      <w:r>
        <w:t>odmítlo přímé poznání jednotlivin v lidském intelektu a uznalo pouze poznání nepřímé. Klíčová část odpovědi ukazuje na rozdíl mezi reálnou formou první substance a intelektuální formou danou v poznání.</w:t>
      </w:r>
      <w:r>
        <w:rPr>
          <w:rStyle w:val="Znakapoznpodarou"/>
        </w:rPr>
        <w:footnoteReference w:id="303"/>
      </w:r>
      <w:r>
        <w:t xml:space="preserve"> Každá poznaná </w:t>
      </w:r>
      <w:r w:rsidRPr="088F4E90">
        <w:t>forma má unive</w:t>
      </w:r>
      <w:r>
        <w:t>r</w:t>
      </w:r>
      <w:r w:rsidRPr="088F4E90">
        <w:t>zální charakter a forma první substa</w:t>
      </w:r>
      <w:r>
        <w:t>n</w:t>
      </w:r>
      <w:r w:rsidRPr="088F4E90">
        <w:t>ce je nepoznatelná ve</w:t>
      </w:r>
      <w:r>
        <w:t xml:space="preserve"> své </w:t>
      </w:r>
      <w:r w:rsidRPr="088F4E90">
        <w:t>vlastní pod</w:t>
      </w:r>
      <w:r>
        <w:t>stat</w:t>
      </w:r>
      <w:r w:rsidRPr="088F4E90">
        <w:t xml:space="preserve">ě. Tomáš odmítl spekulativní pojetí </w:t>
      </w:r>
      <w:r w:rsidRPr="080567C1">
        <w:rPr>
          <w:i/>
        </w:rPr>
        <w:t>Modernorum</w:t>
      </w:r>
      <w:r w:rsidRPr="088F4E90">
        <w:t>, protože intelekt poznává jen přes</w:t>
      </w:r>
      <w:r>
        <w:t xml:space="preserve"> fantasmata a jím poznané formy nejsou obsaženy v realitě jako jsoucna třetího druhu. </w:t>
      </w:r>
      <w:r w:rsidRPr="00273106">
        <w:t xml:space="preserve">Primát </w:t>
      </w:r>
      <w:r w:rsidRPr="00273106">
        <w:rPr>
          <w:i/>
        </w:rPr>
        <w:t>actus essendi</w:t>
      </w:r>
      <w:r>
        <w:rPr>
          <w:i/>
        </w:rPr>
        <w:fldChar w:fldCharType="begin"/>
      </w:r>
      <w:r>
        <w:instrText xml:space="preserve"> XE "</w:instrText>
      </w:r>
      <w:r w:rsidRPr="006D3950">
        <w:rPr>
          <w:i/>
        </w:rPr>
        <w:instrText>actus essendi</w:instrText>
      </w:r>
      <w:r>
        <w:instrText xml:space="preserve">" </w:instrText>
      </w:r>
      <w:r>
        <w:rPr>
          <w:i/>
        </w:rPr>
        <w:fldChar w:fldCharType="end"/>
      </w:r>
      <w:r w:rsidRPr="00273106">
        <w:t xml:space="preserve"> první substance determinuje základní pojetí duše, které najdeme shrnuto v </w:t>
      </w:r>
      <w:r w:rsidRPr="00273106">
        <w:rPr>
          <w:i/>
        </w:rPr>
        <w:t>Quodlibet</w:t>
      </w:r>
      <w:r w:rsidRPr="00273106">
        <w:t xml:space="preserve"> X vzniklého </w:t>
      </w:r>
      <w:r>
        <w:t xml:space="preserve">na konci prvního pobytu v Paříži v letech </w:t>
      </w:r>
      <w:r w:rsidRPr="00273106">
        <w:t>1258‒59. Jedině u boha je esence a akt bytí totožný, proto musíme v lidské duši jasně rozlišit akt existence duše a její potence (</w:t>
      </w:r>
      <w:r w:rsidRPr="00273106">
        <w:rPr>
          <w:i/>
        </w:rPr>
        <w:t>impossibile est quod anima sit suae potentiae</w:t>
      </w:r>
      <w:r>
        <w:t xml:space="preserve">; </w:t>
      </w:r>
      <w:r w:rsidRPr="00273106">
        <w:rPr>
          <w:i/>
        </w:rPr>
        <w:t>Quodlibet</w:t>
      </w:r>
      <w:r w:rsidRPr="00273106">
        <w:t xml:space="preserve"> X</w:t>
      </w:r>
      <w:r>
        <w:t>,</w:t>
      </w:r>
      <w:r w:rsidRPr="00273106">
        <w:t xml:space="preserve"> a. 3, resp.). </w:t>
      </w:r>
      <w:r w:rsidRPr="00273106">
        <w:rPr>
          <w:rStyle w:val="TextpoznpodarouChar"/>
        </w:rPr>
        <w:t>Tomáš musí zkoumat stejně jako CMDA a Siger reálný průběh poznání</w:t>
      </w:r>
      <w:r>
        <w:rPr>
          <w:rStyle w:val="TextpoznpodarouChar"/>
        </w:rPr>
        <w:t xml:space="preserve"> daný v modelu aristotelské adekvace a tedy nasvícením zepředu od aktuální první substance vnímané smysly</w:t>
      </w:r>
      <w:r w:rsidRPr="00273106">
        <w:rPr>
          <w:rStyle w:val="TextpoznpodarouChar"/>
        </w:rPr>
        <w:t>.</w:t>
      </w:r>
      <w:r>
        <w:rPr>
          <w:rStyle w:val="TextpoznpodarouChar"/>
        </w:rPr>
        <w:t xml:space="preserve"> Poznání jako a</w:t>
      </w:r>
      <w:r w:rsidRPr="00273106">
        <w:rPr>
          <w:rStyle w:val="TextpoznpodarouChar"/>
        </w:rPr>
        <w:t xml:space="preserve">kt i potence </w:t>
      </w:r>
      <w:r>
        <w:rPr>
          <w:rStyle w:val="TextpoznpodarouChar"/>
        </w:rPr>
        <w:t>se vztahují k reálné osobě</w:t>
      </w:r>
      <w:r w:rsidRPr="00273106">
        <w:rPr>
          <w:rStyle w:val="TextpoznpodarouChar"/>
        </w:rPr>
        <w:t xml:space="preserve">. </w:t>
      </w:r>
      <w:r>
        <w:rPr>
          <w:rStyle w:val="TextpoznpodarouChar"/>
        </w:rPr>
        <w:t>Člověk jako substance je manifestovaný</w:t>
      </w:r>
      <w:r w:rsidRPr="00273106">
        <w:rPr>
          <w:rStyle w:val="TextpoznpodarouChar"/>
        </w:rPr>
        <w:t xml:space="preserve"> </w:t>
      </w:r>
      <w:r>
        <w:rPr>
          <w:rStyle w:val="TextpoznpodarouChar"/>
        </w:rPr>
        <w:t xml:space="preserve">z hlediska </w:t>
      </w:r>
      <w:r w:rsidRPr="00273106">
        <w:rPr>
          <w:rStyle w:val="TextpoznpodarouChar"/>
          <w:i/>
        </w:rPr>
        <w:t>operatio</w:t>
      </w:r>
      <w:r w:rsidRPr="00273106">
        <w:rPr>
          <w:rStyle w:val="TextpoznpodarouChar"/>
        </w:rPr>
        <w:t xml:space="preserve"> jednou jako akt, a jindy jako potence. Tím je dána možnost plurality potencí duše i její aktuální jednota v rámci </w:t>
      </w:r>
      <w:r w:rsidRPr="00273106">
        <w:rPr>
          <w:rStyle w:val="TextpoznpodarouChar"/>
        </w:rPr>
        <w:lastRenderedPageBreak/>
        <w:t>hylemorfické první substance</w:t>
      </w:r>
      <w:r>
        <w:rPr>
          <w:rStyle w:val="TextpoznpodarouChar"/>
        </w:rPr>
        <w:t>.</w:t>
      </w:r>
      <w:r w:rsidRPr="00171977">
        <w:rPr>
          <w:rStyle w:val="TextpoznpodarouChar"/>
        </w:rPr>
        <w:t xml:space="preserve"> </w:t>
      </w:r>
      <w:r w:rsidRPr="00273106">
        <w:rPr>
          <w:rStyle w:val="TextpoznpodarouChar"/>
        </w:rPr>
        <w:t xml:space="preserve">Navíc platí teze </w:t>
      </w:r>
      <w:r>
        <w:rPr>
          <w:rStyle w:val="TextpoznpodarouChar"/>
          <w:i/>
        </w:rPr>
        <w:t>De anima</w:t>
      </w:r>
      <w:r w:rsidRPr="00273106">
        <w:rPr>
          <w:rStyle w:val="TextpoznpodarouChar"/>
        </w:rPr>
        <w:t>, že materie patří jen k prvním substancím, a nikdy ne k univerzáliím daným v intelektu.</w:t>
      </w:r>
    </w:p>
    <w:p w:rsidR="08163013" w:rsidRDefault="08163013" w:rsidP="00D450B4">
      <w:pPr>
        <w:ind w:firstLine="397"/>
      </w:pPr>
      <w:r>
        <w:rPr>
          <w:rStyle w:val="TextpoznpodarouChar"/>
        </w:rPr>
        <w:t xml:space="preserve">Z předložené argumentace je jasné, že Sigerova škola měla v </w:t>
      </w:r>
      <w:proofErr w:type="gramStart"/>
      <w:r>
        <w:rPr>
          <w:rStyle w:val="TextpoznpodarouChar"/>
        </w:rPr>
        <w:t>Akvinském</w:t>
      </w:r>
      <w:proofErr w:type="gramEnd"/>
      <w:r>
        <w:rPr>
          <w:rStyle w:val="TextpoznpodarouChar"/>
        </w:rPr>
        <w:t xml:space="preserve"> za jeho prvního pobytu v Paříži silného příznivce, pokud nepočítáme jeho výklad averroistického Averroese. Siger při psaní QIIIDA považuje tohoto dominikána společně s Albertem za muže</w:t>
      </w:r>
      <w:r w:rsidR="080D4F22">
        <w:rPr>
          <w:rStyle w:val="TextpoznpodarouChar"/>
        </w:rPr>
        <w:t xml:space="preserve"> vynikající ve filosofii (kap. 4</w:t>
      </w:r>
      <w:r>
        <w:rPr>
          <w:rStyle w:val="TextpoznpodarouChar"/>
        </w:rPr>
        <w:t xml:space="preserve">.4.3). </w:t>
      </w:r>
      <w:r>
        <w:t xml:space="preserve">Citované komentáře Boethia a </w:t>
      </w:r>
      <w:r w:rsidRPr="08125373">
        <w:rPr>
          <w:i/>
        </w:rPr>
        <w:t>Quodlibeta</w:t>
      </w:r>
      <w:r>
        <w:t xml:space="preserve"> dokládají rozchod Akvinské</w:t>
      </w:r>
      <w:r w:rsidR="00662EB1">
        <w:t>ho se školou druhého averroismu</w:t>
      </w:r>
      <w:r>
        <w:t xml:space="preserve">. </w:t>
      </w:r>
      <w:r w:rsidR="004D7256">
        <w:t xml:space="preserve">Tomáš </w:t>
      </w:r>
      <w:r>
        <w:t>odjel z Paříže brzy po dosažení magisters</w:t>
      </w:r>
      <w:r w:rsidR="006E483B">
        <w:t>kého titulu teologie (asi 1256). S</w:t>
      </w:r>
      <w:r>
        <w:t xml:space="preserve">polu s Bonaventurou </w:t>
      </w:r>
      <w:r w:rsidR="006E483B">
        <w:t xml:space="preserve">byl </w:t>
      </w:r>
      <w:r>
        <w:t xml:space="preserve">přijat do konsorcia pařížských magistrů (1257). Po rozchodu s modernisty vzniká důležité teologické dílo </w:t>
      </w:r>
      <w:r>
        <w:rPr>
          <w:i/>
        </w:rPr>
        <w:t>Summa contra G</w:t>
      </w:r>
      <w:r w:rsidRPr="00657ED4">
        <w:rPr>
          <w:i/>
        </w:rPr>
        <w:t>entiles</w:t>
      </w:r>
      <w:r>
        <w:t xml:space="preserve"> </w:t>
      </w:r>
      <w:r w:rsidRPr="00273106">
        <w:t>(1261‒63)</w:t>
      </w:r>
      <w:r>
        <w:t>. Tento traktát je zásadně zaměřen proti problematickým důsledkům Avicennovy metafyziky v podání neoplatonské Toledské školy</w:t>
      </w:r>
      <w:r>
        <w:fldChar w:fldCharType="begin"/>
      </w:r>
      <w:r>
        <w:instrText xml:space="preserve"> XE "</w:instrText>
      </w:r>
      <w:r w:rsidRPr="081A50CD">
        <w:instrText>Toledská škola</w:instrText>
      </w:r>
      <w:r>
        <w:instrText xml:space="preserve">" </w:instrText>
      </w:r>
      <w:r>
        <w:fldChar w:fldCharType="end"/>
      </w:r>
      <w:r>
        <w:t>. Proti logické nutnosti a teorii komitace se zdůrazňuje boží tvoře</w:t>
      </w:r>
      <w:r w:rsidR="00F87D5D">
        <w:t xml:space="preserve">ní jako svobodná činnost, která </w:t>
      </w:r>
      <w:r>
        <w:t xml:space="preserve">vychází </w:t>
      </w:r>
      <w:r w:rsidR="00F87D5D">
        <w:t xml:space="preserve">od </w:t>
      </w:r>
      <w:r>
        <w:t xml:space="preserve">boha jako zcela oddělené první kauzy. </w:t>
      </w:r>
      <w:r>
        <w:rPr>
          <w:rStyle w:val="ref"/>
        </w:rPr>
        <w:t>K</w:t>
      </w:r>
      <w:r>
        <w:t xml:space="preserve">ritiku avicennovské emanace </w:t>
      </w:r>
      <w:r w:rsidRPr="00F74856">
        <w:t xml:space="preserve">Tomáš </w:t>
      </w:r>
      <w:r>
        <w:t>zopakoval během římského pobytu, kdy odmít</w:t>
      </w:r>
      <w:r w:rsidR="00F87D5D">
        <w:t>l</w:t>
      </w:r>
      <w:r>
        <w:t xml:space="preserve"> princip metafyzické a logické ekvivalence mezi účinkem a příčinou. Příčina má původní status bytí v realitě a touto nadřazeností v řádu bytí se liší od univočního vztahu mezi příčinou a účinkem daným v logické abstrakci.</w:t>
      </w:r>
      <w:r w:rsidRPr="00273106">
        <w:rPr>
          <w:rStyle w:val="Znakapoznpodarou"/>
        </w:rPr>
        <w:footnoteReference w:id="304"/>
      </w:r>
      <w:r>
        <w:t xml:space="preserve"> Obrana </w:t>
      </w:r>
      <w:r w:rsidR="081942A4">
        <w:t xml:space="preserve">metafyzického </w:t>
      </w:r>
      <w:r>
        <w:t>dativu</w:t>
      </w:r>
      <w:r>
        <w:fldChar w:fldCharType="begin"/>
      </w:r>
      <w:r>
        <w:instrText xml:space="preserve"> XE "</w:instrText>
      </w:r>
      <w:r w:rsidR="081942A4">
        <w:rPr>
          <w:i/>
        </w:rPr>
        <w:instrText>dativus metaphysi</w:instrText>
      </w:r>
      <w:r w:rsidRPr="08D56A03">
        <w:rPr>
          <w:i/>
        </w:rPr>
        <w:instrText>cus</w:instrText>
      </w:r>
      <w:r>
        <w:instrText xml:space="preserve">" </w:instrText>
      </w:r>
      <w:r>
        <w:fldChar w:fldCharType="end"/>
      </w:r>
      <w:r>
        <w:t xml:space="preserve"> znemožnila mytopoetiku modernistů, kteří díky logicky schopným Fúriím cirkulovali na žebříku</w:t>
      </w:r>
      <w:r>
        <w:fldChar w:fldCharType="begin"/>
      </w:r>
      <w:r>
        <w:instrText xml:space="preserve"> XE "</w:instrText>
      </w:r>
      <w:r w:rsidRPr="08DA5F95">
        <w:instrText>Jakubův žebřík</w:instrText>
      </w:r>
      <w:r>
        <w:instrText xml:space="preserve">" </w:instrText>
      </w:r>
      <w:r>
        <w:fldChar w:fldCharType="end"/>
      </w:r>
      <w:r>
        <w:t xml:space="preserve"> jsoucna nahoru a dolů</w:t>
      </w:r>
      <w:r w:rsidRPr="08C819D6">
        <w:t xml:space="preserve"> </w:t>
      </w:r>
      <w:r>
        <w:t xml:space="preserve">jako andělé a tehdy „exsistující“ moderní bůh. V aristotelismu cirkuluje vědecký intelekt díky determinaci z reality pouze jedním směrem, protože kauzalitu mají jen první substance. Z věčné boží intence jako absolutně jednoduché formy chápané v modu </w:t>
      </w:r>
      <w:r w:rsidR="00332BE2">
        <w:t xml:space="preserve">metafyzické </w:t>
      </w:r>
      <w:r>
        <w:t xml:space="preserve">abstrakce nelze dedukovat reálné účinky. Stvoření jako volní a gratuitní </w:t>
      </w:r>
      <w:r w:rsidRPr="00406C7E">
        <w:rPr>
          <w:i/>
        </w:rPr>
        <w:t>creatio ex nihilo</w:t>
      </w:r>
      <w:r>
        <w:t xml:space="preserve"> by přestalo platit, protože dedukce stvořeného jsoucna by běžela v řádu emanační nutnosti. Všemohoucnost logické dedukce byl a je typický omyl v modu </w:t>
      </w:r>
      <w:r w:rsidRPr="08FA31FD">
        <w:rPr>
          <w:i/>
        </w:rPr>
        <w:t>Oxfordian Fallacy</w:t>
      </w:r>
      <w:r>
        <w:t xml:space="preserve"> už od dob Grossetesteho (</w:t>
      </w:r>
      <w:r w:rsidR="08E46B01">
        <w:t>OBJ II, kap. 3</w:t>
      </w:r>
      <w:r>
        <w:t xml:space="preserve">.1.1). Podle </w:t>
      </w:r>
      <w:r w:rsidRPr="08A57D53">
        <w:rPr>
          <w:i/>
        </w:rPr>
        <w:t>Druhých analytik</w:t>
      </w:r>
      <w:r>
        <w:t xml:space="preserve"> je jasné, že kauzalita na úrovni prvních substancí není nutná logicky, ale pouze reálně-kauzálně. </w:t>
      </w:r>
      <w:r w:rsidRPr="00273106">
        <w:rPr>
          <w:rStyle w:val="TextpoznpodarouChar"/>
        </w:rPr>
        <w:t>První substance dané ve stvoření ukazují na boha jako zcela oddělenou substanci s plností bytí</w:t>
      </w:r>
      <w:r>
        <w:rPr>
          <w:rStyle w:val="TextpoznpodarouChar"/>
        </w:rPr>
        <w:t>, která jedná mimo naše poznání a logiku</w:t>
      </w:r>
      <w:r w:rsidRPr="00273106">
        <w:rPr>
          <w:rStyle w:val="TextpoznpodarouChar"/>
        </w:rPr>
        <w:t xml:space="preserve">. </w:t>
      </w:r>
      <w:r w:rsidRPr="081C2B94">
        <w:t>Ontoteologická stavba podle Avicennovy</w:t>
      </w:r>
      <w:r w:rsidRPr="00273106">
        <w:rPr>
          <w:rStyle w:val="TextpoznpodarouChar"/>
        </w:rPr>
        <w:t xml:space="preserve"> </w:t>
      </w:r>
      <w:r>
        <w:rPr>
          <w:rStyle w:val="TextpoznpodarouChar"/>
        </w:rPr>
        <w:t xml:space="preserve">komitační </w:t>
      </w:r>
      <w:r w:rsidRPr="00273106">
        <w:rPr>
          <w:rStyle w:val="TextpoznpodarouChar"/>
        </w:rPr>
        <w:t xml:space="preserve">metafyziky je </w:t>
      </w:r>
      <w:r w:rsidRPr="00273106">
        <w:rPr>
          <w:rStyle w:val="TextpoznpodarouChar"/>
        </w:rPr>
        <w:lastRenderedPageBreak/>
        <w:t>vyloučen</w:t>
      </w:r>
      <w:r>
        <w:rPr>
          <w:rStyle w:val="TextpoznpodarouChar"/>
        </w:rPr>
        <w:t>a pro křesťanskou teologii. M</w:t>
      </w:r>
      <w:r w:rsidRPr="00273106">
        <w:rPr>
          <w:rStyle w:val="TextpoznpodarouChar"/>
        </w:rPr>
        <w:t xml:space="preserve">ezi bohem a stvořením neexistuje žádné </w:t>
      </w:r>
      <w:r w:rsidRPr="00ED7FFA">
        <w:rPr>
          <w:rStyle w:val="TextpoznpodarouChar"/>
          <w:i/>
        </w:rPr>
        <w:t>tertium ens</w:t>
      </w:r>
      <w:r w:rsidRPr="00273106">
        <w:rPr>
          <w:rStyle w:val="TextpoznpodarouChar"/>
        </w:rPr>
        <w:t xml:space="preserve">, které by vytvořilo univoční strukturu </w:t>
      </w:r>
      <w:r>
        <w:rPr>
          <w:rStyle w:val="TextpoznpodarouChar"/>
        </w:rPr>
        <w:t>hypostázovaných komitací</w:t>
      </w:r>
      <w:r>
        <w:rPr>
          <w:rStyle w:val="TextpoznpodarouChar"/>
        </w:rPr>
        <w:fldChar w:fldCharType="begin"/>
      </w:r>
      <w:r>
        <w:instrText xml:space="preserve"> XE "</w:instrText>
      </w:r>
      <w:r w:rsidRPr="08894816">
        <w:rPr>
          <w:rStyle w:val="TextpoznpodarouChar"/>
        </w:rPr>
        <w:instrText>komitace</w:instrText>
      </w:r>
      <w:r>
        <w:instrText xml:space="preserve">" </w:instrText>
      </w:r>
      <w:r>
        <w:rPr>
          <w:rStyle w:val="TextpoznpodarouChar"/>
        </w:rPr>
        <w:fldChar w:fldCharType="end"/>
      </w:r>
      <w:r>
        <w:rPr>
          <w:rStyle w:val="TextpoznpodarouChar"/>
        </w:rPr>
        <w:t xml:space="preserve"> </w:t>
      </w:r>
      <w:r w:rsidRPr="00273106">
        <w:rPr>
          <w:rStyle w:val="TextpoznpodarouChar"/>
        </w:rPr>
        <w:t xml:space="preserve">na způsob druhého averroismu. </w:t>
      </w:r>
      <w:r>
        <w:rPr>
          <w:rStyle w:val="TextpoznpodarouChar"/>
        </w:rPr>
        <w:t>Akvinský zrušil projekci modernistů danou přenosem idejí z iluminátské mysli do boží psychologie. Bo</w:t>
      </w:r>
      <w:r w:rsidRPr="00273106">
        <w:rPr>
          <w:rStyle w:val="TextpoznpodarouChar"/>
        </w:rPr>
        <w:t>h</w:t>
      </w:r>
      <w:r>
        <w:rPr>
          <w:rStyle w:val="TextpoznpodarouChar"/>
        </w:rPr>
        <w:t xml:space="preserve">a je třeba </w:t>
      </w:r>
      <w:r>
        <w:t>striktně oddělit od stvoření. P</w:t>
      </w:r>
      <w:r w:rsidRPr="00273106">
        <w:t>roto není možný žádný objektivní koncept mezi ním a stvořením jako v ontotologii Bonaventury a později Dunse Scota</w:t>
      </w:r>
      <w:r>
        <w:t>.</w:t>
      </w:r>
      <w:r w:rsidRPr="0876114C">
        <w:t xml:space="preserve"> </w:t>
      </w:r>
      <w:r>
        <w:t>P</w:t>
      </w:r>
      <w:r w:rsidRPr="00273106">
        <w:t>ojetí stvoření jako nutné komita</w:t>
      </w:r>
      <w:r>
        <w:t>ce vyvolalo</w:t>
      </w:r>
      <w:r w:rsidRPr="00273106">
        <w:t xml:space="preserve"> zásadní útok </w:t>
      </w:r>
      <w:r>
        <w:t>Alberta, Bacona a Akvinského na jejich</w:t>
      </w:r>
      <w:r w:rsidRPr="00273106">
        <w:t xml:space="preserve"> současníky </w:t>
      </w:r>
      <w:r>
        <w:t>na</w:t>
      </w:r>
      <w:r w:rsidRPr="00273106">
        <w:t xml:space="preserve">zvané </w:t>
      </w:r>
      <w:r w:rsidRPr="00273106">
        <w:rPr>
          <w:i/>
        </w:rPr>
        <w:t>Latini</w:t>
      </w:r>
      <w:r w:rsidRPr="00273106">
        <w:t>, kteří ten</w:t>
      </w:r>
      <w:r>
        <w:t xml:space="preserve">to scénář vzali přímo z Avicennovy predikace </w:t>
      </w:r>
      <w:r w:rsidRPr="00F8234A">
        <w:rPr>
          <w:i/>
        </w:rPr>
        <w:t>in artificialibus</w:t>
      </w:r>
      <w:r>
        <w:rPr>
          <w:i/>
        </w:rPr>
        <w:fldChar w:fldCharType="begin"/>
      </w:r>
      <w:r>
        <w:instrText xml:space="preserve"> XE "</w:instrText>
      </w:r>
      <w:r w:rsidRPr="00584B3D">
        <w:instrText>predikace:</w:instrText>
      </w:r>
      <w:r w:rsidRPr="00584B3D">
        <w:rPr>
          <w:i/>
        </w:rPr>
        <w:instrText>in artificialibus</w:instrText>
      </w:r>
      <w:r>
        <w:instrText xml:space="preserve">" </w:instrText>
      </w:r>
      <w:r>
        <w:rPr>
          <w:i/>
        </w:rPr>
        <w:fldChar w:fldCharType="end"/>
      </w:r>
      <w:r>
        <w:t xml:space="preserve">. </w:t>
      </w:r>
      <w:r w:rsidRPr="00273106">
        <w:t xml:space="preserve">Emanace forem podle Avicennova pojetí </w:t>
      </w:r>
      <w:r w:rsidR="081C2B94">
        <w:t xml:space="preserve">představila </w:t>
      </w:r>
      <w:r w:rsidRPr="00273106">
        <w:t xml:space="preserve">boha jako </w:t>
      </w:r>
      <w:r>
        <w:t xml:space="preserve">činného kosmického intelektu v podobě </w:t>
      </w:r>
      <w:r w:rsidR="001342FE">
        <w:rPr>
          <w:i/>
        </w:rPr>
        <w:t>dator formarum</w:t>
      </w:r>
      <w:r>
        <w:rPr>
          <w:i/>
        </w:rPr>
        <w:fldChar w:fldCharType="begin"/>
      </w:r>
      <w:r>
        <w:instrText xml:space="preserve"> XE "</w:instrText>
      </w:r>
      <w:r w:rsidR="001342FE">
        <w:rPr>
          <w:i/>
        </w:rPr>
        <w:instrText>dator formarum</w:instrText>
      </w:r>
      <w:r>
        <w:instrText xml:space="preserve">" </w:instrText>
      </w:r>
      <w:r>
        <w:rPr>
          <w:i/>
        </w:rPr>
        <w:fldChar w:fldCharType="end"/>
      </w:r>
      <w:r w:rsidR="081C2B94">
        <w:t>. Avicennova definice modernistického boha ohrožuje</w:t>
      </w:r>
      <w:r w:rsidRPr="00273106">
        <w:t xml:space="preserve"> trinitární dogma, a tím i identitu osoby</w:t>
      </w:r>
      <w:r w:rsidR="081319F4">
        <w:t>. Boží bytí bylo spojeno se schématem p</w:t>
      </w:r>
      <w:r>
        <w:t xml:space="preserve">řirozeného poznání skrze oddělený kosmický </w:t>
      </w:r>
      <w:r>
        <w:rPr>
          <w:i/>
        </w:rPr>
        <w:t>intel</w:t>
      </w:r>
      <w:r w:rsidRPr="00136DB5">
        <w:rPr>
          <w:i/>
        </w:rPr>
        <w:t>l</w:t>
      </w:r>
      <w:r>
        <w:rPr>
          <w:i/>
        </w:rPr>
        <w:t>e</w:t>
      </w:r>
      <w:r w:rsidRPr="00136DB5">
        <w:rPr>
          <w:i/>
        </w:rPr>
        <w:t>ctus agens</w:t>
      </w:r>
      <w:r>
        <w:rPr>
          <w:i/>
        </w:rPr>
        <w:fldChar w:fldCharType="begin"/>
      </w:r>
      <w:r>
        <w:instrText xml:space="preserve"> XE "</w:instrText>
      </w:r>
      <w:r w:rsidRPr="00490D32">
        <w:rPr>
          <w:i/>
        </w:rPr>
        <w:instrText>intellectus agens:</w:instrText>
      </w:r>
      <w:r w:rsidRPr="00490D32">
        <w:instrText>neoplatonismus</w:instrText>
      </w:r>
      <w:r>
        <w:instrText xml:space="preserve">" </w:instrText>
      </w:r>
      <w:r>
        <w:rPr>
          <w:i/>
        </w:rPr>
        <w:fldChar w:fldCharType="end"/>
      </w:r>
      <w:r w:rsidRPr="00273106">
        <w:t>.</w:t>
      </w:r>
      <w:r>
        <w:t xml:space="preserve"> Smrt moderního boha je v tomto scénáři </w:t>
      </w:r>
      <w:r w:rsidR="08B14DA6">
        <w:t xml:space="preserve">zcela </w:t>
      </w:r>
      <w:r>
        <w:t>nevyhnutelná. A jak víme, modernisté na latinském Západě zvítězili</w:t>
      </w:r>
      <w:r w:rsidR="08C85AEE">
        <w:t xml:space="preserve"> a bůh </w:t>
      </w:r>
      <w:r w:rsidR="08C85AEE" w:rsidRPr="08C85AEE">
        <w:rPr>
          <w:i/>
        </w:rPr>
        <w:t>Modernorum</w:t>
      </w:r>
      <w:r w:rsidR="08F202CB">
        <w:t xml:space="preserve"> je mrtvý</w:t>
      </w:r>
      <w:r>
        <w:t xml:space="preserve">. První matrice ukázala, </w:t>
      </w:r>
      <w:r>
        <w:rPr>
          <w:rStyle w:val="TextpoznpodarouChar"/>
        </w:rPr>
        <w:t xml:space="preserve">že z podobné pozice jako Akvinský kritizoval Avicennu ve falsafě Al-Ghazálí a Averroes. </w:t>
      </w:r>
      <w:r>
        <w:t xml:space="preserve">Latinští </w:t>
      </w:r>
      <w:r>
        <w:rPr>
          <w:i/>
        </w:rPr>
        <w:t xml:space="preserve">Moderni </w:t>
      </w:r>
      <w:r w:rsidRPr="088C6B97">
        <w:t>z </w:t>
      </w:r>
      <w:r>
        <w:t>Oxf</w:t>
      </w:r>
      <w:r w:rsidRPr="088C6B97">
        <w:t>o</w:t>
      </w:r>
      <w:r>
        <w:t>r</w:t>
      </w:r>
      <w:r w:rsidRPr="088C6B97">
        <w:t xml:space="preserve">du </w:t>
      </w:r>
      <w:proofErr w:type="gramStart"/>
      <w:r w:rsidRPr="088C6B97">
        <w:t>navíc</w:t>
      </w:r>
      <w:r>
        <w:rPr>
          <w:i/>
        </w:rPr>
        <w:t xml:space="preserve"> </w:t>
      </w:r>
      <w:r>
        <w:t xml:space="preserve"> spojili</w:t>
      </w:r>
      <w:proofErr w:type="gramEnd"/>
      <w:r>
        <w:t xml:space="preserve"> emanaci forem </w:t>
      </w:r>
      <w:r w:rsidRPr="00273106">
        <w:t>(</w:t>
      </w:r>
      <w:r w:rsidRPr="00273106">
        <w:rPr>
          <w:i/>
        </w:rPr>
        <w:t>processio</w:t>
      </w:r>
      <w:r>
        <w:rPr>
          <w:i/>
        </w:rPr>
        <w:fldChar w:fldCharType="begin"/>
      </w:r>
      <w:r>
        <w:instrText xml:space="preserve"> XE "</w:instrText>
      </w:r>
      <w:r w:rsidRPr="00070355">
        <w:instrText>emanace</w:instrText>
      </w:r>
      <w:r>
        <w:instrText xml:space="preserve">" </w:instrText>
      </w:r>
      <w:r>
        <w:rPr>
          <w:i/>
        </w:rPr>
        <w:fldChar w:fldCharType="end"/>
      </w:r>
      <w:r w:rsidRPr="00273106">
        <w:t xml:space="preserve">) </w:t>
      </w:r>
      <w:r>
        <w:t xml:space="preserve">od kosmického činného intelektu s objektivně pojatou materií v modu univerzálního hylemorfismu. </w:t>
      </w:r>
      <w:r w:rsidRPr="00273106">
        <w:t>Druhý averroismus upravi</w:t>
      </w:r>
      <w:r>
        <w:t xml:space="preserve">l emanační </w:t>
      </w:r>
      <w:r w:rsidRPr="00273106">
        <w:t xml:space="preserve">schéma </w:t>
      </w:r>
      <w:r>
        <w:t>do objektivní boží intencionality</w:t>
      </w:r>
      <w:r w:rsidRPr="00273106">
        <w:t xml:space="preserve">, </w:t>
      </w:r>
      <w:r>
        <w:t xml:space="preserve">v níž intencionální </w:t>
      </w:r>
      <w:r w:rsidRPr="00273106">
        <w:t xml:space="preserve">poznání exemplarů nahradilo přímou emanaci forem. Viz Bonaventurovo a </w:t>
      </w:r>
      <w:r>
        <w:t>Pecham</w:t>
      </w:r>
      <w:r w:rsidRPr="00273106">
        <w:t xml:space="preserve">o </w:t>
      </w:r>
      <w:r w:rsidRPr="00273106">
        <w:rPr>
          <w:i/>
        </w:rPr>
        <w:t>similitudo</w:t>
      </w:r>
      <w:r w:rsidRPr="00273106">
        <w:t xml:space="preserve"> mezi bohem a stvořením, které druhý averroismus vzal univočně a objektivně podle Anselmova pojetí pravdy jako </w:t>
      </w:r>
      <w:r w:rsidRPr="00273106">
        <w:rPr>
          <w:i/>
        </w:rPr>
        <w:t>rectitudo</w:t>
      </w:r>
      <w:r w:rsidRPr="00273106">
        <w:t>.</w:t>
      </w:r>
      <w:r>
        <w:t xml:space="preserve"> </w:t>
      </w:r>
      <w:r w:rsidRPr="00273106">
        <w:rPr>
          <w:rStyle w:val="TextpoznpodarouChar"/>
        </w:rPr>
        <w:t xml:space="preserve">Tomáš </w:t>
      </w:r>
      <w:r>
        <w:rPr>
          <w:rStyle w:val="TextpoznpodarouChar"/>
        </w:rPr>
        <w:t xml:space="preserve">už během prvního pařížského pobytu zásadně odmítl </w:t>
      </w:r>
      <w:r w:rsidRPr="00273106">
        <w:rPr>
          <w:rStyle w:val="TextpoznpodarouChar"/>
        </w:rPr>
        <w:t>pojetí materie jako jsoucna třetího druhu</w:t>
      </w:r>
      <w:r w:rsidRPr="00273106">
        <w:t>.</w:t>
      </w:r>
      <w:r w:rsidRPr="00273106">
        <w:rPr>
          <w:rStyle w:val="Znakapoznpodarou"/>
        </w:rPr>
        <w:footnoteReference w:id="305"/>
      </w:r>
      <w:r w:rsidRPr="009C2A06">
        <w:rPr>
          <w:rStyle w:val="TextpoznpodarouChar"/>
        </w:rPr>
        <w:t xml:space="preserve"> </w:t>
      </w:r>
      <w:r w:rsidRPr="00273106">
        <w:t>Otázku objektivní emanace dané skrze Bonaventurovy objektivní formy jsoucna třetího druhu (</w:t>
      </w:r>
      <w:r w:rsidRPr="00273106">
        <w:rPr>
          <w:i/>
        </w:rPr>
        <w:t>rationes</w:t>
      </w:r>
      <w:r w:rsidRPr="00273106">
        <w:t xml:space="preserve"> </w:t>
      </w:r>
      <w:r w:rsidRPr="00273106">
        <w:rPr>
          <w:i/>
        </w:rPr>
        <w:t>exemplares</w:t>
      </w:r>
      <w:r w:rsidRPr="00273106">
        <w:t xml:space="preserve">, </w:t>
      </w:r>
      <w:r w:rsidRPr="00273106">
        <w:rPr>
          <w:i/>
        </w:rPr>
        <w:t>rationes seminales</w:t>
      </w:r>
      <w:r>
        <w:rPr>
          <w:i/>
        </w:rPr>
        <w:fldChar w:fldCharType="begin"/>
      </w:r>
      <w:r>
        <w:instrText xml:space="preserve"> XE "</w:instrText>
      </w:r>
      <w:r w:rsidRPr="00842B74">
        <w:rPr>
          <w:i/>
        </w:rPr>
        <w:instrText>rationes seminales</w:instrText>
      </w:r>
      <w:r>
        <w:instrText xml:space="preserve">" </w:instrText>
      </w:r>
      <w:r>
        <w:rPr>
          <w:i/>
        </w:rPr>
        <w:fldChar w:fldCharType="end"/>
      </w:r>
      <w:r w:rsidRPr="00273106">
        <w:t xml:space="preserve">) znovu řešily </w:t>
      </w:r>
      <w:r>
        <w:rPr>
          <w:i/>
        </w:rPr>
        <w:t>Quaestiones disputatae D</w:t>
      </w:r>
      <w:r w:rsidRPr="00273106">
        <w:rPr>
          <w:i/>
        </w:rPr>
        <w:t>e potentia</w:t>
      </w:r>
      <w:r>
        <w:t xml:space="preserve"> </w:t>
      </w:r>
      <w:r w:rsidRPr="00273106">
        <w:t xml:space="preserve">(1265‒66). Tomáš </w:t>
      </w:r>
      <w:r>
        <w:t xml:space="preserve">během prvního i druhého pobytu v Paříži zásadně </w:t>
      </w:r>
      <w:r w:rsidRPr="00273106">
        <w:t>odmítl univerzální hylemorfismus</w:t>
      </w:r>
      <w:r>
        <w:fldChar w:fldCharType="begin"/>
      </w:r>
      <w:r>
        <w:instrText xml:space="preserve"> XE "</w:instrText>
      </w:r>
      <w:r w:rsidRPr="005619B2">
        <w:instrText>univerzální hylemorfismus</w:instrText>
      </w:r>
      <w:r>
        <w:instrText xml:space="preserve">" </w:instrText>
      </w:r>
      <w:r>
        <w:fldChar w:fldCharType="end"/>
      </w:r>
      <w:r>
        <w:t>, protože zrušil klasickou metafyziku a na ní vybudovanou teologii</w:t>
      </w:r>
      <w:r w:rsidRPr="00273106">
        <w:t xml:space="preserve">. Látka je vždy vázaná na těleso, proto nemateriální substance </w:t>
      </w:r>
      <w:r>
        <w:t xml:space="preserve">a kosmické inteligence </w:t>
      </w:r>
      <w:r w:rsidRPr="00273106">
        <w:t>nejsou složené z látky.</w:t>
      </w:r>
      <w:r>
        <w:t xml:space="preserve"> </w:t>
      </w:r>
      <w:r w:rsidRPr="00273106">
        <w:t xml:space="preserve">Spor s druhým averroismem </w:t>
      </w:r>
      <w:r w:rsidRPr="00273106">
        <w:lastRenderedPageBreak/>
        <w:t xml:space="preserve">ohledně způsobu existence duchových bytostí řešily disputace </w:t>
      </w:r>
      <w:r w:rsidR="08830F0D">
        <w:rPr>
          <w:i/>
        </w:rPr>
        <w:t>Quaestiones disputatae D</w:t>
      </w:r>
      <w:r w:rsidRPr="00273106">
        <w:rPr>
          <w:i/>
        </w:rPr>
        <w:t>e spiritualibus creaturis</w:t>
      </w:r>
      <w:r w:rsidRPr="00273106">
        <w:t xml:space="preserve"> (1267‒68) a pozdní spis </w:t>
      </w:r>
      <w:r w:rsidRPr="00273106">
        <w:rPr>
          <w:i/>
        </w:rPr>
        <w:t>De substantiis separatis</w:t>
      </w:r>
      <w:r w:rsidRPr="00273106">
        <w:t xml:space="preserve"> (1272‒73). </w:t>
      </w:r>
      <w:r>
        <w:t xml:space="preserve">Akvinský nesouhlasil se </w:t>
      </w:r>
      <w:r w:rsidRPr="00273106">
        <w:t>základními teze</w:t>
      </w:r>
      <w:r>
        <w:t>mi druhého averroismu</w:t>
      </w:r>
      <w:r>
        <w:fldChar w:fldCharType="begin"/>
      </w:r>
      <w:r>
        <w:instrText xml:space="preserve"> XE "druhý averroismus</w:instrText>
      </w:r>
      <w:r w:rsidRPr="00BE0D98">
        <w:instrText>:kri</w:instrText>
      </w:r>
      <w:r>
        <w:instrText>ti</w:instrText>
      </w:r>
      <w:r w:rsidRPr="00BE0D98">
        <w:instrText>ka Akvinského</w:instrText>
      </w:r>
      <w:r>
        <w:instrText xml:space="preserve">" </w:instrText>
      </w:r>
      <w:r>
        <w:fldChar w:fldCharType="end"/>
      </w:r>
      <w:r>
        <w:t>. M</w:t>
      </w:r>
      <w:r w:rsidRPr="00273106">
        <w:t xml:space="preserve">oderní </w:t>
      </w:r>
      <w:r w:rsidRPr="00273106">
        <w:rPr>
          <w:i/>
        </w:rPr>
        <w:t>Nominales</w:t>
      </w:r>
      <w:r w:rsidRPr="00273106">
        <w:t xml:space="preserve"> mají primát bytí </w:t>
      </w:r>
      <w:r>
        <w:t>v es</w:t>
      </w:r>
      <w:r w:rsidRPr="00273106">
        <w:t>enci a formě, nikoliv v existenci první substance</w:t>
      </w:r>
      <w:r>
        <w:t>. Tím přestala platit klasická metafyzika. U</w:t>
      </w:r>
      <w:r w:rsidRPr="00273106">
        <w:t>nivoční pojetí esence znamená, že je vzata jak v ideálním, tak i v reálném významu</w:t>
      </w:r>
      <w:r>
        <w:t>. Tato sofistická směs první a druhé substance s</w:t>
      </w:r>
      <w:r w:rsidRPr="00273106">
        <w:t xml:space="preserve">upluje první substanci v rámci </w:t>
      </w:r>
      <w:r>
        <w:t xml:space="preserve">pochybné </w:t>
      </w:r>
      <w:r w:rsidRPr="00273106">
        <w:t>ontoteologické struktury metafyziky</w:t>
      </w:r>
      <w:r>
        <w:t xml:space="preserve"> arabských a židovských neoplatonských aristoteliků. Moderna zrušila křesťanskou teologii stvoření </w:t>
      </w:r>
      <w:r w:rsidRPr="08885A35">
        <w:rPr>
          <w:i/>
        </w:rPr>
        <w:t>ex nihilo</w:t>
      </w:r>
      <w:r>
        <w:rPr>
          <w:i/>
        </w:rPr>
        <w:fldChar w:fldCharType="begin"/>
      </w:r>
      <w:r>
        <w:instrText xml:space="preserve"> XE "</w:instrText>
      </w:r>
      <w:r w:rsidRPr="08EF5D77">
        <w:rPr>
          <w:i/>
        </w:rPr>
        <w:instrText>creatio ex nihilo</w:instrText>
      </w:r>
      <w:r>
        <w:instrText xml:space="preserve">" </w:instrText>
      </w:r>
      <w:r>
        <w:rPr>
          <w:i/>
        </w:rPr>
        <w:fldChar w:fldCharType="end"/>
      </w:r>
      <w:r>
        <w:t>, protože u</w:t>
      </w:r>
      <w:r w:rsidRPr="00273106">
        <w:t xml:space="preserve">nivocita funguje v první a exemplární sféře boží objektivity dané současně jako potence a aktualita. </w:t>
      </w:r>
      <w:r>
        <w:t>Akvinský odmítl dát do boha</w:t>
      </w:r>
      <w:r w:rsidRPr="087F714C">
        <w:t xml:space="preserve"> </w:t>
      </w:r>
      <w:r>
        <w:t xml:space="preserve">moderní mix potence a aktuality. Averroistickou směs kosmického činného a potenciálního intelektu dal o jedno patro dolů na úroveň stvořených kosmických inteligencí. Akvinský se přihlásil komentářem </w:t>
      </w:r>
      <w:r w:rsidRPr="00CA33E8">
        <w:rPr>
          <w:i/>
        </w:rPr>
        <w:t>Expositio super librum Boethii De trinitate</w:t>
      </w:r>
      <w:r>
        <w:t xml:space="preserve"> k Alvernově škole prvního averroismu</w:t>
      </w:r>
      <w:r w:rsidR="08613530">
        <w:t>,</w:t>
      </w:r>
      <w:r>
        <w:t xml:space="preserve"> jako to učinil Albert spisem </w:t>
      </w:r>
      <w:r w:rsidRPr="00A01485">
        <w:rPr>
          <w:i/>
        </w:rPr>
        <w:t>De homine</w:t>
      </w:r>
      <w:r>
        <w:t xml:space="preserve"> o dekádu dříve. Tomášova kritika ontoteologie avicennovských modernistů odpovídá Alvernově kritice </w:t>
      </w:r>
      <w:r w:rsidRPr="008657F0">
        <w:rPr>
          <w:i/>
        </w:rPr>
        <w:t>sequaces Aristotelis</w:t>
      </w:r>
      <w:r>
        <w:rPr>
          <w:i/>
        </w:rPr>
        <w:fldChar w:fldCharType="begin"/>
      </w:r>
      <w:r>
        <w:instrText xml:space="preserve"> XE "druhý averroismus:</w:instrText>
      </w:r>
      <w:r w:rsidRPr="00E33F0D">
        <w:rPr>
          <w:i/>
        </w:rPr>
        <w:instrText>sequaces Aristotelis</w:instrText>
      </w:r>
      <w:r>
        <w:instrText xml:space="preserve">" </w:instrText>
      </w:r>
      <w:r>
        <w:rPr>
          <w:i/>
        </w:rPr>
        <w:fldChar w:fldCharType="end"/>
      </w:r>
      <w:r>
        <w:t>. U</w:t>
      </w:r>
      <w:r w:rsidRPr="00273106">
        <w:t>nivočně pojatá materie druhého averroismu má individuační funkci také pro čistě duchové bytosti a kosmické inteligence</w:t>
      </w:r>
      <w:r w:rsidR="08613530">
        <w:t xml:space="preserve">. Toto pojetí </w:t>
      </w:r>
      <w:r>
        <w:t xml:space="preserve">zrušilo specifické postavení člověka v kosmu vázané na smyslový způsob poznání a existence. Tím je podle Tomáše ohroženo křesťanské pojetí člověka dané inkarnací, protože přestal být specifickou hylemorfickou substancí. </w:t>
      </w:r>
      <w:r w:rsidRPr="00273106">
        <w:t>Univoční poj</w:t>
      </w:r>
      <w:r>
        <w:t xml:space="preserve">etí materie </w:t>
      </w:r>
      <w:r w:rsidRPr="00273106">
        <w:t xml:space="preserve">vytvořilo ontoteologickou stavbu metafyziky </w:t>
      </w:r>
      <w:r>
        <w:t>jako pseudo</w:t>
      </w:r>
      <w:r>
        <w:noBreakHyphen/>
        <w:t xml:space="preserve">teologie, která </w:t>
      </w:r>
      <w:r w:rsidRPr="00273106">
        <w:t>zahrnu</w:t>
      </w:r>
      <w:r>
        <w:t>la do oboru poznání i samotného boha a jeho myšlení. Proto platí, že k</w:t>
      </w:r>
      <w:r w:rsidRPr="00273106">
        <w:t xml:space="preserve">aždá z těchto tezí ruší možnost </w:t>
      </w:r>
      <w:r>
        <w:t>aristotelského pojetí pravdy jako adekvace rozumu a věci.</w:t>
      </w:r>
    </w:p>
    <w:p w:rsidR="08163013" w:rsidRDefault="08163013" w:rsidP="08163013">
      <w:r>
        <w:tab/>
      </w:r>
      <w:r w:rsidRPr="00273106">
        <w:t xml:space="preserve">Proto se musel Tomáš průběžně zabývat i pojetím pravdy jako adekvace, kterou řešil </w:t>
      </w:r>
      <w:r>
        <w:t xml:space="preserve">od samého začátku </w:t>
      </w:r>
      <w:r w:rsidRPr="00273106">
        <w:t>s ohledem na Komentátorův výklad Aristotela.</w:t>
      </w:r>
      <w:r>
        <w:t xml:space="preserve"> Již v komentáři k první knize Sentencí Akvinský jasně odmítl Rufusovo </w:t>
      </w:r>
      <w:r w:rsidR="00092FA4">
        <w:t>„</w:t>
      </w:r>
      <w:r w:rsidRPr="00380D00">
        <w:rPr>
          <w:i/>
        </w:rPr>
        <w:t>concretum</w:t>
      </w:r>
      <w:r w:rsidR="00092FA4">
        <w:t>“</w:t>
      </w:r>
      <w:r>
        <w:rPr>
          <w:i/>
        </w:rPr>
        <w:fldChar w:fldCharType="begin"/>
      </w:r>
      <w:r>
        <w:instrText xml:space="preserve"> XE "</w:instrText>
      </w:r>
      <w:r w:rsidRPr="00B759F5">
        <w:rPr>
          <w:i/>
        </w:rPr>
        <w:instrText>concretum</w:instrText>
      </w:r>
      <w:r>
        <w:instrText xml:space="preserve">" </w:instrText>
      </w:r>
      <w:r>
        <w:rPr>
          <w:i/>
        </w:rPr>
        <w:fldChar w:fldCharType="end"/>
      </w:r>
      <w:r>
        <w:t xml:space="preserve"> jako avicennistické jsoucno třetího druhu s odvoláním na </w:t>
      </w:r>
      <w:r w:rsidR="002F50E8">
        <w:t>Averroesovo odmítnutí Avicenny</w:t>
      </w:r>
      <w:r>
        <w:t>.</w:t>
      </w:r>
      <w:r w:rsidRPr="00273106">
        <w:rPr>
          <w:rStyle w:val="Znakapoznpodarou"/>
        </w:rPr>
        <w:footnoteReference w:id="306"/>
      </w:r>
      <w:r w:rsidRPr="00273106">
        <w:t xml:space="preserve"> Akvinský odmítl </w:t>
      </w:r>
      <w:r w:rsidRPr="00273106">
        <w:lastRenderedPageBreak/>
        <w:t xml:space="preserve">jakoukoliv možnost </w:t>
      </w:r>
      <w:r w:rsidR="002F50E8">
        <w:t xml:space="preserve">přímého spojení </w:t>
      </w:r>
      <w:r w:rsidRPr="00273106">
        <w:t xml:space="preserve">slova s externí </w:t>
      </w:r>
      <w:r w:rsidR="005816F6">
        <w:t>realitou. Význam není dán v modu „</w:t>
      </w:r>
      <w:r w:rsidRPr="00273106">
        <w:rPr>
          <w:i/>
        </w:rPr>
        <w:t>concretive</w:t>
      </w:r>
      <w:r w:rsidR="005816F6">
        <w:t>“</w:t>
      </w:r>
      <w:r w:rsidRPr="00273106">
        <w:t xml:space="preserve"> jako u Avicenny a dále u Rufuse (</w:t>
      </w:r>
      <w:r w:rsidR="08356061">
        <w:t>OBJ II, kap. 3</w:t>
      </w:r>
      <w:r w:rsidRPr="00273106">
        <w:t xml:space="preserve">.3.3). </w:t>
      </w:r>
      <w:r>
        <w:t xml:space="preserve">Jsoucna třetího druhu nejsou možná, protože nemají jak být. </w:t>
      </w:r>
      <w:r w:rsidRPr="00273106">
        <w:t xml:space="preserve">Rufusovo univočně pojaté </w:t>
      </w:r>
      <w:r w:rsidR="00962190">
        <w:rPr>
          <w:i/>
        </w:rPr>
        <w:t>species</w:t>
      </w:r>
      <w:r w:rsidRPr="00273106">
        <w:t xml:space="preserve"> zrcadlilo realitu v objektivním modu </w:t>
      </w:r>
      <w:r w:rsidRPr="00273106">
        <w:rPr>
          <w:i/>
        </w:rPr>
        <w:t>rectitudo</w:t>
      </w:r>
      <w:r w:rsidRPr="00273106">
        <w:t>, protože bylo současně partikulární a univerzální.</w:t>
      </w:r>
      <w:r>
        <w:t xml:space="preserve"> Poznané </w:t>
      </w:r>
      <w:r w:rsidR="00962190">
        <w:rPr>
          <w:i/>
        </w:rPr>
        <w:t>species</w:t>
      </w:r>
      <w:r>
        <w:t xml:space="preserve"> podle Akvinského existuje pouze v mysli a nemůže být jsoucnem třetího druhu nazíraným v aktu moderní denudace reality na čisté formy. </w:t>
      </w:r>
      <w:r w:rsidRPr="00273106">
        <w:t>Intelekt nemůže poznat inteligibilní formy přímým náhledem do esence</w:t>
      </w:r>
      <w:r>
        <w:rPr>
          <w:i/>
        </w:rPr>
        <w:fldChar w:fldCharType="begin"/>
      </w:r>
      <w:r>
        <w:instrText xml:space="preserve"> XE "vidění:eidetické" </w:instrText>
      </w:r>
      <w:r>
        <w:rPr>
          <w:i/>
        </w:rPr>
        <w:fldChar w:fldCharType="end"/>
      </w:r>
      <w:r w:rsidRPr="00273106">
        <w:t>, ale pouze zprostředkovaně skrze smyslová fantasmata.</w:t>
      </w:r>
      <w:r>
        <w:t xml:space="preserve"> </w:t>
      </w:r>
      <w:r w:rsidRPr="00273106">
        <w:t>Tomáš tvrdil</w:t>
      </w:r>
      <w:r>
        <w:t xml:space="preserve"> v linii Alverna</w:t>
      </w:r>
      <w:r w:rsidRPr="00273106">
        <w:t>, že l</w:t>
      </w:r>
      <w:r w:rsidRPr="00273106">
        <w:rPr>
          <w:rStyle w:val="TextpoznpodarouChar"/>
        </w:rPr>
        <w:t xml:space="preserve">idské poznání se principiálně liší od poznání oddělených kosmických inteligencí definovaných skrze </w:t>
      </w:r>
      <w:r>
        <w:rPr>
          <w:rStyle w:val="TextpoznpodarouChar"/>
        </w:rPr>
        <w:t xml:space="preserve">plně </w:t>
      </w:r>
      <w:r w:rsidRPr="00273106">
        <w:rPr>
          <w:rStyle w:val="TextpoznpodarouChar"/>
        </w:rPr>
        <w:t xml:space="preserve">aktuální </w:t>
      </w:r>
      <w:r w:rsidRPr="00273106">
        <w:rPr>
          <w:rStyle w:val="TextpoznpodarouChar"/>
          <w:i/>
        </w:rPr>
        <w:t>intellectus agens</w:t>
      </w:r>
      <w:r>
        <w:rPr>
          <w:rStyle w:val="TextpoznpodarouChar"/>
          <w:i/>
        </w:rPr>
        <w:fldChar w:fldCharType="begin"/>
      </w:r>
      <w:r>
        <w:instrText xml:space="preserve"> XE "</w:instrText>
      </w:r>
      <w:r w:rsidRPr="00490D32">
        <w:rPr>
          <w:i/>
        </w:rPr>
        <w:instrText>intellectus agens:</w:instrText>
      </w:r>
      <w:r w:rsidRPr="008A1B87">
        <w:instrText>druhý averroismus</w:instrText>
      </w:r>
      <w:r>
        <w:instrText xml:space="preserve">" </w:instrText>
      </w:r>
      <w:r>
        <w:rPr>
          <w:rStyle w:val="TextpoznpodarouChar"/>
          <w:i/>
        </w:rPr>
        <w:fldChar w:fldCharType="end"/>
      </w:r>
      <w:r>
        <w:rPr>
          <w:rStyle w:val="TextpoznpodarouChar"/>
        </w:rPr>
        <w:t>. Tuto pozici dan</w:t>
      </w:r>
      <w:r w:rsidR="00913A69">
        <w:rPr>
          <w:rStyle w:val="TextpoznpodarouChar"/>
        </w:rPr>
        <w:t>ou</w:t>
      </w:r>
      <w:r w:rsidR="005D0D8A">
        <w:rPr>
          <w:rStyle w:val="TextpoznpodarouChar"/>
        </w:rPr>
        <w:t xml:space="preserve"> nasvícením zepředu, od smyslových</w:t>
      </w:r>
      <w:r>
        <w:rPr>
          <w:rStyle w:val="TextpoznpodarouChar"/>
        </w:rPr>
        <w:t xml:space="preserve"> první</w:t>
      </w:r>
      <w:r w:rsidR="005D0D8A">
        <w:rPr>
          <w:rStyle w:val="TextpoznpodarouChar"/>
        </w:rPr>
        <w:t>ch substancí,</w:t>
      </w:r>
      <w:r>
        <w:rPr>
          <w:rStyle w:val="TextpoznpodarouChar"/>
        </w:rPr>
        <w:t xml:space="preserve"> zásadně hájí komentář k Boethově spisu </w:t>
      </w:r>
      <w:r w:rsidRPr="083512C0">
        <w:rPr>
          <w:rStyle w:val="TextpoznpodarouChar"/>
          <w:i/>
        </w:rPr>
        <w:t>De trinitate</w:t>
      </w:r>
      <w:r>
        <w:rPr>
          <w:rStyle w:val="TextpoznpodarouChar"/>
        </w:rPr>
        <w:t>.</w:t>
      </w:r>
      <w:r w:rsidRPr="00273106">
        <w:rPr>
          <w:rStyle w:val="Znakapoznpodarou"/>
        </w:rPr>
        <w:footnoteReference w:id="307"/>
      </w:r>
      <w:r>
        <w:rPr>
          <w:rStyle w:val="TextpoznpodarouChar"/>
        </w:rPr>
        <w:t xml:space="preserve"> Intelekt abstrahuje pouze z reality (</w:t>
      </w:r>
      <w:r w:rsidRPr="002100AF">
        <w:rPr>
          <w:i/>
        </w:rPr>
        <w:t>intellectus communiter abstrahit a materia signata et condicionibus eius</w:t>
      </w:r>
      <w:r>
        <w:t xml:space="preserve">). Proto neexistuje žádná abstrahovaná či denudovaná materie třetího druhu, která by tvořila základ vědeckého </w:t>
      </w:r>
      <w:r w:rsidR="00D93AE1">
        <w:t xml:space="preserve">důkazu </w:t>
      </w:r>
      <w:r>
        <w:t>(</w:t>
      </w:r>
      <w:r w:rsidRPr="002100AF">
        <w:rPr>
          <w:i/>
        </w:rPr>
        <w:t>non autem a materia communi in scientia naturali</w:t>
      </w:r>
      <w:r>
        <w:rPr>
          <w:rStyle w:val="TextpoznpodarouChar"/>
        </w:rPr>
        <w:t>).</w:t>
      </w:r>
      <w:r w:rsidRPr="00273106">
        <w:rPr>
          <w:rStyle w:val="TextpoznpodarouChar"/>
        </w:rPr>
        <w:t xml:space="preserve"> Lidský intelekt je primárně pasivní a duše jako </w:t>
      </w:r>
      <w:r w:rsidRPr="00273106">
        <w:rPr>
          <w:rStyle w:val="TextpoznpodarouChar"/>
          <w:i/>
        </w:rPr>
        <w:t>tabula rasa</w:t>
      </w:r>
      <w:r>
        <w:rPr>
          <w:rStyle w:val="TextpoznpodarouChar"/>
          <w:i/>
        </w:rPr>
        <w:fldChar w:fldCharType="begin"/>
      </w:r>
      <w:r>
        <w:instrText xml:space="preserve"> XE "</w:instrText>
      </w:r>
      <w:r w:rsidRPr="00CE6D17">
        <w:rPr>
          <w:i/>
        </w:rPr>
        <w:instrText>tabula rasa</w:instrText>
      </w:r>
      <w:r>
        <w:instrText xml:space="preserve">" </w:instrText>
      </w:r>
      <w:r>
        <w:rPr>
          <w:rStyle w:val="TextpoznpodarouChar"/>
          <w:i/>
        </w:rPr>
        <w:fldChar w:fldCharType="end"/>
      </w:r>
      <w:r w:rsidRPr="00273106">
        <w:rPr>
          <w:rStyle w:val="TextpoznpodarouChar"/>
        </w:rPr>
        <w:t xml:space="preserve"> musí být determinována externí</w:t>
      </w:r>
      <w:r w:rsidR="00074F65">
        <w:rPr>
          <w:rStyle w:val="TextpoznpodarouChar"/>
        </w:rPr>
        <w:t>mi</w:t>
      </w:r>
      <w:r w:rsidRPr="00273106">
        <w:rPr>
          <w:rStyle w:val="TextpoznpodarouChar"/>
        </w:rPr>
        <w:t xml:space="preserve"> první</w:t>
      </w:r>
      <w:r w:rsidR="00074F65">
        <w:rPr>
          <w:rStyle w:val="TextpoznpodarouChar"/>
        </w:rPr>
        <w:t>mi</w:t>
      </w:r>
      <w:r w:rsidRPr="00273106">
        <w:rPr>
          <w:rStyle w:val="TextpoznpodarouChar"/>
        </w:rPr>
        <w:t xml:space="preserve"> substanc</w:t>
      </w:r>
      <w:r w:rsidR="00074F65">
        <w:rPr>
          <w:rStyle w:val="TextpoznpodarouChar"/>
        </w:rPr>
        <w:t>emi</w:t>
      </w:r>
      <w:r w:rsidRPr="00273106">
        <w:rPr>
          <w:rStyle w:val="TextpoznpodarouChar"/>
        </w:rPr>
        <w:t xml:space="preserve"> poznan</w:t>
      </w:r>
      <w:r w:rsidR="00074F65">
        <w:rPr>
          <w:rStyle w:val="TextpoznpodarouChar"/>
        </w:rPr>
        <w:t>ými</w:t>
      </w:r>
      <w:r w:rsidRPr="00273106">
        <w:rPr>
          <w:rStyle w:val="TextpoznpodarouChar"/>
        </w:rPr>
        <w:t xml:space="preserve"> nej</w:t>
      </w:r>
      <w:r>
        <w:rPr>
          <w:rStyle w:val="TextpoznpodarouChar"/>
        </w:rPr>
        <w:t>prve skrze smyslová fantasmata.</w:t>
      </w:r>
      <w:r w:rsidRPr="00273106">
        <w:t xml:space="preserve"> </w:t>
      </w:r>
      <w:r>
        <w:rPr>
          <w:rStyle w:val="TextpoznpodarouChar"/>
        </w:rPr>
        <w:t xml:space="preserve">Lidské poznání </w:t>
      </w:r>
      <w:r w:rsidRPr="00273106">
        <w:rPr>
          <w:rStyle w:val="TextpoznpodarouChar"/>
        </w:rPr>
        <w:t>je vázáno na proces abstrakce od hylemorfické první substance</w:t>
      </w:r>
      <w:r>
        <w:rPr>
          <w:rStyle w:val="TextpoznpodarouChar"/>
        </w:rPr>
        <w:t xml:space="preserve"> skrze </w:t>
      </w:r>
      <w:r w:rsidRPr="00390B74">
        <w:rPr>
          <w:rStyle w:val="TextpoznpodarouChar"/>
          <w:i/>
        </w:rPr>
        <w:t>intellectus possibilis</w:t>
      </w:r>
      <w:r w:rsidRPr="00273106">
        <w:rPr>
          <w:rStyle w:val="TextpoznpodarouChar"/>
        </w:rPr>
        <w:t>.</w:t>
      </w:r>
      <w:r>
        <w:rPr>
          <w:rStyle w:val="TextpoznpodarouChar"/>
        </w:rPr>
        <w:t xml:space="preserve"> </w:t>
      </w:r>
      <w:r>
        <w:t xml:space="preserve">Citovaná část Boethia ukazuje důvod, proč se na konci svých pařížských studií Akvinský rozešel se základním zaměřením Avicennovy metafyziky, která postuluje přímý náhled do </w:t>
      </w:r>
      <w:r w:rsidR="00962190">
        <w:rPr>
          <w:i/>
        </w:rPr>
        <w:t>species</w:t>
      </w:r>
      <w:r>
        <w:t xml:space="preserve"> třetího druhu. Akvinský v této době pochopil, že neoplatonismus Toledské školy</w:t>
      </w:r>
      <w:r>
        <w:fldChar w:fldCharType="begin"/>
      </w:r>
      <w:r>
        <w:instrText xml:space="preserve"> XE "</w:instrText>
      </w:r>
      <w:r w:rsidRPr="08BA1C24">
        <w:instrText>Toledská škola</w:instrText>
      </w:r>
      <w:r>
        <w:instrText xml:space="preserve">" </w:instrText>
      </w:r>
      <w:r>
        <w:fldChar w:fldCharType="end"/>
      </w:r>
      <w:r>
        <w:t xml:space="preserve"> stojí v rozporu se základními principy křesťanské teologie. Proto nakonec musel volit mezi metafyzikou Averroese a Avicenny, což ukazuje dílo </w:t>
      </w:r>
      <w:r w:rsidRPr="084540C6">
        <w:rPr>
          <w:i/>
        </w:rPr>
        <w:t>Summa contra Gentiles</w:t>
      </w:r>
      <w:r>
        <w:t xml:space="preserve"> obhajobou boha jako svobodné a oddělené </w:t>
      </w:r>
      <w:r w:rsidRPr="08265552">
        <w:rPr>
          <w:i/>
        </w:rPr>
        <w:t>causa prima</w:t>
      </w:r>
      <w:r w:rsidR="00387791">
        <w:t xml:space="preserve">. Stejný postoj má </w:t>
      </w:r>
      <w:r>
        <w:t xml:space="preserve">Averroesův velký komentář k </w:t>
      </w:r>
      <w:r w:rsidRPr="08DD07E2">
        <w:rPr>
          <w:i/>
        </w:rPr>
        <w:t>Fyzice</w:t>
      </w:r>
      <w:r>
        <w:t xml:space="preserve"> a k </w:t>
      </w:r>
      <w:r w:rsidRPr="081C17CE">
        <w:rPr>
          <w:i/>
        </w:rPr>
        <w:t>Metafyzice</w:t>
      </w:r>
      <w:r>
        <w:t xml:space="preserve">. </w:t>
      </w:r>
      <w:r w:rsidR="000462FB">
        <w:t xml:space="preserve">Během pařížského období </w:t>
      </w:r>
      <w:r>
        <w:t xml:space="preserve">Tomáš </w:t>
      </w:r>
      <w:r w:rsidR="000462FB">
        <w:t xml:space="preserve">hájil </w:t>
      </w:r>
      <w:r>
        <w:t>plnou konkordanci obou metafyzik</w:t>
      </w:r>
      <w:r w:rsidR="000462FB">
        <w:t xml:space="preserve">. Na konci tohoto období se </w:t>
      </w:r>
      <w:r>
        <w:t>jednoznačně přiklonil k metafyzice Komentátora, kterou ale převed</w:t>
      </w:r>
      <w:r w:rsidR="000462FB">
        <w:t xml:space="preserve">l na tomistický aristotelismus. </w:t>
      </w:r>
      <w:r w:rsidRPr="00273106">
        <w:t xml:space="preserve">Boha poznáme přirozeným rozumem jako první příčinu v řádu </w:t>
      </w:r>
      <w:r w:rsidRPr="00273106">
        <w:lastRenderedPageBreak/>
        <w:t>stvořitelské kauzality,</w:t>
      </w:r>
      <w:r>
        <w:t xml:space="preserve"> proto objektivně nevidíme do jeho psychologie a mysli</w:t>
      </w:r>
      <w:r w:rsidRPr="00273106">
        <w:t xml:space="preserve">. Stvoření tvoří základní princip bytí a poznání daného </w:t>
      </w:r>
      <w:r w:rsidRPr="00273106">
        <w:rPr>
          <w:i/>
        </w:rPr>
        <w:t>per prius</w:t>
      </w:r>
      <w:r w:rsidRPr="00273106">
        <w:t xml:space="preserve">. Cesty rozumu k bohu dané skrze kauzalitu poznatelnou ve stvoření </w:t>
      </w:r>
      <w:r>
        <w:t xml:space="preserve">představují jediné možné </w:t>
      </w:r>
      <w:r w:rsidRPr="00273106">
        <w:t>vědeck</w:t>
      </w:r>
      <w:r>
        <w:t xml:space="preserve">é poznání boha </w:t>
      </w:r>
      <w:r w:rsidRPr="00273106">
        <w:t xml:space="preserve">podle </w:t>
      </w:r>
      <w:r w:rsidRPr="08644A91">
        <w:rPr>
          <w:i/>
        </w:rPr>
        <w:t>Druhých analytik</w:t>
      </w:r>
      <w:r w:rsidRPr="00273106">
        <w:t xml:space="preserve">. Naše poznání tvoří </w:t>
      </w:r>
      <w:r w:rsidRPr="00273106">
        <w:rPr>
          <w:i/>
        </w:rPr>
        <w:t>medium</w:t>
      </w:r>
      <w:r>
        <w:rPr>
          <w:i/>
        </w:rPr>
        <w:fldChar w:fldCharType="begin"/>
      </w:r>
      <w:r>
        <w:instrText xml:space="preserve"> XE "</w:instrText>
      </w:r>
      <w:r w:rsidRPr="001618A5">
        <w:rPr>
          <w:i/>
        </w:rPr>
        <w:instrText>medium:</w:instrText>
      </w:r>
      <w:r w:rsidRPr="001618A5">
        <w:instrText>A</w:instrText>
      </w:r>
      <w:r>
        <w:instrText xml:space="preserve">kvinský" </w:instrText>
      </w:r>
      <w:r>
        <w:rPr>
          <w:i/>
        </w:rPr>
        <w:fldChar w:fldCharType="end"/>
      </w:r>
      <w:r w:rsidRPr="00273106">
        <w:t xml:space="preserve"> </w:t>
      </w:r>
      <w:r w:rsidR="000B7699">
        <w:t xml:space="preserve">syllogismu </w:t>
      </w:r>
      <w:r w:rsidRPr="00273106">
        <w:t xml:space="preserve">díky </w:t>
      </w:r>
      <w:r>
        <w:t xml:space="preserve">reálné kauzalitě </w:t>
      </w:r>
      <w:r w:rsidR="000B7699">
        <w:t xml:space="preserve">prvních </w:t>
      </w:r>
      <w:r w:rsidRPr="00273106">
        <w:t>sub</w:t>
      </w:r>
      <w:r w:rsidR="000B7699">
        <w:t>stancí</w:t>
      </w:r>
      <w:r w:rsidRPr="00273106">
        <w:t>. Tím pádem mají cesty rozumu k První příčině vědeckou platnost a zároveň vylučují univocitu jakéhokoliv společného konceptu jsoucna</w:t>
      </w:r>
      <w:r>
        <w:t xml:space="preserve"> mezi bohem a člověkem</w:t>
      </w:r>
      <w:r w:rsidRPr="00273106">
        <w:t xml:space="preserve">. </w:t>
      </w:r>
      <w:r w:rsidRPr="08A87BC2">
        <w:t xml:space="preserve">Toto pojetí </w:t>
      </w:r>
      <w:proofErr w:type="gramStart"/>
      <w:r w:rsidRPr="08A87BC2">
        <w:t>odpovídá</w:t>
      </w:r>
      <w:proofErr w:type="gramEnd"/>
      <w:r w:rsidRPr="08A87BC2">
        <w:t xml:space="preserve"> pojmu </w:t>
      </w:r>
      <w:proofErr w:type="gramStart"/>
      <w:r w:rsidRPr="08A87BC2">
        <w:rPr>
          <w:i/>
        </w:rPr>
        <w:t>dal</w:t>
      </w:r>
      <w:proofErr w:type="gramEnd"/>
      <w:r w:rsidRPr="08A87BC2">
        <w:rPr>
          <w:i/>
        </w:rPr>
        <w:t>ā'il</w:t>
      </w:r>
      <w:r w:rsidRPr="08A87BC2">
        <w:rPr>
          <w:i/>
        </w:rPr>
        <w:fldChar w:fldCharType="begin"/>
      </w:r>
      <w:r w:rsidRPr="08A87BC2">
        <w:rPr>
          <w:i/>
        </w:rPr>
        <w:instrText xml:space="preserve"> XE "dalā'il" </w:instrText>
      </w:r>
      <w:r w:rsidRPr="08A87BC2">
        <w:rPr>
          <w:i/>
        </w:rPr>
        <w:fldChar w:fldCharType="end"/>
      </w:r>
      <w:r w:rsidRPr="08A87BC2">
        <w:rPr>
          <w:i/>
        </w:rPr>
        <w:t xml:space="preserve"> </w:t>
      </w:r>
      <w:r w:rsidRPr="08A87BC2">
        <w:t xml:space="preserve">v Averroesově metafyzice, které bránil i Sigerův výklad </w:t>
      </w:r>
      <w:r w:rsidRPr="08A87BC2">
        <w:rPr>
          <w:i/>
        </w:rPr>
        <w:t>De anima</w:t>
      </w:r>
      <w:r w:rsidRPr="08A87BC2">
        <w:t xml:space="preserve"> </w:t>
      </w:r>
      <w:r w:rsidR="08A87BC2">
        <w:t>(kap. 4</w:t>
      </w:r>
      <w:r w:rsidRPr="08A87BC2">
        <w:t>.4.1).</w:t>
      </w:r>
      <w:r w:rsidRPr="082F567C">
        <w:rPr>
          <w:rStyle w:val="ZkladntextKurzvadkovn0pt"/>
          <w:rFonts w:eastAsia="Times"/>
          <w:i w:val="0"/>
          <w:iCs w:val="0"/>
          <w:lang w:val="cs-CZ"/>
        </w:rPr>
        <w:t xml:space="preserve"> </w:t>
      </w:r>
      <w:r w:rsidRPr="00273106">
        <w:t xml:space="preserve">Celý souhrn Tomášova učení </w:t>
      </w:r>
      <w:r>
        <w:t xml:space="preserve">v otázce nasvícení jsoucna zepředu od reálné první substance </w:t>
      </w:r>
      <w:r w:rsidRPr="00273106">
        <w:t>ukazuje integrální pojetí prvního averroismu, které zůstalo nezměněno i v pozdějších dílech.</w:t>
      </w:r>
    </w:p>
    <w:p w:rsidR="00297009" w:rsidRDefault="08163013" w:rsidP="00297009">
      <w:r>
        <w:tab/>
        <w:t xml:space="preserve">Hermeneutika datuje novou etapu tomismu do půlročního pobytu v papežském Orviettu (podzim 1262 ‒ únor 1263), kde byl v téže době i Albert. Akvinský měl možnost podrobně poznat Albertův výklad poznání podle CMDA a jeho kritiku </w:t>
      </w:r>
      <w:r w:rsidRPr="081147A6">
        <w:rPr>
          <w:i/>
        </w:rPr>
        <w:t>Modernorum</w:t>
      </w:r>
      <w:r>
        <w:fldChar w:fldCharType="begin"/>
      </w:r>
      <w:r>
        <w:instrText xml:space="preserve"> XE "</w:instrText>
      </w:r>
      <w:r w:rsidRPr="001D4E02">
        <w:instrText>metafyzika:Akvinský</w:instrText>
      </w:r>
      <w:r>
        <w:instrText xml:space="preserve">" </w:instrText>
      </w:r>
      <w:r>
        <w:fldChar w:fldCharType="end"/>
      </w:r>
      <w:r>
        <w:t xml:space="preserve">. Po tomto období se Tomáš definitivně rozchází s Avicennovým schématem poznání a přebírá Aristotelovo </w:t>
      </w:r>
      <w:r w:rsidRPr="00273106">
        <w:t xml:space="preserve">pojetí </w:t>
      </w:r>
      <w:r>
        <w:t xml:space="preserve">v </w:t>
      </w:r>
      <w:proofErr w:type="gramStart"/>
      <w:r w:rsidRPr="08050929">
        <w:rPr>
          <w:i/>
        </w:rPr>
        <w:t>De</w:t>
      </w:r>
      <w:proofErr w:type="gramEnd"/>
      <w:r w:rsidRPr="08050929">
        <w:rPr>
          <w:i/>
        </w:rPr>
        <w:t xml:space="preserve"> anima </w:t>
      </w:r>
      <w:r w:rsidRPr="00273106">
        <w:t>v</w:t>
      </w:r>
      <w:r>
        <w:t>ázané na receptivní a syntetický intelekt, který</w:t>
      </w:r>
      <w:r w:rsidRPr="00273106">
        <w:t xml:space="preserve"> patří jen člověku. </w:t>
      </w:r>
      <w:r>
        <w:t xml:space="preserve">Tuto změnu potvrzuje </w:t>
      </w:r>
      <w:r>
        <w:rPr>
          <w:i/>
        </w:rPr>
        <w:t>Summa contra G</w:t>
      </w:r>
      <w:r w:rsidRPr="08E834F0">
        <w:rPr>
          <w:i/>
        </w:rPr>
        <w:t>entiles</w:t>
      </w:r>
      <w:r>
        <w:t>, v níž Tomáš s odkazem na výklad Averroese v Blundově škole o</w:t>
      </w:r>
      <w:r w:rsidRPr="00273106">
        <w:t xml:space="preserve">ddělil </w:t>
      </w:r>
      <w:r>
        <w:t xml:space="preserve">z lidského poznání avicennistickou </w:t>
      </w:r>
      <w:r w:rsidRPr="00273106">
        <w:rPr>
          <w:i/>
        </w:rPr>
        <w:t>vis aestimativa</w:t>
      </w:r>
      <w:r>
        <w:rPr>
          <w:i/>
        </w:rPr>
        <w:fldChar w:fldCharType="begin"/>
      </w:r>
      <w:r>
        <w:instrText xml:space="preserve"> XE "</w:instrText>
      </w:r>
      <w:r w:rsidRPr="00C34A1D">
        <w:rPr>
          <w:i/>
        </w:rPr>
        <w:instrText>vis aestimativa</w:instrText>
      </w:r>
      <w:r>
        <w:instrText xml:space="preserve">" </w:instrText>
      </w:r>
      <w:r>
        <w:rPr>
          <w:i/>
        </w:rPr>
        <w:fldChar w:fldCharType="end"/>
      </w:r>
      <w:r w:rsidRPr="00273106">
        <w:t xml:space="preserve"> jako pouze zvířecí schopnost a </w:t>
      </w:r>
      <w:r w:rsidRPr="00273106">
        <w:rPr>
          <w:i/>
        </w:rPr>
        <w:t>intentio</w:t>
      </w:r>
      <w:r w:rsidRPr="00273106">
        <w:t xml:space="preserve"> chápe v rámci nemateriálního </w:t>
      </w:r>
      <w:r w:rsidRPr="00273106">
        <w:rPr>
          <w:i/>
        </w:rPr>
        <w:t>intellectus possibilis</w:t>
      </w:r>
      <w:r>
        <w:rPr>
          <w:i/>
        </w:rPr>
        <w:fldChar w:fldCharType="begin"/>
      </w:r>
      <w:r>
        <w:instrText xml:space="preserve"> XE "</w:instrText>
      </w:r>
      <w:r w:rsidRPr="00770D02">
        <w:rPr>
          <w:i/>
        </w:rPr>
        <w:instrText>intellectus possibilis</w:instrText>
      </w:r>
      <w:r>
        <w:instrText xml:space="preserve">:Akvinský" </w:instrText>
      </w:r>
      <w:r>
        <w:rPr>
          <w:i/>
        </w:rPr>
        <w:fldChar w:fldCharType="end"/>
      </w:r>
      <w:r w:rsidRPr="00273106">
        <w:t>, tj. v podobě indi</w:t>
      </w:r>
      <w:r>
        <w:t>viduální syntézy inteligibilních</w:t>
      </w:r>
      <w:r w:rsidRPr="00273106">
        <w:t xml:space="preserve"> </w:t>
      </w:r>
      <w:r w:rsidR="00962190">
        <w:rPr>
          <w:i/>
        </w:rPr>
        <w:t>species</w:t>
      </w:r>
      <w:r w:rsidRPr="00273106">
        <w:t>.</w:t>
      </w:r>
      <w:r w:rsidRPr="00273106">
        <w:rPr>
          <w:rStyle w:val="Znakapoznpodarou"/>
        </w:rPr>
        <w:footnoteReference w:id="308"/>
      </w:r>
      <w:r>
        <w:t xml:space="preserve"> </w:t>
      </w:r>
      <w:r w:rsidRPr="00273106">
        <w:t xml:space="preserve">Akvinský za římského pobytu </w:t>
      </w:r>
      <w:r>
        <w:t>přiz</w:t>
      </w:r>
      <w:r w:rsidRPr="00273106">
        <w:t xml:space="preserve">působil pojetí metafyziky podle Alberta, ale odmítl </w:t>
      </w:r>
      <w:r>
        <w:t xml:space="preserve">jeho </w:t>
      </w:r>
      <w:r w:rsidRPr="00273106">
        <w:t xml:space="preserve">pozitivní přijetí CMDA. </w:t>
      </w:r>
      <w:r>
        <w:t>S</w:t>
      </w:r>
      <w:r w:rsidRPr="00273106">
        <w:t xml:space="preserve">yntéza skrytá v pojmu </w:t>
      </w:r>
      <w:r w:rsidRPr="00273106">
        <w:rPr>
          <w:i/>
        </w:rPr>
        <w:t>intellectus speculativus</w:t>
      </w:r>
      <w:r>
        <w:rPr>
          <w:i/>
        </w:rPr>
        <w:fldChar w:fldCharType="begin"/>
      </w:r>
      <w:r>
        <w:instrText xml:space="preserve"> XE "</w:instrText>
      </w:r>
      <w:r>
        <w:rPr>
          <w:i/>
        </w:rPr>
        <w:instrText>intellectus speculativus</w:instrText>
      </w:r>
      <w:r>
        <w:instrText xml:space="preserve">" </w:instrText>
      </w:r>
      <w:r>
        <w:rPr>
          <w:i/>
        </w:rPr>
        <w:fldChar w:fldCharType="end"/>
      </w:r>
      <w:r w:rsidRPr="00273106">
        <w:t xml:space="preserve"> podle CMDA </w:t>
      </w:r>
      <w:r w:rsidR="00204D87" w:rsidRPr="00273106">
        <w:t>(</w:t>
      </w:r>
      <w:r w:rsidR="00204D87">
        <w:t>OBJ II, kap. 2</w:t>
      </w:r>
      <w:r w:rsidR="00204D87" w:rsidRPr="00273106">
        <w:t>.4.2)</w:t>
      </w:r>
      <w:r w:rsidR="00204D87">
        <w:t xml:space="preserve"> </w:t>
      </w:r>
      <w:r w:rsidRPr="00273106">
        <w:t xml:space="preserve">pomohla Albertovi vyřešit otázku jednoty intelektu zhruba </w:t>
      </w:r>
      <w:r>
        <w:t xml:space="preserve">o dvě desetiletí dříve, než to učinil </w:t>
      </w:r>
      <w:r w:rsidRPr="00273106">
        <w:t xml:space="preserve">Siger </w:t>
      </w:r>
      <w:r w:rsidR="00204D87">
        <w:t>brilantní interpretací CMDA</w:t>
      </w:r>
      <w:r w:rsidRPr="00273106">
        <w:t xml:space="preserve">. Tomáš </w:t>
      </w:r>
      <w:r>
        <w:t xml:space="preserve">ale </w:t>
      </w:r>
      <w:r w:rsidRPr="00273106">
        <w:t xml:space="preserve">přijal Albertovo pojetí </w:t>
      </w:r>
      <w:r>
        <w:t xml:space="preserve">pravdy jako Averroesova </w:t>
      </w:r>
      <w:r w:rsidRPr="00273106">
        <w:rPr>
          <w:i/>
        </w:rPr>
        <w:t>consimilitudo</w:t>
      </w:r>
      <w:r>
        <w:rPr>
          <w:i/>
        </w:rPr>
        <w:fldChar w:fldCharType="begin"/>
      </w:r>
      <w:r>
        <w:instrText xml:space="preserve"> XE "pravda:</w:instrText>
      </w:r>
      <w:r w:rsidRPr="00B65078">
        <w:rPr>
          <w:i/>
        </w:rPr>
        <w:instrText>consimilitudo</w:instrText>
      </w:r>
      <w:r>
        <w:instrText xml:space="preserve">" </w:instrText>
      </w:r>
      <w:r>
        <w:rPr>
          <w:i/>
        </w:rPr>
        <w:fldChar w:fldCharType="end"/>
      </w:r>
      <w:r>
        <w:t xml:space="preserve"> </w:t>
      </w:r>
      <w:r w:rsidRPr="00273106">
        <w:t>a tím optoval pro aristotels</w:t>
      </w:r>
      <w:r>
        <w:t>ké pojetí první vědy jako „meta</w:t>
      </w:r>
      <w:r>
        <w:noBreakHyphen/>
      </w:r>
      <w:r w:rsidRPr="00273106">
        <w:t xml:space="preserve">fyziky“ </w:t>
      </w:r>
      <w:r>
        <w:t>napojené na adekvační teorii pravdy</w:t>
      </w:r>
      <w:r w:rsidRPr="00273106">
        <w:t xml:space="preserve">. </w:t>
      </w:r>
      <w:r>
        <w:t xml:space="preserve">I on uznal, že </w:t>
      </w:r>
      <w:r w:rsidRPr="00273106">
        <w:t xml:space="preserve">Avicennův </w:t>
      </w:r>
      <w:r w:rsidRPr="00273106">
        <w:lastRenderedPageBreak/>
        <w:t>projekt metafyziky není dostatečně vědecký, protož</w:t>
      </w:r>
      <w:r>
        <w:t>e trpí hypertrofií esence vzatou</w:t>
      </w:r>
      <w:r w:rsidRPr="00273106">
        <w:t xml:space="preserve"> mimo první substanci. </w:t>
      </w:r>
      <w:r>
        <w:t xml:space="preserve">Metafyzika nemůže </w:t>
      </w:r>
      <w:r w:rsidRPr="00273106">
        <w:t xml:space="preserve">vyjít z abstraktně pojatého </w:t>
      </w:r>
      <w:r w:rsidRPr="00273106">
        <w:rPr>
          <w:i/>
        </w:rPr>
        <w:t>ens commune</w:t>
      </w:r>
      <w:r w:rsidRPr="00273106">
        <w:t>, ale pouz</w:t>
      </w:r>
      <w:r>
        <w:t>e z existující první substance</w:t>
      </w:r>
      <w:r>
        <w:fldChar w:fldCharType="begin"/>
      </w:r>
      <w:r>
        <w:instrText xml:space="preserve"> XE "</w:instrText>
      </w:r>
      <w:r w:rsidRPr="00DE2A32">
        <w:instrText>substance</w:instrText>
      </w:r>
      <w:r>
        <w:instrText xml:space="preserve">:první" </w:instrText>
      </w:r>
      <w:r>
        <w:fldChar w:fldCharType="end"/>
      </w:r>
      <w:r>
        <w:t xml:space="preserve">. </w:t>
      </w:r>
      <w:r w:rsidRPr="00273106">
        <w:t xml:space="preserve">To nechtěl vidět a dodnes nevidí druhý averroismus </w:t>
      </w:r>
      <w:r w:rsidRPr="00273106">
        <w:rPr>
          <w:i/>
        </w:rPr>
        <w:t>Modernorum</w:t>
      </w:r>
      <w:r w:rsidRPr="00273106">
        <w:t xml:space="preserve">. Proto Akvinský </w:t>
      </w:r>
      <w:r>
        <w:t xml:space="preserve">přijal již v komentáři k Sentencím </w:t>
      </w:r>
      <w:r w:rsidR="004E2477">
        <w:t>teorii poznání podle Averroesovy</w:t>
      </w:r>
      <w:r>
        <w:t xml:space="preserve"> meta</w:t>
      </w:r>
      <w:r w:rsidR="004E2477">
        <w:t xml:space="preserve">fyziky, který je </w:t>
      </w:r>
      <w:r>
        <w:t>založen</w:t>
      </w:r>
      <w:r w:rsidR="004E2477">
        <w:t>a</w:t>
      </w:r>
      <w:r>
        <w:t xml:space="preserve"> na </w:t>
      </w:r>
      <w:r w:rsidR="004E2477">
        <w:t>poznání aktuální oddělených</w:t>
      </w:r>
      <w:r w:rsidRPr="00273106">
        <w:t xml:space="preserve"> </w:t>
      </w:r>
      <w:r>
        <w:t>první</w:t>
      </w:r>
      <w:r w:rsidR="004E2477">
        <w:t>ch</w:t>
      </w:r>
      <w:r>
        <w:t xml:space="preserve"> </w:t>
      </w:r>
      <w:r w:rsidR="004E2477">
        <w:t xml:space="preserve">substancí. Ty </w:t>
      </w:r>
      <w:r>
        <w:t>poznáváme skrze jej</w:t>
      </w:r>
      <w:r w:rsidR="004E2477">
        <w:t xml:space="preserve">ich </w:t>
      </w:r>
      <w:r>
        <w:t>reálné kauzální působení na smysly</w:t>
      </w:r>
      <w:r w:rsidRPr="00273106">
        <w:t xml:space="preserve">. </w:t>
      </w:r>
      <w:r>
        <w:t>Tím je možné vybudovat vědecké poznání boha přirozeným rozumem daným působením první příčiny</w:t>
      </w:r>
      <w:r w:rsidR="00E8319D">
        <w:t xml:space="preserve">. Ta je vázána </w:t>
      </w:r>
      <w:r>
        <w:t xml:space="preserve">na reálnou (ale pro nás v tomto modu nepoznatelnou) substanci Nehybného hybatele z </w:t>
      </w:r>
      <w:r w:rsidRPr="08CC4FFD">
        <w:rPr>
          <w:i/>
        </w:rPr>
        <w:t>Metafyziky</w:t>
      </w:r>
      <w:r w:rsidR="00E8319D">
        <w:t>, kniha</w:t>
      </w:r>
      <w:r>
        <w:t xml:space="preserve"> </w:t>
      </w:r>
      <w:r w:rsidRPr="00E8319D">
        <w:rPr>
          <w:i/>
        </w:rPr>
        <w:t>Lambda</w:t>
      </w:r>
      <w:r>
        <w:t xml:space="preserve">. </w:t>
      </w:r>
      <w:r w:rsidRPr="00273106">
        <w:t xml:space="preserve">Hermeneutika rozlišuje v díle </w:t>
      </w:r>
      <w:r>
        <w:t xml:space="preserve">pozdního </w:t>
      </w:r>
      <w:r w:rsidRPr="00273106">
        <w:t>Akvinského dvě perspektivy metafyzického náhledu</w:t>
      </w:r>
      <w:r>
        <w:t xml:space="preserve"> (</w:t>
      </w:r>
      <w:r w:rsidRPr="00026EA6">
        <w:rPr>
          <w:i/>
        </w:rPr>
        <w:t>resolutio</w:t>
      </w:r>
      <w:r>
        <w:rPr>
          <w:i/>
        </w:rPr>
        <w:fldChar w:fldCharType="begin"/>
      </w:r>
      <w:r>
        <w:instrText xml:space="preserve"> XE "</w:instrText>
      </w:r>
      <w:r w:rsidRPr="00111E9E">
        <w:rPr>
          <w:i/>
        </w:rPr>
        <w:instrText>resolutio</w:instrText>
      </w:r>
      <w:r>
        <w:rPr>
          <w:i/>
        </w:rPr>
        <w:instrText>:</w:instrText>
      </w:r>
      <w:r w:rsidRPr="007D3515">
        <w:instrText>Akvinský</w:instrText>
      </w:r>
      <w:r>
        <w:instrText xml:space="preserve">" </w:instrText>
      </w:r>
      <w:r>
        <w:rPr>
          <w:i/>
        </w:rPr>
        <w:fldChar w:fldCharType="end"/>
      </w:r>
      <w:r>
        <w:t>)</w:t>
      </w:r>
      <w:r w:rsidRPr="00273106">
        <w:t>. První náhled na jednotu jsoucího vychází Avicenny a drží primát bytí v řádu poznání (</w:t>
      </w:r>
      <w:r w:rsidRPr="00273106">
        <w:rPr>
          <w:i/>
        </w:rPr>
        <w:t>quod primo cadit in intellectu est ens</w:t>
      </w:r>
      <w:r w:rsidRPr="00273106">
        <w:t>). Avicennovo pojetí metafyziky je potřebné vzhledem k</w:t>
      </w:r>
      <w:r>
        <w:t xml:space="preserve"> formálně určenému smyslu jsoucna</w:t>
      </w:r>
      <w:r w:rsidRPr="00273106">
        <w:t xml:space="preserve"> jako nejobecnějšímu principu poznání (</w:t>
      </w:r>
      <w:r w:rsidRPr="00273106">
        <w:rPr>
          <w:i/>
        </w:rPr>
        <w:t>ens inqua</w:t>
      </w:r>
      <w:r>
        <w:rPr>
          <w:i/>
        </w:rPr>
        <w:t>n</w:t>
      </w:r>
      <w:r w:rsidRPr="00273106">
        <w:rPr>
          <w:i/>
        </w:rPr>
        <w:t>tum ens</w:t>
      </w:r>
      <w:r w:rsidRPr="00273106">
        <w:t xml:space="preserve">, </w:t>
      </w:r>
      <w:r w:rsidRPr="00273106">
        <w:rPr>
          <w:i/>
        </w:rPr>
        <w:t>ens commune</w:t>
      </w:r>
      <w:r w:rsidRPr="00273106">
        <w:t xml:space="preserve">). Ale pokud se tato definice jednoty jsoucna vezme </w:t>
      </w:r>
      <w:r w:rsidRPr="00273106">
        <w:rPr>
          <w:i/>
        </w:rPr>
        <w:t>absolute</w:t>
      </w:r>
      <w:r w:rsidRPr="00273106">
        <w:t xml:space="preserve"> </w:t>
      </w:r>
      <w:r>
        <w:rPr>
          <w:rStyle w:val="addmd"/>
          <w:i/>
        </w:rPr>
        <w:fldChar w:fldCharType="begin"/>
      </w:r>
      <w:r>
        <w:instrText xml:space="preserve"> XE "predikace</w:instrText>
      </w:r>
      <w:r w:rsidRPr="002A5D70">
        <w:instrText>:</w:instrText>
      </w:r>
      <w:r>
        <w:instrText xml:space="preserve">modus </w:instrText>
      </w:r>
      <w:r w:rsidRPr="008D23BF">
        <w:rPr>
          <w:i/>
        </w:rPr>
        <w:instrText>absolute</w:instrText>
      </w:r>
      <w:r>
        <w:instrText xml:space="preserve">" </w:instrText>
      </w:r>
      <w:r>
        <w:rPr>
          <w:rStyle w:val="addmd"/>
          <w:i/>
        </w:rPr>
        <w:fldChar w:fldCharType="end"/>
      </w:r>
      <w:r w:rsidRPr="00273106">
        <w:t xml:space="preserve">jako ve druhém averroismu a dále u </w:t>
      </w:r>
      <w:proofErr w:type="gramStart"/>
      <w:r w:rsidRPr="00273106">
        <w:t>Dunse</w:t>
      </w:r>
      <w:proofErr w:type="gramEnd"/>
      <w:r w:rsidRPr="00273106">
        <w:t xml:space="preserve"> Scota, pak </w:t>
      </w:r>
      <w:r>
        <w:t xml:space="preserve">se </w:t>
      </w:r>
      <w:r w:rsidRPr="00273106">
        <w:t xml:space="preserve">bytí </w:t>
      </w:r>
      <w:r>
        <w:t xml:space="preserve">stane </w:t>
      </w:r>
      <w:r w:rsidRPr="00273106">
        <w:t>nejvyšším univočním rodem jako v neoplatonismu. To je nepřijatelné jak podle Aristotela, tak podle prvního averroismu</w:t>
      </w:r>
      <w:r>
        <w:t>, protože první p</w:t>
      </w:r>
      <w:r w:rsidRPr="00273106">
        <w:t>rincipy bytí</w:t>
      </w:r>
      <w:r>
        <w:t xml:space="preserve"> na úrovni metafyzické abstrakce </w:t>
      </w:r>
      <w:r w:rsidRPr="00273106">
        <w:t>jsou zkoumatelné jedině</w:t>
      </w:r>
      <w:r>
        <w:t xml:space="preserve"> skrze reálnou první substanci a jsou univočně  predikované pouze do úrovně rodu vázaného na druhou substanci</w:t>
      </w:r>
      <w:r w:rsidRPr="00273106">
        <w:t xml:space="preserve">. </w:t>
      </w:r>
      <w:r>
        <w:t xml:space="preserve">Akvinský přijal tyto základní principy školy prvního averroismu a odmítl v plném rozsahu základní teze </w:t>
      </w:r>
      <w:r w:rsidRPr="00055EA2">
        <w:rPr>
          <w:i/>
        </w:rPr>
        <w:t>Oxfordian Fallacy</w:t>
      </w:r>
      <w:r>
        <w:t xml:space="preserve">, což konstatoval i výše uvedený Pecham ve svých dopisech. První filosofie poznává kategoriálně predikované jsoucno </w:t>
      </w:r>
      <w:r w:rsidRPr="00273106">
        <w:t xml:space="preserve">v řádu vědeckého </w:t>
      </w:r>
      <w:r w:rsidRPr="00273106">
        <w:rPr>
          <w:i/>
        </w:rPr>
        <w:t>demonstratio</w:t>
      </w:r>
      <w:r>
        <w:rPr>
          <w:i/>
        </w:rPr>
        <w:fldChar w:fldCharType="begin"/>
      </w:r>
      <w:r>
        <w:instrText xml:space="preserve"> XE "</w:instrText>
      </w:r>
      <w:r w:rsidRPr="004E6075">
        <w:rPr>
          <w:i/>
        </w:rPr>
        <w:instrText>demonstratio:</w:instrText>
      </w:r>
      <w:r>
        <w:instrText xml:space="preserve">Averroes" </w:instrText>
      </w:r>
      <w:r>
        <w:rPr>
          <w:i/>
        </w:rPr>
        <w:fldChar w:fldCharType="end"/>
      </w:r>
      <w:r w:rsidRPr="00273106">
        <w:t xml:space="preserve"> podle </w:t>
      </w:r>
      <w:r w:rsidRPr="08EB7C4F">
        <w:rPr>
          <w:i/>
        </w:rPr>
        <w:t>Druhých analytik</w:t>
      </w:r>
      <w:r w:rsidRPr="00273106">
        <w:t xml:space="preserve"> jen </w:t>
      </w:r>
      <w:r>
        <w:t xml:space="preserve">skrze reálnou </w:t>
      </w:r>
      <w:r w:rsidRPr="00273106">
        <w:t>substanci. Akvinského závěrečný komentář k Aristotelově Metafyzice (</w:t>
      </w:r>
      <w:r w:rsidRPr="00273106">
        <w:rPr>
          <w:i/>
          <w:szCs w:val="23"/>
        </w:rPr>
        <w:t>Expositio libri Metaphysicae</w:t>
      </w:r>
      <w:r w:rsidRPr="00273106">
        <w:rPr>
          <w:szCs w:val="23"/>
        </w:rPr>
        <w:t>, kolem 1273</w:t>
      </w:r>
      <w:r w:rsidRPr="00273106">
        <w:t xml:space="preserve">) jasně ukazuje, že vývoj </w:t>
      </w:r>
      <w:r>
        <w:t xml:space="preserve">jeho myšlení v otázce principů první vědy o jsoucnu </w:t>
      </w:r>
      <w:r w:rsidRPr="00273106">
        <w:t xml:space="preserve">šel od Avicenny k </w:t>
      </w:r>
      <w:r>
        <w:t xml:space="preserve">Averroesovi, který dostal tomistický převlek. </w:t>
      </w:r>
      <w:r w:rsidR="009C4E5C" w:rsidRPr="009C4E5C">
        <w:t>T</w:t>
      </w:r>
      <w:r w:rsidR="009C4E5C">
        <w:t>omáš</w:t>
      </w:r>
      <w:r w:rsidR="009C4E5C" w:rsidRPr="009C4E5C">
        <w:t xml:space="preserve"> tuto interpretaci rozvinul během svého prvního pobytu v Paříži, kde se dostal do konfliktu s</w:t>
      </w:r>
      <w:r w:rsidR="009C4E5C">
        <w:t> </w:t>
      </w:r>
      <w:r w:rsidR="009C4E5C" w:rsidRPr="009C4E5C">
        <w:t>m</w:t>
      </w:r>
      <w:r w:rsidR="009C4E5C">
        <w:t xml:space="preserve">agistry v </w:t>
      </w:r>
      <w:r w:rsidR="009C4E5C" w:rsidRPr="009C4E5C">
        <w:t>rue du Fouarre a s Bonave</w:t>
      </w:r>
      <w:bookmarkStart w:id="51" w:name="_Toc36144150"/>
      <w:r w:rsidR="00297009">
        <w:t>nturovou modernistickou školou.</w:t>
      </w:r>
    </w:p>
    <w:p w:rsidR="08163013" w:rsidRPr="00C661D8" w:rsidRDefault="00297009" w:rsidP="00297009">
      <w:pPr>
        <w:pStyle w:val="Nadpis3"/>
      </w:pPr>
      <w:r>
        <w:br w:type="page"/>
      </w:r>
      <w:bookmarkStart w:id="52" w:name="_Toc180231662"/>
      <w:r w:rsidR="08163013" w:rsidRPr="00C661D8">
        <w:lastRenderedPageBreak/>
        <w:t>4.5.2 Formální jednota osoby a intelektu</w:t>
      </w:r>
      <w:bookmarkEnd w:id="51"/>
      <w:bookmarkEnd w:id="52"/>
    </w:p>
    <w:p w:rsidR="009268FB" w:rsidRDefault="00691123" w:rsidP="08163013">
      <w:r>
        <w:t>Období p</w:t>
      </w:r>
      <w:r w:rsidR="00297009" w:rsidRPr="009C4E5C">
        <w:t>rvní</w:t>
      </w:r>
      <w:r>
        <w:t xml:space="preserve">ho </w:t>
      </w:r>
      <w:r w:rsidR="00297009" w:rsidRPr="009C4E5C">
        <w:t xml:space="preserve">pobytu </w:t>
      </w:r>
      <w:r>
        <w:t xml:space="preserve">Akvinského </w:t>
      </w:r>
      <w:r w:rsidR="00297009" w:rsidRPr="009C4E5C">
        <w:t xml:space="preserve">v Paříži nebylo </w:t>
      </w:r>
      <w:r w:rsidR="00297009">
        <w:t>dosud zkoumáno v</w:t>
      </w:r>
      <w:r w:rsidR="00297009" w:rsidRPr="009C4E5C">
        <w:t xml:space="preserve"> rámci debat mezi škol</w:t>
      </w:r>
      <w:r w:rsidR="00297009">
        <w:t xml:space="preserve">ou prvního a druhého averroismu. </w:t>
      </w:r>
      <w:r w:rsidR="00297009">
        <w:rPr>
          <w:rStyle w:val="ezkurwreuab5ozgtqnkl"/>
        </w:rPr>
        <w:t>Tomistická</w:t>
      </w:r>
      <w:r w:rsidR="00297009">
        <w:t xml:space="preserve"> </w:t>
      </w:r>
      <w:r w:rsidR="00297009">
        <w:rPr>
          <w:rStyle w:val="ezkurwreuab5ozgtqnkl"/>
        </w:rPr>
        <w:t>škola</w:t>
      </w:r>
      <w:r w:rsidR="00297009">
        <w:t xml:space="preserve"> </w:t>
      </w:r>
      <w:r w:rsidR="00297009">
        <w:rPr>
          <w:rStyle w:val="ezkurwreuab5ozgtqnkl"/>
        </w:rPr>
        <w:t>to</w:t>
      </w:r>
      <w:r w:rsidR="00297009">
        <w:t xml:space="preserve"> </w:t>
      </w:r>
      <w:r w:rsidR="00297009">
        <w:rPr>
          <w:rStyle w:val="ezkurwreuab5ozgtqnkl"/>
        </w:rPr>
        <w:t>nemůže</w:t>
      </w:r>
      <w:r w:rsidR="00297009">
        <w:t xml:space="preserve"> </w:t>
      </w:r>
      <w:r w:rsidR="00297009">
        <w:rPr>
          <w:rStyle w:val="ezkurwreuab5ozgtqnkl"/>
        </w:rPr>
        <w:t xml:space="preserve">udělat, protože patří k objektivnímu proudu druhého averroismu, který založil Aegidius. </w:t>
      </w:r>
      <w:r w:rsidR="08163013">
        <w:t xml:space="preserve">Akvinského </w:t>
      </w:r>
      <w:r w:rsidR="00297009">
        <w:t>k</w:t>
      </w:r>
      <w:r w:rsidR="08743F17">
        <w:t>ritika</w:t>
      </w:r>
      <w:r w:rsidR="08163013" w:rsidRPr="00273106">
        <w:t xml:space="preserve"> druhého averrorismu</w:t>
      </w:r>
      <w:r w:rsidR="08163013">
        <w:t xml:space="preserve"> </w:t>
      </w:r>
      <w:r w:rsidR="08743F17">
        <w:t xml:space="preserve">je doplněna o vznik </w:t>
      </w:r>
      <w:r w:rsidR="08163013">
        <w:t xml:space="preserve">averroistické intepretace CMDA </w:t>
      </w:r>
      <w:r w:rsidR="08743F17">
        <w:t>p</w:t>
      </w:r>
      <w:r w:rsidR="08163013">
        <w:t xml:space="preserve">odle avicennismu Toledské školy. </w:t>
      </w:r>
      <w:r w:rsidR="08244061">
        <w:t>Š</w:t>
      </w:r>
      <w:r w:rsidR="08163013">
        <w:t xml:space="preserve">kolu </w:t>
      </w:r>
      <w:r w:rsidR="08244061">
        <w:t xml:space="preserve">modernistů a avicennistů </w:t>
      </w:r>
      <w:r w:rsidR="08163013">
        <w:t xml:space="preserve">nakonec odmítlo dílo </w:t>
      </w:r>
      <w:r w:rsidR="08163013">
        <w:rPr>
          <w:i/>
        </w:rPr>
        <w:t>Summa contra G</w:t>
      </w:r>
      <w:r w:rsidR="08163013" w:rsidRPr="08E834F0">
        <w:rPr>
          <w:i/>
        </w:rPr>
        <w:t>entiles</w:t>
      </w:r>
      <w:r w:rsidR="08163013">
        <w:t xml:space="preserve">, protože objektivní výklad boha a stvoření ohrozil podstatu křesťanské teologie. </w:t>
      </w:r>
      <w:r w:rsidR="08163013" w:rsidRPr="00273106">
        <w:t xml:space="preserve">Důležitou syntézu poznání podle prvního averroismu podávají </w:t>
      </w:r>
      <w:r w:rsidR="08163013">
        <w:rPr>
          <w:i/>
        </w:rPr>
        <w:t>Quaestiones disputatae D</w:t>
      </w:r>
      <w:r w:rsidR="08163013" w:rsidRPr="00273106">
        <w:rPr>
          <w:i/>
        </w:rPr>
        <w:t>e potentia</w:t>
      </w:r>
      <w:r w:rsidR="08163013" w:rsidRPr="00273106">
        <w:t xml:space="preserve"> (</w:t>
      </w:r>
      <w:r w:rsidR="08163013">
        <w:t xml:space="preserve">asi </w:t>
      </w:r>
      <w:r w:rsidR="08163013" w:rsidRPr="00273106">
        <w:t xml:space="preserve">1265‒66) přednášené </w:t>
      </w:r>
      <w:r w:rsidR="08163013">
        <w:t xml:space="preserve">na papežské kurii </w:t>
      </w:r>
      <w:r w:rsidR="08163013" w:rsidRPr="00273106">
        <w:t xml:space="preserve">v Římě. </w:t>
      </w:r>
      <w:r w:rsidR="08163013">
        <w:t xml:space="preserve">Tento spis znal jak Siger tak Aegidius a oba myslitelé na něj reagovali v jejich komentářích k </w:t>
      </w:r>
      <w:proofErr w:type="gramStart"/>
      <w:r w:rsidR="08163013" w:rsidRPr="087A0892">
        <w:rPr>
          <w:i/>
        </w:rPr>
        <w:t>De</w:t>
      </w:r>
      <w:proofErr w:type="gramEnd"/>
      <w:r w:rsidR="08163013" w:rsidRPr="087A0892">
        <w:rPr>
          <w:i/>
        </w:rPr>
        <w:t xml:space="preserve"> anima</w:t>
      </w:r>
      <w:r w:rsidR="08163013">
        <w:t>. Siger</w:t>
      </w:r>
      <w:r w:rsidR="00265776">
        <w:t xml:space="preserve"> možná psal smířlivou část DA I–</w:t>
      </w:r>
      <w:r w:rsidR="08163013">
        <w:t xml:space="preserve">II v Mnichovském rukopise po četbě </w:t>
      </w:r>
      <w:r w:rsidR="08163013" w:rsidRPr="080326B9">
        <w:rPr>
          <w:i/>
        </w:rPr>
        <w:t>De potentia</w:t>
      </w:r>
      <w:r w:rsidR="08163013">
        <w:t xml:space="preserve">, protože pojetí </w:t>
      </w:r>
      <w:r w:rsidR="00962190">
        <w:rPr>
          <w:i/>
        </w:rPr>
        <w:t>species</w:t>
      </w:r>
      <w:r w:rsidR="08163013">
        <w:t xml:space="preserve"> a intencionality je v tomto spise zcela ve </w:t>
      </w:r>
      <w:proofErr w:type="gramStart"/>
      <w:r w:rsidR="08163013">
        <w:t>shodě  s pojetím</w:t>
      </w:r>
      <w:proofErr w:type="gramEnd"/>
      <w:r w:rsidR="08163013">
        <w:t xml:space="preserve"> CMDA. </w:t>
      </w:r>
      <w:r w:rsidR="00804094">
        <w:t>Výborná s</w:t>
      </w:r>
      <w:r w:rsidR="08163013">
        <w:t xml:space="preserve">tudie  o básnickém díle </w:t>
      </w:r>
      <w:r w:rsidR="08163013" w:rsidRPr="003628DA">
        <w:rPr>
          <w:i/>
        </w:rPr>
        <w:t xml:space="preserve">Liber de </w:t>
      </w:r>
      <w:proofErr w:type="gramStart"/>
      <w:r w:rsidR="08163013" w:rsidRPr="003628DA">
        <w:rPr>
          <w:i/>
        </w:rPr>
        <w:t>statu</w:t>
      </w:r>
      <w:proofErr w:type="gramEnd"/>
      <w:r w:rsidR="08163013" w:rsidRPr="003628DA">
        <w:rPr>
          <w:i/>
        </w:rPr>
        <w:t xml:space="preserve"> Curie Romane</w:t>
      </w:r>
      <w:r w:rsidR="08163013" w:rsidRPr="003628DA">
        <w:t xml:space="preserve"> </w:t>
      </w:r>
      <w:r w:rsidR="00FC581E">
        <w:t xml:space="preserve">(psáno kolem </w:t>
      </w:r>
      <w:r w:rsidR="00FC581E">
        <w:rPr>
          <w:rStyle w:val="ky2igmncmogjharherah"/>
        </w:rPr>
        <w:t>1261–65</w:t>
      </w:r>
      <w:r w:rsidR="00FC581E">
        <w:t xml:space="preserve">) </w:t>
      </w:r>
      <w:r w:rsidR="08163013">
        <w:t>komentuje debaty na papežském dvoře v Itálii (</w:t>
      </w:r>
      <w:r w:rsidR="00710F22">
        <w:t>Orvieto</w:t>
      </w:r>
      <w:r w:rsidR="08163013">
        <w:t>, Viterbo, Anagni) za Urbana IV., které pokračovaly i po jeho smrti (†1264). Kuriální debaty v letech 1260‒70 se týkaly hlavně věčnosti světa podle Aristotela a korespondovaly s debatami a s děním na Pařížské univerzitě (Grauert 1912, 116‒47). Tomášův s</w:t>
      </w:r>
      <w:r w:rsidR="08163013" w:rsidRPr="00273106">
        <w:t xml:space="preserve">pis </w:t>
      </w:r>
      <w:r w:rsidR="08163013" w:rsidRPr="080326B9">
        <w:rPr>
          <w:i/>
        </w:rPr>
        <w:t>De potentia</w:t>
      </w:r>
      <w:r w:rsidR="08163013" w:rsidRPr="00273106">
        <w:t xml:space="preserve"> představuje zásadní polemiku s druhým averroismem v několika otázkách.</w:t>
      </w:r>
      <w:bookmarkStart w:id="53" w:name="58625"/>
      <w:bookmarkEnd w:id="53"/>
      <w:r w:rsidR="08163013">
        <w:t xml:space="preserve"> </w:t>
      </w:r>
      <w:r w:rsidR="00D75700">
        <w:rPr>
          <w:rStyle w:val="ezkurwreuab5ozgtqnkl"/>
        </w:rPr>
        <w:t>Disputace</w:t>
      </w:r>
      <w:r w:rsidR="00D75700">
        <w:t xml:space="preserve"> </w:t>
      </w:r>
      <w:r w:rsidR="00D75700">
        <w:rPr>
          <w:rStyle w:val="ezkurwreuab5ozgtqnkl"/>
        </w:rPr>
        <w:t>odmítly</w:t>
      </w:r>
      <w:r w:rsidR="00D75700">
        <w:t xml:space="preserve"> </w:t>
      </w:r>
      <w:r w:rsidR="00D75700">
        <w:rPr>
          <w:rStyle w:val="ezkurwreuab5ozgtqnkl"/>
        </w:rPr>
        <w:t xml:space="preserve">jakoukoli možnost </w:t>
      </w:r>
      <w:r w:rsidR="00D75700" w:rsidRPr="00D75700">
        <w:rPr>
          <w:rStyle w:val="ezkurwreuab5ozgtqnkl"/>
          <w:i/>
        </w:rPr>
        <w:t>tertium</w:t>
      </w:r>
      <w:r w:rsidR="00D75700" w:rsidRPr="00D75700">
        <w:rPr>
          <w:i/>
        </w:rPr>
        <w:t xml:space="preserve"> </w:t>
      </w:r>
      <w:r w:rsidR="00D75700" w:rsidRPr="00D75700">
        <w:rPr>
          <w:rStyle w:val="ezkurwreuab5ozgtqnkl"/>
          <w:i/>
        </w:rPr>
        <w:t>ens</w:t>
      </w:r>
      <w:r w:rsidR="00D75700">
        <w:rPr>
          <w:rStyle w:val="ezkurwreuab5ozgtqnkl"/>
        </w:rPr>
        <w:t>, a proto způsobily zničení modernistické ontoteologie jako celku.</w:t>
      </w:r>
      <w:r w:rsidR="00D75700">
        <w:t xml:space="preserve"> </w:t>
      </w:r>
      <w:r w:rsidR="00D75700">
        <w:rPr>
          <w:rStyle w:val="ezkurwreuab5ozgtqnkl"/>
        </w:rPr>
        <w:t>Avicenna metafyzika</w:t>
      </w:r>
      <w:r w:rsidR="00D75700">
        <w:t xml:space="preserve"> </w:t>
      </w:r>
      <w:r w:rsidR="00D75700">
        <w:rPr>
          <w:rStyle w:val="ezkurwreuab5ozgtqnkl"/>
        </w:rPr>
        <w:t>je</w:t>
      </w:r>
      <w:r w:rsidR="00D75700">
        <w:t xml:space="preserve"> </w:t>
      </w:r>
      <w:r w:rsidR="00D75700">
        <w:rPr>
          <w:rStyle w:val="ezkurwreuab5ozgtqnkl"/>
        </w:rPr>
        <w:t>založena na falešné jednoznačnosti mezi božskou intencionalitou a následným stvořením.</w:t>
      </w:r>
      <w:r w:rsidR="00D75700">
        <w:t xml:space="preserve"> </w:t>
      </w:r>
      <w:r w:rsidR="00D94C69">
        <w:t>Aristotelská m</w:t>
      </w:r>
      <w:r w:rsidR="00D75700">
        <w:rPr>
          <w:rStyle w:val="ezkurwreuab5ozgtqnkl"/>
        </w:rPr>
        <w:t>etafyzika</w:t>
      </w:r>
      <w:r w:rsidR="00D75700">
        <w:t xml:space="preserve"> </w:t>
      </w:r>
      <w:r w:rsidR="00D75700">
        <w:rPr>
          <w:rStyle w:val="ezkurwreuab5ozgtqnkl"/>
        </w:rPr>
        <w:t>následuje</w:t>
      </w:r>
      <w:r w:rsidR="00D75700">
        <w:t xml:space="preserve"> </w:t>
      </w:r>
      <w:r w:rsidR="00D75700">
        <w:rPr>
          <w:rStyle w:val="ezkurwreuab5ozgtqnkl"/>
        </w:rPr>
        <w:t>metafyzický</w:t>
      </w:r>
      <w:r w:rsidR="00D75700">
        <w:t xml:space="preserve"> </w:t>
      </w:r>
      <w:r w:rsidR="00D75700">
        <w:rPr>
          <w:rStyle w:val="ezkurwreuab5ozgtqnkl"/>
        </w:rPr>
        <w:t>dativ</w:t>
      </w:r>
      <w:r w:rsidR="00D75700">
        <w:t xml:space="preserve"> </w:t>
      </w:r>
      <w:r w:rsidR="00D75700">
        <w:rPr>
          <w:rStyle w:val="ezkurwreuab5ozgtqnkl"/>
        </w:rPr>
        <w:t>a impozici postavenou na principu „</w:t>
      </w:r>
      <w:r w:rsidR="00D75700" w:rsidRPr="00D75700">
        <w:rPr>
          <w:rStyle w:val="ezkurwreuab5ozgtqnkl"/>
          <w:i/>
        </w:rPr>
        <w:t>ex</w:t>
      </w:r>
      <w:r w:rsidR="00D75700" w:rsidRPr="00D75700">
        <w:rPr>
          <w:i/>
        </w:rPr>
        <w:t xml:space="preserve"> </w:t>
      </w:r>
      <w:r w:rsidR="00D75700" w:rsidRPr="00D75700">
        <w:rPr>
          <w:rStyle w:val="ezkurwreuab5ozgtqnkl"/>
          <w:i/>
        </w:rPr>
        <w:t>inmediatis</w:t>
      </w:r>
      <w:r w:rsidR="00D75700">
        <w:t>“</w:t>
      </w:r>
      <w:r w:rsidR="00D75700">
        <w:fldChar w:fldCharType="begin"/>
      </w:r>
      <w:r w:rsidR="00D75700">
        <w:instrText xml:space="preserve"> XE "</w:instrText>
      </w:r>
      <w:r w:rsidR="00D75700" w:rsidRPr="0016538F">
        <w:rPr>
          <w:rStyle w:val="ezkurwreuab5ozgtqnkl"/>
        </w:rPr>
        <w:instrText xml:space="preserve">princip </w:instrText>
      </w:r>
      <w:r w:rsidR="00D75700" w:rsidRPr="00D75700">
        <w:rPr>
          <w:rStyle w:val="ezkurwreuab5ozgtqnkl"/>
          <w:i/>
        </w:rPr>
        <w:instrText>ex</w:instrText>
      </w:r>
      <w:r w:rsidR="00D75700" w:rsidRPr="00D75700">
        <w:rPr>
          <w:i/>
        </w:rPr>
        <w:instrText xml:space="preserve"> </w:instrText>
      </w:r>
      <w:r w:rsidR="00D75700" w:rsidRPr="00D75700">
        <w:rPr>
          <w:rStyle w:val="ezkurwreuab5ozgtqnkl"/>
          <w:i/>
        </w:rPr>
        <w:instrText>inmediatis</w:instrText>
      </w:r>
      <w:r w:rsidR="00D75700">
        <w:instrText xml:space="preserve">" </w:instrText>
      </w:r>
      <w:r w:rsidR="00D75700">
        <w:fldChar w:fldCharType="end"/>
      </w:r>
      <w:r w:rsidR="00D75700">
        <w:t xml:space="preserve">. </w:t>
      </w:r>
      <w:r w:rsidR="00D75700">
        <w:rPr>
          <w:rStyle w:val="ezkurwreuab5ozgtqnkl"/>
        </w:rPr>
        <w:t>Proto rozdíl</w:t>
      </w:r>
      <w:r w:rsidR="00D75700">
        <w:t xml:space="preserve"> </w:t>
      </w:r>
      <w:r w:rsidR="00D75700">
        <w:rPr>
          <w:rStyle w:val="ezkurwreuab5ozgtqnkl"/>
        </w:rPr>
        <w:t>mezi</w:t>
      </w:r>
      <w:r w:rsidR="00D75700">
        <w:t xml:space="preserve"> </w:t>
      </w:r>
      <w:r w:rsidR="00D75700">
        <w:rPr>
          <w:rStyle w:val="ezkurwreuab5ozgtqnkl"/>
        </w:rPr>
        <w:t>božským aktem</w:t>
      </w:r>
      <w:r w:rsidR="00D75700">
        <w:t xml:space="preserve"> </w:t>
      </w:r>
      <w:r w:rsidR="00D75700">
        <w:rPr>
          <w:rStyle w:val="ezkurwreuab5ozgtqnkl"/>
        </w:rPr>
        <w:t xml:space="preserve">a následným stvořením nemůže být zrušen žádným druhem </w:t>
      </w:r>
      <w:r w:rsidR="00D75700" w:rsidRPr="008A6F84">
        <w:rPr>
          <w:rStyle w:val="ezkurwreuab5ozgtqnkl"/>
          <w:i/>
        </w:rPr>
        <w:t>tertium ens</w:t>
      </w:r>
      <w:r w:rsidR="008A6F84">
        <w:rPr>
          <w:i/>
        </w:rPr>
        <w:fldChar w:fldCharType="begin"/>
      </w:r>
      <w:r w:rsidR="008A6F84">
        <w:instrText xml:space="preserve"> XE "</w:instrText>
      </w:r>
      <w:r w:rsidR="008A6F84" w:rsidRPr="002F10B4">
        <w:rPr>
          <w:rStyle w:val="Zvraznn"/>
        </w:rPr>
        <w:instrText>tertium ens</w:instrText>
      </w:r>
      <w:r w:rsidR="008A6F84" w:rsidRPr="004366DB">
        <w:rPr>
          <w:rStyle w:val="Zvraznn"/>
          <w:i w:val="0"/>
        </w:rPr>
        <w:instrText>:kritika Akvinského</w:instrText>
      </w:r>
      <w:r w:rsidR="008A6F84">
        <w:instrText xml:space="preserve">" </w:instrText>
      </w:r>
      <w:r w:rsidR="008A6F84">
        <w:rPr>
          <w:i/>
        </w:rPr>
        <w:fldChar w:fldCharType="end"/>
      </w:r>
      <w:r w:rsidR="00D75700">
        <w:rPr>
          <w:rStyle w:val="ezkurwreuab5ozgtqnkl"/>
        </w:rPr>
        <w:t>.</w:t>
      </w:r>
      <w:r w:rsidR="008A6F84">
        <w:t xml:space="preserve"> </w:t>
      </w:r>
      <w:r w:rsidR="00863C7F">
        <w:t xml:space="preserve">Důležitá </w:t>
      </w:r>
      <w:r w:rsidR="08163013">
        <w:t xml:space="preserve">část </w:t>
      </w:r>
      <w:r w:rsidR="002642F4">
        <w:t xml:space="preserve">spisu </w:t>
      </w:r>
      <w:r w:rsidR="08163013">
        <w:t xml:space="preserve">obsahuje přímý útok na ontoteologickou formu metafyziky </w:t>
      </w:r>
      <w:r w:rsidR="08163013" w:rsidRPr="08A546B0">
        <w:rPr>
          <w:i/>
        </w:rPr>
        <w:t>Modernorum</w:t>
      </w:r>
      <w:r w:rsidR="08163013">
        <w:rPr>
          <w:i/>
        </w:rPr>
        <w:t xml:space="preserve"> </w:t>
      </w:r>
      <w:r w:rsidR="08163013">
        <w:t>v Bonaventu</w:t>
      </w:r>
      <w:r w:rsidR="08163013" w:rsidRPr="08A546B0">
        <w:t>rově škole</w:t>
      </w:r>
      <w:r w:rsidR="08163013">
        <w:t xml:space="preserve"> (</w:t>
      </w:r>
      <w:r w:rsidR="08163013" w:rsidRPr="08AC219F">
        <w:rPr>
          <w:i/>
        </w:rPr>
        <w:t>hoc a magistris erroneum est iudicatum</w:t>
      </w:r>
      <w:r w:rsidR="08163013">
        <w:t>)</w:t>
      </w:r>
      <w:r w:rsidR="08163013" w:rsidRPr="00273106">
        <w:t>.</w:t>
      </w:r>
      <w:r w:rsidR="08163013">
        <w:rPr>
          <w:rStyle w:val="Znakapoznpodarou"/>
        </w:rPr>
        <w:footnoteReference w:id="309"/>
      </w:r>
      <w:r w:rsidR="08163013" w:rsidRPr="00273106">
        <w:t xml:space="preserve"> Tomáš odmítá možnost univocity podle moderních </w:t>
      </w:r>
      <w:r w:rsidR="08163013" w:rsidRPr="00273106">
        <w:rPr>
          <w:i/>
        </w:rPr>
        <w:t>Nominales</w:t>
      </w:r>
      <w:r w:rsidR="08163013" w:rsidRPr="00273106">
        <w:t xml:space="preserve"> a kritizuje jejich univoční pojetí </w:t>
      </w:r>
      <w:r w:rsidR="08163013">
        <w:t xml:space="preserve">esence </w:t>
      </w:r>
      <w:r w:rsidR="08163013" w:rsidRPr="00273106">
        <w:t>(</w:t>
      </w:r>
      <w:r w:rsidR="08163013">
        <w:rPr>
          <w:i/>
          <w:iCs/>
        </w:rPr>
        <w:t>D</w:t>
      </w:r>
      <w:r w:rsidR="08163013" w:rsidRPr="00273106">
        <w:rPr>
          <w:i/>
          <w:iCs/>
        </w:rPr>
        <w:t>e potentia</w:t>
      </w:r>
      <w:r w:rsidR="08163013" w:rsidRPr="00273106">
        <w:t>, q. 7 a. 6, resp</w:t>
      </w:r>
      <w:r w:rsidR="08163013">
        <w:t>.</w:t>
      </w:r>
      <w:r w:rsidR="00491592">
        <w:rPr>
          <w:i/>
          <w:iCs/>
        </w:rPr>
        <w:fldChar w:fldCharType="begin"/>
      </w:r>
      <w:r w:rsidR="00491592">
        <w:instrText xml:space="preserve"> XE "Akvinský:</w:instrText>
      </w:r>
      <w:r w:rsidR="00491592" w:rsidRPr="00815697">
        <w:rPr>
          <w:i/>
          <w:iCs/>
        </w:rPr>
        <w:instrText>De potentia</w:instrText>
      </w:r>
      <w:r w:rsidR="00491592">
        <w:rPr>
          <w:iCs/>
        </w:rPr>
        <w:instrText xml:space="preserve"> </w:instrText>
      </w:r>
      <w:r w:rsidR="00491592" w:rsidRPr="00273106">
        <w:instrText>q. 7 a. 6, resp</w:instrText>
      </w:r>
      <w:r w:rsidR="00491592">
        <w:instrText xml:space="preserve">." </w:instrText>
      </w:r>
      <w:r w:rsidR="00491592">
        <w:rPr>
          <w:i/>
          <w:iCs/>
        </w:rPr>
        <w:fldChar w:fldCharType="end"/>
      </w:r>
      <w:r w:rsidR="08163013" w:rsidRPr="00273106">
        <w:t xml:space="preserve">). Tím se dostala </w:t>
      </w:r>
      <w:r w:rsidR="08163013">
        <w:t xml:space="preserve">do debat </w:t>
      </w:r>
      <w:r w:rsidR="08163013" w:rsidRPr="00273106">
        <w:t>aristotelská otázka věčnosti kosmu</w:t>
      </w:r>
      <w:r w:rsidR="08163013">
        <w:fldChar w:fldCharType="begin"/>
      </w:r>
      <w:r w:rsidR="08163013">
        <w:instrText xml:space="preserve"> XE "</w:instrText>
      </w:r>
      <w:r w:rsidR="08163013" w:rsidRPr="00727827">
        <w:instrText xml:space="preserve">věčnost </w:instrText>
      </w:r>
      <w:r w:rsidR="08163013" w:rsidRPr="00727827">
        <w:lastRenderedPageBreak/>
        <w:instrText>světa</w:instrText>
      </w:r>
      <w:r w:rsidR="08163013">
        <w:instrText xml:space="preserve">" </w:instrText>
      </w:r>
      <w:r w:rsidR="08163013">
        <w:fldChar w:fldCharType="end"/>
      </w:r>
      <w:r w:rsidR="08163013">
        <w:t>, kdy se Akvinský střetl s Pechamem. Tomášova p</w:t>
      </w:r>
      <w:r w:rsidR="08163013" w:rsidRPr="00273106">
        <w:t xml:space="preserve">ozice vzhledem k nemateriálním kosmickým substancím je podobná Sigerovi, který také odmítá individuaci </w:t>
      </w:r>
      <w:r w:rsidR="08163013">
        <w:t xml:space="preserve">kosmických inteligencí </w:t>
      </w:r>
      <w:r w:rsidR="08163013" w:rsidRPr="00273106">
        <w:t xml:space="preserve">pomocí materie třetího druhu. Filosoficky viděno není žádný rozpor ve věčnosti stvořených jsoucen vzhledem ke křesťanské tezi </w:t>
      </w:r>
      <w:r w:rsidR="08163013" w:rsidRPr="00273106">
        <w:rPr>
          <w:i/>
        </w:rPr>
        <w:t>creatio ex nihilo</w:t>
      </w:r>
      <w:r w:rsidR="08163013">
        <w:rPr>
          <w:i/>
        </w:rPr>
        <w:fldChar w:fldCharType="begin"/>
      </w:r>
      <w:r w:rsidR="08163013">
        <w:instrText xml:space="preserve"> XE "</w:instrText>
      </w:r>
      <w:r w:rsidR="08163013" w:rsidRPr="00807116">
        <w:rPr>
          <w:i/>
        </w:rPr>
        <w:instrText>creatio ex nihilo</w:instrText>
      </w:r>
      <w:r w:rsidR="08163013">
        <w:instrText xml:space="preserve">" </w:instrText>
      </w:r>
      <w:r w:rsidR="08163013">
        <w:rPr>
          <w:i/>
        </w:rPr>
        <w:fldChar w:fldCharType="end"/>
      </w:r>
      <w:r w:rsidR="08163013" w:rsidRPr="00273106">
        <w:t xml:space="preserve">. Tato jsoucna jsou dána </w:t>
      </w:r>
      <w:r w:rsidR="000D4D19">
        <w:t>„</w:t>
      </w:r>
      <w:r w:rsidR="08163013" w:rsidRPr="00273106">
        <w:rPr>
          <w:i/>
        </w:rPr>
        <w:t>ab alio</w:t>
      </w:r>
      <w:r w:rsidR="000D4D19">
        <w:t>“</w:t>
      </w:r>
      <w:r w:rsidR="08163013" w:rsidRPr="00273106">
        <w:t xml:space="preserve">, tj. od Stvořitele, a </w:t>
      </w:r>
      <w:r w:rsidR="08163013">
        <w:t>proto obsahují specifickou formu potence navázanou na kosmickou inteligibilní formu. N</w:t>
      </w:r>
      <w:r w:rsidR="08163013" w:rsidRPr="00273106">
        <w:t>avíc jsou vzhledem ke své čistě duchové povaze i věčná (</w:t>
      </w:r>
      <w:bookmarkStart w:id="54" w:name="59037"/>
      <w:bookmarkEnd w:id="54"/>
      <w:r w:rsidR="002642F4" w:rsidRPr="00ED18F6">
        <w:rPr>
          <w:i/>
          <w:lang w:val="en-US"/>
        </w:rPr>
        <w:t>De potentia</w:t>
      </w:r>
      <w:r w:rsidR="002642F4">
        <w:t xml:space="preserve">, </w:t>
      </w:r>
      <w:r w:rsidR="08163013" w:rsidRPr="00273106">
        <w:t>q. 3</w:t>
      </w:r>
      <w:r w:rsidR="002642F4">
        <w:t>,</w:t>
      </w:r>
      <w:r w:rsidR="08163013" w:rsidRPr="00273106">
        <w:t xml:space="preserve"> a. 14, resp</w:t>
      </w:r>
      <w:r w:rsidR="08163013">
        <w:t>.</w:t>
      </w:r>
      <w:r w:rsidR="00491592">
        <w:rPr>
          <w:i/>
          <w:iCs/>
        </w:rPr>
        <w:fldChar w:fldCharType="begin"/>
      </w:r>
      <w:r w:rsidR="00491592">
        <w:instrText xml:space="preserve"> XE "Akvinský:</w:instrText>
      </w:r>
      <w:r w:rsidR="00491592" w:rsidRPr="00815697">
        <w:rPr>
          <w:i/>
          <w:iCs/>
        </w:rPr>
        <w:instrText>De potentia</w:instrText>
      </w:r>
      <w:r w:rsidR="00491592">
        <w:rPr>
          <w:iCs/>
        </w:rPr>
        <w:instrText xml:space="preserve"> </w:instrText>
      </w:r>
      <w:r w:rsidR="00491592">
        <w:instrText>q. 3 a. 14</w:instrText>
      </w:r>
      <w:r w:rsidR="00491592" w:rsidRPr="00273106">
        <w:instrText>, resp</w:instrText>
      </w:r>
      <w:r w:rsidR="00491592">
        <w:instrText xml:space="preserve">." </w:instrText>
      </w:r>
      <w:r w:rsidR="00491592">
        <w:rPr>
          <w:i/>
          <w:iCs/>
        </w:rPr>
        <w:fldChar w:fldCharType="end"/>
      </w:r>
      <w:r w:rsidR="08163013" w:rsidRPr="00273106">
        <w:t xml:space="preserve">). </w:t>
      </w:r>
      <w:r w:rsidR="08163013">
        <w:t xml:space="preserve">Věčnost inteligibilních forem </w:t>
      </w:r>
      <w:r w:rsidR="08163013" w:rsidRPr="00273106">
        <w:t>nastol</w:t>
      </w:r>
      <w:r w:rsidR="08163013">
        <w:t xml:space="preserve">ila </w:t>
      </w:r>
      <w:r w:rsidR="08163013" w:rsidRPr="00273106">
        <w:t xml:space="preserve">další </w:t>
      </w:r>
      <w:r w:rsidR="08163013">
        <w:t xml:space="preserve">sporné </w:t>
      </w:r>
      <w:r w:rsidR="08163013" w:rsidRPr="00273106">
        <w:t>téma</w:t>
      </w:r>
      <w:r w:rsidR="08163013">
        <w:t xml:space="preserve"> mezi prvním a druhým averroismem</w:t>
      </w:r>
      <w:r w:rsidR="08163013" w:rsidRPr="00273106">
        <w:t xml:space="preserve">, </w:t>
      </w:r>
      <w:r w:rsidR="08163013">
        <w:t xml:space="preserve">kterým bylo a je </w:t>
      </w:r>
      <w:r w:rsidR="08163013" w:rsidRPr="00273106">
        <w:t xml:space="preserve">postavení intelektuální lidské duše. </w:t>
      </w:r>
      <w:r w:rsidR="08163013">
        <w:t>Římská d</w:t>
      </w:r>
      <w:r w:rsidR="08163013" w:rsidRPr="00273106">
        <w:t xml:space="preserve">isputace </w:t>
      </w:r>
      <w:r w:rsidR="08163013" w:rsidRPr="0832057E">
        <w:rPr>
          <w:i/>
        </w:rPr>
        <w:t>De potentia</w:t>
      </w:r>
      <w:r w:rsidR="08163013">
        <w:t xml:space="preserve"> </w:t>
      </w:r>
      <w:r w:rsidR="08163013" w:rsidRPr="00273106">
        <w:t xml:space="preserve">zachycuje výsledný stav poznání </w:t>
      </w:r>
      <w:r w:rsidR="08163013" w:rsidRPr="00273106">
        <w:rPr>
          <w:i/>
        </w:rPr>
        <w:t>anima intellectiva</w:t>
      </w:r>
      <w:r w:rsidR="08163013" w:rsidRPr="00273106">
        <w:t xml:space="preserve"> v době publikace Sigerova díla </w:t>
      </w:r>
      <w:r w:rsidR="08163013" w:rsidRPr="08100A1F">
        <w:t>QIIIDA</w:t>
      </w:r>
      <w:r w:rsidR="08163013">
        <w:rPr>
          <w:i/>
        </w:rPr>
        <w:t xml:space="preserve"> </w:t>
      </w:r>
      <w:r w:rsidR="08163013" w:rsidRPr="00273106">
        <w:t>a v mnoha bodech se s ním shoduje.</w:t>
      </w:r>
      <w:r w:rsidR="08163013">
        <w:t xml:space="preserve"> </w:t>
      </w:r>
      <w:r w:rsidR="08163013" w:rsidRPr="00273106">
        <w:t>Tomáš</w:t>
      </w:r>
      <w:r w:rsidR="08163013">
        <w:t xml:space="preserve"> hájil pojetí abstrakce podle prvního averroismu </w:t>
      </w:r>
      <w:r w:rsidR="08163013" w:rsidRPr="00273106">
        <w:t>už za prvního pobytu v Paříži v letech 1257‒59</w:t>
      </w:r>
      <w:r w:rsidR="08163013">
        <w:t>, kdy argum</w:t>
      </w:r>
      <w:r w:rsidR="00374424">
        <w:t>entoval v Boethiově komentáři o</w:t>
      </w:r>
      <w:r w:rsidR="08163013">
        <w:t xml:space="preserve"> Trojici podobným způsobem jako bojoval Siger proti moderním porretánům Bonaventurovy a Kilwardbyho školy</w:t>
      </w:r>
      <w:r w:rsidR="08163013" w:rsidRPr="00273106">
        <w:t xml:space="preserve">. </w:t>
      </w:r>
      <w:r w:rsidR="08163013">
        <w:t>Římská disputace znovu řeší základní otázku</w:t>
      </w:r>
      <w:r w:rsidR="08163013" w:rsidRPr="00273106">
        <w:t xml:space="preserve"> </w:t>
      </w:r>
      <w:r w:rsidR="08163013">
        <w:t>komentáře k Boethiovu</w:t>
      </w:r>
      <w:r w:rsidR="08163013" w:rsidRPr="00273106">
        <w:t xml:space="preserve"> </w:t>
      </w:r>
      <w:r w:rsidR="08163013">
        <w:t xml:space="preserve">komentáři </w:t>
      </w:r>
      <w:r w:rsidR="08163013" w:rsidRPr="00273106">
        <w:rPr>
          <w:i/>
        </w:rPr>
        <w:t>De Trinitate</w:t>
      </w:r>
      <w:r w:rsidR="08163013" w:rsidRPr="00273106">
        <w:t>, tedy poznání tří božských Osob lidským intelektem</w:t>
      </w:r>
      <w:r w:rsidR="08163013">
        <w:t xml:space="preserve">. Modernisté zrušili Boethiovu definici osoby jako jednotné substance a do boha zavedli objektivní mnohost různých intencí a potencialit. Antropomorfizace boha a nominalistické zrušení dogmatu o Trojici nebyly v tehdejším papežském Římě příliš populární inovace. Modernisté měli vyhráno v letech 1260‒70 pouze na Oxfordu a v Paříži v této době vedli rozhodující zápas o ovládnutí univerzity. Spis </w:t>
      </w:r>
      <w:r w:rsidR="08163013">
        <w:rPr>
          <w:i/>
          <w:iCs/>
        </w:rPr>
        <w:t>D</w:t>
      </w:r>
      <w:r w:rsidR="08163013" w:rsidRPr="00273106">
        <w:rPr>
          <w:i/>
          <w:iCs/>
        </w:rPr>
        <w:t>e potentia</w:t>
      </w:r>
      <w:r w:rsidR="08163013">
        <w:t xml:space="preserve"> zásadně odmítá jakouko</w:t>
      </w:r>
      <w:r w:rsidR="084F27FD">
        <w:t>liv antropomorfizaci boha</w:t>
      </w:r>
      <w:r w:rsidR="08163013" w:rsidRPr="00273106">
        <w:t>.</w:t>
      </w:r>
      <w:r w:rsidR="08163013">
        <w:t xml:space="preserve"> Klíčová věta rušící možnost objektivity v bohu je dána odmítnutím jakékoliv pasivní fun</w:t>
      </w:r>
      <w:r w:rsidR="084F27FD">
        <w:t>k</w:t>
      </w:r>
      <w:r w:rsidR="08163013">
        <w:t>ce v božím bytí (</w:t>
      </w:r>
      <w:r w:rsidR="08163013" w:rsidRPr="00FE1182">
        <w:rPr>
          <w:i/>
        </w:rPr>
        <w:t>in Deo nihil potest esse patiens, cum non sit ibi materia</w:t>
      </w:r>
      <w:r w:rsidR="08163013">
        <w:t>).</w:t>
      </w:r>
      <w:r w:rsidR="08163013" w:rsidRPr="00273106">
        <w:rPr>
          <w:rStyle w:val="Znakapoznpodarou"/>
        </w:rPr>
        <w:footnoteReference w:id="310"/>
      </w:r>
      <w:r w:rsidR="08163013">
        <w:t xml:space="preserve"> Bez této funkce ale nemůže fungovat moderní ontoteologická psychologie produkující objektivní exemplary jako pasivní předmět boží intencionality</w:t>
      </w:r>
      <w:r w:rsidR="08163013">
        <w:fldChar w:fldCharType="begin"/>
      </w:r>
      <w:r w:rsidR="08163013">
        <w:instrText xml:space="preserve"> XE "</w:instrText>
      </w:r>
      <w:r w:rsidR="08163013" w:rsidRPr="005D2F04">
        <w:instrText>intencionalita:boží</w:instrText>
      </w:r>
      <w:r w:rsidR="08163013">
        <w:instrText xml:space="preserve">" </w:instrText>
      </w:r>
      <w:r w:rsidR="08163013">
        <w:fldChar w:fldCharType="end"/>
      </w:r>
      <w:r w:rsidR="08E44EBF">
        <w:t>. Akvinský kritizuje sféru</w:t>
      </w:r>
      <w:r w:rsidR="08163013">
        <w:t xml:space="preserve"> boží objektivity i z jiného důvodu, který před ním jasně viděl Abelard proti neoplatonikům Gilbertovy školy (</w:t>
      </w:r>
      <w:r w:rsidR="08184B64">
        <w:t>OBJ II, kap. 1</w:t>
      </w:r>
      <w:r w:rsidR="08163013">
        <w:t xml:space="preserve">.3). Zavedením objektivity do božího bytí </w:t>
      </w:r>
      <w:r w:rsidR="08163013" w:rsidRPr="00273106">
        <w:t xml:space="preserve">přestaly </w:t>
      </w:r>
      <w:r w:rsidR="08163013">
        <w:t>o</w:t>
      </w:r>
      <w:r w:rsidR="08163013" w:rsidRPr="00273106">
        <w:t xml:space="preserve">soby v Trojici být definované v rámci </w:t>
      </w:r>
      <w:r w:rsidR="08163013" w:rsidRPr="00273106">
        <w:rPr>
          <w:i/>
        </w:rPr>
        <w:t>relatio</w:t>
      </w:r>
      <w:r w:rsidR="08163013">
        <w:rPr>
          <w:i/>
        </w:rPr>
        <w:fldChar w:fldCharType="begin"/>
      </w:r>
      <w:r w:rsidR="08163013">
        <w:instrText xml:space="preserve"> XE "</w:instrText>
      </w:r>
      <w:r w:rsidR="08163013" w:rsidRPr="00154F70">
        <w:rPr>
          <w:i/>
        </w:rPr>
        <w:instrText>relatio</w:instrText>
      </w:r>
      <w:r w:rsidR="08163013">
        <w:instrText xml:space="preserve">" </w:instrText>
      </w:r>
      <w:r w:rsidR="08163013">
        <w:rPr>
          <w:i/>
        </w:rPr>
        <w:lastRenderedPageBreak/>
        <w:fldChar w:fldCharType="end"/>
      </w:r>
      <w:r w:rsidR="08163013" w:rsidRPr="00273106">
        <w:t xml:space="preserve"> vázaného na autonomní </w:t>
      </w:r>
      <w:r w:rsidR="08163013" w:rsidRPr="00273106">
        <w:rPr>
          <w:i/>
        </w:rPr>
        <w:t>actus es</w:t>
      </w:r>
      <w:r w:rsidR="08163013">
        <w:rPr>
          <w:i/>
        </w:rPr>
        <w:t>s</w:t>
      </w:r>
      <w:r w:rsidR="08163013" w:rsidRPr="00273106">
        <w:rPr>
          <w:i/>
        </w:rPr>
        <w:t>endi</w:t>
      </w:r>
      <w:r w:rsidR="08163013" w:rsidRPr="00273106">
        <w:t xml:space="preserve"> osoby jako nedělitelné substance</w:t>
      </w:r>
      <w:r w:rsidR="08E46F0C">
        <w:t>. Objektivované oso</w:t>
      </w:r>
      <w:r w:rsidR="08DC1C5B">
        <w:t>b</w:t>
      </w:r>
      <w:r w:rsidR="08E46F0C">
        <w:t xml:space="preserve">y jako </w:t>
      </w:r>
      <w:r w:rsidR="08DC1C5B">
        <w:t xml:space="preserve">potenciální </w:t>
      </w:r>
      <w:r w:rsidR="08E46F0C">
        <w:t xml:space="preserve">esence </w:t>
      </w:r>
      <w:r w:rsidR="08DC1C5B">
        <w:t xml:space="preserve">nebo intence </w:t>
      </w:r>
      <w:r w:rsidR="08E46F0C">
        <w:t xml:space="preserve">se </w:t>
      </w:r>
      <w:r w:rsidR="08163013" w:rsidRPr="00273106">
        <w:t xml:space="preserve">dostaly do oblasti ariánské nebo sabeliánské hereze. </w:t>
      </w:r>
      <w:r w:rsidR="08163013">
        <w:t>Na stejný problém upozorňuje modernisty Akvinský, protože jejich pojetí osoby zanáší do Trojice pouze intencionálně založené vztahy</w:t>
      </w:r>
      <w:r w:rsidR="08C36560">
        <w:t xml:space="preserve"> </w:t>
      </w:r>
      <w:r w:rsidR="08C36560" w:rsidRPr="081942A4">
        <w:rPr>
          <w:szCs w:val="24"/>
        </w:rPr>
        <w:t>(</w:t>
      </w:r>
      <w:r w:rsidR="08C36560" w:rsidRPr="000D6144">
        <w:rPr>
          <w:i/>
        </w:rPr>
        <w:t>realis relatio intelligi non possit</w:t>
      </w:r>
      <w:r w:rsidR="08C36560" w:rsidRPr="081942A4">
        <w:rPr>
          <w:szCs w:val="24"/>
        </w:rPr>
        <w:t>)</w:t>
      </w:r>
      <w:r w:rsidR="08163013">
        <w:t>.</w:t>
      </w:r>
      <w:r w:rsidR="08163013">
        <w:rPr>
          <w:rStyle w:val="Znakapoznpodarou"/>
        </w:rPr>
        <w:footnoteReference w:id="311"/>
      </w:r>
      <w:r w:rsidR="08163013">
        <w:t xml:space="preserve"> Nominálně definové vztahy Osob v objektivní Boží Trojici skončí v porretánském triteismu</w:t>
      </w:r>
      <w:r w:rsidR="08163013">
        <w:fldChar w:fldCharType="begin"/>
      </w:r>
      <w:r w:rsidR="08163013">
        <w:instrText xml:space="preserve"> XE "</w:instrText>
      </w:r>
      <w:r w:rsidR="08163013" w:rsidRPr="00944E5C">
        <w:instrText>triteismus</w:instrText>
      </w:r>
      <w:r w:rsidR="08163013">
        <w:instrText xml:space="preserve">" </w:instrText>
      </w:r>
      <w:r w:rsidR="08163013">
        <w:fldChar w:fldCharType="end"/>
      </w:r>
      <w:r w:rsidR="08163013">
        <w:t xml:space="preserve"> nebo ve striktním monoteismu bez rozlišení božských Osob. Jednota </w:t>
      </w:r>
      <w:r w:rsidR="08DE304E">
        <w:t xml:space="preserve">reálné </w:t>
      </w:r>
      <w:r w:rsidR="08163013">
        <w:t>osoby se stala stejně jako za Anselma klíčovou otázkou trinitární teologie a předpokládala tehdy jako dnes zásadní kritiku plurality substančních forem v člověku</w:t>
      </w:r>
      <w:r w:rsidR="08163013">
        <w:fldChar w:fldCharType="begin"/>
      </w:r>
      <w:r w:rsidR="08163013">
        <w:instrText xml:space="preserve"> XE "osoba:pluralita</w:instrText>
      </w:r>
      <w:r w:rsidR="08163013" w:rsidRPr="00F244AB">
        <w:instrText xml:space="preserve"> substancí</w:instrText>
      </w:r>
      <w:r w:rsidR="08163013">
        <w:instrText xml:space="preserve">" </w:instrText>
      </w:r>
      <w:r w:rsidR="08163013">
        <w:fldChar w:fldCharType="end"/>
      </w:r>
      <w:r w:rsidR="08163013">
        <w:t xml:space="preserve">. Proto byl ideový boj v </w:t>
      </w:r>
      <w:proofErr w:type="gramStart"/>
      <w:r w:rsidR="08163013">
        <w:t>Paříži  v letech</w:t>
      </w:r>
      <w:proofErr w:type="gramEnd"/>
      <w:r w:rsidR="08163013">
        <w:t xml:space="preserve"> 1270‒77 tak ostrý a proto byl Akvinský poslán z papežské ortodoxní Itálie do </w:t>
      </w:r>
      <w:r w:rsidR="00EA5261">
        <w:t xml:space="preserve">čerstvě modernistické a už totálně </w:t>
      </w:r>
      <w:r w:rsidR="009268FB">
        <w:t xml:space="preserve">zmatené Paříže. </w:t>
      </w:r>
      <w:r w:rsidR="08163013">
        <w:t xml:space="preserve">Závěr kapitoly věnované Sigerovi ukázal, že na katedře mendikantských řádů začala okolo roku 1270 první viditelná agónie </w:t>
      </w:r>
      <w:r w:rsidR="003D17F5">
        <w:t xml:space="preserve">moderního boha. </w:t>
      </w:r>
      <w:r w:rsidR="003D17F5" w:rsidRPr="003D17F5">
        <w:t xml:space="preserve">Porretáni a </w:t>
      </w:r>
      <w:r w:rsidR="003D17F5" w:rsidRPr="003D17F5">
        <w:rPr>
          <w:i/>
        </w:rPr>
        <w:t>Nominales</w:t>
      </w:r>
      <w:r w:rsidR="003D17F5">
        <w:t xml:space="preserve"> v době Abelarda</w:t>
      </w:r>
      <w:r w:rsidR="003D17F5" w:rsidRPr="003D17F5">
        <w:t xml:space="preserve"> připravovali </w:t>
      </w:r>
      <w:r w:rsidR="00485F62">
        <w:t>ná</w:t>
      </w:r>
      <w:r w:rsidR="003D17F5" w:rsidRPr="003D17F5">
        <w:t xml:space="preserve">stup tohoto idolu tím, že zavedli sofistickou </w:t>
      </w:r>
      <w:r w:rsidR="003D17F5">
        <w:t xml:space="preserve">formu </w:t>
      </w:r>
      <w:r w:rsidR="003D17F5" w:rsidRPr="003D17F5">
        <w:t>moderní metafyziky (OBJ II, Kap. 1.3).</w:t>
      </w:r>
      <w:r w:rsidR="003D17F5">
        <w:t xml:space="preserve"> </w:t>
      </w:r>
      <w:r w:rsidR="08163013">
        <w:t>Likvidace jednotné</w:t>
      </w:r>
      <w:r w:rsidR="002C306F">
        <w:t xml:space="preserve"> povahy </w:t>
      </w:r>
      <w:r w:rsidR="08163013">
        <w:t>osoby v sofistickém pojetí modernistů hraničila s herezí a ohrožovala základní křesťanské dogma. Rozpadem osoby bylo totiž ohroženo dogma o Trojici</w:t>
      </w:r>
      <w:r w:rsidR="00192D61">
        <w:t xml:space="preserve">. Tento fakt už nikoho netrápí </w:t>
      </w:r>
      <w:r w:rsidR="08163013">
        <w:t xml:space="preserve">ve věku dokonaného metafyzického nihilismu a </w:t>
      </w:r>
      <w:r w:rsidR="00192D61">
        <w:t xml:space="preserve">po </w:t>
      </w:r>
      <w:r w:rsidR="08163013">
        <w:t xml:space="preserve">smrti </w:t>
      </w:r>
      <w:r w:rsidR="00192D61">
        <w:t xml:space="preserve">moderního </w:t>
      </w:r>
      <w:r w:rsidR="08163013">
        <w:t>boha</w:t>
      </w:r>
      <w:r w:rsidR="08163013">
        <w:fldChar w:fldCharType="begin"/>
      </w:r>
      <w:r w:rsidR="08163013">
        <w:instrText xml:space="preserve"> XE "</w:instrText>
      </w:r>
      <w:r w:rsidR="08163013" w:rsidRPr="081B304D">
        <w:instrText>smrt boha</w:instrText>
      </w:r>
      <w:r w:rsidR="08163013">
        <w:instrText xml:space="preserve">" </w:instrText>
      </w:r>
      <w:r w:rsidR="08163013">
        <w:fldChar w:fldCharType="end"/>
      </w:r>
      <w:r w:rsidR="009268FB">
        <w:t>.</w:t>
      </w:r>
    </w:p>
    <w:p w:rsidR="08163013" w:rsidRDefault="08163013" w:rsidP="009268FB">
      <w:pPr>
        <w:ind w:firstLine="397"/>
        <w:rPr>
          <w:rStyle w:val="ref"/>
        </w:rPr>
      </w:pPr>
      <w:r>
        <w:rPr>
          <w:rStyle w:val="ref"/>
        </w:rPr>
        <w:t xml:space="preserve">Bonaventurova škola pojala Trojici v modu analogické objektivity s lidským poznáním v modu </w:t>
      </w:r>
      <w:r w:rsidR="001908E7" w:rsidRPr="004A785D">
        <w:rPr>
          <w:i/>
        </w:rPr>
        <w:t>regula agentis in</w:t>
      </w:r>
      <w:r w:rsidR="001908E7" w:rsidRPr="004A785D">
        <w:rPr>
          <w:i/>
          <w:lang w:val="en-US"/>
        </w:rPr>
        <w:t xml:space="preserve">creati </w:t>
      </w:r>
      <w:r w:rsidR="001908E7" w:rsidRPr="004A785D">
        <w:rPr>
          <w:i/>
        </w:rPr>
        <w:t>et creati</w:t>
      </w:r>
      <w:r w:rsidR="001908E7">
        <w:t xml:space="preserve"> </w:t>
      </w:r>
      <w:r>
        <w:rPr>
          <w:rStyle w:val="ref"/>
          <w:i/>
        </w:rPr>
        <w:fldChar w:fldCharType="begin"/>
      </w:r>
      <w:r>
        <w:instrText xml:space="preserve"> XE "</w:instrText>
      </w:r>
      <w:r w:rsidRPr="007179D6">
        <w:instrText>regule</w:instrText>
      </w:r>
      <w:r>
        <w:rPr>
          <w:i/>
        </w:rPr>
        <w:instrText>:</w:instrText>
      </w:r>
      <w:r w:rsidRPr="000E37A2">
        <w:rPr>
          <w:i/>
        </w:rPr>
        <w:instrText>agentis in/creati</w:instrText>
      </w:r>
      <w:r>
        <w:instrText xml:space="preserve">" </w:instrText>
      </w:r>
      <w:r>
        <w:rPr>
          <w:rStyle w:val="ref"/>
          <w:i/>
        </w:rPr>
        <w:fldChar w:fldCharType="end"/>
      </w:r>
      <w:r>
        <w:rPr>
          <w:rStyle w:val="ref"/>
        </w:rPr>
        <w:t xml:space="preserve"> (</w:t>
      </w:r>
      <w:r w:rsidR="08DA22B9">
        <w:t>kap. 4</w:t>
      </w:r>
      <w:r w:rsidRPr="00273106">
        <w:t>.1.2</w:t>
      </w:r>
      <w:r>
        <w:rPr>
          <w:rStyle w:val="ref"/>
        </w:rPr>
        <w:t>). Akvinského disputace v Itálii naopak analyzovaly průběh lidského poznání podle učení aristotelských Modistů</w:t>
      </w:r>
      <w:r>
        <w:rPr>
          <w:rStyle w:val="ref"/>
          <w:i/>
        </w:rPr>
        <w:fldChar w:fldCharType="begin"/>
      </w:r>
      <w:r>
        <w:instrText xml:space="preserve"> XE "Modisté" </w:instrText>
      </w:r>
      <w:r>
        <w:rPr>
          <w:rStyle w:val="ref"/>
          <w:i/>
        </w:rPr>
        <w:fldChar w:fldCharType="end"/>
      </w:r>
      <w:r>
        <w:rPr>
          <w:rStyle w:val="ref"/>
        </w:rPr>
        <w:t xml:space="preserve">, protože se oddělily od univoční ontoteologie druhého averroismu. </w:t>
      </w:r>
      <w:r w:rsidRPr="00273106">
        <w:t xml:space="preserve">Centrální část teologicky zaměřeného traktátu </w:t>
      </w:r>
      <w:r>
        <w:rPr>
          <w:i/>
        </w:rPr>
        <w:t>Q</w:t>
      </w:r>
      <w:r w:rsidR="004C4785">
        <w:rPr>
          <w:i/>
        </w:rPr>
        <w:t>D</w:t>
      </w:r>
      <w:r>
        <w:rPr>
          <w:i/>
        </w:rPr>
        <w:t xml:space="preserve"> D</w:t>
      </w:r>
      <w:r w:rsidRPr="00273106">
        <w:rPr>
          <w:i/>
        </w:rPr>
        <w:t>e potentia</w:t>
      </w:r>
      <w:r w:rsidRPr="00273106">
        <w:t xml:space="preserve"> popisuje, jak vzniká slovo v lidském poznání a jaký je vztah našeho poznání k vnější realitě</w:t>
      </w:r>
      <w:r w:rsidRPr="00273106">
        <w:rPr>
          <w:rStyle w:val="ref"/>
        </w:rPr>
        <w:t>.</w:t>
      </w:r>
      <w:r>
        <w:rPr>
          <w:rStyle w:val="ref"/>
        </w:rPr>
        <w:t xml:space="preserve"> Tato pasáž </w:t>
      </w:r>
      <w:r w:rsidR="089875FD">
        <w:rPr>
          <w:rStyle w:val="ref"/>
        </w:rPr>
        <w:t xml:space="preserve">popisující průběh </w:t>
      </w:r>
      <w:r>
        <w:rPr>
          <w:rStyle w:val="ref"/>
        </w:rPr>
        <w:t xml:space="preserve">poznání uzavírá první etapu Tomášova myšlení ohledně jednoty osoby a intelektu a určuje </w:t>
      </w:r>
      <w:r w:rsidR="08C62E13">
        <w:rPr>
          <w:rStyle w:val="ref"/>
        </w:rPr>
        <w:t xml:space="preserve">jeho </w:t>
      </w:r>
      <w:r>
        <w:rPr>
          <w:rStyle w:val="ref"/>
        </w:rPr>
        <w:t xml:space="preserve">výklad poznání až do vydání spisu </w:t>
      </w:r>
      <w:r w:rsidRPr="00CF1F57">
        <w:rPr>
          <w:rStyle w:val="ref"/>
          <w:i/>
        </w:rPr>
        <w:t>De unitate intellectus</w:t>
      </w:r>
      <w:r>
        <w:rPr>
          <w:rStyle w:val="ref"/>
        </w:rPr>
        <w:t xml:space="preserve"> (1270). </w:t>
      </w:r>
      <w:r w:rsidRPr="00273106">
        <w:rPr>
          <w:rStyle w:val="ref"/>
        </w:rPr>
        <w:t xml:space="preserve">Citát </w:t>
      </w:r>
      <w:r>
        <w:rPr>
          <w:rStyle w:val="ref"/>
        </w:rPr>
        <w:t>nejprve definuje čtyři základní roviny,</w:t>
      </w:r>
      <w:r w:rsidRPr="00273106">
        <w:rPr>
          <w:rStyle w:val="ref"/>
        </w:rPr>
        <w:t xml:space="preserve"> v nichž se poznání </w:t>
      </w:r>
      <w:r>
        <w:rPr>
          <w:rStyle w:val="ref"/>
        </w:rPr>
        <w:t xml:space="preserve">postupně </w:t>
      </w:r>
      <w:r w:rsidRPr="00273106">
        <w:rPr>
          <w:rStyle w:val="ref"/>
        </w:rPr>
        <w:t>děje</w:t>
      </w:r>
      <w:r>
        <w:rPr>
          <w:rStyle w:val="ref"/>
        </w:rPr>
        <w:t xml:space="preserve">. Vzorem je Albertem popsaná gradualita v </w:t>
      </w:r>
      <w:r w:rsidRPr="00373527">
        <w:rPr>
          <w:rStyle w:val="ref"/>
          <w:i/>
        </w:rPr>
        <w:t>De homine</w:t>
      </w:r>
      <w:r>
        <w:rPr>
          <w:rStyle w:val="ref"/>
        </w:rPr>
        <w:t xml:space="preserve"> (</w:t>
      </w:r>
      <w:r w:rsidRPr="00273106">
        <w:rPr>
          <w:i/>
        </w:rPr>
        <w:t>quatuor sunt gradus</w:t>
      </w:r>
      <w:r w:rsidR="0867632C">
        <w:t>; OBJ II, kap. 2</w:t>
      </w:r>
      <w:r w:rsidRPr="00102EE8">
        <w:t>.4.2</w:t>
      </w:r>
      <w:r>
        <w:rPr>
          <w:rStyle w:val="ref"/>
        </w:rPr>
        <w:t>)</w:t>
      </w:r>
      <w:r w:rsidRPr="00273106">
        <w:rPr>
          <w:rStyle w:val="ref"/>
        </w:rPr>
        <w:t>.</w:t>
      </w:r>
      <w:r>
        <w:rPr>
          <w:rStyle w:val="ref"/>
        </w:rPr>
        <w:t xml:space="preserve"> Schéma ale opustilo avicennovskou klasifikaci objektivních forem intelektu a pracuje pouze s </w:t>
      </w:r>
      <w:r>
        <w:rPr>
          <w:rStyle w:val="ref"/>
        </w:rPr>
        <w:lastRenderedPageBreak/>
        <w:t xml:space="preserve">duálním schématem Blundovy aristotelské školy v modu aktu a potence. Tímto způsobem je popsaný proces poznání podle tří </w:t>
      </w:r>
      <w:r w:rsidR="00962190">
        <w:rPr>
          <w:rStyle w:val="ref"/>
          <w:i/>
        </w:rPr>
        <w:t>species</w:t>
      </w:r>
      <w:r>
        <w:rPr>
          <w:rStyle w:val="ref"/>
        </w:rPr>
        <w:t xml:space="preserve"> intelektu, jak to</w:t>
      </w:r>
      <w:r w:rsidR="0003757A">
        <w:rPr>
          <w:rStyle w:val="ref"/>
        </w:rPr>
        <w:t xml:space="preserve"> měl Albert. Komentujme klíčové</w:t>
      </w:r>
      <w:r>
        <w:rPr>
          <w:rStyle w:val="ref"/>
        </w:rPr>
        <w:t xml:space="preserve"> pasáž</w:t>
      </w:r>
      <w:r w:rsidR="0003757A">
        <w:rPr>
          <w:rStyle w:val="ref"/>
        </w:rPr>
        <w:t>e výkladu poznání</w:t>
      </w:r>
      <w:r w:rsidR="008D770E">
        <w:rPr>
          <w:rStyle w:val="ref"/>
        </w:rPr>
        <w:t xml:space="preserve"> </w:t>
      </w:r>
      <w:r w:rsidR="0003757A">
        <w:rPr>
          <w:rStyle w:val="ref"/>
        </w:rPr>
        <w:t>tím</w:t>
      </w:r>
      <w:r w:rsidR="008D770E">
        <w:rPr>
          <w:rStyle w:val="ref"/>
        </w:rPr>
        <w:t>,</w:t>
      </w:r>
      <w:r w:rsidR="0003757A">
        <w:rPr>
          <w:rStyle w:val="ref"/>
        </w:rPr>
        <w:t xml:space="preserve"> že je projdeme </w:t>
      </w:r>
      <w:r>
        <w:rPr>
          <w:rStyle w:val="ref"/>
        </w:rPr>
        <w:t xml:space="preserve">větu po větě </w:t>
      </w:r>
      <w:r>
        <w:t>(</w:t>
      </w:r>
      <w:r>
        <w:rPr>
          <w:i/>
        </w:rPr>
        <w:t>Quaestiones disputatae D</w:t>
      </w:r>
      <w:r w:rsidRPr="00273106">
        <w:rPr>
          <w:i/>
        </w:rPr>
        <w:t>e potentia</w:t>
      </w:r>
      <w:r>
        <w:t xml:space="preserve">, </w:t>
      </w:r>
      <w:r>
        <w:rPr>
          <w:rStyle w:val="ref"/>
        </w:rPr>
        <w:t>q. 8, a. 1</w:t>
      </w:r>
      <w:r>
        <w:t>)</w:t>
      </w:r>
      <w:r>
        <w:rPr>
          <w:rStyle w:val="ref"/>
        </w:rPr>
        <w:t>.</w:t>
      </w:r>
    </w:p>
    <w:p w:rsidR="08163013" w:rsidRPr="00BC2285" w:rsidRDefault="08163013" w:rsidP="08163013">
      <w:pPr>
        <w:pStyle w:val="Citace"/>
      </w:pPr>
      <w:r w:rsidRPr="00273106">
        <w:t>„</w:t>
      </w:r>
      <w:r>
        <w:t xml:space="preserve">Porozumění má </w:t>
      </w:r>
      <w:r>
        <w:rPr>
          <w:lang w:val="cs-CZ"/>
        </w:rPr>
        <w:t xml:space="preserve">v </w:t>
      </w:r>
      <w:r>
        <w:t xml:space="preserve">člověku čtyři stupně: </w:t>
      </w:r>
      <w:r>
        <w:rPr>
          <w:lang w:val="cs-CZ"/>
        </w:rPr>
        <w:t xml:space="preserve">věc, která je poznávána; inteligibilní </w:t>
      </w:r>
      <w:r w:rsidR="00962190" w:rsidRPr="00340732">
        <w:rPr>
          <w:lang w:val="cs-CZ"/>
        </w:rPr>
        <w:t>species</w:t>
      </w:r>
      <w:r>
        <w:rPr>
          <w:lang w:val="cs-CZ"/>
        </w:rPr>
        <w:t>, skrze které se intelekt stává aktuálním; vlastní výkon porozumění; univerzální koncept intelektu.</w:t>
      </w:r>
      <w:r>
        <w:t xml:space="preserve">“ </w:t>
      </w:r>
      <w:r>
        <w:rPr>
          <w:rStyle w:val="Znakapoznpodarou"/>
          <w:iCs/>
        </w:rPr>
        <w:footnoteReference w:id="312"/>
      </w:r>
    </w:p>
    <w:p w:rsidR="008B0185" w:rsidRDefault="08163013" w:rsidP="08163013">
      <w:pPr>
        <w:rPr>
          <w:iCs/>
        </w:rPr>
      </w:pPr>
      <w:r w:rsidRPr="00273106">
        <w:rPr>
          <w:iCs/>
        </w:rPr>
        <w:t>Poznávaná věc tvoří finální příčinu (</w:t>
      </w:r>
      <w:r w:rsidRPr="00273106">
        <w:rPr>
          <w:i/>
        </w:rPr>
        <w:t>ad rem quae intelligitur</w:t>
      </w:r>
      <w:r w:rsidRPr="00273106">
        <w:rPr>
          <w:iCs/>
        </w:rPr>
        <w:t>), protože k ní poznání směřuje jako ke svému cíli v rámci hledané adekvace</w:t>
      </w:r>
      <w:r>
        <w:rPr>
          <w:iCs/>
        </w:rPr>
        <w:t xml:space="preserve"> s externí věcí. Její aktuální existence daná mimo nás kauzálně zakládá naše poznání. </w:t>
      </w:r>
      <w:r w:rsidR="00156A6E">
        <w:rPr>
          <w:iCs/>
        </w:rPr>
        <w:t xml:space="preserve">Přechod od reálné věci k </w:t>
      </w:r>
      <w:r>
        <w:rPr>
          <w:iCs/>
        </w:rPr>
        <w:t>inteligibilní</w:t>
      </w:r>
      <w:r w:rsidR="00156A6E">
        <w:rPr>
          <w:iCs/>
        </w:rPr>
        <w:t>mu</w:t>
      </w:r>
      <w:r w:rsidRPr="00273106">
        <w:rPr>
          <w:iCs/>
        </w:rPr>
        <w:t xml:space="preserve"> </w:t>
      </w:r>
      <w:r w:rsidR="00962190" w:rsidRPr="00156A6E">
        <w:rPr>
          <w:iCs/>
        </w:rPr>
        <w:t>species</w:t>
      </w:r>
      <w:r w:rsidRPr="00273106">
        <w:rPr>
          <w:iCs/>
        </w:rPr>
        <w:t xml:space="preserve"> (</w:t>
      </w:r>
      <w:r w:rsidR="00E116C9" w:rsidRPr="00B36437">
        <w:rPr>
          <w:i/>
        </w:rPr>
        <w:t>ad</w:t>
      </w:r>
      <w:r w:rsidR="00E116C9">
        <w:t xml:space="preserve"> </w:t>
      </w:r>
      <w:r w:rsidRPr="00273106">
        <w:rPr>
          <w:i/>
        </w:rPr>
        <w:t>speciem intelligibilem</w:t>
      </w:r>
      <w:r>
        <w:rPr>
          <w:i/>
        </w:rPr>
        <w:fldChar w:fldCharType="begin"/>
      </w:r>
      <w:r>
        <w:instrText xml:space="preserve"> XE "</w:instrText>
      </w:r>
      <w:r w:rsidRPr="00A40BA5">
        <w:rPr>
          <w:i/>
        </w:rPr>
        <w:instrText>species intelligibilis:</w:instrText>
      </w:r>
      <w:r w:rsidRPr="00723759">
        <w:instrText>Akvinský</w:instrText>
      </w:r>
      <w:r>
        <w:instrText xml:space="preserve">" </w:instrText>
      </w:r>
      <w:r>
        <w:rPr>
          <w:i/>
        </w:rPr>
        <w:fldChar w:fldCharType="end"/>
      </w:r>
      <w:r w:rsidRPr="00273106">
        <w:t xml:space="preserve">) </w:t>
      </w:r>
      <w:r w:rsidR="00156A6E">
        <w:rPr>
          <w:iCs/>
        </w:rPr>
        <w:t>je dán</w:t>
      </w:r>
      <w:r w:rsidRPr="00273106">
        <w:rPr>
          <w:iCs/>
        </w:rPr>
        <w:t xml:space="preserve"> jako účinná příčina celého procesu poznání (</w:t>
      </w:r>
      <w:r w:rsidRPr="00273106">
        <w:rPr>
          <w:i/>
        </w:rPr>
        <w:t>qua fit intellectus in actu</w:t>
      </w:r>
      <w:r w:rsidRPr="00273106">
        <w:rPr>
          <w:iCs/>
        </w:rPr>
        <w:t xml:space="preserve">). </w:t>
      </w:r>
      <w:r>
        <w:rPr>
          <w:iCs/>
        </w:rPr>
        <w:t>Ta</w:t>
      </w:r>
      <w:r w:rsidRPr="00273106">
        <w:rPr>
          <w:iCs/>
        </w:rPr>
        <w:t xml:space="preserve">to </w:t>
      </w:r>
      <w:r w:rsidR="00962190" w:rsidRPr="00576209">
        <w:rPr>
          <w:iCs/>
        </w:rPr>
        <w:t>species</w:t>
      </w:r>
      <w:r w:rsidR="00576209">
        <w:rPr>
          <w:iCs/>
        </w:rPr>
        <w:t xml:space="preserve"> se stává </w:t>
      </w:r>
      <w:r w:rsidR="00576209">
        <w:rPr>
          <w:rStyle w:val="ezkurwreuab5ozgtqnkl"/>
        </w:rPr>
        <w:t>účinnou</w:t>
      </w:r>
      <w:r w:rsidR="00576209">
        <w:t xml:space="preserve"> </w:t>
      </w:r>
      <w:r w:rsidR="00576209">
        <w:rPr>
          <w:rStyle w:val="ezkurwreuab5ozgtqnkl"/>
        </w:rPr>
        <w:t>formou</w:t>
      </w:r>
      <w:r w:rsidR="00576209">
        <w:t xml:space="preserve"> </w:t>
      </w:r>
      <w:r w:rsidR="00576209">
        <w:rPr>
          <w:rStyle w:val="ezkurwreuab5ozgtqnkl"/>
        </w:rPr>
        <w:t>tím, že je utvořena smyslově na nižší úrovni poznání.</w:t>
      </w:r>
      <w:r w:rsidR="00576209">
        <w:t xml:space="preserve"> </w:t>
      </w:r>
      <w:r w:rsidR="00576209">
        <w:rPr>
          <w:rStyle w:val="ezkurwreuab5ozgtqnkl"/>
        </w:rPr>
        <w:t>Proto odvozuje</w:t>
      </w:r>
      <w:r w:rsidR="00576209">
        <w:t xml:space="preserve"> </w:t>
      </w:r>
      <w:r w:rsidR="00585A56">
        <w:rPr>
          <w:rStyle w:val="ezkurwreuab5ozgtqnkl"/>
        </w:rPr>
        <w:t>svou aktua</w:t>
      </w:r>
      <w:r w:rsidR="00576209">
        <w:rPr>
          <w:rStyle w:val="ezkurwreuab5ozgtqnkl"/>
        </w:rPr>
        <w:t>l</w:t>
      </w:r>
      <w:r w:rsidR="00585A56">
        <w:rPr>
          <w:rStyle w:val="ezkurwreuab5ozgtqnkl"/>
        </w:rPr>
        <w:t>izaci</w:t>
      </w:r>
      <w:r w:rsidR="00576209">
        <w:t xml:space="preserve"> </w:t>
      </w:r>
      <w:r w:rsidR="00576209">
        <w:rPr>
          <w:rStyle w:val="ezkurwreuab5ozgtqnkl"/>
        </w:rPr>
        <w:t>od</w:t>
      </w:r>
      <w:r w:rsidR="00576209">
        <w:t xml:space="preserve"> </w:t>
      </w:r>
      <w:r w:rsidR="00576209">
        <w:rPr>
          <w:rStyle w:val="ezkurwreuab5ozgtqnkl"/>
        </w:rPr>
        <w:t>tělesných smyslů</w:t>
      </w:r>
      <w:r w:rsidR="00576209">
        <w:t xml:space="preserve">. </w:t>
      </w:r>
      <w:r w:rsidRPr="00273106">
        <w:rPr>
          <w:iCs/>
        </w:rPr>
        <w:t>Smyslové fanta</w:t>
      </w:r>
      <w:r w:rsidR="003034CB">
        <w:rPr>
          <w:iCs/>
        </w:rPr>
        <w:t>sma zajišťuje materiální kauzalitu</w:t>
      </w:r>
      <w:r w:rsidRPr="00273106">
        <w:rPr>
          <w:iCs/>
        </w:rPr>
        <w:t xml:space="preserve"> pro operaci intelektu (</w:t>
      </w:r>
      <w:r w:rsidRPr="00273106">
        <w:rPr>
          <w:i/>
          <w:iCs/>
        </w:rPr>
        <w:t>materia causae</w:t>
      </w:r>
      <w:r>
        <w:rPr>
          <w:i/>
          <w:iCs/>
        </w:rPr>
        <w:t>;</w:t>
      </w:r>
      <w:r w:rsidRPr="00273106">
        <w:rPr>
          <w:iCs/>
        </w:rPr>
        <w:t xml:space="preserve"> ST </w:t>
      </w:r>
      <w:r>
        <w:rPr>
          <w:iCs/>
        </w:rPr>
        <w:t xml:space="preserve">I, q. </w:t>
      </w:r>
      <w:r w:rsidRPr="00273106">
        <w:rPr>
          <w:iCs/>
        </w:rPr>
        <w:t>84</w:t>
      </w:r>
      <w:r>
        <w:rPr>
          <w:iCs/>
        </w:rPr>
        <w:t xml:space="preserve">, a. </w:t>
      </w:r>
      <w:r w:rsidRPr="00273106">
        <w:rPr>
          <w:iCs/>
        </w:rPr>
        <w:t>6</w:t>
      </w:r>
      <w:r>
        <w:rPr>
          <w:iCs/>
        </w:rPr>
        <w:fldChar w:fldCharType="begin"/>
      </w:r>
      <w:r>
        <w:instrText xml:space="preserve"> XE "</w:instrText>
      </w:r>
      <w:r w:rsidRPr="006818EB">
        <w:rPr>
          <w:iCs/>
        </w:rPr>
        <w:instrText>Akvinský:</w:instrText>
      </w:r>
      <w:proofErr w:type="gramStart"/>
      <w:r w:rsidRPr="006818EB">
        <w:rPr>
          <w:iCs/>
        </w:rPr>
        <w:instrText>ST I</w:instrText>
      </w:r>
      <w:r>
        <w:rPr>
          <w:iCs/>
        </w:rPr>
        <w:instrText>.84.6</w:instrText>
      </w:r>
      <w:proofErr w:type="gramEnd"/>
      <w:r>
        <w:instrText xml:space="preserve">" </w:instrText>
      </w:r>
      <w:r>
        <w:rPr>
          <w:iCs/>
        </w:rPr>
        <w:fldChar w:fldCharType="end"/>
      </w:r>
      <w:r w:rsidRPr="00273106">
        <w:rPr>
          <w:iCs/>
        </w:rPr>
        <w:t>). Účinnou příčinou poznání je akt porozumění daný v individuálním intelektu</w:t>
      </w:r>
      <w:r w:rsidRPr="00273106">
        <w:t xml:space="preserve">, který vytváří </w:t>
      </w:r>
      <w:r>
        <w:t xml:space="preserve">individuální </w:t>
      </w:r>
      <w:r w:rsidR="00962190" w:rsidRPr="008B0185">
        <w:t>species</w:t>
      </w:r>
      <w:r w:rsidRPr="00273106">
        <w:t xml:space="preserve"> v procesu </w:t>
      </w:r>
      <w:r>
        <w:t xml:space="preserve">individuální </w:t>
      </w:r>
      <w:r w:rsidRPr="00273106">
        <w:t xml:space="preserve">abstrakce. </w:t>
      </w:r>
      <w:r>
        <w:t xml:space="preserve">Tím </w:t>
      </w:r>
      <w:r w:rsidRPr="00273106">
        <w:t>dochází k přechodu z</w:t>
      </w:r>
      <w:r w:rsidRPr="00273106">
        <w:rPr>
          <w:iCs/>
        </w:rPr>
        <w:t xml:space="preserve"> potenciality </w:t>
      </w:r>
      <w:r w:rsidR="00962190">
        <w:rPr>
          <w:i/>
          <w:iCs/>
        </w:rPr>
        <w:t>species</w:t>
      </w:r>
      <w:r w:rsidRPr="00273106">
        <w:rPr>
          <w:i/>
          <w:iCs/>
        </w:rPr>
        <w:t xml:space="preserve"> intelligibilis</w:t>
      </w:r>
      <w:r w:rsidRPr="00273106">
        <w:rPr>
          <w:iCs/>
        </w:rPr>
        <w:t xml:space="preserve"> do jejich aktuality. Intelekt se skrze </w:t>
      </w:r>
      <w:r>
        <w:rPr>
          <w:iCs/>
        </w:rPr>
        <w:t xml:space="preserve">formaci </w:t>
      </w:r>
      <w:r w:rsidRPr="00273106">
        <w:rPr>
          <w:iCs/>
        </w:rPr>
        <w:t xml:space="preserve">inteligibilní </w:t>
      </w:r>
      <w:r w:rsidR="00962190" w:rsidRPr="008B0185">
        <w:rPr>
          <w:iCs/>
        </w:rPr>
        <w:t>species</w:t>
      </w:r>
      <w:r w:rsidRPr="00273106">
        <w:rPr>
          <w:iCs/>
        </w:rPr>
        <w:t xml:space="preserve"> stává aktuálním poznáním (</w:t>
      </w:r>
      <w:r w:rsidRPr="00273106">
        <w:rPr>
          <w:i/>
        </w:rPr>
        <w:t>ad suum intelligere</w:t>
      </w:r>
      <w:r w:rsidRPr="00273106">
        <w:t>)</w:t>
      </w:r>
      <w:r w:rsidRPr="00273106">
        <w:rPr>
          <w:iCs/>
        </w:rPr>
        <w:t>.</w:t>
      </w:r>
      <w:r>
        <w:rPr>
          <w:iCs/>
        </w:rPr>
        <w:t xml:space="preserve"> </w:t>
      </w:r>
      <w:r w:rsidRPr="00273106">
        <w:rPr>
          <w:iCs/>
        </w:rPr>
        <w:t>Formální příčinou poznání je aktualizovaný koncept (</w:t>
      </w:r>
      <w:r w:rsidRPr="00273106">
        <w:rPr>
          <w:i/>
        </w:rPr>
        <w:t>ad conceptionem intellectus</w:t>
      </w:r>
      <w:r>
        <w:t xml:space="preserve">). Z </w:t>
      </w:r>
      <w:r w:rsidRPr="00273106">
        <w:t>hlediska e</w:t>
      </w:r>
      <w:r>
        <w:t xml:space="preserve">fektivního výkonu intelektu platí, že </w:t>
      </w:r>
      <w:r w:rsidR="00962190">
        <w:rPr>
          <w:i/>
          <w:iCs/>
        </w:rPr>
        <w:t>species</w:t>
      </w:r>
      <w:r w:rsidRPr="00273106">
        <w:rPr>
          <w:i/>
          <w:iCs/>
        </w:rPr>
        <w:t xml:space="preserve"> intelligibilis</w:t>
      </w:r>
      <w:r w:rsidRPr="00273106">
        <w:rPr>
          <w:iCs/>
        </w:rPr>
        <w:t xml:space="preserve"> </w:t>
      </w:r>
      <w:r>
        <w:t>dodává aktuální obsah pro k</w:t>
      </w:r>
      <w:r w:rsidRPr="00273106">
        <w:rPr>
          <w:iCs/>
        </w:rPr>
        <w:t xml:space="preserve">onečný </w:t>
      </w:r>
      <w:r>
        <w:rPr>
          <w:iCs/>
        </w:rPr>
        <w:t xml:space="preserve">stav </w:t>
      </w:r>
      <w:r w:rsidRPr="00273106">
        <w:rPr>
          <w:iCs/>
        </w:rPr>
        <w:t xml:space="preserve">poznání, </w:t>
      </w:r>
      <w:r>
        <w:rPr>
          <w:iCs/>
        </w:rPr>
        <w:t xml:space="preserve">kdy činný intelekt vytváří </w:t>
      </w:r>
      <w:r w:rsidRPr="00273106">
        <w:rPr>
          <w:iCs/>
        </w:rPr>
        <w:t>univerzální význam</w:t>
      </w:r>
      <w:r>
        <w:rPr>
          <w:iCs/>
        </w:rPr>
        <w:t xml:space="preserve"> daný v konceptu</w:t>
      </w:r>
      <w:r w:rsidRPr="00273106">
        <w:rPr>
          <w:iCs/>
        </w:rPr>
        <w:t>.</w:t>
      </w:r>
      <w:r>
        <w:rPr>
          <w:iCs/>
        </w:rPr>
        <w:t xml:space="preserve"> </w:t>
      </w:r>
      <w:r w:rsidR="008B0185">
        <w:rPr>
          <w:iCs/>
        </w:rPr>
        <w:t>Tento scénář nasvícení intelektu od smyslových fantasmat přijal i Aegidius Romanus</w:t>
      </w:r>
      <w:r w:rsidR="008B0185">
        <w:rPr>
          <w:iCs/>
        </w:rPr>
        <w:fldChar w:fldCharType="begin"/>
      </w:r>
      <w:r w:rsidR="008B0185">
        <w:instrText xml:space="preserve"> XE "</w:instrText>
      </w:r>
      <w:r w:rsidR="008B0185" w:rsidRPr="004D78B9">
        <w:rPr>
          <w:iCs/>
        </w:rPr>
        <w:instrText>Aegidius Romanus</w:instrText>
      </w:r>
      <w:r w:rsidR="008B0185">
        <w:instrText xml:space="preserve">" </w:instrText>
      </w:r>
      <w:r w:rsidR="008B0185">
        <w:rPr>
          <w:iCs/>
        </w:rPr>
        <w:fldChar w:fldCharType="end"/>
      </w:r>
      <w:r w:rsidR="008B0185">
        <w:rPr>
          <w:iCs/>
        </w:rPr>
        <w:t xml:space="preserve"> po konverzi k tomismu v komentáři </w:t>
      </w:r>
      <w:r w:rsidR="004B7B62">
        <w:rPr>
          <w:iCs/>
        </w:rPr>
        <w:t xml:space="preserve">k </w:t>
      </w:r>
      <w:r w:rsidR="008B0185">
        <w:rPr>
          <w:iCs/>
        </w:rPr>
        <w:t xml:space="preserve">DA III v Oxfordském rukopise (kap. 4.3.2). </w:t>
      </w:r>
    </w:p>
    <w:p w:rsidR="003E30FC" w:rsidRDefault="08163013" w:rsidP="00273602">
      <w:pPr>
        <w:ind w:firstLine="397"/>
        <w:rPr>
          <w:iCs/>
        </w:rPr>
      </w:pPr>
      <w:r w:rsidRPr="00273106">
        <w:rPr>
          <w:iCs/>
        </w:rPr>
        <w:t>Citát jasně rozlišuje mezi dvěma termíny vztaženými k procesu již čist</w:t>
      </w:r>
      <w:r>
        <w:rPr>
          <w:iCs/>
        </w:rPr>
        <w:t>ě intelektuálního poznání</w:t>
      </w:r>
      <w:r w:rsidR="004728CD">
        <w:rPr>
          <w:iCs/>
        </w:rPr>
        <w:t>: je to „</w:t>
      </w:r>
      <w:r w:rsidR="00962190">
        <w:rPr>
          <w:i/>
          <w:iCs/>
        </w:rPr>
        <w:t>species</w:t>
      </w:r>
      <w:r w:rsidRPr="00273106">
        <w:rPr>
          <w:i/>
          <w:iCs/>
        </w:rPr>
        <w:t xml:space="preserve"> intelligibilis</w:t>
      </w:r>
      <w:r w:rsidR="004728CD">
        <w:rPr>
          <w:iCs/>
        </w:rPr>
        <w:t>“</w:t>
      </w:r>
      <w:r>
        <w:rPr>
          <w:i/>
          <w:iCs/>
        </w:rPr>
        <w:fldChar w:fldCharType="begin"/>
      </w:r>
      <w:r>
        <w:instrText xml:space="preserve"> XE "</w:instrText>
      </w:r>
      <w:r w:rsidRPr="00DD403C">
        <w:rPr>
          <w:i/>
        </w:rPr>
        <w:instrText>species intelligibilis:</w:instrText>
      </w:r>
      <w:r>
        <w:instrText xml:space="preserve">Avinský" </w:instrText>
      </w:r>
      <w:r>
        <w:rPr>
          <w:i/>
          <w:iCs/>
        </w:rPr>
        <w:fldChar w:fldCharType="end"/>
      </w:r>
      <w:r>
        <w:rPr>
          <w:iCs/>
        </w:rPr>
        <w:t xml:space="preserve"> a </w:t>
      </w:r>
      <w:r w:rsidR="004728CD">
        <w:rPr>
          <w:iCs/>
        </w:rPr>
        <w:t>„</w:t>
      </w:r>
      <w:r w:rsidRPr="00273106">
        <w:rPr>
          <w:i/>
          <w:iCs/>
        </w:rPr>
        <w:t>conceptio intellectus</w:t>
      </w:r>
      <w:r w:rsidR="004728CD">
        <w:rPr>
          <w:iCs/>
        </w:rPr>
        <w:t>“</w:t>
      </w:r>
      <w:r>
        <w:rPr>
          <w:iCs/>
        </w:rPr>
        <w:t xml:space="preserve">. </w:t>
      </w:r>
      <w:r w:rsidR="000654F5">
        <w:rPr>
          <w:rStyle w:val="ezkurwreuab5ozgtqnkl"/>
        </w:rPr>
        <w:t>Výchozím</w:t>
      </w:r>
      <w:r w:rsidR="000654F5">
        <w:t xml:space="preserve"> </w:t>
      </w:r>
      <w:r w:rsidR="000654F5">
        <w:rPr>
          <w:rStyle w:val="ezkurwreuab5ozgtqnkl"/>
        </w:rPr>
        <w:t>bodem</w:t>
      </w:r>
      <w:r w:rsidR="000654F5">
        <w:t xml:space="preserve"> </w:t>
      </w:r>
      <w:r w:rsidR="000654F5">
        <w:rPr>
          <w:rStyle w:val="ezkurwreuab5ozgtqnkl"/>
        </w:rPr>
        <w:t>je pozornost</w:t>
      </w:r>
      <w:r w:rsidR="000654F5">
        <w:t xml:space="preserve"> </w:t>
      </w:r>
      <w:r w:rsidR="000654F5">
        <w:rPr>
          <w:rStyle w:val="ezkurwreuab5ozgtqnkl"/>
        </w:rPr>
        <w:t>prázdného</w:t>
      </w:r>
      <w:r w:rsidR="000654F5">
        <w:t xml:space="preserve"> receptivního </w:t>
      </w:r>
      <w:r w:rsidR="000654F5">
        <w:rPr>
          <w:rStyle w:val="ezkurwreuab5ozgtqnkl"/>
        </w:rPr>
        <w:t>intelektu, který je orientován</w:t>
      </w:r>
      <w:r w:rsidR="000654F5">
        <w:t xml:space="preserve"> </w:t>
      </w:r>
      <w:r w:rsidR="000654F5">
        <w:rPr>
          <w:rStyle w:val="ezkurwreuab5ozgtqnkl"/>
        </w:rPr>
        <w:t xml:space="preserve">na </w:t>
      </w:r>
      <w:r w:rsidR="000654F5">
        <w:rPr>
          <w:iCs/>
        </w:rPr>
        <w:t xml:space="preserve">aktualizovaná smyslová </w:t>
      </w:r>
      <w:r w:rsidR="000654F5" w:rsidRPr="000654F5">
        <w:rPr>
          <w:iCs/>
        </w:rPr>
        <w:t>species</w:t>
      </w:r>
      <w:r w:rsidR="000654F5">
        <w:t xml:space="preserve">. </w:t>
      </w:r>
      <w:r w:rsidR="000654F5">
        <w:rPr>
          <w:rStyle w:val="ezkurwreuab5ozgtqnkl"/>
        </w:rPr>
        <w:t>Tento první</w:t>
      </w:r>
      <w:r w:rsidR="000654F5">
        <w:t xml:space="preserve"> </w:t>
      </w:r>
      <w:r w:rsidR="000654F5">
        <w:rPr>
          <w:rStyle w:val="ezkurwreuab5ozgtqnkl"/>
        </w:rPr>
        <w:t>druh intencionality</w:t>
      </w:r>
      <w:r w:rsidR="000654F5">
        <w:t xml:space="preserve"> </w:t>
      </w:r>
      <w:r w:rsidR="000654F5">
        <w:rPr>
          <w:rStyle w:val="ezkurwreuab5ozgtqnkl"/>
        </w:rPr>
        <w:t>poskytuje</w:t>
      </w:r>
      <w:r w:rsidR="000654F5">
        <w:t xml:space="preserve"> </w:t>
      </w:r>
      <w:r w:rsidR="000654F5">
        <w:rPr>
          <w:rStyle w:val="ezkurwreuab5ozgtqnkl"/>
        </w:rPr>
        <w:t>výchozí</w:t>
      </w:r>
      <w:r w:rsidR="000654F5">
        <w:t xml:space="preserve"> </w:t>
      </w:r>
      <w:r w:rsidR="000654F5">
        <w:rPr>
          <w:rStyle w:val="ezkurwreuab5ozgtqnkl"/>
        </w:rPr>
        <w:t>bod</w:t>
      </w:r>
      <w:r w:rsidR="000654F5">
        <w:t xml:space="preserve"> </w:t>
      </w:r>
      <w:r w:rsidR="000654F5">
        <w:rPr>
          <w:rStyle w:val="ezkurwreuab5ozgtqnkl"/>
        </w:rPr>
        <w:t>intelektuálního</w:t>
      </w:r>
      <w:r w:rsidR="000654F5">
        <w:t xml:space="preserve"> </w:t>
      </w:r>
      <w:r w:rsidR="000654F5">
        <w:rPr>
          <w:rStyle w:val="ezkurwreuab5ozgtqnkl"/>
        </w:rPr>
        <w:t>poznání</w:t>
      </w:r>
      <w:r w:rsidR="000654F5">
        <w:t xml:space="preserve"> </w:t>
      </w:r>
      <w:r w:rsidR="000654F5">
        <w:rPr>
          <w:rStyle w:val="ezkurwreuab5ozgtqnkl"/>
        </w:rPr>
        <w:t>(</w:t>
      </w:r>
      <w:r w:rsidR="000654F5" w:rsidRPr="000654F5">
        <w:rPr>
          <w:rStyle w:val="ezkurwreuab5ozgtqnkl"/>
          <w:i/>
        </w:rPr>
        <w:t>terminus a quo</w:t>
      </w:r>
      <w:r w:rsidR="000654F5">
        <w:rPr>
          <w:rStyle w:val="ezkurwreuab5ozgtqnkl"/>
        </w:rPr>
        <w:t>).</w:t>
      </w:r>
      <w:r w:rsidR="000654F5">
        <w:rPr>
          <w:iCs/>
        </w:rPr>
        <w:t xml:space="preserve"> </w:t>
      </w:r>
      <w:r>
        <w:rPr>
          <w:iCs/>
        </w:rPr>
        <w:t xml:space="preserve">Intencionalita receptivního intelektu je </w:t>
      </w:r>
      <w:r>
        <w:rPr>
          <w:iCs/>
        </w:rPr>
        <w:lastRenderedPageBreak/>
        <w:t xml:space="preserve">specifický výkon poznání, skrze který vzniká individuální </w:t>
      </w:r>
      <w:r w:rsidR="00962190">
        <w:rPr>
          <w:i/>
          <w:iCs/>
        </w:rPr>
        <w:t>species</w:t>
      </w:r>
      <w:r w:rsidRPr="083630D7">
        <w:rPr>
          <w:i/>
          <w:iCs/>
        </w:rPr>
        <w:t xml:space="preserve"> intelligibilis</w:t>
      </w:r>
      <w:r>
        <w:rPr>
          <w:iCs/>
        </w:rPr>
        <w:t xml:space="preserve"> jako první stupeň rozumového poznání. Univerzální koncept </w:t>
      </w:r>
      <w:r w:rsidR="009E1301">
        <w:t>(</w:t>
      </w:r>
      <w:r w:rsidR="009E1301" w:rsidRPr="00CC06A6">
        <w:rPr>
          <w:i/>
          <w:lang w:val="en-US"/>
        </w:rPr>
        <w:t>conceptio intellectus</w:t>
      </w:r>
      <w:r w:rsidR="009E1301">
        <w:t xml:space="preserve">) </w:t>
      </w:r>
      <w:r>
        <w:rPr>
          <w:iCs/>
        </w:rPr>
        <w:t>je až výsledný a proto zcela univerzální produkt poznání (</w:t>
      </w:r>
      <w:r w:rsidRPr="00273106">
        <w:rPr>
          <w:i/>
          <w:iCs/>
        </w:rPr>
        <w:t>terminus ad quem</w:t>
      </w:r>
      <w:r>
        <w:rPr>
          <w:iCs/>
        </w:rPr>
        <w:t xml:space="preserve">). Proto je poznání přechodem od univerzality dané potenciálně v intelektu jako </w:t>
      </w:r>
      <w:r w:rsidRPr="08C262FF">
        <w:rPr>
          <w:i/>
          <w:iCs/>
        </w:rPr>
        <w:t>tabula rasa</w:t>
      </w:r>
      <w:r>
        <w:rPr>
          <w:iCs/>
        </w:rPr>
        <w:t xml:space="preserve"> k univerzálnímu po</w:t>
      </w:r>
      <w:r w:rsidR="007308C4">
        <w:rPr>
          <w:iCs/>
        </w:rPr>
        <w:t xml:space="preserve">jmu v aktualizovaném intelektu. </w:t>
      </w:r>
      <w:r>
        <w:rPr>
          <w:iCs/>
        </w:rPr>
        <w:t>Poznání intelektu je kauzálně determinováno skrze aktuální poznatek syntetizovaný v představivosti, který je daný ze smyslů</w:t>
      </w:r>
      <w:r>
        <w:rPr>
          <w:iCs/>
        </w:rPr>
        <w:fldChar w:fldCharType="begin"/>
      </w:r>
      <w:r>
        <w:instrText xml:space="preserve"> XE "</w:instrText>
      </w:r>
      <w:r w:rsidRPr="00B65DA2">
        <w:instrText>zjevování:nasvícení zepředu</w:instrText>
      </w:r>
      <w:r>
        <w:instrText xml:space="preserve">" </w:instrText>
      </w:r>
      <w:r>
        <w:rPr>
          <w:iCs/>
        </w:rPr>
        <w:fldChar w:fldCharType="end"/>
      </w:r>
      <w:r>
        <w:rPr>
          <w:iCs/>
        </w:rPr>
        <w:t xml:space="preserve">. </w:t>
      </w:r>
      <w:r w:rsidRPr="00273106">
        <w:rPr>
          <w:iCs/>
        </w:rPr>
        <w:t xml:space="preserve">Rozdíl mezi </w:t>
      </w:r>
      <w:r>
        <w:rPr>
          <w:iCs/>
        </w:rPr>
        <w:t xml:space="preserve">individuální intencionální </w:t>
      </w:r>
      <w:r w:rsidR="00962190">
        <w:rPr>
          <w:i/>
          <w:iCs/>
        </w:rPr>
        <w:t>species</w:t>
      </w:r>
      <w:r>
        <w:rPr>
          <w:iCs/>
        </w:rPr>
        <w:t xml:space="preserve"> a univerzálním konceptem má zásadní význam, protože umožňuje pojetí pravdy jako adekvace</w:t>
      </w:r>
      <w:r>
        <w:rPr>
          <w:iCs/>
        </w:rPr>
        <w:fldChar w:fldCharType="begin"/>
      </w:r>
      <w:r>
        <w:instrText xml:space="preserve"> XE "pravda:adaequatio" </w:instrText>
      </w:r>
      <w:r>
        <w:rPr>
          <w:iCs/>
        </w:rPr>
        <w:fldChar w:fldCharType="end"/>
      </w:r>
      <w:r>
        <w:rPr>
          <w:iCs/>
        </w:rPr>
        <w:t>. Neoplatonská moderna oslepená sluncem intelektu jej už nevidí, protože ilumináti nemají diafanum</w:t>
      </w:r>
      <w:r>
        <w:rPr>
          <w:iCs/>
        </w:rPr>
        <w:fldChar w:fldCharType="begin"/>
      </w:r>
      <w:r>
        <w:instrText xml:space="preserve"> XE "</w:instrText>
      </w:r>
      <w:r w:rsidRPr="004B0B78">
        <w:rPr>
          <w:iCs/>
        </w:rPr>
        <w:instrText>diafanum</w:instrText>
      </w:r>
      <w:r>
        <w:rPr>
          <w:iCs/>
        </w:rPr>
        <w:instrText>:Akvinský</w:instrText>
      </w:r>
      <w:r>
        <w:instrText xml:space="preserve">" </w:instrText>
      </w:r>
      <w:r>
        <w:rPr>
          <w:iCs/>
        </w:rPr>
        <w:fldChar w:fldCharType="end"/>
      </w:r>
      <w:r>
        <w:rPr>
          <w:iCs/>
        </w:rPr>
        <w:t xml:space="preserve"> ve stejném významu jako CMDA (</w:t>
      </w:r>
      <w:r w:rsidR="089D34F2">
        <w:rPr>
          <w:iCs/>
        </w:rPr>
        <w:t xml:space="preserve">OBJ I, </w:t>
      </w:r>
      <w:r>
        <w:rPr>
          <w:iCs/>
        </w:rPr>
        <w:t xml:space="preserve">kap. 2.4.4). Mediační funkce </w:t>
      </w:r>
      <w:r w:rsidR="00962190">
        <w:rPr>
          <w:i/>
          <w:iCs/>
        </w:rPr>
        <w:t>species</w:t>
      </w:r>
      <w:r w:rsidRPr="00273106">
        <w:rPr>
          <w:i/>
          <w:iCs/>
        </w:rPr>
        <w:t xml:space="preserve"> intelligibilis</w:t>
      </w:r>
      <w:r>
        <w:rPr>
          <w:i/>
          <w:iCs/>
        </w:rPr>
        <w:fldChar w:fldCharType="begin"/>
      </w:r>
      <w:r>
        <w:instrText xml:space="preserve"> XE "</w:instrText>
      </w:r>
      <w:r w:rsidRPr="00DD403C">
        <w:rPr>
          <w:i/>
        </w:rPr>
        <w:instrText>species intelligibilis:</w:instrText>
      </w:r>
      <w:r w:rsidRPr="00DD403C">
        <w:instrText>Avicenna</w:instrText>
      </w:r>
      <w:r>
        <w:instrText xml:space="preserve">" </w:instrText>
      </w:r>
      <w:r>
        <w:rPr>
          <w:i/>
          <w:iCs/>
        </w:rPr>
        <w:fldChar w:fldCharType="end"/>
      </w:r>
      <w:r w:rsidRPr="00273106">
        <w:rPr>
          <w:iCs/>
        </w:rPr>
        <w:t xml:space="preserve"> je </w:t>
      </w:r>
      <w:r>
        <w:rPr>
          <w:iCs/>
        </w:rPr>
        <w:t>dána</w:t>
      </w:r>
      <w:r w:rsidRPr="00273106">
        <w:rPr>
          <w:iCs/>
        </w:rPr>
        <w:t xml:space="preserve"> </w:t>
      </w:r>
      <w:r>
        <w:rPr>
          <w:iCs/>
        </w:rPr>
        <w:t xml:space="preserve">již v Blundově škole determinací od smyslové </w:t>
      </w:r>
      <w:r w:rsidR="00962190">
        <w:rPr>
          <w:i/>
          <w:iCs/>
        </w:rPr>
        <w:t>species</w:t>
      </w:r>
      <w:r>
        <w:rPr>
          <w:iCs/>
        </w:rPr>
        <w:t xml:space="preserve"> skrze proces individuálně pojaté intencionality</w:t>
      </w:r>
      <w:r>
        <w:rPr>
          <w:iCs/>
        </w:rPr>
        <w:fldChar w:fldCharType="begin"/>
      </w:r>
      <w:r>
        <w:instrText xml:space="preserve"> XE "</w:instrText>
      </w:r>
      <w:r w:rsidRPr="007338EA">
        <w:rPr>
          <w:iCs/>
        </w:rPr>
        <w:instrText>intencionalita:Blund</w:instrText>
      </w:r>
      <w:r>
        <w:instrText xml:space="preserve">" </w:instrText>
      </w:r>
      <w:r>
        <w:rPr>
          <w:iCs/>
        </w:rPr>
        <w:fldChar w:fldCharType="end"/>
      </w:r>
      <w:r>
        <w:rPr>
          <w:iCs/>
        </w:rPr>
        <w:t xml:space="preserve"> (</w:t>
      </w:r>
      <w:r w:rsidR="08552560">
        <w:rPr>
          <w:iCs/>
        </w:rPr>
        <w:t>OBJ II, kap. 2</w:t>
      </w:r>
      <w:r>
        <w:rPr>
          <w:iCs/>
        </w:rPr>
        <w:t>.1). A</w:t>
      </w:r>
      <w:r w:rsidRPr="00273106">
        <w:rPr>
          <w:iCs/>
        </w:rPr>
        <w:t xml:space="preserve">bstrahovaný význam </w:t>
      </w:r>
      <w:r>
        <w:rPr>
          <w:iCs/>
        </w:rPr>
        <w:t xml:space="preserve">ve formě konceptu </w:t>
      </w:r>
      <w:r w:rsidRPr="00273106">
        <w:rPr>
          <w:iCs/>
        </w:rPr>
        <w:t>platí univerzálně</w:t>
      </w:r>
      <w:r>
        <w:rPr>
          <w:iCs/>
        </w:rPr>
        <w:t>, protože je výsledkem ukončeného procesu abstrakce</w:t>
      </w:r>
      <w:r w:rsidRPr="00273106">
        <w:rPr>
          <w:iCs/>
        </w:rPr>
        <w:t xml:space="preserve">. </w:t>
      </w:r>
      <w:r>
        <w:rPr>
          <w:iCs/>
        </w:rPr>
        <w:t xml:space="preserve">Nasvícení od reálné věci nemůže přijmout do </w:t>
      </w:r>
      <w:r w:rsidRPr="00F4275A">
        <w:rPr>
          <w:i/>
          <w:iCs/>
        </w:rPr>
        <w:t>intellectus possibilis</w:t>
      </w:r>
      <w:r>
        <w:rPr>
          <w:i/>
          <w:iCs/>
        </w:rPr>
        <w:fldChar w:fldCharType="begin"/>
      </w:r>
      <w:r>
        <w:instrText xml:space="preserve"> XE "</w:instrText>
      </w:r>
      <w:r w:rsidRPr="00770D02">
        <w:rPr>
          <w:i/>
        </w:rPr>
        <w:instrText>intellectus possibilis</w:instrText>
      </w:r>
      <w:r>
        <w:rPr>
          <w:i/>
        </w:rPr>
        <w:instrText>:</w:instrText>
      </w:r>
      <w:r w:rsidRPr="00523A8E">
        <w:instrText>první averroi</w:instrText>
      </w:r>
      <w:r>
        <w:instrText>s</w:instrText>
      </w:r>
      <w:r w:rsidRPr="00523A8E">
        <w:instrText>mus</w:instrText>
      </w:r>
      <w:r>
        <w:instrText xml:space="preserve">" </w:instrText>
      </w:r>
      <w:r>
        <w:rPr>
          <w:i/>
          <w:iCs/>
        </w:rPr>
        <w:fldChar w:fldCharType="end"/>
      </w:r>
      <w:r>
        <w:rPr>
          <w:iCs/>
        </w:rPr>
        <w:t xml:space="preserve"> jinou aktualizaci než od smyslů, protože duše je aristotelská </w:t>
      </w:r>
      <w:r w:rsidRPr="008E5DB8">
        <w:rPr>
          <w:i/>
          <w:iCs/>
        </w:rPr>
        <w:t>tabula rasa</w:t>
      </w:r>
      <w:r>
        <w:rPr>
          <w:i/>
          <w:iCs/>
        </w:rPr>
        <w:fldChar w:fldCharType="begin"/>
      </w:r>
      <w:r>
        <w:instrText xml:space="preserve"> XE "</w:instrText>
      </w:r>
      <w:r w:rsidRPr="00CE6D17">
        <w:rPr>
          <w:i/>
        </w:rPr>
        <w:instrText xml:space="preserve">tabula </w:instrText>
      </w:r>
      <w:proofErr w:type="gramStart"/>
      <w:r w:rsidRPr="00CE6D17">
        <w:rPr>
          <w:i/>
        </w:rPr>
        <w:instrText>rasa</w:instrText>
      </w:r>
      <w:r>
        <w:instrText xml:space="preserve">" </w:instrText>
      </w:r>
      <w:r>
        <w:rPr>
          <w:i/>
          <w:iCs/>
        </w:rPr>
        <w:fldChar w:fldCharType="end"/>
      </w:r>
      <w:r>
        <w:rPr>
          <w:iCs/>
        </w:rPr>
        <w:t>.  V tomto</w:t>
      </w:r>
      <w:proofErr w:type="gramEnd"/>
      <w:r>
        <w:rPr>
          <w:iCs/>
        </w:rPr>
        <w:t xml:space="preserve"> přenosu formy od smyslové do inteligibilní </w:t>
      </w:r>
      <w:r w:rsidR="00962190">
        <w:rPr>
          <w:i/>
          <w:iCs/>
        </w:rPr>
        <w:t>species</w:t>
      </w:r>
      <w:r>
        <w:rPr>
          <w:iCs/>
        </w:rPr>
        <w:t xml:space="preserve"> má centrální význam intencionalita Blundovy školy prvního averroismu (</w:t>
      </w:r>
      <w:r w:rsidR="08552560">
        <w:rPr>
          <w:iCs/>
        </w:rPr>
        <w:t>OBJ II, kap. 2</w:t>
      </w:r>
      <w:r>
        <w:rPr>
          <w:iCs/>
        </w:rPr>
        <w:t xml:space="preserve">.2.1). Bohužel Akvinský nepřijal teorii diafanum podle CMDA, což se mu stalo osudné v jeho debatě se Sigerem. Akvinský definoval </w:t>
      </w:r>
      <w:r w:rsidR="00962190">
        <w:rPr>
          <w:i/>
          <w:iCs/>
        </w:rPr>
        <w:t>species</w:t>
      </w:r>
      <w:r w:rsidRPr="0818746F">
        <w:rPr>
          <w:i/>
          <w:iCs/>
        </w:rPr>
        <w:t xml:space="preserve"> intelligibilis</w:t>
      </w:r>
      <w:r>
        <w:rPr>
          <w:iCs/>
        </w:rPr>
        <w:t xml:space="preserve"> pouze na úrovni Blundovy školy, tedy jako specifickou formu poznání. Intelekt se stává aktuálním skrze inteligibilní</w:t>
      </w:r>
      <w:r w:rsidRPr="00273106">
        <w:rPr>
          <w:iCs/>
        </w:rPr>
        <w:t xml:space="preserve"> </w:t>
      </w:r>
      <w:r w:rsidR="00962190">
        <w:rPr>
          <w:i/>
          <w:iCs/>
        </w:rPr>
        <w:t>species</w:t>
      </w:r>
      <w:r w:rsidRPr="00273106">
        <w:rPr>
          <w:iCs/>
        </w:rPr>
        <w:t xml:space="preserve"> (</w:t>
      </w:r>
      <w:r w:rsidRPr="00273106">
        <w:rPr>
          <w:i/>
        </w:rPr>
        <w:t>qua fit intellectus in actu</w:t>
      </w:r>
      <w:r w:rsidRPr="00273106">
        <w:rPr>
          <w:iCs/>
        </w:rPr>
        <w:t>).</w:t>
      </w:r>
      <w:r>
        <w:rPr>
          <w:iCs/>
        </w:rPr>
        <w:t xml:space="preserve"> To je jen část pravdy, protože intelekt je daný v duši a ta tvoří součást existenciálního výkonu poznání celé osoby. </w:t>
      </w:r>
      <w:r w:rsidR="009074A4">
        <w:rPr>
          <w:iCs/>
        </w:rPr>
        <w:t xml:space="preserve">Akvinský jako </w:t>
      </w:r>
      <w:r w:rsidR="00B717C9">
        <w:rPr>
          <w:iCs/>
        </w:rPr>
        <w:t xml:space="preserve">avicennistický </w:t>
      </w:r>
      <w:r w:rsidR="009074A4">
        <w:rPr>
          <w:iCs/>
        </w:rPr>
        <w:t>a</w:t>
      </w:r>
      <w:r>
        <w:rPr>
          <w:iCs/>
        </w:rPr>
        <w:t xml:space="preserve">dept Blundovy školy </w:t>
      </w:r>
      <w:r w:rsidR="009074A4">
        <w:rPr>
          <w:iCs/>
        </w:rPr>
        <w:t xml:space="preserve">bohužel </w:t>
      </w:r>
      <w:r>
        <w:rPr>
          <w:iCs/>
        </w:rPr>
        <w:t>neměl dvojí diafanum podle CMDA</w:t>
      </w:r>
      <w:r w:rsidR="00DA0045">
        <w:rPr>
          <w:iCs/>
        </w:rPr>
        <w:t xml:space="preserve"> v jeho schématu poznání. Proto </w:t>
      </w:r>
      <w:r>
        <w:rPr>
          <w:iCs/>
        </w:rPr>
        <w:t xml:space="preserve">neviděl reálný výkon existence duše mediatizující své potence v těle v modu tělesně založené intencionality dané </w:t>
      </w:r>
      <w:r w:rsidRPr="088E4BC5">
        <w:rPr>
          <w:i/>
          <w:iCs/>
        </w:rPr>
        <w:t>duplex</w:t>
      </w:r>
      <w:r>
        <w:rPr>
          <w:iCs/>
        </w:rPr>
        <w:t>. Akvinský na rozdíl od Sigera nebyl schopen rozlišit dvojí formální mediaci poznání (</w:t>
      </w:r>
      <w:proofErr w:type="gramStart"/>
      <w:r w:rsidRPr="08B759F2">
        <w:rPr>
          <w:i/>
          <w:iCs/>
        </w:rPr>
        <w:t>experimur</w:t>
      </w:r>
      <w:r>
        <w:rPr>
          <w:iCs/>
        </w:rPr>
        <w:t>...</w:t>
      </w:r>
      <w:r w:rsidRPr="08B759F2">
        <w:rPr>
          <w:i/>
          <w:iCs/>
        </w:rPr>
        <w:t>conscii</w:t>
      </w:r>
      <w:proofErr w:type="gramEnd"/>
      <w:r w:rsidRPr="08B759F2">
        <w:rPr>
          <w:i/>
          <w:iCs/>
        </w:rPr>
        <w:t xml:space="preserve"> sumus</w:t>
      </w:r>
      <w:r>
        <w:rPr>
          <w:iCs/>
        </w:rPr>
        <w:t xml:space="preserve">). To se mu stalo osudným v jeho neúspěšné debatě se Sigerem o titul </w:t>
      </w:r>
      <w:r w:rsidRPr="082C045C">
        <w:rPr>
          <w:i/>
          <w:iCs/>
        </w:rPr>
        <w:t>Expositor Novus</w:t>
      </w:r>
      <w:r>
        <w:rPr>
          <w:i/>
        </w:rPr>
        <w:fldChar w:fldCharType="begin"/>
      </w:r>
      <w:r>
        <w:instrText xml:space="preserve"> XE "</w:instrText>
      </w:r>
      <w:r w:rsidRPr="080372CE">
        <w:rPr>
          <w:i/>
        </w:rPr>
        <w:instrText>Expositor Novus</w:instrText>
      </w:r>
      <w:r>
        <w:instrText xml:space="preserve">" </w:instrText>
      </w:r>
      <w:r>
        <w:rPr>
          <w:i/>
        </w:rPr>
        <w:fldChar w:fldCharType="end"/>
      </w:r>
      <w:r>
        <w:rPr>
          <w:iCs/>
        </w:rPr>
        <w:t xml:space="preserve">. Celý výklad intelektuálního poznání v </w:t>
      </w:r>
      <w:proofErr w:type="gramStart"/>
      <w:r>
        <w:rPr>
          <w:i/>
        </w:rPr>
        <w:t>D</w:t>
      </w:r>
      <w:r w:rsidRPr="00273106">
        <w:rPr>
          <w:i/>
        </w:rPr>
        <w:t>e</w:t>
      </w:r>
      <w:proofErr w:type="gramEnd"/>
      <w:r w:rsidRPr="00273106">
        <w:rPr>
          <w:i/>
        </w:rPr>
        <w:t xml:space="preserve"> potentia</w:t>
      </w:r>
      <w:r>
        <w:t xml:space="preserve"> </w:t>
      </w:r>
      <w:r w:rsidRPr="00273106">
        <w:rPr>
          <w:rStyle w:val="ref"/>
        </w:rPr>
        <w:t>8</w:t>
      </w:r>
      <w:r>
        <w:rPr>
          <w:rStyle w:val="ref"/>
        </w:rPr>
        <w:t>.</w:t>
      </w:r>
      <w:r w:rsidRPr="00273106">
        <w:rPr>
          <w:rStyle w:val="ref"/>
        </w:rPr>
        <w:t>1</w:t>
      </w:r>
      <w:r>
        <w:rPr>
          <w:rStyle w:val="ref"/>
        </w:rPr>
        <w:t xml:space="preserve"> </w:t>
      </w:r>
      <w:r>
        <w:rPr>
          <w:iCs/>
        </w:rPr>
        <w:t>je veden v</w:t>
      </w:r>
      <w:r w:rsidR="085B0DA1">
        <w:rPr>
          <w:iCs/>
        </w:rPr>
        <w:t xml:space="preserve"> rámci </w:t>
      </w:r>
      <w:r>
        <w:rPr>
          <w:iCs/>
        </w:rPr>
        <w:t xml:space="preserve">intelektu-esence. Akvinský nepochopil výklad CMDA hned na začátku studia v Paříži, kdy desinterpretoval Averroesovo pojetí intelektu v modu </w:t>
      </w:r>
      <w:r w:rsidRPr="089F2688">
        <w:rPr>
          <w:i/>
          <w:iCs/>
        </w:rPr>
        <w:t xml:space="preserve">tertium </w:t>
      </w:r>
      <w:r w:rsidRPr="08715C45">
        <w:rPr>
          <w:iCs/>
        </w:rPr>
        <w:t>a</w:t>
      </w:r>
      <w:r>
        <w:rPr>
          <w:i/>
          <w:iCs/>
        </w:rPr>
        <w:t xml:space="preserve"> quartum </w:t>
      </w:r>
      <w:r w:rsidR="00962190">
        <w:rPr>
          <w:i/>
          <w:iCs/>
        </w:rPr>
        <w:t>genus</w:t>
      </w:r>
      <w:r w:rsidR="00D27707">
        <w:rPr>
          <w:iCs/>
        </w:rPr>
        <w:t xml:space="preserve">. Tomistická </w:t>
      </w:r>
      <w:r w:rsidR="00962190" w:rsidRPr="00D27707">
        <w:rPr>
          <w:iCs/>
        </w:rPr>
        <w:t>species</w:t>
      </w:r>
      <w:r>
        <w:rPr>
          <w:iCs/>
        </w:rPr>
        <w:t xml:space="preserve"> nevzniká v aktu existence osoby, ale ve výkonu </w:t>
      </w:r>
      <w:r w:rsidRPr="08036832">
        <w:rPr>
          <w:i/>
          <w:iCs/>
        </w:rPr>
        <w:t xml:space="preserve">intellectus </w:t>
      </w:r>
      <w:r w:rsidRPr="08036832">
        <w:rPr>
          <w:i/>
          <w:iCs/>
        </w:rPr>
        <w:lastRenderedPageBreak/>
        <w:t>possibilis</w:t>
      </w:r>
      <w:r>
        <w:rPr>
          <w:iCs/>
        </w:rPr>
        <w:t xml:space="preserve"> </w:t>
      </w:r>
      <w:r w:rsidR="004F35DE">
        <w:rPr>
          <w:iCs/>
        </w:rPr>
        <w:t xml:space="preserve">definovaného </w:t>
      </w:r>
      <w:r>
        <w:rPr>
          <w:iCs/>
        </w:rPr>
        <w:t>jako avicennistická h</w:t>
      </w:r>
      <w:r w:rsidR="089D178E">
        <w:rPr>
          <w:iCs/>
        </w:rPr>
        <w:t>ypostáze (kap. 4</w:t>
      </w:r>
      <w:r>
        <w:rPr>
          <w:iCs/>
        </w:rPr>
        <w:t>.5.1). Osoba tvoří pouze neosobního nosiče této specifické duševní schopnosti (</w:t>
      </w:r>
      <w:r w:rsidRPr="08D54E9A">
        <w:rPr>
          <w:i/>
          <w:iCs/>
        </w:rPr>
        <w:t>subiectum</w:t>
      </w:r>
      <w:r>
        <w:rPr>
          <w:iCs/>
        </w:rPr>
        <w:t xml:space="preserve">). Existenciální verzi poznání obhajovanou Sigerem </w:t>
      </w:r>
      <w:r w:rsidRPr="00273106">
        <w:rPr>
          <w:iCs/>
        </w:rPr>
        <w:t>najdeme v CMDA jako rozdíl mezi individuálním výkonem poznání v jednotlivci (</w:t>
      </w:r>
      <w:r w:rsidRPr="00273106">
        <w:rPr>
          <w:i/>
          <w:iCs/>
        </w:rPr>
        <w:t xml:space="preserve">tertium </w:t>
      </w:r>
      <w:r w:rsidR="00962190">
        <w:rPr>
          <w:i/>
          <w:iCs/>
        </w:rPr>
        <w:t>genus</w:t>
      </w:r>
      <w:r>
        <w:rPr>
          <w:i/>
          <w:iCs/>
        </w:rPr>
        <w:fldChar w:fldCharType="begin"/>
      </w:r>
      <w:r>
        <w:instrText xml:space="preserve"> XE "</w:instrText>
      </w:r>
      <w:r w:rsidRPr="00D80F84">
        <w:rPr>
          <w:i/>
        </w:rPr>
        <w:instrText>tertium genus</w:instrText>
      </w:r>
      <w:r>
        <w:instrText xml:space="preserve">" </w:instrText>
      </w:r>
      <w:r>
        <w:rPr>
          <w:i/>
          <w:iCs/>
        </w:rPr>
        <w:fldChar w:fldCharType="end"/>
      </w:r>
      <w:r w:rsidRPr="00273106">
        <w:rPr>
          <w:iCs/>
        </w:rPr>
        <w:t>) a mezi výsledkem tohoto poznání, tj. vznikem konceptu nadaného univerzálním významem stejným pro všechny lidi (</w:t>
      </w:r>
      <w:r w:rsidRPr="00273106">
        <w:rPr>
          <w:i/>
          <w:iCs/>
        </w:rPr>
        <w:t xml:space="preserve">quartum </w:t>
      </w:r>
      <w:r w:rsidR="00962190">
        <w:rPr>
          <w:i/>
          <w:iCs/>
        </w:rPr>
        <w:t>genus</w:t>
      </w:r>
      <w:r>
        <w:rPr>
          <w:i/>
          <w:iCs/>
        </w:rPr>
        <w:fldChar w:fldCharType="begin"/>
      </w:r>
      <w:r>
        <w:instrText xml:space="preserve"> XE "</w:instrText>
      </w:r>
      <w:r w:rsidRPr="00191848">
        <w:rPr>
          <w:i/>
        </w:rPr>
        <w:instrText>quartum genus</w:instrText>
      </w:r>
      <w:r>
        <w:instrText xml:space="preserve">" </w:instrText>
      </w:r>
      <w:r>
        <w:rPr>
          <w:i/>
          <w:iCs/>
        </w:rPr>
        <w:fldChar w:fldCharType="end"/>
      </w:r>
      <w:r w:rsidRPr="00273106">
        <w:rPr>
          <w:iCs/>
        </w:rPr>
        <w:t xml:space="preserve">). </w:t>
      </w:r>
      <w:r w:rsidR="00D27707">
        <w:rPr>
          <w:iCs/>
        </w:rPr>
        <w:t>Siger postupuje při určení poznání skrze intelekt v </w:t>
      </w:r>
      <w:r w:rsidR="001B5020">
        <w:rPr>
          <w:iCs/>
        </w:rPr>
        <w:t>mo</w:t>
      </w:r>
      <w:r w:rsidR="00D27707">
        <w:rPr>
          <w:iCs/>
        </w:rPr>
        <w:t>du i</w:t>
      </w:r>
      <w:r w:rsidR="00B92D68">
        <w:rPr>
          <w:iCs/>
        </w:rPr>
        <w:t>mpozice, protože podle Aristot</w:t>
      </w:r>
      <w:r w:rsidR="00D27707">
        <w:rPr>
          <w:iCs/>
        </w:rPr>
        <w:t>e</w:t>
      </w:r>
      <w:r w:rsidR="00B92D68">
        <w:rPr>
          <w:iCs/>
        </w:rPr>
        <w:t>l</w:t>
      </w:r>
      <w:r w:rsidR="00D27707">
        <w:rPr>
          <w:iCs/>
        </w:rPr>
        <w:t>a a CMDA sleduje reálnou kauzal</w:t>
      </w:r>
      <w:r w:rsidR="00B92D68">
        <w:rPr>
          <w:iCs/>
        </w:rPr>
        <w:t>itu po</w:t>
      </w:r>
      <w:r w:rsidR="00D27707">
        <w:rPr>
          <w:iCs/>
        </w:rPr>
        <w:t xml:space="preserve">znání, které je nutně dané v modu </w:t>
      </w:r>
      <w:r w:rsidR="00D27707" w:rsidRPr="00B92D68">
        <w:rPr>
          <w:i/>
          <w:iCs/>
        </w:rPr>
        <w:t>su</w:t>
      </w:r>
      <w:r w:rsidR="00B92D68">
        <w:rPr>
          <w:i/>
          <w:iCs/>
        </w:rPr>
        <w:t>b</w:t>
      </w:r>
      <w:r w:rsidR="00D27707" w:rsidRPr="00B92D68">
        <w:rPr>
          <w:i/>
          <w:iCs/>
        </w:rPr>
        <w:t>iective</w:t>
      </w:r>
      <w:r w:rsidR="00D27707">
        <w:rPr>
          <w:iCs/>
        </w:rPr>
        <w:t xml:space="preserve"> skrze tělo</w:t>
      </w:r>
      <w:r w:rsidR="0024186C">
        <w:rPr>
          <w:iCs/>
        </w:rPr>
        <w:fldChar w:fldCharType="begin"/>
      </w:r>
      <w:r w:rsidR="0024186C">
        <w:instrText xml:space="preserve"> XE "</w:instrText>
      </w:r>
      <w:r w:rsidR="0024186C" w:rsidRPr="00047363">
        <w:instrText>intelekt:</w:instrText>
      </w:r>
      <w:r w:rsidR="0024186C" w:rsidRPr="00083C80">
        <w:rPr>
          <w:i/>
        </w:rPr>
        <w:instrText>species</w:instrText>
      </w:r>
      <w:r w:rsidR="0024186C" w:rsidRPr="00047363">
        <w:instrText>/</w:instrText>
      </w:r>
      <w:r w:rsidR="0024186C" w:rsidRPr="00083C80">
        <w:rPr>
          <w:i/>
        </w:rPr>
        <w:instrText>conceptio</w:instrText>
      </w:r>
      <w:r w:rsidR="0024186C">
        <w:instrText xml:space="preserve">" </w:instrText>
      </w:r>
      <w:r w:rsidR="0024186C">
        <w:rPr>
          <w:iCs/>
        </w:rPr>
        <w:fldChar w:fldCharType="end"/>
      </w:r>
      <w:r w:rsidR="00D27707">
        <w:rPr>
          <w:iCs/>
        </w:rPr>
        <w:t xml:space="preserve">. Proto </w:t>
      </w:r>
      <w:r w:rsidR="00B92D68">
        <w:rPr>
          <w:iCs/>
        </w:rPr>
        <w:t xml:space="preserve">Siger </w:t>
      </w:r>
      <w:r w:rsidR="00D27707">
        <w:rPr>
          <w:iCs/>
        </w:rPr>
        <w:t xml:space="preserve">má správně vytvořenou logickou supozici „intelektu“ jako pojmu v modu </w:t>
      </w:r>
      <w:r w:rsidR="00D27707" w:rsidRPr="00B92D68">
        <w:rPr>
          <w:i/>
          <w:iCs/>
        </w:rPr>
        <w:t>quartum genus</w:t>
      </w:r>
      <w:r w:rsidR="00D27707">
        <w:rPr>
          <w:iCs/>
        </w:rPr>
        <w:t xml:space="preserve">. </w:t>
      </w:r>
      <w:r w:rsidR="00B92D68">
        <w:rPr>
          <w:iCs/>
        </w:rPr>
        <w:t>Akvinský stejně jako Albert chybně začal u logické supozic</w:t>
      </w:r>
      <w:r w:rsidR="00D27707">
        <w:rPr>
          <w:iCs/>
        </w:rPr>
        <w:t xml:space="preserve">e intelektu, který pak správně aktualizuje přechodem poznání od </w:t>
      </w:r>
      <w:r w:rsidR="00D27707">
        <w:rPr>
          <w:i/>
          <w:iCs/>
        </w:rPr>
        <w:t>species</w:t>
      </w:r>
      <w:r w:rsidR="00D27707" w:rsidRPr="00273106">
        <w:rPr>
          <w:i/>
          <w:iCs/>
        </w:rPr>
        <w:t xml:space="preserve"> intelligibilis</w:t>
      </w:r>
      <w:r w:rsidR="00D27707">
        <w:rPr>
          <w:i/>
          <w:iCs/>
        </w:rPr>
        <w:t xml:space="preserve"> </w:t>
      </w:r>
      <w:r w:rsidR="00D27707">
        <w:rPr>
          <w:iCs/>
        </w:rPr>
        <w:t xml:space="preserve">k výslednému </w:t>
      </w:r>
      <w:r w:rsidR="00D27707" w:rsidRPr="00273106">
        <w:rPr>
          <w:i/>
          <w:iCs/>
        </w:rPr>
        <w:t>conceptio</w:t>
      </w:r>
      <w:r w:rsidR="00D27707" w:rsidRPr="00523A8E">
        <w:rPr>
          <w:i/>
          <w:iCs/>
        </w:rPr>
        <w:t xml:space="preserve"> </w:t>
      </w:r>
      <w:r w:rsidR="00D27707" w:rsidRPr="00273106">
        <w:rPr>
          <w:i/>
          <w:iCs/>
        </w:rPr>
        <w:t>intellectus</w:t>
      </w:r>
      <w:r w:rsidR="00D27707">
        <w:rPr>
          <w:i/>
          <w:iCs/>
        </w:rPr>
        <w:t>.</w:t>
      </w:r>
      <w:r w:rsidR="00D27707">
        <w:rPr>
          <w:iCs/>
        </w:rPr>
        <w:t xml:space="preserve"> Ale na rozdíl od Alberta, který četl CMDA správně, Akvinský </w:t>
      </w:r>
      <w:r w:rsidR="00B92D68">
        <w:rPr>
          <w:iCs/>
        </w:rPr>
        <w:t>udělal</w:t>
      </w:r>
      <w:r w:rsidR="00D27707">
        <w:rPr>
          <w:iCs/>
        </w:rPr>
        <w:t xml:space="preserve"> nejen chyb</w:t>
      </w:r>
      <w:r w:rsidR="00B92D68">
        <w:rPr>
          <w:iCs/>
        </w:rPr>
        <w:t>n</w:t>
      </w:r>
      <w:r w:rsidR="00D27707">
        <w:rPr>
          <w:iCs/>
        </w:rPr>
        <w:t>ou</w:t>
      </w:r>
      <w:r w:rsidR="00B92D68">
        <w:rPr>
          <w:iCs/>
        </w:rPr>
        <w:t xml:space="preserve"> formu deduktivního důkazu. Jeho hypostázovaný intelekt zrušil</w:t>
      </w:r>
      <w:r w:rsidR="00D27707">
        <w:rPr>
          <w:iCs/>
        </w:rPr>
        <w:t xml:space="preserve"> jedinečný charakter osoby. Ta je u </w:t>
      </w:r>
      <w:r w:rsidR="009001A0">
        <w:rPr>
          <w:iCs/>
        </w:rPr>
        <w:t xml:space="preserve">Akvinského </w:t>
      </w:r>
      <w:r w:rsidR="00D27707">
        <w:rPr>
          <w:iCs/>
        </w:rPr>
        <w:t>(ale ne u Alberta) redukovaná na nositele procesů intelektu (</w:t>
      </w:r>
      <w:r w:rsidR="00D27707" w:rsidRPr="00B92D68">
        <w:rPr>
          <w:i/>
          <w:iCs/>
        </w:rPr>
        <w:t>subiectum</w:t>
      </w:r>
      <w:r w:rsidR="00D27707">
        <w:rPr>
          <w:iCs/>
        </w:rPr>
        <w:t xml:space="preserve">). </w:t>
      </w:r>
      <w:r w:rsidR="00B92D68">
        <w:rPr>
          <w:iCs/>
        </w:rPr>
        <w:t>Tyto roz</w:t>
      </w:r>
      <w:r w:rsidR="001A6210">
        <w:rPr>
          <w:iCs/>
        </w:rPr>
        <w:t xml:space="preserve">díly jasně viděl Siger, když </w:t>
      </w:r>
      <w:r w:rsidR="00B92D68">
        <w:rPr>
          <w:iCs/>
        </w:rPr>
        <w:t>kriti</w:t>
      </w:r>
      <w:r w:rsidR="001A6210">
        <w:rPr>
          <w:iCs/>
        </w:rPr>
        <w:t xml:space="preserve">zoval </w:t>
      </w:r>
      <w:r w:rsidR="00B92D68">
        <w:rPr>
          <w:iCs/>
        </w:rPr>
        <w:t>ob</w:t>
      </w:r>
      <w:r w:rsidR="001A6210">
        <w:rPr>
          <w:iCs/>
        </w:rPr>
        <w:t>a</w:t>
      </w:r>
      <w:r w:rsidR="00B92D68">
        <w:rPr>
          <w:iCs/>
        </w:rPr>
        <w:t xml:space="preserve"> dominikán</w:t>
      </w:r>
      <w:r w:rsidR="001A6210">
        <w:rPr>
          <w:iCs/>
        </w:rPr>
        <w:t xml:space="preserve">y </w:t>
      </w:r>
      <w:r w:rsidR="00B92D68">
        <w:rPr>
          <w:iCs/>
        </w:rPr>
        <w:t xml:space="preserve">ve spise </w:t>
      </w:r>
      <w:r w:rsidR="00B92D68" w:rsidRPr="00B92D68">
        <w:rPr>
          <w:i/>
          <w:iCs/>
        </w:rPr>
        <w:t>De anima intellectiva</w:t>
      </w:r>
      <w:r w:rsidR="00B92D68">
        <w:rPr>
          <w:iCs/>
        </w:rPr>
        <w:t>. Tomášovo</w:t>
      </w:r>
      <w:r w:rsidR="00235A12">
        <w:rPr>
          <w:iCs/>
        </w:rPr>
        <w:t xml:space="preserve"> objek</w:t>
      </w:r>
      <w:r w:rsidR="00B92D68">
        <w:rPr>
          <w:iCs/>
        </w:rPr>
        <w:t xml:space="preserve">tivní pojetí osoby jako neosobního nositele intelektuální schopnosti dané v </w:t>
      </w:r>
      <w:r w:rsidR="00B92D68" w:rsidRPr="00B92D68">
        <w:rPr>
          <w:i/>
          <w:iCs/>
        </w:rPr>
        <w:t>a</w:t>
      </w:r>
      <w:r w:rsidR="00B92D68">
        <w:rPr>
          <w:i/>
          <w:iCs/>
        </w:rPr>
        <w:t>nima intel</w:t>
      </w:r>
      <w:r w:rsidR="00B92D68" w:rsidRPr="00B92D68">
        <w:rPr>
          <w:i/>
          <w:iCs/>
        </w:rPr>
        <w:t>l</w:t>
      </w:r>
      <w:r w:rsidR="00B92D68">
        <w:rPr>
          <w:i/>
          <w:iCs/>
        </w:rPr>
        <w:t>e</w:t>
      </w:r>
      <w:r w:rsidR="00B92D68" w:rsidRPr="00B92D68">
        <w:rPr>
          <w:i/>
          <w:iCs/>
        </w:rPr>
        <w:t>ctiva</w:t>
      </w:r>
      <w:r w:rsidR="00235A12">
        <w:rPr>
          <w:iCs/>
        </w:rPr>
        <w:t xml:space="preserve"> </w:t>
      </w:r>
      <w:r w:rsidR="00B92D68">
        <w:rPr>
          <w:iCs/>
        </w:rPr>
        <w:t>pak p</w:t>
      </w:r>
      <w:r w:rsidR="00D27707">
        <w:rPr>
          <w:iCs/>
        </w:rPr>
        <w:t xml:space="preserve">řevzal </w:t>
      </w:r>
      <w:r w:rsidR="00235A12">
        <w:rPr>
          <w:iCs/>
        </w:rPr>
        <w:t>Aegidiu</w:t>
      </w:r>
      <w:r w:rsidR="00B92D68">
        <w:rPr>
          <w:iCs/>
        </w:rPr>
        <w:t xml:space="preserve">s. Touto argumentací založenou na tomistickém objektivním subjektu pak </w:t>
      </w:r>
      <w:r w:rsidR="00D27707">
        <w:rPr>
          <w:iCs/>
        </w:rPr>
        <w:t xml:space="preserve">nahradil Sigerův výklad </w:t>
      </w:r>
      <w:r w:rsidR="00235A12">
        <w:rPr>
          <w:iCs/>
        </w:rPr>
        <w:t xml:space="preserve">existenciálního </w:t>
      </w:r>
      <w:r w:rsidR="00B92D68">
        <w:rPr>
          <w:iCs/>
        </w:rPr>
        <w:t>poznání osoby v</w:t>
      </w:r>
      <w:r w:rsidR="00235A12">
        <w:rPr>
          <w:iCs/>
        </w:rPr>
        <w:t> </w:t>
      </w:r>
      <w:r w:rsidR="00D27707">
        <w:rPr>
          <w:iCs/>
        </w:rPr>
        <w:t>QIIIDA</w:t>
      </w:r>
      <w:r w:rsidR="00235A12">
        <w:rPr>
          <w:iCs/>
        </w:rPr>
        <w:t xml:space="preserve">. Toto objektivní pojetí osoby založené na logické supozici intelektu je pak dáno </w:t>
      </w:r>
      <w:r w:rsidR="00CD4F65">
        <w:rPr>
          <w:iCs/>
        </w:rPr>
        <w:t xml:space="preserve">v Oxfordském rukopise </w:t>
      </w:r>
      <w:r w:rsidR="00235A12">
        <w:rPr>
          <w:iCs/>
        </w:rPr>
        <w:t xml:space="preserve">jako </w:t>
      </w:r>
      <w:r w:rsidR="00B92D68">
        <w:rPr>
          <w:iCs/>
        </w:rPr>
        <w:t>tomistický ek</w:t>
      </w:r>
      <w:r w:rsidR="00D27707">
        <w:rPr>
          <w:iCs/>
        </w:rPr>
        <w:t>vivale</w:t>
      </w:r>
      <w:r w:rsidR="00B92D68">
        <w:rPr>
          <w:iCs/>
        </w:rPr>
        <w:t xml:space="preserve">nt </w:t>
      </w:r>
      <w:r w:rsidR="00CD4F65">
        <w:rPr>
          <w:iCs/>
        </w:rPr>
        <w:t xml:space="preserve">Sigerova </w:t>
      </w:r>
      <w:r w:rsidR="00944AB9">
        <w:rPr>
          <w:iCs/>
        </w:rPr>
        <w:t xml:space="preserve">výkladu </w:t>
      </w:r>
      <w:r w:rsidR="00CD4F65">
        <w:rPr>
          <w:iCs/>
        </w:rPr>
        <w:t>DA III</w:t>
      </w:r>
      <w:r w:rsidR="00D27707">
        <w:rPr>
          <w:iCs/>
        </w:rPr>
        <w:t xml:space="preserve">.  </w:t>
      </w:r>
      <w:r w:rsidR="005B17D6">
        <w:rPr>
          <w:rStyle w:val="ezkurwreuab5ozgtqnkl"/>
        </w:rPr>
        <w:t>Definice</w:t>
      </w:r>
      <w:r w:rsidR="005B17D6">
        <w:t xml:space="preserve"> </w:t>
      </w:r>
      <w:r w:rsidR="005B17D6">
        <w:rPr>
          <w:rStyle w:val="ezkurwreuab5ozgtqnkl"/>
        </w:rPr>
        <w:t>osoby, kterou vytvořili</w:t>
      </w:r>
      <w:r w:rsidR="005B17D6">
        <w:t xml:space="preserve"> </w:t>
      </w:r>
      <w:r w:rsidR="005B17D6">
        <w:rPr>
          <w:rStyle w:val="ezkurwreuab5ozgtqnkl"/>
        </w:rPr>
        <w:t>Tomáš a Aegidius, je pouze neosobní nositel specifické mentální kapacity (</w:t>
      </w:r>
      <w:r w:rsidR="005B17D6" w:rsidRPr="005B17D6">
        <w:rPr>
          <w:rStyle w:val="ezkurwreuab5ozgtqnkl"/>
          <w:i/>
        </w:rPr>
        <w:t>subiectum</w:t>
      </w:r>
      <w:r w:rsidR="005B17D6">
        <w:rPr>
          <w:rStyle w:val="ezkurwreuab5ozgtqnkl"/>
        </w:rPr>
        <w:t>).</w:t>
      </w:r>
      <w:r w:rsidR="005B17D6">
        <w:rPr>
          <w:iCs/>
        </w:rPr>
        <w:t xml:space="preserve"> </w:t>
      </w:r>
      <w:r>
        <w:rPr>
          <w:iCs/>
        </w:rPr>
        <w:t xml:space="preserve">Akvinského </w:t>
      </w:r>
      <w:r w:rsidRPr="00273106">
        <w:rPr>
          <w:iCs/>
        </w:rPr>
        <w:t xml:space="preserve">syntéza </w:t>
      </w:r>
      <w:r>
        <w:rPr>
          <w:iCs/>
        </w:rPr>
        <w:t xml:space="preserve">poznání </w:t>
      </w:r>
      <w:r w:rsidR="00273602">
        <w:rPr>
          <w:iCs/>
        </w:rPr>
        <w:t xml:space="preserve">formálně </w:t>
      </w:r>
      <w:r w:rsidRPr="00273106">
        <w:rPr>
          <w:iCs/>
        </w:rPr>
        <w:t xml:space="preserve">odpovídá Albertově syntéze </w:t>
      </w:r>
      <w:r w:rsidR="00273602">
        <w:rPr>
          <w:iCs/>
        </w:rPr>
        <w:t>po</w:t>
      </w:r>
      <w:r w:rsidRPr="00273106">
        <w:rPr>
          <w:iCs/>
        </w:rPr>
        <w:t xml:space="preserve">dle CMDA danou </w:t>
      </w:r>
      <w:r>
        <w:rPr>
          <w:iCs/>
        </w:rPr>
        <w:t xml:space="preserve">v termínu </w:t>
      </w:r>
      <w:r w:rsidRPr="00273106">
        <w:rPr>
          <w:i/>
          <w:iCs/>
        </w:rPr>
        <w:t>intellectus speculativus</w:t>
      </w:r>
      <w:r>
        <w:rPr>
          <w:i/>
          <w:iCs/>
        </w:rPr>
        <w:fldChar w:fldCharType="begin"/>
      </w:r>
      <w:r>
        <w:instrText xml:space="preserve"> XE "</w:instrText>
      </w:r>
      <w:r>
        <w:rPr>
          <w:i/>
        </w:rPr>
        <w:instrText>intellectus speculativus</w:instrText>
      </w:r>
      <w:r>
        <w:instrText xml:space="preserve">" </w:instrText>
      </w:r>
      <w:r>
        <w:rPr>
          <w:i/>
          <w:iCs/>
        </w:rPr>
        <w:fldChar w:fldCharType="end"/>
      </w:r>
      <w:r w:rsidRPr="00273106">
        <w:rPr>
          <w:iCs/>
        </w:rPr>
        <w:t xml:space="preserve"> v </w:t>
      </w:r>
      <w:proofErr w:type="gramStart"/>
      <w:r w:rsidRPr="00273106">
        <w:rPr>
          <w:i/>
          <w:iCs/>
        </w:rPr>
        <w:t>De</w:t>
      </w:r>
      <w:proofErr w:type="gramEnd"/>
      <w:r w:rsidRPr="00273106">
        <w:rPr>
          <w:i/>
          <w:iCs/>
        </w:rPr>
        <w:t xml:space="preserve"> homine</w:t>
      </w:r>
      <w:r w:rsidRPr="00273106">
        <w:rPr>
          <w:iCs/>
        </w:rPr>
        <w:t xml:space="preserve"> (</w:t>
      </w:r>
      <w:r w:rsidR="089D178E">
        <w:rPr>
          <w:iCs/>
        </w:rPr>
        <w:t>OBJ II, kap. 2</w:t>
      </w:r>
      <w:r w:rsidRPr="00273106">
        <w:rPr>
          <w:iCs/>
        </w:rPr>
        <w:t xml:space="preserve">.4.2). </w:t>
      </w:r>
      <w:r w:rsidR="00273602">
        <w:rPr>
          <w:rStyle w:val="ezkurwreuab5ozgtqnkl"/>
        </w:rPr>
        <w:t>Albert</w:t>
      </w:r>
      <w:r w:rsidR="00273602">
        <w:t xml:space="preserve"> však </w:t>
      </w:r>
      <w:r w:rsidR="00273602">
        <w:rPr>
          <w:rStyle w:val="ezkurwreuab5ozgtqnkl"/>
        </w:rPr>
        <w:t>pracuje</w:t>
      </w:r>
      <w:r w:rsidR="00273602">
        <w:t xml:space="preserve"> </w:t>
      </w:r>
      <w:r w:rsidR="00273602">
        <w:rPr>
          <w:rStyle w:val="ezkurwreuab5ozgtqnkl"/>
        </w:rPr>
        <w:t>s intelektem</w:t>
      </w:r>
      <w:r w:rsidR="00273602">
        <w:t xml:space="preserve"> </w:t>
      </w:r>
      <w:r w:rsidR="00273602">
        <w:rPr>
          <w:rStyle w:val="ezkurwreuab5ozgtqnkl"/>
        </w:rPr>
        <w:t xml:space="preserve">jako </w:t>
      </w:r>
      <w:r w:rsidR="00273602" w:rsidRPr="00273602">
        <w:rPr>
          <w:rStyle w:val="ezkurwreuab5ozgtqnkl"/>
          <w:i/>
        </w:rPr>
        <w:t>tertium</w:t>
      </w:r>
      <w:r w:rsidR="00273602" w:rsidRPr="00273602">
        <w:rPr>
          <w:i/>
        </w:rPr>
        <w:t xml:space="preserve"> </w:t>
      </w:r>
      <w:r w:rsidR="00273602" w:rsidRPr="00273602">
        <w:rPr>
          <w:rStyle w:val="ezkurwreuab5ozgtqnkl"/>
        </w:rPr>
        <w:t>a</w:t>
      </w:r>
      <w:r w:rsidR="00273602" w:rsidRPr="00273602">
        <w:rPr>
          <w:rStyle w:val="ezkurwreuab5ozgtqnkl"/>
          <w:i/>
        </w:rPr>
        <w:t xml:space="preserve"> quartum genus</w:t>
      </w:r>
      <w:r w:rsidR="00273602">
        <w:t xml:space="preserve"> </w:t>
      </w:r>
      <w:r w:rsidR="00273602">
        <w:rPr>
          <w:rStyle w:val="ezkurwreuab5ozgtqnkl"/>
        </w:rPr>
        <w:t>podle CDDA</w:t>
      </w:r>
      <w:r w:rsidR="00C13D6E">
        <w:rPr>
          <w:rStyle w:val="ezkurwreuab5ozgtqnkl"/>
        </w:rPr>
        <w:t>, tedy v modu „</w:t>
      </w:r>
      <w:r w:rsidR="00C13D6E" w:rsidRPr="00882840">
        <w:rPr>
          <w:i/>
          <w:szCs w:val="24"/>
        </w:rPr>
        <w:t>ipse homo intelligit</w:t>
      </w:r>
      <w:r w:rsidR="00C13D6E">
        <w:rPr>
          <w:szCs w:val="24"/>
        </w:rPr>
        <w:t>“</w:t>
      </w:r>
      <w:r w:rsidR="00273602">
        <w:t>.</w:t>
      </w:r>
      <w:r w:rsidR="00273602">
        <w:rPr>
          <w:iCs/>
        </w:rPr>
        <w:t xml:space="preserve"> </w:t>
      </w:r>
      <w:r>
        <w:rPr>
          <w:iCs/>
        </w:rPr>
        <w:t>Tomistický intelekt je daný pouze na úrovni formy a není aktem bytí osoby v modu existenciální ipseity</w:t>
      </w:r>
      <w:r w:rsidR="00C13D6E">
        <w:rPr>
          <w:iCs/>
        </w:rPr>
        <w:t xml:space="preserve"> (</w:t>
      </w:r>
      <w:r w:rsidR="00C13D6E" w:rsidRPr="00882840">
        <w:rPr>
          <w:i/>
          <w:szCs w:val="24"/>
        </w:rPr>
        <w:t>homo intelligit</w:t>
      </w:r>
      <w:r w:rsidR="00C13D6E">
        <w:rPr>
          <w:iCs/>
        </w:rPr>
        <w:t>)</w:t>
      </w:r>
      <w:r>
        <w:rPr>
          <w:iCs/>
        </w:rPr>
        <w:t xml:space="preserve">. Proto </w:t>
      </w:r>
      <w:r w:rsidRPr="00273106">
        <w:rPr>
          <w:iCs/>
        </w:rPr>
        <w:t>Siger</w:t>
      </w:r>
      <w:r>
        <w:rPr>
          <w:iCs/>
        </w:rPr>
        <w:t xml:space="preserve"> provedl kritiku Tomáše v </w:t>
      </w:r>
      <w:r w:rsidRPr="00273106">
        <w:rPr>
          <w:i/>
          <w:lang w:eastAsia="en-US"/>
        </w:rPr>
        <w:t>De anima intellectiva</w:t>
      </w:r>
      <w:r w:rsidRPr="00273106">
        <w:rPr>
          <w:lang w:eastAsia="en-US"/>
        </w:rPr>
        <w:t xml:space="preserve"> </w:t>
      </w:r>
      <w:r>
        <w:rPr>
          <w:iCs/>
        </w:rPr>
        <w:t xml:space="preserve">a dokončil ji </w:t>
      </w:r>
      <w:r w:rsidRPr="00273106">
        <w:rPr>
          <w:iCs/>
        </w:rPr>
        <w:t xml:space="preserve">v komentáři k </w:t>
      </w:r>
      <w:proofErr w:type="gramStart"/>
      <w:r w:rsidRPr="00273106">
        <w:rPr>
          <w:i/>
          <w:iCs/>
        </w:rPr>
        <w:t>De</w:t>
      </w:r>
      <w:proofErr w:type="gramEnd"/>
      <w:r w:rsidRPr="00273106">
        <w:rPr>
          <w:i/>
          <w:iCs/>
        </w:rPr>
        <w:t xml:space="preserve"> causis</w:t>
      </w:r>
      <w:r>
        <w:rPr>
          <w:iCs/>
        </w:rPr>
        <w:t>, kde</w:t>
      </w:r>
      <w:r w:rsidRPr="00273106">
        <w:rPr>
          <w:iCs/>
        </w:rPr>
        <w:t xml:space="preserve"> vyložil klíčové pasáže o jednotě intelektu podle CMDA</w:t>
      </w:r>
      <w:r>
        <w:rPr>
          <w:iCs/>
        </w:rPr>
        <w:t xml:space="preserve"> </w:t>
      </w:r>
      <w:r w:rsidR="087758DA">
        <w:rPr>
          <w:iCs/>
        </w:rPr>
        <w:t>(kap. 4</w:t>
      </w:r>
      <w:r w:rsidRPr="00273106">
        <w:rPr>
          <w:iCs/>
        </w:rPr>
        <w:t>.4.3).</w:t>
      </w:r>
    </w:p>
    <w:p w:rsidR="08163013" w:rsidRPr="00D07872" w:rsidRDefault="08163013" w:rsidP="00F8715E">
      <w:pPr>
        <w:ind w:firstLine="397"/>
        <w:rPr>
          <w:iCs/>
        </w:rPr>
      </w:pPr>
      <w:r w:rsidRPr="00273106">
        <w:rPr>
          <w:iCs/>
        </w:rPr>
        <w:t xml:space="preserve">Další část </w:t>
      </w:r>
      <w:r w:rsidR="00793514">
        <w:rPr>
          <w:iCs/>
        </w:rPr>
        <w:t xml:space="preserve">výkladu poznání </w:t>
      </w:r>
      <w:r w:rsidR="084252DA">
        <w:rPr>
          <w:iCs/>
        </w:rPr>
        <w:t xml:space="preserve">v </w:t>
      </w:r>
      <w:proofErr w:type="gramStart"/>
      <w:r w:rsidR="084252DA" w:rsidRPr="081942A4">
        <w:rPr>
          <w:i/>
          <w:szCs w:val="24"/>
        </w:rPr>
        <w:t>De</w:t>
      </w:r>
      <w:proofErr w:type="gramEnd"/>
      <w:r w:rsidR="084252DA" w:rsidRPr="081942A4">
        <w:rPr>
          <w:i/>
          <w:szCs w:val="24"/>
        </w:rPr>
        <w:t xml:space="preserve"> potentia </w:t>
      </w:r>
      <w:r w:rsidR="084252DA" w:rsidRPr="081942A4">
        <w:rPr>
          <w:szCs w:val="24"/>
        </w:rPr>
        <w:t xml:space="preserve">8.1 </w:t>
      </w:r>
      <w:r w:rsidRPr="00273106">
        <w:rPr>
          <w:iCs/>
        </w:rPr>
        <w:t xml:space="preserve">se postavila na rovinu výsledného univerzálního konceptu a z této obecné perspektivy dané podle </w:t>
      </w:r>
      <w:r w:rsidRPr="00273106">
        <w:rPr>
          <w:i/>
          <w:iCs/>
        </w:rPr>
        <w:t>conceptio intellectus</w:t>
      </w:r>
      <w:r w:rsidRPr="00273106">
        <w:rPr>
          <w:iCs/>
        </w:rPr>
        <w:t xml:space="preserve"> znovu zkoumá celý proces poznání. </w:t>
      </w:r>
      <w:r w:rsidR="006902A0">
        <w:rPr>
          <w:iCs/>
        </w:rPr>
        <w:t xml:space="preserve">Tentokrát analýza postupuje anachronicky od konce poznání k </w:t>
      </w:r>
      <w:r w:rsidR="006902A0">
        <w:rPr>
          <w:iCs/>
        </w:rPr>
        <w:lastRenderedPageBreak/>
        <w:t xml:space="preserve">jeho začátku. Výklad nyní sleduje postup </w:t>
      </w:r>
      <w:r w:rsidR="006902A0" w:rsidRPr="006902A0">
        <w:rPr>
          <w:i/>
          <w:iCs/>
        </w:rPr>
        <w:t>Kategorií</w:t>
      </w:r>
      <w:r w:rsidR="006902A0">
        <w:rPr>
          <w:iCs/>
        </w:rPr>
        <w:t xml:space="preserve"> v modu logické impozice, kdy dedukce běží od nadřazeného rodu a jde ke species určenému logickou supozicí. V případě Tomáše ovšem chybí metafyzická impozice intelektu jako specifické schopnosti v rámci </w:t>
      </w:r>
      <w:r w:rsidR="006902A0" w:rsidRPr="006902A0">
        <w:rPr>
          <w:i/>
          <w:iCs/>
        </w:rPr>
        <w:t>anima intellectiva</w:t>
      </w:r>
      <w:r w:rsidR="00F8715E">
        <w:rPr>
          <w:iCs/>
        </w:rPr>
        <w:t xml:space="preserve">. </w:t>
      </w:r>
      <w:r w:rsidRPr="00273106">
        <w:rPr>
          <w:iCs/>
        </w:rPr>
        <w:t xml:space="preserve">Výsledkem je </w:t>
      </w:r>
      <w:r>
        <w:rPr>
          <w:iCs/>
        </w:rPr>
        <w:t>komplexní definice univerzálně daného konceptu</w:t>
      </w:r>
      <w:r w:rsidR="005C700D">
        <w:rPr>
          <w:iCs/>
        </w:rPr>
        <w:t xml:space="preserve"> intelektu</w:t>
      </w:r>
      <w:r>
        <w:rPr>
          <w:iCs/>
        </w:rPr>
        <w:t xml:space="preserve">, který se třikrát odlišuje </w:t>
      </w:r>
      <w:r w:rsidRPr="00273106">
        <w:rPr>
          <w:iCs/>
        </w:rPr>
        <w:t>od všech předešlých procesů poznání vyjmenovaných výše</w:t>
      </w:r>
      <w:r>
        <w:rPr>
          <w:iCs/>
        </w:rPr>
        <w:t xml:space="preserve"> (</w:t>
      </w:r>
      <w:r w:rsidRPr="002F41D5">
        <w:rPr>
          <w:i/>
        </w:rPr>
        <w:t>conceptio a tribus praedictis differt</w:t>
      </w:r>
      <w:r>
        <w:rPr>
          <w:iCs/>
        </w:rPr>
        <w:t>)</w:t>
      </w:r>
      <w:r w:rsidRPr="00273106">
        <w:rPr>
          <w:iCs/>
        </w:rPr>
        <w:t xml:space="preserve">. </w:t>
      </w:r>
      <w:r>
        <w:rPr>
          <w:iCs/>
        </w:rPr>
        <w:t>Rozbor ukazuje</w:t>
      </w:r>
      <w:r w:rsidRPr="00273106">
        <w:rPr>
          <w:iCs/>
        </w:rPr>
        <w:t xml:space="preserve"> zásadní rozdíly mezi různými složkami poznání</w:t>
      </w:r>
      <w:r>
        <w:rPr>
          <w:iCs/>
        </w:rPr>
        <w:fldChar w:fldCharType="begin"/>
      </w:r>
      <w:r>
        <w:instrText xml:space="preserve"> XE "</w:instrText>
      </w:r>
      <w:r w:rsidRPr="00701524">
        <w:instrText>intelekt:Akvinský</w:instrText>
      </w:r>
      <w:r>
        <w:instrText xml:space="preserve">" </w:instrText>
      </w:r>
      <w:r>
        <w:rPr>
          <w:iCs/>
        </w:rPr>
        <w:fldChar w:fldCharType="end"/>
      </w:r>
      <w:r w:rsidRPr="00273106">
        <w:rPr>
          <w:iCs/>
        </w:rPr>
        <w:t>.</w:t>
      </w:r>
    </w:p>
    <w:p w:rsidR="08163013" w:rsidRPr="00BC14B7" w:rsidRDefault="08163013" w:rsidP="08163013">
      <w:pPr>
        <w:pStyle w:val="Citace"/>
        <w:rPr>
          <w:noProof/>
          <w:lang w:val="cs-CZ"/>
        </w:rPr>
      </w:pPr>
      <w:r w:rsidRPr="00273106">
        <w:rPr>
          <w:noProof/>
          <w:lang w:val="cs-CZ"/>
        </w:rPr>
        <w:t>„</w:t>
      </w:r>
      <w:r>
        <w:rPr>
          <w:noProof/>
          <w:lang w:val="cs-CZ"/>
        </w:rPr>
        <w:t>Poznání v univerzálním pojmu se liší od předešlých tří etap. Jednak od poznané věci, protože poznaná věc je dána mimo intelekt</w:t>
      </w:r>
      <w:r w:rsidR="00F95B00">
        <w:rPr>
          <w:noProof/>
          <w:lang w:val="cs-CZ"/>
        </w:rPr>
        <w:t xml:space="preserve"> (</w:t>
      </w:r>
      <w:r w:rsidR="00F95B00" w:rsidRPr="00F95B00">
        <w:rPr>
          <w:i/>
          <w:noProof/>
        </w:rPr>
        <w:t>res intellecta est interdum extra intellectum</w:t>
      </w:r>
      <w:r w:rsidR="00F95B00">
        <w:rPr>
          <w:noProof/>
          <w:lang w:val="cs-CZ"/>
        </w:rPr>
        <w:t>)</w:t>
      </w:r>
      <w:r>
        <w:rPr>
          <w:noProof/>
          <w:lang w:val="cs-CZ"/>
        </w:rPr>
        <w:t>, zatímco poznání existuje pouze v intelektu. Dále platí, že univerzální pojem se vztahuje k</w:t>
      </w:r>
      <w:r w:rsidR="00F95B00">
        <w:rPr>
          <w:noProof/>
          <w:lang w:val="cs-CZ"/>
        </w:rPr>
        <w:t xml:space="preserve"> reálné </w:t>
      </w:r>
      <w:r>
        <w:rPr>
          <w:noProof/>
          <w:lang w:val="cs-CZ"/>
        </w:rPr>
        <w:t>věci</w:t>
      </w:r>
      <w:r w:rsidR="00F95B00">
        <w:rPr>
          <w:noProof/>
          <w:lang w:val="cs-CZ"/>
        </w:rPr>
        <w:t>, která má být poznána (</w:t>
      </w:r>
      <w:r w:rsidR="00F95B00" w:rsidRPr="00F95B00">
        <w:rPr>
          <w:i/>
          <w:noProof/>
        </w:rPr>
        <w:t>conceptio intellectus ordinatur ad rem intellectam</w:t>
      </w:r>
      <w:r w:rsidR="00F95B00">
        <w:rPr>
          <w:noProof/>
          <w:lang w:val="cs-CZ"/>
        </w:rPr>
        <w:t>)</w:t>
      </w:r>
      <w:r>
        <w:rPr>
          <w:noProof/>
          <w:lang w:val="cs-CZ"/>
        </w:rPr>
        <w:t xml:space="preserve"> jako </w:t>
      </w:r>
      <w:r w:rsidR="00DF7D24">
        <w:rPr>
          <w:noProof/>
          <w:lang w:val="cs-CZ"/>
        </w:rPr>
        <w:t>konečný cíl poznání</w:t>
      </w:r>
      <w:r>
        <w:rPr>
          <w:noProof/>
          <w:lang w:val="cs-CZ"/>
        </w:rPr>
        <w:t>. Kvůli tomu totiž intelekt v sobě formuje koncept věci</w:t>
      </w:r>
      <w:r w:rsidR="00F95B00">
        <w:rPr>
          <w:noProof/>
          <w:lang w:val="cs-CZ"/>
        </w:rPr>
        <w:t xml:space="preserve"> (</w:t>
      </w:r>
      <w:r w:rsidR="00F95B00" w:rsidRPr="00F95B00">
        <w:rPr>
          <w:i/>
          <w:noProof/>
        </w:rPr>
        <w:t>intellectu</w:t>
      </w:r>
      <w:r w:rsidR="00F95B00">
        <w:rPr>
          <w:i/>
          <w:noProof/>
        </w:rPr>
        <w:t>s conceptionem rei in se format</w:t>
      </w:r>
      <w:r w:rsidR="00F95B00">
        <w:rPr>
          <w:noProof/>
          <w:lang w:val="cs-CZ"/>
        </w:rPr>
        <w:t>)</w:t>
      </w:r>
      <w:r>
        <w:rPr>
          <w:noProof/>
          <w:lang w:val="cs-CZ"/>
        </w:rPr>
        <w:t>, aby poznal věc uchopenou</w:t>
      </w:r>
      <w:r w:rsidRPr="00F82C29">
        <w:rPr>
          <w:noProof/>
          <w:lang w:val="cs-CZ"/>
        </w:rPr>
        <w:t xml:space="preserve"> </w:t>
      </w:r>
      <w:r>
        <w:rPr>
          <w:noProof/>
          <w:lang w:val="cs-CZ"/>
        </w:rPr>
        <w:t xml:space="preserve">rozumem.“ </w:t>
      </w:r>
      <w:r>
        <w:rPr>
          <w:rStyle w:val="Znakapoznpodarou"/>
        </w:rPr>
        <w:footnoteReference w:id="313"/>
      </w:r>
    </w:p>
    <w:p w:rsidR="08163013" w:rsidRPr="00273106" w:rsidRDefault="08163013" w:rsidP="08163013">
      <w:r w:rsidRPr="00273106">
        <w:t>Systém tří diferencí odděluje výsledný univerzální význam v pojmu (</w:t>
      </w:r>
      <w:r w:rsidRPr="00273106">
        <w:rPr>
          <w:i/>
        </w:rPr>
        <w:t>conceptio</w:t>
      </w:r>
      <w:r w:rsidRPr="00273106">
        <w:t xml:space="preserve">) od zbylých třech složek. </w:t>
      </w:r>
      <w:r>
        <w:t xml:space="preserve">Citát </w:t>
      </w:r>
      <w:r w:rsidRPr="00273106">
        <w:t>přesně definuje jejich roli vzhledem k výslednému univerzálnímu významu určujícímu celý proces poznání. První rozdíl odmítá objektivně pojaté jsoucno třetího druhu propagované v</w:t>
      </w:r>
      <w:r>
        <w:t>e</w:t>
      </w:r>
      <w:r w:rsidRPr="00273106">
        <w:t xml:space="preserve"> druhé</w:t>
      </w:r>
      <w:r>
        <w:t>m</w:t>
      </w:r>
      <w:r w:rsidRPr="00273106">
        <w:t xml:space="preserve"> averroismu. Poznávaná věc (</w:t>
      </w:r>
      <w:r w:rsidRPr="00273106">
        <w:rPr>
          <w:i/>
        </w:rPr>
        <w:t>res intellecta</w:t>
      </w:r>
      <w:r w:rsidRPr="00273106">
        <w:t>) je dána mimo intelekt jako cíl poznání (</w:t>
      </w:r>
      <w:r w:rsidRPr="00273106">
        <w:rPr>
          <w:i/>
        </w:rPr>
        <w:t>sicut ad finem</w:t>
      </w:r>
      <w:r w:rsidRPr="00273106">
        <w:t>) a poznávaný význam existuje pouze v intelektu (</w:t>
      </w:r>
      <w:proofErr w:type="gramStart"/>
      <w:r>
        <w:rPr>
          <w:i/>
        </w:rPr>
        <w:t>conceptio</w:t>
      </w:r>
      <w:r w:rsidRPr="00273106">
        <w:rPr>
          <w:i/>
        </w:rPr>
        <w:t>...non</w:t>
      </w:r>
      <w:proofErr w:type="gramEnd"/>
      <w:r w:rsidRPr="00273106">
        <w:rPr>
          <w:i/>
        </w:rPr>
        <w:t xml:space="preserve"> est nisi in intellectu</w:t>
      </w:r>
      <w:r w:rsidRPr="00273106">
        <w:t xml:space="preserve">). </w:t>
      </w:r>
      <w:r>
        <w:t>Externí věc uchopená intelektem v jemu vlastním modu a výkonu tvoří koncept jako cíl poznání (</w:t>
      </w:r>
      <w:r w:rsidRPr="005227A7">
        <w:rPr>
          <w:i/>
        </w:rPr>
        <w:t>ad rem intellectam sicut ad finem</w:t>
      </w:r>
      <w:r>
        <w:t xml:space="preserve">). </w:t>
      </w:r>
      <w:r w:rsidRPr="00273106">
        <w:t xml:space="preserve">To sice tvrdil druhý averroismus také, ale </w:t>
      </w:r>
      <w:r>
        <w:t xml:space="preserve">našel </w:t>
      </w:r>
      <w:r w:rsidRPr="00273106">
        <w:t xml:space="preserve">objektivního prostředníka mezi oběma rovinami v podobě různých druhů </w:t>
      </w:r>
      <w:r w:rsidRPr="005227A7">
        <w:rPr>
          <w:i/>
        </w:rPr>
        <w:t>tertium ens</w:t>
      </w:r>
      <w:r>
        <w:rPr>
          <w:i/>
        </w:rPr>
        <w:fldChar w:fldCharType="begin"/>
      </w:r>
      <w:r>
        <w:instrText xml:space="preserve"> XE "</w:instrText>
      </w:r>
      <w:r w:rsidRPr="002F10B4">
        <w:rPr>
          <w:rStyle w:val="Zvraznn"/>
        </w:rPr>
        <w:instrText>tertium ens</w:instrText>
      </w:r>
      <w:r>
        <w:instrText xml:space="preserve">" </w:instrText>
      </w:r>
      <w:r>
        <w:rPr>
          <w:i/>
        </w:rPr>
        <w:fldChar w:fldCharType="end"/>
      </w:r>
      <w:r>
        <w:t>, které nakonec umístil přímo do reálných věcí a do boží mysli</w:t>
      </w:r>
      <w:r w:rsidRPr="00273106">
        <w:t xml:space="preserve">. Text v dalším kroku řadí </w:t>
      </w:r>
      <w:r>
        <w:t xml:space="preserve">individuální </w:t>
      </w:r>
      <w:r w:rsidR="00962190">
        <w:rPr>
          <w:i/>
        </w:rPr>
        <w:t>species</w:t>
      </w:r>
      <w:r w:rsidRPr="00273106">
        <w:t xml:space="preserve"> pouze do činnosti intelektu a odlišuje jejich statut od výsledného konceptu.</w:t>
      </w:r>
    </w:p>
    <w:p w:rsidR="08163013" w:rsidRDefault="08163013" w:rsidP="08163013">
      <w:pPr>
        <w:pStyle w:val="Citace"/>
        <w:rPr>
          <w:noProof/>
          <w:lang w:val="cs-CZ"/>
        </w:rPr>
      </w:pPr>
      <w:r w:rsidRPr="00273106">
        <w:rPr>
          <w:noProof/>
          <w:lang w:val="cs-CZ"/>
        </w:rPr>
        <w:t>„</w:t>
      </w:r>
      <w:r>
        <w:rPr>
          <w:noProof/>
          <w:lang w:val="cs-CZ"/>
        </w:rPr>
        <w:t xml:space="preserve">Pojem se liší také od inteligibilní </w:t>
      </w:r>
      <w:r w:rsidR="00962190">
        <w:rPr>
          <w:i/>
          <w:noProof/>
          <w:lang w:val="cs-CZ"/>
        </w:rPr>
        <w:t>species</w:t>
      </w:r>
      <w:r>
        <w:rPr>
          <w:noProof/>
          <w:lang w:val="cs-CZ"/>
        </w:rPr>
        <w:t xml:space="preserve">. Je to proto, že inteligibilní </w:t>
      </w:r>
      <w:r w:rsidR="00962190">
        <w:rPr>
          <w:i/>
          <w:noProof/>
          <w:lang w:val="cs-CZ"/>
        </w:rPr>
        <w:t>species</w:t>
      </w:r>
      <w:r>
        <w:rPr>
          <w:noProof/>
          <w:lang w:val="cs-CZ"/>
        </w:rPr>
        <w:t>, skrze kterou se intelekt stává aktuálním (</w:t>
      </w:r>
      <w:r w:rsidRPr="00371C02">
        <w:rPr>
          <w:i/>
          <w:noProof/>
          <w:lang w:val="cs-CZ"/>
        </w:rPr>
        <w:t>qua fit intellectus in actu</w:t>
      </w:r>
      <w:r>
        <w:rPr>
          <w:noProof/>
          <w:lang w:val="cs-CZ"/>
        </w:rPr>
        <w:t xml:space="preserve">), se definuje jako princip činnosti intelektu, protože vše, co </w:t>
      </w:r>
      <w:r>
        <w:rPr>
          <w:noProof/>
          <w:lang w:val="cs-CZ"/>
        </w:rPr>
        <w:lastRenderedPageBreak/>
        <w:t xml:space="preserve">jedná, tak činí vzhledem k tomu, co dáno aktuálně. Aktualita je ale dána skrze nějakou formu, která </w:t>
      </w:r>
      <w:r w:rsidR="00F078FF">
        <w:rPr>
          <w:noProof/>
          <w:lang w:val="cs-CZ"/>
        </w:rPr>
        <w:t xml:space="preserve">představuje aktivně jednající </w:t>
      </w:r>
      <w:r>
        <w:rPr>
          <w:noProof/>
          <w:lang w:val="cs-CZ"/>
        </w:rPr>
        <w:t>princip</w:t>
      </w:r>
      <w:r w:rsidR="001A7820">
        <w:rPr>
          <w:noProof/>
          <w:lang w:val="cs-CZ"/>
        </w:rPr>
        <w:t xml:space="preserve"> v </w:t>
      </w:r>
      <w:r>
        <w:rPr>
          <w:noProof/>
          <w:lang w:val="cs-CZ"/>
        </w:rPr>
        <w:t>intelektu.“ </w:t>
      </w:r>
      <w:r>
        <w:rPr>
          <w:rStyle w:val="Znakapoznpodarou"/>
        </w:rPr>
        <w:footnoteReference w:id="314"/>
      </w:r>
    </w:p>
    <w:p w:rsidR="006773BE" w:rsidRDefault="00077B67" w:rsidP="08163013">
      <w:r>
        <w:t xml:space="preserve">Inteligibilní </w:t>
      </w:r>
      <w:r w:rsidRPr="004D7028">
        <w:t>species</w:t>
      </w:r>
      <w:r w:rsidR="006028F1">
        <w:rPr>
          <w:i/>
        </w:rPr>
        <w:fldChar w:fldCharType="begin"/>
      </w:r>
      <w:r w:rsidR="006028F1">
        <w:instrText xml:space="preserve"> XE "</w:instrText>
      </w:r>
      <w:r w:rsidR="006028F1" w:rsidRPr="00DD403C">
        <w:rPr>
          <w:i/>
        </w:rPr>
        <w:instrText>species intelligibilis:</w:instrText>
      </w:r>
      <w:r w:rsidR="006028F1" w:rsidRPr="00DD403C">
        <w:instrText>A</w:instrText>
      </w:r>
      <w:r w:rsidR="006028F1">
        <w:instrText xml:space="preserve">kvinský" </w:instrText>
      </w:r>
      <w:r w:rsidR="006028F1">
        <w:rPr>
          <w:i/>
        </w:rPr>
        <w:fldChar w:fldCharType="end"/>
      </w:r>
      <w:r w:rsidR="006028F1">
        <w:rPr>
          <w:i/>
        </w:rPr>
        <w:t xml:space="preserve"> </w:t>
      </w:r>
      <w:r>
        <w:t>dané skrze intencionalitu intelektu tvoří aktuální p</w:t>
      </w:r>
      <w:r w:rsidR="004D7028">
        <w:t>oznávající</w:t>
      </w:r>
      <w:r>
        <w:t xml:space="preserve"> formu. Jejich aktuální stav </w:t>
      </w:r>
      <w:r w:rsidR="08163013" w:rsidRPr="00273106">
        <w:t>tvoří z hlediska poznání Boethiův akt bytí (</w:t>
      </w:r>
      <w:r w:rsidR="08163013" w:rsidRPr="00273106">
        <w:rPr>
          <w:i/>
        </w:rPr>
        <w:t>quo est</w:t>
      </w:r>
      <w:r w:rsidR="08163013">
        <w:rPr>
          <w:i/>
        </w:rPr>
        <w:fldChar w:fldCharType="begin"/>
      </w:r>
      <w:r w:rsidR="08163013">
        <w:instrText xml:space="preserve"> XE "</w:instrText>
      </w:r>
      <w:r w:rsidR="08163013" w:rsidRPr="003C4F2E">
        <w:rPr>
          <w:i/>
        </w:rPr>
        <w:instrText>quo est</w:instrText>
      </w:r>
      <w:r w:rsidR="08163013">
        <w:instrText xml:space="preserve">" </w:instrText>
      </w:r>
      <w:r w:rsidR="08163013">
        <w:rPr>
          <w:i/>
        </w:rPr>
        <w:fldChar w:fldCharType="end"/>
      </w:r>
      <w:r>
        <w:t>). I</w:t>
      </w:r>
      <w:r w:rsidRPr="00273106">
        <w:t xml:space="preserve">ntelekt přechází z potenciality do aktuality </w:t>
      </w:r>
      <w:r w:rsidR="00E70801">
        <w:t>skrze recepci t</w:t>
      </w:r>
      <w:r w:rsidR="0029486C">
        <w:t>akto aktua</w:t>
      </w:r>
      <w:r w:rsidR="00E70801">
        <w:t xml:space="preserve">lizovaných </w:t>
      </w:r>
      <w:r w:rsidRPr="00077B67">
        <w:t>s</w:t>
      </w:r>
      <w:r w:rsidR="00962190" w:rsidRPr="00077B67">
        <w:t>pecies</w:t>
      </w:r>
      <w:r>
        <w:t xml:space="preserve"> </w:t>
      </w:r>
      <w:r w:rsidR="08163013" w:rsidRPr="00273106">
        <w:t>(</w:t>
      </w:r>
      <w:r w:rsidR="00962190">
        <w:rPr>
          <w:i/>
        </w:rPr>
        <w:t>species</w:t>
      </w:r>
      <w:r w:rsidR="08163013" w:rsidRPr="00273106">
        <w:rPr>
          <w:i/>
        </w:rPr>
        <w:t xml:space="preserve"> intelligibilis, qua fit intellectus in actu</w:t>
      </w:r>
      <w:r w:rsidR="08163013" w:rsidRPr="00273106">
        <w:t xml:space="preserve">). </w:t>
      </w:r>
      <w:r w:rsidR="00397DA1">
        <w:t>Akvinský tím jasně říká modernistům, že i</w:t>
      </w:r>
      <w:r w:rsidR="08163013">
        <w:t xml:space="preserve">ntelekt nemá vlastní aktualitu a získává ji tím, že </w:t>
      </w:r>
      <w:r w:rsidR="00397DA1">
        <w:t xml:space="preserve">přijímá </w:t>
      </w:r>
      <w:r w:rsidR="00962190">
        <w:rPr>
          <w:i/>
        </w:rPr>
        <w:t>species</w:t>
      </w:r>
      <w:r w:rsidR="00397DA1">
        <w:rPr>
          <w:i/>
        </w:rPr>
        <w:t xml:space="preserve"> </w:t>
      </w:r>
      <w:r w:rsidR="00397DA1" w:rsidRPr="00397DA1">
        <w:rPr>
          <w:i/>
        </w:rPr>
        <w:t>inteligibilis</w:t>
      </w:r>
      <w:r w:rsidR="08163013">
        <w:t xml:space="preserve">. </w:t>
      </w:r>
      <w:r w:rsidR="005B2434">
        <w:rPr>
          <w:rStyle w:val="ezkurwreuab5ozgtqnkl"/>
        </w:rPr>
        <w:t>Na</w:t>
      </w:r>
      <w:r w:rsidR="005B2434">
        <w:t xml:space="preserve"> </w:t>
      </w:r>
      <w:r w:rsidR="005B2434">
        <w:rPr>
          <w:rStyle w:val="ezkurwreuab5ozgtqnkl"/>
        </w:rPr>
        <w:t>rozdíl</w:t>
      </w:r>
      <w:r w:rsidR="005B2434">
        <w:t xml:space="preserve"> </w:t>
      </w:r>
      <w:r w:rsidR="005B2434">
        <w:rPr>
          <w:rStyle w:val="ezkurwreuab5ozgtqnkl"/>
        </w:rPr>
        <w:t>od Singera</w:t>
      </w:r>
      <w:r w:rsidR="005B2434">
        <w:t xml:space="preserve"> </w:t>
      </w:r>
      <w:r w:rsidR="005B2434">
        <w:rPr>
          <w:rStyle w:val="ezkurwreuab5ozgtqnkl"/>
        </w:rPr>
        <w:t>zde</w:t>
      </w:r>
      <w:r w:rsidR="005B2434">
        <w:t xml:space="preserve"> </w:t>
      </w:r>
      <w:r w:rsidR="005B2434">
        <w:rPr>
          <w:rStyle w:val="ezkurwreuab5ozgtqnkl"/>
        </w:rPr>
        <w:t>neexistuje jasná</w:t>
      </w:r>
      <w:r w:rsidR="005B2434">
        <w:t xml:space="preserve"> </w:t>
      </w:r>
      <w:r w:rsidR="005B2434">
        <w:rPr>
          <w:rStyle w:val="ezkurwreuab5ozgtqnkl"/>
        </w:rPr>
        <w:t>souvislost</w:t>
      </w:r>
      <w:r w:rsidR="005B2434">
        <w:t xml:space="preserve"> </w:t>
      </w:r>
      <w:r w:rsidR="005B2434">
        <w:rPr>
          <w:rStyle w:val="ezkurwreuab5ozgtqnkl"/>
        </w:rPr>
        <w:t xml:space="preserve">se </w:t>
      </w:r>
      <w:r w:rsidR="005B2434" w:rsidRPr="005B2434">
        <w:rPr>
          <w:rStyle w:val="ezkurwreuab5ozgtqnkl"/>
          <w:i/>
        </w:rPr>
        <w:t>species sensibilis</w:t>
      </w:r>
      <w:r w:rsidR="005B2434">
        <w:rPr>
          <w:rStyle w:val="ezkurwreuab5ozgtqnkl"/>
        </w:rPr>
        <w:t>, která provádí první</w:t>
      </w:r>
      <w:r w:rsidR="005B2434">
        <w:t xml:space="preserve"> </w:t>
      </w:r>
      <w:r w:rsidR="005B2434">
        <w:rPr>
          <w:rStyle w:val="ezkurwreuab5ozgtqnkl"/>
        </w:rPr>
        <w:t>fázi</w:t>
      </w:r>
      <w:r w:rsidR="005B2434">
        <w:t xml:space="preserve"> </w:t>
      </w:r>
      <w:r w:rsidR="005B2434">
        <w:rPr>
          <w:rStyle w:val="ezkurwreuab5ozgtqnkl"/>
        </w:rPr>
        <w:t>aktualizace</w:t>
      </w:r>
      <w:r w:rsidR="005B2434">
        <w:t xml:space="preserve"> </w:t>
      </w:r>
      <w:r w:rsidR="005B2434">
        <w:rPr>
          <w:rStyle w:val="ezkurwreuab5ozgtqnkl"/>
        </w:rPr>
        <w:t>intelektu</w:t>
      </w:r>
      <w:r w:rsidR="005B2434">
        <w:t xml:space="preserve"> </w:t>
      </w:r>
      <w:r w:rsidR="005B2434">
        <w:rPr>
          <w:rStyle w:val="ezkurwreuab5ozgtqnkl"/>
        </w:rPr>
        <w:t>ve scénáři</w:t>
      </w:r>
      <w:r w:rsidR="005B2434">
        <w:t xml:space="preserve"> </w:t>
      </w:r>
      <w:r w:rsidR="005B2434">
        <w:rPr>
          <w:rStyle w:val="ezkurwreuab5ozgtqnkl"/>
        </w:rPr>
        <w:t>CMDA</w:t>
      </w:r>
      <w:r w:rsidR="005B2434">
        <w:t xml:space="preserve">. </w:t>
      </w:r>
      <w:r w:rsidR="08691300">
        <w:t>Tato vynechávka m</w:t>
      </w:r>
      <w:r w:rsidR="00D73C43">
        <w:t xml:space="preserve">á zásadní význam v debatě Siger versus </w:t>
      </w:r>
      <w:r w:rsidR="08691300">
        <w:t xml:space="preserve">Akvinský v roce 1270. Citát ukazuje, že </w:t>
      </w:r>
      <w:r w:rsidR="00962190">
        <w:rPr>
          <w:i/>
        </w:rPr>
        <w:t>species</w:t>
      </w:r>
      <w:r w:rsidR="08691300" w:rsidRPr="00273106">
        <w:rPr>
          <w:i/>
        </w:rPr>
        <w:t xml:space="preserve"> intelligibilis</w:t>
      </w:r>
      <w:r w:rsidR="08691300">
        <w:rPr>
          <w:i/>
        </w:rPr>
        <w:t xml:space="preserve"> </w:t>
      </w:r>
      <w:r w:rsidR="08691300">
        <w:t>má vlastní aktualitu danou ve výkonu poznání (</w:t>
      </w:r>
      <w:r w:rsidR="08691300" w:rsidRPr="08276046">
        <w:rPr>
          <w:i/>
        </w:rPr>
        <w:t>qua</w:t>
      </w:r>
      <w:r w:rsidR="08691300">
        <w:t xml:space="preserve"> </w:t>
      </w:r>
      <w:r w:rsidR="08691300" w:rsidRPr="08276046">
        <w:rPr>
          <w:i/>
        </w:rPr>
        <w:t>fit</w:t>
      </w:r>
      <w:r w:rsidR="08691300">
        <w:t xml:space="preserve">). Pak </w:t>
      </w:r>
      <w:r w:rsidR="08691300" w:rsidRPr="00273106">
        <w:t xml:space="preserve">tvoří </w:t>
      </w:r>
      <w:r w:rsidR="00962190">
        <w:rPr>
          <w:i/>
        </w:rPr>
        <w:t>species</w:t>
      </w:r>
      <w:r w:rsidR="08691300" w:rsidRPr="00273106">
        <w:rPr>
          <w:i/>
        </w:rPr>
        <w:t xml:space="preserve"> intelligibilis</w:t>
      </w:r>
      <w:r w:rsidR="08691300" w:rsidRPr="00273106">
        <w:t xml:space="preserve"> </w:t>
      </w:r>
      <w:r w:rsidR="08691300">
        <w:t>p</w:t>
      </w:r>
      <w:r w:rsidR="08691300" w:rsidRPr="00273106">
        <w:t xml:space="preserve">rincip </w:t>
      </w:r>
      <w:r w:rsidR="08691300">
        <w:t xml:space="preserve">aktu poznání v jeho existenciálním výkonu </w:t>
      </w:r>
      <w:r w:rsidR="08691300" w:rsidRPr="00273106">
        <w:t>(</w:t>
      </w:r>
      <w:r w:rsidR="08691300" w:rsidRPr="00273106">
        <w:rPr>
          <w:i/>
        </w:rPr>
        <w:t>principium actionis intellectus</w:t>
      </w:r>
      <w:r w:rsidR="08691300" w:rsidRPr="00273106">
        <w:t>)</w:t>
      </w:r>
      <w:r w:rsidR="08691300">
        <w:t xml:space="preserve">. Tím došlo k odlišení </w:t>
      </w:r>
      <w:r w:rsidR="00962190" w:rsidRPr="00AB200A">
        <w:t>species</w:t>
      </w:r>
      <w:r w:rsidR="08691300">
        <w:t xml:space="preserve"> jako aktu poznání od jeho výsledného produktu jako poznatku (</w:t>
      </w:r>
      <w:r w:rsidR="08691300">
        <w:rPr>
          <w:i/>
        </w:rPr>
        <w:t>conceptio</w:t>
      </w:r>
      <w:r w:rsidR="08691300">
        <w:t xml:space="preserve">). </w:t>
      </w:r>
      <w:r w:rsidR="006773BE">
        <w:t>Rozdíl mezi aktem (</w:t>
      </w:r>
      <w:r w:rsidR="006773BE">
        <w:rPr>
          <w:i/>
        </w:rPr>
        <w:t>species</w:t>
      </w:r>
      <w:r w:rsidR="006773BE" w:rsidRPr="00273106">
        <w:rPr>
          <w:i/>
        </w:rPr>
        <w:t xml:space="preserve"> intelligibilis</w:t>
      </w:r>
      <w:r w:rsidR="006773BE">
        <w:t>) a jeho produktem (</w:t>
      </w:r>
      <w:r w:rsidR="006773BE">
        <w:rPr>
          <w:i/>
        </w:rPr>
        <w:t>conceptio</w:t>
      </w:r>
      <w:r w:rsidR="006773BE">
        <w:t xml:space="preserve">) je nyní jasně daný. Poznávací forma jako </w:t>
      </w:r>
      <w:r w:rsidR="00962190">
        <w:rPr>
          <w:i/>
        </w:rPr>
        <w:t>species</w:t>
      </w:r>
      <w:r w:rsidR="08691300" w:rsidRPr="00273106">
        <w:rPr>
          <w:i/>
        </w:rPr>
        <w:t xml:space="preserve"> </w:t>
      </w:r>
      <w:r w:rsidR="08691300" w:rsidRPr="00847DC5">
        <w:rPr>
          <w:i/>
        </w:rPr>
        <w:t>intelligibilis</w:t>
      </w:r>
      <w:r w:rsidR="08691300" w:rsidRPr="00847DC5">
        <w:t xml:space="preserve"> </w:t>
      </w:r>
      <w:r w:rsidR="006773BE">
        <w:t>je daná</w:t>
      </w:r>
      <w:r w:rsidR="00AB200A">
        <w:t xml:space="preserve"> </w:t>
      </w:r>
      <w:r w:rsidR="006773BE">
        <w:t xml:space="preserve">vzhledem k intelektu </w:t>
      </w:r>
      <w:r w:rsidR="00AB200A">
        <w:t>v</w:t>
      </w:r>
      <w:r w:rsidR="006773BE">
        <w:t xml:space="preserve"> aktualizačním </w:t>
      </w:r>
      <w:r w:rsidR="00AB200A">
        <w:t>modu „</w:t>
      </w:r>
      <w:r w:rsidR="00AB200A" w:rsidRPr="00AB200A">
        <w:rPr>
          <w:i/>
        </w:rPr>
        <w:t>quo est</w:t>
      </w:r>
      <w:r w:rsidR="00AB200A">
        <w:t xml:space="preserve">“ </w:t>
      </w:r>
      <w:r w:rsidR="006773BE">
        <w:t xml:space="preserve">a tím supluje intelekt jako </w:t>
      </w:r>
      <w:r w:rsidR="08691300" w:rsidRPr="00847DC5">
        <w:rPr>
          <w:i/>
        </w:rPr>
        <w:t xml:space="preserve">tertium </w:t>
      </w:r>
      <w:r w:rsidR="00962190">
        <w:rPr>
          <w:i/>
        </w:rPr>
        <w:t>genus</w:t>
      </w:r>
      <w:r w:rsidR="006773BE">
        <w:t xml:space="preserve"> v CMDA. Tato forma nemůže být zaměněna za </w:t>
      </w:r>
      <w:r w:rsidR="08691300">
        <w:t>výsledným poznat</w:t>
      </w:r>
      <w:r w:rsidR="006773BE">
        <w:t>ek</w:t>
      </w:r>
      <w:r w:rsidR="08691300">
        <w:t xml:space="preserve"> daným v univerzálním modu </w:t>
      </w:r>
      <w:r w:rsidR="00AB200A">
        <w:t>„</w:t>
      </w:r>
      <w:r w:rsidR="08691300" w:rsidRPr="08D66E2C">
        <w:rPr>
          <w:i/>
        </w:rPr>
        <w:t>quod</w:t>
      </w:r>
      <w:r w:rsidR="08691300">
        <w:t xml:space="preserve"> </w:t>
      </w:r>
      <w:r w:rsidR="00AB200A" w:rsidRPr="00DC2202">
        <w:rPr>
          <w:i/>
        </w:rPr>
        <w:t>est</w:t>
      </w:r>
      <w:r w:rsidR="00AB200A">
        <w:t>“</w:t>
      </w:r>
      <w:r w:rsidR="006773BE">
        <w:t xml:space="preserve">, který supluje intelekt jako </w:t>
      </w:r>
      <w:r w:rsidR="08691300" w:rsidRPr="00847DC5">
        <w:rPr>
          <w:i/>
        </w:rPr>
        <w:t xml:space="preserve">quartum </w:t>
      </w:r>
      <w:r w:rsidR="00962190">
        <w:rPr>
          <w:i/>
        </w:rPr>
        <w:t>genus</w:t>
      </w:r>
      <w:r w:rsidR="006773BE">
        <w:t xml:space="preserve"> v CMDA</w:t>
      </w:r>
      <w:r w:rsidR="08691300">
        <w:t xml:space="preserve">. Tento rozdíl v obou rodech Akvinský nemá z CMDA, ale z Albertova výkladu CMDA, který </w:t>
      </w:r>
      <w:r w:rsidR="006773BE">
        <w:t xml:space="preserve">si upravil do vlastního aristotelského scénáře. Za tento výkon se stal </w:t>
      </w:r>
      <w:r w:rsidR="006773BE" w:rsidRPr="006773BE">
        <w:rPr>
          <w:i/>
        </w:rPr>
        <w:t>Expositor Novus</w:t>
      </w:r>
      <w:r w:rsidR="006773BE">
        <w:rPr>
          <w:i/>
        </w:rPr>
        <w:t xml:space="preserve"> </w:t>
      </w:r>
      <w:r w:rsidR="006773BE">
        <w:t xml:space="preserve">pro semiaverroisty jako Aegidius. </w:t>
      </w:r>
      <w:r w:rsidR="08691300">
        <w:t>Proto Siger kritizuje oba dominikány za špatné pochopení aktu poznání reálné os</w:t>
      </w:r>
      <w:r w:rsidR="006773BE">
        <w:t>oby, ale pokaždé z jiné pozice.</w:t>
      </w:r>
      <w:r w:rsidR="00C37B19">
        <w:t xml:space="preserve"> </w:t>
      </w:r>
      <w:r w:rsidR="00C37B19">
        <w:rPr>
          <w:rStyle w:val="ezkurwreuab5ozgtqnkl"/>
        </w:rPr>
        <w:t>Rozdíl</w:t>
      </w:r>
      <w:r w:rsidR="00C37B19">
        <w:t xml:space="preserve"> </w:t>
      </w:r>
      <w:r w:rsidR="00C37B19">
        <w:rPr>
          <w:rStyle w:val="ezkurwreuab5ozgtqnkl"/>
        </w:rPr>
        <w:t>mezi „</w:t>
      </w:r>
      <w:r w:rsidR="00C37B19" w:rsidRPr="00C37B19">
        <w:rPr>
          <w:rStyle w:val="ezkurwreuab5ozgtqnkl"/>
          <w:i/>
        </w:rPr>
        <w:t>quo</w:t>
      </w:r>
      <w:r w:rsidR="00C37B19" w:rsidRPr="00C37B19">
        <w:rPr>
          <w:i/>
        </w:rPr>
        <w:t xml:space="preserve"> </w:t>
      </w:r>
      <w:r w:rsidR="00C37B19" w:rsidRPr="00C37B19">
        <w:rPr>
          <w:rStyle w:val="ezkurwreuab5ozgtqnkl"/>
          <w:i/>
        </w:rPr>
        <w:t>est</w:t>
      </w:r>
      <w:r w:rsidR="00C37B19">
        <w:rPr>
          <w:rStyle w:val="ezkurwreuab5ozgtqnkl"/>
        </w:rPr>
        <w:t>“ a „</w:t>
      </w:r>
      <w:r w:rsidR="00C37B19" w:rsidRPr="00C37B19">
        <w:rPr>
          <w:rStyle w:val="ezkurwreuab5ozgtqnkl"/>
          <w:i/>
        </w:rPr>
        <w:t>quod est</w:t>
      </w:r>
      <w:r w:rsidR="00C37B19">
        <w:rPr>
          <w:rStyle w:val="ezkurwreuab5ozgtqnkl"/>
        </w:rPr>
        <w:t>“ je založen na logické supozici.</w:t>
      </w:r>
      <w:r w:rsidR="00C37B19">
        <w:t xml:space="preserve"> </w:t>
      </w:r>
      <w:r w:rsidR="00C37B19">
        <w:rPr>
          <w:rStyle w:val="ezkurwreuab5ozgtqnkl"/>
        </w:rPr>
        <w:t>Nemůže nahradit</w:t>
      </w:r>
      <w:r w:rsidR="00C37B19">
        <w:t xml:space="preserve"> </w:t>
      </w:r>
      <w:r w:rsidR="00C37B19">
        <w:rPr>
          <w:rStyle w:val="ezkurwreuab5ozgtqnkl"/>
        </w:rPr>
        <w:t>definici</w:t>
      </w:r>
      <w:r w:rsidR="00C37B19">
        <w:t xml:space="preserve"> </w:t>
      </w:r>
      <w:r w:rsidR="00C37B19">
        <w:rPr>
          <w:rStyle w:val="ezkurwreuab5ozgtqnkl"/>
        </w:rPr>
        <w:t>intelektu</w:t>
      </w:r>
      <w:r w:rsidR="00C37B19">
        <w:t xml:space="preserve"> </w:t>
      </w:r>
      <w:r w:rsidR="00C37B19">
        <w:rPr>
          <w:rStyle w:val="ezkurwreuab5ozgtqnkl"/>
        </w:rPr>
        <w:t xml:space="preserve">jako </w:t>
      </w:r>
      <w:r w:rsidR="00C37B19" w:rsidRPr="00C37B19">
        <w:rPr>
          <w:rStyle w:val="ezkurwreuab5ozgtqnkl"/>
          <w:i/>
        </w:rPr>
        <w:t>tertium</w:t>
      </w:r>
      <w:r w:rsidR="00C37B19" w:rsidRPr="00C37B19">
        <w:rPr>
          <w:i/>
        </w:rPr>
        <w:t xml:space="preserve"> </w:t>
      </w:r>
      <w:r w:rsidR="00C37B19" w:rsidRPr="00C37B19">
        <w:rPr>
          <w:rStyle w:val="ezkurwreuab5ozgtqnkl"/>
          <w:i/>
        </w:rPr>
        <w:t>genus</w:t>
      </w:r>
      <w:r w:rsidR="00C37B19">
        <w:t xml:space="preserve"> </w:t>
      </w:r>
      <w:r w:rsidR="00C37B19">
        <w:rPr>
          <w:rStyle w:val="ezkurwreuab5ozgtqnkl"/>
        </w:rPr>
        <w:t>v CMDA, která je založena na definici aktu poznání v reálné osobě.</w:t>
      </w:r>
      <w:r w:rsidR="00C37B19">
        <w:t xml:space="preserve"> </w:t>
      </w:r>
      <w:r w:rsidR="00C37B19">
        <w:rPr>
          <w:rStyle w:val="ezkurwreuab5ozgtqnkl"/>
        </w:rPr>
        <w:t>To se provádí</w:t>
      </w:r>
      <w:r w:rsidR="00C37B19">
        <w:t xml:space="preserve"> </w:t>
      </w:r>
      <w:r w:rsidR="00C37B19">
        <w:rPr>
          <w:rStyle w:val="ezkurwreuab5ozgtqnkl"/>
        </w:rPr>
        <w:t>v režimu</w:t>
      </w:r>
      <w:r w:rsidR="00C37B19">
        <w:t xml:space="preserve"> </w:t>
      </w:r>
      <w:r w:rsidR="00C37B19">
        <w:rPr>
          <w:rStyle w:val="ezkurwreuab5ozgtqnkl"/>
        </w:rPr>
        <w:t>„</w:t>
      </w:r>
      <w:r w:rsidR="00C37B19" w:rsidRPr="00C37B19">
        <w:rPr>
          <w:rStyle w:val="ezkurwreuab5ozgtqnkl"/>
          <w:i/>
        </w:rPr>
        <w:t>subiective</w:t>
      </w:r>
      <w:r w:rsidR="00C37B19">
        <w:rPr>
          <w:rStyle w:val="ezkurwreuab5ozgtqnkl"/>
        </w:rPr>
        <w:t>“ a „</w:t>
      </w:r>
      <w:r w:rsidR="00C37B19" w:rsidRPr="00C37B19">
        <w:rPr>
          <w:rStyle w:val="ezkurwreuab5ozgtqnkl"/>
          <w:i/>
        </w:rPr>
        <w:t>obiective</w:t>
      </w:r>
      <w:r w:rsidR="00C37B19">
        <w:rPr>
          <w:rStyle w:val="ezkurwreuab5ozgtqnkl"/>
        </w:rPr>
        <w:t>“, který je generován skrze impozici.</w:t>
      </w:r>
      <w:r w:rsidR="00C37B19">
        <w:t xml:space="preserve"> </w:t>
      </w:r>
      <w:r w:rsidR="00C37B19">
        <w:rPr>
          <w:rStyle w:val="ezkurwreuab5ozgtqnkl"/>
        </w:rPr>
        <w:t xml:space="preserve">Dílo </w:t>
      </w:r>
      <w:r w:rsidR="00C37B19" w:rsidRPr="00C37B19">
        <w:rPr>
          <w:rStyle w:val="ezkurwreuab5ozgtqnkl"/>
          <w:i/>
        </w:rPr>
        <w:t>Anonymus</w:t>
      </w:r>
      <w:r w:rsidR="00C37B19" w:rsidRPr="00C37B19">
        <w:rPr>
          <w:i/>
        </w:rPr>
        <w:t xml:space="preserve"> </w:t>
      </w:r>
      <w:r w:rsidR="00C37B19" w:rsidRPr="00C37B19">
        <w:rPr>
          <w:rStyle w:val="ezkurwreuab5ozgtqnkl"/>
          <w:i/>
        </w:rPr>
        <w:t>Giele</w:t>
      </w:r>
      <w:r w:rsidR="00C37B19">
        <w:t xml:space="preserve"> </w:t>
      </w:r>
      <w:r w:rsidR="00C37B19">
        <w:rPr>
          <w:rStyle w:val="ezkurwreuab5ozgtqnkl"/>
        </w:rPr>
        <w:t>marně</w:t>
      </w:r>
      <w:r w:rsidR="00C37B19">
        <w:t xml:space="preserve"> </w:t>
      </w:r>
      <w:r w:rsidR="00C37B19">
        <w:rPr>
          <w:rStyle w:val="ezkurwreuab5ozgtqnkl"/>
        </w:rPr>
        <w:t>vysvětlovalo</w:t>
      </w:r>
      <w:r w:rsidR="00C37B19">
        <w:t xml:space="preserve"> </w:t>
      </w:r>
      <w:r w:rsidR="00C37B19">
        <w:rPr>
          <w:rStyle w:val="ezkurwreuab5ozgtqnkl"/>
        </w:rPr>
        <w:t>tento důležitý</w:t>
      </w:r>
      <w:r w:rsidR="00C37B19">
        <w:t xml:space="preserve"> </w:t>
      </w:r>
      <w:r w:rsidR="00C37B19">
        <w:rPr>
          <w:rStyle w:val="ezkurwreuab5ozgtqnkl"/>
        </w:rPr>
        <w:t>rozdíl</w:t>
      </w:r>
      <w:r w:rsidR="00C37B19">
        <w:t xml:space="preserve"> </w:t>
      </w:r>
      <w:r w:rsidR="00C37B19">
        <w:rPr>
          <w:rStyle w:val="ezkurwreuab5ozgtqnkl"/>
        </w:rPr>
        <w:t>prvním</w:t>
      </w:r>
      <w:r w:rsidR="00C37B19">
        <w:t xml:space="preserve"> </w:t>
      </w:r>
      <w:r w:rsidR="00C37B19">
        <w:rPr>
          <w:rStyle w:val="ezkurwreuab5ozgtqnkl"/>
        </w:rPr>
        <w:t>přívržencům</w:t>
      </w:r>
      <w:r w:rsidR="00C37B19">
        <w:t xml:space="preserve"> </w:t>
      </w:r>
      <w:r w:rsidR="00C37B19">
        <w:rPr>
          <w:rStyle w:val="ezkurwreuab5ozgtqnkl"/>
        </w:rPr>
        <w:t>tomismu, kteří se dostali</w:t>
      </w:r>
      <w:r w:rsidR="00C37B19">
        <w:t xml:space="preserve"> </w:t>
      </w:r>
      <w:r w:rsidR="00C37B19">
        <w:rPr>
          <w:rStyle w:val="ezkurwreuab5ozgtqnkl"/>
        </w:rPr>
        <w:t xml:space="preserve">do područí </w:t>
      </w:r>
      <w:r w:rsidR="00C37B19" w:rsidRPr="00C37B19">
        <w:rPr>
          <w:rStyle w:val="ezkurwreuab5ozgtqnkl"/>
          <w:i/>
        </w:rPr>
        <w:t>Oxfordian Fallacy</w:t>
      </w:r>
      <w:r w:rsidR="00C37B19">
        <w:t>.</w:t>
      </w:r>
    </w:p>
    <w:p w:rsidR="00F1416C" w:rsidRDefault="004E6529" w:rsidP="00E934CA">
      <w:pPr>
        <w:ind w:firstLine="397"/>
      </w:pPr>
      <w:r>
        <w:rPr>
          <w:rStyle w:val="ezkurwreuab5ozgtqnkl"/>
        </w:rPr>
        <w:t xml:space="preserve">Na rozdíl od Sigera a Alberta Thomasovi chybí základní aktualizace </w:t>
      </w:r>
      <w:r w:rsidR="00EC4259">
        <w:t xml:space="preserve">zásadní aktualizace </w:t>
      </w:r>
      <w:r w:rsidR="00EC4259">
        <w:rPr>
          <w:i/>
        </w:rPr>
        <w:t>species</w:t>
      </w:r>
      <w:r w:rsidR="00EC4259">
        <w:t xml:space="preserve"> </w:t>
      </w:r>
      <w:r w:rsidR="00EC4259" w:rsidRPr="00273106">
        <w:rPr>
          <w:i/>
        </w:rPr>
        <w:t>intelligibilis</w:t>
      </w:r>
      <w:r w:rsidR="00EC4259" w:rsidRPr="00273106">
        <w:t xml:space="preserve"> </w:t>
      </w:r>
      <w:r w:rsidR="00EC4259">
        <w:t xml:space="preserve">od </w:t>
      </w:r>
      <w:r w:rsidR="00EC4259">
        <w:rPr>
          <w:i/>
        </w:rPr>
        <w:t>species</w:t>
      </w:r>
      <w:r w:rsidR="00EC4259" w:rsidRPr="08363C0C">
        <w:rPr>
          <w:i/>
        </w:rPr>
        <w:t xml:space="preserve"> sensibilis</w:t>
      </w:r>
      <w:r w:rsidR="00EC4259">
        <w:rPr>
          <w:rStyle w:val="ezkurwreuab5ozgtqnkl"/>
        </w:rPr>
        <w:t xml:space="preserve">. Ve </w:t>
      </w:r>
      <w:r>
        <w:rPr>
          <w:rStyle w:val="ezkurwreuab5ozgtqnkl"/>
        </w:rPr>
        <w:t xml:space="preserve">scénáři CMDA </w:t>
      </w:r>
      <w:r w:rsidR="00EC4259">
        <w:rPr>
          <w:rStyle w:val="ezkurwreuab5ozgtqnkl"/>
        </w:rPr>
        <w:t>je to jediný způsob</w:t>
      </w:r>
      <w:r>
        <w:rPr>
          <w:rStyle w:val="ezkurwreuab5ozgtqnkl"/>
        </w:rPr>
        <w:t xml:space="preserve">, který může </w:t>
      </w:r>
      <w:r w:rsidR="00EC4259">
        <w:rPr>
          <w:rStyle w:val="ezkurwreuab5ozgtqnkl"/>
        </w:rPr>
        <w:lastRenderedPageBreak/>
        <w:t>aktualizovat intelekt</w:t>
      </w:r>
      <w:r>
        <w:rPr>
          <w:rStyle w:val="ezkurwreuab5ozgtqnkl"/>
        </w:rPr>
        <w:t>.</w:t>
      </w:r>
      <w:r>
        <w:t xml:space="preserve"> </w:t>
      </w:r>
      <w:r>
        <w:rPr>
          <w:rStyle w:val="ezkurwreuab5ozgtqnkl"/>
        </w:rPr>
        <w:t>Tomistický</w:t>
      </w:r>
      <w:r>
        <w:t xml:space="preserve"> </w:t>
      </w:r>
      <w:r w:rsidR="00EC4259" w:rsidRPr="00EC4259">
        <w:rPr>
          <w:i/>
        </w:rPr>
        <w:t xml:space="preserve">species </w:t>
      </w:r>
      <w:r w:rsidRPr="00EC4259">
        <w:rPr>
          <w:rStyle w:val="ezkurwreuab5ozgtqnkl"/>
          <w:i/>
        </w:rPr>
        <w:t>intelligibilis</w:t>
      </w:r>
      <w:r w:rsidRPr="00EC4259">
        <w:rPr>
          <w:i/>
        </w:rPr>
        <w:t xml:space="preserve"> </w:t>
      </w:r>
      <w:r>
        <w:rPr>
          <w:rStyle w:val="ezkurwreuab5ozgtqnkl"/>
        </w:rPr>
        <w:t>má</w:t>
      </w:r>
      <w:r>
        <w:t xml:space="preserve"> </w:t>
      </w:r>
      <w:r>
        <w:rPr>
          <w:rStyle w:val="ezkurwreuab5ozgtqnkl"/>
        </w:rPr>
        <w:t>kauzální</w:t>
      </w:r>
      <w:r>
        <w:t xml:space="preserve"> </w:t>
      </w:r>
      <w:r>
        <w:rPr>
          <w:rStyle w:val="ezkurwreuab5ozgtqnkl"/>
        </w:rPr>
        <w:t>účinek</w:t>
      </w:r>
      <w:r>
        <w:t xml:space="preserve"> </w:t>
      </w:r>
      <w:r w:rsidR="00EC4259">
        <w:rPr>
          <w:rStyle w:val="ezkurwreuab5ozgtqnkl"/>
        </w:rPr>
        <w:t xml:space="preserve">na esenciálně </w:t>
      </w:r>
      <w:r>
        <w:rPr>
          <w:rStyle w:val="ezkurwreuab5ozgtqnkl"/>
        </w:rPr>
        <w:t>definovaný intelekt (</w:t>
      </w:r>
      <w:r w:rsidR="00EC4259">
        <w:rPr>
          <w:i/>
        </w:rPr>
        <w:t>species</w:t>
      </w:r>
      <w:r w:rsidR="00EC4259" w:rsidRPr="00273106">
        <w:rPr>
          <w:i/>
        </w:rPr>
        <w:t xml:space="preserve"> intelligibilis, qua fit intellectus in actu</w:t>
      </w:r>
      <w:r>
        <w:rPr>
          <w:rStyle w:val="ezkurwreuab5ozgtqnkl"/>
        </w:rPr>
        <w:t>).</w:t>
      </w:r>
      <w:r>
        <w:t xml:space="preserve"> </w:t>
      </w:r>
      <w:r>
        <w:rPr>
          <w:rStyle w:val="ezkurwreuab5ozgtqnkl"/>
        </w:rPr>
        <w:t>Singer</w:t>
      </w:r>
      <w:r>
        <w:t xml:space="preserve"> </w:t>
      </w:r>
      <w:r>
        <w:rPr>
          <w:rStyle w:val="ezkurwreuab5ozgtqnkl"/>
        </w:rPr>
        <w:t>rezolutně</w:t>
      </w:r>
      <w:r>
        <w:t xml:space="preserve"> </w:t>
      </w:r>
      <w:r>
        <w:rPr>
          <w:rStyle w:val="ezkurwreuab5ozgtqnkl"/>
        </w:rPr>
        <w:t>odmítá</w:t>
      </w:r>
      <w:r>
        <w:t xml:space="preserve"> </w:t>
      </w:r>
      <w:r>
        <w:rPr>
          <w:rStyle w:val="ezkurwreuab5ozgtqnkl"/>
        </w:rPr>
        <w:t>v</w:t>
      </w:r>
      <w:r>
        <w:t xml:space="preserve"> </w:t>
      </w:r>
      <w:proofErr w:type="gramStart"/>
      <w:r w:rsidRPr="00EC4259">
        <w:rPr>
          <w:rStyle w:val="ezkurwreuab5ozgtqnkl"/>
          <w:i/>
        </w:rPr>
        <w:t>De</w:t>
      </w:r>
      <w:proofErr w:type="gramEnd"/>
      <w:r w:rsidRPr="00EC4259">
        <w:rPr>
          <w:rStyle w:val="ezkurwreuab5ozgtqnkl"/>
          <w:i/>
        </w:rPr>
        <w:t xml:space="preserve"> anima intellectiva</w:t>
      </w:r>
      <w:r>
        <w:t xml:space="preserve"> </w:t>
      </w:r>
      <w:r>
        <w:rPr>
          <w:rStyle w:val="ezkurwreuab5ozgtqnkl"/>
        </w:rPr>
        <w:t>tento modernistický</w:t>
      </w:r>
      <w:r>
        <w:t xml:space="preserve"> </w:t>
      </w:r>
      <w:r w:rsidR="00EC4259">
        <w:t xml:space="preserve">výklad </w:t>
      </w:r>
      <w:r>
        <w:rPr>
          <w:rStyle w:val="ezkurwreuab5ozgtqnkl"/>
        </w:rPr>
        <w:t>Akvinského</w:t>
      </w:r>
      <w:r>
        <w:t xml:space="preserve">. </w:t>
      </w:r>
      <w:r>
        <w:rPr>
          <w:rStyle w:val="ezkurwreuab5ozgtqnkl"/>
        </w:rPr>
        <w:t xml:space="preserve">Je </w:t>
      </w:r>
      <w:r w:rsidR="00EC4259">
        <w:rPr>
          <w:rStyle w:val="ezkurwreuab5ozgtqnkl"/>
        </w:rPr>
        <w:t xml:space="preserve">postaven </w:t>
      </w:r>
      <w:r>
        <w:rPr>
          <w:rStyle w:val="ezkurwreuab5ozgtqnkl"/>
        </w:rPr>
        <w:t>zásadně</w:t>
      </w:r>
      <w:r>
        <w:t xml:space="preserve"> </w:t>
      </w:r>
      <w:r w:rsidR="00EC4259">
        <w:rPr>
          <w:rStyle w:val="ezkurwreuab5ozgtqnkl"/>
        </w:rPr>
        <w:t>chybně</w:t>
      </w:r>
      <w:r>
        <w:rPr>
          <w:rStyle w:val="ezkurwreuab5ozgtqnkl"/>
        </w:rPr>
        <w:t xml:space="preserve">, </w:t>
      </w:r>
      <w:r w:rsidR="00EC4259">
        <w:rPr>
          <w:rStyle w:val="ezkurwreuab5ozgtqnkl"/>
        </w:rPr>
        <w:t xml:space="preserve">protože následuje </w:t>
      </w:r>
      <w:r w:rsidR="00EC4259" w:rsidRPr="00EC4259">
        <w:rPr>
          <w:rStyle w:val="ezkurwreuab5ozgtqnkl"/>
          <w:i/>
        </w:rPr>
        <w:t>Oxfordian Fallacy</w:t>
      </w:r>
      <w:r w:rsidR="00EC4259">
        <w:rPr>
          <w:rStyle w:val="ezkurwreuab5ozgtqnkl"/>
        </w:rPr>
        <w:t xml:space="preserve"> podle </w:t>
      </w:r>
      <w:r>
        <w:rPr>
          <w:rStyle w:val="ezkurwreuab5ozgtqnkl"/>
        </w:rPr>
        <w:t>Rufuse.</w:t>
      </w:r>
      <w:r>
        <w:t xml:space="preserve"> </w:t>
      </w:r>
      <w:r w:rsidR="00EC4259">
        <w:t xml:space="preserve">Esence daná jako supozice </w:t>
      </w:r>
      <w:r>
        <w:rPr>
          <w:rStyle w:val="ezkurwreuab5ozgtqnkl"/>
        </w:rPr>
        <w:t>je</w:t>
      </w:r>
      <w:r>
        <w:t xml:space="preserve"> </w:t>
      </w:r>
      <w:r>
        <w:rPr>
          <w:rStyle w:val="ezkurwreuab5ozgtqnkl"/>
        </w:rPr>
        <w:t>pouze obecným</w:t>
      </w:r>
      <w:r>
        <w:t xml:space="preserve"> </w:t>
      </w:r>
      <w:r>
        <w:rPr>
          <w:rStyle w:val="ezkurwreuab5ozgtqnkl"/>
        </w:rPr>
        <w:t>poj</w:t>
      </w:r>
      <w:r w:rsidR="00EC4259">
        <w:rPr>
          <w:rStyle w:val="ezkurwreuab5ozgtqnkl"/>
        </w:rPr>
        <w:t>em</w:t>
      </w:r>
      <w:r>
        <w:t xml:space="preserve"> </w:t>
      </w:r>
      <w:r>
        <w:rPr>
          <w:rStyle w:val="ezkurwreuab5ozgtqnkl"/>
        </w:rPr>
        <w:t xml:space="preserve">a nemůže </w:t>
      </w:r>
      <w:r w:rsidR="00EC4259">
        <w:rPr>
          <w:rStyle w:val="ezkurwreuab5ozgtqnkl"/>
        </w:rPr>
        <w:t xml:space="preserve">vykonávat </w:t>
      </w:r>
      <w:r>
        <w:rPr>
          <w:rStyle w:val="ezkurwreuab5ozgtqnkl"/>
        </w:rPr>
        <w:t xml:space="preserve">žádnou </w:t>
      </w:r>
      <w:r w:rsidR="00EC4259">
        <w:rPr>
          <w:rStyle w:val="ezkurwreuab5ozgtqnkl"/>
        </w:rPr>
        <w:t xml:space="preserve">reálnou </w:t>
      </w:r>
      <w:r>
        <w:rPr>
          <w:rStyle w:val="ezkurwreuab5ozgtqnkl"/>
        </w:rPr>
        <w:t>kauzalitu.</w:t>
      </w:r>
      <w:r w:rsidR="00EC4259">
        <w:rPr>
          <w:rStyle w:val="ezkurwreuab5ozgtqnkl"/>
        </w:rPr>
        <w:t xml:space="preserve"> Formálně je ale tato část důkazu postavena správně. </w:t>
      </w:r>
      <w:r w:rsidR="08163013">
        <w:t>Poznávací akt se stal pohybem mysli od potenciality k aktualitě</w:t>
      </w:r>
      <w:r w:rsidR="0852508F">
        <w:t xml:space="preserve">, což odpovídá základnímu záměru CMDA. </w:t>
      </w:r>
      <w:r w:rsidR="08163013">
        <w:t xml:space="preserve">Produkce inteligibilních </w:t>
      </w:r>
      <w:r w:rsidR="00962190" w:rsidRPr="00EC4259">
        <w:t>species</w:t>
      </w:r>
      <w:r w:rsidR="08163013">
        <w:t xml:space="preserve"> je vázaná </w:t>
      </w:r>
      <w:r w:rsidR="08B87709">
        <w:t xml:space="preserve">u Tomáše </w:t>
      </w:r>
      <w:r w:rsidR="08163013">
        <w:t xml:space="preserve">na smyslová </w:t>
      </w:r>
      <w:r w:rsidR="00962190" w:rsidRPr="00EC4259">
        <w:t>species</w:t>
      </w:r>
      <w:r w:rsidR="08163013">
        <w:t xml:space="preserve">, ale zásadně se </w:t>
      </w:r>
      <w:r w:rsidR="08163013" w:rsidRPr="00273106">
        <w:t xml:space="preserve">od </w:t>
      </w:r>
      <w:r w:rsidR="08163013">
        <w:t xml:space="preserve">nich </w:t>
      </w:r>
      <w:r w:rsidR="08163013" w:rsidRPr="00273106">
        <w:t>odliš</w:t>
      </w:r>
      <w:r w:rsidR="08163013">
        <w:t xml:space="preserve">uje. </w:t>
      </w:r>
      <w:r w:rsidR="0010655B">
        <w:t xml:space="preserve">Inteligibilní </w:t>
      </w:r>
      <w:r w:rsidR="0010655B" w:rsidRPr="00EC4259">
        <w:t>species</w:t>
      </w:r>
      <w:r w:rsidR="0010655B">
        <w:t xml:space="preserve"> j</w:t>
      </w:r>
      <w:r w:rsidR="08163013">
        <w:t xml:space="preserve">sou aktivovány v prostředí nemateriálního intelektu, který skrze aktualizaci </w:t>
      </w:r>
      <w:r w:rsidR="00962190">
        <w:rPr>
          <w:i/>
        </w:rPr>
        <w:t>species</w:t>
      </w:r>
      <w:r w:rsidR="08163013" w:rsidRPr="00273106">
        <w:rPr>
          <w:i/>
        </w:rPr>
        <w:t xml:space="preserve"> intelligibilis</w:t>
      </w:r>
      <w:r w:rsidR="08163013" w:rsidRPr="00273106">
        <w:t xml:space="preserve"> </w:t>
      </w:r>
      <w:r w:rsidR="08163013">
        <w:t>funguje jako subsistentní hypostáze (</w:t>
      </w:r>
      <w:r w:rsidR="08163013" w:rsidRPr="00273106">
        <w:rPr>
          <w:i/>
        </w:rPr>
        <w:t>intellectus in actu</w:t>
      </w:r>
      <w:r w:rsidR="08163013">
        <w:t xml:space="preserve">). Tuto pasáž </w:t>
      </w:r>
      <w:r w:rsidR="08163013" w:rsidRPr="089167DE">
        <w:rPr>
          <w:i/>
        </w:rPr>
        <w:t>De potentia</w:t>
      </w:r>
      <w:r w:rsidR="08163013">
        <w:t xml:space="preserve"> najdeme ve zkrácené podobě v prvním dílu </w:t>
      </w:r>
      <w:r w:rsidR="00577341" w:rsidRPr="001471C6">
        <w:rPr>
          <w:i/>
          <w:szCs w:val="24"/>
        </w:rPr>
        <w:t>Summa theologica</w:t>
      </w:r>
      <w:r w:rsidR="00577341">
        <w:rPr>
          <w:i/>
          <w:szCs w:val="24"/>
        </w:rPr>
        <w:t xml:space="preserve"> </w:t>
      </w:r>
      <w:r w:rsidR="08163013">
        <w:t>(</w:t>
      </w:r>
      <w:r w:rsidR="08163013" w:rsidRPr="0859068B">
        <w:rPr>
          <w:i/>
        </w:rPr>
        <w:t xml:space="preserve">intellectus habet operationem per </w:t>
      </w:r>
      <w:r w:rsidR="08163013" w:rsidRPr="0859068B">
        <w:rPr>
          <w:i/>
          <w:szCs w:val="23"/>
        </w:rPr>
        <w:t>se</w:t>
      </w:r>
      <w:r w:rsidR="08163013">
        <w:t>).</w:t>
      </w:r>
      <w:r w:rsidR="08163013" w:rsidRPr="00273106">
        <w:rPr>
          <w:rStyle w:val="Znakapoznpodarou"/>
        </w:rPr>
        <w:footnoteReference w:id="315"/>
      </w:r>
      <w:r w:rsidR="08163013">
        <w:t xml:space="preserve"> Intelekt je definován v aristotelském modu </w:t>
      </w:r>
      <w:r w:rsidR="00664452">
        <w:t>„</w:t>
      </w:r>
      <w:r w:rsidR="08163013" w:rsidRPr="00310A3D">
        <w:rPr>
          <w:i/>
        </w:rPr>
        <w:t>inmixtus</w:t>
      </w:r>
      <w:r w:rsidR="00664452">
        <w:t>“</w:t>
      </w:r>
      <w:r w:rsidR="08163013">
        <w:t xml:space="preserve"> a </w:t>
      </w:r>
      <w:r w:rsidR="00664452">
        <w:t>„</w:t>
      </w:r>
      <w:r w:rsidR="08163013" w:rsidRPr="00310A3D">
        <w:rPr>
          <w:i/>
        </w:rPr>
        <w:t>ab extrinsece</w:t>
      </w:r>
      <w:r w:rsidR="00664452">
        <w:t>“</w:t>
      </w:r>
      <w:r w:rsidR="08163013">
        <w:t xml:space="preserve"> jako </w:t>
      </w:r>
      <w:r w:rsidR="08163013" w:rsidRPr="00273106">
        <w:t>nemateriální</w:t>
      </w:r>
      <w:r w:rsidR="009D3B99">
        <w:t>. D</w:t>
      </w:r>
      <w:r w:rsidR="08163013">
        <w:t xml:space="preserve">íky aktualizaci </w:t>
      </w:r>
      <w:r w:rsidR="00962190">
        <w:rPr>
          <w:i/>
        </w:rPr>
        <w:t>species</w:t>
      </w:r>
      <w:r w:rsidR="08163013">
        <w:t xml:space="preserve"> získal </w:t>
      </w:r>
      <w:r w:rsidR="009D3B99">
        <w:t xml:space="preserve">intelekt </w:t>
      </w:r>
      <w:r w:rsidR="08163013">
        <w:t xml:space="preserve">vlastní stupeň aktuality na úrovni subsistentní formy dané </w:t>
      </w:r>
      <w:r w:rsidR="08163013" w:rsidRPr="089167DE">
        <w:rPr>
          <w:i/>
        </w:rPr>
        <w:t>per se</w:t>
      </w:r>
      <w:r w:rsidR="08163013" w:rsidRPr="00273106">
        <w:t>.</w:t>
      </w:r>
      <w:r w:rsidR="08163013">
        <w:t xml:space="preserve"> </w:t>
      </w:r>
      <w:r w:rsidR="08163013" w:rsidRPr="00273106">
        <w:t xml:space="preserve">Intelekt je tedy </w:t>
      </w:r>
      <w:r w:rsidR="08163013">
        <w:t xml:space="preserve">pro Akvinského </w:t>
      </w:r>
      <w:r w:rsidR="08163013" w:rsidRPr="00273106">
        <w:t>dalším principem bytí nebo formou (</w:t>
      </w:r>
      <w:r w:rsidR="08163013" w:rsidRPr="00273106">
        <w:rPr>
          <w:i/>
        </w:rPr>
        <w:t>qua</w:t>
      </w:r>
      <w:r w:rsidR="08163013" w:rsidRPr="00273106">
        <w:rPr>
          <w:vertAlign w:val="superscript"/>
        </w:rPr>
        <w:t>2</w:t>
      </w:r>
      <w:r w:rsidR="08163013" w:rsidRPr="006C7A0F">
        <w:rPr>
          <w:i/>
        </w:rPr>
        <w:fldChar w:fldCharType="begin"/>
      </w:r>
      <w:r w:rsidR="08163013" w:rsidRPr="006C7A0F">
        <w:instrText xml:space="preserve"> XE "intelekt:modus </w:instrText>
      </w:r>
      <w:r w:rsidR="08163013" w:rsidRPr="006C7A0F">
        <w:rPr>
          <w:i/>
        </w:rPr>
        <w:instrText>qua</w:instrText>
      </w:r>
      <w:r w:rsidR="08163013" w:rsidRPr="006C7A0F">
        <w:rPr>
          <w:i/>
          <w:vertAlign w:val="superscript"/>
        </w:rPr>
        <w:instrText>2</w:instrText>
      </w:r>
      <w:r w:rsidR="08163013" w:rsidRPr="006C7A0F">
        <w:instrText xml:space="preserve">" </w:instrText>
      </w:r>
      <w:r w:rsidR="08163013" w:rsidRPr="006C7A0F">
        <w:rPr>
          <w:i/>
        </w:rPr>
        <w:fldChar w:fldCharType="end"/>
      </w:r>
      <w:r w:rsidR="08163013" w:rsidRPr="00273106">
        <w:t>)</w:t>
      </w:r>
      <w:r w:rsidR="08163013">
        <w:t xml:space="preserve"> v duši</w:t>
      </w:r>
      <w:r w:rsidR="08163013" w:rsidRPr="00273106">
        <w:t>, která je sama o sobě integrálním entelechickým principem těla (</w:t>
      </w:r>
      <w:r w:rsidR="08163013" w:rsidRPr="00273106">
        <w:rPr>
          <w:i/>
        </w:rPr>
        <w:t>qua</w:t>
      </w:r>
      <w:r w:rsidR="08163013" w:rsidRPr="00273106">
        <w:rPr>
          <w:vertAlign w:val="superscript"/>
        </w:rPr>
        <w:t>1</w:t>
      </w:r>
      <w:r w:rsidR="08163013" w:rsidRPr="006C7A0F">
        <w:rPr>
          <w:i/>
        </w:rPr>
        <w:fldChar w:fldCharType="begin"/>
      </w:r>
      <w:r w:rsidR="08163013" w:rsidRPr="006C7A0F">
        <w:instrText xml:space="preserve"> XE "intelekt:modus </w:instrText>
      </w:r>
      <w:r w:rsidR="08163013" w:rsidRPr="006C7A0F">
        <w:rPr>
          <w:i/>
        </w:rPr>
        <w:instrText>qua</w:instrText>
      </w:r>
      <w:r w:rsidR="08163013">
        <w:rPr>
          <w:i/>
          <w:vertAlign w:val="superscript"/>
        </w:rPr>
        <w:instrText>1</w:instrText>
      </w:r>
      <w:r w:rsidR="08163013" w:rsidRPr="006C7A0F">
        <w:instrText xml:space="preserve">" </w:instrText>
      </w:r>
      <w:r w:rsidR="08163013" w:rsidRPr="006C7A0F">
        <w:rPr>
          <w:i/>
        </w:rPr>
        <w:fldChar w:fldCharType="end"/>
      </w:r>
      <w:r w:rsidR="08163013" w:rsidRPr="00273106">
        <w:t xml:space="preserve">). </w:t>
      </w:r>
      <w:r w:rsidR="08163013">
        <w:t>Rozdíl mezi oběma formami aktualizace intelektu je velmi důležitý pro Akvinského debatu se Sigerem, která pak následovala v Paříži. Pojetí intelektu jako hypostázované formy (</w:t>
      </w:r>
      <w:r w:rsidR="08163013" w:rsidRPr="00867DD0">
        <w:rPr>
          <w:i/>
        </w:rPr>
        <w:t>qua</w:t>
      </w:r>
      <w:r w:rsidR="08163013">
        <w:rPr>
          <w:vertAlign w:val="superscript"/>
        </w:rPr>
        <w:t>2</w:t>
      </w:r>
      <w:r w:rsidR="08163013">
        <w:t xml:space="preserve">) vzniklo během pobytu v Itálii </w:t>
      </w:r>
      <w:r w:rsidR="00563215">
        <w:t>v letech 1266‒68</w:t>
      </w:r>
      <w:r w:rsidR="001B0BBB">
        <w:t xml:space="preserve"> </w:t>
      </w:r>
      <w:r w:rsidR="08163013">
        <w:t xml:space="preserve">a Tomáš jej bránil i v Paříži. Akvinského definitivní rozchod s avicennistickým graduálním scénářem intelektů měl pro Aegidia zásadní význam, protože pod jeho vlivem konvertoval od avicennismu danému </w:t>
      </w:r>
      <w:r w:rsidR="08392D65">
        <w:t>v Oxfordském rukopisu I–</w:t>
      </w:r>
      <w:r w:rsidR="08163013">
        <w:t xml:space="preserve">II. Pod vlivem </w:t>
      </w:r>
      <w:r w:rsidR="00CC534C">
        <w:t xml:space="preserve">Akvinského spisu </w:t>
      </w:r>
      <w:r w:rsidR="00CC534C" w:rsidRPr="00CC534C">
        <w:rPr>
          <w:i/>
        </w:rPr>
        <w:t>De potentia</w:t>
      </w:r>
      <w:r w:rsidR="00CC534C">
        <w:t xml:space="preserve"> </w:t>
      </w:r>
      <w:r w:rsidR="08163013">
        <w:t>psal pozdější třetí část, v níž se rozešel se Sigerovým komentářem QIIIDA psaným podle CMDA (</w:t>
      </w:r>
      <w:r w:rsidR="08163013" w:rsidRPr="087A09A8">
        <w:rPr>
          <w:i/>
        </w:rPr>
        <w:t>Thomas de Aquino resistit rationi Commentatoris super secundum Metaphysicae</w:t>
      </w:r>
      <w:r w:rsidR="08392D65">
        <w:t>, kap. 4</w:t>
      </w:r>
      <w:r w:rsidR="08A305AA">
        <w:t xml:space="preserve">.3.2). Siger </w:t>
      </w:r>
      <w:r w:rsidR="08163013">
        <w:t>kritizoval hypostázovaný intelekt Akvinského jak</w:t>
      </w:r>
      <w:r w:rsidR="08392D65">
        <w:t>o novou formu averroismu (kap. 4</w:t>
      </w:r>
      <w:r w:rsidR="08163013">
        <w:t xml:space="preserve">.4.3). Intelekt daný podle </w:t>
      </w:r>
      <w:r w:rsidR="08163013">
        <w:rPr>
          <w:i/>
        </w:rPr>
        <w:t>D</w:t>
      </w:r>
      <w:r w:rsidR="08163013" w:rsidRPr="00F11E81">
        <w:rPr>
          <w:i/>
        </w:rPr>
        <w:t>e potentia</w:t>
      </w:r>
      <w:r w:rsidR="08163013">
        <w:t xml:space="preserve"> se </w:t>
      </w:r>
      <w:r w:rsidR="08163013" w:rsidRPr="00273106">
        <w:t xml:space="preserve">stal </w:t>
      </w:r>
      <w:r w:rsidR="08163013">
        <w:t xml:space="preserve">podle Sigera </w:t>
      </w:r>
      <w:r w:rsidR="08163013" w:rsidRPr="00273106">
        <w:t>autonomní substancí (</w:t>
      </w:r>
      <w:r w:rsidR="08163013" w:rsidRPr="00273106">
        <w:rPr>
          <w:i/>
        </w:rPr>
        <w:t>hoc aliquid</w:t>
      </w:r>
      <w:r w:rsidR="00F36957">
        <w:t>) na způsob druhého averroismu</w:t>
      </w:r>
      <w:r w:rsidR="08163013" w:rsidRPr="00273106">
        <w:t>.</w:t>
      </w:r>
      <w:r w:rsidR="08163013">
        <w:t xml:space="preserve"> P</w:t>
      </w:r>
      <w:r w:rsidR="08163013">
        <w:rPr>
          <w:iCs/>
        </w:rPr>
        <w:t xml:space="preserve">ojetí intelektu jako autonomní účinné formy vedlo k dualismu, protože v osobě vznikly dvě formy. </w:t>
      </w:r>
      <w:r w:rsidR="08163013">
        <w:t>Tomášova definice intelektu jako hypostázované formy (</w:t>
      </w:r>
      <w:r w:rsidR="08163013" w:rsidRPr="00273106">
        <w:rPr>
          <w:i/>
        </w:rPr>
        <w:t>qua</w:t>
      </w:r>
      <w:r w:rsidR="08163013" w:rsidRPr="00273106">
        <w:rPr>
          <w:vertAlign w:val="superscript"/>
        </w:rPr>
        <w:t>2</w:t>
      </w:r>
      <w:r w:rsidR="08163013" w:rsidRPr="006C7A0F">
        <w:rPr>
          <w:i/>
        </w:rPr>
        <w:fldChar w:fldCharType="begin"/>
      </w:r>
      <w:r w:rsidR="08163013" w:rsidRPr="006C7A0F">
        <w:instrText xml:space="preserve"> XE "intelekt:modus </w:instrText>
      </w:r>
      <w:r w:rsidR="08163013" w:rsidRPr="006C7A0F">
        <w:rPr>
          <w:i/>
        </w:rPr>
        <w:instrText>qua</w:instrText>
      </w:r>
      <w:r w:rsidR="08163013" w:rsidRPr="006C7A0F">
        <w:rPr>
          <w:i/>
          <w:vertAlign w:val="superscript"/>
        </w:rPr>
        <w:instrText>2</w:instrText>
      </w:r>
      <w:r w:rsidR="08163013" w:rsidRPr="006C7A0F">
        <w:instrText xml:space="preserve">" </w:instrText>
      </w:r>
      <w:r w:rsidR="08163013" w:rsidRPr="006C7A0F">
        <w:rPr>
          <w:i/>
        </w:rPr>
        <w:fldChar w:fldCharType="end"/>
      </w:r>
      <w:r w:rsidR="08163013">
        <w:t xml:space="preserve">) hájená </w:t>
      </w:r>
      <w:r w:rsidR="08163013" w:rsidRPr="00273106">
        <w:t xml:space="preserve">v </w:t>
      </w:r>
      <w:proofErr w:type="gramStart"/>
      <w:r w:rsidR="08163013">
        <w:rPr>
          <w:i/>
        </w:rPr>
        <w:t>D</w:t>
      </w:r>
      <w:r w:rsidR="08163013" w:rsidRPr="00273106">
        <w:rPr>
          <w:i/>
        </w:rPr>
        <w:t>e</w:t>
      </w:r>
      <w:proofErr w:type="gramEnd"/>
      <w:r w:rsidR="08163013" w:rsidRPr="00273106">
        <w:rPr>
          <w:i/>
        </w:rPr>
        <w:t xml:space="preserve"> potentia</w:t>
      </w:r>
      <w:r w:rsidR="08163013" w:rsidRPr="00273106">
        <w:t xml:space="preserve">, q. 8, a. 1 </w:t>
      </w:r>
      <w:r w:rsidR="08163013">
        <w:t xml:space="preserve">se </w:t>
      </w:r>
      <w:r w:rsidR="08163013" w:rsidRPr="00273106">
        <w:lastRenderedPageBreak/>
        <w:t xml:space="preserve">stala </w:t>
      </w:r>
      <w:r w:rsidR="08163013">
        <w:t>semi</w:t>
      </w:r>
      <w:r w:rsidR="08163013" w:rsidRPr="00273106">
        <w:t>averroistickou</w:t>
      </w:r>
      <w:r w:rsidR="08163013">
        <w:t>, a to vinou formalizace intelektu predikovaného jako esence</w:t>
      </w:r>
      <w:r w:rsidR="08163013">
        <w:fldChar w:fldCharType="begin"/>
      </w:r>
      <w:r w:rsidR="08163013">
        <w:instrText xml:space="preserve"> XE "</w:instrText>
      </w:r>
      <w:r w:rsidR="08163013" w:rsidRPr="008177AA">
        <w:instrText>semiaverroismus</w:instrText>
      </w:r>
      <w:r w:rsidR="08163013">
        <w:instrText xml:space="preserve">" </w:instrText>
      </w:r>
      <w:r w:rsidR="08163013">
        <w:fldChar w:fldCharType="end"/>
      </w:r>
      <w:r w:rsidR="08A305AA">
        <w:t xml:space="preserve">. </w:t>
      </w:r>
      <w:r w:rsidR="08163013">
        <w:t>Hypostázovaní intelektu jednostranně zdůraznilo</w:t>
      </w:r>
      <w:r w:rsidR="08163013" w:rsidRPr="00273106">
        <w:t xml:space="preserve"> formu a aktualitu intelektu na úkor čisté receptivity.</w:t>
      </w:r>
      <w:r w:rsidR="08163013">
        <w:t xml:space="preserve"> Siger definuje intelekt pouze jako intelektuální schopnost duše, a niko</w:t>
      </w:r>
      <w:r w:rsidR="08A305AA">
        <w:t>liv jako autonomní formu (kap. 4</w:t>
      </w:r>
      <w:r w:rsidR="08163013">
        <w:t>.4.2). Nemateriální intelekt je podle Sigera pouze čistou potencí vzhledem ke smyslově vnímaným intencím.</w:t>
      </w:r>
      <w:r w:rsidR="08163013" w:rsidRPr="00E4242E">
        <w:t xml:space="preserve"> </w:t>
      </w:r>
      <w:r w:rsidR="08163013">
        <w:t>Připomeňme klíčový citát již z prvního traktátu o povaze intelektu, který výslovně trvá na naprosté potencialitě receptivního intelektu, protože jen tak není porretánskou hypostází nebo moderní substancí (</w:t>
      </w:r>
      <w:r w:rsidR="08163013" w:rsidRPr="00381E9B">
        <w:rPr>
          <w:i/>
        </w:rPr>
        <w:t>quantum est de natura sua, est in potentia ad intentiones imaginatas</w:t>
      </w:r>
      <w:r w:rsidR="08163013">
        <w:t xml:space="preserve">; QIIIDA q. 9, </w:t>
      </w:r>
      <w:r w:rsidR="08163013" w:rsidRPr="008D6921">
        <w:t>p. 28.70‒76</w:t>
      </w:r>
      <w:r w:rsidR="08163013">
        <w:fldChar w:fldCharType="begin"/>
      </w:r>
      <w:r w:rsidR="08163013">
        <w:instrText xml:space="preserve"> XE "Siger:</w:instrText>
      </w:r>
      <w:r w:rsidR="08163013" w:rsidRPr="001C440F">
        <w:rPr>
          <w:i/>
          <w:iCs/>
        </w:rPr>
        <w:instrText xml:space="preserve">Quaestiones in tertium </w:instrText>
      </w:r>
      <w:r w:rsidR="08163013">
        <w:rPr>
          <w:i/>
          <w:iCs/>
          <w:szCs w:val="24"/>
        </w:rPr>
        <w:instrText>D</w:instrText>
      </w:r>
      <w:r w:rsidR="08163013" w:rsidRPr="001C440F">
        <w:rPr>
          <w:i/>
          <w:iCs/>
          <w:szCs w:val="24"/>
        </w:rPr>
        <w:instrText xml:space="preserve">e </w:instrText>
      </w:r>
      <w:r w:rsidR="08163013" w:rsidRPr="001C440F">
        <w:rPr>
          <w:i/>
          <w:iCs/>
        </w:rPr>
        <w:instrText>anima</w:instrText>
      </w:r>
      <w:r w:rsidR="08163013">
        <w:rPr>
          <w:i/>
          <w:iCs/>
        </w:rPr>
        <w:instrText xml:space="preserve"> </w:instrText>
      </w:r>
      <w:r w:rsidR="08163013" w:rsidRPr="001C440F">
        <w:instrText>28.70‒76</w:instrText>
      </w:r>
      <w:r w:rsidR="08163013">
        <w:instrText xml:space="preserve">" </w:instrText>
      </w:r>
      <w:r w:rsidR="08163013">
        <w:fldChar w:fldCharType="end"/>
      </w:r>
      <w:r w:rsidR="08163013">
        <w:t xml:space="preserve">). Akvinský by namítl, že </w:t>
      </w:r>
      <w:r w:rsidR="00962190">
        <w:rPr>
          <w:i/>
        </w:rPr>
        <w:t>species</w:t>
      </w:r>
      <w:r w:rsidR="08163013" w:rsidRPr="00273106">
        <w:t xml:space="preserve"> </w:t>
      </w:r>
      <w:r w:rsidR="08163013">
        <w:t xml:space="preserve">je výkonem intelektu daného v osobě, která nese aktualitu poznání jako takto danou </w:t>
      </w:r>
      <w:r w:rsidR="08163013" w:rsidRPr="00273106">
        <w:t>formu</w:t>
      </w:r>
      <w:r w:rsidR="08163013">
        <w:t xml:space="preserve"> </w:t>
      </w:r>
      <w:r w:rsidR="08163013" w:rsidRPr="00273106">
        <w:t>(</w:t>
      </w:r>
      <w:r w:rsidR="08163013" w:rsidRPr="00273106">
        <w:rPr>
          <w:i/>
        </w:rPr>
        <w:t>actu autem fit per aliquam formam</w:t>
      </w:r>
      <w:r w:rsidR="08163013" w:rsidRPr="00273106">
        <w:t>)</w:t>
      </w:r>
      <w:r w:rsidR="08163013">
        <w:t xml:space="preserve">. </w:t>
      </w:r>
      <w:r w:rsidR="08163013" w:rsidRPr="00273106">
        <w:t xml:space="preserve">Z podstaty takto daného určení vyplývá, že </w:t>
      </w:r>
      <w:r w:rsidR="00962190">
        <w:rPr>
          <w:i/>
        </w:rPr>
        <w:t>species</w:t>
      </w:r>
      <w:r w:rsidR="08163013" w:rsidRPr="005434BA">
        <w:rPr>
          <w:i/>
        </w:rPr>
        <w:t xml:space="preserve"> sensibilis</w:t>
      </w:r>
      <w:r w:rsidR="08163013">
        <w:rPr>
          <w:i/>
        </w:rPr>
        <w:fldChar w:fldCharType="begin"/>
      </w:r>
      <w:r w:rsidR="08163013">
        <w:instrText xml:space="preserve"> XE "</w:instrText>
      </w:r>
      <w:r w:rsidR="08163013" w:rsidRPr="00374FA1">
        <w:rPr>
          <w:i/>
        </w:rPr>
        <w:instrText>species sensibilis</w:instrText>
      </w:r>
      <w:r w:rsidR="08163013">
        <w:instrText xml:space="preserve">" </w:instrText>
      </w:r>
      <w:r w:rsidR="08163013">
        <w:rPr>
          <w:i/>
        </w:rPr>
        <w:fldChar w:fldCharType="end"/>
      </w:r>
      <w:r w:rsidR="08163013">
        <w:t xml:space="preserve"> a také </w:t>
      </w:r>
      <w:r w:rsidR="08163013" w:rsidRPr="005434BA">
        <w:rPr>
          <w:i/>
        </w:rPr>
        <w:t>intelligibilis</w:t>
      </w:r>
      <w:r w:rsidR="08163013">
        <w:t xml:space="preserve"> </w:t>
      </w:r>
      <w:r w:rsidR="08163013" w:rsidRPr="00273106">
        <w:t xml:space="preserve">musí být individuální, stejně jako je individuální proces poznání. </w:t>
      </w:r>
      <w:r w:rsidR="08163013">
        <w:t xml:space="preserve">Jenže individualita poznání v tomistickém subjektu není ipseita poznávající osoby. Nematerialitu a ipseitu druhé mediace skrze </w:t>
      </w:r>
      <w:r w:rsidR="00962190">
        <w:rPr>
          <w:i/>
        </w:rPr>
        <w:t>species</w:t>
      </w:r>
      <w:r w:rsidR="08163013">
        <w:rPr>
          <w:i/>
        </w:rPr>
        <w:t xml:space="preserve"> i</w:t>
      </w:r>
      <w:r w:rsidR="08163013" w:rsidRPr="005434BA">
        <w:rPr>
          <w:i/>
        </w:rPr>
        <w:t>ntelligibilis</w:t>
      </w:r>
      <w:r w:rsidR="08163013">
        <w:t xml:space="preserve"> Siger ukázal brilantním rozborem Tomášova </w:t>
      </w:r>
      <w:r w:rsidR="00183A97">
        <w:t>omylu</w:t>
      </w:r>
      <w:r w:rsidR="00E934CA">
        <w:t xml:space="preserve">. </w:t>
      </w:r>
      <w:r w:rsidR="08BF47EB">
        <w:t>Tomismu</w:t>
      </w:r>
      <w:r w:rsidR="004555AB">
        <w:t>s</w:t>
      </w:r>
      <w:r w:rsidR="08BF47EB">
        <w:t xml:space="preserve"> má pouze formální univocitu poznání, protože proces mediace ze smyslů i z intelektu není vázán na existující osobu, ale na hypostázovaný intelekt jako aktuální formu.</w:t>
      </w:r>
      <w:r w:rsidR="08163013">
        <w:t xml:space="preserve"> Akvinský trval na čisté potenciální receptivitě intelektu stejně jako Siger, ale nedefinoval ji z existenciální pozice. Dominikánský aristotelik odmítl Averroese jako averroistu</w:t>
      </w:r>
      <w:r w:rsidR="08D3497C">
        <w:t xml:space="preserve"> a t</w:t>
      </w:r>
      <w:r w:rsidR="08163013">
        <w:t xml:space="preserve">ím přišel o </w:t>
      </w:r>
      <w:r w:rsidR="08163013" w:rsidRPr="00273106">
        <w:t>fenomenologický princip CMD</w:t>
      </w:r>
      <w:r w:rsidR="08163013">
        <w:t>A</w:t>
      </w:r>
      <w:r w:rsidR="08D3497C">
        <w:t>. Fenomenologii aktu poznání naopak brila</w:t>
      </w:r>
      <w:r w:rsidR="08AD3874">
        <w:t>n</w:t>
      </w:r>
      <w:r w:rsidR="08D3497C">
        <w:t xml:space="preserve">tně obhájil </w:t>
      </w:r>
      <w:r w:rsidR="08163013">
        <w:t>Siger</w:t>
      </w:r>
      <w:r w:rsidR="08D3497C">
        <w:t>, protože popsal existenciální způsob</w:t>
      </w:r>
      <w:r w:rsidR="08163013">
        <w:t xml:space="preserve">, jak se poznání děje </w:t>
      </w:r>
      <w:r w:rsidR="08163013" w:rsidRPr="00273106">
        <w:t>(</w:t>
      </w:r>
      <w:r w:rsidR="08163013" w:rsidRPr="00273106">
        <w:rPr>
          <w:i/>
        </w:rPr>
        <w:t>actio intellectus facit nos scire substantiam</w:t>
      </w:r>
      <w:r w:rsidR="08D3497C">
        <w:t>, kap. 4</w:t>
      </w:r>
      <w:r w:rsidR="08163013">
        <w:t>.4.2</w:t>
      </w:r>
      <w:r w:rsidR="08163013">
        <w:fldChar w:fldCharType="begin"/>
      </w:r>
      <w:r w:rsidR="08163013">
        <w:instrText xml:space="preserve"> XE "Siger:</w:instrText>
      </w:r>
      <w:r w:rsidR="08163013" w:rsidRPr="001C440F">
        <w:rPr>
          <w:i/>
          <w:iCs/>
        </w:rPr>
        <w:instrText xml:space="preserve">Quaestiones in tertium </w:instrText>
      </w:r>
      <w:r w:rsidR="08163013">
        <w:rPr>
          <w:i/>
          <w:iCs/>
          <w:szCs w:val="24"/>
        </w:rPr>
        <w:instrText>D</w:instrText>
      </w:r>
      <w:r w:rsidR="08163013" w:rsidRPr="001C440F">
        <w:rPr>
          <w:i/>
          <w:iCs/>
          <w:szCs w:val="24"/>
        </w:rPr>
        <w:instrText xml:space="preserve">e </w:instrText>
      </w:r>
      <w:r w:rsidR="08163013" w:rsidRPr="001C440F">
        <w:rPr>
          <w:i/>
          <w:iCs/>
        </w:rPr>
        <w:instrText>anima</w:instrText>
      </w:r>
      <w:r w:rsidR="08163013">
        <w:rPr>
          <w:i/>
          <w:iCs/>
        </w:rPr>
        <w:instrText xml:space="preserve"> </w:instrText>
      </w:r>
      <w:r w:rsidR="08163013">
        <w:instrText xml:space="preserve">12.66‒70" </w:instrText>
      </w:r>
      <w:r w:rsidR="08163013">
        <w:fldChar w:fldCharType="end"/>
      </w:r>
      <w:r w:rsidR="08163013" w:rsidRPr="00273106">
        <w:t>).</w:t>
      </w:r>
      <w:r w:rsidR="08AD3874">
        <w:t xml:space="preserve"> </w:t>
      </w:r>
      <w:r w:rsidR="08163013">
        <w:t xml:space="preserve">Akvinský </w:t>
      </w:r>
      <w:r w:rsidR="08163013" w:rsidRPr="00273106">
        <w:t xml:space="preserve">zabezpečuje </w:t>
      </w:r>
      <w:r w:rsidR="08163013">
        <w:t xml:space="preserve">v modu intencionality Blundovy školy </w:t>
      </w:r>
      <w:r w:rsidR="08163013" w:rsidRPr="00273106">
        <w:t xml:space="preserve">aktualizaci intelektu </w:t>
      </w:r>
      <w:r w:rsidR="08163013">
        <w:t xml:space="preserve">pouze </w:t>
      </w:r>
      <w:r w:rsidR="08163013" w:rsidRPr="00273106">
        <w:t>formálním a nemateriálním způsobem (</w:t>
      </w:r>
      <w:r w:rsidR="08163013" w:rsidRPr="00273106">
        <w:rPr>
          <w:i/>
        </w:rPr>
        <w:t>secundum quod est in actu</w:t>
      </w:r>
      <w:r w:rsidR="08163013" w:rsidRPr="00273106">
        <w:t xml:space="preserve">). </w:t>
      </w:r>
      <w:r w:rsidR="08163013">
        <w:t xml:space="preserve">Tato klíčová část tomistického schématu poznání je podaná ve formálním modu </w:t>
      </w:r>
      <w:r w:rsidR="0063013E">
        <w:t>„</w:t>
      </w:r>
      <w:r w:rsidR="08163013" w:rsidRPr="00BF6EDF">
        <w:rPr>
          <w:i/>
        </w:rPr>
        <w:t>secundum quod</w:t>
      </w:r>
      <w:r w:rsidR="0063013E">
        <w:t>“</w:t>
      </w:r>
      <w:r w:rsidR="00F1416C">
        <w:t xml:space="preserve">. </w:t>
      </w:r>
      <w:r w:rsidR="00F3640B">
        <w:t>Tomistický formalismus zredukoval osobu na subjekt a pojetí objektivně pojatého intelektu mělo osudový význam pro další vývoj</w:t>
      </w:r>
      <w:r w:rsidR="00B84A8A">
        <w:fldChar w:fldCharType="begin"/>
      </w:r>
      <w:r w:rsidR="00B84A8A">
        <w:instrText xml:space="preserve"> XE "</w:instrText>
      </w:r>
      <w:r w:rsidR="00B84A8A" w:rsidRPr="005A5BD1">
        <w:instrText xml:space="preserve">hermeneutické </w:instrText>
      </w:r>
      <w:r w:rsidR="00B84A8A" w:rsidRPr="003866C5">
        <w:rPr>
          <w:i/>
        </w:rPr>
        <w:instrText>Wie</w:instrText>
      </w:r>
      <w:r w:rsidR="00B84A8A" w:rsidRPr="005A5BD1">
        <w:instrText>:Akvinský</w:instrText>
      </w:r>
      <w:r w:rsidR="00B84A8A">
        <w:instrText xml:space="preserve">" </w:instrText>
      </w:r>
      <w:r w:rsidR="00B84A8A">
        <w:fldChar w:fldCharType="end"/>
      </w:r>
      <w:r w:rsidR="00F3640B">
        <w:t>.</w:t>
      </w:r>
      <w:r w:rsidR="00B84A8A">
        <w:t xml:space="preserve"> </w:t>
      </w:r>
      <w:r w:rsidR="08163013">
        <w:t xml:space="preserve">Akvinský se dívá na intelekt objektivně a tím stojí mimo fenomenologický princip </w:t>
      </w:r>
      <w:r w:rsidR="00B84A8A">
        <w:t>„</w:t>
      </w:r>
      <w:r w:rsidR="00B84A8A" w:rsidRPr="006A71AE">
        <w:rPr>
          <w:i/>
          <w:szCs w:val="24"/>
        </w:rPr>
        <w:t xml:space="preserve">homo ipse </w:t>
      </w:r>
      <w:r w:rsidR="00B84A8A" w:rsidRPr="00B84A8A">
        <w:rPr>
          <w:i/>
          <w:szCs w:val="24"/>
        </w:rPr>
        <w:t>intelligit</w:t>
      </w:r>
      <w:r w:rsidR="00187E81">
        <w:rPr>
          <w:i/>
          <w:szCs w:val="24"/>
          <w:lang w:val="de-DE"/>
        </w:rPr>
        <w:fldChar w:fldCharType="begin"/>
      </w:r>
      <w:r w:rsidR="00187E81">
        <w:instrText xml:space="preserve"> XE "</w:instrText>
      </w:r>
      <w:r w:rsidR="00187E81" w:rsidRPr="081942A4">
        <w:rPr>
          <w:i/>
          <w:szCs w:val="24"/>
        </w:rPr>
        <w:instrText>homo ipse intelligit</w:instrText>
      </w:r>
      <w:r w:rsidR="00187E81">
        <w:instrText xml:space="preserve">" </w:instrText>
      </w:r>
      <w:r w:rsidR="00187E81">
        <w:rPr>
          <w:i/>
          <w:szCs w:val="24"/>
          <w:lang w:val="de-DE"/>
        </w:rPr>
        <w:fldChar w:fldCharType="end"/>
      </w:r>
      <w:r w:rsidR="00B84A8A">
        <w:rPr>
          <w:szCs w:val="24"/>
        </w:rPr>
        <w:t xml:space="preserve">“ </w:t>
      </w:r>
      <w:r w:rsidR="08163013" w:rsidRPr="00B84A8A">
        <w:t>hájený</w:t>
      </w:r>
      <w:r w:rsidR="00B84A8A">
        <w:t xml:space="preserve"> Sigerem</w:t>
      </w:r>
      <w:r w:rsidR="08163013">
        <w:t xml:space="preserve">. </w:t>
      </w:r>
      <w:r w:rsidR="080A51AC">
        <w:t xml:space="preserve">Poznání jako existenciální akt se zredukovalo na esenciální definici poznání. V modu </w:t>
      </w:r>
      <w:r w:rsidR="00EC2BC3">
        <w:t>„</w:t>
      </w:r>
      <w:r w:rsidR="080A51AC" w:rsidRPr="00EC2BC3">
        <w:rPr>
          <w:i/>
        </w:rPr>
        <w:t>idem</w:t>
      </w:r>
      <w:r w:rsidR="00EC2BC3">
        <w:t>“</w:t>
      </w:r>
      <w:r w:rsidR="080A51AC">
        <w:t xml:space="preserve"> tam žádný rozdíl není, proto modern</w:t>
      </w:r>
      <w:r w:rsidR="00EC2BC3">
        <w:t xml:space="preserve">isté všeho druhu </w:t>
      </w:r>
      <w:r w:rsidR="080A51AC">
        <w:t xml:space="preserve">nevidí žádný rozdíl </w:t>
      </w:r>
      <w:r w:rsidR="00EC2BC3">
        <w:t>mezi Sigerovou a Tomášovou definicí</w:t>
      </w:r>
      <w:r w:rsidR="080A51AC">
        <w:t xml:space="preserve"> </w:t>
      </w:r>
      <w:r w:rsidR="00EC2BC3">
        <w:t>„</w:t>
      </w:r>
      <w:r w:rsidR="080A51AC" w:rsidRPr="080A51AC">
        <w:rPr>
          <w:i/>
        </w:rPr>
        <w:t>intelligere</w:t>
      </w:r>
      <w:r w:rsidR="00EC2BC3">
        <w:t>“</w:t>
      </w:r>
      <w:r w:rsidR="080A51AC">
        <w:t xml:space="preserve">. Hermeneutika ale sleduje </w:t>
      </w:r>
      <w:r w:rsidR="00187E81">
        <w:t xml:space="preserve">modus porozumění jako </w:t>
      </w:r>
      <w:r w:rsidR="000706F8">
        <w:rPr>
          <w:i/>
          <w:szCs w:val="24"/>
        </w:rPr>
        <w:lastRenderedPageBreak/>
        <w:t>Bezugsinn</w:t>
      </w:r>
      <w:r w:rsidR="089D348C">
        <w:rPr>
          <w:i/>
          <w:szCs w:val="24"/>
          <w:lang w:val="de-DE"/>
        </w:rPr>
        <w:fldChar w:fldCharType="begin"/>
      </w:r>
      <w:r w:rsidR="089D348C">
        <w:instrText xml:space="preserve"> XE "</w:instrText>
      </w:r>
      <w:r w:rsidR="007E4FB3">
        <w:rPr>
          <w:i/>
          <w:szCs w:val="24"/>
        </w:rPr>
        <w:instrText>Bezugsinn</w:instrText>
      </w:r>
      <w:r w:rsidR="089D348C">
        <w:instrText xml:space="preserve">" </w:instrText>
      </w:r>
      <w:r w:rsidR="089D348C">
        <w:rPr>
          <w:i/>
          <w:szCs w:val="24"/>
          <w:lang w:val="de-DE"/>
        </w:rPr>
        <w:fldChar w:fldCharType="end"/>
      </w:r>
      <w:r w:rsidR="080A51AC" w:rsidRPr="081942A4">
        <w:rPr>
          <w:szCs w:val="24"/>
        </w:rPr>
        <w:t xml:space="preserve"> Heidegggera</w:t>
      </w:r>
      <w:r w:rsidR="08F57220" w:rsidRPr="081942A4">
        <w:rPr>
          <w:szCs w:val="24"/>
        </w:rPr>
        <w:t>, protože</w:t>
      </w:r>
      <w:r w:rsidR="0804373F" w:rsidRPr="081942A4">
        <w:rPr>
          <w:szCs w:val="24"/>
        </w:rPr>
        <w:t xml:space="preserve"> formální definice </w:t>
      </w:r>
      <w:r w:rsidR="00D30A92" w:rsidRPr="081942A4">
        <w:rPr>
          <w:szCs w:val="24"/>
        </w:rPr>
        <w:t>nestačí</w:t>
      </w:r>
      <w:r w:rsidR="00D30A92">
        <w:rPr>
          <w:szCs w:val="24"/>
        </w:rPr>
        <w:t xml:space="preserve"> </w:t>
      </w:r>
      <w:r w:rsidR="08560922" w:rsidRPr="081942A4">
        <w:rPr>
          <w:szCs w:val="24"/>
        </w:rPr>
        <w:t>pro h</w:t>
      </w:r>
      <w:r w:rsidR="089D348C" w:rsidRPr="081942A4">
        <w:rPr>
          <w:szCs w:val="24"/>
        </w:rPr>
        <w:t>ermeneu</w:t>
      </w:r>
      <w:r w:rsidR="08560922" w:rsidRPr="081942A4">
        <w:rPr>
          <w:szCs w:val="24"/>
        </w:rPr>
        <w:t>tiku</w:t>
      </w:r>
      <w:r w:rsidR="00D30A92">
        <w:rPr>
          <w:szCs w:val="24"/>
        </w:rPr>
        <w:t xml:space="preserve"> </w:t>
      </w:r>
      <w:r w:rsidR="00D30A92" w:rsidRPr="00D30A92">
        <w:rPr>
          <w:i/>
          <w:szCs w:val="24"/>
        </w:rPr>
        <w:t>Dasein</w:t>
      </w:r>
      <w:r w:rsidR="080A51AC" w:rsidRPr="081942A4">
        <w:rPr>
          <w:szCs w:val="24"/>
        </w:rPr>
        <w:t>. Objektivní identita (</w:t>
      </w:r>
      <w:r w:rsidR="080A51AC" w:rsidRPr="081942A4">
        <w:rPr>
          <w:i/>
          <w:szCs w:val="24"/>
        </w:rPr>
        <w:t>Gehaltsinn</w:t>
      </w:r>
      <w:r w:rsidR="089D348C">
        <w:rPr>
          <w:i/>
          <w:szCs w:val="24"/>
          <w:lang w:val="de-DE"/>
        </w:rPr>
        <w:fldChar w:fldCharType="begin"/>
      </w:r>
      <w:r w:rsidR="089D348C">
        <w:instrText xml:space="preserve"> XE "</w:instrText>
      </w:r>
      <w:r w:rsidR="089D348C" w:rsidRPr="081942A4">
        <w:rPr>
          <w:i/>
          <w:szCs w:val="24"/>
        </w:rPr>
        <w:instrText>Gehaltsinn</w:instrText>
      </w:r>
      <w:r w:rsidR="089D348C">
        <w:instrText xml:space="preserve">" </w:instrText>
      </w:r>
      <w:r w:rsidR="089D348C">
        <w:rPr>
          <w:i/>
          <w:szCs w:val="24"/>
          <w:lang w:val="de-DE"/>
        </w:rPr>
        <w:fldChar w:fldCharType="end"/>
      </w:r>
      <w:r w:rsidR="080A51AC" w:rsidRPr="081942A4">
        <w:rPr>
          <w:szCs w:val="24"/>
        </w:rPr>
        <w:t xml:space="preserve">) je v analytice </w:t>
      </w:r>
      <w:r w:rsidR="080A51AC" w:rsidRPr="081942A4">
        <w:rPr>
          <w:i/>
          <w:szCs w:val="24"/>
        </w:rPr>
        <w:t>Dasein</w:t>
      </w:r>
      <w:r w:rsidR="0804373F" w:rsidRPr="081942A4">
        <w:rPr>
          <w:szCs w:val="24"/>
        </w:rPr>
        <w:t xml:space="preserve"> zásadně odlišena od ipseity</w:t>
      </w:r>
      <w:r w:rsidR="00187E81">
        <w:rPr>
          <w:szCs w:val="24"/>
        </w:rPr>
        <w:t xml:space="preserve"> </w:t>
      </w:r>
      <w:r w:rsidR="0022791E">
        <w:rPr>
          <w:szCs w:val="24"/>
        </w:rPr>
        <w:t xml:space="preserve">pozorumění </w:t>
      </w:r>
      <w:r w:rsidR="00187E81">
        <w:rPr>
          <w:szCs w:val="24"/>
        </w:rPr>
        <w:t>dané pobytem ve světě</w:t>
      </w:r>
      <w:r w:rsidR="080A51AC" w:rsidRPr="081942A4">
        <w:rPr>
          <w:szCs w:val="24"/>
        </w:rPr>
        <w:t xml:space="preserve">. </w:t>
      </w:r>
      <w:r w:rsidR="080A51AC" w:rsidRPr="082F567C">
        <w:rPr>
          <w:szCs w:val="24"/>
        </w:rPr>
        <w:t>P</w:t>
      </w:r>
      <w:r w:rsidR="08163013">
        <w:t>oznání jako existenciální výkon se zredukovalo na esenciální definici. Jako formální příčinu</w:t>
      </w:r>
      <w:r w:rsidR="08163013" w:rsidRPr="00273106">
        <w:t xml:space="preserve"> poznání dává </w:t>
      </w:r>
      <w:r w:rsidR="08163013">
        <w:t xml:space="preserve">Tomáš stejně jako Siger </w:t>
      </w:r>
      <w:r w:rsidR="08163013" w:rsidRPr="00273106">
        <w:t xml:space="preserve">nemateriální </w:t>
      </w:r>
      <w:r w:rsidR="00962190">
        <w:rPr>
          <w:i/>
        </w:rPr>
        <w:t>species</w:t>
      </w:r>
      <w:r w:rsidR="08163013" w:rsidRPr="00281A88">
        <w:rPr>
          <w:i/>
        </w:rPr>
        <w:t xml:space="preserve"> intelligibilis</w:t>
      </w:r>
      <w:r w:rsidR="08163013">
        <w:t xml:space="preserve">, která je aktualizovaná skrze smyslovou </w:t>
      </w:r>
      <w:r w:rsidR="00962190" w:rsidRPr="00F1416C">
        <w:t>species</w:t>
      </w:r>
      <w:r w:rsidR="08163013">
        <w:t>. Jenže Siger provedl kompletní formu vědecké demonstrace a napojil tuto poznávající formu na kauzalitu osoby j</w:t>
      </w:r>
      <w:r w:rsidR="00F1416C">
        <w:t>ako existující první substance.</w:t>
      </w:r>
    </w:p>
    <w:p w:rsidR="08163013" w:rsidRPr="080A51AC" w:rsidRDefault="08163013" w:rsidP="006773BE">
      <w:pPr>
        <w:ind w:firstLine="397"/>
      </w:pPr>
      <w:r w:rsidRPr="00273106">
        <w:t xml:space="preserve">Poslední ze tří diferencí spisu </w:t>
      </w:r>
      <w:r w:rsidRPr="00273106">
        <w:rPr>
          <w:i/>
        </w:rPr>
        <w:t>De potentia</w:t>
      </w:r>
      <w:r w:rsidRPr="00273106">
        <w:t xml:space="preserve"> </w:t>
      </w:r>
      <w:r>
        <w:t xml:space="preserve">upozorňuje na klasický rozdíl mezi individuálním výkonem intelektu a jeho univerzálním produktem. Toto pojetí formálně odpovídá rozdílu mezi </w:t>
      </w:r>
      <w:r w:rsidRPr="004A05E3">
        <w:rPr>
          <w:i/>
        </w:rPr>
        <w:t>tertium</w:t>
      </w:r>
      <w:r>
        <w:t xml:space="preserve"> a </w:t>
      </w:r>
      <w:r w:rsidRPr="004A05E3">
        <w:rPr>
          <w:i/>
        </w:rPr>
        <w:t xml:space="preserve">quartum </w:t>
      </w:r>
      <w:r w:rsidR="00962190">
        <w:rPr>
          <w:i/>
        </w:rPr>
        <w:t>genus</w:t>
      </w:r>
      <w:r>
        <w:t xml:space="preserve"> v CMDA.</w:t>
      </w:r>
    </w:p>
    <w:p w:rsidR="08163013" w:rsidRDefault="08163013" w:rsidP="08163013">
      <w:pPr>
        <w:pStyle w:val="Citace"/>
      </w:pPr>
      <w:r w:rsidRPr="00273106">
        <w:rPr>
          <w:noProof/>
        </w:rPr>
        <w:t>„</w:t>
      </w:r>
      <w:r>
        <w:rPr>
          <w:noProof/>
          <w:lang w:val="cs-CZ"/>
        </w:rPr>
        <w:t>Pojem se dále liší od činnosti intelektu. Výše uvedený koncept je definován jako cíl činnosti a jako něco, co je určitým způsobem konstituováno prací intelektu. Intelekt tedy vlastní aktivitou (</w:t>
      </w:r>
      <w:r w:rsidRPr="00C046B3">
        <w:rPr>
          <w:i/>
          <w:noProof/>
          <w:lang w:val="cs-CZ"/>
        </w:rPr>
        <w:t>sua actione</w:t>
      </w:r>
      <w:r>
        <w:rPr>
          <w:noProof/>
          <w:lang w:val="cs-CZ"/>
        </w:rPr>
        <w:t xml:space="preserve">) formuje definici věci, popřípadě kladný nebo záporný soud o věci.“ </w:t>
      </w:r>
      <w:r>
        <w:rPr>
          <w:rStyle w:val="Znakapoznpodarou"/>
        </w:rPr>
        <w:footnoteReference w:id="316"/>
      </w:r>
    </w:p>
    <w:p w:rsidR="002035F7" w:rsidRDefault="08163013" w:rsidP="08163013">
      <w:r w:rsidRPr="00273106">
        <w:t>Je třeba rozlišit mezi individuální činností intelektu a mezi výsledným univerzálním konceptem externí věci</w:t>
      </w:r>
      <w:r>
        <w:t xml:space="preserve"> </w:t>
      </w:r>
      <w:r w:rsidRPr="00273106">
        <w:t>(</w:t>
      </w:r>
      <w:r w:rsidRPr="00273106">
        <w:rPr>
          <w:i/>
        </w:rPr>
        <w:t>rei definitionem</w:t>
      </w:r>
      <w:r w:rsidRPr="00273106">
        <w:t>)</w:t>
      </w:r>
      <w:r>
        <w:t>. Tomáš tvrdí v řádu esenciální predikace intelektu-esence, že existuje zásadní rozdíl mezi tím, jak se poznává (</w:t>
      </w:r>
      <w:r w:rsidRPr="08DF2E40">
        <w:rPr>
          <w:i/>
        </w:rPr>
        <w:t>ab actione intellectus</w:t>
      </w:r>
      <w:r>
        <w:t>) a co je poznáno (</w:t>
      </w:r>
      <w:r w:rsidRPr="08CE7A8B">
        <w:rPr>
          <w:i/>
        </w:rPr>
        <w:t>terminus actionis</w:t>
      </w:r>
      <w:r>
        <w:t>). U</w:t>
      </w:r>
      <w:r w:rsidRPr="00273106">
        <w:t xml:space="preserve">niverzální </w:t>
      </w:r>
      <w:r>
        <w:t xml:space="preserve">je až </w:t>
      </w:r>
      <w:r w:rsidRPr="00273106">
        <w:t>výsledný koncept</w:t>
      </w:r>
      <w:r>
        <w:t xml:space="preserve"> </w:t>
      </w:r>
      <w:r w:rsidRPr="00273106">
        <w:t xml:space="preserve">a nikoliv individuální </w:t>
      </w:r>
      <w:r w:rsidR="00962190">
        <w:rPr>
          <w:i/>
        </w:rPr>
        <w:t>species</w:t>
      </w:r>
      <w:r w:rsidRPr="00273106">
        <w:rPr>
          <w:i/>
        </w:rPr>
        <w:t xml:space="preserve"> intelligibilis</w:t>
      </w:r>
      <w:r>
        <w:t>. To mylně předpokl</w:t>
      </w:r>
      <w:r w:rsidRPr="00290A17">
        <w:t>á</w:t>
      </w:r>
      <w:r>
        <w:t>dá</w:t>
      </w:r>
      <w:r w:rsidRPr="00290A17">
        <w:t xml:space="preserve"> </w:t>
      </w:r>
      <w:r>
        <w:t xml:space="preserve">specificky pomýlená </w:t>
      </w:r>
      <w:r w:rsidRPr="00290A17">
        <w:t>moderna</w:t>
      </w:r>
      <w:r>
        <w:t xml:space="preserve"> ovlivněná hypostatickým viděním světa </w:t>
      </w:r>
      <w:r w:rsidR="00337FC4">
        <w:t xml:space="preserve">vytvořeným </w:t>
      </w:r>
      <w:r>
        <w:t>porretány</w:t>
      </w:r>
      <w:r w:rsidRPr="00290A17">
        <w:t xml:space="preserve">. </w:t>
      </w:r>
      <w:r>
        <w:t xml:space="preserve">Skrze individuální </w:t>
      </w:r>
      <w:r w:rsidR="00962190" w:rsidRPr="00337FC4">
        <w:t>species</w:t>
      </w:r>
      <w:r>
        <w:t xml:space="preserve"> poznáváme výsledný univerzální pojem. Proto </w:t>
      </w:r>
      <w:r w:rsidR="00962190" w:rsidRPr="00337FC4">
        <w:t>species</w:t>
      </w:r>
      <w:r>
        <w:t xml:space="preserve"> nemají eidetickou esenci</w:t>
      </w:r>
      <w:r w:rsidRPr="08443934">
        <w:t xml:space="preserve"> </w:t>
      </w:r>
      <w:r>
        <w:t xml:space="preserve">v modu </w:t>
      </w:r>
      <w:r w:rsidR="00337FC4">
        <w:t>„</w:t>
      </w:r>
      <w:r w:rsidRPr="08A57D92">
        <w:rPr>
          <w:i/>
        </w:rPr>
        <w:t>quod</w:t>
      </w:r>
      <w:r w:rsidR="00337FC4">
        <w:t>“</w:t>
      </w:r>
      <w:r>
        <w:t xml:space="preserve"> jako výsledný pojem, ale zato mají individuální existenci v modu </w:t>
      </w:r>
      <w:r w:rsidR="00337FC4">
        <w:t>„</w:t>
      </w:r>
      <w:r w:rsidRPr="08443934">
        <w:rPr>
          <w:i/>
        </w:rPr>
        <w:t>qua</w:t>
      </w:r>
      <w:r w:rsidR="00337FC4">
        <w:t>“</w:t>
      </w:r>
      <w:r>
        <w:t xml:space="preserve">. Tím je zajištěna aktualizace intelektu od smyslů a tím i pravda jako adekvace a individualizace poznání. Spojení všech složek poznání do finálního univerzálního konceptu potvrzuje, že lidský intelekt je </w:t>
      </w:r>
      <w:r w:rsidRPr="00273106">
        <w:t>jednotný, nemateriální</w:t>
      </w:r>
      <w:r>
        <w:t>,</w:t>
      </w:r>
      <w:r w:rsidRPr="00273106">
        <w:t xml:space="preserve"> a tím i nedělitelný</w:t>
      </w:r>
      <w:r>
        <w:t>, a zároveň oddělený (</w:t>
      </w:r>
      <w:r w:rsidRPr="00362598">
        <w:rPr>
          <w:i/>
        </w:rPr>
        <w:t>inmixtus</w:t>
      </w:r>
      <w:r>
        <w:t>) ve svém specifickém výkonu</w:t>
      </w:r>
      <w:r w:rsidRPr="00273106">
        <w:t xml:space="preserve">. Jinak by nemohla vzniknout jednota myšlení na úrovni lidstva jako celku. Klíčový problém </w:t>
      </w:r>
      <w:r>
        <w:t xml:space="preserve">vzhledem k debatě </w:t>
      </w:r>
      <w:r>
        <w:rPr>
          <w:i/>
        </w:rPr>
        <w:t>homo ipse intelligit</w:t>
      </w:r>
      <w:r>
        <w:rPr>
          <w:i/>
        </w:rPr>
        <w:fldChar w:fldCharType="begin"/>
      </w:r>
      <w:r>
        <w:instrText xml:space="preserve"> XE "</w:instrText>
      </w:r>
      <w:r w:rsidRPr="00B935DC">
        <w:rPr>
          <w:rStyle w:val="Zkladntext350"/>
        </w:rPr>
        <w:instrText>osoba</w:instrText>
      </w:r>
      <w:r w:rsidRPr="00B935DC">
        <w:rPr>
          <w:rStyle w:val="Zkladntext350"/>
          <w:i/>
        </w:rPr>
        <w:instrText>:</w:instrText>
      </w:r>
      <w:r>
        <w:rPr>
          <w:rStyle w:val="Zkladntext350"/>
          <w:i/>
        </w:rPr>
        <w:instrText>homo ipse intelligit</w:instrText>
      </w:r>
      <w:r>
        <w:instrText xml:space="preserve">" </w:instrText>
      </w:r>
      <w:r>
        <w:rPr>
          <w:i/>
        </w:rPr>
        <w:fldChar w:fldCharType="end"/>
      </w:r>
      <w:r>
        <w:t xml:space="preserve"> navozené Sigerem </w:t>
      </w:r>
      <w:r w:rsidRPr="00273106">
        <w:t xml:space="preserve">představuje </w:t>
      </w:r>
      <w:r>
        <w:t>Akvinského finální tvrzení, že intelekt vlastním výkonem vytváří esenciální poznání věci (</w:t>
      </w:r>
      <w:r w:rsidRPr="00A11EE8">
        <w:rPr>
          <w:i/>
        </w:rPr>
        <w:t>intellectus sua actione format rei definitionem</w:t>
      </w:r>
      <w:r>
        <w:t xml:space="preserve">). Výsledná formace konceptu je </w:t>
      </w:r>
      <w:r>
        <w:lastRenderedPageBreak/>
        <w:t>opět připsaná</w:t>
      </w:r>
      <w:r w:rsidRPr="00273106">
        <w:t xml:space="preserve"> pouze </w:t>
      </w:r>
      <w:r>
        <w:t xml:space="preserve">výkonu </w:t>
      </w:r>
      <w:r w:rsidRPr="00273106">
        <w:t xml:space="preserve">intelektu v rámci jeho vlastní formální ipseity </w:t>
      </w:r>
      <w:r>
        <w:t xml:space="preserve">dané nemateriálně a odděleně </w:t>
      </w:r>
      <w:r w:rsidRPr="00273106">
        <w:t>(</w:t>
      </w:r>
      <w:r w:rsidRPr="00273106">
        <w:rPr>
          <w:i/>
        </w:rPr>
        <w:t>qua</w:t>
      </w:r>
      <w:r w:rsidRPr="00273106">
        <w:rPr>
          <w:i/>
          <w:vertAlign w:val="superscript"/>
        </w:rPr>
        <w:t>2</w:t>
      </w:r>
      <w:r w:rsidRPr="006C7A0F">
        <w:rPr>
          <w:i/>
        </w:rPr>
        <w:fldChar w:fldCharType="begin"/>
      </w:r>
      <w:r w:rsidRPr="006C7A0F">
        <w:instrText xml:space="preserve"> XE "intelekt:modus </w:instrText>
      </w:r>
      <w:r w:rsidRPr="006C7A0F">
        <w:rPr>
          <w:i/>
        </w:rPr>
        <w:instrText>qua</w:instrText>
      </w:r>
      <w:r w:rsidRPr="006C7A0F">
        <w:rPr>
          <w:i/>
          <w:vertAlign w:val="superscript"/>
        </w:rPr>
        <w:instrText>2</w:instrText>
      </w:r>
      <w:r w:rsidRPr="006C7A0F">
        <w:instrText xml:space="preserve">" </w:instrText>
      </w:r>
      <w:r w:rsidRPr="006C7A0F">
        <w:rPr>
          <w:i/>
        </w:rPr>
        <w:fldChar w:fldCharType="end"/>
      </w:r>
      <w:r w:rsidRPr="00273106">
        <w:t xml:space="preserve">). </w:t>
      </w:r>
      <w:r>
        <w:t xml:space="preserve">To je typické pojetí syntetické práce intelektu v modu </w:t>
      </w:r>
      <w:r w:rsidRPr="08E61E8F">
        <w:rPr>
          <w:i/>
        </w:rPr>
        <w:t>intellectus formalis</w:t>
      </w:r>
      <w:r>
        <w:t xml:space="preserve"> </w:t>
      </w:r>
      <w:r>
        <w:rPr>
          <w:i/>
        </w:rPr>
        <w:fldChar w:fldCharType="begin"/>
      </w:r>
      <w:r>
        <w:instrText xml:space="preserve"> XE "</w:instrText>
      </w:r>
      <w:r w:rsidRPr="000238B8">
        <w:rPr>
          <w:i/>
        </w:rPr>
        <w:instrText>intellectus formalis:</w:instrText>
      </w:r>
      <w:r>
        <w:instrText xml:space="preserve">Akvinský" </w:instrText>
      </w:r>
      <w:r>
        <w:rPr>
          <w:i/>
        </w:rPr>
        <w:fldChar w:fldCharType="end"/>
      </w:r>
      <w:r>
        <w:t>podle Blundovy školy, která vytvořila před příchodem Averroese na latinský Západ avicennistickou formu aristotelismu (</w:t>
      </w:r>
      <w:r w:rsidR="08560922">
        <w:t>OBJ II, kap. 2</w:t>
      </w:r>
      <w:r w:rsidRPr="081B24F0">
        <w:t>.1.1</w:t>
      </w:r>
      <w:r>
        <w:t>). Siger toto pojetí dovedl k plné jednotě poznání osoby, revoluční aristotelik Akvinský se vrátil na samý začátek cesty dané okolo roku 1200</w:t>
      </w:r>
      <w:r w:rsidR="087D582F">
        <w:t xml:space="preserve"> (</w:t>
      </w:r>
      <w:r w:rsidR="087D582F" w:rsidRPr="087D582F">
        <w:rPr>
          <w:i/>
        </w:rPr>
        <w:t>revolutio</w:t>
      </w:r>
      <w:r w:rsidR="087D582F">
        <w:t>)</w:t>
      </w:r>
      <w:r>
        <w:t>. Citované s</w:t>
      </w:r>
      <w:r w:rsidRPr="00273106">
        <w:t xml:space="preserve">pojení formy a aktuality nebezpečně přiblížilo proces poznání k autonomní substanci druhého averroismu, čili k Descartově </w:t>
      </w:r>
      <w:r w:rsidRPr="00273106">
        <w:rPr>
          <w:i/>
        </w:rPr>
        <w:t>res cogitans</w:t>
      </w:r>
      <w:r>
        <w:rPr>
          <w:i/>
        </w:rPr>
        <w:fldChar w:fldCharType="begin"/>
      </w:r>
      <w:r>
        <w:instrText xml:space="preserve"> XE "</w:instrText>
      </w:r>
      <w:r w:rsidRPr="003F49D8">
        <w:rPr>
          <w:i/>
        </w:rPr>
        <w:instrText>res cogitans</w:instrText>
      </w:r>
      <w:r>
        <w:instrText xml:space="preserve">" </w:instrText>
      </w:r>
      <w:r>
        <w:rPr>
          <w:i/>
        </w:rPr>
        <w:fldChar w:fldCharType="end"/>
      </w:r>
      <w:r w:rsidRPr="00273106">
        <w:t xml:space="preserve">. </w:t>
      </w:r>
      <w:r>
        <w:t xml:space="preserve">Akvinského definice intelektu v modu </w:t>
      </w:r>
      <w:r w:rsidR="00305AE2">
        <w:t>„</w:t>
      </w:r>
      <w:r w:rsidRPr="00273106">
        <w:rPr>
          <w:i/>
        </w:rPr>
        <w:t>secundum quod est in actu</w:t>
      </w:r>
      <w:r w:rsidR="00305AE2">
        <w:t>“</w:t>
      </w:r>
      <w:r>
        <w:t xml:space="preserve"> </w:t>
      </w:r>
      <w:r w:rsidRPr="00273106">
        <w:t>potvrzuje skrytý dualismus dvou aktuálních forem v člověku</w:t>
      </w:r>
      <w:r>
        <w:fldChar w:fldCharType="begin"/>
      </w:r>
      <w:r>
        <w:instrText xml:space="preserve"> XE "</w:instrText>
      </w:r>
      <w:r w:rsidRPr="00A03BE8">
        <w:instrText>osoba:dualismus</w:instrText>
      </w:r>
      <w:r>
        <w:instrText xml:space="preserve">" </w:instrText>
      </w:r>
      <w:r>
        <w:fldChar w:fldCharType="end"/>
      </w:r>
      <w:r w:rsidRPr="00273106">
        <w:t xml:space="preserve">. </w:t>
      </w:r>
      <w:r>
        <w:t>Proto spis</w:t>
      </w:r>
      <w:r w:rsidRPr="00273106">
        <w:t xml:space="preserve"> </w:t>
      </w:r>
      <w:r>
        <w:t xml:space="preserve">QIIIDA a zejména </w:t>
      </w:r>
      <w:r w:rsidRPr="00396FE3">
        <w:rPr>
          <w:i/>
        </w:rPr>
        <w:t>De anima intellectiva</w:t>
      </w:r>
      <w:r w:rsidRPr="00396FE3">
        <w:t xml:space="preserve"> </w:t>
      </w:r>
      <w:r w:rsidRPr="00273106">
        <w:t>upozornil</w:t>
      </w:r>
      <w:r>
        <w:t>y</w:t>
      </w:r>
      <w:r w:rsidRPr="00273106">
        <w:t xml:space="preserve"> Akvinského </w:t>
      </w:r>
      <w:r>
        <w:t xml:space="preserve">na nedostatky jeho </w:t>
      </w:r>
      <w:r w:rsidRPr="00273106">
        <w:t>analýzy v</w:t>
      </w:r>
      <w:r>
        <w:t xml:space="preserve">e spise </w:t>
      </w:r>
      <w:r>
        <w:rPr>
          <w:i/>
        </w:rPr>
        <w:t>D</w:t>
      </w:r>
      <w:r w:rsidRPr="00273106">
        <w:rPr>
          <w:i/>
        </w:rPr>
        <w:t>e potentia</w:t>
      </w:r>
      <w:r>
        <w:t xml:space="preserve">, kterou převzala první část </w:t>
      </w:r>
      <w:r w:rsidR="001919AA" w:rsidRPr="001471C6">
        <w:rPr>
          <w:i/>
          <w:szCs w:val="24"/>
        </w:rPr>
        <w:t>Summa theologica</w:t>
      </w:r>
      <w:r w:rsidR="001919AA">
        <w:rPr>
          <w:i/>
          <w:szCs w:val="24"/>
        </w:rPr>
        <w:t xml:space="preserve"> </w:t>
      </w:r>
      <w:r>
        <w:t xml:space="preserve">(qq. 75, 88). Aegidius okolo roku 1268 také jasně viděl, že toto pojetí není podle CMDA, </w:t>
      </w:r>
      <w:r w:rsidR="007747F9">
        <w:t xml:space="preserve">jak to </w:t>
      </w:r>
      <w:r>
        <w:t xml:space="preserve">vykládala Sigerova škola na Rue du Fouarre. Tento latinský sofista proto prohlásil Akvinského za nového expozitora proti Sigerově škole a jeho omyly připsal Averroesovi. </w:t>
      </w:r>
      <w:r w:rsidR="00593074">
        <w:t xml:space="preserve">Aby vznikl </w:t>
      </w:r>
      <w:r w:rsidR="00593074">
        <w:rPr>
          <w:rStyle w:val="ezkurwreuab5ozgtqnkl"/>
        </w:rPr>
        <w:t xml:space="preserve">tomismus ve škole </w:t>
      </w:r>
      <w:r w:rsidR="00593074" w:rsidRPr="00593074">
        <w:rPr>
          <w:rStyle w:val="ezkurwreuab5ozgtqnkl"/>
          <w:i/>
        </w:rPr>
        <w:t>sophistae Latini</w:t>
      </w:r>
      <w:r w:rsidR="00593074">
        <w:rPr>
          <w:rStyle w:val="ezkurwreuab5ozgtqnkl"/>
        </w:rPr>
        <w:t xml:space="preserve">, Averroés se musel stát averroistou. </w:t>
      </w:r>
      <w:r w:rsidR="00AD4447">
        <w:rPr>
          <w:rStyle w:val="ezkurwreuab5ozgtqnkl"/>
        </w:rPr>
        <w:t xml:space="preserve">Tato zbožná lež byla nezbytná pro zavedení objektivní metafyziky, která spojila druhý averroismus a tomismus. Autentický první averroismus Sigerovy školy nutně musel zaniknout, protože objektivní vědění není pravda, ale moc. </w:t>
      </w:r>
      <w:r w:rsidRPr="00273106">
        <w:t xml:space="preserve">Tomáš musel na Sigerovu kritiku </w:t>
      </w:r>
      <w:r>
        <w:t xml:space="preserve">akademicky </w:t>
      </w:r>
      <w:r w:rsidRPr="00273106">
        <w:t xml:space="preserve">reagovat </w:t>
      </w:r>
      <w:r>
        <w:t xml:space="preserve">v roce 1270 ve známém traktátu </w:t>
      </w:r>
      <w:r w:rsidRPr="080E20D1">
        <w:rPr>
          <w:i/>
        </w:rPr>
        <w:t>De unitate intellectus</w:t>
      </w:r>
      <w:r>
        <w:t xml:space="preserve">, jehož rozbor následuje. Po vydání Sigerovy </w:t>
      </w:r>
      <w:r w:rsidRPr="00396FE3">
        <w:rPr>
          <w:i/>
        </w:rPr>
        <w:t>De anima intellectiva</w:t>
      </w:r>
      <w:r>
        <w:rPr>
          <w:i/>
        </w:rPr>
        <w:t xml:space="preserve"> </w:t>
      </w:r>
      <w:r w:rsidRPr="08E9549B">
        <w:t xml:space="preserve">bylo všem vzdělaným artistům jasné, že </w:t>
      </w:r>
      <w:r>
        <w:t>Akvinský prohrál</w:t>
      </w:r>
      <w:r w:rsidRPr="08E9549B">
        <w:t xml:space="preserve"> </w:t>
      </w:r>
      <w:r>
        <w:t xml:space="preserve">gigantomachii o nový výklad Aristotela. Proto </w:t>
      </w:r>
      <w:r w:rsidRPr="08E9549B">
        <w:t>musel odejít z Paříže</w:t>
      </w:r>
      <w:r>
        <w:t xml:space="preserve"> hned po vyhlášení dekretu pařížských artistů, který potvrdil vědeckou pravdivost Sigerova výkladu </w:t>
      </w:r>
      <w:r w:rsidRPr="080964DE">
        <w:rPr>
          <w:i/>
        </w:rPr>
        <w:t>De anima</w:t>
      </w:r>
      <w:r>
        <w:t xml:space="preserve"> a odsoudil pojetí </w:t>
      </w:r>
      <w:r w:rsidR="004C48ED">
        <w:t>onto</w:t>
      </w:r>
      <w:r>
        <w:t xml:space="preserve">teologické pravdy, která </w:t>
      </w:r>
      <w:r w:rsidR="004F172A">
        <w:t xml:space="preserve">zakládala </w:t>
      </w:r>
      <w:r w:rsidR="002035F7">
        <w:t>tomistick</w:t>
      </w:r>
      <w:r w:rsidR="004F172A">
        <w:t xml:space="preserve">ý </w:t>
      </w:r>
      <w:r w:rsidR="002035F7">
        <w:t>výklad poznání.</w:t>
      </w:r>
    </w:p>
    <w:p w:rsidR="08163013" w:rsidRPr="00273106" w:rsidRDefault="08163013" w:rsidP="002035F7">
      <w:pPr>
        <w:ind w:firstLine="397"/>
      </w:pPr>
      <w:r w:rsidRPr="00273106">
        <w:t xml:space="preserve">Závěrečné shrnutí povahy konceptu v podobě smysluplného slova obhajuje celkovou jednotu poznání </w:t>
      </w:r>
      <w:r>
        <w:t xml:space="preserve">podle Modistů. Disputace staví tuto jednotu </w:t>
      </w:r>
      <w:r w:rsidRPr="00273106">
        <w:t xml:space="preserve">proti substancializaci intelektu v učení avicennovských </w:t>
      </w:r>
      <w:r w:rsidRPr="00273106">
        <w:rPr>
          <w:i/>
        </w:rPr>
        <w:t>Modernorum</w:t>
      </w:r>
      <w:r w:rsidRPr="00273106">
        <w:t>.</w:t>
      </w:r>
      <w:r>
        <w:t xml:space="preserve"> </w:t>
      </w:r>
      <w:r w:rsidRPr="00273106">
        <w:t>Citov</w:t>
      </w:r>
      <w:r>
        <w:t>an</w:t>
      </w:r>
      <w:r w:rsidRPr="00273106">
        <w:t xml:space="preserve">ý text </w:t>
      </w:r>
      <w:r w:rsidRPr="001D1CBE">
        <w:rPr>
          <w:i/>
        </w:rPr>
        <w:t>De</w:t>
      </w:r>
      <w:r w:rsidRPr="00273106">
        <w:rPr>
          <w:i/>
        </w:rPr>
        <w:t xml:space="preserve"> potentia</w:t>
      </w:r>
      <w:r w:rsidRPr="00273106">
        <w:t xml:space="preserve"> spojil teorii poznání v </w:t>
      </w:r>
      <w:proofErr w:type="gramStart"/>
      <w:r>
        <w:rPr>
          <w:i/>
        </w:rPr>
        <w:t>De</w:t>
      </w:r>
      <w:proofErr w:type="gramEnd"/>
      <w:r>
        <w:rPr>
          <w:i/>
        </w:rPr>
        <w:t xml:space="preserve"> anima</w:t>
      </w:r>
      <w:r w:rsidRPr="00273106">
        <w:t xml:space="preserve"> III a pojetí signifikace podle </w:t>
      </w:r>
      <w:r w:rsidRPr="00273106">
        <w:rPr>
          <w:i/>
        </w:rPr>
        <w:t>De int</w:t>
      </w:r>
      <w:r w:rsidRPr="00273106">
        <w:t>. 16a3–8</w:t>
      </w:r>
      <w:r>
        <w:fldChar w:fldCharType="begin"/>
      </w:r>
      <w:r>
        <w:instrText xml:space="preserve"> XE "Aristoteles:</w:instrText>
      </w:r>
      <w:r w:rsidRPr="00F5416A">
        <w:rPr>
          <w:i/>
        </w:rPr>
        <w:instrText>De int</w:instrText>
      </w:r>
      <w:r w:rsidRPr="00F5416A">
        <w:instrText>. 16a3–8</w:instrText>
      </w:r>
      <w:r>
        <w:instrText xml:space="preserve">" </w:instrText>
      </w:r>
      <w:r>
        <w:fldChar w:fldCharType="end"/>
      </w:r>
      <w:r w:rsidRPr="00273106">
        <w:t xml:space="preserve"> </w:t>
      </w:r>
      <w:r>
        <w:t>podle Aristotelova hermeneutického pravidla</w:t>
      </w:r>
      <w:r w:rsidR="08F66226">
        <w:t xml:space="preserve">. Spojení </w:t>
      </w:r>
      <w:r w:rsidR="08F66226" w:rsidRPr="00C168EC">
        <w:rPr>
          <w:i/>
          <w:szCs w:val="24"/>
        </w:rPr>
        <w:t>De int</w:t>
      </w:r>
      <w:r w:rsidR="08F66226">
        <w:rPr>
          <w:i/>
          <w:szCs w:val="24"/>
        </w:rPr>
        <w:t xml:space="preserve">erpretatione </w:t>
      </w:r>
      <w:r w:rsidR="08F66226" w:rsidRPr="08F66226">
        <w:rPr>
          <w:szCs w:val="24"/>
        </w:rPr>
        <w:t xml:space="preserve">a </w:t>
      </w:r>
      <w:r w:rsidR="08F66226" w:rsidRPr="001F121F">
        <w:rPr>
          <w:i/>
          <w:szCs w:val="24"/>
        </w:rPr>
        <w:t xml:space="preserve">De anima </w:t>
      </w:r>
      <w:r w:rsidR="08F66226" w:rsidRPr="08F66226">
        <w:rPr>
          <w:szCs w:val="24"/>
        </w:rPr>
        <w:t xml:space="preserve">vytváří jednotný </w:t>
      </w:r>
      <w:r>
        <w:t xml:space="preserve">výklad jazyka, logiky a signifikace </w:t>
      </w:r>
      <w:r w:rsidRPr="00273106">
        <w:t>(</w:t>
      </w:r>
      <w:r w:rsidR="08F66226">
        <w:t>OB</w:t>
      </w:r>
      <w:r w:rsidR="00B643E5">
        <w:t>J</w:t>
      </w:r>
      <w:r w:rsidR="08F66226">
        <w:t xml:space="preserve"> II, kap. 1</w:t>
      </w:r>
      <w:r w:rsidRPr="00273106">
        <w:t>.1).</w:t>
      </w:r>
      <w:r>
        <w:t xml:space="preserve"> Výklad </w:t>
      </w:r>
      <w:r w:rsidRPr="00273106">
        <w:t xml:space="preserve">klíčové pasáže </w:t>
      </w:r>
      <w:r w:rsidRPr="00273106">
        <w:rPr>
          <w:i/>
        </w:rPr>
        <w:t>De Int</w:t>
      </w:r>
      <w:r>
        <w:rPr>
          <w:i/>
        </w:rPr>
        <w:t>.</w:t>
      </w:r>
      <w:r w:rsidRPr="00273106">
        <w:t xml:space="preserve"> </w:t>
      </w:r>
      <w:r w:rsidRPr="00273106">
        <w:rPr>
          <w:rStyle w:val="titre"/>
        </w:rPr>
        <w:t>16a3‒8</w:t>
      </w:r>
      <w:r>
        <w:rPr>
          <w:rStyle w:val="titre"/>
        </w:rPr>
        <w:fldChar w:fldCharType="begin"/>
      </w:r>
      <w:r>
        <w:instrText xml:space="preserve"> XE "Aristoteles:</w:instrText>
      </w:r>
      <w:r w:rsidRPr="00225FA5">
        <w:rPr>
          <w:i/>
        </w:rPr>
        <w:instrText>De Int</w:instrText>
      </w:r>
      <w:r>
        <w:rPr>
          <w:i/>
        </w:rPr>
        <w:instrText>erpretatione</w:instrText>
      </w:r>
      <w:r w:rsidRPr="00225FA5">
        <w:instrText xml:space="preserve"> </w:instrText>
      </w:r>
      <w:r w:rsidRPr="00225FA5">
        <w:rPr>
          <w:rStyle w:val="titre"/>
        </w:rPr>
        <w:instrText>16a3‒8</w:instrText>
      </w:r>
      <w:r>
        <w:instrText xml:space="preserve">" </w:instrText>
      </w:r>
      <w:r>
        <w:rPr>
          <w:rStyle w:val="titre"/>
        </w:rPr>
        <w:fldChar w:fldCharType="end"/>
      </w:r>
      <w:r>
        <w:rPr>
          <w:rStyle w:val="titre"/>
        </w:rPr>
        <w:t xml:space="preserve"> </w:t>
      </w:r>
      <w:r>
        <w:t xml:space="preserve">prodělal zásadní změnu </w:t>
      </w:r>
      <w:r w:rsidRPr="00273106">
        <w:t xml:space="preserve">ve </w:t>
      </w:r>
      <w:r w:rsidRPr="00273106">
        <w:rPr>
          <w:rStyle w:val="titre"/>
        </w:rPr>
        <w:lastRenderedPageBreak/>
        <w:t>františkánské škole během druhé poloviny 13. stol</w:t>
      </w:r>
      <w:r>
        <w:rPr>
          <w:rStyle w:val="titre"/>
        </w:rPr>
        <w:t xml:space="preserve">etí </w:t>
      </w:r>
      <w:r w:rsidRPr="00273106">
        <w:rPr>
          <w:rStyle w:val="titre"/>
        </w:rPr>
        <w:t>(</w:t>
      </w:r>
      <w:r w:rsidRPr="00273106">
        <w:t>Mora-Márquez</w:t>
      </w:r>
      <w:r w:rsidRPr="00273106">
        <w:rPr>
          <w:rStyle w:val="sstitre"/>
        </w:rPr>
        <w:t xml:space="preserve"> 2011)</w:t>
      </w:r>
      <w:r>
        <w:rPr>
          <w:rStyle w:val="sstitre"/>
        </w:rPr>
        <w:t xml:space="preserve">. </w:t>
      </w:r>
      <w:r w:rsidR="081D6B86" w:rsidRPr="081942A4">
        <w:rPr>
          <w:szCs w:val="24"/>
        </w:rPr>
        <w:t xml:space="preserve"> </w:t>
      </w:r>
      <w:r>
        <w:t xml:space="preserve">Modernisté vázali intentionalitu na přijetí augustiniánského vnitřního slova daného jako hypostázované </w:t>
      </w:r>
      <w:r w:rsidR="00962190">
        <w:rPr>
          <w:i/>
        </w:rPr>
        <w:t>species</w:t>
      </w:r>
      <w:r>
        <w:t>.</w:t>
      </w:r>
      <w:r w:rsidRPr="08036FA4">
        <w:t xml:space="preserve"> </w:t>
      </w:r>
      <w:r w:rsidRPr="00273106">
        <w:t xml:space="preserve">Proti druhému averroismu argumentuje Tomáš tím, že odmítá </w:t>
      </w:r>
      <w:r>
        <w:t>psychologické či spekulativní</w:t>
      </w:r>
      <w:r w:rsidRPr="00273106">
        <w:t xml:space="preserve"> pojetí slova (</w:t>
      </w:r>
      <w:r w:rsidRPr="00273106">
        <w:rPr>
          <w:i/>
        </w:rPr>
        <w:t>vox</w:t>
      </w:r>
      <w:r w:rsidRPr="00273106">
        <w:t>) jako signifikace</w:t>
      </w:r>
      <w:r>
        <w:t xml:space="preserve"> vnitřního poznávacího procesu podle Augustina.</w:t>
      </w:r>
      <w:r w:rsidR="088A0C7A">
        <w:t xml:space="preserve"> </w:t>
      </w:r>
      <w:r w:rsidR="088A0C7A">
        <w:rPr>
          <w:rStyle w:val="sstitre"/>
        </w:rPr>
        <w:t xml:space="preserve">Citovaná část </w:t>
      </w:r>
      <w:r w:rsidR="088A0C7A" w:rsidRPr="081942A4">
        <w:rPr>
          <w:i/>
          <w:szCs w:val="24"/>
        </w:rPr>
        <w:t xml:space="preserve">De potentia </w:t>
      </w:r>
      <w:r w:rsidR="088A0C7A" w:rsidRPr="081942A4">
        <w:rPr>
          <w:szCs w:val="24"/>
        </w:rPr>
        <w:t>q. 8, a. 1 nemůže připustit žádné hypostázovaní slova, protože jeho význam je daný pouze výkonem intelektu.</w:t>
      </w:r>
    </w:p>
    <w:p w:rsidR="08163013" w:rsidRPr="009A09FD" w:rsidRDefault="08163013" w:rsidP="08163013">
      <w:pPr>
        <w:pStyle w:val="Citace"/>
        <w:rPr>
          <w:noProof/>
          <w:lang w:val="cs-CZ"/>
        </w:rPr>
      </w:pPr>
      <w:r w:rsidRPr="00273106">
        <w:rPr>
          <w:noProof/>
          <w:lang w:val="cs-CZ"/>
        </w:rPr>
        <w:t>„</w:t>
      </w:r>
      <w:r>
        <w:rPr>
          <w:noProof/>
          <w:lang w:val="cs-CZ"/>
        </w:rPr>
        <w:t>Tento koncept intelektu v nás lze nazývat 'slovem' ve vlastním smyslu. Tím je totiž dáno to, co je signifikováno navenek pomocí slova (</w:t>
      </w:r>
      <w:r w:rsidRPr="009A09FD">
        <w:rPr>
          <w:i/>
          <w:noProof/>
          <w:lang w:val="cs-CZ"/>
        </w:rPr>
        <w:t>quod verbo exteriori significatur</w:t>
      </w:r>
      <w:r>
        <w:rPr>
          <w:noProof/>
          <w:lang w:val="cs-CZ"/>
        </w:rPr>
        <w:t>). Pronesené slovo totiž neznamená (</w:t>
      </w:r>
      <w:r w:rsidRPr="00971782">
        <w:rPr>
          <w:i/>
          <w:noProof/>
        </w:rPr>
        <w:t>neque significat</w:t>
      </w:r>
      <w:r>
        <w:rPr>
          <w:noProof/>
          <w:lang w:val="cs-CZ"/>
        </w:rPr>
        <w:t xml:space="preserve">) ani samotný intelekt, ani inteligibilní </w:t>
      </w:r>
      <w:r w:rsidR="00962190">
        <w:rPr>
          <w:i/>
          <w:noProof/>
          <w:lang w:val="cs-CZ"/>
        </w:rPr>
        <w:t>species</w:t>
      </w:r>
      <w:r>
        <w:rPr>
          <w:noProof/>
          <w:lang w:val="cs-CZ"/>
        </w:rPr>
        <w:t>, ani akt intelektu, ale koncept intelektu (</w:t>
      </w:r>
      <w:r w:rsidRPr="08CF5B19">
        <w:rPr>
          <w:i/>
          <w:noProof/>
        </w:rPr>
        <w:t>intellectus conceptionem</w:t>
      </w:r>
      <w:r>
        <w:rPr>
          <w:noProof/>
          <w:lang w:val="cs-CZ"/>
        </w:rPr>
        <w:t>), jehož prostřednictvím se porozumění vztahuje k externí věci (</w:t>
      </w:r>
      <w:r w:rsidRPr="009A09FD">
        <w:rPr>
          <w:i/>
          <w:noProof/>
          <w:lang w:val="cs-CZ"/>
        </w:rPr>
        <w:t>intellectus conceptionem qua mediante refertur ad rem</w:t>
      </w:r>
      <w:r>
        <w:rPr>
          <w:noProof/>
          <w:lang w:val="cs-CZ"/>
        </w:rPr>
        <w:t xml:space="preserve">).“ </w:t>
      </w:r>
      <w:r>
        <w:rPr>
          <w:rStyle w:val="Znakapoznpodarou"/>
        </w:rPr>
        <w:footnoteReference w:id="317"/>
      </w:r>
    </w:p>
    <w:p w:rsidR="08163013" w:rsidRPr="00273106" w:rsidRDefault="08163013" w:rsidP="08163013">
      <w:r w:rsidRPr="00273106">
        <w:t>Akvinský odděluje univerzální koncept daný ve slově od všech předešlých etap, které tvořily pouze předstupeň výsledného konceptu (</w:t>
      </w:r>
      <w:proofErr w:type="gramStart"/>
      <w:r w:rsidRPr="00273106">
        <w:rPr>
          <w:i/>
        </w:rPr>
        <w:t>neque</w:t>
      </w:r>
      <w:r w:rsidRPr="00273106">
        <w:t>...</w:t>
      </w:r>
      <w:r w:rsidRPr="00273106">
        <w:rPr>
          <w:i/>
        </w:rPr>
        <w:t>neque</w:t>
      </w:r>
      <w:proofErr w:type="gramEnd"/>
      <w:r w:rsidRPr="00273106">
        <w:t>...</w:t>
      </w:r>
      <w:r w:rsidRPr="00273106">
        <w:rPr>
          <w:i/>
        </w:rPr>
        <w:t>neque</w:t>
      </w:r>
      <w:r w:rsidRPr="00273106">
        <w:t>). Citát k tomu dodává, že slovo nelze identifikovat ani s intelektem jako takovým (</w:t>
      </w:r>
      <w:r w:rsidRPr="00273106">
        <w:rPr>
          <w:i/>
        </w:rPr>
        <w:t>ipsum intellectu</w:t>
      </w:r>
      <w:r>
        <w:rPr>
          <w:i/>
        </w:rPr>
        <w:t>m</w:t>
      </w:r>
      <w:r w:rsidRPr="00273106">
        <w:t>), ani s výkonem intelektu (</w:t>
      </w:r>
      <w:r w:rsidRPr="00273106">
        <w:rPr>
          <w:i/>
        </w:rPr>
        <w:t>actum intellectum</w:t>
      </w:r>
      <w:r w:rsidRPr="00273106">
        <w:t xml:space="preserve">), ani s individuálně daným </w:t>
      </w:r>
      <w:r w:rsidR="00962190">
        <w:rPr>
          <w:i/>
        </w:rPr>
        <w:t>species</w:t>
      </w:r>
      <w:r w:rsidRPr="00273106">
        <w:rPr>
          <w:i/>
        </w:rPr>
        <w:t xml:space="preserve"> intelligibilis</w:t>
      </w:r>
      <w:r>
        <w:rPr>
          <w:i/>
        </w:rPr>
        <w:fldChar w:fldCharType="begin"/>
      </w:r>
      <w:r>
        <w:instrText xml:space="preserve"> XE "</w:instrText>
      </w:r>
      <w:r w:rsidRPr="00DD403C">
        <w:rPr>
          <w:i/>
        </w:rPr>
        <w:instrText>species intelligibilis:</w:instrText>
      </w:r>
      <w:r w:rsidRPr="00DD403C">
        <w:instrText>Avicenna</w:instrText>
      </w:r>
      <w:r>
        <w:instrText xml:space="preserve">" </w:instrText>
      </w:r>
      <w:r>
        <w:rPr>
          <w:i/>
        </w:rPr>
        <w:fldChar w:fldCharType="end"/>
      </w:r>
      <w:r w:rsidRPr="00273106">
        <w:t>. Výsl</w:t>
      </w:r>
      <w:r>
        <w:t xml:space="preserve">edná signifikace daná hnutím mysli popsanými předtím je nyní symbolizována </w:t>
      </w:r>
      <w:r w:rsidR="00334282">
        <w:t xml:space="preserve">skrze univerzální koncept </w:t>
      </w:r>
      <w:r>
        <w:t>(</w:t>
      </w:r>
      <w:r w:rsidRPr="009A09FD">
        <w:rPr>
          <w:i/>
        </w:rPr>
        <w:t>intellectus conceptionem</w:t>
      </w:r>
      <w:r>
        <w:t xml:space="preserve">). </w:t>
      </w:r>
      <w:r w:rsidRPr="00273106">
        <w:t>Slovo je médiem, kterým se vztahujeme k poznávané věci mimo nás (</w:t>
      </w:r>
      <w:r w:rsidRPr="00273106">
        <w:rPr>
          <w:i/>
        </w:rPr>
        <w:t>qua mediante</w:t>
      </w:r>
      <w:r w:rsidRPr="00273106">
        <w:t xml:space="preserve">). Signifikace konceptu existuje vzhledem k vnější věci, která určuje myšlení intelektu jako </w:t>
      </w:r>
      <w:r w:rsidRPr="00273106">
        <w:rPr>
          <w:i/>
        </w:rPr>
        <w:t>tabula rasa</w:t>
      </w:r>
      <w:r>
        <w:rPr>
          <w:i/>
        </w:rPr>
        <w:fldChar w:fldCharType="begin"/>
      </w:r>
      <w:r>
        <w:instrText xml:space="preserve"> XE "</w:instrText>
      </w:r>
      <w:r w:rsidRPr="00CE6D17">
        <w:rPr>
          <w:i/>
        </w:rPr>
        <w:instrText>tabula rasa</w:instrText>
      </w:r>
      <w:r>
        <w:instrText xml:space="preserve">" </w:instrText>
      </w:r>
      <w:r>
        <w:rPr>
          <w:i/>
        </w:rPr>
        <w:fldChar w:fldCharType="end"/>
      </w:r>
      <w:r w:rsidRPr="00273106">
        <w:t xml:space="preserve">. </w:t>
      </w:r>
      <w:r>
        <w:t xml:space="preserve">Tím </w:t>
      </w:r>
      <w:r w:rsidRPr="00273106">
        <w:t xml:space="preserve">vzniká další pole podobnosti a nepodobnosti díky procesu adekvace mezi hnutími duše a slovem, viz kanonický text z </w:t>
      </w:r>
      <w:proofErr w:type="gramStart"/>
      <w:r w:rsidRPr="00273106">
        <w:rPr>
          <w:i/>
        </w:rPr>
        <w:t>De</w:t>
      </w:r>
      <w:proofErr w:type="gramEnd"/>
      <w:r w:rsidRPr="00273106">
        <w:rPr>
          <w:i/>
        </w:rPr>
        <w:t xml:space="preserve"> Interpretatione</w:t>
      </w:r>
      <w:r>
        <w:t xml:space="preserve"> (</w:t>
      </w:r>
      <w:r w:rsidR="081A5FFA">
        <w:t>OBJ II, kap. 1</w:t>
      </w:r>
      <w:r>
        <w:t xml:space="preserve">.1). </w:t>
      </w:r>
      <w:r w:rsidR="081A5FFA" w:rsidRPr="00273106">
        <w:t>Aristotelova analýza zahrnuje do vzniku významu slova jak poznání v intelektu (</w:t>
      </w:r>
      <w:r w:rsidR="081A5FFA" w:rsidRPr="00273106">
        <w:rPr>
          <w:i/>
        </w:rPr>
        <w:t>quae sunt in anima passionum notae</w:t>
      </w:r>
      <w:r w:rsidR="081A5FFA" w:rsidRPr="00273106">
        <w:t>), tak i symbolizaci tohoto poznání na úrovni slova (</w:t>
      </w:r>
      <w:r w:rsidR="081A5FFA" w:rsidRPr="00273106">
        <w:rPr>
          <w:i/>
        </w:rPr>
        <w:t>quae sunt in voce earum</w:t>
      </w:r>
      <w:r w:rsidR="081A5FFA" w:rsidRPr="00273106">
        <w:t>).</w:t>
      </w:r>
      <w:r w:rsidR="081A5FFA">
        <w:t xml:space="preserve"> </w:t>
      </w:r>
      <w:r>
        <w:t>Pojetí pravdy jako adekvace vznikne skrze výsledný koncept, skrze který (</w:t>
      </w:r>
      <w:r w:rsidRPr="00273106">
        <w:rPr>
          <w:i/>
        </w:rPr>
        <w:t>qua mediante</w:t>
      </w:r>
      <w:r>
        <w:t xml:space="preserve">) se poznání vztahuje k </w:t>
      </w:r>
      <w:r w:rsidRPr="00273106">
        <w:t>externě dané věci (</w:t>
      </w:r>
      <w:r w:rsidRPr="00273106">
        <w:rPr>
          <w:i/>
        </w:rPr>
        <w:t>refertur ad rem</w:t>
      </w:r>
      <w:r w:rsidRPr="00273106">
        <w:t xml:space="preserve">). </w:t>
      </w:r>
      <w:r>
        <w:t>Moderní i</w:t>
      </w:r>
      <w:r w:rsidRPr="00273106">
        <w:t>ntelekt v Rufusem podaném zrcadle (</w:t>
      </w:r>
      <w:r w:rsidRPr="00273106">
        <w:rPr>
          <w:i/>
        </w:rPr>
        <w:t>speculum</w:t>
      </w:r>
      <w:r>
        <w:rPr>
          <w:i/>
        </w:rPr>
        <w:fldChar w:fldCharType="begin"/>
      </w:r>
      <w:r>
        <w:instrText xml:space="preserve"> XE "</w:instrText>
      </w:r>
      <w:r w:rsidRPr="00191FF1">
        <w:rPr>
          <w:i/>
        </w:rPr>
        <w:instrText>speculum</w:instrText>
      </w:r>
      <w:r>
        <w:instrText xml:space="preserve">" </w:instrText>
      </w:r>
      <w:r>
        <w:rPr>
          <w:i/>
        </w:rPr>
        <w:fldChar w:fldCharType="end"/>
      </w:r>
      <w:r w:rsidRPr="00273106">
        <w:t xml:space="preserve">) </w:t>
      </w:r>
      <w:r>
        <w:t xml:space="preserve">naopak </w:t>
      </w:r>
      <w:r w:rsidRPr="00273106">
        <w:t xml:space="preserve">reflektuje </w:t>
      </w:r>
      <w:r>
        <w:t>objektivně definovanou</w:t>
      </w:r>
      <w:r w:rsidRPr="00273106">
        <w:t xml:space="preserve"> </w:t>
      </w:r>
      <w:r w:rsidR="00962190" w:rsidRPr="00334282">
        <w:t>species</w:t>
      </w:r>
      <w:r>
        <w:t xml:space="preserve"> jako vlastní </w:t>
      </w:r>
      <w:r w:rsidRPr="004A48B1">
        <w:rPr>
          <w:i/>
        </w:rPr>
        <w:t>scibile</w:t>
      </w:r>
      <w:r>
        <w:rPr>
          <w:i/>
        </w:rPr>
        <w:fldChar w:fldCharType="begin"/>
      </w:r>
      <w:r>
        <w:instrText xml:space="preserve"> XE "</w:instrText>
      </w:r>
      <w:r w:rsidRPr="00AA4F67">
        <w:rPr>
          <w:i/>
        </w:rPr>
        <w:instrText>scibile</w:instrText>
      </w:r>
      <w:r>
        <w:rPr>
          <w:i/>
        </w:rPr>
        <w:instrText>:</w:instrText>
      </w:r>
      <w:r w:rsidRPr="002508BB">
        <w:instrText>moderna</w:instrText>
      </w:r>
      <w:r>
        <w:instrText xml:space="preserve">" </w:instrText>
      </w:r>
      <w:r>
        <w:rPr>
          <w:i/>
        </w:rPr>
        <w:fldChar w:fldCharType="end"/>
      </w:r>
      <w:r>
        <w:t>. Postmoderní intelekt Husserla</w:t>
      </w:r>
      <w:r>
        <w:fldChar w:fldCharType="begin"/>
      </w:r>
      <w:r>
        <w:instrText xml:space="preserve"> XE "</w:instrText>
      </w:r>
      <w:r w:rsidRPr="000710C4">
        <w:instrText>Husserl, E.</w:instrText>
      </w:r>
      <w:r>
        <w:instrText xml:space="preserve">" </w:instrText>
      </w:r>
      <w:r>
        <w:fldChar w:fldCharType="end"/>
      </w:r>
      <w:r>
        <w:t xml:space="preserve"> nazírá vlastní </w:t>
      </w:r>
      <w:r w:rsidRPr="00FB6C19">
        <w:rPr>
          <w:i/>
        </w:rPr>
        <w:t>noema</w:t>
      </w:r>
      <w:r>
        <w:t xml:space="preserve">, které v modu absolutní imanence a transcendence významu zrcadlí objektivní věc s evidentní jistotou. </w:t>
      </w:r>
      <w:r w:rsidRPr="00273106">
        <w:t>Na vrozené ideje věř</w:t>
      </w:r>
      <w:r>
        <w:t>ili</w:t>
      </w:r>
      <w:r w:rsidRPr="00273106">
        <w:t xml:space="preserve"> </w:t>
      </w:r>
      <w:r>
        <w:lastRenderedPageBreak/>
        <w:t xml:space="preserve">před Descartem také </w:t>
      </w:r>
      <w:r w:rsidRPr="00273106">
        <w:t>Tomášovi současníci ze škol druhého averroismu jako Bonaventura (</w:t>
      </w:r>
      <w:r w:rsidR="00962190">
        <w:rPr>
          <w:i/>
        </w:rPr>
        <w:t>species</w:t>
      </w:r>
      <w:r w:rsidRPr="00273106">
        <w:rPr>
          <w:i/>
        </w:rPr>
        <w:t xml:space="preserve"> prima</w:t>
      </w:r>
      <w:r w:rsidRPr="00273106">
        <w:t xml:space="preserve">, </w:t>
      </w:r>
      <w:r w:rsidRPr="00273106">
        <w:rPr>
          <w:i/>
        </w:rPr>
        <w:t>secunda</w:t>
      </w:r>
      <w:r>
        <w:t xml:space="preserve">, </w:t>
      </w:r>
      <w:r w:rsidRPr="00273106">
        <w:rPr>
          <w:i/>
        </w:rPr>
        <w:t>innat</w:t>
      </w:r>
      <w:r w:rsidR="00B643E5">
        <w:rPr>
          <w:i/>
        </w:rPr>
        <w:t xml:space="preserve">a; </w:t>
      </w:r>
      <w:r w:rsidR="00237F73" w:rsidRPr="00B643E5">
        <w:t>OBJ I, kap.</w:t>
      </w:r>
      <w:r w:rsidR="08FE73E2">
        <w:t xml:space="preserve"> 4</w:t>
      </w:r>
      <w:r w:rsidRPr="00273106">
        <w:t>.1.2)</w:t>
      </w:r>
      <w:r>
        <w:t xml:space="preserve"> a pochopitelně Pecham</w:t>
      </w:r>
      <w:r w:rsidRPr="00273106">
        <w:t xml:space="preserve">. </w:t>
      </w:r>
      <w:r>
        <w:t xml:space="preserve">Disputace obhajuje skutečnou potenci intelektu a </w:t>
      </w:r>
      <w:r w:rsidRPr="00273106">
        <w:t xml:space="preserve">připomíná </w:t>
      </w:r>
      <w:r>
        <w:t xml:space="preserve">současníkům ze školy druhého averroismu </w:t>
      </w:r>
      <w:r w:rsidRPr="00273106">
        <w:t xml:space="preserve">aristotelské pojetí </w:t>
      </w:r>
      <w:r w:rsidRPr="00273106">
        <w:rPr>
          <w:i/>
        </w:rPr>
        <w:t>De Interpretatione</w:t>
      </w:r>
      <w:r>
        <w:t xml:space="preserve"> dané ve škole Modistů podle prvního averroismu. Poznání Boží Trojice musí zásadně vycházet z takto daného lidského poznání a mluvy. </w:t>
      </w:r>
      <w:r w:rsidRPr="00273106">
        <w:t xml:space="preserve">Aktualizace intelektu jde od první substance skrze </w:t>
      </w:r>
      <w:r>
        <w:t xml:space="preserve">hnutí </w:t>
      </w:r>
      <w:r w:rsidRPr="00273106">
        <w:t xml:space="preserve">duše, která jsou determinována směrem od reálně vnímané věci. </w:t>
      </w:r>
      <w:r>
        <w:t>Akvinský po vzoru pařížských Modistů jako Siger a Boethius</w:t>
      </w:r>
      <w:r>
        <w:fldChar w:fldCharType="begin"/>
      </w:r>
      <w:r>
        <w:instrText xml:space="preserve"> XE "</w:instrText>
      </w:r>
      <w:r>
        <w:rPr>
          <w:lang w:eastAsia="en-US"/>
        </w:rPr>
        <w:instrText>Boethius z Dácie</w:instrText>
      </w:r>
      <w:r>
        <w:instrText xml:space="preserve">" </w:instrText>
      </w:r>
      <w:r>
        <w:fldChar w:fldCharType="end"/>
      </w:r>
      <w:r>
        <w:t xml:space="preserve"> z Dácie brání </w:t>
      </w:r>
      <w:r>
        <w:rPr>
          <w:rStyle w:val="sstitre"/>
        </w:rPr>
        <w:t>klíčový rozdíl mezi singulární realitou a její univerzální signifikací.</w:t>
      </w:r>
      <w:r w:rsidRPr="002535FB">
        <w:rPr>
          <w:rStyle w:val="sstitre"/>
        </w:rPr>
        <w:t xml:space="preserve"> </w:t>
      </w:r>
      <w:r>
        <w:rPr>
          <w:rStyle w:val="sstitre"/>
        </w:rPr>
        <w:t>Pojetí Modistů</w:t>
      </w:r>
      <w:r>
        <w:rPr>
          <w:rStyle w:val="sstitre"/>
        </w:rPr>
        <w:fldChar w:fldCharType="begin"/>
      </w:r>
      <w:r>
        <w:instrText xml:space="preserve"> XE "</w:instrText>
      </w:r>
      <w:r w:rsidRPr="000552B1">
        <w:rPr>
          <w:rStyle w:val="sstitre"/>
        </w:rPr>
        <w:instrText>Modisté</w:instrText>
      </w:r>
      <w:r>
        <w:instrText xml:space="preserve">" </w:instrText>
      </w:r>
      <w:r>
        <w:rPr>
          <w:rStyle w:val="sstitre"/>
        </w:rPr>
        <w:fldChar w:fldCharType="end"/>
      </w:r>
      <w:r>
        <w:rPr>
          <w:rStyle w:val="sstitre"/>
        </w:rPr>
        <w:t xml:space="preserve"> vychází z aristotelského výkladu poznání a signifikace a proto se zásadně liší od avicennistického výkladu františkánské školy. O</w:t>
      </w:r>
      <w:r>
        <w:rPr>
          <w:rStyle w:val="titre"/>
        </w:rPr>
        <w:t xml:space="preserve">tázka reference se v této škole změnila na pojetí slova fixovaného v rámci významu chápaného jako univerzálně působící esence v modu </w:t>
      </w:r>
      <w:r w:rsidRPr="08625A78">
        <w:rPr>
          <w:rStyle w:val="titre"/>
          <w:i/>
        </w:rPr>
        <w:t>tertium ens</w:t>
      </w:r>
      <w:r w:rsidRPr="00273106">
        <w:rPr>
          <w:rStyle w:val="sstitre"/>
        </w:rPr>
        <w:t>.</w:t>
      </w:r>
      <w:r>
        <w:rPr>
          <w:rStyle w:val="sstitre"/>
        </w:rPr>
        <w:t xml:space="preserve"> </w:t>
      </w:r>
      <w:r w:rsidRPr="00273106">
        <w:t>Spor o dvojí pravdu substance</w:t>
      </w:r>
      <w:r>
        <w:t xml:space="preserve"> ukázalo rozdílné pojetí Bacona a analytických logiků Kilwardbyho školy</w:t>
      </w:r>
      <w:r>
        <w:fldChar w:fldCharType="begin"/>
      </w:r>
      <w:r>
        <w:instrText xml:space="preserve"> XE "</w:instrText>
      </w:r>
      <w:r w:rsidRPr="00627FE6">
        <w:instrText>analytická filosofie</w:instrText>
      </w:r>
      <w:r>
        <w:instrText xml:space="preserve">" </w:instrText>
      </w:r>
      <w:r>
        <w:fldChar w:fldCharType="end"/>
      </w:r>
      <w:r>
        <w:t xml:space="preserve">, kterým stačila na Oxfordu k fixaci významu </w:t>
      </w:r>
      <w:r w:rsidR="003A1E7D">
        <w:t>„</w:t>
      </w:r>
      <w:r w:rsidRPr="006413B8">
        <w:rPr>
          <w:i/>
        </w:rPr>
        <w:t>homo est animal</w:t>
      </w:r>
      <w:r w:rsidR="003A1E7D">
        <w:t>“</w:t>
      </w:r>
      <w:r>
        <w:t xml:space="preserve"> pouhá existence intelektu (</w:t>
      </w:r>
      <w:r w:rsidRPr="006413B8">
        <w:rPr>
          <w:i/>
        </w:rPr>
        <w:t>est sumpta a quaestione si e</w:t>
      </w:r>
      <w:r>
        <w:rPr>
          <w:i/>
        </w:rPr>
        <w:t>st intellectus et non si est res</w:t>
      </w:r>
      <w:r w:rsidR="081A5FFA">
        <w:t>; OBJ II, kap. 3</w:t>
      </w:r>
      <w:r w:rsidRPr="006413B8">
        <w:t>.4.3</w:t>
      </w:r>
      <w:r>
        <w:t xml:space="preserve">). </w:t>
      </w:r>
      <w:r w:rsidRPr="00273106">
        <w:t xml:space="preserve">Klíčové je </w:t>
      </w:r>
      <w:r>
        <w:t xml:space="preserve">instrumentální pronomen </w:t>
      </w:r>
      <w:r w:rsidR="003A1E7D">
        <w:t>„</w:t>
      </w:r>
      <w:r w:rsidRPr="00273106">
        <w:rPr>
          <w:i/>
        </w:rPr>
        <w:t>qua</w:t>
      </w:r>
      <w:r w:rsidR="003A1E7D">
        <w:t>“</w:t>
      </w:r>
      <w:r>
        <w:t xml:space="preserve"> dané při definici </w:t>
      </w:r>
      <w:r w:rsidR="08574F99">
        <w:t xml:space="preserve">tomistického </w:t>
      </w:r>
      <w:r>
        <w:t>konceptu (</w:t>
      </w:r>
      <w:r w:rsidRPr="00D275A8">
        <w:rPr>
          <w:i/>
        </w:rPr>
        <w:t>intellectus conceptionem qua mediante refertur ad rem</w:t>
      </w:r>
      <w:r>
        <w:t xml:space="preserve">). Predikace respektující </w:t>
      </w:r>
      <w:r w:rsidR="081942A4">
        <w:t xml:space="preserve">metafyzický </w:t>
      </w:r>
      <w:r>
        <w:t xml:space="preserve">dativ tím naplnila aristotelské </w:t>
      </w:r>
      <w:r w:rsidRPr="00273106">
        <w:t xml:space="preserve">určení pravdy jako adekvace. </w:t>
      </w:r>
      <w:r>
        <w:t xml:space="preserve">Věc je dána v minulostní formě svého jedinečného bytí, které tento apofantický dativ podržuje v univerzální signifikaci dané pouze v mysli. </w:t>
      </w:r>
      <w:r>
        <w:rPr>
          <w:rStyle w:val="sstitre"/>
        </w:rPr>
        <w:t xml:space="preserve">Tento rozdíl zakládá </w:t>
      </w:r>
      <w:r w:rsidRPr="00273106">
        <w:rPr>
          <w:rStyle w:val="sstitre"/>
        </w:rPr>
        <w:t xml:space="preserve">odlišné pojetí </w:t>
      </w:r>
      <w:r>
        <w:rPr>
          <w:rStyle w:val="sstitre"/>
        </w:rPr>
        <w:t xml:space="preserve">signifikace </w:t>
      </w:r>
      <w:r w:rsidRPr="00273106">
        <w:rPr>
          <w:rStyle w:val="sstitre"/>
        </w:rPr>
        <w:t>mezi prvním a druhým averroismem</w:t>
      </w:r>
      <w:r>
        <w:rPr>
          <w:rStyle w:val="sstitre"/>
        </w:rPr>
        <w:t xml:space="preserve">, což potvrzuje i Tomášův výklad v </w:t>
      </w:r>
      <w:proofErr w:type="gramStart"/>
      <w:r w:rsidRPr="00C651DC">
        <w:rPr>
          <w:rStyle w:val="sstitre"/>
          <w:i/>
        </w:rPr>
        <w:t>De</w:t>
      </w:r>
      <w:proofErr w:type="gramEnd"/>
      <w:r w:rsidRPr="00C651DC">
        <w:rPr>
          <w:rStyle w:val="sstitre"/>
          <w:i/>
        </w:rPr>
        <w:t xml:space="preserve"> potentia</w:t>
      </w:r>
      <w:r w:rsidRPr="00273106">
        <w:rPr>
          <w:rStyle w:val="sstitre"/>
        </w:rPr>
        <w:t>.</w:t>
      </w:r>
      <w:r>
        <w:rPr>
          <w:rStyle w:val="sstitre"/>
        </w:rPr>
        <w:t xml:space="preserve"> </w:t>
      </w:r>
      <w:r>
        <w:t xml:space="preserve">Neporovnává se výskyt dvou </w:t>
      </w:r>
      <w:r w:rsidR="00962190" w:rsidRPr="007F05A1">
        <w:t>species</w:t>
      </w:r>
      <w:r>
        <w:t xml:space="preserve"> třetího druhu jako porretánských hypostází, která zakládají spekulativní pojetí pravdy v modu Rufusova </w:t>
      </w:r>
      <w:r w:rsidRPr="001A5847">
        <w:rPr>
          <w:i/>
        </w:rPr>
        <w:t>coaequatio</w:t>
      </w:r>
      <w:r>
        <w:rPr>
          <w:i/>
        </w:rPr>
        <w:fldChar w:fldCharType="begin"/>
      </w:r>
      <w:r>
        <w:instrText xml:space="preserve"> XE "pravda:</w:instrText>
      </w:r>
      <w:r w:rsidRPr="00761DD3">
        <w:rPr>
          <w:i/>
        </w:rPr>
        <w:instrText>coaequatio</w:instrText>
      </w:r>
      <w:r>
        <w:instrText xml:space="preserve">" </w:instrText>
      </w:r>
      <w:r>
        <w:rPr>
          <w:i/>
        </w:rPr>
        <w:fldChar w:fldCharType="end"/>
      </w:r>
      <w:r>
        <w:t>. Akvinského nezajímá, co je objektivně dáno ve věci a co je objektivně reflektováno v intelektu. A</w:t>
      </w:r>
      <w:r w:rsidRPr="00273106">
        <w:t xml:space="preserve">dekvace není shoda ve stylu Anselmova </w:t>
      </w:r>
      <w:r w:rsidRPr="00273106">
        <w:rPr>
          <w:i/>
        </w:rPr>
        <w:t>rectitudo</w:t>
      </w:r>
      <w:r>
        <w:rPr>
          <w:i/>
        </w:rPr>
        <w:fldChar w:fldCharType="begin"/>
      </w:r>
      <w:r>
        <w:instrText xml:space="preserve"> XE "</w:instrText>
      </w:r>
      <w:r w:rsidRPr="00FE2BFB">
        <w:instrText>pravda</w:instrText>
      </w:r>
      <w:r w:rsidRPr="00876DF6">
        <w:rPr>
          <w:i/>
        </w:rPr>
        <w:instrText>:rectitudo</w:instrText>
      </w:r>
      <w:r>
        <w:instrText xml:space="preserve">" </w:instrText>
      </w:r>
      <w:r>
        <w:rPr>
          <w:i/>
        </w:rPr>
        <w:fldChar w:fldCharType="end"/>
      </w:r>
      <w:r>
        <w:t xml:space="preserve"> (</w:t>
      </w:r>
      <w:r w:rsidR="08214AA6">
        <w:t>OBJ II, kap. 1</w:t>
      </w:r>
      <w:r>
        <w:t>.2</w:t>
      </w:r>
      <w:r w:rsidRPr="00273106">
        <w:t xml:space="preserve">), ani ve stylu </w:t>
      </w:r>
      <w:r>
        <w:t>Rufusovy</w:t>
      </w:r>
      <w:r w:rsidRPr="00273106">
        <w:t xml:space="preserve"> objektivní</w:t>
      </w:r>
      <w:r>
        <w:t xml:space="preserve"> shody</w:t>
      </w:r>
      <w:r w:rsidRPr="00273106">
        <w:t xml:space="preserve"> </w:t>
      </w:r>
      <w:r>
        <w:t>založené</w:t>
      </w:r>
      <w:r w:rsidRPr="00273106">
        <w:t xml:space="preserve"> </w:t>
      </w:r>
      <w:r w:rsidR="007F05A1">
        <w:t>na matematické univocitě</w:t>
      </w:r>
      <w:r w:rsidRPr="00273106">
        <w:t xml:space="preserve"> (</w:t>
      </w:r>
      <w:r w:rsidR="08214AA6">
        <w:t>OBJ II, kap. 3</w:t>
      </w:r>
      <w:r w:rsidRPr="00273106">
        <w:t xml:space="preserve">.3.2). Disputace připomíná, že máme dvojí statut pro </w:t>
      </w:r>
      <w:r w:rsidRPr="00273106">
        <w:rPr>
          <w:i/>
        </w:rPr>
        <w:t>verbum</w:t>
      </w:r>
      <w:r w:rsidRPr="00273106">
        <w:t xml:space="preserve"> daný z hlediska poznání a z hlediska poznávané externí věci. Slovo zpřítomňuje věc v její poznatelnosti pro intelekt (</w:t>
      </w:r>
      <w:r w:rsidRPr="00273106">
        <w:rPr>
          <w:i/>
        </w:rPr>
        <w:t>repraesentatio</w:t>
      </w:r>
      <w:r w:rsidRPr="00273106">
        <w:t>)</w:t>
      </w:r>
      <w:r>
        <w:t>. Proto u</w:t>
      </w:r>
      <w:r w:rsidRPr="00273106">
        <w:t>niverzální význam konceptu nevychází z intelektu, ale z</w:t>
      </w:r>
      <w:r>
        <w:t xml:space="preserve"> aktuality </w:t>
      </w:r>
      <w:r w:rsidRPr="00273106">
        <w:t xml:space="preserve">samotné  věci. </w:t>
      </w:r>
      <w:r>
        <w:t>S</w:t>
      </w:r>
      <w:r w:rsidRPr="00273106">
        <w:t xml:space="preserve">lovo </w:t>
      </w:r>
      <w:r>
        <w:t xml:space="preserve">je </w:t>
      </w:r>
      <w:r w:rsidRPr="00273106">
        <w:t xml:space="preserve">dáno jako </w:t>
      </w:r>
      <w:r w:rsidRPr="00273106">
        <w:rPr>
          <w:i/>
        </w:rPr>
        <w:t>similitudo</w:t>
      </w:r>
      <w:r w:rsidRPr="00273106">
        <w:t xml:space="preserve"> </w:t>
      </w:r>
      <w:r>
        <w:t xml:space="preserve">vzhledem k </w:t>
      </w:r>
      <w:r w:rsidRPr="00273106">
        <w:t xml:space="preserve">věci v realitě. Věc v realitě je převedena do média aktuálně daného poznání ve smyslové části duše </w:t>
      </w:r>
      <w:r>
        <w:t xml:space="preserve">dané </w:t>
      </w:r>
      <w:r w:rsidRPr="00273106">
        <w:t>i zvířatům (</w:t>
      </w:r>
      <w:r w:rsidRPr="00273106">
        <w:rPr>
          <w:i/>
        </w:rPr>
        <w:t>sensus communis</w:t>
      </w:r>
      <w:r>
        <w:rPr>
          <w:i/>
        </w:rPr>
        <w:fldChar w:fldCharType="begin"/>
      </w:r>
      <w:r>
        <w:instrText xml:space="preserve"> XE "</w:instrText>
      </w:r>
      <w:r w:rsidRPr="00F24A59">
        <w:rPr>
          <w:i/>
        </w:rPr>
        <w:instrText xml:space="preserve">sensus </w:instrText>
      </w:r>
      <w:r w:rsidRPr="00F24A59">
        <w:rPr>
          <w:i/>
        </w:rPr>
        <w:lastRenderedPageBreak/>
        <w:instrText>communis</w:instrText>
      </w:r>
      <w:r>
        <w:instrText xml:space="preserve">" </w:instrText>
      </w:r>
      <w:r>
        <w:rPr>
          <w:i/>
        </w:rPr>
        <w:fldChar w:fldCharType="end"/>
      </w:r>
      <w:r w:rsidRPr="00273106">
        <w:t xml:space="preserve">), </w:t>
      </w:r>
      <w:r>
        <w:t xml:space="preserve">kde vzniká první intencionální předmět </w:t>
      </w:r>
      <w:r w:rsidRPr="00273106">
        <w:t>(</w:t>
      </w:r>
      <w:r w:rsidR="00962190">
        <w:rPr>
          <w:i/>
        </w:rPr>
        <w:t>species</w:t>
      </w:r>
      <w:r w:rsidRPr="00273106">
        <w:rPr>
          <w:i/>
        </w:rPr>
        <w:t xml:space="preserve"> sensibilis</w:t>
      </w:r>
      <w:r>
        <w:rPr>
          <w:i/>
        </w:rPr>
        <w:fldChar w:fldCharType="begin"/>
      </w:r>
      <w:r>
        <w:instrText xml:space="preserve"> XE "</w:instrText>
      </w:r>
      <w:r w:rsidRPr="00374FA1">
        <w:rPr>
          <w:i/>
        </w:rPr>
        <w:instrText>species sensibilis</w:instrText>
      </w:r>
      <w:r>
        <w:instrText xml:space="preserve">" </w:instrText>
      </w:r>
      <w:r>
        <w:rPr>
          <w:i/>
        </w:rPr>
        <w:fldChar w:fldCharType="end"/>
      </w:r>
      <w:r w:rsidRPr="00273106">
        <w:t>)</w:t>
      </w:r>
      <w:r>
        <w:t xml:space="preserve"> skrze kauzálně danou adekvaci</w:t>
      </w:r>
      <w:r w:rsidRPr="00273106">
        <w:t xml:space="preserve"> poznávajících smyslů </w:t>
      </w:r>
      <w:r>
        <w:t>determinovaných od poznávané věci. Tato smyslová</w:t>
      </w:r>
      <w:r w:rsidRPr="00273106">
        <w:t xml:space="preserve"> </w:t>
      </w:r>
      <w:r w:rsidR="00962190" w:rsidRPr="0033401B">
        <w:t>species</w:t>
      </w:r>
      <w:r w:rsidRPr="00273106">
        <w:t xml:space="preserve"> následně </w:t>
      </w:r>
      <w:r w:rsidR="0033401B">
        <w:t xml:space="preserve">přijímá intelekt </w:t>
      </w:r>
      <w:r w:rsidR="00703810">
        <w:t xml:space="preserve">pro svůj vlastní </w:t>
      </w:r>
      <w:r w:rsidRPr="00273106">
        <w:t>výkon</w:t>
      </w:r>
      <w:r w:rsidR="00703810">
        <w:t xml:space="preserve"> poznání </w:t>
      </w:r>
      <w:r w:rsidRPr="00273106">
        <w:t>dan</w:t>
      </w:r>
      <w:r w:rsidR="00703810">
        <w:t xml:space="preserve">ý </w:t>
      </w:r>
      <w:r w:rsidRPr="00273106">
        <w:t>již nemateriálně, a tedy odděleně od smyslů. Odpověď osmé kvestie pokračuje následovně.</w:t>
      </w:r>
    </w:p>
    <w:p w:rsidR="08163013" w:rsidRPr="005B228D" w:rsidRDefault="08163013" w:rsidP="08163013">
      <w:pPr>
        <w:pStyle w:val="Citace"/>
        <w:rPr>
          <w:noProof/>
          <w:lang w:val="cs-CZ"/>
        </w:rPr>
      </w:pPr>
      <w:r w:rsidRPr="00273106">
        <w:rPr>
          <w:noProof/>
        </w:rPr>
        <w:t>„</w:t>
      </w:r>
      <w:r>
        <w:rPr>
          <w:noProof/>
          <w:lang w:val="cs-CZ"/>
        </w:rPr>
        <w:t>Tímto způsobem je dán pojem, tedy slovo, kterým intelekt chápe věc, která je od něj oddělená (</w:t>
      </w:r>
      <w:r w:rsidRPr="009F7675">
        <w:rPr>
          <w:i/>
          <w:noProof/>
        </w:rPr>
        <w:t>rem aliam a se</w:t>
      </w:r>
      <w:r>
        <w:rPr>
          <w:noProof/>
          <w:lang w:val="cs-CZ"/>
        </w:rPr>
        <w:t>). Od této oddělené reálné věci intelekt vychází a tuto odlišnost zpřítomňuje (</w:t>
      </w:r>
      <w:r w:rsidRPr="009F7675">
        <w:rPr>
          <w:i/>
          <w:noProof/>
        </w:rPr>
        <w:t>ab alio exoritur, et aliud repraesentat</w:t>
      </w:r>
      <w:r>
        <w:rPr>
          <w:noProof/>
          <w:lang w:val="cs-CZ"/>
        </w:rPr>
        <w:t>). Pojem vychází od intelektu skrze jeho výkon a je skutečnou podobností pochopené věci (</w:t>
      </w:r>
      <w:r w:rsidRPr="00A32D34">
        <w:rPr>
          <w:i/>
          <w:noProof/>
        </w:rPr>
        <w:t>est vero similitudo rei intellectae</w:t>
      </w:r>
      <w:r>
        <w:rPr>
          <w:noProof/>
          <w:lang w:val="cs-CZ"/>
        </w:rPr>
        <w:t xml:space="preserve">). Když intelekt poznává sám sebe, poznává ono predikované slovo, tedy pojem, a tím je intelekt jeho </w:t>
      </w:r>
      <w:r w:rsidR="0044188A">
        <w:rPr>
          <w:noProof/>
          <w:lang w:val="cs-CZ"/>
        </w:rPr>
        <w:t xml:space="preserve">pokračováním </w:t>
      </w:r>
      <w:r>
        <w:rPr>
          <w:noProof/>
          <w:lang w:val="cs-CZ"/>
        </w:rPr>
        <w:t>a podobností (</w:t>
      </w:r>
      <w:r w:rsidRPr="006D5CB4">
        <w:rPr>
          <w:i/>
          <w:noProof/>
        </w:rPr>
        <w:t>eiusdem est propago et similitudo</w:t>
      </w:r>
      <w:r>
        <w:rPr>
          <w:noProof/>
          <w:lang w:val="cs-CZ"/>
        </w:rPr>
        <w:t xml:space="preserve">). Tak intelekt poznává i sám sebe.“ </w:t>
      </w:r>
      <w:r>
        <w:rPr>
          <w:rStyle w:val="Znakapoznpodarou"/>
        </w:rPr>
        <w:footnoteReference w:id="318"/>
      </w:r>
    </w:p>
    <w:p w:rsidR="000618DD" w:rsidRDefault="08163013" w:rsidP="08163013">
      <w:r>
        <w:t xml:space="preserve">Brilantní metafyzické rozlišení </w:t>
      </w:r>
      <w:r w:rsidR="007C1DC0">
        <w:t>„</w:t>
      </w:r>
      <w:r w:rsidRPr="00273106">
        <w:rPr>
          <w:i/>
        </w:rPr>
        <w:t>aliam</w:t>
      </w:r>
      <w:r w:rsidR="007C1DC0">
        <w:rPr>
          <w:i/>
        </w:rPr>
        <w:t xml:space="preserve"> </w:t>
      </w:r>
      <w:r w:rsidRPr="00273106">
        <w:t>‒</w:t>
      </w:r>
      <w:r w:rsidR="007C1DC0">
        <w:t xml:space="preserve"> </w:t>
      </w:r>
      <w:r w:rsidRPr="00273106">
        <w:rPr>
          <w:i/>
        </w:rPr>
        <w:t>alio</w:t>
      </w:r>
      <w:r w:rsidR="007C1DC0">
        <w:rPr>
          <w:i/>
        </w:rPr>
        <w:t xml:space="preserve"> </w:t>
      </w:r>
      <w:r w:rsidRPr="00273106">
        <w:t>‒</w:t>
      </w:r>
      <w:r w:rsidR="007C1DC0">
        <w:t xml:space="preserve"> </w:t>
      </w:r>
      <w:r w:rsidRPr="00273106">
        <w:rPr>
          <w:i/>
        </w:rPr>
        <w:t>aliud</w:t>
      </w:r>
      <w:r w:rsidR="007C1DC0">
        <w:t>“</w:t>
      </w:r>
      <w:r w:rsidRPr="00273106">
        <w:t xml:space="preserve"> ukazuje, že rozdíl mezi </w:t>
      </w:r>
      <w:r>
        <w:t xml:space="preserve">věcí, </w:t>
      </w:r>
      <w:r w:rsidRPr="00273106">
        <w:t xml:space="preserve">podobností </w:t>
      </w:r>
      <w:r>
        <w:t xml:space="preserve">a reprezentací je </w:t>
      </w:r>
      <w:r w:rsidRPr="00273106">
        <w:t>trojí</w:t>
      </w:r>
      <w:r>
        <w:t>ho druhu</w:t>
      </w:r>
      <w:r w:rsidR="007C1DC0">
        <w:t xml:space="preserve">. Věc v jejím </w:t>
      </w:r>
      <w:r w:rsidRPr="00273106">
        <w:rPr>
          <w:i/>
        </w:rPr>
        <w:t>actus essendi</w:t>
      </w:r>
      <w:r>
        <w:rPr>
          <w:i/>
        </w:rPr>
        <w:fldChar w:fldCharType="begin"/>
      </w:r>
      <w:r>
        <w:instrText xml:space="preserve"> XE "</w:instrText>
      </w:r>
      <w:r w:rsidRPr="006D3950">
        <w:rPr>
          <w:i/>
        </w:rPr>
        <w:instrText>actus essendi</w:instrText>
      </w:r>
      <w:r>
        <w:instrText xml:space="preserve">" </w:instrText>
      </w:r>
      <w:r>
        <w:rPr>
          <w:i/>
        </w:rPr>
        <w:fldChar w:fldCharType="end"/>
      </w:r>
      <w:r w:rsidRPr="00273106">
        <w:t xml:space="preserve"> existuje mimo poznání (</w:t>
      </w:r>
      <w:r w:rsidRPr="00273106">
        <w:rPr>
          <w:i/>
        </w:rPr>
        <w:t>rem</w:t>
      </w:r>
      <w:r w:rsidRPr="00273106">
        <w:t xml:space="preserve"> </w:t>
      </w:r>
      <w:r w:rsidRPr="00273106">
        <w:rPr>
          <w:i/>
        </w:rPr>
        <w:t xml:space="preserve">aliam a </w:t>
      </w:r>
      <w:proofErr w:type="gramStart"/>
      <w:r w:rsidRPr="00273106">
        <w:rPr>
          <w:i/>
        </w:rPr>
        <w:t>se</w:t>
      </w:r>
      <w:proofErr w:type="gramEnd"/>
      <w:r w:rsidRPr="00273106">
        <w:t>)</w:t>
      </w:r>
      <w:r>
        <w:t>. P</w:t>
      </w:r>
      <w:r w:rsidRPr="00273106">
        <w:t xml:space="preserve">ak se </w:t>
      </w:r>
      <w:r>
        <w:t xml:space="preserve">věc </w:t>
      </w:r>
      <w:r w:rsidRPr="00273106">
        <w:t xml:space="preserve">dostane do smyslového poznání </w:t>
      </w:r>
      <w:r>
        <w:t xml:space="preserve">daného aktuálně, odkud aktualizuje intelekt </w:t>
      </w:r>
      <w:r w:rsidRPr="00273106">
        <w:t>(</w:t>
      </w:r>
      <w:r w:rsidRPr="00273106">
        <w:rPr>
          <w:i/>
        </w:rPr>
        <w:t>ab alio exoritur</w:t>
      </w:r>
      <w:r w:rsidRPr="00273106">
        <w:t>)</w:t>
      </w:r>
      <w:r>
        <w:t xml:space="preserve">. </w:t>
      </w:r>
      <w:r w:rsidR="007C1DC0">
        <w:t>O</w:t>
      </w:r>
      <w:r w:rsidR="007C1DC0" w:rsidRPr="00273106">
        <w:t xml:space="preserve">ddělený intelekt </w:t>
      </w:r>
      <w:r w:rsidR="007C1DC0">
        <w:t>vezme smyslovou</w:t>
      </w:r>
      <w:r>
        <w:t xml:space="preserve"> </w:t>
      </w:r>
      <w:r w:rsidR="00962190" w:rsidRPr="007C1DC0">
        <w:t>species</w:t>
      </w:r>
      <w:r>
        <w:t xml:space="preserve"> </w:t>
      </w:r>
      <w:r w:rsidR="007C1DC0">
        <w:t xml:space="preserve">do procesu abstrakce. Pak ji </w:t>
      </w:r>
      <w:r w:rsidRPr="00273106">
        <w:t>znovu zpřítomní v nemateriálním aktu vlastního poznání (</w:t>
      </w:r>
      <w:r w:rsidRPr="00273106">
        <w:rPr>
          <w:i/>
        </w:rPr>
        <w:t>aliud</w:t>
      </w:r>
      <w:r w:rsidRPr="00273106">
        <w:t xml:space="preserve"> </w:t>
      </w:r>
      <w:r w:rsidRPr="00273106">
        <w:rPr>
          <w:i/>
        </w:rPr>
        <w:t>repraesentat</w:t>
      </w:r>
      <w:r w:rsidRPr="00273106">
        <w:t>). Individuálně poznávající inte</w:t>
      </w:r>
      <w:r>
        <w:t xml:space="preserve">lekt </w:t>
      </w:r>
      <w:r w:rsidR="007C1DC0">
        <w:t xml:space="preserve">uchopuje </w:t>
      </w:r>
      <w:r>
        <w:t>smyslové</w:t>
      </w:r>
      <w:r w:rsidRPr="00273106">
        <w:t xml:space="preserve"> </w:t>
      </w:r>
      <w:r w:rsidR="00962190" w:rsidRPr="007C1DC0">
        <w:t>species</w:t>
      </w:r>
      <w:r w:rsidRPr="00273106">
        <w:t xml:space="preserve"> svou </w:t>
      </w:r>
      <w:r>
        <w:t xml:space="preserve">vlastní nemateriální intencionalitou a recipuje </w:t>
      </w:r>
      <w:r w:rsidR="007C1DC0">
        <w:t xml:space="preserve">je </w:t>
      </w:r>
      <w:r>
        <w:t xml:space="preserve">ve své potencialitě skrze </w:t>
      </w:r>
      <w:r w:rsidR="00962190">
        <w:rPr>
          <w:i/>
        </w:rPr>
        <w:t>species</w:t>
      </w:r>
      <w:r w:rsidRPr="00273106">
        <w:rPr>
          <w:i/>
        </w:rPr>
        <w:t xml:space="preserve"> intelligibilis</w:t>
      </w:r>
      <w:r>
        <w:rPr>
          <w:i/>
        </w:rPr>
        <w:fldChar w:fldCharType="begin"/>
      </w:r>
      <w:r>
        <w:instrText xml:space="preserve"> XE "</w:instrText>
      </w:r>
      <w:r w:rsidRPr="00DD403C">
        <w:rPr>
          <w:i/>
        </w:rPr>
        <w:instrText>species intelligibilis:</w:instrText>
      </w:r>
      <w:r w:rsidRPr="00DD403C">
        <w:instrText>Avi</w:instrText>
      </w:r>
      <w:r>
        <w:instrText xml:space="preserve">nský" </w:instrText>
      </w:r>
      <w:r>
        <w:rPr>
          <w:i/>
        </w:rPr>
        <w:fldChar w:fldCharType="end"/>
      </w:r>
      <w:r w:rsidRPr="00273106">
        <w:t xml:space="preserve">. V každé fázi máme jiné zpřítomnění věci, protože za ní stojí jiná potence duše. Tímto </w:t>
      </w:r>
      <w:r>
        <w:t xml:space="preserve">celkovým </w:t>
      </w:r>
      <w:r w:rsidRPr="00273106">
        <w:t>aktem poznání se aktualizuje individuálně daná potencialita poznání na aktuá</w:t>
      </w:r>
      <w:r w:rsidR="00EB3D84">
        <w:t xml:space="preserve">lně daný univerzální </w:t>
      </w:r>
      <w:r>
        <w:t>koncept</w:t>
      </w:r>
      <w:r w:rsidR="00EB3D84">
        <w:t xml:space="preserve"> </w:t>
      </w:r>
      <w:r w:rsidRPr="00273106">
        <w:t>(</w:t>
      </w:r>
      <w:r w:rsidRPr="00273106">
        <w:rPr>
          <w:i/>
        </w:rPr>
        <w:t>conceptio, sive verbum</w:t>
      </w:r>
      <w:r w:rsidRPr="00273106">
        <w:t xml:space="preserve">). </w:t>
      </w:r>
      <w:r>
        <w:t xml:space="preserve">Intelekt se </w:t>
      </w:r>
      <w:r w:rsidRPr="00273106">
        <w:t xml:space="preserve">poznává </w:t>
      </w:r>
      <w:r>
        <w:t xml:space="preserve">ve </w:t>
      </w:r>
      <w:r w:rsidRPr="00273106">
        <w:t>výkonu sebereflexe až úplně nakonec (</w:t>
      </w:r>
      <w:r w:rsidRPr="00273106">
        <w:rPr>
          <w:i/>
        </w:rPr>
        <w:t>intellectus seipsum intelligentis</w:t>
      </w:r>
      <w:r w:rsidRPr="00273106">
        <w:t>)</w:t>
      </w:r>
      <w:r>
        <w:t>, a to</w:t>
      </w:r>
      <w:r w:rsidRPr="00273106">
        <w:t xml:space="preserve"> </w:t>
      </w:r>
      <w:r w:rsidR="000618DD">
        <w:t>skrze slovem utvořený koncept.</w:t>
      </w:r>
    </w:p>
    <w:p w:rsidR="08163013" w:rsidRPr="00273106" w:rsidRDefault="08163013" w:rsidP="00126DEF">
      <w:pPr>
        <w:ind w:firstLine="397"/>
      </w:pPr>
      <w:r>
        <w:t>Ve druhém</w:t>
      </w:r>
      <w:r w:rsidR="00B644D3">
        <w:t xml:space="preserve"> averroismu se intelekt poznává</w:t>
      </w:r>
      <w:r>
        <w:t xml:space="preserve"> hned na začátku v přímém náhledu, </w:t>
      </w:r>
      <w:r w:rsidR="00B644D3">
        <w:t xml:space="preserve">na způsob pozdějšího </w:t>
      </w:r>
      <w:r>
        <w:t>kartezi</w:t>
      </w:r>
      <w:r w:rsidR="00B644D3">
        <w:t xml:space="preserve">ánského </w:t>
      </w:r>
      <w:r w:rsidRPr="0099045C">
        <w:rPr>
          <w:i/>
        </w:rPr>
        <w:t>cogito</w:t>
      </w:r>
      <w:r>
        <w:rPr>
          <w:i/>
        </w:rPr>
        <w:fldChar w:fldCharType="begin"/>
      </w:r>
      <w:r>
        <w:instrText xml:space="preserve"> XE "</w:instrText>
      </w:r>
      <w:r w:rsidRPr="003D2937">
        <w:rPr>
          <w:i/>
        </w:rPr>
        <w:instrText>cogito</w:instrText>
      </w:r>
      <w:r>
        <w:instrText xml:space="preserve">" </w:instrText>
      </w:r>
      <w:r>
        <w:rPr>
          <w:i/>
        </w:rPr>
        <w:fldChar w:fldCharType="end"/>
      </w:r>
      <w:r w:rsidRPr="00273106">
        <w:t xml:space="preserve">. </w:t>
      </w:r>
      <w:r w:rsidR="00A55B80">
        <w:t xml:space="preserve">Kvůli </w:t>
      </w:r>
      <w:r w:rsidRPr="00273106">
        <w:rPr>
          <w:i/>
        </w:rPr>
        <w:t>Oxfordian Fallacy</w:t>
      </w:r>
      <w:r w:rsidRPr="00273106">
        <w:t xml:space="preserve"> </w:t>
      </w:r>
      <w:r w:rsidR="00A55B80">
        <w:t xml:space="preserve">chybí teorei pravdy jako adekvace a je nahrazena </w:t>
      </w:r>
      <w:r w:rsidRPr="00273106">
        <w:t xml:space="preserve">univerzální </w:t>
      </w:r>
      <w:r w:rsidR="00D05E9B">
        <w:t>asimilac</w:t>
      </w:r>
      <w:r w:rsidR="00A55B80">
        <w:t xml:space="preserve">í </w:t>
      </w:r>
      <w:r w:rsidR="00A55B80" w:rsidRPr="00A55B80">
        <w:rPr>
          <w:i/>
        </w:rPr>
        <w:t>tertium ens</w:t>
      </w:r>
      <w:r>
        <w:t xml:space="preserve">. Z moderního schématu </w:t>
      </w:r>
      <w:r w:rsidRPr="088104DD">
        <w:rPr>
          <w:i/>
        </w:rPr>
        <w:t>De interpretatione</w:t>
      </w:r>
      <w:r>
        <w:t xml:space="preserve"> vypadla intencionální sémantika a konceptuální symbolizace reálného </w:t>
      </w:r>
      <w:r w:rsidR="00B643E5">
        <w:t>aktu poznání. Poslední symbolická etapa (</w:t>
      </w:r>
      <w:r w:rsidR="00B643E5" w:rsidRPr="00273106">
        <w:rPr>
          <w:rStyle w:val="TextpoznpodarouChar"/>
        </w:rPr>
        <w:t>σύμβολα</w:t>
      </w:r>
      <w:r w:rsidR="00B643E5">
        <w:t xml:space="preserve">) zakládá spojení individuální </w:t>
      </w:r>
      <w:r w:rsidR="00B643E5" w:rsidRPr="00B643E5">
        <w:lastRenderedPageBreak/>
        <w:t>species</w:t>
      </w:r>
      <w:r w:rsidR="00B643E5">
        <w:t xml:space="preserve"> dané pohybem duše (</w:t>
      </w:r>
      <w:r w:rsidR="00B643E5" w:rsidRPr="00273106">
        <w:rPr>
          <w:rStyle w:val="TextpoznpodarouChar"/>
        </w:rPr>
        <w:t>παθήματα τῆς ψυχῆς</w:t>
      </w:r>
      <w:r w:rsidR="00B643E5">
        <w:t>) a univerzální sémantiky dané intencionálně (</w:t>
      </w:r>
      <w:r w:rsidR="00B643E5" w:rsidRPr="00273106">
        <w:rPr>
          <w:rStyle w:val="TextpoznpodarouChar"/>
        </w:rPr>
        <w:t>σημεία πρώτων</w:t>
      </w:r>
      <w:r w:rsidR="00B643E5">
        <w:t>). Toto spojení v modu metafyzického dativu</w:t>
      </w:r>
      <w:r w:rsidR="00B643E5">
        <w:fldChar w:fldCharType="begin"/>
      </w:r>
      <w:r w:rsidR="00B643E5">
        <w:instrText xml:space="preserve"> XE "</w:instrText>
      </w:r>
      <w:r w:rsidR="00B643E5">
        <w:rPr>
          <w:i/>
        </w:rPr>
        <w:instrText>dativus metaphysi</w:instrText>
      </w:r>
      <w:r w:rsidR="00B643E5" w:rsidRPr="0836479D">
        <w:rPr>
          <w:i/>
        </w:rPr>
        <w:instrText>cus</w:instrText>
      </w:r>
      <w:r w:rsidR="00B643E5">
        <w:instrText xml:space="preserve">" </w:instrText>
      </w:r>
      <w:r w:rsidR="00B643E5">
        <w:fldChar w:fldCharType="end"/>
      </w:r>
      <w:r w:rsidR="00B643E5">
        <w:t xml:space="preserve"> dává plnou adekvaci reality a univerzálního významu (</w:t>
      </w:r>
      <w:r w:rsidR="00B643E5" w:rsidRPr="00273106">
        <w:rPr>
          <w:rStyle w:val="TextpoznpodarouChar"/>
        </w:rPr>
        <w:t>ὁμοιώματα</w:t>
      </w:r>
      <w:r w:rsidR="00B643E5">
        <w:t>). Tyto dvě klíčové s</w:t>
      </w:r>
      <w:r w:rsidR="00B068D0">
        <w:t>ložky zakládají</w:t>
      </w:r>
      <w:r>
        <w:t xml:space="preserve"> pojetí pravdy v modu Averroesovy podobnosti jako </w:t>
      </w:r>
      <w:r w:rsidRPr="086D48C6">
        <w:rPr>
          <w:i/>
        </w:rPr>
        <w:t>consimilitudo</w:t>
      </w:r>
      <w:r w:rsidR="00B068D0">
        <w:t>. Analytické</w:t>
      </w:r>
      <w:r>
        <w:t xml:space="preserve"> pojetí jazyka </w:t>
      </w:r>
      <w:r w:rsidR="00B068D0">
        <w:t>založené Rufusem je nahradil</w:t>
      </w:r>
      <w:r w:rsidR="00751206">
        <w:t>o</w:t>
      </w:r>
      <w:r w:rsidR="00B068D0">
        <w:t xml:space="preserve"> skrze </w:t>
      </w:r>
      <w:r w:rsidR="00D84BD7">
        <w:t>l</w:t>
      </w:r>
      <w:r w:rsidR="00B068D0">
        <w:t>ogickou</w:t>
      </w:r>
      <w:r w:rsidR="00D84BD7">
        <w:t xml:space="preserve"> supo</w:t>
      </w:r>
      <w:r w:rsidR="00B068D0">
        <w:t xml:space="preserve">zici </w:t>
      </w:r>
      <w:r w:rsidR="00B068D0" w:rsidRPr="00751206">
        <w:rPr>
          <w:i/>
        </w:rPr>
        <w:t>tertium ens</w:t>
      </w:r>
      <w:r w:rsidR="00AD44A3">
        <w:t xml:space="preserve">, jehož význam </w:t>
      </w:r>
      <w:r w:rsidR="00B068D0">
        <w:t xml:space="preserve">vytváří </w:t>
      </w:r>
      <w:r w:rsidR="00AD44A3">
        <w:t xml:space="preserve">pouze </w:t>
      </w:r>
      <w:r w:rsidR="00B068D0">
        <w:t>subjekt</w:t>
      </w:r>
      <w:r w:rsidR="007F1048">
        <w:t xml:space="preserve"> (</w:t>
      </w:r>
      <w:r w:rsidR="007F1048" w:rsidRPr="007F1048">
        <w:rPr>
          <w:i/>
          <w:szCs w:val="24"/>
        </w:rPr>
        <w:t>Ge-Stell</w:t>
      </w:r>
      <w:r w:rsidR="007F1048">
        <w:rPr>
          <w:i/>
          <w:szCs w:val="24"/>
        </w:rPr>
        <w:fldChar w:fldCharType="begin"/>
      </w:r>
      <w:r w:rsidR="007F1048">
        <w:instrText xml:space="preserve"> XE "</w:instrText>
      </w:r>
      <w:r w:rsidR="007F1048" w:rsidRPr="00911A8E">
        <w:rPr>
          <w:i/>
          <w:szCs w:val="24"/>
        </w:rPr>
        <w:instrText>Ge-Stell</w:instrText>
      </w:r>
      <w:r w:rsidR="007F1048">
        <w:instrText xml:space="preserve">" </w:instrText>
      </w:r>
      <w:r w:rsidR="007F1048">
        <w:rPr>
          <w:i/>
          <w:szCs w:val="24"/>
        </w:rPr>
        <w:fldChar w:fldCharType="end"/>
      </w:r>
      <w:r w:rsidR="007F1048">
        <w:t>)</w:t>
      </w:r>
      <w:r w:rsidR="00D84BD7">
        <w:t xml:space="preserve">. </w:t>
      </w:r>
      <w:r>
        <w:t>Zatmění první substance</w:t>
      </w:r>
      <w:r>
        <w:fldChar w:fldCharType="begin"/>
      </w:r>
      <w:r>
        <w:instrText xml:space="preserve"> XE "zatmění:</w:instrText>
      </w:r>
      <w:r w:rsidRPr="00DE2A32">
        <w:instrText>substance</w:instrText>
      </w:r>
      <w:r>
        <w:instrText xml:space="preserve">" </w:instrText>
      </w:r>
      <w:r>
        <w:fldChar w:fldCharType="end"/>
      </w:r>
      <w:r>
        <w:t xml:space="preserve"> se děje tím, že ve věku postmoderní </w:t>
      </w:r>
      <w:r w:rsidRPr="00136B23">
        <w:rPr>
          <w:i/>
        </w:rPr>
        <w:t>epistémé</w:t>
      </w:r>
      <w:r>
        <w:rPr>
          <w:i/>
        </w:rPr>
        <w:fldChar w:fldCharType="begin"/>
      </w:r>
      <w:r>
        <w:instrText xml:space="preserve"> XE "</w:instrText>
      </w:r>
      <w:r w:rsidRPr="005B05F0">
        <w:rPr>
          <w:i/>
        </w:rPr>
        <w:instrText>epistémé</w:instrText>
      </w:r>
      <w:r>
        <w:instrText xml:space="preserve">" </w:instrText>
      </w:r>
      <w:r>
        <w:rPr>
          <w:i/>
        </w:rPr>
        <w:fldChar w:fldCharType="end"/>
      </w:r>
      <w:r>
        <w:t xml:space="preserve"> řadící slova před věci už není jasné, jaká realita se vlastně zpřítomňuje. </w:t>
      </w:r>
      <w:r w:rsidR="00126DEF">
        <w:rPr>
          <w:rStyle w:val="ezkurwreuab5ozgtqnkl"/>
        </w:rPr>
        <w:t>Modernisté</w:t>
      </w:r>
      <w:r w:rsidR="00126DEF">
        <w:t xml:space="preserve"> </w:t>
      </w:r>
      <w:r w:rsidR="00126DEF">
        <w:rPr>
          <w:rStyle w:val="ezkurwreuab5ozgtqnkl"/>
        </w:rPr>
        <w:t>v Oxfordu</w:t>
      </w:r>
      <w:r w:rsidR="00126DEF">
        <w:t xml:space="preserve"> </w:t>
      </w:r>
      <w:r w:rsidR="00126DEF">
        <w:rPr>
          <w:rStyle w:val="ezkurwreuab5ozgtqnkl"/>
        </w:rPr>
        <w:t>věřili</w:t>
      </w:r>
      <w:r w:rsidR="00126DEF">
        <w:t xml:space="preserve"> </w:t>
      </w:r>
      <w:r w:rsidR="00126DEF">
        <w:rPr>
          <w:rStyle w:val="ezkurwreuab5ozgtqnkl"/>
        </w:rPr>
        <w:t>v zázraky</w:t>
      </w:r>
      <w:r w:rsidR="00126DEF">
        <w:t xml:space="preserve"> </w:t>
      </w:r>
      <w:r w:rsidR="00126DEF">
        <w:rPr>
          <w:rStyle w:val="ezkurwreuab5ozgtqnkl"/>
        </w:rPr>
        <w:t>a očekávali logicky nezbytný příchod Antikrista</w:t>
      </w:r>
      <w:r w:rsidR="00126DEF">
        <w:fldChar w:fldCharType="begin"/>
      </w:r>
      <w:r w:rsidR="00126DEF">
        <w:instrText xml:space="preserve"> XE "</w:instrText>
      </w:r>
      <w:r w:rsidR="00126DEF" w:rsidRPr="0096335E">
        <w:instrText>Antikrist</w:instrText>
      </w:r>
      <w:r w:rsidR="00126DEF">
        <w:instrText xml:space="preserve">" </w:instrText>
      </w:r>
      <w:r w:rsidR="00126DEF">
        <w:fldChar w:fldCharType="end"/>
      </w:r>
      <w:r w:rsidR="00126DEF">
        <w:rPr>
          <w:rStyle w:val="ezkurwreuab5ozgtqnkl"/>
        </w:rPr>
        <w:t>.</w:t>
      </w:r>
      <w:r w:rsidR="00126DEF">
        <w:t xml:space="preserve"> </w:t>
      </w:r>
      <w:r w:rsidR="00126DEF">
        <w:rPr>
          <w:rStyle w:val="ezkurwreuab5ozgtqnkl"/>
        </w:rPr>
        <w:t>Realitu</w:t>
      </w:r>
      <w:r w:rsidR="00126DEF">
        <w:t xml:space="preserve"> </w:t>
      </w:r>
      <w:r w:rsidR="00126DEF">
        <w:rPr>
          <w:rStyle w:val="ezkurwreuab5ozgtqnkl"/>
        </w:rPr>
        <w:t xml:space="preserve">jim přinášel </w:t>
      </w:r>
      <w:r w:rsidR="00126DEF">
        <w:t>Eliášův krkavec</w:t>
      </w:r>
      <w:r w:rsidR="00126DEF">
        <w:fldChar w:fldCharType="begin"/>
      </w:r>
      <w:r w:rsidR="00126DEF">
        <w:instrText xml:space="preserve"> XE "</w:instrText>
      </w:r>
      <w:r w:rsidR="00126DEF" w:rsidRPr="089C2A99">
        <w:instrText>Eliášův krkavec</w:instrText>
      </w:r>
      <w:r w:rsidR="00126DEF">
        <w:instrText xml:space="preserve">" </w:instrText>
      </w:r>
      <w:r w:rsidR="00126DEF">
        <w:fldChar w:fldCharType="end"/>
      </w:r>
      <w:r w:rsidR="00126DEF">
        <w:rPr>
          <w:rStyle w:val="ezkurwreuab5ozgtqnkl"/>
        </w:rPr>
        <w:t>, kterého poslal</w:t>
      </w:r>
      <w:r w:rsidR="00126DEF">
        <w:t xml:space="preserve"> </w:t>
      </w:r>
      <w:r w:rsidR="00126DEF">
        <w:rPr>
          <w:rStyle w:val="ezkurwreuab5ozgtqnkl"/>
        </w:rPr>
        <w:t>moderní</w:t>
      </w:r>
      <w:r w:rsidR="00126DEF">
        <w:t xml:space="preserve"> </w:t>
      </w:r>
      <w:r w:rsidR="00126DEF">
        <w:rPr>
          <w:rStyle w:val="ezkurwreuab5ozgtqnkl"/>
        </w:rPr>
        <w:t>bůh, aby pravidelně</w:t>
      </w:r>
      <w:r w:rsidR="00126DEF">
        <w:t xml:space="preserve"> </w:t>
      </w:r>
      <w:r w:rsidR="00126DEF">
        <w:rPr>
          <w:rStyle w:val="ezkurwreuab5ozgtqnkl"/>
        </w:rPr>
        <w:t>navštěvoval</w:t>
      </w:r>
      <w:r w:rsidR="00126DEF">
        <w:t xml:space="preserve"> </w:t>
      </w:r>
      <w:r w:rsidR="00126DEF">
        <w:rPr>
          <w:rStyle w:val="ezkurwreuab5ozgtqnkl"/>
        </w:rPr>
        <w:t>neoplatonistickou jeskyni</w:t>
      </w:r>
      <w:r w:rsidR="00126DEF">
        <w:t xml:space="preserve"> </w:t>
      </w:r>
      <w:r w:rsidR="00126DEF">
        <w:rPr>
          <w:rStyle w:val="ezkurwreuab5ozgtqnkl"/>
        </w:rPr>
        <w:t>obývanou</w:t>
      </w:r>
      <w:r w:rsidR="00126DEF">
        <w:t xml:space="preserve"> </w:t>
      </w:r>
      <w:r w:rsidR="00126DEF">
        <w:rPr>
          <w:rStyle w:val="ezkurwreuab5ozgtqnkl"/>
        </w:rPr>
        <w:t>moderními</w:t>
      </w:r>
      <w:r w:rsidR="00126DEF">
        <w:t xml:space="preserve"> </w:t>
      </w:r>
      <w:r w:rsidR="00126DEF">
        <w:rPr>
          <w:rStyle w:val="ezkurwreuab5ozgtqnkl"/>
        </w:rPr>
        <w:t>ilumináty</w:t>
      </w:r>
      <w:r w:rsidR="00126DEF">
        <w:t xml:space="preserve"> </w:t>
      </w:r>
      <w:r w:rsidR="00126DEF">
        <w:rPr>
          <w:rStyle w:val="ezkurwreuab5ozgtqnkl"/>
        </w:rPr>
        <w:t>(OBJ</w:t>
      </w:r>
      <w:r w:rsidR="00126DEF">
        <w:t xml:space="preserve"> </w:t>
      </w:r>
      <w:r w:rsidR="00126DEF">
        <w:rPr>
          <w:rStyle w:val="ezkurwreuab5ozgtqnkl"/>
        </w:rPr>
        <w:t>II, kap</w:t>
      </w:r>
      <w:r w:rsidR="00126DEF">
        <w:t xml:space="preserve">. </w:t>
      </w:r>
      <w:r w:rsidR="00126DEF">
        <w:rPr>
          <w:rStyle w:val="ezkurwreuab5ozgtqnkl"/>
        </w:rPr>
        <w:t>3.4.3).</w:t>
      </w:r>
      <w:r w:rsidR="00126DEF">
        <w:t xml:space="preserve"> </w:t>
      </w:r>
      <w:r>
        <w:t xml:space="preserve">Jenže </w:t>
      </w:r>
      <w:r w:rsidR="00126DEF">
        <w:t xml:space="preserve">ve věku metafyzického nihilismu už </w:t>
      </w:r>
      <w:r>
        <w:t xml:space="preserve">mystický krkavec objektivně neexistuje. </w:t>
      </w:r>
      <w:r w:rsidR="00F752B7">
        <w:t>Navíc u</w:t>
      </w:r>
      <w:r>
        <w:t xml:space="preserve">mřel </w:t>
      </w:r>
      <w:r w:rsidR="00F752B7">
        <w:t xml:space="preserve">i </w:t>
      </w:r>
      <w:r>
        <w:t xml:space="preserve">bůh </w:t>
      </w:r>
      <w:r w:rsidRPr="009453D5">
        <w:rPr>
          <w:i/>
        </w:rPr>
        <w:t>Modernorum</w:t>
      </w:r>
      <w:r>
        <w:t xml:space="preserve">, </w:t>
      </w:r>
      <w:r w:rsidR="00F752B7">
        <w:t>jehož činnost byla nezbytná pro fungování nadpřirozeného patra</w:t>
      </w:r>
      <w:r>
        <w:t xml:space="preserve"> reality (</w:t>
      </w:r>
      <w:r w:rsidRPr="009453D5">
        <w:rPr>
          <w:i/>
        </w:rPr>
        <w:t>regula agentis increati</w:t>
      </w:r>
      <w:r>
        <w:rPr>
          <w:i/>
        </w:rPr>
        <w:fldChar w:fldCharType="begin"/>
      </w:r>
      <w:r>
        <w:instrText xml:space="preserve"> XE "regule</w:instrText>
      </w:r>
      <w:r w:rsidRPr="00AD14F6">
        <w:rPr>
          <w:i/>
        </w:rPr>
        <w:instrText>:agentis in/creati</w:instrText>
      </w:r>
      <w:r>
        <w:instrText xml:space="preserve">" </w:instrText>
      </w:r>
      <w:r>
        <w:rPr>
          <w:i/>
        </w:rPr>
        <w:fldChar w:fldCharType="end"/>
      </w:r>
      <w:r>
        <w:t xml:space="preserve">). Ve věku metafyzického nihilismu je garantem smyslu jsoucna pouze a jedině postmoderně osvícený intelekt. To dobře věděli první nihilističtí ilumináti z analytické školy </w:t>
      </w:r>
      <w:r w:rsidRPr="00EC08F7">
        <w:rPr>
          <w:i/>
        </w:rPr>
        <w:t>Erfurtského anonyma</w:t>
      </w:r>
      <w:r>
        <w:t xml:space="preserve"> (</w:t>
      </w:r>
      <w:r w:rsidRPr="00273106">
        <w:rPr>
          <w:i/>
        </w:rPr>
        <w:t>non supponit quaestionem si est res, sed si est intellectus</w:t>
      </w:r>
      <w:r w:rsidR="08083A4B" w:rsidRPr="08083A4B">
        <w:t>; OBJ II, kap. 3</w:t>
      </w:r>
      <w:r w:rsidR="00074A9E">
        <w:t xml:space="preserve">.4.3). Pak </w:t>
      </w:r>
      <w:r>
        <w:t xml:space="preserve">demiurg </w:t>
      </w:r>
      <w:r w:rsidR="00074A9E">
        <w:t xml:space="preserve">produkuje absolutní pravdu jako </w:t>
      </w:r>
      <w:r w:rsidRPr="000377F5">
        <w:rPr>
          <w:i/>
        </w:rPr>
        <w:t>rectitudo</w:t>
      </w:r>
      <w:r w:rsidR="00074A9E">
        <w:t xml:space="preserve">. </w:t>
      </w:r>
      <w:r>
        <w:t xml:space="preserve">Tyto výplody </w:t>
      </w:r>
      <w:r w:rsidR="00074A9E">
        <w:t xml:space="preserve">moderního ducha </w:t>
      </w:r>
      <w:r>
        <w:t>jsou po zatmění první substance</w:t>
      </w:r>
      <w:r>
        <w:fldChar w:fldCharType="begin"/>
      </w:r>
      <w:r>
        <w:instrText xml:space="preserve"> XE "</w:instrText>
      </w:r>
      <w:r w:rsidRPr="00C27681">
        <w:instrText>zatmění</w:instrText>
      </w:r>
      <w:r>
        <w:instrText>:</w:instrText>
      </w:r>
      <w:r w:rsidRPr="00C27681">
        <w:instrText>substance</w:instrText>
      </w:r>
      <w:r>
        <w:instrText xml:space="preserve">" </w:instrText>
      </w:r>
      <w:r>
        <w:fldChar w:fldCharType="end"/>
      </w:r>
      <w:r>
        <w:t xml:space="preserve"> dány </w:t>
      </w:r>
      <w:r w:rsidR="005150AC">
        <w:t>v modu „</w:t>
      </w:r>
      <w:r w:rsidRPr="000004BB">
        <w:rPr>
          <w:i/>
        </w:rPr>
        <w:t>absolute</w:t>
      </w:r>
      <w:r w:rsidR="005150AC">
        <w:t>“</w:t>
      </w:r>
      <w:r>
        <w:t>, čili odděleně od reality. To není Akvinského pozice</w:t>
      </w:r>
      <w:r w:rsidR="00431B8F">
        <w:t xml:space="preserve">. Ten </w:t>
      </w:r>
      <w:r>
        <w:t xml:space="preserve">v citované kvestii </w:t>
      </w:r>
      <w:r w:rsidRPr="00273106">
        <w:t>d</w:t>
      </w:r>
      <w:r>
        <w:t>al</w:t>
      </w:r>
      <w:r w:rsidRPr="00273106">
        <w:t xml:space="preserve"> všechny podmínky pro to, aby poznání bylo skutečnou adekvací intelektu a </w:t>
      </w:r>
      <w:r>
        <w:t xml:space="preserve">reálné </w:t>
      </w:r>
      <w:r w:rsidRPr="00273106">
        <w:t xml:space="preserve">věci. Text osmé kvestie </w:t>
      </w:r>
      <w:r w:rsidR="005D1D6E">
        <w:t>vytvořil tomistickou form</w:t>
      </w:r>
      <w:r>
        <w:t xml:space="preserve">u </w:t>
      </w:r>
      <w:r w:rsidR="081942A4">
        <w:t xml:space="preserve">metafyzického </w:t>
      </w:r>
      <w:r>
        <w:t>dativu</w:t>
      </w:r>
      <w:r w:rsidRPr="00273106">
        <w:t>.</w:t>
      </w:r>
    </w:p>
    <w:p w:rsidR="08163013" w:rsidRPr="00453751" w:rsidRDefault="08163013" w:rsidP="08163013">
      <w:pPr>
        <w:pStyle w:val="Citace"/>
        <w:rPr>
          <w:noProof/>
          <w:lang w:val="cs-CZ"/>
        </w:rPr>
      </w:pPr>
      <w:r w:rsidRPr="00273106">
        <w:rPr>
          <w:noProof/>
          <w:lang w:val="cs-CZ"/>
        </w:rPr>
        <w:t>„</w:t>
      </w:r>
      <w:r>
        <w:rPr>
          <w:noProof/>
          <w:lang w:val="cs-CZ"/>
        </w:rPr>
        <w:t>Poznání se děje proto, že účinek napodobuje kauzu podle vlastní formy (</w:t>
      </w:r>
      <w:r w:rsidRPr="08D72E0B">
        <w:rPr>
          <w:i/>
          <w:noProof/>
        </w:rPr>
        <w:t>effectus similatur causae secundum suam formam</w:t>
      </w:r>
      <w:r>
        <w:rPr>
          <w:noProof/>
          <w:lang w:val="cs-CZ"/>
        </w:rPr>
        <w:t xml:space="preserve">). Forma intelektu je poznaná věc. Proto je slovo vytvořené v intelektu podobností poznané věci, ať už je identická s intelektem, nebo existuje mimo něj.“ </w:t>
      </w:r>
      <w:r>
        <w:rPr>
          <w:rStyle w:val="Znakapoznpodarou"/>
        </w:rPr>
        <w:footnoteReference w:id="319"/>
      </w:r>
    </w:p>
    <w:p w:rsidR="00A52C91" w:rsidRDefault="08163013" w:rsidP="08163013">
      <w:r w:rsidRPr="00273106">
        <w:t xml:space="preserve">Z věci se </w:t>
      </w:r>
      <w:r>
        <w:t xml:space="preserve">kauzálně </w:t>
      </w:r>
      <w:r w:rsidRPr="00273106">
        <w:t>přenáší do intelektu pouhá forma</w:t>
      </w:r>
      <w:r w:rsidR="00D31F63">
        <w:t xml:space="preserve">. Ta </w:t>
      </w:r>
      <w:r w:rsidRPr="00273106">
        <w:t>tvoř</w:t>
      </w:r>
      <w:r>
        <w:t>í díky uvedené podobnosti výsledný účinek</w:t>
      </w:r>
      <w:r w:rsidRPr="00273106">
        <w:t xml:space="preserve"> poznání (</w:t>
      </w:r>
      <w:r w:rsidRPr="00273106">
        <w:rPr>
          <w:i/>
        </w:rPr>
        <w:t>effectus similatur causae secundum suam formam</w:t>
      </w:r>
      <w:r w:rsidRPr="00273106">
        <w:t xml:space="preserve">). Poznání </w:t>
      </w:r>
      <w:r w:rsidR="00A7601B">
        <w:t>následuje formální kauzalitu</w:t>
      </w:r>
      <w:r w:rsidRPr="00273106">
        <w:t>, s</w:t>
      </w:r>
      <w:r>
        <w:t>krze</w:t>
      </w:r>
      <w:r w:rsidRPr="00273106">
        <w:t xml:space="preserve"> </w:t>
      </w:r>
      <w:r w:rsidR="00E65992" w:rsidRPr="00273106">
        <w:t>niž</w:t>
      </w:r>
      <w:r w:rsidRPr="00273106">
        <w:t xml:space="preserve"> </w:t>
      </w:r>
      <w:r>
        <w:t xml:space="preserve">reálná </w:t>
      </w:r>
      <w:r w:rsidRPr="00273106">
        <w:t>věc působí na náš intelekt</w:t>
      </w:r>
      <w:r>
        <w:t xml:space="preserve"> a to skrze aktuální </w:t>
      </w:r>
      <w:r>
        <w:lastRenderedPageBreak/>
        <w:t xml:space="preserve">smyslová </w:t>
      </w:r>
      <w:r w:rsidR="00962190" w:rsidRPr="00A7601B">
        <w:t>species</w:t>
      </w:r>
      <w:r w:rsidRPr="00273106">
        <w:t xml:space="preserve">. </w:t>
      </w:r>
      <w:r>
        <w:t>V</w:t>
      </w:r>
      <w:r w:rsidRPr="00273106">
        <w:t xml:space="preserve">ýkon </w:t>
      </w:r>
      <w:r>
        <w:t xml:space="preserve">nemateriálně a univerzálně </w:t>
      </w:r>
      <w:r w:rsidR="000B5473">
        <w:t xml:space="preserve">daného </w:t>
      </w:r>
      <w:r w:rsidR="000B5473" w:rsidRPr="00273106">
        <w:t xml:space="preserve">intelektu </w:t>
      </w:r>
      <w:r w:rsidR="000B5473">
        <w:t xml:space="preserve">reprodukuje </w:t>
      </w:r>
      <w:r w:rsidRPr="00273106">
        <w:t>formu poznávané věci (</w:t>
      </w:r>
      <w:r w:rsidRPr="00273106">
        <w:rPr>
          <w:i/>
        </w:rPr>
        <w:t>forma autem intellectus est res intellecta</w:t>
      </w:r>
      <w:r w:rsidRPr="00273106">
        <w:t xml:space="preserve">). Samotná věc existuje v realitě </w:t>
      </w:r>
      <w:r w:rsidRPr="00273106">
        <w:rPr>
          <w:i/>
        </w:rPr>
        <w:t>simpliciter</w:t>
      </w:r>
      <w:r w:rsidRPr="00273106">
        <w:t xml:space="preserve"> a </w:t>
      </w:r>
      <w:r w:rsidRPr="00273106">
        <w:rPr>
          <w:i/>
        </w:rPr>
        <w:t>sing</w:t>
      </w:r>
      <w:r>
        <w:rPr>
          <w:i/>
        </w:rPr>
        <w:t>ular</w:t>
      </w:r>
      <w:r w:rsidRPr="00273106">
        <w:rPr>
          <w:i/>
        </w:rPr>
        <w:t>iter</w:t>
      </w:r>
      <w:r w:rsidR="00E65992">
        <w:t>. Vzatá sama o sobě, věc netvoří součást lidského poznání</w:t>
      </w:r>
      <w:r>
        <w:t xml:space="preserve">. </w:t>
      </w:r>
      <w:r w:rsidR="00E65992">
        <w:t xml:space="preserve">To </w:t>
      </w:r>
      <w:r w:rsidRPr="00273106">
        <w:t xml:space="preserve">je </w:t>
      </w:r>
      <w:r>
        <w:t xml:space="preserve">dáno </w:t>
      </w:r>
      <w:r w:rsidRPr="00273106">
        <w:t xml:space="preserve">vůči </w:t>
      </w:r>
      <w:r>
        <w:t xml:space="preserve">externí </w:t>
      </w:r>
      <w:r w:rsidRPr="00273106">
        <w:t xml:space="preserve">subsistenci </w:t>
      </w:r>
      <w:r>
        <w:t xml:space="preserve">věci jako </w:t>
      </w:r>
      <w:r w:rsidRPr="00273106">
        <w:t>pouhý akcident</w:t>
      </w:r>
      <w:r>
        <w:t>, protože na intelekt nepůsobí reálná první substance</w:t>
      </w:r>
      <w:r>
        <w:fldChar w:fldCharType="begin"/>
      </w:r>
      <w:r>
        <w:instrText xml:space="preserve"> XE "</w:instrText>
      </w:r>
      <w:r w:rsidRPr="00DE2A32">
        <w:instrText>substance</w:instrText>
      </w:r>
      <w:r>
        <w:instrText xml:space="preserve">:první" </w:instrText>
      </w:r>
      <w:r>
        <w:fldChar w:fldCharType="end"/>
      </w:r>
      <w:r>
        <w:t xml:space="preserve"> kauzálně přímo, ale pouze skrze abstrahované smyslové a intelektuální formy. </w:t>
      </w:r>
      <w:r w:rsidRPr="00273106">
        <w:t xml:space="preserve">Teprve po </w:t>
      </w:r>
      <w:r>
        <w:t xml:space="preserve">celkové analýze podobností a nepodobnosti intelektu a věci </w:t>
      </w:r>
      <w:r w:rsidRPr="00273106">
        <w:t>lze říci, že rozumné slo</w:t>
      </w:r>
      <w:r>
        <w:t xml:space="preserve">vo je adekvací </w:t>
      </w:r>
      <w:r w:rsidRPr="00273106">
        <w:t>vzhledem k poznané věci (</w:t>
      </w:r>
      <w:r w:rsidRPr="00273106">
        <w:rPr>
          <w:i/>
        </w:rPr>
        <w:t>similitudo rei intellectae</w:t>
      </w:r>
      <w:r w:rsidRPr="00273106">
        <w:t xml:space="preserve">). </w:t>
      </w:r>
      <w:r>
        <w:t xml:space="preserve">Intelekt kauzálně-adekvátně poznává formu věci. </w:t>
      </w:r>
      <w:r w:rsidRPr="00273106">
        <w:t xml:space="preserve">Díky všem výše uvedeným </w:t>
      </w:r>
      <w:r>
        <w:t>diferencím j</w:t>
      </w:r>
      <w:r w:rsidRPr="00273106">
        <w:t>e jasné, že n</w:t>
      </w:r>
      <w:r>
        <w:t>emůže existovat objektivní totožnost věci</w:t>
      </w:r>
      <w:r w:rsidRPr="00273106">
        <w:t xml:space="preserve"> a </w:t>
      </w:r>
      <w:r>
        <w:t>poznání jako to má moderna, karteziánská či husserlovská postmoderna</w:t>
      </w:r>
      <w:r w:rsidRPr="00273106">
        <w:t xml:space="preserve">. Existuje zásadní </w:t>
      </w:r>
      <w:r>
        <w:t xml:space="preserve">rozdíl mezi </w:t>
      </w:r>
      <w:r w:rsidRPr="00273106">
        <w:t>singulární</w:t>
      </w:r>
      <w:r>
        <w:t>m</w:t>
      </w:r>
      <w:r w:rsidRPr="00273106">
        <w:t xml:space="preserve"> bytí</w:t>
      </w:r>
      <w:r>
        <w:t>m</w:t>
      </w:r>
      <w:r w:rsidRPr="00273106">
        <w:t xml:space="preserve"> věci v realitě a jejího univerzálního bytí v intelektu</w:t>
      </w:r>
      <w:r>
        <w:t xml:space="preserve">. Podobnost věci a intelektu </w:t>
      </w:r>
      <w:r w:rsidRPr="00273106">
        <w:t>zprostředk</w:t>
      </w:r>
      <w:r>
        <w:t>ovává oddělený</w:t>
      </w:r>
      <w:r w:rsidRPr="00273106">
        <w:t xml:space="preserve"> výkon intelektu </w:t>
      </w:r>
      <w:r>
        <w:fldChar w:fldCharType="begin"/>
      </w:r>
      <w:r>
        <w:instrText xml:space="preserve"> XE "</w:instrText>
      </w:r>
      <w:r w:rsidRPr="003C61C9">
        <w:instrText>intelekt:</w:instrText>
      </w:r>
      <w:r w:rsidRPr="00C30F45">
        <w:rPr>
          <w:i/>
        </w:rPr>
        <w:instrText>inmixtus</w:instrText>
      </w:r>
      <w:r>
        <w:instrText xml:space="preserve">" </w:instrText>
      </w:r>
      <w:r>
        <w:fldChar w:fldCharType="end"/>
      </w:r>
      <w:r w:rsidRPr="00273106">
        <w:t xml:space="preserve">daný produkcí </w:t>
      </w:r>
      <w:r w:rsidR="00962190">
        <w:rPr>
          <w:i/>
        </w:rPr>
        <w:t>species</w:t>
      </w:r>
      <w:r w:rsidRPr="00273106">
        <w:rPr>
          <w:i/>
        </w:rPr>
        <w:t xml:space="preserve"> intelligibilis</w:t>
      </w:r>
      <w:r>
        <w:t xml:space="preserve"> a univerzálních konceptů.</w:t>
      </w:r>
      <w:r w:rsidRPr="00273106">
        <w:t xml:space="preserve"> Text uzavírá definici pravdy jako </w:t>
      </w:r>
      <w:r w:rsidRPr="00273106">
        <w:rPr>
          <w:i/>
        </w:rPr>
        <w:t>similitudo</w:t>
      </w:r>
      <w:r>
        <w:rPr>
          <w:i/>
        </w:rPr>
        <w:fldChar w:fldCharType="begin"/>
      </w:r>
      <w:r>
        <w:instrText xml:space="preserve"> XE "</w:instrText>
      </w:r>
      <w:r w:rsidRPr="00C30F45">
        <w:instrText>pravda</w:instrText>
      </w:r>
      <w:r w:rsidRPr="00D7549C">
        <w:rPr>
          <w:i/>
        </w:rPr>
        <w:instrText>:similitudo</w:instrText>
      </w:r>
      <w:r>
        <w:instrText xml:space="preserve">" </w:instrText>
      </w:r>
      <w:r>
        <w:rPr>
          <w:i/>
        </w:rPr>
        <w:fldChar w:fldCharType="end"/>
      </w:r>
      <w:r w:rsidRPr="00273106">
        <w:t xml:space="preserve"> s tím, že kauzalita mezi věcí a intelektem má pouze formální charakter</w:t>
      </w:r>
      <w:r w:rsidR="00A52C91">
        <w:t>.</w:t>
      </w:r>
    </w:p>
    <w:p w:rsidR="08163013" w:rsidRDefault="08163013" w:rsidP="007111E8">
      <w:pPr>
        <w:ind w:firstLine="397"/>
      </w:pPr>
      <w:r>
        <w:t xml:space="preserve">Předložené pojetí v </w:t>
      </w:r>
      <w:proofErr w:type="gramStart"/>
      <w:r w:rsidRPr="0051107B">
        <w:rPr>
          <w:i/>
        </w:rPr>
        <w:t>De</w:t>
      </w:r>
      <w:proofErr w:type="gramEnd"/>
      <w:r w:rsidRPr="0051107B">
        <w:rPr>
          <w:i/>
        </w:rPr>
        <w:t xml:space="preserve"> potentia</w:t>
      </w:r>
      <w:r>
        <w:t xml:space="preserve">, q. 8 odpovídá schématu poznání podle prvního averorismu a obhájilo pojetí pravdy </w:t>
      </w:r>
      <w:r w:rsidR="00BE68AB">
        <w:t xml:space="preserve">v kauzálním modu </w:t>
      </w:r>
      <w:r>
        <w:t xml:space="preserve">jako aristotelské adekvace externí věci a intelektu. Akvinský změnil aristotelský scénář tak, že se vyhnul schématu poznání podle CMDA, které nahradil univoční formální kauzalitou dvojího druhu </w:t>
      </w:r>
      <w:r w:rsidR="00962190">
        <w:rPr>
          <w:i/>
        </w:rPr>
        <w:t>species</w:t>
      </w:r>
      <w:r>
        <w:t xml:space="preserve">. Tomistický výklad neuznal výklad Averrosesův výklad </w:t>
      </w:r>
      <w:r w:rsidRPr="08806440">
        <w:rPr>
          <w:i/>
        </w:rPr>
        <w:t>intellectus possibilis</w:t>
      </w:r>
      <w:r>
        <w:t xml:space="preserve"> za autentickou exegezi </w:t>
      </w:r>
      <w:r w:rsidRPr="08806440">
        <w:rPr>
          <w:i/>
        </w:rPr>
        <w:t>De anima</w:t>
      </w:r>
      <w:r>
        <w:t xml:space="preserve">. Tomáš od dob pařížských studií klasifikoval Averroese jako averroistu. Ale po vydání </w:t>
      </w:r>
      <w:r w:rsidRPr="08806440">
        <w:rPr>
          <w:i/>
        </w:rPr>
        <w:t>Summa contra Gentiles</w:t>
      </w:r>
      <w:r>
        <w:t xml:space="preserve"> i tento avicennovský následovník Aristotela pochopil, že musí vzít syntézu poznání </w:t>
      </w:r>
      <w:r w:rsidR="00DA3F8F">
        <w:t xml:space="preserve">v rámci reálné osoby, </w:t>
      </w:r>
      <w:r>
        <w:t xml:space="preserve">stejně jako Averroes a Albert. </w:t>
      </w:r>
      <w:r w:rsidR="0006145E">
        <w:t xml:space="preserve">Modernisté </w:t>
      </w:r>
      <w:r>
        <w:t>skončil</w:t>
      </w:r>
      <w:r w:rsidR="0006145E">
        <w:t>i</w:t>
      </w:r>
      <w:r>
        <w:t xml:space="preserve"> v dualismu </w:t>
      </w:r>
      <w:r w:rsidR="0006145E">
        <w:t xml:space="preserve">a </w:t>
      </w:r>
      <w:r>
        <w:t xml:space="preserve">tito </w:t>
      </w:r>
      <w:r w:rsidR="0006145E">
        <w:t>„</w:t>
      </w:r>
      <w:r w:rsidRPr="082725E4">
        <w:rPr>
          <w:i/>
        </w:rPr>
        <w:t>sequaces Aristotelis</w:t>
      </w:r>
      <w:r w:rsidR="0006145E">
        <w:rPr>
          <w:i/>
        </w:rPr>
        <w:t>“</w:t>
      </w:r>
      <w:r>
        <w:t xml:space="preserve"> pilně připravovali smrt moderního boha v objektivně podané teologii</w:t>
      </w:r>
      <w:r w:rsidR="0006145E">
        <w:t xml:space="preserve">. Zavedli </w:t>
      </w:r>
      <w:r>
        <w:t xml:space="preserve">do trinitárního dogmatu sofistikovanou verzi sabelianismu a arianismu. Proto se římský traktát </w:t>
      </w:r>
      <w:r w:rsidRPr="082A3177">
        <w:rPr>
          <w:i/>
        </w:rPr>
        <w:t>De potentia</w:t>
      </w:r>
      <w:r>
        <w:t xml:space="preserve"> vrátil zpět k intencionalitě Blundovy školy a novým způsobem oprášil koncept </w:t>
      </w:r>
      <w:r w:rsidRPr="08B6652F">
        <w:rPr>
          <w:i/>
        </w:rPr>
        <w:t>intellectus formalis</w:t>
      </w:r>
      <w:r>
        <w:rPr>
          <w:i/>
        </w:rPr>
        <w:fldChar w:fldCharType="begin"/>
      </w:r>
      <w:r>
        <w:instrText xml:space="preserve"> XE "</w:instrText>
      </w:r>
      <w:r w:rsidRPr="000238B8">
        <w:rPr>
          <w:i/>
        </w:rPr>
        <w:instrText>intellectus formalis:</w:instrText>
      </w:r>
      <w:r>
        <w:instrText xml:space="preserve">Akvinský" </w:instrText>
      </w:r>
      <w:r>
        <w:rPr>
          <w:i/>
        </w:rPr>
        <w:fldChar w:fldCharType="end"/>
      </w:r>
      <w:r>
        <w:t xml:space="preserve">. Jenže tuto tomistickou inovaci danou podle zmodernizovaného avicennistického Aristotela už </w:t>
      </w:r>
      <w:r w:rsidR="00E82180">
        <w:t>nepotřebovali</w:t>
      </w:r>
      <w:r w:rsidR="00B30EDC">
        <w:t xml:space="preserve"> </w:t>
      </w:r>
      <w:r>
        <w:t>zna</w:t>
      </w:r>
      <w:r w:rsidR="00E82180">
        <w:t>lci Averroese na Rue du Fouarre</w:t>
      </w:r>
      <w:r w:rsidR="080035FB">
        <w:t xml:space="preserve">. </w:t>
      </w:r>
      <w:r w:rsidR="00E82180">
        <w:t>Taková f</w:t>
      </w:r>
      <w:r w:rsidR="080035FB">
        <w:t>ormální definice</w:t>
      </w:r>
      <w:r>
        <w:t xml:space="preserve"> jednoty osoby a intelektu</w:t>
      </w:r>
      <w:r w:rsidR="080035FB">
        <w:t xml:space="preserve"> mohla obstát v Blundově škole okolo roku 1200</w:t>
      </w:r>
      <w:r>
        <w:t xml:space="preserve">. Akvinský úspěšně obhájil formální schéma poznání nasvícením </w:t>
      </w:r>
      <w:r w:rsidR="002C0D7E">
        <w:t xml:space="preserve">zepředu </w:t>
      </w:r>
      <w:r>
        <w:t xml:space="preserve">v modu prvního averroismu, ale nikoliv existenciální jednotu osoby, kterou hájila Sigerova škola. Římské disputace </w:t>
      </w:r>
      <w:r w:rsidRPr="00273106">
        <w:t>završil</w:t>
      </w:r>
      <w:r>
        <w:t>y</w:t>
      </w:r>
      <w:r w:rsidRPr="00273106">
        <w:t xml:space="preserve"> obranu </w:t>
      </w:r>
      <w:r w:rsidRPr="00273106">
        <w:lastRenderedPageBreak/>
        <w:t>pravdy jako adekvaci věci a intelektu</w:t>
      </w:r>
      <w:r>
        <w:t xml:space="preserve"> proti druhému averroismu reprezentovaného modernisty kolem Kilwardbyho, Pechama a Bonaventury</w:t>
      </w:r>
      <w:r w:rsidRPr="00273106">
        <w:t>.</w:t>
      </w:r>
      <w:r>
        <w:t xml:space="preserve"> Proto Aegidius bez výhrad přijal tuto verzi. Tento učený </w:t>
      </w:r>
      <w:r w:rsidR="00B30EDC">
        <w:t xml:space="preserve">latinský sofista </w:t>
      </w:r>
      <w:r>
        <w:t xml:space="preserve">znal Sigerův výklad </w:t>
      </w:r>
      <w:r w:rsidRPr="08536521">
        <w:rPr>
          <w:i/>
        </w:rPr>
        <w:t>De anima</w:t>
      </w:r>
      <w:r>
        <w:t xml:space="preserve"> a věděl, že modernistický výklad Bonaventurovy školy je filosofický nesmysl. Předložený výklad poznání ukázal, že druhý příchod Akvinského na Pařížskou univerzitu musel skončit zásadním konfliktem se školou druhého averroismu. </w:t>
      </w:r>
      <w:r w:rsidRPr="00273106">
        <w:t xml:space="preserve">V esencialismu nastoupeného skrze </w:t>
      </w:r>
      <w:proofErr w:type="gramStart"/>
      <w:r w:rsidRPr="00273106">
        <w:rPr>
          <w:i/>
        </w:rPr>
        <w:t>via</w:t>
      </w:r>
      <w:proofErr w:type="gramEnd"/>
      <w:r w:rsidRPr="00273106">
        <w:rPr>
          <w:i/>
        </w:rPr>
        <w:t xml:space="preserve"> Modernorum</w:t>
      </w:r>
      <w:r>
        <w:rPr>
          <w:i/>
        </w:rPr>
        <w:fldChar w:fldCharType="begin"/>
      </w:r>
      <w:r>
        <w:instrText xml:space="preserve"> XE "</w:instrText>
      </w:r>
      <w:r w:rsidRPr="00ED0748">
        <w:rPr>
          <w:i/>
        </w:rPr>
        <w:instrText>via Modernorum</w:instrText>
      </w:r>
      <w:r>
        <w:instrText xml:space="preserve">" </w:instrText>
      </w:r>
      <w:r>
        <w:rPr>
          <w:i/>
        </w:rPr>
        <w:fldChar w:fldCharType="end"/>
      </w:r>
      <w:r w:rsidRPr="00273106">
        <w:t xml:space="preserve"> a skrze </w:t>
      </w:r>
      <w:r w:rsidRPr="00273106">
        <w:rPr>
          <w:i/>
        </w:rPr>
        <w:t>Oxfordian Fallacy</w:t>
      </w:r>
      <w:r>
        <w:rPr>
          <w:i/>
        </w:rPr>
        <w:fldChar w:fldCharType="begin"/>
      </w:r>
      <w:r>
        <w:instrText xml:space="preserve"> XE "</w:instrText>
      </w:r>
      <w:r w:rsidRPr="0015798D">
        <w:rPr>
          <w:i/>
        </w:rPr>
        <w:instrText>Oxfordian Fallacy:</w:instrText>
      </w:r>
      <w:r w:rsidRPr="00C30F45">
        <w:instrText>kritika Akvinského</w:instrText>
      </w:r>
      <w:r>
        <w:instrText xml:space="preserve">" </w:instrText>
      </w:r>
      <w:r>
        <w:rPr>
          <w:i/>
        </w:rPr>
        <w:fldChar w:fldCharType="end"/>
      </w:r>
      <w:r w:rsidRPr="00273106">
        <w:t xml:space="preserve"> není dána pravda jako adekvace věci a rozumu (</w:t>
      </w:r>
      <w:r w:rsidRPr="00273106">
        <w:rPr>
          <w:i/>
        </w:rPr>
        <w:t>similitudo</w:t>
      </w:r>
      <w:r w:rsidRPr="00273106">
        <w:t xml:space="preserve">), ale ontoteologická </w:t>
      </w:r>
      <w:r>
        <w:t xml:space="preserve">asimilace objektivně „exsistujících“ </w:t>
      </w:r>
      <w:r w:rsidR="00962190">
        <w:rPr>
          <w:i/>
        </w:rPr>
        <w:t>species</w:t>
      </w:r>
      <w:r>
        <w:t xml:space="preserve">  (</w:t>
      </w:r>
      <w:r w:rsidRPr="001F1911">
        <w:rPr>
          <w:i/>
        </w:rPr>
        <w:t>coaequatio</w:t>
      </w:r>
      <w:r>
        <w:rPr>
          <w:i/>
        </w:rPr>
        <w:fldChar w:fldCharType="begin"/>
      </w:r>
      <w:r>
        <w:instrText xml:space="preserve"> XE "pravda:</w:instrText>
      </w:r>
      <w:r w:rsidRPr="00E11E1F">
        <w:rPr>
          <w:i/>
        </w:rPr>
        <w:instrText>coaequatio</w:instrText>
      </w:r>
      <w:r>
        <w:instrText xml:space="preserve">" </w:instrText>
      </w:r>
      <w:r>
        <w:rPr>
          <w:i/>
        </w:rPr>
        <w:fldChar w:fldCharType="end"/>
      </w:r>
      <w:r>
        <w:t>)</w:t>
      </w:r>
      <w:r w:rsidR="007111E8">
        <w:t xml:space="preserve">. </w:t>
      </w:r>
      <w:r w:rsidR="007111E8">
        <w:rPr>
          <w:rStyle w:val="ezkurwreuab5ozgtqnkl"/>
        </w:rPr>
        <w:t>Modernita</w:t>
      </w:r>
      <w:r w:rsidR="007111E8">
        <w:t xml:space="preserve"> </w:t>
      </w:r>
      <w:r w:rsidR="007111E8">
        <w:rPr>
          <w:rStyle w:val="ezkurwreuab5ozgtqnkl"/>
        </w:rPr>
        <w:t>zdvojila svět</w:t>
      </w:r>
      <w:r w:rsidR="007111E8">
        <w:t xml:space="preserve"> </w:t>
      </w:r>
      <w:r w:rsidR="007111E8">
        <w:rPr>
          <w:rStyle w:val="ezkurwreuab5ozgtqnkl"/>
        </w:rPr>
        <w:t>v člověku</w:t>
      </w:r>
      <w:r w:rsidR="007111E8">
        <w:t xml:space="preserve"> vinou substanční mnohosti</w:t>
      </w:r>
      <w:r w:rsidR="007111E8">
        <w:rPr>
          <w:rStyle w:val="ezkurwreuab5ozgtqnkl"/>
        </w:rPr>
        <w:t>; spojila tato simulákra do ontoteologické jednoty.</w:t>
      </w:r>
      <w:r w:rsidR="007111E8">
        <w:t xml:space="preserve"> </w:t>
      </w:r>
      <w:r w:rsidR="007111E8">
        <w:rPr>
          <w:rStyle w:val="ezkurwreuab5ozgtqnkl"/>
        </w:rPr>
        <w:t>Její fundament</w:t>
      </w:r>
      <w:r w:rsidR="007111E8">
        <w:t xml:space="preserve"> </w:t>
      </w:r>
      <w:r w:rsidR="007111E8">
        <w:rPr>
          <w:rStyle w:val="ezkurwreuab5ozgtqnkl"/>
        </w:rPr>
        <w:t>byl vložen</w:t>
      </w:r>
      <w:r w:rsidR="007111E8">
        <w:t xml:space="preserve"> </w:t>
      </w:r>
      <w:r w:rsidR="007111E8">
        <w:rPr>
          <w:rStyle w:val="ezkurwreuab5ozgtqnkl"/>
        </w:rPr>
        <w:t>do božského</w:t>
      </w:r>
      <w:r w:rsidR="007111E8">
        <w:t xml:space="preserve"> </w:t>
      </w:r>
      <w:r w:rsidR="007111E8">
        <w:rPr>
          <w:rStyle w:val="ezkurwreuab5ozgtqnkl"/>
        </w:rPr>
        <w:t>bytí, které bylo objektivně</w:t>
      </w:r>
      <w:r w:rsidR="007111E8">
        <w:t xml:space="preserve"> </w:t>
      </w:r>
      <w:r w:rsidR="007111E8">
        <w:rPr>
          <w:rStyle w:val="ezkurwreuab5ozgtqnkl"/>
        </w:rPr>
        <w:t>spojeno</w:t>
      </w:r>
      <w:r w:rsidR="007111E8">
        <w:t xml:space="preserve"> </w:t>
      </w:r>
      <w:r w:rsidR="007111E8">
        <w:rPr>
          <w:rStyle w:val="ezkurwreuab5ozgtqnkl"/>
        </w:rPr>
        <w:t>se stvořením</w:t>
      </w:r>
      <w:r w:rsidR="007111E8">
        <w:t xml:space="preserve">. </w:t>
      </w:r>
      <w:r>
        <w:t>Z moderního boha se stal psychologizující tvor s vlastní intencionalitou a tím se stal moderním člověkem. A moderní člověk se stal metafyzickým schizofrenikem, protože je definován skrze substanční mnohost</w:t>
      </w:r>
      <w:r>
        <w:fldChar w:fldCharType="begin"/>
      </w:r>
      <w:r>
        <w:instrText xml:space="preserve"> XE "</w:instrText>
      </w:r>
      <w:r w:rsidRPr="00D6047F">
        <w:instrText>osoba:pluralita substancí</w:instrText>
      </w:r>
      <w:r>
        <w:instrText xml:space="preserve">" </w:instrText>
      </w:r>
      <w:r>
        <w:fldChar w:fldCharType="end"/>
      </w:r>
      <w:r w:rsidR="00217153">
        <w:t xml:space="preserve">. Taková pitomost </w:t>
      </w:r>
      <w:r>
        <w:t>neexistuje dokonce ani v jednoduchém nemyslícím reálném kameni</w:t>
      </w:r>
      <w:r w:rsidRPr="00273106">
        <w:t xml:space="preserve">. Tato univerzální reprezentace boží a lidské mysli je dána buď na pozitivní způsob Anselmova </w:t>
      </w:r>
      <w:r w:rsidRPr="00273106">
        <w:rPr>
          <w:i/>
        </w:rPr>
        <w:t xml:space="preserve">rectitudo, </w:t>
      </w:r>
      <w:r w:rsidRPr="00273106">
        <w:t>nebo</w:t>
      </w:r>
      <w:r w:rsidRPr="00273106">
        <w:rPr>
          <w:i/>
        </w:rPr>
        <w:t xml:space="preserve"> </w:t>
      </w:r>
      <w:r w:rsidRPr="00273106">
        <w:t>na negativní způsob postmoderní metaforizace dané nekonečným pohybem diference mezi ekvivočními významy jsoucna.</w:t>
      </w:r>
      <w:r>
        <w:t xml:space="preserve"> A</w:t>
      </w:r>
      <w:r w:rsidRPr="00273106">
        <w:t xml:space="preserve">kvinský </w:t>
      </w:r>
      <w:r w:rsidR="00DC3BCE">
        <w:t xml:space="preserve">rozhodně odmítl </w:t>
      </w:r>
      <w:r>
        <w:t xml:space="preserve">všechy tyto teze a jejich </w:t>
      </w:r>
      <w:r w:rsidR="00DC3BCE">
        <w:t xml:space="preserve">nihilistické </w:t>
      </w:r>
      <w:r>
        <w:t>důsledky.</w:t>
      </w:r>
    </w:p>
    <w:p w:rsidR="08163013" w:rsidRDefault="08163013" w:rsidP="08163013">
      <w:r>
        <w:tab/>
        <w:t>Na stole zůstal jiný problém</w:t>
      </w:r>
      <w:r w:rsidR="00651025">
        <w:t>,</w:t>
      </w:r>
      <w:r>
        <w:t xml:space="preserve"> a mnohem složitější než vyvrácení </w:t>
      </w:r>
      <w:r w:rsidR="00695961">
        <w:t>dualistických tezí</w:t>
      </w:r>
      <w:r>
        <w:t xml:space="preserve">. </w:t>
      </w:r>
      <w:r w:rsidRPr="00273106">
        <w:t xml:space="preserve">Tomášovo pojetí pravdy jako </w:t>
      </w:r>
      <w:r w:rsidRPr="00273106">
        <w:rPr>
          <w:i/>
        </w:rPr>
        <w:t>similitudo</w:t>
      </w:r>
      <w:r w:rsidRPr="00273106">
        <w:t xml:space="preserve"> bylo dané v rámci prvního averroismu vzhledem k </w:t>
      </w:r>
      <w:r>
        <w:t xml:space="preserve">tezi </w:t>
      </w:r>
      <w:r w:rsidR="0038543F">
        <w:t>„</w:t>
      </w:r>
      <w:r w:rsidRPr="00273106">
        <w:rPr>
          <w:i/>
        </w:rPr>
        <w:t>homo intelligit</w:t>
      </w:r>
      <w:r w:rsidR="0038543F">
        <w:t>“</w:t>
      </w:r>
      <w:r>
        <w:rPr>
          <w:i/>
        </w:rPr>
        <w:fldChar w:fldCharType="begin"/>
      </w:r>
      <w:r>
        <w:instrText xml:space="preserve"> XE "</w:instrText>
      </w:r>
      <w:r w:rsidRPr="007F785A">
        <w:rPr>
          <w:i/>
          <w:lang w:eastAsia="en-US"/>
        </w:rPr>
        <w:instrText>osoba:homo intelligit</w:instrText>
      </w:r>
      <w:r>
        <w:instrText xml:space="preserve">" </w:instrText>
      </w:r>
      <w:r>
        <w:rPr>
          <w:i/>
        </w:rPr>
        <w:fldChar w:fldCharType="end"/>
      </w:r>
      <w:r w:rsidR="005178BD">
        <w:t xml:space="preserve"> podle tomistického aristotelismu</w:t>
      </w:r>
      <w:r>
        <w:t>.</w:t>
      </w:r>
      <w:r w:rsidRPr="00273106">
        <w:t xml:space="preserve"> </w:t>
      </w:r>
      <w:r>
        <w:t xml:space="preserve">Člověk je první substance a jeho poznání je aktualizováno od smyslů. </w:t>
      </w:r>
      <w:r w:rsidR="00E01E9C">
        <w:rPr>
          <w:rStyle w:val="ezkurwreuab5ozgtqnkl"/>
        </w:rPr>
        <w:t>Postup</w:t>
      </w:r>
      <w:r w:rsidR="00E01E9C">
        <w:t xml:space="preserve"> </w:t>
      </w:r>
      <w:r w:rsidR="00E01E9C">
        <w:rPr>
          <w:rStyle w:val="ezkurwreuab5ozgtqnkl"/>
        </w:rPr>
        <w:t>poznání</w:t>
      </w:r>
      <w:r w:rsidR="00E01E9C">
        <w:t xml:space="preserve"> </w:t>
      </w:r>
      <w:r w:rsidR="00E01E9C">
        <w:rPr>
          <w:rStyle w:val="ezkurwreuab5ozgtqnkl"/>
        </w:rPr>
        <w:t>byl</w:t>
      </w:r>
      <w:r w:rsidR="00E01E9C">
        <w:t xml:space="preserve"> </w:t>
      </w:r>
      <w:r w:rsidR="00E01E9C">
        <w:rPr>
          <w:rStyle w:val="ezkurwreuab5ozgtqnkl"/>
        </w:rPr>
        <w:t>proveden</w:t>
      </w:r>
      <w:r w:rsidR="00E01E9C">
        <w:t xml:space="preserve"> </w:t>
      </w:r>
      <w:r w:rsidR="00E01E9C">
        <w:rPr>
          <w:rStyle w:val="ezkurwreuab5ozgtqnkl"/>
        </w:rPr>
        <w:t>správným</w:t>
      </w:r>
      <w:r w:rsidR="00E01E9C">
        <w:t xml:space="preserve"> </w:t>
      </w:r>
      <w:r w:rsidR="00E01E9C">
        <w:rPr>
          <w:rStyle w:val="ezkurwreuab5ozgtqnkl"/>
        </w:rPr>
        <w:t>aristotelským</w:t>
      </w:r>
      <w:r w:rsidR="00E01E9C">
        <w:t xml:space="preserve"> </w:t>
      </w:r>
      <w:r w:rsidR="00E01E9C">
        <w:rPr>
          <w:rStyle w:val="ezkurwreuab5ozgtqnkl"/>
        </w:rPr>
        <w:t>způsobem</w:t>
      </w:r>
      <w:r w:rsidR="00E01E9C">
        <w:t xml:space="preserve">. </w:t>
      </w:r>
      <w:r w:rsidR="00E01E9C">
        <w:rPr>
          <w:rStyle w:val="ezkurwreuab5ozgtqnkl"/>
        </w:rPr>
        <w:t>Problémem</w:t>
      </w:r>
      <w:r w:rsidR="00E01E9C">
        <w:t xml:space="preserve"> </w:t>
      </w:r>
      <w:r w:rsidR="00E01E9C">
        <w:rPr>
          <w:rStyle w:val="ezkurwreuab5ozgtqnkl"/>
        </w:rPr>
        <w:t>byl</w:t>
      </w:r>
      <w:r w:rsidR="00E01E9C">
        <w:t xml:space="preserve">a definice </w:t>
      </w:r>
      <w:r w:rsidR="00E01E9C">
        <w:rPr>
          <w:rStyle w:val="ezkurwreuab5ozgtqnkl"/>
        </w:rPr>
        <w:t>intelektu, který byl v konfliktu</w:t>
      </w:r>
      <w:r w:rsidR="00E01E9C">
        <w:t xml:space="preserve"> </w:t>
      </w:r>
      <w:r w:rsidR="00E01E9C">
        <w:rPr>
          <w:rStyle w:val="ezkurwreuab5ozgtqnkl"/>
        </w:rPr>
        <w:t>s</w:t>
      </w:r>
      <w:r w:rsidR="00E01E9C">
        <w:t xml:space="preserve"> </w:t>
      </w:r>
      <w:r w:rsidR="00E01E9C">
        <w:rPr>
          <w:rStyle w:val="ezkurwreuab5ozgtqnkl"/>
        </w:rPr>
        <w:t>pozicí</w:t>
      </w:r>
      <w:r w:rsidR="00E01E9C">
        <w:t xml:space="preserve"> </w:t>
      </w:r>
      <w:r w:rsidR="00E01E9C">
        <w:rPr>
          <w:rStyle w:val="ezkurwreuab5ozgtqnkl"/>
        </w:rPr>
        <w:t>CMDA, kterou bránila</w:t>
      </w:r>
      <w:r w:rsidR="00E01E9C">
        <w:t xml:space="preserve"> </w:t>
      </w:r>
      <w:r w:rsidR="00E01E9C">
        <w:rPr>
          <w:rStyle w:val="ezkurwreuab5ozgtqnkl"/>
        </w:rPr>
        <w:t>„</w:t>
      </w:r>
      <w:r w:rsidR="00E01E9C" w:rsidRPr="00E01E9C">
        <w:rPr>
          <w:rStyle w:val="ezkurwreuab5ozgtqnkl"/>
          <w:i/>
        </w:rPr>
        <w:t>pars</w:t>
      </w:r>
      <w:r w:rsidR="00E01E9C" w:rsidRPr="00E01E9C">
        <w:rPr>
          <w:i/>
        </w:rPr>
        <w:t xml:space="preserve"> </w:t>
      </w:r>
      <w:r w:rsidR="00E01E9C" w:rsidRPr="00E01E9C">
        <w:rPr>
          <w:rStyle w:val="ezkurwreuab5ozgtqnkl"/>
          <w:i/>
        </w:rPr>
        <w:t>Sigeri</w:t>
      </w:r>
      <w:r w:rsidR="00E01E9C">
        <w:rPr>
          <w:rStyle w:val="ezkurwreuab5ozgtqnkl"/>
        </w:rPr>
        <w:t>“ v Paříži a částečně také Albert.</w:t>
      </w:r>
      <w:r w:rsidR="00E01E9C">
        <w:t xml:space="preserve"> </w:t>
      </w:r>
      <w:r>
        <w:t xml:space="preserve">Římské disputace ukázaly, že tomistická verze Blundova </w:t>
      </w:r>
      <w:r w:rsidRPr="087A089B">
        <w:rPr>
          <w:i/>
        </w:rPr>
        <w:t>intellectus formalis</w:t>
      </w:r>
      <w:r>
        <w:t xml:space="preserve"> si podržela hypostázovaný status intelektu na úrovni jsoucna třetího druhu. </w:t>
      </w:r>
      <w:r w:rsidR="009F7939">
        <w:rPr>
          <w:rStyle w:val="ezkurwreuab5ozgtqnkl"/>
        </w:rPr>
        <w:t>Znalci</w:t>
      </w:r>
      <w:r w:rsidR="009F7939">
        <w:t xml:space="preserve"> </w:t>
      </w:r>
      <w:r w:rsidR="009F7939">
        <w:rPr>
          <w:rStyle w:val="ezkurwreuab5ozgtqnkl"/>
        </w:rPr>
        <w:t>spisu CMDA</w:t>
      </w:r>
      <w:r w:rsidR="009F7939">
        <w:t xml:space="preserve"> </w:t>
      </w:r>
      <w:r w:rsidR="009F7939">
        <w:rPr>
          <w:rStyle w:val="ezkurwreuab5ozgtqnkl"/>
        </w:rPr>
        <w:t>považovali</w:t>
      </w:r>
      <w:r w:rsidR="009F7939">
        <w:t xml:space="preserve"> </w:t>
      </w:r>
      <w:r w:rsidR="009F7939">
        <w:rPr>
          <w:rStyle w:val="ezkurwreuab5ozgtqnkl"/>
        </w:rPr>
        <w:t>takovou</w:t>
      </w:r>
      <w:r w:rsidR="009F7939">
        <w:t xml:space="preserve"> </w:t>
      </w:r>
      <w:r w:rsidR="009F7939">
        <w:rPr>
          <w:rStyle w:val="ezkurwreuab5ozgtqnkl"/>
        </w:rPr>
        <w:t>teorii</w:t>
      </w:r>
      <w:r w:rsidR="009F7939">
        <w:t xml:space="preserve"> </w:t>
      </w:r>
      <w:r w:rsidR="009F7939">
        <w:rPr>
          <w:rStyle w:val="ezkurwreuab5ozgtqnkl"/>
        </w:rPr>
        <w:t>za jasný</w:t>
      </w:r>
      <w:r w:rsidR="009F7939">
        <w:t xml:space="preserve"> </w:t>
      </w:r>
      <w:r w:rsidR="009F7939">
        <w:rPr>
          <w:rStyle w:val="ezkurwreuab5ozgtqnkl"/>
        </w:rPr>
        <w:t>příklad</w:t>
      </w:r>
      <w:r w:rsidR="009F7939">
        <w:t xml:space="preserve"> </w:t>
      </w:r>
      <w:r w:rsidR="009F7939">
        <w:rPr>
          <w:rStyle w:val="ezkurwreuab5ozgtqnkl"/>
        </w:rPr>
        <w:t>averroismu,</w:t>
      </w:r>
      <w:r w:rsidR="009F7939">
        <w:t xml:space="preserve"> </w:t>
      </w:r>
      <w:r w:rsidR="009F7939">
        <w:rPr>
          <w:rStyle w:val="ezkurwreuab5ozgtqnkl"/>
        </w:rPr>
        <w:t xml:space="preserve">a navíc za zásadně špatný výklad </w:t>
      </w:r>
      <w:r w:rsidR="009F7939" w:rsidRPr="009F7939">
        <w:rPr>
          <w:rStyle w:val="ezkurwreuab5ozgtqnkl"/>
          <w:i/>
        </w:rPr>
        <w:t>De anima</w:t>
      </w:r>
      <w:r w:rsidR="009F7939">
        <w:rPr>
          <w:rStyle w:val="ezkurwreuab5ozgtqnkl"/>
        </w:rPr>
        <w:t xml:space="preserve">. </w:t>
      </w:r>
      <w:r>
        <w:t xml:space="preserve">A navíc dobře znali Akvinského sofistický výklad numerické individuace </w:t>
      </w:r>
      <w:r w:rsidRPr="089F166E">
        <w:rPr>
          <w:i/>
        </w:rPr>
        <w:t>intellectus possibilis</w:t>
      </w:r>
      <w:r>
        <w:t xml:space="preserve"> vzniklý pod vlivem Avicenny během Tomášova prvního pobytu v Paříži (kap. 6.5.1). Averroistický výklad CMDA je nyní potvrzen hypostázovanou formou tomistického </w:t>
      </w:r>
      <w:r w:rsidRPr="087A089B">
        <w:rPr>
          <w:i/>
        </w:rPr>
        <w:t>intellectus formalis</w:t>
      </w:r>
      <w:r>
        <w:rPr>
          <w:i/>
        </w:rPr>
        <w:fldChar w:fldCharType="begin"/>
      </w:r>
      <w:r>
        <w:instrText xml:space="preserve"> XE "</w:instrText>
      </w:r>
      <w:r w:rsidRPr="000238B8">
        <w:rPr>
          <w:i/>
        </w:rPr>
        <w:instrText xml:space="preserve">intellectus </w:instrText>
      </w:r>
      <w:r w:rsidRPr="000238B8">
        <w:rPr>
          <w:i/>
        </w:rPr>
        <w:lastRenderedPageBreak/>
        <w:instrText>formalis:</w:instrText>
      </w:r>
      <w:r>
        <w:instrText xml:space="preserve">Akvinský" </w:instrText>
      </w:r>
      <w:r>
        <w:rPr>
          <w:i/>
        </w:rPr>
        <w:fldChar w:fldCharType="end"/>
      </w:r>
      <w:r>
        <w:t xml:space="preserve"> vytvořeného během římského pobytu komentářem </w:t>
      </w:r>
      <w:r w:rsidRPr="089F166E">
        <w:rPr>
          <w:i/>
        </w:rPr>
        <w:t>De anima</w:t>
      </w:r>
      <w:r>
        <w:t xml:space="preserve">. </w:t>
      </w:r>
      <w:r w:rsidR="002D4ECE">
        <w:t xml:space="preserve">Siger odmítl </w:t>
      </w:r>
      <w:r>
        <w:t>problematick</w:t>
      </w:r>
      <w:r w:rsidR="002D4ECE">
        <w:t xml:space="preserve">ý </w:t>
      </w:r>
      <w:r>
        <w:t xml:space="preserve">výklad </w:t>
      </w:r>
      <w:r w:rsidR="002D4ECE">
        <w:t>„</w:t>
      </w:r>
      <w:r w:rsidRPr="089F166E">
        <w:rPr>
          <w:i/>
        </w:rPr>
        <w:t>homo intelligit</w:t>
      </w:r>
      <w:r w:rsidR="002D4ECE">
        <w:rPr>
          <w:i/>
        </w:rPr>
        <w:t>“</w:t>
      </w:r>
      <w:r>
        <w:t xml:space="preserve"> ve svých komentářích k </w:t>
      </w:r>
      <w:proofErr w:type="gramStart"/>
      <w:r w:rsidRPr="089F166E">
        <w:rPr>
          <w:i/>
        </w:rPr>
        <w:t>De</w:t>
      </w:r>
      <w:proofErr w:type="gramEnd"/>
      <w:r w:rsidRPr="089F166E">
        <w:rPr>
          <w:i/>
        </w:rPr>
        <w:t xml:space="preserve"> anima</w:t>
      </w:r>
      <w:r>
        <w:t xml:space="preserve"> I‒III</w:t>
      </w:r>
      <w:r w:rsidR="002D4ECE">
        <w:t xml:space="preserve">. </w:t>
      </w:r>
      <w:r w:rsidR="002D4ECE" w:rsidRPr="002D4ECE">
        <w:t xml:space="preserve">Po Tomášově druhém příjezdu do Paříže Siger v díle </w:t>
      </w:r>
      <w:r w:rsidR="002D4ECE" w:rsidRPr="002D4ECE">
        <w:rPr>
          <w:i/>
        </w:rPr>
        <w:t>De anima intellectiva</w:t>
      </w:r>
      <w:r w:rsidR="002D4ECE">
        <w:t xml:space="preserve"> </w:t>
      </w:r>
      <w:r w:rsidR="002D4ECE" w:rsidRPr="002D4ECE">
        <w:t>výslovně kritizova</w:t>
      </w:r>
      <w:r w:rsidR="002D4ECE">
        <w:t>l Akvinskou verzi aristotelismu</w:t>
      </w:r>
      <w:r w:rsidR="002D4ECE" w:rsidRPr="002D4ECE">
        <w:t>.</w:t>
      </w:r>
      <w:r w:rsidR="002D4ECE">
        <w:t xml:space="preserve"> </w:t>
      </w:r>
      <w:r>
        <w:t>Na křesťanském Západě vznikly dva odlišné výklady Aristotela, které hájili dva odlišní expozitoři Korpusu. Od d</w:t>
      </w:r>
      <w:r w:rsidR="00B57AA6">
        <w:t>ruhého příjezdu do Paříže čekaly</w:t>
      </w:r>
      <w:r>
        <w:t xml:space="preserve"> Akvinského disputace ohledně výkladu </w:t>
      </w:r>
      <w:r w:rsidRPr="008E2B27">
        <w:rPr>
          <w:i/>
        </w:rPr>
        <w:t>De anima</w:t>
      </w:r>
      <w:r>
        <w:t xml:space="preserve"> se Sigerem a jeho školou vzdělaných artistů</w:t>
      </w:r>
      <w:r w:rsidR="00B57AA6">
        <w:t xml:space="preserve"> (</w:t>
      </w:r>
      <w:r w:rsidR="00B57AA6" w:rsidRPr="008E2B27">
        <w:rPr>
          <w:i/>
        </w:rPr>
        <w:t>pars Sigeri</w:t>
      </w:r>
      <w:r w:rsidR="00B57AA6">
        <w:rPr>
          <w:i/>
        </w:rPr>
        <w:fldChar w:fldCharType="begin"/>
      </w:r>
      <w:r w:rsidR="00B57AA6">
        <w:instrText xml:space="preserve"> XE "</w:instrText>
      </w:r>
      <w:r w:rsidR="00B57AA6" w:rsidRPr="00C5549F">
        <w:instrText>první averroismus</w:instrText>
      </w:r>
      <w:r w:rsidR="00B57AA6" w:rsidRPr="00B52EEE">
        <w:rPr>
          <w:i/>
        </w:rPr>
        <w:instrText>:pars Sigeri</w:instrText>
      </w:r>
      <w:r w:rsidR="00B57AA6">
        <w:instrText xml:space="preserve">" </w:instrText>
      </w:r>
      <w:r w:rsidR="00B57AA6">
        <w:rPr>
          <w:i/>
        </w:rPr>
        <w:fldChar w:fldCharType="end"/>
      </w:r>
      <w:r w:rsidR="00B57AA6">
        <w:t xml:space="preserve">). Ti </w:t>
      </w:r>
      <w:r>
        <w:t xml:space="preserve">vykládali </w:t>
      </w:r>
      <w:r w:rsidRPr="08AE25D8">
        <w:rPr>
          <w:i/>
        </w:rPr>
        <w:t xml:space="preserve">De anima </w:t>
      </w:r>
      <w:r>
        <w:t>podle CMDA v modu Sicilské školy</w:t>
      </w:r>
      <w:r>
        <w:fldChar w:fldCharType="begin"/>
      </w:r>
      <w:r>
        <w:instrText xml:space="preserve"> XE "</w:instrText>
      </w:r>
      <w:r w:rsidRPr="085769D1">
        <w:instrText>Sicilská škola</w:instrText>
      </w:r>
      <w:r>
        <w:instrText xml:space="preserve">" </w:instrText>
      </w:r>
      <w:r>
        <w:fldChar w:fldCharType="end"/>
      </w:r>
      <w:r>
        <w:t xml:space="preserve">. Jejich kolektivní stanovisko představuje </w:t>
      </w:r>
      <w:r w:rsidR="00866B4B">
        <w:t xml:space="preserve">spis </w:t>
      </w:r>
      <w:r w:rsidR="00866B4B" w:rsidRPr="00866B4B">
        <w:rPr>
          <w:i/>
        </w:rPr>
        <w:t xml:space="preserve">Anonym </w:t>
      </w:r>
      <w:r w:rsidRPr="00866B4B">
        <w:rPr>
          <w:i/>
        </w:rPr>
        <w:t>Giele</w:t>
      </w:r>
      <w:r>
        <w:t xml:space="preserve"> psaný Bo</w:t>
      </w:r>
      <w:r w:rsidR="003F5D0B">
        <w:t>ethiem z Dácie okolo roku 1270</w:t>
      </w:r>
      <w:r w:rsidR="0041001F">
        <w:t xml:space="preserve"> (kap. 4</w:t>
      </w:r>
      <w:r>
        <w:t xml:space="preserve">.3.1). Teze Sigerovy školy byla zásadně odlišná od sofistiky </w:t>
      </w:r>
      <w:r w:rsidRPr="00134910">
        <w:rPr>
          <w:i/>
        </w:rPr>
        <w:t>Modernorum</w:t>
      </w:r>
      <w:r>
        <w:t xml:space="preserve"> a také od Akvinského výkladu aristotelského korpusu hájeného v Itálii do roku 1268 v komentářích k </w:t>
      </w:r>
      <w:r w:rsidRPr="08B33C59">
        <w:rPr>
          <w:i/>
        </w:rPr>
        <w:t>De anima</w:t>
      </w:r>
      <w:r>
        <w:t xml:space="preserve">, </w:t>
      </w:r>
      <w:r w:rsidRPr="08B33C59">
        <w:rPr>
          <w:i/>
        </w:rPr>
        <w:t xml:space="preserve">De </w:t>
      </w:r>
      <w:proofErr w:type="gramStart"/>
      <w:r w:rsidRPr="08B33C59">
        <w:rPr>
          <w:i/>
        </w:rPr>
        <w:t>sensu</w:t>
      </w:r>
      <w:proofErr w:type="gramEnd"/>
      <w:r w:rsidRPr="08B33C59">
        <w:rPr>
          <w:i/>
        </w:rPr>
        <w:t xml:space="preserve"> et sensato</w:t>
      </w:r>
      <w:r w:rsidRPr="08B33C59">
        <w:t xml:space="preserve"> </w:t>
      </w:r>
      <w:r>
        <w:t xml:space="preserve">a </w:t>
      </w:r>
      <w:r w:rsidRPr="08B33C59">
        <w:rPr>
          <w:i/>
        </w:rPr>
        <w:t>De memoria et reminiscentia</w:t>
      </w:r>
      <w:r>
        <w:t>. Akvinský sice bere klasický kánon aristotelského korpusu podle Sicilské školy</w:t>
      </w:r>
      <w:r>
        <w:fldChar w:fldCharType="begin"/>
      </w:r>
      <w:r>
        <w:instrText xml:space="preserve"> XE "</w:instrText>
      </w:r>
      <w:r w:rsidRPr="08781175">
        <w:instrText>Sicilská škola</w:instrText>
      </w:r>
      <w:r>
        <w:instrText xml:space="preserve">" </w:instrText>
      </w:r>
      <w:r>
        <w:fldChar w:fldCharType="end"/>
      </w:r>
      <w:r>
        <w:t>, ale vykládá jej v modu Toledské školy</w:t>
      </w:r>
      <w:r>
        <w:fldChar w:fldCharType="begin"/>
      </w:r>
      <w:r>
        <w:instrText xml:space="preserve"> XE "</w:instrText>
      </w:r>
      <w:r w:rsidRPr="08D66CE9">
        <w:instrText>Toledská škola</w:instrText>
      </w:r>
      <w:r>
        <w:instrText xml:space="preserve">" </w:instrText>
      </w:r>
      <w:r>
        <w:fldChar w:fldCharType="end"/>
      </w:r>
      <w:r>
        <w:t xml:space="preserve">. Sigerova strana hájila jednotu osoby a intelektu v modu </w:t>
      </w:r>
      <w:r>
        <w:rPr>
          <w:i/>
        </w:rPr>
        <w:t>homo ipse intelligit</w:t>
      </w:r>
      <w:r>
        <w:rPr>
          <w:i/>
        </w:rPr>
        <w:fldChar w:fldCharType="begin"/>
      </w:r>
      <w:r>
        <w:instrText xml:space="preserve"> XE "</w:instrText>
      </w:r>
      <w:r w:rsidRPr="00B935DC">
        <w:rPr>
          <w:rStyle w:val="Zkladntext350"/>
        </w:rPr>
        <w:instrText>osoba</w:instrText>
      </w:r>
      <w:r w:rsidRPr="00B935DC">
        <w:rPr>
          <w:rStyle w:val="Zkladntext350"/>
          <w:i/>
        </w:rPr>
        <w:instrText>:</w:instrText>
      </w:r>
      <w:r>
        <w:rPr>
          <w:rStyle w:val="Zkladntext350"/>
          <w:i/>
        </w:rPr>
        <w:instrText>homo ipse intelligit</w:instrText>
      </w:r>
      <w:r>
        <w:instrText xml:space="preserve">" </w:instrText>
      </w:r>
      <w:r>
        <w:rPr>
          <w:i/>
        </w:rPr>
        <w:fldChar w:fldCharType="end"/>
      </w:r>
      <w:r>
        <w:t>, který odpovídal paradigmatu Sicilské školy a jejího pojetí biologických spisů Filosofa</w:t>
      </w:r>
      <w:r>
        <w:fldChar w:fldCharType="begin"/>
      </w:r>
      <w:r>
        <w:instrText xml:space="preserve"> XE "</w:instrText>
      </w:r>
      <w:r w:rsidRPr="08E60D16">
        <w:instrText>Sicilská škola</w:instrText>
      </w:r>
      <w:r>
        <w:instrText xml:space="preserve">" </w:instrText>
      </w:r>
      <w:r>
        <w:fldChar w:fldCharType="end"/>
      </w:r>
      <w:r>
        <w:t xml:space="preserve">. Koncept jednotné osoby na Rue du Fouarre vznikal během půl století přemýšlení a komentářů k </w:t>
      </w:r>
      <w:proofErr w:type="gramStart"/>
      <w:r w:rsidRPr="00780F42">
        <w:rPr>
          <w:i/>
        </w:rPr>
        <w:t>De</w:t>
      </w:r>
      <w:proofErr w:type="gramEnd"/>
      <w:r w:rsidRPr="00780F42">
        <w:rPr>
          <w:i/>
        </w:rPr>
        <w:t xml:space="preserve"> anima </w:t>
      </w:r>
      <w:r>
        <w:t>povinně vyučované na pařížské artistické fakultě od roku 1255. Tím vznikl spor dvou expozitorů Aristotela ohledně jednoty osoby kolem 1270, který manifestují výše vyložené anonymní traktáty o duši (</w:t>
      </w:r>
      <w:r w:rsidRPr="00E366CF">
        <w:rPr>
          <w:i/>
        </w:rPr>
        <w:t>Anonym</w:t>
      </w:r>
      <w:r w:rsidR="00E366CF">
        <w:rPr>
          <w:i/>
        </w:rPr>
        <w:t>us</w:t>
      </w:r>
      <w:r w:rsidRPr="00E366CF">
        <w:rPr>
          <w:i/>
        </w:rPr>
        <w:t xml:space="preserve"> Giele, ms. Oxford, ms. Mnichov, Anonym</w:t>
      </w:r>
      <w:r w:rsidR="00E366CF">
        <w:rPr>
          <w:i/>
        </w:rPr>
        <w:t>us</w:t>
      </w:r>
      <w:r w:rsidRPr="00E366CF">
        <w:rPr>
          <w:i/>
        </w:rPr>
        <w:t xml:space="preserve"> Bazán</w:t>
      </w:r>
      <w:r>
        <w:t xml:space="preserve">). </w:t>
      </w:r>
      <w:r w:rsidR="00E366CF" w:rsidRPr="00E366CF">
        <w:t>Tento boj o i</w:t>
      </w:r>
      <w:r w:rsidR="00E366CF">
        <w:t xml:space="preserve">pseitu </w:t>
      </w:r>
      <w:r w:rsidR="00E366CF" w:rsidRPr="00E366CF">
        <w:t xml:space="preserve">osoby mezi </w:t>
      </w:r>
      <w:proofErr w:type="gramStart"/>
      <w:r w:rsidR="00E366CF" w:rsidRPr="00E366CF">
        <w:t>Akvinským</w:t>
      </w:r>
      <w:proofErr w:type="gramEnd"/>
      <w:r w:rsidR="00E366CF" w:rsidRPr="00E366CF">
        <w:t xml:space="preserve"> a Sigerem byl veden </w:t>
      </w:r>
      <w:r w:rsidR="00D203C0">
        <w:t xml:space="preserve">trestajícími </w:t>
      </w:r>
      <w:r w:rsidR="00E366CF">
        <w:t xml:space="preserve">silami </w:t>
      </w:r>
      <w:r w:rsidR="00E366CF" w:rsidRPr="00E366CF">
        <w:t xml:space="preserve">akademického chaosu. Siger bitvu prohrál, ale </w:t>
      </w:r>
      <w:r w:rsidR="00E366CF">
        <w:t xml:space="preserve">má </w:t>
      </w:r>
      <w:r w:rsidR="00E366CF" w:rsidRPr="00E366CF">
        <w:t xml:space="preserve">hermeneutickou pravdu </w:t>
      </w:r>
      <w:r w:rsidR="00E366CF">
        <w:t xml:space="preserve">jako </w:t>
      </w:r>
      <w:r w:rsidR="00E366CF" w:rsidRPr="00E366CF">
        <w:rPr>
          <w:i/>
        </w:rPr>
        <w:t>alétheia</w:t>
      </w:r>
      <w:r w:rsidR="00E366CF" w:rsidRPr="00E366CF">
        <w:t>. Akvinský byl</w:t>
      </w:r>
      <w:r w:rsidR="00E366CF">
        <w:t xml:space="preserve"> později korunován jako vítěz podle </w:t>
      </w:r>
      <w:r w:rsidR="00E366CF" w:rsidRPr="00E366CF">
        <w:t xml:space="preserve">objektivní </w:t>
      </w:r>
      <w:r w:rsidR="00E366CF">
        <w:t xml:space="preserve">podoby </w:t>
      </w:r>
      <w:r w:rsidR="00E366CF" w:rsidRPr="00E366CF">
        <w:t xml:space="preserve">pravdy jako </w:t>
      </w:r>
      <w:r w:rsidR="00E366CF" w:rsidRPr="00E366CF">
        <w:rPr>
          <w:i/>
        </w:rPr>
        <w:t>veritas</w:t>
      </w:r>
      <w:r w:rsidR="00E366CF">
        <w:t>. Aegidiova š</w:t>
      </w:r>
      <w:r w:rsidR="00E366CF" w:rsidRPr="00E366CF">
        <w:t>kola tomismu přijala Akvinské</w:t>
      </w:r>
      <w:r w:rsidR="00E366CF">
        <w:t>ho</w:t>
      </w:r>
      <w:r w:rsidR="00E366CF" w:rsidRPr="00E366CF">
        <w:t xml:space="preserve"> pojetí osoby a jednotu intelekt</w:t>
      </w:r>
      <w:r w:rsidR="00E366CF">
        <w:t>u. Zachránil sofistiku druhého a</w:t>
      </w:r>
      <w:r w:rsidR="00E366CF" w:rsidRPr="00E366CF">
        <w:t>verroismu v režimu Hegel</w:t>
      </w:r>
      <w:r w:rsidR="00E366CF">
        <w:t>ova „</w:t>
      </w:r>
      <w:r w:rsidR="00E366CF" w:rsidRPr="00E366CF">
        <w:rPr>
          <w:i/>
        </w:rPr>
        <w:t>Aufhebung</w:t>
      </w:r>
      <w:r w:rsidR="00E366CF">
        <w:t>“. Akvinského</w:t>
      </w:r>
      <w:r w:rsidR="00E366CF" w:rsidRPr="00E366CF">
        <w:t xml:space="preserve"> </w:t>
      </w:r>
      <w:r w:rsidR="00E366CF">
        <w:t>semi</w:t>
      </w:r>
      <w:r w:rsidR="00E366CF" w:rsidRPr="00E366CF">
        <w:t>averroistický výklad jednoty intelektu p</w:t>
      </w:r>
      <w:r w:rsidR="00E366CF">
        <w:t>omohl k vítězství objektivního a</w:t>
      </w:r>
      <w:r w:rsidR="00E366CF" w:rsidRPr="00E366CF">
        <w:t xml:space="preserve">verroismu, který po roce 1280 založil </w:t>
      </w:r>
      <w:r w:rsidR="00BF5B1B">
        <w:t xml:space="preserve">moderní </w:t>
      </w:r>
      <w:r w:rsidR="00E366CF" w:rsidRPr="00E366CF">
        <w:t>metafyziku.</w:t>
      </w:r>
    </w:p>
    <w:p w:rsidR="08163013" w:rsidRPr="08CA6956" w:rsidRDefault="00C661D8" w:rsidP="08163013">
      <w:pPr>
        <w:pStyle w:val="Nadpis3"/>
      </w:pPr>
      <w:bookmarkStart w:id="55" w:name="_Toc36144151"/>
      <w:r>
        <w:br w:type="page"/>
      </w:r>
      <w:bookmarkStart w:id="56" w:name="_Toc180231663"/>
      <w:r w:rsidR="08163013">
        <w:lastRenderedPageBreak/>
        <w:t xml:space="preserve">4.5.3 Moderní výklad </w:t>
      </w:r>
      <w:r w:rsidR="08163013" w:rsidRPr="08CA6956">
        <w:rPr>
          <w:i/>
        </w:rPr>
        <w:t>De anima</w:t>
      </w:r>
      <w:bookmarkEnd w:id="55"/>
      <w:bookmarkEnd w:id="56"/>
    </w:p>
    <w:p w:rsidR="08163013" w:rsidRPr="00273106" w:rsidRDefault="08163013" w:rsidP="08163013">
      <w:r>
        <w:t>Okolo roku 1270 se zásadně prohloubila krize nové metafyziky</w:t>
      </w:r>
      <w:r w:rsidR="08A20BC9">
        <w:t>. P</w:t>
      </w:r>
      <w:r>
        <w:t xml:space="preserve">řestaly </w:t>
      </w:r>
      <w:r w:rsidR="08A20BC9">
        <w:t xml:space="preserve">univerzálně </w:t>
      </w:r>
      <w:r>
        <w:t>platit základní metafyzi</w:t>
      </w:r>
      <w:r w:rsidR="08A20BC9">
        <w:t>cké pojmy, protože už neexistoval univoční význam nejdůležitějších termínů v</w:t>
      </w:r>
      <w:r w:rsidR="00375C59">
        <w:t xml:space="preserve"> perspektivě </w:t>
      </w:r>
      <w:r w:rsidR="08A20BC9" w:rsidRPr="081942A4">
        <w:rPr>
          <w:i/>
          <w:szCs w:val="24"/>
        </w:rPr>
        <w:t>via Modernorum</w:t>
      </w:r>
      <w:r w:rsidR="08A20BC9" w:rsidRPr="081942A4">
        <w:rPr>
          <w:szCs w:val="24"/>
        </w:rPr>
        <w:t xml:space="preserve"> a </w:t>
      </w:r>
      <w:r w:rsidR="08A20BC9" w:rsidRPr="081942A4">
        <w:rPr>
          <w:i/>
          <w:szCs w:val="24"/>
        </w:rPr>
        <w:t>via Antiquorum</w:t>
      </w:r>
      <w:r w:rsidR="08A20BC9" w:rsidRPr="081942A4">
        <w:rPr>
          <w:szCs w:val="24"/>
        </w:rPr>
        <w:t xml:space="preserve"> </w:t>
      </w:r>
      <w:r w:rsidR="08A20BC9">
        <w:t>(OBJ II, kap. 3</w:t>
      </w:r>
      <w:r>
        <w:t xml:space="preserve">.4.3). </w:t>
      </w:r>
      <w:r w:rsidR="00375C59">
        <w:t xml:space="preserve">Jako důkaz lze uvést odpovědi </w:t>
      </w:r>
      <w:r>
        <w:t xml:space="preserve">Alberta, Akvinského a Kilwardbyho na otázku generála dominikánského řádu (Jean de Verceil) ohledně výkladu Aristotelova </w:t>
      </w:r>
      <w:r w:rsidR="00375C59">
        <w:t xml:space="preserve">díla </w:t>
      </w:r>
      <w:r w:rsidRPr="080677D5">
        <w:rPr>
          <w:i/>
        </w:rPr>
        <w:t>De animalibus</w:t>
      </w:r>
      <w:r>
        <w:t>, kap. 17, kde se mluví o vztahu inte</w:t>
      </w:r>
      <w:r w:rsidR="00766394">
        <w:t>lektu a těla (Chenu 1930, 20</w:t>
      </w:r>
      <w:r w:rsidR="00375C59">
        <w:t>7</w:t>
      </w:r>
      <w:r>
        <w:t xml:space="preserve">). Struktura otázek a odpovědi jasně ukazují, že roku 1271 už neexistovalo jednotné pojetí kosmologie a definice osoby, což představovalo pro církevní autority vážný doktrinální problém. </w:t>
      </w:r>
      <w:r w:rsidRPr="00273106">
        <w:t xml:space="preserve">Reakcí na pařížské spory vzniklé po vydání </w:t>
      </w:r>
      <w:r>
        <w:t xml:space="preserve">Akvinského spisu </w:t>
      </w:r>
      <w:r>
        <w:rPr>
          <w:i/>
        </w:rPr>
        <w:t>Quaestiones disputatae D</w:t>
      </w:r>
      <w:r w:rsidRPr="00273106">
        <w:rPr>
          <w:i/>
        </w:rPr>
        <w:t>e potentia</w:t>
      </w:r>
      <w:r w:rsidRPr="00273106">
        <w:t xml:space="preserve"> </w:t>
      </w:r>
      <w:r>
        <w:t>představuje známý traktát</w:t>
      </w:r>
      <w:r w:rsidRPr="00273106">
        <w:t xml:space="preserve"> </w:t>
      </w:r>
      <w:r w:rsidRPr="00273106">
        <w:rPr>
          <w:i/>
        </w:rPr>
        <w:t>De unitate intellectus</w:t>
      </w:r>
      <w:r>
        <w:t xml:space="preserve"> (1270). </w:t>
      </w:r>
      <w:r w:rsidRPr="00273106">
        <w:t xml:space="preserve">Z tohoto </w:t>
      </w:r>
      <w:r>
        <w:t xml:space="preserve">široce medializovaného spisu </w:t>
      </w:r>
      <w:r w:rsidRPr="00273106">
        <w:t xml:space="preserve">vybereme jen dvě otázky. </w:t>
      </w:r>
      <w:r>
        <w:t>Pro vznik objektivity je důležité c</w:t>
      </w:r>
      <w:r w:rsidRPr="00273106">
        <w:t xml:space="preserve">elkové hodnocení </w:t>
      </w:r>
      <w:r>
        <w:t>Averroes</w:t>
      </w:r>
      <w:r w:rsidRPr="00273106">
        <w:t xml:space="preserve">e </w:t>
      </w:r>
      <w:r>
        <w:t>v tomto díle a Tomášova reakce</w:t>
      </w:r>
      <w:r w:rsidRPr="00273106">
        <w:t xml:space="preserve"> na Sigerovu kritiku podanou v </w:t>
      </w:r>
      <w:r w:rsidRPr="082061B7">
        <w:t>QIIIDA</w:t>
      </w:r>
      <w:r w:rsidR="08F6524A">
        <w:t xml:space="preserve"> (kap. 4</w:t>
      </w:r>
      <w:r>
        <w:t>.4.3</w:t>
      </w:r>
      <w:r w:rsidRPr="00273106">
        <w:t xml:space="preserve">). Kritiku </w:t>
      </w:r>
      <w:r>
        <w:t>Pecham</w:t>
      </w:r>
      <w:r w:rsidRPr="00273106">
        <w:t xml:space="preserve">a a druhého averroismu již nemá cenu komentovat, protože v tomto bodě spis </w:t>
      </w:r>
      <w:r w:rsidRPr="00273106">
        <w:rPr>
          <w:i/>
        </w:rPr>
        <w:t>De unitate intellectus</w:t>
      </w:r>
      <w:r w:rsidRPr="00273106">
        <w:t xml:space="preserve"> </w:t>
      </w:r>
      <w:r w:rsidR="00A81097">
        <w:t xml:space="preserve">neppřinesl nic nového. </w:t>
      </w:r>
      <w:r>
        <w:t>Pecham přiznal svou porážku a roku 1271 odchází do Oxfordu, kde pak nezadržitelně stoupá k akademickým a k církevním hodnostem. Siger již mohl znát Akvinského komentáře z</w:t>
      </w:r>
      <w:r w:rsidR="08F6524A">
        <w:t> </w:t>
      </w:r>
      <w:r>
        <w:t>Říma</w:t>
      </w:r>
      <w:r w:rsidR="08F6524A">
        <w:t xml:space="preserve"> </w:t>
      </w:r>
      <w:r w:rsidR="08A71959">
        <w:t>napsané do roku 1268</w:t>
      </w:r>
      <w:r>
        <w:t xml:space="preserve">, a možná i výše vyložený výklad poznání v </w:t>
      </w:r>
      <w:proofErr w:type="gramStart"/>
      <w:r w:rsidRPr="00D4380C">
        <w:rPr>
          <w:i/>
        </w:rPr>
        <w:t>De</w:t>
      </w:r>
      <w:proofErr w:type="gramEnd"/>
      <w:r w:rsidRPr="00D4380C">
        <w:rPr>
          <w:i/>
        </w:rPr>
        <w:t xml:space="preserve"> potentia</w:t>
      </w:r>
      <w:r>
        <w:t xml:space="preserve">, nebo nějakou formu </w:t>
      </w:r>
      <w:r w:rsidRPr="00B93C0E">
        <w:rPr>
          <w:i/>
        </w:rPr>
        <w:t>reportatio</w:t>
      </w:r>
      <w:r>
        <w:t xml:space="preserve"> z Akvinského kuriálních disputací dovezenou do Paříže. </w:t>
      </w:r>
      <w:r w:rsidRPr="00273106">
        <w:t>Rozdíl mezi Sigerem a Akvinským jsme vyjádři</w:t>
      </w:r>
      <w:r>
        <w:t xml:space="preserve">li skrze diferenci </w:t>
      </w:r>
      <w:r w:rsidR="001E5A99">
        <w:t>„</w:t>
      </w:r>
      <w:r>
        <w:rPr>
          <w:i/>
        </w:rPr>
        <w:t>homo ipse intelligit</w:t>
      </w:r>
      <w:r w:rsidR="001E5A99">
        <w:t>“</w:t>
      </w:r>
      <w:r>
        <w:rPr>
          <w:i/>
        </w:rPr>
        <w:fldChar w:fldCharType="begin"/>
      </w:r>
      <w:r>
        <w:instrText xml:space="preserve"> XE "</w:instrText>
      </w:r>
      <w:r w:rsidRPr="00B935DC">
        <w:rPr>
          <w:rStyle w:val="Zkladntext350"/>
        </w:rPr>
        <w:instrText>osoba</w:instrText>
      </w:r>
      <w:r w:rsidRPr="00B935DC">
        <w:rPr>
          <w:rStyle w:val="Zkladntext350"/>
          <w:i/>
        </w:rPr>
        <w:instrText>:</w:instrText>
      </w:r>
      <w:r>
        <w:rPr>
          <w:rStyle w:val="Zkladntext350"/>
          <w:i/>
        </w:rPr>
        <w:instrText>homo ipse intelligit</w:instrText>
      </w:r>
      <w:r>
        <w:instrText xml:space="preserve">" </w:instrText>
      </w:r>
      <w:r>
        <w:rPr>
          <w:i/>
        </w:rPr>
        <w:fldChar w:fldCharType="end"/>
      </w:r>
      <w:r>
        <w:t xml:space="preserve"> (Siger) a </w:t>
      </w:r>
      <w:r w:rsidR="001E5A99">
        <w:t>„</w:t>
      </w:r>
      <w:r w:rsidRPr="00273106">
        <w:rPr>
          <w:i/>
        </w:rPr>
        <w:t>homo intelligit</w:t>
      </w:r>
      <w:r w:rsidR="001E5A99">
        <w:t>“</w:t>
      </w:r>
      <w:r>
        <w:rPr>
          <w:i/>
        </w:rPr>
        <w:fldChar w:fldCharType="begin"/>
      </w:r>
      <w:r>
        <w:instrText xml:space="preserve"> XE "</w:instrText>
      </w:r>
      <w:r w:rsidRPr="00063572">
        <w:rPr>
          <w:lang w:eastAsia="en-US"/>
        </w:rPr>
        <w:instrText>osoba</w:instrText>
      </w:r>
      <w:r w:rsidRPr="007F785A">
        <w:rPr>
          <w:i/>
          <w:lang w:eastAsia="en-US"/>
        </w:rPr>
        <w:instrText>:homo intelligit</w:instrText>
      </w:r>
      <w:r>
        <w:instrText xml:space="preserve">" </w:instrText>
      </w:r>
      <w:r>
        <w:rPr>
          <w:i/>
        </w:rPr>
        <w:fldChar w:fldCharType="end"/>
      </w:r>
      <w:r>
        <w:t xml:space="preserve"> (Akvinský). </w:t>
      </w:r>
      <w:r w:rsidRPr="00273106">
        <w:t xml:space="preserve">Sigerova kritika v díle </w:t>
      </w:r>
      <w:r w:rsidRPr="089405C2">
        <w:t>QIIIDA</w:t>
      </w:r>
      <w:r>
        <w:rPr>
          <w:i/>
        </w:rPr>
        <w:t xml:space="preserve"> </w:t>
      </w:r>
      <w:r w:rsidRPr="00273106">
        <w:t xml:space="preserve">se týkala </w:t>
      </w:r>
      <w:r>
        <w:t xml:space="preserve">i </w:t>
      </w:r>
      <w:r w:rsidRPr="00273106">
        <w:t>spisů napsaných před Akvi</w:t>
      </w:r>
      <w:r>
        <w:t xml:space="preserve">nského druhým pobytem v Paříži. </w:t>
      </w:r>
      <w:r w:rsidR="08A71959">
        <w:t>Tomášův s</w:t>
      </w:r>
      <w:r w:rsidRPr="00273106">
        <w:t xml:space="preserve">pis </w:t>
      </w:r>
      <w:r>
        <w:rPr>
          <w:i/>
        </w:rPr>
        <w:t>Quaestiones disputatae D</w:t>
      </w:r>
      <w:r w:rsidRPr="00F2637A">
        <w:rPr>
          <w:i/>
        </w:rPr>
        <w:t>e veritate</w:t>
      </w:r>
      <w:r>
        <w:t xml:space="preserve"> (asi 1257) </w:t>
      </w:r>
      <w:r w:rsidRPr="00273106">
        <w:t>ukazuje poslední shodu mezi Sigerem a Akvinským v otázce fenomenologickéh</w:t>
      </w:r>
      <w:r w:rsidR="00D770A4">
        <w:t xml:space="preserve">o poznání osoby v rámci ipseity. Ta byla daná </w:t>
      </w:r>
      <w:r w:rsidRPr="00273106">
        <w:t xml:space="preserve">principem </w:t>
      </w:r>
      <w:r w:rsidR="00D770A4">
        <w:t>„</w:t>
      </w:r>
      <w:r w:rsidRPr="00273106">
        <w:rPr>
          <w:i/>
        </w:rPr>
        <w:t>quomodo</w:t>
      </w:r>
      <w:r w:rsidR="00D770A4">
        <w:t>“</w:t>
      </w:r>
      <w:r w:rsidR="08F22B58">
        <w:t xml:space="preserve"> v CMDA </w:t>
      </w:r>
      <w:proofErr w:type="gramStart"/>
      <w:r w:rsidR="08F22B58">
        <w:t>III.1 (kap.</w:t>
      </w:r>
      <w:proofErr w:type="gramEnd"/>
      <w:r w:rsidR="08F22B58">
        <w:t xml:space="preserve"> 4</w:t>
      </w:r>
      <w:r>
        <w:t>.4.3</w:t>
      </w:r>
      <w:r w:rsidRPr="00273106">
        <w:t xml:space="preserve">). </w:t>
      </w:r>
      <w:r>
        <w:t>Mnichovský kome</w:t>
      </w:r>
      <w:r w:rsidR="08F22B58">
        <w:t>ntář k DA I–</w:t>
      </w:r>
      <w:r>
        <w:t xml:space="preserve">II ve formě smířlivého </w:t>
      </w:r>
      <w:r w:rsidR="0085219A">
        <w:t>„</w:t>
      </w:r>
      <w:r w:rsidRPr="00AC5C98">
        <w:rPr>
          <w:i/>
        </w:rPr>
        <w:t>potest esse</w:t>
      </w:r>
      <w:r w:rsidR="0085219A">
        <w:t>“</w:t>
      </w:r>
      <w:r w:rsidR="08F22B58">
        <w:t xml:space="preserve"> (kap. 4</w:t>
      </w:r>
      <w:r>
        <w:t xml:space="preserve">.3.2) se může vztahovat k Akvinského definici </w:t>
      </w:r>
      <w:r>
        <w:rPr>
          <w:i/>
        </w:rPr>
        <w:t>intel</w:t>
      </w:r>
      <w:r w:rsidRPr="083D498D">
        <w:rPr>
          <w:i/>
        </w:rPr>
        <w:t>l</w:t>
      </w:r>
      <w:r>
        <w:rPr>
          <w:i/>
        </w:rPr>
        <w:t>e</w:t>
      </w:r>
      <w:r w:rsidRPr="083D498D">
        <w:rPr>
          <w:i/>
        </w:rPr>
        <w:t>ctus formalis</w:t>
      </w:r>
      <w:r>
        <w:t>. Ve spise QIIIDA už tento smířlivý postoj nebyl možný</w:t>
      </w:r>
      <w:r w:rsidR="0085219A">
        <w:t>. F</w:t>
      </w:r>
      <w:r>
        <w:t xml:space="preserve">ormální intelekt </w:t>
      </w:r>
      <w:r w:rsidR="0085219A">
        <w:t xml:space="preserve">tomistů </w:t>
      </w:r>
      <w:r>
        <w:t xml:space="preserve">byl definovaný v modu </w:t>
      </w:r>
      <w:r w:rsidRPr="083D498D">
        <w:rPr>
          <w:i/>
        </w:rPr>
        <w:t>separatus</w:t>
      </w:r>
      <w:r w:rsidR="0085219A">
        <w:t>, což zásadně odporovalo</w:t>
      </w:r>
      <w:r>
        <w:t xml:space="preserve"> Komentátorovu výkladu DA III. Pravdivé poznání intelek</w:t>
      </w:r>
      <w:r w:rsidR="00B11552">
        <w:t xml:space="preserve">tuálních výkonů duše musí mít ze </w:t>
      </w:r>
      <w:r>
        <w:t>zásadních důvodů vědecký charakter</w:t>
      </w:r>
      <w:r w:rsidR="00FB6C07">
        <w:t xml:space="preserve">. </w:t>
      </w:r>
      <w:r w:rsidR="00FB6C07">
        <w:rPr>
          <w:rStyle w:val="ezkurwreuab5ozgtqnkl"/>
        </w:rPr>
        <w:t xml:space="preserve">Metafyzické výpovědi v modu </w:t>
      </w:r>
      <w:r w:rsidR="00FB6C07" w:rsidRPr="00FB6C07">
        <w:rPr>
          <w:rStyle w:val="ezkurwreuab5ozgtqnkl"/>
          <w:i/>
        </w:rPr>
        <w:t>per</w:t>
      </w:r>
      <w:r w:rsidR="00FB6C07" w:rsidRPr="00FB6C07">
        <w:rPr>
          <w:i/>
        </w:rPr>
        <w:t xml:space="preserve"> </w:t>
      </w:r>
      <w:r w:rsidR="00FB6C07" w:rsidRPr="00FB6C07">
        <w:rPr>
          <w:rStyle w:val="ezkurwreuab5ozgtqnkl"/>
          <w:i/>
        </w:rPr>
        <w:t>prius</w:t>
      </w:r>
      <w:r w:rsidR="00FB6C07">
        <w:t xml:space="preserve"> </w:t>
      </w:r>
      <w:r w:rsidR="00FB6C07">
        <w:rPr>
          <w:rStyle w:val="ezkurwreuab5ozgtqnkl"/>
        </w:rPr>
        <w:t>sledují</w:t>
      </w:r>
      <w:r w:rsidR="00FB6C07">
        <w:t xml:space="preserve"> </w:t>
      </w:r>
      <w:r w:rsidR="00FB6C07">
        <w:rPr>
          <w:rStyle w:val="ezkurwreuab5ozgtqnkl"/>
        </w:rPr>
        <w:t>kauzalitu</w:t>
      </w:r>
      <w:r w:rsidR="00FB6C07">
        <w:t xml:space="preserve"> </w:t>
      </w:r>
      <w:r w:rsidR="00FB6C07">
        <w:rPr>
          <w:rStyle w:val="ezkurwreuab5ozgtqnkl"/>
        </w:rPr>
        <w:t>prvních</w:t>
      </w:r>
      <w:r w:rsidR="00FB6C07">
        <w:t xml:space="preserve"> </w:t>
      </w:r>
      <w:r w:rsidR="00FB6C07">
        <w:rPr>
          <w:rStyle w:val="ezkurwreuab5ozgtqnkl"/>
        </w:rPr>
        <w:t>substancí</w:t>
      </w:r>
      <w:r w:rsidR="00FB6C07">
        <w:t>.</w:t>
      </w:r>
      <w:r>
        <w:t xml:space="preserve"> Jinak pozorujeme svět nikoliv adekvátně-pravdivě, ale specificky-objektivně. Pa</w:t>
      </w:r>
      <w:r w:rsidR="00FB6C07">
        <w:t xml:space="preserve">k vidíme svět skrze mytologii </w:t>
      </w:r>
      <w:r w:rsidRPr="00EA7583">
        <w:rPr>
          <w:i/>
        </w:rPr>
        <w:t>Oxfordian Fallacy</w:t>
      </w:r>
      <w:r w:rsidR="00243099">
        <w:t xml:space="preserve">. </w:t>
      </w:r>
      <w:r w:rsidR="00061F45">
        <w:t>Existuje rozdíl mezi Sigerovým fenomenologickým „</w:t>
      </w:r>
      <w:r w:rsidR="00061F45" w:rsidRPr="00061F45">
        <w:rPr>
          <w:i/>
        </w:rPr>
        <w:t>ipse</w:t>
      </w:r>
      <w:r w:rsidR="00061F45">
        <w:t xml:space="preserve">“ </w:t>
      </w:r>
      <w:r w:rsidR="00061F45" w:rsidRPr="00061F45">
        <w:t xml:space="preserve">a </w:t>
      </w:r>
      <w:r w:rsidR="00061F45" w:rsidRPr="00061F45">
        <w:lastRenderedPageBreak/>
        <w:t>Akvin</w:t>
      </w:r>
      <w:r w:rsidR="00061F45">
        <w:t xml:space="preserve">ského </w:t>
      </w:r>
      <w:r w:rsidR="00061F45" w:rsidRPr="00061F45">
        <w:t>teologickým</w:t>
      </w:r>
      <w:r w:rsidR="00061F45">
        <w:t xml:space="preserve"> „</w:t>
      </w:r>
      <w:r w:rsidR="00061F45" w:rsidRPr="00061F45">
        <w:rPr>
          <w:i/>
        </w:rPr>
        <w:t>idem</w:t>
      </w:r>
      <w:r w:rsidR="00061F45">
        <w:fldChar w:fldCharType="begin"/>
      </w:r>
      <w:r w:rsidR="00061F45">
        <w:instrText xml:space="preserve"> XE "</w:instrText>
      </w:r>
      <w:r w:rsidR="00061F45" w:rsidRPr="001C3C54">
        <w:instrText>intelekt:</w:instrText>
      </w:r>
      <w:r w:rsidR="00061F45" w:rsidRPr="00E14D4A">
        <w:rPr>
          <w:i/>
        </w:rPr>
        <w:instrText>ipse</w:instrText>
      </w:r>
      <w:r w:rsidR="00061F45" w:rsidRPr="001C3C54">
        <w:instrText>/</w:instrText>
      </w:r>
      <w:r w:rsidR="00061F45" w:rsidRPr="00E14D4A">
        <w:rPr>
          <w:i/>
        </w:rPr>
        <w:instrText>idem</w:instrText>
      </w:r>
      <w:r w:rsidR="00061F45">
        <w:instrText xml:space="preserve">" </w:instrText>
      </w:r>
      <w:r w:rsidR="00061F45">
        <w:fldChar w:fldCharType="end"/>
      </w:r>
      <w:r w:rsidR="00061F45">
        <w:t>“</w:t>
      </w:r>
      <w:r w:rsidR="00061F45" w:rsidRPr="00061F45">
        <w:t>, pokud jde o jednotu osoby nebo subjektu.</w:t>
      </w:r>
    </w:p>
    <w:p w:rsidR="08163013" w:rsidRPr="005F109F" w:rsidRDefault="08163013" w:rsidP="08163013">
      <w:pPr>
        <w:pStyle w:val="Citace"/>
        <w:rPr>
          <w:noProof/>
          <w:lang w:val="cs-CZ"/>
        </w:rPr>
      </w:pPr>
      <w:r w:rsidRPr="00273106">
        <w:rPr>
          <w:noProof/>
          <w:lang w:val="cs-CZ"/>
        </w:rPr>
        <w:t>„</w:t>
      </w:r>
      <w:r>
        <w:rPr>
          <w:noProof/>
          <w:lang w:val="cs-CZ"/>
        </w:rPr>
        <w:t>K aktu poznání, skrze který člověk poznává, že má duši, tvrdím, že duše se poznává skrze své akty (</w:t>
      </w:r>
      <w:r w:rsidRPr="005F109F">
        <w:rPr>
          <w:i/>
          <w:noProof/>
          <w:lang w:val="cs-CZ"/>
        </w:rPr>
        <w:t>anima cognoscitur per actus suos</w:t>
      </w:r>
      <w:r>
        <w:rPr>
          <w:noProof/>
          <w:lang w:val="cs-CZ"/>
        </w:rPr>
        <w:t>). Tak každý zakouší svou vlastní duši, svou existenci a své bytí (</w:t>
      </w:r>
      <w:r w:rsidRPr="005F109F">
        <w:rPr>
          <w:i/>
          <w:noProof/>
          <w:lang w:val="cs-CZ"/>
        </w:rPr>
        <w:t>percipit se animam habere</w:t>
      </w:r>
      <w:r>
        <w:rPr>
          <w:i/>
          <w:noProof/>
          <w:lang w:val="cs-CZ"/>
        </w:rPr>
        <w:t xml:space="preserve">, </w:t>
      </w:r>
      <w:r w:rsidRPr="004C73D7">
        <w:rPr>
          <w:i/>
          <w:noProof/>
        </w:rPr>
        <w:t>et vivere, et esse</w:t>
      </w:r>
      <w:r>
        <w:rPr>
          <w:noProof/>
          <w:lang w:val="cs-CZ"/>
        </w:rPr>
        <w:t xml:space="preserve">). Takto každý zakouší své vlastní vnímání i myšlení, a může vykonávat i jiné životní úkony. Proto praví Filosof v IX. knize </w:t>
      </w:r>
      <w:r w:rsidRPr="086C7B96">
        <w:rPr>
          <w:i/>
          <w:noProof/>
          <w:lang w:val="cs-CZ"/>
        </w:rPr>
        <w:t>Etiky Nikomachovy</w:t>
      </w:r>
      <w:r>
        <w:rPr>
          <w:noProof/>
          <w:lang w:val="cs-CZ"/>
        </w:rPr>
        <w:t xml:space="preserve">: vnímáme proto, že </w:t>
      </w:r>
      <w:r w:rsidR="000E513E">
        <w:rPr>
          <w:rFonts w:cs="Calibri"/>
          <w:noProof/>
          <w:lang w:val="cs-CZ"/>
        </w:rPr>
        <w:t>[aktuálně]</w:t>
      </w:r>
      <w:r w:rsidR="000E513E">
        <w:rPr>
          <w:noProof/>
          <w:lang w:val="cs-CZ"/>
        </w:rPr>
        <w:t xml:space="preserve"> </w:t>
      </w:r>
      <w:r>
        <w:rPr>
          <w:noProof/>
          <w:lang w:val="cs-CZ"/>
        </w:rPr>
        <w:t xml:space="preserve">vnímáme; rozumíme proto, že </w:t>
      </w:r>
      <w:r w:rsidR="088331F8">
        <w:rPr>
          <w:rFonts w:cs="Calibri"/>
          <w:noProof/>
          <w:lang w:val="cs-CZ"/>
        </w:rPr>
        <w:t>[aktuálně]</w:t>
      </w:r>
      <w:r w:rsidR="088331F8">
        <w:rPr>
          <w:noProof/>
          <w:lang w:val="cs-CZ"/>
        </w:rPr>
        <w:t xml:space="preserve"> </w:t>
      </w:r>
      <w:r>
        <w:rPr>
          <w:noProof/>
          <w:lang w:val="cs-CZ"/>
        </w:rPr>
        <w:t>rozumíme. A protože se takto vnímáme, rozumíme také tomu, že existujeme (</w:t>
      </w:r>
      <w:r w:rsidRPr="005F109F">
        <w:rPr>
          <w:rStyle w:val="aul"/>
          <w:i/>
          <w:noProof/>
          <w:lang w:val="cs-CZ"/>
        </w:rPr>
        <w:t>quia</w:t>
      </w:r>
      <w:r w:rsidRPr="005F109F">
        <w:rPr>
          <w:i/>
          <w:noProof/>
          <w:lang w:val="cs-CZ"/>
        </w:rPr>
        <w:t xml:space="preserve"> </w:t>
      </w:r>
      <w:r w:rsidRPr="005F109F">
        <w:rPr>
          <w:rStyle w:val="aul"/>
          <w:i/>
          <w:noProof/>
          <w:lang w:val="cs-CZ"/>
        </w:rPr>
        <w:t>hoc</w:t>
      </w:r>
      <w:r w:rsidRPr="005F109F">
        <w:rPr>
          <w:i/>
          <w:noProof/>
          <w:lang w:val="cs-CZ"/>
        </w:rPr>
        <w:t xml:space="preserve"> </w:t>
      </w:r>
      <w:r w:rsidRPr="005F109F">
        <w:rPr>
          <w:rStyle w:val="aul"/>
          <w:i/>
          <w:noProof/>
          <w:lang w:val="cs-CZ"/>
        </w:rPr>
        <w:t>sentimus,</w:t>
      </w:r>
      <w:r w:rsidRPr="005F109F">
        <w:rPr>
          <w:i/>
          <w:noProof/>
          <w:lang w:val="cs-CZ"/>
        </w:rPr>
        <w:t xml:space="preserve"> </w:t>
      </w:r>
      <w:r w:rsidRPr="005F109F">
        <w:rPr>
          <w:rStyle w:val="aul"/>
          <w:i/>
          <w:noProof/>
          <w:lang w:val="cs-CZ"/>
        </w:rPr>
        <w:t>intelligimus</w:t>
      </w:r>
      <w:r w:rsidRPr="005F109F">
        <w:rPr>
          <w:i/>
          <w:noProof/>
          <w:lang w:val="cs-CZ"/>
        </w:rPr>
        <w:t xml:space="preserve"> </w:t>
      </w:r>
      <w:r w:rsidRPr="005F109F">
        <w:rPr>
          <w:rStyle w:val="aul"/>
          <w:i/>
          <w:noProof/>
          <w:lang w:val="cs-CZ"/>
        </w:rPr>
        <w:t>quoniam</w:t>
      </w:r>
      <w:r w:rsidRPr="005F109F">
        <w:rPr>
          <w:i/>
          <w:noProof/>
          <w:lang w:val="cs-CZ"/>
        </w:rPr>
        <w:t xml:space="preserve"> </w:t>
      </w:r>
      <w:r w:rsidRPr="005F109F">
        <w:rPr>
          <w:rStyle w:val="aul"/>
          <w:i/>
          <w:noProof/>
          <w:lang w:val="cs-CZ"/>
        </w:rPr>
        <w:t>sumus</w:t>
      </w:r>
      <w:r>
        <w:rPr>
          <w:noProof/>
          <w:lang w:val="cs-CZ"/>
        </w:rPr>
        <w:t xml:space="preserve">).“ </w:t>
      </w:r>
      <w:r>
        <w:rPr>
          <w:rStyle w:val="Znakapoznpodarou"/>
        </w:rPr>
        <w:footnoteReference w:id="320"/>
      </w:r>
    </w:p>
    <w:p w:rsidR="00907DF4" w:rsidRDefault="08163013" w:rsidP="00907DF4">
      <w:r>
        <w:t xml:space="preserve">Citát jasně hájí primát </w:t>
      </w:r>
      <w:r w:rsidRPr="00273106">
        <w:t>aktuálního poznání skrze akty, kterými se duše poznává (</w:t>
      </w:r>
      <w:r w:rsidRPr="00273106">
        <w:rPr>
          <w:i/>
        </w:rPr>
        <w:t>anima cognoscitur per actus suos</w:t>
      </w:r>
      <w:r w:rsidRPr="00273106">
        <w:t xml:space="preserve">). </w:t>
      </w:r>
      <w:r w:rsidR="00DC04AB">
        <w:t>Poznání má vlastní aktualitu</w:t>
      </w:r>
      <w:r w:rsidRPr="00273106">
        <w:t xml:space="preserve">, kterou můžeme přímo zakoušet </w:t>
      </w:r>
      <w:r w:rsidR="00DC04AB" w:rsidRPr="00CF2092">
        <w:rPr>
          <w:szCs w:val="24"/>
        </w:rPr>
        <w:t>(</w:t>
      </w:r>
      <w:r w:rsidR="00ED27BB">
        <w:rPr>
          <w:i/>
          <w:szCs w:val="24"/>
        </w:rPr>
        <w:t>intell</w:t>
      </w:r>
      <w:r w:rsidR="00DC04AB" w:rsidRPr="00CF2092">
        <w:rPr>
          <w:i/>
          <w:szCs w:val="24"/>
        </w:rPr>
        <w:t>i</w:t>
      </w:r>
      <w:r w:rsidR="00ED27BB">
        <w:rPr>
          <w:i/>
          <w:szCs w:val="24"/>
        </w:rPr>
        <w:t>gi</w:t>
      </w:r>
      <w:r w:rsidR="00DC04AB" w:rsidRPr="00CF2092">
        <w:rPr>
          <w:i/>
          <w:szCs w:val="24"/>
        </w:rPr>
        <w:t>mus quoniam intelligimus</w:t>
      </w:r>
      <w:r w:rsidR="00DC04AB" w:rsidRPr="00CF2092">
        <w:rPr>
          <w:szCs w:val="24"/>
        </w:rPr>
        <w:t>)</w:t>
      </w:r>
      <w:r w:rsidRPr="00273106">
        <w:t xml:space="preserve">. </w:t>
      </w:r>
      <w:r>
        <w:t xml:space="preserve">Stejná byla i fenomenologická pozice Sigera, jak jsme viděli výše. </w:t>
      </w:r>
      <w:r w:rsidRPr="00273106">
        <w:t>Klíčová otázka ovšem zn</w:t>
      </w:r>
      <w:r>
        <w:t xml:space="preserve">í, jak své myšlení zakoušíme. Zda na způsob kritického Komentátora nebo sebereflexivního Augustina a Avicenny. Tím </w:t>
      </w:r>
      <w:r w:rsidR="088331F8">
        <w:t xml:space="preserve">je </w:t>
      </w:r>
      <w:r>
        <w:t xml:space="preserve">daný </w:t>
      </w:r>
      <w:r w:rsidR="0021015F">
        <w:t xml:space="preserve">základní </w:t>
      </w:r>
      <w:r w:rsidR="000706F8">
        <w:rPr>
          <w:i/>
        </w:rPr>
        <w:t>Bezugsinn</w:t>
      </w:r>
      <w:r>
        <w:fldChar w:fldCharType="begin"/>
      </w:r>
      <w:r>
        <w:instrText xml:space="preserve"> XE "</w:instrText>
      </w:r>
      <w:r w:rsidR="007E4FB3">
        <w:rPr>
          <w:i/>
        </w:rPr>
        <w:instrText>Bezugsinn</w:instrText>
      </w:r>
      <w:r>
        <w:instrText xml:space="preserve">" </w:instrText>
      </w:r>
      <w:r>
        <w:fldChar w:fldCharType="end"/>
      </w:r>
      <w:r>
        <w:t xml:space="preserve"> podle Heideggerovy existenciální analytiky porozumění</w:t>
      </w:r>
      <w:r w:rsidR="003B40D8">
        <w:t xml:space="preserve">. </w:t>
      </w:r>
      <w:r w:rsidR="003B40D8">
        <w:rPr>
          <w:szCs w:val="24"/>
        </w:rPr>
        <w:t xml:space="preserve">Porozumění podle Akvinského je dáno skrze </w:t>
      </w:r>
      <w:r w:rsidR="003B40D8" w:rsidRPr="00CF2092">
        <w:rPr>
          <w:i/>
          <w:szCs w:val="24"/>
        </w:rPr>
        <w:t>dativus obiectivus</w:t>
      </w:r>
      <w:r w:rsidR="003B40D8" w:rsidRPr="00CF2092">
        <w:rPr>
          <w:i/>
          <w:szCs w:val="24"/>
        </w:rPr>
        <w:fldChar w:fldCharType="begin"/>
      </w:r>
      <w:r w:rsidR="003B40D8" w:rsidRPr="00CF2092">
        <w:rPr>
          <w:szCs w:val="24"/>
        </w:rPr>
        <w:instrText xml:space="preserve"> XE "</w:instrText>
      </w:r>
      <w:r w:rsidR="003B40D8" w:rsidRPr="00CF2092">
        <w:rPr>
          <w:i/>
          <w:szCs w:val="24"/>
        </w:rPr>
        <w:instrText>dativus obiectivus</w:instrText>
      </w:r>
      <w:r w:rsidR="003B40D8" w:rsidRPr="00CF2092">
        <w:rPr>
          <w:szCs w:val="24"/>
        </w:rPr>
        <w:instrText xml:space="preserve">" </w:instrText>
      </w:r>
      <w:r w:rsidR="003B40D8" w:rsidRPr="00CF2092">
        <w:rPr>
          <w:i/>
          <w:szCs w:val="24"/>
        </w:rPr>
        <w:fldChar w:fldCharType="end"/>
      </w:r>
      <w:r w:rsidR="003B40D8" w:rsidRPr="00CF2092">
        <w:rPr>
          <w:szCs w:val="24"/>
        </w:rPr>
        <w:t xml:space="preserve"> (Kap. 4)</w:t>
      </w:r>
      <w:r w:rsidR="003B40D8">
        <w:rPr>
          <w:szCs w:val="24"/>
        </w:rPr>
        <w:t xml:space="preserve"> a porozumění Sigera skrze </w:t>
      </w:r>
      <w:r w:rsidR="003B40D8" w:rsidRPr="008801ED">
        <w:rPr>
          <w:i/>
          <w:szCs w:val="24"/>
        </w:rPr>
        <w:t>dativus metaphysicus</w:t>
      </w:r>
      <w:r w:rsidR="003B40D8">
        <w:rPr>
          <w:i/>
          <w:szCs w:val="24"/>
        </w:rPr>
        <w:fldChar w:fldCharType="begin"/>
      </w:r>
      <w:r w:rsidR="003B40D8">
        <w:instrText xml:space="preserve"> XE "</w:instrText>
      </w:r>
      <w:r w:rsidR="003B40D8" w:rsidRPr="002B327F">
        <w:rPr>
          <w:i/>
          <w:szCs w:val="24"/>
        </w:rPr>
        <w:instrText>dativus metaphysicus</w:instrText>
      </w:r>
      <w:r w:rsidR="003B40D8">
        <w:instrText xml:space="preserve">" </w:instrText>
      </w:r>
      <w:r w:rsidR="003B40D8">
        <w:rPr>
          <w:i/>
          <w:szCs w:val="24"/>
        </w:rPr>
        <w:fldChar w:fldCharType="end"/>
      </w:r>
      <w:r w:rsidR="003B40D8" w:rsidRPr="00CF2092">
        <w:rPr>
          <w:szCs w:val="24"/>
        </w:rPr>
        <w:t xml:space="preserve">. </w:t>
      </w:r>
      <w:r>
        <w:t xml:space="preserve">Buď </w:t>
      </w:r>
      <w:r>
        <w:rPr>
          <w:rStyle w:val="aul"/>
        </w:rPr>
        <w:t xml:space="preserve">výkon myšlení chápeme </w:t>
      </w:r>
      <w:r w:rsidRPr="00273106">
        <w:t xml:space="preserve">v celostním výkonu existence, nebo v intelektu jako zvláštnímu druhu </w:t>
      </w:r>
      <w:r>
        <w:t xml:space="preserve">hypostázované a aktuální </w:t>
      </w:r>
      <w:r w:rsidRPr="00273106">
        <w:t xml:space="preserve">formy </w:t>
      </w:r>
      <w:r>
        <w:t>dané v duši, která zakládá inteligibilní poznání sama od sebe</w:t>
      </w:r>
      <w:r w:rsidR="009A5938">
        <w:t xml:space="preserve">. </w:t>
      </w:r>
      <w:r w:rsidR="009A5938" w:rsidRPr="009A5938">
        <w:t xml:space="preserve">Pokud jde o </w:t>
      </w:r>
      <w:r w:rsidR="009A5938" w:rsidRPr="009A5938">
        <w:rPr>
          <w:i/>
        </w:rPr>
        <w:t>dativus auctoris</w:t>
      </w:r>
      <w:r w:rsidR="009A5938">
        <w:rPr>
          <w:i/>
        </w:rPr>
        <w:fldChar w:fldCharType="begin"/>
      </w:r>
      <w:r w:rsidR="009A5938">
        <w:instrText xml:space="preserve"> XE "</w:instrText>
      </w:r>
      <w:r w:rsidR="009A5938" w:rsidRPr="08B87C6B">
        <w:rPr>
          <w:i/>
        </w:rPr>
        <w:instrText>dativus auctoris</w:instrText>
      </w:r>
      <w:r w:rsidR="009A5938">
        <w:instrText xml:space="preserve">" </w:instrText>
      </w:r>
      <w:r w:rsidR="009A5938">
        <w:rPr>
          <w:i/>
        </w:rPr>
        <w:fldChar w:fldCharType="end"/>
      </w:r>
      <w:r w:rsidR="009A5938" w:rsidRPr="009A5938">
        <w:t xml:space="preserve">, je to buď osoba, která myslí, nebo objektivní subjekt. </w:t>
      </w:r>
      <w:r w:rsidR="006468B8">
        <w:t>Tím</w:t>
      </w:r>
      <w:r w:rsidR="009A5938">
        <w:t xml:space="preserve"> je jasné, že </w:t>
      </w:r>
      <w:r>
        <w:t>poznání podle Akvinského a Sigera není založeno stejným způsobem. Výrok „rozumíme, protože jsme“ (</w:t>
      </w:r>
      <w:r w:rsidRPr="00273106">
        <w:rPr>
          <w:rStyle w:val="aul"/>
          <w:i/>
        </w:rPr>
        <w:t>intelligimus</w:t>
      </w:r>
      <w:r w:rsidRPr="00273106">
        <w:rPr>
          <w:i/>
        </w:rPr>
        <w:t xml:space="preserve"> </w:t>
      </w:r>
      <w:r w:rsidRPr="00273106">
        <w:rPr>
          <w:rStyle w:val="aul"/>
          <w:i/>
        </w:rPr>
        <w:t>quoniam</w:t>
      </w:r>
      <w:r w:rsidRPr="00273106">
        <w:rPr>
          <w:i/>
        </w:rPr>
        <w:t xml:space="preserve"> </w:t>
      </w:r>
      <w:r w:rsidRPr="00273106">
        <w:rPr>
          <w:rStyle w:val="aul"/>
          <w:i/>
        </w:rPr>
        <w:t>sumus</w:t>
      </w:r>
      <w:r>
        <w:rPr>
          <w:rStyle w:val="aul"/>
        </w:rPr>
        <w:t>) lze číst aristotelsky podle CMDA a Sigera, nebo moderně podle Avicenny a Descarta. Pak je reflexe intelektu predikována na základě hypostaticky dané aktuality „létajího muže</w:t>
      </w:r>
      <w:r>
        <w:rPr>
          <w:rStyle w:val="aul"/>
        </w:rPr>
        <w:fldChar w:fldCharType="begin"/>
      </w:r>
      <w:r>
        <w:instrText xml:space="preserve"> XE "</w:instrText>
      </w:r>
      <w:r w:rsidRPr="004A2232">
        <w:rPr>
          <w:rStyle w:val="aul"/>
        </w:rPr>
        <w:instrText>létající muž</w:instrText>
      </w:r>
      <w:r>
        <w:instrText xml:space="preserve">" </w:instrText>
      </w:r>
      <w:r>
        <w:rPr>
          <w:rStyle w:val="aul"/>
        </w:rPr>
        <w:fldChar w:fldCharType="end"/>
      </w:r>
      <w:r>
        <w:rPr>
          <w:rStyle w:val="aul"/>
        </w:rPr>
        <w:t xml:space="preserve">“ typu neoplatonského </w:t>
      </w:r>
      <w:r w:rsidRPr="005E580B">
        <w:rPr>
          <w:rStyle w:val="aul"/>
          <w:i/>
        </w:rPr>
        <w:t>intellectus agens</w:t>
      </w:r>
      <w:r>
        <w:rPr>
          <w:rStyle w:val="aul"/>
        </w:rPr>
        <w:t xml:space="preserve">, nebo Avicennova </w:t>
      </w:r>
      <w:r w:rsidRPr="005E580B">
        <w:rPr>
          <w:rStyle w:val="aul"/>
          <w:i/>
        </w:rPr>
        <w:t>intellectus in eff</w:t>
      </w:r>
      <w:r>
        <w:rPr>
          <w:rStyle w:val="aul"/>
          <w:i/>
        </w:rPr>
        <w:t>e</w:t>
      </w:r>
      <w:r w:rsidRPr="005E580B">
        <w:rPr>
          <w:rStyle w:val="aul"/>
          <w:i/>
        </w:rPr>
        <w:t>ctu</w:t>
      </w:r>
      <w:r>
        <w:rPr>
          <w:rStyle w:val="aul"/>
          <w:i/>
        </w:rPr>
        <w:t xml:space="preserve"> </w:t>
      </w:r>
      <w:r w:rsidRPr="0090795F">
        <w:rPr>
          <w:rStyle w:val="aul"/>
        </w:rPr>
        <w:t>daného přímým náhledem do prvních pricipů</w:t>
      </w:r>
      <w:r>
        <w:rPr>
          <w:rStyle w:val="aul"/>
          <w:i/>
        </w:rPr>
        <w:t xml:space="preserve">, </w:t>
      </w:r>
      <w:r w:rsidRPr="0090795F">
        <w:rPr>
          <w:rStyle w:val="aul"/>
        </w:rPr>
        <w:t xml:space="preserve">nebo Descartova </w:t>
      </w:r>
      <w:r>
        <w:rPr>
          <w:rStyle w:val="aul"/>
        </w:rPr>
        <w:t xml:space="preserve">hypostázovaného </w:t>
      </w:r>
      <w:r w:rsidRPr="0090795F">
        <w:rPr>
          <w:rStyle w:val="aul"/>
          <w:i/>
        </w:rPr>
        <w:t>cogito ergo sum</w:t>
      </w:r>
      <w:r>
        <w:rPr>
          <w:rStyle w:val="aul"/>
          <w:i/>
        </w:rPr>
        <w:fldChar w:fldCharType="begin"/>
      </w:r>
      <w:r>
        <w:instrText xml:space="preserve"> XE "</w:instrText>
      </w:r>
      <w:r w:rsidRPr="007132A3">
        <w:rPr>
          <w:rStyle w:val="aul"/>
          <w:i/>
        </w:rPr>
        <w:instrText>cogito ergo sum</w:instrText>
      </w:r>
      <w:r>
        <w:instrText xml:space="preserve">" </w:instrText>
      </w:r>
      <w:r>
        <w:rPr>
          <w:rStyle w:val="aul"/>
          <w:i/>
        </w:rPr>
        <w:fldChar w:fldCharType="end"/>
      </w:r>
      <w:r>
        <w:rPr>
          <w:rStyle w:val="aul"/>
        </w:rPr>
        <w:t xml:space="preserve"> </w:t>
      </w:r>
      <w:r w:rsidRPr="0090795F">
        <w:rPr>
          <w:rStyle w:val="aul"/>
        </w:rPr>
        <w:t>zakládajícího evidenci vlastní existence.</w:t>
      </w:r>
      <w:r>
        <w:rPr>
          <w:rStyle w:val="aul"/>
        </w:rPr>
        <w:t xml:space="preserve"> </w:t>
      </w:r>
      <w:r w:rsidR="00541744" w:rsidRPr="00541744">
        <w:rPr>
          <w:rStyle w:val="aul"/>
        </w:rPr>
        <w:t>Akt pozná</w:t>
      </w:r>
      <w:r w:rsidR="00541744">
        <w:rPr>
          <w:rStyle w:val="aul"/>
        </w:rPr>
        <w:t>ní je dán buď ipseitou osoby v S</w:t>
      </w:r>
      <w:r w:rsidR="00541744" w:rsidRPr="00541744">
        <w:rPr>
          <w:rStyle w:val="aul"/>
        </w:rPr>
        <w:t>icilské škole, nebo identitou v</w:t>
      </w:r>
      <w:r w:rsidR="00541744">
        <w:rPr>
          <w:rStyle w:val="aul"/>
        </w:rPr>
        <w:t xml:space="preserve"> tomistickém </w:t>
      </w:r>
      <w:r w:rsidR="00541744" w:rsidRPr="00541744">
        <w:rPr>
          <w:rStyle w:val="aul"/>
        </w:rPr>
        <w:t>subj</w:t>
      </w:r>
      <w:r w:rsidR="00541744">
        <w:rPr>
          <w:rStyle w:val="aul"/>
        </w:rPr>
        <w:t>ektu, který je nositelem hypostáz</w:t>
      </w:r>
      <w:r w:rsidR="00541744" w:rsidRPr="00541744">
        <w:rPr>
          <w:rStyle w:val="aul"/>
        </w:rPr>
        <w:t xml:space="preserve">ovaného </w:t>
      </w:r>
      <w:r w:rsidR="00541744" w:rsidRPr="00541744">
        <w:rPr>
          <w:rStyle w:val="aul"/>
          <w:i/>
        </w:rPr>
        <w:t>intellectus formalis</w:t>
      </w:r>
      <w:r w:rsidR="00541744">
        <w:rPr>
          <w:rStyle w:val="aul"/>
        </w:rPr>
        <w:t xml:space="preserve">. </w:t>
      </w:r>
      <w:r w:rsidRPr="00273106">
        <w:t>Siger zásadně odmítl</w:t>
      </w:r>
      <w:r>
        <w:t xml:space="preserve"> cestu moderny </w:t>
      </w:r>
      <w:r>
        <w:lastRenderedPageBreak/>
        <w:t xml:space="preserve">popírající plnou jednotu osoby v modu zvnějšku přidaných hypostází. Proto se stal černou ovcí modernistů a tomistů, kteří uvalili objektivní </w:t>
      </w:r>
      <w:r w:rsidRPr="00F22045">
        <w:rPr>
          <w:i/>
        </w:rPr>
        <w:t>damnatio memoriae</w:t>
      </w:r>
      <w:r>
        <w:rPr>
          <w:i/>
        </w:rPr>
        <w:fldChar w:fldCharType="begin"/>
      </w:r>
      <w:r>
        <w:instrText xml:space="preserve"> XE "</w:instrText>
      </w:r>
      <w:r w:rsidRPr="008C13FF">
        <w:rPr>
          <w:i/>
        </w:rPr>
        <w:instrText>damnatio memoriae</w:instrText>
      </w:r>
      <w:r>
        <w:instrText xml:space="preserve">" </w:instrText>
      </w:r>
      <w:r>
        <w:rPr>
          <w:i/>
        </w:rPr>
        <w:fldChar w:fldCharType="end"/>
      </w:r>
      <w:r>
        <w:t xml:space="preserve"> na je</w:t>
      </w:r>
      <w:r w:rsidR="00907DF4">
        <w:t xml:space="preserve">ho pojetí metafyziky a poznání. </w:t>
      </w:r>
      <w:r>
        <w:t>Kritika Sigera potvrdila, že se Akvinský opravdu vydal směrem Toledské školy, která hypostázovala intelekt</w:t>
      </w:r>
      <w:r w:rsidRPr="00273106">
        <w:t xml:space="preserve">. Pokud se připustí jakýkoliv princip formálního charakteru intelektu, pak nelze uniknout </w:t>
      </w:r>
      <w:r>
        <w:t>Averroes</w:t>
      </w:r>
      <w:r w:rsidRPr="00273106">
        <w:t>ově kritice v CMDA ohledně Alexandra</w:t>
      </w:r>
      <w:r>
        <w:fldChar w:fldCharType="begin"/>
      </w:r>
      <w:r>
        <w:instrText xml:space="preserve"> XE "</w:instrText>
      </w:r>
      <w:r w:rsidRPr="005C0795">
        <w:instrText>Alexander, A</w:instrText>
      </w:r>
      <w:r>
        <w:instrText xml:space="preserve">frodisias" </w:instrText>
      </w:r>
      <w:r>
        <w:fldChar w:fldCharType="end"/>
      </w:r>
      <w:r w:rsidRPr="00273106">
        <w:t xml:space="preserve"> a Themistia</w:t>
      </w:r>
      <w:r>
        <w:fldChar w:fldCharType="begin"/>
      </w:r>
      <w:r>
        <w:instrText xml:space="preserve"> XE "</w:instrText>
      </w:r>
      <w:r w:rsidRPr="002255E5">
        <w:instrText>Themistius</w:instrText>
      </w:r>
      <w:r>
        <w:instrText xml:space="preserve">" </w:instrText>
      </w:r>
      <w:r>
        <w:fldChar w:fldCharType="end"/>
      </w:r>
      <w:r w:rsidRPr="00273106">
        <w:t>, kteří udělal</w:t>
      </w:r>
      <w:r>
        <w:t>i z intelektu vnější substanci</w:t>
      </w:r>
      <w:r w:rsidRPr="00273106">
        <w:t xml:space="preserve">. </w:t>
      </w:r>
      <w:r>
        <w:t>Averroes</w:t>
      </w:r>
      <w:r w:rsidRPr="00273106">
        <w:t xml:space="preserve"> ani Siger nejsou averroisty </w:t>
      </w:r>
      <w:r>
        <w:t xml:space="preserve">ve stylu </w:t>
      </w:r>
      <w:r w:rsidRPr="00273106">
        <w:t xml:space="preserve">tehdejších i dnešních </w:t>
      </w:r>
      <w:r w:rsidRPr="00273106">
        <w:rPr>
          <w:i/>
        </w:rPr>
        <w:t>Modernorum</w:t>
      </w:r>
      <w:r w:rsidRPr="00273106">
        <w:t xml:space="preserve"> a zásadně odmítají jakékoliv řešení stavějící jednotu osoby na nějaké oddělené </w:t>
      </w:r>
      <w:r>
        <w:t xml:space="preserve">aktuální </w:t>
      </w:r>
      <w:r w:rsidRPr="00273106">
        <w:t xml:space="preserve">formě </w:t>
      </w:r>
      <w:r>
        <w:t xml:space="preserve">intelektu </w:t>
      </w:r>
      <w:r w:rsidRPr="00273106">
        <w:t xml:space="preserve">či </w:t>
      </w:r>
      <w:r>
        <w:t xml:space="preserve">další hypostázované </w:t>
      </w:r>
      <w:r w:rsidRPr="00273106">
        <w:t>substanci v člověku.</w:t>
      </w:r>
      <w:r>
        <w:t xml:space="preserve"> Akvinský jako </w:t>
      </w:r>
      <w:r w:rsidRPr="08C4411B">
        <w:rPr>
          <w:i/>
        </w:rPr>
        <w:t>Expositor Novus</w:t>
      </w:r>
      <w:r>
        <w:rPr>
          <w:i/>
        </w:rPr>
        <w:fldChar w:fldCharType="begin"/>
      </w:r>
      <w:r>
        <w:instrText xml:space="preserve"> XE "</w:instrText>
      </w:r>
      <w:r w:rsidRPr="08BD0834">
        <w:rPr>
          <w:i/>
        </w:rPr>
        <w:instrText>Expositor Novus</w:instrText>
      </w:r>
      <w:r>
        <w:instrText xml:space="preserve">" </w:instrText>
      </w:r>
      <w:r>
        <w:rPr>
          <w:i/>
        </w:rPr>
        <w:fldChar w:fldCharType="end"/>
      </w:r>
      <w:r>
        <w:t xml:space="preserve"> musel řešit klíčovou otázku, zda je intelektuální schopnost daná v </w:t>
      </w:r>
      <w:r w:rsidRPr="001D1AF8">
        <w:rPr>
          <w:i/>
        </w:rPr>
        <w:t>anima intellectiva</w:t>
      </w:r>
      <w:r w:rsidR="00907DF4">
        <w:t xml:space="preserve"> nějaká forma hypostáze.</w:t>
      </w:r>
    </w:p>
    <w:p w:rsidR="08163013" w:rsidRPr="00273106" w:rsidRDefault="08163013" w:rsidP="00BB6E05">
      <w:pPr>
        <w:ind w:firstLine="397"/>
      </w:pPr>
      <w:r>
        <w:t xml:space="preserve">Současná </w:t>
      </w:r>
      <w:r w:rsidRPr="00273106">
        <w:t xml:space="preserve">interpretace </w:t>
      </w:r>
      <w:r>
        <w:t xml:space="preserve">sporu mezi těmito dvěma zastánci prvního averroismu </w:t>
      </w:r>
      <w:r w:rsidR="00B30B3D">
        <w:t xml:space="preserve">odkazuje </w:t>
      </w:r>
      <w:r w:rsidRPr="00273106">
        <w:t>na spor Wébera a Bazána</w:t>
      </w:r>
      <w:r>
        <w:fldChar w:fldCharType="begin"/>
      </w:r>
      <w:r>
        <w:instrText xml:space="preserve"> XE "</w:instrText>
      </w:r>
      <w:r w:rsidRPr="00CC45F0">
        <w:instrText>Bazán,</w:instrText>
      </w:r>
      <w:r>
        <w:instrText xml:space="preserve"> C. B." </w:instrText>
      </w:r>
      <w:r>
        <w:fldChar w:fldCharType="end"/>
      </w:r>
      <w:r w:rsidRPr="00273106">
        <w:t>, kteří se snažili definovat složitý vztah mezi Sigerem a Akvinským.</w:t>
      </w:r>
      <w:bookmarkStart w:id="57" w:name="_Ref409596619"/>
      <w:r>
        <w:t xml:space="preserve"> Sp</w:t>
      </w:r>
      <w:r w:rsidR="00E87943">
        <w:t>or zahájila Wéberova monografie</w:t>
      </w:r>
      <w:r>
        <w:t>, podle níž Akvinský po Sigerově kritice v QIIIDA opustil svou tezi o rozdílu mezi duší jako substancí a jejími potencemi</w:t>
      </w:r>
      <w:r w:rsidR="00E87943">
        <w:t xml:space="preserve"> (Wéber 1970, 87‒107)</w:t>
      </w:r>
      <w:r>
        <w:t xml:space="preserve">. Od druhého pařížského pobytu (1268‒72) prý přijal Tomáš pod vlivem Sigerovy kritiky jinou tezi o intelektu jako formě, kterou se spojuje s tělem. Tuto definici najdeme v první části </w:t>
      </w:r>
      <w:r w:rsidR="00A34FA0" w:rsidRPr="00A23D28">
        <w:rPr>
          <w:i/>
        </w:rPr>
        <w:t>Summa theologica</w:t>
      </w:r>
      <w:r>
        <w:t>.</w:t>
      </w:r>
      <w:r w:rsidRPr="00273106">
        <w:rPr>
          <w:rStyle w:val="Znakapoznpodarou"/>
        </w:rPr>
        <w:footnoteReference w:id="321"/>
      </w:r>
      <w:r>
        <w:t xml:space="preserve"> Bazán </w:t>
      </w:r>
      <w:r>
        <w:fldChar w:fldCharType="begin"/>
      </w:r>
      <w:r>
        <w:instrText xml:space="preserve"> XE "</w:instrText>
      </w:r>
      <w:r w:rsidRPr="00CC45F0">
        <w:instrText>Bazán,</w:instrText>
      </w:r>
      <w:r>
        <w:instrText xml:space="preserve"> C. B." </w:instrText>
      </w:r>
      <w:r>
        <w:fldChar w:fldCharType="end"/>
      </w:r>
      <w:r>
        <w:t xml:space="preserve">kritizoval všechny důležité argumenty Wéberovy studie: výklad Sigerových </w:t>
      </w:r>
      <w:r w:rsidR="005B057C" w:rsidRPr="00930BD7">
        <w:t>QIIIDA</w:t>
      </w:r>
      <w:r w:rsidR="005B057C">
        <w:t xml:space="preserve"> </w:t>
      </w:r>
      <w:r>
        <w:t>(zejména výklad qq. 7, 9); proměnu Tomášova myšlení po roce 1270; dataci některých částí Akvinského korpusu;  výklad neoplatonismu u Akvinského (Bazán 1974). Wéber</w:t>
      </w:r>
      <w:r>
        <w:fldChar w:fldCharType="begin"/>
      </w:r>
      <w:r>
        <w:instrText xml:space="preserve"> XE "</w:instrText>
      </w:r>
      <w:proofErr w:type="gramStart"/>
      <w:r w:rsidRPr="00837705">
        <w:instrText>Wéber, E.-H.</w:instrText>
      </w:r>
      <w:proofErr w:type="gramEnd"/>
      <w:r>
        <w:instrText xml:space="preserve">" </w:instrText>
      </w:r>
      <w:r>
        <w:fldChar w:fldCharType="end"/>
      </w:r>
      <w:r>
        <w:t xml:space="preserve"> odpověděl na kritiku ve dvou pozdějších dílech, v nichž nuancoval některé argumenty (např. ohledně redakce textů </w:t>
      </w:r>
      <w:r w:rsidR="00ED7DC4">
        <w:t xml:space="preserve">Akvinského </w:t>
      </w:r>
      <w:r>
        <w:t xml:space="preserve">po 1270), ale </w:t>
      </w:r>
      <w:r w:rsidR="08DC5BAA">
        <w:t xml:space="preserve">základní linii nezměnil (Wéber </w:t>
      </w:r>
      <w:r>
        <w:t>1976; 1991).</w:t>
      </w:r>
      <w:bookmarkEnd w:id="57"/>
      <w:r>
        <w:t xml:space="preserve"> </w:t>
      </w:r>
      <w:r w:rsidR="086451F4">
        <w:t>Polemika obou badatelů u</w:t>
      </w:r>
      <w:r w:rsidR="0876371F">
        <w:t>kázal</w:t>
      </w:r>
      <w:r w:rsidR="08B531C1">
        <w:t>a</w:t>
      </w:r>
      <w:r w:rsidR="086451F4">
        <w:t xml:space="preserve"> velmi dobře problematické body tomistické argumentace</w:t>
      </w:r>
      <w:r w:rsidR="08B531C1">
        <w:t xml:space="preserve">. To </w:t>
      </w:r>
      <w:r w:rsidR="0876371F">
        <w:t>byl velký přínos Wébera</w:t>
      </w:r>
      <w:r w:rsidR="08B531C1">
        <w:t xml:space="preserve">, </w:t>
      </w:r>
      <w:r w:rsidR="084D70E1">
        <w:t xml:space="preserve">protože tento dominikán </w:t>
      </w:r>
      <w:r w:rsidR="085E4DA6">
        <w:t>byl vystaven všeobecné kritice</w:t>
      </w:r>
      <w:r w:rsidR="0866726D">
        <w:t xml:space="preserve"> </w:t>
      </w:r>
      <w:r w:rsidR="084D70E1">
        <w:t>tomi</w:t>
      </w:r>
      <w:r w:rsidR="08FD5C77">
        <w:t>s</w:t>
      </w:r>
      <w:r w:rsidR="084D70E1">
        <w:t xml:space="preserve">tických </w:t>
      </w:r>
      <w:r w:rsidR="08FD5C77">
        <w:t>škol</w:t>
      </w:r>
      <w:r w:rsidR="086451F4">
        <w:t xml:space="preserve">. </w:t>
      </w:r>
      <w:r w:rsidR="084D70E1">
        <w:t>Jeho d</w:t>
      </w:r>
      <w:r w:rsidR="08B531C1">
        <w:t>ůležitá práce a</w:t>
      </w:r>
      <w:r w:rsidR="086451F4">
        <w:t>le nepřinesl</w:t>
      </w:r>
      <w:r w:rsidR="08B531C1">
        <w:t>a</w:t>
      </w:r>
      <w:r w:rsidR="086451F4">
        <w:t xml:space="preserve"> žádné věrohodné řešení, které by komplexně vysvětlilo komplikovanou situaci na Pařížské univerzitě v letech 1270–75. </w:t>
      </w:r>
      <w:r>
        <w:t>K</w:t>
      </w:r>
      <w:r w:rsidRPr="00273106">
        <w:t xml:space="preserve">líčový problém u Akvinského od redakce </w:t>
      </w:r>
      <w:r>
        <w:rPr>
          <w:i/>
        </w:rPr>
        <w:t>Summa contra G</w:t>
      </w:r>
      <w:r w:rsidRPr="00273106">
        <w:rPr>
          <w:i/>
        </w:rPr>
        <w:t>entiles</w:t>
      </w:r>
      <w:r w:rsidRPr="00273106">
        <w:t xml:space="preserve"> představuje pojetí </w:t>
      </w:r>
      <w:r>
        <w:t xml:space="preserve">poznání dané termínem </w:t>
      </w:r>
      <w:r w:rsidR="003E4158">
        <w:t>„</w:t>
      </w:r>
      <w:r w:rsidRPr="00273106">
        <w:rPr>
          <w:i/>
        </w:rPr>
        <w:t>formaliter</w:t>
      </w:r>
      <w:r w:rsidR="003E4158">
        <w:t>“</w:t>
      </w:r>
      <w:r w:rsidRPr="00273106">
        <w:t xml:space="preserve"> ve spojení s pasivním intelektem. </w:t>
      </w:r>
      <w:r>
        <w:t xml:space="preserve">Akvinský již v první fázi svého myšlení </w:t>
      </w:r>
      <w:r>
        <w:lastRenderedPageBreak/>
        <w:t xml:space="preserve">interpetuje </w:t>
      </w:r>
      <w:r w:rsidRPr="002D671A">
        <w:rPr>
          <w:i/>
        </w:rPr>
        <w:t>De anima</w:t>
      </w:r>
      <w:r>
        <w:t xml:space="preserve"> tak, že formální princip poznání plně určuje podstatu </w:t>
      </w:r>
      <w:r w:rsidRPr="00C51EF7">
        <w:rPr>
          <w:i/>
        </w:rPr>
        <w:t>intellectus possibilis</w:t>
      </w:r>
      <w:r>
        <w:rPr>
          <w:i/>
        </w:rPr>
        <w:fldChar w:fldCharType="begin"/>
      </w:r>
      <w:r>
        <w:instrText xml:space="preserve"> XE "</w:instrText>
      </w:r>
      <w:r w:rsidRPr="00770D02">
        <w:rPr>
          <w:i/>
        </w:rPr>
        <w:instrText>intellectus possibilis</w:instrText>
      </w:r>
      <w:r>
        <w:rPr>
          <w:i/>
        </w:rPr>
        <w:instrText>:</w:instrText>
      </w:r>
      <w:r w:rsidRPr="00A6348D">
        <w:instrText>Akvinský</w:instrText>
      </w:r>
      <w:r>
        <w:instrText xml:space="preserve">" </w:instrText>
      </w:r>
      <w:r>
        <w:rPr>
          <w:i/>
        </w:rPr>
        <w:fldChar w:fldCharType="end"/>
      </w:r>
      <w:r>
        <w:t xml:space="preserve">. Následující věta ukazuje </w:t>
      </w:r>
      <w:r w:rsidRPr="084F0EAB">
        <w:rPr>
          <w:i/>
        </w:rPr>
        <w:t>Lichtung</w:t>
      </w:r>
      <w:r>
        <w:rPr>
          <w:i/>
        </w:rPr>
        <w:fldChar w:fldCharType="begin"/>
      </w:r>
      <w:r>
        <w:instrText xml:space="preserve"> XE "</w:instrText>
      </w:r>
      <w:r w:rsidRPr="08153D49">
        <w:rPr>
          <w:i/>
        </w:rPr>
        <w:instrText>Lichtung:</w:instrText>
      </w:r>
      <w:r w:rsidRPr="082D4942">
        <w:instrText>tomismus</w:instrText>
      </w:r>
      <w:r>
        <w:instrText xml:space="preserve">" </w:instrText>
      </w:r>
      <w:r>
        <w:rPr>
          <w:i/>
        </w:rPr>
        <w:fldChar w:fldCharType="end"/>
      </w:r>
      <w:r>
        <w:t xml:space="preserve"> pravdy a nepravdy budoucího tomismu, který rozvin</w:t>
      </w:r>
      <w:r w:rsidR="000B2E48">
        <w:t>ul</w:t>
      </w:r>
      <w:r>
        <w:t xml:space="preserve"> Aegidius. Existenciální výkon </w:t>
      </w:r>
      <w:r w:rsidRPr="084F0EAB">
        <w:rPr>
          <w:i/>
        </w:rPr>
        <w:t>intellectus possibilis</w:t>
      </w:r>
      <w:r>
        <w:t xml:space="preserve"> je vyjádřen odkazem na Aristotela</w:t>
      </w:r>
      <w:r w:rsidR="0024241E">
        <w:t xml:space="preserve"> a </w:t>
      </w:r>
      <w:r>
        <w:t xml:space="preserve">tomistický výklad CMDA zůstal averroistický až dodnes. </w:t>
      </w:r>
      <w:r w:rsidR="00A00ABD">
        <w:t>Akvinský zůstal ve škole „</w:t>
      </w:r>
      <w:r w:rsidR="00A00ABD" w:rsidRPr="00A00ABD">
        <w:rPr>
          <w:i/>
        </w:rPr>
        <w:t>sequaces Aristoles</w:t>
      </w:r>
      <w:r w:rsidR="00A00ABD">
        <w:t xml:space="preserve">“, protože jeho výklad </w:t>
      </w:r>
      <w:r w:rsidR="00A00ABD" w:rsidRPr="00A00ABD">
        <w:rPr>
          <w:i/>
        </w:rPr>
        <w:t>De anima</w:t>
      </w:r>
      <w:r w:rsidR="00A00ABD">
        <w:t xml:space="preserve"> je proveden změnou neoplatonské scénáře. Tomáš odmítl učení averroistického Averrose, podle kterého je </w:t>
      </w:r>
      <w:r>
        <w:t xml:space="preserve">proces receptivního poznání </w:t>
      </w:r>
      <w:r w:rsidR="00A00ABD">
        <w:t xml:space="preserve">definován jako kopulace externí kosmické formy </w:t>
      </w:r>
      <w:r w:rsidR="00A00ABD" w:rsidRPr="00A00ABD">
        <w:rPr>
          <w:i/>
        </w:rPr>
        <w:t>intellectus posibilis</w:t>
      </w:r>
      <w:r w:rsidR="00A00ABD">
        <w:t xml:space="preserve"> a její hypostázované formy v člověku. Je to nesmysl, který Akvinský sám přivedl na svět. Tomismus Akvinského a Aegidia vznikl na základě vyloženého spisu </w:t>
      </w:r>
      <w:r w:rsidR="00A00ABD" w:rsidRPr="00A00ABD">
        <w:rPr>
          <w:i/>
        </w:rPr>
        <w:t>De potentia</w:t>
      </w:r>
      <w:r w:rsidR="00A00ABD">
        <w:t xml:space="preserve"> a brání poznání jako </w:t>
      </w:r>
      <w:r>
        <w:t xml:space="preserve">kontinuaci </w:t>
      </w:r>
      <w:r w:rsidRPr="084F0EAB">
        <w:rPr>
          <w:i/>
        </w:rPr>
        <w:t>intellectus possibilis</w:t>
      </w:r>
      <w:r>
        <w:t xml:space="preserve"> v nás na způsob autonomní formy. Tuto pozici Aristotela hájí druhá část </w:t>
      </w:r>
      <w:r w:rsidR="00F72047">
        <w:t xml:space="preserve">spisu </w:t>
      </w:r>
      <w:r w:rsidR="00F72047" w:rsidRPr="00273106">
        <w:rPr>
          <w:i/>
          <w:noProof/>
        </w:rPr>
        <w:t xml:space="preserve">Summa </w:t>
      </w:r>
      <w:r w:rsidR="00F72047">
        <w:rPr>
          <w:rStyle w:val="ref"/>
          <w:i/>
        </w:rPr>
        <w:t>contra G</w:t>
      </w:r>
      <w:r w:rsidR="00F72047" w:rsidRPr="00273106">
        <w:rPr>
          <w:rStyle w:val="ref"/>
          <w:i/>
        </w:rPr>
        <w:t>entiles</w:t>
      </w:r>
      <w:r>
        <w:t>.</w:t>
      </w:r>
    </w:p>
    <w:p w:rsidR="08163013" w:rsidRPr="00C51EF7" w:rsidRDefault="08163013" w:rsidP="08163013">
      <w:pPr>
        <w:pStyle w:val="Citace"/>
        <w:rPr>
          <w:noProof/>
          <w:lang w:val="cs-CZ"/>
        </w:rPr>
      </w:pPr>
      <w:r w:rsidRPr="00273106">
        <w:rPr>
          <w:noProof/>
        </w:rPr>
        <w:t>„</w:t>
      </w:r>
      <w:r>
        <w:rPr>
          <w:noProof/>
          <w:lang w:val="cs-CZ"/>
        </w:rPr>
        <w:t xml:space="preserve">Člověk rozumí pouze intelektem. Když </w:t>
      </w:r>
      <w:r>
        <w:rPr>
          <w:noProof/>
        </w:rPr>
        <w:t>Aristoteles</w:t>
      </w:r>
      <w:r>
        <w:rPr>
          <w:noProof/>
          <w:lang w:val="cs-CZ"/>
        </w:rPr>
        <w:t xml:space="preserve"> zkoumal princip poznání, skrze který rozumíme (</w:t>
      </w:r>
      <w:r w:rsidRPr="00C51EF7">
        <w:rPr>
          <w:i/>
          <w:noProof/>
        </w:rPr>
        <w:t>principio quo intelligimus</w:t>
      </w:r>
      <w:r>
        <w:rPr>
          <w:noProof/>
          <w:lang w:val="cs-CZ"/>
        </w:rPr>
        <w:t>), předal nám podstatu možného intelektu. Proto je třeba, aby se možný intelekt s námi spojoval formálně (</w:t>
      </w:r>
      <w:r w:rsidRPr="00C51EF7">
        <w:rPr>
          <w:i/>
          <w:noProof/>
        </w:rPr>
        <w:t>intellectum possibilem formaliter uniri nobis</w:t>
      </w:r>
      <w:r>
        <w:rPr>
          <w:noProof/>
          <w:lang w:val="cs-CZ"/>
        </w:rPr>
        <w:t>), a nikoliv pouze skrze svůj objekt.“ </w:t>
      </w:r>
      <w:r>
        <w:rPr>
          <w:rStyle w:val="Znakapoznpodarou"/>
        </w:rPr>
        <w:footnoteReference w:id="322"/>
      </w:r>
    </w:p>
    <w:p w:rsidR="00D24145" w:rsidRDefault="08163013" w:rsidP="081E7865">
      <w:r>
        <w:t xml:space="preserve">Otázka ale je, zda </w:t>
      </w:r>
      <w:r w:rsidR="00613499">
        <w:t>formální</w:t>
      </w:r>
      <w:r>
        <w:t xml:space="preserve"> spojení možného intelektu (</w:t>
      </w:r>
      <w:r w:rsidRPr="00C51EF7">
        <w:rPr>
          <w:i/>
        </w:rPr>
        <w:t>formaliter uniri nobis</w:t>
      </w:r>
      <w:r>
        <w:t xml:space="preserve">) plně vystihuje definici </w:t>
      </w:r>
      <w:r w:rsidRPr="007C6FFD">
        <w:rPr>
          <w:i/>
        </w:rPr>
        <w:t>intellectus possibilis</w:t>
      </w:r>
      <w:r>
        <w:t xml:space="preserve"> podle CMDA. Receptivní duševní schopnost je predikována pouze jako esence nebo hypostáze zakládající poznání v modu prvního principu (</w:t>
      </w:r>
      <w:r w:rsidRPr="00C51EF7">
        <w:rPr>
          <w:i/>
        </w:rPr>
        <w:t>principio quo intelligimus</w:t>
      </w:r>
      <w:r>
        <w:t xml:space="preserve">). To je pojetí </w:t>
      </w:r>
      <w:r w:rsidRPr="007C6FFD">
        <w:rPr>
          <w:i/>
        </w:rPr>
        <w:t>intellectus possibilis</w:t>
      </w:r>
      <w:r>
        <w:rPr>
          <w:i/>
        </w:rPr>
        <w:t xml:space="preserve"> </w:t>
      </w:r>
      <w:r>
        <w:t>pod</w:t>
      </w:r>
      <w:r w:rsidRPr="08416FC6">
        <w:t>l</w:t>
      </w:r>
      <w:r w:rsidR="005F77A6">
        <w:t>e Avicenny, které hájil</w:t>
      </w:r>
      <w:r>
        <w:t xml:space="preserve"> výše </w:t>
      </w:r>
      <w:r w:rsidR="005F77A6">
        <w:t>uvedený komentář ke druhé knize</w:t>
      </w:r>
      <w:r w:rsidR="084E7C2B">
        <w:t xml:space="preserve"> Sentencí (kap. 4</w:t>
      </w:r>
      <w:r>
        <w:t>.5.1)</w:t>
      </w:r>
      <w:r w:rsidRPr="08416FC6">
        <w:t xml:space="preserve">. </w:t>
      </w:r>
      <w:r>
        <w:t xml:space="preserve">Receptivita </w:t>
      </w:r>
      <w:r w:rsidRPr="08461CCC">
        <w:rPr>
          <w:i/>
        </w:rPr>
        <w:t>intellectus possibilis</w:t>
      </w:r>
      <w:r>
        <w:t xml:space="preserve"> je definována ve schématu intelektu jako </w:t>
      </w:r>
      <w:r w:rsidRPr="008C7C5B">
        <w:rPr>
          <w:i/>
        </w:rPr>
        <w:t>inmixtus</w:t>
      </w:r>
      <w:r>
        <w:rPr>
          <w:i/>
        </w:rPr>
        <w:fldChar w:fldCharType="begin"/>
      </w:r>
      <w:r>
        <w:instrText xml:space="preserve"> XE "intelekt:</w:instrText>
      </w:r>
      <w:r w:rsidRPr="00662ED6">
        <w:rPr>
          <w:i/>
        </w:rPr>
        <w:instrText>inmixtus</w:instrText>
      </w:r>
      <w:r>
        <w:instrText xml:space="preserve">" </w:instrText>
      </w:r>
      <w:r>
        <w:rPr>
          <w:i/>
        </w:rPr>
        <w:fldChar w:fldCharType="end"/>
      </w:r>
      <w:r>
        <w:t xml:space="preserve"> podle </w:t>
      </w:r>
      <w:r w:rsidRPr="008C7C5B">
        <w:rPr>
          <w:i/>
        </w:rPr>
        <w:t>De anima</w:t>
      </w:r>
      <w:r>
        <w:t xml:space="preserve">. Intelekt vzhledem ke smyslům je oddělený tím, že smyslová </w:t>
      </w:r>
      <w:r w:rsidR="00962190">
        <w:rPr>
          <w:i/>
        </w:rPr>
        <w:t>species</w:t>
      </w:r>
      <w:r>
        <w:t xml:space="preserve"> na něj působí jen skrze formální kauzalitu. Výklad porozumění podle formální kauzality ukázal spis </w:t>
      </w:r>
      <w:r>
        <w:rPr>
          <w:i/>
        </w:rPr>
        <w:t>D</w:t>
      </w:r>
      <w:r w:rsidRPr="007C6FFD">
        <w:rPr>
          <w:i/>
        </w:rPr>
        <w:t>e potentia</w:t>
      </w:r>
      <w:r>
        <w:t xml:space="preserve"> v předešlé kapitole. </w:t>
      </w:r>
      <w:r w:rsidR="00D24145" w:rsidRPr="00D24145">
        <w:t xml:space="preserve">Tomáš </w:t>
      </w:r>
      <w:r w:rsidR="00D24145">
        <w:t xml:space="preserve">určil </w:t>
      </w:r>
      <w:r w:rsidR="00D24145" w:rsidRPr="00D24145">
        <w:t>individuální akt intelektu v</w:t>
      </w:r>
      <w:r w:rsidR="00D24145">
        <w:t xml:space="preserve"> porozumění </w:t>
      </w:r>
      <w:r w:rsidR="00D24145" w:rsidRPr="00D24145">
        <w:t>aktualiz</w:t>
      </w:r>
      <w:r w:rsidR="00D24145">
        <w:t>ovaného o</w:t>
      </w:r>
      <w:r w:rsidR="00D24145" w:rsidRPr="00D24145">
        <w:t xml:space="preserve">d </w:t>
      </w:r>
      <w:r w:rsidR="00D24145">
        <w:t xml:space="preserve">existence externí </w:t>
      </w:r>
      <w:r w:rsidR="00D24145" w:rsidRPr="00D24145">
        <w:t xml:space="preserve">věci, kterou tento </w:t>
      </w:r>
      <w:r w:rsidR="00D24145">
        <w:t xml:space="preserve">tomistický subjekt </w:t>
      </w:r>
      <w:r w:rsidR="00D24145" w:rsidRPr="00D24145">
        <w:t>poznává</w:t>
      </w:r>
      <w:r w:rsidR="00D24145">
        <w:t xml:space="preserve"> v modu formálně provedené adekvace</w:t>
      </w:r>
      <w:r w:rsidR="00D24145" w:rsidRPr="00D24145">
        <w:t xml:space="preserve">. </w:t>
      </w:r>
    </w:p>
    <w:p w:rsidR="004F736A" w:rsidRDefault="08163013" w:rsidP="081E7865">
      <w:r>
        <w:t>Citát aristotelsky odlišil individuální výkon intelektu daný v osobě od předmětu</w:t>
      </w:r>
      <w:r w:rsidRPr="08C5560A">
        <w:t xml:space="preserve"> </w:t>
      </w:r>
      <w:r>
        <w:t xml:space="preserve">poznaného tímto osobním intelektem. Jenže toto rozlišení proběhlo pouze v modu intelektu </w:t>
      </w:r>
      <w:r>
        <w:lastRenderedPageBreak/>
        <w:t xml:space="preserve">predikovaného jako esence. Siger jasně a precizně zdůvodnil proti Akvinskému, že intelekt jako esence nemá žádnou kauzalitu, která umožňuje založit poznání. Kauzalitu má pouze existující osoba a ne esence, která existuje pouze v mysli jako potenciální koncept. Proto Siger odmítl avicennovské pojetí </w:t>
      </w:r>
      <w:r w:rsidRPr="007C6FFD">
        <w:rPr>
          <w:i/>
        </w:rPr>
        <w:t>intellectus possibilis</w:t>
      </w:r>
      <w:r>
        <w:rPr>
          <w:i/>
        </w:rPr>
        <w:t xml:space="preserve"> </w:t>
      </w:r>
      <w:r w:rsidRPr="08416FC6">
        <w:t xml:space="preserve">a </w:t>
      </w:r>
      <w:r>
        <w:t xml:space="preserve">s ním také </w:t>
      </w:r>
      <w:r w:rsidRPr="08416FC6">
        <w:t xml:space="preserve">Akvinského výklad CMDA. </w:t>
      </w:r>
      <w:r>
        <w:t xml:space="preserve">Spis QIIIDA podává dosud nepřekonanou exegezi CMDA. Pozdní spisy Akvinského </w:t>
      </w:r>
      <w:r w:rsidRPr="00273106">
        <w:t xml:space="preserve">traktovaly </w:t>
      </w:r>
      <w:r>
        <w:t>aktuální poznání (</w:t>
      </w:r>
      <w:r w:rsidRPr="008514C1">
        <w:rPr>
          <w:i/>
        </w:rPr>
        <w:t xml:space="preserve">tertium </w:t>
      </w:r>
      <w:r w:rsidR="00962190">
        <w:rPr>
          <w:i/>
        </w:rPr>
        <w:t>genus</w:t>
      </w:r>
      <w:r>
        <w:rPr>
          <w:i/>
        </w:rPr>
        <w:fldChar w:fldCharType="begin"/>
      </w:r>
      <w:r>
        <w:instrText xml:space="preserve"> XE "</w:instrText>
      </w:r>
      <w:r w:rsidRPr="00D80F84">
        <w:rPr>
          <w:i/>
        </w:rPr>
        <w:instrText>tertium genus</w:instrText>
      </w:r>
      <w:r>
        <w:instrText xml:space="preserve">" </w:instrText>
      </w:r>
      <w:r>
        <w:rPr>
          <w:i/>
        </w:rPr>
        <w:fldChar w:fldCharType="end"/>
      </w:r>
      <w:r>
        <w:t xml:space="preserve"> CMDA</w:t>
      </w:r>
      <w:r w:rsidR="007C1E46">
        <w:t>, Sigerův modus „</w:t>
      </w:r>
      <w:r w:rsidR="007C1E46" w:rsidRPr="00861CED">
        <w:rPr>
          <w:i/>
        </w:rPr>
        <w:t>subiective</w:t>
      </w:r>
      <w:r w:rsidR="007C1E46">
        <w:t>“</w:t>
      </w:r>
      <w:r>
        <w:t xml:space="preserve">) </w:t>
      </w:r>
      <w:r w:rsidRPr="00273106">
        <w:t xml:space="preserve">jen </w:t>
      </w:r>
      <w:r>
        <w:t xml:space="preserve">v </w:t>
      </w:r>
      <w:r w:rsidRPr="00273106">
        <w:t>abs</w:t>
      </w:r>
      <w:r>
        <w:t xml:space="preserve">traktním scénáři poznání formálního intelektu Blundovy školy a zcela pominuly Sigerův fenomenologický princip jednoty poznání v modu </w:t>
      </w:r>
      <w:r w:rsidR="00E047B7">
        <w:t>„</w:t>
      </w:r>
      <w:r w:rsidR="00E047B7" w:rsidRPr="00181AAC">
        <w:rPr>
          <w:i/>
        </w:rPr>
        <w:t>homo ipse intelligit</w:t>
      </w:r>
      <w:r w:rsidR="00E047B7">
        <w:t>“</w:t>
      </w:r>
      <w:r>
        <w:t xml:space="preserve">. </w:t>
      </w:r>
      <w:r w:rsidR="00326610">
        <w:t xml:space="preserve">Toto avicennistické pojetí </w:t>
      </w:r>
      <w:r>
        <w:t>ob</w:t>
      </w:r>
      <w:r w:rsidR="00EA7DD7">
        <w:t>sah</w:t>
      </w:r>
      <w:r>
        <w:t xml:space="preserve">uje Akvinského římský komentář k </w:t>
      </w:r>
      <w:proofErr w:type="gramStart"/>
      <w:r w:rsidRPr="00687D78">
        <w:rPr>
          <w:i/>
        </w:rPr>
        <w:t>De</w:t>
      </w:r>
      <w:proofErr w:type="gramEnd"/>
      <w:r w:rsidRPr="00687D78">
        <w:rPr>
          <w:i/>
        </w:rPr>
        <w:t xml:space="preserve"> anima</w:t>
      </w:r>
      <w:r>
        <w:rPr>
          <w:i/>
        </w:rPr>
        <w:t xml:space="preserve"> </w:t>
      </w:r>
      <w:r w:rsidRPr="00687D78">
        <w:t>(1268)</w:t>
      </w:r>
      <w:r>
        <w:t xml:space="preserve">, který </w:t>
      </w:r>
      <w:r w:rsidR="00EA7DD7">
        <w:t xml:space="preserve">znovu </w:t>
      </w:r>
      <w:r>
        <w:t>obhajuje hypostázovanou exi</w:t>
      </w:r>
      <w:r w:rsidR="00EA7DD7">
        <w:t>stenci prvních principů poznání</w:t>
      </w:r>
      <w:r>
        <w:t xml:space="preserve">. Akvinský se dívá na výkon </w:t>
      </w:r>
      <w:r w:rsidRPr="08F245AD">
        <w:rPr>
          <w:i/>
        </w:rPr>
        <w:t>intellectus possibilis</w:t>
      </w:r>
      <w:r>
        <w:t xml:space="preserve"> pouze obje</w:t>
      </w:r>
      <w:r w:rsidR="00C4494E">
        <w:t xml:space="preserve">ktivně a </w:t>
      </w:r>
      <w:r>
        <w:t>formálně</w:t>
      </w:r>
      <w:r w:rsidR="00B92083">
        <w:t xml:space="preserve">, zatímco </w:t>
      </w:r>
      <w:r w:rsidR="00C4494E">
        <w:t xml:space="preserve">Siger to dělal personálně a </w:t>
      </w:r>
      <w:r>
        <w:t xml:space="preserve">existenciálně. </w:t>
      </w:r>
      <w:r w:rsidR="00BF46F5">
        <w:t>F</w:t>
      </w:r>
      <w:r>
        <w:t xml:space="preserve">ormální postup dedukce proto obhajuje </w:t>
      </w:r>
      <w:r w:rsidR="00BF46F5">
        <w:t xml:space="preserve">pouze logickou a supoziční </w:t>
      </w:r>
      <w:r>
        <w:t>ekvivalenci mezi formální činností smyslů a intelektu (</w:t>
      </w:r>
      <w:r w:rsidRPr="089F0984">
        <w:rPr>
          <w:i/>
        </w:rPr>
        <w:t xml:space="preserve">sicut se habet </w:t>
      </w:r>
      <w:r>
        <w:rPr>
          <w:i/>
        </w:rPr>
        <w:t>sensitiv</w:t>
      </w:r>
      <w:r w:rsidRPr="089F0984">
        <w:rPr>
          <w:i/>
        </w:rPr>
        <w:t>um ad sensibilia, similiter se habere intellectum ad intelligibilia</w:t>
      </w:r>
      <w:r>
        <w:t>).</w:t>
      </w:r>
      <w:r>
        <w:rPr>
          <w:rStyle w:val="Znakapoznpodarou"/>
        </w:rPr>
        <w:footnoteReference w:id="323"/>
      </w:r>
      <w:r>
        <w:t xml:space="preserve"> </w:t>
      </w:r>
      <w:r>
        <w:rPr>
          <w:lang w:eastAsia="en-US"/>
        </w:rPr>
        <w:t>Tomáš b</w:t>
      </w:r>
      <w:r w:rsidRPr="00273106">
        <w:rPr>
          <w:lang w:eastAsia="en-US"/>
        </w:rPr>
        <w:t xml:space="preserve">rání jednotu intelektu z </w:t>
      </w:r>
      <w:r>
        <w:rPr>
          <w:lang w:eastAsia="en-US"/>
        </w:rPr>
        <w:t xml:space="preserve">esenciální </w:t>
      </w:r>
      <w:r w:rsidRPr="00273106">
        <w:rPr>
          <w:lang w:eastAsia="en-US"/>
        </w:rPr>
        <w:t>pozi</w:t>
      </w:r>
      <w:r>
        <w:rPr>
          <w:lang w:eastAsia="en-US"/>
        </w:rPr>
        <w:t>ce toho, co</w:t>
      </w:r>
      <w:r w:rsidRPr="00273106">
        <w:rPr>
          <w:lang w:eastAsia="en-US"/>
        </w:rPr>
        <w:t xml:space="preserve"> je </w:t>
      </w:r>
      <w:r>
        <w:rPr>
          <w:lang w:eastAsia="en-US"/>
        </w:rPr>
        <w:t xml:space="preserve">receptivní </w:t>
      </w:r>
      <w:r w:rsidRPr="00273106">
        <w:rPr>
          <w:lang w:eastAsia="en-US"/>
        </w:rPr>
        <w:t>intelekt</w:t>
      </w:r>
      <w:r>
        <w:rPr>
          <w:lang w:eastAsia="en-US"/>
        </w:rPr>
        <w:t xml:space="preserve"> jako </w:t>
      </w:r>
      <w:r w:rsidR="00B22562">
        <w:rPr>
          <w:lang w:eastAsia="en-US"/>
        </w:rPr>
        <w:t xml:space="preserve">hypostázovaná </w:t>
      </w:r>
      <w:r>
        <w:rPr>
          <w:lang w:eastAsia="en-US"/>
        </w:rPr>
        <w:t>forma</w:t>
      </w:r>
      <w:r w:rsidRPr="08562180">
        <w:rPr>
          <w:lang w:eastAsia="en-US"/>
        </w:rPr>
        <w:t xml:space="preserve"> </w:t>
      </w:r>
      <w:r>
        <w:rPr>
          <w:lang w:eastAsia="en-US"/>
        </w:rPr>
        <w:t xml:space="preserve">daná v substanci typu </w:t>
      </w:r>
      <w:r w:rsidR="00B22562">
        <w:rPr>
          <w:lang w:eastAsia="en-US"/>
        </w:rPr>
        <w:t>„</w:t>
      </w:r>
      <w:r w:rsidRPr="08562180">
        <w:rPr>
          <w:i/>
          <w:lang w:eastAsia="en-US"/>
        </w:rPr>
        <w:t>homo intelligit</w:t>
      </w:r>
      <w:r w:rsidR="00B22562">
        <w:rPr>
          <w:lang w:eastAsia="en-US"/>
        </w:rPr>
        <w:t>“</w:t>
      </w:r>
      <w:r w:rsidRPr="00273106">
        <w:rPr>
          <w:lang w:eastAsia="en-US"/>
        </w:rPr>
        <w:t xml:space="preserve">. </w:t>
      </w:r>
      <w:r>
        <w:rPr>
          <w:lang w:eastAsia="en-US"/>
        </w:rPr>
        <w:t xml:space="preserve">Proto přímo srovnává formální pojem </w:t>
      </w:r>
      <w:r w:rsidR="00F1098E">
        <w:rPr>
          <w:lang w:eastAsia="en-US"/>
        </w:rPr>
        <w:t>„</w:t>
      </w:r>
      <w:r w:rsidRPr="08574E30">
        <w:rPr>
          <w:i/>
          <w:lang w:eastAsia="en-US"/>
        </w:rPr>
        <w:t>intellectus possibilis</w:t>
      </w:r>
      <w:r w:rsidR="00F1098E">
        <w:rPr>
          <w:lang w:eastAsia="en-US"/>
        </w:rPr>
        <w:t>“</w:t>
      </w:r>
      <w:r>
        <w:rPr>
          <w:lang w:eastAsia="en-US"/>
        </w:rPr>
        <w:t xml:space="preserve"> s receptivitou smyslů, což ukázal citovaný výklad </w:t>
      </w:r>
      <w:r w:rsidRPr="08574E30">
        <w:rPr>
          <w:i/>
          <w:lang w:eastAsia="en-US"/>
        </w:rPr>
        <w:t>De anima</w:t>
      </w:r>
      <w:r>
        <w:rPr>
          <w:lang w:eastAsia="en-US"/>
        </w:rPr>
        <w:t xml:space="preserve">. </w:t>
      </w:r>
      <w:r>
        <w:t xml:space="preserve">Objektivní četba nenajde v komentáři </w:t>
      </w:r>
      <w:r w:rsidRPr="08F245AD">
        <w:rPr>
          <w:i/>
        </w:rPr>
        <w:t>De anima</w:t>
      </w:r>
      <w:r>
        <w:t xml:space="preserve"> 429a10 žádný rozdíl proti Sigerovi, protože zcela pominula </w:t>
      </w:r>
      <w:r>
        <w:fldChar w:fldCharType="begin"/>
      </w:r>
      <w:r>
        <w:instrText xml:space="preserve"> XE "</w:instrText>
      </w:r>
      <w:r w:rsidRPr="08F245AD">
        <w:instrText>Aristoteles</w:instrText>
      </w:r>
      <w:r w:rsidRPr="08073DC1">
        <w:rPr>
          <w:i/>
        </w:rPr>
        <w:instrText>:De anima</w:instrText>
      </w:r>
      <w:r w:rsidRPr="08073DC1">
        <w:instrText xml:space="preserve"> 429a10</w:instrText>
      </w:r>
      <w:r>
        <w:instrText xml:space="preserve">" </w:instrText>
      </w:r>
      <w:r>
        <w:fldChar w:fldCharType="end"/>
      </w:r>
      <w:r>
        <w:t>hermeneutické „jak“ (</w:t>
      </w:r>
      <w:r w:rsidRPr="084144DE">
        <w:rPr>
          <w:i/>
        </w:rPr>
        <w:t>Wie</w:t>
      </w:r>
      <w:r>
        <w:t xml:space="preserve">) poznáme. Objektivně viděno, je četba Akvinského </w:t>
      </w:r>
      <w:r w:rsidR="006B0EC4">
        <w:t>v modu „</w:t>
      </w:r>
      <w:r w:rsidR="006B0EC4" w:rsidRPr="006B0EC4">
        <w:rPr>
          <w:i/>
        </w:rPr>
        <w:t>idem</w:t>
      </w:r>
      <w:r w:rsidR="006B0EC4">
        <w:t xml:space="preserve">“ </w:t>
      </w:r>
      <w:r>
        <w:t xml:space="preserve">(ale nikoliv </w:t>
      </w:r>
      <w:r w:rsidR="006B0EC4">
        <w:t>v modu „</w:t>
      </w:r>
      <w:r w:rsidR="006B0EC4" w:rsidRPr="006B0EC4">
        <w:rPr>
          <w:i/>
        </w:rPr>
        <w:t>ipse</w:t>
      </w:r>
      <w:r w:rsidR="006B0EC4">
        <w:t>“) stejná jako</w:t>
      </w:r>
      <w:r>
        <w:t xml:space="preserve"> četb</w:t>
      </w:r>
      <w:r w:rsidR="006B0EC4">
        <w:t>a</w:t>
      </w:r>
      <w:r>
        <w:t xml:space="preserve"> Sigera. </w:t>
      </w:r>
      <w:r w:rsidR="006B0EC4">
        <w:t xml:space="preserve">Objektivní náhled podle </w:t>
      </w:r>
      <w:r w:rsidR="006B0EC4" w:rsidRPr="006B0EC4">
        <w:rPr>
          <w:i/>
          <w:szCs w:val="24"/>
        </w:rPr>
        <w:t>Gehaltsinn</w:t>
      </w:r>
      <w:r w:rsidR="006B0EC4" w:rsidRPr="008139DF">
        <w:rPr>
          <w:szCs w:val="24"/>
        </w:rPr>
        <w:t xml:space="preserve"> </w:t>
      </w:r>
      <w:r w:rsidR="006B0EC4">
        <w:rPr>
          <w:szCs w:val="24"/>
        </w:rPr>
        <w:t xml:space="preserve">není v žádném případě porozumění v modu </w:t>
      </w:r>
      <w:r w:rsidR="006B0EC4" w:rsidRPr="006B0EC4">
        <w:rPr>
          <w:i/>
          <w:szCs w:val="24"/>
        </w:rPr>
        <w:t>Bezugssinn</w:t>
      </w:r>
      <w:r w:rsidR="006B0EC4" w:rsidRPr="008139DF">
        <w:rPr>
          <w:szCs w:val="24"/>
        </w:rPr>
        <w:t>.</w:t>
      </w:r>
      <w:r w:rsidR="006B0EC4">
        <w:rPr>
          <w:szCs w:val="24"/>
        </w:rPr>
        <w:t xml:space="preserve"> </w:t>
      </w:r>
      <w:r>
        <w:t xml:space="preserve">Když dva noví expozitoři </w:t>
      </w:r>
      <w:r w:rsidRPr="08EA52D0">
        <w:rPr>
          <w:i/>
        </w:rPr>
        <w:t>De anima</w:t>
      </w:r>
      <w:r>
        <w:t xml:space="preserve"> říkají totéž, nemusí to být totéž. A to jasně viděla Sigerova škola na Rue du Fouarre a odmítla Akvinského exegezi Aristotela jako nedostatečnou. Tomášovu semiaverroistickou pozici z roku 1268 převzal Aegidius</w:t>
      </w:r>
      <w:r>
        <w:fldChar w:fldCharType="begin"/>
      </w:r>
      <w:r>
        <w:instrText xml:space="preserve"> XE "</w:instrText>
      </w:r>
      <w:r w:rsidRPr="00B54432">
        <w:instrText>Aegidius Romanus</w:instrText>
      </w:r>
      <w:r>
        <w:instrText xml:space="preserve">" </w:instrText>
      </w:r>
      <w:r>
        <w:fldChar w:fldCharType="end"/>
      </w:r>
      <w:r w:rsidR="08EE6BD1">
        <w:t>. Jím založený tomismus h</w:t>
      </w:r>
      <w:r>
        <w:t>ypostázoval autonomní výkon intelektu</w:t>
      </w:r>
      <w:r w:rsidR="00DE5460">
        <w:t xml:space="preserve">. Vývoéj opět sakončil v neoplatonském </w:t>
      </w:r>
      <w:r>
        <w:t xml:space="preserve">dualismu mezi </w:t>
      </w:r>
      <w:r w:rsidR="004F736A">
        <w:t>smyslovým a rozumovým poznáním.</w:t>
      </w:r>
    </w:p>
    <w:p w:rsidR="00352457" w:rsidRDefault="08163013" w:rsidP="004F736A">
      <w:pPr>
        <w:ind w:firstLine="397"/>
        <w:rPr>
          <w:lang w:eastAsia="en-US"/>
        </w:rPr>
      </w:pPr>
      <w:r w:rsidRPr="00273106">
        <w:lastRenderedPageBreak/>
        <w:t xml:space="preserve">Akvinský </w:t>
      </w:r>
      <w:r>
        <w:t xml:space="preserve">a po něm Albert se proto stali od vydání prvního komentáře k </w:t>
      </w:r>
      <w:proofErr w:type="gramStart"/>
      <w:r w:rsidRPr="004E70E3">
        <w:rPr>
          <w:i/>
        </w:rPr>
        <w:t>De</w:t>
      </w:r>
      <w:proofErr w:type="gramEnd"/>
      <w:r w:rsidRPr="004E70E3">
        <w:rPr>
          <w:i/>
        </w:rPr>
        <w:t xml:space="preserve"> anima</w:t>
      </w:r>
      <w:r>
        <w:t xml:space="preserve"> cílem </w:t>
      </w:r>
      <w:r w:rsidRPr="00273106">
        <w:t>Sigerov</w:t>
      </w:r>
      <w:r>
        <w:t>y</w:t>
      </w:r>
      <w:r w:rsidRPr="00273106">
        <w:t xml:space="preserve"> kriti</w:t>
      </w:r>
      <w:r>
        <w:t>ky</w:t>
      </w:r>
      <w:r w:rsidRPr="00273106">
        <w:t xml:space="preserve">, kterou adresoval prvním i druhým averroistům. </w:t>
      </w:r>
      <w:r>
        <w:t xml:space="preserve">Opakujme klíčovou tezi z </w:t>
      </w:r>
      <w:r w:rsidRPr="08BF3B3D">
        <w:t>QIIIDA</w:t>
      </w:r>
      <w:r w:rsidRPr="00273106">
        <w:t>, q. 15</w:t>
      </w:r>
      <w:r>
        <w:t xml:space="preserve"> citov</w:t>
      </w:r>
      <w:r w:rsidR="08077F8F">
        <w:t>anou a komentovanou výše (kap. 4</w:t>
      </w:r>
      <w:r>
        <w:t>.4.3). Intelekt je s námi bytostně spojen pouze jako nemateriální schopnost duše (</w:t>
      </w:r>
      <w:r w:rsidRPr="00F85723">
        <w:rPr>
          <w:i/>
        </w:rPr>
        <w:t>solum est in potentia ut nobis copuletur</w:t>
      </w:r>
      <w:r>
        <w:t xml:space="preserve">). Jakákoliv jiná definice intelektu by podle Sigera znamenala, že se s námi intelekt spojuje pouze vnějšně, tedy nikoliv v modu existenciálního </w:t>
      </w:r>
      <w:r w:rsidRPr="001D1AEF">
        <w:rPr>
          <w:i/>
        </w:rPr>
        <w:t>separabilis</w:t>
      </w:r>
      <w:r>
        <w:t xml:space="preserve">, ale neoplatonského </w:t>
      </w:r>
      <w:r w:rsidRPr="08DB6382">
        <w:rPr>
          <w:i/>
        </w:rPr>
        <w:t>separatus</w:t>
      </w:r>
      <w:r>
        <w:rPr>
          <w:i/>
        </w:rPr>
        <w:fldChar w:fldCharType="begin"/>
      </w:r>
      <w:r>
        <w:instrText xml:space="preserve"> XE "</w:instrText>
      </w:r>
      <w:r w:rsidRPr="001D1AEF">
        <w:instrText>intelekt</w:instrText>
      </w:r>
      <w:r w:rsidRPr="00613F5D">
        <w:rPr>
          <w:i/>
        </w:rPr>
        <w:instrText>:separabilis/separatus</w:instrText>
      </w:r>
      <w:r>
        <w:instrText xml:space="preserve">" </w:instrText>
      </w:r>
      <w:r>
        <w:rPr>
          <w:i/>
        </w:rPr>
        <w:fldChar w:fldCharType="end"/>
      </w:r>
      <w:r>
        <w:t>. Pak by byl intelekt podobný duši jako nemateriální formě těla a stal by hypo</w:t>
      </w:r>
      <w:r w:rsidR="00C47017">
        <w:t xml:space="preserve">stázovanou formou třetího druhu, která se přídává k tělesnému </w:t>
      </w:r>
      <w:r>
        <w:t>akt</w:t>
      </w:r>
      <w:r w:rsidR="00C47017">
        <w:t>u</w:t>
      </w:r>
      <w:r>
        <w:t xml:space="preserve"> dan</w:t>
      </w:r>
      <w:r w:rsidR="00C47017">
        <w:t>ému s</w:t>
      </w:r>
      <w:r>
        <w:t>ubstančně. Osoba by měla dvě formy, tedy intelekt a duši. To by bylo averroistické řešení vytvářející další sofistickou verzi o pluralitě substancí v jedné osobě</w:t>
      </w:r>
      <w:r>
        <w:fldChar w:fldCharType="begin"/>
      </w:r>
      <w:r>
        <w:instrText xml:space="preserve"> XE "</w:instrText>
      </w:r>
      <w:r w:rsidRPr="006F3CB1">
        <w:instrText>semiaverroismus</w:instrText>
      </w:r>
      <w:r>
        <w:instrText xml:space="preserve">" </w:instrText>
      </w:r>
      <w:r>
        <w:fldChar w:fldCharType="end"/>
      </w:r>
      <w:r>
        <w:t>. Tato pozice je jasně zaměřena proti Akvinského pojetí receptivního intelektu, z něhož se stala hypostázovaná forma už během prvního pařížs</w:t>
      </w:r>
      <w:r w:rsidR="08502F95">
        <w:t>kého pobytu do roku 1259 (kap. 4</w:t>
      </w:r>
      <w:r>
        <w:t xml:space="preserve">.5.1). Brabantský magistr proto odmítl </w:t>
      </w:r>
      <w:r w:rsidRPr="00273106">
        <w:t xml:space="preserve">Akvinského </w:t>
      </w:r>
      <w:r>
        <w:t xml:space="preserve">tezi, že </w:t>
      </w:r>
      <w:r w:rsidRPr="00273106">
        <w:t>intelekt je formou duše (</w:t>
      </w:r>
      <w:r w:rsidRPr="00273106">
        <w:rPr>
          <w:i/>
        </w:rPr>
        <w:t>qua</w:t>
      </w:r>
      <w:r w:rsidRPr="00273106">
        <w:rPr>
          <w:i/>
          <w:vertAlign w:val="superscript"/>
        </w:rPr>
        <w:t>2</w:t>
      </w:r>
      <w:r w:rsidRPr="00273106">
        <w:t xml:space="preserve">) a </w:t>
      </w:r>
      <w:r>
        <w:t xml:space="preserve">duše je formou pro </w:t>
      </w:r>
      <w:r w:rsidRPr="00273106">
        <w:t>tělesně danou existenci (</w:t>
      </w:r>
      <w:r w:rsidRPr="00273106">
        <w:rPr>
          <w:i/>
        </w:rPr>
        <w:t>qua</w:t>
      </w:r>
      <w:r w:rsidRPr="00273106">
        <w:rPr>
          <w:i/>
          <w:vertAlign w:val="superscript"/>
        </w:rPr>
        <w:t>1</w:t>
      </w:r>
      <w:r w:rsidRPr="00273106">
        <w:t>).</w:t>
      </w:r>
      <w:r>
        <w:t xml:space="preserve"> Hypostázování duše a intelektu jde přes esenciální pojetí habitu</w:t>
      </w:r>
      <w:r>
        <w:fldChar w:fldCharType="begin"/>
      </w:r>
      <w:r>
        <w:instrText xml:space="preserve"> XE "habitus" </w:instrText>
      </w:r>
      <w:r>
        <w:fldChar w:fldCharType="end"/>
      </w:r>
      <w:r>
        <w:t>, což měl poprvé Simplikius (</w:t>
      </w:r>
      <w:r w:rsidR="08502F95">
        <w:t xml:space="preserve">OBJ I, </w:t>
      </w:r>
      <w:r>
        <w:t xml:space="preserve">kap. 1.3.2). Podrobnější zkoumání pojmu </w:t>
      </w:r>
      <w:r w:rsidRPr="00870E2B">
        <w:rPr>
          <w:i/>
        </w:rPr>
        <w:t>habitus</w:t>
      </w:r>
      <w:r>
        <w:t xml:space="preserve"> u Akvinského by ukázalo, že tento termín implikuje v modu </w:t>
      </w:r>
      <w:r w:rsidRPr="00870E2B">
        <w:rPr>
          <w:i/>
        </w:rPr>
        <w:t>qua</w:t>
      </w:r>
      <w:r w:rsidRPr="00870E2B">
        <w:rPr>
          <w:i/>
          <w:vertAlign w:val="superscript"/>
        </w:rPr>
        <w:t>2</w:t>
      </w:r>
      <w:r>
        <w:t xml:space="preserve"> tezi o </w:t>
      </w:r>
      <w:r w:rsidRPr="00870E2B">
        <w:t>subsistentní</w:t>
      </w:r>
      <w:r>
        <w:t>m intelektu</w:t>
      </w:r>
      <w:r w:rsidRPr="006C7A0F">
        <w:rPr>
          <w:i/>
        </w:rPr>
        <w:fldChar w:fldCharType="begin"/>
      </w:r>
      <w:r w:rsidRPr="006C7A0F">
        <w:instrText xml:space="preserve"> XE "intelekt:modus </w:instrText>
      </w:r>
      <w:r w:rsidRPr="006C7A0F">
        <w:rPr>
          <w:i/>
        </w:rPr>
        <w:instrText>qua</w:instrText>
      </w:r>
      <w:r w:rsidRPr="006C7A0F">
        <w:rPr>
          <w:i/>
          <w:vertAlign w:val="superscript"/>
        </w:rPr>
        <w:instrText>2</w:instrText>
      </w:r>
      <w:r w:rsidRPr="006C7A0F">
        <w:instrText xml:space="preserve">" </w:instrText>
      </w:r>
      <w:r w:rsidRPr="006C7A0F">
        <w:rPr>
          <w:i/>
        </w:rPr>
        <w:fldChar w:fldCharType="end"/>
      </w:r>
      <w:r>
        <w:t xml:space="preserve">. Akvinský potřebuje </w:t>
      </w:r>
      <w:r w:rsidRPr="00D86C5E">
        <w:rPr>
          <w:i/>
        </w:rPr>
        <w:t>habitus</w:t>
      </w:r>
      <w:r>
        <w:t xml:space="preserve"> kvůli jeho „zahalovací“ či „obalovací“ schopnosti </w:t>
      </w:r>
      <w:r w:rsidRPr="00D86C5E">
        <w:t>(</w:t>
      </w:r>
      <w:r>
        <w:rPr>
          <w:i/>
        </w:rPr>
        <w:t>circumdatio</w:t>
      </w:r>
      <w:r>
        <w:t>)</w:t>
      </w:r>
      <w:r w:rsidR="00641506">
        <w:t xml:space="preserve"> od Simplikia</w:t>
      </w:r>
      <w:r>
        <w:t>, která podržuje kvazi-substanční charakter intelektu (</w:t>
      </w:r>
      <w:r w:rsidRPr="08656641">
        <w:rPr>
          <w:i/>
        </w:rPr>
        <w:t>quantum ad id quod habet in ipso intellectu</w:t>
      </w:r>
      <w:r>
        <w:t>).</w:t>
      </w:r>
      <w:r>
        <w:rPr>
          <w:rStyle w:val="Znakapoznpodarou"/>
        </w:rPr>
        <w:footnoteReference w:id="324"/>
      </w:r>
      <w:r>
        <w:t xml:space="preserve"> Tím se stal </w:t>
      </w:r>
      <w:r w:rsidR="08E55C3D">
        <w:t xml:space="preserve">tento všeobjímající </w:t>
      </w:r>
      <w:r w:rsidRPr="00870E2B">
        <w:rPr>
          <w:i/>
        </w:rPr>
        <w:t>habitus</w:t>
      </w:r>
      <w:r>
        <w:t xml:space="preserve"> </w:t>
      </w:r>
      <w:r w:rsidR="08E55C3D">
        <w:t xml:space="preserve">duše </w:t>
      </w:r>
      <w:r>
        <w:t xml:space="preserve">součástí hypostázovaného nemateriálního intelektu, který si trvale podržuje nematerialitu a zajišťuje nesmrtelnost duše. </w:t>
      </w:r>
      <w:r w:rsidRPr="00273106">
        <w:rPr>
          <w:lang w:eastAsia="en-US"/>
        </w:rPr>
        <w:t xml:space="preserve">Pro Sigera je řešení intelektu </w:t>
      </w:r>
      <w:r>
        <w:rPr>
          <w:lang w:eastAsia="en-US"/>
        </w:rPr>
        <w:t xml:space="preserve">či habitu </w:t>
      </w:r>
      <w:r w:rsidRPr="00273106">
        <w:rPr>
          <w:lang w:eastAsia="en-US"/>
        </w:rPr>
        <w:t>jako averroistické oddělené formy zásadně nepřijatelné</w:t>
      </w:r>
      <w:r>
        <w:rPr>
          <w:lang w:eastAsia="en-US"/>
        </w:rPr>
        <w:t xml:space="preserve"> z</w:t>
      </w:r>
      <w:r w:rsidRPr="00273106">
        <w:rPr>
          <w:lang w:eastAsia="en-US"/>
        </w:rPr>
        <w:t xml:space="preserve"> důvodů jasně daných v CMDA. </w:t>
      </w:r>
      <w:r>
        <w:rPr>
          <w:lang w:eastAsia="en-US"/>
        </w:rPr>
        <w:t xml:space="preserve">Tomášovo řešení </w:t>
      </w:r>
      <w:r w:rsidRPr="00273106">
        <w:rPr>
          <w:lang w:eastAsia="en-US"/>
        </w:rPr>
        <w:t>udělalo z intelektu skrytou formu na způsob substance</w:t>
      </w:r>
      <w:r>
        <w:rPr>
          <w:lang w:eastAsia="en-US"/>
        </w:rPr>
        <w:fldChar w:fldCharType="begin"/>
      </w:r>
      <w:r>
        <w:instrText xml:space="preserve"> XE "</w:instrText>
      </w:r>
      <w:r w:rsidRPr="00DE2A32">
        <w:instrText>substance</w:instrText>
      </w:r>
      <w:r>
        <w:instrText xml:space="preserve">:intelekt" </w:instrText>
      </w:r>
      <w:r>
        <w:rPr>
          <w:lang w:eastAsia="en-US"/>
        </w:rPr>
        <w:fldChar w:fldCharType="end"/>
      </w:r>
      <w:r>
        <w:rPr>
          <w:lang w:eastAsia="en-US"/>
        </w:rPr>
        <w:t xml:space="preserve"> a </w:t>
      </w:r>
      <w:r w:rsidRPr="00273106">
        <w:rPr>
          <w:lang w:eastAsia="en-US"/>
        </w:rPr>
        <w:t xml:space="preserve">zrušilo čistou potencialitu </w:t>
      </w:r>
      <w:r w:rsidRPr="00273106">
        <w:rPr>
          <w:i/>
          <w:lang w:eastAsia="en-US"/>
        </w:rPr>
        <w:t>intellectus possibilis</w:t>
      </w:r>
      <w:r w:rsidRPr="00273106">
        <w:rPr>
          <w:lang w:eastAsia="en-US"/>
        </w:rPr>
        <w:t xml:space="preserve"> jako nemateriální potence </w:t>
      </w:r>
      <w:r>
        <w:rPr>
          <w:lang w:eastAsia="en-US"/>
        </w:rPr>
        <w:t xml:space="preserve">duše. Tomistické řešení </w:t>
      </w:r>
      <w:r w:rsidRPr="00273106">
        <w:rPr>
          <w:lang w:eastAsia="en-US"/>
        </w:rPr>
        <w:t>přešlo n</w:t>
      </w:r>
      <w:r>
        <w:rPr>
          <w:lang w:eastAsia="en-US"/>
        </w:rPr>
        <w:t xml:space="preserve">a modernistické řešení objektivního intelektu </w:t>
      </w:r>
      <w:r w:rsidRPr="00273106">
        <w:rPr>
          <w:lang w:eastAsia="en-US"/>
        </w:rPr>
        <w:t xml:space="preserve">jako jsoucna třetího druhu. </w:t>
      </w:r>
      <w:r>
        <w:rPr>
          <w:lang w:eastAsia="en-US"/>
        </w:rPr>
        <w:t xml:space="preserve">Intelekt </w:t>
      </w:r>
      <w:r w:rsidRPr="00273106">
        <w:rPr>
          <w:lang w:eastAsia="en-US"/>
        </w:rPr>
        <w:t>se stal „něčím“, t</w:t>
      </w:r>
      <w:r>
        <w:rPr>
          <w:lang w:eastAsia="en-US"/>
        </w:rPr>
        <w:t>edy neoplatonským</w:t>
      </w:r>
      <w:r w:rsidRPr="00273106">
        <w:rPr>
          <w:lang w:eastAsia="en-US"/>
        </w:rPr>
        <w:t xml:space="preserve"> </w:t>
      </w:r>
      <w:r w:rsidRPr="00273106">
        <w:rPr>
          <w:i/>
          <w:lang w:eastAsia="en-US"/>
        </w:rPr>
        <w:t>hoc aliquid</w:t>
      </w:r>
      <w:r>
        <w:rPr>
          <w:lang w:eastAsia="en-US"/>
        </w:rPr>
        <w:t xml:space="preserve"> </w:t>
      </w:r>
      <w:r w:rsidRPr="00273106">
        <w:rPr>
          <w:lang w:eastAsia="en-US"/>
        </w:rPr>
        <w:t xml:space="preserve">nebo </w:t>
      </w:r>
      <w:r>
        <w:rPr>
          <w:lang w:eastAsia="en-US"/>
        </w:rPr>
        <w:t>post</w:t>
      </w:r>
      <w:r w:rsidRPr="00273106">
        <w:rPr>
          <w:lang w:eastAsia="en-US"/>
        </w:rPr>
        <w:t xml:space="preserve">moderní </w:t>
      </w:r>
      <w:r w:rsidRPr="00273106">
        <w:rPr>
          <w:i/>
          <w:lang w:eastAsia="en-US"/>
        </w:rPr>
        <w:t>res cogitans</w:t>
      </w:r>
      <w:r>
        <w:rPr>
          <w:i/>
          <w:lang w:eastAsia="en-US"/>
        </w:rPr>
        <w:fldChar w:fldCharType="begin"/>
      </w:r>
      <w:r>
        <w:instrText xml:space="preserve"> XE "</w:instrText>
      </w:r>
      <w:r w:rsidRPr="003F49D8">
        <w:rPr>
          <w:i/>
        </w:rPr>
        <w:instrText>res cogitans</w:instrText>
      </w:r>
      <w:r>
        <w:instrText xml:space="preserve">" </w:instrText>
      </w:r>
      <w:r>
        <w:rPr>
          <w:i/>
          <w:lang w:eastAsia="en-US"/>
        </w:rPr>
        <w:fldChar w:fldCharType="end"/>
      </w:r>
      <w:r>
        <w:rPr>
          <w:i/>
          <w:lang w:eastAsia="en-US"/>
        </w:rPr>
        <w:fldChar w:fldCharType="begin"/>
      </w:r>
      <w:r>
        <w:instrText xml:space="preserve"> XE "</w:instrText>
      </w:r>
      <w:r w:rsidRPr="006B0AC6">
        <w:rPr>
          <w:rStyle w:val="FontStyle129"/>
          <w:i/>
          <w:sz w:val="24"/>
        </w:rPr>
        <w:instrText xml:space="preserve">hoc </w:instrText>
      </w:r>
      <w:r w:rsidRPr="006B0AC6">
        <w:rPr>
          <w:rStyle w:val="FontStyle129"/>
          <w:i/>
          <w:sz w:val="24"/>
        </w:rPr>
        <w:lastRenderedPageBreak/>
        <w:instrText>aliquid:</w:instrText>
      </w:r>
      <w:r>
        <w:instrText xml:space="preserve">intelekt" </w:instrText>
      </w:r>
      <w:r>
        <w:rPr>
          <w:i/>
          <w:lang w:eastAsia="en-US"/>
        </w:rPr>
        <w:fldChar w:fldCharType="end"/>
      </w:r>
      <w:r w:rsidRPr="00273106">
        <w:rPr>
          <w:lang w:eastAsia="en-US"/>
        </w:rPr>
        <w:t xml:space="preserve">. To je pro aristotelského Sigera nepřijatelné stejně jako </w:t>
      </w:r>
      <w:r>
        <w:rPr>
          <w:lang w:eastAsia="en-US"/>
        </w:rPr>
        <w:t>pr</w:t>
      </w:r>
      <w:r w:rsidRPr="00273106">
        <w:rPr>
          <w:lang w:eastAsia="en-US"/>
        </w:rPr>
        <w:t xml:space="preserve">o </w:t>
      </w:r>
      <w:r>
        <w:rPr>
          <w:lang w:eastAsia="en-US"/>
        </w:rPr>
        <w:t>Averroes</w:t>
      </w:r>
      <w:r w:rsidRPr="00273106">
        <w:rPr>
          <w:lang w:eastAsia="en-US"/>
        </w:rPr>
        <w:t xml:space="preserve">e. Neexistuje žádný </w:t>
      </w:r>
      <w:r>
        <w:rPr>
          <w:lang w:eastAsia="en-US"/>
        </w:rPr>
        <w:t>neoplatonský mezistupeň mezi univerzálně-</w:t>
      </w:r>
      <w:r w:rsidRPr="00273106">
        <w:rPr>
          <w:lang w:eastAsia="en-US"/>
        </w:rPr>
        <w:t xml:space="preserve">potenciálním významem v mysli a mezi jedinečnou aktuální první substancí danou </w:t>
      </w:r>
      <w:r w:rsidRPr="00273106">
        <w:rPr>
          <w:i/>
          <w:lang w:eastAsia="en-US"/>
        </w:rPr>
        <w:t>simpliciter</w:t>
      </w:r>
      <w:r w:rsidRPr="00273106">
        <w:rPr>
          <w:lang w:eastAsia="en-US"/>
        </w:rPr>
        <w:t xml:space="preserve"> v realitě. Vyloučení jsoucna třetího druhu platí absolutně, protože jinak by neplatila Aristotelova metafyzika. Viz Sigerovu polemiku s druhým averroismem proti dvojímu určení jsoucna v jeho komentáři k </w:t>
      </w:r>
      <w:r w:rsidRPr="00273106">
        <w:rPr>
          <w:i/>
          <w:lang w:eastAsia="en-US"/>
        </w:rPr>
        <w:t>Metafyzice</w:t>
      </w:r>
      <w:r w:rsidR="08300C5D">
        <w:rPr>
          <w:lang w:eastAsia="en-US"/>
        </w:rPr>
        <w:t xml:space="preserve"> (kap. 4</w:t>
      </w:r>
      <w:r w:rsidRPr="00273106">
        <w:rPr>
          <w:lang w:eastAsia="en-US"/>
        </w:rPr>
        <w:t xml:space="preserve">.4.1). </w:t>
      </w:r>
      <w:r>
        <w:rPr>
          <w:lang w:eastAsia="en-US"/>
        </w:rPr>
        <w:t xml:space="preserve">Esenciální definice intelektu vede podle Sigera k </w:t>
      </w:r>
      <w:r w:rsidRPr="00273106">
        <w:rPr>
          <w:lang w:eastAsia="en-US"/>
        </w:rPr>
        <w:t>popření základního fenom</w:t>
      </w:r>
      <w:r>
        <w:rPr>
          <w:lang w:eastAsia="en-US"/>
        </w:rPr>
        <w:t>enologického principu</w:t>
      </w:r>
      <w:r w:rsidRPr="00273106">
        <w:rPr>
          <w:lang w:eastAsia="en-US"/>
        </w:rPr>
        <w:t>, kter</w:t>
      </w:r>
      <w:r>
        <w:rPr>
          <w:lang w:eastAsia="en-US"/>
        </w:rPr>
        <w:t>ý</w:t>
      </w:r>
      <w:r w:rsidRPr="00273106">
        <w:rPr>
          <w:lang w:eastAsia="en-US"/>
        </w:rPr>
        <w:t xml:space="preserve"> dává jednotu osoby podle CMDA </w:t>
      </w:r>
      <w:r w:rsidR="08300C5D">
        <w:rPr>
          <w:lang w:eastAsia="en-US"/>
        </w:rPr>
        <w:t>(kap. 4</w:t>
      </w:r>
      <w:r>
        <w:rPr>
          <w:lang w:eastAsia="en-US"/>
        </w:rPr>
        <w:t>.4.3</w:t>
      </w:r>
      <w:r w:rsidRPr="00273106">
        <w:rPr>
          <w:lang w:eastAsia="en-US"/>
        </w:rPr>
        <w:t xml:space="preserve">). Akvinský </w:t>
      </w:r>
      <w:r>
        <w:rPr>
          <w:lang w:eastAsia="en-US"/>
        </w:rPr>
        <w:t>ne</w:t>
      </w:r>
      <w:r w:rsidRPr="00273106">
        <w:rPr>
          <w:lang w:eastAsia="en-US"/>
        </w:rPr>
        <w:t xml:space="preserve">pochopil </w:t>
      </w:r>
      <w:r>
        <w:rPr>
          <w:lang w:eastAsia="en-US"/>
        </w:rPr>
        <w:t>pozici C</w:t>
      </w:r>
      <w:r w:rsidR="003D3E61">
        <w:rPr>
          <w:lang w:eastAsia="en-US"/>
        </w:rPr>
        <w:t xml:space="preserve">MDA, proto nedrží existenciální jednotu </w:t>
      </w:r>
      <w:r>
        <w:rPr>
          <w:lang w:eastAsia="en-US"/>
        </w:rPr>
        <w:t xml:space="preserve">osoby v modu </w:t>
      </w:r>
      <w:r w:rsidR="003D3E61">
        <w:rPr>
          <w:lang w:eastAsia="en-US"/>
        </w:rPr>
        <w:t>„</w:t>
      </w:r>
      <w:r>
        <w:rPr>
          <w:i/>
          <w:lang w:eastAsia="en-US"/>
        </w:rPr>
        <w:t>homo ipse intelligit</w:t>
      </w:r>
      <w:r w:rsidR="003D3E61">
        <w:rPr>
          <w:lang w:eastAsia="en-US"/>
        </w:rPr>
        <w:t>“</w:t>
      </w:r>
      <w:r>
        <w:rPr>
          <w:i/>
          <w:lang w:eastAsia="en-US"/>
        </w:rPr>
        <w:fldChar w:fldCharType="begin"/>
      </w:r>
      <w:r>
        <w:instrText xml:space="preserve"> XE "</w:instrText>
      </w:r>
      <w:r w:rsidRPr="00B935DC">
        <w:rPr>
          <w:rStyle w:val="Zkladntext350"/>
        </w:rPr>
        <w:instrText>osoba</w:instrText>
      </w:r>
      <w:r w:rsidRPr="00B935DC">
        <w:rPr>
          <w:rStyle w:val="Zkladntext350"/>
          <w:i/>
        </w:rPr>
        <w:instrText>:</w:instrText>
      </w:r>
      <w:r>
        <w:rPr>
          <w:rStyle w:val="Zkladntext350"/>
          <w:i/>
        </w:rPr>
        <w:instrText>homo ipse intelligit</w:instrText>
      </w:r>
      <w:r>
        <w:instrText xml:space="preserve">" </w:instrText>
      </w:r>
      <w:r>
        <w:rPr>
          <w:i/>
          <w:lang w:eastAsia="en-US"/>
        </w:rPr>
        <w:fldChar w:fldCharType="end"/>
      </w:r>
      <w:r>
        <w:rPr>
          <w:lang w:eastAsia="en-US"/>
        </w:rPr>
        <w:t xml:space="preserve">. Ekvivalence mezi esencí a existencí je zásadně chybná jednak podle vědeckého důkazu </w:t>
      </w:r>
      <w:r w:rsidRPr="08E043CE">
        <w:rPr>
          <w:i/>
          <w:lang w:eastAsia="en-US"/>
        </w:rPr>
        <w:t>Druhých analytik</w:t>
      </w:r>
      <w:r>
        <w:rPr>
          <w:lang w:eastAsia="en-US"/>
        </w:rPr>
        <w:t xml:space="preserve"> a jednak podle CMDA. Fenomenolog Siger nebyl objektivista jako teolog Akvinský. Nemateriální intelekt není individualizován v modu </w:t>
      </w:r>
      <w:r w:rsidRPr="087A1E72">
        <w:rPr>
          <w:i/>
          <w:lang w:eastAsia="en-US"/>
        </w:rPr>
        <w:t>idem</w:t>
      </w:r>
      <w:r>
        <w:rPr>
          <w:lang w:eastAsia="en-US"/>
        </w:rPr>
        <w:t xml:space="preserve"> jako materiální smysly, ale pouze v modu </w:t>
      </w:r>
      <w:r w:rsidRPr="087A1E72">
        <w:rPr>
          <w:i/>
          <w:lang w:eastAsia="en-US"/>
        </w:rPr>
        <w:t>ipse</w:t>
      </w:r>
      <w:r>
        <w:rPr>
          <w:lang w:eastAsia="en-US"/>
        </w:rPr>
        <w:t xml:space="preserve">, tedy skrze existenciální výkon myšlení podaný v aktu bytí osoby. Intelekt působí na smysly zvnějšku </w:t>
      </w:r>
      <w:r w:rsidRPr="00273106">
        <w:t xml:space="preserve">(Aristotelovo θύραθεν, Sigerovo </w:t>
      </w:r>
      <w:r w:rsidRPr="00273106">
        <w:rPr>
          <w:i/>
        </w:rPr>
        <w:t>ab extrinseco</w:t>
      </w:r>
      <w:r>
        <w:rPr>
          <w:i/>
        </w:rPr>
        <w:fldChar w:fldCharType="begin"/>
      </w:r>
      <w:r>
        <w:instrText xml:space="preserve"> XE "</w:instrText>
      </w:r>
      <w:r w:rsidRPr="00C40514">
        <w:instrText>intelekt</w:instrText>
      </w:r>
      <w:r w:rsidRPr="00F11238">
        <w:rPr>
          <w:i/>
        </w:rPr>
        <w:instrText>:ab extrinseco</w:instrText>
      </w:r>
      <w:r>
        <w:instrText xml:space="preserve">" </w:instrText>
      </w:r>
      <w:r>
        <w:rPr>
          <w:i/>
        </w:rPr>
        <w:fldChar w:fldCharType="end"/>
      </w:r>
      <w:r w:rsidRPr="00273106">
        <w:t>)</w:t>
      </w:r>
      <w:r>
        <w:t>, protože završuje v modu ipseity (</w:t>
      </w:r>
      <w:r w:rsidRPr="08F01E1C">
        <w:rPr>
          <w:i/>
        </w:rPr>
        <w:t>con</w:t>
      </w:r>
      <w:r>
        <w:rPr>
          <w:i/>
        </w:rPr>
        <w:t>s</w:t>
      </w:r>
      <w:r w:rsidRPr="08F01E1C">
        <w:rPr>
          <w:i/>
        </w:rPr>
        <w:t>cii sumus</w:t>
      </w:r>
      <w:r>
        <w:t xml:space="preserve">) </w:t>
      </w:r>
      <w:r w:rsidRPr="00273106">
        <w:t xml:space="preserve">původní výkon existence duše </w:t>
      </w:r>
      <w:r>
        <w:t xml:space="preserve">identicky </w:t>
      </w:r>
      <w:r w:rsidRPr="00273106">
        <w:t xml:space="preserve">dané </w:t>
      </w:r>
      <w:r w:rsidRPr="00273106">
        <w:rPr>
          <w:i/>
        </w:rPr>
        <w:t>simplex</w:t>
      </w:r>
      <w:r w:rsidRPr="00273106">
        <w:t xml:space="preserve"> na úrovni obou smyslových složek</w:t>
      </w:r>
      <w:r>
        <w:t xml:space="preserve"> (</w:t>
      </w:r>
      <w:r w:rsidRPr="08F01E1C">
        <w:rPr>
          <w:i/>
        </w:rPr>
        <w:t>experimur</w:t>
      </w:r>
      <w:r>
        <w:t xml:space="preserve">). </w:t>
      </w:r>
      <w:r>
        <w:rPr>
          <w:lang w:eastAsia="en-US"/>
        </w:rPr>
        <w:t xml:space="preserve">Sigerův termín </w:t>
      </w:r>
      <w:r w:rsidR="00FF2533">
        <w:rPr>
          <w:lang w:eastAsia="en-US"/>
        </w:rPr>
        <w:t>„</w:t>
      </w:r>
      <w:r>
        <w:rPr>
          <w:i/>
          <w:lang w:eastAsia="en-US"/>
        </w:rPr>
        <w:t>conscii sumus</w:t>
      </w:r>
      <w:r w:rsidR="002420CD">
        <w:rPr>
          <w:lang w:eastAsia="en-US"/>
        </w:rPr>
        <w:t>“</w:t>
      </w:r>
      <w:r>
        <w:rPr>
          <w:lang w:eastAsia="en-US"/>
        </w:rPr>
        <w:t xml:space="preserve"> nahradil termín </w:t>
      </w:r>
      <w:r w:rsidRPr="087A1E72">
        <w:rPr>
          <w:i/>
          <w:lang w:eastAsia="en-US"/>
        </w:rPr>
        <w:t xml:space="preserve">tertium </w:t>
      </w:r>
      <w:r w:rsidR="00962190">
        <w:rPr>
          <w:i/>
          <w:lang w:eastAsia="en-US"/>
        </w:rPr>
        <w:t>genus</w:t>
      </w:r>
      <w:r>
        <w:rPr>
          <w:i/>
          <w:lang w:eastAsia="en-US"/>
        </w:rPr>
        <w:t xml:space="preserve"> </w:t>
      </w:r>
      <w:r>
        <w:rPr>
          <w:lang w:eastAsia="en-US"/>
        </w:rPr>
        <w:t>daný v</w:t>
      </w:r>
      <w:r w:rsidRPr="08562180">
        <w:rPr>
          <w:lang w:eastAsia="en-US"/>
        </w:rPr>
        <w:t xml:space="preserve"> CMDA</w:t>
      </w:r>
      <w:r>
        <w:rPr>
          <w:lang w:eastAsia="en-US"/>
        </w:rPr>
        <w:t>. Akvinský nemá ipseitu</w:t>
      </w:r>
      <w:r w:rsidRPr="00273106">
        <w:rPr>
          <w:lang w:eastAsia="en-US"/>
        </w:rPr>
        <w:t xml:space="preserve"> osoby, ale pouze její </w:t>
      </w:r>
      <w:r>
        <w:rPr>
          <w:lang w:eastAsia="en-US"/>
        </w:rPr>
        <w:t>numericky danou</w:t>
      </w:r>
      <w:r w:rsidRPr="00273106">
        <w:rPr>
          <w:lang w:eastAsia="en-US"/>
        </w:rPr>
        <w:t xml:space="preserve"> </w:t>
      </w:r>
      <w:r>
        <w:rPr>
          <w:lang w:eastAsia="en-US"/>
        </w:rPr>
        <w:t xml:space="preserve">identitu zajištěnou skrze esenciální predikaci receptivního intelektu jako </w:t>
      </w:r>
      <w:r w:rsidR="00352457">
        <w:rPr>
          <w:lang w:eastAsia="en-US"/>
        </w:rPr>
        <w:t xml:space="preserve">nemateriální formy </w:t>
      </w:r>
      <w:r>
        <w:rPr>
          <w:lang w:eastAsia="en-US"/>
        </w:rPr>
        <w:t>indivi</w:t>
      </w:r>
      <w:r w:rsidR="00352457">
        <w:rPr>
          <w:lang w:eastAsia="en-US"/>
        </w:rPr>
        <w:t xml:space="preserve">dualizované skrze tělo. </w:t>
      </w:r>
    </w:p>
    <w:p w:rsidR="081E7865" w:rsidRPr="006B0EC4" w:rsidRDefault="08163013" w:rsidP="004F736A">
      <w:pPr>
        <w:ind w:firstLine="397"/>
        <w:rPr>
          <w:szCs w:val="24"/>
        </w:rPr>
      </w:pPr>
      <w:r>
        <w:rPr>
          <w:lang w:eastAsia="en-US"/>
        </w:rPr>
        <w:t xml:space="preserve">Akvinský přeměnil </w:t>
      </w:r>
      <w:r w:rsidRPr="08F245AD">
        <w:rPr>
          <w:i/>
        </w:rPr>
        <w:t>intellectus possibilis</w:t>
      </w:r>
      <w:r>
        <w:rPr>
          <w:i/>
        </w:rPr>
        <w:t xml:space="preserve"> </w:t>
      </w:r>
      <w:r w:rsidRPr="08736ABD">
        <w:t xml:space="preserve">daný v CMDA a v </w:t>
      </w:r>
      <w:proofErr w:type="gramStart"/>
      <w:r w:rsidRPr="08736ABD">
        <w:rPr>
          <w:i/>
        </w:rPr>
        <w:t>De</w:t>
      </w:r>
      <w:proofErr w:type="gramEnd"/>
      <w:r w:rsidRPr="08736ABD">
        <w:rPr>
          <w:i/>
        </w:rPr>
        <w:t xml:space="preserve"> anima</w:t>
      </w:r>
      <w:r w:rsidRPr="08736ABD">
        <w:t xml:space="preserve"> na </w:t>
      </w:r>
      <w:r>
        <w:t xml:space="preserve">novou </w:t>
      </w:r>
      <w:r>
        <w:rPr>
          <w:lang w:eastAsia="en-US"/>
        </w:rPr>
        <w:t xml:space="preserve">variantu Blundova </w:t>
      </w:r>
      <w:r w:rsidRPr="08736ABD">
        <w:rPr>
          <w:i/>
          <w:lang w:eastAsia="en-US"/>
        </w:rPr>
        <w:t>intellectus formalis</w:t>
      </w:r>
      <w:r w:rsidRPr="08736ABD">
        <w:rPr>
          <w:lang w:eastAsia="en-US"/>
        </w:rPr>
        <w:fldChar w:fldCharType="begin"/>
      </w:r>
      <w:r w:rsidRPr="08736ABD">
        <w:instrText xml:space="preserve"> XE "osoba</w:instrText>
      </w:r>
      <w:r w:rsidRPr="08736ABD">
        <w:rPr>
          <w:sz w:val="20"/>
        </w:rPr>
        <w:instrText>:</w:instrText>
      </w:r>
      <w:r w:rsidRPr="08736ABD">
        <w:instrText xml:space="preserve">ipse/idem" </w:instrText>
      </w:r>
      <w:r w:rsidRPr="08736ABD">
        <w:rPr>
          <w:lang w:eastAsia="en-US"/>
        </w:rPr>
        <w:fldChar w:fldCharType="end"/>
      </w:r>
      <w:r w:rsidRPr="08736ABD">
        <w:rPr>
          <w:lang w:eastAsia="en-US"/>
        </w:rPr>
        <w:t>.</w:t>
      </w:r>
      <w:r w:rsidRPr="00273106">
        <w:rPr>
          <w:lang w:eastAsia="en-US"/>
        </w:rPr>
        <w:t xml:space="preserve"> Hermeneutika objektivity považuje tento bod za jádro sporu mezi Sigerem a Akvinským. Zdůraznili jsme význam </w:t>
      </w:r>
      <w:r>
        <w:t xml:space="preserve">Heideggerovy </w:t>
      </w:r>
      <w:r w:rsidRPr="00273106">
        <w:rPr>
          <w:i/>
        </w:rPr>
        <w:t>Vor-blickbahn</w:t>
      </w:r>
      <w:r>
        <w:rPr>
          <w:i/>
        </w:rPr>
        <w:fldChar w:fldCharType="begin"/>
      </w:r>
      <w:r>
        <w:instrText xml:space="preserve"> XE "</w:instrText>
      </w:r>
      <w:r>
        <w:rPr>
          <w:i/>
        </w:rPr>
        <w:instrText>Vor-</w:instrText>
      </w:r>
      <w:r w:rsidRPr="000C66F2">
        <w:rPr>
          <w:i/>
        </w:rPr>
        <w:instrText>b</w:instrText>
      </w:r>
      <w:r w:rsidRPr="000C66F2">
        <w:rPr>
          <w:i/>
          <w:iCs/>
        </w:rPr>
        <w:instrText>lickbahn</w:instrText>
      </w:r>
      <w:r>
        <w:rPr>
          <w:i/>
          <w:iCs/>
        </w:rPr>
        <w:instrText>:</w:instrText>
      </w:r>
      <w:r w:rsidRPr="00F75EC3">
        <w:rPr>
          <w:iCs/>
        </w:rPr>
        <w:instrText>Heidegger</w:instrText>
      </w:r>
      <w:r>
        <w:instrText xml:space="preserve">" </w:instrText>
      </w:r>
      <w:r>
        <w:rPr>
          <w:i/>
        </w:rPr>
        <w:fldChar w:fldCharType="end"/>
      </w:r>
      <w:r w:rsidRPr="00273106">
        <w:t>, odkud přichází do pole manifestace fundamentální smysl bytí jsoucna</w:t>
      </w:r>
      <w:r>
        <w:t xml:space="preserve"> v rámci </w:t>
      </w:r>
      <w:r w:rsidRPr="00273106">
        <w:rPr>
          <w:i/>
        </w:rPr>
        <w:t>intellectus possibilis</w:t>
      </w:r>
      <w:r>
        <w:t xml:space="preserve">. </w:t>
      </w:r>
      <w:r w:rsidRPr="00273106">
        <w:t xml:space="preserve">Předešlá analýza ukázala, že Sigerova </w:t>
      </w:r>
      <w:r>
        <w:t xml:space="preserve">fenomenologická </w:t>
      </w:r>
      <w:r w:rsidRPr="00273106">
        <w:t>pozice je od</w:t>
      </w:r>
      <w:r>
        <w:t xml:space="preserve">lišná od objektivistické pozice. Akvinský definuje v modu </w:t>
      </w:r>
      <w:r w:rsidRPr="089C733C">
        <w:rPr>
          <w:i/>
        </w:rPr>
        <w:t>Oxfordian Fallacy</w:t>
      </w:r>
      <w:r>
        <w:t xml:space="preserve"> nejprve esenciální bytí intelektu a pak od něj odvozuje jeho </w:t>
      </w:r>
      <w:r w:rsidRPr="089C733C">
        <w:rPr>
          <w:i/>
        </w:rPr>
        <w:t>operatio</w:t>
      </w:r>
      <w:r w:rsidRPr="00273106">
        <w:t xml:space="preserve">. </w:t>
      </w:r>
      <w:r>
        <w:t xml:space="preserve">Ale oddělenost intelektu v modu </w:t>
      </w:r>
      <w:r w:rsidRPr="08B521D2">
        <w:rPr>
          <w:i/>
        </w:rPr>
        <w:t>separatus</w:t>
      </w:r>
      <w:r>
        <w:t xml:space="preserve"> nebo </w:t>
      </w:r>
      <w:r w:rsidRPr="08B521D2">
        <w:rPr>
          <w:i/>
        </w:rPr>
        <w:t>separabilis</w:t>
      </w:r>
      <w:r>
        <w:t xml:space="preserve"> není v predikaci Akvinského a Sigera dána stejným způsobem, což v objektivní analýze obou autorů není vidět. Averroes</w:t>
      </w:r>
      <w:r w:rsidRPr="00273106">
        <w:t xml:space="preserve"> a Siger dobře vědí</w:t>
      </w:r>
      <w:r>
        <w:t xml:space="preserve"> z výkladu </w:t>
      </w:r>
      <w:r w:rsidRPr="08732376">
        <w:rPr>
          <w:i/>
        </w:rPr>
        <w:t>De anima</w:t>
      </w:r>
      <w:r w:rsidRPr="00273106">
        <w:t>, že Sokrat</w:t>
      </w:r>
      <w:r>
        <w:t>e</w:t>
      </w:r>
      <w:r w:rsidRPr="00273106">
        <w:t xml:space="preserve">s a </w:t>
      </w:r>
      <w:r>
        <w:t>Platon</w:t>
      </w:r>
      <w:r w:rsidRPr="00273106">
        <w:t xml:space="preserve"> myslí za sebe, ale přitom myslí současně i stejnou podstatu věci (</w:t>
      </w:r>
      <w:r w:rsidR="08300C5D">
        <w:t>kap. 4</w:t>
      </w:r>
      <w:r>
        <w:t>.4.3</w:t>
      </w:r>
      <w:r w:rsidRPr="00273106">
        <w:t xml:space="preserve">). Tuto </w:t>
      </w:r>
      <w:r>
        <w:t xml:space="preserve">diferenci mezi jednotou formálního pojmu a existenciální růzností aktu myšlení </w:t>
      </w:r>
      <w:r w:rsidRPr="00273106">
        <w:t xml:space="preserve">Siger vykládá jako </w:t>
      </w:r>
      <w:r>
        <w:t xml:space="preserve">existenciální </w:t>
      </w:r>
      <w:r w:rsidRPr="00273106">
        <w:lastRenderedPageBreak/>
        <w:t xml:space="preserve">jednotu </w:t>
      </w:r>
      <w:r>
        <w:t>i</w:t>
      </w:r>
      <w:r w:rsidRPr="00273106">
        <w:t xml:space="preserve">ntelektu podle CMDA. </w:t>
      </w:r>
      <w:r>
        <w:t xml:space="preserve">Akvinský ji vykládá z formální aktualizace </w:t>
      </w:r>
      <w:r w:rsidR="00962190">
        <w:rPr>
          <w:i/>
        </w:rPr>
        <w:t>species</w:t>
      </w:r>
      <w:r w:rsidRPr="08EE5EFB">
        <w:rPr>
          <w:i/>
        </w:rPr>
        <w:t xml:space="preserve"> intelligibilis</w:t>
      </w:r>
      <w:r w:rsidR="08495478">
        <w:rPr>
          <w:i/>
        </w:rPr>
        <w:fldChar w:fldCharType="begin"/>
      </w:r>
      <w:r w:rsidR="08495478">
        <w:instrText xml:space="preserve"> XE "</w:instrText>
      </w:r>
      <w:r w:rsidR="08495478" w:rsidRPr="00DD403C">
        <w:rPr>
          <w:i/>
        </w:rPr>
        <w:instrText>species intelligibilis:</w:instrText>
      </w:r>
      <w:r w:rsidR="08495478" w:rsidRPr="00DD403C">
        <w:instrText>A</w:instrText>
      </w:r>
      <w:r w:rsidR="08495478">
        <w:instrText xml:space="preserve">kvinský" </w:instrText>
      </w:r>
      <w:r w:rsidR="08495478">
        <w:rPr>
          <w:i/>
        </w:rPr>
        <w:fldChar w:fldCharType="end"/>
      </w:r>
      <w:r>
        <w:t xml:space="preserve"> skrze smyslové poznání </w:t>
      </w:r>
      <w:r w:rsidRPr="00273106">
        <w:t>(</w:t>
      </w:r>
      <w:r w:rsidR="00962190">
        <w:rPr>
          <w:i/>
        </w:rPr>
        <w:t>species</w:t>
      </w:r>
      <w:r w:rsidRPr="00273106">
        <w:rPr>
          <w:i/>
        </w:rPr>
        <w:t xml:space="preserve"> intelligibilis, qua fit intellectus in actu</w:t>
      </w:r>
      <w:r w:rsidR="08300C5D">
        <w:t>, kap. 4</w:t>
      </w:r>
      <w:r>
        <w:t>.5.2). Existenciální výkon daný v modu jedinečné kauzality vázané na první substanci nelze formalizovat, jako to udělal Akvinský. Pak totiž vyjde formálně stejná mediace v modu smyslů a intelektu (</w:t>
      </w:r>
      <w:r>
        <w:rPr>
          <w:i/>
        </w:rPr>
        <w:t>sensitiv</w:t>
      </w:r>
      <w:r w:rsidRPr="089F0984">
        <w:rPr>
          <w:i/>
        </w:rPr>
        <w:t>um ad sensibilia, similiter se habere intellectum ad intelligibilia</w:t>
      </w:r>
      <w:r>
        <w:t xml:space="preserve">). </w:t>
      </w:r>
      <w:r w:rsidR="08345237">
        <w:t xml:space="preserve">To je pro Sigera nepřijatelné v existenciálním modu </w:t>
      </w:r>
      <w:r w:rsidR="08345237" w:rsidRPr="08345237">
        <w:rPr>
          <w:i/>
        </w:rPr>
        <w:t>ipse</w:t>
      </w:r>
      <w:r w:rsidR="08345237">
        <w:t xml:space="preserve">. </w:t>
      </w:r>
      <w:r w:rsidRPr="00273106">
        <w:t xml:space="preserve">Závěry </w:t>
      </w:r>
      <w:r>
        <w:t>Averroes</w:t>
      </w:r>
      <w:r w:rsidRPr="00273106">
        <w:t xml:space="preserve">e ohledně jednoty myšleného </w:t>
      </w:r>
      <w:r>
        <w:t xml:space="preserve">uznal </w:t>
      </w:r>
      <w:r w:rsidRPr="00273106">
        <w:t xml:space="preserve">Akvinský rozdílem mezi individuálním </w:t>
      </w:r>
      <w:r w:rsidR="00962190">
        <w:rPr>
          <w:i/>
        </w:rPr>
        <w:t>species</w:t>
      </w:r>
      <w:r w:rsidRPr="00273106">
        <w:rPr>
          <w:i/>
        </w:rPr>
        <w:t xml:space="preserve"> intelligibilis</w:t>
      </w:r>
      <w:r w:rsidR="002420CD">
        <w:t xml:space="preserve"> a univerzální</w:t>
      </w:r>
      <w:r w:rsidRPr="00273106">
        <w:t xml:space="preserve"> </w:t>
      </w:r>
      <w:r w:rsidR="002420CD">
        <w:rPr>
          <w:i/>
        </w:rPr>
        <w:t>conceptio</w:t>
      </w:r>
      <w:r w:rsidR="002420CD" w:rsidRPr="00273106">
        <w:rPr>
          <w:i/>
        </w:rPr>
        <w:t xml:space="preserve"> intellectus</w:t>
      </w:r>
      <w:r>
        <w:t xml:space="preserve">. </w:t>
      </w:r>
      <w:r w:rsidR="082C422A">
        <w:t>Objektivně viděno panuje mezi oběma myslit</w:t>
      </w:r>
      <w:r w:rsidR="0046776D">
        <w:t xml:space="preserve">eli v tomto bodě shoda, protože finální koncept </w:t>
      </w:r>
      <w:r w:rsidR="082C422A">
        <w:t xml:space="preserve">je chápán jako univerzálie daná pouze v mysli, viz předešlý výklad </w:t>
      </w:r>
      <w:r w:rsidR="082C422A">
        <w:rPr>
          <w:i/>
        </w:rPr>
        <w:t>D</w:t>
      </w:r>
      <w:r w:rsidR="082C422A" w:rsidRPr="00F47131">
        <w:rPr>
          <w:i/>
        </w:rPr>
        <w:t>e potentia</w:t>
      </w:r>
      <w:r w:rsidR="082C422A">
        <w:t xml:space="preserve"> </w:t>
      </w:r>
      <w:r w:rsidR="082C422A" w:rsidRPr="00273106">
        <w:t xml:space="preserve">(kap. </w:t>
      </w:r>
      <w:r w:rsidR="082C422A">
        <w:t>4.5.2</w:t>
      </w:r>
      <w:r w:rsidR="082C422A" w:rsidRPr="00273106">
        <w:t>)</w:t>
      </w:r>
      <w:r w:rsidR="082C422A">
        <w:t xml:space="preserve">. </w:t>
      </w:r>
      <w:r>
        <w:t xml:space="preserve">Akvinský ale nevidí jako Siger, že </w:t>
      </w:r>
      <w:r w:rsidR="00962190">
        <w:rPr>
          <w:i/>
        </w:rPr>
        <w:t>species</w:t>
      </w:r>
      <w:r w:rsidRPr="08433EC6">
        <w:rPr>
          <w:i/>
        </w:rPr>
        <w:t xml:space="preserve"> sensibilis</w:t>
      </w:r>
      <w:r>
        <w:t xml:space="preserve"> je díky materiální smyslové individuaci v modu </w:t>
      </w:r>
      <w:r w:rsidRPr="08433EC6">
        <w:rPr>
          <w:i/>
        </w:rPr>
        <w:t>idem</w:t>
      </w:r>
      <w:r>
        <w:t xml:space="preserve"> a </w:t>
      </w:r>
      <w:r w:rsidR="00962190">
        <w:rPr>
          <w:i/>
        </w:rPr>
        <w:t>species</w:t>
      </w:r>
      <w:r w:rsidRPr="08433EC6">
        <w:rPr>
          <w:i/>
        </w:rPr>
        <w:t xml:space="preserve"> intelligibilis</w:t>
      </w:r>
      <w:r>
        <w:t xml:space="preserve"> je dán v modu </w:t>
      </w:r>
      <w:r w:rsidRPr="08433EC6">
        <w:rPr>
          <w:i/>
        </w:rPr>
        <w:t>ipse</w:t>
      </w:r>
      <w:r>
        <w:t xml:space="preserve"> díky nematerialitě a existenciálnímu založení intelektu ve složené duši, kde funguje v modu </w:t>
      </w:r>
      <w:r w:rsidRPr="086A3B72">
        <w:rPr>
          <w:i/>
        </w:rPr>
        <w:t>inmixtus</w:t>
      </w:r>
      <w:r>
        <w:t xml:space="preserve"> a </w:t>
      </w:r>
      <w:r w:rsidRPr="00273106">
        <w:rPr>
          <w:i/>
        </w:rPr>
        <w:t>ab extrinseco</w:t>
      </w:r>
      <w:r>
        <w:t xml:space="preserve">. Tento rozdíl přesně definuje Boethius z Dácie v Gielově anonymu proti škole Akvinského v termínu </w:t>
      </w:r>
      <w:r w:rsidR="00611E9F">
        <w:t>„</w:t>
      </w:r>
      <w:r w:rsidRPr="08433EC6">
        <w:rPr>
          <w:i/>
        </w:rPr>
        <w:t>subiective</w:t>
      </w:r>
      <w:r>
        <w:t>‒</w:t>
      </w:r>
      <w:r w:rsidRPr="08433EC6">
        <w:rPr>
          <w:i/>
        </w:rPr>
        <w:t>obiective</w:t>
      </w:r>
      <w:r w:rsidR="00611E9F">
        <w:t>“</w:t>
      </w:r>
      <w:r w:rsidR="08B96F7D">
        <w:t xml:space="preserve"> (kap. 4</w:t>
      </w:r>
      <w:r>
        <w:t xml:space="preserve">.3.1). </w:t>
      </w:r>
      <w:r w:rsidRPr="00273106">
        <w:t>Noematický obsah myšlení různých osob (</w:t>
      </w:r>
      <w:r w:rsidRPr="00273106">
        <w:rPr>
          <w:i/>
        </w:rPr>
        <w:t>conceptus</w:t>
      </w:r>
      <w:r w:rsidRPr="00273106">
        <w:t xml:space="preserve">, </w:t>
      </w:r>
      <w:r w:rsidRPr="00273106">
        <w:rPr>
          <w:i/>
        </w:rPr>
        <w:t>vox</w:t>
      </w:r>
      <w:r w:rsidRPr="00273106">
        <w:t xml:space="preserve">) </w:t>
      </w:r>
      <w:r>
        <w:t xml:space="preserve">musí být univerzální. </w:t>
      </w:r>
      <w:r w:rsidRPr="00273106">
        <w:t>Myslíme každý za sebe</w:t>
      </w:r>
      <w:r>
        <w:t xml:space="preserve"> mimo smysly a </w:t>
      </w:r>
      <w:r w:rsidRPr="00273106">
        <w:t>myšlené obsahy jsou uni</w:t>
      </w:r>
      <w:r>
        <w:t xml:space="preserve">verzální. </w:t>
      </w:r>
      <w:r w:rsidR="081E7865">
        <w:t>A</w:t>
      </w:r>
      <w:r w:rsidR="081E7865" w:rsidRPr="00273106">
        <w:t xml:space="preserve">kt myšlení daný </w:t>
      </w:r>
      <w:r w:rsidR="081E7865">
        <w:t xml:space="preserve">v </w:t>
      </w:r>
      <w:r w:rsidR="081E7865" w:rsidRPr="00273106">
        <w:t xml:space="preserve">syntéze </w:t>
      </w:r>
      <w:r w:rsidR="00962190">
        <w:rPr>
          <w:i/>
        </w:rPr>
        <w:t>species</w:t>
      </w:r>
      <w:r w:rsidR="081E7865" w:rsidRPr="00273106">
        <w:rPr>
          <w:i/>
        </w:rPr>
        <w:t xml:space="preserve"> intelligibilis</w:t>
      </w:r>
      <w:r w:rsidR="081E7865">
        <w:rPr>
          <w:i/>
        </w:rPr>
        <w:fldChar w:fldCharType="begin"/>
      </w:r>
      <w:r w:rsidR="081E7865">
        <w:instrText xml:space="preserve"> XE "</w:instrText>
      </w:r>
      <w:r w:rsidR="081E7865" w:rsidRPr="00DD403C">
        <w:rPr>
          <w:i/>
        </w:rPr>
        <w:instrText>species intelligibilis:</w:instrText>
      </w:r>
      <w:r w:rsidR="081E7865">
        <w:instrText xml:space="preserve">Siger" </w:instrText>
      </w:r>
      <w:r w:rsidR="081E7865">
        <w:rPr>
          <w:i/>
        </w:rPr>
        <w:fldChar w:fldCharType="end"/>
      </w:r>
      <w:r w:rsidR="081E7865" w:rsidRPr="00273106">
        <w:t xml:space="preserve"> je vždy </w:t>
      </w:r>
      <w:r w:rsidR="081E7865">
        <w:t xml:space="preserve">osobní, protože smyslové poznání je </w:t>
      </w:r>
      <w:r w:rsidR="081E7865" w:rsidRPr="00273106">
        <w:t>individuální</w:t>
      </w:r>
      <w:r w:rsidR="081E7865">
        <w:t>, ale jinak než intelekt. Akvinský vidí stejně vztah smyslů a intelektu skrze paušální objektivní přirovnání (</w:t>
      </w:r>
      <w:r w:rsidR="081E7865" w:rsidRPr="081942A4">
        <w:rPr>
          <w:i/>
          <w:szCs w:val="24"/>
        </w:rPr>
        <w:t>similiter se habere</w:t>
      </w:r>
      <w:r w:rsidR="081E7865">
        <w:t xml:space="preserve">). Siger chápe spojení obou </w:t>
      </w:r>
      <w:r w:rsidR="00962190">
        <w:rPr>
          <w:i/>
        </w:rPr>
        <w:t>species</w:t>
      </w:r>
      <w:r w:rsidR="081E7865">
        <w:t xml:space="preserve"> jako existenciální výkon </w:t>
      </w:r>
      <w:r w:rsidR="081E7865" w:rsidRPr="00D331FF">
        <w:rPr>
          <w:i/>
        </w:rPr>
        <w:t>Dasein</w:t>
      </w:r>
      <w:r w:rsidR="081E7865">
        <w:t>. Objektivní a existenciální výklad „</w:t>
      </w:r>
      <w:r w:rsidR="081E7865" w:rsidRPr="00D331FF">
        <w:rPr>
          <w:i/>
        </w:rPr>
        <w:t>similiter</w:t>
      </w:r>
      <w:r w:rsidR="081E7865">
        <w:t>“ se zásadně liší, viz opakování této gigantomachie ve fenomenologii Husserla a Heideggera. Smyslové poznání je individualizované a aktualizované skrze reálný svět. Intelekt je individualizovaný a aktualizovaný skrze nemateriální abstrakci (</w:t>
      </w:r>
      <w:r w:rsidR="081E7865" w:rsidRPr="08D5114A">
        <w:rPr>
          <w:i/>
        </w:rPr>
        <w:t>inmixtus</w:t>
      </w:r>
      <w:r w:rsidR="081E7865">
        <w:t xml:space="preserve">, </w:t>
      </w:r>
      <w:r w:rsidR="081E7865" w:rsidRPr="08D5114A">
        <w:rPr>
          <w:i/>
        </w:rPr>
        <w:t>ab extrinseco</w:t>
      </w:r>
      <w:r w:rsidR="081E7865">
        <w:t>) z</w:t>
      </w:r>
      <w:r w:rsidR="00726D5B">
        <w:t xml:space="preserve"> materiálně </w:t>
      </w:r>
      <w:r w:rsidR="081E7865">
        <w:t xml:space="preserve">daných </w:t>
      </w:r>
      <w:r w:rsidR="00962190">
        <w:rPr>
          <w:i/>
        </w:rPr>
        <w:t>species</w:t>
      </w:r>
      <w:r w:rsidR="081E7865" w:rsidRPr="08D5114A">
        <w:rPr>
          <w:i/>
        </w:rPr>
        <w:t xml:space="preserve"> sensib</w:t>
      </w:r>
      <w:r w:rsidR="081E7865">
        <w:rPr>
          <w:i/>
        </w:rPr>
        <w:t>i</w:t>
      </w:r>
      <w:r w:rsidR="00726D5B">
        <w:rPr>
          <w:i/>
        </w:rPr>
        <w:t>li</w:t>
      </w:r>
      <w:r w:rsidR="081E7865" w:rsidRPr="08D5114A">
        <w:rPr>
          <w:i/>
        </w:rPr>
        <w:t>s</w:t>
      </w:r>
      <w:r w:rsidR="081E7865" w:rsidRPr="00273106">
        <w:t>.</w:t>
      </w:r>
    </w:p>
    <w:p w:rsidR="000F27DA" w:rsidRDefault="08163013" w:rsidP="00335BE2">
      <w:r>
        <w:tab/>
        <w:t xml:space="preserve">Akvinského a Sigera škola rozdělila zásadní otázka po jednotě osoby. Buď </w:t>
      </w:r>
      <w:r w:rsidR="004F4E93">
        <w:t xml:space="preserve">intelekt </w:t>
      </w:r>
      <w:proofErr w:type="gramStart"/>
      <w:r w:rsidR="00057CBE">
        <w:t xml:space="preserve">přijme </w:t>
      </w:r>
      <w:r>
        <w:t xml:space="preserve"> individuální</w:t>
      </w:r>
      <w:proofErr w:type="gramEnd"/>
      <w:r>
        <w:t xml:space="preserve"> </w:t>
      </w:r>
      <w:r w:rsidR="00962190">
        <w:rPr>
          <w:i/>
        </w:rPr>
        <w:t>species</w:t>
      </w:r>
      <w:r w:rsidRPr="08770FBA">
        <w:rPr>
          <w:i/>
        </w:rPr>
        <w:t xml:space="preserve"> intelligibilis</w:t>
      </w:r>
      <w:r w:rsidR="002714E7">
        <w:t xml:space="preserve">, </w:t>
      </w:r>
      <w:r w:rsidR="00057CBE">
        <w:t xml:space="preserve">a tím </w:t>
      </w:r>
      <w:r w:rsidR="00BF7CF8">
        <w:t xml:space="preserve">se stává aktuálním </w:t>
      </w:r>
      <w:r>
        <w:t>(</w:t>
      </w:r>
      <w:r w:rsidRPr="00273106">
        <w:rPr>
          <w:i/>
        </w:rPr>
        <w:t>qua</w:t>
      </w:r>
      <w:r w:rsidRPr="00273106">
        <w:rPr>
          <w:i/>
          <w:vertAlign w:val="superscript"/>
        </w:rPr>
        <w:t>2</w:t>
      </w:r>
      <w:r>
        <w:t xml:space="preserve">). Nebo jde o výkon celé osoby, na níž jsme kauzálně a proto svobodně zainteresováni </w:t>
      </w:r>
      <w:r w:rsidRPr="00273106">
        <w:t>(</w:t>
      </w:r>
      <w:r w:rsidRPr="00273106">
        <w:rPr>
          <w:i/>
        </w:rPr>
        <w:t>qua</w:t>
      </w:r>
      <w:r>
        <w:rPr>
          <w:i/>
          <w:vertAlign w:val="superscript"/>
        </w:rPr>
        <w:t>1</w:t>
      </w:r>
      <w:r w:rsidRPr="00273106">
        <w:t>)</w:t>
      </w:r>
      <w:r>
        <w:t xml:space="preserve">. Pro Sigera je jakákoliv pozice typu </w:t>
      </w:r>
      <w:r w:rsidRPr="00273106">
        <w:rPr>
          <w:i/>
        </w:rPr>
        <w:t>qua</w:t>
      </w:r>
      <w:r w:rsidRPr="00273106">
        <w:rPr>
          <w:i/>
          <w:vertAlign w:val="superscript"/>
        </w:rPr>
        <w:t>2</w:t>
      </w:r>
      <w:r>
        <w:t xml:space="preserve"> ve výše uvedené podobě QD </w:t>
      </w:r>
      <w:r w:rsidRPr="08DD1C4E">
        <w:rPr>
          <w:i/>
        </w:rPr>
        <w:t>De potentia</w:t>
      </w:r>
      <w:r>
        <w:t xml:space="preserve"> naprosto nepřijatelná (</w:t>
      </w:r>
      <w:r w:rsidRPr="0859068B">
        <w:rPr>
          <w:i/>
        </w:rPr>
        <w:t xml:space="preserve">intellectus habet operationem per </w:t>
      </w:r>
      <w:r w:rsidRPr="0859068B">
        <w:rPr>
          <w:i/>
          <w:szCs w:val="23"/>
        </w:rPr>
        <w:t>se</w:t>
      </w:r>
      <w:r>
        <w:t xml:space="preserve">). Citovali jsme Sigerův existenciální výklad </w:t>
      </w:r>
      <w:r>
        <w:rPr>
          <w:i/>
        </w:rPr>
        <w:t xml:space="preserve">Etiky Nikomachovy </w:t>
      </w:r>
      <w:r>
        <w:rPr>
          <w:rStyle w:val="Zkladntext429"/>
          <w:rFonts w:ascii="Calibri" w:hAnsi="Calibri"/>
          <w:i w:val="0"/>
          <w:iCs w:val="0"/>
          <w:sz w:val="22"/>
        </w:rPr>
        <w:t>(</w:t>
      </w:r>
      <w:r w:rsidRPr="000B11DB">
        <w:t>εὐδαιμονία κατ' ἀρετὴν ἐνέργεια, E.N. 1077a12</w:t>
      </w:r>
      <w:r>
        <w:fldChar w:fldCharType="begin"/>
      </w:r>
      <w:r>
        <w:instrText xml:space="preserve"> XE "</w:instrText>
      </w:r>
      <w:proofErr w:type="gramStart"/>
      <w:r>
        <w:instrText>Aristoteles:</w:instrText>
      </w:r>
      <w:r w:rsidRPr="00171CE0">
        <w:instrText>E.N.</w:instrText>
      </w:r>
      <w:proofErr w:type="gramEnd"/>
      <w:r w:rsidRPr="00171CE0">
        <w:instrText xml:space="preserve"> 1077a12</w:instrText>
      </w:r>
      <w:r>
        <w:instrText xml:space="preserve">" </w:instrText>
      </w:r>
      <w:r>
        <w:fldChar w:fldCharType="end"/>
      </w:r>
      <w:r>
        <w:rPr>
          <w:rStyle w:val="Zkladntext429"/>
          <w:rFonts w:ascii="Calibri" w:hAnsi="Calibri"/>
          <w:i w:val="0"/>
          <w:iCs w:val="0"/>
          <w:sz w:val="22"/>
        </w:rPr>
        <w:t xml:space="preserve">). </w:t>
      </w:r>
      <w:r w:rsidR="007A7D67">
        <w:rPr>
          <w:rStyle w:val="ezkurwreuab5ozgtqnkl"/>
        </w:rPr>
        <w:t>Heidegger</w:t>
      </w:r>
      <w:r w:rsidR="007A7D67">
        <w:t xml:space="preserve"> </w:t>
      </w:r>
      <w:r w:rsidR="007A7D67">
        <w:rPr>
          <w:rStyle w:val="ezkurwreuab5ozgtqnkl"/>
        </w:rPr>
        <w:t>to udělal</w:t>
      </w:r>
      <w:r w:rsidR="007A7D67">
        <w:t xml:space="preserve"> </w:t>
      </w:r>
      <w:r w:rsidR="007A7D67">
        <w:rPr>
          <w:rStyle w:val="ezkurwreuab5ozgtqnkl"/>
        </w:rPr>
        <w:t>stejným</w:t>
      </w:r>
      <w:r w:rsidR="007A7D67">
        <w:t xml:space="preserve"> </w:t>
      </w:r>
      <w:r w:rsidR="007A7D67">
        <w:rPr>
          <w:rStyle w:val="ezkurwreuab5ozgtqnkl"/>
        </w:rPr>
        <w:t>způsobem</w:t>
      </w:r>
      <w:r w:rsidR="007A7D67">
        <w:t xml:space="preserve"> </w:t>
      </w:r>
      <w:r w:rsidR="007A7D67">
        <w:rPr>
          <w:rStyle w:val="ezkurwreuab5ozgtqnkl"/>
        </w:rPr>
        <w:t xml:space="preserve">znovu, po několika stech letech myšlení manipulovaného skrze </w:t>
      </w:r>
      <w:r w:rsidR="007A7D67" w:rsidRPr="007A7D67">
        <w:rPr>
          <w:rStyle w:val="ezkurwreuab5ozgtqnkl"/>
          <w:i/>
        </w:rPr>
        <w:lastRenderedPageBreak/>
        <w:t>Oxfordian Fallacy</w:t>
      </w:r>
      <w:r w:rsidR="007A7D67">
        <w:rPr>
          <w:rStyle w:val="ezkurwreuab5ozgtqnkl"/>
        </w:rPr>
        <w:t xml:space="preserve">. </w:t>
      </w:r>
      <w:r w:rsidRPr="007A7D67">
        <w:t xml:space="preserve">Sigerův výklad </w:t>
      </w:r>
      <w:r w:rsidRPr="007A7D67">
        <w:rPr>
          <w:i/>
        </w:rPr>
        <w:t>Etiky</w:t>
      </w:r>
      <w:r w:rsidRPr="007A7D67">
        <w:t xml:space="preserve"> </w:t>
      </w:r>
      <w:r>
        <w:rPr>
          <w:rStyle w:val="Zkladntext429"/>
          <w:rFonts w:ascii="Calibri" w:hAnsi="Calibri"/>
          <w:i w:val="0"/>
          <w:iCs w:val="0"/>
          <w:sz w:val="22"/>
        </w:rPr>
        <w:t>u</w:t>
      </w:r>
      <w:r>
        <w:t xml:space="preserve">kázal, že Albert a Akvinský nepoznali skutečnou intenci Aristotela a nebyli schopni do hloubky intepretovat spis </w:t>
      </w:r>
      <w:r w:rsidRPr="00334266">
        <w:rPr>
          <w:i/>
        </w:rPr>
        <w:t>De anima</w:t>
      </w:r>
      <w:r>
        <w:t xml:space="preserve"> (</w:t>
      </w:r>
      <w:r w:rsidRPr="00334266">
        <w:rPr>
          <w:i/>
        </w:rPr>
        <w:t>isti viri deficiunt ab intentione</w:t>
      </w:r>
      <w:r>
        <w:rPr>
          <w:i/>
        </w:rPr>
        <w:t xml:space="preserve"> Philosophi, nec intentum deter</w:t>
      </w:r>
      <w:r w:rsidRPr="00334266">
        <w:rPr>
          <w:i/>
        </w:rPr>
        <w:t>minant</w:t>
      </w:r>
      <w:r>
        <w:rPr>
          <w:i/>
        </w:rPr>
        <w:t xml:space="preserve">, </w:t>
      </w:r>
      <w:r w:rsidR="08755A1E">
        <w:t>kap. 4</w:t>
      </w:r>
      <w:r>
        <w:t xml:space="preserve">.4.3). Siger po příchodu Akvinského do Paříže integrálně vyložil úmysl Filosofa v </w:t>
      </w:r>
      <w:proofErr w:type="gramStart"/>
      <w:r w:rsidRPr="088D4651">
        <w:rPr>
          <w:i/>
        </w:rPr>
        <w:t>De</w:t>
      </w:r>
      <w:proofErr w:type="gramEnd"/>
      <w:r w:rsidRPr="088D4651">
        <w:rPr>
          <w:i/>
        </w:rPr>
        <w:t xml:space="preserve"> anima intellectiva</w:t>
      </w:r>
      <w:r>
        <w:t xml:space="preserve">. Tomáš </w:t>
      </w:r>
      <w:r w:rsidRPr="00273106">
        <w:t>odmítl Sigerovu interpretaci jednoty intelektu podle CMDA</w:t>
      </w:r>
      <w:r>
        <w:t xml:space="preserve">, což ukázala rozdílná pozice obou myslitelů v expozici Aristotelova </w:t>
      </w:r>
      <w:r w:rsidRPr="088D4651">
        <w:rPr>
          <w:i/>
        </w:rPr>
        <w:t>intentum</w:t>
      </w:r>
      <w:r>
        <w:t>. Aristotelský tomismus</w:t>
      </w:r>
      <w:r>
        <w:fldChar w:fldCharType="begin"/>
      </w:r>
      <w:r>
        <w:instrText xml:space="preserve"> XE "</w:instrText>
      </w:r>
      <w:r w:rsidRPr="0813533C">
        <w:instrText>tomismus</w:instrText>
      </w:r>
      <w:r>
        <w:instrText xml:space="preserve">" </w:instrText>
      </w:r>
      <w:r>
        <w:fldChar w:fldCharType="end"/>
      </w:r>
      <w:r>
        <w:t xml:space="preserve"> obhajuje nasvícení poznání směrem od aktuální věci, stejně jako první averroismus. Ale tomismus definuje intelekt primárně </w:t>
      </w:r>
      <w:r w:rsidR="08755A1E">
        <w:t xml:space="preserve">nasvícením </w:t>
      </w:r>
      <w:r w:rsidRPr="00273106">
        <w:t>zezadu</w:t>
      </w:r>
      <w:r>
        <w:t xml:space="preserve"> od určení intelektu jako formy nebo esence. </w:t>
      </w:r>
      <w:r w:rsidR="007F240D">
        <w:t xml:space="preserve">Tuto pozici Akvinského jako představitele </w:t>
      </w:r>
      <w:r w:rsidR="00A222C6" w:rsidRPr="007E0280">
        <w:rPr>
          <w:i/>
        </w:rPr>
        <w:t>sophistae</w:t>
      </w:r>
      <w:r w:rsidR="00A222C6">
        <w:t xml:space="preserve"> </w:t>
      </w:r>
      <w:r w:rsidR="00A222C6" w:rsidRPr="007E0280">
        <w:rPr>
          <w:i/>
        </w:rPr>
        <w:t>Latinorum</w:t>
      </w:r>
      <w:r w:rsidR="00A222C6" w:rsidRPr="00B5521C">
        <w:t xml:space="preserve"> </w:t>
      </w:r>
      <w:r w:rsidR="007F240D">
        <w:t>vzhledem k Sigerově nauce nepřímo dosvědčuje Agostino Nifo.</w:t>
      </w:r>
      <w:r w:rsidR="007F240D">
        <w:rPr>
          <w:rStyle w:val="Znakapoznpodarou"/>
        </w:rPr>
        <w:footnoteReference w:id="325"/>
      </w:r>
      <w:r w:rsidR="007F240D">
        <w:t xml:space="preserve"> </w:t>
      </w:r>
      <w:r w:rsidR="002E2A19">
        <w:rPr>
          <w:rStyle w:val="ezkurwreuab5ozgtqnkl"/>
        </w:rPr>
        <w:t>Nifo</w:t>
      </w:r>
      <w:r w:rsidR="002E2A19">
        <w:t xml:space="preserve"> </w:t>
      </w:r>
      <w:r w:rsidR="002E2A19">
        <w:rPr>
          <w:rStyle w:val="ezkurwreuab5ozgtqnkl"/>
        </w:rPr>
        <w:t>byl</w:t>
      </w:r>
      <w:r w:rsidR="002E2A19">
        <w:t xml:space="preserve"> </w:t>
      </w:r>
      <w:r w:rsidR="002E2A19">
        <w:rPr>
          <w:rStyle w:val="ezkurwreuab5ozgtqnkl"/>
        </w:rPr>
        <w:t>bohužel představitelem</w:t>
      </w:r>
      <w:r w:rsidR="002E2A19">
        <w:t xml:space="preserve"> </w:t>
      </w:r>
      <w:r w:rsidR="002E2A19">
        <w:rPr>
          <w:rStyle w:val="ezkurwreuab5ozgtqnkl"/>
        </w:rPr>
        <w:t>druhého</w:t>
      </w:r>
      <w:r w:rsidR="002E2A19">
        <w:t xml:space="preserve"> </w:t>
      </w:r>
      <w:r w:rsidR="002E2A19">
        <w:rPr>
          <w:rStyle w:val="ezkurwreuab5ozgtqnkl"/>
        </w:rPr>
        <w:t>averroismu</w:t>
      </w:r>
      <w:r w:rsidR="002E2A19">
        <w:t xml:space="preserve"> </w:t>
      </w:r>
      <w:r w:rsidR="002E2A19">
        <w:rPr>
          <w:rStyle w:val="ezkurwreuab5ozgtqnkl"/>
        </w:rPr>
        <w:t>a nesprávně interpretoval doktrínu CMDA.</w:t>
      </w:r>
      <w:r w:rsidR="002E2A19">
        <w:t xml:space="preserve"> </w:t>
      </w:r>
      <w:r w:rsidR="002E2A19">
        <w:rPr>
          <w:rStyle w:val="ezkurwreuab5ozgtqnkl"/>
        </w:rPr>
        <w:t>Ve</w:t>
      </w:r>
      <w:r w:rsidR="002E2A19">
        <w:t xml:space="preserve"> </w:t>
      </w:r>
      <w:r w:rsidR="002E2A19">
        <w:rPr>
          <w:rStyle w:val="ezkurwreuab5ozgtqnkl"/>
        </w:rPr>
        <w:t>skutečnosti</w:t>
      </w:r>
      <w:r w:rsidR="002E2A19">
        <w:t xml:space="preserve"> </w:t>
      </w:r>
      <w:r w:rsidR="002E2A19">
        <w:rPr>
          <w:rStyle w:val="ezkurwreuab5ozgtqnkl"/>
        </w:rPr>
        <w:t>Nifo představuje</w:t>
      </w:r>
      <w:r w:rsidR="002E2A19">
        <w:t xml:space="preserve"> </w:t>
      </w:r>
      <w:r w:rsidR="002E2A19">
        <w:rPr>
          <w:rStyle w:val="ezkurwreuab5ozgtqnkl"/>
        </w:rPr>
        <w:t>filosofii</w:t>
      </w:r>
      <w:r w:rsidR="002E2A19">
        <w:t xml:space="preserve"> </w:t>
      </w:r>
      <w:r w:rsidR="002E2A19">
        <w:rPr>
          <w:rStyle w:val="ezkurwreuab5ozgtqnkl"/>
        </w:rPr>
        <w:t>Sigera</w:t>
      </w:r>
      <w:r w:rsidR="002E2A19">
        <w:t xml:space="preserve"> skrze úplně falešnou i</w:t>
      </w:r>
      <w:r w:rsidR="002E2A19">
        <w:rPr>
          <w:rStyle w:val="ezkurwreuab5ozgtqnkl"/>
        </w:rPr>
        <w:t>nterpretaci</w:t>
      </w:r>
      <w:r w:rsidR="002E2A19">
        <w:t>. Přidal k Sigerovi t</w:t>
      </w:r>
      <w:r w:rsidR="002E2A19">
        <w:rPr>
          <w:rStyle w:val="ezkurwreuab5ozgtqnkl"/>
        </w:rPr>
        <w:t>omistickou</w:t>
      </w:r>
      <w:r w:rsidR="002E2A19">
        <w:t xml:space="preserve"> </w:t>
      </w:r>
      <w:r w:rsidR="002E2A19">
        <w:rPr>
          <w:rStyle w:val="ezkurwreuab5ozgtqnkl"/>
        </w:rPr>
        <w:t>verzi</w:t>
      </w:r>
      <w:r w:rsidR="002E2A19">
        <w:t xml:space="preserve"> </w:t>
      </w:r>
      <w:r w:rsidR="002E2A19">
        <w:rPr>
          <w:rStyle w:val="ezkurwreuab5ozgtqnkl"/>
        </w:rPr>
        <w:t>averroismu, a tu spojil do jednoho totálního intelektuálního zmatku, kde jsou nahromaděny všechny omyly dohromady.</w:t>
      </w:r>
      <w:r w:rsidR="002E2A19">
        <w:t xml:space="preserve"> </w:t>
      </w:r>
      <w:r w:rsidR="002E2A19">
        <w:rPr>
          <w:rStyle w:val="ezkurwreuab5ozgtqnkl"/>
        </w:rPr>
        <w:t xml:space="preserve">Bohužel, </w:t>
      </w:r>
      <w:r w:rsidR="0019523B">
        <w:rPr>
          <w:rStyle w:val="ezkurwreuab5ozgtqnkl"/>
        </w:rPr>
        <w:t>tím</w:t>
      </w:r>
      <w:r w:rsidR="002E2A19">
        <w:rPr>
          <w:rStyle w:val="ezkurwreuab5ozgtqnkl"/>
        </w:rPr>
        <w:t>to způsob</w:t>
      </w:r>
      <w:r w:rsidR="0019523B">
        <w:rPr>
          <w:rStyle w:val="ezkurwreuab5ozgtqnkl"/>
        </w:rPr>
        <w:t xml:space="preserve">em se </w:t>
      </w:r>
      <w:r w:rsidR="002E2A19">
        <w:rPr>
          <w:rStyle w:val="ezkurwreuab5ozgtqnkl"/>
        </w:rPr>
        <w:t>běžně vykládala filosofie</w:t>
      </w:r>
      <w:r w:rsidR="002E2A19">
        <w:t xml:space="preserve"> </w:t>
      </w:r>
      <w:r w:rsidR="002E2A19">
        <w:rPr>
          <w:rStyle w:val="ezkurwreuab5ozgtqnkl"/>
        </w:rPr>
        <w:t>Aristotela</w:t>
      </w:r>
      <w:r w:rsidR="002E2A19">
        <w:t xml:space="preserve"> </w:t>
      </w:r>
      <w:r w:rsidR="002E2A19">
        <w:rPr>
          <w:rStyle w:val="ezkurwreuab5ozgtqnkl"/>
        </w:rPr>
        <w:t>v renesanci</w:t>
      </w:r>
      <w:r w:rsidR="002E2A19">
        <w:t xml:space="preserve">. </w:t>
      </w:r>
      <w:r>
        <w:t>E</w:t>
      </w:r>
      <w:r w:rsidRPr="00273106">
        <w:t>senciální definice intelektu jako formy</w:t>
      </w:r>
      <w:r>
        <w:t xml:space="preserve"> je primární</w:t>
      </w:r>
      <w:r w:rsidR="002E2A19">
        <w:t>,</w:t>
      </w:r>
      <w:r>
        <w:t xml:space="preserve"> a z ní následně vyplývá akt porozumění daný </w:t>
      </w:r>
      <w:r w:rsidRPr="00273106">
        <w:t xml:space="preserve">v první osobě. </w:t>
      </w:r>
      <w:r w:rsidR="00D91F18">
        <w:t xml:space="preserve">To je Akvinský, ale ne Siger. </w:t>
      </w:r>
      <w:r>
        <w:t xml:space="preserve">Klasickým metafyzikům bylo a je jasné, že tomistické </w:t>
      </w:r>
      <w:r w:rsidR="002E34DF">
        <w:t>„</w:t>
      </w:r>
      <w:r w:rsidRPr="083C6F4F">
        <w:rPr>
          <w:i/>
        </w:rPr>
        <w:t>esse</w:t>
      </w:r>
      <w:r w:rsidR="002E34DF">
        <w:t>“</w:t>
      </w:r>
      <w:r w:rsidR="002E2A19">
        <w:t xml:space="preserve"> intelektu predikované </w:t>
      </w:r>
      <w:r>
        <w:t xml:space="preserve">jako esence nemá univoční charakter podle </w:t>
      </w:r>
      <w:r w:rsidRPr="08B338E3">
        <w:rPr>
          <w:i/>
        </w:rPr>
        <w:t>Druhých analytik</w:t>
      </w:r>
      <w:r>
        <w:t xml:space="preserve"> v modu </w:t>
      </w:r>
      <w:r w:rsidR="002E34DF">
        <w:t>„</w:t>
      </w:r>
      <w:r w:rsidRPr="082031CB">
        <w:rPr>
          <w:i/>
        </w:rPr>
        <w:t>ex immeditatis</w:t>
      </w:r>
      <w:r w:rsidR="002E34DF">
        <w:t>“</w:t>
      </w:r>
      <w:r>
        <w:t>. Tomismu chybí predikace vzhledem k hyparchické činnosti intelektu dané existenciálně (</w:t>
      </w:r>
      <w:r w:rsidRPr="08894A36">
        <w:rPr>
          <w:i/>
        </w:rPr>
        <w:t>conscii sumus</w:t>
      </w:r>
      <w:r>
        <w:t>). Akvinský nemá v definici intelektu kauzální činnost vázanou na reálnou první substanci, protože ji nahradil porretán</w:t>
      </w:r>
      <w:r w:rsidR="00335BE2">
        <w:t xml:space="preserve">ským intelektem jako hypostází. </w:t>
      </w:r>
      <w:r w:rsidR="00335BE2">
        <w:rPr>
          <w:rStyle w:val="ezkurwreuab5ozgtqnkl"/>
        </w:rPr>
        <w:t>Tomismus</w:t>
      </w:r>
      <w:r w:rsidR="00335BE2">
        <w:t xml:space="preserve"> </w:t>
      </w:r>
      <w:r w:rsidR="00335BE2">
        <w:rPr>
          <w:rStyle w:val="ezkurwreuab5ozgtqnkl"/>
        </w:rPr>
        <w:t>nedefinuje</w:t>
      </w:r>
      <w:r w:rsidR="00335BE2">
        <w:t xml:space="preserve"> </w:t>
      </w:r>
      <w:r w:rsidR="00335BE2">
        <w:rPr>
          <w:rStyle w:val="ezkurwreuab5ozgtqnkl"/>
        </w:rPr>
        <w:t>skutečnou</w:t>
      </w:r>
      <w:r w:rsidR="00335BE2">
        <w:t xml:space="preserve"> </w:t>
      </w:r>
      <w:r w:rsidR="00335BE2">
        <w:rPr>
          <w:rStyle w:val="ezkurwreuab5ozgtqnkl"/>
        </w:rPr>
        <w:t>osobu</w:t>
      </w:r>
      <w:r w:rsidR="00335BE2">
        <w:t xml:space="preserve"> </w:t>
      </w:r>
      <w:r w:rsidR="00335BE2">
        <w:rPr>
          <w:rStyle w:val="ezkurwreuab5ozgtqnkl"/>
        </w:rPr>
        <w:t>podle CMDA, ale poznávající subjekt podle Grossetesteho, který je složený z několika forem.</w:t>
      </w:r>
      <w:r w:rsidR="00335BE2">
        <w:t xml:space="preserve"> </w:t>
      </w:r>
      <w:r w:rsidR="00335BE2">
        <w:rPr>
          <w:rStyle w:val="ezkurwreuab5ozgtqnkl"/>
        </w:rPr>
        <w:t>To však byl přesně ten důvod, proč Grosseteste</w:t>
      </w:r>
      <w:r w:rsidR="00335BE2">
        <w:t xml:space="preserve"> </w:t>
      </w:r>
      <w:r w:rsidR="00335BE2">
        <w:rPr>
          <w:rStyle w:val="ezkurwreuab5ozgtqnkl"/>
        </w:rPr>
        <w:t>musel</w:t>
      </w:r>
      <w:r w:rsidR="00335BE2">
        <w:t xml:space="preserve"> </w:t>
      </w:r>
      <w:r w:rsidR="00335BE2">
        <w:rPr>
          <w:rStyle w:val="ezkurwreuab5ozgtqnkl"/>
        </w:rPr>
        <w:t>opustit</w:t>
      </w:r>
      <w:r w:rsidR="00335BE2">
        <w:t xml:space="preserve"> </w:t>
      </w:r>
      <w:r w:rsidR="00335BE2">
        <w:rPr>
          <w:rStyle w:val="ezkurwreuab5ozgtqnkl"/>
        </w:rPr>
        <w:t>Paříž</w:t>
      </w:r>
      <w:r w:rsidR="00335BE2">
        <w:t xml:space="preserve"> a jít </w:t>
      </w:r>
      <w:r w:rsidR="00335BE2">
        <w:rPr>
          <w:rStyle w:val="ezkurwreuab5ozgtqnkl"/>
        </w:rPr>
        <w:t>do Oxfordu, když</w:t>
      </w:r>
      <w:r w:rsidR="00335BE2">
        <w:t xml:space="preserve"> </w:t>
      </w:r>
      <w:r w:rsidR="00335BE2">
        <w:rPr>
          <w:rStyle w:val="ezkurwreuab5ozgtqnkl"/>
        </w:rPr>
        <w:t>byla vytvořena Pařížská univerzita založená na učení Sicilské školy</w:t>
      </w:r>
      <w:r w:rsidR="00335BE2">
        <w:t xml:space="preserve">. </w:t>
      </w:r>
      <w:r w:rsidR="00335BE2">
        <w:rPr>
          <w:rStyle w:val="ezkurwreuab5ozgtqnkl"/>
        </w:rPr>
        <w:t xml:space="preserve">A to byl vynikající důvod, proč byl stejný druh semiaverristického tomismu </w:t>
      </w:r>
      <w:r w:rsidR="00630024">
        <w:rPr>
          <w:rStyle w:val="ezkurwreuab5ozgtqnkl"/>
        </w:rPr>
        <w:t xml:space="preserve">v podání Aegidia </w:t>
      </w:r>
      <w:r w:rsidR="00335BE2">
        <w:rPr>
          <w:rStyle w:val="ezkurwreuab5ozgtqnkl"/>
        </w:rPr>
        <w:t xml:space="preserve">vřele přijat ve škole </w:t>
      </w:r>
      <w:r w:rsidR="00335BE2" w:rsidRPr="00335BE2">
        <w:rPr>
          <w:rStyle w:val="ezkurwreuab5ozgtqnkl"/>
          <w:i/>
        </w:rPr>
        <w:t>sophistae Latini</w:t>
      </w:r>
      <w:r w:rsidR="00335BE2">
        <w:rPr>
          <w:rStyle w:val="ezkurwreuab5ozgtqnkl"/>
        </w:rPr>
        <w:t xml:space="preserve">, která sídlila v Oxfordu. </w:t>
      </w:r>
      <w:r w:rsidR="084156C3">
        <w:t xml:space="preserve">Magistři na Rue du Fouarre nebyli modernisté a správně viděli, že tomismus nakonec vytěsnil osobu v modu </w:t>
      </w:r>
      <w:r w:rsidR="084156C3" w:rsidRPr="080E3D66">
        <w:rPr>
          <w:i/>
        </w:rPr>
        <w:t>Oxfordian Fallacy</w:t>
      </w:r>
      <w:r w:rsidR="084156C3">
        <w:t xml:space="preserve">. Tomáš neměl plnou predikaci kauzálně dané existence požadované </w:t>
      </w:r>
      <w:r w:rsidR="084156C3" w:rsidRPr="08B248D5">
        <w:rPr>
          <w:i/>
        </w:rPr>
        <w:t>Druhými analytikami</w:t>
      </w:r>
      <w:r w:rsidR="084156C3">
        <w:t xml:space="preserve">. Vědecký důkaz osoby jako každé jiné reálné substance musí stát na kauzalitě reálných prvních substancí. Myšlení není reálné </w:t>
      </w:r>
      <w:r w:rsidR="084156C3">
        <w:lastRenderedPageBreak/>
        <w:t>samo o sobě, ale pouze v existenciálně zakoušeném těle (</w:t>
      </w:r>
      <w:proofErr w:type="gramStart"/>
      <w:r w:rsidR="084156C3" w:rsidRPr="085A7BD6">
        <w:rPr>
          <w:i/>
        </w:rPr>
        <w:t>experimur</w:t>
      </w:r>
      <w:proofErr w:type="gramEnd"/>
      <w:r w:rsidR="00630024">
        <w:t>–</w:t>
      </w:r>
      <w:proofErr w:type="gramStart"/>
      <w:r w:rsidR="084156C3" w:rsidRPr="085A7BD6">
        <w:rPr>
          <w:i/>
        </w:rPr>
        <w:t>conscii</w:t>
      </w:r>
      <w:proofErr w:type="gramEnd"/>
      <w:r w:rsidR="084156C3" w:rsidRPr="085A7BD6">
        <w:rPr>
          <w:i/>
        </w:rPr>
        <w:t xml:space="preserve"> sumus</w:t>
      </w:r>
      <w:r w:rsidR="084156C3">
        <w:t xml:space="preserve">). Osoba v tomistickém aristotelismu ztratila charakter </w:t>
      </w:r>
      <w:r w:rsidR="00AD439B" w:rsidRPr="00AD439B">
        <w:rPr>
          <w:i/>
        </w:rPr>
        <w:t>quidditas</w:t>
      </w:r>
      <w:r w:rsidR="00AD439B">
        <w:t xml:space="preserve"> dané</w:t>
      </w:r>
      <w:r w:rsidR="084156C3">
        <w:t xml:space="preserve"> skrze </w:t>
      </w:r>
      <w:r w:rsidR="081942A4">
        <w:t xml:space="preserve">metafyzický </w:t>
      </w:r>
      <w:r w:rsidR="084156C3">
        <w:t xml:space="preserve">dativ a stala se moderním neosobním subjektem. </w:t>
      </w:r>
      <w:r>
        <w:t xml:space="preserve">Akvinský </w:t>
      </w:r>
      <w:r w:rsidR="00F7746F">
        <w:t xml:space="preserve">popisuje </w:t>
      </w:r>
      <w:r>
        <w:t>poznání skrze objektivní figuru intelektu danou podle esenciální definice logických pojmů, jejichž hyparch</w:t>
      </w:r>
      <w:r w:rsidR="00D3528E">
        <w:t>ické bytí je dáno pouze v mysli</w:t>
      </w:r>
      <w:r w:rsidR="088E1A13">
        <w:t xml:space="preserve">. </w:t>
      </w:r>
      <w:r w:rsidR="00D3528E">
        <w:rPr>
          <w:szCs w:val="24"/>
        </w:rPr>
        <w:t xml:space="preserve">Siger naprosto přesně </w:t>
      </w:r>
      <w:r w:rsidR="088E1A13" w:rsidRPr="082F567C">
        <w:rPr>
          <w:szCs w:val="24"/>
        </w:rPr>
        <w:t>viděl, že to není plná vědecká definice „</w:t>
      </w:r>
      <w:r w:rsidR="088E1A13" w:rsidRPr="082F567C">
        <w:rPr>
          <w:i/>
          <w:szCs w:val="24"/>
        </w:rPr>
        <w:t>ipse</w:t>
      </w:r>
      <w:r w:rsidR="088E1A13" w:rsidRPr="082F567C">
        <w:rPr>
          <w:szCs w:val="24"/>
        </w:rPr>
        <w:t xml:space="preserve">“ v tezi </w:t>
      </w:r>
      <w:r w:rsidR="00D3528E">
        <w:rPr>
          <w:szCs w:val="24"/>
        </w:rPr>
        <w:t>„</w:t>
      </w:r>
      <w:r w:rsidR="088E1A13" w:rsidRPr="082F567C">
        <w:rPr>
          <w:i/>
          <w:szCs w:val="24"/>
        </w:rPr>
        <w:t>homo ipse intelligit</w:t>
      </w:r>
      <w:r w:rsidR="00D3528E">
        <w:rPr>
          <w:szCs w:val="24"/>
        </w:rPr>
        <w:t>“</w:t>
      </w:r>
      <w:r w:rsidR="088E1A13" w:rsidRPr="082F567C">
        <w:rPr>
          <w:szCs w:val="24"/>
        </w:rPr>
        <w:t xml:space="preserve">. Tato definice je dána ve </w:t>
      </w:r>
      <w:r w:rsidR="088E1A13" w:rsidRPr="082F567C">
        <w:rPr>
          <w:i/>
          <w:szCs w:val="24"/>
        </w:rPr>
        <w:t>Druhých analytikách</w:t>
      </w:r>
      <w:r w:rsidR="088E1A13" w:rsidRPr="082F567C">
        <w:rPr>
          <w:szCs w:val="24"/>
        </w:rPr>
        <w:t xml:space="preserve"> ve výroku determinovaném </w:t>
      </w:r>
      <w:r w:rsidR="00D3528E">
        <w:rPr>
          <w:szCs w:val="24"/>
        </w:rPr>
        <w:t>podle plného pořadí dedukce dané skrze metafyzickou impozici kauzality vykonávané prvními substancemi</w:t>
      </w:r>
      <w:r w:rsidR="088E1A13">
        <w:t xml:space="preserve">. </w:t>
      </w:r>
      <w:r w:rsidR="00D3528E">
        <w:t>Dedukce musí jít od první triády poznávacích principů ke druhé, a ne opačně jako v tomismu. Akvinský predikoval modus „</w:t>
      </w:r>
      <w:r w:rsidR="00D3528E" w:rsidRPr="00D3528E">
        <w:rPr>
          <w:i/>
        </w:rPr>
        <w:t>per se</w:t>
      </w:r>
      <w:r w:rsidR="00D3528E">
        <w:t xml:space="preserve">“ </w:t>
      </w:r>
      <w:r w:rsidR="001E41D1">
        <w:t xml:space="preserve">pro poznání </w:t>
      </w:r>
      <w:r w:rsidR="00D3528E">
        <w:t xml:space="preserve">v rámci </w:t>
      </w:r>
      <w:r w:rsidR="000F27DA">
        <w:t>logické supo</w:t>
      </w:r>
      <w:r w:rsidR="00D3528E">
        <w:t>zice vztažené k avicennistickému intelektu „létajícího muže“</w:t>
      </w:r>
      <w:r w:rsidR="001E41D1">
        <w:t xml:space="preserve">. </w:t>
      </w:r>
      <w:r>
        <w:t>Tomismus podává esenciální a formální vědeckou definici moderního subjektu v modu pouhé primární séma</w:t>
      </w:r>
      <w:r w:rsidR="08C9441F">
        <w:t>n</w:t>
      </w:r>
      <w:r>
        <w:t>tiky (</w:t>
      </w:r>
      <w:r w:rsidRPr="00273106">
        <w:rPr>
          <w:rStyle w:val="TextpoznpodarouChar"/>
        </w:rPr>
        <w:t>σημεία πρώτων</w:t>
      </w:r>
      <w:r>
        <w:t>), protože nenašel existenciální predikaci pro hnutí duše (</w:t>
      </w:r>
      <w:r w:rsidRPr="00273106">
        <w:rPr>
          <w:rStyle w:val="TextpoznpodarouChar"/>
        </w:rPr>
        <w:t>παθήματα τῆς ψυχῆς</w:t>
      </w:r>
      <w:r>
        <w:t xml:space="preserve">). Tím chybí tomistické definici osoby plné spojení pro adekvaci reality </w:t>
      </w:r>
      <w:r w:rsidR="08103D58">
        <w:t xml:space="preserve">osoby </w:t>
      </w:r>
      <w:r>
        <w:t xml:space="preserve">a </w:t>
      </w:r>
      <w:r w:rsidR="08103D58">
        <w:t xml:space="preserve">jejího </w:t>
      </w:r>
      <w:r>
        <w:t>univerzálního významu (</w:t>
      </w:r>
      <w:r w:rsidRPr="00273106">
        <w:rPr>
          <w:rStyle w:val="TextpoznpodarouChar"/>
        </w:rPr>
        <w:t>ὁμοιώματα</w:t>
      </w:r>
      <w:r w:rsidR="000F27DA">
        <w:t xml:space="preserve">). </w:t>
      </w:r>
      <w:r w:rsidR="00297206">
        <w:t xml:space="preserve">Následný humanismus na </w:t>
      </w:r>
      <w:proofErr w:type="gramStart"/>
      <w:r w:rsidR="00297206" w:rsidRPr="00824043">
        <w:rPr>
          <w:i/>
        </w:rPr>
        <w:t>via</w:t>
      </w:r>
      <w:proofErr w:type="gramEnd"/>
      <w:r w:rsidR="00297206" w:rsidRPr="00824043">
        <w:rPr>
          <w:i/>
        </w:rPr>
        <w:t xml:space="preserve"> Modernorum</w:t>
      </w:r>
      <w:r w:rsidR="00297206">
        <w:rPr>
          <w:i/>
        </w:rPr>
        <w:t xml:space="preserve"> </w:t>
      </w:r>
      <w:r w:rsidR="00297206">
        <w:t>je stejně chybný jako tomistická definice osoby</w:t>
      </w:r>
      <w:r w:rsidR="000F27DA">
        <w:t>.</w:t>
      </w:r>
      <w:r w:rsidR="002400E4">
        <w:t xml:space="preserve"> Tomáš zavedl do duše pluralitu dvou forem, což zrušilo jednotu osoby. </w:t>
      </w:r>
    </w:p>
    <w:p w:rsidR="08163013" w:rsidRPr="00273106" w:rsidRDefault="00B20420" w:rsidP="00E17425">
      <w:pPr>
        <w:ind w:firstLine="397"/>
      </w:pPr>
      <w:r>
        <w:t>Siger odmítl každé h</w:t>
      </w:r>
      <w:r w:rsidR="08163013">
        <w:t>ypostázování intelektu jako averroismus</w:t>
      </w:r>
      <w:r>
        <w:t xml:space="preserve">. </w:t>
      </w:r>
      <w:r w:rsidR="08163013" w:rsidRPr="00273106">
        <w:t xml:space="preserve">Akvinský </w:t>
      </w:r>
      <w:r w:rsidR="00703B0F">
        <w:t xml:space="preserve">zase </w:t>
      </w:r>
      <w:r w:rsidR="08163013" w:rsidRPr="00273106">
        <w:t>odmítl fenomenologický výklad Sigera podle CMDA</w:t>
      </w:r>
      <w:r w:rsidR="08163013">
        <w:t xml:space="preserve"> jako averroistický</w:t>
      </w:r>
      <w:r w:rsidR="00F42F6E">
        <w:t xml:space="preserve">. Podle něj měl jak Aristoteles, tak i Averroes věčnou duši </w:t>
      </w:r>
      <w:r w:rsidR="008D7CCB">
        <w:t>ur</w:t>
      </w:r>
      <w:r w:rsidR="00F42F6E">
        <w:t xml:space="preserve">čenou skrze nemateriální a oddělenou povahu </w:t>
      </w:r>
      <w:r w:rsidR="00F42F6E" w:rsidRPr="00F42F6E">
        <w:rPr>
          <w:i/>
        </w:rPr>
        <w:t>anima intellectiva</w:t>
      </w:r>
      <w:r w:rsidR="00F42F6E">
        <w:t xml:space="preserve">. Averroes měl intelekt v duši údajně definovaný </w:t>
      </w:r>
      <w:r w:rsidR="008D7CCB">
        <w:t xml:space="preserve">v CMDA </w:t>
      </w:r>
      <w:r w:rsidR="00F42F6E">
        <w:t xml:space="preserve">špatně, Aristoteles </w:t>
      </w:r>
      <w:r w:rsidR="008D7CCB">
        <w:t>v </w:t>
      </w:r>
      <w:proofErr w:type="gramStart"/>
      <w:r w:rsidR="008D7CCB" w:rsidRPr="008D7CCB">
        <w:rPr>
          <w:i/>
        </w:rPr>
        <w:t>De</w:t>
      </w:r>
      <w:proofErr w:type="gramEnd"/>
      <w:r w:rsidR="008D7CCB" w:rsidRPr="008D7CCB">
        <w:rPr>
          <w:i/>
        </w:rPr>
        <w:t xml:space="preserve"> anima</w:t>
      </w:r>
      <w:r w:rsidR="008D7CCB">
        <w:t xml:space="preserve"> </w:t>
      </w:r>
      <w:r w:rsidR="00F42F6E">
        <w:t>správně</w:t>
      </w:r>
      <w:r w:rsidR="008D7CCB">
        <w:t>. A</w:t>
      </w:r>
      <w:r w:rsidR="00F42F6E">
        <w:t xml:space="preserve">le </w:t>
      </w:r>
      <w:r w:rsidR="008D7CCB">
        <w:t xml:space="preserve">oba </w:t>
      </w:r>
      <w:r w:rsidR="00F42F6E">
        <w:t>filosofové trvali na nemateriální a oddělené formě intelektu v nás, což Siger údajně zpochybnil sv</w:t>
      </w:r>
      <w:r w:rsidR="008D7CCB">
        <w:t>ým výkladem CMDA. Pak ale filos</w:t>
      </w:r>
      <w:r w:rsidR="00F42F6E">
        <w:t>o</w:t>
      </w:r>
      <w:r w:rsidR="008D7CCB">
        <w:t>fi</w:t>
      </w:r>
      <w:r w:rsidR="00F42F6E">
        <w:t>e přestala sloužit teologii</w:t>
      </w:r>
      <w:r w:rsidR="00297580">
        <w:t xml:space="preserve">, </w:t>
      </w:r>
      <w:proofErr w:type="gramStart"/>
      <w:r w:rsidR="00297580">
        <w:t>sleduje ji si vlastní</w:t>
      </w:r>
      <w:proofErr w:type="gramEnd"/>
      <w:r w:rsidR="00297580">
        <w:t xml:space="preserve"> pravdu, </w:t>
      </w:r>
      <w:r w:rsidR="00F42F6E">
        <w:t>a není schopna přinést plný důkaz v</w:t>
      </w:r>
      <w:r w:rsidR="000A4DCE">
        <w:t xml:space="preserve">ěčnosti duše. Římská disputace QD </w:t>
      </w:r>
      <w:r w:rsidR="08163013" w:rsidRPr="00392372">
        <w:rPr>
          <w:i/>
        </w:rPr>
        <w:t>De anima</w:t>
      </w:r>
      <w:r w:rsidR="08163013">
        <w:t xml:space="preserve"> (kolem </w:t>
      </w:r>
      <w:r w:rsidR="08163013" w:rsidRPr="00273106">
        <w:t>1267</w:t>
      </w:r>
      <w:r w:rsidR="08163013">
        <w:t>)</w:t>
      </w:r>
      <w:r w:rsidR="08163013" w:rsidRPr="00273106">
        <w:t xml:space="preserve"> </w:t>
      </w:r>
      <w:r w:rsidR="08163013">
        <w:t xml:space="preserve">chápe i po vydání Sigerova komentáře QIIIDA intelekt </w:t>
      </w:r>
      <w:r w:rsidR="08163013" w:rsidRPr="00273106">
        <w:t>v esencialistickém modu</w:t>
      </w:r>
      <w:r w:rsidR="08163013">
        <w:t>,</w:t>
      </w:r>
      <w:r w:rsidR="08163013" w:rsidRPr="00273106">
        <w:t xml:space="preserve"> </w:t>
      </w:r>
      <w:r w:rsidR="08163013">
        <w:t xml:space="preserve">tedy </w:t>
      </w:r>
      <w:r w:rsidR="08163013" w:rsidRPr="00273106">
        <w:t>od formy k účinkům</w:t>
      </w:r>
      <w:r w:rsidR="08163013">
        <w:fldChar w:fldCharType="begin"/>
      </w:r>
      <w:r w:rsidR="08163013">
        <w:instrText xml:space="preserve"> XE "</w:instrText>
      </w:r>
      <w:r w:rsidR="08163013" w:rsidRPr="00611E79">
        <w:instrText>intelekt:</w:instrText>
      </w:r>
      <w:r w:rsidR="08163013" w:rsidRPr="00F52E8A">
        <w:rPr>
          <w:i/>
        </w:rPr>
        <w:instrText>esse/fieri</w:instrText>
      </w:r>
      <w:r w:rsidR="08163013">
        <w:instrText xml:space="preserve">" </w:instrText>
      </w:r>
      <w:r w:rsidR="08163013">
        <w:fldChar w:fldCharType="end"/>
      </w:r>
      <w:r w:rsidR="08163013">
        <w:t>. Teolog Akvinský si t</w:t>
      </w:r>
      <w:r w:rsidR="08A13709">
        <w:t>ím zajišťuje nesmrtelnost duše</w:t>
      </w:r>
      <w:r w:rsidR="08163013">
        <w:t xml:space="preserve">. </w:t>
      </w:r>
      <w:r w:rsidR="00E17425" w:rsidRPr="00E17425">
        <w:t>Povaha výše uvedené predik</w:t>
      </w:r>
      <w:r w:rsidR="00E17425">
        <w:t>a</w:t>
      </w:r>
      <w:r w:rsidR="00E17425" w:rsidRPr="00E17425">
        <w:t xml:space="preserve">ce </w:t>
      </w:r>
      <w:r w:rsidR="00E17425">
        <w:t xml:space="preserve">intelektu jako esence </w:t>
      </w:r>
      <w:r w:rsidR="00E17425" w:rsidRPr="00E17425">
        <w:t xml:space="preserve">zajišťuje, že takto daná formalizace </w:t>
      </w:r>
      <w:r w:rsidR="00E17425">
        <w:t xml:space="preserve">zajistí </w:t>
      </w:r>
      <w:r w:rsidR="00E17425" w:rsidRPr="00E17425">
        <w:t xml:space="preserve">vědecký </w:t>
      </w:r>
      <w:r w:rsidR="00E17425">
        <w:t>důkaz formálně pojaté receptivity</w:t>
      </w:r>
      <w:r w:rsidR="00E17425" w:rsidRPr="00E17425">
        <w:t xml:space="preserve">. Problém je v tom, jaký druh </w:t>
      </w:r>
      <w:r w:rsidR="00E17425">
        <w:t xml:space="preserve">receptivity </w:t>
      </w:r>
      <w:r w:rsidR="00E17425" w:rsidRPr="00E17425">
        <w:t xml:space="preserve">se tím myslí. Akvinský trvá na identitě </w:t>
      </w:r>
      <w:r w:rsidR="00E17425">
        <w:t xml:space="preserve">recepce </w:t>
      </w:r>
      <w:r w:rsidR="00E17425" w:rsidRPr="00E17425">
        <w:t>jak pro intelekt, tak pro smysly, což Aegidius opakuje v Oxfordském rukopisu (</w:t>
      </w:r>
      <w:r w:rsidR="00E17425" w:rsidRPr="00E17425">
        <w:rPr>
          <w:i/>
        </w:rPr>
        <w:t>phantasma se habet ad intellectum possibilem sicut color ad visum</w:t>
      </w:r>
      <w:r w:rsidR="00E17425" w:rsidRPr="00E17425">
        <w:t>, kap. 4.3.2).</w:t>
      </w:r>
      <w:r w:rsidR="00E17425">
        <w:t xml:space="preserve"> </w:t>
      </w:r>
      <w:r w:rsidR="005A206F">
        <w:t>R</w:t>
      </w:r>
      <w:r w:rsidR="08163013">
        <w:t xml:space="preserve">ozdíl mezi </w:t>
      </w:r>
      <w:proofErr w:type="gramStart"/>
      <w:r w:rsidR="08163013">
        <w:t>Akvinským</w:t>
      </w:r>
      <w:proofErr w:type="gramEnd"/>
      <w:r w:rsidR="08163013">
        <w:t xml:space="preserve"> a Sigerem je dán ve dvojím „jak“ (fenomenálním, esenciálním) se k sobě vztahují schopnosti duše a její </w:t>
      </w:r>
      <w:r w:rsidR="08163013">
        <w:lastRenderedPageBreak/>
        <w:t xml:space="preserve">podstata. Siger tvrdí ve shodě s </w:t>
      </w:r>
      <w:r w:rsidR="08163013" w:rsidRPr="08342827">
        <w:rPr>
          <w:i/>
        </w:rPr>
        <w:t>Druhými analytikami</w:t>
      </w:r>
      <w:r w:rsidR="08163013">
        <w:t xml:space="preserve">, že skrze výkon poznání daný v tělesné osobě poznáváme i podstatu duše. Tomismus </w:t>
      </w:r>
      <w:r w:rsidR="08163013">
        <w:fldChar w:fldCharType="begin"/>
      </w:r>
      <w:r w:rsidR="08163013">
        <w:instrText xml:space="preserve"> XE "</w:instrText>
      </w:r>
      <w:r w:rsidR="08163013" w:rsidRPr="0813533C">
        <w:instrText>tomismus</w:instrText>
      </w:r>
      <w:r w:rsidR="08163013">
        <w:instrText xml:space="preserve">" </w:instrText>
      </w:r>
      <w:r w:rsidR="08163013">
        <w:fldChar w:fldCharType="end"/>
      </w:r>
      <w:r w:rsidR="08163013">
        <w:t xml:space="preserve">zavedl novou verzi </w:t>
      </w:r>
      <w:r w:rsidR="08163013" w:rsidRPr="009C012B">
        <w:rPr>
          <w:i/>
        </w:rPr>
        <w:t>Oxfordian Fallacy</w:t>
      </w:r>
      <w:r w:rsidR="08163013">
        <w:rPr>
          <w:i/>
        </w:rPr>
        <w:fldChar w:fldCharType="begin"/>
      </w:r>
      <w:r w:rsidR="08163013">
        <w:instrText xml:space="preserve"> XE "</w:instrText>
      </w:r>
      <w:r w:rsidR="08163013" w:rsidRPr="0015798D">
        <w:rPr>
          <w:i/>
        </w:rPr>
        <w:instrText>Oxfordian Fallacy:</w:instrText>
      </w:r>
      <w:r w:rsidR="08163013" w:rsidRPr="00E76372">
        <w:instrText>Akvinský</w:instrText>
      </w:r>
      <w:r w:rsidR="08163013">
        <w:instrText xml:space="preserve">" </w:instrText>
      </w:r>
      <w:r w:rsidR="08163013">
        <w:rPr>
          <w:i/>
        </w:rPr>
        <w:fldChar w:fldCharType="end"/>
      </w:r>
      <w:r w:rsidR="08163013">
        <w:t xml:space="preserve"> vzhledem k poznání </w:t>
      </w:r>
      <w:r w:rsidR="00A64E82">
        <w:t xml:space="preserve">intelektu určenému hypostaticky, tedy </w:t>
      </w:r>
      <w:r w:rsidR="08163013">
        <w:t xml:space="preserve">v modu avicennovské </w:t>
      </w:r>
      <w:r w:rsidR="00A64E82">
        <w:t xml:space="preserve">komitace </w:t>
      </w:r>
      <w:r w:rsidR="08163013">
        <w:t xml:space="preserve">esencí. </w:t>
      </w:r>
      <w:r w:rsidR="00EA77E1">
        <w:t xml:space="preserve">Římské disputace </w:t>
      </w:r>
      <w:r w:rsidR="08163013" w:rsidRPr="007D06B2">
        <w:rPr>
          <w:i/>
        </w:rPr>
        <w:t>De anima</w:t>
      </w:r>
      <w:r w:rsidR="08163013">
        <w:t xml:space="preserve"> ukazují pojetí duše dané deduktivními soudy směrem od její esenciální definice. Dráha náhledu na intelekt je určena formální dedukcí kauzality a z ní vycházejícího účinku. Tomistický výklad </w:t>
      </w:r>
      <w:r w:rsidR="08163013" w:rsidRPr="08F71A4D">
        <w:rPr>
          <w:i/>
        </w:rPr>
        <w:t>De anima</w:t>
      </w:r>
      <w:r w:rsidR="08163013">
        <w:t xml:space="preserve"> tvrdí, že schopnost duše je následek její podstaty. </w:t>
      </w:r>
      <w:r w:rsidR="08A22994" w:rsidRPr="081942A4">
        <w:rPr>
          <w:szCs w:val="24"/>
        </w:rPr>
        <w:t xml:space="preserve">Jenže definice intelektu v reálné osobě není totéž, jako definice trojúhelníka, který existuje jen v mysli. </w:t>
      </w:r>
      <w:r w:rsidR="08163013">
        <w:t>Dedukce vlastností intelektu jde z duše jako esence</w:t>
      </w:r>
      <w:r w:rsidR="000E5C2E">
        <w:t xml:space="preserve">. Tento postup zavedl myšlení podle </w:t>
      </w:r>
      <w:r w:rsidR="08163013">
        <w:t xml:space="preserve"> </w:t>
      </w:r>
      <w:r w:rsidR="08163013" w:rsidRPr="00053297">
        <w:rPr>
          <w:i/>
        </w:rPr>
        <w:t>Oxfordian Fallacy</w:t>
      </w:r>
      <w:r w:rsidR="08163013">
        <w:rPr>
          <w:i/>
        </w:rPr>
        <w:t xml:space="preserve"> </w:t>
      </w:r>
      <w:r w:rsidR="000E5C2E">
        <w:t xml:space="preserve">do </w:t>
      </w:r>
      <w:r w:rsidR="08163013" w:rsidRPr="00C22CF1">
        <w:t>prvního averroismu</w:t>
      </w:r>
      <w:r w:rsidR="08163013">
        <w:t xml:space="preserve">. </w:t>
      </w:r>
      <w:r w:rsidR="000E5C2E">
        <w:t xml:space="preserve">Teologická dogmatika daná jako věčnost duše nutně potřebovala dogmaticky určenou filosofii. To určilo podstatu budoucího tomismu danou sporem o titul </w:t>
      </w:r>
      <w:r w:rsidR="000E5C2E" w:rsidRPr="000E5C2E">
        <w:rPr>
          <w:i/>
        </w:rPr>
        <w:t>Expositor Novus</w:t>
      </w:r>
      <w:r w:rsidR="000E5C2E">
        <w:t xml:space="preserve"> v letech 1270-72. </w:t>
      </w:r>
      <w:r w:rsidR="001A57A9">
        <w:t>Formální důkaz podle avicennismu zrušil vědecký postup metafyzického dokazování podle axiomu „</w:t>
      </w:r>
      <w:r w:rsidR="001A57A9">
        <w:rPr>
          <w:i/>
        </w:rPr>
        <w:t>ex in</w:t>
      </w:r>
      <w:r w:rsidR="001A57A9" w:rsidRPr="08C63E7E">
        <w:rPr>
          <w:i/>
        </w:rPr>
        <w:t>mediatis</w:t>
      </w:r>
      <w:r w:rsidR="001A57A9">
        <w:t xml:space="preserve">“. Přesně tento omyl obhajovaly Tomášovy římské disputace k </w:t>
      </w:r>
      <w:proofErr w:type="gramStart"/>
      <w:r w:rsidR="001A57A9" w:rsidRPr="084126F5">
        <w:rPr>
          <w:i/>
        </w:rPr>
        <w:t>De</w:t>
      </w:r>
      <w:proofErr w:type="gramEnd"/>
      <w:r w:rsidR="001A57A9" w:rsidRPr="084126F5">
        <w:rPr>
          <w:i/>
        </w:rPr>
        <w:t xml:space="preserve"> anima</w:t>
      </w:r>
      <w:r w:rsidR="001A57A9">
        <w:t xml:space="preserve">. </w:t>
      </w:r>
    </w:p>
    <w:p w:rsidR="08163013" w:rsidRDefault="08163013" w:rsidP="08163013">
      <w:pPr>
        <w:pStyle w:val="Citace"/>
      </w:pPr>
      <w:r w:rsidRPr="00273106">
        <w:rPr>
          <w:noProof/>
          <w:lang w:val="cs-CZ"/>
        </w:rPr>
        <w:t>„</w:t>
      </w:r>
      <w:r>
        <w:rPr>
          <w:noProof/>
          <w:lang w:val="cs-CZ"/>
        </w:rPr>
        <w:t>Aristoteles tvrdil, že intelekt, tedy schopnost porozumění, nemá smyslový orgán. Proto je podstata intelektuální duše spojena s tělem jako forma (</w:t>
      </w:r>
      <w:r w:rsidRPr="009C012B">
        <w:rPr>
          <w:i/>
          <w:noProof/>
        </w:rPr>
        <w:t>ipsa essentia animae intellectivae unitur corpori ut forma</w:t>
      </w:r>
      <w:r>
        <w:rPr>
          <w:noProof/>
          <w:lang w:val="cs-CZ"/>
        </w:rPr>
        <w:t>).  Platí, že účinek není jednodušší, než jeho příčina (</w:t>
      </w:r>
      <w:r w:rsidRPr="00427815">
        <w:rPr>
          <w:i/>
          <w:noProof/>
          <w:lang w:val="cs-CZ"/>
        </w:rPr>
        <w:t>effectus non est simplicior sua causa</w:t>
      </w:r>
      <w:r>
        <w:rPr>
          <w:noProof/>
          <w:lang w:val="cs-CZ"/>
        </w:rPr>
        <w:t>). Schopnost duše je následek její podstaty (</w:t>
      </w:r>
      <w:r w:rsidRPr="00C977DE">
        <w:rPr>
          <w:i/>
          <w:noProof/>
          <w:lang w:val="cs-CZ"/>
        </w:rPr>
        <w:t>potentia animae est effectus essentiae eius</w:t>
      </w:r>
      <w:r>
        <w:rPr>
          <w:noProof/>
          <w:lang w:val="cs-CZ"/>
        </w:rPr>
        <w:t xml:space="preserve">), protože všechny potence vycházejí z bytí duše. Proto také není žádná schopnost duše jednodušší než její bytí. Kdyby intelekt nebyl akt těla, jak je dokázáno ve třetí knize </w:t>
      </w:r>
      <w:r w:rsidRPr="00AB6093">
        <w:rPr>
          <w:i/>
          <w:noProof/>
          <w:lang w:val="cs-CZ"/>
        </w:rPr>
        <w:t>De anima</w:t>
      </w:r>
      <w:r>
        <w:rPr>
          <w:noProof/>
          <w:lang w:val="cs-CZ"/>
        </w:rPr>
        <w:t>,  ani duše by se s ním nemohla spojit jako forma.“ </w:t>
      </w:r>
      <w:r>
        <w:rPr>
          <w:rStyle w:val="Znakapoznpodarou"/>
        </w:rPr>
        <w:footnoteReference w:id="326"/>
      </w:r>
    </w:p>
    <w:p w:rsidR="001F3DD1" w:rsidRDefault="08163013" w:rsidP="08163013">
      <w:r w:rsidRPr="00273106">
        <w:t xml:space="preserve">Akvinský musí stejně </w:t>
      </w:r>
      <w:r>
        <w:t xml:space="preserve">jako </w:t>
      </w:r>
      <w:r w:rsidRPr="00273106">
        <w:t xml:space="preserve">Siger řešit otázku intelektu odděleného od smyslových orgánů. Ale jeho </w:t>
      </w:r>
      <w:r w:rsidR="00A96332">
        <w:t xml:space="preserve">pozice se liší od </w:t>
      </w:r>
      <w:r w:rsidRPr="00273106">
        <w:t xml:space="preserve">Sigera. </w:t>
      </w:r>
      <w:r w:rsidR="00A96332">
        <w:t xml:space="preserve">Ten </w:t>
      </w:r>
      <w:r w:rsidRPr="00273106">
        <w:t xml:space="preserve">začíná </w:t>
      </w:r>
      <w:r>
        <w:t xml:space="preserve">podle </w:t>
      </w:r>
      <w:r w:rsidRPr="08151193">
        <w:rPr>
          <w:i/>
        </w:rPr>
        <w:t>Druhých analytik</w:t>
      </w:r>
      <w:r>
        <w:t xml:space="preserve"> </w:t>
      </w:r>
      <w:r w:rsidRPr="00273106">
        <w:t xml:space="preserve">od zkušenosti </w:t>
      </w:r>
      <w:r>
        <w:t xml:space="preserve">osobního </w:t>
      </w:r>
      <w:r w:rsidRPr="00273106">
        <w:t>myšlení a jde k podstatě intelektu obecně. Akvi</w:t>
      </w:r>
      <w:r>
        <w:t xml:space="preserve">nský postupuje přesně opačně. Výkon myšlení </w:t>
      </w:r>
      <w:r w:rsidRPr="00273106">
        <w:t>je p</w:t>
      </w:r>
      <w:r>
        <w:t>řidán k esenciálně definovanému intelektu, protože tvoří logický důsledek jeho podstaty</w:t>
      </w:r>
      <w:r w:rsidRPr="00273106">
        <w:t>.</w:t>
      </w:r>
      <w:r>
        <w:t xml:space="preserve"> Akvinský se chytil do vlastní pasti</w:t>
      </w:r>
      <w:r w:rsidR="004F5D51">
        <w:t xml:space="preserve">. V </w:t>
      </w:r>
      <w:r>
        <w:t xml:space="preserve">polemice proti modernistům v </w:t>
      </w:r>
      <w:proofErr w:type="gramStart"/>
      <w:r w:rsidRPr="08BB1346">
        <w:rPr>
          <w:i/>
        </w:rPr>
        <w:t>Summa</w:t>
      </w:r>
      <w:proofErr w:type="gramEnd"/>
      <w:r w:rsidRPr="08BB1346">
        <w:rPr>
          <w:i/>
        </w:rPr>
        <w:t xml:space="preserve"> contra Gentiles</w:t>
      </w:r>
      <w:r>
        <w:t xml:space="preserve"> zásadně odmítl pro poznání boha postup dedukce od logické formy k</w:t>
      </w:r>
      <w:r w:rsidR="004F5D51">
        <w:t xml:space="preserve"> jejím účinkům</w:t>
      </w:r>
      <w:r w:rsidR="082F6BA0">
        <w:t xml:space="preserve"> v realitě (kap. 4</w:t>
      </w:r>
      <w:r w:rsidR="00CD4F26">
        <w:t>.5.1). D</w:t>
      </w:r>
      <w:r w:rsidRPr="00273106">
        <w:t xml:space="preserve">efinice </w:t>
      </w:r>
      <w:r w:rsidR="00CD4F26">
        <w:t>začíná od e</w:t>
      </w:r>
      <w:r>
        <w:t>senc</w:t>
      </w:r>
      <w:r w:rsidR="00CD4F26">
        <w:t xml:space="preserve">e intelektu, která je </w:t>
      </w:r>
      <w:r>
        <w:t>spojen</w:t>
      </w:r>
      <w:r w:rsidR="00CD4F26">
        <w:t xml:space="preserve">a s duší jako formou </w:t>
      </w:r>
      <w:r w:rsidR="00CD4F26">
        <w:lastRenderedPageBreak/>
        <w:t>těla. Od tohoto teoretického spojení se dedukuje reálné poznání intelektu dané v rámci takto určené přirozenosti</w:t>
      </w:r>
      <w:r w:rsidRPr="00273106">
        <w:t xml:space="preserve">. </w:t>
      </w:r>
      <w:r w:rsidR="00CD4F26">
        <w:rPr>
          <w:rStyle w:val="ezkurwreuab5ozgtqnkl"/>
        </w:rPr>
        <w:t>Protože intelekt</w:t>
      </w:r>
      <w:r w:rsidR="00CD4F26">
        <w:t xml:space="preserve"> </w:t>
      </w:r>
      <w:r w:rsidR="00CD4F26">
        <w:rPr>
          <w:rStyle w:val="ezkurwreuab5ozgtqnkl"/>
        </w:rPr>
        <w:t>je</w:t>
      </w:r>
      <w:r w:rsidR="00CD4F26">
        <w:t xml:space="preserve"> </w:t>
      </w:r>
      <w:r w:rsidR="00CD4F26">
        <w:rPr>
          <w:rStyle w:val="ezkurwreuab5ozgtqnkl"/>
        </w:rPr>
        <w:t>definován jako věčná</w:t>
      </w:r>
      <w:r w:rsidR="00CD4F26">
        <w:t xml:space="preserve"> </w:t>
      </w:r>
      <w:r w:rsidR="00CD4F26">
        <w:rPr>
          <w:rStyle w:val="ezkurwreuab5ozgtqnkl"/>
        </w:rPr>
        <w:t>forma, duše</w:t>
      </w:r>
      <w:r w:rsidR="00CD4F26">
        <w:t xml:space="preserve"> </w:t>
      </w:r>
      <w:r w:rsidR="00CD4F26">
        <w:rPr>
          <w:rStyle w:val="ezkurwreuab5ozgtqnkl"/>
        </w:rPr>
        <w:t>je také formálně určena tímto způsobem.</w:t>
      </w:r>
      <w:r w:rsidR="00CD4F26">
        <w:t xml:space="preserve"> </w:t>
      </w:r>
      <w:r>
        <w:t xml:space="preserve">Esence je dána </w:t>
      </w:r>
      <w:r w:rsidRPr="00273106">
        <w:t>duši jako formě</w:t>
      </w:r>
      <w:r>
        <w:t xml:space="preserve">, která se spojuje s tělem </w:t>
      </w:r>
      <w:r w:rsidRPr="00273106">
        <w:t>(</w:t>
      </w:r>
      <w:r w:rsidRPr="00273106">
        <w:rPr>
          <w:i/>
        </w:rPr>
        <w:t>ipsa essentia animae intellectivae unitur corpori ut forma</w:t>
      </w:r>
      <w:r w:rsidRPr="00273106">
        <w:t>). Pak platí obecné pravidlo pro dedukci, že v řádu bytí nemůže stát účinek výš než jeho příčina (</w:t>
      </w:r>
      <w:r w:rsidRPr="00273106">
        <w:rPr>
          <w:i/>
        </w:rPr>
        <w:t>effectus non est simplicior sua causa</w:t>
      </w:r>
      <w:r w:rsidRPr="00273106">
        <w:t>). Střední člen soudu říká, že pojetí intelektu jako nemateriální potence je účinkem nemateriální duše (</w:t>
      </w:r>
      <w:r w:rsidRPr="00273106">
        <w:rPr>
          <w:i/>
        </w:rPr>
        <w:t>nulla ergo potentia animae est simplicior esse animae</w:t>
      </w:r>
      <w:r w:rsidRPr="00273106">
        <w:t xml:space="preserve">). Protože </w:t>
      </w:r>
      <w:r>
        <w:t xml:space="preserve">intelektuální schopnost </w:t>
      </w:r>
      <w:r w:rsidRPr="00273106">
        <w:t xml:space="preserve">je nemateriální </w:t>
      </w:r>
      <w:r>
        <w:t>esence (</w:t>
      </w:r>
      <w:r w:rsidRPr="00067A4F">
        <w:rPr>
          <w:i/>
        </w:rPr>
        <w:t>ipsa essentia animae intellectivae</w:t>
      </w:r>
      <w:r>
        <w:t>) spojená skrze duši jako formu s tělem</w:t>
      </w:r>
      <w:r w:rsidRPr="00273106">
        <w:t xml:space="preserve">, pak jí odpovídají i </w:t>
      </w:r>
      <w:r>
        <w:t xml:space="preserve">nemateriální </w:t>
      </w:r>
      <w:r w:rsidRPr="00273106">
        <w:t>potence (</w:t>
      </w:r>
      <w:r w:rsidRPr="00273106">
        <w:rPr>
          <w:i/>
        </w:rPr>
        <w:t>omnes potentiae fluunt ab esse eius</w:t>
      </w:r>
      <w:r w:rsidRPr="00273106">
        <w:t xml:space="preserve">). </w:t>
      </w:r>
      <w:r>
        <w:t>T</w:t>
      </w:r>
      <w:r w:rsidR="00B06240">
        <w:t xml:space="preserve">ento deduktivní syllogismus </w:t>
      </w:r>
      <w:r>
        <w:t xml:space="preserve">ukazuje základní problém tomistického výkladu </w:t>
      </w:r>
      <w:r w:rsidRPr="085A7BD6">
        <w:rPr>
          <w:i/>
        </w:rPr>
        <w:t>De anima</w:t>
      </w:r>
      <w:r>
        <w:t xml:space="preserve"> a chybějící jednotu osoby. Aegidus viděl tento problém tomismu </w:t>
      </w:r>
      <w:r w:rsidR="00D478A7">
        <w:t xml:space="preserve">velice dobře. Proto </w:t>
      </w:r>
      <w:r>
        <w:t xml:space="preserve">v klíčové debatě </w:t>
      </w:r>
      <w:r w:rsidR="00EC71B3">
        <w:t xml:space="preserve">z </w:t>
      </w:r>
      <w:r>
        <w:t xml:space="preserve">roku 1270 </w:t>
      </w:r>
      <w:r w:rsidR="00D478A7">
        <w:t xml:space="preserve">sofisticky „zrušil“ tuto zásadní chybu Akvinského tím, že v moderním modu </w:t>
      </w:r>
      <w:r w:rsidR="00D478A7" w:rsidRPr="00D478A7">
        <w:rPr>
          <w:i/>
        </w:rPr>
        <w:t>Verkehrung ins Gegenteil</w:t>
      </w:r>
      <w:r w:rsidR="00D478A7">
        <w:t xml:space="preserve"> obvinil Averroese z toho, že pojal duši jako hypostázovaný intelekt. Tento postup je a zlovolný je proto, že Aegidius přesně znal argumentaci QIIIDA. Jeho sofistiku jasně dokazuje důležitá citace z díla </w:t>
      </w:r>
      <w:r w:rsidRPr="08FC6CB6">
        <w:rPr>
          <w:i/>
        </w:rPr>
        <w:t>De plurificatione</w:t>
      </w:r>
      <w:r>
        <w:t xml:space="preserve"> </w:t>
      </w:r>
      <w:r w:rsidR="00D478A7" w:rsidRPr="087D0337">
        <w:rPr>
          <w:i/>
        </w:rPr>
        <w:t>possibilis intellectus</w:t>
      </w:r>
      <w:r w:rsidR="00D478A7">
        <w:t xml:space="preserve"> </w:t>
      </w:r>
      <w:r w:rsidR="00EC71B3">
        <w:t xml:space="preserve">vydaného v roce 1271 </w:t>
      </w:r>
      <w:r>
        <w:t>(</w:t>
      </w:r>
      <w:r w:rsidRPr="08BB1711">
        <w:rPr>
          <w:i/>
        </w:rPr>
        <w:t>ex tali unione intellectus ad nos, quam Commentator ponit, non sequitur, quod homo intelligat, sed magis quod intelligatur</w:t>
      </w:r>
      <w:r w:rsidR="08245AF0">
        <w:t>, kap. 4</w:t>
      </w:r>
      <w:r w:rsidR="0022684D">
        <w:t xml:space="preserve">.4.4). </w:t>
      </w:r>
      <w:r w:rsidR="0022684D" w:rsidRPr="0022684D">
        <w:t>Podl</w:t>
      </w:r>
      <w:r w:rsidR="0022684D">
        <w:t>e kritérií formální logiky je Tomášův</w:t>
      </w:r>
      <w:r w:rsidR="0022684D" w:rsidRPr="0022684D">
        <w:t xml:space="preserve"> termín definován</w:t>
      </w:r>
      <w:r w:rsidR="0022684D">
        <w:t xml:space="preserve"> správně</w:t>
      </w:r>
      <w:r w:rsidR="0022684D" w:rsidRPr="0022684D">
        <w:t xml:space="preserve">. Schopnosti </w:t>
      </w:r>
      <w:r w:rsidR="0022684D" w:rsidRPr="0022684D">
        <w:rPr>
          <w:i/>
        </w:rPr>
        <w:t>anima intellectiva</w:t>
      </w:r>
      <w:r w:rsidR="0022684D" w:rsidRPr="0022684D">
        <w:t xml:space="preserve"> jsou odvozeny od intelektu a duše se definuje jako </w:t>
      </w:r>
      <w:r w:rsidR="00257D9F">
        <w:t xml:space="preserve">logická </w:t>
      </w:r>
      <w:r w:rsidR="0022684D" w:rsidRPr="0022684D">
        <w:t xml:space="preserve">esence. Znamená to, že </w:t>
      </w:r>
      <w:r w:rsidR="006011D6">
        <w:t xml:space="preserve">existující </w:t>
      </w:r>
      <w:r w:rsidR="0022684D" w:rsidRPr="0022684D">
        <w:t>osoba klasické metafyz</w:t>
      </w:r>
      <w:r w:rsidR="0022684D">
        <w:t>iky se proměnila v poznávající s</w:t>
      </w:r>
      <w:r w:rsidR="0022684D" w:rsidRPr="0022684D">
        <w:t>ubjekt moderního tomismu.</w:t>
      </w:r>
      <w:r>
        <w:t xml:space="preserve"> Jenže člověk není subjekt, ale osoba. Podle Sigera a později podle Heideggera je tato </w:t>
      </w:r>
      <w:r w:rsidR="002E2261">
        <w:t xml:space="preserve">objektivní </w:t>
      </w:r>
      <w:r>
        <w:t xml:space="preserve">definice chybně </w:t>
      </w:r>
      <w:r w:rsidR="002E2261">
        <w:t xml:space="preserve">uplatněna </w:t>
      </w:r>
      <w:r>
        <w:t>pro existující osobu. A člověk je</w:t>
      </w:r>
      <w:r w:rsidR="00612314">
        <w:t xml:space="preserve"> plně vědecky definovaná osoba na latinském Západě </w:t>
      </w:r>
      <w:r>
        <w:t>jen v Sigerově pojetí humanismu</w:t>
      </w:r>
      <w:r w:rsidR="00612314">
        <w:t xml:space="preserve">, které moderna zničila skrze akademické a proto zcela objektivní </w:t>
      </w:r>
      <w:r w:rsidR="00612314" w:rsidRPr="00612314">
        <w:rPr>
          <w:i/>
        </w:rPr>
        <w:t>damnatio memori</w:t>
      </w:r>
      <w:r w:rsidR="00612314">
        <w:rPr>
          <w:i/>
        </w:rPr>
        <w:t>a</w:t>
      </w:r>
      <w:r w:rsidR="00612314" w:rsidRPr="00612314">
        <w:rPr>
          <w:i/>
        </w:rPr>
        <w:t>e</w:t>
      </w:r>
      <w:r w:rsidR="00612314">
        <w:rPr>
          <w:i/>
        </w:rPr>
        <w:fldChar w:fldCharType="begin"/>
      </w:r>
      <w:r w:rsidR="00612314">
        <w:instrText xml:space="preserve"> XE "</w:instrText>
      </w:r>
      <w:r w:rsidR="00612314" w:rsidRPr="005223C1">
        <w:rPr>
          <w:i/>
        </w:rPr>
        <w:instrText>damnatio memoriae</w:instrText>
      </w:r>
      <w:r w:rsidR="00612314">
        <w:instrText xml:space="preserve">" </w:instrText>
      </w:r>
      <w:r w:rsidR="00612314">
        <w:rPr>
          <w:i/>
        </w:rPr>
        <w:fldChar w:fldCharType="end"/>
      </w:r>
      <w:r>
        <w:t xml:space="preserve">. Viz </w:t>
      </w:r>
      <w:r w:rsidR="0036393F">
        <w:t xml:space="preserve">předešlé </w:t>
      </w:r>
      <w:r>
        <w:t xml:space="preserve">rozbory </w:t>
      </w:r>
      <w:r w:rsidRPr="00273106">
        <w:rPr>
          <w:i/>
        </w:rPr>
        <w:t>Anal. Post</w:t>
      </w:r>
      <w:r w:rsidRPr="00273106">
        <w:t>. 84a11‒14</w:t>
      </w:r>
      <w:r>
        <w:t xml:space="preserve"> pro </w:t>
      </w:r>
      <w:r>
        <w:rPr>
          <w:lang w:eastAsia="en-US"/>
        </w:rPr>
        <w:t xml:space="preserve">metafyzickou chybu typu </w:t>
      </w:r>
      <w:r w:rsidR="0036393F">
        <w:rPr>
          <w:lang w:eastAsia="en-US"/>
        </w:rPr>
        <w:t>„</w:t>
      </w:r>
      <w:r>
        <w:rPr>
          <w:i/>
          <w:lang w:eastAsia="en-US"/>
        </w:rPr>
        <w:t>fallac</w:t>
      </w:r>
      <w:r w:rsidRPr="005B503C">
        <w:rPr>
          <w:i/>
          <w:lang w:eastAsia="en-US"/>
        </w:rPr>
        <w:t>ia secundum quid et simpliciter</w:t>
      </w:r>
      <w:r w:rsidR="0036393F">
        <w:rPr>
          <w:i/>
          <w:lang w:eastAsia="en-US"/>
        </w:rPr>
        <w:fldChar w:fldCharType="begin"/>
      </w:r>
      <w:r w:rsidR="0036393F">
        <w:instrText xml:space="preserve"> XE "</w:instrText>
      </w:r>
      <w:r w:rsidR="0036393F" w:rsidRPr="0067390A">
        <w:rPr>
          <w:i/>
          <w:lang w:eastAsia="en-US"/>
        </w:rPr>
        <w:instrText>fallacia secundum quid et simpliciter</w:instrText>
      </w:r>
      <w:r w:rsidR="0036393F">
        <w:instrText xml:space="preserve">" </w:instrText>
      </w:r>
      <w:r w:rsidR="0036393F">
        <w:rPr>
          <w:i/>
          <w:lang w:eastAsia="en-US"/>
        </w:rPr>
        <w:fldChar w:fldCharType="end"/>
      </w:r>
      <w:r w:rsidR="0036393F">
        <w:rPr>
          <w:lang w:eastAsia="en-US"/>
        </w:rPr>
        <w:t>“</w:t>
      </w:r>
      <w:r>
        <w:t xml:space="preserve">. </w:t>
      </w:r>
      <w:r w:rsidR="0036393F">
        <w:t xml:space="preserve">Vědecká definice </w:t>
      </w:r>
      <w:r w:rsidR="0036393F" w:rsidRPr="0036393F">
        <w:rPr>
          <w:i/>
        </w:rPr>
        <w:t xml:space="preserve">anima intellectiva </w:t>
      </w:r>
      <w:r w:rsidR="0036393F" w:rsidRPr="0036393F">
        <w:t xml:space="preserve">musí sledovat kauzalitu skutečné osoby, aby tuto kauzalitu </w:t>
      </w:r>
      <w:r w:rsidR="0036393F">
        <w:t xml:space="preserve">dala do středního </w:t>
      </w:r>
      <w:r w:rsidR="0036393F" w:rsidRPr="0036393F">
        <w:t xml:space="preserve">článku deduktivního sylogismu. Důkaz musí obsahovat skutečný </w:t>
      </w:r>
      <w:r w:rsidR="0036393F">
        <w:t>a</w:t>
      </w:r>
      <w:r w:rsidR="0036393F" w:rsidRPr="0036393F">
        <w:t>kt myšlení v první osobě</w:t>
      </w:r>
      <w:r w:rsidR="0036393F">
        <w:t xml:space="preserve">, a to </w:t>
      </w:r>
      <w:r w:rsidR="0036393F" w:rsidRPr="0036393F">
        <w:t>v plném rozsahu (</w:t>
      </w:r>
      <w:proofErr w:type="gramStart"/>
      <w:r w:rsidR="0036393F" w:rsidRPr="0036393F">
        <w:rPr>
          <w:i/>
        </w:rPr>
        <w:t>experimur</w:t>
      </w:r>
      <w:proofErr w:type="gramEnd"/>
      <w:r w:rsidR="0036393F" w:rsidRPr="0036393F">
        <w:rPr>
          <w:i/>
        </w:rPr>
        <w:t>–</w:t>
      </w:r>
      <w:proofErr w:type="gramStart"/>
      <w:r w:rsidR="0036393F" w:rsidRPr="0036393F">
        <w:rPr>
          <w:i/>
        </w:rPr>
        <w:t>conscii</w:t>
      </w:r>
      <w:proofErr w:type="gramEnd"/>
      <w:r w:rsidR="0036393F" w:rsidRPr="0036393F">
        <w:rPr>
          <w:i/>
        </w:rPr>
        <w:t xml:space="preserve"> sumus</w:t>
      </w:r>
      <w:r w:rsidR="0036393F" w:rsidRPr="0036393F">
        <w:t>). Omyl tomismu a z něj odvozeného pozdějšího modernismu spočívá na formální esencialistické dedukci osoby. Z podstaty jako formální příčiny jsou odvozeny činnosti jako jejich důsledky (</w:t>
      </w:r>
      <w:r w:rsidR="0036393F" w:rsidRPr="0036393F">
        <w:rPr>
          <w:i/>
        </w:rPr>
        <w:t xml:space="preserve">effectus </w:t>
      </w:r>
      <w:r w:rsidR="0036393F" w:rsidRPr="0036393F">
        <w:rPr>
          <w:i/>
        </w:rPr>
        <w:lastRenderedPageBreak/>
        <w:t>essentiae</w:t>
      </w:r>
      <w:r w:rsidR="0036393F" w:rsidRPr="0036393F">
        <w:t>). Je to zásadně špatné</w:t>
      </w:r>
      <w:r w:rsidR="0036393F">
        <w:t xml:space="preserve"> pojetí</w:t>
      </w:r>
      <w:r w:rsidR="0036393F" w:rsidRPr="0036393F">
        <w:t xml:space="preserve">, protože </w:t>
      </w:r>
      <w:r w:rsidR="0036393F">
        <w:t xml:space="preserve">esence je pouze </w:t>
      </w:r>
      <w:r w:rsidR="0036393F" w:rsidRPr="0036393F">
        <w:t xml:space="preserve">mentální pojem. V reálném světě nemůže mít </w:t>
      </w:r>
      <w:r w:rsidR="0036393F">
        <w:t>kauzální účinky jako první substance</w:t>
      </w:r>
      <w:r w:rsidR="0036393F" w:rsidRPr="0036393F">
        <w:t>.</w:t>
      </w:r>
      <w:r w:rsidR="0036393F">
        <w:t xml:space="preserve"> </w:t>
      </w:r>
      <w:r>
        <w:t xml:space="preserve">Akvinský drží v otázce jednoty osoby a intelektu chybnou linii </w:t>
      </w:r>
      <w:r w:rsidRPr="00392E91">
        <w:rPr>
          <w:i/>
        </w:rPr>
        <w:t>Oxfordian Fallacy</w:t>
      </w:r>
      <w:r>
        <w:rPr>
          <w:i/>
        </w:rPr>
        <w:fldChar w:fldCharType="begin"/>
      </w:r>
      <w:r>
        <w:instrText xml:space="preserve"> XE "</w:instrText>
      </w:r>
      <w:r w:rsidRPr="0015798D">
        <w:rPr>
          <w:i/>
        </w:rPr>
        <w:instrText>Oxfordian Fallacy:</w:instrText>
      </w:r>
      <w:r w:rsidRPr="00B24A4E">
        <w:instrText>Akvinský</w:instrText>
      </w:r>
      <w:r>
        <w:instrText xml:space="preserve">" </w:instrText>
      </w:r>
      <w:r>
        <w:rPr>
          <w:i/>
        </w:rPr>
        <w:fldChar w:fldCharType="end"/>
      </w:r>
      <w:r>
        <w:t xml:space="preserve">, protože esenci chápe jako reálnou kauzu. Po formální stránce jde o stejný závěr jako u Sigera, ale to nestačí pro vědecký důkaz podle </w:t>
      </w:r>
      <w:r w:rsidRPr="080A505C">
        <w:rPr>
          <w:i/>
        </w:rPr>
        <w:t>Druhých analytik</w:t>
      </w:r>
      <w:r w:rsidR="08245AF0">
        <w:t xml:space="preserve">, který se týká </w:t>
      </w:r>
      <w:r w:rsidR="08B54FAF">
        <w:t>věcí v</w:t>
      </w:r>
      <w:r w:rsidR="08245AF0">
        <w:t xml:space="preserve"> </w:t>
      </w:r>
      <w:r w:rsidR="08B54FAF">
        <w:t xml:space="preserve">reálném </w:t>
      </w:r>
      <w:r w:rsidR="08245AF0">
        <w:t xml:space="preserve">světě. </w:t>
      </w:r>
      <w:r>
        <w:t xml:space="preserve">Ve škole prvního averroismu představuje Siger filosofického fenomenologa podle Komentátora, zatímco Akvinský je křesťanský tomista podle Avicenny. </w:t>
      </w:r>
      <w:r w:rsidR="00D325DB" w:rsidRPr="00D325DB">
        <w:t>Pod vlivem božských Furií</w:t>
      </w:r>
      <w:r w:rsidR="00D325DB">
        <w:fldChar w:fldCharType="begin"/>
      </w:r>
      <w:r w:rsidR="00D325DB">
        <w:instrText xml:space="preserve"> XE "</w:instrText>
      </w:r>
      <w:r w:rsidR="00D325DB" w:rsidRPr="08071B97">
        <w:instrText>Erýnije</w:instrText>
      </w:r>
      <w:r w:rsidR="00D325DB">
        <w:instrText xml:space="preserve">" </w:instrText>
      </w:r>
      <w:r w:rsidR="00D325DB">
        <w:fldChar w:fldCharType="end"/>
      </w:r>
      <w:r w:rsidR="00D325DB" w:rsidRPr="00D325DB">
        <w:t>, nyní vzdělaných v čerstvě založeném tomismu, byl nutně učiněn tragic</w:t>
      </w:r>
      <w:r w:rsidR="00D325DB">
        <w:t xml:space="preserve">ký závěr. </w:t>
      </w:r>
      <w:r w:rsidR="08DF3405">
        <w:t>V</w:t>
      </w:r>
      <w:r>
        <w:t xml:space="preserve">ytěsněný Siger </w:t>
      </w:r>
      <w:r w:rsidR="08DF3405">
        <w:t xml:space="preserve">perfektně </w:t>
      </w:r>
      <w:r>
        <w:t xml:space="preserve">obhájil ipseitu křesťanské osoby a vítězný tomismus </w:t>
      </w:r>
      <w:r w:rsidR="08DF3405">
        <w:t xml:space="preserve">obhájil </w:t>
      </w:r>
      <w:r>
        <w:t xml:space="preserve">pouze identitu křesťanského subjektu. </w:t>
      </w:r>
      <w:r w:rsidR="00C93504">
        <w:t xml:space="preserve">Toto </w:t>
      </w:r>
      <w:r w:rsidR="00C93504" w:rsidRPr="00250133">
        <w:rPr>
          <w:i/>
        </w:rPr>
        <w:t>factum</w:t>
      </w:r>
      <w:r w:rsidR="00C93504">
        <w:t xml:space="preserve"> založilo tragédii</w:t>
      </w:r>
      <w:r>
        <w:t xml:space="preserve"> západního humanismu, </w:t>
      </w:r>
      <w:r w:rsidR="00C93504">
        <w:t>proto</w:t>
      </w:r>
      <w:r>
        <w:t xml:space="preserve">že osoba </w:t>
      </w:r>
      <w:r w:rsidR="00C93504">
        <w:t xml:space="preserve">se stala </w:t>
      </w:r>
      <w:r>
        <w:t xml:space="preserve">v nové definici </w:t>
      </w:r>
      <w:r w:rsidRPr="08E73E08">
        <w:rPr>
          <w:i/>
        </w:rPr>
        <w:t>De anima</w:t>
      </w:r>
      <w:r>
        <w:t xml:space="preserve"> </w:t>
      </w:r>
      <w:r w:rsidR="001F3DD1">
        <w:t>tomistickým subjektem.</w:t>
      </w:r>
    </w:p>
    <w:p w:rsidR="08163013" w:rsidRPr="00273106" w:rsidRDefault="08163013" w:rsidP="0061422E">
      <w:pPr>
        <w:ind w:firstLine="397"/>
      </w:pPr>
      <w:r>
        <w:t xml:space="preserve">Sigerova kritika </w:t>
      </w:r>
      <w:r w:rsidR="00BC0CD3">
        <w:t>p</w:t>
      </w:r>
      <w:r>
        <w:t>latí i pro fenomenolo</w:t>
      </w:r>
      <w:r w:rsidR="00BC0CD3">
        <w:t xml:space="preserve">gicky správně myslícího Alberta, která má v řádu </w:t>
      </w:r>
      <w:r w:rsidR="00BC0CD3" w:rsidRPr="086A790B">
        <w:rPr>
          <w:i/>
        </w:rPr>
        <w:t>demonstratio</w:t>
      </w:r>
      <w:r w:rsidR="00BC0CD3">
        <w:t xml:space="preserve"> špatně určené pořadí. Povahu </w:t>
      </w:r>
      <w:r>
        <w:t xml:space="preserve">intelektu </w:t>
      </w:r>
      <w:r w:rsidR="00BC0CD3">
        <w:t xml:space="preserve">také </w:t>
      </w:r>
      <w:r>
        <w:t>dedukuje z esence, místo aby vědecké poznání predikoval z existující k</w:t>
      </w:r>
      <w:r w:rsidR="08AA2CDE">
        <w:t>auzality první substance (kap. 4</w:t>
      </w:r>
      <w:r>
        <w:t xml:space="preserve">.4.3). Ale Albert drží v definici kompletní osobu podle CMDA, na rozdíl od formálního dualismu Akvinského. Místo impozice významu pro </w:t>
      </w:r>
      <w:r w:rsidRPr="00DF36D7">
        <w:rPr>
          <w:i/>
        </w:rPr>
        <w:t>intellectus possibilis</w:t>
      </w:r>
      <w:r>
        <w:t xml:space="preserve"> od reálné existence </w:t>
      </w:r>
      <w:r>
        <w:rPr>
          <w:i/>
        </w:rPr>
        <w:fldChar w:fldCharType="begin"/>
      </w:r>
      <w:r>
        <w:instrText xml:space="preserve"> XE "</w:instrText>
      </w:r>
      <w:r w:rsidRPr="00B935DC">
        <w:rPr>
          <w:rStyle w:val="Zkladntext350"/>
        </w:rPr>
        <w:instrText>osoba</w:instrText>
      </w:r>
      <w:r w:rsidRPr="00B935DC">
        <w:rPr>
          <w:rStyle w:val="Zkladntext350"/>
          <w:i/>
        </w:rPr>
        <w:instrText>:</w:instrText>
      </w:r>
      <w:r>
        <w:rPr>
          <w:rStyle w:val="Zkladntext350"/>
          <w:i/>
        </w:rPr>
        <w:instrText>homo ipse intelligit</w:instrText>
      </w:r>
      <w:r>
        <w:instrText xml:space="preserve">" </w:instrText>
      </w:r>
      <w:r>
        <w:rPr>
          <w:i/>
        </w:rPr>
        <w:fldChar w:fldCharType="end"/>
      </w:r>
      <w:r w:rsidR="08AA2CDE">
        <w:t>(</w:t>
      </w:r>
      <w:r w:rsidR="08AA2CDE" w:rsidRPr="08AA2CDE">
        <w:rPr>
          <w:i/>
        </w:rPr>
        <w:t>ipse</w:t>
      </w:r>
      <w:r w:rsidR="08AA2CDE">
        <w:t xml:space="preserve">) </w:t>
      </w:r>
      <w:r>
        <w:t xml:space="preserve">provedli Akvinský i Albert dedukci </w:t>
      </w:r>
      <w:r w:rsidR="003C16F9">
        <w:t xml:space="preserve">člověka </w:t>
      </w:r>
      <w:r>
        <w:t>od esence</w:t>
      </w:r>
      <w:r w:rsidR="08AA2CDE">
        <w:t xml:space="preserve"> (</w:t>
      </w:r>
      <w:r w:rsidR="08AA2CDE">
        <w:rPr>
          <w:i/>
        </w:rPr>
        <w:t>homo intelligit</w:t>
      </w:r>
      <w:r w:rsidR="08AA2CDE">
        <w:t>)</w:t>
      </w:r>
      <w:r w:rsidR="003C16F9">
        <w:t xml:space="preserve">. Tím </w:t>
      </w:r>
      <w:r>
        <w:t>dali na první místo esenciální supozici místo kauzálně dané impozice</w:t>
      </w:r>
      <w:r>
        <w:fldChar w:fldCharType="begin"/>
      </w:r>
      <w:r>
        <w:instrText xml:space="preserve"> XE "</w:instrText>
      </w:r>
      <w:r w:rsidRPr="00340338">
        <w:instrText>impozice:Siger</w:instrText>
      </w:r>
      <w:r>
        <w:instrText xml:space="preserve">" </w:instrText>
      </w:r>
      <w:r>
        <w:fldChar w:fldCharType="end"/>
      </w:r>
      <w:r>
        <w:t xml:space="preserve">. </w:t>
      </w:r>
      <w:r w:rsidRPr="00273106">
        <w:t>Akvinský na rozdíl od Sigera preferuj</w:t>
      </w:r>
      <w:r>
        <w:t>e slabou identitu osoby danou objektivně (</w:t>
      </w:r>
      <w:r>
        <w:rPr>
          <w:i/>
        </w:rPr>
        <w:t>Gehalt</w:t>
      </w:r>
      <w:r w:rsidRPr="08A10EB0">
        <w:rPr>
          <w:i/>
        </w:rPr>
        <w:t>sinn</w:t>
      </w:r>
      <w:r>
        <w:t>)</w:t>
      </w:r>
      <w:r>
        <w:fldChar w:fldCharType="begin"/>
      </w:r>
      <w:r>
        <w:instrText xml:space="preserve"> XE "</w:instrText>
      </w:r>
      <w:r w:rsidRPr="00580987">
        <w:instrText>osoba:</w:instrText>
      </w:r>
      <w:r w:rsidRPr="001741E7">
        <w:rPr>
          <w:i/>
        </w:rPr>
        <w:instrText>ipse/idem</w:instrText>
      </w:r>
      <w:r>
        <w:instrText xml:space="preserve">" </w:instrText>
      </w:r>
      <w:r>
        <w:fldChar w:fldCharType="end"/>
      </w:r>
      <w:r w:rsidRPr="00273106">
        <w:t>, a nikoliv fundamentální výkon ipseity v její hermeneutické fakticitě (</w:t>
      </w:r>
      <w:r w:rsidRPr="00273106">
        <w:rPr>
          <w:i/>
        </w:rPr>
        <w:t>Vollzugsinn</w:t>
      </w:r>
      <w:r>
        <w:fldChar w:fldCharType="begin"/>
      </w:r>
      <w:r>
        <w:instrText xml:space="preserve"> XE "</w:instrText>
      </w:r>
      <w:r w:rsidRPr="00670028">
        <w:instrText>hermeneutika:fakticity</w:instrText>
      </w:r>
      <w:r>
        <w:instrText xml:space="preserve">" </w:instrText>
      </w:r>
      <w:r>
        <w:fldChar w:fldCharType="end"/>
      </w:r>
      <w:r>
        <w:rPr>
          <w:i/>
        </w:rPr>
        <w:t xml:space="preserve">, </w:t>
      </w:r>
      <w:r w:rsidRPr="00E718AF">
        <w:t xml:space="preserve">kap. </w:t>
      </w:r>
      <w:r w:rsidR="08EA28ED">
        <w:t>4</w:t>
      </w:r>
      <w:r>
        <w:t>.4.1</w:t>
      </w:r>
      <w:r w:rsidRPr="00273106">
        <w:t xml:space="preserve">). </w:t>
      </w:r>
      <w:bookmarkStart w:id="58" w:name="64494"/>
      <w:r w:rsidRPr="00273106">
        <w:t xml:space="preserve">Stejnou pozici potvrzuje i klíčový text z </w:t>
      </w:r>
      <w:proofErr w:type="gramStart"/>
      <w:r w:rsidRPr="006E1966">
        <w:rPr>
          <w:i/>
        </w:rPr>
        <w:t>De</w:t>
      </w:r>
      <w:proofErr w:type="gramEnd"/>
      <w:r w:rsidRPr="006E1966">
        <w:rPr>
          <w:i/>
        </w:rPr>
        <w:t xml:space="preserve"> unitate intellectus</w:t>
      </w:r>
      <w:r w:rsidRPr="006E1966">
        <w:t xml:space="preserve"> (1270)</w:t>
      </w:r>
      <w:r>
        <w:t>, který rovněž postupuje od podstaty intelektu k jeho účinkům. In</w:t>
      </w:r>
      <w:r w:rsidRPr="00273106">
        <w:t>telekt nemá smyslový orgán daný v těle</w:t>
      </w:r>
      <w:r>
        <w:t>, j</w:t>
      </w:r>
      <w:r w:rsidRPr="00273106">
        <w:t>e tedy na rozdíl od smyslů nemateriální</w:t>
      </w:r>
      <w:r>
        <w:t>. D</w:t>
      </w:r>
      <w:r w:rsidRPr="00273106">
        <w:t xml:space="preserve">uše </w:t>
      </w:r>
      <w:r>
        <w:t xml:space="preserve">ve výkonu svého porozumění </w:t>
      </w:r>
      <w:r w:rsidRPr="08EA28ED">
        <w:t>proto má nemateriální potenci (</w:t>
      </w:r>
      <w:r w:rsidRPr="08EA28ED">
        <w:rPr>
          <w:i/>
        </w:rPr>
        <w:t>immaterialiter recipiens et se ipsam intelligens</w:t>
      </w:r>
      <w:r w:rsidRPr="08EA28ED">
        <w:t>).</w:t>
      </w:r>
      <w:r w:rsidRPr="08EA28ED">
        <w:rPr>
          <w:rStyle w:val="Znakapoznpodarou"/>
        </w:rPr>
        <w:footnoteReference w:id="327"/>
      </w:r>
      <w:r w:rsidRPr="00273106">
        <w:t xml:space="preserve"> </w:t>
      </w:r>
      <w:r w:rsidR="0061422E">
        <w:t>Text o</w:t>
      </w:r>
      <w:r>
        <w:t xml:space="preserve">bhajuje proti druhému averroismu hylemorfickou jednotu osoby, což Akvinského řadí do školy prvního averroismu. Způsob argumentace vzhledem k nematerialitě duše je ale veden v duchu objektivního tomismu, stejně jako ve výše uvedené </w:t>
      </w:r>
      <w:r>
        <w:lastRenderedPageBreak/>
        <w:t xml:space="preserve">citaci </w:t>
      </w:r>
      <w:r>
        <w:rPr>
          <w:i/>
        </w:rPr>
        <w:t>QD D</w:t>
      </w:r>
      <w:r w:rsidRPr="00273106">
        <w:rPr>
          <w:i/>
        </w:rPr>
        <w:t>e anima</w:t>
      </w:r>
      <w:r w:rsidRPr="0094487A">
        <w:t>.</w:t>
      </w:r>
      <w:r w:rsidR="0061422E">
        <w:t xml:space="preserve"> Dedukci od hypostázované esenci duše k její intelektuální potenci ukazuje následující citát z </w:t>
      </w:r>
      <w:proofErr w:type="gramStart"/>
      <w:r w:rsidR="0061422E" w:rsidRPr="00FC5C45">
        <w:rPr>
          <w:i/>
        </w:rPr>
        <w:t>De</w:t>
      </w:r>
      <w:proofErr w:type="gramEnd"/>
      <w:r w:rsidR="0061422E" w:rsidRPr="00FC5C45">
        <w:rPr>
          <w:i/>
        </w:rPr>
        <w:t xml:space="preserve"> unitate</w:t>
      </w:r>
      <w:r w:rsidR="0061422E">
        <w:t>.</w:t>
      </w:r>
    </w:p>
    <w:bookmarkEnd w:id="58"/>
    <w:p w:rsidR="08163013" w:rsidRPr="008E7D59" w:rsidRDefault="08163013" w:rsidP="08163013">
      <w:pPr>
        <w:pStyle w:val="Citace"/>
        <w:rPr>
          <w:noProof/>
          <w:szCs w:val="23"/>
          <w:lang w:val="cs-CZ"/>
        </w:rPr>
      </w:pPr>
      <w:r w:rsidRPr="00273106">
        <w:rPr>
          <w:noProof/>
          <w:szCs w:val="23"/>
          <w:lang w:val="cs-CZ"/>
        </w:rPr>
        <w:t>„</w:t>
      </w:r>
      <w:r>
        <w:rPr>
          <w:noProof/>
          <w:szCs w:val="23"/>
          <w:lang w:val="cs-CZ"/>
        </w:rPr>
        <w:t>Proti se namítá, že potence duše nemůže být nemateriálnější a jednodušší než její esence. Správně má jít argumentace tak, že vyjde z esence lidské duše jako formy dané materiálně (</w:t>
      </w:r>
      <w:r w:rsidRPr="00FC5C45">
        <w:rPr>
          <w:i/>
          <w:noProof/>
        </w:rPr>
        <w:t>essentia humanae animae sic esset forma materiae</w:t>
      </w:r>
      <w:r>
        <w:rPr>
          <w:noProof/>
          <w:szCs w:val="23"/>
          <w:lang w:val="cs-CZ"/>
        </w:rPr>
        <w:t>). A tato forma nemá bytí sama od sebe, ale z hylemorfické jednotliviny (</w:t>
      </w:r>
      <w:r w:rsidRPr="00D025EC">
        <w:rPr>
          <w:i/>
          <w:noProof/>
        </w:rPr>
        <w:t>non per esse suum esset, sed per esse compositi</w:t>
      </w:r>
      <w:r>
        <w:rPr>
          <w:noProof/>
          <w:szCs w:val="23"/>
          <w:lang w:val="cs-CZ"/>
        </w:rPr>
        <w:t>). Stejně tak je tomu v případě jiných forem, které nemají samy ze sebe ani bytí, ani vlastní činnost, ale jen skrze materii. Proto jsou označovány za materiální formy. Lidská duše chápaná podle svého vlastního bytí (</w:t>
      </w:r>
      <w:r w:rsidRPr="00FC5C45">
        <w:rPr>
          <w:i/>
          <w:noProof/>
        </w:rPr>
        <w:t>quia secundum suum esse est</w:t>
      </w:r>
      <w:r>
        <w:rPr>
          <w:noProof/>
          <w:szCs w:val="23"/>
          <w:lang w:val="cs-CZ"/>
        </w:rPr>
        <w:t>) je dána tak, že úroveň její formy je vyšší než její materiálně dané schopnosti (</w:t>
      </w:r>
      <w:r w:rsidRPr="00D025EC">
        <w:rPr>
          <w:i/>
          <w:noProof/>
        </w:rPr>
        <w:t>maior est dignitas huius formae quam capacitas materiae</w:t>
      </w:r>
      <w:r>
        <w:rPr>
          <w:noProof/>
          <w:szCs w:val="23"/>
          <w:lang w:val="cs-CZ"/>
        </w:rPr>
        <w:t>). Proto jí nic nebrání v tom, aby vykonávala činnost nebo schopnosti, kterých není schopna materiální část duše.“ </w:t>
      </w:r>
      <w:r>
        <w:rPr>
          <w:rStyle w:val="Znakapoznpodarou"/>
        </w:rPr>
        <w:footnoteReference w:id="328"/>
      </w:r>
    </w:p>
    <w:p w:rsidR="08163013" w:rsidRDefault="08163013" w:rsidP="08163013">
      <w:r w:rsidRPr="00273106">
        <w:t xml:space="preserve">Protivníci říkají, že potence duše plyne nemateriální povahy látky, viz </w:t>
      </w:r>
      <w:r w:rsidRPr="00273106">
        <w:rPr>
          <w:i/>
        </w:rPr>
        <w:t>materia spiritualis</w:t>
      </w:r>
      <w:r>
        <w:rPr>
          <w:i/>
        </w:rPr>
        <w:fldChar w:fldCharType="begin"/>
      </w:r>
      <w:r>
        <w:instrText xml:space="preserve"> XE "</w:instrText>
      </w:r>
      <w:r w:rsidRPr="08A516BF">
        <w:instrText>materie</w:instrText>
      </w:r>
      <w:r>
        <w:rPr>
          <w:i/>
        </w:rPr>
        <w:instrText xml:space="preserve">:materia </w:instrText>
      </w:r>
      <w:r w:rsidRPr="00612581">
        <w:rPr>
          <w:i/>
        </w:rPr>
        <w:instrText>spiritualis</w:instrText>
      </w:r>
      <w:r>
        <w:instrText xml:space="preserve">" </w:instrText>
      </w:r>
      <w:r>
        <w:rPr>
          <w:i/>
        </w:rPr>
        <w:fldChar w:fldCharType="end"/>
      </w:r>
      <w:r w:rsidRPr="00273106">
        <w:t xml:space="preserve"> Bonaventury a </w:t>
      </w:r>
      <w:r>
        <w:t>Pecham</w:t>
      </w:r>
      <w:r w:rsidRPr="00273106">
        <w:t xml:space="preserve">a. </w:t>
      </w:r>
      <w:r>
        <w:t>V modu univocity látky a formy jako jsoucen třetího druhu tito objektivní modernisté nemají žádný problém s Aristotelovou tezí</w:t>
      </w:r>
      <w:r w:rsidRPr="00273106">
        <w:t>, že potence duše nemůže přesáhnout esenci duše (</w:t>
      </w:r>
      <w:r w:rsidRPr="00273106">
        <w:rPr>
          <w:i/>
          <w:szCs w:val="23"/>
        </w:rPr>
        <w:t>potentia animae non potest esse immaterialior aut simplicior quam eius essentia</w:t>
      </w:r>
      <w:r w:rsidRPr="00273106">
        <w:t>). Látka jako jsoucno třetího druhu tento problém vyřešila sama od sebe</w:t>
      </w:r>
      <w:r>
        <w:t>, protože je spirituální potencí</w:t>
      </w:r>
      <w:r w:rsidR="08D0083C">
        <w:t xml:space="preserve"> a substancí</w:t>
      </w:r>
      <w:r w:rsidRPr="00273106">
        <w:t xml:space="preserve">. Jenže jsoucno třetího druhu první averroismus kategoricky odmítl. </w:t>
      </w:r>
      <w:r>
        <w:t>Proti objektivní moderně</w:t>
      </w:r>
      <w:r w:rsidR="00890F37">
        <w:t xml:space="preserve"> ve druhém averroismu</w:t>
      </w:r>
      <w:r>
        <w:t xml:space="preserve"> hájí moderní aristotelik Akvinský něco jiného, totiž objektivní tomismus</w:t>
      </w:r>
      <w:r>
        <w:fldChar w:fldCharType="begin"/>
      </w:r>
      <w:r>
        <w:instrText xml:space="preserve"> XE "</w:instrText>
      </w:r>
      <w:r w:rsidRPr="0813533C">
        <w:instrText>tomismus</w:instrText>
      </w:r>
      <w:r>
        <w:instrText xml:space="preserve">" </w:instrText>
      </w:r>
      <w:r>
        <w:fldChar w:fldCharType="end"/>
      </w:r>
      <w:r>
        <w:t xml:space="preserve">. </w:t>
      </w:r>
      <w:r w:rsidRPr="00273106">
        <w:t>Proto text přijme tento princip (</w:t>
      </w:r>
      <w:r w:rsidRPr="00273106">
        <w:rPr>
          <w:i/>
          <w:szCs w:val="23"/>
        </w:rPr>
        <w:t>optime quidem procederet ratio</w:t>
      </w:r>
      <w:r w:rsidRPr="00273106">
        <w:t>), ale aplikuje jej na hylemorfickou složeninu první substance (</w:t>
      </w:r>
      <w:r w:rsidRPr="00273106">
        <w:rPr>
          <w:i/>
          <w:szCs w:val="23"/>
        </w:rPr>
        <w:t xml:space="preserve">essentia humanae </w:t>
      </w:r>
      <w:proofErr w:type="gramStart"/>
      <w:r w:rsidRPr="00273106">
        <w:rPr>
          <w:i/>
          <w:szCs w:val="23"/>
        </w:rPr>
        <w:t>animae ...per</w:t>
      </w:r>
      <w:proofErr w:type="gramEnd"/>
      <w:r w:rsidRPr="00273106">
        <w:rPr>
          <w:i/>
          <w:szCs w:val="23"/>
        </w:rPr>
        <w:t xml:space="preserve"> esse compositi</w:t>
      </w:r>
      <w:r>
        <w:rPr>
          <w:szCs w:val="23"/>
        </w:rPr>
        <w:t>). Citát brání o</w:t>
      </w:r>
      <w:r w:rsidRPr="00273106">
        <w:rPr>
          <w:szCs w:val="23"/>
        </w:rPr>
        <w:t>ddělený intelekt</w:t>
      </w:r>
      <w:r>
        <w:rPr>
          <w:szCs w:val="23"/>
        </w:rPr>
        <w:t xml:space="preserve">, který </w:t>
      </w:r>
      <w:r w:rsidRPr="00273106">
        <w:rPr>
          <w:szCs w:val="23"/>
        </w:rPr>
        <w:t xml:space="preserve">staví </w:t>
      </w:r>
      <w:r w:rsidRPr="00273106">
        <w:rPr>
          <w:i/>
          <w:szCs w:val="23"/>
        </w:rPr>
        <w:t>anima intellectiva</w:t>
      </w:r>
      <w:r w:rsidRPr="00273106">
        <w:rPr>
          <w:szCs w:val="23"/>
        </w:rPr>
        <w:t xml:space="preserve"> do jiné pozice</w:t>
      </w:r>
      <w:r>
        <w:rPr>
          <w:szCs w:val="23"/>
        </w:rPr>
        <w:t>,</w:t>
      </w:r>
      <w:r w:rsidRPr="00273106">
        <w:rPr>
          <w:szCs w:val="23"/>
        </w:rPr>
        <w:t xml:space="preserve"> než vegetativní a animální potence duše (</w:t>
      </w:r>
      <w:r w:rsidRPr="00273106">
        <w:rPr>
          <w:i/>
          <w:szCs w:val="23"/>
        </w:rPr>
        <w:t>est dignitas huius formae quam capacitas materiae</w:t>
      </w:r>
      <w:r w:rsidRPr="00273106">
        <w:rPr>
          <w:szCs w:val="23"/>
        </w:rPr>
        <w:t xml:space="preserve">). </w:t>
      </w:r>
      <w:r>
        <w:rPr>
          <w:szCs w:val="23"/>
        </w:rPr>
        <w:t xml:space="preserve">Jak víme, toto pojetí </w:t>
      </w:r>
      <w:r w:rsidRPr="080F746A">
        <w:rPr>
          <w:i/>
          <w:szCs w:val="23"/>
        </w:rPr>
        <w:t>anima intellectiva</w:t>
      </w:r>
      <w:r>
        <w:rPr>
          <w:szCs w:val="23"/>
        </w:rPr>
        <w:t xml:space="preserve"> jako </w:t>
      </w:r>
      <w:r w:rsidRPr="080F746A">
        <w:rPr>
          <w:i/>
          <w:szCs w:val="23"/>
        </w:rPr>
        <w:t>compositum</w:t>
      </w:r>
      <w:r>
        <w:rPr>
          <w:szCs w:val="23"/>
        </w:rPr>
        <w:t xml:space="preserve"> hájil Si</w:t>
      </w:r>
      <w:r w:rsidR="08D0083C">
        <w:rPr>
          <w:szCs w:val="23"/>
        </w:rPr>
        <w:t xml:space="preserve">ger </w:t>
      </w:r>
      <w:r w:rsidR="00792DEB">
        <w:rPr>
          <w:szCs w:val="23"/>
        </w:rPr>
        <w:t xml:space="preserve">už </w:t>
      </w:r>
      <w:r w:rsidR="08D0083C">
        <w:rPr>
          <w:szCs w:val="23"/>
        </w:rPr>
        <w:t xml:space="preserve">před </w:t>
      </w:r>
      <w:proofErr w:type="gramStart"/>
      <w:r w:rsidR="08D0083C">
        <w:rPr>
          <w:szCs w:val="23"/>
        </w:rPr>
        <w:t>Akvinským</w:t>
      </w:r>
      <w:proofErr w:type="gramEnd"/>
      <w:r w:rsidR="08D0083C">
        <w:rPr>
          <w:szCs w:val="23"/>
        </w:rPr>
        <w:t xml:space="preserve"> (kap. 4</w:t>
      </w:r>
      <w:r>
        <w:rPr>
          <w:szCs w:val="23"/>
        </w:rPr>
        <w:t>.4.2). Argumentace vyjde z esence lidské duše jako formy dané materiálně (</w:t>
      </w:r>
      <w:r w:rsidRPr="00FC5C45">
        <w:rPr>
          <w:i/>
        </w:rPr>
        <w:t>essentia humanae animae sic esset forma materiae</w:t>
      </w:r>
      <w:r>
        <w:rPr>
          <w:szCs w:val="23"/>
        </w:rPr>
        <w:t>) a tato forma má bytí z hylemorfické jednotliviny (</w:t>
      </w:r>
      <w:r w:rsidRPr="00D025EC">
        <w:rPr>
          <w:i/>
        </w:rPr>
        <w:t>non per esse suum esset, sed per esse compositi</w:t>
      </w:r>
      <w:r>
        <w:rPr>
          <w:szCs w:val="23"/>
        </w:rPr>
        <w:t xml:space="preserve">). Akvinský nepredikuje jednotu kauzálně </w:t>
      </w:r>
      <w:r>
        <w:rPr>
          <w:szCs w:val="23"/>
        </w:rPr>
        <w:lastRenderedPageBreak/>
        <w:t>existující osoby, ale jednotu esenciálně-formálního subjektu (</w:t>
      </w:r>
      <w:r w:rsidRPr="00FC5C45">
        <w:rPr>
          <w:i/>
        </w:rPr>
        <w:t>secundum suum esse est</w:t>
      </w:r>
      <w:r>
        <w:rPr>
          <w:szCs w:val="23"/>
        </w:rPr>
        <w:t xml:space="preserve">). Otázka opět zní, jak chápat duši jako složeninu materiálních a nemateriálních činností, zda esenciálně nebo existenciálně. V obou pojetích </w:t>
      </w:r>
      <w:r w:rsidRPr="00273106">
        <w:rPr>
          <w:szCs w:val="23"/>
        </w:rPr>
        <w:t>má duše vlastní autonomní činnost, nezávislou na smyslech (</w:t>
      </w:r>
      <w:r w:rsidRPr="00273106">
        <w:rPr>
          <w:i/>
          <w:szCs w:val="23"/>
        </w:rPr>
        <w:t>operationem vel virtutem ad quam materia non attingit</w:t>
      </w:r>
      <w:r w:rsidRPr="00273106">
        <w:rPr>
          <w:szCs w:val="23"/>
        </w:rPr>
        <w:t xml:space="preserve">). Citát ukazuje, že princip dedukce z esence </w:t>
      </w:r>
      <w:r>
        <w:rPr>
          <w:szCs w:val="23"/>
        </w:rPr>
        <w:t xml:space="preserve">duše </w:t>
      </w:r>
      <w:r w:rsidRPr="00273106">
        <w:rPr>
          <w:szCs w:val="23"/>
        </w:rPr>
        <w:t xml:space="preserve">směrem k </w:t>
      </w:r>
      <w:r>
        <w:rPr>
          <w:szCs w:val="23"/>
        </w:rPr>
        <w:t xml:space="preserve">jejímu </w:t>
      </w:r>
      <w:r w:rsidRPr="00273106">
        <w:rPr>
          <w:i/>
          <w:szCs w:val="23"/>
        </w:rPr>
        <w:t>operatio</w:t>
      </w:r>
      <w:r w:rsidRPr="00273106">
        <w:rPr>
          <w:szCs w:val="23"/>
        </w:rPr>
        <w:t xml:space="preserve"> představuje základní rys Akvinského myšlení </w:t>
      </w:r>
      <w:r>
        <w:rPr>
          <w:szCs w:val="23"/>
        </w:rPr>
        <w:t>nejen během římských disputací do 1268, ale i během druhého pobytu v Paříži</w:t>
      </w:r>
      <w:r w:rsidRPr="00273106">
        <w:rPr>
          <w:szCs w:val="23"/>
        </w:rPr>
        <w:t xml:space="preserve">, kdy </w:t>
      </w:r>
      <w:r>
        <w:rPr>
          <w:szCs w:val="23"/>
        </w:rPr>
        <w:t>se musel vypořádat s námitkami Sigerovy školy</w:t>
      </w:r>
      <w:r w:rsidRPr="00273106">
        <w:rPr>
          <w:szCs w:val="23"/>
        </w:rPr>
        <w:t>.</w:t>
      </w:r>
      <w:r w:rsidRPr="00273106">
        <w:t xml:space="preserve"> </w:t>
      </w:r>
      <w:r>
        <w:t xml:space="preserve">Nyní je jasné, proč Akvinský prohrál spor o titul </w:t>
      </w:r>
      <w:r w:rsidRPr="08CE041B">
        <w:rPr>
          <w:i/>
        </w:rPr>
        <w:t>Expositor Novus</w:t>
      </w:r>
      <w:r>
        <w:rPr>
          <w:i/>
        </w:rPr>
        <w:fldChar w:fldCharType="begin"/>
      </w:r>
      <w:r>
        <w:instrText xml:space="preserve"> XE "</w:instrText>
      </w:r>
      <w:r w:rsidRPr="080372CE">
        <w:rPr>
          <w:i/>
        </w:rPr>
        <w:instrText>Expositor Novus</w:instrText>
      </w:r>
      <w:r>
        <w:instrText xml:space="preserve">" </w:instrText>
      </w:r>
      <w:r>
        <w:rPr>
          <w:i/>
        </w:rPr>
        <w:fldChar w:fldCharType="end"/>
      </w:r>
      <w:r>
        <w:t xml:space="preserve"> a proč jej vyhrálo tomistické simulákrum vytvořené Aegidiem. </w:t>
      </w:r>
    </w:p>
    <w:p w:rsidR="00E24788" w:rsidRDefault="08163013" w:rsidP="08163013">
      <w:r>
        <w:tab/>
      </w:r>
      <w:r>
        <w:rPr>
          <w:szCs w:val="23"/>
        </w:rPr>
        <w:t xml:space="preserve">Siger odmítl zkoumání esence duše podle </w:t>
      </w:r>
      <w:proofErr w:type="gramStart"/>
      <w:r>
        <w:rPr>
          <w:szCs w:val="23"/>
        </w:rPr>
        <w:t>dogmatické  definice</w:t>
      </w:r>
      <w:proofErr w:type="gramEnd"/>
      <w:r>
        <w:rPr>
          <w:szCs w:val="23"/>
        </w:rPr>
        <w:t xml:space="preserve"> tomismu (</w:t>
      </w:r>
      <w:r w:rsidRPr="00C977DE">
        <w:rPr>
          <w:i/>
        </w:rPr>
        <w:t>potentia animae est effectus essentiae eius</w:t>
      </w:r>
      <w:r>
        <w:t>).</w:t>
      </w:r>
      <w:r w:rsidRPr="00166EEA">
        <w:t xml:space="preserve"> </w:t>
      </w:r>
      <w:r>
        <w:t>E</w:t>
      </w:r>
      <w:r>
        <w:rPr>
          <w:szCs w:val="23"/>
        </w:rPr>
        <w:t xml:space="preserve">senciální pojetí člověka dané v citovaném modu </w:t>
      </w:r>
      <w:r w:rsidR="006E00BF">
        <w:rPr>
          <w:szCs w:val="23"/>
        </w:rPr>
        <w:t>„</w:t>
      </w:r>
      <w:r w:rsidRPr="009A66D7">
        <w:rPr>
          <w:i/>
          <w:szCs w:val="23"/>
        </w:rPr>
        <w:t>esse compositum</w:t>
      </w:r>
      <w:r w:rsidR="006E00BF">
        <w:rPr>
          <w:szCs w:val="23"/>
        </w:rPr>
        <w:t>“</w:t>
      </w:r>
      <w:r>
        <w:rPr>
          <w:szCs w:val="23"/>
        </w:rPr>
        <w:t xml:space="preserve"> se zásadně liší od Sigerova fenomenologického přístupu</w:t>
      </w:r>
      <w:r>
        <w:t xml:space="preserve">. Účinek intelektu je dán v modu </w:t>
      </w:r>
      <w:r w:rsidRPr="08416BEB">
        <w:rPr>
          <w:i/>
        </w:rPr>
        <w:t>per prius</w:t>
      </w:r>
      <w:r>
        <w:t xml:space="preserve"> kauzálně-existenciálně a z něj usuzujeme v modu </w:t>
      </w:r>
      <w:r w:rsidRPr="08416BEB">
        <w:rPr>
          <w:i/>
        </w:rPr>
        <w:t xml:space="preserve">per posterius </w:t>
      </w:r>
      <w:r>
        <w:t xml:space="preserve">na esenciální povahu duše. </w:t>
      </w:r>
      <w:r w:rsidR="0060341A">
        <w:t xml:space="preserve">Fenomenologie osoby nemůže začít od </w:t>
      </w:r>
      <w:r>
        <w:rPr>
          <w:szCs w:val="23"/>
        </w:rPr>
        <w:t>esenciální definic</w:t>
      </w:r>
      <w:r w:rsidR="0060341A">
        <w:rPr>
          <w:szCs w:val="23"/>
        </w:rPr>
        <w:t>e</w:t>
      </w:r>
      <w:r>
        <w:rPr>
          <w:szCs w:val="23"/>
        </w:rPr>
        <w:t xml:space="preserve">. </w:t>
      </w:r>
      <w:r>
        <w:t>Akvinský si je vědom, že akt intelektuálních duševních činností musí být dán v těle. Jenže</w:t>
      </w:r>
      <w:r w:rsidR="084D0C24">
        <w:t xml:space="preserve"> potence duše primárně existuje </w:t>
      </w:r>
      <w:r>
        <w:t>v hypostázovaném habituálním modu Toledské definice duše podle Gundissalina (</w:t>
      </w:r>
      <w:r w:rsidRPr="00884F1C">
        <w:rPr>
          <w:i/>
        </w:rPr>
        <w:t>actus corporis potentia vitam habentis</w:t>
      </w:r>
      <w:r w:rsidR="08B30F91">
        <w:t>; OBJ II, kap. 2</w:t>
      </w:r>
      <w:r>
        <w:t>.2.1). Akvinský potřebuje hypostázovaný habitus, protože nemá jiný způsob, jak zajistit nesmrtelnost duše (</w:t>
      </w:r>
      <w:r w:rsidRPr="083B2704">
        <w:rPr>
          <w:i/>
        </w:rPr>
        <w:t>semper habens animam actu haberet opera vitae</w:t>
      </w:r>
      <w:r>
        <w:t>).</w:t>
      </w:r>
      <w:r>
        <w:rPr>
          <w:rStyle w:val="Znakapoznpodarou"/>
        </w:rPr>
        <w:footnoteReference w:id="329"/>
      </w:r>
      <w:r>
        <w:t xml:space="preserve"> Tomu odpovídá </w:t>
      </w:r>
      <w:r w:rsidR="083D435C">
        <w:t>citovaná argumentace</w:t>
      </w:r>
      <w:r>
        <w:t xml:space="preserve">, která duši definuje jako aktuální hypostázovanou formu v modu </w:t>
      </w:r>
      <w:r w:rsidRPr="00C50AD3">
        <w:rPr>
          <w:i/>
        </w:rPr>
        <w:t>actus primus</w:t>
      </w:r>
      <w:r>
        <w:t xml:space="preserve"> držebnou podle habitu (</w:t>
      </w:r>
      <w:r w:rsidRPr="08F84E08">
        <w:rPr>
          <w:i/>
        </w:rPr>
        <w:t>ipsa anima, secundum quod subest suae potentiae, dicitur actus primus</w:t>
      </w:r>
      <w:r>
        <w:t xml:space="preserve">). </w:t>
      </w:r>
      <w:r w:rsidR="00170B68">
        <w:t>Siger v  QIIIDA odmítl intelekt jako hypostázi, protože tako forma intelektu je empiricky nedokazatelná</w:t>
      </w:r>
      <w:r>
        <w:t>. Teolog Akvinský potřebuje zajistit nesmrtelnost duše na úrovni subsistentní formy a habitu</w:t>
      </w:r>
      <w:r w:rsidR="00D06F3C">
        <w:t xml:space="preserve">. To </w:t>
      </w:r>
      <w:r>
        <w:t xml:space="preserve">je </w:t>
      </w:r>
      <w:r w:rsidR="00D06F3C">
        <w:t>možné pouze na úrovni avicennismu podle Toledské školy</w:t>
      </w:r>
      <w:r>
        <w:t xml:space="preserve">. Filosof Siger odmítl z pozice </w:t>
      </w:r>
      <w:r w:rsidRPr="08784A77">
        <w:rPr>
          <w:i/>
        </w:rPr>
        <w:t>Druhých analytik</w:t>
      </w:r>
      <w:r>
        <w:t xml:space="preserve"> dogmatické předpoklady teologů, protože k takovému tvrzení chybí reálně zakoušená kauzalita. Opět jde o metafyzickou chybu </w:t>
      </w:r>
      <w:r w:rsidR="00170B68">
        <w:t>„</w:t>
      </w:r>
      <w:r>
        <w:rPr>
          <w:i/>
          <w:lang w:eastAsia="en-US"/>
        </w:rPr>
        <w:t>fallac</w:t>
      </w:r>
      <w:r w:rsidRPr="005B503C">
        <w:rPr>
          <w:i/>
          <w:lang w:eastAsia="en-US"/>
        </w:rPr>
        <w:t xml:space="preserve">ia secundum </w:t>
      </w:r>
      <w:r w:rsidRPr="005B503C">
        <w:rPr>
          <w:i/>
          <w:lang w:eastAsia="en-US"/>
        </w:rPr>
        <w:lastRenderedPageBreak/>
        <w:t>quid et simpliciter</w:t>
      </w:r>
      <w:r w:rsidR="00170B68">
        <w:rPr>
          <w:lang w:eastAsia="en-US"/>
        </w:rPr>
        <w:t>“</w:t>
      </w:r>
      <w:r>
        <w:rPr>
          <w:i/>
          <w:lang w:eastAsia="en-US"/>
        </w:rPr>
        <w:fldChar w:fldCharType="begin"/>
      </w:r>
      <w:r>
        <w:instrText xml:space="preserve"> XE "</w:instrText>
      </w:r>
      <w:r w:rsidRPr="00027DD3">
        <w:rPr>
          <w:i/>
        </w:rPr>
        <w:instrText>fallacia secundum quid et simpliciter</w:instrText>
      </w:r>
      <w:r>
        <w:instrText xml:space="preserve">" </w:instrText>
      </w:r>
      <w:r>
        <w:rPr>
          <w:i/>
          <w:lang w:eastAsia="en-US"/>
        </w:rPr>
        <w:fldChar w:fldCharType="end"/>
      </w:r>
      <w:r>
        <w:rPr>
          <w:lang w:eastAsia="en-US"/>
        </w:rPr>
        <w:t xml:space="preserve">. Akvinského teze </w:t>
      </w:r>
      <w:r>
        <w:t xml:space="preserve">o nesmrtelnosti duše platí pouze jako dogmatické tvrzení objektivního esencialismu. A to představuje důkaz v modu </w:t>
      </w:r>
      <w:r w:rsidR="004C146A">
        <w:t>„</w:t>
      </w:r>
      <w:r w:rsidRPr="00772171">
        <w:rPr>
          <w:i/>
        </w:rPr>
        <w:t>secundum simpliciter</w:t>
      </w:r>
      <w:r w:rsidR="004C146A">
        <w:t>“</w:t>
      </w:r>
      <w:r>
        <w:t xml:space="preserve"> (a tedy pouze </w:t>
      </w:r>
      <w:r w:rsidRPr="00832932">
        <w:rPr>
          <w:i/>
        </w:rPr>
        <w:t>essencialiter</w:t>
      </w:r>
      <w:r>
        <w:t xml:space="preserve">), a nikoliv v modu </w:t>
      </w:r>
      <w:r w:rsidR="004C146A">
        <w:t>„</w:t>
      </w:r>
      <w:r w:rsidRPr="00832932">
        <w:rPr>
          <w:i/>
        </w:rPr>
        <w:t>secundum quid</w:t>
      </w:r>
      <w:r w:rsidR="004C146A">
        <w:t>“</w:t>
      </w:r>
      <w:r w:rsidRPr="00832932">
        <w:t xml:space="preserve"> podle reáln</w:t>
      </w:r>
      <w:r>
        <w:t>ě</w:t>
      </w:r>
      <w:r w:rsidRPr="00832932">
        <w:t xml:space="preserve"> </w:t>
      </w:r>
      <w:r>
        <w:t xml:space="preserve">zakoušené </w:t>
      </w:r>
      <w:r w:rsidRPr="00832932">
        <w:t>kauzality</w:t>
      </w:r>
      <w:r>
        <w:t xml:space="preserve"> porozumění daného v těle</w:t>
      </w:r>
      <w:r>
        <w:fldChar w:fldCharType="begin"/>
      </w:r>
      <w:r>
        <w:instrText xml:space="preserve"> XE "</w:instrText>
      </w:r>
      <w:r w:rsidRPr="00A84CBB">
        <w:instrText>teorie dvojí pravdy</w:instrText>
      </w:r>
      <w:r>
        <w:instrText xml:space="preserve">" </w:instrText>
      </w:r>
      <w:r>
        <w:fldChar w:fldCharType="end"/>
      </w:r>
      <w:r w:rsidRPr="00832932">
        <w:t xml:space="preserve">. </w:t>
      </w:r>
      <w:r>
        <w:t xml:space="preserve">Siger namítá, že </w:t>
      </w:r>
      <w:r>
        <w:rPr>
          <w:szCs w:val="23"/>
        </w:rPr>
        <w:t xml:space="preserve">esenciální definice nejde cestou reálné kauzality, kterou vyžaduje vědecký důkaz </w:t>
      </w:r>
      <w:r w:rsidRPr="08784A77">
        <w:rPr>
          <w:i/>
          <w:szCs w:val="23"/>
        </w:rPr>
        <w:t>Druhých analytik</w:t>
      </w:r>
      <w:r>
        <w:rPr>
          <w:szCs w:val="23"/>
        </w:rPr>
        <w:t xml:space="preserve"> (</w:t>
      </w:r>
      <w:r w:rsidR="083D435C">
        <w:t>kap. 4</w:t>
      </w:r>
      <w:r>
        <w:t xml:space="preserve">.4.3). </w:t>
      </w:r>
      <w:r w:rsidRPr="00273106">
        <w:t>Akvinský buď nepochopil Sigerovu kritiku</w:t>
      </w:r>
      <w:r>
        <w:t xml:space="preserve"> danou již QIIIDA</w:t>
      </w:r>
      <w:r w:rsidRPr="00273106">
        <w:t xml:space="preserve">, nebo už nechtěl svou pozici měnit. </w:t>
      </w:r>
      <w:r w:rsidR="08EF3EFE">
        <w:t>Druhá varianta je mnohem pravděpodobnější</w:t>
      </w:r>
      <w:r w:rsidR="00BE7C51">
        <w:t>. P</w:t>
      </w:r>
      <w:r w:rsidR="08EF3EFE">
        <w:t xml:space="preserve">rvní tomista Aegidius přesně znal rozdíl mezi Tomášem a Sigerem </w:t>
      </w:r>
      <w:r w:rsidR="089D5434">
        <w:t xml:space="preserve">v pozici </w:t>
      </w:r>
      <w:r w:rsidR="00BE7C51">
        <w:t>„</w:t>
      </w:r>
      <w:r w:rsidR="089D5434" w:rsidRPr="089D5434">
        <w:rPr>
          <w:i/>
        </w:rPr>
        <w:t>homo (ipse) intelligit</w:t>
      </w:r>
      <w:r w:rsidR="00BE7C51">
        <w:t>“</w:t>
      </w:r>
      <w:r w:rsidR="007C6C24">
        <w:t xml:space="preserve">. Proto připsal chybu </w:t>
      </w:r>
      <w:r w:rsidR="08EF3EFE">
        <w:t xml:space="preserve">Akvinského </w:t>
      </w:r>
      <w:r w:rsidR="007C6C24">
        <w:t xml:space="preserve">na účet </w:t>
      </w:r>
      <w:r w:rsidR="08EF3EFE">
        <w:t xml:space="preserve">Averroese. </w:t>
      </w:r>
      <w:r>
        <w:t xml:space="preserve">Citát z </w:t>
      </w:r>
      <w:proofErr w:type="gramStart"/>
      <w:r w:rsidRPr="00FA7287">
        <w:rPr>
          <w:i/>
        </w:rPr>
        <w:t>De</w:t>
      </w:r>
      <w:proofErr w:type="gramEnd"/>
      <w:r w:rsidRPr="00FA7287">
        <w:rPr>
          <w:i/>
        </w:rPr>
        <w:t xml:space="preserve"> unitate</w:t>
      </w:r>
      <w:r>
        <w:t xml:space="preserve"> potvrzuje deduktivní </w:t>
      </w:r>
      <w:r w:rsidRPr="00273106">
        <w:t xml:space="preserve">princip </w:t>
      </w:r>
      <w:r>
        <w:t xml:space="preserve">od podstaty k účinkům </w:t>
      </w:r>
      <w:r w:rsidRPr="00273106">
        <w:t>a pouze ho brání proti druhému averroismu</w:t>
      </w:r>
      <w:r>
        <w:t xml:space="preserve"> odkazem na specifické postavení nemateriální duše a odděleného intelektu</w:t>
      </w:r>
      <w:r w:rsidRPr="00273106">
        <w:t>.</w:t>
      </w:r>
      <w:r>
        <w:t xml:space="preserve"> Wéber tvrdí, že Tomáš dedukcí potence duše z její nemateriální esence (</w:t>
      </w:r>
      <w:r w:rsidRPr="00D40F6A">
        <w:rPr>
          <w:i/>
          <w:szCs w:val="23"/>
        </w:rPr>
        <w:t>potentia animae non potest esse immaterialior aut simplicior quam eius essentia</w:t>
      </w:r>
      <w:r>
        <w:t xml:space="preserve">) odpovídá na Sigerovu averroistickou pozici odděleného </w:t>
      </w:r>
      <w:r w:rsidRPr="00FB04C6">
        <w:rPr>
          <w:i/>
        </w:rPr>
        <w:t>intellectus possibilis</w:t>
      </w:r>
      <w:r>
        <w:t xml:space="preserve"> (Wéber 1970, 87‒91). Toto teze je z hlediska předložené hermeneutiky neudržitelná. Wéber neviděl správně pozici Alberta (tu pochopil jako averroistickou) a zásadně přehnal Tomášův hypostázovaný intelekt směrem k substančnímu a emanačnímu avicennismu, který měl druhý averroismus Pechama a Bonaventury. Ale přemýšlivý Wéber viděl na rozdíl od objektivisty Bazána, že kritika Sigera přesně a správně odmítla formální stránku Akvinského pojetí intelektu. Jenže Wéberova definice </w:t>
      </w:r>
      <w:r w:rsidRPr="083B494E">
        <w:rPr>
          <w:i/>
        </w:rPr>
        <w:t>intellectus possibilis</w:t>
      </w:r>
      <w:r>
        <w:t xml:space="preserve"> jako kosmické hypostáze a dokonce substance u Akvinského vychází z pozice druhého averroismu. </w:t>
      </w:r>
      <w:r w:rsidR="00F9112A">
        <w:t xml:space="preserve">Akvinský záadně nesouhlasil s modernisty, což ukázala </w:t>
      </w:r>
      <w:r>
        <w:t>výše uvedená hermeneutika Akvinského</w:t>
      </w:r>
      <w:r w:rsidR="00F9112A">
        <w:t>. P</w:t>
      </w:r>
      <w:r>
        <w:t xml:space="preserve">odobně argumentoval proti Wéberovi také Bazán </w:t>
      </w:r>
      <w:r>
        <w:fldChar w:fldCharType="begin"/>
      </w:r>
      <w:r>
        <w:instrText xml:space="preserve"> XE "</w:instrText>
      </w:r>
      <w:r w:rsidRPr="00CC45F0">
        <w:instrText>Bazán,</w:instrText>
      </w:r>
      <w:r>
        <w:instrText xml:space="preserve"> C. B." </w:instrText>
      </w:r>
      <w:r>
        <w:fldChar w:fldCharType="end"/>
      </w:r>
      <w:r>
        <w:t xml:space="preserve">ve své polemice. </w:t>
      </w:r>
      <w:r w:rsidR="00B96BD6">
        <w:t>Bazánovo</w:t>
      </w:r>
      <w:r>
        <w:t xml:space="preserve"> paušálnímu odmítnutí Wéberova rozboru </w:t>
      </w:r>
      <w:r w:rsidR="00B96BD6">
        <w:t xml:space="preserve">je třeba opravit. </w:t>
      </w:r>
      <w:r>
        <w:t xml:space="preserve">Wéberovo pojetí formální stánky intelektu jako oddělené substance přesně koresponduje s druhým averroismem Bonaventury a Pechama, protože oba averroisté drží linii </w:t>
      </w:r>
      <w:r w:rsidRPr="00990E7A">
        <w:rPr>
          <w:i/>
        </w:rPr>
        <w:t>Oxfordian Fallacy</w:t>
      </w:r>
      <w:r>
        <w:rPr>
          <w:i/>
        </w:rPr>
        <w:fldChar w:fldCharType="begin"/>
      </w:r>
      <w:r>
        <w:instrText xml:space="preserve"> XE "</w:instrText>
      </w:r>
      <w:r w:rsidRPr="0015798D">
        <w:rPr>
          <w:i/>
        </w:rPr>
        <w:instrText>Oxfordian Fallacy:</w:instrText>
      </w:r>
      <w:r w:rsidRPr="00F34429">
        <w:instrText>Pecham</w:instrText>
      </w:r>
      <w:r>
        <w:instrText xml:space="preserve">" </w:instrText>
      </w:r>
      <w:r>
        <w:rPr>
          <w:i/>
        </w:rPr>
        <w:fldChar w:fldCharType="end"/>
      </w:r>
      <w:r>
        <w:t>. Další problém tomistického Wébera je v tom, že esencialistická a formalistická definice intelektu vytvořená pro Sigera jako averroistu je v jasném rozporu s fenomenologií Sigera. Citujme klíčovou část Wéberovy argumentace ohledně Akvinského, kterou právem kritizoval Bazán, bohužel z pozice Sigera jako averroisty, což měl i Wéber.</w:t>
      </w:r>
      <w:r w:rsidR="007121AB" w:rsidRPr="00930BD7">
        <w:rPr>
          <w:szCs w:val="24"/>
          <w:vertAlign w:val="superscript"/>
        </w:rPr>
        <w:footnoteReference w:id="330"/>
      </w:r>
      <w:r>
        <w:t xml:space="preserve"> Ale Wéberova analýza postihla jádro problematického </w:t>
      </w:r>
      <w:r>
        <w:lastRenderedPageBreak/>
        <w:t xml:space="preserve">pojetí hypostázovaného </w:t>
      </w:r>
      <w:r w:rsidRPr="08777ECD">
        <w:rPr>
          <w:i/>
        </w:rPr>
        <w:t>intellectus possibilis</w:t>
      </w:r>
      <w:r>
        <w:t xml:space="preserve"> u Akvinského, které viděl a kvalifikovaně odmítl Siger. Tomášův hypostázovaný pojem možného intelektu funguje jako avicennistický </w:t>
      </w:r>
      <w:r w:rsidRPr="08167E5C">
        <w:rPr>
          <w:i/>
        </w:rPr>
        <w:t>intellectus formalis</w:t>
      </w:r>
      <w:r>
        <w:t xml:space="preserve">. </w:t>
      </w:r>
      <w:r>
        <w:rPr>
          <w:lang w:eastAsia="en-US"/>
        </w:rPr>
        <w:t>I</w:t>
      </w:r>
      <w:r w:rsidRPr="00273106">
        <w:rPr>
          <w:lang w:eastAsia="en-US"/>
        </w:rPr>
        <w:t>nt</w:t>
      </w:r>
      <w:r w:rsidR="0801717E">
        <w:rPr>
          <w:lang w:eastAsia="en-US"/>
        </w:rPr>
        <w:t>elekt se stal nezávislou formou</w:t>
      </w:r>
      <w:r>
        <w:rPr>
          <w:lang w:eastAsia="en-US"/>
        </w:rPr>
        <w:t xml:space="preserve">, která definuje výkon intelektu esenciálně. Tím se definice </w:t>
      </w:r>
      <w:r w:rsidRPr="08327CCD">
        <w:rPr>
          <w:i/>
          <w:lang w:eastAsia="en-US"/>
        </w:rPr>
        <w:t>anima intellectiva</w:t>
      </w:r>
      <w:r>
        <w:rPr>
          <w:lang w:eastAsia="en-US"/>
        </w:rPr>
        <w:t xml:space="preserve"> dostala </w:t>
      </w:r>
      <w:r w:rsidRPr="00273106">
        <w:rPr>
          <w:lang w:eastAsia="en-US"/>
        </w:rPr>
        <w:t>mimo aktuální bytí jednotlivce</w:t>
      </w:r>
      <w:r w:rsidR="08981273">
        <w:rPr>
          <w:lang w:eastAsia="en-US"/>
        </w:rPr>
        <w:t xml:space="preserve">. </w:t>
      </w:r>
      <w:r>
        <w:rPr>
          <w:lang w:eastAsia="en-US"/>
        </w:rPr>
        <w:t xml:space="preserve">Siger </w:t>
      </w:r>
      <w:r w:rsidR="08981273">
        <w:rPr>
          <w:lang w:eastAsia="en-US"/>
        </w:rPr>
        <w:t>hájil přesně opačnou pozici v</w:t>
      </w:r>
      <w:r>
        <w:rPr>
          <w:lang w:eastAsia="en-US"/>
        </w:rPr>
        <w:t xml:space="preserve"> modu </w:t>
      </w:r>
      <w:r w:rsidR="0085582E">
        <w:rPr>
          <w:lang w:eastAsia="en-US"/>
        </w:rPr>
        <w:t>„</w:t>
      </w:r>
      <w:r w:rsidRPr="08886C31">
        <w:rPr>
          <w:i/>
          <w:lang w:eastAsia="en-US"/>
        </w:rPr>
        <w:t>homo</w:t>
      </w:r>
      <w:r>
        <w:rPr>
          <w:lang w:eastAsia="en-US"/>
        </w:rPr>
        <w:t xml:space="preserve"> </w:t>
      </w:r>
      <w:r w:rsidRPr="00273106">
        <w:rPr>
          <w:i/>
          <w:lang w:eastAsia="en-US"/>
        </w:rPr>
        <w:t>ipse</w:t>
      </w:r>
      <w:r>
        <w:rPr>
          <w:i/>
          <w:lang w:eastAsia="en-US"/>
        </w:rPr>
        <w:t xml:space="preserve"> intelligit</w:t>
      </w:r>
      <w:r w:rsidR="0085582E">
        <w:rPr>
          <w:lang w:eastAsia="en-US"/>
        </w:rPr>
        <w:t>“</w:t>
      </w:r>
      <w:r>
        <w:rPr>
          <w:i/>
          <w:lang w:eastAsia="en-US"/>
        </w:rPr>
        <w:fldChar w:fldCharType="begin"/>
      </w:r>
      <w:r>
        <w:instrText xml:space="preserve"> XE "</w:instrText>
      </w:r>
      <w:r w:rsidRPr="001C5F7B">
        <w:rPr>
          <w:lang w:eastAsia="en-US"/>
        </w:rPr>
        <w:instrText>intelekt</w:instrText>
      </w:r>
      <w:r w:rsidRPr="00E30F74">
        <w:rPr>
          <w:i/>
          <w:lang w:eastAsia="en-US"/>
        </w:rPr>
        <w:instrText>:ipse/idem</w:instrText>
      </w:r>
      <w:r>
        <w:instrText xml:space="preserve">" </w:instrText>
      </w:r>
      <w:r>
        <w:rPr>
          <w:i/>
          <w:lang w:eastAsia="en-US"/>
        </w:rPr>
        <w:fldChar w:fldCharType="end"/>
      </w:r>
      <w:r w:rsidRPr="00273106">
        <w:rPr>
          <w:lang w:eastAsia="en-US"/>
        </w:rPr>
        <w:t>.</w:t>
      </w:r>
      <w:r>
        <w:rPr>
          <w:lang w:eastAsia="en-US"/>
        </w:rPr>
        <w:t xml:space="preserve"> </w:t>
      </w:r>
      <w:r>
        <w:t xml:space="preserve">Střední člen </w:t>
      </w:r>
      <w:r w:rsidR="00D719A3">
        <w:t xml:space="preserve">dedukce </w:t>
      </w:r>
      <w:r>
        <w:t xml:space="preserve">je </w:t>
      </w:r>
      <w:r w:rsidR="08D23560">
        <w:t xml:space="preserve">u Tomáše </w:t>
      </w:r>
      <w:r>
        <w:t xml:space="preserve">definován esenciálně z pojmu, místo kauzálního působení reálné první substance. Akvinského intelekt jako esence ale nemá charakter </w:t>
      </w:r>
      <w:r w:rsidR="00D719A3">
        <w:t>substance, jako</w:t>
      </w:r>
      <w:r>
        <w:t xml:space="preserve"> to měl druhý averroismus. Zastánci univerzálního hylemorfismu</w:t>
      </w:r>
      <w:r>
        <w:fldChar w:fldCharType="begin"/>
      </w:r>
      <w:r>
        <w:instrText xml:space="preserve"> XE "</w:instrText>
      </w:r>
      <w:r w:rsidRPr="00423560">
        <w:instrText>univerzální hylemorfismus</w:instrText>
      </w:r>
      <w:r>
        <w:instrText xml:space="preserve">" </w:instrText>
      </w:r>
      <w:r>
        <w:fldChar w:fldCharType="end"/>
      </w:r>
      <w:r>
        <w:t xml:space="preserve"> definovali duši jako substanci skrze </w:t>
      </w:r>
      <w:r w:rsidRPr="008B60FE">
        <w:rPr>
          <w:i/>
        </w:rPr>
        <w:t>materia spiritualis</w:t>
      </w:r>
      <w:r>
        <w:rPr>
          <w:i/>
        </w:rPr>
        <w:fldChar w:fldCharType="begin"/>
      </w:r>
      <w:r>
        <w:instrText xml:space="preserve"> XE "</w:instrText>
      </w:r>
      <w:r w:rsidRPr="08A516BF">
        <w:instrText>materie</w:instrText>
      </w:r>
      <w:r>
        <w:rPr>
          <w:i/>
        </w:rPr>
        <w:instrText xml:space="preserve">:materia </w:instrText>
      </w:r>
      <w:r w:rsidRPr="00612581">
        <w:rPr>
          <w:i/>
        </w:rPr>
        <w:instrText>spiritualis</w:instrText>
      </w:r>
      <w:r>
        <w:instrText xml:space="preserve">" </w:instrText>
      </w:r>
      <w:r>
        <w:rPr>
          <w:i/>
        </w:rPr>
        <w:fldChar w:fldCharType="end"/>
      </w:r>
      <w:r>
        <w:t xml:space="preserve">, což Akvinský zásadně odmítl. Oxfordskou </w:t>
      </w:r>
      <w:r w:rsidR="0801717E">
        <w:t xml:space="preserve">substancialitu </w:t>
      </w:r>
      <w:r>
        <w:t>intelektu importovanou Rufusem a pak hájenou v Bonaventurově škole zásadně odmítli všichni představitelé prvního averroismu jako filosoficky směšnou nebo přímo šílenou. Duše nemůže být substancí v paralelním vesmíru objektivních jsoucen třetího druhu, protože nemateriální intelekt by pak fungoval jako oddělená substance, což byl a je základní omyl moderny a postmoderny. Albert, Akvinský a Siger dobře věděli, že myslíme, když sami chceme a toto myšlení osobně zakoušíme v těle. Moderní alexandrovci</w:t>
      </w:r>
      <w:r>
        <w:fldChar w:fldCharType="begin"/>
      </w:r>
      <w:r>
        <w:instrText xml:space="preserve"> XE "alexandrovci" </w:instrText>
      </w:r>
      <w:r>
        <w:fldChar w:fldCharType="end"/>
      </w:r>
      <w:r>
        <w:t xml:space="preserve"> dostali numerickou individuací intelektu pouze hylický intelekt (</w:t>
      </w:r>
      <w:r w:rsidRPr="006C49A0">
        <w:rPr>
          <w:i/>
        </w:rPr>
        <w:t>intellectus materialis</w:t>
      </w:r>
      <w:r>
        <w:rPr>
          <w:i/>
        </w:rPr>
        <w:fldChar w:fldCharType="begin"/>
      </w:r>
      <w:r>
        <w:instrText xml:space="preserve"> XE "</w:instrText>
      </w:r>
      <w:r w:rsidRPr="00BE489A">
        <w:rPr>
          <w:i/>
        </w:rPr>
        <w:instrText>intellectus materialis:</w:instrText>
      </w:r>
      <w:r w:rsidRPr="00FD7195">
        <w:instrText>moderna</w:instrText>
      </w:r>
      <w:r>
        <w:instrText xml:space="preserve">" </w:instrText>
      </w:r>
      <w:r>
        <w:rPr>
          <w:i/>
        </w:rPr>
        <w:fldChar w:fldCharType="end"/>
      </w:r>
      <w:r>
        <w:t xml:space="preserve">), a nikoliv Averroesův a Aristotelův oddělený a zcela nemateriální </w:t>
      </w:r>
      <w:r w:rsidRPr="00D40F6A">
        <w:rPr>
          <w:i/>
        </w:rPr>
        <w:t>intellectus possibilis</w:t>
      </w:r>
      <w:r w:rsidR="00E24788">
        <w:t>.</w:t>
      </w:r>
    </w:p>
    <w:p w:rsidR="08163013" w:rsidRPr="00273106" w:rsidRDefault="08163013" w:rsidP="00E24788">
      <w:pPr>
        <w:ind w:firstLine="397"/>
      </w:pPr>
      <w:r>
        <w:t>Akvinský odmítl řešení CMDA, proto musí bránit nematerialitu receptivního intelektu jiným způsobem než Siger. To ukázal jeho komentář z roku 1270 rozebíraný v další kapitole.</w:t>
      </w:r>
      <w:r w:rsidRPr="00273106">
        <w:t xml:space="preserve"> </w:t>
      </w:r>
      <w:r>
        <w:rPr>
          <w:lang w:eastAsia="en-US"/>
        </w:rPr>
        <w:t xml:space="preserve">Nyní je zcela zřejmé, proč musel Siger provést opakovanou </w:t>
      </w:r>
      <w:r w:rsidRPr="00273106">
        <w:rPr>
          <w:lang w:eastAsia="en-US"/>
        </w:rPr>
        <w:t>kritik</w:t>
      </w:r>
      <w:r>
        <w:rPr>
          <w:lang w:eastAsia="en-US"/>
        </w:rPr>
        <w:t>u</w:t>
      </w:r>
      <w:r w:rsidRPr="00273106">
        <w:rPr>
          <w:lang w:eastAsia="en-US"/>
        </w:rPr>
        <w:t xml:space="preserve"> </w:t>
      </w:r>
      <w:r>
        <w:rPr>
          <w:lang w:eastAsia="en-US"/>
        </w:rPr>
        <w:t xml:space="preserve">Akvinského </w:t>
      </w:r>
      <w:r w:rsidRPr="00273106">
        <w:rPr>
          <w:lang w:eastAsia="en-US"/>
        </w:rPr>
        <w:t xml:space="preserve">v díle </w:t>
      </w:r>
      <w:r w:rsidRPr="00273106">
        <w:rPr>
          <w:i/>
          <w:lang w:eastAsia="en-US"/>
        </w:rPr>
        <w:t>De anima intel</w:t>
      </w:r>
      <w:r>
        <w:rPr>
          <w:i/>
          <w:lang w:eastAsia="en-US"/>
        </w:rPr>
        <w:t>l</w:t>
      </w:r>
      <w:r w:rsidRPr="00273106">
        <w:rPr>
          <w:i/>
          <w:lang w:eastAsia="en-US"/>
        </w:rPr>
        <w:t>ectiva</w:t>
      </w:r>
      <w:r>
        <w:rPr>
          <w:lang w:eastAsia="en-US"/>
        </w:rPr>
        <w:t xml:space="preserve"> </w:t>
      </w:r>
      <w:r w:rsidR="0801717E">
        <w:rPr>
          <w:lang w:eastAsia="en-US"/>
        </w:rPr>
        <w:t>(kap. 4</w:t>
      </w:r>
      <w:r w:rsidRPr="00273106">
        <w:rPr>
          <w:lang w:eastAsia="en-US"/>
        </w:rPr>
        <w:t xml:space="preserve">.4.3), na kterou už Akvinský </w:t>
      </w:r>
      <w:r>
        <w:rPr>
          <w:lang w:eastAsia="en-US"/>
        </w:rPr>
        <w:t xml:space="preserve">nechtěl </w:t>
      </w:r>
      <w:r w:rsidRPr="00273106">
        <w:rPr>
          <w:lang w:eastAsia="en-US"/>
        </w:rPr>
        <w:t>odpovědět</w:t>
      </w:r>
      <w:r>
        <w:rPr>
          <w:lang w:eastAsia="en-US"/>
        </w:rPr>
        <w:t xml:space="preserve">, nebo už po odchodu z Paříže možná ani </w:t>
      </w:r>
      <w:r w:rsidRPr="00273106">
        <w:rPr>
          <w:lang w:eastAsia="en-US"/>
        </w:rPr>
        <w:t xml:space="preserve">nemohl. </w:t>
      </w:r>
      <w:r>
        <w:rPr>
          <w:lang w:eastAsia="en-US"/>
        </w:rPr>
        <w:t>V debatě proti Sigerovi pak pokračuje první tomista a sofista Aegidius Romanus</w:t>
      </w:r>
      <w:r>
        <w:rPr>
          <w:lang w:eastAsia="en-US"/>
        </w:rPr>
        <w:fldChar w:fldCharType="begin"/>
      </w:r>
      <w:r>
        <w:instrText xml:space="preserve"> XE "</w:instrText>
      </w:r>
      <w:r w:rsidRPr="00B54432">
        <w:instrText>Aegidius Romanus</w:instrText>
      </w:r>
      <w:r>
        <w:instrText xml:space="preserve">" </w:instrText>
      </w:r>
      <w:r>
        <w:rPr>
          <w:lang w:eastAsia="en-US"/>
        </w:rPr>
        <w:fldChar w:fldCharType="end"/>
      </w:r>
      <w:r>
        <w:rPr>
          <w:lang w:eastAsia="en-US"/>
        </w:rPr>
        <w:t xml:space="preserve"> útokem na Averroese. Sigerovy argumenty nemohl</w:t>
      </w:r>
      <w:r w:rsidRPr="00A2256F">
        <w:rPr>
          <w:lang w:eastAsia="en-US"/>
        </w:rPr>
        <w:t xml:space="preserve"> </w:t>
      </w:r>
      <w:r>
        <w:rPr>
          <w:lang w:eastAsia="en-US"/>
        </w:rPr>
        <w:t>vyvrátit filosoficky, viz Bazán</w:t>
      </w:r>
      <w:r w:rsidR="0801717E">
        <w:rPr>
          <w:lang w:eastAsia="en-US"/>
        </w:rPr>
        <w:t>em redigovaný manuscript (kap. 4</w:t>
      </w:r>
      <w:r>
        <w:rPr>
          <w:lang w:eastAsia="en-US"/>
        </w:rPr>
        <w:t>.3.3). Aegidius diabolizoval pouze Averroese a následnou diabolizaci Sigera provedl Pecham</w:t>
      </w:r>
      <w:r w:rsidRPr="08C03AE2">
        <w:rPr>
          <w:lang w:eastAsia="en-US"/>
        </w:rPr>
        <w:t xml:space="preserve"> </w:t>
      </w:r>
      <w:r>
        <w:rPr>
          <w:lang w:eastAsia="en-US"/>
        </w:rPr>
        <w:t xml:space="preserve">v Oxfordu. Objektivně činné Fúrie přeměnily po roce 1277 poraženého Akvinského na </w:t>
      </w:r>
      <w:r>
        <w:rPr>
          <w:lang w:eastAsia="en-US"/>
        </w:rPr>
        <w:lastRenderedPageBreak/>
        <w:t xml:space="preserve">vítězného tomistu, pravdivého muslimského Komentátora na falešného křesťanského heretika, reálnou osobu na neexistující subjekt a brilantního Sigera na ďábelskou bytost. Toto velké dílo akademické transmutace provedené skrze objektivní </w:t>
      </w:r>
      <w:r w:rsidRPr="08574C7A">
        <w:rPr>
          <w:i/>
        </w:rPr>
        <w:t>lapis philosophorum</w:t>
      </w:r>
      <w:r>
        <w:rPr>
          <w:lang w:eastAsia="en-US"/>
        </w:rPr>
        <w:t xml:space="preserve"> se konalo skrze mocensky činné biskupy Tempiera a Kilwardbyho sekundované akademickými modernisty.</w:t>
      </w:r>
      <w:r w:rsidR="00594B51">
        <w:rPr>
          <w:lang w:eastAsia="en-US"/>
        </w:rPr>
        <w:t xml:space="preserve"> </w:t>
      </w:r>
      <w:r w:rsidR="00594B51" w:rsidRPr="00594B51">
        <w:rPr>
          <w:lang w:eastAsia="en-US"/>
        </w:rPr>
        <w:t xml:space="preserve">Moderní doba si opravdu nemohla přát kvalitnější mytologii, </w:t>
      </w:r>
      <w:r w:rsidR="00594B51">
        <w:rPr>
          <w:lang w:eastAsia="en-US"/>
        </w:rPr>
        <w:t xml:space="preserve">na </w:t>
      </w:r>
      <w:r w:rsidR="00594B51" w:rsidRPr="00594B51">
        <w:rPr>
          <w:lang w:eastAsia="en-US"/>
        </w:rPr>
        <w:t>kter</w:t>
      </w:r>
      <w:r w:rsidR="00594B51">
        <w:rPr>
          <w:lang w:eastAsia="en-US"/>
        </w:rPr>
        <w:t>é by mohla budovat. Proto mohla moderna vesele kráčet po</w:t>
      </w:r>
      <w:r w:rsidR="00594B51" w:rsidRPr="00594B51">
        <w:rPr>
          <w:lang w:eastAsia="en-US"/>
        </w:rPr>
        <w:t xml:space="preserve"> </w:t>
      </w:r>
      <w:proofErr w:type="gramStart"/>
      <w:r w:rsidR="00594B51" w:rsidRPr="00594B51">
        <w:rPr>
          <w:i/>
          <w:lang w:eastAsia="en-US"/>
        </w:rPr>
        <w:t>via</w:t>
      </w:r>
      <w:proofErr w:type="gramEnd"/>
      <w:r w:rsidR="00594B51" w:rsidRPr="00594B51">
        <w:rPr>
          <w:i/>
          <w:lang w:eastAsia="en-US"/>
        </w:rPr>
        <w:t xml:space="preserve"> Modernorum</w:t>
      </w:r>
      <w:r w:rsidR="00594B51" w:rsidRPr="00594B51">
        <w:rPr>
          <w:lang w:eastAsia="en-US"/>
        </w:rPr>
        <w:t xml:space="preserve"> a dospět k nihilismu světových válek a totalitarismu.</w:t>
      </w:r>
      <w:r>
        <w:rPr>
          <w:lang w:eastAsia="en-US"/>
        </w:rPr>
        <w:t xml:space="preserve"> </w:t>
      </w:r>
    </w:p>
    <w:p w:rsidR="08163013" w:rsidRPr="00273106" w:rsidRDefault="00FE3EB0" w:rsidP="08163013">
      <w:pPr>
        <w:pStyle w:val="Nadpis3"/>
      </w:pPr>
      <w:bookmarkStart w:id="59" w:name="_Toc36144152"/>
      <w:r>
        <w:br w:type="page"/>
      </w:r>
      <w:bookmarkStart w:id="60" w:name="_Toc180231664"/>
      <w:r w:rsidR="08163013">
        <w:lastRenderedPageBreak/>
        <w:t>4.5.4</w:t>
      </w:r>
      <w:r w:rsidR="08163013" w:rsidRPr="00273106">
        <w:t xml:space="preserve"> </w:t>
      </w:r>
      <w:r w:rsidR="08163013">
        <w:t>Vznik objektivního tomismu</w:t>
      </w:r>
      <w:bookmarkEnd w:id="59"/>
      <w:bookmarkEnd w:id="60"/>
    </w:p>
    <w:p w:rsidR="00154C5C" w:rsidRDefault="08163013" w:rsidP="08163013">
      <w:pPr>
        <w:rPr>
          <w:lang w:eastAsia="en-US"/>
        </w:rPr>
      </w:pPr>
      <w:r w:rsidRPr="00273106">
        <w:rPr>
          <w:lang w:eastAsia="en-US"/>
        </w:rPr>
        <w:t xml:space="preserve">Hermeneutika musí </w:t>
      </w:r>
      <w:r>
        <w:rPr>
          <w:lang w:eastAsia="en-US"/>
        </w:rPr>
        <w:t>objasnit specifický semiaverroismus Akvinského</w:t>
      </w:r>
      <w:r w:rsidRPr="00273106">
        <w:rPr>
          <w:lang w:eastAsia="en-US"/>
        </w:rPr>
        <w:t xml:space="preserve">, který se táhne od redakce </w:t>
      </w:r>
      <w:r>
        <w:rPr>
          <w:i/>
          <w:lang w:eastAsia="en-US"/>
        </w:rPr>
        <w:t xml:space="preserve">Summa contra Gentiles </w:t>
      </w:r>
      <w:r w:rsidRPr="00273106">
        <w:rPr>
          <w:lang w:eastAsia="en-US"/>
        </w:rPr>
        <w:t>až do jeho smrti.</w:t>
      </w:r>
      <w:r>
        <w:rPr>
          <w:lang w:eastAsia="en-US"/>
        </w:rPr>
        <w:t xml:space="preserve"> </w:t>
      </w:r>
      <w:r>
        <w:t xml:space="preserve">Začněme tezemi druhého averroismu, které odmítl Siger i Akvinský. </w:t>
      </w:r>
      <w:r w:rsidRPr="00273106">
        <w:t xml:space="preserve">Druhý averroismus </w:t>
      </w:r>
      <w:r>
        <w:t xml:space="preserve">neřeší problém osobního výkonu intelektu, protože jej chápe od začátku čistě substanciálně. Vinou </w:t>
      </w:r>
      <w:r w:rsidRPr="00EB7CD8">
        <w:rPr>
          <w:i/>
        </w:rPr>
        <w:t>Oxfordian Fallacy</w:t>
      </w:r>
      <w:r>
        <w:t xml:space="preserve"> v</w:t>
      </w:r>
      <w:r w:rsidRPr="00273106">
        <w:t xml:space="preserve">idí </w:t>
      </w:r>
      <w:r>
        <w:t xml:space="preserve">svět </w:t>
      </w:r>
      <w:r w:rsidRPr="00273106">
        <w:t xml:space="preserve">stejně </w:t>
      </w:r>
      <w:proofErr w:type="gramStart"/>
      <w:r w:rsidRPr="00273106">
        <w:t>špatně jako</w:t>
      </w:r>
      <w:proofErr w:type="gramEnd"/>
      <w:r w:rsidRPr="00273106">
        <w:t xml:space="preserve"> </w:t>
      </w:r>
      <w:r>
        <w:t xml:space="preserve">jej </w:t>
      </w:r>
      <w:r w:rsidRPr="00273106">
        <w:t>myslí a naopak.</w:t>
      </w:r>
      <w:r>
        <w:t xml:space="preserve"> </w:t>
      </w:r>
      <w:r w:rsidR="00A80125">
        <w:t xml:space="preserve">Moderna opustila </w:t>
      </w:r>
      <w:r>
        <w:t>Averroes</w:t>
      </w:r>
      <w:r w:rsidR="00A80125">
        <w:t>ovu funkci</w:t>
      </w:r>
      <w:r w:rsidRPr="00273106">
        <w:t xml:space="preserve"> </w:t>
      </w:r>
      <w:r w:rsidRPr="00765A36">
        <w:t>diafanum</w:t>
      </w:r>
      <w:r>
        <w:rPr>
          <w:i/>
        </w:rPr>
        <w:fldChar w:fldCharType="begin"/>
      </w:r>
      <w:r>
        <w:instrText xml:space="preserve"> XE "</w:instrText>
      </w:r>
      <w:r w:rsidRPr="00765A36">
        <w:instrText>diafanum</w:instrText>
      </w:r>
      <w:r>
        <w:instrText xml:space="preserve">" </w:instrText>
      </w:r>
      <w:r>
        <w:rPr>
          <w:i/>
        </w:rPr>
        <w:fldChar w:fldCharType="end"/>
      </w:r>
      <w:r w:rsidR="009C1E01">
        <w:t>(OBJ I, kap. 2.4.4</w:t>
      </w:r>
      <w:r w:rsidR="009C1E01" w:rsidRPr="00273106">
        <w:t>)</w:t>
      </w:r>
      <w:r w:rsidRPr="00273106">
        <w:t>, která je pro CMDA a pro první averroris</w:t>
      </w:r>
      <w:r>
        <w:t xml:space="preserve">mus naprosto </w:t>
      </w:r>
      <w:r w:rsidR="009C1E01">
        <w:t>zásadní</w:t>
      </w:r>
      <w:r w:rsidRPr="00273106">
        <w:t xml:space="preserve">. </w:t>
      </w:r>
      <w:r>
        <w:t xml:space="preserve">Bez diafanum </w:t>
      </w:r>
      <w:r w:rsidRPr="00273106">
        <w:t>nebylo možno provést adekvaci materiálního světa a nemateriálního myšlení. Zmizel</w:t>
      </w:r>
      <w:r>
        <w:t>a mediace představující základní fenomenologické „j</w:t>
      </w:r>
      <w:r w:rsidRPr="00273106">
        <w:t>ak“ (</w:t>
      </w:r>
      <w:r w:rsidRPr="00273106">
        <w:rPr>
          <w:i/>
        </w:rPr>
        <w:t>Wie</w:t>
      </w:r>
      <w:r w:rsidRPr="00273106">
        <w:t xml:space="preserve">) </w:t>
      </w:r>
      <w:r>
        <w:t xml:space="preserve">je možno </w:t>
      </w:r>
      <w:r w:rsidRPr="00273106">
        <w:t xml:space="preserve">adekvaci provést. </w:t>
      </w:r>
      <w:r>
        <w:t>N</w:t>
      </w:r>
      <w:r w:rsidRPr="00273106">
        <w:t>eoplatonismus v podání Themistia</w:t>
      </w:r>
      <w:r>
        <w:fldChar w:fldCharType="begin"/>
      </w:r>
      <w:r>
        <w:instrText xml:space="preserve"> XE "</w:instrText>
      </w:r>
      <w:r w:rsidRPr="002255E5">
        <w:instrText>Themistius</w:instrText>
      </w:r>
      <w:r>
        <w:instrText xml:space="preserve">" </w:instrText>
      </w:r>
      <w:r>
        <w:fldChar w:fldCharType="end"/>
      </w:r>
      <w:r w:rsidRPr="00273106">
        <w:t xml:space="preserve"> </w:t>
      </w:r>
      <w:r>
        <w:t xml:space="preserve">a </w:t>
      </w:r>
      <w:r w:rsidRPr="00273106">
        <w:t xml:space="preserve">Avicenny </w:t>
      </w:r>
      <w:r>
        <w:t xml:space="preserve">vyložil </w:t>
      </w:r>
      <w:r w:rsidRPr="00273106">
        <w:t xml:space="preserve">proces porozumění </w:t>
      </w:r>
      <w:r>
        <w:t xml:space="preserve">podle </w:t>
      </w:r>
      <w:r w:rsidRPr="00273106">
        <w:t xml:space="preserve">ozáření intelektu sluncem </w:t>
      </w:r>
      <w:r>
        <w:fldChar w:fldCharType="begin"/>
      </w:r>
      <w:r>
        <w:instrText xml:space="preserve"> XE "</w:instrText>
      </w:r>
      <w:r w:rsidRPr="00A30F73">
        <w:instrText>intelekt-slunce</w:instrText>
      </w:r>
      <w:r>
        <w:instrText xml:space="preserve">" </w:instrText>
      </w:r>
      <w:r>
        <w:fldChar w:fldCharType="end"/>
      </w:r>
      <w:r w:rsidRPr="00273106">
        <w:t xml:space="preserve">v modelu </w:t>
      </w:r>
      <w:r w:rsidRPr="00273106">
        <w:rPr>
          <w:rStyle w:val="TextpoznpodarouChar"/>
        </w:rPr>
        <w:t>nasvícení zezadu v podobě „slunce – paprsek – oko“</w:t>
      </w:r>
      <w:r w:rsidRPr="08CC07E6">
        <w:t xml:space="preserve"> </w:t>
      </w:r>
      <w:r w:rsidRPr="00273106">
        <w:t>(</w:t>
      </w:r>
      <w:r w:rsidR="08594AEE">
        <w:t xml:space="preserve">OBJ I, </w:t>
      </w:r>
      <w:r w:rsidRPr="00273106">
        <w:t xml:space="preserve">kap. 2.4.2). </w:t>
      </w:r>
      <w:r>
        <w:t>Ontoteologický</w:t>
      </w:r>
      <w:r w:rsidRPr="00273106">
        <w:t xml:space="preserve"> systém Bonaventury a </w:t>
      </w:r>
      <w:r>
        <w:t>Pecham</w:t>
      </w:r>
      <w:r w:rsidRPr="00273106">
        <w:t xml:space="preserve">a </w:t>
      </w:r>
      <w:r>
        <w:t>vzal metaforu</w:t>
      </w:r>
      <w:r w:rsidRPr="00273106">
        <w:t xml:space="preserve"> o paprscích ozařující</w:t>
      </w:r>
      <w:r>
        <w:t>ch</w:t>
      </w:r>
      <w:r w:rsidRPr="00273106">
        <w:t xml:space="preserve"> duši už úplně doslova</w:t>
      </w:r>
      <w:r>
        <w:rPr>
          <w:i/>
        </w:rPr>
        <w:fldChar w:fldCharType="begin"/>
      </w:r>
      <w:r>
        <w:instrText xml:space="preserve"> XE "</w:instrText>
      </w:r>
      <w:r w:rsidRPr="009F3DC0">
        <w:rPr>
          <w:i/>
        </w:rPr>
        <w:instrText>signatum</w:instrText>
      </w:r>
      <w:r>
        <w:instrText xml:space="preserve">" </w:instrText>
      </w:r>
      <w:r>
        <w:rPr>
          <w:i/>
        </w:rPr>
        <w:fldChar w:fldCharType="end"/>
      </w:r>
      <w:r w:rsidRPr="00273106">
        <w:t xml:space="preserve"> </w:t>
      </w:r>
      <w:r>
        <w:t xml:space="preserve">a převedl Bibli do filosofie </w:t>
      </w:r>
      <w:r w:rsidRPr="00273106">
        <w:t>(</w:t>
      </w:r>
      <w:r w:rsidRPr="00273106">
        <w:rPr>
          <w:i/>
        </w:rPr>
        <w:t>signatum est super nos lumen vultus tui Domine</w:t>
      </w:r>
      <w:r w:rsidR="08594AEE">
        <w:t>, kap. 4</w:t>
      </w:r>
      <w:r>
        <w:t>.1.2</w:t>
      </w:r>
      <w:r>
        <w:fldChar w:fldCharType="begin"/>
      </w:r>
      <w:r>
        <w:instrText xml:space="preserve"> XE "Starý zákon:</w:instrText>
      </w:r>
      <w:r w:rsidRPr="00140829">
        <w:instrText>Ž</w:instrText>
      </w:r>
      <w:r>
        <w:instrText>alm</w:instrText>
      </w:r>
      <w:r w:rsidRPr="00140829">
        <w:instrText xml:space="preserve"> 4</w:instrText>
      </w:r>
      <w:r>
        <w:instrText>.</w:instrText>
      </w:r>
      <w:r w:rsidRPr="00140829">
        <w:instrText>7</w:instrText>
      </w:r>
      <w:r>
        <w:instrText xml:space="preserve">" </w:instrText>
      </w:r>
      <w:r>
        <w:fldChar w:fldCharType="end"/>
      </w:r>
      <w:r w:rsidRPr="00273106">
        <w:t xml:space="preserve">). </w:t>
      </w:r>
      <w:r>
        <w:t xml:space="preserve">Bez dárce forem </w:t>
      </w:r>
      <w:r w:rsidRPr="00273106">
        <w:t>by nefungoval systém ozáření intelektu zezadu a ontotelogická metafyzika by přestala být mystickou a tudíž objektivně danou teologií a fil</w:t>
      </w:r>
      <w:r>
        <w:t xml:space="preserve">osofií. </w:t>
      </w:r>
      <w:r w:rsidRPr="00273106">
        <w:t xml:space="preserve">Pro objektivní </w:t>
      </w:r>
      <w:r w:rsidR="0855740D">
        <w:t>post</w:t>
      </w:r>
      <w:r w:rsidRPr="00273106">
        <w:t xml:space="preserve">modernu </w:t>
      </w:r>
      <w:r>
        <w:t xml:space="preserve">osvícenou světlem boží tváře a dnes matematikou, jazykovými hrami a finančními deriováty </w:t>
      </w:r>
      <w:r w:rsidRPr="00273106">
        <w:t>se stala zbytečnou mediace významu od věci k intelektu</w:t>
      </w:r>
      <w:r>
        <w:t xml:space="preserve">. </w:t>
      </w:r>
      <w:r w:rsidRPr="00273106">
        <w:t xml:space="preserve">V rámci pojetí pravdy jako </w:t>
      </w:r>
      <w:r w:rsidRPr="00273106">
        <w:rPr>
          <w:i/>
        </w:rPr>
        <w:t>rectitudo</w:t>
      </w:r>
      <w:r>
        <w:rPr>
          <w:i/>
        </w:rPr>
        <w:fldChar w:fldCharType="begin"/>
      </w:r>
      <w:r>
        <w:instrText xml:space="preserve"> XE "pravda:</w:instrText>
      </w:r>
      <w:r w:rsidRPr="00C26F26">
        <w:rPr>
          <w:i/>
        </w:rPr>
        <w:instrText>rectitudo</w:instrText>
      </w:r>
      <w:r>
        <w:instrText xml:space="preserve">" </w:instrText>
      </w:r>
      <w:r>
        <w:rPr>
          <w:i/>
        </w:rPr>
        <w:fldChar w:fldCharType="end"/>
      </w:r>
      <w:r w:rsidRPr="00273106">
        <w:t xml:space="preserve"> se nutně začala vytvářet celá série jsoucen třetího druhu a univočních transcendentálních určení jsoucna. Místo mediace </w:t>
      </w:r>
      <w:r>
        <w:t>mezi myšlením a realitou nastoupila objektivní kategorizace a popis neexistujících jsoucen</w:t>
      </w:r>
      <w:r w:rsidRPr="00273106">
        <w:t xml:space="preserve"> třetího</w:t>
      </w:r>
      <w:r>
        <w:t xml:space="preserve"> druhu, která moderní intelekt </w:t>
      </w:r>
      <w:r w:rsidRPr="00273106">
        <w:t>přímo</w:t>
      </w:r>
      <w:r>
        <w:t xml:space="preserve"> vidí</w:t>
      </w:r>
      <w:r w:rsidRPr="00273106">
        <w:t xml:space="preserve"> </w:t>
      </w:r>
      <w:r>
        <w:t xml:space="preserve">v realitě. Myšlení zakotvilo v samotné věci, kterou univočně zaměnilo za eidetické </w:t>
      </w:r>
      <w:r w:rsidRPr="00765A36">
        <w:rPr>
          <w:i/>
        </w:rPr>
        <w:t>scibile</w:t>
      </w:r>
      <w:r>
        <w:t xml:space="preserve"> </w:t>
      </w:r>
      <w:r w:rsidRPr="00273106">
        <w:t>(</w:t>
      </w:r>
      <w:r>
        <w:t xml:space="preserve">Rufus, </w:t>
      </w:r>
      <w:r w:rsidRPr="00273106">
        <w:t>Bonaventura</w:t>
      </w:r>
      <w:r>
        <w:t>, Descartes, Husserl</w:t>
      </w:r>
      <w:r>
        <w:fldChar w:fldCharType="begin"/>
      </w:r>
      <w:r>
        <w:instrText xml:space="preserve"> XE "</w:instrText>
      </w:r>
      <w:r w:rsidRPr="00284B47">
        <w:instrText>Husserl, E.</w:instrText>
      </w:r>
      <w:r>
        <w:instrText xml:space="preserve">" </w:instrText>
      </w:r>
      <w:r>
        <w:fldChar w:fldCharType="end"/>
      </w:r>
      <w:r w:rsidRPr="00273106">
        <w:t>)</w:t>
      </w:r>
      <w:r>
        <w:t>. Osvícené myšlení iluminátů jde bez mediace přímo k samotným věcem a v nich vidí univerzální eidetický význam. Statut moderní věci vychází z hypostázovaného pojetí moderního intelektu, který se stal výhradním zdrojem demiurgické produkce smyslu jsoucna</w:t>
      </w:r>
      <w:r>
        <w:fldChar w:fldCharType="begin"/>
      </w:r>
      <w:r>
        <w:instrText xml:space="preserve"> XE "</w:instrText>
      </w:r>
      <w:r w:rsidRPr="002E5079">
        <w:instrText>demiurg</w:instrText>
      </w:r>
      <w:r>
        <w:instrText xml:space="preserve">" </w:instrText>
      </w:r>
      <w:r>
        <w:fldChar w:fldCharType="end"/>
      </w:r>
      <w:r>
        <w:t xml:space="preserve">. </w:t>
      </w:r>
      <w:r w:rsidRPr="00273106">
        <w:t>Akvinsk</w:t>
      </w:r>
      <w:r>
        <w:t xml:space="preserve">ý </w:t>
      </w:r>
      <w:r w:rsidRPr="00273106">
        <w:t>tento postup zásadně odmítl stejně jako Siger</w:t>
      </w:r>
      <w:r>
        <w:t xml:space="preserve"> a aktivně vystoupil již za prvního pobytu v Paříži</w:t>
      </w:r>
      <w:r w:rsidRPr="08A63C36">
        <w:t xml:space="preserve"> </w:t>
      </w:r>
      <w:r>
        <w:t xml:space="preserve">proti škole druhého averroismu. Hermeneutika musí prozkoumat, jak </w:t>
      </w:r>
      <w:r w:rsidRPr="00273106">
        <w:t xml:space="preserve">se proměnilo Tomášovo pojetí intelektu </w:t>
      </w:r>
      <w:r>
        <w:t xml:space="preserve">kolem </w:t>
      </w:r>
      <w:r w:rsidRPr="00273106">
        <w:t>12</w:t>
      </w:r>
      <w:r>
        <w:t>70, kdy vzniklo</w:t>
      </w:r>
      <w:r w:rsidRPr="00273106">
        <w:t xml:space="preserve"> jeho hlavní dílo proti averroismu.</w:t>
      </w:r>
      <w:r>
        <w:t xml:space="preserve"> Z Tomášova specifického  semiaverroismu vytvořili Aegidius a další latinští sofisté objektivní tomismus</w:t>
      </w:r>
      <w:r>
        <w:fldChar w:fldCharType="begin"/>
      </w:r>
      <w:r>
        <w:instrText xml:space="preserve"> XE "</w:instrText>
      </w:r>
      <w:r w:rsidRPr="000664AA">
        <w:instrText>semiaverroismus</w:instrText>
      </w:r>
      <w:r>
        <w:instrText xml:space="preserve">" </w:instrText>
      </w:r>
      <w:r>
        <w:fldChar w:fldCharType="end"/>
      </w:r>
      <w:r>
        <w:t>.</w:t>
      </w:r>
      <w:r w:rsidRPr="08110124">
        <w:t xml:space="preserve"> </w:t>
      </w:r>
      <w:r>
        <w:t xml:space="preserve">Tak se </w:t>
      </w:r>
      <w:r>
        <w:lastRenderedPageBreak/>
        <w:t xml:space="preserve">stalo, že metafyzický </w:t>
      </w:r>
      <w:r w:rsidRPr="002E3FF2">
        <w:rPr>
          <w:i/>
        </w:rPr>
        <w:t>Irrtum</w:t>
      </w:r>
      <w:r>
        <w:t xml:space="preserve"> </w:t>
      </w:r>
      <w:r w:rsidR="08EF3F4B">
        <w:t xml:space="preserve">avicennovské </w:t>
      </w:r>
      <w:r w:rsidR="08BA59B7">
        <w:t xml:space="preserve">moderny </w:t>
      </w:r>
      <w:r>
        <w:t xml:space="preserve">daný skrze </w:t>
      </w:r>
      <w:r w:rsidRPr="00BE6A85">
        <w:rPr>
          <w:i/>
        </w:rPr>
        <w:t>Oxfordian Fallacy</w:t>
      </w:r>
      <w:r>
        <w:t xml:space="preserve"> se usadil přímo ve škole prvního averroismu. Akvinského výklad </w:t>
      </w:r>
      <w:r w:rsidRPr="08CC286C">
        <w:rPr>
          <w:i/>
        </w:rPr>
        <w:t>De anima</w:t>
      </w:r>
      <w:r>
        <w:t xml:space="preserve"> vede skrytá forma mýtu o intelektu-slunci, kterou odmítl Averroes (</w:t>
      </w:r>
      <w:r w:rsidR="081249E0">
        <w:t xml:space="preserve">OBJ I, </w:t>
      </w:r>
      <w:r>
        <w:t xml:space="preserve">kap. 2.4.2). Analogie mezi nasvícením smyslů a intelektu v modu univoční formální kauzality představuje pro Sigera zásadní omyl, protože tím by padl základní axiom </w:t>
      </w:r>
      <w:r w:rsidR="00714ED0">
        <w:t>„</w:t>
      </w:r>
      <w:r w:rsidR="08A649EB">
        <w:rPr>
          <w:i/>
        </w:rPr>
        <w:t>ex in</w:t>
      </w:r>
      <w:r w:rsidRPr="08677097">
        <w:rPr>
          <w:i/>
        </w:rPr>
        <w:t>mediatis</w:t>
      </w:r>
      <w:r w:rsidR="00714ED0">
        <w:t>“</w:t>
      </w:r>
      <w:r>
        <w:t xml:space="preserve"> pro existenciální poznání osoby. Připomeňme hlavní pasáž Themistiova výkladu </w:t>
      </w:r>
      <w:r w:rsidRPr="08CC286C">
        <w:rPr>
          <w:i/>
        </w:rPr>
        <w:t>De anima</w:t>
      </w:r>
      <w:r>
        <w:t>, která určuje tomistický výklad odmítnutý Sigerem (</w:t>
      </w:r>
      <w:r w:rsidRPr="00C2541A">
        <w:t>τὸ νοεῖν ἀνάλογόν ἐστι τῷ αἰσθάνεσθαι</w:t>
      </w:r>
      <w:r>
        <w:t>).</w:t>
      </w:r>
      <w:r>
        <w:rPr>
          <w:rStyle w:val="Znakapoznpodarou"/>
        </w:rPr>
        <w:footnoteReference w:id="331"/>
      </w:r>
      <w:r>
        <w:t xml:space="preserve"> Tomášovo chybné užití Themistiova hypostázovaného </w:t>
      </w:r>
      <w:r w:rsidRPr="08C47F85">
        <w:rPr>
          <w:i/>
        </w:rPr>
        <w:t>intellectus possibilis</w:t>
      </w:r>
      <w:r>
        <w:t xml:space="preserve"> zcela odděleného smyslově založeného </w:t>
      </w:r>
      <w:r w:rsidRPr="083E4934">
        <w:rPr>
          <w:i/>
        </w:rPr>
        <w:t>intellectus materialis</w:t>
      </w:r>
      <w:r>
        <w:t xml:space="preserve"> bylo připsáno averroistickému Averroesovi v sofistické projekci </w:t>
      </w:r>
      <w:r w:rsidRPr="08C47F85">
        <w:rPr>
          <w:i/>
        </w:rPr>
        <w:t>Verkehrung ins Gegenteil</w:t>
      </w:r>
      <w:r>
        <w:rPr>
          <w:i/>
        </w:rPr>
        <w:fldChar w:fldCharType="begin"/>
      </w:r>
      <w:r>
        <w:instrText xml:space="preserve"> XE "</w:instrText>
      </w:r>
      <w:r w:rsidRPr="086C0820">
        <w:rPr>
          <w:i/>
        </w:rPr>
        <w:instrText>Verkehrung ins Gegenteil</w:instrText>
      </w:r>
      <w:r>
        <w:instrText xml:space="preserve">" </w:instrText>
      </w:r>
      <w:r>
        <w:rPr>
          <w:i/>
        </w:rPr>
        <w:fldChar w:fldCharType="end"/>
      </w:r>
      <w:r>
        <w:t xml:space="preserve">. Znalci na Rue du Fouarre zásadně odmítli tomistickou </w:t>
      </w:r>
      <w:r w:rsidR="08F373D4">
        <w:t>argumentaci</w:t>
      </w:r>
      <w:r>
        <w:t xml:space="preserve">. </w:t>
      </w:r>
      <w:r w:rsidRPr="00273106">
        <w:rPr>
          <w:lang w:eastAsia="en-US"/>
        </w:rPr>
        <w:t xml:space="preserve">Vraťme se k úvodní diferenci </w:t>
      </w:r>
      <w:r w:rsidRPr="00273106">
        <w:t xml:space="preserve">mezi Sigerem </w:t>
      </w:r>
      <w:r>
        <w:t xml:space="preserve">a Akvinským vyjádřenou termíny </w:t>
      </w:r>
      <w:r w:rsidR="00714ED0">
        <w:t>„</w:t>
      </w:r>
      <w:r>
        <w:rPr>
          <w:i/>
        </w:rPr>
        <w:t>homo ipse intelligit</w:t>
      </w:r>
      <w:r w:rsidR="00714ED0">
        <w:t>“</w:t>
      </w:r>
      <w:r>
        <w:rPr>
          <w:i/>
        </w:rPr>
        <w:fldChar w:fldCharType="begin"/>
      </w:r>
      <w:r>
        <w:instrText xml:space="preserve"> XE "</w:instrText>
      </w:r>
      <w:r w:rsidRPr="00B935DC">
        <w:rPr>
          <w:rStyle w:val="Zkladntext350"/>
        </w:rPr>
        <w:instrText>osoba</w:instrText>
      </w:r>
      <w:r w:rsidRPr="00B935DC">
        <w:rPr>
          <w:rStyle w:val="Zkladntext350"/>
          <w:i/>
        </w:rPr>
        <w:instrText>:</w:instrText>
      </w:r>
      <w:r>
        <w:rPr>
          <w:rStyle w:val="Zkladntext350"/>
          <w:i/>
        </w:rPr>
        <w:instrText>homo ipse intelligit</w:instrText>
      </w:r>
      <w:r>
        <w:instrText xml:space="preserve">" </w:instrText>
      </w:r>
      <w:r>
        <w:rPr>
          <w:i/>
        </w:rPr>
        <w:fldChar w:fldCharType="end"/>
      </w:r>
      <w:r>
        <w:t xml:space="preserve"> (Siger) a mezi pojetím </w:t>
      </w:r>
      <w:r w:rsidR="00714ED0">
        <w:t>„</w:t>
      </w:r>
      <w:r w:rsidRPr="00273106">
        <w:rPr>
          <w:i/>
        </w:rPr>
        <w:t>homo intelligit</w:t>
      </w:r>
      <w:r w:rsidR="00714ED0">
        <w:t>“</w:t>
      </w:r>
      <w:r>
        <w:rPr>
          <w:i/>
        </w:rPr>
        <w:fldChar w:fldCharType="begin"/>
      </w:r>
      <w:r>
        <w:instrText xml:space="preserve"> XE "</w:instrText>
      </w:r>
      <w:r w:rsidRPr="007F785A">
        <w:rPr>
          <w:i/>
          <w:lang w:eastAsia="en-US"/>
        </w:rPr>
        <w:instrText>osoba:homo intelligit</w:instrText>
      </w:r>
      <w:r>
        <w:instrText xml:space="preserve">" </w:instrText>
      </w:r>
      <w:r>
        <w:rPr>
          <w:i/>
        </w:rPr>
        <w:fldChar w:fldCharType="end"/>
      </w:r>
      <w:r w:rsidRPr="00273106">
        <w:t xml:space="preserve"> (Akvinský). </w:t>
      </w:r>
      <w:r>
        <w:t xml:space="preserve">Řešení této otázky rozhodovalo spor o </w:t>
      </w:r>
      <w:r w:rsidRPr="08366F8E">
        <w:rPr>
          <w:i/>
        </w:rPr>
        <w:t>Expositor Novus</w:t>
      </w:r>
      <w:r>
        <w:rPr>
          <w:i/>
        </w:rPr>
        <w:fldChar w:fldCharType="begin"/>
      </w:r>
      <w:r>
        <w:instrText xml:space="preserve"> XE "</w:instrText>
      </w:r>
      <w:r w:rsidRPr="080372CE">
        <w:rPr>
          <w:i/>
        </w:rPr>
        <w:instrText>Expositor Novus</w:instrText>
      </w:r>
      <w:r>
        <w:instrText xml:space="preserve">" </w:instrText>
      </w:r>
      <w:r>
        <w:rPr>
          <w:i/>
        </w:rPr>
        <w:fldChar w:fldCharType="end"/>
      </w:r>
      <w:r>
        <w:t>. V</w:t>
      </w:r>
      <w:r w:rsidRPr="00273106">
        <w:t> rámci prvního averroismu</w:t>
      </w:r>
      <w:r>
        <w:t xml:space="preserve"> vypukl okolo roku 1270 nový spor mezi řádovými teology a sekulárními magistry o statut teze </w:t>
      </w:r>
      <w:r w:rsidR="004826DF">
        <w:t>„</w:t>
      </w:r>
      <w:r w:rsidRPr="001B4C71">
        <w:rPr>
          <w:i/>
        </w:rPr>
        <w:t xml:space="preserve">homo </w:t>
      </w:r>
      <w:r>
        <w:rPr>
          <w:i/>
        </w:rPr>
        <w:t xml:space="preserve">(ipse) </w:t>
      </w:r>
      <w:r w:rsidRPr="001B4C71">
        <w:rPr>
          <w:i/>
        </w:rPr>
        <w:t>intelligit</w:t>
      </w:r>
      <w:r w:rsidR="004826DF">
        <w:t>“</w:t>
      </w:r>
      <w:r>
        <w:t xml:space="preserve">. </w:t>
      </w:r>
      <w:r w:rsidRPr="00273106">
        <w:t xml:space="preserve">Pojetí </w:t>
      </w:r>
      <w:r>
        <w:t xml:space="preserve">jednoty osoby a intelektu podle </w:t>
      </w:r>
      <w:r w:rsidRPr="00273106">
        <w:t xml:space="preserve">Akvinského a Aegidia </w:t>
      </w:r>
      <w:r>
        <w:t xml:space="preserve">se lišilo od pojetí </w:t>
      </w:r>
      <w:r w:rsidRPr="00273106">
        <w:t>prvního averroismu</w:t>
      </w:r>
      <w:r>
        <w:t xml:space="preserve"> na Rue du Fouarre, kterou </w:t>
      </w:r>
      <w:r w:rsidR="0058265F">
        <w:t xml:space="preserve">tehdy </w:t>
      </w:r>
      <w:r>
        <w:t xml:space="preserve">zastupoval </w:t>
      </w:r>
      <w:r w:rsidRPr="00273106">
        <w:t>Boethius z Dácie</w:t>
      </w:r>
      <w:r>
        <w:fldChar w:fldCharType="begin"/>
      </w:r>
      <w:r>
        <w:instrText xml:space="preserve"> XE "</w:instrText>
      </w:r>
      <w:r w:rsidRPr="00521677">
        <w:rPr>
          <w:lang w:eastAsia="en-US"/>
        </w:rPr>
        <w:instrText>Boethius</w:instrText>
      </w:r>
      <w:r>
        <w:rPr>
          <w:lang w:eastAsia="en-US"/>
        </w:rPr>
        <w:instrText xml:space="preserve"> z Dácie</w:instrText>
      </w:r>
      <w:r>
        <w:instrText xml:space="preserve">" </w:instrText>
      </w:r>
      <w:r>
        <w:fldChar w:fldCharType="end"/>
      </w:r>
      <w:r w:rsidRPr="00273106">
        <w:t xml:space="preserve"> jako auto</w:t>
      </w:r>
      <w:r w:rsidR="0862496F">
        <w:t xml:space="preserve">r </w:t>
      </w:r>
      <w:r w:rsidR="0058265F">
        <w:t xml:space="preserve">díla </w:t>
      </w:r>
      <w:r w:rsidR="0058265F" w:rsidRPr="0058265F">
        <w:rPr>
          <w:i/>
        </w:rPr>
        <w:t xml:space="preserve">Anonymus </w:t>
      </w:r>
      <w:r w:rsidR="0862496F" w:rsidRPr="0058265F">
        <w:rPr>
          <w:i/>
        </w:rPr>
        <w:t>Giele</w:t>
      </w:r>
      <w:r w:rsidR="0862496F">
        <w:t xml:space="preserve"> (kap. 4</w:t>
      </w:r>
      <w:r>
        <w:t xml:space="preserve">.3.1). </w:t>
      </w:r>
      <w:r w:rsidR="0058265F">
        <w:t xml:space="preserve">Celá škola prvního averroismus </w:t>
      </w:r>
      <w:r>
        <w:rPr>
          <w:lang w:eastAsia="en-US"/>
        </w:rPr>
        <w:t>odmítl</w:t>
      </w:r>
      <w:r w:rsidR="0058265F">
        <w:rPr>
          <w:lang w:eastAsia="en-US"/>
        </w:rPr>
        <w:t>a</w:t>
      </w:r>
      <w:r>
        <w:rPr>
          <w:lang w:eastAsia="en-US"/>
        </w:rPr>
        <w:t xml:space="preserve"> sofistické </w:t>
      </w:r>
      <w:r w:rsidRPr="00273106">
        <w:rPr>
          <w:lang w:eastAsia="en-US"/>
        </w:rPr>
        <w:t>řešení druhého averroismu a dnešní</w:t>
      </w:r>
      <w:r>
        <w:rPr>
          <w:lang w:eastAsia="en-US"/>
        </w:rPr>
        <w:t xml:space="preserve"> postmoderny</w:t>
      </w:r>
      <w:r w:rsidRPr="00273106">
        <w:rPr>
          <w:lang w:eastAsia="en-US"/>
        </w:rPr>
        <w:t xml:space="preserve">, </w:t>
      </w:r>
      <w:r w:rsidR="007F49FA" w:rsidRPr="00273106">
        <w:rPr>
          <w:lang w:eastAsia="en-US"/>
        </w:rPr>
        <w:t>které</w:t>
      </w:r>
      <w:r w:rsidR="007F49FA">
        <w:rPr>
          <w:lang w:eastAsia="en-US"/>
        </w:rPr>
        <w:t xml:space="preserve"> postuluje</w:t>
      </w:r>
      <w:r w:rsidR="00154C5C">
        <w:rPr>
          <w:lang w:eastAsia="en-US"/>
        </w:rPr>
        <w:t xml:space="preserve"> mnohost substancí v člověku.</w:t>
      </w:r>
    </w:p>
    <w:p w:rsidR="00713729" w:rsidRDefault="08163013" w:rsidP="00154C5C">
      <w:pPr>
        <w:ind w:firstLine="397"/>
      </w:pPr>
      <w:r w:rsidRPr="00273106">
        <w:rPr>
          <w:lang w:eastAsia="en-US"/>
        </w:rPr>
        <w:t xml:space="preserve">Ale na stole zůstalo </w:t>
      </w:r>
      <w:r>
        <w:rPr>
          <w:lang w:eastAsia="en-US"/>
        </w:rPr>
        <w:t xml:space="preserve">Akvinského </w:t>
      </w:r>
      <w:r w:rsidRPr="00273106">
        <w:t>problematické pojetí intelektu jako formy (</w:t>
      </w:r>
      <w:r w:rsidRPr="00273106">
        <w:rPr>
          <w:i/>
        </w:rPr>
        <w:t>qua</w:t>
      </w:r>
      <w:r w:rsidRPr="00273106">
        <w:rPr>
          <w:i/>
          <w:vertAlign w:val="superscript"/>
        </w:rPr>
        <w:t>2</w:t>
      </w:r>
      <w:r w:rsidRPr="006C7A0F">
        <w:rPr>
          <w:i/>
        </w:rPr>
        <w:fldChar w:fldCharType="begin"/>
      </w:r>
      <w:r w:rsidRPr="006C7A0F">
        <w:instrText xml:space="preserve"> XE "intelekt:modus </w:instrText>
      </w:r>
      <w:r w:rsidRPr="006C7A0F">
        <w:rPr>
          <w:i/>
        </w:rPr>
        <w:instrText>qua</w:instrText>
      </w:r>
      <w:r w:rsidRPr="006C7A0F">
        <w:rPr>
          <w:i/>
          <w:vertAlign w:val="superscript"/>
        </w:rPr>
        <w:instrText>2</w:instrText>
      </w:r>
      <w:r w:rsidRPr="006C7A0F">
        <w:instrText xml:space="preserve">" </w:instrText>
      </w:r>
      <w:r w:rsidRPr="006C7A0F">
        <w:rPr>
          <w:i/>
        </w:rPr>
        <w:fldChar w:fldCharType="end"/>
      </w:r>
      <w:r>
        <w:t>), které vzniklo v římském období během komentářů aristotelského Korpusu do roku 1268</w:t>
      </w:r>
      <w:r w:rsidRPr="00273106">
        <w:t xml:space="preserve">. </w:t>
      </w:r>
      <w:r>
        <w:t xml:space="preserve">Pro skupinu artistů </w:t>
      </w:r>
      <w:r w:rsidR="08A22132">
        <w:t xml:space="preserve">na Rue du Fouarre </w:t>
      </w:r>
      <w:r>
        <w:t xml:space="preserve">zvanou </w:t>
      </w:r>
      <w:r w:rsidRPr="00CA4FC9">
        <w:rPr>
          <w:i/>
        </w:rPr>
        <w:t>pars Sigeri</w:t>
      </w:r>
      <w:r>
        <w:rPr>
          <w:i/>
        </w:rPr>
        <w:fldChar w:fldCharType="begin"/>
      </w:r>
      <w:r>
        <w:instrText xml:space="preserve"> XE "</w:instrText>
      </w:r>
      <w:r w:rsidRPr="002D08F3">
        <w:instrText>první averroismus</w:instrText>
      </w:r>
      <w:r w:rsidRPr="00B52EEE">
        <w:rPr>
          <w:i/>
        </w:rPr>
        <w:instrText>:pars Sigeri</w:instrText>
      </w:r>
      <w:r>
        <w:instrText xml:space="preserve">" </w:instrText>
      </w:r>
      <w:r>
        <w:rPr>
          <w:i/>
        </w:rPr>
        <w:fldChar w:fldCharType="end"/>
      </w:r>
      <w:r>
        <w:t xml:space="preserve"> platí, že </w:t>
      </w:r>
      <w:r w:rsidRPr="00273106">
        <w:t>jednot</w:t>
      </w:r>
      <w:r>
        <w:t xml:space="preserve">u </w:t>
      </w:r>
      <w:r w:rsidRPr="00273106">
        <w:t xml:space="preserve">osoby </w:t>
      </w:r>
      <w:r>
        <w:t>vyjadřuje Averroes</w:t>
      </w:r>
      <w:r w:rsidRPr="00273106">
        <w:t>ovo pojetí intelektu jako nemateriální potence duše aktualizované v osobě jako hylemorfické substanci</w:t>
      </w:r>
      <w:r>
        <w:t xml:space="preserve"> primárně dané a primárně zakoušené ve výkonu existence dané v hylemorfické první substanci </w:t>
      </w:r>
      <w:r w:rsidR="00154C5C">
        <w:t>„</w:t>
      </w:r>
      <w:r>
        <w:t>(</w:t>
      </w:r>
      <w:r>
        <w:rPr>
          <w:i/>
        </w:rPr>
        <w:t>homo ipse intelligit</w:t>
      </w:r>
      <w:r w:rsidR="00154C5C">
        <w:t>“</w:t>
      </w:r>
      <w:r>
        <w:rPr>
          <w:i/>
        </w:rPr>
        <w:fldChar w:fldCharType="begin"/>
      </w:r>
      <w:r>
        <w:instrText xml:space="preserve"> XE "</w:instrText>
      </w:r>
      <w:r w:rsidRPr="00B935DC">
        <w:rPr>
          <w:rStyle w:val="Zkladntext350"/>
        </w:rPr>
        <w:instrText>osoba</w:instrText>
      </w:r>
      <w:r w:rsidRPr="00B935DC">
        <w:rPr>
          <w:rStyle w:val="Zkladntext350"/>
          <w:i/>
        </w:rPr>
        <w:instrText>:</w:instrText>
      </w:r>
      <w:r>
        <w:rPr>
          <w:rStyle w:val="Zkladntext350"/>
          <w:i/>
        </w:rPr>
        <w:instrText>homo ipse intelligit</w:instrText>
      </w:r>
      <w:r>
        <w:instrText xml:space="preserve">" </w:instrText>
      </w:r>
      <w:r>
        <w:rPr>
          <w:i/>
        </w:rPr>
        <w:fldChar w:fldCharType="end"/>
      </w:r>
      <w:r>
        <w:t>)</w:t>
      </w:r>
      <w:r w:rsidRPr="00273106">
        <w:t xml:space="preserve">. </w:t>
      </w:r>
      <w:r>
        <w:t xml:space="preserve">Tuto </w:t>
      </w:r>
      <w:r w:rsidRPr="00273106">
        <w:t xml:space="preserve">pozici </w:t>
      </w:r>
      <w:r>
        <w:t xml:space="preserve">vyjádřuje definice intelektu </w:t>
      </w:r>
      <w:r>
        <w:lastRenderedPageBreak/>
        <w:t>pomocí diference mezi třemi odlišnými termíny: esenciální intelekt-</w:t>
      </w:r>
      <w:r w:rsidR="00962190">
        <w:rPr>
          <w:i/>
        </w:rPr>
        <w:t>species</w:t>
      </w:r>
      <w:r>
        <w:t xml:space="preserve"> jako čistá potence</w:t>
      </w:r>
      <w:r w:rsidR="08B045B9">
        <w:t xml:space="preserve"> v univerzální definici</w:t>
      </w:r>
      <w:r>
        <w:t>, entelechická duše jako jediná forma</w:t>
      </w:r>
      <w:r w:rsidR="08B045B9">
        <w:t xml:space="preserve"> existující osoby</w:t>
      </w:r>
      <w:r>
        <w:t>, existující osoba jako jedinečná první substance. Intelekt jako nemateriální potence je dán v intelektuální duši jako entelechické formě, která je dána v existující osobě jako kauzálně bytující první substanci. Tomuto pojetí o</w:t>
      </w:r>
      <w:r w:rsidRPr="00273106">
        <w:t xml:space="preserve">dpovídá </w:t>
      </w:r>
      <w:r>
        <w:t>integrální koncept aristotelské meta</w:t>
      </w:r>
      <w:r w:rsidRPr="00273106">
        <w:t>fyziky</w:t>
      </w:r>
      <w:r>
        <w:fldChar w:fldCharType="begin"/>
      </w:r>
      <w:r>
        <w:instrText xml:space="preserve"> XE "</w:instrText>
      </w:r>
      <w:r w:rsidRPr="00231F98">
        <w:instrText>metafyzika:</w:instrText>
      </w:r>
      <w:r>
        <w:instrText xml:space="preserve">Averroes" </w:instrText>
      </w:r>
      <w:r>
        <w:fldChar w:fldCharType="end"/>
      </w:r>
      <w:r w:rsidRPr="00273106">
        <w:t xml:space="preserve"> metodologicky dané podle </w:t>
      </w:r>
      <w:r w:rsidRPr="08A50360">
        <w:rPr>
          <w:i/>
        </w:rPr>
        <w:t>Druhých analytik</w:t>
      </w:r>
      <w:r w:rsidRPr="00273106">
        <w:t xml:space="preserve"> a podle </w:t>
      </w:r>
      <w:r>
        <w:t>Averroes</w:t>
      </w:r>
      <w:r w:rsidRPr="00273106">
        <w:t>e</w:t>
      </w:r>
      <w:r>
        <w:t xml:space="preserve"> v modu </w:t>
      </w:r>
      <w:r w:rsidR="002874C5">
        <w:t>„</w:t>
      </w:r>
      <w:r>
        <w:t xml:space="preserve">substance </w:t>
      </w:r>
      <w:r w:rsidRPr="086C343A">
        <w:rPr>
          <w:i/>
        </w:rPr>
        <w:t>qua</w:t>
      </w:r>
      <w:r>
        <w:t xml:space="preserve"> substance</w:t>
      </w:r>
      <w:r w:rsidR="002874C5">
        <w:t>“</w:t>
      </w:r>
      <w:r>
        <w:fldChar w:fldCharType="begin"/>
      </w:r>
      <w:r>
        <w:instrText xml:space="preserve"> XE "</w:instrText>
      </w:r>
      <w:r w:rsidRPr="085B3372">
        <w:instrText xml:space="preserve">substance </w:instrText>
      </w:r>
      <w:r w:rsidRPr="085B3372">
        <w:rPr>
          <w:i/>
        </w:rPr>
        <w:instrText>qua</w:instrText>
      </w:r>
      <w:r w:rsidRPr="085B3372">
        <w:instrText xml:space="preserve"> substance</w:instrText>
      </w:r>
      <w:r>
        <w:instrText xml:space="preserve">" </w:instrText>
      </w:r>
      <w:r>
        <w:fldChar w:fldCharType="end"/>
      </w:r>
      <w:r>
        <w:t xml:space="preserve">. </w:t>
      </w:r>
      <w:r w:rsidRPr="00273106">
        <w:t xml:space="preserve">Projekt metafyziky podle prvního averroismu začíná zkoumáním </w:t>
      </w:r>
      <w:r>
        <w:t xml:space="preserve">kauzálního působení </w:t>
      </w:r>
      <w:r w:rsidRPr="00273106">
        <w:t>prvních substancí</w:t>
      </w:r>
      <w:r>
        <w:t xml:space="preserve"> v realitě, a pak </w:t>
      </w:r>
      <w:r w:rsidRPr="00273106">
        <w:t xml:space="preserve">přejde k </w:t>
      </w:r>
      <w:r>
        <w:t xml:space="preserve">obecné predikaci účinků </w:t>
      </w:r>
      <w:r w:rsidRPr="00273106">
        <w:t>první</w:t>
      </w:r>
      <w:r>
        <w:t>ch substancí v deduktivním vědeckém soudu</w:t>
      </w:r>
      <w:r w:rsidRPr="00273106">
        <w:t xml:space="preserve">. Zkoumání reálného bytí </w:t>
      </w:r>
      <w:r>
        <w:t>v modu Averroesovy metafyziky zakládá možnost obecných soudů</w:t>
      </w:r>
      <w:r w:rsidRPr="00273106">
        <w:t xml:space="preserve"> o bytí jsoucího</w:t>
      </w:r>
      <w:r>
        <w:t>, které až sekundárně obsahuje Avicennův model</w:t>
      </w:r>
      <w:r w:rsidRPr="00273106">
        <w:t xml:space="preserve"> metafyziky </w:t>
      </w:r>
      <w:r>
        <w:t xml:space="preserve">v modu </w:t>
      </w:r>
      <w:r w:rsidRPr="00273106">
        <w:rPr>
          <w:i/>
        </w:rPr>
        <w:t>ens inquantum ens</w:t>
      </w:r>
      <w:r>
        <w:rPr>
          <w:i/>
        </w:rPr>
        <w:fldChar w:fldCharType="begin"/>
      </w:r>
      <w:r>
        <w:instrText xml:space="preserve"> XE "</w:instrText>
      </w:r>
      <w:r w:rsidRPr="005424E2">
        <w:rPr>
          <w:i/>
        </w:rPr>
        <w:instrText>ens inquantum ens</w:instrText>
      </w:r>
      <w:r>
        <w:instrText xml:space="preserve">" </w:instrText>
      </w:r>
      <w:r>
        <w:rPr>
          <w:i/>
        </w:rPr>
        <w:fldChar w:fldCharType="end"/>
      </w:r>
      <w:r w:rsidRPr="00273106">
        <w:t xml:space="preserve">. </w:t>
      </w:r>
      <w:r>
        <w:t xml:space="preserve">Metafyzika </w:t>
      </w:r>
      <w:r w:rsidRPr="00273106">
        <w:t xml:space="preserve">první substance nabídnutá Komentátorem zakládá </w:t>
      </w:r>
      <w:r>
        <w:t>jednotu</w:t>
      </w:r>
      <w:r w:rsidRPr="00273106">
        <w:t xml:space="preserve"> </w:t>
      </w:r>
      <w:r>
        <w:t>první vědy tradovanou</w:t>
      </w:r>
      <w:r w:rsidRPr="00273106">
        <w:t xml:space="preserve"> od falsafy</w:t>
      </w:r>
      <w:r>
        <w:t xml:space="preserve"> Al</w:t>
      </w:r>
      <w:r>
        <w:noBreakHyphen/>
        <w:t>Fárábího a danou v modu pravdy jako adekvace věci a intelektu</w:t>
      </w:r>
      <w:r w:rsidRPr="00273106">
        <w:t xml:space="preserve">. </w:t>
      </w:r>
      <w:r>
        <w:t xml:space="preserve">Adekvační model pravdy </w:t>
      </w:r>
      <w:r w:rsidRPr="00273106">
        <w:t>zab</w:t>
      </w:r>
      <w:r>
        <w:t>ránil fatálnímu řešení moderních a postmoderních a</w:t>
      </w:r>
      <w:r w:rsidRPr="00273106">
        <w:t>lexandrovců</w:t>
      </w:r>
      <w:r>
        <w:fldChar w:fldCharType="begin"/>
      </w:r>
      <w:r>
        <w:instrText xml:space="preserve"> XE "alexandrovci" </w:instrText>
      </w:r>
      <w:r>
        <w:fldChar w:fldCharType="end"/>
      </w:r>
      <w:r w:rsidRPr="00273106">
        <w:t xml:space="preserve">, kteří udělali z intelektu druhou substanci </w:t>
      </w:r>
      <w:r>
        <w:t xml:space="preserve">a člověka definují jako specifickou mrtvolu. Akvinského pojetí intelektu jako svébytné formy v duši zavedlo do výkonu poznání nové jsoucno třetího druhu. Intelekt se v duši stal hypostází s vlastním výkonem „exsistence“ teologicky nutným pro zajištění nesmrtelnosti duše. Tomistické spojení teologie a filosofie do jedné pravdy zásadně ocenila dogmatická škola </w:t>
      </w:r>
      <w:r w:rsidRPr="08AB7885">
        <w:rPr>
          <w:i/>
        </w:rPr>
        <w:t>Modernorum</w:t>
      </w:r>
      <w:r>
        <w:t xml:space="preserve">. Aegidius jako první tomista </w:t>
      </w:r>
      <w:r w:rsidR="005B0B81">
        <w:t xml:space="preserve">se prosadil </w:t>
      </w:r>
      <w:r>
        <w:t xml:space="preserve">odsouzením </w:t>
      </w:r>
      <w:r w:rsidR="08546FAE">
        <w:t>Sigerovy školy (</w:t>
      </w:r>
      <w:r w:rsidR="08546FAE" w:rsidRPr="08546FAE">
        <w:rPr>
          <w:i/>
        </w:rPr>
        <w:t>pars Sigeri</w:t>
      </w:r>
      <w:r w:rsidR="08546FAE">
        <w:t xml:space="preserve">) </w:t>
      </w:r>
      <w:r w:rsidR="00C54A17">
        <w:t>roku 1277</w:t>
      </w:r>
      <w:r>
        <w:t xml:space="preserve">. </w:t>
      </w:r>
      <w:r w:rsidR="08336274">
        <w:t>G</w:t>
      </w:r>
      <w:r>
        <w:t xml:space="preserve">igantomacie o substanci běžela </w:t>
      </w:r>
      <w:r w:rsidR="00F90079">
        <w:t xml:space="preserve">v letech </w:t>
      </w:r>
      <w:r>
        <w:t>1270</w:t>
      </w:r>
      <w:r w:rsidR="00F90079">
        <w:t>–72</w:t>
      </w:r>
      <w:r>
        <w:t xml:space="preserve"> uvnitř prvního averroismu a týkala se plurality forem v člověku, což měl už Grosseteste (</w:t>
      </w:r>
      <w:r w:rsidR="08336274">
        <w:t>OBJ II, kap. 3</w:t>
      </w:r>
      <w:r>
        <w:t xml:space="preserve">.1.3). Klíčovým sporem se stal boj o status </w:t>
      </w:r>
      <w:r w:rsidRPr="08815A49">
        <w:rPr>
          <w:i/>
        </w:rPr>
        <w:t>Expositor Novus</w:t>
      </w:r>
      <w:r>
        <w:t xml:space="preserve"> mezi aristotelismem Akvinského a Sigera. Modernistická větev prvního averroismu byla reprezentovaná Akvinským a Aegidiem a na druhé straně akademické fronty stáli Siger z Brabantu a Boethius</w:t>
      </w:r>
      <w:r w:rsidR="00713729">
        <w:t xml:space="preserve"> z Dácie.</w:t>
      </w:r>
    </w:p>
    <w:p w:rsidR="00C12127" w:rsidRDefault="00713729" w:rsidP="00007BBF">
      <w:pPr>
        <w:ind w:firstLine="397"/>
        <w:rPr>
          <w:lang w:eastAsia="en-US"/>
        </w:rPr>
      </w:pPr>
      <w:r>
        <w:t>Siger nemohl</w:t>
      </w:r>
      <w:r w:rsidR="08163013">
        <w:t xml:space="preserve"> v žádném případě přijmout tezi, intelekt je další forma vedle duše, protože intelekt je nemateriální a potenciální schopnost duše. </w:t>
      </w:r>
      <w:r w:rsidR="0060407D">
        <w:t xml:space="preserve">Ta je jedinou formou všech živých organismů, nejen člověka. </w:t>
      </w:r>
      <w:r w:rsidR="08163013">
        <w:t>S</w:t>
      </w:r>
      <w:r w:rsidR="08163013" w:rsidRPr="00273106">
        <w:t>em</w:t>
      </w:r>
      <w:r w:rsidR="00541EB1">
        <w:t xml:space="preserve">iaverroistické pojetí intelektu jako </w:t>
      </w:r>
      <w:r w:rsidR="08163013">
        <w:t xml:space="preserve">hypostáze hájili </w:t>
      </w:r>
      <w:r w:rsidR="00541EB1" w:rsidRPr="00273106">
        <w:t>Akvinský</w:t>
      </w:r>
      <w:r w:rsidR="00541EB1">
        <w:t xml:space="preserve"> a Aegidius</w:t>
      </w:r>
      <w:r w:rsidR="00541EB1">
        <w:fldChar w:fldCharType="begin"/>
      </w:r>
      <w:r w:rsidR="00541EB1">
        <w:instrText xml:space="preserve"> XE "</w:instrText>
      </w:r>
      <w:r w:rsidR="00541EB1" w:rsidRPr="00B54432">
        <w:instrText>Aegidius Romanus</w:instrText>
      </w:r>
      <w:r w:rsidR="00541EB1">
        <w:instrText xml:space="preserve">" </w:instrText>
      </w:r>
      <w:r w:rsidR="00541EB1">
        <w:fldChar w:fldCharType="end"/>
      </w:r>
      <w:r w:rsidR="00541EB1">
        <w:t xml:space="preserve"> ve škole prvního averroismu</w:t>
      </w:r>
      <w:r w:rsidR="08163013" w:rsidRPr="00273106">
        <w:t xml:space="preserve">. Oba </w:t>
      </w:r>
      <w:r w:rsidR="08163013">
        <w:t xml:space="preserve">tito </w:t>
      </w:r>
      <w:r w:rsidR="08163013" w:rsidRPr="00273106">
        <w:t>představitelé prvního averroismu jsou inspirovaní Avicennou nejen v otázce duše</w:t>
      </w:r>
      <w:r w:rsidR="08163013">
        <w:t xml:space="preserve"> jako hypostáze</w:t>
      </w:r>
      <w:r w:rsidR="08163013" w:rsidRPr="00273106">
        <w:t xml:space="preserve">, ale také </w:t>
      </w:r>
      <w:r w:rsidR="08163013" w:rsidRPr="00273106">
        <w:lastRenderedPageBreak/>
        <w:t xml:space="preserve">intelektu </w:t>
      </w:r>
      <w:r w:rsidR="08163013">
        <w:t>jako hypostázované formy</w:t>
      </w:r>
      <w:r w:rsidR="08163013">
        <w:fldChar w:fldCharType="begin"/>
      </w:r>
      <w:r w:rsidR="08163013">
        <w:instrText xml:space="preserve"> XE "</w:instrText>
      </w:r>
      <w:r w:rsidR="08163013" w:rsidRPr="008211EC">
        <w:instrText>semiaverroismus</w:instrText>
      </w:r>
      <w:r w:rsidR="08163013">
        <w:instrText xml:space="preserve">" </w:instrText>
      </w:r>
      <w:r w:rsidR="08163013">
        <w:fldChar w:fldCharType="end"/>
      </w:r>
      <w:r w:rsidR="08163013" w:rsidRPr="00273106">
        <w:t>.</w:t>
      </w:r>
      <w:r w:rsidR="08163013">
        <w:t xml:space="preserve"> Albert se nezúčastnil pařížského boje o jednotu osoby a intelektu kolem 1270 z pochopitelných důvodů rozvedených v kapitolách věnových Sigerovi. Jednak nechtěl v napjaté atmosféře veřejně polemizovat s kritikou Sigera vůči jeho osobě. A jako znalec CMDA jistě pochopil, že Akvinského pozice držená v římských disputacích (1265‒68) ohledně </w:t>
      </w:r>
      <w:proofErr w:type="gramStart"/>
      <w:r w:rsidR="08163013" w:rsidRPr="005C5F91">
        <w:rPr>
          <w:i/>
        </w:rPr>
        <w:t>De</w:t>
      </w:r>
      <w:proofErr w:type="gramEnd"/>
      <w:r w:rsidR="08163013" w:rsidRPr="005C5F91">
        <w:rPr>
          <w:i/>
        </w:rPr>
        <w:t xml:space="preserve"> anima</w:t>
      </w:r>
      <w:r w:rsidR="08163013">
        <w:t xml:space="preserve"> je věcně neobhajitelná vůči Sigerově brilantní argumentaci založené na hluboké znalosti Averroesovy filosof</w:t>
      </w:r>
      <w:r w:rsidR="003B7755">
        <w:t xml:space="preserve">ie. Navíc se s </w:t>
      </w:r>
      <w:proofErr w:type="gramStart"/>
      <w:r w:rsidR="003B7755">
        <w:t>Akvinským</w:t>
      </w:r>
      <w:proofErr w:type="gramEnd"/>
      <w:r w:rsidR="003B7755">
        <w:t xml:space="preserve"> potkal</w:t>
      </w:r>
      <w:r w:rsidR="08163013">
        <w:t xml:space="preserve"> během půlročního pobytu v papežském Orviettu (1262‒63), takže averroistické názory </w:t>
      </w:r>
      <w:r w:rsidR="003B7755">
        <w:t xml:space="preserve">Tomáše </w:t>
      </w:r>
      <w:r w:rsidR="08163013">
        <w:t xml:space="preserve">dobře znal. Albert z následných spisů Akvinského jasně poznal, že nezměnil zamítavé stanovisko k Averroesovi a ke spisu CMDA. Podle </w:t>
      </w:r>
      <w:r w:rsidR="00433D0C">
        <w:t>Alberta jako znalce CMDA vykládal</w:t>
      </w:r>
      <w:r w:rsidR="08163013">
        <w:t xml:space="preserve"> Tomáš individualizaci intelektu semiaverroisticky. Neudržel jednotu osoby jako hylemorfické substance, protože do ní přidal další hypostázovanou formu. </w:t>
      </w:r>
      <w:r w:rsidR="08163013" w:rsidRPr="00273106">
        <w:t>Akt subsistence udělal z intelektu druhou formu vedle duše, čímž zachránil pro teologii nematerialitu a věčnost duše</w:t>
      </w:r>
      <w:r w:rsidR="08163013" w:rsidRPr="006C7A0F">
        <w:rPr>
          <w:i/>
        </w:rPr>
        <w:fldChar w:fldCharType="begin"/>
      </w:r>
      <w:r w:rsidR="08163013" w:rsidRPr="006C7A0F">
        <w:instrText xml:space="preserve"> XE "intelekt:modus </w:instrText>
      </w:r>
      <w:r w:rsidR="08163013" w:rsidRPr="006C7A0F">
        <w:rPr>
          <w:i/>
        </w:rPr>
        <w:instrText>qua</w:instrText>
      </w:r>
      <w:r w:rsidR="08163013" w:rsidRPr="006C7A0F">
        <w:rPr>
          <w:i/>
          <w:vertAlign w:val="superscript"/>
        </w:rPr>
        <w:instrText>2</w:instrText>
      </w:r>
      <w:r w:rsidR="08163013" w:rsidRPr="006C7A0F">
        <w:instrText xml:space="preserve">" </w:instrText>
      </w:r>
      <w:r w:rsidR="08163013" w:rsidRPr="006C7A0F">
        <w:rPr>
          <w:i/>
        </w:rPr>
        <w:fldChar w:fldCharType="end"/>
      </w:r>
      <w:r w:rsidR="08163013" w:rsidRPr="00273106">
        <w:t>. Akvinský pojetím intelektu jako formy rozšířil subsistenci formy i na intelekt, který dostal nemateriální subsistenci podobnou duši (</w:t>
      </w:r>
      <w:r w:rsidR="08163013" w:rsidRPr="00273106">
        <w:rPr>
          <w:i/>
        </w:rPr>
        <w:t>qua</w:t>
      </w:r>
      <w:r w:rsidR="08163013" w:rsidRPr="00273106">
        <w:rPr>
          <w:i/>
          <w:vertAlign w:val="superscript"/>
        </w:rPr>
        <w:t>2</w:t>
      </w:r>
      <w:r w:rsidR="08163013" w:rsidRPr="00273106">
        <w:t>). Siger byl zásadně proti tomuto řešení</w:t>
      </w:r>
      <w:r w:rsidR="08163013">
        <w:t xml:space="preserve">. Formálně sice </w:t>
      </w:r>
      <w:proofErr w:type="gramStart"/>
      <w:r w:rsidR="08163013">
        <w:t>vyhovuje</w:t>
      </w:r>
      <w:proofErr w:type="gramEnd"/>
      <w:r w:rsidR="08163013">
        <w:t xml:space="preserve"> aristotelskému výkladu </w:t>
      </w:r>
      <w:r w:rsidR="08163013" w:rsidRPr="00BB3FD9">
        <w:rPr>
          <w:i/>
        </w:rPr>
        <w:t>De anima</w:t>
      </w:r>
      <w:r w:rsidR="08163013">
        <w:t xml:space="preserve"> a druhému pojetí důkazu z esence podle </w:t>
      </w:r>
      <w:r w:rsidR="08163013" w:rsidRPr="086F3FD4">
        <w:rPr>
          <w:i/>
        </w:rPr>
        <w:t>Druhých analytik</w:t>
      </w:r>
      <w:r w:rsidR="08163013">
        <w:t xml:space="preserve">. Ale toto řešení je zásadně chybné podle CMDA, protože tomismus zrušil jednotu osoby a nahradil ji abstraktním subjektem v modu esence. Tento subjekt křesťanské dogmatiky je podaný jako Aristotelovo učení v </w:t>
      </w:r>
      <w:proofErr w:type="gramStart"/>
      <w:r w:rsidR="08163013" w:rsidRPr="08F9295D">
        <w:rPr>
          <w:i/>
        </w:rPr>
        <w:t>De</w:t>
      </w:r>
      <w:proofErr w:type="gramEnd"/>
      <w:r w:rsidR="08163013" w:rsidRPr="08F9295D">
        <w:rPr>
          <w:i/>
        </w:rPr>
        <w:t xml:space="preserve"> anima</w:t>
      </w:r>
      <w:r w:rsidR="08163013">
        <w:t xml:space="preserve">, ale ve skutečnosti je to výklad poznávajícího subjektu podle Avicenovy </w:t>
      </w:r>
      <w:r w:rsidR="08163013" w:rsidRPr="08F9295D">
        <w:rPr>
          <w:i/>
        </w:rPr>
        <w:t>De anima</w:t>
      </w:r>
      <w:r w:rsidR="08163013">
        <w:t xml:space="preserve">. Nový subjekt křesťanského aristotelismu se stal z logických a teologických důvodů nesmrtelným, což podle kritického fenomenologa Sigera </w:t>
      </w:r>
      <w:r w:rsidR="08DE7112">
        <w:t xml:space="preserve">přímo </w:t>
      </w:r>
      <w:r w:rsidR="08163013">
        <w:t xml:space="preserve">neprožíváme a nezakoušíme. Subjekt jako esence nepredikuje existenci osoby a je pouhým konceptem daným v mysli. Intelekt je dán pouze a jedině </w:t>
      </w:r>
      <w:r w:rsidR="08163013" w:rsidRPr="00273106">
        <w:t xml:space="preserve">jako nemateriální potence duše. </w:t>
      </w:r>
      <w:r w:rsidR="08163013">
        <w:t xml:space="preserve">Ani jedna z nemateriálních schopností </w:t>
      </w:r>
      <w:r w:rsidR="08163013" w:rsidRPr="00273106">
        <w:t>i</w:t>
      </w:r>
      <w:r w:rsidR="08163013" w:rsidRPr="00273106">
        <w:rPr>
          <w:lang w:eastAsia="en-US"/>
        </w:rPr>
        <w:t>ntelektu (</w:t>
      </w:r>
      <w:r w:rsidR="08163013" w:rsidRPr="00273106">
        <w:rPr>
          <w:i/>
          <w:lang w:eastAsia="en-US"/>
        </w:rPr>
        <w:t>intellectus possibilis, agens</w:t>
      </w:r>
      <w:r w:rsidR="08163013" w:rsidRPr="00273106">
        <w:rPr>
          <w:lang w:eastAsia="en-US"/>
        </w:rPr>
        <w:t xml:space="preserve">) nemůže být oddělena </w:t>
      </w:r>
      <w:r w:rsidR="08163013">
        <w:rPr>
          <w:lang w:eastAsia="en-US"/>
        </w:rPr>
        <w:t>ani od duše, ani od osoby jako hylemorfické první substance</w:t>
      </w:r>
      <w:r w:rsidR="08163013" w:rsidRPr="00273106">
        <w:rPr>
          <w:lang w:eastAsia="en-US"/>
        </w:rPr>
        <w:t xml:space="preserve">. </w:t>
      </w:r>
      <w:r w:rsidR="08163013">
        <w:rPr>
          <w:lang w:eastAsia="en-US"/>
        </w:rPr>
        <w:t xml:space="preserve">Termín </w:t>
      </w:r>
      <w:r w:rsidR="00D136D1">
        <w:rPr>
          <w:lang w:eastAsia="en-US"/>
        </w:rPr>
        <w:t>„</w:t>
      </w:r>
      <w:r w:rsidR="08163013" w:rsidRPr="006B6557">
        <w:rPr>
          <w:i/>
          <w:lang w:eastAsia="en-US"/>
        </w:rPr>
        <w:t>separabilis</w:t>
      </w:r>
      <w:r w:rsidR="00D136D1">
        <w:rPr>
          <w:lang w:eastAsia="en-US"/>
        </w:rPr>
        <w:t>“</w:t>
      </w:r>
      <w:r w:rsidR="08163013">
        <w:rPr>
          <w:i/>
          <w:lang w:eastAsia="en-US"/>
        </w:rPr>
        <w:fldChar w:fldCharType="begin"/>
      </w:r>
      <w:r w:rsidR="08163013">
        <w:instrText xml:space="preserve"> XE "intelekt:</w:instrText>
      </w:r>
      <w:r w:rsidR="08163013" w:rsidRPr="00A6312E">
        <w:rPr>
          <w:i/>
          <w:lang w:eastAsia="en-US"/>
        </w:rPr>
        <w:instrText>separabilis</w:instrText>
      </w:r>
      <w:r w:rsidR="08163013">
        <w:rPr>
          <w:i/>
          <w:lang w:eastAsia="en-US"/>
        </w:rPr>
        <w:instrText>/separatus</w:instrText>
      </w:r>
      <w:r w:rsidR="08163013">
        <w:instrText xml:space="preserve">" </w:instrText>
      </w:r>
      <w:r w:rsidR="08163013">
        <w:rPr>
          <w:i/>
          <w:lang w:eastAsia="en-US"/>
        </w:rPr>
        <w:fldChar w:fldCharType="end"/>
      </w:r>
      <w:r w:rsidR="08163013">
        <w:rPr>
          <w:lang w:eastAsia="en-US"/>
        </w:rPr>
        <w:t xml:space="preserve"> má u Sigera zcela specifický charakter postavený proti averroistickému statutu duše a intelektu jako </w:t>
      </w:r>
      <w:r w:rsidR="00D136D1">
        <w:rPr>
          <w:lang w:eastAsia="en-US"/>
        </w:rPr>
        <w:t>„</w:t>
      </w:r>
      <w:r w:rsidR="08163013" w:rsidRPr="006B6557">
        <w:rPr>
          <w:i/>
          <w:lang w:eastAsia="en-US"/>
        </w:rPr>
        <w:t>separatus</w:t>
      </w:r>
      <w:r w:rsidR="00D136D1">
        <w:rPr>
          <w:lang w:eastAsia="en-US"/>
        </w:rPr>
        <w:t>“</w:t>
      </w:r>
      <w:r w:rsidR="08DE7112">
        <w:rPr>
          <w:lang w:eastAsia="en-US"/>
        </w:rPr>
        <w:t xml:space="preserve"> (kap. 4</w:t>
      </w:r>
      <w:r w:rsidR="08163013">
        <w:rPr>
          <w:lang w:eastAsia="en-US"/>
        </w:rPr>
        <w:t xml:space="preserve">.4.2). </w:t>
      </w:r>
      <w:r w:rsidR="08163013" w:rsidRPr="00273106">
        <w:t xml:space="preserve">Formální aktualitu má </w:t>
      </w:r>
      <w:r w:rsidR="08163013">
        <w:t xml:space="preserve">podle Sigera </w:t>
      </w:r>
      <w:r w:rsidR="08163013" w:rsidRPr="00273106">
        <w:t>pouze duše jako entelechická forma těla (</w:t>
      </w:r>
      <w:r w:rsidR="08163013" w:rsidRPr="00273106">
        <w:rPr>
          <w:i/>
        </w:rPr>
        <w:t>anima est qua intelligimus</w:t>
      </w:r>
      <w:r w:rsidR="08DE7112">
        <w:t>, kap. 4</w:t>
      </w:r>
      <w:r w:rsidR="08163013" w:rsidRPr="00273106">
        <w:t xml:space="preserve">.4.3). </w:t>
      </w:r>
      <w:r w:rsidR="08163013">
        <w:rPr>
          <w:lang w:eastAsia="en-US"/>
        </w:rPr>
        <w:t xml:space="preserve">Každé pojetí intelektu jako </w:t>
      </w:r>
      <w:r w:rsidR="00D136D1">
        <w:rPr>
          <w:lang w:eastAsia="en-US"/>
        </w:rPr>
        <w:t>„</w:t>
      </w:r>
      <w:r w:rsidR="08163013" w:rsidRPr="00193CC1">
        <w:rPr>
          <w:i/>
          <w:lang w:eastAsia="en-US"/>
        </w:rPr>
        <w:t>separatus</w:t>
      </w:r>
      <w:r w:rsidR="00D136D1">
        <w:rPr>
          <w:lang w:eastAsia="en-US"/>
        </w:rPr>
        <w:t>“</w:t>
      </w:r>
      <w:r w:rsidR="08163013">
        <w:rPr>
          <w:lang w:eastAsia="en-US"/>
        </w:rPr>
        <w:t xml:space="preserve"> musí následně provést akt porretánského </w:t>
      </w:r>
      <w:r w:rsidR="00D136D1">
        <w:rPr>
          <w:lang w:eastAsia="en-US"/>
        </w:rPr>
        <w:t>„</w:t>
      </w:r>
      <w:r w:rsidR="08163013" w:rsidRPr="007C0F1E">
        <w:rPr>
          <w:i/>
          <w:lang w:eastAsia="en-US"/>
        </w:rPr>
        <w:t>exsist</w:t>
      </w:r>
      <w:r w:rsidR="08163013">
        <w:rPr>
          <w:i/>
          <w:lang w:eastAsia="en-US"/>
        </w:rPr>
        <w:t>it</w:t>
      </w:r>
      <w:r w:rsidR="00D136D1">
        <w:rPr>
          <w:lang w:eastAsia="en-US"/>
        </w:rPr>
        <w:t>“</w:t>
      </w:r>
      <w:r w:rsidR="08163013">
        <w:rPr>
          <w:lang w:eastAsia="en-US"/>
        </w:rPr>
        <w:t>, protože musí spojit</w:t>
      </w:r>
      <w:r w:rsidR="08163013" w:rsidRPr="085A7B85">
        <w:rPr>
          <w:lang w:eastAsia="en-US"/>
        </w:rPr>
        <w:t xml:space="preserve"> </w:t>
      </w:r>
      <w:r w:rsidR="08163013">
        <w:rPr>
          <w:lang w:eastAsia="en-US"/>
        </w:rPr>
        <w:t xml:space="preserve">hypostázovaný intelekt s duší a s tělem v nějaké formě </w:t>
      </w:r>
      <w:r w:rsidR="08163013" w:rsidRPr="00182197">
        <w:rPr>
          <w:i/>
          <w:lang w:eastAsia="en-US"/>
        </w:rPr>
        <w:t>colligatio</w:t>
      </w:r>
      <w:r w:rsidR="08163013">
        <w:rPr>
          <w:lang w:eastAsia="en-US"/>
        </w:rPr>
        <w:fldChar w:fldCharType="begin"/>
      </w:r>
      <w:r w:rsidR="08163013">
        <w:instrText xml:space="preserve"> XE "</w:instrText>
      </w:r>
      <w:r w:rsidR="08163013" w:rsidRPr="00370B1C">
        <w:rPr>
          <w:i/>
          <w:lang w:eastAsia="en-US"/>
        </w:rPr>
        <w:instrText>colligatio</w:instrText>
      </w:r>
      <w:r w:rsidR="08163013">
        <w:instrText xml:space="preserve">" </w:instrText>
      </w:r>
      <w:r w:rsidR="08163013">
        <w:rPr>
          <w:lang w:eastAsia="en-US"/>
        </w:rPr>
        <w:fldChar w:fldCharType="end"/>
      </w:r>
      <w:r w:rsidR="08163013">
        <w:rPr>
          <w:lang w:eastAsia="en-US"/>
        </w:rPr>
        <w:t xml:space="preserve">. Averroes zásadně protestoval proti jakémukoliv </w:t>
      </w:r>
      <w:r w:rsidR="08163013">
        <w:rPr>
          <w:lang w:eastAsia="en-US"/>
        </w:rPr>
        <w:lastRenderedPageBreak/>
        <w:t>hypostázování reálně daného intelektu v osobě na způsob Themistiova nebo Alexandrova intelektu jako jsoucna třetího druhu (</w:t>
      </w:r>
      <w:r w:rsidR="08163013" w:rsidRPr="008B06C2">
        <w:rPr>
          <w:i/>
        </w:rPr>
        <w:t>hoc aliquid</w:t>
      </w:r>
      <w:r w:rsidR="08163013" w:rsidRPr="008B06C2">
        <w:fldChar w:fldCharType="begin"/>
      </w:r>
      <w:r w:rsidR="08163013" w:rsidRPr="008B06C2">
        <w:instrText xml:space="preserve"> XE "</w:instrText>
      </w:r>
      <w:r w:rsidR="08163013" w:rsidRPr="008B06C2">
        <w:rPr>
          <w:i/>
        </w:rPr>
        <w:instrText>hoc aliquid</w:instrText>
      </w:r>
      <w:r w:rsidR="08163013" w:rsidRPr="008B06C2">
        <w:instrText xml:space="preserve">:intelekt" </w:instrText>
      </w:r>
      <w:r w:rsidR="08163013" w:rsidRPr="008B06C2">
        <w:fldChar w:fldCharType="end"/>
      </w:r>
      <w:r w:rsidR="08163013">
        <w:rPr>
          <w:lang w:eastAsia="en-US"/>
        </w:rPr>
        <w:t>). Intelektuální p</w:t>
      </w:r>
      <w:r w:rsidR="08163013" w:rsidRPr="00273106">
        <w:rPr>
          <w:lang w:eastAsia="en-US"/>
        </w:rPr>
        <w:t xml:space="preserve">otence existuje sama o sobě </w:t>
      </w:r>
      <w:r w:rsidR="08163013">
        <w:rPr>
          <w:lang w:eastAsia="en-US"/>
        </w:rPr>
        <w:t>jen jako koncept v mysli (</w:t>
      </w:r>
      <w:r w:rsidR="08163013" w:rsidRPr="085F2DB8">
        <w:rPr>
          <w:i/>
          <w:lang w:eastAsia="en-US"/>
        </w:rPr>
        <w:t xml:space="preserve">quartum </w:t>
      </w:r>
      <w:r w:rsidR="00962190">
        <w:rPr>
          <w:i/>
          <w:lang w:eastAsia="en-US"/>
        </w:rPr>
        <w:t>genus</w:t>
      </w:r>
      <w:r w:rsidR="08163013">
        <w:rPr>
          <w:lang w:eastAsia="en-US"/>
        </w:rPr>
        <w:t>) a nemůže mít objektivní charakter hypostáze třetího druhu</w:t>
      </w:r>
      <w:r w:rsidR="08163013" w:rsidRPr="00273106">
        <w:rPr>
          <w:lang w:eastAsia="en-US"/>
        </w:rPr>
        <w:t xml:space="preserve">. </w:t>
      </w:r>
      <w:r w:rsidR="08163013">
        <w:rPr>
          <w:lang w:eastAsia="en-US"/>
        </w:rPr>
        <w:t>Jakákoliv abstrakce a univerzalizace vytvoří pouze koncept intelektu</w:t>
      </w:r>
      <w:r w:rsidR="08163013">
        <w:rPr>
          <w:i/>
          <w:lang w:eastAsia="en-US"/>
        </w:rPr>
        <w:fldChar w:fldCharType="begin"/>
      </w:r>
      <w:r w:rsidR="08163013">
        <w:instrText xml:space="preserve"> XE "</w:instrText>
      </w:r>
      <w:r w:rsidR="08163013" w:rsidRPr="00191848">
        <w:rPr>
          <w:i/>
        </w:rPr>
        <w:instrText>quartum genus</w:instrText>
      </w:r>
      <w:r w:rsidR="08163013">
        <w:instrText xml:space="preserve">" </w:instrText>
      </w:r>
      <w:r w:rsidR="08163013">
        <w:rPr>
          <w:i/>
          <w:lang w:eastAsia="en-US"/>
        </w:rPr>
        <w:fldChar w:fldCharType="end"/>
      </w:r>
      <w:r w:rsidR="08163013" w:rsidRPr="00273106">
        <w:rPr>
          <w:lang w:eastAsia="en-US"/>
        </w:rPr>
        <w:t xml:space="preserve">, který není a nemůže být substancí, ale pouze </w:t>
      </w:r>
      <w:r w:rsidR="08163013">
        <w:rPr>
          <w:lang w:eastAsia="en-US"/>
        </w:rPr>
        <w:t xml:space="preserve">mentálním </w:t>
      </w:r>
      <w:r w:rsidR="08163013" w:rsidRPr="00273106">
        <w:rPr>
          <w:lang w:eastAsia="en-US"/>
        </w:rPr>
        <w:t xml:space="preserve">konceptem. </w:t>
      </w:r>
      <w:r w:rsidR="08163013">
        <w:rPr>
          <w:lang w:eastAsia="en-US"/>
        </w:rPr>
        <w:t xml:space="preserve">Proto je možné </w:t>
      </w:r>
      <w:r w:rsidR="08163013" w:rsidRPr="00273106">
        <w:rPr>
          <w:lang w:eastAsia="en-US"/>
        </w:rPr>
        <w:t xml:space="preserve">určit </w:t>
      </w:r>
      <w:r w:rsidR="08163013">
        <w:rPr>
          <w:lang w:eastAsia="en-US"/>
        </w:rPr>
        <w:t xml:space="preserve">abstraktní a specifickou existenci intelektu </w:t>
      </w:r>
      <w:r w:rsidR="08163013" w:rsidRPr="00273106">
        <w:rPr>
          <w:lang w:eastAsia="en-US"/>
        </w:rPr>
        <w:t xml:space="preserve">v rámci lidstva jako </w:t>
      </w:r>
      <w:r w:rsidR="08163013">
        <w:rPr>
          <w:lang w:eastAsia="en-US"/>
        </w:rPr>
        <w:t>druhu</w:t>
      </w:r>
      <w:r w:rsidR="08163013">
        <w:rPr>
          <w:lang w:eastAsia="en-US"/>
        </w:rPr>
        <w:fldChar w:fldCharType="begin"/>
      </w:r>
      <w:r w:rsidR="08163013">
        <w:instrText xml:space="preserve"> XE "</w:instrText>
      </w:r>
      <w:r w:rsidR="08163013" w:rsidRPr="005457B7">
        <w:rPr>
          <w:i/>
        </w:rPr>
        <w:instrText>universitas humana</w:instrText>
      </w:r>
      <w:r w:rsidR="08163013">
        <w:instrText xml:space="preserve">" </w:instrText>
      </w:r>
      <w:r w:rsidR="08163013">
        <w:rPr>
          <w:lang w:eastAsia="en-US"/>
        </w:rPr>
        <w:fldChar w:fldCharType="end"/>
      </w:r>
      <w:r w:rsidR="08163013" w:rsidRPr="00273106">
        <w:rPr>
          <w:lang w:eastAsia="en-US"/>
        </w:rPr>
        <w:t xml:space="preserve">. </w:t>
      </w:r>
      <w:r w:rsidR="08163013">
        <w:rPr>
          <w:lang w:eastAsia="en-US"/>
        </w:rPr>
        <w:t xml:space="preserve">Jenže specificky dané lidstvo nikdy nemyslelo a nebude myslet, protože reálně neexistuje. </w:t>
      </w:r>
      <w:r w:rsidR="08163013" w:rsidRPr="00273106">
        <w:rPr>
          <w:lang w:eastAsia="en-US"/>
        </w:rPr>
        <w:t>Intelekt aktuálně existuje jen v momentu svého výkonu</w:t>
      </w:r>
      <w:r w:rsidR="08163013">
        <w:rPr>
          <w:lang w:eastAsia="en-US"/>
        </w:rPr>
        <w:t xml:space="preserve"> (</w:t>
      </w:r>
      <w:r w:rsidR="08163013" w:rsidRPr="005457B7">
        <w:rPr>
          <w:i/>
          <w:lang w:eastAsia="en-US"/>
        </w:rPr>
        <w:t xml:space="preserve">tertium </w:t>
      </w:r>
      <w:r w:rsidR="00962190">
        <w:rPr>
          <w:i/>
          <w:lang w:eastAsia="en-US"/>
        </w:rPr>
        <w:t>genus</w:t>
      </w:r>
      <w:r w:rsidR="08163013">
        <w:rPr>
          <w:i/>
          <w:lang w:eastAsia="en-US"/>
        </w:rPr>
        <w:fldChar w:fldCharType="begin"/>
      </w:r>
      <w:r w:rsidR="08163013">
        <w:instrText xml:space="preserve"> XE "</w:instrText>
      </w:r>
      <w:r w:rsidR="08163013" w:rsidRPr="009342B1">
        <w:rPr>
          <w:i/>
          <w:lang w:eastAsia="en-US"/>
        </w:rPr>
        <w:instrText>tertium genus</w:instrText>
      </w:r>
      <w:r w:rsidR="08163013">
        <w:instrText xml:space="preserve">" </w:instrText>
      </w:r>
      <w:r w:rsidR="08163013">
        <w:rPr>
          <w:i/>
          <w:lang w:eastAsia="en-US"/>
        </w:rPr>
        <w:fldChar w:fldCharType="end"/>
      </w:r>
      <w:r w:rsidR="08163013">
        <w:rPr>
          <w:lang w:eastAsia="en-US"/>
        </w:rPr>
        <w:t>)</w:t>
      </w:r>
      <w:r w:rsidR="08163013" w:rsidRPr="00273106">
        <w:rPr>
          <w:lang w:eastAsia="en-US"/>
        </w:rPr>
        <w:t>, kdy je aktualizovaný smyslovým poznáním v duši jako hylemorfické formě těla (</w:t>
      </w:r>
      <w:r w:rsidR="08163013" w:rsidRPr="00273106">
        <w:rPr>
          <w:i/>
        </w:rPr>
        <w:t>qua</w:t>
      </w:r>
      <w:r w:rsidR="08163013" w:rsidRPr="00273106">
        <w:rPr>
          <w:i/>
          <w:vertAlign w:val="superscript"/>
        </w:rPr>
        <w:t>1</w:t>
      </w:r>
      <w:r w:rsidR="08163013" w:rsidRPr="006C7A0F">
        <w:rPr>
          <w:i/>
        </w:rPr>
        <w:fldChar w:fldCharType="begin"/>
      </w:r>
      <w:r w:rsidR="08163013" w:rsidRPr="006C7A0F">
        <w:instrText xml:space="preserve"> XE "intelekt:modus </w:instrText>
      </w:r>
      <w:r w:rsidR="08163013" w:rsidRPr="006C7A0F">
        <w:rPr>
          <w:i/>
        </w:rPr>
        <w:instrText>qua</w:instrText>
      </w:r>
      <w:r w:rsidR="08163013">
        <w:rPr>
          <w:i/>
          <w:vertAlign w:val="superscript"/>
        </w:rPr>
        <w:instrText>1</w:instrText>
      </w:r>
      <w:r w:rsidR="08163013" w:rsidRPr="006C7A0F">
        <w:instrText xml:space="preserve">" </w:instrText>
      </w:r>
      <w:r w:rsidR="08163013" w:rsidRPr="006C7A0F">
        <w:rPr>
          <w:i/>
        </w:rPr>
        <w:fldChar w:fldCharType="end"/>
      </w:r>
      <w:r w:rsidR="08163013" w:rsidRPr="00273106">
        <w:rPr>
          <w:lang w:eastAsia="en-US"/>
        </w:rPr>
        <w:t>). V mysli pochopitelně může vzniknout univerzální koncept intelektu</w:t>
      </w:r>
      <w:r w:rsidR="08163013">
        <w:rPr>
          <w:lang w:eastAsia="en-US"/>
        </w:rPr>
        <w:t xml:space="preserve"> jako formy, esence, </w:t>
      </w:r>
      <w:proofErr w:type="gramStart"/>
      <w:r w:rsidR="08163013">
        <w:rPr>
          <w:lang w:eastAsia="en-US"/>
        </w:rPr>
        <w:t>substance  atd</w:t>
      </w:r>
      <w:proofErr w:type="gramEnd"/>
      <w:r w:rsidR="08163013">
        <w:rPr>
          <w:lang w:eastAsia="en-US"/>
        </w:rPr>
        <w:t>. Ale ta</w:t>
      </w:r>
      <w:r w:rsidR="08163013" w:rsidRPr="00273106">
        <w:rPr>
          <w:lang w:eastAsia="en-US"/>
        </w:rPr>
        <w:t xml:space="preserve">to </w:t>
      </w:r>
      <w:r w:rsidR="08163013">
        <w:rPr>
          <w:lang w:eastAsia="en-US"/>
        </w:rPr>
        <w:t xml:space="preserve">univerzálie </w:t>
      </w:r>
      <w:r w:rsidR="08163013" w:rsidRPr="00273106">
        <w:rPr>
          <w:lang w:eastAsia="en-US"/>
        </w:rPr>
        <w:t>neexistuje aktuálně</w:t>
      </w:r>
      <w:r w:rsidR="08163013">
        <w:rPr>
          <w:lang w:eastAsia="en-US"/>
        </w:rPr>
        <w:t>, ale pouze potenciálně. Je dána</w:t>
      </w:r>
      <w:r w:rsidR="08163013" w:rsidRPr="00273106">
        <w:rPr>
          <w:lang w:eastAsia="en-US"/>
        </w:rPr>
        <w:t xml:space="preserve"> díky práci intelektu ve výkonu abstrakce skrze individuální </w:t>
      </w:r>
      <w:r w:rsidR="08163013" w:rsidRPr="00273106">
        <w:rPr>
          <w:i/>
          <w:lang w:eastAsia="en-US"/>
        </w:rPr>
        <w:t>intellectus speculativus</w:t>
      </w:r>
      <w:r w:rsidR="08163013">
        <w:rPr>
          <w:i/>
          <w:lang w:eastAsia="en-US"/>
        </w:rPr>
        <w:fldChar w:fldCharType="begin"/>
      </w:r>
      <w:r w:rsidR="08163013">
        <w:instrText xml:space="preserve"> XE "</w:instrText>
      </w:r>
      <w:r w:rsidR="08163013">
        <w:rPr>
          <w:i/>
        </w:rPr>
        <w:instrText>intellectus speculativus</w:instrText>
      </w:r>
      <w:r w:rsidR="08163013">
        <w:instrText xml:space="preserve">" </w:instrText>
      </w:r>
      <w:r w:rsidR="08163013">
        <w:rPr>
          <w:i/>
          <w:lang w:eastAsia="en-US"/>
        </w:rPr>
        <w:fldChar w:fldCharType="end"/>
      </w:r>
      <w:r w:rsidR="08163013" w:rsidRPr="00273106">
        <w:rPr>
          <w:lang w:eastAsia="en-US"/>
        </w:rPr>
        <w:t>, což poprvé analyzoval Albert na základě CMDA (</w:t>
      </w:r>
      <w:r w:rsidR="08AE54FE">
        <w:rPr>
          <w:lang w:eastAsia="en-US"/>
        </w:rPr>
        <w:t>OBJ II, kap. 2</w:t>
      </w:r>
      <w:r w:rsidR="08163013" w:rsidRPr="00273106">
        <w:rPr>
          <w:lang w:eastAsia="en-US"/>
        </w:rPr>
        <w:t xml:space="preserve">.4.2). Univerzální a plně oddělený </w:t>
      </w:r>
      <w:r w:rsidR="08163013" w:rsidRPr="00273106">
        <w:rPr>
          <w:i/>
          <w:lang w:eastAsia="en-US"/>
        </w:rPr>
        <w:t xml:space="preserve">intellectus possibilis </w:t>
      </w:r>
      <w:r w:rsidR="08163013" w:rsidRPr="00273106">
        <w:rPr>
          <w:lang w:eastAsia="en-US"/>
        </w:rPr>
        <w:t>vznikne abstrakcí na individuální výkon myšlení</w:t>
      </w:r>
      <w:r w:rsidR="08163013">
        <w:rPr>
          <w:lang w:eastAsia="en-US"/>
        </w:rPr>
        <w:t>. Jenže takový intelekt</w:t>
      </w:r>
      <w:r w:rsidR="08163013" w:rsidRPr="00273106">
        <w:rPr>
          <w:lang w:eastAsia="en-US"/>
        </w:rPr>
        <w:t xml:space="preserve"> </w:t>
      </w:r>
      <w:r w:rsidR="08163013">
        <w:rPr>
          <w:lang w:eastAsia="en-US"/>
        </w:rPr>
        <w:t xml:space="preserve">ve smyslu formálně dané entity </w:t>
      </w:r>
      <w:r w:rsidR="08163013" w:rsidRPr="00273106">
        <w:rPr>
          <w:lang w:eastAsia="en-US"/>
        </w:rPr>
        <w:t xml:space="preserve">má bytí pouze na úrovni univerzálních </w:t>
      </w:r>
      <w:r w:rsidR="00962190">
        <w:rPr>
          <w:i/>
          <w:lang w:eastAsia="en-US"/>
        </w:rPr>
        <w:t>species</w:t>
      </w:r>
      <w:r w:rsidR="08163013">
        <w:rPr>
          <w:lang w:eastAsia="en-US"/>
        </w:rPr>
        <w:t xml:space="preserve">. Intelekt jako </w:t>
      </w:r>
      <w:r w:rsidR="00962190">
        <w:rPr>
          <w:i/>
          <w:lang w:eastAsia="en-US"/>
        </w:rPr>
        <w:t>species</w:t>
      </w:r>
      <w:r w:rsidR="08163013">
        <w:rPr>
          <w:lang w:eastAsia="en-US"/>
        </w:rPr>
        <w:t xml:space="preserve"> nikdy nemůže být v tomto univerzálním způsobu bytí nějak aktuální, protože je čistým pojmem vytvořeným v procesu abstrakce dané vzhledem k reálnému úkonu myšlení</w:t>
      </w:r>
      <w:r w:rsidR="00C12127">
        <w:rPr>
          <w:lang w:eastAsia="en-US"/>
        </w:rPr>
        <w:t>.</w:t>
      </w:r>
    </w:p>
    <w:p w:rsidR="00DC6336" w:rsidRDefault="08163013" w:rsidP="00701ED4">
      <w:pPr>
        <w:ind w:firstLine="397"/>
        <w:rPr>
          <w:lang w:eastAsia="en-US"/>
        </w:rPr>
      </w:pPr>
      <w:r>
        <w:rPr>
          <w:lang w:eastAsia="en-US"/>
        </w:rPr>
        <w:t>Chyba Akvinského a dalších semiaverroistů z tábora prvního averroismu byla v tom, že udělali</w:t>
      </w:r>
      <w:r w:rsidRPr="00273106">
        <w:rPr>
          <w:lang w:eastAsia="en-US"/>
        </w:rPr>
        <w:t xml:space="preserve"> z </w:t>
      </w:r>
      <w:r>
        <w:rPr>
          <w:lang w:eastAsia="en-US"/>
        </w:rPr>
        <w:t xml:space="preserve">konceptuálně pojatého </w:t>
      </w:r>
      <w:r w:rsidRPr="00273106">
        <w:rPr>
          <w:i/>
          <w:lang w:eastAsia="en-US"/>
        </w:rPr>
        <w:t>intellectus possib</w:t>
      </w:r>
      <w:r>
        <w:rPr>
          <w:i/>
          <w:lang w:eastAsia="en-US"/>
        </w:rPr>
        <w:t>i</w:t>
      </w:r>
      <w:r w:rsidRPr="00273106">
        <w:rPr>
          <w:i/>
          <w:lang w:eastAsia="en-US"/>
        </w:rPr>
        <w:t>lis</w:t>
      </w:r>
      <w:r w:rsidRPr="00273106">
        <w:rPr>
          <w:lang w:eastAsia="en-US"/>
        </w:rPr>
        <w:t xml:space="preserve"> </w:t>
      </w:r>
      <w:r>
        <w:rPr>
          <w:lang w:eastAsia="en-US"/>
        </w:rPr>
        <w:t>kauzálně daný střední člen vědeckého poznávacího soudu, který zajišťuje člověku teologicky nutnou nesmrtelnost</w:t>
      </w:r>
      <w:r w:rsidRPr="00273106">
        <w:rPr>
          <w:lang w:eastAsia="en-US"/>
        </w:rPr>
        <w:t xml:space="preserve">. </w:t>
      </w:r>
      <w:r>
        <w:rPr>
          <w:lang w:eastAsia="en-US"/>
        </w:rPr>
        <w:t xml:space="preserve">K tomu sofisticky využili porretánskou dedukci v modu </w:t>
      </w:r>
      <w:r w:rsidRPr="089B7570">
        <w:rPr>
          <w:i/>
          <w:lang w:eastAsia="en-US"/>
        </w:rPr>
        <w:t>semel</w:t>
      </w:r>
      <w:r>
        <w:rPr>
          <w:lang w:eastAsia="en-US"/>
        </w:rPr>
        <w:t>‒</w:t>
      </w:r>
      <w:r w:rsidRPr="089B7570">
        <w:rPr>
          <w:i/>
          <w:lang w:eastAsia="en-US"/>
        </w:rPr>
        <w:t>semper</w:t>
      </w:r>
      <w:r>
        <w:rPr>
          <w:i/>
          <w:lang w:eastAsia="en-US"/>
        </w:rPr>
        <w:fldChar w:fldCharType="begin"/>
      </w:r>
      <w:r>
        <w:instrText xml:space="preserve"> XE "predikace:</w:instrText>
      </w:r>
      <w:r w:rsidRPr="083336F6">
        <w:rPr>
          <w:i/>
          <w:lang w:eastAsia="en-US"/>
        </w:rPr>
        <w:instrText>semel</w:instrText>
      </w:r>
      <w:r w:rsidRPr="083336F6">
        <w:rPr>
          <w:lang w:eastAsia="en-US"/>
        </w:rPr>
        <w:instrText>‒</w:instrText>
      </w:r>
      <w:r w:rsidRPr="083336F6">
        <w:rPr>
          <w:i/>
          <w:lang w:eastAsia="en-US"/>
        </w:rPr>
        <w:instrText>semper</w:instrText>
      </w:r>
      <w:r>
        <w:instrText xml:space="preserve">" </w:instrText>
      </w:r>
      <w:r>
        <w:rPr>
          <w:i/>
          <w:lang w:eastAsia="en-US"/>
        </w:rPr>
        <w:fldChar w:fldCharType="end"/>
      </w:r>
      <w:r>
        <w:rPr>
          <w:lang w:eastAsia="en-US"/>
        </w:rPr>
        <w:t xml:space="preserve"> a přešli z metafyzické abstrakce do logického dokazování podle </w:t>
      </w:r>
      <w:r>
        <w:rPr>
          <w:i/>
          <w:lang w:eastAsia="en-US"/>
        </w:rPr>
        <w:t>Oxf</w:t>
      </w:r>
      <w:r w:rsidRPr="00F14EA0">
        <w:rPr>
          <w:i/>
          <w:lang w:eastAsia="en-US"/>
        </w:rPr>
        <w:t>o</w:t>
      </w:r>
      <w:r>
        <w:rPr>
          <w:i/>
          <w:lang w:eastAsia="en-US"/>
        </w:rPr>
        <w:t>r</w:t>
      </w:r>
      <w:r w:rsidRPr="00F14EA0">
        <w:rPr>
          <w:i/>
          <w:lang w:eastAsia="en-US"/>
        </w:rPr>
        <w:t>dian Fallacy</w:t>
      </w:r>
      <w:r>
        <w:rPr>
          <w:lang w:eastAsia="en-US"/>
        </w:rPr>
        <w:t>. Esenciální definice dostala kauzální statut první substance, kterou podle Sigera má pouze jednotlivá osoba (</w:t>
      </w:r>
      <w:r>
        <w:rPr>
          <w:i/>
          <w:lang w:eastAsia="en-US"/>
        </w:rPr>
        <w:t>homo ipse intelligit</w:t>
      </w:r>
      <w:r>
        <w:rPr>
          <w:i/>
          <w:lang w:eastAsia="en-US"/>
        </w:rPr>
        <w:fldChar w:fldCharType="begin"/>
      </w:r>
      <w:r>
        <w:instrText xml:space="preserve"> XE "</w:instrText>
      </w:r>
      <w:r w:rsidRPr="00B935DC">
        <w:rPr>
          <w:rStyle w:val="Zkladntext350"/>
        </w:rPr>
        <w:instrText>osoba</w:instrText>
      </w:r>
      <w:r w:rsidRPr="00B935DC">
        <w:rPr>
          <w:rStyle w:val="Zkladntext350"/>
          <w:i/>
        </w:rPr>
        <w:instrText>:</w:instrText>
      </w:r>
      <w:r>
        <w:rPr>
          <w:rStyle w:val="Zkladntext350"/>
          <w:i/>
        </w:rPr>
        <w:instrText>homo ipse intelligit</w:instrText>
      </w:r>
      <w:r>
        <w:instrText xml:space="preserve">" </w:instrText>
      </w:r>
      <w:r>
        <w:rPr>
          <w:i/>
          <w:lang w:eastAsia="en-US"/>
        </w:rPr>
        <w:fldChar w:fldCharType="end"/>
      </w:r>
      <w:r>
        <w:rPr>
          <w:lang w:eastAsia="en-US"/>
        </w:rPr>
        <w:t xml:space="preserve">). Osoba je smrtelná, ale myslí nemateriálním způsobem a může poznat vše. V modu kauzality může poznat i své nemateriální myšlení, ale niklovi svou nesmrtelnost, protože ta je dána jen jako teologický postulát v modu esence a konceptu daného pouze v mysli. Pravdivost teze o nesmrtelnosti duše zajišťuje rodově odlišná věda, protože filosofie nemá možnost univoční predikace nesmrtelné duše z hyparchicky dané kauzality. Status duše před narozením a po smrti </w:t>
      </w:r>
      <w:r w:rsidR="08333ECD">
        <w:rPr>
          <w:lang w:eastAsia="en-US"/>
        </w:rPr>
        <w:lastRenderedPageBreak/>
        <w:t xml:space="preserve">nemůže aristotelská </w:t>
      </w:r>
      <w:r>
        <w:rPr>
          <w:lang w:eastAsia="en-US"/>
        </w:rPr>
        <w:t xml:space="preserve">filosofie vědecky zkoumat, protože k tomu chybí fenomenálně daná kauzalita na první substanci. Ale z pozice správně definovaného intelektu lze k nesmrtelnosti duše udělat </w:t>
      </w:r>
      <w:r w:rsidR="00B63115">
        <w:rPr>
          <w:lang w:eastAsia="en-US"/>
        </w:rPr>
        <w:t xml:space="preserve">logicky správné </w:t>
      </w:r>
      <w:r>
        <w:rPr>
          <w:lang w:eastAsia="en-US"/>
        </w:rPr>
        <w:t xml:space="preserve">závěry, které ovšem zůstávají mimo status filosofie jako přísné vědy podle </w:t>
      </w:r>
      <w:r w:rsidRPr="08361A51">
        <w:rPr>
          <w:i/>
          <w:lang w:eastAsia="en-US"/>
        </w:rPr>
        <w:t>Druhých analytik</w:t>
      </w:r>
      <w:r>
        <w:rPr>
          <w:lang w:eastAsia="en-US"/>
        </w:rPr>
        <w:t xml:space="preserve">. Proto je oddělení filosofie a teologie jako dvou univočně </w:t>
      </w:r>
      <w:r w:rsidR="001171D0">
        <w:rPr>
          <w:lang w:eastAsia="en-US"/>
        </w:rPr>
        <w:t xml:space="preserve">definovaných </w:t>
      </w:r>
      <w:r>
        <w:rPr>
          <w:lang w:eastAsia="en-US"/>
        </w:rPr>
        <w:t xml:space="preserve">věd naprosto nezbytné. </w:t>
      </w:r>
      <w:r w:rsidR="00E230DC">
        <w:rPr>
          <w:lang w:eastAsia="en-US"/>
        </w:rPr>
        <w:t>Debata od důkazu věčnosti duše má formálně stejný charakter jako debata o věčnosti nebo stvoření světa. Logicky může být obhájena jak věčnost duše, tak věčnost bohem stvořeného světa, ale pouze v řádu logicky správně nebo chybně vytvořených hypostéz.</w:t>
      </w:r>
      <w:r w:rsidR="00007BBF">
        <w:rPr>
          <w:lang w:eastAsia="en-US"/>
        </w:rPr>
        <w:t xml:space="preserve"> </w:t>
      </w:r>
      <w:r>
        <w:rPr>
          <w:lang w:eastAsia="en-US"/>
        </w:rPr>
        <w:t>Kritický filosof postupující vědecky spekuluje o jevech daných mimo kauzalitu pouze v řádu dialektické abstrakce. Siger tak postupoval v otázce věčnosti světa a duše vylučovacím soudem proti Augustinovi (</w:t>
      </w:r>
      <w:r w:rsidRPr="00273106">
        <w:rPr>
          <w:i/>
        </w:rPr>
        <w:t>si igitur credatur Aristoteli, planum est quod non est credendum Augustino</w:t>
      </w:r>
      <w:r w:rsidR="082379A2">
        <w:t>, kap. 4</w:t>
      </w:r>
      <w:r>
        <w:t>.4.1</w:t>
      </w:r>
      <w:r>
        <w:rPr>
          <w:lang w:eastAsia="en-US"/>
        </w:rPr>
        <w:t xml:space="preserve">). Spekulace není vědecký důkaz a kritická metafyzika je přísná věda. </w:t>
      </w:r>
      <w:r>
        <w:t>Siger zdůrazňuje v QIIIDA, že p</w:t>
      </w:r>
      <w:r w:rsidRPr="00273106">
        <w:t xml:space="preserve">odstata duše není hned zjevná (οὐδέν πω φανερόν, </w:t>
      </w:r>
      <w:r>
        <w:rPr>
          <w:i/>
        </w:rPr>
        <w:t>De anima</w:t>
      </w:r>
      <w:r w:rsidRPr="00273106">
        <w:t xml:space="preserve"> 413b25</w:t>
      </w:r>
      <w:r>
        <w:fldChar w:fldCharType="begin"/>
      </w:r>
      <w:r>
        <w:instrText xml:space="preserve"> XE "</w:instrText>
      </w:r>
      <w:r>
        <w:rPr>
          <w:i/>
        </w:rPr>
        <w:instrText>Aristoteles</w:instrText>
      </w:r>
      <w:r w:rsidRPr="00043415">
        <w:rPr>
          <w:i/>
        </w:rPr>
        <w:instrText>:De anima</w:instrText>
      </w:r>
      <w:r w:rsidRPr="00043415">
        <w:instrText xml:space="preserve"> 413b25</w:instrText>
      </w:r>
      <w:r>
        <w:instrText xml:space="preserve">" </w:instrText>
      </w:r>
      <w:r>
        <w:fldChar w:fldCharType="end"/>
      </w:r>
      <w:r w:rsidRPr="00273106">
        <w:t>)</w:t>
      </w:r>
      <w:r>
        <w:t xml:space="preserve">, proto je nutné vyjít z argumentace </w:t>
      </w:r>
      <w:r w:rsidRPr="00273106">
        <w:t>CMDA</w:t>
      </w:r>
      <w:r>
        <w:t xml:space="preserve">. Averroes po Aristotelovi </w:t>
      </w:r>
      <w:r w:rsidRPr="00273106">
        <w:t>tematiz</w:t>
      </w:r>
      <w:r>
        <w:t xml:space="preserve">uje </w:t>
      </w:r>
      <w:r w:rsidRPr="00273106">
        <w:t>hermeneutické „</w:t>
      </w:r>
      <w:r>
        <w:t>jak“ poznáváme, jež určuje základní metodický postup při poznání intelektu (</w:t>
      </w:r>
      <w:r w:rsidRPr="00273106">
        <w:t xml:space="preserve">πῶς ποτὲ γίνεται τὸ νοεῖν, </w:t>
      </w:r>
      <w:r>
        <w:rPr>
          <w:i/>
        </w:rPr>
        <w:t>De anima</w:t>
      </w:r>
      <w:r w:rsidRPr="00273106">
        <w:t xml:space="preserve"> 439a13</w:t>
      </w:r>
      <w:r>
        <w:fldChar w:fldCharType="begin"/>
      </w:r>
      <w:r>
        <w:instrText xml:space="preserve"> XE "</w:instrText>
      </w:r>
      <w:r>
        <w:rPr>
          <w:i/>
        </w:rPr>
        <w:instrText>Aristoteles</w:instrText>
      </w:r>
      <w:r w:rsidRPr="00043415">
        <w:rPr>
          <w:i/>
        </w:rPr>
        <w:instrText>:De anima</w:instrText>
      </w:r>
      <w:r>
        <w:instrText xml:space="preserve"> 439a13" </w:instrText>
      </w:r>
      <w:r>
        <w:fldChar w:fldCharType="end"/>
      </w:r>
      <w:r>
        <w:rPr>
          <w:iCs/>
        </w:rPr>
        <w:t>)</w:t>
      </w:r>
      <w:r w:rsidRPr="00273106">
        <w:rPr>
          <w:i/>
          <w:iCs/>
        </w:rPr>
        <w:t>.</w:t>
      </w:r>
      <w:r>
        <w:rPr>
          <w:iCs/>
        </w:rPr>
        <w:t xml:space="preserve"> </w:t>
      </w:r>
      <w:r>
        <w:rPr>
          <w:lang w:eastAsia="en-US"/>
        </w:rPr>
        <w:t xml:space="preserve">Spor mezi Sigerem a Akvinským jasně ukazuje pozadí dekretu magistrů z dubna roku 1272. Tento poslední vskutku scholastický dekret Pařížské univerzity hájil v modu Sokratovy </w:t>
      </w:r>
      <w:r>
        <w:t>σχολή</w:t>
      </w:r>
      <w:r w:rsidR="08C9680E">
        <w:fldChar w:fldCharType="begin"/>
      </w:r>
      <w:r w:rsidR="08C9680E">
        <w:instrText xml:space="preserve"> XE "</w:instrText>
      </w:r>
      <w:r w:rsidR="08C9680E" w:rsidRPr="08C9680E">
        <w:rPr>
          <w:i/>
        </w:rPr>
        <w:instrText>scholé</w:instrText>
      </w:r>
      <w:r w:rsidR="08C9680E">
        <w:instrText xml:space="preserve">" </w:instrText>
      </w:r>
      <w:r w:rsidR="08C9680E">
        <w:fldChar w:fldCharType="end"/>
      </w:r>
      <w:r>
        <w:t xml:space="preserve"> (</w:t>
      </w:r>
      <w:r w:rsidRPr="08BA5E10">
        <w:rPr>
          <w:i/>
        </w:rPr>
        <w:t>Theait</w:t>
      </w:r>
      <w:r>
        <w:t>. 172d4‒9</w:t>
      </w:r>
      <w:r>
        <w:fldChar w:fldCharType="begin"/>
      </w:r>
      <w:r>
        <w:instrText xml:space="preserve"> XE "Platon:</w:instrText>
      </w:r>
      <w:r w:rsidRPr="08BF5940">
        <w:rPr>
          <w:i/>
        </w:rPr>
        <w:instrText>Theait</w:instrText>
      </w:r>
      <w:r w:rsidRPr="08BF5940">
        <w:instrText>. 172d4‒9</w:instrText>
      </w:r>
      <w:r>
        <w:instrText xml:space="preserve">" </w:instrText>
      </w:r>
      <w:r>
        <w:fldChar w:fldCharType="end"/>
      </w:r>
      <w:r>
        <w:t xml:space="preserve">) </w:t>
      </w:r>
      <w:r>
        <w:rPr>
          <w:lang w:eastAsia="en-US"/>
        </w:rPr>
        <w:t xml:space="preserve">jednotu kritického vědeckého myšlení v oboru dvou cest k jedné metafyzické pravdě zkoumané jednotnou osobou. Kritické myšlení filosofie jako první vědy padlo díky útoku filosoficky </w:t>
      </w:r>
      <w:r w:rsidR="082E212E">
        <w:rPr>
          <w:lang w:eastAsia="en-US"/>
        </w:rPr>
        <w:t xml:space="preserve">nesvobodných </w:t>
      </w:r>
      <w:r>
        <w:rPr>
          <w:lang w:eastAsia="en-US"/>
        </w:rPr>
        <w:t xml:space="preserve">modernistů. Ti nepotřebují </w:t>
      </w:r>
      <w:r w:rsidRPr="08262D2C">
        <w:rPr>
          <w:i/>
          <w:lang w:eastAsia="en-US"/>
        </w:rPr>
        <w:t>scholé</w:t>
      </w:r>
      <w:r>
        <w:rPr>
          <w:lang w:eastAsia="en-US"/>
        </w:rPr>
        <w:t xml:space="preserve"> ke hledání pravdy (</w:t>
      </w:r>
      <w:r>
        <w:t>ἐν ἀσχολίᾳ λέγουσι</w:t>
      </w:r>
      <w:r w:rsidR="002809FB">
        <w:t xml:space="preserve">, </w:t>
      </w:r>
      <w:r w:rsidR="002809FB" w:rsidRPr="08BA5E10">
        <w:rPr>
          <w:i/>
        </w:rPr>
        <w:t>Theait</w:t>
      </w:r>
      <w:r w:rsidR="002809FB">
        <w:t>. 172d9</w:t>
      </w:r>
      <w:r w:rsidR="002809FB">
        <w:fldChar w:fldCharType="begin"/>
      </w:r>
      <w:r w:rsidR="002809FB">
        <w:instrText xml:space="preserve"> XE "Platon:</w:instrText>
      </w:r>
      <w:r w:rsidR="002809FB" w:rsidRPr="08BF5940">
        <w:rPr>
          <w:i/>
        </w:rPr>
        <w:instrText>Theait</w:instrText>
      </w:r>
      <w:r w:rsidR="002809FB" w:rsidRPr="08BF5940">
        <w:instrText>. 172d9</w:instrText>
      </w:r>
      <w:r w:rsidR="002809FB">
        <w:instrText xml:space="preserve">" </w:instrText>
      </w:r>
      <w:r w:rsidR="002809FB">
        <w:fldChar w:fldCharType="end"/>
      </w:r>
      <w:r>
        <w:rPr>
          <w:lang w:eastAsia="en-US"/>
        </w:rPr>
        <w:t>), protože je pohání teologické úkoly dané obranou nesmrtelné duše, a ne trpělivé hledá</w:t>
      </w:r>
      <w:r w:rsidR="002809FB">
        <w:rPr>
          <w:lang w:eastAsia="en-US"/>
        </w:rPr>
        <w:t>ní pravdy o bytí osoby</w:t>
      </w:r>
      <w:r>
        <w:rPr>
          <w:lang w:eastAsia="en-US"/>
        </w:rPr>
        <w:t xml:space="preserve">. Ilumináti drží pravdu jako asimilaci již nazíraného vědění certifikovaného v sebereflexivním modu </w:t>
      </w:r>
      <w:r w:rsidRPr="08D76E42">
        <w:rPr>
          <w:i/>
          <w:lang w:eastAsia="en-US"/>
        </w:rPr>
        <w:t>certitudo</w:t>
      </w:r>
      <w:r>
        <w:rPr>
          <w:lang w:eastAsia="en-US"/>
        </w:rPr>
        <w:t xml:space="preserve"> a </w:t>
      </w:r>
      <w:r w:rsidRPr="08D76E42">
        <w:rPr>
          <w:i/>
          <w:lang w:eastAsia="en-US"/>
        </w:rPr>
        <w:t>rectitudo</w:t>
      </w:r>
      <w:r>
        <w:rPr>
          <w:lang w:eastAsia="en-US"/>
        </w:rPr>
        <w:t xml:space="preserve"> skrze tehdy fungujícího boha </w:t>
      </w:r>
      <w:r w:rsidRPr="08D76E42">
        <w:rPr>
          <w:i/>
          <w:lang w:eastAsia="en-US"/>
        </w:rPr>
        <w:t>Modernorum</w:t>
      </w:r>
      <w:r>
        <w:rPr>
          <w:lang w:eastAsia="en-US"/>
        </w:rPr>
        <w:t>. Ve věku antischolastické postmoderny, kdy čas jsou jen peníze a moc spravovaná instrumentální logistikou, nakonec zanikla i Pařížská univerzita. Univerzitu nemůže řídit jen kalkulativní intelekt (</w:t>
      </w:r>
      <w:r>
        <w:t>τὸ λογιστικόν</w:t>
      </w:r>
      <w:r>
        <w:rPr>
          <w:lang w:eastAsia="en-US"/>
        </w:rPr>
        <w:t xml:space="preserve">), jehož předmětem je pouze proměnlivé dění, ale </w:t>
      </w:r>
      <w:r w:rsidR="00AF43A7">
        <w:rPr>
          <w:lang w:eastAsia="en-US"/>
        </w:rPr>
        <w:t xml:space="preserve">ne </w:t>
      </w:r>
      <w:r>
        <w:rPr>
          <w:lang w:eastAsia="en-US"/>
        </w:rPr>
        <w:t xml:space="preserve">náhled do dějinně </w:t>
      </w:r>
      <w:r w:rsidR="00AF43A7">
        <w:rPr>
          <w:lang w:eastAsia="en-US"/>
        </w:rPr>
        <w:t xml:space="preserve">dané </w:t>
      </w:r>
      <w:r>
        <w:rPr>
          <w:lang w:eastAsia="en-US"/>
        </w:rPr>
        <w:t>pravd</w:t>
      </w:r>
      <w:r w:rsidR="00AF43A7">
        <w:rPr>
          <w:lang w:eastAsia="en-US"/>
        </w:rPr>
        <w:t xml:space="preserve">y vědy </w:t>
      </w:r>
      <w:r>
        <w:rPr>
          <w:lang w:eastAsia="en-US"/>
        </w:rPr>
        <w:t>(</w:t>
      </w:r>
      <w:r>
        <w:t>τὸ ἐπιστημονικὸν, E.N. 1139a12</w:t>
      </w:r>
      <w:r>
        <w:fldChar w:fldCharType="begin"/>
      </w:r>
      <w:r>
        <w:instrText xml:space="preserve"> XE "</w:instrText>
      </w:r>
      <w:proofErr w:type="gramStart"/>
      <w:r>
        <w:instrText>Aristoteles:</w:instrText>
      </w:r>
      <w:r w:rsidRPr="086E53F0">
        <w:instrText>E.N.</w:instrText>
      </w:r>
      <w:proofErr w:type="gramEnd"/>
      <w:r w:rsidRPr="086E53F0">
        <w:instrText xml:space="preserve"> 1139a12</w:instrText>
      </w:r>
      <w:r>
        <w:instrText xml:space="preserve">" </w:instrText>
      </w:r>
      <w:r>
        <w:fldChar w:fldCharType="end"/>
      </w:r>
      <w:r>
        <w:rPr>
          <w:lang w:eastAsia="en-US"/>
        </w:rPr>
        <w:t xml:space="preserve">). Nikoliv konjukturální modernisté a dogmatik Akvinský, ale magistři Rue du Fouarre hájili nezávislost kritického myšlení proti sofistům všeho druhu. </w:t>
      </w:r>
      <w:r>
        <w:lastRenderedPageBreak/>
        <w:t>Tomistický i</w:t>
      </w:r>
      <w:r>
        <w:rPr>
          <w:lang w:eastAsia="en-US"/>
        </w:rPr>
        <w:t xml:space="preserve">ntelekt daný jako hypostázovaná forma tvoří specifické </w:t>
      </w:r>
      <w:r w:rsidRPr="00273106">
        <w:rPr>
          <w:i/>
          <w:lang w:eastAsia="en-US"/>
        </w:rPr>
        <w:t>hoc aliquid</w:t>
      </w:r>
      <w:r>
        <w:rPr>
          <w:lang w:eastAsia="en-US"/>
        </w:rPr>
        <w:t>, které potřebují noví křesťanští aristotelikové pro zajištění nesmrtelnosti duše</w:t>
      </w:r>
      <w:r>
        <w:rPr>
          <w:i/>
          <w:lang w:eastAsia="en-US"/>
        </w:rPr>
        <w:fldChar w:fldCharType="begin"/>
      </w:r>
      <w:r>
        <w:instrText xml:space="preserve"> XE "</w:instrText>
      </w:r>
      <w:r w:rsidRPr="00D80F84">
        <w:rPr>
          <w:i/>
        </w:rPr>
        <w:instrText>tertium genus</w:instrText>
      </w:r>
      <w:r>
        <w:instrText xml:space="preserve">" </w:instrText>
      </w:r>
      <w:r>
        <w:rPr>
          <w:i/>
          <w:lang w:eastAsia="en-US"/>
        </w:rPr>
        <w:fldChar w:fldCharType="end"/>
      </w:r>
      <w:r>
        <w:rPr>
          <w:lang w:eastAsia="en-US"/>
        </w:rPr>
        <w:t xml:space="preserve">. Tuto pozici modernistů a tomistů přesně viděl a konstatoval výše citovaný Bacon </w:t>
      </w:r>
      <w:r w:rsidRPr="00273106">
        <w:t>(</w:t>
      </w:r>
      <w:r w:rsidRPr="00273106">
        <w:rPr>
          <w:i/>
        </w:rPr>
        <w:t>philosophia dominatur in usu theologiam</w:t>
      </w:r>
      <w:r w:rsidR="087D38EB">
        <w:t xml:space="preserve">; OBJ II, </w:t>
      </w:r>
      <w:r w:rsidRPr="00A50106">
        <w:t>kap</w:t>
      </w:r>
      <w:r>
        <w:t>.</w:t>
      </w:r>
      <w:r w:rsidR="087D38EB">
        <w:t xml:space="preserve"> 3</w:t>
      </w:r>
      <w:r w:rsidRPr="00A50106">
        <w:t>.4.3</w:t>
      </w:r>
      <w:r w:rsidRPr="00273106">
        <w:t>)</w:t>
      </w:r>
      <w:r>
        <w:t xml:space="preserve">. </w:t>
      </w:r>
      <w:r>
        <w:rPr>
          <w:lang w:eastAsia="en-US"/>
        </w:rPr>
        <w:t xml:space="preserve">Rozhodnutí pařížských artistů z 1. dubna 1272 tento postup odmítlo a </w:t>
      </w:r>
      <w:r>
        <w:rPr>
          <w:szCs w:val="24"/>
        </w:rPr>
        <w:fldChar w:fldCharType="begin"/>
      </w:r>
      <w:r>
        <w:instrText xml:space="preserve"> XE "</w:instrText>
      </w:r>
      <w:r w:rsidRPr="00FD37CA">
        <w:rPr>
          <w:szCs w:val="24"/>
        </w:rPr>
        <w:instrText>dekret artistů 1272</w:instrText>
      </w:r>
      <w:r>
        <w:instrText xml:space="preserve">" </w:instrText>
      </w:r>
      <w:r>
        <w:rPr>
          <w:szCs w:val="24"/>
        </w:rPr>
        <w:fldChar w:fldCharType="end"/>
      </w:r>
      <w:r>
        <w:rPr>
          <w:szCs w:val="24"/>
        </w:rPr>
        <w:t xml:space="preserve">kriticky </w:t>
      </w:r>
      <w:r>
        <w:rPr>
          <w:lang w:eastAsia="en-US"/>
        </w:rPr>
        <w:t>oddělilo zkoumání teologie od filosofie kvůli jejich rodově dané odlišnosti. Odlišný statut teologie a filosofie nedovoluje vytvořit univoční střední člen soudu</w:t>
      </w:r>
      <w:r w:rsidR="00701ED4">
        <w:rPr>
          <w:lang w:eastAsia="en-US"/>
        </w:rPr>
        <w:t xml:space="preserve">. </w:t>
      </w:r>
      <w:r w:rsidR="08C5127B">
        <w:rPr>
          <w:lang w:eastAsia="en-US"/>
        </w:rPr>
        <w:t>E</w:t>
      </w:r>
      <w:r>
        <w:rPr>
          <w:lang w:eastAsia="en-US"/>
        </w:rPr>
        <w:t xml:space="preserve">senciální definice duše nutná pro zajištění nesmrtelnosti </w:t>
      </w:r>
      <w:r w:rsidRPr="00273106">
        <w:rPr>
          <w:lang w:eastAsia="en-US"/>
        </w:rPr>
        <w:t>charakter</w:t>
      </w:r>
      <w:r>
        <w:rPr>
          <w:lang w:eastAsia="en-US"/>
        </w:rPr>
        <w:t xml:space="preserve">izuje </w:t>
      </w:r>
      <w:r w:rsidRPr="00273106">
        <w:rPr>
          <w:lang w:eastAsia="en-US"/>
        </w:rPr>
        <w:t>identit</w:t>
      </w:r>
      <w:r>
        <w:rPr>
          <w:lang w:eastAsia="en-US"/>
        </w:rPr>
        <w:t xml:space="preserve">u myšlení a intelektu jen </w:t>
      </w:r>
      <w:r w:rsidRPr="00273106">
        <w:rPr>
          <w:lang w:eastAsia="en-US"/>
        </w:rPr>
        <w:t>v rámci</w:t>
      </w:r>
      <w:r>
        <w:rPr>
          <w:lang w:eastAsia="en-US"/>
        </w:rPr>
        <w:t xml:space="preserve"> esence</w:t>
      </w:r>
      <w:r w:rsidR="08C5127B">
        <w:rPr>
          <w:lang w:eastAsia="en-US"/>
        </w:rPr>
        <w:t xml:space="preserve">. To je platný důkaz </w:t>
      </w:r>
      <w:r>
        <w:rPr>
          <w:lang w:eastAsia="en-US"/>
        </w:rPr>
        <w:t xml:space="preserve">z hlediska aristotelské vědy pouze v rámci hypotetického vědeckého důkazu daného </w:t>
      </w:r>
      <w:r w:rsidRPr="08AE32A6">
        <w:rPr>
          <w:i/>
          <w:lang w:eastAsia="en-US"/>
        </w:rPr>
        <w:t>simpliciter</w:t>
      </w:r>
      <w:r>
        <w:t xml:space="preserve">. </w:t>
      </w:r>
      <w:r w:rsidR="00D635EA">
        <w:t>Jenže takový důkaz je dán v modu logické supozice „</w:t>
      </w:r>
      <w:r w:rsidR="00D635EA" w:rsidRPr="00D635EA">
        <w:rPr>
          <w:i/>
        </w:rPr>
        <w:t>secundum simpliciter</w:t>
      </w:r>
      <w:r w:rsidR="00D635EA">
        <w:t>“, a ne v rámci kauzálně určené impozice v modu „</w:t>
      </w:r>
      <w:r w:rsidR="00D635EA" w:rsidRPr="00D635EA">
        <w:rPr>
          <w:i/>
        </w:rPr>
        <w:t>secundum quod</w:t>
      </w:r>
      <w:r w:rsidR="00D635EA">
        <w:t xml:space="preserve">“. </w:t>
      </w:r>
      <w:r>
        <w:rPr>
          <w:lang w:eastAsia="en-US"/>
        </w:rPr>
        <w:t>Teologické postuláty nemohou ve vědeckém soudu suplovat reálnou kauzalitu danou pouze ve fenomenogickém principu zakoušení vlastního intelektu (</w:t>
      </w:r>
      <w:r w:rsidRPr="00E57B40">
        <w:rPr>
          <w:i/>
          <w:lang w:eastAsia="en-US"/>
        </w:rPr>
        <w:t>conscii sumus</w:t>
      </w:r>
      <w:r>
        <w:rPr>
          <w:lang w:eastAsia="en-US"/>
        </w:rPr>
        <w:t>) v jeho výkonu daném od smyslů (</w:t>
      </w:r>
      <w:r w:rsidRPr="00E57B40">
        <w:rPr>
          <w:i/>
          <w:lang w:eastAsia="en-US"/>
        </w:rPr>
        <w:t>experimur</w:t>
      </w:r>
      <w:r>
        <w:rPr>
          <w:lang w:eastAsia="en-US"/>
        </w:rPr>
        <w:t>)</w:t>
      </w:r>
      <w:r w:rsidRPr="00273106">
        <w:rPr>
          <w:lang w:eastAsia="en-US"/>
        </w:rPr>
        <w:t xml:space="preserve">. </w:t>
      </w:r>
      <w:r>
        <w:rPr>
          <w:lang w:eastAsia="en-US"/>
        </w:rPr>
        <w:t xml:space="preserve">Zda a jak je věčnost duše dána jinak, to je otázka zjevené teologie a ne racionální filosofie. Pouze a jedině ipseita </w:t>
      </w:r>
      <w:r w:rsidRPr="00273106">
        <w:rPr>
          <w:i/>
          <w:lang w:eastAsia="en-US"/>
        </w:rPr>
        <w:t>intellectus possibilis</w:t>
      </w:r>
      <w:r w:rsidRPr="00273106">
        <w:rPr>
          <w:lang w:eastAsia="en-US"/>
        </w:rPr>
        <w:t xml:space="preserve"> </w:t>
      </w:r>
      <w:r>
        <w:rPr>
          <w:lang w:eastAsia="en-US"/>
        </w:rPr>
        <w:t xml:space="preserve">daná jako poznávací potence v rámci </w:t>
      </w:r>
      <w:r w:rsidRPr="00E57B40">
        <w:rPr>
          <w:i/>
          <w:lang w:eastAsia="en-US"/>
        </w:rPr>
        <w:t>tertium</w:t>
      </w:r>
      <w:r>
        <w:rPr>
          <w:lang w:eastAsia="en-US"/>
        </w:rPr>
        <w:t xml:space="preserve"> </w:t>
      </w:r>
      <w:r w:rsidR="00962190">
        <w:rPr>
          <w:i/>
          <w:lang w:eastAsia="en-US"/>
        </w:rPr>
        <w:t>genus</w:t>
      </w:r>
      <w:r>
        <w:rPr>
          <w:lang w:eastAsia="en-US"/>
        </w:rPr>
        <w:t xml:space="preserve"> v CMDA zajišťuje důkaz o nemateriální (ale ne věčné) povaze </w:t>
      </w:r>
      <w:r w:rsidRPr="08DF2AE5">
        <w:rPr>
          <w:i/>
          <w:lang w:eastAsia="en-US"/>
        </w:rPr>
        <w:t>anima intellectiva</w:t>
      </w:r>
      <w:r>
        <w:rPr>
          <w:lang w:eastAsia="en-US"/>
        </w:rPr>
        <w:t xml:space="preserve"> </w:t>
      </w:r>
      <w:r>
        <w:t xml:space="preserve">v modu </w:t>
      </w:r>
      <w:r w:rsidR="00D635EA">
        <w:t>„</w:t>
      </w:r>
      <w:r w:rsidR="088E1A13">
        <w:rPr>
          <w:i/>
        </w:rPr>
        <w:t>ex in</w:t>
      </w:r>
      <w:r w:rsidRPr="082031CB">
        <w:rPr>
          <w:i/>
        </w:rPr>
        <w:t>meditatis</w:t>
      </w:r>
      <w:r w:rsidR="00D635EA">
        <w:t>“</w:t>
      </w:r>
      <w:r>
        <w:t xml:space="preserve">. Hyparchické zkoumání existence osoby </w:t>
      </w:r>
      <w:r w:rsidRPr="00273106">
        <w:rPr>
          <w:lang w:eastAsia="en-US"/>
        </w:rPr>
        <w:t xml:space="preserve">odlišuje </w:t>
      </w:r>
      <w:r>
        <w:rPr>
          <w:lang w:eastAsia="en-US"/>
        </w:rPr>
        <w:t xml:space="preserve">takto definovaný lidský intelekt </w:t>
      </w:r>
      <w:r w:rsidRPr="00273106">
        <w:rPr>
          <w:lang w:eastAsia="en-US"/>
        </w:rPr>
        <w:t xml:space="preserve">jak od </w:t>
      </w:r>
      <w:r>
        <w:rPr>
          <w:lang w:eastAsia="en-US"/>
        </w:rPr>
        <w:t>univerzálně-specifického pojetí intelektu (</w:t>
      </w:r>
      <w:r w:rsidRPr="00E57B40">
        <w:rPr>
          <w:i/>
          <w:lang w:eastAsia="en-US"/>
        </w:rPr>
        <w:t xml:space="preserve">quartum </w:t>
      </w:r>
      <w:r w:rsidR="00962190">
        <w:rPr>
          <w:i/>
          <w:lang w:eastAsia="en-US"/>
        </w:rPr>
        <w:t>genus</w:t>
      </w:r>
      <w:r>
        <w:rPr>
          <w:lang w:eastAsia="en-US"/>
        </w:rPr>
        <w:t xml:space="preserve">), tak </w:t>
      </w:r>
      <w:r w:rsidRPr="00273106">
        <w:rPr>
          <w:lang w:eastAsia="en-US"/>
        </w:rPr>
        <w:t>od zcela autonomního činného intelektu kosmických sfér</w:t>
      </w:r>
      <w:r>
        <w:rPr>
          <w:lang w:eastAsia="en-US"/>
        </w:rPr>
        <w:t xml:space="preserve">. Kosmický </w:t>
      </w:r>
      <w:r w:rsidRPr="00E57B40">
        <w:rPr>
          <w:i/>
          <w:lang w:eastAsia="en-US"/>
        </w:rPr>
        <w:t>intellectus agens</w:t>
      </w:r>
      <w:r>
        <w:rPr>
          <w:i/>
          <w:lang w:eastAsia="en-US"/>
        </w:rPr>
        <w:fldChar w:fldCharType="begin"/>
      </w:r>
      <w:r>
        <w:instrText xml:space="preserve"> XE "</w:instrText>
      </w:r>
      <w:r w:rsidRPr="00490D32">
        <w:rPr>
          <w:i/>
        </w:rPr>
        <w:instrText>intellectus agens:</w:instrText>
      </w:r>
      <w:r w:rsidRPr="00490D32">
        <w:instrText>neoplatonismus</w:instrText>
      </w:r>
      <w:r>
        <w:instrText xml:space="preserve">" </w:instrText>
      </w:r>
      <w:r>
        <w:rPr>
          <w:i/>
          <w:lang w:eastAsia="en-US"/>
        </w:rPr>
        <w:fldChar w:fldCharType="end"/>
      </w:r>
      <w:r>
        <w:rPr>
          <w:lang w:eastAsia="en-US"/>
        </w:rPr>
        <w:t xml:space="preserve"> </w:t>
      </w:r>
      <w:r w:rsidRPr="00273106">
        <w:rPr>
          <w:lang w:eastAsia="en-US"/>
        </w:rPr>
        <w:t xml:space="preserve">je zcela oddělený od lidského myšlení vázaného na fantasmata. </w:t>
      </w:r>
      <w:r>
        <w:rPr>
          <w:lang w:eastAsia="en-US"/>
        </w:rPr>
        <w:t xml:space="preserve">V nihilistické epoše myšlení ovládané primitivní instrumentální racionalitou produkovanou na úrovni hypostázovaného </w:t>
      </w:r>
      <w:r w:rsidRPr="08A816FE">
        <w:rPr>
          <w:i/>
          <w:lang w:eastAsia="en-US"/>
        </w:rPr>
        <w:t>intellectus materialis</w:t>
      </w:r>
      <w:r>
        <w:rPr>
          <w:lang w:eastAsia="en-US"/>
        </w:rPr>
        <w:t xml:space="preserve">, jehož orgán je daný v mozku, je ještě třeba dodat, že lidský intelekt definovaný Komentátorem a Sigerem se zásadně liší i od zvířecí </w:t>
      </w:r>
      <w:r>
        <w:rPr>
          <w:i/>
          <w:lang w:eastAsia="en-US"/>
        </w:rPr>
        <w:t>vis</w:t>
      </w:r>
      <w:r w:rsidRPr="08A816FE">
        <w:rPr>
          <w:i/>
          <w:lang w:eastAsia="en-US"/>
        </w:rPr>
        <w:t xml:space="preserve"> aestimativa</w:t>
      </w:r>
      <w:r w:rsidR="00DC6336">
        <w:rPr>
          <w:lang w:eastAsia="en-US"/>
        </w:rPr>
        <w:t xml:space="preserve">. </w:t>
      </w:r>
      <w:r>
        <w:rPr>
          <w:lang w:eastAsia="en-US"/>
        </w:rPr>
        <w:t xml:space="preserve">Krititický aristotelismus magistrů na Rue du Fouarre zásadně odmítl produkci simuláker provozovanou tehdejšími </w:t>
      </w:r>
      <w:r w:rsidR="00DF20DC" w:rsidRPr="00DF20DC">
        <w:rPr>
          <w:i/>
          <w:lang w:eastAsia="en-US"/>
        </w:rPr>
        <w:t>sophistae Latini</w:t>
      </w:r>
      <w:r w:rsidR="00DF20DC">
        <w:rPr>
          <w:lang w:eastAsia="en-US"/>
        </w:rPr>
        <w:t xml:space="preserve">. </w:t>
      </w:r>
      <w:r w:rsidR="00DF20DC" w:rsidRPr="00DF20DC">
        <w:rPr>
          <w:lang w:eastAsia="en-US"/>
        </w:rPr>
        <w:t>Siger jako znale</w:t>
      </w:r>
      <w:r w:rsidR="00DF20DC">
        <w:rPr>
          <w:lang w:eastAsia="en-US"/>
        </w:rPr>
        <w:t>c Druhých analytik věděl</w:t>
      </w:r>
      <w:r w:rsidR="00DF20DC" w:rsidRPr="00DF20DC">
        <w:rPr>
          <w:lang w:eastAsia="en-US"/>
        </w:rPr>
        <w:t xml:space="preserve">, že vědecké zkoumání nesmrtelné duše v teologii má jiný střední článek demonstrativního důkazu než existenciální akt myšlení; proto se teologie </w:t>
      </w:r>
      <w:r w:rsidR="00DF20DC">
        <w:rPr>
          <w:lang w:eastAsia="en-US"/>
        </w:rPr>
        <w:t xml:space="preserve">genericky </w:t>
      </w:r>
      <w:r w:rsidR="00DF20DC" w:rsidRPr="00DF20DC">
        <w:rPr>
          <w:lang w:eastAsia="en-US"/>
        </w:rPr>
        <w:t>liší</w:t>
      </w:r>
      <w:r w:rsidR="00DF20DC">
        <w:rPr>
          <w:lang w:eastAsia="en-US"/>
        </w:rPr>
        <w:t xml:space="preserve"> od filosofie</w:t>
      </w:r>
      <w:r w:rsidR="00DF20DC">
        <w:fldChar w:fldCharType="begin"/>
      </w:r>
      <w:r w:rsidR="00DF20DC">
        <w:instrText xml:space="preserve"> XE "</w:instrText>
      </w:r>
      <w:r w:rsidR="00DF20DC" w:rsidRPr="00B60866">
        <w:instrText>teorie dvojí pravdy</w:instrText>
      </w:r>
      <w:r w:rsidR="00DF20DC">
        <w:instrText xml:space="preserve">" </w:instrText>
      </w:r>
      <w:r w:rsidR="00DF20DC">
        <w:fldChar w:fldCharType="end"/>
      </w:r>
      <w:r w:rsidR="00DF20DC">
        <w:rPr>
          <w:lang w:eastAsia="en-US"/>
        </w:rPr>
        <w:t xml:space="preserve">. </w:t>
      </w:r>
      <w:r>
        <w:rPr>
          <w:lang w:eastAsia="en-US"/>
        </w:rPr>
        <w:t xml:space="preserve">Moudrý člověk si nehraje na boha skokem do odlišného generického modu poznání a vytvářením mytopoetické vědy o esencích v modu </w:t>
      </w:r>
      <w:r w:rsidRPr="08592642">
        <w:rPr>
          <w:i/>
          <w:lang w:eastAsia="en-US"/>
        </w:rPr>
        <w:t>Unified Science</w:t>
      </w:r>
      <w:r>
        <w:rPr>
          <w:i/>
          <w:lang w:eastAsia="en-US"/>
        </w:rPr>
        <w:fldChar w:fldCharType="begin"/>
      </w:r>
      <w:r>
        <w:instrText xml:space="preserve"> XE "</w:instrText>
      </w:r>
      <w:r w:rsidRPr="08883547">
        <w:rPr>
          <w:i/>
          <w:lang w:eastAsia="en-US"/>
        </w:rPr>
        <w:instrText>Unified Science</w:instrText>
      </w:r>
      <w:r>
        <w:instrText xml:space="preserve">" </w:instrText>
      </w:r>
      <w:r>
        <w:rPr>
          <w:i/>
          <w:lang w:eastAsia="en-US"/>
        </w:rPr>
        <w:fldChar w:fldCharType="end"/>
      </w:r>
      <w:r>
        <w:rPr>
          <w:lang w:eastAsia="en-US"/>
        </w:rPr>
        <w:t xml:space="preserve">. V epoše začínající moderny se nemusel zdůrazňovat rozdíl mezi člověkem a zvířetem, protože moderní bůh teprve nastupoval na křížovou cestu na </w:t>
      </w:r>
      <w:r>
        <w:rPr>
          <w:lang w:eastAsia="en-US"/>
        </w:rPr>
        <w:lastRenderedPageBreak/>
        <w:t xml:space="preserve">postmoderní Golgotu danou skrze </w:t>
      </w:r>
      <w:r w:rsidRPr="08F21B15">
        <w:rPr>
          <w:i/>
          <w:lang w:eastAsia="en-US"/>
        </w:rPr>
        <w:t>crux commentatorum</w:t>
      </w:r>
      <w:r>
        <w:rPr>
          <w:lang w:eastAsia="en-US"/>
        </w:rPr>
        <w:t xml:space="preserve"> ohledně definice osoby a intelektu. Nietzsche vedený archaickými Múzami mu nihilistickým kopím probodl bok a věrný Hegel držel u boku tohoto umírajícího simulákra </w:t>
      </w:r>
      <w:r w:rsidRPr="08DD3BCB">
        <w:rPr>
          <w:i/>
          <w:lang w:eastAsia="en-US"/>
        </w:rPr>
        <w:t>Modernorum</w:t>
      </w:r>
      <w:r>
        <w:rPr>
          <w:lang w:eastAsia="en-US"/>
        </w:rPr>
        <w:t xml:space="preserve"> posvátný grál absolutní filosofie. V něm zachytil poslední zbytek </w:t>
      </w:r>
      <w:r w:rsidR="009A5C8D">
        <w:rPr>
          <w:lang w:eastAsia="en-US"/>
        </w:rPr>
        <w:t xml:space="preserve">absolutního </w:t>
      </w:r>
      <w:r>
        <w:rPr>
          <w:lang w:eastAsia="en-US"/>
        </w:rPr>
        <w:t>ducha pr</w:t>
      </w:r>
      <w:r w:rsidR="08332292">
        <w:rPr>
          <w:lang w:eastAsia="en-US"/>
        </w:rPr>
        <w:t>o epochu německého idealismu. V</w:t>
      </w:r>
      <w:r>
        <w:rPr>
          <w:lang w:eastAsia="en-US"/>
        </w:rPr>
        <w:t xml:space="preserve"> nihilistickém věku </w:t>
      </w:r>
      <w:r w:rsidR="08412C60">
        <w:rPr>
          <w:lang w:eastAsia="en-US"/>
        </w:rPr>
        <w:t>post-strukturalistické vlády</w:t>
      </w:r>
      <w:r>
        <w:rPr>
          <w:lang w:eastAsia="en-US"/>
        </w:rPr>
        <w:t xml:space="preserve"> metafory a diference se tento posvátný grál absolutně dané hegeliánské</w:t>
      </w:r>
      <w:r w:rsidR="08412C60">
        <w:rPr>
          <w:lang w:eastAsia="en-US"/>
        </w:rPr>
        <w:t xml:space="preserve"> objektivity beznadějně ztratil</w:t>
      </w:r>
      <w:r w:rsidR="00DC6336">
        <w:rPr>
          <w:lang w:eastAsia="en-US"/>
        </w:rPr>
        <w:t>.</w:t>
      </w:r>
    </w:p>
    <w:p w:rsidR="004D541F" w:rsidRDefault="00DC6336" w:rsidP="004D541F">
      <w:pPr>
        <w:ind w:firstLine="397"/>
      </w:pPr>
      <w:r>
        <w:rPr>
          <w:lang w:eastAsia="en-US"/>
        </w:rPr>
        <w:t>V</w:t>
      </w:r>
      <w:r w:rsidR="08163013">
        <w:rPr>
          <w:lang w:eastAsia="en-US"/>
        </w:rPr>
        <w:t>raťme se k začátku tohoto poutavého příběhu o vzniku objektivity, který začal sporem o objektivního Eliášova krkavce</w:t>
      </w:r>
      <w:r w:rsidR="08163013">
        <w:fldChar w:fldCharType="begin"/>
      </w:r>
      <w:r w:rsidR="08163013">
        <w:instrText xml:space="preserve"> XE "</w:instrText>
      </w:r>
      <w:r w:rsidR="08163013" w:rsidRPr="089C2A99">
        <w:instrText>Eliášův krkavec</w:instrText>
      </w:r>
      <w:r w:rsidR="08163013">
        <w:instrText xml:space="preserve">" </w:instrText>
      </w:r>
      <w:r w:rsidR="08163013">
        <w:fldChar w:fldCharType="end"/>
      </w:r>
      <w:r w:rsidR="000B09E5">
        <w:t xml:space="preserve">, který </w:t>
      </w:r>
      <w:r w:rsidR="08163013">
        <w:rPr>
          <w:lang w:eastAsia="en-US"/>
        </w:rPr>
        <w:t>„exsist</w:t>
      </w:r>
      <w:r w:rsidR="000B09E5">
        <w:rPr>
          <w:lang w:eastAsia="en-US"/>
        </w:rPr>
        <w:t>oval</w:t>
      </w:r>
      <w:r w:rsidR="08163013">
        <w:rPr>
          <w:lang w:eastAsia="en-US"/>
        </w:rPr>
        <w:t xml:space="preserve">“ v Oxfordu v porretánském modu </w:t>
      </w:r>
      <w:r w:rsidR="000B09E5">
        <w:rPr>
          <w:lang w:eastAsia="en-US"/>
        </w:rPr>
        <w:t>„</w:t>
      </w:r>
      <w:r w:rsidR="08163013" w:rsidRPr="08B11EB5">
        <w:rPr>
          <w:i/>
          <w:lang w:eastAsia="en-US"/>
        </w:rPr>
        <w:t>semel</w:t>
      </w:r>
      <w:r w:rsidR="08163013">
        <w:rPr>
          <w:lang w:eastAsia="en-US"/>
        </w:rPr>
        <w:t>‒</w:t>
      </w:r>
      <w:r w:rsidR="08163013" w:rsidRPr="08B11EB5">
        <w:rPr>
          <w:i/>
          <w:lang w:eastAsia="en-US"/>
        </w:rPr>
        <w:t>semper</w:t>
      </w:r>
      <w:r w:rsidR="00E32448">
        <w:rPr>
          <w:lang w:eastAsia="en-US"/>
        </w:rPr>
        <w:t>“</w:t>
      </w:r>
      <w:r w:rsidR="000B09E5">
        <w:rPr>
          <w:i/>
          <w:lang w:eastAsia="en-US"/>
        </w:rPr>
        <w:t xml:space="preserve"> </w:t>
      </w:r>
      <w:r w:rsidR="000B09E5" w:rsidRPr="00930BD7">
        <w:t>(OBJ</w:t>
      </w:r>
      <w:r w:rsidR="000B09E5">
        <w:t> </w:t>
      </w:r>
      <w:r w:rsidR="000B09E5" w:rsidRPr="00930BD7">
        <w:t xml:space="preserve">II, </w:t>
      </w:r>
      <w:r w:rsidR="000B09E5">
        <w:t>ch.</w:t>
      </w:r>
      <w:r w:rsidR="000B09E5" w:rsidRPr="00930BD7">
        <w:t xml:space="preserve"> 3.3.3)</w:t>
      </w:r>
      <w:r w:rsidR="08163013">
        <w:rPr>
          <w:lang w:eastAsia="en-US"/>
        </w:rPr>
        <w:t xml:space="preserve">. Akvinský vyrobil během studijních let v Paříži averroistické simulákrum kosmického </w:t>
      </w:r>
      <w:r w:rsidR="08163013" w:rsidRPr="08E40D15">
        <w:rPr>
          <w:i/>
          <w:lang w:eastAsia="en-US"/>
        </w:rPr>
        <w:t>intellectus possibilis</w:t>
      </w:r>
      <w:r w:rsidR="08163013">
        <w:rPr>
          <w:lang w:eastAsia="en-US"/>
        </w:rPr>
        <w:t>. Toto simulákrum sofisticky podsunul Komentátorovi a tento averroismus oprávněně prohlásil za směšný (</w:t>
      </w:r>
      <w:r w:rsidR="00E32448" w:rsidRPr="08075FA0">
        <w:rPr>
          <w:i/>
          <w:lang w:val="la"/>
        </w:rPr>
        <w:t>ha</w:t>
      </w:r>
      <w:r w:rsidR="00E32448" w:rsidRPr="08075FA0">
        <w:rPr>
          <w:i/>
        </w:rPr>
        <w:t>e</w:t>
      </w:r>
      <w:r w:rsidR="00E32448" w:rsidRPr="08075FA0">
        <w:rPr>
          <w:i/>
          <w:lang w:val="la"/>
        </w:rPr>
        <w:t>c ratio ostenditur esse frivola multipliciter</w:t>
      </w:r>
      <w:r w:rsidR="00E32448">
        <w:rPr>
          <w:i/>
        </w:rPr>
        <w:t xml:space="preserve">, </w:t>
      </w:r>
      <w:r w:rsidR="00237F73" w:rsidRPr="00E32448">
        <w:rPr>
          <w:lang w:val="la"/>
        </w:rPr>
        <w:t>kap.</w:t>
      </w:r>
      <w:r w:rsidR="08332292">
        <w:t xml:space="preserve"> 4</w:t>
      </w:r>
      <w:r w:rsidR="08163013">
        <w:t>.5.1</w:t>
      </w:r>
      <w:r w:rsidR="08163013">
        <w:rPr>
          <w:lang w:eastAsia="en-US"/>
        </w:rPr>
        <w:t xml:space="preserve">). Proto Aegidius tvrdí v Oxfordském rukopise, že Komentátor uvádí důkazy sám proti sobě </w:t>
      </w:r>
      <w:r w:rsidR="08163013" w:rsidRPr="00273106">
        <w:t>(</w:t>
      </w:r>
      <w:r w:rsidR="08163013" w:rsidRPr="00273106">
        <w:rPr>
          <w:i/>
        </w:rPr>
        <w:t>per rationes quas ponit Commentator contra seipsum</w:t>
      </w:r>
      <w:r w:rsidR="08332292">
        <w:t>, kap. 4</w:t>
      </w:r>
      <w:r w:rsidR="08163013">
        <w:t>.3.2)</w:t>
      </w:r>
      <w:r w:rsidR="08163013">
        <w:rPr>
          <w:lang w:eastAsia="en-US"/>
        </w:rPr>
        <w:t xml:space="preserve">. Mytopoetická fabulace </w:t>
      </w:r>
      <w:r w:rsidR="08163013" w:rsidRPr="08E40D15">
        <w:rPr>
          <w:i/>
          <w:lang w:eastAsia="en-US"/>
        </w:rPr>
        <w:t>intellectus possibilis</w:t>
      </w:r>
      <w:r w:rsidR="08163013">
        <w:rPr>
          <w:lang w:eastAsia="en-US"/>
        </w:rPr>
        <w:t xml:space="preserve"> averroistického heretika Averroese byla provedena proti katolickému pojetí Avicenny (</w:t>
      </w:r>
      <w:r w:rsidR="08163013" w:rsidRPr="087847A3">
        <w:rPr>
          <w:i/>
        </w:rPr>
        <w:t>ad intellectum possibilem, ejus opinio est quam tenemus secundum fidem catholicam</w:t>
      </w:r>
      <w:r w:rsidR="08163013">
        <w:rPr>
          <w:i/>
        </w:rPr>
        <w:t xml:space="preserve">, </w:t>
      </w:r>
      <w:r w:rsidR="08332292">
        <w:t>kap. 4</w:t>
      </w:r>
      <w:r w:rsidR="08163013">
        <w:t>.5.1</w:t>
      </w:r>
      <w:r w:rsidR="08163013">
        <w:rPr>
          <w:lang w:eastAsia="en-US"/>
        </w:rPr>
        <w:t xml:space="preserve">). Tyto pochybné teologické </w:t>
      </w:r>
      <w:proofErr w:type="gramStart"/>
      <w:r w:rsidR="08163013">
        <w:rPr>
          <w:lang w:eastAsia="en-US"/>
        </w:rPr>
        <w:t>soudy  dané</w:t>
      </w:r>
      <w:proofErr w:type="gramEnd"/>
      <w:r w:rsidR="08163013">
        <w:rPr>
          <w:lang w:eastAsia="en-US"/>
        </w:rPr>
        <w:t xml:space="preserve"> vpádem dogmatiky na půdu filosofie nemají nic společného s postupem CMDA a magistři jako Siger a Bacon to dobře věděli. Averroes má možný intelekt pouze jako abstrakci pro </w:t>
      </w:r>
      <w:r w:rsidR="00962190">
        <w:rPr>
          <w:i/>
          <w:lang w:eastAsia="en-US"/>
        </w:rPr>
        <w:t>species</w:t>
      </w:r>
      <w:r w:rsidR="08163013" w:rsidRPr="08E40D15">
        <w:rPr>
          <w:i/>
          <w:lang w:eastAsia="en-US"/>
        </w:rPr>
        <w:t xml:space="preserve"> humana</w:t>
      </w:r>
      <w:r w:rsidR="08163013">
        <w:rPr>
          <w:lang w:eastAsia="en-US"/>
        </w:rPr>
        <w:t xml:space="preserve">, což je něco úplně jiného než absurdní forma </w:t>
      </w:r>
      <w:r w:rsidR="08163013" w:rsidRPr="08E40D15">
        <w:rPr>
          <w:i/>
          <w:lang w:eastAsia="en-US"/>
        </w:rPr>
        <w:t>intellectus possibilis</w:t>
      </w:r>
      <w:r w:rsidR="08163013">
        <w:rPr>
          <w:lang w:eastAsia="en-US"/>
        </w:rPr>
        <w:t xml:space="preserve"> jako hypostázované kosmické potence. </w:t>
      </w:r>
      <w:r w:rsidR="08163013" w:rsidRPr="00273106">
        <w:rPr>
          <w:lang w:eastAsia="en-US"/>
        </w:rPr>
        <w:t xml:space="preserve">Teoreticky postulovaný koncept </w:t>
      </w:r>
      <w:r w:rsidR="08163013" w:rsidRPr="00273106">
        <w:rPr>
          <w:i/>
          <w:lang w:eastAsia="en-US"/>
        </w:rPr>
        <w:t>intellectus possibilis</w:t>
      </w:r>
      <w:r w:rsidR="08163013" w:rsidRPr="00273106">
        <w:rPr>
          <w:lang w:eastAsia="en-US"/>
        </w:rPr>
        <w:t xml:space="preserve"> v podobě specifické lidské potence dané v rámci definice člověka jako druhu je svázaný s teoreticky postulovanou je</w:t>
      </w:r>
      <w:r w:rsidR="08163013">
        <w:rPr>
          <w:lang w:eastAsia="en-US"/>
        </w:rPr>
        <w:t xml:space="preserve">dnotou lidstva. Tím vzniklo </w:t>
      </w:r>
      <w:r w:rsidR="08163013" w:rsidRPr="00273106">
        <w:rPr>
          <w:lang w:eastAsia="en-US"/>
        </w:rPr>
        <w:t xml:space="preserve">první humanistické určení </w:t>
      </w:r>
      <w:r w:rsidR="08163013">
        <w:rPr>
          <w:lang w:eastAsia="en-US"/>
        </w:rPr>
        <w:t xml:space="preserve">substanciální jednoty </w:t>
      </w:r>
      <w:r w:rsidR="08163013" w:rsidRPr="00273106">
        <w:rPr>
          <w:lang w:eastAsia="en-US"/>
        </w:rPr>
        <w:t xml:space="preserve">člověka a </w:t>
      </w:r>
      <w:r w:rsidR="08163013">
        <w:rPr>
          <w:lang w:eastAsia="en-US"/>
        </w:rPr>
        <w:t xml:space="preserve">univerzální jednoty celého </w:t>
      </w:r>
      <w:r w:rsidR="08163013" w:rsidRPr="00273106">
        <w:rPr>
          <w:lang w:eastAsia="en-US"/>
        </w:rPr>
        <w:t xml:space="preserve">lidstva. Díky existenci </w:t>
      </w:r>
      <w:r w:rsidR="08163013">
        <w:rPr>
          <w:lang w:eastAsia="en-US"/>
        </w:rPr>
        <w:t>filosofie</w:t>
      </w:r>
      <w:r w:rsidR="08163013" w:rsidRPr="00273106">
        <w:rPr>
          <w:lang w:eastAsia="en-US"/>
        </w:rPr>
        <w:t xml:space="preserve"> platí abstrakce </w:t>
      </w:r>
      <w:r w:rsidR="08163013" w:rsidRPr="00273106">
        <w:rPr>
          <w:i/>
          <w:lang w:eastAsia="en-US"/>
        </w:rPr>
        <w:t>intellectus possibilis</w:t>
      </w:r>
      <w:r w:rsidR="08163013" w:rsidRPr="00273106">
        <w:rPr>
          <w:lang w:eastAsia="en-US"/>
        </w:rPr>
        <w:t xml:space="preserve"> i pro lidstvo jako </w:t>
      </w:r>
      <w:r w:rsidR="00962190">
        <w:rPr>
          <w:i/>
          <w:lang w:eastAsia="en-US"/>
        </w:rPr>
        <w:t>species</w:t>
      </w:r>
      <w:r w:rsidR="08163013" w:rsidRPr="00273106">
        <w:rPr>
          <w:lang w:eastAsia="en-US"/>
        </w:rPr>
        <w:t>, viz Dant</w:t>
      </w:r>
      <w:r w:rsidR="08163013">
        <w:rPr>
          <w:lang w:eastAsia="en-US"/>
        </w:rPr>
        <w:t xml:space="preserve">ův termín </w:t>
      </w:r>
      <w:r w:rsidR="08163013" w:rsidRPr="00273106">
        <w:rPr>
          <w:i/>
          <w:lang w:eastAsia="en-US"/>
        </w:rPr>
        <w:t>universitas humana</w:t>
      </w:r>
      <w:r w:rsidR="08163013">
        <w:rPr>
          <w:i/>
          <w:lang w:eastAsia="en-US"/>
        </w:rPr>
        <w:fldChar w:fldCharType="begin"/>
      </w:r>
      <w:r w:rsidR="08163013">
        <w:instrText xml:space="preserve"> XE "</w:instrText>
      </w:r>
      <w:r w:rsidR="08163013" w:rsidRPr="00A16633">
        <w:rPr>
          <w:i/>
        </w:rPr>
        <w:instrText>universitas humana</w:instrText>
      </w:r>
      <w:r w:rsidR="08163013">
        <w:instrText xml:space="preserve">" </w:instrText>
      </w:r>
      <w:r w:rsidR="08163013">
        <w:rPr>
          <w:i/>
          <w:lang w:eastAsia="en-US"/>
        </w:rPr>
        <w:fldChar w:fldCharType="end"/>
      </w:r>
      <w:r w:rsidR="08257C42">
        <w:rPr>
          <w:lang w:eastAsia="en-US"/>
        </w:rPr>
        <w:t xml:space="preserve"> (kap. 4</w:t>
      </w:r>
      <w:r w:rsidR="08163013">
        <w:rPr>
          <w:lang w:eastAsia="en-US"/>
        </w:rPr>
        <w:t>.4.3</w:t>
      </w:r>
      <w:r w:rsidR="08163013" w:rsidRPr="00273106">
        <w:rPr>
          <w:lang w:eastAsia="en-US"/>
        </w:rPr>
        <w:t>).</w:t>
      </w:r>
      <w:r w:rsidR="08163013">
        <w:rPr>
          <w:lang w:eastAsia="en-US"/>
        </w:rPr>
        <w:t xml:space="preserve"> Averroes</w:t>
      </w:r>
      <w:r w:rsidR="081E085D">
        <w:rPr>
          <w:lang w:eastAsia="en-US"/>
        </w:rPr>
        <w:t xml:space="preserve">, </w:t>
      </w:r>
      <w:r w:rsidR="08163013" w:rsidRPr="00273106">
        <w:rPr>
          <w:lang w:eastAsia="en-US"/>
        </w:rPr>
        <w:t xml:space="preserve">Siger </w:t>
      </w:r>
      <w:r w:rsidR="081E085D">
        <w:rPr>
          <w:lang w:eastAsia="en-US"/>
        </w:rPr>
        <w:t xml:space="preserve">a Dante </w:t>
      </w:r>
      <w:r w:rsidR="08163013" w:rsidRPr="00273106">
        <w:rPr>
          <w:lang w:eastAsia="en-US"/>
        </w:rPr>
        <w:t xml:space="preserve">zdůrazňují, že univerzální definice receptivního intelektu je dána pouze jako koncept, tj. na úrovni </w:t>
      </w:r>
      <w:r w:rsidR="08163013">
        <w:rPr>
          <w:lang w:eastAsia="en-US"/>
        </w:rPr>
        <w:t xml:space="preserve">abstraktní </w:t>
      </w:r>
      <w:r w:rsidR="08163013" w:rsidRPr="00273106">
        <w:rPr>
          <w:lang w:eastAsia="en-US"/>
        </w:rPr>
        <w:t xml:space="preserve">jednoty lidstva chápaného jako </w:t>
      </w:r>
      <w:r w:rsidR="00962190">
        <w:rPr>
          <w:i/>
          <w:lang w:eastAsia="en-US"/>
        </w:rPr>
        <w:t>species</w:t>
      </w:r>
      <w:r w:rsidR="08163013" w:rsidRPr="00273106">
        <w:rPr>
          <w:lang w:eastAsia="en-US"/>
        </w:rPr>
        <w:t xml:space="preserve">. </w:t>
      </w:r>
      <w:r w:rsidR="08163013">
        <w:rPr>
          <w:lang w:eastAsia="en-US"/>
        </w:rPr>
        <w:t xml:space="preserve">Obvinění latinských sofistů ohledně Averroese a Sigera jako averroistů vyplývají z fatální neznalosti CMDA. Akvinský, Albert a nakonec ani sofistický Aegidius tato směšná obvinění na adresu artistů v Rue du Fouarre nikdy nevznesli, protože dobře znali jejich pojetí jednoty osoby. Semiaverroističtí akademikové patřili ke škole prvního averroismu a útokem na Sigerovu </w:t>
      </w:r>
      <w:r w:rsidR="08163013">
        <w:rPr>
          <w:lang w:eastAsia="en-US"/>
        </w:rPr>
        <w:lastRenderedPageBreak/>
        <w:t xml:space="preserve">školu by provedli veřejnou destrukci vlastní pozice držené se Sigerem proti modernistům. Tento dialetický slalom perfektně ukazuje sofistika Aegidia v letech 1268‒72, kdy se i na něj začal vztahovat dekret artistické fakulty zakazující </w:t>
      </w:r>
      <w:r w:rsidR="000948AF">
        <w:rPr>
          <w:lang w:eastAsia="en-US"/>
        </w:rPr>
        <w:t xml:space="preserve">tento </w:t>
      </w:r>
      <w:r w:rsidR="08163013">
        <w:rPr>
          <w:lang w:eastAsia="en-US"/>
        </w:rPr>
        <w:t>nevědecký způsob myšlení na půdě hlavní křesťanské univerzity. Útok Akvinského a Aegidia proto šel v linii modernistů proti Averroesovi, což nikdy neudělal Albert a B</w:t>
      </w:r>
      <w:r w:rsidR="006B3529">
        <w:rPr>
          <w:lang w:eastAsia="en-US"/>
        </w:rPr>
        <w:t xml:space="preserve">acon jako skuteční znalci CMDA. </w:t>
      </w:r>
      <w:r w:rsidR="08163013">
        <w:rPr>
          <w:lang w:eastAsia="en-US"/>
        </w:rPr>
        <w:t xml:space="preserve">Esenciální definice individuálního intelektu daná v Albertově a Tomášově dedukci je věcně správná a formálně se shoduje se závěry v CMDA. Ale nemá charakter vědeckého poznání intelektu ani podle </w:t>
      </w:r>
      <w:r w:rsidR="08163013" w:rsidRPr="08CC1F77">
        <w:rPr>
          <w:i/>
          <w:lang w:eastAsia="en-US"/>
        </w:rPr>
        <w:t>Druhých analytik</w:t>
      </w:r>
      <w:r w:rsidR="08163013">
        <w:rPr>
          <w:lang w:eastAsia="en-US"/>
        </w:rPr>
        <w:t xml:space="preserve"> ani podle CMDA. Chybějící postulát ipseity způsobil, že ve středním členu dedukce chybí predikace kauzality dané reálně skrze aktivitu první substance. V tomistickém deduktivním sylogismu chybí výkon existence v modu </w:t>
      </w:r>
      <w:r w:rsidR="08163013" w:rsidRPr="00C01016">
        <w:rPr>
          <w:i/>
          <w:lang w:eastAsia="en-US"/>
        </w:rPr>
        <w:t>ipse</w:t>
      </w:r>
      <w:r w:rsidR="08163013">
        <w:rPr>
          <w:lang w:eastAsia="en-US"/>
        </w:rPr>
        <w:t xml:space="preserve">, tedy reálné zakoušení intelektu jako nemateriální potence </w:t>
      </w:r>
      <w:r w:rsidR="08163013" w:rsidRPr="00A24CD2">
        <w:rPr>
          <w:i/>
          <w:lang w:eastAsia="en-US"/>
        </w:rPr>
        <w:t>anima intellectiva</w:t>
      </w:r>
      <w:r w:rsidR="08163013">
        <w:rPr>
          <w:i/>
          <w:lang w:eastAsia="en-US"/>
        </w:rPr>
        <w:fldChar w:fldCharType="begin"/>
      </w:r>
      <w:r w:rsidR="08163013">
        <w:instrText xml:space="preserve"> XE "</w:instrText>
      </w:r>
      <w:r w:rsidR="08163013" w:rsidRPr="00CD7009">
        <w:rPr>
          <w:i/>
        </w:rPr>
        <w:instrText>Oxfordian Fallacy</w:instrText>
      </w:r>
      <w:r w:rsidR="08163013" w:rsidRPr="008E20FE">
        <w:instrText>:Akvinský</w:instrText>
      </w:r>
      <w:r w:rsidR="08163013">
        <w:instrText xml:space="preserve">" </w:instrText>
      </w:r>
      <w:r w:rsidR="08163013">
        <w:rPr>
          <w:i/>
          <w:lang w:eastAsia="en-US"/>
        </w:rPr>
        <w:fldChar w:fldCharType="end"/>
      </w:r>
      <w:r w:rsidR="08163013">
        <w:rPr>
          <w:lang w:eastAsia="en-US"/>
        </w:rPr>
        <w:t xml:space="preserve">. Protože žijeme, tak můžeme </w:t>
      </w:r>
      <w:r w:rsidR="08163013" w:rsidRPr="0086410D">
        <w:rPr>
          <w:i/>
          <w:lang w:eastAsia="en-US"/>
        </w:rPr>
        <w:t>operatio</w:t>
      </w:r>
      <w:r w:rsidR="08163013">
        <w:rPr>
          <w:lang w:eastAsia="en-US"/>
        </w:rPr>
        <w:t xml:space="preserve"> intelektu také vnímat a kauzálně iniciovat. Siger zdůrazňuje proti Tomášovi, že kauzalitu myšlení má žijící osoba ve své moci. Ale nemá tuto schopnost </w:t>
      </w:r>
      <w:r w:rsidR="08163013" w:rsidRPr="00CD7009">
        <w:rPr>
          <w:i/>
          <w:lang w:eastAsia="en-US"/>
        </w:rPr>
        <w:t>per prius</w:t>
      </w:r>
      <w:r w:rsidR="08163013">
        <w:rPr>
          <w:lang w:eastAsia="en-US"/>
        </w:rPr>
        <w:t xml:space="preserve"> v modu </w:t>
      </w:r>
      <w:proofErr w:type="gramStart"/>
      <w:r w:rsidR="08163013">
        <w:rPr>
          <w:lang w:eastAsia="en-US"/>
        </w:rPr>
        <w:t>esence,  jako</w:t>
      </w:r>
      <w:proofErr w:type="gramEnd"/>
      <w:r w:rsidR="08163013">
        <w:rPr>
          <w:lang w:eastAsia="en-US"/>
        </w:rPr>
        <w:t xml:space="preserve"> to měl semiaverroista Akvinský, ale má ji v modu kauzálně dané ipseity, protože ji zakoušíme každý sám v sobě</w:t>
      </w:r>
      <w:r w:rsidR="08163013">
        <w:rPr>
          <w:lang w:eastAsia="en-US"/>
        </w:rPr>
        <w:fldChar w:fldCharType="begin"/>
      </w:r>
      <w:r w:rsidR="08163013">
        <w:instrText xml:space="preserve"> XE "</w:instrText>
      </w:r>
      <w:r w:rsidR="08163013" w:rsidRPr="001A4F85">
        <w:instrText>intelekt:</w:instrText>
      </w:r>
      <w:r w:rsidR="08163013" w:rsidRPr="00D91434">
        <w:rPr>
          <w:i/>
        </w:rPr>
        <w:instrText>fieri/esse</w:instrText>
      </w:r>
      <w:r w:rsidR="08163013">
        <w:instrText xml:space="preserve">" </w:instrText>
      </w:r>
      <w:r w:rsidR="08163013">
        <w:rPr>
          <w:lang w:eastAsia="en-US"/>
        </w:rPr>
        <w:fldChar w:fldCharType="end"/>
      </w:r>
      <w:r w:rsidR="08163013">
        <w:rPr>
          <w:lang w:eastAsia="en-US"/>
        </w:rPr>
        <w:t xml:space="preserve">. Tento jemný, ale naprosto zásadní rozdíl bráněný v pojetí </w:t>
      </w:r>
      <w:r w:rsidR="08163013">
        <w:rPr>
          <w:i/>
          <w:lang w:eastAsia="en-US"/>
        </w:rPr>
        <w:t>homo ipse intelligit</w:t>
      </w:r>
      <w:r w:rsidR="08163013">
        <w:rPr>
          <w:i/>
          <w:lang w:eastAsia="en-US"/>
        </w:rPr>
        <w:fldChar w:fldCharType="begin"/>
      </w:r>
      <w:r w:rsidR="08163013">
        <w:instrText xml:space="preserve"> XE "</w:instrText>
      </w:r>
      <w:r w:rsidR="08163013" w:rsidRPr="00B935DC">
        <w:rPr>
          <w:rStyle w:val="Zkladntext350"/>
        </w:rPr>
        <w:instrText>osoba</w:instrText>
      </w:r>
      <w:r w:rsidR="08163013" w:rsidRPr="00B935DC">
        <w:rPr>
          <w:rStyle w:val="Zkladntext350"/>
          <w:i/>
        </w:rPr>
        <w:instrText>:</w:instrText>
      </w:r>
      <w:r w:rsidR="08163013">
        <w:rPr>
          <w:rStyle w:val="Zkladntext350"/>
          <w:i/>
        </w:rPr>
        <w:instrText>homo ipse intelligit</w:instrText>
      </w:r>
      <w:r w:rsidR="08163013">
        <w:instrText xml:space="preserve">" </w:instrText>
      </w:r>
      <w:r w:rsidR="08163013">
        <w:rPr>
          <w:i/>
          <w:lang w:eastAsia="en-US"/>
        </w:rPr>
        <w:fldChar w:fldCharType="end"/>
      </w:r>
      <w:r w:rsidR="08163013">
        <w:rPr>
          <w:lang w:eastAsia="en-US"/>
        </w:rPr>
        <w:t xml:space="preserve"> ušel všem výk</w:t>
      </w:r>
      <w:r w:rsidR="081E085D">
        <w:rPr>
          <w:lang w:eastAsia="en-US"/>
        </w:rPr>
        <w:t xml:space="preserve">ladům v následujících staletích. Ty jsou dány </w:t>
      </w:r>
      <w:r w:rsidR="08163013">
        <w:rPr>
          <w:lang w:eastAsia="en-US"/>
        </w:rPr>
        <w:t xml:space="preserve">v epoše objektivního zatmění osoby jako aktuální první substance. Modernisté v linii Akvinského nemají nasvícení intelektu zepředu od ipseity v rámci osoby nebo Heideggerova </w:t>
      </w:r>
      <w:r w:rsidR="08163013" w:rsidRPr="089F78FD">
        <w:rPr>
          <w:i/>
          <w:lang w:eastAsia="en-US"/>
        </w:rPr>
        <w:t>Dasein</w:t>
      </w:r>
      <w:r w:rsidR="08163013">
        <w:rPr>
          <w:lang w:eastAsia="en-US"/>
        </w:rPr>
        <w:t>. Definice moderního tomistického subjektu je dána zezadu od objektivní</w:t>
      </w:r>
      <w:r w:rsidR="083C0480">
        <w:rPr>
          <w:lang w:eastAsia="en-US"/>
        </w:rPr>
        <w:t>ho významu osoby v rámci esence</w:t>
      </w:r>
      <w:r w:rsidR="08163013">
        <w:rPr>
          <w:lang w:eastAsia="en-US"/>
        </w:rPr>
        <w:t xml:space="preserve">. Sigerova strana naopak spojila v modu Averroesovy </w:t>
      </w:r>
      <w:r w:rsidR="08163013" w:rsidRPr="00273106">
        <w:rPr>
          <w:lang w:eastAsia="en-US"/>
        </w:rPr>
        <w:t xml:space="preserve">adekvace </w:t>
      </w:r>
      <w:r w:rsidR="08163013">
        <w:rPr>
          <w:lang w:eastAsia="en-US"/>
        </w:rPr>
        <w:t>(</w:t>
      </w:r>
      <w:r w:rsidR="08163013" w:rsidRPr="00E41071">
        <w:rPr>
          <w:i/>
          <w:lang w:eastAsia="en-US"/>
        </w:rPr>
        <w:t>proportio</w:t>
      </w:r>
      <w:r w:rsidR="08163013">
        <w:rPr>
          <w:i/>
          <w:lang w:eastAsia="en-US"/>
        </w:rPr>
        <w:fldChar w:fldCharType="begin"/>
      </w:r>
      <w:r w:rsidR="08163013">
        <w:instrText xml:space="preserve"> XE "pravda:</w:instrText>
      </w:r>
      <w:r w:rsidR="08163013" w:rsidRPr="008A25BD">
        <w:rPr>
          <w:i/>
          <w:lang w:eastAsia="en-US"/>
        </w:rPr>
        <w:instrText>proportio</w:instrText>
      </w:r>
      <w:r w:rsidR="08163013">
        <w:instrText xml:space="preserve">" </w:instrText>
      </w:r>
      <w:r w:rsidR="08163013">
        <w:rPr>
          <w:i/>
          <w:lang w:eastAsia="en-US"/>
        </w:rPr>
        <w:fldChar w:fldCharType="end"/>
      </w:r>
      <w:r w:rsidR="08163013">
        <w:rPr>
          <w:lang w:eastAsia="en-US"/>
        </w:rPr>
        <w:t xml:space="preserve">, </w:t>
      </w:r>
      <w:r w:rsidR="08163013" w:rsidRPr="00E41071">
        <w:rPr>
          <w:i/>
          <w:lang w:eastAsia="en-US"/>
        </w:rPr>
        <w:t>similitu</w:t>
      </w:r>
      <w:r w:rsidR="08163013">
        <w:rPr>
          <w:i/>
          <w:lang w:eastAsia="en-US"/>
        </w:rPr>
        <w:t>d</w:t>
      </w:r>
      <w:r w:rsidR="08163013" w:rsidRPr="00E41071">
        <w:rPr>
          <w:i/>
          <w:lang w:eastAsia="en-US"/>
        </w:rPr>
        <w:t>o</w:t>
      </w:r>
      <w:r w:rsidR="08163013">
        <w:rPr>
          <w:lang w:eastAsia="en-US"/>
        </w:rPr>
        <w:t>) různé členy složité rovnice určující jedinečný existenciální charakter intelektuálního poznání. Tento výkon Alberta, Sigera a Boethia z Dácie</w:t>
      </w:r>
      <w:r w:rsidR="08163013">
        <w:rPr>
          <w:lang w:eastAsia="en-US"/>
        </w:rPr>
        <w:fldChar w:fldCharType="begin"/>
      </w:r>
      <w:r w:rsidR="08163013">
        <w:instrText xml:space="preserve"> XE "</w:instrText>
      </w:r>
      <w:r w:rsidR="08163013" w:rsidRPr="08A8751A">
        <w:instrText>Boethius z Dácie</w:instrText>
      </w:r>
      <w:r w:rsidR="08163013">
        <w:instrText xml:space="preserve">" </w:instrText>
      </w:r>
      <w:r w:rsidR="08163013">
        <w:rPr>
          <w:lang w:eastAsia="en-US"/>
        </w:rPr>
        <w:fldChar w:fldCharType="end"/>
      </w:r>
      <w:r w:rsidR="08163013">
        <w:rPr>
          <w:lang w:eastAsia="en-US"/>
        </w:rPr>
        <w:t xml:space="preserve"> aplikoval </w:t>
      </w:r>
      <w:r w:rsidR="08163013" w:rsidRPr="00273106">
        <w:rPr>
          <w:lang w:eastAsia="en-US"/>
        </w:rPr>
        <w:t>Dante</w:t>
      </w:r>
      <w:r w:rsidR="08163013">
        <w:rPr>
          <w:lang w:eastAsia="en-US"/>
        </w:rPr>
        <w:fldChar w:fldCharType="begin"/>
      </w:r>
      <w:r w:rsidR="08163013">
        <w:instrText xml:space="preserve"> XE "</w:instrText>
      </w:r>
      <w:r w:rsidR="08163013" w:rsidRPr="00E871B9">
        <w:instrText>Dante, A.</w:instrText>
      </w:r>
      <w:r w:rsidR="08163013">
        <w:instrText xml:space="preserve">" </w:instrText>
      </w:r>
      <w:r w:rsidR="08163013">
        <w:rPr>
          <w:lang w:eastAsia="en-US"/>
        </w:rPr>
        <w:fldChar w:fldCharType="end"/>
      </w:r>
      <w:r w:rsidR="08163013" w:rsidRPr="00273106">
        <w:rPr>
          <w:lang w:eastAsia="en-US"/>
        </w:rPr>
        <w:t xml:space="preserve"> </w:t>
      </w:r>
      <w:r w:rsidR="08163013">
        <w:rPr>
          <w:lang w:eastAsia="en-US"/>
        </w:rPr>
        <w:t xml:space="preserve">ve spise </w:t>
      </w:r>
      <w:r w:rsidR="08163013" w:rsidRPr="0049784E">
        <w:rPr>
          <w:i/>
          <w:lang w:eastAsia="en-US"/>
        </w:rPr>
        <w:t>Monarchia</w:t>
      </w:r>
      <w:r w:rsidR="08163013">
        <w:rPr>
          <w:lang w:eastAsia="en-US"/>
        </w:rPr>
        <w:t xml:space="preserve"> na novou formu politick</w:t>
      </w:r>
      <w:r w:rsidR="08516050">
        <w:rPr>
          <w:lang w:eastAsia="en-US"/>
        </w:rPr>
        <w:t>y angažovaného humanismu (kap. 6</w:t>
      </w:r>
      <w:r w:rsidR="08163013">
        <w:rPr>
          <w:lang w:eastAsia="en-US"/>
        </w:rPr>
        <w:t xml:space="preserve">.2). Proto </w:t>
      </w:r>
      <w:r w:rsidR="08163013" w:rsidRPr="00273106">
        <w:rPr>
          <w:lang w:eastAsia="en-US"/>
        </w:rPr>
        <w:t xml:space="preserve">také </w:t>
      </w:r>
      <w:r w:rsidR="08163013">
        <w:rPr>
          <w:lang w:eastAsia="en-US"/>
        </w:rPr>
        <w:t>tento básník vedený pravdou Múz</w:t>
      </w:r>
      <w:r w:rsidR="08163013">
        <w:rPr>
          <w:lang w:eastAsia="en-US"/>
        </w:rPr>
        <w:fldChar w:fldCharType="begin"/>
      </w:r>
      <w:r w:rsidR="08163013">
        <w:instrText xml:space="preserve"> XE "</w:instrText>
      </w:r>
      <w:r w:rsidR="08163013" w:rsidRPr="08BA185F">
        <w:rPr>
          <w:lang w:eastAsia="en-US"/>
        </w:rPr>
        <w:instrText>Múzy</w:instrText>
      </w:r>
      <w:r w:rsidR="08163013">
        <w:instrText xml:space="preserve">" </w:instrText>
      </w:r>
      <w:r w:rsidR="08163013">
        <w:rPr>
          <w:lang w:eastAsia="en-US"/>
        </w:rPr>
        <w:fldChar w:fldCharType="end"/>
      </w:r>
      <w:r w:rsidR="08163013">
        <w:rPr>
          <w:lang w:eastAsia="en-US"/>
        </w:rPr>
        <w:t xml:space="preserve"> a ne sofistickou mytopoetikou Fúrií </w:t>
      </w:r>
      <w:r w:rsidR="08163013" w:rsidRPr="00273106">
        <w:rPr>
          <w:lang w:eastAsia="en-US"/>
        </w:rPr>
        <w:t xml:space="preserve">ocenil </w:t>
      </w:r>
      <w:r w:rsidR="08163013">
        <w:rPr>
          <w:lang w:eastAsia="en-US"/>
        </w:rPr>
        <w:t xml:space="preserve">Sigera </w:t>
      </w:r>
      <w:r w:rsidR="08163013" w:rsidRPr="00273106">
        <w:rPr>
          <w:lang w:eastAsia="en-US"/>
        </w:rPr>
        <w:t>v </w:t>
      </w:r>
      <w:r w:rsidR="08163013" w:rsidRPr="08DD1DB7">
        <w:rPr>
          <w:i/>
          <w:lang w:eastAsia="en-US"/>
        </w:rPr>
        <w:t>Božské komedii</w:t>
      </w:r>
      <w:r w:rsidR="08163013">
        <w:rPr>
          <w:lang w:eastAsia="en-US"/>
        </w:rPr>
        <w:t xml:space="preserve"> jako největšího filosofa své doby a z Akvinského udělal teologického mod</w:t>
      </w:r>
      <w:r w:rsidR="08516050">
        <w:rPr>
          <w:lang w:eastAsia="en-US"/>
        </w:rPr>
        <w:t>ernistu typu Bonaventury (kap. 4</w:t>
      </w:r>
      <w:r w:rsidR="08163013">
        <w:rPr>
          <w:lang w:eastAsia="en-US"/>
        </w:rPr>
        <w:t xml:space="preserve">.4.4). </w:t>
      </w:r>
      <w:r w:rsidR="00CB112B">
        <w:rPr>
          <w:lang w:eastAsia="en-US"/>
        </w:rPr>
        <w:t xml:space="preserve">Siger </w:t>
      </w:r>
      <w:r w:rsidR="08163013" w:rsidRPr="00273106">
        <w:rPr>
          <w:lang w:eastAsia="en-US"/>
        </w:rPr>
        <w:t>b</w:t>
      </w:r>
      <w:r w:rsidR="08163013" w:rsidRPr="00273106">
        <w:t>ránil základní fenomenologický princip CMDA proti semiaverroistům jako Akvinský a Aegidius</w:t>
      </w:r>
      <w:r w:rsidR="007818E3">
        <w:t xml:space="preserve">. Ti </w:t>
      </w:r>
      <w:r w:rsidR="08163013" w:rsidRPr="00273106">
        <w:t>zavedli do prvního averroismu skrytý dualismus dvou forem</w:t>
      </w:r>
      <w:r w:rsidR="08163013">
        <w:t xml:space="preserve"> daných v rámci osoby jak</w:t>
      </w:r>
      <w:r w:rsidR="00834C76">
        <w:t xml:space="preserve">o jedné hylemorfické substance. </w:t>
      </w:r>
      <w:r w:rsidR="08163013">
        <w:t>Akvinský podal m</w:t>
      </w:r>
      <w:r w:rsidR="08163013" w:rsidRPr="00273106">
        <w:t xml:space="preserve">yšlení </w:t>
      </w:r>
      <w:r w:rsidR="08163013">
        <w:t xml:space="preserve">v modu </w:t>
      </w:r>
      <w:r w:rsidR="08163013" w:rsidRPr="00273106">
        <w:t>dv</w:t>
      </w:r>
      <w:r w:rsidR="0078690D">
        <w:t xml:space="preserve">ou </w:t>
      </w:r>
      <w:r w:rsidR="08163013" w:rsidRPr="00273106">
        <w:t>aktuální</w:t>
      </w:r>
      <w:r w:rsidR="0078690D">
        <w:t>ch</w:t>
      </w:r>
      <w:r w:rsidR="08163013" w:rsidRPr="00273106">
        <w:t xml:space="preserve"> for</w:t>
      </w:r>
      <w:r w:rsidR="0078690D">
        <w:t>em</w:t>
      </w:r>
      <w:r w:rsidR="08163013" w:rsidRPr="00273106">
        <w:t xml:space="preserve"> v</w:t>
      </w:r>
      <w:r w:rsidR="0078690D">
        <w:t> </w:t>
      </w:r>
      <w:r w:rsidR="08163013" w:rsidRPr="00273106">
        <w:t>člověku</w:t>
      </w:r>
      <w:r w:rsidR="0078690D">
        <w:t xml:space="preserve">, protože </w:t>
      </w:r>
      <w:r w:rsidR="08163013">
        <w:t xml:space="preserve">subjektivizoval intelekt do </w:t>
      </w:r>
      <w:r w:rsidR="08163013">
        <w:lastRenderedPageBreak/>
        <w:t>samostatné hypostáze. Tomismus ví, že filosofie je služka teologi</w:t>
      </w:r>
      <w:r w:rsidR="0078690D">
        <w:t>e. Dvě formy</w:t>
      </w:r>
      <w:r w:rsidR="0869574E" w:rsidRPr="00273106">
        <w:t xml:space="preserve"> v člověku</w:t>
      </w:r>
      <w:r w:rsidR="0078690D">
        <w:t xml:space="preserve"> mají </w:t>
      </w:r>
      <w:r w:rsidR="085F6C28">
        <w:t>aristotel</w:t>
      </w:r>
      <w:r w:rsidR="0869574E">
        <w:t xml:space="preserve">ský původ a </w:t>
      </w:r>
      <w:r w:rsidR="08163013">
        <w:t>zachránil</w:t>
      </w:r>
      <w:r w:rsidR="0078690D">
        <w:t>y</w:t>
      </w:r>
      <w:r w:rsidR="00834C76">
        <w:t xml:space="preserve"> </w:t>
      </w:r>
      <w:r w:rsidR="004D541F">
        <w:t xml:space="preserve">tezi o nesmrtelnosti duše. </w:t>
      </w:r>
      <w:r w:rsidR="00834C76">
        <w:t>Tento postup odmítli artističtí magistři z Rue du Fouarre prohlášením z roku 1272</w:t>
      </w:r>
      <w:r w:rsidR="00834C76">
        <w:rPr>
          <w:szCs w:val="24"/>
        </w:rPr>
        <w:fldChar w:fldCharType="begin"/>
      </w:r>
      <w:r w:rsidR="00834C76">
        <w:instrText xml:space="preserve"> XE "</w:instrText>
      </w:r>
      <w:r w:rsidR="00834C76" w:rsidRPr="00FD37CA">
        <w:rPr>
          <w:szCs w:val="24"/>
        </w:rPr>
        <w:instrText>dekret artistů 1272</w:instrText>
      </w:r>
      <w:r w:rsidR="00834C76">
        <w:instrText xml:space="preserve">" </w:instrText>
      </w:r>
      <w:r w:rsidR="00834C76">
        <w:rPr>
          <w:szCs w:val="24"/>
        </w:rPr>
        <w:fldChar w:fldCharType="end"/>
      </w:r>
      <w:r w:rsidR="00834C76">
        <w:t>, v němž kritický rozum na</w:t>
      </w:r>
      <w:r w:rsidR="002E5013">
        <w:t xml:space="preserve"> chvíli </w:t>
      </w:r>
      <w:r w:rsidR="00834C76">
        <w:t>zastavil nezadržitelný postup sofistické moderny, rozpad Pařížské univerzity a smrt moderního boha na latinském Západě</w:t>
      </w:r>
      <w:r w:rsidR="002E5013">
        <w:t xml:space="preserve">. </w:t>
      </w:r>
      <w:r w:rsidR="002E5013" w:rsidRPr="002E5013">
        <w:t>Islám</w:t>
      </w:r>
      <w:r w:rsidR="002E5013">
        <w:t xml:space="preserve"> tuto cestu ke smrti moderního b</w:t>
      </w:r>
      <w:r w:rsidR="002E5013" w:rsidRPr="002E5013">
        <w:t>oha zahájil, ale zarazil ji na samém počátku modernism</w:t>
      </w:r>
      <w:r w:rsidR="002E5013">
        <w:t>u</w:t>
      </w:r>
      <w:r w:rsidR="004D541F">
        <w:t>.</w:t>
      </w:r>
    </w:p>
    <w:p w:rsidR="00CB1702" w:rsidRDefault="00834C76" w:rsidP="004D541F">
      <w:pPr>
        <w:ind w:firstLine="397"/>
      </w:pPr>
      <w:r>
        <w:rPr>
          <w:iCs/>
        </w:rPr>
        <w:t xml:space="preserve">Siger odkazem na CMDA vyřešil fundamentální „jak“ nemateriální intelekt funguje v modu </w:t>
      </w:r>
      <w:r w:rsidRPr="00B67B9D">
        <w:rPr>
          <w:i/>
          <w:iCs/>
        </w:rPr>
        <w:t>separabilis</w:t>
      </w:r>
      <w:r>
        <w:rPr>
          <w:iCs/>
        </w:rPr>
        <w:t xml:space="preserve">. Intelekt je oddělený </w:t>
      </w:r>
      <w:r w:rsidRPr="00273106">
        <w:t>od smyslových vlastností duše, které jsou lokalizovány v různých tělesných orgánech.</w:t>
      </w:r>
      <w:r>
        <w:t xml:space="preserve"> Toto řešení se stalo základem duality artistických magistrů z Rue du Fouarre v modu </w:t>
      </w:r>
      <w:r w:rsidRPr="00B67B9D">
        <w:rPr>
          <w:i/>
        </w:rPr>
        <w:t>subiective</w:t>
      </w:r>
      <w:r>
        <w:rPr>
          <w:i/>
        </w:rPr>
        <w:t>‒</w:t>
      </w:r>
      <w:r w:rsidRPr="00B67B9D">
        <w:rPr>
          <w:i/>
        </w:rPr>
        <w:t>obiective</w:t>
      </w:r>
      <w:r>
        <w:fldChar w:fldCharType="begin"/>
      </w:r>
      <w:r>
        <w:instrText xml:space="preserve"> XE "intelekt:</w:instrText>
      </w:r>
      <w:r w:rsidRPr="000814EA">
        <w:rPr>
          <w:i/>
        </w:rPr>
        <w:instrText>subiective</w:instrText>
      </w:r>
      <w:r>
        <w:rPr>
          <w:i/>
        </w:rPr>
        <w:instrText>/obiective</w:instrText>
      </w:r>
      <w:r>
        <w:instrText xml:space="preserve">" </w:instrText>
      </w:r>
      <w:r>
        <w:fldChar w:fldCharType="end"/>
      </w:r>
      <w:r>
        <w:t>. Tuto formulaci použil Boethius z Dácie jako autor Gieleho anonyma (</w:t>
      </w:r>
      <w:r w:rsidRPr="008E409C">
        <w:rPr>
          <w:i/>
        </w:rPr>
        <w:t>anima indiget in intelligere corpore obiecto, non sicut subiecto</w:t>
      </w:r>
      <w:r>
        <w:fldChar w:fldCharType="begin"/>
      </w:r>
      <w:r>
        <w:instrText xml:space="preserve"> XE "</w:instrText>
      </w:r>
      <w:r>
        <w:rPr>
          <w:i/>
        </w:rPr>
        <w:instrText>Anonym</w:instrText>
      </w:r>
      <w:r w:rsidRPr="00B279FE">
        <w:rPr>
          <w:i/>
        </w:rPr>
        <w:instrText xml:space="preserve"> Giele</w:instrText>
      </w:r>
      <w:r w:rsidRPr="00B75F07">
        <w:instrText xml:space="preserve"> </w:instrText>
      </w:r>
      <w:r>
        <w:instrText>39.67</w:instrText>
      </w:r>
      <w:r w:rsidRPr="00B75F07">
        <w:instrText>‒</w:instrText>
      </w:r>
      <w:r>
        <w:instrText xml:space="preserve">68" </w:instrText>
      </w:r>
      <w:r>
        <w:fldChar w:fldCharType="end"/>
      </w:r>
      <w:r>
        <w:t>, kap. 4.3.1). Aegidius jako autor Oxfordského rukopisu a Bazánova anonyma toto rozdělení používá také, ale v modu semiaverroismu. Ú</w:t>
      </w:r>
      <w:r w:rsidR="08163013">
        <w:t xml:space="preserve">tok na sekulární magistry přišel přímo ze školy prvního averroismu, proto má Siger titul </w:t>
      </w:r>
      <w:r w:rsidR="08163013">
        <w:rPr>
          <w:i/>
        </w:rPr>
        <w:t>Doctor Invidiosus</w:t>
      </w:r>
      <w:r w:rsidR="08163013">
        <w:rPr>
          <w:i/>
        </w:rPr>
        <w:fldChar w:fldCharType="begin"/>
      </w:r>
      <w:r w:rsidR="08163013">
        <w:instrText xml:space="preserve"> XE "</w:instrText>
      </w:r>
      <w:r w:rsidR="08163013">
        <w:rPr>
          <w:i/>
        </w:rPr>
        <w:instrText>Doctor Invidiosus</w:instrText>
      </w:r>
      <w:r w:rsidR="08163013">
        <w:instrText xml:space="preserve">" </w:instrText>
      </w:r>
      <w:r w:rsidR="08163013">
        <w:rPr>
          <w:i/>
        </w:rPr>
        <w:fldChar w:fldCharType="end"/>
      </w:r>
      <w:r w:rsidR="08163013">
        <w:t xml:space="preserve">. Trojského koně zavedl do tábora prvního averroismu </w:t>
      </w:r>
      <w:r w:rsidR="08163013">
        <w:rPr>
          <w:i/>
          <w:iCs/>
        </w:rPr>
        <w:t xml:space="preserve">Doctor angelicus </w:t>
      </w:r>
      <w:r w:rsidR="08163013">
        <w:t xml:space="preserve">a tuto Pandořinu skříňku naplno otevřel semiaverroistickým spisem </w:t>
      </w:r>
      <w:r w:rsidR="08163013" w:rsidRPr="001E7B32">
        <w:rPr>
          <w:i/>
        </w:rPr>
        <w:t>De unitate</w:t>
      </w:r>
      <w:r w:rsidR="00273909">
        <w:rPr>
          <w:i/>
        </w:rPr>
        <w:t xml:space="preserve"> intellectus</w:t>
      </w:r>
      <w:r w:rsidR="08163013">
        <w:t>. Sekulární magistři a znalci CMDA odmítli Tomášovu podobu</w:t>
      </w:r>
      <w:r w:rsidR="08163013" w:rsidRPr="00273106">
        <w:t xml:space="preserve"> intelektu jako </w:t>
      </w:r>
      <w:r w:rsidR="08163013">
        <w:t xml:space="preserve">hypostázované </w:t>
      </w:r>
      <w:r w:rsidR="08163013" w:rsidRPr="00273106">
        <w:t>formy (</w:t>
      </w:r>
      <w:r w:rsidR="08163013" w:rsidRPr="00273106">
        <w:rPr>
          <w:i/>
        </w:rPr>
        <w:t>qua</w:t>
      </w:r>
      <w:r w:rsidR="08163013" w:rsidRPr="00273106">
        <w:rPr>
          <w:i/>
          <w:vertAlign w:val="superscript"/>
        </w:rPr>
        <w:t>2</w:t>
      </w:r>
      <w:r w:rsidR="08163013" w:rsidRPr="006C7A0F">
        <w:rPr>
          <w:i/>
        </w:rPr>
        <w:fldChar w:fldCharType="begin"/>
      </w:r>
      <w:r w:rsidR="08163013" w:rsidRPr="006C7A0F">
        <w:instrText xml:space="preserve"> XE "intelekt:modus </w:instrText>
      </w:r>
      <w:r w:rsidR="08163013" w:rsidRPr="006C7A0F">
        <w:rPr>
          <w:i/>
        </w:rPr>
        <w:instrText>qua</w:instrText>
      </w:r>
      <w:r w:rsidR="08163013">
        <w:rPr>
          <w:i/>
          <w:vertAlign w:val="superscript"/>
        </w:rPr>
        <w:instrText>2</w:instrText>
      </w:r>
      <w:r w:rsidR="08163013" w:rsidRPr="006C7A0F">
        <w:instrText xml:space="preserve">" </w:instrText>
      </w:r>
      <w:r w:rsidR="08163013" w:rsidRPr="006C7A0F">
        <w:rPr>
          <w:i/>
        </w:rPr>
        <w:fldChar w:fldCharType="end"/>
      </w:r>
      <w:r w:rsidR="08163013" w:rsidRPr="00273106">
        <w:t xml:space="preserve">) a </w:t>
      </w:r>
      <w:r w:rsidR="08163013">
        <w:t xml:space="preserve">jeho důkaz </w:t>
      </w:r>
      <w:r w:rsidR="08163013" w:rsidRPr="00273106">
        <w:t xml:space="preserve">duše jako </w:t>
      </w:r>
      <w:r w:rsidR="08163013">
        <w:t xml:space="preserve">subsistentní věčné </w:t>
      </w:r>
      <w:r w:rsidR="08163013" w:rsidRPr="00273106">
        <w:t>formy (</w:t>
      </w:r>
      <w:r w:rsidR="08163013" w:rsidRPr="00273106">
        <w:rPr>
          <w:i/>
        </w:rPr>
        <w:t>qua</w:t>
      </w:r>
      <w:r w:rsidR="08163013" w:rsidRPr="00273106">
        <w:rPr>
          <w:i/>
          <w:vertAlign w:val="superscript"/>
        </w:rPr>
        <w:t>1</w:t>
      </w:r>
      <w:r w:rsidR="08163013" w:rsidRPr="006C7A0F">
        <w:rPr>
          <w:i/>
        </w:rPr>
        <w:fldChar w:fldCharType="begin"/>
      </w:r>
      <w:r w:rsidR="08163013" w:rsidRPr="006C7A0F">
        <w:instrText xml:space="preserve"> XE "intelekt:modus </w:instrText>
      </w:r>
      <w:r w:rsidR="08163013" w:rsidRPr="006C7A0F">
        <w:rPr>
          <w:i/>
        </w:rPr>
        <w:instrText>qua</w:instrText>
      </w:r>
      <w:r w:rsidR="08163013">
        <w:rPr>
          <w:i/>
          <w:vertAlign w:val="superscript"/>
        </w:rPr>
        <w:instrText>1</w:instrText>
      </w:r>
      <w:r w:rsidR="08163013" w:rsidRPr="006C7A0F">
        <w:instrText xml:space="preserve">" </w:instrText>
      </w:r>
      <w:r w:rsidR="08163013" w:rsidRPr="006C7A0F">
        <w:rPr>
          <w:i/>
        </w:rPr>
        <w:fldChar w:fldCharType="end"/>
      </w:r>
      <w:r w:rsidR="08163013">
        <w:t xml:space="preserve">). Toto </w:t>
      </w:r>
      <w:r w:rsidR="00273909">
        <w:t xml:space="preserve">řešení </w:t>
      </w:r>
      <w:r w:rsidR="08163013" w:rsidRPr="00273106">
        <w:t xml:space="preserve">ohrozilo jak jednotu osoby, tak i projekt </w:t>
      </w:r>
      <w:r w:rsidR="08163013">
        <w:t xml:space="preserve">aristotelské </w:t>
      </w:r>
      <w:r w:rsidR="08163013" w:rsidRPr="00273106">
        <w:t xml:space="preserve">metafyziky definované </w:t>
      </w:r>
      <w:r w:rsidR="08163013" w:rsidRPr="00273106">
        <w:rPr>
          <w:i/>
        </w:rPr>
        <w:t>per prius</w:t>
      </w:r>
      <w:r w:rsidR="08163013" w:rsidRPr="00273106">
        <w:t xml:space="preserve"> od kauzálního působení </w:t>
      </w:r>
      <w:r w:rsidR="08163013">
        <w:t xml:space="preserve">osoby jako </w:t>
      </w:r>
      <w:r w:rsidR="08163013" w:rsidRPr="00273106">
        <w:t>aktuální první substance.</w:t>
      </w:r>
      <w:r w:rsidR="08163013">
        <w:t xml:space="preserve"> Siger přesně popsal, proč </w:t>
      </w:r>
      <w:r w:rsidR="08163013" w:rsidRPr="00273106">
        <w:rPr>
          <w:lang w:eastAsia="en-US"/>
        </w:rPr>
        <w:t>Albert a Akvinský nebyli schopni vstoupit do fenomenologické perspektivy CMDA</w:t>
      </w:r>
      <w:r w:rsidR="08131C57">
        <w:rPr>
          <w:lang w:eastAsia="en-US"/>
        </w:rPr>
        <w:t>. Přesný popis způsobu</w:t>
      </w:r>
      <w:r w:rsidR="083C4598">
        <w:rPr>
          <w:lang w:eastAsia="en-US"/>
        </w:rPr>
        <w:t>, jak poznáváme</w:t>
      </w:r>
      <w:r w:rsidR="08163013" w:rsidRPr="00273106">
        <w:rPr>
          <w:lang w:eastAsia="en-US"/>
        </w:rPr>
        <w:t xml:space="preserve"> (</w:t>
      </w:r>
      <w:r w:rsidR="08163013" w:rsidRPr="00273106">
        <w:t xml:space="preserve">πῶς, </w:t>
      </w:r>
      <w:r w:rsidR="08163013" w:rsidRPr="00273106">
        <w:rPr>
          <w:i/>
          <w:iCs/>
        </w:rPr>
        <w:t>quomodo</w:t>
      </w:r>
      <w:r w:rsidR="08163013">
        <w:rPr>
          <w:lang w:eastAsia="en-US"/>
        </w:rPr>
        <w:t xml:space="preserve">), </w:t>
      </w:r>
      <w:r w:rsidR="08131C57">
        <w:rPr>
          <w:lang w:eastAsia="en-US"/>
        </w:rPr>
        <w:t xml:space="preserve">zajistil </w:t>
      </w:r>
      <w:r w:rsidR="08163013">
        <w:rPr>
          <w:lang w:eastAsia="en-US"/>
        </w:rPr>
        <w:t xml:space="preserve">výkon </w:t>
      </w:r>
      <w:r w:rsidR="08163013" w:rsidRPr="00273106">
        <w:rPr>
          <w:lang w:eastAsia="en-US"/>
        </w:rPr>
        <w:t>intelektu</w:t>
      </w:r>
      <w:r w:rsidR="08163013">
        <w:rPr>
          <w:lang w:eastAsia="en-US"/>
        </w:rPr>
        <w:t xml:space="preserve"> v jedinečné existenci osoby</w:t>
      </w:r>
      <w:r w:rsidR="08163013">
        <w:rPr>
          <w:lang w:eastAsia="en-US"/>
        </w:rPr>
        <w:fldChar w:fldCharType="begin"/>
      </w:r>
      <w:r w:rsidR="08163013">
        <w:instrText xml:space="preserve"> XE "</w:instrText>
      </w:r>
      <w:r w:rsidR="08163013" w:rsidRPr="002B79BE">
        <w:instrText xml:space="preserve">hermeneutické </w:instrText>
      </w:r>
      <w:r w:rsidR="08163013" w:rsidRPr="002D29CB">
        <w:rPr>
          <w:i/>
        </w:rPr>
        <w:instrText>Wie</w:instrText>
      </w:r>
      <w:r w:rsidR="08163013" w:rsidRPr="002B79BE">
        <w:instrText>:Siger</w:instrText>
      </w:r>
      <w:r w:rsidR="08163013">
        <w:instrText xml:space="preserve">" </w:instrText>
      </w:r>
      <w:r w:rsidR="08163013">
        <w:rPr>
          <w:lang w:eastAsia="en-US"/>
        </w:rPr>
        <w:fldChar w:fldCharType="end"/>
      </w:r>
      <w:r w:rsidR="08163013" w:rsidRPr="00273106">
        <w:rPr>
          <w:lang w:eastAsia="en-US"/>
        </w:rPr>
        <w:t>.</w:t>
      </w:r>
      <w:r w:rsidR="08163013">
        <w:rPr>
          <w:lang w:eastAsia="en-US"/>
        </w:rPr>
        <w:t xml:space="preserve"> </w:t>
      </w:r>
      <w:r w:rsidR="08163013" w:rsidRPr="00273106">
        <w:t>Intelektuální část duše</w:t>
      </w:r>
      <w:r w:rsidR="08163013">
        <w:t xml:space="preserve"> subsistuje v rámci výkonu </w:t>
      </w:r>
      <w:r w:rsidR="08163013" w:rsidRPr="00273106">
        <w:rPr>
          <w:i/>
        </w:rPr>
        <w:t>homo ipse intelligit</w:t>
      </w:r>
      <w:r w:rsidR="08163013">
        <w:rPr>
          <w:i/>
        </w:rPr>
        <w:fldChar w:fldCharType="begin"/>
      </w:r>
      <w:r w:rsidR="08163013">
        <w:instrText xml:space="preserve"> XE "osoba:</w:instrText>
      </w:r>
      <w:r w:rsidR="08163013" w:rsidRPr="00696573">
        <w:rPr>
          <w:i/>
        </w:rPr>
        <w:instrText>homo ipse intelligit</w:instrText>
      </w:r>
      <w:r w:rsidR="08163013">
        <w:instrText xml:space="preserve">" </w:instrText>
      </w:r>
      <w:r w:rsidR="08163013">
        <w:rPr>
          <w:i/>
        </w:rPr>
        <w:fldChar w:fldCharType="end"/>
      </w:r>
      <w:r w:rsidR="08163013">
        <w:t>. T</w:t>
      </w:r>
      <w:r w:rsidR="08163013" w:rsidRPr="00273106">
        <w:t>uto potenci duše je třeba vyšetřovat na základě dvojího fe</w:t>
      </w:r>
      <w:r w:rsidR="08163013">
        <w:t xml:space="preserve">nomenologického způsobu, jak </w:t>
      </w:r>
      <w:r w:rsidR="08163013" w:rsidRPr="00273106">
        <w:t xml:space="preserve">je tato </w:t>
      </w:r>
      <w:r w:rsidR="08163013">
        <w:t>potence duše s tělem spojena a jak</w:t>
      </w:r>
      <w:r w:rsidR="08163013" w:rsidRPr="00273106">
        <w:t xml:space="preserve"> je od něj oddělena. </w:t>
      </w:r>
      <w:r w:rsidR="08163013">
        <w:t>Sigerův druhý t</w:t>
      </w:r>
      <w:r w:rsidR="08163013" w:rsidRPr="00273106">
        <w:t xml:space="preserve">raktát začíná citací úvodní pasáže </w:t>
      </w:r>
      <w:proofErr w:type="gramStart"/>
      <w:r w:rsidR="08163013" w:rsidRPr="00273106">
        <w:t>CMDA I.12</w:t>
      </w:r>
      <w:proofErr w:type="gramEnd"/>
      <w:r w:rsidR="08163013" w:rsidRPr="00273106">
        <w:t>, že problém poznání a sebepoznání duše musíme mít stále před očima.</w:t>
      </w:r>
      <w:r w:rsidR="08163013">
        <w:rPr>
          <w:rStyle w:val="Znakapoznpodarou"/>
        </w:rPr>
        <w:footnoteReference w:id="332"/>
      </w:r>
      <w:r w:rsidR="08163013">
        <w:t xml:space="preserve"> F</w:t>
      </w:r>
      <w:r w:rsidR="08163013" w:rsidRPr="00273106">
        <w:t>enomenologie poznání musí něco důležitého vidět na samotném aktu vidění a myšlení</w:t>
      </w:r>
      <w:r w:rsidR="08163013">
        <w:t xml:space="preserve"> daném </w:t>
      </w:r>
      <w:r w:rsidR="08163013">
        <w:lastRenderedPageBreak/>
        <w:t>existenciálně</w:t>
      </w:r>
      <w:r w:rsidR="08163013">
        <w:rPr>
          <w:i/>
        </w:rPr>
        <w:fldChar w:fldCharType="begin"/>
      </w:r>
      <w:r w:rsidR="08163013">
        <w:instrText xml:space="preserve"> XE "</w:instrText>
      </w:r>
      <w:r w:rsidR="08163013" w:rsidRPr="00B935DC">
        <w:rPr>
          <w:rStyle w:val="Zkladntext350"/>
        </w:rPr>
        <w:instrText>osoba</w:instrText>
      </w:r>
      <w:r w:rsidR="08163013" w:rsidRPr="00B935DC">
        <w:rPr>
          <w:rStyle w:val="Zkladntext350"/>
          <w:i/>
        </w:rPr>
        <w:instrText>:</w:instrText>
      </w:r>
      <w:r w:rsidR="08163013">
        <w:rPr>
          <w:rStyle w:val="Zkladntext350"/>
          <w:i/>
        </w:rPr>
        <w:instrText>homo ipse intelligit</w:instrText>
      </w:r>
      <w:r w:rsidR="08163013">
        <w:instrText xml:space="preserve">" </w:instrText>
      </w:r>
      <w:r w:rsidR="08163013">
        <w:rPr>
          <w:i/>
        </w:rPr>
        <w:fldChar w:fldCharType="end"/>
      </w:r>
      <w:r w:rsidR="08163013" w:rsidRPr="00273106">
        <w:t>.</w:t>
      </w:r>
      <w:r w:rsidR="08163013">
        <w:t xml:space="preserve"> </w:t>
      </w:r>
      <w:r w:rsidR="08163013" w:rsidRPr="00273106">
        <w:t>Co neviděl Akvinský ve výkonu porozumění</w:t>
      </w:r>
      <w:r w:rsidR="08163013">
        <w:t xml:space="preserve">? Hermeneutika objektivity musí rozlišit jeho pojetí duše a intelektu od skupiny filosofů na Rue du Fouarre označených podle svého rektora a vůdčího myslitele jako Sigerova </w:t>
      </w:r>
      <w:r w:rsidR="009C5413">
        <w:t xml:space="preserve">škola </w:t>
      </w:r>
      <w:r w:rsidR="08163013">
        <w:t>(</w:t>
      </w:r>
      <w:r w:rsidR="08163013" w:rsidRPr="00652BC9">
        <w:rPr>
          <w:i/>
        </w:rPr>
        <w:t>pars Sigeri</w:t>
      </w:r>
      <w:r w:rsidR="08163013">
        <w:rPr>
          <w:i/>
        </w:rPr>
        <w:fldChar w:fldCharType="begin"/>
      </w:r>
      <w:r w:rsidR="08163013">
        <w:instrText xml:space="preserve"> XE "první averroismus:</w:instrText>
      </w:r>
      <w:r w:rsidR="08163013" w:rsidRPr="00730A2A">
        <w:rPr>
          <w:i/>
        </w:rPr>
        <w:instrText>pars Sigeri</w:instrText>
      </w:r>
      <w:r w:rsidR="08163013">
        <w:instrText xml:space="preserve">" </w:instrText>
      </w:r>
      <w:r w:rsidR="08163013">
        <w:rPr>
          <w:i/>
        </w:rPr>
        <w:fldChar w:fldCharType="end"/>
      </w:r>
      <w:r w:rsidR="08163013">
        <w:t xml:space="preserve">). </w:t>
      </w:r>
      <w:r w:rsidR="08163013" w:rsidRPr="00273106">
        <w:t>Předc</w:t>
      </w:r>
      <w:r w:rsidR="08163013">
        <w:t xml:space="preserve">hozí kapitoly ukázaly, že Siger </w:t>
      </w:r>
      <w:r w:rsidR="08163013" w:rsidRPr="00273106">
        <w:t xml:space="preserve">chápal srovnání zraku a myšlení </w:t>
      </w:r>
      <w:r w:rsidR="08163013">
        <w:t>v modu adekvace, stejně jako to měla CMDA pro smyslové a inteligibilní diafanum</w:t>
      </w:r>
      <w:r w:rsidR="08163013">
        <w:fldChar w:fldCharType="begin"/>
      </w:r>
      <w:r w:rsidR="08163013">
        <w:instrText xml:space="preserve"> XE "</w:instrText>
      </w:r>
      <w:r w:rsidR="08163013" w:rsidRPr="008A46A9">
        <w:instrText>diafanum:Siger</w:instrText>
      </w:r>
      <w:r w:rsidR="08163013">
        <w:instrText xml:space="preserve">" </w:instrText>
      </w:r>
      <w:r w:rsidR="08163013">
        <w:fldChar w:fldCharType="end"/>
      </w:r>
      <w:r w:rsidR="08163013">
        <w:t>. Proto odmítl neoplatonský model nasvícení jsoucna v intelektu, který nepotřeboval žádnou mediaci</w:t>
      </w:r>
      <w:r w:rsidR="08163013">
        <w:fldChar w:fldCharType="begin"/>
      </w:r>
      <w:r w:rsidR="08163013">
        <w:instrText xml:space="preserve"> XE "</w:instrText>
      </w:r>
      <w:r w:rsidR="08163013" w:rsidRPr="00FD53DE">
        <w:instrText>intelekt-slunce</w:instrText>
      </w:r>
      <w:r w:rsidR="08163013">
        <w:instrText xml:space="preserve">" </w:instrText>
      </w:r>
      <w:r w:rsidR="08163013">
        <w:fldChar w:fldCharType="end"/>
      </w:r>
      <w:r w:rsidR="08163013">
        <w:t xml:space="preserve">. </w:t>
      </w:r>
      <w:r w:rsidR="08163013" w:rsidRPr="00273106">
        <w:t>Nematerialita inte</w:t>
      </w:r>
      <w:r w:rsidR="08163013">
        <w:t>le</w:t>
      </w:r>
      <w:r w:rsidR="08163013" w:rsidRPr="00273106">
        <w:t xml:space="preserve">ktu odděleného od smyslů pro </w:t>
      </w:r>
      <w:r w:rsidR="08163013">
        <w:t xml:space="preserve">Sigera </w:t>
      </w:r>
      <w:r w:rsidR="08163013" w:rsidRPr="00273106">
        <w:t xml:space="preserve">znamenala, že je třeba </w:t>
      </w:r>
      <w:r w:rsidR="08163013">
        <w:t xml:space="preserve">vyložit </w:t>
      </w:r>
      <w:r w:rsidR="08163013" w:rsidRPr="00273106">
        <w:t xml:space="preserve">celou sérii adekvace myšlení a reality podle fenomenologie poznání </w:t>
      </w:r>
      <w:r w:rsidR="08163013">
        <w:t xml:space="preserve">dané v </w:t>
      </w:r>
      <w:r w:rsidR="08163013" w:rsidRPr="00273106">
        <w:t xml:space="preserve">CMDA. </w:t>
      </w:r>
      <w:r w:rsidR="08163013">
        <w:t>To znamená, že je třeba pečlivě vyložit různé mediace</w:t>
      </w:r>
      <w:r w:rsidR="08544479">
        <w:t xml:space="preserve"> dané smyslovým poznáním v DA I–</w:t>
      </w:r>
      <w:r w:rsidR="08163013">
        <w:t xml:space="preserve">II, což Siger provedl v Mnichovském rukopise. Aristotelovo a Komentátorovo </w:t>
      </w:r>
      <w:r w:rsidR="08163013" w:rsidRPr="08534C19">
        <w:rPr>
          <w:i/>
        </w:rPr>
        <w:t>intentum</w:t>
      </w:r>
      <w:r w:rsidR="08163013">
        <w:t xml:space="preserve"> je dané celkovou architekturou jejich myšlení podanou v Korpusu a specificky danou v případě zkoumání lidského pozznání skrze </w:t>
      </w:r>
      <w:r w:rsidR="00C03919">
        <w:t xml:space="preserve">všechny </w:t>
      </w:r>
      <w:r w:rsidR="08163013">
        <w:t xml:space="preserve">části </w:t>
      </w:r>
      <w:r w:rsidR="08163013" w:rsidRPr="08534C19">
        <w:rPr>
          <w:i/>
        </w:rPr>
        <w:t>De anima</w:t>
      </w:r>
      <w:r w:rsidR="08544479">
        <w:t xml:space="preserve"> I–</w:t>
      </w:r>
      <w:r w:rsidR="08163013">
        <w:t>III. Proto Siger říká na adresu Alberta a Akvinského, že nepochopili jádro aristotelismu (</w:t>
      </w:r>
      <w:r w:rsidR="08163013" w:rsidRPr="08726B53">
        <w:rPr>
          <w:i/>
        </w:rPr>
        <w:t>isti</w:t>
      </w:r>
      <w:r w:rsidR="08163013" w:rsidRPr="083364F9">
        <w:rPr>
          <w:i/>
        </w:rPr>
        <w:t xml:space="preserve"> viri deficiunt ab intentione Philosophi, nec intentum determinant</w:t>
      </w:r>
      <w:r w:rsidR="08544479">
        <w:t>, kap. 4</w:t>
      </w:r>
      <w:r w:rsidR="08163013" w:rsidRPr="08726B53">
        <w:t>.4.3)</w:t>
      </w:r>
      <w:r w:rsidR="08163013">
        <w:t xml:space="preserve">. </w:t>
      </w:r>
      <w:r w:rsidR="08163013" w:rsidRPr="00273106">
        <w:t xml:space="preserve">Akvinský </w:t>
      </w:r>
      <w:r w:rsidR="08163013">
        <w:t xml:space="preserve">chápe práci </w:t>
      </w:r>
      <w:r w:rsidR="08163013" w:rsidRPr="00273106">
        <w:t xml:space="preserve">intelektu a smyslů </w:t>
      </w:r>
      <w:r w:rsidR="08163013">
        <w:t xml:space="preserve">univočně, protože obojí individuální výkon duše je dán v modu v modu formální kauzality skrze mediaci </w:t>
      </w:r>
      <w:r w:rsidR="00962190">
        <w:rPr>
          <w:i/>
        </w:rPr>
        <w:t>species</w:t>
      </w:r>
      <w:r w:rsidR="08163013" w:rsidRPr="080C5736">
        <w:rPr>
          <w:i/>
        </w:rPr>
        <w:t xml:space="preserve"> sensibilis</w:t>
      </w:r>
      <w:r w:rsidR="08163013">
        <w:t xml:space="preserve"> a </w:t>
      </w:r>
      <w:r w:rsidR="08163013" w:rsidRPr="080C5736">
        <w:rPr>
          <w:i/>
        </w:rPr>
        <w:t>intelligibilis</w:t>
      </w:r>
      <w:r w:rsidR="08163013">
        <w:t xml:space="preserve">. </w:t>
      </w:r>
      <w:r w:rsidR="08163013" w:rsidRPr="00273106">
        <w:t>Fenome</w:t>
      </w:r>
      <w:r w:rsidR="08163013">
        <w:t>nologický přístup podle CMDA odmítl</w:t>
      </w:r>
      <w:r w:rsidR="08163013" w:rsidRPr="00273106">
        <w:t xml:space="preserve"> s tím, že </w:t>
      </w:r>
      <w:r w:rsidR="08163013">
        <w:t>Averroes</w:t>
      </w:r>
      <w:r w:rsidR="08163013" w:rsidRPr="00273106">
        <w:t xml:space="preserve"> chápe individuální akt myšlení v člověku skrze oddělený </w:t>
      </w:r>
      <w:r w:rsidR="08163013" w:rsidRPr="00273106">
        <w:rPr>
          <w:i/>
        </w:rPr>
        <w:t>intellectus possibilis</w:t>
      </w:r>
      <w:r w:rsidR="08163013">
        <w:rPr>
          <w:i/>
        </w:rPr>
        <w:fldChar w:fldCharType="begin"/>
      </w:r>
      <w:r w:rsidR="08163013">
        <w:instrText xml:space="preserve"> XE "</w:instrText>
      </w:r>
      <w:r w:rsidR="08163013" w:rsidRPr="00770D02">
        <w:rPr>
          <w:i/>
        </w:rPr>
        <w:instrText>intellectus possibilis</w:instrText>
      </w:r>
      <w:r w:rsidR="08163013">
        <w:rPr>
          <w:i/>
        </w:rPr>
        <w:instrText>:</w:instrText>
      </w:r>
      <w:r w:rsidR="08163013" w:rsidRPr="00DE0E91">
        <w:instrText>Akvinský</w:instrText>
      </w:r>
      <w:r w:rsidR="08163013">
        <w:instrText xml:space="preserve">" </w:instrText>
      </w:r>
      <w:r w:rsidR="08163013">
        <w:rPr>
          <w:i/>
        </w:rPr>
        <w:fldChar w:fldCharType="end"/>
      </w:r>
      <w:r w:rsidR="08163013" w:rsidRPr="00273106">
        <w:t xml:space="preserve">. Akvinský před návratem do Paříže </w:t>
      </w:r>
      <w:r w:rsidR="08163013">
        <w:t xml:space="preserve">buď </w:t>
      </w:r>
      <w:r w:rsidR="08163013" w:rsidRPr="00273106">
        <w:t>nepochopil učení CMDA</w:t>
      </w:r>
      <w:r w:rsidR="08163013">
        <w:t xml:space="preserve"> do hloubky nebo odmítl jeho závěry. Akvinský koncipoval formální intelekt v modu </w:t>
      </w:r>
      <w:r w:rsidR="08163013" w:rsidRPr="005A316A">
        <w:rPr>
          <w:i/>
        </w:rPr>
        <w:t>separa</w:t>
      </w:r>
      <w:r w:rsidR="08163013">
        <w:rPr>
          <w:i/>
        </w:rPr>
        <w:t>tus</w:t>
      </w:r>
      <w:r w:rsidR="08163013" w:rsidRPr="00273106">
        <w:t xml:space="preserve">, </w:t>
      </w:r>
      <w:r w:rsidR="08163013">
        <w:t xml:space="preserve">protože viděl </w:t>
      </w:r>
      <w:r w:rsidR="08163013" w:rsidRPr="00273106">
        <w:t xml:space="preserve">akt poznání </w:t>
      </w:r>
      <w:r w:rsidR="08163013">
        <w:t>z hlediska duše jako nesmrtelné formy. Podle Sigera je to možný výklad podle izolované exegeze DA III, ale nikoliv podle původní intence aristotelismu. Důkaz nemateriality duše je dán tím, že oddělený intelekt tvoří nemateriální hypostázi této formy (</w:t>
      </w:r>
      <w:r w:rsidR="08163013" w:rsidRPr="00B96DB8">
        <w:rPr>
          <w:i/>
        </w:rPr>
        <w:t>qua</w:t>
      </w:r>
      <w:r w:rsidR="08163013" w:rsidRPr="00B96DB8">
        <w:rPr>
          <w:i/>
          <w:vertAlign w:val="superscript"/>
        </w:rPr>
        <w:t>2</w:t>
      </w:r>
      <w:r w:rsidR="08163013" w:rsidRPr="006C7A0F">
        <w:rPr>
          <w:i/>
        </w:rPr>
        <w:fldChar w:fldCharType="begin"/>
      </w:r>
      <w:r w:rsidR="08163013" w:rsidRPr="006C7A0F">
        <w:instrText xml:space="preserve"> XE "intelekt:modus </w:instrText>
      </w:r>
      <w:r w:rsidR="08163013" w:rsidRPr="006C7A0F">
        <w:rPr>
          <w:i/>
        </w:rPr>
        <w:instrText>qua</w:instrText>
      </w:r>
      <w:r w:rsidR="08163013">
        <w:rPr>
          <w:i/>
          <w:vertAlign w:val="superscript"/>
        </w:rPr>
        <w:instrText>2</w:instrText>
      </w:r>
      <w:r w:rsidR="08163013" w:rsidRPr="006C7A0F">
        <w:instrText xml:space="preserve">" </w:instrText>
      </w:r>
      <w:r w:rsidR="08163013" w:rsidRPr="006C7A0F">
        <w:rPr>
          <w:i/>
        </w:rPr>
        <w:fldChar w:fldCharType="end"/>
      </w:r>
      <w:r w:rsidR="08163013">
        <w:t xml:space="preserve">). Tomismus definuje podstatu intelektu a duše </w:t>
      </w:r>
      <w:r w:rsidR="08163013" w:rsidRPr="00273106">
        <w:t>teolog</w:t>
      </w:r>
      <w:r w:rsidR="08163013">
        <w:t xml:space="preserve">icky, </w:t>
      </w:r>
      <w:r w:rsidR="08163013" w:rsidRPr="00273106">
        <w:t>a ne filosof</w:t>
      </w:r>
      <w:r w:rsidR="08163013">
        <w:t>icky</w:t>
      </w:r>
      <w:r w:rsidR="08163013" w:rsidRPr="00273106">
        <w:t xml:space="preserve">. </w:t>
      </w:r>
      <w:r w:rsidR="08163013">
        <w:t xml:space="preserve">Existenci nesmrtelné duše v individuální hylemorfické složenině bylo třeba </w:t>
      </w:r>
      <w:r w:rsidR="08163013" w:rsidRPr="00273106">
        <w:t xml:space="preserve">držet </w:t>
      </w:r>
      <w:r w:rsidR="08163013">
        <w:t xml:space="preserve">podle Tomáše </w:t>
      </w:r>
      <w:r w:rsidR="08163013" w:rsidRPr="00273106">
        <w:t>za každou cenu</w:t>
      </w:r>
      <w:r w:rsidR="08163013">
        <w:t xml:space="preserve"> proti latinským sofistům a averroistům, který měli univerzální hylemorfický dualismus duše a těla</w:t>
      </w:r>
      <w:r w:rsidR="08163013" w:rsidRPr="00273106">
        <w:t xml:space="preserve">. </w:t>
      </w:r>
      <w:r w:rsidR="00BB0684" w:rsidRPr="00273106">
        <w:t xml:space="preserve">Nesmrtelnost </w:t>
      </w:r>
      <w:r w:rsidR="00BB0684">
        <w:t xml:space="preserve">nemateriální </w:t>
      </w:r>
      <w:r w:rsidR="00BB0684" w:rsidRPr="00273106">
        <w:t xml:space="preserve">duše </w:t>
      </w:r>
      <w:r w:rsidR="00BB0684">
        <w:t xml:space="preserve">dané v jednotě osoby </w:t>
      </w:r>
      <w:r w:rsidR="00CB1702">
        <w:t xml:space="preserve">pro něj </w:t>
      </w:r>
      <w:r w:rsidR="00BB0684">
        <w:t xml:space="preserve">stojí na prvním místě. </w:t>
      </w:r>
      <w:r w:rsidR="08163013">
        <w:t>Modernisté zničili jednotu osoby, což bylo pro všechny Alvernovy žáky na Pařížské univerzitě naprosto nepř</w:t>
      </w:r>
      <w:r w:rsidR="00CB1702">
        <w:t>ípustné.</w:t>
      </w:r>
    </w:p>
    <w:p w:rsidR="08163013" w:rsidRPr="08BA24A6" w:rsidRDefault="08163013" w:rsidP="00834C76">
      <w:pPr>
        <w:ind w:firstLine="397"/>
      </w:pPr>
      <w:r w:rsidRPr="00273106">
        <w:t xml:space="preserve">Akvinský </w:t>
      </w:r>
      <w:r>
        <w:t xml:space="preserve">postupoval při kritice modernistů </w:t>
      </w:r>
      <w:r w:rsidRPr="00273106">
        <w:t>jin</w:t>
      </w:r>
      <w:r>
        <w:t xml:space="preserve">ým způsobem </w:t>
      </w:r>
      <w:r w:rsidRPr="00273106">
        <w:t>než Siger a Albert</w:t>
      </w:r>
      <w:r>
        <w:t>, kteří pochopili genialitu CMDA</w:t>
      </w:r>
      <w:r w:rsidRPr="00273106">
        <w:t xml:space="preserve">. Tomášův postoj k otázce </w:t>
      </w:r>
      <w:r w:rsidRPr="00273106">
        <w:rPr>
          <w:i/>
        </w:rPr>
        <w:t>intellectus possibilis</w:t>
      </w:r>
      <w:r w:rsidRPr="00273106">
        <w:t xml:space="preserve"> </w:t>
      </w:r>
      <w:r>
        <w:t>je dán kritikou</w:t>
      </w:r>
      <w:r w:rsidRPr="00273106">
        <w:t xml:space="preserve"> </w:t>
      </w:r>
      <w:r>
        <w:lastRenderedPageBreak/>
        <w:t>Averroes</w:t>
      </w:r>
      <w:r w:rsidRPr="00273106">
        <w:t>e</w:t>
      </w:r>
      <w:r>
        <w:t xml:space="preserve"> jako averroisty, která je provedena </w:t>
      </w:r>
      <w:r w:rsidRPr="00273106">
        <w:t>z formalistické a esencialistické pozice</w:t>
      </w:r>
      <w:r>
        <w:t xml:space="preserve">. Albert odmítl Tomášovu semiaverroistickou pozici nepřímo tím, že odmítl přijet do Paříže v roce 1270. Tento všemi uznávaný znalec CMDA by zde musel kritizovat svého žáka v podobném stylu, jako to udělal Siger. Moderna a její averroisté zvítězili mimo jiné i touto osudovou absencí Alberta v klíčovém sporu </w:t>
      </w:r>
      <w:r w:rsidR="00D8001F">
        <w:t>„</w:t>
      </w:r>
      <w:r w:rsidRPr="00D816E1">
        <w:rPr>
          <w:i/>
        </w:rPr>
        <w:t>homo ipse intell</w:t>
      </w:r>
      <w:r>
        <w:rPr>
          <w:i/>
        </w:rPr>
        <w:t>i</w:t>
      </w:r>
      <w:r w:rsidRPr="00D816E1">
        <w:rPr>
          <w:i/>
        </w:rPr>
        <w:t>git</w:t>
      </w:r>
      <w:r w:rsidR="00D8001F">
        <w:t xml:space="preserve">“. Albert by musel </w:t>
      </w:r>
      <w:r>
        <w:t xml:space="preserve">hájit svou pravdu o jednotě osoby nejen proti modernistům, ale i proti Akvinskému. Tomášova kritika vychází z hypostázovaného </w:t>
      </w:r>
      <w:r w:rsidRPr="00273106">
        <w:t xml:space="preserve">pojetí </w:t>
      </w:r>
      <w:r w:rsidRPr="00273106">
        <w:rPr>
          <w:i/>
        </w:rPr>
        <w:t>intellectus possibilis</w:t>
      </w:r>
      <w:r>
        <w:rPr>
          <w:i/>
        </w:rPr>
        <w:fldChar w:fldCharType="begin"/>
      </w:r>
      <w:r>
        <w:instrText xml:space="preserve"> XE "</w:instrText>
      </w:r>
      <w:r w:rsidRPr="00191848">
        <w:rPr>
          <w:i/>
        </w:rPr>
        <w:instrText>quartum genus</w:instrText>
      </w:r>
      <w:r>
        <w:instrText xml:space="preserve">" </w:instrText>
      </w:r>
      <w:r>
        <w:rPr>
          <w:i/>
        </w:rPr>
        <w:fldChar w:fldCharType="end"/>
      </w:r>
      <w:r w:rsidRPr="00273106">
        <w:t xml:space="preserve">, aniž by brala k </w:t>
      </w:r>
      <w:proofErr w:type="gramStart"/>
      <w:r w:rsidRPr="00273106">
        <w:t>úvahu</w:t>
      </w:r>
      <w:proofErr w:type="gramEnd"/>
      <w:r w:rsidRPr="00273106">
        <w:t xml:space="preserve"> pojetí </w:t>
      </w:r>
      <w:r>
        <w:t xml:space="preserve">tohoto </w:t>
      </w:r>
      <w:r w:rsidRPr="00273106">
        <w:t>intelektu obsažené v CMDA</w:t>
      </w:r>
      <w:r>
        <w:t xml:space="preserve"> v pojmu </w:t>
      </w:r>
      <w:r w:rsidRPr="00B21617">
        <w:rPr>
          <w:i/>
        </w:rPr>
        <w:t xml:space="preserve">tertium </w:t>
      </w:r>
      <w:r w:rsidRPr="089D145A">
        <w:t xml:space="preserve">a </w:t>
      </w:r>
      <w:r>
        <w:rPr>
          <w:i/>
        </w:rPr>
        <w:t xml:space="preserve">quartum </w:t>
      </w:r>
      <w:r w:rsidR="00962190">
        <w:rPr>
          <w:i/>
        </w:rPr>
        <w:t>genus</w:t>
      </w:r>
      <w:r>
        <w:rPr>
          <w:i/>
        </w:rPr>
        <w:fldChar w:fldCharType="begin"/>
      </w:r>
      <w:r>
        <w:instrText xml:space="preserve"> XE "</w:instrText>
      </w:r>
      <w:r w:rsidRPr="00D80F84">
        <w:rPr>
          <w:i/>
        </w:rPr>
        <w:instrText>tertium genus</w:instrText>
      </w:r>
      <w:r>
        <w:instrText xml:space="preserve">" </w:instrText>
      </w:r>
      <w:r>
        <w:rPr>
          <w:i/>
        </w:rPr>
        <w:fldChar w:fldCharType="end"/>
      </w:r>
      <w:r w:rsidRPr="00273106">
        <w:t xml:space="preserve">. </w:t>
      </w:r>
      <w:r>
        <w:t xml:space="preserve">Následující citát z </w:t>
      </w:r>
      <w:r w:rsidRPr="00273106">
        <w:t xml:space="preserve">římské disputace </w:t>
      </w:r>
      <w:r w:rsidRPr="00273106">
        <w:rPr>
          <w:i/>
        </w:rPr>
        <w:t>De spiritualibus creaturis</w:t>
      </w:r>
      <w:r>
        <w:t xml:space="preserve"> (asi </w:t>
      </w:r>
      <w:r w:rsidRPr="00273106">
        <w:t>1268</w:t>
      </w:r>
      <w:r>
        <w:t xml:space="preserve">) </w:t>
      </w:r>
      <w:r w:rsidRPr="00273106">
        <w:t xml:space="preserve">redigované před druhým návratem do Paříže </w:t>
      </w:r>
      <w:r>
        <w:t>znovu definuje</w:t>
      </w:r>
      <w:r w:rsidRPr="00273106">
        <w:t xml:space="preserve"> averroismus </w:t>
      </w:r>
      <w:r>
        <w:t>Averroes</w:t>
      </w:r>
      <w:r w:rsidRPr="00273106">
        <w:t>e</w:t>
      </w:r>
      <w:r>
        <w:t xml:space="preserve"> po vzoru prvních textů (kap. 6.5.1)</w:t>
      </w:r>
      <w:r w:rsidRPr="00273106">
        <w:t>.</w:t>
      </w:r>
      <w:r w:rsidRPr="001B3005">
        <w:t xml:space="preserve"> </w:t>
      </w:r>
      <w:r w:rsidRPr="00273106">
        <w:rPr>
          <w:rStyle w:val="ref"/>
        </w:rPr>
        <w:t xml:space="preserve">Citát navazuje na </w:t>
      </w:r>
      <w:r>
        <w:rPr>
          <w:rStyle w:val="ref"/>
        </w:rPr>
        <w:t xml:space="preserve">původní pozici </w:t>
      </w:r>
      <w:r w:rsidRPr="00273106">
        <w:rPr>
          <w:rStyle w:val="ref"/>
        </w:rPr>
        <w:t xml:space="preserve">syntézu tím, že koriguje domnělý averroismus </w:t>
      </w:r>
      <w:r>
        <w:rPr>
          <w:rStyle w:val="ref"/>
        </w:rPr>
        <w:t xml:space="preserve">Averroese. Do původního schématu se zapojil průběh </w:t>
      </w:r>
      <w:r w:rsidR="08F34638">
        <w:rPr>
          <w:rStyle w:val="ref"/>
        </w:rPr>
        <w:t xml:space="preserve">poznání ze spisu </w:t>
      </w:r>
      <w:r w:rsidRPr="00821BDA">
        <w:rPr>
          <w:rStyle w:val="ref"/>
          <w:i/>
        </w:rPr>
        <w:t>De</w:t>
      </w:r>
      <w:r>
        <w:rPr>
          <w:rStyle w:val="ref"/>
        </w:rPr>
        <w:t xml:space="preserve"> </w:t>
      </w:r>
      <w:r w:rsidRPr="00273106">
        <w:rPr>
          <w:rStyle w:val="ref"/>
          <w:i/>
        </w:rPr>
        <w:t>potentia</w:t>
      </w:r>
      <w:r>
        <w:rPr>
          <w:rStyle w:val="ref"/>
        </w:rPr>
        <w:t xml:space="preserve">, který je dělaný podle schématu </w:t>
      </w:r>
      <w:r>
        <w:t xml:space="preserve">CMDA. Ale tento výklad Akvinský nemohl přijmout, takže zvedl do CMDA jsoucno třetího druhu v modu </w:t>
      </w:r>
      <w:r w:rsidR="00152352">
        <w:t>„</w:t>
      </w:r>
      <w:r w:rsidRPr="08BA24A6">
        <w:rPr>
          <w:i/>
        </w:rPr>
        <w:t>duplex esse</w:t>
      </w:r>
      <w:r w:rsidR="00152352">
        <w:t>“</w:t>
      </w:r>
      <w:r>
        <w:t xml:space="preserve">. Výsledný tomistický výklad Averrose a CMDA v averroistickém modu </w:t>
      </w:r>
      <w:r w:rsidRPr="087246EE">
        <w:rPr>
          <w:i/>
        </w:rPr>
        <w:t>continuatio</w:t>
      </w:r>
      <w:r>
        <w:t xml:space="preserve"> podává tento citát.</w:t>
      </w:r>
    </w:p>
    <w:p w:rsidR="08163013" w:rsidRDefault="08163013" w:rsidP="08163013">
      <w:pPr>
        <w:pStyle w:val="Citace"/>
        <w:rPr>
          <w:noProof/>
          <w:lang w:val="cs-CZ"/>
        </w:rPr>
      </w:pPr>
      <w:r w:rsidRPr="00273106">
        <w:rPr>
          <w:noProof/>
          <w:lang w:val="cs-CZ"/>
        </w:rPr>
        <w:t>„</w:t>
      </w:r>
      <w:r>
        <w:rPr>
          <w:noProof/>
          <w:lang w:val="cs-CZ"/>
        </w:rPr>
        <w:t>Averroes podal možný intelekt jako substanci oddělenou od těla (</w:t>
      </w:r>
      <w:r w:rsidRPr="00CC3A00">
        <w:rPr>
          <w:i/>
          <w:noProof/>
        </w:rPr>
        <w:t>posuit intellectum possibilem, secundum esse, separatum a corpore</w:t>
      </w:r>
      <w:r>
        <w:rPr>
          <w:noProof/>
          <w:lang w:val="cs-CZ"/>
        </w:rPr>
        <w:t>). Viděl ale, že pokud není nějaké spojení tohoto intelektu s reálným člověkem, pak působení tohoto intelektu nemůže být dáno v jednotlivci. Pokud totiž jsou dány dvě z</w:t>
      </w:r>
      <w:r w:rsidR="08A974C7">
        <w:rPr>
          <w:noProof/>
          <w:lang w:val="cs-CZ"/>
        </w:rPr>
        <w:t xml:space="preserve">cela oddělené substance, pak </w:t>
      </w:r>
      <w:r>
        <w:rPr>
          <w:noProof/>
          <w:lang w:val="cs-CZ"/>
        </w:rPr>
        <w:t xml:space="preserve">činná </w:t>
      </w:r>
      <w:r w:rsidR="08A974C7">
        <w:rPr>
          <w:noProof/>
          <w:lang w:val="cs-CZ"/>
        </w:rPr>
        <w:t xml:space="preserve">substance </w:t>
      </w:r>
      <w:r>
        <w:rPr>
          <w:noProof/>
          <w:lang w:val="cs-CZ"/>
        </w:rPr>
        <w:t>nemá jak působit na tu druhou, a tím nejsou schopny interakce. Proto nechal tento trpný intelekt, který považoval za substanci zcela (</w:t>
      </w:r>
      <w:r w:rsidRPr="00CC3A00">
        <w:rPr>
          <w:i/>
          <w:noProof/>
          <w:lang w:val="cs-CZ"/>
        </w:rPr>
        <w:t>omnino</w:t>
      </w:r>
      <w:r>
        <w:rPr>
          <w:noProof/>
          <w:lang w:val="cs-CZ"/>
        </w:rPr>
        <w:t>) oddělenou od těla,  aby byl spojen s</w:t>
      </w:r>
      <w:r w:rsidR="08832945">
        <w:rPr>
          <w:noProof/>
          <w:lang w:val="cs-CZ"/>
        </w:rPr>
        <w:t xml:space="preserve"> reálným </w:t>
      </w:r>
      <w:r>
        <w:rPr>
          <w:noProof/>
          <w:lang w:val="cs-CZ"/>
        </w:rPr>
        <w:t>člověkem skrze fantasmata (</w:t>
      </w:r>
      <w:r w:rsidRPr="08E86169">
        <w:rPr>
          <w:i/>
          <w:noProof/>
        </w:rPr>
        <w:t>continuari cum hoc homine per phantasmata</w:t>
      </w:r>
      <w:r>
        <w:rPr>
          <w:noProof/>
          <w:lang w:val="cs-CZ"/>
        </w:rPr>
        <w:t xml:space="preserve">). Inteligibilní </w:t>
      </w:r>
      <w:r w:rsidR="00962190">
        <w:rPr>
          <w:i/>
          <w:noProof/>
          <w:lang w:val="cs-CZ"/>
        </w:rPr>
        <w:t>species</w:t>
      </w:r>
      <w:r>
        <w:rPr>
          <w:noProof/>
          <w:lang w:val="cs-CZ"/>
        </w:rPr>
        <w:t xml:space="preserve">, která je završením možného intelektu, je založena ve fantasmatech, od nichž je tato </w:t>
      </w:r>
      <w:r w:rsidR="00962190">
        <w:rPr>
          <w:i/>
          <w:noProof/>
          <w:lang w:val="cs-CZ"/>
        </w:rPr>
        <w:t>species</w:t>
      </w:r>
      <w:r>
        <w:rPr>
          <w:noProof/>
          <w:lang w:val="cs-CZ"/>
        </w:rPr>
        <w:t xml:space="preserve"> abstrahována.“ </w:t>
      </w:r>
      <w:r>
        <w:rPr>
          <w:rStyle w:val="Znakapoznpodarou"/>
        </w:rPr>
        <w:footnoteReference w:id="333"/>
      </w:r>
    </w:p>
    <w:p w:rsidR="00C608DA" w:rsidRDefault="00C608DA" w:rsidP="08163013">
      <w:r>
        <w:t>Možný intelekt je v CMDA skutečně oddělen od těla (</w:t>
      </w:r>
      <w:r w:rsidRPr="00C608DA">
        <w:rPr>
          <w:i/>
        </w:rPr>
        <w:t>separatum a corpore</w:t>
      </w:r>
      <w:r>
        <w:t xml:space="preserve">), ale jiným způsobem, než předpokládá tento objektivní a esencialistický popis. Akvinský používá část argumentu CMDA v souladu s tezí </w:t>
      </w:r>
      <w:r w:rsidRPr="00C608DA">
        <w:rPr>
          <w:i/>
        </w:rPr>
        <w:t>De anima</w:t>
      </w:r>
      <w:r>
        <w:t xml:space="preserve"> o odděleném intelektu, viz Aristotelovo θύραθεν a Sigersovo </w:t>
      </w:r>
      <w:r w:rsidRPr="00C608DA">
        <w:rPr>
          <w:i/>
        </w:rPr>
        <w:t>ab extrinseco</w:t>
      </w:r>
      <w:r>
        <w:t xml:space="preserve"> (kap. 4.4.1). Chyba tomistické interpretace CMDA spočívá v určení možného intelektu jako kosmické substance oddělené od těla (</w:t>
      </w:r>
      <w:r w:rsidRPr="00C608DA">
        <w:rPr>
          <w:i/>
        </w:rPr>
        <w:t xml:space="preserve">intellectum </w:t>
      </w:r>
      <w:r w:rsidRPr="00C608DA">
        <w:rPr>
          <w:i/>
        </w:rPr>
        <w:lastRenderedPageBreak/>
        <w:t>possibilem, secundum esse</w:t>
      </w:r>
      <w:r>
        <w:t xml:space="preserve">). To je zásadně chybné. V nebeské sféře žádný možný intelekt neexistuje, neboť kosmické inteligence existují jako </w:t>
      </w:r>
      <w:r w:rsidRPr="00C608DA">
        <w:rPr>
          <w:i/>
        </w:rPr>
        <w:t>intellectus agens</w:t>
      </w:r>
      <w:r>
        <w:t xml:space="preserve">. Podle učení Akvinského během jeho prvního pobytu v Paříži (kap. 4.5.1) se jejich receptivita vyskytuje jako stupeň potenciality </w:t>
      </w:r>
      <w:r w:rsidRPr="00C608DA">
        <w:rPr>
          <w:i/>
        </w:rPr>
        <w:t>intellectus agens</w:t>
      </w:r>
      <w:r>
        <w:t xml:space="preserve">. V návaznosti na Avicennovu interpretaci spisu </w:t>
      </w:r>
      <w:r w:rsidRPr="00C608DA">
        <w:rPr>
          <w:i/>
        </w:rPr>
        <w:t>De anima</w:t>
      </w:r>
      <w:r>
        <w:t xml:space="preserve"> Akvinský vyloučil receptivitu kosmických substancí z materiálního světa, resp. z Avicennova </w:t>
      </w:r>
      <w:r w:rsidRPr="00C608DA">
        <w:rPr>
          <w:i/>
        </w:rPr>
        <w:t>intellectus materialis</w:t>
      </w:r>
      <w:r>
        <w:t xml:space="preserve">. Teorie kosmického </w:t>
      </w:r>
      <w:r w:rsidRPr="00C608DA">
        <w:rPr>
          <w:i/>
        </w:rPr>
        <w:t>intellectus possibilis</w:t>
      </w:r>
      <w:r>
        <w:t xml:space="preserve"> je natolik nesmyslná, že ji nelze zdůvodnit ani podle Avicennových měřítek. Ve skutečnosti je to pantetická teorie Davida Dinanta, která byla odsouzena v Paříži roku 1215 (OBJ II, kap. 2.1.3). </w:t>
      </w:r>
      <w:r w:rsidRPr="00C608DA">
        <w:t xml:space="preserve">To je důvod, proč Aegidius odsoudil Averroese jako kacíře, který překroutil </w:t>
      </w:r>
      <w:r>
        <w:t xml:space="preserve">dokonce </w:t>
      </w:r>
      <w:r w:rsidRPr="00C608DA">
        <w:t>i islámský monotei</w:t>
      </w:r>
      <w:r>
        <w:t>smus. Akvinský ve svém výkladu K</w:t>
      </w:r>
      <w:r w:rsidRPr="00C608DA">
        <w:t>omentátora radikalizoval esencialistický výklad CMDA p</w:t>
      </w:r>
      <w:r>
        <w:t xml:space="preserve">odle avicenismu toledské školy </w:t>
      </w:r>
      <w:r w:rsidR="08163013">
        <w:fldChar w:fldCharType="begin"/>
      </w:r>
      <w:r w:rsidR="08163013">
        <w:instrText xml:space="preserve"> XE "</w:instrText>
      </w:r>
      <w:r w:rsidR="08163013" w:rsidRPr="081D66D9">
        <w:instrText>Toledská škola</w:instrText>
      </w:r>
      <w:r w:rsidR="08163013">
        <w:instrText xml:space="preserve">" </w:instrText>
      </w:r>
      <w:r w:rsidR="08163013">
        <w:fldChar w:fldCharType="end"/>
      </w:r>
      <w:r>
        <w:t>.</w:t>
      </w:r>
    </w:p>
    <w:p w:rsidR="08163013" w:rsidRDefault="08163013" w:rsidP="000802BE">
      <w:pPr>
        <w:ind w:firstLine="397"/>
      </w:pPr>
      <w:r>
        <w:t xml:space="preserve">V tomto averroistickém určení intelektu se zásadně rozchází Akvinského výklad CMDA v modu </w:t>
      </w:r>
      <w:r w:rsidRPr="00B13B68">
        <w:rPr>
          <w:i/>
        </w:rPr>
        <w:t>separatus</w:t>
      </w:r>
      <w:r>
        <w:t xml:space="preserve"> a Sigerův výklad v modu </w:t>
      </w:r>
      <w:r w:rsidRPr="00B13B68">
        <w:rPr>
          <w:i/>
        </w:rPr>
        <w:t>separabilis</w:t>
      </w:r>
      <w:r>
        <w:rPr>
          <w:i/>
        </w:rPr>
        <w:fldChar w:fldCharType="begin"/>
      </w:r>
      <w:r>
        <w:instrText xml:space="preserve"> XE "intelekt:</w:instrText>
      </w:r>
      <w:r w:rsidRPr="00D720A9">
        <w:rPr>
          <w:i/>
        </w:rPr>
        <w:instrText>separabilis/separatus</w:instrText>
      </w:r>
      <w:r>
        <w:instrText xml:space="preserve">" </w:instrText>
      </w:r>
      <w:r>
        <w:rPr>
          <w:i/>
        </w:rPr>
        <w:fldChar w:fldCharType="end"/>
      </w:r>
      <w:r>
        <w:t xml:space="preserve"> (</w:t>
      </w:r>
      <w:r w:rsidR="087E5DE3">
        <w:rPr>
          <w:lang w:eastAsia="en-US"/>
        </w:rPr>
        <w:t>kap. 4</w:t>
      </w:r>
      <w:r>
        <w:rPr>
          <w:lang w:eastAsia="en-US"/>
        </w:rPr>
        <w:t>.4.2</w:t>
      </w:r>
      <w:r>
        <w:t xml:space="preserve">). Bytí intelektu jako </w:t>
      </w:r>
      <w:r w:rsidRPr="00CB7AD1">
        <w:rPr>
          <w:i/>
        </w:rPr>
        <w:t xml:space="preserve">quartum </w:t>
      </w:r>
      <w:r w:rsidR="00962190">
        <w:rPr>
          <w:i/>
        </w:rPr>
        <w:t>genus</w:t>
      </w:r>
      <w:r>
        <w:rPr>
          <w:i/>
        </w:rPr>
        <w:fldChar w:fldCharType="begin"/>
      </w:r>
      <w:r>
        <w:instrText xml:space="preserve"> XE "</w:instrText>
      </w:r>
      <w:r w:rsidRPr="00191848">
        <w:rPr>
          <w:i/>
        </w:rPr>
        <w:instrText>quartum genus</w:instrText>
      </w:r>
      <w:r>
        <w:instrText xml:space="preserve">" </w:instrText>
      </w:r>
      <w:r>
        <w:rPr>
          <w:i/>
        </w:rPr>
        <w:fldChar w:fldCharType="end"/>
      </w:r>
      <w:r>
        <w:t xml:space="preserve"> je pro Averroese a pro Sigera pouze univerzální bytí intelektu jako konceptu v mysli. Tento </w:t>
      </w:r>
      <w:r w:rsidRPr="08D729E2">
        <w:rPr>
          <w:i/>
        </w:rPr>
        <w:t>intellectus possibilis</w:t>
      </w:r>
      <w:r>
        <w:t xml:space="preserve"> neexistuje v žádné oddělené formě, protože potence nemá vlastní bytí. Akvinský sáhl pro záchranu nesmrtelnosti duše do inventáře porretánského pojetí existence jako objektivního </w:t>
      </w:r>
      <w:r w:rsidRPr="00B50A62">
        <w:rPr>
          <w:i/>
        </w:rPr>
        <w:t>exsistere</w:t>
      </w:r>
      <w:r>
        <w:rPr>
          <w:i/>
        </w:rPr>
        <w:fldChar w:fldCharType="begin"/>
      </w:r>
      <w:r>
        <w:instrText xml:space="preserve"> XE "</w:instrText>
      </w:r>
      <w:r w:rsidRPr="00D6307D">
        <w:rPr>
          <w:i/>
        </w:rPr>
        <w:instrText>exsistere</w:instrText>
      </w:r>
      <w:r>
        <w:instrText xml:space="preserve">" </w:instrText>
      </w:r>
      <w:r>
        <w:rPr>
          <w:i/>
        </w:rPr>
        <w:fldChar w:fldCharType="end"/>
      </w:r>
      <w:r>
        <w:t>. Citujme znovu klíčovou větu ze Sigerova prvního komentáře k DA III, kterou musel Akvinský znát v roce 1270 jako klasický výklad CMDA předložený na Rue du Fouarre.</w:t>
      </w:r>
      <w:r>
        <w:rPr>
          <w:rStyle w:val="Znakapoznpodarou"/>
        </w:rPr>
        <w:footnoteReference w:id="334"/>
      </w:r>
      <w:r>
        <w:t xml:space="preserve"> Toto pojetí možného intelektu v modu </w:t>
      </w:r>
      <w:r w:rsidR="0068494F">
        <w:t>„</w:t>
      </w:r>
      <w:r w:rsidRPr="000465F8">
        <w:rPr>
          <w:i/>
        </w:rPr>
        <w:t>solum est in potentia</w:t>
      </w:r>
      <w:r w:rsidR="0068494F">
        <w:t>“</w:t>
      </w:r>
      <w:r>
        <w:t xml:space="preserve"> nechce Akvinský vidět a přitom dobře ví, že tato teze představuje oficiální výklad Komentátora podle magistrů v Rue du Fouarre. Tomáš udělal z Averroesova </w:t>
      </w:r>
      <w:r w:rsidRPr="08D729E2">
        <w:rPr>
          <w:i/>
        </w:rPr>
        <w:t>intellectus possibilis</w:t>
      </w:r>
      <w:r>
        <w:t xml:space="preserve"> jako plně oddělen</w:t>
      </w:r>
      <w:r w:rsidR="00110163">
        <w:t>ou kosmickou substanci.</w:t>
      </w:r>
      <w:r>
        <w:t xml:space="preserve"> Tento avicennistický výklad CMDA zásadně odmítl Siger jako moderní sofisma </w:t>
      </w:r>
      <w:r w:rsidR="00340B23">
        <w:t xml:space="preserve">šířené </w:t>
      </w:r>
      <w:r w:rsidR="00340B23" w:rsidRPr="00340B23">
        <w:t>v některých oxfordských (Rufus) a pařížských kruzích (Filip Kancléř).</w:t>
      </w:r>
      <w:r w:rsidR="00340B23">
        <w:t xml:space="preserve"> </w:t>
      </w:r>
      <w:r>
        <w:t xml:space="preserve">Definice averroistického </w:t>
      </w:r>
      <w:r w:rsidRPr="089F7FD0">
        <w:rPr>
          <w:i/>
        </w:rPr>
        <w:t>intellectus possibilis</w:t>
      </w:r>
      <w:r>
        <w:t xml:space="preserve"> už nemá diferenciaci skrze kosmickou </w:t>
      </w:r>
      <w:r w:rsidRPr="08837AE2">
        <w:rPr>
          <w:i/>
        </w:rPr>
        <w:t>materia prima</w:t>
      </w:r>
      <w:r>
        <w:t xml:space="preserve"> podle Davida z Dinantu, protože to by v dané fázi sporu s prvním averroismem Sigera po vydání QIIIDA působilo dost směšně. </w:t>
      </w:r>
      <w:r w:rsidRPr="00273106">
        <w:t xml:space="preserve">Akvinský udělal z </w:t>
      </w:r>
      <w:r>
        <w:t>Averroes</w:t>
      </w:r>
      <w:r w:rsidRPr="00273106">
        <w:t xml:space="preserve">e moderního </w:t>
      </w:r>
      <w:r>
        <w:t>a</w:t>
      </w:r>
      <w:r w:rsidRPr="00273106">
        <w:t>lexandrovce</w:t>
      </w:r>
      <w:r>
        <w:fldChar w:fldCharType="begin"/>
      </w:r>
      <w:r>
        <w:instrText xml:space="preserve"> XE "alexandrovci" </w:instrText>
      </w:r>
      <w:r>
        <w:fldChar w:fldCharType="end"/>
      </w:r>
      <w:r w:rsidR="007C67BD">
        <w:t xml:space="preserve">. To byla </w:t>
      </w:r>
      <w:r w:rsidRPr="00273106">
        <w:t>čistá sofistika</w:t>
      </w:r>
      <w:r>
        <w:t xml:space="preserve"> v modelu druhého averroismu, kterou v Paříži </w:t>
      </w:r>
      <w:r w:rsidR="08EB2C31">
        <w:t>poprvé prezentoval Rufus (kap. 3</w:t>
      </w:r>
      <w:r>
        <w:t>.3.3)</w:t>
      </w:r>
      <w:r w:rsidRPr="00273106">
        <w:t xml:space="preserve">. </w:t>
      </w:r>
      <w:r>
        <w:t>Tomášův c</w:t>
      </w:r>
      <w:r w:rsidRPr="00273106">
        <w:t xml:space="preserve">itát hned </w:t>
      </w:r>
      <w:r>
        <w:t>na začátku říká</w:t>
      </w:r>
      <w:r w:rsidRPr="00273106">
        <w:t xml:space="preserve">, že této „chyby“ si </w:t>
      </w:r>
      <w:r w:rsidRPr="00273106">
        <w:lastRenderedPageBreak/>
        <w:t xml:space="preserve">byl </w:t>
      </w:r>
      <w:r>
        <w:t>Averroes</w:t>
      </w:r>
      <w:r w:rsidRPr="00273106">
        <w:t xml:space="preserve"> vědom (</w:t>
      </w:r>
      <w:r w:rsidRPr="00273106">
        <w:rPr>
          <w:i/>
        </w:rPr>
        <w:t>vidit tamen</w:t>
      </w:r>
      <w:r w:rsidRPr="00273106">
        <w:t>).</w:t>
      </w:r>
      <w:r>
        <w:t xml:space="preserve"> Srovnejme tento výrok s výše citovanou verzí Oxfordského rukopisu (</w:t>
      </w:r>
      <w:r w:rsidRPr="00FE3E96">
        <w:rPr>
          <w:i/>
        </w:rPr>
        <w:t>per rationes quas ponit Commentator contra seipsum</w:t>
      </w:r>
      <w:r>
        <w:t xml:space="preserve">; </w:t>
      </w:r>
      <w:r w:rsidRPr="00273106">
        <w:t>O 3.7, p. 314.51</w:t>
      </w:r>
      <w:r w:rsidRPr="00273106">
        <w:rPr>
          <w:rFonts w:ascii="Arial" w:hAnsi="Arial" w:cs="Arial"/>
        </w:rPr>
        <w:t>‒</w:t>
      </w:r>
      <w:r w:rsidRPr="00273106">
        <w:rPr>
          <w:rFonts w:cs="Calibri"/>
        </w:rPr>
        <w:t>54)</w:t>
      </w:r>
      <w:r>
        <w:rPr>
          <w:rFonts w:cs="Calibri"/>
        </w:rPr>
        <w:t>.</w:t>
      </w:r>
      <w:r w:rsidR="005337C3">
        <w:t xml:space="preserve"> </w:t>
      </w:r>
      <w:r w:rsidR="005337C3" w:rsidRPr="005337C3">
        <w:t>Akvinský udělal z Komentátora hlupáka dokonce dvakrát: za prvé, jeh</w:t>
      </w:r>
      <w:r w:rsidR="005337C3">
        <w:t>o teorie byla chybná</w:t>
      </w:r>
      <w:r w:rsidR="005337C3" w:rsidRPr="005337C3">
        <w:t>; za druhé, byl to druhořadý filozof, který viděl svůj omyl a nebyl schopen ho napravit. To je nejen špatný úsudek o Averroesovi, ale i zlý úmysl zničit ho jako zakladate</w:t>
      </w:r>
      <w:r w:rsidR="005337C3">
        <w:t xml:space="preserve">le klasické západní metafyziky. Tomáš </w:t>
      </w:r>
      <w:r>
        <w:t xml:space="preserve">převedl specifickou činnost receptivního intelektu do dichotomie poznání v rámci </w:t>
      </w:r>
      <w:r w:rsidRPr="00656CC5">
        <w:rPr>
          <w:i/>
        </w:rPr>
        <w:t>duplex esse</w:t>
      </w:r>
      <w:r w:rsidRPr="00273106">
        <w:t xml:space="preserve">, což po něm </w:t>
      </w:r>
      <w:r>
        <w:t>z</w:t>
      </w:r>
      <w:r w:rsidRPr="00273106">
        <w:t>opa</w:t>
      </w:r>
      <w:r>
        <w:t>koval Aegidius jako autor třetí části Oxfordského rukopisu</w:t>
      </w:r>
      <w:r w:rsidRPr="00273106">
        <w:t xml:space="preserve">. </w:t>
      </w:r>
      <w:r>
        <w:t>Klíčový problém averroistického výkladu Averroese ve škole prvního averroismu (Akvinský, Aegidius) tkví v přímém spojení možného intelektu jako externí substance s individuálními fantasmaty (</w:t>
      </w:r>
      <w:r w:rsidRPr="005A0646">
        <w:rPr>
          <w:i/>
        </w:rPr>
        <w:t>continuari cum hoc homine per phantasmata</w:t>
      </w:r>
      <w:r>
        <w:t xml:space="preserve">). Teorie tomistického </w:t>
      </w:r>
      <w:r w:rsidRPr="08760321">
        <w:rPr>
          <w:i/>
        </w:rPr>
        <w:t>continuatio</w:t>
      </w:r>
      <w:r>
        <w:t xml:space="preserve"> vytvořila novou averroistickou verzi </w:t>
      </w:r>
      <w:r w:rsidRPr="08D729E2">
        <w:rPr>
          <w:i/>
        </w:rPr>
        <w:t>intellectus possibilis</w:t>
      </w:r>
      <w:r>
        <w:t xml:space="preserve"> odlišnou od averroismu Bonaventurovy školy. Tomáš navázal práci odděleného receptivního intelektu na individuální </w:t>
      </w:r>
      <w:r w:rsidR="00962190">
        <w:rPr>
          <w:i/>
        </w:rPr>
        <w:t>species</w:t>
      </w:r>
      <w:r w:rsidRPr="08760321">
        <w:rPr>
          <w:i/>
        </w:rPr>
        <w:t xml:space="preserve"> intelligibilis</w:t>
      </w:r>
      <w:r>
        <w:t xml:space="preserve"> dané nikoliv jako </w:t>
      </w:r>
      <w:r w:rsidRPr="08760321">
        <w:rPr>
          <w:i/>
        </w:rPr>
        <w:t>tertium ens</w:t>
      </w:r>
      <w:r>
        <w:t xml:space="preserve"> modernistů, ale jako intencionální předmět Blundovy školy a prvního averroismu. Roli </w:t>
      </w:r>
      <w:r w:rsidR="00962190">
        <w:rPr>
          <w:i/>
        </w:rPr>
        <w:t>species</w:t>
      </w:r>
      <w:r w:rsidRPr="08760321">
        <w:rPr>
          <w:i/>
        </w:rPr>
        <w:t xml:space="preserve"> intelligibilis</w:t>
      </w:r>
      <w:r>
        <w:t xml:space="preserve">  pro individuální akt poznání analyzoval výše uvedený spis </w:t>
      </w:r>
      <w:r w:rsidRPr="08585FBB">
        <w:rPr>
          <w:i/>
        </w:rPr>
        <w:t>De potentia</w:t>
      </w:r>
      <w:r>
        <w:t xml:space="preserve"> (kap. </w:t>
      </w:r>
      <w:r w:rsidR="08CD026A">
        <w:t>4</w:t>
      </w:r>
      <w:r>
        <w:t xml:space="preserve">.5.2), který vznikl ve stejné době jako první část </w:t>
      </w:r>
      <w:r w:rsidRPr="08BD744D">
        <w:rPr>
          <w:i/>
        </w:rPr>
        <w:t>Teologické Summy</w:t>
      </w:r>
      <w:r>
        <w:t xml:space="preserve">. Akvinského </w:t>
      </w:r>
      <w:r w:rsidR="000802BE">
        <w:t>kritiku</w:t>
      </w:r>
      <w:r w:rsidRPr="00273106">
        <w:t xml:space="preserve"> </w:t>
      </w:r>
      <w:r>
        <w:t xml:space="preserve">Averrosese ve spise </w:t>
      </w:r>
      <w:r w:rsidRPr="00273106">
        <w:rPr>
          <w:i/>
        </w:rPr>
        <w:t>De spiritualibus creaturis</w:t>
      </w:r>
      <w:r>
        <w:rPr>
          <w:i/>
        </w:rPr>
        <w:t xml:space="preserve"> </w:t>
      </w:r>
      <w:r w:rsidR="000802BE">
        <w:t>převzal Aegidius</w:t>
      </w:r>
      <w:r w:rsidRPr="00273106">
        <w:t xml:space="preserve"> Roman</w:t>
      </w:r>
      <w:r w:rsidR="000802BE">
        <w:t xml:space="preserve">us </w:t>
      </w:r>
      <w:r>
        <w:t xml:space="preserve">a </w:t>
      </w:r>
      <w:r w:rsidR="000802BE">
        <w:t xml:space="preserve">šířil jako </w:t>
      </w:r>
      <w:r w:rsidRPr="00B90EF4">
        <w:rPr>
          <w:i/>
        </w:rPr>
        <w:t>reportatio</w:t>
      </w:r>
      <w:r>
        <w:t xml:space="preserve"> v anonymních </w:t>
      </w:r>
      <w:r w:rsidR="000802BE">
        <w:t xml:space="preserve">spisech (ms. Oxford, an. Bazán). </w:t>
      </w:r>
      <w:r w:rsidR="000802BE" w:rsidRPr="000802BE">
        <w:t xml:space="preserve">Tento druh zlovolného tomismu byl </w:t>
      </w:r>
      <w:r w:rsidR="000802BE">
        <w:t xml:space="preserve">a </w:t>
      </w:r>
      <w:r w:rsidR="000802BE" w:rsidRPr="000802BE">
        <w:t xml:space="preserve">stále </w:t>
      </w:r>
      <w:r w:rsidR="000802BE">
        <w:t xml:space="preserve">je </w:t>
      </w:r>
      <w:r w:rsidR="000802BE" w:rsidRPr="000802BE">
        <w:t>považován za objektivní defin</w:t>
      </w:r>
      <w:r w:rsidR="000802BE">
        <w:t xml:space="preserve">ici Averroesovy teorie poznání. </w:t>
      </w:r>
      <w:r w:rsidR="00541821" w:rsidRPr="00356FC7">
        <w:rPr>
          <w:i/>
        </w:rPr>
        <w:t>Corruptio optimi pessima.</w:t>
      </w:r>
      <w:r w:rsidR="00541821">
        <w:rPr>
          <w:i/>
        </w:rPr>
        <w:t xml:space="preserve"> </w:t>
      </w:r>
      <w:r>
        <w:t xml:space="preserve">Tuto verzi averroismu hotovou v roce 1268 přivezl </w:t>
      </w:r>
      <w:r w:rsidRPr="00273106">
        <w:t xml:space="preserve">Akvinský </w:t>
      </w:r>
      <w:r>
        <w:t xml:space="preserve">z Itálie do Paříže. Tomáš </w:t>
      </w:r>
      <w:r w:rsidRPr="00273106">
        <w:t xml:space="preserve">vyvinil </w:t>
      </w:r>
      <w:r>
        <w:t>Averroes</w:t>
      </w:r>
      <w:r w:rsidRPr="00273106">
        <w:t>e z primitivního averroismu Rufuse a Bonaventury</w:t>
      </w:r>
      <w:r>
        <w:t xml:space="preserve"> daného v modu univerzálního hylemorfismu jako </w:t>
      </w:r>
      <w:r w:rsidRPr="08585FBB">
        <w:rPr>
          <w:i/>
        </w:rPr>
        <w:t>copulatio</w:t>
      </w:r>
      <w:r>
        <w:t xml:space="preserve"> dvou substancí</w:t>
      </w:r>
      <w:r>
        <w:fldChar w:fldCharType="begin"/>
      </w:r>
      <w:r>
        <w:instrText xml:space="preserve"> XE "</w:instrText>
      </w:r>
      <w:r w:rsidRPr="00152C48">
        <w:instrText>univerzální hylemorfismus</w:instrText>
      </w:r>
      <w:r>
        <w:instrText xml:space="preserve">" </w:instrText>
      </w:r>
      <w:r>
        <w:fldChar w:fldCharType="end"/>
      </w:r>
      <w:r>
        <w:t xml:space="preserve">. Ale </w:t>
      </w:r>
      <w:r w:rsidRPr="00273106">
        <w:t xml:space="preserve">nechal toto obvinění platit </w:t>
      </w:r>
      <w:r>
        <w:t xml:space="preserve">pro </w:t>
      </w:r>
      <w:r w:rsidR="00C45DDD">
        <w:t xml:space="preserve">mytologický </w:t>
      </w:r>
      <w:r w:rsidRPr="00273106">
        <w:t>akt individuálního poznání</w:t>
      </w:r>
      <w:r>
        <w:t xml:space="preserve"> v averroistickém modu </w:t>
      </w:r>
      <w:r w:rsidRPr="00FC2429">
        <w:rPr>
          <w:i/>
        </w:rPr>
        <w:t>duplex esse</w:t>
      </w:r>
      <w:r w:rsidRPr="00273106">
        <w:t>.</w:t>
      </w:r>
    </w:p>
    <w:p w:rsidR="08163013" w:rsidRDefault="08163013" w:rsidP="08163013">
      <w:pPr>
        <w:pStyle w:val="Citace"/>
      </w:pPr>
      <w:r>
        <w:t>„</w:t>
      </w:r>
      <w:r>
        <w:rPr>
          <w:noProof/>
        </w:rPr>
        <w:t xml:space="preserve">Pak má inteligibilní </w:t>
      </w:r>
      <w:r w:rsidR="00962190">
        <w:rPr>
          <w:i/>
          <w:noProof/>
        </w:rPr>
        <w:t>species</w:t>
      </w:r>
      <w:r>
        <w:rPr>
          <w:noProof/>
        </w:rPr>
        <w:t xml:space="preserve"> dvojí bytí (</w:t>
      </w:r>
      <w:r w:rsidRPr="08BA24A6">
        <w:rPr>
          <w:i/>
          <w:noProof/>
        </w:rPr>
        <w:t>habet duplex esse</w:t>
      </w:r>
      <w:r>
        <w:rPr>
          <w:noProof/>
        </w:rPr>
        <w:t xml:space="preserve">). Jedno je dáno v možném intelektu, jehož je </w:t>
      </w:r>
      <w:r w:rsidR="08417A06">
        <w:rPr>
          <w:noProof/>
        </w:rPr>
        <w:t xml:space="preserve">inteligibilní </w:t>
      </w:r>
      <w:r w:rsidR="00962190">
        <w:rPr>
          <w:i/>
          <w:noProof/>
        </w:rPr>
        <w:t>species</w:t>
      </w:r>
      <w:r w:rsidR="08417A06">
        <w:rPr>
          <w:noProof/>
        </w:rPr>
        <w:t xml:space="preserve"> </w:t>
      </w:r>
      <w:r>
        <w:rPr>
          <w:noProof/>
        </w:rPr>
        <w:t xml:space="preserve">formou. Druhé bytí </w:t>
      </w:r>
      <w:r w:rsidR="00962190">
        <w:rPr>
          <w:i/>
          <w:noProof/>
        </w:rPr>
        <w:t>species</w:t>
      </w:r>
      <w:r>
        <w:rPr>
          <w:noProof/>
        </w:rPr>
        <w:t xml:space="preserve"> je dáno ve fantasmatech, od nichž je abstrahována. Fantasmata ale jsou v individuálním člověku, protože schopnost představivosti je založena tělesně a je dána skrze tělesný orgán. Toto inteligibilní </w:t>
      </w:r>
      <w:r w:rsidR="00962190">
        <w:rPr>
          <w:i/>
          <w:noProof/>
        </w:rPr>
        <w:t>species</w:t>
      </w:r>
      <w:r>
        <w:rPr>
          <w:noProof/>
        </w:rPr>
        <w:t xml:space="preserve"> je prostředník spojující možný intelekt s jednotlivým člověkem (</w:t>
      </w:r>
      <w:r w:rsidR="00962190">
        <w:rPr>
          <w:i/>
          <w:noProof/>
        </w:rPr>
        <w:t>species</w:t>
      </w:r>
      <w:r w:rsidRPr="00CC3A00">
        <w:rPr>
          <w:i/>
          <w:noProof/>
        </w:rPr>
        <w:t xml:space="preserve"> intelligibilis est medium coniungens intellectum possibilem homini singulari</w:t>
      </w:r>
      <w:r>
        <w:rPr>
          <w:noProof/>
        </w:rPr>
        <w:t>).</w:t>
      </w:r>
      <w:r>
        <w:t>“</w:t>
      </w:r>
      <w:r>
        <w:rPr>
          <w:rStyle w:val="Znakapoznpodarou"/>
        </w:rPr>
        <w:footnoteReference w:id="335"/>
      </w:r>
    </w:p>
    <w:p w:rsidR="00473362" w:rsidRDefault="08163013" w:rsidP="08163013">
      <w:r>
        <w:lastRenderedPageBreak/>
        <w:t xml:space="preserve">První forma </w:t>
      </w:r>
      <w:r w:rsidR="00962190" w:rsidRPr="00ED763B">
        <w:t>species</w:t>
      </w:r>
      <w:r>
        <w:t xml:space="preserve"> musí být dána v kosmickém hypostázovaném intelektu mimo nás, protože ten existuje jako aktuální nemateriální forma. Druhá forma </w:t>
      </w:r>
      <w:r w:rsidR="00962190" w:rsidRPr="00ED763B">
        <w:t>species</w:t>
      </w:r>
      <w:r>
        <w:t xml:space="preserve"> je dána tím, že Averroes</w:t>
      </w:r>
      <w:r w:rsidRPr="00273106">
        <w:t xml:space="preserve">ův </w:t>
      </w:r>
      <w:r w:rsidRPr="00273106">
        <w:rPr>
          <w:i/>
        </w:rPr>
        <w:t>intellectus possibilis</w:t>
      </w:r>
      <w:r>
        <w:rPr>
          <w:i/>
        </w:rPr>
        <w:fldChar w:fldCharType="begin"/>
      </w:r>
      <w:r>
        <w:instrText xml:space="preserve"> XE "</w:instrText>
      </w:r>
      <w:r w:rsidRPr="00770D02">
        <w:rPr>
          <w:i/>
        </w:rPr>
        <w:instrText>intellectus possibilis</w:instrText>
      </w:r>
      <w:r>
        <w:rPr>
          <w:i/>
        </w:rPr>
        <w:instrText>:</w:instrText>
      </w:r>
      <w:r w:rsidRPr="008B5B4E">
        <w:instrText>Akvinský</w:instrText>
      </w:r>
      <w:r>
        <w:instrText xml:space="preserve">" </w:instrText>
      </w:r>
      <w:r>
        <w:rPr>
          <w:i/>
        </w:rPr>
        <w:fldChar w:fldCharType="end"/>
      </w:r>
      <w:r>
        <w:t xml:space="preserve"> oddělený na způsob a</w:t>
      </w:r>
      <w:r w:rsidRPr="00273106">
        <w:t>lexandrovců</w:t>
      </w:r>
      <w:r>
        <w:fldChar w:fldCharType="begin"/>
      </w:r>
      <w:r>
        <w:instrText xml:space="preserve"> XE "alexandrovci" </w:instrText>
      </w:r>
      <w:r>
        <w:fldChar w:fldCharType="end"/>
      </w:r>
      <w:r w:rsidRPr="00273106">
        <w:t xml:space="preserve"> prý komunikuje s člověkem skrze fantasmata (</w:t>
      </w:r>
      <w:r w:rsidRPr="00273106">
        <w:rPr>
          <w:i/>
        </w:rPr>
        <w:t>continuari cum hoc homine per phantasmata</w:t>
      </w:r>
      <w:r w:rsidRPr="00273106">
        <w:t xml:space="preserve">). </w:t>
      </w:r>
      <w:r>
        <w:t xml:space="preserve">Podle CMDA je to nesmysl dokonce z několika důvodů daných pojetím poznání v rámci </w:t>
      </w:r>
      <w:r w:rsidRPr="004B22F0">
        <w:rPr>
          <w:i/>
        </w:rPr>
        <w:t>proportio</w:t>
      </w:r>
      <w:r>
        <w:rPr>
          <w:i/>
        </w:rPr>
        <w:fldChar w:fldCharType="begin"/>
      </w:r>
      <w:r>
        <w:instrText xml:space="preserve"> XE "pravda:</w:instrText>
      </w:r>
      <w:r w:rsidRPr="00950ADC">
        <w:rPr>
          <w:i/>
        </w:rPr>
        <w:instrText>proportio</w:instrText>
      </w:r>
      <w:r>
        <w:instrText xml:space="preserve">" </w:instrText>
      </w:r>
      <w:r>
        <w:rPr>
          <w:i/>
        </w:rPr>
        <w:fldChar w:fldCharType="end"/>
      </w:r>
      <w:r>
        <w:t xml:space="preserve"> (oddělení obou složek duše, dvojí role diafanum, dvojí pojetí intencionality atd.) Tomistický výklad CMDA tvrdí, že nemateriální </w:t>
      </w:r>
      <w:r w:rsidRPr="00E63085">
        <w:rPr>
          <w:i/>
        </w:rPr>
        <w:t>intellectus possibilis</w:t>
      </w:r>
      <w:r>
        <w:t xml:space="preserve"> přišlý zvnějšku spustí svou vlastní subsistencí v jednotlivci proces abstrakce smyslových </w:t>
      </w:r>
      <w:r w:rsidR="00962190" w:rsidRPr="00ED763B">
        <w:t>species</w:t>
      </w:r>
      <w:r>
        <w:t xml:space="preserve"> na inteligibilní. </w:t>
      </w:r>
      <w:r w:rsidR="005E4264" w:rsidRPr="005E4264">
        <w:t>Hermeneutika trvá na tom, že takový scénář vylučuje definici existující osoby.</w:t>
      </w:r>
      <w:r w:rsidR="005E4264">
        <w:t xml:space="preserve"> </w:t>
      </w:r>
      <w:r>
        <w:t xml:space="preserve">Akvinský vidí </w:t>
      </w:r>
      <w:r w:rsidRPr="00E63085">
        <w:rPr>
          <w:i/>
        </w:rPr>
        <w:t>intellectus possibilis</w:t>
      </w:r>
      <w:r>
        <w:t xml:space="preserve"> v CMDA jako oddělenou substanci (</w:t>
      </w:r>
      <w:r w:rsidRPr="005A0646">
        <w:rPr>
          <w:i/>
        </w:rPr>
        <w:t>separatus</w:t>
      </w:r>
      <w:r>
        <w:t>). Zavedení této absurdity znamená, že materiální a nemateriální princip poznání se v Tomášově a Aegidiově averroistickém výkladu CMDA nemají jak potkat</w:t>
      </w:r>
      <w:r>
        <w:fldChar w:fldCharType="begin"/>
      </w:r>
      <w:r>
        <w:instrText xml:space="preserve"> XE "</w:instrText>
      </w:r>
      <w:r w:rsidRPr="00611CA0">
        <w:instrText>osoba:dualismus</w:instrText>
      </w:r>
      <w:r>
        <w:instrText xml:space="preserve">" </w:instrText>
      </w:r>
      <w:r>
        <w:fldChar w:fldCharType="end"/>
      </w:r>
      <w:r>
        <w:t xml:space="preserve">. </w:t>
      </w:r>
      <w:r w:rsidRPr="00273106">
        <w:t xml:space="preserve">Dvě oddělené aktuální substance nemají jak komunikovat vzhledem k univerzálně dané receptivitě intelektu definovaného jako </w:t>
      </w:r>
      <w:r w:rsidRPr="00273106">
        <w:rPr>
          <w:i/>
        </w:rPr>
        <w:t>tabula rasa</w:t>
      </w:r>
      <w:r>
        <w:rPr>
          <w:i/>
        </w:rPr>
        <w:fldChar w:fldCharType="begin"/>
      </w:r>
      <w:r>
        <w:instrText xml:space="preserve"> XE "</w:instrText>
      </w:r>
      <w:r w:rsidRPr="00CE6D17">
        <w:rPr>
          <w:i/>
        </w:rPr>
        <w:instrText>tabula rasa</w:instrText>
      </w:r>
      <w:r>
        <w:instrText xml:space="preserve">" </w:instrText>
      </w:r>
      <w:r>
        <w:rPr>
          <w:i/>
        </w:rPr>
        <w:fldChar w:fldCharType="end"/>
      </w:r>
      <w:r w:rsidRPr="00273106">
        <w:t>. Obě oddělené substance by byly v aktualitě a individuální poznání by vůbec nevzniklo</w:t>
      </w:r>
      <w:r>
        <w:t>. Proto</w:t>
      </w:r>
      <w:r w:rsidRPr="00273106">
        <w:t xml:space="preserve"> má </w:t>
      </w:r>
      <w:r w:rsidR="00962190">
        <w:rPr>
          <w:i/>
        </w:rPr>
        <w:t>species</w:t>
      </w:r>
      <w:r w:rsidRPr="00273106">
        <w:rPr>
          <w:i/>
        </w:rPr>
        <w:t xml:space="preserve"> intelligibilis</w:t>
      </w:r>
      <w:r>
        <w:rPr>
          <w:i/>
        </w:rPr>
        <w:fldChar w:fldCharType="begin"/>
      </w:r>
      <w:r>
        <w:instrText xml:space="preserve"> XE "</w:instrText>
      </w:r>
      <w:r w:rsidRPr="00DD403C">
        <w:rPr>
          <w:i/>
        </w:rPr>
        <w:instrText>species intelligibilis:</w:instrText>
      </w:r>
      <w:r w:rsidRPr="00DD403C">
        <w:instrText>A</w:instrText>
      </w:r>
      <w:r>
        <w:instrText xml:space="preserve">kvinský" </w:instrText>
      </w:r>
      <w:r>
        <w:rPr>
          <w:i/>
        </w:rPr>
        <w:fldChar w:fldCharType="end"/>
      </w:r>
      <w:r w:rsidRPr="00273106">
        <w:t xml:space="preserve"> centrální funkci </w:t>
      </w:r>
      <w:r>
        <w:t xml:space="preserve">v Akvinského averroistickém podání CMDA. Na rozdíl od skutečné litery textu má toto porretánské </w:t>
      </w:r>
      <w:r w:rsidR="00962190">
        <w:rPr>
          <w:i/>
        </w:rPr>
        <w:t>species</w:t>
      </w:r>
      <w:r>
        <w:t xml:space="preserve"> třetího druhu </w:t>
      </w:r>
      <w:r w:rsidRPr="00273106">
        <w:t>dvojí způsob existence (</w:t>
      </w:r>
      <w:r w:rsidRPr="00273106">
        <w:rPr>
          <w:i/>
        </w:rPr>
        <w:t>duplex esse</w:t>
      </w:r>
      <w:r w:rsidRPr="00273106">
        <w:t>)</w:t>
      </w:r>
      <w:r>
        <w:t>, protože musí zajistit ono absurdní spojení odděleného mo</w:t>
      </w:r>
      <w:r w:rsidR="0012616C">
        <w:t xml:space="preserve">žného intelektu s individuálním (a nikoliv personálním) </w:t>
      </w:r>
      <w:r w:rsidR="00473362">
        <w:t>aktem poznání.</w:t>
      </w:r>
    </w:p>
    <w:p w:rsidR="00625497" w:rsidRDefault="08163013" w:rsidP="00FC15EF">
      <w:pPr>
        <w:ind w:firstLine="397"/>
      </w:pPr>
      <w:r>
        <w:t>Vraťme se k citátu z</w:t>
      </w:r>
      <w:r w:rsidR="00B32087">
        <w:t xml:space="preserve"> díla </w:t>
      </w:r>
      <w:r w:rsidRPr="00273106">
        <w:rPr>
          <w:i/>
        </w:rPr>
        <w:t>De spiritualibus creaturis</w:t>
      </w:r>
      <w:r w:rsidRPr="08502175">
        <w:t xml:space="preserve">, který </w:t>
      </w:r>
      <w:r>
        <w:t xml:space="preserve">zahajuje epochální </w:t>
      </w:r>
      <w:r w:rsidR="00A3569A" w:rsidRPr="001E7767">
        <w:rPr>
          <w:i/>
        </w:rPr>
        <w:t>Wirkungsgeschichte</w:t>
      </w:r>
      <w:r w:rsidR="00A3569A">
        <w:t xml:space="preserve"> </w:t>
      </w:r>
      <w:r>
        <w:t xml:space="preserve">tomistického averroismu. Tomáš jménem averroistického Averroese </w:t>
      </w:r>
      <w:r w:rsidRPr="08502175">
        <w:t xml:space="preserve">vytváří </w:t>
      </w:r>
      <w:r>
        <w:t>novou porretánskou</w:t>
      </w:r>
      <w:r w:rsidRPr="08502175">
        <w:t xml:space="preserve"> </w:t>
      </w:r>
      <w:r w:rsidR="00962190" w:rsidRPr="00ED763B">
        <w:t>species</w:t>
      </w:r>
      <w:r w:rsidRPr="08502175">
        <w:t xml:space="preserve"> třetího druhu.</w:t>
      </w:r>
      <w:r>
        <w:rPr>
          <w:i/>
        </w:rPr>
        <w:t xml:space="preserve"> </w:t>
      </w:r>
      <w:r>
        <w:t>P</w:t>
      </w:r>
      <w:r w:rsidRPr="00273106">
        <w:t xml:space="preserve">rvní bytí </w:t>
      </w:r>
      <w:r>
        <w:t xml:space="preserve">této objektivní </w:t>
      </w:r>
      <w:r w:rsidR="00962190">
        <w:rPr>
          <w:i/>
        </w:rPr>
        <w:t>species</w:t>
      </w:r>
      <w:r>
        <w:t xml:space="preserve"> </w:t>
      </w:r>
      <w:r w:rsidRPr="00273106">
        <w:t xml:space="preserve">ve smyslu aktuality je dáno </w:t>
      </w:r>
      <w:r>
        <w:t xml:space="preserve">v možném intelektu, jehož je </w:t>
      </w:r>
      <w:r w:rsidR="08D71272">
        <w:t xml:space="preserve">tato objektivní </w:t>
      </w:r>
      <w:r w:rsidR="00962190">
        <w:rPr>
          <w:i/>
        </w:rPr>
        <w:t>species</w:t>
      </w:r>
      <w:r w:rsidR="08D71272">
        <w:t xml:space="preserve"> </w:t>
      </w:r>
      <w:r>
        <w:t>formou</w:t>
      </w:r>
      <w:r w:rsidRPr="00273106">
        <w:t xml:space="preserve"> (</w:t>
      </w:r>
      <w:r w:rsidRPr="00273106">
        <w:rPr>
          <w:i/>
        </w:rPr>
        <w:t>in intellectu possibili, cuius est forma</w:t>
      </w:r>
      <w:r w:rsidRPr="00273106">
        <w:t xml:space="preserve">). </w:t>
      </w:r>
      <w:r w:rsidR="08FC259B">
        <w:t>D</w:t>
      </w:r>
      <w:r w:rsidRPr="00273106">
        <w:t xml:space="preserve">ruhé bytí </w:t>
      </w:r>
      <w:r w:rsidR="08FC259B">
        <w:t xml:space="preserve">této </w:t>
      </w:r>
      <w:r w:rsidR="00962190">
        <w:rPr>
          <w:i/>
        </w:rPr>
        <w:t>species</w:t>
      </w:r>
      <w:r w:rsidR="08FC259B">
        <w:t xml:space="preserve"> </w:t>
      </w:r>
      <w:r w:rsidRPr="00273106">
        <w:t>je dáno ve smyslových fantasmatech, odkud je abstrahován (</w:t>
      </w:r>
      <w:r w:rsidRPr="00273106">
        <w:rPr>
          <w:i/>
        </w:rPr>
        <w:t>aliud in phantasmatibus, a quibus abstrahitur</w:t>
      </w:r>
      <w:r w:rsidRPr="00273106">
        <w:t xml:space="preserve">). Závěr této pochybné argumentace ukazuje, že Tomáš nechal </w:t>
      </w:r>
      <w:r>
        <w:t>Averroes</w:t>
      </w:r>
      <w:r w:rsidRPr="00273106">
        <w:t xml:space="preserve">e vytvořit </w:t>
      </w:r>
      <w:r w:rsidR="00962190">
        <w:rPr>
          <w:i/>
        </w:rPr>
        <w:t>species</w:t>
      </w:r>
      <w:r w:rsidRPr="00273106">
        <w:rPr>
          <w:i/>
        </w:rPr>
        <w:t xml:space="preserve"> intelligibilis</w:t>
      </w:r>
      <w:r w:rsidRPr="00273106">
        <w:t xml:space="preserve"> jako jsoucno třetího druhu</w:t>
      </w:r>
      <w:r>
        <w:t xml:space="preserve"> (</w:t>
      </w:r>
      <w:r w:rsidRPr="009F40A2">
        <w:rPr>
          <w:i/>
        </w:rPr>
        <w:t>medium</w:t>
      </w:r>
      <w:r>
        <w:rPr>
          <w:i/>
        </w:rPr>
        <w:fldChar w:fldCharType="begin"/>
      </w:r>
      <w:r>
        <w:instrText xml:space="preserve"> XE "</w:instrText>
      </w:r>
      <w:r w:rsidRPr="001618A5">
        <w:rPr>
          <w:i/>
        </w:rPr>
        <w:instrText>medium:</w:instrText>
      </w:r>
      <w:r w:rsidRPr="001618A5">
        <w:instrText>A</w:instrText>
      </w:r>
      <w:r>
        <w:instrText xml:space="preserve">kvinský" </w:instrText>
      </w:r>
      <w:r>
        <w:rPr>
          <w:i/>
        </w:rPr>
        <w:fldChar w:fldCharType="end"/>
      </w:r>
      <w:r>
        <w:t>)</w:t>
      </w:r>
      <w:r w:rsidRPr="00273106">
        <w:t>, které je zároveň materiální a nemateriální a přímo spojuje intelekt a smysly (</w:t>
      </w:r>
      <w:r w:rsidRPr="00273106">
        <w:rPr>
          <w:i/>
        </w:rPr>
        <w:t xml:space="preserve">ipsa ergo est medium coniungens intellectum </w:t>
      </w:r>
      <w:r w:rsidRPr="00273106">
        <w:rPr>
          <w:i/>
        </w:rPr>
        <w:lastRenderedPageBreak/>
        <w:t>possibilem homini singulari</w:t>
      </w:r>
      <w:r w:rsidRPr="00273106">
        <w:t xml:space="preserve">). </w:t>
      </w:r>
      <w:r>
        <w:t xml:space="preserve">Tomášův výklad CMDA vytvořil </w:t>
      </w:r>
      <w:r w:rsidR="0076734B">
        <w:t xml:space="preserve">novou sérii </w:t>
      </w:r>
      <w:r>
        <w:t>sofistick</w:t>
      </w:r>
      <w:r w:rsidR="0076734B">
        <w:t xml:space="preserve">ých </w:t>
      </w:r>
      <w:r>
        <w:t>simulák</w:t>
      </w:r>
      <w:r w:rsidR="0076734B">
        <w:t>e</w:t>
      </w:r>
      <w:r>
        <w:t>r</w:t>
      </w:r>
      <w:r>
        <w:fldChar w:fldCharType="begin"/>
      </w:r>
      <w:r>
        <w:instrText xml:space="preserve"> XE "</w:instrText>
      </w:r>
      <w:r w:rsidRPr="00F74371">
        <w:instrText>simulákrum</w:instrText>
      </w:r>
      <w:r>
        <w:instrText xml:space="preserve">" </w:instrText>
      </w:r>
      <w:r>
        <w:fldChar w:fldCharType="end"/>
      </w:r>
      <w:r>
        <w:t xml:space="preserve"> (</w:t>
      </w:r>
      <w:r w:rsidRPr="00A000DB">
        <w:rPr>
          <w:i/>
        </w:rPr>
        <w:t>intellectus possibilis</w:t>
      </w:r>
      <w:r>
        <w:t xml:space="preserve">, </w:t>
      </w:r>
      <w:r w:rsidR="00962190">
        <w:rPr>
          <w:i/>
        </w:rPr>
        <w:t>species</w:t>
      </w:r>
      <w:r w:rsidRPr="00A000DB">
        <w:rPr>
          <w:i/>
        </w:rPr>
        <w:t xml:space="preserve"> intelligibilis</w:t>
      </w:r>
      <w:r>
        <w:t xml:space="preserve">), protože z nich udělal </w:t>
      </w:r>
      <w:r w:rsidR="0076734B">
        <w:t xml:space="preserve">absurdní </w:t>
      </w:r>
      <w:r>
        <w:t xml:space="preserve">substance. Tím připsal Averroesově výkladu chybnou definici intelektu v modu </w:t>
      </w:r>
      <w:r w:rsidRPr="008812AB">
        <w:rPr>
          <w:i/>
        </w:rPr>
        <w:t>hoc aliquid</w:t>
      </w:r>
      <w:r>
        <w:t>, tedy jako jsoucno třetího druhu. To je podle Sigera a jeho školy naprostý nesmysl, který nemá nic společného se skutečnými závěry spisu</w:t>
      </w:r>
      <w:r w:rsidR="000D16DC">
        <w:t xml:space="preserve"> CMDA</w:t>
      </w:r>
      <w:r>
        <w:t>. Averroes</w:t>
      </w:r>
      <w:r w:rsidRPr="00273106">
        <w:t xml:space="preserve"> </w:t>
      </w:r>
      <w:r>
        <w:t xml:space="preserve">vykládaný podle Sigera má přesně dané a vědecky dokázané </w:t>
      </w:r>
      <w:r w:rsidRPr="00273106">
        <w:rPr>
          <w:i/>
        </w:rPr>
        <w:t>proportio</w:t>
      </w:r>
      <w:r>
        <w:t xml:space="preserve"> smyslů a intelektu. Akvinský naopak vytvořil nový averroismus kontradiktorní konjukci </w:t>
      </w:r>
      <w:r w:rsidRPr="00273106">
        <w:t>jsouc</w:t>
      </w:r>
      <w:r>
        <w:t>e</w:t>
      </w:r>
      <w:r w:rsidRPr="00273106">
        <w:t>n</w:t>
      </w:r>
      <w:r>
        <w:t xml:space="preserve"> třetího druhu daných skrze mytopoetické</w:t>
      </w:r>
      <w:r>
        <w:fldChar w:fldCharType="begin"/>
      </w:r>
      <w:r>
        <w:instrText xml:space="preserve"> XE "</w:instrText>
      </w:r>
      <w:r w:rsidRPr="084C42D6">
        <w:instrText>mytopoesis</w:instrText>
      </w:r>
      <w:r>
        <w:instrText xml:space="preserve">" </w:instrText>
      </w:r>
      <w:r>
        <w:fldChar w:fldCharType="end"/>
      </w:r>
      <w:r>
        <w:t xml:space="preserve"> </w:t>
      </w:r>
      <w:r w:rsidRPr="081E3B2C">
        <w:rPr>
          <w:i/>
        </w:rPr>
        <w:t>continuatio</w:t>
      </w:r>
      <w:r>
        <w:t xml:space="preserve"> neexistujícího kosmického </w:t>
      </w:r>
      <w:r w:rsidRPr="081E3B2C">
        <w:rPr>
          <w:i/>
        </w:rPr>
        <w:t>intellectus possibilis</w:t>
      </w:r>
      <w:r>
        <w:t xml:space="preserve">, který pokračuje své působení v člověku skrze fantasmata. </w:t>
      </w:r>
      <w:r w:rsidRPr="00273106">
        <w:t xml:space="preserve">Tento averroistický výklad </w:t>
      </w:r>
      <w:r>
        <w:t>Averroes</w:t>
      </w:r>
      <w:r w:rsidRPr="00273106">
        <w:t xml:space="preserve">e </w:t>
      </w:r>
      <w:r>
        <w:t xml:space="preserve">by </w:t>
      </w:r>
      <w:r w:rsidRPr="00273106">
        <w:t xml:space="preserve">odmítl </w:t>
      </w:r>
      <w:r>
        <w:t xml:space="preserve">také </w:t>
      </w:r>
      <w:r w:rsidRPr="00273106">
        <w:t xml:space="preserve">Albert poukazem na faktický výkon </w:t>
      </w:r>
      <w:r w:rsidRPr="00273106">
        <w:rPr>
          <w:i/>
        </w:rPr>
        <w:t>intellectus speculativus</w:t>
      </w:r>
      <w:r>
        <w:rPr>
          <w:i/>
        </w:rPr>
        <w:fldChar w:fldCharType="begin"/>
      </w:r>
      <w:r>
        <w:instrText xml:space="preserve"> XE "</w:instrText>
      </w:r>
      <w:r w:rsidRPr="00E2134B">
        <w:rPr>
          <w:i/>
        </w:rPr>
        <w:instrText>intellectus speculativus:</w:instrText>
      </w:r>
      <w:r w:rsidRPr="00E2134B">
        <w:instrText>A</w:instrText>
      </w:r>
      <w:r>
        <w:instrText xml:space="preserve">lbert" </w:instrText>
      </w:r>
      <w:r>
        <w:rPr>
          <w:i/>
        </w:rPr>
        <w:fldChar w:fldCharType="end"/>
      </w:r>
      <w:r w:rsidRPr="00273106">
        <w:t xml:space="preserve"> podle CMDA. </w:t>
      </w:r>
      <w:r>
        <w:t xml:space="preserve">Albert provedl zdařilou syntézu Averroese a Avicenny a vyhnul se </w:t>
      </w:r>
      <w:r w:rsidRPr="006E395E">
        <w:rPr>
          <w:i/>
        </w:rPr>
        <w:t>Oxfordian Fallacy</w:t>
      </w:r>
      <w:r>
        <w:rPr>
          <w:i/>
        </w:rPr>
        <w:fldChar w:fldCharType="begin"/>
      </w:r>
      <w:r>
        <w:instrText xml:space="preserve"> XE "</w:instrText>
      </w:r>
      <w:r w:rsidRPr="0015798D">
        <w:rPr>
          <w:i/>
        </w:rPr>
        <w:instrText>Oxfordian Fallacy:</w:instrText>
      </w:r>
      <w:r>
        <w:instrText xml:space="preserve">Kilwardby" </w:instrText>
      </w:r>
      <w:r>
        <w:rPr>
          <w:i/>
        </w:rPr>
        <w:fldChar w:fldCharType="end"/>
      </w:r>
      <w:r>
        <w:t>, kterou považoval za omyl u Kilwardbyho (</w:t>
      </w:r>
      <w:r w:rsidR="084334D8">
        <w:t>OBJ II, kap. 2</w:t>
      </w:r>
      <w:r>
        <w:t xml:space="preserve">.4.1). </w:t>
      </w:r>
      <w:r w:rsidR="00A149E5" w:rsidRPr="00A149E5">
        <w:t xml:space="preserve">Sigerova škola začlenila teorii poznávající osoby podle CMDA do celku Aristotelovy metafyziky; navíc tuto teorii propojila s </w:t>
      </w:r>
      <w:r w:rsidR="00A149E5">
        <w:t xml:space="preserve">kriticky hodnoceným Avicennou. </w:t>
      </w:r>
      <w:r>
        <w:t xml:space="preserve">Proto se </w:t>
      </w:r>
      <w:r w:rsidRPr="08006F25">
        <w:rPr>
          <w:i/>
        </w:rPr>
        <w:t>Doctor Invidiosus</w:t>
      </w:r>
      <w:r>
        <w:t xml:space="preserve"> stal pro skutečně vzdělané </w:t>
      </w:r>
      <w:r w:rsidR="085D586E">
        <w:t xml:space="preserve">filosofické </w:t>
      </w:r>
      <w:r>
        <w:t xml:space="preserve">magistry </w:t>
      </w:r>
      <w:r w:rsidRPr="08493AFE">
        <w:rPr>
          <w:i/>
        </w:rPr>
        <w:t>Expositor Novus</w:t>
      </w:r>
      <w:r>
        <w:t xml:space="preserve">, což </w:t>
      </w:r>
      <w:r w:rsidR="00541821">
        <w:t xml:space="preserve">nepřímo potvrzuje Dekret z roku </w:t>
      </w:r>
      <w:r>
        <w:t xml:space="preserve">1272. </w:t>
      </w:r>
      <w:r w:rsidRPr="00273106">
        <w:t>Siger</w:t>
      </w:r>
      <w:r>
        <w:t xml:space="preserve"> stejně jako Albert </w:t>
      </w:r>
      <w:r w:rsidRPr="00273106">
        <w:t xml:space="preserve">odmítl </w:t>
      </w:r>
      <w:r w:rsidR="00FC15EF">
        <w:t xml:space="preserve">v QIIIDA </w:t>
      </w:r>
      <w:r>
        <w:t xml:space="preserve">averroistický výklad Averroese. </w:t>
      </w:r>
      <w:r w:rsidR="00FC15EF" w:rsidRPr="00FC15EF">
        <w:t xml:space="preserve">Albert byl prvním správným interpretem CMDA, podle Sigera však skončil u esenciální jednoty osoby postavené na identitě vytvořené prostřednictvím </w:t>
      </w:r>
      <w:r w:rsidR="00FC15EF" w:rsidRPr="00FC15EF">
        <w:rPr>
          <w:i/>
        </w:rPr>
        <w:t>intellectus speculativus</w:t>
      </w:r>
      <w:r w:rsidR="00FC15EF">
        <w:t xml:space="preserve">. </w:t>
      </w:r>
      <w:r>
        <w:t xml:space="preserve">Ve druhém komentáři Siger provedl přímou kritiku semiaverroisty Akvinského a </w:t>
      </w:r>
      <w:r w:rsidR="08563781">
        <w:t xml:space="preserve">udělal </w:t>
      </w:r>
      <w:r w:rsidR="00046DFB">
        <w:t xml:space="preserve">metodologickou </w:t>
      </w:r>
      <w:r>
        <w:t xml:space="preserve">korekci </w:t>
      </w:r>
      <w:r w:rsidR="009C7E78">
        <w:t>Albertova výkladu</w:t>
      </w:r>
      <w:r>
        <w:t xml:space="preserve">. Jeho výklad jednoty osoby a poznání sledoval existenciální linii CMDA, ale neměl charakter vědeckého důkazu. Jenže </w:t>
      </w:r>
      <w:r w:rsidRPr="0830697E">
        <w:rPr>
          <w:i/>
        </w:rPr>
        <w:t>Doctor Angelicus</w:t>
      </w:r>
      <w:r>
        <w:t xml:space="preserve"> zavedl dualismus forem v duši kvůli zachování klíčového teologického postulátu nesmrtelnosti duše. Artisté chránící jednotu Pařížské univerzity společně s jednotu osoby dané v Blundově škole při založení této první křesťanské univerzity nemohli souhlasit s tímto dualismem. Siger měl </w:t>
      </w:r>
      <w:r w:rsidRPr="08067B62">
        <w:rPr>
          <w:i/>
        </w:rPr>
        <w:t>anima intellectiva</w:t>
      </w:r>
      <w:r>
        <w:t xml:space="preserve"> v modu složeniny, ale zásadně odmítl jakýkoliv dualismus forem v duši (</w:t>
      </w:r>
      <w:r w:rsidRPr="00273106">
        <w:rPr>
          <w:i/>
        </w:rPr>
        <w:t>unam compositam</w:t>
      </w:r>
      <w:r w:rsidR="084C0EA2">
        <w:t>, kap. 4</w:t>
      </w:r>
      <w:r>
        <w:t xml:space="preserve">.4.1). Semiaverroistický tomismus je podle Sigera nepravdivý filosoficky, i když slouží dobré věci. V zájmu aristotelské adekvace jako vědecky založené pravdy vyložené </w:t>
      </w:r>
      <w:r>
        <w:rPr>
          <w:i/>
        </w:rPr>
        <w:t>ad</w:t>
      </w:r>
      <w:r w:rsidRPr="08B45767">
        <w:rPr>
          <w:i/>
        </w:rPr>
        <w:t xml:space="preserve"> mentem Averrois</w:t>
      </w:r>
      <w:r>
        <w:rPr>
          <w:i/>
        </w:rPr>
        <w:fldChar w:fldCharType="begin"/>
      </w:r>
      <w:r>
        <w:instrText xml:space="preserve"> XE "</w:instrText>
      </w:r>
      <w:r>
        <w:rPr>
          <w:i/>
        </w:rPr>
        <w:instrText>ad</w:instrText>
      </w:r>
      <w:r w:rsidRPr="08150791">
        <w:rPr>
          <w:i/>
        </w:rPr>
        <w:instrText xml:space="preserve"> mentem Averrois</w:instrText>
      </w:r>
      <w:r>
        <w:instrText xml:space="preserve">" </w:instrText>
      </w:r>
      <w:r>
        <w:rPr>
          <w:i/>
        </w:rPr>
        <w:fldChar w:fldCharType="end"/>
      </w:r>
      <w:r>
        <w:t xml:space="preserve"> podle Sicilské školy požadovali artisté dekretem 1272</w:t>
      </w:r>
      <w:r>
        <w:rPr>
          <w:szCs w:val="24"/>
        </w:rPr>
        <w:fldChar w:fldCharType="begin"/>
      </w:r>
      <w:r>
        <w:instrText xml:space="preserve"> XE "</w:instrText>
      </w:r>
      <w:r w:rsidRPr="00FD37CA">
        <w:rPr>
          <w:szCs w:val="24"/>
        </w:rPr>
        <w:instrText>dekret artistů 1272</w:instrText>
      </w:r>
      <w:r>
        <w:instrText xml:space="preserve">" </w:instrText>
      </w:r>
      <w:r>
        <w:rPr>
          <w:szCs w:val="24"/>
        </w:rPr>
        <w:fldChar w:fldCharType="end"/>
      </w:r>
      <w:r>
        <w:t xml:space="preserve"> oddělení teologie a filosofie a to odvoláním na </w:t>
      </w:r>
      <w:r w:rsidRPr="08113B5A">
        <w:rPr>
          <w:i/>
        </w:rPr>
        <w:t>Druhé analytiky</w:t>
      </w:r>
      <w:r w:rsidR="082B4F30">
        <w:t xml:space="preserve"> (kap. 4</w:t>
      </w:r>
      <w:r>
        <w:t xml:space="preserve">.1.2). Tomášův výklad </w:t>
      </w:r>
      <w:r w:rsidRPr="00F7748A">
        <w:rPr>
          <w:i/>
        </w:rPr>
        <w:t>De anima</w:t>
      </w:r>
      <w:r>
        <w:t xml:space="preserve"> nevyhovoval základnímu dokumentu </w:t>
      </w:r>
      <w:r>
        <w:lastRenderedPageBreak/>
        <w:t>artistické faktulty a spojil obě vědy do jedné pravdy, i když mnohem sofistikovaněji</w:t>
      </w:r>
      <w:r w:rsidR="086A705E">
        <w:t>,</w:t>
      </w:r>
      <w:r>
        <w:t xml:space="preserve"> než t</w:t>
      </w:r>
      <w:r w:rsidR="00625497">
        <w:t>o předvedli latinští sofisté.</w:t>
      </w:r>
    </w:p>
    <w:p w:rsidR="08163013" w:rsidRDefault="08163013" w:rsidP="00FC15EF">
      <w:pPr>
        <w:ind w:firstLine="397"/>
      </w:pPr>
      <w:r>
        <w:t xml:space="preserve">Od roku 1270 běžela debata o jednotě poznání a osoby pouze mezi skutečnými znalci </w:t>
      </w:r>
      <w:r w:rsidRPr="007338CB">
        <w:rPr>
          <w:i/>
        </w:rPr>
        <w:t>De anima</w:t>
      </w:r>
      <w:r>
        <w:t xml:space="preserve"> z řad prvního averroismu, kam se vklínil pilný tomista Aegidius. Tento latinský sofista otevřeně </w:t>
      </w:r>
      <w:proofErr w:type="gramStart"/>
      <w:r>
        <w:t>podporoval  Tomáše</w:t>
      </w:r>
      <w:proofErr w:type="gramEnd"/>
      <w:r>
        <w:t xml:space="preserve"> v boji proti modernistům a skrytě bojoval proti Sigerově skupině. Jeho hvězdná hodina nastala v roce 1277, kdy pomáhal redigovat Tempierův dekret proti Sigerově škole, protože jako jediný z pařížských modernistů znal opravdu kvalifikovaně jejich argumenty. Pecham jako </w:t>
      </w:r>
      <w:r w:rsidRPr="009504FF">
        <w:rPr>
          <w:i/>
        </w:rPr>
        <w:t>magister regens</w:t>
      </w:r>
      <w:r>
        <w:t xml:space="preserve"> tehdejších modernistů na tuto úroveň opravdu neměl, proto musel opustit Pařížskou univerzitu kolem 1271 a vrátil se zpět do modernistického Oxfordu. Ale hned po vydání dekretu artistů v roce 1272 musel z Paříže odejít i poražený Akvinský a vrátil se do Itálie. První verze aristotelského tomismu založená Akvinským a tradovaná Aegidiem nemá </w:t>
      </w:r>
      <w:r w:rsidRPr="00273106">
        <w:t xml:space="preserve">fenomenologii intelektuálního poznání duše podle CMDA. </w:t>
      </w:r>
      <w:r>
        <w:t xml:space="preserve">Porozumění osoby Tomáš vztahuje k pojetí existence v </w:t>
      </w:r>
      <w:r w:rsidRPr="08665AAD">
        <w:rPr>
          <w:i/>
        </w:rPr>
        <w:t>Etice Nikomachově</w:t>
      </w:r>
      <w:r w:rsidR="08E21129">
        <w:t>, kterou dobře znal. A</w:t>
      </w:r>
      <w:r>
        <w:t>le pro pojetí intelektuálního poznání mu z</w:t>
      </w:r>
      <w:r w:rsidR="082C2F52">
        <w:t> </w:t>
      </w:r>
      <w:r>
        <w:t>toho</w:t>
      </w:r>
      <w:r w:rsidR="082C2F52">
        <w:t xml:space="preserve">to spisu </w:t>
      </w:r>
      <w:r>
        <w:t>n</w:t>
      </w:r>
      <w:r w:rsidR="08E21129">
        <w:t xml:space="preserve">evyplynuly žádné důležité závěry, které by byly </w:t>
      </w:r>
      <w:r w:rsidR="08763591">
        <w:t xml:space="preserve">na úrovni </w:t>
      </w:r>
      <w:r w:rsidR="08E21129">
        <w:t xml:space="preserve">argumentace v </w:t>
      </w:r>
      <w:r w:rsidR="08763591">
        <w:t>CMDA</w:t>
      </w:r>
      <w:r>
        <w:t xml:space="preserve">. Siger spojil jak </w:t>
      </w:r>
      <w:r w:rsidRPr="08665AAD">
        <w:rPr>
          <w:i/>
        </w:rPr>
        <w:t>Etiku</w:t>
      </w:r>
      <w:r>
        <w:t xml:space="preserve"> tak CMDA do aktu existence osoby, což po něm převzali i ostatní znalci Aristotela a Averroese jako Boethius</w:t>
      </w:r>
      <w:r>
        <w:fldChar w:fldCharType="begin"/>
      </w:r>
      <w:r>
        <w:instrText xml:space="preserve"> XE "</w:instrText>
      </w:r>
      <w:r w:rsidRPr="00521677">
        <w:rPr>
          <w:lang w:eastAsia="en-US"/>
        </w:rPr>
        <w:instrText>Boethius</w:instrText>
      </w:r>
      <w:r>
        <w:rPr>
          <w:lang w:eastAsia="en-US"/>
        </w:rPr>
        <w:instrText xml:space="preserve"> z Dácie</w:instrText>
      </w:r>
      <w:r>
        <w:instrText xml:space="preserve">" </w:instrText>
      </w:r>
      <w:r>
        <w:fldChar w:fldCharType="end"/>
      </w:r>
      <w:r>
        <w:t xml:space="preserve"> z Dácie a Dante. Podle Sigera je jediným středním členem soudu (</w:t>
      </w:r>
      <w:r w:rsidRPr="009F40A2">
        <w:rPr>
          <w:i/>
        </w:rPr>
        <w:t>medium</w:t>
      </w:r>
      <w:r>
        <w:rPr>
          <w:i/>
        </w:rPr>
        <w:fldChar w:fldCharType="begin"/>
      </w:r>
      <w:r>
        <w:instrText xml:space="preserve"> XE "</w:instrText>
      </w:r>
      <w:r w:rsidRPr="001618A5">
        <w:rPr>
          <w:i/>
        </w:rPr>
        <w:instrText>medium:</w:instrText>
      </w:r>
      <w:r>
        <w:instrText xml:space="preserve">Siger" </w:instrText>
      </w:r>
      <w:r>
        <w:rPr>
          <w:i/>
        </w:rPr>
        <w:fldChar w:fldCharType="end"/>
      </w:r>
      <w:r>
        <w:t xml:space="preserve">) naše vlastní zkušenost intelektuálního poznání, protože ji můžeme podle libosti vyvolat aktem naší individuální vůle. Akvinského pochybný výklad středního členu soudu nemá kauzalitu z první substance, ale z esence, na způsob </w:t>
      </w:r>
      <w:r w:rsidRPr="00060F3B">
        <w:rPr>
          <w:i/>
        </w:rPr>
        <w:t>Oxfordian Fallacy</w:t>
      </w:r>
      <w:r>
        <w:rPr>
          <w:i/>
        </w:rPr>
        <w:fldChar w:fldCharType="begin"/>
      </w:r>
      <w:r>
        <w:instrText xml:space="preserve"> XE "</w:instrText>
      </w:r>
      <w:r w:rsidRPr="0015798D">
        <w:rPr>
          <w:i/>
        </w:rPr>
        <w:instrText>Oxfordian Fallacy:</w:instrText>
      </w:r>
      <w:r>
        <w:instrText xml:space="preserve">Akvinský" </w:instrText>
      </w:r>
      <w:r>
        <w:rPr>
          <w:i/>
        </w:rPr>
        <w:fldChar w:fldCharType="end"/>
      </w:r>
      <w:r>
        <w:t xml:space="preserve">. </w:t>
      </w:r>
      <w:r w:rsidRPr="00273106">
        <w:t xml:space="preserve">Tam, kde má CMDA </w:t>
      </w:r>
      <w:r>
        <w:t xml:space="preserve">intelekt v modu </w:t>
      </w:r>
      <w:r w:rsidRPr="00273106">
        <w:rPr>
          <w:i/>
        </w:rPr>
        <w:t xml:space="preserve">duplex </w:t>
      </w:r>
      <w:r w:rsidR="00962190">
        <w:rPr>
          <w:i/>
        </w:rPr>
        <w:t>genus</w:t>
      </w:r>
      <w:r w:rsidRPr="00273106">
        <w:t xml:space="preserve">, Akvinský vidí </w:t>
      </w:r>
      <w:r w:rsidRPr="00273106">
        <w:rPr>
          <w:i/>
        </w:rPr>
        <w:t>duplex esse</w:t>
      </w:r>
      <w:r w:rsidRPr="00273106">
        <w:t>. Akvinský</w:t>
      </w:r>
      <w:r>
        <w:t xml:space="preserve"> odmítl vidět fenomenologické „j</w:t>
      </w:r>
      <w:r w:rsidRPr="00273106">
        <w:t>ak“ (</w:t>
      </w:r>
      <w:r w:rsidRPr="00273106">
        <w:rPr>
          <w:i/>
        </w:rPr>
        <w:t>Wie</w:t>
      </w:r>
      <w:r w:rsidRPr="00273106">
        <w:t>)</w:t>
      </w:r>
      <w:r>
        <w:fldChar w:fldCharType="begin"/>
      </w:r>
      <w:r>
        <w:instrText xml:space="preserve"> XE "hermeneutické </w:instrText>
      </w:r>
      <w:r w:rsidRPr="00B63D5E">
        <w:rPr>
          <w:i/>
        </w:rPr>
        <w:instrText>Wie:</w:instrText>
      </w:r>
      <w:r w:rsidRPr="006D5779">
        <w:instrText>Akvinský</w:instrText>
      </w:r>
      <w:r>
        <w:instrText xml:space="preserve">" </w:instrText>
      </w:r>
      <w:r>
        <w:fldChar w:fldCharType="end"/>
      </w:r>
      <w:r w:rsidRPr="00273106">
        <w:t xml:space="preserve"> </w:t>
      </w:r>
      <w:r>
        <w:t xml:space="preserve">běží poznání podle CMDA </w:t>
      </w:r>
      <w:r w:rsidRPr="00273106">
        <w:t xml:space="preserve">a obvinil </w:t>
      </w:r>
      <w:r>
        <w:t xml:space="preserve">Averroesovo pojetí intelektu ze substančního </w:t>
      </w:r>
      <w:r w:rsidRPr="00273106">
        <w:t>dualismu. Siger jasně ukázal, že CMDA pře</w:t>
      </w:r>
      <w:r>
        <w:t>sně popsala způsob, jak</w:t>
      </w:r>
      <w:r w:rsidRPr="00273106">
        <w:t xml:space="preserve"> je intelekt jako nemateriální</w:t>
      </w:r>
      <w:r>
        <w:t xml:space="preserve"> potence duše s tělem spojen a jak</w:t>
      </w:r>
      <w:r w:rsidRPr="00273106">
        <w:t xml:space="preserve"> je od něj oddělen </w:t>
      </w:r>
      <w:r>
        <w:t xml:space="preserve">v modu </w:t>
      </w:r>
      <w:r w:rsidRPr="006D5779">
        <w:rPr>
          <w:i/>
        </w:rPr>
        <w:t>separabilis</w:t>
      </w:r>
      <w:r>
        <w:t xml:space="preserve"> </w:t>
      </w:r>
      <w:r w:rsidRPr="00273106">
        <w:t xml:space="preserve">(kap. </w:t>
      </w:r>
      <w:r w:rsidR="08017078">
        <w:t>4</w:t>
      </w:r>
      <w:r w:rsidRPr="00273106">
        <w:t xml:space="preserve">.4.3). </w:t>
      </w:r>
      <w:r>
        <w:t xml:space="preserve">Spis CMDA žádný dualismus neobsahuje, naopak jej kategoricky odmítá. </w:t>
      </w:r>
      <w:r w:rsidRPr="00273106">
        <w:t xml:space="preserve">Proto Siger kritizuje pojetí Akvinského </w:t>
      </w:r>
      <w:r>
        <w:t xml:space="preserve">dané </w:t>
      </w:r>
      <w:r w:rsidR="001978E7">
        <w:t xml:space="preserve">během </w:t>
      </w:r>
      <w:r w:rsidR="003E2196">
        <w:t xml:space="preserve">italského </w:t>
      </w:r>
      <w:r>
        <w:t xml:space="preserve">pobytu v pozdějším spise </w:t>
      </w:r>
      <w:r w:rsidRPr="00273106">
        <w:rPr>
          <w:i/>
        </w:rPr>
        <w:t>De anima intellectiva</w:t>
      </w:r>
      <w:r>
        <w:t xml:space="preserve">. Tento spis přidal do kritiky Tomášova římského období i chybné pojetí intelektu dané ve spise </w:t>
      </w:r>
      <w:r>
        <w:rPr>
          <w:i/>
        </w:rPr>
        <w:t>De u</w:t>
      </w:r>
      <w:r w:rsidRPr="009B4BD8">
        <w:rPr>
          <w:i/>
        </w:rPr>
        <w:t>n</w:t>
      </w:r>
      <w:r>
        <w:rPr>
          <w:i/>
        </w:rPr>
        <w:t>i</w:t>
      </w:r>
      <w:r w:rsidRPr="009B4BD8">
        <w:rPr>
          <w:i/>
        </w:rPr>
        <w:t>tate intellectus</w:t>
      </w:r>
      <w:r>
        <w:t xml:space="preserve">. Tomáš </w:t>
      </w:r>
      <w:r w:rsidRPr="00273106">
        <w:t xml:space="preserve">vyřešil </w:t>
      </w:r>
      <w:r>
        <w:t xml:space="preserve">formálně </w:t>
      </w:r>
      <w:r w:rsidRPr="00273106">
        <w:t xml:space="preserve">správně problém </w:t>
      </w:r>
      <w:r>
        <w:t xml:space="preserve">pravdy jako </w:t>
      </w:r>
      <w:r w:rsidRPr="00273106">
        <w:t>adekvace</w:t>
      </w:r>
      <w:r>
        <w:t xml:space="preserve"> a výkon poznání v individualizovaném subjektu. Ale jeho řešení nemá povahu vědeckého důkazu podle </w:t>
      </w:r>
      <w:r w:rsidRPr="085A7A6B">
        <w:rPr>
          <w:i/>
        </w:rPr>
        <w:t>Druhých analytik</w:t>
      </w:r>
      <w:r>
        <w:t xml:space="preserve">, protože výkon poznání neměl daný </w:t>
      </w:r>
      <w:r>
        <w:lastRenderedPageBreak/>
        <w:t xml:space="preserve">ipseitně a existenciálně, jako to měl spis CMDA. Obvinění Averroese jako averroisty vytvořilo další nepřijatelný </w:t>
      </w:r>
      <w:r w:rsidRPr="00273106">
        <w:t>dualismus</w:t>
      </w:r>
      <w:r>
        <w:t xml:space="preserve"> přímo uvnitř školy prvního averroismu. A opět byl z tohoto dualismu daného špatnou četbou CMDA sofisticky obviněn </w:t>
      </w:r>
      <w:r w:rsidRPr="00273106">
        <w:t>sam</w:t>
      </w:r>
      <w:r>
        <w:t>otný Komentátor</w:t>
      </w:r>
      <w:r w:rsidRPr="00273106">
        <w:t xml:space="preserve">. </w:t>
      </w:r>
      <w:r>
        <w:t xml:space="preserve">Averroes slouží jako epochální promítací plátno, na které modernisté a sofisté všeho druhu projektují podle Freudova mechanismu </w:t>
      </w:r>
      <w:r w:rsidRPr="00622D11">
        <w:rPr>
          <w:rStyle w:val="Zvraznn"/>
        </w:rPr>
        <w:t>Verkehrung ins Gegenteil</w:t>
      </w:r>
      <w:r>
        <w:rPr>
          <w:rStyle w:val="Zvraznn"/>
        </w:rPr>
        <w:fldChar w:fldCharType="begin"/>
      </w:r>
      <w:r>
        <w:instrText xml:space="preserve"> XE "</w:instrText>
      </w:r>
      <w:r w:rsidRPr="0089394E">
        <w:rPr>
          <w:rStyle w:val="Zvraznn"/>
        </w:rPr>
        <w:instrText>Verkehrung ins Gegenteil</w:instrText>
      </w:r>
      <w:r>
        <w:instrText xml:space="preserve">" </w:instrText>
      </w:r>
      <w:r>
        <w:rPr>
          <w:rStyle w:val="Zvraznn"/>
        </w:rPr>
        <w:fldChar w:fldCharType="end"/>
      </w:r>
      <w:r>
        <w:rPr>
          <w:rStyle w:val="Zvraznn"/>
        </w:rPr>
        <w:t xml:space="preserve"> </w:t>
      </w:r>
      <w:r>
        <w:t xml:space="preserve">vlastní objektivní omyly. </w:t>
      </w:r>
      <w:r w:rsidRPr="00273106">
        <w:t xml:space="preserve">Akvinský </w:t>
      </w:r>
      <w:r>
        <w:t xml:space="preserve">a Aegidius </w:t>
      </w:r>
      <w:r w:rsidRPr="00273106">
        <w:t>m</w:t>
      </w:r>
      <w:r>
        <w:t>ají</w:t>
      </w:r>
      <w:r w:rsidRPr="00273106">
        <w:t xml:space="preserve"> před očima jiného </w:t>
      </w:r>
      <w:r>
        <w:t>Averroes</w:t>
      </w:r>
      <w:r w:rsidRPr="00273106">
        <w:t xml:space="preserve">e než pečlivý filosof Siger, který za svou geniální četbu CMDA </w:t>
      </w:r>
      <w:r>
        <w:t xml:space="preserve">a za svůj integrální humanismus </w:t>
      </w:r>
      <w:r>
        <w:rPr>
          <w:i/>
        </w:rPr>
        <w:fldChar w:fldCharType="begin"/>
      </w:r>
      <w:r>
        <w:instrText xml:space="preserve"> XE "humanismus:aristotelský" </w:instrText>
      </w:r>
      <w:r>
        <w:rPr>
          <w:i/>
        </w:rPr>
        <w:fldChar w:fldCharType="end"/>
      </w:r>
      <w:r w:rsidRPr="00273106">
        <w:t>dosud nebyl rehabilitován</w:t>
      </w:r>
      <w:r>
        <w:t xml:space="preserve">. </w:t>
      </w:r>
      <w:r w:rsidR="00761458" w:rsidRPr="00761458">
        <w:t>Tento druh intelektuáln</w:t>
      </w:r>
      <w:r w:rsidR="00761458">
        <w:t>í revoluce předpokládá skutečné</w:t>
      </w:r>
      <w:r w:rsidR="00761458" w:rsidRPr="00761458">
        <w:t xml:space="preserve"> </w:t>
      </w:r>
      <w:r w:rsidR="00761458" w:rsidRPr="00761458">
        <w:rPr>
          <w:i/>
        </w:rPr>
        <w:t>revolutio</w:t>
      </w:r>
      <w:r w:rsidR="00E837CC">
        <w:t xml:space="preserve"> kritické modern</w:t>
      </w:r>
      <w:r w:rsidR="00761458" w:rsidRPr="00761458">
        <w:t xml:space="preserve">y, která by </w:t>
      </w:r>
      <w:r w:rsidR="00761458">
        <w:t xml:space="preserve">musela prozkoumat své vlastní </w:t>
      </w:r>
      <w:r w:rsidR="00761458" w:rsidRPr="00761458">
        <w:t>démonické počátky.</w:t>
      </w:r>
    </w:p>
    <w:p w:rsidR="08163013" w:rsidRPr="00273106" w:rsidRDefault="08163013" w:rsidP="08163013">
      <w:r>
        <w:tab/>
        <w:t xml:space="preserve">Po příjezdu do Paříže </w:t>
      </w:r>
      <w:r w:rsidR="085C41B0">
        <w:t xml:space="preserve">na konci roku 1269 </w:t>
      </w:r>
      <w:r>
        <w:t xml:space="preserve">musel Tomáš řešit základní otázku danou magistry v Rue du Fouarre skrze tezi </w:t>
      </w:r>
      <w:r w:rsidRPr="08B36F22">
        <w:rPr>
          <w:i/>
        </w:rPr>
        <w:t>homo ipse intelligit</w:t>
      </w:r>
      <w:r>
        <w:t xml:space="preserve">. První argumentaci vůči Sigerovi ukazuje odpověď z citovaného </w:t>
      </w:r>
      <w:r w:rsidRPr="00F4298C">
        <w:t xml:space="preserve">spisu </w:t>
      </w:r>
      <w:r w:rsidRPr="00273106">
        <w:rPr>
          <w:i/>
        </w:rPr>
        <w:t>De spiritualibus creaturis</w:t>
      </w:r>
      <w:r w:rsidRPr="00273106">
        <w:rPr>
          <w:rStyle w:val="ref"/>
        </w:rPr>
        <w:t xml:space="preserve"> </w:t>
      </w:r>
      <w:r>
        <w:rPr>
          <w:rStyle w:val="ref"/>
        </w:rPr>
        <w:t>(1268)</w:t>
      </w:r>
      <w:r w:rsidR="00542451">
        <w:rPr>
          <w:rStyle w:val="ref"/>
        </w:rPr>
        <w:t xml:space="preserve">. Dílo </w:t>
      </w:r>
      <w:r w:rsidRPr="00273106">
        <w:t>odmít</w:t>
      </w:r>
      <w:r w:rsidR="00542451">
        <w:t>lo</w:t>
      </w:r>
      <w:r w:rsidRPr="00273106">
        <w:t xml:space="preserve"> domnělý averroismus </w:t>
      </w:r>
      <w:r>
        <w:t>Averroes</w:t>
      </w:r>
      <w:r w:rsidRPr="00273106">
        <w:t xml:space="preserve">e a hledá </w:t>
      </w:r>
      <w:r w:rsidR="00542451">
        <w:t xml:space="preserve">povahu </w:t>
      </w:r>
      <w:r w:rsidRPr="00273106">
        <w:t xml:space="preserve">poznání novým výkladem </w:t>
      </w:r>
      <w:r>
        <w:rPr>
          <w:i/>
        </w:rPr>
        <w:t>De anima</w:t>
      </w:r>
      <w:r w:rsidRPr="00273106">
        <w:t xml:space="preserve">. </w:t>
      </w:r>
      <w:r>
        <w:rPr>
          <w:rStyle w:val="ref"/>
        </w:rPr>
        <w:t xml:space="preserve">Klíčový rozdíl ve výkladu se školou v Rue de Fouarre je dán v použití termínu </w:t>
      </w:r>
      <w:r w:rsidR="00F83E03">
        <w:rPr>
          <w:rStyle w:val="ref"/>
        </w:rPr>
        <w:t>„</w:t>
      </w:r>
      <w:r w:rsidRPr="009D59FF">
        <w:rPr>
          <w:rStyle w:val="ref"/>
          <w:i/>
        </w:rPr>
        <w:t>sicut</w:t>
      </w:r>
      <w:r w:rsidR="00F83E03">
        <w:rPr>
          <w:rStyle w:val="ref"/>
        </w:rPr>
        <w:t>“</w:t>
      </w:r>
      <w:r>
        <w:rPr>
          <w:rStyle w:val="ref"/>
        </w:rPr>
        <w:t xml:space="preserve"> pro ekvalenci smyslů a intelektu tam, kde artisté znající CMDA důsledně používají Averroesův termín </w:t>
      </w:r>
      <w:r w:rsidR="00F83E03">
        <w:rPr>
          <w:rStyle w:val="ref"/>
        </w:rPr>
        <w:t>„</w:t>
      </w:r>
      <w:r w:rsidRPr="009D59FF">
        <w:rPr>
          <w:rStyle w:val="ref"/>
          <w:i/>
        </w:rPr>
        <w:t>similiter</w:t>
      </w:r>
      <w:r w:rsidR="00F83E03">
        <w:rPr>
          <w:rStyle w:val="ref"/>
        </w:rPr>
        <w:t>“</w:t>
      </w:r>
      <w:r>
        <w:rPr>
          <w:rStyle w:val="ref"/>
        </w:rPr>
        <w:t xml:space="preserve">. Jak víme, toto pojetí měl již </w:t>
      </w:r>
      <w:r w:rsidR="000564E1">
        <w:rPr>
          <w:rStyle w:val="ref"/>
        </w:rPr>
        <w:t xml:space="preserve">Tomášův </w:t>
      </w:r>
      <w:r>
        <w:rPr>
          <w:rStyle w:val="ref"/>
        </w:rPr>
        <w:t xml:space="preserve">komentář k Sentencím a nyní jej zopakuje. </w:t>
      </w:r>
    </w:p>
    <w:p w:rsidR="08163013" w:rsidRPr="00D73EA4" w:rsidRDefault="08163013" w:rsidP="08163013">
      <w:pPr>
        <w:pStyle w:val="Citace"/>
        <w:rPr>
          <w:noProof/>
          <w:lang w:val="cs-CZ"/>
        </w:rPr>
      </w:pPr>
      <w:r w:rsidRPr="00273106">
        <w:rPr>
          <w:noProof/>
          <w:lang w:val="cs-CZ"/>
        </w:rPr>
        <w:t>„</w:t>
      </w:r>
      <w:r>
        <w:rPr>
          <w:noProof/>
          <w:lang w:val="cs-CZ"/>
        </w:rPr>
        <w:t>Ale toto trvání možného intelektu v nás (</w:t>
      </w:r>
      <w:r w:rsidRPr="00B41C47">
        <w:rPr>
          <w:i/>
          <w:noProof/>
        </w:rPr>
        <w:t>haec continuatio</w:t>
      </w:r>
      <w:r>
        <w:rPr>
          <w:noProof/>
          <w:lang w:val="cs-CZ"/>
        </w:rPr>
        <w:t>) v žádném případě nestačí zabezpečit poznání individuálního člověka (</w:t>
      </w:r>
      <w:r w:rsidRPr="00746E7F">
        <w:rPr>
          <w:i/>
          <w:noProof/>
        </w:rPr>
        <w:t>hic homo singularis intelligat</w:t>
      </w:r>
      <w:r>
        <w:rPr>
          <w:noProof/>
          <w:lang w:val="cs-CZ"/>
        </w:rPr>
        <w:t xml:space="preserve">). Aristoteles ve třetí knize </w:t>
      </w:r>
      <w:r w:rsidRPr="00B2384C">
        <w:rPr>
          <w:i/>
          <w:noProof/>
          <w:lang w:val="cs-CZ"/>
        </w:rPr>
        <w:t>De anima</w:t>
      </w:r>
      <w:r>
        <w:rPr>
          <w:noProof/>
          <w:lang w:val="cs-CZ"/>
        </w:rPr>
        <w:t xml:space="preserve"> porovnává fantasmata vzhledem k možnému intelektu jako barvu vzhledem k vidění. Inteligibilní </w:t>
      </w:r>
      <w:r w:rsidR="00962190" w:rsidRPr="00DD5C95">
        <w:rPr>
          <w:noProof/>
          <w:lang w:val="cs-CZ"/>
        </w:rPr>
        <w:t>species</w:t>
      </w:r>
      <w:r>
        <w:rPr>
          <w:noProof/>
          <w:lang w:val="cs-CZ"/>
        </w:rPr>
        <w:t xml:space="preserve"> jsou abstrahována od fantasmat v možném intelektu stejně jako (</w:t>
      </w:r>
      <w:r w:rsidRPr="00B2384C">
        <w:rPr>
          <w:i/>
          <w:noProof/>
        </w:rPr>
        <w:t>sicut</w:t>
      </w:r>
      <w:r>
        <w:rPr>
          <w:noProof/>
          <w:lang w:val="cs-CZ"/>
        </w:rPr>
        <w:t xml:space="preserve">) </w:t>
      </w:r>
      <w:r w:rsidR="00962190" w:rsidRPr="00DD5C95">
        <w:rPr>
          <w:noProof/>
          <w:lang w:val="cs-CZ"/>
        </w:rPr>
        <w:t>species</w:t>
      </w:r>
      <w:r>
        <w:rPr>
          <w:noProof/>
          <w:lang w:val="cs-CZ"/>
        </w:rPr>
        <w:t xml:space="preserve"> barvy jsou abstrahována v smyslově daném počitku vidění. Tím je ve fantasmatech dána inteligibilní </w:t>
      </w:r>
      <w:r w:rsidR="00962190" w:rsidRPr="00DD5C95">
        <w:rPr>
          <w:noProof/>
          <w:lang w:val="cs-CZ"/>
        </w:rPr>
        <w:t>species</w:t>
      </w:r>
      <w:r w:rsidR="00DD5C95">
        <w:rPr>
          <w:noProof/>
          <w:lang w:val="cs-CZ"/>
        </w:rPr>
        <w:t xml:space="preserve">  stejným způsobem</w:t>
      </w:r>
      <w:r>
        <w:rPr>
          <w:noProof/>
          <w:lang w:val="cs-CZ"/>
        </w:rPr>
        <w:t xml:space="preserve"> (</w:t>
      </w:r>
      <w:r w:rsidRPr="00036BD9">
        <w:rPr>
          <w:i/>
          <w:noProof/>
          <w:lang w:val="cs-CZ"/>
        </w:rPr>
        <w:t>sicut</w:t>
      </w:r>
      <w:r>
        <w:rPr>
          <w:noProof/>
          <w:lang w:val="cs-CZ"/>
        </w:rPr>
        <w:t xml:space="preserve">), jako je smyslová </w:t>
      </w:r>
      <w:r w:rsidR="00962190" w:rsidRPr="00DD5C95">
        <w:rPr>
          <w:noProof/>
          <w:lang w:val="cs-CZ"/>
        </w:rPr>
        <w:t>species</w:t>
      </w:r>
      <w:r>
        <w:rPr>
          <w:noProof/>
          <w:lang w:val="cs-CZ"/>
        </w:rPr>
        <w:t xml:space="preserve"> dána na barevné ploše.“ </w:t>
      </w:r>
      <w:r>
        <w:rPr>
          <w:rStyle w:val="Znakapoznpodarou"/>
        </w:rPr>
        <w:footnoteReference w:id="336"/>
      </w:r>
    </w:p>
    <w:p w:rsidR="00E43386" w:rsidRDefault="08163013" w:rsidP="08163013">
      <w:r w:rsidRPr="00273106">
        <w:t xml:space="preserve">Citát </w:t>
      </w:r>
      <w:r>
        <w:t xml:space="preserve">brání </w:t>
      </w:r>
      <w:r w:rsidRPr="00273106">
        <w:t>poznání pro jednotlivce (</w:t>
      </w:r>
      <w:r w:rsidRPr="00273106">
        <w:rPr>
          <w:i/>
        </w:rPr>
        <w:t>hic homo singularis intelligat</w:t>
      </w:r>
      <w:r w:rsidRPr="00273106">
        <w:t>) s tím, že využívá model diafanum</w:t>
      </w:r>
      <w:r>
        <w:fldChar w:fldCharType="begin"/>
      </w:r>
      <w:r>
        <w:instrText xml:space="preserve"> XE "</w:instrText>
      </w:r>
      <w:r w:rsidRPr="00F30057">
        <w:instrText>diafanum:Akvinský</w:instrText>
      </w:r>
      <w:r>
        <w:instrText xml:space="preserve">" </w:instrText>
      </w:r>
      <w:r>
        <w:fldChar w:fldCharType="end"/>
      </w:r>
      <w:r w:rsidRPr="00273106">
        <w:t xml:space="preserve"> daný v CMDA. Barva není na zdi, ale ve zraku, který je aktivován ozářeným předmětem. </w:t>
      </w:r>
      <w:r>
        <w:t>M</w:t>
      </w:r>
      <w:r w:rsidRPr="00273106">
        <w:t>ediace probíh</w:t>
      </w:r>
      <w:r>
        <w:t>á</w:t>
      </w:r>
      <w:r w:rsidRPr="00273106">
        <w:t xml:space="preserve"> mezi nasvícením </w:t>
      </w:r>
      <w:r>
        <w:t xml:space="preserve">fyzické </w:t>
      </w:r>
      <w:r w:rsidRPr="00273106">
        <w:t xml:space="preserve">věci </w:t>
      </w:r>
      <w:r>
        <w:t xml:space="preserve">v realitě </w:t>
      </w:r>
      <w:r w:rsidRPr="00273106">
        <w:t xml:space="preserve">a </w:t>
      </w:r>
      <w:r>
        <w:t xml:space="preserve">mezi </w:t>
      </w:r>
      <w:r w:rsidRPr="00273106">
        <w:t xml:space="preserve">jejím viděním, protože tyto činnosti nejsou stejného řádu. Nasvícení paprskem slunce probíhá v reálu, ale vidění je akt smyslů, které syntetizují </w:t>
      </w:r>
      <w:r>
        <w:t xml:space="preserve">individuální </w:t>
      </w:r>
      <w:r w:rsidR="00962190">
        <w:rPr>
          <w:i/>
        </w:rPr>
        <w:t>species</w:t>
      </w:r>
      <w:r w:rsidRPr="00273106">
        <w:rPr>
          <w:i/>
        </w:rPr>
        <w:t xml:space="preserve"> sensib</w:t>
      </w:r>
      <w:r>
        <w:rPr>
          <w:i/>
        </w:rPr>
        <w:t>i</w:t>
      </w:r>
      <w:r w:rsidRPr="00273106">
        <w:rPr>
          <w:i/>
        </w:rPr>
        <w:t>lis</w:t>
      </w:r>
      <w:r>
        <w:rPr>
          <w:i/>
        </w:rPr>
        <w:fldChar w:fldCharType="begin"/>
      </w:r>
      <w:r>
        <w:instrText xml:space="preserve"> XE </w:instrText>
      </w:r>
      <w:r>
        <w:lastRenderedPageBreak/>
        <w:instrText>"</w:instrText>
      </w:r>
      <w:r w:rsidRPr="00374FA1">
        <w:rPr>
          <w:i/>
        </w:rPr>
        <w:instrText>species sensibilis</w:instrText>
      </w:r>
      <w:r>
        <w:instrText xml:space="preserve">" </w:instrText>
      </w:r>
      <w:r>
        <w:rPr>
          <w:i/>
        </w:rPr>
        <w:fldChar w:fldCharType="end"/>
      </w:r>
      <w:r w:rsidRPr="00273106">
        <w:t xml:space="preserve"> </w:t>
      </w:r>
      <w:r>
        <w:t xml:space="preserve">podle externího </w:t>
      </w:r>
      <w:r w:rsidRPr="00273106">
        <w:t xml:space="preserve">reálného děje. Stejně tak musí existovat rozdíl mezi individuální syntézou poznání ve </w:t>
      </w:r>
      <w:r w:rsidR="00962190">
        <w:rPr>
          <w:i/>
        </w:rPr>
        <w:t>species</w:t>
      </w:r>
      <w:r w:rsidRPr="00273106">
        <w:rPr>
          <w:i/>
        </w:rPr>
        <w:t xml:space="preserve"> intelligibilis</w:t>
      </w:r>
      <w:r>
        <w:rPr>
          <w:i/>
        </w:rPr>
        <w:fldChar w:fldCharType="begin"/>
      </w:r>
      <w:r>
        <w:instrText xml:space="preserve"> XE "</w:instrText>
      </w:r>
      <w:r w:rsidRPr="00DD403C">
        <w:rPr>
          <w:i/>
        </w:rPr>
        <w:instrText>species intelligibilis:</w:instrText>
      </w:r>
      <w:r w:rsidRPr="00DD403C">
        <w:instrText>A</w:instrText>
      </w:r>
      <w:r>
        <w:instrText xml:space="preserve">kvinský" </w:instrText>
      </w:r>
      <w:r>
        <w:rPr>
          <w:i/>
        </w:rPr>
        <w:fldChar w:fldCharType="end"/>
      </w:r>
      <w:r w:rsidRPr="00273106">
        <w:t xml:space="preserve"> </w:t>
      </w:r>
      <w:r>
        <w:t xml:space="preserve">(„jak“), na rozdíl od univerzálního </w:t>
      </w:r>
      <w:r w:rsidRPr="00273106">
        <w:t>„co“ je syntetizováno jako univerzální obsah poznání (</w:t>
      </w:r>
      <w:r w:rsidRPr="00273106">
        <w:rPr>
          <w:i/>
        </w:rPr>
        <w:t>conceptus</w:t>
      </w:r>
      <w:r w:rsidRPr="00273106">
        <w:t xml:space="preserve">). </w:t>
      </w:r>
      <w:r>
        <w:t>Jádro sporu je v tom, že intelekt vystupuje jako formální substrát (</w:t>
      </w:r>
      <w:r w:rsidRPr="08BC09DC">
        <w:rPr>
          <w:i/>
        </w:rPr>
        <w:t>subiectum</w:t>
      </w:r>
      <w:r>
        <w:t>) pro všechny tyto syntézy úplně stejným způso</w:t>
      </w:r>
      <w:r w:rsidR="00DD5C95">
        <w:t xml:space="preserve">bem. Individualizace obou </w:t>
      </w:r>
      <w:r w:rsidR="00962190" w:rsidRPr="00DD5C95">
        <w:t>species</w:t>
      </w:r>
      <w:r>
        <w:t xml:space="preserve"> je dána odkazem na </w:t>
      </w:r>
      <w:proofErr w:type="gramStart"/>
      <w:r w:rsidRPr="08BC09DC">
        <w:rPr>
          <w:i/>
        </w:rPr>
        <w:t>De</w:t>
      </w:r>
      <w:proofErr w:type="gramEnd"/>
      <w:r w:rsidRPr="08BC09DC">
        <w:rPr>
          <w:i/>
        </w:rPr>
        <w:t xml:space="preserve"> anima </w:t>
      </w:r>
      <w:r>
        <w:t>jako jeden formální proces abstrakce (</w:t>
      </w:r>
      <w:r w:rsidRPr="08BC09DC">
        <w:rPr>
          <w:i/>
        </w:rPr>
        <w:t>phantasmata comparantur ad intellectum possibilem sicut color ad visum</w:t>
      </w:r>
      <w:r>
        <w:t xml:space="preserve">). </w:t>
      </w:r>
      <w:r w:rsidRPr="00273106">
        <w:t>Akt poznání v nás (</w:t>
      </w:r>
      <w:r>
        <w:t>Averroes</w:t>
      </w:r>
      <w:r w:rsidRPr="00273106">
        <w:t xml:space="preserve">ův </w:t>
      </w:r>
      <w:r w:rsidRPr="00273106">
        <w:rPr>
          <w:i/>
        </w:rPr>
        <w:t>intellectus possibilis</w:t>
      </w:r>
      <w:r w:rsidRPr="00273106">
        <w:t xml:space="preserve"> jako </w:t>
      </w:r>
      <w:r w:rsidRPr="00273106">
        <w:rPr>
          <w:i/>
        </w:rPr>
        <w:t xml:space="preserve">tertium </w:t>
      </w:r>
      <w:r w:rsidR="00962190">
        <w:rPr>
          <w:i/>
        </w:rPr>
        <w:t>genus</w:t>
      </w:r>
      <w:r>
        <w:rPr>
          <w:i/>
        </w:rPr>
        <w:fldChar w:fldCharType="begin"/>
      </w:r>
      <w:r>
        <w:instrText xml:space="preserve"> XE "</w:instrText>
      </w:r>
      <w:r w:rsidRPr="00D80F84">
        <w:rPr>
          <w:i/>
        </w:rPr>
        <w:instrText>tertium genus</w:instrText>
      </w:r>
      <w:r>
        <w:instrText xml:space="preserve">" </w:instrText>
      </w:r>
      <w:r>
        <w:rPr>
          <w:i/>
        </w:rPr>
        <w:fldChar w:fldCharType="end"/>
      </w:r>
      <w:r w:rsidRPr="00273106">
        <w:t>) je dán jako nema</w:t>
      </w:r>
      <w:r>
        <w:t>teriální syntéza inteligibilních</w:t>
      </w:r>
      <w:r w:rsidRPr="00273106">
        <w:t xml:space="preserve"> </w:t>
      </w:r>
      <w:r w:rsidR="00962190" w:rsidRPr="00DD5C95">
        <w:t>species</w:t>
      </w:r>
      <w:r>
        <w:t xml:space="preserve">. Tato činnost intelektu jako nositeli poznání je </w:t>
      </w:r>
      <w:r w:rsidRPr="00273106">
        <w:t>podobná vidění oka, kt</w:t>
      </w:r>
      <w:r>
        <w:t xml:space="preserve">eré produkuje smyslovou </w:t>
      </w:r>
      <w:r w:rsidR="00962190" w:rsidRPr="00DD5C95">
        <w:t>species</w:t>
      </w:r>
      <w:r>
        <w:t xml:space="preserve"> </w:t>
      </w:r>
      <w:r w:rsidRPr="00273106">
        <w:t>(</w:t>
      </w:r>
      <w:r w:rsidRPr="00273106">
        <w:rPr>
          <w:i/>
        </w:rPr>
        <w:t xml:space="preserve">intelligibilis </w:t>
      </w:r>
      <w:r w:rsidR="00962190">
        <w:rPr>
          <w:i/>
        </w:rPr>
        <w:t>species</w:t>
      </w:r>
      <w:r w:rsidRPr="00273106">
        <w:rPr>
          <w:i/>
        </w:rPr>
        <w:t xml:space="preserve"> sicut </w:t>
      </w:r>
      <w:r w:rsidR="00962190">
        <w:rPr>
          <w:i/>
        </w:rPr>
        <w:t>species</w:t>
      </w:r>
      <w:r w:rsidRPr="00273106">
        <w:rPr>
          <w:i/>
        </w:rPr>
        <w:t xml:space="preserve"> visibilis</w:t>
      </w:r>
      <w:r w:rsidRPr="00273106">
        <w:t>). Pak platí podle Akvinského</w:t>
      </w:r>
      <w:r>
        <w:t xml:space="preserve"> termínu </w:t>
      </w:r>
      <w:r w:rsidR="00DD5C95">
        <w:t>„</w:t>
      </w:r>
      <w:r w:rsidRPr="08DC6D30">
        <w:rPr>
          <w:i/>
        </w:rPr>
        <w:t>sicut</w:t>
      </w:r>
      <w:r w:rsidR="00DD5C95">
        <w:t>“</w:t>
      </w:r>
      <w:r w:rsidRPr="00273106">
        <w:t xml:space="preserve">, že inteligibilní </w:t>
      </w:r>
      <w:r w:rsidR="00962190" w:rsidRPr="00DD5C95">
        <w:t>species</w:t>
      </w:r>
      <w:r w:rsidRPr="00273106">
        <w:t xml:space="preserve"> je ve </w:t>
      </w:r>
      <w:r>
        <w:t>smyslových fantasmatech obsažena</w:t>
      </w:r>
      <w:r w:rsidRPr="00273106">
        <w:t xml:space="preserve"> stej</w:t>
      </w:r>
      <w:r>
        <w:t>ně potenciálně, jako je smyslová</w:t>
      </w:r>
      <w:r w:rsidRPr="00273106">
        <w:t xml:space="preserve"> </w:t>
      </w:r>
      <w:r w:rsidR="00962190" w:rsidRPr="00DD5C95">
        <w:t>species</w:t>
      </w:r>
      <w:r w:rsidRPr="00273106">
        <w:t xml:space="preserve"> potenciáln</w:t>
      </w:r>
      <w:r>
        <w:t>ě dána</w:t>
      </w:r>
      <w:r w:rsidRPr="00273106">
        <w:t xml:space="preserve"> na ozářené zdi. Hlavní část principu proporcionality smyslů a intelektu </w:t>
      </w:r>
      <w:r>
        <w:t xml:space="preserve">jsme komentovali skrze </w:t>
      </w:r>
      <w:r w:rsidR="08AC1940">
        <w:t xml:space="preserve">Akvinského </w:t>
      </w:r>
      <w:r>
        <w:t xml:space="preserve">spis </w:t>
      </w:r>
      <w:r>
        <w:rPr>
          <w:i/>
        </w:rPr>
        <w:t>D</w:t>
      </w:r>
      <w:r w:rsidRPr="00273106">
        <w:rPr>
          <w:i/>
        </w:rPr>
        <w:t>e potentia</w:t>
      </w:r>
      <w:r w:rsidR="08A60C63">
        <w:rPr>
          <w:rStyle w:val="ref"/>
        </w:rPr>
        <w:t xml:space="preserve"> (kap. 4</w:t>
      </w:r>
      <w:r>
        <w:rPr>
          <w:rStyle w:val="ref"/>
        </w:rPr>
        <w:t>.5.2</w:t>
      </w:r>
      <w:r w:rsidRPr="00273106">
        <w:rPr>
          <w:rStyle w:val="ref"/>
        </w:rPr>
        <w:t>).</w:t>
      </w:r>
      <w:r>
        <w:rPr>
          <w:rStyle w:val="ref"/>
        </w:rPr>
        <w:t xml:space="preserve"> </w:t>
      </w:r>
      <w:r>
        <w:t xml:space="preserve">Akvinský bere spojení smyslů a intelektu skrze mediaci danou potenciálně, ale v modu univoční formální kauzality dané termínem </w:t>
      </w:r>
      <w:r w:rsidR="00DD5C95">
        <w:t>„</w:t>
      </w:r>
      <w:r w:rsidRPr="00950B25">
        <w:rPr>
          <w:i/>
        </w:rPr>
        <w:t>sicut</w:t>
      </w:r>
      <w:r w:rsidR="00DD5C95">
        <w:t>“</w:t>
      </w:r>
      <w:r>
        <w:t xml:space="preserve">. To </w:t>
      </w:r>
      <w:r w:rsidR="00DD5C95">
        <w:t xml:space="preserve">ale </w:t>
      </w:r>
      <w:r>
        <w:t xml:space="preserve">není stanovisko CMDA, protože smyslové a inteligibilní poznání běží ve dvojím modu mediace. Intencionalita intelektu jako </w:t>
      </w:r>
      <w:r w:rsidRPr="08E12A0E">
        <w:rPr>
          <w:i/>
        </w:rPr>
        <w:t>diaphanum</w:t>
      </w:r>
      <w:r w:rsidRPr="08E12A0E">
        <w:rPr>
          <w:i/>
          <w:vertAlign w:val="superscript"/>
        </w:rPr>
        <w:t>2</w:t>
      </w:r>
      <w:r>
        <w:fldChar w:fldCharType="begin"/>
      </w:r>
      <w:r>
        <w:instrText xml:space="preserve"> XE "</w:instrText>
      </w:r>
      <w:r w:rsidRPr="009F3B56">
        <w:instrText>diafanum:</w:instrText>
      </w:r>
      <w:r>
        <w:instrText xml:space="preserve">Averroes" </w:instrText>
      </w:r>
      <w:r>
        <w:fldChar w:fldCharType="end"/>
      </w:r>
      <w:r>
        <w:t xml:space="preserve"> je dána pouze v modu </w:t>
      </w:r>
      <w:r w:rsidRPr="00950B25">
        <w:rPr>
          <w:i/>
        </w:rPr>
        <w:t>similiter</w:t>
      </w:r>
      <w:r>
        <w:t xml:space="preserve"> nebo </w:t>
      </w:r>
      <w:r w:rsidRPr="00950B25">
        <w:rPr>
          <w:i/>
        </w:rPr>
        <w:t>consimile</w:t>
      </w:r>
      <w:r>
        <w:rPr>
          <w:i/>
        </w:rPr>
        <w:fldChar w:fldCharType="begin"/>
      </w:r>
      <w:r>
        <w:instrText xml:space="preserve"> XE "pravda:</w:instrText>
      </w:r>
      <w:r w:rsidRPr="00953A1B">
        <w:rPr>
          <w:i/>
        </w:rPr>
        <w:instrText>consimile</w:instrText>
      </w:r>
      <w:r>
        <w:instrText xml:space="preserve">" </w:instrText>
      </w:r>
      <w:r>
        <w:rPr>
          <w:i/>
        </w:rPr>
        <w:fldChar w:fldCharType="end"/>
      </w:r>
      <w:r>
        <w:t xml:space="preserve"> vzhledem ke smyslové </w:t>
      </w:r>
      <w:r w:rsidR="00962190" w:rsidRPr="00B4707F">
        <w:t>species</w:t>
      </w:r>
      <w:r>
        <w:t xml:space="preserve"> jako </w:t>
      </w:r>
      <w:r w:rsidRPr="08E12A0E">
        <w:rPr>
          <w:i/>
        </w:rPr>
        <w:t>diaphanum</w:t>
      </w:r>
      <w:r>
        <w:rPr>
          <w:i/>
          <w:vertAlign w:val="superscript"/>
        </w:rPr>
        <w:t xml:space="preserve">1 </w:t>
      </w:r>
      <w:r>
        <w:t>(</w:t>
      </w:r>
      <w:r w:rsidR="08E34CCE">
        <w:t xml:space="preserve">OBJ I, </w:t>
      </w:r>
      <w:r>
        <w:t xml:space="preserve">kap. 2.4.4). Siger zásadním způsobem odlišil materiální a nemateriální potenci a mediaci v aktu poznání. </w:t>
      </w:r>
      <w:r w:rsidRPr="00273106">
        <w:t xml:space="preserve">Metafora intelektuálního poznání </w:t>
      </w:r>
      <w:r>
        <w:t>po</w:t>
      </w:r>
      <w:r w:rsidRPr="00273106">
        <w:t>rovnaného se smyslo</w:t>
      </w:r>
      <w:r>
        <w:t>vým poznáním (</w:t>
      </w:r>
      <w:r w:rsidRPr="00273106">
        <w:rPr>
          <w:i/>
        </w:rPr>
        <w:t>sicut color ad visum</w:t>
      </w:r>
      <w:r>
        <w:t xml:space="preserve">) je chybná, protože nerespekuje rozdíl </w:t>
      </w:r>
      <w:r w:rsidR="00B4707F">
        <w:t>„</w:t>
      </w:r>
      <w:r w:rsidRPr="08BC134D">
        <w:rPr>
          <w:i/>
        </w:rPr>
        <w:t>subiective</w:t>
      </w:r>
      <w:r>
        <w:t>‒</w:t>
      </w:r>
      <w:r>
        <w:rPr>
          <w:i/>
        </w:rPr>
        <w:t>obiectiv</w:t>
      </w:r>
      <w:r w:rsidRPr="08BC134D">
        <w:rPr>
          <w:i/>
        </w:rPr>
        <w:t>e</w:t>
      </w:r>
      <w:r w:rsidR="00B4707F">
        <w:t>“</w:t>
      </w:r>
      <w:r>
        <w:t>. Stanovisko magistrů kolem Sigera vypracoval asi roku 1271 Boethius z Dácie v</w:t>
      </w:r>
      <w:r w:rsidR="00B4707F">
        <w:t xml:space="preserve"> díle </w:t>
      </w:r>
      <w:r w:rsidR="00B4707F" w:rsidRPr="00B4707F">
        <w:rPr>
          <w:i/>
        </w:rPr>
        <w:t xml:space="preserve">Anonymus </w:t>
      </w:r>
      <w:r w:rsidRPr="00B4707F">
        <w:rPr>
          <w:i/>
        </w:rPr>
        <w:t>Giele</w:t>
      </w:r>
      <w:r>
        <w:t xml:space="preserve"> </w:t>
      </w:r>
      <w:r w:rsidR="00941B22">
        <w:t xml:space="preserve">proti nauce Akvinského. Ten hlásal ekvivalenci obou species </w:t>
      </w:r>
      <w:r>
        <w:t xml:space="preserve">v Paříži </w:t>
      </w:r>
      <w:r w:rsidR="00941B22">
        <w:t xml:space="preserve">hned </w:t>
      </w:r>
      <w:r>
        <w:t xml:space="preserve">po jeho příchodu v roce 1270. Formální přístup </w:t>
      </w:r>
      <w:r w:rsidRPr="00273106">
        <w:t>nebere k úvahu nematerialitu a oddělenost intelektu</w:t>
      </w:r>
      <w:r>
        <w:t xml:space="preserve"> daného v modu </w:t>
      </w:r>
      <w:r w:rsidRPr="002F5CB2">
        <w:rPr>
          <w:i/>
        </w:rPr>
        <w:t>separabilis</w:t>
      </w:r>
      <w:r>
        <w:t xml:space="preserve"> od smyslové mediace dané individualizací poznání skrze receptivní orgán v těle. Nemateriální potence </w:t>
      </w:r>
      <w:r w:rsidRPr="08177A8C">
        <w:rPr>
          <w:i/>
        </w:rPr>
        <w:t>anima intellectiva</w:t>
      </w:r>
      <w:r>
        <w:t xml:space="preserve"> nemá žádný smyslový orgán, proto intelekt přistupuje k tělu pouze </w:t>
      </w:r>
      <w:r w:rsidRPr="08177A8C">
        <w:rPr>
          <w:i/>
        </w:rPr>
        <w:t>obiective</w:t>
      </w:r>
      <w:r>
        <w:t xml:space="preserve"> a v modu </w:t>
      </w:r>
      <w:r w:rsidRPr="08177A8C">
        <w:rPr>
          <w:i/>
        </w:rPr>
        <w:t>inmixtus</w:t>
      </w:r>
      <w:r>
        <w:t xml:space="preserve">. Akvinský potřebuje nějak individualizovat intelekt na způsob smyslového orgánu, ale to nejde. Intelekt je nemateriální schopnost duše a ta žádný takový orgán nemá. Nemateriální intelekt nemá v těle vlastní orgán a je závislý na naší nemateriální osobní vůli, zatímco smysly mají materiální orgán a jejich poznání běží nutně v modu efektivní kauzality. Aktualizace smyslového poznání </w:t>
      </w:r>
      <w:r>
        <w:lastRenderedPageBreak/>
        <w:t>běží kauzálně a automaticky v momentu, kdy jsou orgány aktivovány vnějším impulzem od reálné první substance. Nemůžeme nevidět, ale nemusíme myslet</w:t>
      </w:r>
      <w:r w:rsidR="00FC4990">
        <w:t>, když nechceme</w:t>
      </w:r>
      <w:r>
        <w:t>, což Akvinský nechtěl vzít na vědomí v univočním pojetí mediace (</w:t>
      </w:r>
      <w:r w:rsidRPr="087D402D">
        <w:rPr>
          <w:i/>
        </w:rPr>
        <w:t>sicut</w:t>
      </w:r>
      <w:r>
        <w:t xml:space="preserve">). Sigerova škola Modistů </w:t>
      </w:r>
      <w:r>
        <w:fldChar w:fldCharType="begin"/>
      </w:r>
      <w:r>
        <w:instrText xml:space="preserve"> XE "první averroismus:</w:instrText>
      </w:r>
      <w:r w:rsidRPr="00290367">
        <w:instrText>Modisté</w:instrText>
      </w:r>
      <w:r>
        <w:instrText xml:space="preserve">" </w:instrText>
      </w:r>
      <w:r>
        <w:fldChar w:fldCharType="end"/>
      </w:r>
      <w:r>
        <w:t>jako byl Boethius z Dácie</w:t>
      </w:r>
      <w:r>
        <w:fldChar w:fldCharType="begin"/>
      </w:r>
      <w:r>
        <w:instrText xml:space="preserve"> XE "</w:instrText>
      </w:r>
      <w:r w:rsidRPr="00827CE5">
        <w:instrText xml:space="preserve">Boethius </w:instrText>
      </w:r>
      <w:r>
        <w:instrText xml:space="preserve">z </w:instrText>
      </w:r>
      <w:r w:rsidRPr="00827CE5">
        <w:instrText>Dácie</w:instrText>
      </w:r>
      <w:r>
        <w:instrText xml:space="preserve">" </w:instrText>
      </w:r>
      <w:r>
        <w:fldChar w:fldCharType="end"/>
      </w:r>
      <w:r>
        <w:t xml:space="preserve"> tento rozdíl </w:t>
      </w:r>
      <w:r w:rsidR="00FC4990">
        <w:t xml:space="preserve">bránila skrze dvojí </w:t>
      </w:r>
      <w:r>
        <w:t>pojetí</w:t>
      </w:r>
      <w:r w:rsidR="00FC4990">
        <w:t xml:space="preserve"> mediace dané jako smyslové a intelektuální </w:t>
      </w:r>
      <w:r>
        <w:t>diafanum</w:t>
      </w:r>
      <w:r w:rsidR="00FC4990">
        <w:t xml:space="preserve">. Tím je dáno výsledné </w:t>
      </w:r>
      <w:r>
        <w:t xml:space="preserve">pojetí intelektu relativně odděleného od smyslů a od těla, protože </w:t>
      </w:r>
      <w:r w:rsidR="00FC4990">
        <w:t xml:space="preserve">dílo </w:t>
      </w:r>
      <w:r w:rsidR="00FC4990" w:rsidRPr="00B4707F">
        <w:rPr>
          <w:i/>
        </w:rPr>
        <w:t>Anonymus Giele</w:t>
      </w:r>
      <w:r w:rsidR="00FC4990">
        <w:t xml:space="preserve"> po vzoru Sigera rozlišilo</w:t>
      </w:r>
      <w:r>
        <w:t xml:space="preserve"> </w:t>
      </w:r>
      <w:r w:rsidRPr="00FC4990">
        <w:rPr>
          <w:i/>
        </w:rPr>
        <w:t xml:space="preserve">modus </w:t>
      </w:r>
      <w:r w:rsidR="00FC4990" w:rsidRPr="00FC4990">
        <w:rPr>
          <w:i/>
        </w:rPr>
        <w:t>cognoscendi</w:t>
      </w:r>
      <w:r w:rsidR="00FC4990">
        <w:t xml:space="preserve"> </w:t>
      </w:r>
      <w:r>
        <w:t xml:space="preserve">daný </w:t>
      </w:r>
      <w:r>
        <w:rPr>
          <w:i/>
        </w:rPr>
        <w:t xml:space="preserve">subiective </w:t>
      </w:r>
      <w:r w:rsidRPr="006866CD">
        <w:t>a</w:t>
      </w:r>
      <w:r>
        <w:rPr>
          <w:i/>
        </w:rPr>
        <w:t xml:space="preserve"> </w:t>
      </w:r>
      <w:r w:rsidRPr="006866CD">
        <w:rPr>
          <w:i/>
        </w:rPr>
        <w:t>obiective</w:t>
      </w:r>
      <w:r>
        <w:fldChar w:fldCharType="begin"/>
      </w:r>
      <w:r>
        <w:instrText xml:space="preserve"> XE "intelekt:</w:instrText>
      </w:r>
      <w:r w:rsidRPr="006866CD">
        <w:rPr>
          <w:i/>
        </w:rPr>
        <w:instrText>subiective/obiective</w:instrText>
      </w:r>
      <w:r>
        <w:instrText xml:space="preserve">" </w:instrText>
      </w:r>
      <w:r>
        <w:fldChar w:fldCharType="end"/>
      </w:r>
      <w:r>
        <w:t>. Intelekt nemá stejnou formální kauzalitu jako smysly. Tělo je pro něj jen objektem a ne subjektem, protože je nemateriální potencí duše. Protože je dvojí diafanum pro smysly a pro intelekt, pak také existuje dvojí formální kauzalita zajišťující mediaci a adekvaci v průběhu poznání. První mediace je kauzálně dána v modu individuality osoby (</w:t>
      </w:r>
      <w:r w:rsidRPr="08FE29CE">
        <w:rPr>
          <w:i/>
        </w:rPr>
        <w:t>experimur</w:t>
      </w:r>
      <w:r>
        <w:t>) a druhá pouze a jedině v modu existenciální ipseity (</w:t>
      </w:r>
      <w:r w:rsidRPr="08FE29CE">
        <w:rPr>
          <w:i/>
        </w:rPr>
        <w:t>conscii sumus</w:t>
      </w:r>
      <w:r w:rsidR="00E43386">
        <w:t>).</w:t>
      </w:r>
    </w:p>
    <w:p w:rsidR="002F23CF" w:rsidRDefault="08163013" w:rsidP="002F23CF">
      <w:pPr>
        <w:ind w:firstLine="397"/>
      </w:pPr>
      <w:r>
        <w:t xml:space="preserve">Akvinský toto rozdělení neměl a unifikoval formální kauzalitu podanou ve spise </w:t>
      </w:r>
      <w:r>
        <w:rPr>
          <w:i/>
        </w:rPr>
        <w:t>D</w:t>
      </w:r>
      <w:r w:rsidRPr="00273106">
        <w:rPr>
          <w:i/>
        </w:rPr>
        <w:t>e potentia</w:t>
      </w:r>
      <w:r>
        <w:t xml:space="preserve"> (kap. 6.5.2). Porovnání v modu </w:t>
      </w:r>
      <w:r w:rsidRPr="085029BF">
        <w:rPr>
          <w:i/>
        </w:rPr>
        <w:t>sicut</w:t>
      </w:r>
      <w:r>
        <w:t xml:space="preserve"> vybavuje intelekt hypostázovanou schopností nést </w:t>
      </w:r>
      <w:r w:rsidR="00962190" w:rsidRPr="00583A72">
        <w:t>species</w:t>
      </w:r>
      <w:r>
        <w:t xml:space="preserve"> ve smyslu </w:t>
      </w:r>
      <w:r w:rsidRPr="08DE26DA">
        <w:rPr>
          <w:i/>
        </w:rPr>
        <w:t>subiectum</w:t>
      </w:r>
      <w:r>
        <w:t xml:space="preserve"> (</w:t>
      </w:r>
      <w:r w:rsidR="00962190">
        <w:rPr>
          <w:i/>
        </w:rPr>
        <w:t>species</w:t>
      </w:r>
      <w:r w:rsidRPr="085029BF">
        <w:rPr>
          <w:i/>
        </w:rPr>
        <w:t xml:space="preserve"> </w:t>
      </w:r>
      <w:proofErr w:type="gramStart"/>
      <w:r w:rsidRPr="085029BF">
        <w:rPr>
          <w:i/>
        </w:rPr>
        <w:t>intelligibilis</w:t>
      </w:r>
      <w:r>
        <w:t>...</w:t>
      </w:r>
      <w:r w:rsidRPr="085029BF">
        <w:rPr>
          <w:i/>
        </w:rPr>
        <w:t>est</w:t>
      </w:r>
      <w:proofErr w:type="gramEnd"/>
      <w:r w:rsidRPr="085029BF">
        <w:rPr>
          <w:i/>
        </w:rPr>
        <w:t xml:space="preserve"> in intellectu possibili</w:t>
      </w:r>
      <w:r>
        <w:t xml:space="preserve">). Intelekt se stal subjektem a tím vznikl tomistický objektivní intelekt jako hypostáze ve formě </w:t>
      </w:r>
      <w:r>
        <w:rPr>
          <w:i/>
        </w:rPr>
        <w:t>intel</w:t>
      </w:r>
      <w:r w:rsidRPr="08DE26DA">
        <w:rPr>
          <w:i/>
        </w:rPr>
        <w:t>l</w:t>
      </w:r>
      <w:r>
        <w:rPr>
          <w:i/>
        </w:rPr>
        <w:t>e</w:t>
      </w:r>
      <w:r w:rsidRPr="08DE26DA">
        <w:rPr>
          <w:i/>
        </w:rPr>
        <w:t>ctus formalis</w:t>
      </w:r>
      <w:r>
        <w:rPr>
          <w:i/>
        </w:rPr>
        <w:fldChar w:fldCharType="begin"/>
      </w:r>
      <w:r>
        <w:instrText xml:space="preserve"> XE "Akvinský:</w:instrText>
      </w:r>
      <w:r>
        <w:rPr>
          <w:i/>
        </w:rPr>
        <w:instrText>intel</w:instrText>
      </w:r>
      <w:r w:rsidRPr="088D36F2">
        <w:rPr>
          <w:i/>
        </w:rPr>
        <w:instrText>l</w:instrText>
      </w:r>
      <w:r>
        <w:rPr>
          <w:i/>
        </w:rPr>
        <w:instrText>e</w:instrText>
      </w:r>
      <w:r w:rsidRPr="088D36F2">
        <w:rPr>
          <w:i/>
        </w:rPr>
        <w:instrText>ctus formalis</w:instrText>
      </w:r>
      <w:r>
        <w:instrText xml:space="preserve">" </w:instrText>
      </w:r>
      <w:r>
        <w:rPr>
          <w:i/>
        </w:rPr>
        <w:fldChar w:fldCharType="end"/>
      </w:r>
      <w:r>
        <w:t xml:space="preserve">. Toto averroistické pojetí univočně predikující tvoření </w:t>
      </w:r>
      <w:r w:rsidR="00962190">
        <w:rPr>
          <w:i/>
        </w:rPr>
        <w:t>species</w:t>
      </w:r>
      <w:r>
        <w:t xml:space="preserve"> ve smyslech a v intelektu najdeme v ST I, q. 75, která vznikala ve stejné době jako římské komentáře k </w:t>
      </w:r>
      <w:proofErr w:type="gramStart"/>
      <w:r w:rsidRPr="0848144A">
        <w:rPr>
          <w:i/>
        </w:rPr>
        <w:t>De</w:t>
      </w:r>
      <w:proofErr w:type="gramEnd"/>
      <w:r w:rsidRPr="0848144A">
        <w:rPr>
          <w:i/>
        </w:rPr>
        <w:t xml:space="preserve"> anima</w:t>
      </w:r>
      <w:r>
        <w:t xml:space="preserve">, tedy někdy roku 1268. Akvinský drží v citované části </w:t>
      </w:r>
      <w:r w:rsidRPr="088840ED">
        <w:rPr>
          <w:i/>
        </w:rPr>
        <w:t>Sumy</w:t>
      </w:r>
      <w:r>
        <w:t xml:space="preserve"> stejný princip jedné a téže formální kauzality pro oba druhy </w:t>
      </w:r>
      <w:r w:rsidR="00962190">
        <w:rPr>
          <w:i/>
        </w:rPr>
        <w:t>species</w:t>
      </w:r>
      <w:r>
        <w:t xml:space="preserve"> jako základní princip adekvace (</w:t>
      </w:r>
      <w:r w:rsidRPr="00E719E0">
        <w:rPr>
          <w:i/>
        </w:rPr>
        <w:t>phantasma enim comparatur ad intellectum sicut color ad visum</w:t>
      </w:r>
      <w:r>
        <w:t>).</w:t>
      </w:r>
      <w:r>
        <w:rPr>
          <w:rStyle w:val="Znakapoznpodarou"/>
        </w:rPr>
        <w:footnoteReference w:id="337"/>
      </w:r>
      <w:r>
        <w:t xml:space="preserve"> Klíčové je ono </w:t>
      </w:r>
      <w:r w:rsidR="00E057AD">
        <w:t>„</w:t>
      </w:r>
      <w:r w:rsidRPr="00273106">
        <w:rPr>
          <w:i/>
        </w:rPr>
        <w:t>ratione obiecti</w:t>
      </w:r>
      <w:r w:rsidR="00E057AD">
        <w:t>“</w:t>
      </w:r>
      <w:r>
        <w:t xml:space="preserve"> napojené na porovnání, které znamená formální univocitu. Siger </w:t>
      </w:r>
      <w:r w:rsidR="00DD637C">
        <w:t xml:space="preserve">a jeho škola odpověděli, </w:t>
      </w:r>
      <w:r>
        <w:t xml:space="preserve">že ono </w:t>
      </w:r>
      <w:r w:rsidR="00E057AD">
        <w:t>„</w:t>
      </w:r>
      <w:r w:rsidRPr="00273106">
        <w:rPr>
          <w:i/>
        </w:rPr>
        <w:t>ratione obiecti</w:t>
      </w:r>
      <w:r w:rsidR="00E057AD">
        <w:t>“</w:t>
      </w:r>
      <w:r>
        <w:t xml:space="preserve"> </w:t>
      </w:r>
      <w:r w:rsidRPr="00273106">
        <w:t xml:space="preserve">nemůže být dáno </w:t>
      </w:r>
      <w:r>
        <w:t>pro výkon intelektu (</w:t>
      </w:r>
      <w:r w:rsidRPr="08D26362">
        <w:rPr>
          <w:i/>
        </w:rPr>
        <w:t>actio</w:t>
      </w:r>
      <w:r>
        <w:t xml:space="preserve">) ve stejném smyslu </w:t>
      </w:r>
      <w:r w:rsidR="00E70028">
        <w:t xml:space="preserve">jako </w:t>
      </w:r>
      <w:r>
        <w:t>smyslové</w:t>
      </w:r>
      <w:r w:rsidR="00E70028">
        <w:t xml:space="preserve"> </w:t>
      </w:r>
      <w:r>
        <w:t>poznání. Pak by intelekt nebyl oddě</w:t>
      </w:r>
      <w:r w:rsidR="00202D1D">
        <w:t>le</w:t>
      </w:r>
      <w:r>
        <w:t xml:space="preserve">ný od smyslů a </w:t>
      </w:r>
      <w:r w:rsidR="00A073FA">
        <w:t>je dán</w:t>
      </w:r>
      <w:r w:rsidR="00E057AD">
        <w:t xml:space="preserve"> jako esenciálně určená forma v</w:t>
      </w:r>
      <w:r w:rsidR="00A073FA">
        <w:t> </w:t>
      </w:r>
      <w:r w:rsidR="00E057AD">
        <w:t>duši</w:t>
      </w:r>
      <w:r w:rsidR="00A073FA">
        <w:t xml:space="preserve">. Tu </w:t>
      </w:r>
      <w:r w:rsidR="00E057AD">
        <w:t xml:space="preserve">Akvinký chápe </w:t>
      </w:r>
      <w:r w:rsidR="00A073FA">
        <w:t xml:space="preserve">aristotelsky v souladu s prvním averroismem, </w:t>
      </w:r>
      <w:r w:rsidR="00E057AD">
        <w:t xml:space="preserve">jako </w:t>
      </w:r>
      <w:r w:rsidR="00A073FA">
        <w:t xml:space="preserve">existenciální </w:t>
      </w:r>
      <w:r w:rsidR="00E057AD">
        <w:t xml:space="preserve">formu pro </w:t>
      </w:r>
      <w:r w:rsidR="00E057AD" w:rsidRPr="00E057AD">
        <w:rPr>
          <w:i/>
        </w:rPr>
        <w:t>actus essendi</w:t>
      </w:r>
      <w:r w:rsidR="00E057AD">
        <w:t xml:space="preserve"> lidské osoby. </w:t>
      </w:r>
      <w:r w:rsidR="00A073FA">
        <w:t>Esen</w:t>
      </w:r>
      <w:r w:rsidR="00E057AD">
        <w:t>ce intele</w:t>
      </w:r>
      <w:r w:rsidR="00A073FA">
        <w:t>k</w:t>
      </w:r>
      <w:r w:rsidR="00E057AD">
        <w:t>t</w:t>
      </w:r>
      <w:r w:rsidR="00A073FA">
        <w:t>u</w:t>
      </w:r>
      <w:r w:rsidR="00E057AD">
        <w:t xml:space="preserve"> jako hy</w:t>
      </w:r>
      <w:r w:rsidR="00A073FA">
        <w:t>postatické formy</w:t>
      </w:r>
      <w:r w:rsidR="00E057AD">
        <w:t xml:space="preserve"> </w:t>
      </w:r>
      <w:r w:rsidR="00A073FA">
        <w:t xml:space="preserve">v Tomášově poznávajícím subjektu rozhodně </w:t>
      </w:r>
      <w:r w:rsidR="00E057AD">
        <w:t xml:space="preserve">není výkon intelektu jako existenciální modus porozumění v rámci Sigerovy osoby nebo Heideggerova </w:t>
      </w:r>
      <w:r w:rsidR="00E057AD" w:rsidRPr="00E057AD">
        <w:rPr>
          <w:i/>
        </w:rPr>
        <w:t>Dasein</w:t>
      </w:r>
      <w:r w:rsidR="00E057AD">
        <w:t xml:space="preserve">. </w:t>
      </w:r>
      <w:r w:rsidR="00202D1D">
        <w:t>Logická supozice intelektu jako esence (</w:t>
      </w:r>
      <w:r w:rsidR="00202D1D" w:rsidRPr="00202D1D">
        <w:rPr>
          <w:i/>
        </w:rPr>
        <w:t>Gehaltsinn</w:t>
      </w:r>
      <w:r w:rsidR="00202D1D">
        <w:t xml:space="preserve">) vůbec není schopna rozlišit oba mody mediace, </w:t>
      </w:r>
      <w:r w:rsidR="00202D1D">
        <w:lastRenderedPageBreak/>
        <w:t xml:space="preserve">na rozdíl od metafyzické impozice výkonu intelektu daného v modu </w:t>
      </w:r>
      <w:r w:rsidR="00202D1D" w:rsidRPr="00202D1D">
        <w:rPr>
          <w:i/>
        </w:rPr>
        <w:t>tertium genus</w:t>
      </w:r>
      <w:r w:rsidR="00202D1D">
        <w:t xml:space="preserve"> (</w:t>
      </w:r>
      <w:r w:rsidR="00202D1D" w:rsidRPr="00202D1D">
        <w:rPr>
          <w:i/>
        </w:rPr>
        <w:t>Bezugssinn</w:t>
      </w:r>
      <w:r w:rsidR="00202D1D">
        <w:t>). Formálně určená analogie poznání v modu „</w:t>
      </w:r>
      <w:r w:rsidR="00202D1D" w:rsidRPr="00202D1D">
        <w:rPr>
          <w:i/>
        </w:rPr>
        <w:t>sicut</w:t>
      </w:r>
      <w:r w:rsidR="00202D1D">
        <w:t xml:space="preserve">“ </w:t>
      </w:r>
      <w:r>
        <w:t xml:space="preserve">zajišťuje </w:t>
      </w:r>
      <w:r w:rsidR="00202D1D">
        <w:t xml:space="preserve">u teologa Akvinského </w:t>
      </w:r>
      <w:r>
        <w:t xml:space="preserve">nesmrtelnost duše. </w:t>
      </w:r>
      <w:r w:rsidR="00A84340" w:rsidRPr="00A84340">
        <w:t>Avicen</w:t>
      </w:r>
      <w:r w:rsidR="00A84340">
        <w:t>nov</w:t>
      </w:r>
      <w:r w:rsidR="00A84340" w:rsidRPr="00A84340">
        <w:t>ský intelekt existuje v duši hypostatickým způso</w:t>
      </w:r>
      <w:r w:rsidR="00A84340">
        <w:t>bem a prostřednictvím analogie „</w:t>
      </w:r>
      <w:r w:rsidR="00A84340" w:rsidRPr="00A84340">
        <w:rPr>
          <w:i/>
        </w:rPr>
        <w:t>sicut</w:t>
      </w:r>
      <w:r w:rsidR="00A84340">
        <w:t>“</w:t>
      </w:r>
      <w:r w:rsidR="00A84340" w:rsidRPr="00A84340">
        <w:t xml:space="preserve"> působí směrem dolů, </w:t>
      </w:r>
      <w:r w:rsidR="00A84340">
        <w:t xml:space="preserve">až </w:t>
      </w:r>
      <w:r w:rsidR="00A84340" w:rsidRPr="00A84340">
        <w:t xml:space="preserve">ke smyslům. </w:t>
      </w:r>
      <w:r>
        <w:t>Ale intelekt definovaný jako esence je dán pouze j</w:t>
      </w:r>
      <w:r w:rsidRPr="00273106">
        <w:t xml:space="preserve">ako </w:t>
      </w:r>
      <w:r>
        <w:t>Averroes</w:t>
      </w:r>
      <w:r w:rsidRPr="00273106">
        <w:t xml:space="preserve">ův </w:t>
      </w:r>
      <w:r w:rsidRPr="00273106">
        <w:rPr>
          <w:i/>
        </w:rPr>
        <w:t xml:space="preserve">quartum </w:t>
      </w:r>
      <w:r w:rsidR="00962190">
        <w:rPr>
          <w:i/>
        </w:rPr>
        <w:t>genus</w:t>
      </w:r>
      <w:r>
        <w:rPr>
          <w:i/>
        </w:rPr>
        <w:fldChar w:fldCharType="begin"/>
      </w:r>
      <w:r>
        <w:instrText xml:space="preserve"> XE "</w:instrText>
      </w:r>
      <w:r w:rsidRPr="00191848">
        <w:rPr>
          <w:i/>
        </w:rPr>
        <w:instrText>quartum genus</w:instrText>
      </w:r>
      <w:r>
        <w:instrText xml:space="preserve">" </w:instrText>
      </w:r>
      <w:r>
        <w:rPr>
          <w:i/>
        </w:rPr>
        <w:fldChar w:fldCharType="end"/>
      </w:r>
      <w:r w:rsidRPr="00273106">
        <w:t>, tj. jako univerzálie typu druhé substance</w:t>
      </w:r>
      <w:r>
        <w:fldChar w:fldCharType="begin"/>
      </w:r>
      <w:r>
        <w:instrText xml:space="preserve"> XE "</w:instrText>
      </w:r>
      <w:r w:rsidRPr="00DE2A32">
        <w:instrText>substance</w:instrText>
      </w:r>
      <w:r>
        <w:instrText xml:space="preserve">:druhá" </w:instrText>
      </w:r>
      <w:r>
        <w:fldChar w:fldCharType="end"/>
      </w:r>
      <w:r w:rsidRPr="00273106">
        <w:t xml:space="preserve"> (</w:t>
      </w:r>
      <w:r w:rsidRPr="00273106">
        <w:rPr>
          <w:i/>
        </w:rPr>
        <w:t>ratio rei</w:t>
      </w:r>
      <w:r w:rsidRPr="00273106">
        <w:t xml:space="preserve">, </w:t>
      </w:r>
      <w:r w:rsidRPr="00273106">
        <w:rPr>
          <w:i/>
        </w:rPr>
        <w:t>quidditas</w:t>
      </w:r>
      <w:r w:rsidRPr="00273106">
        <w:t xml:space="preserve">, </w:t>
      </w:r>
      <w:r w:rsidRPr="00273106">
        <w:rPr>
          <w:i/>
        </w:rPr>
        <w:t>essentia</w:t>
      </w:r>
      <w:r w:rsidRPr="00273106">
        <w:t xml:space="preserve"> atd.). </w:t>
      </w:r>
      <w:r>
        <w:t xml:space="preserve">Rozdělení mediace je </w:t>
      </w:r>
      <w:r w:rsidR="00825127">
        <w:t>zásadní</w:t>
      </w:r>
      <w:r>
        <w:t xml:space="preserve">, protože zakládá dva různé subjekty poznání (tělo, duši) a spojuje je do jednoty výsledné adekvace v modu </w:t>
      </w:r>
      <w:r w:rsidRPr="08D26362">
        <w:rPr>
          <w:i/>
        </w:rPr>
        <w:t xml:space="preserve">tertium </w:t>
      </w:r>
      <w:r w:rsidR="00962190">
        <w:rPr>
          <w:i/>
        </w:rPr>
        <w:t>genus</w:t>
      </w:r>
      <w:r>
        <w:t>. Intelekt funguje v těle a v duši jako samostatná nemateriální schopnost</w:t>
      </w:r>
      <w:r w:rsidR="08AC1940">
        <w:t xml:space="preserve"> (</w:t>
      </w:r>
      <w:r w:rsidR="08AC1940" w:rsidRPr="08AC1940">
        <w:rPr>
          <w:i/>
        </w:rPr>
        <w:t>obiective</w:t>
      </w:r>
      <w:r w:rsidR="08AC1940">
        <w:t>)</w:t>
      </w:r>
      <w:r>
        <w:t>, na rozdíl od smyslů daných v materiálním orgánu</w:t>
      </w:r>
      <w:r w:rsidR="08AC1940">
        <w:t xml:space="preserve"> (</w:t>
      </w:r>
      <w:r w:rsidR="08AC1940" w:rsidRPr="08AC1940">
        <w:rPr>
          <w:i/>
        </w:rPr>
        <w:t>subiective</w:t>
      </w:r>
      <w:r w:rsidR="08AC1940">
        <w:t>)</w:t>
      </w:r>
      <w:r>
        <w:t xml:space="preserve">. Poznávací potenci nelze vzít univočně v modu jednoho a téhož diafanum, protože mediace </w:t>
      </w:r>
      <w:r w:rsidR="00962190">
        <w:rPr>
          <w:i/>
        </w:rPr>
        <w:t>species</w:t>
      </w:r>
      <w:r w:rsidRPr="00916EBA">
        <w:rPr>
          <w:i/>
        </w:rPr>
        <w:t xml:space="preserve"> sensibilis</w:t>
      </w:r>
      <w:r>
        <w:rPr>
          <w:i/>
        </w:rPr>
        <w:fldChar w:fldCharType="begin"/>
      </w:r>
      <w:r>
        <w:instrText xml:space="preserve"> XE "</w:instrText>
      </w:r>
      <w:r w:rsidRPr="00374FA1">
        <w:rPr>
          <w:i/>
        </w:rPr>
        <w:instrText>species sensibilis</w:instrText>
      </w:r>
      <w:r>
        <w:instrText xml:space="preserve">" </w:instrText>
      </w:r>
      <w:r>
        <w:rPr>
          <w:i/>
        </w:rPr>
        <w:fldChar w:fldCharType="end"/>
      </w:r>
      <w:r>
        <w:t xml:space="preserve"> a </w:t>
      </w:r>
      <w:r w:rsidRPr="00916EBA">
        <w:rPr>
          <w:i/>
        </w:rPr>
        <w:t>intelligibilis</w:t>
      </w:r>
      <w:r>
        <w:t xml:space="preserve"> se zásadně liší (materiální, nemateriální). A navíc platí, že první smyslová mediace je dána v modu numerick</w:t>
      </w:r>
      <w:r w:rsidR="005A794E">
        <w:t>ého „</w:t>
      </w:r>
      <w:r w:rsidR="005A794E" w:rsidRPr="005A794E">
        <w:rPr>
          <w:i/>
        </w:rPr>
        <w:t>idem</w:t>
      </w:r>
      <w:r w:rsidR="005A794E">
        <w:t xml:space="preserve">“ </w:t>
      </w:r>
      <w:r>
        <w:t>a druhá inteligibilní mediace v </w:t>
      </w:r>
      <w:r w:rsidRPr="08787A53">
        <w:rPr>
          <w:i/>
        </w:rPr>
        <w:t>intellectus possibilis</w:t>
      </w:r>
      <w:r>
        <w:t xml:space="preserve"> existuje po</w:t>
      </w:r>
      <w:r w:rsidR="005A794E">
        <w:t>uze v modu existenciálního „</w:t>
      </w:r>
      <w:r w:rsidR="005A794E" w:rsidRPr="005A794E">
        <w:rPr>
          <w:i/>
        </w:rPr>
        <w:t>ipse</w:t>
      </w:r>
      <w:r w:rsidR="005A794E">
        <w:t>“</w:t>
      </w:r>
      <w:r>
        <w:t>. Averroes a Siger jasně oddělují tvorbu smyslové a inteligibilní</w:t>
      </w:r>
      <w:r w:rsidRPr="006D24F7">
        <w:t xml:space="preserve"> </w:t>
      </w:r>
      <w:r w:rsidR="00962190" w:rsidRPr="00E92A2E">
        <w:t>species</w:t>
      </w:r>
      <w:r>
        <w:t xml:space="preserve"> a proto obě poznávací formy spojují v modu </w:t>
      </w:r>
      <w:r w:rsidRPr="006D24F7">
        <w:rPr>
          <w:i/>
        </w:rPr>
        <w:t>consimil</w:t>
      </w:r>
      <w:r>
        <w:rPr>
          <w:i/>
        </w:rPr>
        <w:t>e</w:t>
      </w:r>
      <w:r>
        <w:rPr>
          <w:i/>
        </w:rPr>
        <w:fldChar w:fldCharType="begin"/>
      </w:r>
      <w:r>
        <w:instrText xml:space="preserve"> XE "pravda:</w:instrText>
      </w:r>
      <w:r w:rsidRPr="00953A1B">
        <w:rPr>
          <w:i/>
        </w:rPr>
        <w:instrText>consimile</w:instrText>
      </w:r>
      <w:r>
        <w:instrText xml:space="preserve">" </w:instrText>
      </w:r>
      <w:r>
        <w:rPr>
          <w:i/>
        </w:rPr>
        <w:fldChar w:fldCharType="end"/>
      </w:r>
      <w:r>
        <w:t>. Jeden akt je materiální a je spojený se smyslovým orgánem, zatímco druhý akt je nemateriální, protože intelekt žádný smyslový orgán nemá. Siger</w:t>
      </w:r>
      <w:r w:rsidRPr="00273106">
        <w:t xml:space="preserve"> </w:t>
      </w:r>
      <w:r>
        <w:t>odmítl</w:t>
      </w:r>
      <w:r w:rsidRPr="00273106">
        <w:t xml:space="preserve"> Akvinského </w:t>
      </w:r>
      <w:r>
        <w:t xml:space="preserve">skrytý </w:t>
      </w:r>
      <w:r w:rsidR="005C0E1C">
        <w:t xml:space="preserve">dualismus </w:t>
      </w:r>
      <w:r>
        <w:t xml:space="preserve">citovaného </w:t>
      </w:r>
      <w:r w:rsidR="005C0E1C">
        <w:t>„</w:t>
      </w:r>
      <w:r w:rsidRPr="00273106">
        <w:rPr>
          <w:i/>
        </w:rPr>
        <w:t>duplex esse</w:t>
      </w:r>
      <w:r w:rsidR="005C0E1C">
        <w:t>“</w:t>
      </w:r>
      <w:r w:rsidRPr="00273106">
        <w:t xml:space="preserve"> pro </w:t>
      </w:r>
      <w:r>
        <w:t xml:space="preserve">oba </w:t>
      </w:r>
      <w:r w:rsidR="00B06657">
        <w:t xml:space="preserve">druhy poznávací potence. Tím </w:t>
      </w:r>
      <w:r>
        <w:t xml:space="preserve">se změnilo pojetí intelektu na hypostázi danou v modu </w:t>
      </w:r>
      <w:r w:rsidRPr="007C243A">
        <w:rPr>
          <w:i/>
        </w:rPr>
        <w:t>separatus</w:t>
      </w:r>
      <w:r w:rsidRPr="00273106">
        <w:t>.</w:t>
      </w:r>
      <w:r>
        <w:t xml:space="preserve"> Akvinský separoval intelekt jako čistou formu v modu </w:t>
      </w:r>
      <w:r w:rsidRPr="00080E73">
        <w:rPr>
          <w:i/>
        </w:rPr>
        <w:t>qua</w:t>
      </w:r>
      <w:r w:rsidRPr="00080E73">
        <w:rPr>
          <w:i/>
          <w:vertAlign w:val="superscript"/>
        </w:rPr>
        <w:t>2</w:t>
      </w:r>
      <w:r w:rsidRPr="006C7A0F">
        <w:rPr>
          <w:i/>
        </w:rPr>
        <w:fldChar w:fldCharType="begin"/>
      </w:r>
      <w:r w:rsidRPr="006C7A0F">
        <w:instrText xml:space="preserve"> XE "intelekt:modus </w:instrText>
      </w:r>
      <w:r w:rsidRPr="006C7A0F">
        <w:rPr>
          <w:i/>
        </w:rPr>
        <w:instrText>qua</w:instrText>
      </w:r>
      <w:r>
        <w:rPr>
          <w:i/>
          <w:vertAlign w:val="superscript"/>
        </w:rPr>
        <w:instrText>2</w:instrText>
      </w:r>
      <w:r w:rsidRPr="006C7A0F">
        <w:instrText xml:space="preserve">" </w:instrText>
      </w:r>
      <w:r w:rsidRPr="006C7A0F">
        <w:rPr>
          <w:i/>
        </w:rPr>
        <w:fldChar w:fldCharType="end"/>
      </w:r>
      <w:r>
        <w:rPr>
          <w:i/>
        </w:rPr>
        <w:t xml:space="preserve"> </w:t>
      </w:r>
      <w:r w:rsidRPr="087B6D86">
        <w:t xml:space="preserve">a tím si zajistil </w:t>
      </w:r>
      <w:r>
        <w:t xml:space="preserve">esenciální princip formální produkce nemateriálních </w:t>
      </w:r>
      <w:r w:rsidR="00962190">
        <w:rPr>
          <w:i/>
        </w:rPr>
        <w:t>species</w:t>
      </w:r>
      <w:r w:rsidRPr="00E134F8">
        <w:t xml:space="preserve"> </w:t>
      </w:r>
      <w:r>
        <w:t>v</w:t>
      </w:r>
      <w:r w:rsidR="08153A66">
        <w:t> </w:t>
      </w:r>
      <w:r>
        <w:t>duši</w:t>
      </w:r>
      <w:r w:rsidR="08153A66">
        <w:t xml:space="preserve"> (</w:t>
      </w:r>
      <w:r w:rsidR="08153A66" w:rsidRPr="08153A66">
        <w:rPr>
          <w:i/>
        </w:rPr>
        <w:t>subiective</w:t>
      </w:r>
      <w:r w:rsidR="08153A66">
        <w:t>)</w:t>
      </w:r>
      <w:r>
        <w:t xml:space="preserve">. A protože intelekt je definovaný esenciálně jako věčná nemateriální podstata </w:t>
      </w:r>
      <w:r w:rsidR="004E1778">
        <w:t>duše, pak je i duše nesmrtelná.</w:t>
      </w:r>
      <w:r w:rsidR="002F23CF">
        <w:t xml:space="preserve"> Typickým textem, který Tomáš k tomuto účelu používá z </w:t>
      </w:r>
      <w:proofErr w:type="gramStart"/>
      <w:r w:rsidR="002F23CF" w:rsidRPr="002F23CF">
        <w:rPr>
          <w:i/>
        </w:rPr>
        <w:t>De</w:t>
      </w:r>
      <w:proofErr w:type="gramEnd"/>
      <w:r w:rsidR="002F23CF" w:rsidRPr="002F23CF">
        <w:rPr>
          <w:i/>
        </w:rPr>
        <w:t xml:space="preserve"> anima</w:t>
      </w:r>
      <w:r w:rsidR="002F23CF">
        <w:t xml:space="preserve">, je důkaz </w:t>
      </w:r>
      <w:r w:rsidR="002F23CF" w:rsidRPr="002F23CF">
        <w:rPr>
          <w:i/>
        </w:rPr>
        <w:t>modo geometrico</w:t>
      </w:r>
      <w:r w:rsidR="000561AE">
        <w:rPr>
          <w:i/>
        </w:rPr>
        <w:fldChar w:fldCharType="begin"/>
      </w:r>
      <w:r w:rsidR="000561AE">
        <w:instrText xml:space="preserve"> XE "</w:instrText>
      </w:r>
      <w:r w:rsidR="000561AE" w:rsidRPr="00183174">
        <w:rPr>
          <w:i/>
        </w:rPr>
        <w:instrText>modo geometrico</w:instrText>
      </w:r>
      <w:r w:rsidR="000561AE">
        <w:instrText xml:space="preserve">" </w:instrText>
      </w:r>
      <w:r w:rsidR="000561AE">
        <w:rPr>
          <w:i/>
        </w:rPr>
        <w:fldChar w:fldCharType="end"/>
      </w:r>
      <w:r w:rsidR="002F23CF">
        <w:t xml:space="preserve">, který je uveden stejně jako u Bonaventury před ním (kap. 4.1.2). Akvinský používá geometrický příklad z </w:t>
      </w:r>
      <w:proofErr w:type="gramStart"/>
      <w:r w:rsidR="002F23CF" w:rsidRPr="002F23CF">
        <w:rPr>
          <w:i/>
        </w:rPr>
        <w:t>De</w:t>
      </w:r>
      <w:proofErr w:type="gramEnd"/>
      <w:r w:rsidR="002F23CF" w:rsidRPr="002F23CF">
        <w:rPr>
          <w:i/>
        </w:rPr>
        <w:t xml:space="preserve"> anima</w:t>
      </w:r>
      <w:r w:rsidR="002F23CF">
        <w:t xml:space="preserve"> 414b28–32</w:t>
      </w:r>
      <w:r w:rsidR="002F23CF">
        <w:fldChar w:fldCharType="begin"/>
      </w:r>
      <w:r w:rsidR="002F23CF">
        <w:instrText xml:space="preserve"> XE "</w:instrText>
      </w:r>
      <w:r w:rsidR="002F23CF" w:rsidRPr="00792F2E">
        <w:instrText>Aristoteles:</w:instrText>
      </w:r>
      <w:r w:rsidR="002F23CF" w:rsidRPr="00792F2E">
        <w:rPr>
          <w:i/>
        </w:rPr>
        <w:instrText>De anima</w:instrText>
      </w:r>
      <w:r w:rsidR="002F23CF" w:rsidRPr="00792F2E">
        <w:instrText xml:space="preserve"> 414b28–32</w:instrText>
      </w:r>
      <w:r w:rsidR="002F23CF">
        <w:instrText xml:space="preserve">" </w:instrText>
      </w:r>
      <w:r w:rsidR="002F23CF">
        <w:fldChar w:fldCharType="end"/>
      </w:r>
      <w:r w:rsidR="002F23CF">
        <w:t xml:space="preserve">, aby ukázal, že pro gemetrickou figuru lze uvést velmi obecnou definici, která se hodí pro všechny figury, aniž by vyjadřovala konkrétní povahu některé z předchozích figur. Akvinský to používá k vysvětlení nadřazenosti intelektuální schopnosti v </w:t>
      </w:r>
      <w:r w:rsidR="002F23CF" w:rsidRPr="002F23CF">
        <w:rPr>
          <w:i/>
        </w:rPr>
        <w:t>anima intellectiva</w:t>
      </w:r>
      <w:r w:rsidR="002F23CF">
        <w:t>.</w:t>
      </w:r>
    </w:p>
    <w:p w:rsidR="002F23CF" w:rsidRDefault="002F23CF" w:rsidP="002F23CF">
      <w:pPr>
        <w:pStyle w:val="Citace"/>
      </w:pPr>
      <w:r>
        <w:rPr>
          <w:lang w:val="cs-CZ"/>
        </w:rPr>
        <w:lastRenderedPageBreak/>
        <w:t>„</w:t>
      </w:r>
      <w:r>
        <w:t>Podobně (similiter) lze říci, že vegetativní a senzitivní schopnosti jsou obsaženy v intelektuální schopnosti, jako jsou trojúhelník a čtverec obsaženy v pětiúhelníku. Čtverec je totiž figura, která se specificky liší od trojúhelníku, ale ne od trojúhelníku, který je potenciálně ve čtverci.</w:t>
      </w:r>
      <w:r>
        <w:rPr>
          <w:lang w:val="cs-CZ"/>
        </w:rPr>
        <w:t>“ </w:t>
      </w:r>
      <w:r>
        <w:rPr>
          <w:rStyle w:val="Znakapoznpodarou"/>
        </w:rPr>
        <w:footnoteReference w:id="338"/>
      </w:r>
      <w:r>
        <w:t xml:space="preserve">    </w:t>
      </w:r>
    </w:p>
    <w:p w:rsidR="002F23CF" w:rsidRDefault="002F23CF" w:rsidP="002F23CF">
      <w:r>
        <w:t>Je to typický formalistický pohled podle averroismu na intelekt jako na „panenku matrjošku“, který Bonaventura používal před Tomášem. Intelektuální schopnost tvoří obal kolem nižších schopností, které mají stejnou produktivní příčinu, a intelekt tvoří vyšší vnější příčinu (</w:t>
      </w:r>
      <w:r w:rsidRPr="002F23CF">
        <w:rPr>
          <w:i/>
        </w:rPr>
        <w:t>vegetativum et sensitivum quod inest intellectivo, est a causa extrinseca a qua est intellectivum</w:t>
      </w:r>
      <w:r>
        <w:t>, ibid, 300.837</w:t>
      </w:r>
      <w:r>
        <w:rPr>
          <w:i/>
          <w:noProof/>
        </w:rPr>
        <w:fldChar w:fldCharType="begin"/>
      </w:r>
      <w:r>
        <w:instrText xml:space="preserve"> XE "Aquin:</w:instrText>
      </w:r>
      <w:r w:rsidRPr="001D243F">
        <w:rPr>
          <w:i/>
          <w:noProof/>
        </w:rPr>
        <w:instrText>De unitate intellectus</w:instrText>
      </w:r>
      <w:r>
        <w:rPr>
          <w:noProof/>
        </w:rPr>
        <w:instrText xml:space="preserve"> 300.837</w:instrText>
      </w:r>
      <w:r>
        <w:instrText xml:space="preserve">" </w:instrText>
      </w:r>
      <w:r>
        <w:rPr>
          <w:i/>
          <w:noProof/>
        </w:rPr>
        <w:fldChar w:fldCharType="end"/>
      </w:r>
      <w:r>
        <w:t xml:space="preserve">). </w:t>
      </w:r>
      <w:r w:rsidRPr="002F23CF">
        <w:t>Tento postup formálně</w:t>
      </w:r>
      <w:r>
        <w:t xml:space="preserve"> odpovídá Sigerově klasifikaci „</w:t>
      </w:r>
      <w:r w:rsidRPr="002F23CF">
        <w:rPr>
          <w:i/>
        </w:rPr>
        <w:t>subiective</w:t>
      </w:r>
      <w:r>
        <w:t>“</w:t>
      </w:r>
      <w:r w:rsidRPr="002F23CF">
        <w:t xml:space="preserve"> pro vegetativní a </w:t>
      </w:r>
      <w:r>
        <w:t>animální schopnosti a „</w:t>
      </w:r>
      <w:r w:rsidRPr="002F23CF">
        <w:rPr>
          <w:i/>
        </w:rPr>
        <w:t>obiective</w:t>
      </w:r>
      <w:r>
        <w:t>“</w:t>
      </w:r>
      <w:r w:rsidRPr="002F23CF">
        <w:t xml:space="preserve"> pro intelektuální schopnosti v modu </w:t>
      </w:r>
      <w:r w:rsidRPr="002F23CF">
        <w:rPr>
          <w:i/>
        </w:rPr>
        <w:t>inmixtus</w:t>
      </w:r>
      <w:r w:rsidRPr="002F23CF">
        <w:t xml:space="preserve"> a </w:t>
      </w:r>
      <w:r w:rsidRPr="002F23CF">
        <w:rPr>
          <w:i/>
        </w:rPr>
        <w:t>ab extrinseco</w:t>
      </w:r>
      <w:r>
        <w:t>. Co je však stejné v modu „</w:t>
      </w:r>
      <w:r w:rsidRPr="005D58BA">
        <w:rPr>
          <w:i/>
        </w:rPr>
        <w:t>idem</w:t>
      </w:r>
      <w:r>
        <w:t xml:space="preserve">“ </w:t>
      </w:r>
      <w:r>
        <w:rPr>
          <w:szCs w:val="24"/>
        </w:rPr>
        <w:t>(</w:t>
      </w:r>
      <w:r w:rsidRPr="002F23CF">
        <w:rPr>
          <w:i/>
          <w:szCs w:val="24"/>
        </w:rPr>
        <w:t>Gehaltsinn</w:t>
      </w:r>
      <w:r w:rsidR="000561AE">
        <w:rPr>
          <w:i/>
          <w:szCs w:val="24"/>
        </w:rPr>
        <w:fldChar w:fldCharType="begin"/>
      </w:r>
      <w:r w:rsidR="000561AE">
        <w:instrText xml:space="preserve"> XE "</w:instrText>
      </w:r>
      <w:r w:rsidR="000561AE" w:rsidRPr="00D91664">
        <w:rPr>
          <w:i/>
          <w:szCs w:val="24"/>
        </w:rPr>
        <w:instrText>Gehaltsinn</w:instrText>
      </w:r>
      <w:r w:rsidR="000561AE">
        <w:instrText xml:space="preserve">" </w:instrText>
      </w:r>
      <w:r w:rsidR="000561AE">
        <w:rPr>
          <w:i/>
          <w:szCs w:val="24"/>
        </w:rPr>
        <w:fldChar w:fldCharType="end"/>
      </w:r>
      <w:r>
        <w:rPr>
          <w:szCs w:val="24"/>
        </w:rPr>
        <w:t>)</w:t>
      </w:r>
      <w:r w:rsidRPr="002F23CF">
        <w:t xml:space="preserve">, </w:t>
      </w:r>
      <w:r>
        <w:t>to není stejné v modu „</w:t>
      </w:r>
      <w:r w:rsidRPr="002F23CF">
        <w:rPr>
          <w:i/>
        </w:rPr>
        <w:t>ipse</w:t>
      </w:r>
      <w:r>
        <w:t>“</w:t>
      </w:r>
      <w:r w:rsidRPr="002F23CF">
        <w:t xml:space="preserve"> </w:t>
      </w:r>
      <w:r w:rsidRPr="00647B91">
        <w:rPr>
          <w:szCs w:val="24"/>
        </w:rPr>
        <w:t>(</w:t>
      </w:r>
      <w:r w:rsidRPr="002F23CF">
        <w:rPr>
          <w:i/>
          <w:szCs w:val="24"/>
        </w:rPr>
        <w:t>Bezugssinn</w:t>
      </w:r>
      <w:r w:rsidR="000561AE">
        <w:rPr>
          <w:i/>
          <w:szCs w:val="24"/>
        </w:rPr>
        <w:fldChar w:fldCharType="begin"/>
      </w:r>
      <w:r w:rsidR="000561AE">
        <w:instrText xml:space="preserve"> XE "</w:instrText>
      </w:r>
      <w:r w:rsidR="000561AE" w:rsidRPr="00F96068">
        <w:rPr>
          <w:i/>
          <w:szCs w:val="24"/>
        </w:rPr>
        <w:instrText>Bezugssinn</w:instrText>
      </w:r>
      <w:r w:rsidR="000561AE">
        <w:instrText xml:space="preserve">" </w:instrText>
      </w:r>
      <w:r w:rsidR="000561AE">
        <w:rPr>
          <w:i/>
          <w:szCs w:val="24"/>
        </w:rPr>
        <w:fldChar w:fldCharType="end"/>
      </w:r>
      <w:r>
        <w:rPr>
          <w:szCs w:val="24"/>
        </w:rPr>
        <w:t>)</w:t>
      </w:r>
      <w:r w:rsidRPr="002F23CF">
        <w:t>. Logický závěr jakožto geometrická supozice není metafyzickou imp</w:t>
      </w:r>
      <w:r w:rsidR="005D58BA">
        <w:t>ozicí</w:t>
      </w:r>
      <w:r w:rsidRPr="002F23CF">
        <w:t>, která vychází ze skutečné kauzality v člověku. V člověku neexistuje trojúhelník, který by mohl vykonávat reálný proces pozná</w:t>
      </w:r>
      <w:r w:rsidR="005D58BA">
        <w:t>ní. Ve srovnání s použitím DA I–</w:t>
      </w:r>
      <w:r w:rsidRPr="002F23CF">
        <w:t>II v Sigerově úvodní čás</w:t>
      </w:r>
      <w:r w:rsidR="005D58BA">
        <w:t>ti QIIIDA používá Akvinský DA I–</w:t>
      </w:r>
      <w:r w:rsidRPr="002F23CF">
        <w:t>II formálním způsobem, který je čistou sofistikou pro m</w:t>
      </w:r>
      <w:r w:rsidR="00E70C3B">
        <w:t xml:space="preserve">agistry </w:t>
      </w:r>
      <w:r w:rsidRPr="002F23CF">
        <w:t>v rue de Fouarre.</w:t>
      </w:r>
    </w:p>
    <w:p w:rsidR="009032FA" w:rsidRDefault="08163013" w:rsidP="00635F0A">
      <w:pPr>
        <w:ind w:firstLine="397"/>
      </w:pPr>
      <w:r>
        <w:t>Tomistické řešení objektivně definovalo proces poznání nasvícením zezadu od hypostázovaného i</w:t>
      </w:r>
      <w:r w:rsidR="083735E8">
        <w:t>ntelektu jako nové formy (kap. 4</w:t>
      </w:r>
      <w:r>
        <w:t xml:space="preserve">.5.2). Intelekt pak funguje podle citované </w:t>
      </w:r>
      <w:r w:rsidRPr="089167DE">
        <w:rPr>
          <w:i/>
        </w:rPr>
        <w:t>De potentia</w:t>
      </w:r>
      <w:r>
        <w:t xml:space="preserve"> pro aktualizaci </w:t>
      </w:r>
      <w:r w:rsidR="00962190">
        <w:rPr>
          <w:i/>
        </w:rPr>
        <w:t>species</w:t>
      </w:r>
      <w:r w:rsidRPr="00273106">
        <w:rPr>
          <w:i/>
        </w:rPr>
        <w:t xml:space="preserve"> intelligibilis</w:t>
      </w:r>
      <w:r w:rsidRPr="00273106">
        <w:t xml:space="preserve"> </w:t>
      </w:r>
      <w:r>
        <w:t>v modu subsistentní hypostáze (</w:t>
      </w:r>
      <w:r w:rsidRPr="00273106">
        <w:rPr>
          <w:i/>
        </w:rPr>
        <w:t>intellectus in actu</w:t>
      </w:r>
      <w:r>
        <w:t xml:space="preserve">) a má vlastní aktualitu podle ST I, q. </w:t>
      </w:r>
      <w:r w:rsidRPr="00194EAE">
        <w:t>75</w:t>
      </w:r>
      <w:r>
        <w:t xml:space="preserve">, a. </w:t>
      </w:r>
      <w:r w:rsidRPr="00194EAE">
        <w:t>2</w:t>
      </w:r>
      <w:r>
        <w:t xml:space="preserve"> (</w:t>
      </w:r>
      <w:r w:rsidRPr="0859068B">
        <w:rPr>
          <w:i/>
        </w:rPr>
        <w:t xml:space="preserve">intellectus habet operationem per </w:t>
      </w:r>
      <w:r w:rsidRPr="0859068B">
        <w:rPr>
          <w:i/>
          <w:szCs w:val="23"/>
        </w:rPr>
        <w:t>se</w:t>
      </w:r>
      <w:r>
        <w:t xml:space="preserve">). Smyslové poznání v duši produkuje individuální smyslová </w:t>
      </w:r>
      <w:r w:rsidR="00962190">
        <w:rPr>
          <w:i/>
        </w:rPr>
        <w:t>species</w:t>
      </w:r>
      <w:r>
        <w:t xml:space="preserve"> a jejich subjekt je daný ve smyslové představivosti. Tady žádný rozdíl mezi Sigerem a Akvinským není, individualize tohoto poznání je materiální</w:t>
      </w:r>
      <w:r w:rsidR="083735E8">
        <w:t xml:space="preserve"> (</w:t>
      </w:r>
      <w:r w:rsidR="083735E8" w:rsidRPr="08153A66">
        <w:rPr>
          <w:i/>
        </w:rPr>
        <w:t>subiective</w:t>
      </w:r>
      <w:r w:rsidR="083735E8">
        <w:t>)</w:t>
      </w:r>
      <w:r>
        <w:t xml:space="preserve">. Problém nastal na druhém patře mediace v modu </w:t>
      </w:r>
      <w:r w:rsidR="00962190">
        <w:rPr>
          <w:i/>
        </w:rPr>
        <w:t>species</w:t>
      </w:r>
      <w:r w:rsidRPr="08C92E08">
        <w:rPr>
          <w:i/>
        </w:rPr>
        <w:t xml:space="preserve"> intelligibilis</w:t>
      </w:r>
      <w:r>
        <w:t xml:space="preserve">. Tomistický nemateriální intelekt funguje ve stejně nemateriální </w:t>
      </w:r>
      <w:r w:rsidRPr="00514370">
        <w:rPr>
          <w:i/>
        </w:rPr>
        <w:t>anima intellectiva</w:t>
      </w:r>
      <w:r>
        <w:t xml:space="preserve"> v modu hypostázované formy</w:t>
      </w:r>
      <w:r w:rsidR="00FE5946">
        <w:t xml:space="preserve"> jako dalšího </w:t>
      </w:r>
      <w:r>
        <w:t xml:space="preserve">subjektu </w:t>
      </w:r>
      <w:r w:rsidR="08015B45">
        <w:t>(</w:t>
      </w:r>
      <w:r w:rsidR="08015B45" w:rsidRPr="08015B45">
        <w:rPr>
          <w:i/>
        </w:rPr>
        <w:t>subiective</w:t>
      </w:r>
      <w:r w:rsidR="08015B45">
        <w:t>)</w:t>
      </w:r>
      <w:r w:rsidR="00FE5946">
        <w:t xml:space="preserve">. Intelekt </w:t>
      </w:r>
      <w:r>
        <w:t xml:space="preserve">produkuje inteligibilní </w:t>
      </w:r>
      <w:r w:rsidR="00962190" w:rsidRPr="00FE5946">
        <w:t>species</w:t>
      </w:r>
      <w:r>
        <w:t xml:space="preserve">, které stejně daný aktivní intelekt mění na výsledný univerzální koncept. Spojení mezi oběma druhy </w:t>
      </w:r>
      <w:r w:rsidR="00962190" w:rsidRPr="00FE5946">
        <w:t>species</w:t>
      </w:r>
      <w:r>
        <w:t xml:space="preserve"> tvoří univoční formální kauzalita daná v spise </w:t>
      </w:r>
      <w:r w:rsidRPr="084870E6">
        <w:rPr>
          <w:i/>
        </w:rPr>
        <w:t>De potentia</w:t>
      </w:r>
      <w:r>
        <w:t xml:space="preserve"> jako proces aktualizace smyslů či intelektu skrze </w:t>
      </w:r>
      <w:r w:rsidR="00962190" w:rsidRPr="00FE5946">
        <w:t>species</w:t>
      </w:r>
      <w:r>
        <w:t xml:space="preserve">. </w:t>
      </w:r>
      <w:r w:rsidRPr="00273106">
        <w:t xml:space="preserve">Z věci se přenáší do </w:t>
      </w:r>
      <w:r w:rsidRPr="00273106">
        <w:lastRenderedPageBreak/>
        <w:t xml:space="preserve">intelektu </w:t>
      </w:r>
      <w:r>
        <w:t xml:space="preserve">skrze smyslové a inteligibilní </w:t>
      </w:r>
      <w:r w:rsidR="00962190" w:rsidRPr="00FE5946">
        <w:t>species</w:t>
      </w:r>
      <w:r>
        <w:t xml:space="preserve"> </w:t>
      </w:r>
      <w:r w:rsidRPr="00273106">
        <w:t xml:space="preserve">pouhá forma, která </w:t>
      </w:r>
      <w:r>
        <w:t xml:space="preserve">univočně způsobuje daný účinek, tedy smyslové nebo intelektuální </w:t>
      </w:r>
      <w:r w:rsidRPr="00273106">
        <w:t>poznání (</w:t>
      </w:r>
      <w:r w:rsidRPr="00273106">
        <w:rPr>
          <w:i/>
        </w:rPr>
        <w:t>effectus similatur causae secundum suam formam</w:t>
      </w:r>
      <w:r>
        <w:rPr>
          <w:i/>
        </w:rPr>
        <w:t xml:space="preserve">, </w:t>
      </w:r>
      <w:r w:rsidR="08015B45">
        <w:t>kap. 4</w:t>
      </w:r>
      <w:r>
        <w:t>.5.2</w:t>
      </w:r>
      <w:r w:rsidRPr="00273106">
        <w:t xml:space="preserve">). </w:t>
      </w:r>
      <w:r>
        <w:t>Pak je jasné, proč Akvinský bránil porovnání (</w:t>
      </w:r>
      <w:r w:rsidRPr="084870E6">
        <w:rPr>
          <w:i/>
        </w:rPr>
        <w:t>sicut</w:t>
      </w:r>
      <w:r>
        <w:t xml:space="preserve">) v univoční formální kauzalitě obou druhů </w:t>
      </w:r>
      <w:r w:rsidR="00962190" w:rsidRPr="00FE5946">
        <w:t>species</w:t>
      </w:r>
      <w:r>
        <w:t xml:space="preserve">. </w:t>
      </w:r>
      <w:r w:rsidR="00635F0A" w:rsidRPr="00635F0A">
        <w:t xml:space="preserve">Navíc celý proces dedukce provádí </w:t>
      </w:r>
      <w:r w:rsidR="00635F0A" w:rsidRPr="00635F0A">
        <w:rPr>
          <w:i/>
        </w:rPr>
        <w:t>modo geometrico</w:t>
      </w:r>
      <w:r w:rsidR="00635F0A" w:rsidRPr="00635F0A">
        <w:t xml:space="preserve">, viz výše uvedený citát převzatý z </w:t>
      </w:r>
      <w:proofErr w:type="gramStart"/>
      <w:r w:rsidR="00635F0A" w:rsidRPr="00635F0A">
        <w:rPr>
          <w:i/>
        </w:rPr>
        <w:t>De</w:t>
      </w:r>
      <w:proofErr w:type="gramEnd"/>
      <w:r w:rsidR="00635F0A" w:rsidRPr="00635F0A">
        <w:rPr>
          <w:i/>
        </w:rPr>
        <w:t xml:space="preserve"> unitate</w:t>
      </w:r>
      <w:r w:rsidR="00635F0A" w:rsidRPr="00635F0A">
        <w:t>.</w:t>
      </w:r>
      <w:r w:rsidR="00635F0A">
        <w:t xml:space="preserve"> </w:t>
      </w:r>
      <w:r w:rsidRPr="00273106">
        <w:t xml:space="preserve">Poznání </w:t>
      </w:r>
      <w:r>
        <w:t xml:space="preserve">na úrovni intelektu </w:t>
      </w:r>
      <w:r w:rsidRPr="00273106">
        <w:t xml:space="preserve">je založeno </w:t>
      </w:r>
      <w:r>
        <w:t xml:space="preserve">pouze </w:t>
      </w:r>
      <w:r w:rsidRPr="00273106">
        <w:t xml:space="preserve">na formální kauzalitě, s níž </w:t>
      </w:r>
      <w:r>
        <w:t xml:space="preserve">reálná </w:t>
      </w:r>
      <w:r w:rsidRPr="00273106">
        <w:t>věc působí na náš intelekt</w:t>
      </w:r>
      <w:r>
        <w:t xml:space="preserve"> skrze aktuální smyslová </w:t>
      </w:r>
      <w:r w:rsidR="00962190" w:rsidRPr="00FE5946">
        <w:t>species</w:t>
      </w:r>
      <w:r w:rsidRPr="00273106">
        <w:t>.</w:t>
      </w:r>
      <w:r>
        <w:t xml:space="preserve"> Tuto formální kauzalitu potřebuje tomismus proto, aby si zajistil v modu </w:t>
      </w:r>
      <w:r w:rsidRPr="08D73796">
        <w:rPr>
          <w:i/>
        </w:rPr>
        <w:t>per prius</w:t>
      </w:r>
      <w:r>
        <w:t xml:space="preserve"> predikaci intelektu jako aktuální formy. Aktualita jde ze smyslů, což je scénář prvního averroismu. Protože aktualita smyslového </w:t>
      </w:r>
      <w:r w:rsidR="00962190" w:rsidRPr="00FE5946">
        <w:t>species</w:t>
      </w:r>
      <w:r>
        <w:t xml:space="preserve"> je formálně stejná v modu </w:t>
      </w:r>
      <w:r w:rsidRPr="08D56CCD">
        <w:rPr>
          <w:i/>
        </w:rPr>
        <w:t>sicut</w:t>
      </w:r>
      <w:r>
        <w:t xml:space="preserve"> jako výkon intelektu produkující nemateriální </w:t>
      </w:r>
      <w:r w:rsidR="00962190" w:rsidRPr="00FE5946">
        <w:t>species</w:t>
      </w:r>
      <w:r>
        <w:t xml:space="preserve">, pak je intelekt nemateriální formou v duši. </w:t>
      </w:r>
      <w:r w:rsidR="08B45236">
        <w:t>Tím vznikl tomistický „</w:t>
      </w:r>
      <w:proofErr w:type="gramStart"/>
      <w:r w:rsidR="08B45236" w:rsidRPr="082F567C">
        <w:rPr>
          <w:i/>
          <w:szCs w:val="24"/>
        </w:rPr>
        <w:t>sicut</w:t>
      </w:r>
      <w:proofErr w:type="gramEnd"/>
      <w:r w:rsidR="08B45236" w:rsidRPr="082F567C">
        <w:rPr>
          <w:szCs w:val="24"/>
        </w:rPr>
        <w:t>–</w:t>
      </w:r>
      <w:proofErr w:type="gramStart"/>
      <w:r w:rsidR="08B45236" w:rsidRPr="082F567C">
        <w:rPr>
          <w:szCs w:val="24"/>
        </w:rPr>
        <w:t>model</w:t>
      </w:r>
      <w:proofErr w:type="gramEnd"/>
      <w:r w:rsidR="08B45236" w:rsidRPr="082F567C">
        <w:rPr>
          <w:szCs w:val="24"/>
        </w:rPr>
        <w:t>“ poznání v modu „</w:t>
      </w:r>
      <w:r w:rsidR="08B45236" w:rsidRPr="082F567C">
        <w:rPr>
          <w:i/>
          <w:szCs w:val="24"/>
        </w:rPr>
        <w:t>subiective</w:t>
      </w:r>
      <w:r w:rsidR="08B45236" w:rsidRPr="082F567C">
        <w:rPr>
          <w:szCs w:val="24"/>
        </w:rPr>
        <w:t xml:space="preserve"> (Sinne) – </w:t>
      </w:r>
      <w:r w:rsidR="08B45236" w:rsidRPr="082F567C">
        <w:rPr>
          <w:i/>
          <w:szCs w:val="24"/>
        </w:rPr>
        <w:t>subiective</w:t>
      </w:r>
      <w:r w:rsidR="08B45236" w:rsidRPr="082F567C">
        <w:rPr>
          <w:szCs w:val="24"/>
        </w:rPr>
        <w:t xml:space="preserve"> (Intellekt)“.</w:t>
      </w:r>
      <w:r w:rsidR="08B45236">
        <w:t xml:space="preserve"> </w:t>
      </w:r>
      <w:r>
        <w:t xml:space="preserve">To není model </w:t>
      </w:r>
      <w:r w:rsidRPr="00C517CA">
        <w:rPr>
          <w:i/>
        </w:rPr>
        <w:t>consimile</w:t>
      </w:r>
      <w:r>
        <w:t xml:space="preserve"> v CMDA nebo pojetí Modistů </w:t>
      </w:r>
      <w:r>
        <w:fldChar w:fldCharType="begin"/>
      </w:r>
      <w:r>
        <w:instrText xml:space="preserve"> XE "první averroismus:</w:instrText>
      </w:r>
      <w:r w:rsidRPr="00290367">
        <w:instrText>Modisté</w:instrText>
      </w:r>
      <w:r>
        <w:instrText xml:space="preserve">" </w:instrText>
      </w:r>
      <w:r>
        <w:fldChar w:fldCharType="end"/>
      </w:r>
      <w:r>
        <w:t xml:space="preserve">dané </w:t>
      </w:r>
      <w:r>
        <w:rPr>
          <w:i/>
        </w:rPr>
        <w:t xml:space="preserve">subiective </w:t>
      </w:r>
      <w:r w:rsidRPr="006866CD">
        <w:t>a</w:t>
      </w:r>
      <w:r>
        <w:rPr>
          <w:i/>
        </w:rPr>
        <w:t xml:space="preserve"> </w:t>
      </w:r>
      <w:r w:rsidRPr="006866CD">
        <w:rPr>
          <w:i/>
        </w:rPr>
        <w:t>obiective</w:t>
      </w:r>
      <w:r>
        <w:fldChar w:fldCharType="begin"/>
      </w:r>
      <w:r>
        <w:instrText xml:space="preserve"> XE "intelekt:</w:instrText>
      </w:r>
      <w:r w:rsidRPr="006866CD">
        <w:rPr>
          <w:i/>
        </w:rPr>
        <w:instrText>subiective/obiective</w:instrText>
      </w:r>
      <w:r>
        <w:instrText xml:space="preserve">" </w:instrText>
      </w:r>
      <w:r>
        <w:fldChar w:fldCharType="end"/>
      </w:r>
      <w:r w:rsidR="00BC3125">
        <w:t>. Akvisnký vypracoval univočně pojatou</w:t>
      </w:r>
      <w:r>
        <w:t xml:space="preserve"> </w:t>
      </w:r>
      <w:r w:rsidR="00BC3125">
        <w:t xml:space="preserve">formální kauzalitu, která určila objektivní formu </w:t>
      </w:r>
      <w:r>
        <w:t>poznání</w:t>
      </w:r>
      <w:r w:rsidR="00BC3125">
        <w:t xml:space="preserve"> a v o</w:t>
      </w:r>
      <w:r>
        <w:t>bjektiv</w:t>
      </w:r>
      <w:r w:rsidR="00BC3125">
        <w:t xml:space="preserve">ně pojatém poznávacím </w:t>
      </w:r>
      <w:r>
        <w:t xml:space="preserve">subjektu. Jeho aristotelský výklad poznání a jednoty osoby je formálně správný, ale není vědecký podle deduktivního soudu </w:t>
      </w:r>
      <w:r w:rsidRPr="082F6FD4">
        <w:rPr>
          <w:i/>
        </w:rPr>
        <w:t>Druhých analytik</w:t>
      </w:r>
      <w:r>
        <w:t>. Definice osoby není rodově stejná jako definice trojúhleníka, protože běží v</w:t>
      </w:r>
      <w:r w:rsidR="00167926">
        <w:t> rodově odlišném m</w:t>
      </w:r>
      <w:r w:rsidRPr="08900493">
        <w:t xml:space="preserve">odu </w:t>
      </w:r>
      <w:r w:rsidRPr="00167926">
        <w:rPr>
          <w:i/>
        </w:rPr>
        <w:t>demonstra</w:t>
      </w:r>
      <w:r w:rsidR="00167926" w:rsidRPr="00167926">
        <w:rPr>
          <w:i/>
        </w:rPr>
        <w:t>tio</w:t>
      </w:r>
      <w:r>
        <w:t xml:space="preserve">. Důkaz je </w:t>
      </w:r>
      <w:r w:rsidRPr="08900493">
        <w:t>odvozen od hyparchické predikace kauzality dané mimo my</w:t>
      </w:r>
      <w:r>
        <w:t xml:space="preserve">sl poznávajícího a predikované v modu </w:t>
      </w:r>
      <w:r w:rsidR="00895E4E">
        <w:t>„</w:t>
      </w:r>
      <w:r w:rsidR="08B45236">
        <w:rPr>
          <w:i/>
        </w:rPr>
        <w:t>ex in</w:t>
      </w:r>
      <w:r w:rsidRPr="082031CB">
        <w:rPr>
          <w:i/>
        </w:rPr>
        <w:t>meditatis</w:t>
      </w:r>
      <w:r w:rsidR="00895E4E">
        <w:t>“</w:t>
      </w:r>
      <w:r w:rsidR="0001529F">
        <w:t xml:space="preserve"> podle první triády poznávacích principů</w:t>
      </w:r>
      <w:r w:rsidRPr="08900493">
        <w:t>.</w:t>
      </w:r>
      <w:r>
        <w:t xml:space="preserve"> Hyparchickou predikaci kauzality nemůže zajistit tomistický intelekt jako esence, protože ta je daná jako potenciální koncept. </w:t>
      </w:r>
      <w:r w:rsidR="08646071">
        <w:t xml:space="preserve">Duše je jediná forma těla, a ne intelekt. </w:t>
      </w:r>
      <w:r>
        <w:t>Sigerova a Komentátorova osoba jako aktuální první substance se změnila na formálně nesmrtelný tomistický subjekt</w:t>
      </w:r>
      <w:r w:rsidR="0845175E">
        <w:t xml:space="preserve">-intellekt určený </w:t>
      </w:r>
      <w:r w:rsidR="0845175E" w:rsidRPr="0845175E">
        <w:rPr>
          <w:i/>
        </w:rPr>
        <w:t>subiective</w:t>
      </w:r>
      <w:r>
        <w:t xml:space="preserve">. Akvinský nemá ve středním členu soudu žádnou efektivní kauzalitu, která je jedině možná skrze existenciální výkon ipseity poznání. Kauzalitu zajišťující vědeckou predikaci má pouze existenciální prožitek vlastní ipseity dané inteligibilně skrze zakoušený výkon </w:t>
      </w:r>
      <w:r>
        <w:rPr>
          <w:i/>
        </w:rPr>
        <w:t>anima intel</w:t>
      </w:r>
      <w:r w:rsidRPr="08F14D87">
        <w:rPr>
          <w:i/>
        </w:rPr>
        <w:t>l</w:t>
      </w:r>
      <w:r>
        <w:rPr>
          <w:i/>
        </w:rPr>
        <w:t>e</w:t>
      </w:r>
      <w:r w:rsidRPr="08F14D87">
        <w:rPr>
          <w:i/>
        </w:rPr>
        <w:t>ctiva</w:t>
      </w:r>
      <w:r>
        <w:t xml:space="preserve"> daný v těle. To bylo a je výsledné Sigerovo stanovisko v QIIIDA a skrze tuto základní dráhu náhledu na osobu (</w:t>
      </w:r>
      <w:r w:rsidRPr="08F14D87">
        <w:rPr>
          <w:i/>
        </w:rPr>
        <w:t>Vor-blickbahn</w:t>
      </w:r>
      <w:r>
        <w:rPr>
          <w:i/>
        </w:rPr>
        <w:fldChar w:fldCharType="begin"/>
      </w:r>
      <w:r>
        <w:instrText xml:space="preserve"> XE "</w:instrText>
      </w:r>
      <w:r w:rsidRPr="080944BC">
        <w:rPr>
          <w:i/>
        </w:rPr>
        <w:instrText>Vor-blickbahn</w:instrText>
      </w:r>
      <w:r>
        <w:instrText xml:space="preserve">" </w:instrText>
      </w:r>
      <w:r>
        <w:rPr>
          <w:i/>
        </w:rPr>
        <w:fldChar w:fldCharType="end"/>
      </w:r>
      <w:r>
        <w:t>) řešil všechny pro</w:t>
      </w:r>
      <w:r w:rsidR="009032FA">
        <w:t>blémy ohledně duše a intelektu.</w:t>
      </w:r>
    </w:p>
    <w:p w:rsidR="08163013" w:rsidRPr="00273106" w:rsidRDefault="08163013" w:rsidP="00202D1D">
      <w:pPr>
        <w:ind w:firstLine="397"/>
      </w:pPr>
      <w:r>
        <w:t xml:space="preserve">Siger znovu kritizoval Akvinského po roce 1270, protože v Paříži provedl stejně chybnou interpretaci aktu poznání jako za římského pobytu, včetně opakovaného útoku na averroisticky vyloženého Averroese. Spis </w:t>
      </w:r>
      <w:r w:rsidRPr="002166D9">
        <w:rPr>
          <w:i/>
        </w:rPr>
        <w:t>De unitate</w:t>
      </w:r>
      <w:r>
        <w:t xml:space="preserve"> </w:t>
      </w:r>
      <w:r w:rsidRPr="00833990">
        <w:rPr>
          <w:i/>
        </w:rPr>
        <w:t>intellectus</w:t>
      </w:r>
      <w:r>
        <w:t xml:space="preserve"> hypostázoval intelekt v rámci </w:t>
      </w:r>
      <w:r w:rsidRPr="007F1AC1">
        <w:rPr>
          <w:i/>
        </w:rPr>
        <w:lastRenderedPageBreak/>
        <w:t>duplex esse</w:t>
      </w:r>
      <w:r>
        <w:t xml:space="preserve"> jako další formu uvnitř duše, aby duši zajistil teologicky postulovanou nesmrtelnost. Tomistické řešení jde mimo skutečnou argumentaci  CMDA a stojí mimo pojetí hyparchicky daného vědeckého důkazu podle </w:t>
      </w:r>
      <w:r w:rsidRPr="08AF6E83">
        <w:rPr>
          <w:i/>
        </w:rPr>
        <w:t>Druhých analytik</w:t>
      </w:r>
      <w:r>
        <w:t>.</w:t>
      </w:r>
      <w:r w:rsidRPr="08972A65">
        <w:t xml:space="preserve"> </w:t>
      </w:r>
      <w:r>
        <w:t xml:space="preserve">Brilantní a nenápadný učenec se poté stal skutečný </w:t>
      </w:r>
      <w:r>
        <w:rPr>
          <w:i/>
        </w:rPr>
        <w:t>Doctor Invidiosus</w:t>
      </w:r>
      <w:r>
        <w:rPr>
          <w:i/>
        </w:rPr>
        <w:fldChar w:fldCharType="begin"/>
      </w:r>
      <w:r>
        <w:instrText xml:space="preserve"> XE "</w:instrText>
      </w:r>
      <w:r>
        <w:rPr>
          <w:i/>
        </w:rPr>
        <w:instrText>Doctor Invidiosus</w:instrText>
      </w:r>
      <w:r>
        <w:instrText xml:space="preserve">" </w:instrText>
      </w:r>
      <w:r>
        <w:rPr>
          <w:i/>
        </w:rPr>
        <w:fldChar w:fldCharType="end"/>
      </w:r>
      <w:r>
        <w:t xml:space="preserve"> pro vlivnou skupinu aristoteliků kolem Akvinského a Aegidia, kteří v tragickém útoku na Sigerovu školu doplnili skupinu modernistů kolem Bonaventury</w:t>
      </w:r>
      <w:r w:rsidRPr="08E754FB">
        <w:t>.</w:t>
      </w:r>
      <w:r>
        <w:t xml:space="preserve"> Nyní je jasné, proč Akvinský nemohl přijmout v roce 1270 pozici artistů na Rue du Fouarre. Musel by přijmout kompletní Sigerovu argumentaci podle CMDA a prohlásit, že Averroes nebyl tomistickým averroistou. Ale z Itálie přijel do Paříže papežský teolog, a ne kritický filosof ve stylu biskupa Alverna. Spis </w:t>
      </w:r>
      <w:r w:rsidRPr="00483B51">
        <w:rPr>
          <w:i/>
        </w:rPr>
        <w:t>De unitate</w:t>
      </w:r>
      <w:r>
        <w:t xml:space="preserve"> přímo zaútočil na pařížskou tradici prvního averroismu na Rue du Fouarre, která od biskupa a kancléře Alverna držela Averroesův výklad </w:t>
      </w:r>
      <w:r w:rsidRPr="00015B2E">
        <w:rPr>
          <w:i/>
        </w:rPr>
        <w:t>De anima</w:t>
      </w:r>
      <w:r>
        <w:t xml:space="preserve"> oddělený </w:t>
      </w:r>
      <w:proofErr w:type="gramStart"/>
      <w:r>
        <w:t>od  všech</w:t>
      </w:r>
      <w:proofErr w:type="gramEnd"/>
      <w:r>
        <w:t xml:space="preserve"> neoplatoniků a také od Aristotela.</w:t>
      </w:r>
      <w:r>
        <w:rPr>
          <w:rStyle w:val="Znakapoznpodarou"/>
        </w:rPr>
        <w:footnoteReference w:id="339"/>
      </w:r>
      <w:r>
        <w:t xml:space="preserve"> </w:t>
      </w:r>
      <w:r w:rsidRPr="00273106">
        <w:t xml:space="preserve">Akvinský přijal kritiku </w:t>
      </w:r>
      <w:r>
        <w:t>Averroes</w:t>
      </w:r>
      <w:r w:rsidRPr="00273106">
        <w:t xml:space="preserve">e podle druhého averroismu </w:t>
      </w:r>
      <w:r>
        <w:t>a udělal z něj perverzního filosofa na způsob neoplatoniků (</w:t>
      </w:r>
      <w:r>
        <w:rPr>
          <w:i/>
        </w:rPr>
        <w:t>Averroys perv</w:t>
      </w:r>
      <w:r w:rsidRPr="084E24C5">
        <w:rPr>
          <w:i/>
        </w:rPr>
        <w:t>erse refert sententiam Themistii et Theophrasti</w:t>
      </w:r>
      <w:r>
        <w:t xml:space="preserve">), protože prý definoval </w:t>
      </w:r>
      <w:r w:rsidRPr="00273106">
        <w:rPr>
          <w:i/>
        </w:rPr>
        <w:t>intellectus possibilis</w:t>
      </w:r>
      <w:r>
        <w:rPr>
          <w:i/>
        </w:rPr>
        <w:fldChar w:fldCharType="begin"/>
      </w:r>
      <w:r>
        <w:instrText xml:space="preserve"> XE "</w:instrText>
      </w:r>
      <w:r w:rsidRPr="00770D02">
        <w:rPr>
          <w:i/>
        </w:rPr>
        <w:instrText>intellectus possibilis</w:instrText>
      </w:r>
      <w:r>
        <w:instrText xml:space="preserve">" </w:instrText>
      </w:r>
      <w:r>
        <w:rPr>
          <w:i/>
        </w:rPr>
        <w:fldChar w:fldCharType="end"/>
      </w:r>
      <w:r w:rsidRPr="00273106">
        <w:t xml:space="preserve"> </w:t>
      </w:r>
      <w:r>
        <w:t xml:space="preserve">v CMDA </w:t>
      </w:r>
      <w:r w:rsidRPr="00273106">
        <w:t>jako oddělenou substanci. Sám sebe pak prohlásil za skutečného aristotelika s tím, že drží in</w:t>
      </w:r>
      <w:r>
        <w:t xml:space="preserve">dividuální akt výkonu poznání podle </w:t>
      </w:r>
      <w:r w:rsidRPr="08C34BC7">
        <w:rPr>
          <w:i/>
        </w:rPr>
        <w:t>De anima</w:t>
      </w:r>
      <w:r>
        <w:t xml:space="preserve">. Podívejme se na text, kde vznikl Tomášův chybný výklad Averroese později přivezený do Paříže. Klíčové svědectví </w:t>
      </w:r>
      <w:r w:rsidRPr="00273106">
        <w:t xml:space="preserve">obsahuje </w:t>
      </w:r>
      <w:r w:rsidRPr="00273106">
        <w:rPr>
          <w:i/>
        </w:rPr>
        <w:t>Summa contra Gentiles</w:t>
      </w:r>
      <w:r w:rsidRPr="00273106">
        <w:t xml:space="preserve">, která ukazuje původní </w:t>
      </w:r>
      <w:r w:rsidRPr="00273106">
        <w:rPr>
          <w:i/>
        </w:rPr>
        <w:t>Lichtung</w:t>
      </w:r>
      <w:r w:rsidRPr="00273106">
        <w:t xml:space="preserve"> </w:t>
      </w:r>
      <w:r w:rsidR="00693CF9">
        <w:t xml:space="preserve">ne/pravdy </w:t>
      </w:r>
      <w:r>
        <w:t>formálního semi</w:t>
      </w:r>
      <w:r w:rsidRPr="00273106">
        <w:t>averroismu</w:t>
      </w:r>
      <w:r>
        <w:t xml:space="preserve"> Akvinského a Aegidia</w:t>
      </w:r>
      <w:r w:rsidRPr="00273106">
        <w:t>. Zde bylo ještě možné jít oběma cestami, jak sigerovsko-albertovskou, tak i pozdějším Tomášovým dualismem dvou forem</w:t>
      </w:r>
      <w:r>
        <w:t>, tedy duše a intelektu</w:t>
      </w:r>
      <w:r>
        <w:fldChar w:fldCharType="begin"/>
      </w:r>
      <w:r>
        <w:instrText xml:space="preserve"> XE "</w:instrText>
      </w:r>
      <w:r w:rsidRPr="00B74D81">
        <w:instrText>osoba:dualismus</w:instrText>
      </w:r>
      <w:r>
        <w:instrText xml:space="preserve">" </w:instrText>
      </w:r>
      <w:r>
        <w:fldChar w:fldCharType="end"/>
      </w:r>
      <w:r w:rsidRPr="00273106">
        <w:t>.</w:t>
      </w:r>
      <w:r>
        <w:t xml:space="preserve"> Text ukazuje správnou interpretaci </w:t>
      </w:r>
      <w:r w:rsidRPr="081C12BA">
        <w:rPr>
          <w:i/>
        </w:rPr>
        <w:t xml:space="preserve">De anima </w:t>
      </w:r>
      <w:r>
        <w:t>během redakce SCG II v modu Sicilské školy, ale připsané pouze Aristotelovi</w:t>
      </w:r>
      <w:r>
        <w:fldChar w:fldCharType="begin"/>
      </w:r>
      <w:r>
        <w:instrText xml:space="preserve"> XE "</w:instrText>
      </w:r>
      <w:r w:rsidRPr="086B0720">
        <w:instrText>Sicilská škola</w:instrText>
      </w:r>
      <w:r>
        <w:instrText xml:space="preserve">" </w:instrText>
      </w:r>
      <w:r>
        <w:fldChar w:fldCharType="end"/>
      </w:r>
      <w:r>
        <w:t>. Na tuto pasáž asi reagoval Siger v Mnichovském rukopise, když nabídl Akvinskému hlubší možnost interpetace CMDA.</w:t>
      </w:r>
    </w:p>
    <w:p w:rsidR="08163013" w:rsidRDefault="08163013" w:rsidP="08163013">
      <w:pPr>
        <w:pStyle w:val="Citace"/>
        <w:rPr>
          <w:noProof/>
        </w:rPr>
      </w:pPr>
      <w:r w:rsidRPr="00273106">
        <w:rPr>
          <w:noProof/>
        </w:rPr>
        <w:t>„</w:t>
      </w:r>
      <w:r>
        <w:rPr>
          <w:noProof/>
        </w:rPr>
        <w:t xml:space="preserve">Činnost probíhá pouze skrze nějakou schopnost, která je dána </w:t>
      </w:r>
      <w:r>
        <w:rPr>
          <w:noProof/>
          <w:lang w:val="cs-CZ"/>
        </w:rPr>
        <w:t>sama v sobě</w:t>
      </w:r>
      <w:r>
        <w:rPr>
          <w:noProof/>
        </w:rPr>
        <w:t xml:space="preserve"> na způsob formy</w:t>
      </w:r>
      <w:r>
        <w:rPr>
          <w:noProof/>
          <w:lang w:val="cs-CZ"/>
        </w:rPr>
        <w:t xml:space="preserve"> (</w:t>
      </w:r>
      <w:r w:rsidRPr="08FB11C2">
        <w:rPr>
          <w:i/>
          <w:noProof/>
        </w:rPr>
        <w:t>formaliter in ipso est</w:t>
      </w:r>
      <w:r>
        <w:rPr>
          <w:noProof/>
          <w:lang w:val="cs-CZ"/>
        </w:rPr>
        <w:t>)</w:t>
      </w:r>
      <w:r>
        <w:rPr>
          <w:noProof/>
        </w:rPr>
        <w:t xml:space="preserve">. Proto Aristoteles ve druhé knize </w:t>
      </w:r>
      <w:r w:rsidRPr="00FE1188">
        <w:rPr>
          <w:i/>
          <w:noProof/>
        </w:rPr>
        <w:t>De anima</w:t>
      </w:r>
      <w:r>
        <w:rPr>
          <w:noProof/>
        </w:rPr>
        <w:t xml:space="preserve"> ukázal, že akt, skrze který žijeme a vnímáme, je jak forma</w:t>
      </w:r>
      <w:r>
        <w:rPr>
          <w:noProof/>
          <w:lang w:val="cs-CZ"/>
        </w:rPr>
        <w:t>,</w:t>
      </w:r>
      <w:r>
        <w:rPr>
          <w:noProof/>
        </w:rPr>
        <w:t xml:space="preserve"> tak aktuální výkon</w:t>
      </w:r>
      <w:r>
        <w:rPr>
          <w:noProof/>
          <w:lang w:val="cs-CZ"/>
        </w:rPr>
        <w:t xml:space="preserve"> (</w:t>
      </w:r>
      <w:r w:rsidRPr="082257AF">
        <w:rPr>
          <w:i/>
          <w:noProof/>
        </w:rPr>
        <w:t>est forma et actus</w:t>
      </w:r>
      <w:r>
        <w:rPr>
          <w:noProof/>
          <w:lang w:val="cs-CZ"/>
        </w:rPr>
        <w:t>)</w:t>
      </w:r>
      <w:r>
        <w:rPr>
          <w:noProof/>
        </w:rPr>
        <w:t xml:space="preserve">. A obojí aktivita, tedy jak trpného tak činného intelektu, je člověku vlastní. Člověk totiž abstrahuje od fantasmat a přijímá </w:t>
      </w:r>
      <w:r>
        <w:rPr>
          <w:noProof/>
          <w:lang w:val="cs-CZ"/>
        </w:rPr>
        <w:t xml:space="preserve">skrze </w:t>
      </w:r>
      <w:r>
        <w:rPr>
          <w:noProof/>
        </w:rPr>
        <w:t xml:space="preserve">mysl </w:t>
      </w:r>
      <w:r>
        <w:rPr>
          <w:noProof/>
        </w:rPr>
        <w:lastRenderedPageBreak/>
        <w:t>obsahy porozumění dané aktuálně (</w:t>
      </w:r>
      <w:r w:rsidRPr="004B5968">
        <w:rPr>
          <w:i/>
          <w:noProof/>
        </w:rPr>
        <w:t>recipit mente intelligibilia in actu</w:t>
      </w:r>
      <w:r>
        <w:rPr>
          <w:noProof/>
        </w:rPr>
        <w:t xml:space="preserve">). K těmto poznatkům nemůžeme přijít jinak, než tím, že je sami v sobě </w:t>
      </w:r>
      <w:r>
        <w:rPr>
          <w:noProof/>
          <w:lang w:val="cs-CZ"/>
        </w:rPr>
        <w:t>zakusíme</w:t>
      </w:r>
      <w:r>
        <w:rPr>
          <w:noProof/>
        </w:rPr>
        <w:t xml:space="preserve"> (</w:t>
      </w:r>
      <w:r w:rsidRPr="004B5968">
        <w:rPr>
          <w:i/>
          <w:noProof/>
        </w:rPr>
        <w:t>nisi eas in nobis experiremur</w:t>
      </w:r>
      <w:r>
        <w:rPr>
          <w:noProof/>
        </w:rPr>
        <w:t>). Proto je nutné, aby principy, kterým tyto obě činno</w:t>
      </w:r>
      <w:r>
        <w:rPr>
          <w:noProof/>
          <w:lang w:val="cs-CZ"/>
        </w:rPr>
        <w:t>s</w:t>
      </w:r>
      <w:r>
        <w:rPr>
          <w:noProof/>
        </w:rPr>
        <w:t>ti přisuzujeme, tedy trpný a činný intelekt, byl</w:t>
      </w:r>
      <w:r>
        <w:rPr>
          <w:noProof/>
          <w:lang w:val="cs-CZ"/>
        </w:rPr>
        <w:t>y</w:t>
      </w:r>
      <w:r>
        <w:rPr>
          <w:noProof/>
        </w:rPr>
        <w:t xml:space="preserve"> schopno</w:t>
      </w:r>
      <w:r>
        <w:rPr>
          <w:noProof/>
          <w:lang w:val="cs-CZ"/>
        </w:rPr>
        <w:t>s</w:t>
      </w:r>
      <w:r>
        <w:rPr>
          <w:noProof/>
        </w:rPr>
        <w:t>ti, které v nás exis</w:t>
      </w:r>
      <w:r>
        <w:rPr>
          <w:noProof/>
          <w:lang w:val="cs-CZ"/>
        </w:rPr>
        <w:t>t</w:t>
      </w:r>
      <w:r>
        <w:rPr>
          <w:noProof/>
        </w:rPr>
        <w:t>ují formálně</w:t>
      </w:r>
      <w:r>
        <w:rPr>
          <w:noProof/>
          <w:lang w:val="cs-CZ"/>
        </w:rPr>
        <w:t xml:space="preserve"> (</w:t>
      </w:r>
      <w:r w:rsidRPr="00FE1188">
        <w:rPr>
          <w:i/>
          <w:noProof/>
        </w:rPr>
        <w:t>virtutes quaedam in nobis formaliter existentes</w:t>
      </w:r>
      <w:r>
        <w:rPr>
          <w:noProof/>
          <w:lang w:val="cs-CZ"/>
        </w:rPr>
        <w:t>)</w:t>
      </w:r>
      <w:r>
        <w:rPr>
          <w:noProof/>
        </w:rPr>
        <w:t>.“</w:t>
      </w:r>
      <w:r>
        <w:rPr>
          <w:noProof/>
          <w:lang w:val="cs-CZ"/>
        </w:rPr>
        <w:t xml:space="preserve"> </w:t>
      </w:r>
      <w:r>
        <w:rPr>
          <w:rStyle w:val="Znakapoznpodarou"/>
        </w:rPr>
        <w:footnoteReference w:id="340"/>
      </w:r>
    </w:p>
    <w:p w:rsidR="08163013" w:rsidRPr="00273106" w:rsidRDefault="08163013" w:rsidP="08163013">
      <w:r>
        <w:t>Citát ukazuje napětí mezi dvěma liniemi argumentace definujícími intelekt. První dává primát zakoušení (</w:t>
      </w:r>
      <w:r>
        <w:rPr>
          <w:i/>
        </w:rPr>
        <w:t>in nobis experir</w:t>
      </w:r>
      <w:r w:rsidRPr="00910C0D">
        <w:rPr>
          <w:i/>
        </w:rPr>
        <w:t>emur</w:t>
      </w:r>
      <w:r>
        <w:t>) a druhá linie staví na formální definici (</w:t>
      </w:r>
      <w:r w:rsidRPr="00910C0D">
        <w:rPr>
          <w:i/>
        </w:rPr>
        <w:t>in nobis formaliter existentes</w:t>
      </w:r>
      <w:r>
        <w:t>). První linie vede k Sigerově fenomenologickému principu, kdy poznáváme duši od vlastní zakoušené první substance (</w:t>
      </w:r>
      <w:r w:rsidRPr="08DB0D77">
        <w:rPr>
          <w:i/>
        </w:rPr>
        <w:t>experimur</w:t>
      </w:r>
      <w:r>
        <w:t xml:space="preserve">, </w:t>
      </w:r>
      <w:r w:rsidRPr="08DB0D77">
        <w:rPr>
          <w:i/>
        </w:rPr>
        <w:t>conscii sumus</w:t>
      </w:r>
      <w:r>
        <w:t xml:space="preserve">). Druhá linie vede k pozdějšímu Tomášovu principu intelektu jako formy v duši. </w:t>
      </w:r>
      <w:r w:rsidRPr="00273106">
        <w:t xml:space="preserve">Možná byly tyto pasáže </w:t>
      </w:r>
      <w:r w:rsidR="00A22ADE">
        <w:t xml:space="preserve">z </w:t>
      </w:r>
      <w:r>
        <w:t xml:space="preserve">druhé knihy SCG </w:t>
      </w:r>
      <w:r w:rsidRPr="00273106">
        <w:t>upravované v Paříži za druhého pobytu s ohledem na Sigerovu kritiku (Wéber 1970, 299‒305). Ale v každém případě představují mezník, kdy bylo možno jít dvěma směry</w:t>
      </w:r>
      <w:r>
        <w:t>, ať už roku 1263 nebo roku 1270</w:t>
      </w:r>
      <w:r w:rsidRPr="00273106">
        <w:t>. Potence jsou v duši formálně, protože duše je forma aktuálně daného těla (</w:t>
      </w:r>
      <w:r w:rsidRPr="00273106">
        <w:rPr>
          <w:i/>
        </w:rPr>
        <w:t>quo vivimus et sentimus, est forma et actus</w:t>
      </w:r>
      <w:r w:rsidRPr="00273106">
        <w:t>). Obě složky intelektu jsou zařazeny do potencí duše vykonávané skrze existenci individuální první substance (</w:t>
      </w:r>
      <w:r w:rsidRPr="00273106">
        <w:rPr>
          <w:i/>
        </w:rPr>
        <w:t>convenit homini</w:t>
      </w:r>
      <w:r w:rsidRPr="00273106">
        <w:t>). Pak přichází klíčová věta, která se co do smyslu přesně shoduje s fenomenologickým postojem Sigera</w:t>
      </w:r>
      <w:r>
        <w:fldChar w:fldCharType="begin"/>
      </w:r>
      <w:r>
        <w:instrText xml:space="preserve"> XE "</w:instrText>
      </w:r>
      <w:r w:rsidRPr="00EF168A">
        <w:instrText>intelekt:</w:instrText>
      </w:r>
      <w:r w:rsidRPr="00C75696">
        <w:rPr>
          <w:i/>
        </w:rPr>
        <w:instrText>experimur/conscii sumus</w:instrText>
      </w:r>
      <w:r>
        <w:instrText xml:space="preserve">" </w:instrText>
      </w:r>
      <w:r>
        <w:fldChar w:fldCharType="end"/>
      </w:r>
      <w:r w:rsidRPr="00273106">
        <w:t xml:space="preserve">. Definici </w:t>
      </w:r>
      <w:r>
        <w:t xml:space="preserve">obou druhů </w:t>
      </w:r>
      <w:r w:rsidRPr="00273106">
        <w:t>intelektu nemůžeme poznat jinak</w:t>
      </w:r>
      <w:r>
        <w:t xml:space="preserve"> (</w:t>
      </w:r>
      <w:r w:rsidRPr="00273106">
        <w:rPr>
          <w:i/>
        </w:rPr>
        <w:t>non enim aliter in notitiam harum actionum venissemus</w:t>
      </w:r>
      <w:r>
        <w:t>)</w:t>
      </w:r>
      <w:r w:rsidRPr="00273106">
        <w:t>, než skrze naši přímou zkoušenost (</w:t>
      </w:r>
      <w:r w:rsidRPr="00273106">
        <w:rPr>
          <w:i/>
        </w:rPr>
        <w:t>nisi eas in nobis experiremur</w:t>
      </w:r>
      <w:r w:rsidRPr="00273106">
        <w:t>). Ale létající muž</w:t>
      </w:r>
      <w:r>
        <w:fldChar w:fldCharType="begin"/>
      </w:r>
      <w:r>
        <w:instrText xml:space="preserve"> XE "</w:instrText>
      </w:r>
      <w:r w:rsidRPr="00D7496C">
        <w:instrText>létající muž</w:instrText>
      </w:r>
      <w:r>
        <w:instrText xml:space="preserve">" </w:instrText>
      </w:r>
      <w:r>
        <w:fldChar w:fldCharType="end"/>
      </w:r>
      <w:r w:rsidRPr="00273106">
        <w:t xml:space="preserve"> Avicenny a Descartes také mají přímou </w:t>
      </w:r>
      <w:r>
        <w:t xml:space="preserve">sebereflexivní </w:t>
      </w:r>
      <w:r w:rsidRPr="00273106">
        <w:t>zkušenost intelektu</w:t>
      </w:r>
      <w:r>
        <w:t>, který existuje jako nezávislá forma mimo tělo</w:t>
      </w:r>
      <w:r w:rsidRPr="00273106">
        <w:t xml:space="preserve">. </w:t>
      </w:r>
      <w:r>
        <w:t>Tuto n</w:t>
      </w:r>
      <w:r w:rsidRPr="00273106">
        <w:t>ámitku modernistů odráží citát poslední větou, která říká, že obě intelektuální schopnosti duše v nás existují formálně (</w:t>
      </w:r>
      <w:r w:rsidRPr="00273106">
        <w:rPr>
          <w:i/>
        </w:rPr>
        <w:t>sint virtutes quaedam in nobis formaliter existentes</w:t>
      </w:r>
      <w:r w:rsidRPr="00273106">
        <w:t>).</w:t>
      </w:r>
      <w:r>
        <w:t xml:space="preserve"> Určení </w:t>
      </w:r>
      <w:r w:rsidRPr="00273106">
        <w:rPr>
          <w:i/>
        </w:rPr>
        <w:t>formaliter</w:t>
      </w:r>
      <w:r w:rsidRPr="00273106">
        <w:t xml:space="preserve"> může znamenat Sigerův </w:t>
      </w:r>
      <w:r>
        <w:t xml:space="preserve">existenciální </w:t>
      </w:r>
      <w:r w:rsidRPr="00273106">
        <w:t xml:space="preserve">vztah od </w:t>
      </w:r>
      <w:r>
        <w:t xml:space="preserve">existenciálních </w:t>
      </w:r>
      <w:r w:rsidRPr="00273106">
        <w:t>činností k</w:t>
      </w:r>
      <w:r>
        <w:t xml:space="preserve"> esenciální </w:t>
      </w:r>
      <w:r w:rsidRPr="00273106">
        <w:t>podstatě, protože citovanou formou je samotná duše (</w:t>
      </w:r>
      <w:r w:rsidRPr="00273106">
        <w:rPr>
          <w:i/>
        </w:rPr>
        <w:t>qua</w:t>
      </w:r>
      <w:r w:rsidRPr="00273106">
        <w:rPr>
          <w:i/>
          <w:vertAlign w:val="superscript"/>
        </w:rPr>
        <w:t>1</w:t>
      </w:r>
      <w:r w:rsidRPr="006C7A0F">
        <w:rPr>
          <w:i/>
        </w:rPr>
        <w:fldChar w:fldCharType="begin"/>
      </w:r>
      <w:r w:rsidRPr="006C7A0F">
        <w:instrText xml:space="preserve"> XE "intelekt:modus </w:instrText>
      </w:r>
      <w:r w:rsidRPr="006C7A0F">
        <w:rPr>
          <w:i/>
        </w:rPr>
        <w:instrText>qua</w:instrText>
      </w:r>
      <w:r>
        <w:rPr>
          <w:i/>
          <w:vertAlign w:val="superscript"/>
        </w:rPr>
        <w:instrText>1</w:instrText>
      </w:r>
      <w:r w:rsidRPr="006C7A0F">
        <w:instrText xml:space="preserve">" </w:instrText>
      </w:r>
      <w:r w:rsidRPr="006C7A0F">
        <w:rPr>
          <w:i/>
        </w:rPr>
        <w:fldChar w:fldCharType="end"/>
      </w:r>
      <w:r>
        <w:t xml:space="preserve">). </w:t>
      </w:r>
      <w:r w:rsidRPr="00273106">
        <w:t xml:space="preserve">Nebo </w:t>
      </w:r>
      <w:r>
        <w:t xml:space="preserve">může výklad </w:t>
      </w:r>
      <w:r w:rsidRPr="00273106">
        <w:t>směř</w:t>
      </w:r>
      <w:r>
        <w:t xml:space="preserve">ovat </w:t>
      </w:r>
      <w:r w:rsidRPr="00273106">
        <w:t xml:space="preserve">k verzi intelektu jako </w:t>
      </w:r>
      <w:r>
        <w:t xml:space="preserve">hypostázované </w:t>
      </w:r>
      <w:r w:rsidRPr="00273106">
        <w:t>formy, jejíž nemateriální a oddělená existence je za pozemského života dána v duši jako formě těla (</w:t>
      </w:r>
      <w:r w:rsidRPr="00273106">
        <w:rPr>
          <w:i/>
        </w:rPr>
        <w:t>qua</w:t>
      </w:r>
      <w:r w:rsidRPr="00273106">
        <w:rPr>
          <w:i/>
          <w:vertAlign w:val="superscript"/>
        </w:rPr>
        <w:t>2</w:t>
      </w:r>
      <w:r w:rsidRPr="006C7A0F">
        <w:rPr>
          <w:i/>
        </w:rPr>
        <w:fldChar w:fldCharType="begin"/>
      </w:r>
      <w:r w:rsidRPr="006C7A0F">
        <w:instrText xml:space="preserve"> XE "intelekt:modus </w:instrText>
      </w:r>
      <w:r w:rsidRPr="006C7A0F">
        <w:rPr>
          <w:i/>
        </w:rPr>
        <w:instrText>qua</w:instrText>
      </w:r>
      <w:r>
        <w:rPr>
          <w:i/>
          <w:vertAlign w:val="superscript"/>
        </w:rPr>
        <w:instrText>2</w:instrText>
      </w:r>
      <w:r w:rsidRPr="006C7A0F">
        <w:instrText xml:space="preserve">" </w:instrText>
      </w:r>
      <w:r w:rsidRPr="006C7A0F">
        <w:rPr>
          <w:i/>
        </w:rPr>
        <w:fldChar w:fldCharType="end"/>
      </w:r>
      <w:r w:rsidRPr="00273106">
        <w:t xml:space="preserve">). A právě toto pojetí </w:t>
      </w:r>
      <w:r>
        <w:t xml:space="preserve">nakonec </w:t>
      </w:r>
      <w:r w:rsidRPr="00273106">
        <w:t xml:space="preserve">obsahuje klíčová část argumentace </w:t>
      </w:r>
      <w:r w:rsidRPr="00273106">
        <w:rPr>
          <w:i/>
        </w:rPr>
        <w:t>De unitate intellectus</w:t>
      </w:r>
      <w:r w:rsidRPr="08350E19">
        <w:t xml:space="preserve"> namířená proti Sigerově škole.</w:t>
      </w:r>
      <w:r w:rsidRPr="00273106">
        <w:t xml:space="preserve"> </w:t>
      </w:r>
      <w:r>
        <w:lastRenderedPageBreak/>
        <w:t xml:space="preserve">Akvinský v ní brání katolické pojetí individualizovaného </w:t>
      </w:r>
      <w:r w:rsidRPr="080827EE">
        <w:rPr>
          <w:i/>
        </w:rPr>
        <w:t xml:space="preserve">intellectus possibilis </w:t>
      </w:r>
      <w:r>
        <w:t xml:space="preserve">podle Avicenny, které měl už během prvního pobytu v Paříži. </w:t>
      </w:r>
    </w:p>
    <w:p w:rsidR="08163013" w:rsidRPr="00BA62AE" w:rsidRDefault="08163013" w:rsidP="08163013">
      <w:pPr>
        <w:pStyle w:val="Citace"/>
        <w:rPr>
          <w:noProof/>
          <w:lang w:val="cs-CZ"/>
        </w:rPr>
      </w:pPr>
      <w:r w:rsidRPr="00273106">
        <w:rPr>
          <w:noProof/>
          <w:lang w:val="cs-CZ"/>
        </w:rPr>
        <w:t>„</w:t>
      </w:r>
      <w:r>
        <w:rPr>
          <w:noProof/>
          <w:lang w:val="cs-CZ"/>
        </w:rPr>
        <w:t>Ale ať nikdo neříká, jak někteří tvrdí, že to, skrze co rozumíme (</w:t>
      </w:r>
      <w:r w:rsidRPr="00182091">
        <w:rPr>
          <w:i/>
          <w:noProof/>
          <w:lang w:val="cs-CZ"/>
        </w:rPr>
        <w:t>id quo intelligimus</w:t>
      </w:r>
      <w:r>
        <w:rPr>
          <w:noProof/>
          <w:lang w:val="cs-CZ"/>
        </w:rPr>
        <w:t>), není individualizovaný možný intelekt (</w:t>
      </w:r>
      <w:r w:rsidRPr="005D13CF">
        <w:rPr>
          <w:i/>
          <w:noProof/>
          <w:lang w:val="cs-CZ"/>
        </w:rPr>
        <w:t>hic</w:t>
      </w:r>
      <w:r w:rsidRPr="00182091">
        <w:rPr>
          <w:i/>
          <w:noProof/>
          <w:lang w:val="cs-CZ"/>
        </w:rPr>
        <w:t xml:space="preserve"> intellectum possibilem</w:t>
      </w:r>
      <w:r>
        <w:rPr>
          <w:noProof/>
          <w:lang w:val="cs-CZ"/>
        </w:rPr>
        <w:t xml:space="preserve">), ale něco jiného. Tím zcela otevřeně zavrhují tvrzení Aristotela ve třetí knize </w:t>
      </w:r>
      <w:r w:rsidRPr="00182091">
        <w:rPr>
          <w:i/>
          <w:noProof/>
          <w:lang w:val="cs-CZ"/>
        </w:rPr>
        <w:t>De anima</w:t>
      </w:r>
      <w:r>
        <w:rPr>
          <w:noProof/>
          <w:lang w:val="cs-CZ"/>
        </w:rPr>
        <w:t xml:space="preserve"> o možném intelektu, kde praví: rozumím pod intelektem to, skrze co </w:t>
      </w:r>
      <w:r w:rsidR="00287E3C">
        <w:rPr>
          <w:noProof/>
          <w:lang w:val="cs-CZ"/>
        </w:rPr>
        <w:t xml:space="preserve">duše </w:t>
      </w:r>
      <w:r>
        <w:rPr>
          <w:noProof/>
          <w:lang w:val="cs-CZ"/>
        </w:rPr>
        <w:t>usuzuje a rozumí (</w:t>
      </w:r>
      <w:r w:rsidRPr="00BA62AE">
        <w:rPr>
          <w:i/>
          <w:noProof/>
          <w:lang w:val="cs-CZ"/>
        </w:rPr>
        <w:t>intellectum, quo opinatur et intelligit anima</w:t>
      </w:r>
      <w:r>
        <w:rPr>
          <w:noProof/>
          <w:lang w:val="cs-CZ"/>
        </w:rPr>
        <w:t xml:space="preserve">).“ </w:t>
      </w:r>
      <w:r>
        <w:rPr>
          <w:rStyle w:val="Znakapoznpodarou"/>
        </w:rPr>
        <w:footnoteReference w:id="341"/>
      </w:r>
    </w:p>
    <w:p w:rsidR="00F0593E" w:rsidRDefault="08163013" w:rsidP="00F0593E">
      <w:r w:rsidRPr="00273106">
        <w:t xml:space="preserve">Definice </w:t>
      </w:r>
      <w:r w:rsidRPr="00273106">
        <w:rPr>
          <w:i/>
        </w:rPr>
        <w:t>intellectus possibilis</w:t>
      </w:r>
      <w:r>
        <w:rPr>
          <w:i/>
        </w:rPr>
        <w:fldChar w:fldCharType="begin"/>
      </w:r>
      <w:r>
        <w:instrText xml:space="preserve"> XE "</w:instrText>
      </w:r>
      <w:r w:rsidRPr="00770D02">
        <w:rPr>
          <w:i/>
        </w:rPr>
        <w:instrText>intellectus possibilis</w:instrText>
      </w:r>
      <w:r>
        <w:rPr>
          <w:i/>
        </w:rPr>
        <w:instrText>:</w:instrText>
      </w:r>
      <w:r w:rsidRPr="00BE3C9D">
        <w:instrText>Akvinský</w:instrText>
      </w:r>
      <w:r>
        <w:instrText xml:space="preserve">" </w:instrText>
      </w:r>
      <w:r>
        <w:rPr>
          <w:i/>
        </w:rPr>
        <w:fldChar w:fldCharType="end"/>
      </w:r>
      <w:r w:rsidRPr="00273106">
        <w:t xml:space="preserve"> je dána v souladu s literou </w:t>
      </w:r>
      <w:r>
        <w:rPr>
          <w:i/>
        </w:rPr>
        <w:t>De anima</w:t>
      </w:r>
      <w:r w:rsidRPr="00273106">
        <w:t xml:space="preserve"> v modu intelektu jako formy duše (</w:t>
      </w:r>
      <w:r w:rsidRPr="00273106">
        <w:rPr>
          <w:i/>
        </w:rPr>
        <w:t>intellectum, quo opinatur et intelligit anima</w:t>
      </w:r>
      <w:r w:rsidRPr="00273106">
        <w:t xml:space="preserve">). Akvinský bere doslova klíčovou větu </w:t>
      </w:r>
      <w:r>
        <w:rPr>
          <w:i/>
        </w:rPr>
        <w:t>De anima</w:t>
      </w:r>
      <w:r w:rsidRPr="00273106">
        <w:t xml:space="preserve"> 429a23</w:t>
      </w:r>
      <w:r>
        <w:fldChar w:fldCharType="begin"/>
      </w:r>
      <w:r>
        <w:instrText xml:space="preserve"> XE "Aristoteles:</w:instrText>
      </w:r>
      <w:r w:rsidRPr="00BA3DC3">
        <w:rPr>
          <w:i/>
        </w:rPr>
        <w:instrText>De anima</w:instrText>
      </w:r>
      <w:r w:rsidRPr="00BA3DC3">
        <w:instrText xml:space="preserve"> 429a23</w:instrText>
      </w:r>
      <w:r>
        <w:instrText xml:space="preserve">" </w:instrText>
      </w:r>
      <w:r>
        <w:fldChar w:fldCharType="end"/>
      </w:r>
      <w:r w:rsidRPr="00273106">
        <w:t>, že duše rozumí skrze intelekt (νοῦν ᾧ διανοεῖται καὶ ὑπολαμβάνει ἡ ψυχή).</w:t>
      </w:r>
      <w:r>
        <w:t xml:space="preserve"> </w:t>
      </w:r>
      <w:r w:rsidRPr="00273106">
        <w:t xml:space="preserve">Z citace jasně vyplývá, že jde o definici možného intelektu v rámci </w:t>
      </w:r>
      <w:r>
        <w:t xml:space="preserve">účinné </w:t>
      </w:r>
      <w:r w:rsidRPr="00273106">
        <w:t>formy</w:t>
      </w:r>
      <w:r>
        <w:t xml:space="preserve"> v modu </w:t>
      </w:r>
      <w:r w:rsidRPr="006E1A9D">
        <w:rPr>
          <w:i/>
        </w:rPr>
        <w:t>quo</w:t>
      </w:r>
      <w:r>
        <w:t xml:space="preserve"> (</w:t>
      </w:r>
      <w:r w:rsidRPr="00273106">
        <w:t>νοῦν ᾧ</w:t>
      </w:r>
      <w:r>
        <w:t>)</w:t>
      </w:r>
      <w:r w:rsidRPr="00273106">
        <w:t xml:space="preserve">, která je považována za autentickou definici intelektu podle </w:t>
      </w:r>
      <w:r>
        <w:rPr>
          <w:i/>
        </w:rPr>
        <w:t>De anima</w:t>
      </w:r>
      <w:r w:rsidRPr="00273106">
        <w:t xml:space="preserve">. </w:t>
      </w:r>
      <w:r>
        <w:t>Klíčo</w:t>
      </w:r>
      <w:r w:rsidR="00BC6836">
        <w:t xml:space="preserve">vý problém </w:t>
      </w:r>
      <w:r>
        <w:t>se skrývá v Akvinského substanciální definici možného intelektu (</w:t>
      </w:r>
      <w:r w:rsidRPr="087269DD">
        <w:rPr>
          <w:i/>
        </w:rPr>
        <w:t>hic intellectum possibilem</w:t>
      </w:r>
      <w:r>
        <w:t xml:space="preserve">). To je podle Sigera zásadní omyl, protože </w:t>
      </w:r>
      <w:r>
        <w:rPr>
          <w:i/>
        </w:rPr>
        <w:t>intellectus possibilis</w:t>
      </w:r>
      <w:r>
        <w:t xml:space="preserve"> právě je </w:t>
      </w:r>
      <w:r w:rsidRPr="087269DD">
        <w:rPr>
          <w:i/>
        </w:rPr>
        <w:t>aliquid aliud</w:t>
      </w:r>
      <w:r>
        <w:t>, protože představuje existenciální výkon porozumění</w:t>
      </w:r>
      <w:r w:rsidR="08257CAA">
        <w:t xml:space="preserve"> </w:t>
      </w:r>
      <w:r w:rsidR="08257CAA" w:rsidRPr="082F567C">
        <w:rPr>
          <w:szCs w:val="24"/>
        </w:rPr>
        <w:t>(</w:t>
      </w:r>
      <w:r w:rsidR="08257CAA" w:rsidRPr="082F567C">
        <w:rPr>
          <w:i/>
          <w:szCs w:val="24"/>
        </w:rPr>
        <w:t>obiective</w:t>
      </w:r>
      <w:r w:rsidR="08257CAA" w:rsidRPr="082F567C">
        <w:rPr>
          <w:szCs w:val="24"/>
        </w:rPr>
        <w:t>)</w:t>
      </w:r>
      <w:r>
        <w:t>, a ne hypostázovanou formu přidanou do duše</w:t>
      </w:r>
      <w:r w:rsidR="081359AE">
        <w:t xml:space="preserve"> </w:t>
      </w:r>
      <w:r w:rsidR="081359AE" w:rsidRPr="082F567C">
        <w:rPr>
          <w:szCs w:val="24"/>
        </w:rPr>
        <w:t>(</w:t>
      </w:r>
      <w:r w:rsidR="081359AE" w:rsidRPr="082F567C">
        <w:rPr>
          <w:i/>
          <w:szCs w:val="24"/>
        </w:rPr>
        <w:t>hoc aliquid</w:t>
      </w:r>
      <w:r w:rsidR="081359AE" w:rsidRPr="082F567C">
        <w:rPr>
          <w:szCs w:val="24"/>
        </w:rPr>
        <w:t>)</w:t>
      </w:r>
      <w:r>
        <w:t xml:space="preserve">. A přesně tuto hypostázovanou </w:t>
      </w:r>
      <w:r w:rsidR="08257CAA" w:rsidRPr="08257CAA">
        <w:rPr>
          <w:i/>
        </w:rPr>
        <w:t>subiective</w:t>
      </w:r>
      <w:r w:rsidR="08257CAA">
        <w:t>–</w:t>
      </w:r>
      <w:r>
        <w:t xml:space="preserve">definici obhajuje Akvinského citát z </w:t>
      </w:r>
      <w:proofErr w:type="gramStart"/>
      <w:r w:rsidRPr="0833271B">
        <w:rPr>
          <w:i/>
        </w:rPr>
        <w:t>De</w:t>
      </w:r>
      <w:proofErr w:type="gramEnd"/>
      <w:r w:rsidRPr="0833271B">
        <w:rPr>
          <w:i/>
        </w:rPr>
        <w:t xml:space="preserve"> anima</w:t>
      </w:r>
      <w:r>
        <w:t xml:space="preserve"> (</w:t>
      </w:r>
      <w:r w:rsidRPr="087269DD">
        <w:rPr>
          <w:i/>
        </w:rPr>
        <w:t>intellectum, quo opinatur et intelligit anima</w:t>
      </w:r>
      <w:r>
        <w:t xml:space="preserve">). Podle Sigera to lze říci jen o intelektu jako </w:t>
      </w:r>
      <w:r w:rsidRPr="087269DD">
        <w:rPr>
          <w:i/>
        </w:rPr>
        <w:t xml:space="preserve">quartum </w:t>
      </w:r>
      <w:r w:rsidR="00962190">
        <w:rPr>
          <w:i/>
        </w:rPr>
        <w:t>genus</w:t>
      </w:r>
      <w:r>
        <w:t xml:space="preserve">, ale to je koncept v mysli a ne existenciální výkon, o němž mluví citovaný text </w:t>
      </w:r>
      <w:r w:rsidRPr="087269DD">
        <w:rPr>
          <w:i/>
        </w:rPr>
        <w:t>De anima</w:t>
      </w:r>
      <w:r>
        <w:t xml:space="preserve">. Tento averroistický výklad z </w:t>
      </w:r>
      <w:proofErr w:type="gramStart"/>
      <w:r w:rsidRPr="082E4992">
        <w:rPr>
          <w:i/>
        </w:rPr>
        <w:t>De</w:t>
      </w:r>
      <w:proofErr w:type="gramEnd"/>
      <w:r w:rsidRPr="082E4992">
        <w:rPr>
          <w:i/>
        </w:rPr>
        <w:t xml:space="preserve"> unitate</w:t>
      </w:r>
      <w:r>
        <w:t xml:space="preserve"> platí dodnes, včetně výpadu proti oněm </w:t>
      </w:r>
      <w:r w:rsidR="00D7648E">
        <w:t>„</w:t>
      </w:r>
      <w:r w:rsidRPr="089C0895">
        <w:rPr>
          <w:i/>
        </w:rPr>
        <w:t>aliqui</w:t>
      </w:r>
      <w:r w:rsidR="00D7648E">
        <w:t>“</w:t>
      </w:r>
      <w:r>
        <w:t xml:space="preserve"> z Rue de Fouarre. Podle </w:t>
      </w:r>
      <w:r w:rsidR="00D7648E">
        <w:t xml:space="preserve">Sigerovy školy </w:t>
      </w:r>
      <w:r>
        <w:t xml:space="preserve">bránící odkaz Alverna se tím aristotelik Akvinský zařadil do pochybné skupiny </w:t>
      </w:r>
      <w:r w:rsidR="00D7648E">
        <w:t>„</w:t>
      </w:r>
      <w:r w:rsidRPr="006E1A9D">
        <w:rPr>
          <w:i/>
        </w:rPr>
        <w:t>sequaces Aristotelis</w:t>
      </w:r>
      <w:r w:rsidR="00D7648E">
        <w:t xml:space="preserve">“, kteří </w:t>
      </w:r>
      <w:r>
        <w:t xml:space="preserve">podle Avicenny </w:t>
      </w:r>
      <w:r w:rsidR="00D7648E">
        <w:t xml:space="preserve">hlásají </w:t>
      </w:r>
      <w:r>
        <w:t>pluralitu hypostázovaných forem v člověku</w:t>
      </w:r>
      <w:r>
        <w:fldChar w:fldCharType="begin"/>
      </w:r>
      <w:r>
        <w:instrText xml:space="preserve"> XE "druhý averroismus:</w:instrText>
      </w:r>
      <w:r w:rsidRPr="006E1A9D">
        <w:rPr>
          <w:i/>
        </w:rPr>
        <w:instrText>sequaces Aristotelis</w:instrText>
      </w:r>
      <w:r>
        <w:instrText xml:space="preserve">" </w:instrText>
      </w:r>
      <w:r>
        <w:fldChar w:fldCharType="end"/>
      </w:r>
      <w:r>
        <w:t xml:space="preserve">. </w:t>
      </w:r>
      <w:r w:rsidR="0048037D">
        <w:t xml:space="preserve">Toto pojetí intelektu jako </w:t>
      </w:r>
      <w:r w:rsidRPr="00273106">
        <w:t xml:space="preserve">formy v modelu </w:t>
      </w:r>
      <w:r w:rsidRPr="00273106">
        <w:rPr>
          <w:i/>
        </w:rPr>
        <w:t>qua</w:t>
      </w:r>
      <w:r w:rsidRPr="00273106">
        <w:rPr>
          <w:i/>
          <w:vertAlign w:val="superscript"/>
        </w:rPr>
        <w:t>2</w:t>
      </w:r>
      <w:r w:rsidRPr="00273106">
        <w:t xml:space="preserve"> </w:t>
      </w:r>
      <w:r w:rsidRPr="006C7A0F">
        <w:rPr>
          <w:i/>
        </w:rPr>
        <w:fldChar w:fldCharType="begin"/>
      </w:r>
      <w:r w:rsidRPr="006C7A0F">
        <w:instrText xml:space="preserve"> XE "intelekt:modus </w:instrText>
      </w:r>
      <w:r w:rsidRPr="006C7A0F">
        <w:rPr>
          <w:i/>
        </w:rPr>
        <w:instrText>qua</w:instrText>
      </w:r>
      <w:r>
        <w:rPr>
          <w:i/>
          <w:vertAlign w:val="superscript"/>
        </w:rPr>
        <w:instrText>2</w:instrText>
      </w:r>
      <w:r w:rsidRPr="006C7A0F">
        <w:instrText xml:space="preserve">" </w:instrText>
      </w:r>
      <w:r w:rsidRPr="006C7A0F">
        <w:rPr>
          <w:i/>
        </w:rPr>
        <w:fldChar w:fldCharType="end"/>
      </w:r>
      <w:r w:rsidRPr="00273106">
        <w:t xml:space="preserve">odmítl </w:t>
      </w:r>
      <w:r>
        <w:t xml:space="preserve">aristotelik </w:t>
      </w:r>
      <w:r w:rsidRPr="00273106">
        <w:t>Siger poukazem na celkov</w:t>
      </w:r>
      <w:r>
        <w:t xml:space="preserve">ý smysl Aristotelovy metafyziky, na výklad CMDA </w:t>
      </w:r>
      <w:r w:rsidRPr="00273106">
        <w:t xml:space="preserve">a </w:t>
      </w:r>
      <w:r>
        <w:t xml:space="preserve">na vědecký důkaz </w:t>
      </w:r>
      <w:r w:rsidRPr="00273106">
        <w:t xml:space="preserve">podle </w:t>
      </w:r>
      <w:r w:rsidRPr="086B477D">
        <w:rPr>
          <w:i/>
        </w:rPr>
        <w:t>Druhých analytik</w:t>
      </w:r>
      <w:r>
        <w:rPr>
          <w:i/>
        </w:rPr>
        <w:t xml:space="preserve"> </w:t>
      </w:r>
      <w:r w:rsidRPr="087E48D0">
        <w:t>v Sicilském modu</w:t>
      </w:r>
      <w:r>
        <w:rPr>
          <w:i/>
        </w:rPr>
        <w:t xml:space="preserve"> </w:t>
      </w:r>
      <w:r w:rsidR="008A1D0D">
        <w:t>„</w:t>
      </w:r>
      <w:r>
        <w:rPr>
          <w:i/>
        </w:rPr>
        <w:t>ad mentem Averro</w:t>
      </w:r>
      <w:r w:rsidRPr="087E48D0">
        <w:rPr>
          <w:i/>
        </w:rPr>
        <w:t>is</w:t>
      </w:r>
      <w:r w:rsidR="008A1D0D">
        <w:t>“</w:t>
      </w:r>
      <w:r>
        <w:rPr>
          <w:i/>
        </w:rPr>
        <w:fldChar w:fldCharType="begin"/>
      </w:r>
      <w:r>
        <w:instrText xml:space="preserve"> XE "</w:instrText>
      </w:r>
      <w:r w:rsidRPr="088E28D0">
        <w:rPr>
          <w:i/>
        </w:rPr>
        <w:instrText>ad mentem Averrois</w:instrText>
      </w:r>
      <w:r>
        <w:instrText xml:space="preserve">" </w:instrText>
      </w:r>
      <w:r>
        <w:rPr>
          <w:i/>
        </w:rPr>
        <w:fldChar w:fldCharType="end"/>
      </w:r>
      <w:r w:rsidRPr="00273106">
        <w:t xml:space="preserve">. </w:t>
      </w:r>
      <w:r w:rsidR="00FB5136">
        <w:t>Akvinský je patentovaným averroistou podle Avicenny; proto musel zavrhnout skutečnou nauku Koment</w:t>
      </w:r>
      <w:r w:rsidR="006B754A">
        <w:t xml:space="preserve">átora, který averroistou nebyl. Tomáš </w:t>
      </w:r>
      <w:r>
        <w:t xml:space="preserve">potřeboval Themistiovu a Theofrastovu formálně oddělenou potenci </w:t>
      </w:r>
      <w:r w:rsidRPr="00273106">
        <w:t>intelektu</w:t>
      </w:r>
      <w:r>
        <w:t xml:space="preserve"> </w:t>
      </w:r>
      <w:r>
        <w:lastRenderedPageBreak/>
        <w:t xml:space="preserve">jako zvláštní hypostatické formy, která v modu </w:t>
      </w:r>
      <w:r w:rsidRPr="00E90358">
        <w:rPr>
          <w:i/>
        </w:rPr>
        <w:t>inmixtus</w:t>
      </w:r>
      <w:r>
        <w:t xml:space="preserve"> a </w:t>
      </w:r>
      <w:r w:rsidRPr="00CE525F">
        <w:rPr>
          <w:i/>
        </w:rPr>
        <w:t>ab e</w:t>
      </w:r>
      <w:r>
        <w:rPr>
          <w:i/>
        </w:rPr>
        <w:t>xtrin</w:t>
      </w:r>
      <w:r w:rsidRPr="00CE525F">
        <w:rPr>
          <w:i/>
        </w:rPr>
        <w:t>se</w:t>
      </w:r>
      <w:r>
        <w:rPr>
          <w:i/>
        </w:rPr>
        <w:t>ce</w:t>
      </w:r>
      <w:r>
        <w:t xml:space="preserve"> vzhledem ke smyslům zajišťuje nesmrtelnost </w:t>
      </w:r>
      <w:r w:rsidRPr="00BA17A6">
        <w:rPr>
          <w:i/>
        </w:rPr>
        <w:t>anima intellectiva</w:t>
      </w:r>
      <w:r w:rsidRPr="00273106">
        <w:t xml:space="preserve">. </w:t>
      </w:r>
      <w:r>
        <w:t xml:space="preserve">Proto zásadně odmítl v </w:t>
      </w:r>
      <w:proofErr w:type="gramStart"/>
      <w:r w:rsidRPr="0822392B">
        <w:rPr>
          <w:i/>
        </w:rPr>
        <w:t>De</w:t>
      </w:r>
      <w:proofErr w:type="gramEnd"/>
      <w:r w:rsidRPr="0822392B">
        <w:rPr>
          <w:i/>
        </w:rPr>
        <w:t xml:space="preserve"> unitate</w:t>
      </w:r>
      <w:r>
        <w:t xml:space="preserve"> kritický výklad obou autorů podle CMDA (</w:t>
      </w:r>
      <w:r w:rsidRPr="0822392B">
        <w:rPr>
          <w:i/>
        </w:rPr>
        <w:t>Averroys perverse refert sententiam Themistii er Theophrasti de intellectu possibili et agente</w:t>
      </w:r>
      <w:r>
        <w:t xml:space="preserve">, </w:t>
      </w:r>
      <w:r w:rsidRPr="08D5150A">
        <w:t>Leonina 43, 314.</w:t>
      </w:r>
      <w:r>
        <w:t>389‒91</w:t>
      </w:r>
      <w:r>
        <w:rPr>
          <w:i/>
        </w:rPr>
        <w:fldChar w:fldCharType="begin"/>
      </w:r>
      <w:r>
        <w:instrText xml:space="preserve"> XE "Akvinský:</w:instrText>
      </w:r>
      <w:r w:rsidRPr="001D243F">
        <w:rPr>
          <w:i/>
        </w:rPr>
        <w:instrText>De unitate intellectus</w:instrText>
      </w:r>
      <w:r>
        <w:instrText xml:space="preserve"> </w:instrText>
      </w:r>
      <w:r w:rsidRPr="08D5150A">
        <w:instrText>314.</w:instrText>
      </w:r>
      <w:r>
        <w:instrText xml:space="preserve">389‒91" </w:instrText>
      </w:r>
      <w:r>
        <w:rPr>
          <w:i/>
        </w:rPr>
        <w:fldChar w:fldCharType="end"/>
      </w:r>
      <w:r>
        <w:t xml:space="preserve">). Sigerova škola odmítla Tomášovo averroistické simulákrum, protože vidí a komentuje skutečného Averroese. To potvrdil i Akvinský v </w:t>
      </w:r>
      <w:proofErr w:type="gramStart"/>
      <w:r w:rsidRPr="08195137">
        <w:rPr>
          <w:i/>
        </w:rPr>
        <w:t>De</w:t>
      </w:r>
      <w:proofErr w:type="gramEnd"/>
      <w:r w:rsidRPr="08195137">
        <w:rPr>
          <w:i/>
        </w:rPr>
        <w:t xml:space="preserve"> unitate</w:t>
      </w:r>
      <w:r>
        <w:t>, když napadl magistry na Rue du Fouarre (</w:t>
      </w:r>
      <w:r w:rsidRPr="08EE507D">
        <w:rPr>
          <w:i/>
        </w:rPr>
        <w:t>aliqui</w:t>
      </w:r>
      <w:r>
        <w:t xml:space="preserve"> </w:t>
      </w:r>
      <w:r w:rsidRPr="08A22F95">
        <w:rPr>
          <w:i/>
        </w:rPr>
        <w:t>solum commentum Averrois videntes</w:t>
      </w:r>
      <w:r>
        <w:rPr>
          <w:i/>
        </w:rPr>
        <w:t xml:space="preserve">; </w:t>
      </w:r>
      <w:r w:rsidRPr="08D5150A">
        <w:t>Leonina 43, 314.394</w:t>
      </w:r>
      <w:r>
        <w:rPr>
          <w:i/>
        </w:rPr>
        <w:fldChar w:fldCharType="begin"/>
      </w:r>
      <w:r>
        <w:instrText xml:space="preserve"> XE "Akvinský:</w:instrText>
      </w:r>
      <w:r w:rsidRPr="001D243F">
        <w:rPr>
          <w:i/>
        </w:rPr>
        <w:instrText>De unitate intellectus</w:instrText>
      </w:r>
      <w:r>
        <w:instrText xml:space="preserve"> 314.394" </w:instrText>
      </w:r>
      <w:r>
        <w:rPr>
          <w:i/>
        </w:rPr>
        <w:fldChar w:fldCharType="end"/>
      </w:r>
      <w:r>
        <w:t xml:space="preserve">). Akvinský měl ve svém pythickém výpadu naprostou pravdu. </w:t>
      </w:r>
      <w:r w:rsidR="00F0593E">
        <w:t>S</w:t>
      </w:r>
      <w:r>
        <w:t xml:space="preserve">krze svůj epochální omyl </w:t>
      </w:r>
      <w:r w:rsidR="00F0593E">
        <w:t xml:space="preserve">zvěstuje </w:t>
      </w:r>
      <w:r>
        <w:t>zásadní a proto objektivně skrytou pravdu</w:t>
      </w:r>
      <w:r w:rsidRPr="08195137">
        <w:t xml:space="preserve"> </w:t>
      </w:r>
      <w:r>
        <w:t xml:space="preserve">na múzický způsob </w:t>
      </w:r>
      <w:r w:rsidR="00F0593E">
        <w:rPr>
          <w:i/>
        </w:rPr>
        <w:t>a</w:t>
      </w:r>
      <w:r w:rsidRPr="08ED5126">
        <w:rPr>
          <w:i/>
        </w:rPr>
        <w:t>létheia</w:t>
      </w:r>
      <w:r w:rsidR="00F0593E">
        <w:t xml:space="preserve">. </w:t>
      </w:r>
      <w:r w:rsidR="00F0593E" w:rsidRPr="00F0593E">
        <w:t xml:space="preserve">Proto </w:t>
      </w:r>
      <w:r w:rsidR="00061338">
        <w:t xml:space="preserve">geniální </w:t>
      </w:r>
      <w:r w:rsidR="00F0593E" w:rsidRPr="00F0593E">
        <w:t xml:space="preserve">básníci jako Dante skutečně pochopili Tomášův spor s filosofy v rue du Fouarre. </w:t>
      </w:r>
    </w:p>
    <w:p w:rsidR="001E6BB5" w:rsidRDefault="004369E6" w:rsidP="001E6BB5">
      <w:pPr>
        <w:ind w:firstLine="397"/>
      </w:pPr>
      <w:r>
        <w:t xml:space="preserve">Filosofie musí </w:t>
      </w:r>
      <w:r w:rsidR="08163013">
        <w:t xml:space="preserve">vyjít </w:t>
      </w:r>
      <w:r w:rsidR="00D61C2D">
        <w:t xml:space="preserve">v otázce pravdivého poznání </w:t>
      </w:r>
      <w:r w:rsidR="08163013">
        <w:t xml:space="preserve">pouze z Komentátorova výkladu </w:t>
      </w:r>
      <w:r>
        <w:t>(</w:t>
      </w:r>
      <w:r>
        <w:rPr>
          <w:i/>
        </w:rPr>
        <w:t>solum commentum Averrois</w:t>
      </w:r>
      <w:r>
        <w:t xml:space="preserve">). </w:t>
      </w:r>
      <w:r w:rsidR="00B75F38">
        <w:t xml:space="preserve">Sledujíc skrytou cestu </w:t>
      </w:r>
      <w:r w:rsidR="00B75F38" w:rsidRPr="08813FB7">
        <w:rPr>
          <w:i/>
        </w:rPr>
        <w:t>alétheia</w:t>
      </w:r>
      <w:r w:rsidR="00B75F38">
        <w:t>, h</w:t>
      </w:r>
      <w:r w:rsidR="08163013">
        <w:t>ermeneutika vidí rozdíl mezi ipseitou a identitou v obou modelech je</w:t>
      </w:r>
      <w:r w:rsidR="003B5D7B">
        <w:t>dnoty poznávající osoby</w:t>
      </w:r>
      <w:r w:rsidR="08163013">
        <w:t xml:space="preserve">. Pro objektivisty tento rozdíl pochopitelně neexistuje, protože v modu univoční formální </w:t>
      </w:r>
      <w:r w:rsidR="08163013" w:rsidRPr="08813FB7">
        <w:rPr>
          <w:i/>
        </w:rPr>
        <w:t>veritas</w:t>
      </w:r>
      <w:r w:rsidR="08163013">
        <w:t xml:space="preserve"> není vidět. Rozdíl je v pojetí intelektu daném nasvícením zepředu nebo zezadu. To druhé bohužel představuje Akvinského model </w:t>
      </w:r>
      <w:r w:rsidR="08163013" w:rsidRPr="00273106">
        <w:rPr>
          <w:i/>
        </w:rPr>
        <w:t>intellectus possibilis</w:t>
      </w:r>
      <w:r w:rsidR="08163013">
        <w:rPr>
          <w:i/>
        </w:rPr>
        <w:fldChar w:fldCharType="begin"/>
      </w:r>
      <w:r w:rsidR="08163013">
        <w:instrText xml:space="preserve"> XE "</w:instrText>
      </w:r>
      <w:r w:rsidR="08163013" w:rsidRPr="00770D02">
        <w:rPr>
          <w:i/>
        </w:rPr>
        <w:instrText>intellectus possibilis</w:instrText>
      </w:r>
      <w:r w:rsidR="08163013">
        <w:rPr>
          <w:i/>
        </w:rPr>
        <w:instrText>:</w:instrText>
      </w:r>
      <w:r w:rsidR="08163013" w:rsidRPr="00BE3C9D">
        <w:instrText>Akvinský</w:instrText>
      </w:r>
      <w:r w:rsidR="08163013">
        <w:instrText xml:space="preserve">" </w:instrText>
      </w:r>
      <w:r w:rsidR="08163013">
        <w:rPr>
          <w:i/>
        </w:rPr>
        <w:fldChar w:fldCharType="end"/>
      </w:r>
      <w:r w:rsidR="08163013" w:rsidRPr="00273106">
        <w:t xml:space="preserve"> </w:t>
      </w:r>
      <w:r w:rsidR="08163013">
        <w:t xml:space="preserve">jako účinné formy v modu </w:t>
      </w:r>
      <w:r w:rsidR="08163013" w:rsidRPr="009B603B">
        <w:rPr>
          <w:i/>
        </w:rPr>
        <w:t>Oxfordian Fallacy</w:t>
      </w:r>
      <w:r w:rsidR="08163013">
        <w:t xml:space="preserve">. Siger byl zásadně proti zavedení jakékoliv kauzální hypostáze do vědeckého poznání intelektu. </w:t>
      </w:r>
      <w:r w:rsidR="08163013" w:rsidRPr="00273106">
        <w:t xml:space="preserve">Východisko poznání musí být v souladu s </w:t>
      </w:r>
      <w:r w:rsidR="08163013">
        <w:t>nasvícením smyslu jsoucna od kauzálně působící reality</w:t>
      </w:r>
      <w:r w:rsidR="08163013" w:rsidRPr="00273106">
        <w:t xml:space="preserve"> </w:t>
      </w:r>
      <w:r w:rsidR="08163013">
        <w:t xml:space="preserve">první substance, což je v tomto případě reálná hylemorfická osoba a ne hypostázovaný intelekt. Forma jako taková nemůže působit kauzálně, protože je pouhou abstrakcí v rámci univerzální esence a existuje pouze v mysli. Proto je podle vědecky argumentujícího aristotelika Sigera postup zkoumání intelektu </w:t>
      </w:r>
      <w:r w:rsidR="08163013" w:rsidRPr="00273106">
        <w:t xml:space="preserve">dán od </w:t>
      </w:r>
      <w:r w:rsidR="08163013">
        <w:t xml:space="preserve">kauzálního </w:t>
      </w:r>
      <w:r w:rsidR="08163013" w:rsidRPr="00273106">
        <w:t xml:space="preserve">aktu první substance, a ne od </w:t>
      </w:r>
      <w:r w:rsidR="08163013">
        <w:t>abstraktní definice</w:t>
      </w:r>
      <w:r w:rsidR="08163013" w:rsidRPr="00273106">
        <w:t xml:space="preserve"> nemateriální formy. </w:t>
      </w:r>
      <w:r w:rsidR="08163013">
        <w:t xml:space="preserve">Akvinskému se zásadně vymstilo paušální odmítnutí </w:t>
      </w:r>
      <w:r w:rsidR="009770D3">
        <w:t xml:space="preserve">Averroesovy metafyziky v modu </w:t>
      </w:r>
      <w:r w:rsidR="00C71B31">
        <w:t>„</w:t>
      </w:r>
      <w:r w:rsidR="009770D3">
        <w:t xml:space="preserve">substance </w:t>
      </w:r>
      <w:r w:rsidR="009770D3" w:rsidRPr="088C1D23">
        <w:rPr>
          <w:i/>
        </w:rPr>
        <w:t>qua</w:t>
      </w:r>
      <w:r w:rsidR="009770D3">
        <w:t xml:space="preserve"> substance</w:t>
      </w:r>
      <w:r w:rsidR="00C71B31">
        <w:t>“</w:t>
      </w:r>
      <w:r w:rsidR="009770D3">
        <w:fldChar w:fldCharType="begin"/>
      </w:r>
      <w:r w:rsidR="009770D3">
        <w:instrText xml:space="preserve"> XE "</w:instrText>
      </w:r>
      <w:r w:rsidR="009770D3" w:rsidRPr="080632B1">
        <w:instrText xml:space="preserve">substance </w:instrText>
      </w:r>
      <w:r w:rsidR="009770D3" w:rsidRPr="080632B1">
        <w:rPr>
          <w:i/>
        </w:rPr>
        <w:instrText>qua</w:instrText>
      </w:r>
      <w:r w:rsidR="009770D3" w:rsidRPr="080632B1">
        <w:instrText xml:space="preserve"> substance</w:instrText>
      </w:r>
      <w:r w:rsidR="009770D3">
        <w:instrText xml:space="preserve">" </w:instrText>
      </w:r>
      <w:r w:rsidR="009770D3">
        <w:fldChar w:fldCharType="end"/>
      </w:r>
      <w:r w:rsidR="08163013">
        <w:t xml:space="preserve">. </w:t>
      </w:r>
      <w:r w:rsidR="00C71B31">
        <w:t>Pouhá l</w:t>
      </w:r>
      <w:r w:rsidR="08163013">
        <w:t xml:space="preserve">itera </w:t>
      </w:r>
      <w:r w:rsidR="08163013" w:rsidRPr="00804135">
        <w:rPr>
          <w:i/>
        </w:rPr>
        <w:t>De anima</w:t>
      </w:r>
      <w:r w:rsidR="08163013">
        <w:t xml:space="preserve"> nestačí k určení jednoty myšlení osoby, což vzdělaní aristotelikové věděli v Paříži už minimálně dvě generace. </w:t>
      </w:r>
      <w:r w:rsidR="08163013" w:rsidRPr="00273106">
        <w:t xml:space="preserve">Spis </w:t>
      </w:r>
      <w:r w:rsidR="08163013" w:rsidRPr="00273106">
        <w:rPr>
          <w:i/>
        </w:rPr>
        <w:t>De unitate</w:t>
      </w:r>
      <w:r w:rsidR="08163013" w:rsidRPr="00273106">
        <w:t xml:space="preserve"> v záv</w:t>
      </w:r>
      <w:r w:rsidR="08163013">
        <w:t>ěru potvrzuje původní pojetí intelektu jako formy</w:t>
      </w:r>
      <w:r w:rsidR="00BA0F5C">
        <w:t xml:space="preserve">. To byla definitivní odpověď Akvinského na </w:t>
      </w:r>
      <w:r w:rsidR="08163013">
        <w:t>Sigerov</w:t>
      </w:r>
      <w:r w:rsidR="00BA0F5C">
        <w:t>u kritiku</w:t>
      </w:r>
      <w:r w:rsidR="08163013" w:rsidRPr="00273106">
        <w:t>.</w:t>
      </w:r>
      <w:r w:rsidR="08163013" w:rsidRPr="00920837">
        <w:t xml:space="preserve"> </w:t>
      </w:r>
      <w:r w:rsidR="08163013">
        <w:t xml:space="preserve">Citát </w:t>
      </w:r>
      <w:r w:rsidR="08163013" w:rsidRPr="00273106">
        <w:t xml:space="preserve">jasně říká na adresu Sigera, že </w:t>
      </w:r>
      <w:r w:rsidR="08163013">
        <w:t xml:space="preserve">není jiná </w:t>
      </w:r>
      <w:r w:rsidR="08163013" w:rsidRPr="00273106">
        <w:t>možnost, jak zachovat separabilitu intelektu</w:t>
      </w:r>
      <w:r w:rsidR="08163013">
        <w:t xml:space="preserve">, protože intelekt musí být formou podle </w:t>
      </w:r>
      <w:r w:rsidR="08163013">
        <w:rPr>
          <w:i/>
        </w:rPr>
        <w:t>De anima</w:t>
      </w:r>
      <w:r w:rsidR="08163013" w:rsidRPr="00273106">
        <w:t xml:space="preserve"> 429a23</w:t>
      </w:r>
      <w:r w:rsidR="08163013">
        <w:t xml:space="preserve"> </w:t>
      </w:r>
      <w:r w:rsidR="08163013">
        <w:fldChar w:fldCharType="begin"/>
      </w:r>
      <w:r w:rsidR="08163013">
        <w:instrText xml:space="preserve"> XE "Aristoteles:</w:instrText>
      </w:r>
      <w:r w:rsidR="08163013" w:rsidRPr="00BA3DC3">
        <w:rPr>
          <w:i/>
        </w:rPr>
        <w:instrText>De anima</w:instrText>
      </w:r>
      <w:r w:rsidR="08163013" w:rsidRPr="00BA3DC3">
        <w:instrText xml:space="preserve"> 429a23</w:instrText>
      </w:r>
      <w:r w:rsidR="08163013">
        <w:instrText xml:space="preserve">" </w:instrText>
      </w:r>
      <w:r w:rsidR="08163013">
        <w:fldChar w:fldCharType="end"/>
      </w:r>
      <w:r w:rsidR="08163013" w:rsidRPr="00273106">
        <w:t xml:space="preserve"> (</w:t>
      </w:r>
      <w:r w:rsidR="08163013">
        <w:rPr>
          <w:i/>
        </w:rPr>
        <w:t xml:space="preserve">intellectum </w:t>
      </w:r>
      <w:r w:rsidR="08163013" w:rsidRPr="00273106">
        <w:rPr>
          <w:i/>
        </w:rPr>
        <w:t>quo intelligit anima</w:t>
      </w:r>
      <w:r w:rsidR="08163013" w:rsidRPr="00273106">
        <w:t>)</w:t>
      </w:r>
      <w:r w:rsidR="001E6BB5">
        <w:t xml:space="preserve">. </w:t>
      </w:r>
      <w:r w:rsidR="001E6BB5">
        <w:lastRenderedPageBreak/>
        <w:t>Akvinský musel</w:t>
      </w:r>
      <w:r w:rsidR="001E6BB5" w:rsidRPr="001E6BB5">
        <w:t xml:space="preserve"> reagovat na Sigerovu školu v rue du Fouarre, která odmítala všechny teorie intelektu jako hypostatické formy.  Citujme nyní semiaverroistickou část </w:t>
      </w:r>
      <w:r w:rsidR="001E6BB5" w:rsidRPr="001E6BB5">
        <w:rPr>
          <w:i/>
        </w:rPr>
        <w:t>De unitate</w:t>
      </w:r>
      <w:r w:rsidR="001E6BB5" w:rsidRPr="001E6BB5">
        <w:t xml:space="preserve">, v níž se Siger stává </w:t>
      </w:r>
      <w:r w:rsidR="001E6BB5">
        <w:rPr>
          <w:i/>
        </w:rPr>
        <w:t>Doctor Invidiosus</w:t>
      </w:r>
      <w:r w:rsidR="001E6BB5">
        <w:rPr>
          <w:i/>
        </w:rPr>
        <w:fldChar w:fldCharType="begin"/>
      </w:r>
      <w:r w:rsidR="001E6BB5">
        <w:instrText xml:space="preserve"> XE "</w:instrText>
      </w:r>
      <w:r w:rsidR="001E6BB5">
        <w:rPr>
          <w:i/>
        </w:rPr>
        <w:instrText>Doctor Invidiosus</w:instrText>
      </w:r>
      <w:r w:rsidR="001E6BB5">
        <w:instrText xml:space="preserve">" </w:instrText>
      </w:r>
      <w:r w:rsidR="001E6BB5">
        <w:rPr>
          <w:i/>
        </w:rPr>
        <w:fldChar w:fldCharType="end"/>
      </w:r>
      <w:r w:rsidR="001E6BB5" w:rsidRPr="001E6BB5">
        <w:rPr>
          <w:i/>
        </w:rPr>
        <w:t xml:space="preserve"> </w:t>
      </w:r>
      <w:r w:rsidR="001E6BB5" w:rsidRPr="001E6BB5">
        <w:t xml:space="preserve">v plném významu pravdy jako </w:t>
      </w:r>
      <w:r w:rsidR="001E6BB5" w:rsidRPr="001E6BB5">
        <w:rPr>
          <w:i/>
        </w:rPr>
        <w:t>alétheia</w:t>
      </w:r>
      <w:r w:rsidR="001E6BB5" w:rsidRPr="001E6BB5">
        <w:t>. Akvin</w:t>
      </w:r>
      <w:r w:rsidR="001E6BB5">
        <w:t>ský</w:t>
      </w:r>
      <w:r w:rsidR="001E6BB5" w:rsidRPr="001E6BB5">
        <w:t xml:space="preserve"> nepřímo přiznává svou filosofickou porážku a vítězství Sigerovy školy. </w:t>
      </w:r>
    </w:p>
    <w:p w:rsidR="08163013" w:rsidRPr="00920837" w:rsidRDefault="08163013" w:rsidP="08163013">
      <w:pPr>
        <w:pStyle w:val="Citace"/>
        <w:rPr>
          <w:noProof/>
        </w:rPr>
      </w:pPr>
      <w:r w:rsidRPr="00273106">
        <w:rPr>
          <w:noProof/>
        </w:rPr>
        <w:t>„</w:t>
      </w:r>
      <w:r>
        <w:rPr>
          <w:noProof/>
        </w:rPr>
        <w:t>Jestliže ale tvrdíš, že principem tohoto aktu, kter</w:t>
      </w:r>
      <w:r>
        <w:rPr>
          <w:noProof/>
          <w:lang w:val="cs-CZ"/>
        </w:rPr>
        <w:t>ý</w:t>
      </w:r>
      <w:r>
        <w:rPr>
          <w:noProof/>
        </w:rPr>
        <w:t xml:space="preserve"> je porozumění a který nazýváme intelekt, není forma (</w:t>
      </w:r>
      <w:r w:rsidRPr="00920837">
        <w:rPr>
          <w:i/>
          <w:noProof/>
        </w:rPr>
        <w:t>non sit forma</w:t>
      </w:r>
      <w:r>
        <w:rPr>
          <w:noProof/>
        </w:rPr>
        <w:t>), pak musíš ukázat způsob, skrze který (</w:t>
      </w:r>
      <w:r w:rsidRPr="00920837">
        <w:rPr>
          <w:i/>
          <w:noProof/>
        </w:rPr>
        <w:t>modum quo</w:t>
      </w:r>
      <w:r>
        <w:rPr>
          <w:noProof/>
        </w:rPr>
        <w:t>) aktivita tohoto principu je jednáním tohoto jednotlivého člověka (</w:t>
      </w:r>
      <w:r w:rsidRPr="00920837">
        <w:rPr>
          <w:i/>
          <w:noProof/>
        </w:rPr>
        <w:t>sit actio huius hominis</w:t>
      </w:r>
      <w:r>
        <w:rPr>
          <w:noProof/>
        </w:rPr>
        <w:t xml:space="preserve">).“ </w:t>
      </w:r>
      <w:r>
        <w:rPr>
          <w:rStyle w:val="Znakapoznpodarou"/>
        </w:rPr>
        <w:footnoteReference w:id="342"/>
      </w:r>
    </w:p>
    <w:p w:rsidR="08163013" w:rsidRDefault="08163013" w:rsidP="08163013">
      <w:r w:rsidRPr="00273106">
        <w:t>Citát jasně vidí intelekt jako aktivní formu (</w:t>
      </w:r>
      <w:r w:rsidRPr="00273106">
        <w:rPr>
          <w:i/>
        </w:rPr>
        <w:t>modum quo</w:t>
      </w:r>
      <w:r w:rsidRPr="00273106">
        <w:t xml:space="preserve">), který je jednak individuální a jednak nemateriální. Siger tuto možnost našel, protože četl pozorně CMDA a byl </w:t>
      </w:r>
      <w:r w:rsidR="08817394">
        <w:t xml:space="preserve">kritický </w:t>
      </w:r>
      <w:r w:rsidRPr="00273106">
        <w:t xml:space="preserve">fenomenolog. </w:t>
      </w:r>
      <w:r>
        <w:t xml:space="preserve">Jeho odpověď s fundovanou kritikou tomistického aristotelismu obsahuje spis </w:t>
      </w:r>
      <w:r w:rsidRPr="08A47D48">
        <w:rPr>
          <w:i/>
        </w:rPr>
        <w:t>De anima intell</w:t>
      </w:r>
      <w:r>
        <w:rPr>
          <w:i/>
        </w:rPr>
        <w:t>e</w:t>
      </w:r>
      <w:r w:rsidRPr="08A47D48">
        <w:rPr>
          <w:i/>
        </w:rPr>
        <w:t>ctiva</w:t>
      </w:r>
      <w:r w:rsidR="08532A97">
        <w:t xml:space="preserve"> (kap. 4</w:t>
      </w:r>
      <w:r>
        <w:t xml:space="preserve">.4.3). Teolog Akvinský vědomě odmítl Sigerovu četbu spisu </w:t>
      </w:r>
      <w:r w:rsidRPr="000059B1">
        <w:rPr>
          <w:i/>
        </w:rPr>
        <w:t>De anima</w:t>
      </w:r>
      <w:r>
        <w:t xml:space="preserve"> magistrálně danou v díle </w:t>
      </w:r>
      <w:r w:rsidRPr="081029FD">
        <w:t>QIIIDA</w:t>
      </w:r>
      <w:r>
        <w:t>. Musel ji znát, protože ji podává co do smyslu správně a Sigerův spis znali všichni vzdělaní magistři</w:t>
      </w:r>
      <w:r w:rsidRPr="086C2B94">
        <w:t xml:space="preserve"> </w:t>
      </w:r>
      <w:r>
        <w:t xml:space="preserve">v Paříži. A proto také zvolili Sigera za rektora artistů roku 1271, nejspíš pod vlivem semiaverroistické kritiky Akvinského v </w:t>
      </w:r>
      <w:proofErr w:type="gramStart"/>
      <w:r w:rsidRPr="003A482A">
        <w:rPr>
          <w:i/>
        </w:rPr>
        <w:t>De</w:t>
      </w:r>
      <w:proofErr w:type="gramEnd"/>
      <w:r w:rsidRPr="003A482A">
        <w:rPr>
          <w:i/>
        </w:rPr>
        <w:t xml:space="preserve"> unitate</w:t>
      </w:r>
      <w:r>
        <w:rPr>
          <w:i/>
        </w:rPr>
        <w:t xml:space="preserve"> </w:t>
      </w:r>
      <w:r w:rsidRPr="005C2FEB">
        <w:t>(1270).</w:t>
      </w:r>
      <w:r>
        <w:t xml:space="preserve"> A rok po Sigerově zvolení rektorem po publikaci </w:t>
      </w:r>
      <w:r w:rsidRPr="08A47D48">
        <w:rPr>
          <w:i/>
        </w:rPr>
        <w:t>De anima intell</w:t>
      </w:r>
      <w:r>
        <w:rPr>
          <w:i/>
        </w:rPr>
        <w:t>e</w:t>
      </w:r>
      <w:r w:rsidRPr="08A47D48">
        <w:rPr>
          <w:i/>
        </w:rPr>
        <w:t>ctiva</w:t>
      </w:r>
      <w:r>
        <w:t xml:space="preserve"> vydávají magistři Rue du Fouarre zásadní prohlášení zaměřené mimo jiné i proti teologům jako Akvinský. Artisté sdružení kolem svého rektora odmítli averroistické nauky těch, kteří nejsou schopni posuzovat filosofické a teologické problémy dostatečně vědecky, tedy podle správné četby </w:t>
      </w:r>
      <w:r w:rsidRPr="08E95B36">
        <w:rPr>
          <w:i/>
        </w:rPr>
        <w:t>Druhých analytik</w:t>
      </w:r>
      <w:r>
        <w:t xml:space="preserve"> postavené mimo </w:t>
      </w:r>
      <w:r w:rsidRPr="00352753">
        <w:rPr>
          <w:i/>
        </w:rPr>
        <w:t>Oxfordian Fallacy</w:t>
      </w:r>
      <w:r>
        <w:rPr>
          <w:i/>
        </w:rPr>
        <w:fldChar w:fldCharType="begin"/>
      </w:r>
      <w:r>
        <w:instrText xml:space="preserve"> XE "</w:instrText>
      </w:r>
      <w:r w:rsidRPr="0015798D">
        <w:rPr>
          <w:i/>
        </w:rPr>
        <w:instrText>Oxfordian Fallacy:</w:instrText>
      </w:r>
      <w:r>
        <w:instrText xml:space="preserve">Akvinský" </w:instrText>
      </w:r>
      <w:r>
        <w:rPr>
          <w:i/>
        </w:rPr>
        <w:fldChar w:fldCharType="end"/>
      </w:r>
      <w:r>
        <w:t xml:space="preserve">. </w:t>
      </w:r>
      <w:r w:rsidRPr="00273106">
        <w:t>Podívejme se na klíčovou pasáž</w:t>
      </w:r>
      <w:r>
        <w:t xml:space="preserve"> </w:t>
      </w:r>
      <w:r w:rsidRPr="00811B12">
        <w:rPr>
          <w:i/>
        </w:rPr>
        <w:t>De unitate</w:t>
      </w:r>
      <w:r>
        <w:t>, kterou kritizuje Siger jako averroistickou</w:t>
      </w:r>
      <w:r w:rsidRPr="00273106">
        <w:t>.</w:t>
      </w:r>
      <w:r w:rsidRPr="008D0745">
        <w:t xml:space="preserve"> </w:t>
      </w:r>
      <w:r>
        <w:t>Akvinský držel intelekt</w:t>
      </w:r>
      <w:r w:rsidRPr="00273106">
        <w:t xml:space="preserve"> </w:t>
      </w:r>
      <w:r>
        <w:t>jako částečně subsistentní formu</w:t>
      </w:r>
      <w:r w:rsidRPr="00273106">
        <w:t xml:space="preserve"> po smrti člověka danou v modu </w:t>
      </w:r>
      <w:r w:rsidRPr="00273106">
        <w:rPr>
          <w:i/>
        </w:rPr>
        <w:t>qua</w:t>
      </w:r>
      <w:r w:rsidRPr="00273106">
        <w:rPr>
          <w:i/>
          <w:vertAlign w:val="superscript"/>
        </w:rPr>
        <w:t>2</w:t>
      </w:r>
      <w:r w:rsidRPr="00273106">
        <w:t xml:space="preserve"> </w:t>
      </w:r>
      <w:r w:rsidRPr="006C7A0F">
        <w:rPr>
          <w:i/>
        </w:rPr>
        <w:fldChar w:fldCharType="begin"/>
      </w:r>
      <w:r w:rsidRPr="006C7A0F">
        <w:instrText xml:space="preserve"> XE "intelekt:modus </w:instrText>
      </w:r>
      <w:r w:rsidRPr="006C7A0F">
        <w:rPr>
          <w:i/>
        </w:rPr>
        <w:instrText>qua</w:instrText>
      </w:r>
      <w:r>
        <w:rPr>
          <w:i/>
          <w:vertAlign w:val="superscript"/>
        </w:rPr>
        <w:instrText>2</w:instrText>
      </w:r>
      <w:r w:rsidRPr="006C7A0F">
        <w:instrText xml:space="preserve">" </w:instrText>
      </w:r>
      <w:r w:rsidRPr="006C7A0F">
        <w:rPr>
          <w:i/>
        </w:rPr>
        <w:fldChar w:fldCharType="end"/>
      </w:r>
      <w:r w:rsidRPr="00273106">
        <w:t xml:space="preserve"> (</w:t>
      </w:r>
      <w:r w:rsidRPr="00273106">
        <w:rPr>
          <w:i/>
        </w:rPr>
        <w:t>intellectum, quo opinatur et intelligit anima</w:t>
      </w:r>
      <w:r w:rsidRPr="00273106">
        <w:t>).</w:t>
      </w:r>
      <w:r w:rsidRPr="00EB568C">
        <w:t xml:space="preserve"> </w:t>
      </w:r>
      <w:r>
        <w:t xml:space="preserve">Citát udělal z Averroese averroistu ve stylu výše uvedené římské disputace </w:t>
      </w:r>
      <w:r w:rsidRPr="00273106">
        <w:rPr>
          <w:i/>
        </w:rPr>
        <w:t>De spiritualibus creaturis</w:t>
      </w:r>
      <w:r>
        <w:t>.</w:t>
      </w:r>
      <w:r w:rsidRPr="00521372">
        <w:t xml:space="preserve"> </w:t>
      </w:r>
    </w:p>
    <w:p w:rsidR="08163013" w:rsidRPr="000F39E8" w:rsidRDefault="08163013" w:rsidP="08163013">
      <w:pPr>
        <w:pStyle w:val="Citace"/>
        <w:rPr>
          <w:noProof/>
          <w:lang w:val="cs-CZ"/>
        </w:rPr>
      </w:pPr>
      <w:r w:rsidRPr="00273106">
        <w:rPr>
          <w:noProof/>
          <w:lang w:val="cs-CZ"/>
        </w:rPr>
        <w:t>„</w:t>
      </w:r>
      <w:r>
        <w:rPr>
          <w:noProof/>
          <w:lang w:val="cs-CZ"/>
        </w:rPr>
        <w:t>Averroes definoval princip porozumění jako možný intelekt tak, že jeho bytí není v duši, ani není část duše, což prý platí pouze ekvivočně. Možný intelekt je substance nějak oddělená od těla (</w:t>
      </w:r>
      <w:r w:rsidRPr="000F39E8">
        <w:rPr>
          <w:i/>
          <w:noProof/>
          <w:lang w:val="cs-CZ"/>
        </w:rPr>
        <w:t>substantia quaedam separata</w:t>
      </w:r>
      <w:r>
        <w:rPr>
          <w:noProof/>
          <w:lang w:val="cs-CZ"/>
        </w:rPr>
        <w:t>). A tvrdí, že akt porozumění této substance je moje nebo jiné porozumění natolik, nakolik se tento možný intelekt se spojuje se mnou nebo s tebou (</w:t>
      </w:r>
      <w:r w:rsidRPr="000F39E8">
        <w:rPr>
          <w:i/>
          <w:noProof/>
          <w:lang w:val="cs-CZ"/>
        </w:rPr>
        <w:t>in quantum intellectus ille possibilis copulatur mihi vel tibi</w:t>
      </w:r>
      <w:r>
        <w:rPr>
          <w:noProof/>
          <w:lang w:val="cs-CZ"/>
        </w:rPr>
        <w:t xml:space="preserve">), a to skrze fantasmata, která jsou ve mně nebo v tobě.“ </w:t>
      </w:r>
      <w:r>
        <w:rPr>
          <w:rStyle w:val="Znakapoznpodarou"/>
        </w:rPr>
        <w:footnoteReference w:id="343"/>
      </w:r>
    </w:p>
    <w:p w:rsidR="00B53C52" w:rsidRDefault="08163013" w:rsidP="08163013">
      <w:r>
        <w:lastRenderedPageBreak/>
        <w:t>Akvinský myslí intelekt jako hypostázovanou formu, ale ne jako moderní substanci, což hájili druzí averroisté podle univerzálního hylemorfismu</w:t>
      </w:r>
      <w:r>
        <w:fldChar w:fldCharType="begin"/>
      </w:r>
      <w:r>
        <w:instrText xml:space="preserve"> XE "</w:instrText>
      </w:r>
      <w:r w:rsidRPr="00423560">
        <w:instrText>univerzální hylemorfismus</w:instrText>
      </w:r>
      <w:r>
        <w:instrText xml:space="preserve">" </w:instrText>
      </w:r>
      <w:r>
        <w:fldChar w:fldCharType="end"/>
      </w:r>
      <w:r>
        <w:t xml:space="preserve">. Protože má poznání podle individuální činnosti duše dané intencionálními </w:t>
      </w:r>
      <w:r w:rsidR="00962190">
        <w:rPr>
          <w:i/>
        </w:rPr>
        <w:t>species</w:t>
      </w:r>
      <w:r>
        <w:t xml:space="preserve">, nemá žádný problém s tím, aby vzal řešení CMDA o individualizaci myšlení skrze fantasmata. Averroes musí </w:t>
      </w:r>
      <w:r w:rsidRPr="00273106">
        <w:t xml:space="preserve">být averroistou, protože </w:t>
      </w:r>
      <w:r>
        <w:t xml:space="preserve">Akvinský odmítl jeho výklad intelektu jako </w:t>
      </w:r>
      <w:r w:rsidRPr="008D0745">
        <w:rPr>
          <w:i/>
        </w:rPr>
        <w:t>tertium</w:t>
      </w:r>
      <w:r>
        <w:t xml:space="preserve"> a </w:t>
      </w:r>
      <w:r w:rsidRPr="008D0745">
        <w:rPr>
          <w:i/>
        </w:rPr>
        <w:t xml:space="preserve">quartum </w:t>
      </w:r>
      <w:r w:rsidR="00962190">
        <w:rPr>
          <w:i/>
        </w:rPr>
        <w:t>genus</w:t>
      </w:r>
      <w:r>
        <w:rPr>
          <w:i/>
        </w:rPr>
        <w:fldChar w:fldCharType="begin"/>
      </w:r>
      <w:r>
        <w:instrText xml:space="preserve"> XE "</w:instrText>
      </w:r>
      <w:r w:rsidRPr="00191848">
        <w:rPr>
          <w:i/>
        </w:rPr>
        <w:instrText>quartum genus</w:instrText>
      </w:r>
      <w:r>
        <w:instrText xml:space="preserve">" </w:instrText>
      </w:r>
      <w:r>
        <w:rPr>
          <w:i/>
        </w:rPr>
        <w:fldChar w:fldCharType="end"/>
      </w:r>
      <w:r>
        <w:t xml:space="preserve">. Proto drží pouze Averroesův univerzální pojem možného intelektu jako </w:t>
      </w:r>
      <w:r w:rsidRPr="008D0745">
        <w:rPr>
          <w:i/>
        </w:rPr>
        <w:t xml:space="preserve">quartum </w:t>
      </w:r>
      <w:r w:rsidR="00962190">
        <w:rPr>
          <w:i/>
        </w:rPr>
        <w:t>genus</w:t>
      </w:r>
      <w:r>
        <w:rPr>
          <w:i/>
        </w:rPr>
        <w:fldChar w:fldCharType="begin"/>
      </w:r>
      <w:r>
        <w:instrText xml:space="preserve"> XE "</w:instrText>
      </w:r>
      <w:r w:rsidRPr="00191848">
        <w:rPr>
          <w:i/>
        </w:rPr>
        <w:instrText>quartum genus</w:instrText>
      </w:r>
      <w:r>
        <w:instrText xml:space="preserve">" </w:instrText>
      </w:r>
      <w:r>
        <w:rPr>
          <w:i/>
        </w:rPr>
        <w:fldChar w:fldCharType="end"/>
      </w:r>
      <w:r>
        <w:t xml:space="preserve"> v jeho abstraktním a objektivním </w:t>
      </w:r>
      <w:r w:rsidRPr="008D0745">
        <w:rPr>
          <w:i/>
        </w:rPr>
        <w:t>esse</w:t>
      </w:r>
      <w:r>
        <w:t xml:space="preserve">. Pak </w:t>
      </w:r>
      <w:r w:rsidRPr="00273106">
        <w:t>zbývá vzhledem ke známým „averroistickým“ textům CMDA (</w:t>
      </w:r>
      <w:r w:rsidR="08817394" w:rsidRPr="082F567C">
        <w:rPr>
          <w:szCs w:val="24"/>
        </w:rPr>
        <w:t xml:space="preserve">OBJ I, </w:t>
      </w:r>
      <w:r w:rsidRPr="00273106">
        <w:t xml:space="preserve">kap. 2.4.3) jen jedno řešení, totiž oddělený </w:t>
      </w:r>
      <w:r w:rsidRPr="00273106">
        <w:rPr>
          <w:i/>
        </w:rPr>
        <w:t>intellectus possibilis</w:t>
      </w:r>
      <w:r>
        <w:rPr>
          <w:i/>
        </w:rPr>
        <w:fldChar w:fldCharType="begin"/>
      </w:r>
      <w:r>
        <w:instrText xml:space="preserve"> XE "</w:instrText>
      </w:r>
      <w:r w:rsidRPr="00770D02">
        <w:rPr>
          <w:i/>
        </w:rPr>
        <w:instrText>intellectus possibilis</w:instrText>
      </w:r>
      <w:r>
        <w:instrText xml:space="preserve">:Akvinský" </w:instrText>
      </w:r>
      <w:r>
        <w:rPr>
          <w:i/>
        </w:rPr>
        <w:fldChar w:fldCharType="end"/>
      </w:r>
      <w:r w:rsidRPr="00273106">
        <w:t xml:space="preserve">. </w:t>
      </w:r>
      <w:r>
        <w:t xml:space="preserve">To je pro znalce CMDA jako Siger čistá sofistika. Spis </w:t>
      </w:r>
      <w:r w:rsidRPr="08CA07EE">
        <w:rPr>
          <w:i/>
        </w:rPr>
        <w:t>De unitate</w:t>
      </w:r>
      <w:r>
        <w:t xml:space="preserve"> opakuje v modu </w:t>
      </w:r>
      <w:r w:rsidRPr="08330B08">
        <w:rPr>
          <w:i/>
        </w:rPr>
        <w:t>continuatio</w:t>
      </w:r>
      <w:r>
        <w:t xml:space="preserve"> </w:t>
      </w:r>
      <w:r w:rsidRPr="00273106">
        <w:t xml:space="preserve">stejnou formulaci </w:t>
      </w:r>
      <w:r>
        <w:t>Averroesova averroismu jako výše uvedený rozbor</w:t>
      </w:r>
      <w:r w:rsidRPr="00273106">
        <w:t xml:space="preserve"> </w:t>
      </w:r>
      <w:r w:rsidRPr="00273106">
        <w:rPr>
          <w:i/>
        </w:rPr>
        <w:t>De spiritualibus creaturis</w:t>
      </w:r>
      <w:r>
        <w:rPr>
          <w:i/>
        </w:rPr>
        <w:t xml:space="preserve"> </w:t>
      </w:r>
      <w:r w:rsidRPr="00FB67FC">
        <w:t>p</w:t>
      </w:r>
      <w:r>
        <w:t>saný</w:t>
      </w:r>
      <w:r w:rsidRPr="00FB67FC">
        <w:t xml:space="preserve"> o dva roky dříve</w:t>
      </w:r>
      <w:r w:rsidR="00B53C52">
        <w:t>.</w:t>
      </w:r>
    </w:p>
    <w:p w:rsidR="00126A17" w:rsidRDefault="08163013" w:rsidP="00B53C52">
      <w:pPr>
        <w:ind w:firstLine="397"/>
      </w:pPr>
      <w:r w:rsidRPr="00273106">
        <w:t xml:space="preserve">Sigerova odpověď v </w:t>
      </w:r>
      <w:proofErr w:type="gramStart"/>
      <w:r w:rsidRPr="00273106">
        <w:rPr>
          <w:i/>
        </w:rPr>
        <w:t>De</w:t>
      </w:r>
      <w:proofErr w:type="gramEnd"/>
      <w:r w:rsidRPr="00273106">
        <w:rPr>
          <w:i/>
        </w:rPr>
        <w:t xml:space="preserve"> anima intellectiva </w:t>
      </w:r>
      <w:r w:rsidRPr="00273106">
        <w:t xml:space="preserve">a v </w:t>
      </w:r>
      <w:r>
        <w:rPr>
          <w:i/>
        </w:rPr>
        <w:t>Quaestiones</w:t>
      </w:r>
      <w:r w:rsidRPr="00273106">
        <w:rPr>
          <w:i/>
        </w:rPr>
        <w:t xml:space="preserve"> super Librum de causis</w:t>
      </w:r>
      <w:r w:rsidRPr="00273106">
        <w:rPr>
          <w:lang w:eastAsia="en-US"/>
        </w:rPr>
        <w:t xml:space="preserve"> </w:t>
      </w:r>
      <w:r w:rsidRPr="00273106">
        <w:t xml:space="preserve">reagovala </w:t>
      </w:r>
      <w:r w:rsidRPr="00273106">
        <w:rPr>
          <w:lang w:eastAsia="en-US"/>
        </w:rPr>
        <w:t>s</w:t>
      </w:r>
      <w:r w:rsidRPr="00273106">
        <w:t xml:space="preserve"> velkou pravděpodobností na </w:t>
      </w:r>
      <w:r>
        <w:t xml:space="preserve">obě citované </w:t>
      </w:r>
      <w:r w:rsidRPr="00273106">
        <w:t>pasáž</w:t>
      </w:r>
      <w:r>
        <w:t>e</w:t>
      </w:r>
      <w:r w:rsidRPr="00273106">
        <w:t xml:space="preserve"> </w:t>
      </w:r>
      <w:r w:rsidRPr="00273106">
        <w:rPr>
          <w:i/>
        </w:rPr>
        <w:t>De unitate</w:t>
      </w:r>
      <w:r>
        <w:t>, které mají</w:t>
      </w:r>
      <w:r w:rsidRPr="00273106">
        <w:t xml:space="preserve"> v j</w:t>
      </w:r>
      <w:r>
        <w:t xml:space="preserve">eho očích zásadní slabiny. Akvinský </w:t>
      </w:r>
      <w:r w:rsidRPr="00273106">
        <w:t xml:space="preserve">definuje akt myšlení v modu </w:t>
      </w:r>
      <w:r w:rsidRPr="00273106">
        <w:rPr>
          <w:i/>
        </w:rPr>
        <w:t>ipse</w:t>
      </w:r>
      <w:r w:rsidRPr="00273106">
        <w:t xml:space="preserve"> pro výkon intelektu</w:t>
      </w:r>
      <w:r>
        <w:t xml:space="preserve"> a ne osoby</w:t>
      </w:r>
      <w:r w:rsidRPr="00273106">
        <w:t xml:space="preserve">. Siger namítá, že problém je </w:t>
      </w:r>
      <w:r>
        <w:t xml:space="preserve">postavený nesprávně. Akvinským citovaný </w:t>
      </w:r>
      <w:r w:rsidRPr="00273106">
        <w:rPr>
          <w:i/>
        </w:rPr>
        <w:t>modus quo</w:t>
      </w:r>
      <w:r w:rsidRPr="00273106">
        <w:t xml:space="preserve"> patří podle </w:t>
      </w:r>
      <w:r>
        <w:t xml:space="preserve">aristotelského výkladu </w:t>
      </w:r>
      <w:r>
        <w:rPr>
          <w:i/>
        </w:rPr>
        <w:t>De anima</w:t>
      </w:r>
      <w:r w:rsidRPr="00273106">
        <w:t xml:space="preserve"> aktuální duši</w:t>
      </w:r>
      <w:r>
        <w:t xml:space="preserve"> jako formě těla</w:t>
      </w:r>
      <w:r w:rsidRPr="00273106">
        <w:t xml:space="preserve"> a ne </w:t>
      </w:r>
      <w:r>
        <w:t xml:space="preserve">hypostázovanému intelektu jako potenci. Uvedli jsme Sigerovu </w:t>
      </w:r>
      <w:r w:rsidRPr="00273106">
        <w:t xml:space="preserve">parafrázi </w:t>
      </w:r>
      <w:r>
        <w:rPr>
          <w:i/>
        </w:rPr>
        <w:t>De anima</w:t>
      </w:r>
      <w:r w:rsidRPr="00273106">
        <w:t xml:space="preserve"> 415b12‒14</w:t>
      </w:r>
      <w:r>
        <w:fldChar w:fldCharType="begin"/>
      </w:r>
      <w:r>
        <w:instrText xml:space="preserve"> XE "Aristoteles:</w:instrText>
      </w:r>
      <w:r w:rsidRPr="0016562B">
        <w:rPr>
          <w:i/>
        </w:rPr>
        <w:instrText>De anima</w:instrText>
      </w:r>
      <w:r w:rsidRPr="0016562B">
        <w:instrText xml:space="preserve"> 415b12‒14</w:instrText>
      </w:r>
      <w:r>
        <w:instrText xml:space="preserve">" </w:instrText>
      </w:r>
      <w:r>
        <w:fldChar w:fldCharType="end"/>
      </w:r>
      <w:r w:rsidRPr="00273106">
        <w:t xml:space="preserve"> (</w:t>
      </w:r>
      <w:r w:rsidRPr="00273106">
        <w:rPr>
          <w:i/>
        </w:rPr>
        <w:t>anima est qua intelligimus</w:t>
      </w:r>
      <w:r w:rsidRPr="00273106">
        <w:t xml:space="preserve">), kterou staví proti Akvinského výkladu </w:t>
      </w:r>
      <w:r>
        <w:rPr>
          <w:i/>
        </w:rPr>
        <w:t>De anima</w:t>
      </w:r>
      <w:r w:rsidRPr="00273106">
        <w:t xml:space="preserve"> 429a23</w:t>
      </w:r>
      <w:r>
        <w:fldChar w:fldCharType="begin"/>
      </w:r>
      <w:r>
        <w:instrText xml:space="preserve"> XE "Aristoteles:</w:instrText>
      </w:r>
      <w:r w:rsidRPr="0016562B">
        <w:rPr>
          <w:i/>
        </w:rPr>
        <w:instrText>De anima</w:instrText>
      </w:r>
      <w:r>
        <w:instrText xml:space="preserve"> 429a</w:instrText>
      </w:r>
      <w:r w:rsidRPr="0016562B">
        <w:instrText>2</w:instrText>
      </w:r>
      <w:r>
        <w:instrText xml:space="preserve">3" </w:instrText>
      </w:r>
      <w:r>
        <w:fldChar w:fldCharType="end"/>
      </w:r>
      <w:r w:rsidRPr="00273106">
        <w:t xml:space="preserve"> (</w:t>
      </w:r>
      <w:r w:rsidRPr="00273106">
        <w:rPr>
          <w:i/>
        </w:rPr>
        <w:t>intellectum, quo opinatur et intelligit anima</w:t>
      </w:r>
      <w:r w:rsidRPr="00273106">
        <w:t xml:space="preserve">). </w:t>
      </w:r>
      <w:r>
        <w:t xml:space="preserve">Omyl </w:t>
      </w:r>
      <w:r w:rsidRPr="00273106">
        <w:t xml:space="preserve">Akvinského z hlediska Sigera a </w:t>
      </w:r>
      <w:r>
        <w:t xml:space="preserve">tím i </w:t>
      </w:r>
      <w:r w:rsidRPr="00273106">
        <w:t>hermeneutiky objektivity je n</w:t>
      </w:r>
      <w:r>
        <w:t>aprosto zřejmý a je dán jeho chybným výkladem Averroes</w:t>
      </w:r>
      <w:r w:rsidRPr="00273106">
        <w:t>e</w:t>
      </w:r>
      <w:r>
        <w:t xml:space="preserve">. Akvinský na rozdíl od Sigera </w:t>
      </w:r>
      <w:r w:rsidRPr="00273106">
        <w:t xml:space="preserve">nebyl schopen správně interpretovat fenomenologický princip CMDA </w:t>
      </w:r>
      <w:proofErr w:type="gramStart"/>
      <w:r w:rsidRPr="00273106">
        <w:t>III.1 (</w:t>
      </w:r>
      <w:r w:rsidRPr="00273106">
        <w:rPr>
          <w:i/>
        </w:rPr>
        <w:t>scire</w:t>
      </w:r>
      <w:proofErr w:type="gramEnd"/>
      <w:r w:rsidRPr="00273106">
        <w:rPr>
          <w:i/>
        </w:rPr>
        <w:t xml:space="preserve"> enim actiones anime prius est apud nos quam scire eius substantiam</w:t>
      </w:r>
      <w:r w:rsidRPr="00273106">
        <w:t>, p. 380.37‒41</w:t>
      </w:r>
      <w:r>
        <w:fldChar w:fldCharType="begin"/>
      </w:r>
      <w:r>
        <w:instrText xml:space="preserve"> XE "Averroes:CMDA </w:instrText>
      </w:r>
      <w:r w:rsidRPr="002A5296">
        <w:instrText>380.37‒41</w:instrText>
      </w:r>
      <w:r>
        <w:instrText xml:space="preserve">" </w:instrText>
      </w:r>
      <w:r>
        <w:fldChar w:fldCharType="end"/>
      </w:r>
      <w:r w:rsidRPr="00273106">
        <w:t xml:space="preserve">). </w:t>
      </w:r>
      <w:r>
        <w:t xml:space="preserve">Teolog Akvinský potřeboval definovat </w:t>
      </w:r>
      <w:r w:rsidRPr="00273106">
        <w:t>intelekt jako další subsistentní formu vedle duše (</w:t>
      </w:r>
      <w:r w:rsidRPr="00273106">
        <w:rPr>
          <w:i/>
        </w:rPr>
        <w:t>qua</w:t>
      </w:r>
      <w:r w:rsidRPr="00273106">
        <w:rPr>
          <w:i/>
          <w:vertAlign w:val="superscript"/>
        </w:rPr>
        <w:t>2</w:t>
      </w:r>
      <w:r w:rsidRPr="006C7A0F">
        <w:rPr>
          <w:i/>
        </w:rPr>
        <w:fldChar w:fldCharType="begin"/>
      </w:r>
      <w:r w:rsidRPr="006C7A0F">
        <w:instrText xml:space="preserve"> XE "intelekt:modus </w:instrText>
      </w:r>
      <w:r w:rsidRPr="006C7A0F">
        <w:rPr>
          <w:i/>
        </w:rPr>
        <w:instrText>qua</w:instrText>
      </w:r>
      <w:r>
        <w:rPr>
          <w:i/>
          <w:vertAlign w:val="superscript"/>
        </w:rPr>
        <w:instrText>2</w:instrText>
      </w:r>
      <w:r w:rsidRPr="006C7A0F">
        <w:instrText xml:space="preserve">" </w:instrText>
      </w:r>
      <w:r w:rsidRPr="006C7A0F">
        <w:rPr>
          <w:i/>
        </w:rPr>
        <w:fldChar w:fldCharType="end"/>
      </w:r>
      <w:r w:rsidRPr="00273106">
        <w:t>)</w:t>
      </w:r>
      <w:r>
        <w:t>, aby zajistil její nesmrtelnost. Akvinský n</w:t>
      </w:r>
      <w:r w:rsidRPr="00273106">
        <w:t>avíc sofisti</w:t>
      </w:r>
      <w:r>
        <w:t xml:space="preserve">cky připsal Averroesovi falešný problém moderního </w:t>
      </w:r>
      <w:r w:rsidRPr="00273106">
        <w:t xml:space="preserve">dualismu. Oddělený </w:t>
      </w:r>
      <w:r w:rsidRPr="00273106">
        <w:rPr>
          <w:i/>
        </w:rPr>
        <w:t>intellectus possibilis</w:t>
      </w:r>
      <w:r>
        <w:t xml:space="preserve"> je prý </w:t>
      </w:r>
      <w:r w:rsidRPr="00273106">
        <w:t>spojený s individuálním aktem poznání pouze momentálním výkonem skrze fantasmata</w:t>
      </w:r>
      <w:r>
        <w:t xml:space="preserve"> (</w:t>
      </w:r>
      <w:r w:rsidRPr="08954FEB">
        <w:rPr>
          <w:i/>
        </w:rPr>
        <w:t xml:space="preserve">intellectus possibilis copulatur per </w:t>
      </w:r>
      <w:r w:rsidRPr="08954FEB">
        <w:rPr>
          <w:i/>
        </w:rPr>
        <w:lastRenderedPageBreak/>
        <w:t>fantas</w:t>
      </w:r>
      <w:r w:rsidRPr="08954FEB">
        <w:rPr>
          <w:i/>
        </w:rPr>
        <w:softHyphen/>
        <w:t>mata</w:t>
      </w:r>
      <w:r>
        <w:t>)</w:t>
      </w:r>
      <w:r w:rsidRPr="00273106">
        <w:t>. T</w:t>
      </w:r>
      <w:r>
        <w:t xml:space="preserve">omáš </w:t>
      </w:r>
      <w:r w:rsidRPr="00273106">
        <w:t xml:space="preserve">udělal z </w:t>
      </w:r>
      <w:r>
        <w:t>Averroese moderního a</w:t>
      </w:r>
      <w:r w:rsidRPr="00273106">
        <w:t xml:space="preserve">lexandrovce a předal Západu skrze </w:t>
      </w:r>
      <w:r w:rsidR="08340B2A">
        <w:t xml:space="preserve">sofistickou </w:t>
      </w:r>
      <w:r w:rsidRPr="00273106">
        <w:t xml:space="preserve">nauku prvního averroismu zásadní epochální </w:t>
      </w:r>
      <w:r w:rsidRPr="00273106">
        <w:rPr>
          <w:i/>
        </w:rPr>
        <w:t>Irrtum</w:t>
      </w:r>
      <w:r>
        <w:t xml:space="preserve">, jenž dodnes určuje objektivní výklad averroismu </w:t>
      </w:r>
      <w:r w:rsidRPr="00273106">
        <w:t xml:space="preserve">v rámci </w:t>
      </w:r>
      <w:r w:rsidRPr="00273106">
        <w:rPr>
          <w:i/>
        </w:rPr>
        <w:t>via Modernorum</w:t>
      </w:r>
      <w:r>
        <w:rPr>
          <w:i/>
        </w:rPr>
        <w:fldChar w:fldCharType="begin"/>
      </w:r>
      <w:r>
        <w:instrText xml:space="preserve"> XE "</w:instrText>
      </w:r>
      <w:r w:rsidRPr="00ED0748">
        <w:rPr>
          <w:i/>
        </w:rPr>
        <w:instrText>via Modernorum</w:instrText>
      </w:r>
      <w:r>
        <w:instrText xml:space="preserve">" </w:instrText>
      </w:r>
      <w:r>
        <w:rPr>
          <w:i/>
        </w:rPr>
        <w:fldChar w:fldCharType="end"/>
      </w:r>
      <w:r w:rsidRPr="00273106">
        <w:t xml:space="preserve">. Akvinský v tomto bodě inspiroval myšlení Aegidia Romana, který </w:t>
      </w:r>
      <w:r>
        <w:t xml:space="preserve">už před rokem </w:t>
      </w:r>
      <w:r w:rsidRPr="00273106">
        <w:t>1270 udělal s</w:t>
      </w:r>
      <w:r>
        <w:t xml:space="preserve">tejný </w:t>
      </w:r>
      <w:r w:rsidR="006A57B0">
        <w:t xml:space="preserve">tomistický </w:t>
      </w:r>
      <w:r>
        <w:t xml:space="preserve">obrat k jednotě intelektu, což ukazuje Oxfodský rukopis v komentáři k DA III </w:t>
      </w:r>
      <w:r w:rsidR="08A81137">
        <w:t>(kap. 4</w:t>
      </w:r>
      <w:r w:rsidRPr="00273106">
        <w:t xml:space="preserve">.3.2). </w:t>
      </w:r>
      <w:r>
        <w:t xml:space="preserve">Siger není moderní objektivista a sofista, ale pravdivý filosof, proto brání pravdivého arabského myslitele Averroese. Díky náhledu do vlastního výkonu existence </w:t>
      </w:r>
      <w:r w:rsidRPr="00273106">
        <w:t xml:space="preserve">lze vědecky dokázat, že máme intelektuálně danou duši. </w:t>
      </w:r>
      <w:r>
        <w:t xml:space="preserve">Filosoficky lze dokázat, že máme nemateriální myšlení oddělené od smyslů v modu </w:t>
      </w:r>
      <w:r w:rsidRPr="08D54CA2">
        <w:rPr>
          <w:i/>
        </w:rPr>
        <w:t>obiective</w:t>
      </w:r>
      <w:r>
        <w:t xml:space="preserve">, ale nikoliv teologickou tezi, že lidská duše je věčná. </w:t>
      </w:r>
      <w:r w:rsidRPr="00273106">
        <w:t>Myšlení je v naší moci</w:t>
      </w:r>
      <w:r>
        <w:t xml:space="preserve"> a zakoušení myšlení </w:t>
      </w:r>
      <w:r w:rsidRPr="00273106">
        <w:t xml:space="preserve">není odděleno od těla. Ale díky schopnosti </w:t>
      </w:r>
      <w:r>
        <w:t xml:space="preserve">duše </w:t>
      </w:r>
      <w:r w:rsidRPr="00273106">
        <w:t>přijmout intelektuální formy je myšlení od smyslového těla také zásadně</w:t>
      </w:r>
      <w:r>
        <w:t xml:space="preserve"> odlišeno v modu </w:t>
      </w:r>
      <w:r w:rsidRPr="007311F5">
        <w:rPr>
          <w:i/>
        </w:rPr>
        <w:t>separabilis</w:t>
      </w:r>
      <w:r w:rsidRPr="00273106">
        <w:t>.</w:t>
      </w:r>
    </w:p>
    <w:p w:rsidR="00A32C00" w:rsidRDefault="003D0C0B" w:rsidP="00126A17">
      <w:pPr>
        <w:ind w:firstLine="397"/>
      </w:pPr>
      <w:r w:rsidRPr="00273106">
        <w:t xml:space="preserve">Wéber viděl </w:t>
      </w:r>
      <w:r>
        <w:t>t</w:t>
      </w:r>
      <w:r w:rsidR="08163013" w:rsidRPr="00273106">
        <w:t xml:space="preserve">oto dvojí určení intelektu jako formy nebo jako potence </w:t>
      </w:r>
      <w:r w:rsidR="08163013">
        <w:t xml:space="preserve">naprosto správně jako zásadní otázku sporu </w:t>
      </w:r>
      <w:r>
        <w:t>„</w:t>
      </w:r>
      <w:r w:rsidR="08163013">
        <w:t>Akvinský‒Siger</w:t>
      </w:r>
      <w:r>
        <w:t xml:space="preserve">“. Ale </w:t>
      </w:r>
      <w:r w:rsidR="08163013" w:rsidRPr="00273106">
        <w:t xml:space="preserve">nevyložil </w:t>
      </w:r>
      <w:r w:rsidR="08163013">
        <w:t>tento spor s</w:t>
      </w:r>
      <w:r w:rsidR="08163013" w:rsidRPr="00273106">
        <w:t xml:space="preserve">právným způsobem. Po studiích Gilsona o neexistenci dvojí pravdy z 30. let a Gauthierova objevu prvního averroismu a jeho rehabilitace Sigera představuje </w:t>
      </w:r>
      <w:r w:rsidR="08163013">
        <w:t xml:space="preserve">výše citovaný </w:t>
      </w:r>
      <w:r w:rsidR="08163013" w:rsidRPr="00273106">
        <w:t xml:space="preserve">spor Wébera a Bazána nejdůležitější badatelský přínos k tomuto období. Oba autoři považují Sigera za averroistu, což </w:t>
      </w:r>
      <w:r w:rsidR="08163013">
        <w:t xml:space="preserve">není postoj této studie. </w:t>
      </w:r>
      <w:r w:rsidR="08163013" w:rsidRPr="00273106">
        <w:t xml:space="preserve">Wéber viděl obě pojetí u Akvinského (intelekt jako potence i jako forma duše) a správně interpretoval Sigerovu kritickou pozici vůči Akvinskému. Jenže udělal z Akvinského neoplatonika na způsob Avicenny a </w:t>
      </w:r>
      <w:r w:rsidR="08163013">
        <w:t xml:space="preserve">tím </w:t>
      </w:r>
      <w:r w:rsidR="08163013" w:rsidRPr="00273106">
        <w:t xml:space="preserve">zrušil </w:t>
      </w:r>
      <w:r w:rsidR="08163013">
        <w:t xml:space="preserve">substanční </w:t>
      </w:r>
      <w:r w:rsidR="08163013" w:rsidRPr="00273106">
        <w:t>jednotu</w:t>
      </w:r>
      <w:r w:rsidR="08163013">
        <w:t xml:space="preserve"> osoby</w:t>
      </w:r>
      <w:r w:rsidR="08163013" w:rsidRPr="00273106">
        <w:t xml:space="preserve">, což zásadně a správně odmítl Bazán </w:t>
      </w:r>
      <w:r w:rsidR="08163013">
        <w:fldChar w:fldCharType="begin"/>
      </w:r>
      <w:r w:rsidR="08163013">
        <w:instrText xml:space="preserve"> XE "</w:instrText>
      </w:r>
      <w:r w:rsidR="08163013" w:rsidRPr="00CC45F0">
        <w:instrText>Bazán,</w:instrText>
      </w:r>
      <w:r w:rsidR="08163013">
        <w:instrText xml:space="preserve"> C. B." </w:instrText>
      </w:r>
      <w:r w:rsidR="08163013">
        <w:fldChar w:fldCharType="end"/>
      </w:r>
      <w:r w:rsidR="08163013" w:rsidRPr="00273106">
        <w:t xml:space="preserve">ve své kritice. Jenže tento klasický tomista </w:t>
      </w:r>
      <w:r w:rsidR="08163013">
        <w:t xml:space="preserve">zase </w:t>
      </w:r>
      <w:r w:rsidR="08163013" w:rsidRPr="00273106">
        <w:t xml:space="preserve">neviděl problém, který pochopil Wéber </w:t>
      </w:r>
      <w:r w:rsidR="08163013">
        <w:fldChar w:fldCharType="begin"/>
      </w:r>
      <w:r w:rsidR="08163013">
        <w:instrText xml:space="preserve"> XE "</w:instrText>
      </w:r>
      <w:proofErr w:type="gramStart"/>
      <w:r w:rsidR="08163013" w:rsidRPr="00837705">
        <w:instrText>Wéber, E.-H.</w:instrText>
      </w:r>
      <w:proofErr w:type="gramEnd"/>
      <w:r w:rsidR="08163013">
        <w:instrText xml:space="preserve">" </w:instrText>
      </w:r>
      <w:r w:rsidR="08163013">
        <w:fldChar w:fldCharType="end"/>
      </w:r>
      <w:r w:rsidR="08163013" w:rsidRPr="00273106">
        <w:t>díky n</w:t>
      </w:r>
      <w:r w:rsidR="08163013">
        <w:t xml:space="preserve">epředpojaté četbě klíčových scholastických komentářů </w:t>
      </w:r>
      <w:r w:rsidR="08163013" w:rsidRPr="083D4AAE">
        <w:rPr>
          <w:i/>
        </w:rPr>
        <w:t>De anima</w:t>
      </w:r>
      <w:r w:rsidR="08163013">
        <w:t xml:space="preserve"> psaných do roku 1270. To dokazuje zejména Wéberova druhá monografie</w:t>
      </w:r>
      <w:r w:rsidR="08163013" w:rsidRPr="00273106">
        <w:t xml:space="preserve"> z roku 1991. </w:t>
      </w:r>
      <w:r w:rsidR="08163013">
        <w:t xml:space="preserve">Hermeneutika </w:t>
      </w:r>
      <w:r w:rsidR="08163013" w:rsidRPr="00273106">
        <w:t xml:space="preserve">zkoumá spor mezi Sigerem a Akvinským z jiného úhlu pohledu, než jaký měli oba </w:t>
      </w:r>
      <w:r w:rsidR="08163013">
        <w:t>tito moderní tomisté.</w:t>
      </w:r>
      <w:r w:rsidR="08163013" w:rsidRPr="00273106">
        <w:t xml:space="preserve"> Kdyby Wéber znal rozdíl mezi prvním a druhým a</w:t>
      </w:r>
      <w:r w:rsidR="08163013">
        <w:t>verroismem a nedělal ze Sigera averroistu</w:t>
      </w:r>
      <w:r w:rsidR="08163013" w:rsidRPr="00273106">
        <w:t xml:space="preserve"> (u Bazána</w:t>
      </w:r>
      <w:r w:rsidR="08163013">
        <w:fldChar w:fldCharType="begin"/>
      </w:r>
      <w:r w:rsidR="08163013">
        <w:instrText xml:space="preserve"> XE "</w:instrText>
      </w:r>
      <w:r w:rsidR="08163013" w:rsidRPr="00CC45F0">
        <w:instrText>Bazán,</w:instrText>
      </w:r>
      <w:r w:rsidR="08163013">
        <w:instrText xml:space="preserve"> C. B." </w:instrText>
      </w:r>
      <w:r w:rsidR="08163013">
        <w:fldChar w:fldCharType="end"/>
      </w:r>
      <w:r w:rsidR="08163013" w:rsidRPr="00273106">
        <w:t xml:space="preserve"> je to samozřejmé), tak by jeho analýza sporů ohledně statutu osoby </w:t>
      </w:r>
      <w:r w:rsidR="08163013">
        <w:t xml:space="preserve">a inteletu </w:t>
      </w:r>
      <w:r w:rsidR="08163013" w:rsidRPr="00273106">
        <w:t xml:space="preserve">v letech 1250‒1300 byla </w:t>
      </w:r>
      <w:r w:rsidR="08163013">
        <w:t>v zásadních rysech správná. Wéber</w:t>
      </w:r>
      <w:r w:rsidR="0847770D" w:rsidRPr="00DD704F">
        <w:rPr>
          <w:szCs w:val="24"/>
          <w:lang w:val="de-LU"/>
        </w:rPr>
        <w:fldChar w:fldCharType="begin"/>
      </w:r>
      <w:r w:rsidR="0847770D" w:rsidRPr="082F567C">
        <w:rPr>
          <w:szCs w:val="24"/>
        </w:rPr>
        <w:instrText xml:space="preserve"> XE "Wéber, E. H." </w:instrText>
      </w:r>
      <w:r w:rsidR="0847770D" w:rsidRPr="00DD704F">
        <w:rPr>
          <w:szCs w:val="24"/>
          <w:lang w:val="de-LU"/>
        </w:rPr>
        <w:fldChar w:fldCharType="end"/>
      </w:r>
      <w:r w:rsidR="08163013">
        <w:t xml:space="preserve"> správně analyzuje Sigerovu kritiku Akvinského a Alberta. </w:t>
      </w:r>
      <w:r w:rsidR="08163013" w:rsidRPr="00273106">
        <w:t>Předešlé kapitoly jasně ukázaly, že spor se týká odlišného postavení intelektu uvnitř prvního averroismu. Wéberova hlavní argumentace se opírá o pasáž</w:t>
      </w:r>
      <w:r w:rsidR="08163013">
        <w:t xml:space="preserve"> QIIIDA</w:t>
      </w:r>
      <w:r w:rsidR="08163013" w:rsidRPr="00273106">
        <w:t xml:space="preserve">, v níž Siger s odvoláním na Aristotela definuje intelekt </w:t>
      </w:r>
      <w:r w:rsidR="08163013" w:rsidRPr="00273106">
        <w:lastRenderedPageBreak/>
        <w:t>jako nemateriální schopnost duše (</w:t>
      </w:r>
      <w:r w:rsidR="08163013" w:rsidRPr="00273106">
        <w:rPr>
          <w:i/>
        </w:rPr>
        <w:t>perfectio</w:t>
      </w:r>
      <w:r w:rsidR="08163013" w:rsidRPr="00273106">
        <w:t>), která skrze tento výkon završuje své schopnosti (</w:t>
      </w:r>
      <w:r w:rsidR="08163013" w:rsidRPr="00E90099">
        <w:rPr>
          <w:i/>
        </w:rPr>
        <w:t>intellectum esse perfectionem quantum ad suam potestatem</w:t>
      </w:r>
      <w:r w:rsidR="08163013" w:rsidRPr="00273106">
        <w:t>).</w:t>
      </w:r>
      <w:r w:rsidR="08163013">
        <w:rPr>
          <w:rStyle w:val="Znakapoznpodarou"/>
        </w:rPr>
        <w:footnoteReference w:id="344"/>
      </w:r>
      <w:r w:rsidR="08163013">
        <w:t xml:space="preserve"> Citát </w:t>
      </w:r>
      <w:r w:rsidR="08163013" w:rsidRPr="00273106">
        <w:t>definuje intelekt jako schopnost duše (</w:t>
      </w:r>
      <w:r w:rsidR="08163013" w:rsidRPr="00273106">
        <w:rPr>
          <w:i/>
        </w:rPr>
        <w:t>perfectio</w:t>
      </w:r>
      <w:r w:rsidR="08163013" w:rsidRPr="00273106">
        <w:t xml:space="preserve">) danou na základě nemateriální potence. </w:t>
      </w:r>
      <w:r w:rsidR="08163013">
        <w:t xml:space="preserve">Siger </w:t>
      </w:r>
      <w:r w:rsidR="08163013" w:rsidRPr="00273106">
        <w:t>zdůrazňuje specifické postavení této schopn</w:t>
      </w:r>
      <w:r w:rsidR="08163013">
        <w:t>osti vzhledem k tělu. Intelekt završuje</w:t>
      </w:r>
      <w:r w:rsidR="08163013" w:rsidRPr="00273106">
        <w:t xml:space="preserve"> tělesné funkce (</w:t>
      </w:r>
      <w:r w:rsidR="08163013" w:rsidRPr="00273106">
        <w:rPr>
          <w:i/>
        </w:rPr>
        <w:t>perficit corpus</w:t>
      </w:r>
      <w:r w:rsidR="08163013">
        <w:t>) tím, že s nimi spolupracuje</w:t>
      </w:r>
      <w:r w:rsidR="08163013" w:rsidRPr="00273106">
        <w:t xml:space="preserve"> v rámci nemateriální potence (</w:t>
      </w:r>
      <w:r w:rsidR="08163013" w:rsidRPr="00273106">
        <w:rPr>
          <w:i/>
        </w:rPr>
        <w:t>quoad suam cooperationem</w:t>
      </w:r>
      <w:r w:rsidR="08163013" w:rsidRPr="00273106">
        <w:t xml:space="preserve">). </w:t>
      </w:r>
      <w:r w:rsidR="08163013">
        <w:t xml:space="preserve">To je důvod definice vztahu intelektu k tělu v modu </w:t>
      </w:r>
      <w:r w:rsidR="08163013" w:rsidRPr="00227B83">
        <w:rPr>
          <w:i/>
        </w:rPr>
        <w:t>obiective</w:t>
      </w:r>
      <w:r w:rsidR="08163013">
        <w:rPr>
          <w:i/>
        </w:rPr>
        <w:fldChar w:fldCharType="begin"/>
      </w:r>
      <w:r w:rsidR="08163013">
        <w:instrText xml:space="preserve"> XE "</w:instrText>
      </w:r>
      <w:r w:rsidR="08163013" w:rsidRPr="0077333D">
        <w:instrText>intelekt</w:instrText>
      </w:r>
      <w:r w:rsidR="08163013" w:rsidRPr="00972041">
        <w:rPr>
          <w:i/>
        </w:rPr>
        <w:instrText>:subiective/obiective</w:instrText>
      </w:r>
      <w:r w:rsidR="08163013">
        <w:instrText xml:space="preserve">" </w:instrText>
      </w:r>
      <w:r w:rsidR="08163013">
        <w:rPr>
          <w:i/>
        </w:rPr>
        <w:fldChar w:fldCharType="end"/>
      </w:r>
      <w:r w:rsidR="08163013">
        <w:t>, což má Gieleho anonym přesně podle Siger</w:t>
      </w:r>
      <w:r w:rsidR="08715E80">
        <w:t>a (kap. 4</w:t>
      </w:r>
      <w:r w:rsidR="08163013">
        <w:t xml:space="preserve">.3.1). </w:t>
      </w:r>
      <w:r w:rsidR="08163013" w:rsidRPr="00273106">
        <w:t xml:space="preserve">Siger v následující pasáži upozorňuje své protivníky, že každá odchylka od </w:t>
      </w:r>
      <w:r w:rsidR="08163013">
        <w:t xml:space="preserve">intelektu jako </w:t>
      </w:r>
      <w:r w:rsidR="08163013" w:rsidRPr="00273106">
        <w:rPr>
          <w:i/>
        </w:rPr>
        <w:t>inmixtus</w:t>
      </w:r>
      <w:r w:rsidR="08163013">
        <w:rPr>
          <w:i/>
        </w:rPr>
        <w:fldChar w:fldCharType="begin"/>
      </w:r>
      <w:r w:rsidR="08163013">
        <w:instrText xml:space="preserve"> XE "intelekt:</w:instrText>
      </w:r>
      <w:r w:rsidR="08163013" w:rsidRPr="00C11486">
        <w:rPr>
          <w:i/>
        </w:rPr>
        <w:instrText>inmixtus</w:instrText>
      </w:r>
      <w:r w:rsidR="08163013">
        <w:instrText xml:space="preserve">" </w:instrText>
      </w:r>
      <w:r w:rsidR="08163013">
        <w:rPr>
          <w:i/>
        </w:rPr>
        <w:fldChar w:fldCharType="end"/>
      </w:r>
      <w:r w:rsidR="08163013" w:rsidRPr="00273106">
        <w:t xml:space="preserve"> vzhledem k tělesně daným smyslům znamená, že intelekt přestane být nemateriální potencí duše. Oddělený intelekt tvoří jedinou potenci</w:t>
      </w:r>
      <w:r w:rsidR="08163013">
        <w:t xml:space="preserve"> (a nikoliv moderní hypostázi, formu, substanci)</w:t>
      </w:r>
      <w:r w:rsidR="08163013" w:rsidRPr="00273106">
        <w:t xml:space="preserve">, která z hlediska filosofie definuje nemateriální </w:t>
      </w:r>
      <w:r w:rsidR="08163013" w:rsidRPr="00273106">
        <w:rPr>
          <w:i/>
        </w:rPr>
        <w:t>operatio</w:t>
      </w:r>
      <w:r w:rsidR="08163013" w:rsidRPr="00273106">
        <w:t xml:space="preserve"> duše.</w:t>
      </w:r>
      <w:r w:rsidR="08163013" w:rsidRPr="00273106">
        <w:rPr>
          <w:rStyle w:val="Znakapoznpodarou"/>
        </w:rPr>
        <w:footnoteReference w:id="345"/>
      </w:r>
      <w:r w:rsidR="08163013">
        <w:t xml:space="preserve"> Jedině potence může být nemateriální (</w:t>
      </w:r>
      <w:r w:rsidR="08163013" w:rsidRPr="00D90618">
        <w:rPr>
          <w:i/>
        </w:rPr>
        <w:t xml:space="preserve">potentia </w:t>
      </w:r>
      <w:r w:rsidR="08163013" w:rsidRPr="00D90618">
        <w:rPr>
          <w:i/>
          <w:lang w:eastAsia="en-US"/>
        </w:rPr>
        <w:t xml:space="preserve">a </w:t>
      </w:r>
      <w:r w:rsidR="08163013" w:rsidRPr="00D90618">
        <w:rPr>
          <w:i/>
        </w:rPr>
        <w:t xml:space="preserve">qua egreditur operatio non est simplicior </w:t>
      </w:r>
      <w:r w:rsidR="08163013" w:rsidRPr="00D90618">
        <w:rPr>
          <w:i/>
          <w:lang w:eastAsia="en-US"/>
        </w:rPr>
        <w:t>sua substantia</w:t>
      </w:r>
      <w:r w:rsidR="08163013">
        <w:t>). Ale to znamená, že intelekt jako čistá potence nesmí obsahovat žádnou vlastní aktualitu a nesmí být hypostází.</w:t>
      </w:r>
      <w:r w:rsidR="08163013" w:rsidRPr="00273106">
        <w:t xml:space="preserve"> </w:t>
      </w:r>
      <w:r w:rsidR="08163013">
        <w:t xml:space="preserve">Filosof Siger má pouze </w:t>
      </w:r>
      <w:r w:rsidR="08163013" w:rsidRPr="00D90618">
        <w:t>potenciální</w:t>
      </w:r>
      <w:r w:rsidR="08163013">
        <w:t xml:space="preserve"> důkaz nesmrtelnosti duše skrze esenciálně definovaný intelekt, což je pro teologa Akvinského málo. I</w:t>
      </w:r>
      <w:r w:rsidR="08163013" w:rsidRPr="00273106">
        <w:t xml:space="preserve">ntelekt </w:t>
      </w:r>
      <w:r w:rsidR="08163013">
        <w:t xml:space="preserve">daný jako koncept </w:t>
      </w:r>
      <w:r w:rsidR="08163013" w:rsidRPr="00273106">
        <w:t>musí</w:t>
      </w:r>
      <w:r w:rsidR="08163013">
        <w:t xml:space="preserve"> zůstat pouze potencí. K</w:t>
      </w:r>
      <w:r w:rsidR="08163013" w:rsidRPr="00273106">
        <w:t>aždá forma aktuality by zrušila univerzální receptivní princip (</w:t>
      </w:r>
      <w:r w:rsidR="08163013" w:rsidRPr="00273106">
        <w:rPr>
          <w:rStyle w:val="st"/>
          <w:bCs/>
          <w:i/>
        </w:rPr>
        <w:t>anima</w:t>
      </w:r>
      <w:r w:rsidR="08163013" w:rsidRPr="00273106">
        <w:rPr>
          <w:rStyle w:val="st"/>
          <w:i/>
        </w:rPr>
        <w:t xml:space="preserve"> est </w:t>
      </w:r>
      <w:r w:rsidR="08163013" w:rsidRPr="00273106">
        <w:rPr>
          <w:rStyle w:val="st"/>
          <w:bCs/>
          <w:i/>
        </w:rPr>
        <w:t>quodammodo omnia</w:t>
      </w:r>
      <w:r w:rsidR="08163013" w:rsidRPr="00273106">
        <w:t xml:space="preserve">) a udělala </w:t>
      </w:r>
      <w:r w:rsidR="08163013">
        <w:t xml:space="preserve">by </w:t>
      </w:r>
      <w:r w:rsidR="08163013" w:rsidRPr="00273106">
        <w:t>z</w:t>
      </w:r>
      <w:r w:rsidR="08163013">
        <w:t xml:space="preserve"> receptivní schopnosti duše </w:t>
      </w:r>
      <w:r w:rsidR="08163013" w:rsidRPr="00273106">
        <w:t xml:space="preserve">oddělený </w:t>
      </w:r>
      <w:r w:rsidR="08163013">
        <w:t xml:space="preserve">substanční </w:t>
      </w:r>
      <w:r w:rsidR="08163013" w:rsidRPr="00273106">
        <w:rPr>
          <w:i/>
        </w:rPr>
        <w:t>intellectus possibilis</w:t>
      </w:r>
      <w:r w:rsidR="08163013" w:rsidRPr="00273106">
        <w:t xml:space="preserve">. </w:t>
      </w:r>
      <w:r w:rsidR="08163013">
        <w:t xml:space="preserve">Hypostázovaním intelektu jako čisté potence vznikla zásadní diference mezi intelektuální potencí duše danou v modu Sigerova </w:t>
      </w:r>
      <w:r w:rsidR="08163013" w:rsidRPr="00F8089B">
        <w:rPr>
          <w:i/>
        </w:rPr>
        <w:t>separabilis</w:t>
      </w:r>
      <w:r w:rsidR="08163013">
        <w:t xml:space="preserve"> a mezi Akvinského formálním intelektem daným v modu </w:t>
      </w:r>
      <w:r w:rsidR="08163013" w:rsidRPr="00F8089B">
        <w:rPr>
          <w:i/>
        </w:rPr>
        <w:t>separatus</w:t>
      </w:r>
      <w:r w:rsidR="08163013">
        <w:fldChar w:fldCharType="begin"/>
      </w:r>
      <w:r w:rsidR="08163013">
        <w:instrText xml:space="preserve"> XE "</w:instrText>
      </w:r>
      <w:r w:rsidR="08163013" w:rsidRPr="00CD5F87">
        <w:instrText>intelekt:</w:instrText>
      </w:r>
      <w:r w:rsidR="08163013" w:rsidRPr="0077333D">
        <w:rPr>
          <w:i/>
        </w:rPr>
        <w:instrText>separabilis/separatus</w:instrText>
      </w:r>
      <w:r w:rsidR="08163013">
        <w:instrText xml:space="preserve">" </w:instrText>
      </w:r>
      <w:r w:rsidR="08163013">
        <w:fldChar w:fldCharType="end"/>
      </w:r>
      <w:r w:rsidR="08163013">
        <w:t xml:space="preserve">. </w:t>
      </w:r>
      <w:r w:rsidR="08163013" w:rsidRPr="00273106">
        <w:t xml:space="preserve">Obojí pojetí </w:t>
      </w:r>
      <w:r w:rsidR="08163013">
        <w:t xml:space="preserve">jak materiálního, tak odděleného </w:t>
      </w:r>
      <w:r w:rsidR="08163013" w:rsidRPr="005B01AA">
        <w:rPr>
          <w:i/>
        </w:rPr>
        <w:t>intellectus possibilis</w:t>
      </w:r>
      <w:r w:rsidR="08163013">
        <w:t xml:space="preserve"> </w:t>
      </w:r>
      <w:r w:rsidR="08163013" w:rsidRPr="00273106">
        <w:t>je jasně odmítnuto v CMDA, což Albert a Siger dobře věděli, na rozdíl od A</w:t>
      </w:r>
      <w:r w:rsidR="00D869B1">
        <w:t>kvinského.</w:t>
      </w:r>
      <w:r w:rsidR="00A32C00">
        <w:t xml:space="preserve"> Ten </w:t>
      </w:r>
      <w:r w:rsidR="08163013">
        <w:t xml:space="preserve">musel </w:t>
      </w:r>
      <w:r w:rsidR="00A32C00">
        <w:t xml:space="preserve">reagovat na </w:t>
      </w:r>
      <w:r w:rsidR="08163013">
        <w:t xml:space="preserve">jejich </w:t>
      </w:r>
      <w:r w:rsidR="00A32C00">
        <w:t>argumenty</w:t>
      </w:r>
      <w:r w:rsidR="08163013">
        <w:t xml:space="preserve">, </w:t>
      </w:r>
      <w:r w:rsidR="00A32C00">
        <w:t>jinak by skončil u modernistů ve škole druhého averroismu.</w:t>
      </w:r>
    </w:p>
    <w:p w:rsidR="08163013" w:rsidRPr="00273106" w:rsidRDefault="00A32C00" w:rsidP="00126A17">
      <w:pPr>
        <w:ind w:firstLine="397"/>
      </w:pPr>
      <w:r>
        <w:lastRenderedPageBreak/>
        <w:t xml:space="preserve">Tomáš vyřešil </w:t>
      </w:r>
      <w:r w:rsidR="08163013">
        <w:t xml:space="preserve">aporii </w:t>
      </w:r>
      <w:r>
        <w:t xml:space="preserve">tělesně založeného nemateriálního intelektu tím, že částečně přebral argumentaci </w:t>
      </w:r>
      <w:r w:rsidR="08163013" w:rsidRPr="00273106">
        <w:t>v CMDA</w:t>
      </w:r>
      <w:r w:rsidR="08163013">
        <w:t xml:space="preserve">. Průběh poznání </w:t>
      </w:r>
      <w:r w:rsidR="08163013" w:rsidRPr="00267063">
        <w:rPr>
          <w:i/>
        </w:rPr>
        <w:t>De potestate</w:t>
      </w:r>
      <w:r w:rsidR="08163013">
        <w:t>, q. 8 se shoduje se Sigerov</w:t>
      </w:r>
      <w:r w:rsidR="08E16188">
        <w:t>ým výkladem a s Albertem (kap. 4</w:t>
      </w:r>
      <w:r w:rsidR="08163013">
        <w:t>.5.2)</w:t>
      </w:r>
      <w:r w:rsidR="08163013" w:rsidRPr="00273106">
        <w:t xml:space="preserve">. Ale </w:t>
      </w:r>
      <w:r w:rsidR="08163013">
        <w:t xml:space="preserve">spis </w:t>
      </w:r>
      <w:r w:rsidR="08163013" w:rsidRPr="00A200C6">
        <w:rPr>
          <w:i/>
        </w:rPr>
        <w:t>De unitate</w:t>
      </w:r>
      <w:r w:rsidR="08163013">
        <w:t xml:space="preserve"> </w:t>
      </w:r>
      <w:r w:rsidR="08163013" w:rsidRPr="00273106">
        <w:t xml:space="preserve">sofisticky připsal </w:t>
      </w:r>
      <w:r w:rsidR="08163013">
        <w:t xml:space="preserve">Averroesovi jen polovinu pravdy ohledně </w:t>
      </w:r>
      <w:r w:rsidR="08163013" w:rsidRPr="008E3A2E">
        <w:rPr>
          <w:i/>
        </w:rPr>
        <w:t>intellectus possib</w:t>
      </w:r>
      <w:r w:rsidR="08163013">
        <w:rPr>
          <w:i/>
        </w:rPr>
        <w:t>i</w:t>
      </w:r>
      <w:r w:rsidR="08163013" w:rsidRPr="008E3A2E">
        <w:rPr>
          <w:i/>
        </w:rPr>
        <w:t>lis</w:t>
      </w:r>
      <w:r w:rsidR="08163013">
        <w:t xml:space="preserve">, totiž jeho spojení s fantasmaty. Zbytek nauky o intelektu se </w:t>
      </w:r>
      <w:r w:rsidR="08163013" w:rsidRPr="00273106">
        <w:t xml:space="preserve">přidal k Aristotelovi, který </w:t>
      </w:r>
      <w:r w:rsidR="08163013">
        <w:t>v doslovném výkladu Tomáše hájil p</w:t>
      </w:r>
      <w:r w:rsidR="08163013" w:rsidRPr="00273106">
        <w:t xml:space="preserve">ojetí </w:t>
      </w:r>
      <w:r w:rsidR="08163013">
        <w:t xml:space="preserve">intelektu jako hypostázované formy. </w:t>
      </w:r>
      <w:r w:rsidR="081E1A9B">
        <w:t>A</w:t>
      </w:r>
      <w:r w:rsidR="08163013">
        <w:t xml:space="preserve">ristotelikové z Rue du Fouarre četli Korpus klasicky </w:t>
      </w:r>
      <w:r w:rsidR="08163013" w:rsidRPr="00273106">
        <w:rPr>
          <w:bCs/>
          <w:i/>
        </w:rPr>
        <w:t>ad mentem Averrois</w:t>
      </w:r>
      <w:r w:rsidR="08163013">
        <w:t xml:space="preserve">. Proto na rozdíl od Akvinského věděli, že </w:t>
      </w:r>
      <w:r w:rsidR="081E1A9B">
        <w:t xml:space="preserve">metafyzicky </w:t>
      </w:r>
      <w:r w:rsidR="08163013">
        <w:t xml:space="preserve">pravdivý (a nikoliv jen </w:t>
      </w:r>
      <w:r w:rsidR="081E1A9B">
        <w:t xml:space="preserve">logicky </w:t>
      </w:r>
      <w:r w:rsidR="08163013">
        <w:t xml:space="preserve">správný) výklad Korpusu potřebuje </w:t>
      </w:r>
      <w:r w:rsidR="00AF18B3">
        <w:t xml:space="preserve">exegezi </w:t>
      </w:r>
      <w:r w:rsidR="08163013">
        <w:t>Komentátora, aby byla zachována jedn</w:t>
      </w:r>
      <w:r w:rsidR="00AF18B3">
        <w:t>ota osoby a první vědy</w:t>
      </w:r>
      <w:r w:rsidR="08163013">
        <w:t xml:space="preserve">. Siger dobře věděl, že výklad CMDA je geniální v tom, že Komentátor domyslel výklad </w:t>
      </w:r>
      <w:r w:rsidR="08163013" w:rsidRPr="0010604E">
        <w:rPr>
          <w:i/>
        </w:rPr>
        <w:t>De anima</w:t>
      </w:r>
      <w:r w:rsidR="08163013">
        <w:t xml:space="preserve"> vzhledem k celku Aristotelovy metafyziky. Tím se znalost Filosofovy metafyziky v modu </w:t>
      </w:r>
      <w:r w:rsidR="08163013" w:rsidRPr="08E33566">
        <w:rPr>
          <w:i/>
        </w:rPr>
        <w:t>alétheia</w:t>
      </w:r>
      <w:r w:rsidR="08163013">
        <w:t xml:space="preserve"> liší od modernistické konstrukce v modu tomistické </w:t>
      </w:r>
      <w:r w:rsidR="08163013" w:rsidRPr="087354C2">
        <w:rPr>
          <w:i/>
        </w:rPr>
        <w:t>veritas</w:t>
      </w:r>
      <w:r w:rsidR="08163013">
        <w:t>. Znalci Komentátora vzali do úvahy celek Averroesovy „meta</w:t>
      </w:r>
      <w:r w:rsidR="08163013">
        <w:noBreakHyphen/>
        <w:t xml:space="preserve">fyziky“ a četli spis </w:t>
      </w:r>
      <w:r w:rsidR="08163013" w:rsidRPr="0010604E">
        <w:rPr>
          <w:i/>
        </w:rPr>
        <w:t>De anima</w:t>
      </w:r>
      <w:r w:rsidR="08163013">
        <w:t xml:space="preserve"> podle CMDA v paradigmatu Sicilské školy</w:t>
      </w:r>
      <w:r w:rsidR="08163013">
        <w:fldChar w:fldCharType="begin"/>
      </w:r>
      <w:r w:rsidR="08163013">
        <w:instrText xml:space="preserve"> XE "</w:instrText>
      </w:r>
      <w:r w:rsidR="08163013" w:rsidRPr="08F81A6A">
        <w:instrText>Sicilská škola</w:instrText>
      </w:r>
      <w:r w:rsidR="08163013">
        <w:instrText xml:space="preserve">" </w:instrText>
      </w:r>
      <w:r w:rsidR="08163013">
        <w:fldChar w:fldCharType="end"/>
      </w:r>
      <w:r w:rsidR="08163013">
        <w:t xml:space="preserve">. </w:t>
      </w:r>
      <w:r w:rsidR="08163013" w:rsidRPr="00273106">
        <w:t xml:space="preserve">Viz citovanou pasáž </w:t>
      </w:r>
      <w:r w:rsidR="08163013">
        <w:rPr>
          <w:i/>
        </w:rPr>
        <w:t>De anima</w:t>
      </w:r>
      <w:r w:rsidR="08163013" w:rsidRPr="00273106">
        <w:t xml:space="preserve"> 429a23</w:t>
      </w:r>
      <w:r w:rsidR="08163013">
        <w:fldChar w:fldCharType="begin"/>
      </w:r>
      <w:r w:rsidR="08163013">
        <w:instrText xml:space="preserve"> XE "Aristoteles:</w:instrText>
      </w:r>
      <w:r w:rsidR="08163013" w:rsidRPr="0084576F">
        <w:rPr>
          <w:i/>
        </w:rPr>
        <w:instrText>De anima</w:instrText>
      </w:r>
      <w:r w:rsidR="08163013" w:rsidRPr="0084576F">
        <w:instrText xml:space="preserve"> 429a23</w:instrText>
      </w:r>
      <w:r w:rsidR="08163013">
        <w:instrText xml:space="preserve">" </w:instrText>
      </w:r>
      <w:r w:rsidR="08163013">
        <w:fldChar w:fldCharType="end"/>
      </w:r>
      <w:r w:rsidR="08163013">
        <w:t xml:space="preserve"> (</w:t>
      </w:r>
      <w:r w:rsidR="08163013" w:rsidRPr="00273106">
        <w:rPr>
          <w:i/>
        </w:rPr>
        <w:t>intellectum, quo opinatur et intelligit anima</w:t>
      </w:r>
      <w:r w:rsidR="08163013">
        <w:t>)</w:t>
      </w:r>
      <w:r w:rsidR="08163013" w:rsidRPr="00273106">
        <w:t xml:space="preserve">, kterou lze vykládat mnoha způsoby. </w:t>
      </w:r>
      <w:r w:rsidR="08163013">
        <w:t xml:space="preserve">Akvinský založil tomistický aristotelismus tím, že vzal doslovně jednu pasáž, o kterou opřel teologický, ale nikoliv filosofický výklad </w:t>
      </w:r>
      <w:r w:rsidR="08163013" w:rsidRPr="007A5F37">
        <w:rPr>
          <w:i/>
        </w:rPr>
        <w:t>De anima</w:t>
      </w:r>
      <w:r w:rsidR="08163013">
        <w:t xml:space="preserve">. Tím se stalo, že dogmatická teologická výpověď o nesmrtelnosti duše po smrti těla se stala objektivní pravdou Západu skrze nově podaný aristotelismus. Aegidius </w:t>
      </w:r>
      <w:r w:rsidR="08163013" w:rsidRPr="00273106">
        <w:t>kopíroval postup Akvinského</w:t>
      </w:r>
      <w:r w:rsidR="08163013">
        <w:t xml:space="preserve"> z citované části </w:t>
      </w:r>
      <w:r w:rsidR="08163013" w:rsidRPr="00A921D8">
        <w:rPr>
          <w:i/>
        </w:rPr>
        <w:t>De unitate</w:t>
      </w:r>
      <w:r w:rsidR="08163013">
        <w:t xml:space="preserve"> a po roce 1270 vytvořil z intelektu další subsistentní formu, která dostala přímo substanční charakter. </w:t>
      </w:r>
      <w:r w:rsidR="08163013" w:rsidRPr="00273106">
        <w:t>Siger přesně viděl sofistiku Tomáše jak ohledně CMDA, tak i Aristotela. Viz následující s</w:t>
      </w:r>
      <w:r w:rsidR="08163013">
        <w:t xml:space="preserve">hrnutí aristotelismu vzatého </w:t>
      </w:r>
      <w:r w:rsidR="08163013" w:rsidRPr="00273106">
        <w:rPr>
          <w:i/>
        </w:rPr>
        <w:t>universaliter</w:t>
      </w:r>
      <w:r w:rsidR="08163013" w:rsidRPr="00273106">
        <w:t xml:space="preserve">, které představuje vrchol pochopení Aristotela na latinském Západě po </w:t>
      </w:r>
      <w:r w:rsidR="08163013">
        <w:t>Averroes</w:t>
      </w:r>
      <w:r w:rsidR="08163013" w:rsidRPr="00273106">
        <w:t>ovi.</w:t>
      </w:r>
      <w:r w:rsidR="08163013">
        <w:t xml:space="preserve"> Vlastně jde o vrchol západního aristotelismu vůbec, protože stojí mimo objektivistické výklady </w:t>
      </w:r>
      <w:r w:rsidR="08163013" w:rsidRPr="005A012D">
        <w:rPr>
          <w:i/>
        </w:rPr>
        <w:t>Modernorum</w:t>
      </w:r>
      <w:r w:rsidR="08163013">
        <w:t xml:space="preserve"> a završuje první averroismus. </w:t>
      </w:r>
      <w:r w:rsidR="08163013" w:rsidRPr="00273106">
        <w:t xml:space="preserve">Siger odmítl všechny snahy Akvinského po definici </w:t>
      </w:r>
      <w:r w:rsidR="00D869B1">
        <w:t xml:space="preserve">intelektu </w:t>
      </w:r>
      <w:r w:rsidR="08163013" w:rsidRPr="00273106">
        <w:t>jako formy</w:t>
      </w:r>
      <w:r w:rsidR="08163013">
        <w:t xml:space="preserve">, což byl </w:t>
      </w:r>
      <w:r w:rsidR="08163013" w:rsidRPr="00273106">
        <w:t>vývoj Tomášova pojetí intelektu</w:t>
      </w:r>
      <w:r w:rsidR="08163013">
        <w:t xml:space="preserve"> po redakci druhé knihy </w:t>
      </w:r>
      <w:r w:rsidR="08163013">
        <w:rPr>
          <w:i/>
        </w:rPr>
        <w:t>Summa contra G</w:t>
      </w:r>
      <w:r w:rsidR="08163013" w:rsidRPr="00D23482">
        <w:rPr>
          <w:i/>
        </w:rPr>
        <w:t>entiles</w:t>
      </w:r>
      <w:r w:rsidR="08163013" w:rsidRPr="00273106">
        <w:t xml:space="preserve">. Závěrečné odmítnutí </w:t>
      </w:r>
      <w:r w:rsidR="08163013">
        <w:t xml:space="preserve">tomistického </w:t>
      </w:r>
      <w:r w:rsidR="08163013" w:rsidRPr="00273106">
        <w:t xml:space="preserve">intelektu jako </w:t>
      </w:r>
      <w:r w:rsidR="08163013">
        <w:t xml:space="preserve">hypostázované </w:t>
      </w:r>
      <w:r w:rsidR="08163013" w:rsidRPr="00273106">
        <w:t xml:space="preserve">formy najdeme v Sigerově komentáři k </w:t>
      </w:r>
      <w:proofErr w:type="gramStart"/>
      <w:r w:rsidR="08163013" w:rsidRPr="00273106">
        <w:rPr>
          <w:i/>
        </w:rPr>
        <w:t>Liber</w:t>
      </w:r>
      <w:proofErr w:type="gramEnd"/>
      <w:r w:rsidR="08163013" w:rsidRPr="00273106">
        <w:rPr>
          <w:i/>
        </w:rPr>
        <w:t xml:space="preserve"> de causis</w:t>
      </w:r>
      <w:r w:rsidR="08163013" w:rsidRPr="00273106">
        <w:t xml:space="preserve"> (kolem 1275).</w:t>
      </w:r>
    </w:p>
    <w:p w:rsidR="08163013" w:rsidRDefault="08163013" w:rsidP="08163013">
      <w:pPr>
        <w:pStyle w:val="Citace"/>
      </w:pPr>
      <w:r w:rsidRPr="00273106">
        <w:rPr>
          <w:noProof/>
          <w:lang w:val="cs-CZ"/>
        </w:rPr>
        <w:t>„</w:t>
      </w:r>
      <w:r>
        <w:rPr>
          <w:noProof/>
          <w:lang w:val="cs-CZ"/>
        </w:rPr>
        <w:t xml:space="preserve">Někteří chtějí, aby podstata intelektuální duše byla formou člověka, protože </w:t>
      </w:r>
      <w:r w:rsidR="006577B9">
        <w:rPr>
          <w:noProof/>
          <w:lang w:val="cs-CZ"/>
        </w:rPr>
        <w:t xml:space="preserve">se tím oddělí intelektuální </w:t>
      </w:r>
      <w:r>
        <w:rPr>
          <w:noProof/>
          <w:lang w:val="cs-CZ"/>
        </w:rPr>
        <w:t xml:space="preserve">potence </w:t>
      </w:r>
      <w:r w:rsidR="006577B9">
        <w:rPr>
          <w:noProof/>
          <w:lang w:val="cs-CZ"/>
        </w:rPr>
        <w:t>od ostatních částí duše</w:t>
      </w:r>
      <w:r>
        <w:rPr>
          <w:noProof/>
          <w:lang w:val="cs-CZ"/>
        </w:rPr>
        <w:t xml:space="preserve">. </w:t>
      </w:r>
      <w:r w:rsidR="006577B9">
        <w:rPr>
          <w:noProof/>
          <w:lang w:val="cs-CZ"/>
        </w:rPr>
        <w:t>Intelekt pak n</w:t>
      </w:r>
      <w:r>
        <w:rPr>
          <w:noProof/>
          <w:lang w:val="cs-CZ"/>
        </w:rPr>
        <w:t xml:space="preserve">ení završením tělesné materie, </w:t>
      </w:r>
      <w:r w:rsidR="00512087">
        <w:rPr>
          <w:noProof/>
          <w:lang w:val="cs-CZ"/>
        </w:rPr>
        <w:t xml:space="preserve">protože </w:t>
      </w:r>
      <w:r>
        <w:rPr>
          <w:noProof/>
          <w:lang w:val="cs-CZ"/>
        </w:rPr>
        <w:t xml:space="preserve">nemá žádný </w:t>
      </w:r>
      <w:r w:rsidR="00512087">
        <w:rPr>
          <w:noProof/>
          <w:lang w:val="cs-CZ"/>
        </w:rPr>
        <w:t xml:space="preserve">tělesný </w:t>
      </w:r>
      <w:r>
        <w:rPr>
          <w:noProof/>
          <w:lang w:val="cs-CZ"/>
        </w:rPr>
        <w:t>orgán. K této pozici je přivedla následující úvaha.  Jestliže člověk rozumí, tak to musí být forma toho, čím je.  A navíc akt porozumění je separovaný od těla, protože nemá materii a orgán, který poznání završuje, ja</w:t>
      </w:r>
      <w:r w:rsidR="001A0C79">
        <w:rPr>
          <w:noProof/>
          <w:lang w:val="cs-CZ"/>
        </w:rPr>
        <w:t>ko je tomu u aktů cítění a chtění</w:t>
      </w:r>
      <w:r>
        <w:rPr>
          <w:noProof/>
          <w:lang w:val="cs-CZ"/>
        </w:rPr>
        <w:t xml:space="preserve">. Pak je intelekt schopnost oddělená </w:t>
      </w:r>
      <w:r>
        <w:rPr>
          <w:noProof/>
          <w:lang w:val="cs-CZ"/>
        </w:rPr>
        <w:lastRenderedPageBreak/>
        <w:t xml:space="preserve">od materie.  Ale tento argument nemůže obstát. Jestliže intelektuální duše je lidskou formou a završením člověka, což je plně pravdivé, pak nemůže mít nějakou oddělenou potenci a aktivitu.“ </w:t>
      </w:r>
      <w:r>
        <w:rPr>
          <w:rStyle w:val="Znakapoznpodarou"/>
        </w:rPr>
        <w:footnoteReference w:id="346"/>
      </w:r>
    </w:p>
    <w:p w:rsidR="00817FD9" w:rsidRDefault="08163013" w:rsidP="08163013">
      <w:r w:rsidRPr="00273106">
        <w:t>První věta jasně definuje Akvinského pozici</w:t>
      </w:r>
      <w:r>
        <w:t xml:space="preserve"> ve spisu</w:t>
      </w:r>
      <w:r w:rsidRPr="00273106">
        <w:t xml:space="preserve"> </w:t>
      </w:r>
      <w:r w:rsidRPr="00273106">
        <w:rPr>
          <w:i/>
        </w:rPr>
        <w:t>De unitate</w:t>
      </w:r>
      <w:r w:rsidRPr="00273106">
        <w:t xml:space="preserve">. Intelekt představuje formu, která tvoří podstatu </w:t>
      </w:r>
      <w:r w:rsidRPr="00273106">
        <w:rPr>
          <w:i/>
        </w:rPr>
        <w:t>anima intellectiva</w:t>
      </w:r>
      <w:r w:rsidRPr="00273106">
        <w:t>, protože je svou potencí oddělen od smyslových schopností duše (</w:t>
      </w:r>
      <w:r w:rsidRPr="00273106">
        <w:rPr>
          <w:i/>
        </w:rPr>
        <w:t>potentia tamen animae intellectivae sit separata</w:t>
      </w:r>
      <w:r w:rsidRPr="00273106">
        <w:t>). Akvinský obhajuje oddělenost intelektu tím, že z intelektu udělal formu, skrze kterou duše realizuje porozumění (</w:t>
      </w:r>
      <w:r w:rsidRPr="00273106">
        <w:rPr>
          <w:i/>
        </w:rPr>
        <w:t>hominis formam</w:t>
      </w:r>
      <w:r w:rsidRPr="00273106">
        <w:t xml:space="preserve">). </w:t>
      </w:r>
      <w:r>
        <w:t>T</w:t>
      </w:r>
      <w:r w:rsidRPr="00273106">
        <w:t xml:space="preserve">oto dualistické pojetí </w:t>
      </w:r>
      <w:r>
        <w:t xml:space="preserve">dvou forem v člověku </w:t>
      </w:r>
      <w:r w:rsidRPr="00273106">
        <w:t xml:space="preserve">Siger odmítl v obou komentářích </w:t>
      </w:r>
      <w:r>
        <w:rPr>
          <w:i/>
        </w:rPr>
        <w:t>De anima</w:t>
      </w:r>
      <w:r w:rsidRPr="00273106">
        <w:t xml:space="preserve"> </w:t>
      </w:r>
      <w:r w:rsidR="08F32182">
        <w:t>(kap. 4</w:t>
      </w:r>
      <w:r>
        <w:t>.4.3</w:t>
      </w:r>
      <w:r w:rsidRPr="00273106">
        <w:t>)</w:t>
      </w:r>
      <w:r>
        <w:fldChar w:fldCharType="begin"/>
      </w:r>
      <w:r>
        <w:instrText xml:space="preserve"> XE "</w:instrText>
      </w:r>
      <w:r w:rsidRPr="00731E2E">
        <w:instrText>osoba:dualismus</w:instrText>
      </w:r>
      <w:r>
        <w:instrText xml:space="preserve">" </w:instrText>
      </w:r>
      <w:r>
        <w:fldChar w:fldCharType="end"/>
      </w:r>
      <w:r w:rsidRPr="00273106">
        <w:t>. Fenomenologický pohled na intelekt jasně ukazuje, že myšlení zakoušíme a tím i víme</w:t>
      </w:r>
      <w:r>
        <w:t>, že myslíme</w:t>
      </w:r>
      <w:r w:rsidRPr="00273106">
        <w:t xml:space="preserve">. Proto </w:t>
      </w:r>
      <w:r>
        <w:t>my</w:t>
      </w:r>
      <w:r w:rsidRPr="00273106">
        <w:t>slíme jako celá bytost, tj. v aktuálním výkonu své existence (</w:t>
      </w:r>
      <w:r>
        <w:rPr>
          <w:i/>
        </w:rPr>
        <w:t>homo ipse intelligit</w:t>
      </w:r>
      <w:r>
        <w:rPr>
          <w:i/>
        </w:rPr>
        <w:fldChar w:fldCharType="begin"/>
      </w:r>
      <w:r>
        <w:instrText xml:space="preserve"> XE "</w:instrText>
      </w:r>
      <w:r w:rsidRPr="00B935DC">
        <w:rPr>
          <w:rStyle w:val="Zkladntext350"/>
        </w:rPr>
        <w:instrText>osoba</w:instrText>
      </w:r>
      <w:r w:rsidRPr="00B935DC">
        <w:rPr>
          <w:rStyle w:val="Zkladntext350"/>
          <w:i/>
        </w:rPr>
        <w:instrText>:</w:instrText>
      </w:r>
      <w:r>
        <w:rPr>
          <w:rStyle w:val="Zkladntext350"/>
          <w:i/>
        </w:rPr>
        <w:instrText>homo ipse intelligit</w:instrText>
      </w:r>
      <w:r>
        <w:instrText xml:space="preserve">" </w:instrText>
      </w:r>
      <w:r>
        <w:rPr>
          <w:i/>
        </w:rPr>
        <w:fldChar w:fldCharType="end"/>
      </w:r>
      <w:r w:rsidRPr="00273106">
        <w:t xml:space="preserve">). Sigerovo poslední známé dílo tvrdí totéž, co hlásal jeho první komentář ke třetí knize </w:t>
      </w:r>
      <w:r>
        <w:rPr>
          <w:i/>
        </w:rPr>
        <w:t xml:space="preserve">De anima </w:t>
      </w:r>
      <w:r w:rsidRPr="00BF3AC7">
        <w:t xml:space="preserve">o dekádu předtím. </w:t>
      </w:r>
      <w:r w:rsidRPr="00273106">
        <w:t>Akvinského tvrzení nemůže obstát při kritickém zkoumání skutečného výkonu intelektu jako schopnosti duše. Ne intelekt, ale celá duše je formou člověka (</w:t>
      </w:r>
      <w:r w:rsidRPr="00273106">
        <w:rPr>
          <w:i/>
        </w:rPr>
        <w:t>intellectiva anima sit hominis forma et perfectio</w:t>
      </w:r>
      <w:r>
        <w:t>). J</w:t>
      </w:r>
      <w:r w:rsidRPr="00273106">
        <w:t>inak by nemohla být zachována jednota osoby, kterou každý sám v sobě reálně, a tím i pravdivě zakoušíme</w:t>
      </w:r>
      <w:r>
        <w:t xml:space="preserve">. Proto nelze hypostázovat intelekt jako zvláštní formu vedle duše jako již dané formy </w:t>
      </w:r>
      <w:r w:rsidRPr="00273106">
        <w:t>(</w:t>
      </w:r>
      <w:r w:rsidRPr="00273106">
        <w:rPr>
          <w:i/>
        </w:rPr>
        <w:t>non potest esse potentia et operatio separata</w:t>
      </w:r>
      <w:r w:rsidRPr="00273106">
        <w:t>). Po odmítnutí fenomenologického principu Siger</w:t>
      </w:r>
      <w:r>
        <w:t xml:space="preserve">a, </w:t>
      </w:r>
      <w:r w:rsidRPr="00273106">
        <w:t>který jistě znal</w:t>
      </w:r>
      <w:r>
        <w:t xml:space="preserve"> minimálně od svého příchodu do Paříže kolem 1269, </w:t>
      </w:r>
      <w:r w:rsidRPr="00273106">
        <w:t xml:space="preserve">spadl </w:t>
      </w:r>
      <w:r>
        <w:t xml:space="preserve">Akvinský ohledně definice intelektu v člověku </w:t>
      </w:r>
      <w:r w:rsidRPr="00273106">
        <w:t xml:space="preserve">do esencialismu </w:t>
      </w:r>
      <w:r w:rsidRPr="00273106">
        <w:rPr>
          <w:i/>
        </w:rPr>
        <w:t>Oxfordian Fallacy</w:t>
      </w:r>
      <w:r>
        <w:rPr>
          <w:i/>
        </w:rPr>
        <w:fldChar w:fldCharType="begin"/>
      </w:r>
      <w:r>
        <w:instrText xml:space="preserve"> XE "</w:instrText>
      </w:r>
      <w:r w:rsidRPr="0015798D">
        <w:rPr>
          <w:i/>
        </w:rPr>
        <w:instrText>Oxfordian Fallacy:</w:instrText>
      </w:r>
      <w:r w:rsidRPr="00650652">
        <w:instrText>Akvinský</w:instrText>
      </w:r>
      <w:r>
        <w:instrText xml:space="preserve">" </w:instrText>
      </w:r>
      <w:r>
        <w:rPr>
          <w:i/>
        </w:rPr>
        <w:fldChar w:fldCharType="end"/>
      </w:r>
      <w:r w:rsidRPr="00273106">
        <w:t xml:space="preserve">. Akvinského odpověď </w:t>
      </w:r>
      <w:r>
        <w:t xml:space="preserve">je správná v tom, že </w:t>
      </w:r>
      <w:r w:rsidRPr="00273106">
        <w:t>z hlediska prvního averroismu jednoznačně dává primát subsistence pouze první substanci. Ani duše, a tím méně intelekt, není v žádném případě nějaká forma s vlastní subsistencí na způsob substance (</w:t>
      </w:r>
      <w:r w:rsidRPr="00273106">
        <w:rPr>
          <w:i/>
        </w:rPr>
        <w:t>hoc aliquid</w:t>
      </w:r>
      <w:r w:rsidRPr="00273106">
        <w:t>).</w:t>
      </w:r>
      <w:r w:rsidRPr="00273106">
        <w:rPr>
          <w:rStyle w:val="Znakapoznpodarou"/>
        </w:rPr>
        <w:footnoteReference w:id="347"/>
      </w:r>
      <w:r>
        <w:t xml:space="preserve"> Tomáš zrušil substanční mnohost danou v modernistické definici člověka, což Siger s povděkem kvituje. </w:t>
      </w:r>
      <w:r w:rsidRPr="00273106">
        <w:t xml:space="preserve">Akvinský </w:t>
      </w:r>
      <w:r>
        <w:t xml:space="preserve">však </w:t>
      </w:r>
      <w:r w:rsidRPr="00273106">
        <w:t xml:space="preserve">nebyl schopen </w:t>
      </w:r>
      <w:r>
        <w:t xml:space="preserve">koncipovat nemateriální výkon intelektu jinak než s pomocí </w:t>
      </w:r>
      <w:r w:rsidRPr="00273106">
        <w:lastRenderedPageBreak/>
        <w:t xml:space="preserve">intelektu jako </w:t>
      </w:r>
      <w:r>
        <w:t xml:space="preserve">další nemateriální a tím i oddělené </w:t>
      </w:r>
      <w:r w:rsidRPr="00273106">
        <w:t>formy</w:t>
      </w:r>
      <w:r>
        <w:t xml:space="preserve"> přidané do duše, která jako jediná je schopna zajistit duši nesmrtelnost</w:t>
      </w:r>
      <w:r w:rsidRPr="00273106">
        <w:t>.</w:t>
      </w:r>
      <w:r>
        <w:t xml:space="preserve"> Tento semiaverroistický výklad ve stylu Grossetesteho nastolil pluralitu forem v člověku</w:t>
      </w:r>
      <w:r>
        <w:fldChar w:fldCharType="begin"/>
      </w:r>
      <w:r>
        <w:instrText xml:space="preserve"> XE "</w:instrText>
      </w:r>
      <w:r w:rsidRPr="00D411E4">
        <w:instrText>osoba:pluralita forem</w:instrText>
      </w:r>
      <w:r>
        <w:instrText xml:space="preserve">" </w:instrText>
      </w:r>
      <w:r>
        <w:fldChar w:fldCharType="end"/>
      </w:r>
      <w:r w:rsidR="08EE7523">
        <w:t xml:space="preserve"> (OBJ II, kap. 3</w:t>
      </w:r>
      <w:r>
        <w:t>.1.3). Tuto pluralitu forem ale zásadně odmítl výklad CMDA hájený Sigerem a pařížskými artisty z Rue du Fouarre. Tomášův deduktivní důkaz pro intelekt běží od nemateriální esence (</w:t>
      </w:r>
      <w:r w:rsidRPr="005B2026">
        <w:rPr>
          <w:i/>
        </w:rPr>
        <w:t>qua</w:t>
      </w:r>
      <w:r w:rsidRPr="005B2026">
        <w:rPr>
          <w:i/>
          <w:vertAlign w:val="superscript"/>
        </w:rPr>
        <w:t>2</w:t>
      </w:r>
      <w:r w:rsidRPr="006C7A0F">
        <w:rPr>
          <w:i/>
        </w:rPr>
        <w:fldChar w:fldCharType="begin"/>
      </w:r>
      <w:r w:rsidRPr="006C7A0F">
        <w:instrText xml:space="preserve"> XE "intelekt:modus </w:instrText>
      </w:r>
      <w:r w:rsidRPr="006C7A0F">
        <w:rPr>
          <w:i/>
        </w:rPr>
        <w:instrText>qua</w:instrText>
      </w:r>
      <w:r>
        <w:rPr>
          <w:i/>
          <w:vertAlign w:val="superscript"/>
        </w:rPr>
        <w:instrText>2</w:instrText>
      </w:r>
      <w:r w:rsidRPr="006C7A0F">
        <w:instrText xml:space="preserve">" </w:instrText>
      </w:r>
      <w:r w:rsidRPr="006C7A0F">
        <w:rPr>
          <w:i/>
        </w:rPr>
        <w:fldChar w:fldCharType="end"/>
      </w:r>
      <w:r>
        <w:t xml:space="preserve">) ke kauzalitě individuálního aktu myšlení. Celý proces chybně pojaté dedukce je dán podle principu podaného v římských </w:t>
      </w:r>
      <w:r>
        <w:rPr>
          <w:i/>
        </w:rPr>
        <w:t>QD D</w:t>
      </w:r>
      <w:r w:rsidRPr="00273106">
        <w:rPr>
          <w:i/>
        </w:rPr>
        <w:t>e anima</w:t>
      </w:r>
      <w:r>
        <w:t>, kde je plně vidět teolo</w:t>
      </w:r>
      <w:r w:rsidR="005F4A90">
        <w:t>gický aristotelismus Akvinského</w:t>
      </w:r>
      <w:r>
        <w:t xml:space="preserve">. Možná i toto je důvod, proč Albert Veliký odmítl přijet do Paříže kolem 1269. Nechtěl </w:t>
      </w:r>
      <w:r w:rsidR="08D83783">
        <w:t xml:space="preserve">kritizovat </w:t>
      </w:r>
      <w:r>
        <w:t xml:space="preserve">svého nejlepšího žáka v jeho těžkých chvílích boje proti Bonaventurovým modernistům. Albert dobře věděl, že Tomášovo pojetí CMDA je </w:t>
      </w:r>
      <w:r w:rsidR="0020099B">
        <w:t xml:space="preserve">zásadně </w:t>
      </w:r>
      <w:r>
        <w:t xml:space="preserve">mylné. Jeho nejlepší žák považoval Averroese za averroistu a v rozporu s literou CMDA držel semiaverroistickou jednotu osoby v rámci plurality dvou nemateriálních forem, tedy duše a intelektu. Proto Albert napsal jen </w:t>
      </w:r>
      <w:r>
        <w:rPr>
          <w:szCs w:val="13"/>
        </w:rPr>
        <w:t xml:space="preserve">církevně vyžádaný posudek </w:t>
      </w:r>
      <w:r w:rsidRPr="00273106">
        <w:rPr>
          <w:szCs w:val="13"/>
        </w:rPr>
        <w:t xml:space="preserve">k </w:t>
      </w:r>
      <w:r>
        <w:rPr>
          <w:szCs w:val="13"/>
        </w:rPr>
        <w:t>pařížskému</w:t>
      </w:r>
      <w:r w:rsidRPr="00273106">
        <w:rPr>
          <w:szCs w:val="13"/>
        </w:rPr>
        <w:t xml:space="preserve"> sporu</w:t>
      </w:r>
      <w:r>
        <w:rPr>
          <w:szCs w:val="13"/>
        </w:rPr>
        <w:t xml:space="preserve"> stručným </w:t>
      </w:r>
      <w:r w:rsidR="00D41DF9">
        <w:rPr>
          <w:szCs w:val="13"/>
        </w:rPr>
        <w:t xml:space="preserve">a zcela nekontroverzním </w:t>
      </w:r>
      <w:r>
        <w:rPr>
          <w:szCs w:val="13"/>
        </w:rPr>
        <w:t xml:space="preserve">způsobem </w:t>
      </w:r>
      <w:r w:rsidRPr="00273106">
        <w:rPr>
          <w:szCs w:val="13"/>
        </w:rPr>
        <w:t>(</w:t>
      </w:r>
      <w:r w:rsidRPr="00273106">
        <w:rPr>
          <w:i/>
        </w:rPr>
        <w:t>De XV problematibus</w:t>
      </w:r>
      <w:r w:rsidRPr="00273106">
        <w:t xml:space="preserve">, </w:t>
      </w:r>
      <w:r w:rsidRPr="00273106">
        <w:rPr>
          <w:szCs w:val="13"/>
        </w:rPr>
        <w:t>1270).</w:t>
      </w:r>
      <w:r>
        <w:rPr>
          <w:szCs w:val="13"/>
        </w:rPr>
        <w:t xml:space="preserve"> </w:t>
      </w:r>
      <w:r>
        <w:t>A navíc by musel polemizovat s brilantním Sigerem a jeho školou na Rue du Fouarre, která veřejně ukázala i nedostatky Albertova v</w:t>
      </w:r>
      <w:r w:rsidR="00817FD9">
        <w:t>ýkladu CMDA</w:t>
      </w:r>
      <w:r w:rsidR="001B4DEB">
        <w:t>,</w:t>
      </w:r>
      <w:r w:rsidR="00817FD9">
        <w:t xml:space="preserve"> a nejen Akvinského.</w:t>
      </w:r>
    </w:p>
    <w:p w:rsidR="08163013" w:rsidRDefault="00817FD9" w:rsidP="006C2A1D">
      <w:pPr>
        <w:ind w:firstLine="397"/>
      </w:pPr>
      <w:r>
        <w:t xml:space="preserve">Proto </w:t>
      </w:r>
      <w:r w:rsidR="08163013">
        <w:t>je velkou otázkou, zda by Albert ve veřejné disputaci obhájil zásadní stanovisko magistrů z dubna 1272</w:t>
      </w:r>
      <w:r w:rsidR="08163013">
        <w:rPr>
          <w:szCs w:val="24"/>
        </w:rPr>
        <w:fldChar w:fldCharType="begin"/>
      </w:r>
      <w:r w:rsidR="08163013">
        <w:instrText xml:space="preserve"> XE "</w:instrText>
      </w:r>
      <w:r w:rsidR="08163013" w:rsidRPr="00FD37CA">
        <w:rPr>
          <w:szCs w:val="24"/>
        </w:rPr>
        <w:instrText>dekret artistů 1272</w:instrText>
      </w:r>
      <w:r w:rsidR="08163013">
        <w:instrText xml:space="preserve">" </w:instrText>
      </w:r>
      <w:r w:rsidR="08163013">
        <w:rPr>
          <w:szCs w:val="24"/>
        </w:rPr>
        <w:fldChar w:fldCharType="end"/>
      </w:r>
      <w:r w:rsidR="08163013">
        <w:t xml:space="preserve"> definující rodovou odlišnost teologie a filosofie podle </w:t>
      </w:r>
      <w:r w:rsidR="08163013" w:rsidRPr="08DA42F9">
        <w:rPr>
          <w:i/>
        </w:rPr>
        <w:t>Druhých analytik</w:t>
      </w:r>
      <w:r w:rsidR="08163013">
        <w:t xml:space="preserve">. Akvinského pojetí jednoty intelektu po vydání spisu </w:t>
      </w:r>
      <w:r w:rsidR="08163013" w:rsidRPr="00726FA9">
        <w:rPr>
          <w:i/>
        </w:rPr>
        <w:t>De unitate</w:t>
      </w:r>
      <w:r w:rsidR="08163013">
        <w:t xml:space="preserve"> bylo zcela jistě v rozporu s dekretem artistů. A navíc je Tomáš napadl jako averroisty už ve spisu </w:t>
      </w:r>
      <w:r w:rsidR="08163013" w:rsidRPr="08046BAB">
        <w:rPr>
          <w:i/>
        </w:rPr>
        <w:t>De unitate</w:t>
      </w:r>
      <w:r w:rsidR="08163013">
        <w:t xml:space="preserve">. A pokud Akvinský po roce 1270 nějakou disputaci se Sigerem vedl, tak o ní nevíme. Akvinský odchází z Paříže prakticky ve stejnou dobu, kdy vychází dekret pařížských sekulárních magistrů, tedy o velikonocích 1272 a je poslán na dominikánské </w:t>
      </w:r>
      <w:r w:rsidR="08163013" w:rsidRPr="08BB2344">
        <w:rPr>
          <w:i/>
        </w:rPr>
        <w:t>studium generale</w:t>
      </w:r>
      <w:r w:rsidR="08163013">
        <w:t xml:space="preserve"> do Neapole. Datum jeho odchodu z Pařížské univerzity jistě není náhodné. Pro Tomáše platilo po vydání </w:t>
      </w:r>
      <w:r w:rsidR="08163013" w:rsidRPr="085F269E">
        <w:rPr>
          <w:i/>
        </w:rPr>
        <w:t>De unitate</w:t>
      </w:r>
      <w:r w:rsidR="08163013">
        <w:t xml:space="preserve"> stejně jako pro poraženého Pechama </w:t>
      </w:r>
      <w:proofErr w:type="gramStart"/>
      <w:r w:rsidR="08163013">
        <w:t>ze</w:t>
      </w:r>
      <w:proofErr w:type="gramEnd"/>
      <w:r w:rsidR="08163013">
        <w:t xml:space="preserve"> druhého averroismu, že nejde současně bojovat na dvou frontách. Tomáš se angažoval jak proti mocensky silným mendikantským modernistům pod vedením Bonaventury, který tehdy pronášel sérii </w:t>
      </w:r>
      <w:r w:rsidR="00D9401F">
        <w:t xml:space="preserve">veřejných a </w:t>
      </w:r>
      <w:r w:rsidR="08163013">
        <w:t>zajímavých kázání o omylech přímo apokalyptického charakteru (</w:t>
      </w:r>
      <w:r w:rsidR="08163013" w:rsidRPr="001D3302">
        <w:rPr>
          <w:i/>
        </w:rPr>
        <w:t>isti errores significantur in Apocalypsi in numero nominis bestiae</w:t>
      </w:r>
      <w:r w:rsidR="08FE641C">
        <w:t>, kap. 4</w:t>
      </w:r>
      <w:r w:rsidR="08163013">
        <w:t xml:space="preserve">.1.2). A také zásadně napadl brilantního Sigera, který se stal </w:t>
      </w:r>
      <w:r w:rsidR="08163013" w:rsidRPr="08BB2344">
        <w:rPr>
          <w:i/>
        </w:rPr>
        <w:t>Expositor Novus</w:t>
      </w:r>
      <w:r w:rsidR="08163013">
        <w:rPr>
          <w:i/>
        </w:rPr>
        <w:fldChar w:fldCharType="begin"/>
      </w:r>
      <w:r w:rsidR="08163013">
        <w:instrText xml:space="preserve"> XE "</w:instrText>
      </w:r>
      <w:r w:rsidR="08163013" w:rsidRPr="08A5330E">
        <w:rPr>
          <w:i/>
        </w:rPr>
        <w:instrText>Expositor Novus</w:instrText>
      </w:r>
      <w:r w:rsidR="08163013">
        <w:instrText xml:space="preserve">" </w:instrText>
      </w:r>
      <w:r w:rsidR="08163013">
        <w:rPr>
          <w:i/>
        </w:rPr>
        <w:fldChar w:fldCharType="end"/>
      </w:r>
      <w:r w:rsidR="08163013">
        <w:t xml:space="preserve"> pro artisty na Rue du Fouarre (</w:t>
      </w:r>
      <w:r w:rsidR="08163013" w:rsidRPr="087E0919">
        <w:rPr>
          <w:i/>
        </w:rPr>
        <w:t>pars Sigeri</w:t>
      </w:r>
      <w:r w:rsidR="08163013">
        <w:t xml:space="preserve">). </w:t>
      </w:r>
      <w:r w:rsidR="08163013" w:rsidRPr="00273106">
        <w:t xml:space="preserve">Sigerova kritika </w:t>
      </w:r>
      <w:r w:rsidR="08163013">
        <w:t xml:space="preserve">v komentáři k </w:t>
      </w:r>
      <w:proofErr w:type="gramStart"/>
      <w:r w:rsidR="08163013" w:rsidRPr="08370C90">
        <w:rPr>
          <w:i/>
        </w:rPr>
        <w:t>Liber</w:t>
      </w:r>
      <w:proofErr w:type="gramEnd"/>
      <w:r w:rsidR="08163013" w:rsidRPr="08370C90">
        <w:rPr>
          <w:i/>
        </w:rPr>
        <w:t xml:space="preserve"> de causis</w:t>
      </w:r>
      <w:r w:rsidR="08163013">
        <w:t xml:space="preserve"> psaná asi </w:t>
      </w:r>
      <w:r w:rsidR="08163013" w:rsidRPr="00273106">
        <w:t xml:space="preserve">po smrti </w:t>
      </w:r>
      <w:r w:rsidR="08163013">
        <w:lastRenderedPageBreak/>
        <w:t xml:space="preserve">Akvinského (†1274) </w:t>
      </w:r>
      <w:r w:rsidR="08163013" w:rsidRPr="00273106">
        <w:t xml:space="preserve">míří k jádru jejich polemiky, tedy k identitě intelektu jako druhé formy </w:t>
      </w:r>
      <w:r w:rsidR="08163013">
        <w:t>duše při</w:t>
      </w:r>
      <w:r w:rsidR="08163013" w:rsidRPr="00273106">
        <w:t xml:space="preserve">dané </w:t>
      </w:r>
      <w:r w:rsidR="08163013">
        <w:t>zvnějšku k</w:t>
      </w:r>
      <w:r w:rsidR="08163013" w:rsidRPr="00273106">
        <w:t xml:space="preserve"> </w:t>
      </w:r>
      <w:r w:rsidR="08163013">
        <w:t>reálné ex</w:t>
      </w:r>
      <w:r w:rsidR="08163013" w:rsidRPr="00273106">
        <w:t>istenci osoby</w:t>
      </w:r>
      <w:r w:rsidR="08163013">
        <w:t>.</w:t>
      </w:r>
      <w:r w:rsidR="08163013">
        <w:rPr>
          <w:rStyle w:val="Znakapoznpodarou"/>
        </w:rPr>
        <w:footnoteReference w:id="348"/>
      </w:r>
      <w:r w:rsidR="08163013">
        <w:t xml:space="preserve"> Siger znovu potvrzuje jednotu</w:t>
      </w:r>
      <w:r w:rsidR="08163013" w:rsidRPr="00273106">
        <w:t xml:space="preserve"> osoby pouze v modu duše jako jediné subsistentní formy (</w:t>
      </w:r>
      <w:r w:rsidR="08163013" w:rsidRPr="00273106">
        <w:rPr>
          <w:i/>
        </w:rPr>
        <w:t>qua</w:t>
      </w:r>
      <w:r w:rsidR="08163013" w:rsidRPr="00273106">
        <w:rPr>
          <w:i/>
          <w:vertAlign w:val="superscript"/>
        </w:rPr>
        <w:t>1</w:t>
      </w:r>
      <w:r w:rsidR="08163013" w:rsidRPr="006C7A0F">
        <w:rPr>
          <w:i/>
        </w:rPr>
        <w:fldChar w:fldCharType="begin"/>
      </w:r>
      <w:r w:rsidR="08163013" w:rsidRPr="006C7A0F">
        <w:instrText xml:space="preserve"> XE "intelekt:modus </w:instrText>
      </w:r>
      <w:r w:rsidR="08163013" w:rsidRPr="006C7A0F">
        <w:rPr>
          <w:i/>
        </w:rPr>
        <w:instrText>qua</w:instrText>
      </w:r>
      <w:r w:rsidR="08163013">
        <w:rPr>
          <w:i/>
          <w:vertAlign w:val="superscript"/>
        </w:rPr>
        <w:instrText>1</w:instrText>
      </w:r>
      <w:r w:rsidR="08163013" w:rsidRPr="006C7A0F">
        <w:instrText xml:space="preserve">" </w:instrText>
      </w:r>
      <w:r w:rsidR="08163013" w:rsidRPr="006C7A0F">
        <w:rPr>
          <w:i/>
        </w:rPr>
        <w:fldChar w:fldCharType="end"/>
      </w:r>
      <w:r w:rsidR="08163013" w:rsidRPr="00273106">
        <w:t xml:space="preserve">). K aktu </w:t>
      </w:r>
      <w:r w:rsidR="08163013">
        <w:t xml:space="preserve">individuální tělesné </w:t>
      </w:r>
      <w:r w:rsidR="08163013" w:rsidRPr="00273106">
        <w:t>subsistence této formy patří všechny potence a činnosti, dané ať materiálně nebo nemateriálně (</w:t>
      </w:r>
      <w:r w:rsidR="08163013" w:rsidRPr="00273106">
        <w:rPr>
          <w:i/>
        </w:rPr>
        <w:t>eius substantia sit actus et perfectio ipsius materiae sic etiam et eius potentia</w:t>
      </w:r>
      <w:r w:rsidR="08163013" w:rsidRPr="00273106">
        <w:t xml:space="preserve">). </w:t>
      </w:r>
      <w:r w:rsidR="08163013">
        <w:t>Akvinský nedostatečně vyložil</w:t>
      </w:r>
      <w:r w:rsidR="08163013" w:rsidRPr="00273106">
        <w:t xml:space="preserve"> pojetí </w:t>
      </w:r>
      <w:r w:rsidR="08163013" w:rsidRPr="00273106">
        <w:rPr>
          <w:i/>
        </w:rPr>
        <w:t>intellectus possibilis</w:t>
      </w:r>
      <w:r w:rsidR="08163013">
        <w:rPr>
          <w:i/>
        </w:rPr>
        <w:fldChar w:fldCharType="begin"/>
      </w:r>
      <w:r w:rsidR="08163013">
        <w:instrText xml:space="preserve"> XE "</w:instrText>
      </w:r>
      <w:r w:rsidR="08163013" w:rsidRPr="00770D02">
        <w:rPr>
          <w:i/>
        </w:rPr>
        <w:instrText>intellectus possibilis</w:instrText>
      </w:r>
      <w:r w:rsidR="08163013">
        <w:rPr>
          <w:i/>
        </w:rPr>
        <w:instrText>:</w:instrText>
      </w:r>
      <w:r w:rsidR="08163013" w:rsidRPr="00A97419">
        <w:instrText>Akvinský</w:instrText>
      </w:r>
      <w:r w:rsidR="08163013">
        <w:instrText xml:space="preserve">" </w:instrText>
      </w:r>
      <w:r w:rsidR="08163013">
        <w:rPr>
          <w:i/>
        </w:rPr>
        <w:fldChar w:fldCharType="end"/>
      </w:r>
      <w:r w:rsidR="08163013" w:rsidRPr="00273106">
        <w:rPr>
          <w:i/>
        </w:rPr>
        <w:t xml:space="preserve"> </w:t>
      </w:r>
      <w:r w:rsidR="08163013" w:rsidRPr="00273106">
        <w:t xml:space="preserve">v CMDA a </w:t>
      </w:r>
      <w:r w:rsidR="08163013">
        <w:t xml:space="preserve">definoval </w:t>
      </w:r>
      <w:r w:rsidR="08163013" w:rsidRPr="00273106">
        <w:t xml:space="preserve">pouze jeho oddělenou složku. </w:t>
      </w:r>
      <w:r w:rsidR="08163013">
        <w:t>N</w:t>
      </w:r>
      <w:r w:rsidR="08163013" w:rsidRPr="00273106">
        <w:t>edostatečn</w:t>
      </w:r>
      <w:r w:rsidR="08163013">
        <w:t xml:space="preserve">á </w:t>
      </w:r>
      <w:r w:rsidR="08163013" w:rsidRPr="00273106">
        <w:t>znalost CMDA</w:t>
      </w:r>
      <w:r w:rsidR="08163013">
        <w:t xml:space="preserve"> a filosofická sofistika nutná pro zajištění teologického postulátu nesmrtelnosti duše udělala z Averroes</w:t>
      </w:r>
      <w:r w:rsidR="08163013" w:rsidRPr="00273106">
        <w:t xml:space="preserve">e averroistu skrze </w:t>
      </w:r>
      <w:r w:rsidR="08163013">
        <w:t>tezi o odděleném</w:t>
      </w:r>
      <w:r w:rsidR="08163013" w:rsidRPr="00273106">
        <w:t xml:space="preserve"> </w:t>
      </w:r>
      <w:r w:rsidR="08163013" w:rsidRPr="00273106">
        <w:rPr>
          <w:i/>
        </w:rPr>
        <w:t>intellectus possibilis</w:t>
      </w:r>
      <w:r w:rsidR="08163013" w:rsidRPr="00273106">
        <w:t xml:space="preserve">. Siger na rozdíl od Akvinského dobře věděl, že </w:t>
      </w:r>
      <w:r w:rsidR="08163013">
        <w:t>Averroes</w:t>
      </w:r>
      <w:r w:rsidR="08163013" w:rsidRPr="00273106">
        <w:t xml:space="preserve"> nebyl averroistou. </w:t>
      </w:r>
      <w:r w:rsidR="08163013" w:rsidRPr="00273106">
        <w:rPr>
          <w:rStyle w:val="ref"/>
        </w:rPr>
        <w:t xml:space="preserve">Sigerova kritika v </w:t>
      </w:r>
      <w:proofErr w:type="gramStart"/>
      <w:r w:rsidR="08163013" w:rsidRPr="00273106">
        <w:rPr>
          <w:rStyle w:val="ref"/>
          <w:i/>
        </w:rPr>
        <w:t>De</w:t>
      </w:r>
      <w:proofErr w:type="gramEnd"/>
      <w:r w:rsidR="08163013" w:rsidRPr="00273106">
        <w:rPr>
          <w:rStyle w:val="ref"/>
          <w:i/>
        </w:rPr>
        <w:t xml:space="preserve"> anima intellectiva</w:t>
      </w:r>
      <w:r w:rsidR="08163013" w:rsidRPr="00273106">
        <w:rPr>
          <w:rStyle w:val="ref"/>
        </w:rPr>
        <w:t xml:space="preserve"> považuje za hlavní bod argumentace výše citovaný Tomášův výklad Aristotelovy </w:t>
      </w:r>
      <w:r w:rsidR="08163013">
        <w:rPr>
          <w:rStyle w:val="ref"/>
          <w:i/>
        </w:rPr>
        <w:t>De anima</w:t>
      </w:r>
      <w:r w:rsidR="08163013" w:rsidRPr="00273106">
        <w:rPr>
          <w:rStyle w:val="ref"/>
        </w:rPr>
        <w:t xml:space="preserve"> </w:t>
      </w:r>
      <w:r w:rsidR="08163013" w:rsidRPr="00273106">
        <w:t>429a23</w:t>
      </w:r>
      <w:r w:rsidR="08163013">
        <w:fldChar w:fldCharType="begin"/>
      </w:r>
      <w:r w:rsidR="08163013">
        <w:instrText xml:space="preserve"> XE "Aristoteles:</w:instrText>
      </w:r>
      <w:r w:rsidR="08163013" w:rsidRPr="00DE5344">
        <w:rPr>
          <w:rStyle w:val="ref"/>
          <w:i/>
        </w:rPr>
        <w:instrText>De anima</w:instrText>
      </w:r>
      <w:r w:rsidR="08163013" w:rsidRPr="00DE5344">
        <w:rPr>
          <w:rStyle w:val="ref"/>
        </w:rPr>
        <w:instrText xml:space="preserve"> </w:instrText>
      </w:r>
      <w:r w:rsidR="08163013" w:rsidRPr="00DE5344">
        <w:instrText>429a23</w:instrText>
      </w:r>
      <w:r w:rsidR="08163013">
        <w:instrText xml:space="preserve">" </w:instrText>
      </w:r>
      <w:r w:rsidR="08163013">
        <w:fldChar w:fldCharType="end"/>
      </w:r>
      <w:r w:rsidR="08163013" w:rsidRPr="00273106">
        <w:t xml:space="preserve"> (</w:t>
      </w:r>
      <w:r w:rsidR="08163013" w:rsidRPr="00273106">
        <w:rPr>
          <w:i/>
        </w:rPr>
        <w:t>intellectum, quo opinatur et intelligit anima</w:t>
      </w:r>
      <w:r w:rsidR="08163013" w:rsidRPr="00273106">
        <w:t xml:space="preserve">). </w:t>
      </w:r>
      <w:r w:rsidR="08163013">
        <w:t>Siger o</w:t>
      </w:r>
      <w:r w:rsidR="08163013" w:rsidRPr="00273106">
        <w:t xml:space="preserve">dmítá jak Akvinského výklad </w:t>
      </w:r>
      <w:r w:rsidR="08163013">
        <w:t>Averroes</w:t>
      </w:r>
      <w:r w:rsidR="08163013" w:rsidRPr="00273106">
        <w:t xml:space="preserve">e, tak i Tomášův výklad odděleného intelektu jako </w:t>
      </w:r>
      <w:r w:rsidR="00882305">
        <w:t xml:space="preserve">další </w:t>
      </w:r>
      <w:r w:rsidR="08163013" w:rsidRPr="00273106">
        <w:t>formy</w:t>
      </w:r>
      <w:r w:rsidR="08163013">
        <w:t xml:space="preserve"> </w:t>
      </w:r>
      <w:r w:rsidR="00882305">
        <w:t>v duši</w:t>
      </w:r>
      <w:r w:rsidR="08163013" w:rsidRPr="00273106">
        <w:t xml:space="preserve">. </w:t>
      </w:r>
      <w:r w:rsidR="08163013">
        <w:t xml:space="preserve">Akvinský tento výklad považuje za autenticky aristotelský, což ukazuje jeho výklad </w:t>
      </w:r>
      <w:r w:rsidR="08163013" w:rsidRPr="003B37DA">
        <w:rPr>
          <w:i/>
        </w:rPr>
        <w:t>De anima</w:t>
      </w:r>
      <w:r w:rsidR="08163013">
        <w:t xml:space="preserve"> přednášený v Římě kolem 1268. Komentář cituje </w:t>
      </w:r>
      <w:r w:rsidR="08163013">
        <w:rPr>
          <w:i/>
        </w:rPr>
        <w:t>De anima</w:t>
      </w:r>
      <w:r w:rsidR="08163013" w:rsidRPr="00273106">
        <w:t xml:space="preserve"> 429a23</w:t>
      </w:r>
      <w:r w:rsidR="08163013">
        <w:fldChar w:fldCharType="begin"/>
      </w:r>
      <w:r w:rsidR="08163013">
        <w:instrText xml:space="preserve"> XE "Aristoteles:</w:instrText>
      </w:r>
      <w:r w:rsidR="08163013" w:rsidRPr="00DE5344">
        <w:rPr>
          <w:rStyle w:val="ref"/>
          <w:i/>
        </w:rPr>
        <w:instrText>De anima</w:instrText>
      </w:r>
      <w:r w:rsidR="08163013" w:rsidRPr="00DE5344">
        <w:rPr>
          <w:rStyle w:val="ref"/>
        </w:rPr>
        <w:instrText xml:space="preserve"> </w:instrText>
      </w:r>
      <w:r w:rsidR="08163013" w:rsidRPr="00DE5344">
        <w:instrText>429a23</w:instrText>
      </w:r>
      <w:r w:rsidR="08163013">
        <w:instrText xml:space="preserve">" </w:instrText>
      </w:r>
      <w:r w:rsidR="08163013">
        <w:fldChar w:fldCharType="end"/>
      </w:r>
      <w:r w:rsidR="08163013">
        <w:t xml:space="preserve"> (</w:t>
      </w:r>
      <w:r w:rsidR="08163013" w:rsidRPr="00273106">
        <w:rPr>
          <w:bCs/>
          <w:i/>
          <w:iCs/>
        </w:rPr>
        <w:t>intellectum possibilem, quo intelligit anima</w:t>
      </w:r>
      <w:r w:rsidR="08163013">
        <w:t xml:space="preserve">) a </w:t>
      </w:r>
      <w:r w:rsidR="08163013" w:rsidRPr="00273106">
        <w:t>považuje intelekt za aktuálně danou formu v duši (</w:t>
      </w:r>
      <w:r w:rsidR="08163013" w:rsidRPr="00273106">
        <w:rPr>
          <w:i/>
        </w:rPr>
        <w:t>qua</w:t>
      </w:r>
      <w:r w:rsidR="08163013" w:rsidRPr="00273106">
        <w:rPr>
          <w:i/>
          <w:vertAlign w:val="superscript"/>
        </w:rPr>
        <w:t>2</w:t>
      </w:r>
      <w:r w:rsidR="08163013" w:rsidRPr="006C7A0F">
        <w:rPr>
          <w:i/>
        </w:rPr>
        <w:fldChar w:fldCharType="begin"/>
      </w:r>
      <w:r w:rsidR="08163013" w:rsidRPr="006C7A0F">
        <w:instrText xml:space="preserve"> XE "intelekt:modus </w:instrText>
      </w:r>
      <w:r w:rsidR="08163013" w:rsidRPr="006C7A0F">
        <w:rPr>
          <w:i/>
        </w:rPr>
        <w:instrText>qua</w:instrText>
      </w:r>
      <w:r w:rsidR="08163013">
        <w:rPr>
          <w:i/>
          <w:vertAlign w:val="superscript"/>
        </w:rPr>
        <w:instrText>2</w:instrText>
      </w:r>
      <w:r w:rsidR="08163013" w:rsidRPr="006C7A0F">
        <w:instrText xml:space="preserve">" </w:instrText>
      </w:r>
      <w:r w:rsidR="08163013" w:rsidRPr="006C7A0F">
        <w:rPr>
          <w:i/>
        </w:rPr>
        <w:fldChar w:fldCharType="end"/>
      </w:r>
      <w:r w:rsidR="08163013" w:rsidRPr="00273106">
        <w:t>).</w:t>
      </w:r>
      <w:r w:rsidR="08163013">
        <w:rPr>
          <w:rStyle w:val="Znakapoznpodarou"/>
        </w:rPr>
        <w:footnoteReference w:id="349"/>
      </w:r>
      <w:r w:rsidR="08163013">
        <w:t xml:space="preserve"> </w:t>
      </w:r>
      <w:r w:rsidR="08163013" w:rsidRPr="00273106">
        <w:t xml:space="preserve">Siger upozorňuje, že </w:t>
      </w:r>
      <w:r w:rsidR="08163013">
        <w:t xml:space="preserve">Aristotelovu větu </w:t>
      </w:r>
      <w:r w:rsidR="08163013" w:rsidRPr="00273106">
        <w:rPr>
          <w:bCs/>
          <w:iCs/>
        </w:rPr>
        <w:t>je třeba chápat v kontextu aktu bytí první substance</w:t>
      </w:r>
      <w:r w:rsidR="08163013">
        <w:rPr>
          <w:bCs/>
          <w:iCs/>
        </w:rPr>
        <w:t xml:space="preserve"> a ne hypostázovaného intelektu jako formy</w:t>
      </w:r>
      <w:r w:rsidR="08163013" w:rsidRPr="00273106">
        <w:rPr>
          <w:bCs/>
          <w:iCs/>
        </w:rPr>
        <w:t xml:space="preserve">. </w:t>
      </w:r>
      <w:r w:rsidR="08163013">
        <w:rPr>
          <w:bCs/>
          <w:iCs/>
        </w:rPr>
        <w:t xml:space="preserve">To ale tvrdí </w:t>
      </w:r>
      <w:r w:rsidR="08163013" w:rsidRPr="00273106">
        <w:rPr>
          <w:bCs/>
          <w:iCs/>
        </w:rPr>
        <w:t xml:space="preserve">Tomášův </w:t>
      </w:r>
      <w:r w:rsidR="08163013">
        <w:rPr>
          <w:bCs/>
          <w:iCs/>
        </w:rPr>
        <w:t xml:space="preserve">citovaný římský </w:t>
      </w:r>
      <w:r w:rsidR="08163013" w:rsidRPr="00273106">
        <w:rPr>
          <w:bCs/>
          <w:iCs/>
        </w:rPr>
        <w:t xml:space="preserve">výklad </w:t>
      </w:r>
      <w:r w:rsidR="08163013">
        <w:rPr>
          <w:bCs/>
          <w:i/>
          <w:iCs/>
        </w:rPr>
        <w:t>De anima</w:t>
      </w:r>
      <w:r w:rsidR="08163013" w:rsidRPr="00273106">
        <w:rPr>
          <w:bCs/>
          <w:iCs/>
        </w:rPr>
        <w:t xml:space="preserve"> a také jeho následné pokračování v </w:t>
      </w:r>
      <w:proofErr w:type="gramStart"/>
      <w:r w:rsidR="08163013" w:rsidRPr="00273106">
        <w:rPr>
          <w:bCs/>
          <w:i/>
          <w:iCs/>
        </w:rPr>
        <w:t>De</w:t>
      </w:r>
      <w:proofErr w:type="gramEnd"/>
      <w:r w:rsidR="08163013" w:rsidRPr="00273106">
        <w:rPr>
          <w:bCs/>
          <w:i/>
          <w:iCs/>
        </w:rPr>
        <w:t xml:space="preserve"> unitate</w:t>
      </w:r>
      <w:r w:rsidR="08163013" w:rsidRPr="00273106">
        <w:rPr>
          <w:bCs/>
          <w:iCs/>
        </w:rPr>
        <w:t xml:space="preserve">, </w:t>
      </w:r>
      <w:r w:rsidR="08163013">
        <w:rPr>
          <w:bCs/>
          <w:iCs/>
        </w:rPr>
        <w:t xml:space="preserve">které na adresu artistů v Rue du Fouarre dodává, že jiné řešení neexistuje. </w:t>
      </w:r>
      <w:r w:rsidR="08163013" w:rsidRPr="00273106">
        <w:rPr>
          <w:bCs/>
          <w:iCs/>
        </w:rPr>
        <w:t>Siger správně vidí, že Akvinského defi</w:t>
      </w:r>
      <w:r w:rsidR="08163013">
        <w:rPr>
          <w:bCs/>
          <w:iCs/>
        </w:rPr>
        <w:t>ni</w:t>
      </w:r>
      <w:r w:rsidR="08163013" w:rsidRPr="00273106">
        <w:rPr>
          <w:bCs/>
          <w:iCs/>
        </w:rPr>
        <w:t xml:space="preserve">ce </w:t>
      </w:r>
      <w:r w:rsidR="08163013" w:rsidRPr="00273106">
        <w:rPr>
          <w:bCs/>
          <w:i/>
          <w:iCs/>
        </w:rPr>
        <w:t>anima intellectiva</w:t>
      </w:r>
      <w:r w:rsidR="08163013" w:rsidRPr="00273106">
        <w:rPr>
          <w:bCs/>
          <w:iCs/>
        </w:rPr>
        <w:t xml:space="preserve"> nedosahuje vysoké kvality Albertovy interpretace CMDA. Stačí si porovnat výklad </w:t>
      </w:r>
      <w:r w:rsidR="08163013" w:rsidRPr="00273106">
        <w:rPr>
          <w:bCs/>
          <w:i/>
          <w:iCs/>
        </w:rPr>
        <w:t>De unitate</w:t>
      </w:r>
      <w:r w:rsidR="08163013" w:rsidRPr="00273106">
        <w:rPr>
          <w:bCs/>
          <w:iCs/>
        </w:rPr>
        <w:t xml:space="preserve"> s výše uvedeným Albertovým výkladem </w:t>
      </w:r>
      <w:r w:rsidR="08163013">
        <w:rPr>
          <w:bCs/>
          <w:i/>
          <w:iCs/>
        </w:rPr>
        <w:t>De anima</w:t>
      </w:r>
      <w:r w:rsidR="08163013" w:rsidRPr="00273106">
        <w:rPr>
          <w:bCs/>
          <w:iCs/>
        </w:rPr>
        <w:t>, který odmítá intelekt jako subsistentní formu, protože jde o skrytý avicennismus</w:t>
      </w:r>
      <w:r w:rsidR="08163013">
        <w:rPr>
          <w:bCs/>
          <w:iCs/>
        </w:rPr>
        <w:t xml:space="preserve"> (</w:t>
      </w:r>
      <w:r w:rsidR="088C2FDB">
        <w:rPr>
          <w:bCs/>
          <w:iCs/>
        </w:rPr>
        <w:t>OBJ II, kap. 2</w:t>
      </w:r>
      <w:r w:rsidR="08163013">
        <w:rPr>
          <w:bCs/>
          <w:iCs/>
        </w:rPr>
        <w:t>.4.3)</w:t>
      </w:r>
      <w:r w:rsidR="08163013" w:rsidRPr="00273106">
        <w:rPr>
          <w:bCs/>
          <w:iCs/>
        </w:rPr>
        <w:t xml:space="preserve">. </w:t>
      </w:r>
      <w:r w:rsidR="08163013" w:rsidRPr="00273106">
        <w:t xml:space="preserve">Albert správně vidí </w:t>
      </w:r>
      <w:r w:rsidR="08163013" w:rsidRPr="00273106">
        <w:lastRenderedPageBreak/>
        <w:t xml:space="preserve">jako Siger, že jakákoliv snaha hypostázovat </w:t>
      </w:r>
      <w:r w:rsidR="08163013" w:rsidRPr="00273106">
        <w:rPr>
          <w:i/>
        </w:rPr>
        <w:t>intellectus speculativus</w:t>
      </w:r>
      <w:r w:rsidR="08163013">
        <w:rPr>
          <w:i/>
        </w:rPr>
        <w:fldChar w:fldCharType="begin"/>
      </w:r>
      <w:r w:rsidR="08163013">
        <w:instrText xml:space="preserve"> XE "</w:instrText>
      </w:r>
      <w:r w:rsidR="08163013">
        <w:rPr>
          <w:i/>
        </w:rPr>
        <w:instrText>intellectus speculativus</w:instrText>
      </w:r>
      <w:r w:rsidR="08163013">
        <w:instrText xml:space="preserve">" </w:instrText>
      </w:r>
      <w:r w:rsidR="08163013">
        <w:rPr>
          <w:i/>
        </w:rPr>
        <w:fldChar w:fldCharType="end"/>
      </w:r>
      <w:r w:rsidR="08163013" w:rsidRPr="00273106">
        <w:t xml:space="preserve"> (a tím spíše </w:t>
      </w:r>
      <w:r w:rsidR="08163013" w:rsidRPr="00273106">
        <w:rPr>
          <w:i/>
        </w:rPr>
        <w:t>possibilis</w:t>
      </w:r>
      <w:r w:rsidR="08163013" w:rsidRPr="00273106">
        <w:t>) na způsob formy vede k avicennismu a k pluralitě substancí v člověku.</w:t>
      </w:r>
      <w:bookmarkStart w:id="62" w:name="_Ref409796221"/>
      <w:r w:rsidR="08163013">
        <w:t xml:space="preserve"> Albert odmítá každé pojetí </w:t>
      </w:r>
      <w:r w:rsidR="08163013" w:rsidRPr="009D1BAA">
        <w:rPr>
          <w:i/>
        </w:rPr>
        <w:t>intellectus possib</w:t>
      </w:r>
      <w:r w:rsidR="08163013">
        <w:rPr>
          <w:i/>
        </w:rPr>
        <w:t>i</w:t>
      </w:r>
      <w:r w:rsidR="08163013" w:rsidRPr="009D1BAA">
        <w:rPr>
          <w:i/>
        </w:rPr>
        <w:t>lis</w:t>
      </w:r>
      <w:r w:rsidR="08163013">
        <w:t xml:space="preserve"> jako formy, protože by znemožnilo univerzální recepci nutnou pro poznání. Receptivní intelekt musí být pouhý instrument vzhledem k individuálnímu spekulativnímu intelektu danému v nás individuálně, jinak by přestal plnit svou receptivní funkci (</w:t>
      </w:r>
      <w:r w:rsidR="08163013" w:rsidRPr="001E3FA2">
        <w:rPr>
          <w:i/>
        </w:rPr>
        <w:t>speculativus erit non simpliciter forma</w:t>
      </w:r>
      <w:r w:rsidR="08163013">
        <w:t>).</w:t>
      </w:r>
      <w:r w:rsidR="08163013" w:rsidRPr="00273106">
        <w:rPr>
          <w:rStyle w:val="Znakapoznpodarou"/>
        </w:rPr>
        <w:footnoteReference w:id="350"/>
      </w:r>
      <w:bookmarkEnd w:id="62"/>
      <w:r w:rsidR="08163013" w:rsidRPr="00273106">
        <w:t xml:space="preserve"> </w:t>
      </w:r>
      <w:r w:rsidR="08163013">
        <w:t xml:space="preserve">Albertův komentář k </w:t>
      </w:r>
      <w:proofErr w:type="gramStart"/>
      <w:r w:rsidR="08163013" w:rsidRPr="009D1BAA">
        <w:rPr>
          <w:i/>
        </w:rPr>
        <w:t>De</w:t>
      </w:r>
      <w:proofErr w:type="gramEnd"/>
      <w:r w:rsidR="08163013" w:rsidRPr="009D1BAA">
        <w:rPr>
          <w:i/>
        </w:rPr>
        <w:t xml:space="preserve"> anima</w:t>
      </w:r>
      <w:r w:rsidR="08163013">
        <w:t xml:space="preserve"> sleduje linii CMDA, což není případ Akvinského. </w:t>
      </w:r>
      <w:r w:rsidR="08163013" w:rsidRPr="00273106">
        <w:t xml:space="preserve">Averorismus moderních </w:t>
      </w:r>
      <w:r w:rsidR="08163013">
        <w:t>alexandrovc</w:t>
      </w:r>
      <w:r w:rsidR="08163013" w:rsidRPr="00273106">
        <w:t>ů</w:t>
      </w:r>
      <w:r w:rsidR="08163013">
        <w:fldChar w:fldCharType="begin"/>
      </w:r>
      <w:r w:rsidR="08163013">
        <w:instrText xml:space="preserve"> XE "alexandrovci" </w:instrText>
      </w:r>
      <w:r w:rsidR="08163013">
        <w:fldChar w:fldCharType="end"/>
      </w:r>
      <w:r w:rsidR="08163013" w:rsidRPr="00273106">
        <w:t xml:space="preserve"> není </w:t>
      </w:r>
      <w:r w:rsidR="08163013">
        <w:t xml:space="preserve">podle Alberta </w:t>
      </w:r>
      <w:r w:rsidR="08163013" w:rsidRPr="00273106">
        <w:t>nic jiného, než skrytý avicenismus</w:t>
      </w:r>
      <w:r w:rsidR="08163013">
        <w:t>. A ten je v případě učených Latiníků přišlých z Oxfordu ještě kombinovaný s univerzálním hylemorfismem</w:t>
      </w:r>
      <w:r w:rsidR="08163013" w:rsidRPr="00273106">
        <w:t>.</w:t>
      </w:r>
      <w:r w:rsidR="08163013">
        <w:t xml:space="preserve"> </w:t>
      </w:r>
      <w:r w:rsidR="08163013" w:rsidRPr="00273106">
        <w:t xml:space="preserve">Akvinský odmítl filosofické řešení </w:t>
      </w:r>
      <w:r w:rsidR="08163013">
        <w:t>Averroes</w:t>
      </w:r>
      <w:r w:rsidR="08163013" w:rsidRPr="00273106">
        <w:t xml:space="preserve">e a označil jej za averroistu. To je zásadní rozdíl proti Albertovi, který tento krok neudělal, protože četl </w:t>
      </w:r>
      <w:r w:rsidR="08163013">
        <w:t>Averroes</w:t>
      </w:r>
      <w:r w:rsidR="08163013" w:rsidRPr="00273106">
        <w:t>e jako filosof</w:t>
      </w:r>
      <w:r w:rsidR="08163013">
        <w:t xml:space="preserve"> </w:t>
      </w:r>
      <w:r w:rsidR="08163013" w:rsidRPr="00273106">
        <w:t xml:space="preserve">a správně pochopil smysl argumentace v CMDA. Viz předcházející rozbory </w:t>
      </w:r>
      <w:r w:rsidR="08163013" w:rsidRPr="00273106">
        <w:rPr>
          <w:i/>
        </w:rPr>
        <w:t>intellectus speculativus</w:t>
      </w:r>
      <w:r w:rsidR="08163013">
        <w:rPr>
          <w:i/>
        </w:rPr>
        <w:fldChar w:fldCharType="begin"/>
      </w:r>
      <w:r w:rsidR="08163013">
        <w:instrText xml:space="preserve"> XE "</w:instrText>
      </w:r>
      <w:r w:rsidR="08163013">
        <w:rPr>
          <w:i/>
        </w:rPr>
        <w:instrText>intellectus speculativus</w:instrText>
      </w:r>
      <w:r w:rsidR="08163013">
        <w:instrText xml:space="preserve">" </w:instrText>
      </w:r>
      <w:r w:rsidR="08163013">
        <w:rPr>
          <w:i/>
        </w:rPr>
        <w:fldChar w:fldCharType="end"/>
      </w:r>
      <w:r w:rsidR="08163013" w:rsidRPr="00273106">
        <w:t xml:space="preserve"> a jeho komentář Aristotelovy </w:t>
      </w:r>
      <w:r w:rsidR="08163013">
        <w:rPr>
          <w:i/>
        </w:rPr>
        <w:t>De anima</w:t>
      </w:r>
      <w:r w:rsidR="08163013" w:rsidRPr="00273106">
        <w:t>.</w:t>
      </w:r>
      <w:r w:rsidR="08163013">
        <w:t xml:space="preserve"> Akvinského neoplatonský výklad božské povahy intelektu podle </w:t>
      </w:r>
      <w:r w:rsidR="08163013" w:rsidRPr="080F5968">
        <w:rPr>
          <w:i/>
        </w:rPr>
        <w:t>Etiky Nikomachovy</w:t>
      </w:r>
      <w:r w:rsidR="08163013">
        <w:t xml:space="preserve"> sleduje definici člověka podle Toledské školy, zatímco Sigerův kritický filosofický výklad existenciálně pojatého intelektu vychází ze spisu </w:t>
      </w:r>
      <w:r w:rsidR="08163013" w:rsidRPr="080F5968">
        <w:rPr>
          <w:i/>
        </w:rPr>
        <w:t>De generatione animalium</w:t>
      </w:r>
      <w:r w:rsidR="08AE3F7D">
        <w:t xml:space="preserve"> podle Sicilské školy (kap. 4</w:t>
      </w:r>
      <w:r w:rsidR="08163013">
        <w:t xml:space="preserve">.4.2). Opět je vidět skrytou gigantomachii mezi Platonem a Aristotelem. </w:t>
      </w:r>
      <w:r w:rsidR="006C2A1D" w:rsidRPr="006C2A1D">
        <w:t xml:space="preserve">Akvinský </w:t>
      </w:r>
      <w:r w:rsidR="006C2A1D">
        <w:t xml:space="preserve">byl představen </w:t>
      </w:r>
      <w:r w:rsidR="006C2A1D" w:rsidRPr="006C2A1D">
        <w:t xml:space="preserve">Aegidiem </w:t>
      </w:r>
      <w:r w:rsidR="006C2A1D">
        <w:t xml:space="preserve">jako </w:t>
      </w:r>
      <w:r w:rsidR="006C2A1D" w:rsidRPr="006C2A1D">
        <w:rPr>
          <w:i/>
        </w:rPr>
        <w:t>Expositor Novus</w:t>
      </w:r>
      <w:r w:rsidR="006C2A1D" w:rsidRPr="006C2A1D">
        <w:t xml:space="preserve"> </w:t>
      </w:r>
      <w:r w:rsidR="006C2A1D">
        <w:t xml:space="preserve">a tak </w:t>
      </w:r>
      <w:r w:rsidR="006C2A1D" w:rsidRPr="006C2A1D">
        <w:t>se stal historicky úč</w:t>
      </w:r>
      <w:r w:rsidR="006C2A1D">
        <w:t>innou postavou (a nikoliv simulá</w:t>
      </w:r>
      <w:r w:rsidR="006C2A1D" w:rsidRPr="006C2A1D">
        <w:t xml:space="preserve">krem!), která byla naprosto nezbytná pro </w:t>
      </w:r>
      <w:r w:rsidR="006C2A1D">
        <w:t xml:space="preserve">uvedení </w:t>
      </w:r>
      <w:r w:rsidR="006C2A1D" w:rsidRPr="006C2A1D">
        <w:t xml:space="preserve">objektivity do další fáze vývoje. V rámci prvního averroismu převládlo objektivní a zcela chybné určení </w:t>
      </w:r>
      <w:r w:rsidR="006C2A1D" w:rsidRPr="006C2A1D">
        <w:rPr>
          <w:i/>
        </w:rPr>
        <w:t>intellectus possibilis</w:t>
      </w:r>
      <w:r w:rsidR="006C2A1D">
        <w:t xml:space="preserve">. </w:t>
      </w:r>
      <w:r w:rsidR="08163013">
        <w:t xml:space="preserve">Tím vzniklo epochálně nové místo zjevování jsoucna založené </w:t>
      </w:r>
      <w:r w:rsidR="00FC7570">
        <w:t>„</w:t>
      </w:r>
      <w:r w:rsidR="08163013">
        <w:rPr>
          <w:i/>
        </w:rPr>
        <w:t>ad mentem</w:t>
      </w:r>
      <w:r w:rsidR="08163013" w:rsidRPr="0832575B">
        <w:rPr>
          <w:i/>
        </w:rPr>
        <w:t xml:space="preserve"> Aristotelis</w:t>
      </w:r>
      <w:r w:rsidR="00FC7570">
        <w:t>“</w:t>
      </w:r>
      <w:r w:rsidR="08163013">
        <w:t xml:space="preserve">, a nikoliv </w:t>
      </w:r>
      <w:r w:rsidR="00FC7570">
        <w:t>„</w:t>
      </w:r>
      <w:r w:rsidR="08163013">
        <w:rPr>
          <w:i/>
        </w:rPr>
        <w:t>ad mentem</w:t>
      </w:r>
      <w:r w:rsidR="08163013" w:rsidRPr="0832575B">
        <w:rPr>
          <w:i/>
        </w:rPr>
        <w:t xml:space="preserve"> </w:t>
      </w:r>
      <w:r w:rsidR="08163013" w:rsidRPr="08C707E1">
        <w:rPr>
          <w:i/>
        </w:rPr>
        <w:t>Averrois</w:t>
      </w:r>
      <w:r w:rsidR="00FC7570">
        <w:t>“</w:t>
      </w:r>
      <w:r w:rsidR="08163013">
        <w:rPr>
          <w:i/>
        </w:rPr>
        <w:fldChar w:fldCharType="begin"/>
      </w:r>
      <w:r w:rsidR="08163013">
        <w:instrText xml:space="preserve"> XE "</w:instrText>
      </w:r>
      <w:r w:rsidR="08163013" w:rsidRPr="08035F87">
        <w:rPr>
          <w:i/>
        </w:rPr>
        <w:instrText>ad mentem Averrois</w:instrText>
      </w:r>
      <w:r w:rsidR="08163013">
        <w:instrText xml:space="preserve">" </w:instrText>
      </w:r>
      <w:r w:rsidR="08163013">
        <w:rPr>
          <w:i/>
        </w:rPr>
        <w:fldChar w:fldCharType="end"/>
      </w:r>
      <w:r w:rsidR="08163013">
        <w:t xml:space="preserve">. Objektivita v pojetí Akvinského oslaveného Aegidiem jako </w:t>
      </w:r>
      <w:r w:rsidR="08163013" w:rsidRPr="0832575B">
        <w:rPr>
          <w:i/>
        </w:rPr>
        <w:t>Expositor Novus</w:t>
      </w:r>
      <w:r w:rsidR="08163013">
        <w:rPr>
          <w:i/>
        </w:rPr>
        <w:fldChar w:fldCharType="begin"/>
      </w:r>
      <w:r w:rsidR="08163013">
        <w:instrText xml:space="preserve"> XE "</w:instrText>
      </w:r>
      <w:r w:rsidR="08163013" w:rsidRPr="08BD0834">
        <w:rPr>
          <w:i/>
        </w:rPr>
        <w:instrText>Expositor Novus</w:instrText>
      </w:r>
      <w:r w:rsidR="08163013">
        <w:instrText xml:space="preserve">" </w:instrText>
      </w:r>
      <w:r w:rsidR="08163013">
        <w:rPr>
          <w:i/>
        </w:rPr>
        <w:fldChar w:fldCharType="end"/>
      </w:r>
      <w:r w:rsidR="08163013">
        <w:t xml:space="preserve"> dostala novou dějinnou expozici bytí jsoucna</w:t>
      </w:r>
      <w:r w:rsidR="00D06FB7">
        <w:t xml:space="preserve"> (</w:t>
      </w:r>
      <w:r w:rsidR="00D06FB7" w:rsidRPr="00E90CF9">
        <w:rPr>
          <w:i/>
        </w:rPr>
        <w:t>Lichtung</w:t>
      </w:r>
      <w:r w:rsidR="00D06FB7">
        <w:rPr>
          <w:i/>
        </w:rPr>
        <w:fldChar w:fldCharType="begin"/>
      </w:r>
      <w:r w:rsidR="00D06FB7">
        <w:instrText xml:space="preserve"> XE "</w:instrText>
      </w:r>
      <w:r w:rsidR="00D06FB7" w:rsidRPr="00E5311E">
        <w:rPr>
          <w:i/>
        </w:rPr>
        <w:instrText>Lichtung</w:instrText>
      </w:r>
      <w:r w:rsidR="00D06FB7">
        <w:instrText xml:space="preserve">" </w:instrText>
      </w:r>
      <w:r w:rsidR="00D06FB7">
        <w:rPr>
          <w:i/>
        </w:rPr>
        <w:fldChar w:fldCharType="end"/>
      </w:r>
      <w:r w:rsidR="00D06FB7">
        <w:t>)</w:t>
      </w:r>
      <w:r w:rsidR="08163013">
        <w:t>. Celek jsoucna se stal odkrytě manifestovatelným v modu tomistické objektivity stejně jako fundamentální místo jeho zjevování, tedy receptivní intelekt.</w:t>
      </w:r>
      <w:r w:rsidR="009F7D75">
        <w:t xml:space="preserve"> Akvinského náhled intelektu jako objektivní formy se </w:t>
      </w:r>
      <w:proofErr w:type="gramStart"/>
      <w:r w:rsidR="009F7D75">
        <w:t>stal</w:t>
      </w:r>
      <w:proofErr w:type="gramEnd"/>
      <w:r w:rsidR="009F7D75">
        <w:t xml:space="preserve"> </w:t>
      </w:r>
      <w:r w:rsidR="009F7D75" w:rsidRPr="00273106">
        <w:t xml:space="preserve">historickým </w:t>
      </w:r>
      <w:r w:rsidR="009F7D75" w:rsidRPr="00F71F19">
        <w:rPr>
          <w:i/>
        </w:rPr>
        <w:t>factum</w:t>
      </w:r>
      <w:r w:rsidR="009F7D75">
        <w:t xml:space="preserve"> </w:t>
      </w:r>
      <w:r w:rsidR="009F7D75" w:rsidRPr="00273106">
        <w:t>Západu</w:t>
      </w:r>
      <w:r w:rsidR="009F7D75">
        <w:t>.</w:t>
      </w:r>
      <w:r w:rsidR="009F7D75" w:rsidRPr="006A0186">
        <w:t xml:space="preserve"> </w:t>
      </w:r>
      <w:r w:rsidR="009F7D75" w:rsidRPr="00273106">
        <w:t xml:space="preserve">Tomášovo </w:t>
      </w:r>
      <w:r w:rsidR="009F7D75">
        <w:t>dualistické po</w:t>
      </w:r>
      <w:r w:rsidR="009F7D75" w:rsidRPr="00273106">
        <w:t xml:space="preserve">jetí osoby </w:t>
      </w:r>
      <w:r w:rsidR="009F7D75">
        <w:t xml:space="preserve">v </w:t>
      </w:r>
      <w:r w:rsidR="009F7D75">
        <w:lastRenderedPageBreak/>
        <w:t xml:space="preserve">modu objektivního aristotelského tomismu </w:t>
      </w:r>
      <w:r w:rsidR="009F7D75" w:rsidRPr="00273106">
        <w:t>zvítězilo</w:t>
      </w:r>
      <w:r w:rsidR="00520CAE">
        <w:t xml:space="preserve"> v západním myšlení, protože </w:t>
      </w:r>
      <w:r w:rsidR="009F7D75">
        <w:t xml:space="preserve">zásadním způsobem vylepšilo primitivní averroismus modernistů směrem k jednotě osoby jako substance. Ale také definitivně zakotvilo </w:t>
      </w:r>
      <w:r w:rsidR="009F7D75" w:rsidRPr="00273106">
        <w:t>dualismu</w:t>
      </w:r>
      <w:r w:rsidR="009F7D75">
        <w:t>s</w:t>
      </w:r>
      <w:r w:rsidR="009F7D75" w:rsidRPr="00273106">
        <w:t xml:space="preserve"> dvou forem v člověku</w:t>
      </w:r>
      <w:r w:rsidR="009F7D75">
        <w:t xml:space="preserve"> a </w:t>
      </w:r>
      <w:r w:rsidR="009F7D75" w:rsidRPr="00273106">
        <w:t xml:space="preserve">určilo západní </w:t>
      </w:r>
      <w:r w:rsidR="009F7D75">
        <w:t xml:space="preserve">pojetí osoby v problematickém modu identity. Akvinský </w:t>
      </w:r>
      <w:r w:rsidR="009F7D75">
        <w:rPr>
          <w:bCs/>
          <w:iCs/>
        </w:rPr>
        <w:t xml:space="preserve">potřebuje princip </w:t>
      </w:r>
      <w:r w:rsidR="00AD061B">
        <w:rPr>
          <w:bCs/>
          <w:iCs/>
        </w:rPr>
        <w:t>„</w:t>
      </w:r>
      <w:r w:rsidR="009F7D75" w:rsidRPr="00273106">
        <w:rPr>
          <w:bCs/>
          <w:i/>
          <w:iCs/>
        </w:rPr>
        <w:t>quo</w:t>
      </w:r>
      <w:r w:rsidR="00AD061B">
        <w:rPr>
          <w:bCs/>
          <w:iCs/>
        </w:rPr>
        <w:t>“</w:t>
      </w:r>
      <w:r w:rsidR="009F7D75" w:rsidRPr="00273106">
        <w:rPr>
          <w:bCs/>
          <w:iCs/>
        </w:rPr>
        <w:t xml:space="preserve"> k zajištění individuálního aktu myšlení</w:t>
      </w:r>
      <w:r w:rsidR="009F7D75">
        <w:rPr>
          <w:bCs/>
          <w:iCs/>
        </w:rPr>
        <w:t xml:space="preserve"> v rámci </w:t>
      </w:r>
      <w:r w:rsidR="00AD061B">
        <w:rPr>
          <w:bCs/>
          <w:iCs/>
        </w:rPr>
        <w:t>„</w:t>
      </w:r>
      <w:r w:rsidR="009F7D75" w:rsidRPr="00273106">
        <w:rPr>
          <w:bCs/>
          <w:i/>
          <w:iCs/>
        </w:rPr>
        <w:t>homo intelligit</w:t>
      </w:r>
      <w:r w:rsidR="00AD061B">
        <w:rPr>
          <w:bCs/>
          <w:iCs/>
        </w:rPr>
        <w:t>“</w:t>
      </w:r>
      <w:r w:rsidR="009F7D75">
        <w:rPr>
          <w:bCs/>
          <w:i/>
          <w:iCs/>
        </w:rPr>
        <w:fldChar w:fldCharType="begin"/>
      </w:r>
      <w:r w:rsidR="009F7D75">
        <w:instrText xml:space="preserve"> XE "</w:instrText>
      </w:r>
      <w:r w:rsidR="009F7D75" w:rsidRPr="007F785A">
        <w:rPr>
          <w:i/>
          <w:lang w:eastAsia="en-US"/>
        </w:rPr>
        <w:instrText>osoba:homo intelligit</w:instrText>
      </w:r>
      <w:r w:rsidR="009F7D75">
        <w:instrText xml:space="preserve">" </w:instrText>
      </w:r>
      <w:r w:rsidR="009F7D75">
        <w:rPr>
          <w:bCs/>
          <w:i/>
          <w:iCs/>
        </w:rPr>
        <w:fldChar w:fldCharType="end"/>
      </w:r>
      <w:r w:rsidR="009F7D75" w:rsidRPr="00273106">
        <w:rPr>
          <w:bCs/>
          <w:iCs/>
        </w:rPr>
        <w:t xml:space="preserve"> pouze skrze intelekt. </w:t>
      </w:r>
      <w:r w:rsidR="009F7D75">
        <w:rPr>
          <w:bCs/>
          <w:iCs/>
        </w:rPr>
        <w:t xml:space="preserve">Cena za tuto sofistiku je zajištění nesmrtelnosti duše, což potřebuje jako teolog. </w:t>
      </w:r>
      <w:r w:rsidR="009F7D75" w:rsidRPr="00273106">
        <w:rPr>
          <w:bCs/>
          <w:iCs/>
        </w:rPr>
        <w:t xml:space="preserve">Toto pojetí </w:t>
      </w:r>
      <w:r w:rsidR="009F7D75">
        <w:rPr>
          <w:bCs/>
          <w:iCs/>
        </w:rPr>
        <w:t xml:space="preserve">obsahuje </w:t>
      </w:r>
      <w:r w:rsidR="009F7D75" w:rsidRPr="00273106">
        <w:rPr>
          <w:bCs/>
          <w:iCs/>
        </w:rPr>
        <w:t xml:space="preserve">důkaz </w:t>
      </w:r>
      <w:r w:rsidR="009F7D75">
        <w:rPr>
          <w:bCs/>
          <w:iCs/>
        </w:rPr>
        <w:t xml:space="preserve">formální </w:t>
      </w:r>
      <w:r w:rsidR="009F7D75" w:rsidRPr="00273106">
        <w:rPr>
          <w:bCs/>
          <w:iCs/>
        </w:rPr>
        <w:t>individuality osoby</w:t>
      </w:r>
      <w:r w:rsidR="00EC76B2">
        <w:rPr>
          <w:bCs/>
          <w:iCs/>
        </w:rPr>
        <w:t xml:space="preserve">, ale ne její </w:t>
      </w:r>
      <w:r w:rsidR="009F7D75">
        <w:rPr>
          <w:bCs/>
          <w:iCs/>
        </w:rPr>
        <w:t>existenciální ipseity.</w:t>
      </w:r>
    </w:p>
    <w:p w:rsidR="00B136EE" w:rsidRDefault="08163013" w:rsidP="00B136EE">
      <w:r>
        <w:tab/>
        <w:t xml:space="preserve">Z hlediska </w:t>
      </w:r>
      <w:r w:rsidR="00846588">
        <w:t>objektivního dativu</w:t>
      </w:r>
      <w:r w:rsidR="081942A4">
        <w:t xml:space="preserve"> </w:t>
      </w:r>
      <w:r w:rsidR="00846588" w:rsidRPr="00196AE6">
        <w:rPr>
          <w:szCs w:val="24"/>
        </w:rPr>
        <w:t>(</w:t>
      </w:r>
      <w:r w:rsidR="00846588" w:rsidRPr="00196AE6">
        <w:rPr>
          <w:i/>
          <w:szCs w:val="24"/>
        </w:rPr>
        <w:t>dativus obiectivus</w:t>
      </w:r>
      <w:r w:rsidR="00846588">
        <w:rPr>
          <w:i/>
          <w:szCs w:val="24"/>
        </w:rPr>
        <w:fldChar w:fldCharType="begin"/>
      </w:r>
      <w:r w:rsidR="00846588">
        <w:instrText xml:space="preserve"> XE "</w:instrText>
      </w:r>
      <w:r w:rsidR="00846588" w:rsidRPr="0000481D">
        <w:rPr>
          <w:i/>
          <w:szCs w:val="24"/>
        </w:rPr>
        <w:instrText>dativus obiectivus</w:instrText>
      </w:r>
      <w:r w:rsidR="00846588">
        <w:instrText xml:space="preserve">" </w:instrText>
      </w:r>
      <w:r w:rsidR="00846588">
        <w:rPr>
          <w:i/>
          <w:szCs w:val="24"/>
        </w:rPr>
        <w:fldChar w:fldCharType="end"/>
      </w:r>
      <w:r w:rsidR="00846588">
        <w:rPr>
          <w:szCs w:val="24"/>
        </w:rPr>
        <w:t>, kap. 4)</w:t>
      </w:r>
      <w:r>
        <w:t xml:space="preserve"> vznikl výkladem Tomáše nový </w:t>
      </w:r>
      <w:r w:rsidRPr="089F5B52">
        <w:rPr>
          <w:i/>
        </w:rPr>
        <w:t>dativus possessivus</w:t>
      </w:r>
      <w:r>
        <w:rPr>
          <w:i/>
        </w:rPr>
        <w:fldChar w:fldCharType="begin"/>
      </w:r>
      <w:r>
        <w:instrText xml:space="preserve"> XE "</w:instrText>
      </w:r>
      <w:r w:rsidRPr="00461B3F">
        <w:rPr>
          <w:i/>
        </w:rPr>
        <w:instrText>d</w:instrText>
      </w:r>
      <w:r w:rsidRPr="00461B3F">
        <w:rPr>
          <w:i/>
          <w:iCs/>
        </w:rPr>
        <w:instrText>ativus possessivus</w:instrText>
      </w:r>
      <w:r>
        <w:instrText xml:space="preserve">" </w:instrText>
      </w:r>
      <w:r>
        <w:rPr>
          <w:i/>
        </w:rPr>
        <w:fldChar w:fldCharType="end"/>
      </w:r>
      <w:r w:rsidR="00846588">
        <w:t xml:space="preserve">. Donace </w:t>
      </w:r>
      <w:r>
        <w:t xml:space="preserve">jsoucna </w:t>
      </w:r>
      <w:r w:rsidR="00846588">
        <w:t xml:space="preserve">je provedena </w:t>
      </w:r>
      <w:r>
        <w:t xml:space="preserve">v modu objektivního tomismu. </w:t>
      </w:r>
      <w:r w:rsidR="00846588">
        <w:t>Místem zjevování (</w:t>
      </w:r>
      <w:r w:rsidR="00846588" w:rsidRPr="00846588">
        <w:rPr>
          <w:i/>
        </w:rPr>
        <w:t>Lichtung</w:t>
      </w:r>
      <w:r w:rsidR="00846588">
        <w:t xml:space="preserve">) takto určeného objektivního jsoucna se stal </w:t>
      </w:r>
      <w:r>
        <w:t xml:space="preserve">objektivně </w:t>
      </w:r>
      <w:r w:rsidR="00846588">
        <w:t xml:space="preserve">definovaný </w:t>
      </w:r>
      <w:r w:rsidRPr="08770186">
        <w:rPr>
          <w:i/>
        </w:rPr>
        <w:t>intellectus possib</w:t>
      </w:r>
      <w:r>
        <w:rPr>
          <w:i/>
        </w:rPr>
        <w:t>i</w:t>
      </w:r>
      <w:r w:rsidRPr="08770186">
        <w:rPr>
          <w:i/>
        </w:rPr>
        <w:t>lis</w:t>
      </w:r>
      <w:r w:rsidR="00846588">
        <w:t xml:space="preserve">, </w:t>
      </w:r>
      <w:r w:rsidR="00EF410A">
        <w:t xml:space="preserve">což </w:t>
      </w:r>
      <w:r w:rsidR="00846588">
        <w:t xml:space="preserve">je z hlediska </w:t>
      </w:r>
      <w:r w:rsidR="00846588">
        <w:rPr>
          <w:i/>
        </w:rPr>
        <w:t>aléthe</w:t>
      </w:r>
      <w:r w:rsidR="00846588" w:rsidRPr="00846588">
        <w:rPr>
          <w:i/>
        </w:rPr>
        <w:t>ia</w:t>
      </w:r>
      <w:r w:rsidR="00846588">
        <w:t xml:space="preserve"> nepravdivý náhled na celek jsoucna. Tomistický receptivní intelekt je mytologický nesmysl; tento intelekt reálně neexistuje a jeho demiurgem je tomistický moderní subjekt schizofrenicky rozstěpený na dvě autonomní formy. Takový subjekt také reálně neexistuje, protože osoba je podle Boethia jedna </w:t>
      </w:r>
      <w:r w:rsidR="003C6A8A">
        <w:t xml:space="preserve">nedělitelná první substance. </w:t>
      </w:r>
      <w:r w:rsidR="00846588">
        <w:t xml:space="preserve">Moderní vědění dané objektivně nejde cestou pravdy jako adekvace rozumu a reality. </w:t>
      </w:r>
      <w:r w:rsidR="003C6A8A">
        <w:t xml:space="preserve">Neexistující tomistický subjekt vytvořil typ jedné objektivně dané pravdy, která instrumentalizovala filosofii pro teologické potřeby církve a dnes pro ideologické potřeby vládnoucí třídy. Avicenna se stal filosofickým katolíkem, Averrroés filosofickým heretikem. </w:t>
      </w:r>
      <w:r w:rsidR="003C6A8A" w:rsidRPr="003C6A8A">
        <w:t xml:space="preserve">Moc teologických dogmat nad filozofickou pravdou vytvořila novou verzi </w:t>
      </w:r>
      <w:r w:rsidR="003C6A8A" w:rsidRPr="003C6A8A">
        <w:rPr>
          <w:i/>
        </w:rPr>
        <w:t>dativus incommodi</w:t>
      </w:r>
      <w:r w:rsidR="003C6A8A" w:rsidRPr="003C6A8A">
        <w:t>. Posloupnost škol vysvětluje, jak objektivní metafyzika řešila spory předchozích generací modernistů. Jejím prvním výsledkem byla teorie moderní sjednocené vědy, kterou vyhlásil biskup Tempier v</w:t>
      </w:r>
      <w:r w:rsidR="0008292D">
        <w:t xml:space="preserve"> úvodní </w:t>
      </w:r>
      <w:r w:rsidR="003C6A8A" w:rsidRPr="003C6A8A">
        <w:t xml:space="preserve">části svého odsouzení z roku 1277. Sigerova škola hlásala dvě metodologicky odlišné cesty k jediné pravdě. Moderní </w:t>
      </w:r>
      <w:r w:rsidR="003C6A8A" w:rsidRPr="0008292D">
        <w:rPr>
          <w:i/>
        </w:rPr>
        <w:t>metaphysica generalis</w:t>
      </w:r>
      <w:r w:rsidR="0008292D">
        <w:t xml:space="preserve"> je postavena na poznávajícím subjektu</w:t>
      </w:r>
      <w:r w:rsidR="003C6A8A" w:rsidRPr="003C6A8A">
        <w:t xml:space="preserve">; nepotřebuje </w:t>
      </w:r>
      <w:r w:rsidR="0008292D">
        <w:t xml:space="preserve">impozici </w:t>
      </w:r>
      <w:r w:rsidR="003C6A8A" w:rsidRPr="003C6A8A">
        <w:t>smys</w:t>
      </w:r>
      <w:r w:rsidR="0008292D">
        <w:t>lu ze skutečnosti, pouze logickou supozici ze subjektu. Dny Siger</w:t>
      </w:r>
      <w:r w:rsidR="003C6A8A" w:rsidRPr="003C6A8A">
        <w:t>ovy školy jako posledního skutečného představitele prvního averroismu byly tedy sečteny</w:t>
      </w:r>
      <w:r w:rsidR="003C6A8A">
        <w:t>.</w:t>
      </w:r>
      <w:r w:rsidR="001C378D">
        <w:t xml:space="preserve"> </w:t>
      </w:r>
      <w:r w:rsidR="001C378D" w:rsidRPr="001C378D">
        <w:t>Za druhé. Aegidius a další tomisté si uvědomili</w:t>
      </w:r>
      <w:r w:rsidR="001C378D">
        <w:t xml:space="preserve"> </w:t>
      </w:r>
      <w:r w:rsidR="001C378D" w:rsidRPr="001C378D">
        <w:t xml:space="preserve">v roce 1272, po odchodu </w:t>
      </w:r>
      <w:r w:rsidR="001C378D">
        <w:t xml:space="preserve">poraženého Akvinského z Paříže, </w:t>
      </w:r>
      <w:r w:rsidR="001C378D" w:rsidRPr="001C378D">
        <w:t>že druhý averroismus nemůže filozoficky a teologicky obstát před sekulární</w:t>
      </w:r>
      <w:r w:rsidR="001C378D">
        <w:t>mi magistry P</w:t>
      </w:r>
      <w:r w:rsidR="001C378D" w:rsidRPr="001C378D">
        <w:t xml:space="preserve">ařížské univerzity. </w:t>
      </w:r>
      <w:r w:rsidR="002A21AE" w:rsidRPr="002A21AE">
        <w:t xml:space="preserve">Aegidius začal svůj útok na Pechamovu školu ve spise </w:t>
      </w:r>
      <w:r w:rsidR="002A21AE" w:rsidRPr="002A21AE">
        <w:rPr>
          <w:i/>
        </w:rPr>
        <w:t>Anonymus Bazán</w:t>
      </w:r>
      <w:r w:rsidR="002A21AE" w:rsidRPr="002A21AE">
        <w:t xml:space="preserve"> a Akvinský učinil totéž na konci traktátu </w:t>
      </w:r>
      <w:r w:rsidR="002A21AE" w:rsidRPr="002A21AE">
        <w:rPr>
          <w:i/>
        </w:rPr>
        <w:t>De unitate intellectus</w:t>
      </w:r>
      <w:r w:rsidR="002A21AE" w:rsidRPr="002A21AE">
        <w:t xml:space="preserve">. </w:t>
      </w:r>
      <w:r w:rsidR="00933839">
        <w:t xml:space="preserve">Čas </w:t>
      </w:r>
      <w:r w:rsidR="00933839" w:rsidRPr="002A21AE">
        <w:lastRenderedPageBreak/>
        <w:t xml:space="preserve">druhého averroismu </w:t>
      </w:r>
      <w:r w:rsidR="00933839">
        <w:t xml:space="preserve">tím </w:t>
      </w:r>
      <w:r w:rsidR="00933839" w:rsidRPr="002A21AE">
        <w:t xml:space="preserve">také nevyhnutelně </w:t>
      </w:r>
      <w:r w:rsidR="00933839">
        <w:t>vypršel</w:t>
      </w:r>
      <w:r w:rsidR="00933839" w:rsidRPr="002A21AE">
        <w:t xml:space="preserve">. </w:t>
      </w:r>
      <w:r w:rsidR="002A21AE" w:rsidRPr="002A21AE">
        <w:t xml:space="preserve">Do </w:t>
      </w:r>
      <w:r w:rsidR="002A21AE">
        <w:t>lavic v r</w:t>
      </w:r>
      <w:r w:rsidR="002A21AE" w:rsidRPr="002A21AE">
        <w:t>ue du Fouarre vstou</w:t>
      </w:r>
      <w:r w:rsidR="002A21AE">
        <w:t>pila nová vlna moderních magistrů</w:t>
      </w:r>
      <w:r w:rsidR="002A21AE" w:rsidRPr="002A21AE">
        <w:t>, kteří vystřídali vyhnané</w:t>
      </w:r>
      <w:r w:rsidR="002A21AE">
        <w:t>ho Sigera a jeho stoupence. Nová filosofická vládnoucí třída bylo objektivna</w:t>
      </w:r>
      <w:r w:rsidR="002A21AE" w:rsidRPr="002A21AE">
        <w:t xml:space="preserve"> </w:t>
      </w:r>
      <w:r w:rsidR="002A21AE">
        <w:t xml:space="preserve">nastolena skrze </w:t>
      </w:r>
      <w:r w:rsidR="002A21AE" w:rsidRPr="002A21AE">
        <w:t xml:space="preserve">moc </w:t>
      </w:r>
      <w:r w:rsidR="002A21AE">
        <w:t>církevního ods</w:t>
      </w:r>
      <w:r w:rsidR="002A21AE" w:rsidRPr="002A21AE">
        <w:t xml:space="preserve">ouzení církve v roce 1277. </w:t>
      </w:r>
      <w:r w:rsidR="002A21AE">
        <w:t>Moderní tomisté z</w:t>
      </w:r>
      <w:r w:rsidR="002A21AE" w:rsidRPr="002A21AE">
        <w:t xml:space="preserve">volili Akvinského jako vítěze </w:t>
      </w:r>
      <w:r w:rsidR="002A21AE">
        <w:t xml:space="preserve">nad Sigerem a udělili mu titul </w:t>
      </w:r>
      <w:r w:rsidR="002A21AE" w:rsidRPr="002A21AE">
        <w:rPr>
          <w:i/>
        </w:rPr>
        <w:t>Expositor Novus</w:t>
      </w:r>
      <w:r w:rsidR="00080365">
        <w:rPr>
          <w:i/>
        </w:rPr>
        <w:fldChar w:fldCharType="begin"/>
      </w:r>
      <w:r w:rsidR="00080365">
        <w:instrText xml:space="preserve"> XE "</w:instrText>
      </w:r>
      <w:r w:rsidR="00080365" w:rsidRPr="001840EC">
        <w:rPr>
          <w:i/>
        </w:rPr>
        <w:instrText>Expositor Novus</w:instrText>
      </w:r>
      <w:r w:rsidR="00080365">
        <w:instrText xml:space="preserve">" </w:instrText>
      </w:r>
      <w:r w:rsidR="00080365">
        <w:rPr>
          <w:i/>
        </w:rPr>
        <w:fldChar w:fldCharType="end"/>
      </w:r>
      <w:r w:rsidR="002A21AE" w:rsidRPr="002A21AE">
        <w:t xml:space="preserve">. </w:t>
      </w:r>
      <w:r w:rsidR="008F0EDD">
        <w:t>D</w:t>
      </w:r>
      <w:r>
        <w:t xml:space="preserve">alší zrušení druhého averroismu </w:t>
      </w:r>
      <w:r w:rsidR="008F0EDD">
        <w:t xml:space="preserve">provedl avicennististický tomista </w:t>
      </w:r>
      <w:r w:rsidR="00CA173B">
        <w:t xml:space="preserve">Duns </w:t>
      </w:r>
      <w:r w:rsidR="008F0EDD">
        <w:t xml:space="preserve">Scotus v Oxfordu, kde bylo třeba skoncovat s teorií univerzálního hylemorfismu. Škola </w:t>
      </w:r>
      <w:r w:rsidR="008F0EDD" w:rsidRPr="00CA173B">
        <w:rPr>
          <w:i/>
        </w:rPr>
        <w:t>Oxfordian Fallacy</w:t>
      </w:r>
      <w:r w:rsidR="008F0EDD">
        <w:t xml:space="preserve"> musela pod tlakem </w:t>
      </w:r>
      <w:r w:rsidR="00CA173B">
        <w:t xml:space="preserve">pařížského </w:t>
      </w:r>
      <w:r w:rsidR="008F0EDD" w:rsidRPr="00CA173B">
        <w:rPr>
          <w:i/>
        </w:rPr>
        <w:t>dativus incommodi</w:t>
      </w:r>
      <w:r w:rsidR="008F0EDD">
        <w:t xml:space="preserve"> přejít z dogmatické mytologie na </w:t>
      </w:r>
      <w:r w:rsidR="00A00212">
        <w:t xml:space="preserve">objektivní </w:t>
      </w:r>
      <w:r w:rsidR="008F0EDD">
        <w:t>nutnost moderní démonické logiky. Pokrok moderny nelze za</w:t>
      </w:r>
      <w:r w:rsidR="00CA173B">
        <w:t>sta</w:t>
      </w:r>
      <w:r w:rsidR="008F0EDD">
        <w:t>vit, dokonce ani na Oxfordu</w:t>
      </w:r>
      <w:r w:rsidR="00E508BD">
        <w:t>, který byl modernistický od samého počátku</w:t>
      </w:r>
      <w:r w:rsidR="00270756">
        <w:t xml:space="preserve">. </w:t>
      </w:r>
      <w:r w:rsidR="00F71F19" w:rsidRPr="00273106">
        <w:t xml:space="preserve">Vítězství sofistiky nad filosofií </w:t>
      </w:r>
      <w:r w:rsidR="00F71F19">
        <w:t>Averroes</w:t>
      </w:r>
      <w:r w:rsidR="00F71F19" w:rsidRPr="00273106">
        <w:t>e prosadilo objektivní pojetí smyslu jsoucna</w:t>
      </w:r>
      <w:r w:rsidR="00F71F19">
        <w:t xml:space="preserve"> a dualistické </w:t>
      </w:r>
      <w:r w:rsidR="00F71F19" w:rsidRPr="00273106">
        <w:t>určení člověka.</w:t>
      </w:r>
      <w:r w:rsidR="00F71F19">
        <w:t xml:space="preserve"> </w:t>
      </w:r>
      <w:r w:rsidR="00F71F19" w:rsidRPr="00273106">
        <w:t>O</w:t>
      </w:r>
      <w:r w:rsidR="00F71F19">
        <w:t xml:space="preserve">bjektivita se prosadila </w:t>
      </w:r>
      <w:r w:rsidR="00F71F19" w:rsidRPr="00273106">
        <w:t>Akvinského</w:t>
      </w:r>
      <w:r w:rsidR="00F71F19">
        <w:t xml:space="preserve"> teologický tomismus</w:t>
      </w:r>
      <w:r w:rsidR="00F71F19">
        <w:fldChar w:fldCharType="begin"/>
      </w:r>
      <w:r w:rsidR="00F71F19">
        <w:instrText xml:space="preserve"> XE "</w:instrText>
      </w:r>
      <w:r w:rsidR="00F71F19" w:rsidRPr="0813533C">
        <w:instrText>tomismus</w:instrText>
      </w:r>
      <w:r w:rsidR="00F71F19">
        <w:instrText xml:space="preserve">" </w:instrText>
      </w:r>
      <w:r w:rsidR="00F71F19">
        <w:fldChar w:fldCharType="end"/>
      </w:r>
      <w:r w:rsidR="00F71F19">
        <w:t xml:space="preserve">, který se v podání pozdější </w:t>
      </w:r>
      <w:r w:rsidR="00F71F19" w:rsidRPr="08A5643D">
        <w:rPr>
          <w:i/>
        </w:rPr>
        <w:t>via Modernorum</w:t>
      </w:r>
      <w:r w:rsidR="00F71F19">
        <w:t xml:space="preserve"> stal oficiálním filosofickým krédem Západu</w:t>
      </w:r>
      <w:r w:rsidR="00F71F19" w:rsidRPr="00273106">
        <w:t>.</w:t>
      </w:r>
      <w:bookmarkStart w:id="63" w:name="_Toc36144153"/>
    </w:p>
    <w:p w:rsidR="00B136EE" w:rsidRDefault="00B136EE" w:rsidP="00B136EE"/>
    <w:p w:rsidR="08163013" w:rsidRPr="00273106" w:rsidRDefault="00B136EE" w:rsidP="00B136EE">
      <w:pPr>
        <w:pStyle w:val="Nadpis2"/>
      </w:pPr>
      <w:r>
        <w:br w:type="page"/>
      </w:r>
      <w:bookmarkStart w:id="64" w:name="_Toc180231665"/>
      <w:r w:rsidR="08163013">
        <w:rPr>
          <w:lang w:val="cs-CZ"/>
        </w:rPr>
        <w:lastRenderedPageBreak/>
        <w:t>4</w:t>
      </w:r>
      <w:r w:rsidR="08163013" w:rsidRPr="00273106">
        <w:t xml:space="preserve">.6 </w:t>
      </w:r>
      <w:r w:rsidR="08163013">
        <w:t>Averroismus a nástup moderny</w:t>
      </w:r>
      <w:bookmarkEnd w:id="63"/>
      <w:bookmarkEnd w:id="64"/>
    </w:p>
    <w:p w:rsidR="00061ED2" w:rsidRDefault="08163013" w:rsidP="08163013">
      <w:r>
        <w:t>Vznik objektivity je v letech 1250</w:t>
      </w:r>
      <w:r w:rsidRPr="00273106">
        <w:t>‒</w:t>
      </w:r>
      <w:r>
        <w:t xml:space="preserve">70 dán sporem o averroismus. Gigantomachii o objektivní substanci vyhrály školy, které poslaly západní myšlení na </w:t>
      </w:r>
      <w:proofErr w:type="gramStart"/>
      <w:r w:rsidRPr="080E7EC3">
        <w:rPr>
          <w:i/>
        </w:rPr>
        <w:t>via</w:t>
      </w:r>
      <w:proofErr w:type="gramEnd"/>
      <w:r w:rsidRPr="080E7EC3">
        <w:rPr>
          <w:i/>
        </w:rPr>
        <w:t xml:space="preserve"> Modernorum</w:t>
      </w:r>
      <w:r>
        <w:t xml:space="preserve">. Hermeneutika sledovala </w:t>
      </w:r>
      <w:r w:rsidR="00707D0A">
        <w:t xml:space="preserve">tento </w:t>
      </w:r>
      <w:r>
        <w:t xml:space="preserve">sporu </w:t>
      </w:r>
      <w:r w:rsidR="00707D0A">
        <w:t xml:space="preserve">na příkladu </w:t>
      </w:r>
      <w:r>
        <w:t>Akvinsk</w:t>
      </w:r>
      <w:r w:rsidR="00707D0A">
        <w:t xml:space="preserve">ého a </w:t>
      </w:r>
      <w:r>
        <w:t>Siger</w:t>
      </w:r>
      <w:r w:rsidR="00707D0A">
        <w:t>a, kteří museli řešit tezi „</w:t>
      </w:r>
      <w:r w:rsidRPr="08A758B0">
        <w:rPr>
          <w:i/>
        </w:rPr>
        <w:t>homo (ipse) intelligit</w:t>
      </w:r>
      <w:r w:rsidR="00707D0A">
        <w:t>“</w:t>
      </w:r>
      <w:r>
        <w:t>. Tato věta navazuje na předešlý spor prvního averroismu s porretá</w:t>
      </w:r>
      <w:r w:rsidR="003F70B7">
        <w:t xml:space="preserve">ny o metafyzický status člověka jako </w:t>
      </w:r>
      <w:r>
        <w:t xml:space="preserve">mrtvoly. Nový spor udělal z této mrtvoly specifické a konkrétní </w:t>
      </w:r>
      <w:r w:rsidRPr="003F70B7">
        <w:rPr>
          <w:i/>
        </w:rPr>
        <w:t>individuum</w:t>
      </w:r>
      <w:r>
        <w:t xml:space="preserve"> a </w:t>
      </w:r>
      <w:r w:rsidR="003F70B7">
        <w:t xml:space="preserve">tím </w:t>
      </w:r>
      <w:r>
        <w:t>založil objektivní humanismus moderny</w:t>
      </w:r>
      <w:r>
        <w:rPr>
          <w:i/>
        </w:rPr>
        <w:fldChar w:fldCharType="begin"/>
      </w:r>
      <w:r>
        <w:instrText xml:space="preserve"> XE "humanismus:objektivní" </w:instrText>
      </w:r>
      <w:r>
        <w:rPr>
          <w:i/>
        </w:rPr>
        <w:fldChar w:fldCharType="end"/>
      </w:r>
      <w:r>
        <w:t xml:space="preserve">. </w:t>
      </w:r>
      <w:r w:rsidRPr="00273106">
        <w:t>Ob</w:t>
      </w:r>
      <w:r>
        <w:t xml:space="preserve">jektivní teze </w:t>
      </w:r>
      <w:r w:rsidRPr="00273106">
        <w:t xml:space="preserve">o vzniku averroismu tvrdí, že neznámý mistr na artistické fakultě v Paříži v rámci </w:t>
      </w:r>
      <w:r w:rsidRPr="00273106">
        <w:rPr>
          <w:i/>
        </w:rPr>
        <w:t>ars obligatoria</w:t>
      </w:r>
      <w:r w:rsidRPr="00273106">
        <w:t xml:space="preserve"> údajně hájil v disputacích </w:t>
      </w:r>
      <w:r>
        <w:t xml:space="preserve">se studenty asi roku 1270 sofisma </w:t>
      </w:r>
      <w:r w:rsidR="00004D98">
        <w:t>„</w:t>
      </w:r>
      <w:r w:rsidRPr="00273106">
        <w:rPr>
          <w:i/>
        </w:rPr>
        <w:t>homo non intelligit</w:t>
      </w:r>
      <w:r w:rsidR="00004D98">
        <w:t>“</w:t>
      </w:r>
      <w:r w:rsidRPr="00273106">
        <w:t xml:space="preserve">, a to s odkazem na </w:t>
      </w:r>
      <w:r>
        <w:t>Averroes</w:t>
      </w:r>
      <w:r w:rsidRPr="00273106">
        <w:t xml:space="preserve">e (Libera 2004, pp. 272, 302‒305). Z předešlého výkladu objektivity je jasné, že tento spor vznikl nedostatečnou znalostí </w:t>
      </w:r>
      <w:r>
        <w:t xml:space="preserve">Komentátorovy metafyziky a především spisu </w:t>
      </w:r>
      <w:r w:rsidRPr="00273106">
        <w:t xml:space="preserve">CMDA v rámci druhého a dokonce i prvního averroismu. </w:t>
      </w:r>
      <w:r>
        <w:t xml:space="preserve">Chybný výklad Averroese začal ve škole moderních avicenistů už kolem roku 1230, viz rozbor traktátu </w:t>
      </w:r>
      <w:r w:rsidRPr="005F095E">
        <w:rPr>
          <w:i/>
        </w:rPr>
        <w:t>Summa Duacensis</w:t>
      </w:r>
      <w:r>
        <w:rPr>
          <w:i/>
        </w:rPr>
        <w:fldChar w:fldCharType="begin"/>
      </w:r>
      <w:r>
        <w:instrText xml:space="preserve"> XE "</w:instrText>
      </w:r>
      <w:r w:rsidRPr="000E2AD6">
        <w:rPr>
          <w:i/>
        </w:rPr>
        <w:instrText>Summa Duacensis</w:instrText>
      </w:r>
      <w:r>
        <w:instrText xml:space="preserve">" </w:instrText>
      </w:r>
      <w:r>
        <w:rPr>
          <w:i/>
        </w:rPr>
        <w:fldChar w:fldCharType="end"/>
      </w:r>
      <w:r>
        <w:t xml:space="preserve"> (</w:t>
      </w:r>
      <w:r w:rsidR="08F51DD9">
        <w:t>OBJ II, kap. 2</w:t>
      </w:r>
      <w:r>
        <w:t>.2.2). Averroistický v</w:t>
      </w:r>
      <w:r w:rsidRPr="00273106">
        <w:t xml:space="preserve">ýklad CMDA </w:t>
      </w:r>
      <w:r>
        <w:t xml:space="preserve">poprvé podal </w:t>
      </w:r>
      <w:r w:rsidRPr="00273106">
        <w:t xml:space="preserve">Rufus z Cornwallu v jeho filipice proti </w:t>
      </w:r>
      <w:r>
        <w:t>Averroes</w:t>
      </w:r>
      <w:r w:rsidRPr="00273106">
        <w:t>ovi (</w:t>
      </w:r>
      <w:r w:rsidRPr="00273106">
        <w:rPr>
          <w:i/>
        </w:rPr>
        <w:t>Contra Averroem</w:t>
      </w:r>
      <w:r w:rsidRPr="00273106">
        <w:t xml:space="preserve">, 1236). </w:t>
      </w:r>
      <w:r w:rsidR="00EA75EA">
        <w:t xml:space="preserve">Tato škola </w:t>
      </w:r>
      <w:r w:rsidR="00EA75EA" w:rsidRPr="00164CA8">
        <w:rPr>
          <w:i/>
        </w:rPr>
        <w:t>sophistae Latini</w:t>
      </w:r>
      <w:r w:rsidR="00EA75EA">
        <w:t xml:space="preserve"> pokr</w:t>
      </w:r>
      <w:r w:rsidRPr="00273106">
        <w:t>ačo</w:t>
      </w:r>
      <w:r w:rsidR="00275C9F">
        <w:t>val</w:t>
      </w:r>
      <w:r w:rsidR="00EA75EA">
        <w:t xml:space="preserve">a </w:t>
      </w:r>
      <w:r w:rsidR="00275C9F">
        <w:t>po roce 1250 v </w:t>
      </w:r>
      <w:r w:rsidR="00EA75EA">
        <w:t>Paříži</w:t>
      </w:r>
      <w:r>
        <w:t>. V letech 1265‒70 už běžel jiný spor přímo uvnitř prvního averroismu mezi Siger</w:t>
      </w:r>
      <w:r w:rsidR="00DA2E32">
        <w:t>em a Akvinským</w:t>
      </w:r>
      <w:r w:rsidR="00B50AE9">
        <w:rPr>
          <w:i/>
        </w:rPr>
        <w:fldChar w:fldCharType="begin"/>
      </w:r>
      <w:r w:rsidR="00B50AE9">
        <w:instrText xml:space="preserve"> XE "</w:instrText>
      </w:r>
      <w:r w:rsidR="00B50AE9" w:rsidRPr="00B935DC">
        <w:rPr>
          <w:rStyle w:val="Zkladntext350"/>
        </w:rPr>
        <w:instrText>osoba</w:instrText>
      </w:r>
      <w:r w:rsidR="00B50AE9" w:rsidRPr="00B935DC">
        <w:rPr>
          <w:rStyle w:val="Zkladntext350"/>
          <w:i/>
        </w:rPr>
        <w:instrText>:</w:instrText>
      </w:r>
      <w:r w:rsidR="00B50AE9">
        <w:rPr>
          <w:rStyle w:val="Zkladntext350"/>
          <w:i/>
        </w:rPr>
        <w:instrText>homo ipse intelligit</w:instrText>
      </w:r>
      <w:r w:rsidR="00B50AE9">
        <w:instrText xml:space="preserve">" </w:instrText>
      </w:r>
      <w:r w:rsidR="00B50AE9">
        <w:rPr>
          <w:i/>
        </w:rPr>
        <w:fldChar w:fldCharType="end"/>
      </w:r>
      <w:r>
        <w:t xml:space="preserve">. Tohoto útoku </w:t>
      </w:r>
      <w:r w:rsidRPr="00273106">
        <w:t xml:space="preserve">Akvinského na </w:t>
      </w:r>
      <w:r>
        <w:t>Averroes</w:t>
      </w:r>
      <w:r w:rsidRPr="00273106">
        <w:t>e</w:t>
      </w:r>
      <w:r>
        <w:t xml:space="preserve"> a na školu znalců CMDA v Rue du Fouarre (</w:t>
      </w:r>
      <w:r w:rsidRPr="002B511A">
        <w:rPr>
          <w:i/>
        </w:rPr>
        <w:t>pars Sigeri</w:t>
      </w:r>
      <w:r>
        <w:rPr>
          <w:i/>
        </w:rPr>
        <w:fldChar w:fldCharType="begin"/>
      </w:r>
      <w:r>
        <w:instrText xml:space="preserve"> XE "</w:instrText>
      </w:r>
      <w:r w:rsidRPr="00052171">
        <w:instrText>první averroismus</w:instrText>
      </w:r>
      <w:r w:rsidRPr="00B52EEE">
        <w:rPr>
          <w:i/>
        </w:rPr>
        <w:instrText>:pars Sigeri</w:instrText>
      </w:r>
      <w:r>
        <w:instrText xml:space="preserve">" </w:instrText>
      </w:r>
      <w:r>
        <w:rPr>
          <w:i/>
        </w:rPr>
        <w:fldChar w:fldCharType="end"/>
      </w:r>
      <w:r>
        <w:t xml:space="preserve">) se účastnil také </w:t>
      </w:r>
      <w:r w:rsidRPr="00273106">
        <w:t xml:space="preserve">Aegidius </w:t>
      </w:r>
      <w:r>
        <w:t xml:space="preserve">a pokračoval v něm i po smrti Akvinského. Averroes nebyl averroistou a Tomáš nebyl tomistou. </w:t>
      </w:r>
      <w:r w:rsidR="00F41E1C" w:rsidRPr="08512040">
        <w:t xml:space="preserve">Aegidius </w:t>
      </w:r>
      <w:r w:rsidR="00F41E1C">
        <w:t>vytvořil t</w:t>
      </w:r>
      <w:r>
        <w:t xml:space="preserve">omismus </w:t>
      </w:r>
      <w:r w:rsidRPr="08512040">
        <w:t xml:space="preserve">v letech 1268‒70 </w:t>
      </w:r>
      <w:r>
        <w:t>transf</w:t>
      </w:r>
      <w:r w:rsidRPr="08512040">
        <w:t>o</w:t>
      </w:r>
      <w:r>
        <w:t>r</w:t>
      </w:r>
      <w:r w:rsidRPr="08512040">
        <w:t xml:space="preserve">mací </w:t>
      </w:r>
      <w:r>
        <w:t>avicennistické filosofie podle dru</w:t>
      </w:r>
      <w:r w:rsidRPr="08512040">
        <w:t xml:space="preserve">hého averroismu </w:t>
      </w:r>
      <w:r w:rsidR="00F41E1C">
        <w:t xml:space="preserve">(ms. </w:t>
      </w:r>
      <w:r w:rsidR="00F41E1C" w:rsidRPr="000B7FCC">
        <w:rPr>
          <w:i/>
        </w:rPr>
        <w:t>Oxford I–</w:t>
      </w:r>
      <w:r w:rsidRPr="000B7FCC">
        <w:rPr>
          <w:i/>
        </w:rPr>
        <w:t>II</w:t>
      </w:r>
      <w:r>
        <w:t xml:space="preserve">) </w:t>
      </w:r>
      <w:r w:rsidRPr="08512040">
        <w:t xml:space="preserve">do podoby </w:t>
      </w:r>
      <w:r>
        <w:t xml:space="preserve">modernizovaného aristotelismu </w:t>
      </w:r>
      <w:r w:rsidRPr="08512040">
        <w:t xml:space="preserve">podaného </w:t>
      </w:r>
      <w:r w:rsidR="004858DA">
        <w:t>„</w:t>
      </w:r>
      <w:r w:rsidRPr="08A31E6A">
        <w:rPr>
          <w:i/>
        </w:rPr>
        <w:t>ad mentem Thomae</w:t>
      </w:r>
      <w:r w:rsidR="004858DA">
        <w:t>“</w:t>
      </w:r>
      <w:r>
        <w:t xml:space="preserve"> (ms. </w:t>
      </w:r>
      <w:r w:rsidRPr="000B7FCC">
        <w:rPr>
          <w:i/>
        </w:rPr>
        <w:t>Oxford III</w:t>
      </w:r>
      <w:r>
        <w:t xml:space="preserve">). Novou formu aristotelismu danou v rámci prvního averroismu ukazuje poslední část Oxfordského rukopisu a Bazánův anonym. Aegidiova exegeze třetí knihy </w:t>
      </w:r>
      <w:r w:rsidRPr="08416A38">
        <w:rPr>
          <w:i/>
        </w:rPr>
        <w:t>De anima</w:t>
      </w:r>
      <w:r>
        <w:t xml:space="preserve"> podaná v Oxfordském rukopise už Sigerův výklad QIIIDA zrušila úplně, protože byl nekompatibilní </w:t>
      </w:r>
      <w:r w:rsidR="001C209D">
        <w:t xml:space="preserve">s Akvinského </w:t>
      </w:r>
      <w:proofErr w:type="gramStart"/>
      <w:r w:rsidR="001C209D">
        <w:t>výklady</w:t>
      </w:r>
      <w:proofErr w:type="gramEnd"/>
      <w:r>
        <w:t xml:space="preserve"> </w:t>
      </w:r>
      <w:r w:rsidRPr="08D026AA">
        <w:rPr>
          <w:i/>
        </w:rPr>
        <w:t>De anima</w:t>
      </w:r>
      <w:r>
        <w:t xml:space="preserve"> </w:t>
      </w:r>
      <w:r w:rsidR="001C209D">
        <w:t xml:space="preserve">vytvořené </w:t>
      </w:r>
      <w:r>
        <w:t xml:space="preserve">v Itálii. Aegidius </w:t>
      </w:r>
      <w:r w:rsidR="00AC2316">
        <w:t xml:space="preserve">vytvořil tomismus tím, že </w:t>
      </w:r>
      <w:r>
        <w:t>nahradil Sigerovu QIIIDA výkladem v duchu Nového Expozitora</w:t>
      </w:r>
      <w:r w:rsidRPr="08953ED1">
        <w:t xml:space="preserve"> </w:t>
      </w:r>
      <w:r>
        <w:t xml:space="preserve">okolo roku 1268. Proto je výklad třetí části Oxfordského manuskriptu shodný s Akvinského výklady a se spisem </w:t>
      </w:r>
      <w:r w:rsidRPr="004B357D">
        <w:rPr>
          <w:i/>
        </w:rPr>
        <w:t xml:space="preserve">De unitate intellectus </w:t>
      </w:r>
      <w:r>
        <w:t>(1270). Aegidius nakonec provedl v duchu tomismu kritiku školy druhého averroismu</w:t>
      </w:r>
      <w:r w:rsidRPr="08502783">
        <w:t xml:space="preserve"> </w:t>
      </w:r>
      <w:r>
        <w:t xml:space="preserve">v Bazánově anonymu. </w:t>
      </w:r>
      <w:r w:rsidRPr="00273106">
        <w:t xml:space="preserve">Aegidius opakoval Akvinského </w:t>
      </w:r>
      <w:r>
        <w:t xml:space="preserve">semiaverroistický výklad CMDA daný již v </w:t>
      </w:r>
      <w:r w:rsidRPr="00273106">
        <w:t>římské</w:t>
      </w:r>
      <w:r>
        <w:t>m období a potvrzený</w:t>
      </w:r>
      <w:r w:rsidRPr="00273106">
        <w:t xml:space="preserve"> za </w:t>
      </w:r>
      <w:r w:rsidRPr="00273106">
        <w:lastRenderedPageBreak/>
        <w:t>druhého pařížského pobytu</w:t>
      </w:r>
      <w:r>
        <w:t xml:space="preserve">. Aegidiovo </w:t>
      </w:r>
      <w:r w:rsidRPr="00273106">
        <w:t xml:space="preserve">dílo </w:t>
      </w:r>
      <w:r w:rsidRPr="00273106">
        <w:rPr>
          <w:i/>
        </w:rPr>
        <w:t>De plurificatione possibilis intellectus</w:t>
      </w:r>
      <w:r w:rsidRPr="00273106">
        <w:t xml:space="preserve"> psané </w:t>
      </w:r>
      <w:r>
        <w:t xml:space="preserve">po roce 1270 představilo sofistickou </w:t>
      </w:r>
      <w:r w:rsidRPr="00273106">
        <w:t xml:space="preserve">kritiku </w:t>
      </w:r>
      <w:r w:rsidRPr="00273106">
        <w:rPr>
          <w:i/>
        </w:rPr>
        <w:t>intellectus possibilis</w:t>
      </w:r>
      <w:r w:rsidRPr="00273106">
        <w:t xml:space="preserve"> odděleného o</w:t>
      </w:r>
      <w:r>
        <w:t>d smyslového poznání, což odpovídá radikalizaci jeho pozice v Bazánově anonymu směrem k modernímu dualismu</w:t>
      </w:r>
      <w:r w:rsidRPr="00273106">
        <w:t xml:space="preserve">. </w:t>
      </w:r>
      <w:r>
        <w:t xml:space="preserve">Demagogický útok na Averroese a zástupně i na školu v Rue du Fouarre najdeme v Aegidiově díle </w:t>
      </w:r>
      <w:r>
        <w:rPr>
          <w:i/>
        </w:rPr>
        <w:t>De erroribus P</w:t>
      </w:r>
      <w:r w:rsidR="007248B6">
        <w:rPr>
          <w:i/>
        </w:rPr>
        <w:t>hilosophorum</w:t>
      </w:r>
      <w:r>
        <w:t xml:space="preserve">. Role Aegidia a tohoto díla v osudovém odsouzení roku 1277 teprve čeká na kritické zhodnocení. První krok již určil, jaká obvinění </w:t>
      </w:r>
      <w:r w:rsidR="00787877">
        <w:t xml:space="preserve">Aegidius </w:t>
      </w:r>
      <w:r>
        <w:t>přičítá Averroesovi (</w:t>
      </w:r>
      <w:r w:rsidR="08895E1C">
        <w:t xml:space="preserve">Mandonnet </w:t>
      </w:r>
      <w:r>
        <w:t xml:space="preserve">1907, 543‒44). Nyní je třeba určit, v čem a jak jsou Aegidiova obvinění z averroismu sofistická </w:t>
      </w:r>
      <w:r w:rsidR="080417C8">
        <w:t xml:space="preserve">a účelová </w:t>
      </w:r>
      <w:r>
        <w:t xml:space="preserve">a kolik z nich se objevuje v různé modifikaci v Tempierově dekretu 1277. </w:t>
      </w:r>
      <w:r w:rsidR="00276C3C" w:rsidRPr="00276C3C">
        <w:t xml:space="preserve">Útok všech tří škol </w:t>
      </w:r>
      <w:r w:rsidR="00276C3C" w:rsidRPr="00276C3C">
        <w:rPr>
          <w:i/>
        </w:rPr>
        <w:t>sophistae Latini</w:t>
      </w:r>
      <w:r w:rsidR="00276C3C">
        <w:t xml:space="preserve"> </w:t>
      </w:r>
      <w:r w:rsidR="00276C3C" w:rsidRPr="00276C3C">
        <w:t>(tomismus, druhý averroismus v Paříži a v Oxfordu) musí konečně dostat náležité zhodnocení v Tempierově dekretu.</w:t>
      </w:r>
      <w:r w:rsidR="00276C3C">
        <w:t xml:space="preserve"> </w:t>
      </w:r>
      <w:r>
        <w:t xml:space="preserve">Aegidius </w:t>
      </w:r>
      <w:r w:rsidR="00276C3C">
        <w:t xml:space="preserve">zcela jistě </w:t>
      </w:r>
      <w:r>
        <w:t>komponoval obvinění magistrů z Rue du Fouarre v</w:t>
      </w:r>
      <w:r w:rsidR="00276C3C">
        <w:t> roce 1277</w:t>
      </w:r>
      <w:r>
        <w:t xml:space="preserve">. </w:t>
      </w:r>
      <w:r w:rsidR="080417C8">
        <w:t>K</w:t>
      </w:r>
      <w:r w:rsidR="000F4F3D">
        <w:t xml:space="preserve"> sofistickému </w:t>
      </w:r>
      <w:r w:rsidR="080417C8">
        <w:t xml:space="preserve">falšování pravdy na pravděpodobný způsob </w:t>
      </w:r>
      <w:r w:rsidR="089B1580">
        <w:t xml:space="preserve">bylo </w:t>
      </w:r>
      <w:r w:rsidR="080417C8">
        <w:t>třeba velmi do</w:t>
      </w:r>
      <w:r w:rsidR="089B1580">
        <w:t xml:space="preserve">bře znát </w:t>
      </w:r>
      <w:r w:rsidR="080417C8">
        <w:t xml:space="preserve">originální </w:t>
      </w:r>
      <w:r w:rsidR="089B1580">
        <w:t>pozici</w:t>
      </w:r>
      <w:r w:rsidR="08AA6463">
        <w:t xml:space="preserve"> Sigerovy školy (</w:t>
      </w:r>
      <w:r w:rsidR="08AA6463" w:rsidRPr="08AA6463">
        <w:rPr>
          <w:i/>
        </w:rPr>
        <w:t>pars Sigeri</w:t>
      </w:r>
      <w:r w:rsidR="08AA6463">
        <w:t>)</w:t>
      </w:r>
      <w:r w:rsidR="080417C8">
        <w:t xml:space="preserve">. </w:t>
      </w:r>
      <w:r w:rsidR="089B1580">
        <w:t xml:space="preserve">Předešlé kapitoly ukázaly, že </w:t>
      </w:r>
      <w:r w:rsidR="080417C8">
        <w:t xml:space="preserve">Aegidius byl jediný </w:t>
      </w:r>
      <w:r w:rsidR="08882985">
        <w:t>znalec obou škol z</w:t>
      </w:r>
      <w:r w:rsidR="080417C8">
        <w:t xml:space="preserve"> kruhů druhého averroismu. </w:t>
      </w:r>
      <w:r>
        <w:t xml:space="preserve">Poslední matrice rozebírá jeho roli při politizaci modelu jedné pravdy úředně potvrzenou v papežské bule </w:t>
      </w:r>
      <w:r w:rsidRPr="08C42F95">
        <w:rPr>
          <w:i/>
        </w:rPr>
        <w:t>Unam Sanctam</w:t>
      </w:r>
      <w:r>
        <w:t xml:space="preserve"> (1308). </w:t>
      </w:r>
      <w:r w:rsidRPr="00273106">
        <w:t>Aegidius účelově připsal Aristotelovi</w:t>
      </w:r>
      <w:r>
        <w:t xml:space="preserve"> </w:t>
      </w:r>
      <w:r w:rsidRPr="00273106">
        <w:t xml:space="preserve">všechny teze o individualizaci intelektu v modu </w:t>
      </w:r>
      <w:r w:rsidRPr="00273106">
        <w:rPr>
          <w:i/>
        </w:rPr>
        <w:t>qua</w:t>
      </w:r>
      <w:r w:rsidRPr="00273106">
        <w:rPr>
          <w:i/>
          <w:vertAlign w:val="superscript"/>
        </w:rPr>
        <w:t>2</w:t>
      </w:r>
      <w:r w:rsidRPr="00273106">
        <w:t xml:space="preserve"> </w:t>
      </w:r>
      <w:r w:rsidRPr="006C7A0F">
        <w:rPr>
          <w:i/>
        </w:rPr>
        <w:fldChar w:fldCharType="begin"/>
      </w:r>
      <w:r w:rsidRPr="006C7A0F">
        <w:instrText xml:space="preserve"> XE "intelekt:modus </w:instrText>
      </w:r>
      <w:r w:rsidRPr="006C7A0F">
        <w:rPr>
          <w:i/>
        </w:rPr>
        <w:instrText>qua</w:instrText>
      </w:r>
      <w:r>
        <w:rPr>
          <w:i/>
          <w:vertAlign w:val="superscript"/>
        </w:rPr>
        <w:instrText>2</w:instrText>
      </w:r>
      <w:r w:rsidRPr="006C7A0F">
        <w:instrText xml:space="preserve">" </w:instrText>
      </w:r>
      <w:r w:rsidRPr="006C7A0F">
        <w:rPr>
          <w:i/>
        </w:rPr>
        <w:fldChar w:fldCharType="end"/>
      </w:r>
      <w:r w:rsidRPr="00273106">
        <w:t xml:space="preserve">podaného Akvinským. </w:t>
      </w:r>
      <w:r w:rsidR="00682E39" w:rsidRPr="00682E39">
        <w:t xml:space="preserve">Velmi dobře znal Sigerův postoj, jehož přednášky navštěvoval v Paříži. Text </w:t>
      </w:r>
      <w:r w:rsidR="00682E39" w:rsidRPr="00682E39">
        <w:rPr>
          <w:i/>
        </w:rPr>
        <w:t xml:space="preserve">De anima </w:t>
      </w:r>
      <w:r w:rsidR="00682E39" w:rsidRPr="00682E39">
        <w:t xml:space="preserve">interpretovaný tomistickým způsobem se zásadně lišil od výkladu CMDA. Útok na Komentátora v modelu </w:t>
      </w:r>
      <w:r w:rsidR="00682E39" w:rsidRPr="00682E39">
        <w:rPr>
          <w:i/>
        </w:rPr>
        <w:t>Verkehrung ins Gegenteil</w:t>
      </w:r>
      <w:r w:rsidR="00682E39" w:rsidRPr="00682E39">
        <w:t xml:space="preserve"> byl cenou, kterou bylo třeba zaplatit za založení vítězného tomismu.</w:t>
      </w:r>
      <w:r w:rsidR="00682E39">
        <w:t xml:space="preserve"> </w:t>
      </w:r>
      <w:r>
        <w:t xml:space="preserve">Aegidius radikalizoval dráhu Akvinského s tím, že na konci života skončil v táboře druhého averroismu, což potvrdilo jeho dílo </w:t>
      </w:r>
      <w:r>
        <w:rPr>
          <w:i/>
        </w:rPr>
        <w:t>Expositio super libros D</w:t>
      </w:r>
      <w:r w:rsidRPr="00273106">
        <w:rPr>
          <w:i/>
        </w:rPr>
        <w:t>e anima</w:t>
      </w:r>
      <w:r>
        <w:t xml:space="preserve"> (</w:t>
      </w:r>
      <w:r w:rsidRPr="00273106">
        <w:t>1277‒78)</w:t>
      </w:r>
      <w:r w:rsidR="00061ED2">
        <w:t>.</w:t>
      </w:r>
    </w:p>
    <w:p w:rsidR="08163013" w:rsidRPr="00276C3C" w:rsidRDefault="08163013" w:rsidP="00B84378">
      <w:pPr>
        <w:ind w:firstLine="397"/>
      </w:pPr>
      <w:r>
        <w:t>Akvinský i Aegidius zásadně odmítli pojetí intelektu a osoby ve škole druhého averroismu, jejíž poslední akademickou obětí byl magistr Johannes Pecham. Pak už modernisté neprohráli, protože jejich kauzu razil v nové podobě objektivity vítězný aristotelský tomismus</w:t>
      </w:r>
      <w:r w:rsidR="081C15AF">
        <w:t xml:space="preserve"> a scotismus</w:t>
      </w:r>
      <w:r>
        <w:fldChar w:fldCharType="begin"/>
      </w:r>
      <w:r>
        <w:instrText xml:space="preserve"> XE "</w:instrText>
      </w:r>
      <w:r w:rsidRPr="0813533C">
        <w:instrText>tomismus</w:instrText>
      </w:r>
      <w:r>
        <w:instrText xml:space="preserve">" </w:instrText>
      </w:r>
      <w:r>
        <w:fldChar w:fldCharType="end"/>
      </w:r>
      <w:r>
        <w:t xml:space="preserve">. </w:t>
      </w:r>
      <w:r w:rsidRPr="00273106">
        <w:t xml:space="preserve">Nyní je mnohem jasnější, proč Albert Veliký, po Sigerovi největší znalec Aristotela </w:t>
      </w:r>
      <w:r>
        <w:t xml:space="preserve">a Averroese </w:t>
      </w:r>
      <w:r w:rsidRPr="00273106">
        <w:t xml:space="preserve">na </w:t>
      </w:r>
      <w:r>
        <w:t xml:space="preserve">latinském </w:t>
      </w:r>
      <w:r w:rsidRPr="00273106">
        <w:t>Západě, odmítl při</w:t>
      </w:r>
      <w:r>
        <w:t xml:space="preserve">jet roku 1270 do Paříže. </w:t>
      </w:r>
      <w:r w:rsidRPr="00273106">
        <w:t xml:space="preserve">Zde už probíhalo naprosté filosofické, teologické </w:t>
      </w:r>
      <w:r>
        <w:t xml:space="preserve">a mocenské </w:t>
      </w:r>
      <w:r w:rsidRPr="00273106">
        <w:rPr>
          <w:i/>
        </w:rPr>
        <w:t>imbroglio</w:t>
      </w:r>
      <w:r w:rsidRPr="00273106">
        <w:t xml:space="preserve"> mezi prvním a druhým averroismem</w:t>
      </w:r>
      <w:r w:rsidR="00D24386">
        <w:t xml:space="preserve">. </w:t>
      </w:r>
      <w:r w:rsidR="00D24386" w:rsidRPr="00D24386">
        <w:t xml:space="preserve">Akvinský přispěl </w:t>
      </w:r>
      <w:r w:rsidR="00D24386" w:rsidRPr="00D24386">
        <w:rPr>
          <w:i/>
        </w:rPr>
        <w:t>sui generis</w:t>
      </w:r>
      <w:r w:rsidR="00D24386" w:rsidRPr="00D24386">
        <w:t xml:space="preserve"> do tohoto intellektuálního zmatku prvního vítězného modernismu na latinském Západě. </w:t>
      </w:r>
      <w:r w:rsidRPr="00273106">
        <w:t xml:space="preserve">Ale ne všichni </w:t>
      </w:r>
      <w:r>
        <w:t xml:space="preserve">vzdělanci </w:t>
      </w:r>
      <w:r w:rsidRPr="00273106">
        <w:t xml:space="preserve">byli </w:t>
      </w:r>
      <w:r>
        <w:t xml:space="preserve">ohledně jednoty intelektu a osoby tak </w:t>
      </w:r>
      <w:r w:rsidRPr="00273106">
        <w:t>zmatení</w:t>
      </w:r>
      <w:r>
        <w:t xml:space="preserve"> </w:t>
      </w:r>
      <w:r w:rsidRPr="00273106">
        <w:t xml:space="preserve">jako tehdejší a dnešní </w:t>
      </w:r>
      <w:r w:rsidRPr="00273106">
        <w:rPr>
          <w:i/>
        </w:rPr>
        <w:t>Moderni</w:t>
      </w:r>
      <w:r>
        <w:rPr>
          <w:i/>
        </w:rPr>
        <w:fldChar w:fldCharType="begin"/>
      </w:r>
      <w:r>
        <w:instrText xml:space="preserve"> XE </w:instrText>
      </w:r>
      <w:r>
        <w:lastRenderedPageBreak/>
        <w:instrText>"</w:instrText>
      </w:r>
      <w:r w:rsidRPr="00B46F32">
        <w:instrText>averroismus:</w:instrText>
      </w:r>
      <w:r w:rsidRPr="00E809AF">
        <w:rPr>
          <w:i/>
        </w:rPr>
        <w:instrText>Moderni</w:instrText>
      </w:r>
      <w:r>
        <w:instrText xml:space="preserve">" </w:instrText>
      </w:r>
      <w:r>
        <w:rPr>
          <w:i/>
        </w:rPr>
        <w:fldChar w:fldCharType="end"/>
      </w:r>
      <w:r>
        <w:t>. G</w:t>
      </w:r>
      <w:r w:rsidRPr="00273106">
        <w:t>eniální básník</w:t>
      </w:r>
      <w:r>
        <w:t xml:space="preserve">, filosof </w:t>
      </w:r>
      <w:r w:rsidRPr="00273106">
        <w:t>a moudr</w:t>
      </w:r>
      <w:r>
        <w:t xml:space="preserve">ý </w:t>
      </w:r>
      <w:r w:rsidRPr="00273106">
        <w:t>muž Dante</w:t>
      </w:r>
      <w:r>
        <w:fldChar w:fldCharType="begin"/>
      </w:r>
      <w:r>
        <w:instrText xml:space="preserve"> XE "</w:instrText>
      </w:r>
      <w:r w:rsidRPr="00E871B9">
        <w:instrText>Dante, A.</w:instrText>
      </w:r>
      <w:r>
        <w:instrText xml:space="preserve">" </w:instrText>
      </w:r>
      <w:r>
        <w:fldChar w:fldCharType="end"/>
      </w:r>
      <w:r w:rsidRPr="00273106">
        <w:t xml:space="preserve"> Alighieri </w:t>
      </w:r>
      <w:r>
        <w:t xml:space="preserve">přesně znal pozici </w:t>
      </w:r>
      <w:r w:rsidRPr="00273106">
        <w:t>Sigera a jeho huma</w:t>
      </w:r>
      <w:r>
        <w:t>nistickou</w:t>
      </w:r>
      <w:r w:rsidRPr="00273106">
        <w:t xml:space="preserve"> koncepci </w:t>
      </w:r>
      <w:r w:rsidR="009C1C26">
        <w:t>„</w:t>
      </w:r>
      <w:r>
        <w:rPr>
          <w:i/>
        </w:rPr>
        <w:t>homo ipse intelligit</w:t>
      </w:r>
      <w:r w:rsidR="009C1C26">
        <w:t>“</w:t>
      </w:r>
      <w:r>
        <w:rPr>
          <w:i/>
        </w:rPr>
        <w:fldChar w:fldCharType="begin"/>
      </w:r>
      <w:r>
        <w:instrText xml:space="preserve"> XE "</w:instrText>
      </w:r>
      <w:r w:rsidRPr="00B935DC">
        <w:rPr>
          <w:rStyle w:val="Zkladntext350"/>
        </w:rPr>
        <w:instrText>osoba</w:instrText>
      </w:r>
      <w:r w:rsidRPr="00B935DC">
        <w:rPr>
          <w:rStyle w:val="Zkladntext350"/>
          <w:i/>
        </w:rPr>
        <w:instrText>:</w:instrText>
      </w:r>
      <w:r>
        <w:rPr>
          <w:rStyle w:val="Zkladntext350"/>
          <w:i/>
        </w:rPr>
        <w:instrText>homo ipse intelligit</w:instrText>
      </w:r>
      <w:r>
        <w:instrText xml:space="preserve">" </w:instrText>
      </w:r>
      <w:r>
        <w:rPr>
          <w:i/>
        </w:rPr>
        <w:fldChar w:fldCharType="end"/>
      </w:r>
      <w:r w:rsidRPr="00273106">
        <w:t xml:space="preserve">. </w:t>
      </w:r>
      <w:r w:rsidR="00292572">
        <w:t xml:space="preserve">Modernistické </w:t>
      </w:r>
      <w:r w:rsidR="00292572" w:rsidRPr="00292572">
        <w:rPr>
          <w:i/>
        </w:rPr>
        <w:t>damnatio memoriae</w:t>
      </w:r>
      <w:r w:rsidR="00292572">
        <w:rPr>
          <w:i/>
        </w:rPr>
        <w:fldChar w:fldCharType="begin"/>
      </w:r>
      <w:r w:rsidR="00292572">
        <w:instrText xml:space="preserve"> XE "</w:instrText>
      </w:r>
      <w:r w:rsidR="00292572" w:rsidRPr="007820A6">
        <w:rPr>
          <w:i/>
        </w:rPr>
        <w:instrText>damnatio memoriae</w:instrText>
      </w:r>
      <w:r w:rsidR="00292572">
        <w:instrText xml:space="preserve">" </w:instrText>
      </w:r>
      <w:r w:rsidR="00292572">
        <w:rPr>
          <w:i/>
        </w:rPr>
        <w:fldChar w:fldCharType="end"/>
      </w:r>
      <w:r w:rsidR="00292572">
        <w:t xml:space="preserve"> na Sigerovo pojetí osoby nebylo úplné. D</w:t>
      </w:r>
      <w:r w:rsidRPr="00273106">
        <w:t xml:space="preserve">íky </w:t>
      </w:r>
      <w:proofErr w:type="gramStart"/>
      <w:r w:rsidRPr="00273106">
        <w:t>Dantově</w:t>
      </w:r>
      <w:proofErr w:type="gramEnd"/>
      <w:r w:rsidRPr="00273106">
        <w:t xml:space="preserve"> spisu o jedné vládě (</w:t>
      </w:r>
      <w:r w:rsidRPr="00273106">
        <w:rPr>
          <w:i/>
        </w:rPr>
        <w:t>Monarchia</w:t>
      </w:r>
      <w:r w:rsidRPr="00273106">
        <w:t xml:space="preserve">) </w:t>
      </w:r>
      <w:r w:rsidR="00292572">
        <w:t xml:space="preserve">se tím založila tradice </w:t>
      </w:r>
      <w:r w:rsidR="00292572" w:rsidRPr="00273106">
        <w:t>západního humanismu</w:t>
      </w:r>
      <w:r w:rsidRPr="00273106">
        <w:t xml:space="preserve">, který dal člověku dvojí určení blaženosti v rámci rozumu i víry. </w:t>
      </w:r>
      <w:r>
        <w:t xml:space="preserve">Po roce 1277 a po vítězství objektivního tomismu už </w:t>
      </w:r>
      <w:r>
        <w:rPr>
          <w:lang w:eastAsia="en-US"/>
        </w:rPr>
        <w:t xml:space="preserve">asi </w:t>
      </w:r>
      <w:r w:rsidRPr="00273106">
        <w:t>nikdo</w:t>
      </w:r>
      <w:r>
        <w:t xml:space="preserve"> nechápal Sigerovo</w:t>
      </w:r>
      <w:r w:rsidRPr="00273106">
        <w:t xml:space="preserve"> pojetí ipseity osoby</w:t>
      </w:r>
      <w:r w:rsidRPr="08386548">
        <w:t xml:space="preserve"> </w:t>
      </w:r>
      <w:r>
        <w:t>do hloubky, protože artistický magistr Boethius z Dácie byl vyhnán z univerzity společně s rektorem artistů. Totéž se stalo v roce 1255 škole prvního averroismu pod vedením Guillelma</w:t>
      </w:r>
      <w:r w:rsidRPr="00E735C5">
        <w:t xml:space="preserve"> de </w:t>
      </w:r>
      <w:r w:rsidRPr="00E735C5">
        <w:rPr>
          <w:szCs w:val="16"/>
        </w:rPr>
        <w:t xml:space="preserve">Sancto </w:t>
      </w:r>
      <w:r w:rsidRPr="00E735C5">
        <w:rPr>
          <w:szCs w:val="19"/>
        </w:rPr>
        <w:t>Amore</w:t>
      </w:r>
      <w:r>
        <w:rPr>
          <w:szCs w:val="19"/>
        </w:rPr>
        <w:t xml:space="preserve">, který byl také vyhnán i se svými žáky. </w:t>
      </w:r>
      <w:r>
        <w:rPr>
          <w:szCs w:val="19"/>
        </w:rPr>
        <w:fldChar w:fldCharType="begin"/>
      </w:r>
      <w:r>
        <w:instrText xml:space="preserve"> XE "</w:instrText>
      </w:r>
      <w:r w:rsidRPr="003B256A">
        <w:instrText xml:space="preserve"> </w:instrText>
      </w:r>
      <w:r>
        <w:instrText>Guillelmus</w:instrText>
      </w:r>
      <w:r w:rsidRPr="00E51395">
        <w:instrText xml:space="preserve"> de Sancto Amore</w:instrText>
      </w:r>
      <w:r>
        <w:instrText xml:space="preserve">" </w:instrText>
      </w:r>
      <w:r>
        <w:rPr>
          <w:szCs w:val="19"/>
        </w:rPr>
        <w:fldChar w:fldCharType="end"/>
      </w:r>
      <w:r>
        <w:t xml:space="preserve">Po vyhnání těchto dvou milovníků moudrosti a jejich akademické dehonestaci jako </w:t>
      </w:r>
      <w:r w:rsidR="08F80AA1">
        <w:t>tzv. „</w:t>
      </w:r>
      <w:r>
        <w:t>averroistů</w:t>
      </w:r>
      <w:r w:rsidR="08F80AA1">
        <w:t>“</w:t>
      </w:r>
      <w:r>
        <w:t xml:space="preserve"> už byl nástup moderny nezadržitelný. S</w:t>
      </w:r>
      <w:r w:rsidRPr="00273106">
        <w:t xml:space="preserve">kromný světský kněz </w:t>
      </w:r>
      <w:r>
        <w:t xml:space="preserve">poctěný titulem </w:t>
      </w:r>
      <w:r>
        <w:rPr>
          <w:i/>
        </w:rPr>
        <w:t>Doctor Invidiosus</w:t>
      </w:r>
      <w:r>
        <w:rPr>
          <w:i/>
        </w:rPr>
        <w:fldChar w:fldCharType="begin"/>
      </w:r>
      <w:r>
        <w:instrText xml:space="preserve"> XE "</w:instrText>
      </w:r>
      <w:r>
        <w:rPr>
          <w:i/>
        </w:rPr>
        <w:instrText>Doctor Invidiosus</w:instrText>
      </w:r>
      <w:r>
        <w:instrText xml:space="preserve">" </w:instrText>
      </w:r>
      <w:r>
        <w:rPr>
          <w:i/>
        </w:rPr>
        <w:fldChar w:fldCharType="end"/>
      </w:r>
      <w:r>
        <w:t xml:space="preserve"> </w:t>
      </w:r>
      <w:r w:rsidRPr="00273106">
        <w:t>nepatřil k mocensky vlivnému řádu</w:t>
      </w:r>
      <w:r>
        <w:t xml:space="preserve"> dominikánů a</w:t>
      </w:r>
      <w:r w:rsidRPr="00273106">
        <w:t xml:space="preserve"> františkánů, kteří obhajovali druhý averroismus. </w:t>
      </w:r>
      <w:r>
        <w:t xml:space="preserve">Nepochopení celého sporu bylo a je dáno </w:t>
      </w:r>
      <w:r w:rsidRPr="00273106">
        <w:t xml:space="preserve">vinou základní </w:t>
      </w:r>
      <w:r>
        <w:t xml:space="preserve">neznalosti argumentační linie </w:t>
      </w:r>
      <w:r w:rsidRPr="00273106">
        <w:t>CMDA</w:t>
      </w:r>
      <w:r>
        <w:t xml:space="preserve">. Neznalost </w:t>
      </w:r>
      <w:r w:rsidRPr="00273106">
        <w:t>CMDA</w:t>
      </w:r>
      <w:r>
        <w:t xml:space="preserve"> tehdy byla buď pouze částečná</w:t>
      </w:r>
      <w:r w:rsidRPr="00273106">
        <w:t xml:space="preserve"> (Akvinský a Aegidius Romanus v rámci prvního averroismu)</w:t>
      </w:r>
      <w:r>
        <w:t>,</w:t>
      </w:r>
      <w:r w:rsidRPr="00273106">
        <w:t xml:space="preserve"> </w:t>
      </w:r>
      <w:r>
        <w:t>či úplná</w:t>
      </w:r>
      <w:r w:rsidRPr="00273106">
        <w:t xml:space="preserve"> (všichni představitelé druhé</w:t>
      </w:r>
      <w:r>
        <w:t>ho</w:t>
      </w:r>
      <w:r w:rsidRPr="00273106">
        <w:t xml:space="preserve"> averroismu). Akvinský umírá 1274, tedy </w:t>
      </w:r>
      <w:r>
        <w:t xml:space="preserve">brzy po vydání </w:t>
      </w:r>
      <w:r w:rsidRPr="00273106">
        <w:t xml:space="preserve">Sigerovy </w:t>
      </w:r>
      <w:r w:rsidRPr="00273106">
        <w:rPr>
          <w:i/>
          <w:lang w:eastAsia="en-US"/>
        </w:rPr>
        <w:t>De anima intellectiva</w:t>
      </w:r>
      <w:r w:rsidRPr="00273106">
        <w:t xml:space="preserve">, čímž padla asi jediná možnost dialogu mezi oběma prominentními představiteli prvního averroismu. </w:t>
      </w:r>
      <w:r>
        <w:t xml:space="preserve">Magistr a rektor artistů Siger jako poslední zástupce Blundovy školy na Pařížské univerzitě hájí původní </w:t>
      </w:r>
      <w:r w:rsidR="00B84378">
        <w:t xml:space="preserve">identitu </w:t>
      </w:r>
      <w:r>
        <w:t xml:space="preserve">této </w:t>
      </w:r>
      <w:r w:rsidRPr="088C5F2B">
        <w:rPr>
          <w:i/>
        </w:rPr>
        <w:t>alma mater</w:t>
      </w:r>
      <w:r>
        <w:t xml:space="preserve"> </w:t>
      </w:r>
      <w:r w:rsidR="00B84378">
        <w:t xml:space="preserve">zalouženou na </w:t>
      </w:r>
      <w:r w:rsidR="08F80AA1">
        <w:t xml:space="preserve">geniální </w:t>
      </w:r>
      <w:r w:rsidR="00B84378">
        <w:t>interpretaci</w:t>
      </w:r>
      <w:r>
        <w:t xml:space="preserve"> Aristotela podle Komentátora. </w:t>
      </w:r>
      <w:r w:rsidR="0072387E" w:rsidRPr="0072387E">
        <w:t>Jeho věc</w:t>
      </w:r>
      <w:r w:rsidR="00B84378">
        <w:t xml:space="preserve"> </w:t>
      </w:r>
      <w:r w:rsidR="00B84378" w:rsidRPr="0072387E">
        <w:t>prohrála</w:t>
      </w:r>
      <w:r w:rsidR="00B84378">
        <w:t xml:space="preserve"> proti moderním Fúriím, protože Siger hájil pravdivé poznání světa a jednotu osoby. Po nástupu filosofického kartesianismu a politického osvícenství skrze Francouzskou revoluci se </w:t>
      </w:r>
      <w:r w:rsidR="0072387E" w:rsidRPr="0072387E">
        <w:t xml:space="preserve">Pařížská univerzita rozpadla, protože chyběl její </w:t>
      </w:r>
      <w:r w:rsidR="0072387E" w:rsidRPr="0072387E">
        <w:rPr>
          <w:i/>
        </w:rPr>
        <w:t>raison d′être</w:t>
      </w:r>
      <w:r w:rsidR="0072387E" w:rsidRPr="0072387E">
        <w:t xml:space="preserve">. </w:t>
      </w:r>
      <w:r>
        <w:t>Po nuceném odchodu Sigerovců (</w:t>
      </w:r>
      <w:r w:rsidRPr="000A52F5">
        <w:rPr>
          <w:i/>
        </w:rPr>
        <w:t>pars Sigeri</w:t>
      </w:r>
      <w:r>
        <w:rPr>
          <w:i/>
        </w:rPr>
        <w:fldChar w:fldCharType="begin"/>
      </w:r>
      <w:r>
        <w:instrText xml:space="preserve"> XE "</w:instrText>
      </w:r>
      <w:r w:rsidRPr="00977053">
        <w:instrText>první averroismus</w:instrText>
      </w:r>
      <w:r w:rsidRPr="00B52EEE">
        <w:rPr>
          <w:i/>
        </w:rPr>
        <w:instrText>:pars Sigeri</w:instrText>
      </w:r>
      <w:r>
        <w:instrText xml:space="preserve">" </w:instrText>
      </w:r>
      <w:r>
        <w:rPr>
          <w:i/>
        </w:rPr>
        <w:fldChar w:fldCharType="end"/>
      </w:r>
      <w:r>
        <w:t xml:space="preserve">) z artistické fakulty </w:t>
      </w:r>
      <w:r w:rsidRPr="00273106">
        <w:t xml:space="preserve">přišlo osudové odsouzení z roku </w:t>
      </w:r>
      <w:r>
        <w:t xml:space="preserve">1277, které </w:t>
      </w:r>
      <w:r w:rsidRPr="00273106">
        <w:t xml:space="preserve">částečně </w:t>
      </w:r>
      <w:r>
        <w:t xml:space="preserve">odmítlo i aristotelismus </w:t>
      </w:r>
      <w:r w:rsidRPr="00273106">
        <w:t>Akvinského.</w:t>
      </w:r>
      <w:r>
        <w:t xml:space="preserve"> </w:t>
      </w:r>
      <w:r w:rsidRPr="00273106">
        <w:t xml:space="preserve">Citujme úvod dekretu odsuzujícího pod trestem exkomunikace 219 filosofických tezí, který vydal pařížský biskup Étienne Tempier </w:t>
      </w:r>
      <w:r>
        <w:t xml:space="preserve">dne </w:t>
      </w:r>
      <w:r w:rsidRPr="00273106">
        <w:t>7. března 1277.</w:t>
      </w:r>
    </w:p>
    <w:p w:rsidR="08163013" w:rsidRPr="00273106" w:rsidRDefault="08163013" w:rsidP="08163013">
      <w:pPr>
        <w:pStyle w:val="Citace"/>
        <w:rPr>
          <w:noProof/>
          <w:lang w:val="cs-CZ"/>
        </w:rPr>
      </w:pPr>
      <w:r w:rsidRPr="00273106">
        <w:rPr>
          <w:noProof/>
          <w:lang w:val="cs-CZ"/>
        </w:rPr>
        <w:t xml:space="preserve">„Vskutku tvrdí, že toto je pravdivé podle filosofie, ale nikoliv podle </w:t>
      </w:r>
      <w:r>
        <w:rPr>
          <w:noProof/>
          <w:lang w:val="cs-CZ"/>
        </w:rPr>
        <w:t xml:space="preserve">katolické </w:t>
      </w:r>
      <w:r w:rsidRPr="00273106">
        <w:rPr>
          <w:noProof/>
          <w:lang w:val="cs-CZ"/>
        </w:rPr>
        <w:t xml:space="preserve">víry, jako kdyby existovaly dvě protikladné pravdy a jako kdyby proti pravdě Písma svatého  stála pravda výroků </w:t>
      </w:r>
      <w:r w:rsidRPr="00273106">
        <w:rPr>
          <w:noProof/>
          <w:lang w:val="cs-CZ"/>
        </w:rPr>
        <w:lastRenderedPageBreak/>
        <w:t>[</w:t>
      </w:r>
      <w:r w:rsidRPr="00273106">
        <w:rPr>
          <w:i/>
          <w:iCs/>
          <w:noProof/>
          <w:lang w:val="cs-CZ"/>
        </w:rPr>
        <w:t>bohem</w:t>
      </w:r>
      <w:r w:rsidRPr="00273106">
        <w:rPr>
          <w:noProof/>
          <w:lang w:val="cs-CZ"/>
        </w:rPr>
        <w:t>] odsouzených pohanů, o nichž je psáno: 'Zahubím moudrost moudrých' [</w:t>
      </w:r>
      <w:r>
        <w:rPr>
          <w:i/>
          <w:iCs/>
          <w:noProof/>
          <w:lang w:val="cs-CZ"/>
        </w:rPr>
        <w:t xml:space="preserve">1 Kor </w:t>
      </w:r>
      <w:r w:rsidRPr="00D602D2">
        <w:rPr>
          <w:iCs/>
          <w:noProof/>
          <w:lang w:val="cs-CZ"/>
        </w:rPr>
        <w:t>1:19</w:t>
      </w:r>
      <w:r>
        <w:rPr>
          <w:iCs/>
          <w:noProof/>
          <w:lang w:val="cs-CZ"/>
        </w:rPr>
        <w:fldChar w:fldCharType="begin"/>
      </w:r>
      <w:r>
        <w:instrText xml:space="preserve"> XE "</w:instrText>
      </w:r>
      <w:r w:rsidRPr="0046213D">
        <w:rPr>
          <w:lang w:val="cs-CZ"/>
        </w:rPr>
        <w:instrText>Nový zákon:</w:instrText>
      </w:r>
      <w:r w:rsidRPr="005D4D6F">
        <w:rPr>
          <w:i/>
          <w:iCs/>
          <w:noProof/>
          <w:lang w:val="cs-CZ"/>
        </w:rPr>
        <w:instrText>1</w:instrText>
      </w:r>
      <w:r w:rsidRPr="00977053">
        <w:rPr>
          <w:iCs/>
          <w:noProof/>
          <w:lang w:val="cs-CZ"/>
        </w:rPr>
        <w:instrText xml:space="preserve"> </w:instrText>
      </w:r>
      <w:r w:rsidRPr="082B16E0">
        <w:rPr>
          <w:i/>
          <w:iCs/>
          <w:noProof/>
          <w:lang w:val="cs-CZ"/>
        </w:rPr>
        <w:instrText>Kor</w:instrText>
      </w:r>
      <w:r w:rsidRPr="00895FC0">
        <w:rPr>
          <w:i/>
          <w:iCs/>
          <w:noProof/>
          <w:lang w:val="cs-CZ"/>
        </w:rPr>
        <w:instrText xml:space="preserve"> </w:instrText>
      </w:r>
      <w:r>
        <w:rPr>
          <w:iCs/>
          <w:noProof/>
          <w:lang w:val="cs-CZ"/>
        </w:rPr>
        <w:instrText>1.</w:instrText>
      </w:r>
      <w:r w:rsidRPr="00895FC0">
        <w:rPr>
          <w:iCs/>
          <w:noProof/>
          <w:lang w:val="cs-CZ"/>
        </w:rPr>
        <w:instrText>19</w:instrText>
      </w:r>
      <w:r>
        <w:instrText xml:space="preserve">" </w:instrText>
      </w:r>
      <w:r>
        <w:rPr>
          <w:iCs/>
          <w:noProof/>
          <w:lang w:val="cs-CZ"/>
        </w:rPr>
        <w:fldChar w:fldCharType="end"/>
      </w:r>
      <w:r w:rsidRPr="00273106">
        <w:rPr>
          <w:noProof/>
          <w:lang w:val="cs-CZ"/>
        </w:rPr>
        <w:t xml:space="preserve">], neboť pravá moudrost zničí moudrost falešnou.“ </w:t>
      </w:r>
      <w:r w:rsidRPr="00273106">
        <w:rPr>
          <w:rStyle w:val="Znakapoznpodarou"/>
          <w:lang w:val="cs-CZ"/>
        </w:rPr>
        <w:footnoteReference w:id="351"/>
      </w:r>
    </w:p>
    <w:p w:rsidR="00BD7592" w:rsidRDefault="08163013" w:rsidP="08163013">
      <w:r>
        <w:t>D</w:t>
      </w:r>
      <w:r w:rsidRPr="00273106">
        <w:t>ekret postavil jednu pravdu identifikovanou s biblickou moudrostí (</w:t>
      </w:r>
      <w:r w:rsidRPr="00273106">
        <w:rPr>
          <w:i/>
        </w:rPr>
        <w:t>vera sapientia</w:t>
      </w:r>
      <w:r w:rsidRPr="00273106">
        <w:t>) a garantovanou teologicky (</w:t>
      </w:r>
      <w:r w:rsidRPr="00273106">
        <w:rPr>
          <w:i/>
        </w:rPr>
        <w:t>secundum fidem catholicam</w:t>
      </w:r>
      <w:r w:rsidRPr="00273106">
        <w:t xml:space="preserve">). </w:t>
      </w:r>
      <w:r>
        <w:t xml:space="preserve">Prolog </w:t>
      </w:r>
      <w:r w:rsidRPr="00273106">
        <w:t>odsoudil myšlenku dvojí pravdy</w:t>
      </w:r>
      <w:r>
        <w:t xml:space="preserve"> </w:t>
      </w:r>
      <w:r w:rsidRPr="00273106">
        <w:t>(</w:t>
      </w:r>
      <w:r w:rsidRPr="00273106">
        <w:rPr>
          <w:i/>
        </w:rPr>
        <w:t>quasi sint due contrarie veritates</w:t>
      </w:r>
      <w:r>
        <w:rPr>
          <w:i/>
        </w:rPr>
        <w:fldChar w:fldCharType="begin"/>
      </w:r>
      <w:r>
        <w:instrText xml:space="preserve"> XE "</w:instrText>
      </w:r>
      <w:r w:rsidRPr="00556BAC">
        <w:instrText>teorie dvojí pravdy</w:instrText>
      </w:r>
      <w:r>
        <w:instrText xml:space="preserve">" </w:instrText>
      </w:r>
      <w:r>
        <w:rPr>
          <w:i/>
        </w:rPr>
        <w:fldChar w:fldCharType="end"/>
      </w:r>
      <w:r w:rsidRPr="00273106">
        <w:t>) a prohlásil filosofickou pravdu v učení pohanů jako zavrženíhodnou (</w:t>
      </w:r>
      <w:r w:rsidRPr="00273106">
        <w:rPr>
          <w:i/>
        </w:rPr>
        <w:t>veritas in dictis gentilium dampnatorum</w:t>
      </w:r>
      <w:r w:rsidRPr="00273106">
        <w:t xml:space="preserve">). </w:t>
      </w:r>
      <w:r>
        <w:t xml:space="preserve">Pokud bychom vzali jen úvod prohlášení, tak odpovídá fundamentalistickému vztahu k filosofii podle vítězné islámské školy </w:t>
      </w:r>
      <w:r w:rsidRPr="00AF0B0A">
        <w:rPr>
          <w:i/>
        </w:rPr>
        <w:t>mutaka</w:t>
      </w:r>
      <w:r>
        <w:rPr>
          <w:i/>
        </w:rPr>
        <w:t>l</w:t>
      </w:r>
      <w:r w:rsidRPr="00AF0B0A">
        <w:rPr>
          <w:i/>
        </w:rPr>
        <w:t>lim</w:t>
      </w:r>
      <w:r>
        <w:rPr>
          <w:i/>
        </w:rPr>
        <w:fldChar w:fldCharType="begin"/>
      </w:r>
      <w:r>
        <w:instrText xml:space="preserve"> XE "</w:instrText>
      </w:r>
      <w:r w:rsidRPr="00395155">
        <w:rPr>
          <w:i/>
        </w:rPr>
        <w:instrText>mutakallim</w:instrText>
      </w:r>
      <w:r>
        <w:instrText xml:space="preserve">" </w:instrText>
      </w:r>
      <w:r>
        <w:rPr>
          <w:i/>
        </w:rPr>
        <w:fldChar w:fldCharType="end"/>
      </w:r>
      <w:r>
        <w:rPr>
          <w:i/>
        </w:rPr>
        <w:t xml:space="preserve"> </w:t>
      </w:r>
      <w:r>
        <w:t>(</w:t>
      </w:r>
      <w:r w:rsidR="08D44088">
        <w:t xml:space="preserve">OBJ I, kap. </w:t>
      </w:r>
      <w:r w:rsidR="084074FA">
        <w:t>2.3</w:t>
      </w:r>
      <w:r w:rsidR="08D44088">
        <w:t>.3</w:t>
      </w:r>
      <w:r>
        <w:t>). Připomeňme první verzi takto formulovaného odsouzení namířeného ve 12. století proti Abelardovi (</w:t>
      </w:r>
      <w:r w:rsidR="08B517EB">
        <w:t>OBJ II, kap. 1</w:t>
      </w:r>
      <w:r>
        <w:t xml:space="preserve">.3). </w:t>
      </w:r>
      <w:r w:rsidRPr="00273106">
        <w:t>Pařížské odsouzení 219 heterodoxních tezí Kilwardby okamžitě potvrzuj</w:t>
      </w:r>
      <w:r>
        <w:t xml:space="preserve">e i na Oxfordu 18. března 1277. Tento pilný modernista </w:t>
      </w:r>
      <w:r w:rsidRPr="00273106">
        <w:t>navíc sestavil vlastní seznam omylů</w:t>
      </w:r>
      <w:r>
        <w:t xml:space="preserve"> v duchu analytické verze </w:t>
      </w:r>
      <w:r w:rsidRPr="08EE2AB4">
        <w:rPr>
          <w:i/>
        </w:rPr>
        <w:t>Oxfordian Fallacy</w:t>
      </w:r>
      <w:r w:rsidRPr="00273106">
        <w:t>. Preambule Tempiera (</w:t>
      </w:r>
      <w:r w:rsidRPr="00273106">
        <w:rPr>
          <w:i/>
        </w:rPr>
        <w:t>cancellarius</w:t>
      </w:r>
      <w:r w:rsidRPr="00273106">
        <w:t xml:space="preserve"> Sorbonny od </w:t>
      </w:r>
      <w:r>
        <w:t xml:space="preserve">roku </w:t>
      </w:r>
      <w:r w:rsidRPr="00273106">
        <w:t>1263) potvrzuje</w:t>
      </w:r>
      <w:r>
        <w:t xml:space="preserve">, že diskutovaná témata mezi </w:t>
      </w:r>
      <w:r w:rsidRPr="00273106">
        <w:t>prvním a druhým averroismem</w:t>
      </w:r>
      <w:r>
        <w:t xml:space="preserve"> byla </w:t>
      </w:r>
      <w:r w:rsidRPr="00273106">
        <w:t>vyňata z debat filosofických škol a</w:t>
      </w:r>
      <w:r>
        <w:t xml:space="preserve"> byla </w:t>
      </w:r>
      <w:r w:rsidRPr="00273106">
        <w:t>postavena pod kuratelu vě</w:t>
      </w:r>
      <w:r>
        <w:t>roučně vyhlášené pravdy. Teze averroistické dvojí pravdy</w:t>
      </w:r>
      <w:r w:rsidRPr="00273106">
        <w:t xml:space="preserve"> </w:t>
      </w:r>
      <w:r>
        <w:t>představovaly z velké části simulákrum prvního averrroismu vyrobené křídlem univočně myslících modernistů v rámci unifikované teologie (</w:t>
      </w:r>
      <w:r w:rsidR="000403FB">
        <w:t xml:space="preserve">aristotelský </w:t>
      </w:r>
      <w:r>
        <w:t>tomismus) a bibli</w:t>
      </w:r>
      <w:r w:rsidR="000403FB">
        <w:t>cké ontoteologie (augustiniánský</w:t>
      </w:r>
      <w:r>
        <w:t xml:space="preserve"> avicenni</w:t>
      </w:r>
      <w:r w:rsidR="000403FB">
        <w:t>smus</w:t>
      </w:r>
      <w:r>
        <w:t>).</w:t>
      </w:r>
      <w:r w:rsidR="00B85A9D">
        <w:t xml:space="preserve"> </w:t>
      </w:r>
      <w:r w:rsidR="081275D4">
        <w:t xml:space="preserve">Univerzitní </w:t>
      </w:r>
      <w:r>
        <w:t xml:space="preserve">debaty </w:t>
      </w:r>
      <w:r w:rsidRPr="00273106">
        <w:t>přestaly být jen akademickou a filosofickou záležitostí</w:t>
      </w:r>
      <w:r>
        <w:t>, protože argumentačně poražení modernisté přenesli akademický s</w:t>
      </w:r>
      <w:r w:rsidRPr="00273106">
        <w:t xml:space="preserve">por </w:t>
      </w:r>
      <w:r>
        <w:t xml:space="preserve">do mocenské sféry. Rektor Siger se stal skutečný </w:t>
      </w:r>
      <w:r>
        <w:rPr>
          <w:i/>
        </w:rPr>
        <w:t>Doctor Invidiosus</w:t>
      </w:r>
      <w:r>
        <w:rPr>
          <w:i/>
        </w:rPr>
        <w:fldChar w:fldCharType="begin"/>
      </w:r>
      <w:r>
        <w:instrText xml:space="preserve"> XE "</w:instrText>
      </w:r>
      <w:r>
        <w:rPr>
          <w:i/>
        </w:rPr>
        <w:instrText>Doctor Invidiosus</w:instrText>
      </w:r>
      <w:r>
        <w:instrText xml:space="preserve">" </w:instrText>
      </w:r>
      <w:r>
        <w:rPr>
          <w:i/>
        </w:rPr>
        <w:fldChar w:fldCharType="end"/>
      </w:r>
      <w:r>
        <w:t xml:space="preserve">, protože jej </w:t>
      </w:r>
      <w:r w:rsidR="081B66A4">
        <w:t xml:space="preserve">difamovali </w:t>
      </w:r>
      <w:r>
        <w:t>Bonaventurovi modernisté i Tomášovi semiaverroisté. Sofistická f</w:t>
      </w:r>
      <w:r w:rsidRPr="00273106">
        <w:t xml:space="preserve">ilosofie </w:t>
      </w:r>
      <w:r w:rsidRPr="00273106">
        <w:rPr>
          <w:i/>
        </w:rPr>
        <w:t>Modernorum</w:t>
      </w:r>
      <w:r w:rsidRPr="00273106">
        <w:t xml:space="preserve"> se změnila na </w:t>
      </w:r>
      <w:r>
        <w:t xml:space="preserve">mocensky prosazovanou </w:t>
      </w:r>
      <w:r w:rsidRPr="00273106">
        <w:t>ideologii, tehdy danou ve formě dogmatického církevního diskurzu</w:t>
      </w:r>
      <w:r>
        <w:t xml:space="preserve"> a dnes skrze </w:t>
      </w:r>
      <w:r w:rsidR="08561A28">
        <w:t xml:space="preserve">akademické a </w:t>
      </w:r>
      <w:r>
        <w:t>politické ideologie</w:t>
      </w:r>
      <w:r w:rsidRPr="00273106">
        <w:t>.</w:t>
      </w:r>
      <w:r>
        <w:t xml:space="preserve"> Jedna objektivní pravda zvítězila nad pravdivým filosofickým myš</w:t>
      </w:r>
      <w:r w:rsidR="00BD7592">
        <w:t>lením a kritickým rozlišováním.</w:t>
      </w:r>
    </w:p>
    <w:p w:rsidR="00792083" w:rsidRDefault="08163013" w:rsidP="006A232E">
      <w:pPr>
        <w:ind w:firstLine="397"/>
      </w:pPr>
      <w:r w:rsidRPr="00273106">
        <w:t xml:space="preserve">Nutno říci, že </w:t>
      </w:r>
      <w:r>
        <w:t xml:space="preserve">mocensky </w:t>
      </w:r>
      <w:r w:rsidRPr="00273106">
        <w:t>postupoval Alvernus</w:t>
      </w:r>
      <w:r>
        <w:t xml:space="preserve"> </w:t>
      </w:r>
      <w:r w:rsidR="00830C18">
        <w:t xml:space="preserve">okolo </w:t>
      </w:r>
      <w:r>
        <w:t>roku 1240</w:t>
      </w:r>
      <w:r w:rsidRPr="00273106">
        <w:t>, ale zcela opačným směrem</w:t>
      </w:r>
      <w:r w:rsidR="003862E1">
        <w:t>,</w:t>
      </w:r>
      <w:r>
        <w:t xml:space="preserve"> k obraně jednoty osoby a křesťanské teologie proti modernistům. A tento znalec Averroese postupoval </w:t>
      </w:r>
      <w:r w:rsidRPr="00273106">
        <w:t>mnohem citlivěji</w:t>
      </w:r>
      <w:r>
        <w:t xml:space="preserve"> a se znalostí pojednávaných filosofických otázek</w:t>
      </w:r>
      <w:r w:rsidRPr="00273106">
        <w:t xml:space="preserve">. </w:t>
      </w:r>
      <w:r>
        <w:t xml:space="preserve">Bonaventura a jeho škola </w:t>
      </w:r>
      <w:r w:rsidR="00CD76F2">
        <w:t>mohli</w:t>
      </w:r>
      <w:r>
        <w:t xml:space="preserve"> působit na Pařížské univerzitě</w:t>
      </w:r>
      <w:r w:rsidR="003B3C33">
        <w:t xml:space="preserve"> za jeho rektorátu</w:t>
      </w:r>
      <w:r>
        <w:t xml:space="preserve">. To už </w:t>
      </w:r>
      <w:r>
        <w:lastRenderedPageBreak/>
        <w:t>bohužel nebyl případ Alvernových filosoficky a teologicky méně vzdělaných nástupců. Není divu, že univerzální učenec Bacon připravuje na žádost papeže reformu tehdejších studií teologie a filosofie</w:t>
      </w:r>
      <w:r w:rsidR="00BF6ADB">
        <w:t xml:space="preserve">. Bacon výborně znal </w:t>
      </w:r>
      <w:r w:rsidR="00BF6ADB" w:rsidRPr="00BF6ADB">
        <w:t>klasický aristotelism</w:t>
      </w:r>
      <w:r w:rsidR="00BF6ADB">
        <w:t>us na P</w:t>
      </w:r>
      <w:r w:rsidR="00BF6ADB" w:rsidRPr="00BF6ADB">
        <w:t xml:space="preserve">ařížské univerzitě </w:t>
      </w:r>
      <w:r w:rsidR="00BF6ADB">
        <w:t>z let 1240–</w:t>
      </w:r>
      <w:r w:rsidR="00BF6ADB" w:rsidRPr="00BF6ADB">
        <w:t xml:space="preserve">50. </w:t>
      </w:r>
      <w:r>
        <w:t xml:space="preserve">Tehdy byli magistři schopni kvalifikovaně odlišit a posoudit originální text Aristotela a jeho výklad v rámci Toledské a Sicilské školy. Dekret z března 1272 hájil autonomii dvojí genericky odlišné formy poznání </w:t>
      </w:r>
      <w:r w:rsidR="006A232E">
        <w:t>založené na teologii</w:t>
      </w:r>
      <w:r>
        <w:t xml:space="preserve"> a filosofi</w:t>
      </w:r>
      <w:r w:rsidR="006A232E">
        <w:t xml:space="preserve">i. Obě vědy zkoumají </w:t>
      </w:r>
      <w:r>
        <w:t xml:space="preserve">v modu pravdy jako adekvace jeden svět a jednoho Stvořitele jako </w:t>
      </w:r>
      <w:r w:rsidR="006A232E">
        <w:rPr>
          <w:i/>
        </w:rPr>
        <w:t>causa</w:t>
      </w:r>
      <w:r w:rsidRPr="08B671E8">
        <w:rPr>
          <w:i/>
        </w:rPr>
        <w:t xml:space="preserve"> prima</w:t>
      </w:r>
      <w:r>
        <w:t xml:space="preserve"> a proto směřují k jedné pravdě. </w:t>
      </w:r>
      <w:r w:rsidRPr="00273106">
        <w:t>Hledanou jednotu metafyzického smyslu jsoucna nahradila d</w:t>
      </w:r>
      <w:r>
        <w:t xml:space="preserve">eklarativní jednota daná právním dekretem a prosazovaná mocenskou </w:t>
      </w:r>
      <w:r w:rsidRPr="00273106">
        <w:t xml:space="preserve">institucí. </w:t>
      </w:r>
      <w:r>
        <w:t>Předešlé matrice ukázaly, že podobným způsobem dopadla filosofická škola Abelarda při obraně autentické aristotelské filosofie dané v linii Boethia (</w:t>
      </w:r>
      <w:r w:rsidR="08F31E0E">
        <w:t>OBJ II, kap. 1</w:t>
      </w:r>
      <w:r>
        <w:t>.3). O</w:t>
      </w:r>
      <w:r w:rsidRPr="00273106">
        <w:t xml:space="preserve">dsouzení z roku 1277 bylo zrušeno v roce 1325, kdy </w:t>
      </w:r>
      <w:r>
        <w:t xml:space="preserve">pozdější </w:t>
      </w:r>
      <w:r w:rsidRPr="00273106">
        <w:t xml:space="preserve">Tempierův nástupce v Paříži </w:t>
      </w:r>
      <w:r>
        <w:t xml:space="preserve">biskup </w:t>
      </w:r>
      <w:r w:rsidRPr="00273106">
        <w:t>Stephen de Bourret</w:t>
      </w:r>
      <w:r>
        <w:t xml:space="preserve">  prohlásil, že toto odsouzení </w:t>
      </w:r>
      <w:r w:rsidRPr="00273106">
        <w:t>nemá žádnou kanon</w:t>
      </w:r>
      <w:r>
        <w:t>ickou hodnotu</w:t>
      </w:r>
      <w:r w:rsidRPr="00273106">
        <w:t xml:space="preserve"> vzhledem k cenzurovaný</w:t>
      </w:r>
      <w:r>
        <w:t xml:space="preserve">m tomistickým tezím. </w:t>
      </w:r>
      <w:r w:rsidRPr="00273106">
        <w:t xml:space="preserve">Tomášovi stoupenci včetně Alberta si vzali za osobní úkol nikoliv rehabilitaci světského kněze Sigera, ale řádového kolegy Akvinského, což se jim </w:t>
      </w:r>
      <w:r>
        <w:t>podařilo</w:t>
      </w:r>
      <w:r w:rsidRPr="00273106">
        <w:t xml:space="preserve"> </w:t>
      </w:r>
      <w:r>
        <w:t>roku 1286 i na Oxfordu</w:t>
      </w:r>
      <w:r w:rsidRPr="00273106">
        <w:t xml:space="preserve">. Akvinského učení založené pouze na identitě osoby a na skrytém dualismu dvou </w:t>
      </w:r>
      <w:r>
        <w:t xml:space="preserve">hypostázovaných </w:t>
      </w:r>
      <w:r w:rsidRPr="00273106">
        <w:t>forem se stalo oficiálním učením katolické církve</w:t>
      </w:r>
      <w:r>
        <w:t xml:space="preserve"> </w:t>
      </w:r>
      <w:r w:rsidRPr="00273106">
        <w:t xml:space="preserve">skrze </w:t>
      </w:r>
      <w:r>
        <w:t>neo</w:t>
      </w:r>
      <w:r w:rsidRPr="00273106">
        <w:t>tomismus</w:t>
      </w:r>
      <w:r>
        <w:fldChar w:fldCharType="begin"/>
      </w:r>
      <w:r>
        <w:instrText xml:space="preserve"> XE "</w:instrText>
      </w:r>
      <w:r w:rsidRPr="00B26E6A">
        <w:instrText>tomismus</w:instrText>
      </w:r>
      <w:r>
        <w:instrText xml:space="preserve">" </w:instrText>
      </w:r>
      <w:r>
        <w:fldChar w:fldCharType="end"/>
      </w:r>
      <w:r>
        <w:t>, který přežil v úřadující roli křesťanské filosofie až do II. Vatikánského koncilu (1965)</w:t>
      </w:r>
      <w:r>
        <w:fldChar w:fldCharType="begin"/>
      </w:r>
      <w:r>
        <w:instrText xml:space="preserve"> XE "</w:instrText>
      </w:r>
      <w:r w:rsidRPr="00596B05">
        <w:instrText>koncil: Vatikán II</w:instrText>
      </w:r>
      <w:r>
        <w:instrText xml:space="preserve">" </w:instrText>
      </w:r>
      <w:r>
        <w:fldChar w:fldCharType="end"/>
      </w:r>
      <w:r w:rsidR="00792083">
        <w:t>.</w:t>
      </w:r>
      <w:r w:rsidR="001941CB">
        <w:t xml:space="preserve"> Siger </w:t>
      </w:r>
      <w:r w:rsidR="001941CB" w:rsidRPr="00273106">
        <w:t>dosud rehabilitován nebyl, protože kritizoval i Alberta a Akvinského za nedostatečně provedenou syntézu v rámci prvního averroismu.</w:t>
      </w:r>
      <w:r w:rsidR="001941CB">
        <w:t xml:space="preserve"> </w:t>
      </w:r>
      <w:r w:rsidR="001941CB" w:rsidRPr="00273106">
        <w:t xml:space="preserve">Siger </w:t>
      </w:r>
      <w:r w:rsidR="001941CB">
        <w:t xml:space="preserve">byl </w:t>
      </w:r>
      <w:r w:rsidR="001941CB" w:rsidRPr="00273106">
        <w:t>opatrný a kritický filosof</w:t>
      </w:r>
      <w:r w:rsidR="001941CB">
        <w:t>, protože j</w:t>
      </w:r>
      <w:r w:rsidR="001941CB" w:rsidRPr="00273106">
        <w:t xml:space="preserve">eho nauka o intelektu a jednotě osoby se nenechala obloudit </w:t>
      </w:r>
      <w:r w:rsidR="001941CB">
        <w:t xml:space="preserve">bytím intelektu jako </w:t>
      </w:r>
      <w:r w:rsidR="001941CB" w:rsidRPr="00273106">
        <w:t xml:space="preserve">samotné formy. </w:t>
      </w:r>
      <w:r w:rsidR="001941CB">
        <w:t>Intelekt není nemateriální forma</w:t>
      </w:r>
      <w:r w:rsidR="001941CB" w:rsidRPr="0045757B">
        <w:t xml:space="preserve"> </w:t>
      </w:r>
      <w:r w:rsidR="001941CB">
        <w:t xml:space="preserve">duše, ale pouze nemateriální potence duše. Pouze a jedině duše je formou těla a další formu už osoba mít nemůže. </w:t>
      </w:r>
    </w:p>
    <w:p w:rsidR="004564B8" w:rsidRDefault="08163013" w:rsidP="006A232E">
      <w:pPr>
        <w:ind w:firstLine="397"/>
      </w:pPr>
      <w:r>
        <w:t>T</w:t>
      </w:r>
      <w:r w:rsidRPr="00273106">
        <w:t xml:space="preserve">eolog Akvinský chtěl od filosofie mnohem </w:t>
      </w:r>
      <w:r w:rsidR="008911BE" w:rsidRPr="00273106">
        <w:t>více, než</w:t>
      </w:r>
      <w:r>
        <w:t xml:space="preserve"> mohla dát</w:t>
      </w:r>
      <w:r w:rsidR="008911BE">
        <w:t>. P</w:t>
      </w:r>
      <w:r>
        <w:t xml:space="preserve">roto vytvořil důkaz nesmrtelnosti duše </w:t>
      </w:r>
      <w:r w:rsidRPr="00273106">
        <w:t xml:space="preserve">za cenu dualismu dvou forem v člověku. </w:t>
      </w:r>
      <w:r>
        <w:t>Hermeneutika řadí Akvinského do stejné skupiny semiaverroistů ze školy prvního averroismu</w:t>
      </w:r>
      <w:r>
        <w:fldChar w:fldCharType="begin"/>
      </w:r>
      <w:r>
        <w:instrText xml:space="preserve"> XE "</w:instrText>
      </w:r>
      <w:r w:rsidRPr="00CF667F">
        <w:instrText>semiaverroismus</w:instrText>
      </w:r>
      <w:r>
        <w:instrText xml:space="preserve">" </w:instrText>
      </w:r>
      <w:r>
        <w:fldChar w:fldCharType="end"/>
      </w:r>
      <w:r>
        <w:t xml:space="preserve"> jako byl Aegidius Romanus okolo roku 1270. </w:t>
      </w:r>
      <w:r w:rsidRPr="00273106">
        <w:t xml:space="preserve">Vzhledem ke </w:t>
      </w:r>
      <w:r>
        <w:t xml:space="preserve">kritice druhého averroismu a </w:t>
      </w:r>
      <w:r w:rsidRPr="00273106">
        <w:t>pluralit</w:t>
      </w:r>
      <w:r>
        <w:t>y</w:t>
      </w:r>
      <w:r w:rsidRPr="00273106">
        <w:t xml:space="preserve"> substanciál</w:t>
      </w:r>
      <w:r>
        <w:t xml:space="preserve">ních forem v člověku </w:t>
      </w:r>
      <w:r w:rsidR="00816428">
        <w:t>byla</w:t>
      </w:r>
      <w:r w:rsidRPr="00273106">
        <w:t xml:space="preserve"> Tomášova a Sigerova pozice stejná. </w:t>
      </w:r>
      <w:r>
        <w:t>Všichni m</w:t>
      </w:r>
      <w:r w:rsidR="00816428">
        <w:t>yslitelé prvního averroismu šli</w:t>
      </w:r>
      <w:r>
        <w:t xml:space="preserve"> ve šlépějích Alverna a odmítli školu neoplatonských </w:t>
      </w:r>
      <w:r w:rsidR="00230117">
        <w:t>„</w:t>
      </w:r>
      <w:r w:rsidRPr="00B402C0">
        <w:rPr>
          <w:i/>
        </w:rPr>
        <w:t>sequaces Aristotelis</w:t>
      </w:r>
      <w:r w:rsidR="00230117">
        <w:t>“</w:t>
      </w:r>
      <w:r>
        <w:fldChar w:fldCharType="begin"/>
      </w:r>
      <w:r>
        <w:instrText xml:space="preserve"> XE "druhý averroismus:</w:instrText>
      </w:r>
      <w:r w:rsidRPr="00B402C0">
        <w:rPr>
          <w:i/>
        </w:rPr>
        <w:instrText>sequaces Aristotelis</w:instrText>
      </w:r>
      <w:r>
        <w:instrText xml:space="preserve">" </w:instrText>
      </w:r>
      <w:r>
        <w:fldChar w:fldCharType="end"/>
      </w:r>
      <w:r>
        <w:t xml:space="preserve"> a jejich schéma nasvícení intelektu </w:t>
      </w:r>
      <w:r>
        <w:lastRenderedPageBreak/>
        <w:t xml:space="preserve">zezadu od hypostázovaných a subsistentních kosmických forem. Teorie plně receptivního </w:t>
      </w:r>
      <w:r w:rsidRPr="00813A81">
        <w:rPr>
          <w:i/>
        </w:rPr>
        <w:t>intellectus possibilis</w:t>
      </w:r>
      <w:r>
        <w:fldChar w:fldCharType="begin"/>
      </w:r>
      <w:r>
        <w:instrText xml:space="preserve"> XE "první averroismus:</w:instrText>
      </w:r>
      <w:r w:rsidRPr="00813A81">
        <w:rPr>
          <w:i/>
        </w:rPr>
        <w:instrText>intellectus possibilis</w:instrText>
      </w:r>
      <w:r>
        <w:instrText xml:space="preserve">" </w:instrText>
      </w:r>
      <w:r>
        <w:fldChar w:fldCharType="end"/>
      </w:r>
      <w:r>
        <w:t xml:space="preserve"> nemůže být nasvícena od intelektu-slunce, protože člověk by přestal být osobou myslící v sobě a skrze sebe</w:t>
      </w:r>
      <w:r>
        <w:fldChar w:fldCharType="begin"/>
      </w:r>
      <w:r>
        <w:instrText xml:space="preserve"> XE "</w:instrText>
      </w:r>
      <w:r w:rsidRPr="004367CB">
        <w:instrText>intelekt-slunce</w:instrText>
      </w:r>
      <w:r>
        <w:instrText xml:space="preserve">" </w:instrText>
      </w:r>
      <w:r>
        <w:fldChar w:fldCharType="end"/>
      </w:r>
      <w:r>
        <w:t xml:space="preserve">. </w:t>
      </w:r>
      <w:r w:rsidRPr="00273106">
        <w:t xml:space="preserve">Sigerovo pojetí poznání a jednoty osoby </w:t>
      </w:r>
      <w:r>
        <w:t xml:space="preserve">není však </w:t>
      </w:r>
      <w:r w:rsidRPr="00273106">
        <w:t xml:space="preserve">spekulativní jako averroismus teologa Akvinského, ale hermeneutické jako </w:t>
      </w:r>
      <w:r>
        <w:t>Averroes</w:t>
      </w:r>
      <w:r w:rsidRPr="00273106">
        <w:t xml:space="preserve">ovo filosofické pojetí duše a intelektu v CMDA. </w:t>
      </w:r>
      <w:r>
        <w:t xml:space="preserve">Averroes nebyl averroistou, jak tvrdil </w:t>
      </w:r>
      <w:r w:rsidR="08F27398">
        <w:t xml:space="preserve">Tomáš </w:t>
      </w:r>
      <w:r>
        <w:t>Akvinský a Aegidius Romanus</w:t>
      </w:r>
      <w:r>
        <w:fldChar w:fldCharType="begin"/>
      </w:r>
      <w:r>
        <w:instrText xml:space="preserve"> XE "</w:instrText>
      </w:r>
      <w:r w:rsidRPr="00B54432">
        <w:instrText>Aegidius Romanus</w:instrText>
      </w:r>
      <w:r>
        <w:instrText xml:space="preserve">" </w:instrText>
      </w:r>
      <w:r>
        <w:fldChar w:fldCharType="end"/>
      </w:r>
      <w:r>
        <w:t xml:space="preserve"> z prvního averroismu. Siger znal a vyložil Averroese nejlépe ze všech myslitelů latinského Západu. Artista z Rue du Fouarre brilantním myšlením zdůvodnil pravdu tak, že mu všichni opravdově záviděli, a mnozí ho kvůli tomu nenáviděli (</w:t>
      </w:r>
      <w:r w:rsidRPr="005A405F">
        <w:rPr>
          <w:rStyle w:val="textblock"/>
          <w:i/>
        </w:rPr>
        <w:t>silogizzò invidïosi veri</w:t>
      </w:r>
      <w:r>
        <w:rPr>
          <w:rStyle w:val="textblock"/>
          <w:i/>
        </w:rPr>
        <w:t xml:space="preserve">, </w:t>
      </w:r>
      <w:r w:rsidRPr="00BE57A7">
        <w:rPr>
          <w:rStyle w:val="textblock"/>
          <w:i/>
        </w:rPr>
        <w:t>Paradiso</w:t>
      </w:r>
      <w:r>
        <w:rPr>
          <w:rStyle w:val="textblock"/>
          <w:i/>
        </w:rPr>
        <w:t xml:space="preserve"> </w:t>
      </w:r>
      <w:r w:rsidRPr="00BE57A7">
        <w:rPr>
          <w:rStyle w:val="textblock"/>
        </w:rPr>
        <w:t>10.138</w:t>
      </w:r>
      <w:r>
        <w:rPr>
          <w:rStyle w:val="textblock"/>
        </w:rPr>
        <w:fldChar w:fldCharType="begin"/>
      </w:r>
      <w:r>
        <w:instrText xml:space="preserve"> XE "Dante:</w:instrText>
      </w:r>
      <w:r w:rsidRPr="007B312D">
        <w:rPr>
          <w:rStyle w:val="textblock"/>
          <w:i/>
        </w:rPr>
        <w:instrText xml:space="preserve">Paradiso </w:instrText>
      </w:r>
      <w:r w:rsidRPr="007B312D">
        <w:rPr>
          <w:rStyle w:val="textblock"/>
        </w:rPr>
        <w:instrText>10.138</w:instrText>
      </w:r>
      <w:r>
        <w:instrText xml:space="preserve">" </w:instrText>
      </w:r>
      <w:r>
        <w:rPr>
          <w:rStyle w:val="textblock"/>
        </w:rPr>
        <w:fldChar w:fldCharType="end"/>
      </w:r>
      <w:r>
        <w:rPr>
          <w:rStyle w:val="textblock"/>
        </w:rPr>
        <w:t>)</w:t>
      </w:r>
      <w:r>
        <w:t>. Hermeneutika jednoznačně potvrzuje</w:t>
      </w:r>
      <w:r w:rsidRPr="00D9637C">
        <w:t xml:space="preserve"> </w:t>
      </w:r>
      <w:r>
        <w:t xml:space="preserve">charakteristiku Danteho a dala tomuto scholastikovi čestný titul </w:t>
      </w:r>
      <w:r>
        <w:rPr>
          <w:i/>
        </w:rPr>
        <w:t>Doctor Invidiosus</w:t>
      </w:r>
      <w:r>
        <w:rPr>
          <w:i/>
        </w:rPr>
        <w:fldChar w:fldCharType="begin"/>
      </w:r>
      <w:r>
        <w:instrText xml:space="preserve"> XE "</w:instrText>
      </w:r>
      <w:r>
        <w:rPr>
          <w:i/>
        </w:rPr>
        <w:instrText>Doctor Invidiosus</w:instrText>
      </w:r>
      <w:r>
        <w:instrText xml:space="preserve">" </w:instrText>
      </w:r>
      <w:r>
        <w:rPr>
          <w:i/>
        </w:rPr>
        <w:fldChar w:fldCharType="end"/>
      </w:r>
      <w:r>
        <w:t xml:space="preserve">. Umělecký aforismus Danteho je stejně precizní, stručný a přesný jako myšlení Brabantského magistra, který nesnášel sofistiku a vážil pravdu slov na lékárnických vahách. Siger byl v době modernistického zmatení rozumu skvělý filosof, opravdový teolog a moudrý člověk. Takové vlastnosti sofistická moderna neodpouští ani dnes a už vůbec ne v době její první hodině epochální nepravdy, když definitivně dobývala Pařížkou univerzitu, aby ji nakonec přivedla k jejímu zániku. </w:t>
      </w:r>
      <w:r w:rsidRPr="00273106">
        <w:t xml:space="preserve">Sigerova </w:t>
      </w:r>
      <w:r>
        <w:t xml:space="preserve">kritická </w:t>
      </w:r>
      <w:r w:rsidRPr="00273106">
        <w:t xml:space="preserve">opatrnost </w:t>
      </w:r>
      <w:r>
        <w:t xml:space="preserve">zásadním způsobem bránila rozdílné rodové </w:t>
      </w:r>
      <w:r w:rsidRPr="00273106">
        <w:t>určení filosofie</w:t>
      </w:r>
      <w:r>
        <w:t xml:space="preserve"> a teologie</w:t>
      </w:r>
      <w:r>
        <w:fldChar w:fldCharType="begin"/>
      </w:r>
      <w:r>
        <w:instrText xml:space="preserve"> XE "</w:instrText>
      </w:r>
      <w:r w:rsidRPr="00556E04">
        <w:instrText>teorie dvojí pravdy</w:instrText>
      </w:r>
      <w:r>
        <w:instrText xml:space="preserve">" </w:instrText>
      </w:r>
      <w:r>
        <w:fldChar w:fldCharType="end"/>
      </w:r>
      <w:r w:rsidRPr="00273106">
        <w:t xml:space="preserve">. </w:t>
      </w:r>
      <w:r>
        <w:t>Pravdivá a vědecká f</w:t>
      </w:r>
      <w:r w:rsidRPr="00273106">
        <w:t>ilosofie má jen velmi omezenou schopnost, jak podat důkaz o nesmrtelnosti duše. Siger jasně viděl, že myšlení může vykázat v první osobě pouze nemateriální potenci</w:t>
      </w:r>
      <w:r>
        <w:t xml:space="preserve"> intelektu, ale nikoliv jeho subsistenci danou z hlediska teologické věčnosti duše. Intelekt ve výkonu může být pouze potencí, která se realizuje v oduševnělém těle skrze reálně zakoušený výkon </w:t>
      </w:r>
      <w:r w:rsidRPr="00EC09F8">
        <w:rPr>
          <w:i/>
        </w:rPr>
        <w:t>anima intellectiva</w:t>
      </w:r>
      <w:r>
        <w:t xml:space="preserve">. Jakákoliv substancializace intelektu, tolik potřebná pro teology, by přinesla </w:t>
      </w:r>
      <w:r w:rsidRPr="00273106">
        <w:t>dualismu</w:t>
      </w:r>
      <w:r>
        <w:t xml:space="preserve">s dvou hypostází, forem nebo substancí. Ten </w:t>
      </w:r>
      <w:r w:rsidRPr="00273106">
        <w:t xml:space="preserve">by zrušil </w:t>
      </w:r>
      <w:r>
        <w:t xml:space="preserve">jak </w:t>
      </w:r>
      <w:r w:rsidRPr="00273106">
        <w:t>možnost univerzálního poznání</w:t>
      </w:r>
      <w:r>
        <w:t xml:space="preserve">, tak </w:t>
      </w:r>
      <w:r w:rsidRPr="00273106">
        <w:t xml:space="preserve">ipseitu osoby. </w:t>
      </w:r>
      <w:r>
        <w:t>A tyto přirozené charakteristiky osoby musí pravdivá filosofie bránit</w:t>
      </w:r>
      <w:r w:rsidR="00343482">
        <w:t xml:space="preserve">. Filosofie musí být klasicky moudrá, a ne modernisticky hloupá. </w:t>
      </w:r>
      <w:r>
        <w:t xml:space="preserve">Nesmrtelnost duše patří do teologie, protože ve filosofii je možné ji bránit jako racionální postulát, ale nikoliv ve formě vědeckého deduktivního důkazu z kauzality osoby predikované podle </w:t>
      </w:r>
      <w:r w:rsidRPr="08D63EE8">
        <w:rPr>
          <w:i/>
        </w:rPr>
        <w:t>Druhých analytik</w:t>
      </w:r>
      <w:r>
        <w:t xml:space="preserve">. Z existenciálně zakoušené schopnosti odděleného, ale osobního intelektu je </w:t>
      </w:r>
      <w:r w:rsidRPr="00273106">
        <w:t xml:space="preserve">možné učinit deduktivní </w:t>
      </w:r>
      <w:r>
        <w:t xml:space="preserve">vědecký </w:t>
      </w:r>
      <w:r w:rsidRPr="00273106">
        <w:t xml:space="preserve">závěr o </w:t>
      </w:r>
      <w:r>
        <w:t xml:space="preserve">pravdivé povaze </w:t>
      </w:r>
      <w:r w:rsidRPr="00273106">
        <w:t>duše</w:t>
      </w:r>
      <w:r>
        <w:t>, která je nemateriální ve svém výkonu</w:t>
      </w:r>
      <w:r w:rsidRPr="00273106">
        <w:t xml:space="preserve">. </w:t>
      </w:r>
      <w:r>
        <w:t xml:space="preserve">Ale nesmrtelná </w:t>
      </w:r>
      <w:r w:rsidRPr="08DA765B">
        <w:rPr>
          <w:i/>
        </w:rPr>
        <w:t>anima intellectiva</w:t>
      </w:r>
      <w:r>
        <w:t xml:space="preserve"> je už </w:t>
      </w:r>
      <w:r>
        <w:lastRenderedPageBreak/>
        <w:t>jen abstraktní ko</w:t>
      </w:r>
      <w:r w:rsidR="00093F11">
        <w:t xml:space="preserve">ncept daný v mysli. Jak je duše jako </w:t>
      </w:r>
      <w:r>
        <w:t xml:space="preserve">esence věčná a zda je stvořená bohem nebo ne, to jsou otázky pro teologii. </w:t>
      </w:r>
      <w:r w:rsidRPr="00273106">
        <w:t>Filosofie a teologie představuje dva r</w:t>
      </w:r>
      <w:r w:rsidR="00093F11">
        <w:t>ozdílné rody a cesty poznání. P</w:t>
      </w:r>
      <w:r w:rsidRPr="00273106">
        <w:t xml:space="preserve">odle </w:t>
      </w:r>
      <w:r w:rsidRPr="08372F5A">
        <w:rPr>
          <w:i/>
        </w:rPr>
        <w:t>Druhých analytik</w:t>
      </w:r>
      <w:r w:rsidRPr="00273106">
        <w:t xml:space="preserve"> není možný přechod </w:t>
      </w:r>
      <w:r>
        <w:t xml:space="preserve">vědeckého </w:t>
      </w:r>
      <w:r w:rsidRPr="00273106">
        <w:t xml:space="preserve">důkazu z jednoho rodu na druhý. </w:t>
      </w:r>
      <w:r>
        <w:t xml:space="preserve">K plnosti pravdy vedou dvě cesty, které se doplňují. </w:t>
      </w:r>
      <w:r w:rsidRPr="00273106">
        <w:t>Magistr Siger to dobře věděl, a s ním i každý aristotelsky vzdělaný artista n</w:t>
      </w:r>
      <w:r>
        <w:t>a Pařížské univerzitě, který povinně četl dekret magistrů vydaný roku 1272</w:t>
      </w:r>
      <w:r>
        <w:rPr>
          <w:szCs w:val="24"/>
        </w:rPr>
        <w:fldChar w:fldCharType="begin"/>
      </w:r>
      <w:r>
        <w:instrText xml:space="preserve"> XE "</w:instrText>
      </w:r>
      <w:r w:rsidRPr="00FD37CA">
        <w:rPr>
          <w:szCs w:val="24"/>
        </w:rPr>
        <w:instrText>dekret artistů 1272</w:instrText>
      </w:r>
      <w:r>
        <w:instrText xml:space="preserve">" </w:instrText>
      </w:r>
      <w:r>
        <w:rPr>
          <w:szCs w:val="24"/>
        </w:rPr>
        <w:fldChar w:fldCharType="end"/>
      </w:r>
      <w:r w:rsidRPr="00273106">
        <w:t>.</w:t>
      </w:r>
      <w:r w:rsidR="005356BE">
        <w:t xml:space="preserve"> </w:t>
      </w:r>
      <w:r w:rsidR="005356BE" w:rsidRPr="00273106">
        <w:t>Siger stejně jako</w:t>
      </w:r>
      <w:r w:rsidR="005356BE">
        <w:t xml:space="preserve"> Bacon a Dante hájí teorii dvojí cesty k poznání</w:t>
      </w:r>
      <w:r w:rsidR="005356BE" w:rsidRPr="00273106">
        <w:t xml:space="preserve">, protože jak teologie, tak i filosofie má </w:t>
      </w:r>
      <w:r w:rsidR="005356BE">
        <w:t>podle citovaného dekretu vlastní obor zkoumání</w:t>
      </w:r>
      <w:r w:rsidR="00F82B38">
        <w:t xml:space="preserve">. </w:t>
      </w:r>
      <w:r w:rsidR="00F82B38" w:rsidRPr="00F82B38">
        <w:t xml:space="preserve">Žádný </w:t>
      </w:r>
      <w:r w:rsidR="00F82B38">
        <w:t xml:space="preserve">genericky </w:t>
      </w:r>
      <w:r w:rsidR="00F82B38" w:rsidRPr="00F82B38">
        <w:t>odlišný typ poznání metodologicky neurčuje jiný typ vědy.</w:t>
      </w:r>
      <w:r w:rsidR="005356BE" w:rsidRPr="00273106">
        <w:t xml:space="preserve"> </w:t>
      </w:r>
    </w:p>
    <w:p w:rsidR="00261090" w:rsidRDefault="08163013" w:rsidP="006A232E">
      <w:pPr>
        <w:ind w:firstLine="397"/>
      </w:pPr>
      <w:r>
        <w:t>Akvinský neustál útok modernistů a sigerovců</w:t>
      </w:r>
      <w:r w:rsidR="008C6950">
        <w:t xml:space="preserve"> v letech 1270‒72, proto odešel</w:t>
      </w:r>
      <w:r>
        <w:t xml:space="preserve"> z Paříže </w:t>
      </w:r>
      <w:r w:rsidR="08EB1F6F">
        <w:t xml:space="preserve">roku 1272 </w:t>
      </w:r>
      <w:r>
        <w:t>stejně jako Pecham o rok před ním. Filosofické důvody odchodu Akvinského ale byly odlišné</w:t>
      </w:r>
      <w:r w:rsidR="08EB1F6F">
        <w:t>, protože byl modernistou jen napůl</w:t>
      </w:r>
      <w:r>
        <w:t xml:space="preserve">. </w:t>
      </w:r>
      <w:r w:rsidR="005356BE">
        <w:t>P</w:t>
      </w:r>
      <w:r>
        <w:t>o roce 1270 začali debatu ovládat</w:t>
      </w:r>
      <w:r w:rsidRPr="00273106">
        <w:t xml:space="preserve"> augustiniánští teologové a avicennovští představitelé univočně pojaté objektivní ontoteologie a logiky.</w:t>
      </w:r>
      <w:bookmarkStart w:id="65" w:name="_Ref408065182"/>
      <w:r w:rsidRPr="00273106">
        <w:t xml:space="preserve"> </w:t>
      </w:r>
      <w:r>
        <w:t xml:space="preserve">Výsledkem byl první moderní zmatek vědění, který pod vedením </w:t>
      </w:r>
      <w:r w:rsidR="007711FB">
        <w:t>božských sil akademické Pomsty vy</w:t>
      </w:r>
      <w:r>
        <w:t xml:space="preserve">vrcholil na Pařížské univerzitě začátkem roku 1277. </w:t>
      </w:r>
      <w:r w:rsidR="008905DC">
        <w:t>Myšlen</w:t>
      </w:r>
      <w:r w:rsidR="00CE7E5E">
        <w:t xml:space="preserve">í, které Bacon označil za „šílené“, </w:t>
      </w:r>
      <w:r>
        <w:t xml:space="preserve">se </w:t>
      </w:r>
      <w:r w:rsidR="00CE7E5E">
        <w:t xml:space="preserve">pak </w:t>
      </w:r>
      <w:r>
        <w:t>stal</w:t>
      </w:r>
      <w:r w:rsidR="00CE7E5E">
        <w:t>o</w:t>
      </w:r>
      <w:r>
        <w:t xml:space="preserve"> normálním, čili moderním a objektivním stavem osvícené mysli vítězně kráčející po </w:t>
      </w:r>
      <w:proofErr w:type="gramStart"/>
      <w:r w:rsidRPr="0832528B">
        <w:rPr>
          <w:i/>
        </w:rPr>
        <w:t>via</w:t>
      </w:r>
      <w:proofErr w:type="gramEnd"/>
      <w:r w:rsidRPr="0832528B">
        <w:rPr>
          <w:i/>
        </w:rPr>
        <w:t xml:space="preserve"> Modernorum</w:t>
      </w:r>
      <w:r>
        <w:t>. E</w:t>
      </w:r>
      <w:r w:rsidRPr="00273106">
        <w:t xml:space="preserve">pochální vláda </w:t>
      </w:r>
      <w:r>
        <w:t xml:space="preserve">jedné objektivní pravdy </w:t>
      </w:r>
      <w:r w:rsidRPr="00273106">
        <w:t>trvá dodnes</w:t>
      </w:r>
      <w:r>
        <w:t xml:space="preserve"> skrze metodologii </w:t>
      </w:r>
      <w:r w:rsidRPr="00377278">
        <w:rPr>
          <w:i/>
        </w:rPr>
        <w:t>Unified</w:t>
      </w:r>
      <w:r>
        <w:rPr>
          <w:i/>
        </w:rPr>
        <w:t xml:space="preserve"> S</w:t>
      </w:r>
      <w:r w:rsidRPr="00912AAE">
        <w:rPr>
          <w:i/>
        </w:rPr>
        <w:t>cience</w:t>
      </w:r>
      <w:r>
        <w:rPr>
          <w:i/>
        </w:rPr>
        <w:fldChar w:fldCharType="begin"/>
      </w:r>
      <w:r>
        <w:instrText xml:space="preserve"> XE "</w:instrText>
      </w:r>
      <w:r>
        <w:rPr>
          <w:i/>
        </w:rPr>
        <w:instrText>Unified S</w:instrText>
      </w:r>
      <w:r w:rsidRPr="00B70114">
        <w:rPr>
          <w:i/>
        </w:rPr>
        <w:instrText>cience</w:instrText>
      </w:r>
      <w:r>
        <w:instrText xml:space="preserve">" </w:instrText>
      </w:r>
      <w:r>
        <w:rPr>
          <w:i/>
        </w:rPr>
        <w:fldChar w:fldCharType="end"/>
      </w:r>
      <w:r w:rsidRPr="00273106">
        <w:t xml:space="preserve">. </w:t>
      </w:r>
      <w:r w:rsidRPr="00273106">
        <w:rPr>
          <w:szCs w:val="24"/>
        </w:rPr>
        <w:t xml:space="preserve">Sofisté druhého averroismu museli </w:t>
      </w:r>
      <w:r>
        <w:rPr>
          <w:szCs w:val="24"/>
        </w:rPr>
        <w:t xml:space="preserve">kritické a vědecké </w:t>
      </w:r>
      <w:r w:rsidRPr="00273106">
        <w:rPr>
          <w:szCs w:val="24"/>
        </w:rPr>
        <w:t xml:space="preserve">aristoteliky v Paříži a </w:t>
      </w:r>
      <w:r>
        <w:rPr>
          <w:szCs w:val="24"/>
        </w:rPr>
        <w:t xml:space="preserve">v </w:t>
      </w:r>
      <w:r w:rsidRPr="00273106">
        <w:rPr>
          <w:szCs w:val="24"/>
        </w:rPr>
        <w:t>Oxfordu ovládnout mocensky</w:t>
      </w:r>
      <w:r>
        <w:rPr>
          <w:szCs w:val="24"/>
        </w:rPr>
        <w:t xml:space="preserve"> a za cenu zásadní deformace Aristotelova a Averroesova </w:t>
      </w:r>
      <w:r w:rsidRPr="00273106">
        <w:rPr>
          <w:szCs w:val="24"/>
        </w:rPr>
        <w:t>učení o substanční jednotě člověka.</w:t>
      </w:r>
      <w:bookmarkEnd w:id="65"/>
      <w:r w:rsidRPr="00273106">
        <w:t xml:space="preserve"> </w:t>
      </w:r>
      <w:r>
        <w:t xml:space="preserve">Proto se stal akademickou obětí modernistů také semiaverroista Akvinský. Brilantní </w:t>
      </w:r>
      <w:r w:rsidRPr="08C800FB">
        <w:rPr>
          <w:rStyle w:val="st"/>
          <w:i/>
        </w:rPr>
        <w:t>Doctor angelicus</w:t>
      </w:r>
      <w:r>
        <w:t xml:space="preserve"> nemohl dlouhodobě vyučovat na katedře ovládané Bonaventurovými modernisty v situaci, kdy tento neméně vlivný </w:t>
      </w:r>
      <w:r w:rsidRPr="087D018B">
        <w:rPr>
          <w:i/>
        </w:rPr>
        <w:t>Doctor Seraphicus</w:t>
      </w:r>
      <w:r>
        <w:rPr>
          <w:rStyle w:val="st"/>
        </w:rPr>
        <w:t xml:space="preserve"> </w:t>
      </w:r>
      <w:r>
        <w:t>pronáší slavnou řadu pařížských kázání věnovaných kritice aristotelismu hlásaného ve škole prvního averroismu (</w:t>
      </w:r>
      <w:r w:rsidRPr="001D3302">
        <w:rPr>
          <w:i/>
        </w:rPr>
        <w:t>isti errores significantur in Apocalypsi in numero nominis bestiae</w:t>
      </w:r>
      <w:r w:rsidR="08477225">
        <w:t>, kap. 4</w:t>
      </w:r>
      <w:r>
        <w:t xml:space="preserve">.1.2). Hermeneutika ráda cituje tento vskutku pythický výrok hlavního zakladatele moderny na Pařížské univerzitě. </w:t>
      </w:r>
      <w:r w:rsidRPr="00273106">
        <w:t xml:space="preserve">Prozíravý Albert se do pařížského sporu </w:t>
      </w:r>
      <w:r>
        <w:t xml:space="preserve">od 1270 </w:t>
      </w:r>
      <w:r w:rsidRPr="00273106">
        <w:t>odmítl plést</w:t>
      </w:r>
      <w:r>
        <w:t>.</w:t>
      </w:r>
      <w:r w:rsidR="08E472F3">
        <w:t xml:space="preserve"> </w:t>
      </w:r>
      <w:r w:rsidR="00352462" w:rsidRPr="00352462">
        <w:t>Připomeňme si přesně opačný postoj A</w:t>
      </w:r>
      <w:r w:rsidR="00AB6193">
        <w:t>lgazela</w:t>
      </w:r>
      <w:r w:rsidR="00352462" w:rsidRPr="00352462">
        <w:t xml:space="preserve">, když ve </w:t>
      </w:r>
      <w:r w:rsidR="00352462">
        <w:t>f</w:t>
      </w:r>
      <w:r w:rsidR="00352462" w:rsidRPr="00352462">
        <w:t>alsafě začala polemika o moder</w:t>
      </w:r>
      <w:r w:rsidR="00352462">
        <w:t>nismu</w:t>
      </w:r>
      <w:r w:rsidR="08B45066">
        <w:t>.</w:t>
      </w:r>
      <w:r w:rsidR="08D76E7C">
        <w:rPr>
          <w:rStyle w:val="Znakapoznpodarou"/>
        </w:rPr>
        <w:footnoteReference w:id="352"/>
      </w:r>
      <w:r w:rsidR="08075C3D">
        <w:t xml:space="preserve"> </w:t>
      </w:r>
      <w:r w:rsidR="08B45066">
        <w:t xml:space="preserve">Tento nejvlivnější intelektuál a teolog v Bagdádu </w:t>
      </w:r>
      <w:r w:rsidR="08E472F3">
        <w:t xml:space="preserve">zásadně odmítl na konci </w:t>
      </w:r>
      <w:r w:rsidR="08E472F3">
        <w:lastRenderedPageBreak/>
        <w:t>traktátu o omylech modernistů základní body jejich nauky</w:t>
      </w:r>
      <w:r w:rsidR="00B430C4">
        <w:t>. F</w:t>
      </w:r>
      <w:r w:rsidR="08E472F3">
        <w:t xml:space="preserve">ilosofickou fatvou </w:t>
      </w:r>
      <w:r w:rsidR="00B430C4">
        <w:t>proti moderně</w:t>
      </w:r>
      <w:r w:rsidR="08E472F3">
        <w:t xml:space="preserve"> zachránil islámskou teologii před tragickým osudem západní scholastiky.</w:t>
      </w:r>
      <w:r>
        <w:t xml:space="preserve"> </w:t>
      </w:r>
      <w:r w:rsidR="08E472F3">
        <w:t xml:space="preserve">Albert </w:t>
      </w:r>
      <w:r>
        <w:t>b</w:t>
      </w:r>
      <w:r w:rsidRPr="00273106">
        <w:t xml:space="preserve">y </w:t>
      </w:r>
      <w:r w:rsidR="08E472F3">
        <w:t xml:space="preserve">nejpíš </w:t>
      </w:r>
      <w:r>
        <w:t xml:space="preserve">při obraně Averroesovy metafyziky a teorie poznání proti modernistům </w:t>
      </w:r>
      <w:r w:rsidRPr="00273106">
        <w:t>dopadl jako Siger</w:t>
      </w:r>
      <w:r>
        <w:t xml:space="preserve">. A vůči tomuto brilantnímu artistovi z Rue du Fouarre by </w:t>
      </w:r>
      <w:r w:rsidR="002A5C9F">
        <w:t xml:space="preserve">Albert </w:t>
      </w:r>
      <w:r>
        <w:t xml:space="preserve">musel na půdě Pařížské univerzity veřejně obhájit esenciální pojetí duše, které hájil odkazem na Avicennovu iluminaci skrze </w:t>
      </w:r>
      <w:r w:rsidRPr="085B755B">
        <w:rPr>
          <w:i/>
        </w:rPr>
        <w:t>intellectus sanctus</w:t>
      </w:r>
      <w:r>
        <w:t xml:space="preserve">. </w:t>
      </w:r>
      <w:r w:rsidR="08477225">
        <w:t xml:space="preserve">Po Sigerově kritice v QIIIDA </w:t>
      </w:r>
      <w:r w:rsidR="083B268D">
        <w:t>ohledně Alberta byla tato nauka filosoficky neobhajitelná</w:t>
      </w:r>
      <w:r w:rsidR="08477225">
        <w:t xml:space="preserve">. </w:t>
      </w:r>
      <w:r>
        <w:t xml:space="preserve">A navíc Albert riskoval veřejný </w:t>
      </w:r>
      <w:r w:rsidRPr="00273106">
        <w:t xml:space="preserve">konflikt </w:t>
      </w:r>
      <w:r>
        <w:t xml:space="preserve">s </w:t>
      </w:r>
      <w:proofErr w:type="gramStart"/>
      <w:r w:rsidRPr="00273106">
        <w:t>Akvinským</w:t>
      </w:r>
      <w:proofErr w:type="gramEnd"/>
      <w:r>
        <w:t xml:space="preserve"> </w:t>
      </w:r>
      <w:r w:rsidRPr="00273106">
        <w:t xml:space="preserve">v otázce intelektu jako </w:t>
      </w:r>
      <w:r>
        <w:t xml:space="preserve">hypostázované </w:t>
      </w:r>
      <w:r w:rsidRPr="00273106">
        <w:t>formy</w:t>
      </w:r>
      <w:r w:rsidR="007F0579">
        <w:t xml:space="preserve">. Ta </w:t>
      </w:r>
      <w:r>
        <w:t xml:space="preserve">zajišťovala teologický postulát nesmrtelnosti duše. </w:t>
      </w:r>
      <w:r w:rsidR="08BB3A18">
        <w:t xml:space="preserve">Filosofický a zcela oprávněný útok na Akvinského by jej demaskoval jako averroistu. </w:t>
      </w:r>
      <w:r w:rsidR="007F0579">
        <w:t xml:space="preserve">Albert by </w:t>
      </w:r>
      <w:r>
        <w:t xml:space="preserve">musel odmítnout Akvinského interpretaci CMDA jako </w:t>
      </w:r>
      <w:r w:rsidR="007F0579">
        <w:t xml:space="preserve">zásadně </w:t>
      </w:r>
      <w:r>
        <w:t xml:space="preserve">mylnou. Dualismus forem hájený Akvinským nebyl v souladu s Albertovou jednotou osoby skrze </w:t>
      </w:r>
      <w:r w:rsidRPr="00ED77E0">
        <w:rPr>
          <w:i/>
        </w:rPr>
        <w:t>in</w:t>
      </w:r>
      <w:r>
        <w:rPr>
          <w:i/>
        </w:rPr>
        <w:t>te</w:t>
      </w:r>
      <w:r w:rsidRPr="00ED77E0">
        <w:rPr>
          <w:i/>
        </w:rPr>
        <w:t>llectus speculativus</w:t>
      </w:r>
      <w:r>
        <w:rPr>
          <w:i/>
        </w:rPr>
        <w:fldChar w:fldCharType="begin"/>
      </w:r>
      <w:r>
        <w:instrText xml:space="preserve"> XE "</w:instrText>
      </w:r>
      <w:r w:rsidRPr="00E2134B">
        <w:rPr>
          <w:i/>
        </w:rPr>
        <w:instrText>intellectus speculativus:</w:instrText>
      </w:r>
      <w:r w:rsidRPr="00E2134B">
        <w:instrText>A</w:instrText>
      </w:r>
      <w:r>
        <w:instrText xml:space="preserve">lbert" </w:instrText>
      </w:r>
      <w:r>
        <w:rPr>
          <w:i/>
        </w:rPr>
        <w:fldChar w:fldCharType="end"/>
      </w:r>
      <w:r>
        <w:rPr>
          <w:i/>
        </w:rPr>
        <w:t xml:space="preserve"> </w:t>
      </w:r>
      <w:r w:rsidRPr="00617BCB">
        <w:t>definovanou</w:t>
      </w:r>
      <w:r>
        <w:rPr>
          <w:i/>
        </w:rPr>
        <w:t xml:space="preserve"> </w:t>
      </w:r>
      <w:r w:rsidRPr="00ED77E0">
        <w:t>podle CMDA</w:t>
      </w:r>
      <w:r w:rsidRPr="00273106">
        <w:t xml:space="preserve">. </w:t>
      </w:r>
      <w:r>
        <w:t xml:space="preserve">Tomášovo pojetí </w:t>
      </w:r>
      <w:r w:rsidRPr="00CF5A9B">
        <w:rPr>
          <w:i/>
        </w:rPr>
        <w:t>copulatio</w:t>
      </w:r>
      <w:r>
        <w:t xml:space="preserve"> a </w:t>
      </w:r>
      <w:r w:rsidRPr="08E04C3E">
        <w:rPr>
          <w:i/>
        </w:rPr>
        <w:t>continuatio</w:t>
      </w:r>
      <w:r>
        <w:t xml:space="preserve"> ohledně možného </w:t>
      </w:r>
      <w:r w:rsidR="00BF620A">
        <w:t xml:space="preserve">kosmického </w:t>
      </w:r>
      <w:r>
        <w:t>intelektu jako substance bylo v</w:t>
      </w:r>
      <w:r w:rsidR="00BF620A">
        <w:t xml:space="preserve"> zásadním </w:t>
      </w:r>
      <w:r>
        <w:t xml:space="preserve">rozporu s učením Averroese. </w:t>
      </w:r>
      <w:r w:rsidR="08427AB2">
        <w:t>Alber věděl velice dobře z let 1240–45 v Paříži, jak Rufus a další modernisté vytvořili ideologický prefabrikát „</w:t>
      </w:r>
      <w:r w:rsidR="08427AB2" w:rsidRPr="003F26F8">
        <w:rPr>
          <w:rFonts w:cs="Calibri"/>
        </w:rPr>
        <w:t>averroistického“ Averroese</w:t>
      </w:r>
      <w:r w:rsidR="00955974">
        <w:rPr>
          <w:rFonts w:cs="Calibri"/>
        </w:rPr>
        <w:t xml:space="preserve">. A tento nesmysl </w:t>
      </w:r>
      <w:r w:rsidR="00717405">
        <w:rPr>
          <w:rFonts w:cs="Calibri"/>
        </w:rPr>
        <w:t>propagoval Akvinský</w:t>
      </w:r>
      <w:r w:rsidR="08427AB2" w:rsidRPr="003F26F8">
        <w:rPr>
          <w:rFonts w:cs="Calibri"/>
        </w:rPr>
        <w:t xml:space="preserve">. </w:t>
      </w:r>
      <w:r>
        <w:t xml:space="preserve">Další kolo sporu Alberta s </w:t>
      </w:r>
      <w:proofErr w:type="gramStart"/>
      <w:r>
        <w:t>Akvinským</w:t>
      </w:r>
      <w:proofErr w:type="gramEnd"/>
      <w:r>
        <w:t xml:space="preserve"> v Paříži kolem 1270 by se jistě týkalo výkladu jednoty osoby. </w:t>
      </w:r>
      <w:r w:rsidR="00261090" w:rsidRPr="00261090">
        <w:t>To</w:t>
      </w:r>
      <w:r w:rsidR="00261090">
        <w:t>máš a Aegidius proměnili Averroé</w:t>
      </w:r>
      <w:r w:rsidR="00261090" w:rsidRPr="00261090">
        <w:t>se v averroistu; navíc vytvořili averroistický výklad osoby založený na pluralitě forem. Oba body byly pro Alberta nepřijatelné.</w:t>
      </w:r>
    </w:p>
    <w:p w:rsidR="007D5A10" w:rsidRDefault="08427AB2" w:rsidP="002736EB">
      <w:pPr>
        <w:ind w:firstLine="397"/>
      </w:pPr>
      <w:r>
        <w:t>Albert obětoval Averroese, Sigerovu školu a filo</w:t>
      </w:r>
      <w:r w:rsidR="08C67066">
        <w:t>s</w:t>
      </w:r>
      <w:r>
        <w:t xml:space="preserve">ofickou </w:t>
      </w:r>
      <w:r w:rsidR="08C67066">
        <w:t>jednot</w:t>
      </w:r>
      <w:r w:rsidR="00576E86">
        <w:t>u</w:t>
      </w:r>
      <w:r w:rsidR="08C67066">
        <w:t xml:space="preserve"> osoby</w:t>
      </w:r>
      <w:r>
        <w:t xml:space="preserve">, aby zachránil Akvinského semiaverroismus. </w:t>
      </w:r>
      <w:r w:rsidR="08163013">
        <w:t xml:space="preserve">Akvinského definice osoby byla podle Sigera a Alberta jako znalců CMDA filosoficky problematická, protože zavedla pluralitu dvou forem. Přitom ale oba semiaverroisté </w:t>
      </w:r>
      <w:r w:rsidR="08F17D3E">
        <w:t xml:space="preserve">Tomáš a Albert </w:t>
      </w:r>
      <w:r w:rsidR="08163013">
        <w:t>zásadně odmítli moderní tezi o pluralitě substancí, kterou měla škola druhého averroismu vedená Bonaventurou a pak Pechamem. Všichni představitelé prvního a</w:t>
      </w:r>
      <w:r w:rsidR="00BD2E83">
        <w:t xml:space="preserve">verroismu odmítli pro přirozené </w:t>
      </w:r>
      <w:r w:rsidR="08163013">
        <w:t xml:space="preserve">poznání dané v </w:t>
      </w:r>
      <w:proofErr w:type="gramStart"/>
      <w:r w:rsidR="08163013" w:rsidRPr="08BF5C03">
        <w:rPr>
          <w:i/>
        </w:rPr>
        <w:t>De</w:t>
      </w:r>
      <w:proofErr w:type="gramEnd"/>
      <w:r w:rsidR="08163013" w:rsidRPr="08BF5C03">
        <w:rPr>
          <w:i/>
        </w:rPr>
        <w:t xml:space="preserve"> anima</w:t>
      </w:r>
      <w:r w:rsidR="08163013">
        <w:t xml:space="preserve"> </w:t>
      </w:r>
      <w:r w:rsidR="00BD2E83">
        <w:t xml:space="preserve">teorii </w:t>
      </w:r>
      <w:r w:rsidR="08163013">
        <w:t>nasvícení intelektu zezadu, přes nějakou formu spiritualizované materie či hypostázovaných kosmických inteligencí.</w:t>
      </w:r>
      <w:r w:rsidR="08163013" w:rsidRPr="08C5352B">
        <w:t xml:space="preserve"> </w:t>
      </w:r>
      <w:r w:rsidR="08163013">
        <w:t>N</w:t>
      </w:r>
      <w:r w:rsidR="08163013" w:rsidRPr="00273106">
        <w:t>ejznámější obětí sporu</w:t>
      </w:r>
      <w:r w:rsidR="08163013">
        <w:t xml:space="preserve"> o prosazení objektivity</w:t>
      </w:r>
      <w:r w:rsidR="08163013">
        <w:rPr>
          <w:i/>
        </w:rPr>
        <w:t xml:space="preserve"> </w:t>
      </w:r>
      <w:r w:rsidR="08163013" w:rsidRPr="00273106">
        <w:t>se stal</w:t>
      </w:r>
      <w:r w:rsidR="08163013">
        <w:rPr>
          <w:i/>
        </w:rPr>
        <w:t xml:space="preserve"> Doctor </w:t>
      </w:r>
      <w:r w:rsidR="08163013">
        <w:rPr>
          <w:i/>
        </w:rPr>
        <w:lastRenderedPageBreak/>
        <w:t>Invidiosus</w:t>
      </w:r>
      <w:r w:rsidR="08163013">
        <w:rPr>
          <w:i/>
        </w:rPr>
        <w:fldChar w:fldCharType="begin"/>
      </w:r>
      <w:r w:rsidR="08163013">
        <w:instrText xml:space="preserve"> XE "</w:instrText>
      </w:r>
      <w:r w:rsidR="08163013">
        <w:rPr>
          <w:i/>
        </w:rPr>
        <w:instrText>Doctor Invidiosus</w:instrText>
      </w:r>
      <w:r w:rsidR="08163013">
        <w:instrText xml:space="preserve">" </w:instrText>
      </w:r>
      <w:r w:rsidR="08163013">
        <w:rPr>
          <w:i/>
        </w:rPr>
        <w:fldChar w:fldCharType="end"/>
      </w:r>
      <w:r w:rsidR="08163013" w:rsidRPr="00273106">
        <w:t xml:space="preserve">, bohužel i díky </w:t>
      </w:r>
      <w:r w:rsidR="08163013">
        <w:t xml:space="preserve">semiaverroistické </w:t>
      </w:r>
      <w:r w:rsidR="08163013" w:rsidRPr="00273106">
        <w:t xml:space="preserve">pozici Akvinského. </w:t>
      </w:r>
      <w:r w:rsidR="08163013">
        <w:t>Spor</w:t>
      </w:r>
      <w:r w:rsidR="08163013" w:rsidRPr="00273106">
        <w:t xml:space="preserve"> </w:t>
      </w:r>
      <w:r w:rsidR="08163013">
        <w:t>ohledně d</w:t>
      </w:r>
      <w:r w:rsidR="08163013" w:rsidRPr="00273106">
        <w:t>vou forem v člověku</w:t>
      </w:r>
      <w:r w:rsidR="08163013">
        <w:t xml:space="preserve"> </w:t>
      </w:r>
      <w:r w:rsidR="08163013" w:rsidRPr="00273106">
        <w:t>tvoří jádro Sigerovy kritiky</w:t>
      </w:r>
      <w:r w:rsidR="08163013">
        <w:t xml:space="preserve"> Akvinského</w:t>
      </w:r>
      <w:r w:rsidR="08163013" w:rsidRPr="00273106">
        <w:t>.</w:t>
      </w:r>
      <w:r w:rsidR="08163013">
        <w:t xml:space="preserve"> </w:t>
      </w:r>
      <w:r w:rsidR="08163013" w:rsidRPr="00273106">
        <w:t xml:space="preserve">Akvinský se pokusil reagovat na oprávněnou kritiku v  </w:t>
      </w:r>
      <w:r w:rsidR="08163013" w:rsidRPr="08D1705F">
        <w:t>QIIIDA</w:t>
      </w:r>
      <w:r w:rsidR="08163013">
        <w:rPr>
          <w:i/>
        </w:rPr>
        <w:t xml:space="preserve"> </w:t>
      </w:r>
      <w:r w:rsidR="08163013">
        <w:t xml:space="preserve">po druhém příchodu do Paříže. </w:t>
      </w:r>
      <w:r w:rsidR="087721C9">
        <w:t xml:space="preserve">Akvinský a Siger </w:t>
      </w:r>
      <w:r w:rsidR="08163013">
        <w:t xml:space="preserve">patřili ke škole prvního averroismu, oba </w:t>
      </w:r>
      <w:r w:rsidR="08163013" w:rsidRPr="00273106">
        <w:t xml:space="preserve">vyučovali v Paříži a </w:t>
      </w:r>
      <w:r w:rsidR="08163013">
        <w:t xml:space="preserve">oba </w:t>
      </w:r>
      <w:r w:rsidR="08163013" w:rsidRPr="00273106">
        <w:t xml:space="preserve">byli vystaveni útoku Bonaventurovy školy druhého averroismu. </w:t>
      </w:r>
      <w:r w:rsidR="08163013">
        <w:t xml:space="preserve">Akvinský přišel v </w:t>
      </w:r>
      <w:proofErr w:type="gramStart"/>
      <w:r w:rsidR="08163013">
        <w:t>Říma</w:t>
      </w:r>
      <w:proofErr w:type="gramEnd"/>
      <w:r w:rsidR="08163013">
        <w:t xml:space="preserve"> s plnou mocí a skvělou reputací obhájenou v římských disputacích a na papežské akademii v Orviettu. Citovaná studie  o básnickém díle </w:t>
      </w:r>
      <w:r w:rsidR="08163013" w:rsidRPr="003628DA">
        <w:rPr>
          <w:i/>
        </w:rPr>
        <w:t xml:space="preserve">Liber </w:t>
      </w:r>
      <w:proofErr w:type="gramStart"/>
      <w:r w:rsidR="08163013" w:rsidRPr="003628DA">
        <w:rPr>
          <w:i/>
        </w:rPr>
        <w:t>de</w:t>
      </w:r>
      <w:proofErr w:type="gramEnd"/>
      <w:r w:rsidR="08163013" w:rsidRPr="003628DA">
        <w:rPr>
          <w:i/>
        </w:rPr>
        <w:t xml:space="preserve"> statu </w:t>
      </w:r>
      <w:proofErr w:type="gramStart"/>
      <w:r w:rsidR="08163013" w:rsidRPr="003628DA">
        <w:rPr>
          <w:i/>
        </w:rPr>
        <w:t>Curie</w:t>
      </w:r>
      <w:proofErr w:type="gramEnd"/>
      <w:r w:rsidR="08163013" w:rsidRPr="003628DA">
        <w:rPr>
          <w:i/>
        </w:rPr>
        <w:t xml:space="preserve"> Romane</w:t>
      </w:r>
      <w:r w:rsidR="08163013" w:rsidRPr="003628DA">
        <w:t xml:space="preserve"> </w:t>
      </w:r>
      <w:r w:rsidR="08163013">
        <w:t xml:space="preserve">komentuje debaty na papežském dvoře, které korespondovaly s debatami a s děním na Pařížské univerzitě. </w:t>
      </w:r>
      <w:r w:rsidR="08163013" w:rsidRPr="00273106">
        <w:t>Filosofické a teologické debaty v Římě a v Orviettu měly kolem 1265‒70 podobný průběh a témata jako v Paříži (Grauert 1912).</w:t>
      </w:r>
      <w:r w:rsidR="08163013">
        <w:t xml:space="preserve"> </w:t>
      </w:r>
      <w:r w:rsidR="08163013" w:rsidRPr="00273106">
        <w:t xml:space="preserve">V této </w:t>
      </w:r>
      <w:r w:rsidR="08163013">
        <w:t xml:space="preserve">složité </w:t>
      </w:r>
      <w:r w:rsidR="08163013" w:rsidRPr="00273106">
        <w:t xml:space="preserve">situaci Akvinský píše </w:t>
      </w:r>
      <w:r w:rsidR="08163013">
        <w:t xml:space="preserve">dílo </w:t>
      </w:r>
      <w:r w:rsidR="08163013" w:rsidRPr="00273106">
        <w:rPr>
          <w:i/>
        </w:rPr>
        <w:t>De unitate intellectus</w:t>
      </w:r>
      <w:r w:rsidR="08163013" w:rsidRPr="00273106">
        <w:t xml:space="preserve">, v němž úspěšně polemizuje s druhým averroismem. </w:t>
      </w:r>
      <w:r w:rsidR="08163013">
        <w:t>Stejně jako Aegidius v Bazánově anonymu psaném asi 1270 i Tomáš vystupuje v </w:t>
      </w:r>
      <w:proofErr w:type="gramStart"/>
      <w:r w:rsidR="08163013" w:rsidRPr="08755DCA">
        <w:rPr>
          <w:i/>
        </w:rPr>
        <w:t>De</w:t>
      </w:r>
      <w:proofErr w:type="gramEnd"/>
      <w:r w:rsidR="08163013" w:rsidRPr="08755DCA">
        <w:rPr>
          <w:i/>
        </w:rPr>
        <w:t xml:space="preserve"> unitate</w:t>
      </w:r>
      <w:r w:rsidR="08163013">
        <w:t xml:space="preserve"> proti Pechamovi, který byl Bonaventurovým a Kilwardbyho chráněncem a patřil k moderní škole myšlení inspirované porretány. Univerzita byla okolo roku 1270 ještě ovládaná skutečnými filosofy a ne moderními sofisty, kteří připravovali filosoficky zmat</w:t>
      </w:r>
      <w:r w:rsidR="002736EB">
        <w:t xml:space="preserve">ený Tempierův dekret roku 1277. </w:t>
      </w:r>
      <w:r w:rsidR="00096B37" w:rsidRPr="00096B37">
        <w:t xml:space="preserve">Neuvěřitelný </w:t>
      </w:r>
      <w:r w:rsidR="00096B37">
        <w:t xml:space="preserve">nástup </w:t>
      </w:r>
      <w:r w:rsidR="00096B37" w:rsidRPr="00096B37">
        <w:t xml:space="preserve">moderní </w:t>
      </w:r>
      <w:r w:rsidR="00096B37" w:rsidRPr="00096B37">
        <w:rPr>
          <w:i/>
        </w:rPr>
        <w:t>apaideusía</w:t>
      </w:r>
      <w:r w:rsidR="00096B37">
        <w:rPr>
          <w:i/>
        </w:rPr>
        <w:fldChar w:fldCharType="begin"/>
      </w:r>
      <w:r w:rsidR="00096B37">
        <w:instrText xml:space="preserve"> XE "</w:instrText>
      </w:r>
      <w:r w:rsidR="00096B37" w:rsidRPr="00B61715">
        <w:rPr>
          <w:i/>
        </w:rPr>
        <w:instrText>apaideusía</w:instrText>
      </w:r>
      <w:r w:rsidR="00096B37">
        <w:instrText xml:space="preserve">" </w:instrText>
      </w:r>
      <w:r w:rsidR="00096B37">
        <w:rPr>
          <w:i/>
        </w:rPr>
        <w:fldChar w:fldCharType="end"/>
      </w:r>
      <w:r w:rsidR="00096B37" w:rsidRPr="00096B37">
        <w:t xml:space="preserve"> se odehrál v letech 1272 až 1277. Během pěti let vytvořila moderna intelektuální zmatek takového rozsahu, že církevní autority ztratily zby</w:t>
      </w:r>
      <w:r w:rsidR="002736EB">
        <w:t>tky zdravého filozofického rozumu</w:t>
      </w:r>
      <w:r w:rsidR="00096B37" w:rsidRPr="00096B37">
        <w:t xml:space="preserve">. </w:t>
      </w:r>
      <w:r w:rsidR="002736EB">
        <w:t>A tak z</w:t>
      </w:r>
      <w:r w:rsidR="00096B37" w:rsidRPr="00096B37">
        <w:t>ničily jedinou školu, která byla</w:t>
      </w:r>
      <w:r w:rsidR="002736EB">
        <w:t xml:space="preserve"> schopna přinést intelektuální zdrav</w:t>
      </w:r>
      <w:r w:rsidR="00096B37" w:rsidRPr="00096B37">
        <w:t>í</w:t>
      </w:r>
      <w:r w:rsidR="002736EB">
        <w:t xml:space="preserve"> do zmatené doby</w:t>
      </w:r>
      <w:r w:rsidR="00096B37" w:rsidRPr="00096B37">
        <w:t xml:space="preserve">. </w:t>
      </w:r>
      <w:r w:rsidR="08163013">
        <w:t>Pecham nemohl zůstat činný v Paříži bez ztráty akademické cti. Veřejný spor obou řádových osobností během roku 1270 byl nevyhnutelný a zvítězil v něm lepší myslitel. Tento františkán emigroval kolem 1271 do modernisty ovládaného Oxfordu, kde se stal po dominikánovi Kilwardbym čelným představitelem školy druhého averroismu. Pecham</w:t>
      </w:r>
      <w:r w:rsidR="08163013" w:rsidRPr="00273106">
        <w:t xml:space="preserve"> </w:t>
      </w:r>
      <w:r w:rsidR="08163013">
        <w:t xml:space="preserve">asi </w:t>
      </w:r>
      <w:r w:rsidR="08163013" w:rsidRPr="00273106">
        <w:t>napsal i odpověď, kterou po něm chtěl Akvinský v </w:t>
      </w:r>
      <w:r w:rsidR="08163013">
        <w:t xml:space="preserve">citovaném </w:t>
      </w:r>
      <w:r w:rsidR="08163013" w:rsidRPr="00273106">
        <w:t xml:space="preserve">závěru </w:t>
      </w:r>
      <w:r w:rsidR="08163013" w:rsidRPr="087D1E07">
        <w:rPr>
          <w:i/>
        </w:rPr>
        <w:t>De unitate</w:t>
      </w:r>
      <w:r w:rsidR="08163013" w:rsidRPr="00273106">
        <w:t>.</w:t>
      </w:r>
      <w:r w:rsidR="08163013">
        <w:t xml:space="preserve"> </w:t>
      </w:r>
      <w:r w:rsidR="08163013" w:rsidRPr="00273106">
        <w:t xml:space="preserve">Hermeneutika za ni považuje dílo </w:t>
      </w:r>
      <w:r w:rsidR="08163013" w:rsidRPr="00273106">
        <w:rPr>
          <w:i/>
        </w:rPr>
        <w:t>Tractatus de anima</w:t>
      </w:r>
      <w:r w:rsidR="08163013" w:rsidRPr="00273106">
        <w:t xml:space="preserve"> (dokončeno 1279)</w:t>
      </w:r>
      <w:r w:rsidR="00FE2D83">
        <w:t xml:space="preserve">. </w:t>
      </w:r>
      <w:r w:rsidR="00FE2D83" w:rsidRPr="00CF2092">
        <w:rPr>
          <w:rFonts w:cs="Calibri"/>
        </w:rPr>
        <w:t xml:space="preserve">Pecham </w:t>
      </w:r>
      <w:r w:rsidR="004B1328">
        <w:t>v tomto spise</w:t>
      </w:r>
      <w:r w:rsidR="08163013" w:rsidRPr="00273106">
        <w:t xml:space="preserve"> zpracoval přednášky dané na římské kurii předtím, než odešel regentovat do Oxfordu</w:t>
      </w:r>
      <w:r w:rsidR="00FE2D83">
        <w:t>. P</w:t>
      </w:r>
      <w:r w:rsidR="08163013" w:rsidRPr="00273106">
        <w:t>o smrti Kilwardbyho (</w:t>
      </w:r>
      <w:r w:rsidR="08163013">
        <w:t>†</w:t>
      </w:r>
      <w:r w:rsidR="08163013" w:rsidRPr="00273106">
        <w:t xml:space="preserve">1279) </w:t>
      </w:r>
      <w:r w:rsidR="00FE2D83">
        <w:t xml:space="preserve">pak </w:t>
      </w:r>
      <w:r w:rsidR="08163013" w:rsidRPr="00273106">
        <w:t>převz</w:t>
      </w:r>
      <w:r w:rsidR="007D5A10">
        <w:t>al arcibiskupství v Canterbury.</w:t>
      </w:r>
    </w:p>
    <w:p w:rsidR="005D017C" w:rsidRDefault="08163013" w:rsidP="00FD0413">
      <w:pPr>
        <w:ind w:firstLine="397"/>
      </w:pPr>
      <w:r>
        <w:t xml:space="preserve">Proti druhému averroismu Akvinský uspěl, ale nikoliv proti znalcům Averroese na Rue du Fouarre. Akvinského </w:t>
      </w:r>
      <w:r w:rsidRPr="00273106">
        <w:t xml:space="preserve">kritika Sigera v díle </w:t>
      </w:r>
      <w:r w:rsidRPr="00273106">
        <w:rPr>
          <w:i/>
        </w:rPr>
        <w:t>De unitate</w:t>
      </w:r>
      <w:r w:rsidRPr="00273106">
        <w:t xml:space="preserve"> byla </w:t>
      </w:r>
      <w:r>
        <w:t>neúspěšná a nešla k jádru věci, což ostatně sám nepřímo přiznal. V tomto spise vyzval Sigera, aby ukázal způsob, skrze který (</w:t>
      </w:r>
      <w:r w:rsidRPr="00920837">
        <w:rPr>
          <w:i/>
        </w:rPr>
        <w:t>modum quo</w:t>
      </w:r>
      <w:r>
        <w:t xml:space="preserve">) aktivita intelektu je jednáním tohoto jednotlivého člověka. Jenže to udělal </w:t>
      </w:r>
      <w:r>
        <w:rPr>
          <w:i/>
        </w:rPr>
        <w:lastRenderedPageBreak/>
        <w:t>Doctor Invidiosus</w:t>
      </w:r>
      <w:r>
        <w:t xml:space="preserve"> už v QIIIDA a všichni vzdělaní magistři ze školy prvního averroismu to věděli. Siger svou pozici znovu vysvětlil v </w:t>
      </w:r>
      <w:proofErr w:type="gramStart"/>
      <w:r w:rsidRPr="089F18A3">
        <w:rPr>
          <w:i/>
        </w:rPr>
        <w:t>De</w:t>
      </w:r>
      <w:proofErr w:type="gramEnd"/>
      <w:r w:rsidRPr="089F18A3">
        <w:rPr>
          <w:i/>
        </w:rPr>
        <w:t xml:space="preserve"> anima intellectiva</w:t>
      </w:r>
      <w:r>
        <w:t xml:space="preserve">, kde navíc přesně kritizoval Tomášovu nedomyšlenou pozici. </w:t>
      </w:r>
      <w:r w:rsidRPr="00273106">
        <w:t>Akvinský neuznal základní fenomenologický pr</w:t>
      </w:r>
      <w:r>
        <w:t xml:space="preserve">incip daný v CMDA a </w:t>
      </w:r>
      <w:r w:rsidRPr="00273106">
        <w:t>zdůrazněný Sigerem na samém počátku sporu</w:t>
      </w:r>
      <w:r>
        <w:t xml:space="preserve">. Opřel se pouze o literu </w:t>
      </w:r>
      <w:r w:rsidRPr="00F66DA7">
        <w:rPr>
          <w:i/>
        </w:rPr>
        <w:t>De anima</w:t>
      </w:r>
      <w:r>
        <w:t xml:space="preserve"> </w:t>
      </w:r>
      <w:r w:rsidRPr="00273106">
        <w:t>429a23</w:t>
      </w:r>
      <w:r>
        <w:fldChar w:fldCharType="begin"/>
      </w:r>
      <w:r>
        <w:instrText xml:space="preserve"> XE "Aristoteles:</w:instrText>
      </w:r>
      <w:r w:rsidRPr="00DE5344">
        <w:rPr>
          <w:rStyle w:val="ref"/>
          <w:i/>
        </w:rPr>
        <w:instrText>De anima</w:instrText>
      </w:r>
      <w:r w:rsidRPr="00DE5344">
        <w:rPr>
          <w:rStyle w:val="ref"/>
        </w:rPr>
        <w:instrText xml:space="preserve"> </w:instrText>
      </w:r>
      <w:r w:rsidRPr="00DE5344">
        <w:instrText>429a23</w:instrText>
      </w:r>
      <w:r>
        <w:instrText xml:space="preserve">" </w:instrText>
      </w:r>
      <w:r>
        <w:fldChar w:fldCharType="end"/>
      </w:r>
      <w:r>
        <w:t xml:space="preserve"> (</w:t>
      </w:r>
      <w:r w:rsidRPr="00273106">
        <w:rPr>
          <w:bCs/>
          <w:i/>
          <w:iCs/>
        </w:rPr>
        <w:t>intellectum possibilem, quo intelligit anima</w:t>
      </w:r>
      <w:r>
        <w:t xml:space="preserve">) a definoval </w:t>
      </w:r>
      <w:r w:rsidRPr="00273106">
        <w:t xml:space="preserve">intelekt </w:t>
      </w:r>
      <w:r>
        <w:t xml:space="preserve">jako </w:t>
      </w:r>
      <w:r w:rsidRPr="00273106">
        <w:t>aktuálně danou formu v duši</w:t>
      </w:r>
      <w:r>
        <w:t>. Akvinský odmítl výklad CMDA a nenašel jinou možnost, jak zachránit jednotu osoby a důkaz nesmrtelnosti duše, než skrze nemateriální intelekt daný jako další formu v duši. Tento spor dvou expozitorů Aristotela sledovali a komentovali všichni tehdejší artisté na Rue du Fouarre. A plným právem zvolili brilantního filosofa Sigera roku 1271 za svého rektora. Tím prohrál i Akvinský, ale jinak než Pecham, protože tento spor běžel uvnitř školy prvního averroismu. Pak magistři z Rue du Fouarre potvrdili dekretem 1272</w:t>
      </w:r>
      <w:r>
        <w:rPr>
          <w:szCs w:val="24"/>
        </w:rPr>
        <w:fldChar w:fldCharType="begin"/>
      </w:r>
      <w:r>
        <w:instrText xml:space="preserve"> XE "</w:instrText>
      </w:r>
      <w:r w:rsidRPr="00FD37CA">
        <w:rPr>
          <w:szCs w:val="24"/>
        </w:rPr>
        <w:instrText>dekret artistů 1272</w:instrText>
      </w:r>
      <w:r>
        <w:instrText xml:space="preserve">" </w:instrText>
      </w:r>
      <w:r>
        <w:rPr>
          <w:szCs w:val="24"/>
        </w:rPr>
        <w:fldChar w:fldCharType="end"/>
      </w:r>
      <w:r>
        <w:t xml:space="preserve"> rodovou odlišnost teologie a filosofie, což zásadně postihlo i Tomášův filosofický traktát </w:t>
      </w:r>
      <w:r w:rsidRPr="000046CC">
        <w:rPr>
          <w:i/>
        </w:rPr>
        <w:t>De unitate</w:t>
      </w:r>
      <w:r>
        <w:t xml:space="preserve"> a teologické spisy psané okolo roku 1268, což byla i první část </w:t>
      </w:r>
      <w:r w:rsidRPr="08AE7079">
        <w:rPr>
          <w:i/>
        </w:rPr>
        <w:t>Teologické sumy</w:t>
      </w:r>
      <w:r>
        <w:t xml:space="preserve">. Svou roli mohla hrát i animozita světských artistů proti jejich mendikantským akademickým kolegům. Ale Sigerův věcný a uctivý postoj v polemice proti Albertovi a Akvinskému ukázal, že to nebyla pravda. Světští artisté postupovali ve sporu naprosto věcně a </w:t>
      </w:r>
      <w:proofErr w:type="gramStart"/>
      <w:r>
        <w:t>řešili</w:t>
      </w:r>
      <w:proofErr w:type="gramEnd"/>
      <w:r>
        <w:t xml:space="preserve"> nejtěžší otázky metafyziky </w:t>
      </w:r>
      <w:proofErr w:type="gramStart"/>
      <w:r w:rsidRPr="006C2D67">
        <w:rPr>
          <w:i/>
        </w:rPr>
        <w:t>sine</w:t>
      </w:r>
      <w:proofErr w:type="gramEnd"/>
      <w:r w:rsidRPr="006C2D67">
        <w:rPr>
          <w:i/>
        </w:rPr>
        <w:t xml:space="preserve"> ira et studio</w:t>
      </w:r>
      <w:r>
        <w:t xml:space="preserve">. Proto jejich moudrost uchovala pravdu Sicilské školy v modu </w:t>
      </w:r>
      <w:r w:rsidRPr="08AD26C3">
        <w:rPr>
          <w:i/>
        </w:rPr>
        <w:t>alétheia</w:t>
      </w:r>
      <w:r>
        <w:t xml:space="preserve"> a ne sofistické a objektivní </w:t>
      </w:r>
      <w:r w:rsidRPr="08AD26C3">
        <w:rPr>
          <w:i/>
        </w:rPr>
        <w:t>veritas</w:t>
      </w:r>
      <w:r>
        <w:t xml:space="preserve">. Druhé kolo sporu v </w:t>
      </w:r>
      <w:proofErr w:type="gramStart"/>
      <w:r>
        <w:t>Paříži  pokračovalo</w:t>
      </w:r>
      <w:proofErr w:type="gramEnd"/>
      <w:r>
        <w:t xml:space="preserve"> po vydání Akvinského </w:t>
      </w:r>
      <w:r w:rsidRPr="00BD7A5E">
        <w:rPr>
          <w:i/>
        </w:rPr>
        <w:t>De unitate</w:t>
      </w:r>
      <w:r>
        <w:t xml:space="preserve">. </w:t>
      </w:r>
      <w:r w:rsidRPr="00273106">
        <w:t>O</w:t>
      </w:r>
      <w:r>
        <w:t>dpověď B</w:t>
      </w:r>
      <w:r w:rsidRPr="00273106">
        <w:t>rabantského m</w:t>
      </w:r>
      <w:r>
        <w:t>ag</w:t>
      </w:r>
      <w:r w:rsidRPr="00273106">
        <w:t xml:space="preserve">istra v </w:t>
      </w:r>
      <w:r>
        <w:rPr>
          <w:i/>
        </w:rPr>
        <w:t>De a</w:t>
      </w:r>
      <w:r w:rsidRPr="00273106">
        <w:rPr>
          <w:i/>
        </w:rPr>
        <w:t>nima intellectiva</w:t>
      </w:r>
      <w:r w:rsidRPr="00273106">
        <w:t xml:space="preserve"> a v komentáři k </w:t>
      </w:r>
      <w:proofErr w:type="gramStart"/>
      <w:r w:rsidRPr="00273106">
        <w:rPr>
          <w:i/>
        </w:rPr>
        <w:t>Liber</w:t>
      </w:r>
      <w:proofErr w:type="gramEnd"/>
      <w:r w:rsidRPr="00273106">
        <w:rPr>
          <w:i/>
        </w:rPr>
        <w:t xml:space="preserve"> de causis</w:t>
      </w:r>
      <w:r>
        <w:rPr>
          <w:i/>
        </w:rPr>
        <w:fldChar w:fldCharType="begin"/>
      </w:r>
      <w:r>
        <w:instrText xml:space="preserve"> XE "</w:instrText>
      </w:r>
      <w:r w:rsidRPr="00C46BD8">
        <w:rPr>
          <w:i/>
        </w:rPr>
        <w:instrText>Liber de causis</w:instrText>
      </w:r>
      <w:r>
        <w:instrText xml:space="preserve">" </w:instrText>
      </w:r>
      <w:r>
        <w:rPr>
          <w:i/>
        </w:rPr>
        <w:fldChar w:fldCharType="end"/>
      </w:r>
      <w:r w:rsidRPr="00273106">
        <w:t xml:space="preserve"> byla </w:t>
      </w:r>
      <w:r>
        <w:t xml:space="preserve">pochopitelně </w:t>
      </w:r>
      <w:r w:rsidRPr="00273106">
        <w:t>kritická k</w:t>
      </w:r>
      <w:r w:rsidR="006E3C0D">
        <w:t> </w:t>
      </w:r>
      <w:r w:rsidRPr="00273106">
        <w:t>Tomášovi</w:t>
      </w:r>
      <w:r w:rsidR="006E3C0D">
        <w:t xml:space="preserve">. Ten </w:t>
      </w:r>
      <w:r>
        <w:t xml:space="preserve">dále </w:t>
      </w:r>
      <w:r w:rsidRPr="00273106">
        <w:t>trval na dualismu dvou forem v člověku</w:t>
      </w:r>
      <w:r>
        <w:t>, které vypracoval během římského období. Za této situace dvojího útoku nezbylo Akvinskému nic jiného, než odejít z Paříže. A p</w:t>
      </w:r>
      <w:r w:rsidR="08BC7853">
        <w:t>o odsouzení 1277 na krátkou dobu</w:t>
      </w:r>
      <w:r>
        <w:t xml:space="preserve"> odchází z Pařížské univerzity pravděpodobně i první tomista Aegidius</w:t>
      </w:r>
      <w:r w:rsidR="08BC7853">
        <w:t xml:space="preserve">. Tento sofista </w:t>
      </w:r>
      <w:r>
        <w:t xml:space="preserve">se ovšem vítězně vrátí s rehabilitovaným </w:t>
      </w:r>
      <w:r w:rsidR="080E5741">
        <w:t xml:space="preserve">„tomistickým“ </w:t>
      </w:r>
      <w:r>
        <w:t xml:space="preserve">Akvinským. </w:t>
      </w:r>
      <w:r w:rsidR="002938AA">
        <w:t>N</w:t>
      </w:r>
      <w:r>
        <w:t xml:space="preserve">a Oxfordu došlo k vývoji, který druhý averroismus posunul mimo původní spor obou škol. Scotus </w:t>
      </w:r>
      <w:r w:rsidRPr="00273106">
        <w:t xml:space="preserve">udělal </w:t>
      </w:r>
      <w:r>
        <w:t xml:space="preserve">na Oxfordu kolem 1290 </w:t>
      </w:r>
      <w:r w:rsidRPr="00273106">
        <w:t>z druhého averroismu novou metafyziku</w:t>
      </w:r>
      <w:r>
        <w:t>. Tím zrušil většinu sofismat, které předešlá generace latinských sofistů vedená canterburským arcibiskupem Pechamem bránila nakonec už jen mocensky</w:t>
      </w:r>
      <w:r w:rsidRPr="00273106">
        <w:t xml:space="preserve">. Další vývoj myšlení objektivity vítězně kráčející po </w:t>
      </w:r>
      <w:proofErr w:type="gramStart"/>
      <w:r w:rsidRPr="00273106">
        <w:rPr>
          <w:i/>
        </w:rPr>
        <w:t>via</w:t>
      </w:r>
      <w:proofErr w:type="gramEnd"/>
      <w:r w:rsidRPr="00273106">
        <w:rPr>
          <w:i/>
        </w:rPr>
        <w:t xml:space="preserve"> Modernorum</w:t>
      </w:r>
      <w:r>
        <w:rPr>
          <w:i/>
        </w:rPr>
        <w:fldChar w:fldCharType="begin"/>
      </w:r>
      <w:r>
        <w:instrText xml:space="preserve"> XE "</w:instrText>
      </w:r>
      <w:r w:rsidRPr="00ED0748">
        <w:rPr>
          <w:i/>
        </w:rPr>
        <w:instrText>via Modernorum</w:instrText>
      </w:r>
      <w:r>
        <w:instrText xml:space="preserve">" </w:instrText>
      </w:r>
      <w:r>
        <w:rPr>
          <w:i/>
        </w:rPr>
        <w:fldChar w:fldCharType="end"/>
      </w:r>
      <w:r w:rsidRPr="00273106">
        <w:t xml:space="preserve"> zrušil spor </w:t>
      </w:r>
      <w:r>
        <w:t xml:space="preserve">mezi oběma školami </w:t>
      </w:r>
      <w:r w:rsidRPr="00273106">
        <w:t>jako zbytečný</w:t>
      </w:r>
      <w:r>
        <w:t xml:space="preserve"> a obě formy metafyziky přešly do epochální </w:t>
      </w:r>
      <w:r w:rsidR="00594E30" w:rsidRPr="00594E30">
        <w:t>Léthé</w:t>
      </w:r>
      <w:r>
        <w:t xml:space="preserve">. </w:t>
      </w:r>
      <w:r>
        <w:rPr>
          <w:rStyle w:val="Zvraznn"/>
          <w:i w:val="0"/>
        </w:rPr>
        <w:t xml:space="preserve">Novověkého modernistu </w:t>
      </w:r>
      <w:r w:rsidRPr="00273106">
        <w:t>Descarta</w:t>
      </w:r>
      <w:r>
        <w:fldChar w:fldCharType="begin"/>
      </w:r>
      <w:r>
        <w:instrText xml:space="preserve"> XE </w:instrText>
      </w:r>
      <w:r>
        <w:lastRenderedPageBreak/>
        <w:instrText>"</w:instrText>
      </w:r>
      <w:r w:rsidRPr="004146C6">
        <w:rPr>
          <w:rStyle w:val="addmd"/>
        </w:rPr>
        <w:instrText>Descartes, R.</w:instrText>
      </w:r>
      <w:r>
        <w:instrText xml:space="preserve">" </w:instrText>
      </w:r>
      <w:r>
        <w:fldChar w:fldCharType="end"/>
      </w:r>
      <w:r w:rsidRPr="00273106">
        <w:t xml:space="preserve"> přímo navazujího na scotistickou </w:t>
      </w:r>
      <w:r w:rsidRPr="00273106">
        <w:rPr>
          <w:i/>
        </w:rPr>
        <w:t>via Modernorum</w:t>
      </w:r>
      <w:r w:rsidRPr="00273106">
        <w:t xml:space="preserve"> lze zařadit do avicennistické postmoderny, která v nové formě dualismu realizuje starý sen neoplatoniků o intelektu jak</w:t>
      </w:r>
      <w:r>
        <w:t>o aktuá</w:t>
      </w:r>
      <w:r w:rsidR="00291450">
        <w:t xml:space="preserve">lní autonomní substanci. </w:t>
      </w:r>
      <w:r>
        <w:rPr>
          <w:lang w:eastAsia="en-US"/>
        </w:rPr>
        <w:t xml:space="preserve">Rozdíl mezi oběma přístupy tvoří jádro debaty o titul </w:t>
      </w:r>
      <w:r w:rsidRPr="08F74B7D">
        <w:rPr>
          <w:i/>
          <w:lang w:eastAsia="en-US"/>
        </w:rPr>
        <w:t>Expositor Novus</w:t>
      </w:r>
      <w:r>
        <w:rPr>
          <w:lang w:eastAsia="en-US"/>
        </w:rPr>
        <w:t xml:space="preserve"> na Pařížské univerzitě. Debata končí Akvinského smrtí roku 1274, kdy byl povolán jako poradce na Druhý lyonský koncil a zemřel během cesty do Lyonu. </w:t>
      </w:r>
      <w:proofErr w:type="gramStart"/>
      <w:r>
        <w:rPr>
          <w:lang w:eastAsia="en-US"/>
        </w:rPr>
        <w:t>Ve</w:t>
      </w:r>
      <w:proofErr w:type="gramEnd"/>
      <w:r>
        <w:rPr>
          <w:lang w:eastAsia="en-US"/>
        </w:rPr>
        <w:t xml:space="preserve"> stejný rok umírá také Bonaventura v Lyonu na </w:t>
      </w:r>
      <w:proofErr w:type="gramStart"/>
      <w:r>
        <w:rPr>
          <w:lang w:eastAsia="en-US"/>
        </w:rPr>
        <w:t>koncilu a mendikantské</w:t>
      </w:r>
      <w:proofErr w:type="gramEnd"/>
      <w:r>
        <w:rPr>
          <w:lang w:eastAsia="en-US"/>
        </w:rPr>
        <w:t xml:space="preserve"> školy bojují proti magistrům v Rue du Fouarre již v nové generační sestavě. Po smrti obou hlavních teoretiků moderny již pro jejich sofistické nástupce nezbyla jiná cesta než mocenská čistka sekulárních magistrů v Rue du Fouarre. Sankce byly o to snadnější, že Bonaventura a Akvinský patřili k teologickým a dogmatickým sloupům církve a oba řády rozběhly proces kanonizace</w:t>
      </w:r>
      <w:r w:rsidRPr="085275E0">
        <w:rPr>
          <w:lang w:eastAsia="en-US"/>
        </w:rPr>
        <w:t xml:space="preserve"> </w:t>
      </w:r>
      <w:r>
        <w:rPr>
          <w:lang w:eastAsia="en-US"/>
        </w:rPr>
        <w:t xml:space="preserve">hned po jejich smrti. Po roce 1275, kdy filosoficky vítězný magistr Siger vydává jako </w:t>
      </w:r>
      <w:r w:rsidRPr="082338FC">
        <w:rPr>
          <w:i/>
          <w:lang w:eastAsia="en-US"/>
        </w:rPr>
        <w:t>Expositor Novus</w:t>
      </w:r>
      <w:r>
        <w:rPr>
          <w:lang w:eastAsia="en-US"/>
        </w:rPr>
        <w:t xml:space="preserve"> komentáře ke klíčovým filosofickým dílům (</w:t>
      </w:r>
      <w:r w:rsidRPr="082338FC">
        <w:rPr>
          <w:i/>
          <w:lang w:eastAsia="en-US"/>
        </w:rPr>
        <w:t>Metafyzika</w:t>
      </w:r>
      <w:r>
        <w:rPr>
          <w:lang w:eastAsia="en-US"/>
        </w:rPr>
        <w:t xml:space="preserve">, </w:t>
      </w:r>
      <w:r w:rsidRPr="082338FC">
        <w:rPr>
          <w:i/>
          <w:lang w:eastAsia="en-US"/>
        </w:rPr>
        <w:t>Liber de causis</w:t>
      </w:r>
      <w:r>
        <w:rPr>
          <w:lang w:eastAsia="en-US"/>
        </w:rPr>
        <w:t xml:space="preserve">) v duchu integrálního aristotelismu podle Komentárora, byl akademický osud Sigerovy </w:t>
      </w:r>
      <w:r w:rsidR="08427739">
        <w:rPr>
          <w:lang w:eastAsia="en-US"/>
        </w:rPr>
        <w:t xml:space="preserve">školy </w:t>
      </w:r>
      <w:r>
        <w:rPr>
          <w:lang w:eastAsia="en-US"/>
        </w:rPr>
        <w:t xml:space="preserve">již zpečetěn. Vzpouru na Rue du Fouarre vedla od roku 1271 skupina </w:t>
      </w:r>
      <w:r w:rsidRPr="08F53723">
        <w:rPr>
          <w:i/>
          <w:lang w:eastAsia="en-US"/>
        </w:rPr>
        <w:t>sequaces Aristotelis</w:t>
      </w:r>
      <w:r>
        <w:rPr>
          <w:lang w:eastAsia="en-US"/>
        </w:rPr>
        <w:t xml:space="preserve"> pod vedením magistra </w:t>
      </w:r>
      <w:r>
        <w:t xml:space="preserve">Albericha z Remeše. Ten patřil do stejné katedrální neoplatonské školy, </w:t>
      </w:r>
      <w:proofErr w:type="gramStart"/>
      <w:r>
        <w:t>která  v předešlém</w:t>
      </w:r>
      <w:proofErr w:type="gramEnd"/>
      <w:r>
        <w:t xml:space="preserve"> staletí zničila Abelarda. Papežský inkvizitor Simon z Brionu dozorující činnost artistů v této pohnuté době se pokusil po církevní </w:t>
      </w:r>
      <w:r w:rsidR="08165C26">
        <w:t xml:space="preserve">(ale nikoliv akademické) </w:t>
      </w:r>
      <w:r>
        <w:t xml:space="preserve">rehabilitaci Sigera vybrat neutrálního </w:t>
      </w:r>
      <w:r>
        <w:rPr>
          <w:lang w:eastAsia="en-US"/>
        </w:rPr>
        <w:t xml:space="preserve">kandidáta, který byl vhodný pro biskupa Tempiera. Novým rektorem artistů na Rue du Fouarre se stal modernista </w:t>
      </w:r>
      <w:r>
        <w:t>Petr z Auvergne (</w:t>
      </w:r>
      <w:r w:rsidRPr="08F53723">
        <w:t>Petrus de Alvernia</w:t>
      </w:r>
      <w:r>
        <w:t xml:space="preserve">), který byl původním vzděláním lékař. Většina magistrů jej za filosofa nepovažovala a jeho jmenování zůstalo sporné. </w:t>
      </w:r>
      <w:r w:rsidR="00FD0413">
        <w:t xml:space="preserve">Pak byl jmenován rektorem </w:t>
      </w:r>
      <w:r>
        <w:t>augustiniánský avicennista Henry z</w:t>
      </w:r>
      <w:r w:rsidR="00FD0413">
        <w:t> </w:t>
      </w:r>
      <w:proofErr w:type="gramStart"/>
      <w:r>
        <w:t>Gentu</w:t>
      </w:r>
      <w:proofErr w:type="gramEnd"/>
      <w:r w:rsidR="00FD0413">
        <w:t xml:space="preserve">. </w:t>
      </w:r>
      <w:r>
        <w:t xml:space="preserve">Gandavus společně s Aegidiem aktivně podporoval školu druhého averroismu a spolupracoval na výsledné verzi Tempierova dekretu z roku 1277. Touto </w:t>
      </w:r>
      <w:r w:rsidR="0850266F">
        <w:t xml:space="preserve">první a dosud málo známou </w:t>
      </w:r>
      <w:r w:rsidR="08B57895">
        <w:t>„</w:t>
      </w:r>
      <w:r>
        <w:t>zradou moderních vzdělanců</w:t>
      </w:r>
      <w:r w:rsidR="08B57895">
        <w:t>“</w:t>
      </w:r>
      <w:r>
        <w:t xml:space="preserve"> </w:t>
      </w:r>
      <w:r w:rsidR="08B57895">
        <w:t>(</w:t>
      </w:r>
      <w:r w:rsidR="08B57895" w:rsidRPr="003F26F8">
        <w:rPr>
          <w:rFonts w:cs="Calibri"/>
        </w:rPr>
        <w:t>Julien Benda</w:t>
      </w:r>
      <w:r w:rsidR="08B57895" w:rsidRPr="00611D3C">
        <w:rPr>
          <w:rFonts w:cs="Calibri"/>
          <w:lang w:val="de-DE"/>
        </w:rPr>
        <w:fldChar w:fldCharType="begin"/>
      </w:r>
      <w:r w:rsidR="08B57895" w:rsidRPr="003F26F8">
        <w:rPr>
          <w:rFonts w:cs="Calibri"/>
        </w:rPr>
        <w:instrText xml:space="preserve"> XE "Benda, J." </w:instrText>
      </w:r>
      <w:r w:rsidR="08B57895" w:rsidRPr="00611D3C">
        <w:rPr>
          <w:rFonts w:cs="Calibri"/>
          <w:lang w:val="de-DE"/>
        </w:rPr>
        <w:fldChar w:fldCharType="end"/>
      </w:r>
      <w:r w:rsidR="08B57895" w:rsidRPr="003F26F8">
        <w:rPr>
          <w:rFonts w:cs="Calibri"/>
        </w:rPr>
        <w:t xml:space="preserve">, </w:t>
      </w:r>
      <w:r w:rsidR="08B57895" w:rsidRPr="003F26F8">
        <w:rPr>
          <w:rFonts w:cs="Calibri"/>
          <w:i/>
        </w:rPr>
        <w:t>La Trahison des Clercs</w:t>
      </w:r>
      <w:r w:rsidR="08B57895" w:rsidRPr="003F26F8">
        <w:rPr>
          <w:rFonts w:cs="Calibri"/>
        </w:rPr>
        <w:t xml:space="preserve">, 1928) </w:t>
      </w:r>
      <w:r w:rsidR="003579F5">
        <w:rPr>
          <w:rFonts w:cs="Calibri"/>
        </w:rPr>
        <w:t xml:space="preserve">začala </w:t>
      </w:r>
      <w:r>
        <w:t xml:space="preserve">Pařížská univerzita </w:t>
      </w:r>
      <w:r w:rsidR="00FF47E0">
        <w:t xml:space="preserve">nevyhnutelně </w:t>
      </w:r>
      <w:r w:rsidR="003579F5">
        <w:t>kráčet ke svému konci</w:t>
      </w:r>
      <w:r>
        <w:t xml:space="preserve">. Její zakladelský </w:t>
      </w:r>
      <w:r w:rsidRPr="08DD406D">
        <w:rPr>
          <w:i/>
        </w:rPr>
        <w:t>Ereignis</w:t>
      </w:r>
      <w:r>
        <w:t xml:space="preserve"> na rozdíl od modernistického Oxfordu stojí a padá s křesťanskou obranou jednoty osoby. Sekulární magistři na Rue du Fouarre prohráli svůj zápas vedený na obranu filosofie a důstojnosti člověka. Vítězství modernistů přineslo humanismus sekularizace završený zrušením univerzity za Francouzské revoluce</w:t>
      </w:r>
      <w:r w:rsidR="00B46AE6">
        <w:t>. Důvody globálního vítězství m</w:t>
      </w:r>
      <w:r>
        <w:t>o</w:t>
      </w:r>
      <w:r w:rsidR="00B46AE6">
        <w:t>d</w:t>
      </w:r>
      <w:r>
        <w:t>erního Oxfordu jsou objektivně da</w:t>
      </w:r>
      <w:r w:rsidR="00FF47E0">
        <w:t xml:space="preserve">né skrze historii kapitalismu, </w:t>
      </w:r>
      <w:r>
        <w:t xml:space="preserve">Britského impéria a bankovní enlávy City of </w:t>
      </w:r>
      <w:proofErr w:type="gramStart"/>
      <w:r>
        <w:t>London</w:t>
      </w:r>
      <w:proofErr w:type="gramEnd"/>
      <w:r>
        <w:t>, kterou  dn</w:t>
      </w:r>
      <w:r w:rsidR="00FF47E0">
        <w:t>es dubluje americká Wall Street</w:t>
      </w:r>
      <w:r>
        <w:t xml:space="preserve">. Postmoderní Fúrie změnily adresu a </w:t>
      </w:r>
      <w:r>
        <w:lastRenderedPageBreak/>
        <w:t>povolání</w:t>
      </w:r>
      <w:r w:rsidR="0032243D">
        <w:t xml:space="preserve">. </w:t>
      </w:r>
      <w:r w:rsidR="0032243D" w:rsidRPr="0032243D">
        <w:t xml:space="preserve">Dnes řídí </w:t>
      </w:r>
      <w:r w:rsidR="0032243D">
        <w:t>říši ekonomických</w:t>
      </w:r>
      <w:r w:rsidR="0032243D" w:rsidRPr="0032243D">
        <w:t xml:space="preserve"> simul</w:t>
      </w:r>
      <w:r w:rsidR="0032243D">
        <w:t xml:space="preserve">áker </w:t>
      </w:r>
      <w:r w:rsidR="0032243D" w:rsidRPr="0032243D">
        <w:t xml:space="preserve">a nihilistické </w:t>
      </w:r>
      <w:r w:rsidR="0032243D">
        <w:t>simulá</w:t>
      </w:r>
      <w:r w:rsidR="0032243D" w:rsidRPr="0032243D">
        <w:t>krum</w:t>
      </w:r>
      <w:r w:rsidR="0032243D">
        <w:t xml:space="preserve"> vědy</w:t>
      </w:r>
      <w:r w:rsidR="0032243D" w:rsidRPr="0032243D">
        <w:t xml:space="preserve">, které je </w:t>
      </w:r>
      <w:r w:rsidR="00D94F30">
        <w:t xml:space="preserve">téměř </w:t>
      </w:r>
      <w:r w:rsidR="0076194B">
        <w:t xml:space="preserve">kompletně </w:t>
      </w:r>
      <w:r w:rsidR="0032243D" w:rsidRPr="0032243D">
        <w:t xml:space="preserve">zotročeno korporacemi a zkorumpovanou politickou mocí. </w:t>
      </w:r>
      <w:r>
        <w:t xml:space="preserve">Produkce a reprodukce </w:t>
      </w:r>
      <w:r w:rsidR="005663AA" w:rsidRPr="005663AA">
        <w:rPr>
          <w:i/>
        </w:rPr>
        <w:t>scibile</w:t>
      </w:r>
      <w:r w:rsidR="005663AA">
        <w:t xml:space="preserve"> </w:t>
      </w:r>
      <w:r>
        <w:t>s</w:t>
      </w:r>
      <w:r w:rsidR="005663AA">
        <w:t xml:space="preserve">e dostala od objektivní mytologie Bonaventury </w:t>
      </w:r>
      <w:r>
        <w:t xml:space="preserve">do objektivního </w:t>
      </w:r>
      <w:r w:rsidR="0032243D">
        <w:t xml:space="preserve">neoliberalismu </w:t>
      </w:r>
      <w:r w:rsidR="005663AA">
        <w:t>dneška</w:t>
      </w:r>
      <w:r w:rsidR="005D017C">
        <w:t>.</w:t>
      </w:r>
    </w:p>
    <w:p w:rsidR="00B95B5D" w:rsidRDefault="08163013" w:rsidP="00554FC1">
      <w:pPr>
        <w:ind w:firstLine="397"/>
      </w:pPr>
      <w:r>
        <w:t xml:space="preserve">Metafyzicky zmatená moderna umožnila mladým </w:t>
      </w:r>
      <w:r w:rsidR="00B6324F">
        <w:t xml:space="preserve">modernistům </w:t>
      </w:r>
      <w:r>
        <w:t xml:space="preserve">odmítajícím kritické </w:t>
      </w:r>
      <w:r w:rsidR="00EE5591">
        <w:t xml:space="preserve">(a obtížné) </w:t>
      </w:r>
      <w:r>
        <w:t xml:space="preserve">myšlení klasické filosofie, aby tvořili významy světa </w:t>
      </w:r>
      <w:r w:rsidRPr="007350C2">
        <w:rPr>
          <w:i/>
        </w:rPr>
        <w:t>ex nihilo</w:t>
      </w:r>
      <w:r>
        <w:rPr>
          <w:i/>
        </w:rPr>
        <w:fldChar w:fldCharType="begin"/>
      </w:r>
      <w:r>
        <w:instrText xml:space="preserve"> XE "</w:instrText>
      </w:r>
      <w:r w:rsidRPr="00551086">
        <w:rPr>
          <w:i/>
        </w:rPr>
        <w:instrText>creatio ex nihilo</w:instrText>
      </w:r>
      <w:r>
        <w:instrText xml:space="preserve">" </w:instrText>
      </w:r>
      <w:r>
        <w:rPr>
          <w:i/>
        </w:rPr>
        <w:fldChar w:fldCharType="end"/>
      </w:r>
      <w:r>
        <w:t xml:space="preserve">. Tato a předešlé matrice rozebíraly první moderní </w:t>
      </w:r>
      <w:r>
        <w:rPr>
          <w:i/>
        </w:rPr>
        <w:t>T</w:t>
      </w:r>
      <w:r w:rsidRPr="08D2097C">
        <w:rPr>
          <w:i/>
        </w:rPr>
        <w:t>ho</w:t>
      </w:r>
      <w:r>
        <w:rPr>
          <w:i/>
        </w:rPr>
        <w:t>ught E</w:t>
      </w:r>
      <w:r w:rsidRPr="08D2097C">
        <w:rPr>
          <w:i/>
        </w:rPr>
        <w:t>xperiments</w:t>
      </w:r>
      <w:r>
        <w:rPr>
          <w:i/>
        </w:rPr>
        <w:fldChar w:fldCharType="begin"/>
      </w:r>
      <w:r>
        <w:instrText xml:space="preserve"> XE "</w:instrText>
      </w:r>
      <w:r w:rsidRPr="08584C98">
        <w:rPr>
          <w:i/>
        </w:rPr>
        <w:instrText>Thought Experiments</w:instrText>
      </w:r>
      <w:r>
        <w:instrText xml:space="preserve">" </w:instrText>
      </w:r>
      <w:r>
        <w:rPr>
          <w:i/>
        </w:rPr>
        <w:fldChar w:fldCharType="end"/>
      </w:r>
      <w:r>
        <w:t xml:space="preserve"> tehdejších </w:t>
      </w:r>
      <w:r w:rsidR="00296D2E" w:rsidRPr="00197409">
        <w:rPr>
          <w:i/>
        </w:rPr>
        <w:t>sophistae Latini</w:t>
      </w:r>
      <w:r w:rsidR="00296D2E">
        <w:rPr>
          <w:i/>
        </w:rPr>
        <w:t xml:space="preserve"> </w:t>
      </w:r>
      <w:r>
        <w:t>neschopných rozlišit metafyzickou, esenciální a logickou rovinu myšlení. Jejich myšlenkové zmatky vedly k zásadním problémům v teologii, což za doby Abelarda ukázal spor o triteismus</w:t>
      </w:r>
      <w:r>
        <w:fldChar w:fldCharType="begin"/>
      </w:r>
      <w:r>
        <w:instrText xml:space="preserve"> XE "</w:instrText>
      </w:r>
      <w:r w:rsidRPr="080024EA">
        <w:instrText>triteismus</w:instrText>
      </w:r>
      <w:r>
        <w:instrText xml:space="preserve">" </w:instrText>
      </w:r>
      <w:r>
        <w:fldChar w:fldCharType="end"/>
      </w:r>
      <w:r>
        <w:t xml:space="preserve">. </w:t>
      </w:r>
      <w:r w:rsidRPr="00273106">
        <w:t xml:space="preserve">Zavedením duše jako </w:t>
      </w:r>
      <w:r w:rsidR="00616388">
        <w:t xml:space="preserve">universální esence a současně jako hylemorfické reálně substance </w:t>
      </w:r>
      <w:r w:rsidRPr="00273106">
        <w:t xml:space="preserve">vznikla celá řada paradoxů, kterou po kapitulaci </w:t>
      </w:r>
      <w:r>
        <w:t xml:space="preserve">kritického </w:t>
      </w:r>
      <w:r w:rsidRPr="00273106">
        <w:t xml:space="preserve">rozumu </w:t>
      </w:r>
      <w:r>
        <w:t xml:space="preserve">peripatetické filosofie </w:t>
      </w:r>
      <w:r w:rsidRPr="00273106">
        <w:t>b</w:t>
      </w:r>
      <w:r>
        <w:t xml:space="preserve">ylo </w:t>
      </w:r>
      <w:r w:rsidRPr="00273106">
        <w:t>nutno hájit pouze mocensky</w:t>
      </w:r>
      <w:r>
        <w:t xml:space="preserve">. </w:t>
      </w:r>
      <w:r w:rsidR="00EB5EBD">
        <w:t xml:space="preserve">Typickým příkladem podobných nesmyslů </w:t>
      </w:r>
      <w:r>
        <w:t>byla teorie numericky individualizovaného intelektu, kterou podle úvodu Etiennova dekretu z roku 1277 hlásali mnozí pařížští studenti filosofie (</w:t>
      </w:r>
      <w:r>
        <w:rPr>
          <w:i/>
          <w:iCs/>
        </w:rPr>
        <w:t>nonnulli parisius studentes in artibus</w:t>
      </w:r>
      <w:r>
        <w:rPr>
          <w:iCs/>
        </w:rPr>
        <w:t>)</w:t>
      </w:r>
      <w:r>
        <w:t xml:space="preserve">. Škoda, že tento dekret neřekl, která z oněch pařížských fakult to byla, zda sekulární artisté na Rue du Fouarre nebo artisté z mendikantských škol. Na Rue du Fouarre běžel celou jednu generaci výklad </w:t>
      </w:r>
      <w:r w:rsidRPr="00211271">
        <w:rPr>
          <w:i/>
        </w:rPr>
        <w:t>De anima</w:t>
      </w:r>
      <w:r>
        <w:t xml:space="preserve"> v modu prvního averroismu </w:t>
      </w:r>
      <w:r>
        <w:rPr>
          <w:i/>
        </w:rPr>
        <w:t>ad mentem Averrois</w:t>
      </w:r>
      <w:r>
        <w:rPr>
          <w:i/>
        </w:rPr>
        <w:fldChar w:fldCharType="begin"/>
      </w:r>
      <w:r>
        <w:instrText xml:space="preserve"> XE "</w:instrText>
      </w:r>
      <w:r>
        <w:rPr>
          <w:i/>
        </w:rPr>
        <w:instrText>ad mentem Averrois</w:instrText>
      </w:r>
      <w:r>
        <w:instrText xml:space="preserve">" </w:instrText>
      </w:r>
      <w:r>
        <w:rPr>
          <w:i/>
        </w:rPr>
        <w:fldChar w:fldCharType="end"/>
      </w:r>
      <w:r>
        <w:t xml:space="preserve">, který nařídil artistickým bakalářům povinnou znalost tohoto spisu už v roce 1255. Zde by podobné nesmysly byly eliminovány vyloučením bakalářů ze studií. Tyto hereze by </w:t>
      </w:r>
      <w:r w:rsidR="00AB1502">
        <w:t xml:space="preserve">nemohl </w:t>
      </w:r>
      <w:r w:rsidR="00F85906">
        <w:t xml:space="preserve">nikdo </w:t>
      </w:r>
      <w:r w:rsidR="00AB1502">
        <w:t xml:space="preserve">hlásat </w:t>
      </w:r>
      <w:r>
        <w:t xml:space="preserve">na půdě fakulty jako platnou filosofickou nauku, protože by zrušily </w:t>
      </w:r>
      <w:r w:rsidRPr="08797325">
        <w:rPr>
          <w:i/>
        </w:rPr>
        <w:t>status quo</w:t>
      </w:r>
      <w:r>
        <w:t xml:space="preserve"> a </w:t>
      </w:r>
      <w:r w:rsidRPr="08797325">
        <w:rPr>
          <w:i/>
        </w:rPr>
        <w:t>genius loci</w:t>
      </w:r>
      <w:r>
        <w:t xml:space="preserve"> Pařížské univerzity vyrostlé na Abelardově metafyzice podle Boethia a na Blundově aristotelské škole. Latinští sofisté myslící v modu logické abstrakce a univerzálního hylemorfismu tvrdili o numericky jednotném intelektu takové nesmysly, že musel zasáhnout i biskup Tempier.  Zrušení těchto nesmyslů ovšem Tempier provedl zničením školy prvního averroismu na Rue du Fouarre. Tento nemoudrý biskup vylil z vaničky dítě i se špinavou vodou a definitivně zničil myslitelský odkaz moudrého předchůdce Alverna. Akademická obec modernistů završila porážku zdravého filosofického rozumu </w:t>
      </w:r>
      <w:r w:rsidR="00F85906">
        <w:t xml:space="preserve">skrze </w:t>
      </w:r>
      <w:r>
        <w:t xml:space="preserve">dvojí </w:t>
      </w:r>
      <w:r w:rsidR="00F85906">
        <w:t xml:space="preserve">verzi Bartolomějské noci, kdy byl proveden masakr filosofů v </w:t>
      </w:r>
      <w:r>
        <w:t>Rue du Fouarre v roce 1256 a 1277</w:t>
      </w:r>
      <w:r w:rsidRPr="00273106">
        <w:t>.</w:t>
      </w:r>
      <w:r>
        <w:t xml:space="preserve"> Sigerova filosofie obhájila plnou jednotu osoby a plný křesťanský humanismus</w:t>
      </w:r>
      <w:r>
        <w:fldChar w:fldCharType="begin"/>
      </w:r>
      <w:r>
        <w:instrText xml:space="preserve"> XE "</w:instrText>
      </w:r>
      <w:r w:rsidRPr="00E93452">
        <w:instrText>humanismus:Siger</w:instrText>
      </w:r>
      <w:r>
        <w:instrText xml:space="preserve">" </w:instrText>
      </w:r>
      <w:r>
        <w:fldChar w:fldCharType="end"/>
      </w:r>
      <w:r w:rsidR="00B95B5D">
        <w:t>.</w:t>
      </w:r>
    </w:p>
    <w:p w:rsidR="08163013" w:rsidRPr="081C7BDF" w:rsidRDefault="00B95B5D" w:rsidP="009B048E">
      <w:pPr>
        <w:ind w:firstLine="397"/>
        <w:rPr>
          <w:rStyle w:val="st"/>
        </w:rPr>
      </w:pPr>
      <w:r>
        <w:lastRenderedPageBreak/>
        <w:t>Siger hájil</w:t>
      </w:r>
      <w:r w:rsidR="001B72FC">
        <w:t xml:space="preserve"> Aristotelův výklad </w:t>
      </w:r>
      <w:r w:rsidR="001B72FC" w:rsidRPr="08B0220B">
        <w:rPr>
          <w:i/>
        </w:rPr>
        <w:t>Etiky Nikomachovy</w:t>
      </w:r>
      <w:r w:rsidR="001B72FC">
        <w:t xml:space="preserve"> </w:t>
      </w:r>
      <w:r w:rsidR="001B72FC" w:rsidRPr="08B0220B">
        <w:t>podaný</w:t>
      </w:r>
      <w:r w:rsidR="001B72FC">
        <w:rPr>
          <w:i/>
        </w:rPr>
        <w:t xml:space="preserve"> ad mentem Averrois</w:t>
      </w:r>
      <w:r w:rsidR="001B72FC">
        <w:rPr>
          <w:i/>
        </w:rPr>
        <w:fldChar w:fldCharType="begin"/>
      </w:r>
      <w:r w:rsidR="001B72FC">
        <w:instrText xml:space="preserve"> XE "</w:instrText>
      </w:r>
      <w:r w:rsidR="001B72FC">
        <w:rPr>
          <w:i/>
        </w:rPr>
        <w:instrText>ad mentem Averrois</w:instrText>
      </w:r>
      <w:r w:rsidR="001B72FC">
        <w:instrText xml:space="preserve">" </w:instrText>
      </w:r>
      <w:r w:rsidR="001B72FC">
        <w:rPr>
          <w:i/>
        </w:rPr>
        <w:fldChar w:fldCharType="end"/>
      </w:r>
      <w:r w:rsidR="001B72FC">
        <w:t xml:space="preserve"> proti teologovi Akvinskému. Dante </w:t>
      </w:r>
      <w:r w:rsidR="00D04952">
        <w:t xml:space="preserve">převzal </w:t>
      </w:r>
      <w:r w:rsidR="08163013" w:rsidRPr="00273106">
        <w:t>Sigerovo určení blaženosti</w:t>
      </w:r>
      <w:r w:rsidR="08163013">
        <w:t xml:space="preserve"> dané podle Boethia z Dá</w:t>
      </w:r>
      <w:r w:rsidR="08163013" w:rsidRPr="00273106">
        <w:t>cie</w:t>
      </w:r>
      <w:r w:rsidR="08163013">
        <w:fldChar w:fldCharType="begin"/>
      </w:r>
      <w:r w:rsidR="08163013">
        <w:instrText xml:space="preserve"> XE "</w:instrText>
      </w:r>
      <w:r w:rsidR="08163013" w:rsidRPr="08A8751A">
        <w:instrText>Boethius z Dácie</w:instrText>
      </w:r>
      <w:r w:rsidR="08163013">
        <w:instrText xml:space="preserve">" </w:instrText>
      </w:r>
      <w:r w:rsidR="08163013">
        <w:fldChar w:fldCharType="end"/>
      </w:r>
      <w:r w:rsidR="08163013" w:rsidRPr="00273106">
        <w:t xml:space="preserve"> (</w:t>
      </w:r>
      <w:r w:rsidR="08163013" w:rsidRPr="00273106">
        <w:rPr>
          <w:i/>
          <w:iCs/>
        </w:rPr>
        <w:t xml:space="preserve">De </w:t>
      </w:r>
      <w:proofErr w:type="gramStart"/>
      <w:r w:rsidR="08163013" w:rsidRPr="00273106">
        <w:rPr>
          <w:i/>
          <w:iCs/>
        </w:rPr>
        <w:t>summo</w:t>
      </w:r>
      <w:proofErr w:type="gramEnd"/>
      <w:r w:rsidR="08163013" w:rsidRPr="00273106">
        <w:rPr>
          <w:i/>
          <w:iCs/>
        </w:rPr>
        <w:t xml:space="preserve"> bono sive De vita philosophi</w:t>
      </w:r>
      <w:r w:rsidR="08163013" w:rsidRPr="00273106">
        <w:rPr>
          <w:iCs/>
        </w:rPr>
        <w:t>, 1270</w:t>
      </w:r>
      <w:r w:rsidR="08163013" w:rsidRPr="00273106">
        <w:t>)</w:t>
      </w:r>
      <w:r w:rsidR="001B72FC">
        <w:t xml:space="preserve"> a </w:t>
      </w:r>
      <w:r w:rsidR="00D04952">
        <w:t>změnil</w:t>
      </w:r>
      <w:r w:rsidR="08163013">
        <w:t xml:space="preserve"> </w:t>
      </w:r>
      <w:r w:rsidR="001B72FC">
        <w:t xml:space="preserve">je </w:t>
      </w:r>
      <w:r w:rsidR="08163013" w:rsidRPr="00273106">
        <w:t xml:space="preserve">na </w:t>
      </w:r>
      <w:r w:rsidR="08163013">
        <w:t xml:space="preserve">politickou cestu člověka </w:t>
      </w:r>
      <w:r w:rsidR="08163013" w:rsidRPr="00273106">
        <w:t>a na její teologické završení u boha po smrti.</w:t>
      </w:r>
      <w:r w:rsidR="08163013">
        <w:t xml:space="preserve"> Dante vytvořil podle </w:t>
      </w:r>
      <w:r w:rsidR="08163013" w:rsidRPr="00273106">
        <w:t xml:space="preserve">Sigera nové určení lidstva v rámci nově objevené </w:t>
      </w:r>
      <w:r w:rsidR="08163013" w:rsidRPr="00A565EA">
        <w:rPr>
          <w:i/>
        </w:rPr>
        <w:t>propria operatio hominis</w:t>
      </w:r>
      <w:r w:rsidR="08163013">
        <w:t xml:space="preserve"> </w:t>
      </w:r>
      <w:r w:rsidR="08163013" w:rsidRPr="00273106">
        <w:t xml:space="preserve">podle </w:t>
      </w:r>
      <w:r w:rsidR="08163013" w:rsidRPr="08ED0B24">
        <w:rPr>
          <w:i/>
        </w:rPr>
        <w:t xml:space="preserve">Etiky Nikomachovy </w:t>
      </w:r>
      <w:r w:rsidR="08163013">
        <w:t xml:space="preserve">a našel nové určení člověka </w:t>
      </w:r>
      <w:r w:rsidR="08163013" w:rsidRPr="00273106">
        <w:t>(</w:t>
      </w:r>
      <w:r w:rsidR="08163013" w:rsidRPr="00273106">
        <w:rPr>
          <w:i/>
        </w:rPr>
        <w:t>sic homo denominatur</w:t>
      </w:r>
      <w:r w:rsidR="08163013" w:rsidRPr="00273106">
        <w:t>). Obě Sigerova ur</w:t>
      </w:r>
      <w:r w:rsidR="08163013">
        <w:t xml:space="preserve">čení člověka, tedy ipseitu osoby a blaženost jako existenciální výkon, </w:t>
      </w:r>
      <w:r w:rsidR="08163013" w:rsidRPr="00273106">
        <w:t>použil Dante</w:t>
      </w:r>
      <w:r w:rsidR="08163013">
        <w:fldChar w:fldCharType="begin"/>
      </w:r>
      <w:r w:rsidR="08163013">
        <w:instrText xml:space="preserve"> XE "</w:instrText>
      </w:r>
      <w:r w:rsidR="08163013" w:rsidRPr="00E871B9">
        <w:instrText>Dante, A.</w:instrText>
      </w:r>
      <w:r w:rsidR="08163013">
        <w:instrText xml:space="preserve">" </w:instrText>
      </w:r>
      <w:r w:rsidR="08163013">
        <w:fldChar w:fldCharType="end"/>
      </w:r>
      <w:r w:rsidR="08163013" w:rsidRPr="00273106">
        <w:t xml:space="preserve"> pro konstrukci nového h</w:t>
      </w:r>
      <w:r w:rsidR="08163013">
        <w:t xml:space="preserve">umanismu v rámci výše citované </w:t>
      </w:r>
      <w:r w:rsidR="08163013" w:rsidRPr="00273106">
        <w:rPr>
          <w:i/>
        </w:rPr>
        <w:t>universitas humana</w:t>
      </w:r>
      <w:r w:rsidR="08163013">
        <w:rPr>
          <w:i/>
        </w:rPr>
        <w:fldChar w:fldCharType="begin"/>
      </w:r>
      <w:r w:rsidR="08163013">
        <w:instrText xml:space="preserve"> XE "</w:instrText>
      </w:r>
      <w:r w:rsidR="08163013" w:rsidRPr="00A16633">
        <w:rPr>
          <w:i/>
        </w:rPr>
        <w:instrText>universitas humana</w:instrText>
      </w:r>
      <w:r w:rsidR="08163013">
        <w:instrText xml:space="preserve">" </w:instrText>
      </w:r>
      <w:r w:rsidR="08163013">
        <w:rPr>
          <w:i/>
        </w:rPr>
        <w:fldChar w:fldCharType="end"/>
      </w:r>
      <w:r w:rsidR="08A16899">
        <w:t xml:space="preserve"> (kap. 4</w:t>
      </w:r>
      <w:r w:rsidR="08163013">
        <w:t>.4.3)</w:t>
      </w:r>
      <w:r w:rsidR="08163013" w:rsidRPr="00273106">
        <w:t xml:space="preserve">. </w:t>
      </w:r>
      <w:r w:rsidR="08163013">
        <w:t xml:space="preserve">Dante přesně viděl rozdíl mezi Sigerem a Akvinským v pojetí blaženosti dané v termínu </w:t>
      </w:r>
      <w:r w:rsidR="08163013" w:rsidRPr="00F05DAD">
        <w:rPr>
          <w:i/>
        </w:rPr>
        <w:t>intellectus possibilis</w:t>
      </w:r>
      <w:r w:rsidR="08163013">
        <w:t xml:space="preserve">. Humanismus dostal novou denominaci podle Averroesova výkonu myšlení v rámci </w:t>
      </w:r>
      <w:r w:rsidR="08163013" w:rsidRPr="00282388">
        <w:rPr>
          <w:i/>
        </w:rPr>
        <w:t xml:space="preserve">tertium </w:t>
      </w:r>
      <w:r w:rsidR="00962190">
        <w:rPr>
          <w:i/>
        </w:rPr>
        <w:t>genus</w:t>
      </w:r>
      <w:r w:rsidR="08163013">
        <w:rPr>
          <w:i/>
        </w:rPr>
        <w:fldChar w:fldCharType="begin"/>
      </w:r>
      <w:r w:rsidR="08163013">
        <w:instrText xml:space="preserve"> XE "</w:instrText>
      </w:r>
      <w:r w:rsidR="08163013" w:rsidRPr="00D80F84">
        <w:rPr>
          <w:i/>
        </w:rPr>
        <w:instrText>tertium genus</w:instrText>
      </w:r>
      <w:r w:rsidR="08163013">
        <w:instrText xml:space="preserve">" </w:instrText>
      </w:r>
      <w:r w:rsidR="08163013">
        <w:rPr>
          <w:i/>
        </w:rPr>
        <w:fldChar w:fldCharType="end"/>
      </w:r>
      <w:r w:rsidR="08163013">
        <w:t xml:space="preserve">, které Siger dal za základ existenciální fenomenologie podle </w:t>
      </w:r>
      <w:r w:rsidR="08163013">
        <w:rPr>
          <w:i/>
        </w:rPr>
        <w:t>Etiky Nikomachov</w:t>
      </w:r>
      <w:r w:rsidR="08163013" w:rsidRPr="08782926">
        <w:rPr>
          <w:i/>
        </w:rPr>
        <w:t>y</w:t>
      </w:r>
      <w:r w:rsidR="08163013">
        <w:t xml:space="preserve"> (</w:t>
      </w:r>
      <w:r w:rsidR="08163013" w:rsidRPr="00273106">
        <w:rPr>
          <w:i/>
        </w:rPr>
        <w:t>propria operatio</w:t>
      </w:r>
      <w:r w:rsidR="08163013">
        <w:t xml:space="preserve">, </w:t>
      </w:r>
      <w:r w:rsidR="08163013" w:rsidRPr="000B11DB">
        <w:t>κατ' ἀρετὴν ἐνέργεια</w:t>
      </w:r>
      <w:r w:rsidR="08163013">
        <w:t>). Ipseita musí jít z výkonu osoby, což je pro Danteho politická existence. Dante</w:t>
      </w:r>
      <w:r w:rsidR="08163013">
        <w:fldChar w:fldCharType="begin"/>
      </w:r>
      <w:r w:rsidR="08163013">
        <w:instrText xml:space="preserve"> XE "</w:instrText>
      </w:r>
      <w:r w:rsidR="08163013" w:rsidRPr="00E871B9">
        <w:instrText>Dante, A.</w:instrText>
      </w:r>
      <w:r w:rsidR="08163013">
        <w:instrText xml:space="preserve">" </w:instrText>
      </w:r>
      <w:r w:rsidR="08163013">
        <w:fldChar w:fldCharType="end"/>
      </w:r>
      <w:r w:rsidR="08163013">
        <w:t xml:space="preserve"> vzal tuto ipseitně vykonávanou blaženost za základ politické filosofie v epoše humanismu. Spis </w:t>
      </w:r>
      <w:r w:rsidR="08163013" w:rsidRPr="08782926">
        <w:rPr>
          <w:i/>
        </w:rPr>
        <w:t>Monarchia</w:t>
      </w:r>
      <w:r w:rsidR="08163013">
        <w:t xml:space="preserve"> </w:t>
      </w:r>
      <w:r w:rsidR="08163013" w:rsidRPr="00273106">
        <w:t xml:space="preserve">změnil </w:t>
      </w:r>
      <w:r w:rsidR="08163013">
        <w:t>Sigerův</w:t>
      </w:r>
      <w:r w:rsidR="08163013" w:rsidRPr="00273106">
        <w:t xml:space="preserve"> </w:t>
      </w:r>
      <w:r w:rsidR="08163013">
        <w:t xml:space="preserve">aktivní výkon myšlení </w:t>
      </w:r>
      <w:r w:rsidR="08163013" w:rsidRPr="00273106">
        <w:t xml:space="preserve">na politickou existenci člověka </w:t>
      </w:r>
      <w:r w:rsidR="001F50D0">
        <w:t xml:space="preserve">vykonávanou </w:t>
      </w:r>
      <w:r w:rsidR="08163013" w:rsidRPr="00273106">
        <w:t xml:space="preserve">v rámci </w:t>
      </w:r>
      <w:r w:rsidR="00D3661B">
        <w:t xml:space="preserve">pozemské </w:t>
      </w:r>
      <w:r w:rsidR="08163013" w:rsidRPr="00273106">
        <w:t>o</w:t>
      </w:r>
      <w:r w:rsidR="009B048E">
        <w:t>bce. Toto politické určení osoby založilo nové pojetí politicky určeného humanismu. Aristotelská myslitelka Hana Arendtová</w:t>
      </w:r>
      <w:r w:rsidR="00F95F95">
        <w:rPr>
          <w:rFonts w:cs="Calibri"/>
        </w:rPr>
        <w:fldChar w:fldCharType="begin"/>
      </w:r>
      <w:r w:rsidR="00F95F95">
        <w:instrText xml:space="preserve"> XE "</w:instrText>
      </w:r>
      <w:r w:rsidR="00F95F95" w:rsidRPr="00E56D8E">
        <w:rPr>
          <w:rFonts w:cs="Calibri"/>
        </w:rPr>
        <w:instrText>Arendt, H.</w:instrText>
      </w:r>
      <w:r w:rsidR="00F95F95">
        <w:instrText xml:space="preserve">" </w:instrText>
      </w:r>
      <w:r w:rsidR="00F95F95">
        <w:rPr>
          <w:rFonts w:cs="Calibri"/>
        </w:rPr>
        <w:fldChar w:fldCharType="end"/>
      </w:r>
      <w:r w:rsidR="009B048E">
        <w:t xml:space="preserve"> oživila tuto skrytou </w:t>
      </w:r>
      <w:r w:rsidR="009B048E" w:rsidRPr="009B048E">
        <w:rPr>
          <w:i/>
        </w:rPr>
        <w:t>alétheia</w:t>
      </w:r>
      <w:r w:rsidR="009B048E">
        <w:t xml:space="preserve"> Dantova politického humanismu ve věku politického totalitarianismu a filosofického nihilismu. </w:t>
      </w:r>
      <w:r w:rsidR="08163013">
        <w:t>Dante</w:t>
      </w:r>
      <w:r w:rsidR="00F95F95">
        <w:t xml:space="preserve"> vytvořil </w:t>
      </w:r>
      <w:r w:rsidR="08163013">
        <w:t>dvě cesty k završení člověka: aktivisticky-politickou v rámci eficientní kauzality a substanciálně-teologickou v rámci finální kauzality. Každá z nich má jiné fenomomenologické „jak“ se tato blaženost děje</w:t>
      </w:r>
      <w:r w:rsidR="08163013">
        <w:fldChar w:fldCharType="begin"/>
      </w:r>
      <w:r w:rsidR="08163013">
        <w:instrText xml:space="preserve"> XE "</w:instrText>
      </w:r>
      <w:r w:rsidR="08163013" w:rsidRPr="00E95B10">
        <w:instrText xml:space="preserve">hermeneutické </w:instrText>
      </w:r>
      <w:r w:rsidR="08163013" w:rsidRPr="00EC3CF4">
        <w:rPr>
          <w:i/>
        </w:rPr>
        <w:instrText>Wie</w:instrText>
      </w:r>
      <w:r w:rsidR="08163013" w:rsidRPr="00E95B10">
        <w:instrText>:Dante</w:instrText>
      </w:r>
      <w:r w:rsidR="08163013">
        <w:instrText xml:space="preserve">" </w:instrText>
      </w:r>
      <w:r w:rsidR="08163013">
        <w:fldChar w:fldCharType="end"/>
      </w:r>
      <w:r w:rsidR="08163013">
        <w:t xml:space="preserve">. Humanismus není odvozen od hypostázované mrtvoly jako v případě </w:t>
      </w:r>
      <w:r w:rsidR="08163013" w:rsidRPr="00E70904">
        <w:rPr>
          <w:i/>
        </w:rPr>
        <w:t>Modernorum</w:t>
      </w:r>
      <w:r w:rsidR="08163013">
        <w:t xml:space="preserve">, ale od </w:t>
      </w:r>
      <w:r w:rsidR="00685E0F">
        <w:t xml:space="preserve">specifické </w:t>
      </w:r>
      <w:proofErr w:type="gramStart"/>
      <w:r w:rsidR="08163013">
        <w:t>aktivity  osoby</w:t>
      </w:r>
      <w:proofErr w:type="gramEnd"/>
      <w:r w:rsidR="08163013">
        <w:t xml:space="preserve"> (umění, morálka, politika,</w:t>
      </w:r>
      <w:r w:rsidR="00121D1C">
        <w:t xml:space="preserve"> filosofie, teologie). Tyto činnosti jsou </w:t>
      </w:r>
      <w:r w:rsidR="08163013">
        <w:t>nejvíce vlastní</w:t>
      </w:r>
      <w:r w:rsidR="00685E0F">
        <w:t xml:space="preserve"> lidstvu</w:t>
      </w:r>
      <w:r w:rsidR="08163013">
        <w:t>, a proto nám přináší nejvyšší míru blaženosti. Moderní člověk je naopak definovaný schizofrenickým bojem protikladných substancí a paranoickým vztahem k virtuální realitě. Proto ztratil sebe, svět i boha. Moderní schizofrenik šel v modu asimilační teori</w:t>
      </w:r>
      <w:r w:rsidR="00121D1C">
        <w:t>e pravdy mocensky dobývat svět</w:t>
      </w:r>
      <w:r w:rsidR="08163013">
        <w:t xml:space="preserve">. Díky objektivním poznatkům si </w:t>
      </w:r>
      <w:proofErr w:type="gramStart"/>
      <w:r w:rsidR="08163013">
        <w:t>moderna  všechno</w:t>
      </w:r>
      <w:proofErr w:type="gramEnd"/>
      <w:r w:rsidR="08163013">
        <w:t xml:space="preserve"> potřebné z reality dobyla v podobě jsoucna třetího druhu. Tyto poklady si uschovala do neoplatonské jeskyně osvětlené umělým světlem rozumu a později i digitalizovaným věděním. Spor o současnou verzi tohoto umělého intelektu daného v cloudových databázích se zásadně týká výkladu CMDA. Termín </w:t>
      </w:r>
      <w:r w:rsidR="08163013" w:rsidRPr="08140136">
        <w:rPr>
          <w:i/>
        </w:rPr>
        <w:lastRenderedPageBreak/>
        <w:t>locus specierum</w:t>
      </w:r>
      <w:r w:rsidR="08163013">
        <w:t xml:space="preserve"> se vztahuje v prvním averroismu podle </w:t>
      </w:r>
      <w:r w:rsidR="08163013">
        <w:rPr>
          <w:i/>
        </w:rPr>
        <w:t>De anima</w:t>
      </w:r>
      <w:r w:rsidR="08163013" w:rsidRPr="00273106">
        <w:t xml:space="preserve"> 429a27‒28</w:t>
      </w:r>
      <w:r w:rsidR="08163013">
        <w:fldChar w:fldCharType="begin"/>
      </w:r>
      <w:r w:rsidR="08163013">
        <w:instrText xml:space="preserve"> XE "Aristoteles:</w:instrText>
      </w:r>
      <w:r w:rsidR="08163013" w:rsidRPr="00D507D7">
        <w:rPr>
          <w:i/>
        </w:rPr>
        <w:instrText>De anima</w:instrText>
      </w:r>
      <w:r w:rsidR="08163013" w:rsidRPr="00D507D7">
        <w:instrText xml:space="preserve"> 429a27‒28</w:instrText>
      </w:r>
      <w:r w:rsidR="08163013">
        <w:instrText xml:space="preserve">" </w:instrText>
      </w:r>
      <w:r w:rsidR="08163013">
        <w:fldChar w:fldCharType="end"/>
      </w:r>
      <w:r w:rsidR="08163013" w:rsidRPr="00273106">
        <w:t xml:space="preserve"> </w:t>
      </w:r>
      <w:r w:rsidR="08163013">
        <w:t xml:space="preserve">k poznání duše, která je díky plně potenciálnímu </w:t>
      </w:r>
      <w:r w:rsidR="08163013" w:rsidRPr="08140136">
        <w:rPr>
          <w:i/>
        </w:rPr>
        <w:t>intellectus possibilis</w:t>
      </w:r>
      <w:r w:rsidR="08163013">
        <w:t xml:space="preserve"> také plně otevřena poznávání aktuálního a reálného světa. Moderna vztáhla tento specifický </w:t>
      </w:r>
      <w:r w:rsidR="08163013" w:rsidRPr="08140136">
        <w:rPr>
          <w:i/>
        </w:rPr>
        <w:t>locus</w:t>
      </w:r>
      <w:r w:rsidR="08163013">
        <w:t xml:space="preserve"> intelektuálního poznání k augustiniánské </w:t>
      </w:r>
      <w:r w:rsidR="08163013" w:rsidRPr="089C4D00">
        <w:rPr>
          <w:i/>
        </w:rPr>
        <w:t>memoria</w:t>
      </w:r>
      <w:r w:rsidR="08163013">
        <w:t xml:space="preserve">, kde moderní individuum jako jsoucno třetího druhu deponuje vědecká či konkrétní </w:t>
      </w:r>
      <w:r w:rsidR="08163013" w:rsidRPr="08140136">
        <w:rPr>
          <w:i/>
        </w:rPr>
        <w:t>scibile</w:t>
      </w:r>
      <w:r w:rsidR="08163013">
        <w:t xml:space="preserve"> rovněž daná ve formě jsoucna třetího druhu. </w:t>
      </w:r>
      <w:r w:rsidR="085F1606">
        <w:t xml:space="preserve">Třetí </w:t>
      </w:r>
      <w:r w:rsidR="08163013">
        <w:t>matrice objektivity ukázala začátek cesty k dnešním cloudovým a databázovým formám postmoderní racionality založené na objek</w:t>
      </w:r>
      <w:r w:rsidR="0018041E">
        <w:t xml:space="preserve">tivní depozici smyslu jsoucna. Ukládání scibile běží v </w:t>
      </w:r>
      <w:r w:rsidR="08163013">
        <w:t xml:space="preserve">modu augustiniánské </w:t>
      </w:r>
      <w:r w:rsidR="08163013" w:rsidRPr="08F070DF">
        <w:rPr>
          <w:i/>
        </w:rPr>
        <w:t>memoria</w:t>
      </w:r>
      <w:r w:rsidR="0018041E">
        <w:t xml:space="preserve">, kterou vystihuje </w:t>
      </w:r>
      <w:r w:rsidR="08163013">
        <w:t>Pecham</w:t>
      </w:r>
      <w:r w:rsidR="0018041E">
        <w:t>ův</w:t>
      </w:r>
      <w:r w:rsidR="08163013">
        <w:t xml:space="preserve"> </w:t>
      </w:r>
      <w:r w:rsidR="001A6F72">
        <w:t>termín „</w:t>
      </w:r>
      <w:r w:rsidR="08163013" w:rsidRPr="08F23778">
        <w:rPr>
          <w:i/>
        </w:rPr>
        <w:t>totum virtuale</w:t>
      </w:r>
      <w:r w:rsidR="001A6F72">
        <w:t xml:space="preserve">“. Tím se naplnila virtualita </w:t>
      </w:r>
      <w:r w:rsidR="001A6F72" w:rsidRPr="001A6F72">
        <w:t xml:space="preserve">v éře polovodičů a kvantových počítačů. Pravda je v modu Rufusova </w:t>
      </w:r>
      <w:r w:rsidR="001A6F72" w:rsidRPr="00554FC1">
        <w:rPr>
          <w:i/>
        </w:rPr>
        <w:t>adaequatio</w:t>
      </w:r>
      <w:r w:rsidR="001A6F72" w:rsidRPr="001A6F72">
        <w:t xml:space="preserve"> úplná, evidentní a naprosto jistá, protože je zaručena matematikou.</w:t>
      </w:r>
    </w:p>
    <w:p w:rsidR="08163013" w:rsidRPr="00273106" w:rsidRDefault="08163013" w:rsidP="08163013">
      <w:pPr>
        <w:pStyle w:val="Nadpis1"/>
      </w:pPr>
      <w:r>
        <w:br w:type="page"/>
      </w:r>
      <w:bookmarkStart w:id="66" w:name="_Toc36144154"/>
      <w:bookmarkStart w:id="67" w:name="_Toc180231666"/>
      <w:r>
        <w:rPr>
          <w:lang w:val="cs-CZ"/>
        </w:rPr>
        <w:lastRenderedPageBreak/>
        <w:t>5</w:t>
      </w:r>
      <w:r w:rsidRPr="00273106">
        <w:t xml:space="preserve">. </w:t>
      </w:r>
      <w:r w:rsidR="006D537B">
        <w:rPr>
          <w:lang w:val="cs-CZ"/>
        </w:rPr>
        <w:t>Zrod</w:t>
      </w:r>
      <w:r>
        <w:t xml:space="preserve"> antropocentrické metafyziky</w:t>
      </w:r>
      <w:r w:rsidRPr="00273106">
        <w:t xml:space="preserve"> (Matrice V)</w:t>
      </w:r>
      <w:bookmarkEnd w:id="66"/>
      <w:bookmarkEnd w:id="67"/>
    </w:p>
    <w:p w:rsidR="0050602D" w:rsidRDefault="00E91286" w:rsidP="00BD378B">
      <w:r w:rsidRPr="00273106">
        <w:t xml:space="preserve">Poslední matrice </w:t>
      </w:r>
      <w:r>
        <w:t xml:space="preserve">vyloží </w:t>
      </w:r>
      <w:r w:rsidRPr="00273106">
        <w:t>vznik moderního subjektu</w:t>
      </w:r>
      <w:r>
        <w:t xml:space="preserve"> ve třech krocích</w:t>
      </w:r>
      <w:r w:rsidRPr="00273106">
        <w:t xml:space="preserve">. </w:t>
      </w:r>
      <w:r>
        <w:t>F</w:t>
      </w:r>
      <w:r w:rsidRPr="00273106">
        <w:t xml:space="preserve">rantiškán Petrus Ioannis Olivi </w:t>
      </w:r>
      <w:r w:rsidRPr="00273106">
        <w:rPr>
          <w:rStyle w:val="Zkladntext158dkovn0pt"/>
          <w:color w:val="auto"/>
          <w:spacing w:val="0"/>
          <w:sz w:val="24"/>
          <w:lang w:val="cs-CZ"/>
        </w:rPr>
        <w:t>(</w:t>
      </w:r>
      <w:r w:rsidRPr="00273106">
        <w:rPr>
          <w:bCs/>
        </w:rPr>
        <w:t>Pierre Déjean</w:t>
      </w:r>
      <w:r w:rsidRPr="00273106">
        <w:rPr>
          <w:rStyle w:val="Zkladntext158dkovn0pt"/>
          <w:color w:val="auto"/>
          <w:spacing w:val="0"/>
          <w:sz w:val="24"/>
          <w:lang w:val="cs-CZ"/>
        </w:rPr>
        <w:t>, †1298)</w:t>
      </w:r>
      <w:r>
        <w:rPr>
          <w:rStyle w:val="Zkladntext158dkovn0pt"/>
          <w:color w:val="auto"/>
          <w:spacing w:val="0"/>
          <w:sz w:val="24"/>
          <w:lang w:val="cs-CZ"/>
        </w:rPr>
        <w:t xml:space="preserve"> </w:t>
      </w:r>
      <w:r w:rsidR="00D44340">
        <w:t>založil</w:t>
      </w:r>
      <w:r w:rsidRPr="00273106">
        <w:t xml:space="preserve"> </w:t>
      </w:r>
      <w:r>
        <w:t xml:space="preserve">objektivní </w:t>
      </w:r>
      <w:r w:rsidRPr="00273106">
        <w:t>vztah ke jsoucnu</w:t>
      </w:r>
      <w:r>
        <w:t xml:space="preserve"> na primátu vůle a vytvořil ontoteologii</w:t>
      </w:r>
      <w:r>
        <w:fldChar w:fldCharType="begin"/>
      </w:r>
      <w:r>
        <w:instrText xml:space="preserve"> XE "</w:instrText>
      </w:r>
      <w:r w:rsidRPr="00A45678">
        <w:rPr>
          <w:rStyle w:val="addmd"/>
        </w:rPr>
        <w:instrText>ontoteologie:</w:instrText>
      </w:r>
      <w:r>
        <w:rPr>
          <w:rStyle w:val="addmd"/>
        </w:rPr>
        <w:instrText>Olivi</w:instrText>
      </w:r>
      <w:r>
        <w:instrText xml:space="preserve">" </w:instrText>
      </w:r>
      <w:r>
        <w:fldChar w:fldCharType="end"/>
      </w:r>
      <w:r>
        <w:t xml:space="preserve"> moderního subjektu</w:t>
      </w:r>
      <w:r w:rsidRPr="00273106">
        <w:t xml:space="preserve">. Jindřich z </w:t>
      </w:r>
      <w:proofErr w:type="gramStart"/>
      <w:r w:rsidRPr="00273106">
        <w:t>Gentu</w:t>
      </w:r>
      <w:proofErr w:type="gramEnd"/>
      <w:r w:rsidRPr="00273106">
        <w:t xml:space="preserve"> (Henricus Gandavus, †1293) </w:t>
      </w:r>
      <w:r w:rsidR="00D44340">
        <w:t xml:space="preserve">vytvořil </w:t>
      </w:r>
      <w:r>
        <w:t xml:space="preserve">plně objektivní </w:t>
      </w:r>
      <w:r w:rsidR="00D44340">
        <w:t>metafyziku</w:t>
      </w:r>
      <w:r>
        <w:t xml:space="preserve"> v rámci augustiniánské ontoteologie. </w:t>
      </w:r>
      <w:r w:rsidR="00A33757">
        <w:t>V</w:t>
      </w:r>
      <w:r w:rsidR="00CE18C8">
        <w:t xml:space="preserve"> další dekádě změnil Duns Scotus (†1308) </w:t>
      </w:r>
      <w:r>
        <w:t>Gandavovu nauku na novou formu metafyziky podle avicennisticky pojatého aristotelismu. Všichni tři avicennovští mod</w:t>
      </w:r>
      <w:r w:rsidR="0019644B">
        <w:t xml:space="preserve">ernisté bránili </w:t>
      </w:r>
      <w:r w:rsidR="003543A8">
        <w:t>oficiální</w:t>
      </w:r>
      <w:r>
        <w:t xml:space="preserve"> výklad jedné pravdy dané po roce 1277. Etapa plné odkrytosti objektivity v nové formě první vědy o jsoucnu nastoluje </w:t>
      </w:r>
      <w:r w:rsidRPr="00273106">
        <w:t>druhý začátek metafyziky</w:t>
      </w:r>
      <w:r>
        <w:fldChar w:fldCharType="begin"/>
      </w:r>
      <w:r>
        <w:instrText xml:space="preserve"> XE "</w:instrText>
      </w:r>
      <w:r w:rsidRPr="007B20BD">
        <w:instrText>metafyzika:druhý začátek</w:instrText>
      </w:r>
      <w:r>
        <w:instrText xml:space="preserve">" </w:instrText>
      </w:r>
      <w:r>
        <w:fldChar w:fldCharType="end"/>
      </w:r>
      <w:r w:rsidRPr="00273106">
        <w:t xml:space="preserve"> (Honnefelder</w:t>
      </w:r>
      <w:r>
        <w:fldChar w:fldCharType="begin"/>
      </w:r>
      <w:r>
        <w:instrText xml:space="preserve"> XE "</w:instrText>
      </w:r>
      <w:r w:rsidRPr="00664C2D">
        <w:rPr>
          <w:rFonts w:eastAsia="Brill-Roman"/>
        </w:rPr>
        <w:instrText>Honnefelder, L.</w:instrText>
      </w:r>
      <w:r>
        <w:instrText xml:space="preserve">" </w:instrText>
      </w:r>
      <w:r>
        <w:fldChar w:fldCharType="end"/>
      </w:r>
      <w:r>
        <w:t xml:space="preserve"> 1987, 2007) </w:t>
      </w:r>
      <w:r w:rsidRPr="00273106">
        <w:t>na základě obnoveného avicennismu (Bertolacci 2006).</w:t>
      </w:r>
      <w:r>
        <w:t xml:space="preserve"> Současné studie věnované komentářům Aristotelovy </w:t>
      </w:r>
      <w:r w:rsidRPr="08480E3E">
        <w:rPr>
          <w:i/>
        </w:rPr>
        <w:t>Metafyziky</w:t>
      </w:r>
      <w:r>
        <w:t xml:space="preserve"> ze 13. a 14. století vidí druhý začátek metafyziky ve sporu o </w:t>
      </w:r>
      <w:r w:rsidRPr="00EC2D75">
        <w:rPr>
          <w:i/>
        </w:rPr>
        <w:t>ens commune</w:t>
      </w:r>
      <w:r>
        <w:t>, kam univočně patří i koncept boží existence</w:t>
      </w:r>
      <w:r w:rsidR="0048634C">
        <w:t xml:space="preserve"> (</w:t>
      </w:r>
      <w:r w:rsidR="0048634C" w:rsidRPr="00EC2D75">
        <w:t>Zimmerman</w:t>
      </w:r>
      <w:r w:rsidR="0048634C">
        <w:t xml:space="preserve"> 1998). Tato teorie </w:t>
      </w:r>
      <w:r>
        <w:t>hájí kontinuitu metafy</w:t>
      </w:r>
      <w:r w:rsidR="0048634C">
        <w:t>ziky v linii „Kilwardby‒Scotus“</w:t>
      </w:r>
      <w:r>
        <w:t xml:space="preserve">. </w:t>
      </w:r>
      <w:r w:rsidRPr="00A00A18">
        <w:t>První projekt metafyziky s plně objektivním smyslem bytí představuje Gandavus a jeho definitivní po</w:t>
      </w:r>
      <w:r>
        <w:t xml:space="preserve">dobu načrtl Scotus. Proměna jsoucna </w:t>
      </w:r>
      <w:r w:rsidRPr="00A00A18">
        <w:t>třetího d</w:t>
      </w:r>
      <w:r>
        <w:t>ruhu následovala po zavedení subjektivní</w:t>
      </w:r>
      <w:r w:rsidRPr="00A00A18">
        <w:t xml:space="preserve"> svobody vůle (Olivi) a </w:t>
      </w:r>
      <w:r>
        <w:t xml:space="preserve">pak po zavedení </w:t>
      </w:r>
      <w:r w:rsidRPr="00A00A18">
        <w:t>objektivní vědy (Scotus). Tím byla dokončena konstrukce nové metafyziky a také vznik objektivity, která je spojena s epochálně novou rolí subjektu.</w:t>
      </w:r>
      <w:r w:rsidRPr="083E5E67">
        <w:t xml:space="preserve"> </w:t>
      </w:r>
      <w:r w:rsidR="00601BB1">
        <w:t xml:space="preserve">Zásadně změněný </w:t>
      </w:r>
      <w:r w:rsidR="00601BB1" w:rsidRPr="001B39C2">
        <w:rPr>
          <w:i/>
        </w:rPr>
        <w:t>dativus incommodi</w:t>
      </w:r>
      <w:r w:rsidR="00601BB1">
        <w:rPr>
          <w:i/>
        </w:rPr>
        <w:fldChar w:fldCharType="begin"/>
      </w:r>
      <w:r w:rsidR="00601BB1">
        <w:instrText xml:space="preserve"> XE "</w:instrText>
      </w:r>
      <w:r w:rsidR="00601BB1" w:rsidRPr="00B910ED">
        <w:rPr>
          <w:i/>
        </w:rPr>
        <w:instrText>dativus incommodi</w:instrText>
      </w:r>
      <w:r w:rsidR="00601BB1">
        <w:instrText xml:space="preserve">" </w:instrText>
      </w:r>
      <w:r w:rsidR="00601BB1">
        <w:rPr>
          <w:i/>
        </w:rPr>
        <w:fldChar w:fldCharType="end"/>
      </w:r>
      <w:r w:rsidR="00601BB1">
        <w:t xml:space="preserve"> po odsouzení roku 1277 znamenal, že zanikly původní školy prvního a druhého averroismu. </w:t>
      </w:r>
      <w:r w:rsidR="001B39C2" w:rsidRPr="00273106">
        <w:t>Př</w:t>
      </w:r>
      <w:r w:rsidR="00A3004E">
        <w:t>edešlé matrice objektivity ukázaly</w:t>
      </w:r>
      <w:r w:rsidR="001B39C2" w:rsidRPr="00273106">
        <w:t xml:space="preserve">, že </w:t>
      </w:r>
      <w:r w:rsidR="00A3004E">
        <w:t xml:space="preserve">moderna </w:t>
      </w:r>
      <w:r w:rsidR="001B39C2">
        <w:t xml:space="preserve">nepoznává realitu, ale </w:t>
      </w:r>
      <w:r w:rsidR="001B39C2" w:rsidRPr="00273106">
        <w:t>substanci třetího druhu</w:t>
      </w:r>
      <w:r w:rsidR="001B39C2">
        <w:t xml:space="preserve"> (</w:t>
      </w:r>
      <w:r w:rsidR="001B39C2" w:rsidRPr="08450B92">
        <w:rPr>
          <w:i/>
        </w:rPr>
        <w:t>scibile</w:t>
      </w:r>
      <w:r w:rsidR="001B39C2">
        <w:t xml:space="preserve">). Nové </w:t>
      </w:r>
      <w:r w:rsidR="001B39C2" w:rsidRPr="00F233B7">
        <w:rPr>
          <w:i/>
        </w:rPr>
        <w:t>tertium ens</w:t>
      </w:r>
      <w:r w:rsidR="001B39C2">
        <w:t xml:space="preserve"> nahradilo ve schématu poznání hyparchickou první substanci a osvícená </w:t>
      </w:r>
      <w:r w:rsidR="001B39C2" w:rsidRPr="00273106">
        <w:t xml:space="preserve">mysl </w:t>
      </w:r>
      <w:r w:rsidR="001B39C2">
        <w:t xml:space="preserve">iluminátů poznává tato neexistující jsoucna v přímém náhledu. Moderní </w:t>
      </w:r>
      <w:r w:rsidR="001B39C2" w:rsidRPr="00273106">
        <w:t>pojetí substa</w:t>
      </w:r>
      <w:r w:rsidR="001B39C2">
        <w:t>nce</w:t>
      </w:r>
      <w:r w:rsidR="001B39C2">
        <w:fldChar w:fldCharType="begin"/>
      </w:r>
      <w:r w:rsidR="001B39C2">
        <w:instrText xml:space="preserve"> XE "</w:instrText>
      </w:r>
      <w:r w:rsidR="001B39C2" w:rsidRPr="00DE2A32">
        <w:instrText>substance</w:instrText>
      </w:r>
      <w:r w:rsidR="001B39C2">
        <w:instrText xml:space="preserve">:objektivní" </w:instrText>
      </w:r>
      <w:r w:rsidR="001B39C2">
        <w:fldChar w:fldCharType="end"/>
      </w:r>
      <w:r w:rsidR="001B39C2">
        <w:t xml:space="preserve"> třetího druhu (</w:t>
      </w:r>
      <w:r w:rsidR="001B39C2" w:rsidRPr="088842AE">
        <w:rPr>
          <w:i/>
        </w:rPr>
        <w:t>individuum</w:t>
      </w:r>
      <w:r w:rsidR="001B39C2">
        <w:t xml:space="preserve">) vzniklo už na konci </w:t>
      </w:r>
      <w:r w:rsidR="001B39C2" w:rsidRPr="00273106">
        <w:t xml:space="preserve">12. století </w:t>
      </w:r>
      <w:r w:rsidR="001B39C2">
        <w:t xml:space="preserve">v porretánské škole </w:t>
      </w:r>
      <w:r w:rsidR="001B39C2" w:rsidRPr="08CC7188">
        <w:rPr>
          <w:i/>
        </w:rPr>
        <w:t>Nominales</w:t>
      </w:r>
      <w:r w:rsidR="001B39C2">
        <w:t xml:space="preserve"> (OBJ II, kap. 1.5</w:t>
      </w:r>
      <w:r w:rsidR="001B39C2" w:rsidRPr="00273106">
        <w:t xml:space="preserve">). </w:t>
      </w:r>
      <w:r w:rsidR="001B39C2">
        <w:rPr>
          <w:iCs/>
        </w:rPr>
        <w:t>Na začátku 13. století začali neoplatonští ilumináti vidět celek jsoucna v modu „</w:t>
      </w:r>
      <w:r w:rsidR="001B39C2" w:rsidRPr="0875102D">
        <w:rPr>
          <w:i/>
          <w:iCs/>
        </w:rPr>
        <w:t>discrete videamus</w:t>
      </w:r>
      <w:r w:rsidR="001B39C2">
        <w:rPr>
          <w:i/>
          <w:iCs/>
        </w:rPr>
        <w:t>“</w:t>
      </w:r>
      <w:r w:rsidR="001B39C2">
        <w:rPr>
          <w:iCs/>
        </w:rPr>
        <w:t xml:space="preserve">. </w:t>
      </w:r>
      <w:r w:rsidR="001B39C2">
        <w:t xml:space="preserve">Úvod ke třetí </w:t>
      </w:r>
      <w:r w:rsidR="001B39C2" w:rsidRPr="00273106">
        <w:t xml:space="preserve">matrici ukázal, </w:t>
      </w:r>
      <w:r w:rsidR="001B39C2">
        <w:t>první kompletní donace objektivního dativu je dána v R</w:t>
      </w:r>
      <w:r w:rsidR="001B39C2" w:rsidRPr="00273106">
        <w:t>ufus</w:t>
      </w:r>
      <w:r w:rsidR="001B39C2">
        <w:t>ově termínu „</w:t>
      </w:r>
      <w:r w:rsidR="001B39C2">
        <w:rPr>
          <w:i/>
        </w:rPr>
        <w:t>species</w:t>
      </w:r>
      <w:r w:rsidR="001B39C2" w:rsidRPr="00273106">
        <w:rPr>
          <w:i/>
        </w:rPr>
        <w:t xml:space="preserve"> obiecti exsistentis</w:t>
      </w:r>
      <w:r w:rsidR="001B39C2">
        <w:t>“</w:t>
      </w:r>
      <w:r w:rsidR="001B39C2">
        <w:rPr>
          <w:i/>
        </w:rPr>
        <w:fldChar w:fldCharType="begin"/>
      </w:r>
      <w:r w:rsidR="001B39C2">
        <w:instrText xml:space="preserve"> XE "</w:instrText>
      </w:r>
      <w:r w:rsidR="001B39C2" w:rsidRPr="00C05196">
        <w:rPr>
          <w:i/>
        </w:rPr>
        <w:instrText>species</w:instrText>
      </w:r>
      <w:r w:rsidR="001B39C2" w:rsidRPr="00C05196">
        <w:instrText xml:space="preserve"> </w:instrText>
      </w:r>
      <w:r w:rsidR="001B39C2" w:rsidRPr="00C05196">
        <w:rPr>
          <w:i/>
        </w:rPr>
        <w:instrText>obiecti exsistentis</w:instrText>
      </w:r>
      <w:r w:rsidR="001B39C2">
        <w:instrText xml:space="preserve">" </w:instrText>
      </w:r>
      <w:r w:rsidR="001B39C2">
        <w:rPr>
          <w:i/>
        </w:rPr>
        <w:fldChar w:fldCharType="end"/>
      </w:r>
      <w:r w:rsidR="001B39C2" w:rsidRPr="00273106">
        <w:t xml:space="preserve"> (</w:t>
      </w:r>
      <w:r w:rsidR="001B39C2">
        <w:t>OBJ II, kap. 3</w:t>
      </w:r>
      <w:r w:rsidR="001B39C2" w:rsidRPr="00273106">
        <w:t xml:space="preserve">.3.4). </w:t>
      </w:r>
      <w:r w:rsidR="001B39C2">
        <w:t xml:space="preserve">Rufusem určený objektivní smysl jsoucna založil okolo roku 1235 školu druhého averroismu, která začala působit i v Paříži okolo roku 1245. Archaická forma objektivity v dějinnosti </w:t>
      </w:r>
      <w:r w:rsidR="00B43ECE">
        <w:rPr>
          <w:i/>
        </w:rPr>
        <w:t>a</w:t>
      </w:r>
      <w:r w:rsidR="001B39C2" w:rsidRPr="082D127C">
        <w:rPr>
          <w:i/>
        </w:rPr>
        <w:t>létheia</w:t>
      </w:r>
      <w:r w:rsidR="001B39C2">
        <w:rPr>
          <w:i/>
        </w:rPr>
        <w:fldChar w:fldCharType="begin"/>
      </w:r>
      <w:r w:rsidR="001B39C2">
        <w:instrText xml:space="preserve"> XE "</w:instrText>
      </w:r>
      <w:r w:rsidR="00B43ECE">
        <w:rPr>
          <w:i/>
          <w:lang w:eastAsia="en-US"/>
        </w:rPr>
        <w:instrText>a</w:instrText>
      </w:r>
      <w:r w:rsidR="001B39C2" w:rsidRPr="08937E60">
        <w:rPr>
          <w:i/>
          <w:lang w:eastAsia="en-US"/>
        </w:rPr>
        <w:instrText>létheia</w:instrText>
      </w:r>
      <w:r w:rsidR="001B39C2">
        <w:instrText xml:space="preserve">" </w:instrText>
      </w:r>
      <w:r w:rsidR="001B39C2">
        <w:rPr>
          <w:i/>
        </w:rPr>
        <w:fldChar w:fldCharType="end"/>
      </w:r>
      <w:r w:rsidR="001B39C2">
        <w:t xml:space="preserve">  přešla do dějinné manifestace </w:t>
      </w:r>
      <w:r w:rsidR="00B43ECE">
        <w:t xml:space="preserve">pravdy jako </w:t>
      </w:r>
      <w:r w:rsidR="00B43ECE" w:rsidRPr="00B43ECE">
        <w:rPr>
          <w:i/>
        </w:rPr>
        <w:t>veritas</w:t>
      </w:r>
      <w:r w:rsidR="00B43ECE">
        <w:t xml:space="preserve"> </w:t>
      </w:r>
      <w:r w:rsidR="001B39C2">
        <w:t xml:space="preserve">v letech 1235–45. Manifestace nové metafyziky se děje v rámci Pařížské a Oxfordské </w:t>
      </w:r>
      <w:r w:rsidR="001B39C2">
        <w:lastRenderedPageBreak/>
        <w:t xml:space="preserve">univerzity a příslušných církevních institucí (řeholní řády, sekulární kněží, biskupové, papeži). Dějinné působení objeitivní metafyziky skrze změněný </w:t>
      </w:r>
      <w:r w:rsidR="001B39C2" w:rsidRPr="00617AAA">
        <w:rPr>
          <w:i/>
        </w:rPr>
        <w:t>dativus possessivus</w:t>
      </w:r>
      <w:r w:rsidR="001B39C2">
        <w:rPr>
          <w:i/>
        </w:rPr>
        <w:fldChar w:fldCharType="begin"/>
      </w:r>
      <w:r w:rsidR="001B39C2">
        <w:instrText xml:space="preserve"> XE "</w:instrText>
      </w:r>
      <w:r w:rsidR="001B39C2" w:rsidRPr="00110F0F">
        <w:rPr>
          <w:i/>
        </w:rPr>
        <w:instrText>dativus possessivus</w:instrText>
      </w:r>
      <w:r w:rsidR="001B39C2">
        <w:instrText xml:space="preserve">" </w:instrText>
      </w:r>
      <w:r w:rsidR="001B39C2">
        <w:rPr>
          <w:i/>
        </w:rPr>
        <w:fldChar w:fldCharType="end"/>
      </w:r>
      <w:r w:rsidR="001B39C2">
        <w:t xml:space="preserve"> způsobilo, že latinský Západ si objektivně viděný svět přivlastňuje v novém druhu produkce. Přivlastnění nově vytvořených </w:t>
      </w:r>
      <w:r w:rsidR="001B39C2" w:rsidRPr="00CF1309">
        <w:rPr>
          <w:i/>
        </w:rPr>
        <w:t>tertium ens</w:t>
      </w:r>
      <w:r w:rsidR="001B39C2">
        <w:t xml:space="preserve"> v metafyzice </w:t>
      </w:r>
      <w:r w:rsidR="001B39C2" w:rsidRPr="00CF1309">
        <w:rPr>
          <w:i/>
        </w:rPr>
        <w:t>Modernorum</w:t>
      </w:r>
      <w:r w:rsidR="001B39C2">
        <w:t xml:space="preserve"> bylo možné jen proto, že moderní subjekt se stal výhradním producentem těchto jsoucen třetího druhu. Tato d</w:t>
      </w:r>
      <w:r w:rsidR="00EE0C9F">
        <w:t>ějinně zcela nová produkce objek</w:t>
      </w:r>
      <w:r w:rsidR="001B39C2">
        <w:t xml:space="preserve">tivních simuláker vytvořila další důležitou modalitu objektivního dativu. Donace jsoucna vytvořila nový prostor pro frenetickou produkci objektivních </w:t>
      </w:r>
      <w:r w:rsidR="001B39C2" w:rsidRPr="00CF1309">
        <w:rPr>
          <w:i/>
        </w:rPr>
        <w:t>scibile</w:t>
      </w:r>
      <w:r w:rsidR="00DE1B83">
        <w:t xml:space="preserve">. Tato simulákra vytvořila </w:t>
      </w:r>
      <w:r w:rsidR="001B39C2">
        <w:t xml:space="preserve">od druhé poloviny 13. století </w:t>
      </w:r>
      <w:r w:rsidR="00DE1B83">
        <w:t xml:space="preserve">mytologické panství </w:t>
      </w:r>
      <w:r w:rsidR="001B39C2">
        <w:t xml:space="preserve">západní vědy. </w:t>
      </w:r>
      <w:r w:rsidR="00EE0C9F">
        <w:t xml:space="preserve">Po zatmění první substance vznikl </w:t>
      </w:r>
      <w:r w:rsidR="001B39C2" w:rsidRPr="00CF1309">
        <w:rPr>
          <w:i/>
        </w:rPr>
        <w:t>horror vacui</w:t>
      </w:r>
      <w:r w:rsidR="00EE0C9F">
        <w:t xml:space="preserve">, který se vyplnil skrze </w:t>
      </w:r>
      <w:r w:rsidR="001B39C2">
        <w:t>ontoteologickou strukturu objektivní metafyziky (</w:t>
      </w:r>
      <w:r w:rsidR="001B39C2" w:rsidRPr="00CF1309">
        <w:rPr>
          <w:i/>
        </w:rPr>
        <w:t>Ge-Stell</w:t>
      </w:r>
      <w:r w:rsidR="001B39C2">
        <w:rPr>
          <w:i/>
        </w:rPr>
        <w:fldChar w:fldCharType="begin"/>
      </w:r>
      <w:r w:rsidR="001B39C2">
        <w:instrText xml:space="preserve"> XE "</w:instrText>
      </w:r>
      <w:r w:rsidR="001B39C2" w:rsidRPr="00923F91">
        <w:rPr>
          <w:i/>
        </w:rPr>
        <w:instrText>Ge-Stell</w:instrText>
      </w:r>
      <w:r w:rsidR="001B39C2">
        <w:instrText xml:space="preserve">" </w:instrText>
      </w:r>
      <w:r w:rsidR="001B39C2">
        <w:rPr>
          <w:i/>
        </w:rPr>
        <w:fldChar w:fldCharType="end"/>
      </w:r>
      <w:r w:rsidR="001B39C2">
        <w:rPr>
          <w:sz w:val="26"/>
        </w:rPr>
        <w:t xml:space="preserve">). </w:t>
      </w:r>
      <w:r w:rsidR="001B39C2" w:rsidRPr="00CF1309">
        <w:t>Pro</w:t>
      </w:r>
      <w:r w:rsidR="001B39C2">
        <w:t xml:space="preserve">dukce </w:t>
      </w:r>
      <w:r w:rsidR="001B39C2" w:rsidRPr="00CF1309">
        <w:rPr>
          <w:i/>
        </w:rPr>
        <w:t xml:space="preserve">tertium ens </w:t>
      </w:r>
      <w:r w:rsidR="001B39C2">
        <w:t>vytvořila novou formu objektivního dativu, který dostal charakter kapitalistické produkce (</w:t>
      </w:r>
      <w:r w:rsidR="001B39C2" w:rsidRPr="088E78A6">
        <w:rPr>
          <w:i/>
        </w:rPr>
        <w:t>dativus modi</w:t>
      </w:r>
      <w:r w:rsidR="001B39C2">
        <w:rPr>
          <w:i/>
        </w:rPr>
        <w:fldChar w:fldCharType="begin"/>
      </w:r>
      <w:r w:rsidR="001B39C2">
        <w:instrText xml:space="preserve"> XE "</w:instrText>
      </w:r>
      <w:r w:rsidR="001B39C2" w:rsidRPr="08ED6ACF">
        <w:rPr>
          <w:i/>
        </w:rPr>
        <w:instrText>dativus modi</w:instrText>
      </w:r>
      <w:r w:rsidR="001B39C2">
        <w:instrText xml:space="preserve">" </w:instrText>
      </w:r>
      <w:r w:rsidR="001B39C2">
        <w:rPr>
          <w:i/>
        </w:rPr>
        <w:fldChar w:fldCharType="end"/>
      </w:r>
      <w:r w:rsidR="001B39C2">
        <w:rPr>
          <w:szCs w:val="17"/>
        </w:rPr>
        <w:t>).</w:t>
      </w:r>
      <w:r w:rsidR="001B39C2">
        <w:t xml:space="preserve"> </w:t>
      </w:r>
      <w:r w:rsidR="001B39C2" w:rsidRPr="00555BE0">
        <w:t>Když mod</w:t>
      </w:r>
      <w:r w:rsidR="001B39C2">
        <w:t>erní bůh vstoupil do své finální agónie</w:t>
      </w:r>
      <w:r w:rsidR="001B39C2" w:rsidRPr="00555BE0">
        <w:t xml:space="preserve">, nastoupil na jeho místo kapitalistický demiurg a změnil </w:t>
      </w:r>
      <w:r w:rsidR="001B39C2" w:rsidRPr="00555BE0">
        <w:rPr>
          <w:i/>
        </w:rPr>
        <w:t>dativus modi</w:t>
      </w:r>
      <w:r w:rsidR="001B39C2">
        <w:t xml:space="preserve"> na</w:t>
      </w:r>
      <w:r w:rsidR="001B39C2" w:rsidRPr="00555BE0">
        <w:t xml:space="preserve"> nový druh </w:t>
      </w:r>
      <w:r w:rsidR="001B39C2" w:rsidRPr="00555BE0">
        <w:rPr>
          <w:i/>
        </w:rPr>
        <w:t>Ge-Stell</w:t>
      </w:r>
      <w:r w:rsidR="001B39C2" w:rsidRPr="00555BE0">
        <w:t xml:space="preserve">. </w:t>
      </w:r>
      <w:r w:rsidR="001B39C2">
        <w:t xml:space="preserve">Panství </w:t>
      </w:r>
      <w:r w:rsidR="001B39C2" w:rsidRPr="00555BE0">
        <w:rPr>
          <w:i/>
        </w:rPr>
        <w:t>tertium ens</w:t>
      </w:r>
      <w:r w:rsidR="001B39C2" w:rsidRPr="00555BE0">
        <w:t xml:space="preserve"> </w:t>
      </w:r>
      <w:r w:rsidR="001B39C2">
        <w:t xml:space="preserve">dostalo novou klasifikaci a </w:t>
      </w:r>
      <w:r w:rsidR="001B39C2" w:rsidRPr="00555BE0">
        <w:t>získal</w:t>
      </w:r>
      <w:r w:rsidR="001B39C2">
        <w:t>o</w:t>
      </w:r>
      <w:r w:rsidR="001B39C2" w:rsidRPr="00555BE0">
        <w:t xml:space="preserve"> ve fázi západního imperialismu čistě ekonomickou hodnotu. </w:t>
      </w:r>
      <w:r w:rsidR="001B39C2">
        <w:t xml:space="preserve">Role subjektu dostala nově určené formě </w:t>
      </w:r>
      <w:r w:rsidR="001B39C2" w:rsidRPr="001B39C2">
        <w:rPr>
          <w:i/>
        </w:rPr>
        <w:t>dativus modi</w:t>
      </w:r>
      <w:r w:rsidR="001B39C2">
        <w:t xml:space="preserve"> naprosto zásadní charakter, který je třeba analyzovat v poslední matrici objektivity.</w:t>
      </w:r>
    </w:p>
    <w:p w:rsidR="00D56C26" w:rsidRDefault="08163013" w:rsidP="00073782">
      <w:pPr>
        <w:ind w:firstLine="397"/>
      </w:pPr>
      <w:r>
        <w:t>První modernisté museli najít ostrůvek reality v absolutním demiurgickém subjektu</w:t>
      </w:r>
      <w:r w:rsidR="001F3BDD">
        <w:t xml:space="preserve">. Ve druhém kroku museli tento archimédovský bod </w:t>
      </w:r>
      <w:r>
        <w:t xml:space="preserve">spojit v modu </w:t>
      </w:r>
      <w:r>
        <w:rPr>
          <w:i/>
        </w:rPr>
        <w:t>Oxf</w:t>
      </w:r>
      <w:r w:rsidRPr="08FB53D1">
        <w:rPr>
          <w:i/>
        </w:rPr>
        <w:t>ordian Fallacy</w:t>
      </w:r>
      <w:r>
        <w:t xml:space="preserve"> s</w:t>
      </w:r>
      <w:r w:rsidR="00EB580B">
        <w:t> intelektem</w:t>
      </w:r>
      <w:r>
        <w:t xml:space="preserve">. Iluminát založil v sobě samém vědeckou dedukci a vyvedl hypostázované formy ze svého vlastního intelektu-slunce. Karteziánský postup byl jediné možné východisko pro zdárné vykročení </w:t>
      </w:r>
      <w:r w:rsidR="00A95E22">
        <w:t xml:space="preserve">moderního </w:t>
      </w:r>
      <w:r>
        <w:t xml:space="preserve">subjektu. </w:t>
      </w:r>
      <w:r w:rsidR="00073782" w:rsidRPr="00073782">
        <w:t>Na akademick</w:t>
      </w:r>
      <w:r w:rsidR="00073782">
        <w:t>é úrovni bylo v desetiletí 1270–</w:t>
      </w:r>
      <w:r w:rsidR="00073782" w:rsidRPr="00073782">
        <w:t>80 nutné najít novou teorii pravdy, která by se vyhnula aristotelské definici jako koresponde</w:t>
      </w:r>
      <w:r w:rsidR="00073782">
        <w:t xml:space="preserve">nce vnější reality a intelektu. </w:t>
      </w:r>
      <w:r w:rsidR="08C27740">
        <w:t>Moderní subjekt</w:t>
      </w:r>
      <w:r w:rsidR="08C27740">
        <w:rPr>
          <w:i/>
        </w:rPr>
        <w:fldChar w:fldCharType="begin"/>
      </w:r>
      <w:r w:rsidR="08C27740">
        <w:instrText xml:space="preserve"> XE "</w:instrText>
      </w:r>
      <w:r w:rsidR="08C27740" w:rsidRPr="00763A5B">
        <w:rPr>
          <w:i/>
        </w:rPr>
        <w:instrText>subiectum</w:instrText>
      </w:r>
      <w:r w:rsidR="08C27740">
        <w:instrText xml:space="preserve">:moderní subjekt" </w:instrText>
      </w:r>
      <w:r w:rsidR="08C27740">
        <w:rPr>
          <w:i/>
        </w:rPr>
        <w:fldChar w:fldCharType="end"/>
      </w:r>
      <w:r w:rsidR="08C27740">
        <w:t xml:space="preserve"> nese </w:t>
      </w:r>
      <w:r w:rsidR="000F6D3E">
        <w:t xml:space="preserve">v sobě </w:t>
      </w:r>
      <w:r w:rsidR="08C27740">
        <w:t xml:space="preserve">smysl jsoucna v modu </w:t>
      </w:r>
      <w:r w:rsidR="08C27740" w:rsidRPr="0051421F">
        <w:rPr>
          <w:i/>
        </w:rPr>
        <w:t>per se</w:t>
      </w:r>
      <w:r w:rsidR="08C27740">
        <w:rPr>
          <w:i/>
        </w:rPr>
        <w:t xml:space="preserve"> </w:t>
      </w:r>
      <w:r w:rsidR="08C27740" w:rsidRPr="0032154D">
        <w:t xml:space="preserve">a </w:t>
      </w:r>
      <w:r w:rsidR="08C27740" w:rsidRPr="0051421F">
        <w:rPr>
          <w:i/>
        </w:rPr>
        <w:t>simpliciter</w:t>
      </w:r>
      <w:r w:rsidR="08C27740">
        <w:t xml:space="preserve"> a tím nahradil ve schématu poznání hyparchický význam první substance. Zdroj subsistence a aktuality nahrazující první substanci </w:t>
      </w:r>
      <w:r w:rsidR="08C15A36">
        <w:t>zastoupila hypostázovaná</w:t>
      </w:r>
      <w:r w:rsidR="08C27740">
        <w:t xml:space="preserve"> </w:t>
      </w:r>
      <w:r w:rsidR="08C15A36">
        <w:t>potencialita daná</w:t>
      </w:r>
      <w:r w:rsidR="08C27740">
        <w:t xml:space="preserve"> </w:t>
      </w:r>
      <w:r w:rsidR="08C27740" w:rsidRPr="003A5E40">
        <w:rPr>
          <w:i/>
        </w:rPr>
        <w:t>per se</w:t>
      </w:r>
      <w:r w:rsidR="08C27740">
        <w:t xml:space="preserve"> v boží a lidské mysli. Tím vznikl nový nositel univerzálního a univočního významu pro celek jsoucen (</w:t>
      </w:r>
      <w:r w:rsidR="08C27740" w:rsidRPr="00273106">
        <w:rPr>
          <w:rStyle w:val="st"/>
        </w:rPr>
        <w:t>ὑποκείμενον</w:t>
      </w:r>
      <w:r w:rsidR="08C27740" w:rsidRPr="00273106">
        <w:rPr>
          <w:i/>
        </w:rPr>
        <w:t>, subiectum</w:t>
      </w:r>
      <w:r w:rsidR="08C27740">
        <w:rPr>
          <w:i/>
        </w:rPr>
        <w:fldChar w:fldCharType="begin"/>
      </w:r>
      <w:r w:rsidR="08C27740">
        <w:instrText xml:space="preserve"> XE "</w:instrText>
      </w:r>
      <w:r w:rsidR="08C27740" w:rsidRPr="00360013">
        <w:rPr>
          <w:i/>
        </w:rPr>
        <w:instrText>subiectum:</w:instrText>
      </w:r>
      <w:r w:rsidR="08C27740" w:rsidRPr="00B2039F">
        <w:instrText>ontoteologie</w:instrText>
      </w:r>
      <w:r w:rsidR="08C27740">
        <w:instrText xml:space="preserve">" </w:instrText>
      </w:r>
      <w:r w:rsidR="08C27740">
        <w:rPr>
          <w:i/>
        </w:rPr>
        <w:fldChar w:fldCharType="end"/>
      </w:r>
      <w:r w:rsidR="08C27740">
        <w:t xml:space="preserve">), který založil jednotu jsoucna v objektivním modu </w:t>
      </w:r>
      <w:r w:rsidR="00CB2314">
        <w:t>„</w:t>
      </w:r>
      <w:r w:rsidR="08C27740" w:rsidRPr="00BC277E">
        <w:rPr>
          <w:i/>
        </w:rPr>
        <w:t xml:space="preserve">ad </w:t>
      </w:r>
      <w:proofErr w:type="gramStart"/>
      <w:r w:rsidR="08C27740" w:rsidRPr="00BC277E">
        <w:rPr>
          <w:i/>
        </w:rPr>
        <w:t>unum</w:t>
      </w:r>
      <w:proofErr w:type="gramEnd"/>
      <w:r w:rsidR="00CB2314">
        <w:t>“</w:t>
      </w:r>
      <w:r w:rsidR="08C27740">
        <w:t>. Metafyzika založená na intencionalitě</w:t>
      </w:r>
      <w:r w:rsidR="08C27740">
        <w:fldChar w:fldCharType="begin"/>
      </w:r>
      <w:r w:rsidR="08C27740">
        <w:instrText xml:space="preserve"> XE "</w:instrText>
      </w:r>
      <w:r w:rsidR="08C27740" w:rsidRPr="00847FB1">
        <w:instrText>intencionalita:moderna</w:instrText>
      </w:r>
      <w:r w:rsidR="08C27740">
        <w:instrText xml:space="preserve">" </w:instrText>
      </w:r>
      <w:r w:rsidR="08C27740">
        <w:fldChar w:fldCharType="end"/>
      </w:r>
      <w:r w:rsidR="08C27740">
        <w:t xml:space="preserve"> moderního demiurgického subjektu našla po krizi roku 1277 hledaný oslí můstek mezi oběma patry demiurgických regulí podle Bonaventury (</w:t>
      </w:r>
      <w:r w:rsidR="08C27740" w:rsidRPr="00273106">
        <w:rPr>
          <w:i/>
        </w:rPr>
        <w:t xml:space="preserve">regula agentis </w:t>
      </w:r>
      <w:r w:rsidR="08C27740">
        <w:rPr>
          <w:i/>
        </w:rPr>
        <w:t>in/</w:t>
      </w:r>
      <w:r w:rsidR="08C27740" w:rsidRPr="00273106">
        <w:rPr>
          <w:i/>
        </w:rPr>
        <w:t>creati</w:t>
      </w:r>
      <w:r w:rsidR="089D6BA1">
        <w:rPr>
          <w:i/>
        </w:rPr>
        <w:fldChar w:fldCharType="begin"/>
      </w:r>
      <w:r w:rsidR="089D6BA1">
        <w:instrText xml:space="preserve"> XE "</w:instrText>
      </w:r>
      <w:r w:rsidR="089D6BA1" w:rsidRPr="082B7C44">
        <w:rPr>
          <w:i/>
        </w:rPr>
        <w:instrText xml:space="preserve">regula agentis </w:instrText>
      </w:r>
      <w:r w:rsidR="089D6BA1" w:rsidRPr="082B7C44">
        <w:rPr>
          <w:i/>
        </w:rPr>
        <w:lastRenderedPageBreak/>
        <w:instrText>in/creati</w:instrText>
      </w:r>
      <w:r w:rsidR="089D6BA1">
        <w:instrText xml:space="preserve">" </w:instrText>
      </w:r>
      <w:r w:rsidR="089D6BA1">
        <w:rPr>
          <w:i/>
        </w:rPr>
        <w:fldChar w:fldCharType="end"/>
      </w:r>
      <w:r w:rsidR="08C27740">
        <w:rPr>
          <w:i/>
        </w:rPr>
        <w:t>,</w:t>
      </w:r>
      <w:r w:rsidR="08C27740">
        <w:t xml:space="preserve"> kap. 4.1.3). </w:t>
      </w:r>
      <w:r w:rsidR="08C27740" w:rsidRPr="00273106">
        <w:t xml:space="preserve">Boží a lidské </w:t>
      </w:r>
      <w:r w:rsidR="08C27740" w:rsidRPr="00273106">
        <w:rPr>
          <w:i/>
        </w:rPr>
        <w:t>intentio</w:t>
      </w:r>
      <w:r w:rsidR="08C27740" w:rsidRPr="00273106">
        <w:t xml:space="preserve"> </w:t>
      </w:r>
      <w:r w:rsidR="08C27740">
        <w:t xml:space="preserve">vztažené k objektivně zjevovanému </w:t>
      </w:r>
      <w:r w:rsidR="08C27740" w:rsidRPr="00273106">
        <w:t xml:space="preserve">smyslu jsoucna </w:t>
      </w:r>
      <w:r w:rsidR="08C27740">
        <w:t>funguje v modu antropomorficky dané korespondence.</w:t>
      </w:r>
      <w:r w:rsidR="08C27740">
        <w:rPr>
          <w:rStyle w:val="Zkladntext158dkovn0pt"/>
          <w:color w:val="auto"/>
          <w:spacing w:val="0"/>
          <w:sz w:val="24"/>
          <w:lang w:val="cs-CZ"/>
        </w:rPr>
        <w:t xml:space="preserve"> </w:t>
      </w:r>
      <w:r w:rsidR="08C27740">
        <w:t>M</w:t>
      </w:r>
      <w:r w:rsidR="08C27740">
        <w:rPr>
          <w:rStyle w:val="Zkladntext158dkovn0pt"/>
          <w:color w:val="auto"/>
          <w:spacing w:val="0"/>
          <w:sz w:val="24"/>
          <w:lang w:val="cs-CZ"/>
        </w:rPr>
        <w:t>odernu</w:t>
      </w:r>
      <w:r w:rsidR="08C27740" w:rsidRPr="00273106">
        <w:rPr>
          <w:rStyle w:val="Zkladntext158dkovn0pt"/>
          <w:color w:val="auto"/>
          <w:spacing w:val="0"/>
          <w:sz w:val="24"/>
          <w:lang w:val="cs-CZ"/>
        </w:rPr>
        <w:t xml:space="preserve"> determinuje trvalé hled</w:t>
      </w:r>
      <w:r w:rsidR="08C27740">
        <w:rPr>
          <w:rStyle w:val="Zkladntext158dkovn0pt"/>
          <w:color w:val="auto"/>
          <w:spacing w:val="0"/>
          <w:sz w:val="24"/>
          <w:lang w:val="cs-CZ"/>
        </w:rPr>
        <w:t xml:space="preserve">ání objektivní jednoty člověka a boha. Primární </w:t>
      </w:r>
      <w:r w:rsidR="08C27740" w:rsidRPr="00273106">
        <w:rPr>
          <w:rStyle w:val="Zkladntext158dkovn0pt"/>
          <w:color w:val="auto"/>
          <w:spacing w:val="0"/>
          <w:sz w:val="24"/>
          <w:lang w:val="cs-CZ"/>
        </w:rPr>
        <w:t xml:space="preserve">ospravedlnění jednoty </w:t>
      </w:r>
      <w:r w:rsidR="08C27740">
        <w:rPr>
          <w:rStyle w:val="Zkladntext158dkovn0pt"/>
          <w:color w:val="auto"/>
          <w:spacing w:val="0"/>
          <w:sz w:val="24"/>
          <w:lang w:val="cs-CZ"/>
        </w:rPr>
        <w:t xml:space="preserve">jsoucího </w:t>
      </w:r>
      <w:r w:rsidR="08C27740" w:rsidRPr="00273106">
        <w:rPr>
          <w:rStyle w:val="Zkladntext158dkovn0pt"/>
          <w:color w:val="auto"/>
          <w:spacing w:val="0"/>
          <w:sz w:val="24"/>
          <w:lang w:val="cs-CZ"/>
        </w:rPr>
        <w:t>(</w:t>
      </w:r>
      <w:r w:rsidR="08C27740" w:rsidRPr="00273106">
        <w:rPr>
          <w:rStyle w:val="Zkladntext158dkovn0pt"/>
          <w:i/>
          <w:color w:val="auto"/>
          <w:spacing w:val="0"/>
          <w:sz w:val="24"/>
          <w:lang w:val="cs-CZ"/>
        </w:rPr>
        <w:t>rectitudo</w:t>
      </w:r>
      <w:r w:rsidR="08C27740" w:rsidRPr="00273106">
        <w:rPr>
          <w:rStyle w:val="Zkladntext158dkovn0pt"/>
          <w:color w:val="auto"/>
          <w:spacing w:val="0"/>
          <w:sz w:val="24"/>
          <w:lang w:val="cs-CZ"/>
        </w:rPr>
        <w:t xml:space="preserve">) </w:t>
      </w:r>
      <w:r w:rsidR="08C27740">
        <w:rPr>
          <w:rStyle w:val="Zkladntext158dkovn0pt"/>
          <w:color w:val="auto"/>
          <w:spacing w:val="0"/>
          <w:sz w:val="24"/>
          <w:lang w:val="cs-CZ"/>
        </w:rPr>
        <w:t xml:space="preserve">na straně boha </w:t>
      </w:r>
      <w:r w:rsidR="08C27740" w:rsidRPr="00273106">
        <w:rPr>
          <w:rStyle w:val="Zkladntext158dkovn0pt"/>
          <w:color w:val="auto"/>
          <w:spacing w:val="0"/>
          <w:sz w:val="24"/>
          <w:lang w:val="cs-CZ"/>
        </w:rPr>
        <w:t xml:space="preserve">musí být </w:t>
      </w:r>
      <w:r w:rsidR="08C27740">
        <w:rPr>
          <w:rStyle w:val="Zkladntext158dkovn0pt"/>
          <w:color w:val="auto"/>
          <w:spacing w:val="0"/>
          <w:sz w:val="24"/>
          <w:lang w:val="cs-CZ"/>
        </w:rPr>
        <w:t xml:space="preserve">sekundárně </w:t>
      </w:r>
      <w:r w:rsidR="08C27740" w:rsidRPr="00273106">
        <w:rPr>
          <w:rStyle w:val="Zkladntext158dkovn0pt"/>
          <w:color w:val="auto"/>
          <w:spacing w:val="0"/>
          <w:sz w:val="24"/>
          <w:lang w:val="cs-CZ"/>
        </w:rPr>
        <w:t xml:space="preserve">dáno na základě vnitřní jistoty </w:t>
      </w:r>
      <w:r w:rsidR="08C27740">
        <w:rPr>
          <w:rStyle w:val="Zkladntext158dkovn0pt"/>
          <w:color w:val="auto"/>
          <w:spacing w:val="0"/>
          <w:sz w:val="24"/>
          <w:lang w:val="cs-CZ"/>
        </w:rPr>
        <w:t xml:space="preserve">lidského </w:t>
      </w:r>
      <w:r w:rsidR="08C27740" w:rsidRPr="00273106">
        <w:rPr>
          <w:rStyle w:val="Zkladntext158dkovn0pt"/>
          <w:color w:val="auto"/>
          <w:spacing w:val="0"/>
          <w:sz w:val="24"/>
          <w:lang w:val="cs-CZ"/>
        </w:rPr>
        <w:t>subjektu (</w:t>
      </w:r>
      <w:r w:rsidR="08C27740" w:rsidRPr="00273106">
        <w:rPr>
          <w:rStyle w:val="Zkladntext158dkovn0pt"/>
          <w:i/>
          <w:color w:val="auto"/>
          <w:spacing w:val="0"/>
          <w:sz w:val="24"/>
          <w:lang w:val="cs-CZ"/>
        </w:rPr>
        <w:t>certitudo</w:t>
      </w:r>
      <w:r w:rsidR="08C27740" w:rsidRPr="00273106">
        <w:rPr>
          <w:rStyle w:val="Zkladntext158dkovn0pt"/>
          <w:color w:val="auto"/>
          <w:spacing w:val="0"/>
          <w:sz w:val="24"/>
          <w:lang w:val="cs-CZ"/>
        </w:rPr>
        <w:t>).</w:t>
      </w:r>
      <w:r w:rsidR="08C27740">
        <w:rPr>
          <w:rStyle w:val="Zkladntext158dkovn0pt"/>
          <w:color w:val="auto"/>
          <w:spacing w:val="0"/>
          <w:sz w:val="24"/>
          <w:lang w:val="cs-CZ"/>
        </w:rPr>
        <w:t xml:space="preserve"> </w:t>
      </w:r>
      <w:r>
        <w:rPr>
          <w:rStyle w:val="Zkladntext158dkovn0pt"/>
          <w:color w:val="auto"/>
          <w:spacing w:val="0"/>
          <w:sz w:val="24"/>
          <w:lang w:val="cs-CZ"/>
        </w:rPr>
        <w:t xml:space="preserve">Moderní subjekt se našel skrze objektivně poznaný svět, který se stal novou formou jeho vlastního </w:t>
      </w:r>
      <w:r w:rsidRPr="004C7BCE">
        <w:rPr>
          <w:rStyle w:val="Zkladntext158dkovn0pt"/>
          <w:i/>
          <w:color w:val="auto"/>
          <w:spacing w:val="0"/>
          <w:sz w:val="24"/>
          <w:lang w:val="cs-CZ"/>
        </w:rPr>
        <w:t>scibile</w:t>
      </w:r>
      <w:r>
        <w:rPr>
          <w:rStyle w:val="Zkladntext158dkovn0pt"/>
          <w:color w:val="auto"/>
          <w:spacing w:val="0"/>
          <w:sz w:val="24"/>
          <w:lang w:val="cs-CZ"/>
        </w:rPr>
        <w:t xml:space="preserve"> predikovaného v modu analogické podobnosti.</w:t>
      </w:r>
      <w:r>
        <w:rPr>
          <w:lang w:eastAsia="en-US"/>
        </w:rPr>
        <w:t xml:space="preserve"> </w:t>
      </w:r>
      <w:r>
        <w:t>Rufusovo diktum o plné supozici smyslu jsoucna od subjektu</w:t>
      </w:r>
      <w:r>
        <w:rPr>
          <w:i/>
        </w:rPr>
        <w:fldChar w:fldCharType="begin"/>
      </w:r>
      <w:r>
        <w:instrText xml:space="preserve"> XE "</w:instrText>
      </w:r>
      <w:r w:rsidRPr="00360013">
        <w:rPr>
          <w:i/>
        </w:rPr>
        <w:instrText>subiectum:</w:instrText>
      </w:r>
      <w:r w:rsidRPr="002C4CEE">
        <w:instrText>Rufus</w:instrText>
      </w:r>
      <w:r>
        <w:instrText xml:space="preserve">" </w:instrText>
      </w:r>
      <w:r>
        <w:rPr>
          <w:i/>
        </w:rPr>
        <w:fldChar w:fldCharType="end"/>
      </w:r>
      <w:r w:rsidRPr="00370E8C">
        <w:t xml:space="preserve"> </w:t>
      </w:r>
      <w:r>
        <w:t>začalo platit absolutním způsobem (</w:t>
      </w:r>
      <w:r w:rsidRPr="00A70F2A">
        <w:rPr>
          <w:i/>
        </w:rPr>
        <w:t>ubi est subiectum, non ostenditur, sed supponitur</w:t>
      </w:r>
      <w:r w:rsidR="080A031C">
        <w:t>; OBJ II, kap. 3</w:t>
      </w:r>
      <w:r w:rsidRPr="0051421F">
        <w:t xml:space="preserve">.3.1). </w:t>
      </w:r>
      <w:r>
        <w:t>Supozice daná v modu demiurgické intencionality vytlačila impozici významu z</w:t>
      </w:r>
      <w:r w:rsidR="00641C8D">
        <w:t> </w:t>
      </w:r>
      <w:r>
        <w:t>real</w:t>
      </w:r>
      <w:r w:rsidR="00641C8D">
        <w:t xml:space="preserve">ných </w:t>
      </w:r>
      <w:r>
        <w:t>první</w:t>
      </w:r>
      <w:r w:rsidR="00641C8D">
        <w:t>ch substancí</w:t>
      </w:r>
      <w:r>
        <w:t xml:space="preserve">. První exemplární význam jsoucna je dán v plně odděleném myšlení Stvořitele. </w:t>
      </w:r>
      <w:r w:rsidR="08C27740">
        <w:t>Nejvyšším garantem jedné objektivní pravdy se stal moderní bůh. Ten tehdy ještě nebyl mrtev</w:t>
      </w:r>
      <w:r w:rsidR="00FA08B1">
        <w:t>. T</w:t>
      </w:r>
      <w:r w:rsidR="08C27740">
        <w:t xml:space="preserve">oto simulákrum začalo oficiálně úřadovat na Pařížské univerzitě po vyhnání Sigerovy školy v roce 1277. </w:t>
      </w:r>
      <w:r w:rsidR="08DA7264">
        <w:t>Nová metafyzika byla pro klasické myslitele jako Bacon šílenstv</w:t>
      </w:r>
      <w:r w:rsidR="00102598">
        <w:t>í rozumu. A</w:t>
      </w:r>
      <w:r w:rsidR="08DA7264">
        <w:t xml:space="preserve">le v této době již umírali poslední svědkové prvního averrismu, kteří měli spojení s původní Blundovou školou. </w:t>
      </w:r>
      <w:r w:rsidRPr="00273106">
        <w:t>Latinští sofisté vytvořili zdání pravdivosti v rámci metafyzické operace</w:t>
      </w:r>
      <w:r>
        <w:t xml:space="preserve"> přirozeného a nadpřirozeného agenta</w:t>
      </w:r>
      <w:r w:rsidRPr="00273106">
        <w:t xml:space="preserve">, kterou zná mediální manipulace </w:t>
      </w:r>
      <w:r>
        <w:t xml:space="preserve">v </w:t>
      </w:r>
      <w:r w:rsidRPr="00273106">
        <w:t>t</w:t>
      </w:r>
      <w:r>
        <w:t xml:space="preserve">ermínu </w:t>
      </w:r>
      <w:r w:rsidR="006E55EA">
        <w:t>„</w:t>
      </w:r>
      <w:r w:rsidRPr="00273106">
        <w:rPr>
          <w:i/>
        </w:rPr>
        <w:t>agenda-setting</w:t>
      </w:r>
      <w:r w:rsidR="006E55EA">
        <w:t>“</w:t>
      </w:r>
      <w:r>
        <w:rPr>
          <w:i/>
        </w:rPr>
        <w:fldChar w:fldCharType="begin"/>
      </w:r>
      <w:r>
        <w:instrText xml:space="preserve"> XE "</w:instrText>
      </w:r>
      <w:r w:rsidRPr="005D427B">
        <w:rPr>
          <w:i/>
        </w:rPr>
        <w:instrText>agenda-setting</w:instrText>
      </w:r>
      <w:r>
        <w:instrText xml:space="preserve">" </w:instrText>
      </w:r>
      <w:r>
        <w:rPr>
          <w:i/>
        </w:rPr>
        <w:fldChar w:fldCharType="end"/>
      </w:r>
      <w:r w:rsidRPr="00273106">
        <w:t xml:space="preserve"> (McCombs‒Shaw 1972).</w:t>
      </w:r>
      <w:r>
        <w:t xml:space="preserve"> Celek jsoucna dostal novou metafyzickou agendu tím, že jsoucna třetího druhu dostala kategoriální význam v ontoteolo</w:t>
      </w:r>
      <w:r w:rsidR="00D56C26">
        <w:t>gické struktuře smyslu jsoucna.</w:t>
      </w:r>
    </w:p>
    <w:p w:rsidR="000B0F5D" w:rsidRDefault="08163013" w:rsidP="003F2E62">
      <w:pPr>
        <w:ind w:firstLine="397"/>
      </w:pPr>
      <w:r>
        <w:t>V systému objektivní intencionality boha a člověka</w:t>
      </w:r>
      <w:r w:rsidRPr="08916133">
        <w:t xml:space="preserve"> </w:t>
      </w:r>
      <w:r>
        <w:t>vznikla epochálně účinná řada moderních simuláker</w:t>
      </w:r>
      <w:r>
        <w:fldChar w:fldCharType="begin"/>
      </w:r>
      <w:r>
        <w:instrText xml:space="preserve"> XE "</w:instrText>
      </w:r>
      <w:r w:rsidRPr="00C2134D">
        <w:instrText>simulákrum</w:instrText>
      </w:r>
      <w:r>
        <w:instrText xml:space="preserve">" </w:instrText>
      </w:r>
      <w:r>
        <w:fldChar w:fldCharType="end"/>
      </w:r>
      <w:r>
        <w:t xml:space="preserve">. Moderně vzdělané Fúrie </w:t>
      </w:r>
      <w:r w:rsidR="00D02DDB">
        <w:t xml:space="preserve">se </w:t>
      </w:r>
      <w:r>
        <w:t>zařídily na univerz</w:t>
      </w:r>
      <w:r w:rsidR="00D02DDB">
        <w:t>itách v Oxfordu a v Paříži. O</w:t>
      </w:r>
      <w:r>
        <w:t xml:space="preserve">bjektivně myslící bůh </w:t>
      </w:r>
      <w:r w:rsidRPr="08916133">
        <w:rPr>
          <w:i/>
        </w:rPr>
        <w:t>Modernorum</w:t>
      </w:r>
      <w:r w:rsidR="00D02DDB">
        <w:t xml:space="preserve"> prováděl</w:t>
      </w:r>
      <w:r>
        <w:t xml:space="preserve"> první a nejdůležitější dedukci objektivních jsoucen třetího druhu daných jako exemplární boží intence. Moderna vytvořila pomocí Avicenny novou formu zásvětí, v němž se spojila absolutní boží psychologie a intencionalita, která se stala první vědou o jsoucnu. </w:t>
      </w:r>
      <w:r w:rsidR="08914A34">
        <w:t xml:space="preserve">Hermeneutický kruh porozumění v nové metafyzice spojuje boží demiurgický celek i odpovídající lidskou část. </w:t>
      </w:r>
      <w:r w:rsidR="00082E67">
        <w:t>Moderní b</w:t>
      </w:r>
      <w:r w:rsidR="08914A34">
        <w:t xml:space="preserve">ůh </w:t>
      </w:r>
      <w:r w:rsidR="00082E67">
        <w:t>s</w:t>
      </w:r>
      <w:r w:rsidR="08914A34">
        <w:t xml:space="preserve">e stal díky demiurgické intencionalitě člověkem a lidský demiurg se stal moderním bohem. </w:t>
      </w:r>
      <w:r w:rsidR="00082E67">
        <w:t xml:space="preserve">Jak je dobře známo, inkarnace Boha a deifikace člověka jsou dva základní principy teologie. </w:t>
      </w:r>
      <w:r>
        <w:t>Objektivn</w:t>
      </w:r>
      <w:r w:rsidR="085F1335">
        <w:t>í s</w:t>
      </w:r>
      <w:r>
        <w:t xml:space="preserve">pojení demiurgického určení boha a člověka vzniklo na základě </w:t>
      </w:r>
      <w:r w:rsidR="08914A34">
        <w:t xml:space="preserve">nové formy diakosmu. </w:t>
      </w:r>
      <w:r w:rsidR="009A01C1">
        <w:t>P</w:t>
      </w:r>
      <w:r w:rsidR="009A01C1" w:rsidRPr="009A01C1">
        <w:t>oznání exemplární intencionality v objektivně daném světě (</w:t>
      </w:r>
      <w:r w:rsidR="009A01C1" w:rsidRPr="009A01C1">
        <w:rPr>
          <w:i/>
        </w:rPr>
        <w:t>ratio seminalis</w:t>
      </w:r>
      <w:r w:rsidR="009A01C1" w:rsidRPr="009A01C1">
        <w:t>) nutně zahrnuje veškerý dostupný smysl bytí, který sídlí v božské mysli (</w:t>
      </w:r>
      <w:r w:rsidR="009A01C1" w:rsidRPr="009A01C1">
        <w:rPr>
          <w:i/>
        </w:rPr>
        <w:t>ratio exemplaris</w:t>
      </w:r>
      <w:r w:rsidR="009A01C1" w:rsidRPr="009A01C1">
        <w:t xml:space="preserve">). </w:t>
      </w:r>
      <w:r w:rsidR="00082E67">
        <w:lastRenderedPageBreak/>
        <w:t>Díky objektivně sdílené int</w:t>
      </w:r>
      <w:r w:rsidR="009A01C1">
        <w:t>en</w:t>
      </w:r>
      <w:r w:rsidR="00082E67">
        <w:t>cionalitě pak platí, že ob</w:t>
      </w:r>
      <w:r w:rsidR="00B45389">
        <w:t>a</w:t>
      </w:r>
      <w:r w:rsidR="00082E67">
        <w:t xml:space="preserve"> </w:t>
      </w:r>
      <w:r w:rsidR="00082E67" w:rsidRPr="00082E67">
        <w:t xml:space="preserve">demiurgové </w:t>
      </w:r>
      <w:r w:rsidR="00082E67">
        <w:t xml:space="preserve">spravují jeden společný a reálně neexistující diakosmos. </w:t>
      </w:r>
      <w:r w:rsidR="009F750D">
        <w:t xml:space="preserve">Škola </w:t>
      </w:r>
      <w:r w:rsidR="009F750D" w:rsidRPr="00F26380">
        <w:rPr>
          <w:i/>
        </w:rPr>
        <w:t>Nominales</w:t>
      </w:r>
      <w:r w:rsidR="009F750D">
        <w:t xml:space="preserve"> uvedla toto vidění světa </w:t>
      </w:r>
      <w:r w:rsidR="009F750D" w:rsidRPr="009F750D">
        <w:t xml:space="preserve">ve spise </w:t>
      </w:r>
      <w:r w:rsidR="009F750D" w:rsidRPr="009F750D">
        <w:rPr>
          <w:i/>
        </w:rPr>
        <w:t>Dialectica monacensis</w:t>
      </w:r>
      <w:r w:rsidR="009F750D" w:rsidRPr="009F750D">
        <w:t xml:space="preserve">. Potencialita se stala </w:t>
      </w:r>
      <w:r w:rsidR="009F750D">
        <w:t xml:space="preserve">novým </w:t>
      </w:r>
      <w:r w:rsidR="009F750D" w:rsidRPr="009F750D">
        <w:rPr>
          <w:i/>
        </w:rPr>
        <w:t>tertium ens</w:t>
      </w:r>
      <w:r w:rsidR="009F750D" w:rsidRPr="009F750D">
        <w:t xml:space="preserve"> (</w:t>
      </w:r>
      <w:r w:rsidR="009F750D" w:rsidRPr="009F750D">
        <w:rPr>
          <w:i/>
        </w:rPr>
        <w:t>potens est tantum esse</w:t>
      </w:r>
      <w:r w:rsidR="009F750D">
        <w:rPr>
          <w:szCs w:val="18"/>
        </w:rPr>
        <w:fldChar w:fldCharType="begin"/>
      </w:r>
      <w:r w:rsidR="009F750D">
        <w:instrText xml:space="preserve"> XE "</w:instrText>
      </w:r>
      <w:r w:rsidR="009F750D">
        <w:rPr>
          <w:i/>
          <w:szCs w:val="18"/>
        </w:rPr>
        <w:instrText>Logica Modernorum II</w:instrText>
      </w:r>
      <w:r w:rsidR="009F750D">
        <w:rPr>
          <w:szCs w:val="18"/>
        </w:rPr>
        <w:instrText>:</w:instrText>
      </w:r>
      <w:r w:rsidR="009F750D" w:rsidRPr="00273106">
        <w:rPr>
          <w:i/>
        </w:rPr>
        <w:instrText>Dialectica monacensis</w:instrText>
      </w:r>
      <w:r w:rsidR="009F750D" w:rsidRPr="00273106">
        <w:instrText xml:space="preserve"> </w:instrText>
      </w:r>
      <w:r w:rsidR="009F750D" w:rsidRPr="00C75E08">
        <w:rPr>
          <w:szCs w:val="18"/>
        </w:rPr>
        <w:instrText>481.9‒16</w:instrText>
      </w:r>
      <w:r w:rsidR="009F750D">
        <w:instrText xml:space="preserve">" </w:instrText>
      </w:r>
      <w:r w:rsidR="009F750D">
        <w:rPr>
          <w:szCs w:val="18"/>
        </w:rPr>
        <w:fldChar w:fldCharType="end"/>
      </w:r>
      <w:r w:rsidR="009F750D" w:rsidRPr="009F750D">
        <w:t xml:space="preserve">; OB II, kap. 1.4), které začalo nahrazovat poznání reálného světa. Moderna navrhla základní korespondenci mezi věcmi a intelektem prostřednictvím </w:t>
      </w:r>
      <w:r w:rsidR="00E42F7C">
        <w:t xml:space="preserve">univočně </w:t>
      </w:r>
      <w:r w:rsidR="009F750D" w:rsidRPr="009F750D">
        <w:t xml:space="preserve">pojatých pojmů </w:t>
      </w:r>
      <w:r w:rsidR="009F750D" w:rsidRPr="00E42F7C">
        <w:rPr>
          <w:i/>
        </w:rPr>
        <w:t>resolutio</w:t>
      </w:r>
      <w:r w:rsidR="009F750D" w:rsidRPr="009F750D">
        <w:t xml:space="preserve"> a </w:t>
      </w:r>
      <w:r w:rsidR="009F750D" w:rsidRPr="00E42F7C">
        <w:rPr>
          <w:i/>
        </w:rPr>
        <w:t>intentio</w:t>
      </w:r>
      <w:r w:rsidR="009F750D" w:rsidRPr="009F750D">
        <w:t xml:space="preserve">. Rufus </w:t>
      </w:r>
      <w:r w:rsidR="000E7794">
        <w:t xml:space="preserve">byl </w:t>
      </w:r>
      <w:r w:rsidR="009F750D" w:rsidRPr="009F750D">
        <w:t>první badatel tohoto objektivního světa</w:t>
      </w:r>
      <w:r w:rsidR="000E7794">
        <w:t xml:space="preserve"> a v</w:t>
      </w:r>
      <w:r w:rsidR="009F750D" w:rsidRPr="009F750D">
        <w:t xml:space="preserve">ytvořil první teorii moderní pravdy jako </w:t>
      </w:r>
      <w:r w:rsidR="009F750D" w:rsidRPr="00E42F7C">
        <w:rPr>
          <w:i/>
        </w:rPr>
        <w:t>coaequatio</w:t>
      </w:r>
      <w:r w:rsidR="00E42F7C">
        <w:rPr>
          <w:i/>
        </w:rPr>
        <w:fldChar w:fldCharType="begin"/>
      </w:r>
      <w:r w:rsidR="00E42F7C">
        <w:instrText xml:space="preserve"> XE "pravda:</w:instrText>
      </w:r>
      <w:r w:rsidR="00E42F7C" w:rsidRPr="00E11E1F">
        <w:rPr>
          <w:i/>
        </w:rPr>
        <w:instrText>coaequatio</w:instrText>
      </w:r>
      <w:r w:rsidR="00E42F7C">
        <w:instrText xml:space="preserve">" </w:instrText>
      </w:r>
      <w:r w:rsidR="00E42F7C">
        <w:rPr>
          <w:i/>
        </w:rPr>
        <w:fldChar w:fldCharType="end"/>
      </w:r>
      <w:r w:rsidR="009F750D" w:rsidRPr="009F750D">
        <w:t>.</w:t>
      </w:r>
      <w:r w:rsidR="00E42F7C">
        <w:t xml:space="preserve"> </w:t>
      </w:r>
      <w:r>
        <w:t xml:space="preserve">Možnost daná v </w:t>
      </w:r>
      <w:r w:rsidRPr="00EE1219">
        <w:t>por</w:t>
      </w:r>
      <w:r>
        <w:t xml:space="preserve">retánské logice </w:t>
      </w:r>
      <w:r w:rsidR="00E42F7C">
        <w:t>jako Avicennovo „</w:t>
      </w:r>
      <w:r w:rsidR="00E42F7C" w:rsidRPr="00E42F7C">
        <w:rPr>
          <w:i/>
        </w:rPr>
        <w:t>hoc esse tantum</w:t>
      </w:r>
      <w:r w:rsidR="00E42F7C">
        <w:t xml:space="preserve">“ </w:t>
      </w:r>
      <w:r>
        <w:t>se přem</w:t>
      </w:r>
      <w:r w:rsidRPr="00EE1219">
        <w:t>ě</w:t>
      </w:r>
      <w:r>
        <w:t>n</w:t>
      </w:r>
      <w:r w:rsidRPr="00EE1219">
        <w:t xml:space="preserve">ila na </w:t>
      </w:r>
      <w:r>
        <w:t>objektivní kauzalitu</w:t>
      </w:r>
      <w:r w:rsidR="00E42F7C">
        <w:t>. Další krok už byl jasný</w:t>
      </w:r>
      <w:r w:rsidR="00C53520">
        <w:t xml:space="preserve">. V rámci </w:t>
      </w:r>
      <w:r w:rsidR="00C53520">
        <w:rPr>
          <w:i/>
        </w:rPr>
        <w:t>Oxf</w:t>
      </w:r>
      <w:r w:rsidR="00C53520" w:rsidRPr="00E42F7C">
        <w:rPr>
          <w:i/>
        </w:rPr>
        <w:t>o</w:t>
      </w:r>
      <w:r w:rsidR="00C53520">
        <w:rPr>
          <w:i/>
        </w:rPr>
        <w:t>r</w:t>
      </w:r>
      <w:r w:rsidR="00C53520" w:rsidRPr="00E42F7C">
        <w:rPr>
          <w:i/>
        </w:rPr>
        <w:t>dian Fallacy</w:t>
      </w:r>
      <w:r w:rsidR="00C53520">
        <w:rPr>
          <w:i/>
        </w:rPr>
        <w:t xml:space="preserve"> </w:t>
      </w:r>
      <w:r w:rsidR="00C53520">
        <w:t>došlo k tomu, že es</w:t>
      </w:r>
      <w:r w:rsidR="00E42F7C">
        <w:t>enciálně pojatý střední č</w:t>
      </w:r>
      <w:r w:rsidR="00E42F7C" w:rsidRPr="00EE1219">
        <w:t>l</w:t>
      </w:r>
      <w:r w:rsidR="00E42F7C">
        <w:t xml:space="preserve">en vědecké dedukce </w:t>
      </w:r>
      <w:r w:rsidR="00C53520">
        <w:t>dostal kauzální efektivitu</w:t>
      </w:r>
      <w:r w:rsidR="004A13C0">
        <w:t xml:space="preserve">. </w:t>
      </w:r>
      <w:r>
        <w:t xml:space="preserve">První substance se změnila na jsoucno třetího druhu, které poznává averroistický intelekt daný jako hypostázované jsoucno třetího druhu. </w:t>
      </w:r>
      <w:r w:rsidR="00323A2E" w:rsidRPr="00323A2E">
        <w:t xml:space="preserve">Jamblichův božský člověk shromáždil všechny protiklady do jedné formy intelektuálního </w:t>
      </w:r>
      <w:r w:rsidR="00323A2E">
        <w:t>ná</w:t>
      </w:r>
      <w:r w:rsidR="00323A2E" w:rsidRPr="00323A2E">
        <w:t>hledu, který vznikl aktem synoptického theurgi</w:t>
      </w:r>
      <w:r w:rsidR="00323A2E">
        <w:t>ckého vidění (OBJ I, kap. 1.3)</w:t>
      </w:r>
      <w:r w:rsidR="00323A2E" w:rsidRPr="00323A2E">
        <w:t xml:space="preserve">. Nový božský demiurg jako objektivní tvor třetího druhu se stal absolutním </w:t>
      </w:r>
      <w:r w:rsidR="00323A2E">
        <w:t xml:space="preserve">producentem objektivní reality. </w:t>
      </w:r>
      <w:r>
        <w:t xml:space="preserve">Tento subjekt založil novou metafyzickou agendu skrze suverénní demiurgickou vůli danou intencionálně a vzhledem k objektivnímu apetitu formy a materie třetího druhu. Spojením celku a části do mytického kruhu věčného návratu téhož objektivního </w:t>
      </w:r>
      <w:r w:rsidRPr="00F07E96">
        <w:rPr>
          <w:i/>
        </w:rPr>
        <w:t>scibile</w:t>
      </w:r>
      <w:r>
        <w:t xml:space="preserve"> dostaly dějiny Západu novou agendu danou dě</w:t>
      </w:r>
      <w:r w:rsidR="00ED68E5">
        <w:t>jinami nihilistické metafyziky. Tím je v kostce provedena archeologie moderního subjektu, který od začátku 14. století zahájil</w:t>
      </w:r>
      <w:r w:rsidR="000B0F5D">
        <w:t xml:space="preserve"> kapitalistické dobývání světa.</w:t>
      </w:r>
    </w:p>
    <w:p w:rsidR="003F2E62" w:rsidRPr="009E1BC8" w:rsidRDefault="003F2E62" w:rsidP="009E1BC8">
      <w:pPr>
        <w:ind w:firstLine="397"/>
      </w:pPr>
      <w:r>
        <w:t xml:space="preserve">Pátá </w:t>
      </w:r>
      <w:r w:rsidRPr="00273106">
        <w:t xml:space="preserve">matrice </w:t>
      </w:r>
      <w:r w:rsidR="000B0F5D">
        <w:t>zkoumá</w:t>
      </w:r>
      <w:r w:rsidRPr="00273106">
        <w:t xml:space="preserve"> </w:t>
      </w:r>
      <w:r w:rsidR="000B0F5D" w:rsidRPr="00273106">
        <w:t>he</w:t>
      </w:r>
      <w:r w:rsidR="000B0F5D">
        <w:t xml:space="preserve">rmeneutický </w:t>
      </w:r>
      <w:r w:rsidRPr="00273106">
        <w:t xml:space="preserve">trojúhelník </w:t>
      </w:r>
      <w:r>
        <w:t xml:space="preserve">(dějinnost, dějiny, </w:t>
      </w:r>
      <w:r w:rsidRPr="00273106">
        <w:t>historie)</w:t>
      </w:r>
      <w:r w:rsidR="000B0F5D">
        <w:t xml:space="preserve"> vzhledem ke vzniku </w:t>
      </w:r>
      <w:r w:rsidRPr="00273106">
        <w:t>n</w:t>
      </w:r>
      <w:r w:rsidRPr="00273106">
        <w:rPr>
          <w:rStyle w:val="Zkladntext158dkovn0pt"/>
          <w:color w:val="auto"/>
          <w:spacing w:val="0"/>
          <w:sz w:val="24"/>
          <w:lang w:val="cs-CZ"/>
        </w:rPr>
        <w:t>ového subjektu</w:t>
      </w:r>
      <w:r>
        <w:rPr>
          <w:rStyle w:val="Zkladntext158dkovn0pt"/>
          <w:color w:val="auto"/>
          <w:spacing w:val="0"/>
          <w:sz w:val="24"/>
          <w:lang w:val="cs-CZ"/>
        </w:rPr>
        <w:fldChar w:fldCharType="begin"/>
      </w:r>
      <w:r>
        <w:instrText xml:space="preserve"> XE "</w:instrText>
      </w:r>
      <w:r w:rsidRPr="00522C3C">
        <w:rPr>
          <w:rStyle w:val="Zkladntext158dkovn0pt"/>
          <w:i/>
          <w:color w:val="auto"/>
          <w:spacing w:val="0"/>
          <w:sz w:val="24"/>
          <w:lang w:val="cs-CZ"/>
        </w:rPr>
        <w:instrText>subiectum</w:instrText>
      </w:r>
      <w:r w:rsidRPr="000539E3">
        <w:rPr>
          <w:rStyle w:val="Zkladntext158dkovn0pt"/>
          <w:color w:val="auto"/>
          <w:spacing w:val="0"/>
          <w:sz w:val="24"/>
          <w:lang w:val="cs-CZ"/>
        </w:rPr>
        <w:instrText>:moderní subjekt</w:instrText>
      </w:r>
      <w:r>
        <w:instrText xml:space="preserve">" </w:instrText>
      </w:r>
      <w:r>
        <w:rPr>
          <w:rStyle w:val="Zkladntext158dkovn0pt"/>
          <w:color w:val="auto"/>
          <w:spacing w:val="0"/>
          <w:sz w:val="24"/>
          <w:lang w:val="cs-CZ"/>
        </w:rPr>
        <w:fldChar w:fldCharType="end"/>
      </w:r>
      <w:r>
        <w:rPr>
          <w:rStyle w:val="Zkladntext158dkovn0pt"/>
          <w:color w:val="auto"/>
          <w:spacing w:val="0"/>
          <w:sz w:val="24"/>
          <w:lang w:val="cs-CZ"/>
        </w:rPr>
        <w:t xml:space="preserve"> Západu</w:t>
      </w:r>
      <w:r w:rsidR="000B0F5D">
        <w:rPr>
          <w:rStyle w:val="Zkladntext158dkovn0pt"/>
          <w:color w:val="auto"/>
          <w:spacing w:val="0"/>
          <w:sz w:val="24"/>
          <w:lang w:val="cs-CZ"/>
        </w:rPr>
        <w:t xml:space="preserve">. </w:t>
      </w:r>
      <w:r w:rsidR="000B0F5D">
        <w:t xml:space="preserve">Rufus </w:t>
      </w:r>
      <w:r w:rsidR="000B0F5D" w:rsidRPr="00273106">
        <w:rPr>
          <w:rStyle w:val="Zkladntext158dkovn0pt"/>
          <w:color w:val="auto"/>
          <w:spacing w:val="0"/>
          <w:sz w:val="24"/>
          <w:lang w:val="cs-CZ"/>
        </w:rPr>
        <w:t xml:space="preserve">předložil </w:t>
      </w:r>
      <w:r w:rsidR="000B0F5D">
        <w:rPr>
          <w:rStyle w:val="Zkladntext158dkovn0pt"/>
          <w:color w:val="auto"/>
          <w:spacing w:val="0"/>
          <w:sz w:val="24"/>
          <w:lang w:val="cs-CZ"/>
        </w:rPr>
        <w:t xml:space="preserve">základní </w:t>
      </w:r>
      <w:r w:rsidRPr="08521911">
        <w:rPr>
          <w:rStyle w:val="Zkladntext158dkovn0pt"/>
          <w:i/>
          <w:color w:val="auto"/>
          <w:spacing w:val="0"/>
          <w:sz w:val="24"/>
          <w:lang w:val="cs-CZ"/>
        </w:rPr>
        <w:t>Lichtung</w:t>
      </w:r>
      <w:r w:rsidR="000B0F5D">
        <w:rPr>
          <w:rStyle w:val="Zkladntext158dkovn0pt"/>
          <w:color w:val="auto"/>
          <w:spacing w:val="0"/>
          <w:sz w:val="24"/>
          <w:lang w:val="cs-CZ"/>
        </w:rPr>
        <w:t xml:space="preserve"> pravdy a nepravdy</w:t>
      </w:r>
      <w:r w:rsidR="00F71D4D">
        <w:rPr>
          <w:rStyle w:val="Zkladntext158dkovn0pt"/>
          <w:color w:val="auto"/>
          <w:spacing w:val="0"/>
          <w:sz w:val="24"/>
          <w:lang w:val="cs-CZ"/>
        </w:rPr>
        <w:t xml:space="preserve"> tohoto subjektu</w:t>
      </w:r>
      <w:r w:rsidRPr="00273106">
        <w:rPr>
          <w:rStyle w:val="Zkladntext158dkovn0pt"/>
          <w:color w:val="auto"/>
          <w:spacing w:val="0"/>
          <w:sz w:val="24"/>
          <w:lang w:val="cs-CZ"/>
        </w:rPr>
        <w:t xml:space="preserve">. </w:t>
      </w:r>
      <w:r w:rsidR="00AD465E">
        <w:rPr>
          <w:rStyle w:val="Zkladntext158dkovn0pt"/>
          <w:color w:val="auto"/>
          <w:spacing w:val="0"/>
          <w:sz w:val="24"/>
          <w:lang w:val="cs-CZ"/>
        </w:rPr>
        <w:t xml:space="preserve">Ve druhém kroku je třeba najít k tomuto subjektu </w:t>
      </w:r>
      <w:r w:rsidRPr="00273106">
        <w:rPr>
          <w:rStyle w:val="Zkladntext158dkovn0pt"/>
          <w:color w:val="auto"/>
          <w:spacing w:val="0"/>
          <w:sz w:val="24"/>
          <w:lang w:val="cs-CZ"/>
        </w:rPr>
        <w:t xml:space="preserve">odpovídající koncept objektivity, který završí </w:t>
      </w:r>
      <w:r>
        <w:rPr>
          <w:rStyle w:val="Zkladntext158dkovn0pt"/>
          <w:color w:val="auto"/>
          <w:spacing w:val="0"/>
          <w:sz w:val="24"/>
          <w:lang w:val="cs-CZ"/>
        </w:rPr>
        <w:t>nově vzniklý vztah „</w:t>
      </w:r>
      <w:proofErr w:type="gramStart"/>
      <w:r>
        <w:rPr>
          <w:rStyle w:val="Zkladntext158dkovn0pt"/>
          <w:color w:val="auto"/>
          <w:spacing w:val="0"/>
          <w:sz w:val="24"/>
          <w:lang w:val="cs-CZ"/>
        </w:rPr>
        <w:t>subjekt</w:t>
      </w:r>
      <w:proofErr w:type="gramEnd"/>
      <w:r>
        <w:rPr>
          <w:rStyle w:val="Zkladntext158dkovn0pt"/>
          <w:color w:val="auto"/>
          <w:spacing w:val="0"/>
          <w:sz w:val="24"/>
          <w:lang w:val="cs-CZ"/>
        </w:rPr>
        <w:t>–</w:t>
      </w:r>
      <w:proofErr w:type="gramStart"/>
      <w:r>
        <w:rPr>
          <w:rStyle w:val="Zkladntext158dkovn0pt"/>
          <w:color w:val="auto"/>
          <w:spacing w:val="0"/>
          <w:sz w:val="24"/>
          <w:lang w:val="cs-CZ"/>
        </w:rPr>
        <w:t>objekt</w:t>
      </w:r>
      <w:proofErr w:type="gramEnd"/>
      <w:r>
        <w:rPr>
          <w:rStyle w:val="Zkladntext158dkovn0pt"/>
          <w:color w:val="auto"/>
          <w:spacing w:val="0"/>
          <w:sz w:val="24"/>
          <w:lang w:val="cs-CZ"/>
        </w:rPr>
        <w:t xml:space="preserve">“. </w:t>
      </w:r>
      <w:r w:rsidRPr="00273106">
        <w:rPr>
          <w:lang w:eastAsia="en-US"/>
        </w:rPr>
        <w:t>K</w:t>
      </w:r>
      <w:r w:rsidRPr="00273106">
        <w:t xml:space="preserve">rizi moderny </w:t>
      </w:r>
      <w:r>
        <w:t xml:space="preserve">radikalizoval </w:t>
      </w:r>
      <w:r w:rsidRPr="00273106">
        <w:t>dekret z března 1277</w:t>
      </w:r>
      <w:r>
        <w:fldChar w:fldCharType="begin"/>
      </w:r>
      <w:r>
        <w:instrText xml:space="preserve"> XE "</w:instrText>
      </w:r>
      <w:r w:rsidRPr="00D87131">
        <w:instrText>odsouzení 1277</w:instrText>
      </w:r>
      <w:r>
        <w:instrText xml:space="preserve">" </w:instrText>
      </w:r>
      <w:r>
        <w:fldChar w:fldCharType="end"/>
      </w:r>
      <w:r>
        <w:t xml:space="preserve">. Odsouzení napomohlo k vítězství </w:t>
      </w:r>
      <w:r w:rsidRPr="00273106">
        <w:t>epochální</w:t>
      </w:r>
      <w:r>
        <w:t>ho filosofického</w:t>
      </w:r>
      <w:r w:rsidRPr="00273106">
        <w:t xml:space="preserve"> omyl</w:t>
      </w:r>
      <w:r>
        <w:t>u, což je pluralita</w:t>
      </w:r>
      <w:r w:rsidRPr="00273106">
        <w:t xml:space="preserve"> </w:t>
      </w:r>
      <w:r>
        <w:t xml:space="preserve">substanciálních </w:t>
      </w:r>
      <w:r w:rsidRPr="00273106">
        <w:t>forem v</w:t>
      </w:r>
      <w:r>
        <w:t> </w:t>
      </w:r>
      <w:r w:rsidRPr="00273106">
        <w:t>člověku</w:t>
      </w:r>
      <w:r>
        <w:t>. Schizofrenický subjekt moderny</w:t>
      </w:r>
      <w:r w:rsidR="009E1BC8">
        <w:fldChar w:fldCharType="begin"/>
      </w:r>
      <w:r w:rsidR="009E1BC8">
        <w:instrText xml:space="preserve"> XE "</w:instrText>
      </w:r>
      <w:r w:rsidR="009E1BC8" w:rsidRPr="00A5182B">
        <w:instrText>osoba:pluralita substancí</w:instrText>
      </w:r>
      <w:r w:rsidR="009E1BC8">
        <w:instrText xml:space="preserve">" </w:instrText>
      </w:r>
      <w:r w:rsidR="009E1BC8">
        <w:fldChar w:fldCharType="end"/>
      </w:r>
      <w:r>
        <w:t xml:space="preserve"> složený buď z několika hypostázovaných forem (Akvinský) nebo dokonce </w:t>
      </w:r>
      <w:r w:rsidR="009E1BC8">
        <w:t xml:space="preserve">z několika </w:t>
      </w:r>
      <w:r>
        <w:t>substancí (Bonaventura, Pecham)</w:t>
      </w:r>
      <w:r w:rsidR="009E1BC8">
        <w:t>. Tento šílený subjekt b</w:t>
      </w:r>
      <w:r>
        <w:t xml:space="preserve">yl validován </w:t>
      </w:r>
      <w:r w:rsidR="000F52D4">
        <w:t>na základě ví</w:t>
      </w:r>
      <w:r>
        <w:t>tězství jedné pravdy</w:t>
      </w:r>
      <w:r w:rsidR="000F52D4">
        <w:t xml:space="preserve">, kterou podporovali </w:t>
      </w:r>
      <w:r>
        <w:t>modernisti</w:t>
      </w:r>
      <w:r w:rsidR="000F52D4">
        <w:t>čtí teologové</w:t>
      </w:r>
      <w:r>
        <w:t xml:space="preserve"> z tábora prvního i druhého averroismu</w:t>
      </w:r>
      <w:r w:rsidRPr="00273106">
        <w:t xml:space="preserve">. </w:t>
      </w:r>
      <w:r>
        <w:t xml:space="preserve">Gigantomachie o substanci měla poražené magistry </w:t>
      </w:r>
      <w:r w:rsidRPr="00273106">
        <w:t>Sigera z Brabantu a Boethia z Dácie</w:t>
      </w:r>
      <w:r>
        <w:fldChar w:fldCharType="begin"/>
      </w:r>
      <w:r>
        <w:instrText xml:space="preserve"> XE </w:instrText>
      </w:r>
      <w:r>
        <w:lastRenderedPageBreak/>
        <w:instrText>"</w:instrText>
      </w:r>
      <w:r w:rsidRPr="08A8751A">
        <w:instrText>Boethius z Dácie</w:instrText>
      </w:r>
      <w:r>
        <w:instrText xml:space="preserve">" </w:instrText>
      </w:r>
      <w:r>
        <w:fldChar w:fldCharType="end"/>
      </w:r>
      <w:r w:rsidRPr="00273106">
        <w:t xml:space="preserve"> a jednak </w:t>
      </w:r>
      <w:r>
        <w:t xml:space="preserve">vítěznou </w:t>
      </w:r>
      <w:r w:rsidR="009E17D6">
        <w:t>modernu</w:t>
      </w:r>
      <w:r w:rsidRPr="00273106">
        <w:t>.</w:t>
      </w:r>
      <w:r>
        <w:t xml:space="preserve"> Poslední fáze vývoje moderní metafyziky daná již v epoše objektivního zatmění první substance ukáže proměnu klasické metafyziky do její objektivní podoby. Vítězná škola druhého averroismu vybudovala strukturu objektivní </w:t>
      </w:r>
      <w:r w:rsidRPr="00273106">
        <w:t>metafyziky</w:t>
      </w:r>
      <w:r>
        <w:t xml:space="preserve"> a umožnila nástup postmoderní </w:t>
      </w:r>
      <w:r w:rsidRPr="00956C47">
        <w:rPr>
          <w:i/>
        </w:rPr>
        <w:t>metaphysica gene</w:t>
      </w:r>
      <w:r>
        <w:rPr>
          <w:i/>
        </w:rPr>
        <w:t>ralis</w:t>
      </w:r>
      <w:r>
        <w:rPr>
          <w:i/>
        </w:rPr>
        <w:fldChar w:fldCharType="begin"/>
      </w:r>
      <w:r>
        <w:instrText xml:space="preserve"> XE "</w:instrText>
      </w:r>
      <w:r w:rsidRPr="007E3962">
        <w:rPr>
          <w:i/>
        </w:rPr>
        <w:instrText>metaphysica generalis</w:instrText>
      </w:r>
      <w:r>
        <w:instrText xml:space="preserve">" </w:instrText>
      </w:r>
      <w:r>
        <w:rPr>
          <w:i/>
        </w:rPr>
        <w:fldChar w:fldCharType="end"/>
      </w:r>
      <w:r w:rsidRPr="00273106">
        <w:t xml:space="preserve">. </w:t>
      </w:r>
      <w:r>
        <w:t xml:space="preserve">Tím vznikla jedna pravda teologické antropologie </w:t>
      </w:r>
      <w:r w:rsidRPr="007B3DB7">
        <w:rPr>
          <w:i/>
        </w:rPr>
        <w:t>Modernorum</w:t>
      </w:r>
      <w:r>
        <w:t xml:space="preserve">. Po smrti moderního boha definovala postmoderna zcela objektivně, tedy v modu metafyzického nihilismu. </w:t>
      </w:r>
    </w:p>
    <w:p w:rsidR="001368F5" w:rsidRDefault="001A6993" w:rsidP="006B7918">
      <w:pPr>
        <w:ind w:firstLine="397"/>
      </w:pPr>
      <w:r>
        <w:t>Na rozdíl od předešlých epoch</w:t>
      </w:r>
      <w:r w:rsidRPr="00273106">
        <w:t xml:space="preserve"> </w:t>
      </w:r>
      <w:r>
        <w:t>šel v</w:t>
      </w:r>
      <w:r w:rsidRPr="00273106">
        <w:t xml:space="preserve">ývoj </w:t>
      </w:r>
      <w:r w:rsidR="006B7918">
        <w:t xml:space="preserve">velmi rychle. Přechod na novou metafyziku byl </w:t>
      </w:r>
      <w:r>
        <w:t xml:space="preserve">dokončen v jedné generaci mezi léty 1280‒1300. </w:t>
      </w:r>
      <w:r w:rsidR="006B7918" w:rsidRPr="006B7918">
        <w:t xml:space="preserve">Od roku 1270 se spor dvou metafyzických pohledů na svět ukázal jako zcela nesmiřitelný. Spory nutně nabývaly dogmatického a autoritativního charakteru. </w:t>
      </w:r>
      <w:r w:rsidRPr="00273106">
        <w:t xml:space="preserve">Do sporu filosofů se přidal i spor o výklad klíčových teologických postulátů (statut eucharistie, </w:t>
      </w:r>
      <w:r>
        <w:t xml:space="preserve">otázka </w:t>
      </w:r>
      <w:r w:rsidRPr="00BD4CE3">
        <w:rPr>
          <w:i/>
        </w:rPr>
        <w:t>creatio</w:t>
      </w:r>
      <w:r>
        <w:t xml:space="preserve"> </w:t>
      </w:r>
      <w:r w:rsidRPr="00273106">
        <w:rPr>
          <w:i/>
        </w:rPr>
        <w:t>ex nihilo</w:t>
      </w:r>
      <w:r>
        <w:t>, statut Ježíš</w:t>
      </w:r>
      <w:r w:rsidRPr="00273106">
        <w:t xml:space="preserve">ova těla po smrti, </w:t>
      </w:r>
      <w:r>
        <w:t xml:space="preserve">povaha </w:t>
      </w:r>
      <w:r w:rsidRPr="00273106">
        <w:t xml:space="preserve">pekelného ohně atd.) </w:t>
      </w:r>
      <w:r>
        <w:t xml:space="preserve">Připomeňme dopis generála řádu dominikánů z roku 1271, který dává tyto základní sporné otázky k posouzení hlavním učencům řádu (kap. 4.5.3). </w:t>
      </w:r>
      <w:r w:rsidRPr="00273106">
        <w:t>Teologické spory byly determinovány prvním nebo druhým averroismem.</w:t>
      </w:r>
      <w:r>
        <w:t xml:space="preserve"> Podívejme se stručně na důležité mezníky manifestující postupné zatmění první substance dané Porfyriovým výkladem </w:t>
      </w:r>
      <w:r w:rsidRPr="08C72892">
        <w:rPr>
          <w:i/>
        </w:rPr>
        <w:t>Kategorií</w:t>
      </w:r>
      <w:r>
        <w:t xml:space="preserve"> (OBJ I, kap. 1.3). </w:t>
      </w:r>
      <w:r w:rsidRPr="00273106">
        <w:t>Moderní koncepty jsoucna zása</w:t>
      </w:r>
      <w:r>
        <w:t xml:space="preserve">dně změnily ontologický statut </w:t>
      </w:r>
      <w:r w:rsidRPr="00273106">
        <w:rPr>
          <w:i/>
        </w:rPr>
        <w:t>esse ratum</w:t>
      </w:r>
      <w:r>
        <w:rPr>
          <w:i/>
        </w:rPr>
        <w:fldChar w:fldCharType="begin"/>
      </w:r>
      <w:r>
        <w:instrText xml:space="preserve"> XE "</w:instrText>
      </w:r>
      <w:r w:rsidRPr="00AD770D">
        <w:rPr>
          <w:i/>
        </w:rPr>
        <w:instrText>esse ratum</w:instrText>
      </w:r>
      <w:r>
        <w:rPr>
          <w:i/>
        </w:rPr>
        <w:instrText>:</w:instrText>
      </w:r>
      <w:r w:rsidRPr="0011428B">
        <w:instrText>Albert</w:instrText>
      </w:r>
      <w:r>
        <w:instrText xml:space="preserve">" </w:instrText>
      </w:r>
      <w:r>
        <w:rPr>
          <w:i/>
        </w:rPr>
        <w:fldChar w:fldCharType="end"/>
      </w:r>
      <w:r w:rsidRPr="00273106">
        <w:t xml:space="preserve"> Alberta Velikého, které bylo definované v modu </w:t>
      </w:r>
      <w:r w:rsidRPr="00273106">
        <w:rPr>
          <w:i/>
        </w:rPr>
        <w:t>per prius</w:t>
      </w:r>
      <w:r w:rsidRPr="00273106">
        <w:t xml:space="preserve"> vzhledem k první substanci (</w:t>
      </w:r>
      <w:r>
        <w:t>OBJ II, kap. 2</w:t>
      </w:r>
      <w:r w:rsidRPr="00273106">
        <w:t>.4.3).</w:t>
      </w:r>
      <w:r>
        <w:t xml:space="preserve"> </w:t>
      </w:r>
      <w:r w:rsidRPr="00273106">
        <w:t xml:space="preserve">Série autorů z druhé poloviny 13. stol. tvrdí, že intelekt </w:t>
      </w:r>
      <w:r>
        <w:t xml:space="preserve">poznává </w:t>
      </w:r>
      <w:r>
        <w:rPr>
          <w:i/>
        </w:rPr>
        <w:t>species</w:t>
      </w:r>
      <w:r w:rsidRPr="00273106">
        <w:t xml:space="preserve"> </w:t>
      </w:r>
      <w:r>
        <w:t>jako hylemorfickou jednotlivinu danou v realitě</w:t>
      </w:r>
      <w:r w:rsidRPr="00273106">
        <w:t xml:space="preserve">. Typický příklad podává polemický spis </w:t>
      </w:r>
      <w:r w:rsidRPr="00273106">
        <w:rPr>
          <w:i/>
        </w:rPr>
        <w:t>Correctorium fratris Thomae</w:t>
      </w:r>
      <w:r w:rsidRPr="00273106">
        <w:t xml:space="preserve"> (Guillaume de la Mare</w:t>
      </w:r>
      <w:r>
        <w:fldChar w:fldCharType="begin"/>
      </w:r>
      <w:r>
        <w:instrText xml:space="preserve"> XE "</w:instrText>
      </w:r>
      <w:r w:rsidRPr="008665D5">
        <w:instrText xml:space="preserve">Guillaume de la </w:instrText>
      </w:r>
      <w:proofErr w:type="gramStart"/>
      <w:r w:rsidRPr="008665D5">
        <w:instrText>Mare</w:instrText>
      </w:r>
      <w:proofErr w:type="gramEnd"/>
      <w:r>
        <w:instrText xml:space="preserve">" </w:instrText>
      </w:r>
      <w:r>
        <w:fldChar w:fldCharType="end"/>
      </w:r>
      <w:r w:rsidRPr="00273106">
        <w:t xml:space="preserve">, </w:t>
      </w:r>
      <w:r>
        <w:t xml:space="preserve">asi </w:t>
      </w:r>
      <w:r w:rsidRPr="00273106">
        <w:t xml:space="preserve">1278), který výslovně kritizuje </w:t>
      </w:r>
      <w:r>
        <w:t xml:space="preserve">první část </w:t>
      </w:r>
      <w:r w:rsidRPr="08C72892">
        <w:rPr>
          <w:i/>
        </w:rPr>
        <w:t>Teologické summy</w:t>
      </w:r>
      <w:r w:rsidRPr="00273106">
        <w:t xml:space="preserve"> Akvinskéh</w:t>
      </w:r>
      <w:r>
        <w:t>o. Kamenem úrazu pro modernisty se stal po 1280 klasický text Akvinského, který bránil aristotelskou abstrakci a striktně odmítl přímé intelektuální poznání reálných jednotlivin.</w:t>
      </w:r>
      <w:r w:rsidRPr="00273106">
        <w:rPr>
          <w:rStyle w:val="Znakapoznpodarou"/>
        </w:rPr>
        <w:footnoteReference w:id="353"/>
      </w:r>
      <w:r>
        <w:t xml:space="preserve"> </w:t>
      </w:r>
      <w:r w:rsidRPr="00273106">
        <w:t>Aquasparta</w:t>
      </w:r>
      <w:r>
        <w:fldChar w:fldCharType="begin"/>
      </w:r>
      <w:r>
        <w:instrText xml:space="preserve"> XE "</w:instrText>
      </w:r>
      <w:r w:rsidRPr="003B1826">
        <w:instrText>Aquasparta, M.</w:instrText>
      </w:r>
      <w:r>
        <w:instrText xml:space="preserve">" </w:instrText>
      </w:r>
      <w:r>
        <w:fldChar w:fldCharType="end"/>
      </w:r>
      <w:r>
        <w:t>,</w:t>
      </w:r>
      <w:r w:rsidRPr="00273106">
        <w:t xml:space="preserve"> žák Bonaventury a generál </w:t>
      </w:r>
      <w:r>
        <w:t xml:space="preserve">františkánského </w:t>
      </w:r>
      <w:r w:rsidRPr="00273106">
        <w:t>řádu koment</w:t>
      </w:r>
      <w:r>
        <w:t xml:space="preserve">oval </w:t>
      </w:r>
      <w:r w:rsidRPr="00273106">
        <w:t xml:space="preserve">průběh abstrakce </w:t>
      </w:r>
      <w:r>
        <w:t>v Aristotelově</w:t>
      </w:r>
      <w:r w:rsidRPr="00273106">
        <w:t xml:space="preserve"> </w:t>
      </w:r>
      <w:r>
        <w:rPr>
          <w:i/>
        </w:rPr>
        <w:t>De anima</w:t>
      </w:r>
      <w:r w:rsidRPr="00273106">
        <w:t xml:space="preserve"> </w:t>
      </w:r>
      <w:r>
        <w:t xml:space="preserve">podle Akvinského díla </w:t>
      </w:r>
      <w:r w:rsidRPr="00273106">
        <w:rPr>
          <w:i/>
        </w:rPr>
        <w:t>De veritate</w:t>
      </w:r>
      <w:r w:rsidRPr="00273106">
        <w:t xml:space="preserve"> q. 10, a. 5</w:t>
      </w:r>
      <w:r>
        <w:fldChar w:fldCharType="begin"/>
      </w:r>
      <w:r>
        <w:instrText xml:space="preserve"> XE "Akvinský:</w:instrText>
      </w:r>
      <w:r w:rsidRPr="00064378">
        <w:rPr>
          <w:i/>
        </w:rPr>
        <w:instrText>De veritate</w:instrText>
      </w:r>
      <w:r>
        <w:instrText xml:space="preserve">, q. 10, a. 5" </w:instrText>
      </w:r>
      <w:r>
        <w:fldChar w:fldCharType="end"/>
      </w:r>
      <w:r>
        <w:t xml:space="preserve">. </w:t>
      </w:r>
      <w:r w:rsidRPr="00273106">
        <w:t xml:space="preserve"> </w:t>
      </w:r>
      <w:r w:rsidRPr="003F26F8">
        <w:rPr>
          <w:szCs w:val="24"/>
        </w:rPr>
        <w:t xml:space="preserve">Aquasparta </w:t>
      </w:r>
      <w:r>
        <w:rPr>
          <w:szCs w:val="24"/>
        </w:rPr>
        <w:t xml:space="preserve">pronesl málem prorocký výrok, když </w:t>
      </w:r>
      <w:r w:rsidRPr="003F26F8">
        <w:rPr>
          <w:szCs w:val="24"/>
        </w:rPr>
        <w:t>tvrdí, že t</w:t>
      </w:r>
      <w:r w:rsidRPr="00273106">
        <w:t xml:space="preserve">ento způsob </w:t>
      </w:r>
      <w:r>
        <w:t xml:space="preserve">řešení </w:t>
      </w:r>
      <w:r w:rsidRPr="00273106">
        <w:t xml:space="preserve">mnohým připadá </w:t>
      </w:r>
      <w:r>
        <w:t xml:space="preserve">téměř </w:t>
      </w:r>
      <w:r>
        <w:lastRenderedPageBreak/>
        <w:t>nesrozumitelný</w:t>
      </w:r>
      <w:r w:rsidRPr="00273106">
        <w:t xml:space="preserve"> (</w:t>
      </w:r>
      <w:r w:rsidRPr="00273106">
        <w:rPr>
          <w:i/>
        </w:rPr>
        <w:t>iste modus ponendi non videtur multum bene intelligibilis</w:t>
      </w:r>
      <w:r>
        <w:t>;</w:t>
      </w:r>
      <w:r w:rsidRPr="00981A11">
        <w:t xml:space="preserve"> </w:t>
      </w:r>
      <w:r w:rsidRPr="00273106">
        <w:t>Simonin 1930</w:t>
      </w:r>
      <w:r>
        <w:t>, 294</w:t>
      </w:r>
      <w:r w:rsidRPr="00273106">
        <w:t xml:space="preserve">). </w:t>
      </w:r>
      <w:r>
        <w:t>F</w:t>
      </w:r>
      <w:r w:rsidRPr="00273106">
        <w:t xml:space="preserve">rantiškánský magistr </w:t>
      </w:r>
      <w:r>
        <w:t xml:space="preserve">Vital du Four </w:t>
      </w:r>
      <w:r w:rsidRPr="00273106">
        <w:t>tvr</w:t>
      </w:r>
      <w:r>
        <w:t xml:space="preserve">dí, že intelekt přímo poznává </w:t>
      </w:r>
      <w:r w:rsidRPr="00273106">
        <w:t xml:space="preserve">singulární věci </w:t>
      </w:r>
      <w:r>
        <w:t xml:space="preserve">v realitě </w:t>
      </w:r>
      <w:r w:rsidRPr="00273106">
        <w:t>podobně jako smysly</w:t>
      </w:r>
      <w:r>
        <w:t xml:space="preserve">. Toto poznání běží skrze sbírku </w:t>
      </w:r>
      <w:r w:rsidRPr="00A94021">
        <w:t>species</w:t>
      </w:r>
      <w:r>
        <w:t xml:space="preserve"> třetího druhu (</w:t>
      </w:r>
      <w:r w:rsidRPr="00F909F0">
        <w:rPr>
          <w:rStyle w:val="TextpoznpodarouChar"/>
          <w:i/>
        </w:rPr>
        <w:t>intellectus cognoscat rei substantiam per speciem collectam</w:t>
      </w:r>
      <w:r>
        <w:t>)</w:t>
      </w:r>
      <w:r w:rsidRPr="00273106">
        <w:t>.</w:t>
      </w:r>
      <w:r w:rsidRPr="00273106">
        <w:rPr>
          <w:rStyle w:val="Znakapoznpodarou"/>
        </w:rPr>
        <w:footnoteReference w:id="354"/>
      </w:r>
      <w:r>
        <w:t xml:space="preserve"> </w:t>
      </w:r>
      <w:r w:rsidRPr="00273106">
        <w:t xml:space="preserve">Akvinského pojetí </w:t>
      </w:r>
      <w:r>
        <w:t>poznání bylo dané podle prvního averroismu nasvícením intelektu zepředu. Takový postup byl pro tyto modernisty dokonce „</w:t>
      </w:r>
      <w:r w:rsidRPr="00273106">
        <w:rPr>
          <w:i/>
        </w:rPr>
        <w:t>contra philosophiam</w:t>
      </w:r>
      <w:r>
        <w:t>“</w:t>
      </w:r>
      <w:r w:rsidRPr="00273106">
        <w:t xml:space="preserve"> (Simonin 1930</w:t>
      </w:r>
      <w:r>
        <w:t>, 291). Změněný statut první substance</w:t>
      </w:r>
      <w:r>
        <w:fldChar w:fldCharType="begin"/>
      </w:r>
      <w:r>
        <w:instrText xml:space="preserve"> XE "</w:instrText>
      </w:r>
      <w:r w:rsidRPr="00A552B1">
        <w:instrText>substance:první</w:instrText>
      </w:r>
      <w:r>
        <w:instrText xml:space="preserve">" </w:instrText>
      </w:r>
      <w:r>
        <w:fldChar w:fldCharType="end"/>
      </w:r>
      <w:r>
        <w:t xml:space="preserve">  je jasně doložen okolo roku </w:t>
      </w:r>
      <w:r w:rsidRPr="00273106">
        <w:t>1280</w:t>
      </w:r>
      <w:r>
        <w:t>. Mo</w:t>
      </w:r>
      <w:r w:rsidRPr="00273106">
        <w:t xml:space="preserve">dernisté </w:t>
      </w:r>
      <w:r>
        <w:t xml:space="preserve">z druhého averroismu </w:t>
      </w:r>
      <w:r w:rsidRPr="00273106">
        <w:t xml:space="preserve">a aristotelikové </w:t>
      </w:r>
      <w:r>
        <w:t>z prvního averroismu už neviděli</w:t>
      </w:r>
      <w:r w:rsidRPr="00273106">
        <w:t xml:space="preserve"> realitu singulární věci stejným způsobem. Autoři konce 13. století jako </w:t>
      </w:r>
      <w:r w:rsidRPr="00273106">
        <w:rPr>
          <w:rStyle w:val="TextpoznpodarouChar"/>
        </w:rPr>
        <w:t>Vital du Four</w:t>
      </w:r>
      <w:r>
        <w:rPr>
          <w:rStyle w:val="TextpoznpodarouChar"/>
        </w:rPr>
        <w:fldChar w:fldCharType="begin"/>
      </w:r>
      <w:r>
        <w:instrText xml:space="preserve"> XE "</w:instrText>
      </w:r>
      <w:r w:rsidRPr="00CB1604">
        <w:rPr>
          <w:rStyle w:val="TextpoznpodarouChar"/>
        </w:rPr>
        <w:instrText>Vital du Four</w:instrText>
      </w:r>
      <w:r>
        <w:instrText xml:space="preserve">" </w:instrText>
      </w:r>
      <w:r>
        <w:rPr>
          <w:rStyle w:val="TextpoznpodarouChar"/>
        </w:rPr>
        <w:fldChar w:fldCharType="end"/>
      </w:r>
      <w:r w:rsidRPr="00273106">
        <w:t>, Duns Scotus a Richard de Mediavilla</w:t>
      </w:r>
      <w:r>
        <w:fldChar w:fldCharType="begin"/>
      </w:r>
      <w:r>
        <w:instrText xml:space="preserve"> XE "</w:instrText>
      </w:r>
      <w:r w:rsidRPr="00CB1604">
        <w:instrText>Richard de Mediavilla</w:instrText>
      </w:r>
      <w:r>
        <w:instrText xml:space="preserve">" </w:instrText>
      </w:r>
      <w:r>
        <w:fldChar w:fldCharType="end"/>
      </w:r>
      <w:r w:rsidRPr="00273106">
        <w:t xml:space="preserve"> odvozují existenci</w:t>
      </w:r>
      <w:r>
        <w:t xml:space="preserve"> reálné substance ze speciální kolekty</w:t>
      </w:r>
      <w:r w:rsidRPr="00273106">
        <w:t xml:space="preserve"> sekundárních </w:t>
      </w:r>
      <w:r w:rsidRPr="00001C04">
        <w:t>species</w:t>
      </w:r>
      <w:r>
        <w:fldChar w:fldCharType="begin"/>
      </w:r>
      <w:r>
        <w:instrText xml:space="preserve"> XE "</w:instrText>
      </w:r>
      <w:r w:rsidRPr="00346135">
        <w:rPr>
          <w:i/>
        </w:rPr>
        <w:instrText>collecta</w:instrText>
      </w:r>
      <w:r>
        <w:instrText xml:space="preserve">" </w:instrText>
      </w:r>
      <w:r>
        <w:fldChar w:fldCharType="end"/>
      </w:r>
      <w:r w:rsidRPr="00273106">
        <w:t xml:space="preserve">. </w:t>
      </w:r>
      <w:r>
        <w:t>Richard z Mediavilly v komentáři ke druhé knize Sentencí ukazuje, že karteziánská sebereflexe spoluzakládá poznání jednotliviny (</w:t>
      </w:r>
      <w:r w:rsidRPr="00B50FD2">
        <w:rPr>
          <w:i/>
          <w:color w:val="000000"/>
          <w:lang w:val="la"/>
        </w:rPr>
        <w:t>cognoscimus nos cognoscere singulare</w:t>
      </w:r>
      <w:r>
        <w:t>).</w:t>
      </w:r>
      <w:r>
        <w:rPr>
          <w:rStyle w:val="Znakapoznpodarou"/>
        </w:rPr>
        <w:footnoteReference w:id="355"/>
      </w:r>
      <w:r>
        <w:t xml:space="preserve"> Toto karteziánské pojetí poprvé hájil výše citovaný spis </w:t>
      </w:r>
      <w:r w:rsidRPr="009E25C9">
        <w:rPr>
          <w:i/>
        </w:rPr>
        <w:t>Erfurtský anonym</w:t>
      </w:r>
      <w:r>
        <w:t xml:space="preserve"> (OBJ II, kap. 3.4.3). </w:t>
      </w:r>
      <w:r w:rsidRPr="00273106">
        <w:t xml:space="preserve">Citovaní </w:t>
      </w:r>
      <w:r>
        <w:t xml:space="preserve">reprezentanti </w:t>
      </w:r>
      <w:r w:rsidRPr="00273106">
        <w:rPr>
          <w:i/>
        </w:rPr>
        <w:t>via Modern</w:t>
      </w:r>
      <w:r>
        <w:rPr>
          <w:i/>
        </w:rPr>
        <w:t>orum</w:t>
      </w:r>
      <w:r w:rsidRPr="00273106">
        <w:t xml:space="preserve"> dokonce popírají, že bychom mohli v procesu aristotelské abstr</w:t>
      </w:r>
      <w:r>
        <w:t xml:space="preserve">akce dané od smyslů správně poznat </w:t>
      </w:r>
      <w:r w:rsidRPr="00273106">
        <w:t>materiální s</w:t>
      </w:r>
      <w:r>
        <w:t>ubstance (</w:t>
      </w:r>
      <w:r w:rsidRPr="00273106">
        <w:rPr>
          <w:i/>
        </w:rPr>
        <w:t>individuum vagum</w:t>
      </w:r>
      <w:r>
        <w:rPr>
          <w:i/>
        </w:rPr>
        <w:fldChar w:fldCharType="begin"/>
      </w:r>
      <w:r>
        <w:instrText xml:space="preserve"> XE "substance:</w:instrText>
      </w:r>
      <w:r w:rsidRPr="00814854">
        <w:rPr>
          <w:i/>
        </w:rPr>
        <w:instrText>individuum vagum</w:instrText>
      </w:r>
      <w:r>
        <w:instrText xml:space="preserve">" </w:instrText>
      </w:r>
      <w:r>
        <w:rPr>
          <w:i/>
        </w:rPr>
        <w:fldChar w:fldCharType="end"/>
      </w:r>
      <w:r>
        <w:rPr>
          <w:i/>
        </w:rPr>
        <w:t>, aliquis homo</w:t>
      </w:r>
      <w:r>
        <w:t xml:space="preserve">). </w:t>
      </w:r>
      <w:r w:rsidRPr="00273106">
        <w:t xml:space="preserve">Původní zdroj proměny </w:t>
      </w:r>
      <w:r>
        <w:t xml:space="preserve">reálné </w:t>
      </w:r>
      <w:r w:rsidRPr="00273106">
        <w:t xml:space="preserve">věci na mlhovinu významů sdruženou v rámci Rufusova </w:t>
      </w:r>
      <w:r w:rsidRPr="00273106">
        <w:rPr>
          <w:i/>
        </w:rPr>
        <w:t>concretum</w:t>
      </w:r>
      <w:r>
        <w:rPr>
          <w:i/>
        </w:rPr>
        <w:fldChar w:fldCharType="begin"/>
      </w:r>
      <w:r>
        <w:instrText xml:space="preserve"> XE "</w:instrText>
      </w:r>
      <w:r w:rsidRPr="00B759F5">
        <w:rPr>
          <w:i/>
        </w:rPr>
        <w:instrText>concretum</w:instrText>
      </w:r>
      <w:r>
        <w:rPr>
          <w:i/>
        </w:rPr>
        <w:instrText>:</w:instrText>
      </w:r>
      <w:r w:rsidRPr="00346135">
        <w:instrText>moderna</w:instrText>
      </w:r>
      <w:r>
        <w:instrText xml:space="preserve">" </w:instrText>
      </w:r>
      <w:r>
        <w:rPr>
          <w:i/>
        </w:rPr>
        <w:fldChar w:fldCharType="end"/>
      </w:r>
      <w:r w:rsidRPr="00273106">
        <w:t xml:space="preserve"> ukazují texty Avicenny. Zde se ter</w:t>
      </w:r>
      <w:r>
        <w:t xml:space="preserve">mín </w:t>
      </w:r>
      <w:r w:rsidRPr="00273106">
        <w:rPr>
          <w:i/>
        </w:rPr>
        <w:t>individuum vagum</w:t>
      </w:r>
      <w:r w:rsidRPr="00273106">
        <w:t xml:space="preserve"> vyskytuje </w:t>
      </w:r>
      <w:r>
        <w:t xml:space="preserve">skrze termín </w:t>
      </w:r>
      <w:r>
        <w:rPr>
          <w:lang w:eastAsia="en-US"/>
        </w:rPr>
        <w:t>neurčitého nebo generického</w:t>
      </w:r>
      <w:r w:rsidRPr="00273106">
        <w:rPr>
          <w:lang w:eastAsia="en-US"/>
        </w:rPr>
        <w:t xml:space="preserve"> individua (</w:t>
      </w:r>
      <w:r>
        <w:rPr>
          <w:lang w:eastAsia="en-US"/>
        </w:rPr>
        <w:t xml:space="preserve">OBJ I, </w:t>
      </w:r>
      <w:r w:rsidRPr="00273106">
        <w:t xml:space="preserve">kap. 2.3.2). </w:t>
      </w:r>
      <w:r>
        <w:t>Moderna nepoznává re</w:t>
      </w:r>
      <w:r w:rsidRPr="00273106">
        <w:t xml:space="preserve">alitu první substance, ale </w:t>
      </w:r>
      <w:r>
        <w:t xml:space="preserve">přímo nazírá objektivní </w:t>
      </w:r>
      <w:r>
        <w:rPr>
          <w:i/>
        </w:rPr>
        <w:t>species</w:t>
      </w:r>
      <w:r>
        <w:t xml:space="preserve"> zastupující realitu, což pro postmodernu provedl karteziánec Arnauld</w:t>
      </w:r>
      <w:r>
        <w:fldChar w:fldCharType="begin"/>
      </w:r>
      <w:r>
        <w:instrText xml:space="preserve"> XE "</w:instrText>
      </w:r>
      <w:r w:rsidRPr="00EF1828">
        <w:instrText>Arnauld, A.</w:instrText>
      </w:r>
      <w:r>
        <w:instrText xml:space="preserve">" </w:instrText>
      </w:r>
      <w:r>
        <w:fldChar w:fldCharType="end"/>
      </w:r>
      <w:r>
        <w:t xml:space="preserve"> (OBJ I, kap. 2.4.4). První modernisté po roce 1277 a po nich postmoderní Descartes a Husserl musí podniknout komplikovanou odysseu vědomím, logikou a metafyzikou, aby se dostali k problematické a pochybné </w:t>
      </w:r>
      <w:r w:rsidR="001368F5">
        <w:t>první substanci dané v realitě.</w:t>
      </w:r>
    </w:p>
    <w:p w:rsidR="08163013" w:rsidRPr="081D5AA7" w:rsidRDefault="009F1F6E" w:rsidP="00581CF9">
      <w:pPr>
        <w:ind w:firstLine="397"/>
      </w:pPr>
      <w:r>
        <w:t xml:space="preserve">Bůh </w:t>
      </w:r>
      <w:r w:rsidRPr="08496B16">
        <w:rPr>
          <w:i/>
        </w:rPr>
        <w:t>Modernorum</w:t>
      </w:r>
      <w:r>
        <w:rPr>
          <w:i/>
        </w:rPr>
        <w:t xml:space="preserve"> </w:t>
      </w:r>
      <w:r>
        <w:t>se stal z</w:t>
      </w:r>
      <w:r w:rsidR="00B92A28">
        <w:t>ákladní</w:t>
      </w:r>
      <w:r>
        <w:t>m</w:t>
      </w:r>
      <w:r w:rsidR="00B92A28">
        <w:t xml:space="preserve"> kámen</w:t>
      </w:r>
      <w:r>
        <w:t>em</w:t>
      </w:r>
      <w:r w:rsidR="00B92A28">
        <w:t xml:space="preserve"> nové metafyziky. Toto stvoření </w:t>
      </w:r>
      <w:r w:rsidR="08163013">
        <w:t>to zpočátku neměl</w:t>
      </w:r>
      <w:r w:rsidR="00B92A28">
        <w:t>o</w:t>
      </w:r>
      <w:r w:rsidR="08163013">
        <w:t xml:space="preserve"> lehké. </w:t>
      </w:r>
      <w:r w:rsidR="08163013" w:rsidRPr="00273106">
        <w:t xml:space="preserve">Bacon </w:t>
      </w:r>
      <w:r w:rsidR="08163013">
        <w:t>a Albert odsuzují t</w:t>
      </w:r>
      <w:r w:rsidR="08163013" w:rsidRPr="00273106">
        <w:t xml:space="preserve">uto travestii </w:t>
      </w:r>
      <w:r w:rsidR="08163013">
        <w:t xml:space="preserve">filosofie </w:t>
      </w:r>
      <w:r w:rsidR="08163013" w:rsidRPr="00273106">
        <w:t xml:space="preserve">jako vpád špatně </w:t>
      </w:r>
      <w:r w:rsidR="08163013" w:rsidRPr="00273106">
        <w:lastRenderedPageBreak/>
        <w:t xml:space="preserve">pochopené filosofie do </w:t>
      </w:r>
      <w:r w:rsidR="006474E4">
        <w:t xml:space="preserve">chybně utvořené </w:t>
      </w:r>
      <w:r w:rsidR="08163013" w:rsidRPr="00273106">
        <w:t>teologie</w:t>
      </w:r>
      <w:r w:rsidR="009B1B88">
        <w:t xml:space="preserve">. Moderní myslitele </w:t>
      </w:r>
      <w:r w:rsidR="08163013" w:rsidRPr="00273106">
        <w:t>po</w:t>
      </w:r>
      <w:r w:rsidR="00D528EB">
        <w:t>važ</w:t>
      </w:r>
      <w:r w:rsidR="009B1B88">
        <w:t xml:space="preserve">ovali </w:t>
      </w:r>
      <w:r w:rsidR="00D528EB">
        <w:t>za intelektuální blázny</w:t>
      </w:r>
      <w:r w:rsidR="08163013">
        <w:t>.</w:t>
      </w:r>
      <w:r w:rsidR="08163013" w:rsidRPr="00087301">
        <w:t xml:space="preserve"> </w:t>
      </w:r>
      <w:r w:rsidR="08163013">
        <w:t>Zrození a smrt moderního boha je nedílně spojena se zrozením a smrtí moderního subjektu. Zatmění první substance popsané v předešlé matrici doplnila pokračující moderna o zatmění jednoty osoby jako entelechické první substance. V</w:t>
      </w:r>
      <w:r w:rsidR="08163013" w:rsidRPr="00273106">
        <w:t xml:space="preserve">ýklad jednoty osoby </w:t>
      </w:r>
      <w:r w:rsidR="08163013">
        <w:t xml:space="preserve">v moderně a postmoderně přestal být determinovaný </w:t>
      </w:r>
      <w:r w:rsidR="08163013" w:rsidRPr="00273106">
        <w:t>metafyzikou první substance</w:t>
      </w:r>
      <w:r w:rsidR="009E3C58">
        <w:t xml:space="preserve">. Jednota osoby byla odvozena od </w:t>
      </w:r>
      <w:r w:rsidR="08163013">
        <w:t xml:space="preserve">teologického postulátu nesmrtelné duše (Akvinský), či </w:t>
      </w:r>
      <w:r w:rsidR="009E3C58">
        <w:t xml:space="preserve">od </w:t>
      </w:r>
      <w:r w:rsidR="08163013">
        <w:t xml:space="preserve">ontoteologického výkladu plurality substancí (druhý averroismus). V obou případech vznikl dualismus hypostázovaných jsoucen třetího druhu daných buď na úrovni </w:t>
      </w:r>
      <w:r w:rsidR="006474E4">
        <w:t>formy, nebo</w:t>
      </w:r>
      <w:r w:rsidR="08163013">
        <w:t xml:space="preserve"> dokonce substance. </w:t>
      </w:r>
      <w:r w:rsidR="00E4309F">
        <w:t>T</w:t>
      </w:r>
      <w:r w:rsidR="08163013" w:rsidRPr="00273106">
        <w:t xml:space="preserve">oto </w:t>
      </w:r>
      <w:r w:rsidR="08163013">
        <w:t xml:space="preserve">moderní </w:t>
      </w:r>
      <w:r w:rsidR="08163013" w:rsidRPr="00273106">
        <w:t xml:space="preserve">individuum </w:t>
      </w:r>
      <w:r w:rsidR="006474E4">
        <w:t>bylo</w:t>
      </w:r>
      <w:r w:rsidR="00E4309F">
        <w:t xml:space="preserve"> velmi </w:t>
      </w:r>
      <w:r w:rsidR="08163013" w:rsidRPr="00273106">
        <w:t>ceněno</w:t>
      </w:r>
      <w:r w:rsidR="00E4309F">
        <w:t xml:space="preserve"> pro svou schopnost </w:t>
      </w:r>
      <w:r w:rsidR="08163013">
        <w:t xml:space="preserve">konkrétně a adekvátně </w:t>
      </w:r>
      <w:r w:rsidR="08163013" w:rsidRPr="00273106">
        <w:t xml:space="preserve">používat </w:t>
      </w:r>
      <w:r w:rsidR="08163013">
        <w:t xml:space="preserve">svůj hypostázovaný </w:t>
      </w:r>
      <w:r w:rsidR="08163013" w:rsidRPr="00273106">
        <w:t xml:space="preserve">intelekt v rámci </w:t>
      </w:r>
      <w:r w:rsidR="08163013">
        <w:t xml:space="preserve">demiurgických </w:t>
      </w:r>
      <w:r w:rsidR="08163013" w:rsidRPr="00273106">
        <w:t>regulí zavedených Bonaventurou</w:t>
      </w:r>
      <w:r w:rsidR="08163013">
        <w:fldChar w:fldCharType="begin"/>
      </w:r>
      <w:r w:rsidR="08163013">
        <w:instrText xml:space="preserve"> XE "</w:instrText>
      </w:r>
      <w:r w:rsidR="08163013" w:rsidRPr="00804E90">
        <w:instrText>regule:Descartes</w:instrText>
      </w:r>
      <w:r w:rsidR="08163013">
        <w:instrText xml:space="preserve">" </w:instrText>
      </w:r>
      <w:r w:rsidR="08163013">
        <w:fldChar w:fldCharType="end"/>
      </w:r>
      <w:r w:rsidR="08163013">
        <w:t xml:space="preserve">. Tyto regule pro užívání rozumu </w:t>
      </w:r>
      <w:r w:rsidR="086046F8">
        <w:t xml:space="preserve">upravilo </w:t>
      </w:r>
      <w:r w:rsidR="08163013" w:rsidRPr="00273106">
        <w:t>Descart</w:t>
      </w:r>
      <w:r w:rsidR="086046F8">
        <w:t>ovo posmrtně vydané dílo</w:t>
      </w:r>
      <w:r w:rsidR="08163013">
        <w:t xml:space="preserve"> </w:t>
      </w:r>
      <w:r w:rsidR="08163013" w:rsidRPr="08972701">
        <w:rPr>
          <w:i/>
        </w:rPr>
        <w:t>Regulae ad directionem ingenii</w:t>
      </w:r>
      <w:r w:rsidR="08163013">
        <w:rPr>
          <w:i/>
        </w:rPr>
        <w:t xml:space="preserve"> </w:t>
      </w:r>
      <w:r w:rsidR="08163013">
        <w:t xml:space="preserve">(1701) </w:t>
      </w:r>
      <w:r w:rsidR="086046F8">
        <w:t xml:space="preserve">pro </w:t>
      </w:r>
      <w:r w:rsidR="08163013">
        <w:fldChar w:fldCharType="begin"/>
      </w:r>
      <w:r w:rsidR="08163013">
        <w:instrText xml:space="preserve"> XE "</w:instrText>
      </w:r>
      <w:r w:rsidR="08163013" w:rsidRPr="004146C6">
        <w:rPr>
          <w:rStyle w:val="addmd"/>
        </w:rPr>
        <w:instrText>Descartes, R.</w:instrText>
      </w:r>
      <w:r w:rsidR="08163013">
        <w:instrText xml:space="preserve">" </w:instrText>
      </w:r>
      <w:r w:rsidR="08163013">
        <w:fldChar w:fldCharType="end"/>
      </w:r>
      <w:r w:rsidR="086046F8">
        <w:t xml:space="preserve">metodické vedení </w:t>
      </w:r>
      <w:r w:rsidR="08163013">
        <w:t>postmoderní</w:t>
      </w:r>
      <w:r w:rsidR="086046F8">
        <w:t>ho</w:t>
      </w:r>
      <w:r w:rsidR="08163013">
        <w:t xml:space="preserve"> subjekt</w:t>
      </w:r>
      <w:r w:rsidR="086046F8">
        <w:t>u</w:t>
      </w:r>
      <w:r w:rsidR="08163013">
        <w:t>.</w:t>
      </w:r>
      <w:r w:rsidR="08163013">
        <w:rPr>
          <w:rStyle w:val="Zkladntext158dkovn0pt"/>
          <w:color w:val="auto"/>
          <w:spacing w:val="0"/>
          <w:sz w:val="24"/>
          <w:lang w:val="cs-CZ"/>
        </w:rPr>
        <w:t xml:space="preserve"> </w:t>
      </w:r>
      <w:r w:rsidR="08163013">
        <w:t>P</w:t>
      </w:r>
      <w:r w:rsidR="08163013" w:rsidRPr="00273106">
        <w:t xml:space="preserve">ojetí pravdy jako </w:t>
      </w:r>
      <w:r w:rsidR="08163013" w:rsidRPr="00273106">
        <w:rPr>
          <w:i/>
        </w:rPr>
        <w:t>rectitudo</w:t>
      </w:r>
      <w:r w:rsidR="08163013" w:rsidRPr="00273106">
        <w:t xml:space="preserve"> </w:t>
      </w:r>
      <w:r w:rsidR="08163013">
        <w:t xml:space="preserve">a </w:t>
      </w:r>
      <w:r w:rsidR="08163013" w:rsidRPr="089847DB">
        <w:rPr>
          <w:i/>
        </w:rPr>
        <w:t>certitudo</w:t>
      </w:r>
      <w:r w:rsidR="08163013">
        <w:t xml:space="preserve"> </w:t>
      </w:r>
      <w:r w:rsidR="08163013" w:rsidRPr="00273106">
        <w:t>připravilo cestu k metafyzickému a technickému nihilismu.</w:t>
      </w:r>
      <w:r w:rsidR="08163013">
        <w:t xml:space="preserve"> </w:t>
      </w:r>
      <w:r w:rsidR="08163013" w:rsidRPr="00273106">
        <w:t>Otázka po pravdě se stala po roce 1270 otázkou církevního práva (</w:t>
      </w:r>
      <w:r w:rsidR="08163013">
        <w:rPr>
          <w:i/>
        </w:rPr>
        <w:t>quaestio</w:t>
      </w:r>
      <w:r w:rsidR="00E4309F">
        <w:rPr>
          <w:i/>
        </w:rPr>
        <w:t xml:space="preserve"> i</w:t>
      </w:r>
      <w:r w:rsidR="08163013" w:rsidRPr="00273106">
        <w:rPr>
          <w:i/>
        </w:rPr>
        <w:t>uris</w:t>
      </w:r>
      <w:r w:rsidR="08163013" w:rsidRPr="00273106">
        <w:t xml:space="preserve">). </w:t>
      </w:r>
      <w:r w:rsidR="00581CF9">
        <w:t>Na konci této cesty byl anonymní a pilný úředník Adolf Eichmann, který podle nacistických „</w:t>
      </w:r>
      <w:r w:rsidR="00581CF9">
        <w:rPr>
          <w:i/>
        </w:rPr>
        <w:t>r</w:t>
      </w:r>
      <w:r w:rsidR="00581CF9" w:rsidRPr="08972701">
        <w:rPr>
          <w:i/>
        </w:rPr>
        <w:t>egulae ad directionem ingenii</w:t>
      </w:r>
      <w:r w:rsidR="00581CF9">
        <w:t>“ spravoval vyhlazovací tábor Osvětim. O</w:t>
      </w:r>
      <w:r w:rsidR="08163013" w:rsidRPr="00273106">
        <w:t xml:space="preserve">bjektivita dostala nový status v rámci církevního </w:t>
      </w:r>
      <w:r w:rsidR="00543F21">
        <w:rPr>
          <w:i/>
        </w:rPr>
        <w:t>i</w:t>
      </w:r>
      <w:r w:rsidR="08163013" w:rsidRPr="00273106">
        <w:rPr>
          <w:i/>
        </w:rPr>
        <w:t>urisdictio</w:t>
      </w:r>
      <w:r w:rsidR="08163013" w:rsidRPr="00273106">
        <w:t xml:space="preserve">, čímž se změnil i status subjektu. </w:t>
      </w:r>
      <w:r w:rsidR="00E4309F">
        <w:t>P</w:t>
      </w:r>
      <w:r w:rsidR="08163013" w:rsidRPr="00273106">
        <w:t xml:space="preserve">řirozeně daná touha </w:t>
      </w:r>
      <w:r w:rsidR="00E4309F">
        <w:t xml:space="preserve">člověka teoreticky </w:t>
      </w:r>
      <w:r w:rsidR="08163013" w:rsidRPr="00273106">
        <w:t xml:space="preserve">poznávat </w:t>
      </w:r>
      <w:r w:rsidR="00E4309F">
        <w:t xml:space="preserve">svět podle </w:t>
      </w:r>
      <w:r w:rsidR="08163013" w:rsidRPr="00273106">
        <w:t xml:space="preserve">úvodní věty </w:t>
      </w:r>
      <w:r w:rsidR="08163013" w:rsidRPr="089847DB">
        <w:rPr>
          <w:i/>
        </w:rPr>
        <w:t>Metafyziky</w:t>
      </w:r>
      <w:r w:rsidR="08163013" w:rsidRPr="00273106">
        <w:t xml:space="preserve"> (</w:t>
      </w:r>
      <w:r w:rsidR="08163013" w:rsidRPr="00273106">
        <w:rPr>
          <w:i/>
        </w:rPr>
        <w:t>Met</w:t>
      </w:r>
      <w:r w:rsidR="08163013" w:rsidRPr="00273106">
        <w:t>. 980a21</w:t>
      </w:r>
      <w:r w:rsidR="08163013">
        <w:fldChar w:fldCharType="begin"/>
      </w:r>
      <w:r w:rsidR="08163013">
        <w:instrText xml:space="preserve"> XE "Aristoteles:</w:instrText>
      </w:r>
      <w:r w:rsidR="08163013" w:rsidRPr="00CC54A4">
        <w:rPr>
          <w:i/>
        </w:rPr>
        <w:instrText>Met</w:instrText>
      </w:r>
      <w:r w:rsidR="08163013" w:rsidRPr="00CC54A4">
        <w:instrText>. 980a21</w:instrText>
      </w:r>
      <w:r w:rsidR="08163013">
        <w:instrText xml:space="preserve">" </w:instrText>
      </w:r>
      <w:r w:rsidR="08163013">
        <w:fldChar w:fldCharType="end"/>
      </w:r>
      <w:r w:rsidR="08163013" w:rsidRPr="00273106">
        <w:t>) se stala moderní vůlí k</w:t>
      </w:r>
      <w:r w:rsidR="00E4309F">
        <w:t> </w:t>
      </w:r>
      <w:r w:rsidR="08163013" w:rsidRPr="00273106">
        <w:t>moci</w:t>
      </w:r>
      <w:r w:rsidR="00E4309F">
        <w:t xml:space="preserve">. </w:t>
      </w:r>
      <w:r w:rsidR="00D948CC" w:rsidRPr="00D948CC">
        <w:t xml:space="preserve">Moderní vědění se stalo formou moci založené na jurisdikci. Vůle subjektu potvrzuje pravdu jako </w:t>
      </w:r>
      <w:r w:rsidR="00D948CC" w:rsidRPr="00D948CC">
        <w:rPr>
          <w:i/>
        </w:rPr>
        <w:t>rectitudo</w:t>
      </w:r>
      <w:r w:rsidR="00D948CC" w:rsidRPr="00D948CC">
        <w:t xml:space="preserve"> v oblasti historické účinnosti moderního subjektu</w:t>
      </w:r>
      <w:r w:rsidR="009B4DD8">
        <w:t xml:space="preserve">, tedy </w:t>
      </w:r>
      <w:r w:rsidR="08163013" w:rsidRPr="00273106">
        <w:t xml:space="preserve">v rámci </w:t>
      </w:r>
      <w:r w:rsidR="00E4309F">
        <w:t>nové jurisdikce vlád</w:t>
      </w:r>
      <w:r w:rsidR="00771D57">
        <w:t>noucí</w:t>
      </w:r>
      <w:r w:rsidR="00E4309F">
        <w:t xml:space="preserve"> moci. Tato jurisdikce božského a lidského demiurga tvořená regulemi založila </w:t>
      </w:r>
      <w:r w:rsidR="08163013">
        <w:t xml:space="preserve">nové zázemí metafyzické jistoty západního sujektu. </w:t>
      </w:r>
      <w:r w:rsidR="08163013" w:rsidRPr="00273106">
        <w:t>Chtivost</w:t>
      </w:r>
      <w:r w:rsidR="08163013">
        <w:t xml:space="preserve"> a žádostivost napojená na demiurgicky pojatou vůli se stala novým dějinným faktorem. </w:t>
      </w:r>
      <w:r w:rsidR="001A6993">
        <w:t xml:space="preserve">Mystický </w:t>
      </w:r>
      <w:r w:rsidR="001A6993" w:rsidRPr="00273106">
        <w:rPr>
          <w:i/>
        </w:rPr>
        <w:t>appetitus</w:t>
      </w:r>
      <w:r w:rsidR="001A6993" w:rsidRPr="00273106">
        <w:t xml:space="preserve"> </w:t>
      </w:r>
      <w:r w:rsidR="001A6993">
        <w:t xml:space="preserve">objektivní </w:t>
      </w:r>
      <w:r w:rsidR="001A6993" w:rsidRPr="00273106">
        <w:t>látky k</w:t>
      </w:r>
      <w:r w:rsidR="001A6993">
        <w:t xml:space="preserve"> objektivní </w:t>
      </w:r>
      <w:r w:rsidR="001A6993" w:rsidRPr="00273106">
        <w:t xml:space="preserve">formě </w:t>
      </w:r>
      <w:r w:rsidR="001A6993">
        <w:t>je manipulovaný demiurgem v univerzálním určení správně nazvaném „</w:t>
      </w:r>
      <w:r w:rsidR="001A6993" w:rsidRPr="08FF7EB2">
        <w:rPr>
          <w:i/>
        </w:rPr>
        <w:t>in artificialibus</w:t>
      </w:r>
      <w:r w:rsidR="001A6993">
        <w:t>“. Přirozená touha po formě se spojila s vědomou vůlí</w:t>
      </w:r>
      <w:r w:rsidR="001A6993" w:rsidRPr="00273106">
        <w:t xml:space="preserve"> </w:t>
      </w:r>
      <w:r w:rsidR="001A6993">
        <w:t xml:space="preserve">subjektu, jehož reformační a později i kapitalistické určení vytvořilo imperiální vládu nad objektivně určenou materií. </w:t>
      </w:r>
      <w:r w:rsidR="08163013" w:rsidRPr="00273106">
        <w:t xml:space="preserve">Původní </w:t>
      </w:r>
      <w:r w:rsidR="08163013" w:rsidRPr="00273106">
        <w:rPr>
          <w:i/>
        </w:rPr>
        <w:t>Lichtung</w:t>
      </w:r>
      <w:r w:rsidR="08163013" w:rsidRPr="00273106">
        <w:t xml:space="preserve"> této pořádající vůle vyba</w:t>
      </w:r>
      <w:r w:rsidR="08163013">
        <w:t>ve</w:t>
      </w:r>
      <w:r w:rsidR="08163013" w:rsidRPr="00273106">
        <w:t>né elementární chtivostí se nachází v Avicebronově</w:t>
      </w:r>
      <w:r w:rsidR="08163013">
        <w:fldChar w:fldCharType="begin"/>
      </w:r>
      <w:r w:rsidR="08163013">
        <w:instrText xml:space="preserve"> XE "</w:instrText>
      </w:r>
      <w:r w:rsidR="08163013" w:rsidRPr="00B97990">
        <w:instrText>Avicebron</w:instrText>
      </w:r>
      <w:r w:rsidR="08163013">
        <w:instrText xml:space="preserve">" </w:instrText>
      </w:r>
      <w:r w:rsidR="08163013">
        <w:fldChar w:fldCharType="end"/>
      </w:r>
      <w:r w:rsidR="08163013" w:rsidRPr="00273106">
        <w:t xml:space="preserve"> díle </w:t>
      </w:r>
      <w:r w:rsidR="08163013" w:rsidRPr="00273106">
        <w:rPr>
          <w:i/>
        </w:rPr>
        <w:t>Fons vitae</w:t>
      </w:r>
      <w:r w:rsidR="08163013" w:rsidRPr="00273106">
        <w:t xml:space="preserve">. Mistr říká žákovi prorocká slova </w:t>
      </w:r>
      <w:r w:rsidR="08163013">
        <w:t xml:space="preserve">zakládající směřování latinského Západu </w:t>
      </w:r>
      <w:r w:rsidR="08163013" w:rsidRPr="00273106">
        <w:t>k metafyzickému nihilismu.</w:t>
      </w:r>
    </w:p>
    <w:p w:rsidR="08163013" w:rsidRDefault="08163013" w:rsidP="08163013">
      <w:pPr>
        <w:pStyle w:val="Citace"/>
      </w:pPr>
      <w:r w:rsidRPr="00273106">
        <w:rPr>
          <w:noProof/>
        </w:rPr>
        <w:lastRenderedPageBreak/>
        <w:t>„</w:t>
      </w:r>
      <w:r>
        <w:rPr>
          <w:noProof/>
          <w:lang w:val="cs-CZ"/>
        </w:rPr>
        <w:t>Materie a forma jsou výhonky vůle. Proto je nemožné určit něco dalšího, dokud neznáš vědu o materii, formě a vůli</w:t>
      </w:r>
      <w:r w:rsidRPr="00273106">
        <w:rPr>
          <w:noProof/>
        </w:rPr>
        <w:t xml:space="preserve">.“ </w:t>
      </w:r>
      <w:r>
        <w:rPr>
          <w:rStyle w:val="Znakapoznpodarou"/>
        </w:rPr>
        <w:footnoteReference w:id="356"/>
      </w:r>
    </w:p>
    <w:p w:rsidR="004D5C8B" w:rsidRDefault="08163013" w:rsidP="001A6993">
      <w:r>
        <w:t>Předchozí etapy moderny zavedly simulákrum první substance v modu univerzálního hylemorfismu</w:t>
      </w:r>
      <w:r w:rsidR="004450C9">
        <w:t xml:space="preserve">. </w:t>
      </w:r>
      <w:r>
        <w:t>Rufus spojil porretánskou materii a formu do objektivního těles</w:t>
      </w:r>
      <w:r w:rsidR="004450C9">
        <w:t xml:space="preserve">a třetího druhu. </w:t>
      </w:r>
      <w:r w:rsidR="005E7263">
        <w:t>Simulákrum objektivního světa již existovalo v modu „</w:t>
      </w:r>
      <w:r w:rsidR="005E7263" w:rsidRPr="08A555D4">
        <w:rPr>
          <w:i/>
        </w:rPr>
        <w:t>discrete videamus</w:t>
      </w:r>
      <w:r w:rsidR="005E7263">
        <w:t>“</w:t>
      </w:r>
      <w:r w:rsidR="005E7263" w:rsidRPr="003471E0">
        <w:t xml:space="preserve">. </w:t>
      </w:r>
      <w:r w:rsidR="00AB21B3">
        <w:t xml:space="preserve">V nově vytvořené moderně </w:t>
      </w:r>
      <w:r w:rsidR="005E7263">
        <w:t xml:space="preserve">tehdy </w:t>
      </w:r>
      <w:r w:rsidR="004450C9">
        <w:t>chyběl</w:t>
      </w:r>
      <w:r>
        <w:t xml:space="preserve"> koncept demiurgické vůle jako dalšího jsoucna třetího druhu v lidské duši. </w:t>
      </w:r>
      <w:r w:rsidR="003471E0" w:rsidRPr="003471E0">
        <w:t xml:space="preserve">Zatím </w:t>
      </w:r>
      <w:r w:rsidR="005E7263">
        <w:t xml:space="preserve">neexistoval </w:t>
      </w:r>
      <w:r w:rsidR="003471E0" w:rsidRPr="003471E0">
        <w:t>nositel kapitalistické d</w:t>
      </w:r>
      <w:r w:rsidR="005E7263">
        <w:t>emiurgické vůle, který by dobyl svět a změnil jej na objektivní simulákrum. Na začátku moderny ve 12. století končily prohrané křížové výprav</w:t>
      </w:r>
      <w:r w:rsidR="004B2655">
        <w:t>y</w:t>
      </w:r>
      <w:r w:rsidR="005E7263">
        <w:t xml:space="preserve">. Moderna od konce 13. století připravovala duchovní půdu pro novou kruciátu </w:t>
      </w:r>
      <w:r w:rsidR="003471E0" w:rsidRPr="003471E0">
        <w:t>západního imperialismu</w:t>
      </w:r>
      <w:r w:rsidR="00667379">
        <w:t xml:space="preserve">. První kruciáta </w:t>
      </w:r>
      <w:r w:rsidR="00995B5B">
        <w:t xml:space="preserve">kapitalistického subjektu vytvořeného Bonaventurou a Olivim </w:t>
      </w:r>
      <w:r w:rsidR="00667379">
        <w:t xml:space="preserve">měla </w:t>
      </w:r>
      <w:r w:rsidR="003471E0" w:rsidRPr="003471E0">
        <w:t xml:space="preserve">duchovní </w:t>
      </w:r>
      <w:r w:rsidR="00995B5B">
        <w:t xml:space="preserve">a mystický </w:t>
      </w:r>
      <w:r w:rsidR="003471E0" w:rsidRPr="003471E0">
        <w:t>charakter. Moderní ilumináti se změnili v imperiální kř</w:t>
      </w:r>
      <w:r w:rsidR="003471E0">
        <w:t xml:space="preserve">ižáky o několik století později. </w:t>
      </w:r>
      <w:r>
        <w:t>Demiurgická v</w:t>
      </w:r>
      <w:r w:rsidRPr="00273106">
        <w:t xml:space="preserve">ůle tvoří </w:t>
      </w:r>
      <w:r>
        <w:t xml:space="preserve">podle Augustina a Avicebrona </w:t>
      </w:r>
      <w:r w:rsidRPr="00273106">
        <w:t>primární zdroj smyslu jsoucna a od tohoto základního aktu osmyslnění jsou odvozeny sekundární signifikace materie a formy (</w:t>
      </w:r>
      <w:r w:rsidRPr="00273106">
        <w:rPr>
          <w:i/>
        </w:rPr>
        <w:t>materia et forma sunt rami voluntatis</w:t>
      </w:r>
      <w:r w:rsidRPr="00273106">
        <w:t xml:space="preserve">). </w:t>
      </w:r>
      <w:r w:rsidR="00F217DB">
        <w:t>P</w:t>
      </w:r>
      <w:r w:rsidRPr="00273106">
        <w:t xml:space="preserve">rodukující </w:t>
      </w:r>
      <w:r w:rsidR="00F217DB">
        <w:t xml:space="preserve">demiurgická </w:t>
      </w:r>
      <w:r w:rsidRPr="00273106">
        <w:t xml:space="preserve">vůle </w:t>
      </w:r>
      <w:r w:rsidR="00F217DB">
        <w:t>završuje t</w:t>
      </w:r>
      <w:r w:rsidRPr="00273106">
        <w:t>rojí vědění (</w:t>
      </w:r>
      <w:r w:rsidRPr="00273106">
        <w:rPr>
          <w:i/>
        </w:rPr>
        <w:t>scientiam materiae et formae et voluntatis</w:t>
      </w:r>
      <w:r w:rsidRPr="00273106">
        <w:t>)</w:t>
      </w:r>
      <w:r w:rsidR="004D62A1">
        <w:t xml:space="preserve">. </w:t>
      </w:r>
      <w:r>
        <w:t xml:space="preserve">Bonaventura </w:t>
      </w:r>
      <w:r w:rsidR="004D62A1">
        <w:t xml:space="preserve">konceptualizoval </w:t>
      </w:r>
      <w:r w:rsidRPr="00273106">
        <w:t>archet</w:t>
      </w:r>
      <w:r>
        <w:t xml:space="preserve">ypický význam jsoucna v  pojmu </w:t>
      </w:r>
      <w:r w:rsidRPr="00273106">
        <w:rPr>
          <w:i/>
        </w:rPr>
        <w:t>exemplar</w:t>
      </w:r>
      <w:r>
        <w:rPr>
          <w:i/>
        </w:rPr>
        <w:fldChar w:fldCharType="begin"/>
      </w:r>
      <w:r>
        <w:instrText xml:space="preserve"> XE "</w:instrText>
      </w:r>
      <w:r w:rsidRPr="003F72AE">
        <w:rPr>
          <w:i/>
        </w:rPr>
        <w:instrText>exemplar</w:instrText>
      </w:r>
      <w:r>
        <w:instrText xml:space="preserve">" </w:instrText>
      </w:r>
      <w:r>
        <w:rPr>
          <w:i/>
        </w:rPr>
        <w:fldChar w:fldCharType="end"/>
      </w:r>
      <w:r w:rsidR="009D5CBB">
        <w:t xml:space="preserve"> a vázal</w:t>
      </w:r>
      <w:r w:rsidRPr="00273106">
        <w:t xml:space="preserve"> tuto primordiální formu na stvořitelskou mysl a vůli. </w:t>
      </w:r>
      <w:r>
        <w:t>P</w:t>
      </w:r>
      <w:r w:rsidRPr="00273106">
        <w:t xml:space="preserve">ůvodní </w:t>
      </w:r>
      <w:r>
        <w:t xml:space="preserve">zdroj tohoto objektivního myšlení v bohu najdeme v </w:t>
      </w:r>
      <w:r w:rsidRPr="00273106">
        <w:t>trinitární</w:t>
      </w:r>
      <w:r>
        <w:t>m</w:t>
      </w:r>
      <w:r w:rsidRPr="00273106">
        <w:t xml:space="preserve"> pojetí Ibn Ádího (</w:t>
      </w:r>
      <w:r w:rsidR="08B63A87">
        <w:t xml:space="preserve">OBJ I, </w:t>
      </w:r>
      <w:r w:rsidRPr="00273106">
        <w:t>kap. 2.2).</w:t>
      </w:r>
      <w:r>
        <w:t xml:space="preserve"> </w:t>
      </w:r>
      <w:r w:rsidRPr="00273106">
        <w:t xml:space="preserve">Materie </w:t>
      </w:r>
      <w:r>
        <w:t xml:space="preserve">daná v modu moderní nekonečnosti </w:t>
      </w:r>
      <w:r w:rsidRPr="00273106">
        <w:t>je vybavena imanentním apetitem k přijetí formy</w:t>
      </w:r>
      <w:r>
        <w:t xml:space="preserve"> dané v demiurgicky tvořivé vůli. </w:t>
      </w:r>
      <w:r w:rsidR="00434872" w:rsidRPr="004D62A1">
        <w:t>Objektivní a ontoteologické formy bytí jsou pojímány</w:t>
      </w:r>
      <w:r w:rsidR="00434872">
        <w:t xml:space="preserve"> voluntaristicky. Avicebronovu „</w:t>
      </w:r>
      <w:r w:rsidR="00434872" w:rsidRPr="004D62A1">
        <w:rPr>
          <w:i/>
        </w:rPr>
        <w:t>scientia voluntatis</w:t>
      </w:r>
      <w:r w:rsidR="00434872">
        <w:t>“</w:t>
      </w:r>
      <w:r w:rsidR="00434872" w:rsidRPr="004D62A1">
        <w:t xml:space="preserve"> Bonavetura zasa</w:t>
      </w:r>
      <w:r w:rsidR="00434872">
        <w:t xml:space="preserve">dil do rámce ontologického apetitu </w:t>
      </w:r>
      <w:r w:rsidR="00434872" w:rsidRPr="004D62A1">
        <w:t>po formě</w:t>
      </w:r>
      <w:r w:rsidR="00C60506">
        <w:t xml:space="preserve"> </w:t>
      </w:r>
      <w:r w:rsidR="00C60506" w:rsidRPr="00273106">
        <w:t>(</w:t>
      </w:r>
      <w:r w:rsidR="00C60506" w:rsidRPr="00273106">
        <w:rPr>
          <w:i/>
        </w:rPr>
        <w:t>appetitus</w:t>
      </w:r>
      <w:r w:rsidR="00C60506">
        <w:rPr>
          <w:i/>
        </w:rPr>
        <w:fldChar w:fldCharType="begin"/>
      </w:r>
      <w:r w:rsidR="00C60506">
        <w:instrText xml:space="preserve"> XE "</w:instrText>
      </w:r>
      <w:r w:rsidR="00C60506" w:rsidRPr="007E6333">
        <w:rPr>
          <w:i/>
        </w:rPr>
        <w:instrText>appetitus</w:instrText>
      </w:r>
      <w:r w:rsidR="00C60506">
        <w:instrText xml:space="preserve">" </w:instrText>
      </w:r>
      <w:r w:rsidR="00C60506">
        <w:rPr>
          <w:i/>
        </w:rPr>
        <w:fldChar w:fldCharType="end"/>
      </w:r>
      <w:r w:rsidR="00C60506" w:rsidRPr="00273106">
        <w:t>)</w:t>
      </w:r>
      <w:r w:rsidR="00434872" w:rsidRPr="004D62A1">
        <w:t xml:space="preserve">. Tato </w:t>
      </w:r>
      <w:r w:rsidR="00434872">
        <w:t>chtivost sleduje imanentní ratio, které b</w:t>
      </w:r>
      <w:r w:rsidR="00434872" w:rsidRPr="004D62A1">
        <w:t xml:space="preserve">ůh vložil do stvoření jako objektivně dané </w:t>
      </w:r>
      <w:r w:rsidR="00434872" w:rsidRPr="004D62A1">
        <w:rPr>
          <w:i/>
        </w:rPr>
        <w:t>rationes seminales</w:t>
      </w:r>
      <w:r w:rsidR="00434872">
        <w:rPr>
          <w:i/>
        </w:rPr>
        <w:fldChar w:fldCharType="begin"/>
      </w:r>
      <w:r w:rsidR="00434872">
        <w:instrText xml:space="preserve"> XE "</w:instrText>
      </w:r>
      <w:r w:rsidR="00434872" w:rsidRPr="00842B74">
        <w:rPr>
          <w:i/>
        </w:rPr>
        <w:instrText>rationes seminales</w:instrText>
      </w:r>
      <w:r w:rsidR="00434872">
        <w:instrText xml:space="preserve">" </w:instrText>
      </w:r>
      <w:r w:rsidR="00434872">
        <w:rPr>
          <w:i/>
        </w:rPr>
        <w:fldChar w:fldCharType="end"/>
      </w:r>
      <w:r w:rsidR="00434872">
        <w:t xml:space="preserve">. </w:t>
      </w:r>
      <w:r>
        <w:t xml:space="preserve">Materie třetího druhu </w:t>
      </w:r>
      <w:r w:rsidRPr="00273106">
        <w:t>je vybavená primá</w:t>
      </w:r>
      <w:r w:rsidR="00C60506">
        <w:t>rní žádostí po spojení s formou</w:t>
      </w:r>
      <w:r w:rsidRPr="00273106">
        <w:t>.</w:t>
      </w:r>
      <w:r w:rsidR="008B4213">
        <w:t xml:space="preserve"> Demiurgická vůle moderního boha a člověka chce tvořit a má jako objekt manipulace mytologickou materii</w:t>
      </w:r>
      <w:r w:rsidR="080E16BA">
        <w:t xml:space="preserve"> třetího druhu. Tato materie se objektivně těší na to, aby mohla přijmout demiurgickou </w:t>
      </w:r>
      <w:r w:rsidR="001A6993">
        <w:t xml:space="preserve">formu. </w:t>
      </w:r>
      <w:r w:rsidR="002B78ED">
        <w:t>Předložené schéma provedlo k ontoteologickou</w:t>
      </w:r>
      <w:r w:rsidR="080E16BA">
        <w:t xml:space="preserve"> univerzalizaci predikace </w:t>
      </w:r>
      <w:r w:rsidR="00EB5197">
        <w:t>„</w:t>
      </w:r>
      <w:r w:rsidR="080E16BA" w:rsidRPr="08EB577E">
        <w:rPr>
          <w:i/>
        </w:rPr>
        <w:t>in artificialibus</w:t>
      </w:r>
      <w:r w:rsidR="00EB5197">
        <w:t>“</w:t>
      </w:r>
      <w:r w:rsidR="080E16BA">
        <w:rPr>
          <w:i/>
        </w:rPr>
        <w:fldChar w:fldCharType="begin"/>
      </w:r>
      <w:r w:rsidR="080E16BA">
        <w:instrText xml:space="preserve"> XE "predikace:</w:instrText>
      </w:r>
      <w:r w:rsidR="080E16BA" w:rsidRPr="084C028F">
        <w:rPr>
          <w:i/>
        </w:rPr>
        <w:instrText>in artificialibus</w:instrText>
      </w:r>
      <w:r w:rsidR="080E16BA">
        <w:instrText xml:space="preserve">" </w:instrText>
      </w:r>
      <w:r w:rsidR="080E16BA">
        <w:rPr>
          <w:i/>
        </w:rPr>
        <w:fldChar w:fldCharType="end"/>
      </w:r>
      <w:r w:rsidR="00B903F4" w:rsidRPr="00B903F4">
        <w:t>. A</w:t>
      </w:r>
      <w:r w:rsidR="080E16BA">
        <w:t xml:space="preserve">ristotelikové jako </w:t>
      </w:r>
      <w:r w:rsidR="080E16BA" w:rsidRPr="00273106">
        <w:t>Baco</w:t>
      </w:r>
      <w:r w:rsidR="080E16BA">
        <w:t xml:space="preserve">n a další </w:t>
      </w:r>
      <w:r w:rsidR="00B903F4">
        <w:t xml:space="preserve">tento postup </w:t>
      </w:r>
      <w:r w:rsidR="080E16BA">
        <w:t xml:space="preserve">vyčetli porrtetánským modernistům na Oxfordu už okolo </w:t>
      </w:r>
      <w:r w:rsidR="080E16BA">
        <w:lastRenderedPageBreak/>
        <w:t>roku 1250 (OBJ II, kap. 3</w:t>
      </w:r>
      <w:r w:rsidR="080E16BA" w:rsidRPr="00273106">
        <w:t>.2).</w:t>
      </w:r>
      <w:r w:rsidR="080E16BA">
        <w:t xml:space="preserve"> </w:t>
      </w:r>
      <w:r w:rsidR="00E35188">
        <w:t>Porretáni už používali tuto zmatenou predikaci</w:t>
      </w:r>
      <w:r w:rsidR="080E16BA">
        <w:t xml:space="preserve"> (OBJ II, kap. 1.4)</w:t>
      </w:r>
      <w:r w:rsidR="00E35188">
        <w:t xml:space="preserve">. </w:t>
      </w:r>
      <w:r w:rsidRPr="00273106">
        <w:t xml:space="preserve">Viz </w:t>
      </w:r>
      <w:r w:rsidR="000A23CE">
        <w:t xml:space="preserve">výše uvedené </w:t>
      </w:r>
      <w:r>
        <w:t xml:space="preserve">moderní </w:t>
      </w:r>
      <w:r w:rsidRPr="00273106">
        <w:t xml:space="preserve">termíny typu </w:t>
      </w:r>
      <w:r w:rsidRPr="00273106">
        <w:rPr>
          <w:i/>
        </w:rPr>
        <w:t>appetitus</w:t>
      </w:r>
      <w:r>
        <w:rPr>
          <w:i/>
        </w:rPr>
        <w:fldChar w:fldCharType="begin"/>
      </w:r>
      <w:r>
        <w:instrText xml:space="preserve"> XE "</w:instrText>
      </w:r>
      <w:r w:rsidRPr="007E6333">
        <w:rPr>
          <w:i/>
        </w:rPr>
        <w:instrText>appetitus</w:instrText>
      </w:r>
      <w:r>
        <w:instrText xml:space="preserve">" </w:instrText>
      </w:r>
      <w:r>
        <w:rPr>
          <w:i/>
        </w:rPr>
        <w:fldChar w:fldCharType="end"/>
      </w:r>
      <w:r w:rsidRPr="00273106">
        <w:t xml:space="preserve">, </w:t>
      </w:r>
      <w:r w:rsidRPr="00273106">
        <w:rPr>
          <w:i/>
        </w:rPr>
        <w:t>conatus</w:t>
      </w:r>
      <w:r>
        <w:rPr>
          <w:i/>
        </w:rPr>
        <w:fldChar w:fldCharType="begin"/>
      </w:r>
      <w:r>
        <w:instrText xml:space="preserve"> XE "</w:instrText>
      </w:r>
      <w:r w:rsidRPr="00D9787C">
        <w:rPr>
          <w:i/>
        </w:rPr>
        <w:instrText>conatus</w:instrText>
      </w:r>
      <w:r>
        <w:instrText xml:space="preserve">" </w:instrText>
      </w:r>
      <w:r>
        <w:rPr>
          <w:i/>
        </w:rPr>
        <w:fldChar w:fldCharType="end"/>
      </w:r>
      <w:r w:rsidRPr="00273106">
        <w:t xml:space="preserve">, </w:t>
      </w:r>
      <w:r w:rsidRPr="00273106">
        <w:rPr>
          <w:i/>
        </w:rPr>
        <w:t>impetus</w:t>
      </w:r>
      <w:r>
        <w:t xml:space="preserve">, které později najdeme v přírodní </w:t>
      </w:r>
      <w:r w:rsidRPr="00273106">
        <w:t>filosofii Descarta</w:t>
      </w:r>
      <w:r>
        <w:fldChar w:fldCharType="begin"/>
      </w:r>
      <w:r>
        <w:instrText xml:space="preserve"> XE "</w:instrText>
      </w:r>
      <w:r w:rsidRPr="004146C6">
        <w:rPr>
          <w:rStyle w:val="addmd"/>
        </w:rPr>
        <w:instrText>Descartes, R.</w:instrText>
      </w:r>
      <w:r>
        <w:instrText xml:space="preserve">" </w:instrText>
      </w:r>
      <w:r>
        <w:fldChar w:fldCharType="end"/>
      </w:r>
      <w:r w:rsidRPr="00273106">
        <w:t xml:space="preserve">, </w:t>
      </w:r>
      <w:r>
        <w:t>Hobbese</w:t>
      </w:r>
      <w:r>
        <w:fldChar w:fldCharType="begin"/>
      </w:r>
      <w:r>
        <w:instrText xml:space="preserve"> XE "</w:instrText>
      </w:r>
      <w:r w:rsidRPr="007C389D">
        <w:instrText>Hobbes, T.</w:instrText>
      </w:r>
      <w:r>
        <w:instrText xml:space="preserve">" </w:instrText>
      </w:r>
      <w:r>
        <w:fldChar w:fldCharType="end"/>
      </w:r>
      <w:r>
        <w:t xml:space="preserve">, </w:t>
      </w:r>
      <w:r w:rsidRPr="00273106">
        <w:t xml:space="preserve">Spinozy a Galileiho. </w:t>
      </w:r>
      <w:r w:rsidR="08A05372">
        <w:t>Meta</w:t>
      </w:r>
      <w:r w:rsidR="08A05372" w:rsidRPr="00273106">
        <w:t xml:space="preserve">fyzický vývoj </w:t>
      </w:r>
      <w:r w:rsidR="08A05372">
        <w:t xml:space="preserve">této </w:t>
      </w:r>
      <w:r w:rsidR="08A05372" w:rsidRPr="00273106">
        <w:t xml:space="preserve">moderní chtivosti </w:t>
      </w:r>
      <w:r w:rsidR="08A05372">
        <w:t xml:space="preserve">vedl ke vzniku </w:t>
      </w:r>
      <w:r w:rsidR="08A05372" w:rsidRPr="00273106">
        <w:t>kapitalistického subjektu u Ol</w:t>
      </w:r>
      <w:r w:rsidR="08A05372">
        <w:t xml:space="preserve">iviho. </w:t>
      </w:r>
      <w:r>
        <w:t xml:space="preserve">Tím </w:t>
      </w:r>
      <w:r w:rsidRPr="00273106">
        <w:t xml:space="preserve">vznikla první epochální determinace kapitalismu v jeho původním metafyzickém </w:t>
      </w:r>
      <w:r w:rsidRPr="00273106">
        <w:rPr>
          <w:i/>
        </w:rPr>
        <w:t>Lichtung</w:t>
      </w:r>
      <w:r w:rsidRPr="00273106">
        <w:t>.</w:t>
      </w:r>
      <w:r>
        <w:t xml:space="preserve"> Novou epochu kapitalismu umožnilo Bonaventurovo ontoteologické a mysticko-erotické </w:t>
      </w:r>
      <w:r w:rsidRPr="089242F1">
        <w:rPr>
          <w:i/>
        </w:rPr>
        <w:t>factum</w:t>
      </w:r>
      <w:r>
        <w:t xml:space="preserve"> dané podle biblické Písně písní</w:t>
      </w:r>
      <w:r>
        <w:fldChar w:fldCharType="begin"/>
      </w:r>
      <w:r>
        <w:instrText xml:space="preserve"> XE "mytopo</w:instrText>
      </w:r>
      <w:r w:rsidRPr="08FB3CFA">
        <w:instrText>esis</w:instrText>
      </w:r>
      <w:r>
        <w:instrText xml:space="preserve">" </w:instrText>
      </w:r>
      <w:r>
        <w:fldChar w:fldCharType="end"/>
      </w:r>
      <w:r>
        <w:t xml:space="preserve">. Tato múzická pravda stojí u zrodu kapitalismu v modu pythické </w:t>
      </w:r>
      <w:r w:rsidR="00D06FF3">
        <w:rPr>
          <w:i/>
        </w:rPr>
        <w:t>a</w:t>
      </w:r>
      <w:r>
        <w:rPr>
          <w:i/>
        </w:rPr>
        <w:t>létheia</w:t>
      </w:r>
      <w:r>
        <w:t xml:space="preserve">. </w:t>
      </w:r>
      <w:r w:rsidR="00D06FF3">
        <w:t xml:space="preserve">Kapitalisticky založené Fúrie </w:t>
      </w:r>
      <w:r w:rsidR="00A8702E">
        <w:t>jsou vedeny demiurgickou moderní vůlí, která následuje o</w:t>
      </w:r>
      <w:r>
        <w:t xml:space="preserve">bjektivní </w:t>
      </w:r>
      <w:r w:rsidRPr="08075CE2">
        <w:rPr>
          <w:i/>
        </w:rPr>
        <w:t>veritas</w:t>
      </w:r>
      <w:r>
        <w:t>. Bonaventur</w:t>
      </w:r>
      <w:r w:rsidR="008C15B4">
        <w:t xml:space="preserve">a napojil </w:t>
      </w:r>
      <w:r>
        <w:t>demiurgick</w:t>
      </w:r>
      <w:r w:rsidR="008C15B4">
        <w:t>ou</w:t>
      </w:r>
      <w:r w:rsidR="00300BD8">
        <w:t xml:space="preserve"> vůli</w:t>
      </w:r>
      <w:r>
        <w:t xml:space="preserve"> na nové pojetí nekonečnosti v rámci materie třetího druhu pojaté v modu matematické abstrakce</w:t>
      </w:r>
      <w:r>
        <w:fldChar w:fldCharType="begin"/>
      </w:r>
      <w:r>
        <w:instrText xml:space="preserve"> XE "</w:instrText>
      </w:r>
      <w:r w:rsidRPr="00A824F0">
        <w:instrText>abstrakce:matematická</w:instrText>
      </w:r>
      <w:r>
        <w:instrText xml:space="preserve">" </w:instrText>
      </w:r>
      <w:r>
        <w:fldChar w:fldCharType="end"/>
      </w:r>
      <w:r w:rsidR="008C15B4">
        <w:t xml:space="preserve">. Tím </w:t>
      </w:r>
      <w:r>
        <w:t>dal</w:t>
      </w:r>
      <w:r w:rsidR="00FE4563">
        <w:t xml:space="preserve"> základy moderního</w:t>
      </w:r>
      <w:r>
        <w:t xml:space="preserve"> pojetí objektivní vědy, bez níž by byl západní kapitalismus nemyslitelný. Postmoderna spojila exemplary a seminální </w:t>
      </w:r>
      <w:r w:rsidRPr="08613E34">
        <w:t>ratio</w:t>
      </w:r>
      <w:r>
        <w:t xml:space="preserve"> do jedné sféry objektivity řízené matematikou od 17. sto</w:t>
      </w:r>
      <w:r w:rsidR="004D5C8B">
        <w:t>letí a ekonomií od 18. století.</w:t>
      </w:r>
    </w:p>
    <w:p w:rsidR="00D95B28" w:rsidRPr="008B3D5B" w:rsidRDefault="08163013" w:rsidP="008B3D5B">
      <w:pPr>
        <w:ind w:firstLine="397"/>
      </w:pPr>
      <w:r>
        <w:t>Vznik objektivního Jakubova žebříku</w:t>
      </w:r>
      <w:r>
        <w:fldChar w:fldCharType="begin"/>
      </w:r>
      <w:r>
        <w:instrText xml:space="preserve"> XE "</w:instrText>
      </w:r>
      <w:r w:rsidRPr="003D5918">
        <w:instrText>Jakubův žebřík</w:instrText>
      </w:r>
      <w:r>
        <w:instrText xml:space="preserve">" </w:instrText>
      </w:r>
      <w:r>
        <w:fldChar w:fldCharType="end"/>
      </w:r>
      <w:r>
        <w:t xml:space="preserve"> </w:t>
      </w:r>
      <w:r w:rsidR="00FE4563">
        <w:t>v </w:t>
      </w:r>
      <w:r>
        <w:t>Bonaventur</w:t>
      </w:r>
      <w:r w:rsidR="00FE4563">
        <w:t xml:space="preserve">ově mystické filosofie a </w:t>
      </w:r>
      <w:r>
        <w:t>v pozdější postmoderně by nebyl možný bez nové koncepce vůle</w:t>
      </w:r>
      <w:r>
        <w:fldChar w:fldCharType="begin"/>
      </w:r>
      <w:r>
        <w:instrText xml:space="preserve"> XE "</w:instrText>
      </w:r>
      <w:r w:rsidRPr="002602DB">
        <w:instrText>vůle:demiurgická</w:instrText>
      </w:r>
      <w:r>
        <w:instrText xml:space="preserve">" </w:instrText>
      </w:r>
      <w:r>
        <w:fldChar w:fldCharType="end"/>
      </w:r>
      <w:r>
        <w:t xml:space="preserve">. </w:t>
      </w:r>
      <w:r w:rsidR="00D95B28" w:rsidRPr="00273106">
        <w:t xml:space="preserve">Vůle </w:t>
      </w:r>
      <w:r w:rsidR="00D95B28">
        <w:t xml:space="preserve">ve filosofii Oliviho </w:t>
      </w:r>
      <w:r w:rsidR="00D95B28" w:rsidRPr="00273106">
        <w:t xml:space="preserve">dostala vlastní typ </w:t>
      </w:r>
      <w:r w:rsidR="00D95B28">
        <w:t>intimně dané pravdivosti (</w:t>
      </w:r>
      <w:r w:rsidR="00D95B28" w:rsidRPr="00273106">
        <w:rPr>
          <w:i/>
        </w:rPr>
        <w:t>certitudo</w:t>
      </w:r>
      <w:r w:rsidR="00D95B28">
        <w:rPr>
          <w:i/>
        </w:rPr>
        <w:fldChar w:fldCharType="begin"/>
      </w:r>
      <w:r w:rsidR="00D95B28">
        <w:instrText xml:space="preserve"> XE "</w:instrText>
      </w:r>
      <w:r w:rsidR="00D95B28" w:rsidRPr="00203478">
        <w:instrText>pravda</w:instrText>
      </w:r>
      <w:r w:rsidR="00D95B28" w:rsidRPr="0076142C">
        <w:rPr>
          <w:i/>
        </w:rPr>
        <w:instrText>:certitudo</w:instrText>
      </w:r>
      <w:r w:rsidR="00D95B28">
        <w:instrText xml:space="preserve">" </w:instrText>
      </w:r>
      <w:r w:rsidR="00D95B28">
        <w:rPr>
          <w:i/>
        </w:rPr>
        <w:fldChar w:fldCharType="end"/>
      </w:r>
      <w:r w:rsidR="00A43BE4">
        <w:t>)</w:t>
      </w:r>
      <w:r w:rsidR="004779B7">
        <w:t>. Takto určená vůle jako správnost osvěcuje svět přímo od boží pravdy</w:t>
      </w:r>
      <w:r w:rsidR="00D95B28">
        <w:t xml:space="preserve"> </w:t>
      </w:r>
      <w:r w:rsidR="00A43BE4">
        <w:t xml:space="preserve">jako Anselmova správnost </w:t>
      </w:r>
      <w:r w:rsidR="00D95B28">
        <w:t>(</w:t>
      </w:r>
      <w:r w:rsidR="00D95B28" w:rsidRPr="00273106">
        <w:rPr>
          <w:i/>
        </w:rPr>
        <w:t>rectitudo</w:t>
      </w:r>
      <w:r w:rsidR="00D95B28">
        <w:t>)</w:t>
      </w:r>
      <w:r w:rsidR="00D95B28" w:rsidRPr="00273106">
        <w:t>.</w:t>
      </w:r>
      <w:r w:rsidR="00D95B28">
        <w:t xml:space="preserve"> Oliviho </w:t>
      </w:r>
      <w:r w:rsidR="00D95B28" w:rsidRPr="00273106">
        <w:t xml:space="preserve"> esencialistické rysy vůle (</w:t>
      </w:r>
      <w:r w:rsidR="00D95B28" w:rsidRPr="00273106">
        <w:rPr>
          <w:i/>
          <w:iCs/>
        </w:rPr>
        <w:t>potentia essentialis</w:t>
      </w:r>
      <w:r w:rsidR="00D95B28">
        <w:rPr>
          <w:i/>
          <w:iCs/>
        </w:rPr>
        <w:fldChar w:fldCharType="begin"/>
      </w:r>
      <w:r w:rsidR="00D95B28">
        <w:instrText xml:space="preserve"> XE "</w:instrText>
      </w:r>
      <w:r w:rsidR="00D95B28" w:rsidRPr="003C711B">
        <w:rPr>
          <w:i/>
          <w:iCs/>
        </w:rPr>
        <w:instrText>potentia essentialis</w:instrText>
      </w:r>
      <w:r w:rsidR="00D95B28">
        <w:instrText xml:space="preserve">" </w:instrText>
      </w:r>
      <w:r w:rsidR="00D95B28">
        <w:rPr>
          <w:i/>
          <w:iCs/>
        </w:rPr>
        <w:fldChar w:fldCharType="end"/>
      </w:r>
      <w:r w:rsidR="00D95B28" w:rsidRPr="00273106">
        <w:rPr>
          <w:i/>
          <w:iCs/>
        </w:rPr>
        <w:t>, esse ad</w:t>
      </w:r>
      <w:r w:rsidR="00D95B28">
        <w:t>) konceptuálně etabluje</w:t>
      </w:r>
      <w:r w:rsidR="00D95B28" w:rsidRPr="00273106">
        <w:t xml:space="preserve"> </w:t>
      </w:r>
      <w:r w:rsidR="00D95B28">
        <w:t xml:space="preserve">v moderní ontoteologii nejprve Gandavus a pak Scotus. Oba modernisté udělají z esenciální intimity vůle základní </w:t>
      </w:r>
      <w:r w:rsidR="00D95B28" w:rsidRPr="00273106">
        <w:t xml:space="preserve">určení jsoucna v rámci nové </w:t>
      </w:r>
      <w:r w:rsidR="00D95B28">
        <w:t>přeměněné na metafyziku</w:t>
      </w:r>
      <w:r w:rsidR="00D95B28" w:rsidRPr="00273106">
        <w:t xml:space="preserve"> čisté mo</w:t>
      </w:r>
      <w:r w:rsidR="00D95B28">
        <w:t>žnosti.</w:t>
      </w:r>
      <w:r w:rsidR="00D95B28" w:rsidRPr="08083CEA">
        <w:t xml:space="preserve"> </w:t>
      </w:r>
      <w:r w:rsidR="00D95B28">
        <w:t xml:space="preserve">Výklad </w:t>
      </w:r>
      <w:r w:rsidR="00D95B28" w:rsidRPr="00273106">
        <w:t xml:space="preserve">Oliviho </w:t>
      </w:r>
      <w:r w:rsidR="00D95B28">
        <w:t xml:space="preserve">filosofie ukázal, že </w:t>
      </w:r>
      <w:r w:rsidR="00D95B28" w:rsidRPr="00273106">
        <w:t xml:space="preserve">spojením </w:t>
      </w:r>
      <w:r w:rsidR="00D95B28" w:rsidRPr="00273106">
        <w:rPr>
          <w:i/>
        </w:rPr>
        <w:t>dativus possessivus</w:t>
      </w:r>
      <w:r w:rsidR="00D95B28">
        <w:rPr>
          <w:i/>
        </w:rPr>
        <w:fldChar w:fldCharType="begin"/>
      </w:r>
      <w:r w:rsidR="00D95B28">
        <w:instrText xml:space="preserve"> XE "</w:instrText>
      </w:r>
      <w:r w:rsidR="00D95B28" w:rsidRPr="00461B3F">
        <w:rPr>
          <w:i/>
        </w:rPr>
        <w:instrText>d</w:instrText>
      </w:r>
      <w:r w:rsidR="00D95B28" w:rsidRPr="00461B3F">
        <w:rPr>
          <w:i/>
          <w:iCs/>
        </w:rPr>
        <w:instrText>ativus possessivus</w:instrText>
      </w:r>
      <w:r w:rsidR="00D95B28">
        <w:instrText xml:space="preserve">" </w:instrText>
      </w:r>
      <w:r w:rsidR="00D95B28">
        <w:rPr>
          <w:i/>
        </w:rPr>
        <w:fldChar w:fldCharType="end"/>
      </w:r>
      <w:r w:rsidR="00D95B28" w:rsidRPr="00273106">
        <w:rPr>
          <w:i/>
        </w:rPr>
        <w:t xml:space="preserve"> </w:t>
      </w:r>
      <w:r w:rsidR="00D95B28" w:rsidRPr="00273106">
        <w:t xml:space="preserve">a </w:t>
      </w:r>
      <w:r w:rsidR="00D95B28" w:rsidRPr="00273106">
        <w:rPr>
          <w:i/>
        </w:rPr>
        <w:t>dativus auctoris</w:t>
      </w:r>
      <w:r w:rsidR="00D95B28" w:rsidRPr="00273106">
        <w:t xml:space="preserve"> vznikl </w:t>
      </w:r>
      <w:r w:rsidR="00D95B28">
        <w:t xml:space="preserve">okolo roku 1280 </w:t>
      </w:r>
      <w:r w:rsidR="00D95B28" w:rsidRPr="00273106">
        <w:t>nový aspekt jsoucnosti</w:t>
      </w:r>
      <w:r w:rsidR="00D95B28">
        <w:t xml:space="preserve"> napojený na kapitalistický subjekt</w:t>
      </w:r>
      <w:r w:rsidR="00D95B28" w:rsidRPr="00273106">
        <w:t xml:space="preserve">. </w:t>
      </w:r>
      <w:r w:rsidR="00D95B28" w:rsidRPr="00273106">
        <w:rPr>
          <w:iCs/>
        </w:rPr>
        <w:t>Spojením obou forem dativu (</w:t>
      </w:r>
      <w:r w:rsidR="00D95B28" w:rsidRPr="00273106">
        <w:rPr>
          <w:i/>
        </w:rPr>
        <w:t>d</w:t>
      </w:r>
      <w:r w:rsidR="00D95B28" w:rsidRPr="00273106">
        <w:rPr>
          <w:i/>
          <w:iCs/>
        </w:rPr>
        <w:t>ativus possessivus, auctoris</w:t>
      </w:r>
      <w:r w:rsidR="00D95B28" w:rsidRPr="00273106">
        <w:rPr>
          <w:iCs/>
        </w:rPr>
        <w:t xml:space="preserve">) přichází objektivita do plné manifestace </w:t>
      </w:r>
      <w:r w:rsidR="00D95B28">
        <w:rPr>
          <w:iCs/>
        </w:rPr>
        <w:t xml:space="preserve">svých dějinných možností v rámci prvního iracionálně a mysticky založeného kapitalismu.  </w:t>
      </w:r>
      <w:r w:rsidR="00922549">
        <w:rPr>
          <w:iCs/>
        </w:rPr>
        <w:t>Situován do rámce</w:t>
      </w:r>
      <w:r w:rsidR="00922549" w:rsidRPr="00922549">
        <w:rPr>
          <w:iCs/>
        </w:rPr>
        <w:t xml:space="preserve"> nové vlády sekulární víry a objektivního vědeckého poznání hledá tragický moderní jedine</w:t>
      </w:r>
      <w:r w:rsidR="00922549">
        <w:rPr>
          <w:iCs/>
        </w:rPr>
        <w:t xml:space="preserve">c objektivní vykoupení. Musí vykoupit své </w:t>
      </w:r>
      <w:r w:rsidR="00922549" w:rsidRPr="00922549">
        <w:rPr>
          <w:i/>
          <w:iCs/>
        </w:rPr>
        <w:t>peccatum originale</w:t>
      </w:r>
      <w:r w:rsidR="00922549" w:rsidRPr="00922549">
        <w:rPr>
          <w:iCs/>
        </w:rPr>
        <w:t xml:space="preserve">, tedy </w:t>
      </w:r>
      <w:r w:rsidR="00922549">
        <w:rPr>
          <w:iCs/>
        </w:rPr>
        <w:t>svou paranoiu a schizofrenii</w:t>
      </w:r>
      <w:r w:rsidR="00922549" w:rsidRPr="00922549">
        <w:rPr>
          <w:iCs/>
        </w:rPr>
        <w:t xml:space="preserve">, které tvoří samu podstatu moderního subjektu. </w:t>
      </w:r>
      <w:r w:rsidR="00D95B28">
        <w:t xml:space="preserve">Po smrti boha </w:t>
      </w:r>
      <w:r w:rsidR="00D95B28" w:rsidRPr="08C45911">
        <w:rPr>
          <w:i/>
        </w:rPr>
        <w:t>Modernorum</w:t>
      </w:r>
      <w:r w:rsidR="00D95B28">
        <w:t xml:space="preserve"> si zařizuje postmoderní subjekt ze svých sil sekulární vykoupení skrze kapitalismus. </w:t>
      </w:r>
      <w:r w:rsidR="00B257A3">
        <w:rPr>
          <w:iCs/>
        </w:rPr>
        <w:t>Po smrti boha moderny se stal p</w:t>
      </w:r>
      <w:r w:rsidR="00D95B28">
        <w:rPr>
          <w:iCs/>
        </w:rPr>
        <w:t>ostmoderní kapitalistický demiurg</w:t>
      </w:r>
      <w:r w:rsidR="00D95B28">
        <w:rPr>
          <w:iCs/>
        </w:rPr>
        <w:fldChar w:fldCharType="begin"/>
      </w:r>
      <w:r w:rsidR="00D95B28">
        <w:instrText xml:space="preserve"> XE </w:instrText>
      </w:r>
      <w:r w:rsidR="00D95B28">
        <w:lastRenderedPageBreak/>
        <w:instrText>"</w:instrText>
      </w:r>
      <w:r w:rsidR="00D95B28" w:rsidRPr="08B24E25">
        <w:rPr>
          <w:iCs/>
        </w:rPr>
        <w:instrText>demiurg</w:instrText>
      </w:r>
      <w:r w:rsidR="00D95B28">
        <w:instrText xml:space="preserve">" </w:instrText>
      </w:r>
      <w:r w:rsidR="00D95B28">
        <w:rPr>
          <w:iCs/>
        </w:rPr>
        <w:fldChar w:fldCharType="end"/>
      </w:r>
      <w:r w:rsidR="00D95B28">
        <w:rPr>
          <w:iCs/>
        </w:rPr>
        <w:t xml:space="preserve"> </w:t>
      </w:r>
      <w:r w:rsidR="00B257A3">
        <w:rPr>
          <w:iCs/>
        </w:rPr>
        <w:t>mnohem více paranoický, než byl předtím. Nový demi</w:t>
      </w:r>
      <w:r w:rsidR="003E1CBF">
        <w:rPr>
          <w:iCs/>
        </w:rPr>
        <w:t>u</w:t>
      </w:r>
      <w:r w:rsidR="00B257A3">
        <w:rPr>
          <w:iCs/>
        </w:rPr>
        <w:t xml:space="preserve">rg </w:t>
      </w:r>
      <w:r w:rsidR="00D95B28">
        <w:rPr>
          <w:iCs/>
        </w:rPr>
        <w:t>si přivlastňuje svět v aktu sekulárního vykoupení a vlastního ospravedlnění skrze akumulaci kapitálu</w:t>
      </w:r>
      <w:r w:rsidR="001015C1">
        <w:rPr>
          <w:iCs/>
        </w:rPr>
        <w:t xml:space="preserve">. Tento proces asimilace </w:t>
      </w:r>
      <w:r w:rsidR="001015C1" w:rsidRPr="009F007E">
        <w:rPr>
          <w:szCs w:val="24"/>
        </w:rPr>
        <w:t>(</w:t>
      </w:r>
      <w:r w:rsidR="001015C1" w:rsidRPr="009F007E">
        <w:rPr>
          <w:i/>
          <w:szCs w:val="24"/>
        </w:rPr>
        <w:t>dativus possessivus</w:t>
      </w:r>
      <w:r w:rsidR="001015C1">
        <w:rPr>
          <w:i/>
          <w:szCs w:val="24"/>
        </w:rPr>
        <w:fldChar w:fldCharType="begin"/>
      </w:r>
      <w:r w:rsidR="001015C1">
        <w:instrText xml:space="preserve"> XE "</w:instrText>
      </w:r>
      <w:r w:rsidR="001015C1" w:rsidRPr="003C5831">
        <w:rPr>
          <w:i/>
          <w:szCs w:val="24"/>
        </w:rPr>
        <w:instrText>dativus possessivus</w:instrText>
      </w:r>
      <w:r w:rsidR="001015C1">
        <w:instrText xml:space="preserve">" </w:instrText>
      </w:r>
      <w:r w:rsidR="001015C1">
        <w:rPr>
          <w:i/>
          <w:szCs w:val="24"/>
        </w:rPr>
        <w:fldChar w:fldCharType="end"/>
      </w:r>
      <w:r w:rsidR="001015C1" w:rsidRPr="009F007E">
        <w:rPr>
          <w:szCs w:val="24"/>
        </w:rPr>
        <w:t xml:space="preserve">) </w:t>
      </w:r>
      <w:r w:rsidR="001015C1">
        <w:rPr>
          <w:szCs w:val="24"/>
        </w:rPr>
        <w:t xml:space="preserve">běží v modelu </w:t>
      </w:r>
      <w:r w:rsidR="001015C1">
        <w:rPr>
          <w:iCs/>
        </w:rPr>
        <w:t xml:space="preserve">pravdy jako </w:t>
      </w:r>
      <w:r w:rsidR="00D95B28" w:rsidRPr="08D41B3C">
        <w:rPr>
          <w:i/>
          <w:iCs/>
        </w:rPr>
        <w:t>coaequatio</w:t>
      </w:r>
      <w:r w:rsidR="00D95B28">
        <w:rPr>
          <w:iCs/>
        </w:rPr>
        <w:t>. K</w:t>
      </w:r>
      <w:r w:rsidR="00D95B28">
        <w:t>ruciáta kapitálu</w:t>
      </w:r>
      <w:r w:rsidR="00D95B28">
        <w:fldChar w:fldCharType="begin"/>
      </w:r>
      <w:r w:rsidR="00D95B28">
        <w:instrText xml:space="preserve"> XE "</w:instrText>
      </w:r>
      <w:r w:rsidR="00D95B28" w:rsidRPr="000703DD">
        <w:instrText>kapitál</w:instrText>
      </w:r>
      <w:r w:rsidR="00D95B28">
        <w:instrText xml:space="preserve">" </w:instrText>
      </w:r>
      <w:r w:rsidR="00D95B28">
        <w:fldChar w:fldCharType="end"/>
      </w:r>
      <w:r w:rsidR="00D95B28">
        <w:t xml:space="preserve"> zajišťuje objektivní spasení </w:t>
      </w:r>
      <w:r w:rsidR="00D95B28" w:rsidRPr="00273106">
        <w:t xml:space="preserve">skrze demiurgické nasazení svobodné a inteligentní vůle redukující jsoucno na ten či onen </w:t>
      </w:r>
      <w:r w:rsidR="00D95B28">
        <w:t xml:space="preserve">specifický a konkrétní kapitál. Toto moderní </w:t>
      </w:r>
      <w:r w:rsidR="00D95B28" w:rsidRPr="08D41B3C">
        <w:rPr>
          <w:i/>
        </w:rPr>
        <w:t>scibile</w:t>
      </w:r>
      <w:r w:rsidR="00D95B28">
        <w:t xml:space="preserve"> indikuje jistotu spásy</w:t>
      </w:r>
      <w:r w:rsidR="00D95B28" w:rsidRPr="00273106">
        <w:t xml:space="preserve"> a </w:t>
      </w:r>
      <w:r w:rsidR="00D95B28">
        <w:t xml:space="preserve">provádí akt ekonomického vykoupení jednoho procenta korporátních iluminátů za cenu </w:t>
      </w:r>
      <w:r w:rsidR="00D95B28" w:rsidRPr="00273106">
        <w:t>zatracení</w:t>
      </w:r>
      <w:r w:rsidR="00D95B28">
        <w:t xml:space="preserve"> zbytku světa. </w:t>
      </w:r>
      <w:r w:rsidR="00D95B28" w:rsidRPr="00273106">
        <w:t xml:space="preserve">V prvním averroismu </w:t>
      </w:r>
      <w:r w:rsidR="00D95B28">
        <w:t xml:space="preserve">Sigera </w:t>
      </w:r>
      <w:r w:rsidR="00D95B28" w:rsidRPr="00273106">
        <w:t>měla statut ipseity pouze existující osoba</w:t>
      </w:r>
      <w:r w:rsidR="00D95B28" w:rsidRPr="087C7BE3">
        <w:t xml:space="preserve"> </w:t>
      </w:r>
      <w:r w:rsidR="00D95B28">
        <w:t xml:space="preserve">v modu </w:t>
      </w:r>
      <w:r w:rsidR="00D95B28">
        <w:rPr>
          <w:i/>
        </w:rPr>
        <w:t>homo ipse intelligit</w:t>
      </w:r>
      <w:r w:rsidR="00D95B28">
        <w:rPr>
          <w:i/>
        </w:rPr>
        <w:fldChar w:fldCharType="begin"/>
      </w:r>
      <w:r w:rsidR="00D95B28">
        <w:instrText xml:space="preserve"> XE "</w:instrText>
      </w:r>
      <w:r w:rsidR="00D95B28" w:rsidRPr="00B935DC">
        <w:rPr>
          <w:rStyle w:val="Zkladntext350"/>
        </w:rPr>
        <w:instrText>osoba</w:instrText>
      </w:r>
      <w:r w:rsidR="00D95B28" w:rsidRPr="00B935DC">
        <w:rPr>
          <w:rStyle w:val="Zkladntext350"/>
          <w:i/>
        </w:rPr>
        <w:instrText>:</w:instrText>
      </w:r>
      <w:r w:rsidR="00D95B28">
        <w:rPr>
          <w:rStyle w:val="Zkladntext350"/>
          <w:i/>
        </w:rPr>
        <w:instrText>homo ipse intelligit</w:instrText>
      </w:r>
      <w:r w:rsidR="00D95B28">
        <w:instrText xml:space="preserve">" </w:instrText>
      </w:r>
      <w:r w:rsidR="00D95B28">
        <w:rPr>
          <w:i/>
        </w:rPr>
        <w:fldChar w:fldCharType="end"/>
      </w:r>
      <w:r w:rsidR="00D95B28" w:rsidRPr="00273106">
        <w:t>, nikoliv konc</w:t>
      </w:r>
      <w:r w:rsidR="00D95B28">
        <w:t xml:space="preserve">ept autonomní vůle. Iracionální svoboda moderních mystiků a iluminátů napojená na demiurgického boha </w:t>
      </w:r>
      <w:r w:rsidR="00D95B28" w:rsidRPr="08D41B3C">
        <w:rPr>
          <w:i/>
        </w:rPr>
        <w:t>Modernorum</w:t>
      </w:r>
      <w:r w:rsidR="00D95B28">
        <w:t xml:space="preserve"> stála a stojí mimo panství kritického rozumu. Vykupitelská mystika kapitalismu a instrumentální racionality se stala kulturním hegemonem moderny a vyplnila metafyzické vakuum dané zmizením první substance. Nihilistická vůle daná ve stádiu imperialist</w:t>
      </w:r>
      <w:r w:rsidR="00E0691C">
        <w:t xml:space="preserve">ického kapitalismu 20. století </w:t>
      </w:r>
      <w:r w:rsidR="00D95B28">
        <w:t xml:space="preserve">vyplnila prázdnotu smyslu danou jako </w:t>
      </w:r>
      <w:r w:rsidR="00D95B28" w:rsidRPr="08901755">
        <w:rPr>
          <w:i/>
        </w:rPr>
        <w:t xml:space="preserve">horror vacui </w:t>
      </w:r>
      <w:r w:rsidR="00D95B28">
        <w:t xml:space="preserve">skrze smrt moderního boha. Moderní kruciáta vyhlášená františkánskými a dominikánskými ilumináty na Oxfordu a pak i v Paříži v letech 1230‒35 založila </w:t>
      </w:r>
      <w:r w:rsidR="00F31A70">
        <w:t xml:space="preserve">novou </w:t>
      </w:r>
      <w:r w:rsidR="00D95B28">
        <w:t xml:space="preserve">dějinnou dynamiku Západu. Oxfordská </w:t>
      </w:r>
      <w:r w:rsidR="00D95B28" w:rsidRPr="007613BD">
        <w:rPr>
          <w:i/>
        </w:rPr>
        <w:t>intelligentia spiritualis</w:t>
      </w:r>
      <w:r w:rsidR="00D95B28">
        <w:t xml:space="preserve"> dobyla svět pod praporem </w:t>
      </w:r>
      <w:r w:rsidR="00D95B28" w:rsidRPr="007613BD">
        <w:rPr>
          <w:i/>
        </w:rPr>
        <w:t>Oxfordian Fallacy</w:t>
      </w:r>
      <w:r w:rsidR="00D95B28">
        <w:t xml:space="preserve">, a tím dokončila božskou komedii Fúrií a Danteho. Na konci této moderní kruciáty stojí nejprve smrt moderního boha a pak zničení osoby ve vyhlazovacích táborech nacismu a stalinismu. Evropskému gulagu ovšem předcházely anonymní masakry provedené evropskými kolonizátory v Africe a v Asii. V současné epoše zdegenovala moderní vůle na individuální psychologický narcismus manipulovaný ze všech stran, protože postmoderní nositel této nihilistické vůle je determinovaný pouze pudem sebezáchovy. Pudově řízený instrumentálůní rozum pohánějící umělou inteligtenci změnil moderní ideje a ideologie na mediální kabaret provozovaný skrze tzv. „sociální sítě“ řízené jedním promilem korporátních iluminátů. Tato globální paranoia je již daná čistě digitálně ve formě databázového cloudu. Tato poslední forma </w:t>
      </w:r>
      <w:r w:rsidR="00D95B28" w:rsidRPr="08AB4783">
        <w:rPr>
          <w:i/>
        </w:rPr>
        <w:t xml:space="preserve">locus </w:t>
      </w:r>
      <w:r w:rsidR="00D95B28" w:rsidRPr="080C102B">
        <w:rPr>
          <w:i/>
        </w:rPr>
        <w:t>specierum</w:t>
      </w:r>
      <w:r w:rsidR="00D95B28">
        <w:rPr>
          <w:i/>
        </w:rPr>
        <w:fldChar w:fldCharType="begin"/>
      </w:r>
      <w:r w:rsidR="00D95B28">
        <w:instrText xml:space="preserve"> XE "</w:instrText>
      </w:r>
      <w:r w:rsidR="00D95B28" w:rsidRPr="08BA7C3D">
        <w:rPr>
          <w:i/>
        </w:rPr>
        <w:instrText>locus specierum</w:instrText>
      </w:r>
      <w:r w:rsidR="00D95B28">
        <w:instrText xml:space="preserve">" </w:instrText>
      </w:r>
      <w:r w:rsidR="00D95B28">
        <w:rPr>
          <w:i/>
        </w:rPr>
        <w:fldChar w:fldCharType="end"/>
      </w:r>
      <w:r w:rsidR="00D95B28">
        <w:t xml:space="preserve"> a planetární </w:t>
      </w:r>
      <w:r w:rsidR="00D95B28" w:rsidRPr="08AB4783">
        <w:rPr>
          <w:i/>
        </w:rPr>
        <w:t>memoria</w:t>
      </w:r>
      <w:r w:rsidR="00D95B28">
        <w:rPr>
          <w:i/>
        </w:rPr>
        <w:fldChar w:fldCharType="begin"/>
      </w:r>
      <w:r w:rsidR="00D95B28">
        <w:instrText xml:space="preserve"> XE "</w:instrText>
      </w:r>
      <w:r w:rsidR="00D95B28" w:rsidRPr="08D47307">
        <w:rPr>
          <w:i/>
        </w:rPr>
        <w:instrText>memoria</w:instrText>
      </w:r>
      <w:r w:rsidR="00D95B28">
        <w:instrText xml:space="preserve">" </w:instrText>
      </w:r>
      <w:r w:rsidR="00D95B28">
        <w:rPr>
          <w:i/>
        </w:rPr>
        <w:fldChar w:fldCharType="end"/>
      </w:r>
      <w:r w:rsidR="00D95B28">
        <w:t xml:space="preserve"> jednoho promile lidstva obsahuje v nihilistické podobě jedničky a nuly identitu </w:t>
      </w:r>
      <w:r w:rsidR="007A1D20">
        <w:t>všeho</w:t>
      </w:r>
      <w:r w:rsidR="00D95B28">
        <w:t xml:space="preserve">. </w:t>
      </w:r>
      <w:r w:rsidR="007A1D20">
        <w:t xml:space="preserve">Tato </w:t>
      </w:r>
      <w:r w:rsidR="00D95B28">
        <w:t xml:space="preserve">paranoia má opět mystický charakter, protože je zahalena do mytopoetického oblaku digitálního vědění sdíleného globálně a </w:t>
      </w:r>
      <w:r w:rsidR="00D95B28" w:rsidRPr="08387F20">
        <w:rPr>
          <w:i/>
        </w:rPr>
        <w:t>on-line</w:t>
      </w:r>
      <w:r w:rsidR="00D95B28">
        <w:t>.</w:t>
      </w:r>
    </w:p>
    <w:p w:rsidR="08163013" w:rsidRDefault="08163013" w:rsidP="002F2F27">
      <w:pPr>
        <w:ind w:firstLine="397"/>
      </w:pPr>
      <w:r w:rsidRPr="00273106">
        <w:lastRenderedPageBreak/>
        <w:t xml:space="preserve">Moderní vůle hypostázovaná Olivim se stala tělem moderního státu a založila novou politickou realitu. O </w:t>
      </w:r>
      <w:r w:rsidR="00B17672">
        <w:t xml:space="preserve">jednu generaci později </w:t>
      </w:r>
      <w:r w:rsidRPr="00273106">
        <w:t>laik Marsilius z Padovy</w:t>
      </w:r>
      <w:r>
        <w:fldChar w:fldCharType="begin"/>
      </w:r>
      <w:r>
        <w:instrText xml:space="preserve"> XE "</w:instrText>
      </w:r>
      <w:r w:rsidRPr="001B1917">
        <w:instrText>Marsilius z Padovy</w:instrText>
      </w:r>
      <w:r>
        <w:instrText xml:space="preserve">" </w:instrText>
      </w:r>
      <w:r>
        <w:fldChar w:fldCharType="end"/>
      </w:r>
      <w:r>
        <w:t xml:space="preserve"> </w:t>
      </w:r>
      <w:r w:rsidRPr="00273106">
        <w:t>pos</w:t>
      </w:r>
      <w:r w:rsidR="00B17672">
        <w:t>tavil</w:t>
      </w:r>
      <w:r w:rsidRPr="00273106">
        <w:t xml:space="preserve"> suverénní vůli lidu za základ politické moci (</w:t>
      </w:r>
      <w:r w:rsidRPr="00273106">
        <w:rPr>
          <w:i/>
          <w:iCs/>
        </w:rPr>
        <w:t>Defensor pacis</w:t>
      </w:r>
      <w:r w:rsidRPr="00273106">
        <w:rPr>
          <w:iCs/>
        </w:rPr>
        <w:t>, 1324</w:t>
      </w:r>
      <w:r w:rsidRPr="00273106">
        <w:t>). Postmoderní Hobbes</w:t>
      </w:r>
      <w:r>
        <w:fldChar w:fldCharType="begin"/>
      </w:r>
      <w:r>
        <w:instrText xml:space="preserve"> XE "</w:instrText>
      </w:r>
      <w:r w:rsidRPr="00837CF3">
        <w:instrText>Hobbes, T.</w:instrText>
      </w:r>
      <w:r>
        <w:instrText xml:space="preserve">" </w:instrText>
      </w:r>
      <w:r>
        <w:fldChar w:fldCharType="end"/>
      </w:r>
      <w:r w:rsidRPr="00273106">
        <w:t xml:space="preserve"> unifikuje toto </w:t>
      </w:r>
      <w:r>
        <w:t xml:space="preserve">mystické </w:t>
      </w:r>
      <w:r w:rsidRPr="00273106">
        <w:t xml:space="preserve">tělo </w:t>
      </w:r>
      <w:r>
        <w:t xml:space="preserve">státu </w:t>
      </w:r>
      <w:r w:rsidRPr="00273106">
        <w:t>do podoby totalitního Leviathana</w:t>
      </w:r>
      <w:r w:rsidR="08D10245">
        <w:t xml:space="preserve">. Postmoderní stát je založený </w:t>
      </w:r>
      <w:r>
        <w:t xml:space="preserve">voluntaristickou </w:t>
      </w:r>
      <w:r w:rsidRPr="00273106">
        <w:t xml:space="preserve">smlouvou </w:t>
      </w:r>
      <w:r>
        <w:t xml:space="preserve">atomárních </w:t>
      </w:r>
      <w:r w:rsidRPr="00273106">
        <w:t>individuí</w:t>
      </w:r>
      <w:r w:rsidR="08D10245">
        <w:t>, které vedou globální válku</w:t>
      </w:r>
      <w:r>
        <w:t xml:space="preserve"> všech proti všem. Ty dále nedělitelné atomární substance jsou v mechanistickém modelu Hobbese také dále nedělitelnými nositeli </w:t>
      </w:r>
      <w:r w:rsidRPr="00273106">
        <w:t>pud</w:t>
      </w:r>
      <w:r>
        <w:t xml:space="preserve">u </w:t>
      </w:r>
      <w:r w:rsidRPr="00273106">
        <w:t>sebezáchovy</w:t>
      </w:r>
      <w:r>
        <w:t xml:space="preserve"> (</w:t>
      </w:r>
      <w:r w:rsidRPr="0856090A">
        <w:rPr>
          <w:i/>
        </w:rPr>
        <w:t>subiectum</w:t>
      </w:r>
      <w:r>
        <w:t>)</w:t>
      </w:r>
      <w:r w:rsidRPr="00273106">
        <w:t xml:space="preserve">. </w:t>
      </w:r>
      <w:r>
        <w:t xml:space="preserve">Hypostázovaním, konkretizací a individualizací pudu sebezáchovy vznikl moderní politický subjekt, který zakládá nové zdůvodnění státu skrze společenské smlouvy 17. století. </w:t>
      </w:r>
      <w:r w:rsidRPr="00273106">
        <w:t xml:space="preserve">Novým politickým </w:t>
      </w:r>
      <w:r w:rsidRPr="00273106">
        <w:rPr>
          <w:i/>
        </w:rPr>
        <w:t>scibile</w:t>
      </w:r>
      <w:r w:rsidRPr="00273106">
        <w:t xml:space="preserve"> se stalo nezadatelné právo na </w:t>
      </w:r>
      <w:r>
        <w:t>biologické přežití, které zakložilo epochu liberálního humanismu</w:t>
      </w:r>
      <w:r>
        <w:fldChar w:fldCharType="begin"/>
      </w:r>
      <w:r>
        <w:instrText xml:space="preserve"> XE "</w:instrText>
      </w:r>
      <w:r w:rsidRPr="00080A63">
        <w:instrText>humanismus:novověk</w:instrText>
      </w:r>
      <w:r>
        <w:instrText xml:space="preserve">" </w:instrText>
      </w:r>
      <w:r>
        <w:fldChar w:fldCharType="end"/>
      </w:r>
      <w:r>
        <w:t xml:space="preserve">. </w:t>
      </w:r>
      <w:r w:rsidR="009345B0" w:rsidRPr="009345B0">
        <w:t xml:space="preserve">Aristotela jako posledního klasika řecké politické filozofie by </w:t>
      </w:r>
      <w:r w:rsidR="009345B0">
        <w:t xml:space="preserve">šokovalo, </w:t>
      </w:r>
      <w:r w:rsidR="009345B0" w:rsidRPr="009345B0">
        <w:t xml:space="preserve">že základem moderního státu a lidských práv je </w:t>
      </w:r>
      <w:r w:rsidR="00351029">
        <w:t>živočišná touha zůstat na živu</w:t>
      </w:r>
      <w:r w:rsidR="009345B0" w:rsidRPr="009345B0">
        <w:t xml:space="preserve">. </w:t>
      </w:r>
      <w:r w:rsidR="00433D65">
        <w:t xml:space="preserve">Ale moderní pokrok nelze zastavit. </w:t>
      </w:r>
      <w:r>
        <w:t xml:space="preserve">Postmoderna tvořivě navázala na pojetí člověka jako specifické mrtvoly v pojetí </w:t>
      </w:r>
      <w:r w:rsidRPr="005E74BC">
        <w:rPr>
          <w:i/>
        </w:rPr>
        <w:t>Modernorum</w:t>
      </w:r>
      <w:r>
        <w:t>. Cestu liberalismu založeného na individuální svobodě vůle (</w:t>
      </w:r>
      <w:r w:rsidRPr="0077146A">
        <w:rPr>
          <w:i/>
        </w:rPr>
        <w:t>liberum arbitrium</w:t>
      </w:r>
      <w:r>
        <w:rPr>
          <w:i/>
        </w:rPr>
        <w:fldChar w:fldCharType="begin"/>
      </w:r>
      <w:r>
        <w:instrText xml:space="preserve"> XE "</w:instrText>
      </w:r>
      <w:r w:rsidRPr="00CB7353">
        <w:instrText>vůle:</w:instrText>
      </w:r>
      <w:r w:rsidRPr="00F65132">
        <w:rPr>
          <w:i/>
        </w:rPr>
        <w:instrText>liberum arbitrium</w:instrText>
      </w:r>
      <w:r>
        <w:instrText xml:space="preserve">" </w:instrText>
      </w:r>
      <w:r>
        <w:rPr>
          <w:i/>
        </w:rPr>
        <w:fldChar w:fldCharType="end"/>
      </w:r>
      <w:r>
        <w:t xml:space="preserve">) </w:t>
      </w:r>
      <w:r w:rsidRPr="00273106">
        <w:t xml:space="preserve">vyložila </w:t>
      </w:r>
      <w:r>
        <w:t>Hana Arendtová</w:t>
      </w:r>
      <w:r>
        <w:fldChar w:fldCharType="begin"/>
      </w:r>
      <w:r>
        <w:instrText xml:space="preserve"> XE "</w:instrText>
      </w:r>
      <w:r w:rsidRPr="007F1066">
        <w:instrText>Arendt, H.</w:instrText>
      </w:r>
      <w:r>
        <w:instrText xml:space="preserve">" </w:instrText>
      </w:r>
      <w:r>
        <w:fldChar w:fldCharType="end"/>
      </w:r>
      <w:r>
        <w:t xml:space="preserve"> ve známém eseji </w:t>
      </w:r>
      <w:r w:rsidRPr="00273106">
        <w:rPr>
          <w:i/>
        </w:rPr>
        <w:t>What is Freedom</w:t>
      </w:r>
      <w:r>
        <w:t xml:space="preserve"> (Arendt 1961). Tento esej jasně ukázal e</w:t>
      </w:r>
      <w:r w:rsidRPr="00273106">
        <w:t xml:space="preserve">pochální </w:t>
      </w:r>
      <w:r w:rsidRPr="080333FD">
        <w:rPr>
          <w:i/>
        </w:rPr>
        <w:t>Irrtum</w:t>
      </w:r>
      <w:r w:rsidRPr="080333FD">
        <w:rPr>
          <w:i/>
        </w:rPr>
        <w:fldChar w:fldCharType="begin"/>
      </w:r>
      <w:r w:rsidRPr="080333FD">
        <w:rPr>
          <w:i/>
        </w:rPr>
        <w:instrText xml:space="preserve"> XE "Irrtum:moderna" </w:instrText>
      </w:r>
      <w:r w:rsidRPr="080333FD">
        <w:rPr>
          <w:i/>
        </w:rPr>
        <w:fldChar w:fldCharType="end"/>
      </w:r>
      <w:r w:rsidRPr="00273106">
        <w:t xml:space="preserve"> </w:t>
      </w:r>
      <w:r>
        <w:t>pos</w:t>
      </w:r>
      <w:r w:rsidR="002F2F27">
        <w:t xml:space="preserve">tmoderní </w:t>
      </w:r>
      <w:r>
        <w:t xml:space="preserve">politické svobody založené na </w:t>
      </w:r>
      <w:r w:rsidR="00B47024">
        <w:t xml:space="preserve">liberálním </w:t>
      </w:r>
      <w:r>
        <w:t xml:space="preserve">pojetí subjektivně svobodné vůle poprvé dané u stoiků a v listech apoštola Pavla. </w:t>
      </w:r>
      <w:r w:rsidR="00135288">
        <w:t>A navíc r</w:t>
      </w:r>
      <w:r>
        <w:t>ozbor totalitarismu</w:t>
      </w:r>
      <w:r>
        <w:fldChar w:fldCharType="begin"/>
      </w:r>
      <w:r>
        <w:instrText xml:space="preserve"> XE "</w:instrText>
      </w:r>
      <w:r w:rsidRPr="00E4600B">
        <w:instrText>totalitarismus</w:instrText>
      </w:r>
      <w:r>
        <w:instrText xml:space="preserve">" </w:instrText>
      </w:r>
      <w:r>
        <w:fldChar w:fldCharType="end"/>
      </w:r>
      <w:r>
        <w:t xml:space="preserve"> </w:t>
      </w:r>
      <w:r w:rsidR="08456A31">
        <w:t xml:space="preserve">podle Arendtové </w:t>
      </w:r>
      <w:r>
        <w:t xml:space="preserve">ukázal iluzi nihilistického </w:t>
      </w:r>
      <w:r w:rsidRPr="00991272">
        <w:rPr>
          <w:i/>
        </w:rPr>
        <w:t>scibile</w:t>
      </w:r>
      <w:r>
        <w:t xml:space="preserve"> západního liberalismu</w:t>
      </w:r>
      <w:r w:rsidR="08B7611E">
        <w:t xml:space="preserve">. Idea moderní rovnosti politického subjektu stojí na teorii objektivní pravdy podle Rufuse </w:t>
      </w:r>
      <w:r>
        <w:t xml:space="preserve"> (</w:t>
      </w:r>
      <w:r w:rsidRPr="00B54D76">
        <w:rPr>
          <w:i/>
        </w:rPr>
        <w:t>coaequatio</w:t>
      </w:r>
      <w:r w:rsidR="08B7611E">
        <w:rPr>
          <w:i/>
        </w:rPr>
        <w:t xml:space="preserve">; </w:t>
      </w:r>
      <w:r w:rsidR="08B7611E" w:rsidRPr="003F26F8">
        <w:rPr>
          <w:szCs w:val="24"/>
        </w:rPr>
        <w:t>OBJ II, Kap. 3.3.2</w:t>
      </w:r>
      <w:r>
        <w:rPr>
          <w:i/>
        </w:rPr>
        <w:fldChar w:fldCharType="begin"/>
      </w:r>
      <w:r>
        <w:instrText xml:space="preserve"> XE "pravda:</w:instrText>
      </w:r>
      <w:r w:rsidRPr="00E11E1F">
        <w:rPr>
          <w:i/>
        </w:rPr>
        <w:instrText>coaequatio</w:instrText>
      </w:r>
      <w:r>
        <w:instrText xml:space="preserve">" </w:instrText>
      </w:r>
      <w:r>
        <w:rPr>
          <w:i/>
        </w:rPr>
        <w:fldChar w:fldCharType="end"/>
      </w:r>
      <w:r>
        <w:t>). Idea lidských práv</w:t>
      </w:r>
      <w:r>
        <w:fldChar w:fldCharType="begin"/>
      </w:r>
      <w:r>
        <w:instrText xml:space="preserve"> XE "</w:instrText>
      </w:r>
      <w:r w:rsidRPr="006C6842">
        <w:instrText>lidská práva</w:instrText>
      </w:r>
      <w:r>
        <w:instrText xml:space="preserve">" </w:instrText>
      </w:r>
      <w:r>
        <w:fldChar w:fldCharType="end"/>
      </w:r>
      <w:r>
        <w:t xml:space="preserve"> založená daná jako abstraktně pojatá lidská přirozenost vytvořila nové jsoucno třetího druhu. Dějiny tohoto postmoderního liberálního </w:t>
      </w:r>
      <w:r w:rsidRPr="082A3F66">
        <w:rPr>
          <w:i/>
        </w:rPr>
        <w:t>scibile</w:t>
      </w:r>
      <w:r>
        <w:t xml:space="preserve"> postaveného mimo politickou moc státu skončily vyhlazovacími koncentračními tábory vzešlými z trosek světa po První světové válce. Člověk v epoše technického a politického nihilismu byl definovaný jako Pechamovo </w:t>
      </w:r>
      <w:r w:rsidRPr="004B08F2">
        <w:rPr>
          <w:i/>
        </w:rPr>
        <w:t>totum virtuale</w:t>
      </w:r>
      <w:r>
        <w:rPr>
          <w:i/>
        </w:rPr>
        <w:fldChar w:fldCharType="begin"/>
      </w:r>
      <w:r>
        <w:instrText xml:space="preserve"> XE "</w:instrText>
      </w:r>
      <w:r w:rsidRPr="00A10A92">
        <w:rPr>
          <w:i/>
        </w:rPr>
        <w:instrText>osoba:totum virtuale</w:instrText>
      </w:r>
      <w:r>
        <w:instrText xml:space="preserve">" </w:instrText>
      </w:r>
      <w:r>
        <w:rPr>
          <w:i/>
        </w:rPr>
        <w:fldChar w:fldCharType="end"/>
      </w:r>
      <w:r>
        <w:t>. Proto skončil ve vyhlazovacích táborech řízených úředníky s totalitní formou svědomí, kteří plnili technokratické příkazy objektivně platné totalitní ideologie</w:t>
      </w:r>
      <w:r>
        <w:fldChar w:fldCharType="begin"/>
      </w:r>
      <w:r>
        <w:instrText xml:space="preserve"> XE "</w:instrText>
      </w:r>
      <w:r w:rsidRPr="088A1F37">
        <w:instrText>ideologie</w:instrText>
      </w:r>
      <w:r>
        <w:instrText xml:space="preserve">" </w:instrText>
      </w:r>
      <w:r>
        <w:fldChar w:fldCharType="end"/>
      </w:r>
      <w:r w:rsidR="08B7611E">
        <w:t xml:space="preserve">. </w:t>
      </w:r>
      <w:r>
        <w:t>Arendtová přesně popsala totalitní proces</w:t>
      </w:r>
      <w:r w:rsidR="08E61FF1">
        <w:t xml:space="preserve"> po První světové válce. Z metafyzické</w:t>
      </w:r>
      <w:r>
        <w:t xml:space="preserve"> </w:t>
      </w:r>
      <w:r w:rsidR="08E61FF1">
        <w:t>ztráty světa (</w:t>
      </w:r>
      <w:r w:rsidR="08E61FF1" w:rsidRPr="003F26F8">
        <w:rPr>
          <w:i/>
          <w:szCs w:val="24"/>
        </w:rPr>
        <w:t>Weltlosigkeit</w:t>
      </w:r>
      <w:r w:rsidR="08E61FF1">
        <w:rPr>
          <w:i/>
          <w:szCs w:val="24"/>
          <w:lang w:val="de-LU"/>
        </w:rPr>
        <w:fldChar w:fldCharType="begin"/>
      </w:r>
      <w:r w:rsidR="08E61FF1">
        <w:instrText xml:space="preserve"> XE "</w:instrText>
      </w:r>
      <w:r w:rsidR="08E61FF1" w:rsidRPr="003F26F8">
        <w:rPr>
          <w:i/>
          <w:szCs w:val="24"/>
        </w:rPr>
        <w:instrText>Weltlosigkeit</w:instrText>
      </w:r>
      <w:r w:rsidR="08E61FF1">
        <w:instrText xml:space="preserve">" </w:instrText>
      </w:r>
      <w:r w:rsidR="08E61FF1">
        <w:rPr>
          <w:i/>
          <w:szCs w:val="24"/>
          <w:lang w:val="de-LU"/>
        </w:rPr>
        <w:fldChar w:fldCharType="end"/>
      </w:r>
      <w:r w:rsidR="08E61FF1">
        <w:t xml:space="preserve">) moderních lidí nejprve vznikl </w:t>
      </w:r>
      <w:r>
        <w:t xml:space="preserve">občanský bezdomovec bez státu a bez vlasti, který nakonec </w:t>
      </w:r>
      <w:r>
        <w:lastRenderedPageBreak/>
        <w:t>skončil jako anonymní číslo ve vyhlazovacím táboře</w:t>
      </w:r>
      <w:r>
        <w:fldChar w:fldCharType="begin"/>
      </w:r>
      <w:r>
        <w:instrText xml:space="preserve"> XE "</w:instrText>
      </w:r>
      <w:r w:rsidRPr="00C200B5">
        <w:instrText>osoba:bezdomovec</w:instrText>
      </w:r>
      <w:r>
        <w:instrText xml:space="preserve">" </w:instrText>
      </w:r>
      <w:r>
        <w:fldChar w:fldCharType="end"/>
      </w:r>
      <w:r>
        <w:t>.</w:t>
      </w:r>
      <w:r>
        <w:rPr>
          <w:rStyle w:val="Znakapoznpodarou"/>
        </w:rPr>
        <w:footnoteReference w:id="357"/>
      </w:r>
      <w:r>
        <w:t xml:space="preserve"> </w:t>
      </w:r>
      <w:r w:rsidR="00481D4D">
        <w:t xml:space="preserve">Arendtová </w:t>
      </w:r>
      <w:r w:rsidRPr="00273106">
        <w:t>vyšla z aristotelsky pojaté politické svobody</w:t>
      </w:r>
      <w:r w:rsidR="00F67EDD">
        <w:t xml:space="preserve"> a zásadně </w:t>
      </w:r>
      <w:r>
        <w:t xml:space="preserve">odmítla koncept </w:t>
      </w:r>
      <w:r w:rsidRPr="005B4255">
        <w:rPr>
          <w:i/>
        </w:rPr>
        <w:t>liberum arbitrium</w:t>
      </w:r>
      <w:r>
        <w:rPr>
          <w:i/>
        </w:rPr>
        <w:fldChar w:fldCharType="begin"/>
      </w:r>
      <w:r>
        <w:instrText xml:space="preserve"> XE "</w:instrText>
      </w:r>
      <w:r w:rsidRPr="00CB7353">
        <w:instrText>vůle:</w:instrText>
      </w:r>
      <w:r w:rsidRPr="00F24961">
        <w:rPr>
          <w:i/>
        </w:rPr>
        <w:instrText>liberum arbitrium</w:instrText>
      </w:r>
      <w:r>
        <w:instrText xml:space="preserve">" </w:instrText>
      </w:r>
      <w:r>
        <w:rPr>
          <w:i/>
        </w:rPr>
        <w:fldChar w:fldCharType="end"/>
      </w:r>
      <w:r w:rsidRPr="005B4255">
        <w:rPr>
          <w:i/>
        </w:rPr>
        <w:t xml:space="preserve"> </w:t>
      </w:r>
      <w:r>
        <w:t>podle stoického Epikúra a moderních liberálů</w:t>
      </w:r>
      <w:r>
        <w:fldChar w:fldCharType="begin"/>
      </w:r>
      <w:r>
        <w:instrText xml:space="preserve"> XE "</w:instrText>
      </w:r>
      <w:r w:rsidRPr="00137919">
        <w:instrText>liberalismus</w:instrText>
      </w:r>
      <w:r>
        <w:instrText xml:space="preserve">" </w:instrText>
      </w:r>
      <w:r>
        <w:fldChar w:fldCharType="end"/>
      </w:r>
      <w:r>
        <w:t xml:space="preserve">. Jejich pojetí svobody vůle je založené na neexistujícím individuu </w:t>
      </w:r>
      <w:r w:rsidR="082F2A94">
        <w:t xml:space="preserve">neuplatoniků a později </w:t>
      </w:r>
      <w:r>
        <w:t>porretánů</w:t>
      </w:r>
      <w:r w:rsidR="082F2A94">
        <w:t xml:space="preserve">. Tím vznikne </w:t>
      </w:r>
      <w:r>
        <w:t>pouhé simulákrum politické svobody</w:t>
      </w:r>
      <w:r w:rsidR="082F2A94">
        <w:t xml:space="preserve">, která je </w:t>
      </w:r>
      <w:r>
        <w:t xml:space="preserve">podle Aristotela </w:t>
      </w:r>
      <w:r w:rsidR="082F2A94">
        <w:t xml:space="preserve">generována </w:t>
      </w:r>
      <w:r w:rsidR="00650427">
        <w:t>společným veřejným jednáním</w:t>
      </w:r>
      <w:r w:rsidR="007C12E4">
        <w:t xml:space="preserve"> </w:t>
      </w:r>
      <w:r>
        <w:t>svobodných občanů v polis</w:t>
      </w:r>
      <w:r w:rsidRPr="00273106">
        <w:t>.</w:t>
      </w:r>
      <w:r>
        <w:t xml:space="preserve"> </w:t>
      </w:r>
      <w:r w:rsidR="082F2A94">
        <w:t xml:space="preserve">Moderní </w:t>
      </w:r>
      <w:r>
        <w:t xml:space="preserve">metafyzika vytvořila specifického nositele vlastních </w:t>
      </w:r>
      <w:r w:rsidR="0054103E">
        <w:t xml:space="preserve">idejí a tento politický </w:t>
      </w:r>
      <w:proofErr w:type="gramStart"/>
      <w:r w:rsidR="0054103E">
        <w:t>subjekt</w:t>
      </w:r>
      <w:proofErr w:type="gramEnd"/>
      <w:r w:rsidR="0054103E">
        <w:t>–</w:t>
      </w:r>
      <w:proofErr w:type="gramStart"/>
      <w:r>
        <w:t>mrtvola</w:t>
      </w:r>
      <w:proofErr w:type="gramEnd"/>
      <w:r>
        <w:t xml:space="preserve"> objektivně produkoval válečný a totalitní svět 20. století. </w:t>
      </w:r>
      <w:r w:rsidR="00AC1895" w:rsidRPr="00AC1895">
        <w:t xml:space="preserve">Dnes máme jiné formy této ideologie, ale </w:t>
      </w:r>
      <w:r w:rsidR="00AC1895">
        <w:t xml:space="preserve">stejný </w:t>
      </w:r>
      <w:r w:rsidR="00AC1895" w:rsidRPr="00AC1895">
        <w:t xml:space="preserve">šílený nihilistický subjekt, který je uskutečňuje. </w:t>
      </w:r>
      <w:r w:rsidRPr="00273106">
        <w:t xml:space="preserve">Druhý averroismus založený na pluralitě substancí v člověku </w:t>
      </w:r>
      <w:r w:rsidRPr="00273106">
        <w:rPr>
          <w:szCs w:val="15"/>
        </w:rPr>
        <w:t xml:space="preserve">udělal z původního </w:t>
      </w:r>
      <w:r w:rsidRPr="00273106">
        <w:rPr>
          <w:i/>
          <w:szCs w:val="15"/>
        </w:rPr>
        <w:t>homo sapiens</w:t>
      </w:r>
      <w:r w:rsidRPr="00273106">
        <w:rPr>
          <w:szCs w:val="15"/>
        </w:rPr>
        <w:t xml:space="preserve"> moderního schizofrenika</w:t>
      </w:r>
      <w:r>
        <w:rPr>
          <w:szCs w:val="15"/>
        </w:rPr>
        <w:t xml:space="preserve"> po všech stránkách</w:t>
      </w:r>
      <w:r w:rsidRPr="00273106">
        <w:rPr>
          <w:szCs w:val="15"/>
        </w:rPr>
        <w:t>.</w:t>
      </w:r>
      <w:r>
        <w:rPr>
          <w:szCs w:val="15"/>
        </w:rPr>
        <w:t xml:space="preserve"> </w:t>
      </w:r>
      <w:r>
        <w:t>Poslední formu této schizofrenie ukazují současné mediální manipulace</w:t>
      </w:r>
      <w:r w:rsidR="08715A35">
        <w:t xml:space="preserve">. Stínový svět </w:t>
      </w:r>
      <w:r>
        <w:t>globálně daných simuláker</w:t>
      </w:r>
      <w:r>
        <w:fldChar w:fldCharType="begin"/>
      </w:r>
      <w:r>
        <w:instrText xml:space="preserve"> XE "simulákrum" </w:instrText>
      </w:r>
      <w:r>
        <w:fldChar w:fldCharType="end"/>
      </w:r>
      <w:r w:rsidR="08715A35">
        <w:t xml:space="preserve"> úspěšně přikrývá </w:t>
      </w:r>
      <w:r>
        <w:t>nahotu iracionáln</w:t>
      </w:r>
      <w:r w:rsidR="00BD176D">
        <w:t xml:space="preserve">ího ekomického neoliberalismu, </w:t>
      </w:r>
      <w:r w:rsidR="00BD176D" w:rsidRPr="00BD176D">
        <w:t>ničení lidské osobnosti</w:t>
      </w:r>
      <w:r w:rsidR="00BD176D">
        <w:t xml:space="preserve"> a </w:t>
      </w:r>
      <w:r w:rsidR="08715A35">
        <w:t>globální</w:t>
      </w:r>
      <w:r>
        <w:t xml:space="preserve"> oteplování</w:t>
      </w:r>
      <w:r>
        <w:fldChar w:fldCharType="begin"/>
      </w:r>
      <w:r>
        <w:instrText xml:space="preserve"> XE "</w:instrText>
      </w:r>
      <w:r w:rsidRPr="00AE5927">
        <w:instrText>globální oteplování</w:instrText>
      </w:r>
      <w:r>
        <w:instrText xml:space="preserve">" </w:instrText>
      </w:r>
      <w:r>
        <w:fldChar w:fldCharType="end"/>
      </w:r>
      <w:r>
        <w:t xml:space="preserve"> s</w:t>
      </w:r>
      <w:r w:rsidR="08715A35">
        <w:t>pojené</w:t>
      </w:r>
      <w:r>
        <w:t xml:space="preserve"> s masovým vymíráním biologických druhů.</w:t>
      </w:r>
    </w:p>
    <w:p w:rsidR="001A6993" w:rsidRDefault="00D95B28" w:rsidP="001A6993">
      <w:bookmarkStart w:id="68" w:name="_Toc36144155"/>
      <w:r>
        <w:tab/>
      </w:r>
    </w:p>
    <w:p w:rsidR="00EA55B7" w:rsidRDefault="00EA55B7" w:rsidP="00EA55B7">
      <w:pPr>
        <w:ind w:firstLine="397"/>
      </w:pPr>
    </w:p>
    <w:p w:rsidR="08163013" w:rsidRPr="00273106" w:rsidRDefault="0830339D" w:rsidP="00EA55B7">
      <w:pPr>
        <w:pStyle w:val="Nadpis2"/>
      </w:pPr>
      <w:r>
        <w:rPr>
          <w:lang w:val="cs-CZ"/>
        </w:rPr>
        <w:br w:type="page"/>
      </w:r>
      <w:bookmarkStart w:id="69" w:name="_Toc180231667"/>
      <w:r w:rsidR="08163013">
        <w:rPr>
          <w:lang w:val="cs-CZ"/>
        </w:rPr>
        <w:lastRenderedPageBreak/>
        <w:t>5</w:t>
      </w:r>
      <w:r w:rsidR="08163013" w:rsidRPr="00273106">
        <w:t xml:space="preserve">.1 </w:t>
      </w:r>
      <w:r w:rsidR="00DE473D">
        <w:rPr>
          <w:lang w:val="cs-CZ"/>
        </w:rPr>
        <w:t>V</w:t>
      </w:r>
      <w:r w:rsidR="08163013" w:rsidRPr="00273106">
        <w:t xml:space="preserve">znik </w:t>
      </w:r>
      <w:r w:rsidR="00DE473D">
        <w:rPr>
          <w:lang w:val="cs-CZ"/>
        </w:rPr>
        <w:t xml:space="preserve">kapitalistického </w:t>
      </w:r>
      <w:r w:rsidR="08163013" w:rsidRPr="00273106">
        <w:t>subjektu (Petrus Olivi)</w:t>
      </w:r>
      <w:bookmarkEnd w:id="68"/>
      <w:bookmarkEnd w:id="69"/>
    </w:p>
    <w:p w:rsidR="005D017C" w:rsidRDefault="00AA7EFB" w:rsidP="005D017C">
      <w:r>
        <w:t xml:space="preserve">Hermeneutika musí najít důvody, proč moderna musela kolonizovat celý svět skrze zbraně a kapitál, aby se stal novým </w:t>
      </w:r>
      <w:r w:rsidRPr="008949DD">
        <w:rPr>
          <w:i/>
        </w:rPr>
        <w:t>totum virtuale</w:t>
      </w:r>
      <w:r>
        <w:rPr>
          <w:i/>
        </w:rPr>
        <w:fldChar w:fldCharType="begin"/>
      </w:r>
      <w:r>
        <w:instrText xml:space="preserve"> XE "</w:instrText>
      </w:r>
      <w:r w:rsidRPr="00AD6B96">
        <w:instrText>osoba</w:instrText>
      </w:r>
      <w:r w:rsidRPr="00A10A92">
        <w:rPr>
          <w:i/>
        </w:rPr>
        <w:instrText>:totum virtuale</w:instrText>
      </w:r>
      <w:r>
        <w:instrText xml:space="preserve">" </w:instrText>
      </w:r>
      <w:r>
        <w:rPr>
          <w:i/>
        </w:rPr>
        <w:fldChar w:fldCharType="end"/>
      </w:r>
      <w:r>
        <w:t xml:space="preserve"> pro </w:t>
      </w:r>
      <w:r w:rsidR="00276270">
        <w:t>demiurgické aktivity</w:t>
      </w:r>
      <w:r>
        <w:t xml:space="preserve"> postmoderních iluminátů. První vlna dobývání světa proběhla ve Španělsku, kde </w:t>
      </w:r>
      <w:r w:rsidR="00FD6FD4">
        <w:t>Suáreze</w:t>
      </w:r>
      <w:r w:rsidR="00FD6FD4">
        <w:fldChar w:fldCharType="begin"/>
      </w:r>
      <w:r w:rsidR="00FD6FD4">
        <w:instrText xml:space="preserve"> XE "Suárez</w:instrText>
      </w:r>
      <w:r w:rsidR="00FD6FD4" w:rsidRPr="00FB6AC8">
        <w:instrText>, F.</w:instrText>
      </w:r>
      <w:r w:rsidR="00FD6FD4">
        <w:instrText xml:space="preserve">" </w:instrText>
      </w:r>
      <w:r w:rsidR="00FD6FD4">
        <w:fldChar w:fldCharType="end"/>
      </w:r>
      <w:r w:rsidR="00FD6FD4">
        <w:t xml:space="preserve"> převedl </w:t>
      </w:r>
      <w:r>
        <w:t>moderní metafyzik</w:t>
      </w:r>
      <w:r w:rsidR="00FD6FD4">
        <w:t xml:space="preserve">u </w:t>
      </w:r>
      <w:r>
        <w:t>na první ontologii (</w:t>
      </w:r>
      <w:r w:rsidRPr="002E69EA">
        <w:rPr>
          <w:i/>
        </w:rPr>
        <w:t>Disputatione</w:t>
      </w:r>
      <w:r>
        <w:rPr>
          <w:i/>
        </w:rPr>
        <w:t>s</w:t>
      </w:r>
      <w:r w:rsidRPr="002E69EA">
        <w:rPr>
          <w:i/>
        </w:rPr>
        <w:t xml:space="preserve"> metaphysicae</w:t>
      </w:r>
      <w:r>
        <w:t xml:space="preserve">, 1597). Zdejší scholastika vytvořila první racionální teologii moderny </w:t>
      </w:r>
      <w:r w:rsidR="00E156F7">
        <w:t xml:space="preserve">jako </w:t>
      </w:r>
      <w:r w:rsidRPr="00FC253D">
        <w:rPr>
          <w:i/>
        </w:rPr>
        <w:t>metafysica specialis</w:t>
      </w:r>
      <w:r>
        <w:t xml:space="preserve"> podřazenou univoční </w:t>
      </w:r>
      <w:r w:rsidRPr="00A522B9">
        <w:rPr>
          <w:i/>
        </w:rPr>
        <w:t>metaphysica generalis</w:t>
      </w:r>
      <w:r>
        <w:rPr>
          <w:i/>
        </w:rPr>
        <w:fldChar w:fldCharType="begin"/>
      </w:r>
      <w:r>
        <w:instrText xml:space="preserve"> XE "</w:instrText>
      </w:r>
      <w:r w:rsidRPr="007E3962">
        <w:rPr>
          <w:i/>
        </w:rPr>
        <w:instrText>metaphysica generalis</w:instrText>
      </w:r>
      <w:r>
        <w:instrText xml:space="preserve">" </w:instrText>
      </w:r>
      <w:r>
        <w:rPr>
          <w:i/>
        </w:rPr>
        <w:fldChar w:fldCharType="end"/>
      </w:r>
      <w:r>
        <w:t xml:space="preserve">. </w:t>
      </w:r>
      <w:r w:rsidRPr="00273106">
        <w:t xml:space="preserve">Reálná věc </w:t>
      </w:r>
      <w:r>
        <w:t xml:space="preserve">se přeměnila na objektivní </w:t>
      </w:r>
      <w:r w:rsidRPr="00273106">
        <w:rPr>
          <w:i/>
        </w:rPr>
        <w:t>res</w:t>
      </w:r>
      <w:r w:rsidRPr="00273106">
        <w:t xml:space="preserve"> </w:t>
      </w:r>
      <w:r>
        <w:t xml:space="preserve">a </w:t>
      </w:r>
      <w:r w:rsidRPr="00273106">
        <w:t xml:space="preserve">dostala </w:t>
      </w:r>
      <w:r w:rsidR="00B805A7">
        <w:t xml:space="preserve">subjektivní </w:t>
      </w:r>
      <w:r w:rsidRPr="00273106">
        <w:t>určení vzhledem ke dvojí reguli</w:t>
      </w:r>
      <w:r>
        <w:t xml:space="preserve"> lidského a božského demiurga</w:t>
      </w:r>
      <w:r>
        <w:fldChar w:fldCharType="begin"/>
      </w:r>
      <w:r>
        <w:instrText xml:space="preserve"> XE "</w:instrText>
      </w:r>
      <w:r w:rsidRPr="005C2F4A">
        <w:rPr>
          <w:rStyle w:val="addmd"/>
        </w:rPr>
        <w:instrText>demiurg</w:instrText>
      </w:r>
      <w:r>
        <w:instrText xml:space="preserve">" </w:instrText>
      </w:r>
      <w:r>
        <w:fldChar w:fldCharType="end"/>
      </w:r>
      <w:r>
        <w:t xml:space="preserve">. </w:t>
      </w:r>
      <w:r w:rsidRPr="00273106">
        <w:t xml:space="preserve">Moderna dostala první formu pragmatismu tím, že </w:t>
      </w:r>
      <w:r>
        <w:t xml:space="preserve">moderní </w:t>
      </w:r>
      <w:r w:rsidRPr="00273106">
        <w:t xml:space="preserve">bůh jako ontoteologický </w:t>
      </w:r>
      <w:r>
        <w:t xml:space="preserve">producent objektivní </w:t>
      </w:r>
      <w:r w:rsidRPr="00273106">
        <w:t>reality nahradil neposlušnou a kontingentní realitu první</w:t>
      </w:r>
      <w:r w:rsidR="003439F2">
        <w:t>ch substancí</w:t>
      </w:r>
      <w:r w:rsidRPr="00273106">
        <w:t xml:space="preserve">. </w:t>
      </w:r>
      <w:r>
        <w:t>Bonaventura vytvořil m</w:t>
      </w:r>
      <w:r w:rsidRPr="00273106">
        <w:t xml:space="preserve">oderní </w:t>
      </w:r>
      <w:r w:rsidR="008219A9">
        <w:t xml:space="preserve">západní narrativ </w:t>
      </w:r>
      <w:r>
        <w:t xml:space="preserve">objektivního smyslu jsoucna, </w:t>
      </w:r>
      <w:r w:rsidR="008219A9">
        <w:t>který se stal základem budoucího kapitalismu. A</w:t>
      </w:r>
      <w:r>
        <w:t xml:space="preserve">petit primární </w:t>
      </w:r>
      <w:r w:rsidR="008219A9">
        <w:t xml:space="preserve">mytologické </w:t>
      </w:r>
      <w:r>
        <w:t xml:space="preserve">materie </w:t>
      </w:r>
      <w:r w:rsidR="008219A9">
        <w:t xml:space="preserve">potřebuje stejně danou mytologickou formu, aby svět našel </w:t>
      </w:r>
      <w:r w:rsidR="00D82303">
        <w:t>svou původní povahu</w:t>
      </w:r>
      <w:r w:rsidR="008219A9">
        <w:t>. Lidský demiurg dělá stejný civ</w:t>
      </w:r>
      <w:r w:rsidR="00400C29">
        <w:t>i</w:t>
      </w:r>
      <w:r w:rsidR="008219A9">
        <w:t xml:space="preserve">lizační úkol s tím, že jeho </w:t>
      </w:r>
      <w:r>
        <w:t xml:space="preserve">kapitalistický apetit </w:t>
      </w:r>
      <w:r w:rsidR="008219A9">
        <w:t xml:space="preserve">jako </w:t>
      </w:r>
      <w:r>
        <w:t>demiurgického formátora a reformátora</w:t>
      </w:r>
      <w:r w:rsidR="008219A9">
        <w:t xml:space="preserve"> dostal </w:t>
      </w:r>
      <w:r w:rsidR="00400C29">
        <w:t>jako objekt celý o</w:t>
      </w:r>
      <w:r w:rsidR="008219A9">
        <w:t>bje</w:t>
      </w:r>
      <w:r w:rsidR="00400C29">
        <w:t>k</w:t>
      </w:r>
      <w:r w:rsidR="008219A9">
        <w:t>tivně určený svět</w:t>
      </w:r>
      <w:r w:rsidR="00400C29">
        <w:t>, aby je mohl moderně manipulovat</w:t>
      </w:r>
      <w:r w:rsidR="00AB7CEB">
        <w:t xml:space="preserve">. </w:t>
      </w:r>
      <w:r w:rsidR="006E042D">
        <w:t>B</w:t>
      </w:r>
      <w:r w:rsidR="006E042D" w:rsidRPr="006E042D">
        <w:t xml:space="preserve">onaventura a jeho škola </w:t>
      </w:r>
      <w:r w:rsidR="006E042D">
        <w:t xml:space="preserve">dali </w:t>
      </w:r>
      <w:r w:rsidR="006E042D" w:rsidRPr="006E042D">
        <w:t xml:space="preserve">teologii jako </w:t>
      </w:r>
      <w:r w:rsidR="006E042D">
        <w:t>kauzální nexus vědy</w:t>
      </w:r>
      <w:r w:rsidR="006E042D" w:rsidRPr="006E042D">
        <w:t>, která byla vytvořena</w:t>
      </w:r>
      <w:r w:rsidR="006E042D">
        <w:t xml:space="preserve"> v rámci nového středního členu </w:t>
      </w:r>
      <w:r w:rsidR="006E042D" w:rsidRPr="006E042D">
        <w:t>deduktivního sylogismu (</w:t>
      </w:r>
      <w:r w:rsidR="006E042D" w:rsidRPr="006E042D">
        <w:rPr>
          <w:i/>
        </w:rPr>
        <w:t>hoc est medium metaphysicum reducens, et haec est tota nostra metaphysica</w:t>
      </w:r>
      <w:r w:rsidR="006E042D" w:rsidRPr="006E042D">
        <w:t xml:space="preserve">; kap. 4.1.2). </w:t>
      </w:r>
      <w:r w:rsidR="009C1E20">
        <w:t>Vědecký důkaz se stal</w:t>
      </w:r>
      <w:r w:rsidR="006E042D" w:rsidRPr="006E042D">
        <w:t xml:space="preserve"> první moderní scientologií Západu</w:t>
      </w:r>
      <w:r w:rsidR="009C1E20">
        <w:t>. O</w:t>
      </w:r>
      <w:r w:rsidR="006E042D" w:rsidRPr="006E042D">
        <w:t xml:space="preserve">ntoteologické spekulace se staly prvním ideologickým základem </w:t>
      </w:r>
      <w:r w:rsidR="009C1E20">
        <w:t xml:space="preserve">moderní </w:t>
      </w:r>
      <w:r w:rsidR="006E042D" w:rsidRPr="006E042D">
        <w:t xml:space="preserve">západní vědy. </w:t>
      </w:r>
      <w:r>
        <w:t>P</w:t>
      </w:r>
      <w:r w:rsidRPr="00273106">
        <w:t xml:space="preserve">rvní substance </w:t>
      </w:r>
      <w:r>
        <w:t xml:space="preserve">se </w:t>
      </w:r>
      <w:r w:rsidRPr="00273106">
        <w:t xml:space="preserve">stala objektivní </w:t>
      </w:r>
      <w:r>
        <w:t>nepravdou</w:t>
      </w:r>
      <w:r w:rsidRPr="00273106">
        <w:t>, kterou musí rozum přemoci pomocí vhodné regule</w:t>
      </w:r>
      <w:r>
        <w:fldChar w:fldCharType="begin"/>
      </w:r>
      <w:r>
        <w:instrText xml:space="preserve"> XE "</w:instrText>
      </w:r>
      <w:r w:rsidRPr="00FC705C">
        <w:instrText>regule:Bonaventura</w:instrText>
      </w:r>
      <w:r>
        <w:instrText xml:space="preserve">" </w:instrText>
      </w:r>
      <w:r>
        <w:fldChar w:fldCharType="end"/>
      </w:r>
      <w:r w:rsidRPr="00273106">
        <w:t xml:space="preserve"> a nasazení</w:t>
      </w:r>
      <w:r>
        <w:t>m</w:t>
      </w:r>
      <w:r w:rsidRPr="00273106">
        <w:t xml:space="preserve"> </w:t>
      </w:r>
      <w:r>
        <w:t xml:space="preserve">demiurgické </w:t>
      </w:r>
      <w:r w:rsidRPr="00273106">
        <w:t xml:space="preserve">vůle. </w:t>
      </w:r>
      <w:r w:rsidR="00FE3943" w:rsidRPr="00FE3943">
        <w:t xml:space="preserve">Díky této asimilaci světa vytvořeného v objektivním modu </w:t>
      </w:r>
      <w:r w:rsidR="00FE3943" w:rsidRPr="00FE3943">
        <w:rPr>
          <w:i/>
        </w:rPr>
        <w:t>dativus possessivus</w:t>
      </w:r>
      <w:r w:rsidR="00FE3943">
        <w:rPr>
          <w:i/>
        </w:rPr>
        <w:fldChar w:fldCharType="begin"/>
      </w:r>
      <w:r w:rsidR="00FE3943">
        <w:instrText xml:space="preserve"> XE "</w:instrText>
      </w:r>
      <w:r w:rsidR="00FE3943" w:rsidRPr="003C264B">
        <w:rPr>
          <w:i/>
        </w:rPr>
        <w:instrText>dativus possessivus</w:instrText>
      </w:r>
      <w:r w:rsidR="00FE3943">
        <w:instrText xml:space="preserve">" </w:instrText>
      </w:r>
      <w:r w:rsidR="00FE3943">
        <w:rPr>
          <w:i/>
        </w:rPr>
        <w:fldChar w:fldCharType="end"/>
      </w:r>
      <w:r w:rsidR="00FE3943" w:rsidRPr="00FE3943">
        <w:t xml:space="preserve"> se ovládnutí říše vytvořené z </w:t>
      </w:r>
      <w:r w:rsidR="00FE3943" w:rsidRPr="00FE3943">
        <w:rPr>
          <w:i/>
        </w:rPr>
        <w:t xml:space="preserve">tertium ens </w:t>
      </w:r>
      <w:r w:rsidR="00FE3943" w:rsidRPr="00FE3943">
        <w:t xml:space="preserve">stalo </w:t>
      </w:r>
      <w:r w:rsidR="00FE3943">
        <w:t xml:space="preserve">hlavním </w:t>
      </w:r>
      <w:r w:rsidR="00FE3943" w:rsidRPr="00FE3943">
        <w:t>úkolem (πρᾶγμα) božského či lidského subjektu. Před objevením geografické Ameriky musela moderna objevit myt</w:t>
      </w:r>
      <w:r w:rsidR="00FE3943">
        <w:t xml:space="preserve">ologický svět moderního ducha. </w:t>
      </w:r>
      <w:r w:rsidRPr="00273106">
        <w:t xml:space="preserve">Nejde o gnózi manichejců, protože nově vzniklá objektivita </w:t>
      </w:r>
      <w:r>
        <w:t>křesťanských iluminátů</w:t>
      </w:r>
      <w:r>
        <w:fldChar w:fldCharType="begin"/>
      </w:r>
      <w:r>
        <w:instrText xml:space="preserve"> XE "</w:instrText>
      </w:r>
      <w:r w:rsidRPr="00BD65D1">
        <w:instrText>ilumináti</w:instrText>
      </w:r>
      <w:r>
        <w:instrText xml:space="preserve">" </w:instrText>
      </w:r>
      <w:r>
        <w:fldChar w:fldCharType="end"/>
      </w:r>
      <w:r>
        <w:t xml:space="preserve"> </w:t>
      </w:r>
      <w:r w:rsidRPr="00273106">
        <w:t xml:space="preserve">chápe hmotu pozitivně, v rámci Augustinem obhájené hodnoty stvoření. </w:t>
      </w:r>
      <w:r>
        <w:t xml:space="preserve">Bonaventura </w:t>
      </w:r>
      <w:r w:rsidRPr="00273106">
        <w:t>v návaznosti na Anselma a na porretány vytvořil ontoteologický</w:t>
      </w:r>
      <w:r>
        <w:fldChar w:fldCharType="begin"/>
      </w:r>
      <w:r>
        <w:instrText xml:space="preserve"> XE "</w:instrText>
      </w:r>
      <w:r w:rsidRPr="00E631D7">
        <w:instrText>ontoteologie:Bonaventura</w:instrText>
      </w:r>
      <w:r>
        <w:instrText xml:space="preserve">" </w:instrText>
      </w:r>
      <w:r>
        <w:fldChar w:fldCharType="end"/>
      </w:r>
      <w:r w:rsidRPr="00273106">
        <w:t xml:space="preserve"> koncept jsoucna, který získá epochální působnost v další generaci. </w:t>
      </w:r>
      <w:r>
        <w:t xml:space="preserve">Rufusův termín </w:t>
      </w:r>
      <w:r w:rsidR="00E31BE3">
        <w:t>„</w:t>
      </w:r>
      <w:r w:rsidRPr="00273106">
        <w:rPr>
          <w:i/>
        </w:rPr>
        <w:t>inoboedientia materiae</w:t>
      </w:r>
      <w:r w:rsidR="00E31BE3">
        <w:t>“</w:t>
      </w:r>
      <w:r>
        <w:fldChar w:fldCharType="begin"/>
      </w:r>
      <w:r>
        <w:instrText xml:space="preserve"> XE "</w:instrText>
      </w:r>
      <w:r w:rsidRPr="00810CFC">
        <w:instrText>materie:neposlušnost</w:instrText>
      </w:r>
      <w:r>
        <w:instrText xml:space="preserve">" </w:instrText>
      </w:r>
      <w:r>
        <w:fldChar w:fldCharType="end"/>
      </w:r>
      <w:r w:rsidR="0057130F" w:rsidRPr="00273106">
        <w:t>(</w:t>
      </w:r>
      <w:r w:rsidR="0057130F">
        <w:t>OBJ II, kap. 3</w:t>
      </w:r>
      <w:r w:rsidR="0057130F" w:rsidRPr="00273106">
        <w:t>.3.2)</w:t>
      </w:r>
      <w:r w:rsidR="00E31BE3">
        <w:t xml:space="preserve"> otevřel</w:t>
      </w:r>
      <w:r w:rsidRPr="00273106">
        <w:t xml:space="preserve"> cestu vedoucí k Bonaventurovi </w:t>
      </w:r>
      <w:r w:rsidR="0057130F">
        <w:t>a k současnému kapitalismu</w:t>
      </w:r>
      <w:r w:rsidRPr="00273106">
        <w:t>.</w:t>
      </w:r>
      <w:r>
        <w:t xml:space="preserve"> </w:t>
      </w:r>
      <w:r w:rsidR="006F07BE">
        <w:t>Moderna</w:t>
      </w:r>
      <w:r>
        <w:rPr>
          <w:i/>
          <w:szCs w:val="15"/>
        </w:rPr>
        <w:fldChar w:fldCharType="begin"/>
      </w:r>
      <w:r>
        <w:instrText xml:space="preserve"> XE "</w:instrText>
      </w:r>
      <w:r w:rsidRPr="00B46F32">
        <w:instrText>averroismus:</w:instrText>
      </w:r>
      <w:r w:rsidRPr="00006643">
        <w:rPr>
          <w:i/>
        </w:rPr>
        <w:instrText>Moderni</w:instrText>
      </w:r>
      <w:r>
        <w:instrText xml:space="preserve">" </w:instrText>
      </w:r>
      <w:r>
        <w:rPr>
          <w:i/>
          <w:szCs w:val="15"/>
        </w:rPr>
        <w:fldChar w:fldCharType="end"/>
      </w:r>
      <w:r w:rsidRPr="00273106">
        <w:rPr>
          <w:szCs w:val="15"/>
        </w:rPr>
        <w:t xml:space="preserve"> </w:t>
      </w:r>
      <w:r w:rsidR="006F07BE">
        <w:rPr>
          <w:szCs w:val="15"/>
        </w:rPr>
        <w:lastRenderedPageBreak/>
        <w:t>založila objektivní ontoteologii</w:t>
      </w:r>
      <w:r w:rsidRPr="00273106">
        <w:rPr>
          <w:szCs w:val="15"/>
        </w:rPr>
        <w:t xml:space="preserve"> </w:t>
      </w:r>
      <w:r w:rsidR="006F07BE">
        <w:rPr>
          <w:szCs w:val="15"/>
        </w:rPr>
        <w:t>jako Jakubův</w:t>
      </w:r>
      <w:r w:rsidR="006F07BE" w:rsidRPr="00273106">
        <w:rPr>
          <w:szCs w:val="15"/>
        </w:rPr>
        <w:t xml:space="preserve"> žebřík moderního ducha</w:t>
      </w:r>
      <w:r w:rsidR="006F07BE">
        <w:rPr>
          <w:szCs w:val="15"/>
        </w:rPr>
        <w:t>, po němž lze sestupovat a vystupovat</w:t>
      </w:r>
      <w:r w:rsidR="00F3552E">
        <w:rPr>
          <w:szCs w:val="15"/>
        </w:rPr>
        <w:t xml:space="preserve"> od </w:t>
      </w:r>
      <w:r w:rsidR="00B07739">
        <w:rPr>
          <w:szCs w:val="15"/>
        </w:rPr>
        <w:t>moderního boha až k objektivnímu</w:t>
      </w:r>
      <w:r w:rsidR="00F3552E">
        <w:rPr>
          <w:szCs w:val="15"/>
        </w:rPr>
        <w:t xml:space="preserve"> světu</w:t>
      </w:r>
      <w:r w:rsidRPr="00273106">
        <w:rPr>
          <w:szCs w:val="15"/>
        </w:rPr>
        <w:t>.</w:t>
      </w:r>
      <w:r>
        <w:rPr>
          <w:szCs w:val="15"/>
        </w:rPr>
        <w:t xml:space="preserve"> </w:t>
      </w:r>
      <w:r>
        <w:t xml:space="preserve">Bonaventurova ontoteologie </w:t>
      </w:r>
      <w:r w:rsidRPr="00FF2AE6">
        <w:t xml:space="preserve">předznamenává </w:t>
      </w:r>
      <w:r>
        <w:t>následnou epochu baroka</w:t>
      </w:r>
      <w:r>
        <w:fldChar w:fldCharType="begin"/>
      </w:r>
      <w:r>
        <w:instrText xml:space="preserve"> XE "</w:instrText>
      </w:r>
      <w:r w:rsidRPr="00185C3E">
        <w:instrText>baroko</w:instrText>
      </w:r>
      <w:r>
        <w:instrText xml:space="preserve">" </w:instrText>
      </w:r>
      <w:r>
        <w:fldChar w:fldCharType="end"/>
      </w:r>
      <w:r>
        <w:t xml:space="preserve"> s jeho charakterickými protikladnými rysy (</w:t>
      </w:r>
      <w:r w:rsidRPr="00FF2AE6">
        <w:t>Kalista 1982)</w:t>
      </w:r>
      <w:r w:rsidR="007C0D6A">
        <w:t>. M</w:t>
      </w:r>
      <w:r>
        <w:t xml:space="preserve">ystika </w:t>
      </w:r>
      <w:r w:rsidR="00DE54C9">
        <w:t xml:space="preserve">ducha </w:t>
      </w:r>
      <w:r w:rsidR="001033CD">
        <w:t>stála proti fanatickému</w:t>
      </w:r>
      <w:r>
        <w:t xml:space="preserve"> hlad</w:t>
      </w:r>
      <w:r w:rsidR="001033CD">
        <w:t>u</w:t>
      </w:r>
      <w:r>
        <w:t xml:space="preserve"> španělských kolonizátorů po zlatě</w:t>
      </w:r>
      <w:r w:rsidR="007C0D6A">
        <w:t>. M</w:t>
      </w:r>
      <w:r w:rsidR="00262C9C">
        <w:t xml:space="preserve">ystická </w:t>
      </w:r>
      <w:r>
        <w:t>tělesnost daná</w:t>
      </w:r>
      <w:r w:rsidRPr="00FF2AE6">
        <w:t xml:space="preserve"> jako </w:t>
      </w:r>
      <w:r>
        <w:rPr>
          <w:i/>
        </w:rPr>
        <w:t xml:space="preserve">materia </w:t>
      </w:r>
      <w:r w:rsidR="005172C1">
        <w:rPr>
          <w:i/>
        </w:rPr>
        <w:t xml:space="preserve">prima </w:t>
      </w:r>
      <w:r>
        <w:rPr>
          <w:i/>
        </w:rPr>
        <w:fldChar w:fldCharType="begin"/>
      </w:r>
      <w:r>
        <w:instrText xml:space="preserve"> XE "</w:instrText>
      </w:r>
      <w:r w:rsidRPr="08A516BF">
        <w:instrText>materie</w:instrText>
      </w:r>
      <w:r>
        <w:rPr>
          <w:i/>
        </w:rPr>
        <w:instrText xml:space="preserve">:materia </w:instrText>
      </w:r>
      <w:r w:rsidR="005172C1">
        <w:rPr>
          <w:i/>
        </w:rPr>
        <w:instrText>prima</w:instrText>
      </w:r>
      <w:r>
        <w:instrText xml:space="preserve">" </w:instrText>
      </w:r>
      <w:r>
        <w:rPr>
          <w:i/>
        </w:rPr>
        <w:fldChar w:fldCharType="end"/>
      </w:r>
      <w:r>
        <w:t xml:space="preserve"> </w:t>
      </w:r>
      <w:r w:rsidR="001033CD">
        <w:t xml:space="preserve">stála v protikladu k </w:t>
      </w:r>
      <w:r w:rsidR="00262C9C">
        <w:t>masivní</w:t>
      </w:r>
      <w:r w:rsidR="001033CD">
        <w:t>mu</w:t>
      </w:r>
      <w:r w:rsidR="00262C9C">
        <w:t xml:space="preserve"> </w:t>
      </w:r>
      <w:r w:rsidR="001033CD">
        <w:t>lidskému</w:t>
      </w:r>
      <w:r w:rsidR="00262C9C">
        <w:t xml:space="preserve"> těl</w:t>
      </w:r>
      <w:r w:rsidR="001033CD">
        <w:t>a</w:t>
      </w:r>
      <w:r>
        <w:t xml:space="preserve"> a </w:t>
      </w:r>
      <w:r w:rsidR="00DE54C9">
        <w:t>masivní</w:t>
      </w:r>
      <w:r w:rsidR="001033CD">
        <w:t>m</w:t>
      </w:r>
      <w:r w:rsidR="00DE54C9">
        <w:t xml:space="preserve"> </w:t>
      </w:r>
      <w:r w:rsidR="00262C9C">
        <w:t>stav</w:t>
      </w:r>
      <w:r>
        <w:t>b</w:t>
      </w:r>
      <w:r w:rsidR="001033CD">
        <w:t>ám</w:t>
      </w:r>
      <w:r w:rsidR="007C0D6A">
        <w:t>. Z</w:t>
      </w:r>
      <w:r>
        <w:t xml:space="preserve">ávrať z </w:t>
      </w:r>
      <w:r w:rsidRPr="00FF2AE6">
        <w:t xml:space="preserve">nekonečnosti </w:t>
      </w:r>
      <w:r w:rsidR="001033CD">
        <w:t xml:space="preserve">pozemského prostoru </w:t>
      </w:r>
      <w:proofErr w:type="gramStart"/>
      <w:r w:rsidR="001033CD">
        <w:t>bylo</w:t>
      </w:r>
      <w:proofErr w:type="gramEnd"/>
      <w:r w:rsidR="001033CD">
        <w:t xml:space="preserve"> </w:t>
      </w:r>
      <w:proofErr w:type="gramStart"/>
      <w:r w:rsidR="001033CD">
        <w:t>kontrována</w:t>
      </w:r>
      <w:proofErr w:type="gramEnd"/>
      <w:r w:rsidR="001033CD">
        <w:t xml:space="preserve"> skrze božský </w:t>
      </w:r>
      <w:r w:rsidR="00DE54C9">
        <w:t>kosmos pojatý</w:t>
      </w:r>
      <w:r>
        <w:t xml:space="preserve"> v modu </w:t>
      </w:r>
      <w:r w:rsidRPr="085F4E57">
        <w:rPr>
          <w:i/>
        </w:rPr>
        <w:t>materia spiritualis</w:t>
      </w:r>
      <w:r w:rsidR="007C0D6A">
        <w:t>. M</w:t>
      </w:r>
      <w:r>
        <w:t>ajestát</w:t>
      </w:r>
      <w:r w:rsidRPr="00FF2AE6">
        <w:t xml:space="preserve"> smrti jako přec</w:t>
      </w:r>
      <w:r>
        <w:t>hodu duše na věčnosti</w:t>
      </w:r>
      <w:r w:rsidR="00357BDE">
        <w:t xml:space="preserve"> </w:t>
      </w:r>
      <w:r w:rsidR="001033CD">
        <w:t>stál proti vyzdobené</w:t>
      </w:r>
      <w:r w:rsidR="00357BDE">
        <w:t xml:space="preserve"> </w:t>
      </w:r>
      <w:r w:rsidR="00A73243">
        <w:t>uměl</w:t>
      </w:r>
      <w:r w:rsidR="001033CD">
        <w:t>ecké mrtvole</w:t>
      </w:r>
      <w:r w:rsidR="00357BDE">
        <w:t xml:space="preserve"> umístěná pod </w:t>
      </w:r>
      <w:r w:rsidR="001033CD">
        <w:t xml:space="preserve">barokním </w:t>
      </w:r>
      <w:r w:rsidR="00357BDE">
        <w:t>oltářem</w:t>
      </w:r>
      <w:r w:rsidRPr="00FF2AE6">
        <w:t>.</w:t>
      </w:r>
      <w:r>
        <w:t xml:space="preserve"> </w:t>
      </w:r>
      <w:r w:rsidR="005D017C">
        <w:t>Mocenský nástup moderny lze adekvátně analyzovat skrze marxistický koncept moderny jako kulturního hegemona</w:t>
      </w:r>
      <w:r w:rsidR="005D017C">
        <w:fldChar w:fldCharType="begin"/>
      </w:r>
      <w:r w:rsidR="005D017C">
        <w:instrText xml:space="preserve"> XE "</w:instrText>
      </w:r>
      <w:r w:rsidR="005D017C" w:rsidRPr="085233AE">
        <w:instrText>kulturní hegemonie</w:instrText>
      </w:r>
      <w:r w:rsidR="005D017C">
        <w:instrText xml:space="preserve">" </w:instrText>
      </w:r>
      <w:r w:rsidR="005D017C">
        <w:fldChar w:fldCharType="end"/>
      </w:r>
      <w:r w:rsidR="005D017C">
        <w:t xml:space="preserve"> (</w:t>
      </w:r>
      <w:r w:rsidR="005D017C" w:rsidRPr="007C1BBE">
        <w:rPr>
          <w:bCs/>
          <w:i/>
          <w:iCs/>
        </w:rPr>
        <w:t>egemonia culturale</w:t>
      </w:r>
      <w:r w:rsidR="005D017C">
        <w:t>, A. Gramsci</w:t>
      </w:r>
      <w:r w:rsidR="005D017C">
        <w:fldChar w:fldCharType="begin"/>
      </w:r>
      <w:r w:rsidR="005D017C">
        <w:instrText xml:space="preserve"> XE "Gramsci</w:instrText>
      </w:r>
      <w:r w:rsidR="005D017C" w:rsidRPr="00E67C92">
        <w:instrText>, A.</w:instrText>
      </w:r>
      <w:r w:rsidR="005D017C">
        <w:instrText xml:space="preserve">" </w:instrText>
      </w:r>
      <w:r w:rsidR="005D017C">
        <w:fldChar w:fldCharType="end"/>
      </w:r>
      <w:r w:rsidR="005D017C">
        <w:t>) a skrze sociologický koncept relativní utopie</w:t>
      </w:r>
      <w:r w:rsidR="005D017C">
        <w:rPr>
          <w:rStyle w:val="addmd"/>
        </w:rPr>
        <w:fldChar w:fldCharType="begin"/>
      </w:r>
      <w:r w:rsidR="005D017C">
        <w:instrText xml:space="preserve"> XE "</w:instrText>
      </w:r>
      <w:r w:rsidR="005D017C" w:rsidRPr="08CB1542">
        <w:rPr>
          <w:rStyle w:val="addmd"/>
        </w:rPr>
        <w:instrText>utopie</w:instrText>
      </w:r>
      <w:r w:rsidR="005D017C">
        <w:instrText xml:space="preserve">" </w:instrText>
      </w:r>
      <w:r w:rsidR="005D017C">
        <w:rPr>
          <w:rStyle w:val="addmd"/>
        </w:rPr>
        <w:fldChar w:fldCharType="end"/>
      </w:r>
      <w:r w:rsidR="005D017C">
        <w:t xml:space="preserve"> (</w:t>
      </w:r>
      <w:r w:rsidR="005D017C" w:rsidRPr="00D71CEF">
        <w:rPr>
          <w:i/>
        </w:rPr>
        <w:t>relative Utopie</w:t>
      </w:r>
      <w:r w:rsidR="005D017C">
        <w:t>, K. Mannheim</w:t>
      </w:r>
      <w:r w:rsidR="005D017C">
        <w:fldChar w:fldCharType="begin"/>
      </w:r>
      <w:r w:rsidR="005D017C">
        <w:instrText xml:space="preserve"> XE "</w:instrText>
      </w:r>
      <w:r w:rsidR="005D017C" w:rsidRPr="00373793">
        <w:instrText>Mannheim, K.</w:instrText>
      </w:r>
      <w:r w:rsidR="005D017C">
        <w:instrText xml:space="preserve">" </w:instrText>
      </w:r>
      <w:r w:rsidR="005D017C">
        <w:fldChar w:fldCharType="end"/>
      </w:r>
      <w:r w:rsidR="005D017C">
        <w:t>).</w:t>
      </w:r>
      <w:r w:rsidR="005D017C">
        <w:rPr>
          <w:rStyle w:val="Znakapoznpodarou"/>
        </w:rPr>
        <w:footnoteReference w:id="358"/>
      </w:r>
      <w:r w:rsidR="005D017C">
        <w:t xml:space="preserve"> Mystičtí ilumináti vystupující v gnostické roli </w:t>
      </w:r>
      <w:r w:rsidR="005D017C" w:rsidRPr="007C1BBE">
        <w:rPr>
          <w:i/>
        </w:rPr>
        <w:t>intelligentia spiritualis</w:t>
      </w:r>
      <w:r w:rsidR="005D017C">
        <w:rPr>
          <w:i/>
        </w:rPr>
        <w:fldChar w:fldCharType="begin"/>
      </w:r>
      <w:r w:rsidR="005D017C">
        <w:instrText xml:space="preserve"> XE "</w:instrText>
      </w:r>
      <w:r w:rsidR="005D017C" w:rsidRPr="08850A4D">
        <w:rPr>
          <w:i/>
        </w:rPr>
        <w:instrText>intelligentia spiritualis</w:instrText>
      </w:r>
      <w:r w:rsidR="005D017C">
        <w:instrText xml:space="preserve">" </w:instrText>
      </w:r>
      <w:r w:rsidR="005D017C">
        <w:rPr>
          <w:i/>
        </w:rPr>
        <w:fldChar w:fldCharType="end"/>
      </w:r>
      <w:r w:rsidR="00262C9C">
        <w:t xml:space="preserve"> razili</w:t>
      </w:r>
      <w:r w:rsidR="005D017C">
        <w:t xml:space="preserve"> nové pojetí světa skrze kulturní hegemonii filosofických fabulací, sofismat a biblické ontoteologie spojené s mystikou. Hlad po novinkách nelze zastavit a moderna tvoří svou podstatou eschatologické </w:t>
      </w:r>
      <w:r w:rsidR="005D017C" w:rsidRPr="085B4904">
        <w:rPr>
          <w:i/>
        </w:rPr>
        <w:t>novissimum</w:t>
      </w:r>
      <w:r w:rsidR="005D017C">
        <w:t xml:space="preserve"> dané smrtí moderního boha a klasické moudrosti. V objektivní ontoteologické formě relativní utopie definované Mannheimem </w:t>
      </w:r>
      <w:r w:rsidR="005D017C">
        <w:rPr>
          <w:rStyle w:val="addmd"/>
        </w:rPr>
        <w:fldChar w:fldCharType="begin"/>
      </w:r>
      <w:r w:rsidR="005D017C">
        <w:instrText xml:space="preserve"> XE "</w:instrText>
      </w:r>
      <w:r w:rsidR="005D017C" w:rsidRPr="08CB1542">
        <w:rPr>
          <w:rStyle w:val="addmd"/>
        </w:rPr>
        <w:instrText>utopie</w:instrText>
      </w:r>
      <w:r w:rsidR="005D017C">
        <w:instrText xml:space="preserve">" </w:instrText>
      </w:r>
      <w:r w:rsidR="005D017C">
        <w:rPr>
          <w:rStyle w:val="addmd"/>
        </w:rPr>
        <w:fldChar w:fldCharType="end"/>
      </w:r>
      <w:r w:rsidR="005D017C">
        <w:t xml:space="preserve">člověk dostává roli druhého stvořitele, což vytváří zásadní dynamiku reformační a osvícenské postmoderny. Od vítězství </w:t>
      </w:r>
      <w:r w:rsidR="005D017C" w:rsidRPr="002F79F1">
        <w:rPr>
          <w:i/>
        </w:rPr>
        <w:t>via Modernorum</w:t>
      </w:r>
      <w:r w:rsidR="005D017C">
        <w:rPr>
          <w:i/>
        </w:rPr>
        <w:fldChar w:fldCharType="begin"/>
      </w:r>
      <w:r w:rsidR="005D017C">
        <w:instrText xml:space="preserve"> XE "</w:instrText>
      </w:r>
      <w:r w:rsidR="005D017C" w:rsidRPr="00ED0748">
        <w:rPr>
          <w:i/>
        </w:rPr>
        <w:instrText>via Modernorum</w:instrText>
      </w:r>
      <w:r w:rsidR="005D017C">
        <w:instrText xml:space="preserve">" </w:instrText>
      </w:r>
      <w:r w:rsidR="005D017C">
        <w:rPr>
          <w:i/>
        </w:rPr>
        <w:fldChar w:fldCharType="end"/>
      </w:r>
      <w:r w:rsidR="005D017C">
        <w:t xml:space="preserve"> v roce 1277 existuje jen jedna univočně daná pravda moderního rozumu, což ukazuje objektivní nihilismus současné instrumentální racionality dané jako virtuální vále</w:t>
      </w:r>
      <w:r w:rsidR="002F3B83">
        <w:t>čný stav s příslušným totálním</w:t>
      </w:r>
      <w:r w:rsidR="005D017C">
        <w:t xml:space="preserve"> </w:t>
      </w:r>
      <w:r w:rsidR="005D017C" w:rsidRPr="00A062A3">
        <w:rPr>
          <w:i/>
        </w:rPr>
        <w:t>Mobilmachung</w:t>
      </w:r>
      <w:r w:rsidR="005D017C">
        <w:rPr>
          <w:i/>
        </w:rPr>
        <w:fldChar w:fldCharType="begin"/>
      </w:r>
      <w:r w:rsidR="005D017C">
        <w:instrText xml:space="preserve"> XE "</w:instrText>
      </w:r>
      <w:r w:rsidR="005D017C" w:rsidRPr="001C55FF">
        <w:rPr>
          <w:i/>
        </w:rPr>
        <w:instrText>Mobilmachung</w:instrText>
      </w:r>
      <w:r w:rsidR="005D017C">
        <w:instrText xml:space="preserve">" </w:instrText>
      </w:r>
      <w:r w:rsidR="005D017C">
        <w:rPr>
          <w:i/>
        </w:rPr>
        <w:fldChar w:fldCharType="end"/>
      </w:r>
      <w:r w:rsidR="005D017C">
        <w:t xml:space="preserve"> </w:t>
      </w:r>
      <w:r w:rsidR="002F3B83">
        <w:t>(E. J</w:t>
      </w:r>
      <w:r w:rsidR="002F3B83">
        <w:rPr>
          <w:rFonts w:cs="Calibri"/>
        </w:rPr>
        <w:t>ü</w:t>
      </w:r>
      <w:r w:rsidR="002F3B83">
        <w:t xml:space="preserve">nger) </w:t>
      </w:r>
      <w:r w:rsidR="005D017C">
        <w:t xml:space="preserve">všech lidských a jiných planetárních zdrojů. </w:t>
      </w:r>
      <w:r w:rsidR="00364E51">
        <w:t xml:space="preserve">Fluidita sexuality a virtuálního těla je napojena na on-line danou fluiditu sociálních sítí a globálně manipulovaných „lidských zdrojů“. </w:t>
      </w:r>
      <w:r w:rsidR="005D017C">
        <w:t>Apetit demiurga po objektivní formě našel v nové dějinné konstelaci odpovídající apetit primární materie</w:t>
      </w:r>
      <w:r w:rsidR="00296A06">
        <w:t>. Tím b</w:t>
      </w:r>
      <w:r w:rsidR="00296A06" w:rsidRPr="00296A06">
        <w:t>yl</w:t>
      </w:r>
      <w:r w:rsidR="00296A06">
        <w:t>y splněny všechny nezbytné filos</w:t>
      </w:r>
      <w:r w:rsidR="00296A06" w:rsidRPr="00296A06">
        <w:t>ofické podmínky, aby osvícení conquistadoři mohli zopako</w:t>
      </w:r>
      <w:r w:rsidR="00296A06">
        <w:t xml:space="preserve">vat křížové výpravy středověku. </w:t>
      </w:r>
      <w:r w:rsidR="005D017C">
        <w:t xml:space="preserve">Nové vidění světa vyžadovalo pro uspokojení formálního apetitu moderny i všeobecné dobývání odpovídající globální objektivní materie, </w:t>
      </w:r>
      <w:r w:rsidR="005D017C">
        <w:lastRenderedPageBreak/>
        <w:t xml:space="preserve">čili území Nového světa, což nastolilo </w:t>
      </w:r>
      <w:r w:rsidR="00CC0C68">
        <w:t xml:space="preserve">expanzi </w:t>
      </w:r>
      <w:r w:rsidR="005D017C">
        <w:t>španělské</w:t>
      </w:r>
      <w:r w:rsidR="00CC0C68">
        <w:t>ho</w:t>
      </w:r>
      <w:r w:rsidR="005D017C">
        <w:t xml:space="preserve"> </w:t>
      </w:r>
      <w:r w:rsidR="00CC0C68">
        <w:t>impéria</w:t>
      </w:r>
      <w:r w:rsidR="005D017C">
        <w:t xml:space="preserve">. Druhá vlna dobývání světa nastala v objektivně reformované kapitalistické Anglii. Globálně založení ilumináti přešli z akademického Oxfordu do finančního centra </w:t>
      </w:r>
      <w:r w:rsidR="005D017C" w:rsidRPr="08497DBA">
        <w:rPr>
          <w:i/>
        </w:rPr>
        <w:t xml:space="preserve">City of </w:t>
      </w:r>
      <w:proofErr w:type="gramStart"/>
      <w:r w:rsidR="005D017C" w:rsidRPr="08497DBA">
        <w:rPr>
          <w:i/>
        </w:rPr>
        <w:t>London</w:t>
      </w:r>
      <w:proofErr w:type="gramEnd"/>
      <w:r w:rsidR="001E3603">
        <w:t xml:space="preserve">. Ten </w:t>
      </w:r>
      <w:r w:rsidR="005D017C">
        <w:t xml:space="preserve">ovládl koloniální Paříž podobně efektivně jako porretánský Oxford ovládl aristotelskou Rue du Fouarre. </w:t>
      </w:r>
    </w:p>
    <w:p w:rsidR="00551385" w:rsidRDefault="08163013" w:rsidP="00551385">
      <w:pPr>
        <w:ind w:firstLine="397"/>
      </w:pPr>
      <w:r w:rsidRPr="00273106">
        <w:t xml:space="preserve">Hermeneutika ukázala, že </w:t>
      </w:r>
      <w:r>
        <w:t xml:space="preserve">zápas o jednotu </w:t>
      </w:r>
      <w:r w:rsidRPr="00273106">
        <w:t xml:space="preserve">subjektu </w:t>
      </w:r>
      <w:r>
        <w:t xml:space="preserve">v rámci výkladu intelektu mezi Sigerem a Akvinským se </w:t>
      </w:r>
      <w:r w:rsidRPr="00273106">
        <w:t xml:space="preserve">promítl </w:t>
      </w:r>
      <w:r>
        <w:t xml:space="preserve">do školy prvního averroismu sporem </w:t>
      </w:r>
      <w:r w:rsidRPr="00273106">
        <w:t xml:space="preserve">o ipseitu nebo identitu osoby. </w:t>
      </w:r>
      <w:r>
        <w:t>F</w:t>
      </w:r>
      <w:r w:rsidRPr="00273106">
        <w:t xml:space="preserve">ormální identita osoby v pojetí Tomáše Akvinského zvítězila proti fenomenologicky a existenciálně dané ipseitě hájené Sigerem z Brabantu. Ipseitu danou výkonem existence rehabilitovalo až </w:t>
      </w:r>
      <w:r>
        <w:t xml:space="preserve">Heideggerovo </w:t>
      </w:r>
      <w:r w:rsidRPr="00273106">
        <w:t xml:space="preserve">pojetí </w:t>
      </w:r>
      <w:r w:rsidRPr="00273106">
        <w:rPr>
          <w:i/>
        </w:rPr>
        <w:t>Dasein</w:t>
      </w:r>
      <w:r w:rsidRPr="00273106">
        <w:t>, ale to již stojí mimo klasickou metafyziku.</w:t>
      </w:r>
      <w:r>
        <w:t xml:space="preserve"> </w:t>
      </w:r>
      <w:r>
        <w:rPr>
          <w:rStyle w:val="Zkladntext158dkovn0pt"/>
          <w:color w:val="auto"/>
          <w:spacing w:val="0"/>
          <w:sz w:val="24"/>
          <w:lang w:val="cs-CZ"/>
        </w:rPr>
        <w:t xml:space="preserve">V poslední třetině 13. století vznikla syntézou semiaverroismu ze školy prvního averroismu (Akvinský, Aegidius) a všech možných proudů druhého averroismu nová forma </w:t>
      </w:r>
      <w:r w:rsidRPr="00273106">
        <w:rPr>
          <w:rStyle w:val="Zkladntext158dkovn0pt"/>
          <w:color w:val="auto"/>
          <w:spacing w:val="0"/>
          <w:sz w:val="24"/>
          <w:lang w:val="cs-CZ"/>
        </w:rPr>
        <w:t>metafyziky</w:t>
      </w:r>
      <w:r>
        <w:rPr>
          <w:rStyle w:val="Zkladntext158dkovn0pt"/>
          <w:color w:val="auto"/>
          <w:spacing w:val="0"/>
          <w:sz w:val="24"/>
          <w:lang w:val="cs-CZ"/>
        </w:rPr>
        <w:t xml:space="preserve"> založená na objektivizaci vůle a intencionality, kterou </w:t>
      </w:r>
      <w:r w:rsidRPr="08951453">
        <w:rPr>
          <w:rStyle w:val="Zkladntext158dkovn0pt"/>
          <w:i/>
          <w:color w:val="auto"/>
          <w:spacing w:val="0"/>
          <w:sz w:val="24"/>
          <w:lang w:val="cs-CZ"/>
        </w:rPr>
        <w:t>Moderni</w:t>
      </w:r>
      <w:r>
        <w:rPr>
          <w:rStyle w:val="Zkladntext158dkovn0pt"/>
          <w:color w:val="auto"/>
          <w:spacing w:val="0"/>
          <w:sz w:val="24"/>
          <w:lang w:val="cs-CZ"/>
        </w:rPr>
        <w:t xml:space="preserve"> promítli do hypostázovaných jsoucen třetího druhu (</w:t>
      </w:r>
      <w:r w:rsidRPr="08951453">
        <w:rPr>
          <w:rStyle w:val="Zkladntext158dkovn0pt"/>
          <w:i/>
          <w:color w:val="auto"/>
          <w:spacing w:val="0"/>
          <w:sz w:val="24"/>
          <w:lang w:val="cs-CZ"/>
        </w:rPr>
        <w:t>universalia in rebus</w:t>
      </w:r>
      <w:r>
        <w:rPr>
          <w:rStyle w:val="Zkladntext158dkovn0pt"/>
          <w:color w:val="auto"/>
          <w:spacing w:val="0"/>
          <w:sz w:val="24"/>
          <w:lang w:val="cs-CZ"/>
        </w:rPr>
        <w:t>)</w:t>
      </w:r>
      <w:r w:rsidRPr="00273106">
        <w:rPr>
          <w:rStyle w:val="Zkladntext158dkovn0pt"/>
          <w:color w:val="auto"/>
          <w:spacing w:val="0"/>
          <w:sz w:val="24"/>
          <w:lang w:val="cs-CZ"/>
        </w:rPr>
        <w:t xml:space="preserve">. </w:t>
      </w:r>
      <w:r w:rsidR="086D0D49">
        <w:t xml:space="preserve">Moderní </w:t>
      </w:r>
      <w:r w:rsidRPr="00273106">
        <w:rPr>
          <w:rStyle w:val="Zkladntext158dkovn0pt"/>
          <w:i/>
          <w:color w:val="auto"/>
          <w:spacing w:val="0"/>
          <w:sz w:val="24"/>
          <w:lang w:val="cs-CZ"/>
        </w:rPr>
        <w:t>operatio</w:t>
      </w:r>
      <w:r w:rsidRPr="00273106">
        <w:rPr>
          <w:rStyle w:val="Zkladntext158dkovn0pt"/>
          <w:color w:val="auto"/>
          <w:spacing w:val="0"/>
          <w:sz w:val="24"/>
          <w:lang w:val="cs-CZ"/>
        </w:rPr>
        <w:t xml:space="preserve"> </w:t>
      </w:r>
      <w:r>
        <w:rPr>
          <w:rStyle w:val="Zkladntext158dkovn0pt"/>
          <w:color w:val="auto"/>
          <w:spacing w:val="0"/>
          <w:sz w:val="24"/>
          <w:lang w:val="cs-CZ"/>
        </w:rPr>
        <w:fldChar w:fldCharType="begin"/>
      </w:r>
      <w:r>
        <w:instrText xml:space="preserve"> XE "</w:instrText>
      </w:r>
      <w:r w:rsidRPr="005C2F4A">
        <w:rPr>
          <w:rStyle w:val="addmd"/>
        </w:rPr>
        <w:instrText>demiurg</w:instrText>
      </w:r>
      <w:r>
        <w:instrText xml:space="preserve">" </w:instrText>
      </w:r>
      <w:r>
        <w:rPr>
          <w:rStyle w:val="Zkladntext158dkovn0pt"/>
          <w:color w:val="auto"/>
          <w:spacing w:val="0"/>
          <w:sz w:val="24"/>
          <w:lang w:val="cs-CZ"/>
        </w:rPr>
        <w:fldChar w:fldCharType="end"/>
      </w:r>
      <w:r w:rsidRPr="00273106">
        <w:rPr>
          <w:rStyle w:val="Zkladntext158dkovn0pt"/>
          <w:color w:val="auto"/>
          <w:spacing w:val="0"/>
          <w:sz w:val="24"/>
          <w:lang w:val="cs-CZ"/>
        </w:rPr>
        <w:t xml:space="preserve">se </w:t>
      </w:r>
      <w:r>
        <w:rPr>
          <w:rStyle w:val="Zkladntext158dkovn0pt"/>
          <w:color w:val="auto"/>
          <w:spacing w:val="0"/>
          <w:sz w:val="24"/>
          <w:lang w:val="cs-CZ"/>
        </w:rPr>
        <w:t xml:space="preserve">nachází </w:t>
      </w:r>
      <w:r w:rsidR="086D0D49">
        <w:rPr>
          <w:rStyle w:val="Zkladntext158dkovn0pt"/>
          <w:color w:val="auto"/>
          <w:spacing w:val="0"/>
          <w:sz w:val="24"/>
          <w:lang w:val="cs-CZ"/>
        </w:rPr>
        <w:t>ve dvou patrech produkce</w:t>
      </w:r>
      <w:r w:rsidRPr="00273106">
        <w:rPr>
          <w:rStyle w:val="Zkladntext158dkovn0pt"/>
          <w:color w:val="auto"/>
          <w:spacing w:val="0"/>
          <w:sz w:val="24"/>
          <w:lang w:val="cs-CZ"/>
        </w:rPr>
        <w:t>. Moderní demiurg (lidský i božský) přímo pozn</w:t>
      </w:r>
      <w:r>
        <w:rPr>
          <w:rStyle w:val="Zkladntext158dkovn0pt"/>
          <w:color w:val="auto"/>
          <w:spacing w:val="0"/>
          <w:sz w:val="24"/>
          <w:lang w:val="cs-CZ"/>
        </w:rPr>
        <w:t xml:space="preserve">ává obě patra svého působení, </w:t>
      </w:r>
      <w:r w:rsidRPr="00273106">
        <w:rPr>
          <w:rStyle w:val="Zkladntext158dkovn0pt"/>
          <w:color w:val="auto"/>
          <w:spacing w:val="0"/>
          <w:sz w:val="24"/>
          <w:lang w:val="cs-CZ"/>
        </w:rPr>
        <w:t>proto</w:t>
      </w:r>
      <w:r>
        <w:rPr>
          <w:rStyle w:val="Zkladntext158dkovn0pt"/>
          <w:color w:val="auto"/>
          <w:spacing w:val="0"/>
          <w:sz w:val="24"/>
          <w:lang w:val="cs-CZ"/>
        </w:rPr>
        <w:t xml:space="preserve">že </w:t>
      </w:r>
      <w:r w:rsidRPr="00273106">
        <w:rPr>
          <w:rStyle w:val="Zkladntext158dkovn0pt"/>
          <w:color w:val="auto"/>
          <w:spacing w:val="0"/>
          <w:sz w:val="24"/>
          <w:lang w:val="cs-CZ"/>
        </w:rPr>
        <w:t xml:space="preserve">je ovlivňuje v rámci dvojího aktu svobodného tvoření. </w:t>
      </w:r>
      <w:r>
        <w:rPr>
          <w:rStyle w:val="Zkladntext158dkovn0pt"/>
          <w:color w:val="auto"/>
          <w:spacing w:val="0"/>
          <w:sz w:val="24"/>
          <w:lang w:val="cs-CZ"/>
        </w:rPr>
        <w:t xml:space="preserve">Primární bytí obou </w:t>
      </w:r>
      <w:r w:rsidRPr="00273106">
        <w:rPr>
          <w:rStyle w:val="Zkladntext158dkovn0pt"/>
          <w:color w:val="auto"/>
          <w:spacing w:val="0"/>
          <w:sz w:val="24"/>
          <w:lang w:val="cs-CZ"/>
        </w:rPr>
        <w:t>agent</w:t>
      </w:r>
      <w:r>
        <w:rPr>
          <w:rStyle w:val="Zkladntext158dkovn0pt"/>
          <w:color w:val="auto"/>
          <w:spacing w:val="0"/>
          <w:sz w:val="24"/>
          <w:lang w:val="cs-CZ"/>
        </w:rPr>
        <w:t>ů</w:t>
      </w:r>
      <w:r w:rsidRPr="00273106">
        <w:rPr>
          <w:rStyle w:val="Zkladntext158dkovn0pt"/>
          <w:color w:val="auto"/>
          <w:spacing w:val="0"/>
          <w:sz w:val="24"/>
          <w:lang w:val="cs-CZ"/>
        </w:rPr>
        <w:t xml:space="preserve"> </w:t>
      </w:r>
      <w:r>
        <w:rPr>
          <w:rStyle w:val="Zkladntext158dkovn0pt"/>
          <w:color w:val="auto"/>
          <w:spacing w:val="0"/>
          <w:sz w:val="24"/>
          <w:lang w:val="cs-CZ"/>
        </w:rPr>
        <w:t>je determinováno podle scholastické</w:t>
      </w:r>
      <w:r w:rsidRPr="00273106">
        <w:rPr>
          <w:rStyle w:val="Zkladntext158dkovn0pt"/>
          <w:color w:val="auto"/>
          <w:spacing w:val="0"/>
          <w:sz w:val="24"/>
          <w:lang w:val="cs-CZ"/>
        </w:rPr>
        <w:t xml:space="preserve"> teze </w:t>
      </w:r>
      <w:r w:rsidR="00A27E8C">
        <w:rPr>
          <w:rStyle w:val="Zkladntext158dkovn0pt"/>
          <w:color w:val="auto"/>
          <w:spacing w:val="0"/>
          <w:sz w:val="24"/>
          <w:lang w:val="cs-CZ"/>
        </w:rPr>
        <w:t>„</w:t>
      </w:r>
      <w:r w:rsidRPr="00273106">
        <w:rPr>
          <w:rStyle w:val="Zkladntext158dkovn0pt"/>
          <w:i/>
          <w:color w:val="auto"/>
          <w:spacing w:val="0"/>
          <w:sz w:val="24"/>
          <w:lang w:val="cs-CZ"/>
        </w:rPr>
        <w:t>operatio sequitur esse</w:t>
      </w:r>
      <w:r w:rsidR="00A27E8C" w:rsidRPr="00A27E8C">
        <w:rPr>
          <w:rStyle w:val="Zkladntext158dkovn0pt"/>
          <w:color w:val="auto"/>
          <w:spacing w:val="0"/>
          <w:sz w:val="24"/>
          <w:lang w:val="cs-CZ"/>
        </w:rPr>
        <w:t>“.</w:t>
      </w:r>
      <w:r w:rsidR="00A27E8C">
        <w:rPr>
          <w:rStyle w:val="Zkladntext158dkovn0pt"/>
          <w:i/>
          <w:color w:val="auto"/>
          <w:spacing w:val="0"/>
          <w:sz w:val="24"/>
          <w:lang w:val="cs-CZ"/>
        </w:rPr>
        <w:t xml:space="preserve"> </w:t>
      </w:r>
      <w:r w:rsidR="00A27E8C">
        <w:rPr>
          <w:rStyle w:val="Zkladntext158dkovn0pt"/>
          <w:color w:val="auto"/>
          <w:spacing w:val="0"/>
          <w:sz w:val="24"/>
          <w:lang w:val="cs-CZ"/>
        </w:rPr>
        <w:t>E</w:t>
      </w:r>
      <w:r>
        <w:rPr>
          <w:rStyle w:val="Zkladntext158dkovn0pt"/>
          <w:color w:val="auto"/>
          <w:spacing w:val="0"/>
          <w:sz w:val="24"/>
          <w:lang w:val="cs-CZ"/>
        </w:rPr>
        <w:t>senciální nositel této činnosti (</w:t>
      </w:r>
      <w:r w:rsidRPr="084D4649">
        <w:rPr>
          <w:rStyle w:val="Zkladntext158dkovn0pt"/>
          <w:i/>
          <w:color w:val="auto"/>
          <w:spacing w:val="0"/>
          <w:sz w:val="24"/>
          <w:lang w:val="cs-CZ"/>
        </w:rPr>
        <w:t>subiectum</w:t>
      </w:r>
      <w:r>
        <w:rPr>
          <w:rStyle w:val="Zkladntext158dkovn0pt"/>
          <w:color w:val="auto"/>
          <w:spacing w:val="0"/>
          <w:sz w:val="24"/>
          <w:lang w:val="cs-CZ"/>
        </w:rPr>
        <w:t xml:space="preserve">) určuje demiurgickou kauzalitu </w:t>
      </w:r>
      <w:r>
        <w:t xml:space="preserve">danou podle </w:t>
      </w:r>
      <w:r>
        <w:rPr>
          <w:i/>
        </w:rPr>
        <w:t>Oxf</w:t>
      </w:r>
      <w:r w:rsidRPr="081E356B">
        <w:rPr>
          <w:i/>
        </w:rPr>
        <w:t>o</w:t>
      </w:r>
      <w:r>
        <w:rPr>
          <w:i/>
        </w:rPr>
        <w:t>r</w:t>
      </w:r>
      <w:r w:rsidRPr="081E356B">
        <w:rPr>
          <w:i/>
        </w:rPr>
        <w:t>dian Fallacy</w:t>
      </w:r>
      <w:r>
        <w:rPr>
          <w:rStyle w:val="Zkladntext158dkovn0pt"/>
          <w:color w:val="auto"/>
          <w:spacing w:val="0"/>
          <w:sz w:val="24"/>
          <w:lang w:val="cs-CZ"/>
        </w:rPr>
        <w:t xml:space="preserve"> jako svůj subjektivní </w:t>
      </w:r>
      <w:r w:rsidRPr="08167B73">
        <w:rPr>
          <w:rStyle w:val="Zkladntext158dkovn0pt"/>
          <w:i/>
          <w:color w:val="auto"/>
          <w:spacing w:val="0"/>
          <w:sz w:val="24"/>
          <w:lang w:val="cs-CZ"/>
        </w:rPr>
        <w:t>actus essendi</w:t>
      </w:r>
      <w:r>
        <w:rPr>
          <w:rStyle w:val="Zkladntext158dkovn0pt"/>
          <w:color w:val="auto"/>
          <w:spacing w:val="0"/>
          <w:sz w:val="24"/>
          <w:lang w:val="cs-CZ"/>
        </w:rPr>
        <w:t xml:space="preserve">. </w:t>
      </w:r>
      <w:r>
        <w:t xml:space="preserve">Z aktuální kauzality dané v reálu se stala potenciální tvůrčí idea v boží nebo lidské mysli predikované v univerzálně-objektivním modu </w:t>
      </w:r>
      <w:r w:rsidR="00BA75DD">
        <w:t>„</w:t>
      </w:r>
      <w:r w:rsidRPr="08DD02BC">
        <w:rPr>
          <w:i/>
        </w:rPr>
        <w:t>in artificialibus</w:t>
      </w:r>
      <w:r w:rsidR="00BA75DD">
        <w:t>“</w:t>
      </w:r>
      <w:r>
        <w:rPr>
          <w:i/>
        </w:rPr>
        <w:fldChar w:fldCharType="begin"/>
      </w:r>
      <w:r>
        <w:instrText xml:space="preserve"> XE "predikace:</w:instrText>
      </w:r>
      <w:r w:rsidRPr="08812F61">
        <w:rPr>
          <w:i/>
        </w:rPr>
        <w:instrText>in artificialibus</w:instrText>
      </w:r>
      <w:r>
        <w:instrText xml:space="preserve">" </w:instrText>
      </w:r>
      <w:r>
        <w:rPr>
          <w:i/>
        </w:rPr>
        <w:fldChar w:fldCharType="end"/>
      </w:r>
      <w:r>
        <w:t xml:space="preserve">. </w:t>
      </w:r>
      <w:r>
        <w:rPr>
          <w:rStyle w:val="Zkladntext158dkovn0pt"/>
          <w:color w:val="auto"/>
          <w:spacing w:val="0"/>
          <w:sz w:val="24"/>
          <w:lang w:val="cs-CZ"/>
        </w:rPr>
        <w:t xml:space="preserve">Systém </w:t>
      </w:r>
      <w:r>
        <w:t>dvou regulí a dvou demiurgických subjektů respektuje</w:t>
      </w:r>
      <w:r w:rsidRPr="00273106">
        <w:t xml:space="preserve"> zásadní rozdíl m</w:t>
      </w:r>
      <w:r>
        <w:t xml:space="preserve">ezi stvořitelem a odděleným stvořením. </w:t>
      </w:r>
      <w:r w:rsidRPr="00273106">
        <w:rPr>
          <w:rStyle w:val="Zkladntext158dkovn0pt"/>
          <w:color w:val="auto"/>
          <w:spacing w:val="0"/>
          <w:sz w:val="24"/>
          <w:lang w:val="cs-CZ"/>
        </w:rPr>
        <w:t xml:space="preserve">Regule </w:t>
      </w:r>
      <w:r w:rsidR="08CC564D">
        <w:rPr>
          <w:rStyle w:val="Zkladntext158dkovn0pt"/>
          <w:color w:val="auto"/>
          <w:spacing w:val="0"/>
          <w:sz w:val="24"/>
          <w:lang w:val="cs-CZ"/>
        </w:rPr>
        <w:t>tvorby</w:t>
      </w:r>
      <w:r w:rsidRPr="00273106">
        <w:rPr>
          <w:rStyle w:val="Zkladntext158dkovn0pt"/>
          <w:color w:val="auto"/>
          <w:spacing w:val="0"/>
          <w:sz w:val="24"/>
          <w:lang w:val="cs-CZ"/>
        </w:rPr>
        <w:t xml:space="preserve"> </w:t>
      </w:r>
      <w:r>
        <w:rPr>
          <w:rStyle w:val="Zkladntext158dkovn0pt"/>
          <w:color w:val="auto"/>
          <w:spacing w:val="0"/>
          <w:sz w:val="24"/>
          <w:lang w:val="cs-CZ"/>
        </w:rPr>
        <w:t xml:space="preserve">jsoucna </w:t>
      </w:r>
      <w:r w:rsidRPr="00273106">
        <w:rPr>
          <w:rStyle w:val="Zkladntext158dkovn0pt"/>
          <w:color w:val="auto"/>
          <w:spacing w:val="0"/>
          <w:sz w:val="24"/>
          <w:lang w:val="cs-CZ"/>
        </w:rPr>
        <w:t>jsou také dány dvojím způsobem. Buď jsou dány přímo v boží mysli, nebo jsou přirozeně nazírány osvíceným lidským intelektem</w:t>
      </w:r>
      <w:r>
        <w:rPr>
          <w:rStyle w:val="Zkladntext158dkovn0pt"/>
          <w:color w:val="auto"/>
          <w:spacing w:val="0"/>
          <w:sz w:val="24"/>
          <w:lang w:val="cs-CZ"/>
        </w:rPr>
        <w:t>. Lidská intencionalita analogicky odpovídá demiurgické intencionalitě stvořitele</w:t>
      </w:r>
      <w:r w:rsidRPr="00273106">
        <w:rPr>
          <w:rStyle w:val="Zkladntext158dkovn0pt"/>
          <w:color w:val="auto"/>
          <w:spacing w:val="0"/>
          <w:sz w:val="24"/>
          <w:lang w:val="cs-CZ"/>
        </w:rPr>
        <w:t>.</w:t>
      </w:r>
      <w:r>
        <w:rPr>
          <w:rStyle w:val="Zkladntext158dkovn0pt"/>
          <w:color w:val="auto"/>
          <w:spacing w:val="0"/>
          <w:sz w:val="24"/>
          <w:lang w:val="cs-CZ"/>
        </w:rPr>
        <w:t xml:space="preserve"> Ontoteologie </w:t>
      </w:r>
      <w:r w:rsidRPr="088E131A">
        <w:rPr>
          <w:rStyle w:val="Zkladntext158dkovn0pt"/>
          <w:i/>
          <w:color w:val="auto"/>
          <w:spacing w:val="0"/>
          <w:sz w:val="24"/>
          <w:lang w:val="cs-CZ"/>
        </w:rPr>
        <w:t>Modernorum</w:t>
      </w:r>
      <w:r>
        <w:rPr>
          <w:rStyle w:val="Zkladntext158dkovn0pt"/>
          <w:color w:val="auto"/>
          <w:spacing w:val="0"/>
          <w:sz w:val="24"/>
          <w:lang w:val="cs-CZ"/>
        </w:rPr>
        <w:t xml:space="preserve"> se změnila na absolutní boží psychologii, což zahájilo agónii antropomorfního boha v </w:t>
      </w:r>
      <w:r w:rsidR="00D14DC9">
        <w:rPr>
          <w:rStyle w:val="Zkladntext158dkovn0pt"/>
          <w:color w:val="auto"/>
          <w:spacing w:val="0"/>
          <w:sz w:val="24"/>
          <w:lang w:val="cs-CZ"/>
        </w:rPr>
        <w:t>post</w:t>
      </w:r>
      <w:r>
        <w:rPr>
          <w:rStyle w:val="Zkladntext158dkovn0pt"/>
          <w:color w:val="auto"/>
          <w:spacing w:val="0"/>
          <w:sz w:val="24"/>
          <w:lang w:val="cs-CZ"/>
        </w:rPr>
        <w:t xml:space="preserve">moderně. </w:t>
      </w:r>
      <w:r>
        <w:t xml:space="preserve">Instaurace demiurgicky pojaté intencionality pojaté </w:t>
      </w:r>
      <w:r w:rsidRPr="006F4897">
        <w:rPr>
          <w:i/>
        </w:rPr>
        <w:t>absolute</w:t>
      </w:r>
      <w:r>
        <w:rPr>
          <w:rStyle w:val="addmd"/>
          <w:i/>
        </w:rPr>
        <w:fldChar w:fldCharType="begin"/>
      </w:r>
      <w:r>
        <w:instrText xml:space="preserve"> XE "predikace</w:instrText>
      </w:r>
      <w:r w:rsidRPr="002A5D70">
        <w:instrText>:</w:instrText>
      </w:r>
      <w:r>
        <w:instrText xml:space="preserve">modus </w:instrText>
      </w:r>
      <w:r w:rsidRPr="008D23BF">
        <w:rPr>
          <w:i/>
        </w:rPr>
        <w:instrText>absolute</w:instrText>
      </w:r>
      <w:r>
        <w:instrText xml:space="preserve">" </w:instrText>
      </w:r>
      <w:r>
        <w:rPr>
          <w:rStyle w:val="addmd"/>
          <w:i/>
        </w:rPr>
        <w:fldChar w:fldCharType="end"/>
      </w:r>
      <w:r>
        <w:t xml:space="preserve">, tj. v řádu čisté metafyzické </w:t>
      </w:r>
      <w:r w:rsidRPr="006F4897">
        <w:rPr>
          <w:i/>
        </w:rPr>
        <w:t>possib</w:t>
      </w:r>
      <w:r>
        <w:rPr>
          <w:i/>
        </w:rPr>
        <w:t>i</w:t>
      </w:r>
      <w:r w:rsidRPr="006F4897">
        <w:rPr>
          <w:i/>
        </w:rPr>
        <w:t>litas</w:t>
      </w:r>
      <w:r>
        <w:t xml:space="preserve"> zahájila novou etapu zatmění první substance</w:t>
      </w:r>
      <w:r>
        <w:fldChar w:fldCharType="begin"/>
      </w:r>
      <w:r>
        <w:instrText xml:space="preserve"> XE "</w:instrText>
      </w:r>
      <w:r w:rsidRPr="00C27681">
        <w:instrText>zatmění</w:instrText>
      </w:r>
      <w:r>
        <w:instrText>:</w:instrText>
      </w:r>
      <w:r w:rsidRPr="00C27681">
        <w:instrText>substance</w:instrText>
      </w:r>
      <w:r>
        <w:instrText xml:space="preserve">" </w:instrText>
      </w:r>
      <w:r>
        <w:fldChar w:fldCharType="end"/>
      </w:r>
      <w:r>
        <w:t>. S</w:t>
      </w:r>
      <w:r w:rsidRPr="00273106">
        <w:rPr>
          <w:lang w:eastAsia="en-US"/>
        </w:rPr>
        <w:t xml:space="preserve">ubjekt v pojetí druhého averroismu </w:t>
      </w:r>
      <w:r>
        <w:rPr>
          <w:lang w:eastAsia="en-US"/>
        </w:rPr>
        <w:t xml:space="preserve">a aristotelského semiaverroismu </w:t>
      </w:r>
      <w:r w:rsidRPr="00273106">
        <w:rPr>
          <w:lang w:eastAsia="en-US"/>
        </w:rPr>
        <w:t xml:space="preserve">se </w:t>
      </w:r>
      <w:r>
        <w:rPr>
          <w:lang w:eastAsia="en-US"/>
        </w:rPr>
        <w:t xml:space="preserve">nakonec </w:t>
      </w:r>
      <w:r w:rsidRPr="00273106">
        <w:rPr>
          <w:lang w:eastAsia="en-US"/>
        </w:rPr>
        <w:t xml:space="preserve">stal mnohostí </w:t>
      </w:r>
      <w:r w:rsidR="08CC564D">
        <w:rPr>
          <w:lang w:eastAsia="en-US"/>
        </w:rPr>
        <w:t>substancí či forem. Ty marně hledají finální jednotu tohoto mytopoetického a beznadějně rozštěpeného subjektu</w:t>
      </w:r>
      <w:r>
        <w:rPr>
          <w:lang w:eastAsia="en-US"/>
        </w:rPr>
        <w:t>.</w:t>
      </w:r>
      <w:r>
        <w:t xml:space="preserve"> </w:t>
      </w:r>
      <w:r>
        <w:rPr>
          <w:lang w:eastAsia="en-US"/>
        </w:rPr>
        <w:t>Archaická h</w:t>
      </w:r>
      <w:r>
        <w:t xml:space="preserve">ermeneutika a archeologie zkoumá původní </w:t>
      </w:r>
      <w:r w:rsidRPr="08B62EAF">
        <w:rPr>
          <w:i/>
        </w:rPr>
        <w:t>Ereignis</w:t>
      </w:r>
      <w:r w:rsidRPr="00273106">
        <w:t>, kd</w:t>
      </w:r>
      <w:r w:rsidR="00D070A1">
        <w:t>y</w:t>
      </w:r>
      <w:r w:rsidRPr="00273106">
        <w:t xml:space="preserve"> se manifestuje spojení boží a lidské intencionality</w:t>
      </w:r>
      <w:r>
        <w:fldChar w:fldCharType="begin"/>
      </w:r>
      <w:r>
        <w:instrText xml:space="preserve"> </w:instrText>
      </w:r>
      <w:r>
        <w:lastRenderedPageBreak/>
        <w:instrText>XE "</w:instrText>
      </w:r>
      <w:r w:rsidRPr="0007696E">
        <w:instrText>intencionalita:objektivní</w:instrText>
      </w:r>
      <w:r>
        <w:instrText xml:space="preserve">" </w:instrText>
      </w:r>
      <w:r>
        <w:fldChar w:fldCharType="end"/>
      </w:r>
      <w:r w:rsidR="00D070A1">
        <w:t>. Tot</w:t>
      </w:r>
      <w:r w:rsidR="00174066">
        <w:t>o</w:t>
      </w:r>
      <w:r w:rsidR="00D070A1">
        <w:t xml:space="preserve"> </w:t>
      </w:r>
      <w:r w:rsidR="003951BA">
        <w:t xml:space="preserve">mytologické </w:t>
      </w:r>
      <w:r w:rsidR="00D070A1">
        <w:t xml:space="preserve">spojení </w:t>
      </w:r>
      <w:r w:rsidR="003951BA">
        <w:t>(</w:t>
      </w:r>
      <w:r w:rsidR="003951BA" w:rsidRPr="003951BA">
        <w:rPr>
          <w:i/>
        </w:rPr>
        <w:t>copulatio</w:t>
      </w:r>
      <w:r w:rsidR="003951BA">
        <w:t xml:space="preserve">) </w:t>
      </w:r>
      <w:r w:rsidR="00D070A1">
        <w:t xml:space="preserve">vytvořilo </w:t>
      </w:r>
      <w:proofErr w:type="gramStart"/>
      <w:r w:rsidR="004E33C4">
        <w:t xml:space="preserve">objektivní </w:t>
      </w:r>
      <w:r w:rsidR="00DD3777">
        <w:t xml:space="preserve"> psychologii</w:t>
      </w:r>
      <w:proofErr w:type="gramEnd"/>
      <w:r>
        <w:t xml:space="preserve"> </w:t>
      </w:r>
      <w:r w:rsidR="00D070A1">
        <w:t xml:space="preserve">moderního </w:t>
      </w:r>
      <w:r w:rsidR="0010278D">
        <w:t xml:space="preserve">božského </w:t>
      </w:r>
      <w:r>
        <w:t>demiurga.</w:t>
      </w:r>
      <w:r w:rsidR="00E5471B">
        <w:t xml:space="preserve"> Nové </w:t>
      </w:r>
      <w:r w:rsidR="00E5471B" w:rsidRPr="00273106">
        <w:t>jsoucno třetího druhu</w:t>
      </w:r>
      <w:r w:rsidR="00E5471B">
        <w:t xml:space="preserve"> dostalo díky spojení boží a lidské intencionality absolutní základ plně oddělený od reálné první substance. Osvícený intelekt iluminátů</w:t>
      </w:r>
      <w:r w:rsidR="00E5471B">
        <w:fldChar w:fldCharType="begin"/>
      </w:r>
      <w:r w:rsidR="00E5471B">
        <w:instrText xml:space="preserve"> XE "</w:instrText>
      </w:r>
      <w:r w:rsidR="00E5471B" w:rsidRPr="00BD65D1">
        <w:instrText>ilumináti</w:instrText>
      </w:r>
      <w:r w:rsidR="00E5471B">
        <w:instrText xml:space="preserve">" </w:instrText>
      </w:r>
      <w:r w:rsidR="00E5471B">
        <w:fldChar w:fldCharType="end"/>
      </w:r>
      <w:r w:rsidR="00E5471B">
        <w:t xml:space="preserve"> provedl toto epochální </w:t>
      </w:r>
      <w:r w:rsidR="00E5471B" w:rsidRPr="00BC087C">
        <w:rPr>
          <w:i/>
        </w:rPr>
        <w:t>opus magnum</w:t>
      </w:r>
      <w:r w:rsidR="00E5471B">
        <w:t xml:space="preserve"> sofistické alchymie tím, že se v modu demiurgického </w:t>
      </w:r>
      <w:r w:rsidR="00E5471B">
        <w:rPr>
          <w:i/>
        </w:rPr>
        <w:t>co</w:t>
      </w:r>
      <w:r w:rsidR="00944756">
        <w:rPr>
          <w:i/>
        </w:rPr>
        <w:t>pulatio</w:t>
      </w:r>
      <w:r w:rsidR="00E5471B">
        <w:t xml:space="preserve"> spojil s moderní boží intencionalitou, inteligencí a vůlí. Skrze tuto objektivní konjukci moderního boha a člověka se kámen mudrců také objektivně našel, což dokazuje dnešní stav myšlení a světa a pochopitelně i nevyhnutelná smrt moderního boha</w:t>
      </w:r>
      <w:r w:rsidR="00E5471B">
        <w:fldChar w:fldCharType="begin"/>
      </w:r>
      <w:r w:rsidR="00E5471B">
        <w:instrText xml:space="preserve"> XE "</w:instrText>
      </w:r>
      <w:r w:rsidR="00E5471B" w:rsidRPr="007E30CD">
        <w:instrText>smrt boha</w:instrText>
      </w:r>
      <w:r w:rsidR="00E5471B">
        <w:instrText xml:space="preserve">" </w:instrText>
      </w:r>
      <w:r w:rsidR="00E5471B">
        <w:fldChar w:fldCharType="end"/>
      </w:r>
      <w:r w:rsidR="00E5471B">
        <w:t>.</w:t>
      </w:r>
      <w:r w:rsidR="008364B5">
        <w:t xml:space="preserve"> Pod vedením bohyní akademického Chaosu moderna zavrhla Dantovu božskou komedii určenou myšlením Sigera a vytvořila zcela originální tragikomedii. </w:t>
      </w:r>
      <w:r w:rsidR="008364B5" w:rsidRPr="008364B5">
        <w:t>Modern</w:t>
      </w:r>
      <w:r w:rsidR="008364B5">
        <w:t xml:space="preserve">í racionalita založená na objektivní kopulaci dvou subjektivně pojatých </w:t>
      </w:r>
      <w:r w:rsidR="008364B5" w:rsidRPr="008364B5">
        <w:rPr>
          <w:i/>
        </w:rPr>
        <w:t>tertium ens</w:t>
      </w:r>
      <w:r w:rsidR="008364B5">
        <w:t xml:space="preserve"> </w:t>
      </w:r>
      <w:r w:rsidR="008364B5" w:rsidRPr="008364B5">
        <w:t xml:space="preserve">není ničím jiným než </w:t>
      </w:r>
      <w:r w:rsidR="008364B5" w:rsidRPr="008364B5">
        <w:rPr>
          <w:i/>
        </w:rPr>
        <w:t>Cargo cult</w:t>
      </w:r>
      <w:r w:rsidR="001F2CAB">
        <w:rPr>
          <w:i/>
        </w:rPr>
        <w:fldChar w:fldCharType="begin"/>
      </w:r>
      <w:r w:rsidR="001F2CAB">
        <w:instrText xml:space="preserve"> XE "</w:instrText>
      </w:r>
      <w:r w:rsidR="001F2CAB" w:rsidRPr="00E94BBC">
        <w:rPr>
          <w:i/>
        </w:rPr>
        <w:instrText>Cargo cult</w:instrText>
      </w:r>
      <w:r w:rsidR="001F2CAB">
        <w:instrText xml:space="preserve">" </w:instrText>
      </w:r>
      <w:r w:rsidR="001F2CAB">
        <w:rPr>
          <w:i/>
        </w:rPr>
        <w:fldChar w:fldCharType="end"/>
      </w:r>
      <w:r w:rsidR="008364B5">
        <w:t xml:space="preserve"> šílené modernity. </w:t>
      </w:r>
      <w:r w:rsidR="00551385" w:rsidRPr="00551385">
        <w:t>Díky tomuto mytologicko-obsedantnímu a moderně-neurotickému nutkání opakovat objektivně vytvořenou identitu neexistujícího světa</w:t>
      </w:r>
      <w:r w:rsidR="00551385">
        <w:t xml:space="preserve"> (</w:t>
      </w:r>
      <w:r w:rsidR="00551385" w:rsidRPr="008364B5">
        <w:rPr>
          <w:i/>
          <w:szCs w:val="24"/>
        </w:rPr>
        <w:t>Wiederholungszwang</w:t>
      </w:r>
      <w:r w:rsidR="00551385">
        <w:t xml:space="preserve">) </w:t>
      </w:r>
      <w:r w:rsidR="00551385" w:rsidRPr="00551385">
        <w:t xml:space="preserve">se </w:t>
      </w:r>
      <w:r w:rsidR="00551385">
        <w:t xml:space="preserve">konají pravidelné </w:t>
      </w:r>
      <w:r w:rsidR="00551385" w:rsidRPr="00551385">
        <w:t>orgie (</w:t>
      </w:r>
      <w:r w:rsidR="00B66EC6">
        <w:rPr>
          <w:rStyle w:val="ky2igmncmogjharherah"/>
        </w:rPr>
        <w:t xml:space="preserve">ὄργια, </w:t>
      </w:r>
      <w:r w:rsidR="00551385" w:rsidRPr="00551385">
        <w:rPr>
          <w:i/>
        </w:rPr>
        <w:t>conferentia</w:t>
      </w:r>
      <w:r w:rsidR="00551385" w:rsidRPr="00551385">
        <w:t xml:space="preserve">) akademické neplodnosti. </w:t>
      </w:r>
      <w:r w:rsidR="00551385">
        <w:t xml:space="preserve">Ty objektivně napodobují archaické </w:t>
      </w:r>
      <w:r w:rsidR="00551385" w:rsidRPr="008364B5">
        <w:t>kult</w:t>
      </w:r>
      <w:r w:rsidR="00551385">
        <w:t>y</w:t>
      </w:r>
      <w:r w:rsidR="00551385" w:rsidRPr="008364B5">
        <w:t xml:space="preserve"> plodnosti</w:t>
      </w:r>
      <w:r w:rsidR="00551385">
        <w:t xml:space="preserve"> založené na řádu přírody</w:t>
      </w:r>
      <w:r w:rsidR="00551385" w:rsidRPr="008364B5">
        <w:t>.</w:t>
      </w:r>
      <w:r w:rsidR="00551385">
        <w:t xml:space="preserve"> </w:t>
      </w:r>
      <w:r w:rsidR="00551385" w:rsidRPr="00551385">
        <w:rPr>
          <w:i/>
        </w:rPr>
        <w:t>Corruptio optimi pessima</w:t>
      </w:r>
      <w:r w:rsidR="00551385">
        <w:t>.</w:t>
      </w:r>
    </w:p>
    <w:p w:rsidR="08163013" w:rsidRPr="00297039" w:rsidRDefault="08163013" w:rsidP="00ED0DAE">
      <w:r>
        <w:tab/>
        <w:t xml:space="preserve">Cesty od dějinnosti </w:t>
      </w:r>
      <w:r w:rsidR="004011B5">
        <w:t xml:space="preserve">moudrého Západu </w:t>
      </w:r>
      <w:r>
        <w:t xml:space="preserve">k dějinám latinského Západu ukazuje výklad </w:t>
      </w:r>
      <w:r w:rsidR="009F21E9">
        <w:t xml:space="preserve">hermeneutických </w:t>
      </w:r>
      <w:r>
        <w:t>existenciálů</w:t>
      </w:r>
      <w:r w:rsidR="08621779">
        <w:t xml:space="preserve"> </w:t>
      </w:r>
      <w:r w:rsidR="004C5A37">
        <w:t xml:space="preserve">vytvořených skrze </w:t>
      </w:r>
      <w:r w:rsidR="004C5A37" w:rsidRPr="004C5A37">
        <w:rPr>
          <w:i/>
        </w:rPr>
        <w:t>da</w:t>
      </w:r>
      <w:r w:rsidR="004C5A37" w:rsidRPr="004C5A37">
        <w:rPr>
          <w:i/>
          <w:lang w:eastAsia="en-US"/>
        </w:rPr>
        <w:t>tivus</w:t>
      </w:r>
      <w:r w:rsidR="004C5A37" w:rsidRPr="00004A67">
        <w:rPr>
          <w:i/>
          <w:lang w:eastAsia="en-US"/>
        </w:rPr>
        <w:t xml:space="preserve"> obiectivus</w:t>
      </w:r>
      <w:r w:rsidR="004C5A37">
        <w:rPr>
          <w:i/>
          <w:lang w:eastAsia="en-US"/>
        </w:rPr>
        <w:fldChar w:fldCharType="begin"/>
      </w:r>
      <w:r w:rsidR="004C5A37">
        <w:instrText xml:space="preserve"> XE "</w:instrText>
      </w:r>
      <w:r w:rsidR="004C5A37" w:rsidRPr="00AE619D">
        <w:rPr>
          <w:i/>
          <w:lang w:eastAsia="en-US"/>
        </w:rPr>
        <w:instrText>dativus obiectivus</w:instrText>
      </w:r>
      <w:r w:rsidR="004C5A37">
        <w:instrText xml:space="preserve">" </w:instrText>
      </w:r>
      <w:r w:rsidR="004C5A37">
        <w:rPr>
          <w:i/>
          <w:lang w:eastAsia="en-US"/>
        </w:rPr>
        <w:fldChar w:fldCharType="end"/>
      </w:r>
      <w:r w:rsidR="004C5A37">
        <w:rPr>
          <w:i/>
          <w:lang w:eastAsia="en-US"/>
        </w:rPr>
        <w:t xml:space="preserve"> </w:t>
      </w:r>
      <w:r w:rsidR="08621779">
        <w:t xml:space="preserve">(kap. 4). </w:t>
      </w:r>
      <w:r>
        <w:t xml:space="preserve"> Změna matrice epochálních objektivních dativů ukazuje, že </w:t>
      </w:r>
      <w:r w:rsidRPr="00273106">
        <w:t xml:space="preserve">Olivi otevřel nihilistické stádium metafyziky, která </w:t>
      </w:r>
      <w:r>
        <w:t xml:space="preserve">stojí na nově definovaném </w:t>
      </w:r>
      <w:r w:rsidRPr="00273106">
        <w:t>subjekt</w:t>
      </w:r>
      <w:r>
        <w:t>u</w:t>
      </w:r>
      <w:r w:rsidRPr="00273106">
        <w:t>.</w:t>
      </w:r>
      <w:r>
        <w:t xml:space="preserve"> Vznik nositele hypostázované vůle má zásadní charakter, protože proměňuje celou matrici objektivity. Nová forma </w:t>
      </w:r>
      <w:r w:rsidRPr="00BF1E0D">
        <w:rPr>
          <w:i/>
        </w:rPr>
        <w:t>dativus obiectivus</w:t>
      </w:r>
      <w:r>
        <w:rPr>
          <w:i/>
        </w:rPr>
        <w:fldChar w:fldCharType="begin"/>
      </w:r>
      <w:r>
        <w:instrText xml:space="preserve"> XE "</w:instrText>
      </w:r>
      <w:r w:rsidRPr="00343046">
        <w:rPr>
          <w:i/>
        </w:rPr>
        <w:instrText>d</w:instrText>
      </w:r>
      <w:r w:rsidRPr="00343046">
        <w:rPr>
          <w:i/>
          <w:iCs/>
        </w:rPr>
        <w:instrText>ativus obiectivus</w:instrText>
      </w:r>
      <w:r>
        <w:instrText xml:space="preserve">" </w:instrText>
      </w:r>
      <w:r>
        <w:rPr>
          <w:i/>
        </w:rPr>
        <w:fldChar w:fldCharType="end"/>
      </w:r>
      <w:r>
        <w:t xml:space="preserve"> posílá modernu na cestu metafyzického nihilismu. Aby se našel ztracený smysl první substance, moderní a postmoderní demiurg musí stvořit objektivní svět </w:t>
      </w:r>
      <w:r w:rsidRPr="0844114F">
        <w:rPr>
          <w:i/>
        </w:rPr>
        <w:t>ex nihilo</w:t>
      </w:r>
      <w:r>
        <w:rPr>
          <w:i/>
        </w:rPr>
        <w:fldChar w:fldCharType="begin"/>
      </w:r>
      <w:r>
        <w:instrText xml:space="preserve"> XE "</w:instrText>
      </w:r>
      <w:r w:rsidRPr="08656406">
        <w:rPr>
          <w:i/>
        </w:rPr>
        <w:instrText>creatio ex nihilo</w:instrText>
      </w:r>
      <w:r>
        <w:instrText xml:space="preserve">" </w:instrText>
      </w:r>
      <w:r>
        <w:rPr>
          <w:i/>
        </w:rPr>
        <w:fldChar w:fldCharType="end"/>
      </w:r>
      <w:r>
        <w:t xml:space="preserve"> stejně jako Descartes. Demiurg musí svět objektivně myslet v modu </w:t>
      </w:r>
      <w:r w:rsidR="009438C1">
        <w:t>„</w:t>
      </w:r>
      <w:r w:rsidRPr="08522FA0">
        <w:rPr>
          <w:i/>
        </w:rPr>
        <w:t>semel</w:t>
      </w:r>
      <w:r>
        <w:t>‒</w:t>
      </w:r>
      <w:r w:rsidRPr="08522FA0">
        <w:rPr>
          <w:i/>
        </w:rPr>
        <w:t>semper</w:t>
      </w:r>
      <w:r w:rsidR="009438C1">
        <w:t>“. P</w:t>
      </w:r>
      <w:r>
        <w:t>odle citovaného Avicebrona je materie a forma ve svém reálném bytí p</w:t>
      </w:r>
      <w:r w:rsidR="009438C1">
        <w:t>roduktem demiurgické vůle</w:t>
      </w:r>
      <w:r>
        <w:t xml:space="preserve">. </w:t>
      </w:r>
      <w:r w:rsidR="00956EDA">
        <w:t xml:space="preserve">Objektivní </w:t>
      </w:r>
      <w:r w:rsidR="00956EDA" w:rsidRPr="00F60F2E">
        <w:rPr>
          <w:i/>
        </w:rPr>
        <w:t>factum</w:t>
      </w:r>
      <w:r w:rsidR="00956EDA">
        <w:t xml:space="preserve"> nové podoby </w:t>
      </w:r>
      <w:r w:rsidR="00956EDA" w:rsidRPr="00956EDA">
        <w:rPr>
          <w:i/>
        </w:rPr>
        <w:t>tertium ens</w:t>
      </w:r>
      <w:r w:rsidR="00956EDA">
        <w:t xml:space="preserve"> je definované jako potence demiurgického subjektu </w:t>
      </w:r>
      <w:r w:rsidR="00956EDA">
        <w:rPr>
          <w:szCs w:val="24"/>
        </w:rPr>
        <w:t>(</w:t>
      </w:r>
      <w:r w:rsidR="00956EDA" w:rsidRPr="00C130B9">
        <w:rPr>
          <w:i/>
          <w:szCs w:val="24"/>
        </w:rPr>
        <w:t>dativus auctoris</w:t>
      </w:r>
      <w:r w:rsidR="00956EDA">
        <w:rPr>
          <w:i/>
          <w:szCs w:val="24"/>
        </w:rPr>
        <w:fldChar w:fldCharType="begin"/>
      </w:r>
      <w:r w:rsidR="00956EDA">
        <w:instrText xml:space="preserve"> XE "</w:instrText>
      </w:r>
      <w:r w:rsidR="00956EDA" w:rsidRPr="00776211">
        <w:rPr>
          <w:i/>
          <w:szCs w:val="24"/>
        </w:rPr>
        <w:instrText>dativus auctoris</w:instrText>
      </w:r>
      <w:r w:rsidR="00956EDA">
        <w:instrText xml:space="preserve">" </w:instrText>
      </w:r>
      <w:r w:rsidR="00956EDA">
        <w:rPr>
          <w:i/>
          <w:szCs w:val="24"/>
        </w:rPr>
        <w:fldChar w:fldCharType="end"/>
      </w:r>
      <w:r w:rsidR="00956EDA">
        <w:rPr>
          <w:szCs w:val="24"/>
        </w:rPr>
        <w:t xml:space="preserve">). </w:t>
      </w:r>
      <w:r>
        <w:t xml:space="preserve">Proto je </w:t>
      </w:r>
      <w:r w:rsidR="08DA7FE0">
        <w:t xml:space="preserve">objektivní </w:t>
      </w:r>
      <w:r>
        <w:t>jsoucno přivlastněno skrze intimní a svobodnou formu d</w:t>
      </w:r>
      <w:r w:rsidR="00956EDA">
        <w:t>emiurgické vůle nového subjektu</w:t>
      </w:r>
      <w:r>
        <w:rPr>
          <w:iCs/>
        </w:rPr>
        <w:t xml:space="preserve">. </w:t>
      </w:r>
      <w:r w:rsidR="00956EDA">
        <w:rPr>
          <w:iCs/>
        </w:rPr>
        <w:t xml:space="preserve">Svět změněný na objektivní simulákrum vytvořil novou formu </w:t>
      </w:r>
      <w:r w:rsidRPr="00681914">
        <w:rPr>
          <w:i/>
        </w:rPr>
        <w:t>dativus auctoris</w:t>
      </w:r>
      <w:r>
        <w:rPr>
          <w:i/>
        </w:rPr>
        <w:fldChar w:fldCharType="begin"/>
      </w:r>
      <w:r>
        <w:instrText xml:space="preserve"> XE "</w:instrText>
      </w:r>
      <w:r w:rsidRPr="00C5228F">
        <w:rPr>
          <w:i/>
          <w:iCs/>
        </w:rPr>
        <w:instrText>dativus auctoris</w:instrText>
      </w:r>
      <w:r>
        <w:instrText xml:space="preserve">" </w:instrText>
      </w:r>
      <w:r>
        <w:rPr>
          <w:i/>
        </w:rPr>
        <w:fldChar w:fldCharType="end"/>
      </w:r>
      <w:r w:rsidR="00297039">
        <w:t xml:space="preserve">. </w:t>
      </w:r>
      <w:r w:rsidR="00297039" w:rsidRPr="00297039">
        <w:t xml:space="preserve">Svět proměněný v objektivní simulakrum vytvořil novou formu </w:t>
      </w:r>
      <w:r w:rsidR="00297039" w:rsidRPr="00297039">
        <w:rPr>
          <w:i/>
        </w:rPr>
        <w:t>dativus auctoris</w:t>
      </w:r>
      <w:r w:rsidR="00297039" w:rsidRPr="00297039">
        <w:t>. Západní subjekt se stal sídlem svobodné intimity vůle (</w:t>
      </w:r>
      <w:r w:rsidR="00297039" w:rsidRPr="00297039">
        <w:rPr>
          <w:i/>
        </w:rPr>
        <w:t>Ge-Stell</w:t>
      </w:r>
      <w:r w:rsidR="00297039">
        <w:rPr>
          <w:i/>
        </w:rPr>
        <w:fldChar w:fldCharType="begin"/>
      </w:r>
      <w:r w:rsidR="00297039">
        <w:instrText xml:space="preserve"> XE "</w:instrText>
      </w:r>
      <w:r w:rsidR="00297039" w:rsidRPr="00111683">
        <w:rPr>
          <w:i/>
        </w:rPr>
        <w:instrText>Ge-Stell</w:instrText>
      </w:r>
      <w:r w:rsidR="00297039">
        <w:instrText xml:space="preserve">" </w:instrText>
      </w:r>
      <w:r w:rsidR="00297039">
        <w:rPr>
          <w:i/>
        </w:rPr>
        <w:fldChar w:fldCharType="end"/>
      </w:r>
      <w:r w:rsidR="00297039" w:rsidRPr="00297039">
        <w:t>). Subjekt</w:t>
      </w:r>
      <w:r w:rsidR="00297039">
        <w:t xml:space="preserve">ivní vůle, stejně jako moderní bůh, zůstává v její </w:t>
      </w:r>
      <w:r w:rsidR="00297039" w:rsidRPr="00297039">
        <w:lastRenderedPageBreak/>
        <w:t xml:space="preserve">nedotknutelné demiurgické svobodě. </w:t>
      </w:r>
      <w:r w:rsidR="00297039">
        <w:t>Moderní subjekt je oddělen</w:t>
      </w:r>
      <w:r w:rsidR="00297039" w:rsidRPr="00297039">
        <w:t xml:space="preserve"> od svého produktu </w:t>
      </w:r>
      <w:r w:rsidR="00297039">
        <w:t xml:space="preserve">skrze </w:t>
      </w:r>
      <w:r w:rsidR="00297039" w:rsidRPr="00297039">
        <w:rPr>
          <w:i/>
        </w:rPr>
        <w:t>factum</w:t>
      </w:r>
      <w:r w:rsidR="00297039" w:rsidRPr="00297039">
        <w:t xml:space="preserve"> intimní svob</w:t>
      </w:r>
      <w:r w:rsidR="00297039">
        <w:t xml:space="preserve">odné vůle, stejně jako </w:t>
      </w:r>
      <w:r w:rsidR="00FA7E99">
        <w:t xml:space="preserve">je </w:t>
      </w:r>
      <w:r w:rsidR="00297039">
        <w:t>moderní b</w:t>
      </w:r>
      <w:r w:rsidR="00297039" w:rsidRPr="00297039">
        <w:t>ůh</w:t>
      </w:r>
      <w:r w:rsidR="00FA7E99">
        <w:t xml:space="preserve"> oddělen od svého objektivně určeného stvoření</w:t>
      </w:r>
      <w:r w:rsidR="00297039" w:rsidRPr="00297039">
        <w:t xml:space="preserve">. </w:t>
      </w:r>
      <w:r>
        <w:rPr>
          <w:iCs/>
        </w:rPr>
        <w:t xml:space="preserve">Nové pojetí vůle změnilo ontoteologickou strukturu </w:t>
      </w:r>
      <w:r w:rsidR="00A27AE6">
        <w:rPr>
          <w:iCs/>
        </w:rPr>
        <w:t xml:space="preserve">moderní </w:t>
      </w:r>
      <w:r>
        <w:rPr>
          <w:iCs/>
        </w:rPr>
        <w:t>metafyziky</w:t>
      </w:r>
      <w:r w:rsidR="00577AB9">
        <w:rPr>
          <w:iCs/>
        </w:rPr>
        <w:t xml:space="preserve">. </w:t>
      </w:r>
      <w:r w:rsidR="00577AB9" w:rsidRPr="00577AB9">
        <w:rPr>
          <w:iCs/>
        </w:rPr>
        <w:t xml:space="preserve">Podle citovaného Avicebrona působí vůle na rovině </w:t>
      </w:r>
      <w:r w:rsidR="00577AB9">
        <w:rPr>
          <w:iCs/>
        </w:rPr>
        <w:t xml:space="preserve">materie </w:t>
      </w:r>
      <w:r w:rsidR="00577AB9" w:rsidRPr="00577AB9">
        <w:rPr>
          <w:iCs/>
        </w:rPr>
        <w:t>a formy jako další síla, která získala ontologický status.</w:t>
      </w:r>
      <w:r w:rsidR="00577AB9">
        <w:rPr>
          <w:iCs/>
        </w:rPr>
        <w:t xml:space="preserve"> </w:t>
      </w:r>
      <w:r w:rsidR="00557981">
        <w:rPr>
          <w:iCs/>
        </w:rPr>
        <w:t>Vznikla voluntaristická struktura</w:t>
      </w:r>
      <w:r>
        <w:rPr>
          <w:iCs/>
        </w:rPr>
        <w:t xml:space="preserve"> jsoucna determinovaného </w:t>
      </w:r>
      <w:r w:rsidRPr="00273106">
        <w:rPr>
          <w:iCs/>
        </w:rPr>
        <w:t>vzhl</w:t>
      </w:r>
      <w:r>
        <w:rPr>
          <w:iCs/>
        </w:rPr>
        <w:t xml:space="preserve">edem ke svobodnému božímu a lidskému demiurgovi </w:t>
      </w:r>
      <w:r w:rsidRPr="00273106">
        <w:rPr>
          <w:iCs/>
        </w:rPr>
        <w:t xml:space="preserve">jako </w:t>
      </w:r>
      <w:r>
        <w:rPr>
          <w:iCs/>
        </w:rPr>
        <w:t xml:space="preserve">absolutnímu </w:t>
      </w:r>
      <w:r w:rsidRPr="00273106">
        <w:rPr>
          <w:iCs/>
        </w:rPr>
        <w:t>dárci forem (</w:t>
      </w:r>
      <w:r w:rsidRPr="00273106">
        <w:rPr>
          <w:i/>
          <w:iCs/>
        </w:rPr>
        <w:t>dativus finalis</w:t>
      </w:r>
      <w:r>
        <w:rPr>
          <w:i/>
          <w:iCs/>
        </w:rPr>
        <w:fldChar w:fldCharType="begin"/>
      </w:r>
      <w:r>
        <w:instrText xml:space="preserve"> XE "</w:instrText>
      </w:r>
      <w:r w:rsidRPr="008729B1">
        <w:rPr>
          <w:i/>
          <w:iCs/>
        </w:rPr>
        <w:instrText>dativus finalis</w:instrText>
      </w:r>
      <w:r>
        <w:instrText xml:space="preserve">" </w:instrText>
      </w:r>
      <w:r>
        <w:rPr>
          <w:i/>
          <w:iCs/>
        </w:rPr>
        <w:fldChar w:fldCharType="end"/>
      </w:r>
      <w:r w:rsidRPr="00273106">
        <w:rPr>
          <w:iCs/>
        </w:rPr>
        <w:t>)</w:t>
      </w:r>
      <w:r>
        <w:rPr>
          <w:iCs/>
        </w:rPr>
        <w:t xml:space="preserve">. </w:t>
      </w:r>
      <w:r w:rsidR="00D84840">
        <w:rPr>
          <w:iCs/>
        </w:rPr>
        <w:t>Oba dativy</w:t>
      </w:r>
      <w:r w:rsidR="00D84840" w:rsidRPr="00D84840">
        <w:rPr>
          <w:iCs/>
        </w:rPr>
        <w:t xml:space="preserve"> (</w:t>
      </w:r>
      <w:r w:rsidR="00D84840" w:rsidRPr="00D84840">
        <w:rPr>
          <w:i/>
          <w:iCs/>
        </w:rPr>
        <w:t>auctoris, finalis</w:t>
      </w:r>
      <w:r w:rsidR="00D84840">
        <w:rPr>
          <w:iCs/>
        </w:rPr>
        <w:t>) utvářely</w:t>
      </w:r>
      <w:r w:rsidR="00D84840" w:rsidRPr="00D84840">
        <w:rPr>
          <w:iCs/>
        </w:rPr>
        <w:t xml:space="preserve"> demiurgickou</w:t>
      </w:r>
      <w:r w:rsidR="00D84840">
        <w:rPr>
          <w:iCs/>
        </w:rPr>
        <w:t xml:space="preserve"> vůli v tom smyslu, že založila </w:t>
      </w:r>
      <w:r w:rsidR="00D84840" w:rsidRPr="00D84840">
        <w:rPr>
          <w:iCs/>
        </w:rPr>
        <w:t>kapitalistický</w:t>
      </w:r>
      <w:r w:rsidR="00F103B6">
        <w:fldChar w:fldCharType="begin"/>
      </w:r>
      <w:r w:rsidR="00F103B6">
        <w:instrText xml:space="preserve"> XE "</w:instrText>
      </w:r>
      <w:r w:rsidR="00F103B6" w:rsidRPr="00CF35F2">
        <w:instrText>kapitalismus</w:instrText>
      </w:r>
      <w:r w:rsidR="00F103B6">
        <w:instrText xml:space="preserve">" </w:instrText>
      </w:r>
      <w:r w:rsidR="00F103B6">
        <w:fldChar w:fldCharType="end"/>
      </w:r>
      <w:r w:rsidR="00D84840" w:rsidRPr="00D84840">
        <w:rPr>
          <w:iCs/>
        </w:rPr>
        <w:t xml:space="preserve"> systém </w:t>
      </w:r>
      <w:r w:rsidR="00D84840">
        <w:rPr>
          <w:iCs/>
        </w:rPr>
        <w:t xml:space="preserve">univerzálně určeného </w:t>
      </w:r>
      <w:r w:rsidR="00D84840" w:rsidRPr="00D84840">
        <w:rPr>
          <w:iCs/>
        </w:rPr>
        <w:t>vykořisťování.</w:t>
      </w:r>
      <w:r w:rsidR="00F103B6">
        <w:rPr>
          <w:iCs/>
        </w:rPr>
        <w:t xml:space="preserve"> Tím vznikl nový n</w:t>
      </w:r>
      <w:r w:rsidRPr="00273106">
        <w:rPr>
          <w:iCs/>
        </w:rPr>
        <w:t>áhled</w:t>
      </w:r>
      <w:r w:rsidR="00E12FC8">
        <w:rPr>
          <w:iCs/>
        </w:rPr>
        <w:t xml:space="preserve"> na celek jsoucna</w:t>
      </w:r>
      <w:r w:rsidR="00F103B6">
        <w:rPr>
          <w:iCs/>
        </w:rPr>
        <w:t>. Celek jsoucna se stal sekundární modalitou, kterou primárně určuje kapitalistický subjekt</w:t>
      </w:r>
      <w:r w:rsidR="00E12FC8">
        <w:rPr>
          <w:iCs/>
        </w:rPr>
        <w:t xml:space="preserve"> </w:t>
      </w:r>
      <w:r w:rsidR="00E12FC8" w:rsidRPr="00273106">
        <w:rPr>
          <w:iCs/>
        </w:rPr>
        <w:t>(</w:t>
      </w:r>
      <w:r w:rsidR="00E12FC8" w:rsidRPr="00273106">
        <w:rPr>
          <w:i/>
          <w:iCs/>
        </w:rPr>
        <w:t>dativus modi</w:t>
      </w:r>
      <w:r w:rsidR="00E12FC8">
        <w:rPr>
          <w:i/>
          <w:iCs/>
        </w:rPr>
        <w:fldChar w:fldCharType="begin"/>
      </w:r>
      <w:r w:rsidR="00E12FC8">
        <w:instrText xml:space="preserve"> XE "</w:instrText>
      </w:r>
      <w:r w:rsidR="00E12FC8" w:rsidRPr="00AC18E0">
        <w:rPr>
          <w:i/>
          <w:iCs/>
        </w:rPr>
        <w:instrText>dativus modi</w:instrText>
      </w:r>
      <w:r w:rsidR="00E12FC8">
        <w:instrText xml:space="preserve">" </w:instrText>
      </w:r>
      <w:r w:rsidR="00E12FC8">
        <w:rPr>
          <w:i/>
          <w:iCs/>
        </w:rPr>
        <w:fldChar w:fldCharType="end"/>
      </w:r>
      <w:r w:rsidR="00E12FC8" w:rsidRPr="00273106">
        <w:rPr>
          <w:iCs/>
        </w:rPr>
        <w:t>)</w:t>
      </w:r>
      <w:r>
        <w:rPr>
          <w:iCs/>
        </w:rPr>
        <w:t xml:space="preserve">. </w:t>
      </w:r>
      <w:r w:rsidR="00304EF6">
        <w:rPr>
          <w:iCs/>
        </w:rPr>
        <w:t xml:space="preserve">První verzi tohoto </w:t>
      </w:r>
      <w:r w:rsidR="00304EF6" w:rsidRPr="00304EF6">
        <w:rPr>
          <w:i/>
          <w:iCs/>
        </w:rPr>
        <w:t>dativus modi</w:t>
      </w:r>
      <w:r w:rsidR="00304EF6">
        <w:rPr>
          <w:iCs/>
        </w:rPr>
        <w:t xml:space="preserve"> podává d</w:t>
      </w:r>
      <w:r>
        <w:rPr>
          <w:iCs/>
        </w:rPr>
        <w:t xml:space="preserve">rama svobodné vůle v rámci </w:t>
      </w:r>
      <w:r w:rsidR="00A07F7C">
        <w:rPr>
          <w:iCs/>
        </w:rPr>
        <w:t>dějin spásy, které zásadně reform</w:t>
      </w:r>
      <w:r w:rsidR="00DD36DB">
        <w:rPr>
          <w:iCs/>
        </w:rPr>
        <w:t>ov</w:t>
      </w:r>
      <w:r w:rsidR="00A07F7C">
        <w:rPr>
          <w:iCs/>
        </w:rPr>
        <w:t xml:space="preserve">al </w:t>
      </w:r>
      <w:r w:rsidR="00DD36DB">
        <w:rPr>
          <w:iCs/>
        </w:rPr>
        <w:t xml:space="preserve">Martin </w:t>
      </w:r>
      <w:r>
        <w:rPr>
          <w:iCs/>
        </w:rPr>
        <w:t>Luther</w:t>
      </w:r>
      <w:r>
        <w:rPr>
          <w:iCs/>
        </w:rPr>
        <w:fldChar w:fldCharType="begin"/>
      </w:r>
      <w:r>
        <w:instrText xml:space="preserve"> XE "</w:instrText>
      </w:r>
      <w:r w:rsidRPr="00E478DC">
        <w:rPr>
          <w:iCs/>
        </w:rPr>
        <w:instrText>Luther, M.</w:instrText>
      </w:r>
      <w:r>
        <w:instrText xml:space="preserve">" </w:instrText>
      </w:r>
      <w:r>
        <w:rPr>
          <w:iCs/>
        </w:rPr>
        <w:fldChar w:fldCharType="end"/>
      </w:r>
      <w:r w:rsidR="00F031E2">
        <w:rPr>
          <w:iCs/>
        </w:rPr>
        <w:t xml:space="preserve">. Nová modalita teologie </w:t>
      </w:r>
      <w:r w:rsidR="085D6659">
        <w:rPr>
          <w:iCs/>
        </w:rPr>
        <w:t>představoval</w:t>
      </w:r>
      <w:r w:rsidR="00F031E2">
        <w:rPr>
          <w:iCs/>
        </w:rPr>
        <w:t>a</w:t>
      </w:r>
      <w:r w:rsidR="085D6659">
        <w:rPr>
          <w:iCs/>
        </w:rPr>
        <w:t xml:space="preserve"> vážnou výzvu pro </w:t>
      </w:r>
      <w:r>
        <w:rPr>
          <w:iCs/>
        </w:rPr>
        <w:t>katolicismu</w:t>
      </w:r>
      <w:r w:rsidR="085D6659">
        <w:rPr>
          <w:iCs/>
        </w:rPr>
        <w:t>s</w:t>
      </w:r>
      <w:r>
        <w:rPr>
          <w:iCs/>
        </w:rPr>
        <w:t xml:space="preserve">, kde spásu zprostředkovává církevní instituce. </w:t>
      </w:r>
      <w:r w:rsidR="009119F6" w:rsidRPr="009119F6">
        <w:rPr>
          <w:iCs/>
        </w:rPr>
        <w:t xml:space="preserve">Možnost spásy je tu vždy, protože lidská hříšnost a Boží milost jdou ruku v ruce. Obě tyto základní skutečnosti nového modálního dativu se zásadně vztahují k modernímu subjektu, který je chápe v podobě </w:t>
      </w:r>
      <w:r w:rsidR="006132E2">
        <w:rPr>
          <w:iCs/>
        </w:rPr>
        <w:t xml:space="preserve">Rufusovy </w:t>
      </w:r>
      <w:r w:rsidRPr="00C61093">
        <w:rPr>
          <w:i/>
        </w:rPr>
        <w:t>potentia substantialis</w:t>
      </w:r>
      <w:r>
        <w:rPr>
          <w:i/>
        </w:rPr>
        <w:fldChar w:fldCharType="begin"/>
      </w:r>
      <w:r>
        <w:instrText xml:space="preserve"> XE "</w:instrText>
      </w:r>
      <w:r w:rsidRPr="00263A8E">
        <w:rPr>
          <w:i/>
        </w:rPr>
        <w:instrText>potentia substantialis</w:instrText>
      </w:r>
      <w:r>
        <w:instrText xml:space="preserve">" </w:instrText>
      </w:r>
      <w:r>
        <w:rPr>
          <w:i/>
        </w:rPr>
        <w:fldChar w:fldCharType="end"/>
      </w:r>
      <w:r>
        <w:t xml:space="preserve">. </w:t>
      </w:r>
      <w:r>
        <w:rPr>
          <w:iCs/>
        </w:rPr>
        <w:t>No</w:t>
      </w:r>
      <w:r w:rsidRPr="00273106">
        <w:rPr>
          <w:iCs/>
        </w:rPr>
        <w:t xml:space="preserve">vá forma metafyziky </w:t>
      </w:r>
      <w:r>
        <w:rPr>
          <w:iCs/>
        </w:rPr>
        <w:t>vůle a objektivní jistoty vykoupení dostala nový m</w:t>
      </w:r>
      <w:r w:rsidR="00F26B41">
        <w:rPr>
          <w:iCs/>
        </w:rPr>
        <w:t xml:space="preserve">odus jedné vykupitelské pravdy. </w:t>
      </w:r>
      <w:r>
        <w:rPr>
          <w:iCs/>
        </w:rPr>
        <w:t>Lutherova reformace</w:t>
      </w:r>
      <w:r>
        <w:rPr>
          <w:iCs/>
        </w:rPr>
        <w:fldChar w:fldCharType="begin"/>
      </w:r>
      <w:r>
        <w:instrText xml:space="preserve"> XE "</w:instrText>
      </w:r>
      <w:r w:rsidRPr="00CB4F60">
        <w:rPr>
          <w:iCs/>
        </w:rPr>
        <w:instrText>Reformace</w:instrText>
      </w:r>
      <w:r>
        <w:instrText xml:space="preserve">" </w:instrText>
      </w:r>
      <w:r>
        <w:rPr>
          <w:iCs/>
        </w:rPr>
        <w:fldChar w:fldCharType="end"/>
      </w:r>
      <w:r>
        <w:rPr>
          <w:iCs/>
        </w:rPr>
        <w:t xml:space="preserve"> </w:t>
      </w:r>
      <w:r w:rsidRPr="00273106">
        <w:rPr>
          <w:iCs/>
        </w:rPr>
        <w:t xml:space="preserve">anulovala </w:t>
      </w:r>
      <w:r>
        <w:rPr>
          <w:iCs/>
        </w:rPr>
        <w:t xml:space="preserve">ontoteologický systém středověkého moderního katolicismu jako metafyzicky </w:t>
      </w:r>
      <w:r w:rsidR="00F26B41">
        <w:rPr>
          <w:iCs/>
        </w:rPr>
        <w:t xml:space="preserve">a teologicky </w:t>
      </w:r>
      <w:r>
        <w:rPr>
          <w:iCs/>
        </w:rPr>
        <w:t xml:space="preserve">zbytečnou přítěž </w:t>
      </w:r>
      <w:r w:rsidRPr="00273106">
        <w:rPr>
          <w:iCs/>
        </w:rPr>
        <w:t>(</w:t>
      </w:r>
      <w:r w:rsidRPr="00273106">
        <w:rPr>
          <w:i/>
          <w:iCs/>
        </w:rPr>
        <w:t>dativus incommodi</w:t>
      </w:r>
      <w:r>
        <w:rPr>
          <w:i/>
          <w:iCs/>
        </w:rPr>
        <w:fldChar w:fldCharType="begin"/>
      </w:r>
      <w:r>
        <w:instrText xml:space="preserve"> XE "</w:instrText>
      </w:r>
      <w:r w:rsidRPr="00C265A3">
        <w:rPr>
          <w:i/>
          <w:iCs/>
        </w:rPr>
        <w:instrText>dativus incommodi</w:instrText>
      </w:r>
      <w:r>
        <w:instrText xml:space="preserve">" </w:instrText>
      </w:r>
      <w:r>
        <w:rPr>
          <w:i/>
          <w:iCs/>
        </w:rPr>
        <w:fldChar w:fldCharType="end"/>
      </w:r>
      <w:r w:rsidRPr="00273106">
        <w:rPr>
          <w:iCs/>
        </w:rPr>
        <w:t>)</w:t>
      </w:r>
      <w:r w:rsidR="004F73DF">
        <w:rPr>
          <w:iCs/>
        </w:rPr>
        <w:t xml:space="preserve">. </w:t>
      </w:r>
      <w:r w:rsidR="00113F89" w:rsidRPr="00273106">
        <w:t>Původní nepravda objektivity</w:t>
      </w:r>
      <w:r w:rsidR="00113F89">
        <w:t xml:space="preserve"> </w:t>
      </w:r>
      <w:r w:rsidR="009D6B2F">
        <w:t xml:space="preserve">byla </w:t>
      </w:r>
      <w:r w:rsidR="00113F89">
        <w:t>daná v subjektivním genitivu Rufusova „</w:t>
      </w:r>
      <w:r w:rsidR="00113F89">
        <w:rPr>
          <w:i/>
        </w:rPr>
        <w:t>species</w:t>
      </w:r>
      <w:r w:rsidR="00113F89" w:rsidRPr="00273106">
        <w:rPr>
          <w:i/>
        </w:rPr>
        <w:t xml:space="preserve"> obiecti exsistentis</w:t>
      </w:r>
      <w:r w:rsidR="00113F89">
        <w:t>“</w:t>
      </w:r>
      <w:r w:rsidR="00113F89">
        <w:rPr>
          <w:i/>
        </w:rPr>
        <w:fldChar w:fldCharType="begin"/>
      </w:r>
      <w:r w:rsidR="00113F89">
        <w:instrText xml:space="preserve"> XE "</w:instrText>
      </w:r>
      <w:r w:rsidR="00113F89" w:rsidRPr="00C05196">
        <w:rPr>
          <w:i/>
        </w:rPr>
        <w:instrText>species</w:instrText>
      </w:r>
      <w:r w:rsidR="00113F89" w:rsidRPr="00C05196">
        <w:instrText xml:space="preserve"> </w:instrText>
      </w:r>
      <w:r w:rsidR="00113F89" w:rsidRPr="00C05196">
        <w:rPr>
          <w:i/>
        </w:rPr>
        <w:instrText>obiecti exsistentis</w:instrText>
      </w:r>
      <w:r w:rsidR="00113F89">
        <w:instrText xml:space="preserve">" </w:instrText>
      </w:r>
      <w:r w:rsidR="00113F89">
        <w:rPr>
          <w:i/>
        </w:rPr>
        <w:fldChar w:fldCharType="end"/>
      </w:r>
      <w:r w:rsidR="009D6B2F">
        <w:t xml:space="preserve">. </w:t>
      </w:r>
      <w:r w:rsidR="009D6B2F" w:rsidRPr="009D6B2F">
        <w:t>Skrytý účinek moderní metafyziky se projevil v objektivní neskr</w:t>
      </w:r>
      <w:r w:rsidR="009D6B2F">
        <w:t xml:space="preserve">ytosti </w:t>
      </w:r>
      <w:r w:rsidR="009D6B2F" w:rsidRPr="009D6B2F">
        <w:t xml:space="preserve">současného nihilismu založeného na vědecky a technicky dané západní vědě. </w:t>
      </w:r>
      <w:r w:rsidR="009D6B2F">
        <w:t xml:space="preserve">Jejím produktem jsou </w:t>
      </w:r>
      <w:r w:rsidR="00113F89" w:rsidRPr="00273106">
        <w:t>totalitní systémy a dvě světové války</w:t>
      </w:r>
      <w:r w:rsidR="00113F89">
        <w:t>. Její završení je dané současným</w:t>
      </w:r>
      <w:r w:rsidR="00113F89" w:rsidRPr="00273106">
        <w:t xml:space="preserve"> vítězství</w:t>
      </w:r>
      <w:r w:rsidR="00113F89">
        <w:t>m instrumentální racionality, která ve věku postmoderní demokracie a pravdy nastolila měkkou totalitu jednoho procenta a dnes už jen jednoho promile globálních</w:t>
      </w:r>
      <w:r w:rsidR="00113F89" w:rsidRPr="00273106">
        <w:t xml:space="preserve"> </w:t>
      </w:r>
      <w:r w:rsidR="00113F89">
        <w:t>plutokratů</w:t>
      </w:r>
      <w:r w:rsidR="00113F89" w:rsidRPr="00273106">
        <w:t>.</w:t>
      </w:r>
      <w:r w:rsidR="00113F89">
        <w:t xml:space="preserve"> </w:t>
      </w:r>
      <w:r>
        <w:t>P</w:t>
      </w:r>
      <w:r w:rsidRPr="00273106">
        <w:t xml:space="preserve">o soumraku </w:t>
      </w:r>
      <w:r>
        <w:t xml:space="preserve">platonských </w:t>
      </w:r>
      <w:r w:rsidRPr="00273106">
        <w:t>model u nihili</w:t>
      </w:r>
      <w:r>
        <w:t>stického Nietzscheho následuje</w:t>
      </w:r>
      <w:r w:rsidRPr="00273106">
        <w:t xml:space="preserve"> éra </w:t>
      </w:r>
      <w:r>
        <w:t xml:space="preserve">postmoderní </w:t>
      </w:r>
      <w:r w:rsidRPr="00273106">
        <w:t>prázdnoty a soumrak povi</w:t>
      </w:r>
      <w:r w:rsidR="00814B25">
        <w:t xml:space="preserve">nnosti (Lipovetsky 1983, 1992). </w:t>
      </w:r>
      <w:r w:rsidR="00D91CB5">
        <w:t>Závěrečná matrice popisuje</w:t>
      </w:r>
      <w:r>
        <w:t xml:space="preserve"> objektivní </w:t>
      </w:r>
      <w:r w:rsidR="00ED0DAE">
        <w:rPr>
          <w:i/>
        </w:rPr>
        <w:t>H</w:t>
      </w:r>
      <w:r w:rsidRPr="00273106">
        <w:rPr>
          <w:i/>
        </w:rPr>
        <w:t>exaëmeron</w:t>
      </w:r>
      <w:r>
        <w:t xml:space="preserve"> moderního světa</w:t>
      </w:r>
      <w:r w:rsidR="00D91CB5">
        <w:t xml:space="preserve">. Proto je třeba </w:t>
      </w:r>
      <w:r w:rsidRPr="00273106">
        <w:t xml:space="preserve">vyložit vznik </w:t>
      </w:r>
      <w:r>
        <w:t xml:space="preserve">moderního </w:t>
      </w:r>
      <w:r w:rsidRPr="00273106">
        <w:rPr>
          <w:rStyle w:val="Zkladntext158dkovn0pt"/>
          <w:color w:val="auto"/>
          <w:spacing w:val="0"/>
          <w:sz w:val="24"/>
          <w:lang w:val="cs-CZ"/>
        </w:rPr>
        <w:t>subjektu Záp</w:t>
      </w:r>
      <w:r>
        <w:rPr>
          <w:rStyle w:val="Zkladntext158dkovn0pt"/>
          <w:color w:val="auto"/>
          <w:spacing w:val="0"/>
          <w:sz w:val="24"/>
          <w:lang w:val="cs-CZ"/>
        </w:rPr>
        <w:t>adu a druhého počátku metafyziky.</w:t>
      </w:r>
      <w:r w:rsidRPr="00387BB6">
        <w:t xml:space="preserve"> </w:t>
      </w:r>
      <w:r w:rsidR="007A10FB" w:rsidRPr="007A10FB">
        <w:t>Hermeneutika objektivity musí spojit konec západní moderní metapfyziky s jejím počátkem, kt</w:t>
      </w:r>
      <w:r w:rsidR="001D7E68">
        <w:t>erý sahá až k Porfý</w:t>
      </w:r>
      <w:r w:rsidR="007A10FB">
        <w:t xml:space="preserve">riově </w:t>
      </w:r>
      <w:r w:rsidR="00EF4CA5">
        <w:t xml:space="preserve">dílu </w:t>
      </w:r>
      <w:r w:rsidR="007A10FB" w:rsidRPr="007A10FB">
        <w:rPr>
          <w:i/>
        </w:rPr>
        <w:t>Isagog</w:t>
      </w:r>
      <w:r w:rsidR="007A10FB">
        <w:rPr>
          <w:i/>
        </w:rPr>
        <w:t>e</w:t>
      </w:r>
      <w:r w:rsidR="007A10FB" w:rsidRPr="007A10FB">
        <w:t xml:space="preserve">. </w:t>
      </w:r>
      <w:r>
        <w:t xml:space="preserve">Spojení prvního a </w:t>
      </w:r>
      <w:r>
        <w:lastRenderedPageBreak/>
        <w:t xml:space="preserve">druhého averroismu </w:t>
      </w:r>
      <w:r w:rsidRPr="00273106">
        <w:t>založil</w:t>
      </w:r>
      <w:r>
        <w:t>o</w:t>
      </w:r>
      <w:r w:rsidRPr="00273106">
        <w:t xml:space="preserve"> objektivitu </w:t>
      </w:r>
      <w:r w:rsidRPr="00273106">
        <w:rPr>
          <w:i/>
        </w:rPr>
        <w:t>Modernorum</w:t>
      </w:r>
      <w:r w:rsidRPr="00273106">
        <w:t xml:space="preserve"> směrem od intimní vůle subjektu. </w:t>
      </w:r>
      <w:r w:rsidRPr="00273106">
        <w:rPr>
          <w:iCs/>
        </w:rPr>
        <w:t xml:space="preserve">Ipseita člověka podle Sigerova mistrovského výkladu </w:t>
      </w:r>
      <w:r>
        <w:rPr>
          <w:iCs/>
        </w:rPr>
        <w:t>Averroes</w:t>
      </w:r>
      <w:r w:rsidRPr="00273106">
        <w:rPr>
          <w:iCs/>
        </w:rPr>
        <w:t xml:space="preserve">e určuje základní fenomenální </w:t>
      </w:r>
      <w:r w:rsidR="003D6DF6">
        <w:rPr>
          <w:iCs/>
        </w:rPr>
        <w:t>jednotu o</w:t>
      </w:r>
      <w:r>
        <w:rPr>
          <w:iCs/>
        </w:rPr>
        <w:t>soby</w:t>
      </w:r>
      <w:r w:rsidR="085D6659">
        <w:rPr>
          <w:iCs/>
        </w:rPr>
        <w:t>. Klasick</w:t>
      </w:r>
      <w:r w:rsidR="08535ECE">
        <w:rPr>
          <w:iCs/>
        </w:rPr>
        <w:t>á</w:t>
      </w:r>
      <w:r w:rsidR="085D6659">
        <w:rPr>
          <w:iCs/>
        </w:rPr>
        <w:t xml:space="preserve"> metafyzika sleduje </w:t>
      </w:r>
      <w:r w:rsidR="00412A1A">
        <w:rPr>
          <w:iCs/>
        </w:rPr>
        <w:t xml:space="preserve">cestu </w:t>
      </w:r>
      <w:r w:rsidR="085D6659">
        <w:rPr>
          <w:iCs/>
        </w:rPr>
        <w:t>me</w:t>
      </w:r>
      <w:r w:rsidR="00412A1A">
        <w:t>tafyzického</w:t>
      </w:r>
      <w:r w:rsidR="081942A4">
        <w:t xml:space="preserve"> </w:t>
      </w:r>
      <w:r>
        <w:rPr>
          <w:iCs/>
        </w:rPr>
        <w:t>dativ</w:t>
      </w:r>
      <w:r w:rsidR="00412A1A">
        <w:rPr>
          <w:iCs/>
        </w:rPr>
        <w:t>u</w:t>
      </w:r>
      <w:r>
        <w:rPr>
          <w:iCs/>
        </w:rPr>
        <w:t xml:space="preserve"> </w:t>
      </w:r>
      <w:r w:rsidR="085D6659">
        <w:rPr>
          <w:iCs/>
        </w:rPr>
        <w:t>(</w:t>
      </w:r>
      <w:r w:rsidR="085D6659" w:rsidRPr="08535ECE">
        <w:rPr>
          <w:i/>
          <w:iCs/>
        </w:rPr>
        <w:t>dativus metaphysicus</w:t>
      </w:r>
      <w:r w:rsidR="08535ECE">
        <w:rPr>
          <w:i/>
          <w:iCs/>
        </w:rPr>
        <w:fldChar w:fldCharType="begin"/>
      </w:r>
      <w:r w:rsidR="08535ECE">
        <w:instrText xml:space="preserve"> XE "</w:instrText>
      </w:r>
      <w:r w:rsidR="08535ECE" w:rsidRPr="08D55665">
        <w:rPr>
          <w:i/>
          <w:iCs/>
        </w:rPr>
        <w:instrText>dativus metaphysicus</w:instrText>
      </w:r>
      <w:r w:rsidR="08535ECE">
        <w:instrText xml:space="preserve">" </w:instrText>
      </w:r>
      <w:r w:rsidR="08535ECE">
        <w:rPr>
          <w:i/>
          <w:iCs/>
        </w:rPr>
        <w:fldChar w:fldCharType="end"/>
      </w:r>
      <w:r w:rsidR="085D6659">
        <w:rPr>
          <w:iCs/>
        </w:rPr>
        <w:t>)</w:t>
      </w:r>
      <w:r w:rsidR="08535ECE">
        <w:rPr>
          <w:iCs/>
        </w:rPr>
        <w:t xml:space="preserve">, a ne </w:t>
      </w:r>
      <w:r w:rsidR="00917EAA">
        <w:rPr>
          <w:iCs/>
        </w:rPr>
        <w:t>simulákra</w:t>
      </w:r>
      <w:r w:rsidR="00412A1A">
        <w:rPr>
          <w:iCs/>
        </w:rPr>
        <w:t xml:space="preserve"> vytvořená skrze </w:t>
      </w:r>
      <w:r w:rsidR="08535ECE">
        <w:rPr>
          <w:iCs/>
        </w:rPr>
        <w:t>objektivní dativ (</w:t>
      </w:r>
      <w:r w:rsidR="08535ECE" w:rsidRPr="08535ECE">
        <w:rPr>
          <w:i/>
          <w:iCs/>
        </w:rPr>
        <w:t>dativus obiectivus</w:t>
      </w:r>
      <w:r w:rsidR="08535ECE">
        <w:rPr>
          <w:i/>
          <w:iCs/>
        </w:rPr>
        <w:fldChar w:fldCharType="begin"/>
      </w:r>
      <w:r w:rsidR="08535ECE">
        <w:instrText xml:space="preserve"> XE "</w:instrText>
      </w:r>
      <w:r w:rsidR="08535ECE" w:rsidRPr="08F55714">
        <w:rPr>
          <w:i/>
          <w:iCs/>
        </w:rPr>
        <w:instrText>dativus obiectivus</w:instrText>
      </w:r>
      <w:r w:rsidR="08535ECE">
        <w:instrText xml:space="preserve">" </w:instrText>
      </w:r>
      <w:r w:rsidR="08535ECE">
        <w:rPr>
          <w:i/>
          <w:iCs/>
        </w:rPr>
        <w:fldChar w:fldCharType="end"/>
      </w:r>
      <w:r w:rsidR="08535ECE">
        <w:rPr>
          <w:iCs/>
        </w:rPr>
        <w:t xml:space="preserve">). </w:t>
      </w:r>
      <w:r w:rsidR="08640EB7">
        <w:rPr>
          <w:iCs/>
        </w:rPr>
        <w:t>Dona</w:t>
      </w:r>
      <w:r w:rsidR="08535ECE">
        <w:rPr>
          <w:iCs/>
        </w:rPr>
        <w:t>ce sm</w:t>
      </w:r>
      <w:r w:rsidR="08640EB7">
        <w:rPr>
          <w:iCs/>
        </w:rPr>
        <w:t>y</w:t>
      </w:r>
      <w:r w:rsidR="08535ECE">
        <w:rPr>
          <w:iCs/>
        </w:rPr>
        <w:t xml:space="preserve">slu jsoucna směrem od </w:t>
      </w:r>
      <w:r w:rsidR="00A95F6D">
        <w:rPr>
          <w:iCs/>
        </w:rPr>
        <w:t xml:space="preserve">reálného světa </w:t>
      </w:r>
      <w:r w:rsidR="00F21250">
        <w:rPr>
          <w:iCs/>
        </w:rPr>
        <w:t>první</w:t>
      </w:r>
      <w:r w:rsidR="00A95F6D">
        <w:rPr>
          <w:iCs/>
        </w:rPr>
        <w:t>ch substancí</w:t>
      </w:r>
      <w:r w:rsidR="00F21250">
        <w:rPr>
          <w:iCs/>
        </w:rPr>
        <w:t xml:space="preserve"> určuje </w:t>
      </w:r>
      <w:r w:rsidR="00F21250" w:rsidRPr="00F21250">
        <w:rPr>
          <w:iCs/>
        </w:rPr>
        <w:t>základní kategoriální predikaci osoby. Olivi navázal na Sigera</w:t>
      </w:r>
      <w:r w:rsidR="00F21250">
        <w:rPr>
          <w:iCs/>
        </w:rPr>
        <w:t xml:space="preserve"> zcela sofistickým způsobem. Převzal Sigerův termín „</w:t>
      </w:r>
      <w:r w:rsidR="00F21250" w:rsidRPr="00F21250">
        <w:rPr>
          <w:i/>
          <w:iCs/>
        </w:rPr>
        <w:t>homo ipse intelligit</w:t>
      </w:r>
      <w:r w:rsidR="00F21250">
        <w:rPr>
          <w:iCs/>
        </w:rPr>
        <w:t>“</w:t>
      </w:r>
      <w:r w:rsidR="00BB2AA2">
        <w:rPr>
          <w:iCs/>
        </w:rPr>
        <w:t xml:space="preserve">, ale vytvořil novou formu </w:t>
      </w:r>
      <w:r w:rsidR="00123A61">
        <w:rPr>
          <w:iCs/>
        </w:rPr>
        <w:t xml:space="preserve">esenciální </w:t>
      </w:r>
      <w:r w:rsidR="00F21250">
        <w:rPr>
          <w:iCs/>
        </w:rPr>
        <w:t>identity</w:t>
      </w:r>
      <w:r w:rsidR="00F21250" w:rsidRPr="00F21250">
        <w:rPr>
          <w:iCs/>
        </w:rPr>
        <w:t>.</w:t>
      </w:r>
      <w:r w:rsidR="00F21250">
        <w:rPr>
          <w:iCs/>
        </w:rPr>
        <w:t xml:space="preserve"> Nový „</w:t>
      </w:r>
      <w:r w:rsidR="00F21250" w:rsidRPr="00F21250">
        <w:rPr>
          <w:i/>
          <w:iCs/>
        </w:rPr>
        <w:t>actus essendi</w:t>
      </w:r>
      <w:r w:rsidR="00F21250">
        <w:rPr>
          <w:iCs/>
        </w:rPr>
        <w:t>“</w:t>
      </w:r>
      <w:r w:rsidR="00F21250" w:rsidRPr="00F21250">
        <w:rPr>
          <w:iCs/>
        </w:rPr>
        <w:t xml:space="preserve"> </w:t>
      </w:r>
      <w:r w:rsidR="00F21250">
        <w:rPr>
          <w:iCs/>
        </w:rPr>
        <w:t xml:space="preserve">se </w:t>
      </w:r>
      <w:r w:rsidR="00F21250" w:rsidRPr="00F21250">
        <w:rPr>
          <w:iCs/>
        </w:rPr>
        <w:t>vložil do lidské vůle, kt</w:t>
      </w:r>
      <w:r w:rsidR="00F21250">
        <w:rPr>
          <w:iCs/>
        </w:rPr>
        <w:t>erá dostala základní charakter „</w:t>
      </w:r>
      <w:r w:rsidR="00F21250" w:rsidRPr="00F21250">
        <w:rPr>
          <w:i/>
          <w:iCs/>
        </w:rPr>
        <w:t>ipse</w:t>
      </w:r>
      <w:r w:rsidR="00F21250">
        <w:rPr>
          <w:iCs/>
        </w:rPr>
        <w:t>“</w:t>
      </w:r>
      <w:r w:rsidR="00F21250" w:rsidRPr="00F21250">
        <w:rPr>
          <w:iCs/>
        </w:rPr>
        <w:t xml:space="preserve">. </w:t>
      </w:r>
      <w:r>
        <w:t xml:space="preserve">Mystický a praktický františkán </w:t>
      </w:r>
      <w:r w:rsidRPr="00273106">
        <w:rPr>
          <w:rStyle w:val="Zkladntext158dkovn0pt"/>
          <w:color w:val="auto"/>
          <w:spacing w:val="0"/>
          <w:sz w:val="24"/>
          <w:lang w:val="cs-CZ"/>
        </w:rPr>
        <w:t xml:space="preserve">Olivi </w:t>
      </w:r>
      <w:r>
        <w:rPr>
          <w:rStyle w:val="Zkladntext158dkovn0pt"/>
          <w:color w:val="auto"/>
          <w:spacing w:val="0"/>
          <w:sz w:val="24"/>
          <w:lang w:val="cs-CZ"/>
        </w:rPr>
        <w:t>představuje ve škole druhého averroismu stejně nadaného a originálního filosofa, jako byl oxfordský Rufus z Cornwallu. Olivi je první</w:t>
      </w:r>
      <w:r w:rsidRPr="00273106">
        <w:rPr>
          <w:rStyle w:val="Zkladntext158dkovn0pt"/>
          <w:color w:val="auto"/>
          <w:spacing w:val="0"/>
          <w:sz w:val="24"/>
          <w:lang w:val="cs-CZ"/>
        </w:rPr>
        <w:t xml:space="preserve"> </w:t>
      </w:r>
      <w:r>
        <w:t xml:space="preserve">myslitel </w:t>
      </w:r>
      <w:r>
        <w:rPr>
          <w:rStyle w:val="Zkladntext158dkovn0pt"/>
          <w:color w:val="auto"/>
          <w:spacing w:val="0"/>
          <w:sz w:val="24"/>
          <w:lang w:val="cs-CZ"/>
        </w:rPr>
        <w:t>Západu</w:t>
      </w:r>
      <w:r w:rsidRPr="00273106">
        <w:rPr>
          <w:rStyle w:val="Zkladntext158dkovn0pt"/>
          <w:color w:val="auto"/>
          <w:spacing w:val="0"/>
          <w:sz w:val="24"/>
          <w:lang w:val="cs-CZ"/>
        </w:rPr>
        <w:t xml:space="preserve">, který </w:t>
      </w:r>
      <w:r w:rsidR="006439C5">
        <w:rPr>
          <w:rStyle w:val="Zkladntext158dkovn0pt"/>
          <w:color w:val="auto"/>
          <w:spacing w:val="0"/>
          <w:sz w:val="24"/>
          <w:lang w:val="cs-CZ"/>
        </w:rPr>
        <w:t xml:space="preserve">koncipoval </w:t>
      </w:r>
      <w:r>
        <w:rPr>
          <w:rStyle w:val="Zkladntext158dkovn0pt"/>
          <w:color w:val="auto"/>
          <w:spacing w:val="0"/>
          <w:sz w:val="24"/>
          <w:lang w:val="cs-CZ"/>
        </w:rPr>
        <w:t>substančně pojatou vůli</w:t>
      </w:r>
      <w:r w:rsidRPr="00273106">
        <w:rPr>
          <w:rStyle w:val="Zkladntext158dkovn0pt"/>
          <w:color w:val="auto"/>
          <w:spacing w:val="0"/>
          <w:sz w:val="24"/>
          <w:lang w:val="cs-CZ"/>
        </w:rPr>
        <w:t xml:space="preserve"> </w:t>
      </w:r>
      <w:r>
        <w:rPr>
          <w:rStyle w:val="Zkladntext158dkovn0pt"/>
          <w:color w:val="auto"/>
          <w:spacing w:val="0"/>
          <w:sz w:val="24"/>
          <w:lang w:val="cs-CZ"/>
        </w:rPr>
        <w:t>jako jsoucno třetího druhu</w:t>
      </w:r>
      <w:r>
        <w:rPr>
          <w:rStyle w:val="Zkladntext158dkovn0pt"/>
          <w:color w:val="auto"/>
          <w:spacing w:val="0"/>
          <w:sz w:val="24"/>
          <w:lang w:val="cs-CZ"/>
        </w:rPr>
        <w:fldChar w:fldCharType="begin"/>
      </w:r>
      <w:r>
        <w:instrText xml:space="preserve"> XE "</w:instrText>
      </w:r>
      <w:r w:rsidRPr="00CC451A">
        <w:rPr>
          <w:i/>
        </w:rPr>
        <w:instrText>tertium ens</w:instrText>
      </w:r>
      <w:r w:rsidRPr="000A268A">
        <w:instrText>:vůle</w:instrText>
      </w:r>
      <w:r>
        <w:instrText xml:space="preserve">" </w:instrText>
      </w:r>
      <w:r>
        <w:rPr>
          <w:rStyle w:val="Zkladntext158dkovn0pt"/>
          <w:color w:val="auto"/>
          <w:spacing w:val="0"/>
          <w:sz w:val="24"/>
          <w:lang w:val="cs-CZ"/>
        </w:rPr>
        <w:fldChar w:fldCharType="end"/>
      </w:r>
      <w:r>
        <w:rPr>
          <w:rStyle w:val="Zkladntext158dkovn0pt"/>
          <w:color w:val="auto"/>
          <w:spacing w:val="0"/>
          <w:sz w:val="24"/>
          <w:lang w:val="cs-CZ"/>
        </w:rPr>
        <w:t xml:space="preserve">. </w:t>
      </w:r>
      <w:r w:rsidR="006439C5" w:rsidRPr="006439C5">
        <w:rPr>
          <w:rStyle w:val="Zkladntext158dkovn0pt"/>
          <w:color w:val="auto"/>
          <w:spacing w:val="0"/>
          <w:sz w:val="24"/>
          <w:lang w:val="cs-CZ"/>
        </w:rPr>
        <w:t>Augustinova a Avicennova filosof</w:t>
      </w:r>
      <w:r w:rsidR="006439C5">
        <w:rPr>
          <w:rStyle w:val="Zkladntext158dkovn0pt"/>
          <w:color w:val="auto"/>
          <w:spacing w:val="0"/>
          <w:sz w:val="24"/>
          <w:lang w:val="cs-CZ"/>
        </w:rPr>
        <w:t xml:space="preserve">ie dostala zcela moderní a plně </w:t>
      </w:r>
      <w:r w:rsidR="006439C5" w:rsidRPr="006439C5">
        <w:rPr>
          <w:rStyle w:val="Zkladntext158dkovn0pt"/>
          <w:color w:val="auto"/>
          <w:spacing w:val="0"/>
          <w:sz w:val="24"/>
          <w:lang w:val="cs-CZ"/>
        </w:rPr>
        <w:t xml:space="preserve">subjektivní charakter. </w:t>
      </w:r>
      <w:r>
        <w:rPr>
          <w:rStyle w:val="Zkladntext158dkovn0pt"/>
          <w:color w:val="auto"/>
          <w:spacing w:val="0"/>
          <w:sz w:val="24"/>
          <w:lang w:val="cs-CZ"/>
        </w:rPr>
        <w:t>N</w:t>
      </w:r>
      <w:r w:rsidR="00356899">
        <w:rPr>
          <w:iCs/>
        </w:rPr>
        <w:t>ová</w:t>
      </w:r>
      <w:r>
        <w:rPr>
          <w:iCs/>
        </w:rPr>
        <w:t xml:space="preserve"> </w:t>
      </w:r>
      <w:r w:rsidR="00356899">
        <w:rPr>
          <w:iCs/>
        </w:rPr>
        <w:t xml:space="preserve">událost </w:t>
      </w:r>
      <w:r>
        <w:t xml:space="preserve">bytí jsoucna </w:t>
      </w:r>
      <w:r w:rsidR="00356899">
        <w:t>(</w:t>
      </w:r>
      <w:r w:rsidR="00356899" w:rsidRPr="00273106">
        <w:rPr>
          <w:i/>
        </w:rPr>
        <w:t>Ereignis</w:t>
      </w:r>
      <w:r w:rsidR="00356899">
        <w:rPr>
          <w:i/>
        </w:rPr>
        <w:fldChar w:fldCharType="begin"/>
      </w:r>
      <w:r w:rsidR="00356899">
        <w:instrText xml:space="preserve"> XE "</w:instrText>
      </w:r>
      <w:r w:rsidR="00356899" w:rsidRPr="00120BB2">
        <w:rPr>
          <w:i/>
        </w:rPr>
        <w:instrText>Ereignis</w:instrText>
      </w:r>
      <w:r w:rsidR="00356899">
        <w:instrText xml:space="preserve">" </w:instrText>
      </w:r>
      <w:r w:rsidR="00356899">
        <w:rPr>
          <w:i/>
        </w:rPr>
        <w:fldChar w:fldCharType="end"/>
      </w:r>
      <w:r w:rsidR="00356899">
        <w:t xml:space="preserve">) byla ustavena </w:t>
      </w:r>
      <w:r w:rsidRPr="00BE0D37">
        <w:t>skrze metafyziku vůle</w:t>
      </w:r>
      <w:r w:rsidR="00D13B52">
        <w:t>. Přeměnou všech základních existenciálů objektivního dativu pokračovaly dějiny Západu skrze kapitalistický subjekt, který založil Bonaventura a Olivi</w:t>
      </w:r>
      <w:r>
        <w:t>.</w:t>
      </w:r>
    </w:p>
    <w:p w:rsidR="08163013" w:rsidRPr="00273106" w:rsidRDefault="00FE3EB0" w:rsidP="08163013">
      <w:pPr>
        <w:pStyle w:val="Nadpis3"/>
      </w:pPr>
      <w:bookmarkStart w:id="70" w:name="_Toc36144156"/>
      <w:r>
        <w:br w:type="page"/>
      </w:r>
      <w:bookmarkStart w:id="71" w:name="_Toc180231668"/>
      <w:r w:rsidR="08163013">
        <w:lastRenderedPageBreak/>
        <w:t>5</w:t>
      </w:r>
      <w:r w:rsidR="08163013" w:rsidRPr="00273106">
        <w:t xml:space="preserve">.1.1 </w:t>
      </w:r>
      <w:r w:rsidR="08163013">
        <w:t>Moderní subjekt a materiální paměť</w:t>
      </w:r>
      <w:bookmarkEnd w:id="70"/>
      <w:bookmarkEnd w:id="71"/>
    </w:p>
    <w:p w:rsidR="08163013" w:rsidRDefault="08163013" w:rsidP="08163013">
      <w:r>
        <w:t>Hermeneutika nejprve prozkoumá</w:t>
      </w:r>
      <w:r w:rsidRPr="00273106">
        <w:t xml:space="preserve"> fenomén vůle, která se stala nov</w:t>
      </w:r>
      <w:r>
        <w:t xml:space="preserve">ou formou jsoucna třetího druhu a dnes hraje rozhodující úlohu. </w:t>
      </w:r>
      <w:r w:rsidR="00EE6C92">
        <w:t>Nová dráha náhledu (</w:t>
      </w:r>
      <w:r w:rsidR="00EE6C92" w:rsidRPr="08EF1528">
        <w:rPr>
          <w:i/>
        </w:rPr>
        <w:t>Vor-blickbahn</w:t>
      </w:r>
      <w:r w:rsidR="00EE6C92">
        <w:rPr>
          <w:i/>
        </w:rPr>
        <w:fldChar w:fldCharType="begin"/>
      </w:r>
      <w:r w:rsidR="00EE6C92">
        <w:instrText xml:space="preserve"> XE "</w:instrText>
      </w:r>
      <w:r w:rsidR="00EE6C92" w:rsidRPr="086441B6">
        <w:rPr>
          <w:i/>
        </w:rPr>
        <w:instrText>Vor-blickbahn</w:instrText>
      </w:r>
      <w:r w:rsidR="00EE6C92">
        <w:instrText xml:space="preserve">" </w:instrText>
      </w:r>
      <w:r w:rsidR="00EE6C92">
        <w:rPr>
          <w:i/>
        </w:rPr>
        <w:fldChar w:fldCharType="end"/>
      </w:r>
      <w:r w:rsidR="00EE6C92">
        <w:t xml:space="preserve">) založila postmoderní smysl jsoucna. </w:t>
      </w:r>
      <w:r w:rsidR="00EE6C92" w:rsidRPr="00273106">
        <w:t xml:space="preserve">Kolem roku 1230‒50 existuje první podoba </w:t>
      </w:r>
      <w:r w:rsidR="00EE6C92">
        <w:t xml:space="preserve">moderního </w:t>
      </w:r>
      <w:r w:rsidR="00EE6C92" w:rsidRPr="00273106">
        <w:t>subjekt</w:t>
      </w:r>
      <w:r w:rsidR="00EE6C92">
        <w:t xml:space="preserve">u daného jako substrát poznání v rámci </w:t>
      </w:r>
      <w:r w:rsidR="00EE6C92" w:rsidRPr="004C7201">
        <w:rPr>
          <w:i/>
        </w:rPr>
        <w:t>Oxfordian Fallacy</w:t>
      </w:r>
      <w:r w:rsidR="00EE6C92">
        <w:t xml:space="preserve"> </w:t>
      </w:r>
      <w:r w:rsidR="00EE6C92" w:rsidRPr="00273106">
        <w:t xml:space="preserve">(Rufus, Bonaventura, Kilwardby, </w:t>
      </w:r>
      <w:r w:rsidR="00EE6C92">
        <w:t>Pecham</w:t>
      </w:r>
      <w:r w:rsidR="00EE6C92" w:rsidRPr="00273106">
        <w:t>)</w:t>
      </w:r>
      <w:r w:rsidR="00EE6C92">
        <w:t xml:space="preserve">. První vlna modernismu ale neměla </w:t>
      </w:r>
      <w:r w:rsidR="00EE6C92" w:rsidRPr="00273106">
        <w:t>plnohodnotný subjekt moderny nadaný svobodnou vůlí.</w:t>
      </w:r>
      <w:r w:rsidR="00EE6C92">
        <w:t xml:space="preserve"> V následující dekádě Bonaventura přidal k Rufusovu nositeli konkrétna a individuality také biblické zdůvodnění </w:t>
      </w:r>
      <w:r w:rsidR="006E3667">
        <w:t xml:space="preserve">jako nejvyššího </w:t>
      </w:r>
      <w:r w:rsidR="00EE6C92" w:rsidRPr="00273106">
        <w:t>produ</w:t>
      </w:r>
      <w:r w:rsidR="006E3667">
        <w:t xml:space="preserve">centa </w:t>
      </w:r>
      <w:r w:rsidR="00EE6C92">
        <w:t xml:space="preserve">jsoucna. </w:t>
      </w:r>
      <w:r w:rsidR="00DD5D88">
        <w:t xml:space="preserve">Suverénní intencionalita </w:t>
      </w:r>
      <w:r w:rsidR="00DD5D88" w:rsidRPr="00273106">
        <w:t xml:space="preserve">božského </w:t>
      </w:r>
      <w:r w:rsidR="00DD5D88">
        <w:t>a</w:t>
      </w:r>
      <w:r w:rsidR="00DD5D88" w:rsidRPr="00273106">
        <w:t xml:space="preserve"> lidského agenta</w:t>
      </w:r>
      <w:r w:rsidR="00DD5D88">
        <w:t xml:space="preserve"> je </w:t>
      </w:r>
      <w:r w:rsidR="003F565F">
        <w:t xml:space="preserve">základním </w:t>
      </w:r>
      <w:r w:rsidR="00DD5D88">
        <w:t>zdrojem demiurgické aktivity</w:t>
      </w:r>
      <w:r w:rsidR="00EE6C92" w:rsidRPr="00273106">
        <w:t xml:space="preserve">. </w:t>
      </w:r>
      <w:r w:rsidR="00EE6C92">
        <w:t xml:space="preserve">Jenže tento subjekt </w:t>
      </w:r>
      <w:r w:rsidR="000709EC">
        <w:t xml:space="preserve">existoval pouze jako </w:t>
      </w:r>
      <w:r w:rsidR="00EE6C92">
        <w:t>simulákru</w:t>
      </w:r>
      <w:r w:rsidR="000709EC">
        <w:t>m</w:t>
      </w:r>
      <w:r w:rsidR="00EE6C92">
        <w:t xml:space="preserve"> reality </w:t>
      </w:r>
      <w:r w:rsidR="000709EC">
        <w:t xml:space="preserve">a </w:t>
      </w:r>
      <w:r w:rsidR="00EE6C92">
        <w:t>byl vzdělaným aristotelikům k</w:t>
      </w:r>
      <w:r w:rsidR="000709EC">
        <w:t> </w:t>
      </w:r>
      <w:r w:rsidR="00EE6C92">
        <w:t>smíchu</w:t>
      </w:r>
      <w:r w:rsidR="000709EC">
        <w:t>. S</w:t>
      </w:r>
      <w:r w:rsidR="00EE6C92">
        <w:t xml:space="preserve">kládal se dvou až tří substancí třetího druhu, které byly navíc v konfliktu kvůli nekompatibilnímu charakteru substancí třetího druhu. </w:t>
      </w:r>
      <w:r w:rsidR="008B3B02" w:rsidRPr="00273106">
        <w:t xml:space="preserve">Nově založený subjekt Západu </w:t>
      </w:r>
      <w:r w:rsidR="008B3B02">
        <w:t xml:space="preserve">definovaný v pozdní škole druhého averroismu chápe </w:t>
      </w:r>
      <w:r w:rsidR="008B3B02" w:rsidRPr="00273106">
        <w:t xml:space="preserve">jsoucno </w:t>
      </w:r>
      <w:r w:rsidR="008B3B02">
        <w:t xml:space="preserve">na základě </w:t>
      </w:r>
      <w:r w:rsidR="008B3B02" w:rsidRPr="00273106">
        <w:t>pouhé možnosti</w:t>
      </w:r>
      <w:r w:rsidR="008B3B02">
        <w:t xml:space="preserve">. </w:t>
      </w:r>
      <w:r w:rsidR="00EE6C92">
        <w:t xml:space="preserve">Bonaventura je otcem moderního demiurgického subjektu, ale nevytvořil jeho objektivní metafyzickou podobu. </w:t>
      </w:r>
      <w:r w:rsidR="00686ED1">
        <w:t>Jeho hl</w:t>
      </w:r>
      <w:r w:rsidR="002B440C">
        <w:t xml:space="preserve">avním úkolem bylo umlčet kritiku ze školy prvního averroismu. </w:t>
      </w:r>
      <w:r w:rsidR="00CC5EA4">
        <w:t xml:space="preserve">Na rozdíl od Kilwardbyho, Bonaventury a Pechama, originální </w:t>
      </w:r>
      <w:r w:rsidR="003B3911">
        <w:t xml:space="preserve">Olivi </w:t>
      </w:r>
      <w:r w:rsidR="00CC5EA4">
        <w:t xml:space="preserve">správně </w:t>
      </w:r>
      <w:r w:rsidR="003B3911">
        <w:rPr>
          <w:rStyle w:val="Zkladntext158dkovn0pt"/>
          <w:color w:val="auto"/>
          <w:spacing w:val="0"/>
          <w:sz w:val="24"/>
          <w:lang w:val="cs-CZ"/>
        </w:rPr>
        <w:t xml:space="preserve">pochopil, že františkánská škola musí adekvátně filosoficky a teologicky reagovat na Sigerovu výzvu existenciálně pojaté ipseity podanou v jeho komentářích </w:t>
      </w:r>
      <w:r w:rsidR="003B3911" w:rsidRPr="00AA19F9">
        <w:rPr>
          <w:rStyle w:val="Zkladntext158dkovn0pt"/>
          <w:i/>
          <w:color w:val="auto"/>
          <w:spacing w:val="0"/>
          <w:sz w:val="24"/>
          <w:lang w:val="cs-CZ"/>
        </w:rPr>
        <w:t>De anima</w:t>
      </w:r>
      <w:r w:rsidR="003B3911">
        <w:rPr>
          <w:rStyle w:val="Zkladntext158dkovn0pt"/>
          <w:color w:val="auto"/>
          <w:spacing w:val="0"/>
          <w:sz w:val="24"/>
          <w:lang w:val="cs-CZ"/>
        </w:rPr>
        <w:t>.</w:t>
      </w:r>
      <w:r w:rsidR="00B344F0">
        <w:rPr>
          <w:rStyle w:val="Zkladntext158dkovn0pt"/>
          <w:color w:val="auto"/>
          <w:spacing w:val="0"/>
          <w:sz w:val="24"/>
          <w:lang w:val="cs-CZ"/>
        </w:rPr>
        <w:t xml:space="preserve"> </w:t>
      </w:r>
      <w:r w:rsidR="00B344F0" w:rsidRPr="00273106">
        <w:t xml:space="preserve">Determinace </w:t>
      </w:r>
      <w:r w:rsidR="00B344F0">
        <w:t xml:space="preserve">subjektu </w:t>
      </w:r>
      <w:r w:rsidR="00B344F0" w:rsidRPr="00273106">
        <w:t xml:space="preserve">skrze esenciálně a habituálně danou vůli </w:t>
      </w:r>
      <w:r w:rsidR="00B344F0">
        <w:t>zakoušenou v modu ipseity otevřela cestu antropocentrické metafyzice</w:t>
      </w:r>
      <w:r w:rsidR="00B344F0" w:rsidRPr="00273106">
        <w:t>.</w:t>
      </w:r>
      <w:r w:rsidR="006B7477">
        <w:t xml:space="preserve"> </w:t>
      </w:r>
      <w:r>
        <w:t>Zásadní změna přišla po roce 1270, kdy všichni schopní artisté v Paříži studovali debatu mezi Sigerem a Akvinským danou rozdílným pojetím jednoty osoby a intelektu (</w:t>
      </w:r>
      <w:r>
        <w:rPr>
          <w:i/>
        </w:rPr>
        <w:t>homo ipse intelligit</w:t>
      </w:r>
      <w:r>
        <w:rPr>
          <w:i/>
        </w:rPr>
        <w:fldChar w:fldCharType="begin"/>
      </w:r>
      <w:r>
        <w:instrText xml:space="preserve"> XE "</w:instrText>
      </w:r>
      <w:r w:rsidRPr="00B935DC">
        <w:rPr>
          <w:rStyle w:val="Zkladntext350"/>
        </w:rPr>
        <w:instrText>osoba</w:instrText>
      </w:r>
      <w:r w:rsidRPr="00B935DC">
        <w:rPr>
          <w:rStyle w:val="Zkladntext350"/>
          <w:i/>
        </w:rPr>
        <w:instrText>:</w:instrText>
      </w:r>
      <w:r>
        <w:rPr>
          <w:rStyle w:val="Zkladntext350"/>
          <w:i/>
        </w:rPr>
        <w:instrText>homo ipse intelligit</w:instrText>
      </w:r>
      <w:r>
        <w:instrText xml:space="preserve">" </w:instrText>
      </w:r>
      <w:r>
        <w:rPr>
          <w:i/>
        </w:rPr>
        <w:fldChar w:fldCharType="end"/>
      </w:r>
      <w:r w:rsidR="08E0566D">
        <w:t>, kap. 4</w:t>
      </w:r>
      <w:r w:rsidR="00656BE9">
        <w:t xml:space="preserve">.5.3). </w:t>
      </w:r>
      <w:r w:rsidR="00656BE9" w:rsidRPr="00656BE9">
        <w:t>Nová definice subjektu podle Sigerovy ipseity</w:t>
      </w:r>
      <w:r w:rsidR="00656BE9">
        <w:fldChar w:fldCharType="begin"/>
      </w:r>
      <w:r w:rsidR="00656BE9">
        <w:instrText xml:space="preserve"> XE "</w:instrText>
      </w:r>
      <w:r w:rsidR="00656BE9" w:rsidRPr="004B5C72">
        <w:instrText>osoba:ipseita</w:instrText>
      </w:r>
      <w:r w:rsidR="00656BE9">
        <w:instrText xml:space="preserve">" </w:instrText>
      </w:r>
      <w:r w:rsidR="00656BE9">
        <w:fldChar w:fldCharType="end"/>
      </w:r>
      <w:r w:rsidR="00656BE9" w:rsidRPr="00656BE9">
        <w:t xml:space="preserve"> zrušila teze tomismu a druhého averroismu, které definovaly osobu nebo intelekt v rámci substance nebo nějaké hypostáze třetího druhu. </w:t>
      </w:r>
      <w:r>
        <w:t xml:space="preserve">Sigerova </w:t>
      </w:r>
      <w:r w:rsidRPr="00273106">
        <w:t xml:space="preserve">nauka </w:t>
      </w:r>
      <w:r>
        <w:t xml:space="preserve">o jednotě osoby v rámci existenciální ipseity </w:t>
      </w:r>
      <w:r w:rsidRPr="00273106">
        <w:t xml:space="preserve">určila </w:t>
      </w:r>
      <w:r w:rsidRPr="00273106">
        <w:rPr>
          <w:i/>
        </w:rPr>
        <w:t>Lichtung</w:t>
      </w:r>
      <w:r w:rsidRPr="00273106">
        <w:t xml:space="preserve"> pravdy a</w:t>
      </w:r>
      <w:r w:rsidR="00741E18">
        <w:t xml:space="preserve"> nepravdy pro následující epochy</w:t>
      </w:r>
      <w:r w:rsidRPr="00273106">
        <w:t>, protože z ní vycházel jak Dante</w:t>
      </w:r>
      <w:r>
        <w:fldChar w:fldCharType="begin"/>
      </w:r>
      <w:r>
        <w:instrText xml:space="preserve"> XE "</w:instrText>
      </w:r>
      <w:r w:rsidRPr="00E871B9">
        <w:instrText>Dante, A.</w:instrText>
      </w:r>
      <w:r>
        <w:instrText xml:space="preserve">" </w:instrText>
      </w:r>
      <w:r>
        <w:fldChar w:fldCharType="end"/>
      </w:r>
      <w:r w:rsidRPr="00273106">
        <w:t>, tak i Olivi.</w:t>
      </w:r>
      <w:r>
        <w:t xml:space="preserve"> </w:t>
      </w:r>
      <w:r w:rsidRPr="00273106">
        <w:t>Dante</w:t>
      </w:r>
      <w:r>
        <w:fldChar w:fldCharType="begin"/>
      </w:r>
      <w:r>
        <w:instrText xml:space="preserve"> XE "</w:instrText>
      </w:r>
      <w:r w:rsidRPr="00E871B9">
        <w:instrText>Dante, A.</w:instrText>
      </w:r>
      <w:r>
        <w:instrText xml:space="preserve">" </w:instrText>
      </w:r>
      <w:r>
        <w:fldChar w:fldCharType="end"/>
      </w:r>
      <w:r w:rsidRPr="00273106">
        <w:t xml:space="preserve"> </w:t>
      </w:r>
      <w:r>
        <w:t xml:space="preserve">ve škole prvního averroismu </w:t>
      </w:r>
      <w:r w:rsidRPr="00273106">
        <w:t xml:space="preserve">vytvořil </w:t>
      </w:r>
      <w:r>
        <w:t xml:space="preserve">novou jednotu lidstva v rámci spravedlivé vlády univerzálního monarchy odděleného od církevní moci papeže. </w:t>
      </w:r>
      <w:r w:rsidR="00F93A6B" w:rsidRPr="00F93A6B">
        <w:t xml:space="preserve">V duchu druhého averroismu položil Olivi základy nové plurality v rámci nově zrozeného kapitalismu. Jeho demiurgický subjekt byl vytvořen v modu </w:t>
      </w:r>
      <w:r w:rsidR="000E78F0">
        <w:t xml:space="preserve">velmi </w:t>
      </w:r>
      <w:r w:rsidR="00F93A6B">
        <w:t xml:space="preserve">efektivního </w:t>
      </w:r>
      <w:r w:rsidR="00F93A6B">
        <w:lastRenderedPageBreak/>
        <w:t xml:space="preserve">simulákra. Toto nové </w:t>
      </w:r>
      <w:r w:rsidR="00F93A6B" w:rsidRPr="00F93A6B">
        <w:rPr>
          <w:i/>
        </w:rPr>
        <w:t>tertium ens</w:t>
      </w:r>
      <w:r w:rsidR="00F93A6B">
        <w:t xml:space="preserve"> </w:t>
      </w:r>
      <w:r w:rsidR="00F93A6B" w:rsidRPr="00F93A6B">
        <w:t>založil</w:t>
      </w:r>
      <w:r w:rsidR="00F93A6B">
        <w:t>o</w:t>
      </w:r>
      <w:r w:rsidR="00F93A6B" w:rsidRPr="00F93A6B">
        <w:t xml:space="preserve"> </w:t>
      </w:r>
      <w:r w:rsidR="00F93A6B">
        <w:t xml:space="preserve">historii Západu, kterou charakterizují </w:t>
      </w:r>
      <w:r w:rsidR="00F93A6B" w:rsidRPr="00F93A6B">
        <w:t xml:space="preserve">permanentní </w:t>
      </w:r>
      <w:r w:rsidR="00F93A6B">
        <w:t xml:space="preserve">výboje a exploatace </w:t>
      </w:r>
      <w:r w:rsidR="00F93A6B" w:rsidRPr="00F93A6B">
        <w:t>všeho druhu.</w:t>
      </w:r>
    </w:p>
    <w:p w:rsidR="08163013" w:rsidRPr="0082750E" w:rsidRDefault="00B8625B" w:rsidP="00A179C5">
      <w:pPr>
        <w:ind w:firstLine="397"/>
      </w:pPr>
      <w:r>
        <w:t>Nejdůležitější texty o přeměně</w:t>
      </w:r>
      <w:r w:rsidR="08163013" w:rsidRPr="00273106">
        <w:t xml:space="preserve"> vůle na epochálního hybatele Západu najdeme v</w:t>
      </w:r>
      <w:r w:rsidR="00560283">
        <w:t xml:space="preserve"> Oliviho komentáři </w:t>
      </w:r>
      <w:r w:rsidR="00F07C20">
        <w:t>ke druhé knize</w:t>
      </w:r>
      <w:r w:rsidR="00560283">
        <w:t xml:space="preserve"> S</w:t>
      </w:r>
      <w:r w:rsidR="08163013" w:rsidRPr="00273106">
        <w:t>entencí (</w:t>
      </w:r>
      <w:r w:rsidR="08163013">
        <w:rPr>
          <w:i/>
        </w:rPr>
        <w:t>Quaestiones in secundum librum Sententiarum</w:t>
      </w:r>
      <w:r w:rsidR="08163013" w:rsidRPr="00273106">
        <w:t xml:space="preserve">) z let 1277‒83. </w:t>
      </w:r>
      <w:r w:rsidR="08163013">
        <w:t>P</w:t>
      </w:r>
      <w:r w:rsidR="08163013" w:rsidRPr="00273106">
        <w:t>ůvodní filosofické myšlení</w:t>
      </w:r>
      <w:r w:rsidR="08163013">
        <w:t xml:space="preserve"> </w:t>
      </w:r>
      <w:r w:rsidR="08163013" w:rsidRPr="00273106">
        <w:t xml:space="preserve">Oliviho </w:t>
      </w:r>
      <w:r w:rsidR="08163013">
        <w:t xml:space="preserve">dané v tomto komentáři </w:t>
      </w:r>
      <w:r w:rsidR="08163013" w:rsidRPr="00273106">
        <w:t xml:space="preserve">není deformované ani pozdějšími retraktacemi danými na základě útoků a inkvizičních procesů zahájených po roce 1283 </w:t>
      </w:r>
      <w:r w:rsidR="08163013">
        <w:t xml:space="preserve">a zřejmě </w:t>
      </w:r>
      <w:r w:rsidR="08163013" w:rsidRPr="00273106">
        <w:t xml:space="preserve">ani redakčními úpravami jeho spisů provedenými jeho žáky. </w:t>
      </w:r>
      <w:r w:rsidR="08163013">
        <w:t xml:space="preserve">Jejich </w:t>
      </w:r>
      <w:r w:rsidR="08163013" w:rsidRPr="00273106">
        <w:t xml:space="preserve">úpravy poznamenaly jeho pozdější filosofické spisy, zejména dílo </w:t>
      </w:r>
      <w:r w:rsidR="08163013" w:rsidRPr="00273106">
        <w:rPr>
          <w:i/>
        </w:rPr>
        <w:t>Summa quaestionum super Sententias</w:t>
      </w:r>
      <w:r w:rsidR="08163013" w:rsidRPr="00273106">
        <w:t xml:space="preserve"> (kolem 1294‒95). </w:t>
      </w:r>
      <w:r w:rsidR="08163013" w:rsidRPr="00273106">
        <w:rPr>
          <w:rStyle w:val="Zkladntext158dkovn0pt"/>
          <w:color w:val="auto"/>
          <w:spacing w:val="0"/>
          <w:sz w:val="24"/>
          <w:lang w:val="cs-CZ"/>
        </w:rPr>
        <w:t xml:space="preserve">Oliviho </w:t>
      </w:r>
      <w:r w:rsidR="08163013">
        <w:rPr>
          <w:rStyle w:val="Zkladntext158dkovn0pt"/>
          <w:color w:val="auto"/>
          <w:spacing w:val="0"/>
          <w:sz w:val="24"/>
          <w:lang w:val="cs-CZ"/>
        </w:rPr>
        <w:t xml:space="preserve">filosofický </w:t>
      </w:r>
      <w:r w:rsidR="08163013" w:rsidRPr="00273106">
        <w:rPr>
          <w:rStyle w:val="Zkladntext158dkovn0pt"/>
          <w:color w:val="auto"/>
          <w:spacing w:val="0"/>
          <w:sz w:val="24"/>
          <w:lang w:val="cs-CZ"/>
        </w:rPr>
        <w:t xml:space="preserve">zápas o novou podobu subjektivity je už </w:t>
      </w:r>
      <w:r w:rsidR="08163013">
        <w:rPr>
          <w:rStyle w:val="Zkladntext158dkovn0pt"/>
          <w:color w:val="auto"/>
          <w:spacing w:val="0"/>
          <w:sz w:val="24"/>
          <w:lang w:val="cs-CZ"/>
        </w:rPr>
        <w:t xml:space="preserve">objektivně prozkoumaný </w:t>
      </w:r>
      <w:r w:rsidR="08163013" w:rsidRPr="00273106">
        <w:rPr>
          <w:rStyle w:val="Zkladntext158dkovn0pt"/>
          <w:color w:val="auto"/>
          <w:spacing w:val="0"/>
          <w:sz w:val="24"/>
          <w:lang w:val="cs-CZ"/>
        </w:rPr>
        <w:t>a je zasazený do genealogie subjektu v kontextu myšlení 13. století (Putallaz 1991</w:t>
      </w:r>
      <w:r w:rsidR="08163013">
        <w:rPr>
          <w:rStyle w:val="Zkladntext158dkovn0pt"/>
          <w:color w:val="auto"/>
          <w:spacing w:val="0"/>
          <w:sz w:val="24"/>
          <w:lang w:val="cs-CZ"/>
        </w:rPr>
        <w:t xml:space="preserve">, </w:t>
      </w:r>
      <w:r w:rsidR="08163013" w:rsidRPr="00273106">
        <w:rPr>
          <w:rStyle w:val="Zkladntext158dkovn0pt"/>
          <w:color w:val="auto"/>
          <w:spacing w:val="0"/>
          <w:sz w:val="24"/>
          <w:lang w:val="cs-CZ"/>
        </w:rPr>
        <w:t>Boulnois 2007).</w:t>
      </w:r>
      <w:r w:rsidR="08163013">
        <w:rPr>
          <w:rStyle w:val="Zkladntext158dkovn0pt"/>
          <w:color w:val="auto"/>
          <w:spacing w:val="0"/>
          <w:sz w:val="24"/>
          <w:lang w:val="cs-CZ"/>
        </w:rPr>
        <w:t xml:space="preserve"> </w:t>
      </w:r>
      <w:r w:rsidR="08163013" w:rsidRPr="00273106">
        <w:rPr>
          <w:rStyle w:val="Zkladntext158dkovn0pt"/>
          <w:color w:val="auto"/>
          <w:spacing w:val="0"/>
          <w:sz w:val="24"/>
          <w:lang w:val="cs-CZ"/>
        </w:rPr>
        <w:t xml:space="preserve">Zrod </w:t>
      </w:r>
      <w:r w:rsidR="08163013" w:rsidRPr="00273106">
        <w:t xml:space="preserve">moderního subjektu </w:t>
      </w:r>
      <w:r w:rsidR="08163013">
        <w:t xml:space="preserve">v díle </w:t>
      </w:r>
      <w:r w:rsidR="08163013">
        <w:rPr>
          <w:i/>
        </w:rPr>
        <w:t xml:space="preserve">Quaestiones in secundum librum Sententiarum </w:t>
      </w:r>
      <w:r w:rsidR="08163013" w:rsidRPr="00273106">
        <w:t xml:space="preserve">obsahují zejména kvestie 57 a 58, kde najdeme </w:t>
      </w:r>
      <w:r w:rsidR="08163013">
        <w:t xml:space="preserve">originální </w:t>
      </w:r>
      <w:r w:rsidR="00BD34C1">
        <w:t xml:space="preserve">subjekt </w:t>
      </w:r>
      <w:r w:rsidR="08163013" w:rsidRPr="00273106">
        <w:t>vůle</w:t>
      </w:r>
      <w:r w:rsidR="08C35016">
        <w:t xml:space="preserve">. Tato definice </w:t>
      </w:r>
      <w:r w:rsidR="08677B16">
        <w:t xml:space="preserve">nového subjektu </w:t>
      </w:r>
      <w:r w:rsidR="08C35016">
        <w:t xml:space="preserve">vůle </w:t>
      </w:r>
      <w:r w:rsidR="08163013">
        <w:t>za</w:t>
      </w:r>
      <w:r w:rsidR="08C35016">
        <w:t xml:space="preserve">ložila </w:t>
      </w:r>
      <w:r w:rsidR="08163013">
        <w:t>iracionální kapitalistický subjekt Západu</w:t>
      </w:r>
      <w:r w:rsidR="08163013" w:rsidRPr="00273106">
        <w:t xml:space="preserve">. Současné rozbory </w:t>
      </w:r>
      <w:r w:rsidR="08163013">
        <w:t xml:space="preserve">obou kvestií </w:t>
      </w:r>
      <w:r w:rsidR="08163013" w:rsidRPr="00273106">
        <w:t>konstatují novátorství Oliviho proti předešlým teoriím vůle, například u Akvinského.</w:t>
      </w:r>
      <w:r w:rsidR="08163013" w:rsidRPr="00273106">
        <w:rPr>
          <w:rStyle w:val="Znakapoznpodarou"/>
        </w:rPr>
        <w:footnoteReference w:id="359"/>
      </w:r>
      <w:r w:rsidR="08163013" w:rsidRPr="00273106">
        <w:t xml:space="preserve"> Osvícený františkán vyňal vůli z determinismu rozumu a učinil z ní automní zdroj se</w:t>
      </w:r>
      <w:r w:rsidR="08163013">
        <w:t xml:space="preserve">bereflexe a primární aktuality. </w:t>
      </w:r>
      <w:r w:rsidR="08163013" w:rsidRPr="00273106">
        <w:t xml:space="preserve">Olivi odmítl učení </w:t>
      </w:r>
      <w:r w:rsidR="08163013" w:rsidRPr="00273106">
        <w:rPr>
          <w:i/>
        </w:rPr>
        <w:t>sequaces Aristotelis</w:t>
      </w:r>
      <w:r w:rsidR="08163013">
        <w:rPr>
          <w:i/>
        </w:rPr>
        <w:fldChar w:fldCharType="begin"/>
      </w:r>
      <w:r w:rsidR="08163013">
        <w:instrText xml:space="preserve"> XE "druhý averroismus:</w:instrText>
      </w:r>
      <w:r w:rsidR="08163013" w:rsidRPr="00B81DDF">
        <w:rPr>
          <w:i/>
        </w:rPr>
        <w:instrText>sequaces Aristotelis</w:instrText>
      </w:r>
      <w:r w:rsidR="08163013">
        <w:instrText xml:space="preserve">" </w:instrText>
      </w:r>
      <w:r w:rsidR="08163013">
        <w:rPr>
          <w:i/>
        </w:rPr>
        <w:fldChar w:fldCharType="end"/>
      </w:r>
      <w:r w:rsidR="08163013" w:rsidRPr="00273106">
        <w:t xml:space="preserve"> </w:t>
      </w:r>
      <w:r w:rsidR="08163013">
        <w:t xml:space="preserve">ze školy prvního averroismu </w:t>
      </w:r>
      <w:r w:rsidR="08163013" w:rsidRPr="00273106">
        <w:t>jako herezi</w:t>
      </w:r>
      <w:r w:rsidR="08163013">
        <w:t>. Jeho r</w:t>
      </w:r>
      <w:r w:rsidR="08163013" w:rsidRPr="00273106">
        <w:t>ozchod s prvním averroismem byl naprosto zásadní. Netýkal se jen filosofie, ale podstaty toho, co tento františ</w:t>
      </w:r>
      <w:r w:rsidR="08163013">
        <w:t>kán chápal jako autentické křesť</w:t>
      </w:r>
      <w:r w:rsidR="08163013" w:rsidRPr="00273106">
        <w:t>anské učení.</w:t>
      </w:r>
      <w:r w:rsidR="08163013">
        <w:t xml:space="preserve"> A</w:t>
      </w:r>
      <w:r w:rsidR="08163013" w:rsidRPr="00273106">
        <w:t xml:space="preserve">ristotelské pojetí poznání v rámci recepce intelektu jako </w:t>
      </w:r>
      <w:r w:rsidR="08163013" w:rsidRPr="00273106">
        <w:rPr>
          <w:i/>
        </w:rPr>
        <w:t>tabula rasa</w:t>
      </w:r>
      <w:r w:rsidR="08163013">
        <w:rPr>
          <w:i/>
        </w:rPr>
        <w:fldChar w:fldCharType="begin"/>
      </w:r>
      <w:r w:rsidR="08163013">
        <w:instrText xml:space="preserve"> XE "</w:instrText>
      </w:r>
      <w:r w:rsidR="08163013" w:rsidRPr="00CE6D17">
        <w:rPr>
          <w:i/>
        </w:rPr>
        <w:instrText>tabula rasa</w:instrText>
      </w:r>
      <w:r w:rsidR="08163013">
        <w:instrText xml:space="preserve">" </w:instrText>
      </w:r>
      <w:r w:rsidR="08163013">
        <w:rPr>
          <w:i/>
        </w:rPr>
        <w:fldChar w:fldCharType="end"/>
      </w:r>
      <w:r w:rsidR="08163013" w:rsidRPr="00273106">
        <w:t xml:space="preserve"> je pro Oliviho nepřijatelné. Intelekt je plně zasazen do augustiniánského schématu druhého averroismu daného nasvícením j</w:t>
      </w:r>
      <w:r w:rsidR="08DE63B2">
        <w:t xml:space="preserve">soucna zezadu. Intelekt abstrahuje externí </w:t>
      </w:r>
      <w:r w:rsidR="08163013">
        <w:t xml:space="preserve">objektivní </w:t>
      </w:r>
      <w:r w:rsidR="00962190">
        <w:rPr>
          <w:i/>
        </w:rPr>
        <w:t>species</w:t>
      </w:r>
      <w:r w:rsidR="08163013" w:rsidRPr="00273106">
        <w:t xml:space="preserve"> </w:t>
      </w:r>
      <w:r w:rsidR="08163013">
        <w:t>v rámci avicennovskéh</w:t>
      </w:r>
      <w:r w:rsidR="08163013" w:rsidRPr="00273106">
        <w:t xml:space="preserve">o </w:t>
      </w:r>
      <w:r w:rsidR="08163013" w:rsidRPr="00273106">
        <w:rPr>
          <w:i/>
        </w:rPr>
        <w:t>denudatio</w:t>
      </w:r>
      <w:r w:rsidR="08163013">
        <w:rPr>
          <w:i/>
        </w:rPr>
        <w:fldChar w:fldCharType="begin"/>
      </w:r>
      <w:r w:rsidR="08163013">
        <w:instrText xml:space="preserve"> XE "</w:instrText>
      </w:r>
      <w:r w:rsidR="08163013" w:rsidRPr="00C23100">
        <w:rPr>
          <w:i/>
        </w:rPr>
        <w:instrText>denudatio</w:instrText>
      </w:r>
      <w:r w:rsidR="08163013">
        <w:instrText xml:space="preserve">:Olivi" </w:instrText>
      </w:r>
      <w:r w:rsidR="08163013">
        <w:rPr>
          <w:i/>
        </w:rPr>
        <w:fldChar w:fldCharType="end"/>
      </w:r>
      <w:r w:rsidR="08163013" w:rsidRPr="00273106">
        <w:t xml:space="preserve"> a </w:t>
      </w:r>
      <w:r w:rsidR="08163013">
        <w:t xml:space="preserve">poznaná </w:t>
      </w:r>
      <w:r w:rsidR="00962190">
        <w:rPr>
          <w:i/>
        </w:rPr>
        <w:t>species</w:t>
      </w:r>
      <w:r w:rsidR="08163013">
        <w:t xml:space="preserve"> ukládá </w:t>
      </w:r>
      <w:r w:rsidR="08DE63B2">
        <w:t xml:space="preserve">augustinovské formy </w:t>
      </w:r>
      <w:r w:rsidR="08163013">
        <w:t xml:space="preserve">paměti </w:t>
      </w:r>
      <w:r w:rsidR="08DE63B2">
        <w:t>(</w:t>
      </w:r>
      <w:r w:rsidR="08DE63B2" w:rsidRPr="08DE63B2">
        <w:rPr>
          <w:i/>
        </w:rPr>
        <w:t>memoria</w:t>
      </w:r>
      <w:r w:rsidR="08082282">
        <w:rPr>
          <w:i/>
        </w:rPr>
        <w:fldChar w:fldCharType="begin"/>
      </w:r>
      <w:r w:rsidR="08082282">
        <w:instrText xml:space="preserve"> XE "</w:instrText>
      </w:r>
      <w:r w:rsidR="08082282" w:rsidRPr="08F20262">
        <w:rPr>
          <w:i/>
        </w:rPr>
        <w:instrText>memoria</w:instrText>
      </w:r>
      <w:r w:rsidR="08082282">
        <w:instrText xml:space="preserve">" </w:instrText>
      </w:r>
      <w:r w:rsidR="08082282">
        <w:rPr>
          <w:i/>
        </w:rPr>
        <w:fldChar w:fldCharType="end"/>
      </w:r>
      <w:r w:rsidR="08082282">
        <w:t>). Nahromadění</w:t>
      </w:r>
      <w:r w:rsidR="08DE63B2">
        <w:t xml:space="preserve"> objektivních </w:t>
      </w:r>
      <w:r w:rsidR="00962190">
        <w:rPr>
          <w:i/>
        </w:rPr>
        <w:t>species</w:t>
      </w:r>
      <w:r w:rsidR="08DE63B2">
        <w:t xml:space="preserve"> ve formě pasivního intelektu </w:t>
      </w:r>
      <w:r w:rsidR="08082282">
        <w:t xml:space="preserve">jako </w:t>
      </w:r>
      <w:r w:rsidR="08082282" w:rsidRPr="003C2818">
        <w:rPr>
          <w:i/>
        </w:rPr>
        <w:t>locus specierum</w:t>
      </w:r>
      <w:r w:rsidR="08082282">
        <w:rPr>
          <w:i/>
        </w:rPr>
        <w:fldChar w:fldCharType="begin"/>
      </w:r>
      <w:r w:rsidR="08082282">
        <w:instrText xml:space="preserve"> XE "</w:instrText>
      </w:r>
      <w:r w:rsidR="08082282" w:rsidRPr="00A7740F">
        <w:rPr>
          <w:i/>
        </w:rPr>
        <w:instrText>locus specierum</w:instrText>
      </w:r>
      <w:r w:rsidR="08082282">
        <w:instrText xml:space="preserve">" </w:instrText>
      </w:r>
      <w:r w:rsidR="08082282">
        <w:rPr>
          <w:i/>
        </w:rPr>
        <w:fldChar w:fldCharType="end"/>
      </w:r>
      <w:r w:rsidR="08082282">
        <w:rPr>
          <w:i/>
        </w:rPr>
        <w:t xml:space="preserve"> </w:t>
      </w:r>
      <w:r w:rsidR="08082282">
        <w:t>dalo základ pro vznik současné databanky</w:t>
      </w:r>
      <w:r w:rsidR="08163013">
        <w:t xml:space="preserve">. Ve </w:t>
      </w:r>
      <w:r w:rsidR="08163013" w:rsidRPr="00273106">
        <w:t xml:space="preserve">schématu druhého averroismu jsou </w:t>
      </w:r>
      <w:r w:rsidR="00962190">
        <w:rPr>
          <w:i/>
        </w:rPr>
        <w:t>species</w:t>
      </w:r>
      <w:r w:rsidR="08163013" w:rsidRPr="00273106">
        <w:t xml:space="preserve"> v paměti determinována jako jsoucna třetího druhu. </w:t>
      </w:r>
      <w:r w:rsidR="08163013">
        <w:t>Z paměti si ta</w:t>
      </w:r>
      <w:r w:rsidR="08163013" w:rsidRPr="00273106">
        <w:t xml:space="preserve">to </w:t>
      </w:r>
      <w:r w:rsidR="00962190">
        <w:rPr>
          <w:i/>
        </w:rPr>
        <w:t>species</w:t>
      </w:r>
      <w:r w:rsidR="08163013" w:rsidRPr="00273106">
        <w:t xml:space="preserve"> bere </w:t>
      </w:r>
      <w:r w:rsidR="08163013" w:rsidRPr="08F552C2">
        <w:rPr>
          <w:i/>
        </w:rPr>
        <w:t>intellectus agens</w:t>
      </w:r>
      <w:r w:rsidR="08163013" w:rsidRPr="00273106">
        <w:t xml:space="preserve">, který aktivně pracuje s memoriálně </w:t>
      </w:r>
      <w:r w:rsidR="08163013">
        <w:t xml:space="preserve">uchovanými </w:t>
      </w:r>
      <w:r w:rsidR="08163013" w:rsidRPr="00273106">
        <w:t xml:space="preserve">esencemi. Olivi determinuje intelekt pouze v rámci </w:t>
      </w:r>
      <w:r w:rsidR="08163013" w:rsidRPr="00273106">
        <w:rPr>
          <w:i/>
        </w:rPr>
        <w:lastRenderedPageBreak/>
        <w:t>intellectus agens</w:t>
      </w:r>
      <w:r w:rsidR="08163013">
        <w:rPr>
          <w:i/>
        </w:rPr>
        <w:fldChar w:fldCharType="begin"/>
      </w:r>
      <w:r w:rsidR="08163013">
        <w:instrText xml:space="preserve"> XE "</w:instrText>
      </w:r>
      <w:r w:rsidR="08163013" w:rsidRPr="00490D32">
        <w:rPr>
          <w:i/>
        </w:rPr>
        <w:instrText>intellectus agens:</w:instrText>
      </w:r>
      <w:r w:rsidR="08163013">
        <w:instrText xml:space="preserve">Olivi" </w:instrText>
      </w:r>
      <w:r w:rsidR="08163013">
        <w:rPr>
          <w:i/>
        </w:rPr>
        <w:fldChar w:fldCharType="end"/>
      </w:r>
      <w:r w:rsidR="08163013">
        <w:t xml:space="preserve">. Receptivní roli </w:t>
      </w:r>
      <w:r w:rsidR="08163013" w:rsidRPr="007B2487">
        <w:rPr>
          <w:i/>
        </w:rPr>
        <w:t>intellectus possibilis</w:t>
      </w:r>
      <w:r w:rsidR="08163013">
        <w:rPr>
          <w:i/>
        </w:rPr>
        <w:fldChar w:fldCharType="begin"/>
      </w:r>
      <w:r w:rsidR="08163013">
        <w:instrText xml:space="preserve"> XE "</w:instrText>
      </w:r>
      <w:r w:rsidR="08163013" w:rsidRPr="00770D02">
        <w:rPr>
          <w:i/>
        </w:rPr>
        <w:instrText>intellectus possibilis</w:instrText>
      </w:r>
      <w:r w:rsidR="08163013" w:rsidRPr="00602625">
        <w:instrText>:Olivi</w:instrText>
      </w:r>
      <w:r w:rsidR="08163013">
        <w:instrText xml:space="preserve">" </w:instrText>
      </w:r>
      <w:r w:rsidR="08163013">
        <w:rPr>
          <w:i/>
        </w:rPr>
        <w:fldChar w:fldCharType="end"/>
      </w:r>
      <w:r w:rsidR="08163013">
        <w:t xml:space="preserve"> supluje ve druhém averroismu augustiniánská paměť definovaná jako </w:t>
      </w:r>
      <w:r w:rsidR="08163013" w:rsidRPr="00273106">
        <w:rPr>
          <w:i/>
        </w:rPr>
        <w:t>locus specierum</w:t>
      </w:r>
      <w:r w:rsidR="08163013">
        <w:t>. Druhý averroismus nahradil receptivitu rezervoárem univočních významů jsoucna (</w:t>
      </w:r>
      <w:r w:rsidR="08163013" w:rsidRPr="006C09E0">
        <w:rPr>
          <w:i/>
        </w:rPr>
        <w:t>scibile</w:t>
      </w:r>
      <w:r w:rsidR="080B4DBD">
        <w:rPr>
          <w:i/>
        </w:rPr>
        <w:fldChar w:fldCharType="begin"/>
      </w:r>
      <w:r w:rsidR="080B4DBD">
        <w:instrText xml:space="preserve"> XE "</w:instrText>
      </w:r>
      <w:r w:rsidR="080B4DBD" w:rsidRPr="0893281B">
        <w:rPr>
          <w:i/>
        </w:rPr>
        <w:instrText>scibile</w:instrText>
      </w:r>
      <w:r w:rsidR="080B4DBD">
        <w:instrText xml:space="preserve">" </w:instrText>
      </w:r>
      <w:r w:rsidR="080B4DBD">
        <w:rPr>
          <w:i/>
        </w:rPr>
        <w:fldChar w:fldCharType="end"/>
      </w:r>
      <w:r w:rsidR="08163013">
        <w:t>)</w:t>
      </w:r>
      <w:r w:rsidR="080B4DBD">
        <w:t xml:space="preserve">. Existence těchto </w:t>
      </w:r>
      <w:r w:rsidR="080B4DBD" w:rsidRPr="080B4DBD">
        <w:rPr>
          <w:i/>
        </w:rPr>
        <w:t>scibilia</w:t>
      </w:r>
      <w:r w:rsidR="080B4DBD">
        <w:t xml:space="preserve"> je vázaná na neoplatonský </w:t>
      </w:r>
      <w:r w:rsidR="08B9063C">
        <w:t>druh paměti.</w:t>
      </w:r>
      <w:r w:rsidR="00763F4B">
        <w:t xml:space="preserve"> </w:t>
      </w:r>
      <w:r w:rsidR="08B9063C">
        <w:t xml:space="preserve">Uchovávání těchto objektivních faktů </w:t>
      </w:r>
      <w:r w:rsidR="0873093A">
        <w:t xml:space="preserve">(viz mytopoetiku tohoto </w:t>
      </w:r>
      <w:r w:rsidR="0873093A" w:rsidRPr="0873093A">
        <w:rPr>
          <w:i/>
        </w:rPr>
        <w:t>facere</w:t>
      </w:r>
      <w:r w:rsidR="0873093A">
        <w:t xml:space="preserve">) </w:t>
      </w:r>
      <w:r w:rsidR="08B9063C">
        <w:t xml:space="preserve">určuje </w:t>
      </w:r>
      <w:r w:rsidR="08163013">
        <w:t xml:space="preserve">jak moderní identitu člověka, tak současnou formu západní civilizace v digitálním modu </w:t>
      </w:r>
      <w:r w:rsidR="08163013" w:rsidRPr="006C09E0">
        <w:rPr>
          <w:i/>
        </w:rPr>
        <w:t>cloud computing</w:t>
      </w:r>
      <w:r w:rsidR="08163013">
        <w:rPr>
          <w:i/>
        </w:rPr>
        <w:fldChar w:fldCharType="begin"/>
      </w:r>
      <w:r w:rsidR="08163013">
        <w:instrText xml:space="preserve"> XE "</w:instrText>
      </w:r>
      <w:r w:rsidR="08163013" w:rsidRPr="00E1232A">
        <w:rPr>
          <w:i/>
        </w:rPr>
        <w:instrText>cloud computing</w:instrText>
      </w:r>
      <w:r w:rsidR="08163013">
        <w:instrText xml:space="preserve">" </w:instrText>
      </w:r>
      <w:r w:rsidR="08163013">
        <w:rPr>
          <w:i/>
        </w:rPr>
        <w:fldChar w:fldCharType="end"/>
      </w:r>
      <w:r w:rsidR="08163013">
        <w:t xml:space="preserve">. </w:t>
      </w:r>
      <w:r w:rsidR="0873093A">
        <w:t xml:space="preserve">Objektivní </w:t>
      </w:r>
      <w:r w:rsidR="0873093A" w:rsidRPr="00756DC9">
        <w:t>s</w:t>
      </w:r>
      <w:r w:rsidR="08163013" w:rsidRPr="00756DC9">
        <w:t>pecies</w:t>
      </w:r>
      <w:r w:rsidR="08163013" w:rsidRPr="00273106">
        <w:t xml:space="preserve"> podržená v paměti získávají </w:t>
      </w:r>
      <w:r w:rsidR="0873093A">
        <w:t xml:space="preserve">esenciální </w:t>
      </w:r>
      <w:r w:rsidR="08163013" w:rsidRPr="00273106">
        <w:t>charakter tím, že s</w:t>
      </w:r>
      <w:r w:rsidR="0873093A">
        <w:t xml:space="preserve"> těmito „fakty“ </w:t>
      </w:r>
      <w:r w:rsidR="08163013" w:rsidRPr="00273106">
        <w:t>pracuje aktivní a zcela svébytný intelekt</w:t>
      </w:r>
      <w:r w:rsidR="08163013">
        <w:t xml:space="preserve">, nebo </w:t>
      </w:r>
      <w:r w:rsidR="0873093A">
        <w:t>umělá inteligence napojená</w:t>
      </w:r>
      <w:r w:rsidR="08163013">
        <w:t xml:space="preserve"> na databáze</w:t>
      </w:r>
      <w:r w:rsidR="08163013" w:rsidRPr="00273106">
        <w:t xml:space="preserve">. </w:t>
      </w:r>
      <w:r w:rsidR="08163013">
        <w:t xml:space="preserve">Moderna a postmoderna nahradila ve věku zatmění první substance aristotelské </w:t>
      </w:r>
      <w:r w:rsidR="08163013" w:rsidRPr="00273106">
        <w:t>spojení „</w:t>
      </w:r>
      <w:r w:rsidR="0897680E">
        <w:t xml:space="preserve">tělesné </w:t>
      </w:r>
      <w:r w:rsidR="08163013" w:rsidRPr="00273106">
        <w:t>smysly</w:t>
      </w:r>
      <w:r w:rsidR="0897680E">
        <w:t xml:space="preserve"> </w:t>
      </w:r>
      <w:r w:rsidR="08163013" w:rsidRPr="00273106">
        <w:t>‒</w:t>
      </w:r>
      <w:r w:rsidR="0897680E">
        <w:t xml:space="preserve"> nemateriální </w:t>
      </w:r>
      <w:r w:rsidR="08163013" w:rsidRPr="00273106">
        <w:t>intelekt“</w:t>
      </w:r>
      <w:r w:rsidR="08163013">
        <w:t xml:space="preserve"> novým gnoseologickým párem „</w:t>
      </w:r>
      <w:r w:rsidR="0897680E">
        <w:t xml:space="preserve">objektivní </w:t>
      </w:r>
      <w:r w:rsidR="08163013">
        <w:t>paměť</w:t>
      </w:r>
      <w:r w:rsidR="0897680E">
        <w:t xml:space="preserve"> </w:t>
      </w:r>
      <w:r w:rsidR="08163013">
        <w:t>‒</w:t>
      </w:r>
      <w:r w:rsidR="0897680E">
        <w:t xml:space="preserve"> aktivní </w:t>
      </w:r>
      <w:r w:rsidR="08163013">
        <w:t>intelekt“</w:t>
      </w:r>
      <w:r w:rsidR="08163013">
        <w:fldChar w:fldCharType="begin"/>
      </w:r>
      <w:r w:rsidR="08163013">
        <w:instrText xml:space="preserve"> XE "</w:instrText>
      </w:r>
      <w:r w:rsidR="08163013" w:rsidRPr="00211B9D">
        <w:rPr>
          <w:i/>
        </w:rPr>
        <w:instrText>memoria</w:instrText>
      </w:r>
      <w:r w:rsidR="08163013" w:rsidRPr="006E4E71">
        <w:instrText>:Olivi</w:instrText>
      </w:r>
      <w:r w:rsidR="08163013">
        <w:instrText xml:space="preserve">" </w:instrText>
      </w:r>
      <w:r w:rsidR="08163013">
        <w:fldChar w:fldCharType="end"/>
      </w:r>
      <w:r w:rsidR="08163013" w:rsidRPr="00273106">
        <w:t xml:space="preserve">. </w:t>
      </w:r>
      <w:r w:rsidR="08163013">
        <w:t xml:space="preserve">Identita myšlení a subjektu není dána skrze realitu první substance, ale skrze paměť jako pokladnici poznaných a podržených </w:t>
      </w:r>
      <w:r w:rsidR="00962190" w:rsidRPr="00782B54">
        <w:t>species</w:t>
      </w:r>
      <w:r w:rsidR="08163013">
        <w:t xml:space="preserve">. </w:t>
      </w:r>
      <w:r w:rsidR="08602F02">
        <w:t xml:space="preserve">Svět prvních substancí může pominout, ale nikdy nesmí zmizet thesaurus objektivních významů. </w:t>
      </w:r>
      <w:r w:rsidR="00846DE9">
        <w:t>M</w:t>
      </w:r>
      <w:r w:rsidR="08602F02">
        <w:t xml:space="preserve">oderní bůh </w:t>
      </w:r>
      <w:r w:rsidR="00846DE9">
        <w:t xml:space="preserve">se </w:t>
      </w:r>
      <w:r w:rsidR="08602F02">
        <w:t>stal nejv</w:t>
      </w:r>
      <w:r w:rsidR="083F00AF">
        <w:t>y</w:t>
      </w:r>
      <w:r w:rsidR="08602F02">
        <w:t xml:space="preserve">šším správcem této </w:t>
      </w:r>
      <w:r w:rsidR="08130D42">
        <w:t xml:space="preserve">objektivně cenné </w:t>
      </w:r>
      <w:r w:rsidR="08602F02">
        <w:t xml:space="preserve">databanky. </w:t>
      </w:r>
      <w:r w:rsidR="08163013">
        <w:t xml:space="preserve">Tím vznikl nový </w:t>
      </w:r>
      <w:r w:rsidR="08163013" w:rsidRPr="08562B60">
        <w:rPr>
          <w:i/>
        </w:rPr>
        <w:t>ortus scient</w:t>
      </w:r>
      <w:r w:rsidR="08163013">
        <w:rPr>
          <w:i/>
        </w:rPr>
        <w:t>i</w:t>
      </w:r>
      <w:r w:rsidR="08163013" w:rsidRPr="08562B60">
        <w:rPr>
          <w:i/>
        </w:rPr>
        <w:t>arum</w:t>
      </w:r>
      <w:r w:rsidR="08FD2601">
        <w:rPr>
          <w:i/>
        </w:rPr>
        <w:fldChar w:fldCharType="begin"/>
      </w:r>
      <w:r w:rsidR="08FD2601">
        <w:instrText xml:space="preserve"> XE "</w:instrText>
      </w:r>
      <w:r w:rsidR="08FD2601" w:rsidRPr="084F7C10">
        <w:rPr>
          <w:i/>
        </w:rPr>
        <w:instrText>ortus scientiarum</w:instrText>
      </w:r>
      <w:r w:rsidR="08FD2601">
        <w:instrText xml:space="preserve">" </w:instrText>
      </w:r>
      <w:r w:rsidR="08FD2601">
        <w:rPr>
          <w:i/>
        </w:rPr>
        <w:fldChar w:fldCharType="end"/>
      </w:r>
      <w:r w:rsidR="08163013">
        <w:t xml:space="preserve">, kde je uschován současný poklad západního myšlení a vědy. Protože moderní poznání je vinou </w:t>
      </w:r>
      <w:r w:rsidR="08163013" w:rsidRPr="08BD5C14">
        <w:rPr>
          <w:i/>
        </w:rPr>
        <w:t>Oxfordian Fallacy</w:t>
      </w:r>
      <w:r w:rsidR="08163013">
        <w:t xml:space="preserve"> odděleno od první substance v metafyzickém modu </w:t>
      </w:r>
      <w:r w:rsidR="08163013" w:rsidRPr="08BD5C14">
        <w:rPr>
          <w:i/>
        </w:rPr>
        <w:t>absolute</w:t>
      </w:r>
      <w:r w:rsidR="08163013">
        <w:t xml:space="preserve">, pak má poklad objektivních </w:t>
      </w:r>
      <w:r w:rsidR="08163013" w:rsidRPr="08BD5C14">
        <w:rPr>
          <w:i/>
        </w:rPr>
        <w:t>scibile</w:t>
      </w:r>
      <w:r w:rsidR="08163013">
        <w:t xml:space="preserve"> v c</w:t>
      </w:r>
      <w:r w:rsidR="08130D42">
        <w:t xml:space="preserve">loudových databázích </w:t>
      </w:r>
      <w:r w:rsidR="08163013">
        <w:t xml:space="preserve">absolutní hodnotu. </w:t>
      </w:r>
      <w:r w:rsidR="00520D66">
        <w:t>Producentem a u</w:t>
      </w:r>
      <w:r w:rsidR="08130D42">
        <w:t xml:space="preserve">živatelen </w:t>
      </w:r>
      <w:r w:rsidR="08163013">
        <w:t xml:space="preserve">takto nashromážděné objektivní reality je moderní schizofrenický </w:t>
      </w:r>
      <w:r w:rsidR="08130D42">
        <w:t xml:space="preserve">a sebevědomý </w:t>
      </w:r>
      <w:r w:rsidR="08163013">
        <w:t>subjekt</w:t>
      </w:r>
      <w:r w:rsidR="08130D42">
        <w:t xml:space="preserve">. Jeho sebereflexe, tj. hypostázovaný </w:t>
      </w:r>
      <w:r w:rsidR="08130D42" w:rsidRPr="08130D42">
        <w:rPr>
          <w:i/>
        </w:rPr>
        <w:t>intellectus agens</w:t>
      </w:r>
      <w:r w:rsidR="08130D42">
        <w:t xml:space="preserve"> pracuje s </w:t>
      </w:r>
      <w:r w:rsidR="08163013">
        <w:t>objektivní</w:t>
      </w:r>
      <w:r w:rsidR="08130D42">
        <w:t>mi</w:t>
      </w:r>
      <w:r w:rsidR="08163013">
        <w:t xml:space="preserve"> </w:t>
      </w:r>
      <w:r w:rsidR="00962190">
        <w:rPr>
          <w:i/>
        </w:rPr>
        <w:t>species</w:t>
      </w:r>
      <w:r w:rsidR="08163013">
        <w:t xml:space="preserve"> z paměti </w:t>
      </w:r>
      <w:r w:rsidR="08130D42">
        <w:t xml:space="preserve">na způsob procesoru a </w:t>
      </w:r>
      <w:r w:rsidR="08163013" w:rsidRPr="08510773">
        <w:rPr>
          <w:i/>
        </w:rPr>
        <w:t>Random Access Memory</w:t>
      </w:r>
      <w:r w:rsidR="08163013">
        <w:rPr>
          <w:i/>
        </w:rPr>
        <w:fldChar w:fldCharType="begin"/>
      </w:r>
      <w:r w:rsidR="08163013">
        <w:instrText xml:space="preserve"> XE "</w:instrText>
      </w:r>
      <w:r w:rsidR="08163013" w:rsidRPr="08130D42">
        <w:rPr>
          <w:i/>
        </w:rPr>
        <w:instrText>memoria</w:instrText>
      </w:r>
      <w:r w:rsidR="08163013">
        <w:instrText>:</w:instrText>
      </w:r>
      <w:r w:rsidR="08163013" w:rsidRPr="00D0133E">
        <w:rPr>
          <w:i/>
        </w:rPr>
        <w:instrText>Random Access Memory</w:instrText>
      </w:r>
      <w:r w:rsidR="08163013">
        <w:instrText xml:space="preserve">" </w:instrText>
      </w:r>
      <w:r w:rsidR="08163013">
        <w:rPr>
          <w:i/>
        </w:rPr>
        <w:fldChar w:fldCharType="end"/>
      </w:r>
      <w:r w:rsidR="08163013">
        <w:t xml:space="preserve">. </w:t>
      </w:r>
      <w:r w:rsidR="00A179C5" w:rsidRPr="00A179C5">
        <w:t>De</w:t>
      </w:r>
      <w:r w:rsidR="00A179C5">
        <w:t xml:space="preserve">finice osoby byla redukována na </w:t>
      </w:r>
      <w:r w:rsidR="00A179C5" w:rsidRPr="00A179C5">
        <w:t xml:space="preserve">spojení </w:t>
      </w:r>
      <w:r w:rsidR="00A179C5">
        <w:t>o</w:t>
      </w:r>
      <w:r w:rsidR="00A179C5" w:rsidRPr="00A179C5">
        <w:t>bjektivní paměti RAM a aktivního (tj. objektivně zpracovávajícího) intelektu. Pokud moderní sebereflexivní paměť vypracovaná v moderním augustinovském či postmoder</w:t>
      </w:r>
      <w:r w:rsidR="00A179C5">
        <w:t>ním Lockově modu jakkoli selže</w:t>
      </w:r>
      <w:r w:rsidR="00A179C5" w:rsidRPr="00A179C5">
        <w:t xml:space="preserve">, pak postmoderní subjekt přestává být odpovědným jedincem a končí na psychiatrii či geriatrii. </w:t>
      </w:r>
      <w:r w:rsidR="08163013">
        <w:t xml:space="preserve">Totéž se stane v globálním měřítku s digitalizovaným věděním. Olivi potvrdil moderní trend daný Rufusem, který se snažil jako první modernista uzávorkovat vnější realitu pro poznání. </w:t>
      </w:r>
      <w:r w:rsidR="004A2A15">
        <w:t>Následující citát ukazuje vznik prvního postmoderního subjektu vybaveného objektivní pamětí</w:t>
      </w:r>
      <w:r w:rsidR="08163013">
        <w:t>.</w:t>
      </w:r>
    </w:p>
    <w:p w:rsidR="08163013" w:rsidRPr="004369A7" w:rsidRDefault="08163013" w:rsidP="08163013">
      <w:pPr>
        <w:pStyle w:val="Citace"/>
        <w:rPr>
          <w:noProof/>
          <w:lang w:val="cs-CZ"/>
        </w:rPr>
      </w:pPr>
      <w:r w:rsidRPr="00273106">
        <w:rPr>
          <w:noProof/>
          <w:lang w:val="cs-CZ"/>
        </w:rPr>
        <w:lastRenderedPageBreak/>
        <w:t>„</w:t>
      </w:r>
      <w:r>
        <w:rPr>
          <w:noProof/>
          <w:lang w:val="cs-CZ"/>
        </w:rPr>
        <w:t xml:space="preserve">Do paměti klademe </w:t>
      </w:r>
      <w:r w:rsidR="00962190" w:rsidRPr="00A504D8">
        <w:rPr>
          <w:noProof/>
          <w:lang w:val="cs-CZ"/>
        </w:rPr>
        <w:t>species</w:t>
      </w:r>
      <w:r>
        <w:rPr>
          <w:noProof/>
          <w:lang w:val="cs-CZ"/>
        </w:rPr>
        <w:t>, k nimž se obrací intelekt jako k objektům poznání (</w:t>
      </w:r>
      <w:r w:rsidRPr="00B60EE0">
        <w:rPr>
          <w:i/>
          <w:noProof/>
        </w:rPr>
        <w:t>ad sua objecta</w:t>
      </w:r>
      <w:r>
        <w:rPr>
          <w:noProof/>
          <w:lang w:val="cs-CZ"/>
        </w:rPr>
        <w:t xml:space="preserve">). Paměť se </w:t>
      </w:r>
      <w:r w:rsidR="00890283">
        <w:rPr>
          <w:noProof/>
          <w:lang w:val="cs-CZ"/>
        </w:rPr>
        <w:t xml:space="preserve">totiž </w:t>
      </w:r>
      <w:r>
        <w:rPr>
          <w:noProof/>
          <w:lang w:val="cs-CZ"/>
        </w:rPr>
        <w:t>sjednocuje s intelektem (</w:t>
      </w:r>
      <w:r w:rsidRPr="001114B6">
        <w:rPr>
          <w:i/>
          <w:noProof/>
          <w:lang w:val="cs-CZ"/>
        </w:rPr>
        <w:t>c</w:t>
      </w:r>
      <w:r w:rsidRPr="001114B6">
        <w:rPr>
          <w:i/>
          <w:noProof/>
        </w:rPr>
        <w:t>onvenit tamen memoria</w:t>
      </w:r>
      <w:r w:rsidRPr="001114B6">
        <w:rPr>
          <w:i/>
          <w:noProof/>
          <w:lang w:val="cs-CZ"/>
        </w:rPr>
        <w:t xml:space="preserve"> </w:t>
      </w:r>
      <w:r w:rsidRPr="001114B6">
        <w:rPr>
          <w:i/>
          <w:noProof/>
        </w:rPr>
        <w:t>cum intellectu</w:t>
      </w:r>
      <w:r w:rsidR="001D7A0F">
        <w:rPr>
          <w:noProof/>
          <w:lang w:val="cs-CZ"/>
        </w:rPr>
        <w:t xml:space="preserve">), a </w:t>
      </w:r>
      <w:r>
        <w:rPr>
          <w:noProof/>
          <w:lang w:val="cs-CZ"/>
        </w:rPr>
        <w:t>tím</w:t>
      </w:r>
      <w:r w:rsidR="001D7A0F">
        <w:rPr>
          <w:noProof/>
          <w:lang w:val="cs-CZ"/>
        </w:rPr>
        <w:t xml:space="preserve"> uchovává </w:t>
      </w:r>
      <w:r>
        <w:rPr>
          <w:noProof/>
          <w:lang w:val="cs-CZ"/>
        </w:rPr>
        <w:t>inteligibilní významy (</w:t>
      </w:r>
      <w:r w:rsidRPr="001114B6">
        <w:rPr>
          <w:i/>
          <w:noProof/>
        </w:rPr>
        <w:t>in susceptibilitate expressionum intellectualium</w:t>
      </w:r>
      <w:r>
        <w:rPr>
          <w:noProof/>
          <w:lang w:val="cs-CZ"/>
        </w:rPr>
        <w:t>).“ </w:t>
      </w:r>
      <w:r>
        <w:rPr>
          <w:rStyle w:val="Znakapoznpodarou"/>
        </w:rPr>
        <w:footnoteReference w:id="360"/>
      </w:r>
    </w:p>
    <w:p w:rsidR="009E668C" w:rsidRDefault="08163013" w:rsidP="009E668C">
      <w:r w:rsidRPr="00273106">
        <w:t xml:space="preserve">Intelekt pracuje v </w:t>
      </w:r>
      <w:r>
        <w:t xml:space="preserve">nemateriálním </w:t>
      </w:r>
      <w:r w:rsidRPr="00273106">
        <w:t xml:space="preserve">modu </w:t>
      </w:r>
      <w:r w:rsidR="0073078F">
        <w:t>(</w:t>
      </w:r>
      <w:r w:rsidR="0073078F" w:rsidRPr="00BE684F">
        <w:rPr>
          <w:i/>
        </w:rPr>
        <w:t>inmixtus</w:t>
      </w:r>
      <w:r w:rsidR="0073078F">
        <w:t xml:space="preserve">) </w:t>
      </w:r>
      <w:r w:rsidR="00C00D40">
        <w:t xml:space="preserve">jako autonomní forma, která zpracovává </w:t>
      </w:r>
      <w:r>
        <w:t>smyslově-</w:t>
      </w:r>
      <w:r w:rsidR="00C00D40">
        <w:t>intelektuální</w:t>
      </w:r>
      <w:r w:rsidRPr="00273106">
        <w:t xml:space="preserve"> obsahy uložen</w:t>
      </w:r>
      <w:r w:rsidR="00C00D40">
        <w:t>é</w:t>
      </w:r>
      <w:r w:rsidRPr="00273106">
        <w:t xml:space="preserve"> v</w:t>
      </w:r>
      <w:r w:rsidR="087E3087">
        <w:t> </w:t>
      </w:r>
      <w:r w:rsidRPr="00273106">
        <w:t>paměti</w:t>
      </w:r>
      <w:r w:rsidR="087E3087">
        <w:t xml:space="preserve">. Moderní intelekt je z tohoto důvodu </w:t>
      </w:r>
      <w:r>
        <w:t xml:space="preserve">objektivním </w:t>
      </w:r>
      <w:r w:rsidRPr="003A1169">
        <w:rPr>
          <w:i/>
        </w:rPr>
        <w:t>intellectus materialis</w:t>
      </w:r>
      <w:r>
        <w:rPr>
          <w:i/>
        </w:rPr>
        <w:fldChar w:fldCharType="begin"/>
      </w:r>
      <w:r>
        <w:instrText xml:space="preserve"> XE "</w:instrText>
      </w:r>
      <w:r w:rsidRPr="00BE489A">
        <w:rPr>
          <w:i/>
        </w:rPr>
        <w:instrText>intellectus materialis:</w:instrText>
      </w:r>
      <w:r>
        <w:instrText xml:space="preserve">Olivi" </w:instrText>
      </w:r>
      <w:r>
        <w:rPr>
          <w:i/>
        </w:rPr>
        <w:fldChar w:fldCharType="end"/>
      </w:r>
      <w:r>
        <w:t xml:space="preserve">. </w:t>
      </w:r>
      <w:r w:rsidR="00E35CC7" w:rsidRPr="00E35CC7">
        <w:t xml:space="preserve">Nová mytologická definice receptivního intelektu </w:t>
      </w:r>
      <w:r w:rsidR="005A6F67">
        <w:t xml:space="preserve">je dána až </w:t>
      </w:r>
      <w:r w:rsidR="00E35CC7" w:rsidRPr="00E35CC7">
        <w:t>dodnes v modu univerzálního hylemorfismu</w:t>
      </w:r>
      <w:r>
        <w:t xml:space="preserve"> (</w:t>
      </w:r>
      <w:r w:rsidRPr="080372C4">
        <w:rPr>
          <w:i/>
        </w:rPr>
        <w:t>ex forma et materia ipsius</w:t>
      </w:r>
      <w:r>
        <w:t>). Protože materiální intelekt je hypostázovanou substancí třetího druhu, pak je také svým způsobem aktuální (</w:t>
      </w:r>
      <w:r w:rsidRPr="080372C4">
        <w:rPr>
          <w:i/>
        </w:rPr>
        <w:t>intellectus constituitur una potentia in se ipsa operativa</w:t>
      </w:r>
      <w:r>
        <w:t xml:space="preserve">). </w:t>
      </w:r>
      <w:r w:rsidRPr="00273106">
        <w:t xml:space="preserve">Pasivní roli dříve vyhrazenou pro </w:t>
      </w:r>
      <w:r w:rsidRPr="00273106">
        <w:rPr>
          <w:i/>
        </w:rPr>
        <w:t>intellectus possibilis</w:t>
      </w:r>
      <w:r w:rsidRPr="00273106">
        <w:t xml:space="preserve"> nyní plní augustiniánsky pojatá paměť</w:t>
      </w:r>
      <w:r>
        <w:rPr>
          <w:i/>
        </w:rPr>
        <w:fldChar w:fldCharType="begin"/>
      </w:r>
      <w:r>
        <w:instrText xml:space="preserve"> XE "</w:instrText>
      </w:r>
      <w:r w:rsidRPr="00840D0F">
        <w:rPr>
          <w:i/>
        </w:rPr>
        <w:instrText>memoria:</w:instrText>
      </w:r>
      <w:r w:rsidRPr="00211B9D">
        <w:instrText>Olivi</w:instrText>
      </w:r>
      <w:r>
        <w:instrText xml:space="preserve">" </w:instrText>
      </w:r>
      <w:r>
        <w:rPr>
          <w:i/>
        </w:rPr>
        <w:fldChar w:fldCharType="end"/>
      </w:r>
      <w:r w:rsidRPr="00273106">
        <w:t xml:space="preserve">, která skrze akt recepce uchovává smyslově i intelektuálně poznaná </w:t>
      </w:r>
      <w:r w:rsidR="00962190">
        <w:rPr>
          <w:i/>
        </w:rPr>
        <w:t>species</w:t>
      </w:r>
      <w:r w:rsidRPr="00273106">
        <w:t xml:space="preserve"> (</w:t>
      </w:r>
      <w:proofErr w:type="gramStart"/>
      <w:r w:rsidRPr="00273106">
        <w:rPr>
          <w:i/>
        </w:rPr>
        <w:t>memoria... in</w:t>
      </w:r>
      <w:proofErr w:type="gramEnd"/>
      <w:r w:rsidRPr="00273106">
        <w:rPr>
          <w:i/>
        </w:rPr>
        <w:t xml:space="preserve"> susceptibilitate expressionum intellectualium</w:t>
      </w:r>
      <w:r w:rsidRPr="00273106">
        <w:t xml:space="preserve">). Olivi tento intelekt označuje </w:t>
      </w:r>
      <w:r>
        <w:t xml:space="preserve">za materiální, ale ne </w:t>
      </w:r>
      <w:r w:rsidRPr="00273106">
        <w:t xml:space="preserve">proto, že by přijímal </w:t>
      </w:r>
      <w:r w:rsidR="00962190">
        <w:rPr>
          <w:i/>
        </w:rPr>
        <w:t>species</w:t>
      </w:r>
      <w:r w:rsidRPr="00273106">
        <w:t xml:space="preserve"> ze smyslů</w:t>
      </w:r>
      <w:r>
        <w:t>. T</w:t>
      </w:r>
      <w:r w:rsidRPr="00273106">
        <w:t>ato kvazi-substance má sama o sob</w:t>
      </w:r>
      <w:r w:rsidR="009C3025">
        <w:t xml:space="preserve">ě hylemorfický charakter skrze </w:t>
      </w:r>
      <w:r w:rsidR="00962190" w:rsidRPr="009C3025">
        <w:t>species</w:t>
      </w:r>
      <w:r>
        <w:t xml:space="preserve"> uložená v paměti, která</w:t>
      </w:r>
      <w:r w:rsidRPr="00273106">
        <w:t xml:space="preserve"> tvoří materii třetího druhu. </w:t>
      </w:r>
      <w:r>
        <w:t>O</w:t>
      </w:r>
      <w:r w:rsidRPr="00273106">
        <w:t>bjektivní jsoucno</w:t>
      </w:r>
      <w:r>
        <w:t xml:space="preserve"> vzniká intencí aktivního intelektu směrem ke </w:t>
      </w:r>
      <w:r w:rsidR="00962190" w:rsidRPr="009C3025">
        <w:t>species</w:t>
      </w:r>
      <w:r>
        <w:t xml:space="preserve"> (</w:t>
      </w:r>
      <w:r w:rsidRPr="00273106">
        <w:rPr>
          <w:i/>
        </w:rPr>
        <w:t>ad sua objecta</w:t>
      </w:r>
      <w:r>
        <w:t xml:space="preserve">), které jsou </w:t>
      </w:r>
      <w:r>
        <w:fldChar w:fldCharType="begin"/>
      </w:r>
      <w:r>
        <w:instrText xml:space="preserve"> XE "</w:instrText>
      </w:r>
      <w:r w:rsidRPr="00AF6856">
        <w:instrText>intencionalita:Olivi</w:instrText>
      </w:r>
      <w:r>
        <w:instrText xml:space="preserve">" </w:instrText>
      </w:r>
      <w:r>
        <w:fldChar w:fldCharType="end"/>
      </w:r>
      <w:r>
        <w:t xml:space="preserve">uloženy v paměti definované jako </w:t>
      </w:r>
      <w:r w:rsidRPr="08584F25">
        <w:rPr>
          <w:i/>
        </w:rPr>
        <w:t>intellectus materialis</w:t>
      </w:r>
      <w:r>
        <w:t>. I</w:t>
      </w:r>
      <w:r w:rsidRPr="00273106">
        <w:t>nte</w:t>
      </w:r>
      <w:r>
        <w:t>le</w:t>
      </w:r>
      <w:r w:rsidRPr="00273106">
        <w:t>kt je spirituálně-materiální, prot</w:t>
      </w:r>
      <w:r>
        <w:t xml:space="preserve">ože tvoří s moderní pamětí jeden celek, stejně jako dnešní počítačový procesor a jeho operační </w:t>
      </w:r>
      <w:r w:rsidR="009C3025">
        <w:t>RAM-</w:t>
      </w:r>
      <w:r>
        <w:t>paměť. A</w:t>
      </w:r>
      <w:r w:rsidRPr="00273106">
        <w:t xml:space="preserve">ktivní intelekt </w:t>
      </w:r>
      <w:r>
        <w:t xml:space="preserve">pak aktualizuje objektivní </w:t>
      </w:r>
      <w:r w:rsidR="00962190" w:rsidRPr="00712252">
        <w:t>species</w:t>
      </w:r>
      <w:r w:rsidRPr="00273106">
        <w:t xml:space="preserve"> </w:t>
      </w:r>
      <w:r>
        <w:t xml:space="preserve">pasivně uložená </w:t>
      </w:r>
      <w:r w:rsidRPr="00273106">
        <w:t>v paměti (</w:t>
      </w:r>
      <w:r w:rsidR="00962190">
        <w:rPr>
          <w:i/>
        </w:rPr>
        <w:t>species</w:t>
      </w:r>
      <w:r w:rsidRPr="00273106">
        <w:rPr>
          <w:i/>
        </w:rPr>
        <w:t xml:space="preserve"> illas ad quas conspiciendas convertitur intellectus</w:t>
      </w:r>
      <w:r w:rsidRPr="00273106">
        <w:t>)</w:t>
      </w:r>
      <w:r>
        <w:t>. Tím je dána nová forma univerzálního hylemorfismu</w:t>
      </w:r>
      <w:r>
        <w:fldChar w:fldCharType="begin"/>
      </w:r>
      <w:r>
        <w:instrText xml:space="preserve"> XE "</w:instrText>
      </w:r>
      <w:r w:rsidRPr="00423560">
        <w:instrText>univerzální hylemorfismus</w:instrText>
      </w:r>
      <w:r>
        <w:instrText xml:space="preserve">" </w:instrText>
      </w:r>
      <w:r>
        <w:fldChar w:fldCharType="end"/>
      </w:r>
      <w:r>
        <w:t xml:space="preserve"> spojující aktivní a receptivní složku poznání v duši. Kvazi</w:t>
      </w:r>
      <w:r>
        <w:noBreakHyphen/>
        <w:t xml:space="preserve">materialita paměti doplňuje avicennistickou definici o intelektu jako hyleformické složenině, která je sama </w:t>
      </w:r>
      <w:r w:rsidR="087E3087">
        <w:t>o sobě aktivní a pasivní (kap. 4</w:t>
      </w:r>
      <w:r>
        <w:t>.1.2). Olivi skrze moderní simulákrum</w:t>
      </w:r>
      <w:r>
        <w:fldChar w:fldCharType="begin"/>
      </w:r>
      <w:r>
        <w:instrText xml:space="preserve"> XE "</w:instrText>
      </w:r>
      <w:r w:rsidRPr="0066491F">
        <w:instrText>simulákrum</w:instrText>
      </w:r>
      <w:r>
        <w:instrText xml:space="preserve">" </w:instrText>
      </w:r>
      <w:r>
        <w:fldChar w:fldCharType="end"/>
      </w:r>
      <w:r>
        <w:t xml:space="preserve"> paměti jako jsoucna třetího druhu nově spojil činný a receptivní intelekt. Tím padla aristotelská nauka</w:t>
      </w:r>
      <w:r w:rsidRPr="00273106">
        <w:t xml:space="preserve"> o smyslových a intelektuálních </w:t>
      </w:r>
      <w:r w:rsidR="00962190" w:rsidRPr="00712252">
        <w:t>species</w:t>
      </w:r>
      <w:r w:rsidRPr="00273106">
        <w:t xml:space="preserve"> získaný</w:t>
      </w:r>
      <w:r w:rsidR="00712252">
        <w:t xml:space="preserve">ch abstrakcí od smyslových věcí. Tu nahradilo </w:t>
      </w:r>
      <w:r w:rsidRPr="00273106">
        <w:t xml:space="preserve">avicennovské </w:t>
      </w:r>
      <w:r w:rsidRPr="00273106">
        <w:rPr>
          <w:i/>
        </w:rPr>
        <w:t>denudatio</w:t>
      </w:r>
      <w:r w:rsidRPr="00273106">
        <w:t xml:space="preserve"> </w:t>
      </w:r>
      <w:r>
        <w:t>předem daných forem ukládaných do specifického intelektuálního rezervoáru. P</w:t>
      </w:r>
      <w:r w:rsidRPr="00273106">
        <w:t xml:space="preserve">oznání je založeno na zásadně odlišném statutu </w:t>
      </w:r>
      <w:r w:rsidR="00962190" w:rsidRPr="00636755">
        <w:t>species</w:t>
      </w:r>
      <w:r w:rsidRPr="00273106">
        <w:t xml:space="preserve"> </w:t>
      </w:r>
      <w:r>
        <w:t xml:space="preserve"> a intelektu, </w:t>
      </w:r>
      <w:r w:rsidRPr="00273106">
        <w:t>než má první averroismus</w:t>
      </w:r>
      <w:r>
        <w:fldChar w:fldCharType="begin"/>
      </w:r>
      <w:r>
        <w:instrText xml:space="preserve"> XE "</w:instrText>
      </w:r>
      <w:r w:rsidRPr="006901AA">
        <w:instrText xml:space="preserve">species:dvojí </w:instrText>
      </w:r>
      <w:r w:rsidRPr="006901AA">
        <w:lastRenderedPageBreak/>
        <w:instrText>určení</w:instrText>
      </w:r>
      <w:r>
        <w:instrText xml:space="preserve">" </w:instrText>
      </w:r>
      <w:r>
        <w:fldChar w:fldCharType="end"/>
      </w:r>
      <w:r w:rsidRPr="00273106">
        <w:t xml:space="preserve">. </w:t>
      </w:r>
      <w:r>
        <w:t xml:space="preserve">Tento moderní </w:t>
      </w:r>
      <w:r w:rsidRPr="00DA78B2">
        <w:rPr>
          <w:i/>
        </w:rPr>
        <w:t>locus</w:t>
      </w:r>
      <w:r>
        <w:t xml:space="preserve"> </w:t>
      </w:r>
      <w:r w:rsidR="089A612B">
        <w:t xml:space="preserve">objetivních </w:t>
      </w:r>
      <w:r>
        <w:t>jsouc</w:t>
      </w:r>
      <w:r w:rsidR="089A612B">
        <w:t>en</w:t>
      </w:r>
      <w:r>
        <w:t xml:space="preserve"> současně a ve stejném smyslu existuje a neexistuje</w:t>
      </w:r>
      <w:r w:rsidR="00C67355">
        <w:t xml:space="preserve">. </w:t>
      </w:r>
      <w:r w:rsidRPr="00273106">
        <w:t>Paměť převyšuje smyslově dan</w:t>
      </w:r>
      <w:r w:rsidR="004600F8">
        <w:t>á</w:t>
      </w:r>
      <w:r w:rsidRPr="00273106">
        <w:t xml:space="preserve"> </w:t>
      </w:r>
      <w:r w:rsidR="00962190" w:rsidRPr="004600F8">
        <w:t>species</w:t>
      </w:r>
      <w:r w:rsidRPr="00273106">
        <w:t xml:space="preserve"> tím, že </w:t>
      </w:r>
      <w:r w:rsidR="004600F8">
        <w:t>má větší míru</w:t>
      </w:r>
      <w:r w:rsidRPr="00273106">
        <w:t xml:space="preserve"> univerzality. </w:t>
      </w:r>
      <w:r>
        <w:t xml:space="preserve">Oliviho </w:t>
      </w:r>
      <w:r w:rsidRPr="004C0846">
        <w:rPr>
          <w:i/>
        </w:rPr>
        <w:t>memoria</w:t>
      </w:r>
      <w:r>
        <w:rPr>
          <w:i/>
        </w:rPr>
        <w:fldChar w:fldCharType="begin"/>
      </w:r>
      <w:r>
        <w:instrText xml:space="preserve"> XE "</w:instrText>
      </w:r>
      <w:r w:rsidRPr="00840D0F">
        <w:rPr>
          <w:i/>
        </w:rPr>
        <w:instrText>memoria:</w:instrText>
      </w:r>
      <w:r w:rsidRPr="00C73C7D">
        <w:instrText>Olivi</w:instrText>
      </w:r>
      <w:r>
        <w:instrText xml:space="preserve">" </w:instrText>
      </w:r>
      <w:r>
        <w:rPr>
          <w:i/>
        </w:rPr>
        <w:fldChar w:fldCharType="end"/>
      </w:r>
      <w:r>
        <w:t xml:space="preserve"> podržuje univerzální a nemateriální </w:t>
      </w:r>
      <w:r w:rsidR="00962190" w:rsidRPr="009B3ECC">
        <w:t>species</w:t>
      </w:r>
      <w:r>
        <w:t xml:space="preserve"> o</w:t>
      </w:r>
      <w:r w:rsidRPr="00273106">
        <w:t>dděleně od smyslové či materiální proměnlivosti (</w:t>
      </w:r>
      <w:r w:rsidRPr="00273106">
        <w:rPr>
          <w:i/>
        </w:rPr>
        <w:t>ex multitudine specierum quae sunt im memoria imaginaria distincte et inconfuse</w:t>
      </w:r>
      <w:r w:rsidRPr="00273106">
        <w:t>, ibid, p. 503</w:t>
      </w:r>
      <w:r>
        <w:fldChar w:fldCharType="begin"/>
      </w:r>
      <w:r>
        <w:instrText xml:space="preserve"> XE "Olivi:</w:instrText>
      </w:r>
      <w:r>
        <w:rPr>
          <w:i/>
        </w:rPr>
        <w:instrText>Quaestiones in secundum librum Sententiarum</w:instrText>
      </w:r>
      <w:r>
        <w:instrText xml:space="preserve"> 503" </w:instrText>
      </w:r>
      <w:r>
        <w:fldChar w:fldCharType="end"/>
      </w:r>
      <w:r w:rsidRPr="00273106">
        <w:t xml:space="preserve">). </w:t>
      </w:r>
      <w:r>
        <w:t>U</w:t>
      </w:r>
      <w:r w:rsidRPr="00273106">
        <w:t xml:space="preserve">rčení paměti a </w:t>
      </w:r>
      <w:r w:rsidR="00962190">
        <w:rPr>
          <w:i/>
        </w:rPr>
        <w:t>species</w:t>
      </w:r>
      <w:r w:rsidRPr="00273106">
        <w:t xml:space="preserve"> jako materiálních pseudo-entit </w:t>
      </w:r>
      <w:r>
        <w:t xml:space="preserve">vychází z </w:t>
      </w:r>
      <w:r w:rsidRPr="00273106">
        <w:t>univerzálního hylemorfismu</w:t>
      </w:r>
      <w:r>
        <w:fldChar w:fldCharType="begin"/>
      </w:r>
      <w:r>
        <w:instrText xml:space="preserve"> XE "</w:instrText>
      </w:r>
      <w:r w:rsidRPr="00423560">
        <w:instrText>univerzální hylemorfismus</w:instrText>
      </w:r>
      <w:r>
        <w:instrText xml:space="preserve">" </w:instrText>
      </w:r>
      <w:r>
        <w:fldChar w:fldCharType="end"/>
      </w:r>
      <w:r>
        <w:t xml:space="preserve"> a definují materii ve dvou podobách. </w:t>
      </w:r>
      <w:r w:rsidR="009E668C">
        <w:t>Olivi nemá dvojí intencionalitu, ale dvojí obtisk formy do materie. Pak platí, že receptivní potence (</w:t>
      </w:r>
      <w:r w:rsidR="009E668C" w:rsidRPr="08180C25">
        <w:rPr>
          <w:i/>
        </w:rPr>
        <w:t>potentiae sensitivae</w:t>
      </w:r>
      <w:r w:rsidR="009E668C">
        <w:t xml:space="preserve">) jsou dány ve dvou formách materie. </w:t>
      </w:r>
    </w:p>
    <w:p w:rsidR="009E668C" w:rsidRPr="00BD1F99" w:rsidRDefault="009E668C" w:rsidP="009E668C">
      <w:pPr>
        <w:pStyle w:val="Citace"/>
        <w:rPr>
          <w:lang w:val="cs-CZ"/>
        </w:rPr>
      </w:pPr>
      <w:r>
        <w:rPr>
          <w:lang w:val="cs-CZ"/>
        </w:rPr>
        <w:t>„V člověku je to jinak, protože zmíněné potence mají dvojí materii, spirituální a materiální. I když naše duševní schopnosti principiálně existují ve spirituální materii (</w:t>
      </w:r>
      <w:r w:rsidRPr="00C73C7D">
        <w:rPr>
          <w:i/>
        </w:rPr>
        <w:t>principalius existunt in sua materia spirituali</w:t>
      </w:r>
      <w:r>
        <w:rPr>
          <w:lang w:val="cs-CZ"/>
        </w:rPr>
        <w:t>) sekundárně v tělesné materii, přesto jsou aktuálně a specificky dány ve spirituální materii a teprve sekundárně v reálné materii. Ve spirituální materii nejsou dány odděleně (</w:t>
      </w:r>
      <w:r w:rsidRPr="001A4ACA">
        <w:rPr>
          <w:i/>
          <w:lang w:val="cs-CZ"/>
        </w:rPr>
        <w:t>absolute</w:t>
      </w:r>
      <w:r>
        <w:rPr>
          <w:lang w:val="cs-CZ"/>
        </w:rPr>
        <w:t>), ale jsou uspořádány a spojeny s tělesnou materií (</w:t>
      </w:r>
      <w:r w:rsidRPr="001A4ACA">
        <w:rPr>
          <w:i/>
          <w:lang w:val="cs-CZ"/>
        </w:rPr>
        <w:t>habent</w:t>
      </w:r>
      <w:r>
        <w:rPr>
          <w:lang w:val="cs-CZ"/>
        </w:rPr>
        <w:t xml:space="preserve"> </w:t>
      </w:r>
      <w:r w:rsidRPr="00BD1F99">
        <w:rPr>
          <w:i/>
        </w:rPr>
        <w:t>ordinem et colligantiam</w:t>
      </w:r>
      <w:r>
        <w:rPr>
          <w:i/>
          <w:lang w:val="cs-CZ"/>
        </w:rPr>
        <w:t xml:space="preserve"> </w:t>
      </w:r>
      <w:r>
        <w:rPr>
          <w:i/>
        </w:rPr>
        <w:t>ad mate</w:t>
      </w:r>
      <w:r w:rsidRPr="001A4ACA">
        <w:rPr>
          <w:i/>
        </w:rPr>
        <w:t>riam corporalem</w:t>
      </w:r>
      <w:r>
        <w:rPr>
          <w:lang w:val="cs-CZ"/>
        </w:rPr>
        <w:t>).“ </w:t>
      </w:r>
      <w:r>
        <w:rPr>
          <w:rStyle w:val="Znakapoznpodarou"/>
        </w:rPr>
        <w:footnoteReference w:id="361"/>
      </w:r>
    </w:p>
    <w:p w:rsidR="002F445D" w:rsidRDefault="009E668C" w:rsidP="08163013">
      <w:r w:rsidRPr="00273106">
        <w:t xml:space="preserve">Mnohost substancí v člověku znamená, že akt subsistence duše a těla </w:t>
      </w:r>
      <w:r>
        <w:t xml:space="preserve">se děje </w:t>
      </w:r>
      <w:r w:rsidRPr="00273106">
        <w:t>na dvou odlišných substrátech (</w:t>
      </w:r>
      <w:r w:rsidRPr="00273106">
        <w:rPr>
          <w:i/>
        </w:rPr>
        <w:t>potentiae habent duplicem materiam</w:t>
      </w:r>
      <w:r w:rsidRPr="00273106">
        <w:t xml:space="preserve">). Poznání a determinace </w:t>
      </w:r>
      <w:r>
        <w:rPr>
          <w:i/>
        </w:rPr>
        <w:t>species</w:t>
      </w:r>
      <w:r w:rsidRPr="00273106">
        <w:t xml:space="preserve"> běží v </w:t>
      </w:r>
      <w:r>
        <w:t>neoplatonsk</w:t>
      </w:r>
      <w:r w:rsidRPr="00273106">
        <w:t>ém scénáři od vyšších forem k nižším (</w:t>
      </w:r>
      <w:r w:rsidRPr="00273106">
        <w:rPr>
          <w:i/>
        </w:rPr>
        <w:t>principalius existunt in materia spirituali, secundario vero in corporali</w:t>
      </w:r>
      <w:r w:rsidRPr="00273106">
        <w:t xml:space="preserve">). </w:t>
      </w:r>
      <w:r w:rsidR="08163013">
        <w:t>P</w:t>
      </w:r>
      <w:r w:rsidR="08163013" w:rsidRPr="00273106">
        <w:t xml:space="preserve">aměť </w:t>
      </w:r>
      <w:r w:rsidR="08163013">
        <w:t xml:space="preserve">jako duševní schopnost člověka </w:t>
      </w:r>
      <w:r w:rsidR="08163013" w:rsidRPr="00273106">
        <w:t xml:space="preserve">obsahuje oba druhy </w:t>
      </w:r>
      <w:r w:rsidR="00962190" w:rsidRPr="009B3ECC">
        <w:t>species</w:t>
      </w:r>
      <w:r w:rsidR="08163013">
        <w:t xml:space="preserve">: jedny jsou dány nejasně </w:t>
      </w:r>
      <w:r w:rsidR="08A87D57">
        <w:t xml:space="preserve">(smyslové) </w:t>
      </w:r>
      <w:r w:rsidR="08163013">
        <w:t>a druhé jasně</w:t>
      </w:r>
      <w:r w:rsidR="08A87D57">
        <w:t xml:space="preserve"> (objektivní)</w:t>
      </w:r>
      <w:r w:rsidR="08163013" w:rsidRPr="00273106">
        <w:t>.</w:t>
      </w:r>
      <w:r w:rsidR="08163013">
        <w:t xml:space="preserve"> Materie třetího druhu odlišuje vyšší formu </w:t>
      </w:r>
      <w:r w:rsidR="08163013" w:rsidRPr="00C54959">
        <w:rPr>
          <w:i/>
        </w:rPr>
        <w:t>memoria</w:t>
      </w:r>
      <w:r w:rsidR="08163013">
        <w:t xml:space="preserve"> od smyslově založené </w:t>
      </w:r>
      <w:r w:rsidR="00A97D91">
        <w:t xml:space="preserve">a také </w:t>
      </w:r>
      <w:r w:rsidR="08163013">
        <w:t xml:space="preserve">animální paměti. Existenci těchto </w:t>
      </w:r>
      <w:r w:rsidR="00962190">
        <w:rPr>
          <w:i/>
        </w:rPr>
        <w:t>species</w:t>
      </w:r>
      <w:r w:rsidR="08163013" w:rsidRPr="00273106">
        <w:t xml:space="preserve"> je třeba chápat v persp</w:t>
      </w:r>
      <w:r w:rsidR="08163013">
        <w:t xml:space="preserve">ektivě druhého averroismu jako přesah </w:t>
      </w:r>
      <w:r w:rsidR="08163013" w:rsidRPr="00273106">
        <w:t>vyšší formy do nižší (</w:t>
      </w:r>
      <w:r w:rsidR="08163013" w:rsidRPr="00273106">
        <w:rPr>
          <w:i/>
        </w:rPr>
        <w:t>exsist</w:t>
      </w:r>
      <w:r w:rsidR="08163013">
        <w:rPr>
          <w:i/>
        </w:rPr>
        <w:t>unt</w:t>
      </w:r>
      <w:r w:rsidR="08163013">
        <w:rPr>
          <w:i/>
        </w:rPr>
        <w:fldChar w:fldCharType="begin"/>
      </w:r>
      <w:r w:rsidR="08163013">
        <w:instrText xml:space="preserve"> XE "</w:instrText>
      </w:r>
      <w:r w:rsidR="08163013" w:rsidRPr="008E07A9">
        <w:rPr>
          <w:i/>
        </w:rPr>
        <w:instrText>exsistere</w:instrText>
      </w:r>
      <w:r w:rsidR="08163013">
        <w:instrText xml:space="preserve">" </w:instrText>
      </w:r>
      <w:r w:rsidR="08163013">
        <w:rPr>
          <w:i/>
        </w:rPr>
        <w:fldChar w:fldCharType="end"/>
      </w:r>
      <w:r w:rsidR="08163013" w:rsidRPr="00273106">
        <w:t xml:space="preserve">). Intelekt osvícený exemplary a pamětí </w:t>
      </w:r>
      <w:r w:rsidR="08163013">
        <w:t>poznává svět prvních substancí spojením</w:t>
      </w:r>
      <w:r w:rsidR="08163013" w:rsidRPr="00273106">
        <w:t xml:space="preserve"> (</w:t>
      </w:r>
      <w:r w:rsidR="08163013" w:rsidRPr="00273106">
        <w:rPr>
          <w:i/>
        </w:rPr>
        <w:t>colligantia</w:t>
      </w:r>
      <w:r w:rsidR="08672A6A">
        <w:t xml:space="preserve">) s objektivními </w:t>
      </w:r>
      <w:r w:rsidR="00962190">
        <w:rPr>
          <w:i/>
        </w:rPr>
        <w:t>species</w:t>
      </w:r>
      <w:r w:rsidR="08672A6A">
        <w:t>, která</w:t>
      </w:r>
      <w:r w:rsidR="08163013" w:rsidRPr="00273106">
        <w:t xml:space="preserve"> jsou v materi</w:t>
      </w:r>
      <w:r w:rsidR="08163013">
        <w:t>álních tělesech dány jen kontingentně</w:t>
      </w:r>
      <w:r w:rsidR="08163013" w:rsidRPr="00273106">
        <w:t xml:space="preserve">. </w:t>
      </w:r>
      <w:r w:rsidR="08163013">
        <w:t>J</w:t>
      </w:r>
      <w:r w:rsidR="08163013" w:rsidRPr="00273106">
        <w:t>en v</w:t>
      </w:r>
      <w:r w:rsidR="08163013">
        <w:t xml:space="preserve">e vyšší </w:t>
      </w:r>
      <w:r w:rsidR="08163013" w:rsidRPr="00273106">
        <w:t xml:space="preserve">paměti </w:t>
      </w:r>
      <w:r w:rsidR="08163013">
        <w:t xml:space="preserve">napojené na </w:t>
      </w:r>
      <w:r w:rsidR="08163013" w:rsidRPr="08AE6AEB">
        <w:rPr>
          <w:i/>
        </w:rPr>
        <w:t>intellectus materialis</w:t>
      </w:r>
      <w:r w:rsidR="08163013">
        <w:t xml:space="preserve"> </w:t>
      </w:r>
      <w:r w:rsidR="08163013" w:rsidRPr="00273106">
        <w:t xml:space="preserve">jsou poznatky dány v původním </w:t>
      </w:r>
      <w:r w:rsidR="08163013">
        <w:t xml:space="preserve">stavu objektivního </w:t>
      </w:r>
      <w:r w:rsidR="08163013" w:rsidRPr="00A95F45">
        <w:rPr>
          <w:i/>
        </w:rPr>
        <w:t>scibile</w:t>
      </w:r>
      <w:r w:rsidR="08163013">
        <w:t xml:space="preserve">, tedy v karteziánském modu </w:t>
      </w:r>
      <w:r w:rsidR="00C32CB9">
        <w:t>„</w:t>
      </w:r>
      <w:r w:rsidR="00C32CB9" w:rsidRPr="00C32CB9">
        <w:rPr>
          <w:i/>
        </w:rPr>
        <w:t>clare et distincte</w:t>
      </w:r>
      <w:r w:rsidR="00C32CB9">
        <w:t>“</w:t>
      </w:r>
      <w:r w:rsidR="08163013" w:rsidRPr="00273106">
        <w:t xml:space="preserve">. </w:t>
      </w:r>
      <w:r w:rsidR="08163013">
        <w:t xml:space="preserve">Termín </w:t>
      </w:r>
      <w:r w:rsidR="08163013" w:rsidRPr="00DE1D0D">
        <w:rPr>
          <w:i/>
        </w:rPr>
        <w:t>collecta</w:t>
      </w:r>
      <w:r w:rsidR="08163013">
        <w:rPr>
          <w:i/>
        </w:rPr>
        <w:fldChar w:fldCharType="begin"/>
      </w:r>
      <w:r w:rsidR="08163013">
        <w:instrText xml:space="preserve"> XE "</w:instrText>
      </w:r>
      <w:r w:rsidR="08163013" w:rsidRPr="00B424A1">
        <w:rPr>
          <w:i/>
        </w:rPr>
        <w:instrText>collecta</w:instrText>
      </w:r>
      <w:r w:rsidR="08163013">
        <w:instrText xml:space="preserve">" </w:instrText>
      </w:r>
      <w:r w:rsidR="08163013">
        <w:rPr>
          <w:i/>
        </w:rPr>
        <w:fldChar w:fldCharType="end"/>
      </w:r>
      <w:r w:rsidR="08163013">
        <w:t xml:space="preserve">, </w:t>
      </w:r>
      <w:r w:rsidR="08163013" w:rsidRPr="007561B9">
        <w:rPr>
          <w:i/>
        </w:rPr>
        <w:t>colligatio</w:t>
      </w:r>
      <w:r w:rsidR="08163013">
        <w:t xml:space="preserve"> a jemu podobné signalizují opakované pokusy moderny a postmoderny, která se marně snaží sjednotit duševní a tělesné akty poznání.</w:t>
      </w:r>
    </w:p>
    <w:p w:rsidR="08163013" w:rsidRDefault="08163013" w:rsidP="002F445D">
      <w:pPr>
        <w:ind w:firstLine="397"/>
      </w:pPr>
      <w:r w:rsidRPr="00273106">
        <w:lastRenderedPageBreak/>
        <w:t xml:space="preserve">Výsledkem </w:t>
      </w:r>
      <w:r>
        <w:t xml:space="preserve">Oliviho inovace </w:t>
      </w:r>
      <w:r w:rsidRPr="00273106">
        <w:t>je kuriózní subsistence</w:t>
      </w:r>
      <w:r>
        <w:t xml:space="preserve"> paměti třetího druhu mytopoeticky kopulující s pilným aktivním intelektem ilumináta. Toto objektivní spojení paměti a poznávacích schopností </w:t>
      </w:r>
      <w:r w:rsidRPr="00273106">
        <w:t xml:space="preserve">je dáno mixem </w:t>
      </w:r>
      <w:r>
        <w:t xml:space="preserve">hylické </w:t>
      </w:r>
      <w:r w:rsidRPr="00273106">
        <w:t>a spirituální materie</w:t>
      </w:r>
      <w:r>
        <w:t>. Průběh p</w:t>
      </w:r>
      <w:r w:rsidRPr="00273106">
        <w:t xml:space="preserve">oznání </w:t>
      </w:r>
      <w:r>
        <w:t xml:space="preserve">určuje deduktivní </w:t>
      </w:r>
      <w:r w:rsidRPr="00273106">
        <w:t xml:space="preserve">logika </w:t>
      </w:r>
      <w:r w:rsidRPr="00273106">
        <w:rPr>
          <w:i/>
        </w:rPr>
        <w:t>Liber de causis</w:t>
      </w:r>
      <w:r>
        <w:rPr>
          <w:i/>
        </w:rPr>
        <w:fldChar w:fldCharType="begin"/>
      </w:r>
      <w:r>
        <w:instrText xml:space="preserve"> XE "</w:instrText>
      </w:r>
      <w:r w:rsidRPr="00C46BD8">
        <w:rPr>
          <w:i/>
        </w:rPr>
        <w:instrText>Liber de causis</w:instrText>
      </w:r>
      <w:r>
        <w:instrText xml:space="preserve">" </w:instrText>
      </w:r>
      <w:r>
        <w:rPr>
          <w:i/>
        </w:rPr>
        <w:fldChar w:fldCharType="end"/>
      </w:r>
      <w:r>
        <w:t>. V</w:t>
      </w:r>
      <w:r w:rsidRPr="00273106">
        <w:t xml:space="preserve">yšší </w:t>
      </w:r>
      <w:r>
        <w:t xml:space="preserve">formální </w:t>
      </w:r>
      <w:r w:rsidRPr="00273106">
        <w:t>princip určuje nižší</w:t>
      </w:r>
      <w:r>
        <w:t xml:space="preserve"> úroveň, která tuto determinaci imituje podle své úrovně materiální inteligence. Proto i smyslově daná</w:t>
      </w:r>
      <w:r w:rsidRPr="00273106">
        <w:t xml:space="preserve"> </w:t>
      </w:r>
      <w:r w:rsidR="00962190">
        <w:rPr>
          <w:i/>
        </w:rPr>
        <w:t>species</w:t>
      </w:r>
      <w:r>
        <w:t xml:space="preserve"> uložená</w:t>
      </w:r>
      <w:r w:rsidRPr="00273106">
        <w:t xml:space="preserve"> v paměti obsahuje v rudimentární formě všechna základní formální určení vyšších forem.</w:t>
      </w:r>
      <w:r w:rsidRPr="00273106">
        <w:rPr>
          <w:rStyle w:val="Znakapoznpodarou"/>
        </w:rPr>
        <w:footnoteReference w:id="362"/>
      </w:r>
      <w:r w:rsidRPr="00273106">
        <w:t xml:space="preserve"> </w:t>
      </w:r>
      <w:r>
        <w:t xml:space="preserve">Olivi vybavil </w:t>
      </w:r>
      <w:r w:rsidR="00962190">
        <w:rPr>
          <w:i/>
        </w:rPr>
        <w:t>species</w:t>
      </w:r>
      <w:r>
        <w:t xml:space="preserve"> uložená v paměti objektivní (tj. hypostázovanou) „exsistencí“. Paměť představuje </w:t>
      </w:r>
      <w:r w:rsidRPr="00056EB8">
        <w:rPr>
          <w:i/>
        </w:rPr>
        <w:t>locus specierum</w:t>
      </w:r>
      <w:r>
        <w:t xml:space="preserve"> dané objektivně-materiálně</w:t>
      </w:r>
      <w:r>
        <w:rPr>
          <w:i/>
        </w:rPr>
        <w:fldChar w:fldCharType="begin"/>
      </w:r>
      <w:r>
        <w:instrText xml:space="preserve"> XE "</w:instrText>
      </w:r>
      <w:r w:rsidRPr="009E5259">
        <w:rPr>
          <w:i/>
        </w:rPr>
        <w:instrText>locus specierum</w:instrText>
      </w:r>
      <w:r>
        <w:instrText xml:space="preserve">" </w:instrText>
      </w:r>
      <w:r>
        <w:rPr>
          <w:i/>
        </w:rPr>
        <w:fldChar w:fldCharType="end"/>
      </w:r>
      <w:r>
        <w:t>. Lidské schopnosti vázané na tělo nepoznávají</w:t>
      </w:r>
      <w:r w:rsidRPr="00273106">
        <w:t xml:space="preserve"> </w:t>
      </w:r>
      <w:r>
        <w:t xml:space="preserve">spirituální materii </w:t>
      </w:r>
      <w:r w:rsidRPr="00273106">
        <w:rPr>
          <w:i/>
        </w:rPr>
        <w:t>absolute</w:t>
      </w:r>
      <w:r w:rsidRPr="00273106">
        <w:t xml:space="preserve">, čili odděleně od světa materiálních těles, jako andělé a kosmické inteligence poznávají exemplary či aktuální nemateriální formy. </w:t>
      </w:r>
      <w:r>
        <w:t xml:space="preserve">Reálné poznání vzniká aktualizací objektivní „exsistence“ těchto již uložených </w:t>
      </w:r>
      <w:r w:rsidR="00962190">
        <w:rPr>
          <w:i/>
        </w:rPr>
        <w:t>species</w:t>
      </w:r>
      <w:r>
        <w:t xml:space="preserve">. Moderní intelekt využívá tento poklad identity jsoucna a člověka tím, že na paměť zaměří svou intencionalitu nikoliv od </w:t>
      </w:r>
      <w:r w:rsidRPr="083F5F64">
        <w:rPr>
          <w:i/>
        </w:rPr>
        <w:t>intellectus possibilis</w:t>
      </w:r>
      <w:r>
        <w:t xml:space="preserve">, ale od moderního substančního </w:t>
      </w:r>
      <w:r w:rsidRPr="083F5F64">
        <w:rPr>
          <w:i/>
        </w:rPr>
        <w:t>intellectus agens</w:t>
      </w:r>
      <w:r>
        <w:t xml:space="preserve">. Hypostázovaný činný intelekt obrátí pozornost směrem k paměti a vlastní aktualitou přemění uložená </w:t>
      </w:r>
      <w:r w:rsidR="00962190">
        <w:rPr>
          <w:i/>
        </w:rPr>
        <w:t>species</w:t>
      </w:r>
      <w:r>
        <w:t xml:space="preserve"> třetího druhu na objektivní poznatek. Díky aktu upamatování moderní iluminát objektivně ví, že existuje nějaká kontingentně daná a smyslově poznaná realita i mimo něj. O</w:t>
      </w:r>
      <w:r w:rsidRPr="00273106">
        <w:t xml:space="preserve">d paměti jako jsoucna třetího druhu již vede přímá </w:t>
      </w:r>
      <w:r>
        <w:t xml:space="preserve">spojnice </w:t>
      </w:r>
      <w:r w:rsidRPr="00273106">
        <w:t>k Lockově</w:t>
      </w:r>
      <w:r>
        <w:fldChar w:fldCharType="begin"/>
      </w:r>
      <w:r>
        <w:instrText xml:space="preserve"> XE "</w:instrText>
      </w:r>
      <w:r w:rsidRPr="00781883">
        <w:instrText>Locke, J.</w:instrText>
      </w:r>
      <w:r>
        <w:instrText xml:space="preserve">" </w:instrText>
      </w:r>
      <w:r>
        <w:fldChar w:fldCharType="end"/>
      </w:r>
      <w:r w:rsidRPr="00273106">
        <w:t xml:space="preserve"> určení identity </w:t>
      </w:r>
      <w:r>
        <w:t xml:space="preserve">moderního subjektu </w:t>
      </w:r>
      <w:r w:rsidRPr="00273106">
        <w:t xml:space="preserve">skrze paměť </w:t>
      </w:r>
      <w:r>
        <w:t>(k</w:t>
      </w:r>
      <w:r w:rsidR="085B4B9A">
        <w:t>ap. 4</w:t>
      </w:r>
      <w:r w:rsidRPr="00273106">
        <w:t xml:space="preserve">.4.3). </w:t>
      </w:r>
      <w:r>
        <w:t xml:space="preserve">Současná epocha </w:t>
      </w:r>
      <w:r w:rsidRPr="00273106">
        <w:t xml:space="preserve">převedla </w:t>
      </w:r>
      <w:r>
        <w:t xml:space="preserve">Oliviho duplicitní určení potence jako materie třetího druhu </w:t>
      </w:r>
      <w:r w:rsidRPr="00273106">
        <w:t xml:space="preserve">do </w:t>
      </w:r>
      <w:r w:rsidR="088F21E3">
        <w:t>objektivně-</w:t>
      </w:r>
      <w:r w:rsidRPr="00273106">
        <w:t>fyzikální materie</w:t>
      </w:r>
      <w:r>
        <w:t xml:space="preserve">, která v epoše metafyzického nihilismu převzala funkce Bonaventurovy a Oliviho </w:t>
      </w:r>
      <w:r w:rsidRPr="00361347">
        <w:rPr>
          <w:i/>
        </w:rPr>
        <w:t>materia spiritualis</w:t>
      </w:r>
      <w:r>
        <w:rPr>
          <w:i/>
        </w:rPr>
        <w:fldChar w:fldCharType="begin"/>
      </w:r>
      <w:r>
        <w:instrText xml:space="preserve"> XE "</w:instrText>
      </w:r>
      <w:r w:rsidRPr="08A516BF">
        <w:instrText>materie</w:instrText>
      </w:r>
      <w:r>
        <w:rPr>
          <w:i/>
        </w:rPr>
        <w:instrText xml:space="preserve">:materia </w:instrText>
      </w:r>
      <w:r w:rsidRPr="00612581">
        <w:rPr>
          <w:i/>
        </w:rPr>
        <w:instrText>spiritualis</w:instrText>
      </w:r>
      <w:r>
        <w:instrText xml:space="preserve">" </w:instrText>
      </w:r>
      <w:r>
        <w:rPr>
          <w:i/>
        </w:rPr>
        <w:fldChar w:fldCharType="end"/>
      </w:r>
      <w:r w:rsidRPr="00273106">
        <w:t>.</w:t>
      </w:r>
      <w:r>
        <w:t xml:space="preserve"> Klíčová věta citátu připomíná, že poznávací potence dané ve spirituální materii nemají hypostázované bytí kosmické substance (</w:t>
      </w:r>
      <w:r w:rsidRPr="08394776">
        <w:rPr>
          <w:i/>
        </w:rPr>
        <w:t>non enim sunt in materia spirituali absolute</w:t>
      </w:r>
      <w:r>
        <w:t>), ale jako lidské potence jsou dány v řádu a spojení s tělesnou materií (</w:t>
      </w:r>
      <w:r w:rsidRPr="08394776">
        <w:rPr>
          <w:i/>
        </w:rPr>
        <w:t>habent ordinem et colligantiam ad materiam corporalem</w:t>
      </w:r>
      <w:r>
        <w:t>). Receptivní potence (</w:t>
      </w:r>
      <w:r w:rsidRPr="08180C25">
        <w:rPr>
          <w:i/>
        </w:rPr>
        <w:t>potentiae sensitivae</w:t>
      </w:r>
      <w:r>
        <w:t>) můžeme nahlížet na objektivním Jakubově žebříku</w:t>
      </w:r>
      <w:r>
        <w:fldChar w:fldCharType="begin"/>
      </w:r>
      <w:r>
        <w:instrText xml:space="preserve"> XE "</w:instrText>
      </w:r>
      <w:r w:rsidRPr="08DA5F95">
        <w:instrText>Jakubův žebřík</w:instrText>
      </w:r>
      <w:r>
        <w:instrText xml:space="preserve">" </w:instrText>
      </w:r>
      <w:r>
        <w:fldChar w:fldCharType="end"/>
      </w:r>
      <w:r>
        <w:t xml:space="preserve"> také anabazicky, když vystupujeme z vezdejšího světa do objektivně dané sféry duchovní materie.</w:t>
      </w:r>
    </w:p>
    <w:p w:rsidR="00106D90" w:rsidRDefault="08163013" w:rsidP="08163013">
      <w:r>
        <w:lastRenderedPageBreak/>
        <w:tab/>
        <w:t xml:space="preserve">Mysl </w:t>
      </w:r>
      <w:r w:rsidR="083A3F3D">
        <w:t xml:space="preserve">moderního </w:t>
      </w:r>
      <w:r>
        <w:t xml:space="preserve">ilumináta </w:t>
      </w:r>
      <w:r w:rsidR="088D0AEC">
        <w:t xml:space="preserve">(viz vznik </w:t>
      </w:r>
      <w:r w:rsidR="088D0AEC" w:rsidRPr="003F26F8">
        <w:rPr>
          <w:i/>
          <w:szCs w:val="24"/>
        </w:rPr>
        <w:t>intelligentia spiritualis</w:t>
      </w:r>
      <w:r w:rsidR="088D0AEC">
        <w:rPr>
          <w:i/>
          <w:szCs w:val="24"/>
          <w:lang w:val="de-DE"/>
        </w:rPr>
        <w:fldChar w:fldCharType="begin"/>
      </w:r>
      <w:r w:rsidR="088D0AEC">
        <w:instrText xml:space="preserve"> XE "</w:instrText>
      </w:r>
      <w:r w:rsidR="088D0AEC" w:rsidRPr="003F26F8">
        <w:rPr>
          <w:i/>
          <w:szCs w:val="24"/>
        </w:rPr>
        <w:instrText>intelligentia spiritualis</w:instrText>
      </w:r>
      <w:r w:rsidR="088D0AEC">
        <w:instrText xml:space="preserve">" </w:instrText>
      </w:r>
      <w:r w:rsidR="088D0AEC">
        <w:rPr>
          <w:i/>
          <w:szCs w:val="24"/>
          <w:lang w:val="de-DE"/>
        </w:rPr>
        <w:fldChar w:fldCharType="end"/>
      </w:r>
      <w:r w:rsidR="088D0AEC" w:rsidRPr="003F26F8">
        <w:rPr>
          <w:szCs w:val="24"/>
        </w:rPr>
        <w:t xml:space="preserve"> v Oxfordu; OBJ II, kap. </w:t>
      </w:r>
      <w:proofErr w:type="gramStart"/>
      <w:r w:rsidR="088D0AEC" w:rsidRPr="003F26F8">
        <w:rPr>
          <w:szCs w:val="24"/>
        </w:rPr>
        <w:t xml:space="preserve">3.1.2) </w:t>
      </w:r>
      <w:r w:rsidR="088D0AEC">
        <w:t xml:space="preserve">) </w:t>
      </w:r>
      <w:r>
        <w:t>pozoruje</w:t>
      </w:r>
      <w:proofErr w:type="gramEnd"/>
      <w:r>
        <w:t xml:space="preserve"> hylemorfickou materii a v ní vidí okem duše objektivní „exsistenci“ inteligibilních forem. V aktu přímého náhledu moderních eidetických </w:t>
      </w:r>
      <w:r w:rsidR="00962190">
        <w:rPr>
          <w:i/>
        </w:rPr>
        <w:t>species</w:t>
      </w:r>
      <w:r>
        <w:t xml:space="preserve"> není molekula DNA jen první substance</w:t>
      </w:r>
      <w:r>
        <w:fldChar w:fldCharType="begin"/>
      </w:r>
      <w:r>
        <w:instrText xml:space="preserve"> XE "</w:instrText>
      </w:r>
      <w:r w:rsidRPr="00DE2A32">
        <w:instrText>substance</w:instrText>
      </w:r>
      <w:r>
        <w:instrText xml:space="preserve">:DNA" </w:instrText>
      </w:r>
      <w:r>
        <w:fldChar w:fldCharType="end"/>
      </w:r>
      <w:r>
        <w:t xml:space="preserve">. Iluminát nevidí </w:t>
      </w:r>
      <w:r w:rsidR="0075458B">
        <w:t>fyz</w:t>
      </w:r>
      <w:r w:rsidR="0821209F">
        <w:t xml:space="preserve">ickou </w:t>
      </w:r>
      <w:r>
        <w:t xml:space="preserve">molekulu jako aktuální první substanci, ale svým osvíceným intelektem-sluncem nazírá mystické jsoucno třetího druhu. Pak představuje molekula DNA v modu současného </w:t>
      </w:r>
      <w:r w:rsidRPr="08BC5B61">
        <w:rPr>
          <w:i/>
        </w:rPr>
        <w:t>ortus scientiarum</w:t>
      </w:r>
      <w:r w:rsidR="08FD2601">
        <w:rPr>
          <w:i/>
        </w:rPr>
        <w:fldChar w:fldCharType="begin"/>
      </w:r>
      <w:r w:rsidR="08FD2601">
        <w:instrText xml:space="preserve"> XE "</w:instrText>
      </w:r>
      <w:r w:rsidR="08FD2601" w:rsidRPr="083E079B">
        <w:rPr>
          <w:i/>
        </w:rPr>
        <w:instrText>ortus scientiarum</w:instrText>
      </w:r>
      <w:r w:rsidR="08FD2601">
        <w:instrText xml:space="preserve">" </w:instrText>
      </w:r>
      <w:r w:rsidR="08FD2601">
        <w:rPr>
          <w:i/>
        </w:rPr>
        <w:fldChar w:fldCharType="end"/>
      </w:r>
      <w:r>
        <w:t xml:space="preserve"> také místo postmoderní identity člověka v biologizované verzi Augustinovy </w:t>
      </w:r>
      <w:r w:rsidRPr="08487984">
        <w:rPr>
          <w:i/>
        </w:rPr>
        <w:t>memoria</w:t>
      </w:r>
      <w:r>
        <w:t xml:space="preserve">. Současní evolucionisté jako Richard Dawkins </w:t>
      </w:r>
      <w:r>
        <w:fldChar w:fldCharType="begin"/>
      </w:r>
      <w:r>
        <w:instrText xml:space="preserve"> XE "</w:instrText>
      </w:r>
      <w:r w:rsidRPr="00CF7F83">
        <w:instrText>Dawkins, R.</w:instrText>
      </w:r>
      <w:r>
        <w:instrText xml:space="preserve">" </w:instrText>
      </w:r>
      <w:r>
        <w:fldChar w:fldCharType="end"/>
      </w:r>
      <w:r>
        <w:t xml:space="preserve"> vytvořili mytopoetické jsoucno třetího druhu v konceptu materiálně se replikující evoluce (</w:t>
      </w:r>
      <w:r w:rsidRPr="00CF7BDC">
        <w:rPr>
          <w:i/>
          <w:iCs/>
        </w:rPr>
        <w:t>The Selfish Gene</w:t>
      </w:r>
      <w:r>
        <w:t>, 1976)</w:t>
      </w:r>
      <w:r>
        <w:fldChar w:fldCharType="begin"/>
      </w:r>
      <w:r>
        <w:instrText xml:space="preserve"> XE "</w:instrText>
      </w:r>
      <w:r w:rsidRPr="00826988">
        <w:instrText>evoluce</w:instrText>
      </w:r>
      <w:r>
        <w:instrText xml:space="preserve">" </w:instrText>
      </w:r>
      <w:r>
        <w:fldChar w:fldCharType="end"/>
      </w:r>
      <w:r>
        <w:t xml:space="preserve">. Po smrti moderního boha a nakonec i po Foucaultově smrti </w:t>
      </w:r>
      <w:r w:rsidR="08EC0FB2">
        <w:t>post</w:t>
      </w:r>
      <w:r>
        <w:t xml:space="preserve">moderního subjektu shromažďuje toto podivuhodné </w:t>
      </w:r>
      <w:r w:rsidRPr="0853412D">
        <w:rPr>
          <w:i/>
        </w:rPr>
        <w:t>scibile</w:t>
      </w:r>
      <w:r>
        <w:t xml:space="preserve"> pod vedením </w:t>
      </w:r>
      <w:r w:rsidR="08EC0FB2">
        <w:t xml:space="preserve">akademických </w:t>
      </w:r>
      <w:r>
        <w:t>Fúrií současnou identitu člověka-mrtvoly definovanou čistě geneticky. Nová mystická m</w:t>
      </w:r>
      <w:r>
        <w:rPr>
          <w:iCs/>
        </w:rPr>
        <w:t>aterie třetího druhu je nyní uložená v rezervoáru DNA</w:t>
      </w:r>
      <w:r w:rsidR="08EC0FB2">
        <w:rPr>
          <w:iCs/>
        </w:rPr>
        <w:t>. T</w:t>
      </w:r>
      <w:r>
        <w:rPr>
          <w:iCs/>
        </w:rPr>
        <w:t xml:space="preserve">oto simulákrum paměti slouží v epoše dokonaného nihilismu jako nový </w:t>
      </w:r>
      <w:r w:rsidRPr="00E3056F">
        <w:rPr>
          <w:i/>
          <w:iCs/>
        </w:rPr>
        <w:t>locus specierum</w:t>
      </w:r>
      <w:r>
        <w:rPr>
          <w:i/>
          <w:iCs/>
        </w:rPr>
        <w:fldChar w:fldCharType="begin"/>
      </w:r>
      <w:r>
        <w:instrText xml:space="preserve"> XE "</w:instrText>
      </w:r>
      <w:r w:rsidRPr="00FC4B43">
        <w:rPr>
          <w:i/>
          <w:iCs/>
        </w:rPr>
        <w:instrText>locus specierum</w:instrText>
      </w:r>
      <w:r>
        <w:instrText xml:space="preserve">" </w:instrText>
      </w:r>
      <w:r>
        <w:rPr>
          <w:i/>
          <w:iCs/>
        </w:rPr>
        <w:fldChar w:fldCharType="end"/>
      </w:r>
      <w:r>
        <w:t xml:space="preserve"> pro kulturní určení člověka. Scientističtí ilumináti</w:t>
      </w:r>
      <w:r>
        <w:fldChar w:fldCharType="begin"/>
      </w:r>
      <w:r>
        <w:instrText xml:space="preserve"> XE "</w:instrText>
      </w:r>
      <w:r w:rsidRPr="00C72633">
        <w:instrText>ilumináti</w:instrText>
      </w:r>
      <w:r>
        <w:instrText xml:space="preserve">" </w:instrText>
      </w:r>
      <w:r>
        <w:fldChar w:fldCharType="end"/>
      </w:r>
      <w:r>
        <w:t xml:space="preserve"> přebrali původní model </w:t>
      </w:r>
      <w:r w:rsidRPr="00427CEC">
        <w:rPr>
          <w:i/>
        </w:rPr>
        <w:t>memoria</w:t>
      </w:r>
      <w:r>
        <w:rPr>
          <w:i/>
        </w:rPr>
        <w:fldChar w:fldCharType="begin"/>
      </w:r>
      <w:r>
        <w:instrText xml:space="preserve"> XE "</w:instrText>
      </w:r>
      <w:r w:rsidRPr="00840D0F">
        <w:rPr>
          <w:i/>
        </w:rPr>
        <w:instrText>memoria:</w:instrText>
      </w:r>
      <w:r w:rsidRPr="007D14C7">
        <w:instrText>Dawkins</w:instrText>
      </w:r>
      <w:r>
        <w:instrText xml:space="preserve">" </w:instrText>
      </w:r>
      <w:r>
        <w:rPr>
          <w:i/>
        </w:rPr>
        <w:fldChar w:fldCharType="end"/>
      </w:r>
      <w:r>
        <w:t xml:space="preserve"> daný v ontoteologii zbožných a mystických </w:t>
      </w:r>
      <w:r w:rsidRPr="00B10525">
        <w:rPr>
          <w:i/>
        </w:rPr>
        <w:t>Modernorum</w:t>
      </w:r>
      <w:r>
        <w:t xml:space="preserve"> jako Bonaventura, Pecham a Olivi. </w:t>
      </w:r>
      <w:r w:rsidR="00DC5560">
        <w:t>Současní e</w:t>
      </w:r>
      <w:r w:rsidR="08880019">
        <w:t>voluční ateisté</w:t>
      </w:r>
      <w:r>
        <w:t xml:space="preserve"> staví na univerzálním hylemorfismu oxfordské moderny a na </w:t>
      </w:r>
      <w:r w:rsidR="087000D8">
        <w:t xml:space="preserve">Rufusově </w:t>
      </w:r>
      <w:r>
        <w:t xml:space="preserve">asimilační teorii pravdy. </w:t>
      </w:r>
      <w:r w:rsidRPr="00273106">
        <w:t>Určení inteligibi</w:t>
      </w:r>
      <w:r>
        <w:t xml:space="preserve">lního jsoucna jako nové esence vzniklo </w:t>
      </w:r>
      <w:r w:rsidRPr="00273106">
        <w:t xml:space="preserve">skrze </w:t>
      </w:r>
      <w:r>
        <w:t>projekci</w:t>
      </w:r>
      <w:r w:rsidRPr="00273106">
        <w:t xml:space="preserve"> spirituální materie do molekuly DNA. </w:t>
      </w:r>
      <w:r>
        <w:t>O nasvícení tohoto smyslu jsoucna zezadu se postaral koncept myto</w:t>
      </w:r>
      <w:r w:rsidR="00C47BB6">
        <w:t xml:space="preserve">logicky </w:t>
      </w:r>
      <w:r w:rsidR="087000D8">
        <w:t xml:space="preserve">definované evoluce. Po </w:t>
      </w:r>
      <w:r>
        <w:t xml:space="preserve">smrti boha </w:t>
      </w:r>
      <w:r w:rsidRPr="08CC3934">
        <w:rPr>
          <w:i/>
        </w:rPr>
        <w:t>Modernorum</w:t>
      </w:r>
      <w:r>
        <w:t xml:space="preserve"> nasvěcuje toto univerzální genetické a porretánské </w:t>
      </w:r>
      <w:r w:rsidRPr="00D3414C">
        <w:rPr>
          <w:i/>
        </w:rPr>
        <w:t>scibile</w:t>
      </w:r>
      <w:r>
        <w:t xml:space="preserve"> </w:t>
      </w:r>
      <w:r w:rsidR="087000D8">
        <w:t xml:space="preserve">objektivní smysl </w:t>
      </w:r>
      <w:r w:rsidR="087000D8" w:rsidRPr="003F26F8">
        <w:rPr>
          <w:szCs w:val="24"/>
        </w:rPr>
        <w:t xml:space="preserve">DNA als </w:t>
      </w:r>
      <w:r w:rsidR="087000D8" w:rsidRPr="003F26F8">
        <w:rPr>
          <w:i/>
          <w:szCs w:val="24"/>
        </w:rPr>
        <w:t>locus specierum</w:t>
      </w:r>
      <w:r w:rsidR="087000D8" w:rsidRPr="003F26F8">
        <w:rPr>
          <w:szCs w:val="24"/>
        </w:rPr>
        <w:t>. L</w:t>
      </w:r>
      <w:r w:rsidR="087000D8">
        <w:t>ogická predikace</w:t>
      </w:r>
      <w:r>
        <w:t xml:space="preserve"> </w:t>
      </w:r>
      <w:r w:rsidR="00DC5560">
        <w:t>„</w:t>
      </w:r>
      <w:r w:rsidRPr="08CC3934">
        <w:rPr>
          <w:i/>
        </w:rPr>
        <w:t>semel</w:t>
      </w:r>
      <w:r>
        <w:t>‒</w:t>
      </w:r>
      <w:r w:rsidRPr="08CC3934">
        <w:rPr>
          <w:i/>
        </w:rPr>
        <w:t>semper</w:t>
      </w:r>
      <w:r w:rsidR="00DC5560">
        <w:t>“</w:t>
      </w:r>
      <w:r w:rsidR="087000D8">
        <w:t xml:space="preserve"> je pravdivá pro oba případy, stejně jako za klasického aristotelismu platila pro logickou existenci hory zlata nebo mytického jednorožce. </w:t>
      </w:r>
      <w:r>
        <w:t xml:space="preserve">Fyzikální molekula DNA dostala formu Oliviho </w:t>
      </w:r>
      <w:r w:rsidRPr="083641BD">
        <w:rPr>
          <w:i/>
        </w:rPr>
        <w:t>memoria</w:t>
      </w:r>
      <w:r w:rsidR="0845528C">
        <w:t xml:space="preserve"> tím, že vznikl </w:t>
      </w:r>
      <w:r>
        <w:t xml:space="preserve">separovaný </w:t>
      </w:r>
      <w:r w:rsidRPr="083D65D7">
        <w:rPr>
          <w:i/>
        </w:rPr>
        <w:t>intellectus materialis</w:t>
      </w:r>
      <w:r>
        <w:t xml:space="preserve"> mytopoetické evoluce. Kopulací dvou neexistujících jsoucen třetího druhu (genetická </w:t>
      </w:r>
      <w:r w:rsidRPr="083641BD">
        <w:rPr>
          <w:i/>
        </w:rPr>
        <w:t>memoria</w:t>
      </w:r>
      <w:r>
        <w:t xml:space="preserve">, evoluční </w:t>
      </w:r>
      <w:r w:rsidRPr="083D65D7">
        <w:rPr>
          <w:i/>
        </w:rPr>
        <w:t>intellectus materialis</w:t>
      </w:r>
      <w:r>
        <w:t xml:space="preserve">) vznikl objektivní vědecký </w:t>
      </w:r>
      <w:r w:rsidRPr="00273106">
        <w:t>koncept adaptivních vlastností a vzorců chování a kulturních znaků</w:t>
      </w:r>
      <w:r>
        <w:t xml:space="preserve">. Radostná věda iluminátů </w:t>
      </w:r>
      <w:r w:rsidRPr="00273106">
        <w:t>shromážd</w:t>
      </w:r>
      <w:r>
        <w:t xml:space="preserve">ila tato </w:t>
      </w:r>
      <w:r w:rsidRPr="08B97923">
        <w:rPr>
          <w:i/>
        </w:rPr>
        <w:t>scibile</w:t>
      </w:r>
      <w:r>
        <w:t xml:space="preserve"> do pojetí kulturního memu (anglicky: </w:t>
      </w:r>
      <w:r w:rsidRPr="00273106">
        <w:rPr>
          <w:i/>
          <w:iCs/>
        </w:rPr>
        <w:t>meme</w:t>
      </w:r>
      <w:r>
        <w:rPr>
          <w:i/>
          <w:iCs/>
        </w:rPr>
        <w:fldChar w:fldCharType="begin"/>
      </w:r>
      <w:r>
        <w:instrText xml:space="preserve"> XE "</w:instrText>
      </w:r>
      <w:r w:rsidRPr="00385F53">
        <w:rPr>
          <w:i/>
        </w:rPr>
        <w:instrText>memoria</w:instrText>
      </w:r>
      <w:r w:rsidR="089108E8">
        <w:instrText>:</w:instrText>
      </w:r>
      <w:r w:rsidR="0845528C" w:rsidRPr="001E7D93">
        <w:rPr>
          <w:i/>
          <w:iCs/>
          <w:szCs w:val="24"/>
        </w:rPr>
        <w:instrText>meme</w:instrText>
      </w:r>
      <w:r>
        <w:instrText xml:space="preserve">" </w:instrText>
      </w:r>
      <w:r>
        <w:rPr>
          <w:i/>
          <w:iCs/>
        </w:rPr>
        <w:fldChar w:fldCharType="end"/>
      </w:r>
      <w:r w:rsidRPr="00273106">
        <w:rPr>
          <w:iCs/>
        </w:rPr>
        <w:t xml:space="preserve">), jehož význam je odvozený z řeckého </w:t>
      </w:r>
      <w:r w:rsidR="002147A4">
        <w:rPr>
          <w:iCs/>
        </w:rPr>
        <w:t>termínu „</w:t>
      </w:r>
      <w:r w:rsidRPr="00273106">
        <w:t>μιμεῖσθαι</w:t>
      </w:r>
      <w:r w:rsidR="002147A4">
        <w:t>“</w:t>
      </w:r>
      <w:r w:rsidRPr="00273106">
        <w:rPr>
          <w:iCs/>
        </w:rPr>
        <w:t>.</w:t>
      </w:r>
      <w:r>
        <w:rPr>
          <w:iCs/>
        </w:rPr>
        <w:t xml:space="preserve"> </w:t>
      </w:r>
      <w:r w:rsidRPr="00273106">
        <w:t xml:space="preserve">Evoluce, kultura a myšlení jsou </w:t>
      </w:r>
      <w:r>
        <w:t xml:space="preserve">objektivně </w:t>
      </w:r>
      <w:r w:rsidRPr="00273106">
        <w:t>uložené v materii, protože nemateriální hodnoty kultury a humanity</w:t>
      </w:r>
      <w:r>
        <w:fldChar w:fldCharType="begin"/>
      </w:r>
      <w:r>
        <w:instrText xml:space="preserve"> XE "</w:instrText>
      </w:r>
      <w:r w:rsidRPr="00991201">
        <w:instrText>humanismus:postmoderna</w:instrText>
      </w:r>
      <w:r>
        <w:instrText xml:space="preserve">" </w:instrText>
      </w:r>
      <w:r>
        <w:fldChar w:fldCharType="end"/>
      </w:r>
      <w:r w:rsidRPr="00273106">
        <w:t xml:space="preserve"> jsou </w:t>
      </w:r>
      <w:r>
        <w:lastRenderedPageBreak/>
        <w:t>myto</w:t>
      </w:r>
      <w:r w:rsidR="00E628B7">
        <w:t xml:space="preserve">logicky </w:t>
      </w:r>
      <w:r w:rsidRPr="00273106">
        <w:t>uloženy v DNA.</w:t>
      </w:r>
      <w:r>
        <w:t xml:space="preserve"> Chemická struktura molekuly DNA je dána jako nové </w:t>
      </w:r>
      <w:r w:rsidR="00962190">
        <w:rPr>
          <w:i/>
        </w:rPr>
        <w:t>species</w:t>
      </w:r>
      <w:r w:rsidRPr="00273106">
        <w:rPr>
          <w:i/>
        </w:rPr>
        <w:t xml:space="preserve"> memoriae</w:t>
      </w:r>
      <w:r w:rsidRPr="00273106">
        <w:t xml:space="preserve"> </w:t>
      </w:r>
      <w:r>
        <w:t>a přesahuje</w:t>
      </w:r>
      <w:r w:rsidRPr="00273106">
        <w:t xml:space="preserve"> </w:t>
      </w:r>
      <w:r>
        <w:t xml:space="preserve">v modu evolučního </w:t>
      </w:r>
      <w:r w:rsidR="002147A4">
        <w:t>„</w:t>
      </w:r>
      <w:r w:rsidRPr="08090FBD">
        <w:rPr>
          <w:i/>
        </w:rPr>
        <w:t>exsistit</w:t>
      </w:r>
      <w:r w:rsidR="002147A4">
        <w:t>“</w:t>
      </w:r>
      <w:r>
        <w:t xml:space="preserve"> </w:t>
      </w:r>
      <w:r w:rsidRPr="00273106">
        <w:t>do inteligibilní a kulturní sféry</w:t>
      </w:r>
      <w:r>
        <w:t xml:space="preserve"> </w:t>
      </w:r>
      <w:r w:rsidR="08D9779D">
        <w:t>nihilistické postmoderny</w:t>
      </w:r>
      <w:r>
        <w:t xml:space="preserve">. Lidská duše a zvířecí duše přestala být aristotelská </w:t>
      </w:r>
      <w:r w:rsidRPr="08EA2E50">
        <w:rPr>
          <w:i/>
        </w:rPr>
        <w:t>tabu</w:t>
      </w:r>
      <w:r>
        <w:rPr>
          <w:i/>
        </w:rPr>
        <w:t xml:space="preserve">la </w:t>
      </w:r>
      <w:r w:rsidRPr="00F427E4">
        <w:rPr>
          <w:i/>
        </w:rPr>
        <w:t>rasa</w:t>
      </w:r>
      <w:r>
        <w:t xml:space="preserve"> a dostala skrze mytickou formu vtištění tohoto podivuhodného </w:t>
      </w:r>
      <w:r w:rsidRPr="08EA2E50">
        <w:rPr>
          <w:i/>
        </w:rPr>
        <w:t>scibile</w:t>
      </w:r>
      <w:r>
        <w:t xml:space="preserve"> třetího druhu intelektuální, kulturní, animální a fy</w:t>
      </w:r>
      <w:r w:rsidR="08D9779D">
        <w:t>zikální význam. K</w:t>
      </w:r>
      <w:r>
        <w:t>ultur</w:t>
      </w:r>
      <w:r w:rsidR="08D9779D">
        <w:t xml:space="preserve">a byla hypostázována jako potence třetího druhu daná </w:t>
      </w:r>
      <w:r>
        <w:t xml:space="preserve">esenciálně a kauzálně v modu </w:t>
      </w:r>
      <w:r w:rsidRPr="089B1ABC">
        <w:rPr>
          <w:i/>
        </w:rPr>
        <w:t>Oxfordian Fallacy</w:t>
      </w:r>
      <w:r w:rsidR="08D9779D">
        <w:t xml:space="preserve">. Tím </w:t>
      </w:r>
      <w:r>
        <w:t xml:space="preserve">vznikla vědecká mytologie univerzálního </w:t>
      </w:r>
      <w:r w:rsidR="08D82983">
        <w:t xml:space="preserve">přechodu </w:t>
      </w:r>
      <w:r>
        <w:t>vyšších</w:t>
      </w:r>
      <w:r w:rsidR="08D9779D">
        <w:t xml:space="preserve"> </w:t>
      </w:r>
      <w:r w:rsidR="08D82983">
        <w:t xml:space="preserve">kosmických </w:t>
      </w:r>
      <w:r w:rsidR="08766E68">
        <w:t xml:space="preserve">forem </w:t>
      </w:r>
      <w:r w:rsidR="08D9779D">
        <w:t>(</w:t>
      </w:r>
      <w:r w:rsidR="08766E68">
        <w:t>„</w:t>
      </w:r>
      <w:r w:rsidR="08D9779D">
        <w:t>evoluce</w:t>
      </w:r>
      <w:r w:rsidR="08766E68">
        <w:t>“</w:t>
      </w:r>
      <w:r w:rsidR="08D9779D">
        <w:t>) do nižších (</w:t>
      </w:r>
      <w:r w:rsidR="08766E68">
        <w:t>„</w:t>
      </w:r>
      <w:r w:rsidR="08D9779D">
        <w:t>molekula DNA</w:t>
      </w:r>
      <w:r w:rsidR="08766E68">
        <w:t>“</w:t>
      </w:r>
      <w:r w:rsidR="08D9779D">
        <w:t>)</w:t>
      </w:r>
      <w:r w:rsidR="08D82983">
        <w:t>. Hypostázované</w:t>
      </w:r>
      <w:r>
        <w:t xml:space="preserve"> for</w:t>
      </w:r>
      <w:r w:rsidR="08D82983">
        <w:t xml:space="preserve">my sestupují </w:t>
      </w:r>
      <w:r w:rsidRPr="089B1ABC">
        <w:rPr>
          <w:i/>
        </w:rPr>
        <w:t>modo geometrico</w:t>
      </w:r>
      <w:r>
        <w:rPr>
          <w:i/>
        </w:rPr>
        <w:fldChar w:fldCharType="begin"/>
      </w:r>
      <w:r>
        <w:instrText xml:space="preserve"> XE "</w:instrText>
      </w:r>
      <w:r w:rsidRPr="08064BAF">
        <w:rPr>
          <w:i/>
        </w:rPr>
        <w:instrText>modo geometrico</w:instrText>
      </w:r>
      <w:r>
        <w:instrText xml:space="preserve">" </w:instrText>
      </w:r>
      <w:r>
        <w:rPr>
          <w:i/>
        </w:rPr>
        <w:fldChar w:fldCharType="end"/>
      </w:r>
      <w:r>
        <w:t xml:space="preserve"> podle dedukce </w:t>
      </w:r>
      <w:r w:rsidRPr="089B1ABC">
        <w:rPr>
          <w:i/>
        </w:rPr>
        <w:t>Liber de causis</w:t>
      </w:r>
      <w:r w:rsidR="08D82983">
        <w:t xml:space="preserve"> směrem dolů. </w:t>
      </w:r>
      <w:r w:rsidR="08F67E8E">
        <w:t>Kauzalita tohoto sestupu forem (</w:t>
      </w:r>
      <w:r w:rsidR="08F67E8E" w:rsidRPr="08F67E8E">
        <w:rPr>
          <w:i/>
        </w:rPr>
        <w:t>exitus</w:t>
      </w:r>
      <w:r w:rsidR="08F67E8E">
        <w:t xml:space="preserve">, </w:t>
      </w:r>
      <w:r w:rsidR="08F67E8E" w:rsidRPr="08F67E8E">
        <w:rPr>
          <w:i/>
        </w:rPr>
        <w:t>katabasis</w:t>
      </w:r>
      <w:r w:rsidR="08F67E8E">
        <w:t>) je čistě formální, protože běží v modu predikace</w:t>
      </w:r>
      <w:r>
        <w:t xml:space="preserve"> </w:t>
      </w:r>
      <w:r w:rsidR="00F427E4">
        <w:t>„</w:t>
      </w:r>
      <w:r w:rsidRPr="089B1ABC">
        <w:rPr>
          <w:i/>
        </w:rPr>
        <w:t>in artificialibus</w:t>
      </w:r>
      <w:r w:rsidR="00F427E4">
        <w:t>“</w:t>
      </w:r>
      <w:r>
        <w:rPr>
          <w:i/>
        </w:rPr>
        <w:fldChar w:fldCharType="begin"/>
      </w:r>
      <w:r>
        <w:instrText xml:space="preserve"> XE "</w:instrText>
      </w:r>
      <w:r w:rsidRPr="08811995">
        <w:instrText>predikace:</w:instrText>
      </w:r>
      <w:r w:rsidRPr="089B1ABC">
        <w:rPr>
          <w:i/>
        </w:rPr>
        <w:instrText>in</w:instrText>
      </w:r>
      <w:r w:rsidRPr="08811995">
        <w:rPr>
          <w:i/>
        </w:rPr>
        <w:instrText xml:space="preserve"> artificialibus</w:instrText>
      </w:r>
      <w:r>
        <w:instrText xml:space="preserve">" </w:instrText>
      </w:r>
      <w:r>
        <w:rPr>
          <w:i/>
        </w:rPr>
        <w:fldChar w:fldCharType="end"/>
      </w:r>
      <w:r>
        <w:t xml:space="preserve">. Tento deduktivně-demiurgický konglomerát vznikl skrze akt iluminace </w:t>
      </w:r>
      <w:r w:rsidR="089F1F70">
        <w:t>postmoderní mytopoetiky</w:t>
      </w:r>
      <w:r>
        <w:t>, kter</w:t>
      </w:r>
      <w:r w:rsidR="089F1F70">
        <w:t>á</w:t>
      </w:r>
      <w:r>
        <w:t xml:space="preserve"> </w:t>
      </w:r>
      <w:r w:rsidR="082475CD">
        <w:t xml:space="preserve">produkuje </w:t>
      </w:r>
      <w:r>
        <w:t xml:space="preserve">celou řadu </w:t>
      </w:r>
      <w:r w:rsidR="089F1F70">
        <w:t>současných simuláker</w:t>
      </w:r>
      <w:r>
        <w:t xml:space="preserve">. Replikace filosofické pohádky dialogu </w:t>
      </w:r>
      <w:r w:rsidRPr="088B6E49">
        <w:rPr>
          <w:i/>
        </w:rPr>
        <w:t>Timaios</w:t>
      </w:r>
      <w:r>
        <w:rPr>
          <w:i/>
        </w:rPr>
        <w:fldChar w:fldCharType="begin"/>
      </w:r>
      <w:r>
        <w:instrText xml:space="preserve"> XE "dialog </w:instrText>
      </w:r>
      <w:r w:rsidRPr="08A360D2">
        <w:rPr>
          <w:i/>
        </w:rPr>
        <w:instrText>Timaios</w:instrText>
      </w:r>
      <w:r>
        <w:instrText xml:space="preserve">" </w:instrText>
      </w:r>
      <w:r>
        <w:rPr>
          <w:i/>
        </w:rPr>
        <w:fldChar w:fldCharType="end"/>
      </w:r>
      <w:r w:rsidR="000E6B6A">
        <w:rPr>
          <w:i/>
        </w:rPr>
        <w:t xml:space="preserve"> </w:t>
      </w:r>
      <w:r w:rsidR="000E6B6A" w:rsidRPr="000E6B6A">
        <w:t xml:space="preserve">se opakuje stále dokola. V Avicennově metafyzice se navíc </w:t>
      </w:r>
      <w:r w:rsidR="000E6B6A">
        <w:t xml:space="preserve">imprinting hypostázovaných </w:t>
      </w:r>
      <w:r w:rsidR="000E6B6A" w:rsidRPr="000E6B6A">
        <w:t>forem (</w:t>
      </w:r>
      <w:r w:rsidR="000E6B6A" w:rsidRPr="000E6B6A">
        <w:rPr>
          <w:i/>
        </w:rPr>
        <w:t>dator formarum</w:t>
      </w:r>
      <w:r w:rsidR="000E6B6A" w:rsidRPr="000E6B6A">
        <w:t xml:space="preserve">) odehrává v modu objektivní analogie, která pro některé kulturní biology představuje </w:t>
      </w:r>
      <w:r w:rsidR="000E6B6A">
        <w:t>univerzální měřítko</w:t>
      </w:r>
      <w:r w:rsidR="00CA7074">
        <w:t xml:space="preserve">. </w:t>
      </w:r>
      <w:r w:rsidRPr="00273106">
        <w:t xml:space="preserve">Kultura jako </w:t>
      </w:r>
      <w:r w:rsidR="00CA7074">
        <w:t xml:space="preserve">Oliviho </w:t>
      </w:r>
      <w:r w:rsidR="00222471">
        <w:t xml:space="preserve">vrozená </w:t>
      </w:r>
      <w:r w:rsidRPr="08180C25">
        <w:rPr>
          <w:i/>
        </w:rPr>
        <w:t>potentia</w:t>
      </w:r>
      <w:r>
        <w:rPr>
          <w:i/>
        </w:rPr>
        <w:t xml:space="preserve"> sensitiva</w:t>
      </w:r>
      <w:r>
        <w:t xml:space="preserve"> </w:t>
      </w:r>
      <w:r w:rsidRPr="00273106">
        <w:t>je zakódová</w:t>
      </w:r>
      <w:r>
        <w:t xml:space="preserve">na přímo do tělesné materie skrze spirituální paměť danou v DNA. První moderní pojetí tohoto mimetického kódování najdeme v </w:t>
      </w:r>
      <w:r w:rsidRPr="00273106">
        <w:t>Rufusov</w:t>
      </w:r>
      <w:r w:rsidR="083268E7">
        <w:t xml:space="preserve">ě termínu </w:t>
      </w:r>
      <w:r w:rsidR="00D525C2">
        <w:t>„</w:t>
      </w:r>
      <w:r w:rsidRPr="00273106">
        <w:rPr>
          <w:i/>
        </w:rPr>
        <w:t>informatio</w:t>
      </w:r>
      <w:r w:rsidR="00D525C2">
        <w:t>“</w:t>
      </w:r>
      <w:r>
        <w:rPr>
          <w:i/>
        </w:rPr>
        <w:fldChar w:fldCharType="begin"/>
      </w:r>
      <w:r>
        <w:instrText xml:space="preserve"> XE "</w:instrText>
      </w:r>
      <w:r w:rsidRPr="00BA0B31">
        <w:rPr>
          <w:i/>
        </w:rPr>
        <w:instrText>informatio</w:instrText>
      </w:r>
      <w:r>
        <w:instrText xml:space="preserve">" </w:instrText>
      </w:r>
      <w:r>
        <w:rPr>
          <w:i/>
        </w:rPr>
        <w:fldChar w:fldCharType="end"/>
      </w:r>
      <w:r w:rsidR="004F5FB9">
        <w:t>. Jeho koncept „</w:t>
      </w:r>
      <w:proofErr w:type="gramStart"/>
      <w:r w:rsidR="004F5FB9">
        <w:t>formy</w:t>
      </w:r>
      <w:proofErr w:type="gramEnd"/>
      <w:r w:rsidR="004F5FB9">
        <w:t>–</w:t>
      </w:r>
      <w:proofErr w:type="gramStart"/>
      <w:r>
        <w:t>e</w:t>
      </w:r>
      <w:r w:rsidR="083268E7">
        <w:t>sence</w:t>
      </w:r>
      <w:proofErr w:type="gramEnd"/>
      <w:r w:rsidR="004F5FB9">
        <w:t>“ se stal e</w:t>
      </w:r>
      <w:r w:rsidR="083268E7">
        <w:t xml:space="preserve">videntní </w:t>
      </w:r>
      <w:r w:rsidRPr="00273106">
        <w:t xml:space="preserve">v aktu sebereflexe </w:t>
      </w:r>
      <w:r w:rsidR="004F5FB9">
        <w:t xml:space="preserve">moderního hypostázovaného </w:t>
      </w:r>
      <w:r w:rsidRPr="00273106">
        <w:t>intelektu (</w:t>
      </w:r>
      <w:r w:rsidR="083268E7">
        <w:t xml:space="preserve">OBJ II, </w:t>
      </w:r>
      <w:r w:rsidRPr="00273106">
        <w:rPr>
          <w:szCs w:val="22"/>
        </w:rPr>
        <w:t xml:space="preserve">kap. </w:t>
      </w:r>
      <w:r w:rsidR="083268E7">
        <w:rPr>
          <w:szCs w:val="22"/>
        </w:rPr>
        <w:t>3</w:t>
      </w:r>
      <w:r w:rsidRPr="00273106">
        <w:rPr>
          <w:szCs w:val="22"/>
        </w:rPr>
        <w:t>.3.2</w:t>
      </w:r>
      <w:r w:rsidRPr="00273106">
        <w:t xml:space="preserve">). </w:t>
      </w:r>
      <w:r>
        <w:t xml:space="preserve">Oliviho koncept paměti </w:t>
      </w:r>
      <w:r w:rsidR="0828135A">
        <w:t xml:space="preserve">je dán </w:t>
      </w:r>
      <w:r w:rsidR="004F6DB1">
        <w:t xml:space="preserve">podobně, je to </w:t>
      </w:r>
      <w:r w:rsidR="0828135A">
        <w:t>jsoucno třetího druhu. To je napojeno</w:t>
      </w:r>
      <w:r>
        <w:t xml:space="preserve"> na intelekt jako aktuální a subsistentní </w:t>
      </w:r>
      <w:r w:rsidR="085874DA">
        <w:t xml:space="preserve">moderní </w:t>
      </w:r>
      <w:r>
        <w:t>substan</w:t>
      </w:r>
      <w:r w:rsidR="0828135A">
        <w:t>ci</w:t>
      </w:r>
      <w:r w:rsidR="085874DA">
        <w:t xml:space="preserve"> Moderních</w:t>
      </w:r>
      <w:r w:rsidR="0828135A">
        <w:t>, kterou nese spirituální materie</w:t>
      </w:r>
      <w:r w:rsidR="083268E7">
        <w:t xml:space="preserve">. Tento koncept </w:t>
      </w:r>
      <w:r>
        <w:t>představuje první projekci pozná</w:t>
      </w:r>
      <w:r w:rsidR="085874DA">
        <w:t xml:space="preserve">ní do objektivní materie </w:t>
      </w:r>
      <w:r>
        <w:t xml:space="preserve">skrze objektivně pojatou paměť třetího druhu. </w:t>
      </w:r>
      <w:r w:rsidRPr="00273106">
        <w:t xml:space="preserve">Kultura a humanita se v prostředí </w:t>
      </w:r>
      <w:r w:rsidR="00840A8D">
        <w:t xml:space="preserve">současných nihilistických </w:t>
      </w:r>
      <w:r w:rsidRPr="00273106">
        <w:t xml:space="preserve">augustiniánů stala novým dědičným hříchem </w:t>
      </w:r>
      <w:r>
        <w:t xml:space="preserve">lidstva </w:t>
      </w:r>
      <w:r w:rsidRPr="00273106">
        <w:t>přenášeným faktem narození</w:t>
      </w:r>
      <w:r>
        <w:t xml:space="preserve"> z jednoho člověka na druhého</w:t>
      </w:r>
      <w:r w:rsidR="08096D3A">
        <w:t xml:space="preserve"> </w:t>
      </w:r>
      <w:r w:rsidR="08096D3A" w:rsidRPr="003F26F8">
        <w:rPr>
          <w:szCs w:val="24"/>
        </w:rPr>
        <w:t>(</w:t>
      </w:r>
      <w:r w:rsidR="08096D3A" w:rsidRPr="003F26F8">
        <w:rPr>
          <w:i/>
          <w:szCs w:val="24"/>
        </w:rPr>
        <w:t>peccatum originale</w:t>
      </w:r>
      <w:r w:rsidR="08096D3A" w:rsidRPr="003F26F8">
        <w:rPr>
          <w:szCs w:val="24"/>
        </w:rPr>
        <w:t>)</w:t>
      </w:r>
      <w:r w:rsidRPr="00273106">
        <w:t xml:space="preserve">. </w:t>
      </w:r>
      <w:r>
        <w:t xml:space="preserve">Epocha dokonaného metafyzického nihilismu našla spirituální </w:t>
      </w:r>
      <w:r w:rsidRPr="00273106">
        <w:rPr>
          <w:i/>
        </w:rPr>
        <w:t>rectitudo</w:t>
      </w:r>
      <w:r w:rsidRPr="00273106">
        <w:t xml:space="preserve"> a </w:t>
      </w:r>
      <w:r w:rsidRPr="00273106">
        <w:rPr>
          <w:i/>
        </w:rPr>
        <w:t>certitudo</w:t>
      </w:r>
      <w:r w:rsidRPr="00273106">
        <w:t xml:space="preserve"> přímo ve fyzikálním </w:t>
      </w:r>
      <w:r>
        <w:t xml:space="preserve">a biologickém </w:t>
      </w:r>
      <w:r w:rsidRPr="00273106">
        <w:t>aktu replikace DNA</w:t>
      </w:r>
      <w:r>
        <w:t>, což v odlišné formě binárních protikladů hájil o generaci dříve strukturalistický antropolog Lévi-Strauss</w:t>
      </w:r>
      <w:r>
        <w:fldChar w:fldCharType="begin"/>
      </w:r>
      <w:r>
        <w:instrText xml:space="preserve"> XE "</w:instrText>
      </w:r>
      <w:r w:rsidRPr="00E96598">
        <w:instrText>Lévi-Strauss, C.</w:instrText>
      </w:r>
      <w:r>
        <w:instrText xml:space="preserve">" </w:instrText>
      </w:r>
      <w:r>
        <w:fldChar w:fldCharType="end"/>
      </w:r>
      <w:r w:rsidRPr="00273106">
        <w:t xml:space="preserve">. </w:t>
      </w:r>
      <w:r>
        <w:t xml:space="preserve">Toto nové </w:t>
      </w:r>
      <w:r w:rsidRPr="00DC12AF">
        <w:rPr>
          <w:i/>
        </w:rPr>
        <w:t>scibile</w:t>
      </w:r>
      <w:r>
        <w:t xml:space="preserve"> </w:t>
      </w:r>
      <w:r w:rsidR="00045736">
        <w:t>se stalo objektivním faktem mytologické evoluce</w:t>
      </w:r>
      <w:r w:rsidR="00045736">
        <w:fldChar w:fldCharType="begin"/>
      </w:r>
      <w:r w:rsidR="00045736">
        <w:instrText xml:space="preserve"> XE "</w:instrText>
      </w:r>
      <w:r w:rsidR="00045736" w:rsidRPr="00826988">
        <w:instrText>evoluce</w:instrText>
      </w:r>
      <w:r w:rsidR="00045736">
        <w:instrText xml:space="preserve">" </w:instrText>
      </w:r>
      <w:r w:rsidR="00045736">
        <w:fldChar w:fldCharType="end"/>
      </w:r>
      <w:r w:rsidR="00045736">
        <w:t xml:space="preserve"> a založilo </w:t>
      </w:r>
      <w:r>
        <w:t xml:space="preserve">mystiku </w:t>
      </w:r>
      <w:r w:rsidR="00045736">
        <w:t xml:space="preserve">nihilistické epochy. </w:t>
      </w:r>
      <w:r>
        <w:t>Božského demiurga</w:t>
      </w:r>
      <w:r>
        <w:fldChar w:fldCharType="begin"/>
      </w:r>
      <w:r>
        <w:instrText xml:space="preserve"> XE "</w:instrText>
      </w:r>
      <w:r w:rsidRPr="005C2F4A">
        <w:rPr>
          <w:rStyle w:val="addmd"/>
        </w:rPr>
        <w:instrText>demiurg</w:instrText>
      </w:r>
      <w:r>
        <w:instrText xml:space="preserve">" </w:instrText>
      </w:r>
      <w:r>
        <w:fldChar w:fldCharType="end"/>
      </w:r>
      <w:r>
        <w:t xml:space="preserve"> nahradila po smrti moderního boha</w:t>
      </w:r>
      <w:r>
        <w:rPr>
          <w:color w:val="000000"/>
        </w:rPr>
        <w:fldChar w:fldCharType="begin"/>
      </w:r>
      <w:r>
        <w:instrText xml:space="preserve"> XE "smrt boha" </w:instrText>
      </w:r>
      <w:r>
        <w:rPr>
          <w:color w:val="000000"/>
        </w:rPr>
        <w:fldChar w:fldCharType="end"/>
      </w:r>
      <w:r w:rsidR="00415FD4">
        <w:t xml:space="preserve"> příroda. L</w:t>
      </w:r>
      <w:r>
        <w:t xml:space="preserve">idský demiurg zaujal boží místo a Bonaventurova </w:t>
      </w:r>
      <w:r w:rsidR="003015BE">
        <w:t>„</w:t>
      </w:r>
      <w:r w:rsidRPr="00CA6ABD">
        <w:rPr>
          <w:i/>
        </w:rPr>
        <w:t>regula agentis creati</w:t>
      </w:r>
      <w:r w:rsidR="003015BE">
        <w:t>“</w:t>
      </w:r>
      <w:r>
        <w:t xml:space="preserve"> se </w:t>
      </w:r>
      <w:r>
        <w:lastRenderedPageBreak/>
        <w:t xml:space="preserve">stala univerzálním informačním zákonem objektivně poznané přírody. S konceptem kritické vědy podle </w:t>
      </w:r>
      <w:r w:rsidRPr="088F4D87">
        <w:rPr>
          <w:i/>
        </w:rPr>
        <w:t>Druhých analytik</w:t>
      </w:r>
      <w:r>
        <w:t xml:space="preserve"> nemá tento metaforický koncept poznání společného vůbec nic, kromě využití matematické analogie pro pseudo-mystické a pseudo-scientistické spekulace. Akademičtí ilumináti, jejichž metafyzickým habitatem se stala informatika, vytvořili nový evolučně-mystický Jakubův žebřík</w:t>
      </w:r>
      <w:r>
        <w:fldChar w:fldCharType="begin"/>
      </w:r>
      <w:r>
        <w:instrText xml:space="preserve"> XE "</w:instrText>
      </w:r>
      <w:r w:rsidRPr="08DA5F95">
        <w:instrText>Jakubův žebřík</w:instrText>
      </w:r>
      <w:r>
        <w:instrText xml:space="preserve">" </w:instrText>
      </w:r>
      <w:r>
        <w:fldChar w:fldCharType="end"/>
      </w:r>
      <w:r>
        <w:t>, po němž m</w:t>
      </w:r>
      <w:r w:rsidR="00106D90">
        <w:t>ohou po libosti běhat od čtyř</w:t>
      </w:r>
      <w:r>
        <w:t xml:space="preserve"> nukleových bází skládajících molekul</w:t>
      </w:r>
      <w:r w:rsidR="00106D90">
        <w:t>u DNA až k člověku a zase dolů.</w:t>
      </w:r>
    </w:p>
    <w:p w:rsidR="08163013" w:rsidRDefault="08163013" w:rsidP="00106D90">
      <w:pPr>
        <w:ind w:firstLine="397"/>
      </w:pPr>
      <w:r w:rsidRPr="00273106">
        <w:t xml:space="preserve">Nová forma </w:t>
      </w:r>
      <w:r w:rsidRPr="081A6B8E">
        <w:rPr>
          <w:i/>
        </w:rPr>
        <w:t>intellectus materialis</w:t>
      </w:r>
      <w:r>
        <w:t xml:space="preserve"> vtištěného do DNA má závažné důsledky pro současný nihilistický humanismus</w:t>
      </w:r>
      <w:r>
        <w:rPr>
          <w:i/>
        </w:rPr>
        <w:fldChar w:fldCharType="begin"/>
      </w:r>
      <w:r>
        <w:instrText xml:space="preserve"> XE "humanismus:objektivní" </w:instrText>
      </w:r>
      <w:r>
        <w:rPr>
          <w:i/>
        </w:rPr>
        <w:fldChar w:fldCharType="end"/>
      </w:r>
      <w:r>
        <w:t xml:space="preserve">. Človek už není jen porretánskou mrtvolou v modu objektivního </w:t>
      </w:r>
      <w:r w:rsidRPr="00351FAB">
        <w:rPr>
          <w:i/>
        </w:rPr>
        <w:t>colligatio</w:t>
      </w:r>
      <w:r>
        <w:rPr>
          <w:i/>
        </w:rPr>
        <w:fldChar w:fldCharType="begin"/>
      </w:r>
      <w:r>
        <w:instrText xml:space="preserve"> XE "</w:instrText>
      </w:r>
      <w:r w:rsidRPr="00ED73EF">
        <w:rPr>
          <w:i/>
        </w:rPr>
        <w:instrText>colligatio</w:instrText>
      </w:r>
      <w:r>
        <w:instrText xml:space="preserve">" </w:instrText>
      </w:r>
      <w:r>
        <w:rPr>
          <w:i/>
        </w:rPr>
        <w:fldChar w:fldCharType="end"/>
      </w:r>
      <w:r>
        <w:t xml:space="preserve"> různých hypostází, ale materiální kolektou specifické DNA, která vytváří novou podobu objektivního a specifického </w:t>
      </w:r>
      <w:r w:rsidRPr="00ED66EF">
        <w:t>individuum</w:t>
      </w:r>
      <w:r>
        <w:t xml:space="preserve">. Moderní mrtvola porretánů byla alespoň formálně člověkem, což nyní zcela odpadlo. Nihilistická identita osoby </w:t>
      </w:r>
      <w:r>
        <w:fldChar w:fldCharType="begin"/>
      </w:r>
      <w:r>
        <w:instrText xml:space="preserve"> XE "</w:instrText>
      </w:r>
      <w:r w:rsidRPr="005B2693">
        <w:instrText>osoba:identita DNA</w:instrText>
      </w:r>
      <w:r>
        <w:instrText xml:space="preserve">" </w:instrText>
      </w:r>
      <w:r>
        <w:fldChar w:fldCharType="end"/>
      </w:r>
      <w:r>
        <w:t xml:space="preserve">je dána v systému současné vědy jako poslední </w:t>
      </w:r>
      <w:r w:rsidR="00962190">
        <w:rPr>
          <w:i/>
        </w:rPr>
        <w:t>species</w:t>
      </w:r>
      <w:r w:rsidRPr="00ED66EF">
        <w:rPr>
          <w:i/>
        </w:rPr>
        <w:t xml:space="preserve"> spe</w:t>
      </w:r>
      <w:r>
        <w:rPr>
          <w:i/>
        </w:rPr>
        <w:t>c</w:t>
      </w:r>
      <w:r w:rsidRPr="00ED66EF">
        <w:rPr>
          <w:i/>
        </w:rPr>
        <w:t>ialissima</w:t>
      </w:r>
      <w:r>
        <w:rPr>
          <w:i/>
        </w:rPr>
        <w:fldChar w:fldCharType="begin"/>
      </w:r>
      <w:r>
        <w:instrText xml:space="preserve"> XE "</w:instrText>
      </w:r>
      <w:r w:rsidRPr="00A94442">
        <w:rPr>
          <w:i/>
        </w:rPr>
        <w:instrText>species specialissima</w:instrText>
      </w:r>
      <w:r>
        <w:instrText xml:space="preserve">" </w:instrText>
      </w:r>
      <w:r>
        <w:rPr>
          <w:i/>
        </w:rPr>
        <w:fldChar w:fldCharType="end"/>
      </w:r>
      <w:r w:rsidR="000A250E">
        <w:t xml:space="preserve">, </w:t>
      </w:r>
      <w:r>
        <w:t xml:space="preserve">až na konci </w:t>
      </w:r>
      <w:r w:rsidR="000A250E">
        <w:t xml:space="preserve">Porfyriova stromu, kdy se provádí dělení </w:t>
      </w:r>
      <w:r>
        <w:t xml:space="preserve">kulturních memů. Další kolekce globálně sledovaného a databázově uloženého individua je daná jeho atomárními charakteristikami vzniklými skrze dělení fyzikálních </w:t>
      </w:r>
      <w:r w:rsidR="00962190" w:rsidRPr="0048486D">
        <w:t>species</w:t>
      </w:r>
      <w:r>
        <w:t>. Odvození kulturní</w:t>
      </w:r>
      <w:r w:rsidRPr="00273106">
        <w:t xml:space="preserve"> </w:t>
      </w:r>
      <w:r>
        <w:t xml:space="preserve">a individuální identity </w:t>
      </w:r>
      <w:r w:rsidRPr="00273106">
        <w:t>z materie</w:t>
      </w:r>
      <w:r>
        <w:t xml:space="preserve"> DNA</w:t>
      </w:r>
      <w:r w:rsidRPr="00273106">
        <w:t xml:space="preserve"> v postmoderní kulturní genetice navazuje na rasově založené kulturní teorie z přelomu 19. a 20. století</w:t>
      </w:r>
      <w:r>
        <w:t xml:space="preserve">. </w:t>
      </w:r>
      <w:r w:rsidRPr="00273106">
        <w:t xml:space="preserve">Tehdejší ideologové nové </w:t>
      </w:r>
      <w:r>
        <w:t xml:space="preserve">radostné </w:t>
      </w:r>
      <w:r w:rsidRPr="00273106">
        <w:t xml:space="preserve">vědy </w:t>
      </w:r>
      <w:r w:rsidR="00D22192">
        <w:t xml:space="preserve">minulého století </w:t>
      </w:r>
      <w:r w:rsidRPr="00273106">
        <w:t xml:space="preserve">neznali reduplikaci DNA, ale viděli pouze genetické přenášení základních antropologických vlastností a kulturních vzorců dané na lidském substrátu skrze odlišné morfologické znaky. </w:t>
      </w:r>
      <w:r>
        <w:t xml:space="preserve">Tehdejší </w:t>
      </w:r>
      <w:r>
        <w:rPr>
          <w:i/>
        </w:rPr>
        <w:t>scibile</w:t>
      </w:r>
      <w:r>
        <w:t xml:space="preserve"> eugeniků bylo dáno v rámci objektivně definovaných parametrů lidské rasy. </w:t>
      </w:r>
      <w:r w:rsidRPr="00273106">
        <w:t xml:space="preserve">Přenos spirituálních vlastností člověka probíhal na substrátu determinovaném </w:t>
      </w:r>
      <w:r>
        <w:t xml:space="preserve">kulturně-rasově, </w:t>
      </w:r>
      <w:r w:rsidRPr="00273106">
        <w:t xml:space="preserve">a nikoliv </w:t>
      </w:r>
      <w:r>
        <w:t xml:space="preserve">kulturně-geneticky jako dnes. Jako jsoucno třetího druhu funguje vědecké </w:t>
      </w:r>
      <w:r w:rsidRPr="08A14774">
        <w:rPr>
          <w:i/>
        </w:rPr>
        <w:t>scibile</w:t>
      </w:r>
      <w:r>
        <w:t xml:space="preserve"> zvané nikoliv „rasa“, ale „DNA“</w:t>
      </w:r>
      <w:r w:rsidRPr="00273106">
        <w:t xml:space="preserve">. </w:t>
      </w:r>
      <w:r>
        <w:t xml:space="preserve">Z normální chemické sloučeniny a biologických procesů daných v modu kauzality první substancí se stalo eidetické </w:t>
      </w:r>
      <w:r w:rsidRPr="084E5F38">
        <w:rPr>
          <w:i/>
        </w:rPr>
        <w:t>scibile</w:t>
      </w:r>
      <w:r>
        <w:t xml:space="preserve"> třetího druhu. Evoluční humanismus 21. století</w:t>
      </w:r>
      <w:r>
        <w:rPr>
          <w:i/>
        </w:rPr>
        <w:fldChar w:fldCharType="begin"/>
      </w:r>
      <w:r>
        <w:instrText xml:space="preserve"> XE "humanismus:evoluční" </w:instrText>
      </w:r>
      <w:r>
        <w:rPr>
          <w:i/>
        </w:rPr>
        <w:fldChar w:fldCharType="end"/>
      </w:r>
      <w:r>
        <w:t xml:space="preserve"> </w:t>
      </w:r>
      <w:r w:rsidR="007C0646">
        <w:t xml:space="preserve">daný jako </w:t>
      </w:r>
      <w:r w:rsidR="007C0646" w:rsidRPr="007C0646">
        <w:rPr>
          <w:i/>
        </w:rPr>
        <w:t>woke-ideology</w:t>
      </w:r>
      <w:r w:rsidR="007C0646">
        <w:t xml:space="preserve"> </w:t>
      </w:r>
      <w:r>
        <w:t xml:space="preserve">nahradil rasovou antropologii 20. století a malebné lidské zoologické zahrady, kde byli ještě v 19. století zavřeny osoby místo zvířat </w:t>
      </w:r>
      <w:r>
        <w:fldChar w:fldCharType="begin"/>
      </w:r>
      <w:r>
        <w:instrText xml:space="preserve"> XE "</w:instrText>
      </w:r>
      <w:r w:rsidRPr="08B44324">
        <w:instrText>lidské zoologické zahrady</w:instrText>
      </w:r>
      <w:r>
        <w:instrText xml:space="preserve">" </w:instrText>
      </w:r>
      <w:r>
        <w:fldChar w:fldCharType="end"/>
      </w:r>
      <w:r w:rsidR="08C40D22">
        <w:t xml:space="preserve"> (kap. 5</w:t>
      </w:r>
      <w:r>
        <w:t xml:space="preserve">.5). Zdrojem metafyzického nihilismu se stala nově určená materie třetího druhu. Roli nového objektivního </w:t>
      </w:r>
      <w:r w:rsidRPr="0064107B">
        <w:rPr>
          <w:i/>
        </w:rPr>
        <w:t>scibile</w:t>
      </w:r>
      <w:r>
        <w:t xml:space="preserve"> přebrala postmoderní metafora kulturní evoluce</w:t>
      </w:r>
      <w:r>
        <w:fldChar w:fldCharType="begin"/>
      </w:r>
      <w:r>
        <w:instrText xml:space="preserve"> XE "</w:instrText>
      </w:r>
      <w:r w:rsidRPr="003016EE">
        <w:instrText>evoluce</w:instrText>
      </w:r>
      <w:r>
        <w:instrText xml:space="preserve">" </w:instrText>
      </w:r>
      <w:r>
        <w:fldChar w:fldCharType="end"/>
      </w:r>
      <w:r>
        <w:t>, jejíž „vrozené ideje“ a „kulturní hodnoty“ jsou přímo zakódovány v DNA.</w:t>
      </w:r>
      <w:r w:rsidRPr="009C292C">
        <w:t xml:space="preserve"> </w:t>
      </w:r>
      <w:r>
        <w:t xml:space="preserve">Nihilistický koncept </w:t>
      </w:r>
      <w:r>
        <w:lastRenderedPageBreak/>
        <w:t xml:space="preserve">osoby je definovaný na základě materiálně se replikující evoluce. </w:t>
      </w:r>
      <w:r w:rsidRPr="00273106">
        <w:t>Postmoderní určení antropolo</w:t>
      </w:r>
      <w:r w:rsidR="00E03F7F">
        <w:t xml:space="preserve">gie v rámci eugeniky, rasismu, </w:t>
      </w:r>
      <w:r w:rsidRPr="00273106">
        <w:t xml:space="preserve">geneticky založené kultury </w:t>
      </w:r>
      <w:r w:rsidR="00E03F7F">
        <w:t xml:space="preserve">a </w:t>
      </w:r>
      <w:r w:rsidR="00E03F7F" w:rsidRPr="00E03F7F">
        <w:rPr>
          <w:i/>
        </w:rPr>
        <w:t>woke-ideology</w:t>
      </w:r>
      <w:r w:rsidR="00E03F7F">
        <w:t xml:space="preserve"> </w:t>
      </w:r>
      <w:r>
        <w:t xml:space="preserve">úspěšně </w:t>
      </w:r>
      <w:r w:rsidR="00E03F7F">
        <w:t>pokračují v nihilistických</w:t>
      </w:r>
      <w:r w:rsidRPr="00273106">
        <w:t xml:space="preserve"> tendenc</w:t>
      </w:r>
      <w:r w:rsidR="00E03F7F">
        <w:t xml:space="preserve">ích </w:t>
      </w:r>
      <w:r w:rsidRPr="00273106">
        <w:t>objektivní vě</w:t>
      </w:r>
      <w:r w:rsidR="00E03F7F">
        <w:t>dy, které jsou přímo zakódovány ve druhém averroismu</w:t>
      </w:r>
      <w:r w:rsidRPr="00273106">
        <w:t>.</w:t>
      </w:r>
      <w:r>
        <w:t xml:space="preserve"> </w:t>
      </w:r>
    </w:p>
    <w:p w:rsidR="08163013" w:rsidRPr="00273106" w:rsidRDefault="08163013" w:rsidP="08163013">
      <w:r>
        <w:tab/>
        <w:t xml:space="preserve">Nové určení augustiniánské </w:t>
      </w:r>
      <w:r w:rsidRPr="005F5271">
        <w:rPr>
          <w:i/>
        </w:rPr>
        <w:t>memoria</w:t>
      </w:r>
      <w:r>
        <w:rPr>
          <w:i/>
        </w:rPr>
        <w:fldChar w:fldCharType="begin"/>
      </w:r>
      <w:r>
        <w:instrText xml:space="preserve"> XE "</w:instrText>
      </w:r>
      <w:r w:rsidRPr="00840D0F">
        <w:rPr>
          <w:i/>
        </w:rPr>
        <w:instrText>memoria:</w:instrText>
      </w:r>
      <w:r w:rsidRPr="004273AF">
        <w:instrText>Olivi</w:instrText>
      </w:r>
      <w:r>
        <w:instrText xml:space="preserve">" </w:instrText>
      </w:r>
      <w:r>
        <w:rPr>
          <w:i/>
        </w:rPr>
        <w:fldChar w:fldCharType="end"/>
      </w:r>
      <w:r>
        <w:t xml:space="preserve"> bylo možné proto, že Olivi radikalizoval již dané pojetí materie jako jsoucna třetího druhu. </w:t>
      </w:r>
      <w:r w:rsidRPr="00273106">
        <w:rPr>
          <w:szCs w:val="9"/>
        </w:rPr>
        <w:t>Určení materie jako kvazi-formy se naroubovalo na univerzální hylemorfismus</w:t>
      </w:r>
      <w:r>
        <w:rPr>
          <w:szCs w:val="9"/>
        </w:rPr>
        <w:fldChar w:fldCharType="begin"/>
      </w:r>
      <w:r>
        <w:instrText xml:space="preserve"> XE "</w:instrText>
      </w:r>
      <w:r w:rsidRPr="005619B2">
        <w:instrText>univerzální hylemorfismus</w:instrText>
      </w:r>
      <w:r>
        <w:instrText xml:space="preserve">" </w:instrText>
      </w:r>
      <w:r>
        <w:rPr>
          <w:szCs w:val="9"/>
        </w:rPr>
        <w:fldChar w:fldCharType="end"/>
      </w:r>
      <w:r w:rsidRPr="00273106">
        <w:rPr>
          <w:szCs w:val="9"/>
        </w:rPr>
        <w:t xml:space="preserve"> převzatý od </w:t>
      </w:r>
      <w:r w:rsidRPr="00273106">
        <w:t>Avicebrona</w:t>
      </w:r>
      <w:r w:rsidR="08C40D22">
        <w:rPr>
          <w:szCs w:val="9"/>
        </w:rPr>
        <w:t xml:space="preserve"> (OBJ II, kap. 3</w:t>
      </w:r>
      <w:r w:rsidRPr="00273106">
        <w:rPr>
          <w:szCs w:val="9"/>
        </w:rPr>
        <w:t xml:space="preserve">.2). Materie je </w:t>
      </w:r>
      <w:r>
        <w:rPr>
          <w:szCs w:val="9"/>
        </w:rPr>
        <w:t xml:space="preserve">u Bonaventury </w:t>
      </w:r>
      <w:r w:rsidRPr="00273106">
        <w:rPr>
          <w:szCs w:val="9"/>
        </w:rPr>
        <w:t>sama o sobě predestinována pro p</w:t>
      </w:r>
      <w:r>
        <w:rPr>
          <w:szCs w:val="9"/>
        </w:rPr>
        <w:t xml:space="preserve">řijetí formy skrze termín </w:t>
      </w:r>
      <w:r w:rsidRPr="00027EFE">
        <w:rPr>
          <w:i/>
          <w:szCs w:val="9"/>
        </w:rPr>
        <w:t>appetitus</w:t>
      </w:r>
      <w:r>
        <w:rPr>
          <w:i/>
          <w:szCs w:val="9"/>
        </w:rPr>
        <w:fldChar w:fldCharType="begin"/>
      </w:r>
      <w:r>
        <w:instrText xml:space="preserve"> XE "</w:instrText>
      </w:r>
      <w:r w:rsidRPr="007E6333">
        <w:rPr>
          <w:i/>
        </w:rPr>
        <w:instrText>appetitus</w:instrText>
      </w:r>
      <w:r>
        <w:instrText xml:space="preserve">" </w:instrText>
      </w:r>
      <w:r>
        <w:rPr>
          <w:i/>
          <w:szCs w:val="9"/>
        </w:rPr>
        <w:fldChar w:fldCharType="end"/>
      </w:r>
      <w:r>
        <w:rPr>
          <w:szCs w:val="9"/>
        </w:rPr>
        <w:t>. F</w:t>
      </w:r>
      <w:r w:rsidRPr="00273106">
        <w:t xml:space="preserve">orma ukončí svůj hlad po látce a </w:t>
      </w:r>
      <w:r>
        <w:t>apetit materie</w:t>
      </w:r>
      <w:r w:rsidRPr="00273106">
        <w:t xml:space="preserve"> </w:t>
      </w:r>
      <w:r>
        <w:t xml:space="preserve">se završí </w:t>
      </w:r>
      <w:r w:rsidR="08C40D22">
        <w:t>ve formě</w:t>
      </w:r>
      <w:r w:rsidRPr="00273106">
        <w:t>.</w:t>
      </w:r>
      <w:r>
        <w:t xml:space="preserve"> Nové pojetí materie jako formy metafyzicky určeného středního členu soudu (</w:t>
      </w:r>
      <w:r w:rsidRPr="00273106">
        <w:rPr>
          <w:i/>
          <w:szCs w:val="14"/>
        </w:rPr>
        <w:t>medium</w:t>
      </w:r>
      <w:r>
        <w:rPr>
          <w:szCs w:val="14"/>
        </w:rPr>
        <w:t xml:space="preserve">) </w:t>
      </w:r>
      <w:r w:rsidRPr="00273106">
        <w:rPr>
          <w:szCs w:val="9"/>
        </w:rPr>
        <w:t xml:space="preserve">je u Bonaventury a Kilwardbyho traktováno v modu </w:t>
      </w:r>
      <w:r>
        <w:rPr>
          <w:szCs w:val="9"/>
        </w:rPr>
        <w:t xml:space="preserve">objektivizace potence </w:t>
      </w:r>
      <w:r>
        <w:t>(</w:t>
      </w:r>
      <w:r w:rsidRPr="08180C25">
        <w:rPr>
          <w:i/>
        </w:rPr>
        <w:t>potentiae sensitivae</w:t>
      </w:r>
      <w:r>
        <w:t>)</w:t>
      </w:r>
      <w:r w:rsidRPr="00273106">
        <w:rPr>
          <w:szCs w:val="9"/>
        </w:rPr>
        <w:t xml:space="preserve">. </w:t>
      </w:r>
      <w:r>
        <w:t xml:space="preserve">Olivi </w:t>
      </w:r>
      <w:r w:rsidRPr="00273106">
        <w:t xml:space="preserve">převzal z </w:t>
      </w:r>
      <w:r>
        <w:t xml:space="preserve">citovaného </w:t>
      </w:r>
      <w:proofErr w:type="gramStart"/>
      <w:r w:rsidRPr="00273106">
        <w:t>Bonaventur</w:t>
      </w:r>
      <w:r>
        <w:t xml:space="preserve">ova </w:t>
      </w:r>
      <w:r w:rsidRPr="00273106">
        <w:t xml:space="preserve"> komentáře</w:t>
      </w:r>
      <w:proofErr w:type="gramEnd"/>
      <w:r w:rsidRPr="00273106">
        <w:t xml:space="preserve"> definici materie jako medium</w:t>
      </w:r>
      <w:r>
        <w:fldChar w:fldCharType="begin"/>
      </w:r>
      <w:r>
        <w:instrText xml:space="preserve"> XE "</w:instrText>
      </w:r>
      <w:r w:rsidRPr="001618A5">
        <w:rPr>
          <w:i/>
        </w:rPr>
        <w:instrText>medium:</w:instrText>
      </w:r>
      <w:r>
        <w:instrText xml:space="preserve">Olivi" </w:instrText>
      </w:r>
      <w:r>
        <w:fldChar w:fldCharType="end"/>
      </w:r>
      <w:r w:rsidRPr="00273106">
        <w:t xml:space="preserve"> mezi nicotou a formálním určením</w:t>
      </w:r>
      <w:r w:rsidR="08C40D22">
        <w:t xml:space="preserve"> (kap. 4</w:t>
      </w:r>
      <w:r>
        <w:t>.1.2)</w:t>
      </w:r>
      <w:r w:rsidRPr="00273106">
        <w:t>. První určení univočně pojaté jsoucnosti (potenciální i aktuální) vzniká tím, že věc je logicky oddělená od úplné nicoty. Takto daná jsoucnost splňuje požadavek</w:t>
      </w:r>
      <w:r>
        <w:t xml:space="preserve"> nejobecnějšího určení jsoucna </w:t>
      </w:r>
      <w:r w:rsidRPr="00273106">
        <w:t xml:space="preserve">v rámci logické věty o vyloučeném třetím. </w:t>
      </w:r>
      <w:r>
        <w:t xml:space="preserve">Pak je možné vzít tuto formální definici </w:t>
      </w:r>
      <w:r w:rsidRPr="08CF77EC">
        <w:rPr>
          <w:i/>
        </w:rPr>
        <w:t>materia prima</w:t>
      </w:r>
      <w:r>
        <w:t xml:space="preserve"> jako základ pro všechna další určení jsoucna. </w:t>
      </w:r>
      <w:r w:rsidRPr="00273106">
        <w:t xml:space="preserve">Původní minimum </w:t>
      </w:r>
      <w:r>
        <w:t>jsoucnosti v modelu Avicennova neurčitého individua</w:t>
      </w:r>
      <w:r w:rsidRPr="00273106">
        <w:t xml:space="preserve"> (</w:t>
      </w:r>
      <w:r w:rsidRPr="00273106">
        <w:rPr>
          <w:i/>
        </w:rPr>
        <w:t>individuum vagum</w:t>
      </w:r>
      <w:r>
        <w:rPr>
          <w:i/>
        </w:rPr>
        <w:fldChar w:fldCharType="begin"/>
      </w:r>
      <w:r>
        <w:instrText xml:space="preserve"> XE "substance:</w:instrText>
      </w:r>
      <w:r w:rsidRPr="000A3582">
        <w:rPr>
          <w:i/>
        </w:rPr>
        <w:instrText>individuum vagum</w:instrText>
      </w:r>
      <w:r>
        <w:instrText xml:space="preserve">" </w:instrText>
      </w:r>
      <w:r>
        <w:rPr>
          <w:i/>
        </w:rPr>
        <w:fldChar w:fldCharType="end"/>
      </w:r>
      <w:r w:rsidR="08C40D22">
        <w:t xml:space="preserve">; OBJ I, </w:t>
      </w:r>
      <w:r w:rsidRPr="00273106">
        <w:t xml:space="preserve">kap. 2.3.2) se </w:t>
      </w:r>
      <w:r>
        <w:t xml:space="preserve">změnilo na kategoriální určení </w:t>
      </w:r>
      <w:r w:rsidR="000F3B0B">
        <w:t>esence brané jako hyparchická první sustance</w:t>
      </w:r>
      <w:r w:rsidRPr="00273106">
        <w:t xml:space="preserve">. Tím se do filosofie zavedla čistě formální definice materie jako ideálního středu mezi nicotou a mezi </w:t>
      </w:r>
      <w:r>
        <w:t xml:space="preserve">klasickým </w:t>
      </w:r>
      <w:r w:rsidRPr="00273106">
        <w:t xml:space="preserve">určením </w:t>
      </w:r>
      <w:r>
        <w:t>materie skrze přijatou formu (</w:t>
      </w:r>
      <w:r w:rsidRPr="008C5C9C">
        <w:rPr>
          <w:i/>
          <w:szCs w:val="14"/>
        </w:rPr>
        <w:t xml:space="preserve">medium </w:t>
      </w:r>
      <w:r w:rsidRPr="008C5C9C">
        <w:rPr>
          <w:i/>
          <w:szCs w:val="11"/>
        </w:rPr>
        <w:t xml:space="preserve">inter </w:t>
      </w:r>
      <w:r w:rsidRPr="008C5C9C">
        <w:rPr>
          <w:i/>
          <w:szCs w:val="12"/>
        </w:rPr>
        <w:t xml:space="preserve">aliquid </w:t>
      </w:r>
      <w:r w:rsidRPr="008C5C9C">
        <w:rPr>
          <w:i/>
          <w:szCs w:val="11"/>
        </w:rPr>
        <w:t>et nihil</w:t>
      </w:r>
      <w:r>
        <w:t>)</w:t>
      </w:r>
      <w:r w:rsidRPr="00273106">
        <w:t>. Vzpomeňme na B</w:t>
      </w:r>
      <w:r>
        <w:t xml:space="preserve">onaventurovu definici materie </w:t>
      </w:r>
      <w:r w:rsidRPr="00273106">
        <w:t>v minimální jsoucnosti (</w:t>
      </w:r>
      <w:r w:rsidRPr="00273106">
        <w:rPr>
          <w:i/>
        </w:rPr>
        <w:t>entes in potenti</w:t>
      </w:r>
      <w:r w:rsidR="009A08A6">
        <w:rPr>
          <w:i/>
        </w:rPr>
        <w:t xml:space="preserve">a, </w:t>
      </w:r>
      <w:r w:rsidR="00237F73" w:rsidRPr="009A08A6">
        <w:t>OBJ I</w:t>
      </w:r>
      <w:r w:rsidR="009A08A6" w:rsidRPr="009A08A6">
        <w:t>I</w:t>
      </w:r>
      <w:r w:rsidR="00237F73" w:rsidRPr="009A08A6">
        <w:t>, kap.</w:t>
      </w:r>
      <w:r w:rsidR="08C40D22">
        <w:t xml:space="preserve"> 4</w:t>
      </w:r>
      <w:r w:rsidRPr="00273106">
        <w:t>.1.1)</w:t>
      </w:r>
      <w:r>
        <w:t>.</w:t>
      </w:r>
      <w:r w:rsidRPr="00273106">
        <w:t xml:space="preserve"> </w:t>
      </w:r>
      <w:r>
        <w:t>Olivi má toto moderní u</w:t>
      </w:r>
      <w:r w:rsidRPr="00273106">
        <w:t xml:space="preserve">rčení </w:t>
      </w:r>
      <w:r>
        <w:t xml:space="preserve">materie </w:t>
      </w:r>
      <w:r w:rsidR="009A08A6">
        <w:t xml:space="preserve">už </w:t>
      </w:r>
      <w:r>
        <w:t xml:space="preserve">definované v modu </w:t>
      </w:r>
      <w:r w:rsidR="009A08A6">
        <w:t xml:space="preserve">kompletního </w:t>
      </w:r>
      <w:r>
        <w:t>formálního nihilismu. Mater</w:t>
      </w:r>
      <w:r w:rsidR="009A08A6">
        <w:t xml:space="preserve">ie je </w:t>
      </w:r>
      <w:r>
        <w:t>dána</w:t>
      </w:r>
      <w:r w:rsidRPr="00273106">
        <w:t xml:space="preserve"> </w:t>
      </w:r>
      <w:r>
        <w:t xml:space="preserve">u Oliviho </w:t>
      </w:r>
      <w:r w:rsidRPr="00273106">
        <w:t>ja</w:t>
      </w:r>
      <w:r>
        <w:t>ko minimální porce bytí určená pouze diferencí od nicoty.</w:t>
      </w:r>
    </w:p>
    <w:p w:rsidR="08163013" w:rsidRPr="005C2F83" w:rsidRDefault="08163013" w:rsidP="08163013">
      <w:pPr>
        <w:pStyle w:val="Citace"/>
        <w:rPr>
          <w:noProof/>
          <w:lang w:val="cs-CZ"/>
        </w:rPr>
      </w:pPr>
      <w:r w:rsidRPr="00273106">
        <w:rPr>
          <w:noProof/>
          <w:lang w:val="cs-CZ"/>
        </w:rPr>
        <w:t>„</w:t>
      </w:r>
      <w:r>
        <w:rPr>
          <w:noProof/>
          <w:lang w:val="cs-CZ"/>
        </w:rPr>
        <w:t>Tato materie je jsoucno, jehož aktualita není v rozporu s potenciálním jsoucnem a s neurčeným bytím (</w:t>
      </w:r>
      <w:r w:rsidRPr="00934E57">
        <w:rPr>
          <w:i/>
          <w:noProof/>
        </w:rPr>
        <w:t>ens quod eius actualitati non repugnat esse in potentia et esse indeterminatum</w:t>
      </w:r>
      <w:r>
        <w:rPr>
          <w:noProof/>
          <w:lang w:val="cs-CZ"/>
        </w:rPr>
        <w:t>). Ale materii patří toto určení esenciálně (</w:t>
      </w:r>
      <w:r w:rsidRPr="00FD22B4">
        <w:rPr>
          <w:i/>
          <w:noProof/>
        </w:rPr>
        <w:t>hoc convenit sibi essentialiter</w:t>
      </w:r>
      <w:r>
        <w:rPr>
          <w:noProof/>
          <w:lang w:val="cs-CZ"/>
        </w:rPr>
        <w:t xml:space="preserve">), že je totiž potencí. Ale toto platí nikoliv </w:t>
      </w:r>
      <w:r w:rsidR="008413F7">
        <w:rPr>
          <w:noProof/>
          <w:lang w:val="cs-CZ"/>
        </w:rPr>
        <w:t xml:space="preserve">vzhledem k materii </w:t>
      </w:r>
      <w:r>
        <w:rPr>
          <w:noProof/>
          <w:lang w:val="cs-CZ"/>
        </w:rPr>
        <w:t>samotné (</w:t>
      </w:r>
      <w:r w:rsidRPr="00FD22B4">
        <w:rPr>
          <w:i/>
          <w:noProof/>
        </w:rPr>
        <w:t>non respectu sui</w:t>
      </w:r>
      <w:r>
        <w:rPr>
          <w:noProof/>
          <w:lang w:val="cs-CZ"/>
        </w:rPr>
        <w:t xml:space="preserve">), ale vzhledem k jiným jsoucnům, která </w:t>
      </w:r>
      <w:r w:rsidR="00092CD2">
        <w:rPr>
          <w:noProof/>
          <w:lang w:val="cs-CZ"/>
        </w:rPr>
        <w:t xml:space="preserve">z </w:t>
      </w:r>
      <w:r>
        <w:rPr>
          <w:noProof/>
          <w:lang w:val="cs-CZ"/>
        </w:rPr>
        <w:t>ní mohou vzniknout.“ </w:t>
      </w:r>
      <w:r>
        <w:rPr>
          <w:rStyle w:val="Znakapoznpodarou"/>
        </w:rPr>
        <w:footnoteReference w:id="363"/>
      </w:r>
    </w:p>
    <w:p w:rsidR="004A432A" w:rsidRDefault="08163013" w:rsidP="08163013">
      <w:r w:rsidRPr="00273106">
        <w:lastRenderedPageBreak/>
        <w:t>Definice materie je z hlediska prvního averroismu opravdu kuriózní. Materie je chápána z</w:t>
      </w:r>
      <w:r w:rsidR="00C40616">
        <w:t xml:space="preserve"> perspektivy </w:t>
      </w:r>
      <w:r w:rsidRPr="00273106">
        <w:t>první</w:t>
      </w:r>
      <w:r w:rsidR="00C40616">
        <w:t>ch</w:t>
      </w:r>
      <w:r w:rsidRPr="00273106">
        <w:t xml:space="preserve"> substanc</w:t>
      </w:r>
      <w:r w:rsidR="00C40616">
        <w:t>í</w:t>
      </w:r>
      <w:r>
        <w:t xml:space="preserve"> jako aktuální </w:t>
      </w:r>
      <w:r w:rsidR="00C40616">
        <w:t xml:space="preserve">jsoucno </w:t>
      </w:r>
      <w:r>
        <w:t>(</w:t>
      </w:r>
      <w:r>
        <w:rPr>
          <w:i/>
        </w:rPr>
        <w:t xml:space="preserve">ens quod eius </w:t>
      </w:r>
      <w:proofErr w:type="gramStart"/>
      <w:r>
        <w:rPr>
          <w:i/>
        </w:rPr>
        <w:t>actualitati...</w:t>
      </w:r>
      <w:r w:rsidRPr="00FD22B4">
        <w:rPr>
          <w:i/>
        </w:rPr>
        <w:t>essentialiter</w:t>
      </w:r>
      <w:proofErr w:type="gramEnd"/>
      <w:r>
        <w:t>). Ale tato aktualita</w:t>
      </w:r>
      <w:r w:rsidRPr="00273106">
        <w:t xml:space="preserve"> není dána na základě </w:t>
      </w:r>
      <w:r w:rsidR="00C40616" w:rsidRPr="00273106">
        <w:t xml:space="preserve">reálné </w:t>
      </w:r>
      <w:r w:rsidR="00C40616">
        <w:t>existence</w:t>
      </w:r>
      <w:r w:rsidRPr="00273106">
        <w:t xml:space="preserve">, </w:t>
      </w:r>
      <w:r>
        <w:t xml:space="preserve">ale </w:t>
      </w:r>
      <w:r w:rsidR="0091522F">
        <w:t>podle l</w:t>
      </w:r>
      <w:r>
        <w:t xml:space="preserve">ogické definice dané vyloučením třetího. </w:t>
      </w:r>
      <w:r w:rsidR="00281F4C">
        <w:t>Jsoucnost je určena v rámci první formy logického pozitivismu, protože postulovaná potence</w:t>
      </w:r>
      <w:r>
        <w:t xml:space="preserve"> </w:t>
      </w:r>
      <w:r w:rsidR="00281F4C">
        <w:t>je sofisticky určena jako substance</w:t>
      </w:r>
      <w:r>
        <w:t xml:space="preserve">. </w:t>
      </w:r>
      <w:r w:rsidR="00281F4C">
        <w:t xml:space="preserve">Olivi vytvořil objektivní materii </w:t>
      </w:r>
      <w:r w:rsidR="00281F4C" w:rsidRPr="00281F4C">
        <w:rPr>
          <w:i/>
        </w:rPr>
        <w:t>ex nihilo</w:t>
      </w:r>
      <w:r w:rsidR="00281F4C">
        <w:t xml:space="preserve"> a místo reálně dané formy jí dal logické určení v rámci nominální essence. To je je typický příklad moderní predikace „</w:t>
      </w:r>
      <w:r w:rsidR="00281F4C" w:rsidRPr="00281F4C">
        <w:rPr>
          <w:i/>
        </w:rPr>
        <w:t>in artificialibus</w:t>
      </w:r>
      <w:r w:rsidR="00281F4C">
        <w:t xml:space="preserve">“. </w:t>
      </w:r>
      <w:r>
        <w:t>Hranicí jsoucnosti pro moderní materii je pouze negace v rámci logické kontradikce</w:t>
      </w:r>
      <w:r>
        <w:fldChar w:fldCharType="begin"/>
      </w:r>
      <w:r>
        <w:instrText xml:space="preserve"> XE "materie:</w:instrText>
      </w:r>
      <w:r w:rsidRPr="00D44ACB">
        <w:rPr>
          <w:i/>
        </w:rPr>
        <w:instrText>non repugnat esse</w:instrText>
      </w:r>
      <w:r>
        <w:instrText xml:space="preserve">" </w:instrText>
      </w:r>
      <w:r>
        <w:fldChar w:fldCharType="end"/>
      </w:r>
      <w:r>
        <w:t xml:space="preserve"> (</w:t>
      </w:r>
      <w:r w:rsidRPr="00FF636E">
        <w:rPr>
          <w:i/>
        </w:rPr>
        <w:t>non repugnat</w:t>
      </w:r>
      <w:r w:rsidRPr="00B04D91">
        <w:rPr>
          <w:i/>
        </w:rPr>
        <w:t xml:space="preserve"> </w:t>
      </w:r>
      <w:r w:rsidRPr="00FF636E">
        <w:rPr>
          <w:i/>
        </w:rPr>
        <w:t>esse</w:t>
      </w:r>
      <w:r>
        <w:t>) vzhledem k bytí v potenci, nebo k bytí neurčité první materie. Formální určení materie nesmí být v rozporu s oběma nejobecnějšími definicemi jsoucna (</w:t>
      </w:r>
      <w:r w:rsidRPr="00381593">
        <w:rPr>
          <w:i/>
        </w:rPr>
        <w:t>esse</w:t>
      </w:r>
      <w:r>
        <w:t xml:space="preserve"> </w:t>
      </w:r>
      <w:r w:rsidRPr="00FF636E">
        <w:rPr>
          <w:i/>
        </w:rPr>
        <w:t>in potentia et esse indeterminatum</w:t>
      </w:r>
      <w:r>
        <w:t>). Pokud tato formální podmínka platí, pak materie „exsistuje“ jako substance třetího druhu. Materie</w:t>
      </w:r>
      <w:r>
        <w:fldChar w:fldCharType="begin"/>
      </w:r>
      <w:r>
        <w:instrText xml:space="preserve"> XE "</w:instrText>
      </w:r>
      <w:r w:rsidRPr="08B26E2A">
        <w:instrText>materie:Olivi</w:instrText>
      </w:r>
      <w:r>
        <w:instrText xml:space="preserve">" </w:instrText>
      </w:r>
      <w:r>
        <w:fldChar w:fldCharType="end"/>
      </w:r>
      <w:r>
        <w:t xml:space="preserve"> získala touto formální logickou operací hypostatickou subsistenci (</w:t>
      </w:r>
      <w:r w:rsidRPr="00FF636E">
        <w:rPr>
          <w:i/>
        </w:rPr>
        <w:t>hoc convenit sibi essentialiter</w:t>
      </w:r>
      <w:r>
        <w:t xml:space="preserve">). Význam materie vznikl kompletně </w:t>
      </w:r>
      <w:r w:rsidRPr="007C665E">
        <w:rPr>
          <w:i/>
        </w:rPr>
        <w:t>ex nihilo</w:t>
      </w:r>
      <w:r>
        <w:rPr>
          <w:i/>
        </w:rPr>
        <w:fldChar w:fldCharType="begin"/>
      </w:r>
      <w:r>
        <w:instrText xml:space="preserve"> XE "</w:instrText>
      </w:r>
      <w:r w:rsidRPr="00E40872">
        <w:rPr>
          <w:i/>
        </w:rPr>
        <w:instrText>creatio</w:instrText>
      </w:r>
      <w:r>
        <w:instrText xml:space="preserve"> </w:instrText>
      </w:r>
      <w:r w:rsidRPr="004E55E2">
        <w:rPr>
          <w:i/>
        </w:rPr>
        <w:instrText>ex nihilo</w:instrText>
      </w:r>
      <w:r>
        <w:instrText xml:space="preserve">" </w:instrText>
      </w:r>
      <w:r>
        <w:rPr>
          <w:i/>
        </w:rPr>
        <w:fldChar w:fldCharType="end"/>
      </w:r>
      <w:r>
        <w:t xml:space="preserve">. </w:t>
      </w:r>
      <w:r w:rsidRPr="00273106">
        <w:t xml:space="preserve">Aktualitu </w:t>
      </w:r>
      <w:r>
        <w:t xml:space="preserve">této objektivně-primární materie </w:t>
      </w:r>
      <w:r w:rsidRPr="00273106">
        <w:t>zakládá fakt, že materie jako formálně určené „něco“ (</w:t>
      </w:r>
      <w:r w:rsidRPr="00273106">
        <w:rPr>
          <w:i/>
        </w:rPr>
        <w:t>ens</w:t>
      </w:r>
      <w:r w:rsidRPr="00273106">
        <w:t xml:space="preserve">) je schopna přijmout </w:t>
      </w:r>
      <w:r w:rsidR="00B13797">
        <w:t xml:space="preserve">jakékoliv jiné </w:t>
      </w:r>
      <w:r w:rsidRPr="00273106">
        <w:t>potenciální určení (</w:t>
      </w:r>
      <w:r w:rsidRPr="00273106">
        <w:rPr>
          <w:i/>
        </w:rPr>
        <w:t>esse in potentia</w:t>
      </w:r>
      <w:r w:rsidRPr="00273106">
        <w:t xml:space="preserve">). </w:t>
      </w:r>
      <w:r>
        <w:t xml:space="preserve">Moderní hlad po formě je daný tím, že materie jako </w:t>
      </w:r>
      <w:r w:rsidR="005D0EC4">
        <w:t xml:space="preserve">mytologická </w:t>
      </w:r>
      <w:r>
        <w:t xml:space="preserve">hypostáze nemá vlastní subsistentní bytí jako substance, ale moderně „exsistuje“ pouze v modu </w:t>
      </w:r>
      <w:r w:rsidR="005D0EC4">
        <w:t>„</w:t>
      </w:r>
      <w:r w:rsidRPr="088D49E9">
        <w:rPr>
          <w:i/>
        </w:rPr>
        <w:t>esse ad</w:t>
      </w:r>
      <w:r w:rsidR="005D0EC4">
        <w:t>“</w:t>
      </w:r>
      <w:r>
        <w:rPr>
          <w:i/>
        </w:rPr>
        <w:fldChar w:fldCharType="begin"/>
      </w:r>
      <w:r>
        <w:instrText xml:space="preserve"> XE "</w:instrText>
      </w:r>
      <w:r w:rsidRPr="08E905E2">
        <w:rPr>
          <w:i/>
        </w:rPr>
        <w:instrText xml:space="preserve">esse </w:instrText>
      </w:r>
      <w:proofErr w:type="gramStart"/>
      <w:r w:rsidRPr="08E905E2">
        <w:rPr>
          <w:i/>
        </w:rPr>
        <w:instrText>ad</w:instrText>
      </w:r>
      <w:proofErr w:type="gramEnd"/>
      <w:r>
        <w:instrText>:Oliv</w:instrText>
      </w:r>
      <w:r w:rsidRPr="088D49E9">
        <w:instrText>i</w:instrText>
      </w:r>
      <w:r>
        <w:instrText xml:space="preserve">" </w:instrText>
      </w:r>
      <w:r>
        <w:rPr>
          <w:i/>
        </w:rPr>
        <w:fldChar w:fldCharType="end"/>
      </w:r>
      <w:r w:rsidR="003F5D70">
        <w:t xml:space="preserve">. </w:t>
      </w:r>
      <w:r w:rsidR="003F5D70">
        <w:rPr>
          <w:szCs w:val="24"/>
        </w:rPr>
        <w:t xml:space="preserve">Materie jako nové </w:t>
      </w:r>
      <w:r w:rsidR="003F5D70" w:rsidRPr="006E6304">
        <w:rPr>
          <w:i/>
          <w:szCs w:val="24"/>
        </w:rPr>
        <w:t>tertium ens</w:t>
      </w:r>
      <w:r w:rsidR="003F5D70">
        <w:rPr>
          <w:szCs w:val="24"/>
        </w:rPr>
        <w:t xml:space="preserve"> je substance jen napůl </w:t>
      </w:r>
      <w:r w:rsidR="003F5D70" w:rsidRPr="00CF2092">
        <w:rPr>
          <w:szCs w:val="24"/>
        </w:rPr>
        <w:t>(</w:t>
      </w:r>
      <w:r w:rsidR="003F5D70" w:rsidRPr="00CF2092">
        <w:rPr>
          <w:i/>
          <w:szCs w:val="24"/>
        </w:rPr>
        <w:t>non respectu sui, sed respectu aliorum</w:t>
      </w:r>
      <w:r w:rsidR="003F5D70" w:rsidRPr="00CF2092">
        <w:rPr>
          <w:szCs w:val="24"/>
        </w:rPr>
        <w:t>)</w:t>
      </w:r>
      <w:r w:rsidR="003F5D70">
        <w:rPr>
          <w:szCs w:val="24"/>
        </w:rPr>
        <w:t>. Aby dosáhla substanciality v modu „</w:t>
      </w:r>
      <w:r w:rsidR="003F5D70" w:rsidRPr="006E6304">
        <w:rPr>
          <w:i/>
          <w:szCs w:val="24"/>
        </w:rPr>
        <w:t>esse in</w:t>
      </w:r>
      <w:r w:rsidR="003F5D70">
        <w:rPr>
          <w:szCs w:val="24"/>
        </w:rPr>
        <w:t>“</w:t>
      </w:r>
      <w:r w:rsidR="003F5D70" w:rsidRPr="00CF2092">
        <w:rPr>
          <w:i/>
          <w:szCs w:val="24"/>
        </w:rPr>
        <w:fldChar w:fldCharType="begin"/>
      </w:r>
      <w:r w:rsidR="003F5D70" w:rsidRPr="00CF2092">
        <w:rPr>
          <w:szCs w:val="24"/>
        </w:rPr>
        <w:instrText xml:space="preserve"> XE "</w:instrText>
      </w:r>
      <w:r w:rsidR="003F5D70">
        <w:rPr>
          <w:i/>
          <w:szCs w:val="24"/>
        </w:rPr>
        <w:instrText>esse in</w:instrText>
      </w:r>
      <w:r w:rsidR="003F5D70" w:rsidRPr="00CF2092">
        <w:rPr>
          <w:szCs w:val="24"/>
        </w:rPr>
        <w:instrText xml:space="preserve">:Olivi" </w:instrText>
      </w:r>
      <w:r w:rsidR="003F5D70" w:rsidRPr="00CF2092">
        <w:rPr>
          <w:i/>
          <w:szCs w:val="24"/>
        </w:rPr>
        <w:fldChar w:fldCharType="end"/>
      </w:r>
      <w:r w:rsidR="003F5D70">
        <w:rPr>
          <w:szCs w:val="24"/>
        </w:rPr>
        <w:t xml:space="preserve">, materie musí uspokojit svůj hlad po stejně kuriózní formě, dané opět jako </w:t>
      </w:r>
      <w:r w:rsidR="003F5D70" w:rsidRPr="006E6304">
        <w:rPr>
          <w:i/>
          <w:szCs w:val="24"/>
        </w:rPr>
        <w:t>tertium ens</w:t>
      </w:r>
      <w:r w:rsidR="003F5D70">
        <w:rPr>
          <w:szCs w:val="24"/>
        </w:rPr>
        <w:t xml:space="preserve">. </w:t>
      </w:r>
      <w:r w:rsidR="003F5D70">
        <w:t xml:space="preserve">Olivi převedl do metafyziky </w:t>
      </w:r>
      <w:r w:rsidR="003F5D70" w:rsidRPr="003F5D70">
        <w:rPr>
          <w:i/>
        </w:rPr>
        <w:t>Modernorum</w:t>
      </w:r>
      <w:r w:rsidR="003F5D70">
        <w:t xml:space="preserve"> výše uvedenou Bonaventurovu filosofickou pohádku danou na základě biblické </w:t>
      </w:r>
      <w:r w:rsidR="003F5D70" w:rsidRPr="003F5D70">
        <w:rPr>
          <w:i/>
        </w:rPr>
        <w:t>Písně Písní</w:t>
      </w:r>
      <w:r w:rsidR="003F5D70">
        <w:t xml:space="preserve">. </w:t>
      </w:r>
      <w:r>
        <w:t xml:space="preserve">Moderní demiurg dostal </w:t>
      </w:r>
      <w:r w:rsidR="00140B0C">
        <w:t xml:space="preserve">kompletní </w:t>
      </w:r>
      <w:r w:rsidR="00FC3D77">
        <w:t xml:space="preserve">metafyzický </w:t>
      </w:r>
      <w:r w:rsidR="00140B0C">
        <w:t xml:space="preserve">scénář </w:t>
      </w:r>
      <w:r>
        <w:t xml:space="preserve">pro </w:t>
      </w:r>
      <w:r w:rsidR="00140B0C">
        <w:t xml:space="preserve">mytologickou </w:t>
      </w:r>
      <w:r>
        <w:t>pro</w:t>
      </w:r>
      <w:r w:rsidR="00140B0C">
        <w:t>dukci kapitalistického diakosmu</w:t>
      </w:r>
      <w:r>
        <w:t xml:space="preserve">. Objektivní materie touží absolutním způsobem po objektivní kopulaci s objektivním demiurgem, protože skrze toto spojení materie </w:t>
      </w:r>
      <w:r w:rsidR="08C40D22">
        <w:t xml:space="preserve">naplňuje </w:t>
      </w:r>
      <w:r w:rsidR="00812A31">
        <w:t xml:space="preserve">vlastní bytí, které je </w:t>
      </w:r>
      <w:r>
        <w:t xml:space="preserve">esenciálně dané v modu </w:t>
      </w:r>
      <w:r w:rsidR="00812A31">
        <w:t>„</w:t>
      </w:r>
      <w:r w:rsidRPr="08EB3615">
        <w:rPr>
          <w:i/>
        </w:rPr>
        <w:t>esse ad</w:t>
      </w:r>
      <w:r w:rsidR="00812A31">
        <w:t>“</w:t>
      </w:r>
      <w:r>
        <w:t xml:space="preserve"> (</w:t>
      </w:r>
      <w:r w:rsidRPr="088D49E9">
        <w:rPr>
          <w:i/>
        </w:rPr>
        <w:t>respectu aliorum</w:t>
      </w:r>
      <w:r>
        <w:t>). Moderna vytvořila další substanci třetího druhu, která má vlastní hypostázi a slouží jako univerzální nositel (</w:t>
      </w:r>
      <w:r w:rsidRPr="00EC05A6">
        <w:rPr>
          <w:i/>
        </w:rPr>
        <w:t>subiectum</w:t>
      </w:r>
      <w:r>
        <w:t xml:space="preserve">) pro jakoukoliv projekci moderního a postmoderního </w:t>
      </w:r>
      <w:r w:rsidRPr="00EC05A6">
        <w:rPr>
          <w:i/>
        </w:rPr>
        <w:t>scibile</w:t>
      </w:r>
      <w:r>
        <w:t xml:space="preserve">. </w:t>
      </w:r>
      <w:r w:rsidRPr="00273106">
        <w:t xml:space="preserve">Olivi vytváří </w:t>
      </w:r>
      <w:r>
        <w:t xml:space="preserve">materiální </w:t>
      </w:r>
      <w:r w:rsidRPr="00273106">
        <w:t>určení jsoucna daného pouze vzhledem k čisté nemožnosti záporu (</w:t>
      </w:r>
      <w:r w:rsidRPr="00273106">
        <w:rPr>
          <w:i/>
        </w:rPr>
        <w:t xml:space="preserve">non repugnat </w:t>
      </w:r>
      <w:r w:rsidRPr="00273106">
        <w:rPr>
          <w:i/>
        </w:rPr>
        <w:lastRenderedPageBreak/>
        <w:t>esse</w:t>
      </w:r>
      <w:r w:rsidRPr="00273106">
        <w:t>). Oliviho určení materie je formální, potenciální a esenciální současně</w:t>
      </w:r>
      <w:r w:rsidR="08C40D22">
        <w:t xml:space="preserve"> </w:t>
      </w:r>
      <w:r w:rsidRPr="00273106">
        <w:t>(</w:t>
      </w:r>
      <w:r w:rsidRPr="00273106">
        <w:rPr>
          <w:i/>
        </w:rPr>
        <w:t>hoc convenit sibi essentialiter, esse scilicet in potentia</w:t>
      </w:r>
      <w:r w:rsidRPr="00273106">
        <w:t xml:space="preserve">). Moderní materie je založena na čisté potenci, která je </w:t>
      </w:r>
      <w:r w:rsidR="0092527F">
        <w:t xml:space="preserve">objektivní </w:t>
      </w:r>
      <w:r>
        <w:t xml:space="preserve">subsistentní </w:t>
      </w:r>
      <w:r w:rsidR="0092527F">
        <w:t>forma určená</w:t>
      </w:r>
      <w:r w:rsidRPr="00273106">
        <w:t xml:space="preserve"> </w:t>
      </w:r>
      <w:r w:rsidRPr="00273106">
        <w:rPr>
          <w:i/>
        </w:rPr>
        <w:t>absolute</w:t>
      </w:r>
      <w:r w:rsidR="00855E6A">
        <w:rPr>
          <w:i/>
        </w:rPr>
        <w:t xml:space="preserve"> </w:t>
      </w:r>
      <w:r w:rsidR="00855E6A">
        <w:t xml:space="preserve">a </w:t>
      </w:r>
      <w:r w:rsidRPr="00273106">
        <w:rPr>
          <w:i/>
        </w:rPr>
        <w:t>simpliciter</w:t>
      </w:r>
      <w:r w:rsidR="004A432A">
        <w:t>.</w:t>
      </w:r>
    </w:p>
    <w:p w:rsidR="08163013" w:rsidRDefault="004A432A" w:rsidP="004A432A">
      <w:pPr>
        <w:ind w:firstLine="397"/>
      </w:pPr>
      <w:r w:rsidRPr="00273106">
        <w:t xml:space="preserve">Olivi </w:t>
      </w:r>
      <w:r>
        <w:t xml:space="preserve">převzal </w:t>
      </w:r>
      <w:r w:rsidR="08163013" w:rsidRPr="00273106">
        <w:rPr>
          <w:iCs/>
        </w:rPr>
        <w:t>esencialistický v</w:t>
      </w:r>
      <w:r w:rsidR="08163013">
        <w:rPr>
          <w:iCs/>
        </w:rPr>
        <w:t xml:space="preserve">ýklad potence podle </w:t>
      </w:r>
      <w:r w:rsidR="08163013" w:rsidRPr="0009040B">
        <w:rPr>
          <w:i/>
        </w:rPr>
        <w:t>Dialectica monacensis</w:t>
      </w:r>
      <w:r w:rsidR="08163013">
        <w:t xml:space="preserve"> (</w:t>
      </w:r>
      <w:r w:rsidR="08163013" w:rsidRPr="004F7FAC">
        <w:rPr>
          <w:i/>
          <w:szCs w:val="18"/>
        </w:rPr>
        <w:t>potens est tantum ess</w:t>
      </w:r>
      <w:r w:rsidR="08163013">
        <w:rPr>
          <w:i/>
          <w:szCs w:val="18"/>
        </w:rPr>
        <w:t>e</w:t>
      </w:r>
      <w:r w:rsidR="08163013">
        <w:rPr>
          <w:szCs w:val="18"/>
        </w:rPr>
        <w:fldChar w:fldCharType="begin"/>
      </w:r>
      <w:r w:rsidR="08163013">
        <w:instrText xml:space="preserve"> XE "</w:instrText>
      </w:r>
      <w:r w:rsidR="08163013">
        <w:rPr>
          <w:i/>
          <w:szCs w:val="18"/>
        </w:rPr>
        <w:instrText>Logica Modernorum II</w:instrText>
      </w:r>
      <w:r w:rsidR="08163013">
        <w:rPr>
          <w:szCs w:val="18"/>
        </w:rPr>
        <w:instrText>:</w:instrText>
      </w:r>
      <w:r w:rsidR="08163013" w:rsidRPr="00273106">
        <w:rPr>
          <w:i/>
        </w:rPr>
        <w:instrText>Dialectica monacensis</w:instrText>
      </w:r>
      <w:r w:rsidR="08163013" w:rsidRPr="00273106">
        <w:instrText xml:space="preserve"> </w:instrText>
      </w:r>
      <w:r w:rsidR="08163013" w:rsidRPr="00C75E08">
        <w:rPr>
          <w:szCs w:val="18"/>
        </w:rPr>
        <w:instrText>481.9‒16</w:instrText>
      </w:r>
      <w:r w:rsidR="08163013">
        <w:instrText xml:space="preserve">" </w:instrText>
      </w:r>
      <w:r w:rsidR="08163013">
        <w:rPr>
          <w:szCs w:val="18"/>
        </w:rPr>
        <w:fldChar w:fldCharType="end"/>
      </w:r>
      <w:r w:rsidR="08C40D22">
        <w:t>; OBJ II, kap. 1</w:t>
      </w:r>
      <w:r w:rsidR="08163013">
        <w:t>.4)</w:t>
      </w:r>
      <w:r w:rsidR="08163013" w:rsidRPr="00273106">
        <w:t>, který vztáhl i na materii.</w:t>
      </w:r>
      <w:r w:rsidR="08163013">
        <w:t xml:space="preserve"> Logické simulákrum aktuálního </w:t>
      </w:r>
      <w:r w:rsidR="00BF250B">
        <w:t>„</w:t>
      </w:r>
      <w:proofErr w:type="gramStart"/>
      <w:r w:rsidR="00BF250B">
        <w:t>jsoucna</w:t>
      </w:r>
      <w:proofErr w:type="gramEnd"/>
      <w:r w:rsidR="00BF250B">
        <w:t>–</w:t>
      </w:r>
      <w:proofErr w:type="gramStart"/>
      <w:r w:rsidR="08163013">
        <w:t>potence</w:t>
      </w:r>
      <w:proofErr w:type="gramEnd"/>
      <w:r w:rsidR="00BF250B">
        <w:t>“</w:t>
      </w:r>
      <w:r w:rsidR="08163013">
        <w:t xml:space="preserve"> </w:t>
      </w:r>
      <w:r w:rsidR="08163013" w:rsidRPr="00273106">
        <w:t>definované čistě formálně za</w:t>
      </w:r>
      <w:r w:rsidR="08163013">
        <w:t>lož</w:t>
      </w:r>
      <w:r w:rsidR="00BF250B">
        <w:t>ilo</w:t>
      </w:r>
      <w:r w:rsidR="08163013">
        <w:t xml:space="preserve"> v </w:t>
      </w:r>
      <w:r w:rsidR="08163013" w:rsidRPr="00273106">
        <w:t xml:space="preserve">následující dekádě modernistů </w:t>
      </w:r>
      <w:r w:rsidR="08163013">
        <w:t>po Olivim metafyzický koncept objektivního jsoucna. M</w:t>
      </w:r>
      <w:r w:rsidR="08163013" w:rsidRPr="00273106">
        <w:t>aterie m</w:t>
      </w:r>
      <w:r w:rsidR="08163013">
        <w:t xml:space="preserve">á ve formě posledního univerzálního </w:t>
      </w:r>
      <w:r w:rsidR="00962190" w:rsidRPr="006110A9">
        <w:t>species</w:t>
      </w:r>
      <w:r w:rsidR="08163013">
        <w:t xml:space="preserve"> </w:t>
      </w:r>
      <w:r w:rsidR="08163013" w:rsidRPr="00273106">
        <w:t>pouze formální jsoucnost, která ji odlišuje od čistého nebytí</w:t>
      </w:r>
      <w:r w:rsidR="08163013">
        <w:t>. Proto je u</w:t>
      </w:r>
      <w:r w:rsidR="08163013" w:rsidRPr="00273106">
        <w:t xml:space="preserve">nivoční pojetí spirituální materie </w:t>
      </w:r>
      <w:r w:rsidR="08163013">
        <w:t xml:space="preserve">podle Oliviho </w:t>
      </w:r>
      <w:r w:rsidR="08163013" w:rsidRPr="00273106">
        <w:t>dané i pro anděly</w:t>
      </w:r>
      <w:r w:rsidR="08163013">
        <w:t xml:space="preserve"> </w:t>
      </w:r>
      <w:r w:rsidR="08163013" w:rsidRPr="00273106">
        <w:t xml:space="preserve">(Suarez-Nani 2003). Toto určení </w:t>
      </w:r>
      <w:r w:rsidR="08163013">
        <w:t xml:space="preserve">materie pak přejde na určení jsoucna jako objektivní </w:t>
      </w:r>
      <w:r w:rsidR="08163013" w:rsidRPr="00273106">
        <w:t>věci (</w:t>
      </w:r>
      <w:r w:rsidR="08163013" w:rsidRPr="00273106">
        <w:rPr>
          <w:i/>
        </w:rPr>
        <w:t>res</w:t>
      </w:r>
      <w:r w:rsidR="08163013" w:rsidRPr="00273106">
        <w:t>) oddělené pouze od nicoty</w:t>
      </w:r>
      <w:r w:rsidR="00171A8C">
        <w:t>. Tento postup měl před sebou vel</w:t>
      </w:r>
      <w:r w:rsidR="00171A8C" w:rsidRPr="00273106">
        <w:t>kou budoucnost</w:t>
      </w:r>
      <w:r w:rsidR="00171A8C">
        <w:fldChar w:fldCharType="begin"/>
      </w:r>
      <w:r w:rsidR="00171A8C">
        <w:instrText xml:space="preserve"> XE "substance:</w:instrText>
      </w:r>
      <w:r w:rsidR="00171A8C" w:rsidRPr="00D44ACB">
        <w:rPr>
          <w:i/>
        </w:rPr>
        <w:instrText>non repugnat esse</w:instrText>
      </w:r>
      <w:r w:rsidR="00171A8C">
        <w:instrText xml:space="preserve">" </w:instrText>
      </w:r>
      <w:r w:rsidR="00171A8C">
        <w:fldChar w:fldCharType="end"/>
      </w:r>
      <w:r w:rsidR="00171A8C" w:rsidRPr="00171A8C">
        <w:t xml:space="preserve">, </w:t>
      </w:r>
      <w:r w:rsidR="00171A8C">
        <w:t>viz současný metodologický princip „</w:t>
      </w:r>
      <w:r w:rsidR="00171A8C" w:rsidRPr="00171A8C">
        <w:rPr>
          <w:i/>
        </w:rPr>
        <w:t>anything goes</w:t>
      </w:r>
      <w:r w:rsidR="00171A8C">
        <w:t>“</w:t>
      </w:r>
      <w:r w:rsidR="003A2E0A">
        <w:t>.</w:t>
      </w:r>
      <w:r w:rsidR="00171A8C">
        <w:t xml:space="preserve"> </w:t>
      </w:r>
      <w:r w:rsidR="08163013">
        <w:t xml:space="preserve">Nihilistická epocha současné vědy promítá do tohoto </w:t>
      </w:r>
      <w:r w:rsidR="08163013" w:rsidRPr="08170B30">
        <w:rPr>
          <w:i/>
        </w:rPr>
        <w:t>scibile</w:t>
      </w:r>
      <w:r w:rsidR="08163013">
        <w:t xml:space="preserve"> i kulturní a duchovní určení člověka. Oliviho </w:t>
      </w:r>
      <w:r w:rsidR="08163013" w:rsidRPr="00273106">
        <w:t xml:space="preserve">postup určování jednotliviny </w:t>
      </w:r>
      <w:r w:rsidR="08163013">
        <w:t xml:space="preserve">jako specifické objektivní </w:t>
      </w:r>
      <w:r w:rsidR="08163013" w:rsidRPr="00CA0137">
        <w:rPr>
          <w:i/>
        </w:rPr>
        <w:t>res</w:t>
      </w:r>
      <w:r w:rsidR="08163013">
        <w:t xml:space="preserve"> </w:t>
      </w:r>
      <w:r w:rsidR="08163013" w:rsidRPr="00273106">
        <w:t xml:space="preserve">převzal </w:t>
      </w:r>
      <w:r w:rsidR="08163013">
        <w:t xml:space="preserve">nejprve Henry z </w:t>
      </w:r>
      <w:proofErr w:type="gramStart"/>
      <w:r w:rsidR="08163013">
        <w:t>Gentu</w:t>
      </w:r>
      <w:proofErr w:type="gramEnd"/>
      <w:r w:rsidR="08163013">
        <w:t xml:space="preserve"> a pak </w:t>
      </w:r>
      <w:r w:rsidR="08163013" w:rsidRPr="00273106">
        <w:t>Spinoza</w:t>
      </w:r>
      <w:r w:rsidR="08163013">
        <w:fldChar w:fldCharType="begin"/>
      </w:r>
      <w:r w:rsidR="08163013">
        <w:instrText xml:space="preserve"> XE "</w:instrText>
      </w:r>
      <w:r w:rsidR="08163013" w:rsidRPr="0065594C">
        <w:instrText>Spinoza, B.</w:instrText>
      </w:r>
      <w:r w:rsidR="08163013">
        <w:instrText xml:space="preserve">" </w:instrText>
      </w:r>
      <w:r w:rsidR="08163013">
        <w:fldChar w:fldCharType="end"/>
      </w:r>
      <w:r w:rsidR="08163013" w:rsidRPr="00273106">
        <w:t xml:space="preserve"> do definice materie</w:t>
      </w:r>
      <w:r w:rsidR="08163013">
        <w:t xml:space="preserve"> v modu </w:t>
      </w:r>
      <w:r w:rsidR="08163013" w:rsidRPr="00273106">
        <w:rPr>
          <w:i/>
        </w:rPr>
        <w:t>omnis determinatio est negatio</w:t>
      </w:r>
      <w:r w:rsidR="08163013" w:rsidRPr="00273106">
        <w:t xml:space="preserve"> </w:t>
      </w:r>
      <w:r w:rsidR="08827A86">
        <w:t>(kap. 5</w:t>
      </w:r>
      <w:r w:rsidR="08163013">
        <w:t>.2.1). M</w:t>
      </w:r>
      <w:r w:rsidR="08163013" w:rsidRPr="00273106">
        <w:t xml:space="preserve">aterie je definována jako esenciální potence, protože </w:t>
      </w:r>
      <w:r w:rsidR="08163013">
        <w:t xml:space="preserve">formálně definovaný </w:t>
      </w:r>
      <w:r w:rsidR="08163013" w:rsidRPr="00273106">
        <w:t>substrát (</w:t>
      </w:r>
      <w:r w:rsidR="08163013" w:rsidRPr="00273106">
        <w:rPr>
          <w:i/>
        </w:rPr>
        <w:t>subiectum</w:t>
      </w:r>
      <w:r w:rsidR="08163013">
        <w:rPr>
          <w:i/>
        </w:rPr>
        <w:fldChar w:fldCharType="begin"/>
      </w:r>
      <w:r w:rsidR="08163013">
        <w:instrText xml:space="preserve"> XE "</w:instrText>
      </w:r>
      <w:r w:rsidR="08163013" w:rsidRPr="00360013">
        <w:rPr>
          <w:i/>
        </w:rPr>
        <w:instrText>subiectum:</w:instrText>
      </w:r>
      <w:r w:rsidR="08163013">
        <w:instrText xml:space="preserve">Olivi" </w:instrText>
      </w:r>
      <w:r w:rsidR="08163013">
        <w:rPr>
          <w:i/>
        </w:rPr>
        <w:fldChar w:fldCharType="end"/>
      </w:r>
      <w:r w:rsidR="08163013" w:rsidRPr="00273106">
        <w:t xml:space="preserve">) je schopen přijímat </w:t>
      </w:r>
      <w:r w:rsidR="08163013">
        <w:t xml:space="preserve">jakákoliv </w:t>
      </w:r>
      <w:r w:rsidR="08163013" w:rsidRPr="00273106">
        <w:t xml:space="preserve">určení. Tím se </w:t>
      </w:r>
      <w:r w:rsidR="08163013">
        <w:t xml:space="preserve">materie stala aktuální substancí </w:t>
      </w:r>
      <w:r w:rsidR="08163013" w:rsidRPr="00273106">
        <w:t>(</w:t>
      </w:r>
      <w:r w:rsidR="08163013" w:rsidRPr="00273106">
        <w:rPr>
          <w:i/>
        </w:rPr>
        <w:t>hoc aliquid</w:t>
      </w:r>
      <w:r w:rsidR="08163013">
        <w:rPr>
          <w:i/>
        </w:rPr>
        <w:fldChar w:fldCharType="begin"/>
      </w:r>
      <w:r w:rsidR="08163013">
        <w:instrText xml:space="preserve"> XE "</w:instrText>
      </w:r>
      <w:r w:rsidR="08163013" w:rsidRPr="006B0AC6">
        <w:rPr>
          <w:rStyle w:val="FontStyle129"/>
          <w:i/>
          <w:sz w:val="24"/>
        </w:rPr>
        <w:instrText>hoc aliquid:</w:instrText>
      </w:r>
      <w:r w:rsidR="08163013">
        <w:instrText xml:space="preserve">materie" </w:instrText>
      </w:r>
      <w:r w:rsidR="08163013">
        <w:rPr>
          <w:i/>
        </w:rPr>
        <w:fldChar w:fldCharType="end"/>
      </w:r>
      <w:r w:rsidR="08163013" w:rsidRPr="00273106">
        <w:t xml:space="preserve">), čili </w:t>
      </w:r>
      <w:r w:rsidR="08163013">
        <w:t xml:space="preserve">objektivně </w:t>
      </w:r>
      <w:r w:rsidR="08163013" w:rsidRPr="00273106">
        <w:t xml:space="preserve">určeným jsoucnem na způsob první substance. </w:t>
      </w:r>
      <w:r w:rsidR="08163013">
        <w:t>Pro první averroismus bylo toto objektivní pojetí materie jako jsoucna třetího druhu podle Bacona šílené a podle Alberta</w:t>
      </w:r>
      <w:r w:rsidR="08163013" w:rsidRPr="08A01755">
        <w:t xml:space="preserve"> </w:t>
      </w:r>
      <w:r w:rsidR="08163013">
        <w:t>směšné. Aristoteles</w:t>
      </w:r>
      <w:r w:rsidR="08163013" w:rsidRPr="00273106">
        <w:t xml:space="preserve"> dává </w:t>
      </w:r>
      <w:r w:rsidR="08163013">
        <w:t xml:space="preserve">materiální </w:t>
      </w:r>
      <w:r w:rsidR="08163013" w:rsidRPr="00273106">
        <w:t>určení jsoucna jako „toto zde“</w:t>
      </w:r>
      <w:r w:rsidR="08163013" w:rsidRPr="083863AA">
        <w:t xml:space="preserve"> </w:t>
      </w:r>
      <w:r w:rsidR="08163013" w:rsidRPr="00273106">
        <w:t>(τόδε τι</w:t>
      </w:r>
      <w:r w:rsidR="08163013">
        <w:fldChar w:fldCharType="begin"/>
      </w:r>
      <w:r w:rsidR="08163013">
        <w:instrText xml:space="preserve"> XE "</w:instrText>
      </w:r>
      <w:r w:rsidR="08163013" w:rsidRPr="00E373E1">
        <w:instrText>substance:τόδε τι</w:instrText>
      </w:r>
      <w:r w:rsidR="08163013">
        <w:instrText xml:space="preserve">" </w:instrText>
      </w:r>
      <w:r w:rsidR="08163013">
        <w:fldChar w:fldCharType="end"/>
      </w:r>
      <w:r w:rsidR="08163013" w:rsidRPr="00273106">
        <w:t xml:space="preserve">) pouze </w:t>
      </w:r>
      <w:r w:rsidR="08163013">
        <w:t xml:space="preserve">hyleformické </w:t>
      </w:r>
      <w:r w:rsidR="08163013" w:rsidRPr="00273106">
        <w:t xml:space="preserve">první substanci. </w:t>
      </w:r>
      <w:r w:rsidR="08163013" w:rsidRPr="00273106">
        <w:rPr>
          <w:iCs/>
        </w:rPr>
        <w:t xml:space="preserve">Materie </w:t>
      </w:r>
      <w:r w:rsidR="08163013">
        <w:rPr>
          <w:iCs/>
        </w:rPr>
        <w:t xml:space="preserve">vzatá </w:t>
      </w:r>
      <w:r w:rsidR="08163013" w:rsidRPr="00273106">
        <w:rPr>
          <w:iCs/>
        </w:rPr>
        <w:t xml:space="preserve">sama o </w:t>
      </w:r>
      <w:r w:rsidR="08163013">
        <w:rPr>
          <w:iCs/>
        </w:rPr>
        <w:t xml:space="preserve">sobě postrádá jakoukoliv formu, proto nemá způsob, jak by mohla existovat. Čistá potence nemá sama ze sebe žádné aktuální určení, protože je dána jako koncept pouze v mysli. Aristotelismus odmítá způsob „exsistence“ jsoucna u </w:t>
      </w:r>
      <w:r w:rsidR="08163013" w:rsidRPr="00273106">
        <w:rPr>
          <w:iCs/>
        </w:rPr>
        <w:t>moderní</w:t>
      </w:r>
      <w:r w:rsidR="08163013">
        <w:rPr>
          <w:iCs/>
        </w:rPr>
        <w:t>ch iluminátů</w:t>
      </w:r>
      <w:r w:rsidR="08163013">
        <w:rPr>
          <w:iCs/>
        </w:rPr>
        <w:fldChar w:fldCharType="begin"/>
      </w:r>
      <w:r w:rsidR="08163013">
        <w:instrText xml:space="preserve"> XE "</w:instrText>
      </w:r>
      <w:r w:rsidR="08163013" w:rsidRPr="00BD65D1">
        <w:instrText>ilumináti</w:instrText>
      </w:r>
      <w:r w:rsidR="08163013">
        <w:instrText xml:space="preserve">" </w:instrText>
      </w:r>
      <w:r w:rsidR="08163013">
        <w:rPr>
          <w:iCs/>
        </w:rPr>
        <w:fldChar w:fldCharType="end"/>
      </w:r>
      <w:r w:rsidR="08163013" w:rsidRPr="00273106">
        <w:rPr>
          <w:iCs/>
        </w:rPr>
        <w:t>, kteří přímo kontemplují svět</w:t>
      </w:r>
      <w:r w:rsidR="08163013">
        <w:rPr>
          <w:iCs/>
        </w:rPr>
        <w:t xml:space="preserve"> složený z objektivní materie a objektivně daných věcí</w:t>
      </w:r>
      <w:r w:rsidR="08163013" w:rsidRPr="00273106">
        <w:rPr>
          <w:iCs/>
        </w:rPr>
        <w:t>.</w:t>
      </w:r>
      <w:r w:rsidR="08163013" w:rsidRPr="08EA0994">
        <w:t xml:space="preserve"> </w:t>
      </w:r>
      <w:r w:rsidR="08163013">
        <w:t>Potence daná původně jako hypotetický koncept se skrze Oliviho dostala do antropocentrické konstrukce moderní metafyziky.</w:t>
      </w:r>
    </w:p>
    <w:p w:rsidR="08163013" w:rsidRDefault="00C44009" w:rsidP="08163013">
      <w:pPr>
        <w:pStyle w:val="Nadpis3"/>
      </w:pPr>
      <w:bookmarkStart w:id="72" w:name="_Toc36144157"/>
      <w:r>
        <w:br w:type="page"/>
      </w:r>
      <w:bookmarkStart w:id="73" w:name="_Toc180231669"/>
      <w:r w:rsidR="08163013">
        <w:lastRenderedPageBreak/>
        <w:t xml:space="preserve">5.1.2 </w:t>
      </w:r>
      <w:r w:rsidR="08163013" w:rsidRPr="00273106">
        <w:t xml:space="preserve">Vůle jako </w:t>
      </w:r>
      <w:r w:rsidR="08163013">
        <w:t xml:space="preserve">intimní kauza </w:t>
      </w:r>
      <w:r w:rsidR="08163013" w:rsidRPr="00273106">
        <w:t>třetího druhu</w:t>
      </w:r>
      <w:bookmarkEnd w:id="72"/>
      <w:bookmarkEnd w:id="73"/>
      <w:r w:rsidR="08163013">
        <w:t xml:space="preserve"> </w:t>
      </w:r>
    </w:p>
    <w:p w:rsidR="001C3148" w:rsidRDefault="00304276" w:rsidP="08163013">
      <w:r>
        <w:t>M</w:t>
      </w:r>
      <w:r w:rsidR="08163013">
        <w:t>oderní svět reálně neexistuje</w:t>
      </w:r>
      <w:r>
        <w:t xml:space="preserve">. </w:t>
      </w:r>
      <w:r w:rsidR="000D0EC9">
        <w:t>Z tohoto prostého důvodu musí m</w:t>
      </w:r>
      <w:r>
        <w:t xml:space="preserve">odernisté </w:t>
      </w:r>
      <w:r w:rsidR="08163013">
        <w:t xml:space="preserve">najít základ jeho bytí v aktu vůle </w:t>
      </w:r>
      <w:r w:rsidR="0886619D">
        <w:t xml:space="preserve">objektivně existujícího </w:t>
      </w:r>
      <w:r w:rsidR="08163013">
        <w:t>demiurga</w:t>
      </w:r>
      <w:r w:rsidR="0886619D">
        <w:t xml:space="preserve">. Jeho vůle </w:t>
      </w:r>
      <w:r w:rsidR="08163013">
        <w:t xml:space="preserve">tvoří </w:t>
      </w:r>
      <w:r w:rsidR="0886619D">
        <w:t xml:space="preserve">objektivní svět </w:t>
      </w:r>
      <w:r w:rsidR="08163013">
        <w:t xml:space="preserve">v mysli a </w:t>
      </w:r>
      <w:r w:rsidR="0886619D">
        <w:t xml:space="preserve">pak jej realizuje </w:t>
      </w:r>
      <w:r w:rsidR="0052755F">
        <w:t>v externí činnosti prováděné</w:t>
      </w:r>
      <w:r w:rsidR="0886619D">
        <w:t xml:space="preserve"> </w:t>
      </w:r>
      <w:r w:rsidR="08163013">
        <w:t xml:space="preserve">v modu </w:t>
      </w:r>
      <w:r w:rsidR="08163013" w:rsidRPr="086034A8">
        <w:rPr>
          <w:i/>
        </w:rPr>
        <w:t>ex nihilo</w:t>
      </w:r>
      <w:r w:rsidR="08163013">
        <w:t xml:space="preserve">. </w:t>
      </w:r>
      <w:r w:rsidR="00114158" w:rsidRPr="00114158">
        <w:t>Tímto aktem demiurgické tvorby se vůle stala nejdůležitější</w:t>
      </w:r>
      <w:r w:rsidR="00114158">
        <w:t xml:space="preserve">m </w:t>
      </w:r>
      <w:r w:rsidR="006565D8" w:rsidRPr="00766DD3">
        <w:rPr>
          <w:i/>
        </w:rPr>
        <w:t>tertium ens</w:t>
      </w:r>
      <w:r w:rsidR="006565D8">
        <w:rPr>
          <w:i/>
        </w:rPr>
        <w:t xml:space="preserve"> </w:t>
      </w:r>
      <w:r w:rsidR="00114158">
        <w:t>v moderně</w:t>
      </w:r>
      <w:r w:rsidR="00114158" w:rsidRPr="00114158">
        <w:t xml:space="preserve">. </w:t>
      </w:r>
      <w:r w:rsidR="08163013">
        <w:t>Vůle se skrze tento akt demiurgického tvo</w:t>
      </w:r>
      <w:r w:rsidR="08326D31">
        <w:t>ření jsoucna třetího druhu stala novou první substancí a v této podobě přešla</w:t>
      </w:r>
      <w:r w:rsidR="08163013">
        <w:t xml:space="preserve"> do základu moderní metafyziky. </w:t>
      </w:r>
      <w:r w:rsidR="006F0CE7">
        <w:t xml:space="preserve">Moderní vůle je zásadně spojena s materiálním intelektem, který Olivi napojil </w:t>
      </w:r>
      <w:r w:rsidR="08163013">
        <w:t xml:space="preserve">na rezervoár </w:t>
      </w:r>
      <w:r w:rsidR="00962190" w:rsidRPr="006F0CE7">
        <w:t>species</w:t>
      </w:r>
      <w:r w:rsidR="08163013">
        <w:t xml:space="preserve"> třetího druhu uložených v</w:t>
      </w:r>
      <w:r w:rsidR="006F0CE7">
        <w:t> </w:t>
      </w:r>
      <w:r w:rsidR="08163013">
        <w:t>paměti</w:t>
      </w:r>
      <w:r w:rsidR="006F0CE7">
        <w:t xml:space="preserve">. </w:t>
      </w:r>
      <w:r w:rsidR="006D02C5">
        <w:t>Oliviho komentář k Sentencím narouboval k</w:t>
      </w:r>
      <w:r w:rsidR="08163013">
        <w:t xml:space="preserve">oncept objektivního </w:t>
      </w:r>
      <w:r w:rsidR="004B36DC">
        <w:t xml:space="preserve">jsoucna </w:t>
      </w:r>
      <w:r w:rsidR="08163013">
        <w:t>pojatý v</w:t>
      </w:r>
      <w:r w:rsidR="004B36DC">
        <w:t xml:space="preserve"> nihilistickém </w:t>
      </w:r>
      <w:r w:rsidR="08163013">
        <w:t xml:space="preserve">modu </w:t>
      </w:r>
      <w:r w:rsidR="004B36DC">
        <w:t>„</w:t>
      </w:r>
      <w:r w:rsidR="08163013">
        <w:rPr>
          <w:i/>
        </w:rPr>
        <w:t>non repug</w:t>
      </w:r>
      <w:r w:rsidR="08163013" w:rsidRPr="00312622">
        <w:rPr>
          <w:i/>
        </w:rPr>
        <w:t>n</w:t>
      </w:r>
      <w:r w:rsidR="08163013">
        <w:rPr>
          <w:i/>
        </w:rPr>
        <w:t>a</w:t>
      </w:r>
      <w:r w:rsidR="08163013" w:rsidRPr="00312622">
        <w:rPr>
          <w:i/>
        </w:rPr>
        <w:t>t esse</w:t>
      </w:r>
      <w:r w:rsidR="004B36DC">
        <w:t>“</w:t>
      </w:r>
      <w:r w:rsidR="08163013">
        <w:rPr>
          <w:i/>
        </w:rPr>
        <w:fldChar w:fldCharType="begin"/>
      </w:r>
      <w:r w:rsidR="08163013">
        <w:instrText xml:space="preserve"> XE "substance:</w:instrText>
      </w:r>
      <w:r w:rsidR="08163013" w:rsidRPr="00D44ACB">
        <w:rPr>
          <w:i/>
        </w:rPr>
        <w:instrText>non repugnat esse</w:instrText>
      </w:r>
      <w:r w:rsidR="08163013">
        <w:instrText xml:space="preserve">" </w:instrText>
      </w:r>
      <w:r w:rsidR="08163013">
        <w:rPr>
          <w:i/>
        </w:rPr>
        <w:fldChar w:fldCharType="end"/>
      </w:r>
      <w:r w:rsidR="08163013">
        <w:t xml:space="preserve"> na </w:t>
      </w:r>
      <w:r w:rsidR="000E49A9">
        <w:t xml:space="preserve">substanciálně pojatou </w:t>
      </w:r>
      <w:r w:rsidR="08163013">
        <w:t>vůl</w:t>
      </w:r>
      <w:r w:rsidR="000E49A9">
        <w:t>i</w:t>
      </w:r>
      <w:r w:rsidR="08163013">
        <w:t xml:space="preserve">. To byla zásadní změna v prostředí </w:t>
      </w:r>
      <w:r w:rsidR="00FB3BA9" w:rsidRPr="00435ACC">
        <w:rPr>
          <w:i/>
        </w:rPr>
        <w:t>via Modernorum</w:t>
      </w:r>
      <w:r w:rsidR="00AE6A00">
        <w:t>. Po z</w:t>
      </w:r>
      <w:r w:rsidR="08163013">
        <w:t>měně</w:t>
      </w:r>
      <w:r w:rsidR="00AE6A00">
        <w:t xml:space="preserve">né definici </w:t>
      </w:r>
      <w:r w:rsidR="08163013">
        <w:t xml:space="preserve">pravdy </w:t>
      </w:r>
      <w:r w:rsidR="00AE6A00">
        <w:t>modernisté nově definovali</w:t>
      </w:r>
      <w:r w:rsidR="08163013">
        <w:t xml:space="preserve"> i jejího nositele (</w:t>
      </w:r>
      <w:r w:rsidR="08163013" w:rsidRPr="0862272B">
        <w:rPr>
          <w:i/>
        </w:rPr>
        <w:t>subiectum</w:t>
      </w:r>
      <w:r w:rsidR="08163013">
        <w:t xml:space="preserve">). </w:t>
      </w:r>
      <w:r w:rsidR="08163013" w:rsidRPr="00273106">
        <w:t>Anselm</w:t>
      </w:r>
      <w:r w:rsidR="00CC36B3">
        <w:t xml:space="preserve"> určil vůli</w:t>
      </w:r>
      <w:r w:rsidR="08163013">
        <w:t xml:space="preserve"> v </w:t>
      </w:r>
      <w:r w:rsidR="08163013" w:rsidRPr="00273106">
        <w:t xml:space="preserve">pojednání </w:t>
      </w:r>
      <w:r w:rsidR="08163013" w:rsidRPr="00273106">
        <w:rPr>
          <w:i/>
        </w:rPr>
        <w:t>De voluntate</w:t>
      </w:r>
      <w:r w:rsidR="08163013">
        <w:t xml:space="preserve"> </w:t>
      </w:r>
      <w:r w:rsidR="00CC36B3">
        <w:t xml:space="preserve">podle </w:t>
      </w:r>
      <w:r w:rsidR="08163013">
        <w:t>klasické</w:t>
      </w:r>
      <w:r w:rsidR="00CC36B3">
        <w:t xml:space="preserve">ho vzoru </w:t>
      </w:r>
      <w:r w:rsidR="08163013" w:rsidRPr="00273106">
        <w:t>jako schopnosti k něčemu (</w:t>
      </w:r>
      <w:r w:rsidR="08163013" w:rsidRPr="00273106">
        <w:rPr>
          <w:i/>
        </w:rPr>
        <w:t xml:space="preserve">potestas, aptitudo </w:t>
      </w:r>
      <w:proofErr w:type="gramStart"/>
      <w:r w:rsidR="08163013" w:rsidRPr="00273106">
        <w:rPr>
          <w:i/>
        </w:rPr>
        <w:t>ad</w:t>
      </w:r>
      <w:proofErr w:type="gramEnd"/>
      <w:r w:rsidR="08D30AF7">
        <w:t>; OBJ II, kap. 1</w:t>
      </w:r>
      <w:r w:rsidR="00F34D6F">
        <w:t>.2). T</w:t>
      </w:r>
      <w:r w:rsidR="08163013">
        <w:t xml:space="preserve">ato schopnost vychází </w:t>
      </w:r>
      <w:r w:rsidR="08163013" w:rsidRPr="00273106">
        <w:t>z jednání</w:t>
      </w:r>
      <w:r w:rsidR="08C51DB6">
        <w:t xml:space="preserve"> osoby, </w:t>
      </w:r>
      <w:r w:rsidR="08163013">
        <w:t>a nikoliv</w:t>
      </w:r>
      <w:r w:rsidR="08163013" w:rsidRPr="00273106">
        <w:t xml:space="preserve"> z</w:t>
      </w:r>
      <w:r w:rsidR="08163013">
        <w:t xml:space="preserve"> </w:t>
      </w:r>
      <w:r w:rsidR="08163013" w:rsidRPr="00273106">
        <w:t>esence vůle</w:t>
      </w:r>
      <w:r w:rsidR="08163013">
        <w:t xml:space="preserve"> (</w:t>
      </w:r>
      <w:r w:rsidR="08163013" w:rsidRPr="00216E62">
        <w:rPr>
          <w:i/>
        </w:rPr>
        <w:t>secundum usum, non secundum proprietatem potestatis</w:t>
      </w:r>
      <w:r w:rsidR="08163013">
        <w:t>)</w:t>
      </w:r>
      <w:r w:rsidR="08163013" w:rsidRPr="00273106">
        <w:t>.</w:t>
      </w:r>
      <w:r w:rsidR="08163013" w:rsidRPr="00273106">
        <w:rPr>
          <w:rStyle w:val="Znakapoznpodarou"/>
        </w:rPr>
        <w:footnoteReference w:id="364"/>
      </w:r>
      <w:r w:rsidR="08163013" w:rsidRPr="00273106">
        <w:t xml:space="preserve"> Olivi u</w:t>
      </w:r>
      <w:r w:rsidR="08163013">
        <w:t xml:space="preserve">pravil Anselmovo pojetí </w:t>
      </w:r>
      <w:r w:rsidR="08163013" w:rsidRPr="00273106">
        <w:t xml:space="preserve">vůle jako </w:t>
      </w:r>
      <w:r w:rsidR="08163013">
        <w:t xml:space="preserve">aktivní </w:t>
      </w:r>
      <w:r w:rsidR="08163013" w:rsidRPr="00273106">
        <w:t>schopnost</w:t>
      </w:r>
      <w:r w:rsidR="08163013">
        <w:t>i duše (</w:t>
      </w:r>
      <w:r w:rsidR="08163013" w:rsidRPr="00DF025A">
        <w:rPr>
          <w:i/>
        </w:rPr>
        <w:t>usus</w:t>
      </w:r>
      <w:r w:rsidR="08163013">
        <w:t xml:space="preserve">) tak, že svobodnou vůli definoval jako nové jsoucno třetího druhu. Použil k tomu Augustinovu dialektiku </w:t>
      </w:r>
      <w:r w:rsidR="00406581">
        <w:t>„</w:t>
      </w:r>
      <w:r w:rsidR="08163013" w:rsidRPr="08671EA9">
        <w:rPr>
          <w:i/>
        </w:rPr>
        <w:t>uti</w:t>
      </w:r>
      <w:r w:rsidR="00406581">
        <w:t xml:space="preserve"> </w:t>
      </w:r>
      <w:r w:rsidR="00406581" w:rsidRPr="00406581">
        <w:rPr>
          <w:i/>
        </w:rPr>
        <w:t>et</w:t>
      </w:r>
      <w:r w:rsidR="08163013">
        <w:t xml:space="preserve"> </w:t>
      </w:r>
      <w:r w:rsidR="08163013" w:rsidRPr="08671EA9">
        <w:rPr>
          <w:i/>
        </w:rPr>
        <w:t>frui</w:t>
      </w:r>
      <w:r w:rsidR="00406581">
        <w:t>“</w:t>
      </w:r>
      <w:r w:rsidR="08163013" w:rsidRPr="00273106">
        <w:t xml:space="preserve">. Bonaventura a jeho škola </w:t>
      </w:r>
      <w:r w:rsidR="08163013" w:rsidRPr="00FC285D">
        <w:rPr>
          <w:i/>
        </w:rPr>
        <w:t>Modernorum</w:t>
      </w:r>
      <w:r w:rsidR="08163013">
        <w:t xml:space="preserve"> hypostázovala v modu substance</w:t>
      </w:r>
      <w:r w:rsidR="08163013">
        <w:fldChar w:fldCharType="begin"/>
      </w:r>
      <w:r w:rsidR="08163013">
        <w:instrText xml:space="preserve"> XE "</w:instrText>
      </w:r>
      <w:r w:rsidR="08163013" w:rsidRPr="00DE2A32">
        <w:instrText>substance</w:instrText>
      </w:r>
      <w:r w:rsidR="08163013">
        <w:instrText xml:space="preserve">:moderna" </w:instrText>
      </w:r>
      <w:r w:rsidR="08163013">
        <w:fldChar w:fldCharType="end"/>
      </w:r>
      <w:r w:rsidR="08163013">
        <w:t xml:space="preserve"> lidskou</w:t>
      </w:r>
      <w:r w:rsidR="08163013" w:rsidRPr="00273106">
        <w:t xml:space="preserve"> intelekt</w:t>
      </w:r>
      <w:r w:rsidR="08163013">
        <w:t>uální duši, ale ne vůli. Přidání další hypostázované formy k moderní kolektě substancí mytopoeticky zvané „člověk“ vedlo k zásadnímu rozkolu mezi Olivim a františkánskou školou v Paříži. Moderní sofisté měli a mají co dělat, aby spojili do jednoty osoby dvě substance, natož tři</w:t>
      </w:r>
      <w:r w:rsidR="08163013" w:rsidRPr="00273106">
        <w:t>.</w:t>
      </w:r>
      <w:r w:rsidR="001C3148">
        <w:t xml:space="preserve"> </w:t>
      </w:r>
      <w:r w:rsidR="08163013">
        <w:t>Ale Olivi byl geniální a velmi tvrdohlavý modernista, proto založil volun</w:t>
      </w:r>
      <w:r w:rsidR="001C3148">
        <w:t>taristický subjekt Západu.</w:t>
      </w:r>
    </w:p>
    <w:p w:rsidR="08163013" w:rsidRDefault="08163013" w:rsidP="001C3148">
      <w:pPr>
        <w:ind w:firstLine="397"/>
      </w:pPr>
      <w:r>
        <w:t xml:space="preserve">Objektivizace vůle proběhla v několika krocích a základní změna se týkala pojetí habitu. Tento akcident původně určoval vlastnosti osoby jako </w:t>
      </w:r>
      <w:r w:rsidR="08FF4F9D">
        <w:t xml:space="preserve">aristotelské </w:t>
      </w:r>
      <w:r>
        <w:t xml:space="preserve">substance. Olivi jej předělal na esenci, což poprvé provedl Simplikius a po něm Bonaventura </w:t>
      </w:r>
      <w:r w:rsidR="00EF11FB">
        <w:t xml:space="preserve">skrze </w:t>
      </w:r>
      <w:r>
        <w:t>termín</w:t>
      </w:r>
      <w:r w:rsidR="00EF11FB">
        <w:t>y</w:t>
      </w:r>
      <w:r>
        <w:t xml:space="preserve"> </w:t>
      </w:r>
      <w:r w:rsidR="00EF11FB">
        <w:t>„</w:t>
      </w:r>
      <w:r w:rsidRPr="00273106">
        <w:rPr>
          <w:i/>
        </w:rPr>
        <w:t>habitus innatus</w:t>
      </w:r>
      <w:r w:rsidR="00EF11FB">
        <w:t>“</w:t>
      </w:r>
      <w:r>
        <w:fldChar w:fldCharType="begin"/>
      </w:r>
      <w:r>
        <w:instrText xml:space="preserve"> XE "habitus" </w:instrText>
      </w:r>
      <w:r>
        <w:fldChar w:fldCharType="end"/>
      </w:r>
      <w:r>
        <w:t xml:space="preserve"> a </w:t>
      </w:r>
      <w:r w:rsidR="00EF11FB">
        <w:t>„</w:t>
      </w:r>
      <w:r w:rsidRPr="00273106">
        <w:rPr>
          <w:i/>
        </w:rPr>
        <w:t>habitus acquisitus</w:t>
      </w:r>
      <w:r w:rsidR="00EF11FB">
        <w:t>“</w:t>
      </w:r>
      <w:r>
        <w:rPr>
          <w:i/>
        </w:rPr>
        <w:t xml:space="preserve"> </w:t>
      </w:r>
      <w:r w:rsidRPr="08497B5E">
        <w:t>(</w:t>
      </w:r>
      <w:r>
        <w:t>ka</w:t>
      </w:r>
      <w:r w:rsidR="08FF4F9D">
        <w:t>p. 4</w:t>
      </w:r>
      <w:r>
        <w:t>.1.2). Svoboda stala habitem vůle a tento hypostázovaný habitus zakládá esenci vůle</w:t>
      </w:r>
      <w:r w:rsidR="009A4772">
        <w:t xml:space="preserve"> jako nové formy substance</w:t>
      </w:r>
      <w:r w:rsidRPr="00273106">
        <w:t>.</w:t>
      </w:r>
    </w:p>
    <w:p w:rsidR="08163013" w:rsidRDefault="08163013" w:rsidP="08163013">
      <w:pPr>
        <w:pStyle w:val="Citace"/>
        <w:rPr>
          <w:lang w:val="cs-CZ"/>
        </w:rPr>
      </w:pPr>
      <w:r>
        <w:rPr>
          <w:rStyle w:val="TextpoznpodarouChar"/>
        </w:rPr>
        <w:lastRenderedPageBreak/>
        <w:t>„</w:t>
      </w:r>
      <w:r>
        <w:rPr>
          <w:rStyle w:val="TextpoznpodarouChar"/>
          <w:lang w:val="cs-CZ"/>
        </w:rPr>
        <w:t>Anselm tvrdí, že vůli uvádí v pohyb pouze její habitus, neboli afekty (</w:t>
      </w:r>
      <w:r w:rsidRPr="00F92D1C">
        <w:rPr>
          <w:rStyle w:val="TextpoznpodarouChar"/>
          <w:i/>
        </w:rPr>
        <w:t>voluntas non movet se nisi per suos habitus seu affectiones</w:t>
      </w:r>
      <w:r>
        <w:rPr>
          <w:rStyle w:val="TextpoznpodarouChar"/>
          <w:lang w:val="cs-CZ"/>
        </w:rPr>
        <w:t>). Pod pojmem 'habitus' je třeba rozumět nejen vlastnosti přidané zvnějšku (</w:t>
      </w:r>
      <w:r w:rsidRPr="00F92D1C">
        <w:rPr>
          <w:rStyle w:val="TextpoznpodarouChar"/>
          <w:i/>
        </w:rPr>
        <w:t>habitus superadditos</w:t>
      </w:r>
      <w:r>
        <w:rPr>
          <w:rStyle w:val="TextpoznpodarouChar"/>
          <w:lang w:val="cs-CZ"/>
        </w:rPr>
        <w:t>), al</w:t>
      </w:r>
      <w:r w:rsidR="00820456">
        <w:rPr>
          <w:rStyle w:val="TextpoznpodarouChar"/>
          <w:lang w:val="cs-CZ"/>
        </w:rPr>
        <w:t>e také samotnou podstatu svobodné</w:t>
      </w:r>
      <w:r>
        <w:rPr>
          <w:rStyle w:val="TextpoznpodarouChar"/>
          <w:lang w:val="cs-CZ"/>
        </w:rPr>
        <w:t xml:space="preserve"> vůle </w:t>
      </w:r>
      <w:r w:rsidRPr="00273106">
        <w:t>(</w:t>
      </w:r>
      <w:r w:rsidRPr="00273106">
        <w:rPr>
          <w:rStyle w:val="TextpoznpodarouChar"/>
          <w:i/>
        </w:rPr>
        <w:t>ipsam essentiam libertatis</w:t>
      </w:r>
      <w:r w:rsidRPr="00273106">
        <w:t>)</w:t>
      </w:r>
      <w:r>
        <w:rPr>
          <w:rStyle w:val="TextpoznpodarouChar"/>
          <w:lang w:val="cs-CZ"/>
        </w:rPr>
        <w:t>. V tomto modu determinované habituality je vůle přirozeně zaměřena na objekty, které mají podobnou přirozenost (</w:t>
      </w:r>
      <w:r w:rsidRPr="002D2C15">
        <w:rPr>
          <w:rStyle w:val="TextpoznpodarouChar"/>
          <w:i/>
        </w:rPr>
        <w:t>obiecta sibi connaturalia</w:t>
      </w:r>
      <w:r>
        <w:rPr>
          <w:rStyle w:val="TextpoznpodarouChar"/>
          <w:lang w:val="cs-CZ"/>
        </w:rPr>
        <w:t xml:space="preserve">). Ale k tomuto habituálnímu pojetí vůle je třeba přidat mnohá upřesnění.“ </w:t>
      </w:r>
      <w:r w:rsidRPr="00273106">
        <w:rPr>
          <w:rStyle w:val="Znakapoznpodarou"/>
        </w:rPr>
        <w:footnoteReference w:id="365"/>
      </w:r>
    </w:p>
    <w:p w:rsidR="006B6A94" w:rsidRDefault="08163013" w:rsidP="08163013">
      <w:r w:rsidRPr="00273106">
        <w:t>Lidská svoboda je aktuální příčinou každého chtění, protože má skrze rozumnou vůli plnost aktuality. Vůle je sama v sobě vrcholně aktuální a zároveň plně v potenci vzhl</w:t>
      </w:r>
      <w:r>
        <w:t>edem k budoucímu jednání. Kvestie</w:t>
      </w:r>
      <w:r w:rsidRPr="00273106">
        <w:t xml:space="preserve"> 57 se přímo odvolává na Anselmovo pojetí pravdy jako </w:t>
      </w:r>
      <w:r w:rsidRPr="00273106">
        <w:rPr>
          <w:i/>
        </w:rPr>
        <w:t>rectitudo</w:t>
      </w:r>
      <w:r w:rsidRPr="00273106">
        <w:t>, aby zdůvodnil</w:t>
      </w:r>
      <w:r>
        <w:t>a</w:t>
      </w:r>
      <w:r w:rsidRPr="00273106">
        <w:t xml:space="preserve"> ipseitu vůle jako autonomně subsistující formy (</w:t>
      </w:r>
      <w:r w:rsidRPr="00273106">
        <w:rPr>
          <w:i/>
        </w:rPr>
        <w:t>voluntatem ut ipsis informatam</w:t>
      </w:r>
      <w:r w:rsidRPr="00273106">
        <w:t>).</w:t>
      </w:r>
      <w:r w:rsidRPr="00273106">
        <w:rPr>
          <w:rStyle w:val="Znakapoznpodarou"/>
        </w:rPr>
        <w:footnoteReference w:id="366"/>
      </w:r>
      <w:r w:rsidRPr="00273106">
        <w:t xml:space="preserve"> Olivi překročil obzor </w:t>
      </w:r>
      <w:r>
        <w:t xml:space="preserve">neoplatonského </w:t>
      </w:r>
      <w:r w:rsidRPr="00273106">
        <w:t xml:space="preserve">Anselma a učinil z vůle oddělené od zvířecího chtění autonomní </w:t>
      </w:r>
      <w:r>
        <w:t xml:space="preserve">esenci </w:t>
      </w:r>
      <w:r w:rsidRPr="00273106">
        <w:t>třetího druhu</w:t>
      </w:r>
      <w:r>
        <w:t xml:space="preserve"> danou ipseitně. Vůle dostala nové vlastnosti jsoucna třetího druhu, které předtím měl pouze objektivizovaný intelekt. Olivi pojímá stejně jako druhý averroismus nasvícení jsoucna zezadu od esenciálně pojatých schopností duše. Vůle a intelekt jsou determinovány v modu </w:t>
      </w:r>
      <w:r w:rsidRPr="00930396">
        <w:rPr>
          <w:i/>
        </w:rPr>
        <w:t>Oxfordian Fallacy</w:t>
      </w:r>
      <w:r>
        <w:rPr>
          <w:i/>
        </w:rPr>
        <w:fldChar w:fldCharType="begin"/>
      </w:r>
      <w:r>
        <w:instrText xml:space="preserve"> XE "</w:instrText>
      </w:r>
      <w:r w:rsidRPr="0015798D">
        <w:rPr>
          <w:i/>
        </w:rPr>
        <w:instrText>Oxfordian Fallacy:</w:instrText>
      </w:r>
      <w:r w:rsidRPr="00380636">
        <w:instrText>Olivi</w:instrText>
      </w:r>
      <w:r>
        <w:instrText xml:space="preserve">" </w:instrText>
      </w:r>
      <w:r>
        <w:rPr>
          <w:i/>
        </w:rPr>
        <w:fldChar w:fldCharType="end"/>
      </w:r>
      <w:r>
        <w:t xml:space="preserve"> jako kauzálně účinné hypostáze či specifické esence „exsistující“ v </w:t>
      </w:r>
      <w:r w:rsidRPr="00273106">
        <w:t xml:space="preserve">imanentní aktualitě. </w:t>
      </w:r>
      <w:r>
        <w:t xml:space="preserve">Klíčovou roli hraje termín </w:t>
      </w:r>
      <w:r w:rsidR="004B7254">
        <w:t>„</w:t>
      </w:r>
      <w:r>
        <w:t>esenciální potence</w:t>
      </w:r>
      <w:r w:rsidR="004B7254">
        <w:t>“</w:t>
      </w:r>
      <w:r>
        <w:t xml:space="preserve"> (</w:t>
      </w:r>
      <w:r w:rsidRPr="006C6A2A">
        <w:rPr>
          <w:i/>
        </w:rPr>
        <w:t>essentia potentialis</w:t>
      </w:r>
      <w:r>
        <w:t>), který je upravený pro k</w:t>
      </w:r>
      <w:r w:rsidR="006B6A94">
        <w:t>auzální působení svobodné vůle.</w:t>
      </w:r>
    </w:p>
    <w:p w:rsidR="08163013" w:rsidRPr="00273106" w:rsidRDefault="08163013" w:rsidP="00C51E56">
      <w:pPr>
        <w:ind w:firstLine="397"/>
      </w:pPr>
      <w:r>
        <w:t>V</w:t>
      </w:r>
      <w:r w:rsidRPr="00273106">
        <w:t xml:space="preserve">raťme se ke Grossetesteho škole sepisující </w:t>
      </w:r>
      <w:r>
        <w:t xml:space="preserve">po roce 1265 </w:t>
      </w:r>
      <w:r w:rsidRPr="00273106">
        <w:t xml:space="preserve">dílo </w:t>
      </w:r>
      <w:r w:rsidRPr="00273106">
        <w:rPr>
          <w:i/>
        </w:rPr>
        <w:t>Summa philosophiae</w:t>
      </w:r>
      <w:r w:rsidRPr="00273106">
        <w:t>, kde se nachází jedno z prvních objektivních pojetí jsoucna</w:t>
      </w:r>
      <w:r w:rsidR="001037C2">
        <w:t xml:space="preserve"> </w:t>
      </w:r>
      <w:r w:rsidR="001037C2" w:rsidRPr="00273106">
        <w:t>(</w:t>
      </w:r>
      <w:r w:rsidR="001037C2">
        <w:t>OBJ II, kap. 3</w:t>
      </w:r>
      <w:r w:rsidR="001037C2" w:rsidRPr="00273106">
        <w:t>.1.3)</w:t>
      </w:r>
      <w:r w:rsidR="0850348D">
        <w:t>. T</w:t>
      </w:r>
      <w:r w:rsidR="001037C2">
        <w:t xml:space="preserve">ehdy </w:t>
      </w:r>
      <w:r w:rsidR="00520353">
        <w:t xml:space="preserve">došlo k </w:t>
      </w:r>
      <w:r w:rsidR="001037C2">
        <w:t xml:space="preserve">první </w:t>
      </w:r>
      <w:r>
        <w:t>fúz</w:t>
      </w:r>
      <w:r w:rsidR="00520353">
        <w:t>i</w:t>
      </w:r>
      <w:r>
        <w:t xml:space="preserve"> pařížského tomismu a oxfords</w:t>
      </w:r>
      <w:r w:rsidR="001037C2">
        <w:t>kého univerzálního hylemorfismu</w:t>
      </w:r>
      <w:r w:rsidR="002C29AC">
        <w:t xml:space="preserve">. </w:t>
      </w:r>
      <w:r w:rsidRPr="00273106">
        <w:t xml:space="preserve">Dílo </w:t>
      </w:r>
      <w:r w:rsidRPr="00273106">
        <w:rPr>
          <w:i/>
        </w:rPr>
        <w:t>Summa philosophiae</w:t>
      </w:r>
      <w:r w:rsidRPr="00273106">
        <w:t xml:space="preserve"> používalo termín </w:t>
      </w:r>
      <w:r w:rsidR="00200E74">
        <w:t>„</w:t>
      </w:r>
      <w:r w:rsidRPr="00273106">
        <w:rPr>
          <w:i/>
          <w:iCs/>
        </w:rPr>
        <w:t>potentia essentialis</w:t>
      </w:r>
      <w:r w:rsidR="00200E74">
        <w:rPr>
          <w:iCs/>
        </w:rPr>
        <w:t>“</w:t>
      </w:r>
      <w:r w:rsidRPr="00273106">
        <w:t xml:space="preserve">, který </w:t>
      </w:r>
      <w:r>
        <w:t xml:space="preserve">aristotelsky </w:t>
      </w:r>
      <w:r w:rsidRPr="00273106">
        <w:t xml:space="preserve">připisovalo přirozeně daným vlastnostem prvních substancí. </w:t>
      </w:r>
      <w:r w:rsidRPr="00273106">
        <w:rPr>
          <w:iCs/>
        </w:rPr>
        <w:t>Například kámen padá dolů, protože potence k pádu je daná přirozeně</w:t>
      </w:r>
      <w:r>
        <w:rPr>
          <w:iCs/>
        </w:rPr>
        <w:t xml:space="preserve"> v samotné substanci věci</w:t>
      </w:r>
      <w:r w:rsidRPr="00273106">
        <w:rPr>
          <w:iCs/>
        </w:rPr>
        <w:t xml:space="preserve">. </w:t>
      </w:r>
      <w:r>
        <w:rPr>
          <w:iCs/>
        </w:rPr>
        <w:t xml:space="preserve">Olivi v následující dekádě </w:t>
      </w:r>
      <w:r w:rsidRPr="00273106">
        <w:t>přenesl fyzikální</w:t>
      </w:r>
      <w:r>
        <w:t xml:space="preserve"> </w:t>
      </w:r>
      <w:r w:rsidRPr="00273106">
        <w:t xml:space="preserve">pojetí </w:t>
      </w:r>
      <w:r w:rsidRPr="00273106">
        <w:rPr>
          <w:i/>
          <w:iCs/>
        </w:rPr>
        <w:t xml:space="preserve">potentia essentialis </w:t>
      </w:r>
      <w:r>
        <w:rPr>
          <w:iCs/>
        </w:rPr>
        <w:t xml:space="preserve">na stejně přirozeně danou svobodnou vůli, která </w:t>
      </w:r>
      <w:r>
        <w:t xml:space="preserve">objektivně a </w:t>
      </w:r>
      <w:r>
        <w:lastRenderedPageBreak/>
        <w:t>univerzálně</w:t>
      </w:r>
      <w:r w:rsidRPr="00273106">
        <w:t xml:space="preserve"> determinuje chtění </w:t>
      </w:r>
      <w:r>
        <w:t>v</w:t>
      </w:r>
      <w:r w:rsidR="00E165DF">
        <w:t xml:space="preserve"> podobně založené </w:t>
      </w:r>
      <w:r w:rsidRPr="00273106">
        <w:t xml:space="preserve">potenci. </w:t>
      </w:r>
      <w:r>
        <w:t>Metaforic</w:t>
      </w:r>
      <w:r w:rsidR="00CB03EC">
        <w:t xml:space="preserve">ký přenos přirozených vlastností fyzikálního </w:t>
      </w:r>
      <w:r w:rsidR="002F17D4">
        <w:t xml:space="preserve">tělesa jako hyparchické </w:t>
      </w:r>
      <w:r>
        <w:t xml:space="preserve">substance na svobodnou vůli jako substanci třetího druhu zahájil epochální působení západního subjektu. Hypostázovaná vůle dostala přirozenost z Aristotelovy </w:t>
      </w:r>
      <w:r w:rsidRPr="081426D2">
        <w:rPr>
          <w:i/>
        </w:rPr>
        <w:t>Fyziky</w:t>
      </w:r>
      <w:r>
        <w:t xml:space="preserve"> v rámci univočně pojatých </w:t>
      </w:r>
      <w:r w:rsidR="00962190" w:rsidRPr="00C51E56">
        <w:t>species</w:t>
      </w:r>
      <w:r>
        <w:t xml:space="preserve">, protože moderna tato </w:t>
      </w:r>
      <w:r w:rsidR="00962190" w:rsidRPr="00C51E56">
        <w:t>species</w:t>
      </w:r>
      <w:r>
        <w:t xml:space="preserve"> volně přenáší ve formě univočního </w:t>
      </w:r>
      <w:r w:rsidRPr="009C59B4">
        <w:rPr>
          <w:i/>
        </w:rPr>
        <w:t>scibile</w:t>
      </w:r>
      <w:r>
        <w:t xml:space="preserve"> z jednoho rodu n</w:t>
      </w:r>
      <w:r w:rsidR="00C51E56">
        <w:t xml:space="preserve">a druhý. Habituálně určená vůle jako </w:t>
      </w:r>
      <w:r>
        <w:t>substance dostala kauzalitu v rámci aristotelského schématu</w:t>
      </w:r>
      <w:r>
        <w:fldChar w:fldCharType="begin"/>
      </w:r>
      <w:r>
        <w:instrText xml:space="preserve"> XE "</w:instrText>
      </w:r>
      <w:r w:rsidRPr="005823CD">
        <w:instrText>habitus</w:instrText>
      </w:r>
      <w:r>
        <w:instrText xml:space="preserve">" </w:instrText>
      </w:r>
      <w:r>
        <w:fldChar w:fldCharType="end"/>
      </w:r>
      <w:r>
        <w:t>. Olivi zrušil intelektuální schéma d</w:t>
      </w:r>
      <w:r w:rsidR="00C51E56">
        <w:t xml:space="preserve">eterminace vůle směrem od intelektu. </w:t>
      </w:r>
      <w:r w:rsidR="00C51E56" w:rsidRPr="00C51E56">
        <w:t xml:space="preserve">Klasický aristotelismus uplatňoval v modu </w:t>
      </w:r>
      <w:r w:rsidR="00C51E56" w:rsidRPr="00C51E56">
        <w:rPr>
          <w:i/>
        </w:rPr>
        <w:t>extensio</w:t>
      </w:r>
      <w:r w:rsidR="00C51E56" w:rsidRPr="00C51E56">
        <w:t xml:space="preserve"> činnosti spekulativního intelektu, který dosah</w:t>
      </w:r>
      <w:r w:rsidR="00C51E56">
        <w:t xml:space="preserve">oval kauzálních účinků v realitě </w:t>
      </w:r>
      <w:r w:rsidR="00C51E56" w:rsidRPr="00C51E56">
        <w:t xml:space="preserve">prostřednictvím </w:t>
      </w:r>
      <w:r w:rsidR="00C51E56" w:rsidRPr="00C51E56">
        <w:rPr>
          <w:i/>
        </w:rPr>
        <w:t>intellectus practicus</w:t>
      </w:r>
      <w:r w:rsidR="00C51E56" w:rsidRPr="00C51E56">
        <w:t xml:space="preserve">. </w:t>
      </w:r>
      <w:r w:rsidRPr="00273106">
        <w:rPr>
          <w:iCs/>
        </w:rPr>
        <w:t xml:space="preserve">První averroismus </w:t>
      </w:r>
      <w:r>
        <w:rPr>
          <w:iCs/>
        </w:rPr>
        <w:t>háj</w:t>
      </w:r>
      <w:r w:rsidR="009C7198">
        <w:rPr>
          <w:iCs/>
        </w:rPr>
        <w:t>il</w:t>
      </w:r>
      <w:r>
        <w:rPr>
          <w:iCs/>
        </w:rPr>
        <w:t xml:space="preserve"> i</w:t>
      </w:r>
      <w:r w:rsidRPr="00273106">
        <w:t>ntelekt</w:t>
      </w:r>
      <w:r>
        <w:t>uální pojetí vůle</w:t>
      </w:r>
      <w:r w:rsidRPr="009638CE">
        <w:t xml:space="preserve"> </w:t>
      </w:r>
      <w:r>
        <w:t xml:space="preserve">podle </w:t>
      </w:r>
      <w:r>
        <w:rPr>
          <w:i/>
        </w:rPr>
        <w:t>Etiky</w:t>
      </w:r>
      <w:r w:rsidRPr="08094F93">
        <w:rPr>
          <w:i/>
        </w:rPr>
        <w:t xml:space="preserve"> Nikomachov</w:t>
      </w:r>
      <w:r>
        <w:rPr>
          <w:i/>
        </w:rPr>
        <w:t>y</w:t>
      </w:r>
      <w:r>
        <w:t xml:space="preserve"> (kniha III, VI). A</w:t>
      </w:r>
      <w:r w:rsidRPr="00273106">
        <w:t xml:space="preserve">ristotelské určení vůle </w:t>
      </w:r>
      <w:r>
        <w:t xml:space="preserve">patří do aktu </w:t>
      </w:r>
      <w:r w:rsidRPr="00273106">
        <w:t>záměrné volby (προαίρεσις,</w:t>
      </w:r>
      <w:r>
        <w:t xml:space="preserve"> </w:t>
      </w:r>
      <w:r w:rsidRPr="008F6ECC">
        <w:rPr>
          <w:i/>
        </w:rPr>
        <w:t>electio</w:t>
      </w:r>
      <w:r w:rsidRPr="00273106">
        <w:t xml:space="preserve">) dané </w:t>
      </w:r>
      <w:r>
        <w:t xml:space="preserve">volní </w:t>
      </w:r>
      <w:r w:rsidRPr="00273106">
        <w:t xml:space="preserve">aktualizací </w:t>
      </w:r>
      <w:r>
        <w:t xml:space="preserve">poznávací </w:t>
      </w:r>
      <w:proofErr w:type="gramStart"/>
      <w:r w:rsidRPr="00273106">
        <w:t>potence</w:t>
      </w:r>
      <w:r>
        <w:t xml:space="preserve"> </w:t>
      </w:r>
      <w:r w:rsidRPr="00273106">
        <w:t>(E.N.</w:t>
      </w:r>
      <w:proofErr w:type="gramEnd"/>
      <w:r w:rsidRPr="00273106">
        <w:t xml:space="preserve"> 1151a29‒35</w:t>
      </w:r>
      <w:r>
        <w:fldChar w:fldCharType="begin"/>
      </w:r>
      <w:r>
        <w:instrText xml:space="preserve"> XE "Aristoteles:</w:instrText>
      </w:r>
      <w:r w:rsidRPr="00E90947">
        <w:instrText>E.N. 1151a29‒35</w:instrText>
      </w:r>
      <w:r>
        <w:instrText xml:space="preserve">" </w:instrText>
      </w:r>
      <w:r>
        <w:fldChar w:fldCharType="end"/>
      </w:r>
      <w:r w:rsidRPr="00273106">
        <w:t>).</w:t>
      </w:r>
      <w:r>
        <w:t xml:space="preserve"> Vůle chce jen dobro poznané a předložené rozumem</w:t>
      </w:r>
      <w:r w:rsidRPr="00273106">
        <w:rPr>
          <w:iCs/>
        </w:rPr>
        <w:t>.</w:t>
      </w:r>
      <w:r>
        <w:rPr>
          <w:iCs/>
        </w:rPr>
        <w:t xml:space="preserve"> </w:t>
      </w:r>
      <w:r>
        <w:t xml:space="preserve">Teoretický intelekt podle Aristotela určuje cíl jednání a praktický intelekt tento poznaný cíl aktivně uchopuje jako předmět chtění (νοῦς δὲ ὁ ἕνεκά του λογιζόμενος καὶ ὁ πρακτικός; </w:t>
      </w:r>
      <w:r w:rsidRPr="000331E2">
        <w:rPr>
          <w:i/>
        </w:rPr>
        <w:t>De anima</w:t>
      </w:r>
      <w:r>
        <w:t xml:space="preserve"> 433a14</w:t>
      </w:r>
      <w:r>
        <w:fldChar w:fldCharType="begin"/>
      </w:r>
      <w:r>
        <w:instrText xml:space="preserve"> XE "Aristoteles:</w:instrText>
      </w:r>
      <w:r w:rsidRPr="005C3318">
        <w:rPr>
          <w:i/>
        </w:rPr>
        <w:instrText>De anima</w:instrText>
      </w:r>
      <w:r w:rsidRPr="005C3318">
        <w:instrText xml:space="preserve"> 433a14</w:instrText>
      </w:r>
      <w:r>
        <w:instrText xml:space="preserve">" </w:instrText>
      </w:r>
      <w:r>
        <w:fldChar w:fldCharType="end"/>
      </w:r>
      <w:r>
        <w:t xml:space="preserve">). </w:t>
      </w:r>
      <w:r>
        <w:rPr>
          <w:iCs/>
        </w:rPr>
        <w:t xml:space="preserve">Teoretický </w:t>
      </w:r>
      <w:r>
        <w:rPr>
          <w:rStyle w:val="addmd"/>
        </w:rPr>
        <w:t>intelekt tímto rozšířením stává praktickým (</w:t>
      </w:r>
      <w:r w:rsidRPr="00226D2F">
        <w:rPr>
          <w:i/>
        </w:rPr>
        <w:t>intellectus</w:t>
      </w:r>
      <w:r>
        <w:rPr>
          <w:i/>
        </w:rPr>
        <w:t xml:space="preserve"> </w:t>
      </w:r>
      <w:r w:rsidRPr="00226D2F">
        <w:rPr>
          <w:i/>
        </w:rPr>
        <w:t>extensione fit practicus</w:t>
      </w:r>
      <w:r>
        <w:t>)</w:t>
      </w:r>
      <w:r>
        <w:rPr>
          <w:i/>
        </w:rPr>
        <w:fldChar w:fldCharType="begin"/>
      </w:r>
      <w:r>
        <w:instrText xml:space="preserve"> XE "intelekt:</w:instrText>
      </w:r>
      <w:r w:rsidRPr="000614C2">
        <w:rPr>
          <w:i/>
        </w:rPr>
        <w:instrText>extensione fit practicus</w:instrText>
      </w:r>
      <w:r>
        <w:instrText xml:space="preserve">" </w:instrText>
      </w:r>
      <w:r>
        <w:rPr>
          <w:i/>
        </w:rPr>
        <w:fldChar w:fldCharType="end"/>
      </w:r>
      <w:r>
        <w:t xml:space="preserve"> a tato teze determinuje jak v prvním tak ve druhém averroismu spojení teoretického a praktického intelektu.</w:t>
      </w:r>
      <w:r>
        <w:rPr>
          <w:rStyle w:val="Znakapoznpodarou"/>
        </w:rPr>
        <w:footnoteReference w:id="367"/>
      </w:r>
      <w:r>
        <w:t xml:space="preserve"> Vůle převádí univerzalitu rozumu do konkrétní kauzální účinnosti v realitě</w:t>
      </w:r>
      <w:r>
        <w:rPr>
          <w:i/>
        </w:rPr>
        <w:fldChar w:fldCharType="begin"/>
      </w:r>
      <w:r>
        <w:instrText xml:space="preserve"> XE "intelekt:</w:instrText>
      </w:r>
      <w:r w:rsidRPr="000614C2">
        <w:rPr>
          <w:i/>
        </w:rPr>
        <w:instrText>extensione fit practicus</w:instrText>
      </w:r>
      <w:r>
        <w:instrText xml:space="preserve">" </w:instrText>
      </w:r>
      <w:r>
        <w:rPr>
          <w:i/>
        </w:rPr>
        <w:fldChar w:fldCharType="end"/>
      </w:r>
      <w:r>
        <w:t xml:space="preserve">. Proto je </w:t>
      </w:r>
      <w:r w:rsidRPr="00BA6AF3">
        <w:rPr>
          <w:i/>
        </w:rPr>
        <w:t>intellectus practicus</w:t>
      </w:r>
      <w:r>
        <w:rPr>
          <w:i/>
        </w:rPr>
        <w:fldChar w:fldCharType="begin"/>
      </w:r>
      <w:r>
        <w:instrText xml:space="preserve"> XE "</w:instrText>
      </w:r>
      <w:r w:rsidRPr="001A1255">
        <w:rPr>
          <w:i/>
        </w:rPr>
        <w:instrText>intellectus practicus</w:instrText>
      </w:r>
      <w:r>
        <w:instrText xml:space="preserve">" </w:instrText>
      </w:r>
      <w:r>
        <w:rPr>
          <w:i/>
        </w:rPr>
        <w:fldChar w:fldCharType="end"/>
      </w:r>
      <w:r>
        <w:t xml:space="preserve"> zaměřený v modu volitivní </w:t>
      </w:r>
      <w:r w:rsidRPr="08077C23">
        <w:rPr>
          <w:i/>
        </w:rPr>
        <w:t>causa ef</w:t>
      </w:r>
      <w:r>
        <w:rPr>
          <w:i/>
        </w:rPr>
        <w:t>f</w:t>
      </w:r>
      <w:r w:rsidRPr="08077C23">
        <w:rPr>
          <w:i/>
        </w:rPr>
        <w:t>iciens</w:t>
      </w:r>
      <w:r>
        <w:t xml:space="preserve"> do reality singulárních prvních substancí, kde produkuje singulární chtění a činy. Teoretický rozum je praktický v realitě díky univerzálnímu poznání realizovatelného dobra pro nás, které chce osobní vůle angažovaná zde a nyní v singulárním jednání. Aristotelská definice praktického intelektu bude hrát po roce 1300 zásadní roli v debatách ohledně politickéh</w:t>
      </w:r>
      <w:r w:rsidR="081D04A0">
        <w:t>o uspořádání společnosti (kap. 6</w:t>
      </w:r>
      <w:r>
        <w:t xml:space="preserve">.1). Oliviho scénář svobodné vůle bere aristotelskou definici </w:t>
      </w:r>
      <w:r w:rsidRPr="00273106">
        <w:t xml:space="preserve">až do druhé fáze </w:t>
      </w:r>
      <w:r w:rsidRPr="08DF0ED5">
        <w:rPr>
          <w:i/>
        </w:rPr>
        <w:t>electio</w:t>
      </w:r>
      <w:r>
        <w:t xml:space="preserve">, kdy je vůle už konkrétně determinovaná </w:t>
      </w:r>
      <w:r w:rsidRPr="00273106">
        <w:t>určitým předmětem</w:t>
      </w:r>
      <w:r>
        <w:t xml:space="preserve">. </w:t>
      </w:r>
      <w:r>
        <w:rPr>
          <w:iCs/>
        </w:rPr>
        <w:t xml:space="preserve">Olivi </w:t>
      </w:r>
      <w:r w:rsidR="00700E5E">
        <w:rPr>
          <w:iCs/>
        </w:rPr>
        <w:t>z</w:t>
      </w:r>
      <w:r>
        <w:rPr>
          <w:iCs/>
        </w:rPr>
        <w:t>měn</w:t>
      </w:r>
      <w:r w:rsidR="00700E5E">
        <w:rPr>
          <w:iCs/>
        </w:rPr>
        <w:t>il</w:t>
      </w:r>
      <w:r>
        <w:rPr>
          <w:iCs/>
        </w:rPr>
        <w:t xml:space="preserve"> aristotelské schéma intelektuální </w:t>
      </w:r>
      <w:r w:rsidR="00700E5E">
        <w:rPr>
          <w:iCs/>
        </w:rPr>
        <w:t>determinace vůle tak, že postavil</w:t>
      </w:r>
      <w:r>
        <w:rPr>
          <w:iCs/>
        </w:rPr>
        <w:t xml:space="preserve"> na prvn</w:t>
      </w:r>
      <w:r w:rsidR="00367B67">
        <w:rPr>
          <w:iCs/>
        </w:rPr>
        <w:t xml:space="preserve">í místo </w:t>
      </w:r>
      <w:r w:rsidR="00367B67">
        <w:rPr>
          <w:iCs/>
        </w:rPr>
        <w:lastRenderedPageBreak/>
        <w:t xml:space="preserve">substančně pojatou vůli, tedy určenou </w:t>
      </w:r>
      <w:r>
        <w:rPr>
          <w:iCs/>
        </w:rPr>
        <w:t xml:space="preserve">mimo rozumovou determinaci. </w:t>
      </w:r>
      <w:r w:rsidRPr="00273106">
        <w:t xml:space="preserve">Původní aristotelský scénář </w:t>
      </w:r>
      <w:r w:rsidR="00EE1464">
        <w:t>se měnil</w:t>
      </w:r>
      <w:r>
        <w:t xml:space="preserve"> na </w:t>
      </w:r>
      <w:r w:rsidRPr="00273106">
        <w:t xml:space="preserve">podobu </w:t>
      </w:r>
      <w:r>
        <w:t xml:space="preserve">moderní hypostázované vůle jako jsoucna třetího druhu určeného v rámci </w:t>
      </w:r>
      <w:r w:rsidRPr="00273106">
        <w:rPr>
          <w:i/>
        </w:rPr>
        <w:t>potentia essentialis</w:t>
      </w:r>
      <w:r>
        <w:rPr>
          <w:i/>
          <w:iCs/>
        </w:rPr>
        <w:fldChar w:fldCharType="begin"/>
      </w:r>
      <w:r>
        <w:instrText xml:space="preserve"> XE "</w:instrText>
      </w:r>
      <w:r w:rsidRPr="003C711B">
        <w:rPr>
          <w:i/>
          <w:iCs/>
        </w:rPr>
        <w:instrText>potentia essentialis</w:instrText>
      </w:r>
      <w:r>
        <w:instrText xml:space="preserve">" </w:instrText>
      </w:r>
      <w:r>
        <w:rPr>
          <w:i/>
          <w:iCs/>
        </w:rPr>
        <w:fldChar w:fldCharType="end"/>
      </w:r>
      <w:r w:rsidRPr="00273106">
        <w:t>.</w:t>
      </w:r>
      <w:r w:rsidRPr="08927345">
        <w:rPr>
          <w:iCs/>
        </w:rPr>
        <w:t xml:space="preserve"> </w:t>
      </w:r>
    </w:p>
    <w:p w:rsidR="08163013" w:rsidRPr="008B07BC" w:rsidRDefault="08163013" w:rsidP="08163013">
      <w:pPr>
        <w:pStyle w:val="Citace"/>
        <w:rPr>
          <w:noProof/>
        </w:rPr>
      </w:pPr>
      <w:r w:rsidRPr="008B07BC">
        <w:t>„</w:t>
      </w:r>
      <w:r>
        <w:rPr>
          <w:lang w:val="cs-CZ"/>
        </w:rPr>
        <w:t>C</w:t>
      </w:r>
      <w:r>
        <w:t>htění je akt</w:t>
      </w:r>
      <w:r>
        <w:rPr>
          <w:lang w:val="cs-CZ"/>
        </w:rPr>
        <w:t xml:space="preserve"> </w:t>
      </w:r>
      <w:r>
        <w:t>završu</w:t>
      </w:r>
      <w:r>
        <w:rPr>
          <w:lang w:val="cs-CZ"/>
        </w:rPr>
        <w:t>jící</w:t>
      </w:r>
      <w:r w:rsidRPr="008B07BC">
        <w:t xml:space="preserve"> </w:t>
      </w:r>
      <w:r>
        <w:rPr>
          <w:lang w:val="cs-CZ"/>
        </w:rPr>
        <w:t>schopnost chtění. P</w:t>
      </w:r>
      <w:r>
        <w:t>řed</w:t>
      </w:r>
      <w:r>
        <w:rPr>
          <w:lang w:val="cs-CZ"/>
        </w:rPr>
        <w:t xml:space="preserve"> </w:t>
      </w:r>
      <w:r>
        <w:t>tím</w:t>
      </w:r>
      <w:r>
        <w:rPr>
          <w:lang w:val="cs-CZ"/>
        </w:rPr>
        <w:t>to aktem</w:t>
      </w:r>
      <w:r>
        <w:t xml:space="preserve"> byla vůle v </w:t>
      </w:r>
      <w:r w:rsidRPr="008B07BC">
        <w:t xml:space="preserve">esenciální potenci </w:t>
      </w:r>
      <w:r>
        <w:rPr>
          <w:lang w:val="cs-CZ"/>
        </w:rPr>
        <w:t>(</w:t>
      </w:r>
      <w:r w:rsidRPr="08DF321B">
        <w:rPr>
          <w:i/>
        </w:rPr>
        <w:t>ita ante ipsum erat in potentia etiam es</w:t>
      </w:r>
      <w:r w:rsidRPr="08DF321B">
        <w:rPr>
          <w:i/>
        </w:rPr>
        <w:softHyphen/>
        <w:t>sentiali</w:t>
      </w:r>
      <w:r>
        <w:rPr>
          <w:lang w:val="cs-CZ"/>
        </w:rPr>
        <w:t xml:space="preserve">) </w:t>
      </w:r>
      <w:r w:rsidR="00112E46">
        <w:rPr>
          <w:lang w:val="cs-CZ"/>
        </w:rPr>
        <w:t xml:space="preserve">jako perfekci, kterou vůle </w:t>
      </w:r>
      <w:r>
        <w:rPr>
          <w:lang w:val="cs-CZ"/>
        </w:rPr>
        <w:t xml:space="preserve">obsahuje </w:t>
      </w:r>
      <w:r w:rsidR="00112E46">
        <w:rPr>
          <w:lang w:val="cs-CZ"/>
        </w:rPr>
        <w:t xml:space="preserve">sama v sobě </w:t>
      </w:r>
      <w:r>
        <w:rPr>
          <w:lang w:val="cs-CZ"/>
        </w:rPr>
        <w:t>(</w:t>
      </w:r>
      <w:r w:rsidRPr="085A6ADB">
        <w:rPr>
          <w:i/>
        </w:rPr>
        <w:t>ad hanc perfectionem in se recipiendam</w:t>
      </w:r>
      <w:r>
        <w:rPr>
          <w:lang w:val="cs-CZ"/>
        </w:rPr>
        <w:t>)</w:t>
      </w:r>
      <w:r w:rsidRPr="008B07BC">
        <w:t xml:space="preserve">. </w:t>
      </w:r>
      <w:r w:rsidR="00F7285D">
        <w:rPr>
          <w:lang w:val="cs-CZ"/>
        </w:rPr>
        <w:t>Toto určení</w:t>
      </w:r>
      <w:r>
        <w:rPr>
          <w:lang w:val="cs-CZ"/>
        </w:rPr>
        <w:t xml:space="preserve">, i když údajně </w:t>
      </w:r>
      <w:r>
        <w:t xml:space="preserve">pochází </w:t>
      </w:r>
      <w:r w:rsidRPr="008B07BC">
        <w:t xml:space="preserve">od Aristotela, </w:t>
      </w:r>
      <w:r>
        <w:rPr>
          <w:lang w:val="cs-CZ"/>
        </w:rPr>
        <w:t xml:space="preserve">u něj není dáno v tomto </w:t>
      </w:r>
      <w:r>
        <w:t>smyslu</w:t>
      </w:r>
      <w:r w:rsidRPr="008B07BC">
        <w:t xml:space="preserve">.“ </w:t>
      </w:r>
      <w:r>
        <w:rPr>
          <w:rStyle w:val="Znakapoznpodarou"/>
          <w:iCs/>
        </w:rPr>
        <w:footnoteReference w:id="368"/>
      </w:r>
    </w:p>
    <w:p w:rsidR="00FE228D" w:rsidRDefault="08163013" w:rsidP="08163013">
      <w:pPr>
        <w:rPr>
          <w:iCs/>
        </w:rPr>
      </w:pPr>
      <w:r>
        <w:rPr>
          <w:iCs/>
        </w:rPr>
        <w:t xml:space="preserve">Akt chtění je pojat tak, že </w:t>
      </w:r>
      <w:r w:rsidR="00CC7485">
        <w:rPr>
          <w:iCs/>
        </w:rPr>
        <w:t xml:space="preserve">že vůle jako hypostázovaná potence </w:t>
      </w:r>
      <w:r w:rsidRPr="00273106">
        <w:rPr>
          <w:iCs/>
        </w:rPr>
        <w:t xml:space="preserve">je </w:t>
      </w:r>
      <w:r>
        <w:rPr>
          <w:iCs/>
        </w:rPr>
        <w:t xml:space="preserve">nejprve </w:t>
      </w:r>
      <w:r w:rsidRPr="00273106">
        <w:rPr>
          <w:iCs/>
        </w:rPr>
        <w:t xml:space="preserve">vzata sama v sobě jako čistá esenciální možnost </w:t>
      </w:r>
      <w:r w:rsidRPr="00273106">
        <w:t>(</w:t>
      </w:r>
      <w:r w:rsidRPr="00273106">
        <w:rPr>
          <w:i/>
        </w:rPr>
        <w:t>in potentia etiam es</w:t>
      </w:r>
      <w:r w:rsidRPr="00273106">
        <w:rPr>
          <w:i/>
        </w:rPr>
        <w:softHyphen/>
        <w:t>sentiali</w:t>
      </w:r>
      <w:r w:rsidRPr="00273106">
        <w:t>)</w:t>
      </w:r>
      <w:r w:rsidRPr="00273106">
        <w:rPr>
          <w:iCs/>
        </w:rPr>
        <w:t xml:space="preserve">. </w:t>
      </w:r>
      <w:r w:rsidR="0083382A">
        <w:rPr>
          <w:iCs/>
        </w:rPr>
        <w:t>Vůle předchází aktivní chtění</w:t>
      </w:r>
      <w:r w:rsidR="0083382A" w:rsidRPr="0083382A">
        <w:rPr>
          <w:iCs/>
        </w:rPr>
        <w:t>. V žádném případě se nejedná o potenci</w:t>
      </w:r>
      <w:r w:rsidR="0083382A">
        <w:rPr>
          <w:iCs/>
        </w:rPr>
        <w:t xml:space="preserve"> duše</w:t>
      </w:r>
      <w:r w:rsidR="0083382A" w:rsidRPr="0083382A">
        <w:rPr>
          <w:iCs/>
        </w:rPr>
        <w:t xml:space="preserve">, ale o velmi specifické </w:t>
      </w:r>
      <w:r w:rsidR="0083382A" w:rsidRPr="0083382A">
        <w:rPr>
          <w:i/>
          <w:iCs/>
        </w:rPr>
        <w:t>tertium ens</w:t>
      </w:r>
      <w:r w:rsidR="0083382A" w:rsidRPr="0083382A">
        <w:rPr>
          <w:iCs/>
        </w:rPr>
        <w:t xml:space="preserve">, které je druhem substance, jež je </w:t>
      </w:r>
      <w:r w:rsidR="0083382A">
        <w:rPr>
          <w:iCs/>
        </w:rPr>
        <w:t xml:space="preserve">navíc </w:t>
      </w:r>
      <w:r w:rsidR="0083382A" w:rsidRPr="0083382A">
        <w:rPr>
          <w:iCs/>
        </w:rPr>
        <w:t xml:space="preserve">dána v modu existenciální ipseity </w:t>
      </w:r>
      <w:r>
        <w:rPr>
          <w:iCs/>
        </w:rPr>
        <w:t>(</w:t>
      </w:r>
      <w:r w:rsidRPr="00273106">
        <w:rPr>
          <w:i/>
        </w:rPr>
        <w:t>ad hanc perfectionem in se recipiendam</w:t>
      </w:r>
      <w:r>
        <w:rPr>
          <w:iCs/>
        </w:rPr>
        <w:t xml:space="preserve">). Termín </w:t>
      </w:r>
      <w:r w:rsidR="00BB5CEE">
        <w:rPr>
          <w:iCs/>
        </w:rPr>
        <w:t>„</w:t>
      </w:r>
      <w:r w:rsidRPr="00273106">
        <w:rPr>
          <w:i/>
        </w:rPr>
        <w:t>ad hanc perfectionem</w:t>
      </w:r>
      <w:r w:rsidR="00BB5CEE">
        <w:t>“</w:t>
      </w:r>
      <w:r w:rsidRPr="00273106">
        <w:t xml:space="preserve"> </w:t>
      </w:r>
      <w:r>
        <w:t xml:space="preserve">obsahuje další </w:t>
      </w:r>
      <w:r w:rsidRPr="00273106">
        <w:rPr>
          <w:iCs/>
        </w:rPr>
        <w:t>novátor</w:t>
      </w:r>
      <w:r>
        <w:rPr>
          <w:iCs/>
        </w:rPr>
        <w:t xml:space="preserve">ské použití relačního principu </w:t>
      </w:r>
      <w:r w:rsidRPr="00273106">
        <w:rPr>
          <w:i/>
          <w:iCs/>
        </w:rPr>
        <w:t>esse ad</w:t>
      </w:r>
      <w:r>
        <w:rPr>
          <w:i/>
          <w:iCs/>
        </w:rPr>
        <w:fldChar w:fldCharType="begin"/>
      </w:r>
      <w:r>
        <w:instrText xml:space="preserve"> XE "</w:instrText>
      </w:r>
      <w:r w:rsidRPr="008F3381">
        <w:rPr>
          <w:i/>
        </w:rPr>
        <w:instrText>esse ad:</w:instrText>
      </w:r>
      <w:r w:rsidRPr="00F54C93">
        <w:instrText>Olivi</w:instrText>
      </w:r>
      <w:r>
        <w:instrText xml:space="preserve">" </w:instrText>
      </w:r>
      <w:r>
        <w:rPr>
          <w:i/>
          <w:iCs/>
        </w:rPr>
        <w:fldChar w:fldCharType="end"/>
      </w:r>
      <w:r>
        <w:rPr>
          <w:iCs/>
        </w:rPr>
        <w:t>, které známe od Simplikia a které n</w:t>
      </w:r>
      <w:r w:rsidR="00DB6407">
        <w:rPr>
          <w:iCs/>
        </w:rPr>
        <w:t>ově upravil</w:t>
      </w:r>
      <w:r w:rsidR="081D04A0">
        <w:rPr>
          <w:iCs/>
        </w:rPr>
        <w:t xml:space="preserve"> Henry z </w:t>
      </w:r>
      <w:proofErr w:type="gramStart"/>
      <w:r w:rsidR="081D04A0">
        <w:rPr>
          <w:iCs/>
        </w:rPr>
        <w:t>Gentu</w:t>
      </w:r>
      <w:proofErr w:type="gramEnd"/>
      <w:r w:rsidR="081D04A0">
        <w:rPr>
          <w:iCs/>
        </w:rPr>
        <w:t xml:space="preserve"> (kap. 5</w:t>
      </w:r>
      <w:r>
        <w:rPr>
          <w:iCs/>
        </w:rPr>
        <w:t>.2.3)</w:t>
      </w:r>
      <w:r w:rsidRPr="00273106">
        <w:rPr>
          <w:iCs/>
        </w:rPr>
        <w:t xml:space="preserve">. </w:t>
      </w:r>
      <w:r>
        <w:rPr>
          <w:iCs/>
        </w:rPr>
        <w:t>Aristotelské pojetí vůle přestalo platit, protože citát otočil</w:t>
      </w:r>
      <w:r w:rsidRPr="00273106">
        <w:rPr>
          <w:iCs/>
        </w:rPr>
        <w:t xml:space="preserve"> celé schéma naruby</w:t>
      </w:r>
      <w:r>
        <w:rPr>
          <w:iCs/>
        </w:rPr>
        <w:t xml:space="preserve"> </w:t>
      </w:r>
      <w:r w:rsidRPr="00273106">
        <w:rPr>
          <w:iCs/>
        </w:rPr>
        <w:t>(</w:t>
      </w:r>
      <w:r w:rsidRPr="00273106">
        <w:rPr>
          <w:i/>
        </w:rPr>
        <w:t>non fuit data in hoc respectu</w:t>
      </w:r>
      <w:r w:rsidRPr="00273106">
        <w:rPr>
          <w:iCs/>
        </w:rPr>
        <w:t xml:space="preserve">). </w:t>
      </w:r>
      <w:r>
        <w:rPr>
          <w:iCs/>
        </w:rPr>
        <w:t xml:space="preserve">Tím přestala platit struktura jednání podle </w:t>
      </w:r>
      <w:r w:rsidRPr="081426D2">
        <w:rPr>
          <w:i/>
          <w:iCs/>
        </w:rPr>
        <w:t>Etiky Nikomachovy</w:t>
      </w:r>
      <w:r>
        <w:rPr>
          <w:iCs/>
        </w:rPr>
        <w:t xml:space="preserve">, která determinuje vůli v základním stavu pouze jako potenci, což pochopitelně platí i pro intelekt jako </w:t>
      </w:r>
      <w:r w:rsidRPr="08927345">
        <w:rPr>
          <w:i/>
          <w:iCs/>
        </w:rPr>
        <w:t>tabula rasa</w:t>
      </w:r>
      <w:r>
        <w:rPr>
          <w:i/>
          <w:iCs/>
        </w:rPr>
        <w:fldChar w:fldCharType="begin"/>
      </w:r>
      <w:r>
        <w:instrText xml:space="preserve"> XE "</w:instrText>
      </w:r>
      <w:r w:rsidRPr="08D9566E">
        <w:rPr>
          <w:i/>
          <w:iCs/>
        </w:rPr>
        <w:instrText>tabula rasa</w:instrText>
      </w:r>
      <w:r>
        <w:instrText xml:space="preserve">" </w:instrText>
      </w:r>
      <w:r>
        <w:rPr>
          <w:i/>
          <w:iCs/>
        </w:rPr>
        <w:fldChar w:fldCharType="end"/>
      </w:r>
      <w:r w:rsidR="00280D50">
        <w:rPr>
          <w:iCs/>
        </w:rPr>
        <w:t>. Aristotelská vůle je rozumná tím, že je orientována v modu „</w:t>
      </w:r>
      <w:r w:rsidR="00280D50" w:rsidRPr="085C7214">
        <w:rPr>
          <w:i/>
          <w:iCs/>
        </w:rPr>
        <w:t>esse ad</w:t>
      </w:r>
      <w:r w:rsidR="00280D50">
        <w:rPr>
          <w:iCs/>
        </w:rPr>
        <w:t xml:space="preserve">“ </w:t>
      </w:r>
      <w:proofErr w:type="gramStart"/>
      <w:r w:rsidR="00280D50">
        <w:rPr>
          <w:iCs/>
        </w:rPr>
        <w:t>směrem</w:t>
      </w:r>
      <w:proofErr w:type="gramEnd"/>
      <w:r w:rsidR="00280D50">
        <w:rPr>
          <w:iCs/>
        </w:rPr>
        <w:t xml:space="preserve"> k intelektu, který jí ukazuje příslušné si</w:t>
      </w:r>
      <w:r w:rsidR="002D5131">
        <w:rPr>
          <w:iCs/>
        </w:rPr>
        <w:t>n</w:t>
      </w:r>
      <w:r w:rsidR="00280D50">
        <w:rPr>
          <w:iCs/>
        </w:rPr>
        <w:t>gulární dobro. Praktický rozum a</w:t>
      </w:r>
      <w:r w:rsidR="00280D50" w:rsidRPr="00273106">
        <w:rPr>
          <w:iCs/>
        </w:rPr>
        <w:t>ktualizuje vůli</w:t>
      </w:r>
      <w:r w:rsidR="00280D50">
        <w:rPr>
          <w:iCs/>
        </w:rPr>
        <w:t xml:space="preserve"> jako schopnost duše. Vůle toto poznané singulární dobro uchopí a kauzálně uvede do reality skrze tělo, které vůle determinuje k jednání. Praktický intelekt je proto rozumně determinovaná vůle. Co vůli chybí na univerzalitě, to je nahrazeno singulárním </w:t>
      </w:r>
      <w:r w:rsidR="004F02EF">
        <w:rPr>
          <w:iCs/>
        </w:rPr>
        <w:t xml:space="preserve">jejím </w:t>
      </w:r>
      <w:r w:rsidR="00280D50">
        <w:rPr>
          <w:iCs/>
        </w:rPr>
        <w:t xml:space="preserve">účinkem v realitě, což teoretický rozum nemůže udělat. Proto je v klasické metafyzice vůle nástrojem intelektu. </w:t>
      </w:r>
      <w:r w:rsidR="007B567D" w:rsidRPr="007B567D">
        <w:rPr>
          <w:iCs/>
        </w:rPr>
        <w:t xml:space="preserve">Olivi definoval vůli </w:t>
      </w:r>
      <w:r w:rsidR="007B567D">
        <w:rPr>
          <w:iCs/>
        </w:rPr>
        <w:t>jako trvalou a autonomní hypostá</w:t>
      </w:r>
      <w:r w:rsidR="007B567D" w:rsidRPr="007B567D">
        <w:rPr>
          <w:iCs/>
        </w:rPr>
        <w:t>zi, která působí mimo oblast rozumu.</w:t>
      </w:r>
      <w:r w:rsidR="007B567D">
        <w:rPr>
          <w:iCs/>
        </w:rPr>
        <w:t xml:space="preserve"> K</w:t>
      </w:r>
      <w:r>
        <w:rPr>
          <w:iCs/>
        </w:rPr>
        <w:t xml:space="preserve">ontigentní chtění jen akcidentálně završuje její apriorní subsistenci </w:t>
      </w:r>
      <w:r w:rsidRPr="08F55C3B">
        <w:t>(</w:t>
      </w:r>
      <w:r w:rsidRPr="08F55C3B">
        <w:rPr>
          <w:i/>
        </w:rPr>
        <w:t>actus qui est velle</w:t>
      </w:r>
      <w:r w:rsidRPr="08F55C3B">
        <w:t xml:space="preserve">). </w:t>
      </w:r>
      <w:r w:rsidR="00F102FB" w:rsidRPr="00F102FB">
        <w:t>Pře</w:t>
      </w:r>
      <w:r w:rsidR="00F102FB">
        <w:t>chod od přirozeně dané „</w:t>
      </w:r>
      <w:proofErr w:type="gramStart"/>
      <w:r w:rsidR="00F102FB">
        <w:t>potence</w:t>
      </w:r>
      <w:proofErr w:type="gramEnd"/>
      <w:r w:rsidR="00F102FB">
        <w:t>–</w:t>
      </w:r>
      <w:proofErr w:type="gramStart"/>
      <w:r w:rsidR="00F102FB">
        <w:t>substance</w:t>
      </w:r>
      <w:proofErr w:type="gramEnd"/>
      <w:r w:rsidR="00F102FB">
        <w:t>“</w:t>
      </w:r>
      <w:r w:rsidR="00F102FB" w:rsidRPr="00F102FB">
        <w:t xml:space="preserve"> k její</w:t>
      </w:r>
      <w:r w:rsidR="00F102FB">
        <w:t>mu</w:t>
      </w:r>
      <w:r w:rsidR="00F102FB" w:rsidRPr="00F102FB">
        <w:t xml:space="preserve"> nově určené aktuáln</w:t>
      </w:r>
      <w:r w:rsidR="00F102FB">
        <w:t xml:space="preserve">ímu chtění </w:t>
      </w:r>
      <w:r w:rsidR="00F102FB" w:rsidRPr="00F102FB">
        <w:t>završuje apriorně dano</w:t>
      </w:r>
      <w:r w:rsidR="00F102FB">
        <w:t xml:space="preserve">u hypostatizovanou povahu vůle </w:t>
      </w:r>
      <w:r>
        <w:rPr>
          <w:iCs/>
        </w:rPr>
        <w:t>(</w:t>
      </w:r>
      <w:r w:rsidRPr="00273106">
        <w:rPr>
          <w:i/>
          <w:iCs/>
        </w:rPr>
        <w:t>perfectio ipsius potentiae</w:t>
      </w:r>
      <w:r w:rsidR="00FE228D">
        <w:rPr>
          <w:iCs/>
        </w:rPr>
        <w:t>).</w:t>
      </w:r>
    </w:p>
    <w:p w:rsidR="00610FF1" w:rsidRDefault="00F102FB" w:rsidP="00610FF1">
      <w:pPr>
        <w:ind w:firstLine="397"/>
        <w:rPr>
          <w:iCs/>
        </w:rPr>
      </w:pPr>
      <w:r>
        <w:rPr>
          <w:iCs/>
        </w:rPr>
        <w:lastRenderedPageBreak/>
        <w:t>Nové schéma vůle je z hlediska aristotelismu plná paranoia. Olivi dal vůli jako další iracionální substanci duše a upravil neplatonský scénář „</w:t>
      </w:r>
      <w:r w:rsidRPr="00F102FB">
        <w:rPr>
          <w:i/>
          <w:iCs/>
        </w:rPr>
        <w:t>esse ad</w:t>
      </w:r>
      <w:r>
        <w:rPr>
          <w:iCs/>
        </w:rPr>
        <w:t>“ do absurdní podoby. Substanční vůle odloučená od intelektu má vlastní „</w:t>
      </w:r>
      <w:r w:rsidRPr="00F102FB">
        <w:rPr>
          <w:i/>
          <w:iCs/>
        </w:rPr>
        <w:t>esse in</w:t>
      </w:r>
      <w:r>
        <w:rPr>
          <w:iCs/>
        </w:rPr>
        <w:t xml:space="preserve">“ jako každá moderní porretánská hypostáze. Každý akt chtění potvrzuje vůli jako </w:t>
      </w:r>
      <w:r w:rsidR="00E629D6">
        <w:rPr>
          <w:iCs/>
        </w:rPr>
        <w:t xml:space="preserve">aktualizované </w:t>
      </w:r>
      <w:r w:rsidRPr="00F102FB">
        <w:rPr>
          <w:i/>
          <w:iCs/>
        </w:rPr>
        <w:t>tertium ens</w:t>
      </w:r>
      <w:r>
        <w:rPr>
          <w:iCs/>
        </w:rPr>
        <w:t xml:space="preserve"> tím, že v modu „</w:t>
      </w:r>
      <w:r w:rsidRPr="00F102FB">
        <w:rPr>
          <w:i/>
          <w:iCs/>
        </w:rPr>
        <w:t>esse ad</w:t>
      </w:r>
      <w:r>
        <w:rPr>
          <w:iCs/>
        </w:rPr>
        <w:t xml:space="preserve">“ </w:t>
      </w:r>
      <w:r w:rsidR="00E629D6">
        <w:rPr>
          <w:iCs/>
        </w:rPr>
        <w:t xml:space="preserve">přebírá tuto </w:t>
      </w:r>
      <w:r>
        <w:rPr>
          <w:iCs/>
        </w:rPr>
        <w:t xml:space="preserve"> </w:t>
      </w:r>
      <w:r w:rsidR="00E629D6">
        <w:rPr>
          <w:iCs/>
        </w:rPr>
        <w:t>essenciální potenci, tím se aktualizuje a začíná jednat ve světě.</w:t>
      </w:r>
      <w:r w:rsidR="006C3596">
        <w:rPr>
          <w:iCs/>
        </w:rPr>
        <w:t xml:space="preserve"> </w:t>
      </w:r>
      <w:r w:rsidR="08163013">
        <w:rPr>
          <w:iCs/>
        </w:rPr>
        <w:t>Vůle je dána jako trvalá hypostáze a tato substance</w:t>
      </w:r>
      <w:r w:rsidR="08163013">
        <w:rPr>
          <w:iCs/>
        </w:rPr>
        <w:fldChar w:fldCharType="begin"/>
      </w:r>
      <w:r w:rsidR="08163013">
        <w:instrText xml:space="preserve"> XE "</w:instrText>
      </w:r>
      <w:r w:rsidR="08163013" w:rsidRPr="00DE2A32">
        <w:instrText>substance</w:instrText>
      </w:r>
      <w:r w:rsidR="08163013">
        <w:instrText xml:space="preserve">:vůle" </w:instrText>
      </w:r>
      <w:r w:rsidR="08163013">
        <w:rPr>
          <w:iCs/>
        </w:rPr>
        <w:fldChar w:fldCharType="end"/>
      </w:r>
      <w:r w:rsidR="08163013">
        <w:rPr>
          <w:iCs/>
        </w:rPr>
        <w:t xml:space="preserve"> třetího druhu pak kontingentně působí ve světě jako singulární kauza. Takový argument by Aristoteles odmítl odkazem na spis </w:t>
      </w:r>
      <w:r w:rsidR="08163013" w:rsidRPr="00273106">
        <w:rPr>
          <w:i/>
        </w:rPr>
        <w:t>De generatione animalium</w:t>
      </w:r>
      <w:r w:rsidR="08163013" w:rsidRPr="00273106">
        <w:t xml:space="preserve"> </w:t>
      </w:r>
      <w:proofErr w:type="gramStart"/>
      <w:r w:rsidR="08163013" w:rsidRPr="00273106">
        <w:t>II.3 (τῆς</w:t>
      </w:r>
      <w:proofErr w:type="gramEnd"/>
      <w:r w:rsidR="08163013" w:rsidRPr="00273106">
        <w:t xml:space="preserve"> τοιαύτης ψυχῆς ἔ</w:t>
      </w:r>
      <w:r w:rsidR="08163013">
        <w:t>ργον</w:t>
      </w:r>
      <w:r w:rsidR="08163013">
        <w:fldChar w:fldCharType="begin"/>
      </w:r>
      <w:r w:rsidR="08163013">
        <w:instrText xml:space="preserve"> XE "Aristoteles:</w:instrText>
      </w:r>
      <w:r w:rsidR="08163013" w:rsidRPr="00273106">
        <w:rPr>
          <w:i/>
        </w:rPr>
        <w:instrText>De generatione animalium</w:instrText>
      </w:r>
      <w:r w:rsidR="08163013" w:rsidRPr="00273106">
        <w:instrText xml:space="preserve"> </w:instrText>
      </w:r>
      <w:r w:rsidR="08163013" w:rsidRPr="00FE3B5D">
        <w:instrText>736b12</w:instrText>
      </w:r>
      <w:r w:rsidR="08163013">
        <w:instrText xml:space="preserve">" </w:instrText>
      </w:r>
      <w:r w:rsidR="08163013">
        <w:fldChar w:fldCharType="end"/>
      </w:r>
      <w:r w:rsidR="08163013">
        <w:t>)</w:t>
      </w:r>
      <w:r w:rsidR="08256EAA">
        <w:t xml:space="preserve">. </w:t>
      </w:r>
      <w:r w:rsidR="00094ACF">
        <w:t xml:space="preserve">To dokazuje </w:t>
      </w:r>
      <w:r w:rsidR="08256EAA">
        <w:t xml:space="preserve">citovaný úvod komentáže QIIIDA od </w:t>
      </w:r>
      <w:r w:rsidR="08163013">
        <w:t>Siger</w:t>
      </w:r>
      <w:r w:rsidR="08256EAA">
        <w:t>a, v </w:t>
      </w:r>
      <w:r w:rsidR="08E87A3C">
        <w:t>ně</w:t>
      </w:r>
      <w:r w:rsidR="08256EAA">
        <w:t xml:space="preserve">mž tento citát slouží jako </w:t>
      </w:r>
      <w:r w:rsidR="08163013">
        <w:t xml:space="preserve">základ výkladu existence </w:t>
      </w:r>
      <w:r w:rsidR="00094ACF">
        <w:t xml:space="preserve">v modu </w:t>
      </w:r>
      <w:r w:rsidR="00094ACF" w:rsidRPr="00094ACF">
        <w:rPr>
          <w:i/>
        </w:rPr>
        <w:t>ipse</w:t>
      </w:r>
      <w:r w:rsidR="00094ACF">
        <w:t xml:space="preserve"> </w:t>
      </w:r>
      <w:r w:rsidR="08F55C3B">
        <w:rPr>
          <w:iCs/>
        </w:rPr>
        <w:t>(kap. 4</w:t>
      </w:r>
      <w:r w:rsidR="08163013">
        <w:rPr>
          <w:iCs/>
        </w:rPr>
        <w:t xml:space="preserve">.4.2). </w:t>
      </w:r>
      <w:r w:rsidR="00094ACF" w:rsidRPr="00094ACF">
        <w:rPr>
          <w:iCs/>
        </w:rPr>
        <w:t xml:space="preserve">Všechny </w:t>
      </w:r>
      <w:r w:rsidR="00094ACF">
        <w:rPr>
          <w:iCs/>
        </w:rPr>
        <w:t xml:space="preserve">aktivity </w:t>
      </w:r>
      <w:r w:rsidR="00094ACF" w:rsidRPr="00094ACF">
        <w:rPr>
          <w:iCs/>
        </w:rPr>
        <w:t xml:space="preserve">duše se zakládají na skutečnosti, že všechny schopnosti </w:t>
      </w:r>
      <w:r w:rsidR="00094ACF" w:rsidRPr="00094ACF">
        <w:rPr>
          <w:i/>
          <w:iCs/>
        </w:rPr>
        <w:t>anima intellectiva</w:t>
      </w:r>
      <w:r w:rsidR="00094ACF" w:rsidRPr="00094ACF">
        <w:rPr>
          <w:iCs/>
        </w:rPr>
        <w:t xml:space="preserve"> jsou čistými možnostmi duše a že se aktualizují</w:t>
      </w:r>
      <w:r w:rsidR="00094ACF">
        <w:rPr>
          <w:iCs/>
        </w:rPr>
        <w:t xml:space="preserve"> prostřednictvím hmotného těla. </w:t>
      </w:r>
      <w:r w:rsidR="08163013">
        <w:rPr>
          <w:iCs/>
        </w:rPr>
        <w:t xml:space="preserve">Ale Olivi </w:t>
      </w:r>
      <w:r w:rsidR="00044CEA">
        <w:rPr>
          <w:iCs/>
        </w:rPr>
        <w:t xml:space="preserve">se programově distancoval od </w:t>
      </w:r>
      <w:r w:rsidR="08163013">
        <w:rPr>
          <w:iCs/>
        </w:rPr>
        <w:t>aristoteli</w:t>
      </w:r>
      <w:r w:rsidR="00044CEA">
        <w:rPr>
          <w:iCs/>
        </w:rPr>
        <w:t xml:space="preserve">smu </w:t>
      </w:r>
      <w:r w:rsidR="08163013">
        <w:rPr>
          <w:iCs/>
        </w:rPr>
        <w:t xml:space="preserve">a </w:t>
      </w:r>
      <w:r w:rsidR="00044CEA">
        <w:rPr>
          <w:iCs/>
        </w:rPr>
        <w:t xml:space="preserve">zásadně kritizoval </w:t>
      </w:r>
      <w:r w:rsidR="08163013">
        <w:rPr>
          <w:iCs/>
        </w:rPr>
        <w:t xml:space="preserve">myšlení tohoto </w:t>
      </w:r>
      <w:r w:rsidR="00044CEA">
        <w:rPr>
          <w:iCs/>
        </w:rPr>
        <w:t>„</w:t>
      </w:r>
      <w:r w:rsidR="08163013">
        <w:rPr>
          <w:iCs/>
        </w:rPr>
        <w:t>pohanského heretika</w:t>
      </w:r>
      <w:r w:rsidR="00044CEA">
        <w:rPr>
          <w:iCs/>
        </w:rPr>
        <w:t>“</w:t>
      </w:r>
      <w:r w:rsidR="08163013">
        <w:rPr>
          <w:iCs/>
        </w:rPr>
        <w:t xml:space="preserve">. </w:t>
      </w:r>
      <w:r w:rsidR="0060401D">
        <w:rPr>
          <w:iCs/>
        </w:rPr>
        <w:t>Proto založil radostnou vědu o moderně pojaté vůli.</w:t>
      </w:r>
      <w:r w:rsidR="004A5807">
        <w:rPr>
          <w:iCs/>
        </w:rPr>
        <w:t xml:space="preserve"> Olivi </w:t>
      </w:r>
      <w:r w:rsidR="004A5807" w:rsidRPr="00273106">
        <w:rPr>
          <w:iCs/>
        </w:rPr>
        <w:t xml:space="preserve">definuje </w:t>
      </w:r>
      <w:r w:rsidR="004A5807">
        <w:rPr>
          <w:iCs/>
        </w:rPr>
        <w:t xml:space="preserve">vůli </w:t>
      </w:r>
      <w:r w:rsidR="004A5807">
        <w:t xml:space="preserve">skrze </w:t>
      </w:r>
      <w:r w:rsidR="08163013" w:rsidRPr="00273106">
        <w:rPr>
          <w:i/>
          <w:iCs/>
        </w:rPr>
        <w:t>potentia essentialis</w:t>
      </w:r>
      <w:r w:rsidR="08163013">
        <w:rPr>
          <w:i/>
          <w:iCs/>
        </w:rPr>
        <w:fldChar w:fldCharType="begin"/>
      </w:r>
      <w:r w:rsidR="08163013">
        <w:instrText xml:space="preserve"> XE "vůle:</w:instrText>
      </w:r>
      <w:r w:rsidR="08163013" w:rsidRPr="007C4CCA">
        <w:rPr>
          <w:i/>
          <w:iCs/>
        </w:rPr>
        <w:instrText>potentia essentialis</w:instrText>
      </w:r>
      <w:r w:rsidR="08163013">
        <w:instrText xml:space="preserve">" </w:instrText>
      </w:r>
      <w:r w:rsidR="08163013">
        <w:rPr>
          <w:i/>
          <w:iCs/>
        </w:rPr>
        <w:fldChar w:fldCharType="end"/>
      </w:r>
      <w:r w:rsidR="08163013" w:rsidRPr="00273106">
        <w:rPr>
          <w:iCs/>
        </w:rPr>
        <w:t xml:space="preserve"> v řádu </w:t>
      </w:r>
      <w:r w:rsidR="08163013" w:rsidRPr="00273106">
        <w:rPr>
          <w:i/>
          <w:iCs/>
        </w:rPr>
        <w:t>per prius</w:t>
      </w:r>
      <w:r w:rsidR="08163013" w:rsidRPr="00273106">
        <w:rPr>
          <w:iCs/>
        </w:rPr>
        <w:t xml:space="preserve">, protože </w:t>
      </w:r>
      <w:r w:rsidR="004A5807">
        <w:rPr>
          <w:iCs/>
        </w:rPr>
        <w:t xml:space="preserve">každé volní jednání </w:t>
      </w:r>
      <w:r w:rsidR="08163013" w:rsidRPr="00273106">
        <w:rPr>
          <w:iCs/>
        </w:rPr>
        <w:t>je vztaženo k</w:t>
      </w:r>
      <w:r w:rsidR="004A5807">
        <w:rPr>
          <w:iCs/>
        </w:rPr>
        <w:t xml:space="preserve"> aktuálně-hypostatické </w:t>
      </w:r>
      <w:r w:rsidR="08163013" w:rsidRPr="00273106">
        <w:rPr>
          <w:iCs/>
        </w:rPr>
        <w:t xml:space="preserve">přirozenosti vůle </w:t>
      </w:r>
      <w:r w:rsidR="08163013" w:rsidRPr="08544973">
        <w:t>(</w:t>
      </w:r>
      <w:r w:rsidR="08163013" w:rsidRPr="08544973">
        <w:rPr>
          <w:i/>
        </w:rPr>
        <w:t xml:space="preserve">potentia enim </w:t>
      </w:r>
      <w:proofErr w:type="gramStart"/>
      <w:r w:rsidR="08163013" w:rsidRPr="08544973">
        <w:rPr>
          <w:i/>
        </w:rPr>
        <w:t>essentialis...respectu</w:t>
      </w:r>
      <w:proofErr w:type="gramEnd"/>
      <w:r w:rsidR="08163013" w:rsidRPr="08544973">
        <w:rPr>
          <w:i/>
        </w:rPr>
        <w:t xml:space="preserve"> actus primi</w:t>
      </w:r>
      <w:r w:rsidR="08163013" w:rsidRPr="08544973">
        <w:t>).</w:t>
      </w:r>
      <w:r w:rsidR="08163013" w:rsidRPr="00273106">
        <w:rPr>
          <w:iCs/>
        </w:rPr>
        <w:t xml:space="preserve"> </w:t>
      </w:r>
      <w:r w:rsidR="08163013" w:rsidRPr="00273106">
        <w:t xml:space="preserve">Koncept </w:t>
      </w:r>
      <w:r w:rsidR="08163013" w:rsidRPr="00273106">
        <w:rPr>
          <w:i/>
          <w:iCs/>
        </w:rPr>
        <w:t>potentia essentialis</w:t>
      </w:r>
      <w:r w:rsidR="08163013">
        <w:rPr>
          <w:i/>
          <w:iCs/>
        </w:rPr>
        <w:fldChar w:fldCharType="begin"/>
      </w:r>
      <w:r w:rsidR="08163013">
        <w:instrText xml:space="preserve"> XE "</w:instrText>
      </w:r>
      <w:r w:rsidR="08163013" w:rsidRPr="003C711B">
        <w:rPr>
          <w:i/>
          <w:iCs/>
        </w:rPr>
        <w:instrText>potentia essentialis</w:instrText>
      </w:r>
      <w:r w:rsidR="08163013">
        <w:instrText xml:space="preserve">" </w:instrText>
      </w:r>
      <w:r w:rsidR="08163013">
        <w:rPr>
          <w:i/>
          <w:iCs/>
        </w:rPr>
        <w:fldChar w:fldCharType="end"/>
      </w:r>
      <w:r w:rsidR="004A5807">
        <w:rPr>
          <w:i/>
          <w:iCs/>
        </w:rPr>
        <w:t xml:space="preserve"> </w:t>
      </w:r>
      <w:r w:rsidR="08163013" w:rsidRPr="00273106">
        <w:rPr>
          <w:iCs/>
        </w:rPr>
        <w:t>není dán vzhledem k přirozenosti člověka j</w:t>
      </w:r>
      <w:r w:rsidR="08163013">
        <w:rPr>
          <w:iCs/>
        </w:rPr>
        <w:t xml:space="preserve">ako hylemorfické substance, ale </w:t>
      </w:r>
      <w:r w:rsidR="08163013" w:rsidRPr="00273106">
        <w:rPr>
          <w:iCs/>
        </w:rPr>
        <w:t xml:space="preserve">vzhledem k primátu </w:t>
      </w:r>
      <w:r w:rsidR="08163013">
        <w:rPr>
          <w:iCs/>
        </w:rPr>
        <w:t xml:space="preserve">aktuální </w:t>
      </w:r>
      <w:r w:rsidR="08163013" w:rsidRPr="00273106">
        <w:rPr>
          <w:iCs/>
        </w:rPr>
        <w:t>vůle</w:t>
      </w:r>
      <w:r w:rsidR="08163013">
        <w:rPr>
          <w:iCs/>
        </w:rPr>
        <w:t xml:space="preserve"> jako substance</w:t>
      </w:r>
      <w:r w:rsidR="08163013" w:rsidRPr="00273106">
        <w:rPr>
          <w:iCs/>
        </w:rPr>
        <w:t xml:space="preserve"> </w:t>
      </w:r>
      <w:r w:rsidR="08163013" w:rsidRPr="08E87A3C">
        <w:t>(</w:t>
      </w:r>
      <w:r w:rsidR="08163013" w:rsidRPr="081D04A0">
        <w:rPr>
          <w:i/>
        </w:rPr>
        <w:t>respectu actus primi</w:t>
      </w:r>
      <w:r w:rsidR="08163013" w:rsidRPr="08E87A3C">
        <w:t>).</w:t>
      </w:r>
      <w:r w:rsidR="08163013">
        <w:rPr>
          <w:iCs/>
        </w:rPr>
        <w:t xml:space="preserve"> </w:t>
      </w:r>
      <w:r w:rsidR="004A5807" w:rsidRPr="004A5807">
        <w:rPr>
          <w:iCs/>
        </w:rPr>
        <w:t>Pr</w:t>
      </w:r>
      <w:r w:rsidR="004A5807">
        <w:rPr>
          <w:iCs/>
        </w:rPr>
        <w:t xml:space="preserve">imární </w:t>
      </w:r>
      <w:r w:rsidR="004A5807" w:rsidRPr="004A5807">
        <w:rPr>
          <w:iCs/>
        </w:rPr>
        <w:t xml:space="preserve">potence vůle </w:t>
      </w:r>
      <w:r w:rsidR="004A5807" w:rsidRPr="00273106">
        <w:rPr>
          <w:iCs/>
        </w:rPr>
        <w:t xml:space="preserve">je dána </w:t>
      </w:r>
      <w:r w:rsidR="004A5807">
        <w:rPr>
          <w:iCs/>
        </w:rPr>
        <w:t xml:space="preserve">substančně </w:t>
      </w:r>
      <w:r w:rsidR="004A5807" w:rsidRPr="00273106">
        <w:rPr>
          <w:iCs/>
        </w:rPr>
        <w:t>sama v</w:t>
      </w:r>
      <w:r w:rsidR="004A5807">
        <w:rPr>
          <w:iCs/>
        </w:rPr>
        <w:t> </w:t>
      </w:r>
      <w:r w:rsidR="004A5807" w:rsidRPr="00273106">
        <w:rPr>
          <w:iCs/>
        </w:rPr>
        <w:t>sobě</w:t>
      </w:r>
      <w:r w:rsidR="004A5807">
        <w:rPr>
          <w:iCs/>
        </w:rPr>
        <w:t xml:space="preserve"> jako hypostázovaná</w:t>
      </w:r>
      <w:r w:rsidR="004A5807" w:rsidRPr="004A5807">
        <w:rPr>
          <w:iCs/>
        </w:rPr>
        <w:t xml:space="preserve"> esence. </w:t>
      </w:r>
      <w:r w:rsidR="00022569" w:rsidRPr="00022569">
        <w:rPr>
          <w:iCs/>
        </w:rPr>
        <w:t xml:space="preserve">Tento druh existenciální ipseity jako substance je základem každého jednotlivého aktu vůle, neboť </w:t>
      </w:r>
      <w:r w:rsidR="00022569">
        <w:rPr>
          <w:iCs/>
        </w:rPr>
        <w:t xml:space="preserve">takto určená vůle </w:t>
      </w:r>
      <w:r w:rsidR="00022569" w:rsidRPr="00022569">
        <w:rPr>
          <w:iCs/>
        </w:rPr>
        <w:t>hraje roli druhé substance v tabulce kategorií (</w:t>
      </w:r>
      <w:r w:rsidR="00022569" w:rsidRPr="00022569">
        <w:rPr>
          <w:i/>
          <w:iCs/>
        </w:rPr>
        <w:t>esse in</w:t>
      </w:r>
      <w:r w:rsidR="00022569" w:rsidRPr="00022569">
        <w:rPr>
          <w:iCs/>
        </w:rPr>
        <w:t xml:space="preserve">). Všechny akty vůle jsou do kategoriální predikace zařazeny jako potenciální </w:t>
      </w:r>
      <w:r w:rsidR="00022569">
        <w:rPr>
          <w:iCs/>
        </w:rPr>
        <w:t>akty chtění, které</w:t>
      </w:r>
      <w:r w:rsidR="00022569" w:rsidRPr="00022569">
        <w:rPr>
          <w:iCs/>
        </w:rPr>
        <w:t xml:space="preserve"> se v modu akcidentality vztahují k autonomní existenci vůle (</w:t>
      </w:r>
      <w:r w:rsidR="00022569" w:rsidRPr="00022569">
        <w:rPr>
          <w:i/>
          <w:iCs/>
        </w:rPr>
        <w:t xml:space="preserve">esse </w:t>
      </w:r>
      <w:proofErr w:type="gramStart"/>
      <w:r w:rsidR="00022569" w:rsidRPr="00022569">
        <w:rPr>
          <w:i/>
          <w:iCs/>
        </w:rPr>
        <w:t>ad</w:t>
      </w:r>
      <w:proofErr w:type="gramEnd"/>
      <w:r w:rsidR="00022569" w:rsidRPr="00022569">
        <w:rPr>
          <w:iCs/>
        </w:rPr>
        <w:t>).</w:t>
      </w:r>
      <w:r w:rsidR="00022569">
        <w:rPr>
          <w:iCs/>
        </w:rPr>
        <w:t xml:space="preserve"> </w:t>
      </w:r>
      <w:r w:rsidR="006B34AA" w:rsidRPr="006B34AA">
        <w:rPr>
          <w:iCs/>
        </w:rPr>
        <w:t xml:space="preserve">Akt konkrétní vůle odhaluje sekundární determinaci vůle provedenou </w:t>
      </w:r>
      <w:r w:rsidR="006B34AA">
        <w:rPr>
          <w:iCs/>
        </w:rPr>
        <w:t>skrze volb</w:t>
      </w:r>
      <w:r w:rsidR="006B34AA" w:rsidRPr="006B34AA">
        <w:rPr>
          <w:iCs/>
        </w:rPr>
        <w:t xml:space="preserve">u určitého předmětu. V této fázi </w:t>
      </w:r>
      <w:r w:rsidR="00AF5F3E">
        <w:rPr>
          <w:iCs/>
        </w:rPr>
        <w:t xml:space="preserve">už platí </w:t>
      </w:r>
      <w:r w:rsidR="006B34AA" w:rsidRPr="006B34AA">
        <w:rPr>
          <w:iCs/>
        </w:rPr>
        <w:t>Aristotelov</w:t>
      </w:r>
      <w:r w:rsidR="00AF5F3E">
        <w:rPr>
          <w:iCs/>
        </w:rPr>
        <w:t>a</w:t>
      </w:r>
      <w:r w:rsidR="006B34AA" w:rsidRPr="006B34AA">
        <w:rPr>
          <w:iCs/>
        </w:rPr>
        <w:t xml:space="preserve"> </w:t>
      </w:r>
      <w:r w:rsidR="00AF5F3E">
        <w:rPr>
          <w:iCs/>
        </w:rPr>
        <w:t xml:space="preserve">definice </w:t>
      </w:r>
      <w:r w:rsidR="006B34AA" w:rsidRPr="006B34AA">
        <w:rPr>
          <w:iCs/>
        </w:rPr>
        <w:t>vůle, kte</w:t>
      </w:r>
      <w:r w:rsidR="006B34AA">
        <w:rPr>
          <w:iCs/>
        </w:rPr>
        <w:t xml:space="preserve">rá je determinována intelektem. </w:t>
      </w:r>
      <w:r w:rsidR="002D7D6D">
        <w:rPr>
          <w:iCs/>
        </w:rPr>
        <w:t>Ale p</w:t>
      </w:r>
      <w:r w:rsidR="08163013">
        <w:rPr>
          <w:iCs/>
        </w:rPr>
        <w:t xml:space="preserve">ředmět chtění je </w:t>
      </w:r>
      <w:r w:rsidR="00882BD8">
        <w:rPr>
          <w:iCs/>
        </w:rPr>
        <w:t xml:space="preserve">původně </w:t>
      </w:r>
      <w:r w:rsidR="08163013">
        <w:rPr>
          <w:iCs/>
        </w:rPr>
        <w:t>daný jako akcidentální možnost substančně svobodné vůle ob</w:t>
      </w:r>
      <w:r w:rsidR="00AE227D">
        <w:rPr>
          <w:iCs/>
        </w:rPr>
        <w:t>rácené do světa.</w:t>
      </w:r>
      <w:r w:rsidR="00FE228D">
        <w:rPr>
          <w:iCs/>
        </w:rPr>
        <w:t xml:space="preserve"> </w:t>
      </w:r>
      <w:r w:rsidR="00AE227D">
        <w:rPr>
          <w:iCs/>
        </w:rPr>
        <w:t>P</w:t>
      </w:r>
      <w:r w:rsidR="08163013">
        <w:rPr>
          <w:iCs/>
        </w:rPr>
        <w:t xml:space="preserve">ůvodní modus bytí vůle v moderním subjektu je dán jako objektivní substance daná Simplikiem jako hypostázované </w:t>
      </w:r>
      <w:r w:rsidR="08163013" w:rsidRPr="08BC6CD4">
        <w:rPr>
          <w:i/>
          <w:iCs/>
        </w:rPr>
        <w:t>relatio</w:t>
      </w:r>
      <w:r w:rsidR="08163013">
        <w:rPr>
          <w:iCs/>
        </w:rPr>
        <w:t xml:space="preserve"> (</w:t>
      </w:r>
      <w:r w:rsidR="08511EBE">
        <w:rPr>
          <w:iCs/>
        </w:rPr>
        <w:t xml:space="preserve">OBJ I, </w:t>
      </w:r>
      <w:r w:rsidR="08163013">
        <w:rPr>
          <w:iCs/>
        </w:rPr>
        <w:t xml:space="preserve">kap. 1.3.2). </w:t>
      </w:r>
      <w:r w:rsidR="08163013">
        <w:t>Substancializovaná p</w:t>
      </w:r>
      <w:r w:rsidR="08163013" w:rsidRPr="00273106">
        <w:rPr>
          <w:iCs/>
        </w:rPr>
        <w:t xml:space="preserve">otence </w:t>
      </w:r>
      <w:r w:rsidR="08163013">
        <w:rPr>
          <w:iCs/>
        </w:rPr>
        <w:t xml:space="preserve">založila </w:t>
      </w:r>
      <w:r w:rsidR="08163013" w:rsidRPr="00273106">
        <w:rPr>
          <w:iCs/>
        </w:rPr>
        <w:t xml:space="preserve">určení moderní vůle jako jsoucna třetího druhu. Tím je zrušeno schéma prvního averroismu, které determinuje chtění jako přechod od potence k aktualitě. </w:t>
      </w:r>
      <w:r w:rsidR="009801ED" w:rsidRPr="009801ED">
        <w:rPr>
          <w:iCs/>
        </w:rPr>
        <w:t xml:space="preserve">Tím, že se vůle stala hyparchickou esencí, získala </w:t>
      </w:r>
      <w:r w:rsidR="009801ED" w:rsidRPr="009801ED">
        <w:rPr>
          <w:iCs/>
        </w:rPr>
        <w:lastRenderedPageBreak/>
        <w:t>kauzální účinnost ve skutečnosti</w:t>
      </w:r>
      <w:r w:rsidR="009801ED">
        <w:rPr>
          <w:iCs/>
        </w:rPr>
        <w:t xml:space="preserve"> a přestala být pouhou potencí. </w:t>
      </w:r>
      <w:r w:rsidR="00891B59">
        <w:rPr>
          <w:iCs/>
        </w:rPr>
        <w:t xml:space="preserve">K tomuto účelu </w:t>
      </w:r>
      <w:r w:rsidR="08163013">
        <w:rPr>
          <w:iCs/>
        </w:rPr>
        <w:t xml:space="preserve">Olivi a po něm Henry z Gentu a Scotus využijí kategorii </w:t>
      </w:r>
      <w:r w:rsidR="008C738C">
        <w:rPr>
          <w:iCs/>
        </w:rPr>
        <w:t xml:space="preserve">zvanou </w:t>
      </w:r>
      <w:r w:rsidR="00E8283C">
        <w:rPr>
          <w:iCs/>
        </w:rPr>
        <w:t>„</w:t>
      </w:r>
      <w:r w:rsidR="08163013" w:rsidRPr="00891B59">
        <w:rPr>
          <w:iCs/>
        </w:rPr>
        <w:t>habitus</w:t>
      </w:r>
      <w:r w:rsidR="00E8283C">
        <w:rPr>
          <w:iCs/>
        </w:rPr>
        <w:t>“</w:t>
      </w:r>
      <w:r w:rsidR="008C738C">
        <w:rPr>
          <w:iCs/>
        </w:rPr>
        <w:t xml:space="preserve">, který Simplikius poprvé definoval </w:t>
      </w:r>
      <w:r w:rsidR="08163013">
        <w:rPr>
          <w:iCs/>
        </w:rPr>
        <w:t>v substančním modu (</w:t>
      </w:r>
      <w:r w:rsidR="08511EBE">
        <w:rPr>
          <w:iCs/>
        </w:rPr>
        <w:t xml:space="preserve">OBJ I, </w:t>
      </w:r>
      <w:r w:rsidR="08163013">
        <w:rPr>
          <w:iCs/>
        </w:rPr>
        <w:t xml:space="preserve">kap. 1.3.1). Druhý averroismus zcela běžně používal tento akcident čistě substanciálním způsobem už od Pagusova výkladu </w:t>
      </w:r>
      <w:r w:rsidR="08163013" w:rsidRPr="0873186F">
        <w:rPr>
          <w:i/>
          <w:iCs/>
        </w:rPr>
        <w:t>Kategorií</w:t>
      </w:r>
      <w:r w:rsidR="08163013">
        <w:rPr>
          <w:iCs/>
        </w:rPr>
        <w:t xml:space="preserve"> z roku 1230 (</w:t>
      </w:r>
      <w:r w:rsidR="08511EBE">
        <w:rPr>
          <w:iCs/>
        </w:rPr>
        <w:t xml:space="preserve">OBJ II, </w:t>
      </w:r>
      <w:r w:rsidR="08511EBE">
        <w:t>kap. 3</w:t>
      </w:r>
      <w:r w:rsidR="08163013">
        <w:t>.1.2</w:t>
      </w:r>
      <w:r w:rsidR="08163013">
        <w:rPr>
          <w:iCs/>
        </w:rPr>
        <w:t xml:space="preserve">). </w:t>
      </w:r>
      <w:r w:rsidR="08163013">
        <w:t xml:space="preserve">Olivi použil schéma habituální konstituce pro vůli, čímž se odlišil od školy druhého averroismu. Svobodná vůle představuje habituální </w:t>
      </w:r>
      <w:r w:rsidR="08163013" w:rsidRPr="00273106">
        <w:t>jsoucno třetího druhu (</w:t>
      </w:r>
      <w:r w:rsidR="08163013" w:rsidRPr="00273106">
        <w:rPr>
          <w:i/>
        </w:rPr>
        <w:t>hoc aliquid</w:t>
      </w:r>
      <w:r w:rsidR="08163013">
        <w:rPr>
          <w:i/>
        </w:rPr>
        <w:fldChar w:fldCharType="begin"/>
      </w:r>
      <w:r w:rsidR="08163013">
        <w:instrText xml:space="preserve"> XE "</w:instrText>
      </w:r>
      <w:r w:rsidR="08163013" w:rsidRPr="00D667A1">
        <w:rPr>
          <w:i/>
        </w:rPr>
        <w:instrText>hoc aliquid</w:instrText>
      </w:r>
      <w:r w:rsidR="08163013" w:rsidRPr="00230F8C">
        <w:instrText>:Olivi</w:instrText>
      </w:r>
      <w:r w:rsidR="08163013">
        <w:instrText xml:space="preserve">" </w:instrText>
      </w:r>
      <w:r w:rsidR="08163013">
        <w:rPr>
          <w:i/>
        </w:rPr>
        <w:fldChar w:fldCharType="end"/>
      </w:r>
      <w:r w:rsidR="08163013" w:rsidRPr="00273106">
        <w:t xml:space="preserve">), které je dáno v člověku současně aktuálně i potenciálně. </w:t>
      </w:r>
      <w:r w:rsidR="08163013" w:rsidRPr="00273106">
        <w:rPr>
          <w:iCs/>
        </w:rPr>
        <w:t xml:space="preserve">Druhý averroismus </w:t>
      </w:r>
      <w:r w:rsidR="08163013" w:rsidRPr="00273106">
        <w:t xml:space="preserve">pokračuje </w:t>
      </w:r>
      <w:r w:rsidR="08163013">
        <w:t xml:space="preserve">skrze Oliviho </w:t>
      </w:r>
      <w:r w:rsidR="08163013" w:rsidRPr="00273106">
        <w:t>v rozšiř</w:t>
      </w:r>
      <w:r w:rsidR="08163013">
        <w:t xml:space="preserve">ování objektivních </w:t>
      </w:r>
      <w:r w:rsidR="08163013" w:rsidRPr="00273106">
        <w:t xml:space="preserve">určení jsoucna, což provedl Bonaventura a jeho škola po </w:t>
      </w:r>
      <w:r w:rsidR="08163013">
        <w:t xml:space="preserve">roce </w:t>
      </w:r>
      <w:r w:rsidR="08163013" w:rsidRPr="00273106">
        <w:t xml:space="preserve">1250. </w:t>
      </w:r>
      <w:r w:rsidR="08163013">
        <w:rPr>
          <w:iCs/>
        </w:rPr>
        <w:t>Rufus</w:t>
      </w:r>
      <w:r w:rsidR="08163013" w:rsidRPr="00273106">
        <w:t xml:space="preserve">ovo a </w:t>
      </w:r>
      <w:r w:rsidR="08163013">
        <w:t>později i Pecham</w:t>
      </w:r>
      <w:r w:rsidR="08163013" w:rsidRPr="00273106">
        <w:t>ovo pojetí intelektu jako vrozené poznávací potence (</w:t>
      </w:r>
      <w:r w:rsidR="08163013" w:rsidRPr="00273106">
        <w:rPr>
          <w:i/>
        </w:rPr>
        <w:t xml:space="preserve">potentia </w:t>
      </w:r>
      <w:r w:rsidR="08163013">
        <w:rPr>
          <w:i/>
        </w:rPr>
        <w:t>accidentalis</w:t>
      </w:r>
      <w:r w:rsidR="08163013">
        <w:rPr>
          <w:i/>
        </w:rPr>
        <w:fldChar w:fldCharType="begin"/>
      </w:r>
      <w:r w:rsidR="08163013">
        <w:instrText xml:space="preserve"> XE "vůle:</w:instrText>
      </w:r>
      <w:r w:rsidR="08163013" w:rsidRPr="001E6440">
        <w:rPr>
          <w:i/>
        </w:rPr>
        <w:instrText xml:space="preserve">potentia </w:instrText>
      </w:r>
      <w:r w:rsidR="08163013">
        <w:rPr>
          <w:i/>
        </w:rPr>
        <w:instrText>accidentalis</w:instrText>
      </w:r>
      <w:r w:rsidR="08163013">
        <w:instrText xml:space="preserve">" </w:instrText>
      </w:r>
      <w:r w:rsidR="08163013">
        <w:rPr>
          <w:i/>
        </w:rPr>
        <w:fldChar w:fldCharType="end"/>
      </w:r>
      <w:r w:rsidR="08163013">
        <w:t>)</w:t>
      </w:r>
      <w:r w:rsidR="08163013" w:rsidRPr="00273106">
        <w:t xml:space="preserve"> stavělo na Bonaventurově </w:t>
      </w:r>
      <w:r w:rsidR="00F3064E">
        <w:t>aktualizaci</w:t>
      </w:r>
      <w:r w:rsidR="08163013" w:rsidRPr="00273106">
        <w:t xml:space="preserve"> </w:t>
      </w:r>
      <w:r w:rsidR="08163013">
        <w:t>hypostázovaného intelektu pomocí kontingentní</w:t>
      </w:r>
      <w:r w:rsidR="00F3064E">
        <w:t>ch</w:t>
      </w:r>
      <w:r w:rsidR="08163013" w:rsidRPr="00273106">
        <w:t xml:space="preserve"> </w:t>
      </w:r>
      <w:r w:rsidR="00962190" w:rsidRPr="0014701F">
        <w:t>species</w:t>
      </w:r>
      <w:r w:rsidR="08511EBE">
        <w:t xml:space="preserve"> (kap. 4</w:t>
      </w:r>
      <w:r w:rsidR="08163013">
        <w:t xml:space="preserve">.1.1). </w:t>
      </w:r>
      <w:r w:rsidR="08163013" w:rsidRPr="00273106">
        <w:t xml:space="preserve">Ve vůli jako jsoucnu třetího druhu </w:t>
      </w:r>
      <w:r w:rsidR="08163013">
        <w:t xml:space="preserve">se </w:t>
      </w:r>
      <w:r w:rsidR="08163013" w:rsidRPr="00273106">
        <w:t>spojil</w:t>
      </w:r>
      <w:r w:rsidR="08163013">
        <w:t>a substanciálně daná potence a aktualita</w:t>
      </w:r>
      <w:r w:rsidR="08163013" w:rsidRPr="00273106">
        <w:t xml:space="preserve"> stejným způsobem, jako to provedl Bonaventura pro </w:t>
      </w:r>
      <w:r w:rsidR="08163013" w:rsidRPr="00273106">
        <w:rPr>
          <w:i/>
        </w:rPr>
        <w:t>intellectus possibilis</w:t>
      </w:r>
      <w:r w:rsidR="08163013" w:rsidRPr="00273106">
        <w:t xml:space="preserve"> a </w:t>
      </w:r>
      <w:r w:rsidR="08163013" w:rsidRPr="00273106">
        <w:rPr>
          <w:i/>
        </w:rPr>
        <w:t>intellectus agens</w:t>
      </w:r>
      <w:r w:rsidR="08511EBE">
        <w:t xml:space="preserve"> (kap. 4</w:t>
      </w:r>
      <w:r w:rsidR="08163013" w:rsidRPr="00273106">
        <w:t>.1.3).</w:t>
      </w:r>
      <w:r w:rsidR="08163013">
        <w:t xml:space="preserve"> </w:t>
      </w:r>
      <w:r w:rsidR="08163013" w:rsidRPr="00273106">
        <w:rPr>
          <w:iCs/>
        </w:rPr>
        <w:t xml:space="preserve">Moderní </w:t>
      </w:r>
      <w:r w:rsidR="08163013" w:rsidRPr="00273106">
        <w:rPr>
          <w:i/>
          <w:iCs/>
        </w:rPr>
        <w:t>Oxfordian Fallacy</w:t>
      </w:r>
      <w:r w:rsidR="08163013">
        <w:rPr>
          <w:i/>
          <w:iCs/>
        </w:rPr>
        <w:fldChar w:fldCharType="begin"/>
      </w:r>
      <w:r w:rsidR="08163013">
        <w:instrText xml:space="preserve"> XE "</w:instrText>
      </w:r>
      <w:r w:rsidR="08163013" w:rsidRPr="0015798D">
        <w:rPr>
          <w:i/>
        </w:rPr>
        <w:instrText>Oxfordian Fallacy:</w:instrText>
      </w:r>
      <w:r w:rsidR="08163013">
        <w:instrText xml:space="preserve">Olivi" </w:instrText>
      </w:r>
      <w:r w:rsidR="08163013">
        <w:rPr>
          <w:i/>
          <w:iCs/>
        </w:rPr>
        <w:fldChar w:fldCharType="end"/>
      </w:r>
      <w:r w:rsidR="08163013" w:rsidRPr="00273106">
        <w:rPr>
          <w:iCs/>
        </w:rPr>
        <w:t xml:space="preserve"> se rozšířila i na určení vůle, která představuje epochálně nové </w:t>
      </w:r>
      <w:r w:rsidR="08163013" w:rsidRPr="00273106">
        <w:rPr>
          <w:i/>
          <w:iCs/>
        </w:rPr>
        <w:t>medium</w:t>
      </w:r>
      <w:r w:rsidR="08163013">
        <w:rPr>
          <w:i/>
          <w:iCs/>
        </w:rPr>
        <w:fldChar w:fldCharType="begin"/>
      </w:r>
      <w:r w:rsidR="08163013">
        <w:instrText xml:space="preserve"> XE "</w:instrText>
      </w:r>
      <w:r w:rsidR="08163013" w:rsidRPr="001618A5">
        <w:rPr>
          <w:i/>
        </w:rPr>
        <w:instrText>medium:</w:instrText>
      </w:r>
      <w:r w:rsidR="08163013">
        <w:instrText xml:space="preserve">Olivi" </w:instrText>
      </w:r>
      <w:r w:rsidR="08163013">
        <w:rPr>
          <w:i/>
          <w:iCs/>
        </w:rPr>
        <w:fldChar w:fldCharType="end"/>
      </w:r>
      <w:r w:rsidR="08163013" w:rsidRPr="00273106">
        <w:rPr>
          <w:iCs/>
        </w:rPr>
        <w:t xml:space="preserve"> </w:t>
      </w:r>
      <w:r w:rsidR="08163013">
        <w:rPr>
          <w:iCs/>
        </w:rPr>
        <w:t>demiurgické svobodné aktivity, kdy vůle působí kauzálně jako čistá esence</w:t>
      </w:r>
      <w:r w:rsidR="08163013">
        <w:rPr>
          <w:i/>
          <w:iCs/>
        </w:rPr>
        <w:fldChar w:fldCharType="begin"/>
      </w:r>
      <w:r w:rsidR="08163013">
        <w:instrText xml:space="preserve"> XE "</w:instrText>
      </w:r>
      <w:r w:rsidR="08163013" w:rsidRPr="00AA4F67">
        <w:rPr>
          <w:i/>
        </w:rPr>
        <w:instrText>scibile</w:instrText>
      </w:r>
      <w:r w:rsidR="08163013">
        <w:rPr>
          <w:i/>
        </w:rPr>
        <w:instrText>:</w:instrText>
      </w:r>
      <w:r w:rsidR="08163013" w:rsidRPr="00200F17">
        <w:instrText>Olivi</w:instrText>
      </w:r>
      <w:r w:rsidR="08163013">
        <w:instrText xml:space="preserve">" </w:instrText>
      </w:r>
      <w:r w:rsidR="08163013">
        <w:rPr>
          <w:i/>
          <w:iCs/>
        </w:rPr>
        <w:fldChar w:fldCharType="end"/>
      </w:r>
      <w:r w:rsidR="08163013" w:rsidRPr="00273106">
        <w:rPr>
          <w:iCs/>
        </w:rPr>
        <w:t xml:space="preserve">. </w:t>
      </w:r>
      <w:r w:rsidR="08163013">
        <w:rPr>
          <w:iCs/>
        </w:rPr>
        <w:t>Z</w:t>
      </w:r>
      <w:r w:rsidR="08163013" w:rsidRPr="00273106">
        <w:rPr>
          <w:iCs/>
        </w:rPr>
        <w:t xml:space="preserve">áměnu první substance za </w:t>
      </w:r>
      <w:r w:rsidR="08163013">
        <w:rPr>
          <w:iCs/>
        </w:rPr>
        <w:t xml:space="preserve">kauzálně účinnou </w:t>
      </w:r>
      <w:r w:rsidR="08163013" w:rsidRPr="00273106">
        <w:rPr>
          <w:iCs/>
        </w:rPr>
        <w:t xml:space="preserve">esenci poprvé tematizuje Rufusův výklad </w:t>
      </w:r>
      <w:r w:rsidR="08163013" w:rsidRPr="08785279">
        <w:rPr>
          <w:i/>
          <w:iCs/>
        </w:rPr>
        <w:t>Druhých analytik</w:t>
      </w:r>
      <w:r w:rsidR="08163013" w:rsidRPr="00273106">
        <w:rPr>
          <w:iCs/>
        </w:rPr>
        <w:t xml:space="preserve"> (</w:t>
      </w:r>
      <w:r w:rsidR="08511EBE">
        <w:rPr>
          <w:iCs/>
        </w:rPr>
        <w:t>OBJ II, kap. 3</w:t>
      </w:r>
      <w:r w:rsidR="08163013" w:rsidRPr="00273106">
        <w:rPr>
          <w:iCs/>
        </w:rPr>
        <w:t xml:space="preserve">.3.1). </w:t>
      </w:r>
      <w:r w:rsidR="08163013">
        <w:rPr>
          <w:iCs/>
        </w:rPr>
        <w:t>Olivi je z tohoto zásadního důvodu zakladatelem moderní metafyziky vůle</w:t>
      </w:r>
      <w:r w:rsidR="00DC1743">
        <w:rPr>
          <w:iCs/>
        </w:rPr>
        <w:t xml:space="preserve">. </w:t>
      </w:r>
      <w:r w:rsidR="00610FF1" w:rsidRPr="00610FF1">
        <w:rPr>
          <w:iCs/>
        </w:rPr>
        <w:t xml:space="preserve">Nietzsche tuto dějinnou dynamiku plně realizoval tím, že emancipoval vůli jako základ bytí </w:t>
      </w:r>
      <w:r w:rsidR="00F470D0">
        <w:rPr>
          <w:iCs/>
        </w:rPr>
        <w:t xml:space="preserve">postavený </w:t>
      </w:r>
      <w:r w:rsidR="00610FF1" w:rsidRPr="00610FF1">
        <w:rPr>
          <w:iCs/>
        </w:rPr>
        <w:t>mimo teoretický rozum. Tento poslední krok nutně zničil i poslední zbytky moderní metafyziky.</w:t>
      </w:r>
      <w:r w:rsidR="00D5324F">
        <w:rPr>
          <w:iCs/>
        </w:rPr>
        <w:t xml:space="preserve"> Ta byla nejprve iracionální a pak se stala úplně zbytečnou.</w:t>
      </w:r>
    </w:p>
    <w:p w:rsidR="08163013" w:rsidRDefault="08163013" w:rsidP="00610FF1">
      <w:pPr>
        <w:ind w:firstLine="397"/>
      </w:pPr>
      <w:r>
        <w:rPr>
          <w:iCs/>
        </w:rPr>
        <w:t xml:space="preserve">Pojetí vůle jako </w:t>
      </w:r>
      <w:r w:rsidRPr="00273106">
        <w:rPr>
          <w:i/>
          <w:iCs/>
        </w:rPr>
        <w:t>potentia essentialis</w:t>
      </w:r>
      <w:r w:rsidRPr="00273106">
        <w:rPr>
          <w:iCs/>
        </w:rPr>
        <w:t xml:space="preserve"> přidalo do plurality substancí v člověku další substanci navíc</w:t>
      </w:r>
      <w:r w:rsidR="00BF3426">
        <w:rPr>
          <w:iCs/>
        </w:rPr>
        <w:t xml:space="preserve">. </w:t>
      </w:r>
      <w:r>
        <w:t xml:space="preserve">Citovaný </w:t>
      </w:r>
      <w:r w:rsidRPr="00273106">
        <w:t>kom</w:t>
      </w:r>
      <w:r>
        <w:t xml:space="preserve">entář ke druhé knize Sentencí v kvestii </w:t>
      </w:r>
      <w:r w:rsidRPr="00273106">
        <w:t>58</w:t>
      </w:r>
      <w:r>
        <w:t xml:space="preserve"> </w:t>
      </w:r>
      <w:r w:rsidR="00592CA4">
        <w:t xml:space="preserve">proto </w:t>
      </w:r>
      <w:r>
        <w:t xml:space="preserve">zásadně </w:t>
      </w:r>
      <w:r w:rsidRPr="00273106">
        <w:t>odmítá aristotelské</w:t>
      </w:r>
      <w:r>
        <w:t xml:space="preserve"> pojetí vůle. Pokud intelekt </w:t>
      </w:r>
      <w:r w:rsidRPr="00273106">
        <w:t xml:space="preserve">determinuje vůli, </w:t>
      </w:r>
      <w:r>
        <w:t>pak</w:t>
      </w:r>
      <w:r w:rsidRPr="00273106">
        <w:t xml:space="preserve"> už není svobodná. </w:t>
      </w:r>
      <w:r>
        <w:t xml:space="preserve">Podle aristotelismu vůle účinně a singulárně jedná v realitě proto, že je determinována od </w:t>
      </w:r>
      <w:r w:rsidRPr="00273106">
        <w:t xml:space="preserve">formálního </w:t>
      </w:r>
      <w:r>
        <w:t xml:space="preserve">a všeobecného poznání intelektu. </w:t>
      </w:r>
      <w:r w:rsidR="004D0CDE">
        <w:t>Podle Oliviho je vůle svobodná proto, že je zcela emancipovaná, je aktualizovaná sama v sobě jako „</w:t>
      </w:r>
      <w:proofErr w:type="gramStart"/>
      <w:r w:rsidR="004D0CDE">
        <w:t>potence</w:t>
      </w:r>
      <w:proofErr w:type="gramEnd"/>
      <w:r w:rsidR="004D0CDE">
        <w:t>–</w:t>
      </w:r>
      <w:proofErr w:type="gramStart"/>
      <w:r w:rsidR="004D0CDE">
        <w:t>substance</w:t>
      </w:r>
      <w:proofErr w:type="gramEnd"/>
      <w:r w:rsidR="004D0CDE">
        <w:t xml:space="preserve">“. </w:t>
      </w:r>
      <w:r w:rsidR="004238EB">
        <w:t xml:space="preserve">V nově definovaném schizoidním moderním subjektu </w:t>
      </w:r>
      <w:r w:rsidR="004D0CDE">
        <w:t>může chtít moderní vůle potenciálně úplně všechno</w:t>
      </w:r>
      <w:r w:rsidR="003A0815">
        <w:t xml:space="preserve">, protože je svobodná v mytologickém modu </w:t>
      </w:r>
      <w:r w:rsidR="003A0815" w:rsidRPr="003A0815">
        <w:rPr>
          <w:i/>
        </w:rPr>
        <w:t>absolute</w:t>
      </w:r>
      <w:r w:rsidR="004D0CDE">
        <w:t xml:space="preserve">. </w:t>
      </w:r>
      <w:r w:rsidR="003A0815">
        <w:t xml:space="preserve">Oliviho vůle postavena mimo realitu a mimo intelekt. </w:t>
      </w:r>
      <w:r w:rsidR="004D0CDE">
        <w:t xml:space="preserve">V aristotelském scénáři ale vůle nemůže být zcela </w:t>
      </w:r>
      <w:r w:rsidR="000E5595">
        <w:t xml:space="preserve">autonomní a </w:t>
      </w:r>
      <w:r w:rsidR="004D0CDE">
        <w:lastRenderedPageBreak/>
        <w:t>iracionální</w:t>
      </w:r>
      <w:r w:rsidR="004238EB">
        <w:t>, protože defin</w:t>
      </w:r>
      <w:r w:rsidR="000E5595">
        <w:t>i</w:t>
      </w:r>
      <w:r w:rsidR="004238EB">
        <w:t xml:space="preserve">ce osoby </w:t>
      </w:r>
      <w:r w:rsidR="000E5595">
        <w:t xml:space="preserve">je založena na </w:t>
      </w:r>
      <w:r w:rsidR="004238EB">
        <w:t>jednot</w:t>
      </w:r>
      <w:r w:rsidR="000E5595">
        <w:t>ě</w:t>
      </w:r>
      <w:r w:rsidR="004238EB">
        <w:t xml:space="preserve"> a rozumnost</w:t>
      </w:r>
      <w:r w:rsidR="000E5595">
        <w:t>i</w:t>
      </w:r>
      <w:r w:rsidR="004D0CDE">
        <w:t xml:space="preserve">. Praktický intelekt </w:t>
      </w:r>
      <w:r>
        <w:t>determin</w:t>
      </w:r>
      <w:r w:rsidR="004D0CDE">
        <w:t xml:space="preserve">uje chtění </w:t>
      </w:r>
      <w:r w:rsidRPr="00273106">
        <w:t xml:space="preserve">směrem k jednomu určitému účinku danému </w:t>
      </w:r>
      <w:r>
        <w:t xml:space="preserve">intelektuálním </w:t>
      </w:r>
      <w:r w:rsidRPr="00273106">
        <w:t xml:space="preserve">poznáním </w:t>
      </w:r>
      <w:r>
        <w:t xml:space="preserve">příslušného </w:t>
      </w:r>
      <w:r w:rsidRPr="00273106">
        <w:t xml:space="preserve">dobra. </w:t>
      </w:r>
      <w:r w:rsidR="003A0815">
        <w:t>Aristotelská v</w:t>
      </w:r>
      <w:r w:rsidR="004D0CDE">
        <w:t xml:space="preserve">ůle je </w:t>
      </w:r>
      <w:r w:rsidR="004D0CDE" w:rsidRPr="00273106">
        <w:rPr>
          <w:i/>
        </w:rPr>
        <w:t>causa efficiens</w:t>
      </w:r>
      <w:r w:rsidR="004D0CDE">
        <w:rPr>
          <w:i/>
        </w:rPr>
        <w:t xml:space="preserve"> </w:t>
      </w:r>
      <w:r w:rsidR="004D0CDE">
        <w:t xml:space="preserve">proto, že ji </w:t>
      </w:r>
      <w:r w:rsidR="004D0CDE" w:rsidRPr="00273106">
        <w:t xml:space="preserve"> </w:t>
      </w:r>
      <w:r w:rsidR="004D0CDE" w:rsidRPr="0871637D">
        <w:rPr>
          <w:i/>
        </w:rPr>
        <w:t>intellectus practicus</w:t>
      </w:r>
      <w:r w:rsidR="003A0815">
        <w:t xml:space="preserve"> zaměřuje</w:t>
      </w:r>
      <w:r w:rsidR="004D0CDE">
        <w:t xml:space="preserve"> k určitému dobru.</w:t>
      </w:r>
      <w:r w:rsidR="00CE3F5C">
        <w:t xml:space="preserve"> </w:t>
      </w:r>
      <w:r w:rsidR="00CE3F5C" w:rsidRPr="00CE3F5C">
        <w:t xml:space="preserve">Pokud je na prvním místě vůle, musí se podle toho změnit i proces poznávání. Olivi odmítl platnost aristotelských argumentů o poznávání prostřednictvím fantasmat. </w:t>
      </w:r>
      <w:r w:rsidR="00CE3F5C">
        <w:t xml:space="preserve">Fantasmata nejsou potřeba jako mediátoři pro </w:t>
      </w:r>
      <w:proofErr w:type="gramStart"/>
      <w:r w:rsidR="00CE3F5C">
        <w:t xml:space="preserve">aktualizaci </w:t>
      </w:r>
      <w:r w:rsidRPr="00273106">
        <w:t xml:space="preserve"> poznání</w:t>
      </w:r>
      <w:proofErr w:type="gramEnd"/>
      <w:r w:rsidRPr="00273106">
        <w:t xml:space="preserve"> a chtění</w:t>
      </w:r>
      <w:r w:rsidR="00CE3F5C">
        <w:t xml:space="preserve"> v duši. H</w:t>
      </w:r>
      <w:r>
        <w:t>ypostázovaný intelekt a vůle existují v duši substanciálně a jsou přímo zakoušeny skrze akt avicennovské a augustiniánské sebereflexe</w:t>
      </w:r>
      <w:r w:rsidRPr="00273106">
        <w:t xml:space="preserve">. </w:t>
      </w:r>
      <w:r>
        <w:t xml:space="preserve">Kvestie 57 proto </w:t>
      </w:r>
      <w:r w:rsidRPr="00273106">
        <w:t xml:space="preserve">odmítne princip nasvícení </w:t>
      </w:r>
      <w:r>
        <w:t>intelektu zepředu, jak jej postuloval</w:t>
      </w:r>
      <w:r w:rsidR="00CE3F5C">
        <w:t>a</w:t>
      </w:r>
      <w:r>
        <w:t xml:space="preserve"> </w:t>
      </w:r>
      <w:r w:rsidR="00CE3F5C">
        <w:t>škola</w:t>
      </w:r>
      <w:r w:rsidR="00CE3F5C" w:rsidRPr="00273106">
        <w:t xml:space="preserve"> prvního averroismu</w:t>
      </w:r>
      <w:r>
        <w:rPr>
          <w:i/>
        </w:rPr>
        <w:fldChar w:fldCharType="begin"/>
      </w:r>
      <w:r>
        <w:instrText xml:space="preserve"> XE "druhý averroismus:</w:instrText>
      </w:r>
      <w:r w:rsidRPr="00D05A73">
        <w:rPr>
          <w:i/>
        </w:rPr>
        <w:instrText>sequaces Aristotelis</w:instrText>
      </w:r>
      <w:r>
        <w:instrText xml:space="preserve">" </w:instrText>
      </w:r>
      <w:r>
        <w:rPr>
          <w:i/>
        </w:rPr>
        <w:fldChar w:fldCharType="end"/>
      </w:r>
      <w:r w:rsidRPr="00273106">
        <w:t>.</w:t>
      </w:r>
    </w:p>
    <w:p w:rsidR="08163013" w:rsidRPr="004E1BA8" w:rsidRDefault="08163013" w:rsidP="08163013">
      <w:pPr>
        <w:pStyle w:val="Citace"/>
        <w:rPr>
          <w:lang w:val="cs-CZ"/>
        </w:rPr>
      </w:pPr>
      <w:r>
        <w:t>„</w:t>
      </w:r>
      <w:r>
        <w:rPr>
          <w:lang w:val="cs-CZ"/>
        </w:rPr>
        <w:t>V tomto stavu, totiž oslavení, nevinnosti, milosti a trestu mohou naše mysli reflektovat samy sebe bezprostředně a mimo jakoukoliv pomoc nějakých fantasmat. Fantasmata v tom spíše mysli brání, než pomáhají, což je zřejmé v případě otázky, zda duše může poznat bezprostředně sama sebe plnějším dotykem. Nestarám se o to, že Aristoteles a jeho stoupenci říkají opak.“</w:t>
      </w:r>
      <w:r w:rsidRPr="004E1BA8">
        <w:rPr>
          <w:rStyle w:val="Znakapoznpodarou"/>
        </w:rPr>
        <w:t xml:space="preserve"> </w:t>
      </w:r>
      <w:r w:rsidRPr="00273106">
        <w:rPr>
          <w:rStyle w:val="Znakapoznpodarou"/>
        </w:rPr>
        <w:footnoteReference w:id="369"/>
      </w:r>
    </w:p>
    <w:p w:rsidR="08163013" w:rsidRDefault="08163013" w:rsidP="08163013">
      <w:r>
        <w:t>Objektivní náhled do nitra člověka vzniká na základě božího zjevení či z přímého náhledu, který bezprostředně poznává esenci duše v aktu sebereflexe (</w:t>
      </w:r>
      <w:r w:rsidRPr="00A76AE3">
        <w:rPr>
          <w:i/>
        </w:rPr>
        <w:t>anima possit se intelligere per se et immediate plenius habet tangi</w:t>
      </w:r>
      <w:r>
        <w:t>). F</w:t>
      </w:r>
      <w:r w:rsidRPr="00273106">
        <w:t xml:space="preserve">antasmata jsou </w:t>
      </w:r>
      <w:r>
        <w:t xml:space="preserve">pro moderní augustiniány a karteziánské avicennisty </w:t>
      </w:r>
      <w:r w:rsidRPr="00273106">
        <w:t xml:space="preserve">překážkou </w:t>
      </w:r>
      <w:r>
        <w:t xml:space="preserve">přímého </w:t>
      </w:r>
      <w:r w:rsidRPr="00273106">
        <w:t xml:space="preserve">poznání </w:t>
      </w:r>
      <w:r>
        <w:t xml:space="preserve">duše </w:t>
      </w:r>
      <w:r w:rsidRPr="00273106">
        <w:t>(</w:t>
      </w:r>
      <w:r w:rsidRPr="00273106">
        <w:rPr>
          <w:i/>
        </w:rPr>
        <w:t>phantasmata eas impediunt</w:t>
      </w:r>
      <w:r>
        <w:t xml:space="preserve">). Smyslová mediace narušuje </w:t>
      </w:r>
      <w:r w:rsidRPr="00273106">
        <w:t>bezprostřední a aktuální poznání</w:t>
      </w:r>
      <w:r>
        <w:t xml:space="preserve"> čistým intelektem a </w:t>
      </w:r>
      <w:r w:rsidR="08DF1981">
        <w:t xml:space="preserve">stejně čistou </w:t>
      </w:r>
      <w:r>
        <w:t>vůlí</w:t>
      </w:r>
      <w:r w:rsidRPr="00273106">
        <w:t xml:space="preserve">. Stejně postupoval Descartes v prvním kroku meditací o první filosofii. </w:t>
      </w:r>
      <w:r>
        <w:t xml:space="preserve">Jeho </w:t>
      </w:r>
      <w:r w:rsidRPr="00A76AE3">
        <w:rPr>
          <w:i/>
        </w:rPr>
        <w:t>cogito</w:t>
      </w:r>
      <w:r>
        <w:t xml:space="preserve"> realizuje bezprostřední sebepoznání v modu plné evidence</w:t>
      </w:r>
      <w:r>
        <w:fldChar w:fldCharType="begin"/>
      </w:r>
      <w:r>
        <w:instrText xml:space="preserve"> XE "</w:instrText>
      </w:r>
      <w:r w:rsidRPr="004D79A7">
        <w:instrText>evidence:Avicenna</w:instrText>
      </w:r>
      <w:r>
        <w:instrText xml:space="preserve">" </w:instrText>
      </w:r>
      <w:r>
        <w:fldChar w:fldCharType="end"/>
      </w:r>
      <w:r>
        <w:t xml:space="preserve"> mimo smysly. </w:t>
      </w:r>
      <w:r w:rsidR="00B74020">
        <w:t xml:space="preserve">Současný nihilismus </w:t>
      </w:r>
      <w:r w:rsidR="00FA2235" w:rsidRPr="00FA2235">
        <w:t>zcela ignor</w:t>
      </w:r>
      <w:r w:rsidR="00B74020">
        <w:t xml:space="preserve">uje </w:t>
      </w:r>
      <w:r w:rsidR="00FA2235" w:rsidRPr="00FA2235">
        <w:t xml:space="preserve">skutečnost, že </w:t>
      </w:r>
      <w:r w:rsidR="00B74020">
        <w:t xml:space="preserve">to je </w:t>
      </w:r>
      <w:r w:rsidR="00FA2235" w:rsidRPr="00FA2235">
        <w:t xml:space="preserve">objektivní vůle, a nikoli </w:t>
      </w:r>
      <w:r w:rsidR="00FA2235" w:rsidRPr="00FA2235">
        <w:rPr>
          <w:i/>
        </w:rPr>
        <w:t>cogito</w:t>
      </w:r>
      <w:r w:rsidR="00FA2235" w:rsidRPr="00FA2235">
        <w:t xml:space="preserve">, co pohání Descartovy meditace ze </w:t>
      </w:r>
      <w:r w:rsidR="00C03F0D">
        <w:t xml:space="preserve">subjektu </w:t>
      </w:r>
      <w:r w:rsidR="00FA2235" w:rsidRPr="00FA2235">
        <w:t xml:space="preserve">do světa. </w:t>
      </w:r>
      <w:r w:rsidR="00A41482">
        <w:t>H</w:t>
      </w:r>
      <w:r w:rsidR="00FA2235" w:rsidRPr="00FA2235">
        <w:t xml:space="preserve">ypostatizovaná moderní a objektivní vůle tak </w:t>
      </w:r>
      <w:r w:rsidR="00FA2235">
        <w:t xml:space="preserve">tvoří </w:t>
      </w:r>
      <w:r w:rsidR="00FA2235" w:rsidRPr="00FA2235">
        <w:t xml:space="preserve">skrytý mytologický základ karteziánského </w:t>
      </w:r>
      <w:r w:rsidR="00FA2235" w:rsidRPr="00FA2235">
        <w:rPr>
          <w:i/>
        </w:rPr>
        <w:t>cogito</w:t>
      </w:r>
      <w:r w:rsidR="00FA2235" w:rsidRPr="00FA2235">
        <w:t xml:space="preserve">. </w:t>
      </w:r>
      <w:r w:rsidR="00A41482" w:rsidRPr="00A41482">
        <w:t>Olivi odmítl základní princip poznání prvního averroismu, tj. expozici</w:t>
      </w:r>
      <w:r w:rsidR="00A41482">
        <w:t xml:space="preserve"> smyslu danou </w:t>
      </w:r>
      <w:r w:rsidR="00A41482" w:rsidRPr="00A41482">
        <w:t xml:space="preserve">zepředu, </w:t>
      </w:r>
      <w:r w:rsidR="00A41482">
        <w:t xml:space="preserve">od </w:t>
      </w:r>
      <w:r w:rsidR="00A41482" w:rsidRPr="00A41482">
        <w:t xml:space="preserve">smyslově poznávaných substancí. Metafyzika vůle definuje podstatu člověka prostřednictvím expozice </w:t>
      </w:r>
      <w:r w:rsidR="00A41482">
        <w:t xml:space="preserve">smyslu určenou </w:t>
      </w:r>
      <w:r w:rsidR="00A41482" w:rsidRPr="00A41482">
        <w:t>zezadu</w:t>
      </w:r>
      <w:r w:rsidR="00A41482">
        <w:fldChar w:fldCharType="begin"/>
      </w:r>
      <w:r w:rsidR="00A41482">
        <w:instrText xml:space="preserve"> XE "zjevování:</w:instrText>
      </w:r>
      <w:r w:rsidR="00A41482" w:rsidRPr="001A6597">
        <w:instrText>nasvícení zezadu</w:instrText>
      </w:r>
      <w:r w:rsidR="00A41482">
        <w:instrText xml:space="preserve">" </w:instrText>
      </w:r>
      <w:r w:rsidR="00A41482">
        <w:fldChar w:fldCharType="end"/>
      </w:r>
      <w:r w:rsidR="00A41482" w:rsidRPr="00A41482">
        <w:t xml:space="preserve">. </w:t>
      </w:r>
      <w:r>
        <w:t xml:space="preserve">Tomuto schématu odpovídá i substanční </w:t>
      </w:r>
      <w:r>
        <w:lastRenderedPageBreak/>
        <w:t>a esencialistická definice intelektu a vůle jako jsoucna třetího druhu.</w:t>
      </w:r>
      <w:r>
        <w:rPr>
          <w:iCs/>
        </w:rPr>
        <w:t xml:space="preserve"> M</w:t>
      </w:r>
      <w:r>
        <w:t>editace o moderním subjektu vezmou ve druhém kroku objektivně danou esenciální schopnost intelektuálního náhledu jako zdroj objektivní kauzality</w:t>
      </w:r>
      <w:r>
        <w:fldChar w:fldCharType="begin"/>
      </w:r>
      <w:r>
        <w:instrText xml:space="preserve"> XE "</w:instrText>
      </w:r>
      <w:r w:rsidRPr="00396D66">
        <w:instrText>kauzalita:vůle</w:instrText>
      </w:r>
      <w:r>
        <w:instrText xml:space="preserve">" </w:instrText>
      </w:r>
      <w:r>
        <w:fldChar w:fldCharType="end"/>
      </w:r>
      <w:r>
        <w:t xml:space="preserve">. </w:t>
      </w:r>
    </w:p>
    <w:p w:rsidR="08163013" w:rsidRPr="00930396" w:rsidRDefault="08163013" w:rsidP="08163013">
      <w:pPr>
        <w:pStyle w:val="Citace"/>
        <w:rPr>
          <w:lang w:val="cs-CZ"/>
        </w:rPr>
      </w:pPr>
      <w:r>
        <w:t>„</w:t>
      </w:r>
      <w:r>
        <w:rPr>
          <w:lang w:val="cs-CZ"/>
        </w:rPr>
        <w:t>Každý akt bere od své účinné příčiny svá nejvlastnější a nejvznešenější určení. Nejvyšší určení jsou obsažena v aktech naší mysli a tvoří podstatu života jako žití, jednoduchosti, intelektuality a podobně.“ </w:t>
      </w:r>
      <w:r>
        <w:rPr>
          <w:rStyle w:val="Znakapoznpodarou"/>
        </w:rPr>
        <w:footnoteReference w:id="370"/>
      </w:r>
    </w:p>
    <w:p w:rsidR="00D35EA2" w:rsidRDefault="08C848A1" w:rsidP="00BC06D0">
      <w:r>
        <w:t xml:space="preserve">Čistá </w:t>
      </w:r>
      <w:r w:rsidR="08163013">
        <w:t xml:space="preserve">esence určuje nejzákladnější akty, které v modu plné jednoduchosti do sebe zahrnují pouze vyšší schopnosti duše dané v modu </w:t>
      </w:r>
      <w:r w:rsidR="08163013" w:rsidRPr="00C56943">
        <w:rPr>
          <w:i/>
        </w:rPr>
        <w:t>simplicitatis</w:t>
      </w:r>
      <w:r w:rsidR="08163013">
        <w:rPr>
          <w:i/>
        </w:rPr>
        <w:t xml:space="preserve"> et </w:t>
      </w:r>
      <w:r w:rsidR="08163013" w:rsidRPr="000A3073">
        <w:rPr>
          <w:i/>
        </w:rPr>
        <w:t>intellectualitatis</w:t>
      </w:r>
      <w:r w:rsidR="08163013">
        <w:t>. Tato esenciální jednoduchost slouží jako účinná příčina všech aktů člověka. D</w:t>
      </w:r>
      <w:r w:rsidR="08163013" w:rsidRPr="00273106">
        <w:t xml:space="preserve">uše se poznává </w:t>
      </w:r>
      <w:r w:rsidR="08163013">
        <w:t xml:space="preserve">bezprostředně a plně aktuálně skrze svobodné chtění aktualizované a hypostázované ve vůli jako zakoušené substanci. </w:t>
      </w:r>
      <w:r w:rsidR="08163013">
        <w:rPr>
          <w:iCs/>
        </w:rPr>
        <w:t>P</w:t>
      </w:r>
      <w:r w:rsidR="08163013">
        <w:t>ojetí esenciálních hypostází pro intelekt a vůli jako jsoucen třetího druhu patř</w:t>
      </w:r>
      <w:r>
        <w:t>í do školy druhého averroismu. A</w:t>
      </w:r>
      <w:r w:rsidR="08163013">
        <w:t xml:space="preserve">le v semiaverroistické formě </w:t>
      </w:r>
      <w:r>
        <w:t>najdeme toto hypostázování intelektu také v tomismu</w:t>
      </w:r>
      <w:r w:rsidR="08163013">
        <w:t xml:space="preserve">. Olivi už znal první verzi </w:t>
      </w:r>
      <w:proofErr w:type="gramStart"/>
      <w:r w:rsidR="08163013">
        <w:t>tomismu a proto</w:t>
      </w:r>
      <w:proofErr w:type="gramEnd"/>
      <w:r w:rsidR="08163013">
        <w:t xml:space="preserve"> radikalizoval Akvinského pojetí intelektu jako hypostázované formy duše (</w:t>
      </w:r>
      <w:r w:rsidR="08163013" w:rsidRPr="00273106">
        <w:rPr>
          <w:i/>
        </w:rPr>
        <w:t>intellectum, quo opinatur et intelligit anima</w:t>
      </w:r>
      <w:r w:rsidR="08163013" w:rsidRPr="006C7A0F">
        <w:rPr>
          <w:i/>
        </w:rPr>
        <w:fldChar w:fldCharType="begin"/>
      </w:r>
      <w:r w:rsidR="08163013" w:rsidRPr="006C7A0F">
        <w:instrText xml:space="preserve"> XE "</w:instrText>
      </w:r>
      <w:r w:rsidR="08163013">
        <w:instrText>vůle</w:instrText>
      </w:r>
      <w:r w:rsidR="08163013" w:rsidRPr="006C7A0F">
        <w:instrText xml:space="preserve">:modus </w:instrText>
      </w:r>
      <w:r w:rsidR="08163013" w:rsidRPr="006C7A0F">
        <w:rPr>
          <w:i/>
        </w:rPr>
        <w:instrText>qua</w:instrText>
      </w:r>
      <w:r w:rsidR="08163013">
        <w:rPr>
          <w:i/>
          <w:vertAlign w:val="superscript"/>
        </w:rPr>
        <w:instrText>2</w:instrText>
      </w:r>
      <w:r w:rsidR="08163013" w:rsidRPr="006C7A0F">
        <w:instrText xml:space="preserve">" </w:instrText>
      </w:r>
      <w:r w:rsidR="08163013" w:rsidRPr="006C7A0F">
        <w:rPr>
          <w:i/>
        </w:rPr>
        <w:fldChar w:fldCharType="end"/>
      </w:r>
      <w:r>
        <w:t>, kap. 4</w:t>
      </w:r>
      <w:r w:rsidR="08163013">
        <w:t>.5.4). Olivi definoval vůli podle tomistické hypostázované formy a současně v modu Sigerovy ipseity. Siger měl tento typ určení existence pouze pro osobu jako aktuální první substanci (</w:t>
      </w:r>
      <w:r w:rsidR="08163013" w:rsidRPr="00651B60">
        <w:rPr>
          <w:i/>
          <w:lang w:eastAsia="en-US"/>
        </w:rPr>
        <w:t>vivere est viventibus esse</w:t>
      </w:r>
      <w:r w:rsidR="08163013" w:rsidRPr="08493D95">
        <w:t xml:space="preserve">, kap. </w:t>
      </w:r>
      <w:r>
        <w:t>4</w:t>
      </w:r>
      <w:r w:rsidR="08163013">
        <w:t>.5</w:t>
      </w:r>
      <w:r w:rsidR="08163013" w:rsidRPr="08493D95">
        <w:t>.4).</w:t>
      </w:r>
      <w:r w:rsidR="08163013">
        <w:t xml:space="preserve"> </w:t>
      </w:r>
      <w:r w:rsidR="00531D8F">
        <w:t xml:space="preserve">Nové pojetí vůle bylo současně tomistickou hypostází a dostalo Sigerovo pojetí ipseity, které bylo spojeno se austinskou formu niternosti a sebereflexivity. Tím vzniklo první pojetí </w:t>
      </w:r>
      <w:r w:rsidR="00531D8F" w:rsidRPr="00531D8F">
        <w:rPr>
          <w:i/>
        </w:rPr>
        <w:t>tertium ens</w:t>
      </w:r>
      <w:r w:rsidR="00531D8F">
        <w:t>, které dostalo intimní a niterný charakter. Moderní intimita</w:t>
      </w:r>
      <w:r w:rsidR="08163013" w:rsidRPr="00273106">
        <w:t xml:space="preserve"> </w:t>
      </w:r>
      <w:r w:rsidR="08163013">
        <w:t xml:space="preserve">vůle </w:t>
      </w:r>
      <w:r w:rsidR="08163013" w:rsidRPr="00273106">
        <w:t xml:space="preserve">využívá Augustinovy reflexe zaměřené do vlastního nitra. Skrze paměť, reflexi a osvícení vírou odkrýváme vlastní Já na základě </w:t>
      </w:r>
      <w:r w:rsidR="08163013">
        <w:t>neoplatonsk</w:t>
      </w:r>
      <w:r w:rsidR="08163013" w:rsidRPr="00273106">
        <w:t>y pojaté anamnéze mysli.</w:t>
      </w:r>
      <w:r w:rsidR="08163013">
        <w:t xml:space="preserve"> Moderní vůle porretánsky „exsistuje“ v modu </w:t>
      </w:r>
      <w:r w:rsidR="08163013" w:rsidRPr="006821D1">
        <w:rPr>
          <w:i/>
        </w:rPr>
        <w:t>per prius</w:t>
      </w:r>
      <w:r w:rsidR="08163013">
        <w:rPr>
          <w:i/>
        </w:rPr>
        <w:fldChar w:fldCharType="begin"/>
      </w:r>
      <w:r w:rsidR="08163013">
        <w:instrText xml:space="preserve"> XE "vůle:</w:instrText>
      </w:r>
      <w:r w:rsidR="08163013" w:rsidRPr="00BF43C0">
        <w:rPr>
          <w:i/>
        </w:rPr>
        <w:instrText>per prius</w:instrText>
      </w:r>
      <w:r w:rsidR="08163013">
        <w:instrText xml:space="preserve">" </w:instrText>
      </w:r>
      <w:r w:rsidR="08163013">
        <w:rPr>
          <w:i/>
        </w:rPr>
        <w:fldChar w:fldCharType="end"/>
      </w:r>
      <w:r w:rsidR="08163013">
        <w:t xml:space="preserve"> v hypostatické jednoduchosti a bytí. </w:t>
      </w:r>
      <w:r w:rsidR="00370DC1">
        <w:t xml:space="preserve">Olivi </w:t>
      </w:r>
      <w:r w:rsidR="001D4BCD">
        <w:t>přesně uchopil</w:t>
      </w:r>
      <w:r w:rsidR="08163013">
        <w:t xml:space="preserve"> smysl argumentace Sigera proti Akvinskému ohledně hypostázovaného intelektu v modu </w:t>
      </w:r>
      <w:r w:rsidR="08163013" w:rsidRPr="005F6F55">
        <w:rPr>
          <w:i/>
        </w:rPr>
        <w:t>qua</w:t>
      </w:r>
      <w:r w:rsidR="08163013" w:rsidRPr="005F6F55">
        <w:rPr>
          <w:i/>
          <w:vertAlign w:val="superscript"/>
        </w:rPr>
        <w:t>2</w:t>
      </w:r>
      <w:r w:rsidR="08163013">
        <w:t xml:space="preserve"> </w:t>
      </w:r>
      <w:r w:rsidR="08163013" w:rsidRPr="006C7A0F">
        <w:rPr>
          <w:i/>
        </w:rPr>
        <w:fldChar w:fldCharType="begin"/>
      </w:r>
      <w:r w:rsidR="08163013" w:rsidRPr="006C7A0F">
        <w:instrText xml:space="preserve"> XE "</w:instrText>
      </w:r>
      <w:r w:rsidR="08163013">
        <w:instrText>vůle</w:instrText>
      </w:r>
      <w:r w:rsidR="08163013" w:rsidRPr="006C7A0F">
        <w:instrText xml:space="preserve">:modus </w:instrText>
      </w:r>
      <w:r w:rsidR="08163013" w:rsidRPr="006C7A0F">
        <w:rPr>
          <w:i/>
        </w:rPr>
        <w:instrText>qua</w:instrText>
      </w:r>
      <w:r w:rsidR="08163013">
        <w:rPr>
          <w:i/>
          <w:vertAlign w:val="superscript"/>
        </w:rPr>
        <w:instrText>2</w:instrText>
      </w:r>
      <w:r w:rsidR="08163013" w:rsidRPr="006C7A0F">
        <w:instrText xml:space="preserve">" </w:instrText>
      </w:r>
      <w:r w:rsidR="08163013" w:rsidRPr="006C7A0F">
        <w:rPr>
          <w:i/>
        </w:rPr>
        <w:fldChar w:fldCharType="end"/>
      </w:r>
      <w:r w:rsidR="08600FE5">
        <w:t xml:space="preserve"> (kap. 4</w:t>
      </w:r>
      <w:r w:rsidR="08163013">
        <w:t>.5.3)</w:t>
      </w:r>
      <w:r w:rsidR="001D4BCD">
        <w:t>. P</w:t>
      </w:r>
      <w:r w:rsidR="08163013">
        <w:t xml:space="preserve">řenesl Averroesův model intelektu jako </w:t>
      </w:r>
      <w:r w:rsidR="08163013" w:rsidRPr="00444502">
        <w:rPr>
          <w:i/>
        </w:rPr>
        <w:t xml:space="preserve">tertium </w:t>
      </w:r>
      <w:r w:rsidR="00962190">
        <w:rPr>
          <w:i/>
        </w:rPr>
        <w:t>genus</w:t>
      </w:r>
      <w:r w:rsidR="08163013">
        <w:rPr>
          <w:i/>
        </w:rPr>
        <w:fldChar w:fldCharType="begin"/>
      </w:r>
      <w:r w:rsidR="08163013">
        <w:instrText xml:space="preserve"> XE "</w:instrText>
      </w:r>
      <w:r w:rsidR="08163013" w:rsidRPr="00D80F84">
        <w:rPr>
          <w:i/>
        </w:rPr>
        <w:instrText>tertium genus</w:instrText>
      </w:r>
      <w:r w:rsidR="08163013">
        <w:instrText xml:space="preserve">" </w:instrText>
      </w:r>
      <w:r w:rsidR="08163013">
        <w:rPr>
          <w:i/>
        </w:rPr>
        <w:fldChar w:fldCharType="end"/>
      </w:r>
      <w:r w:rsidR="08163013">
        <w:t xml:space="preserve"> na novou formu hypostázované vůle v pseudo-existenciálním modu „</w:t>
      </w:r>
      <w:r w:rsidR="08163013">
        <w:rPr>
          <w:i/>
        </w:rPr>
        <w:t>voluntas ipsa</w:t>
      </w:r>
      <w:r w:rsidR="08163013" w:rsidRPr="084721EB">
        <w:rPr>
          <w:i/>
        </w:rPr>
        <w:t xml:space="preserve"> </w:t>
      </w:r>
      <w:r w:rsidR="08163013">
        <w:rPr>
          <w:i/>
        </w:rPr>
        <w:t>vult</w:t>
      </w:r>
      <w:r w:rsidR="08163013" w:rsidRPr="08BC4E42">
        <w:t>“</w:t>
      </w:r>
      <w:r w:rsidR="08163013">
        <w:t xml:space="preserve">. </w:t>
      </w:r>
      <w:r w:rsidR="003A2CA4">
        <w:t xml:space="preserve">Olivi dal po vzoru </w:t>
      </w:r>
      <w:r w:rsidR="003A2CA4">
        <w:lastRenderedPageBreak/>
        <w:t>Sigerova „</w:t>
      </w:r>
      <w:r w:rsidR="003A2CA4">
        <w:rPr>
          <w:i/>
        </w:rPr>
        <w:t>homo ipse intelligit</w:t>
      </w:r>
      <w:r w:rsidR="003A2CA4">
        <w:t>“</w:t>
      </w:r>
      <w:r w:rsidR="003A2CA4">
        <w:rPr>
          <w:i/>
        </w:rPr>
        <w:fldChar w:fldCharType="begin"/>
      </w:r>
      <w:r w:rsidR="003A2CA4">
        <w:instrText xml:space="preserve"> XE "</w:instrText>
      </w:r>
      <w:r w:rsidR="003A2CA4" w:rsidRPr="00B935DC">
        <w:rPr>
          <w:rStyle w:val="Zkladntext350"/>
        </w:rPr>
        <w:instrText>osoba</w:instrText>
      </w:r>
      <w:r w:rsidR="003A2CA4" w:rsidRPr="00B935DC">
        <w:rPr>
          <w:rStyle w:val="Zkladntext350"/>
          <w:i/>
        </w:rPr>
        <w:instrText>:</w:instrText>
      </w:r>
      <w:r w:rsidR="003A2CA4">
        <w:rPr>
          <w:rStyle w:val="Zkladntext350"/>
          <w:i/>
        </w:rPr>
        <w:instrText>homo ipse intelligit</w:instrText>
      </w:r>
      <w:r w:rsidR="003A2CA4">
        <w:instrText xml:space="preserve">" </w:instrText>
      </w:r>
      <w:r w:rsidR="003A2CA4">
        <w:rPr>
          <w:i/>
        </w:rPr>
        <w:fldChar w:fldCharType="end"/>
      </w:r>
      <w:r w:rsidR="003A2CA4">
        <w:t xml:space="preserve"> jednotu osoby do intimity svobodně se reflekt</w:t>
      </w:r>
      <w:r w:rsidR="00D35EA2">
        <w:t>ujícího a zakoušeného subjektu.</w:t>
      </w:r>
    </w:p>
    <w:p w:rsidR="006715FD" w:rsidRDefault="003A2CA4" w:rsidP="00D35EA2">
      <w:pPr>
        <w:ind w:firstLine="397"/>
        <w:rPr>
          <w:iCs/>
        </w:rPr>
      </w:pPr>
      <w:r>
        <w:t xml:space="preserve">Vůle se stala novou hypostázovanou substancí po vzoru druhého averroismu, ale byla zasazena do nové jednoty osoby v modu intimní ipseity dané podle Sigerovy školy prvního averroismu. Substanční </w:t>
      </w:r>
      <w:r w:rsidRPr="00273106">
        <w:t xml:space="preserve">pojetí vůle patřilo k běžné </w:t>
      </w:r>
      <w:r>
        <w:t xml:space="preserve">intelektuální </w:t>
      </w:r>
      <w:r w:rsidRPr="00273106">
        <w:t xml:space="preserve">výbavě </w:t>
      </w:r>
      <w:r>
        <w:t>františkánů ze školy druhého averroismu kolem 1270. To u</w:t>
      </w:r>
      <w:r w:rsidRPr="00273106">
        <w:t xml:space="preserve">kazují </w:t>
      </w:r>
      <w:r>
        <w:rPr>
          <w:i/>
        </w:rPr>
        <w:t>Quaestiones</w:t>
      </w:r>
      <w:r w:rsidRPr="00273106">
        <w:rPr>
          <w:i/>
        </w:rPr>
        <w:t xml:space="preserve"> disputatae</w:t>
      </w:r>
      <w:r w:rsidRPr="00273106">
        <w:t xml:space="preserve"> (asi 1267‒68) od Gauthiera z Bruges (Gualterus Brugensis). Tento františkánský </w:t>
      </w:r>
      <w:r w:rsidRPr="00273106">
        <w:rPr>
          <w:i/>
        </w:rPr>
        <w:t>magister regens</w:t>
      </w:r>
      <w:r w:rsidRPr="00273106">
        <w:t xml:space="preserve"> z Paříže (1267‒69) </w:t>
      </w:r>
      <w:r>
        <w:t>do</w:t>
      </w:r>
      <w:r w:rsidRPr="00273106">
        <w:t>kazuje, že intelekt má aktualitu danou vlastní</w:t>
      </w:r>
      <w:r>
        <w:t>m</w:t>
      </w:r>
      <w:r w:rsidRPr="00273106">
        <w:t xml:space="preserve"> aktivním náhledem do prvních principů poznání (</w:t>
      </w:r>
      <w:r w:rsidRPr="00273106">
        <w:rPr>
          <w:i/>
        </w:rPr>
        <w:t>educit se de potentia ad actum</w:t>
      </w:r>
      <w:r w:rsidRPr="00273106">
        <w:t>).</w:t>
      </w:r>
      <w:r w:rsidRPr="00273106">
        <w:rPr>
          <w:rStyle w:val="Znakapoznpodarou"/>
        </w:rPr>
        <w:footnoteReference w:id="371"/>
      </w:r>
      <w:r w:rsidRPr="00273106">
        <w:t xml:space="preserve"> Podobnou aktualitu má i vůle vzhledem ke chtěnému dobru (</w:t>
      </w:r>
      <w:r w:rsidRPr="00CD6D3C">
        <w:rPr>
          <w:i/>
        </w:rPr>
        <w:t>voluntas</w:t>
      </w:r>
      <w:r w:rsidRPr="00273106">
        <w:t xml:space="preserve"> </w:t>
      </w:r>
      <w:r w:rsidRPr="00273106">
        <w:rPr>
          <w:i/>
        </w:rPr>
        <w:t>est in actu et determinata respectu boni</w:t>
      </w:r>
      <w:r w:rsidRPr="00273106">
        <w:t xml:space="preserve">). Olivi drží </w:t>
      </w:r>
      <w:r>
        <w:t>substanční aktualitu vůle, ale definuje ji podle ipseity Sigera. P</w:t>
      </w:r>
      <w:r w:rsidRPr="00273106">
        <w:t xml:space="preserve">ostupoval </w:t>
      </w:r>
      <w:r>
        <w:t xml:space="preserve">podobným způsobem </w:t>
      </w:r>
      <w:r w:rsidRPr="00273106">
        <w:t xml:space="preserve">jako Siger, jehož učení </w:t>
      </w:r>
      <w:r>
        <w:t>dobře znal ze studentských let 1267</w:t>
      </w:r>
      <w:r w:rsidRPr="00273106">
        <w:t>‒</w:t>
      </w:r>
      <w:r>
        <w:t>72</w:t>
      </w:r>
      <w:r w:rsidRPr="00273106">
        <w:t xml:space="preserve"> </w:t>
      </w:r>
      <w:r>
        <w:t>v Paříži. Komentář druhé knihy S</w:t>
      </w:r>
      <w:r w:rsidRPr="00273106">
        <w:t xml:space="preserve">entencí se inspiruje fenomenologickou podobou ipseity </w:t>
      </w:r>
      <w:r>
        <w:t xml:space="preserve">z </w:t>
      </w:r>
      <w:r w:rsidRPr="00273106">
        <w:t xml:space="preserve">pojednání </w:t>
      </w:r>
      <w:r>
        <w:rPr>
          <w:i/>
        </w:rPr>
        <w:t>Quaestiones in tertium D</w:t>
      </w:r>
      <w:r w:rsidRPr="00273106">
        <w:rPr>
          <w:i/>
        </w:rPr>
        <w:t>e anima</w:t>
      </w:r>
      <w:r>
        <w:t xml:space="preserve"> (kap. 4</w:t>
      </w:r>
      <w:r w:rsidRPr="00273106">
        <w:t>.4.2).</w:t>
      </w:r>
      <w:r>
        <w:t xml:space="preserve"> Olivi ovšem na rozdíl od Sigera hypostázoval vůli a z esenciálně postulované definice dedukuje její kauzální působení. Siger měl ipseitu v modu prvního averroismu, protože šel od účinků k příčině skrze vykazatelnou zkušenost myšlení v první osobě. Olivi bere m</w:t>
      </w:r>
      <w:r w:rsidRPr="00273106">
        <w:t>odel Sigerova niterného zakoušení (</w:t>
      </w:r>
      <w:r w:rsidRPr="00273106">
        <w:rPr>
          <w:i/>
        </w:rPr>
        <w:t>experimur</w:t>
      </w:r>
      <w:r w:rsidRPr="00273106">
        <w:t xml:space="preserve">, </w:t>
      </w:r>
      <w:r w:rsidRPr="00273106">
        <w:rPr>
          <w:i/>
        </w:rPr>
        <w:t>conscii sumus</w:t>
      </w:r>
      <w:r>
        <w:rPr>
          <w:i/>
        </w:rPr>
        <w:fldChar w:fldCharType="begin"/>
      </w:r>
      <w:r>
        <w:instrText xml:space="preserve"> XE "</w:instrText>
      </w:r>
      <w:r w:rsidRPr="00693BFE">
        <w:instrText>vůle</w:instrText>
      </w:r>
      <w:r w:rsidRPr="00A84CA2">
        <w:rPr>
          <w:i/>
        </w:rPr>
        <w:instrText>:experimur/conscii sumus</w:instrText>
      </w:r>
      <w:r>
        <w:instrText xml:space="preserve">" </w:instrText>
      </w:r>
      <w:r>
        <w:rPr>
          <w:i/>
        </w:rPr>
        <w:fldChar w:fldCharType="end"/>
      </w:r>
      <w:r w:rsidRPr="00273106">
        <w:t xml:space="preserve">) </w:t>
      </w:r>
      <w:r>
        <w:t xml:space="preserve">nikoliv pro </w:t>
      </w:r>
      <w:r w:rsidRPr="00273106">
        <w:rPr>
          <w:i/>
        </w:rPr>
        <w:t>anima intellectiva</w:t>
      </w:r>
      <w:r>
        <w:t xml:space="preserve"> jako formu těla, </w:t>
      </w:r>
      <w:r w:rsidRPr="00273106">
        <w:t xml:space="preserve">ale pro esenciálně pojatou vůli. </w:t>
      </w:r>
      <w:r>
        <w:t xml:space="preserve">Zavedením hypostázované svobodné vůle v modu </w:t>
      </w:r>
      <w:r w:rsidRPr="004D4A6D">
        <w:rPr>
          <w:i/>
        </w:rPr>
        <w:t>ipse</w:t>
      </w:r>
      <w:r>
        <w:t xml:space="preserve"> přibyla v člověku další substance. Intimně daná vůle třetího druhu zakládá v modu hypostázované ipseity již sekundární a proto determinované a kontingentní akty dané jako následky kauzálně působící esence. Proto je v modu </w:t>
      </w:r>
      <w:r w:rsidRPr="006821D1">
        <w:rPr>
          <w:i/>
        </w:rPr>
        <w:t>per posterius</w:t>
      </w:r>
      <w:r>
        <w:t xml:space="preserve"> účinnou příčinou regulovaného jednání moderního agenta a demiurga</w:t>
      </w:r>
      <w:r>
        <w:fldChar w:fldCharType="begin"/>
      </w:r>
      <w:r>
        <w:instrText xml:space="preserve"> XE "</w:instrText>
      </w:r>
      <w:r w:rsidRPr="005C2F4A">
        <w:rPr>
          <w:rStyle w:val="addmd"/>
        </w:rPr>
        <w:instrText>demiurg</w:instrText>
      </w:r>
      <w:r>
        <w:instrText xml:space="preserve">" </w:instrText>
      </w:r>
      <w:r>
        <w:fldChar w:fldCharType="end"/>
      </w:r>
      <w:r>
        <w:t xml:space="preserve">. </w:t>
      </w:r>
      <w:r w:rsidRPr="00273106">
        <w:rPr>
          <w:iCs/>
        </w:rPr>
        <w:t xml:space="preserve">Modernisté vinou </w:t>
      </w:r>
      <w:r w:rsidRPr="00273106">
        <w:rPr>
          <w:i/>
          <w:iCs/>
        </w:rPr>
        <w:t>Oxfordian Fallacy</w:t>
      </w:r>
      <w:r w:rsidRPr="00273106">
        <w:rPr>
          <w:iCs/>
        </w:rPr>
        <w:t xml:space="preserve"> ztratili kontakt s realitou, protože upřednostnili poznání pouhé esence. Viz jejich deformaci kauzální determinace v rámci středního členu soudu (</w:t>
      </w:r>
      <w:r w:rsidRPr="00273106">
        <w:rPr>
          <w:i/>
          <w:iCs/>
        </w:rPr>
        <w:t>medium</w:t>
      </w:r>
      <w:r w:rsidRPr="00273106">
        <w:rPr>
          <w:iCs/>
        </w:rPr>
        <w:t xml:space="preserve">), kterou první averroismus kladl po vzoru </w:t>
      </w:r>
      <w:r w:rsidRPr="08B24CEE">
        <w:rPr>
          <w:i/>
          <w:iCs/>
        </w:rPr>
        <w:t>Druhých analytik</w:t>
      </w:r>
      <w:r w:rsidRPr="00273106">
        <w:rPr>
          <w:iCs/>
        </w:rPr>
        <w:t xml:space="preserve"> pouze do působení reálné první substance (</w:t>
      </w:r>
      <w:r>
        <w:rPr>
          <w:iCs/>
        </w:rPr>
        <w:t>OBJ II, kap. 3</w:t>
      </w:r>
      <w:r w:rsidRPr="00273106">
        <w:rPr>
          <w:iCs/>
        </w:rPr>
        <w:t>.1.1).</w:t>
      </w:r>
    </w:p>
    <w:p w:rsidR="003A2CA4" w:rsidRPr="080825B8" w:rsidRDefault="003A2CA4" w:rsidP="003A2CA4">
      <w:pPr>
        <w:ind w:firstLine="397"/>
      </w:pPr>
      <w:r>
        <w:lastRenderedPageBreak/>
        <w:t xml:space="preserve">Tvořivý františkán </w:t>
      </w:r>
      <w:r w:rsidRPr="00273106">
        <w:t>vytvořil objektivní určení vůle</w:t>
      </w:r>
      <w:r>
        <w:t xml:space="preserve"> v ipseitním modu </w:t>
      </w:r>
      <w:r w:rsidRPr="00327749">
        <w:rPr>
          <w:i/>
        </w:rPr>
        <w:t>Oxfordian Fallacy</w:t>
      </w:r>
      <w:r w:rsidRPr="00273106">
        <w:t xml:space="preserve"> a </w:t>
      </w:r>
      <w:r>
        <w:t xml:space="preserve">tím založil </w:t>
      </w:r>
      <w:r w:rsidRPr="00273106">
        <w:t xml:space="preserve">moderní </w:t>
      </w:r>
      <w:r>
        <w:t xml:space="preserve">svobodný </w:t>
      </w:r>
      <w:r w:rsidRPr="00273106">
        <w:t>subjekt.</w:t>
      </w:r>
      <w:r>
        <w:t xml:space="preserve"> Iluminát Olivi ze školy druhého averroismu pochopil novátorství Sigera, které odmítl teolog Akvinský ze školy prvního averroismu. </w:t>
      </w:r>
      <w:r w:rsidRPr="00552949">
        <w:t>Siger tvrdí, že bezprostředně prožívaný akt poznání je přímo zachycen v aktu poznání, který pojal v holistickém modu ipseity.</w:t>
      </w:r>
      <w:r>
        <w:t xml:space="preserve"> Intimně zakoušená svobodná vůle Oliviho přesahuje (</w:t>
      </w:r>
      <w:r w:rsidRPr="00FB2C4A">
        <w:rPr>
          <w:i/>
        </w:rPr>
        <w:t>exsistit</w:t>
      </w:r>
      <w:r>
        <w:t>) stejným způsobem ve svých účincích z primární a substanční niternosti směrem do externího předmětného světa. Následující citát ukazuje původ romantické intimity svobodného moderního subjektu.</w:t>
      </w:r>
    </w:p>
    <w:p w:rsidR="003A2CA4" w:rsidRPr="08554BD3" w:rsidRDefault="003A2CA4" w:rsidP="003A2CA4">
      <w:pPr>
        <w:pStyle w:val="Citace"/>
      </w:pPr>
      <w:r w:rsidRPr="08554BD3">
        <w:t>„Jestliže jsou účinky dány od něčeho odděleného, pak se v nás nemohou iniciovat od činitele, jehož výkon a povaha by nedosáhla do nitra naší mysli (</w:t>
      </w:r>
      <w:r w:rsidRPr="08554BD3">
        <w:rPr>
          <w:rStyle w:val="FontStyle116"/>
          <w:rFonts w:ascii="Calibri" w:hAnsi="Calibri"/>
          <w:i/>
          <w:sz w:val="22"/>
          <w:szCs w:val="20"/>
        </w:rPr>
        <w:t>intimissime interiora nostrae mentis</w:t>
      </w:r>
      <w:r w:rsidRPr="08554BD3">
        <w:t>). Nic nám totiž není niternějšího (</w:t>
      </w:r>
      <w:r w:rsidRPr="08554BD3">
        <w:rPr>
          <w:i/>
        </w:rPr>
        <w:t>nihil nobis intimius</w:t>
      </w:r>
      <w:r w:rsidRPr="08554BD3">
        <w:t>), než akt naší mysli a jeho principy dané niterně (</w:t>
      </w:r>
      <w:r w:rsidRPr="08554BD3">
        <w:rPr>
          <w:i/>
        </w:rPr>
        <w:t>intrinseca principia</w:t>
      </w:r>
      <w:r w:rsidRPr="08554BD3">
        <w:t xml:space="preserve">). V této plnosti intimity jsou dány akty tak, že naše svrchované chtění může změnit jedině bůh (non possunt videri nobis nolentibus ab alio quam a Deo).“ </w:t>
      </w:r>
      <w:r w:rsidRPr="08554BD3">
        <w:rPr>
          <w:rStyle w:val="Znakapoznpodarou"/>
        </w:rPr>
        <w:footnoteReference w:id="372"/>
      </w:r>
    </w:p>
    <w:p w:rsidR="00552949" w:rsidRDefault="003A2CA4" w:rsidP="003A2CA4">
      <w:r>
        <w:t xml:space="preserve">Substance vůle je postavena podle logiky </w:t>
      </w:r>
      <w:r w:rsidRPr="00EE0EDD">
        <w:rPr>
          <w:i/>
        </w:rPr>
        <w:t>non nihil</w:t>
      </w:r>
      <w:r>
        <w:t xml:space="preserve">, kdy je pomocí dvojího záporu hypostázována jako moderní </w:t>
      </w:r>
      <w:r w:rsidRPr="00D93C87">
        <w:rPr>
          <w:i/>
        </w:rPr>
        <w:t>res</w:t>
      </w:r>
      <w:r>
        <w:t xml:space="preserve"> (</w:t>
      </w:r>
      <w:r w:rsidRPr="00EE0EDD">
        <w:rPr>
          <w:i/>
        </w:rPr>
        <w:t xml:space="preserve">non </w:t>
      </w:r>
      <w:proofErr w:type="gramStart"/>
      <w:r>
        <w:rPr>
          <w:i/>
        </w:rPr>
        <w:t>possunt...</w:t>
      </w:r>
      <w:r w:rsidRPr="00EE0EDD">
        <w:rPr>
          <w:i/>
        </w:rPr>
        <w:t>nolentibus</w:t>
      </w:r>
      <w:proofErr w:type="gramEnd"/>
      <w:r>
        <w:t>). Výměr tohoto kladně daného chtění je dán druhým záporem vzhledem k totální jinakovosti boha (</w:t>
      </w:r>
      <w:r w:rsidRPr="002A3661">
        <w:rPr>
          <w:i/>
        </w:rPr>
        <w:t xml:space="preserve">non </w:t>
      </w:r>
      <w:proofErr w:type="gramStart"/>
      <w:r w:rsidRPr="002A3661">
        <w:rPr>
          <w:i/>
        </w:rPr>
        <w:t>possunt</w:t>
      </w:r>
      <w:r>
        <w:t>...</w:t>
      </w:r>
      <w:r w:rsidRPr="002A3661">
        <w:rPr>
          <w:i/>
        </w:rPr>
        <w:t>ab</w:t>
      </w:r>
      <w:proofErr w:type="gramEnd"/>
      <w:r w:rsidRPr="002A3661">
        <w:rPr>
          <w:i/>
        </w:rPr>
        <w:t xml:space="preserve"> alio quam a Deo</w:t>
      </w:r>
      <w:r>
        <w:t xml:space="preserve">). Olivi vytvořil nihilistický subjekt založený na moderní vůli doslova </w:t>
      </w:r>
      <w:r w:rsidRPr="0085329F">
        <w:rPr>
          <w:i/>
        </w:rPr>
        <w:t>ex nihilo</w:t>
      </w:r>
      <w:r>
        <w:t>, pomocí dvojího záporu, kdy oddělil akty vůle jak od boha</w:t>
      </w:r>
      <w:r w:rsidR="005B2C41">
        <w:t>,</w:t>
      </w:r>
      <w:r>
        <w:t xml:space="preserve"> tak od nicoty. Eminentní představitel druhého averroismu otočil Sigerovo fenomenologické „jak“ zakoušíme myšlení (</w:t>
      </w:r>
      <w:r w:rsidRPr="00E57D66">
        <w:rPr>
          <w:i/>
        </w:rPr>
        <w:t>experimur</w:t>
      </w:r>
      <w:r>
        <w:t xml:space="preserve">, </w:t>
      </w:r>
      <w:r w:rsidRPr="00E57D66">
        <w:rPr>
          <w:i/>
        </w:rPr>
        <w:t>conscii sumus</w:t>
      </w:r>
      <w:r>
        <w:rPr>
          <w:i/>
        </w:rPr>
        <w:fldChar w:fldCharType="begin"/>
      </w:r>
      <w:r>
        <w:instrText xml:space="preserve"> XE "</w:instrText>
      </w:r>
      <w:r w:rsidRPr="00693BFE">
        <w:instrText>vůle</w:instrText>
      </w:r>
      <w:r w:rsidRPr="00A84CA2">
        <w:rPr>
          <w:i/>
        </w:rPr>
        <w:instrText>:experimur/conscii sumus</w:instrText>
      </w:r>
      <w:r>
        <w:instrText xml:space="preserve">" </w:instrText>
      </w:r>
      <w:r>
        <w:rPr>
          <w:i/>
        </w:rPr>
        <w:fldChar w:fldCharType="end"/>
      </w:r>
      <w:r>
        <w:t xml:space="preserve">) směrem do niternosti vůle definované jako moderní </w:t>
      </w:r>
      <w:r w:rsidRPr="08630765">
        <w:rPr>
          <w:i/>
        </w:rPr>
        <w:t>ens ratum</w:t>
      </w:r>
      <w:r>
        <w:t xml:space="preserve">. Vůle je definována podle Bonaventury v logice dvojího záporu jako moderní </w:t>
      </w:r>
      <w:r w:rsidRPr="08895AFF">
        <w:rPr>
          <w:i/>
        </w:rPr>
        <w:t>tertium ens</w:t>
      </w:r>
      <w:r>
        <w:t xml:space="preserve"> stvořené v logické abstrakci (kap. 4.1.1). Bonaventura pak pokračuje modem „</w:t>
      </w:r>
      <w:r w:rsidRPr="085F7940">
        <w:rPr>
          <w:i/>
        </w:rPr>
        <w:t>conscii s</w:t>
      </w:r>
      <w:r>
        <w:rPr>
          <w:i/>
        </w:rPr>
        <w:t>u</w:t>
      </w:r>
      <w:r w:rsidRPr="085F7940">
        <w:rPr>
          <w:i/>
        </w:rPr>
        <w:t>mu</w:t>
      </w:r>
      <w:r>
        <w:rPr>
          <w:i/>
        </w:rPr>
        <w:t>s</w:t>
      </w:r>
      <w:r>
        <w:t>“</w:t>
      </w:r>
      <w:r w:rsidRPr="085F7940">
        <w:rPr>
          <w:i/>
        </w:rPr>
        <w:t xml:space="preserve"> </w:t>
      </w:r>
      <w:r>
        <w:t>daného v sebereflexi hypostázovaného intelektu podle Augustina, a ne jako Siger abstrakcí ze smyslů v modu „</w:t>
      </w:r>
      <w:r w:rsidRPr="085F7940">
        <w:rPr>
          <w:i/>
        </w:rPr>
        <w:t>experimur</w:t>
      </w:r>
      <w:r>
        <w:t xml:space="preserve">“. Olivi udělal to samé. Nic nám není bližšího než akty vlastní svobodné vůle, kterou jsme si sami stvořili </w:t>
      </w:r>
      <w:r w:rsidRPr="08CE7346">
        <w:rPr>
          <w:i/>
        </w:rPr>
        <w:t>ex nihilo</w:t>
      </w:r>
      <w:r>
        <w:t xml:space="preserve"> pomocí dvojího logického záporu (</w:t>
      </w:r>
      <w:r w:rsidRPr="00563D54">
        <w:rPr>
          <w:i/>
        </w:rPr>
        <w:t>nihil nobis intimius quam actus nostrae mentis</w:t>
      </w:r>
      <w:r>
        <w:t>). Olivi definuje intimitu vůle v modu Sigerovy ipseity</w:t>
      </w:r>
      <w:r>
        <w:fldChar w:fldCharType="begin"/>
      </w:r>
      <w:r>
        <w:instrText xml:space="preserve"> XE "</w:instrText>
      </w:r>
      <w:r w:rsidRPr="000C371F">
        <w:instrText>osoba:ipseita</w:instrText>
      </w:r>
      <w:r>
        <w:instrText xml:space="preserve">" </w:instrText>
      </w:r>
      <w:r>
        <w:fldChar w:fldCharType="end"/>
      </w:r>
      <w:r>
        <w:t>, nikoliv podle Bonaventurovy objektivity duše či Akvinského objektivní formy hypostázovaného intelektu</w:t>
      </w:r>
      <w:r w:rsidRPr="006C7A0F">
        <w:rPr>
          <w:i/>
        </w:rPr>
        <w:fldChar w:fldCharType="begin"/>
      </w:r>
      <w:r w:rsidRPr="006C7A0F">
        <w:instrText xml:space="preserve"> XE "</w:instrText>
      </w:r>
      <w:r>
        <w:instrText>vůle</w:instrText>
      </w:r>
      <w:r w:rsidRPr="006C7A0F">
        <w:instrText xml:space="preserve">:modus </w:instrText>
      </w:r>
      <w:r w:rsidRPr="006C7A0F">
        <w:rPr>
          <w:i/>
        </w:rPr>
        <w:lastRenderedPageBreak/>
        <w:instrText>qua</w:instrText>
      </w:r>
      <w:r>
        <w:rPr>
          <w:i/>
          <w:vertAlign w:val="superscript"/>
        </w:rPr>
        <w:instrText>2</w:instrText>
      </w:r>
      <w:r w:rsidRPr="006C7A0F">
        <w:instrText xml:space="preserve">" </w:instrText>
      </w:r>
      <w:r w:rsidRPr="006C7A0F">
        <w:rPr>
          <w:i/>
        </w:rPr>
        <w:fldChar w:fldCharType="end"/>
      </w:r>
      <w:r w:rsidRPr="00273106">
        <w:t>.</w:t>
      </w:r>
      <w:r>
        <w:t xml:space="preserve"> </w:t>
      </w:r>
      <w:r w:rsidRPr="00273106">
        <w:t xml:space="preserve">Nové postavení subjektu dané niterností vůle dal Henry z </w:t>
      </w:r>
      <w:proofErr w:type="gramStart"/>
      <w:r w:rsidRPr="00273106">
        <w:t>Gentu</w:t>
      </w:r>
      <w:proofErr w:type="gramEnd"/>
      <w:r w:rsidRPr="00273106">
        <w:t xml:space="preserve"> v další dekádě do ontoteologického</w:t>
      </w:r>
      <w:r>
        <w:t xml:space="preserve"> scénáře absolutní subjektivity </w:t>
      </w:r>
      <w:r w:rsidRPr="00273106">
        <w:t>založené přímo v bohu. Duns Scotus z této ontoteologie vytvoří novou metafyziku a uzavře vývoj objektivity.</w:t>
      </w:r>
      <w:r>
        <w:t xml:space="preserve"> </w:t>
      </w:r>
    </w:p>
    <w:p w:rsidR="08163013" w:rsidRPr="00531D8F" w:rsidRDefault="08163013" w:rsidP="003A2CA4">
      <w:pPr>
        <w:ind w:firstLine="397"/>
      </w:pPr>
      <w:r>
        <w:t xml:space="preserve">Moderní vůle se stala novou hypostází v duši </w:t>
      </w:r>
      <w:r w:rsidR="00DE2166">
        <w:t xml:space="preserve">jako kauzálně působící esence po vzoru Rufuse a Kilwardbyho; navíc </w:t>
      </w:r>
      <w:r>
        <w:t xml:space="preserve">dostala ipseitu </w:t>
      </w:r>
      <w:r w:rsidR="00DE2166">
        <w:t>podle Sigera</w:t>
      </w:r>
      <w:r>
        <w:t>. Nové pojetí vůle se stalo první moderní substancí třetího druhu, která dostala charakter ipseity po vzoru Sigera</w:t>
      </w:r>
      <w:r>
        <w:fldChar w:fldCharType="begin"/>
      </w:r>
      <w:r>
        <w:instrText xml:space="preserve"> XE "</w:instrText>
      </w:r>
      <w:r w:rsidRPr="005677A1">
        <w:instrText>vůle:ips</w:instrText>
      </w:r>
      <w:r>
        <w:instrText>e</w:instrText>
      </w:r>
      <w:r w:rsidRPr="005677A1">
        <w:instrText>ita</w:instrText>
      </w:r>
      <w:r>
        <w:instrText xml:space="preserve">" </w:instrText>
      </w:r>
      <w:r>
        <w:fldChar w:fldCharType="end"/>
      </w:r>
      <w:r>
        <w:t xml:space="preserve">. Tato zásadní změna ve výkladu subjektu založila </w:t>
      </w:r>
      <w:r w:rsidR="00835EC0">
        <w:t xml:space="preserve">nové </w:t>
      </w:r>
      <w:r w:rsidRPr="00BA680F">
        <w:rPr>
          <w:i/>
        </w:rPr>
        <w:t>Lichtung</w:t>
      </w:r>
      <w:r>
        <w:t xml:space="preserve"> moderní metafyziky</w:t>
      </w:r>
      <w:r w:rsidR="00CD15D5">
        <w:t xml:space="preserve"> určené </w:t>
      </w:r>
      <w:r w:rsidR="00D50F82">
        <w:t>hypostázovanou a existeciálně určenou vůlí</w:t>
      </w:r>
      <w:r w:rsidR="00CD15D5">
        <w:t xml:space="preserve">. Koncept intimně pojaté vůle nově </w:t>
      </w:r>
      <w:r>
        <w:t>urč</w:t>
      </w:r>
      <w:r w:rsidR="00CD15D5">
        <w:t xml:space="preserve">il způsob, </w:t>
      </w:r>
      <w:r>
        <w:t>jak (</w:t>
      </w:r>
      <w:r w:rsidR="00CD15D5">
        <w:t xml:space="preserve">hermeneutické </w:t>
      </w:r>
      <w:r w:rsidRPr="00F32C42">
        <w:rPr>
          <w:i/>
        </w:rPr>
        <w:t>Wie</w:t>
      </w:r>
      <w:r>
        <w:rPr>
          <w:i/>
        </w:rPr>
        <w:fldChar w:fldCharType="begin"/>
      </w:r>
      <w:r>
        <w:instrText xml:space="preserve"> XE "hermeneutické </w:instrText>
      </w:r>
      <w:r w:rsidRPr="001A4684">
        <w:rPr>
          <w:i/>
        </w:rPr>
        <w:instrText>Wie</w:instrText>
      </w:r>
      <w:r>
        <w:rPr>
          <w:i/>
        </w:rPr>
        <w:instrText>:</w:instrText>
      </w:r>
      <w:r w:rsidRPr="00693BFE">
        <w:instrText>Olivi</w:instrText>
      </w:r>
      <w:r>
        <w:instrText xml:space="preserve">" </w:instrText>
      </w:r>
      <w:r>
        <w:rPr>
          <w:i/>
        </w:rPr>
        <w:fldChar w:fldCharType="end"/>
      </w:r>
      <w:r>
        <w:t>) je nasvícen smysl jsoucna</w:t>
      </w:r>
      <w:r w:rsidR="00D50F82">
        <w:t xml:space="preserve"> od schizofrenického moderního subjektu (</w:t>
      </w:r>
      <w:r w:rsidR="00D50F82" w:rsidRPr="00D50F82">
        <w:rPr>
          <w:i/>
        </w:rPr>
        <w:t>Vor-blickbahn</w:t>
      </w:r>
      <w:r w:rsidR="00D50F82">
        <w:t>)</w:t>
      </w:r>
      <w:r>
        <w:t>. Olivi překonal primitivní substanční dualismus prvních modernistů propagujících univerzální hylemorfismus</w:t>
      </w:r>
      <w:r>
        <w:fldChar w:fldCharType="begin"/>
      </w:r>
      <w:r>
        <w:instrText xml:space="preserve"> XE "</w:instrText>
      </w:r>
      <w:r w:rsidRPr="005619B2">
        <w:instrText>univerzální hylemorfismus</w:instrText>
      </w:r>
      <w:r>
        <w:instrText xml:space="preserve">" </w:instrText>
      </w:r>
      <w:r>
        <w:fldChar w:fldCharType="end"/>
      </w:r>
      <w:r>
        <w:t xml:space="preserve"> v Oxfordu a v Paříži. Tento model plurality substancí v člověku byl okolo roku 1280 už neudržitelný, což ukázala Pechamova </w:t>
      </w:r>
      <w:r w:rsidR="00380E4D">
        <w:t xml:space="preserve">marná </w:t>
      </w:r>
      <w:r>
        <w:t>sofistika na Oxfordu po</w:t>
      </w:r>
      <w:r w:rsidR="08600FE5">
        <w:t xml:space="preserve"> rehabilitaci Akvinského (kap. 4</w:t>
      </w:r>
      <w:r>
        <w:t xml:space="preserve">.2.1). Navíc na Oxfordu už předešlá generace Grossetesteho nástupců přijala skrze výklad Aegidia v Oxfordském rukopise hypostázovaný intelekt daný v tomismu jako forma duše. </w:t>
      </w:r>
      <w:r w:rsidRPr="00273106">
        <w:t>Následující pasáž ukazuje v kostce všechna protikladná určení moderní vůle</w:t>
      </w:r>
      <w:r>
        <w:fldChar w:fldCharType="begin"/>
      </w:r>
      <w:r>
        <w:instrText xml:space="preserve"> XE "</w:instrText>
      </w:r>
      <w:r w:rsidRPr="004D7D81">
        <w:instrText>vůle:objektivní</w:instrText>
      </w:r>
      <w:r>
        <w:instrText xml:space="preserve">" </w:instrText>
      </w:r>
      <w:r>
        <w:fldChar w:fldCharType="end"/>
      </w:r>
      <w:r>
        <w:t xml:space="preserve"> dané skrze esenciální predikaci </w:t>
      </w:r>
      <w:r w:rsidRPr="08CA2915">
        <w:rPr>
          <w:i/>
        </w:rPr>
        <w:t>in artificialibus</w:t>
      </w:r>
      <w:r>
        <w:rPr>
          <w:i/>
        </w:rPr>
        <w:fldChar w:fldCharType="begin"/>
      </w:r>
      <w:r>
        <w:instrText xml:space="preserve"> XE "</w:instrText>
      </w:r>
      <w:r w:rsidRPr="08BF0516">
        <w:instrText>predikace:</w:instrText>
      </w:r>
      <w:r w:rsidRPr="08BF0516">
        <w:rPr>
          <w:i/>
        </w:rPr>
        <w:instrText>in artificialibus</w:instrText>
      </w:r>
      <w:r>
        <w:instrText xml:space="preserve">" </w:instrText>
      </w:r>
      <w:r>
        <w:rPr>
          <w:i/>
        </w:rPr>
        <w:fldChar w:fldCharType="end"/>
      </w:r>
      <w:r>
        <w:t>.</w:t>
      </w:r>
    </w:p>
    <w:p w:rsidR="08163013" w:rsidRPr="08600FE5" w:rsidRDefault="08163013" w:rsidP="08600FE5">
      <w:pPr>
        <w:pStyle w:val="Citace"/>
      </w:pPr>
      <w:r w:rsidRPr="08600FE5">
        <w:rPr>
          <w:rStyle w:val="FontStyle116"/>
          <w:rFonts w:ascii="Calibri" w:hAnsi="Calibri"/>
          <w:sz w:val="22"/>
          <w:szCs w:val="20"/>
        </w:rPr>
        <w:t>„Každá substančně daná forma má určitou míru aktivních schopností, čili má aktivní potenci založenou v sobě samotné (</w:t>
      </w:r>
      <w:r w:rsidRPr="08600FE5">
        <w:rPr>
          <w:i/>
        </w:rPr>
        <w:t>potentiam activam a se originatam</w:t>
      </w:r>
      <w:r w:rsidRPr="08600FE5">
        <w:rPr>
          <w:rStyle w:val="FontStyle116"/>
          <w:rFonts w:ascii="Calibri" w:hAnsi="Calibri"/>
          <w:sz w:val="22"/>
          <w:szCs w:val="20"/>
        </w:rPr>
        <w:t>) a danou vzhledem k sobě jako nástroj (</w:t>
      </w:r>
      <w:r w:rsidRPr="08600FE5">
        <w:rPr>
          <w:i/>
        </w:rPr>
        <w:t>respectu sui quasi instrumentalem</w:t>
      </w:r>
      <w:r w:rsidRPr="08600FE5">
        <w:rPr>
          <w:rStyle w:val="FontStyle116"/>
          <w:rFonts w:ascii="Calibri" w:hAnsi="Calibri"/>
          <w:sz w:val="22"/>
          <w:szCs w:val="20"/>
        </w:rPr>
        <w:t xml:space="preserve">). Je nemožné, aby tuto schopnost měl celek všech stvořených forem. Ale substanční forma naší mysli, která obsahuje v nejvyšší míře tuto substanční formu naší vůle, neboli svobodu, je vrcholem stvořených forem.“ </w:t>
      </w:r>
      <w:r w:rsidRPr="08600FE5">
        <w:rPr>
          <w:rStyle w:val="Znakapoznpodarou"/>
        </w:rPr>
        <w:footnoteReference w:id="373"/>
      </w:r>
    </w:p>
    <w:p w:rsidR="08163013" w:rsidRPr="088F062C" w:rsidRDefault="08163013" w:rsidP="08163013">
      <w:r w:rsidRPr="00273106">
        <w:t>Vůle je formálně určená substance</w:t>
      </w:r>
      <w:r>
        <w:fldChar w:fldCharType="begin"/>
      </w:r>
      <w:r>
        <w:instrText xml:space="preserve"> XE "</w:instrText>
      </w:r>
      <w:r w:rsidRPr="00DE2A32">
        <w:instrText>substance</w:instrText>
      </w:r>
      <w:r>
        <w:instrText xml:space="preserve">:vůle" </w:instrText>
      </w:r>
      <w:r>
        <w:fldChar w:fldCharType="end"/>
      </w:r>
      <w:r w:rsidRPr="00273106">
        <w:t xml:space="preserve"> (</w:t>
      </w:r>
      <w:r w:rsidRPr="00273106">
        <w:rPr>
          <w:i/>
        </w:rPr>
        <w:t>forma substantialis</w:t>
      </w:r>
      <w:r w:rsidRPr="00273106">
        <w:t>) s vlastní aktivitou, která je aktivní potencí</w:t>
      </w:r>
      <w:r>
        <w:t xml:space="preserve"> a má zdroj</w:t>
      </w:r>
      <w:r w:rsidR="086B185E">
        <w:t xml:space="preserve"> aktuality</w:t>
      </w:r>
      <w:r>
        <w:t xml:space="preserve"> sama v sobě </w:t>
      </w:r>
      <w:r>
        <w:rPr>
          <w:rStyle w:val="FontStyle116"/>
          <w:sz w:val="22"/>
        </w:rPr>
        <w:t>(</w:t>
      </w:r>
      <w:r w:rsidRPr="00AC0C04">
        <w:rPr>
          <w:i/>
        </w:rPr>
        <w:t>potentiam activam a se originatam</w:t>
      </w:r>
      <w:r>
        <w:rPr>
          <w:rStyle w:val="FontStyle116"/>
          <w:sz w:val="22"/>
        </w:rPr>
        <w:t>)</w:t>
      </w:r>
      <w:r w:rsidRPr="00273106">
        <w:t xml:space="preserve">. Vzhledem k sobě funguje </w:t>
      </w:r>
      <w:r>
        <w:t xml:space="preserve">vůle </w:t>
      </w:r>
      <w:r w:rsidRPr="00273106">
        <w:t>jako nástroj (</w:t>
      </w:r>
      <w:r w:rsidRPr="00273106">
        <w:rPr>
          <w:i/>
        </w:rPr>
        <w:t>respectu sui quasi instrumentalem</w:t>
      </w:r>
      <w:r w:rsidRPr="00273106">
        <w:t xml:space="preserve">), protože má vlastní aktualitu. </w:t>
      </w:r>
      <w:r>
        <w:t xml:space="preserve">Vůle-substance zakouší </w:t>
      </w:r>
      <w:r w:rsidR="086B185E">
        <w:t xml:space="preserve">aktuální potenci v modu ipseity a je </w:t>
      </w:r>
      <w:r w:rsidR="086B185E">
        <w:lastRenderedPageBreak/>
        <w:t>původním a absolutně suverénním zdrojem chtění</w:t>
      </w:r>
      <w:r>
        <w:t xml:space="preserve">. Aktivita vůle není </w:t>
      </w:r>
      <w:r w:rsidRPr="00273106">
        <w:t>vykonávána nutně jako u pasivního nástroje ovládaného vnějším hybatelem</w:t>
      </w:r>
      <w:r w:rsidR="084F54DA">
        <w:t xml:space="preserve"> (</w:t>
      </w:r>
      <w:r w:rsidR="084F54DA" w:rsidRPr="003F26F8">
        <w:rPr>
          <w:i/>
          <w:szCs w:val="24"/>
        </w:rPr>
        <w:t>quasi</w:t>
      </w:r>
      <w:r w:rsidR="084F54DA">
        <w:t>)</w:t>
      </w:r>
      <w:r w:rsidRPr="00273106">
        <w:t xml:space="preserve">. Vůle působí svobodně, tedy z hlediska imanentní aktivní potence indiferentně dané vzhledem k budoucímu jednání. Olivi říká, že </w:t>
      </w:r>
      <w:r w:rsidR="00C144A7">
        <w:t xml:space="preserve">žádné jiné </w:t>
      </w:r>
      <w:r w:rsidRPr="00273106">
        <w:t>stvořené</w:t>
      </w:r>
      <w:r>
        <w:t xml:space="preserve"> jsoucn</w:t>
      </w:r>
      <w:r w:rsidR="00C144A7">
        <w:t xml:space="preserve">o </w:t>
      </w:r>
      <w:r w:rsidRPr="00273106">
        <w:t>ne</w:t>
      </w:r>
      <w:r w:rsidR="00C144A7">
        <w:t xml:space="preserve">má tuto </w:t>
      </w:r>
      <w:r>
        <w:t xml:space="preserve">svobodnou </w:t>
      </w:r>
      <w:r w:rsidRPr="00273106">
        <w:t>formu existence (</w:t>
      </w:r>
      <w:r w:rsidRPr="00273106">
        <w:rPr>
          <w:i/>
        </w:rPr>
        <w:t>impossibile est quin summa omnium formarum creatarum hoc habeat</w:t>
      </w:r>
      <w:r w:rsidRPr="00273106">
        <w:t>). Substanční forma svobodné vůle daná tímto paradoxním způsobem z nás činí vrchol stvoření (</w:t>
      </w:r>
      <w:r w:rsidRPr="00273106">
        <w:rPr>
          <w:i/>
        </w:rPr>
        <w:t>potissimum gradum</w:t>
      </w:r>
      <w:r w:rsidRPr="00273106">
        <w:t xml:space="preserve">). Olivi zahájil revoluci myšlení postaveného mimo aristotelsky </w:t>
      </w:r>
      <w:r>
        <w:t xml:space="preserve">predikovanou realitu a novým způsobem postavil člověka na vrchol stvoření. Moderní subjekt tvoří obraz moderního boha ne kvůli intelektu, ale kvůli iracionální a intimně svobodné vůli. Svobodná </w:t>
      </w:r>
      <w:r w:rsidRPr="00273106">
        <w:t xml:space="preserve">vůle </w:t>
      </w:r>
      <w:r w:rsidRPr="00D52D9D">
        <w:rPr>
          <w:i/>
        </w:rPr>
        <w:t>Modernorum</w:t>
      </w:r>
      <w:r>
        <w:t xml:space="preserve"> se </w:t>
      </w:r>
      <w:r w:rsidRPr="00273106">
        <w:t xml:space="preserve">stala svrchovaně imanentní </w:t>
      </w:r>
      <w:r>
        <w:t xml:space="preserve">a účinná </w:t>
      </w:r>
      <w:r w:rsidRPr="00273106">
        <w:rPr>
          <w:i/>
        </w:rPr>
        <w:t>causa sui</w:t>
      </w:r>
      <w:r>
        <w:rPr>
          <w:i/>
        </w:rPr>
        <w:fldChar w:fldCharType="begin"/>
      </w:r>
      <w:r>
        <w:instrText xml:space="preserve"> XE "vůle:</w:instrText>
      </w:r>
      <w:r w:rsidRPr="00901943">
        <w:rPr>
          <w:i/>
        </w:rPr>
        <w:instrText>causa sui</w:instrText>
      </w:r>
      <w:r>
        <w:instrText xml:space="preserve">" </w:instrText>
      </w:r>
      <w:r>
        <w:rPr>
          <w:i/>
        </w:rPr>
        <w:fldChar w:fldCharType="end"/>
      </w:r>
      <w:r w:rsidRPr="00273106">
        <w:t xml:space="preserve">, protože byla vyňata z </w:t>
      </w:r>
      <w:r>
        <w:t xml:space="preserve">aristotelské definice </w:t>
      </w:r>
      <w:r w:rsidRPr="00273106">
        <w:t>kauzality.</w:t>
      </w:r>
      <w:r>
        <w:t xml:space="preserve"> </w:t>
      </w:r>
      <w:r w:rsidRPr="088F062C">
        <w:t>Vůle je svobodná tím, že může aktuálně chtít i nechtít a přitom si sama v sobě zachovává indiferentní vztah k oběma možnostem (</w:t>
      </w:r>
      <w:r w:rsidRPr="088F062C">
        <w:rPr>
          <w:i/>
        </w:rPr>
        <w:t>esse ad</w:t>
      </w:r>
      <w:r w:rsidRPr="088F062C">
        <w:fldChar w:fldCharType="begin"/>
      </w:r>
      <w:r w:rsidRPr="088F062C">
        <w:instrText xml:space="preserve"> XE "esse </w:instrText>
      </w:r>
      <w:proofErr w:type="gramStart"/>
      <w:r w:rsidRPr="088F062C">
        <w:instrText>ad</w:instrText>
      </w:r>
      <w:proofErr w:type="gramEnd"/>
      <w:r w:rsidRPr="088F062C">
        <w:instrText xml:space="preserve">:Olivi" </w:instrText>
      </w:r>
      <w:r w:rsidRPr="088F062C">
        <w:fldChar w:fldCharType="end"/>
      </w:r>
      <w:r w:rsidRPr="088F062C">
        <w:t xml:space="preserve">). Vůle jako objektivní jsoucno třetího druhu obsahuje obě možnosti současně. Obě možnosti jsou v habituálním modu </w:t>
      </w:r>
      <w:r w:rsidR="00B601BF">
        <w:t>„</w:t>
      </w:r>
      <w:r w:rsidRPr="00B601BF">
        <w:rPr>
          <w:i/>
        </w:rPr>
        <w:t>esse ad</w:t>
      </w:r>
      <w:r w:rsidR="00B601BF">
        <w:t>“</w:t>
      </w:r>
      <w:r w:rsidRPr="088F062C">
        <w:t xml:space="preserve"> </w:t>
      </w:r>
      <w:r w:rsidR="00B601BF">
        <w:t xml:space="preserve">dány </w:t>
      </w:r>
      <w:r w:rsidR="00B601BF" w:rsidRPr="088F062C">
        <w:t>nutně</w:t>
      </w:r>
      <w:r w:rsidR="00B601BF">
        <w:t xml:space="preserve"> a objektivně</w:t>
      </w:r>
      <w:r w:rsidRPr="088F062C">
        <w:t>.</w:t>
      </w:r>
    </w:p>
    <w:p w:rsidR="08163013" w:rsidRPr="0820118E" w:rsidRDefault="08163013" w:rsidP="0820118E">
      <w:pPr>
        <w:pStyle w:val="Citace"/>
      </w:pPr>
      <w:r w:rsidRPr="0820118E">
        <w:rPr>
          <w:rStyle w:val="FontStyle116"/>
          <w:rFonts w:ascii="Calibri" w:hAnsi="Calibri"/>
          <w:sz w:val="22"/>
          <w:szCs w:val="20"/>
        </w:rPr>
        <w:t>„A tímto způsobem je mylný závěr předešlé podmínky a vzhledem k tomu není pravda, že kauza se má stejným způsobem jak bytí svého účinku tak k jeho nebytí.“ </w:t>
      </w:r>
      <w:r w:rsidRPr="009805AB">
        <w:rPr>
          <w:rStyle w:val="Znakapoznpodarou"/>
        </w:rPr>
        <w:footnoteReference w:id="374"/>
      </w:r>
    </w:p>
    <w:p w:rsidR="00082CA6" w:rsidRDefault="005F042D" w:rsidP="08163013">
      <w:r>
        <w:rPr>
          <w:rStyle w:val="ezkurwreuab5ozgtqnkl"/>
        </w:rPr>
        <w:t>Citát</w:t>
      </w:r>
      <w:r>
        <w:t xml:space="preserve"> </w:t>
      </w:r>
      <w:r>
        <w:rPr>
          <w:rStyle w:val="ezkurwreuab5ozgtqnkl"/>
        </w:rPr>
        <w:t>zrušil</w:t>
      </w:r>
      <w:r>
        <w:t xml:space="preserve"> </w:t>
      </w:r>
      <w:r>
        <w:rPr>
          <w:rStyle w:val="ezkurwreuab5ozgtqnkl"/>
        </w:rPr>
        <w:t>princip</w:t>
      </w:r>
      <w:r>
        <w:t xml:space="preserve"> </w:t>
      </w:r>
      <w:r>
        <w:rPr>
          <w:rStyle w:val="ezkurwreuab5ozgtqnkl"/>
        </w:rPr>
        <w:t>aktualizace</w:t>
      </w:r>
      <w:r>
        <w:t xml:space="preserve"> </w:t>
      </w:r>
      <w:r>
        <w:rPr>
          <w:rStyle w:val="ezkurwreuab5ozgtqnkl"/>
        </w:rPr>
        <w:t>vůle</w:t>
      </w:r>
      <w:r>
        <w:t xml:space="preserve"> </w:t>
      </w:r>
      <w:r>
        <w:rPr>
          <w:rStyle w:val="ezkurwreuab5ozgtqnkl"/>
        </w:rPr>
        <w:t>a logiku</w:t>
      </w:r>
      <w:r>
        <w:t xml:space="preserve"> </w:t>
      </w:r>
      <w:r w:rsidRPr="005F042D">
        <w:rPr>
          <w:rStyle w:val="ezkurwreuab5ozgtqnkl"/>
          <w:i/>
        </w:rPr>
        <w:t>modus</w:t>
      </w:r>
      <w:r w:rsidRPr="005F042D">
        <w:rPr>
          <w:i/>
        </w:rPr>
        <w:t xml:space="preserve"> </w:t>
      </w:r>
      <w:r w:rsidRPr="005F042D">
        <w:rPr>
          <w:rStyle w:val="ezkurwreuab5ozgtqnkl"/>
          <w:i/>
        </w:rPr>
        <w:t>ponens</w:t>
      </w:r>
      <w:r w:rsidRPr="0820118E">
        <w:fldChar w:fldCharType="begin"/>
      </w:r>
      <w:r w:rsidRPr="0820118E">
        <w:instrText xml:space="preserve"> XE "</w:instrText>
      </w:r>
      <w:r w:rsidRPr="0820118E">
        <w:rPr>
          <w:i/>
        </w:rPr>
        <w:instrText>modus ponens</w:instrText>
      </w:r>
      <w:r w:rsidRPr="0820118E">
        <w:instrText xml:space="preserve">" </w:instrText>
      </w:r>
      <w:r w:rsidRPr="0820118E">
        <w:fldChar w:fldCharType="end"/>
      </w:r>
      <w:r>
        <w:t xml:space="preserve"> </w:t>
      </w:r>
      <w:r>
        <w:rPr>
          <w:rStyle w:val="ezkurwreuab5ozgtqnkl"/>
        </w:rPr>
        <w:t>pro svobodnou</w:t>
      </w:r>
      <w:r>
        <w:t xml:space="preserve"> </w:t>
      </w:r>
      <w:r>
        <w:rPr>
          <w:rStyle w:val="ezkurwreuab5ozgtqnkl"/>
        </w:rPr>
        <w:t>vůli, kterou měl aristotelský</w:t>
      </w:r>
      <w:r>
        <w:t xml:space="preserve"> </w:t>
      </w:r>
      <w:r>
        <w:rPr>
          <w:rStyle w:val="ezkurwreuab5ozgtqnkl"/>
        </w:rPr>
        <w:t>scénář</w:t>
      </w:r>
      <w:r>
        <w:t xml:space="preserve"> </w:t>
      </w:r>
      <w:r>
        <w:rPr>
          <w:rStyle w:val="ezkurwreuab5ozgtqnkl"/>
        </w:rPr>
        <w:t>(</w:t>
      </w:r>
      <w:r w:rsidRPr="005F042D">
        <w:rPr>
          <w:rStyle w:val="ezkurwreuab5ozgtqnkl"/>
          <w:i/>
        </w:rPr>
        <w:t>hoc non est verum</w:t>
      </w:r>
      <w:r>
        <w:rPr>
          <w:rStyle w:val="ezkurwreuab5ozgtqnkl"/>
        </w:rPr>
        <w:t xml:space="preserve">). </w:t>
      </w:r>
      <w:r w:rsidR="08163013" w:rsidRPr="0820118E">
        <w:t>Ve svobodné vůli eficientní kauza nedává je</w:t>
      </w:r>
      <w:r w:rsidR="0820118E">
        <w:t>n jednu možnost v řádu „</w:t>
      </w:r>
      <w:proofErr w:type="gramStart"/>
      <w:r w:rsidR="0820118E">
        <w:t>příčina</w:t>
      </w:r>
      <w:proofErr w:type="gramEnd"/>
      <w:r w:rsidR="0820118E">
        <w:t>–</w:t>
      </w:r>
      <w:proofErr w:type="gramStart"/>
      <w:r w:rsidR="08163013" w:rsidRPr="0820118E">
        <w:t>účinek</w:t>
      </w:r>
      <w:proofErr w:type="gramEnd"/>
      <w:r w:rsidR="08163013" w:rsidRPr="0820118E">
        <w:t>“ (</w:t>
      </w:r>
      <w:r w:rsidR="08163013" w:rsidRPr="0820118E">
        <w:rPr>
          <w:i/>
        </w:rPr>
        <w:t xml:space="preserve">non plus faceret ad eius </w:t>
      </w:r>
      <w:r w:rsidR="08163013" w:rsidRPr="0820118E">
        <w:t xml:space="preserve">esse). Působení vůle je indiferentně dáno vzhledem k možnému kauzálnímu účinku, který může nastat a nemusí, protože vůle je ve svém eficientním chtění zcela svobodná. Pro vědu platí, že </w:t>
      </w:r>
      <w:r w:rsidR="009C5426">
        <w:t xml:space="preserve">příčina </w:t>
      </w:r>
      <w:r w:rsidR="08163013" w:rsidRPr="0820118E">
        <w:t>se vztahuje stejným způsobem k existenci a neexistenci účinku (</w:t>
      </w:r>
      <w:r w:rsidR="08163013" w:rsidRPr="0820118E">
        <w:rPr>
          <w:i/>
        </w:rPr>
        <w:t>causa eodem modo se haberet ad esse sui effectus et ad eius non esse</w:t>
      </w:r>
      <w:r w:rsidR="08163013" w:rsidRPr="0820118E">
        <w:t xml:space="preserve">). Princip identity říká, že </w:t>
      </w:r>
      <w:r w:rsidR="00B371BF">
        <w:t>příčina j</w:t>
      </w:r>
      <w:r w:rsidR="08163013" w:rsidRPr="0820118E">
        <w:t xml:space="preserve">e </w:t>
      </w:r>
      <w:r w:rsidR="00B371BF">
        <w:t xml:space="preserve">příčinou </w:t>
      </w:r>
      <w:r w:rsidR="08163013" w:rsidRPr="0820118E">
        <w:t xml:space="preserve">a účinek účinkem, i když nemusí nastat. Aktuální působení reálné </w:t>
      </w:r>
      <w:r w:rsidR="00B371BF">
        <w:t>příčiny</w:t>
      </w:r>
      <w:r w:rsidR="08163013" w:rsidRPr="0820118E">
        <w:t xml:space="preserve">, které není ničím zablokováno, nutně vytváří stejně reálný a aktuální důsledek. Olivi musí změnit princip identity pro svobodnou vůli: kauza je a není kauzou, protože vzhledem k externímu působení má vůle statut kauzy třetího druhu. Olivi zrušil základní aristotelský princip </w:t>
      </w:r>
      <w:r w:rsidR="007D0C93">
        <w:t>„</w:t>
      </w:r>
      <w:r w:rsidR="08163013" w:rsidRPr="08211CD4">
        <w:rPr>
          <w:i/>
        </w:rPr>
        <w:t>eodem modo</w:t>
      </w:r>
      <w:r w:rsidR="007D0C93">
        <w:t>“</w:t>
      </w:r>
      <w:r w:rsidR="08163013" w:rsidRPr="0820118E">
        <w:t xml:space="preserve">, který definuje podstatu kauzálního působení příčiny na účinek v logice deduktivního důkazu </w:t>
      </w:r>
      <w:r w:rsidR="08163013" w:rsidRPr="08211CD4">
        <w:rPr>
          <w:i/>
        </w:rPr>
        <w:lastRenderedPageBreak/>
        <w:t>modus ponens</w:t>
      </w:r>
      <w:r w:rsidR="08163013" w:rsidRPr="0820118E">
        <w:t xml:space="preserve">. Pro vůli neplatí princip </w:t>
      </w:r>
      <w:r w:rsidR="00A15787">
        <w:t>„</w:t>
      </w:r>
      <w:r w:rsidR="08163013" w:rsidRPr="08211CD4">
        <w:rPr>
          <w:i/>
        </w:rPr>
        <w:t>eodem modo</w:t>
      </w:r>
      <w:r w:rsidR="00A15787">
        <w:t>“</w:t>
      </w:r>
      <w:r w:rsidR="08163013" w:rsidRPr="0820118E">
        <w:t xml:space="preserve"> určující působení kauzy v modu „tato aktuální kauza ‒ tento aktuální účinek“. Vůle si v sobě podržuje možnost opačného působení současně s vlastní účinnou aktualitou. Aktualita niterné efektivní vůle je dána vždy, ale účinek nastat nemusí, protože vůle je svobodná, a může totéž aktivně a efektivně chtít, a současně nechtít. Působení vůle současně existuje a neexistuje, protože obě možnosti existují v samotné vůli v podobě její intimní svobody. Vůle je vzata v modu per</w:t>
      </w:r>
      <w:r w:rsidR="08163013" w:rsidRPr="00143F03">
        <w:rPr>
          <w:i/>
        </w:rPr>
        <w:t xml:space="preserve"> se</w:t>
      </w:r>
      <w:r w:rsidR="08163013" w:rsidRPr="00143F03">
        <w:t xml:space="preserve"> a podle své účinné substanční schopnosti</w:t>
      </w:r>
      <w:r w:rsidR="08163013">
        <w:t xml:space="preserve">. Vůle subsistuje v intimním modu </w:t>
      </w:r>
      <w:r w:rsidR="08163013" w:rsidRPr="00143F03">
        <w:rPr>
          <w:i/>
        </w:rPr>
        <w:t>es</w:t>
      </w:r>
      <w:r w:rsidR="08163013">
        <w:rPr>
          <w:i/>
        </w:rPr>
        <w:t>s</w:t>
      </w:r>
      <w:r w:rsidR="08163013" w:rsidRPr="00143F03">
        <w:rPr>
          <w:i/>
        </w:rPr>
        <w:t>entia potentialis</w:t>
      </w:r>
      <w:r w:rsidR="08163013">
        <w:rPr>
          <w:i/>
        </w:rPr>
        <w:fldChar w:fldCharType="begin"/>
      </w:r>
      <w:r w:rsidR="08163013">
        <w:instrText xml:space="preserve"> XE "vůle:</w:instrText>
      </w:r>
      <w:r w:rsidR="08163013" w:rsidRPr="00397698">
        <w:rPr>
          <w:i/>
        </w:rPr>
        <w:instrText>e</w:instrText>
      </w:r>
      <w:r w:rsidR="08163013">
        <w:rPr>
          <w:i/>
        </w:rPr>
        <w:instrText>s</w:instrText>
      </w:r>
      <w:r w:rsidR="08163013" w:rsidRPr="00397698">
        <w:rPr>
          <w:i/>
        </w:rPr>
        <w:instrText>sentia potentialis</w:instrText>
      </w:r>
      <w:r w:rsidR="08163013">
        <w:instrText xml:space="preserve">" </w:instrText>
      </w:r>
      <w:r w:rsidR="08163013">
        <w:rPr>
          <w:i/>
        </w:rPr>
        <w:fldChar w:fldCharType="end"/>
      </w:r>
      <w:r w:rsidR="00082CA6">
        <w:t>, kde pořád</w:t>
      </w:r>
      <w:r w:rsidR="08163013">
        <w:t xml:space="preserve"> zůstává sama sebou, i když nijak nepůsobí (</w:t>
      </w:r>
      <w:r w:rsidR="08163013" w:rsidRPr="00143F03">
        <w:rPr>
          <w:i/>
        </w:rPr>
        <w:t>non se habeat aliter ad ipsa</w:t>
      </w:r>
      <w:r w:rsidR="08163013">
        <w:t>).</w:t>
      </w:r>
      <w:r w:rsidR="08163013">
        <w:rPr>
          <w:rStyle w:val="Znakapoznpodarou"/>
        </w:rPr>
        <w:footnoteReference w:id="375"/>
      </w:r>
      <w:r w:rsidR="08163013">
        <w:t xml:space="preserve"> Ale vzhledem k externímu účinku se vůle už chová jako klasická aristotelská příčina </w:t>
      </w:r>
      <w:r w:rsidR="08163013" w:rsidRPr="00143F03">
        <w:t>(</w:t>
      </w:r>
      <w:r w:rsidR="08163013" w:rsidRPr="00143F03">
        <w:rPr>
          <w:i/>
        </w:rPr>
        <w:t>multo aliter se habet ad ea</w:t>
      </w:r>
      <w:r w:rsidR="08163013" w:rsidRPr="00143F03">
        <w:t>)</w:t>
      </w:r>
      <w:r w:rsidR="00082CA6">
        <w:t>.</w:t>
      </w:r>
    </w:p>
    <w:p w:rsidR="08163013" w:rsidRPr="08095C4F" w:rsidRDefault="08163013" w:rsidP="00082CA6">
      <w:pPr>
        <w:ind w:firstLine="397"/>
      </w:pPr>
      <w:r>
        <w:t>U</w:t>
      </w:r>
      <w:r w:rsidRPr="00273106">
        <w:t xml:space="preserve">rčení </w:t>
      </w:r>
      <w:r>
        <w:t xml:space="preserve">vůle jako </w:t>
      </w:r>
      <w:r w:rsidR="004F0410">
        <w:t>„</w:t>
      </w:r>
      <w:r>
        <w:t>ne-</w:t>
      </w:r>
      <w:r w:rsidR="004F0410">
        <w:t xml:space="preserve">účinné“ </w:t>
      </w:r>
      <w:r>
        <w:t xml:space="preserve">intimní kauzy představuje </w:t>
      </w:r>
      <w:r w:rsidRPr="00273106">
        <w:t xml:space="preserve">z hlediska klasické metafyziky naprostý nesmysl. Vůle se definuje jako aktuální substance (A) a zároveň je dána jako </w:t>
      </w:r>
      <w:r>
        <w:t xml:space="preserve">kauzální </w:t>
      </w:r>
      <w:r w:rsidR="00087625">
        <w:t>„</w:t>
      </w:r>
      <w:proofErr w:type="gramStart"/>
      <w:r w:rsidR="00087625">
        <w:t>substance</w:t>
      </w:r>
      <w:proofErr w:type="gramEnd"/>
      <w:r w:rsidR="00087625">
        <w:t>–</w:t>
      </w:r>
      <w:proofErr w:type="gramStart"/>
      <w:r>
        <w:t>potence</w:t>
      </w:r>
      <w:proofErr w:type="gramEnd"/>
      <w:r w:rsidR="00087625">
        <w:t>“</w:t>
      </w:r>
      <w:r>
        <w:t xml:space="preserve"> k opaku </w:t>
      </w:r>
      <w:r w:rsidRPr="00273106">
        <w:t xml:space="preserve">(non A). </w:t>
      </w:r>
      <w:r>
        <w:t xml:space="preserve">Bytí a nebytí kauzality je dáno současně ve stejném smyslu a na stejném substrátu. Svobodný člověk nové epochy už není vázán aristotelskou logikou a metafyzikou, ale paranoickým myšlením </w:t>
      </w:r>
      <w:r w:rsidRPr="08952507">
        <w:rPr>
          <w:i/>
        </w:rPr>
        <w:t>Modernorum</w:t>
      </w:r>
      <w:r>
        <w:t xml:space="preserve">. Olivi </w:t>
      </w:r>
      <w:r w:rsidRPr="00273106">
        <w:t xml:space="preserve">ruší </w:t>
      </w:r>
      <w:r>
        <w:t xml:space="preserve">klasický </w:t>
      </w:r>
      <w:r w:rsidRPr="00273106">
        <w:rPr>
          <w:i/>
        </w:rPr>
        <w:t>modus ponens</w:t>
      </w:r>
      <w:r>
        <w:rPr>
          <w:i/>
        </w:rPr>
        <w:fldChar w:fldCharType="begin"/>
      </w:r>
      <w:r>
        <w:instrText xml:space="preserve"> XE "</w:instrText>
      </w:r>
      <w:r w:rsidRPr="0029612B">
        <w:rPr>
          <w:i/>
        </w:rPr>
        <w:instrText>modus ponens</w:instrText>
      </w:r>
      <w:r>
        <w:instrText xml:space="preserve">" </w:instrText>
      </w:r>
      <w:r>
        <w:rPr>
          <w:i/>
        </w:rPr>
        <w:fldChar w:fldCharType="end"/>
      </w:r>
      <w:r>
        <w:t xml:space="preserve"> a nechává </w:t>
      </w:r>
      <w:r w:rsidRPr="00273106">
        <w:t xml:space="preserve">pouze svobodné </w:t>
      </w:r>
      <w:r>
        <w:t>a plně objektivní p</w:t>
      </w:r>
      <w:r w:rsidRPr="00273106">
        <w:t>ůsobení kauzálně vybavené vůle.</w:t>
      </w:r>
      <w:r w:rsidRPr="009E0B7A">
        <w:t xml:space="preserve"> </w:t>
      </w:r>
      <w:r>
        <w:t xml:space="preserve">Objektivní kauzalita vůle v univerzálním modu </w:t>
      </w:r>
      <w:r w:rsidRPr="00273106">
        <w:rPr>
          <w:i/>
        </w:rPr>
        <w:t>esse ad</w:t>
      </w:r>
      <w:r>
        <w:t xml:space="preserve"> zaujala v epoše zatmění první substance místo efektivní kauzality</w:t>
      </w:r>
      <w:r>
        <w:fldChar w:fldCharType="begin"/>
      </w:r>
      <w:r>
        <w:instrText xml:space="preserve"> XE "</w:instrText>
      </w:r>
      <w:r w:rsidRPr="003F0DC3">
        <w:instrText>vůle:objektivní</w:instrText>
      </w:r>
      <w:r>
        <w:instrText xml:space="preserve">" </w:instrText>
      </w:r>
      <w:r>
        <w:fldChar w:fldCharType="end"/>
      </w:r>
      <w:r>
        <w:t xml:space="preserve">. Použitím modu </w:t>
      </w:r>
      <w:r w:rsidR="00384D11">
        <w:t>„</w:t>
      </w:r>
      <w:r w:rsidRPr="00106B77">
        <w:rPr>
          <w:i/>
        </w:rPr>
        <w:t>esse ad</w:t>
      </w:r>
      <w:r w:rsidR="00384D11">
        <w:t>“</w:t>
      </w:r>
      <w:r>
        <w:t xml:space="preserve"> pro svobodnou vůli vznikl nový základ reality ve smyslu metafyzického </w:t>
      </w:r>
      <w:r w:rsidRPr="00106B77">
        <w:rPr>
          <w:i/>
        </w:rPr>
        <w:t>Gründung</w:t>
      </w:r>
      <w:r>
        <w:rPr>
          <w:i/>
        </w:rPr>
        <w:fldChar w:fldCharType="begin"/>
      </w:r>
      <w:r>
        <w:instrText xml:space="preserve"> XE "metafyzika:</w:instrText>
      </w:r>
      <w:r w:rsidRPr="00EC634E">
        <w:rPr>
          <w:i/>
        </w:rPr>
        <w:instrText>Gründung</w:instrText>
      </w:r>
      <w:r>
        <w:instrText xml:space="preserve">" </w:instrText>
      </w:r>
      <w:r>
        <w:rPr>
          <w:i/>
        </w:rPr>
        <w:fldChar w:fldCharType="end"/>
      </w:r>
      <w:r>
        <w:t xml:space="preserve">. Nositel moderní vůle se </w:t>
      </w:r>
      <w:proofErr w:type="gramStart"/>
      <w:r>
        <w:t>stal</w:t>
      </w:r>
      <w:proofErr w:type="gramEnd"/>
      <w:r>
        <w:t xml:space="preserve"> </w:t>
      </w:r>
      <w:r w:rsidR="00B11AE5">
        <w:t xml:space="preserve">intimně založenou </w:t>
      </w:r>
      <w:r w:rsidRPr="0819201F">
        <w:rPr>
          <w:i/>
        </w:rPr>
        <w:t>causa sui</w:t>
      </w:r>
      <w:r>
        <w:t xml:space="preserve">. </w:t>
      </w:r>
      <w:r w:rsidR="001D3472">
        <w:t>Ani moderní b</w:t>
      </w:r>
      <w:r w:rsidR="00B11AE5">
        <w:t xml:space="preserve">ůh </w:t>
      </w:r>
      <w:r>
        <w:t xml:space="preserve">nemohl být </w:t>
      </w:r>
      <w:r w:rsidR="00B11AE5">
        <w:t xml:space="preserve">takto určenou </w:t>
      </w:r>
      <w:r w:rsidR="00B11AE5" w:rsidRPr="00B11AE5">
        <w:rPr>
          <w:i/>
        </w:rPr>
        <w:t>causa sui</w:t>
      </w:r>
      <w:r w:rsidR="00B11AE5">
        <w:t xml:space="preserve">, </w:t>
      </w:r>
      <w:r>
        <w:t>protože jeho neomezené bytí by se stalo omezenou substancí</w:t>
      </w:r>
      <w:r w:rsidR="080432C7">
        <w:t xml:space="preserve"> s pevně určeným kauzálním účinkem</w:t>
      </w:r>
      <w:r>
        <w:t xml:space="preserve">. Subjekt moderní vůle začal fungovat jako nová substance třetího druhu, k níž bylo třeba vytvořit novou formu kategoriální predikace </w:t>
      </w:r>
      <w:r w:rsidRPr="00106B77">
        <w:rPr>
          <w:i/>
        </w:rPr>
        <w:t>per prius</w:t>
      </w:r>
      <w:r>
        <w:t xml:space="preserve"> a </w:t>
      </w:r>
      <w:r w:rsidRPr="00106B77">
        <w:rPr>
          <w:i/>
        </w:rPr>
        <w:t>per posterius</w:t>
      </w:r>
      <w:r>
        <w:t xml:space="preserve">. Vůle představuje osobně zkoušenou ipseitu svobody v modu Sigerova </w:t>
      </w:r>
      <w:r w:rsidR="00AC5EAA">
        <w:t>pojmu „</w:t>
      </w:r>
      <w:r w:rsidRPr="08C30DD4">
        <w:rPr>
          <w:i/>
        </w:rPr>
        <w:t>experimur</w:t>
      </w:r>
      <w:r>
        <w:t>‒</w:t>
      </w:r>
      <w:r w:rsidRPr="08C30DD4">
        <w:rPr>
          <w:i/>
        </w:rPr>
        <w:t>conscii sumus</w:t>
      </w:r>
      <w:r w:rsidR="00AC5EAA">
        <w:t>“</w:t>
      </w:r>
      <w:r>
        <w:t xml:space="preserve">. Substančně pojatá vůle má zdroj kauzality sama v sobě ve formě intimní </w:t>
      </w:r>
      <w:r w:rsidRPr="008023A9">
        <w:rPr>
          <w:i/>
        </w:rPr>
        <w:t>causa sui</w:t>
      </w:r>
      <w:r>
        <w:rPr>
          <w:i/>
        </w:rPr>
        <w:fldChar w:fldCharType="begin"/>
      </w:r>
      <w:r>
        <w:instrText xml:space="preserve"> XE "vůle:</w:instrText>
      </w:r>
      <w:r w:rsidRPr="002077A8">
        <w:rPr>
          <w:i/>
        </w:rPr>
        <w:instrText>causa sui</w:instrText>
      </w:r>
      <w:r>
        <w:instrText xml:space="preserve">" </w:instrText>
      </w:r>
      <w:r>
        <w:rPr>
          <w:i/>
        </w:rPr>
        <w:fldChar w:fldCharType="end"/>
      </w:r>
      <w:r>
        <w:t>, která je dána jako substanciální potence směrem k tomu či onomu jednání. Olivi omezuje univerzální kauzalitu ze svobody až ve druhém kroku daném již kontingentně. Intimní kauzalita vůle</w:t>
      </w:r>
      <w:r w:rsidR="00787A58">
        <w:t xml:space="preserve"> (</w:t>
      </w:r>
      <w:r w:rsidR="00787A58" w:rsidRPr="0081155E">
        <w:rPr>
          <w:i/>
        </w:rPr>
        <w:t>esse in</w:t>
      </w:r>
      <w:r w:rsidR="00787A58">
        <w:t>)</w:t>
      </w:r>
      <w:r>
        <w:t xml:space="preserve"> si </w:t>
      </w:r>
      <w:r w:rsidRPr="00273106">
        <w:t xml:space="preserve">udržuje odstup </w:t>
      </w:r>
      <w:r>
        <w:t>od efektivního působení</w:t>
      </w:r>
      <w:r w:rsidRPr="00273106">
        <w:t xml:space="preserve"> </w:t>
      </w:r>
      <w:r>
        <w:lastRenderedPageBreak/>
        <w:t xml:space="preserve">reálné </w:t>
      </w:r>
      <w:r w:rsidRPr="00273106">
        <w:t xml:space="preserve">kauzality tím, že reflexivně a svobodně reguluje </w:t>
      </w:r>
      <w:r>
        <w:t>její účinek pouze směrem k</w:t>
      </w:r>
      <w:r w:rsidRPr="00273106">
        <w:t xml:space="preserve"> </w:t>
      </w:r>
      <w:r>
        <w:t xml:space="preserve">možnému účinku </w:t>
      </w:r>
      <w:r w:rsidRPr="00273106">
        <w:t>(</w:t>
      </w:r>
      <w:r w:rsidRPr="00273106">
        <w:rPr>
          <w:i/>
        </w:rPr>
        <w:t>esse ad</w:t>
      </w:r>
      <w:r>
        <w:rPr>
          <w:i/>
        </w:rPr>
        <w:fldChar w:fldCharType="begin"/>
      </w:r>
      <w:r>
        <w:instrText xml:space="preserve"> XE "</w:instrText>
      </w:r>
      <w:r w:rsidRPr="008F3381">
        <w:rPr>
          <w:i/>
        </w:rPr>
        <w:instrText xml:space="preserve">esse </w:instrText>
      </w:r>
      <w:proofErr w:type="gramStart"/>
      <w:r w:rsidRPr="008F3381">
        <w:rPr>
          <w:i/>
        </w:rPr>
        <w:instrText>ad</w:instrText>
      </w:r>
      <w:proofErr w:type="gramEnd"/>
      <w:r w:rsidRPr="008F3381">
        <w:rPr>
          <w:i/>
        </w:rPr>
        <w:instrText>:</w:instrText>
      </w:r>
      <w:r>
        <w:instrText xml:space="preserve">Olivi" </w:instrText>
      </w:r>
      <w:r>
        <w:rPr>
          <w:i/>
        </w:rPr>
        <w:fldChar w:fldCharType="end"/>
      </w:r>
      <w:r w:rsidRPr="00273106">
        <w:t xml:space="preserve">). </w:t>
      </w:r>
      <w:r>
        <w:t xml:space="preserve">Nové určení jsoucna v modu </w:t>
      </w:r>
      <w:r w:rsidR="00787A58">
        <w:t>„</w:t>
      </w:r>
      <w:r w:rsidRPr="00EE46A4">
        <w:rPr>
          <w:i/>
        </w:rPr>
        <w:t>esse ad</w:t>
      </w:r>
      <w:r w:rsidR="00787A58">
        <w:t>“</w:t>
      </w:r>
      <w:r>
        <w:t xml:space="preserve"> je</w:t>
      </w:r>
      <w:r w:rsidR="006229DD">
        <w:t xml:space="preserve"> vázáno na intimní </w:t>
      </w:r>
      <w:r w:rsidRPr="006229DD">
        <w:rPr>
          <w:i/>
        </w:rPr>
        <w:t>ipse</w:t>
      </w:r>
      <w:r w:rsidR="006229DD">
        <w:t>-</w:t>
      </w:r>
      <w:r>
        <w:t xml:space="preserve">status lidské vůle. </w:t>
      </w:r>
      <w:r w:rsidRPr="00273106">
        <w:t xml:space="preserve">Základní princip kauzality říká, že </w:t>
      </w:r>
      <w:r w:rsidRPr="00273106">
        <w:rPr>
          <w:i/>
        </w:rPr>
        <w:t>causa efficiens</w:t>
      </w:r>
      <w:r>
        <w:rPr>
          <w:i/>
        </w:rPr>
        <w:fldChar w:fldCharType="begin"/>
      </w:r>
      <w:r>
        <w:instrText xml:space="preserve"> XE "kauzalita:</w:instrText>
      </w:r>
      <w:r w:rsidRPr="00F22DF6">
        <w:rPr>
          <w:i/>
        </w:rPr>
        <w:instrText>causa efficiens</w:instrText>
      </w:r>
      <w:r>
        <w:instrText xml:space="preserve">" </w:instrText>
      </w:r>
      <w:r>
        <w:rPr>
          <w:i/>
        </w:rPr>
        <w:fldChar w:fldCharType="end"/>
      </w:r>
      <w:r w:rsidRPr="00273106">
        <w:t xml:space="preserve"> nutně vyvolá účinek v odpovídající potenci, na kterou působí. Je-li aktuálně dána příčina a jí odpovídající potence, pak při nerušeném působení kauzy nutně následuje odpovídající účinek daný aktualizací této potence (</w:t>
      </w:r>
      <w:r w:rsidRPr="00273106">
        <w:rPr>
          <w:i/>
        </w:rPr>
        <w:t>post hoc, ergo propter hoc</w:t>
      </w:r>
      <w:r w:rsidRPr="00273106">
        <w:t xml:space="preserve">). </w:t>
      </w:r>
      <w:r>
        <w:t>Kauzalita v řádu reálných prvních substancí stanovuje, že ú</w:t>
      </w:r>
      <w:r w:rsidRPr="00273106">
        <w:t xml:space="preserve">činek </w:t>
      </w:r>
      <w:r>
        <w:t xml:space="preserve">nastane </w:t>
      </w:r>
      <w:r w:rsidRPr="00273106">
        <w:t xml:space="preserve">nutně, pokud nerušeně působí efektivní příčina. V logice </w:t>
      </w:r>
      <w:r>
        <w:t xml:space="preserve">tomu </w:t>
      </w:r>
      <w:r w:rsidRPr="00273106">
        <w:t xml:space="preserve">odpovídá </w:t>
      </w:r>
      <w:r>
        <w:t xml:space="preserve">klasický </w:t>
      </w:r>
      <w:r w:rsidRPr="00273106">
        <w:rPr>
          <w:i/>
        </w:rPr>
        <w:t>modus ponens</w:t>
      </w:r>
      <w:r w:rsidRPr="00273106">
        <w:t xml:space="preserve">, který tvoří základ dedukce a tím i demonstrativního soudu. </w:t>
      </w:r>
      <w:r>
        <w:t>Vzhledem k nově pojaté intimní svobodě aktuální a přitom potenciální svobodné vůli</w:t>
      </w:r>
      <w:r w:rsidRPr="00273106">
        <w:t xml:space="preserve"> </w:t>
      </w:r>
      <w:r>
        <w:t xml:space="preserve">bylo nutno upravit </w:t>
      </w:r>
      <w:r w:rsidRPr="00273106">
        <w:t>Aristotelovo schéma kauzality</w:t>
      </w:r>
      <w:r>
        <w:t xml:space="preserve"> pro svobodnou vůli</w:t>
      </w:r>
      <w:r w:rsidRPr="00273106">
        <w:t>.</w:t>
      </w:r>
      <w:r>
        <w:t xml:space="preserve"> Podívejme se na původní </w:t>
      </w:r>
      <w:r w:rsidRPr="002D24F0">
        <w:rPr>
          <w:i/>
        </w:rPr>
        <w:t>Lichtung</w:t>
      </w:r>
      <w:r>
        <w:rPr>
          <w:i/>
        </w:rPr>
        <w:fldChar w:fldCharType="begin"/>
      </w:r>
      <w:r>
        <w:instrText xml:space="preserve"> XE "</w:instrText>
      </w:r>
      <w:r w:rsidRPr="00513D06">
        <w:rPr>
          <w:i/>
        </w:rPr>
        <w:instrText>Lichtung</w:instrText>
      </w:r>
      <w:r>
        <w:rPr>
          <w:i/>
        </w:rPr>
        <w:instrText>:</w:instrText>
      </w:r>
      <w:r w:rsidRPr="00614373">
        <w:instrText>Olivi</w:instrText>
      </w:r>
      <w:r>
        <w:instrText xml:space="preserve">" </w:instrText>
      </w:r>
      <w:r>
        <w:rPr>
          <w:i/>
        </w:rPr>
        <w:fldChar w:fldCharType="end"/>
      </w:r>
      <w:r w:rsidRPr="00914CBE">
        <w:t xml:space="preserve"> </w:t>
      </w:r>
      <w:r>
        <w:t xml:space="preserve">objektivní vůle, která vychází ze sebe a svou kauzálně-efektivní determinací zakládá nový řád bytí jsoucna. Původní začátek druhé metafyziky ve smyslu Heideggerova </w:t>
      </w:r>
      <w:r w:rsidRPr="00614373">
        <w:rPr>
          <w:i/>
        </w:rPr>
        <w:t>Beginn</w:t>
      </w:r>
      <w:r>
        <w:t xml:space="preserve"> </w:t>
      </w:r>
      <w:r>
        <w:fldChar w:fldCharType="begin"/>
      </w:r>
      <w:r>
        <w:instrText xml:space="preserve"> XE "</w:instrText>
      </w:r>
      <w:r w:rsidRPr="00E03AED">
        <w:instrText>metafyzika:</w:instrText>
      </w:r>
      <w:r w:rsidRPr="00614373">
        <w:rPr>
          <w:i/>
        </w:rPr>
        <w:instrText>Anfang</w:instrText>
      </w:r>
      <w:r w:rsidRPr="00E03AED">
        <w:instrText>/</w:instrText>
      </w:r>
      <w:r w:rsidRPr="00614373">
        <w:rPr>
          <w:i/>
        </w:rPr>
        <w:instrText>Beginn</w:instrText>
      </w:r>
      <w:r>
        <w:instrText xml:space="preserve">" </w:instrText>
      </w:r>
      <w:r>
        <w:fldChar w:fldCharType="end"/>
      </w:r>
      <w:r>
        <w:t xml:space="preserve"> najdeme v tomto citátu.</w:t>
      </w:r>
    </w:p>
    <w:p w:rsidR="08163013" w:rsidRPr="00C72A62" w:rsidRDefault="08163013" w:rsidP="08163013">
      <w:pPr>
        <w:pStyle w:val="Citace"/>
        <w:rPr>
          <w:noProof/>
          <w:lang w:val="cs-CZ"/>
        </w:rPr>
      </w:pPr>
      <w:r w:rsidRPr="00273106">
        <w:rPr>
          <w:noProof/>
          <w:lang w:val="cs-CZ"/>
        </w:rPr>
        <w:t>„</w:t>
      </w:r>
      <w:r>
        <w:rPr>
          <w:noProof/>
          <w:lang w:val="cs-CZ"/>
        </w:rPr>
        <w:t>Existence či neexistence následku určeného směrem od příčiny může signifikovat účinné a postačující bytí této příčiny. Tímto způsobem platí pravdivý závěr deduktivního soudu. Ale signifikace se může vztahovat také k řádu samotných následků (</w:t>
      </w:r>
      <w:r w:rsidRPr="001D5707">
        <w:rPr>
          <w:i/>
          <w:noProof/>
          <w:lang w:val="cs-CZ"/>
        </w:rPr>
        <w:t>ordinem ipsius effectus</w:t>
      </w:r>
      <w:r>
        <w:rPr>
          <w:noProof/>
          <w:lang w:val="cs-CZ"/>
        </w:rPr>
        <w:t>) a k jeho vzniku nebo vyvedení (</w:t>
      </w:r>
      <w:r w:rsidRPr="001D5707">
        <w:rPr>
          <w:i/>
          <w:noProof/>
          <w:lang w:val="cs-CZ"/>
        </w:rPr>
        <w:t>factionis eius seu exitus</w:t>
      </w:r>
      <w:r>
        <w:rPr>
          <w:noProof/>
          <w:lang w:val="cs-CZ"/>
        </w:rPr>
        <w:t>) podle toho, jak se má ke své kauze, nebo spíše, jak je jsoucnost účinku dána směrem od své kauzy (</w:t>
      </w:r>
      <w:r w:rsidRPr="001D5707">
        <w:rPr>
          <w:i/>
          <w:noProof/>
          <w:lang w:val="cs-CZ"/>
        </w:rPr>
        <w:t>quem est a sua causa</w:t>
      </w:r>
      <w:r>
        <w:rPr>
          <w:noProof/>
          <w:lang w:val="cs-CZ"/>
        </w:rPr>
        <w:t>). A tento řád mnohem více signifikuje základní určení jsoucna (</w:t>
      </w:r>
      <w:r w:rsidRPr="001D5707">
        <w:rPr>
          <w:i/>
          <w:noProof/>
          <w:lang w:val="cs-CZ"/>
        </w:rPr>
        <w:t>ille ordo potius dicit esse ab quam</w:t>
      </w:r>
      <w:r>
        <w:rPr>
          <w:noProof/>
          <w:lang w:val="cs-CZ"/>
        </w:rPr>
        <w:t>), k němuž se jsoucna predikují (</w:t>
      </w:r>
      <w:r w:rsidRPr="001D5707">
        <w:rPr>
          <w:i/>
          <w:noProof/>
          <w:lang w:val="cs-CZ"/>
        </w:rPr>
        <w:t>esse ad</w:t>
      </w:r>
      <w:r>
        <w:rPr>
          <w:noProof/>
          <w:lang w:val="cs-CZ"/>
        </w:rPr>
        <w:t>). Pak neplatí (</w:t>
      </w:r>
      <w:r w:rsidRPr="00C72A62">
        <w:rPr>
          <w:i/>
          <w:noProof/>
          <w:lang w:val="cs-CZ"/>
        </w:rPr>
        <w:t>falsura est</w:t>
      </w:r>
      <w:r>
        <w:rPr>
          <w:noProof/>
          <w:lang w:val="cs-CZ"/>
        </w:rPr>
        <w:t xml:space="preserve">) předešlé tvrzení o závěrech deduktivního </w:t>
      </w:r>
      <w:r w:rsidR="006C0B83">
        <w:t>syllogism</w:t>
      </w:r>
      <w:r w:rsidR="006C0B83">
        <w:rPr>
          <w:lang w:val="cs-CZ"/>
        </w:rPr>
        <w:t>u</w:t>
      </w:r>
      <w:r>
        <w:rPr>
          <w:noProof/>
          <w:lang w:val="cs-CZ"/>
        </w:rPr>
        <w:t xml:space="preserve">. V tomto případě není pravda, že  příčina se má stejným způsobem jak k bytí, tak k nebytí svého účinku.“ </w:t>
      </w:r>
      <w:r>
        <w:rPr>
          <w:rStyle w:val="Znakapoznpodarou"/>
        </w:rPr>
        <w:footnoteReference w:id="376"/>
      </w:r>
    </w:p>
    <w:p w:rsidR="002E7B24" w:rsidRDefault="08163013" w:rsidP="08163013">
      <w:r w:rsidRPr="00273106">
        <w:t xml:space="preserve">První </w:t>
      </w:r>
      <w:r>
        <w:t xml:space="preserve">případ </w:t>
      </w:r>
      <w:r w:rsidRPr="00273106">
        <w:t>kladení příčiny a účinku (</w:t>
      </w:r>
      <w:r w:rsidRPr="00273106">
        <w:rPr>
          <w:i/>
        </w:rPr>
        <w:t>virtutem effectivam et sufficientem ipsius causae</w:t>
      </w:r>
      <w:r w:rsidRPr="00273106">
        <w:t xml:space="preserve">) je aristotelský </w:t>
      </w:r>
      <w:r w:rsidRPr="00273106">
        <w:rPr>
          <w:i/>
        </w:rPr>
        <w:t>modus ponens</w:t>
      </w:r>
      <w:r>
        <w:rPr>
          <w:i/>
        </w:rPr>
        <w:fldChar w:fldCharType="begin"/>
      </w:r>
      <w:r>
        <w:instrText xml:space="preserve"> XE "</w:instrText>
      </w:r>
      <w:r w:rsidRPr="0029612B">
        <w:rPr>
          <w:i/>
        </w:rPr>
        <w:instrText>modus ponens</w:instrText>
      </w:r>
      <w:r>
        <w:instrText xml:space="preserve">" </w:instrText>
      </w:r>
      <w:r>
        <w:rPr>
          <w:i/>
        </w:rPr>
        <w:fldChar w:fldCharType="end"/>
      </w:r>
      <w:r w:rsidRPr="00273106">
        <w:t xml:space="preserve"> pro eficientní působení příčiny (</w:t>
      </w:r>
      <w:r w:rsidRPr="00273106">
        <w:rPr>
          <w:i/>
        </w:rPr>
        <w:t>consequens primae conditionalis</w:t>
      </w:r>
      <w:r w:rsidRPr="00273106">
        <w:t xml:space="preserve">). </w:t>
      </w:r>
      <w:r w:rsidR="00247875">
        <w:t xml:space="preserve">Olivi přímo nepopírá </w:t>
      </w:r>
      <w:r>
        <w:t xml:space="preserve">původní princip </w:t>
      </w:r>
      <w:r w:rsidR="00247875">
        <w:t>kauzality</w:t>
      </w:r>
      <w:r>
        <w:t xml:space="preserve">, ale potřebuje suspendovat jeho platnost pro svobodnou vůli. </w:t>
      </w:r>
      <w:r w:rsidRPr="00273106">
        <w:t xml:space="preserve">Druhý modus obsahuje epochálně nové určení vůle </w:t>
      </w:r>
      <w:r>
        <w:t xml:space="preserve">určující nový řád </w:t>
      </w:r>
      <w:r w:rsidR="00DF173A">
        <w:t>metafyziky</w:t>
      </w:r>
      <w:r>
        <w:t xml:space="preserve"> </w:t>
      </w:r>
      <w:r w:rsidRPr="00273106">
        <w:t>(</w:t>
      </w:r>
      <w:r w:rsidRPr="00273106">
        <w:rPr>
          <w:i/>
        </w:rPr>
        <w:t>significare ordinem</w:t>
      </w:r>
      <w:r>
        <w:t>). N</w:t>
      </w:r>
      <w:r w:rsidRPr="00273106">
        <w:t>ový řád jsoucna vychází z principu</w:t>
      </w:r>
      <w:r>
        <w:t xml:space="preserve"> svobodné kauzality vůle</w:t>
      </w:r>
      <w:r w:rsidRPr="00273106">
        <w:t xml:space="preserve">. </w:t>
      </w:r>
      <w:r>
        <w:t>Intimně daná kauzalita vychází ze subsistentní vůle</w:t>
      </w:r>
      <w:r w:rsidRPr="00273106">
        <w:t xml:space="preserve"> </w:t>
      </w:r>
      <w:r>
        <w:t xml:space="preserve">jako </w:t>
      </w:r>
      <w:r>
        <w:lastRenderedPageBreak/>
        <w:t>substance</w:t>
      </w:r>
      <w:r>
        <w:fldChar w:fldCharType="begin"/>
      </w:r>
      <w:r>
        <w:instrText xml:space="preserve"> XE "</w:instrText>
      </w:r>
      <w:r w:rsidRPr="00DE2A32">
        <w:instrText>substance</w:instrText>
      </w:r>
      <w:r>
        <w:instrText xml:space="preserve">:vůle" </w:instrText>
      </w:r>
      <w:r>
        <w:fldChar w:fldCharType="end"/>
      </w:r>
      <w:r>
        <w:t xml:space="preserve"> třetího druhu (</w:t>
      </w:r>
      <w:r w:rsidRPr="00273106">
        <w:rPr>
          <w:i/>
        </w:rPr>
        <w:t>exitus secundum quem se habet</w:t>
      </w:r>
      <w:r>
        <w:t>). Objektivně daná kauzalita vůle pak funguje ve světě jako reálná kauza</w:t>
      </w:r>
      <w:r w:rsidRPr="00273106">
        <w:t xml:space="preserve"> (</w:t>
      </w:r>
      <w:r w:rsidRPr="00273106">
        <w:rPr>
          <w:i/>
        </w:rPr>
        <w:t>ad suam causam</w:t>
      </w:r>
      <w:r>
        <w:t>). Tento exitus kauzálně dané vůle určuje bytí světa v porretánském modu „exsistere</w:t>
      </w:r>
      <w:r>
        <w:fldChar w:fldCharType="begin"/>
      </w:r>
      <w:r>
        <w:instrText xml:space="preserve"> XE "</w:instrText>
      </w:r>
      <w:r w:rsidRPr="008E07A9">
        <w:rPr>
          <w:i/>
        </w:rPr>
        <w:instrText>exsistere</w:instrText>
      </w:r>
      <w:r>
        <w:instrText xml:space="preserve">" </w:instrText>
      </w:r>
      <w:r>
        <w:fldChar w:fldCharType="end"/>
      </w:r>
      <w:r>
        <w:t>“, které přešlo do moderní fakticity (</w:t>
      </w:r>
      <w:r w:rsidRPr="00543EEF">
        <w:rPr>
          <w:i/>
        </w:rPr>
        <w:t>factionis eius seu exitus</w:t>
      </w:r>
      <w:r>
        <w:t>). Vůle zakládá řád bytí jsoucího (</w:t>
      </w:r>
      <w:r w:rsidRPr="00273106">
        <w:rPr>
          <w:i/>
        </w:rPr>
        <w:t>ille ordo</w:t>
      </w:r>
      <w:r>
        <w:t>) determinovaný působením kauzality ze svobody jako původního zdroje smyslu jsoucna (</w:t>
      </w:r>
      <w:r w:rsidRPr="00273106">
        <w:rPr>
          <w:i/>
        </w:rPr>
        <w:t>dicit esse ab quam</w:t>
      </w:r>
      <w:r>
        <w:t xml:space="preserve">). Termín </w:t>
      </w:r>
      <w:r w:rsidR="00E71FA8">
        <w:t>„</w:t>
      </w:r>
      <w:r w:rsidRPr="0016665D">
        <w:rPr>
          <w:i/>
        </w:rPr>
        <w:t>ille ordo</w:t>
      </w:r>
      <w:r w:rsidR="00E71FA8">
        <w:t>“</w:t>
      </w:r>
      <w:r>
        <w:t xml:space="preserve"> </w:t>
      </w:r>
      <w:r w:rsidR="00E71FA8">
        <w:t xml:space="preserve">zakládá </w:t>
      </w:r>
      <w:r>
        <w:t xml:space="preserve">poprvé v dějinách západní metafyziky určení jsoucna mimo aristotelskou kauzalitu, a dokonce i mimo její sofistickou verzi danou v rámci </w:t>
      </w:r>
      <w:r w:rsidRPr="008138CC">
        <w:rPr>
          <w:i/>
        </w:rPr>
        <w:t>Oxfordian Fallacy</w:t>
      </w:r>
      <w:r>
        <w:rPr>
          <w:i/>
        </w:rPr>
        <w:fldChar w:fldCharType="begin"/>
      </w:r>
      <w:r>
        <w:instrText xml:space="preserve"> XE "</w:instrText>
      </w:r>
      <w:r w:rsidRPr="0015798D">
        <w:rPr>
          <w:i/>
        </w:rPr>
        <w:instrText>Oxfordian Fallacy:</w:instrText>
      </w:r>
      <w:r>
        <w:instrText xml:space="preserve">Olivi" </w:instrText>
      </w:r>
      <w:r>
        <w:rPr>
          <w:i/>
        </w:rPr>
        <w:fldChar w:fldCharType="end"/>
      </w:r>
      <w:r w:rsidR="002E7B24">
        <w:t>.</w:t>
      </w:r>
    </w:p>
    <w:p w:rsidR="0022070B" w:rsidRDefault="08163013" w:rsidP="00FC2E4C">
      <w:pPr>
        <w:ind w:firstLine="397"/>
      </w:pPr>
      <w:r>
        <w:t xml:space="preserve">Hypostázovaná demiurgická, intimně-kauzální vůle je daná jako objektivní substance v modu </w:t>
      </w:r>
      <w:r w:rsidRPr="004216E9">
        <w:rPr>
          <w:i/>
        </w:rPr>
        <w:t>absolute</w:t>
      </w:r>
      <w:r>
        <w:t>, tedy zcela odděleně od intelektu i od zbytku světa. A</w:t>
      </w:r>
      <w:r w:rsidR="00C135AD">
        <w:t>bsurdní bytí lidské vůle založilo</w:t>
      </w:r>
      <w:r>
        <w:t xml:space="preserve"> novou formu </w:t>
      </w:r>
      <w:r w:rsidRPr="004216E9">
        <w:rPr>
          <w:i/>
        </w:rPr>
        <w:t>dativus obiectivus</w:t>
      </w:r>
      <w:r>
        <w:rPr>
          <w:i/>
        </w:rPr>
        <w:fldChar w:fldCharType="begin"/>
      </w:r>
      <w:r>
        <w:instrText xml:space="preserve"> XE "</w:instrText>
      </w:r>
      <w:r w:rsidRPr="002D76A0">
        <w:rPr>
          <w:i/>
        </w:rPr>
        <w:instrText>dativus obiectivus</w:instrText>
      </w:r>
      <w:r>
        <w:instrText xml:space="preserve">" </w:instrText>
      </w:r>
      <w:r>
        <w:rPr>
          <w:i/>
        </w:rPr>
        <w:fldChar w:fldCharType="end"/>
      </w:r>
      <w:r>
        <w:rPr>
          <w:i/>
        </w:rPr>
        <w:t xml:space="preserve"> </w:t>
      </w:r>
      <w:r w:rsidRPr="002D7E8B">
        <w:t>v jeho základní</w:t>
      </w:r>
      <w:r>
        <w:t>m</w:t>
      </w:r>
      <w:r w:rsidRPr="002D7E8B">
        <w:t xml:space="preserve"> modu</w:t>
      </w:r>
      <w:r>
        <w:t xml:space="preserve">. Olivi nově určuje dějinně </w:t>
      </w:r>
      <w:r w:rsidR="00DE2588">
        <w:t>a herm</w:t>
      </w:r>
      <w:r w:rsidR="003F6AF4">
        <w:t>eneu</w:t>
      </w:r>
      <w:r w:rsidR="00DE2588">
        <w:t xml:space="preserve">ticky </w:t>
      </w:r>
      <w:r>
        <w:t>dané „</w:t>
      </w:r>
      <w:r w:rsidRPr="002D7E8B">
        <w:t>jak</w:t>
      </w:r>
      <w:r>
        <w:t xml:space="preserve">“ </w:t>
      </w:r>
      <w:r w:rsidR="00DE2588">
        <w:t xml:space="preserve">(viz (Heideggerovo </w:t>
      </w:r>
      <w:r w:rsidR="00DE2588" w:rsidRPr="007A3D62">
        <w:rPr>
          <w:i/>
        </w:rPr>
        <w:t>Wie</w:t>
      </w:r>
      <w:r w:rsidR="00DE2588">
        <w:t xml:space="preserve">) </w:t>
      </w:r>
      <w:r>
        <w:t>je jsoucno přivla</w:t>
      </w:r>
      <w:r w:rsidRPr="002D7E8B">
        <w:t>stně</w:t>
      </w:r>
      <w:r>
        <w:t>no mode</w:t>
      </w:r>
      <w:r w:rsidRPr="002D7E8B">
        <w:t>r</w:t>
      </w:r>
      <w:r>
        <w:t>ním</w:t>
      </w:r>
      <w:r w:rsidRPr="002D7E8B">
        <w:t xml:space="preserve"> </w:t>
      </w:r>
      <w:r>
        <w:t>sub</w:t>
      </w:r>
      <w:r w:rsidRPr="002D7E8B">
        <w:t>j</w:t>
      </w:r>
      <w:r>
        <w:t>e</w:t>
      </w:r>
      <w:r w:rsidRPr="002D7E8B">
        <w:t>kt</w:t>
      </w:r>
      <w:r>
        <w:t>em</w:t>
      </w:r>
      <w:r w:rsidRPr="002D7E8B">
        <w:t xml:space="preserve"> (</w:t>
      </w:r>
      <w:r w:rsidRPr="00461B3F">
        <w:rPr>
          <w:i/>
        </w:rPr>
        <w:t>d</w:t>
      </w:r>
      <w:r w:rsidRPr="00461B3F">
        <w:rPr>
          <w:i/>
          <w:iCs/>
        </w:rPr>
        <w:t>ativus possessivus</w:t>
      </w:r>
      <w:r>
        <w:rPr>
          <w:i/>
          <w:iCs/>
        </w:rPr>
        <w:fldChar w:fldCharType="begin"/>
      </w:r>
      <w:r>
        <w:instrText xml:space="preserve"> XE "</w:instrText>
      </w:r>
      <w:r w:rsidRPr="005B0A76">
        <w:rPr>
          <w:i/>
        </w:rPr>
        <w:instrText>d</w:instrText>
      </w:r>
      <w:r w:rsidRPr="005B0A76">
        <w:rPr>
          <w:i/>
          <w:iCs/>
        </w:rPr>
        <w:instrText>ativus possessivus</w:instrText>
      </w:r>
      <w:r>
        <w:instrText xml:space="preserve">" </w:instrText>
      </w:r>
      <w:r>
        <w:rPr>
          <w:i/>
          <w:iCs/>
        </w:rPr>
        <w:fldChar w:fldCharType="end"/>
      </w:r>
      <w:r w:rsidRPr="002D7E8B">
        <w:t>)</w:t>
      </w:r>
      <w:r>
        <w:t xml:space="preserve">. </w:t>
      </w:r>
      <w:r w:rsidRPr="00273106">
        <w:t xml:space="preserve">Svobodná vůle </w:t>
      </w:r>
      <w:r>
        <w:t xml:space="preserve">v modu habituální ipseity </w:t>
      </w:r>
      <w:r w:rsidRPr="00273106">
        <w:t xml:space="preserve">musí mít stálou aktuální </w:t>
      </w:r>
      <w:r>
        <w:t xml:space="preserve">a proto substanciální </w:t>
      </w:r>
      <w:r w:rsidRPr="00273106">
        <w:t xml:space="preserve">možnost k opačnému jednání. Její aktualitě nesmí nic předcházet, ani akt rozumné volby dané intelektem. Jakákoliv předběžná determinace ruší svobodu vůle danou intimně v ní samé, tedy v modu </w:t>
      </w:r>
      <w:r w:rsidRPr="00273106">
        <w:rPr>
          <w:i/>
        </w:rPr>
        <w:t>per se</w:t>
      </w:r>
      <w:r>
        <w:rPr>
          <w:i/>
        </w:rPr>
        <w:fldChar w:fldCharType="begin"/>
      </w:r>
      <w:r>
        <w:instrText xml:space="preserve"> XE "</w:instrText>
      </w:r>
      <w:r w:rsidRPr="00D71986">
        <w:instrText>vůle:</w:instrText>
      </w:r>
      <w:r>
        <w:instrText>intimní</w:instrText>
      </w:r>
      <w:r w:rsidRPr="00D71986">
        <w:instrText xml:space="preserve"> </w:instrText>
      </w:r>
      <w:r>
        <w:instrText>kauza</w:instrText>
      </w:r>
      <w:r w:rsidRPr="00D71986">
        <w:instrText>l</w:instrText>
      </w:r>
      <w:r>
        <w:instrText xml:space="preserve">ita" </w:instrText>
      </w:r>
      <w:r>
        <w:rPr>
          <w:i/>
        </w:rPr>
        <w:fldChar w:fldCharType="end"/>
      </w:r>
      <w:r w:rsidRPr="00273106">
        <w:t xml:space="preserve">. </w:t>
      </w:r>
      <w:r w:rsidR="080432C7">
        <w:t xml:space="preserve">Viz status intelektu jako </w:t>
      </w:r>
      <w:r w:rsidR="080432C7" w:rsidRPr="080432C7">
        <w:rPr>
          <w:i/>
        </w:rPr>
        <w:t xml:space="preserve">tertium </w:t>
      </w:r>
      <w:r w:rsidR="00962190">
        <w:rPr>
          <w:i/>
        </w:rPr>
        <w:t>genus</w:t>
      </w:r>
      <w:r w:rsidR="080432C7">
        <w:t xml:space="preserve"> v CMDA, ale ten je pochopitelně vázaný na osobu jako reálnou první substanci. </w:t>
      </w:r>
      <w:r w:rsidRPr="00273106">
        <w:t xml:space="preserve">Vůle funguje ve svobodě jako čisté aktuální bytí </w:t>
      </w:r>
      <w:proofErr w:type="gramStart"/>
      <w:r w:rsidR="08B6573A">
        <w:t>obsahující</w:t>
      </w:r>
      <w:proofErr w:type="gramEnd"/>
      <w:r w:rsidR="08B6573A">
        <w:t xml:space="preserve"> ambivalentně danou</w:t>
      </w:r>
      <w:r w:rsidRPr="00273106">
        <w:t xml:space="preserve"> potenci, protože její účinek nemusí nastat nutně. </w:t>
      </w:r>
      <w:r>
        <w:t xml:space="preserve">Ale ve druhém kole je už vůle určená abstraktně jako aristotelský koncept intelektuálně určeného chtění. Tato objektivovaná vůle abstrahovaná v modu </w:t>
      </w:r>
      <w:r w:rsidRPr="08A4473E">
        <w:rPr>
          <w:i/>
        </w:rPr>
        <w:t xml:space="preserve">quartum </w:t>
      </w:r>
      <w:r w:rsidR="00962190">
        <w:rPr>
          <w:i/>
        </w:rPr>
        <w:t>genus</w:t>
      </w:r>
      <w:r>
        <w:t xml:space="preserve"> stojí mimo ipseitní zakoušení první osobě a představuje pouhou potenci vůle něco chtít ve světě (</w:t>
      </w:r>
      <w:r w:rsidRPr="002A3768">
        <w:rPr>
          <w:i/>
        </w:rPr>
        <w:t xml:space="preserve">potentia </w:t>
      </w:r>
      <w:r>
        <w:rPr>
          <w:i/>
        </w:rPr>
        <w:t>accidentalis</w:t>
      </w:r>
      <w:r w:rsidRPr="08A4473E">
        <w:t>)</w:t>
      </w:r>
      <w:r>
        <w:t>. Konkrétní akt (</w:t>
      </w:r>
      <w:r w:rsidRPr="00054064">
        <w:rPr>
          <w:i/>
        </w:rPr>
        <w:t>volitio</w:t>
      </w:r>
      <w:r>
        <w:t>) je proto daný v rámci determinovaného aktu záměrné volby (</w:t>
      </w:r>
      <w:r w:rsidRPr="00710ADB">
        <w:rPr>
          <w:i/>
        </w:rPr>
        <w:t>electio</w:t>
      </w:r>
      <w:r>
        <w:rPr>
          <w:i/>
        </w:rPr>
        <w:fldChar w:fldCharType="begin"/>
      </w:r>
      <w:r>
        <w:instrText xml:space="preserve"> XE "</w:instrText>
      </w:r>
      <w:r w:rsidRPr="08B90E32">
        <w:rPr>
          <w:i/>
        </w:rPr>
        <w:instrText>electio</w:instrText>
      </w:r>
      <w:r>
        <w:instrText xml:space="preserve">" </w:instrText>
      </w:r>
      <w:r>
        <w:rPr>
          <w:i/>
        </w:rPr>
        <w:fldChar w:fldCharType="end"/>
      </w:r>
      <w:r>
        <w:t xml:space="preserve">) z </w:t>
      </w:r>
      <w:r w:rsidRPr="08095C4F">
        <w:rPr>
          <w:i/>
        </w:rPr>
        <w:t>Etiky Nikomachovy</w:t>
      </w:r>
      <w:r>
        <w:t>. Olivi přesně pochopil Sigerovo určení o dvojí povaze intelektu daného jinak ve vlastním výkonu (</w:t>
      </w:r>
      <w:r w:rsidRPr="00E66289">
        <w:rPr>
          <w:i/>
        </w:rPr>
        <w:t xml:space="preserve">tertium </w:t>
      </w:r>
      <w:r w:rsidR="00962190">
        <w:rPr>
          <w:i/>
        </w:rPr>
        <w:t>genus</w:t>
      </w:r>
      <w:r>
        <w:t xml:space="preserve">) </w:t>
      </w:r>
      <w:r>
        <w:fldChar w:fldCharType="begin"/>
      </w:r>
      <w:r>
        <w:instrText xml:space="preserve"> XE "</w:instrText>
      </w:r>
      <w:r w:rsidRPr="00E66289">
        <w:rPr>
          <w:i/>
        </w:rPr>
        <w:instrText>tertium genus</w:instrText>
      </w:r>
      <w:r>
        <w:instrText xml:space="preserve">" </w:instrText>
      </w:r>
      <w:r>
        <w:fldChar w:fldCharType="end"/>
      </w:r>
      <w:r>
        <w:t>a jinak v obecném poznání skrze abstrakci (</w:t>
      </w:r>
      <w:r>
        <w:rPr>
          <w:i/>
        </w:rPr>
        <w:t>quartum</w:t>
      </w:r>
      <w:r w:rsidRPr="00E66289">
        <w:rPr>
          <w:i/>
        </w:rPr>
        <w:t xml:space="preserve"> </w:t>
      </w:r>
      <w:r w:rsidR="00962190">
        <w:rPr>
          <w:i/>
        </w:rPr>
        <w:t>genus</w:t>
      </w:r>
      <w:r>
        <w:t>)</w:t>
      </w:r>
      <w:r>
        <w:fldChar w:fldCharType="begin"/>
      </w:r>
      <w:r>
        <w:instrText xml:space="preserve"> XE "</w:instrText>
      </w:r>
      <w:r>
        <w:rPr>
          <w:i/>
        </w:rPr>
        <w:instrText>quartum</w:instrText>
      </w:r>
      <w:r w:rsidRPr="00E66289">
        <w:rPr>
          <w:i/>
        </w:rPr>
        <w:instrText xml:space="preserve"> genus</w:instrText>
      </w:r>
      <w:r>
        <w:instrText xml:space="preserve">" </w:instrText>
      </w:r>
      <w:r>
        <w:fldChar w:fldCharType="end"/>
      </w:r>
      <w:r>
        <w:t xml:space="preserve">. Modifikované schéma CMDA použil pro svůj scénář ipseitně subsistentní vůle. Oliviho nauku autonomní vůle jako jsoucna třetího druhu </w:t>
      </w:r>
      <w:r w:rsidRPr="00273106">
        <w:t>klasický aristotelismus zásadně odmítl</w:t>
      </w:r>
      <w:r>
        <w:t xml:space="preserve">. Podle Akvinského chce </w:t>
      </w:r>
      <w:r w:rsidRPr="00273106">
        <w:t xml:space="preserve">lidská vůle vždy to dobro, které je </w:t>
      </w:r>
      <w:r w:rsidRPr="00273106">
        <w:lastRenderedPageBreak/>
        <w:t>poznané rozumem.</w:t>
      </w:r>
      <w:r w:rsidRPr="00273106">
        <w:rPr>
          <w:rStyle w:val="Znakapoznpodarou"/>
        </w:rPr>
        <w:footnoteReference w:id="377"/>
      </w:r>
      <w:r w:rsidRPr="00273106">
        <w:t xml:space="preserve"> Podle prvního averroismu, vykládajícího </w:t>
      </w:r>
      <w:r w:rsidRPr="08095C4F">
        <w:rPr>
          <w:i/>
        </w:rPr>
        <w:t>Etiku Nikomachovu</w:t>
      </w:r>
      <w:r w:rsidRPr="00273106">
        <w:t xml:space="preserve"> ve stoickém a křesťanském smyslu </w:t>
      </w:r>
      <w:r w:rsidRPr="00273106">
        <w:rPr>
          <w:i/>
        </w:rPr>
        <w:t>liberum arbitrium</w:t>
      </w:r>
      <w:r>
        <w:rPr>
          <w:i/>
        </w:rPr>
        <w:fldChar w:fldCharType="begin"/>
      </w:r>
      <w:r>
        <w:instrText xml:space="preserve"> XE "</w:instrText>
      </w:r>
      <w:r w:rsidRPr="00CB7353">
        <w:instrText>vůle:</w:instrText>
      </w:r>
      <w:r w:rsidRPr="00362D80">
        <w:rPr>
          <w:i/>
        </w:rPr>
        <w:instrText>liberum arbitrium</w:instrText>
      </w:r>
      <w:r>
        <w:instrText xml:space="preserve">" </w:instrText>
      </w:r>
      <w:r>
        <w:rPr>
          <w:i/>
        </w:rPr>
        <w:fldChar w:fldCharType="end"/>
      </w:r>
      <w:r w:rsidRPr="00273106">
        <w:t>, je svobodná pouze samotná volba intelektu (</w:t>
      </w:r>
      <w:r w:rsidRPr="00273106">
        <w:rPr>
          <w:i/>
        </w:rPr>
        <w:t>electio</w:t>
      </w:r>
      <w:r w:rsidRPr="00273106">
        <w:t>). Determinismus vůle je nevyhnutelný</w:t>
      </w:r>
      <w:r>
        <w:t xml:space="preserve"> fakt singulárného chtění</w:t>
      </w:r>
      <w:r w:rsidR="0045134C">
        <w:t xml:space="preserve"> vůle jako reálně působící příčiny</w:t>
      </w:r>
      <w:r w:rsidRPr="00273106">
        <w:t>, protože intelekt ji orientuje k poznanému</w:t>
      </w:r>
      <w:r>
        <w:t xml:space="preserve"> a tím i singulárně chtěnému dobru. Vůle je v tomto scénáři svobodná proto, že je rozumná, což není případ animální žádostivosti. Olivi vytvořil z vůle novou substanci v člověku, která směřuje do světa z původního intimního habitatu své esenciální a habituální svobody. Jeho následovníci rozvinou skrytý ontoteologický a metafyzický potenciál tohoto </w:t>
      </w:r>
      <w:r w:rsidRPr="00A663D1">
        <w:rPr>
          <w:i/>
        </w:rPr>
        <w:t>esse ad</w:t>
      </w:r>
      <w:r>
        <w:rPr>
          <w:i/>
        </w:rPr>
        <w:fldChar w:fldCharType="begin"/>
      </w:r>
      <w:r>
        <w:instrText xml:space="preserve"> XE "</w:instrText>
      </w:r>
      <w:r w:rsidRPr="008F3381">
        <w:rPr>
          <w:i/>
        </w:rPr>
        <w:instrText xml:space="preserve">esse </w:instrText>
      </w:r>
      <w:proofErr w:type="gramStart"/>
      <w:r w:rsidRPr="008F3381">
        <w:rPr>
          <w:i/>
        </w:rPr>
        <w:instrText>ad</w:instrText>
      </w:r>
      <w:proofErr w:type="gramEnd"/>
      <w:r w:rsidRPr="008F3381">
        <w:rPr>
          <w:i/>
        </w:rPr>
        <w:instrText>:</w:instrText>
      </w:r>
      <w:r>
        <w:instrText xml:space="preserve">Olivi" </w:instrText>
      </w:r>
      <w:r>
        <w:rPr>
          <w:i/>
        </w:rPr>
        <w:fldChar w:fldCharType="end"/>
      </w:r>
      <w:r>
        <w:t xml:space="preserve"> habituálně přidaného do substance intimně dané vůle. </w:t>
      </w:r>
      <w:r w:rsidRPr="00273106">
        <w:t xml:space="preserve">Henry z </w:t>
      </w:r>
      <w:proofErr w:type="gramStart"/>
      <w:r w:rsidRPr="00273106">
        <w:t>Gentu</w:t>
      </w:r>
      <w:proofErr w:type="gramEnd"/>
      <w:r w:rsidRPr="00273106">
        <w:t xml:space="preserve"> v následují dekádě udělá z</w:t>
      </w:r>
      <w:r w:rsidR="088170D2">
        <w:t xml:space="preserve"> termínu </w:t>
      </w:r>
      <w:r w:rsidR="00624D73">
        <w:t>„</w:t>
      </w:r>
      <w:r w:rsidRPr="00273106">
        <w:rPr>
          <w:i/>
        </w:rPr>
        <w:t>esse ad</w:t>
      </w:r>
      <w:r w:rsidR="00624D73">
        <w:t>“</w:t>
      </w:r>
      <w:r>
        <w:t xml:space="preserve"> </w:t>
      </w:r>
      <w:r w:rsidRPr="00273106">
        <w:t>kategoriální predikaci vztahu (</w:t>
      </w:r>
      <w:r w:rsidRPr="00273106">
        <w:rPr>
          <w:i/>
        </w:rPr>
        <w:t>relatio</w:t>
      </w:r>
      <w:r>
        <w:rPr>
          <w:i/>
        </w:rPr>
        <w:fldChar w:fldCharType="begin"/>
      </w:r>
      <w:r>
        <w:instrText xml:space="preserve"> XE "</w:instrText>
      </w:r>
      <w:r w:rsidRPr="00951426">
        <w:rPr>
          <w:i/>
        </w:rPr>
        <w:instrText>relatio</w:instrText>
      </w:r>
      <w:r>
        <w:instrText xml:space="preserve">" </w:instrText>
      </w:r>
      <w:r>
        <w:rPr>
          <w:i/>
        </w:rPr>
        <w:fldChar w:fldCharType="end"/>
      </w:r>
      <w:r w:rsidRPr="00273106">
        <w:t xml:space="preserve">), a tu dá přímo </w:t>
      </w:r>
      <w:r w:rsidR="0884151D">
        <w:t>do boha (kap. 5</w:t>
      </w:r>
      <w:r>
        <w:t xml:space="preserve">.2.3). Označení </w:t>
      </w:r>
      <w:r w:rsidR="00624D73">
        <w:t>„</w:t>
      </w:r>
      <w:r w:rsidRPr="00273106">
        <w:rPr>
          <w:i/>
        </w:rPr>
        <w:t>ille ordo</w:t>
      </w:r>
      <w:r w:rsidR="00624D73">
        <w:t>“</w:t>
      </w:r>
      <w:r>
        <w:t xml:space="preserve"> ve výše uvedeném </w:t>
      </w:r>
      <w:r w:rsidRPr="00273106">
        <w:t xml:space="preserve">citátu indikuje zrod budoucí metafyziky </w:t>
      </w:r>
      <w:r w:rsidRPr="00273106">
        <w:rPr>
          <w:i/>
        </w:rPr>
        <w:t>Modernorum</w:t>
      </w:r>
      <w:r w:rsidRPr="00273106">
        <w:t xml:space="preserve">, kterou Henry z </w:t>
      </w:r>
      <w:proofErr w:type="gramStart"/>
      <w:r w:rsidRPr="00273106">
        <w:t>Gentu</w:t>
      </w:r>
      <w:proofErr w:type="gramEnd"/>
      <w:r w:rsidRPr="00273106">
        <w:t xml:space="preserve"> převede do ontoteologie a </w:t>
      </w:r>
      <w:r>
        <w:t xml:space="preserve">jeho kritik </w:t>
      </w:r>
      <w:r w:rsidRPr="00273106">
        <w:t>Scotus do metafyziky.</w:t>
      </w:r>
      <w:r>
        <w:t xml:space="preserve"> </w:t>
      </w:r>
      <w:r w:rsidR="0884151D">
        <w:t xml:space="preserve">Oliviho nauka o absolutně svobodné vůli postavené mimo svět </w:t>
      </w:r>
      <w:r w:rsidR="007E66B1">
        <w:t xml:space="preserve">se </w:t>
      </w:r>
      <w:r w:rsidR="0884151D">
        <w:t>skrytým způsobem objevila v</w:t>
      </w:r>
      <w:r w:rsidR="007E66B1">
        <w:t xml:space="preserve"> postmoderně. </w:t>
      </w:r>
      <w:r>
        <w:t xml:space="preserve">Třetí antinomie </w:t>
      </w:r>
      <w:r w:rsidR="00D01199">
        <w:t xml:space="preserve">Kantova díla </w:t>
      </w:r>
      <w:r w:rsidR="00D01199" w:rsidRPr="00D01199">
        <w:rPr>
          <w:i/>
        </w:rPr>
        <w:t>K</w:t>
      </w:r>
      <w:r w:rsidR="00D01199">
        <w:rPr>
          <w:i/>
        </w:rPr>
        <w:t>ritik der reinen V</w:t>
      </w:r>
      <w:r w:rsidR="00D01199" w:rsidRPr="00D01199">
        <w:rPr>
          <w:i/>
        </w:rPr>
        <w:t>ernunft</w:t>
      </w:r>
      <w:r w:rsidR="00D01199">
        <w:t xml:space="preserve"> </w:t>
      </w:r>
      <w:r>
        <w:t>odmít</w:t>
      </w:r>
      <w:r w:rsidR="00D01199">
        <w:t>la</w:t>
      </w:r>
      <w:r>
        <w:t xml:space="preserve"> možnost kauzality dané ze svobody pro racionálně danou kosmologii, protože </w:t>
      </w:r>
      <w:r w:rsidRPr="00273106">
        <w:t>svobod</w:t>
      </w:r>
      <w:r>
        <w:t xml:space="preserve">u </w:t>
      </w:r>
      <w:r w:rsidRPr="00273106">
        <w:t>nelze objektivně v</w:t>
      </w:r>
      <w:r>
        <w:t>ykázat v kauzálním řádu přírody (</w:t>
      </w:r>
      <w:r w:rsidRPr="00F76595">
        <w:rPr>
          <w:i/>
        </w:rPr>
        <w:t>dritter Widerstreit</w:t>
      </w:r>
      <w:r>
        <w:t>, KdRV, B 472‒73</w:t>
      </w:r>
      <w:r>
        <w:fldChar w:fldCharType="begin"/>
      </w:r>
      <w:r>
        <w:instrText xml:space="preserve"> XE "Kant:</w:instrText>
      </w:r>
      <w:r w:rsidRPr="008B38F0">
        <w:instrText>KdRV, B 472‒73</w:instrText>
      </w:r>
      <w:r>
        <w:instrText xml:space="preserve">" </w:instrText>
      </w:r>
      <w:r>
        <w:fldChar w:fldCharType="end"/>
      </w:r>
      <w:r>
        <w:t xml:space="preserve">). </w:t>
      </w:r>
      <w:r w:rsidR="007E66B1">
        <w:t xml:space="preserve">Oliviho nový řád determinovaný kauzalitou svobodné vůle znovu objevil Kant v díle </w:t>
      </w:r>
      <w:r w:rsidR="007E66B1" w:rsidRPr="005B0849">
        <w:rPr>
          <w:i/>
          <w:szCs w:val="24"/>
        </w:rPr>
        <w:t>Kritik der praktischen Vernunft</w:t>
      </w:r>
      <w:r w:rsidR="007E66B1">
        <w:t xml:space="preserve">. </w:t>
      </w:r>
      <w:r>
        <w:t xml:space="preserve">Ale Kantova druhá kritika nejde cestou Oliviho intimity vůle dané </w:t>
      </w:r>
      <w:r w:rsidRPr="006C0750">
        <w:rPr>
          <w:i/>
        </w:rPr>
        <w:t xml:space="preserve">per </w:t>
      </w:r>
      <w:proofErr w:type="gramStart"/>
      <w:r w:rsidRPr="006C0750">
        <w:rPr>
          <w:i/>
        </w:rPr>
        <w:t>se</w:t>
      </w:r>
      <w:proofErr w:type="gramEnd"/>
      <w:r>
        <w:t xml:space="preserve"> a substančně. Radikální modernista </w:t>
      </w:r>
      <w:r w:rsidRPr="00273106">
        <w:t xml:space="preserve">Olivi vyňal vůli ze zákona </w:t>
      </w:r>
      <w:r>
        <w:t xml:space="preserve">jakékoliv </w:t>
      </w:r>
      <w:r w:rsidRPr="00273106">
        <w:t>kauzality a determinuje bytí vůle pouze ve vztahu k bohu, který zajišťuje její substanční existenci.</w:t>
      </w:r>
      <w:r>
        <w:t xml:space="preserve"> </w:t>
      </w:r>
      <w:r w:rsidRPr="00273106">
        <w:t xml:space="preserve">Z vůle vznikla </w:t>
      </w:r>
      <w:r w:rsidRPr="00273106">
        <w:rPr>
          <w:iCs/>
        </w:rPr>
        <w:t xml:space="preserve">další substance třetího druhu v člověku postavená mimo </w:t>
      </w:r>
      <w:r w:rsidR="00DB6BD1">
        <w:rPr>
          <w:iCs/>
        </w:rPr>
        <w:t xml:space="preserve">substanční </w:t>
      </w:r>
      <w:r w:rsidRPr="00273106">
        <w:rPr>
          <w:iCs/>
        </w:rPr>
        <w:t xml:space="preserve">duši a intelekt. </w:t>
      </w:r>
      <w:r>
        <w:rPr>
          <w:iCs/>
        </w:rPr>
        <w:t>Vůle s</w:t>
      </w:r>
      <w:r w:rsidRPr="00273106">
        <w:t>e stala intimním určením člověka</w:t>
      </w:r>
      <w:r>
        <w:t xml:space="preserve"> a byla vyňata </w:t>
      </w:r>
      <w:r w:rsidRPr="00273106">
        <w:t xml:space="preserve">z obecně platného zákona kauzality. </w:t>
      </w:r>
      <w:r w:rsidR="00B32CB8">
        <w:t xml:space="preserve">Kant zopakuje </w:t>
      </w:r>
      <w:r>
        <w:rPr>
          <w:iCs/>
        </w:rPr>
        <w:t xml:space="preserve">Oliviho </w:t>
      </w:r>
      <w:r>
        <w:t xml:space="preserve">dualismus tím, že </w:t>
      </w:r>
      <w:r w:rsidR="00B32CB8">
        <w:t>v</w:t>
      </w:r>
      <w:r>
        <w:t xml:space="preserve"> první kritice </w:t>
      </w:r>
      <w:r w:rsidR="00B32CB8">
        <w:t xml:space="preserve">postavil aporii </w:t>
      </w:r>
      <w:r>
        <w:t>svobodného praktického rozumu</w:t>
      </w:r>
      <w:r w:rsidR="00B32CB8">
        <w:t>. S</w:t>
      </w:r>
      <w:r>
        <w:t xml:space="preserve">vobodná vůle funguje jako </w:t>
      </w:r>
      <w:r w:rsidRPr="082501F5">
        <w:rPr>
          <w:i/>
        </w:rPr>
        <w:t>causa sui</w:t>
      </w:r>
      <w:r>
        <w:t xml:space="preserve"> v m</w:t>
      </w:r>
      <w:r w:rsidR="00B32CB8">
        <w:t xml:space="preserve">odu plné zákonodárné autonomie a mimo kauzalitu světa. Ale </w:t>
      </w:r>
      <w:r>
        <w:t xml:space="preserve">zůstává </w:t>
      </w:r>
      <w:r w:rsidR="00B32CB8">
        <w:t xml:space="preserve">i </w:t>
      </w:r>
      <w:r>
        <w:t>v otázce svobody částe</w:t>
      </w:r>
      <w:r w:rsidR="00B32CB8">
        <w:t xml:space="preserve">čným fenomenologickým realistou, </w:t>
      </w:r>
      <w:r>
        <w:t xml:space="preserve">stejně jako v již citovaném případě </w:t>
      </w:r>
      <w:r w:rsidR="00B32CB8">
        <w:t xml:space="preserve">kauzality podle </w:t>
      </w:r>
      <w:r w:rsidR="00B32CB8" w:rsidRPr="00D01199">
        <w:rPr>
          <w:i/>
        </w:rPr>
        <w:t>K</w:t>
      </w:r>
      <w:r w:rsidR="00B32CB8">
        <w:rPr>
          <w:i/>
        </w:rPr>
        <w:t>ritik der reinen V</w:t>
      </w:r>
      <w:r w:rsidR="00B32CB8" w:rsidRPr="00D01199">
        <w:rPr>
          <w:i/>
        </w:rPr>
        <w:t>ernunft</w:t>
      </w:r>
      <w:r w:rsidR="00B32CB8">
        <w:t xml:space="preserve"> </w:t>
      </w:r>
      <w:r w:rsidR="081412C0">
        <w:t>(kap. 4</w:t>
      </w:r>
      <w:r>
        <w:t xml:space="preserve">.6). </w:t>
      </w:r>
      <w:r w:rsidR="00B32CB8">
        <w:t xml:space="preserve">Kant </w:t>
      </w:r>
      <w:r>
        <w:t xml:space="preserve">hledá mimo intimitu vůle i její reálnou determinaci skrze reálně a kauzálně daný zákon, protože mu nestačí syntetické </w:t>
      </w:r>
      <w:r w:rsidRPr="00D73572">
        <w:rPr>
          <w:i/>
        </w:rPr>
        <w:t>a priori</w:t>
      </w:r>
      <w:r>
        <w:t xml:space="preserve"> jako určení vůle. Kant nemůže nechat intimní vůli jako zcela </w:t>
      </w:r>
      <w:r>
        <w:lastRenderedPageBreak/>
        <w:t xml:space="preserve">iracionální hybnou sílu v člověku, což měl Olivi. Termín </w:t>
      </w:r>
      <w:r w:rsidR="00FC2E4C">
        <w:t>„</w:t>
      </w:r>
      <w:r w:rsidRPr="006C0750">
        <w:rPr>
          <w:i/>
        </w:rPr>
        <w:t xml:space="preserve">Factum der reinen </w:t>
      </w:r>
      <w:r>
        <w:rPr>
          <w:i/>
        </w:rPr>
        <w:t xml:space="preserve">praktischen </w:t>
      </w:r>
      <w:r w:rsidRPr="006C0750">
        <w:rPr>
          <w:i/>
        </w:rPr>
        <w:t>Vernunft</w:t>
      </w:r>
      <w:r w:rsidR="00FC2E4C">
        <w:t>“ je</w:t>
      </w:r>
      <w:r>
        <w:rPr>
          <w:i/>
        </w:rPr>
        <w:t xml:space="preserve"> </w:t>
      </w:r>
      <w:r>
        <w:t>daný</w:t>
      </w:r>
      <w:r w:rsidRPr="00400A3C">
        <w:t xml:space="preserve"> jako</w:t>
      </w:r>
      <w:r>
        <w:rPr>
          <w:i/>
        </w:rPr>
        <w:t xml:space="preserve"> </w:t>
      </w:r>
      <w:r w:rsidR="00B32CB8">
        <w:rPr>
          <w:i/>
        </w:rPr>
        <w:t>„</w:t>
      </w:r>
      <w:r>
        <w:rPr>
          <w:i/>
        </w:rPr>
        <w:t>syntetischer Satz a priori</w:t>
      </w:r>
      <w:r w:rsidR="00B32CB8">
        <w:t>“</w:t>
      </w:r>
      <w:r w:rsidRPr="006C0750">
        <w:t xml:space="preserve"> </w:t>
      </w:r>
      <w:r>
        <w:t>(KdRV, A 55</w:t>
      </w:r>
      <w:r>
        <w:fldChar w:fldCharType="begin"/>
      </w:r>
      <w:r>
        <w:instrText xml:space="preserve"> XE "Kant:</w:instrText>
      </w:r>
      <w:r w:rsidRPr="00BD7B30">
        <w:instrText>KdRV, A 55</w:instrText>
      </w:r>
      <w:r>
        <w:instrText xml:space="preserve">" </w:instrText>
      </w:r>
      <w:r>
        <w:fldChar w:fldCharType="end"/>
      </w:r>
      <w:r w:rsidR="00FC2E4C">
        <w:t xml:space="preserve">). Svododa vůle </w:t>
      </w:r>
      <w:r>
        <w:t>je zásadně vázán</w:t>
      </w:r>
      <w:r w:rsidR="00FC2E4C">
        <w:t>a</w:t>
      </w:r>
      <w:r>
        <w:t xml:space="preserve"> na fakt vždy již existujících morálních a lidských zákonů. </w:t>
      </w:r>
      <w:r>
        <w:rPr>
          <w:iCs/>
        </w:rPr>
        <w:t>Existují</w:t>
      </w:r>
      <w:r w:rsidR="00FC2E4C">
        <w:rPr>
          <w:iCs/>
        </w:rPr>
        <w:t xml:space="preserve">cí morální zákony jsou důkazem </w:t>
      </w:r>
      <w:r>
        <w:rPr>
          <w:iCs/>
        </w:rPr>
        <w:t>determinace člověka z jeho intimní svobody</w:t>
      </w:r>
      <w:r w:rsidR="00FC2E4C">
        <w:rPr>
          <w:iCs/>
        </w:rPr>
        <w:t xml:space="preserve">. </w:t>
      </w:r>
      <w:r w:rsidR="0022070B">
        <w:rPr>
          <w:rStyle w:val="ezkurwreuab5ozgtqnkl"/>
        </w:rPr>
        <w:t>Tato morálně</w:t>
      </w:r>
      <w:r w:rsidR="0022070B">
        <w:t xml:space="preserve"> </w:t>
      </w:r>
      <w:r w:rsidR="0022070B">
        <w:rPr>
          <w:rStyle w:val="ezkurwreuab5ozgtqnkl"/>
        </w:rPr>
        <w:t>odpovědná</w:t>
      </w:r>
      <w:r w:rsidR="0022070B">
        <w:t xml:space="preserve"> </w:t>
      </w:r>
      <w:r w:rsidR="0022070B">
        <w:rPr>
          <w:rStyle w:val="ezkurwreuab5ozgtqnkl"/>
        </w:rPr>
        <w:t>svoboda</w:t>
      </w:r>
      <w:r w:rsidR="0022070B">
        <w:t xml:space="preserve"> </w:t>
      </w:r>
      <w:r w:rsidR="00F033A7">
        <w:t xml:space="preserve">pak </w:t>
      </w:r>
      <w:r w:rsidR="000C2FD4">
        <w:rPr>
          <w:rStyle w:val="ezkurwreuab5ozgtqnkl"/>
        </w:rPr>
        <w:t>p</w:t>
      </w:r>
      <w:r w:rsidR="0022070B">
        <w:rPr>
          <w:rStyle w:val="ezkurwreuab5ozgtqnkl"/>
        </w:rPr>
        <w:t>ůsobí</w:t>
      </w:r>
      <w:r w:rsidR="0022070B">
        <w:t xml:space="preserve"> </w:t>
      </w:r>
      <w:r w:rsidR="0022070B">
        <w:rPr>
          <w:rStyle w:val="ezkurwreuab5ozgtqnkl"/>
        </w:rPr>
        <w:t xml:space="preserve">jako </w:t>
      </w:r>
      <w:r w:rsidR="00512E5B">
        <w:rPr>
          <w:rStyle w:val="ezkurwreuab5ozgtqnkl"/>
        </w:rPr>
        <w:t>reálná kauzalita</w:t>
      </w:r>
      <w:r w:rsidR="0022070B">
        <w:t xml:space="preserve"> </w:t>
      </w:r>
      <w:r w:rsidR="0022070B">
        <w:rPr>
          <w:rStyle w:val="ezkurwreuab5ozgtqnkl"/>
        </w:rPr>
        <w:t>v lidském světě praktického</w:t>
      </w:r>
      <w:r w:rsidR="0022070B">
        <w:t xml:space="preserve"> </w:t>
      </w:r>
      <w:r w:rsidR="0022070B">
        <w:rPr>
          <w:rStyle w:val="ezkurwreuab5ozgtqnkl"/>
        </w:rPr>
        <w:t>rozumu</w:t>
      </w:r>
      <w:r w:rsidR="0022070B">
        <w:t>.</w:t>
      </w:r>
    </w:p>
    <w:p w:rsidR="08163013" w:rsidRPr="00252CA1" w:rsidRDefault="08163013" w:rsidP="003A2CA4">
      <w:pPr>
        <w:ind w:firstLine="397"/>
      </w:pPr>
      <w:r>
        <w:t>Olivi popisuje fenomenologické „jak“ (</w:t>
      </w:r>
      <w:r w:rsidRPr="00860902">
        <w:rPr>
          <w:i/>
        </w:rPr>
        <w:t>Wie</w:t>
      </w:r>
      <w:r>
        <w:t xml:space="preserve">) se ipseitně daná vůle-substance vztahuje k sobě samé jako k prvnímu a bezprostřednímu předmětu poznání. </w:t>
      </w:r>
      <w:r w:rsidRPr="00273106">
        <w:t xml:space="preserve">Intimní aktuální vůle </w:t>
      </w:r>
      <w:r>
        <w:t xml:space="preserve">prvního moderního liberála je </w:t>
      </w:r>
      <w:r w:rsidRPr="00273106">
        <w:t>daná v substančním modu vnitřní jistoty</w:t>
      </w:r>
      <w:r>
        <w:t xml:space="preserve">. Tím </w:t>
      </w:r>
      <w:r w:rsidRPr="00273106">
        <w:t xml:space="preserve">nahradila </w:t>
      </w:r>
      <w:r>
        <w:t>neoplatonsk</w:t>
      </w:r>
      <w:r w:rsidRPr="00273106">
        <w:t>ý intelekt-slunce osvěcující duši zvnějšku</w:t>
      </w:r>
      <w:r>
        <w:t xml:space="preserve"> a </w:t>
      </w:r>
      <w:r w:rsidRPr="00273106">
        <w:t>mimo první substanci poznávanou smyslově. Následující pasáž ukazuje původní zdroj romantické intimity Západu založené na svobodě neomezeného a absolutního chtění</w:t>
      </w:r>
      <w:r>
        <w:fldChar w:fldCharType="begin"/>
      </w:r>
      <w:r>
        <w:instrText xml:space="preserve"> XE "</w:instrText>
      </w:r>
      <w:r w:rsidRPr="00B70601">
        <w:instrText>osoba:intimita</w:instrText>
      </w:r>
      <w:r>
        <w:instrText xml:space="preserve">" </w:instrText>
      </w:r>
      <w:r>
        <w:fldChar w:fldCharType="end"/>
      </w:r>
      <w:r w:rsidRPr="00273106">
        <w:t>.</w:t>
      </w:r>
      <w:r>
        <w:t xml:space="preserve"> </w:t>
      </w:r>
      <w:r w:rsidRPr="00273106">
        <w:t xml:space="preserve">Citát shrnuje předešlé vývody q. 57 a </w:t>
      </w:r>
      <w:r>
        <w:t>definuje vůli jako intimní substanci</w:t>
      </w:r>
      <w:r w:rsidRPr="00273106">
        <w:t xml:space="preserve"> </w:t>
      </w:r>
      <w:r>
        <w:t>třetího druhu</w:t>
      </w:r>
      <w:r>
        <w:fldChar w:fldCharType="begin"/>
      </w:r>
      <w:r>
        <w:instrText xml:space="preserve"> XE "</w:instrText>
      </w:r>
      <w:r w:rsidRPr="00F01643">
        <w:instrText>vůle:</w:instrText>
      </w:r>
      <w:r>
        <w:instrText xml:space="preserve">Olivi" </w:instrText>
      </w:r>
      <w:r>
        <w:fldChar w:fldCharType="end"/>
      </w:r>
      <w:r w:rsidRPr="00273106">
        <w:t>.</w:t>
      </w:r>
      <w:r>
        <w:t xml:space="preserve"> </w:t>
      </w:r>
    </w:p>
    <w:p w:rsidR="08163013" w:rsidRPr="08A649EB" w:rsidRDefault="08163013" w:rsidP="08A649EB">
      <w:pPr>
        <w:pStyle w:val="Citace"/>
        <w:rPr>
          <w:rStyle w:val="FontStyle116"/>
          <w:rFonts w:ascii="Calibri" w:hAnsi="Calibri"/>
          <w:sz w:val="22"/>
          <w:szCs w:val="20"/>
        </w:rPr>
      </w:pPr>
      <w:r w:rsidRPr="08A649EB">
        <w:rPr>
          <w:rStyle w:val="FontStyle116"/>
          <w:rFonts w:ascii="Calibri" w:hAnsi="Calibri"/>
          <w:sz w:val="22"/>
          <w:szCs w:val="20"/>
        </w:rPr>
        <w:t>„Nelze popřít, že jsou v naší moci ty akty, které vnitřně zakoušíme sami v sobě a které prožíváme. To by znamenalo, že popíráme to, co je v nás nejvnitřnější a nejjistější. Kdyby tyto akty nebyly v nás dány ve formě substance subsistující skrze sebe a bezprostředně (</w:t>
      </w:r>
      <w:r w:rsidRPr="08A649EB">
        <w:rPr>
          <w:i/>
        </w:rPr>
        <w:t>sunt a nostra forma substantiali per se et immediate</w:t>
      </w:r>
      <w:r w:rsidRPr="08A649EB">
        <w:rPr>
          <w:rStyle w:val="FontStyle116"/>
          <w:rFonts w:ascii="Calibri" w:hAnsi="Calibri"/>
          <w:sz w:val="22"/>
          <w:szCs w:val="20"/>
        </w:rPr>
        <w:t xml:space="preserve">), tedy bez mediace ostatních schopností, které z ní pramení, pak by tyto akty byly dány jen akcidentálně, tedy jen vzhledem k předmětům těchto aktů, nebo by v nás byly tyto akty založeny jen takovým způsobem, jako sluneční paprsek proniká éterem.“ </w:t>
      </w:r>
      <w:r w:rsidRPr="08A649EB">
        <w:rPr>
          <w:rStyle w:val="Znakapoznpodarou"/>
        </w:rPr>
        <w:footnoteReference w:id="378"/>
      </w:r>
    </w:p>
    <w:p w:rsidR="08163013" w:rsidRDefault="08163013" w:rsidP="08163013">
      <w:r w:rsidRPr="00273106">
        <w:t>Citát ukazuje, že subsistentní vůle pramení sama ze sebe (</w:t>
      </w:r>
      <w:r w:rsidRPr="00273106">
        <w:rPr>
          <w:i/>
        </w:rPr>
        <w:t>a se originatis</w:t>
      </w:r>
      <w:r w:rsidRPr="00273106">
        <w:t>) a pro založení vlastní aktuality nepotřebuje mediaci z vnějšího světa (</w:t>
      </w:r>
      <w:r w:rsidRPr="00273106">
        <w:rPr>
          <w:i/>
        </w:rPr>
        <w:t>nostra forma substantiali per se et immediate</w:t>
      </w:r>
      <w:r w:rsidRPr="00273106">
        <w:t xml:space="preserve">). </w:t>
      </w:r>
      <w:r w:rsidR="00637C1A">
        <w:t>Základní kognitivní p</w:t>
      </w:r>
      <w:r>
        <w:t xml:space="preserve">rincip </w:t>
      </w:r>
      <w:r w:rsidR="00637C1A">
        <w:t>„</w:t>
      </w:r>
      <w:r w:rsidR="08A649EB" w:rsidRPr="08A649EB">
        <w:rPr>
          <w:i/>
        </w:rPr>
        <w:t>ex</w:t>
      </w:r>
      <w:r w:rsidR="08A649EB">
        <w:t xml:space="preserve"> </w:t>
      </w:r>
      <w:r w:rsidR="08A649EB">
        <w:rPr>
          <w:i/>
        </w:rPr>
        <w:t>inmediatis</w:t>
      </w:r>
      <w:r w:rsidR="00637C1A">
        <w:t>“</w:t>
      </w:r>
      <w:r w:rsidRPr="089A0D9E">
        <w:fldChar w:fldCharType="begin"/>
      </w:r>
      <w:r w:rsidRPr="089A0D9E">
        <w:instrText xml:space="preserve"> XE "princip </w:instrText>
      </w:r>
      <w:r w:rsidR="08A649EB">
        <w:rPr>
          <w:i/>
        </w:rPr>
        <w:instrText>ex in</w:instrText>
      </w:r>
      <w:r w:rsidRPr="08673218">
        <w:rPr>
          <w:i/>
        </w:rPr>
        <w:instrText>mediatis</w:instrText>
      </w:r>
      <w:r w:rsidRPr="089A0D9E">
        <w:instrText xml:space="preserve">" </w:instrText>
      </w:r>
      <w:r w:rsidRPr="089A0D9E">
        <w:fldChar w:fldCharType="end"/>
      </w:r>
      <w:r w:rsidR="00637C1A">
        <w:t xml:space="preserve"> se přesunul</w:t>
      </w:r>
      <w:r>
        <w:t xml:space="preserve"> z kauzálně působící první substance na intimně zakoušenou a kauzálně působící vůli. </w:t>
      </w:r>
      <w:r w:rsidRPr="00273106">
        <w:t xml:space="preserve">Vůle je ve své aktualitě dána </w:t>
      </w:r>
      <w:r w:rsidR="00960021">
        <w:rPr>
          <w:i/>
        </w:rPr>
        <w:t>simpliciter</w:t>
      </w:r>
      <w:r w:rsidRPr="00273106">
        <w:t xml:space="preserve">, protože její původní </w:t>
      </w:r>
      <w:r>
        <w:t xml:space="preserve">akt svobody je dán subjektivně-reálně v hypostázované vůli a ta působí objektivně-kauzálně vzhledem k tělu. Připomeňme modus </w:t>
      </w:r>
      <w:r w:rsidR="006D74C5">
        <w:t>„</w:t>
      </w:r>
      <w:r w:rsidRPr="08673218">
        <w:rPr>
          <w:i/>
        </w:rPr>
        <w:t>subiective</w:t>
      </w:r>
      <w:r>
        <w:t>‒</w:t>
      </w:r>
      <w:r w:rsidRPr="08673218">
        <w:rPr>
          <w:i/>
        </w:rPr>
        <w:t>obiective</w:t>
      </w:r>
      <w:r w:rsidR="006D74C5">
        <w:t>“</w:t>
      </w:r>
      <w:r>
        <w:fldChar w:fldCharType="begin"/>
      </w:r>
      <w:r>
        <w:instrText xml:space="preserve"> XE "intelekt:</w:instrText>
      </w:r>
      <w:r w:rsidRPr="000814EA">
        <w:rPr>
          <w:i/>
        </w:rPr>
        <w:instrText>subiective</w:instrText>
      </w:r>
      <w:r>
        <w:rPr>
          <w:i/>
        </w:rPr>
        <w:instrText>/obiective</w:instrText>
      </w:r>
      <w:r>
        <w:instrText xml:space="preserve">" </w:instrText>
      </w:r>
      <w:r>
        <w:fldChar w:fldCharType="end"/>
      </w:r>
      <w:r>
        <w:t xml:space="preserve"> Sigerovy školy daný pro vztah těla, duše a intelektu, který použil Boethius z Dácie jako autor Gieleho </w:t>
      </w:r>
      <w:r>
        <w:lastRenderedPageBreak/>
        <w:t>anonyma (</w:t>
      </w:r>
      <w:r w:rsidRPr="008E409C">
        <w:rPr>
          <w:i/>
        </w:rPr>
        <w:t>anima indiget in intelligere cor</w:t>
      </w:r>
      <w:r>
        <w:rPr>
          <w:i/>
        </w:rPr>
        <w:t xml:space="preserve">pore obiecto, non sicut subiecto; </w:t>
      </w:r>
      <w:r w:rsidR="08D569CF">
        <w:t>kap. 4</w:t>
      </w:r>
      <w:r w:rsidRPr="08673218">
        <w:t>.3.1</w:t>
      </w:r>
      <w:r>
        <w:t xml:space="preserve">). </w:t>
      </w:r>
      <w:r w:rsidR="08066ADE">
        <w:t>Oliviho v</w:t>
      </w:r>
      <w:r w:rsidRPr="08D569CF">
        <w:t>ůle subsistuje skrze aktuálně a bezprostředně zakoušenou podstatu bytující skrze sebe a v sobě (</w:t>
      </w:r>
      <w:r w:rsidRPr="08D569CF">
        <w:rPr>
          <w:i/>
        </w:rPr>
        <w:t>intimum et certissimum nobis</w:t>
      </w:r>
      <w:r w:rsidRPr="08D569CF">
        <w:t>). Akt vůle zakoušíme s absolutní vnitřní jistotou (</w:t>
      </w:r>
      <w:r w:rsidRPr="08D569CF">
        <w:rPr>
          <w:i/>
        </w:rPr>
        <w:t>actus quos intime sentimus esse</w:t>
      </w:r>
      <w:r w:rsidRPr="08D569CF">
        <w:t>) oddělenou od jiných smyslů. Nelze popřít svobodnou vůli danou ve vnitřním zakoušení (</w:t>
      </w:r>
      <w:proofErr w:type="gramStart"/>
      <w:r w:rsidRPr="08D569CF">
        <w:rPr>
          <w:i/>
        </w:rPr>
        <w:t>non...est</w:t>
      </w:r>
      <w:proofErr w:type="gramEnd"/>
      <w:r w:rsidRPr="08D569CF">
        <w:rPr>
          <w:i/>
        </w:rPr>
        <w:t xml:space="preserve"> negare</w:t>
      </w:r>
      <w:r w:rsidRPr="08D569CF">
        <w:t>). Vůle má vlastní aktualitu sama ze sebe a funguje jako intelekt-slunce avicennovských a karteziánských</w:t>
      </w:r>
      <w:r w:rsidRPr="00273106">
        <w:t xml:space="preserve"> </w:t>
      </w:r>
      <w:r w:rsidRPr="00273106">
        <w:rPr>
          <w:i/>
        </w:rPr>
        <w:t>Modernorum</w:t>
      </w:r>
      <w:r w:rsidRPr="00273106">
        <w:t>.</w:t>
      </w:r>
      <w:r>
        <w:t xml:space="preserve"> Zrod moderního svobodného subjektu v modu karteziánské sebereflexe hypostázované mysli ukazuje citát zakládající metafyziku solipsistické moderny.</w:t>
      </w:r>
    </w:p>
    <w:p w:rsidR="08163013" w:rsidRDefault="08163013" w:rsidP="08163013">
      <w:pPr>
        <w:pStyle w:val="Citace"/>
        <w:rPr>
          <w:lang w:val="cs-CZ"/>
        </w:rPr>
      </w:pPr>
      <w:r>
        <w:t>„</w:t>
      </w:r>
      <w:r>
        <w:rPr>
          <w:lang w:val="cs-CZ"/>
        </w:rPr>
        <w:t>Sami v nás nejzřetelněji zakoušíme (</w:t>
      </w:r>
      <w:r w:rsidRPr="00F5096A">
        <w:rPr>
          <w:i/>
        </w:rPr>
        <w:t>manifestissime experimur in nobis</w:t>
      </w:r>
      <w:r>
        <w:rPr>
          <w:lang w:val="cs-CZ"/>
        </w:rPr>
        <w:t>), že naše mysl (</w:t>
      </w:r>
      <w:r w:rsidRPr="000C63AD">
        <w:rPr>
          <w:i/>
        </w:rPr>
        <w:t>mens nostra</w:t>
      </w:r>
      <w:r>
        <w:rPr>
          <w:lang w:val="cs-CZ"/>
        </w:rPr>
        <w:t>) jak myšlením tak láskou sama sebe reflektuje a obrací  se k sobě (</w:t>
      </w:r>
      <w:r w:rsidRPr="00CD708F">
        <w:rPr>
          <w:i/>
          <w:lang w:val="cs-CZ"/>
        </w:rPr>
        <w:t>ad se</w:t>
      </w:r>
      <w:r>
        <w:rPr>
          <w:lang w:val="cs-CZ"/>
        </w:rPr>
        <w:t>) jako k objektu (</w:t>
      </w:r>
      <w:r w:rsidRPr="00F5096A">
        <w:rPr>
          <w:i/>
        </w:rPr>
        <w:t>tanquam ad obiectum</w:t>
      </w:r>
      <w:r>
        <w:rPr>
          <w:lang w:val="cs-CZ"/>
        </w:rPr>
        <w:t>) danému přímo a nejblíže (</w:t>
      </w:r>
      <w:r w:rsidRPr="00F5096A">
        <w:rPr>
          <w:i/>
        </w:rPr>
        <w:t>sui ipsius directum et immediatum</w:t>
      </w:r>
      <w:r>
        <w:rPr>
          <w:lang w:val="cs-CZ"/>
        </w:rPr>
        <w:t>). Ale žádná schopnost se nemůže bezprostředně reflektovat sama v sobě (</w:t>
      </w:r>
      <w:r w:rsidRPr="0088756B">
        <w:rPr>
          <w:i/>
        </w:rPr>
        <w:t>nulla virtus potest se reflectere immediate super se</w:t>
      </w:r>
      <w:r>
        <w:rPr>
          <w:lang w:val="cs-CZ"/>
        </w:rPr>
        <w:t>), pokud není svobodná (</w:t>
      </w:r>
      <w:r w:rsidRPr="007C6503">
        <w:rPr>
          <w:i/>
        </w:rPr>
        <w:t>nisi habeat libertatem</w:t>
      </w:r>
      <w:r>
        <w:rPr>
          <w:lang w:val="cs-CZ"/>
        </w:rPr>
        <w:t>).“ </w:t>
      </w:r>
      <w:r w:rsidRPr="00273106">
        <w:rPr>
          <w:rStyle w:val="Znakapoznpodarou"/>
        </w:rPr>
        <w:footnoteReference w:id="379"/>
      </w:r>
    </w:p>
    <w:p w:rsidR="00FE1919" w:rsidRDefault="08163013" w:rsidP="08163013">
      <w:r>
        <w:t xml:space="preserve">Zásadní rozdíl mezi Sigerem a Olivim je v tom, že moderní vůle </w:t>
      </w:r>
      <w:r w:rsidRPr="08F777B6">
        <w:rPr>
          <w:i/>
        </w:rPr>
        <w:t>per se</w:t>
      </w:r>
      <w:r>
        <w:t xml:space="preserve"> provádí akt sebereflexe, kdy přímo a bezprostředně nazírá sama sebe jako hypostázovanou substanci třetího druhu (</w:t>
      </w:r>
      <w:r w:rsidRPr="00404592">
        <w:rPr>
          <w:i/>
        </w:rPr>
        <w:t>obiectum sui ipsius directum et immediatum</w:t>
      </w:r>
      <w:r>
        <w:rPr>
          <w:i/>
        </w:rPr>
        <w:fldChar w:fldCharType="begin"/>
      </w:r>
      <w:r>
        <w:instrText xml:space="preserve"> XE "</w:instrText>
      </w:r>
      <w:r w:rsidRPr="00620378">
        <w:instrText xml:space="preserve">princip </w:instrText>
      </w:r>
      <w:r w:rsidR="08A649EB">
        <w:rPr>
          <w:i/>
        </w:rPr>
        <w:instrText>ex in</w:instrText>
      </w:r>
      <w:r w:rsidRPr="001A04E8">
        <w:rPr>
          <w:i/>
        </w:rPr>
        <w:instrText>mediatis</w:instrText>
      </w:r>
      <w:r>
        <w:instrText xml:space="preserve">" </w:instrText>
      </w:r>
      <w:r>
        <w:rPr>
          <w:i/>
        </w:rPr>
        <w:fldChar w:fldCharType="end"/>
      </w:r>
      <w:r>
        <w:t xml:space="preserve">). Princip </w:t>
      </w:r>
      <w:r w:rsidR="08A649EB" w:rsidRPr="08A649EB">
        <w:rPr>
          <w:i/>
        </w:rPr>
        <w:t>ex</w:t>
      </w:r>
      <w:r w:rsidR="08A649EB">
        <w:t xml:space="preserve"> </w:t>
      </w:r>
      <w:r w:rsidR="08A649EB">
        <w:rPr>
          <w:i/>
        </w:rPr>
        <w:t>in</w:t>
      </w:r>
      <w:r w:rsidRPr="087B1ED0">
        <w:rPr>
          <w:i/>
        </w:rPr>
        <w:t>mediat</w:t>
      </w:r>
      <w:r w:rsidR="08A649EB">
        <w:rPr>
          <w:i/>
        </w:rPr>
        <w:t>is</w:t>
      </w:r>
      <w:r>
        <w:t xml:space="preserve"> se </w:t>
      </w:r>
      <w:r w:rsidR="08A649EB">
        <w:t xml:space="preserve">nyní </w:t>
      </w:r>
      <w:r>
        <w:t xml:space="preserve">vztahuje na vůli jako kauzálně působící substanci. Tento karteziánský scénář v modelu </w:t>
      </w:r>
      <w:r w:rsidR="006E35A2">
        <w:t>„</w:t>
      </w:r>
      <w:r w:rsidRPr="003933A8">
        <w:rPr>
          <w:i/>
        </w:rPr>
        <w:t>res volens</w:t>
      </w:r>
      <w:r w:rsidR="006E35A2">
        <w:t>“</w:t>
      </w:r>
      <w:r>
        <w:t xml:space="preserve"> by Siger vyloučil a s ním i škola prvního averroismu. Duše je </w:t>
      </w:r>
      <w:r w:rsidRPr="004A27AD">
        <w:rPr>
          <w:i/>
        </w:rPr>
        <w:t>tabula rasa</w:t>
      </w:r>
      <w:r>
        <w:rPr>
          <w:i/>
        </w:rPr>
        <w:fldChar w:fldCharType="begin"/>
      </w:r>
      <w:r>
        <w:instrText xml:space="preserve"> XE "</w:instrText>
      </w:r>
      <w:r w:rsidRPr="00CE6D17">
        <w:rPr>
          <w:i/>
        </w:rPr>
        <w:instrText>tabula rasa</w:instrText>
      </w:r>
      <w:r>
        <w:instrText xml:space="preserve">" </w:instrText>
      </w:r>
      <w:r>
        <w:rPr>
          <w:i/>
        </w:rPr>
        <w:fldChar w:fldCharType="end"/>
      </w:r>
      <w:r>
        <w:t xml:space="preserve"> a první poznání má od smyslově poznávaného světa. </w:t>
      </w:r>
      <w:r w:rsidRPr="00273106">
        <w:t>Avicennismus „létajícího muže</w:t>
      </w:r>
      <w:r>
        <w:fldChar w:fldCharType="begin"/>
      </w:r>
      <w:r>
        <w:instrText xml:space="preserve"> XE "</w:instrText>
      </w:r>
      <w:r w:rsidRPr="00FC391D">
        <w:rPr>
          <w:rStyle w:val="FontStyle129"/>
          <w:sz w:val="24"/>
        </w:rPr>
        <w:instrText>létající muž</w:instrText>
      </w:r>
      <w:r>
        <w:instrText xml:space="preserve">" </w:instrText>
      </w:r>
      <w:r>
        <w:fldChar w:fldCharType="end"/>
      </w:r>
      <w:r>
        <w:t xml:space="preserve">“ </w:t>
      </w:r>
      <w:r w:rsidRPr="00273106">
        <w:t>je nyní upravený pro aktuální a autonomní vůli.</w:t>
      </w:r>
      <w:r>
        <w:t xml:space="preserve"> Olivi jako </w:t>
      </w:r>
      <w:r w:rsidR="005822A4">
        <w:t xml:space="preserve">nadený </w:t>
      </w:r>
      <w:r>
        <w:t xml:space="preserve">žák Sigera se </w:t>
      </w:r>
      <w:r w:rsidR="007D12CC">
        <w:t xml:space="preserve">v tomto zásadním bodě </w:t>
      </w:r>
      <w:r>
        <w:t xml:space="preserve">rozešel s celou tehdejší školou františkánů vedených Bonaventurou. Pro ně byl </w:t>
      </w:r>
      <w:r>
        <w:rPr>
          <w:i/>
        </w:rPr>
        <w:t>Doctor Invidiosus</w:t>
      </w:r>
      <w:r>
        <w:t xml:space="preserve"> akademikem přicházejících apokalyptický</w:t>
      </w:r>
      <w:r w:rsidR="005822A4">
        <w:t>ch časů</w:t>
      </w:r>
      <w:r w:rsidR="007D12CC">
        <w:t xml:space="preserve">, proto musel </w:t>
      </w:r>
      <w:r w:rsidR="005822A4">
        <w:t xml:space="preserve">být </w:t>
      </w:r>
      <w:r w:rsidR="007D12CC">
        <w:t>odstraněn z univerzity</w:t>
      </w:r>
      <w:r>
        <w:t xml:space="preserve">. </w:t>
      </w:r>
      <w:r w:rsidR="007D12CC">
        <w:t>Z hlediska modernistů k</w:t>
      </w:r>
      <w:r>
        <w:t xml:space="preserve"> tomu došlo opravdu v hodině dvanácté, </w:t>
      </w:r>
      <w:r w:rsidR="007D12CC">
        <w:t xml:space="preserve">protože Akvinský přišel z papežského Říma a začal v Paříži efektivně ničit celou školu druhého averroismu. Pak bylo modernistům jasné, že </w:t>
      </w:r>
      <w:r>
        <w:t>artisté v Rue du Fouarre začali nastolovat vládu aristotelské Šelmy popsané v knize Zjevení (</w:t>
      </w:r>
      <w:r w:rsidRPr="001D3302">
        <w:rPr>
          <w:i/>
        </w:rPr>
        <w:t>isti errores significantur in Apocalypsi in numero nominis bestiae</w:t>
      </w:r>
      <w:r>
        <w:t>, kap</w:t>
      </w:r>
      <w:r w:rsidR="08066ADE">
        <w:t>. 4</w:t>
      </w:r>
      <w:r>
        <w:t>.1.2)</w:t>
      </w:r>
      <w:r w:rsidRPr="00273106">
        <w:t xml:space="preserve">. </w:t>
      </w:r>
      <w:r>
        <w:t xml:space="preserve">Ale Olivi odsuzující dokonce i Aristotela jako heretika nesledoval cestu Sigerova </w:t>
      </w:r>
      <w:r>
        <w:lastRenderedPageBreak/>
        <w:t xml:space="preserve">prvního averroismu. </w:t>
      </w:r>
      <w:r w:rsidRPr="00273106">
        <w:t xml:space="preserve">Dvoupatrová architektura vůle </w:t>
      </w:r>
      <w:r>
        <w:t>je inspirována Bonaventurovou duální regulí a Rufusovým rozdílem mezi akcidentální a substanciální potencí (</w:t>
      </w:r>
      <w:r w:rsidR="087F3766">
        <w:t>OBj II, kap. 3</w:t>
      </w:r>
      <w:r>
        <w:t xml:space="preserve">.3.1). </w:t>
      </w:r>
      <w:r w:rsidRPr="00273106">
        <w:t xml:space="preserve">Lidská vůle je daná </w:t>
      </w:r>
      <w:r w:rsidRPr="00273106">
        <w:rPr>
          <w:i/>
        </w:rPr>
        <w:t>per prius</w:t>
      </w:r>
      <w:r w:rsidRPr="00273106">
        <w:t xml:space="preserve"> substanciálně o sobě</w:t>
      </w:r>
      <w:r>
        <w:t xml:space="preserve"> (</w:t>
      </w:r>
      <w:r w:rsidRPr="00273106">
        <w:rPr>
          <w:i/>
          <w:iCs/>
        </w:rPr>
        <w:t>potentia essentialis</w:t>
      </w:r>
      <w:r>
        <w:rPr>
          <w:iCs/>
        </w:rPr>
        <w:t>)</w:t>
      </w:r>
      <w:r w:rsidRPr="00273106">
        <w:t xml:space="preserve">, a </w:t>
      </w:r>
      <w:r w:rsidRPr="00273106">
        <w:rPr>
          <w:i/>
        </w:rPr>
        <w:t>per posterius</w:t>
      </w:r>
      <w:r>
        <w:rPr>
          <w:i/>
        </w:rPr>
        <w:fldChar w:fldCharType="begin"/>
      </w:r>
      <w:r>
        <w:instrText xml:space="preserve"> XE "</w:instrText>
      </w:r>
      <w:r w:rsidRPr="001B0164">
        <w:instrText>vůle</w:instrText>
      </w:r>
      <w:r w:rsidRPr="00D56122">
        <w:rPr>
          <w:i/>
        </w:rPr>
        <w:instrText>:per posterius</w:instrText>
      </w:r>
      <w:r>
        <w:instrText xml:space="preserve">" </w:instrText>
      </w:r>
      <w:r>
        <w:rPr>
          <w:i/>
        </w:rPr>
        <w:fldChar w:fldCharType="end"/>
      </w:r>
      <w:r w:rsidRPr="00273106">
        <w:t xml:space="preserve"> určuje </w:t>
      </w:r>
      <w:r>
        <w:t xml:space="preserve">kontingentní </w:t>
      </w:r>
      <w:r w:rsidRPr="00273106">
        <w:t>chtění</w:t>
      </w:r>
      <w:r>
        <w:t xml:space="preserve"> (</w:t>
      </w:r>
      <w:r>
        <w:rPr>
          <w:i/>
        </w:rPr>
        <w:t>potentia accident</w:t>
      </w:r>
      <w:r w:rsidRPr="00FB6F91">
        <w:rPr>
          <w:i/>
        </w:rPr>
        <w:t>alis</w:t>
      </w:r>
      <w:r>
        <w:rPr>
          <w:i/>
        </w:rPr>
        <w:fldChar w:fldCharType="begin"/>
      </w:r>
      <w:r>
        <w:instrText xml:space="preserve"> XE "</w:instrText>
      </w:r>
      <w:r w:rsidRPr="007169BB">
        <w:rPr>
          <w:i/>
        </w:rPr>
        <w:instrText>potentia</w:instrText>
      </w:r>
      <w:r w:rsidRPr="007169BB">
        <w:instrText xml:space="preserve"> </w:instrText>
      </w:r>
      <w:r>
        <w:rPr>
          <w:i/>
        </w:rPr>
        <w:instrText>accident</w:instrText>
      </w:r>
      <w:r w:rsidRPr="007169BB">
        <w:rPr>
          <w:i/>
        </w:rPr>
        <w:instrText>alis</w:instrText>
      </w:r>
      <w:r>
        <w:instrText xml:space="preserve">" </w:instrText>
      </w:r>
      <w:r>
        <w:rPr>
          <w:i/>
        </w:rPr>
        <w:fldChar w:fldCharType="end"/>
      </w:r>
      <w:r>
        <w:t>)</w:t>
      </w:r>
      <w:r w:rsidRPr="00273106">
        <w:t xml:space="preserve">. </w:t>
      </w:r>
      <w:r>
        <w:t xml:space="preserve">Sama v sobě je vůle intimně svobodná substanciálně a trvale, proto má absolutní charakter vázaný na lidskou nemateriální duši a intelekt. </w:t>
      </w:r>
      <w:r w:rsidRPr="00273106">
        <w:t xml:space="preserve">Moderní agent chtění je intimně a aktuálně svobodný (první regule </w:t>
      </w:r>
      <w:r w:rsidR="004933E1">
        <w:t>vůle jako „</w:t>
      </w:r>
      <w:r w:rsidR="004933E1" w:rsidRPr="002167B5">
        <w:rPr>
          <w:i/>
        </w:rPr>
        <w:t>esse in</w:t>
      </w:r>
      <w:r w:rsidR="004933E1">
        <w:t>“</w:t>
      </w:r>
      <w:r w:rsidRPr="00273106">
        <w:t xml:space="preserve">), a tím svobodně </w:t>
      </w:r>
      <w:r w:rsidR="00CD27A0">
        <w:t>jedná</w:t>
      </w:r>
      <w:r w:rsidRPr="00273106">
        <w:t xml:space="preserve"> </w:t>
      </w:r>
      <w:r>
        <w:t xml:space="preserve">ve světě </w:t>
      </w:r>
      <w:r w:rsidRPr="00273106">
        <w:t>(druhá regule</w:t>
      </w:r>
      <w:r w:rsidR="004933E1">
        <w:t xml:space="preserve"> jako „</w:t>
      </w:r>
      <w:r w:rsidR="004933E1" w:rsidRPr="002167B5">
        <w:rPr>
          <w:i/>
        </w:rPr>
        <w:t>e</w:t>
      </w:r>
      <w:r w:rsidR="004933E1">
        <w:rPr>
          <w:i/>
        </w:rPr>
        <w:t xml:space="preserve">sse </w:t>
      </w:r>
      <w:proofErr w:type="gramStart"/>
      <w:r w:rsidR="004933E1">
        <w:rPr>
          <w:i/>
        </w:rPr>
        <w:t>ad</w:t>
      </w:r>
      <w:proofErr w:type="gramEnd"/>
      <w:r w:rsidR="004933E1">
        <w:t>“</w:t>
      </w:r>
      <w:r w:rsidRPr="00273106">
        <w:t xml:space="preserve">). </w:t>
      </w:r>
      <w:r>
        <w:t xml:space="preserve">Ve druhém demiurgickém modu působí ipseitně daná vůle také kontingentně a kauzálně směrem do světa. </w:t>
      </w:r>
      <w:r w:rsidRPr="00273106">
        <w:t xml:space="preserve">Spojením esenciální bytnosti a akcidentálních činností dostala vůle charakter </w:t>
      </w:r>
      <w:r>
        <w:t xml:space="preserve">moderní </w:t>
      </w:r>
      <w:r w:rsidRPr="00273106">
        <w:t xml:space="preserve">substance a stala se </w:t>
      </w:r>
      <w:r>
        <w:t>novým jsoucnem třetího druhu</w:t>
      </w:r>
      <w:r w:rsidR="00FE1919">
        <w:t>.</w:t>
      </w:r>
    </w:p>
    <w:p w:rsidR="08163013" w:rsidRPr="00273106" w:rsidRDefault="08163013" w:rsidP="00FE1919">
      <w:pPr>
        <w:ind w:firstLine="397"/>
      </w:pPr>
      <w:r>
        <w:t>Moderní definice osoby složené ze dvou substancí nyní dostala další substanci navíc, což bylo nepřijatelné v letech 1275‒77. Akvinský a Pecham odešli z Pařížské univerzity o pět let dříve kvůli sporům o mnohem menší hereze dané pluralitou pouze dvou forem nebo dvou substancí v člověku.</w:t>
      </w:r>
      <w:r w:rsidRPr="08C103E3">
        <w:t xml:space="preserve"> </w:t>
      </w:r>
      <w:r>
        <w:t>Modernisté po zničení klasické jednoty osoby začali oficiálně hlásat v Oxfordu a v Paříži substanční mnohost v člověku po odsouzení prvního averroismu roku 1277, ale raději se omezili pouze na dvě substance. Zavedení třetí substance do definice osoby vysvětluje, proč tento originál</w:t>
      </w:r>
      <w:r w:rsidR="000E2EC4">
        <w:t>ní františkánský sofista odešel</w:t>
      </w:r>
      <w:r>
        <w:t xml:space="preserve"> z Paříže kolem roku 1277. Znepokojení představení řádu nenechali tohoto nespoutaného myslitele působit jako učitele v centru tehdejší vzdělanosti v době největší krize modernismu, kdy metafyzická paranoia a schizofrenie zdaleka nebyla uznávanou akademickou normou. Proto hermeneutika vykládá Oliviho texty, které vznikaly právě v tomto období. Olivi vytvořil intimní diakosmos přímo v člověku a umístil do něj další jsoucno třetího druhu, které dostalo kauzální účinnost ve světě. Vůle jako substance má hypostázovanou svobodu danou intimně a ta garantuje následné svobodné jednání. </w:t>
      </w:r>
      <w:r w:rsidRPr="00273106">
        <w:t>A</w:t>
      </w:r>
      <w:r>
        <w:t>ktuální</w:t>
      </w:r>
      <w:r w:rsidRPr="00273106">
        <w:t xml:space="preserve"> vůle</w:t>
      </w:r>
      <w:r>
        <w:t>-substance funguje jako účinná příčina</w:t>
      </w:r>
      <w:r w:rsidRPr="00273106">
        <w:t xml:space="preserve"> </w:t>
      </w:r>
      <w:r w:rsidRPr="00273106">
        <w:rPr>
          <w:i/>
        </w:rPr>
        <w:t>per prius</w:t>
      </w:r>
      <w:r w:rsidRPr="00273106">
        <w:t xml:space="preserve"> </w:t>
      </w:r>
      <w:r>
        <w:t xml:space="preserve">a </w:t>
      </w:r>
      <w:r w:rsidRPr="00273106">
        <w:t xml:space="preserve">je nerozlišeně daná vzhledem k oběma potenciálním možnostem daným </w:t>
      </w:r>
      <w:r w:rsidRPr="00273106">
        <w:rPr>
          <w:i/>
        </w:rPr>
        <w:t>per posterius</w:t>
      </w:r>
      <w:r w:rsidRPr="00273106">
        <w:t xml:space="preserve"> v budoucnosti</w:t>
      </w:r>
      <w:r>
        <w:fldChar w:fldCharType="begin"/>
      </w:r>
      <w:r>
        <w:instrText xml:space="preserve"> XE "</w:instrText>
      </w:r>
      <w:r w:rsidRPr="001F64C4">
        <w:instrText xml:space="preserve">vůle:kauzalita </w:instrText>
      </w:r>
      <w:r w:rsidRPr="003B181E">
        <w:rPr>
          <w:i/>
        </w:rPr>
        <w:instrText>per prius</w:instrText>
      </w:r>
      <w:r>
        <w:instrText xml:space="preserve">" </w:instrText>
      </w:r>
      <w:r>
        <w:fldChar w:fldCharType="end"/>
      </w:r>
      <w:r w:rsidRPr="00273106">
        <w:t xml:space="preserve">. </w:t>
      </w:r>
      <w:r>
        <w:t>Vznik moderního svobodného subjektu ukazuje tento citát.</w:t>
      </w:r>
    </w:p>
    <w:p w:rsidR="08163013" w:rsidRPr="0863128C" w:rsidRDefault="08163013" w:rsidP="0863128C">
      <w:pPr>
        <w:pStyle w:val="Citace"/>
      </w:pPr>
      <w:r w:rsidRPr="0863128C">
        <w:rPr>
          <w:rStyle w:val="FontStyle116"/>
          <w:rFonts w:ascii="Calibri" w:hAnsi="Calibri"/>
          <w:sz w:val="22"/>
          <w:szCs w:val="20"/>
        </w:rPr>
        <w:t>„Vůle má svobodu původně a skrze sebe (</w:t>
      </w:r>
      <w:r w:rsidRPr="0863128C">
        <w:rPr>
          <w:i/>
        </w:rPr>
        <w:t>habere libertatem primo et per se</w:t>
      </w:r>
      <w:r w:rsidRPr="0863128C">
        <w:rPr>
          <w:rStyle w:val="FontStyle116"/>
          <w:rFonts w:ascii="Calibri" w:hAnsi="Calibri"/>
          <w:sz w:val="22"/>
          <w:szCs w:val="20"/>
        </w:rPr>
        <w:t>), protože vůle jedná ze sebe (</w:t>
      </w:r>
      <w:r w:rsidRPr="0863128C">
        <w:rPr>
          <w:i/>
        </w:rPr>
        <w:t>operatur tanquam a se</w:t>
      </w:r>
      <w:r w:rsidRPr="0863128C">
        <w:rPr>
          <w:rStyle w:val="FontStyle116"/>
          <w:rFonts w:ascii="Calibri" w:hAnsi="Calibri"/>
          <w:sz w:val="22"/>
          <w:szCs w:val="20"/>
        </w:rPr>
        <w:t>), a ne z jiného, údajně odděleného činitele a hybatele. Proto se determinuje sama ze sebe vzhledem k činu (</w:t>
      </w:r>
      <w:r w:rsidRPr="0863128C">
        <w:rPr>
          <w:i/>
        </w:rPr>
        <w:t>ipsa se ipsam applicat ad opus</w:t>
      </w:r>
      <w:r w:rsidRPr="0863128C">
        <w:rPr>
          <w:rStyle w:val="FontStyle116"/>
          <w:rFonts w:ascii="Calibri" w:hAnsi="Calibri"/>
          <w:sz w:val="22"/>
          <w:szCs w:val="20"/>
        </w:rPr>
        <w:t>). Sekundárně je vůle správně definována jako svobodná (</w:t>
      </w:r>
      <w:r w:rsidRPr="0863128C">
        <w:rPr>
          <w:i/>
        </w:rPr>
        <w:t>secundario vero dicitur libera</w:t>
      </w:r>
      <w:r w:rsidRPr="0863128C">
        <w:rPr>
          <w:rStyle w:val="FontStyle116"/>
          <w:rFonts w:ascii="Calibri" w:hAnsi="Calibri"/>
          <w:sz w:val="22"/>
          <w:szCs w:val="20"/>
        </w:rPr>
        <w:t xml:space="preserve">), protože má možnost jednání </w:t>
      </w:r>
      <w:r w:rsidRPr="0863128C">
        <w:rPr>
          <w:rStyle w:val="FontStyle116"/>
          <w:rFonts w:ascii="Calibri" w:hAnsi="Calibri"/>
          <w:sz w:val="22"/>
          <w:szCs w:val="20"/>
        </w:rPr>
        <w:lastRenderedPageBreak/>
        <w:t>vzhledem k opaku (</w:t>
      </w:r>
      <w:r w:rsidRPr="0863128C">
        <w:rPr>
          <w:i/>
        </w:rPr>
        <w:t>in utramque partem oppositorum</w:t>
      </w:r>
      <w:r w:rsidRPr="0863128C">
        <w:rPr>
          <w:rStyle w:val="FontStyle116"/>
          <w:rFonts w:ascii="Calibri" w:hAnsi="Calibri"/>
          <w:sz w:val="22"/>
          <w:szCs w:val="20"/>
        </w:rPr>
        <w:t>). Používám termín 'sekundární' proto, že  svoboda neexistuje jinak, než skrze to, co svobodu vybavuje aktivitou danou jakoby ze sebe (</w:t>
      </w:r>
      <w:r w:rsidRPr="0863128C">
        <w:rPr>
          <w:i/>
        </w:rPr>
        <w:t>operatur quasi a se</w:t>
      </w:r>
      <w:r w:rsidRPr="0863128C">
        <w:rPr>
          <w:rStyle w:val="FontStyle116"/>
          <w:rFonts w:ascii="Calibri" w:hAnsi="Calibri"/>
          <w:sz w:val="22"/>
          <w:szCs w:val="20"/>
        </w:rPr>
        <w:t>), a ne z nějakého odděleného zdroje.“ </w:t>
      </w:r>
      <w:r w:rsidRPr="0815690F">
        <w:rPr>
          <w:rStyle w:val="Znakapoznpodarou"/>
        </w:rPr>
        <w:footnoteReference w:id="380"/>
      </w:r>
    </w:p>
    <w:p w:rsidR="08163013" w:rsidRDefault="08163013" w:rsidP="08163013">
      <w:r w:rsidRPr="00273106">
        <w:t xml:space="preserve">První určení vůle je dáno z hlediska její </w:t>
      </w:r>
      <w:r>
        <w:t xml:space="preserve">subsistentní svobody </w:t>
      </w:r>
      <w:r w:rsidRPr="00273106">
        <w:t xml:space="preserve">dané </w:t>
      </w:r>
      <w:r w:rsidRPr="08167CFD">
        <w:rPr>
          <w:i/>
        </w:rPr>
        <w:t>intrinsece</w:t>
      </w:r>
      <w:r w:rsidRPr="00273106">
        <w:t xml:space="preserve"> </w:t>
      </w:r>
      <w:r>
        <w:t xml:space="preserve">a </w:t>
      </w:r>
      <w:r w:rsidRPr="08314D6B">
        <w:rPr>
          <w:i/>
        </w:rPr>
        <w:t>per se</w:t>
      </w:r>
      <w:r>
        <w:t xml:space="preserve"> </w:t>
      </w:r>
      <w:r w:rsidRPr="00273106">
        <w:t>(</w:t>
      </w:r>
      <w:r w:rsidRPr="00273106">
        <w:rPr>
          <w:i/>
        </w:rPr>
        <w:t>voluntas dicitur habere libertatem primo et per se</w:t>
      </w:r>
      <w:r w:rsidRPr="00273106">
        <w:t xml:space="preserve">). </w:t>
      </w:r>
      <w:r>
        <w:t xml:space="preserve">Svobodná vůle </w:t>
      </w:r>
      <w:r w:rsidRPr="00273106">
        <w:t xml:space="preserve">v modu ipseity </w:t>
      </w:r>
      <w:r>
        <w:t xml:space="preserve">pak </w:t>
      </w:r>
      <w:r w:rsidRPr="00273106">
        <w:t>směřuje k externímu předmětu chtění (</w:t>
      </w:r>
      <w:r w:rsidRPr="00273106">
        <w:rPr>
          <w:i/>
        </w:rPr>
        <w:t>ipsa se ipsam applicat ad opus</w:t>
      </w:r>
      <w:r w:rsidR="00B42A2B">
        <w:t>). Místo Sigerovy teze „</w:t>
      </w:r>
      <w:r>
        <w:rPr>
          <w:i/>
        </w:rPr>
        <w:t>homo ipse intelligit</w:t>
      </w:r>
      <w:r w:rsidR="00B42A2B">
        <w:t>“</w:t>
      </w:r>
      <w:r>
        <w:rPr>
          <w:i/>
        </w:rPr>
        <w:fldChar w:fldCharType="begin"/>
      </w:r>
      <w:r>
        <w:instrText xml:space="preserve"> XE "</w:instrText>
      </w:r>
      <w:r w:rsidRPr="00B935DC">
        <w:rPr>
          <w:rStyle w:val="Zkladntext350"/>
        </w:rPr>
        <w:instrText>osoba</w:instrText>
      </w:r>
      <w:r w:rsidRPr="00B935DC">
        <w:rPr>
          <w:rStyle w:val="Zkladntext350"/>
          <w:i/>
        </w:rPr>
        <w:instrText>:</w:instrText>
      </w:r>
      <w:r>
        <w:rPr>
          <w:rStyle w:val="Zkladntext350"/>
          <w:i/>
        </w:rPr>
        <w:instrText>homo ipse intelligit</w:instrText>
      </w:r>
      <w:r>
        <w:instrText xml:space="preserve">" </w:instrText>
      </w:r>
      <w:r>
        <w:rPr>
          <w:i/>
        </w:rPr>
        <w:fldChar w:fldCharType="end"/>
      </w:r>
      <w:r w:rsidRPr="00273106">
        <w:t xml:space="preserve"> nastupuje teze </w:t>
      </w:r>
      <w:r>
        <w:t>o hypostázované svobodné vůli v modu absolutní ipseity (</w:t>
      </w:r>
      <w:r w:rsidRPr="00273106">
        <w:rPr>
          <w:i/>
        </w:rPr>
        <w:t>ipsa se ipsam</w:t>
      </w:r>
      <w:r>
        <w:t>)</w:t>
      </w:r>
      <w:r w:rsidRPr="00273106">
        <w:t xml:space="preserve">. </w:t>
      </w:r>
      <w:r>
        <w:t xml:space="preserve">Svobodná vůle jako ipseitní substance </w:t>
      </w:r>
      <w:r w:rsidR="00390ECE">
        <w:t xml:space="preserve">je </w:t>
      </w:r>
      <w:r w:rsidRPr="00273106">
        <w:t>dána v primárním modu</w:t>
      </w:r>
      <w:r w:rsidR="00390ECE">
        <w:t xml:space="preserve"> </w:t>
      </w:r>
      <w:r w:rsidR="00390ECE" w:rsidRPr="005733F7">
        <w:rPr>
          <w:i/>
        </w:rPr>
        <w:t>per se</w:t>
      </w:r>
      <w:r>
        <w:t xml:space="preserve">. Tato hypostázovaná svobodná vůle je </w:t>
      </w:r>
      <w:r w:rsidRPr="00273106">
        <w:t xml:space="preserve">v sekundárním modu </w:t>
      </w:r>
      <w:r>
        <w:t xml:space="preserve">svobodná skrze jednání dané do světa </w:t>
      </w:r>
      <w:r w:rsidRPr="00273106">
        <w:t>(</w:t>
      </w:r>
      <w:r w:rsidRPr="00273106">
        <w:rPr>
          <w:i/>
        </w:rPr>
        <w:t>secundario vero dicitur libera</w:t>
      </w:r>
      <w:r w:rsidRPr="00273106">
        <w:t xml:space="preserve">). Nově určená </w:t>
      </w:r>
      <w:r>
        <w:t xml:space="preserve">aktualita intimní vůle svobodně </w:t>
      </w:r>
      <w:r w:rsidRPr="00273106">
        <w:t>volí mezi protiklady danými současně</w:t>
      </w:r>
      <w:r>
        <w:t xml:space="preserve"> v potenci vzhledem k vnějšímu světu </w:t>
      </w:r>
      <w:r w:rsidRPr="00273106">
        <w:t>(</w:t>
      </w:r>
      <w:r w:rsidRPr="00273106">
        <w:rPr>
          <w:i/>
        </w:rPr>
        <w:t>in utramque partem oppositorum</w:t>
      </w:r>
      <w:r w:rsidRPr="00273106">
        <w:t>)</w:t>
      </w:r>
      <w:r>
        <w:t xml:space="preserve">. </w:t>
      </w:r>
      <w:r w:rsidR="00570126">
        <w:t xml:space="preserve">Vůle ve své intimní </w:t>
      </w:r>
      <w:r w:rsidR="00570126" w:rsidRPr="08350F8F">
        <w:rPr>
          <w:i/>
        </w:rPr>
        <w:t>potentia substa</w:t>
      </w:r>
      <w:r w:rsidR="00570126">
        <w:rPr>
          <w:i/>
        </w:rPr>
        <w:t>n</w:t>
      </w:r>
      <w:r w:rsidR="00570126" w:rsidRPr="08350F8F">
        <w:rPr>
          <w:i/>
        </w:rPr>
        <w:t>tialis</w:t>
      </w:r>
      <w:r w:rsidR="00570126">
        <w:t xml:space="preserve"> je stejně neomylná a sebejistá jako bůh koncipující budoucí plán spásy v modu „</w:t>
      </w:r>
      <w:r w:rsidR="00570126" w:rsidRPr="08CD426F">
        <w:rPr>
          <w:i/>
        </w:rPr>
        <w:t>semel</w:t>
      </w:r>
      <w:r w:rsidR="00570126">
        <w:t>‒</w:t>
      </w:r>
      <w:r w:rsidR="00570126" w:rsidRPr="08CD426F">
        <w:rPr>
          <w:i/>
        </w:rPr>
        <w:t>semper</w:t>
      </w:r>
      <w:r w:rsidR="00570126">
        <w:t>“</w:t>
      </w:r>
      <w:r w:rsidR="00570126">
        <w:rPr>
          <w:i/>
        </w:rPr>
        <w:fldChar w:fldCharType="begin"/>
      </w:r>
      <w:r w:rsidR="00570126">
        <w:instrText xml:space="preserve"> XE "predikace:</w:instrText>
      </w:r>
      <w:r w:rsidR="00570126" w:rsidRPr="085D48F0">
        <w:rPr>
          <w:i/>
        </w:rPr>
        <w:instrText>semel</w:instrText>
      </w:r>
      <w:r w:rsidR="00570126" w:rsidRPr="085D48F0">
        <w:instrText>‒</w:instrText>
      </w:r>
      <w:r w:rsidR="00570126" w:rsidRPr="085D48F0">
        <w:rPr>
          <w:i/>
        </w:rPr>
        <w:instrText>semper</w:instrText>
      </w:r>
      <w:r w:rsidR="00570126">
        <w:instrText xml:space="preserve">" </w:instrText>
      </w:r>
      <w:r w:rsidR="00570126">
        <w:rPr>
          <w:i/>
        </w:rPr>
        <w:fldChar w:fldCharType="end"/>
      </w:r>
      <w:r w:rsidR="00570126">
        <w:t xml:space="preserve">. </w:t>
      </w:r>
      <w:r>
        <w:t>Připomeňme, že základem tohoto pouze budoucího ale již logicky určeného jednání vůle dané vyloučením třetí možnosti je Grossetesteho spekulace o budoucím příchodu Antikrista, která založila moderní logiku (</w:t>
      </w:r>
      <w:r w:rsidR="08012182">
        <w:t>OBJ II, kap. 3</w:t>
      </w:r>
      <w:r>
        <w:t xml:space="preserve">.1.2).  Příchod Antiktista je logicky nutný stejně jako schopnost vůle svobodně a intimně chtít. Všechno ostatní je logicky vyloučeno. Pak je jen akcidentální záležitost, jestli svobodná vůle kontingentně realizuje nebo nerealizuje své nutné, ipseitní a intimně dané chtění svobodně subsistující v této základní substanciální možnosti. Bez této aktuální potence </w:t>
      </w:r>
      <w:r w:rsidRPr="00273106">
        <w:t xml:space="preserve">by nebyla </w:t>
      </w:r>
      <w:r>
        <w:t xml:space="preserve">vůle </w:t>
      </w:r>
      <w:r w:rsidRPr="00273106">
        <w:t xml:space="preserve">svobodná </w:t>
      </w:r>
      <w:r>
        <w:t>jako intimní kauzální činitel</w:t>
      </w:r>
      <w:r w:rsidRPr="00273106">
        <w:t xml:space="preserve">. Vytvoření primární a sekundární roviny vůle založilo nový systém </w:t>
      </w:r>
      <w:r>
        <w:t xml:space="preserve">Bonaventurovy </w:t>
      </w:r>
      <w:r w:rsidRPr="00273106">
        <w:t>dvoupa</w:t>
      </w:r>
      <w:r>
        <w:t>trové regule</w:t>
      </w:r>
      <w:r w:rsidR="00E21CD2">
        <w:t xml:space="preserve"> (</w:t>
      </w:r>
      <w:r w:rsidR="00E21CD2" w:rsidRPr="08BB6917">
        <w:rPr>
          <w:i/>
        </w:rPr>
        <w:t>regula agentis in/creati</w:t>
      </w:r>
      <w:r w:rsidR="00E21CD2">
        <w:rPr>
          <w:i/>
        </w:rPr>
        <w:t>,</w:t>
      </w:r>
      <w:r w:rsidR="00E21CD2">
        <w:t xml:space="preserve"> kap. 4</w:t>
      </w:r>
      <w:r w:rsidR="00E21CD2" w:rsidRPr="00273106">
        <w:t>.1.2</w:t>
      </w:r>
      <w:r w:rsidR="00E21CD2">
        <w:t>)</w:t>
      </w:r>
      <w:r>
        <w:t xml:space="preserve">, ale tentokrát dané </w:t>
      </w:r>
      <w:r w:rsidRPr="00273106">
        <w:t xml:space="preserve">pouze v člověku. </w:t>
      </w:r>
      <w:r>
        <w:t xml:space="preserve">Olivi dostal člověka na boží úroveň, ale pouze v modu svobodné intimity vůle, která funguje jako nová forma </w:t>
      </w:r>
      <w:r w:rsidR="00480BDA">
        <w:rPr>
          <w:i/>
        </w:rPr>
        <w:t>imago D</w:t>
      </w:r>
      <w:r w:rsidRPr="08EB40FF">
        <w:rPr>
          <w:i/>
        </w:rPr>
        <w:t>ei</w:t>
      </w:r>
      <w:r>
        <w:t xml:space="preserve">. </w:t>
      </w:r>
      <w:r w:rsidR="00A15697">
        <w:t>Moderní b</w:t>
      </w:r>
      <w:r>
        <w:t xml:space="preserve">ůh dostal ve filosofii novou antropomorfní podobu a </w:t>
      </w:r>
      <w:proofErr w:type="gramStart"/>
      <w:r>
        <w:t>se</w:t>
      </w:r>
      <w:proofErr w:type="gramEnd"/>
      <w:r>
        <w:t xml:space="preserve"> stal modernímu člověku bližším a srozumitelnějším</w:t>
      </w:r>
      <w:r w:rsidR="008B1C16">
        <w:t>. Reformační podoba kapitalismu (kap. 5.1.3) plně dosvěčila tento vývoj</w:t>
      </w:r>
      <w:r>
        <w:t>.</w:t>
      </w:r>
    </w:p>
    <w:p w:rsidR="08163013" w:rsidRPr="08C82DEE" w:rsidRDefault="08163013" w:rsidP="08163013">
      <w:r>
        <w:lastRenderedPageBreak/>
        <w:tab/>
        <w:t xml:space="preserve">Ipseita svobodné vůle zakoušená v první osobě a zároveň jako substance třetího druhu určila i další důležitý charakter vůle. </w:t>
      </w:r>
      <w:r>
        <w:rPr>
          <w:iCs/>
        </w:rPr>
        <w:t xml:space="preserve">Olivi </w:t>
      </w:r>
      <w:r w:rsidRPr="00273106">
        <w:t xml:space="preserve">zrušil aristotelskou identitu jsoucna tím, že postuloval esenciálně danou aktualitu a potencialitu do epochálně nové substance </w:t>
      </w:r>
      <w:r>
        <w:t xml:space="preserve">třetího druhu </w:t>
      </w:r>
      <w:r w:rsidRPr="00273106">
        <w:t xml:space="preserve">dané </w:t>
      </w:r>
      <w:r w:rsidRPr="00273106">
        <w:rPr>
          <w:i/>
        </w:rPr>
        <w:t>simplex</w:t>
      </w:r>
      <w:r>
        <w:rPr>
          <w:i/>
        </w:rPr>
        <w:t xml:space="preserve"> </w:t>
      </w:r>
      <w:r w:rsidRPr="08F1751E">
        <w:t xml:space="preserve">a </w:t>
      </w:r>
      <w:r w:rsidRPr="089A3EEA">
        <w:t>v modu</w:t>
      </w:r>
      <w:r>
        <w:rPr>
          <w:i/>
        </w:rPr>
        <w:t xml:space="preserve"> </w:t>
      </w:r>
      <w:r w:rsidR="00CD0043">
        <w:t>„</w:t>
      </w:r>
      <w:r w:rsidRPr="089A3EEA">
        <w:rPr>
          <w:i/>
        </w:rPr>
        <w:t>intimissime interiora nostrae mentis</w:t>
      </w:r>
      <w:r w:rsidR="00CD0043">
        <w:t>“</w:t>
      </w:r>
      <w:r>
        <w:t xml:space="preserve">. </w:t>
      </w:r>
      <w:r>
        <w:rPr>
          <w:iCs/>
        </w:rPr>
        <w:t>Touto transformací na porretánské jsoucno třetího druhu začala vůle „exsistovat“ v modu intimní ipseity, která je metafyzicky oddělena od následného působení vůle v realitě.</w:t>
      </w:r>
      <w:r>
        <w:t xml:space="preserve"> Olivi nesouhlasí </w:t>
      </w:r>
      <w:r w:rsidRPr="00273106">
        <w:t>s aristotelským pojetím kauzality</w:t>
      </w:r>
      <w:r>
        <w:t xml:space="preserve">, protože musí pro svobodnou vůli zachovat substanční a kauzální možnost </w:t>
      </w:r>
      <w:r w:rsidRPr="00273106">
        <w:t>jednat j</w:t>
      </w:r>
      <w:r>
        <w:t xml:space="preserve">inak. Vůle musí obsahovat nutnou, substanciálně a aktuálně danou </w:t>
      </w:r>
      <w:r w:rsidRPr="00273106">
        <w:t xml:space="preserve">indeterminaci </w:t>
      </w:r>
      <w:r>
        <w:t xml:space="preserve">jednat </w:t>
      </w:r>
      <w:r w:rsidRPr="00273106">
        <w:t xml:space="preserve">vzhledem k opaku. </w:t>
      </w:r>
      <w:r w:rsidR="00945121" w:rsidRPr="00945121">
        <w:t xml:space="preserve">Takto danou neurčitost s ohledem na budoucí stav nacházíme u Aristotela, Averroese pouze u potence. </w:t>
      </w:r>
      <w:r w:rsidR="00945121">
        <w:t>Ale t</w:t>
      </w:r>
      <w:r w:rsidR="00945121" w:rsidRPr="00945121">
        <w:t xml:space="preserve">a nemůže být určena metafyzicky a logicky, protože ohledně budoucí námořní bitvy žádná </w:t>
      </w:r>
      <w:r w:rsidR="00945121">
        <w:t xml:space="preserve">logická </w:t>
      </w:r>
      <w:r w:rsidR="00945121" w:rsidRPr="00945121">
        <w:t xml:space="preserve">určenost neexistuje. </w:t>
      </w:r>
      <w:r>
        <w:t>Aristotelova záměrná volba (</w:t>
      </w:r>
      <w:r w:rsidRPr="00E9613C">
        <w:rPr>
          <w:i/>
        </w:rPr>
        <w:t>electio</w:t>
      </w:r>
      <w:r>
        <w:t xml:space="preserve">) proto determinuje vůli jako extenzi teoretického intelektu, který se stává praktickým tím, že singulárně-kauzálně působí v realitě skrze vůli. </w:t>
      </w:r>
      <w:r w:rsidRPr="00273106">
        <w:t>Rozumné chtění je v momentu rozhodnuté vůle již vztaženo k tomu či onomu parciálnímu dobru jako chtěnému předmětu.</w:t>
      </w:r>
      <w:r>
        <w:t xml:space="preserve"> Ale chtění na úrovni reálné volby je podle Oliviho pouze sekundární a kontingentní určení vůle determinované konkrétním předmětem chtění, nikoliv její </w:t>
      </w:r>
      <w:r w:rsidRPr="00E47882">
        <w:rPr>
          <w:i/>
        </w:rPr>
        <w:t>potentia substantialis</w:t>
      </w:r>
      <w:r>
        <w:rPr>
          <w:i/>
        </w:rPr>
        <w:fldChar w:fldCharType="begin"/>
      </w:r>
      <w:r>
        <w:instrText xml:space="preserve"> XE "vůle:</w:instrText>
      </w:r>
      <w:r w:rsidRPr="00263A8E">
        <w:rPr>
          <w:i/>
        </w:rPr>
        <w:instrText>potentia substantialis</w:instrText>
      </w:r>
      <w:r>
        <w:instrText xml:space="preserve">" </w:instrText>
      </w:r>
      <w:r>
        <w:rPr>
          <w:i/>
        </w:rPr>
        <w:fldChar w:fldCharType="end"/>
      </w:r>
      <w:r>
        <w:t xml:space="preserve">. </w:t>
      </w:r>
      <w:r>
        <w:rPr>
          <w:iCs/>
        </w:rPr>
        <w:t>I</w:t>
      </w:r>
      <w:r>
        <w:t xml:space="preserve">ntelektualistické určení vůle v modu </w:t>
      </w:r>
      <w:r w:rsidRPr="000079B3">
        <w:rPr>
          <w:i/>
        </w:rPr>
        <w:t>per prius</w:t>
      </w:r>
      <w:r>
        <w:t xml:space="preserve"> představuje pro Oliviho kámen zásadního úrazu. Aristotelismus determinuje vůli rozumem a tím ji dává až na druhé místo.</w:t>
      </w:r>
      <w:r w:rsidRPr="00273106">
        <w:t xml:space="preserve"> </w:t>
      </w:r>
      <w:r>
        <w:t>Heretikovi Aristotelovi přece nelze věřit v tak závažné otázce, protože svobodná vůle je nezbytně nutná pro naši spásu. Citovaná kvestie 57 odmítá tezi, že by rozum determinoval vůli, protože pak by nebyla plně svobodná</w:t>
      </w:r>
      <w:r w:rsidRPr="00273106">
        <w:t>.</w:t>
      </w:r>
      <w:r>
        <w:t xml:space="preserve"> </w:t>
      </w:r>
      <w:r>
        <w:rPr>
          <w:iCs/>
        </w:rPr>
        <w:t>Olivi ruší scénář závislosti vůle na intelektu útokem na Aristotela</w:t>
      </w:r>
      <w:r w:rsidR="00040930">
        <w:rPr>
          <w:iCs/>
        </w:rPr>
        <w:t xml:space="preserve">. Tím </w:t>
      </w:r>
      <w:r>
        <w:rPr>
          <w:iCs/>
        </w:rPr>
        <w:t xml:space="preserve">se přihlásil ke svým pařížským učitelům, které Albert ironicky nazval </w:t>
      </w:r>
      <w:r w:rsidRPr="00E34F90">
        <w:rPr>
          <w:i/>
          <w:iCs/>
        </w:rPr>
        <w:t>doctores Latin</w:t>
      </w:r>
      <w:r>
        <w:rPr>
          <w:i/>
          <w:iCs/>
        </w:rPr>
        <w:t>i</w:t>
      </w:r>
      <w:r>
        <w:rPr>
          <w:i/>
          <w:iCs/>
        </w:rPr>
        <w:fldChar w:fldCharType="begin"/>
      </w:r>
      <w:r>
        <w:instrText xml:space="preserve"> XE "druhý averroismus:</w:instrText>
      </w:r>
      <w:r w:rsidRPr="08E80388">
        <w:rPr>
          <w:i/>
        </w:rPr>
        <w:instrText>doctores Latini</w:instrText>
      </w:r>
      <w:r>
        <w:instrText xml:space="preserve">" </w:instrText>
      </w:r>
      <w:r>
        <w:rPr>
          <w:i/>
          <w:iCs/>
        </w:rPr>
        <w:fldChar w:fldCharType="end"/>
      </w:r>
      <w:r>
        <w:rPr>
          <w:iCs/>
        </w:rPr>
        <w:t xml:space="preserve">. </w:t>
      </w:r>
    </w:p>
    <w:p w:rsidR="08163013" w:rsidRPr="08012182" w:rsidRDefault="08163013" w:rsidP="08012182">
      <w:pPr>
        <w:pStyle w:val="Citace"/>
      </w:pPr>
      <w:r w:rsidRPr="08012182">
        <w:rPr>
          <w:rStyle w:val="FontStyle116"/>
          <w:rFonts w:ascii="Calibri" w:hAnsi="Calibri"/>
          <w:sz w:val="22"/>
          <w:szCs w:val="20"/>
        </w:rPr>
        <w:t>„</w:t>
      </w:r>
      <w:r w:rsidR="08012182">
        <w:rPr>
          <w:lang w:val="cs-CZ"/>
        </w:rPr>
        <w:t xml:space="preserve">V </w:t>
      </w:r>
      <w:r w:rsidRPr="08012182">
        <w:t>následující otázce</w:t>
      </w:r>
      <w:r w:rsidR="08012182">
        <w:rPr>
          <w:lang w:val="cs-CZ"/>
        </w:rPr>
        <w:t xml:space="preserve"> je pojednáno</w:t>
      </w:r>
      <w:r w:rsidRPr="08012182">
        <w:rPr>
          <w:rStyle w:val="FontStyle116"/>
          <w:rFonts w:ascii="Calibri" w:hAnsi="Calibri"/>
          <w:sz w:val="22"/>
          <w:szCs w:val="20"/>
        </w:rPr>
        <w:t>, že vůle, pokud je svobodná, nic nepřijímá ani z intelektu, ani z jeho aktů (</w:t>
      </w:r>
      <w:r w:rsidRPr="08012182">
        <w:rPr>
          <w:rStyle w:val="FontStyle116"/>
          <w:rFonts w:ascii="Calibri" w:hAnsi="Calibri"/>
          <w:i/>
          <w:sz w:val="22"/>
          <w:szCs w:val="20"/>
        </w:rPr>
        <w:t>nihil penitus recipit ab intellectu et eius actu</w:t>
      </w:r>
      <w:r w:rsidRPr="08012182">
        <w:rPr>
          <w:rStyle w:val="FontStyle116"/>
          <w:rFonts w:ascii="Calibri" w:hAnsi="Calibri"/>
          <w:sz w:val="22"/>
          <w:szCs w:val="20"/>
        </w:rPr>
        <w:t>), ani nepotřebuje aktualitu intelektu ke svému výkonu (</w:t>
      </w:r>
      <w:r w:rsidRPr="08012182">
        <w:rPr>
          <w:rStyle w:val="FontStyle116"/>
          <w:rFonts w:ascii="Calibri" w:hAnsi="Calibri"/>
          <w:i/>
          <w:sz w:val="22"/>
          <w:szCs w:val="20"/>
        </w:rPr>
        <w:t>nec exigitur ad eius actum</w:t>
      </w:r>
      <w:r w:rsidRPr="08012182">
        <w:rPr>
          <w:rStyle w:val="FontStyle116"/>
          <w:rFonts w:ascii="Calibri" w:hAnsi="Calibri"/>
          <w:sz w:val="22"/>
          <w:szCs w:val="20"/>
        </w:rPr>
        <w:t>) a stačí jí pouhá reprezentace předmětu chtění skrze intelekt (</w:t>
      </w:r>
      <w:r w:rsidRPr="08012182">
        <w:rPr>
          <w:rStyle w:val="FontStyle116"/>
          <w:rFonts w:ascii="Calibri" w:hAnsi="Calibri"/>
          <w:i/>
          <w:sz w:val="22"/>
          <w:szCs w:val="20"/>
        </w:rPr>
        <w:t>nisi pro sola repraesentatione obiecti</w:t>
      </w:r>
      <w:r w:rsidRPr="08012182">
        <w:rPr>
          <w:rStyle w:val="FontStyle116"/>
          <w:rFonts w:ascii="Calibri" w:hAnsi="Calibri"/>
          <w:sz w:val="22"/>
          <w:szCs w:val="20"/>
        </w:rPr>
        <w:t xml:space="preserve">). Navíc platí, že Aristoteles svou nauku nedokazuje, pouze předpokládá. A věřit tvrzení </w:t>
      </w:r>
      <w:r w:rsidR="0046632D">
        <w:rPr>
          <w:rStyle w:val="FontStyle116"/>
          <w:rFonts w:ascii="Calibri" w:hAnsi="Calibri"/>
          <w:sz w:val="22"/>
          <w:szCs w:val="20"/>
          <w:lang w:val="cs-CZ"/>
        </w:rPr>
        <w:t xml:space="preserve">nějakého </w:t>
      </w:r>
      <w:r w:rsidRPr="08012182">
        <w:rPr>
          <w:rStyle w:val="FontStyle116"/>
          <w:rFonts w:ascii="Calibri" w:hAnsi="Calibri"/>
          <w:sz w:val="22"/>
          <w:szCs w:val="20"/>
        </w:rPr>
        <w:t>pohana (</w:t>
      </w:r>
      <w:r w:rsidRPr="08012182">
        <w:rPr>
          <w:i/>
        </w:rPr>
        <w:t>credere dictum hominis infidelis</w:t>
      </w:r>
      <w:r w:rsidR="00331DB4">
        <w:rPr>
          <w:rStyle w:val="FontStyle116"/>
          <w:rFonts w:ascii="Calibri" w:hAnsi="Calibri"/>
          <w:sz w:val="22"/>
          <w:szCs w:val="20"/>
        </w:rPr>
        <w:t xml:space="preserve">) bez jakéhokoliv </w:t>
      </w:r>
      <w:r w:rsidR="00331DB4">
        <w:rPr>
          <w:rStyle w:val="FontStyle116"/>
          <w:rFonts w:ascii="Calibri" w:hAnsi="Calibri"/>
          <w:sz w:val="22"/>
          <w:szCs w:val="20"/>
        </w:rPr>
        <w:lastRenderedPageBreak/>
        <w:t>důkazu</w:t>
      </w:r>
      <w:r w:rsidR="00331DB4">
        <w:rPr>
          <w:rStyle w:val="FontStyle116"/>
          <w:rFonts w:ascii="Calibri" w:hAnsi="Calibri"/>
          <w:sz w:val="22"/>
          <w:szCs w:val="20"/>
          <w:lang w:val="cs-CZ"/>
        </w:rPr>
        <w:t xml:space="preserve">, navíc </w:t>
      </w:r>
      <w:r w:rsidRPr="08012182">
        <w:rPr>
          <w:rStyle w:val="FontStyle116"/>
          <w:rFonts w:ascii="Calibri" w:hAnsi="Calibri"/>
          <w:sz w:val="22"/>
          <w:szCs w:val="20"/>
        </w:rPr>
        <w:t>v případě ohrožení křesťanské víry a proti rozumu, to by byl akt velké hereze a velké hlouposti.“ </w:t>
      </w:r>
      <w:r w:rsidRPr="08012182">
        <w:rPr>
          <w:rStyle w:val="Znakapoznpodarou"/>
        </w:rPr>
        <w:footnoteReference w:id="381"/>
      </w:r>
    </w:p>
    <w:p w:rsidR="00FF75F8" w:rsidRDefault="08163013" w:rsidP="08163013">
      <w:r>
        <w:rPr>
          <w:iCs/>
        </w:rPr>
        <w:t>Citát nechává rozumu pouze pomocnou funkci modu intentionality (</w:t>
      </w:r>
      <w:r w:rsidRPr="00C44C78">
        <w:rPr>
          <w:i/>
        </w:rPr>
        <w:t>sola repraesentatione obiecti</w:t>
      </w:r>
      <w:r>
        <w:rPr>
          <w:iCs/>
        </w:rPr>
        <w:t xml:space="preserve">). Reprezentace znamená, že vůle je určena intelektem pouze nepřímo. Pokud by intelekt determinoval vůli v modu </w:t>
      </w:r>
      <w:r w:rsidRPr="0068209D">
        <w:rPr>
          <w:i/>
          <w:iCs/>
        </w:rPr>
        <w:t>per prius</w:t>
      </w:r>
      <w:r>
        <w:rPr>
          <w:iCs/>
        </w:rPr>
        <w:t xml:space="preserve">, pak by vůle nebyla svobodná na úrovni hypostázované </w:t>
      </w:r>
      <w:r w:rsidRPr="0068209D">
        <w:rPr>
          <w:i/>
          <w:iCs/>
        </w:rPr>
        <w:t>potentia substantialis</w:t>
      </w:r>
      <w:r>
        <w:rPr>
          <w:i/>
          <w:iCs/>
        </w:rPr>
        <w:fldChar w:fldCharType="begin"/>
      </w:r>
      <w:r>
        <w:instrText xml:space="preserve"> XE "vůle:</w:instrText>
      </w:r>
      <w:r w:rsidRPr="00263A8E">
        <w:rPr>
          <w:i/>
        </w:rPr>
        <w:instrText>potentia substantialis</w:instrText>
      </w:r>
      <w:r>
        <w:instrText xml:space="preserve">" </w:instrText>
      </w:r>
      <w:r>
        <w:rPr>
          <w:i/>
          <w:iCs/>
        </w:rPr>
        <w:fldChar w:fldCharType="end"/>
      </w:r>
      <w:r w:rsidR="001455E1">
        <w:rPr>
          <w:iCs/>
        </w:rPr>
        <w:t xml:space="preserve">. </w:t>
      </w:r>
      <w:r w:rsidR="001455E1" w:rsidRPr="001455E1">
        <w:rPr>
          <w:iCs/>
        </w:rPr>
        <w:t>Aristotelská determinace vůle probíhá nejprve prostřednictvím teoretického rozumu, který pak vůli předkládá poznaný předmět. Úkolem praktického rozumu je předložit</w:t>
      </w:r>
      <w:r w:rsidR="001455E1">
        <w:rPr>
          <w:iCs/>
        </w:rPr>
        <w:t xml:space="preserve"> vůli předmět vytvořený v modu „</w:t>
      </w:r>
      <w:r w:rsidR="001455E1" w:rsidRPr="001455E1">
        <w:rPr>
          <w:i/>
          <w:iCs/>
        </w:rPr>
        <w:t>bonum</w:t>
      </w:r>
      <w:r w:rsidR="001455E1">
        <w:rPr>
          <w:iCs/>
        </w:rPr>
        <w:t>“</w:t>
      </w:r>
      <w:r w:rsidR="001455E1" w:rsidRPr="001455E1">
        <w:rPr>
          <w:iCs/>
        </w:rPr>
        <w:t xml:space="preserve">. To znamená, že dobro je rozpoznáno aktivním intelektem v modu </w:t>
      </w:r>
      <w:r w:rsidR="001455E1" w:rsidRPr="001455E1">
        <w:rPr>
          <w:i/>
          <w:iCs/>
        </w:rPr>
        <w:t>per prius</w:t>
      </w:r>
      <w:r w:rsidR="001455E1" w:rsidRPr="001455E1">
        <w:rPr>
          <w:iCs/>
        </w:rPr>
        <w:t xml:space="preserve"> jako intencionální předmět a poté předlo</w:t>
      </w:r>
      <w:r w:rsidR="001455E1">
        <w:rPr>
          <w:iCs/>
        </w:rPr>
        <w:t>ženo vůli jako předmět jejího chtění</w:t>
      </w:r>
      <w:r w:rsidR="001455E1" w:rsidRPr="001455E1">
        <w:rPr>
          <w:iCs/>
        </w:rPr>
        <w:t xml:space="preserve">. To znamená, že praktický intelekt rozpoznal a </w:t>
      </w:r>
      <w:r w:rsidR="001455E1">
        <w:rPr>
          <w:iCs/>
        </w:rPr>
        <w:t xml:space="preserve">předložil </w:t>
      </w:r>
      <w:r w:rsidR="001455E1" w:rsidRPr="001455E1">
        <w:rPr>
          <w:iCs/>
        </w:rPr>
        <w:t xml:space="preserve">vůli za něco dobrého, protože rozum zásadně určuje vůli </w:t>
      </w:r>
      <w:r w:rsidR="001455E1">
        <w:rPr>
          <w:iCs/>
        </w:rPr>
        <w:t xml:space="preserve">skrze takto </w:t>
      </w:r>
      <w:r w:rsidR="001455E1" w:rsidRPr="001455E1">
        <w:rPr>
          <w:iCs/>
        </w:rPr>
        <w:t>poznan</w:t>
      </w:r>
      <w:r w:rsidR="001455E1">
        <w:rPr>
          <w:iCs/>
        </w:rPr>
        <w:t xml:space="preserve">ý </w:t>
      </w:r>
      <w:r w:rsidR="001455E1" w:rsidRPr="001455E1">
        <w:rPr>
          <w:iCs/>
        </w:rPr>
        <w:t xml:space="preserve">předmět. </w:t>
      </w:r>
      <w:r>
        <w:rPr>
          <w:iCs/>
        </w:rPr>
        <w:t>Olivi napadl Aristotelův princip extenze teoretického intelektu do praktického a oba mody rozpojil do dvou nezávislých substancí. H</w:t>
      </w:r>
      <w:r>
        <w:t xml:space="preserve">ypostatický intelekt-substance daný ve druhém averroismu je nyní oddělen od nově hypostázované vůle. Obě substance spojuje pouze skrze akt nahodilé reprezentace. </w:t>
      </w:r>
      <w:r>
        <w:rPr>
          <w:iCs/>
        </w:rPr>
        <w:t>Citát potvrdil nové postavení vůle vzhledem k intelektu. P</w:t>
      </w:r>
      <w:r w:rsidRPr="00273106">
        <w:t xml:space="preserve">rvní patro vůle </w:t>
      </w:r>
      <w:r>
        <w:t xml:space="preserve">funguje jako </w:t>
      </w:r>
      <w:r w:rsidR="08D22B54">
        <w:t xml:space="preserve">aktuální </w:t>
      </w:r>
      <w:r w:rsidR="085E19BB">
        <w:t xml:space="preserve">první </w:t>
      </w:r>
      <w:r>
        <w:t>substance</w:t>
      </w:r>
      <w:r w:rsidR="088C2312">
        <w:t xml:space="preserve">, která </w:t>
      </w:r>
      <w:r w:rsidR="085E19BB">
        <w:t>je oddělena</w:t>
      </w:r>
      <w:r>
        <w:t xml:space="preserve"> od intelektu</w:t>
      </w:r>
      <w:r w:rsidRPr="00273106">
        <w:t>.</w:t>
      </w:r>
      <w:r>
        <w:t xml:space="preserve"> Vůle je sama sebou ve výkonu </w:t>
      </w:r>
      <w:r w:rsidR="08D22B54">
        <w:t>intimně</w:t>
      </w:r>
      <w:r w:rsidR="085E19BB">
        <w:t xml:space="preserve"> </w:t>
      </w:r>
      <w:r>
        <w:t xml:space="preserve">dané svobody i bez dobra poznaného a předloženého intelektem. Pro primární bytí vůle v modu </w:t>
      </w:r>
      <w:r w:rsidRPr="00AC3F3B">
        <w:rPr>
          <w:i/>
        </w:rPr>
        <w:t>potentia substa</w:t>
      </w:r>
      <w:r>
        <w:rPr>
          <w:i/>
        </w:rPr>
        <w:t>nt</w:t>
      </w:r>
      <w:r w:rsidRPr="00AC3F3B">
        <w:rPr>
          <w:i/>
        </w:rPr>
        <w:t>ialis</w:t>
      </w:r>
      <w:r>
        <w:t xml:space="preserve"> není třeba ani teoretický ani praktický intelekt. </w:t>
      </w:r>
      <w:r w:rsidRPr="00273106">
        <w:t xml:space="preserve">Díky </w:t>
      </w:r>
      <w:r>
        <w:t>svobodné vůli</w:t>
      </w:r>
      <w:r w:rsidRPr="00273106">
        <w:t xml:space="preserve"> má lidský agent účinnou kauzalitu plně ve své </w:t>
      </w:r>
      <w:r>
        <w:t xml:space="preserve">intimně dané a zakoušené </w:t>
      </w:r>
      <w:r w:rsidRPr="00273106">
        <w:t>moci</w:t>
      </w:r>
      <w:r>
        <w:fldChar w:fldCharType="begin"/>
      </w:r>
      <w:r>
        <w:instrText xml:space="preserve"> XE "</w:instrText>
      </w:r>
      <w:r w:rsidRPr="000B6115">
        <w:instrText>vůle:intimní kauzalita</w:instrText>
      </w:r>
      <w:r>
        <w:instrText xml:space="preserve">" </w:instrText>
      </w:r>
      <w:r>
        <w:fldChar w:fldCharType="end"/>
      </w:r>
      <w:r w:rsidRPr="00273106">
        <w:t xml:space="preserve">. Tento nový subjekt </w:t>
      </w:r>
      <w:r w:rsidRPr="00273106">
        <w:rPr>
          <w:i/>
        </w:rPr>
        <w:t>Modernorum</w:t>
      </w:r>
      <w:r w:rsidRPr="00273106">
        <w:t xml:space="preserve"> se stává autonomním demiurgem postaveným mimo reálnou kauzalitu první substance</w:t>
      </w:r>
      <w:r>
        <w:t xml:space="preserve"> a mimo její racionální poznání v modu adekvace. Iracionálně pojatá vůle přestala fungovat v modu formální kauzality dobra dané od teoretického rozumu jako příčiny poznání, které determinuje činnou vůli jako účinek. Moderní vůle se stala ve své intimitě zcela iracionální a zcela nepříčetná. Akademické Fúrie se skrze Oliviho staly intimně svobodnými. Původní aristotelská přičitatelnost vůle byla dána vzhledem k intelektu, což Olivi posunul až do konkrétního aktu </w:t>
      </w:r>
      <w:r w:rsidRPr="08895957">
        <w:rPr>
          <w:i/>
        </w:rPr>
        <w:lastRenderedPageBreak/>
        <w:t>volitio</w:t>
      </w:r>
      <w:r>
        <w:t xml:space="preserve">. Etická a racionální přičitatelnost chtění nyní platí pouze v modu reprezentace, a nikoliv determinace. Moderní a proto neexistující vůle-esence „exsistuje“ ve svobodné intimitě a tato substance třetího druhu je v modu </w:t>
      </w:r>
      <w:r w:rsidRPr="08FB239A">
        <w:rPr>
          <w:i/>
        </w:rPr>
        <w:t>absolute</w:t>
      </w:r>
      <w:r>
        <w:t xml:space="preserve"> oddělena od kritického čili rozlišujícího intelektu jak teoretického tak praktického. Svrchovaná vůle moderního subjektu je vůči světu a vůči determinaci intelektu absolutně svobodná a ví </w:t>
      </w:r>
      <w:proofErr w:type="gramStart"/>
      <w:r>
        <w:t>tom</w:t>
      </w:r>
      <w:proofErr w:type="gramEnd"/>
      <w:r>
        <w:t xml:space="preserve"> niterným způsobem</w:t>
      </w:r>
      <w:r w:rsidRPr="00273106">
        <w:t>.</w:t>
      </w:r>
      <w:r>
        <w:t xml:space="preserve"> Intimně svobodná vůle potřebuje determinaci z reality a dobro definované intelektem až ve druhém kroku, k</w:t>
      </w:r>
      <w:r w:rsidR="00FF75F8">
        <w:t>dy jedná kontingentně ve světě.</w:t>
      </w:r>
    </w:p>
    <w:p w:rsidR="00AB7762" w:rsidRDefault="00FF75F8" w:rsidP="00AB7762">
      <w:pPr>
        <w:ind w:firstLine="397"/>
      </w:pPr>
      <w:r w:rsidRPr="00FF75F8">
        <w:t xml:space="preserve">Nová definice vůle odmítla aristotelský princip </w:t>
      </w:r>
      <w:r w:rsidR="007D44F2">
        <w:t>daný jako „</w:t>
      </w:r>
      <w:r w:rsidRPr="00FF75F8">
        <w:rPr>
          <w:i/>
        </w:rPr>
        <w:t>extensio</w:t>
      </w:r>
      <w:r w:rsidR="007D44F2">
        <w:t>“</w:t>
      </w:r>
      <w:r w:rsidRPr="00FF75F8">
        <w:t xml:space="preserve">. Působení teoretického intelektu </w:t>
      </w:r>
      <w:r w:rsidR="007D44F2">
        <w:t xml:space="preserve">kauzálně </w:t>
      </w:r>
      <w:r w:rsidRPr="00FF75F8">
        <w:t>působí v</w:t>
      </w:r>
      <w:r w:rsidR="007D44F2">
        <w:t xml:space="preserve"> realitě </w:t>
      </w:r>
      <w:r w:rsidRPr="00FF75F8">
        <w:t xml:space="preserve">prostřednictvím praktického rozumu a </w:t>
      </w:r>
      <w:r>
        <w:t xml:space="preserve">pak </w:t>
      </w:r>
      <w:r w:rsidRPr="00FF75F8">
        <w:t xml:space="preserve">prostřednictvím vůle. </w:t>
      </w:r>
      <w:r w:rsidR="08163013">
        <w:t xml:space="preserve">Odmítnutí aristotelské extenze teoretického intelektu do praktického skrze vůli vytvořilo základní </w:t>
      </w:r>
      <w:r w:rsidR="08163013" w:rsidRPr="00D109B3">
        <w:rPr>
          <w:i/>
        </w:rPr>
        <w:t>Lichtung</w:t>
      </w:r>
      <w:r w:rsidR="08E46C82">
        <w:rPr>
          <w:i/>
        </w:rPr>
        <w:fldChar w:fldCharType="begin"/>
      </w:r>
      <w:r w:rsidR="08E46C82">
        <w:instrText xml:space="preserve"> XE "</w:instrText>
      </w:r>
      <w:r w:rsidR="08E46C82" w:rsidRPr="08937244">
        <w:rPr>
          <w:i/>
        </w:rPr>
        <w:instrText>Lichtung</w:instrText>
      </w:r>
      <w:r w:rsidR="08E46C82">
        <w:instrText xml:space="preserve">" </w:instrText>
      </w:r>
      <w:r w:rsidR="08E46C82">
        <w:rPr>
          <w:i/>
        </w:rPr>
        <w:fldChar w:fldCharType="end"/>
      </w:r>
      <w:r w:rsidR="08163013">
        <w:t xml:space="preserve"> pro epochálně účinnou vůli v modu metafyzického nihilismu</w:t>
      </w:r>
      <w:r w:rsidR="08163013">
        <w:fldChar w:fldCharType="begin"/>
      </w:r>
      <w:r w:rsidR="08163013">
        <w:instrText xml:space="preserve"> XE "</w:instrText>
      </w:r>
      <w:r w:rsidR="08163013" w:rsidRPr="00306AF8">
        <w:instrText>vůle:nihilismus</w:instrText>
      </w:r>
      <w:r w:rsidR="08163013">
        <w:instrText xml:space="preserve">" </w:instrText>
      </w:r>
      <w:r w:rsidR="08163013">
        <w:fldChar w:fldCharType="end"/>
      </w:r>
      <w:r w:rsidR="08163013">
        <w:t xml:space="preserve">. </w:t>
      </w:r>
      <w:r w:rsidR="002966FD">
        <w:t xml:space="preserve">Nepravda </w:t>
      </w:r>
      <w:r w:rsidR="002966FD" w:rsidRPr="002966FD">
        <w:t>moderní vůle v modu plné</w:t>
      </w:r>
      <w:r w:rsidR="002966FD">
        <w:t xml:space="preserve"> odkrytosti </w:t>
      </w:r>
      <w:r w:rsidR="002966FD" w:rsidRPr="002966FD">
        <w:t>(</w:t>
      </w:r>
      <w:r w:rsidR="002966FD" w:rsidRPr="002966FD">
        <w:rPr>
          <w:i/>
        </w:rPr>
        <w:t>alétheia</w:t>
      </w:r>
      <w:r w:rsidR="002966FD" w:rsidRPr="002966FD">
        <w:t>) vyplývá ze skutečnosti, že z hlediska klasického aristot</w:t>
      </w:r>
      <w:r w:rsidR="002966FD">
        <w:t xml:space="preserve">elismu se vůle stala v člověku esenciálně </w:t>
      </w:r>
      <w:r w:rsidR="002966FD" w:rsidRPr="002966FD">
        <w:t>irac</w:t>
      </w:r>
      <w:r w:rsidR="002966FD">
        <w:t>ionálním elementem</w:t>
      </w:r>
      <w:r w:rsidR="002966FD" w:rsidRPr="002966FD">
        <w:t>. V</w:t>
      </w:r>
      <w:r w:rsidR="002966FD">
        <w:t>e</w:t>
      </w:r>
      <w:r w:rsidR="002966FD" w:rsidRPr="002966FD">
        <w:t xml:space="preserve"> druhém averroismu se člověk stal schizofrenikem a nyní se stal zcela iracionálním. </w:t>
      </w:r>
      <w:r w:rsidR="000023D9">
        <w:t xml:space="preserve">Proto je Olivi zakladatelem </w:t>
      </w:r>
      <w:r w:rsidR="003F71E1">
        <w:t xml:space="preserve">už </w:t>
      </w:r>
      <w:r w:rsidR="000023D9">
        <w:t xml:space="preserve">ne moderny, ale postmoderny a dnešního nihilismu. </w:t>
      </w:r>
      <w:r w:rsidR="08163013">
        <w:rPr>
          <w:iCs/>
        </w:rPr>
        <w:t>Chtění a volba jako schopnost duše jsou v tomto smyslu naprosto slepé, protože v duši poznávají pouze smysly a intelekt. Oliviho v</w:t>
      </w:r>
      <w:r w:rsidR="08163013">
        <w:t xml:space="preserve">ůle postavená mimo intelekt má vlastní kauzalitu, která přestala fungovat v klasickém aristotelském schématu praktického </w:t>
      </w:r>
      <w:proofErr w:type="gramStart"/>
      <w:r w:rsidR="08163013">
        <w:t>sylogismu (E.N.</w:t>
      </w:r>
      <w:proofErr w:type="gramEnd"/>
      <w:r w:rsidR="08163013">
        <w:t xml:space="preserve"> VII.5). Teoretický rozum předkládá podle Aristotela dobro v univerzálním významu a směrem ke svému praktickému rozšíření jej modifikuje do podoby žádaného dobra pro nás, které tvoří kauzalitu středního členu soudu. Spis </w:t>
      </w:r>
      <w:r w:rsidR="08163013" w:rsidRPr="08FD0A71">
        <w:rPr>
          <w:i/>
        </w:rPr>
        <w:t>Etika Nikomachova</w:t>
      </w:r>
      <w:r w:rsidR="08163013">
        <w:t xml:space="preserve"> říká, že druhá partikulární návěst určuje jednání (κυρία τῶν πράξεων, </w:t>
      </w:r>
      <w:r w:rsidR="08163013" w:rsidRPr="009475E7">
        <w:t xml:space="preserve">E.N. </w:t>
      </w:r>
      <w:r w:rsidR="08163013">
        <w:t>1147</w:t>
      </w:r>
      <w:r w:rsidR="08163013" w:rsidRPr="009475E7">
        <w:t>b</w:t>
      </w:r>
      <w:r w:rsidR="08163013">
        <w:t>10</w:t>
      </w:r>
      <w:r w:rsidR="08163013">
        <w:fldChar w:fldCharType="begin"/>
      </w:r>
      <w:r w:rsidR="08163013">
        <w:instrText xml:space="preserve"> XE "</w:instrText>
      </w:r>
      <w:proofErr w:type="gramStart"/>
      <w:r w:rsidR="08163013">
        <w:instrText>Aristoteles:</w:instrText>
      </w:r>
      <w:r w:rsidR="08163013" w:rsidRPr="009475E7">
        <w:instrText>E.N.</w:instrText>
      </w:r>
      <w:proofErr w:type="gramEnd"/>
      <w:r w:rsidR="08163013" w:rsidRPr="009475E7">
        <w:instrText xml:space="preserve"> </w:instrText>
      </w:r>
      <w:r w:rsidR="08163013" w:rsidRPr="0092497F">
        <w:instrText>1147</w:instrText>
      </w:r>
      <w:r w:rsidR="08163013" w:rsidRPr="009475E7">
        <w:instrText>b</w:instrText>
      </w:r>
      <w:r w:rsidR="08163013" w:rsidRPr="0092497F">
        <w:instrText>10</w:instrText>
      </w:r>
      <w:r w:rsidR="08163013">
        <w:instrText xml:space="preserve">" </w:instrText>
      </w:r>
      <w:r w:rsidR="08163013">
        <w:fldChar w:fldCharType="end"/>
      </w:r>
      <w:r w:rsidR="08163013">
        <w:t xml:space="preserve">). Spojení obecné </w:t>
      </w:r>
      <w:r w:rsidR="08163013" w:rsidRPr="00D755A9">
        <w:rPr>
          <w:i/>
        </w:rPr>
        <w:t>maior</w:t>
      </w:r>
      <w:r w:rsidR="08163013">
        <w:t xml:space="preserve"> a kauzálně určené </w:t>
      </w:r>
      <w:r w:rsidR="08163013" w:rsidRPr="00D755A9">
        <w:rPr>
          <w:i/>
        </w:rPr>
        <w:t>minor</w:t>
      </w:r>
      <w:r w:rsidR="08163013">
        <w:t xml:space="preserve"> do praktického úsudku zakládajícího etické jednání opravňuje autora </w:t>
      </w:r>
      <w:r w:rsidR="08163013">
        <w:rPr>
          <w:i/>
        </w:rPr>
        <w:t>Etiky</w:t>
      </w:r>
      <w:r w:rsidR="08163013">
        <w:t xml:space="preserve"> mluvit o praktické pravdě</w:t>
      </w:r>
      <w:r w:rsidR="08163013">
        <w:fldChar w:fldCharType="begin"/>
      </w:r>
      <w:r w:rsidR="08163013">
        <w:instrText xml:space="preserve"> XE "</w:instrText>
      </w:r>
      <w:r w:rsidR="08163013" w:rsidRPr="00716BE4">
        <w:instrText>pravda:praktická</w:instrText>
      </w:r>
      <w:r w:rsidR="08163013">
        <w:instrText xml:space="preserve">" </w:instrText>
      </w:r>
      <w:r w:rsidR="08163013">
        <w:fldChar w:fldCharType="end"/>
      </w:r>
      <w:r w:rsidR="08163013">
        <w:t xml:space="preserve"> </w:t>
      </w:r>
      <w:r w:rsidR="08163013" w:rsidRPr="00D755A9">
        <w:t>(ἀλήθεια πρακτική, E.N. 1139a26</w:t>
      </w:r>
      <w:r w:rsidR="08163013">
        <w:fldChar w:fldCharType="begin"/>
      </w:r>
      <w:r w:rsidR="08163013">
        <w:instrText xml:space="preserve"> XE "Aristoteles:</w:instrText>
      </w:r>
      <w:r w:rsidR="08163013" w:rsidRPr="009475E7">
        <w:instrText xml:space="preserve">E.N. </w:instrText>
      </w:r>
      <w:r w:rsidR="08163013">
        <w:instrText xml:space="preserve">1139a26" </w:instrText>
      </w:r>
      <w:r w:rsidR="08163013">
        <w:fldChar w:fldCharType="end"/>
      </w:r>
      <w:r w:rsidR="08163013" w:rsidRPr="00D755A9">
        <w:t>)</w:t>
      </w:r>
      <w:r w:rsidR="08A053A1">
        <w:t>. S</w:t>
      </w:r>
      <w:r w:rsidR="08163013">
        <w:t>právnost  moudrého jednání</w:t>
      </w:r>
      <w:r w:rsidR="08A053A1">
        <w:t xml:space="preserve"> je dána tím</w:t>
      </w:r>
      <w:r w:rsidR="08163013">
        <w:t xml:space="preserve">, </w:t>
      </w:r>
      <w:r w:rsidR="08A053A1">
        <w:t xml:space="preserve">že praktický intelekt </w:t>
      </w:r>
      <w:r w:rsidR="08163013">
        <w:t xml:space="preserve">prozíravě sleduje morální dobro. Vůle se </w:t>
      </w:r>
      <w:r w:rsidR="08163013" w:rsidRPr="00273106">
        <w:t xml:space="preserve">podřizuje </w:t>
      </w:r>
      <w:r w:rsidR="08163013">
        <w:t xml:space="preserve">teoretickému intelektu, který v praktické extenzi předkládá vůli poznaný objekt v kauzálním modu dobra pro nás, což brilantně vyjadřuje definice ctnosti vztažená k jednání prozíravého </w:t>
      </w:r>
      <w:proofErr w:type="gramStart"/>
      <w:r w:rsidR="08163013">
        <w:t>člověka (</w:t>
      </w:r>
      <w:r w:rsidR="08163013" w:rsidRPr="00237853">
        <w:t>E.N.</w:t>
      </w:r>
      <w:proofErr w:type="gramEnd"/>
      <w:r w:rsidR="08163013">
        <w:t xml:space="preserve"> 1106</w:t>
      </w:r>
      <w:r w:rsidR="08163013" w:rsidRPr="00047883">
        <w:t>b</w:t>
      </w:r>
      <w:r w:rsidR="08163013">
        <w:t>36‒1107</w:t>
      </w:r>
      <w:r w:rsidR="08163013" w:rsidRPr="00047883">
        <w:t>a</w:t>
      </w:r>
      <w:r w:rsidR="08163013">
        <w:t>2</w:t>
      </w:r>
      <w:r w:rsidR="08163013">
        <w:fldChar w:fldCharType="begin"/>
      </w:r>
      <w:r w:rsidR="08163013">
        <w:instrText xml:space="preserve"> XE "Aristoteles:</w:instrText>
      </w:r>
      <w:r w:rsidR="08163013" w:rsidRPr="00EC1333">
        <w:instrText>E.N. 1106b36‒1107a2</w:instrText>
      </w:r>
      <w:r w:rsidR="08163013">
        <w:instrText xml:space="preserve">" </w:instrText>
      </w:r>
      <w:r w:rsidR="08163013">
        <w:fldChar w:fldCharType="end"/>
      </w:r>
      <w:r w:rsidR="08163013">
        <w:t>)</w:t>
      </w:r>
      <w:r w:rsidR="08163013" w:rsidRPr="00273106">
        <w:t>.</w:t>
      </w:r>
      <w:r w:rsidR="08163013">
        <w:t xml:space="preserve"> Paranoia moderního intelektu se u Oliviho rozšířila na paranoickou vůli, která tímto způsobem začala jednat v</w:t>
      </w:r>
      <w:r w:rsidR="08A053A1">
        <w:t>e světě</w:t>
      </w:r>
      <w:r w:rsidR="08163013">
        <w:t>. S</w:t>
      </w:r>
      <w:r w:rsidR="08163013">
        <w:rPr>
          <w:iCs/>
        </w:rPr>
        <w:t xml:space="preserve">vobodná vůle není </w:t>
      </w:r>
      <w:r w:rsidR="08163013">
        <w:rPr>
          <w:iCs/>
        </w:rPr>
        <w:lastRenderedPageBreak/>
        <w:t>determinována aktuální realitou a kritickým intelektem ve své podstatě, ale pouze ve svém akcidentálním chtění (</w:t>
      </w:r>
      <w:r w:rsidR="08163013" w:rsidRPr="08497B25">
        <w:rPr>
          <w:i/>
        </w:rPr>
        <w:t>pro sola repraesentatione obiecti</w:t>
      </w:r>
      <w:r w:rsidR="08163013">
        <w:rPr>
          <w:iCs/>
        </w:rPr>
        <w:t xml:space="preserve">). Až ve druhotném aktu reprezentace je věc zpřítomněna pro chtějící vůli skrze poznání. Rozum nedeterminuje moderní suverénní vůli jako v klasickém aristotelismu, ale pouze přináší specifické </w:t>
      </w:r>
      <w:r w:rsidR="08163013" w:rsidRPr="00BF2623">
        <w:rPr>
          <w:i/>
          <w:iCs/>
        </w:rPr>
        <w:t>scibile</w:t>
      </w:r>
      <w:r w:rsidR="08163013">
        <w:rPr>
          <w:i/>
          <w:iCs/>
        </w:rPr>
        <w:fldChar w:fldCharType="begin"/>
      </w:r>
      <w:r w:rsidR="08163013">
        <w:instrText xml:space="preserve"> XE "</w:instrText>
      </w:r>
      <w:r w:rsidR="08163013" w:rsidRPr="00AA4F67">
        <w:rPr>
          <w:i/>
        </w:rPr>
        <w:instrText>scibile</w:instrText>
      </w:r>
      <w:r w:rsidR="08163013">
        <w:rPr>
          <w:i/>
        </w:rPr>
        <w:instrText>:</w:instrText>
      </w:r>
      <w:r w:rsidR="08163013" w:rsidRPr="009475E7">
        <w:instrText>vůle</w:instrText>
      </w:r>
      <w:r w:rsidR="08163013">
        <w:instrText xml:space="preserve">" </w:instrText>
      </w:r>
      <w:r w:rsidR="08163013">
        <w:rPr>
          <w:i/>
          <w:iCs/>
        </w:rPr>
        <w:fldChar w:fldCharType="end"/>
      </w:r>
      <w:r w:rsidR="08163013">
        <w:rPr>
          <w:iCs/>
        </w:rPr>
        <w:t xml:space="preserve"> pro její chtění v modu nezávazné </w:t>
      </w:r>
      <w:r w:rsidR="00AB7762">
        <w:rPr>
          <w:iCs/>
        </w:rPr>
        <w:t xml:space="preserve">reprezentace dané akcidentálně. </w:t>
      </w:r>
      <w:r w:rsidR="00AB35FF" w:rsidRPr="00AB35FF">
        <w:rPr>
          <w:iCs/>
        </w:rPr>
        <w:t>Nová povaha v</w:t>
      </w:r>
      <w:r w:rsidR="008936B6">
        <w:rPr>
          <w:iCs/>
        </w:rPr>
        <w:t>ůle založila mediální manipulace</w:t>
      </w:r>
      <w:r w:rsidR="00AB35FF" w:rsidRPr="00AB35FF">
        <w:rPr>
          <w:iCs/>
        </w:rPr>
        <w:t xml:space="preserve"> dnešního nihilismu a zahájila krizi so</w:t>
      </w:r>
      <w:r w:rsidR="00AB35FF">
        <w:rPr>
          <w:iCs/>
        </w:rPr>
        <w:t>učasného narcistického subjektu</w:t>
      </w:r>
      <w:r w:rsidR="00AB7762">
        <w:t>.</w:t>
      </w:r>
    </w:p>
    <w:p w:rsidR="00B06AD5" w:rsidRDefault="08163013" w:rsidP="00103B53">
      <w:pPr>
        <w:ind w:firstLine="397"/>
      </w:pPr>
      <w:r>
        <w:t>Olivi vytvořil novou variantu oxfordské jeskyně iluminátů (</w:t>
      </w:r>
      <w:r w:rsidR="08E87C05">
        <w:t>OBJ II, kap. 3</w:t>
      </w:r>
      <w:r>
        <w:t xml:space="preserve">.3.3). Absolutně paranoická vůle </w:t>
      </w:r>
      <w:r w:rsidRPr="08DB247B">
        <w:rPr>
          <w:i/>
        </w:rPr>
        <w:t>Modernorum</w:t>
      </w:r>
      <w:r>
        <w:t xml:space="preserve"> dlí uvnitř intimně dané jeskyně, kam Eliášův krkavec</w:t>
      </w:r>
      <w:r>
        <w:fldChar w:fldCharType="begin"/>
      </w:r>
      <w:r>
        <w:instrText xml:space="preserve"> XE "</w:instrText>
      </w:r>
      <w:r w:rsidRPr="08232707">
        <w:instrText>Eliášův krkavec</w:instrText>
      </w:r>
      <w:r>
        <w:instrText xml:space="preserve">" </w:instrText>
      </w:r>
      <w:r>
        <w:fldChar w:fldCharType="end"/>
      </w:r>
      <w:r>
        <w:t xml:space="preserve"> donáší pouhé reprezentace </w:t>
      </w:r>
      <w:r w:rsidR="001A52ED">
        <w:t xml:space="preserve">reálného </w:t>
      </w:r>
      <w:r>
        <w:t xml:space="preserve">světa. Moderní vůle </w:t>
      </w:r>
      <w:r w:rsidR="007F606C">
        <w:t xml:space="preserve">v modu </w:t>
      </w:r>
      <w:r w:rsidR="007F606C" w:rsidRPr="082C47E8">
        <w:rPr>
          <w:i/>
        </w:rPr>
        <w:t>electio</w:t>
      </w:r>
      <w:r w:rsidR="007F606C">
        <w:t xml:space="preserve"> </w:t>
      </w:r>
      <w:r w:rsidR="008700F5">
        <w:t xml:space="preserve">je </w:t>
      </w:r>
      <w:r>
        <w:t xml:space="preserve">buď </w:t>
      </w:r>
      <w:r w:rsidR="000F746F">
        <w:t>chce, nebo</w:t>
      </w:r>
      <w:r>
        <w:t xml:space="preserve"> nechce</w:t>
      </w:r>
      <w:r w:rsidR="008700F5">
        <w:t>. T</w:t>
      </w:r>
      <w:r>
        <w:t>yto inteligibilní reprezentace</w:t>
      </w:r>
      <w:r w:rsidR="007F606C">
        <w:t xml:space="preserve"> jsou </w:t>
      </w:r>
      <w:r>
        <w:t xml:space="preserve">zcela oddělené od existence reálného světa. Objektivně nutný </w:t>
      </w:r>
      <w:r w:rsidR="00AE65C4">
        <w:t xml:space="preserve">Eliášův </w:t>
      </w:r>
      <w:r>
        <w:t xml:space="preserve">krkavec spolehlivě fungoval </w:t>
      </w:r>
      <w:r w:rsidR="00AE65C4">
        <w:t xml:space="preserve">až do </w:t>
      </w:r>
      <w:r>
        <w:t xml:space="preserve">smrti </w:t>
      </w:r>
      <w:r w:rsidR="00A16A5F">
        <w:t xml:space="preserve">moderního </w:t>
      </w:r>
      <w:r>
        <w:t>boha</w:t>
      </w:r>
      <w:r w:rsidR="00AE65C4">
        <w:t xml:space="preserve">. Pak </w:t>
      </w:r>
      <w:r>
        <w:t xml:space="preserve">už ilumináti zůstali v jeskyni </w:t>
      </w:r>
      <w:r w:rsidR="08E87C05">
        <w:t>ú</w:t>
      </w:r>
      <w:r>
        <w:t>plně sami</w:t>
      </w:r>
      <w:r w:rsidR="00944423">
        <w:t>, což je dnes hodně zřejmý fakt</w:t>
      </w:r>
      <w:r>
        <w:t xml:space="preserve">. </w:t>
      </w:r>
      <w:r w:rsidR="00944423" w:rsidRPr="00944423">
        <w:t xml:space="preserve">Nový způsob </w:t>
      </w:r>
      <w:r w:rsidR="00944423" w:rsidRPr="00B05F7B">
        <w:rPr>
          <w:i/>
          <w:iCs/>
        </w:rPr>
        <w:t>colligatio</w:t>
      </w:r>
      <w:r w:rsidR="00944423">
        <w:rPr>
          <w:i/>
          <w:iCs/>
        </w:rPr>
        <w:fldChar w:fldCharType="begin"/>
      </w:r>
      <w:r w:rsidR="00944423">
        <w:instrText xml:space="preserve"> XE "</w:instrText>
      </w:r>
      <w:r w:rsidR="00944423" w:rsidRPr="003E39E5">
        <w:rPr>
          <w:i/>
          <w:iCs/>
        </w:rPr>
        <w:instrText>colligatio</w:instrText>
      </w:r>
      <w:r w:rsidR="00944423">
        <w:instrText xml:space="preserve">" </w:instrText>
      </w:r>
      <w:r w:rsidR="00944423">
        <w:rPr>
          <w:i/>
          <w:iCs/>
        </w:rPr>
        <w:fldChar w:fldCharType="end"/>
      </w:r>
      <w:r w:rsidR="00944423">
        <w:t xml:space="preserve"> </w:t>
      </w:r>
      <w:r w:rsidR="00944423" w:rsidRPr="00944423">
        <w:t xml:space="preserve">spojuje dvě nebo tři objektivní substance v moderním subjektu. </w:t>
      </w:r>
      <w:r>
        <w:rPr>
          <w:iCs/>
        </w:rPr>
        <w:t>První averroismus by namítl, že substanční a subsi</w:t>
      </w:r>
      <w:r w:rsidR="006C4890">
        <w:rPr>
          <w:iCs/>
        </w:rPr>
        <w:t xml:space="preserve">stentní vůle je </w:t>
      </w:r>
      <w:r w:rsidR="00E20792">
        <w:rPr>
          <w:iCs/>
        </w:rPr>
        <w:t xml:space="preserve">totální </w:t>
      </w:r>
      <w:r w:rsidR="006C4890">
        <w:rPr>
          <w:iCs/>
        </w:rPr>
        <w:t xml:space="preserve">nesmysl, to za prvé. A </w:t>
      </w:r>
      <w:r>
        <w:rPr>
          <w:iCs/>
        </w:rPr>
        <w:t>za dr</w:t>
      </w:r>
      <w:r w:rsidR="006C4890">
        <w:rPr>
          <w:iCs/>
        </w:rPr>
        <w:t xml:space="preserve">uhé, </w:t>
      </w:r>
      <w:r w:rsidR="00E20792">
        <w:rPr>
          <w:iCs/>
        </w:rPr>
        <w:t xml:space="preserve">moderní vůle jako </w:t>
      </w:r>
      <w:r>
        <w:rPr>
          <w:iCs/>
        </w:rPr>
        <w:t xml:space="preserve">substance nemůže konstituovat objekt chtění, protože ho nemá jak poznat. Poznání je výlučný akt smyslů a intelektu determinovaných z reality první substance. Vůle představuje potenci pro poznání praktického intelektu, který ji vybavuje formálním dobrem a tento předmět je pak aktuálně chtěný skrze vůli. </w:t>
      </w:r>
      <w:r>
        <w:t xml:space="preserve">Olivi vytvořil moderní </w:t>
      </w:r>
      <w:r w:rsidRPr="00273106">
        <w:t>určení vůle mimo aristotelské určení</w:t>
      </w:r>
      <w:r>
        <w:t xml:space="preserve"> praktického intelektu. Receptivní primát </w:t>
      </w:r>
      <w:r w:rsidRPr="00273106">
        <w:t>intelekt</w:t>
      </w:r>
      <w:r>
        <w:t>u</w:t>
      </w:r>
      <w:r w:rsidRPr="00273106">
        <w:t xml:space="preserve"> </w:t>
      </w:r>
      <w:r>
        <w:t xml:space="preserve">v modu </w:t>
      </w:r>
      <w:r w:rsidRPr="00392BEB">
        <w:rPr>
          <w:i/>
        </w:rPr>
        <w:t>intellectus possib</w:t>
      </w:r>
      <w:r>
        <w:rPr>
          <w:i/>
        </w:rPr>
        <w:t>i</w:t>
      </w:r>
      <w:r w:rsidRPr="00392BEB">
        <w:rPr>
          <w:i/>
        </w:rPr>
        <w:t>lis</w:t>
      </w:r>
      <w:r>
        <w:t xml:space="preserve"> </w:t>
      </w:r>
      <w:r w:rsidRPr="00273106">
        <w:t xml:space="preserve">je pro Oliviho stejně nepřijatelný jako </w:t>
      </w:r>
      <w:r>
        <w:t xml:space="preserve">receptivita </w:t>
      </w:r>
      <w:r w:rsidRPr="00273106">
        <w:t>vůle</w:t>
      </w:r>
      <w:r>
        <w:t xml:space="preserve"> determinované intelektem</w:t>
      </w:r>
      <w:r w:rsidRPr="00273106">
        <w:t>.</w:t>
      </w:r>
      <w:r>
        <w:t xml:space="preserve"> Olivi posunul determinaci </w:t>
      </w:r>
      <w:r w:rsidRPr="00782A6D">
        <w:rPr>
          <w:i/>
        </w:rPr>
        <w:t>liberum arbitrium</w:t>
      </w:r>
      <w:r>
        <w:rPr>
          <w:i/>
        </w:rPr>
        <w:fldChar w:fldCharType="begin"/>
      </w:r>
      <w:r>
        <w:instrText xml:space="preserve"> XE "</w:instrText>
      </w:r>
      <w:r w:rsidRPr="00CB7353">
        <w:instrText>vůle:</w:instrText>
      </w:r>
      <w:r w:rsidRPr="00047883">
        <w:rPr>
          <w:i/>
        </w:rPr>
        <w:instrText>liberum arbitrium</w:instrText>
      </w:r>
      <w:r>
        <w:instrText xml:space="preserve">" </w:instrText>
      </w:r>
      <w:r>
        <w:rPr>
          <w:i/>
        </w:rPr>
        <w:fldChar w:fldCharType="end"/>
      </w:r>
      <w:r>
        <w:t xml:space="preserve"> v modu ipseity na úroveň </w:t>
      </w:r>
      <w:r w:rsidR="08EF3DDF">
        <w:t xml:space="preserve">první </w:t>
      </w:r>
      <w:r>
        <w:t xml:space="preserve">substance, ale zároveň nechal vůli intimně zakoušenou svobodu jako metafyzickou hypostázovanou potenci k opaku. </w:t>
      </w:r>
      <w:r w:rsidRPr="00273106">
        <w:t xml:space="preserve">Možnost opaku existuje v aristotelské metafyzice jen u </w:t>
      </w:r>
      <w:r>
        <w:t>absolutně ne</w:t>
      </w:r>
      <w:r w:rsidR="08EF3DDF">
        <w:t>určitelné potence, která v reálném světě jednoduše neexistuje</w:t>
      </w:r>
      <w:r>
        <w:t xml:space="preserve">. O nejsoucnu nelze podle Parmenida filosoficky vypovídat. Proto paranoická moderna </w:t>
      </w:r>
      <w:r w:rsidR="00E37825">
        <w:t xml:space="preserve">logicky </w:t>
      </w:r>
      <w:r>
        <w:t xml:space="preserve">negovala nejsoucno a tuto </w:t>
      </w:r>
      <w:r w:rsidR="089C501F">
        <w:t xml:space="preserve">pozitivně-objektivní </w:t>
      </w:r>
      <w:r>
        <w:t xml:space="preserve">„substanci“ považuje za realitu. </w:t>
      </w:r>
      <w:r w:rsidR="00EC2997">
        <w:t>Parmenide</w:t>
      </w:r>
      <w:r w:rsidR="00AB031B">
        <w:t>s tyto lidi nazval „dvojhlavými“</w:t>
      </w:r>
      <w:r w:rsidR="00103B53" w:rsidRPr="00103B53">
        <w:t xml:space="preserve"> a </w:t>
      </w:r>
      <w:r w:rsidR="00AB031B">
        <w:t xml:space="preserve">pak se z nich stali </w:t>
      </w:r>
      <w:r w:rsidR="00103B53" w:rsidRPr="00103B53">
        <w:t>novodobí schizofrenici; díky vlivu akademicky vzdělaných Furií získávali od roku 1250 filozofické doktoráty.</w:t>
      </w:r>
      <w:r w:rsidR="00103B53">
        <w:t xml:space="preserve"> </w:t>
      </w:r>
      <w:r>
        <w:t>K</w:t>
      </w:r>
      <w:r w:rsidRPr="00273106">
        <w:t xml:space="preserve">aždá substance je </w:t>
      </w:r>
      <w:r>
        <w:t xml:space="preserve">formálně-logicky zásadně </w:t>
      </w:r>
      <w:r w:rsidRPr="00273106">
        <w:t>determinována tím, že jest aktuálně takto, a ne jinak (</w:t>
      </w:r>
      <w:r w:rsidRPr="00273106">
        <w:rPr>
          <w:i/>
        </w:rPr>
        <w:t>hoc aliquid</w:t>
      </w:r>
      <w:r w:rsidRPr="00273106">
        <w:t>).</w:t>
      </w:r>
      <w:r>
        <w:t xml:space="preserve"> Kauza </w:t>
      </w:r>
      <w:r w:rsidRPr="00273106">
        <w:t xml:space="preserve">je v klasickém aristotelismu determinovaná jako reálně působící první substance jak </w:t>
      </w:r>
      <w:r>
        <w:t xml:space="preserve">v modu </w:t>
      </w:r>
      <w:r w:rsidR="00DE5737">
        <w:t>kauzality, tak</w:t>
      </w:r>
      <w:r>
        <w:t xml:space="preserve"> </w:t>
      </w:r>
      <w:r w:rsidRPr="00273106">
        <w:t xml:space="preserve">v logice </w:t>
      </w:r>
      <w:r w:rsidRPr="00273106">
        <w:rPr>
          <w:i/>
        </w:rPr>
        <w:t>modus ponens</w:t>
      </w:r>
      <w:r>
        <w:rPr>
          <w:i/>
        </w:rPr>
        <w:fldChar w:fldCharType="begin"/>
      </w:r>
      <w:r>
        <w:instrText xml:space="preserve"> XE "</w:instrText>
      </w:r>
      <w:r w:rsidRPr="0029612B">
        <w:rPr>
          <w:i/>
        </w:rPr>
        <w:instrText xml:space="preserve">modus </w:instrText>
      </w:r>
      <w:r w:rsidRPr="0029612B">
        <w:rPr>
          <w:i/>
        </w:rPr>
        <w:lastRenderedPageBreak/>
        <w:instrText>ponens</w:instrText>
      </w:r>
      <w:r>
        <w:instrText xml:space="preserve">" </w:instrText>
      </w:r>
      <w:r>
        <w:rPr>
          <w:i/>
        </w:rPr>
        <w:fldChar w:fldCharType="end"/>
      </w:r>
      <w:r w:rsidRPr="00273106">
        <w:t>.</w:t>
      </w:r>
      <w:r>
        <w:t xml:space="preserve"> </w:t>
      </w:r>
      <w:r w:rsidR="081439F2">
        <w:t>Aristotelská v</w:t>
      </w:r>
      <w:r>
        <w:t xml:space="preserve">ůle je svobodná </w:t>
      </w:r>
      <w:r w:rsidR="003C0A6F">
        <w:t xml:space="preserve">ve volbě </w:t>
      </w:r>
      <w:r>
        <w:t>tím, že je prakticky-rozumná, čili determinovaná ve svém chtění od intelektu adekvátně poznávajícího svět. Chtěné dobro zde a nyní představuje aktuálně danou příčinu pro lidské jednání. Chtění dobro v modu pro nás zakládá střední člen etického soudu, protože je v této účinné podobě pozna</w:t>
      </w:r>
      <w:r w:rsidR="00B06AD5">
        <w:t>telné, predikovatelné a chtěné.</w:t>
      </w:r>
    </w:p>
    <w:p w:rsidR="08163013" w:rsidRPr="00944423" w:rsidRDefault="08163013" w:rsidP="00944423">
      <w:pPr>
        <w:ind w:firstLine="397"/>
      </w:pPr>
      <w:r>
        <w:rPr>
          <w:iCs/>
        </w:rPr>
        <w:t xml:space="preserve">Chtění moderního subjektu </w:t>
      </w:r>
      <w:r w:rsidR="00B06AD5">
        <w:rPr>
          <w:iCs/>
        </w:rPr>
        <w:t xml:space="preserve">popřelo </w:t>
      </w:r>
      <w:r>
        <w:rPr>
          <w:iCs/>
        </w:rPr>
        <w:t xml:space="preserve">aristotelskou determinaci rozumné vůle danou v </w:t>
      </w:r>
      <w:r w:rsidRPr="087A13BD">
        <w:rPr>
          <w:i/>
          <w:iCs/>
        </w:rPr>
        <w:t>Etice Nikomachově</w:t>
      </w:r>
      <w:r>
        <w:rPr>
          <w:iCs/>
        </w:rPr>
        <w:t xml:space="preserve">. </w:t>
      </w:r>
      <w:r w:rsidRPr="00273106">
        <w:t xml:space="preserve">Olivi </w:t>
      </w:r>
      <w:r>
        <w:t xml:space="preserve">musel </w:t>
      </w:r>
      <w:r w:rsidRPr="00273106">
        <w:t>zr</w:t>
      </w:r>
      <w:r>
        <w:t>ušit</w:t>
      </w:r>
      <w:r w:rsidRPr="00273106">
        <w:t xml:space="preserve"> princip kauzálního působení</w:t>
      </w:r>
      <w:r>
        <w:t xml:space="preserve"> praktického intelektu směrem od teoretického intelektu</w:t>
      </w:r>
      <w:r w:rsidRPr="00273106">
        <w:t>, aby udržel indeterminaci lidské svobody</w:t>
      </w:r>
      <w:r>
        <w:t xml:space="preserve"> dané jen a pouze ve vůli</w:t>
      </w:r>
      <w:r w:rsidRPr="00273106">
        <w:t>.</w:t>
      </w:r>
      <w:r>
        <w:t xml:space="preserve"> Proto změnil proti Sigerovi pojetí ipseity tak, že vůle není racionální potence člověka jako osoby, ale představuje další substanci v člověku. Moderní svobodná v</w:t>
      </w:r>
      <w:r w:rsidRPr="00273106">
        <w:t xml:space="preserve">ůle </w:t>
      </w:r>
      <w:r>
        <w:t xml:space="preserve">daná jako první substance </w:t>
      </w:r>
      <w:r w:rsidRPr="00273106">
        <w:t>je efektivní příčina</w:t>
      </w:r>
      <w:r>
        <w:t xml:space="preserve"> vzhledem ke svobodnému jednání</w:t>
      </w:r>
      <w:r w:rsidRPr="00273106">
        <w:t xml:space="preserve">, ale </w:t>
      </w:r>
      <w:r>
        <w:t xml:space="preserve">její </w:t>
      </w:r>
      <w:r w:rsidRPr="00273106">
        <w:t>účinek nastat nemusí. Akt automní subsistence</w:t>
      </w:r>
      <w:r>
        <w:fldChar w:fldCharType="begin"/>
      </w:r>
      <w:r>
        <w:instrText xml:space="preserve"> XE "</w:instrText>
      </w:r>
      <w:r w:rsidRPr="001D1E42">
        <w:instrText>subsistence</w:instrText>
      </w:r>
      <w:r>
        <w:instrText xml:space="preserve">:vůle" </w:instrText>
      </w:r>
      <w:r>
        <w:fldChar w:fldCharType="end"/>
      </w:r>
      <w:r w:rsidRPr="00273106">
        <w:t xml:space="preserve"> vůle odpovídá v řádu kauzality p</w:t>
      </w:r>
      <w:r>
        <w:t xml:space="preserve">ůsobení reálné první substance, ale </w:t>
      </w:r>
      <w:r w:rsidRPr="00273106">
        <w:t xml:space="preserve">s jedním zásadním rozdílem. Vůle se nachází vždy v účinné aktualitě, </w:t>
      </w:r>
      <w:r>
        <w:t xml:space="preserve">jenže </w:t>
      </w:r>
      <w:r w:rsidRPr="00273106">
        <w:t>efekt nemusí nutně nastat, protože vůle je svobodná ve svém působení. Vůle dostala statut analogicky daný k boží aktualitě (</w:t>
      </w:r>
      <w:r w:rsidRPr="00273106">
        <w:rPr>
          <w:i/>
        </w:rPr>
        <w:t>esse</w:t>
      </w:r>
      <w:r w:rsidRPr="00273106">
        <w:t xml:space="preserve"> </w:t>
      </w:r>
      <w:r w:rsidRPr="00273106">
        <w:rPr>
          <w:i/>
        </w:rPr>
        <w:t>a se</w:t>
      </w:r>
      <w:r w:rsidRPr="00273106">
        <w:t xml:space="preserve">, </w:t>
      </w:r>
      <w:r w:rsidRPr="00273106">
        <w:rPr>
          <w:i/>
        </w:rPr>
        <w:t>per se</w:t>
      </w:r>
      <w:r w:rsidRPr="00273106">
        <w:t xml:space="preserve">) a tím se dostala na úroveň první substance. </w:t>
      </w:r>
      <w:r>
        <w:t xml:space="preserve">Člověk prožívá ve svém intimním výkonu možnost kauzality, kterou volitivně ovládá vzhledem k jejímu působení, protože vnější determinace jsou vzhledem k intimní vůli dány v modu pouhé reprezentace. Aristotelská kauzalita pak platí jen pro první substance vystavené fyzikální kauzalitě. Tím vznikla moderní kauzalita přírodního determinimu a determinismu ze svobody, kterou převzal Kant a podal její postmoderní rozlišení v první a ve druhé kritice. </w:t>
      </w:r>
      <w:r w:rsidR="0811230F">
        <w:t xml:space="preserve">Proto musel postmoderní Kant zrušit heteronomní princip aristotelské etiky, stejně jako Olivi. </w:t>
      </w:r>
      <w:r w:rsidRPr="00273106">
        <w:t>Podobná nauka je pro první averroismus nepřijatelná, protože by zrušila princi</w:t>
      </w:r>
      <w:r>
        <w:t xml:space="preserve">p kauzality determinovaný </w:t>
      </w:r>
      <w:r w:rsidR="08807CBF">
        <w:t xml:space="preserve">intelektuálním </w:t>
      </w:r>
      <w:r>
        <w:t>poznáním dobra. Vůle je svobodná jen jako rozumná vůle</w:t>
      </w:r>
      <w:r w:rsidR="004C681F">
        <w:t xml:space="preserve">. Podle Sigera má jen existence osoby </w:t>
      </w:r>
      <w:r>
        <w:t>ipse</w:t>
      </w:r>
      <w:r w:rsidR="007365C7">
        <w:t>itní chara</w:t>
      </w:r>
      <w:r w:rsidR="004C681F">
        <w:t>kter daný kauzálně</w:t>
      </w:r>
      <w:r w:rsidR="00EC24E5">
        <w:t xml:space="preserve"> skrze chtění</w:t>
      </w:r>
      <w:r w:rsidR="003D2E5D">
        <w:t xml:space="preserve">, protože každé volní jednání ve světě je určeno skrze tělo. </w:t>
      </w:r>
      <w:r w:rsidR="00457309">
        <w:t>Tělesně založená v</w:t>
      </w:r>
      <w:r>
        <w:t xml:space="preserve">ůle je v prvním averroismu svobodná tím, že je napojena na racionální rozvahu a na teoretický intelekt podle </w:t>
      </w:r>
      <w:r w:rsidRPr="08D05A2E">
        <w:rPr>
          <w:i/>
        </w:rPr>
        <w:t>Etiky Nikomachovy</w:t>
      </w:r>
      <w:r>
        <w:t>. Olivi chce být primárně svobodný</w:t>
      </w:r>
      <w:r w:rsidR="08807CBF">
        <w:t>,</w:t>
      </w:r>
      <w:r>
        <w:t xml:space="preserve"> a ne racionální. </w:t>
      </w:r>
      <w:r w:rsidR="00DE7A63">
        <w:t>Proto z</w:t>
      </w:r>
      <w:r>
        <w:t>ruš</w:t>
      </w:r>
      <w:r w:rsidR="00DE7A63">
        <w:t>il racionální stavbu</w:t>
      </w:r>
      <w:r>
        <w:t xml:space="preserve"> vědeckého důkazu podle </w:t>
      </w:r>
      <w:r w:rsidRPr="08553F62">
        <w:rPr>
          <w:i/>
        </w:rPr>
        <w:t>Druhých analytik</w:t>
      </w:r>
      <w:r>
        <w:t xml:space="preserve"> </w:t>
      </w:r>
      <w:r w:rsidR="004746CC">
        <w:t>(</w:t>
      </w:r>
      <w:r w:rsidR="004746CC" w:rsidRPr="00273106">
        <w:rPr>
          <w:i/>
        </w:rPr>
        <w:t>Anal. Post</w:t>
      </w:r>
      <w:r w:rsidR="004746CC" w:rsidRPr="00273106">
        <w:t>. 84a11‒14</w:t>
      </w:r>
      <w:r w:rsidR="004746CC">
        <w:fldChar w:fldCharType="begin"/>
      </w:r>
      <w:r w:rsidR="004746CC">
        <w:instrText xml:space="preserve"> XE "Aristoteles:</w:instrText>
      </w:r>
      <w:r w:rsidR="004746CC" w:rsidRPr="08FB7F27">
        <w:rPr>
          <w:i/>
        </w:rPr>
        <w:instrText>Anal. Post.</w:instrText>
      </w:r>
      <w:r w:rsidR="004746CC" w:rsidRPr="08FB7F27">
        <w:instrText xml:space="preserve"> 84a</w:instrText>
      </w:r>
      <w:r w:rsidR="004746CC">
        <w:instrText xml:space="preserve">11‒14" </w:instrText>
      </w:r>
      <w:r w:rsidR="004746CC">
        <w:fldChar w:fldCharType="end"/>
      </w:r>
      <w:r w:rsidR="004746CC">
        <w:t>)</w:t>
      </w:r>
      <w:r w:rsidR="00DE7A63">
        <w:t xml:space="preserve">. Tím </w:t>
      </w:r>
      <w:r>
        <w:t xml:space="preserve">padla možnost kritické vědy, racionální etiky a politiky založených na univočním pojetí </w:t>
      </w:r>
      <w:r>
        <w:lastRenderedPageBreak/>
        <w:t>kauzality dané hyparchi</w:t>
      </w:r>
      <w:r w:rsidR="00DE7A63">
        <w:t>ckým postavením první substance</w:t>
      </w:r>
      <w:r>
        <w:t xml:space="preserve">. </w:t>
      </w:r>
      <w:r w:rsidR="00DE7A63">
        <w:t>Olivi proto odmítl</w:t>
      </w:r>
      <w:r w:rsidRPr="00273106">
        <w:t xml:space="preserve"> metafyziku </w:t>
      </w:r>
      <w:r>
        <w:t xml:space="preserve">a pojetí vědy dané ve </w:t>
      </w:r>
      <w:r w:rsidRPr="08817E63">
        <w:rPr>
          <w:i/>
        </w:rPr>
        <w:t>Druhých analytikách</w:t>
      </w:r>
      <w:r>
        <w:t>.</w:t>
      </w:r>
    </w:p>
    <w:p w:rsidR="08163013" w:rsidRPr="088C3124" w:rsidRDefault="08163013" w:rsidP="088C3124">
      <w:pPr>
        <w:pStyle w:val="Citace"/>
      </w:pPr>
      <w:r w:rsidRPr="088C3124">
        <w:rPr>
          <w:rStyle w:val="FontStyle116"/>
          <w:rFonts w:ascii="Calibri" w:hAnsi="Calibri"/>
          <w:sz w:val="22"/>
          <w:szCs w:val="20"/>
        </w:rPr>
        <w:t xml:space="preserve">„Předpoklad se opravdu nemusí naplnit v případě nějaké překážky, nebo dokonce zcela oddělené vyšší pravdy, </w:t>
      </w:r>
      <w:r w:rsidR="00633E0F">
        <w:rPr>
          <w:rStyle w:val="FontStyle116"/>
          <w:rFonts w:ascii="Calibri" w:hAnsi="Calibri"/>
          <w:sz w:val="22"/>
          <w:szCs w:val="20"/>
          <w:lang w:val="cs-CZ"/>
        </w:rPr>
        <w:t xml:space="preserve">protože ty mohou </w:t>
      </w:r>
      <w:r w:rsidR="00633E0F">
        <w:rPr>
          <w:rStyle w:val="FontStyle116"/>
          <w:rFonts w:ascii="Calibri" w:hAnsi="Calibri"/>
          <w:sz w:val="22"/>
          <w:szCs w:val="20"/>
        </w:rPr>
        <w:t>zabrán</w:t>
      </w:r>
      <w:r w:rsidR="00633E0F">
        <w:rPr>
          <w:rStyle w:val="FontStyle116"/>
          <w:rFonts w:ascii="Calibri" w:hAnsi="Calibri"/>
          <w:sz w:val="22"/>
          <w:szCs w:val="20"/>
          <w:lang w:val="cs-CZ"/>
        </w:rPr>
        <w:t>it</w:t>
      </w:r>
      <w:r w:rsidRPr="088C3124">
        <w:rPr>
          <w:rStyle w:val="FontStyle116"/>
          <w:rFonts w:ascii="Calibri" w:hAnsi="Calibri"/>
          <w:sz w:val="22"/>
          <w:szCs w:val="20"/>
        </w:rPr>
        <w:t xml:space="preserve"> tomu, že v případě působení přítomné příčiny nastane </w:t>
      </w:r>
      <w:r w:rsidR="00633E0F">
        <w:rPr>
          <w:rStyle w:val="FontStyle116"/>
          <w:rFonts w:ascii="Calibri" w:hAnsi="Calibri"/>
          <w:sz w:val="22"/>
          <w:szCs w:val="20"/>
          <w:lang w:val="cs-CZ"/>
        </w:rPr>
        <w:t xml:space="preserve">požadovaný </w:t>
      </w:r>
      <w:r w:rsidRPr="088C3124">
        <w:rPr>
          <w:rStyle w:val="FontStyle116"/>
          <w:rFonts w:ascii="Calibri" w:hAnsi="Calibri"/>
          <w:sz w:val="22"/>
          <w:szCs w:val="20"/>
        </w:rPr>
        <w:t xml:space="preserve">účinek. Ale existuje případ překážky, kdy máme jak působící kauzu, tak i její současně daný účinek, který ale nenastane, i když tato kauza existuje.“ </w:t>
      </w:r>
      <w:r w:rsidRPr="088C3124">
        <w:rPr>
          <w:rStyle w:val="Znakapoznpodarou"/>
        </w:rPr>
        <w:footnoteReference w:id="382"/>
      </w:r>
    </w:p>
    <w:p w:rsidR="00C66EED" w:rsidRDefault="08163013" w:rsidP="00A3221E">
      <w:r w:rsidRPr="00273106">
        <w:t xml:space="preserve">První věta popisuje </w:t>
      </w:r>
      <w:r>
        <w:t xml:space="preserve">aristotelsky pojatou </w:t>
      </w:r>
      <w:r w:rsidRPr="00273106">
        <w:t>kauzalitu</w:t>
      </w:r>
      <w:r>
        <w:t xml:space="preserve"> (</w:t>
      </w:r>
      <w:r w:rsidRPr="00273106">
        <w:rPr>
          <w:i/>
        </w:rPr>
        <w:t>praesente causa sufficiente</w:t>
      </w:r>
      <w:r>
        <w:t>)</w:t>
      </w:r>
      <w:r w:rsidRPr="00273106">
        <w:t>, která nenaplní účinek pro nějakou překážku (</w:t>
      </w:r>
      <w:r w:rsidRPr="00273106">
        <w:rPr>
          <w:i/>
        </w:rPr>
        <w:t>effectus possit non esse</w:t>
      </w:r>
      <w:r w:rsidRPr="00273106">
        <w:t>). Slepý člověk má potenci vidět, ale ta není aktualizována, např</w:t>
      </w:r>
      <w:r>
        <w:t>íklad</w:t>
      </w:r>
      <w:r w:rsidRPr="00273106">
        <w:t xml:space="preserve"> kvůli nemoci. </w:t>
      </w:r>
      <w:r w:rsidR="00DE5737">
        <w:t>Normálně platí, že k</w:t>
      </w:r>
      <w:r w:rsidR="00DE5737" w:rsidRPr="00273106">
        <w:t>auza</w:t>
      </w:r>
      <w:r w:rsidR="00DE5737">
        <w:t>lita</w:t>
      </w:r>
      <w:r w:rsidR="00DE5737" w:rsidRPr="00273106">
        <w:t xml:space="preserve"> působí dostačujícím způsobem a </w:t>
      </w:r>
      <w:r w:rsidR="00DE5737">
        <w:t xml:space="preserve">produkuje </w:t>
      </w:r>
      <w:r w:rsidR="00DE5737" w:rsidRPr="08A64791">
        <w:t>odpovídající účinek (</w:t>
      </w:r>
      <w:r w:rsidR="00DE5737" w:rsidRPr="08A64791">
        <w:rPr>
          <w:i/>
        </w:rPr>
        <w:t>causa sufficiente et dante esse suo effectui simul</w:t>
      </w:r>
      <w:r w:rsidR="00DE5737" w:rsidRPr="08A64791">
        <w:t xml:space="preserve">). </w:t>
      </w:r>
      <w:r w:rsidRPr="00273106">
        <w:t>Klíčová je druhá věta, kterou Olivi zavád</w:t>
      </w:r>
      <w:r>
        <w:t xml:space="preserve">í pro svobodnou vůli něco jako </w:t>
      </w:r>
      <w:r w:rsidR="087F6E25">
        <w:t>„</w:t>
      </w:r>
      <w:r w:rsidRPr="00273106">
        <w:t>ineficientní k</w:t>
      </w:r>
      <w:r>
        <w:t>auzalitu</w:t>
      </w:r>
      <w:r w:rsidR="087F6E25">
        <w:t>“</w:t>
      </w:r>
      <w:r w:rsidRPr="00273106">
        <w:t xml:space="preserve">. </w:t>
      </w:r>
      <w:r w:rsidR="00CF64BA">
        <w:t>Ú</w:t>
      </w:r>
      <w:r w:rsidRPr="08A64791">
        <w:t>činek i po zavedení efektivní</w:t>
      </w:r>
      <w:r>
        <w:t xml:space="preserve"> kauzy </w:t>
      </w:r>
      <w:r w:rsidRPr="00273106">
        <w:t>nemusí nastat (</w:t>
      </w:r>
      <w:r w:rsidRPr="00273106">
        <w:rPr>
          <w:i/>
        </w:rPr>
        <w:t>dum dat, posset effectus non esse</w:t>
      </w:r>
      <w:r w:rsidRPr="00273106">
        <w:t xml:space="preserve">). U svobodné vůle nesmí </w:t>
      </w:r>
      <w:r>
        <w:t xml:space="preserve">podle Oliviho </w:t>
      </w:r>
      <w:r w:rsidRPr="00273106">
        <w:t>vzniknout žádná nutná vazba mezi příčinou a účinkem daným aktualizací dané potence</w:t>
      </w:r>
      <w:r>
        <w:t xml:space="preserve"> směrem od působící kauzy</w:t>
      </w:r>
      <w:r w:rsidRPr="00273106">
        <w:t xml:space="preserve">. Vůle je svobodná </w:t>
      </w:r>
      <w:r>
        <w:t xml:space="preserve">právě </w:t>
      </w:r>
      <w:r w:rsidRPr="00273106">
        <w:t xml:space="preserve">tím, že je kauzálně </w:t>
      </w:r>
      <w:r w:rsidR="00B229F5">
        <w:t>„</w:t>
      </w:r>
      <w:r>
        <w:t>ne/</w:t>
      </w:r>
      <w:r w:rsidRPr="00273106">
        <w:t>účinná</w:t>
      </w:r>
      <w:r w:rsidR="00B229F5">
        <w:t>“</w:t>
      </w:r>
      <w:r w:rsidRPr="00273106">
        <w:t xml:space="preserve">. </w:t>
      </w:r>
      <w:r>
        <w:t>Ú</w:t>
      </w:r>
      <w:r w:rsidRPr="00273106">
        <w:t>činek ne</w:t>
      </w:r>
      <w:r>
        <w:t>sm</w:t>
      </w:r>
      <w:r w:rsidRPr="00273106">
        <w:t xml:space="preserve">í nastat nutně, jinak by </w:t>
      </w:r>
      <w:r>
        <w:t xml:space="preserve">vůle </w:t>
      </w:r>
      <w:r w:rsidRPr="00273106">
        <w:t xml:space="preserve">nebyla svobodná. </w:t>
      </w:r>
      <w:r>
        <w:t xml:space="preserve">Vůle jako efektivní kauza je intimní překážkou </w:t>
      </w:r>
      <w:r w:rsidR="00C66EED">
        <w:t>sama sobě, aby nenastal účinek.</w:t>
      </w:r>
    </w:p>
    <w:p w:rsidR="00A3221E" w:rsidRDefault="08163013" w:rsidP="00C66EED">
      <w:pPr>
        <w:ind w:firstLine="397"/>
      </w:pPr>
      <w:r w:rsidRPr="00273106">
        <w:t xml:space="preserve">Z hlediska aristotelské metafyziky a logiky jde o naprostý nesmysl, což </w:t>
      </w:r>
      <w:r w:rsidR="00727A24">
        <w:t xml:space="preserve">Olivi </w:t>
      </w:r>
      <w:r w:rsidRPr="00273106">
        <w:t>dobře v</w:t>
      </w:r>
      <w:r w:rsidR="00727A24">
        <w:t>ěděl.</w:t>
      </w:r>
      <w:r w:rsidRPr="00273106">
        <w:t xml:space="preserve"> </w:t>
      </w:r>
      <w:r>
        <w:t xml:space="preserve">Ale pohanovi </w:t>
      </w:r>
      <w:r w:rsidR="00727A24">
        <w:t xml:space="preserve">Aristotelovi </w:t>
      </w:r>
      <w:r>
        <w:t xml:space="preserve">nelze věřit v tak důležité otázce, kterou určuje teologie a Pavlovo a Augustinovo učení o svobodné vůli. </w:t>
      </w:r>
      <w:r w:rsidRPr="00273106">
        <w:t xml:space="preserve">Olivi </w:t>
      </w:r>
      <w:r>
        <w:t xml:space="preserve">převzal </w:t>
      </w:r>
      <w:r w:rsidRPr="00273106">
        <w:t>Pavlovu a Augustinovu dialektiku vnitřně rozpolceného chtění (</w:t>
      </w:r>
      <w:r w:rsidRPr="00273106">
        <w:rPr>
          <w:i/>
        </w:rPr>
        <w:t>v</w:t>
      </w:r>
      <w:r w:rsidR="087F6E25">
        <w:rPr>
          <w:i/>
        </w:rPr>
        <w:t>e</w:t>
      </w:r>
      <w:r w:rsidRPr="00273106">
        <w:rPr>
          <w:i/>
        </w:rPr>
        <w:t>lle</w:t>
      </w:r>
      <w:r w:rsidRPr="00273106">
        <w:t>/</w:t>
      </w:r>
      <w:r w:rsidRPr="00273106">
        <w:rPr>
          <w:i/>
        </w:rPr>
        <w:t>nolle</w:t>
      </w:r>
      <w:r w:rsidRPr="00273106">
        <w:t xml:space="preserve">) jako bytostného určení vůle. </w:t>
      </w:r>
      <w:r>
        <w:t xml:space="preserve">Připomeňme </w:t>
      </w:r>
      <w:r w:rsidRPr="00273106">
        <w:t xml:space="preserve">univerzální platnost Pavlova </w:t>
      </w:r>
      <w:r w:rsidRPr="00273106">
        <w:rPr>
          <w:i/>
        </w:rPr>
        <w:t>nolle</w:t>
      </w:r>
      <w:r w:rsidRPr="00273106">
        <w:t xml:space="preserve"> ve smyslu aktuálně působícího zákona hříchu determinujícího vůli zvnějšku (</w:t>
      </w:r>
      <w:r w:rsidRPr="00273106">
        <w:rPr>
          <w:i/>
        </w:rPr>
        <w:t>List</w:t>
      </w:r>
      <w:r w:rsidRPr="00273106">
        <w:t xml:space="preserve"> </w:t>
      </w:r>
      <w:r w:rsidRPr="00273106">
        <w:rPr>
          <w:i/>
        </w:rPr>
        <w:t>Římanům</w:t>
      </w:r>
      <w:r w:rsidRPr="00273106">
        <w:t xml:space="preserve"> 7:15‒21).</w:t>
      </w:r>
      <w:r>
        <w:t xml:space="preserve"> Z Pavlova a Augustinova </w:t>
      </w:r>
      <w:r w:rsidRPr="00AF4BBC">
        <w:rPr>
          <w:i/>
        </w:rPr>
        <w:t>nolle</w:t>
      </w:r>
      <w:r>
        <w:t xml:space="preserve"> daného hříchem jako zákonem kralujícím v našich údech Olivi vytvořil nové určení vůle, která je sama sobě intimní překážkou ve svém působení </w:t>
      </w:r>
      <w:r w:rsidRPr="00273106">
        <w:t>(</w:t>
      </w:r>
      <w:r w:rsidRPr="00273106">
        <w:rPr>
          <w:i/>
        </w:rPr>
        <w:t>dum dat, posset effectus non esse</w:t>
      </w:r>
      <w:r w:rsidRPr="00273106">
        <w:t>)</w:t>
      </w:r>
      <w:r>
        <w:t>. Ale v</w:t>
      </w:r>
      <w:r w:rsidRPr="00273106">
        <w:t xml:space="preserve">ůle rozpolcená hříchem by nebyla substance daná </w:t>
      </w:r>
      <w:r w:rsidRPr="00273106">
        <w:rPr>
          <w:i/>
        </w:rPr>
        <w:t>simpliciter</w:t>
      </w:r>
      <w:r w:rsidRPr="00273106">
        <w:t xml:space="preserve"> a závisela by ve své svobodě na nějakém vnějším impulzu.</w:t>
      </w:r>
      <w:r>
        <w:t xml:space="preserve"> </w:t>
      </w:r>
      <w:r w:rsidRPr="00273106">
        <w:t xml:space="preserve">Dualismus </w:t>
      </w:r>
      <w:r>
        <w:t xml:space="preserve">hříchem </w:t>
      </w:r>
      <w:r w:rsidRPr="00273106">
        <w:t xml:space="preserve">rozpolcené vůle je odmítnut s odkazem na Augustina s tím, že i on uznává konečnou jednotu vůle danou v aktu výsledné reflexe nad vůlí rozdělenou </w:t>
      </w:r>
      <w:r w:rsidRPr="00273106">
        <w:lastRenderedPageBreak/>
        <w:t>hříchem.</w:t>
      </w:r>
      <w:r>
        <w:t xml:space="preserve"> Hermeneutika proto modifikuje argument známého eseje Arendtové o degeneraci západního pojmu politické svobody převedené v rámci </w:t>
      </w:r>
      <w:r w:rsidRPr="00265136">
        <w:rPr>
          <w:i/>
        </w:rPr>
        <w:t>liberum arbitrium</w:t>
      </w:r>
      <w:r>
        <w:rPr>
          <w:i/>
        </w:rPr>
        <w:fldChar w:fldCharType="begin"/>
      </w:r>
      <w:r>
        <w:instrText xml:space="preserve"> XE "</w:instrText>
      </w:r>
      <w:r w:rsidRPr="00CB7353">
        <w:instrText>vůle:liberum arbitrium</w:instrText>
      </w:r>
      <w:r>
        <w:instrText xml:space="preserve">" </w:instrText>
      </w:r>
      <w:r>
        <w:rPr>
          <w:i/>
        </w:rPr>
        <w:fldChar w:fldCharType="end"/>
      </w:r>
      <w:r>
        <w:t xml:space="preserve"> stoiků na rozštěpené </w:t>
      </w:r>
      <w:r w:rsidRPr="00BE61E3">
        <w:rPr>
          <w:i/>
        </w:rPr>
        <w:t>nolle</w:t>
      </w:r>
      <w:r>
        <w:t>‒</w:t>
      </w:r>
      <w:r w:rsidR="080F7872">
        <w:rPr>
          <w:i/>
        </w:rPr>
        <w:t>ve</w:t>
      </w:r>
      <w:r w:rsidRPr="00BE61E3">
        <w:rPr>
          <w:i/>
        </w:rPr>
        <w:t>lle</w:t>
      </w:r>
      <w:r>
        <w:t xml:space="preserve"> osobní vůle v křesťanství (Arendt 1961, 159). Olivi odmítá Aristotelovu svobodnou politickou </w:t>
      </w:r>
      <w:r w:rsidR="000045ED">
        <w:t xml:space="preserve">volbu </w:t>
      </w:r>
      <w:r>
        <w:t>(</w:t>
      </w:r>
      <w:r w:rsidRPr="00FD3727">
        <w:t>προαίρεσις</w:t>
      </w:r>
      <w:r>
        <w:t xml:space="preserve">, </w:t>
      </w:r>
      <w:r w:rsidRPr="00FD3727">
        <w:t>ἐλευθερία</w:t>
      </w:r>
      <w:r>
        <w:t xml:space="preserve">) a sleduje podle Augustina a Pavla teologické rozštění vůle na </w:t>
      </w:r>
      <w:r w:rsidRPr="00BE61E3">
        <w:rPr>
          <w:i/>
        </w:rPr>
        <w:t>nolle</w:t>
      </w:r>
      <w:r>
        <w:t>‒</w:t>
      </w:r>
      <w:r w:rsidR="080F7872">
        <w:rPr>
          <w:i/>
        </w:rPr>
        <w:t>ve</w:t>
      </w:r>
      <w:r w:rsidRPr="00BE61E3">
        <w:rPr>
          <w:i/>
        </w:rPr>
        <w:t>lle</w:t>
      </w:r>
      <w:r w:rsidR="08E6452F">
        <w:rPr>
          <w:i/>
        </w:rPr>
        <w:fldChar w:fldCharType="begin"/>
      </w:r>
      <w:r w:rsidR="08E6452F">
        <w:instrText xml:space="preserve"> XE "vůle:</w:instrText>
      </w:r>
      <w:r w:rsidR="08E6452F" w:rsidRPr="00550BFF">
        <w:rPr>
          <w:i/>
        </w:rPr>
        <w:instrText>nolle</w:instrText>
      </w:r>
      <w:r w:rsidR="08E6452F" w:rsidRPr="00550BFF">
        <w:instrText>/</w:instrText>
      </w:r>
      <w:r w:rsidR="08E6452F">
        <w:rPr>
          <w:i/>
        </w:rPr>
        <w:instrText>velle</w:instrText>
      </w:r>
      <w:r w:rsidR="08E6452F">
        <w:instrText xml:space="preserve">" </w:instrText>
      </w:r>
      <w:r w:rsidR="08E6452F">
        <w:rPr>
          <w:i/>
        </w:rPr>
        <w:fldChar w:fldCharType="end"/>
      </w:r>
      <w:r>
        <w:t xml:space="preserve">. Ale vytvořil ve výslovném opaku k intimitě této vůle narušené hříchem svou vlastní původní jednotu vůle jako </w:t>
      </w:r>
      <w:r w:rsidRPr="006053B7">
        <w:rPr>
          <w:i/>
        </w:rPr>
        <w:t>potentia substantialis</w:t>
      </w:r>
      <w:r>
        <w:rPr>
          <w:i/>
        </w:rPr>
        <w:fldChar w:fldCharType="begin"/>
      </w:r>
      <w:r>
        <w:instrText xml:space="preserve"> XE "</w:instrText>
      </w:r>
      <w:r w:rsidRPr="00263A8E">
        <w:rPr>
          <w:i/>
        </w:rPr>
        <w:instrText>potentia substantialis</w:instrText>
      </w:r>
      <w:r>
        <w:instrText xml:space="preserve">" </w:instrText>
      </w:r>
      <w:r>
        <w:rPr>
          <w:i/>
        </w:rPr>
        <w:fldChar w:fldCharType="end"/>
      </w:r>
      <w:r w:rsidR="00710A60">
        <w:t xml:space="preserve">. </w:t>
      </w:r>
      <w:r w:rsidR="00710A60" w:rsidRPr="00710A60">
        <w:t>Olivi p</w:t>
      </w:r>
      <w:r w:rsidR="00710A60">
        <w:t>ostavil teologickou dichotomii „</w:t>
      </w:r>
      <w:proofErr w:type="gramStart"/>
      <w:r w:rsidR="00710A60" w:rsidRPr="00710A60">
        <w:rPr>
          <w:i/>
        </w:rPr>
        <w:t>velle</w:t>
      </w:r>
      <w:proofErr w:type="gramEnd"/>
      <w:r w:rsidR="00710A60" w:rsidRPr="00710A60">
        <w:rPr>
          <w:i/>
        </w:rPr>
        <w:t>–</w:t>
      </w:r>
      <w:proofErr w:type="gramStart"/>
      <w:r w:rsidR="00710A60" w:rsidRPr="00710A60">
        <w:rPr>
          <w:i/>
        </w:rPr>
        <w:t>nolle</w:t>
      </w:r>
      <w:proofErr w:type="gramEnd"/>
      <w:r w:rsidR="00710A60">
        <w:t xml:space="preserve">“ až na druhé místo, kdy </w:t>
      </w:r>
      <w:r w:rsidR="00095DB7">
        <w:t xml:space="preserve">jsou </w:t>
      </w:r>
      <w:r w:rsidR="00710A60" w:rsidRPr="00710A60">
        <w:t xml:space="preserve">jedinečné volby </w:t>
      </w:r>
      <w:r w:rsidR="00710A60">
        <w:t xml:space="preserve">určené </w:t>
      </w:r>
      <w:r w:rsidR="00710A60" w:rsidRPr="00710A60">
        <w:t>hříšnou vůlí. Na úrovni niterně zakoušené vůle jakožto čisté substanciální potence rozpor "velle-nolle" nemůže vzniknout. Svobodná vůle prostě "existuje" v intimitě "</w:t>
      </w:r>
      <w:r w:rsidR="00710A60" w:rsidRPr="005974AC">
        <w:rPr>
          <w:i/>
        </w:rPr>
        <w:t>esse in</w:t>
      </w:r>
      <w:r w:rsidR="00710A60" w:rsidRPr="00710A60">
        <w:t xml:space="preserve">". </w:t>
      </w:r>
      <w:r w:rsidR="005974AC">
        <w:t xml:space="preserve">Pokud je vůle v tomto rajském </w:t>
      </w:r>
      <w:r w:rsidR="00710A60" w:rsidRPr="00710A60">
        <w:t xml:space="preserve">stavu, </w:t>
      </w:r>
      <w:r w:rsidR="005974AC">
        <w:t xml:space="preserve">pak </w:t>
      </w:r>
      <w:r w:rsidR="00710A60" w:rsidRPr="00710A60">
        <w:t>nechce vůbec nic. Vůle zůstává v intelektuálním a intimním způsobu by</w:t>
      </w:r>
      <w:r w:rsidR="005974AC">
        <w:t>tí, který je vlastní modernímu b</w:t>
      </w:r>
      <w:r w:rsidR="00710A60" w:rsidRPr="00710A60">
        <w:t>ohu</w:t>
      </w:r>
      <w:r w:rsidR="005974AC">
        <w:t xml:space="preserve">. Taková vůle je objektivně otevřena </w:t>
      </w:r>
      <w:r w:rsidR="00710A60" w:rsidRPr="00710A60">
        <w:t>sféře nezávazných reprezentací a intencí.</w:t>
      </w:r>
      <w:r w:rsidR="005974AC">
        <w:t xml:space="preserve"> </w:t>
      </w:r>
      <w:r>
        <w:t>Hypostázovaná vůle je daná sama v sobě s naprostou jistotou a aktualitou a do jejího habitau přicházejí jen nezávazné představy. Olivi provedl základní posun v subjektivním vidění celku jsoucna směrem k</w:t>
      </w:r>
      <w:r w:rsidR="08E6452F">
        <w:t xml:space="preserve"> postmodernímu </w:t>
      </w:r>
      <w:r>
        <w:t>nihilismu (</w:t>
      </w:r>
      <w:r>
        <w:rPr>
          <w:i/>
        </w:rPr>
        <w:t>Ge-Stell</w:t>
      </w:r>
      <w:r>
        <w:rPr>
          <w:i/>
        </w:rPr>
        <w:fldChar w:fldCharType="begin"/>
      </w:r>
      <w:r>
        <w:instrText xml:space="preserve"> XE "</w:instrText>
      </w:r>
      <w:r>
        <w:rPr>
          <w:i/>
        </w:rPr>
        <w:instrText>Ge-Stell</w:instrText>
      </w:r>
      <w:r>
        <w:instrText xml:space="preserve">" </w:instrText>
      </w:r>
      <w:r>
        <w:rPr>
          <w:i/>
        </w:rPr>
        <w:fldChar w:fldCharType="end"/>
      </w:r>
      <w:r w:rsidR="08FA15AA">
        <w:t xml:space="preserve">; OBJ I, </w:t>
      </w:r>
      <w:r>
        <w:t xml:space="preserve">kap. 1.2). Jeho pojetí hypostázované vůle jako další substance v člověku zajistilo trvalý přísun </w:t>
      </w:r>
      <w:r w:rsidRPr="08262810">
        <w:rPr>
          <w:i/>
        </w:rPr>
        <w:t>tertium ens</w:t>
      </w:r>
      <w:r>
        <w:t xml:space="preserve"> před demiurgickou podobou subjektivní vůle také dané jako </w:t>
      </w:r>
      <w:r w:rsidRPr="08262810">
        <w:rPr>
          <w:i/>
        </w:rPr>
        <w:t>tertium ens</w:t>
      </w:r>
      <w:r w:rsidR="08E6452F">
        <w:t xml:space="preserve">. </w:t>
      </w:r>
      <w:r>
        <w:t>Bez této úpravy moderní vůle by nemohl vzniknout kapitalismus. K jeho založení bylo třeba vytvořit iracionáln</w:t>
      </w:r>
      <w:r w:rsidR="00A3221E">
        <w:t xml:space="preserve">í a plně svobodnou vůli k moci. </w:t>
      </w:r>
      <w:r>
        <w:t xml:space="preserve">Po zhasnutí první substance a pak i kritického rozumu </w:t>
      </w:r>
      <w:proofErr w:type="gramStart"/>
      <w:r>
        <w:t>dal</w:t>
      </w:r>
      <w:proofErr w:type="gramEnd"/>
      <w:r>
        <w:t xml:space="preserve"> Olivi základní podmínku </w:t>
      </w:r>
      <w:proofErr w:type="gramStart"/>
      <w:r w:rsidRPr="08AB0577">
        <w:rPr>
          <w:i/>
        </w:rPr>
        <w:t>sine</w:t>
      </w:r>
      <w:proofErr w:type="gramEnd"/>
      <w:r w:rsidRPr="08AB0577">
        <w:rPr>
          <w:i/>
        </w:rPr>
        <w:t xml:space="preserve"> qua non</w:t>
      </w:r>
      <w:r>
        <w:t xml:space="preserve"> určující čistě instrumentální sebezáchovnou raciona</w:t>
      </w:r>
      <w:r w:rsidR="00A3221E">
        <w:t>litu kapitalistického demiurga.</w:t>
      </w:r>
    </w:p>
    <w:p w:rsidR="00AC2507" w:rsidRDefault="08163013" w:rsidP="00C77BDC">
      <w:pPr>
        <w:ind w:firstLine="397"/>
        <w:rPr>
          <w:iCs/>
        </w:rPr>
      </w:pPr>
      <w:r>
        <w:t>Voluntarista, iluminát a mystik Olivi nepotřebuje aristotelský kritický intelekt</w:t>
      </w:r>
      <w:r w:rsidR="009722A3">
        <w:t xml:space="preserve">. Nemá </w:t>
      </w:r>
      <w:r>
        <w:t xml:space="preserve">pojetí pravdy jako adekvace, ale </w:t>
      </w:r>
      <w:r w:rsidR="009722A3">
        <w:t>jako Rufusovu asimilaci</w:t>
      </w:r>
      <w:r>
        <w:t xml:space="preserve">. </w:t>
      </w:r>
      <w:r w:rsidRPr="00273106">
        <w:t>Vůle je aktuální sama v sobě a z ní vychází jako z první substance</w:t>
      </w:r>
      <w:r>
        <w:t xml:space="preserve"> všechna myslitelná determin</w:t>
      </w:r>
      <w:r w:rsidRPr="00273106">
        <w:t>ace</w:t>
      </w:r>
      <w:r>
        <w:t xml:space="preserve"> akcidentálního chtění v modu pravdy jako asimilace</w:t>
      </w:r>
      <w:r w:rsidRPr="00273106">
        <w:t>. Aktualita jednoduchého aktu subsistence</w:t>
      </w:r>
      <w:r>
        <w:fldChar w:fldCharType="begin"/>
      </w:r>
      <w:r>
        <w:instrText xml:space="preserve"> XE "</w:instrText>
      </w:r>
      <w:r w:rsidRPr="001D1E42">
        <w:instrText>subsistence</w:instrText>
      </w:r>
      <w:r>
        <w:instrText xml:space="preserve">:vůle" </w:instrText>
      </w:r>
      <w:r>
        <w:fldChar w:fldCharType="end"/>
      </w:r>
      <w:r w:rsidRPr="00273106">
        <w:t xml:space="preserve"> je doplněna o možnost vůle, která může jednat potenciálně protikladně, protože je svobodná</w:t>
      </w:r>
      <w:r>
        <w:t xml:space="preserve"> ve volbě dobra a zla</w:t>
      </w:r>
      <w:r w:rsidRPr="00273106">
        <w:t xml:space="preserve">. </w:t>
      </w:r>
      <w:r w:rsidR="00C77BDC" w:rsidRPr="00C77BDC">
        <w:t xml:space="preserve">Přesněji řečeno, na základní úrovni </w:t>
      </w:r>
      <w:r w:rsidR="00C77BDC" w:rsidRPr="00C77BDC">
        <w:rPr>
          <w:i/>
        </w:rPr>
        <w:t>Ge-Stell</w:t>
      </w:r>
      <w:r w:rsidR="00C77BDC">
        <w:t xml:space="preserve"> jako Oliviho</w:t>
      </w:r>
      <w:r w:rsidR="00C77BDC" w:rsidRPr="00C77BDC">
        <w:t xml:space="preserve"> </w:t>
      </w:r>
      <w:r w:rsidR="00C77BDC" w:rsidRPr="00C77BDC">
        <w:rPr>
          <w:i/>
        </w:rPr>
        <w:t>potentia substatialis</w:t>
      </w:r>
      <w:r w:rsidR="00C77BDC" w:rsidRPr="00C77BDC">
        <w:t xml:space="preserve"> neexistuje zlo a dobro, protože tato morální distinkce předpoklád</w:t>
      </w:r>
      <w:r w:rsidR="00C77BDC">
        <w:t>á nějaký druh racionálního úsudku</w:t>
      </w:r>
      <w:r w:rsidR="00C77BDC" w:rsidRPr="00C77BDC">
        <w:t>. To je důvod, proč se kapit</w:t>
      </w:r>
      <w:r w:rsidR="00C77BDC">
        <w:t>alismus takové „svobodné vůle“</w:t>
      </w:r>
      <w:r w:rsidR="00C77BDC" w:rsidRPr="00C77BDC">
        <w:t xml:space="preserve"> nachází mimo veškeré etické úvahy</w:t>
      </w:r>
      <w:r w:rsidR="009914F9">
        <w:t xml:space="preserve"> a proč je fundamentálně „a-morální“</w:t>
      </w:r>
      <w:r w:rsidR="00C77BDC" w:rsidRPr="00C77BDC">
        <w:t xml:space="preserve">. </w:t>
      </w:r>
      <w:r w:rsidR="009914F9">
        <w:t xml:space="preserve">Etické požadavky </w:t>
      </w:r>
      <w:r w:rsidR="00C77BDC" w:rsidRPr="00C77BDC">
        <w:t>se objevují až ve druhém stupni konkrétních vůlí a voleb.</w:t>
      </w:r>
      <w:r w:rsidR="00C77BDC">
        <w:t xml:space="preserve"> </w:t>
      </w:r>
      <w:r>
        <w:t xml:space="preserve">Bytí vůle v kategoriálním a </w:t>
      </w:r>
      <w:r>
        <w:lastRenderedPageBreak/>
        <w:t xml:space="preserve">substančním modu </w:t>
      </w:r>
      <w:r w:rsidRPr="00993392">
        <w:rPr>
          <w:i/>
        </w:rPr>
        <w:t>per prius</w:t>
      </w:r>
      <w:r>
        <w:t xml:space="preserve"> </w:t>
      </w:r>
      <w:r w:rsidRPr="00273106">
        <w:t xml:space="preserve">nemá charakter konkrétního </w:t>
      </w:r>
      <w:r w:rsidRPr="00273106">
        <w:rPr>
          <w:i/>
        </w:rPr>
        <w:t>volitio</w:t>
      </w:r>
      <w:r w:rsidRPr="00273106">
        <w:t xml:space="preserve"> směřujícího k vnějšímu předmětu chtění.</w:t>
      </w:r>
      <w:r>
        <w:t xml:space="preserve"> V</w:t>
      </w:r>
      <w:r w:rsidRPr="00273106">
        <w:t xml:space="preserve">ůle </w:t>
      </w:r>
      <w:r>
        <w:t xml:space="preserve">daná jako aktuálně působící substance třetího druhu </w:t>
      </w:r>
      <w:r w:rsidRPr="00273106">
        <w:t xml:space="preserve">existuje </w:t>
      </w:r>
      <w:r>
        <w:t>jako svobodná tím, že může v aktu intimity kauzálně chtít i nechtít. O</w:t>
      </w:r>
      <w:r w:rsidRPr="00273106">
        <w:t>b</w:t>
      </w:r>
      <w:r>
        <w:t>ojí důsledek niterné kauzality, tj. chtít i nechtít totéž, vůle klade z hlediska své aktuální substance</w:t>
      </w:r>
      <w:r w:rsidRPr="00273106">
        <w:t xml:space="preserve">. </w:t>
      </w:r>
      <w:r w:rsidR="001E5167">
        <w:t>Dialektika „</w:t>
      </w:r>
      <w:proofErr w:type="gramStart"/>
      <w:r w:rsidR="08E6452F">
        <w:rPr>
          <w:i/>
        </w:rPr>
        <w:t>ve</w:t>
      </w:r>
      <w:r w:rsidRPr="003408A7">
        <w:rPr>
          <w:i/>
        </w:rPr>
        <w:t>lle</w:t>
      </w:r>
      <w:proofErr w:type="gramEnd"/>
      <w:r w:rsidR="001E5167">
        <w:rPr>
          <w:i/>
        </w:rPr>
        <w:t>–</w:t>
      </w:r>
      <w:proofErr w:type="gramStart"/>
      <w:r w:rsidR="001E5167">
        <w:rPr>
          <w:i/>
        </w:rPr>
        <w:t>nolle</w:t>
      </w:r>
      <w:proofErr w:type="gramEnd"/>
      <w:r w:rsidR="001E5167" w:rsidRPr="00065171">
        <w:t>“</w:t>
      </w:r>
      <w:r>
        <w:rPr>
          <w:i/>
        </w:rPr>
        <w:fldChar w:fldCharType="begin"/>
      </w:r>
      <w:r>
        <w:instrText xml:space="preserve"> XE "vůle:</w:instrText>
      </w:r>
      <w:r w:rsidRPr="00550BFF">
        <w:rPr>
          <w:i/>
        </w:rPr>
        <w:instrText>nolle</w:instrText>
      </w:r>
      <w:r w:rsidRPr="00550BFF">
        <w:instrText>/</w:instrText>
      </w:r>
      <w:r w:rsidR="08E6452F">
        <w:rPr>
          <w:i/>
        </w:rPr>
        <w:instrText>velle</w:instrText>
      </w:r>
      <w:r>
        <w:instrText xml:space="preserve">" </w:instrText>
      </w:r>
      <w:r>
        <w:rPr>
          <w:i/>
        </w:rPr>
        <w:fldChar w:fldCharType="end"/>
      </w:r>
      <w:r>
        <w:t xml:space="preserve"> začíná až na úrovni toho či onoho individuálního chtění a volby daného kontingentně. </w:t>
      </w:r>
      <w:r w:rsidRPr="00273106">
        <w:t xml:space="preserve">Voluntaristický Olivi zrušil princip kauzality mnohem důkladněji, než vyložená </w:t>
      </w:r>
      <w:r w:rsidRPr="00273106">
        <w:rPr>
          <w:i/>
        </w:rPr>
        <w:t>Oxfordian Fallacy</w:t>
      </w:r>
      <w:r w:rsidRPr="00273106">
        <w:t xml:space="preserve"> zavedená Rufusem (</w:t>
      </w:r>
      <w:r w:rsidR="088E390D">
        <w:t>OBJ II, kap. 3</w:t>
      </w:r>
      <w:r w:rsidRPr="00273106">
        <w:t>.1.1) a potvrzená Kilwardbym (</w:t>
      </w:r>
      <w:r w:rsidR="088E390D">
        <w:t>OBJ II, kap. 3</w:t>
      </w:r>
      <w:r w:rsidRPr="00273106">
        <w:t xml:space="preserve">.4.1). Oba analyzovaní modernisté zrušili pouze pouze statut </w:t>
      </w:r>
      <w:r>
        <w:t xml:space="preserve">aktuálně působící </w:t>
      </w:r>
      <w:r w:rsidRPr="00273106">
        <w:t>první substance ve středním členu soudu</w:t>
      </w:r>
      <w:r>
        <w:t xml:space="preserve"> a udělali z něj esenci</w:t>
      </w:r>
      <w:r w:rsidRPr="00273106">
        <w:t xml:space="preserve">. </w:t>
      </w:r>
      <w:r>
        <w:t>Osoba byla rozštěpená pouze na dvě substance a v aktu moderní schizofrenické kopulace měl primát hypostázovaný intelekt zajišťující poznání nasvícení zezadu. Olivi změnil intelektualistické paradigma moderny na voluntaristické</w:t>
      </w:r>
      <w:r w:rsidR="088E481D">
        <w:t>,</w:t>
      </w:r>
      <w:r>
        <w:t xml:space="preserve"> a tím založil novou epochu Západu. Moderna se stala paranoická na druhou, protože musela spojit tři substance a přitom ztratila </w:t>
      </w:r>
      <w:r w:rsidR="00FD74F7">
        <w:t xml:space="preserve">teoretický a praktický </w:t>
      </w:r>
      <w:r>
        <w:t xml:space="preserve">aristotelský </w:t>
      </w:r>
      <w:r w:rsidR="00FD74F7">
        <w:t>intelekt</w:t>
      </w:r>
      <w:r>
        <w:t xml:space="preserve">. Druhý averroismus Oliviho hájí od roku 1277 svobodnou hypostaticky určenou vůli </w:t>
      </w:r>
      <w:r w:rsidRPr="00844B3E">
        <w:rPr>
          <w:i/>
        </w:rPr>
        <w:t>absolute</w:t>
      </w:r>
      <w:r>
        <w:t xml:space="preserve"> oddělenou od intelektu, od hříchu, od logiky, od kauzality, od reality. Moderní vůle se tím připodobnila bohu </w:t>
      </w:r>
      <w:r w:rsidRPr="085B2560">
        <w:rPr>
          <w:i/>
        </w:rPr>
        <w:t>Modernorum</w:t>
      </w:r>
      <w:r>
        <w:t xml:space="preserve"> a sledovala jeho cestu po </w:t>
      </w:r>
      <w:proofErr w:type="gramStart"/>
      <w:r w:rsidRPr="08E9664C">
        <w:rPr>
          <w:i/>
        </w:rPr>
        <w:t>via</w:t>
      </w:r>
      <w:proofErr w:type="gramEnd"/>
      <w:r w:rsidRPr="08E9664C">
        <w:rPr>
          <w:i/>
        </w:rPr>
        <w:t xml:space="preserve"> Modernorum</w:t>
      </w:r>
      <w:r>
        <w:t>. Tuto etapu ukončil nihilistický Nietzsche tím, že</w:t>
      </w:r>
      <w:r w:rsidR="08960A6C">
        <w:t xml:space="preserve"> moderního boha nechal umřít. Nietzsche dal na jeho místo </w:t>
      </w:r>
      <w:r w:rsidR="088E481D">
        <w:t xml:space="preserve">Oliviho </w:t>
      </w:r>
      <w:r w:rsidR="08960A6C">
        <w:t xml:space="preserve">iracionální </w:t>
      </w:r>
      <w:r>
        <w:t>vůli</w:t>
      </w:r>
      <w:r w:rsidR="08960A6C">
        <w:t>, kterou posunul do řecké mytologie</w:t>
      </w:r>
      <w:r>
        <w:t xml:space="preserve">. </w:t>
      </w:r>
      <w:r>
        <w:rPr>
          <w:iCs/>
        </w:rPr>
        <w:t xml:space="preserve">Olivi založil v modu </w:t>
      </w:r>
      <w:r w:rsidRPr="00060AB6">
        <w:rPr>
          <w:i/>
          <w:iCs/>
        </w:rPr>
        <w:t>Oxfordian Fallacy</w:t>
      </w:r>
      <w:r>
        <w:rPr>
          <w:i/>
          <w:iCs/>
        </w:rPr>
        <w:fldChar w:fldCharType="begin"/>
      </w:r>
      <w:r>
        <w:instrText xml:space="preserve"> XE "</w:instrText>
      </w:r>
      <w:r w:rsidRPr="0015798D">
        <w:rPr>
          <w:i/>
        </w:rPr>
        <w:instrText>Oxfordian Fallacy:</w:instrText>
      </w:r>
      <w:r>
        <w:instrText xml:space="preserve">Olivi" </w:instrText>
      </w:r>
      <w:r>
        <w:rPr>
          <w:i/>
          <w:iCs/>
        </w:rPr>
        <w:fldChar w:fldCharType="end"/>
      </w:r>
      <w:r>
        <w:rPr>
          <w:iCs/>
        </w:rPr>
        <w:t xml:space="preserve"> nové určení svobodného subjektu mimo vládu teoretického rozumu. </w:t>
      </w:r>
      <w:r>
        <w:t xml:space="preserve">Tímto intelektuálním činem osvobozujícím vůli jak od </w:t>
      </w:r>
      <w:proofErr w:type="gramStart"/>
      <w:r>
        <w:t>intelektu tak</w:t>
      </w:r>
      <w:proofErr w:type="gramEnd"/>
      <w:r>
        <w:t xml:space="preserve"> od kauzality vznikl moderní kapitalistický subjekt, který vyrazil dobývat svět. </w:t>
      </w:r>
      <w:r>
        <w:rPr>
          <w:iCs/>
        </w:rPr>
        <w:t xml:space="preserve">Intimně a substančně svobodný subjekt </w:t>
      </w:r>
      <w:r w:rsidRPr="00BF2623">
        <w:rPr>
          <w:i/>
          <w:iCs/>
        </w:rPr>
        <w:t>Modernorum</w:t>
      </w:r>
      <w:r>
        <w:rPr>
          <w:iCs/>
        </w:rPr>
        <w:t xml:space="preserve"> odmítl klasické určení rozumné vůle v </w:t>
      </w:r>
      <w:r w:rsidRPr="087A13BD">
        <w:rPr>
          <w:i/>
          <w:iCs/>
        </w:rPr>
        <w:t>Etice Nikomachově</w:t>
      </w:r>
      <w:r>
        <w:rPr>
          <w:iCs/>
        </w:rPr>
        <w:t xml:space="preserve">. Oliviho vůle není primárně rozumná, ale svobodná. Moderní nositel </w:t>
      </w:r>
      <w:r w:rsidR="00D96019">
        <w:rPr>
          <w:iCs/>
        </w:rPr>
        <w:t>takto „</w:t>
      </w:r>
      <w:r>
        <w:rPr>
          <w:iCs/>
        </w:rPr>
        <w:t>svobodné vůle</w:t>
      </w:r>
      <w:r w:rsidR="00D96019">
        <w:rPr>
          <w:iCs/>
        </w:rPr>
        <w:t>“</w:t>
      </w:r>
      <w:r>
        <w:rPr>
          <w:iCs/>
        </w:rPr>
        <w:t xml:space="preserve"> jako substance třetího druhu nepotřebuje </w:t>
      </w:r>
      <w:r w:rsidR="00B94F32">
        <w:rPr>
          <w:iCs/>
        </w:rPr>
        <w:t>intel</w:t>
      </w:r>
      <w:r w:rsidR="00704E37">
        <w:rPr>
          <w:iCs/>
        </w:rPr>
        <w:t>ekt p</w:t>
      </w:r>
      <w:r>
        <w:rPr>
          <w:iCs/>
        </w:rPr>
        <w:t xml:space="preserve">ro determinaci chtění v modu </w:t>
      </w:r>
      <w:r w:rsidRPr="08B44C10">
        <w:rPr>
          <w:i/>
          <w:iCs/>
        </w:rPr>
        <w:t>per prius</w:t>
      </w:r>
      <w:r>
        <w:rPr>
          <w:iCs/>
        </w:rPr>
        <w:t>. Chtění primárně určuje hypostá</w:t>
      </w:r>
      <w:r w:rsidR="00AC2507">
        <w:rPr>
          <w:iCs/>
        </w:rPr>
        <w:t>zovaná intimita a svoboda vůle.</w:t>
      </w:r>
    </w:p>
    <w:p w:rsidR="08163013" w:rsidRPr="00455847" w:rsidRDefault="00352258" w:rsidP="00455847">
      <w:pPr>
        <w:ind w:firstLine="397"/>
        <w:rPr>
          <w:iCs/>
        </w:rPr>
      </w:pPr>
      <w:r w:rsidRPr="00352258">
        <w:rPr>
          <w:iCs/>
        </w:rPr>
        <w:t xml:space="preserve">Po zatmění první substance došlo k zatmění kritického a praktického rozumu, který byl potřebný k určení aktů vůle. </w:t>
      </w:r>
      <w:r w:rsidR="08163013">
        <w:rPr>
          <w:iCs/>
        </w:rPr>
        <w:t xml:space="preserve">Dvojnásobně slepý subjekt </w:t>
      </w:r>
      <w:r w:rsidR="08163013" w:rsidRPr="08941E9F">
        <w:rPr>
          <w:i/>
          <w:iCs/>
        </w:rPr>
        <w:t>Modernorum</w:t>
      </w:r>
      <w:r w:rsidR="08163013">
        <w:rPr>
          <w:iCs/>
        </w:rPr>
        <w:t xml:space="preserve"> vedený intimně svobodnými Fúriemi je nyní dostatečně vybaven na to, aby mohl jít dobývat svět. A kapitalistický subjekt musí dobývat svět v modu Anselmovy deontologické pravdy (</w:t>
      </w:r>
      <w:r w:rsidR="08163013" w:rsidRPr="00273106">
        <w:rPr>
          <w:i/>
        </w:rPr>
        <w:t>quod debet esse, recte est</w:t>
      </w:r>
      <w:r w:rsidR="0866118B">
        <w:t xml:space="preserve">; OBJ II, </w:t>
      </w:r>
      <w:r w:rsidR="08163013">
        <w:t>ka</w:t>
      </w:r>
      <w:r w:rsidR="0866118B">
        <w:t>p. 1</w:t>
      </w:r>
      <w:r w:rsidR="08163013">
        <w:t>.2). V</w:t>
      </w:r>
      <w:r w:rsidR="08163013">
        <w:rPr>
          <w:iCs/>
        </w:rPr>
        <w:t xml:space="preserve">ůle daná v modu </w:t>
      </w:r>
      <w:r w:rsidR="00022EC0">
        <w:rPr>
          <w:iCs/>
        </w:rPr>
        <w:t>„</w:t>
      </w:r>
      <w:r w:rsidR="08163013" w:rsidRPr="08564334">
        <w:rPr>
          <w:i/>
          <w:iCs/>
        </w:rPr>
        <w:t>esse ad</w:t>
      </w:r>
      <w:r w:rsidR="00022EC0">
        <w:rPr>
          <w:iCs/>
        </w:rPr>
        <w:t>“</w:t>
      </w:r>
      <w:r w:rsidR="08163013">
        <w:rPr>
          <w:iCs/>
        </w:rPr>
        <w:t xml:space="preserve"> musí realizovat svou </w:t>
      </w:r>
      <w:r w:rsidR="08163013">
        <w:rPr>
          <w:iCs/>
        </w:rPr>
        <w:lastRenderedPageBreak/>
        <w:t xml:space="preserve">intimně reflektovanou a substanciálně-aktuálně danou svobodu. Oliviho pojetí absolutně suverénní vůle zrušilo aristotelskou strukturu rozumného jednání a naplnilo další objektivní existenciál daný jako </w:t>
      </w:r>
      <w:r w:rsidR="08163013" w:rsidRPr="00BF2623">
        <w:rPr>
          <w:i/>
          <w:iCs/>
        </w:rPr>
        <w:t>dativus incommodi</w:t>
      </w:r>
      <w:r w:rsidR="08163013">
        <w:rPr>
          <w:i/>
          <w:iCs/>
        </w:rPr>
        <w:fldChar w:fldCharType="begin"/>
      </w:r>
      <w:r w:rsidR="08163013">
        <w:instrText xml:space="preserve"> XE "</w:instrText>
      </w:r>
      <w:r w:rsidR="08163013" w:rsidRPr="00C265A3">
        <w:rPr>
          <w:i/>
          <w:iCs/>
        </w:rPr>
        <w:instrText>dativus incommodi</w:instrText>
      </w:r>
      <w:r w:rsidR="08163013">
        <w:instrText xml:space="preserve">" </w:instrText>
      </w:r>
      <w:r w:rsidR="08163013">
        <w:rPr>
          <w:i/>
          <w:iCs/>
        </w:rPr>
        <w:fldChar w:fldCharType="end"/>
      </w:r>
      <w:r w:rsidR="08163013" w:rsidRPr="00BF2623">
        <w:rPr>
          <w:i/>
          <w:iCs/>
        </w:rPr>
        <w:t xml:space="preserve"> </w:t>
      </w:r>
      <w:r w:rsidR="08771E6B">
        <w:rPr>
          <w:iCs/>
        </w:rPr>
        <w:t>(kap. 4</w:t>
      </w:r>
      <w:r w:rsidR="08163013">
        <w:rPr>
          <w:iCs/>
        </w:rPr>
        <w:t xml:space="preserve">). Praktický rozum zbavený kritické funkce teoretického myšlení determinovaného realitou založil skrze Oliviho instrumentální racionalitu Západu, která je zcela intimní záležitostí paranoického subjektu. Proto je aktivita vytvářená touto demiurgickou vůlí zcela oddělena od cílů moudrého intelektu daného v teoretické </w:t>
      </w:r>
      <w:r w:rsidR="08163013" w:rsidRPr="08111301">
        <w:rPr>
          <w:i/>
          <w:iCs/>
        </w:rPr>
        <w:t>scholé</w:t>
      </w:r>
      <w:r w:rsidR="08163013">
        <w:rPr>
          <w:iCs/>
        </w:rPr>
        <w:t xml:space="preserve"> a v politické svobodě. Moderní subjekt může být iracionální nebo racionální, protože je pro obojí volbu intimně svobodný stejným způsobem. </w:t>
      </w:r>
      <w:r w:rsidR="00455847" w:rsidRPr="00455847">
        <w:rPr>
          <w:iCs/>
        </w:rPr>
        <w:t>Moderní vůle mysticky po</w:t>
      </w:r>
      <w:r w:rsidR="00455847">
        <w:rPr>
          <w:iCs/>
        </w:rPr>
        <w:t>hltila objektivně poznaná simulá</w:t>
      </w:r>
      <w:r w:rsidR="00455847" w:rsidRPr="00455847">
        <w:rPr>
          <w:iCs/>
        </w:rPr>
        <w:t xml:space="preserve">kra třetího druhu v modu pravdy jako asimilace. </w:t>
      </w:r>
      <w:r w:rsidR="00455847">
        <w:rPr>
          <w:iCs/>
        </w:rPr>
        <w:t xml:space="preserve">Chtěné objekty se staly </w:t>
      </w:r>
      <w:r w:rsidR="00455847" w:rsidRPr="00455847">
        <w:rPr>
          <w:iCs/>
        </w:rPr>
        <w:t xml:space="preserve">součástí vůle jako její intimní předmět. Olivi změnil racionální (ale šílený) způsob druhého averroismu, který manipuloval s objektivně </w:t>
      </w:r>
      <w:r w:rsidR="00455847">
        <w:rPr>
          <w:iCs/>
        </w:rPr>
        <w:t>vytvořeným s</w:t>
      </w:r>
      <w:r w:rsidR="00455847" w:rsidRPr="00455847">
        <w:rPr>
          <w:iCs/>
        </w:rPr>
        <w:t xml:space="preserve">větem. První druh </w:t>
      </w:r>
      <w:r w:rsidR="00455847" w:rsidRPr="00455847">
        <w:rPr>
          <w:i/>
          <w:iCs/>
        </w:rPr>
        <w:t>dativus possessivus</w:t>
      </w:r>
      <w:r w:rsidR="008328D6">
        <w:rPr>
          <w:i/>
          <w:iCs/>
        </w:rPr>
        <w:fldChar w:fldCharType="begin"/>
      </w:r>
      <w:r w:rsidR="008328D6">
        <w:instrText xml:space="preserve"> XE "</w:instrText>
      </w:r>
      <w:r w:rsidR="008328D6" w:rsidRPr="00202D2F">
        <w:rPr>
          <w:i/>
          <w:iCs/>
        </w:rPr>
        <w:instrText>dativus possessivus</w:instrText>
      </w:r>
      <w:r w:rsidR="008328D6">
        <w:instrText xml:space="preserve">" </w:instrText>
      </w:r>
      <w:r w:rsidR="008328D6">
        <w:rPr>
          <w:i/>
          <w:iCs/>
        </w:rPr>
        <w:fldChar w:fldCharType="end"/>
      </w:r>
      <w:r w:rsidR="00455847" w:rsidRPr="00455847">
        <w:rPr>
          <w:iCs/>
        </w:rPr>
        <w:t xml:space="preserve"> musel </w:t>
      </w:r>
      <w:r w:rsidR="00455847">
        <w:rPr>
          <w:iCs/>
        </w:rPr>
        <w:t>po</w:t>
      </w:r>
      <w:r w:rsidR="00455847" w:rsidRPr="00455847">
        <w:rPr>
          <w:iCs/>
        </w:rPr>
        <w:t xml:space="preserve">znat </w:t>
      </w:r>
      <w:r w:rsidR="00455847">
        <w:rPr>
          <w:iCs/>
        </w:rPr>
        <w:t xml:space="preserve">tato </w:t>
      </w:r>
      <w:r w:rsidR="00455847" w:rsidRPr="00455847">
        <w:rPr>
          <w:iCs/>
        </w:rPr>
        <w:t xml:space="preserve">objektivní </w:t>
      </w:r>
      <w:r w:rsidR="00455847" w:rsidRPr="00455847">
        <w:rPr>
          <w:i/>
          <w:iCs/>
        </w:rPr>
        <w:t>scibilia</w:t>
      </w:r>
      <w:r w:rsidR="00455847" w:rsidRPr="00455847">
        <w:rPr>
          <w:iCs/>
        </w:rPr>
        <w:t xml:space="preserve">, aby s nimi mohl manipulovat. Nyní došlo k nihilistické </w:t>
      </w:r>
      <w:r w:rsidR="00455847" w:rsidRPr="00455847">
        <w:rPr>
          <w:i/>
          <w:iCs/>
        </w:rPr>
        <w:t>unio mystica</w:t>
      </w:r>
      <w:r w:rsidR="00BA32C8">
        <w:rPr>
          <w:iCs/>
        </w:rPr>
        <w:t xml:space="preserve"> myto</w:t>
      </w:r>
      <w:r w:rsidR="00455847" w:rsidRPr="00455847">
        <w:rPr>
          <w:iCs/>
        </w:rPr>
        <w:t xml:space="preserve">logické vůle a jí odpovídajícího předmětu vůle. Karel Marx to správně nazval fetišistickou povahou kapitalistické výroby.  </w:t>
      </w:r>
      <w:r w:rsidR="08163013">
        <w:rPr>
          <w:iCs/>
        </w:rPr>
        <w:t>Objektivní myto</w:t>
      </w:r>
      <w:r w:rsidR="00022EC0">
        <w:rPr>
          <w:iCs/>
        </w:rPr>
        <w:t xml:space="preserve">logie </w:t>
      </w:r>
      <w:r w:rsidR="08163013">
        <w:rPr>
          <w:iCs/>
        </w:rPr>
        <w:t xml:space="preserve">latinského Západu se stala instrumentem slepé a iracionální vůle a pouhého instrumentálního rozumu řízeného pudem sebezáchovy. V této objektivně dokonalé podobě mohla moderna konečně vyrazit na další křížovou výpravu ke kapitalistickému dobytí světa. </w:t>
      </w:r>
      <w:r w:rsidR="08163013">
        <w:t>Olivi s</w:t>
      </w:r>
      <w:r w:rsidR="08163013" w:rsidRPr="00273106">
        <w:t>uspendoval pro lidskou vůli plat</w:t>
      </w:r>
      <w:r w:rsidR="08163013">
        <w:t>nost principu kauzality a v</w:t>
      </w:r>
      <w:r w:rsidR="08163013" w:rsidRPr="00273106">
        <w:t>ytvořil novou metafyziku</w:t>
      </w:r>
      <w:r w:rsidR="08163013">
        <w:t xml:space="preserve"> vůle danou na základě dogmatické antropologie</w:t>
      </w:r>
      <w:r w:rsidR="08163013">
        <w:fldChar w:fldCharType="begin"/>
      </w:r>
      <w:r w:rsidR="08163013">
        <w:instrText xml:space="preserve"> XE "</w:instrText>
      </w:r>
      <w:r w:rsidR="08163013" w:rsidRPr="00FE342E">
        <w:instrText>antropologie</w:instrText>
      </w:r>
      <w:r w:rsidR="08163013">
        <w:instrText xml:space="preserve">" </w:instrText>
      </w:r>
      <w:r w:rsidR="08163013">
        <w:fldChar w:fldCharType="end"/>
      </w:r>
      <w:r w:rsidR="08163013">
        <w:t>. Tím umožnil neomezené působení moderního demiurga</w:t>
      </w:r>
      <w:r w:rsidR="08163013">
        <w:fldChar w:fldCharType="begin"/>
      </w:r>
      <w:r w:rsidR="08163013">
        <w:instrText xml:space="preserve"> XE "</w:instrText>
      </w:r>
      <w:r w:rsidR="08163013" w:rsidRPr="005C2F4A">
        <w:rPr>
          <w:rStyle w:val="addmd"/>
        </w:rPr>
        <w:instrText>demiurg</w:instrText>
      </w:r>
      <w:r w:rsidR="08163013">
        <w:instrText xml:space="preserve">" </w:instrText>
      </w:r>
      <w:r w:rsidR="08163013">
        <w:fldChar w:fldCharType="end"/>
      </w:r>
      <w:r w:rsidR="08163013">
        <w:t>, jehož univerzální regule založil Bonaventura</w:t>
      </w:r>
      <w:r w:rsidR="08163013" w:rsidRPr="00273106">
        <w:t>.</w:t>
      </w:r>
      <w:r w:rsidR="08163013">
        <w:t xml:space="preserve"> </w:t>
      </w:r>
      <w:r w:rsidR="08163013">
        <w:rPr>
          <w:iCs/>
        </w:rPr>
        <w:t xml:space="preserve">Nové určení moderního subjektu způsobilo degeneraci aristotelského </w:t>
      </w:r>
      <w:r w:rsidR="08163013" w:rsidRPr="08EA1F4A">
        <w:rPr>
          <w:i/>
          <w:iCs/>
        </w:rPr>
        <w:t>intellectus practicus</w:t>
      </w:r>
      <w:r w:rsidR="08163013">
        <w:rPr>
          <w:iCs/>
        </w:rPr>
        <w:t xml:space="preserve"> na nihilistický instrumentální rozum</w:t>
      </w:r>
      <w:r w:rsidR="08163013">
        <w:rPr>
          <w:iCs/>
        </w:rPr>
        <w:fldChar w:fldCharType="begin"/>
      </w:r>
      <w:r w:rsidR="08163013">
        <w:instrText xml:space="preserve"> XE "intelekt</w:instrText>
      </w:r>
      <w:r w:rsidR="08163013" w:rsidRPr="00345F13">
        <w:instrText>:instrumentální</w:instrText>
      </w:r>
      <w:r w:rsidR="08163013">
        <w:instrText xml:space="preserve">" </w:instrText>
      </w:r>
      <w:r w:rsidR="08163013">
        <w:rPr>
          <w:iCs/>
        </w:rPr>
        <w:fldChar w:fldCharType="end"/>
      </w:r>
      <w:r w:rsidR="08163013">
        <w:rPr>
          <w:iCs/>
        </w:rPr>
        <w:t xml:space="preserve"> postmoderny. Intimně svobodný </w:t>
      </w:r>
      <w:r w:rsidR="08163013" w:rsidRPr="08FB77A8">
        <w:rPr>
          <w:i/>
          <w:iCs/>
        </w:rPr>
        <w:t>conatus</w:t>
      </w:r>
      <w:r w:rsidR="08163013">
        <w:rPr>
          <w:i/>
          <w:iCs/>
        </w:rPr>
        <w:fldChar w:fldCharType="begin"/>
      </w:r>
      <w:r w:rsidR="08163013">
        <w:instrText xml:space="preserve"> XE "</w:instrText>
      </w:r>
      <w:r w:rsidR="08163013" w:rsidRPr="08AB1191">
        <w:rPr>
          <w:i/>
          <w:iCs/>
        </w:rPr>
        <w:instrText>conatus</w:instrText>
      </w:r>
      <w:r w:rsidR="08163013">
        <w:instrText xml:space="preserve">" </w:instrText>
      </w:r>
      <w:r w:rsidR="08163013">
        <w:rPr>
          <w:i/>
          <w:iCs/>
        </w:rPr>
        <w:fldChar w:fldCharType="end"/>
      </w:r>
      <w:r w:rsidR="08163013">
        <w:rPr>
          <w:iCs/>
        </w:rPr>
        <w:t xml:space="preserve"> demiurgické vůle je ve své podstatě zcela iracionální. Racionalitu moderního subjektu řídí pouze pud sebezáchovy, což </w:t>
      </w:r>
      <w:r w:rsidR="00AF42BC">
        <w:rPr>
          <w:iCs/>
        </w:rPr>
        <w:t xml:space="preserve">potvrdily </w:t>
      </w:r>
      <w:r w:rsidR="08163013">
        <w:rPr>
          <w:iCs/>
        </w:rPr>
        <w:t>postmoderní teorie společenské smlouvy</w:t>
      </w:r>
      <w:r w:rsidR="08771E6B">
        <w:rPr>
          <w:iCs/>
        </w:rPr>
        <w:t xml:space="preserve"> v 17. století</w:t>
      </w:r>
      <w:r w:rsidR="08163013">
        <w:rPr>
          <w:iCs/>
        </w:rPr>
        <w:t xml:space="preserve">. Biologický pud tvoří jedinou intimní sílu </w:t>
      </w:r>
      <w:r w:rsidR="00EB69C3">
        <w:rPr>
          <w:iCs/>
        </w:rPr>
        <w:t>post</w:t>
      </w:r>
      <w:r w:rsidR="08163013">
        <w:rPr>
          <w:iCs/>
        </w:rPr>
        <w:t>moderního subjektu, který v sobě zhasl po aktualitě první</w:t>
      </w:r>
      <w:r w:rsidR="00BE78E2">
        <w:rPr>
          <w:iCs/>
        </w:rPr>
        <w:t>ch substancí</w:t>
      </w:r>
      <w:r w:rsidR="08163013">
        <w:rPr>
          <w:iCs/>
        </w:rPr>
        <w:t xml:space="preserve"> i světlo kritického rozumu, který byl prakticky činný ve světě. </w:t>
      </w:r>
      <w:r w:rsidR="08163013">
        <w:t>Epochálně nová vůle a právě vzniklý instrumentální intelekt demiurga</w:t>
      </w:r>
      <w:r w:rsidR="08163013">
        <w:fldChar w:fldCharType="begin"/>
      </w:r>
      <w:r w:rsidR="08163013">
        <w:instrText xml:space="preserve"> XE "</w:instrText>
      </w:r>
      <w:r w:rsidR="08163013" w:rsidRPr="005C2F4A">
        <w:rPr>
          <w:rStyle w:val="addmd"/>
        </w:rPr>
        <w:instrText>demiurg</w:instrText>
      </w:r>
      <w:r w:rsidR="08163013">
        <w:instrText xml:space="preserve">" </w:instrText>
      </w:r>
      <w:r w:rsidR="08163013">
        <w:fldChar w:fldCharType="end"/>
      </w:r>
      <w:r w:rsidR="08163013">
        <w:t xml:space="preserve"> již není určený </w:t>
      </w:r>
      <w:r w:rsidR="08163013" w:rsidRPr="00273106">
        <w:t>od intelektu</w:t>
      </w:r>
      <w:r w:rsidR="08771E6B">
        <w:t>. Aristotelský intelekt byl determinovaný</w:t>
      </w:r>
      <w:r w:rsidR="08163013" w:rsidRPr="00273106">
        <w:t xml:space="preserve"> </w:t>
      </w:r>
      <w:r w:rsidR="08771E6B">
        <w:t xml:space="preserve">poznáním </w:t>
      </w:r>
      <w:r w:rsidR="08163013" w:rsidRPr="00273106">
        <w:t>aktuální první substance</w:t>
      </w:r>
      <w:r w:rsidR="08771E6B">
        <w:t>, zatímco moderní intelekt a vůle jsou samost</w:t>
      </w:r>
      <w:r w:rsidR="08EC7554">
        <w:t>at</w:t>
      </w:r>
      <w:r w:rsidR="08771E6B">
        <w:t>né substance</w:t>
      </w:r>
      <w:r w:rsidR="08163013" w:rsidRPr="00273106">
        <w:t xml:space="preserve">. </w:t>
      </w:r>
      <w:r w:rsidR="08163013">
        <w:t xml:space="preserve">Tomu odpovídá i intencionalita </w:t>
      </w:r>
      <w:r w:rsidR="08EC7554">
        <w:t xml:space="preserve">moderní </w:t>
      </w:r>
      <w:r w:rsidR="08163013">
        <w:t xml:space="preserve">vůle jako </w:t>
      </w:r>
      <w:r w:rsidR="08163013" w:rsidRPr="0005323A">
        <w:rPr>
          <w:i/>
        </w:rPr>
        <w:t>dilatatio</w:t>
      </w:r>
      <w:r w:rsidR="08163013">
        <w:t xml:space="preserve">, která </w:t>
      </w:r>
      <w:r w:rsidR="08163013">
        <w:lastRenderedPageBreak/>
        <w:t xml:space="preserve">směruje ke chtěnému objektu, ale není tímto předmětem determinována. Tím vzniklo moderní </w:t>
      </w:r>
      <w:r w:rsidR="08163013" w:rsidRPr="082A2CF2">
        <w:rPr>
          <w:i/>
        </w:rPr>
        <w:t>extensio</w:t>
      </w:r>
      <w:r w:rsidR="08163013">
        <w:t xml:space="preserve"> vůle, které nahradilo aristotelský praktický intelekt.</w:t>
      </w:r>
      <w:r w:rsidR="08163013" w:rsidRPr="08D64D5F">
        <w:t xml:space="preserve"> </w:t>
      </w:r>
      <w:r w:rsidR="08163013">
        <w:t xml:space="preserve">Vůle se nechá předmětem chtění proniknout, protože formálně tvoří jedno univoční </w:t>
      </w:r>
      <w:r w:rsidR="08163013" w:rsidRPr="000A62C8">
        <w:rPr>
          <w:i/>
        </w:rPr>
        <w:t>scibile</w:t>
      </w:r>
      <w:r w:rsidR="08163013">
        <w:rPr>
          <w:i/>
        </w:rPr>
        <w:fldChar w:fldCharType="begin"/>
      </w:r>
      <w:r w:rsidR="08163013">
        <w:instrText xml:space="preserve"> XE "</w:instrText>
      </w:r>
      <w:r w:rsidR="08163013" w:rsidRPr="00AA4F67">
        <w:rPr>
          <w:i/>
        </w:rPr>
        <w:instrText>scibile</w:instrText>
      </w:r>
      <w:r w:rsidR="08163013">
        <w:instrText xml:space="preserve">:vůle" </w:instrText>
      </w:r>
      <w:r w:rsidR="08163013">
        <w:rPr>
          <w:i/>
        </w:rPr>
        <w:fldChar w:fldCharType="end"/>
      </w:r>
      <w:r w:rsidR="08163013">
        <w:t xml:space="preserve"> a </w:t>
      </w:r>
      <w:r w:rsidR="08163013" w:rsidRPr="000A62C8">
        <w:rPr>
          <w:i/>
        </w:rPr>
        <w:t>volitio</w:t>
      </w:r>
      <w:r w:rsidR="08163013">
        <w:t>.</w:t>
      </w:r>
      <w:r w:rsidR="08163013" w:rsidRPr="08F93FD8">
        <w:t xml:space="preserve"> </w:t>
      </w:r>
      <w:r w:rsidR="08163013">
        <w:t xml:space="preserve">Citát ukazuje </w:t>
      </w:r>
      <w:r w:rsidR="08163013" w:rsidRPr="08A20D0D">
        <w:rPr>
          <w:i/>
        </w:rPr>
        <w:t>Lichtung</w:t>
      </w:r>
      <w:r w:rsidR="08163013">
        <w:t xml:space="preserve"> spotřebního narcismu a globální efektivity mediálních simuláker.</w:t>
      </w:r>
    </w:p>
    <w:p w:rsidR="08163013" w:rsidRPr="08644910" w:rsidRDefault="08163013" w:rsidP="08644910">
      <w:pPr>
        <w:pStyle w:val="Citace"/>
      </w:pPr>
      <w:r w:rsidRPr="08644910">
        <w:rPr>
          <w:rStyle w:val="FontStyle116"/>
          <w:rFonts w:ascii="Calibri" w:hAnsi="Calibri"/>
          <w:sz w:val="22"/>
          <w:szCs w:val="20"/>
        </w:rPr>
        <w:t>„Formální síla vůle, kterou má sama v sobě, se zaměřuje k předmětu (</w:t>
      </w:r>
      <w:r w:rsidRPr="08644910">
        <w:rPr>
          <w:rStyle w:val="FontStyle116"/>
          <w:rFonts w:ascii="Calibri" w:hAnsi="Calibri"/>
          <w:i/>
          <w:sz w:val="22"/>
          <w:szCs w:val="20"/>
        </w:rPr>
        <w:t>dilatatur ad obiectum</w:t>
      </w:r>
      <w:r w:rsidRPr="08644910">
        <w:rPr>
          <w:rStyle w:val="FontStyle116"/>
          <w:rFonts w:ascii="Calibri" w:hAnsi="Calibri"/>
          <w:sz w:val="22"/>
          <w:szCs w:val="20"/>
        </w:rPr>
        <w:t>) a to skrze určitou extenzi danou spirituálně. Spojuje se s objektem tím, že se jím nechá proniknout (</w:t>
      </w:r>
      <w:r w:rsidRPr="08644910">
        <w:rPr>
          <w:i/>
        </w:rPr>
        <w:t>unitur et quasi imbibitur ipsi obiecto</w:t>
      </w:r>
      <w:r w:rsidRPr="08644910">
        <w:rPr>
          <w:rStyle w:val="FontStyle116"/>
          <w:rFonts w:ascii="Calibri" w:hAnsi="Calibri"/>
          <w:sz w:val="22"/>
          <w:szCs w:val="20"/>
        </w:rPr>
        <w:t>). Stejně je tomu v případě jiných způsobů, kdy se vůle uchopuje spirituálně a které přímo zakoušíme v jednání a v habitech naší mysli.“ </w:t>
      </w:r>
      <w:r w:rsidRPr="08644910">
        <w:rPr>
          <w:rStyle w:val="Znakapoznpodarou"/>
        </w:rPr>
        <w:footnoteReference w:id="383"/>
      </w:r>
    </w:p>
    <w:p w:rsidR="08163013" w:rsidRDefault="08163013" w:rsidP="08163013">
      <w:r>
        <w:t>Moderní subjekt poznává svět objektivních simuláker skrze hypostázovaný intelekt daný jako oddělená substance. Objektivně poznané simulákrum třetího druhu se mysticky pohlcuje moderní vůlí v modu pravdy jako asimilace s předmětem vlastního chtění. Spojení vůle a předmětu není ve formě aristotelské adekvace či extenze, ale mystické fůze (</w:t>
      </w:r>
      <w:r w:rsidRPr="00DD131A">
        <w:rPr>
          <w:i/>
        </w:rPr>
        <w:t>unitur et quasi imbibitur ipsi obiecto</w:t>
      </w:r>
      <w:r>
        <w:t>). Rufusova teorie pravdy jako univerzální rovnosti rozumu (</w:t>
      </w:r>
      <w:r w:rsidRPr="000A62C8">
        <w:rPr>
          <w:i/>
        </w:rPr>
        <w:t>coaequatio</w:t>
      </w:r>
      <w:r>
        <w:rPr>
          <w:i/>
        </w:rPr>
        <w:fldChar w:fldCharType="begin"/>
      </w:r>
      <w:r>
        <w:instrText xml:space="preserve"> XE "pravda:</w:instrText>
      </w:r>
      <w:r w:rsidRPr="00E11E1F">
        <w:rPr>
          <w:i/>
        </w:rPr>
        <w:instrText>coaequatio</w:instrText>
      </w:r>
      <w:r>
        <w:instrText xml:space="preserve">" </w:instrText>
      </w:r>
      <w:r>
        <w:rPr>
          <w:i/>
        </w:rPr>
        <w:fldChar w:fldCharType="end"/>
      </w:r>
      <w:r>
        <w:t>) nyní dostala zásadní potvrzení i pro vůli. Vůle oddělená od kritického rozumu chce to, co odpovídá jejímu svobodnému substančnímu naturelu</w:t>
      </w:r>
      <w:r w:rsidR="08DB01E8">
        <w:t xml:space="preserve">. Vůle poznává </w:t>
      </w:r>
      <w:r>
        <w:t xml:space="preserve">v modu </w:t>
      </w:r>
      <w:r w:rsidRPr="084C7634">
        <w:rPr>
          <w:i/>
        </w:rPr>
        <w:t>per prius</w:t>
      </w:r>
      <w:r>
        <w:t xml:space="preserve"> </w:t>
      </w:r>
      <w:r w:rsidR="08DB01E8">
        <w:t xml:space="preserve">sama sebe </w:t>
      </w:r>
      <w:r>
        <w:t xml:space="preserve">jako své první intimní </w:t>
      </w:r>
      <w:r w:rsidRPr="084C7634">
        <w:rPr>
          <w:i/>
        </w:rPr>
        <w:t>scibile</w:t>
      </w:r>
      <w:r w:rsidR="08DB01E8">
        <w:t xml:space="preserve">. Ve druhém kroku následuje voluntaristická (dnes narcistická) extenze intimní vůle do světa. </w:t>
      </w:r>
      <w:r>
        <w:t xml:space="preserve">Pud sebezáchovy </w:t>
      </w:r>
      <w:r w:rsidR="08DB01E8">
        <w:t xml:space="preserve">této vůle </w:t>
      </w:r>
      <w:r w:rsidR="088B5734">
        <w:t>je intimní zá</w:t>
      </w:r>
      <w:r>
        <w:t xml:space="preserve">ležitost organismu, proto vůle postavená na této intimitě tvoří první </w:t>
      </w:r>
      <w:r w:rsidRPr="08391AF3">
        <w:rPr>
          <w:i/>
        </w:rPr>
        <w:t>conatus</w:t>
      </w:r>
      <w:r>
        <w:t xml:space="preserve"> moderny. A k němu přidá v modu </w:t>
      </w:r>
      <w:r w:rsidRPr="084C7634">
        <w:rPr>
          <w:i/>
        </w:rPr>
        <w:t>per posterius</w:t>
      </w:r>
      <w:r>
        <w:t xml:space="preserve"> další chtěné </w:t>
      </w:r>
      <w:r w:rsidRPr="084C7634">
        <w:rPr>
          <w:i/>
        </w:rPr>
        <w:t>scibile</w:t>
      </w:r>
      <w:r>
        <w:t xml:space="preserve"> poznané v objektivním diakosmu moderny. Spojením „exsistujícího“ intelektu a vůle vzniklo </w:t>
      </w:r>
      <w:r w:rsidRPr="08CD1BFA">
        <w:rPr>
          <w:i/>
        </w:rPr>
        <w:t>Lichtung</w:t>
      </w:r>
      <w:r>
        <w:t xml:space="preserve"> performativní reality dneška, která tvoří kompletní simulákrum. Schizofrenický subjekt Oliviho završil skrze činnou demiurgickou vůli moderní paranoiu rozumu a tím vítězně nastupuje </w:t>
      </w:r>
      <w:r w:rsidRPr="086A6C71">
        <w:rPr>
          <w:i/>
        </w:rPr>
        <w:t>via Modernorum</w:t>
      </w:r>
      <w:r>
        <w:t xml:space="preserve"> k postmodernímu kapitalismu. Založením moderní subjekt-objektové vazby v modu jsoucna a kauzality třetího druhu byl dodán poslední stavební kámen nutný k vytvoření nové metafyziky. Zavedením kauzality vůle jako substance padla hyparchická predikace daná v modu </w:t>
      </w:r>
      <w:r w:rsidR="08A649EB" w:rsidRPr="08A649EB">
        <w:rPr>
          <w:i/>
        </w:rPr>
        <w:t>ex</w:t>
      </w:r>
      <w:r w:rsidR="08A649EB">
        <w:t xml:space="preserve"> </w:t>
      </w:r>
      <w:r w:rsidR="08A649EB">
        <w:rPr>
          <w:i/>
        </w:rPr>
        <w:t>in</w:t>
      </w:r>
      <w:r w:rsidRPr="00371FAE">
        <w:rPr>
          <w:i/>
        </w:rPr>
        <w:t>mediat</w:t>
      </w:r>
      <w:r w:rsidR="08A649EB">
        <w:rPr>
          <w:i/>
        </w:rPr>
        <w:t>is</w:t>
      </w:r>
      <w:r>
        <w:t xml:space="preserve"> </w:t>
      </w:r>
      <w:r>
        <w:fldChar w:fldCharType="begin"/>
      </w:r>
      <w:r>
        <w:instrText xml:space="preserve"> XE "</w:instrText>
      </w:r>
      <w:r w:rsidRPr="00040672">
        <w:instrText xml:space="preserve">princip </w:instrText>
      </w:r>
      <w:r w:rsidR="08A649EB">
        <w:rPr>
          <w:i/>
        </w:rPr>
        <w:instrText>ex in</w:instrText>
      </w:r>
      <w:r w:rsidRPr="00614373">
        <w:rPr>
          <w:i/>
        </w:rPr>
        <w:instrText>mediatis</w:instrText>
      </w:r>
      <w:r>
        <w:instrText xml:space="preserve">" </w:instrText>
      </w:r>
      <w:r>
        <w:fldChar w:fldCharType="end"/>
      </w:r>
      <w:r>
        <w:t xml:space="preserve">podle aristotelského výkladu </w:t>
      </w:r>
      <w:r w:rsidRPr="088F3D48">
        <w:rPr>
          <w:i/>
        </w:rPr>
        <w:t>Druhých analytik</w:t>
      </w:r>
      <w:r>
        <w:t xml:space="preserve">. Antropologická metafyzika </w:t>
      </w:r>
      <w:r w:rsidRPr="00D66438">
        <w:rPr>
          <w:i/>
        </w:rPr>
        <w:t>Modernorum</w:t>
      </w:r>
      <w:r>
        <w:t xml:space="preserve"> je </w:t>
      </w:r>
      <w:r>
        <w:lastRenderedPageBreak/>
        <w:t xml:space="preserve">založena na substanciální potenci vůle, která je dána sama v sobě a je interminovaná vzhledem ke každému objektivně </w:t>
      </w:r>
      <w:r w:rsidRPr="00273106">
        <w:t>možnému účinku (</w:t>
      </w:r>
      <w:r w:rsidRPr="00273106">
        <w:rPr>
          <w:i/>
        </w:rPr>
        <w:t>esse ad</w:t>
      </w:r>
      <w:r>
        <w:rPr>
          <w:i/>
        </w:rPr>
        <w:fldChar w:fldCharType="begin"/>
      </w:r>
      <w:r>
        <w:instrText xml:space="preserve"> XE "</w:instrText>
      </w:r>
      <w:r w:rsidRPr="008F3381">
        <w:rPr>
          <w:i/>
        </w:rPr>
        <w:instrText xml:space="preserve">esse </w:instrText>
      </w:r>
      <w:proofErr w:type="gramStart"/>
      <w:r w:rsidRPr="008F3381">
        <w:rPr>
          <w:i/>
        </w:rPr>
        <w:instrText>ad</w:instrText>
      </w:r>
      <w:proofErr w:type="gramEnd"/>
      <w:r w:rsidRPr="008F3381">
        <w:rPr>
          <w:i/>
        </w:rPr>
        <w:instrText>:</w:instrText>
      </w:r>
      <w:r>
        <w:instrText xml:space="preserve">Olivi" </w:instrText>
      </w:r>
      <w:r>
        <w:rPr>
          <w:i/>
        </w:rPr>
        <w:fldChar w:fldCharType="end"/>
      </w:r>
      <w:r w:rsidRPr="00273106">
        <w:t>)</w:t>
      </w:r>
      <w:r>
        <w:t xml:space="preserve">. Intimně pojatá vůle jako nové jsoucno třetího druhu vytvořila ostrůvek kauzálně dané aktuality v člověku, která </w:t>
      </w:r>
      <w:r w:rsidR="00EB1746">
        <w:t xml:space="preserve">nahradila </w:t>
      </w:r>
      <w:r>
        <w:t>první substance.</w:t>
      </w:r>
    </w:p>
    <w:p w:rsidR="08163013" w:rsidRPr="00273106" w:rsidRDefault="08163013" w:rsidP="08163013">
      <w:r>
        <w:tab/>
        <w:t xml:space="preserve">Klíčový termín nového metafyzického náhledu na svět představuje pojem </w:t>
      </w:r>
      <w:r w:rsidR="00076693">
        <w:t>„</w:t>
      </w:r>
      <w:r w:rsidRPr="00BE450D">
        <w:rPr>
          <w:i/>
        </w:rPr>
        <w:t>realis distinctio</w:t>
      </w:r>
      <w:r w:rsidR="00076693">
        <w:t>“</w:t>
      </w:r>
      <w:r>
        <w:rPr>
          <w:i/>
        </w:rPr>
        <w:fldChar w:fldCharType="begin"/>
      </w:r>
      <w:r>
        <w:instrText xml:space="preserve"> XE "vůle:</w:instrText>
      </w:r>
      <w:r w:rsidRPr="007174CB">
        <w:rPr>
          <w:i/>
        </w:rPr>
        <w:instrText>realis distinctio</w:instrText>
      </w:r>
      <w:r>
        <w:instrText xml:space="preserve">" </w:instrText>
      </w:r>
      <w:r>
        <w:rPr>
          <w:i/>
        </w:rPr>
        <w:fldChar w:fldCharType="end"/>
      </w:r>
      <w:r w:rsidR="00AC701C">
        <w:t xml:space="preserve">, který </w:t>
      </w:r>
      <w:r w:rsidR="000A7CA0">
        <w:t xml:space="preserve">odděluje </w:t>
      </w:r>
      <w:r>
        <w:t xml:space="preserve">intimní bytí substanční vůle </w:t>
      </w:r>
      <w:r w:rsidR="000A7CA0">
        <w:t xml:space="preserve">od </w:t>
      </w:r>
      <w:r>
        <w:t>externí</w:t>
      </w:r>
      <w:r w:rsidR="000A7CA0">
        <w:t>ch aktů</w:t>
      </w:r>
      <w:r>
        <w:t xml:space="preserve"> chtění. </w:t>
      </w:r>
      <w:r w:rsidRPr="00273106">
        <w:t>Intelekt</w:t>
      </w:r>
      <w:r>
        <w:t xml:space="preserve">uální schopnost osoby u Sigera </w:t>
      </w:r>
      <w:r w:rsidRPr="00273106">
        <w:t>musí být oddělen</w:t>
      </w:r>
      <w:r>
        <w:t>a</w:t>
      </w:r>
      <w:r w:rsidRPr="00273106">
        <w:t xml:space="preserve"> v </w:t>
      </w:r>
      <w:r>
        <w:t xml:space="preserve">nemateriálním </w:t>
      </w:r>
      <w:r w:rsidRPr="00273106">
        <w:t xml:space="preserve">modu </w:t>
      </w:r>
      <w:r w:rsidRPr="00273106">
        <w:rPr>
          <w:i/>
        </w:rPr>
        <w:t>inmixtus</w:t>
      </w:r>
      <w:r>
        <w:rPr>
          <w:i/>
        </w:rPr>
        <w:fldChar w:fldCharType="begin"/>
      </w:r>
      <w:r>
        <w:instrText xml:space="preserve"> XE "intelekt:</w:instrText>
      </w:r>
      <w:r w:rsidRPr="0093699D">
        <w:rPr>
          <w:i/>
        </w:rPr>
        <w:instrText>inmixtus</w:instrText>
      </w:r>
      <w:r>
        <w:instrText xml:space="preserve">" </w:instrText>
      </w:r>
      <w:r>
        <w:rPr>
          <w:i/>
        </w:rPr>
        <w:fldChar w:fldCharType="end"/>
      </w:r>
      <w:r>
        <w:t xml:space="preserve"> od materiální smyslové zkušenosti. Bez tohoto pojetí </w:t>
      </w:r>
      <w:r w:rsidRPr="083F153D">
        <w:rPr>
          <w:i/>
        </w:rPr>
        <w:t>inmixtus</w:t>
      </w:r>
      <w:r>
        <w:t xml:space="preserve"> </w:t>
      </w:r>
      <w:r w:rsidRPr="00273106">
        <w:t xml:space="preserve">nemůže být </w:t>
      </w:r>
      <w:r>
        <w:t xml:space="preserve">inteligibilní </w:t>
      </w:r>
      <w:r w:rsidRPr="00273106">
        <w:t xml:space="preserve">duše </w:t>
      </w:r>
      <w:r>
        <w:t xml:space="preserve">člověka </w:t>
      </w:r>
      <w:r w:rsidRPr="00273106">
        <w:t>univerzáln</w:t>
      </w:r>
      <w:r>
        <w:t>ě receptivní vzhledem k pravdivému poznání reality</w:t>
      </w:r>
      <w:r w:rsidRPr="00273106">
        <w:t xml:space="preserve">. Oliviho </w:t>
      </w:r>
      <w:r>
        <w:t xml:space="preserve">intimní hypostázovaná </w:t>
      </w:r>
      <w:r w:rsidRPr="00273106">
        <w:t xml:space="preserve">vůle </w:t>
      </w:r>
      <w:r>
        <w:t xml:space="preserve">je v modu </w:t>
      </w:r>
      <w:r w:rsidRPr="08B64846">
        <w:rPr>
          <w:i/>
        </w:rPr>
        <w:t>inmixtus</w:t>
      </w:r>
      <w:r>
        <w:t xml:space="preserve"> oddělena i od determinujícího moderního intelektu daného jako substance, jinak není absolutně svobodná. P</w:t>
      </w:r>
      <w:r w:rsidRPr="00273106">
        <w:t>ro oddělenou vůli</w:t>
      </w:r>
      <w:r>
        <w:t>-substanci</w:t>
      </w:r>
      <w:r w:rsidRPr="00273106">
        <w:t xml:space="preserve"> </w:t>
      </w:r>
      <w:r>
        <w:t xml:space="preserve">pak </w:t>
      </w:r>
      <w:r w:rsidRPr="00273106">
        <w:t xml:space="preserve">analogicky platí základní určení intelektu z </w:t>
      </w:r>
      <w:proofErr w:type="gramStart"/>
      <w:r w:rsidRPr="08D15728">
        <w:rPr>
          <w:i/>
        </w:rPr>
        <w:t>De</w:t>
      </w:r>
      <w:proofErr w:type="gramEnd"/>
      <w:r w:rsidRPr="08D15728">
        <w:rPr>
          <w:i/>
        </w:rPr>
        <w:t xml:space="preserve"> anima</w:t>
      </w:r>
      <w:r>
        <w:t>, protože takto daná duše je dána vzhledem ke světu v univerzální receptivní možnosti poznávat</w:t>
      </w:r>
      <w:r w:rsidRPr="00273106">
        <w:t xml:space="preserve">. </w:t>
      </w:r>
      <w:r>
        <w:t xml:space="preserve">Olivi vzal aristotelské určení duše, která má být vším v univerzální schopnosti poznávat a upravil je pro habitus vůle daný jako univerzální schopnost chtění. V takto daném habitu daném </w:t>
      </w:r>
      <w:r w:rsidRPr="00046CBE">
        <w:rPr>
          <w:i/>
        </w:rPr>
        <w:t>per prius</w:t>
      </w:r>
      <w:r>
        <w:t xml:space="preserve"> člověk aktivně vlastní svět, zatímco v prvním averroismu receptivní intelekt primárně pouze poznával</w:t>
      </w:r>
      <w:r w:rsidRPr="0879647C">
        <w:t xml:space="preserve"> </w:t>
      </w:r>
      <w:r>
        <w:t>svět. Svět je poprvé osmyslněn z hlediska metafyzického nihilismu založeného na vůli. Esence vůle a její akty vytvářejí dva oddělené celky tak či onak osmyslněného jsoucna, které jsou spojeny pomocí analogie.</w:t>
      </w:r>
      <w:r w:rsidRPr="08806472">
        <w:t xml:space="preserve"> </w:t>
      </w:r>
      <w:r>
        <w:t xml:space="preserve">Citát předkládá nové </w:t>
      </w:r>
      <w:r w:rsidRPr="00210454">
        <w:rPr>
          <w:i/>
        </w:rPr>
        <w:t>resolutio</w:t>
      </w:r>
      <w:r>
        <w:rPr>
          <w:i/>
        </w:rPr>
        <w:fldChar w:fldCharType="begin"/>
      </w:r>
      <w:r>
        <w:instrText xml:space="preserve"> XE "</w:instrText>
      </w:r>
      <w:r w:rsidRPr="00111E9E">
        <w:rPr>
          <w:i/>
        </w:rPr>
        <w:instrText>resolutio</w:instrText>
      </w:r>
      <w:r>
        <w:rPr>
          <w:i/>
        </w:rPr>
        <w:instrText>:</w:instrText>
      </w:r>
      <w:r w:rsidRPr="007D3515">
        <w:instrText>Olivi</w:instrText>
      </w:r>
      <w:r>
        <w:instrText xml:space="preserve">" </w:instrText>
      </w:r>
      <w:r>
        <w:rPr>
          <w:i/>
        </w:rPr>
        <w:fldChar w:fldCharType="end"/>
      </w:r>
      <w:r>
        <w:t xml:space="preserve"> metafyziky vůle, které ukazuje pojem </w:t>
      </w:r>
      <w:r w:rsidRPr="00210454">
        <w:rPr>
          <w:i/>
        </w:rPr>
        <w:t>aspectus</w:t>
      </w:r>
      <w:r>
        <w:t>. Tento pojem definuje přímý náhled do esenciální povahy vůle, která zůstává jednotná sama v sobě, i když navenek produkuje různé akty. Kompletní paranoické postavení vůle má Olivi pouze v přacím konkjuktivu (</w:t>
      </w:r>
      <w:r w:rsidRPr="08835FDF">
        <w:rPr>
          <w:i/>
        </w:rPr>
        <w:t>posset poni</w:t>
      </w:r>
      <w:r>
        <w:t xml:space="preserve">), ale ten se stal dnešní realitou. </w:t>
      </w:r>
    </w:p>
    <w:p w:rsidR="08163013" w:rsidRPr="088B5734" w:rsidRDefault="08163013" w:rsidP="088B5734">
      <w:pPr>
        <w:pStyle w:val="Citace"/>
      </w:pPr>
      <w:r w:rsidRPr="088B5734">
        <w:rPr>
          <w:rStyle w:val="FontStyle116"/>
          <w:rFonts w:ascii="Calibri" w:hAnsi="Calibri"/>
          <w:sz w:val="22"/>
          <w:szCs w:val="20"/>
        </w:rPr>
        <w:t>„V aktu tohoto náhledu by bylo možno podat (</w:t>
      </w:r>
      <w:r w:rsidRPr="088B5734">
        <w:rPr>
          <w:i/>
        </w:rPr>
        <w:t>in ipso actu posset poni</w:t>
      </w:r>
      <w:r w:rsidRPr="088B5734">
        <w:rPr>
          <w:rStyle w:val="FontStyle116"/>
          <w:rFonts w:ascii="Calibri" w:hAnsi="Calibri"/>
          <w:sz w:val="22"/>
          <w:szCs w:val="20"/>
        </w:rPr>
        <w:t>) reálné rozlišení (</w:t>
      </w:r>
      <w:r w:rsidRPr="088B5734">
        <w:rPr>
          <w:rStyle w:val="FontStyle116"/>
          <w:rFonts w:ascii="Calibri" w:hAnsi="Calibri"/>
          <w:i/>
          <w:sz w:val="22"/>
          <w:szCs w:val="20"/>
        </w:rPr>
        <w:t>realis distinctio</w:t>
      </w:r>
      <w:r w:rsidRPr="088B5734">
        <w:rPr>
          <w:rStyle w:val="FontStyle116"/>
          <w:rFonts w:ascii="Calibri" w:hAnsi="Calibri"/>
          <w:sz w:val="22"/>
          <w:szCs w:val="20"/>
        </w:rPr>
        <w:t>) mezi esencí vůle a mezi řádem nebo podobností, kterou vůle má vzhledem k objektům chtění. Takto je dáno reálné rozlišení mezi esencí vůle a mezi jejími vnějšími aspekty (</w:t>
      </w:r>
      <w:r w:rsidRPr="088B5734">
        <w:rPr>
          <w:i/>
        </w:rPr>
        <w:t>realis distinctio inter essentiam voluntatis et suos aspectus</w:t>
      </w:r>
      <w:r w:rsidRPr="088B5734">
        <w:rPr>
          <w:rStyle w:val="FontStyle116"/>
          <w:rFonts w:ascii="Calibri" w:hAnsi="Calibri"/>
          <w:sz w:val="22"/>
          <w:szCs w:val="20"/>
        </w:rPr>
        <w:t>). To i ono je dáno v určitém celku, který si vzájemně odpovídá (</w:t>
      </w:r>
      <w:r w:rsidRPr="088B5734">
        <w:rPr>
          <w:rStyle w:val="FontStyle116"/>
          <w:rFonts w:ascii="Calibri" w:hAnsi="Calibri"/>
          <w:i/>
          <w:sz w:val="22"/>
          <w:szCs w:val="20"/>
        </w:rPr>
        <w:t>quasi totum simile</w:t>
      </w:r>
      <w:r w:rsidRPr="088B5734">
        <w:rPr>
          <w:rStyle w:val="FontStyle116"/>
          <w:rFonts w:ascii="Calibri" w:hAnsi="Calibri"/>
          <w:sz w:val="22"/>
          <w:szCs w:val="20"/>
        </w:rPr>
        <w:t>). Podstata těchto aktů má podobnost skrze jeden společný racionální výměr a povahu danou ve všech aktivních projevech vůle (</w:t>
      </w:r>
      <w:r w:rsidRPr="088B5734">
        <w:rPr>
          <w:rStyle w:val="FontStyle116"/>
          <w:rFonts w:ascii="Calibri" w:hAnsi="Calibri"/>
          <w:i/>
          <w:sz w:val="22"/>
          <w:szCs w:val="20"/>
        </w:rPr>
        <w:t>unius rationis et naturae in omnibus actibus voluntatis</w:t>
      </w:r>
      <w:r w:rsidRPr="088B5734">
        <w:rPr>
          <w:rStyle w:val="FontStyle116"/>
          <w:rFonts w:ascii="Calibri" w:hAnsi="Calibri"/>
          <w:sz w:val="22"/>
          <w:szCs w:val="20"/>
        </w:rPr>
        <w:t>). Tato podobnost je analogicky vztažena také k ipseitě samotné vůle (</w:t>
      </w:r>
      <w:r w:rsidRPr="088B5734">
        <w:rPr>
          <w:i/>
        </w:rPr>
        <w:t xml:space="preserve">analoga </w:t>
      </w:r>
      <w:r w:rsidRPr="088B5734">
        <w:rPr>
          <w:i/>
        </w:rPr>
        <w:lastRenderedPageBreak/>
        <w:t>ipsius voluntatis</w:t>
      </w:r>
      <w:r w:rsidRPr="088B5734">
        <w:rPr>
          <w:rStyle w:val="FontStyle116"/>
          <w:rFonts w:ascii="Calibri" w:hAnsi="Calibri"/>
          <w:sz w:val="22"/>
          <w:szCs w:val="20"/>
        </w:rPr>
        <w:t xml:space="preserve">), protože jednání participuje na jí vlastní formě či povaze v modu analogie </w:t>
      </w:r>
      <w:r w:rsidRPr="088B5734">
        <w:t>(</w:t>
      </w:r>
      <w:r w:rsidRPr="088B5734">
        <w:rPr>
          <w:i/>
        </w:rPr>
        <w:t>participans formam seu naturam ipsius voluntatis per quandam analogiam</w:t>
      </w:r>
      <w:r w:rsidRPr="088B5734">
        <w:t xml:space="preserve">).“ </w:t>
      </w:r>
      <w:r w:rsidRPr="088B5734">
        <w:rPr>
          <w:rStyle w:val="Znakapoznpodarou"/>
        </w:rPr>
        <w:footnoteReference w:id="384"/>
      </w:r>
    </w:p>
    <w:p w:rsidR="0894394E" w:rsidRDefault="08163013" w:rsidP="08163013">
      <w:r w:rsidRPr="00273106">
        <w:t xml:space="preserve">Moderní </w:t>
      </w:r>
      <w:r>
        <w:t>vůle</w:t>
      </w:r>
      <w:r w:rsidRPr="00273106">
        <w:t xml:space="preserve"> zakládá </w:t>
      </w:r>
      <w:r>
        <w:t xml:space="preserve">řád </w:t>
      </w:r>
      <w:r w:rsidRPr="00273106">
        <w:t>jsoucna spojeného jedním smyslem (</w:t>
      </w:r>
      <w:r w:rsidRPr="00273106">
        <w:rPr>
          <w:i/>
        </w:rPr>
        <w:t>unius rationis et naturae</w:t>
      </w:r>
      <w:r w:rsidRPr="00273106">
        <w:t xml:space="preserve">), který je založen v </w:t>
      </w:r>
      <w:r>
        <w:t xml:space="preserve">performativním </w:t>
      </w:r>
      <w:r w:rsidRPr="00273106">
        <w:t>dění samotné vůle (</w:t>
      </w:r>
      <w:r w:rsidRPr="00273106">
        <w:rPr>
          <w:i/>
        </w:rPr>
        <w:t>in omnibus actibus voluntatis</w:t>
      </w:r>
      <w:r w:rsidRPr="00273106">
        <w:t xml:space="preserve">). </w:t>
      </w:r>
      <w:r>
        <w:t xml:space="preserve">Analogická jednota jsoucna v epoše začínajího metafyzického nihilismu vůle spojuje dvě patra. V modu </w:t>
      </w:r>
      <w:r w:rsidRPr="008B661D">
        <w:rPr>
          <w:i/>
        </w:rPr>
        <w:t>per prius</w:t>
      </w:r>
      <w:r>
        <w:t xml:space="preserve"> je dán analogický vztah (</w:t>
      </w:r>
      <w:r w:rsidRPr="00D416D2">
        <w:rPr>
          <w:i/>
        </w:rPr>
        <w:t>ratio</w:t>
      </w:r>
      <w:r>
        <w:t>) mezi ipseitně danou esencí vůle (</w:t>
      </w:r>
      <w:r w:rsidRPr="00A465BD">
        <w:rPr>
          <w:i/>
        </w:rPr>
        <w:t>potentia substantiali</w:t>
      </w:r>
      <w:r>
        <w:t>s) a mezi jejím racionálně-volním chtěním daným už aristotelsky (</w:t>
      </w:r>
      <w:r w:rsidRPr="084A3DCE">
        <w:rPr>
          <w:i/>
        </w:rPr>
        <w:t>potentia</w:t>
      </w:r>
      <w:r>
        <w:t xml:space="preserve"> </w:t>
      </w:r>
      <w:r>
        <w:rPr>
          <w:i/>
        </w:rPr>
        <w:t>accidentalis</w:t>
      </w:r>
      <w:r>
        <w:t xml:space="preserve">). Bytí </w:t>
      </w:r>
      <w:r w:rsidRPr="00273106">
        <w:t xml:space="preserve">jsoucna jako objektu vůle </w:t>
      </w:r>
      <w:r>
        <w:t>(</w:t>
      </w:r>
      <w:r w:rsidRPr="00164423">
        <w:rPr>
          <w:i/>
        </w:rPr>
        <w:t>aspectus</w:t>
      </w:r>
      <w:r>
        <w:t xml:space="preserve">) </w:t>
      </w:r>
      <w:r w:rsidRPr="00273106">
        <w:t>je vztažen</w:t>
      </w:r>
      <w:r>
        <w:t>o</w:t>
      </w:r>
      <w:r w:rsidRPr="00273106">
        <w:t xml:space="preserve"> k původnímu </w:t>
      </w:r>
      <w:r>
        <w:t xml:space="preserve">bytí </w:t>
      </w:r>
      <w:r w:rsidR="086B006E">
        <w:t xml:space="preserve">intimně </w:t>
      </w:r>
      <w:r>
        <w:t>svobodné vůle</w:t>
      </w:r>
      <w:r>
        <w:fldChar w:fldCharType="begin"/>
      </w:r>
      <w:r>
        <w:instrText xml:space="preserve"> XE "</w:instrText>
      </w:r>
      <w:r w:rsidRPr="005C2F4A">
        <w:rPr>
          <w:rStyle w:val="addmd"/>
        </w:rPr>
        <w:instrText>demiurg</w:instrText>
      </w:r>
      <w:r>
        <w:instrText xml:space="preserve">" </w:instrText>
      </w:r>
      <w:r>
        <w:fldChar w:fldCharType="end"/>
      </w:r>
      <w:r w:rsidRPr="00273106">
        <w:t xml:space="preserve">. </w:t>
      </w:r>
      <w:r>
        <w:t xml:space="preserve">Demiurgovo chtění se vrhá do světa v modu pravdy jako asimilace, kdy vůle nachází svůj předmětný aspekt. Tento nový vztah je dán mezi chtějící vůlí angažovanou v konkétním výkonu volby a mezi objektivně daným celkem takto produkovaných volních aktů ve světě </w:t>
      </w:r>
      <w:r w:rsidRPr="00273106">
        <w:t>(</w:t>
      </w:r>
      <w:r>
        <w:rPr>
          <w:i/>
        </w:rPr>
        <w:t>similitudo analoga ipsius volun</w:t>
      </w:r>
      <w:r w:rsidRPr="00273106">
        <w:rPr>
          <w:i/>
        </w:rPr>
        <w:t>tatis</w:t>
      </w:r>
      <w:r w:rsidRPr="00273106">
        <w:t>)</w:t>
      </w:r>
      <w:r>
        <w:t>. Singulární chtění a celek těchto chtění mají společný původ v substanční potenci svobodné vůle. Ta je intimně oddělená v modu vlastní aktuální ipseity od volitivních aktů daných ve světě. F</w:t>
      </w:r>
      <w:r w:rsidRPr="00273106">
        <w:t xml:space="preserve">undamentální </w:t>
      </w:r>
      <w:r w:rsidRPr="00273106">
        <w:rPr>
          <w:i/>
        </w:rPr>
        <w:t>ratio</w:t>
      </w:r>
      <w:r w:rsidRPr="00273106">
        <w:t xml:space="preserve"> mezi aktualitou svobodné vůle </w:t>
      </w:r>
      <w:r>
        <w:t xml:space="preserve">a jí určeným objektem </w:t>
      </w:r>
      <w:r w:rsidRPr="00273106">
        <w:t xml:space="preserve">se </w:t>
      </w:r>
      <w:r>
        <w:t xml:space="preserve">analogicky </w:t>
      </w:r>
      <w:r w:rsidRPr="00273106">
        <w:t>přenáší na zbytek jsoucna determinovaný chtěním takto dané suverénní vůle</w:t>
      </w:r>
      <w:r>
        <w:t xml:space="preserve"> (</w:t>
      </w:r>
      <w:r w:rsidRPr="001B6E79">
        <w:rPr>
          <w:i/>
        </w:rPr>
        <w:t>participans formam seu naturam ipsius voluntatis</w:t>
      </w:r>
      <w:r>
        <w:t>)</w:t>
      </w:r>
      <w:r w:rsidRPr="00273106">
        <w:t xml:space="preserve">. Trojčlenka objektivní analogie jsoucna je nyní </w:t>
      </w:r>
      <w:r>
        <w:t>kompletní</w:t>
      </w:r>
      <w:r w:rsidRPr="00273106">
        <w:t xml:space="preserve">. Vůle </w:t>
      </w:r>
      <w:r>
        <w:t xml:space="preserve">a její předmět má společné ratio dané z interní a intimní </w:t>
      </w:r>
      <w:r w:rsidRPr="00273106">
        <w:t>svobody</w:t>
      </w:r>
      <w:r>
        <w:t>, kterou si vůle drží substanciálně (</w:t>
      </w:r>
      <w:r w:rsidRPr="00273106">
        <w:rPr>
          <w:i/>
        </w:rPr>
        <w:t>habitus</w:t>
      </w:r>
      <w:r>
        <w:rPr>
          <w:i/>
        </w:rPr>
        <w:fldChar w:fldCharType="begin"/>
      </w:r>
      <w:r>
        <w:instrText xml:space="preserve"> XE "</w:instrText>
      </w:r>
      <w:r w:rsidRPr="00BA130B">
        <w:instrText>habitus</w:instrText>
      </w:r>
      <w:r>
        <w:instrText xml:space="preserve">" </w:instrText>
      </w:r>
      <w:r>
        <w:rPr>
          <w:i/>
        </w:rPr>
        <w:fldChar w:fldCharType="end"/>
      </w:r>
      <w:r>
        <w:t xml:space="preserve">). </w:t>
      </w:r>
      <w:r w:rsidR="082A06A2">
        <w:t xml:space="preserve">Co je vůle intimně sama v sobě, to také analogicky nachází ve světě jako </w:t>
      </w:r>
      <w:r w:rsidR="082A06A2" w:rsidRPr="082A06A2">
        <w:rPr>
          <w:i/>
        </w:rPr>
        <w:t>aspectus</w:t>
      </w:r>
      <w:r w:rsidR="087629F8">
        <w:t xml:space="preserve"> této vůle. </w:t>
      </w:r>
      <w:r w:rsidR="08C4609F">
        <w:t xml:space="preserve">Z </w:t>
      </w:r>
      <w:r w:rsidR="08C4609F" w:rsidRPr="00273106">
        <w:t xml:space="preserve">hlediska intimní </w:t>
      </w:r>
      <w:r w:rsidR="08C4609F">
        <w:t xml:space="preserve">a aktuální </w:t>
      </w:r>
      <w:r w:rsidR="08C4609F" w:rsidRPr="00273106">
        <w:t xml:space="preserve">svobody </w:t>
      </w:r>
      <w:r w:rsidR="08C4609F">
        <w:t>pak platí, že vůle je primárně usazená v hypostázovaném habitu daném jako absolutní a iracionální svoboda. Z tohoto nového místa vědění určeného objektivní vůlí (</w:t>
      </w:r>
      <w:r w:rsidR="08C4609F" w:rsidRPr="08C4609F">
        <w:rPr>
          <w:i/>
        </w:rPr>
        <w:t>ortus scientiarum</w:t>
      </w:r>
      <w:r w:rsidR="08C4609F">
        <w:rPr>
          <w:i/>
        </w:rPr>
        <w:fldChar w:fldCharType="begin"/>
      </w:r>
      <w:r w:rsidR="08C4609F">
        <w:instrText xml:space="preserve"> XE "</w:instrText>
      </w:r>
      <w:r w:rsidR="08C4609F" w:rsidRPr="081042C4">
        <w:rPr>
          <w:i/>
        </w:rPr>
        <w:instrText>ortus scientiarum</w:instrText>
      </w:r>
      <w:r w:rsidR="08C4609F">
        <w:instrText xml:space="preserve">" </w:instrText>
      </w:r>
      <w:r w:rsidR="08C4609F">
        <w:rPr>
          <w:i/>
        </w:rPr>
        <w:fldChar w:fldCharType="end"/>
      </w:r>
      <w:r w:rsidR="08C4609F">
        <w:t xml:space="preserve">) pak vůle k moci determinuje smysl každého jsoucna. Smysl jsoucna je daný v dráze náhledu </w:t>
      </w:r>
      <w:r w:rsidR="08C4609F" w:rsidRPr="00273106">
        <w:t>(</w:t>
      </w:r>
      <w:r w:rsidR="08C4609F" w:rsidRPr="00273106">
        <w:rPr>
          <w:i/>
        </w:rPr>
        <w:t>aspectus</w:t>
      </w:r>
      <w:r w:rsidR="08C4609F">
        <w:rPr>
          <w:i/>
        </w:rPr>
        <w:fldChar w:fldCharType="begin"/>
      </w:r>
      <w:r w:rsidR="08C4609F">
        <w:instrText xml:space="preserve"> XE "vůle:</w:instrText>
      </w:r>
      <w:r w:rsidR="08C4609F" w:rsidRPr="007D0E80">
        <w:rPr>
          <w:i/>
        </w:rPr>
        <w:instrText>aspectus</w:instrText>
      </w:r>
      <w:r w:rsidR="08C4609F">
        <w:instrText xml:space="preserve">" </w:instrText>
      </w:r>
      <w:r w:rsidR="08C4609F">
        <w:rPr>
          <w:i/>
        </w:rPr>
        <w:fldChar w:fldCharType="end"/>
      </w:r>
      <w:r w:rsidR="08C4609F" w:rsidRPr="00273106">
        <w:t>)</w:t>
      </w:r>
      <w:r w:rsidR="08C4609F">
        <w:t xml:space="preserve"> vůle. Vůle směřuje při aktu konkrétního chtění do analogicky pochopeného světa, který tvoří doplněk moderní vůle. </w:t>
      </w:r>
      <w:r>
        <w:t>Díky této epochálně nové dráze náhledu na celek jsoucna (</w:t>
      </w:r>
      <w:r w:rsidRPr="089651C9">
        <w:rPr>
          <w:i/>
        </w:rPr>
        <w:t>Vor-blickbahn</w:t>
      </w:r>
      <w:r>
        <w:rPr>
          <w:i/>
        </w:rPr>
        <w:fldChar w:fldCharType="begin"/>
      </w:r>
      <w:r>
        <w:instrText xml:space="preserve"> XE "</w:instrText>
      </w:r>
      <w:r w:rsidRPr="08D6575B">
        <w:rPr>
          <w:i/>
        </w:rPr>
        <w:instrText>Vor-blickbahn</w:instrText>
      </w:r>
      <w:r>
        <w:instrText xml:space="preserve">" </w:instrText>
      </w:r>
      <w:r>
        <w:rPr>
          <w:i/>
        </w:rPr>
        <w:fldChar w:fldCharType="end"/>
      </w:r>
      <w:r>
        <w:t xml:space="preserve">) se svět mění na objekty </w:t>
      </w:r>
      <w:r>
        <w:lastRenderedPageBreak/>
        <w:t xml:space="preserve">suverénní vůle. </w:t>
      </w:r>
      <w:r w:rsidR="08C4609F">
        <w:t xml:space="preserve">Objektivní </w:t>
      </w:r>
      <w:r w:rsidRPr="00273106">
        <w:t>celek světa získává smysl a</w:t>
      </w:r>
      <w:r>
        <w:t>nalogickým přiřazením (</w:t>
      </w:r>
      <w:r w:rsidRPr="001B6E79">
        <w:rPr>
          <w:i/>
        </w:rPr>
        <w:t>per quandam analogiam</w:t>
      </w:r>
      <w:r>
        <w:t>) k intimní vůli</w:t>
      </w:r>
      <w:r w:rsidRPr="00273106">
        <w:t>. Smyslotvorná vůle se klade sama ze sebe a v sobě (</w:t>
      </w:r>
      <w:r w:rsidRPr="00273106">
        <w:rPr>
          <w:i/>
        </w:rPr>
        <w:t>in ipso actu posset poni realis distinctio</w:t>
      </w:r>
      <w:r w:rsidRPr="00273106">
        <w:t>) jako oddělená od celku jsoucna (</w:t>
      </w:r>
      <w:r>
        <w:rPr>
          <w:i/>
        </w:rPr>
        <w:t>inter suam es</w:t>
      </w:r>
      <w:r w:rsidRPr="00273106">
        <w:rPr>
          <w:i/>
        </w:rPr>
        <w:t>sentiam et inter huiusmodi ordinem</w:t>
      </w:r>
      <w:r w:rsidRPr="00273106">
        <w:t xml:space="preserve">). </w:t>
      </w:r>
      <w:r>
        <w:t>S</w:t>
      </w:r>
      <w:r w:rsidRPr="00273106">
        <w:t>ubjekt modern</w:t>
      </w:r>
      <w:r>
        <w:t xml:space="preserve">í vůle je oddělen skrze termín </w:t>
      </w:r>
      <w:r w:rsidRPr="00273106">
        <w:rPr>
          <w:i/>
        </w:rPr>
        <w:t>realis distinctio</w:t>
      </w:r>
      <w:r>
        <w:t xml:space="preserve"> od zbytku světa, který na vůli </w:t>
      </w:r>
      <w:r w:rsidRPr="00273106">
        <w:t xml:space="preserve">nemůže působit přímo, protože je </w:t>
      </w:r>
      <w:r>
        <w:t xml:space="preserve">imanentně svobodná a není determinována rozumovým poznáním. </w:t>
      </w:r>
      <w:r w:rsidRPr="00273106">
        <w:t>Tato distinkce dává epochálně nový statut jsoucna daný směrem od určující vůle subjektu. Svobodná instance rozvažující a jednající vůle je subjektivní tím, že je sama ze sebe zaměřená k objektu, od něhož je radikálně oddělena (</w:t>
      </w:r>
      <w:r w:rsidRPr="00273106">
        <w:rPr>
          <w:i/>
        </w:rPr>
        <w:t>realis distinctio</w:t>
      </w:r>
      <w:r>
        <w:rPr>
          <w:i/>
        </w:rPr>
        <w:fldChar w:fldCharType="begin"/>
      </w:r>
      <w:r>
        <w:instrText xml:space="preserve"> XE "vůle:</w:instrText>
      </w:r>
      <w:r w:rsidRPr="00753BBC">
        <w:rPr>
          <w:i/>
        </w:rPr>
        <w:instrText>realis distinctio</w:instrText>
      </w:r>
      <w:r>
        <w:instrText xml:space="preserve">" </w:instrText>
      </w:r>
      <w:r>
        <w:rPr>
          <w:i/>
        </w:rPr>
        <w:fldChar w:fldCharType="end"/>
      </w:r>
      <w:r w:rsidRPr="00273106">
        <w:t xml:space="preserve">). Svět se stal objektem svobodného chtění daného jako nová kauzalita oddělená od zbytku světa. </w:t>
      </w:r>
      <w:r>
        <w:t>Intimní svobodná vůle</w:t>
      </w:r>
      <w:r w:rsidRPr="00273106">
        <w:t xml:space="preserve"> </w:t>
      </w:r>
      <w:r>
        <w:t xml:space="preserve">odděluje </w:t>
      </w:r>
      <w:r w:rsidR="0874310B">
        <w:t xml:space="preserve">moderní </w:t>
      </w:r>
      <w:r>
        <w:t xml:space="preserve">subjekt </w:t>
      </w:r>
      <w:r w:rsidRPr="00273106">
        <w:t xml:space="preserve">od zbytku světa </w:t>
      </w:r>
      <w:r>
        <w:t xml:space="preserve">a tento oddělený subjekt </w:t>
      </w:r>
      <w:r w:rsidRPr="00273106">
        <w:t xml:space="preserve">vybavuje </w:t>
      </w:r>
      <w:r>
        <w:t>skrze chtění orientované do světa celek jsoucna</w:t>
      </w:r>
      <w:r w:rsidRPr="00273106">
        <w:t xml:space="preserve"> objektivním smyslem</w:t>
      </w:r>
      <w:r>
        <w:t xml:space="preserve">. Analogie je dána mezi substanční vůlí angažovanou v konkrétním výkonu chtění a mezi racionalitou objektivně daného celku těchto aktů ve světě </w:t>
      </w:r>
      <w:r w:rsidRPr="00273106">
        <w:t>(</w:t>
      </w:r>
      <w:r>
        <w:rPr>
          <w:i/>
        </w:rPr>
        <w:t>similitudo analoga ipsius volun</w:t>
      </w:r>
      <w:r w:rsidRPr="00273106">
        <w:rPr>
          <w:i/>
        </w:rPr>
        <w:t>tatis</w:t>
      </w:r>
      <w:r w:rsidRPr="00273106">
        <w:t>)</w:t>
      </w:r>
      <w:r>
        <w:t xml:space="preserve">. Tím vznikl nový systém univerzální analogie v modu </w:t>
      </w:r>
      <w:r w:rsidRPr="080A449C">
        <w:rPr>
          <w:i/>
        </w:rPr>
        <w:t>analogia voluntatis</w:t>
      </w:r>
      <w:r w:rsidR="0874310B">
        <w:rPr>
          <w:i/>
        </w:rPr>
        <w:fldChar w:fldCharType="begin"/>
      </w:r>
      <w:r w:rsidR="0874310B">
        <w:instrText xml:space="preserve"> XE "</w:instrText>
      </w:r>
      <w:r w:rsidR="0874310B" w:rsidRPr="081834AD">
        <w:rPr>
          <w:i/>
        </w:rPr>
        <w:instrText>analogia voluntatis</w:instrText>
      </w:r>
      <w:r w:rsidR="0874310B">
        <w:instrText xml:space="preserve">" </w:instrText>
      </w:r>
      <w:r w:rsidR="0874310B">
        <w:rPr>
          <w:i/>
        </w:rPr>
        <w:fldChar w:fldCharType="end"/>
      </w:r>
      <w:r w:rsidRPr="00273106">
        <w:t xml:space="preserve">. </w:t>
      </w:r>
      <w:r w:rsidR="0874310B">
        <w:t xml:space="preserve">Tomistický semi-averroismus Aegidia Romana změnil po vyhnání Oliviho z Paříže tuto analogii chtění na objektivní analogii poznání podle primátu Tomášova „aristotelského“ intelektu </w:t>
      </w:r>
      <w:r w:rsidR="0874310B" w:rsidRPr="003F26F8">
        <w:rPr>
          <w:szCs w:val="24"/>
        </w:rPr>
        <w:t>(</w:t>
      </w:r>
      <w:r w:rsidR="0874310B" w:rsidRPr="003F26F8">
        <w:rPr>
          <w:i/>
          <w:szCs w:val="24"/>
        </w:rPr>
        <w:t>analogia entis</w:t>
      </w:r>
      <w:r w:rsidR="0874310B">
        <w:rPr>
          <w:i/>
          <w:szCs w:val="24"/>
          <w:lang w:val="de-DE"/>
        </w:rPr>
        <w:fldChar w:fldCharType="begin"/>
      </w:r>
      <w:r w:rsidR="0874310B">
        <w:instrText xml:space="preserve"> XE "</w:instrText>
      </w:r>
      <w:r w:rsidR="0874310B" w:rsidRPr="003F26F8">
        <w:rPr>
          <w:i/>
          <w:szCs w:val="24"/>
        </w:rPr>
        <w:instrText>analogia entis</w:instrText>
      </w:r>
      <w:r w:rsidR="0874310B">
        <w:instrText xml:space="preserve">" </w:instrText>
      </w:r>
      <w:r w:rsidR="0874310B">
        <w:rPr>
          <w:i/>
          <w:szCs w:val="24"/>
          <w:lang w:val="de-DE"/>
        </w:rPr>
        <w:fldChar w:fldCharType="end"/>
      </w:r>
      <w:r w:rsidR="0874310B" w:rsidRPr="003F26F8">
        <w:rPr>
          <w:szCs w:val="24"/>
        </w:rPr>
        <w:t xml:space="preserve">). </w:t>
      </w:r>
      <w:r>
        <w:t>Smysl jsoucna tvoří v modu analogie odpovídající poměr (</w:t>
      </w:r>
      <w:r w:rsidRPr="08852702">
        <w:rPr>
          <w:i/>
        </w:rPr>
        <w:t>ratio</w:t>
      </w:r>
      <w:r>
        <w:t xml:space="preserve">) k primárnímu bytí vůle dané v substančním a intimním modu </w:t>
      </w:r>
      <w:r w:rsidRPr="081773EE">
        <w:rPr>
          <w:i/>
        </w:rPr>
        <w:t>per se</w:t>
      </w:r>
      <w:r>
        <w:t xml:space="preserve">. Moderní subjekt přestal být inteligentní osobou v modu klasické </w:t>
      </w:r>
      <w:r w:rsidRPr="08852702">
        <w:rPr>
          <w:i/>
        </w:rPr>
        <w:t>anima intellectiva</w:t>
      </w:r>
      <w:r>
        <w:t xml:space="preserve"> a stal se racionálním subjektem vybaveným instrumentálním a volním </w:t>
      </w:r>
      <w:r w:rsidRPr="08852702">
        <w:rPr>
          <w:i/>
        </w:rPr>
        <w:t>ratio</w:t>
      </w:r>
      <w:r>
        <w:t xml:space="preserve"> daném svobodnou vůlí. Moderní intelekt jako substance třetího druhu nasvěcuje smysl jsoucna zezadu a stejně pojatá vůle toto objektivně dané jsoucno vybavuje intimně danou kauzalitou, která narcisticky pochází výlučně z ní samé. Pak není divu, že takto daná svovodná vůle </w:t>
      </w:r>
      <w:r w:rsidRPr="009E7296">
        <w:rPr>
          <w:i/>
        </w:rPr>
        <w:t>Modernorum</w:t>
      </w:r>
      <w:r>
        <w:t xml:space="preserve"> je schopna nekriticky a iracionálně asimilovat všechna porretánská </w:t>
      </w:r>
      <w:r w:rsidR="00962190">
        <w:rPr>
          <w:i/>
        </w:rPr>
        <w:t>species</w:t>
      </w:r>
      <w:r>
        <w:t xml:space="preserve"> a </w:t>
      </w:r>
      <w:r w:rsidRPr="08E07D8A">
        <w:rPr>
          <w:i/>
        </w:rPr>
        <w:t>scibil</w:t>
      </w:r>
      <w:r w:rsidR="00745670">
        <w:rPr>
          <w:i/>
        </w:rPr>
        <w:t>ia</w:t>
      </w:r>
      <w:r>
        <w:t>, která leží v jejím dosahu</w:t>
      </w:r>
      <w:r>
        <w:fldChar w:fldCharType="begin"/>
      </w:r>
      <w:r>
        <w:instrText xml:space="preserve"> XE "</w:instrText>
      </w:r>
      <w:r w:rsidRPr="006E6F4B">
        <w:instrText>vůle:</w:instrText>
      </w:r>
      <w:r>
        <w:instrText xml:space="preserve">demiurgická" </w:instrText>
      </w:r>
      <w:r>
        <w:fldChar w:fldCharType="end"/>
      </w:r>
      <w:r>
        <w:t xml:space="preserve">. A hlavně se musí moderní vůle </w:t>
      </w:r>
      <w:r w:rsidR="00155909">
        <w:t xml:space="preserve">stále znovu </w:t>
      </w:r>
      <w:r>
        <w:t xml:space="preserve">spojovat sama se sebou, protože v tomto aktu sebereflexe je dán intimní </w:t>
      </w:r>
      <w:r w:rsidRPr="089D3F69">
        <w:rPr>
          <w:i/>
        </w:rPr>
        <w:t>conatus</w:t>
      </w:r>
      <w:r>
        <w:rPr>
          <w:i/>
        </w:rPr>
        <w:fldChar w:fldCharType="begin"/>
      </w:r>
      <w:r>
        <w:instrText xml:space="preserve"> XE "</w:instrText>
      </w:r>
      <w:r w:rsidRPr="089D6ACF">
        <w:rPr>
          <w:i/>
        </w:rPr>
        <w:instrText>conatus</w:instrText>
      </w:r>
      <w:r>
        <w:instrText xml:space="preserve">" </w:instrText>
      </w:r>
      <w:r>
        <w:rPr>
          <w:i/>
        </w:rPr>
        <w:fldChar w:fldCharType="end"/>
      </w:r>
      <w:r>
        <w:t xml:space="preserve"> vlastní sebezáchovy. Vůle a intelekt jsou </w:t>
      </w:r>
      <w:r w:rsidRPr="00273106">
        <w:t xml:space="preserve">determinovány </w:t>
      </w:r>
      <w:r w:rsidRPr="00273106">
        <w:rPr>
          <w:i/>
        </w:rPr>
        <w:t xml:space="preserve">per prius </w:t>
      </w:r>
      <w:r w:rsidRPr="00273106">
        <w:t xml:space="preserve">ze sebe, a teprve </w:t>
      </w:r>
      <w:r w:rsidRPr="00273106">
        <w:rPr>
          <w:i/>
        </w:rPr>
        <w:t>per posterius</w:t>
      </w:r>
      <w:r w:rsidRPr="00273106">
        <w:t xml:space="preserve"> vzhledem k první</w:t>
      </w:r>
      <w:r w:rsidR="009D476C">
        <w:t>m substancím</w:t>
      </w:r>
      <w:r w:rsidRPr="00273106">
        <w:t>. Vůle je dána jako substance</w:t>
      </w:r>
      <w:r>
        <w:fldChar w:fldCharType="begin"/>
      </w:r>
      <w:r>
        <w:instrText xml:space="preserve"> XE "</w:instrText>
      </w:r>
      <w:r w:rsidRPr="00DE2A32">
        <w:instrText>substance</w:instrText>
      </w:r>
      <w:r>
        <w:instrText xml:space="preserve">:vůle" </w:instrText>
      </w:r>
      <w:r>
        <w:fldChar w:fldCharType="end"/>
      </w:r>
      <w:r w:rsidRPr="00273106">
        <w:t xml:space="preserve"> tím, že si podržuje aktualitu v aktu svobodného sebeurčování daného</w:t>
      </w:r>
      <w:r w:rsidR="00713EAE">
        <w:t xml:space="preserve"> jako svrchovaná kauza jednání.</w:t>
      </w:r>
    </w:p>
    <w:p w:rsidR="00205D4D" w:rsidRDefault="08163013" w:rsidP="08523C0C">
      <w:pPr>
        <w:ind w:firstLine="397"/>
      </w:pPr>
      <w:r>
        <w:lastRenderedPageBreak/>
        <w:t>Olivi vytvořil nový modus instrumentálního demiurgického chtění a poznání, který měl první averroismus pouze pro pasivní složku intelektu. Nyní platí, že moderní vůle je nějak vším</w:t>
      </w:r>
      <w:r>
        <w:rPr>
          <w:rStyle w:val="st"/>
          <w:bCs/>
        </w:rPr>
        <w:t xml:space="preserve"> a nikoliv receptivní intelektuální poznání duše</w:t>
      </w:r>
      <w:r>
        <w:t>.</w:t>
      </w:r>
      <w:r>
        <w:rPr>
          <w:szCs w:val="18"/>
        </w:rPr>
        <w:t xml:space="preserve"> </w:t>
      </w:r>
      <w:r>
        <w:t>O</w:t>
      </w:r>
      <w:r w:rsidRPr="00273106">
        <w:t xml:space="preserve">bjektivní smysl jsoucna </w:t>
      </w:r>
      <w:r>
        <w:t xml:space="preserve">je determinován </w:t>
      </w:r>
      <w:r w:rsidRPr="00273106">
        <w:t xml:space="preserve">směrem od aktivní a subsistentní </w:t>
      </w:r>
      <w:r>
        <w:t xml:space="preserve">intimní </w:t>
      </w:r>
      <w:r w:rsidRPr="00273106">
        <w:t>vůle</w:t>
      </w:r>
      <w:r>
        <w:t xml:space="preserve">, která expanduje do světa v modu </w:t>
      </w:r>
      <w:r w:rsidR="00CE0F16">
        <w:t>„</w:t>
      </w:r>
      <w:r w:rsidRPr="088A47B6">
        <w:rPr>
          <w:i/>
        </w:rPr>
        <w:t>exsistere</w:t>
      </w:r>
      <w:r w:rsidR="00CE0F16">
        <w:t>“</w:t>
      </w:r>
      <w:r>
        <w:t xml:space="preserve"> daného skrze moderní kapitalistický subjekt. Demiurg „exsistuje“ ve světě viděném v modu </w:t>
      </w:r>
      <w:r w:rsidR="00CE0F16">
        <w:t>„</w:t>
      </w:r>
      <w:r w:rsidRPr="086A106B">
        <w:rPr>
          <w:i/>
        </w:rPr>
        <w:t>discrete</w:t>
      </w:r>
      <w:r>
        <w:t xml:space="preserve"> </w:t>
      </w:r>
      <w:r w:rsidRPr="085602FD">
        <w:rPr>
          <w:i/>
        </w:rPr>
        <w:t>videamus</w:t>
      </w:r>
      <w:r w:rsidR="00CE0F16">
        <w:t>“</w:t>
      </w:r>
      <w:r>
        <w:t xml:space="preserve">, kde si přivlastňuje asimilačně-pravdivě všechna jsoucna nazíraná přímo, jistě a správně v modu </w:t>
      </w:r>
      <w:r w:rsidRPr="088A47B6">
        <w:rPr>
          <w:i/>
        </w:rPr>
        <w:t>scibile</w:t>
      </w:r>
      <w:r>
        <w:t xml:space="preserve">. Pak si tento poklad vědění daný jako „věci samé“ ukládá do globální </w:t>
      </w:r>
      <w:r w:rsidRPr="088A47B6">
        <w:rPr>
          <w:i/>
        </w:rPr>
        <w:t>memoria</w:t>
      </w:r>
      <w:r w:rsidR="08BB07D2">
        <w:t xml:space="preserve"> databank. </w:t>
      </w:r>
      <w:r>
        <w:t xml:space="preserve">Z tohoto zásadního důvodu je mystik Olivi prorokem kapitalistické </w:t>
      </w:r>
      <w:r w:rsidR="00487D73">
        <w:t>post</w:t>
      </w:r>
      <w:r>
        <w:t xml:space="preserve">moderny </w:t>
      </w:r>
      <w:r w:rsidR="08523C0C">
        <w:t>a digitální</w:t>
      </w:r>
      <w:r w:rsidR="00487D73">
        <w:t>ho nihilismu</w:t>
      </w:r>
      <w:r w:rsidR="08E24150">
        <w:t xml:space="preserve"> </w:t>
      </w:r>
      <w:r>
        <w:t xml:space="preserve">a jako slepý Homér hlásá </w:t>
      </w:r>
      <w:r w:rsidR="08E24150">
        <w:t xml:space="preserve">jejich </w:t>
      </w:r>
      <w:r>
        <w:t>budoucí nihilistickou slávu. Po zatmění první substance</w:t>
      </w:r>
      <w:r>
        <w:fldChar w:fldCharType="begin"/>
      </w:r>
      <w:r>
        <w:instrText xml:space="preserve"> XE "</w:instrText>
      </w:r>
      <w:r w:rsidRPr="00C27681">
        <w:instrText>zatmění</w:instrText>
      </w:r>
      <w:r>
        <w:instrText>:s</w:instrText>
      </w:r>
      <w:r w:rsidRPr="00C27681">
        <w:instrText>ubstance</w:instrText>
      </w:r>
      <w:r>
        <w:instrText xml:space="preserve">" </w:instrText>
      </w:r>
      <w:r>
        <w:fldChar w:fldCharType="end"/>
      </w:r>
      <w:r>
        <w:t xml:space="preserve"> došlo k zatemnění racionální struktury lidského jednání daného spojením </w:t>
      </w:r>
      <w:r w:rsidRPr="08311550">
        <w:rPr>
          <w:i/>
        </w:rPr>
        <w:t>Druhých analytik</w:t>
      </w:r>
      <w:r>
        <w:t xml:space="preserve"> a </w:t>
      </w:r>
      <w:r w:rsidRPr="08311550">
        <w:rPr>
          <w:i/>
        </w:rPr>
        <w:t>Etiky Nikomachovy</w:t>
      </w:r>
      <w:r>
        <w:t xml:space="preserve">. Hypostázovaná vůle postavená mimo Aristotelův teoretický intelekt poslala moderního člověka na cestu další metafyzické </w:t>
      </w:r>
      <w:r w:rsidRPr="00FA4025">
        <w:rPr>
          <w:i/>
        </w:rPr>
        <w:t>Irr</w:t>
      </w:r>
      <w:r>
        <w:rPr>
          <w:i/>
        </w:rPr>
        <w:t>e</w:t>
      </w:r>
      <w:r>
        <w:rPr>
          <w:i/>
        </w:rPr>
        <w:fldChar w:fldCharType="begin"/>
      </w:r>
      <w:r>
        <w:instrText xml:space="preserve"> XE "</w:instrText>
      </w:r>
      <w:r w:rsidRPr="081A2FD8">
        <w:rPr>
          <w:i/>
        </w:rPr>
        <w:instrText>Irre</w:instrText>
      </w:r>
      <w:r>
        <w:instrText xml:space="preserve">" </w:instrText>
      </w:r>
      <w:r>
        <w:rPr>
          <w:i/>
        </w:rPr>
        <w:fldChar w:fldCharType="end"/>
      </w:r>
      <w:r>
        <w:t>, po níž kráčí intimně svobodný subjekt moderny.</w:t>
      </w:r>
      <w:r w:rsidR="08E9746A">
        <w:t xml:space="preserve"> </w:t>
      </w:r>
      <w:r>
        <w:t xml:space="preserve">Olivi založil panství </w:t>
      </w:r>
      <w:r w:rsidR="08523C0C">
        <w:t xml:space="preserve">svobodné vůle, která šla cestou mystiky </w:t>
      </w:r>
      <w:r w:rsidR="08523C0C" w:rsidRPr="08523C0C">
        <w:rPr>
          <w:i/>
        </w:rPr>
        <w:t>Modernorum</w:t>
      </w:r>
      <w:r w:rsidR="08523C0C">
        <w:t xml:space="preserve">. Po smrti moderního boha se tato cesta změnila na panství </w:t>
      </w:r>
      <w:r>
        <w:t>slepého instrumentálního rozumu, který poslouchá jen pud sebezáchovy</w:t>
      </w:r>
      <w:r w:rsidR="08523C0C">
        <w:t xml:space="preserve">. </w:t>
      </w:r>
      <w:r w:rsidR="08503628">
        <w:t>Toto epochál</w:t>
      </w:r>
      <w:r w:rsidR="08523C0C">
        <w:t xml:space="preserve">ní </w:t>
      </w:r>
      <w:r w:rsidR="08523C0C" w:rsidRPr="08503628">
        <w:rPr>
          <w:i/>
        </w:rPr>
        <w:t>factum</w:t>
      </w:r>
      <w:r w:rsidR="08523C0C">
        <w:t xml:space="preserve"> </w:t>
      </w:r>
      <w:r>
        <w:t xml:space="preserve">dnes </w:t>
      </w:r>
      <w:r w:rsidR="08523C0C">
        <w:t xml:space="preserve">představuje </w:t>
      </w:r>
      <w:r>
        <w:t>vládnoucí racionalit</w:t>
      </w:r>
      <w:r w:rsidR="08523C0C">
        <w:t>u</w:t>
      </w:r>
      <w:r w:rsidR="08E9746A">
        <w:t>. Z</w:t>
      </w:r>
      <w:r>
        <w:t>ápad</w:t>
      </w:r>
      <w:r w:rsidR="08E9746A">
        <w:t xml:space="preserve"> tento svůj </w:t>
      </w:r>
      <w:r w:rsidR="08523C0C">
        <w:t xml:space="preserve">nihilistický </w:t>
      </w:r>
      <w:r w:rsidR="08523C0C" w:rsidRPr="08523C0C">
        <w:rPr>
          <w:i/>
        </w:rPr>
        <w:t>aspectus</w:t>
      </w:r>
      <w:r w:rsidR="08523C0C">
        <w:t xml:space="preserve"> prosazuje imperiálně a </w:t>
      </w:r>
      <w:r>
        <w:t>globálně</w:t>
      </w:r>
      <w:r w:rsidR="08E9746A">
        <w:t xml:space="preserve"> jako svou vůli k moci. </w:t>
      </w:r>
      <w:r>
        <w:t>Praktické snažení osoby není determinováno od celku jsoucna nahlíženého pravdivou impozicí od první substance. Modernu ovládá frenetická demiurgická aktivita individuálního a konkrétního nositele atomární hypostázované vůle (</w:t>
      </w:r>
      <w:r w:rsidRPr="08E84030">
        <w:rPr>
          <w:i/>
        </w:rPr>
        <w:t>conatus</w:t>
      </w:r>
      <w:r>
        <w:t xml:space="preserve">). Tato intimní vůle daná jako poslední </w:t>
      </w:r>
      <w:r w:rsidRPr="08FC2896">
        <w:rPr>
          <w:i/>
        </w:rPr>
        <w:t>principium individuationis</w:t>
      </w:r>
      <w:r>
        <w:rPr>
          <w:i/>
        </w:rPr>
        <w:fldChar w:fldCharType="begin"/>
      </w:r>
      <w:r>
        <w:instrText xml:space="preserve"> XE "</w:instrText>
      </w:r>
      <w:r w:rsidRPr="08703309">
        <w:rPr>
          <w:i/>
        </w:rPr>
        <w:instrText>principium individuationis</w:instrText>
      </w:r>
      <w:r>
        <w:instrText xml:space="preserve">" </w:instrText>
      </w:r>
      <w:r>
        <w:rPr>
          <w:i/>
        </w:rPr>
        <w:fldChar w:fldCharType="end"/>
      </w:r>
      <w:r>
        <w:t xml:space="preserve"> moderního subjektu navíc nepoznává reálný svět, ale pouze vlastní </w:t>
      </w:r>
      <w:r w:rsidRPr="08B009B6">
        <w:rPr>
          <w:i/>
        </w:rPr>
        <w:t>scibile</w:t>
      </w:r>
      <w:r>
        <w:t xml:space="preserve"> dané v rámci moderní supozice. Nasvícení zezadu se přesunulo z intelektu na demiurgickou vůli, a tím došlo k dalšímu zatmění první substance. Moderní nositel chaotických substancí a hypotází přestal být osobou a tento subjekt nově poznává a nově asimiluje takto poznaný svět. Oliviho subjekt stvořil sám sebe pomocí dvojího záporu v modu </w:t>
      </w:r>
      <w:r w:rsidRPr="08BE1EB0">
        <w:rPr>
          <w:i/>
        </w:rPr>
        <w:t>ex nihilo</w:t>
      </w:r>
      <w:r>
        <w:rPr>
          <w:i/>
        </w:rPr>
        <w:fldChar w:fldCharType="begin"/>
      </w:r>
      <w:r>
        <w:instrText xml:space="preserve"> XE "</w:instrText>
      </w:r>
      <w:r w:rsidRPr="08BE1EB0">
        <w:rPr>
          <w:i/>
        </w:rPr>
        <w:instrText>creatio</w:instrText>
      </w:r>
      <w:r>
        <w:instrText xml:space="preserve"> </w:instrText>
      </w:r>
      <w:r w:rsidRPr="0807367F">
        <w:rPr>
          <w:i/>
        </w:rPr>
        <w:instrText>ex nihilo</w:instrText>
      </w:r>
      <w:r>
        <w:instrText xml:space="preserve">" </w:instrText>
      </w:r>
      <w:r>
        <w:rPr>
          <w:i/>
        </w:rPr>
        <w:fldChar w:fldCharType="end"/>
      </w:r>
      <w:r>
        <w:t xml:space="preserve"> a stejně tak poznává všechna jsoucna v modu dvojího záporu. Tak vzniká moderní </w:t>
      </w:r>
      <w:r w:rsidRPr="08BE1EB0">
        <w:rPr>
          <w:i/>
        </w:rPr>
        <w:t>res</w:t>
      </w:r>
      <w:r>
        <w:t xml:space="preserve"> a člověk-mrtvola jako moderní </w:t>
      </w:r>
      <w:r w:rsidRPr="08BE1EB0">
        <w:rPr>
          <w:i/>
        </w:rPr>
        <w:t>res</w:t>
      </w:r>
      <w:r>
        <w:t xml:space="preserve">. Schizofrenický subjekt vytvořil paranoický objekt a svobodně jej chce v absolutní intimitě své vůle. Tím vznikla pro hermeneutiku dějinnosti nová forma </w:t>
      </w:r>
      <w:r w:rsidRPr="005F0612">
        <w:rPr>
          <w:i/>
        </w:rPr>
        <w:t>dativus auctoris</w:t>
      </w:r>
      <w:r>
        <w:rPr>
          <w:i/>
        </w:rPr>
        <w:fldChar w:fldCharType="begin"/>
      </w:r>
      <w:r>
        <w:instrText xml:space="preserve"> XE "</w:instrText>
      </w:r>
      <w:r w:rsidRPr="00C5228F">
        <w:rPr>
          <w:i/>
          <w:iCs/>
        </w:rPr>
        <w:instrText>dativus auctoris</w:instrText>
      </w:r>
      <w:r>
        <w:instrText xml:space="preserve">" </w:instrText>
      </w:r>
      <w:r>
        <w:rPr>
          <w:i/>
        </w:rPr>
        <w:fldChar w:fldCharType="end"/>
      </w:r>
      <w:r>
        <w:t xml:space="preserve"> a </w:t>
      </w:r>
      <w:r w:rsidRPr="005F0612">
        <w:rPr>
          <w:i/>
        </w:rPr>
        <w:t>dativus finalis</w:t>
      </w:r>
      <w:r>
        <w:rPr>
          <w:i/>
        </w:rPr>
        <w:fldChar w:fldCharType="begin"/>
      </w:r>
      <w:r>
        <w:instrText xml:space="preserve"> XE "</w:instrText>
      </w:r>
      <w:r w:rsidRPr="008729B1">
        <w:rPr>
          <w:i/>
          <w:iCs/>
        </w:rPr>
        <w:instrText>dativus finalis</w:instrText>
      </w:r>
      <w:r>
        <w:instrText xml:space="preserve">" </w:instrText>
      </w:r>
      <w:r>
        <w:rPr>
          <w:i/>
        </w:rPr>
        <w:fldChar w:fldCharType="end"/>
      </w:r>
      <w:r w:rsidR="081942A4">
        <w:t xml:space="preserve"> (kap. 4</w:t>
      </w:r>
      <w:r>
        <w:t xml:space="preserve">). Vláda takto daného metafyzického nihilismu absolutně </w:t>
      </w:r>
      <w:r>
        <w:lastRenderedPageBreak/>
        <w:t xml:space="preserve">určila subjekt-objektivní smysl jsoucna. Okcitánec Olivi z jižní Francie založil prvního dělníka ducha v instrumentálním a racionálním modu anglo-saského </w:t>
      </w:r>
      <w:r w:rsidRPr="08F66866">
        <w:rPr>
          <w:i/>
        </w:rPr>
        <w:t>white col</w:t>
      </w:r>
      <w:r>
        <w:rPr>
          <w:i/>
        </w:rPr>
        <w:t>l</w:t>
      </w:r>
      <w:r w:rsidRPr="08F66866">
        <w:rPr>
          <w:i/>
        </w:rPr>
        <w:t>ar</w:t>
      </w:r>
      <w:r>
        <w:t xml:space="preserve">, jenž byl </w:t>
      </w:r>
      <w:r w:rsidRPr="08DB391C">
        <w:rPr>
          <w:i/>
        </w:rPr>
        <w:t xml:space="preserve">conditio sine qua non </w:t>
      </w:r>
      <w:r>
        <w:t xml:space="preserve">pro epochu kapitalismu. Globální nihilistickou podobu a totalitní podobu této kapitalistické verze člověka-mrtvoly popíše Ernst Jünger v díle </w:t>
      </w:r>
      <w:r w:rsidRPr="08F66866">
        <w:rPr>
          <w:i/>
        </w:rPr>
        <w:t>Der Arbeiter</w:t>
      </w:r>
      <w:r>
        <w:t xml:space="preserve"> (1932). Analogický vztah je dán mezi subjektivní vůlí angažovanou v konkétním výkonu chtění a mezi rationalitou objektivně daného celku těchto aktů ve světě. Nová racionalita zbavená klasické filosofické moudrosti vidí svět jako </w:t>
      </w:r>
      <w:r w:rsidRPr="08852702">
        <w:rPr>
          <w:i/>
        </w:rPr>
        <w:t>aspectus</w:t>
      </w:r>
      <w:r>
        <w:t xml:space="preserve"> své iracionální podstaty a tento aspekt si přivlastňuje v modu objektivní pravdy jako asimilace. Bez této </w:t>
      </w:r>
      <w:r w:rsidRPr="08852702">
        <w:rPr>
          <w:i/>
        </w:rPr>
        <w:t>epoché</w:t>
      </w:r>
      <w:r>
        <w:t xml:space="preserve"> kritické moudrosti by moderní dělník ducha nemohl založit epochu kapitalismu. Latinský sofista Olivi zakládá metafyziku kapitalismu skrze myslitelskou </w:t>
      </w:r>
      <w:r w:rsidRPr="08D338FE">
        <w:rPr>
          <w:i/>
        </w:rPr>
        <w:t>res gesta</w:t>
      </w:r>
      <w:r>
        <w:t xml:space="preserve"> původního autora, protože poprvé a zcela radikálně definoval dějinně daného nositele nové </w:t>
      </w:r>
      <w:r w:rsidR="00B36219">
        <w:t>epochy. Ta je zcela pravdivě nazvána osvíceným (rozuměji: iluminátským) racionalismem</w:t>
      </w:r>
      <w:r w:rsidR="00205D4D">
        <w:t>.</w:t>
      </w:r>
    </w:p>
    <w:p w:rsidR="008B4CB2" w:rsidRDefault="08163013" w:rsidP="08523C0C">
      <w:pPr>
        <w:ind w:firstLine="397"/>
      </w:pPr>
      <w:r>
        <w:t>Základem k určení nové epochy kapitalismu a osvícenského racionalismu je výše uvedený analogický poměr (</w:t>
      </w:r>
      <w:r w:rsidRPr="08954E30">
        <w:rPr>
          <w:i/>
        </w:rPr>
        <w:t>ratio</w:t>
      </w:r>
      <w:r>
        <w:t>) dané mezi esencí vůle produkující akty chtění (</w:t>
      </w:r>
      <w:r w:rsidRPr="083B082A">
        <w:rPr>
          <w:i/>
        </w:rPr>
        <w:t>essentia ipsorum actuum</w:t>
      </w:r>
      <w:r>
        <w:t>) a demiurgickým zrcadlením této esence ve všech vnějších aspektech vůle (</w:t>
      </w:r>
      <w:r w:rsidRPr="083B082A">
        <w:rPr>
          <w:i/>
        </w:rPr>
        <w:t>unius rationis et naturae in omnibus actibus voluntatis</w:t>
      </w:r>
      <w:r>
        <w:t xml:space="preserve">). </w:t>
      </w:r>
      <w:r w:rsidRPr="00273106">
        <w:t xml:space="preserve">Vůle moderního subjektu díky suverénní a oddělené schopnosti chtít zakládá analogii jsoucna jako </w:t>
      </w:r>
      <w:r>
        <w:t xml:space="preserve">volitivnímu </w:t>
      </w:r>
      <w:r w:rsidRPr="00273106">
        <w:t xml:space="preserve">objektu </w:t>
      </w:r>
      <w:r>
        <w:t>určenému vzhledem k esenci ipseitní vůle</w:t>
      </w:r>
      <w:r w:rsidRPr="00273106">
        <w:t xml:space="preserve"> (</w:t>
      </w:r>
      <w:r w:rsidRPr="00273106">
        <w:rPr>
          <w:i/>
        </w:rPr>
        <w:t>ipsius voluntatis</w:t>
      </w:r>
      <w:r>
        <w:rPr>
          <w:i/>
        </w:rPr>
        <w:fldChar w:fldCharType="begin"/>
      </w:r>
      <w:r>
        <w:instrText xml:space="preserve"> XE "</w:instrText>
      </w:r>
      <w:r w:rsidRPr="00A16694">
        <w:instrText>vůle:ipseita</w:instrText>
      </w:r>
      <w:r>
        <w:instrText xml:space="preserve">" </w:instrText>
      </w:r>
      <w:r>
        <w:rPr>
          <w:i/>
        </w:rPr>
        <w:fldChar w:fldCharType="end"/>
      </w:r>
      <w:r w:rsidRPr="00273106">
        <w:t xml:space="preserve">). Vůle jako </w:t>
      </w:r>
      <w:r>
        <w:t>neoplatonsk</w:t>
      </w:r>
      <w:r w:rsidRPr="00273106">
        <w:t>é slunce prozařuje smysl sv</w:t>
      </w:r>
      <w:r>
        <w:t xml:space="preserve">ěta z hlediska aktivní podstaty, která tvoří smysl bytí moderního </w:t>
      </w:r>
      <w:r w:rsidRPr="00273106">
        <w:t>demiurga</w:t>
      </w:r>
      <w:r>
        <w:fldChar w:fldCharType="begin"/>
      </w:r>
      <w:r>
        <w:instrText xml:space="preserve"> XE "</w:instrText>
      </w:r>
      <w:r w:rsidRPr="005C2F4A">
        <w:rPr>
          <w:rStyle w:val="addmd"/>
        </w:rPr>
        <w:instrText>demiurg</w:instrText>
      </w:r>
      <w:r>
        <w:instrText xml:space="preserve">" </w:instrText>
      </w:r>
      <w:r>
        <w:fldChar w:fldCharType="end"/>
      </w:r>
      <w:r w:rsidRPr="00273106">
        <w:t xml:space="preserve">. Zbytek reality </w:t>
      </w:r>
      <w:r>
        <w:t xml:space="preserve">dané mimo vůli </w:t>
      </w:r>
      <w:r w:rsidRPr="00273106">
        <w:t xml:space="preserve">stojí vůči takto určující vůli v pojetí </w:t>
      </w:r>
      <w:r>
        <w:t xml:space="preserve">analogické </w:t>
      </w:r>
      <w:r w:rsidRPr="00273106">
        <w:t>podobnosti</w:t>
      </w:r>
      <w:r>
        <w:t xml:space="preserve"> </w:t>
      </w:r>
      <w:r w:rsidRPr="00273106">
        <w:t>(</w:t>
      </w:r>
      <w:r w:rsidRPr="00273106">
        <w:rPr>
          <w:i/>
        </w:rPr>
        <w:t>similitudinem quam habet cum obiecto</w:t>
      </w:r>
      <w:r w:rsidRPr="00273106">
        <w:t>)</w:t>
      </w:r>
      <w:r>
        <w:t xml:space="preserve">. </w:t>
      </w:r>
      <w:r w:rsidRPr="00273106">
        <w:t xml:space="preserve">Objekt vůle dostal objektivní charakter, protože je určen vůči radikálně oddělenému </w:t>
      </w:r>
      <w:r>
        <w:t xml:space="preserve">intimnímu </w:t>
      </w:r>
      <w:r w:rsidRPr="00273106">
        <w:t>subjektu, čili</w:t>
      </w:r>
      <w:r>
        <w:t xml:space="preserve"> absolutně danému nositeli objektivně utvářené vůle. Olivi vytvořil novou formu </w:t>
      </w:r>
      <w:r w:rsidRPr="006D720A">
        <w:rPr>
          <w:i/>
        </w:rPr>
        <w:t>dativus possessivus</w:t>
      </w:r>
      <w:r>
        <w:rPr>
          <w:i/>
        </w:rPr>
        <w:fldChar w:fldCharType="begin"/>
      </w:r>
      <w:r>
        <w:instrText xml:space="preserve"> XE "</w:instrText>
      </w:r>
      <w:r w:rsidRPr="00461B3F">
        <w:rPr>
          <w:i/>
        </w:rPr>
        <w:instrText>d</w:instrText>
      </w:r>
      <w:r w:rsidRPr="00461B3F">
        <w:rPr>
          <w:i/>
          <w:iCs/>
        </w:rPr>
        <w:instrText>ativus possessivus</w:instrText>
      </w:r>
      <w:r>
        <w:instrText xml:space="preserve">" </w:instrText>
      </w:r>
      <w:r>
        <w:rPr>
          <w:i/>
        </w:rPr>
        <w:fldChar w:fldCharType="end"/>
      </w:r>
      <w:r>
        <w:t xml:space="preserve"> vztaženou k demiurgické vůli dané v modu svrchované kauzality. Vůle </w:t>
      </w:r>
      <w:r w:rsidRPr="00273106">
        <w:t xml:space="preserve">nasvěcuje smysl jsoucna jako </w:t>
      </w:r>
      <w:r w:rsidRPr="00273106">
        <w:rPr>
          <w:i/>
        </w:rPr>
        <w:t>intellectus agens</w:t>
      </w:r>
      <w:r w:rsidRPr="00273106">
        <w:t xml:space="preserve"> </w:t>
      </w:r>
      <w:r>
        <w:t>a tato a</w:t>
      </w:r>
      <w:r w:rsidRPr="00273106">
        <w:t xml:space="preserve">ktivní </w:t>
      </w:r>
      <w:r>
        <w:t>neoplatonsk</w:t>
      </w:r>
      <w:r w:rsidRPr="00273106">
        <w:t>á vůle-slunce</w:t>
      </w:r>
      <w:r>
        <w:fldChar w:fldCharType="begin"/>
      </w:r>
      <w:r>
        <w:instrText xml:space="preserve"> XE "</w:instrText>
      </w:r>
      <w:r w:rsidRPr="005921D9">
        <w:instrText>vůle</w:instrText>
      </w:r>
      <w:r>
        <w:instrText>:intelekt</w:instrText>
      </w:r>
      <w:r w:rsidRPr="005921D9">
        <w:instrText>-slunce</w:instrText>
      </w:r>
      <w:r>
        <w:instrText xml:space="preserve">" </w:instrText>
      </w:r>
      <w:r>
        <w:fldChar w:fldCharType="end"/>
      </w:r>
      <w:r w:rsidRPr="00273106">
        <w:t xml:space="preserve"> nahradila </w:t>
      </w:r>
      <w:r w:rsidRPr="00273106">
        <w:rPr>
          <w:i/>
        </w:rPr>
        <w:t>intellectus possibilis</w:t>
      </w:r>
      <w:r>
        <w:t xml:space="preserve"> prvního averroismu. V </w:t>
      </w:r>
      <w:r w:rsidRPr="00273106">
        <w:t xml:space="preserve">subjektu </w:t>
      </w:r>
      <w:r>
        <w:t>vznikla nová sféra</w:t>
      </w:r>
      <w:r w:rsidRPr="00273106">
        <w:t xml:space="preserve"> </w:t>
      </w:r>
      <w:r>
        <w:t xml:space="preserve">bytí </w:t>
      </w:r>
      <w:r w:rsidRPr="00273106">
        <w:t>jsoucna</w:t>
      </w:r>
      <w:r>
        <w:t xml:space="preserve">, jehož smysl je determinován racionálně, tedy v modu </w:t>
      </w:r>
      <w:r w:rsidRPr="088117CA">
        <w:rPr>
          <w:i/>
        </w:rPr>
        <w:t>ratio</w:t>
      </w:r>
      <w:r>
        <w:t xml:space="preserve"> daném jako aspekt absolutně oddělené vůle</w:t>
      </w:r>
      <w:r w:rsidRPr="00273106">
        <w:t>.</w:t>
      </w:r>
      <w:r>
        <w:t xml:space="preserve"> Toto základní „jak“ je vůle utvářena, vyjadřuje výše uvedený termín </w:t>
      </w:r>
      <w:r w:rsidRPr="00273106">
        <w:rPr>
          <w:i/>
        </w:rPr>
        <w:t>habitus</w:t>
      </w:r>
      <w:r>
        <w:t xml:space="preserve">. </w:t>
      </w:r>
      <w:r w:rsidRPr="00273106">
        <w:t xml:space="preserve">Reálná distinkce dělí </w:t>
      </w:r>
      <w:r>
        <w:t>habituální podstatu</w:t>
      </w:r>
      <w:r w:rsidRPr="00273106">
        <w:t xml:space="preserve"> </w:t>
      </w:r>
      <w:r>
        <w:t xml:space="preserve">vůle </w:t>
      </w:r>
      <w:r w:rsidRPr="00273106">
        <w:t>(</w:t>
      </w:r>
      <w:r w:rsidRPr="00273106">
        <w:rPr>
          <w:i/>
        </w:rPr>
        <w:t>essentiam voluntati</w:t>
      </w:r>
      <w:r>
        <w:rPr>
          <w:i/>
        </w:rPr>
        <w:t>s</w:t>
      </w:r>
      <w:r w:rsidRPr="00273106">
        <w:t>)</w:t>
      </w:r>
      <w:r>
        <w:t xml:space="preserve"> </w:t>
      </w:r>
      <w:r w:rsidRPr="00273106">
        <w:t>od její</w:t>
      </w:r>
      <w:r>
        <w:t>ho předmětného působení</w:t>
      </w:r>
      <w:r w:rsidRPr="00273106">
        <w:t xml:space="preserve"> </w:t>
      </w:r>
      <w:r>
        <w:t>daného navenek (</w:t>
      </w:r>
      <w:r w:rsidRPr="00273106">
        <w:rPr>
          <w:i/>
        </w:rPr>
        <w:t>suos aspectus</w:t>
      </w:r>
      <w:r>
        <w:rPr>
          <w:i/>
        </w:rPr>
        <w:fldChar w:fldCharType="begin"/>
      </w:r>
      <w:r>
        <w:instrText xml:space="preserve"> XE "vůle:</w:instrText>
      </w:r>
      <w:r w:rsidRPr="007D0E80">
        <w:rPr>
          <w:i/>
        </w:rPr>
        <w:instrText>aspectus</w:instrText>
      </w:r>
      <w:r>
        <w:instrText xml:space="preserve">" </w:instrText>
      </w:r>
      <w:r>
        <w:rPr>
          <w:i/>
        </w:rPr>
        <w:fldChar w:fldCharType="end"/>
      </w:r>
      <w:r>
        <w:t>)</w:t>
      </w:r>
      <w:r w:rsidRPr="00273106">
        <w:t xml:space="preserve">. Vůle nemůže být determinována vnější </w:t>
      </w:r>
      <w:r w:rsidRPr="00273106">
        <w:lastRenderedPageBreak/>
        <w:t>realitou poznávanou skr</w:t>
      </w:r>
      <w:r>
        <w:t xml:space="preserve">ze fantasmata, protože je od každé reality </w:t>
      </w:r>
      <w:r w:rsidRPr="00273106">
        <w:t>reálně oddělená</w:t>
      </w:r>
      <w:r>
        <w:t xml:space="preserve"> svou esenciálně a </w:t>
      </w:r>
      <w:r w:rsidR="080803D5">
        <w:t xml:space="preserve">intimně </w:t>
      </w:r>
      <w:r>
        <w:t>danou svobodou</w:t>
      </w:r>
      <w:r w:rsidRPr="00273106">
        <w:t>.</w:t>
      </w:r>
      <w:r>
        <w:t xml:space="preserve"> </w:t>
      </w:r>
      <w:r w:rsidRPr="00273106">
        <w:t>Objektivní předmět daný mimo vůli ve světě nutně tvoří poslední člen trojčlenky dané primárním poměrem aktuální vůle k jejímu chtění</w:t>
      </w:r>
      <w:r>
        <w:t xml:space="preserve"> a následně k objektivnímu aspektu tohoto chtění v realitě </w:t>
      </w:r>
      <w:r w:rsidRPr="00273106">
        <w:t>(</w:t>
      </w:r>
      <w:r>
        <w:rPr>
          <w:i/>
        </w:rPr>
        <w:t>sunt omnino unius ra</w:t>
      </w:r>
      <w:r w:rsidRPr="00273106">
        <w:rPr>
          <w:i/>
        </w:rPr>
        <w:t>tionis</w:t>
      </w:r>
      <w:r w:rsidRPr="00273106">
        <w:t xml:space="preserve">). </w:t>
      </w:r>
      <w:r>
        <w:t xml:space="preserve">Analogicky daná vůle sjednocuje věci-objekty </w:t>
      </w:r>
      <w:proofErr w:type="gramStart"/>
      <w:r>
        <w:t xml:space="preserve">stejně </w:t>
      </w:r>
      <w:r w:rsidRPr="00273106">
        <w:t>jako</w:t>
      </w:r>
      <w:proofErr w:type="gramEnd"/>
      <w:r w:rsidRPr="00273106">
        <w:t xml:space="preserve"> světelný paprsek prozařuje průsvitné</w:t>
      </w:r>
      <w:r>
        <w:t xml:space="preserve"> věci</w:t>
      </w:r>
      <w:r w:rsidRPr="00273106">
        <w:t xml:space="preserve">. Tím je dána základní forma subjekt-objektového vztahu determinujícího celek jsoucího v rámci moderní </w:t>
      </w:r>
      <w:r w:rsidRPr="00273106">
        <w:rPr>
          <w:i/>
        </w:rPr>
        <w:t>analogia entis</w:t>
      </w:r>
      <w:r>
        <w:rPr>
          <w:i/>
        </w:rPr>
        <w:fldChar w:fldCharType="begin"/>
      </w:r>
      <w:r>
        <w:instrText xml:space="preserve"> XE "</w:instrText>
      </w:r>
      <w:r w:rsidRPr="00A15E55">
        <w:rPr>
          <w:i/>
        </w:rPr>
        <w:instrText>analogia entis</w:instrText>
      </w:r>
      <w:r>
        <w:instrText xml:space="preserve">" </w:instrText>
      </w:r>
      <w:r>
        <w:rPr>
          <w:i/>
        </w:rPr>
        <w:fldChar w:fldCharType="end"/>
      </w:r>
      <w:r w:rsidRPr="00273106">
        <w:t>.</w:t>
      </w:r>
      <w:r>
        <w:t xml:space="preserve"> Svět se stal aspektem vůle dávno před nihilismem postmoderního Nietzscheho, jenž pouze uzavřel Oliviho metafyziku vůle. Olivi nahradil Rufusovu </w:t>
      </w:r>
      <w:r w:rsidRPr="00273106">
        <w:rPr>
          <w:i/>
        </w:rPr>
        <w:t>potentia substantialis</w:t>
      </w:r>
      <w:r>
        <w:rPr>
          <w:i/>
        </w:rPr>
        <w:fldChar w:fldCharType="begin"/>
      </w:r>
      <w:r>
        <w:instrText xml:space="preserve"> XE "vůle:</w:instrText>
      </w:r>
      <w:r w:rsidRPr="00263A8E">
        <w:rPr>
          <w:i/>
        </w:rPr>
        <w:instrText>potentia substantialis</w:instrText>
      </w:r>
      <w:r>
        <w:instrText xml:space="preserve">" </w:instrText>
      </w:r>
      <w:r>
        <w:rPr>
          <w:i/>
        </w:rPr>
        <w:fldChar w:fldCharType="end"/>
      </w:r>
      <w:r w:rsidRPr="00273106">
        <w:t xml:space="preserve"> z epochy první objektivity </w:t>
      </w:r>
      <w:r>
        <w:t xml:space="preserve">před 1250 nově pojatou ipseitou danou v rámci esenciálně a substanciálně pojaté vůle. </w:t>
      </w:r>
      <w:proofErr w:type="gramStart"/>
      <w:r>
        <w:t>R</w:t>
      </w:r>
      <w:r w:rsidRPr="00273106">
        <w:t>eálná</w:t>
      </w:r>
      <w:proofErr w:type="gramEnd"/>
      <w:r w:rsidRPr="00273106">
        <w:t xml:space="preserve"> distinkce odděluje absolutně danou vůli od </w:t>
      </w:r>
      <w:r>
        <w:t xml:space="preserve">reálného světa, který sekundárním aspektem a pouhou vnější reprezentací intimní </w:t>
      </w:r>
      <w:proofErr w:type="gramStart"/>
      <w:r>
        <w:t>vůle.</w:t>
      </w:r>
      <w:proofErr w:type="gramEnd"/>
      <w:r>
        <w:t xml:space="preserve"> Tím vzniklo </w:t>
      </w:r>
      <w:r w:rsidRPr="00273106">
        <w:t xml:space="preserve">nové </w:t>
      </w:r>
      <w:r>
        <w:t xml:space="preserve">metafyzické </w:t>
      </w:r>
      <w:r w:rsidRPr="00273106">
        <w:t xml:space="preserve">určení jsoucna jako </w:t>
      </w:r>
      <w:r>
        <w:t xml:space="preserve">předmětu </w:t>
      </w:r>
      <w:r w:rsidRPr="00273106">
        <w:t>demiurgické vůle.</w:t>
      </w:r>
      <w:r>
        <w:t xml:space="preserve"> D</w:t>
      </w:r>
      <w:r w:rsidRPr="00273106">
        <w:t xml:space="preserve">íky nově založené analogii v rámci subjekt-objektového vztahu tvoří svobodná vůle nový druh voluntárně-racionální jednoty všeho jsoucího. </w:t>
      </w:r>
      <w:r>
        <w:t xml:space="preserve">Tím je také určen způsob, jak </w:t>
      </w:r>
      <w:r w:rsidRPr="00273106">
        <w:rPr>
          <w:iCs/>
        </w:rPr>
        <w:t xml:space="preserve">se </w:t>
      </w:r>
      <w:r>
        <w:rPr>
          <w:iCs/>
        </w:rPr>
        <w:t xml:space="preserve">objektivně definované jsoucno </w:t>
      </w:r>
      <w:r w:rsidRPr="00273106">
        <w:rPr>
          <w:iCs/>
        </w:rPr>
        <w:t>stalo nástrojem novověké vědo-techniky (</w:t>
      </w:r>
      <w:r w:rsidRPr="00273106">
        <w:rPr>
          <w:i/>
          <w:iCs/>
        </w:rPr>
        <w:t>dativus instrumenti</w:t>
      </w:r>
      <w:r>
        <w:rPr>
          <w:i/>
          <w:iCs/>
        </w:rPr>
        <w:fldChar w:fldCharType="begin"/>
      </w:r>
      <w:r>
        <w:instrText xml:space="preserve"> XE "</w:instrText>
      </w:r>
      <w:r w:rsidRPr="00BD4DF9">
        <w:rPr>
          <w:i/>
          <w:iCs/>
        </w:rPr>
        <w:instrText>dativus instrumenti</w:instrText>
      </w:r>
      <w:r>
        <w:instrText xml:space="preserve">" </w:instrText>
      </w:r>
      <w:r>
        <w:rPr>
          <w:i/>
          <w:iCs/>
        </w:rPr>
        <w:fldChar w:fldCharType="end"/>
      </w:r>
      <w:r w:rsidRPr="00273106">
        <w:rPr>
          <w:iCs/>
        </w:rPr>
        <w:t>)</w:t>
      </w:r>
      <w:r>
        <w:rPr>
          <w:iCs/>
        </w:rPr>
        <w:t xml:space="preserve">. </w:t>
      </w:r>
      <w:r>
        <w:t xml:space="preserve">Jsoucno se stalo objektem </w:t>
      </w:r>
      <w:r w:rsidRPr="00273106">
        <w:t xml:space="preserve">skrze volní a svobodný </w:t>
      </w:r>
      <w:r w:rsidRPr="00273106">
        <w:rPr>
          <w:i/>
        </w:rPr>
        <w:t>aspectus</w:t>
      </w:r>
      <w:r w:rsidRPr="00273106">
        <w:t xml:space="preserve"> jsoucího daný </w:t>
      </w:r>
      <w:r w:rsidRPr="00273106">
        <w:rPr>
          <w:i/>
        </w:rPr>
        <w:t>obiective</w:t>
      </w:r>
      <w:r w:rsidRPr="00273106">
        <w:t xml:space="preserve"> směrem od smyslodajné vůle</w:t>
      </w:r>
      <w:r>
        <w:fldChar w:fldCharType="begin"/>
      </w:r>
      <w:r>
        <w:instrText xml:space="preserve"> XE "</w:instrText>
      </w:r>
      <w:r w:rsidRPr="00817FDC">
        <w:instrText>vůle:objektivní</w:instrText>
      </w:r>
      <w:r>
        <w:instrText xml:space="preserve">" </w:instrText>
      </w:r>
      <w:r>
        <w:fldChar w:fldCharType="end"/>
      </w:r>
      <w:r w:rsidRPr="00273106">
        <w:t xml:space="preserve">. </w:t>
      </w:r>
      <w:r>
        <w:t xml:space="preserve">Reálná distinkce intimní a oddělené vůle od manifestace jsoucna ukazuje epochálně </w:t>
      </w:r>
      <w:r w:rsidRPr="00273106">
        <w:t>nov</w:t>
      </w:r>
      <w:r>
        <w:t xml:space="preserve">ý </w:t>
      </w:r>
      <w:r w:rsidRPr="00273106">
        <w:t>aspekt</w:t>
      </w:r>
      <w:r>
        <w:t xml:space="preserve"> bytí jsoucna. Klasický intelekt se stal racionální schopností svobodného moderního subjektu a jeho zhasnutí skrze Oliviho myslitelskou </w:t>
      </w:r>
      <w:r w:rsidRPr="08C7534D">
        <w:rPr>
          <w:i/>
        </w:rPr>
        <w:t>epoché</w:t>
      </w:r>
      <w:r>
        <w:t xml:space="preserve"> dalo dějinný </w:t>
      </w:r>
      <w:r w:rsidRPr="088D2E70">
        <w:rPr>
          <w:i/>
        </w:rPr>
        <w:t>Anfang</w:t>
      </w:r>
      <w:r>
        <w:t xml:space="preserve"> osvícenského racionalismu</w:t>
      </w:r>
      <w:r>
        <w:fldChar w:fldCharType="begin"/>
      </w:r>
      <w:r>
        <w:instrText xml:space="preserve"> XE "</w:instrText>
      </w:r>
      <w:r w:rsidRPr="08186371">
        <w:rPr>
          <w:i/>
        </w:rPr>
        <w:instrText>Lichtung</w:instrText>
      </w:r>
      <w:r w:rsidRPr="08732030">
        <w:instrText>:osvícenství</w:instrText>
      </w:r>
      <w:r>
        <w:instrText xml:space="preserve">" </w:instrText>
      </w:r>
      <w:r>
        <w:fldChar w:fldCharType="end"/>
      </w:r>
      <w:r>
        <w:t xml:space="preserve">. Nová variace demiurgického diakosmu v následující dekádě založí </w:t>
      </w:r>
      <w:r w:rsidRPr="00273106">
        <w:t>novou metafyziku</w:t>
      </w:r>
      <w:r>
        <w:t>. Reálná diference intimní vůle se stane součástí boží psychiky jako plně objektivní určení jsoucna</w:t>
      </w:r>
      <w:r w:rsidRPr="00273106">
        <w:t xml:space="preserve">. Henry z </w:t>
      </w:r>
      <w:proofErr w:type="gramStart"/>
      <w:r w:rsidRPr="00273106">
        <w:t>Gentu</w:t>
      </w:r>
      <w:proofErr w:type="gramEnd"/>
      <w:r w:rsidRPr="00273106">
        <w:t xml:space="preserve"> v následující dekádě prohlásí, že tento </w:t>
      </w:r>
      <w:r w:rsidRPr="00273106">
        <w:rPr>
          <w:i/>
        </w:rPr>
        <w:t>habitus</w:t>
      </w:r>
      <w:r>
        <w:rPr>
          <w:i/>
        </w:rPr>
        <w:fldChar w:fldCharType="begin"/>
      </w:r>
      <w:r>
        <w:instrText xml:space="preserve"> XE "</w:instrText>
      </w:r>
      <w:r w:rsidRPr="0070403E">
        <w:instrText>habitus</w:instrText>
      </w:r>
      <w:r>
        <w:instrText xml:space="preserve">" </w:instrText>
      </w:r>
      <w:r>
        <w:rPr>
          <w:i/>
        </w:rPr>
        <w:fldChar w:fldCharType="end"/>
      </w:r>
      <w:r w:rsidRPr="00273106">
        <w:t xml:space="preserve"> vůle je rovněž potenciální vlastnost boží mysli, skrze kterou bůh nahlíží stvoření v jeho objektivním aspektu jsoucnosti jako možné stvořitelnosti. </w:t>
      </w:r>
      <w:r>
        <w:t xml:space="preserve">Tím si první demiurg přivlastňuje svět absolutně a objektivně před vlastním aktem stvoření. </w:t>
      </w:r>
      <w:r w:rsidRPr="00273106">
        <w:t>Duns Scotus tut</w:t>
      </w:r>
      <w:r>
        <w:t xml:space="preserve">o primitivní antropomorfizaci boha v modu analogické psychologie zásadně odmítne. Jeho moderní bůh je dán v modu nekonečnosti, ale s analogicky vybavenou myslí, vůlí a intencionalitou jako je naše vlastní. </w:t>
      </w:r>
      <w:r w:rsidRPr="00273106">
        <w:t xml:space="preserve">V návaznosti na univerzální analogii vůle </w:t>
      </w:r>
      <w:r>
        <w:t xml:space="preserve">Scotus </w:t>
      </w:r>
      <w:r w:rsidRPr="00273106">
        <w:t xml:space="preserve">vybudoval metafyziku už nikoliv jsoucna </w:t>
      </w:r>
      <w:r>
        <w:t xml:space="preserve">objektivně </w:t>
      </w:r>
      <w:r w:rsidRPr="00273106">
        <w:t>chtěné</w:t>
      </w:r>
      <w:r>
        <w:t xml:space="preserve">ho (Olivi) a demiurgicky </w:t>
      </w:r>
      <w:r>
        <w:lastRenderedPageBreak/>
        <w:t xml:space="preserve">intendovaného (Gandavus), ale objektivně poznávaného. Termín </w:t>
      </w:r>
      <w:r w:rsidRPr="00273106">
        <w:rPr>
          <w:i/>
        </w:rPr>
        <w:t>realis distinctio</w:t>
      </w:r>
      <w:r w:rsidRPr="00273106">
        <w:t xml:space="preserve"> bude mít velkou budoucnost</w:t>
      </w:r>
      <w:r>
        <w:t xml:space="preserve"> v západním myšlení</w:t>
      </w:r>
      <w:r w:rsidRPr="00273106">
        <w:t xml:space="preserve">. Duns Scotus jej zapracuje do nové metafyziky a kardinál Kajetán </w:t>
      </w:r>
      <w:r>
        <w:t xml:space="preserve">skrze něj </w:t>
      </w:r>
      <w:r w:rsidRPr="00273106">
        <w:t xml:space="preserve">dokončí moderní koncept </w:t>
      </w:r>
      <w:r w:rsidRPr="00273106">
        <w:rPr>
          <w:i/>
        </w:rPr>
        <w:t>analogia entis</w:t>
      </w:r>
      <w:r>
        <w:rPr>
          <w:i/>
        </w:rPr>
        <w:fldChar w:fldCharType="begin"/>
      </w:r>
      <w:r>
        <w:instrText xml:space="preserve"> XE "</w:instrText>
      </w:r>
      <w:r w:rsidRPr="00834F99">
        <w:rPr>
          <w:rStyle w:val="addmd"/>
          <w:i/>
        </w:rPr>
        <w:instrText>analogia entis</w:instrText>
      </w:r>
      <w:r>
        <w:instrText xml:space="preserve">" </w:instrText>
      </w:r>
      <w:r>
        <w:rPr>
          <w:i/>
        </w:rPr>
        <w:fldChar w:fldCharType="end"/>
      </w:r>
      <w:r w:rsidR="008B4CB2">
        <w:t>.</w:t>
      </w:r>
    </w:p>
    <w:p w:rsidR="08163013" w:rsidRPr="00544E42" w:rsidRDefault="08163013" w:rsidP="08523C0C">
      <w:pPr>
        <w:ind w:firstLine="397"/>
      </w:pPr>
      <w:r w:rsidRPr="00273106">
        <w:t xml:space="preserve">Olivi </w:t>
      </w:r>
      <w:r w:rsidR="008B4CB2">
        <w:t>založil</w:t>
      </w:r>
      <w:r w:rsidRPr="00273106">
        <w:t xml:space="preserve"> metafyziku svobodného subjektu</w:t>
      </w:r>
      <w:r>
        <w:t xml:space="preserve"> na </w:t>
      </w:r>
      <w:r w:rsidRPr="00273106">
        <w:t>analogii jsoucna.</w:t>
      </w:r>
      <w:r>
        <w:t xml:space="preserve"> Absolutní v</w:t>
      </w:r>
      <w:r w:rsidRPr="00273106">
        <w:t xml:space="preserve">ůle </w:t>
      </w:r>
      <w:r>
        <w:t>daná mimo determinované chtění a mimo intelekt dostala nový habitat vzhledem k celku jsoucna. Definuje nový h</w:t>
      </w:r>
      <w:r w:rsidRPr="00273106">
        <w:t>abit</w:t>
      </w:r>
      <w:r>
        <w:t>us č</w:t>
      </w:r>
      <w:r w:rsidRPr="00273106">
        <w:t>lověka</w:t>
      </w:r>
      <w:r>
        <w:t xml:space="preserve"> tím, že ukazuje fundamentálně změněné „jak“ (</w:t>
      </w:r>
      <w:r w:rsidRPr="005816B5">
        <w:rPr>
          <w:i/>
        </w:rPr>
        <w:t>Wie</w:t>
      </w:r>
      <w:r>
        <w:rPr>
          <w:i/>
        </w:rPr>
        <w:fldChar w:fldCharType="begin"/>
      </w:r>
      <w:r>
        <w:instrText xml:space="preserve"> XE "hermeneutické </w:instrText>
      </w:r>
      <w:r w:rsidRPr="006A7798">
        <w:rPr>
          <w:i/>
        </w:rPr>
        <w:instrText>Wie</w:instrText>
      </w:r>
      <w:r>
        <w:rPr>
          <w:i/>
        </w:rPr>
        <w:instrText>:</w:instrText>
      </w:r>
      <w:r>
        <w:instrText xml:space="preserve">Olivi" </w:instrText>
      </w:r>
      <w:r>
        <w:rPr>
          <w:i/>
        </w:rPr>
        <w:fldChar w:fldCharType="end"/>
      </w:r>
      <w:r>
        <w:t xml:space="preserve">) je svobodný subjekt situován vůči celku jsoucna. </w:t>
      </w:r>
      <w:r w:rsidRPr="00273106">
        <w:t xml:space="preserve">Tímto epochálně novým ubytováním celku jsoucna vůči absolutně dané vůli vzniká </w:t>
      </w:r>
      <w:r>
        <w:t xml:space="preserve">nový </w:t>
      </w:r>
      <w:r w:rsidRPr="00273106">
        <w:t>subjekt-objektový vztah.</w:t>
      </w:r>
      <w:r>
        <w:t xml:space="preserve"> </w:t>
      </w:r>
      <w:r w:rsidRPr="00273106">
        <w:t xml:space="preserve">Následující citát ukazuje novou formu </w:t>
      </w:r>
      <w:r>
        <w:t xml:space="preserve">této </w:t>
      </w:r>
      <w:r w:rsidRPr="00273106">
        <w:t>unitární ontoteologie.</w:t>
      </w:r>
    </w:p>
    <w:p w:rsidR="08163013" w:rsidRDefault="08163013" w:rsidP="08163013">
      <w:pPr>
        <w:pStyle w:val="Citace"/>
      </w:pPr>
      <w:r w:rsidRPr="00273106">
        <w:rPr>
          <w:noProof/>
        </w:rPr>
        <w:t>„</w:t>
      </w:r>
      <w:r>
        <w:rPr>
          <w:noProof/>
        </w:rPr>
        <w:t xml:space="preserve">Dále platí, že k povaze boží vůle zásadně patří svoboda daná bytostně a v modu </w:t>
      </w:r>
      <w:r w:rsidRPr="00AD1E51">
        <w:rPr>
          <w:i/>
          <w:noProof/>
        </w:rPr>
        <w:t>per se</w:t>
      </w:r>
      <w:r>
        <w:rPr>
          <w:noProof/>
        </w:rPr>
        <w:t xml:space="preserve">. </w:t>
      </w:r>
      <w:r>
        <w:rPr>
          <w:noProof/>
          <w:lang w:val="cs-CZ"/>
        </w:rPr>
        <w:t xml:space="preserve">Intelektuální vůle </w:t>
      </w:r>
      <w:r>
        <w:rPr>
          <w:noProof/>
        </w:rPr>
        <w:t>napodobuj</w:t>
      </w:r>
      <w:r>
        <w:rPr>
          <w:noProof/>
          <w:lang w:val="cs-CZ"/>
        </w:rPr>
        <w:t>e</w:t>
      </w:r>
      <w:r>
        <w:rPr>
          <w:noProof/>
        </w:rPr>
        <w:t xml:space="preserve"> tuto boží svobodu nad stvořením v modu určité formy emanace</w:t>
      </w:r>
      <w:r>
        <w:rPr>
          <w:noProof/>
          <w:lang w:val="cs-CZ"/>
        </w:rPr>
        <w:t>,</w:t>
      </w:r>
      <w:r>
        <w:rPr>
          <w:noProof/>
        </w:rPr>
        <w:t xml:space="preserve"> </w:t>
      </w:r>
      <w:r>
        <w:rPr>
          <w:noProof/>
          <w:lang w:val="cs-CZ"/>
        </w:rPr>
        <w:t>která se jí nejvíce podobá (</w:t>
      </w:r>
      <w:r w:rsidRPr="087108C0">
        <w:rPr>
          <w:i/>
        </w:rPr>
        <w:t>omnia imitatur eam tanquam quaedam emanatio eius sibi simillima</w:t>
      </w:r>
      <w:r>
        <w:rPr>
          <w:noProof/>
          <w:lang w:val="cs-CZ"/>
        </w:rPr>
        <w:t xml:space="preserve">). Lidská vůle </w:t>
      </w:r>
      <w:r>
        <w:rPr>
          <w:noProof/>
        </w:rPr>
        <w:t xml:space="preserve">napodobuje </w:t>
      </w:r>
      <w:r w:rsidR="080803D5">
        <w:rPr>
          <w:noProof/>
          <w:lang w:val="cs-CZ"/>
        </w:rPr>
        <w:t xml:space="preserve">boží svobodu </w:t>
      </w:r>
      <w:r>
        <w:rPr>
          <w:noProof/>
        </w:rPr>
        <w:t xml:space="preserve">a participuje na </w:t>
      </w:r>
      <w:r w:rsidR="080803D5">
        <w:rPr>
          <w:noProof/>
          <w:lang w:val="cs-CZ"/>
        </w:rPr>
        <w:t>ní a tím stojí na</w:t>
      </w:r>
      <w:r>
        <w:rPr>
          <w:noProof/>
          <w:lang w:val="cs-CZ"/>
        </w:rPr>
        <w:t>d každý</w:t>
      </w:r>
      <w:r w:rsidR="080803D5">
        <w:rPr>
          <w:noProof/>
          <w:lang w:val="cs-CZ"/>
        </w:rPr>
        <w:t>m</w:t>
      </w:r>
      <w:r>
        <w:rPr>
          <w:noProof/>
          <w:lang w:val="cs-CZ"/>
        </w:rPr>
        <w:t xml:space="preserve"> jiný</w:t>
      </w:r>
      <w:r w:rsidR="080803D5">
        <w:rPr>
          <w:noProof/>
          <w:lang w:val="cs-CZ"/>
        </w:rPr>
        <w:t>m</w:t>
      </w:r>
      <w:r>
        <w:rPr>
          <w:noProof/>
          <w:lang w:val="cs-CZ"/>
        </w:rPr>
        <w:t xml:space="preserve"> rod</w:t>
      </w:r>
      <w:r w:rsidR="080803D5">
        <w:rPr>
          <w:noProof/>
          <w:lang w:val="cs-CZ"/>
        </w:rPr>
        <w:t>em</w:t>
      </w:r>
      <w:r>
        <w:rPr>
          <w:noProof/>
          <w:lang w:val="cs-CZ"/>
        </w:rPr>
        <w:t xml:space="preserve"> jsoucna, který existuje nebo může existovat.</w:t>
      </w:r>
      <w:r>
        <w:rPr>
          <w:noProof/>
        </w:rPr>
        <w:t xml:space="preserve">“ </w:t>
      </w:r>
      <w:r>
        <w:rPr>
          <w:rStyle w:val="Znakapoznpodarou"/>
        </w:rPr>
        <w:footnoteReference w:id="385"/>
      </w:r>
    </w:p>
    <w:p w:rsidR="00F2252A" w:rsidRDefault="08163013" w:rsidP="00C116B1">
      <w:r>
        <w:t xml:space="preserve">Lidská vůle </w:t>
      </w:r>
      <w:r w:rsidRPr="00273106">
        <w:t xml:space="preserve">svobodou </w:t>
      </w:r>
      <w:r>
        <w:t xml:space="preserve">demiurgicky </w:t>
      </w:r>
      <w:r w:rsidRPr="00273106">
        <w:t>imituje boží stvořitelskou svobodu (</w:t>
      </w:r>
      <w:r w:rsidRPr="00273106">
        <w:rPr>
          <w:i/>
        </w:rPr>
        <w:t>imitatur et participat libertatem ipsius</w:t>
      </w:r>
      <w:r w:rsidRPr="00273106">
        <w:t xml:space="preserve">). Proto </w:t>
      </w:r>
      <w:r>
        <w:t xml:space="preserve">člověk </w:t>
      </w:r>
      <w:r w:rsidRPr="00273106">
        <w:t xml:space="preserve">převyšuje touto schopností jakýkoliv jiný stvořený rod, který je nebo může být. </w:t>
      </w:r>
      <w:r>
        <w:t xml:space="preserve">Emanací lidské vůle do světa na způsob boží stvořitelské vůle je vytvořena ontoteologická stavba metafyziky, která je objektivně nutná pro vznik kapitalismu. </w:t>
      </w:r>
      <w:r w:rsidRPr="00273106">
        <w:t>Lidská vůle tvoří emanaci bo</w:t>
      </w:r>
      <w:r>
        <w:t xml:space="preserve">ží svobody díky maximální podobnosti </w:t>
      </w:r>
      <w:r w:rsidRPr="00273106">
        <w:t>(</w:t>
      </w:r>
      <w:r w:rsidRPr="00273106">
        <w:rPr>
          <w:i/>
        </w:rPr>
        <w:t>imitatur eam tanquam quaedam emanatio eius</w:t>
      </w:r>
      <w:r w:rsidRPr="00273106">
        <w:t xml:space="preserve">). </w:t>
      </w:r>
      <w:r>
        <w:t>B</w:t>
      </w:r>
      <w:r w:rsidRPr="00273106">
        <w:t xml:space="preserve">ůh je svobodný </w:t>
      </w:r>
      <w:r w:rsidR="00176E93">
        <w:t>„</w:t>
      </w:r>
      <w:r w:rsidRPr="00273106">
        <w:rPr>
          <w:i/>
        </w:rPr>
        <w:t>proprie et per se</w:t>
      </w:r>
      <w:r w:rsidR="00176E93">
        <w:t>“</w:t>
      </w:r>
      <w:r>
        <w:t xml:space="preserve"> a </w:t>
      </w:r>
      <w:r w:rsidRPr="00273106">
        <w:t xml:space="preserve">stvořená lidská vůle participuje skrze imitaci na této boží svobodě. Klíčová je poslední věta zakládající novou metafyziku vůle. </w:t>
      </w:r>
      <w:r>
        <w:t xml:space="preserve">Emanační model </w:t>
      </w:r>
      <w:proofErr w:type="gramStart"/>
      <w:r>
        <w:t>je</w:t>
      </w:r>
      <w:proofErr w:type="gramEnd"/>
      <w:r>
        <w:t xml:space="preserve"> vzatý z Avicennova pojetí činného kosmického intelektu nyní </w:t>
      </w:r>
      <w:proofErr w:type="gramStart"/>
      <w:r>
        <w:t>funguje</w:t>
      </w:r>
      <w:proofErr w:type="gramEnd"/>
      <w:r>
        <w:t xml:space="preserve"> v antropologickém scénáři. </w:t>
      </w:r>
      <w:r w:rsidRPr="00273106">
        <w:t xml:space="preserve">Předchozí citát ukázal, že nadřazené postavení svobodné vůle zakládá nový </w:t>
      </w:r>
      <w:r w:rsidRPr="00273106">
        <w:rPr>
          <w:i/>
        </w:rPr>
        <w:t>aspectus</w:t>
      </w:r>
      <w:r w:rsidRPr="00273106">
        <w:t xml:space="preserve"> na smysl jsoucna v jeho celku. </w:t>
      </w:r>
      <w:r>
        <w:t xml:space="preserve">Nyní je vůle navázána na teologický původ a na původní archetypický vzor. Tím je vytvořena celková stavba jsoucna v rámci nového metafyzického </w:t>
      </w:r>
      <w:r w:rsidRPr="001F1D70">
        <w:rPr>
          <w:i/>
        </w:rPr>
        <w:t>resolutio</w:t>
      </w:r>
      <w:r>
        <w:rPr>
          <w:i/>
        </w:rPr>
        <w:fldChar w:fldCharType="begin"/>
      </w:r>
      <w:r>
        <w:instrText xml:space="preserve"> XE "</w:instrText>
      </w:r>
      <w:r w:rsidRPr="00111E9E">
        <w:rPr>
          <w:i/>
        </w:rPr>
        <w:instrText>resolutio</w:instrText>
      </w:r>
      <w:r>
        <w:rPr>
          <w:i/>
        </w:rPr>
        <w:instrText>:</w:instrText>
      </w:r>
      <w:r w:rsidRPr="007D3515">
        <w:instrText>Olivi</w:instrText>
      </w:r>
      <w:r>
        <w:instrText xml:space="preserve">" </w:instrText>
      </w:r>
      <w:r>
        <w:rPr>
          <w:i/>
        </w:rPr>
        <w:fldChar w:fldCharType="end"/>
      </w:r>
      <w:r>
        <w:t>. A</w:t>
      </w:r>
      <w:r w:rsidRPr="00273106">
        <w:t xml:space="preserve">ktivní a suverénní </w:t>
      </w:r>
      <w:r>
        <w:t>vůle není subjekt jako pasivní nositel či substrát</w:t>
      </w:r>
      <w:r w:rsidRPr="00273106">
        <w:t xml:space="preserve"> (</w:t>
      </w:r>
      <w:r w:rsidRPr="00273106">
        <w:rPr>
          <w:i/>
        </w:rPr>
        <w:t>subiectum</w:t>
      </w:r>
      <w:r>
        <w:rPr>
          <w:i/>
        </w:rPr>
        <w:fldChar w:fldCharType="begin"/>
      </w:r>
      <w:r>
        <w:instrText xml:space="preserve"> XE "</w:instrText>
      </w:r>
      <w:r w:rsidRPr="00360013">
        <w:rPr>
          <w:i/>
        </w:rPr>
        <w:instrText>subiectum:</w:instrText>
      </w:r>
      <w:r w:rsidRPr="004B1512">
        <w:instrText>Olivi</w:instrText>
      </w:r>
      <w:r>
        <w:instrText xml:space="preserve">" </w:instrText>
      </w:r>
      <w:r>
        <w:rPr>
          <w:i/>
        </w:rPr>
        <w:fldChar w:fldCharType="end"/>
      </w:r>
      <w:r w:rsidRPr="00273106">
        <w:t xml:space="preserve">) nějaké </w:t>
      </w:r>
      <w:r>
        <w:t xml:space="preserve">duševní </w:t>
      </w:r>
      <w:r w:rsidRPr="00273106">
        <w:t xml:space="preserve">schopnosti </w:t>
      </w:r>
      <w:r>
        <w:t xml:space="preserve">něco chtít a </w:t>
      </w:r>
      <w:r w:rsidRPr="00273106">
        <w:t>něc</w:t>
      </w:r>
      <w:r>
        <w:t>o</w:t>
      </w:r>
      <w:r w:rsidRPr="00273106">
        <w:t xml:space="preserve"> demiurgicky tvořit. </w:t>
      </w:r>
      <w:r>
        <w:t xml:space="preserve">Ipseitně daný nositel moderní svobodné </w:t>
      </w:r>
      <w:r>
        <w:lastRenderedPageBreak/>
        <w:t xml:space="preserve">vůle představuje díky reálné distinkci od zbytku jsoucna něco zásadně jiného než celek vnějších aktů vůle. </w:t>
      </w:r>
      <w:r w:rsidRPr="00273106">
        <w:t xml:space="preserve">Vůle </w:t>
      </w:r>
      <w:r>
        <w:t>moderního subjektu není něco</w:t>
      </w:r>
      <w:r w:rsidRPr="00273106">
        <w:t xml:space="preserve"> objektivního, protože díky imanentní svobodě nemůže být redukována</w:t>
      </w:r>
      <w:r>
        <w:t xml:space="preserve"> na objekt. </w:t>
      </w:r>
      <w:r w:rsidRPr="00273106">
        <w:t>Oliviho pojetí osoby dané v rámci druhé</w:t>
      </w:r>
      <w:r>
        <w:t>ho</w:t>
      </w:r>
      <w:r w:rsidRPr="00273106">
        <w:t xml:space="preserve"> a</w:t>
      </w:r>
      <w:r>
        <w:t>verroismu je revolučně</w:t>
      </w:r>
      <w:r w:rsidRPr="00273106">
        <w:t xml:space="preserve"> moderní, proto</w:t>
      </w:r>
      <w:r>
        <w:t>že</w:t>
      </w:r>
      <w:r w:rsidRPr="00273106">
        <w:t xml:space="preserve"> </w:t>
      </w:r>
      <w:r>
        <w:t xml:space="preserve">je </w:t>
      </w:r>
      <w:r w:rsidRPr="00273106">
        <w:t>důsledně nihilistické</w:t>
      </w:r>
      <w:r>
        <w:fldChar w:fldCharType="begin"/>
      </w:r>
      <w:r>
        <w:instrText xml:space="preserve"> XE "</w:instrText>
      </w:r>
      <w:r w:rsidRPr="00FE4C5E">
        <w:instrText>nihilismus</w:instrText>
      </w:r>
      <w:r>
        <w:instrText xml:space="preserve">" </w:instrText>
      </w:r>
      <w:r>
        <w:fldChar w:fldCharType="end"/>
      </w:r>
      <w:r w:rsidRPr="00273106">
        <w:t xml:space="preserve">. </w:t>
      </w:r>
      <w:r>
        <w:t xml:space="preserve">Není divu, že i tehdejší modernisticky zaměrená </w:t>
      </w:r>
      <w:r w:rsidRPr="00273106">
        <w:t xml:space="preserve">církev </w:t>
      </w:r>
      <w:r>
        <w:t xml:space="preserve">jej </w:t>
      </w:r>
      <w:r w:rsidRPr="00273106">
        <w:t>nakonec odmítla</w:t>
      </w:r>
      <w:r>
        <w:t xml:space="preserve"> jako příliš radikální. Filosof Aquasparta </w:t>
      </w:r>
      <w:r>
        <w:fldChar w:fldCharType="begin"/>
      </w:r>
      <w:r>
        <w:instrText xml:space="preserve"> XE "</w:instrText>
      </w:r>
      <w:r w:rsidRPr="003B1826">
        <w:instrText>Aquasparta, M.</w:instrText>
      </w:r>
      <w:r>
        <w:instrText xml:space="preserve">" </w:instrText>
      </w:r>
      <w:r>
        <w:fldChar w:fldCharType="end"/>
      </w:r>
      <w:r>
        <w:t>jako g</w:t>
      </w:r>
      <w:r w:rsidRPr="00273106">
        <w:t>enerál řádu Menších</w:t>
      </w:r>
      <w:r>
        <w:t xml:space="preserve"> bratří </w:t>
      </w:r>
      <w:r w:rsidRPr="00273106">
        <w:t xml:space="preserve">tohoto originálního myslitele </w:t>
      </w:r>
      <w:r>
        <w:t>chránil</w:t>
      </w:r>
      <w:r w:rsidRPr="00273106">
        <w:t xml:space="preserve">, dokud to jen šlo. Aquasparta je </w:t>
      </w:r>
      <w:r>
        <w:t xml:space="preserve">dalším </w:t>
      </w:r>
      <w:r w:rsidRPr="00273106">
        <w:t>zakladatelem konceptu objektivity, proto Oliviho s</w:t>
      </w:r>
      <w:r w:rsidR="08F5713D">
        <w:t>pisům rozuměl do hloubky (kap. 5</w:t>
      </w:r>
      <w:r w:rsidRPr="00273106">
        <w:t xml:space="preserve">.2). </w:t>
      </w:r>
      <w:r>
        <w:t>Z hlediska teorie pravdy je k</w:t>
      </w:r>
      <w:r w:rsidRPr="00273106">
        <w:t>líčový způsob vzniku podobnosti (</w:t>
      </w:r>
      <w:r w:rsidRPr="00273106">
        <w:rPr>
          <w:i/>
        </w:rPr>
        <w:t>similitudo</w:t>
      </w:r>
      <w:r>
        <w:rPr>
          <w:i/>
        </w:rPr>
        <w:fldChar w:fldCharType="begin"/>
      </w:r>
      <w:r>
        <w:instrText xml:space="preserve"> XE "pravda:</w:instrText>
      </w:r>
      <w:r w:rsidRPr="00B44143">
        <w:rPr>
          <w:i/>
        </w:rPr>
        <w:instrText>similitudo</w:instrText>
      </w:r>
      <w:r>
        <w:instrText xml:space="preserve">" </w:instrText>
      </w:r>
      <w:r>
        <w:rPr>
          <w:i/>
        </w:rPr>
        <w:fldChar w:fldCharType="end"/>
      </w:r>
      <w:r w:rsidRPr="00273106">
        <w:t>), který je daný nasvícením smyslu jsoucna zezadu, od aktuálně působící vůle a na ni napojeného intelekt</w:t>
      </w:r>
      <w:r>
        <w:t xml:space="preserve">u. Vraťme se k hermeneutickému </w:t>
      </w:r>
      <w:r w:rsidRPr="00273106">
        <w:rPr>
          <w:i/>
        </w:rPr>
        <w:t>Wie</w:t>
      </w:r>
      <w:r>
        <w:rPr>
          <w:i/>
        </w:rPr>
        <w:fldChar w:fldCharType="begin"/>
      </w:r>
      <w:r>
        <w:instrText xml:space="preserve"> XE "hermeneutické </w:instrText>
      </w:r>
      <w:r w:rsidRPr="004C00ED">
        <w:rPr>
          <w:i/>
        </w:rPr>
        <w:instrText>Wie</w:instrText>
      </w:r>
      <w:r>
        <w:instrText xml:space="preserve">:Olivi" </w:instrText>
      </w:r>
      <w:r>
        <w:rPr>
          <w:i/>
        </w:rPr>
        <w:fldChar w:fldCharType="end"/>
      </w:r>
      <w:r w:rsidRPr="00273106">
        <w:t xml:space="preserve"> (πῶς, </w:t>
      </w:r>
      <w:r w:rsidRPr="00273106">
        <w:rPr>
          <w:i/>
          <w:iCs/>
        </w:rPr>
        <w:t>quomodo</w:t>
      </w:r>
      <w:r w:rsidRPr="00273106">
        <w:t xml:space="preserve">), které Siger podle </w:t>
      </w:r>
      <w:r>
        <w:rPr>
          <w:i/>
        </w:rPr>
        <w:t>De anima</w:t>
      </w:r>
      <w:r w:rsidRPr="00273106">
        <w:t xml:space="preserve"> jednoznačně přiřadil k bytí reálné věci akcide</w:t>
      </w:r>
      <w:r w:rsidR="08A826C8">
        <w:t>ntálně poznávané v mysli (kap. 4</w:t>
      </w:r>
      <w:r w:rsidRPr="00273106">
        <w:t>.4.2). Olivi říká něco úplně jiného, protože má před sebou svět daný v subjekt-objektovém vztahu</w:t>
      </w:r>
      <w:r>
        <w:t xml:space="preserve"> určeném vůlí jako atomární první substancí</w:t>
      </w:r>
      <w:r w:rsidRPr="00273106">
        <w:t xml:space="preserve">. </w:t>
      </w:r>
      <w:r>
        <w:t xml:space="preserve">Moderní vůle </w:t>
      </w:r>
      <w:r w:rsidRPr="00273106">
        <w:t>ex</w:t>
      </w:r>
      <w:r>
        <w:t xml:space="preserve">istuje v aktu Rufusova </w:t>
      </w:r>
      <w:r w:rsidRPr="00273106">
        <w:rPr>
          <w:i/>
        </w:rPr>
        <w:t>exsistere</w:t>
      </w:r>
      <w:r>
        <w:rPr>
          <w:i/>
        </w:rPr>
        <w:fldChar w:fldCharType="begin"/>
      </w:r>
      <w:r>
        <w:instrText xml:space="preserve"> XE "</w:instrText>
      </w:r>
      <w:r w:rsidRPr="008E07A9">
        <w:rPr>
          <w:i/>
        </w:rPr>
        <w:instrText>exsistere</w:instrText>
      </w:r>
      <w:r>
        <w:instrText xml:space="preserve">" </w:instrText>
      </w:r>
      <w:r>
        <w:rPr>
          <w:i/>
        </w:rPr>
        <w:fldChar w:fldCharType="end"/>
      </w:r>
      <w:r w:rsidRPr="00273106">
        <w:t xml:space="preserve"> tím, že transcenduje v rámci demiurgické aktivity směrem od </w:t>
      </w:r>
      <w:r>
        <w:t>intimní substance</w:t>
      </w:r>
      <w:r>
        <w:fldChar w:fldCharType="begin"/>
      </w:r>
      <w:r>
        <w:instrText xml:space="preserve"> XE "</w:instrText>
      </w:r>
      <w:r w:rsidRPr="00DE2A32">
        <w:instrText>substance</w:instrText>
      </w:r>
      <w:r>
        <w:instrText xml:space="preserve">:vůle" </w:instrText>
      </w:r>
      <w:r>
        <w:fldChar w:fldCharType="end"/>
      </w:r>
      <w:r>
        <w:t xml:space="preserve"> ke chtěné věci. Spor mezi Sigerem a Olivim se pochopitelně opakuje</w:t>
      </w:r>
      <w:r w:rsidRPr="00E03AEE">
        <w:t xml:space="preserve"> </w:t>
      </w:r>
      <w:r>
        <w:t>i v postmoderně. Spinoza pochopil podobně jako Olivi význam ipseitního sebe</w:t>
      </w:r>
      <w:r>
        <w:noBreakHyphen/>
        <w:t xml:space="preserve">vlastnění svobodné vůle proti </w:t>
      </w:r>
      <w:proofErr w:type="gramStart"/>
      <w:r>
        <w:t>Descartově</w:t>
      </w:r>
      <w:proofErr w:type="gramEnd"/>
      <w:r>
        <w:t xml:space="preserve"> intelektualismu (</w:t>
      </w:r>
      <w:r w:rsidRPr="08F05CBB">
        <w:rPr>
          <w:i/>
        </w:rPr>
        <w:t>voluntas, et intellectus unum, et idem sunt</w:t>
      </w:r>
      <w:r>
        <w:rPr>
          <w:i/>
        </w:rPr>
        <w:t xml:space="preserve">; Ethica </w:t>
      </w:r>
      <w:r w:rsidRPr="08F05CBB">
        <w:t>II, propositio 49, corol.)</w:t>
      </w:r>
      <w:r>
        <w:t>.</w:t>
      </w:r>
      <w:r w:rsidRPr="08F05CBB">
        <w:t xml:space="preserve"> </w:t>
      </w:r>
      <w:r>
        <w:t xml:space="preserve">Spinoza kritizoval kartezianismus </w:t>
      </w:r>
      <w:proofErr w:type="gramStart"/>
      <w:r>
        <w:t>podobně jako</w:t>
      </w:r>
      <w:proofErr w:type="gramEnd"/>
      <w:r>
        <w:t xml:space="preserve"> Olivi kritizoval aristotelismus s jeho primátem intelektu. Spinoza</w:t>
      </w:r>
      <w:r>
        <w:fldChar w:fldCharType="begin"/>
      </w:r>
      <w:r>
        <w:instrText xml:space="preserve"> XE "</w:instrText>
      </w:r>
      <w:r w:rsidRPr="00BB66E4">
        <w:instrText>Spinoza, B.</w:instrText>
      </w:r>
      <w:r>
        <w:instrText xml:space="preserve">" </w:instrText>
      </w:r>
      <w:r>
        <w:fldChar w:fldCharType="end"/>
      </w:r>
      <w:r>
        <w:t xml:space="preserve"> zavedl přímo do boží ipseity rozdíl mezi jednou substancí a jejími nekonečnými mody v rámci postmoderní </w:t>
      </w:r>
      <w:r w:rsidRPr="00BB20E1">
        <w:rPr>
          <w:i/>
        </w:rPr>
        <w:t>distinctio realis</w:t>
      </w:r>
      <w:r>
        <w:t xml:space="preserve">. Tím si plně zajistil avicennovskou dedukci </w:t>
      </w:r>
      <w:r w:rsidRPr="00F26689">
        <w:rPr>
          <w:i/>
        </w:rPr>
        <w:t>modo geometrico</w:t>
      </w:r>
      <w:r>
        <w:rPr>
          <w:i/>
        </w:rPr>
        <w:fldChar w:fldCharType="begin"/>
      </w:r>
      <w:r>
        <w:instrText xml:space="preserve"> XE "</w:instrText>
      </w:r>
      <w:r w:rsidRPr="00E71D05">
        <w:instrText>predikace</w:instrText>
      </w:r>
      <w:r w:rsidRPr="00E71D05">
        <w:rPr>
          <w:i/>
        </w:rPr>
        <w:instrText>:modo geometrico</w:instrText>
      </w:r>
      <w:r>
        <w:instrText xml:space="preserve">" </w:instrText>
      </w:r>
      <w:r>
        <w:rPr>
          <w:i/>
        </w:rPr>
        <w:fldChar w:fldCharType="end"/>
      </w:r>
      <w:r>
        <w:t xml:space="preserve"> od jedné ipseitně dané substance, která je díky reálné distinci stvořitelského bytí a vůle oddělena od zbytku jsoucna. Stvoření pak představuje vzhledem k boží ipseitě jeho </w:t>
      </w:r>
      <w:r w:rsidRPr="005B4C56">
        <w:rPr>
          <w:i/>
        </w:rPr>
        <w:t>aspectus</w:t>
      </w:r>
      <w:r>
        <w:t>, čili nekonečnou modalitu. Spinoza tak zopakoval panteismus</w:t>
      </w:r>
      <w:r>
        <w:fldChar w:fldCharType="begin"/>
      </w:r>
      <w:r>
        <w:instrText xml:space="preserve"> XE "</w:instrText>
      </w:r>
      <w:r w:rsidRPr="00AA6305">
        <w:instrText>panteismus</w:instrText>
      </w:r>
      <w:r>
        <w:instrText xml:space="preserve">" </w:instrText>
      </w:r>
      <w:r>
        <w:fldChar w:fldCharType="end"/>
      </w:r>
      <w:r>
        <w:t xml:space="preserve"> Davida z Dinantu</w:t>
      </w:r>
      <w:r>
        <w:fldChar w:fldCharType="begin"/>
      </w:r>
      <w:r>
        <w:instrText xml:space="preserve"> XE "</w:instrText>
      </w:r>
      <w:r w:rsidRPr="00A9495E">
        <w:instrText>David z Dinantu</w:instrText>
      </w:r>
      <w:r>
        <w:instrText xml:space="preserve">" </w:instrText>
      </w:r>
      <w:r>
        <w:fldChar w:fldCharType="end"/>
      </w:r>
      <w:r>
        <w:t xml:space="preserve">, který tento aristotelik vázal nikoliv na demiurgickou boží substanci-vůli, ale na boží intelekt. Amsterodamská židovská </w:t>
      </w:r>
      <w:r w:rsidR="00F2252A">
        <w:t xml:space="preserve">obec jej exkomunikovala </w:t>
      </w:r>
      <w:proofErr w:type="gramStart"/>
      <w:r w:rsidR="00F2252A">
        <w:t xml:space="preserve">stejně </w:t>
      </w:r>
      <w:r>
        <w:t>jako</w:t>
      </w:r>
      <w:proofErr w:type="gramEnd"/>
      <w:r>
        <w:t xml:space="preserve"> </w:t>
      </w:r>
      <w:r w:rsidR="08A826C8">
        <w:t xml:space="preserve">Pařížská univerzita exkomunikovala </w:t>
      </w:r>
      <w:r>
        <w:t>Davida z</w:t>
      </w:r>
      <w:r w:rsidR="08A826C8">
        <w:t> </w:t>
      </w:r>
      <w:r>
        <w:t>Dinantu</w:t>
      </w:r>
      <w:r w:rsidR="08A826C8">
        <w:t>. M</w:t>
      </w:r>
      <w:r>
        <w:t>onoteistická teologie a víra se principiálně nesnáší s moderním antropocentrismem. Olivi jako první modernista otočil Sigerovu</w:t>
      </w:r>
      <w:r w:rsidRPr="00273106">
        <w:t xml:space="preserve"> </w:t>
      </w:r>
      <w:r>
        <w:t xml:space="preserve">fenomenologickou </w:t>
      </w:r>
      <w:r w:rsidRPr="00273106">
        <w:t>pozi</w:t>
      </w:r>
      <w:r>
        <w:t xml:space="preserve">ci danou vzhledem </w:t>
      </w:r>
      <w:r w:rsidR="00F2252A">
        <w:t>k hylemorfické osobě.</w:t>
      </w:r>
    </w:p>
    <w:p w:rsidR="00C116B1" w:rsidRDefault="08163013" w:rsidP="00F2252A">
      <w:pPr>
        <w:ind w:firstLine="397"/>
      </w:pPr>
      <w:r>
        <w:lastRenderedPageBreak/>
        <w:t>Olivi definoval ipseitu vzhledem k vůli, a tím z ní udělal novou ipseitně danou substanci v člověku. Absolutní vůle určená skrze přivlastňovací objektivní dativ (</w:t>
      </w:r>
      <w:r w:rsidRPr="000B7C3A">
        <w:rPr>
          <w:i/>
        </w:rPr>
        <w:t>dativus possessivus</w:t>
      </w:r>
      <w:r>
        <w:rPr>
          <w:i/>
        </w:rPr>
        <w:fldChar w:fldCharType="begin"/>
      </w:r>
      <w:r>
        <w:instrText xml:space="preserve"> XE "</w:instrText>
      </w:r>
      <w:r w:rsidRPr="00346BEB">
        <w:rPr>
          <w:i/>
        </w:rPr>
        <w:instrText>dativus possessivus</w:instrText>
      </w:r>
      <w:r>
        <w:instrText xml:space="preserve">" </w:instrText>
      </w:r>
      <w:r>
        <w:rPr>
          <w:i/>
        </w:rPr>
        <w:fldChar w:fldCharType="end"/>
      </w:r>
      <w:r>
        <w:t>) nově osmyslňuje celek jsoucna a tím vytváří nového demiurga (</w:t>
      </w:r>
      <w:r w:rsidRPr="000B7C3A">
        <w:rPr>
          <w:i/>
        </w:rPr>
        <w:t>dativus</w:t>
      </w:r>
      <w:r>
        <w:rPr>
          <w:i/>
        </w:rPr>
        <w:t xml:space="preserve"> auctoris</w:t>
      </w:r>
      <w:r>
        <w:rPr>
          <w:i/>
        </w:rPr>
        <w:fldChar w:fldCharType="begin"/>
      </w:r>
      <w:r>
        <w:instrText xml:space="preserve"> XE "</w:instrText>
      </w:r>
      <w:r w:rsidRPr="00B2535A">
        <w:rPr>
          <w:i/>
        </w:rPr>
        <w:instrText>dativus auctoris</w:instrText>
      </w:r>
      <w:r>
        <w:instrText xml:space="preserve">" </w:instrText>
      </w:r>
      <w:r>
        <w:rPr>
          <w:i/>
        </w:rPr>
        <w:fldChar w:fldCharType="end"/>
      </w:r>
      <w:r>
        <w:t>). Jak</w:t>
      </w:r>
      <w:r w:rsidRPr="00273106">
        <w:t xml:space="preserve"> je věc reflexivně chtěna a poznána ve svém fundamentálním aspektu, tak je i </w:t>
      </w:r>
      <w:r>
        <w:t xml:space="preserve">metafyzicky </w:t>
      </w:r>
      <w:r w:rsidRPr="00273106">
        <w:t xml:space="preserve">dána. Každé jsoucno je nebo může být objektem svobodného chtění. </w:t>
      </w:r>
      <w:r>
        <w:t xml:space="preserve">Olivi našel nové určení celku jsoucna dané jak intimně, tak univerzálně kauzálně. Antropocentrická metafyzika nastoupila na uprázdněný trůn hyparchicky predikované první substance. Aristotelská kauzalita je v diakosmu svobodné vůle supendována. Moderní vůle je plným suverénem určujícím smysl voluntaristicky a demiurgicky daného </w:t>
      </w:r>
      <w:r w:rsidRPr="0032634E">
        <w:rPr>
          <w:i/>
        </w:rPr>
        <w:t>tertium ens</w:t>
      </w:r>
      <w:r>
        <w:rPr>
          <w:i/>
        </w:rPr>
        <w:fldChar w:fldCharType="begin"/>
      </w:r>
      <w:r>
        <w:instrText xml:space="preserve"> XE "</w:instrText>
      </w:r>
      <w:r w:rsidRPr="002F10B4">
        <w:rPr>
          <w:rStyle w:val="Zvraznn"/>
        </w:rPr>
        <w:instrText>tertium ens</w:instrText>
      </w:r>
      <w:r>
        <w:rPr>
          <w:rStyle w:val="Zvraznn"/>
        </w:rPr>
        <w:instrText>:</w:instrText>
      </w:r>
      <w:r w:rsidRPr="006148EB">
        <w:rPr>
          <w:rStyle w:val="Zvraznn"/>
          <w:i w:val="0"/>
        </w:rPr>
        <w:instrText>vůle</w:instrText>
      </w:r>
      <w:r>
        <w:instrText xml:space="preserve">" </w:instrText>
      </w:r>
      <w:r>
        <w:rPr>
          <w:i/>
        </w:rPr>
        <w:fldChar w:fldCharType="end"/>
      </w:r>
      <w:r>
        <w:t xml:space="preserve">. Olivi zavádí novou verzi </w:t>
      </w:r>
      <w:r w:rsidRPr="00273106">
        <w:t>Jamblichova diakosmu</w:t>
      </w:r>
      <w:r>
        <w:fldChar w:fldCharType="begin"/>
      </w:r>
      <w:r>
        <w:instrText xml:space="preserve"> XE "</w:instrText>
      </w:r>
      <w:r w:rsidRPr="00C666D5">
        <w:instrText>diakosmos</w:instrText>
      </w:r>
      <w:r>
        <w:instrText xml:space="preserve">" </w:instrText>
      </w:r>
      <w:r>
        <w:fldChar w:fldCharType="end"/>
      </w:r>
      <w:r>
        <w:t xml:space="preserve">, protože dogmatická filosofie moderny úspěšně vytvořila vlastní </w:t>
      </w:r>
      <w:proofErr w:type="gramStart"/>
      <w:r>
        <w:t>verzi  třetího</w:t>
      </w:r>
      <w:proofErr w:type="gramEnd"/>
      <w:r>
        <w:t xml:space="preserve"> světa (</w:t>
      </w:r>
      <w:r w:rsidRPr="00273106">
        <w:rPr>
          <w:i/>
          <w:iCs/>
        </w:rPr>
        <w:t>'ālam al-mithāl</w:t>
      </w:r>
      <w:r>
        <w:t>) islámské mystiky a falsafy (</w:t>
      </w:r>
      <w:r w:rsidR="088376F4">
        <w:t xml:space="preserve">OBJ I, </w:t>
      </w:r>
      <w:r>
        <w:t>kap. 2.3.3). Třetí svět neoplatoniků se nyní stal intimní podstatou svobodné vůle. Z hlediska šalebných Múz,</w:t>
      </w:r>
      <w:r>
        <w:fldChar w:fldCharType="begin"/>
      </w:r>
      <w:r>
        <w:instrText xml:space="preserve"> XE "</w:instrText>
      </w:r>
      <w:r w:rsidRPr="08C11E74">
        <w:instrText>Múzy</w:instrText>
      </w:r>
      <w:r>
        <w:instrText xml:space="preserve">" </w:instrText>
      </w:r>
      <w:r>
        <w:fldChar w:fldCharType="end"/>
      </w:r>
      <w:r>
        <w:t xml:space="preserve"> </w:t>
      </w:r>
      <w:r w:rsidR="00F87137">
        <w:t xml:space="preserve">které </w:t>
      </w:r>
      <w:r>
        <w:t>skrytě řídí skrze Fúrie tuto nihilistickou mytopoetiku, je to ideální stav. Oslu není třeba ukazovat vnější mrkev, protože si její volní reprezentaci nese sám v sobě. Moderní běh za chtěným simulákrem je logicky-objektivně zdůvodněn v modu esenciálního vědeckého důkazu. H</w:t>
      </w:r>
      <w:r w:rsidR="008674EB">
        <w:t xml:space="preserve">enry z </w:t>
      </w:r>
      <w:proofErr w:type="gramStart"/>
      <w:r w:rsidR="008674EB">
        <w:t>Gentu</w:t>
      </w:r>
      <w:proofErr w:type="gramEnd"/>
      <w:r w:rsidR="008674EB">
        <w:t xml:space="preserve"> rozšířil</w:t>
      </w:r>
      <w:r w:rsidRPr="00273106">
        <w:t xml:space="preserve"> tento objektivní aspekt jsoucna i na nově tematizovanou subjektivitu božího demiurga</w:t>
      </w:r>
      <w:r>
        <w:fldChar w:fldCharType="begin"/>
      </w:r>
      <w:r>
        <w:instrText xml:space="preserve"> XE "</w:instrText>
      </w:r>
      <w:r w:rsidRPr="005C2F4A">
        <w:rPr>
          <w:rStyle w:val="addmd"/>
        </w:rPr>
        <w:instrText>demiurg</w:instrText>
      </w:r>
      <w:r>
        <w:instrText xml:space="preserve">" </w:instrText>
      </w:r>
      <w:r>
        <w:fldChar w:fldCharType="end"/>
      </w:r>
      <w:r w:rsidR="008674EB">
        <w:t>, a tím dokončil</w:t>
      </w:r>
      <w:r w:rsidRPr="00273106">
        <w:t xml:space="preserve"> stavbu objektivity na rovině ontoteologie.</w:t>
      </w:r>
      <w:r>
        <w:t xml:space="preserve"> Pak je úplně jasné, že pohani typu Aristotela a Averroese nepatří do světa moderních křesťanských iluminátů.</w:t>
      </w:r>
      <w:r w:rsidRPr="00F24427">
        <w:t xml:space="preserve"> </w:t>
      </w:r>
      <w:r>
        <w:t>S</w:t>
      </w:r>
      <w:r w:rsidRPr="00273106">
        <w:t xml:space="preserve">ubjekt </w:t>
      </w:r>
      <w:r w:rsidRPr="00273106">
        <w:rPr>
          <w:i/>
        </w:rPr>
        <w:t>Modernorum</w:t>
      </w:r>
      <w:r w:rsidRPr="00273106">
        <w:t xml:space="preserve"> </w:t>
      </w:r>
      <w:r>
        <w:t xml:space="preserve">se díky Olivimu kolem 1275‒77 zcela oddělil od </w:t>
      </w:r>
      <w:proofErr w:type="gramStart"/>
      <w:r w:rsidRPr="00CE3BD4">
        <w:rPr>
          <w:i/>
        </w:rPr>
        <w:t>via</w:t>
      </w:r>
      <w:proofErr w:type="gramEnd"/>
      <w:r w:rsidRPr="00CE3BD4">
        <w:rPr>
          <w:i/>
        </w:rPr>
        <w:t xml:space="preserve"> Antiquorum</w:t>
      </w:r>
      <w:r>
        <w:t xml:space="preserve"> hlásajících zastaralé principy Aristotelovy metafyziky, logiky, jednotu osoby a pravdy danou jako kritické vědecké myšlení vztažené k realitě první substance.</w:t>
      </w:r>
      <w:r w:rsidRPr="0864497D">
        <w:rPr>
          <w:rStyle w:val="Zkladntext158dkovn0pt"/>
          <w:color w:val="auto"/>
          <w:spacing w:val="0"/>
          <w:sz w:val="24"/>
          <w:lang w:val="cs-CZ"/>
        </w:rPr>
        <w:t xml:space="preserve"> </w:t>
      </w:r>
      <w:r>
        <w:t xml:space="preserve">Citáty proti Aristotelovi ukazují sebevědomí prvních představitelů </w:t>
      </w:r>
      <w:r w:rsidRPr="00A778FD">
        <w:rPr>
          <w:i/>
        </w:rPr>
        <w:t>via Modernorum</w:t>
      </w:r>
      <w:r>
        <w:t xml:space="preserve"> v modu sofistické kulturní hegemonie</w:t>
      </w:r>
      <w:r>
        <w:fldChar w:fldCharType="begin"/>
      </w:r>
      <w:r>
        <w:instrText xml:space="preserve"> XE "</w:instrText>
      </w:r>
      <w:r w:rsidRPr="085233AE">
        <w:instrText>kulturní hegemonie</w:instrText>
      </w:r>
      <w:r>
        <w:instrText xml:space="preserve">" </w:instrText>
      </w:r>
      <w:r>
        <w:fldChar w:fldCharType="end"/>
      </w:r>
      <w:r>
        <w:t xml:space="preserve"> (A. Gramsci</w:t>
      </w:r>
      <w:r>
        <w:fldChar w:fldCharType="begin"/>
      </w:r>
      <w:r>
        <w:instrText xml:space="preserve"> XE "Gramsci</w:instrText>
      </w:r>
      <w:r w:rsidRPr="00E67C92">
        <w:instrText>, A.</w:instrText>
      </w:r>
      <w:r>
        <w:instrText xml:space="preserve">" </w:instrText>
      </w:r>
      <w:r>
        <w:fldChar w:fldCharType="end"/>
      </w:r>
      <w:r>
        <w:t xml:space="preserve">), která se nemusí starat o pravdu jako kritickou </w:t>
      </w:r>
      <w:r w:rsidR="08C0752C">
        <w:t>adekvaci mysli a reality (kap. 4</w:t>
      </w:r>
      <w:r>
        <w:t xml:space="preserve">.6). </w:t>
      </w:r>
      <w:r w:rsidRPr="00273106">
        <w:t xml:space="preserve">Olivi </w:t>
      </w:r>
      <w:r>
        <w:t>zavádí pojetí vůle, která r</w:t>
      </w:r>
      <w:r w:rsidRPr="00273106">
        <w:t>eguluje svět díky d</w:t>
      </w:r>
      <w:r>
        <w:t>emiurgické schopnosti subjektu. Tento m</w:t>
      </w:r>
      <w:r w:rsidRPr="00273106">
        <w:rPr>
          <w:rStyle w:val="Zkladntext158dkovn0pt"/>
          <w:color w:val="auto"/>
          <w:spacing w:val="0"/>
          <w:sz w:val="24"/>
          <w:lang w:val="cs-CZ"/>
        </w:rPr>
        <w:t xml:space="preserve">ystik a filosof </w:t>
      </w:r>
      <w:r>
        <w:t xml:space="preserve">pojal jsoucno jako </w:t>
      </w:r>
      <w:r w:rsidRPr="00273106">
        <w:rPr>
          <w:i/>
        </w:rPr>
        <w:t>aspectus</w:t>
      </w:r>
      <w:r w:rsidRPr="00273106">
        <w:t xml:space="preserve"> daný </w:t>
      </w:r>
      <w:r w:rsidRPr="00273106">
        <w:rPr>
          <w:i/>
        </w:rPr>
        <w:t>obiective</w:t>
      </w:r>
      <w:r w:rsidRPr="00273106">
        <w:t xml:space="preserve"> od </w:t>
      </w:r>
      <w:r>
        <w:t xml:space="preserve">suverénní </w:t>
      </w:r>
      <w:r w:rsidRPr="00273106">
        <w:t>vůle</w:t>
      </w:r>
      <w:r>
        <w:t xml:space="preserve"> subjektu</w:t>
      </w:r>
      <w:r>
        <w:fldChar w:fldCharType="begin"/>
      </w:r>
      <w:r>
        <w:instrText xml:space="preserve"> XE "</w:instrText>
      </w:r>
      <w:r w:rsidRPr="00817FDC">
        <w:instrText>vůle:objektivní</w:instrText>
      </w:r>
      <w:r>
        <w:instrText xml:space="preserve">" </w:instrText>
      </w:r>
      <w:r>
        <w:fldChar w:fldCharType="end"/>
      </w:r>
      <w:r w:rsidRPr="00273106">
        <w:t>.</w:t>
      </w:r>
      <w:r>
        <w:t xml:space="preserve"> Není divu, že jeho kapitálním nepřítelem se stal zakladatel tomismu Aegidius Romanus</w:t>
      </w:r>
      <w:r w:rsidR="08C0752C">
        <w:t xml:space="preserve"> v modu </w:t>
      </w:r>
      <w:r w:rsidR="08C0752C" w:rsidRPr="003F26F8">
        <w:rPr>
          <w:i/>
          <w:szCs w:val="24"/>
        </w:rPr>
        <w:t>Verkehrung ins Gegenteil</w:t>
      </w:r>
      <w:r w:rsidR="08C0752C">
        <w:rPr>
          <w:i/>
          <w:szCs w:val="24"/>
          <w:lang w:val="de-DE"/>
        </w:rPr>
        <w:fldChar w:fldCharType="begin"/>
      </w:r>
      <w:r w:rsidR="08C0752C">
        <w:instrText xml:space="preserve"> XE "</w:instrText>
      </w:r>
      <w:r w:rsidR="08C0752C" w:rsidRPr="003F26F8">
        <w:rPr>
          <w:i/>
          <w:szCs w:val="24"/>
        </w:rPr>
        <w:instrText>Verkehrung ins Gegenteil</w:instrText>
      </w:r>
      <w:r w:rsidR="08C0752C">
        <w:instrText xml:space="preserve">" </w:instrText>
      </w:r>
      <w:r w:rsidR="08C0752C">
        <w:rPr>
          <w:i/>
          <w:szCs w:val="24"/>
          <w:lang w:val="de-DE"/>
        </w:rPr>
        <w:fldChar w:fldCharType="end"/>
      </w:r>
      <w:r w:rsidR="08C0752C">
        <w:t xml:space="preserve">. Aegidius </w:t>
      </w:r>
      <w:r>
        <w:t xml:space="preserve">viděl v Oliviho křivém </w:t>
      </w:r>
      <w:proofErr w:type="gramStart"/>
      <w:r>
        <w:t>zrcadle</w:t>
      </w:r>
      <w:proofErr w:type="gramEnd"/>
      <w:r>
        <w:t xml:space="preserve"> všechy omyly moderny, kterým tento sofista pomáhal na svět o dvě dekády předtím. Na základě žádosti generála františkánů sestavuje Aegidius </w:t>
      </w:r>
      <w:r>
        <w:lastRenderedPageBreak/>
        <w:t xml:space="preserve">seznam 24 omylů, které sloužily jako základ Oliviho odsouzení na koncilu ve Vienne (1312). Rufusovo </w:t>
      </w:r>
      <w:r w:rsidRPr="083B79D4">
        <w:rPr>
          <w:i/>
        </w:rPr>
        <w:t>revolutio</w:t>
      </w:r>
      <w:r>
        <w:t xml:space="preserve"> k Avicennovi dané na Oxfordu završil Olivi v Paříži novým typem </w:t>
      </w:r>
      <w:r w:rsidRPr="08C266C3">
        <w:rPr>
          <w:i/>
        </w:rPr>
        <w:t>revolutio</w:t>
      </w:r>
      <w:r>
        <w:t xml:space="preserve"> k Augustinovi. Toto vzájemné </w:t>
      </w:r>
      <w:r>
        <w:rPr>
          <w:i/>
        </w:rPr>
        <w:t>E</w:t>
      </w:r>
      <w:r w:rsidRPr="082C266C">
        <w:rPr>
          <w:i/>
        </w:rPr>
        <w:t>nt</w:t>
      </w:r>
      <w:r>
        <w:rPr>
          <w:i/>
        </w:rPr>
        <w:t>ente c</w:t>
      </w:r>
      <w:r w:rsidRPr="082C266C">
        <w:rPr>
          <w:i/>
        </w:rPr>
        <w:t>ordiale</w:t>
      </w:r>
      <w:r>
        <w:rPr>
          <w:i/>
        </w:rPr>
        <w:fldChar w:fldCharType="begin"/>
      </w:r>
      <w:r>
        <w:instrText xml:space="preserve"> XE "</w:instrText>
      </w:r>
      <w:r w:rsidRPr="08A52A89">
        <w:rPr>
          <w:i/>
        </w:rPr>
        <w:instrText xml:space="preserve">Entente </w:instrText>
      </w:r>
      <w:r>
        <w:rPr>
          <w:i/>
        </w:rPr>
        <w:instrText>c</w:instrText>
      </w:r>
      <w:r w:rsidRPr="08A52A89">
        <w:rPr>
          <w:i/>
        </w:rPr>
        <w:instrText>ordiale</w:instrText>
      </w:r>
      <w:r>
        <w:instrText xml:space="preserve">" </w:instrText>
      </w:r>
      <w:r>
        <w:rPr>
          <w:i/>
        </w:rPr>
        <w:fldChar w:fldCharType="end"/>
      </w:r>
      <w:r>
        <w:t xml:space="preserve"> dvou moderních myslitelů 13. století vrcholí v britsko-francouzském koloniálním imperialismu (1904). </w:t>
      </w:r>
      <w:r>
        <w:rPr>
          <w:iCs/>
        </w:rPr>
        <w:t>Síla demiurgické vůle postavené mimo kritické myšlení aristotelského intelektu zakládá kapitalismus, imperialismus a současnou vládu jednoho procenta plutokratů provozovanou skrze fatu-morgánu finančních produktů a mediálních simuláker</w:t>
      </w:r>
      <w:r>
        <w:rPr>
          <w:iCs/>
        </w:rPr>
        <w:fldChar w:fldCharType="begin"/>
      </w:r>
      <w:r>
        <w:instrText xml:space="preserve"> XE "simulákrum" </w:instrText>
      </w:r>
      <w:r>
        <w:rPr>
          <w:iCs/>
        </w:rPr>
        <w:fldChar w:fldCharType="end"/>
      </w:r>
      <w:r>
        <w:rPr>
          <w:iCs/>
        </w:rPr>
        <w:t>.</w:t>
      </w:r>
      <w:r w:rsidRPr="08AE792F">
        <w:t xml:space="preserve"> </w:t>
      </w:r>
      <w:r w:rsidR="00051E46">
        <w:t>Olivi založil</w:t>
      </w:r>
      <w:r>
        <w:t xml:space="preserve"> toto dobývání světa</w:t>
      </w:r>
      <w:r w:rsidR="00051E46">
        <w:t>. Zha</w:t>
      </w:r>
      <w:r>
        <w:t xml:space="preserve">snutí první substance a aristotelského intelektu </w:t>
      </w:r>
      <w:r w:rsidR="00051E46">
        <w:t xml:space="preserve">vytvořilo </w:t>
      </w:r>
      <w:r>
        <w:t xml:space="preserve">základní racionalitu </w:t>
      </w:r>
      <w:r w:rsidR="00051E46">
        <w:t xml:space="preserve">nutnou </w:t>
      </w:r>
      <w:r>
        <w:t>pro epochu kapitalistické moderny.</w:t>
      </w:r>
      <w:bookmarkStart w:id="75" w:name="_Toc36144158"/>
    </w:p>
    <w:p w:rsidR="08163013" w:rsidRPr="00C116B1" w:rsidRDefault="00C116B1" w:rsidP="00C116B1">
      <w:pPr>
        <w:pStyle w:val="Nadpis3"/>
      </w:pPr>
      <w:r>
        <w:br w:type="page"/>
      </w:r>
      <w:bookmarkStart w:id="76" w:name="_Toc180231670"/>
      <w:r w:rsidR="08163013">
        <w:lastRenderedPageBreak/>
        <w:t>5.1.3</w:t>
      </w:r>
      <w:r w:rsidR="08163013" w:rsidRPr="00273106">
        <w:t xml:space="preserve"> </w:t>
      </w:r>
      <w:r w:rsidR="08163013">
        <w:t xml:space="preserve">Metafyzika </w:t>
      </w:r>
      <w:r>
        <w:t xml:space="preserve">a </w:t>
      </w:r>
      <w:r w:rsidR="08163013">
        <w:t>ekonomi</w:t>
      </w:r>
      <w:r>
        <w:t>e</w:t>
      </w:r>
      <w:bookmarkEnd w:id="75"/>
      <w:bookmarkEnd w:id="76"/>
    </w:p>
    <w:p w:rsidR="00C27209" w:rsidRDefault="08163013" w:rsidP="08163013">
      <w:r>
        <w:t>Hermeneutika musí vyložit Oliviho metafyziku vůle také v souvislosti s jeho průkopnickými traktáty o podstatě ekonomiky</w:t>
      </w:r>
      <w:r>
        <w:fldChar w:fldCharType="begin"/>
      </w:r>
      <w:r>
        <w:instrText xml:space="preserve"> XE "ekonomie" </w:instrText>
      </w:r>
      <w:r>
        <w:fldChar w:fldCharType="end"/>
      </w:r>
      <w:r>
        <w:t xml:space="preserve">. Zjevení figury zvané </w:t>
      </w:r>
      <w:r w:rsidRPr="00273106">
        <w:rPr>
          <w:i/>
        </w:rPr>
        <w:t xml:space="preserve">homo </w:t>
      </w:r>
      <w:r>
        <w:rPr>
          <w:i/>
        </w:rPr>
        <w:t>oeconomicus</w:t>
      </w:r>
      <w:r>
        <w:rPr>
          <w:i/>
        </w:rPr>
        <w:fldChar w:fldCharType="begin"/>
      </w:r>
      <w:r>
        <w:instrText xml:space="preserve"> XE "</w:instrText>
      </w:r>
      <w:r w:rsidRPr="006132EE">
        <w:rPr>
          <w:i/>
        </w:rPr>
        <w:instrText>homo oeconomicus</w:instrText>
      </w:r>
      <w:r>
        <w:instrText xml:space="preserve">" </w:instrText>
      </w:r>
      <w:r>
        <w:rPr>
          <w:i/>
        </w:rPr>
        <w:fldChar w:fldCharType="end"/>
      </w:r>
      <w:r w:rsidRPr="00273106">
        <w:t xml:space="preserve"> </w:t>
      </w:r>
      <w:r w:rsidR="00987E74">
        <w:t xml:space="preserve">na konci 12. století </w:t>
      </w:r>
      <w:r w:rsidR="083669AE">
        <w:t>popsal úvod k první matrici</w:t>
      </w:r>
      <w:r>
        <w:t xml:space="preserve"> (</w:t>
      </w:r>
      <w:r w:rsidR="083669AE">
        <w:t>OBJ II, kap. 1.6</w:t>
      </w:r>
      <w:r w:rsidR="00180EFE">
        <w:t xml:space="preserve">). Kalkulativní </w:t>
      </w:r>
      <w:r w:rsidR="00180EFE" w:rsidRPr="00180EFE">
        <w:t xml:space="preserve">mentalita zavedla ekonomicky pojatý očistec, který napomohl tomu, aby byli </w:t>
      </w:r>
      <w:r w:rsidR="00927A24">
        <w:t xml:space="preserve">bohatí kupci </w:t>
      </w:r>
      <w:r w:rsidR="00180EFE">
        <w:t xml:space="preserve">šťastní i v posmrtném životě. </w:t>
      </w:r>
      <w:r w:rsidR="00987E74">
        <w:t xml:space="preserve">Na počátku 13. století </w:t>
      </w:r>
      <w:r w:rsidR="002A2B5E">
        <w:t xml:space="preserve">dostal </w:t>
      </w:r>
      <w:r>
        <w:t xml:space="preserve">bůh </w:t>
      </w:r>
      <w:r w:rsidRPr="089D34C1">
        <w:rPr>
          <w:i/>
        </w:rPr>
        <w:t>Modernorum</w:t>
      </w:r>
      <w:r>
        <w:t xml:space="preserve"> rysy laskavého a neomylného účetního. Toto simulákrum zrcadlilo rostoucí vliv městského patriciátu a zámožné kupecké třídy zejména v Itálii a v Oliviho jihofrancouzské domovině. </w:t>
      </w:r>
      <w:r w:rsidR="0067128A">
        <w:t>Moderní b</w:t>
      </w:r>
      <w:r>
        <w:t xml:space="preserve">ůh se stal aspektem matematizované metafyziky </w:t>
      </w:r>
      <w:r w:rsidRPr="08D55CB5">
        <w:rPr>
          <w:i/>
        </w:rPr>
        <w:t>Nominales</w:t>
      </w:r>
      <w:r>
        <w:t xml:space="preserve"> a </w:t>
      </w:r>
      <w:r w:rsidR="00B67163">
        <w:t xml:space="preserve">na konci </w:t>
      </w:r>
      <w:r>
        <w:t xml:space="preserve">13. století potřeboval odpovídajícího nositele objektivně dané očistcové mentality. Moderní subjekt </w:t>
      </w:r>
      <w:r>
        <w:rPr>
          <w:rStyle w:val="Zkladntext158dkovn0pt"/>
          <w:color w:val="auto"/>
          <w:spacing w:val="0"/>
          <w:sz w:val="24"/>
          <w:lang w:val="cs-CZ"/>
        </w:rPr>
        <w:t>kapitálově založeného smyslu jsoucna t</w:t>
      </w:r>
      <w:r>
        <w:t>rpělivě čekal</w:t>
      </w:r>
      <w:r w:rsidRPr="00273106">
        <w:t xml:space="preserve"> na svou dějinnou manifestaci v</w:t>
      </w:r>
      <w:r>
        <w:t xml:space="preserve"> metafyzicko-teologickém limbu</w:t>
      </w:r>
      <w:r w:rsidR="00DD01B1">
        <w:t>. Třetí svět byl n</w:t>
      </w:r>
      <w:r>
        <w:t xml:space="preserve">ejprve </w:t>
      </w:r>
      <w:r w:rsidR="00DD01B1">
        <w:t xml:space="preserve">daný </w:t>
      </w:r>
      <w:r>
        <w:t xml:space="preserve">jako </w:t>
      </w:r>
      <w:r w:rsidRPr="00273106">
        <w:t xml:space="preserve">Jamblichův διάκοσμος, </w:t>
      </w:r>
      <w:r>
        <w:t xml:space="preserve">pak </w:t>
      </w:r>
      <w:r w:rsidR="00340302">
        <w:t xml:space="preserve">mezisvět </w:t>
      </w:r>
      <w:r w:rsidRPr="00273106">
        <w:rPr>
          <w:i/>
        </w:rPr>
        <w:t>barzach</w:t>
      </w:r>
      <w:r w:rsidRPr="00273106">
        <w:t xml:space="preserve"> v Koránu</w:t>
      </w:r>
      <w:r>
        <w:fldChar w:fldCharType="begin"/>
      </w:r>
      <w:r>
        <w:instrText xml:space="preserve"> XE "</w:instrText>
      </w:r>
      <w:r w:rsidRPr="009C3FDD">
        <w:instrText>Korán</w:instrText>
      </w:r>
      <w:r>
        <w:instrText xml:space="preserve">" </w:instrText>
      </w:r>
      <w:r>
        <w:fldChar w:fldCharType="end"/>
      </w:r>
      <w:r>
        <w:t xml:space="preserve"> a nakonec </w:t>
      </w:r>
      <w:r w:rsidR="00D73CEA">
        <w:t xml:space="preserve">jako </w:t>
      </w:r>
      <w:r w:rsidRPr="00273106">
        <w:t>středověké</w:t>
      </w:r>
      <w:r w:rsidRPr="00273106">
        <w:rPr>
          <w:i/>
        </w:rPr>
        <w:t xml:space="preserve"> purgatorium</w:t>
      </w:r>
      <w:r>
        <w:rPr>
          <w:i/>
        </w:rPr>
        <w:fldChar w:fldCharType="begin"/>
      </w:r>
      <w:r>
        <w:instrText xml:space="preserve"> XE "</w:instrText>
      </w:r>
      <w:r w:rsidRPr="08E56D54">
        <w:instrText>očistec</w:instrText>
      </w:r>
      <w:r>
        <w:instrText xml:space="preserve">" </w:instrText>
      </w:r>
      <w:r>
        <w:rPr>
          <w:i/>
        </w:rPr>
        <w:fldChar w:fldCharType="end"/>
      </w:r>
      <w:r>
        <w:t>. Olivi</w:t>
      </w:r>
      <w:r w:rsidRPr="089D1D0A">
        <w:t xml:space="preserve"> </w:t>
      </w:r>
      <w:r w:rsidR="00206C29">
        <w:t xml:space="preserve">vyvedl kapitalismus z metafyzického limbu </w:t>
      </w:r>
      <w:r>
        <w:t xml:space="preserve">tím, že založil </w:t>
      </w:r>
      <w:r w:rsidRPr="00273106">
        <w:t xml:space="preserve">kapitalistický </w:t>
      </w:r>
      <w:r w:rsidRPr="00273106">
        <w:rPr>
          <w:rStyle w:val="Zkladntext158dkovn0pt"/>
          <w:color w:val="auto"/>
          <w:spacing w:val="0"/>
          <w:sz w:val="24"/>
          <w:lang w:val="cs-CZ"/>
        </w:rPr>
        <w:t>subjekt</w:t>
      </w:r>
      <w:r>
        <w:rPr>
          <w:rStyle w:val="Zkladntext158dkovn0pt"/>
          <w:color w:val="auto"/>
          <w:spacing w:val="0"/>
          <w:sz w:val="24"/>
          <w:lang w:val="cs-CZ"/>
        </w:rPr>
        <w:fldChar w:fldCharType="begin"/>
      </w:r>
      <w:r>
        <w:instrText xml:space="preserve"> XE "</w:instrText>
      </w:r>
      <w:r w:rsidRPr="008E1273">
        <w:rPr>
          <w:rStyle w:val="Zkladntext158dkovn0pt"/>
          <w:i/>
          <w:color w:val="auto"/>
          <w:spacing w:val="0"/>
          <w:sz w:val="24"/>
          <w:lang w:val="cs-CZ"/>
        </w:rPr>
        <w:instrText>subiectum</w:instrText>
      </w:r>
      <w:r>
        <w:rPr>
          <w:rStyle w:val="Zkladntext158dkovn0pt"/>
          <w:color w:val="auto"/>
          <w:spacing w:val="0"/>
          <w:sz w:val="24"/>
          <w:lang w:val="cs-CZ"/>
        </w:rPr>
        <w:instrText>:kapitalismus</w:instrText>
      </w:r>
      <w:r>
        <w:instrText xml:space="preserve">" </w:instrText>
      </w:r>
      <w:r>
        <w:rPr>
          <w:rStyle w:val="Zkladntext158dkovn0pt"/>
          <w:color w:val="auto"/>
          <w:spacing w:val="0"/>
          <w:sz w:val="24"/>
          <w:lang w:val="cs-CZ"/>
        </w:rPr>
        <w:fldChar w:fldCharType="end"/>
      </w:r>
      <w:r>
        <w:rPr>
          <w:rStyle w:val="Zkladntext158dkovn0pt"/>
          <w:i/>
          <w:color w:val="auto"/>
          <w:spacing w:val="0"/>
          <w:sz w:val="24"/>
          <w:lang w:val="cs-CZ"/>
        </w:rPr>
        <w:t xml:space="preserve">. </w:t>
      </w:r>
      <w:r w:rsidRPr="08A93ABE">
        <w:rPr>
          <w:rStyle w:val="Zkladntext158dkovn0pt"/>
          <w:color w:val="auto"/>
          <w:spacing w:val="0"/>
          <w:sz w:val="24"/>
          <w:lang w:val="cs-CZ"/>
        </w:rPr>
        <w:t>Tento</w:t>
      </w:r>
      <w:r>
        <w:rPr>
          <w:rStyle w:val="Zkladntext158dkovn0pt"/>
          <w:i/>
          <w:color w:val="auto"/>
          <w:spacing w:val="0"/>
          <w:sz w:val="24"/>
          <w:lang w:val="cs-CZ"/>
        </w:rPr>
        <w:t xml:space="preserve"> </w:t>
      </w:r>
      <w:r>
        <w:t xml:space="preserve">myslitel a mystik </w:t>
      </w:r>
      <w:r w:rsidR="00525197">
        <w:t xml:space="preserve">nejprve </w:t>
      </w:r>
      <w:r>
        <w:t>p</w:t>
      </w:r>
      <w:r>
        <w:rPr>
          <w:rStyle w:val="Zkladntext158dkovn0pt"/>
          <w:color w:val="auto"/>
          <w:spacing w:val="0"/>
          <w:sz w:val="24"/>
          <w:lang w:val="cs-CZ"/>
        </w:rPr>
        <w:t xml:space="preserve">ředstavil </w:t>
      </w:r>
      <w:r>
        <w:t>objektivní svět pozorovaný z perspektivy svobodné a intimní vůle demiurga</w:t>
      </w:r>
      <w:r w:rsidR="00525197">
        <w:t xml:space="preserve"> a později </w:t>
      </w:r>
      <w:r>
        <w:t xml:space="preserve">k němu přidal ekonomickou racionalitu. </w:t>
      </w:r>
      <w:r w:rsidRPr="00273106">
        <w:t xml:space="preserve">Základy morálně pojaté ekonomie podává </w:t>
      </w:r>
      <w:r w:rsidRPr="00273106">
        <w:rPr>
          <w:i/>
        </w:rPr>
        <w:t>Quodlibet</w:t>
      </w:r>
      <w:r w:rsidRPr="00273106">
        <w:t xml:space="preserve"> I, qq. 16, 17 a dále ekonomický traktát </w:t>
      </w:r>
      <w:r w:rsidRPr="00B5184A">
        <w:rPr>
          <w:rStyle w:val="fn"/>
          <w:i/>
        </w:rPr>
        <w:t>De emptionibus et venditionibus, de usuris, de restitionibus</w:t>
      </w:r>
      <w:r>
        <w:rPr>
          <w:rStyle w:val="Siln"/>
          <w:b w:val="0"/>
          <w:bCs/>
        </w:rPr>
        <w:t xml:space="preserve">, který vznikl </w:t>
      </w:r>
      <w:r w:rsidRPr="00273106">
        <w:rPr>
          <w:rStyle w:val="Siln"/>
          <w:b w:val="0"/>
          <w:bCs/>
        </w:rPr>
        <w:t xml:space="preserve">za </w:t>
      </w:r>
      <w:r w:rsidR="002A789A">
        <w:rPr>
          <w:rStyle w:val="Siln"/>
          <w:b w:val="0"/>
          <w:bCs/>
        </w:rPr>
        <w:t xml:space="preserve">jeho </w:t>
      </w:r>
      <w:r w:rsidRPr="00273106">
        <w:rPr>
          <w:rStyle w:val="Siln"/>
          <w:b w:val="0"/>
          <w:bCs/>
        </w:rPr>
        <w:t xml:space="preserve">pastoračního působení v Narbonne </w:t>
      </w:r>
      <w:r w:rsidR="00BE1B04">
        <w:rPr>
          <w:rStyle w:val="Siln"/>
          <w:b w:val="0"/>
          <w:bCs/>
        </w:rPr>
        <w:t xml:space="preserve">během let </w:t>
      </w:r>
      <w:r w:rsidRPr="00273106">
        <w:rPr>
          <w:rStyle w:val="Siln"/>
          <w:b w:val="0"/>
          <w:bCs/>
        </w:rPr>
        <w:t>1292‒98</w:t>
      </w:r>
      <w:r w:rsidRPr="00273106">
        <w:t>.</w:t>
      </w:r>
    </w:p>
    <w:p w:rsidR="08163013" w:rsidRDefault="08163013" w:rsidP="00C27209">
      <w:pPr>
        <w:ind w:firstLine="397"/>
      </w:pPr>
      <w:r>
        <w:t xml:space="preserve">Olivi v duchu scholastické tradice dané antickou filosofií a křesťanskou láskou k bližnímu považuje obecné dobro za vyšší hodnotu než dobro soukromé. Ale v rámci soukromého dobra </w:t>
      </w:r>
      <w:r>
        <w:rPr>
          <w:rStyle w:val="Zkladntext158dkovn0pt"/>
          <w:color w:val="auto"/>
          <w:spacing w:val="0"/>
          <w:sz w:val="24"/>
          <w:lang w:val="cs-CZ"/>
        </w:rPr>
        <w:t xml:space="preserve">se zabýval ekonomikou a podal </w:t>
      </w:r>
      <w:r w:rsidRPr="00273106">
        <w:rPr>
          <w:rStyle w:val="Zkladntext158dkovn0pt"/>
          <w:color w:val="auto"/>
          <w:spacing w:val="0"/>
          <w:sz w:val="24"/>
          <w:lang w:val="cs-CZ"/>
        </w:rPr>
        <w:t>první nástin ekonomických termínů (</w:t>
      </w:r>
      <w:r w:rsidRPr="00273106">
        <w:rPr>
          <w:rStyle w:val="Zkladntext158dkovn0pt"/>
          <w:i/>
          <w:color w:val="auto"/>
          <w:spacing w:val="0"/>
          <w:sz w:val="24"/>
          <w:lang w:val="cs-CZ"/>
        </w:rPr>
        <w:t>capitale</w:t>
      </w:r>
      <w:r>
        <w:rPr>
          <w:rStyle w:val="Zkladntext158dkovn0pt"/>
          <w:i/>
          <w:color w:val="auto"/>
          <w:spacing w:val="0"/>
          <w:sz w:val="24"/>
          <w:lang w:val="cs-CZ"/>
        </w:rPr>
        <w:fldChar w:fldCharType="begin"/>
      </w:r>
      <w:r>
        <w:instrText xml:space="preserve"> XE "</w:instrText>
      </w:r>
      <w:r w:rsidRPr="00040584">
        <w:instrText>kapitál</w:instrText>
      </w:r>
      <w:r>
        <w:instrText xml:space="preserve">" </w:instrText>
      </w:r>
      <w:r>
        <w:rPr>
          <w:rStyle w:val="Zkladntext158dkovn0pt"/>
          <w:i/>
          <w:color w:val="auto"/>
          <w:spacing w:val="0"/>
          <w:sz w:val="24"/>
          <w:lang w:val="cs-CZ"/>
        </w:rPr>
        <w:fldChar w:fldCharType="end"/>
      </w:r>
      <w:r w:rsidRPr="00273106">
        <w:rPr>
          <w:rStyle w:val="Zkladntext158dkovn0pt"/>
          <w:color w:val="auto"/>
          <w:spacing w:val="0"/>
          <w:sz w:val="24"/>
          <w:lang w:val="cs-CZ"/>
        </w:rPr>
        <w:t xml:space="preserve">, </w:t>
      </w:r>
      <w:r w:rsidRPr="00273106">
        <w:rPr>
          <w:rStyle w:val="Zkladntext158dkovn0pt"/>
          <w:i/>
          <w:color w:val="auto"/>
          <w:spacing w:val="0"/>
          <w:sz w:val="24"/>
          <w:lang w:val="cs-CZ"/>
        </w:rPr>
        <w:t>risicum</w:t>
      </w:r>
      <w:r w:rsidRPr="00273106">
        <w:rPr>
          <w:rStyle w:val="Zkladntext158dkovn0pt"/>
          <w:color w:val="auto"/>
          <w:spacing w:val="0"/>
          <w:sz w:val="24"/>
          <w:lang w:val="cs-CZ"/>
        </w:rPr>
        <w:t xml:space="preserve">, </w:t>
      </w:r>
      <w:r w:rsidRPr="00273106">
        <w:rPr>
          <w:rStyle w:val="Zkladntext158dkovn0pt"/>
          <w:i/>
          <w:color w:val="auto"/>
          <w:spacing w:val="0"/>
          <w:sz w:val="24"/>
          <w:lang w:val="cs-CZ"/>
        </w:rPr>
        <w:t>venditio</w:t>
      </w:r>
      <w:r w:rsidRPr="00273106">
        <w:rPr>
          <w:rStyle w:val="Zkladntext158dkovn0pt"/>
          <w:color w:val="auto"/>
          <w:spacing w:val="0"/>
          <w:sz w:val="24"/>
          <w:lang w:val="cs-CZ"/>
        </w:rPr>
        <w:t xml:space="preserve">, </w:t>
      </w:r>
      <w:r w:rsidRPr="00273106">
        <w:rPr>
          <w:rStyle w:val="Zkladntext158dkovn0pt"/>
          <w:i/>
          <w:color w:val="auto"/>
          <w:spacing w:val="0"/>
          <w:sz w:val="24"/>
          <w:lang w:val="cs-CZ"/>
        </w:rPr>
        <w:t>aestimatio</w:t>
      </w:r>
      <w:r w:rsidRPr="00273106">
        <w:rPr>
          <w:rStyle w:val="Zkladntext158dkovn0pt"/>
          <w:color w:val="auto"/>
          <w:spacing w:val="0"/>
          <w:sz w:val="24"/>
          <w:lang w:val="cs-CZ"/>
        </w:rPr>
        <w:t xml:space="preserve">, </w:t>
      </w:r>
      <w:r w:rsidRPr="00273106">
        <w:rPr>
          <w:rStyle w:val="Zkladntext158dkovn0pt"/>
          <w:i/>
          <w:color w:val="auto"/>
          <w:spacing w:val="0"/>
          <w:sz w:val="24"/>
          <w:lang w:val="cs-CZ"/>
        </w:rPr>
        <w:t>probabilitas</w:t>
      </w:r>
      <w:r w:rsidRPr="00273106">
        <w:rPr>
          <w:rStyle w:val="Zkladntext158dkovn0pt"/>
          <w:color w:val="auto"/>
          <w:spacing w:val="0"/>
          <w:sz w:val="24"/>
          <w:lang w:val="cs-CZ"/>
        </w:rPr>
        <w:t xml:space="preserve">). </w:t>
      </w:r>
      <w:r>
        <w:rPr>
          <w:rStyle w:val="Zkladntext158dkovn0pt"/>
          <w:color w:val="auto"/>
          <w:spacing w:val="0"/>
          <w:sz w:val="24"/>
          <w:lang w:val="cs-CZ"/>
        </w:rPr>
        <w:t>Z</w:t>
      </w:r>
      <w:r w:rsidRPr="00273106">
        <w:t xml:space="preserve">měnil zboží na objekt chtění a determinace </w:t>
      </w:r>
      <w:r>
        <w:t xml:space="preserve">svobodné vůle, zatímco </w:t>
      </w:r>
      <w:r w:rsidRPr="00273106">
        <w:t xml:space="preserve">Akvinský </w:t>
      </w:r>
      <w:r w:rsidR="0014523E">
        <w:t>řešil</w:t>
      </w:r>
      <w:r w:rsidRPr="00273106">
        <w:t xml:space="preserve"> </w:t>
      </w:r>
      <w:r>
        <w:t xml:space="preserve">otázku spravedlivé ceny </w:t>
      </w:r>
      <w:r w:rsidRPr="00273106">
        <w:t xml:space="preserve">v modelu intelektuálního </w:t>
      </w:r>
      <w:r w:rsidRPr="00273106">
        <w:rPr>
          <w:i/>
        </w:rPr>
        <w:t>aestimatio</w:t>
      </w:r>
      <w:r w:rsidRPr="00273106">
        <w:t>.</w:t>
      </w:r>
      <w:r w:rsidRPr="00273106">
        <w:rPr>
          <w:rStyle w:val="Znakapoznpodarou"/>
        </w:rPr>
        <w:footnoteReference w:id="386"/>
      </w:r>
      <w:r w:rsidRPr="00273106">
        <w:t xml:space="preserve"> </w:t>
      </w:r>
      <w:r>
        <w:t xml:space="preserve">V návaznosti na </w:t>
      </w:r>
      <w:proofErr w:type="gramStart"/>
      <w:r w:rsidRPr="001C1BC8">
        <w:rPr>
          <w:i/>
        </w:rPr>
        <w:t>Summa</w:t>
      </w:r>
      <w:proofErr w:type="gramEnd"/>
      <w:r w:rsidRPr="001C1BC8">
        <w:rPr>
          <w:i/>
        </w:rPr>
        <w:t xml:space="preserve"> Halensis</w:t>
      </w:r>
      <w:r>
        <w:rPr>
          <w:i/>
        </w:rPr>
        <w:fldChar w:fldCharType="begin"/>
      </w:r>
      <w:r>
        <w:instrText xml:space="preserve"> XE "</w:instrText>
      </w:r>
      <w:r w:rsidRPr="00F14A6F">
        <w:rPr>
          <w:i/>
        </w:rPr>
        <w:instrText>Summa Halensis</w:instrText>
      </w:r>
      <w:r>
        <w:instrText xml:space="preserve">" </w:instrText>
      </w:r>
      <w:r>
        <w:rPr>
          <w:i/>
        </w:rPr>
        <w:fldChar w:fldCharType="end"/>
      </w:r>
      <w:r>
        <w:t xml:space="preserve"> zdůrazňuje </w:t>
      </w:r>
      <w:r w:rsidR="000D7E1D">
        <w:t xml:space="preserve">Olivi </w:t>
      </w:r>
      <w:r>
        <w:t>osobní hodnotu podnikání (</w:t>
      </w:r>
      <w:r w:rsidRPr="004D48DB">
        <w:rPr>
          <w:i/>
        </w:rPr>
        <w:t>industria</w:t>
      </w:r>
      <w:r w:rsidR="000D7E1D">
        <w:t xml:space="preserve">). </w:t>
      </w:r>
      <w:r w:rsidR="00EF0AC2">
        <w:t>Proto platí</w:t>
      </w:r>
      <w:r w:rsidR="000D7E1D">
        <w:t>, že ce</w:t>
      </w:r>
      <w:r>
        <w:t>na</w:t>
      </w:r>
      <w:r w:rsidR="000D7E1D">
        <w:t xml:space="preserve"> a </w:t>
      </w:r>
      <w:r>
        <w:t xml:space="preserve">úrok musí </w:t>
      </w:r>
      <w:r>
        <w:lastRenderedPageBreak/>
        <w:t>odrážet rizika dotyčného podnikatele (</w:t>
      </w:r>
      <w:r w:rsidRPr="004D48DB">
        <w:rPr>
          <w:i/>
        </w:rPr>
        <w:t>risicum</w:t>
      </w:r>
      <w:r>
        <w:t>).</w:t>
      </w:r>
      <w:r>
        <w:rPr>
          <w:rStyle w:val="Znakapoznpodarou"/>
        </w:rPr>
        <w:footnoteReference w:id="387"/>
      </w:r>
      <w:r>
        <w:t xml:space="preserve"> Zisk je ospravedlněný proto, že podnikající vnáší do ekonomické činnosti svou práci, </w:t>
      </w:r>
      <w:proofErr w:type="gramStart"/>
      <w:r>
        <w:t>kapitál,  riziko</w:t>
      </w:r>
      <w:proofErr w:type="gramEnd"/>
      <w:r>
        <w:t xml:space="preserve"> a </w:t>
      </w:r>
      <w:r w:rsidRPr="00CD4261">
        <w:t>schopnosti (</w:t>
      </w:r>
      <w:r w:rsidRPr="00CD4261">
        <w:rPr>
          <w:i/>
        </w:rPr>
        <w:t>ex honerosis laboribus ac periculis et expensis et industriis</w:t>
      </w:r>
      <w:r w:rsidRPr="00CD4261">
        <w:t>; ibid, p. 63).</w:t>
      </w:r>
      <w:r>
        <w:t xml:space="preserve"> Důležitou kategorií byla moderní rovnost (</w:t>
      </w:r>
      <w:r w:rsidRPr="00DF7129">
        <w:rPr>
          <w:i/>
        </w:rPr>
        <w:t>aequalitas</w:t>
      </w:r>
      <w:r>
        <w:t xml:space="preserve">) ekonomicky činné vůle nesené subjektivním úsilím a prací. </w:t>
      </w:r>
      <w:r w:rsidRPr="00273106">
        <w:t>Spravedlivá cena (</w:t>
      </w:r>
      <w:r w:rsidRPr="00273106">
        <w:rPr>
          <w:i/>
        </w:rPr>
        <w:t>iustum pretium</w:t>
      </w:r>
      <w:r w:rsidRPr="00273106">
        <w:t xml:space="preserve">) může podle Oliviho vzejít pouze na základě svobodného rozhodnutí vůle, která determinuje elementární formu takto dané ekonomiky (Marazzi 1990, 25). </w:t>
      </w:r>
      <w:r>
        <w:t xml:space="preserve">Vzájemná rovnost prodávajího a kupujícího daná vzhledem k hodnotě zboží určuje spravedlivou cenu. </w:t>
      </w:r>
      <w:r w:rsidR="0028254A" w:rsidRPr="0028254A">
        <w:t>Poku</w:t>
      </w:r>
      <w:r w:rsidR="0028254A">
        <w:t>d jde o hermeneutický výklad</w:t>
      </w:r>
      <w:r w:rsidR="0028254A" w:rsidRPr="0028254A">
        <w:t xml:space="preserve">, </w:t>
      </w:r>
      <w:r w:rsidR="0028254A">
        <w:t>z</w:t>
      </w:r>
      <w:r>
        <w:t xml:space="preserve">ákladní ratio kapitalismu je dáno v Oliviho výkladu prostituce. Toto řemeslo zakládá podle Oliviho </w:t>
      </w:r>
      <w:proofErr w:type="gramStart"/>
      <w:r>
        <w:t>univerzum</w:t>
      </w:r>
      <w:proofErr w:type="gramEnd"/>
      <w:r>
        <w:t xml:space="preserve"> kontraktuálních vztahů mezi svobodnými subjekty, což je nezbytná podmínka pro založení kapitalismu.</w:t>
      </w:r>
      <w:r w:rsidRPr="08E43864">
        <w:t xml:space="preserve"> </w:t>
      </w:r>
    </w:p>
    <w:p w:rsidR="08163013" w:rsidRDefault="08163013" w:rsidP="08163013">
      <w:pPr>
        <w:pStyle w:val="Citace"/>
        <w:rPr>
          <w:lang w:val="cs-CZ"/>
        </w:rPr>
      </w:pPr>
      <w:r>
        <w:t>„</w:t>
      </w:r>
      <w:r>
        <w:rPr>
          <w:lang w:val="cs-CZ"/>
        </w:rPr>
        <w:t>Dále je třeba vědět, že i když je smlouva prostitutky nemravná vzhledem ke své materii, přesto platí, že věrnost spojená s dodržováním tohoto závazku není nemravná, ale naopak dobrá (</w:t>
      </w:r>
      <w:r w:rsidRPr="087E071E">
        <w:rPr>
          <w:i/>
        </w:rPr>
        <w:t>non est vitiosa, sed bona</w:t>
      </w:r>
      <w:r>
        <w:rPr>
          <w:lang w:val="cs-CZ"/>
        </w:rPr>
        <w:t>).  I když žena prodává či pronajímá své tělo k nemravnému užívání, činí tak s vlastním tělem. Pronájmem svého těla vytváří opravdový zisk (</w:t>
      </w:r>
      <w:r w:rsidRPr="087E071E">
        <w:rPr>
          <w:i/>
        </w:rPr>
        <w:t>vere facit pretium</w:t>
      </w:r>
      <w:r>
        <w:rPr>
          <w:lang w:val="cs-CZ"/>
        </w:rPr>
        <w:t>). Proto platí, že bez jejího souhlasu si její tělo nikdo nesmí vzít a rozhodnutí je vždy její vlastní věcí (</w:t>
      </w:r>
      <w:r w:rsidRPr="087E071E">
        <w:rPr>
          <w:i/>
        </w:rPr>
        <w:t>im</w:t>
      </w:r>
      <w:r w:rsidRPr="087E071E">
        <w:rPr>
          <w:i/>
          <w:lang w:val="cs-CZ"/>
        </w:rPr>
        <w:t>m</w:t>
      </w:r>
      <w:r w:rsidRPr="087E071E">
        <w:rPr>
          <w:i/>
        </w:rPr>
        <w:t>o est sibi solvendum</w:t>
      </w:r>
      <w:r>
        <w:rPr>
          <w:lang w:val="cs-CZ"/>
        </w:rPr>
        <w:t xml:space="preserve">).“ </w:t>
      </w:r>
      <w:r>
        <w:rPr>
          <w:rStyle w:val="Znakapoznpodarou"/>
        </w:rPr>
        <w:footnoteReference w:id="388"/>
      </w:r>
      <w:r>
        <w:t xml:space="preserve"> </w:t>
      </w:r>
    </w:p>
    <w:p w:rsidR="00301302" w:rsidRDefault="00E43FCC" w:rsidP="00E43FCC">
      <w:r>
        <w:t xml:space="preserve">Moderní pojetí svobodné vůle jako samostatné substance, která vlastní tělo, přičemž tělo jako pracovní nástroj je vázáno na smluvní etiku. </w:t>
      </w:r>
      <w:r w:rsidR="08163013">
        <w:t>Prostituce je nemorální, ale věrnost spojená s dodržováním smlouvy je morálně dobrá (</w:t>
      </w:r>
      <w:r w:rsidR="08163013" w:rsidRPr="003B70D4">
        <w:rPr>
          <w:i/>
        </w:rPr>
        <w:t>observatia pacti non est vitiosa, sed bona</w:t>
      </w:r>
      <w:r w:rsidR="08163013">
        <w:t>). Prostitutka prodává své tělo sice k nemravnému účelu, ale prodává něco, co jí patří (</w:t>
      </w:r>
      <w:r w:rsidR="08163013" w:rsidRPr="003B70D4">
        <w:rPr>
          <w:i/>
        </w:rPr>
        <w:t>rem suam</w:t>
      </w:r>
      <w:r w:rsidR="08163013">
        <w:t>), proto má z ekonomického hlediska právo na spravedlivou odměnu kvůli pronájmu svého těla (</w:t>
      </w:r>
      <w:r w:rsidR="08163013" w:rsidRPr="00CE64B1">
        <w:rPr>
          <w:i/>
        </w:rPr>
        <w:t xml:space="preserve">vere facit </w:t>
      </w:r>
      <w:r w:rsidR="08163013">
        <w:rPr>
          <w:i/>
        </w:rPr>
        <w:t>pretium loca</w:t>
      </w:r>
      <w:r w:rsidR="08163013" w:rsidRPr="00CE64B1">
        <w:rPr>
          <w:i/>
        </w:rPr>
        <w:t>tionis corporis sui</w:t>
      </w:r>
      <w:r w:rsidR="08163013">
        <w:t>). Proto také záleží jen na její svobodné vůli, komu své tělo dá nebo pronajme</w:t>
      </w:r>
      <w:r w:rsidR="08163013">
        <w:fldChar w:fldCharType="begin"/>
      </w:r>
      <w:r w:rsidR="08163013">
        <w:instrText xml:space="preserve"> XE "</w:instrText>
      </w:r>
      <w:r w:rsidR="08163013" w:rsidRPr="005757CD">
        <w:instrText>vůle:kapitalismus</w:instrText>
      </w:r>
      <w:r w:rsidR="08163013">
        <w:instrText xml:space="preserve">" </w:instrText>
      </w:r>
      <w:r w:rsidR="08163013">
        <w:fldChar w:fldCharType="end"/>
      </w:r>
      <w:r w:rsidR="08163013">
        <w:t xml:space="preserve">. Z hlediska svobodného kontraktu nikdo nemá právo ji nutit k smlouvě o pronájmu mimo její výslovný souhlas. Prostitutka na konci 13. století mohla svobodně umřít hladem a její děti také. Ale Oliviho argumentace jí zajistila základní míru svobody a morální důstojnosti vzhledem k výkonu jejího povolání, kterou prostitutky často nemají ani dnes. Spravedlivá mzda daná </w:t>
      </w:r>
      <w:r w:rsidR="08163013">
        <w:lastRenderedPageBreak/>
        <w:t xml:space="preserve">kontraktuálně představuje nové </w:t>
      </w:r>
      <w:r w:rsidR="08163013" w:rsidRPr="005C3B24">
        <w:rPr>
          <w:i/>
        </w:rPr>
        <w:t>scibile</w:t>
      </w:r>
      <w:r w:rsidR="08163013">
        <w:rPr>
          <w:i/>
        </w:rPr>
        <w:fldChar w:fldCharType="begin"/>
      </w:r>
      <w:r w:rsidR="08163013">
        <w:instrText xml:space="preserve"> XE "</w:instrText>
      </w:r>
      <w:r w:rsidR="08163013" w:rsidRPr="00AA4F67">
        <w:rPr>
          <w:i/>
        </w:rPr>
        <w:instrText>scibile</w:instrText>
      </w:r>
      <w:r w:rsidR="08163013">
        <w:rPr>
          <w:i/>
        </w:rPr>
        <w:instrText>:</w:instrText>
      </w:r>
      <w:r w:rsidR="08163013" w:rsidRPr="002669FB">
        <w:instrText>mzda</w:instrText>
      </w:r>
      <w:r w:rsidR="08163013">
        <w:instrText xml:space="preserve">" </w:instrText>
      </w:r>
      <w:r w:rsidR="08163013">
        <w:rPr>
          <w:i/>
        </w:rPr>
        <w:fldChar w:fldCharType="end"/>
      </w:r>
      <w:r w:rsidR="08163013">
        <w:t xml:space="preserve"> moderny vázané na individuální a konkrétní tělo. Proto má prostitutka bráněná liberálním Olivim stejně jako každá dnešní námezdní pracovní síla morální právo na spravedlivou odměnu kvůli pronájmu těla jako intimně vlastněné a objektivně zhodnocené věci. </w:t>
      </w:r>
      <w:r w:rsidR="003D37BA" w:rsidRPr="003D37BA">
        <w:t xml:space="preserve">Opět jde o základní rozlišení prvního averroismu mezi </w:t>
      </w:r>
      <w:r w:rsidR="003D37BA" w:rsidRPr="003D37BA">
        <w:rPr>
          <w:i/>
        </w:rPr>
        <w:t xml:space="preserve">tertium </w:t>
      </w:r>
      <w:r w:rsidR="003D37BA" w:rsidRPr="003D37BA">
        <w:t>a</w:t>
      </w:r>
      <w:r w:rsidR="003D37BA" w:rsidRPr="003D37BA">
        <w:rPr>
          <w:i/>
        </w:rPr>
        <w:t xml:space="preserve"> quartum genus</w:t>
      </w:r>
      <w:r w:rsidR="003D37BA" w:rsidRPr="003D37BA">
        <w:t>. Vnitřní svobodná vůle (</w:t>
      </w:r>
      <w:r w:rsidR="003D37BA" w:rsidRPr="003D37BA">
        <w:rPr>
          <w:i/>
        </w:rPr>
        <w:t>tertium genus</w:t>
      </w:r>
      <w:r w:rsidR="003D37BA" w:rsidRPr="003D37BA">
        <w:t>) určuje všechny ekomonické abstrakce jako sekundární vztahy (</w:t>
      </w:r>
      <w:r w:rsidR="003D37BA" w:rsidRPr="003D37BA">
        <w:rPr>
          <w:i/>
        </w:rPr>
        <w:t>quartum genus</w:t>
      </w:r>
      <w:r w:rsidR="003D37BA" w:rsidRPr="003D37BA">
        <w:t xml:space="preserve">). </w:t>
      </w:r>
      <w:r w:rsidR="005D6137">
        <w:t xml:space="preserve">Kapitalistický dělník </w:t>
      </w:r>
      <w:r w:rsidR="08163013">
        <w:t xml:space="preserve">prodává něco, co mu patří z titulu ipseity svobodné vůle, která objektivizuje tělo a jeho schopnosti jako nástroj v modu prodejné předmětnosti. Zvěcněné tělo jako abstraktní </w:t>
      </w:r>
      <w:r w:rsidR="08163013" w:rsidRPr="088437DB">
        <w:rPr>
          <w:i/>
        </w:rPr>
        <w:t>scibile</w:t>
      </w:r>
      <w:r w:rsidR="08163013">
        <w:t xml:space="preserve"> vzniká v tržním prostředí nabídky a poptávky</w:t>
      </w:r>
      <w:r w:rsidR="00961181">
        <w:t>. Va</w:t>
      </w:r>
      <w:r w:rsidR="08163013">
        <w:t>zb</w:t>
      </w:r>
      <w:r w:rsidR="00961181">
        <w:t>a</w:t>
      </w:r>
      <w:r w:rsidR="08163013">
        <w:t xml:space="preserve"> na ekonomicky svobodnou </w:t>
      </w:r>
      <w:r w:rsidR="00961181">
        <w:t>vůli vytvořila</w:t>
      </w:r>
      <w:r w:rsidR="08163013">
        <w:t xml:space="preserve"> nový subjekt. Moderní subjekt pronajímá tělo jako svobodně, intimně a ipseitně určenou pracovní sílu. </w:t>
      </w:r>
      <w:r w:rsidR="00BC2EA4" w:rsidRPr="00BC2EA4">
        <w:t xml:space="preserve">Z hlediska intimní vůle subjektu nelze tělo objektivizovat. Tělo, stejně jako svobodná vůle, je </w:t>
      </w:r>
      <w:r w:rsidR="00BC2EA4" w:rsidRPr="00BC2EA4">
        <w:rPr>
          <w:i/>
        </w:rPr>
        <w:t>potentia substatialis</w:t>
      </w:r>
      <w:r w:rsidR="00BC2EA4" w:rsidRPr="00BC2EA4">
        <w:t>, kt</w:t>
      </w:r>
      <w:r w:rsidR="00BC2EA4">
        <w:t>erá představuje existenci jako „</w:t>
      </w:r>
      <w:r w:rsidR="00BC2EA4" w:rsidRPr="00BC2EA4">
        <w:rPr>
          <w:i/>
        </w:rPr>
        <w:t>esse in</w:t>
      </w:r>
      <w:r w:rsidR="00BC2EA4">
        <w:t>“</w:t>
      </w:r>
      <w:r w:rsidR="00BC2EA4" w:rsidRPr="00BC2EA4">
        <w:t xml:space="preserve"> (</w:t>
      </w:r>
      <w:r w:rsidR="00BC2EA4" w:rsidRPr="00BC2EA4">
        <w:rPr>
          <w:i/>
        </w:rPr>
        <w:t>immo est sibi solvendum</w:t>
      </w:r>
      <w:r w:rsidR="00BC2EA4" w:rsidRPr="00BC2EA4">
        <w:t>). Tento druh kapitalistického vztahu k tělu jako intimnímu pracovnímu nástroji Locke</w:t>
      </w:r>
      <w:r w:rsidR="00BC2EA4">
        <w:fldChar w:fldCharType="begin"/>
      </w:r>
      <w:r w:rsidR="00BC2EA4">
        <w:instrText xml:space="preserve"> XE "</w:instrText>
      </w:r>
      <w:r w:rsidR="00BC2EA4" w:rsidRPr="00DF0B2C">
        <w:instrText>Locke, J.</w:instrText>
      </w:r>
      <w:r w:rsidR="00BC2EA4">
        <w:instrText xml:space="preserve">" </w:instrText>
      </w:r>
      <w:r w:rsidR="00BC2EA4">
        <w:fldChar w:fldCharType="end"/>
      </w:r>
      <w:r w:rsidR="00BC2EA4" w:rsidRPr="00BC2EA4">
        <w:t xml:space="preserve"> rozpracoval pro účely liberá</w:t>
      </w:r>
      <w:r w:rsidR="00BC2EA4">
        <w:t>lního postmoderního kapitalismu</w:t>
      </w:r>
      <w:r w:rsidR="08163013">
        <w:t>.</w:t>
      </w:r>
      <w:r w:rsidR="08163013">
        <w:rPr>
          <w:rStyle w:val="Znakapoznpodarou"/>
        </w:rPr>
        <w:footnoteReference w:id="389"/>
      </w:r>
      <w:r w:rsidR="08163013">
        <w:t xml:space="preserve"> Vůle pohybující tímto tržním objektem určuje tělo </w:t>
      </w:r>
      <w:r w:rsidR="006D2F23">
        <w:t xml:space="preserve">v modu vnějšího </w:t>
      </w:r>
      <w:r w:rsidR="006D2F23" w:rsidRPr="088236D0">
        <w:rPr>
          <w:i/>
        </w:rPr>
        <w:t>aspectus</w:t>
      </w:r>
      <w:r w:rsidR="006D2F23">
        <w:t xml:space="preserve"> </w:t>
      </w:r>
      <w:r w:rsidR="08163013">
        <w:t xml:space="preserve">jako nástroj produkce a hromadění zisku. Pravdu kapitalismu tvoří Rufusovo a Oliviho </w:t>
      </w:r>
      <w:r w:rsidR="08163013">
        <w:rPr>
          <w:i/>
        </w:rPr>
        <w:t>coaequa</w:t>
      </w:r>
      <w:r w:rsidR="08163013" w:rsidRPr="00BB2FF8">
        <w:rPr>
          <w:i/>
        </w:rPr>
        <w:t>t</w:t>
      </w:r>
      <w:r w:rsidR="08163013">
        <w:rPr>
          <w:i/>
        </w:rPr>
        <w:t>io</w:t>
      </w:r>
      <w:r w:rsidR="08163013">
        <w:rPr>
          <w:i/>
        </w:rPr>
        <w:fldChar w:fldCharType="begin"/>
      </w:r>
      <w:r w:rsidR="08163013">
        <w:instrText xml:space="preserve"> XE "pravda:</w:instrText>
      </w:r>
      <w:r w:rsidR="08163013" w:rsidRPr="00594B79">
        <w:rPr>
          <w:i/>
        </w:rPr>
        <w:instrText>coaequalitas</w:instrText>
      </w:r>
      <w:r w:rsidR="08163013">
        <w:instrText xml:space="preserve">" </w:instrText>
      </w:r>
      <w:r w:rsidR="08163013">
        <w:rPr>
          <w:i/>
        </w:rPr>
        <w:fldChar w:fldCharType="end"/>
      </w:r>
      <w:r w:rsidR="08163013">
        <w:t xml:space="preserve"> dané univerzální rovností produktivní vůle a vlastnění těla (</w:t>
      </w:r>
      <w:r w:rsidR="08163013" w:rsidRPr="089616C3">
        <w:rPr>
          <w:i/>
        </w:rPr>
        <w:t>rem suam</w:t>
      </w:r>
      <w:r w:rsidR="08163013">
        <w:t>) v modu demiurgické ipseity (</w:t>
      </w:r>
      <w:r w:rsidR="009F2363" w:rsidRPr="009F2363">
        <w:rPr>
          <w:i/>
        </w:rPr>
        <w:t>immo</w:t>
      </w:r>
      <w:r w:rsidR="009F2363">
        <w:t xml:space="preserve"> </w:t>
      </w:r>
      <w:r w:rsidR="08163013" w:rsidRPr="087E071E">
        <w:rPr>
          <w:i/>
        </w:rPr>
        <w:t>sibi solvendum</w:t>
      </w:r>
      <w:r w:rsidR="08163013">
        <w:t>)</w:t>
      </w:r>
      <w:r w:rsidR="08163013">
        <w:fldChar w:fldCharType="begin"/>
      </w:r>
      <w:r w:rsidR="08163013">
        <w:instrText xml:space="preserve"> XE "vůle:</w:instrText>
      </w:r>
      <w:r w:rsidR="08163013" w:rsidRPr="0088496E">
        <w:instrText>ipseita</w:instrText>
      </w:r>
      <w:r w:rsidR="08163013">
        <w:instrText xml:space="preserve">" </w:instrText>
      </w:r>
      <w:r w:rsidR="08163013">
        <w:fldChar w:fldCharType="end"/>
      </w:r>
      <w:r w:rsidR="08163013">
        <w:t>. Demiurgická</w:t>
      </w:r>
      <w:r w:rsidR="08163013" w:rsidRPr="00273106">
        <w:t xml:space="preserve"> vůle </w:t>
      </w:r>
      <w:r w:rsidR="08163013">
        <w:fldChar w:fldCharType="begin"/>
      </w:r>
      <w:r w:rsidR="08163013">
        <w:instrText xml:space="preserve"> XE "</w:instrText>
      </w:r>
      <w:r w:rsidR="08163013" w:rsidRPr="00DA7275">
        <w:instrText>vůle:demiurgická</w:instrText>
      </w:r>
      <w:r w:rsidR="08163013">
        <w:instrText xml:space="preserve">" </w:instrText>
      </w:r>
      <w:r w:rsidR="08163013">
        <w:fldChar w:fldCharType="end"/>
      </w:r>
      <w:r w:rsidR="08163013">
        <w:t xml:space="preserve">expanduje </w:t>
      </w:r>
      <w:r w:rsidR="08163013" w:rsidRPr="00273106">
        <w:t xml:space="preserve">do světa </w:t>
      </w:r>
      <w:r w:rsidR="08163013">
        <w:t xml:space="preserve">v předmětném modu prodávaného a pronajímaného těla. Tato formální rovnost ekonomických těl jako demiurgických jsoucen třetího druhu založila skrze pronájem pracovní síly osvobozené od feudálních závazků průmyslovou revoluci na konci 18. století a nový systém </w:t>
      </w:r>
      <w:r w:rsidR="083B43BF">
        <w:t xml:space="preserve">produkčních </w:t>
      </w:r>
      <w:r w:rsidR="08163013">
        <w:t>vztahů od 19. století. Na Oliviho a Lockovu analýzu těla jako intimně vlastněného majetku navazuje Arendtová</w:t>
      </w:r>
      <w:r w:rsidR="08163013">
        <w:fldChar w:fldCharType="begin"/>
      </w:r>
      <w:r w:rsidR="08163013">
        <w:instrText xml:space="preserve"> XE "</w:instrText>
      </w:r>
      <w:r w:rsidR="08163013" w:rsidRPr="00C62718">
        <w:instrText>Arendt, H.</w:instrText>
      </w:r>
      <w:r w:rsidR="08163013">
        <w:instrText xml:space="preserve">" </w:instrText>
      </w:r>
      <w:r w:rsidR="08163013">
        <w:fldChar w:fldCharType="end"/>
      </w:r>
      <w:r w:rsidR="08163013">
        <w:t xml:space="preserve"> analýzou</w:t>
      </w:r>
      <w:r w:rsidR="00D00D52">
        <w:t xml:space="preserve"> moderního bezdomovectví danému </w:t>
      </w:r>
      <w:r w:rsidR="08163013">
        <w:t xml:space="preserve">přechodem od </w:t>
      </w:r>
      <w:r w:rsidR="00A3423E">
        <w:t xml:space="preserve">klasického </w:t>
      </w:r>
      <w:r w:rsidR="08163013">
        <w:t>vlastnictví (</w:t>
      </w:r>
      <w:r w:rsidR="08163013" w:rsidRPr="00C652C3">
        <w:rPr>
          <w:i/>
        </w:rPr>
        <w:t>Eigentum</w:t>
      </w:r>
      <w:r w:rsidR="08163013">
        <w:t xml:space="preserve">, </w:t>
      </w:r>
      <w:r w:rsidR="08163013" w:rsidRPr="00C652C3">
        <w:rPr>
          <w:i/>
        </w:rPr>
        <w:t>property</w:t>
      </w:r>
      <w:r w:rsidR="00A3423E">
        <w:t xml:space="preserve">) ke kapitalistickému </w:t>
      </w:r>
      <w:r w:rsidR="08163013">
        <w:t>majetku (</w:t>
      </w:r>
      <w:r w:rsidR="08163013" w:rsidRPr="00234268">
        <w:rPr>
          <w:i/>
        </w:rPr>
        <w:t>Besitz</w:t>
      </w:r>
      <w:r w:rsidR="08163013">
        <w:t xml:space="preserve">, </w:t>
      </w:r>
      <w:r w:rsidR="08163013">
        <w:rPr>
          <w:i/>
        </w:rPr>
        <w:t>p</w:t>
      </w:r>
      <w:r w:rsidR="08163013" w:rsidRPr="00234268">
        <w:rPr>
          <w:i/>
        </w:rPr>
        <w:t>ossesion</w:t>
      </w:r>
      <w:r w:rsidR="08163013">
        <w:rPr>
          <w:i/>
        </w:rPr>
        <w:fldChar w:fldCharType="begin"/>
      </w:r>
      <w:r w:rsidR="08163013">
        <w:instrText xml:space="preserve"> XE "</w:instrText>
      </w:r>
      <w:r w:rsidR="08163013" w:rsidRPr="00C2278D">
        <w:instrText>věc:vlastnictví/majetek</w:instrText>
      </w:r>
      <w:r w:rsidR="08163013">
        <w:instrText xml:space="preserve">" </w:instrText>
      </w:r>
      <w:r w:rsidR="08163013">
        <w:rPr>
          <w:i/>
        </w:rPr>
        <w:fldChar w:fldCharType="end"/>
      </w:r>
      <w:r w:rsidR="08163013">
        <w:t xml:space="preserve">). Řemeslné zajištění života dané tím, co je nutné pro udržení vlastního života (dům, </w:t>
      </w:r>
      <w:proofErr w:type="gramStart"/>
      <w:r w:rsidR="08163013">
        <w:t>půda,  dílna</w:t>
      </w:r>
      <w:proofErr w:type="gramEnd"/>
      <w:r w:rsidR="08163013">
        <w:t xml:space="preserve">) se stalo </w:t>
      </w:r>
      <w:r w:rsidR="08163013">
        <w:lastRenderedPageBreak/>
        <w:t>pouhým držením anonymního majetku daného nájemnou prací individuálního těla.</w:t>
      </w:r>
      <w:r w:rsidR="08163013">
        <w:rPr>
          <w:rStyle w:val="Znakapoznpodarou"/>
        </w:rPr>
        <w:footnoteReference w:id="390"/>
      </w:r>
      <w:r w:rsidR="008F1B80">
        <w:t xml:space="preserve"> </w:t>
      </w:r>
      <w:r w:rsidR="008F1B80" w:rsidRPr="008F1B80">
        <w:t xml:space="preserve">Kapitalismus začal v Anglii a v jejích koloniích jako Irsko v 18. století díky účinnosti nových zemědělských metod a vyvlastňování půdy. Chudí rolníci se stali bezdomovci, odešli do měst, kde se stali námezdní silou. </w:t>
      </w:r>
      <w:r w:rsidR="008F1B80">
        <w:t xml:space="preserve">Ekonomika vyvlastňování </w:t>
      </w:r>
      <w:r w:rsidR="008F1B80" w:rsidRPr="008F1B80">
        <w:t>byl</w:t>
      </w:r>
      <w:r w:rsidR="008F1B80">
        <w:t>a</w:t>
      </w:r>
      <w:r w:rsidR="008F1B80" w:rsidRPr="008F1B80">
        <w:t xml:space="preserve"> nezbytnou podmínkou pro začátek průmyslové revoluce a kapitalismu. </w:t>
      </w:r>
      <w:r w:rsidR="08163013">
        <w:t xml:space="preserve">Pak začaly platit v plné míře kontraktuální vztahy dané v Oliviho </w:t>
      </w:r>
      <w:r w:rsidR="0017274D">
        <w:t xml:space="preserve">výše uvedené </w:t>
      </w:r>
      <w:r w:rsidR="00301302">
        <w:t>definici prostituce.</w:t>
      </w:r>
    </w:p>
    <w:p w:rsidR="00304A09" w:rsidRDefault="00A840F4" w:rsidP="00C876FC">
      <w:pPr>
        <w:ind w:firstLine="397"/>
      </w:pPr>
      <w:r w:rsidRPr="00A840F4">
        <w:t xml:space="preserve">Nová metafyzika vůle změnila vztah ke světu, což mělo zásadní ekonomické důsledky. </w:t>
      </w:r>
      <w:r>
        <w:t xml:space="preserve">Nový </w:t>
      </w:r>
      <w:r w:rsidRPr="00A840F4">
        <w:rPr>
          <w:i/>
        </w:rPr>
        <w:t>aspectus</w:t>
      </w:r>
      <w:r w:rsidRPr="00A840F4">
        <w:t xml:space="preserve"> ekonomicky aktivní liberální vůle byl přenesen do nové podoby těla jako </w:t>
      </w:r>
      <w:r w:rsidRPr="00A840F4">
        <w:rPr>
          <w:i/>
        </w:rPr>
        <w:t>tertium ens</w:t>
      </w:r>
      <w:r>
        <w:t xml:space="preserve">. Toto jsoucno třetího </w:t>
      </w:r>
      <w:r w:rsidRPr="00A840F4">
        <w:t>druh</w:t>
      </w:r>
      <w:r>
        <w:t>u</w:t>
      </w:r>
      <w:r w:rsidRPr="00A840F4">
        <w:t xml:space="preserve"> dal</w:t>
      </w:r>
      <w:r>
        <w:t>o</w:t>
      </w:r>
      <w:r w:rsidRPr="00A840F4">
        <w:t xml:space="preserve"> vzniknout </w:t>
      </w:r>
      <w:r>
        <w:t xml:space="preserve">abstrakci zvané </w:t>
      </w:r>
      <w:r w:rsidRPr="00A840F4">
        <w:rPr>
          <w:i/>
        </w:rPr>
        <w:t>homo oeconomicus</w:t>
      </w:r>
      <w:r>
        <w:t xml:space="preserve">, který byla definována </w:t>
      </w:r>
      <w:r w:rsidRPr="00A840F4">
        <w:t xml:space="preserve">na kapitalistický způsob. </w:t>
      </w:r>
      <w:r>
        <w:t xml:space="preserve">Člověk jako nově (tedy konkrétně a individuálně) definované </w:t>
      </w:r>
      <w:r w:rsidRPr="00B7085A">
        <w:rPr>
          <w:i/>
        </w:rPr>
        <w:t>scibile</w:t>
      </w:r>
      <w:r>
        <w:t xml:space="preserve"> si v kapitalistickém modu </w:t>
      </w:r>
      <w:r w:rsidRPr="00B7085A">
        <w:rPr>
          <w:i/>
        </w:rPr>
        <w:t>dativus possessivus</w:t>
      </w:r>
      <w:r w:rsidR="00206F47">
        <w:rPr>
          <w:i/>
        </w:rPr>
        <w:fldChar w:fldCharType="begin"/>
      </w:r>
      <w:r w:rsidR="00206F47">
        <w:instrText xml:space="preserve"> XE "</w:instrText>
      </w:r>
      <w:r w:rsidR="00206F47" w:rsidRPr="00FA645A">
        <w:rPr>
          <w:i/>
        </w:rPr>
        <w:instrText>dativus possessivus</w:instrText>
      </w:r>
      <w:r w:rsidR="00206F47">
        <w:instrText xml:space="preserve">" </w:instrText>
      </w:r>
      <w:r w:rsidR="00206F47">
        <w:rPr>
          <w:i/>
        </w:rPr>
        <w:fldChar w:fldCharType="end"/>
      </w:r>
      <w:r>
        <w:t xml:space="preserve"> osvojil nové </w:t>
      </w:r>
      <w:r w:rsidRPr="00A840F4">
        <w:rPr>
          <w:i/>
        </w:rPr>
        <w:t>Weltansschauung</w:t>
      </w:r>
      <w:r>
        <w:t>, které</w:t>
      </w:r>
      <w:r w:rsidRPr="00A840F4">
        <w:t xml:space="preserve"> vznikl</w:t>
      </w:r>
      <w:r>
        <w:t>o</w:t>
      </w:r>
      <w:r w:rsidRPr="00A840F4">
        <w:t xml:space="preserve"> podle Bonaventurových</w:t>
      </w:r>
      <w:r>
        <w:t xml:space="preserve"> a později Descartových regulí</w:t>
      </w:r>
      <w:r w:rsidR="00895625">
        <w:fldChar w:fldCharType="begin"/>
      </w:r>
      <w:r w:rsidR="00895625">
        <w:instrText xml:space="preserve"> XE "</w:instrText>
      </w:r>
      <w:r w:rsidR="00895625" w:rsidRPr="007A35C8">
        <w:instrText>regule:kapitalismus</w:instrText>
      </w:r>
      <w:r w:rsidR="00895625">
        <w:instrText xml:space="preserve">" </w:instrText>
      </w:r>
      <w:r w:rsidR="00895625">
        <w:fldChar w:fldCharType="end"/>
      </w:r>
      <w:r w:rsidR="00B7085A">
        <w:t xml:space="preserve"> určujích činnost a racionalitu demiurgického agenta</w:t>
      </w:r>
      <w:r w:rsidR="00206F47">
        <w:t xml:space="preserve"> </w:t>
      </w:r>
      <w:r w:rsidR="00206F47">
        <w:rPr>
          <w:szCs w:val="24"/>
        </w:rPr>
        <w:t>(</w:t>
      </w:r>
      <w:r w:rsidR="00206F47">
        <w:rPr>
          <w:i/>
          <w:szCs w:val="24"/>
        </w:rPr>
        <w:t>dati</w:t>
      </w:r>
      <w:r w:rsidR="00206F47" w:rsidRPr="007A0E28">
        <w:rPr>
          <w:i/>
          <w:szCs w:val="24"/>
        </w:rPr>
        <w:t>vus auctoris</w:t>
      </w:r>
      <w:r w:rsidR="00206F47">
        <w:rPr>
          <w:i/>
          <w:szCs w:val="24"/>
        </w:rPr>
        <w:fldChar w:fldCharType="begin"/>
      </w:r>
      <w:r w:rsidR="00206F47">
        <w:instrText xml:space="preserve"> XE "</w:instrText>
      </w:r>
      <w:r w:rsidR="00206F47" w:rsidRPr="00C07AFF">
        <w:rPr>
          <w:i/>
          <w:szCs w:val="24"/>
        </w:rPr>
        <w:instrText>dativus auctoris</w:instrText>
      </w:r>
      <w:r w:rsidR="00206F47">
        <w:instrText xml:space="preserve">" </w:instrText>
      </w:r>
      <w:r w:rsidR="00206F47">
        <w:rPr>
          <w:i/>
          <w:szCs w:val="24"/>
        </w:rPr>
        <w:fldChar w:fldCharType="end"/>
      </w:r>
      <w:r w:rsidR="00206F47">
        <w:rPr>
          <w:szCs w:val="24"/>
        </w:rPr>
        <w:t>)</w:t>
      </w:r>
      <w:r w:rsidRPr="00A840F4">
        <w:t xml:space="preserve">. </w:t>
      </w:r>
      <w:r w:rsidR="00206F47">
        <w:t xml:space="preserve">Z hlediska existenciálů daných skrze </w:t>
      </w:r>
      <w:r w:rsidR="00206F47" w:rsidRPr="00206F47">
        <w:rPr>
          <w:i/>
        </w:rPr>
        <w:t>dativus obiectivus</w:t>
      </w:r>
      <w:r w:rsidR="00206F47">
        <w:rPr>
          <w:i/>
        </w:rPr>
        <w:fldChar w:fldCharType="begin"/>
      </w:r>
      <w:r w:rsidR="00206F47">
        <w:instrText xml:space="preserve"> XE "</w:instrText>
      </w:r>
      <w:r w:rsidR="00206F47" w:rsidRPr="005D4ABF">
        <w:rPr>
          <w:i/>
        </w:rPr>
        <w:instrText>dativus obiectivus</w:instrText>
      </w:r>
      <w:r w:rsidR="00206F47">
        <w:instrText xml:space="preserve">" </w:instrText>
      </w:r>
      <w:r w:rsidR="00206F47">
        <w:rPr>
          <w:i/>
        </w:rPr>
        <w:fldChar w:fldCharType="end"/>
      </w:r>
      <w:r w:rsidR="00206F47">
        <w:t xml:space="preserve"> (kap. 4) </w:t>
      </w:r>
      <w:proofErr w:type="gramStart"/>
      <w:r w:rsidR="00206F47">
        <w:t>je</w:t>
      </w:r>
      <w:proofErr w:type="gramEnd"/>
      <w:r w:rsidR="00206F47">
        <w:t xml:space="preserve"> vývoj kapitalismu </w:t>
      </w:r>
      <w:proofErr w:type="gramStart"/>
      <w:r w:rsidR="00206F47">
        <w:t>je</w:t>
      </w:r>
      <w:proofErr w:type="gramEnd"/>
      <w:r w:rsidR="00206F47">
        <w:t xml:space="preserve"> určen dvojí formou nihilismu. Za prvé, dějinné působení </w:t>
      </w:r>
      <w:r w:rsidR="009B03A7">
        <w:t xml:space="preserve">ontologického porozumění určeného </w:t>
      </w:r>
      <w:r w:rsidR="00FD5AF8">
        <w:t xml:space="preserve">skrze </w:t>
      </w:r>
      <w:r w:rsidR="00206F47" w:rsidRPr="00B7085A">
        <w:rPr>
          <w:i/>
        </w:rPr>
        <w:t>dativus possessivus</w:t>
      </w:r>
      <w:r w:rsidR="00206F47">
        <w:t xml:space="preserve"> je dáno skrze ztrátu </w:t>
      </w:r>
      <w:r w:rsidR="00FD5AF8">
        <w:t xml:space="preserve">klasického </w:t>
      </w:r>
      <w:r w:rsidR="00206F47">
        <w:t xml:space="preserve">vlastnictví, které se dnes změnilo na digitální formu bezcenného kapitálu a </w:t>
      </w:r>
      <w:r w:rsidR="00FD5AF8">
        <w:t>dokonce</w:t>
      </w:r>
      <w:r w:rsidR="00443CEA">
        <w:t xml:space="preserve"> i </w:t>
      </w:r>
      <w:r w:rsidR="00206F47">
        <w:t xml:space="preserve">iluzorního majetku. Za druhé, </w:t>
      </w:r>
      <w:r w:rsidR="00443CEA">
        <w:t xml:space="preserve">ekonomický subjekt založený skrze </w:t>
      </w:r>
      <w:r w:rsidR="00443CEA" w:rsidRPr="00443CEA">
        <w:rPr>
          <w:i/>
        </w:rPr>
        <w:t>dativus auctoris</w:t>
      </w:r>
      <w:r w:rsidR="00443CEA">
        <w:t xml:space="preserve"> se stal </w:t>
      </w:r>
      <w:r w:rsidR="00004315">
        <w:t>abstrac</w:t>
      </w:r>
      <w:r w:rsidR="00443CEA">
        <w:t>í na dr</w:t>
      </w:r>
      <w:r w:rsidR="00004315">
        <w:t>u</w:t>
      </w:r>
      <w:r w:rsidR="00443CEA">
        <w:t>h</w:t>
      </w:r>
      <w:r w:rsidR="00004315">
        <w:t>o</w:t>
      </w:r>
      <w:r w:rsidR="00443CEA">
        <w:t>u; Oliviho pojetí iracionálního subjektu vůle založilo nový il</w:t>
      </w:r>
      <w:r w:rsidR="004624BA">
        <w:t>u</w:t>
      </w:r>
      <w:r w:rsidR="00443CEA">
        <w:t>zorní subj</w:t>
      </w:r>
      <w:r w:rsidR="004624BA">
        <w:t>e</w:t>
      </w:r>
      <w:r w:rsidR="00443CEA">
        <w:t xml:space="preserve">kt v podobě </w:t>
      </w:r>
      <w:r w:rsidR="00443CEA" w:rsidRPr="00A840F4">
        <w:rPr>
          <w:i/>
        </w:rPr>
        <w:t>homo oeconomicus</w:t>
      </w:r>
      <w:r w:rsidR="00443CEA">
        <w:t>.</w:t>
      </w:r>
      <w:r w:rsidR="00895625">
        <w:t xml:space="preserve"> </w:t>
      </w:r>
      <w:r w:rsidR="08163013" w:rsidRPr="00273106">
        <w:rPr>
          <w:szCs w:val="14"/>
        </w:rPr>
        <w:t xml:space="preserve">Metafyzika </w:t>
      </w:r>
      <w:r w:rsidR="08163013" w:rsidRPr="00273106">
        <w:rPr>
          <w:i/>
          <w:szCs w:val="14"/>
        </w:rPr>
        <w:t>Modernorum</w:t>
      </w:r>
      <w:r w:rsidR="08163013" w:rsidRPr="00273106">
        <w:rPr>
          <w:szCs w:val="14"/>
        </w:rPr>
        <w:t xml:space="preserve"> stojí u zrodu kapitalismu jako</w:t>
      </w:r>
      <w:r w:rsidR="08163013">
        <w:rPr>
          <w:szCs w:val="14"/>
        </w:rPr>
        <w:t xml:space="preserve"> systému regulované a racionální chtivosti</w:t>
      </w:r>
      <w:r w:rsidR="00D953DD">
        <w:rPr>
          <w:szCs w:val="14"/>
        </w:rPr>
        <w:t>. U</w:t>
      </w:r>
      <w:r w:rsidR="08163013">
        <w:rPr>
          <w:szCs w:val="14"/>
        </w:rPr>
        <w:t xml:space="preserve">niverzální </w:t>
      </w:r>
      <w:r w:rsidR="00D953DD">
        <w:rPr>
          <w:szCs w:val="14"/>
        </w:rPr>
        <w:t xml:space="preserve">chtivost </w:t>
      </w:r>
      <w:r w:rsidR="08163013">
        <w:rPr>
          <w:szCs w:val="14"/>
        </w:rPr>
        <w:t xml:space="preserve">materie třetího druhu </w:t>
      </w:r>
      <w:r w:rsidR="00D953DD">
        <w:t>(</w:t>
      </w:r>
      <w:r w:rsidR="00D953DD" w:rsidRPr="004470B1">
        <w:rPr>
          <w:i/>
        </w:rPr>
        <w:t>appetit</w:t>
      </w:r>
      <w:r w:rsidR="00D953DD">
        <w:rPr>
          <w:i/>
        </w:rPr>
        <w:t>us</w:t>
      </w:r>
      <w:r w:rsidR="00D953DD" w:rsidRPr="004470B1">
        <w:rPr>
          <w:i/>
          <w:vertAlign w:val="superscript"/>
        </w:rPr>
        <w:t>1</w:t>
      </w:r>
      <w:r w:rsidR="00D953DD">
        <w:t xml:space="preserve">) </w:t>
      </w:r>
      <w:r w:rsidR="08163013">
        <w:rPr>
          <w:szCs w:val="14"/>
        </w:rPr>
        <w:t>mysticky potkává neomezenou chtivost demiurga</w:t>
      </w:r>
      <w:r w:rsidR="08163013">
        <w:rPr>
          <w:szCs w:val="14"/>
        </w:rPr>
        <w:fldChar w:fldCharType="begin"/>
      </w:r>
      <w:r w:rsidR="08163013">
        <w:instrText xml:space="preserve"> XE "</w:instrText>
      </w:r>
      <w:r w:rsidR="08163013" w:rsidRPr="005C2F4A">
        <w:rPr>
          <w:rStyle w:val="addmd"/>
        </w:rPr>
        <w:instrText>demiurg</w:instrText>
      </w:r>
      <w:r w:rsidR="08163013">
        <w:instrText xml:space="preserve">" </w:instrText>
      </w:r>
      <w:r w:rsidR="08163013">
        <w:rPr>
          <w:szCs w:val="14"/>
        </w:rPr>
        <w:fldChar w:fldCharType="end"/>
      </w:r>
      <w:r w:rsidR="00D953DD">
        <w:rPr>
          <w:szCs w:val="14"/>
        </w:rPr>
        <w:t xml:space="preserve"> </w:t>
      </w:r>
      <w:r w:rsidR="00D953DD">
        <w:t>(</w:t>
      </w:r>
      <w:r w:rsidR="00D953DD" w:rsidRPr="004470B1">
        <w:rPr>
          <w:i/>
        </w:rPr>
        <w:t>appetit</w:t>
      </w:r>
      <w:r w:rsidR="00D953DD">
        <w:rPr>
          <w:i/>
        </w:rPr>
        <w:t>us</w:t>
      </w:r>
      <w:r w:rsidR="00D953DD">
        <w:rPr>
          <w:i/>
          <w:vertAlign w:val="superscript"/>
        </w:rPr>
        <w:t>2</w:t>
      </w:r>
      <w:r w:rsidR="00D953DD">
        <w:t>)</w:t>
      </w:r>
      <w:r w:rsidR="08163013">
        <w:rPr>
          <w:szCs w:val="14"/>
        </w:rPr>
        <w:t xml:space="preserve">. </w:t>
      </w:r>
      <w:r w:rsidR="00414B2A" w:rsidRPr="00414B2A">
        <w:rPr>
          <w:szCs w:val="14"/>
        </w:rPr>
        <w:t xml:space="preserve">Bonaventura definoval tento </w:t>
      </w:r>
      <w:r w:rsidR="00414B2A" w:rsidRPr="00414B2A">
        <w:rPr>
          <w:i/>
          <w:szCs w:val="14"/>
        </w:rPr>
        <w:t>appetitus</w:t>
      </w:r>
      <w:r w:rsidR="00414B2A" w:rsidRPr="00414B2A">
        <w:rPr>
          <w:szCs w:val="14"/>
        </w:rPr>
        <w:t xml:space="preserve"> výhradně jako předmět osvíceného i</w:t>
      </w:r>
      <w:r w:rsidR="00414B2A">
        <w:rPr>
          <w:szCs w:val="14"/>
        </w:rPr>
        <w:t>ntelektu. Olivi jej transformoval</w:t>
      </w:r>
      <w:r w:rsidR="00414B2A" w:rsidRPr="00414B2A">
        <w:rPr>
          <w:szCs w:val="14"/>
        </w:rPr>
        <w:t xml:space="preserve"> na </w:t>
      </w:r>
      <w:r w:rsidR="00414B2A">
        <w:rPr>
          <w:szCs w:val="14"/>
        </w:rPr>
        <w:t xml:space="preserve">dějinně účinný </w:t>
      </w:r>
      <w:r w:rsidR="00414B2A" w:rsidRPr="00414B2A">
        <w:rPr>
          <w:i/>
          <w:szCs w:val="14"/>
        </w:rPr>
        <w:t>conatus</w:t>
      </w:r>
      <w:r w:rsidR="00414B2A" w:rsidRPr="00414B2A">
        <w:rPr>
          <w:szCs w:val="14"/>
        </w:rPr>
        <w:t xml:space="preserve">, neboť tento </w:t>
      </w:r>
      <w:r w:rsidR="00414B2A" w:rsidRPr="00414B2A">
        <w:rPr>
          <w:i/>
          <w:szCs w:val="14"/>
        </w:rPr>
        <w:t>appetitus</w:t>
      </w:r>
      <w:r w:rsidR="00414B2A">
        <w:rPr>
          <w:szCs w:val="14"/>
        </w:rPr>
        <w:t xml:space="preserve"> se stal aspektem</w:t>
      </w:r>
      <w:r w:rsidR="00414B2A" w:rsidRPr="00414B2A">
        <w:rPr>
          <w:szCs w:val="14"/>
        </w:rPr>
        <w:t xml:space="preserve"> </w:t>
      </w:r>
      <w:r w:rsidR="00C876FC">
        <w:rPr>
          <w:szCs w:val="14"/>
        </w:rPr>
        <w:t xml:space="preserve">suverénní </w:t>
      </w:r>
      <w:r w:rsidR="00DD1C30">
        <w:rPr>
          <w:szCs w:val="14"/>
        </w:rPr>
        <w:t xml:space="preserve">vůle kapitalistického </w:t>
      </w:r>
      <w:r w:rsidR="00147C58">
        <w:rPr>
          <w:szCs w:val="14"/>
        </w:rPr>
        <w:t>demiurg</w:t>
      </w:r>
      <w:r w:rsidR="00DD1C30">
        <w:rPr>
          <w:szCs w:val="14"/>
        </w:rPr>
        <w:t>a</w:t>
      </w:r>
      <w:r w:rsidR="00414B2A" w:rsidRPr="00414B2A">
        <w:rPr>
          <w:szCs w:val="14"/>
        </w:rPr>
        <w:t xml:space="preserve">. </w:t>
      </w:r>
      <w:r w:rsidR="08163013">
        <w:rPr>
          <w:szCs w:val="14"/>
        </w:rPr>
        <w:t>Na konci 13. století se s</w:t>
      </w:r>
      <w:r w:rsidR="08163013">
        <w:t>vět stal aspektem univerzálně regulované demiurgické vůle zakládající kolonizaci světa v 17. století</w:t>
      </w:r>
      <w:r w:rsidR="00101174">
        <w:t xml:space="preserve">. Tento vývoj byl zakončen ve 20. století </w:t>
      </w:r>
      <w:r w:rsidR="08163013">
        <w:t>dnešní globální vlád</w:t>
      </w:r>
      <w:r w:rsidR="00101174">
        <w:t>o</w:t>
      </w:r>
      <w:r w:rsidR="08163013">
        <w:t xml:space="preserve">u jednoho procenta </w:t>
      </w:r>
      <w:r w:rsidR="00101174">
        <w:t xml:space="preserve">iluminátů </w:t>
      </w:r>
      <w:r w:rsidR="08163013">
        <w:t xml:space="preserve">nad </w:t>
      </w:r>
      <w:r w:rsidR="00101174">
        <w:t xml:space="preserve">zbytkem světa. Nová forma </w:t>
      </w:r>
      <w:r w:rsidR="00101174" w:rsidRPr="00101174">
        <w:rPr>
          <w:i/>
        </w:rPr>
        <w:t>dativus possessivus</w:t>
      </w:r>
      <w:r w:rsidR="00101174">
        <w:t xml:space="preserve"> je dána </w:t>
      </w:r>
      <w:r w:rsidR="08163013">
        <w:t xml:space="preserve">pomocí fiktivního monetárního dluhu vytvořeného ze sofistikované </w:t>
      </w:r>
      <w:r w:rsidR="08163013">
        <w:lastRenderedPageBreak/>
        <w:t>nicoty finančních derivátů</w:t>
      </w:r>
      <w:r w:rsidR="08163013">
        <w:fldChar w:fldCharType="begin"/>
      </w:r>
      <w:r w:rsidR="08163013">
        <w:instrText xml:space="preserve"> XE "</w:instrText>
      </w:r>
      <w:r w:rsidR="08163013" w:rsidRPr="089E7504">
        <w:instrText>finanční deriváty</w:instrText>
      </w:r>
      <w:r w:rsidR="08163013">
        <w:instrText xml:space="preserve">" </w:instrText>
      </w:r>
      <w:r w:rsidR="08163013">
        <w:fldChar w:fldCharType="end"/>
      </w:r>
      <w:r w:rsidR="08163013">
        <w:t xml:space="preserve">. </w:t>
      </w:r>
      <w:r w:rsidR="08163013" w:rsidRPr="00273106">
        <w:t xml:space="preserve">Objektivní náhled vůle na jsoucno je dán v </w:t>
      </w:r>
      <w:r w:rsidR="08163013">
        <w:t xml:space="preserve">Oliviho termínu </w:t>
      </w:r>
      <w:r w:rsidR="08163013" w:rsidRPr="00273106">
        <w:rPr>
          <w:i/>
        </w:rPr>
        <w:t>aspectus</w:t>
      </w:r>
      <w:r w:rsidR="08163013">
        <w:rPr>
          <w:i/>
        </w:rPr>
        <w:fldChar w:fldCharType="begin"/>
      </w:r>
      <w:r w:rsidR="08163013">
        <w:instrText xml:space="preserve"> XE "vůle:</w:instrText>
      </w:r>
      <w:r w:rsidR="08163013" w:rsidRPr="00680F93">
        <w:rPr>
          <w:i/>
        </w:rPr>
        <w:instrText>aspectus</w:instrText>
      </w:r>
      <w:r w:rsidR="08163013">
        <w:instrText xml:space="preserve">" </w:instrText>
      </w:r>
      <w:r w:rsidR="08163013">
        <w:rPr>
          <w:i/>
        </w:rPr>
        <w:fldChar w:fldCharType="end"/>
      </w:r>
      <w:r w:rsidR="08163013">
        <w:t xml:space="preserve"> a </w:t>
      </w:r>
      <w:r w:rsidR="08163013" w:rsidRPr="00912AED">
        <w:rPr>
          <w:i/>
        </w:rPr>
        <w:t>realis distinctio</w:t>
      </w:r>
      <w:r w:rsidR="08163013">
        <w:rPr>
          <w:i/>
        </w:rPr>
        <w:fldChar w:fldCharType="begin"/>
      </w:r>
      <w:r w:rsidR="08163013">
        <w:instrText xml:space="preserve"> XE "vůle:</w:instrText>
      </w:r>
      <w:r w:rsidR="08163013" w:rsidRPr="00F9097E">
        <w:rPr>
          <w:i/>
        </w:rPr>
        <w:instrText>realis distinctio</w:instrText>
      </w:r>
      <w:r w:rsidR="08163013">
        <w:instrText xml:space="preserve">" </w:instrText>
      </w:r>
      <w:r w:rsidR="08163013">
        <w:rPr>
          <w:i/>
        </w:rPr>
        <w:fldChar w:fldCharType="end"/>
      </w:r>
      <w:r w:rsidR="08163013">
        <w:t xml:space="preserve"> vyložených v předešlé kapitole. </w:t>
      </w:r>
      <w:r w:rsidR="08163013" w:rsidRPr="00273106">
        <w:t xml:space="preserve">Esence </w:t>
      </w:r>
      <w:r w:rsidR="007265C5">
        <w:t xml:space="preserve">moderní </w:t>
      </w:r>
      <w:r w:rsidR="08163013" w:rsidRPr="00273106">
        <w:t>vůle spočívá v její svobodě nebýt podrobena žádné kauzalitě dané zvněj</w:t>
      </w:r>
      <w:r w:rsidR="08163013">
        <w:t xml:space="preserve">šku. </w:t>
      </w:r>
      <w:r w:rsidR="08163013" w:rsidRPr="00273106">
        <w:t xml:space="preserve">Vůči tomuto určení vůle dané </w:t>
      </w:r>
      <w:r w:rsidR="08163013" w:rsidRPr="00273106">
        <w:rPr>
          <w:i/>
        </w:rPr>
        <w:t>per prius</w:t>
      </w:r>
      <w:r w:rsidR="08163013">
        <w:rPr>
          <w:i/>
        </w:rPr>
        <w:fldChar w:fldCharType="begin"/>
      </w:r>
      <w:r w:rsidR="08163013">
        <w:instrText xml:space="preserve"> XE "</w:instrText>
      </w:r>
      <w:r w:rsidR="08163013" w:rsidRPr="004535FF">
        <w:instrText>vůle</w:instrText>
      </w:r>
      <w:r w:rsidR="08163013" w:rsidRPr="00393057">
        <w:rPr>
          <w:i/>
        </w:rPr>
        <w:instrText>:per prius</w:instrText>
      </w:r>
      <w:r w:rsidR="08163013">
        <w:instrText xml:space="preserve">" </w:instrText>
      </w:r>
      <w:r w:rsidR="08163013">
        <w:rPr>
          <w:i/>
        </w:rPr>
        <w:fldChar w:fldCharType="end"/>
      </w:r>
      <w:r w:rsidR="08163013" w:rsidRPr="00273106">
        <w:t xml:space="preserve"> jsou všechna ostatní určení jsoucna daná jen jako sekundární určení. </w:t>
      </w:r>
      <w:r w:rsidR="08163013">
        <w:t>Demiurgická v</w:t>
      </w:r>
      <w:r w:rsidR="08163013" w:rsidRPr="00273106">
        <w:t xml:space="preserve">ůle </w:t>
      </w:r>
      <w:r w:rsidR="08163013">
        <w:t xml:space="preserve">Rufusova, Bonaventurova a Oliviho individua </w:t>
      </w:r>
      <w:r w:rsidR="08163013" w:rsidRPr="00273106">
        <w:t xml:space="preserve">determinuje </w:t>
      </w:r>
      <w:r w:rsidR="00873613">
        <w:t xml:space="preserve">skrze demiurgicky </w:t>
      </w:r>
      <w:proofErr w:type="gramStart"/>
      <w:r w:rsidR="00873613">
        <w:t xml:space="preserve">regulované  </w:t>
      </w:r>
      <w:r w:rsidR="08163013" w:rsidRPr="00273106">
        <w:t>vědění</w:t>
      </w:r>
      <w:proofErr w:type="gramEnd"/>
      <w:r w:rsidR="08163013" w:rsidRPr="00273106">
        <w:t xml:space="preserve"> </w:t>
      </w:r>
      <w:r w:rsidR="00873613">
        <w:t>(</w:t>
      </w:r>
      <w:r w:rsidR="00873613" w:rsidRPr="00873613">
        <w:rPr>
          <w:i/>
        </w:rPr>
        <w:t>Ge-Stell</w:t>
      </w:r>
      <w:r w:rsidR="00873613">
        <w:rPr>
          <w:i/>
        </w:rPr>
        <w:fldChar w:fldCharType="begin"/>
      </w:r>
      <w:r w:rsidR="00873613">
        <w:instrText xml:space="preserve"> XE "</w:instrText>
      </w:r>
      <w:r w:rsidR="00873613" w:rsidRPr="00D0001F">
        <w:rPr>
          <w:i/>
        </w:rPr>
        <w:instrText>Ge-Stell</w:instrText>
      </w:r>
      <w:r w:rsidR="00873613">
        <w:instrText xml:space="preserve">" </w:instrText>
      </w:r>
      <w:r w:rsidR="00873613">
        <w:rPr>
          <w:i/>
        </w:rPr>
        <w:fldChar w:fldCharType="end"/>
      </w:r>
      <w:r w:rsidR="00873613">
        <w:t xml:space="preserve">) zbytek moderně viděného </w:t>
      </w:r>
      <w:r w:rsidR="08163013" w:rsidRPr="00273106">
        <w:t>sv</w:t>
      </w:r>
      <w:r w:rsidR="08163013">
        <w:t>ět</w:t>
      </w:r>
      <w:r w:rsidR="00873613">
        <w:t>a</w:t>
      </w:r>
      <w:r w:rsidR="08163013" w:rsidRPr="00273106">
        <w:t>.</w:t>
      </w:r>
      <w:r w:rsidR="08163013">
        <w:t xml:space="preserve"> </w:t>
      </w:r>
      <w:r w:rsidR="00304A09" w:rsidRPr="00304A09">
        <w:t>Co se mění, jsou ekonomické zájmy sebezáchovy (</w:t>
      </w:r>
      <w:r w:rsidR="00304A09" w:rsidRPr="00304A09">
        <w:rPr>
          <w:i/>
        </w:rPr>
        <w:t>conatus</w:t>
      </w:r>
      <w:r w:rsidR="00304A09" w:rsidRPr="00304A09">
        <w:t xml:space="preserve"> </w:t>
      </w:r>
      <w:r w:rsidR="00ED077C">
        <w:t xml:space="preserve">biologického </w:t>
      </w:r>
      <w:r w:rsidR="00304A09" w:rsidRPr="00304A09">
        <w:rPr>
          <w:i/>
        </w:rPr>
        <w:t>individuum</w:t>
      </w:r>
      <w:r w:rsidR="00304A09" w:rsidRPr="00304A09">
        <w:t>) dané jako objektivní touha po tom či onom druhu dobra.</w:t>
      </w:r>
      <w:r w:rsidR="00B938D9">
        <w:t xml:space="preserve"> Svobodná vůle kapitalistického demiurga je substance třetího druhu, která je trvale spojena sama sebou v intimním modu </w:t>
      </w:r>
      <w:r w:rsidR="00B938D9" w:rsidRPr="00330D3A">
        <w:rPr>
          <w:i/>
        </w:rPr>
        <w:t>per se</w:t>
      </w:r>
      <w:r w:rsidR="00B938D9">
        <w:t xml:space="preserve">. </w:t>
      </w:r>
    </w:p>
    <w:p w:rsidR="08163013" w:rsidRPr="085B0B53" w:rsidRDefault="08163013" w:rsidP="085B0B53">
      <w:pPr>
        <w:pStyle w:val="Citace"/>
      </w:pPr>
      <w:r w:rsidRPr="085B0B53">
        <w:rPr>
          <w:rStyle w:val="FontStyle116"/>
          <w:rFonts w:ascii="Calibri" w:hAnsi="Calibri"/>
          <w:sz w:val="22"/>
          <w:szCs w:val="20"/>
        </w:rPr>
        <w:t>„Vůle sama, nakolik je schopná jednat svobodně (</w:t>
      </w:r>
      <w:r w:rsidRPr="085B0B53">
        <w:rPr>
          <w:i/>
        </w:rPr>
        <w:t>potens libere agere</w:t>
      </w:r>
      <w:r w:rsidRPr="085B0B53">
        <w:rPr>
          <w:rStyle w:val="FontStyle116"/>
          <w:rFonts w:ascii="Calibri" w:hAnsi="Calibri"/>
          <w:sz w:val="22"/>
          <w:szCs w:val="20"/>
        </w:rPr>
        <w:t>), a nakolik toho schopná není, není od sebe odlišná ani v případě konkrétního chtění ani vzhledem ke své substanci a species. V jednom a ve druhém případě se pouze mění vztah, kterým se vůle habituálně uchopuje (</w:t>
      </w:r>
      <w:r w:rsidRPr="085B0B53">
        <w:rPr>
          <w:rStyle w:val="FontStyle116"/>
          <w:rFonts w:ascii="Calibri" w:hAnsi="Calibri"/>
          <w:i/>
          <w:sz w:val="22"/>
          <w:szCs w:val="20"/>
        </w:rPr>
        <w:t>alio et alio modo se habens</w:t>
      </w:r>
      <w:r w:rsidRPr="085B0B53">
        <w:rPr>
          <w:rStyle w:val="FontStyle116"/>
          <w:rFonts w:ascii="Calibri" w:hAnsi="Calibri"/>
          <w:sz w:val="22"/>
          <w:szCs w:val="20"/>
        </w:rPr>
        <w:t xml:space="preserve">).“ </w:t>
      </w:r>
      <w:r w:rsidRPr="085B0B53">
        <w:rPr>
          <w:rStyle w:val="Znakapoznpodarou"/>
        </w:rPr>
        <w:footnoteReference w:id="391"/>
      </w:r>
    </w:p>
    <w:p w:rsidR="004B0385" w:rsidRDefault="08163013" w:rsidP="004B0385">
      <w:r w:rsidRPr="085B0B53">
        <w:t>Sekundární určení popisují jevovou stránku chtění (</w:t>
      </w:r>
      <w:r w:rsidRPr="085B0B53">
        <w:rPr>
          <w:i/>
        </w:rPr>
        <w:t>ad hoc potens</w:t>
      </w:r>
      <w:r w:rsidR="083C6858">
        <w:t xml:space="preserve">) v </w:t>
      </w:r>
      <w:r w:rsidR="00A56AE7">
        <w:rPr>
          <w:szCs w:val="24"/>
          <w:lang w:val="de-LU"/>
        </w:rPr>
        <w:t>objektivním m</w:t>
      </w:r>
      <w:r w:rsidR="083C6858">
        <w:rPr>
          <w:szCs w:val="24"/>
          <w:lang w:val="de-LU"/>
        </w:rPr>
        <w:t xml:space="preserve">odu </w:t>
      </w:r>
      <w:r w:rsidR="00A56AE7">
        <w:rPr>
          <w:szCs w:val="24"/>
          <w:lang w:val="de-LU"/>
        </w:rPr>
        <w:t>„</w:t>
      </w:r>
      <w:r w:rsidR="083C6858" w:rsidRPr="003D0306">
        <w:rPr>
          <w:i/>
          <w:szCs w:val="24"/>
          <w:lang w:val="de-LU"/>
        </w:rPr>
        <w:t>esse ad</w:t>
      </w:r>
      <w:r w:rsidR="00A56AE7">
        <w:rPr>
          <w:szCs w:val="24"/>
          <w:lang w:val="de-LU"/>
        </w:rPr>
        <w:t>“</w:t>
      </w:r>
      <w:r w:rsidR="0848697D" w:rsidRPr="007800B7">
        <w:rPr>
          <w:szCs w:val="24"/>
        </w:rPr>
        <w:fldChar w:fldCharType="begin"/>
      </w:r>
      <w:r w:rsidR="0848697D" w:rsidRPr="007800B7">
        <w:rPr>
          <w:szCs w:val="24"/>
        </w:rPr>
        <w:instrText xml:space="preserve"> XE "</w:instrText>
      </w:r>
      <w:r w:rsidR="0848697D" w:rsidRPr="007800B7">
        <w:rPr>
          <w:i/>
          <w:szCs w:val="24"/>
        </w:rPr>
        <w:instrText xml:space="preserve">esse </w:instrText>
      </w:r>
      <w:proofErr w:type="gramStart"/>
      <w:r w:rsidR="0848697D" w:rsidRPr="007800B7">
        <w:rPr>
          <w:i/>
          <w:szCs w:val="24"/>
        </w:rPr>
        <w:instrText>ad</w:instrText>
      </w:r>
      <w:proofErr w:type="gramEnd"/>
      <w:r w:rsidR="0848697D" w:rsidRPr="007800B7">
        <w:rPr>
          <w:szCs w:val="24"/>
        </w:rPr>
        <w:instrText xml:space="preserve">:Olivi" </w:instrText>
      </w:r>
      <w:r w:rsidR="0848697D" w:rsidRPr="007800B7">
        <w:rPr>
          <w:szCs w:val="24"/>
        </w:rPr>
        <w:fldChar w:fldCharType="end"/>
      </w:r>
      <w:r w:rsidR="083C6858">
        <w:rPr>
          <w:i/>
          <w:szCs w:val="24"/>
          <w:lang w:val="de-LU"/>
        </w:rPr>
        <w:t>.</w:t>
      </w:r>
      <w:r w:rsidRPr="085B0B53">
        <w:t xml:space="preserve"> </w:t>
      </w:r>
      <w:r w:rsidR="083C6858">
        <w:t xml:space="preserve">Akt objektivního </w:t>
      </w:r>
      <w:r w:rsidR="083C6858" w:rsidRPr="083C6858">
        <w:rPr>
          <w:i/>
        </w:rPr>
        <w:t>volitio</w:t>
      </w:r>
      <w:r w:rsidR="083C6858">
        <w:t xml:space="preserve"> ale neříká</w:t>
      </w:r>
      <w:r w:rsidRPr="085B0B53">
        <w:t xml:space="preserve"> nic o </w:t>
      </w:r>
      <w:r w:rsidR="083C6858">
        <w:t xml:space="preserve">aktuální </w:t>
      </w:r>
      <w:r w:rsidRPr="085B0B53">
        <w:t xml:space="preserve">podstatě vůle, která je daná substanciálně a ipseitně sama v sobě. Olivi změnil základní </w:t>
      </w:r>
      <w:r w:rsidR="088C618D">
        <w:t xml:space="preserve">způsob, </w:t>
      </w:r>
      <w:r w:rsidRPr="085B0B53">
        <w:t>jak</w:t>
      </w:r>
      <w:r w:rsidR="088C618D">
        <w:t xml:space="preserve"> </w:t>
      </w:r>
      <w:r w:rsidRPr="085B0B53">
        <w:t>je svobodná vůle dána sama v sobě (</w:t>
      </w:r>
      <w:r w:rsidRPr="085B0B53">
        <w:rPr>
          <w:i/>
        </w:rPr>
        <w:t>se habens</w:t>
      </w:r>
      <w:r w:rsidRPr="085B0B53">
        <w:t xml:space="preserve">). </w:t>
      </w:r>
      <w:r w:rsidR="005402AA" w:rsidRPr="005402AA">
        <w:t>Kapitalismus neovládá reálný svět, ale objektivně ovládaný a přivlastňovaný dia</w:t>
      </w:r>
      <w:r w:rsidR="005402AA">
        <w:t>kosmos. Termín „</w:t>
      </w:r>
      <w:r w:rsidR="005402AA" w:rsidRPr="005402AA">
        <w:rPr>
          <w:i/>
        </w:rPr>
        <w:t>se habens</w:t>
      </w:r>
      <w:r w:rsidR="005402AA">
        <w:t>“ popisuje primární formu</w:t>
      </w:r>
      <w:r w:rsidR="005402AA" w:rsidRPr="005402AA">
        <w:t xml:space="preserve"> </w:t>
      </w:r>
      <w:r w:rsidR="005402AA" w:rsidRPr="005402AA">
        <w:rPr>
          <w:i/>
        </w:rPr>
        <w:t>dativus possessivus</w:t>
      </w:r>
      <w:r w:rsidR="005402AA" w:rsidRPr="005402AA">
        <w:t xml:space="preserve"> kapitalistického subjektu. </w:t>
      </w:r>
      <w:r w:rsidR="00396629">
        <w:t>Způsob</w:t>
      </w:r>
      <w:r w:rsidR="005402AA" w:rsidRPr="005402AA">
        <w:t xml:space="preserve"> ontologického (tj. kapitalistického) </w:t>
      </w:r>
      <w:r w:rsidR="005402AA">
        <w:t xml:space="preserve">porozumění </w:t>
      </w:r>
      <w:r w:rsidR="00BE04FD">
        <w:t xml:space="preserve">světa </w:t>
      </w:r>
      <w:r w:rsidR="005402AA">
        <w:t>(</w:t>
      </w:r>
      <w:r w:rsidR="005402AA" w:rsidRPr="005402AA">
        <w:rPr>
          <w:i/>
        </w:rPr>
        <w:t>Vor-blickbahn</w:t>
      </w:r>
      <w:r w:rsidR="005402AA" w:rsidRPr="005402AA">
        <w:t>) popisuj</w:t>
      </w:r>
      <w:r w:rsidR="005402AA">
        <w:t xml:space="preserve">e kategoriální určení zvané </w:t>
      </w:r>
      <w:r w:rsidRPr="08DF3854">
        <w:rPr>
          <w:i/>
        </w:rPr>
        <w:t>habitus</w:t>
      </w:r>
      <w:r w:rsidRPr="085B0B53">
        <w:fldChar w:fldCharType="begin"/>
      </w:r>
      <w:r w:rsidRPr="085B0B53">
        <w:instrText xml:space="preserve"> XE "vůle:habitus" </w:instrText>
      </w:r>
      <w:r w:rsidRPr="085B0B53">
        <w:fldChar w:fldCharType="end"/>
      </w:r>
      <w:r w:rsidR="08DF3854">
        <w:t xml:space="preserve">. Tento původně aristotelský akcident </w:t>
      </w:r>
      <w:r w:rsidRPr="085B0B53">
        <w:t>dostal ve druhém averroismu substanční význam. Jednotu vůle zajišťuje jí vlastní způsob substančního bytí (</w:t>
      </w:r>
      <w:r w:rsidRPr="083C6858">
        <w:rPr>
          <w:i/>
        </w:rPr>
        <w:t>secundum substantiam et speciem</w:t>
      </w:r>
      <w:r w:rsidRPr="085B0B53">
        <w:t>), v němž se vůle nemění vzhledem ke chtěnému předmětu (</w:t>
      </w:r>
      <w:r w:rsidRPr="083C6858">
        <w:rPr>
          <w:i/>
        </w:rPr>
        <w:t>non est alia et alia</w:t>
      </w:r>
      <w:r w:rsidRPr="085B0B53">
        <w:t xml:space="preserve">). </w:t>
      </w:r>
      <w:r w:rsidR="08DF3854">
        <w:t xml:space="preserve">Trvalá schopnost substanční </w:t>
      </w:r>
      <w:r w:rsidRPr="085B0B53">
        <w:t>vůle (</w:t>
      </w:r>
      <w:r w:rsidRPr="083C6858">
        <w:rPr>
          <w:i/>
        </w:rPr>
        <w:t>potentia substantialis</w:t>
      </w:r>
      <w:r w:rsidRPr="085B0B53">
        <w:fldChar w:fldCharType="begin"/>
      </w:r>
      <w:r w:rsidRPr="085B0B53">
        <w:instrText xml:space="preserve"> XE "vůle:</w:instrText>
      </w:r>
      <w:r w:rsidRPr="088A0615">
        <w:rPr>
          <w:i/>
        </w:rPr>
        <w:instrText>potentia substantialis</w:instrText>
      </w:r>
      <w:r w:rsidRPr="085B0B53">
        <w:instrText xml:space="preserve">" </w:instrText>
      </w:r>
      <w:r w:rsidRPr="085B0B53">
        <w:fldChar w:fldCharType="end"/>
      </w:r>
      <w:r w:rsidRPr="085B0B53">
        <w:t xml:space="preserve">) </w:t>
      </w:r>
      <w:r w:rsidR="08DF3854">
        <w:t>zajišťuje proměnlivé a proto akcidentální akty</w:t>
      </w:r>
      <w:r w:rsidRPr="085B0B53">
        <w:t xml:space="preserve"> </w:t>
      </w:r>
      <w:r w:rsidR="08DF3854">
        <w:t xml:space="preserve">chtění </w:t>
      </w:r>
      <w:r w:rsidRPr="085B0B53">
        <w:t>(</w:t>
      </w:r>
      <w:r w:rsidRPr="088C618D">
        <w:rPr>
          <w:i/>
        </w:rPr>
        <w:t>potentia accidentalis</w:t>
      </w:r>
      <w:r w:rsidRPr="085B0B53">
        <w:fldChar w:fldCharType="begin"/>
      </w:r>
      <w:r w:rsidRPr="085B0B53">
        <w:instrText xml:space="preserve"> XE "vůle:</w:instrText>
      </w:r>
      <w:r w:rsidRPr="088A0615">
        <w:rPr>
          <w:i/>
        </w:rPr>
        <w:instrText>potentia accidentalis</w:instrText>
      </w:r>
      <w:r w:rsidRPr="085B0B53">
        <w:instrText xml:space="preserve">" </w:instrText>
      </w:r>
      <w:r w:rsidRPr="085B0B53">
        <w:fldChar w:fldCharType="end"/>
      </w:r>
      <w:r w:rsidRPr="085B0B53">
        <w:t>).</w:t>
      </w:r>
      <w:r>
        <w:t xml:space="preserve"> Habituálně definovaná v</w:t>
      </w:r>
      <w:r w:rsidRPr="00273106">
        <w:t xml:space="preserve">ůle se </w:t>
      </w:r>
      <w:r>
        <w:t xml:space="preserve">v momentu chtění </w:t>
      </w:r>
      <w:r w:rsidRPr="00273106">
        <w:t xml:space="preserve">proměňuje </w:t>
      </w:r>
      <w:r>
        <w:t xml:space="preserve">pouze </w:t>
      </w:r>
      <w:r w:rsidRPr="00273106">
        <w:t>akcidentálně</w:t>
      </w:r>
      <w:r>
        <w:t>. M</w:t>
      </w:r>
      <w:r w:rsidRPr="00273106">
        <w:t xml:space="preserve">ění </w:t>
      </w:r>
      <w:r>
        <w:t>se pouze individuální úkon chtění realizovaný v tom či onom aktu</w:t>
      </w:r>
      <w:r w:rsidRPr="00273106">
        <w:t>.</w:t>
      </w:r>
      <w:r>
        <w:t xml:space="preserve"> </w:t>
      </w:r>
      <w:r>
        <w:lastRenderedPageBreak/>
        <w:t>Substanční h</w:t>
      </w:r>
      <w:r w:rsidRPr="00273106">
        <w:t xml:space="preserve">abitus vůle </w:t>
      </w:r>
      <w:r>
        <w:t>tvoří její skrytou podstatu danou</w:t>
      </w:r>
      <w:r w:rsidRPr="00273106">
        <w:t xml:space="preserve"> ipseitně a intimně.</w:t>
      </w:r>
      <w:r>
        <w:t xml:space="preserve"> Aktuální habitus vůle daný v porretánském modu </w:t>
      </w:r>
      <w:r w:rsidR="007C7F33">
        <w:t>„</w:t>
      </w:r>
      <w:r w:rsidRPr="009F0EF9">
        <w:rPr>
          <w:i/>
        </w:rPr>
        <w:t>semel</w:t>
      </w:r>
      <w:r>
        <w:t>‒</w:t>
      </w:r>
      <w:r w:rsidRPr="009F0EF9">
        <w:rPr>
          <w:i/>
        </w:rPr>
        <w:t>semper</w:t>
      </w:r>
      <w:r w:rsidR="007C7F33">
        <w:t>“</w:t>
      </w:r>
      <w:r>
        <w:t xml:space="preserve"> se liší od kontingentního chtění ve světě (</w:t>
      </w:r>
      <w:r w:rsidRPr="00273106">
        <w:rPr>
          <w:i/>
        </w:rPr>
        <w:t>alio modo se habens</w:t>
      </w:r>
      <w:r>
        <w:t xml:space="preserve">). </w:t>
      </w:r>
      <w:r w:rsidRPr="00273106">
        <w:t>Esenciálně daná svobo</w:t>
      </w:r>
      <w:r>
        <w:t xml:space="preserve">dná vůle se navenek projevuje </w:t>
      </w:r>
      <w:r w:rsidRPr="00273106">
        <w:t xml:space="preserve">jinak, než </w:t>
      </w:r>
      <w:r>
        <w:t xml:space="preserve">jak habituálně bytuje sama </w:t>
      </w:r>
      <w:r w:rsidRPr="00273106">
        <w:t xml:space="preserve">v sobě jako čisté substanciální možnosti. </w:t>
      </w:r>
      <w:r>
        <w:t xml:space="preserve">Vůle je v modu </w:t>
      </w:r>
      <w:r w:rsidRPr="00F0431E">
        <w:rPr>
          <w:i/>
        </w:rPr>
        <w:t>per prius</w:t>
      </w:r>
      <w:r>
        <w:t xml:space="preserve"> intimně a hypostaticky daná v sobě samé a v takto daném habitu má i původní kauzální účinnost</w:t>
      </w:r>
      <w:r w:rsidRPr="00273106">
        <w:t xml:space="preserve">. Tato podvojnost </w:t>
      </w:r>
      <w:r>
        <w:t>substančně-</w:t>
      </w:r>
      <w:r w:rsidRPr="00273106">
        <w:t xml:space="preserve">suverénní </w:t>
      </w:r>
      <w:r>
        <w:t xml:space="preserve">a kontingentně-účinné </w:t>
      </w:r>
      <w:r w:rsidRPr="00273106">
        <w:t xml:space="preserve">vůle je poprvé daná </w:t>
      </w:r>
      <w:r>
        <w:t>v rámci výše citované reální distinkce mezi podstatou vůle a jejím aspektem daným vzhledem k vnějšímu světu (</w:t>
      </w:r>
      <w:r w:rsidRPr="00273106">
        <w:rPr>
          <w:i/>
        </w:rPr>
        <w:t>realis distinctio inter essentiam voluntatis et suos aspectus</w:t>
      </w:r>
      <w:r w:rsidR="08F1493E">
        <w:t>, kap. 5</w:t>
      </w:r>
      <w:r>
        <w:t>.1.2)</w:t>
      </w:r>
      <w:r w:rsidRPr="00273106">
        <w:t xml:space="preserve">. </w:t>
      </w:r>
      <w:r w:rsidR="085C0B08">
        <w:t xml:space="preserve">Intimní a habituální vůle je angažovaná v modu </w:t>
      </w:r>
      <w:r w:rsidR="007C7F33">
        <w:t>„</w:t>
      </w:r>
      <w:r w:rsidR="085C0B08" w:rsidRPr="089922E9">
        <w:rPr>
          <w:i/>
        </w:rPr>
        <w:t>esse ad</w:t>
      </w:r>
      <w:r w:rsidR="007C7F33">
        <w:t>“</w:t>
      </w:r>
      <w:r w:rsidR="085C0B08">
        <w:t xml:space="preserve"> ve světě kvůli ekonomické produkci zisku</w:t>
      </w:r>
      <w:r w:rsidR="004B0385">
        <w:t>. Olivi vytvořil základní analogii mezi těmito úrovněmi</w:t>
      </w:r>
      <w:r w:rsidR="003154EC">
        <w:t>, které</w:t>
      </w:r>
      <w:r w:rsidR="004B0385">
        <w:t xml:space="preserve"> strukturálně zakládají původní elementy kapitalistické ekonomiky:</w:t>
      </w:r>
    </w:p>
    <w:p w:rsidR="004B0385" w:rsidRDefault="004B0385" w:rsidP="004B0385">
      <w:pPr>
        <w:numPr>
          <w:ilvl w:val="0"/>
          <w:numId w:val="8"/>
        </w:numPr>
      </w:pPr>
      <w:r>
        <w:t xml:space="preserve">intimita neměnné substanciální vůle v modu </w:t>
      </w:r>
      <w:r w:rsidRPr="004B0385">
        <w:rPr>
          <w:i/>
        </w:rPr>
        <w:t>ipse</w:t>
      </w:r>
      <w:r>
        <w:t xml:space="preserve"> (</w:t>
      </w:r>
      <w:r w:rsidRPr="004B0385">
        <w:rPr>
          <w:i/>
        </w:rPr>
        <w:t>essentia voluntatis</w:t>
      </w:r>
      <w:r>
        <w:t>);</w:t>
      </w:r>
    </w:p>
    <w:p w:rsidR="004B0385" w:rsidRDefault="004B0385" w:rsidP="004B0385">
      <w:pPr>
        <w:numPr>
          <w:ilvl w:val="0"/>
          <w:numId w:val="8"/>
        </w:numPr>
      </w:pPr>
      <w:r>
        <w:t>subjektivní oblast různých nahodilých přání (</w:t>
      </w:r>
      <w:r w:rsidRPr="004B0385">
        <w:rPr>
          <w:i/>
        </w:rPr>
        <w:t>aspectus voluntatis</w:t>
      </w:r>
      <w:r>
        <w:t>);</w:t>
      </w:r>
    </w:p>
    <w:p w:rsidR="004B0385" w:rsidRDefault="004B0385" w:rsidP="004B0385">
      <w:pPr>
        <w:numPr>
          <w:ilvl w:val="0"/>
          <w:numId w:val="8"/>
        </w:numPr>
      </w:pPr>
      <w:r>
        <w:t>ekonomicky pojatý „třetí svět“ (tj. aristotelská abstrakce na druhou), který je dán vnějšími účin</w:t>
      </w:r>
      <w:r w:rsidR="003154EC">
        <w:t xml:space="preserve">ky a aspekty substanciální vůle; ta se nekontrolovaně rozšiřuje do reálného světa </w:t>
      </w:r>
      <w:r>
        <w:t>(</w:t>
      </w:r>
      <w:r w:rsidRPr="004B0385">
        <w:rPr>
          <w:i/>
        </w:rPr>
        <w:t>capitale</w:t>
      </w:r>
      <w:r>
        <w:t>);</w:t>
      </w:r>
    </w:p>
    <w:p w:rsidR="004B0385" w:rsidRDefault="004B0385" w:rsidP="004B0385">
      <w:pPr>
        <w:numPr>
          <w:ilvl w:val="0"/>
          <w:numId w:val="8"/>
        </w:numPr>
      </w:pPr>
      <w:r>
        <w:t xml:space="preserve">ekonomické </w:t>
      </w:r>
      <w:r w:rsidR="00FC4C89">
        <w:t>hodnoty</w:t>
      </w:r>
      <w:r w:rsidR="003D000D">
        <w:t xml:space="preserve"> produkované skrze abstrakci zvanou </w:t>
      </w:r>
      <w:r w:rsidR="003D000D" w:rsidRPr="004B0385">
        <w:rPr>
          <w:i/>
        </w:rPr>
        <w:t>homo oeconomicus</w:t>
      </w:r>
      <w:r w:rsidR="003D000D">
        <w:t xml:space="preserve"> </w:t>
      </w:r>
      <w:r>
        <w:t xml:space="preserve">jako akcidenty </w:t>
      </w:r>
      <w:r w:rsidR="00273D72">
        <w:t>demiurgického chtění (</w:t>
      </w:r>
      <w:r w:rsidR="00273D72" w:rsidRPr="00273D72">
        <w:rPr>
          <w:i/>
        </w:rPr>
        <w:t>volitio</w:t>
      </w:r>
      <w:r w:rsidR="00273D72">
        <w:t xml:space="preserve">) </w:t>
      </w:r>
      <w:r w:rsidR="00423B4E">
        <w:t xml:space="preserve">takto určeného individua </w:t>
      </w:r>
      <w:r>
        <w:t>(</w:t>
      </w:r>
      <w:r w:rsidRPr="004B0385">
        <w:rPr>
          <w:i/>
        </w:rPr>
        <w:t>risicum</w:t>
      </w:r>
      <w:r w:rsidR="00423B4E">
        <w:rPr>
          <w:i/>
        </w:rPr>
        <w:t xml:space="preserve">, </w:t>
      </w:r>
      <w:r w:rsidR="00423B4E">
        <w:rPr>
          <w:i/>
          <w:szCs w:val="24"/>
        </w:rPr>
        <w:t>in</w:t>
      </w:r>
      <w:r w:rsidR="001B3DD9">
        <w:rPr>
          <w:i/>
          <w:szCs w:val="24"/>
        </w:rPr>
        <w:t>ter</w:t>
      </w:r>
      <w:r w:rsidR="00423B4E">
        <w:rPr>
          <w:i/>
          <w:szCs w:val="24"/>
        </w:rPr>
        <w:t>esse</w:t>
      </w:r>
      <w:r>
        <w:t>).</w:t>
      </w:r>
    </w:p>
    <w:p w:rsidR="088C5F1B" w:rsidRDefault="007729DA" w:rsidP="00D31460">
      <w:r>
        <w:t>Termín „</w:t>
      </w:r>
      <w:r w:rsidRPr="007729DA">
        <w:rPr>
          <w:i/>
        </w:rPr>
        <w:t>capitale</w:t>
      </w:r>
      <w:r>
        <w:t>“ původně daný množením „hlav“ dobytka (</w:t>
      </w:r>
      <w:r w:rsidRPr="007729DA">
        <w:rPr>
          <w:i/>
        </w:rPr>
        <w:t>caput</w:t>
      </w:r>
      <w:r>
        <w:t xml:space="preserve">) se další degenerací </w:t>
      </w:r>
      <w:r w:rsidR="00FC01D6">
        <w:t xml:space="preserve">ekonomie </w:t>
      </w:r>
      <w:r>
        <w:t>stal abstrakní</w:t>
      </w:r>
      <w:r w:rsidR="00FC01D6">
        <w:t>m</w:t>
      </w:r>
      <w:r>
        <w:t xml:space="preserve"> kapitál</w:t>
      </w:r>
      <w:r w:rsidR="00FC01D6">
        <w:t>em</w:t>
      </w:r>
      <w:r>
        <w:t>; termín „</w:t>
      </w:r>
      <w:r w:rsidRPr="004B0385">
        <w:rPr>
          <w:i/>
        </w:rPr>
        <w:t>risicum</w:t>
      </w:r>
      <w:r>
        <w:rPr>
          <w:i/>
        </w:rPr>
        <w:t>“</w:t>
      </w:r>
      <w:r>
        <w:t xml:space="preserve"> původně daný vzájemným pojištěním kupců na rizikových výpravách se změnil na nihilistický úrok. </w:t>
      </w:r>
      <w:r w:rsidR="00DE1E3F">
        <w:t>V</w:t>
      </w:r>
      <w:r w:rsidR="085C0B08">
        <w:t xml:space="preserve">ztah mezi </w:t>
      </w:r>
      <w:r w:rsidR="08660076">
        <w:t>hab</w:t>
      </w:r>
      <w:r w:rsidR="08643ACE">
        <w:t xml:space="preserve">ituální </w:t>
      </w:r>
      <w:r w:rsidR="085C0B08">
        <w:t xml:space="preserve">vůlí a světem </w:t>
      </w:r>
      <w:r w:rsidR="08643ACE">
        <w:t xml:space="preserve">jako aspektem vůle </w:t>
      </w:r>
      <w:r w:rsidR="085C0B08">
        <w:t xml:space="preserve">zakládá původní </w:t>
      </w:r>
      <w:r w:rsidR="085C0B08" w:rsidRPr="089922E9">
        <w:rPr>
          <w:i/>
        </w:rPr>
        <w:t>ratio</w:t>
      </w:r>
      <w:r w:rsidR="085C0B08">
        <w:t xml:space="preserve"> kapitalistického systému</w:t>
      </w:r>
      <w:r w:rsidR="085C0B08">
        <w:fldChar w:fldCharType="begin"/>
      </w:r>
      <w:r w:rsidR="085C0B08">
        <w:instrText xml:space="preserve"> XE "</w:instrText>
      </w:r>
      <w:r w:rsidR="085C0B08" w:rsidRPr="08234367">
        <w:instrText>kapitalismus</w:instrText>
      </w:r>
      <w:r w:rsidR="085C0B08">
        <w:instrText xml:space="preserve">" </w:instrText>
      </w:r>
      <w:r w:rsidR="085C0B08">
        <w:fldChar w:fldCharType="end"/>
      </w:r>
      <w:r w:rsidR="085C0B08">
        <w:t xml:space="preserve"> v modu </w:t>
      </w:r>
      <w:r w:rsidR="085C0B08" w:rsidRPr="08C23F74">
        <w:rPr>
          <w:i/>
        </w:rPr>
        <w:t>analogia voluntatis</w:t>
      </w:r>
      <w:r w:rsidR="085C0B08">
        <w:rPr>
          <w:i/>
        </w:rPr>
        <w:fldChar w:fldCharType="begin"/>
      </w:r>
      <w:r w:rsidR="085C0B08">
        <w:instrText xml:space="preserve"> XE "</w:instrText>
      </w:r>
      <w:r w:rsidR="085C0B08" w:rsidRPr="08A01B85">
        <w:rPr>
          <w:i/>
        </w:rPr>
        <w:instrText>analogia voluntatis</w:instrText>
      </w:r>
      <w:r w:rsidR="085C0B08">
        <w:instrText xml:space="preserve">" </w:instrText>
      </w:r>
      <w:r w:rsidR="085C0B08">
        <w:rPr>
          <w:i/>
        </w:rPr>
        <w:fldChar w:fldCharType="end"/>
      </w:r>
      <w:r w:rsidR="085C0B08">
        <w:t xml:space="preserve">. </w:t>
      </w:r>
      <w:r w:rsidR="082C657B">
        <w:t>Subjektivní v</w:t>
      </w:r>
      <w:r w:rsidR="082C657B" w:rsidRPr="00273106">
        <w:t xml:space="preserve">ůle daná </w:t>
      </w:r>
      <w:r w:rsidR="082C657B">
        <w:t>h</w:t>
      </w:r>
      <w:r w:rsidR="082C657B" w:rsidRPr="00273106">
        <w:t xml:space="preserve">abituálně </w:t>
      </w:r>
      <w:r w:rsidR="082C657B">
        <w:t xml:space="preserve">ve své ipseitě </w:t>
      </w:r>
      <w:r w:rsidR="082C657B" w:rsidRPr="00273106">
        <w:t>svobodně a tvořivě nahlíží</w:t>
      </w:r>
      <w:r w:rsidR="082C657B">
        <w:t xml:space="preserve"> na zbytek světa. Demiurg manipuluje celek jsoucna jako akcident vůle </w:t>
      </w:r>
      <w:r w:rsidR="082C657B" w:rsidRPr="00273106">
        <w:t>(</w:t>
      </w:r>
      <w:r w:rsidR="082C657B" w:rsidRPr="00273106">
        <w:rPr>
          <w:i/>
        </w:rPr>
        <w:t>aspectus</w:t>
      </w:r>
      <w:r w:rsidR="082C657B" w:rsidRPr="00273106">
        <w:t>)</w:t>
      </w:r>
      <w:r w:rsidR="082C657B">
        <w:t xml:space="preserve"> </w:t>
      </w:r>
      <w:r w:rsidR="082C657B" w:rsidRPr="00273106">
        <w:t xml:space="preserve">podle </w:t>
      </w:r>
      <w:r w:rsidR="082C657B">
        <w:t xml:space="preserve">Bonaventurových </w:t>
      </w:r>
      <w:r w:rsidR="082C657B" w:rsidRPr="00273106">
        <w:t>regulí (</w:t>
      </w:r>
      <w:r w:rsidR="082C657B">
        <w:rPr>
          <w:i/>
        </w:rPr>
        <w:t xml:space="preserve">regula agentis </w:t>
      </w:r>
      <w:r w:rsidR="082C657B" w:rsidRPr="00273106">
        <w:rPr>
          <w:i/>
        </w:rPr>
        <w:t>creati</w:t>
      </w:r>
      <w:r w:rsidR="082C657B">
        <w:rPr>
          <w:i/>
        </w:rPr>
        <w:fldChar w:fldCharType="begin"/>
      </w:r>
      <w:r w:rsidR="082C657B">
        <w:instrText xml:space="preserve"> XE "</w:instrText>
      </w:r>
      <w:r w:rsidR="082C657B" w:rsidRPr="002669FB">
        <w:instrText>regule</w:instrText>
      </w:r>
      <w:r w:rsidR="082C657B" w:rsidRPr="00A42227">
        <w:rPr>
          <w:i/>
        </w:rPr>
        <w:instrText>:agentis creati</w:instrText>
      </w:r>
      <w:r w:rsidR="082C657B">
        <w:instrText xml:space="preserve">" </w:instrText>
      </w:r>
      <w:r w:rsidR="082C657B">
        <w:rPr>
          <w:i/>
        </w:rPr>
        <w:fldChar w:fldCharType="end"/>
      </w:r>
      <w:r w:rsidR="082C657B">
        <w:t xml:space="preserve">). Svět </w:t>
      </w:r>
      <w:r w:rsidR="08D5414E">
        <w:t xml:space="preserve">moderního subjekt pak nutně </w:t>
      </w:r>
      <w:r w:rsidR="082C657B">
        <w:t xml:space="preserve">tvoří odcizený </w:t>
      </w:r>
      <w:r w:rsidR="082C657B" w:rsidRPr="00273106">
        <w:t xml:space="preserve">objekt </w:t>
      </w:r>
      <w:r w:rsidR="082C657B">
        <w:t xml:space="preserve">demiurgické vůle. </w:t>
      </w:r>
      <w:r w:rsidR="08163013">
        <w:t>Substanční h</w:t>
      </w:r>
      <w:r w:rsidR="08163013" w:rsidRPr="00273106">
        <w:t xml:space="preserve">abitus vůle </w:t>
      </w:r>
      <w:r w:rsidR="08D5414E">
        <w:t xml:space="preserve">poznává </w:t>
      </w:r>
      <w:r w:rsidR="08163013">
        <w:t xml:space="preserve">v modu analogie </w:t>
      </w:r>
      <w:r w:rsidR="08D5414E">
        <w:t xml:space="preserve">každý aspekt světa v modu participace. </w:t>
      </w:r>
      <w:r w:rsidR="085B42DF">
        <w:t xml:space="preserve">Každé jsoucno je potenciálně chtěné a tím </w:t>
      </w:r>
      <w:r w:rsidR="08D5414E">
        <w:t xml:space="preserve">tvoří analogický aspekt k původní </w:t>
      </w:r>
      <w:r w:rsidR="08163013">
        <w:t xml:space="preserve">esenci vůle </w:t>
      </w:r>
      <w:r w:rsidR="08163013" w:rsidRPr="00436B58">
        <w:t>(</w:t>
      </w:r>
      <w:r w:rsidR="08163013" w:rsidRPr="00436B58">
        <w:rPr>
          <w:i/>
        </w:rPr>
        <w:t>participans formam seu naturam ipsius voluntatis per quandam analogiam</w:t>
      </w:r>
      <w:r w:rsidR="08D5414E">
        <w:t>, kap. 5</w:t>
      </w:r>
      <w:r w:rsidR="08163013" w:rsidRPr="08433632">
        <w:t>.1.2)</w:t>
      </w:r>
      <w:r w:rsidR="08163013">
        <w:t xml:space="preserve">. </w:t>
      </w:r>
      <w:r w:rsidR="0848697D">
        <w:t>Smysl m</w:t>
      </w:r>
      <w:r w:rsidR="0813286C">
        <w:t>oderní</w:t>
      </w:r>
      <w:r w:rsidR="0848697D">
        <w:t>ho</w:t>
      </w:r>
      <w:r w:rsidR="0813286C">
        <w:t xml:space="preserve"> svět</w:t>
      </w:r>
      <w:r w:rsidR="0848697D">
        <w:t>a</w:t>
      </w:r>
      <w:r w:rsidR="0813286C">
        <w:t xml:space="preserve"> </w:t>
      </w:r>
      <w:r w:rsidR="0848697D">
        <w:t>(</w:t>
      </w:r>
      <w:r w:rsidR="0848697D" w:rsidRPr="0848697D">
        <w:rPr>
          <w:i/>
        </w:rPr>
        <w:t>aspectus</w:t>
      </w:r>
      <w:r w:rsidR="0848697D">
        <w:t xml:space="preserve">) </w:t>
      </w:r>
      <w:r w:rsidR="0813286C">
        <w:t xml:space="preserve">vzniká na základě analogického </w:t>
      </w:r>
      <w:r w:rsidR="0813286C">
        <w:lastRenderedPageBreak/>
        <w:t xml:space="preserve">spojení volitivních významů jsoucna </w:t>
      </w:r>
      <w:r w:rsidR="004F3733">
        <w:t xml:space="preserve">daných </w:t>
      </w:r>
      <w:r w:rsidR="0813286C">
        <w:t>jako vnější objekt</w:t>
      </w:r>
      <w:r w:rsidR="004F3733">
        <w:t>y</w:t>
      </w:r>
      <w:r w:rsidR="0813286C">
        <w:t xml:space="preserve"> </w:t>
      </w:r>
      <w:r w:rsidR="08163013">
        <w:t>vůle (</w:t>
      </w:r>
      <w:r w:rsidR="08163013">
        <w:rPr>
          <w:i/>
        </w:rPr>
        <w:t>repraes</w:t>
      </w:r>
      <w:r w:rsidR="08163013" w:rsidRPr="00FF7C6C">
        <w:rPr>
          <w:i/>
        </w:rPr>
        <w:t>entatio</w:t>
      </w:r>
      <w:r w:rsidR="08163013">
        <w:t xml:space="preserve">). Svět představuje analogický aspekt demiurgické vůle boha nebo člověka a jsoucno je osmyslněno jako objektivní </w:t>
      </w:r>
      <w:r w:rsidR="08163013" w:rsidRPr="00A87897">
        <w:rPr>
          <w:i/>
        </w:rPr>
        <w:t>aspectus</w:t>
      </w:r>
      <w:r w:rsidR="08163013">
        <w:t>, čili reprezentace demiurgic</w:t>
      </w:r>
      <w:r w:rsidR="009D3467">
        <w:t>ké vůle.</w:t>
      </w:r>
      <w:r w:rsidR="0089242D">
        <w:t xml:space="preserve"> Materie je podle Bonaventury mysticko-eroticky disponovaná k přijetí demiurgické formy. </w:t>
      </w:r>
      <w:r w:rsidR="0089242D" w:rsidRPr="00273106">
        <w:rPr>
          <w:szCs w:val="14"/>
        </w:rPr>
        <w:t xml:space="preserve">Mystický zdroj </w:t>
      </w:r>
      <w:r w:rsidR="0089242D">
        <w:rPr>
          <w:szCs w:val="14"/>
        </w:rPr>
        <w:t xml:space="preserve">odcizené chtivosti, která determinuje kapitalistickou postmodernu, najdeme v Bonaventurově pojmu </w:t>
      </w:r>
      <w:r w:rsidR="0089242D" w:rsidRPr="00273106">
        <w:rPr>
          <w:i/>
          <w:szCs w:val="14"/>
        </w:rPr>
        <w:t>appetitus</w:t>
      </w:r>
      <w:r w:rsidR="0089242D">
        <w:rPr>
          <w:i/>
          <w:szCs w:val="14"/>
        </w:rPr>
        <w:fldChar w:fldCharType="begin"/>
      </w:r>
      <w:r w:rsidR="0089242D">
        <w:instrText xml:space="preserve"> XE "</w:instrText>
      </w:r>
      <w:r w:rsidR="0089242D" w:rsidRPr="007E6333">
        <w:rPr>
          <w:i/>
        </w:rPr>
        <w:instrText>appetitus</w:instrText>
      </w:r>
      <w:r w:rsidR="0089242D">
        <w:instrText xml:space="preserve">" </w:instrText>
      </w:r>
      <w:r w:rsidR="0089242D">
        <w:rPr>
          <w:i/>
          <w:szCs w:val="14"/>
        </w:rPr>
        <w:fldChar w:fldCharType="end"/>
      </w:r>
      <w:r w:rsidR="0089242D">
        <w:rPr>
          <w:szCs w:val="14"/>
        </w:rPr>
        <w:t xml:space="preserve"> (kap. 4</w:t>
      </w:r>
      <w:r w:rsidR="0089242D" w:rsidRPr="00273106">
        <w:rPr>
          <w:szCs w:val="14"/>
        </w:rPr>
        <w:t xml:space="preserve">.1.3). </w:t>
      </w:r>
      <w:r w:rsidR="0089242D">
        <w:t xml:space="preserve">Apetit moderní vůle nachází ve světě apetit materie, která touží po tom, aby skrze chtivost kapitalistického subjektu dostala definitivní </w:t>
      </w:r>
      <w:r w:rsidR="00D31460">
        <w:t xml:space="preserve">formu. </w:t>
      </w:r>
      <w:r w:rsidR="08163013">
        <w:t>Metafyzika kapitalismu dostala díky Oliviho filosofii vůle kompletní subjekt-objektový vztah. S</w:t>
      </w:r>
      <w:r w:rsidR="08163013" w:rsidRPr="00273106">
        <w:t xml:space="preserve">ubjekt kapitalismu </w:t>
      </w:r>
      <w:r w:rsidR="08163013">
        <w:t xml:space="preserve">„exsistuje“ v modu substanční ipseity a svobody </w:t>
      </w:r>
      <w:r w:rsidR="08163013" w:rsidRPr="00273106">
        <w:t xml:space="preserve">demiurgické vůle </w:t>
      </w:r>
      <w:r w:rsidR="08163013" w:rsidRPr="00273106">
        <w:rPr>
          <w:i/>
        </w:rPr>
        <w:t>Modernorum</w:t>
      </w:r>
      <w:r w:rsidR="00394303">
        <w:t xml:space="preserve">. Tato </w:t>
      </w:r>
      <w:r w:rsidR="00DE099D">
        <w:t xml:space="preserve">hypostázovaná </w:t>
      </w:r>
      <w:r w:rsidR="00394303">
        <w:t xml:space="preserve">vůle </w:t>
      </w:r>
      <w:r w:rsidR="08163013">
        <w:t xml:space="preserve">přesahuje do světa v modu </w:t>
      </w:r>
      <w:r w:rsidR="00394303">
        <w:t>„</w:t>
      </w:r>
      <w:r w:rsidR="08163013" w:rsidRPr="083A21FE">
        <w:rPr>
          <w:i/>
        </w:rPr>
        <w:t>esse ad</w:t>
      </w:r>
      <w:r w:rsidR="00394303">
        <w:t>“</w:t>
      </w:r>
      <w:r w:rsidR="08163013" w:rsidRPr="08150EAC">
        <w:fldChar w:fldCharType="begin"/>
      </w:r>
      <w:r w:rsidR="08163013" w:rsidRPr="08150EAC">
        <w:instrText xml:space="preserve"> XE "esse </w:instrText>
      </w:r>
      <w:proofErr w:type="gramStart"/>
      <w:r w:rsidR="08163013" w:rsidRPr="08150EAC">
        <w:instrText>ad</w:instrText>
      </w:r>
      <w:proofErr w:type="gramEnd"/>
      <w:r w:rsidR="08163013" w:rsidRPr="08150EAC">
        <w:instrText xml:space="preserve">:Olivi" </w:instrText>
      </w:r>
      <w:r w:rsidR="08163013" w:rsidRPr="08150EAC">
        <w:fldChar w:fldCharType="end"/>
      </w:r>
      <w:r w:rsidR="00394303">
        <w:t xml:space="preserve"> </w:t>
      </w:r>
      <w:r w:rsidR="08163013" w:rsidRPr="08150EAC">
        <w:t>určeného</w:t>
      </w:r>
      <w:r w:rsidR="08163013">
        <w:t xml:space="preserve"> demiurgickým apetitem po </w:t>
      </w:r>
      <w:r w:rsidR="00DE099D">
        <w:t xml:space="preserve">objektivní </w:t>
      </w:r>
      <w:r w:rsidR="08163013">
        <w:t>materii</w:t>
      </w:r>
      <w:r w:rsidR="000928DD">
        <w:t xml:space="preserve"> třetího druhu</w:t>
      </w:r>
      <w:r w:rsidR="08163013">
        <w:t xml:space="preserve">. Vůle </w:t>
      </w:r>
      <w:r w:rsidR="00423EDD">
        <w:t xml:space="preserve">má za úkol </w:t>
      </w:r>
      <w:r w:rsidR="00581356">
        <w:t xml:space="preserve">v modu moderní pravdy jako demiurgické správnosti </w:t>
      </w:r>
      <w:r w:rsidR="00423EDD">
        <w:t xml:space="preserve">(viz Anselmovo </w:t>
      </w:r>
      <w:r w:rsidR="00FD4776" w:rsidRPr="00273106">
        <w:rPr>
          <w:i/>
        </w:rPr>
        <w:t>quod debet esse, recte est</w:t>
      </w:r>
      <w:r w:rsidR="00FD4776">
        <w:t>; OBJ II, kap. 1.2</w:t>
      </w:r>
      <w:r w:rsidR="00423EDD">
        <w:t xml:space="preserve">) </w:t>
      </w:r>
      <w:r w:rsidR="08163013">
        <w:t>vtisk</w:t>
      </w:r>
      <w:r w:rsidR="00121C8F">
        <w:t>nout k</w:t>
      </w:r>
      <w:r w:rsidR="08163013">
        <w:t>apitalistickou formu této fundamentálně chudé</w:t>
      </w:r>
      <w:r w:rsidR="08163013" w:rsidRPr="081246C0">
        <w:t xml:space="preserve"> </w:t>
      </w:r>
      <w:r w:rsidR="08163013">
        <w:t>materii</w:t>
      </w:r>
      <w:r w:rsidR="08C540D9">
        <w:t xml:space="preserve">. </w:t>
      </w:r>
      <w:r w:rsidR="08163013">
        <w:t xml:space="preserve">Podle Oliviho platí, že vůle kauzálně působící ve </w:t>
      </w:r>
      <w:r w:rsidR="08163013" w:rsidRPr="08404AC3">
        <w:t>světě (</w:t>
      </w:r>
      <w:r w:rsidR="08163013" w:rsidRPr="08404AC3">
        <w:rPr>
          <w:i/>
        </w:rPr>
        <w:t>ad hoc potens</w:t>
      </w:r>
      <w:r w:rsidR="08163013" w:rsidRPr="08404AC3">
        <w:t>) vytváří</w:t>
      </w:r>
      <w:r w:rsidR="08163013">
        <w:t xml:space="preserve"> v modu reprezentace analogický celek předmětností</w:t>
      </w:r>
      <w:r w:rsidR="08F50034">
        <w:t xml:space="preserve"> </w:t>
      </w:r>
      <w:r w:rsidR="08163013">
        <w:t>(</w:t>
      </w:r>
      <w:r w:rsidR="08163013">
        <w:rPr>
          <w:i/>
        </w:rPr>
        <w:t>similitudo analoga ipsius volun</w:t>
      </w:r>
      <w:r w:rsidR="08163013" w:rsidRPr="00273106">
        <w:rPr>
          <w:i/>
        </w:rPr>
        <w:t>tatis</w:t>
      </w:r>
      <w:r w:rsidR="08163013">
        <w:rPr>
          <w:i/>
        </w:rPr>
        <w:t xml:space="preserve">, </w:t>
      </w:r>
      <w:r w:rsidR="08F50034">
        <w:t>kap. 5</w:t>
      </w:r>
      <w:r w:rsidR="08163013">
        <w:t>.1.2).</w:t>
      </w:r>
      <w:r w:rsidR="08163013" w:rsidRPr="00273106">
        <w:t xml:space="preserve"> </w:t>
      </w:r>
      <w:r w:rsidR="08163013">
        <w:t>Tyto reprezentace jsou od subjektu odcizené jen relativně, protože existují v trvalém analogickém vztahu (</w:t>
      </w:r>
      <w:r w:rsidR="08163013" w:rsidRPr="08464154">
        <w:rPr>
          <w:i/>
        </w:rPr>
        <w:t>relatio</w:t>
      </w:r>
      <w:r w:rsidR="08163013">
        <w:t xml:space="preserve">) k ipseitně dané vůli. Tím vznikl ekonomicky daný relativismus kapitalistického subjektu. </w:t>
      </w:r>
      <w:r w:rsidR="08163013" w:rsidRPr="00273106">
        <w:t xml:space="preserve">Habituální vůle moderního </w:t>
      </w:r>
      <w:r w:rsidR="08163013" w:rsidRPr="00273106">
        <w:rPr>
          <w:i/>
        </w:rPr>
        <w:t xml:space="preserve">homo </w:t>
      </w:r>
      <w:r w:rsidR="00CE37AC">
        <w:rPr>
          <w:i/>
        </w:rPr>
        <w:t>o</w:t>
      </w:r>
      <w:r w:rsidR="08163013" w:rsidRPr="00273106">
        <w:rPr>
          <w:i/>
        </w:rPr>
        <w:t>economicus</w:t>
      </w:r>
      <w:r w:rsidR="08163013">
        <w:rPr>
          <w:i/>
        </w:rPr>
        <w:fldChar w:fldCharType="begin"/>
      </w:r>
      <w:r w:rsidR="08163013">
        <w:instrText xml:space="preserve"> XE "osoba:</w:instrText>
      </w:r>
      <w:r w:rsidR="08163013" w:rsidRPr="00420989">
        <w:rPr>
          <w:i/>
        </w:rPr>
        <w:instrText>homo economicus</w:instrText>
      </w:r>
      <w:r w:rsidR="08163013">
        <w:instrText xml:space="preserve">" </w:instrText>
      </w:r>
      <w:r w:rsidR="08163013">
        <w:rPr>
          <w:i/>
        </w:rPr>
        <w:fldChar w:fldCharType="end"/>
      </w:r>
      <w:r w:rsidR="08163013" w:rsidRPr="00273106">
        <w:t xml:space="preserve"> směřuje směrem ven, k akumulaci kapitálu skrze </w:t>
      </w:r>
      <w:r w:rsidR="08163013">
        <w:t xml:space="preserve">spravedlivě </w:t>
      </w:r>
      <w:r w:rsidR="08163013" w:rsidRPr="00273106">
        <w:t>určenou cenu</w:t>
      </w:r>
      <w:r w:rsidR="08163013">
        <w:t xml:space="preserve"> (</w:t>
      </w:r>
      <w:r w:rsidR="08163013" w:rsidRPr="00B97AA7">
        <w:rPr>
          <w:i/>
        </w:rPr>
        <w:t>iustum pretium</w:t>
      </w:r>
      <w:r w:rsidR="08163013">
        <w:t xml:space="preserve">), k níž podle Oliviho </w:t>
      </w:r>
      <w:r w:rsidR="083223CA">
        <w:t xml:space="preserve">principiálně </w:t>
      </w:r>
      <w:r w:rsidR="08163013">
        <w:t>patří i zájmy komunity a obecné dobro</w:t>
      </w:r>
      <w:r w:rsidR="00401DE5">
        <w:t xml:space="preserve"> na prvním místě</w:t>
      </w:r>
      <w:r w:rsidR="08163013">
        <w:t xml:space="preserve">. Moderní rozdělení člověka na dvě nebo tři nezávislé substance vytváří spojení těchto částí skrze demiurgickou produkci, která </w:t>
      </w:r>
      <w:r w:rsidR="08163013" w:rsidRPr="00273106">
        <w:t xml:space="preserve">objektivně </w:t>
      </w:r>
      <w:r w:rsidR="08163013">
        <w:t>re</w:t>
      </w:r>
      <w:r w:rsidR="08163013" w:rsidRPr="00273106">
        <w:t xml:space="preserve">prezentuje </w:t>
      </w:r>
      <w:r w:rsidR="00C50F0F">
        <w:t xml:space="preserve">povahu </w:t>
      </w:r>
      <w:r w:rsidR="088C5F1B">
        <w:t xml:space="preserve">kapitalistické vůle. Z předešlého výkladu Oliviho vůle oddělené od aristotelské racionální volby je jasné, že moderní vůle je iracionální a zakládá samu sebe jako intimní substanci. </w:t>
      </w:r>
      <w:r w:rsidR="009228EE" w:rsidRPr="009228EE">
        <w:t xml:space="preserve">To jsou hlavní rysy paranoidního vztahu, </w:t>
      </w:r>
      <w:r w:rsidR="009228EE">
        <w:t>který moderna udržuje se světem</w:t>
      </w:r>
      <w:r w:rsidR="088C5F1B">
        <w:t>.</w:t>
      </w:r>
    </w:p>
    <w:p w:rsidR="00A015EE" w:rsidRDefault="08163013" w:rsidP="00E41F23">
      <w:pPr>
        <w:ind w:firstLine="397"/>
      </w:pPr>
      <w:r>
        <w:t>První objektivní forma kapitálu je dána v substanciální potenci vůle jako neexis</w:t>
      </w:r>
      <w:r w:rsidR="08942A0E">
        <w:t xml:space="preserve">tujícího jsoucna třetího druhu. Takto určená vůle </w:t>
      </w:r>
      <w:r>
        <w:t xml:space="preserve">tvoří v hypostázovaném modu </w:t>
      </w:r>
      <w:r w:rsidR="00D2614F">
        <w:t>„</w:t>
      </w:r>
      <w:r w:rsidRPr="08AC5EA6">
        <w:rPr>
          <w:i/>
        </w:rPr>
        <w:t>semel</w:t>
      </w:r>
      <w:r>
        <w:t>‒</w:t>
      </w:r>
      <w:r w:rsidRPr="08AC5EA6">
        <w:rPr>
          <w:i/>
        </w:rPr>
        <w:t>semper</w:t>
      </w:r>
      <w:r w:rsidR="00D2614F">
        <w:t>“</w:t>
      </w:r>
      <w:r>
        <w:t xml:space="preserve"> původní zdroj celého systému mystické chtivosti. Vůle původně daná substančně, intimně a </w:t>
      </w:r>
      <w:r w:rsidRPr="08C1630C">
        <w:rPr>
          <w:i/>
        </w:rPr>
        <w:t>per se</w:t>
      </w:r>
      <w:r>
        <w:t xml:space="preserve"> směřuje </w:t>
      </w:r>
      <w:r w:rsidR="00983193">
        <w:t xml:space="preserve">do světa </w:t>
      </w:r>
      <w:r>
        <w:t xml:space="preserve">skrze </w:t>
      </w:r>
      <w:r w:rsidR="00983193">
        <w:t xml:space="preserve">subjektivně </w:t>
      </w:r>
      <w:r>
        <w:t>vlastněné tělo (</w:t>
      </w:r>
      <w:r w:rsidRPr="08C1630C">
        <w:rPr>
          <w:i/>
        </w:rPr>
        <w:t>volitio</w:t>
      </w:r>
      <w:r>
        <w:t xml:space="preserve">). </w:t>
      </w:r>
      <w:r w:rsidR="08942A0E">
        <w:t>Objektivně daný svět tvoří jednak univerzální závěr sylogismu kapitalistické racionality a jednak v modu analogie představuje objektivní doplněk (</w:t>
      </w:r>
      <w:r w:rsidR="08942A0E" w:rsidRPr="0858032A">
        <w:rPr>
          <w:i/>
        </w:rPr>
        <w:t>aspectus</w:t>
      </w:r>
      <w:r w:rsidR="08942A0E">
        <w:t xml:space="preserve">) demiurgické vůle. </w:t>
      </w:r>
      <w:r>
        <w:t xml:space="preserve">Reprezentací </w:t>
      </w:r>
      <w:r w:rsidR="00960E48">
        <w:t xml:space="preserve">vůle jako </w:t>
      </w:r>
      <w:r w:rsidR="00960E48">
        <w:lastRenderedPageBreak/>
        <w:t xml:space="preserve">substance dané </w:t>
      </w:r>
      <w:r>
        <w:t xml:space="preserve">v modu </w:t>
      </w:r>
      <w:r w:rsidR="00983193">
        <w:t>„</w:t>
      </w:r>
      <w:r w:rsidRPr="08874F17">
        <w:rPr>
          <w:i/>
        </w:rPr>
        <w:t>esse ad</w:t>
      </w:r>
      <w:r w:rsidR="00983193">
        <w:t>“</w:t>
      </w:r>
      <w:r>
        <w:t xml:space="preserve"> je pracující tělo </w:t>
      </w:r>
      <w:r w:rsidR="0095193D">
        <w:t xml:space="preserve">určeno </w:t>
      </w:r>
      <w:r>
        <w:t>vnější aspekt intimní vůle</w:t>
      </w:r>
      <w:r w:rsidR="0095193D">
        <w:t xml:space="preserve">. Tento vztah určuje základní formu kapitalistické intencionality, která </w:t>
      </w:r>
      <w:r>
        <w:t xml:space="preserve">podle Oliviho a Locka tvoří </w:t>
      </w:r>
      <w:r w:rsidR="0095193D">
        <w:t xml:space="preserve">původní </w:t>
      </w:r>
      <w:r>
        <w:t xml:space="preserve">zdroj bohatství. Kapitalistický subjekt angažovaný v aktu </w:t>
      </w:r>
      <w:r w:rsidRPr="08627726">
        <w:rPr>
          <w:i/>
        </w:rPr>
        <w:t>volitio</w:t>
      </w:r>
      <w:r>
        <w:t xml:space="preserve"> svobodně disponuje tělem jako od sebe oddělenou věcí v modu akcidentální potence (</w:t>
      </w:r>
      <w:r w:rsidRPr="08F945DD">
        <w:rPr>
          <w:i/>
        </w:rPr>
        <w:t>proprium</w:t>
      </w:r>
      <w:r>
        <w:t xml:space="preserve">, </w:t>
      </w:r>
      <w:r w:rsidRPr="08F945DD">
        <w:rPr>
          <w:i/>
        </w:rPr>
        <w:t>property</w:t>
      </w:r>
      <w:r>
        <w:t xml:space="preserve">). Kapitalistické tělo je moderní </w:t>
      </w:r>
      <w:r w:rsidRPr="08CC024C">
        <w:rPr>
          <w:i/>
        </w:rPr>
        <w:t>scibile</w:t>
      </w:r>
      <w:r>
        <w:t xml:space="preserve"> dané v modu Rufusovy individuální konkrétnosti, které je možno najímat, kupovat a prodávat. Nový subjekt třetího druhu a jemu odpovídající specifický svět tvoří jednotu v rámci analogicky pojaté rovnosti (</w:t>
      </w:r>
      <w:r w:rsidRPr="00B63902">
        <w:rPr>
          <w:i/>
        </w:rPr>
        <w:t>coaequatio</w:t>
      </w:r>
      <w:r>
        <w:rPr>
          <w:i/>
        </w:rPr>
        <w:fldChar w:fldCharType="begin"/>
      </w:r>
      <w:r>
        <w:instrText xml:space="preserve"> XE "pravda:</w:instrText>
      </w:r>
      <w:r w:rsidRPr="00E11E1F">
        <w:rPr>
          <w:i/>
        </w:rPr>
        <w:instrText>coaequatio</w:instrText>
      </w:r>
      <w:r>
        <w:instrText xml:space="preserve">" </w:instrText>
      </w:r>
      <w:r>
        <w:rPr>
          <w:i/>
        </w:rPr>
        <w:fldChar w:fldCharType="end"/>
      </w:r>
      <w:r w:rsidR="0095193D">
        <w:t xml:space="preserve">). Ta </w:t>
      </w:r>
      <w:r>
        <w:t xml:space="preserve">do sebe </w:t>
      </w:r>
      <w:r w:rsidR="0095193D">
        <w:t xml:space="preserve">zahrnuje </w:t>
      </w:r>
      <w:r>
        <w:t xml:space="preserve">v modu porretánské univocity všechna moderní </w:t>
      </w:r>
      <w:r w:rsidRPr="082B6914">
        <w:rPr>
          <w:i/>
        </w:rPr>
        <w:t>scibile</w:t>
      </w:r>
      <w:r>
        <w:t>. Přesah instrumentální vůle do světa v aristotelském modu záměrné volby (</w:t>
      </w:r>
      <w:r w:rsidRPr="006B2FA3">
        <w:rPr>
          <w:i/>
        </w:rPr>
        <w:t>electio</w:t>
      </w:r>
      <w:r>
        <w:t xml:space="preserve">) je determinován moderním pojetím pravdy jako </w:t>
      </w:r>
      <w:r w:rsidRPr="00E23CFF">
        <w:rPr>
          <w:i/>
        </w:rPr>
        <w:t>rectitudo</w:t>
      </w:r>
      <w:r>
        <w:t xml:space="preserve"> a </w:t>
      </w:r>
      <w:r w:rsidRPr="00E23CFF">
        <w:rPr>
          <w:i/>
        </w:rPr>
        <w:t>certitudo</w:t>
      </w:r>
      <w:r>
        <w:t>.</w:t>
      </w:r>
      <w:r w:rsidRPr="08A47EA9">
        <w:t xml:space="preserve"> </w:t>
      </w:r>
      <w:r w:rsidR="08942A0E">
        <w:t>Mystická chtivost trojnásobně rozštěpeného kapitalistického subjektu (tělo, intelekt, vůle jako substance</w:t>
      </w:r>
      <w:r w:rsidR="08A76672">
        <w:t xml:space="preserve"> třetího druhu</w:t>
      </w:r>
      <w:r w:rsidR="08942A0E">
        <w:t xml:space="preserve">) </w:t>
      </w:r>
      <w:r w:rsidR="08EF2A33">
        <w:t xml:space="preserve">přináší světu moderní formu vykoupení a ospravedlnění. </w:t>
      </w:r>
      <w:r w:rsidR="08A76672">
        <w:t xml:space="preserve">Uzávorkováním aristotelské osoby, </w:t>
      </w:r>
      <w:r>
        <w:t xml:space="preserve">intelektu </w:t>
      </w:r>
      <w:r w:rsidR="08A76672">
        <w:t xml:space="preserve">a vůle </w:t>
      </w:r>
      <w:r>
        <w:t xml:space="preserve">vznikl první </w:t>
      </w:r>
      <w:r w:rsidR="08A76672">
        <w:t xml:space="preserve">demiurgický </w:t>
      </w:r>
      <w:r>
        <w:t xml:space="preserve">subjekt </w:t>
      </w:r>
      <w:r w:rsidR="08A76672">
        <w:t xml:space="preserve">Západu. Kapitalistický subjekt je </w:t>
      </w:r>
      <w:r>
        <w:t xml:space="preserve">vybavený </w:t>
      </w:r>
      <w:r w:rsidR="08A76672">
        <w:t xml:space="preserve">transcendentální chtivostí, která směřuje do objektivně daného světa. Tím je naplněna vize porretánská vize světa v modu </w:t>
      </w:r>
      <w:r w:rsidRPr="08427987">
        <w:rPr>
          <w:i/>
        </w:rPr>
        <w:t>discrete videamus</w:t>
      </w:r>
      <w:r>
        <w:t xml:space="preserve">. Racionalita sebezáchovné vůle se napojila na matematickou vizi zaniklých škol </w:t>
      </w:r>
      <w:r w:rsidRPr="087F09CB">
        <w:rPr>
          <w:i/>
        </w:rPr>
        <w:t>Nominales</w:t>
      </w:r>
      <w:r w:rsidR="08CD74BA">
        <w:t xml:space="preserve"> </w:t>
      </w:r>
      <w:r w:rsidR="08CD74BA" w:rsidRPr="003F26F8">
        <w:rPr>
          <w:szCs w:val="24"/>
        </w:rPr>
        <w:t xml:space="preserve">(OBJ II, kap. 1.5). </w:t>
      </w:r>
      <w:r>
        <w:t xml:space="preserve">Z hlediska sekundárního aktu těla v modu Oliviho </w:t>
      </w:r>
      <w:r w:rsidRPr="082B6914">
        <w:rPr>
          <w:i/>
        </w:rPr>
        <w:t>volitio</w:t>
      </w:r>
      <w:r>
        <w:t xml:space="preserve"> je jasné, že klíčovou roli ve vývoji kapitalismu hraje termín </w:t>
      </w:r>
      <w:r w:rsidR="00F137D7">
        <w:t>„</w:t>
      </w:r>
      <w:r w:rsidRPr="00273106">
        <w:rPr>
          <w:i/>
        </w:rPr>
        <w:t>electio</w:t>
      </w:r>
      <w:r w:rsidR="00F137D7">
        <w:t>“</w:t>
      </w:r>
      <w:r>
        <w:t xml:space="preserve">. </w:t>
      </w:r>
      <w:r w:rsidR="002C084A">
        <w:rPr>
          <w:rStyle w:val="ezkurwreuab5ozgtqnkl"/>
        </w:rPr>
        <w:t>Zcela</w:t>
      </w:r>
      <w:r w:rsidR="002C084A">
        <w:t xml:space="preserve"> </w:t>
      </w:r>
      <w:r w:rsidR="002C084A">
        <w:rPr>
          <w:rStyle w:val="ezkurwreuab5ozgtqnkl"/>
        </w:rPr>
        <w:t>racionální</w:t>
      </w:r>
      <w:r w:rsidR="002C084A">
        <w:t xml:space="preserve"> </w:t>
      </w:r>
      <w:r w:rsidR="002C084A">
        <w:rPr>
          <w:rStyle w:val="ezkurwreuab5ozgtqnkl"/>
        </w:rPr>
        <w:t>termín</w:t>
      </w:r>
      <w:r w:rsidR="002C084A">
        <w:t xml:space="preserve"> </w:t>
      </w:r>
      <w:r w:rsidR="002C084A">
        <w:rPr>
          <w:rStyle w:val="ezkurwreuab5ozgtqnkl"/>
        </w:rPr>
        <w:t>„</w:t>
      </w:r>
      <w:r w:rsidR="002C084A" w:rsidRPr="002C084A">
        <w:rPr>
          <w:rStyle w:val="ezkurwreuab5ozgtqnkl"/>
          <w:i/>
        </w:rPr>
        <w:t>electio</w:t>
      </w:r>
      <w:r w:rsidR="002C084A">
        <w:rPr>
          <w:rStyle w:val="ezkurwreuab5ozgtqnkl"/>
        </w:rPr>
        <w:t xml:space="preserve">“ podle </w:t>
      </w:r>
      <w:r w:rsidR="002C084A" w:rsidRPr="002C084A">
        <w:rPr>
          <w:rStyle w:val="ezkurwreuab5ozgtqnkl"/>
          <w:i/>
        </w:rPr>
        <w:t>Etiky Nikomachovy</w:t>
      </w:r>
      <w:r w:rsidR="002C084A">
        <w:rPr>
          <w:rStyle w:val="ezkurwreuab5ozgtqnkl"/>
        </w:rPr>
        <w:t xml:space="preserve"> byl mysticky a iracionálně upraven, aby hrál klíčovou roli ve vývoji kapitalismu.</w:t>
      </w:r>
      <w:r w:rsidR="00E41F23">
        <w:t xml:space="preserve"> </w:t>
      </w:r>
      <w:r>
        <w:t>Instrumentální racionalita vůle determinuje výstavbu objektivně daného kapitalismu skrze ontoteologickou modifikaci tohoto původně racionálního termínu. Na rozdíl od Aristotela přešla racionální volba z teoretického a praktického intelektu do moderní vůle, kterou Olivi postavil mimo determinaci intelektu.</w:t>
      </w:r>
      <w:r w:rsidRPr="0032483C">
        <w:t xml:space="preserve"> </w:t>
      </w:r>
      <w:r>
        <w:t xml:space="preserve">Nová forma </w:t>
      </w:r>
      <w:r w:rsidRPr="08CF2C77">
        <w:rPr>
          <w:i/>
        </w:rPr>
        <w:t>electio</w:t>
      </w:r>
      <w:r>
        <w:t xml:space="preserve"> je vyvázaná z aristotelské racionality a funguje ve vykupitelské mystice </w:t>
      </w:r>
      <w:r w:rsidR="08A6415A">
        <w:t xml:space="preserve">moderních (a později </w:t>
      </w:r>
      <w:r>
        <w:t>kapitalistických</w:t>
      </w:r>
      <w:r w:rsidR="08A6415A">
        <w:t>)</w:t>
      </w:r>
      <w:r>
        <w:t xml:space="preserve"> iluminát</w:t>
      </w:r>
      <w:r w:rsidR="00A015EE">
        <w:t>ů vzniklé na konci 13. století.</w:t>
      </w:r>
    </w:p>
    <w:p w:rsidR="00884C44" w:rsidRDefault="009E794E" w:rsidP="00C33183">
      <w:pPr>
        <w:ind w:firstLine="397"/>
      </w:pPr>
      <w:r>
        <w:t xml:space="preserve">Kapitalismus se řídí logikou Antikrista, která je založena na karikatuře čistě ekonomického plánu spásy. Tato totální iracionalita je úměrná iracionalitě postmoderního subjektu založeného Olivim. </w:t>
      </w:r>
      <w:r w:rsidR="08163013">
        <w:t>Kapitalismus začal zbožně a mysticky, protože vyvolení (</w:t>
      </w:r>
      <w:r w:rsidR="08163013" w:rsidRPr="00020591">
        <w:rPr>
          <w:i/>
        </w:rPr>
        <w:t>electio</w:t>
      </w:r>
      <w:r w:rsidR="08163013">
        <w:t xml:space="preserve">) mělo eminentní teologický význam. </w:t>
      </w:r>
      <w:r w:rsidR="00C42E3A">
        <w:t xml:space="preserve">Od 13. století aspirovali </w:t>
      </w:r>
      <w:r w:rsidR="08163013">
        <w:t>osvícen</w:t>
      </w:r>
      <w:r w:rsidR="00C42E3A">
        <w:t xml:space="preserve">í </w:t>
      </w:r>
      <w:r w:rsidR="00F76AE9">
        <w:t xml:space="preserve">kupečtí </w:t>
      </w:r>
      <w:r w:rsidR="08163013">
        <w:t>iluminát</w:t>
      </w:r>
      <w:r w:rsidR="00C42E3A">
        <w:t>i</w:t>
      </w:r>
      <w:r w:rsidR="08163013">
        <w:fldChar w:fldCharType="begin"/>
      </w:r>
      <w:r w:rsidR="08163013">
        <w:instrText xml:space="preserve"> XE "</w:instrText>
      </w:r>
      <w:r w:rsidR="08163013" w:rsidRPr="004765B9">
        <w:instrText>ilumináti</w:instrText>
      </w:r>
      <w:r w:rsidR="08163013">
        <w:instrText xml:space="preserve">" </w:instrText>
      </w:r>
      <w:r w:rsidR="08163013">
        <w:fldChar w:fldCharType="end"/>
      </w:r>
      <w:r w:rsidR="08163013">
        <w:t xml:space="preserve"> </w:t>
      </w:r>
      <w:r w:rsidR="00C42E3A">
        <w:t xml:space="preserve">celkem skromně na </w:t>
      </w:r>
      <w:r w:rsidR="08163013">
        <w:t xml:space="preserve">očistec. </w:t>
      </w:r>
      <w:r w:rsidR="00B90079">
        <w:t xml:space="preserve">Od 16. století požaduje </w:t>
      </w:r>
      <w:r w:rsidR="08163013">
        <w:t xml:space="preserve">protestantský </w:t>
      </w:r>
      <w:r w:rsidR="00F76AE9">
        <w:t xml:space="preserve">kapitalistický </w:t>
      </w:r>
      <w:r w:rsidR="00C42E3A">
        <w:t xml:space="preserve">subjekt už plné </w:t>
      </w:r>
      <w:r w:rsidR="08163013" w:rsidRPr="00273106">
        <w:t>vykoupení</w:t>
      </w:r>
      <w:r w:rsidR="08163013">
        <w:t xml:space="preserve">. Obě kalkulativní formy sebezáchovné vůle určují příslušný </w:t>
      </w:r>
      <w:r w:rsidR="08163013">
        <w:lastRenderedPageBreak/>
        <w:t xml:space="preserve">mystický </w:t>
      </w:r>
      <w:r w:rsidR="08163013" w:rsidRPr="08475C5A">
        <w:rPr>
          <w:i/>
        </w:rPr>
        <w:t>conatus</w:t>
      </w:r>
      <w:r w:rsidR="08163013">
        <w:t xml:space="preserve"> jako výkon kapitalistického </w:t>
      </w:r>
      <w:r w:rsidR="08163013" w:rsidRPr="086F2A9D">
        <w:rPr>
          <w:i/>
        </w:rPr>
        <w:t>volitio</w:t>
      </w:r>
      <w:r w:rsidR="08163013">
        <w:t xml:space="preserve">. </w:t>
      </w:r>
      <w:r w:rsidR="08163013" w:rsidRPr="00273106">
        <w:t>Weber</w:t>
      </w:r>
      <w:r w:rsidR="08163013">
        <w:t xml:space="preserve">ova známá studie o vzniku kapitalismu </w:t>
      </w:r>
      <w:r w:rsidR="08163013" w:rsidRPr="00273106">
        <w:t xml:space="preserve">ukazuje </w:t>
      </w:r>
      <w:r w:rsidR="08163013">
        <w:t>moderní právo na vykoupení jen nepřímo, a to rozborem konceptu vyvole</w:t>
      </w:r>
      <w:r w:rsidR="08163013" w:rsidRPr="004F5C5C">
        <w:t>ní</w:t>
      </w:r>
      <w:r w:rsidR="08163013" w:rsidRPr="00273106">
        <w:t xml:space="preserve"> u Luthera</w:t>
      </w:r>
      <w:r w:rsidR="08163013">
        <w:fldChar w:fldCharType="begin"/>
      </w:r>
      <w:r w:rsidR="08163013">
        <w:instrText xml:space="preserve"> XE "</w:instrText>
      </w:r>
      <w:r w:rsidR="08163013" w:rsidRPr="008D00C7">
        <w:instrText>Luther, M.</w:instrText>
      </w:r>
      <w:r w:rsidR="08163013">
        <w:instrText xml:space="preserve">" </w:instrText>
      </w:r>
      <w:r w:rsidR="08163013">
        <w:fldChar w:fldCharType="end"/>
      </w:r>
      <w:r w:rsidR="08163013">
        <w:t xml:space="preserve"> a rozborem pojmu </w:t>
      </w:r>
      <w:r w:rsidR="08163013" w:rsidRPr="004F5C5C">
        <w:t>askeze</w:t>
      </w:r>
      <w:r w:rsidR="08163013" w:rsidRPr="00273106">
        <w:t xml:space="preserve"> u Kalvína</w:t>
      </w:r>
      <w:r w:rsidR="08163013">
        <w:fldChar w:fldCharType="begin"/>
      </w:r>
      <w:r w:rsidR="08163013">
        <w:instrText xml:space="preserve"> XE "Kalvín, J." </w:instrText>
      </w:r>
      <w:r w:rsidR="08163013">
        <w:fldChar w:fldCharType="end"/>
      </w:r>
      <w:r w:rsidR="08163013" w:rsidRPr="00273106">
        <w:t xml:space="preserve">. </w:t>
      </w:r>
      <w:r w:rsidR="08163013">
        <w:t xml:space="preserve">Nositel svobodné vůle je vyvolen moderním bohem v rámci </w:t>
      </w:r>
      <w:r w:rsidR="08163013" w:rsidRPr="00273106">
        <w:rPr>
          <w:i/>
        </w:rPr>
        <w:t>vocatio</w:t>
      </w:r>
      <w:r w:rsidR="08163013">
        <w:t xml:space="preserve"> (Lutherův</w:t>
      </w:r>
      <w:r w:rsidR="08163013">
        <w:fldChar w:fldCharType="begin"/>
      </w:r>
      <w:r w:rsidR="08163013">
        <w:instrText xml:space="preserve"> XE "</w:instrText>
      </w:r>
      <w:r w:rsidR="08163013" w:rsidRPr="00525530">
        <w:instrText>Luther, M.</w:instrText>
      </w:r>
      <w:r w:rsidR="08163013">
        <w:instrText xml:space="preserve">" </w:instrText>
      </w:r>
      <w:r w:rsidR="08163013">
        <w:fldChar w:fldCharType="end"/>
      </w:r>
      <w:r w:rsidR="08163013">
        <w:t xml:space="preserve"> termín </w:t>
      </w:r>
      <w:r w:rsidR="08163013" w:rsidRPr="00273106">
        <w:rPr>
          <w:i/>
        </w:rPr>
        <w:t>Beruf</w:t>
      </w:r>
      <w:r w:rsidR="08163013" w:rsidRPr="00273106">
        <w:t>), aby žil spravedlivě a množil vydělaný či svěřený kapitál</w:t>
      </w:r>
      <w:r w:rsidR="08163013">
        <w:t xml:space="preserve"> </w:t>
      </w:r>
      <w:r w:rsidR="08163013" w:rsidRPr="00273106">
        <w:t>(Weber 1920).</w:t>
      </w:r>
      <w:r w:rsidR="08163013">
        <w:t xml:space="preserve"> </w:t>
      </w:r>
      <w:r w:rsidR="0897395B">
        <w:t xml:space="preserve">Puritáni jako Richard Baxter (†1691) navíc chápou lenost, zahálku a odpočinek jako těžký hřích, protože na </w:t>
      </w:r>
      <w:r w:rsidR="00F5165C">
        <w:t>kontemplativní klid (</w:t>
      </w:r>
      <w:r w:rsidR="00F5165C" w:rsidRPr="00F5165C">
        <w:rPr>
          <w:i/>
        </w:rPr>
        <w:t>scholé</w:t>
      </w:r>
      <w:r w:rsidR="00F5165C">
        <w:t xml:space="preserve">) </w:t>
      </w:r>
      <w:r w:rsidR="0897395B">
        <w:t xml:space="preserve">mají právo až svatí v nebi. </w:t>
      </w:r>
      <w:r w:rsidR="00F5165C">
        <w:rPr>
          <w:rStyle w:val="ezkurwreuab5ozgtqnkl"/>
        </w:rPr>
        <w:t>Kapitalistický</w:t>
      </w:r>
      <w:r w:rsidR="00F5165C">
        <w:t xml:space="preserve"> </w:t>
      </w:r>
      <w:r w:rsidR="00F5165C">
        <w:rPr>
          <w:rStyle w:val="ezkurwreuab5ozgtqnkl"/>
        </w:rPr>
        <w:t>subjekt</w:t>
      </w:r>
      <w:r w:rsidR="00F5165C">
        <w:t xml:space="preserve"> </w:t>
      </w:r>
      <w:r w:rsidR="00F5165C">
        <w:rPr>
          <w:rStyle w:val="ezkurwreuab5ozgtqnkl"/>
        </w:rPr>
        <w:t>nenávidí</w:t>
      </w:r>
      <w:r w:rsidR="00F5165C">
        <w:t xml:space="preserve"> antickou </w:t>
      </w:r>
      <w:r w:rsidR="00F5165C" w:rsidRPr="00F5165C">
        <w:rPr>
          <w:i/>
        </w:rPr>
        <w:t>scholé</w:t>
      </w:r>
      <w:r w:rsidR="00F5165C">
        <w:rPr>
          <w:rStyle w:val="ezkurwreuab5ozgtqnkl"/>
        </w:rPr>
        <w:t>, kterou Sokrates považoval</w:t>
      </w:r>
      <w:r w:rsidR="00F5165C">
        <w:t xml:space="preserve"> </w:t>
      </w:r>
      <w:r w:rsidR="00F5165C">
        <w:rPr>
          <w:rStyle w:val="ezkurwreuab5ozgtqnkl"/>
        </w:rPr>
        <w:t xml:space="preserve">za nejdůležitější hodnotu politicky svobodného člověka. </w:t>
      </w:r>
      <w:r w:rsidR="08163013" w:rsidRPr="00273106">
        <w:t xml:space="preserve">Hermeneutika zdůrazňuje </w:t>
      </w:r>
      <w:r w:rsidR="08163013">
        <w:t>proti Weberově</w:t>
      </w:r>
      <w:r w:rsidR="08163013">
        <w:fldChar w:fldCharType="begin"/>
      </w:r>
      <w:r w:rsidR="08163013">
        <w:instrText xml:space="preserve"> XE "</w:instrText>
      </w:r>
      <w:r w:rsidR="08163013" w:rsidRPr="00D92CDB">
        <w:instrText>Weber, M.</w:instrText>
      </w:r>
      <w:r w:rsidR="08163013">
        <w:instrText xml:space="preserve">" </w:instrText>
      </w:r>
      <w:r w:rsidR="08163013">
        <w:fldChar w:fldCharType="end"/>
      </w:r>
      <w:r w:rsidR="08163013">
        <w:t xml:space="preserve"> studii</w:t>
      </w:r>
      <w:r w:rsidR="08163013" w:rsidRPr="00273106">
        <w:t xml:space="preserve"> o protestantské etice a duchu kapitalismu </w:t>
      </w:r>
      <w:r w:rsidR="08163013">
        <w:t>jiný fakt. T</w:t>
      </w:r>
      <w:r w:rsidR="08163013" w:rsidRPr="00273106">
        <w:t xml:space="preserve">eologické právo na spásu v rámci křesťanského </w:t>
      </w:r>
      <w:r w:rsidR="08163013">
        <w:t>vyvolení (</w:t>
      </w:r>
      <w:r w:rsidR="08163013" w:rsidRPr="084A5161">
        <w:rPr>
          <w:i/>
        </w:rPr>
        <w:t>rectitudo</w:t>
      </w:r>
      <w:r w:rsidR="08163013">
        <w:t xml:space="preserve">) </w:t>
      </w:r>
      <w:r w:rsidR="08163013" w:rsidRPr="00273106">
        <w:t>bylo získáno etickou akumulací kapitálu</w:t>
      </w:r>
      <w:r w:rsidR="08163013">
        <w:fldChar w:fldCharType="begin"/>
      </w:r>
      <w:r w:rsidR="08163013">
        <w:instrText xml:space="preserve"> XE "kapitál" </w:instrText>
      </w:r>
      <w:r w:rsidR="08163013">
        <w:fldChar w:fldCharType="end"/>
      </w:r>
      <w:r w:rsidR="08163013">
        <w:t xml:space="preserve"> v rámci </w:t>
      </w:r>
      <w:r w:rsidR="08163013" w:rsidRPr="08ED5CDB">
        <w:rPr>
          <w:i/>
        </w:rPr>
        <w:t>electio</w:t>
      </w:r>
      <w:r w:rsidR="08163013">
        <w:t xml:space="preserve"> vázaného na kapitalistický subjekt demiurgické vůle. </w:t>
      </w:r>
      <w:r w:rsidR="08595A78">
        <w:t>Tento subje</w:t>
      </w:r>
      <w:r w:rsidR="08E459B3">
        <w:t>k</w:t>
      </w:r>
      <w:r w:rsidR="08595A78">
        <w:t>t svým frenetickým a současně instrumentálně-racionálním úsilím překonává hříšný stav padlé přirozenosti dané od Adama</w:t>
      </w:r>
      <w:r w:rsidR="08E459B3">
        <w:t xml:space="preserve">. </w:t>
      </w:r>
      <w:r w:rsidR="08163013">
        <w:t xml:space="preserve">Skrze akumulaci majetku se moderní bůh setkává s demiurgickou vůlí moderního hříšníka. </w:t>
      </w:r>
      <w:r w:rsidR="080F1191">
        <w:t xml:space="preserve">Vyvolení moderního subjektu </w:t>
      </w:r>
      <w:r w:rsidR="080F1191">
        <w:rPr>
          <w:rStyle w:val="Zkladntext158dkovn0pt"/>
          <w:color w:val="auto"/>
          <w:spacing w:val="0"/>
          <w:sz w:val="24"/>
          <w:lang w:val="cs-CZ"/>
        </w:rPr>
        <w:fldChar w:fldCharType="begin"/>
      </w:r>
      <w:r w:rsidR="080F1191">
        <w:instrText xml:space="preserve"> XE "</w:instrText>
      </w:r>
      <w:r w:rsidR="080F1191" w:rsidRPr="008E1273">
        <w:rPr>
          <w:rStyle w:val="Zkladntext158dkovn0pt"/>
          <w:i/>
          <w:color w:val="auto"/>
          <w:spacing w:val="0"/>
          <w:sz w:val="24"/>
          <w:lang w:val="cs-CZ"/>
        </w:rPr>
        <w:instrText>subiectum</w:instrText>
      </w:r>
      <w:r w:rsidR="080F1191" w:rsidRPr="004E1E1A">
        <w:rPr>
          <w:rStyle w:val="Zkladntext158dkovn0pt"/>
          <w:color w:val="auto"/>
          <w:spacing w:val="0"/>
          <w:sz w:val="24"/>
          <w:lang w:val="cs-CZ"/>
        </w:rPr>
        <w:instrText>:kapitalismu</w:instrText>
      </w:r>
      <w:r w:rsidR="080F1191">
        <w:rPr>
          <w:rStyle w:val="Zkladntext158dkovn0pt"/>
          <w:color w:val="auto"/>
          <w:spacing w:val="0"/>
          <w:sz w:val="24"/>
          <w:lang w:val="cs-CZ"/>
        </w:rPr>
        <w:instrText>s</w:instrText>
      </w:r>
      <w:r w:rsidR="080F1191">
        <w:instrText xml:space="preserve">" </w:instrText>
      </w:r>
      <w:r w:rsidR="080F1191">
        <w:rPr>
          <w:rStyle w:val="Zkladntext158dkovn0pt"/>
          <w:color w:val="auto"/>
          <w:spacing w:val="0"/>
          <w:sz w:val="24"/>
          <w:lang w:val="cs-CZ"/>
        </w:rPr>
        <w:fldChar w:fldCharType="end"/>
      </w:r>
      <w:r w:rsidR="080F1191">
        <w:t xml:space="preserve">plně závisí na zcela oddělené boží vůli, jejíž </w:t>
      </w:r>
      <w:r w:rsidR="080F1191" w:rsidRPr="00E54B10">
        <w:rPr>
          <w:i/>
        </w:rPr>
        <w:t>rectitudo</w:t>
      </w:r>
      <w:r w:rsidR="080F1191">
        <w:t xml:space="preserve"> zůstává tajemným úradkem (</w:t>
      </w:r>
      <w:r w:rsidR="080F1191" w:rsidRPr="08EC234D">
        <w:rPr>
          <w:i/>
        </w:rPr>
        <w:t>List Efezským</w:t>
      </w:r>
      <w:r w:rsidR="080F1191">
        <w:t xml:space="preserve"> 1:14</w:t>
      </w:r>
      <w:r w:rsidR="080F1191">
        <w:fldChar w:fldCharType="begin"/>
      </w:r>
      <w:r w:rsidR="080F1191">
        <w:instrText xml:space="preserve"> XE "</w:instrText>
      </w:r>
      <w:r w:rsidR="080F1191" w:rsidRPr="0046213D">
        <w:instrText>Nový zákon:</w:instrText>
      </w:r>
      <w:r w:rsidR="080F1191">
        <w:instrText>Ef 1.</w:instrText>
      </w:r>
      <w:r w:rsidR="080F1191" w:rsidRPr="00E9479D">
        <w:instrText>14</w:instrText>
      </w:r>
      <w:r w:rsidR="080F1191">
        <w:instrText xml:space="preserve">" </w:instrText>
      </w:r>
      <w:r w:rsidR="080F1191">
        <w:fldChar w:fldCharType="end"/>
      </w:r>
      <w:r w:rsidR="080F1191">
        <w:t xml:space="preserve">). Na základě tohoto vyvolení máme jít do světa, </w:t>
      </w:r>
      <w:r w:rsidR="080F1191" w:rsidRPr="00806AB0">
        <w:rPr>
          <w:rStyle w:val="Zvraznn"/>
          <w:i w:val="0"/>
        </w:rPr>
        <w:t>abychom konali dobré skutky, které nám Bůh připravil</w:t>
      </w:r>
      <w:r w:rsidR="080F1191">
        <w:t xml:space="preserve"> (</w:t>
      </w:r>
      <w:r w:rsidR="000C3647">
        <w:t>Ef</w:t>
      </w:r>
      <w:r w:rsidR="080F1191">
        <w:t xml:space="preserve"> 2:10</w:t>
      </w:r>
      <w:r w:rsidR="080F1191">
        <w:fldChar w:fldCharType="begin"/>
      </w:r>
      <w:r w:rsidR="080F1191">
        <w:instrText xml:space="preserve"> XE "</w:instrText>
      </w:r>
      <w:r w:rsidR="080F1191" w:rsidRPr="0046213D">
        <w:instrText>Nový zákon:</w:instrText>
      </w:r>
      <w:r w:rsidR="080F1191">
        <w:instrText xml:space="preserve">Ef 2.10" </w:instrText>
      </w:r>
      <w:r w:rsidR="080F1191">
        <w:fldChar w:fldCharType="end"/>
      </w:r>
      <w:r w:rsidR="080F1191">
        <w:t xml:space="preserve">). </w:t>
      </w:r>
      <w:r w:rsidR="08163013">
        <w:t>Vyvolený subjekt získává potřebnou jistotu spasení (</w:t>
      </w:r>
      <w:r w:rsidR="08163013" w:rsidRPr="08B847CB">
        <w:rPr>
          <w:i/>
        </w:rPr>
        <w:t>certitudo</w:t>
      </w:r>
      <w:r w:rsidR="08163013">
        <w:t>) etickým množením kapitálu nebo poctivým držením chudoby</w:t>
      </w:r>
      <w:r w:rsidR="08163013">
        <w:fldChar w:fldCharType="begin"/>
      </w:r>
      <w:r w:rsidR="08163013">
        <w:instrText xml:space="preserve"> XE "</w:instrText>
      </w:r>
      <w:r w:rsidR="08163013" w:rsidRPr="006576DB">
        <w:rPr>
          <w:i/>
        </w:rPr>
        <w:instrText>subiectum</w:instrText>
      </w:r>
      <w:r w:rsidR="08163013" w:rsidRPr="009406C8">
        <w:instrText>:spasení</w:instrText>
      </w:r>
      <w:r w:rsidR="08163013">
        <w:instrText xml:space="preserve">" </w:instrText>
      </w:r>
      <w:r w:rsidR="08163013">
        <w:fldChar w:fldCharType="end"/>
      </w:r>
      <w:r w:rsidR="08163013">
        <w:t xml:space="preserve">. Bohatství a chudoba jako základní forma sekulární </w:t>
      </w:r>
      <w:r w:rsidR="08163013" w:rsidRPr="00273106">
        <w:t xml:space="preserve">askeze poskytla </w:t>
      </w:r>
      <w:r w:rsidR="08163013">
        <w:t xml:space="preserve">ekonomickému subjektu objektivní </w:t>
      </w:r>
      <w:r w:rsidR="08163013" w:rsidRPr="00273106">
        <w:rPr>
          <w:i/>
        </w:rPr>
        <w:t>certitudo</w:t>
      </w:r>
      <w:r w:rsidR="08163013" w:rsidRPr="00273106">
        <w:t xml:space="preserve"> </w:t>
      </w:r>
      <w:r w:rsidR="08163013">
        <w:t xml:space="preserve">božího </w:t>
      </w:r>
      <w:r w:rsidR="08163013" w:rsidRPr="00273106">
        <w:t>ospravedlnění</w:t>
      </w:r>
      <w:r w:rsidR="08163013">
        <w:t xml:space="preserve"> a vyvolení, které je dáno věčným božím </w:t>
      </w:r>
      <w:r w:rsidR="08163013" w:rsidRPr="00103B57">
        <w:rPr>
          <w:i/>
        </w:rPr>
        <w:t>rectitudo</w:t>
      </w:r>
      <w:r w:rsidR="08163013" w:rsidRPr="00273106">
        <w:t>.</w:t>
      </w:r>
      <w:r w:rsidR="080F1191">
        <w:t xml:space="preserve"> </w:t>
      </w:r>
      <w:r w:rsidR="08163013" w:rsidRPr="00273106">
        <w:t>V</w:t>
      </w:r>
      <w:r w:rsidR="082D648F">
        <w:t> kalvinismu a puritanismu má</w:t>
      </w:r>
      <w:r w:rsidR="08163013" w:rsidRPr="00273106">
        <w:t xml:space="preserve"> </w:t>
      </w:r>
      <w:r w:rsidR="082D648F">
        <w:t xml:space="preserve">akumulace jistoty spásy </w:t>
      </w:r>
      <w:r w:rsidR="08163013" w:rsidRPr="00273106">
        <w:t>mezi jednotlivcem a bohem</w:t>
      </w:r>
      <w:r w:rsidR="08163013">
        <w:t xml:space="preserve"> </w:t>
      </w:r>
      <w:r w:rsidR="082D648F">
        <w:t xml:space="preserve">kontraktuální charakter daný </w:t>
      </w:r>
      <w:r w:rsidR="08F650CC">
        <w:t>skrze boží smlouvu</w:t>
      </w:r>
      <w:r w:rsidR="08163013">
        <w:t>. Boží vůle chce svobodně spasit hříšníka skrze boží spravedlnost. Nabídka spásy je dána skrze individuální poselství Nové smlouvy. Na tuto věčn</w:t>
      </w:r>
      <w:r w:rsidR="08F650CC">
        <w:t>ou smlouvu odpovídá kontigentní</w:t>
      </w:r>
      <w:r w:rsidR="08163013">
        <w:t xml:space="preserve"> akt hříšníka, který svobodně přijímá boží smlouvu a tím je ospravedlněn. Potvrzení této novozákonní smlouvy běží skrze asketický vztah k akumulovanému kapitálu. </w:t>
      </w:r>
      <w:r w:rsidR="08163013" w:rsidRPr="00273106">
        <w:t>Akumulo</w:t>
      </w:r>
      <w:r w:rsidR="08163013">
        <w:t xml:space="preserve">vaný kapitál </w:t>
      </w:r>
      <w:r w:rsidR="086742DB">
        <w:t xml:space="preserve">dostal pseudo-božský charakter, protože v rámci jistoty spasení </w:t>
      </w:r>
      <w:r w:rsidR="08610344">
        <w:t>(</w:t>
      </w:r>
      <w:r w:rsidR="08610344" w:rsidRPr="08610344">
        <w:rPr>
          <w:i/>
        </w:rPr>
        <w:t>certitudo</w:t>
      </w:r>
      <w:r w:rsidR="08610344">
        <w:t xml:space="preserve">) </w:t>
      </w:r>
      <w:r w:rsidR="08163013">
        <w:t>dává lidsky možné právo</w:t>
      </w:r>
      <w:r w:rsidR="08163013" w:rsidRPr="00273106">
        <w:t xml:space="preserve"> </w:t>
      </w:r>
      <w:r w:rsidR="08163013">
        <w:t>(</w:t>
      </w:r>
      <w:r w:rsidR="08163013" w:rsidRPr="00F06219">
        <w:rPr>
          <w:i/>
        </w:rPr>
        <w:t>rectitudo</w:t>
      </w:r>
      <w:r w:rsidR="08163013">
        <w:rPr>
          <w:i/>
        </w:rPr>
        <w:fldChar w:fldCharType="begin"/>
      </w:r>
      <w:r w:rsidR="08163013">
        <w:instrText xml:space="preserve"> XE "pravda:</w:instrText>
      </w:r>
      <w:r w:rsidR="08163013" w:rsidRPr="00261078">
        <w:rPr>
          <w:i/>
        </w:rPr>
        <w:instrText>rectitudo</w:instrText>
      </w:r>
      <w:r w:rsidR="08163013">
        <w:instrText xml:space="preserve">" </w:instrText>
      </w:r>
      <w:r w:rsidR="08163013">
        <w:rPr>
          <w:i/>
        </w:rPr>
        <w:fldChar w:fldCharType="end"/>
      </w:r>
      <w:r w:rsidR="08163013">
        <w:t xml:space="preserve">) na vykoupení. </w:t>
      </w:r>
      <w:r w:rsidR="084648DC">
        <w:t>Olivi neměl t</w:t>
      </w:r>
      <w:r w:rsidR="08163013">
        <w:t xml:space="preserve">uto </w:t>
      </w:r>
      <w:r w:rsidR="08855556">
        <w:t xml:space="preserve">náboženskou </w:t>
      </w:r>
      <w:r w:rsidR="08163013">
        <w:t xml:space="preserve">formu </w:t>
      </w:r>
      <w:r w:rsidR="08855556">
        <w:t xml:space="preserve">racionálně-logicky určených </w:t>
      </w:r>
      <w:r w:rsidR="08163013">
        <w:t xml:space="preserve">vlastnických vztahů </w:t>
      </w:r>
      <w:r w:rsidR="08855556">
        <w:t xml:space="preserve">mezi bohem a </w:t>
      </w:r>
      <w:r w:rsidR="084648DC">
        <w:t xml:space="preserve">kapittalistickým subjektem. Katolický středověk </w:t>
      </w:r>
      <w:r w:rsidR="08163013">
        <w:t xml:space="preserve">věřil </w:t>
      </w:r>
      <w:r w:rsidR="084648DC">
        <w:lastRenderedPageBreak/>
        <w:t xml:space="preserve">podle Aristotelovy </w:t>
      </w:r>
      <w:r w:rsidR="084648DC" w:rsidRPr="084648DC">
        <w:rPr>
          <w:i/>
        </w:rPr>
        <w:t>Politiky</w:t>
      </w:r>
      <w:r w:rsidR="084648DC">
        <w:t xml:space="preserve"> </w:t>
      </w:r>
      <w:r w:rsidR="08A569DF">
        <w:t>I, 8</w:t>
      </w:r>
      <w:r w:rsidR="084648DC">
        <w:t xml:space="preserve">–9 </w:t>
      </w:r>
      <w:r w:rsidR="08163013">
        <w:t>na primární obecné určení statků, práce a kapitálu</w:t>
      </w:r>
      <w:r w:rsidR="08855556">
        <w:t xml:space="preserve"> jako </w:t>
      </w:r>
      <w:r w:rsidR="084648DC">
        <w:t>osobně a komunitně daných prostředků</w:t>
      </w:r>
      <w:r w:rsidR="08855556">
        <w:t xml:space="preserve"> k zajištění života</w:t>
      </w:r>
      <w:r w:rsidR="08163013">
        <w:t xml:space="preserve">. Protestantismus radikalizoval Oliviho komunitní ekonomické </w:t>
      </w:r>
      <w:r w:rsidR="08163013" w:rsidRPr="08BF71DB">
        <w:rPr>
          <w:i/>
        </w:rPr>
        <w:t>electio</w:t>
      </w:r>
      <w:r w:rsidR="08163013">
        <w:t xml:space="preserve"> směrem k izolovanému subjektu spásy a zatracení. Věčné boží regule dané v modu pravdy jako </w:t>
      </w:r>
      <w:r w:rsidR="08163013" w:rsidRPr="003B151E">
        <w:rPr>
          <w:i/>
        </w:rPr>
        <w:t>rectitudo</w:t>
      </w:r>
      <w:r w:rsidR="08163013">
        <w:t xml:space="preserve"> determinují kontingentní činnost jednotlivce ve světě v modu pravdy jako </w:t>
      </w:r>
      <w:r w:rsidR="08163013" w:rsidRPr="00470D26">
        <w:rPr>
          <w:i/>
        </w:rPr>
        <w:t>certitudo</w:t>
      </w:r>
      <w:r w:rsidR="08163013">
        <w:t>. E</w:t>
      </w:r>
      <w:r w:rsidR="08163013" w:rsidRPr="00273106">
        <w:t xml:space="preserve">konomické úsilí </w:t>
      </w:r>
      <w:r w:rsidR="08163013">
        <w:t xml:space="preserve">potvrdí </w:t>
      </w:r>
      <w:r w:rsidR="08163013" w:rsidRPr="00273106">
        <w:t xml:space="preserve">skrze morální </w:t>
      </w:r>
      <w:r w:rsidR="08163013">
        <w:t>a</w:t>
      </w:r>
      <w:r w:rsidR="08163013" w:rsidRPr="00273106">
        <w:t xml:space="preserve">kumulaci kapitálu </w:t>
      </w:r>
      <w:r w:rsidR="08163013">
        <w:t xml:space="preserve">již přítomné </w:t>
      </w:r>
      <w:r w:rsidR="08163013" w:rsidRPr="00273106">
        <w:rPr>
          <w:i/>
        </w:rPr>
        <w:t>certitudo</w:t>
      </w:r>
      <w:r w:rsidR="08163013" w:rsidRPr="00273106">
        <w:t xml:space="preserve"> osobní spásy</w:t>
      </w:r>
      <w:r w:rsidR="08163013">
        <w:t xml:space="preserve"> dané výlučně od spravedlivého boha</w:t>
      </w:r>
      <w:r w:rsidR="08163013" w:rsidRPr="00273106">
        <w:t xml:space="preserve">. </w:t>
      </w:r>
      <w:r w:rsidR="08163013">
        <w:t xml:space="preserve">Reformační kapitál Luthera a Kalvína je dán skrze </w:t>
      </w:r>
      <w:r w:rsidR="08A6415A">
        <w:t>smlouvu založenou na vůli</w:t>
      </w:r>
      <w:r w:rsidR="08163013">
        <w:t xml:space="preserve">. Dvojnásobně pravdivá akumulace kapitálu v modu </w:t>
      </w:r>
      <w:r w:rsidR="08163013" w:rsidRPr="08B106A9">
        <w:rPr>
          <w:i/>
        </w:rPr>
        <w:t>rectitudo</w:t>
      </w:r>
      <w:r w:rsidR="08163013">
        <w:t xml:space="preserve"> a </w:t>
      </w:r>
      <w:r w:rsidR="08163013" w:rsidRPr="08B106A9">
        <w:rPr>
          <w:i/>
        </w:rPr>
        <w:t>certitudo</w:t>
      </w:r>
      <w:r w:rsidR="08163013">
        <w:t xml:space="preserve"> spojuje obě patra Bonaventurových regulí (</w:t>
      </w:r>
      <w:r w:rsidR="08163013" w:rsidRPr="00B65F4C">
        <w:rPr>
          <w:i/>
        </w:rPr>
        <w:t>regula agentis in/creati</w:t>
      </w:r>
      <w:r w:rsidR="08163013">
        <w:rPr>
          <w:i/>
        </w:rPr>
        <w:fldChar w:fldCharType="begin"/>
      </w:r>
      <w:r w:rsidR="08163013">
        <w:instrText xml:space="preserve"> XE "</w:instrText>
      </w:r>
      <w:r w:rsidR="08163013" w:rsidRPr="001075A0">
        <w:instrText>regule</w:instrText>
      </w:r>
      <w:r w:rsidR="08163013">
        <w:rPr>
          <w:i/>
        </w:rPr>
        <w:instrText>:</w:instrText>
      </w:r>
      <w:r w:rsidR="08163013" w:rsidRPr="000E37A2">
        <w:rPr>
          <w:i/>
        </w:rPr>
        <w:instrText>agentis in/creati</w:instrText>
      </w:r>
      <w:r w:rsidR="08163013">
        <w:instrText xml:space="preserve">" </w:instrText>
      </w:r>
      <w:r w:rsidR="08163013">
        <w:rPr>
          <w:i/>
        </w:rPr>
        <w:fldChar w:fldCharType="end"/>
      </w:r>
      <w:r w:rsidR="08163013">
        <w:t xml:space="preserve">, </w:t>
      </w:r>
      <w:r w:rsidR="08A6415A">
        <w:t>kap. 4</w:t>
      </w:r>
      <w:r w:rsidR="08163013" w:rsidRPr="00273106">
        <w:t>.1.2</w:t>
      </w:r>
      <w:r w:rsidR="08163013">
        <w:t xml:space="preserve">). Vyvolení funguje v modu nadpřirozeně a přirozeně pravdivé akumulace spásy a bohatství. Vykoupení a akumulovaný kapitál představuje analogické </w:t>
      </w:r>
      <w:r w:rsidR="08163013" w:rsidRPr="089C326C">
        <w:rPr>
          <w:i/>
        </w:rPr>
        <w:t>ratio</w:t>
      </w:r>
      <w:r w:rsidR="08163013">
        <w:t xml:space="preserve"> dvou relativních aspektů boží a lidské vůle. Bůh skrze vůli obrácenou do světa v modu </w:t>
      </w:r>
      <w:r w:rsidR="08163013" w:rsidRPr="08A1404B">
        <w:rPr>
          <w:i/>
        </w:rPr>
        <w:t xml:space="preserve">esse </w:t>
      </w:r>
      <w:proofErr w:type="gramStart"/>
      <w:r w:rsidR="08163013" w:rsidRPr="08A1404B">
        <w:rPr>
          <w:i/>
        </w:rPr>
        <w:t>ad</w:t>
      </w:r>
      <w:r w:rsidR="08163013">
        <w:t xml:space="preserve"> chce</w:t>
      </w:r>
      <w:proofErr w:type="gramEnd"/>
      <w:r w:rsidR="08163013">
        <w:t xml:space="preserve"> spasit </w:t>
      </w:r>
      <w:r w:rsidR="08431CB0">
        <w:t xml:space="preserve">zatracený </w:t>
      </w:r>
      <w:r w:rsidR="08163013">
        <w:t xml:space="preserve">svět. Hříšník chce být spasen ve stejném modu vůle </w:t>
      </w:r>
      <w:r w:rsidR="08163013" w:rsidRPr="08A1404B">
        <w:rPr>
          <w:i/>
        </w:rPr>
        <w:t>esse ad</w:t>
      </w:r>
      <w:r w:rsidR="08163013">
        <w:t xml:space="preserve"> obrácené k bohu. Tajemná vůle božího demiurga se z hlediska dvojí regule zásadně liší od demiurgické aktivity člověka dané ve světě. Oba vztahy ale běží v modu moderní </w:t>
      </w:r>
      <w:r w:rsidR="08163013" w:rsidRPr="08570EEE">
        <w:rPr>
          <w:i/>
        </w:rPr>
        <w:t>analogia</w:t>
      </w:r>
      <w:r w:rsidR="08163013">
        <w:rPr>
          <w:i/>
        </w:rPr>
        <w:t xml:space="preserve"> voluntatis</w:t>
      </w:r>
      <w:r w:rsidR="08F9724E">
        <w:rPr>
          <w:i/>
        </w:rPr>
        <w:fldChar w:fldCharType="begin"/>
      </w:r>
      <w:r w:rsidR="08F9724E">
        <w:instrText xml:space="preserve"> XE "</w:instrText>
      </w:r>
      <w:r w:rsidR="08F9724E" w:rsidRPr="08206F68">
        <w:rPr>
          <w:i/>
        </w:rPr>
        <w:instrText>analogia voluntatis</w:instrText>
      </w:r>
      <w:r w:rsidR="08F9724E">
        <w:instrText xml:space="preserve">" </w:instrText>
      </w:r>
      <w:r w:rsidR="08F9724E">
        <w:rPr>
          <w:i/>
        </w:rPr>
        <w:fldChar w:fldCharType="end"/>
      </w:r>
      <w:r w:rsidR="08163013">
        <w:t>, v němž nadpřirozený demiurg regulativně odpovídá omezené</w:t>
      </w:r>
      <w:r w:rsidR="005F3D52">
        <w:t>mu lidskému protějšku a naopa</w:t>
      </w:r>
      <w:r w:rsidR="00C33183">
        <w:t xml:space="preserve">k. </w:t>
      </w:r>
      <w:r w:rsidR="08163013">
        <w:t xml:space="preserve">Analogii danou v rámci fungování kapitalistického demiurga je třeba vztáhnout k </w:t>
      </w:r>
      <w:proofErr w:type="gramStart"/>
      <w:r w:rsidR="08163013">
        <w:t>Oliviho</w:t>
      </w:r>
      <w:proofErr w:type="gramEnd"/>
      <w:r w:rsidR="08163013">
        <w:t xml:space="preserve"> reálné distinkci mezi esencí vůle a jejím vnějším aspektem. Ekonomický aspekt jednání v přirozené rovině musí být v souladu s nadpřirozeným plánem spásy</w:t>
      </w:r>
      <w:r w:rsidR="08163013" w:rsidRPr="00273106">
        <w:t xml:space="preserve">. </w:t>
      </w:r>
      <w:r w:rsidR="08163013">
        <w:t>Záměrná volba člověka skrze racionální a prozíravé jednání provádí etickou akumulaci kapitálu (</w:t>
      </w:r>
      <w:r w:rsidR="08163013" w:rsidRPr="009F0EF9">
        <w:rPr>
          <w:i/>
        </w:rPr>
        <w:t>electio</w:t>
      </w:r>
      <w:r w:rsidR="08163013" w:rsidRPr="009F0EF9">
        <w:rPr>
          <w:i/>
          <w:vertAlign w:val="superscript"/>
        </w:rPr>
        <w:t>1</w:t>
      </w:r>
      <w:r w:rsidR="08163013">
        <w:t>)</w:t>
      </w:r>
      <w:r w:rsidR="08163013">
        <w:fldChar w:fldCharType="begin"/>
      </w:r>
      <w:r w:rsidR="08163013">
        <w:instrText xml:space="preserve"> XE "</w:instrText>
      </w:r>
      <w:r w:rsidR="08163013" w:rsidRPr="00A769AA">
        <w:instrText>osoba:</w:instrText>
      </w:r>
      <w:r w:rsidR="08163013" w:rsidRPr="000A3763">
        <w:rPr>
          <w:i/>
        </w:rPr>
        <w:instrText>electio</w:instrText>
      </w:r>
      <w:r w:rsidR="08163013">
        <w:instrText xml:space="preserve">" </w:instrText>
      </w:r>
      <w:r w:rsidR="08163013">
        <w:fldChar w:fldCharType="end"/>
      </w:r>
      <w:r w:rsidR="08163013">
        <w:t>. Tato akumulace bohatství odpovídá tajemného božímu úradku božího vyvolení danému od věčnosti v podobně akumulovaném kapitálu boží milosti daném skrze dějiny spásy (</w:t>
      </w:r>
      <w:r w:rsidR="08163013" w:rsidRPr="009F0EF9">
        <w:rPr>
          <w:i/>
        </w:rPr>
        <w:t>electio</w:t>
      </w:r>
      <w:r w:rsidR="08163013" w:rsidRPr="009F0EF9">
        <w:rPr>
          <w:i/>
          <w:vertAlign w:val="superscript"/>
        </w:rPr>
        <w:t>2</w:t>
      </w:r>
      <w:r w:rsidR="08163013">
        <w:t>). Dvojí vyvolení analogicky doplňuje skrze známou tro</w:t>
      </w:r>
      <w:r w:rsidR="00884C44">
        <w:t>jčlenku vztahů danou v modu:</w:t>
      </w:r>
    </w:p>
    <w:p w:rsidR="00884C44" w:rsidRDefault="08163013" w:rsidP="00884C44">
      <w:pPr>
        <w:numPr>
          <w:ilvl w:val="0"/>
          <w:numId w:val="9"/>
        </w:numPr>
      </w:pPr>
      <w:r>
        <w:t xml:space="preserve">tajemná vůle </w:t>
      </w:r>
      <w:r w:rsidR="008618FD">
        <w:t xml:space="preserve">božského </w:t>
      </w:r>
      <w:r w:rsidR="00BE44DD">
        <w:t>demiurga versus</w:t>
      </w:r>
      <w:r>
        <w:t xml:space="preserve"> </w:t>
      </w:r>
      <w:r w:rsidRPr="08393E43">
        <w:rPr>
          <w:i/>
        </w:rPr>
        <w:t>rectitudo</w:t>
      </w:r>
      <w:r>
        <w:t xml:space="preserve"> Nové sml</w:t>
      </w:r>
      <w:r w:rsidR="006605EB">
        <w:t xml:space="preserve">ouvy přinášející </w:t>
      </w:r>
      <w:r w:rsidR="006B34EB">
        <w:t xml:space="preserve">dar </w:t>
      </w:r>
      <w:r w:rsidR="006605EB">
        <w:t>ospravedlnění</w:t>
      </w:r>
      <w:r w:rsidR="00391E0C">
        <w:fldChar w:fldCharType="begin"/>
      </w:r>
      <w:r w:rsidR="00391E0C">
        <w:instrText xml:space="preserve"> XE "</w:instrText>
      </w:r>
      <w:r w:rsidR="00391E0C" w:rsidRPr="00B82195">
        <w:instrText>ospravedlnění</w:instrText>
      </w:r>
      <w:r w:rsidR="00391E0C">
        <w:instrText xml:space="preserve">" </w:instrText>
      </w:r>
      <w:r w:rsidR="00391E0C">
        <w:fldChar w:fldCharType="end"/>
      </w:r>
      <w:r w:rsidR="00BE44DD">
        <w:t xml:space="preserve">; </w:t>
      </w:r>
    </w:p>
    <w:p w:rsidR="00884C44" w:rsidRDefault="08163013" w:rsidP="00884C44">
      <w:pPr>
        <w:numPr>
          <w:ilvl w:val="0"/>
          <w:numId w:val="9"/>
        </w:numPr>
      </w:pPr>
      <w:r>
        <w:t xml:space="preserve">kapitalistická vůle </w:t>
      </w:r>
      <w:r w:rsidR="008618FD">
        <w:t xml:space="preserve">lidského </w:t>
      </w:r>
      <w:r w:rsidR="00BE44DD">
        <w:t xml:space="preserve">demiurga versus </w:t>
      </w:r>
      <w:r w:rsidRPr="08393E43">
        <w:rPr>
          <w:i/>
        </w:rPr>
        <w:t>certitudo</w:t>
      </w:r>
      <w:r>
        <w:t xml:space="preserve"> akumulovanéh</w:t>
      </w:r>
      <w:r w:rsidR="00421857">
        <w:t>o kapitálu přinášející jistotu spásy</w:t>
      </w:r>
      <w:r w:rsidR="00884C44">
        <w:t>.</w:t>
      </w:r>
    </w:p>
    <w:p w:rsidR="00016F64" w:rsidRDefault="08163013" w:rsidP="00884C44">
      <w:r>
        <w:t xml:space="preserve">Klíčové je analogické </w:t>
      </w:r>
      <w:r w:rsidRPr="08BF401C">
        <w:rPr>
          <w:i/>
        </w:rPr>
        <w:t>ratio</w:t>
      </w:r>
      <w:r>
        <w:t xml:space="preserve"> neboli poměr mezi oběma pravdami. </w:t>
      </w:r>
      <w:r w:rsidR="085313BE">
        <w:t>Aspekt spasitelné boží vůle (</w:t>
      </w:r>
      <w:r w:rsidR="085313BE" w:rsidRPr="085313BE">
        <w:rPr>
          <w:i/>
        </w:rPr>
        <w:t>esse ad</w:t>
      </w:r>
      <w:r w:rsidR="085313BE" w:rsidRPr="085313BE">
        <w:rPr>
          <w:i/>
          <w:vertAlign w:val="superscript"/>
        </w:rPr>
        <w:t>1</w:t>
      </w:r>
      <w:r w:rsidR="085313BE">
        <w:t>) analogicky odpovídá aspektu lidské vůle, která potřebuje spásu (</w:t>
      </w:r>
      <w:r w:rsidR="085313BE" w:rsidRPr="085313BE">
        <w:rPr>
          <w:i/>
        </w:rPr>
        <w:t>esse ad</w:t>
      </w:r>
      <w:r w:rsidR="085313BE">
        <w:rPr>
          <w:i/>
          <w:vertAlign w:val="superscript"/>
        </w:rPr>
        <w:t>2</w:t>
      </w:r>
      <w:r w:rsidR="085313BE">
        <w:t xml:space="preserve">). </w:t>
      </w:r>
      <w:r w:rsidR="08D1210B">
        <w:t xml:space="preserve">Moderní bůh je od 16. stol. je zcela kapitalistickým způsobem, což přesně viděl a popsal </w:t>
      </w:r>
      <w:r w:rsidR="08D1210B">
        <w:lastRenderedPageBreak/>
        <w:t>Karel Marx</w:t>
      </w:r>
      <w:r w:rsidR="08D1210B">
        <w:fldChar w:fldCharType="begin"/>
      </w:r>
      <w:r w:rsidR="08D1210B">
        <w:instrText xml:space="preserve"> XE "</w:instrText>
      </w:r>
      <w:r w:rsidR="08D1210B" w:rsidRPr="0888563C">
        <w:instrText>Marx, K.</w:instrText>
      </w:r>
      <w:r w:rsidR="08D1210B">
        <w:instrText xml:space="preserve">" </w:instrText>
      </w:r>
      <w:r w:rsidR="08D1210B">
        <w:fldChar w:fldCharType="end"/>
      </w:r>
      <w:r w:rsidR="08D1210B">
        <w:t xml:space="preserve">. </w:t>
      </w:r>
      <w:r>
        <w:t>Ratio kumulace kapitálu</w:t>
      </w:r>
      <w:r>
        <w:fldChar w:fldCharType="begin"/>
      </w:r>
      <w:r>
        <w:instrText xml:space="preserve"> XE "</w:instrText>
      </w:r>
      <w:r w:rsidRPr="00D95986">
        <w:instrText>kapitál</w:instrText>
      </w:r>
      <w:r>
        <w:instrText xml:space="preserve">" </w:instrText>
      </w:r>
      <w:r>
        <w:fldChar w:fldCharType="end"/>
      </w:r>
      <w:r>
        <w:t xml:space="preserve"> dané mírou zisku nebo bankovním úrokem analogicky odpovídá na tajemné boží ratio, které je vidět v dějinách</w:t>
      </w:r>
      <w:r w:rsidR="00016F64">
        <w:t xml:space="preserve"> spásy a v celém díle stvoření.</w:t>
      </w:r>
    </w:p>
    <w:p w:rsidR="0031528D" w:rsidRDefault="08163013" w:rsidP="08212259">
      <w:pPr>
        <w:ind w:firstLine="397"/>
      </w:pPr>
      <w:r>
        <w:t>Zavedením výše uvedené kapitalistické čtyřčlenky získala instrumentální racionalita</w:t>
      </w:r>
      <w:r>
        <w:fldChar w:fldCharType="begin"/>
      </w:r>
      <w:r>
        <w:instrText xml:space="preserve"> XE "</w:instrText>
      </w:r>
      <w:r w:rsidRPr="08437A99">
        <w:instrText>instrumentální racionalita</w:instrText>
      </w:r>
      <w:r>
        <w:instrText xml:space="preserve">" </w:instrText>
      </w:r>
      <w:r>
        <w:fldChar w:fldCharType="end"/>
      </w:r>
      <w:r>
        <w:t xml:space="preserve"> daná pudem sebezáchovy přímo mystický a spásonosný charakter. Akumulace přirozeného kapitálu skrze analogii pojišťuje (ale nevytváří) v modu základní mystické jistiny nadpřirozenou kapitalizaci jistoty spasení. Proto dnešní </w:t>
      </w:r>
      <w:r w:rsidRPr="08AE31FC">
        <w:rPr>
          <w:i/>
        </w:rPr>
        <w:t>banksters</w:t>
      </w:r>
      <w:r>
        <w:rPr>
          <w:i/>
        </w:rPr>
        <w:fldChar w:fldCharType="begin"/>
      </w:r>
      <w:r>
        <w:instrText xml:space="preserve"> XE "</w:instrText>
      </w:r>
      <w:r w:rsidRPr="08677B8F">
        <w:rPr>
          <w:i/>
        </w:rPr>
        <w:instrText>banksters</w:instrText>
      </w:r>
      <w:r>
        <w:instrText xml:space="preserve">" </w:instrText>
      </w:r>
      <w:r>
        <w:rPr>
          <w:i/>
        </w:rPr>
        <w:fldChar w:fldCharType="end"/>
      </w:r>
      <w:r>
        <w:t xml:space="preserve"> po smrti moderního boha dále konají dílo tohoto zesnulého kapitalistického demiurga (</w:t>
      </w:r>
      <w:r w:rsidR="082770EB">
        <w:t>OBJ II, kap. 3</w:t>
      </w:r>
      <w:r>
        <w:t xml:space="preserve">.1.2). Rozdíl </w:t>
      </w:r>
      <w:r w:rsidRPr="087446A5">
        <w:rPr>
          <w:i/>
        </w:rPr>
        <w:t>rectitudo</w:t>
      </w:r>
      <w:r>
        <w:t xml:space="preserve"> a </w:t>
      </w:r>
      <w:r w:rsidRPr="087446A5">
        <w:rPr>
          <w:i/>
        </w:rPr>
        <w:t>certitudo</w:t>
      </w:r>
      <w:r>
        <w:t xml:space="preserve"> má zásadní charakter oddělující suverénní pravdivost moderního boha a od pouze relativní pravdivosti kapitálově certifikovaného subjektu. Analogický vztah dvojí pravdy</w:t>
      </w:r>
      <w:r>
        <w:fldChar w:fldCharType="begin"/>
      </w:r>
      <w:r>
        <w:instrText xml:space="preserve"> XE "</w:instrText>
      </w:r>
      <w:r w:rsidRPr="00804669">
        <w:instrText>teorie dvojí pravdy</w:instrText>
      </w:r>
      <w:r>
        <w:instrText xml:space="preserve">" </w:instrText>
      </w:r>
      <w:r>
        <w:fldChar w:fldCharType="end"/>
      </w:r>
      <w:r>
        <w:t xml:space="preserve"> v modu božího </w:t>
      </w:r>
      <w:r w:rsidRPr="001A1CB8">
        <w:rPr>
          <w:i/>
        </w:rPr>
        <w:t>rectitudo</w:t>
      </w:r>
      <w:r>
        <w:t xml:space="preserve"> a lidského </w:t>
      </w:r>
      <w:r w:rsidRPr="001A1CB8">
        <w:rPr>
          <w:i/>
        </w:rPr>
        <w:t>certitudo</w:t>
      </w:r>
      <w:r>
        <w:t xml:space="preserve"> stojí u zrodu kapitalismu a zakládá jeho základní </w:t>
      </w:r>
      <w:r w:rsidRPr="006F1348">
        <w:rPr>
          <w:i/>
        </w:rPr>
        <w:t>ratio</w:t>
      </w:r>
      <w:r>
        <w:fldChar w:fldCharType="begin"/>
      </w:r>
      <w:r>
        <w:instrText xml:space="preserve"> XE "</w:instrText>
      </w:r>
      <w:r w:rsidRPr="004B67FA">
        <w:instrText>kapitalismus</w:instrText>
      </w:r>
      <w:r>
        <w:instrText xml:space="preserve">" </w:instrText>
      </w:r>
      <w:r>
        <w:fldChar w:fldCharType="end"/>
      </w:r>
      <w:r>
        <w:t xml:space="preserve">. Inkluzí boží a lidské vůle v modu analogie je završena syntéza </w:t>
      </w:r>
      <w:proofErr w:type="gramStart"/>
      <w:r>
        <w:t>stvořitelské  a tvořitelské</w:t>
      </w:r>
      <w:proofErr w:type="gramEnd"/>
      <w:r>
        <w:t xml:space="preserve"> vůle v obou patrech daných Bonaventurou (</w:t>
      </w:r>
      <w:r w:rsidRPr="004C15F4">
        <w:rPr>
          <w:i/>
        </w:rPr>
        <w:t>regula agentis in/creati</w:t>
      </w:r>
      <w:r>
        <w:rPr>
          <w:i/>
        </w:rPr>
        <w:fldChar w:fldCharType="begin"/>
      </w:r>
      <w:r>
        <w:instrText xml:space="preserve"> XE "</w:instrText>
      </w:r>
      <w:r w:rsidRPr="004C15F4">
        <w:instrText>regule</w:instrText>
      </w:r>
      <w:r w:rsidRPr="003938A1">
        <w:rPr>
          <w:i/>
        </w:rPr>
        <w:instrText>:agentis in/creati</w:instrText>
      </w:r>
      <w:r>
        <w:instrText xml:space="preserve">" </w:instrText>
      </w:r>
      <w:r>
        <w:rPr>
          <w:i/>
        </w:rPr>
        <w:fldChar w:fldCharType="end"/>
      </w:r>
      <w:r>
        <w:t xml:space="preserve">). Akt „exsistence“ kapitalistického subjektu je dán tím, že plán spásy daný u boha </w:t>
      </w:r>
      <w:r w:rsidRPr="08926CBA">
        <w:rPr>
          <w:i/>
        </w:rPr>
        <w:t>Modernorum</w:t>
      </w:r>
      <w:r>
        <w:t xml:space="preserve"> v porretánském modu pravdy </w:t>
      </w:r>
      <w:r w:rsidRPr="009F0EF9">
        <w:rPr>
          <w:i/>
        </w:rPr>
        <w:t>semel</w:t>
      </w:r>
      <w:r>
        <w:t>‒</w:t>
      </w:r>
      <w:r w:rsidRPr="009F0EF9">
        <w:rPr>
          <w:i/>
        </w:rPr>
        <w:t>semper</w:t>
      </w:r>
      <w:r>
        <w:rPr>
          <w:i/>
        </w:rPr>
        <w:fldChar w:fldCharType="begin"/>
      </w:r>
      <w:r>
        <w:instrText xml:space="preserve"> XE "predikace:</w:instrText>
      </w:r>
      <w:r w:rsidRPr="006F1348">
        <w:rPr>
          <w:i/>
        </w:rPr>
        <w:instrText>semel‒semper</w:instrText>
      </w:r>
      <w:r>
        <w:instrText xml:space="preserve">" </w:instrText>
      </w:r>
      <w:r>
        <w:rPr>
          <w:i/>
        </w:rPr>
        <w:fldChar w:fldCharType="end"/>
      </w:r>
      <w:r>
        <w:t xml:space="preserve"> se akcidentálně promítne do ospravedlnění toho či onoho kapitálově zajištěného subjektu. Tento subjekt nese </w:t>
      </w:r>
      <w:r w:rsidR="082D3253">
        <w:t xml:space="preserve">v modu </w:t>
      </w:r>
      <w:proofErr w:type="gramStart"/>
      <w:r w:rsidR="082D3253" w:rsidRPr="082D3253">
        <w:rPr>
          <w:i/>
        </w:rPr>
        <w:t>semel</w:t>
      </w:r>
      <w:proofErr w:type="gramEnd"/>
      <w:r w:rsidR="082D3253" w:rsidRPr="082D3253">
        <w:rPr>
          <w:i/>
        </w:rPr>
        <w:t>–</w:t>
      </w:r>
      <w:proofErr w:type="gramStart"/>
      <w:r w:rsidR="082D3253" w:rsidRPr="082D3253">
        <w:rPr>
          <w:i/>
        </w:rPr>
        <w:t>semper</w:t>
      </w:r>
      <w:proofErr w:type="gramEnd"/>
      <w:r w:rsidR="082D3253">
        <w:t xml:space="preserve"> </w:t>
      </w:r>
      <w:r>
        <w:t>substanciální spásonosnou potenci (</w:t>
      </w:r>
      <w:r w:rsidRPr="00544420">
        <w:rPr>
          <w:i/>
        </w:rPr>
        <w:t>potentia substantialis</w:t>
      </w:r>
      <w:r>
        <w:t>). Její akcentální aktualizace (</w:t>
      </w:r>
      <w:r w:rsidRPr="00544420">
        <w:rPr>
          <w:i/>
        </w:rPr>
        <w:t xml:space="preserve">potentia </w:t>
      </w:r>
      <w:r>
        <w:rPr>
          <w:i/>
        </w:rPr>
        <w:t>accidentalis</w:t>
      </w:r>
      <w:r>
        <w:t>) pak kontigentně kapitalizuje a tím i certifikuje kontr</w:t>
      </w:r>
      <w:r w:rsidR="082D3253">
        <w:t>aktuálně získané právo na spásu</w:t>
      </w:r>
      <w:r>
        <w:fldChar w:fldCharType="begin"/>
      </w:r>
      <w:r>
        <w:instrText xml:space="preserve"> XE "</w:instrText>
      </w:r>
      <w:r w:rsidRPr="00A769AA">
        <w:instrText>osoba:</w:instrText>
      </w:r>
      <w:r w:rsidRPr="000A3763">
        <w:rPr>
          <w:i/>
        </w:rPr>
        <w:instrText>electio</w:instrText>
      </w:r>
      <w:r>
        <w:instrText xml:space="preserve">" </w:instrText>
      </w:r>
      <w:r>
        <w:fldChar w:fldCharType="end"/>
      </w:r>
      <w:r>
        <w:t xml:space="preserve">. </w:t>
      </w:r>
      <w:r w:rsidR="082D3253">
        <w:t xml:space="preserve">Nový zákon lze pro modernu doslova a do písmene přeložit termínem „Nová smlouva“. </w:t>
      </w:r>
      <w:r>
        <w:t>Intimní vůle kapitalistického hříšníka je analogicky spojená s demiurgi</w:t>
      </w:r>
      <w:r w:rsidR="00C21A63">
        <w:t>ckou vůlí kapitalistického boha</w:t>
      </w:r>
      <w:r>
        <w:t>. Oba moderní subjekty si rozumí</w:t>
      </w:r>
      <w:r w:rsidRPr="08235EDE">
        <w:t xml:space="preserve"> </w:t>
      </w:r>
      <w:r>
        <w:t xml:space="preserve">přímo intimně. </w:t>
      </w:r>
      <w:r w:rsidR="00E938A4" w:rsidRPr="00E938A4">
        <w:t xml:space="preserve">Všechny moderní církve v kapitalismu jsou založeny na bohatství, které má </w:t>
      </w:r>
      <w:r w:rsidR="00E938A4">
        <w:t xml:space="preserve">eventuálně </w:t>
      </w:r>
      <w:r w:rsidR="00E938A4" w:rsidRPr="00E938A4">
        <w:t xml:space="preserve">sloužit chudým. </w:t>
      </w:r>
      <w:r>
        <w:t>Božský i lidský demiurg mají stejný vzorec chování a stejnou psychologii podle analogie Bonaventurových regulí (</w:t>
      </w:r>
      <w:r w:rsidRPr="004D738D">
        <w:rPr>
          <w:i/>
        </w:rPr>
        <w:t>regula agentis in/creati</w:t>
      </w:r>
      <w:r>
        <w:fldChar w:fldCharType="begin"/>
      </w:r>
      <w:r>
        <w:instrText xml:space="preserve"> XE "</w:instrText>
      </w:r>
      <w:r w:rsidRPr="00410B02">
        <w:instrText>regule:</w:instrText>
      </w:r>
      <w:r w:rsidRPr="004D738D">
        <w:rPr>
          <w:i/>
        </w:rPr>
        <w:instrText>agentis in/creati</w:instrText>
      </w:r>
      <w:r>
        <w:instrText xml:space="preserve">" </w:instrText>
      </w:r>
      <w:r>
        <w:fldChar w:fldCharType="end"/>
      </w:r>
      <w:r>
        <w:t xml:space="preserve">). První agent má svobodnou vůli v plně aktivním a ničím neomezeném stvořitelském modu. Druhý agent má omezenou tvořivost a vůli, protože suverénní boží </w:t>
      </w:r>
      <w:r w:rsidRPr="005266D7">
        <w:rPr>
          <w:i/>
        </w:rPr>
        <w:t>rectitudo</w:t>
      </w:r>
      <w:r>
        <w:t xml:space="preserve"> přijímá v aktu vyvolení </w:t>
      </w:r>
      <w:r w:rsidR="082D3253">
        <w:t>(</w:t>
      </w:r>
      <w:r w:rsidR="082D3253" w:rsidRPr="082D3253">
        <w:rPr>
          <w:i/>
        </w:rPr>
        <w:t>vocatio</w:t>
      </w:r>
      <w:r w:rsidR="082D3253">
        <w:t xml:space="preserve">) </w:t>
      </w:r>
      <w:r>
        <w:t xml:space="preserve">daného skrze omezenou vůli a na základě lidsky možného </w:t>
      </w:r>
      <w:r w:rsidRPr="005266D7">
        <w:rPr>
          <w:i/>
        </w:rPr>
        <w:t>certitudo</w:t>
      </w:r>
      <w:r w:rsidR="0031528D">
        <w:t>.</w:t>
      </w:r>
    </w:p>
    <w:p w:rsidR="00A2378E" w:rsidRDefault="084C1CE0" w:rsidP="08212259">
      <w:pPr>
        <w:ind w:firstLine="397"/>
      </w:pPr>
      <w:r>
        <w:lastRenderedPageBreak/>
        <w:t>K</w:t>
      </w:r>
      <w:r w:rsidR="08163013" w:rsidRPr="00273106">
        <w:t>apitalismu</w:t>
      </w:r>
      <w:r>
        <w:t xml:space="preserve">s převzal Oliviho ekonomické pojetí vůle a spojil tento kapitalistický habitus s protestantskou </w:t>
      </w:r>
      <w:r w:rsidR="08163013" w:rsidRPr="00273106">
        <w:rPr>
          <w:i/>
        </w:rPr>
        <w:t>certitudo</w:t>
      </w:r>
      <w:r>
        <w:rPr>
          <w:i/>
        </w:rPr>
        <w:t xml:space="preserve"> salutis</w:t>
      </w:r>
      <w:r w:rsidR="08163013" w:rsidRPr="00273106">
        <w:t xml:space="preserve">. </w:t>
      </w:r>
      <w:r>
        <w:t xml:space="preserve">Akumulace jistoty jako náboženského kapitálu má tři stupně. </w:t>
      </w:r>
      <w:r w:rsidR="08163013">
        <w:t xml:space="preserve">První patro vůle tvoří intimita a ipseita daná v aktu božího </w:t>
      </w:r>
      <w:r w:rsidR="08163013" w:rsidRPr="082422FC">
        <w:rPr>
          <w:i/>
        </w:rPr>
        <w:t>electio</w:t>
      </w:r>
      <w:r w:rsidR="08163013">
        <w:t>, která přešla do Lutherovy</w:t>
      </w:r>
      <w:r w:rsidR="08163013" w:rsidRPr="00273106">
        <w:t xml:space="preserve"> </w:t>
      </w:r>
      <w:r w:rsidR="08163013" w:rsidRPr="00273106">
        <w:rPr>
          <w:i/>
        </w:rPr>
        <w:t>ipsa fide</w:t>
      </w:r>
      <w:r w:rsidR="08163013">
        <w:rPr>
          <w:i/>
        </w:rPr>
        <w:fldChar w:fldCharType="begin"/>
      </w:r>
      <w:r w:rsidR="08163013">
        <w:instrText xml:space="preserve"> XE "osoba:</w:instrText>
      </w:r>
      <w:r w:rsidR="08163013" w:rsidRPr="006236FD">
        <w:rPr>
          <w:i/>
        </w:rPr>
        <w:instrText>ipsa fide</w:instrText>
      </w:r>
      <w:r w:rsidR="08163013">
        <w:instrText xml:space="preserve">" </w:instrText>
      </w:r>
      <w:r w:rsidR="08163013">
        <w:rPr>
          <w:i/>
        </w:rPr>
        <w:fldChar w:fldCharType="end"/>
      </w:r>
      <w:r w:rsidR="08163013">
        <w:t xml:space="preserve">. Druhé patro tvoří </w:t>
      </w:r>
      <w:r w:rsidR="08163013" w:rsidRPr="00273106">
        <w:rPr>
          <w:i/>
        </w:rPr>
        <w:t>aspectus</w:t>
      </w:r>
      <w:r w:rsidR="08163013" w:rsidRPr="00273106">
        <w:t xml:space="preserve"> </w:t>
      </w:r>
      <w:r w:rsidR="08163013">
        <w:t xml:space="preserve">této vykoupené vůle, která je </w:t>
      </w:r>
      <w:r w:rsidR="08345BD6">
        <w:t xml:space="preserve">sama sobě </w:t>
      </w:r>
      <w:r w:rsidR="08163013">
        <w:t xml:space="preserve">odcizena hříchem </w:t>
      </w:r>
      <w:r w:rsidR="08345BD6">
        <w:t xml:space="preserve">a ztracena </w:t>
      </w:r>
      <w:r w:rsidR="08163013">
        <w:t xml:space="preserve">ve vnějším světě. Spásu nabízí </w:t>
      </w:r>
      <w:r w:rsidR="08163013" w:rsidRPr="00273106">
        <w:t xml:space="preserve">Lutherovo </w:t>
      </w:r>
      <w:r w:rsidR="08163013" w:rsidRPr="00273106">
        <w:rPr>
          <w:i/>
        </w:rPr>
        <w:t>Rechtfertigung</w:t>
      </w:r>
      <w:r w:rsidR="08163013" w:rsidRPr="00273106">
        <w:t xml:space="preserve"> </w:t>
      </w:r>
      <w:r w:rsidR="08163013">
        <w:fldChar w:fldCharType="begin"/>
      </w:r>
      <w:r w:rsidR="08163013">
        <w:instrText xml:space="preserve"> XE "</w:instrText>
      </w:r>
      <w:r w:rsidR="08163013" w:rsidRPr="00531520">
        <w:instrText>ospravedlnění</w:instrText>
      </w:r>
      <w:r w:rsidR="08163013">
        <w:instrText xml:space="preserve">" </w:instrText>
      </w:r>
      <w:r w:rsidR="08163013">
        <w:fldChar w:fldCharType="end"/>
      </w:r>
      <w:r w:rsidR="08163013">
        <w:t xml:space="preserve">dané </w:t>
      </w:r>
      <w:r w:rsidR="08163013" w:rsidRPr="00273106">
        <w:t>jako existenciální obrat vykoupeného hříšníka</w:t>
      </w:r>
      <w:r w:rsidR="08163013">
        <w:t xml:space="preserve">. Třetí rovina </w:t>
      </w:r>
      <w:r w:rsidR="08163013" w:rsidRPr="000A6EA1">
        <w:rPr>
          <w:i/>
        </w:rPr>
        <w:t>certitudo</w:t>
      </w:r>
      <w:r w:rsidR="08163013">
        <w:rPr>
          <w:i/>
        </w:rPr>
        <w:fldChar w:fldCharType="begin"/>
      </w:r>
      <w:r w:rsidR="08163013">
        <w:instrText xml:space="preserve"> XE "pravda:</w:instrText>
      </w:r>
      <w:r w:rsidR="08163013" w:rsidRPr="00A71ABA">
        <w:rPr>
          <w:i/>
        </w:rPr>
        <w:instrText>certitudo</w:instrText>
      </w:r>
      <w:r w:rsidR="08163013">
        <w:instrText xml:space="preserve">" </w:instrText>
      </w:r>
      <w:r w:rsidR="08163013">
        <w:rPr>
          <w:i/>
        </w:rPr>
        <w:fldChar w:fldCharType="end"/>
      </w:r>
      <w:r w:rsidR="08163013">
        <w:t xml:space="preserve"> pak nutí hříšníka, aby eticky akumuloval kapitál nutný k potvrzení jistoty spásy v epoše moderního kapitalismu. </w:t>
      </w:r>
      <w:r w:rsidR="08A37AF1">
        <w:t>Tím je odstraněno původní odcizení mezi bohem, člověkem a světem. Akumulace spásy a kapitálu spojuje pravdu</w:t>
      </w:r>
      <w:r w:rsidR="08163013">
        <w:t xml:space="preserve"> </w:t>
      </w:r>
      <w:r w:rsidR="083F21A7">
        <w:t xml:space="preserve">produkovanou </w:t>
      </w:r>
      <w:r w:rsidR="08163013">
        <w:t xml:space="preserve">v modu božího ospravedlnění s jistotou spásy produkovanou v modu </w:t>
      </w:r>
      <w:r w:rsidR="083F21A7">
        <w:t xml:space="preserve">lidské </w:t>
      </w:r>
      <w:r w:rsidR="08163013">
        <w:t xml:space="preserve">demiurgické aktivity. </w:t>
      </w:r>
      <w:r w:rsidR="0872272B" w:rsidRPr="003F26F8">
        <w:rPr>
          <w:szCs w:val="24"/>
        </w:rPr>
        <w:t xml:space="preserve">Oba způsoby produkce mají demiurgicky-analogický charakter. </w:t>
      </w:r>
      <w:r w:rsidR="08163013">
        <w:t xml:space="preserve">Obojí moderní forma pravdy je dána aktem svobodné vůle, jejíž </w:t>
      </w:r>
      <w:r w:rsidR="08163013" w:rsidRPr="004C54F8">
        <w:rPr>
          <w:i/>
        </w:rPr>
        <w:t>potentia substantialis</w:t>
      </w:r>
      <w:r w:rsidR="08163013">
        <w:rPr>
          <w:i/>
        </w:rPr>
        <w:fldChar w:fldCharType="begin"/>
      </w:r>
      <w:r w:rsidR="08163013">
        <w:instrText xml:space="preserve"> XE "vůle:</w:instrText>
      </w:r>
      <w:r w:rsidR="08163013" w:rsidRPr="009B663C">
        <w:rPr>
          <w:i/>
        </w:rPr>
        <w:instrText>potentia substantialis</w:instrText>
      </w:r>
      <w:r w:rsidR="08163013">
        <w:instrText xml:space="preserve">" </w:instrText>
      </w:r>
      <w:r w:rsidR="08163013">
        <w:rPr>
          <w:i/>
        </w:rPr>
        <w:fldChar w:fldCharType="end"/>
      </w:r>
      <w:r w:rsidR="08163013">
        <w:t xml:space="preserve"> tvoří dějinného nositele čili </w:t>
      </w:r>
      <w:r w:rsidR="08810057">
        <w:t xml:space="preserve">dvojí </w:t>
      </w:r>
      <w:r w:rsidR="08163013" w:rsidRPr="08A00F26">
        <w:rPr>
          <w:i/>
        </w:rPr>
        <w:t>subiectum</w:t>
      </w:r>
      <w:r w:rsidR="08163013">
        <w:t xml:space="preserve"> kapitalismu</w:t>
      </w:r>
      <w:r w:rsidR="08163013">
        <w:fldChar w:fldCharType="begin"/>
      </w:r>
      <w:r w:rsidR="08163013">
        <w:instrText xml:space="preserve"> XE "</w:instrText>
      </w:r>
      <w:r w:rsidR="08163013" w:rsidRPr="004C54F8">
        <w:rPr>
          <w:i/>
        </w:rPr>
        <w:instrText>subiectum</w:instrText>
      </w:r>
      <w:r w:rsidR="08163013">
        <w:instrText>:</w:instrText>
      </w:r>
      <w:r w:rsidR="08163013" w:rsidRPr="00FE0109">
        <w:instrText>kapitalismu</w:instrText>
      </w:r>
      <w:r w:rsidR="08163013">
        <w:instrText xml:space="preserve">s" </w:instrText>
      </w:r>
      <w:r w:rsidR="08163013">
        <w:fldChar w:fldCharType="end"/>
      </w:r>
      <w:r w:rsidR="08163013">
        <w:t xml:space="preserve">. </w:t>
      </w:r>
      <w:r w:rsidR="08B0314A">
        <w:t xml:space="preserve">Tato nová epocha </w:t>
      </w:r>
      <w:r w:rsidR="08163013">
        <w:t>je dána v modu objektivního dativu (</w:t>
      </w:r>
      <w:r w:rsidR="08163013" w:rsidRPr="001D4A03">
        <w:rPr>
          <w:i/>
        </w:rPr>
        <w:t>dativus obiectivus</w:t>
      </w:r>
      <w:r w:rsidR="08163013">
        <w:rPr>
          <w:i/>
        </w:rPr>
        <w:fldChar w:fldCharType="begin"/>
      </w:r>
      <w:r w:rsidR="08163013">
        <w:instrText xml:space="preserve"> XE "</w:instrText>
      </w:r>
      <w:r w:rsidR="08163013" w:rsidRPr="00B8042D">
        <w:rPr>
          <w:i/>
        </w:rPr>
        <w:instrText>dativus obiectivus</w:instrText>
      </w:r>
      <w:r w:rsidR="08163013">
        <w:instrText xml:space="preserve">" </w:instrText>
      </w:r>
      <w:r w:rsidR="08163013">
        <w:rPr>
          <w:i/>
        </w:rPr>
        <w:fldChar w:fldCharType="end"/>
      </w:r>
      <w:r w:rsidR="08163013">
        <w:t>), který je vázaný skrze intimitu oddělené vůle na epochálně novou formu demiurga. Kapitalismus spojil do jednoho celku</w:t>
      </w:r>
      <w:r w:rsidR="082263D6">
        <w:t>:</w:t>
      </w:r>
      <w:r w:rsidR="08163013">
        <w:t xml:space="preserve"> svobodný subjekt</w:t>
      </w:r>
      <w:r w:rsidR="082263D6">
        <w:t>;</w:t>
      </w:r>
      <w:r w:rsidR="08463940">
        <w:t xml:space="preserve"> boží produkci</w:t>
      </w:r>
      <w:r w:rsidR="08B0314A">
        <w:t xml:space="preserve"> </w:t>
      </w:r>
      <w:r w:rsidR="08463940">
        <w:t>sp</w:t>
      </w:r>
      <w:r w:rsidR="08B0314A">
        <w:t>ásy</w:t>
      </w:r>
      <w:r w:rsidR="082263D6">
        <w:t>;</w:t>
      </w:r>
      <w:r w:rsidR="08B0314A">
        <w:t xml:space="preserve"> </w:t>
      </w:r>
      <w:r w:rsidR="08463940">
        <w:t xml:space="preserve">produkci </w:t>
      </w:r>
      <w:r w:rsidR="08B0314A">
        <w:t>kapitálu jako potvrzení spásy</w:t>
      </w:r>
      <w:r w:rsidR="08163013">
        <w:t>. Ekonomický systém</w:t>
      </w:r>
      <w:r w:rsidR="08163013" w:rsidRPr="00153720">
        <w:t xml:space="preserve"> </w:t>
      </w:r>
      <w:r w:rsidR="08163013">
        <w:t xml:space="preserve">v modu </w:t>
      </w:r>
      <w:r w:rsidR="08163013" w:rsidRPr="00153720">
        <w:rPr>
          <w:i/>
        </w:rPr>
        <w:t>similitudo</w:t>
      </w:r>
      <w:r w:rsidR="08163013">
        <w:t xml:space="preserve"> reprezentuje kapitalistický celek jsoucna daného jako produkt svobodné vůle</w:t>
      </w:r>
      <w:r w:rsidR="082263D6">
        <w:t xml:space="preserve"> dvojího tvůrce</w:t>
      </w:r>
      <w:r w:rsidR="08463940">
        <w:t xml:space="preserve">. Kapitalistický </w:t>
      </w:r>
      <w:r w:rsidR="082263D6" w:rsidRPr="082263D6">
        <w:rPr>
          <w:i/>
        </w:rPr>
        <w:t>Weltanschauung</w:t>
      </w:r>
      <w:r w:rsidR="082263D6">
        <w:t xml:space="preserve"> vidí svět </w:t>
      </w:r>
      <w:r w:rsidR="08463940">
        <w:t>jako demiurgický aspekt vykupitelské vůle</w:t>
      </w:r>
      <w:r w:rsidR="082263D6">
        <w:t>, která je obrácena</w:t>
      </w:r>
      <w:r w:rsidR="08463940">
        <w:t xml:space="preserve"> </w:t>
      </w:r>
      <w:r w:rsidR="08163013">
        <w:t xml:space="preserve">do světa. Nová forma </w:t>
      </w:r>
      <w:r w:rsidR="082E0EA9">
        <w:t xml:space="preserve">Oliviho </w:t>
      </w:r>
      <w:r w:rsidR="08163013" w:rsidRPr="00912AED">
        <w:rPr>
          <w:i/>
        </w:rPr>
        <w:t>realis distinctio</w:t>
      </w:r>
      <w:r w:rsidR="08163013">
        <w:t xml:space="preserve"> je dána</w:t>
      </w:r>
      <w:r w:rsidR="082E0EA9">
        <w:t xml:space="preserve"> na úrovni demiurgické produkce. Vlastnění</w:t>
      </w:r>
      <w:r w:rsidR="08163013">
        <w:t xml:space="preserve"> kapitálu </w:t>
      </w:r>
      <w:r w:rsidR="082E0EA9">
        <w:t xml:space="preserve">stojí </w:t>
      </w:r>
      <w:r w:rsidR="08163013">
        <w:t>proti jeho námezdné produkci dané skrze tělo. Tento pohyb ekonomické diference dané skrze třídění nového jsoucna třetího druhu (</w:t>
      </w:r>
      <w:r w:rsidR="00962190">
        <w:rPr>
          <w:i/>
        </w:rPr>
        <w:t>species</w:t>
      </w:r>
      <w:r w:rsidR="08163013" w:rsidRPr="00D56DDD">
        <w:rPr>
          <w:i/>
        </w:rPr>
        <w:t xml:space="preserve"> specialissima</w:t>
      </w:r>
      <w:r w:rsidR="08163013">
        <w:t xml:space="preserve"> kapitalismu) běží v modu Porfyriova stromu</w:t>
      </w:r>
      <w:r w:rsidR="00FE2FEF">
        <w:t xml:space="preserve"> of moderního boha </w:t>
      </w:r>
      <w:r w:rsidR="08163013">
        <w:t>až poslednímu individuu</w:t>
      </w:r>
      <w:r w:rsidR="08163013">
        <w:fldChar w:fldCharType="begin"/>
      </w:r>
      <w:r w:rsidR="08163013">
        <w:instrText xml:space="preserve"> XE "</w:instrText>
      </w:r>
      <w:r w:rsidR="08163013" w:rsidRPr="00A53FCE">
        <w:instrText>substance:individuum</w:instrText>
      </w:r>
      <w:r w:rsidR="08163013">
        <w:instrText xml:space="preserve">" </w:instrText>
      </w:r>
      <w:r w:rsidR="08163013">
        <w:fldChar w:fldCharType="end"/>
      </w:r>
      <w:r w:rsidR="08163013">
        <w:t xml:space="preserve"> dnes globálně určeného tímto dvojím aspektem vykupující sekulární vůle. První vůle má hypostatickou unii těla a banky jako zdroj reprodukovaného kapitálu. Druhá vůle má pouze hypostatickou unii vůle a těla ja</w:t>
      </w:r>
      <w:r w:rsidR="00711B9D">
        <w:t>ko zdroj produkované bídy</w:t>
      </w:r>
      <w:r w:rsidR="08163013">
        <w:t xml:space="preserve">. Díky nové reálné distinkci vznikl objektivní pohyb kapitálu jako nového druhu </w:t>
      </w:r>
      <w:r w:rsidR="082E0EA9">
        <w:t xml:space="preserve">globálního </w:t>
      </w:r>
      <w:r w:rsidR="08163013" w:rsidRPr="00D56DDD">
        <w:rPr>
          <w:i/>
        </w:rPr>
        <w:t>scibile</w:t>
      </w:r>
      <w:r w:rsidR="08163013">
        <w:t>. Pohyb kapitálu zakládá významy jsoucna</w:t>
      </w:r>
      <w:r w:rsidR="08163013" w:rsidRPr="08C26A6B">
        <w:t xml:space="preserve"> </w:t>
      </w:r>
      <w:r w:rsidR="08163013">
        <w:t xml:space="preserve">v jeho kapitalistickém aspektu daném jako sekulární spása. Pohybem kapitálu vzniká jeho demiurgický </w:t>
      </w:r>
      <w:r w:rsidR="08163013" w:rsidRPr="00CA4B23">
        <w:rPr>
          <w:i/>
        </w:rPr>
        <w:t>aspectus</w:t>
      </w:r>
      <w:r w:rsidR="08163013">
        <w:rPr>
          <w:i/>
        </w:rPr>
        <w:fldChar w:fldCharType="begin"/>
      </w:r>
      <w:r w:rsidR="08163013">
        <w:instrText xml:space="preserve"> XE "vůle:</w:instrText>
      </w:r>
      <w:r w:rsidR="08163013" w:rsidRPr="00EA0712">
        <w:rPr>
          <w:i/>
        </w:rPr>
        <w:instrText>aspectus</w:instrText>
      </w:r>
      <w:r w:rsidR="08163013">
        <w:instrText xml:space="preserve">" </w:instrText>
      </w:r>
      <w:r w:rsidR="08163013">
        <w:rPr>
          <w:i/>
        </w:rPr>
        <w:fldChar w:fldCharType="end"/>
      </w:r>
      <w:r w:rsidR="08163013">
        <w:t xml:space="preserve">, tedy svět </w:t>
      </w:r>
      <w:r w:rsidR="08A92B60">
        <w:t xml:space="preserve">jako zboží </w:t>
      </w:r>
      <w:r w:rsidR="08163013">
        <w:t>a objektivní hodnoty vytvořené svobodnou vůlí různých ekonomických aktérů</w:t>
      </w:r>
      <w:r w:rsidR="08163013">
        <w:fldChar w:fldCharType="begin"/>
      </w:r>
      <w:r w:rsidR="08163013">
        <w:instrText xml:space="preserve"> XE "</w:instrText>
      </w:r>
      <w:r w:rsidR="08163013" w:rsidRPr="00D53FBB">
        <w:instrText>kapitál</w:instrText>
      </w:r>
      <w:r w:rsidR="08163013">
        <w:instrText xml:space="preserve">" </w:instrText>
      </w:r>
      <w:r w:rsidR="08163013">
        <w:fldChar w:fldCharType="end"/>
      </w:r>
      <w:r w:rsidR="08CD4A0F">
        <w:t xml:space="preserve">. Olivi položil základ moderní </w:t>
      </w:r>
      <w:r w:rsidR="08163013" w:rsidRPr="00273106">
        <w:t>vůle</w:t>
      </w:r>
      <w:r w:rsidR="08CD4A0F">
        <w:t>, která určuje</w:t>
      </w:r>
      <w:r w:rsidR="08163013" w:rsidRPr="00273106">
        <w:t xml:space="preserve"> </w:t>
      </w:r>
      <w:r w:rsidR="08163013">
        <w:lastRenderedPageBreak/>
        <w:t xml:space="preserve">základní dějinný </w:t>
      </w:r>
      <w:r w:rsidR="08163013" w:rsidRPr="082779CF">
        <w:rPr>
          <w:i/>
        </w:rPr>
        <w:t>aspectus</w:t>
      </w:r>
      <w:r w:rsidR="08163013">
        <w:t xml:space="preserve"> protestantského </w:t>
      </w:r>
      <w:r w:rsidR="08163013" w:rsidRPr="00273106">
        <w:t>novověku</w:t>
      </w:r>
      <w:r w:rsidR="08163013">
        <w:t xml:space="preserve"> a kapitalismu. Triáda</w:t>
      </w:r>
      <w:r w:rsidR="08163013">
        <w:fldChar w:fldCharType="begin"/>
      </w:r>
      <w:r w:rsidR="08163013">
        <w:instrText xml:space="preserve"> XE "</w:instrText>
      </w:r>
      <w:r w:rsidR="08163013" w:rsidRPr="008F223F">
        <w:instrText>hermeneutická triáda</w:instrText>
      </w:r>
      <w:r w:rsidR="08163013">
        <w:instrText xml:space="preserve">" </w:instrText>
      </w:r>
      <w:r w:rsidR="08163013">
        <w:fldChar w:fldCharType="end"/>
      </w:r>
      <w:r w:rsidR="08163013">
        <w:t xml:space="preserve"> intimní víry, existenciálního ospravedlnění a ekonomického zajištění určuje základní hermeneutické „jak“ (</w:t>
      </w:r>
      <w:r w:rsidR="08163013" w:rsidRPr="00CB0419">
        <w:rPr>
          <w:i/>
        </w:rPr>
        <w:t>Wie</w:t>
      </w:r>
      <w:r w:rsidR="08163013">
        <w:t xml:space="preserve">) intimní vůle dává v modu pravdy jako Rufusova </w:t>
      </w:r>
      <w:r w:rsidR="08163013" w:rsidRPr="08A00F26">
        <w:rPr>
          <w:i/>
        </w:rPr>
        <w:t>coaequatio</w:t>
      </w:r>
      <w:r w:rsidR="08163013">
        <w:t xml:space="preserve"> původní </w:t>
      </w:r>
      <w:r w:rsidR="08163013" w:rsidRPr="00CB0419">
        <w:rPr>
          <w:i/>
        </w:rPr>
        <w:t>Lichtung</w:t>
      </w:r>
      <w:r w:rsidR="08163013">
        <w:rPr>
          <w:i/>
        </w:rPr>
        <w:fldChar w:fldCharType="begin"/>
      </w:r>
      <w:r w:rsidR="08163013">
        <w:instrText xml:space="preserve"> XE "</w:instrText>
      </w:r>
      <w:r w:rsidR="08163013" w:rsidRPr="005969B8">
        <w:rPr>
          <w:i/>
        </w:rPr>
        <w:instrText>Lichtung</w:instrText>
      </w:r>
      <w:r w:rsidR="08163013">
        <w:instrText xml:space="preserve">:kapitalismus" </w:instrText>
      </w:r>
      <w:r w:rsidR="08163013">
        <w:rPr>
          <w:i/>
        </w:rPr>
        <w:fldChar w:fldCharType="end"/>
      </w:r>
      <w:r w:rsidR="08163013">
        <w:t xml:space="preserve"> kapitalismu. </w:t>
      </w:r>
      <w:r w:rsidR="08212259">
        <w:t>Tento nový náhled na svět založil</w:t>
      </w:r>
      <w:r w:rsidR="00207237">
        <w:t xml:space="preserve">i radikálně chudí františkánští </w:t>
      </w:r>
      <w:r w:rsidR="00207237">
        <w:rPr>
          <w:i/>
        </w:rPr>
        <w:t>spirituales</w:t>
      </w:r>
      <w:r w:rsidR="00207237">
        <w:t>, kteří</w:t>
      </w:r>
      <w:r w:rsidR="08212259">
        <w:t xml:space="preserve"> </w:t>
      </w:r>
      <w:r w:rsidR="00207237">
        <w:t xml:space="preserve">chápali </w:t>
      </w:r>
      <w:r w:rsidR="08212259">
        <w:t xml:space="preserve">boží chudobu jako základní aspekt světa. </w:t>
      </w:r>
      <w:r w:rsidR="00786941" w:rsidRPr="004F38A2">
        <w:rPr>
          <w:i/>
        </w:rPr>
        <w:t>Corruptio optimi pessima.</w:t>
      </w:r>
      <w:r w:rsidR="00786941">
        <w:rPr>
          <w:i/>
        </w:rPr>
        <w:t xml:space="preserve"> </w:t>
      </w:r>
      <w:r w:rsidR="08163013">
        <w:t xml:space="preserve">Kontingentní rozhodování v rámci </w:t>
      </w:r>
      <w:r w:rsidR="08163013" w:rsidRPr="004C54F8">
        <w:rPr>
          <w:i/>
        </w:rPr>
        <w:t xml:space="preserve">potentia </w:t>
      </w:r>
      <w:r w:rsidR="08163013">
        <w:rPr>
          <w:i/>
        </w:rPr>
        <w:t>accidentalis</w:t>
      </w:r>
      <w:r w:rsidR="08163013">
        <w:rPr>
          <w:i/>
        </w:rPr>
        <w:fldChar w:fldCharType="begin"/>
      </w:r>
      <w:r w:rsidR="08163013">
        <w:instrText xml:space="preserve"> XE "vůle:</w:instrText>
      </w:r>
      <w:r w:rsidR="08163013" w:rsidRPr="006028D4">
        <w:rPr>
          <w:i/>
        </w:rPr>
        <w:instrText xml:space="preserve">potentia </w:instrText>
      </w:r>
      <w:r w:rsidR="08163013">
        <w:rPr>
          <w:i/>
        </w:rPr>
        <w:instrText>accidentalis</w:instrText>
      </w:r>
      <w:r w:rsidR="08163013">
        <w:instrText xml:space="preserve">" </w:instrText>
      </w:r>
      <w:r w:rsidR="08163013">
        <w:rPr>
          <w:i/>
        </w:rPr>
        <w:fldChar w:fldCharType="end"/>
      </w:r>
      <w:r w:rsidR="08163013">
        <w:t xml:space="preserve"> jde ve formě toho či onoho demiurgického </w:t>
      </w:r>
      <w:r w:rsidR="08163013" w:rsidRPr="00AC1547">
        <w:rPr>
          <w:i/>
        </w:rPr>
        <w:t>electio</w:t>
      </w:r>
      <w:r w:rsidR="08163013">
        <w:t xml:space="preserve"> jak k bohu, tak k dobytí světa, který se esenciálně manifestuje jako pouhá jevová forma kapitálu. A kairos k dobývání světa je vždy znovu a znovu nabízen v kontraktu nové </w:t>
      </w:r>
      <w:r w:rsidR="08474052">
        <w:t xml:space="preserve">a nyní již zcela kapitalizovaného </w:t>
      </w:r>
      <w:r w:rsidR="08474052" w:rsidRPr="08474052">
        <w:rPr>
          <w:i/>
        </w:rPr>
        <w:t>Novum Testamentum</w:t>
      </w:r>
      <w:r w:rsidR="08163013">
        <w:t xml:space="preserve">. Mysticky ospravedlněný kapitál funguje na způsob substance třetího druhu a vytváří objektivní </w:t>
      </w:r>
      <w:r w:rsidR="08163013" w:rsidRPr="001D563C">
        <w:rPr>
          <w:i/>
        </w:rPr>
        <w:t>scibile</w:t>
      </w:r>
      <w:r w:rsidR="08163013">
        <w:t xml:space="preserve"> </w:t>
      </w:r>
      <w:r w:rsidR="08163013">
        <w:rPr>
          <w:i/>
        </w:rPr>
        <w:fldChar w:fldCharType="begin"/>
      </w:r>
      <w:r w:rsidR="08163013">
        <w:instrText xml:space="preserve"> XE "</w:instrText>
      </w:r>
      <w:r w:rsidR="08163013" w:rsidRPr="008C0607">
        <w:rPr>
          <w:i/>
        </w:rPr>
        <w:instrText>scibile</w:instrText>
      </w:r>
      <w:r w:rsidR="08163013">
        <w:rPr>
          <w:i/>
        </w:rPr>
        <w:instrText>:</w:instrText>
      </w:r>
      <w:r w:rsidR="08163013" w:rsidRPr="004206A0">
        <w:instrText>kapitalismus</w:instrText>
      </w:r>
      <w:r w:rsidR="08163013">
        <w:instrText xml:space="preserve">" </w:instrText>
      </w:r>
      <w:r w:rsidR="08163013">
        <w:rPr>
          <w:i/>
        </w:rPr>
        <w:fldChar w:fldCharType="end"/>
      </w:r>
      <w:r w:rsidR="08163013">
        <w:t>nové epochy.</w:t>
      </w:r>
      <w:r w:rsidR="08163013" w:rsidRPr="00FF2835">
        <w:t xml:space="preserve"> </w:t>
      </w:r>
      <w:r w:rsidR="08163013">
        <w:t xml:space="preserve">Všechno lze kapitalizovat v příhodném čase, protože díky subjektivnímu aspektu demiurgické vůle vznikl nový vykupující </w:t>
      </w:r>
      <w:r w:rsidR="00A2378E">
        <w:t>náhled na jsoucno.</w:t>
      </w:r>
    </w:p>
    <w:p w:rsidR="00541BDB" w:rsidRDefault="08163013" w:rsidP="08212259">
      <w:pPr>
        <w:ind w:firstLine="397"/>
      </w:pPr>
      <w:r>
        <w:t>Regulovaná triáda</w:t>
      </w:r>
      <w:r>
        <w:fldChar w:fldCharType="begin"/>
      </w:r>
      <w:r>
        <w:instrText xml:space="preserve"> XE "</w:instrText>
      </w:r>
      <w:r w:rsidRPr="008F223F">
        <w:instrText>hermeneutická triáda</w:instrText>
      </w:r>
      <w:r>
        <w:instrText xml:space="preserve">" </w:instrText>
      </w:r>
      <w:r>
        <w:fldChar w:fldCharType="end"/>
      </w:r>
      <w:r>
        <w:t xml:space="preserve"> </w:t>
      </w:r>
      <w:r w:rsidR="007C77A6">
        <w:t xml:space="preserve">intimní </w:t>
      </w:r>
      <w:r>
        <w:t xml:space="preserve">víry, </w:t>
      </w:r>
      <w:r w:rsidR="007C77A6">
        <w:t xml:space="preserve">existenciálního </w:t>
      </w:r>
      <w:r>
        <w:t xml:space="preserve">ospravedlnění a </w:t>
      </w:r>
      <w:r w:rsidR="007C77A6">
        <w:t xml:space="preserve">kapitalistické jistoty </w:t>
      </w:r>
      <w:r>
        <w:t xml:space="preserve">skrze akumulaci kapitálu vytváří kompletní metafyzické </w:t>
      </w:r>
      <w:r w:rsidRPr="004D46D3">
        <w:rPr>
          <w:i/>
        </w:rPr>
        <w:t>resolutio</w:t>
      </w:r>
      <w:r>
        <w:rPr>
          <w:i/>
        </w:rPr>
        <w:fldChar w:fldCharType="begin"/>
      </w:r>
      <w:r>
        <w:instrText xml:space="preserve"> XE "</w:instrText>
      </w:r>
      <w:r w:rsidRPr="00111E9E">
        <w:rPr>
          <w:i/>
        </w:rPr>
        <w:instrText>resolutio</w:instrText>
      </w:r>
      <w:r>
        <w:rPr>
          <w:i/>
        </w:rPr>
        <w:instrText>:</w:instrText>
      </w:r>
      <w:r w:rsidRPr="007D3515">
        <w:instrText>Olivi</w:instrText>
      </w:r>
      <w:r>
        <w:instrText xml:space="preserve">" </w:instrText>
      </w:r>
      <w:r>
        <w:rPr>
          <w:i/>
        </w:rPr>
        <w:fldChar w:fldCharType="end"/>
      </w:r>
      <w:r>
        <w:t xml:space="preserve"> kapitalistického systému. </w:t>
      </w:r>
      <w:r w:rsidR="081A23DA">
        <w:t xml:space="preserve">Dedukce </w:t>
      </w:r>
      <w:r>
        <w:t xml:space="preserve">kapitalismu na jeho základní prvky je dána skrze racionalitu, jejíž </w:t>
      </w:r>
      <w:r w:rsidRPr="080028DF">
        <w:rPr>
          <w:i/>
        </w:rPr>
        <w:t>ratio</w:t>
      </w:r>
      <w:r>
        <w:t xml:space="preserve"> tvoří tři aspekty vůle dané </w:t>
      </w:r>
      <w:r w:rsidR="081A23DA">
        <w:t>v analogickém modu pravdivosti: 1) b</w:t>
      </w:r>
      <w:r>
        <w:t xml:space="preserve">oží demiurg a dárce ospravedlnění v modu </w:t>
      </w:r>
      <w:r w:rsidRPr="088161E0">
        <w:rPr>
          <w:i/>
        </w:rPr>
        <w:t>summa veritas</w:t>
      </w:r>
      <w:r w:rsidR="081A23DA">
        <w:t xml:space="preserve">; 2) </w:t>
      </w:r>
      <w:r>
        <w:t xml:space="preserve">lidský receptor smlouvy skrze víru v  </w:t>
      </w:r>
      <w:r w:rsidRPr="088161E0">
        <w:rPr>
          <w:i/>
        </w:rPr>
        <w:t>rectitudo</w:t>
      </w:r>
      <w:r>
        <w:t xml:space="preserve"> boží ospravedlňující vůle</w:t>
      </w:r>
      <w:r w:rsidR="081A23DA">
        <w:t xml:space="preserve">; 3) </w:t>
      </w:r>
      <w:r>
        <w:t xml:space="preserve">demiurgický potvrzovatel v modu </w:t>
      </w:r>
      <w:r w:rsidRPr="088161E0">
        <w:rPr>
          <w:i/>
        </w:rPr>
        <w:t>certitudo</w:t>
      </w:r>
      <w:r>
        <w:rPr>
          <w:i/>
        </w:rPr>
        <w:t xml:space="preserve"> </w:t>
      </w:r>
      <w:r w:rsidRPr="088161E0">
        <w:t xml:space="preserve">daném </w:t>
      </w:r>
      <w:r>
        <w:t xml:space="preserve">skrze akumulaci kapitálu jako </w:t>
      </w:r>
      <w:r w:rsidRPr="08122FF9">
        <w:rPr>
          <w:i/>
        </w:rPr>
        <w:t>scibile</w:t>
      </w:r>
      <w:r>
        <w:t xml:space="preserve"> </w:t>
      </w:r>
      <w:r w:rsidRPr="088161E0">
        <w:t>nové epochy.</w:t>
      </w:r>
      <w:r>
        <w:t xml:space="preserve"> Po smrti moderního boha funguje Oliviho základní imperativ analogické podobnosti dvou podob demiurgické vůle pro přirozenou a nadpřirozenou akumulaci spásonosného kapitálu už jen antropocentricky. Olivi založil nový epochální </w:t>
      </w:r>
      <w:r w:rsidRPr="00CB0419">
        <w:rPr>
          <w:i/>
        </w:rPr>
        <w:t>Ereignis</w:t>
      </w:r>
      <w:r>
        <w:rPr>
          <w:i/>
        </w:rPr>
        <w:fldChar w:fldCharType="begin"/>
      </w:r>
      <w:r>
        <w:instrText xml:space="preserve"> XE "</w:instrText>
      </w:r>
      <w:r w:rsidRPr="00120BB2">
        <w:rPr>
          <w:i/>
        </w:rPr>
        <w:instrText>Ereignis</w:instrText>
      </w:r>
      <w:r>
        <w:instrText xml:space="preserve">" </w:instrText>
      </w:r>
      <w:r>
        <w:rPr>
          <w:i/>
        </w:rPr>
        <w:fldChar w:fldCharType="end"/>
      </w:r>
      <w:r>
        <w:t xml:space="preserve"> ekonomicky činné vůle. </w:t>
      </w:r>
      <w:r w:rsidR="00CB5CB4">
        <w:t>D</w:t>
      </w:r>
      <w:r>
        <w:t xml:space="preserve">říve lichvářský úrok byl připuštěn do objektivního teologického salónu moderního křesťanství. Sekularizovaný Bonaventurův </w:t>
      </w:r>
      <w:r w:rsidRPr="00F0582D">
        <w:rPr>
          <w:i/>
        </w:rPr>
        <w:t>appetitus</w:t>
      </w:r>
      <w:r>
        <w:rPr>
          <w:i/>
        </w:rPr>
        <w:fldChar w:fldCharType="begin"/>
      </w:r>
      <w:r>
        <w:instrText xml:space="preserve"> XE "</w:instrText>
      </w:r>
      <w:r w:rsidRPr="007E6333">
        <w:rPr>
          <w:i/>
        </w:rPr>
        <w:instrText>appetitus</w:instrText>
      </w:r>
      <w:r>
        <w:instrText xml:space="preserve">" </w:instrText>
      </w:r>
      <w:r>
        <w:rPr>
          <w:i/>
        </w:rPr>
        <w:fldChar w:fldCharType="end"/>
      </w:r>
      <w:r>
        <w:t xml:space="preserve"> nové epochy si vykoupení a příslušnou blaženost zařizuje sám, skrze formu nekonečné asimilace a kapitalizace jsoucna třetího druhu. Tento </w:t>
      </w:r>
      <w:r w:rsidR="081E5F3C">
        <w:t xml:space="preserve">objektivní </w:t>
      </w:r>
      <w:r w:rsidRPr="004E2171">
        <w:rPr>
          <w:i/>
        </w:rPr>
        <w:t>appetitus</w:t>
      </w:r>
      <w:r>
        <w:t xml:space="preserve"> utváří dnešní formu demiurgické regule a vůle. Kapitál překlenuje v modu analogické podobnosti (</w:t>
      </w:r>
      <w:r w:rsidRPr="00AC245F">
        <w:rPr>
          <w:i/>
        </w:rPr>
        <w:t>ratio</w:t>
      </w:r>
      <w:r>
        <w:t xml:space="preserve">) obě formy </w:t>
      </w:r>
      <w:r w:rsidR="08576C3F">
        <w:t xml:space="preserve">vůle v jejím </w:t>
      </w:r>
      <w:r w:rsidR="081E5F3C">
        <w:t>zákonodárné</w:t>
      </w:r>
      <w:r w:rsidR="08576C3F">
        <w:t>m</w:t>
      </w:r>
      <w:r w:rsidR="081E5F3C">
        <w:t xml:space="preserve"> a chtivé</w:t>
      </w:r>
      <w:r w:rsidR="08576C3F">
        <w:t xml:space="preserve">m aspektu </w:t>
      </w:r>
      <w:r w:rsidR="081E5F3C" w:rsidRPr="003F26F8">
        <w:rPr>
          <w:szCs w:val="24"/>
        </w:rPr>
        <w:t>(</w:t>
      </w:r>
      <w:r w:rsidR="081E5F3C" w:rsidRPr="003F26F8">
        <w:rPr>
          <w:i/>
          <w:szCs w:val="24"/>
        </w:rPr>
        <w:t>regula, volitio</w:t>
      </w:r>
      <w:r w:rsidR="081E5F3C" w:rsidRPr="003F26F8">
        <w:rPr>
          <w:szCs w:val="24"/>
        </w:rPr>
        <w:t>)</w:t>
      </w:r>
      <w:r>
        <w:t xml:space="preserve">. Neomezený vykupující bůh našel svůj omezený aspekt v pozemském nositeli kapitálu v modu analogické </w:t>
      </w:r>
      <w:r>
        <w:lastRenderedPageBreak/>
        <w:t>podobnosti obou činných agentů. Středověké bohatství se stalo moderním kapitálem a mystické praní peněz pro katolický očistec či reformační spásu založilo pod vedením kapitálově zdatných Fúrií novou epochu. Myto</w:t>
      </w:r>
      <w:r w:rsidR="00374FA9">
        <w:t xml:space="preserve">logická </w:t>
      </w:r>
      <w:r>
        <w:t xml:space="preserve">forma </w:t>
      </w:r>
      <w:r>
        <w:rPr>
          <w:i/>
        </w:rPr>
        <w:t>m</w:t>
      </w:r>
      <w:r w:rsidRPr="08251CFF">
        <w:rPr>
          <w:i/>
        </w:rPr>
        <w:t>oney laundering</w:t>
      </w:r>
      <w:r>
        <w:rPr>
          <w:i/>
        </w:rPr>
        <w:fldChar w:fldCharType="begin"/>
      </w:r>
      <w:r>
        <w:instrText xml:space="preserve"> XE "</w:instrText>
      </w:r>
      <w:r w:rsidRPr="08B85DB2">
        <w:rPr>
          <w:i/>
        </w:rPr>
        <w:instrText>Money laundering</w:instrText>
      </w:r>
      <w:r>
        <w:instrText xml:space="preserve">" </w:instrText>
      </w:r>
      <w:r>
        <w:rPr>
          <w:i/>
        </w:rPr>
        <w:fldChar w:fldCharType="end"/>
      </w:r>
      <w:r>
        <w:t xml:space="preserve"> zrušila bývalý svět problematického bohatství zatíženého morálními klatbami za úrok a tvrdě postiženého sociální kritikou proroků, což platilo ještě za časů Staré a Nové smlouvy. Po smrti moderního boha se daňové ráje staly novou formou legálně ustaveného očistce. Kapitalistická vůle </w:t>
      </w:r>
      <w:r w:rsidR="08576C3F">
        <w:t xml:space="preserve">oceňuje </w:t>
      </w:r>
      <w:r>
        <w:t>celek jsoucna jako kapitál</w:t>
      </w:r>
      <w:r w:rsidR="088B64B5">
        <w:t xml:space="preserve">. To </w:t>
      </w:r>
      <w:r>
        <w:t xml:space="preserve">je objektivně viděno zcela pochopitelné a zcela </w:t>
      </w:r>
      <w:r w:rsidR="088B64B5">
        <w:t>jisté</w:t>
      </w:r>
      <w:r w:rsidR="00541BDB">
        <w:t>.</w:t>
      </w:r>
    </w:p>
    <w:p w:rsidR="08163013" w:rsidRPr="085B42DF" w:rsidRDefault="08C8030C" w:rsidP="007478CE">
      <w:pPr>
        <w:ind w:firstLine="397"/>
      </w:pPr>
      <w:r>
        <w:t>S</w:t>
      </w:r>
      <w:r w:rsidR="08163013">
        <w:t xml:space="preserve">ystém sekulárně dané spásonosné vůle moderních iluminátů úspěšně pokračuje ve štafetě nihilismu zahájené skrze augustiniánský avicennismus a voluntarismus Oliviho. Nietzsche správně označil primární modlu moderní metafyziky za zcela zbytečnou a pro jistotu zrušil celou antropocentrickou metafyziku. Bůh moderny se stal bohem kapitalismu a po této poslední transformaci zemřel zcela přirozenou smrtí v 19. století, kdy už plně zvítězil pouze kapitál. Po smrti boha kapitalismu nastoupil na jeho místo smrtelný subjekt manipulující finančně determinovaný kairos sekulárního vykoupení z pekla dluhů. Tato zajímavá skupina politických a bankovních iluminátů se stala úspěšnými nositeli postmoderní účelové racionality determinované pudem sebezáchovy. Boží zjevení dříve dané v mystických místech </w:t>
      </w:r>
      <w:r w:rsidR="08163013" w:rsidRPr="08BF5DDD">
        <w:rPr>
          <w:i/>
        </w:rPr>
        <w:t xml:space="preserve">axis Mundi </w:t>
      </w:r>
      <w:r w:rsidR="08163013">
        <w:t xml:space="preserve">jako byl Jeruzalém a Řím se přesunulo v epoše postkapitalismu do </w:t>
      </w:r>
      <w:r w:rsidR="08163013" w:rsidRPr="08BF5DDD">
        <w:rPr>
          <w:i/>
        </w:rPr>
        <w:t xml:space="preserve">City of </w:t>
      </w:r>
      <w:proofErr w:type="gramStart"/>
      <w:r w:rsidR="08163013" w:rsidRPr="08BF5DDD">
        <w:rPr>
          <w:i/>
        </w:rPr>
        <w:t>London</w:t>
      </w:r>
      <w:proofErr w:type="gramEnd"/>
      <w:r w:rsidR="08163013">
        <w:t xml:space="preserve"> a na </w:t>
      </w:r>
      <w:r w:rsidR="08163013" w:rsidRPr="08BF5DDD">
        <w:rPr>
          <w:i/>
        </w:rPr>
        <w:t>Wall Street</w:t>
      </w:r>
      <w:r w:rsidR="08163013">
        <w:t xml:space="preserve"> a po jejich pádu možná přejde do Hong-Kongu či do Moskvy. Po smrti asketického, etického a pracovitého boha raného kapitalismu</w:t>
      </w:r>
      <w:r w:rsidR="08163013">
        <w:rPr>
          <w:color w:val="000000"/>
        </w:rPr>
        <w:fldChar w:fldCharType="begin"/>
      </w:r>
      <w:r w:rsidR="08163013">
        <w:instrText xml:space="preserve"> XE "smrt boha" </w:instrText>
      </w:r>
      <w:r w:rsidR="08163013">
        <w:rPr>
          <w:color w:val="000000"/>
        </w:rPr>
        <w:fldChar w:fldCharType="end"/>
      </w:r>
      <w:r w:rsidR="08163013">
        <w:t xml:space="preserve">, zařizuje novou formu vykoupení a blaženosti nihilistická a plně sekulární volba. Drama náboženského subjektu bojujícího prací a akumulací kapitálu o svou věčnou spásu nebo zatracení se změnilo na neoliberální globální management lidských zdrojů v modelu </w:t>
      </w:r>
      <w:r w:rsidR="08163013" w:rsidRPr="002A67CB">
        <w:rPr>
          <w:i/>
        </w:rPr>
        <w:t>animal laborans</w:t>
      </w:r>
      <w:r w:rsidR="08163013">
        <w:rPr>
          <w:i/>
        </w:rPr>
        <w:fldChar w:fldCharType="begin"/>
      </w:r>
      <w:r w:rsidR="08163013">
        <w:instrText xml:space="preserve"> XE "osoba:</w:instrText>
      </w:r>
      <w:r w:rsidR="08163013" w:rsidRPr="00F84C3F">
        <w:rPr>
          <w:i/>
        </w:rPr>
        <w:instrText>animal laborans</w:instrText>
      </w:r>
      <w:r w:rsidR="08163013">
        <w:instrText xml:space="preserve">" </w:instrText>
      </w:r>
      <w:r w:rsidR="08163013">
        <w:rPr>
          <w:i/>
        </w:rPr>
        <w:fldChar w:fldCharType="end"/>
      </w:r>
      <w:r w:rsidR="08163013">
        <w:t>. Tento termín označuje nositele instrumentální racionality poháněného animálním pudem individuální sebezáchovy. Tento subjekt postkapitalismu fungující v postmoderní epoše člověka-mrtvoly je zásadně nutný pro průmyslovou a válečnou produkci. Vynoření tohoto jsoucna třetího druhu v první třetině 20. století poprvé vyložilo Jüngerovo</w:t>
      </w:r>
      <w:r w:rsidR="08163013">
        <w:fldChar w:fldCharType="begin"/>
      </w:r>
      <w:r w:rsidR="08163013">
        <w:instrText xml:space="preserve"> XE "</w:instrText>
      </w:r>
      <w:r w:rsidR="08163013" w:rsidRPr="00B9580E">
        <w:instrText>Jünger, E.</w:instrText>
      </w:r>
      <w:r w:rsidR="08163013">
        <w:instrText xml:space="preserve">" </w:instrText>
      </w:r>
      <w:r w:rsidR="08163013">
        <w:fldChar w:fldCharType="end"/>
      </w:r>
      <w:r w:rsidR="08163013">
        <w:t xml:space="preserve"> dílo </w:t>
      </w:r>
      <w:r w:rsidR="08163013" w:rsidRPr="00B705C0">
        <w:rPr>
          <w:i/>
        </w:rPr>
        <w:t>Der Arbeiter</w:t>
      </w:r>
      <w:r w:rsidR="08163013">
        <w:t xml:space="preserve"> (1932) a jeho pojem </w:t>
      </w:r>
      <w:r w:rsidR="08163013" w:rsidRPr="00787727">
        <w:rPr>
          <w:i/>
        </w:rPr>
        <w:t>Mobilmachung</w:t>
      </w:r>
      <w:r w:rsidR="08163013">
        <w:rPr>
          <w:i/>
        </w:rPr>
        <w:fldChar w:fldCharType="begin"/>
      </w:r>
      <w:r w:rsidR="08163013">
        <w:instrText xml:space="preserve"> XE "</w:instrText>
      </w:r>
      <w:r w:rsidR="08163013" w:rsidRPr="001C55FF">
        <w:rPr>
          <w:i/>
        </w:rPr>
        <w:instrText>Mobilmachung</w:instrText>
      </w:r>
      <w:r w:rsidR="08163013">
        <w:instrText xml:space="preserve">" </w:instrText>
      </w:r>
      <w:r w:rsidR="08163013">
        <w:rPr>
          <w:i/>
        </w:rPr>
        <w:fldChar w:fldCharType="end"/>
      </w:r>
      <w:r w:rsidR="08163013">
        <w:t xml:space="preserve"> označující poslední období metafyzického nihilismu daném oběma světovými válkami. Spis Arendtové</w:t>
      </w:r>
      <w:r w:rsidR="08163013">
        <w:fldChar w:fldCharType="begin"/>
      </w:r>
      <w:r w:rsidR="08163013">
        <w:instrText xml:space="preserve"> XE "</w:instrText>
      </w:r>
      <w:r w:rsidR="08163013" w:rsidRPr="00B4732D">
        <w:instrText>Arendt, H.</w:instrText>
      </w:r>
      <w:r w:rsidR="08163013">
        <w:instrText xml:space="preserve">" </w:instrText>
      </w:r>
      <w:r w:rsidR="08163013">
        <w:fldChar w:fldCharType="end"/>
      </w:r>
      <w:r w:rsidR="08163013">
        <w:t xml:space="preserve"> věnovaný obraně Aristotelova pojetí činného života popsal degeneraci současného systému politiky v </w:t>
      </w:r>
      <w:r w:rsidR="08163013">
        <w:lastRenderedPageBreak/>
        <w:t xml:space="preserve">poválečném období. Závěrečná kapitola díla </w:t>
      </w:r>
      <w:r w:rsidR="08163013" w:rsidRPr="00077963">
        <w:rPr>
          <w:i/>
        </w:rPr>
        <w:t>Vita activa</w:t>
      </w:r>
      <w:r w:rsidR="08163013">
        <w:t xml:space="preserve"> konstatuje globální vítězství </w:t>
      </w:r>
      <w:r w:rsidR="08163013" w:rsidRPr="00094B22">
        <w:rPr>
          <w:i/>
        </w:rPr>
        <w:t>animal</w:t>
      </w:r>
      <w:r w:rsidR="08163013">
        <w:t xml:space="preserve"> </w:t>
      </w:r>
      <w:r w:rsidR="08163013" w:rsidRPr="00B705C0">
        <w:rPr>
          <w:i/>
        </w:rPr>
        <w:t>laborans</w:t>
      </w:r>
      <w:r w:rsidR="08163013">
        <w:t xml:space="preserve"> v postmoderní ekonomice průmyslového otroctví globálních montoven a v pracovních </w:t>
      </w:r>
      <w:proofErr w:type="gramStart"/>
      <w:r w:rsidR="08163013">
        <w:t>táborů</w:t>
      </w:r>
      <w:proofErr w:type="gramEnd"/>
      <w:r w:rsidR="08163013">
        <w:t xml:space="preserve"> v různých zónách vlivu řízených kapitalistickými korporacemi (Arendt 1958, 320‒25). Oliviho antropocentrická forma </w:t>
      </w:r>
      <w:proofErr w:type="gramStart"/>
      <w:r w:rsidR="08163013">
        <w:t>metafyziky  a filosofická</w:t>
      </w:r>
      <w:proofErr w:type="gramEnd"/>
      <w:r w:rsidR="08163013">
        <w:t xml:space="preserve"> ekonomie stojí na počátku tohoto vývoje. Ve vulgárním neoliberalismu dneška daném paranoickým poznáním reality a schizofrenickým subjektem už neopravedlňuje bůh, ale kapitál daný pouze ve virtuální podobě. Jeho absurdní exponenciální množení vytvořilo digitální </w:t>
      </w:r>
      <w:r w:rsidR="08163013" w:rsidRPr="00E36509">
        <w:rPr>
          <w:i/>
        </w:rPr>
        <w:t>totum virtuale</w:t>
      </w:r>
      <w:r w:rsidR="08163013">
        <w:rPr>
          <w:i/>
        </w:rPr>
        <w:fldChar w:fldCharType="begin"/>
      </w:r>
      <w:r w:rsidR="08163013">
        <w:instrText xml:space="preserve"> XE "osoba:</w:instrText>
      </w:r>
      <w:r w:rsidR="08163013" w:rsidRPr="00D87AA1">
        <w:rPr>
          <w:i/>
        </w:rPr>
        <w:instrText>totum virtuale</w:instrText>
      </w:r>
      <w:r w:rsidR="08163013">
        <w:instrText xml:space="preserve">" </w:instrText>
      </w:r>
      <w:r w:rsidR="08163013">
        <w:rPr>
          <w:i/>
        </w:rPr>
        <w:fldChar w:fldCharType="end"/>
      </w:r>
      <w:r w:rsidR="08163013">
        <w:t xml:space="preserve"> </w:t>
      </w:r>
      <w:r w:rsidR="007478CE" w:rsidRPr="007478CE">
        <w:t xml:space="preserve">v oblaku </w:t>
      </w:r>
      <w:r w:rsidR="007478CE">
        <w:t xml:space="preserve">numericky </w:t>
      </w:r>
      <w:r w:rsidR="007478CE" w:rsidRPr="007478CE">
        <w:t>navrženého s</w:t>
      </w:r>
      <w:r w:rsidR="007478CE">
        <w:t xml:space="preserve">věta v režimu </w:t>
      </w:r>
      <w:r w:rsidR="08163013" w:rsidRPr="00C0597A">
        <w:rPr>
          <w:i/>
        </w:rPr>
        <w:t>cloud computing</w:t>
      </w:r>
      <w:r w:rsidR="08163013">
        <w:rPr>
          <w:i/>
        </w:rPr>
        <w:fldChar w:fldCharType="begin"/>
      </w:r>
      <w:r w:rsidR="08163013">
        <w:instrText xml:space="preserve"> XE "</w:instrText>
      </w:r>
      <w:r w:rsidR="08163013" w:rsidRPr="00A4124D">
        <w:rPr>
          <w:i/>
        </w:rPr>
        <w:instrText>cloud computing</w:instrText>
      </w:r>
      <w:r w:rsidR="08163013">
        <w:instrText xml:space="preserve">" </w:instrText>
      </w:r>
      <w:r w:rsidR="08163013">
        <w:rPr>
          <w:i/>
        </w:rPr>
        <w:fldChar w:fldCharType="end"/>
      </w:r>
      <w:r w:rsidR="08163013">
        <w:t xml:space="preserve">. </w:t>
      </w:r>
      <w:r w:rsidR="00BB206F">
        <w:t>Vúdú k</w:t>
      </w:r>
      <w:r w:rsidR="08163013">
        <w:t xml:space="preserve">apitalismus ve věku finančního nihilismu už nepotřebuje boha </w:t>
      </w:r>
      <w:r w:rsidR="08163013" w:rsidRPr="087770B9">
        <w:rPr>
          <w:i/>
        </w:rPr>
        <w:t>Modernorum</w:t>
      </w:r>
      <w:r w:rsidR="08163013">
        <w:t xml:space="preserve"> k existenciálnímu ospravedlnění hříšníka. Zesnulého boha moderny nahradili současní živí </w:t>
      </w:r>
      <w:r w:rsidR="08163013" w:rsidRPr="08975D6D">
        <w:rPr>
          <w:i/>
        </w:rPr>
        <w:t>banksters</w:t>
      </w:r>
      <w:r w:rsidR="08163013">
        <w:rPr>
          <w:i/>
        </w:rPr>
        <w:fldChar w:fldCharType="begin"/>
      </w:r>
      <w:r w:rsidR="08163013">
        <w:instrText xml:space="preserve"> XE "</w:instrText>
      </w:r>
      <w:r w:rsidR="08163013" w:rsidRPr="08324F6F">
        <w:rPr>
          <w:i/>
        </w:rPr>
        <w:instrText>banksters</w:instrText>
      </w:r>
      <w:r w:rsidR="08163013">
        <w:instrText xml:space="preserve">" </w:instrText>
      </w:r>
      <w:r w:rsidR="08163013">
        <w:rPr>
          <w:i/>
        </w:rPr>
        <w:fldChar w:fldCharType="end"/>
      </w:r>
      <w:r w:rsidR="08163013">
        <w:t xml:space="preserve">. Nihilismus banskterů má sekulárně-vykupitelský charakter, proto jsou jejich </w:t>
      </w:r>
      <w:r w:rsidR="00155F34">
        <w:t xml:space="preserve">globální </w:t>
      </w:r>
      <w:r w:rsidR="08163013">
        <w:t>zločiny a podvody beztrestné. Současný neoliberální kapitalismus jednoho procenta digitálně vykoupených iluminátů úspěšně pokračuje na nihilistické cestě moderny založené druhým averroismem.</w:t>
      </w:r>
    </w:p>
    <w:p w:rsidR="08163013" w:rsidRPr="00273106" w:rsidRDefault="08C8030C" w:rsidP="08163013">
      <w:pPr>
        <w:pStyle w:val="Nadpis2"/>
      </w:pPr>
      <w:bookmarkStart w:id="78" w:name="_Toc36144159"/>
      <w:r>
        <w:rPr>
          <w:lang w:val="cs-CZ"/>
        </w:rPr>
        <w:br w:type="page"/>
      </w:r>
      <w:bookmarkStart w:id="79" w:name="_Toc180231671"/>
      <w:r w:rsidR="08163013">
        <w:rPr>
          <w:lang w:val="cs-CZ"/>
        </w:rPr>
        <w:lastRenderedPageBreak/>
        <w:t>5</w:t>
      </w:r>
      <w:r w:rsidR="08163013" w:rsidRPr="00273106">
        <w:t xml:space="preserve">.2 </w:t>
      </w:r>
      <w:r w:rsidR="08163013">
        <w:t xml:space="preserve">Systematizace </w:t>
      </w:r>
      <w:r w:rsidR="08163013" w:rsidRPr="00273106">
        <w:t xml:space="preserve">objektivity (Henry z </w:t>
      </w:r>
      <w:proofErr w:type="gramStart"/>
      <w:r w:rsidR="08163013" w:rsidRPr="00273106">
        <w:t>Gentu</w:t>
      </w:r>
      <w:proofErr w:type="gramEnd"/>
      <w:r w:rsidR="08163013" w:rsidRPr="00273106">
        <w:t>)</w:t>
      </w:r>
      <w:bookmarkEnd w:id="78"/>
      <w:bookmarkEnd w:id="79"/>
    </w:p>
    <w:p w:rsidR="00E70A07" w:rsidRDefault="08163013" w:rsidP="08163013">
      <w:r w:rsidRPr="00273106">
        <w:t xml:space="preserve">Spor mezi prvním a druhým averroismem byl ukončen mocensky v roce 1277, kdy druhý averroismus zvítězil. První averroismus </w:t>
      </w:r>
      <w:r>
        <w:t xml:space="preserve">v osobě Alberta </w:t>
      </w:r>
      <w:r w:rsidRPr="00273106">
        <w:t>si dal za úkol rehabilito</w:t>
      </w:r>
      <w:r>
        <w:t xml:space="preserve">vat učení Akvinského, což se </w:t>
      </w:r>
      <w:r w:rsidRPr="00273106">
        <w:t xml:space="preserve">podařilo </w:t>
      </w:r>
      <w:r>
        <w:t xml:space="preserve">hned </w:t>
      </w:r>
      <w:r w:rsidRPr="00273106">
        <w:t>v následující dekádě</w:t>
      </w:r>
      <w:r>
        <w:t xml:space="preserve"> do roku 1286</w:t>
      </w:r>
      <w:r w:rsidRPr="00273106">
        <w:t xml:space="preserve">. </w:t>
      </w:r>
      <w:r>
        <w:t xml:space="preserve">Moderna měla také napilno, protože filosofické spory nerozhodovaly pouze církevní dekrety. První krok udělal </w:t>
      </w:r>
      <w:r w:rsidRPr="00273106">
        <w:rPr>
          <w:iCs/>
        </w:rPr>
        <w:t>Olivi</w:t>
      </w:r>
      <w:r>
        <w:rPr>
          <w:iCs/>
        </w:rPr>
        <w:t xml:space="preserve">, který </w:t>
      </w:r>
      <w:r w:rsidRPr="00273106">
        <w:rPr>
          <w:iCs/>
        </w:rPr>
        <w:t>změnil ontoteologii</w:t>
      </w:r>
      <w:r>
        <w:rPr>
          <w:iCs/>
        </w:rPr>
        <w:fldChar w:fldCharType="begin"/>
      </w:r>
      <w:r>
        <w:instrText xml:space="preserve"> XE "</w:instrText>
      </w:r>
      <w:r w:rsidRPr="00A45678">
        <w:rPr>
          <w:rStyle w:val="addmd"/>
        </w:rPr>
        <w:instrText>ontoteologie:</w:instrText>
      </w:r>
      <w:r w:rsidRPr="00A45678">
        <w:instrText>Jamblichos</w:instrText>
      </w:r>
      <w:r>
        <w:instrText xml:space="preserve">" </w:instrText>
      </w:r>
      <w:r>
        <w:rPr>
          <w:iCs/>
        </w:rPr>
        <w:fldChar w:fldCharType="end"/>
      </w:r>
      <w:r w:rsidRPr="00273106">
        <w:rPr>
          <w:iCs/>
        </w:rPr>
        <w:t xml:space="preserve"> druhého averroismu na absolutní voluntarismus daný v rámci </w:t>
      </w:r>
      <w:r>
        <w:rPr>
          <w:iCs/>
        </w:rPr>
        <w:t xml:space="preserve">nově navržené plurality substancí v člověku. Ke dvěma již daným substancím v člověku přibyla i vůle. Mystický františkán, filosof a ekonom </w:t>
      </w:r>
      <w:r w:rsidRPr="00273106">
        <w:rPr>
          <w:iCs/>
        </w:rPr>
        <w:t xml:space="preserve">přidal k epochálnímu určení objektivity </w:t>
      </w:r>
      <w:r>
        <w:rPr>
          <w:iCs/>
        </w:rPr>
        <w:t xml:space="preserve">v modu </w:t>
      </w:r>
      <w:r>
        <w:rPr>
          <w:i/>
          <w:iCs/>
        </w:rPr>
        <w:t>dativus obiectivus</w:t>
      </w:r>
      <w:r>
        <w:rPr>
          <w:i/>
          <w:iCs/>
        </w:rPr>
        <w:fldChar w:fldCharType="begin"/>
      </w:r>
      <w:r>
        <w:instrText xml:space="preserve"> XE "</w:instrText>
      </w:r>
      <w:r w:rsidRPr="08FC6A71">
        <w:rPr>
          <w:i/>
          <w:iCs/>
        </w:rPr>
        <w:instrText xml:space="preserve"> </w:instrText>
      </w:r>
      <w:r>
        <w:rPr>
          <w:i/>
          <w:iCs/>
        </w:rPr>
        <w:instrText>dativus obiectivus</w:instrText>
      </w:r>
      <w:r>
        <w:instrText xml:space="preserve">" </w:instrText>
      </w:r>
      <w:r>
        <w:rPr>
          <w:i/>
          <w:iCs/>
        </w:rPr>
        <w:fldChar w:fldCharType="end"/>
      </w:r>
      <w:r>
        <w:rPr>
          <w:iCs/>
        </w:rPr>
        <w:t xml:space="preserve"> další kategorie</w:t>
      </w:r>
      <w:r w:rsidRPr="00273106">
        <w:rPr>
          <w:iCs/>
        </w:rPr>
        <w:t xml:space="preserve"> a rozší</w:t>
      </w:r>
      <w:r>
        <w:rPr>
          <w:iCs/>
        </w:rPr>
        <w:t xml:space="preserve">řil objektivní určení jsoucna. </w:t>
      </w:r>
      <w:r w:rsidR="00C937A4" w:rsidRPr="00C937A4">
        <w:rPr>
          <w:iCs/>
        </w:rPr>
        <w:t xml:space="preserve">Moderní vůle </w:t>
      </w:r>
      <w:r w:rsidR="00C937A4">
        <w:rPr>
          <w:iCs/>
        </w:rPr>
        <w:t xml:space="preserve">se stala </w:t>
      </w:r>
      <w:r w:rsidR="00C937A4" w:rsidRPr="00C937A4">
        <w:rPr>
          <w:iCs/>
        </w:rPr>
        <w:t xml:space="preserve">zcela autonomní; </w:t>
      </w:r>
      <w:r w:rsidR="00C937A4">
        <w:rPr>
          <w:iCs/>
        </w:rPr>
        <w:t xml:space="preserve">Olivi navíc </w:t>
      </w:r>
      <w:r w:rsidR="00C937A4" w:rsidRPr="00C937A4">
        <w:rPr>
          <w:iCs/>
        </w:rPr>
        <w:t>oddělil substanciální intelekt od receptivně daného poznání. To byl konec klasické</w:t>
      </w:r>
      <w:r w:rsidR="00C937A4">
        <w:rPr>
          <w:iCs/>
        </w:rPr>
        <w:t xml:space="preserve"> moudrosti v moderní filosofii. </w:t>
      </w:r>
      <w:r>
        <w:t xml:space="preserve">Proměna hermeutické triády dějinnosti, dějin a historie u Oliviho ukazuje vítězné tažení objektivity po roce 1280. </w:t>
      </w:r>
      <w:r w:rsidRPr="00273106">
        <w:rPr>
          <w:iCs/>
        </w:rPr>
        <w:t xml:space="preserve">Člověk se stal díky novému pojetí substanciálně pojaté svobodné vůle originálním zdrojem </w:t>
      </w:r>
      <w:r>
        <w:rPr>
          <w:iCs/>
        </w:rPr>
        <w:t xml:space="preserve">a cílem </w:t>
      </w:r>
      <w:r w:rsidRPr="00273106">
        <w:rPr>
          <w:iCs/>
        </w:rPr>
        <w:t>smyslu jsoucna</w:t>
      </w:r>
      <w:r>
        <w:rPr>
          <w:iCs/>
        </w:rPr>
        <w:t xml:space="preserve"> (</w:t>
      </w:r>
      <w:r w:rsidRPr="00684EF1">
        <w:rPr>
          <w:i/>
          <w:iCs/>
        </w:rPr>
        <w:t>dativus finalis</w:t>
      </w:r>
      <w:r>
        <w:rPr>
          <w:i/>
          <w:iCs/>
        </w:rPr>
        <w:fldChar w:fldCharType="begin"/>
      </w:r>
      <w:r>
        <w:instrText xml:space="preserve"> XE "</w:instrText>
      </w:r>
      <w:r w:rsidRPr="008729B1">
        <w:rPr>
          <w:i/>
          <w:iCs/>
        </w:rPr>
        <w:instrText>dativus finalis</w:instrText>
      </w:r>
      <w:r>
        <w:instrText xml:space="preserve">" </w:instrText>
      </w:r>
      <w:r>
        <w:rPr>
          <w:i/>
          <w:iCs/>
        </w:rPr>
        <w:fldChar w:fldCharType="end"/>
      </w:r>
      <w:r>
        <w:rPr>
          <w:iCs/>
        </w:rPr>
        <w:t>)</w:t>
      </w:r>
      <w:r w:rsidRPr="00273106">
        <w:rPr>
          <w:iCs/>
        </w:rPr>
        <w:t xml:space="preserve">. </w:t>
      </w:r>
      <w:r>
        <w:t>Oliviho voluntaristické pojetí osoby bylo tak radikální, že musel napadnout i filosofii Aristotela, což před ním naposledy provedli první modernisté kolem 1235 na Oxfordu (</w:t>
      </w:r>
      <w:r w:rsidR="086F54EC">
        <w:t>OBJ II, kap. 3</w:t>
      </w:r>
      <w:r w:rsidRPr="00564CE7">
        <w:t>.4.2</w:t>
      </w:r>
      <w:r>
        <w:t xml:space="preserve">). </w:t>
      </w:r>
      <w:r>
        <w:rPr>
          <w:iCs/>
        </w:rPr>
        <w:t xml:space="preserve">To nebylo dlouhodobě únosné, stejně jako množení substancí v člověku. Kritika </w:t>
      </w:r>
      <w:r w:rsidR="088B4F32">
        <w:rPr>
          <w:iCs/>
        </w:rPr>
        <w:t xml:space="preserve">Aristotela </w:t>
      </w:r>
      <w:r>
        <w:rPr>
          <w:iCs/>
        </w:rPr>
        <w:t>u</w:t>
      </w:r>
      <w:r>
        <w:t>ž nebyla v epoše po 1</w:t>
      </w:r>
      <w:r w:rsidR="085532C2">
        <w:t xml:space="preserve">270 u modernistů běžným zjevem. Averroes </w:t>
      </w:r>
      <w:r w:rsidR="088B4F32">
        <w:t xml:space="preserve">jako </w:t>
      </w:r>
      <w:r>
        <w:t>Komentátor se stal náhradním cílem mediální ofenzívy modernistů</w:t>
      </w:r>
      <w:r w:rsidRPr="08595579">
        <w:t xml:space="preserve"> </w:t>
      </w:r>
      <w:r w:rsidR="08DE5A84">
        <w:t xml:space="preserve">už </w:t>
      </w:r>
      <w:r>
        <w:t xml:space="preserve">od roku 1250. </w:t>
      </w:r>
      <w:r w:rsidR="00B26C2A">
        <w:t>Ú</w:t>
      </w:r>
      <w:r w:rsidRPr="00273106">
        <w:t>toky Rufus</w:t>
      </w:r>
      <w:r>
        <w:t xml:space="preserve">e a Aegidia </w:t>
      </w:r>
      <w:r w:rsidRPr="00273106">
        <w:t>svědčí o bezradnosti</w:t>
      </w:r>
      <w:r>
        <w:t xml:space="preserve"> modernistů všeho druhu vůči brilantnímu výkladu jednoty intelektu v CMDA</w:t>
      </w:r>
      <w:r w:rsidRPr="00273106">
        <w:t>.</w:t>
      </w:r>
      <w:r>
        <w:rPr>
          <w:iCs/>
        </w:rPr>
        <w:t xml:space="preserve"> Ale l</w:t>
      </w:r>
      <w:r>
        <w:t xml:space="preserve">atinští sofisté druhé vlny se stali </w:t>
      </w:r>
      <w:r w:rsidR="00B46FE7">
        <w:t xml:space="preserve">více </w:t>
      </w:r>
      <w:r>
        <w:t>sofistikovanými</w:t>
      </w:r>
      <w:r w:rsidR="00B46FE7">
        <w:t xml:space="preserve">; </w:t>
      </w:r>
      <w:r>
        <w:t>Jindřich z </w:t>
      </w:r>
      <w:proofErr w:type="gramStart"/>
      <w:r>
        <w:t>Gentu</w:t>
      </w:r>
      <w:proofErr w:type="gramEnd"/>
      <w:r w:rsidR="00E70A07">
        <w:t xml:space="preserve"> </w:t>
      </w:r>
      <w:r w:rsidR="00B46FE7">
        <w:t xml:space="preserve">zahájil novou etapu modernismu, kterou </w:t>
      </w:r>
      <w:r w:rsidR="00E70A07">
        <w:t>plně realizoval Duns Scotus.</w:t>
      </w:r>
    </w:p>
    <w:p w:rsidR="00404119" w:rsidRDefault="08163013" w:rsidP="00C70B5C">
      <w:pPr>
        <w:ind w:firstLine="397"/>
      </w:pPr>
      <w:r w:rsidRPr="00273106">
        <w:t>Hermeneutiku zajímá v</w:t>
      </w:r>
      <w:r w:rsidR="08DE5A84">
        <w:t xml:space="preserve"> páté </w:t>
      </w:r>
      <w:r w:rsidRPr="00273106">
        <w:t>matrici objektivity systematizace subjekt-objektového vztahu,</w:t>
      </w:r>
      <w:r>
        <w:t xml:space="preserve"> která vytváří ucelený systém</w:t>
      </w:r>
      <w:r w:rsidRPr="00273106">
        <w:t xml:space="preserve"> obj</w:t>
      </w:r>
      <w:r>
        <w:t>ektivní metafyziky</w:t>
      </w:r>
      <w:r w:rsidRPr="00273106">
        <w:t>.</w:t>
      </w:r>
      <w:r>
        <w:rPr>
          <w:iCs/>
        </w:rPr>
        <w:t xml:space="preserve"> D</w:t>
      </w:r>
      <w:r w:rsidRPr="00273106">
        <w:t xml:space="preserve">ůležitý impulz přinesl latinský překlad Simplikiova komentáře ke </w:t>
      </w:r>
      <w:r w:rsidRPr="087E2555">
        <w:rPr>
          <w:i/>
        </w:rPr>
        <w:t>Kategoriím</w:t>
      </w:r>
      <w:r w:rsidRPr="00273106">
        <w:t xml:space="preserve"> (</w:t>
      </w:r>
      <w:r w:rsidRPr="00273106">
        <w:rPr>
          <w:i/>
        </w:rPr>
        <w:t>De praedicamentis</w:t>
      </w:r>
      <w:r w:rsidRPr="00273106">
        <w:t>), který William Moerbeke</w:t>
      </w:r>
      <w:r>
        <w:fldChar w:fldCharType="begin"/>
      </w:r>
      <w:r>
        <w:instrText xml:space="preserve"> XE "</w:instrText>
      </w:r>
      <w:r w:rsidRPr="00753DEE">
        <w:instrText>Moerbeke, W.</w:instrText>
      </w:r>
      <w:r>
        <w:instrText xml:space="preserve">" </w:instrText>
      </w:r>
      <w:r>
        <w:fldChar w:fldCharType="end"/>
      </w:r>
      <w:r w:rsidRPr="00273106">
        <w:t xml:space="preserve"> dokončil roku 12</w:t>
      </w:r>
      <w:r>
        <w:t>66</w:t>
      </w:r>
      <w:r w:rsidRPr="00273106">
        <w:t xml:space="preserve">. Prehistorie objektivity ukázala zásadní vliv Simplikia na vznik </w:t>
      </w:r>
      <w:r w:rsidRPr="00D0277F">
        <w:rPr>
          <w:i/>
        </w:rPr>
        <w:t>tertium ens</w:t>
      </w:r>
      <w:r>
        <w:rPr>
          <w:i/>
        </w:rPr>
        <w:fldChar w:fldCharType="begin"/>
      </w:r>
      <w:r>
        <w:instrText xml:space="preserve"> XE "</w:instrText>
      </w:r>
      <w:r w:rsidRPr="002F10B4">
        <w:rPr>
          <w:rStyle w:val="Zvraznn"/>
        </w:rPr>
        <w:instrText>tertium ens</w:instrText>
      </w:r>
      <w:r>
        <w:rPr>
          <w:rStyle w:val="Zvraznn"/>
          <w:i w:val="0"/>
        </w:rPr>
        <w:instrText>:Simplikius</w:instrText>
      </w:r>
      <w:r>
        <w:instrText xml:space="preserve">" </w:instrText>
      </w:r>
      <w:r>
        <w:rPr>
          <w:i/>
        </w:rPr>
        <w:fldChar w:fldCharType="end"/>
      </w:r>
      <w:r w:rsidRPr="00273106">
        <w:t xml:space="preserve"> (</w:t>
      </w:r>
      <w:r w:rsidR="0850546C">
        <w:t xml:space="preserve">OBJ I, </w:t>
      </w:r>
      <w:r>
        <w:t>kap. 1.3</w:t>
      </w:r>
      <w:r w:rsidRPr="00273106">
        <w:t xml:space="preserve">.1). Jeho výklad </w:t>
      </w:r>
      <w:r w:rsidRPr="087E2555">
        <w:rPr>
          <w:i/>
        </w:rPr>
        <w:t>Kategorií</w:t>
      </w:r>
      <w:r w:rsidRPr="00273106">
        <w:t xml:space="preserve"> navrhl nové pojetí substance</w:t>
      </w:r>
      <w:r>
        <w:t xml:space="preserve"> </w:t>
      </w:r>
      <w:proofErr w:type="gramStart"/>
      <w:r>
        <w:t>daném</w:t>
      </w:r>
      <w:proofErr w:type="gramEnd"/>
      <w:r>
        <w:t xml:space="preserve"> </w:t>
      </w:r>
      <w:r w:rsidRPr="00273106">
        <w:t>nasvícení</w:t>
      </w:r>
      <w:r>
        <w:t>m</w:t>
      </w:r>
      <w:r w:rsidRPr="00273106">
        <w:t xml:space="preserve"> smyslu jsoucna zezadu od aktuálně daného intelektu. </w:t>
      </w:r>
      <w:r>
        <w:t xml:space="preserve">Na první averroismus měl tento komentář minimální vliv, protože byl napsán v duchu neoplatonismu. Zcela jiný dopad mělo toto dílo ve škole druhého </w:t>
      </w:r>
      <w:r>
        <w:lastRenderedPageBreak/>
        <w:t xml:space="preserve">averroismu. </w:t>
      </w:r>
      <w:r w:rsidRPr="00273106">
        <w:t xml:space="preserve">Působení </w:t>
      </w:r>
      <w:r>
        <w:t xml:space="preserve">Simplikiova </w:t>
      </w:r>
      <w:r w:rsidRPr="00273106">
        <w:t xml:space="preserve">komentáře </w:t>
      </w:r>
      <w:r>
        <w:t>je doloženo u Henry</w:t>
      </w:r>
      <w:r w:rsidRPr="00273106">
        <w:t xml:space="preserve">ho z </w:t>
      </w:r>
      <w:proofErr w:type="gramStart"/>
      <w:r w:rsidRPr="00273106">
        <w:t>Gentu</w:t>
      </w:r>
      <w:proofErr w:type="gramEnd"/>
      <w:r w:rsidRPr="00273106">
        <w:t xml:space="preserve"> </w:t>
      </w:r>
      <w:r>
        <w:t xml:space="preserve">zcela jistě </w:t>
      </w:r>
      <w:r w:rsidRPr="00273106">
        <w:t xml:space="preserve">od </w:t>
      </w:r>
      <w:r>
        <w:t xml:space="preserve">roku </w:t>
      </w:r>
      <w:r w:rsidRPr="00273106">
        <w:t>1285 (</w:t>
      </w:r>
      <w:r w:rsidRPr="00273106">
        <w:rPr>
          <w:i/>
        </w:rPr>
        <w:t>Quodlibet</w:t>
      </w:r>
      <w:r w:rsidRPr="00273106">
        <w:t xml:space="preserve"> IX) a ovlivnil</w:t>
      </w:r>
      <w:r>
        <w:t>o i Dunse Scota (Decorte 2002). Období po odsouzení 1277 charakterizují</w:t>
      </w:r>
      <w:r w:rsidRPr="00273106">
        <w:t xml:space="preserve"> pokus</w:t>
      </w:r>
      <w:r>
        <w:t xml:space="preserve">y o novou syntézu metafyziky, která by nahradila Averroesovu interpretaci aristotelského korpusu. Do systému sofistického vědění druhého averroismu bylo třeba </w:t>
      </w:r>
      <w:r w:rsidRPr="00273106">
        <w:t>integrova</w:t>
      </w:r>
      <w:r>
        <w:t>t</w:t>
      </w:r>
      <w:r w:rsidRPr="00273106">
        <w:t xml:space="preserve"> aristotelskou nauku</w:t>
      </w:r>
      <w:r>
        <w:t xml:space="preserve"> tak, aby se odstranily </w:t>
      </w:r>
      <w:r w:rsidRPr="00273106">
        <w:t xml:space="preserve">největší nesrovnalosti </w:t>
      </w:r>
      <w:r>
        <w:t xml:space="preserve">v učení </w:t>
      </w:r>
      <w:r w:rsidRPr="00731851">
        <w:rPr>
          <w:i/>
        </w:rPr>
        <w:t>Modernorum</w:t>
      </w:r>
      <w:r w:rsidRPr="00273106">
        <w:t xml:space="preserve">. </w:t>
      </w:r>
      <w:r w:rsidR="00C70B5C" w:rsidRPr="00C70B5C">
        <w:t>Aegidius v první verzi tomistic</w:t>
      </w:r>
      <w:r w:rsidR="00C70B5C">
        <w:t>kého učení označil Akvinského</w:t>
      </w:r>
      <w:r w:rsidR="00C70B5C" w:rsidRPr="00C70B5C">
        <w:t xml:space="preserve"> </w:t>
      </w:r>
      <w:r w:rsidR="00C70B5C">
        <w:t xml:space="preserve">jako </w:t>
      </w:r>
      <w:r w:rsidR="00C70B5C" w:rsidRPr="08477266">
        <w:rPr>
          <w:i/>
        </w:rPr>
        <w:t>Expositor</w:t>
      </w:r>
      <w:r w:rsidR="00C70B5C">
        <w:t xml:space="preserve"> </w:t>
      </w:r>
      <w:r w:rsidR="00C70B5C" w:rsidRPr="08477266">
        <w:rPr>
          <w:i/>
        </w:rPr>
        <w:t>Novus</w:t>
      </w:r>
      <w:r w:rsidR="00C70B5C">
        <w:rPr>
          <w:i/>
        </w:rPr>
        <w:fldChar w:fldCharType="begin"/>
      </w:r>
      <w:r w:rsidR="00C70B5C">
        <w:instrText xml:space="preserve"> XE "</w:instrText>
      </w:r>
      <w:r w:rsidR="00C70B5C" w:rsidRPr="088E65DF">
        <w:rPr>
          <w:i/>
        </w:rPr>
        <w:instrText>Expositor</w:instrText>
      </w:r>
      <w:r w:rsidR="00C70B5C" w:rsidRPr="088E65DF">
        <w:instrText xml:space="preserve"> </w:instrText>
      </w:r>
      <w:r w:rsidR="00C70B5C" w:rsidRPr="088E65DF">
        <w:rPr>
          <w:i/>
        </w:rPr>
        <w:instrText>Novus</w:instrText>
      </w:r>
      <w:r w:rsidR="00C70B5C">
        <w:instrText xml:space="preserve">" </w:instrText>
      </w:r>
      <w:r w:rsidR="00C70B5C">
        <w:rPr>
          <w:i/>
        </w:rPr>
        <w:fldChar w:fldCharType="end"/>
      </w:r>
      <w:r w:rsidR="00C70B5C" w:rsidRPr="00C70B5C">
        <w:t xml:space="preserve">. Díky aristotelské formě </w:t>
      </w:r>
      <w:r w:rsidR="00C70B5C">
        <w:t xml:space="preserve">Tomášova </w:t>
      </w:r>
      <w:r w:rsidR="00C70B5C" w:rsidRPr="00C70B5C">
        <w:t xml:space="preserve">semiaverroismu, kterou Aegidius po roce 1277 zpopularizoval, se Akvinský stal nejdůležitějším spojovacím prvkem mezi sofisty prvního a druhého averroismu. </w:t>
      </w:r>
      <w:r w:rsidRPr="00273106">
        <w:t xml:space="preserve">Nově koncipovaný avicennismus postavil esenci a </w:t>
      </w:r>
      <w:r w:rsidR="000103E0">
        <w:t xml:space="preserve">transcendentální </w:t>
      </w:r>
      <w:r w:rsidRPr="00273106">
        <w:t>určení jsoucna (</w:t>
      </w:r>
      <w:r w:rsidRPr="00273106">
        <w:rPr>
          <w:i/>
        </w:rPr>
        <w:t>passiones entis</w:t>
      </w:r>
      <w:r>
        <w:rPr>
          <w:i/>
        </w:rPr>
        <w:fldChar w:fldCharType="begin"/>
      </w:r>
      <w:r>
        <w:instrText xml:space="preserve"> XE "</w:instrText>
      </w:r>
      <w:r>
        <w:rPr>
          <w:i/>
        </w:rPr>
        <w:instrText>passio</w:instrText>
      </w:r>
      <w:r w:rsidRPr="00663984">
        <w:rPr>
          <w:i/>
        </w:rPr>
        <w:instrText xml:space="preserve"> entis</w:instrText>
      </w:r>
      <w:r>
        <w:instrText xml:space="preserve">" </w:instrText>
      </w:r>
      <w:r>
        <w:rPr>
          <w:i/>
        </w:rPr>
        <w:fldChar w:fldCharType="end"/>
      </w:r>
      <w:r w:rsidRPr="00273106">
        <w:t xml:space="preserve">) na úroveň kategoriálních vztahů </w:t>
      </w:r>
      <w:r w:rsidR="00E05A3C">
        <w:t>druhé substance a akcidentů</w:t>
      </w:r>
      <w:r w:rsidRPr="00273106">
        <w:t xml:space="preserve">. </w:t>
      </w:r>
      <w:r>
        <w:t>D</w:t>
      </w:r>
      <w:r w:rsidRPr="00273106">
        <w:t>ruh</w:t>
      </w:r>
      <w:r>
        <w:t xml:space="preserve">ý </w:t>
      </w:r>
      <w:r w:rsidRPr="00273106">
        <w:t>averroismu</w:t>
      </w:r>
      <w:r>
        <w:t>s</w:t>
      </w:r>
      <w:r w:rsidRPr="00273106">
        <w:t xml:space="preserve"> </w:t>
      </w:r>
      <w:r>
        <w:t xml:space="preserve">integroval do modernistického scénáře </w:t>
      </w:r>
      <w:r w:rsidRPr="00273106">
        <w:t xml:space="preserve">poznání </w:t>
      </w:r>
      <w:r>
        <w:t xml:space="preserve">i kauzalitu </w:t>
      </w:r>
      <w:r w:rsidRPr="00273106">
        <w:t>první substance. Bonaventurův žák Aqu</w:t>
      </w:r>
      <w:r>
        <w:t>asparta a</w:t>
      </w:r>
      <w:r>
        <w:fldChar w:fldCharType="begin"/>
      </w:r>
      <w:r>
        <w:instrText xml:space="preserve"> XE "</w:instrText>
      </w:r>
      <w:r w:rsidRPr="003B1826">
        <w:instrText>Aquasparta, M.</w:instrText>
      </w:r>
      <w:r>
        <w:instrText xml:space="preserve">" </w:instrText>
      </w:r>
      <w:r>
        <w:fldChar w:fldCharType="end"/>
      </w:r>
      <w:r>
        <w:t xml:space="preserve"> pozdější generál řádu </w:t>
      </w:r>
      <w:r w:rsidRPr="00273106">
        <w:t xml:space="preserve">jasně pochopil, že absolutizace exemplaru vede k </w:t>
      </w:r>
      <w:r>
        <w:t xml:space="preserve">poznání esence dané </w:t>
      </w:r>
      <w:r w:rsidRPr="00273106">
        <w:t xml:space="preserve">mimo </w:t>
      </w:r>
      <w:r>
        <w:t xml:space="preserve">realitu a </w:t>
      </w:r>
      <w:r w:rsidRPr="00273106">
        <w:t xml:space="preserve">mimo adekvační teorii pravdy. </w:t>
      </w:r>
      <w:r>
        <w:t>S</w:t>
      </w:r>
      <w:r w:rsidRPr="00273106">
        <w:t xml:space="preserve">tudie o teorii abstrakce ve františkánské škole ukazuje, </w:t>
      </w:r>
      <w:r>
        <w:t xml:space="preserve">jak </w:t>
      </w:r>
      <w:r w:rsidRPr="00273106">
        <w:t>Aquasparta</w:t>
      </w:r>
      <w:r>
        <w:fldChar w:fldCharType="begin"/>
      </w:r>
      <w:r>
        <w:instrText xml:space="preserve"> XE "</w:instrText>
      </w:r>
      <w:r w:rsidRPr="003B1826">
        <w:instrText>Aquasparta, M.</w:instrText>
      </w:r>
      <w:r>
        <w:instrText xml:space="preserve">" </w:instrText>
      </w:r>
      <w:r>
        <w:fldChar w:fldCharType="end"/>
      </w:r>
      <w:r w:rsidRPr="00273106">
        <w:t xml:space="preserve"> kritizoval Bonaventurovu doktrínu </w:t>
      </w:r>
      <w:r>
        <w:t>o podobnosti</w:t>
      </w:r>
      <w:r w:rsidRPr="00273106">
        <w:t>.</w:t>
      </w:r>
      <w:r>
        <w:t xml:space="preserve"> </w:t>
      </w:r>
      <w:r w:rsidRPr="00273106">
        <w:t xml:space="preserve">Augustinův dopis Nebridiovi </w:t>
      </w:r>
      <w:r>
        <w:t>posloužil k nepřímé</w:t>
      </w:r>
      <w:r w:rsidRPr="00273106">
        <w:t xml:space="preserve"> </w:t>
      </w:r>
      <w:r>
        <w:t xml:space="preserve">kritice Bonaventury, který </w:t>
      </w:r>
      <w:r w:rsidRPr="00273106">
        <w:t>chápe impulz ze smyslů pouze jako zdroj pro reminiscenci</w:t>
      </w:r>
      <w:r>
        <w:t xml:space="preserve"> v rámci </w:t>
      </w:r>
      <w:r w:rsidRPr="0048420E">
        <w:rPr>
          <w:i/>
        </w:rPr>
        <w:t>memoria</w:t>
      </w:r>
      <w:r>
        <w:t xml:space="preserve"> </w:t>
      </w:r>
      <w:r>
        <w:rPr>
          <w:i/>
        </w:rPr>
        <w:fldChar w:fldCharType="begin"/>
      </w:r>
      <w:r>
        <w:instrText xml:space="preserve"> XE "</w:instrText>
      </w:r>
      <w:r w:rsidRPr="00840D0F">
        <w:rPr>
          <w:i/>
        </w:rPr>
        <w:instrText>memoria:</w:instrText>
      </w:r>
      <w:r w:rsidRPr="00840D0F">
        <w:instrText>druhý averroismus</w:instrText>
      </w:r>
      <w:r>
        <w:instrText xml:space="preserve">" </w:instrText>
      </w:r>
      <w:r>
        <w:rPr>
          <w:i/>
        </w:rPr>
        <w:fldChar w:fldCharType="end"/>
      </w:r>
      <w:r w:rsidRPr="00273106">
        <w:t xml:space="preserve"> (Rohmer 1928, 163ff</w:t>
      </w:r>
      <w:r>
        <w:t>).</w:t>
      </w:r>
      <w:r w:rsidRPr="08F62FA0">
        <w:t xml:space="preserve"> </w:t>
      </w:r>
      <w:r w:rsidRPr="00273106">
        <w:t xml:space="preserve">Plné nazírání exemplaru a </w:t>
      </w:r>
      <w:r w:rsidRPr="00273106">
        <w:rPr>
          <w:i/>
        </w:rPr>
        <w:t>rationes seminales</w:t>
      </w:r>
      <w:r>
        <w:rPr>
          <w:i/>
        </w:rPr>
        <w:fldChar w:fldCharType="begin"/>
      </w:r>
      <w:r>
        <w:instrText xml:space="preserve"> XE "</w:instrText>
      </w:r>
      <w:r w:rsidRPr="00842B74">
        <w:rPr>
          <w:i/>
        </w:rPr>
        <w:instrText>rationes seminales</w:instrText>
      </w:r>
      <w:r>
        <w:instrText xml:space="preserve">" </w:instrText>
      </w:r>
      <w:r>
        <w:rPr>
          <w:i/>
        </w:rPr>
        <w:fldChar w:fldCharType="end"/>
      </w:r>
      <w:r w:rsidRPr="00273106">
        <w:t xml:space="preserve"> ve věcech by podle Aquasparty zrušilo rozdíl mezi smyslovým a intelektuálním poznáním. Pak by </w:t>
      </w:r>
      <w:r w:rsidRPr="00273106">
        <w:rPr>
          <w:i/>
        </w:rPr>
        <w:t>intellectus possibilis</w:t>
      </w:r>
      <w:r>
        <w:rPr>
          <w:i/>
        </w:rPr>
        <w:fldChar w:fldCharType="begin"/>
      </w:r>
      <w:r>
        <w:instrText xml:space="preserve"> XE "</w:instrText>
      </w:r>
      <w:r w:rsidRPr="00770D02">
        <w:rPr>
          <w:i/>
        </w:rPr>
        <w:instrText>intellectus possibilis</w:instrText>
      </w:r>
      <w:r>
        <w:instrText xml:space="preserve">" </w:instrText>
      </w:r>
      <w:r>
        <w:rPr>
          <w:i/>
        </w:rPr>
        <w:fldChar w:fldCharType="end"/>
      </w:r>
      <w:r w:rsidRPr="00273106">
        <w:t xml:space="preserve"> </w:t>
      </w:r>
      <w:r>
        <w:t xml:space="preserve">dělal totéž co smysly. Tehdy zkoumaný a diskutovaný </w:t>
      </w:r>
      <w:r w:rsidRPr="00273106">
        <w:rPr>
          <w:i/>
        </w:rPr>
        <w:t>intellectus agens</w:t>
      </w:r>
      <w:r>
        <w:rPr>
          <w:i/>
        </w:rPr>
        <w:fldChar w:fldCharType="begin"/>
      </w:r>
      <w:r>
        <w:instrText xml:space="preserve"> XE "</w:instrText>
      </w:r>
      <w:r w:rsidRPr="00490D32">
        <w:rPr>
          <w:i/>
        </w:rPr>
        <w:instrText>intellectus agens:</w:instrText>
      </w:r>
      <w:r w:rsidRPr="00273106">
        <w:instrText>Aquasparta</w:instrText>
      </w:r>
      <w:r>
        <w:instrText xml:space="preserve"> " </w:instrText>
      </w:r>
      <w:r>
        <w:rPr>
          <w:i/>
        </w:rPr>
        <w:fldChar w:fldCharType="end"/>
      </w:r>
      <w:r>
        <w:t xml:space="preserve"> andělů a </w:t>
      </w:r>
      <w:r w:rsidR="08DC6FFA">
        <w:t xml:space="preserve">nebeských duchovních </w:t>
      </w:r>
      <w:r>
        <w:t xml:space="preserve">bytostí </w:t>
      </w:r>
      <w:r w:rsidRPr="00273106">
        <w:t xml:space="preserve">by se </w:t>
      </w:r>
      <w:r>
        <w:t xml:space="preserve">přestal lišit od lidského intektu založeného na </w:t>
      </w:r>
      <w:r w:rsidRPr="00273106">
        <w:t>smyslové</w:t>
      </w:r>
      <w:r>
        <w:t>m</w:t>
      </w:r>
      <w:r w:rsidRPr="00273106">
        <w:t xml:space="preserve"> poznání.</w:t>
      </w:r>
      <w:r>
        <w:t xml:space="preserve"> </w:t>
      </w:r>
      <w:r w:rsidRPr="00273106">
        <w:t>Aquasparta</w:t>
      </w:r>
      <w:r>
        <w:fldChar w:fldCharType="begin"/>
      </w:r>
      <w:r>
        <w:instrText xml:space="preserve"> XE "</w:instrText>
      </w:r>
      <w:r w:rsidRPr="003B1826">
        <w:instrText>Aquasparta, M.</w:instrText>
      </w:r>
      <w:r>
        <w:instrText xml:space="preserve">" </w:instrText>
      </w:r>
      <w:r>
        <w:fldChar w:fldCharType="end"/>
      </w:r>
      <w:r w:rsidRPr="00273106">
        <w:t xml:space="preserve"> integroval Aristotelovo schéma poznání v </w:t>
      </w:r>
      <w:proofErr w:type="gramStart"/>
      <w:r>
        <w:rPr>
          <w:i/>
        </w:rPr>
        <w:t>De</w:t>
      </w:r>
      <w:proofErr w:type="gramEnd"/>
      <w:r>
        <w:rPr>
          <w:i/>
        </w:rPr>
        <w:t xml:space="preserve"> anima</w:t>
      </w:r>
      <w:r w:rsidRPr="00273106">
        <w:rPr>
          <w:i/>
        </w:rPr>
        <w:t xml:space="preserve"> </w:t>
      </w:r>
      <w:r w:rsidRPr="00273106">
        <w:t xml:space="preserve">do iluminace augustiniánského intelektu. Aristotelova teorie abstrakce zajišťuje zásadní rozdíl mezi smyslovým a intelektuálním poznáním, proto nesmí chybět ve schématu druhého averroismu. Duše </w:t>
      </w:r>
      <w:r>
        <w:t xml:space="preserve">ale </w:t>
      </w:r>
      <w:r w:rsidRPr="00273106">
        <w:t xml:space="preserve">není </w:t>
      </w:r>
      <w:r>
        <w:t xml:space="preserve">pro Aquaspartu </w:t>
      </w:r>
      <w:r w:rsidRPr="00273106">
        <w:rPr>
          <w:i/>
        </w:rPr>
        <w:t>tabula rasa</w:t>
      </w:r>
      <w:r>
        <w:rPr>
          <w:i/>
        </w:rPr>
        <w:fldChar w:fldCharType="begin"/>
      </w:r>
      <w:r>
        <w:instrText xml:space="preserve"> XE "</w:instrText>
      </w:r>
      <w:r w:rsidRPr="00CE6D17">
        <w:rPr>
          <w:i/>
        </w:rPr>
        <w:instrText>tabula rasa</w:instrText>
      </w:r>
      <w:r>
        <w:instrText xml:space="preserve">" </w:instrText>
      </w:r>
      <w:r>
        <w:rPr>
          <w:i/>
        </w:rPr>
        <w:fldChar w:fldCharType="end"/>
      </w:r>
      <w:r w:rsidRPr="00273106">
        <w:t xml:space="preserve"> prvního averroismu, protože z hlediska </w:t>
      </w:r>
      <w:r>
        <w:t xml:space="preserve">vlastní </w:t>
      </w:r>
      <w:r w:rsidRPr="00273106">
        <w:t>imanentn</w:t>
      </w:r>
      <w:r>
        <w:t>ě dané</w:t>
      </w:r>
      <w:r w:rsidRPr="00273106">
        <w:t xml:space="preserve"> aktuality p</w:t>
      </w:r>
      <w:r>
        <w:t>roporcionálně reaguje na přijatá</w:t>
      </w:r>
      <w:r w:rsidRPr="00273106">
        <w:t xml:space="preserve"> </w:t>
      </w:r>
      <w:r w:rsidR="00962190" w:rsidRPr="005454D5">
        <w:t>species</w:t>
      </w:r>
      <w:r w:rsidRPr="00273106">
        <w:t xml:space="preserve">. Duše pasivně vnímá </w:t>
      </w:r>
      <w:r>
        <w:t>smyslová</w:t>
      </w:r>
      <w:r w:rsidRPr="00273106">
        <w:t xml:space="preserve"> </w:t>
      </w:r>
      <w:r w:rsidR="00962190" w:rsidRPr="005454D5">
        <w:t>species</w:t>
      </w:r>
      <w:r w:rsidRPr="00273106">
        <w:t xml:space="preserve">, ale současně tato </w:t>
      </w:r>
      <w:r w:rsidR="00962190" w:rsidRPr="005454D5">
        <w:t>species</w:t>
      </w:r>
      <w:r w:rsidRPr="00273106">
        <w:t xml:space="preserve"> aktivně formuje, a to </w:t>
      </w:r>
      <w:r w:rsidRPr="00273106">
        <w:rPr>
          <w:iCs/>
        </w:rPr>
        <w:t>podle aktuálně nazírané</w:t>
      </w:r>
      <w:r>
        <w:rPr>
          <w:iCs/>
        </w:rPr>
        <w:t xml:space="preserve">ho exemplaru. </w:t>
      </w:r>
      <w:r w:rsidR="00962190" w:rsidRPr="005454D5">
        <w:rPr>
          <w:iCs/>
        </w:rPr>
        <w:t>Species</w:t>
      </w:r>
      <w:r>
        <w:rPr>
          <w:iCs/>
        </w:rPr>
        <w:t xml:space="preserve"> uložená</w:t>
      </w:r>
      <w:r w:rsidRPr="00273106">
        <w:rPr>
          <w:iCs/>
        </w:rPr>
        <w:t xml:space="preserve"> v</w:t>
      </w:r>
      <w:r>
        <w:rPr>
          <w:iCs/>
        </w:rPr>
        <w:t> </w:t>
      </w:r>
      <w:r w:rsidRPr="00273106">
        <w:rPr>
          <w:iCs/>
        </w:rPr>
        <w:t>paměti</w:t>
      </w:r>
      <w:r>
        <w:rPr>
          <w:iCs/>
        </w:rPr>
        <w:t xml:space="preserve"> </w:t>
      </w:r>
      <w:r w:rsidR="005454D5">
        <w:rPr>
          <w:iCs/>
        </w:rPr>
        <w:t xml:space="preserve">jako </w:t>
      </w:r>
      <w:r w:rsidRPr="007F19AD">
        <w:rPr>
          <w:i/>
          <w:iCs/>
        </w:rPr>
        <w:t>locus specierum</w:t>
      </w:r>
      <w:r>
        <w:rPr>
          <w:i/>
          <w:iCs/>
        </w:rPr>
        <w:fldChar w:fldCharType="begin"/>
      </w:r>
      <w:r>
        <w:instrText xml:space="preserve"> XE "</w:instrText>
      </w:r>
      <w:r w:rsidRPr="009E5259">
        <w:rPr>
          <w:i/>
        </w:rPr>
        <w:instrText>locus specierum</w:instrText>
      </w:r>
      <w:r>
        <w:instrText xml:space="preserve">" </w:instrText>
      </w:r>
      <w:r>
        <w:rPr>
          <w:i/>
          <w:iCs/>
        </w:rPr>
        <w:fldChar w:fldCharType="end"/>
      </w:r>
      <w:r>
        <w:rPr>
          <w:iCs/>
        </w:rPr>
        <w:t xml:space="preserve"> </w:t>
      </w:r>
      <w:r w:rsidRPr="00273106">
        <w:rPr>
          <w:iCs/>
        </w:rPr>
        <w:t>tvoří autonomní zdroj aktuality duše a intelektu koncipovaného v rámci augustiniánské iluminace</w:t>
      </w:r>
      <w:r>
        <w:rPr>
          <w:iCs/>
        </w:rPr>
        <w:t xml:space="preserve">. </w:t>
      </w:r>
      <w:r>
        <w:lastRenderedPageBreak/>
        <w:t>Aquasparta</w:t>
      </w:r>
      <w:r>
        <w:fldChar w:fldCharType="begin"/>
      </w:r>
      <w:r>
        <w:instrText xml:space="preserve"> XE "</w:instrText>
      </w:r>
      <w:r w:rsidRPr="003B1826">
        <w:instrText>Aquasparta, M.</w:instrText>
      </w:r>
      <w:r>
        <w:instrText xml:space="preserve">" </w:instrText>
      </w:r>
      <w:r>
        <w:fldChar w:fldCharType="end"/>
      </w:r>
      <w:r>
        <w:t xml:space="preserve"> </w:t>
      </w:r>
      <w:r w:rsidRPr="00273106">
        <w:t>drží pro poznání dva rovn</w:t>
      </w:r>
      <w:r>
        <w:t xml:space="preserve">ocenné principy: smysly a duši. Tím </w:t>
      </w:r>
      <w:r w:rsidRPr="00273106">
        <w:t>adaptoval františkánskou iluminaci na proces abstrakce podle prvníh</w:t>
      </w:r>
      <w:r>
        <w:t>o averroismu daný skrze smyslová</w:t>
      </w:r>
      <w:r w:rsidRPr="00273106">
        <w:t xml:space="preserve"> a inte</w:t>
      </w:r>
      <w:r>
        <w:t xml:space="preserve">ligibilní </w:t>
      </w:r>
      <w:r w:rsidR="00962190" w:rsidRPr="005454D5">
        <w:t>species</w:t>
      </w:r>
      <w:r>
        <w:t>. D</w:t>
      </w:r>
      <w:r w:rsidRPr="00273106">
        <w:t xml:space="preserve">uše musí </w:t>
      </w:r>
      <w:r>
        <w:t xml:space="preserve">poznání </w:t>
      </w:r>
      <w:r w:rsidR="00962190" w:rsidRPr="005454D5">
        <w:t>species</w:t>
      </w:r>
      <w:r w:rsidRPr="00273106">
        <w:t xml:space="preserve"> </w:t>
      </w:r>
      <w:r>
        <w:t>začínat abstrakcí od smysly poznané věci</w:t>
      </w:r>
      <w:r w:rsidRPr="00273106">
        <w:t>, jinak</w:t>
      </w:r>
      <w:r w:rsidR="00404119">
        <w:t xml:space="preserve"> by bylo poznání jen o ní samé.</w:t>
      </w:r>
    </w:p>
    <w:p w:rsidR="004318D9" w:rsidRDefault="08163013" w:rsidP="00C70B5C">
      <w:pPr>
        <w:ind w:firstLine="397"/>
      </w:pPr>
      <w:r>
        <w:t>Ve františkánské škole vzniklo po roce 1277 p</w:t>
      </w:r>
      <w:r w:rsidRPr="00273106">
        <w:t xml:space="preserve">ojetí </w:t>
      </w:r>
      <w:r w:rsidRPr="000C6090">
        <w:rPr>
          <w:i/>
        </w:rPr>
        <w:t>anima intellectiva</w:t>
      </w:r>
      <w:r>
        <w:t xml:space="preserve"> v modelu objektivního semiaverroismu</w:t>
      </w:r>
      <w:r w:rsidRPr="00273106">
        <w:t xml:space="preserve">, v němž má intelekt vlastní aktualitu a současně poznává věci směrem od smyslů skrze oba druhy abstrahovaných </w:t>
      </w:r>
      <w:r w:rsidR="00962190" w:rsidRPr="005454D5">
        <w:t>species</w:t>
      </w:r>
      <w:r>
        <w:t xml:space="preserve"> (</w:t>
      </w:r>
      <w:r w:rsidRPr="007B429C">
        <w:rPr>
          <w:i/>
        </w:rPr>
        <w:t>sensibilis</w:t>
      </w:r>
      <w:r>
        <w:t xml:space="preserve">, </w:t>
      </w:r>
      <w:r w:rsidRPr="007B429C">
        <w:rPr>
          <w:i/>
        </w:rPr>
        <w:t>intelligibilis</w:t>
      </w:r>
      <w:r>
        <w:t>)</w:t>
      </w:r>
      <w:r w:rsidRPr="00273106">
        <w:t xml:space="preserve">. </w:t>
      </w:r>
      <w:r>
        <w:rPr>
          <w:iCs/>
        </w:rPr>
        <w:t xml:space="preserve">Aktualita poznání </w:t>
      </w:r>
      <w:r w:rsidRPr="00273106">
        <w:rPr>
          <w:iCs/>
        </w:rPr>
        <w:t>jde zepředu, nasvícením od věci, ale současně i zezadu, od exemplaru daného jako světlo pro pasivní a činný intelekt.</w:t>
      </w:r>
      <w:r>
        <w:rPr>
          <w:iCs/>
        </w:rPr>
        <w:t xml:space="preserve"> </w:t>
      </w:r>
      <w:r>
        <w:t>Představitelé františkánů proto skončili s kritikou tomismu a kritizovali už pouze Sigerovu školu. Společným rysem této fůze objektivistů ze školy prvního a druhého averroismu byla kritika jimi vytvořeného averroistického Averroese. Adaptací poznání se sblížila stanoviska semiaverroistů ze školy prvního averroismu (Akvinský, Aegidius Romanus</w:t>
      </w:r>
      <w:r>
        <w:fldChar w:fldCharType="begin"/>
      </w:r>
      <w:r>
        <w:instrText xml:space="preserve"> XE "</w:instrText>
      </w:r>
      <w:r w:rsidRPr="00B54432">
        <w:instrText>Aegidius Romanus</w:instrText>
      </w:r>
      <w:r>
        <w:instrText xml:space="preserve">" </w:instrText>
      </w:r>
      <w:r>
        <w:fldChar w:fldCharType="end"/>
      </w:r>
      <w:r>
        <w:t xml:space="preserve">) s novou vlnou modernistů vedených Aquaspartou. </w:t>
      </w:r>
      <w:r w:rsidRPr="00273106">
        <w:t xml:space="preserve">Modernisté </w:t>
      </w:r>
      <w:r>
        <w:t>ovlivnění schématem</w:t>
      </w:r>
      <w:r w:rsidRPr="00273106">
        <w:t xml:space="preserve"> semiaverroismu, ať již daného z pozice prvního averroismu (Aegidius Romanus, </w:t>
      </w:r>
      <w:r w:rsidRPr="00273106">
        <w:rPr>
          <w:rStyle w:val="st"/>
        </w:rPr>
        <w:t>Godefroid de Fontaines</w:t>
      </w:r>
      <w:r>
        <w:rPr>
          <w:rStyle w:val="st"/>
        </w:rPr>
        <w:fldChar w:fldCharType="begin"/>
      </w:r>
      <w:r>
        <w:instrText xml:space="preserve"> XE "</w:instrText>
      </w:r>
      <w:r w:rsidRPr="00273106">
        <w:rPr>
          <w:rStyle w:val="st"/>
        </w:rPr>
        <w:instrText>Godefroid de Fontaines</w:instrText>
      </w:r>
      <w:r>
        <w:instrText xml:space="preserve">" </w:instrText>
      </w:r>
      <w:r>
        <w:rPr>
          <w:rStyle w:val="st"/>
        </w:rPr>
        <w:fldChar w:fldCharType="end"/>
      </w:r>
      <w:r w:rsidRPr="00273106">
        <w:t>) nebo druhého averroismu (Aquasparta</w:t>
      </w:r>
      <w:r>
        <w:fldChar w:fldCharType="begin"/>
      </w:r>
      <w:r>
        <w:instrText xml:space="preserve"> XE "</w:instrText>
      </w:r>
      <w:r w:rsidRPr="003B1826">
        <w:instrText>Aquasparta, M.</w:instrText>
      </w:r>
      <w:r>
        <w:instrText xml:space="preserve">" </w:instrText>
      </w:r>
      <w:r>
        <w:fldChar w:fldCharType="end"/>
      </w:r>
      <w:r w:rsidRPr="00273106">
        <w:t xml:space="preserve">) už nepotřebují aktualitu první substance jako jediného garanta pro zajištění smyslu jsoucna. </w:t>
      </w:r>
      <w:r w:rsidRPr="00273106">
        <w:rPr>
          <w:rStyle w:val="st"/>
        </w:rPr>
        <w:t>Godefroid de Fontaines</w:t>
      </w:r>
      <w:r>
        <w:rPr>
          <w:rStyle w:val="st"/>
        </w:rPr>
        <w:fldChar w:fldCharType="begin"/>
      </w:r>
      <w:r>
        <w:instrText xml:space="preserve"> XE "</w:instrText>
      </w:r>
      <w:r w:rsidRPr="085E2DF6">
        <w:rPr>
          <w:rStyle w:val="st"/>
        </w:rPr>
        <w:instrText>Godefroid de Fontaines</w:instrText>
      </w:r>
      <w:r>
        <w:instrText xml:space="preserve">" </w:instrText>
      </w:r>
      <w:r>
        <w:rPr>
          <w:rStyle w:val="st"/>
        </w:rPr>
        <w:fldChar w:fldCharType="end"/>
      </w:r>
      <w:r w:rsidRPr="00273106">
        <w:rPr>
          <w:rStyle w:val="st"/>
        </w:rPr>
        <w:t xml:space="preserve"> měl po Aegidiovi Romanovi rozhodující vliv na utváření objektivity </w:t>
      </w:r>
      <w:r w:rsidRPr="00273106">
        <w:t xml:space="preserve">kolem 1290 v prostředí prvního averroismu. </w:t>
      </w:r>
      <w:r>
        <w:t xml:space="preserve">Ale </w:t>
      </w:r>
      <w:r w:rsidRPr="00273106">
        <w:t xml:space="preserve">Henry z </w:t>
      </w:r>
      <w:proofErr w:type="gramStart"/>
      <w:r w:rsidRPr="00273106">
        <w:t>Gentu</w:t>
      </w:r>
      <w:proofErr w:type="gramEnd"/>
      <w:r>
        <w:t xml:space="preserve"> vytvořil systém </w:t>
      </w:r>
      <w:r w:rsidRPr="00273106">
        <w:t>objektivity o dekádu dříve</w:t>
      </w:r>
      <w:r>
        <w:t>, proto rozebíráme hlavně jeho pojetí</w:t>
      </w:r>
      <w:r w:rsidRPr="00273106">
        <w:t xml:space="preserve">. </w:t>
      </w:r>
      <w:r w:rsidRPr="00273106">
        <w:rPr>
          <w:rStyle w:val="st"/>
        </w:rPr>
        <w:t>Godefroidovo d</w:t>
      </w:r>
      <w:r w:rsidRPr="00273106">
        <w:t xml:space="preserve">ílo </w:t>
      </w:r>
      <w:r w:rsidRPr="00273106">
        <w:rPr>
          <w:i/>
        </w:rPr>
        <w:t>Quodlibet</w:t>
      </w:r>
      <w:r w:rsidRPr="00273106">
        <w:t xml:space="preserve"> V ukazuje nové pojetí poznání kombinující abstrakci z fantasmat s nasvícením jsoucna od aktivního intelektu</w:t>
      </w:r>
      <w:r>
        <w:fldChar w:fldCharType="begin"/>
      </w:r>
      <w:r>
        <w:instrText xml:space="preserve"> XE "</w:instrText>
      </w:r>
      <w:r w:rsidRPr="00074FF7">
        <w:instrText>zjevování:nasvícení zezadu</w:instrText>
      </w:r>
      <w:r>
        <w:instrText xml:space="preserve">" </w:instrText>
      </w:r>
      <w:r>
        <w:fldChar w:fldCharType="end"/>
      </w:r>
      <w:r w:rsidRPr="00273106">
        <w:t>, který vlastní aktualitou řídí celý proces poznání.</w:t>
      </w:r>
      <w:r w:rsidRPr="00273106">
        <w:rPr>
          <w:rStyle w:val="Znakapoznpodarou"/>
        </w:rPr>
        <w:footnoteReference w:id="392"/>
      </w:r>
      <w:r w:rsidRPr="00273106">
        <w:t xml:space="preserve"> </w:t>
      </w:r>
      <w:r>
        <w:t>O</w:t>
      </w:r>
      <w:r w:rsidRPr="00273106">
        <w:t xml:space="preserve">ddělený </w:t>
      </w:r>
      <w:r w:rsidRPr="00273106">
        <w:rPr>
          <w:i/>
        </w:rPr>
        <w:t>intellectus agens</w:t>
      </w:r>
      <w:r>
        <w:rPr>
          <w:i/>
        </w:rPr>
        <w:fldChar w:fldCharType="begin"/>
      </w:r>
      <w:r>
        <w:instrText xml:space="preserve"> XE "</w:instrText>
      </w:r>
      <w:r w:rsidRPr="00490D32">
        <w:rPr>
          <w:i/>
        </w:rPr>
        <w:instrText>intellectus agens:</w:instrText>
      </w:r>
      <w:r w:rsidRPr="00273106">
        <w:rPr>
          <w:rStyle w:val="st"/>
        </w:rPr>
        <w:instrText>Godefroid de Fontaines</w:instrText>
      </w:r>
      <w:r>
        <w:instrText xml:space="preserve">" </w:instrText>
      </w:r>
      <w:r>
        <w:rPr>
          <w:i/>
        </w:rPr>
        <w:fldChar w:fldCharType="end"/>
      </w:r>
      <w:r w:rsidRPr="00273106">
        <w:t xml:space="preserve"> spoluurčuje poznání směrem od nazírání esencí</w:t>
      </w:r>
      <w:r>
        <w:t>. C</w:t>
      </w:r>
      <w:r w:rsidRPr="00273106">
        <w:t xml:space="preserve">hybí kauzální napojení </w:t>
      </w:r>
      <w:r>
        <w:t xml:space="preserve">poznání </w:t>
      </w:r>
      <w:r w:rsidRPr="00273106">
        <w:t xml:space="preserve">na fantasmata jako v prvním averroismu, protože </w:t>
      </w:r>
      <w:r>
        <w:t xml:space="preserve">smyslová a inteligibilní </w:t>
      </w:r>
      <w:r w:rsidR="00962190" w:rsidRPr="00381BC9">
        <w:t>species</w:t>
      </w:r>
      <w:r>
        <w:rPr>
          <w:i/>
        </w:rPr>
        <w:t xml:space="preserve"> </w:t>
      </w:r>
      <w:r w:rsidRPr="087F17DD">
        <w:t>jsou od sebe oddělena</w:t>
      </w:r>
      <w:r w:rsidRPr="00273106">
        <w:t>. Kvůli individ</w:t>
      </w:r>
      <w:r>
        <w:t>ualitě fantasmat není možné jeji</w:t>
      </w:r>
      <w:r w:rsidRPr="00273106">
        <w:t xml:space="preserve">ch působení na oddělený nemateriální intelekt pracující pouze s univerzáliemi. Godefroy pracuje v řádu univerzálního určení jsoucna, které aktivní intelekt produkuje sám ze sebe. Proces abstrakce řídí oddělený </w:t>
      </w:r>
      <w:r w:rsidRPr="00273106">
        <w:rPr>
          <w:i/>
        </w:rPr>
        <w:t>intellectus agens</w:t>
      </w:r>
      <w:r>
        <w:rPr>
          <w:i/>
        </w:rPr>
        <w:fldChar w:fldCharType="begin"/>
      </w:r>
      <w:r>
        <w:instrText xml:space="preserve"> XE </w:instrText>
      </w:r>
      <w:r>
        <w:lastRenderedPageBreak/>
        <w:instrText>"</w:instrText>
      </w:r>
      <w:r w:rsidRPr="00490D32">
        <w:rPr>
          <w:i/>
        </w:rPr>
        <w:instrText>intellectus agens:</w:instrText>
      </w:r>
      <w:r w:rsidRPr="009D7BC5">
        <w:instrText>moderna</w:instrText>
      </w:r>
      <w:r>
        <w:instrText xml:space="preserve">" </w:instrText>
      </w:r>
      <w:r>
        <w:rPr>
          <w:i/>
        </w:rPr>
        <w:fldChar w:fldCharType="end"/>
      </w:r>
      <w:r w:rsidRPr="00273106">
        <w:t xml:space="preserve"> determinovaný v averroistické formě kvazi-substance, který přímo působí na fantasmata</w:t>
      </w:r>
      <w:r>
        <w:t xml:space="preserve"> nasvícením zezadu</w:t>
      </w:r>
      <w:r w:rsidRPr="00273106">
        <w:t>.</w:t>
      </w:r>
      <w:r>
        <w:t xml:space="preserve"> </w:t>
      </w:r>
      <w:r w:rsidR="00C40746" w:rsidRPr="00C40746">
        <w:t xml:space="preserve">Základní charakteristikou tohoto objektivního averroismu je dualismus poznání, které vychází </w:t>
      </w:r>
      <w:r w:rsidR="00C40746">
        <w:t xml:space="preserve">odděleně </w:t>
      </w:r>
      <w:r w:rsidR="00C40746" w:rsidRPr="00C40746">
        <w:t xml:space="preserve">ze smyslů a </w:t>
      </w:r>
      <w:r w:rsidR="00C40746">
        <w:t>z intelektu</w:t>
      </w:r>
      <w:r>
        <w:fldChar w:fldCharType="begin"/>
      </w:r>
      <w:r>
        <w:instrText xml:space="preserve"> XE "</w:instrText>
      </w:r>
      <w:r w:rsidRPr="0023614D">
        <w:instrText>osoba:dualismus</w:instrText>
      </w:r>
      <w:r>
        <w:instrText xml:space="preserve">" </w:instrText>
      </w:r>
      <w:r>
        <w:fldChar w:fldCharType="end"/>
      </w:r>
      <w:r w:rsidRPr="00273106">
        <w:t>.</w:t>
      </w:r>
      <w:r w:rsidRPr="00273106">
        <w:rPr>
          <w:rStyle w:val="Znakapoznpodarou"/>
        </w:rPr>
        <w:footnoteReference w:id="393"/>
      </w:r>
      <w:r w:rsidRPr="00273106">
        <w:t xml:space="preserve"> Godefroy má </w:t>
      </w:r>
      <w:r>
        <w:t xml:space="preserve">podobné </w:t>
      </w:r>
      <w:r w:rsidRPr="00273106">
        <w:t xml:space="preserve">pojetí objektivní abstrakce jako Aegidius Romanus kolem 1287 v </w:t>
      </w:r>
      <w:r w:rsidRPr="00273106">
        <w:rPr>
          <w:i/>
        </w:rPr>
        <w:t>Quodlibet</w:t>
      </w:r>
      <w:r w:rsidR="08C56C9C">
        <w:t xml:space="preserve"> II (kap. 4</w:t>
      </w:r>
      <w:r w:rsidRPr="00273106">
        <w:t xml:space="preserve">.3.3). </w:t>
      </w:r>
      <w:r>
        <w:t>Objektivní semiaverroisté ale na rozdíl od Akvinského odmítli schéma poznání podle prvního averroi</w:t>
      </w:r>
      <w:r w:rsidRPr="00273106">
        <w:t>s</w:t>
      </w:r>
      <w:r>
        <w:t>m</w:t>
      </w:r>
      <w:r w:rsidRPr="00273106">
        <w:t xml:space="preserve">u </w:t>
      </w:r>
      <w:r>
        <w:t xml:space="preserve">a zrušili </w:t>
      </w:r>
      <w:r w:rsidRPr="00273106">
        <w:t>adekvaci intelektu a věci</w:t>
      </w:r>
      <w:r>
        <w:t xml:space="preserve"> danou pomocí kauzální a formální kauzality skrze abstrahovaná </w:t>
      </w:r>
      <w:r w:rsidR="00962190" w:rsidRPr="00381BC9">
        <w:t>species</w:t>
      </w:r>
      <w:r>
        <w:fldChar w:fldCharType="begin"/>
      </w:r>
      <w:r>
        <w:instrText xml:space="preserve"> XE "</w:instrText>
      </w:r>
      <w:r w:rsidRPr="002F4406">
        <w:instrText>zjevování:obje</w:instrText>
      </w:r>
      <w:r>
        <w:instrText>k</w:instrText>
      </w:r>
      <w:r w:rsidRPr="002F4406">
        <w:instrText>tivní averroismus</w:instrText>
      </w:r>
      <w:r>
        <w:instrText xml:space="preserve">" </w:instrText>
      </w:r>
      <w:r>
        <w:fldChar w:fldCharType="end"/>
      </w:r>
      <w:r w:rsidRPr="00273106">
        <w:t>.</w:t>
      </w:r>
      <w:r>
        <w:t xml:space="preserve"> Intencionální </w:t>
      </w:r>
      <w:r w:rsidRPr="00273106">
        <w:t xml:space="preserve">produkt </w:t>
      </w:r>
      <w:r>
        <w:t xml:space="preserve">daný v představivosti </w:t>
      </w:r>
      <w:r w:rsidRPr="00273106">
        <w:t>(</w:t>
      </w:r>
      <w:r w:rsidR="00962190">
        <w:rPr>
          <w:i/>
        </w:rPr>
        <w:t>species</w:t>
      </w:r>
      <w:r w:rsidRPr="00273106">
        <w:rPr>
          <w:i/>
        </w:rPr>
        <w:t xml:space="preserve"> sensibilis</w:t>
      </w:r>
      <w:r>
        <w:rPr>
          <w:i/>
        </w:rPr>
        <w:fldChar w:fldCharType="begin"/>
      </w:r>
      <w:r>
        <w:instrText xml:space="preserve"> XE "</w:instrText>
      </w:r>
      <w:r w:rsidRPr="00374FA1">
        <w:rPr>
          <w:i/>
        </w:rPr>
        <w:instrText>species sensibilis</w:instrText>
      </w:r>
      <w:r>
        <w:instrText xml:space="preserve">" </w:instrText>
      </w:r>
      <w:r>
        <w:rPr>
          <w:i/>
        </w:rPr>
        <w:fldChar w:fldCharType="end"/>
      </w:r>
      <w:r>
        <w:t xml:space="preserve">) je ve schématu </w:t>
      </w:r>
      <w:r w:rsidRPr="08F92CC8">
        <w:rPr>
          <w:i/>
        </w:rPr>
        <w:t>Oxfordian Fallacy</w:t>
      </w:r>
      <w:r>
        <w:t xml:space="preserve"> </w:t>
      </w:r>
      <w:r w:rsidRPr="00273106">
        <w:t xml:space="preserve">univočně </w:t>
      </w:r>
      <w:r>
        <w:t xml:space="preserve">spojen </w:t>
      </w:r>
      <w:r w:rsidRPr="00273106">
        <w:t xml:space="preserve">s </w:t>
      </w:r>
      <w:r>
        <w:t xml:space="preserve">porretánským </w:t>
      </w:r>
      <w:r w:rsidRPr="00273106">
        <w:t xml:space="preserve">pojetím </w:t>
      </w:r>
      <w:r w:rsidR="00962190" w:rsidRPr="008058F4">
        <w:t>species</w:t>
      </w:r>
      <w:r w:rsidRPr="00273106">
        <w:t xml:space="preserve"> jako esence nebo formy. </w:t>
      </w:r>
      <w:r>
        <w:t xml:space="preserve">Tím vzniklo objektivní určení jsoucna formované podle Rufusova modelu </w:t>
      </w:r>
      <w:r w:rsidR="008058F4">
        <w:t>„</w:t>
      </w:r>
      <w:r w:rsidR="00962190">
        <w:rPr>
          <w:i/>
        </w:rPr>
        <w:t>species</w:t>
      </w:r>
      <w:r w:rsidRPr="00E72052">
        <w:rPr>
          <w:i/>
        </w:rPr>
        <w:t xml:space="preserve"> obiecti exsistentis</w:t>
      </w:r>
      <w:r w:rsidR="008058F4">
        <w:t>“</w:t>
      </w:r>
      <w:r>
        <w:rPr>
          <w:i/>
        </w:rPr>
        <w:fldChar w:fldCharType="begin"/>
      </w:r>
      <w:r>
        <w:instrText xml:space="preserve"> XE "</w:instrText>
      </w:r>
      <w:r w:rsidRPr="00D35849">
        <w:rPr>
          <w:i/>
        </w:rPr>
        <w:instrText>species obiecti exsistentis</w:instrText>
      </w:r>
      <w:r>
        <w:instrText xml:space="preserve">" </w:instrText>
      </w:r>
      <w:r>
        <w:rPr>
          <w:i/>
        </w:rPr>
        <w:fldChar w:fldCharType="end"/>
      </w:r>
      <w:r>
        <w:rPr>
          <w:i/>
        </w:rPr>
        <w:t xml:space="preserve"> </w:t>
      </w:r>
      <w:r>
        <w:t>(</w:t>
      </w:r>
      <w:r w:rsidR="08282672">
        <w:t>OBJ II, kap. 3</w:t>
      </w:r>
      <w:r w:rsidRPr="00273106">
        <w:t>.3.4</w:t>
      </w:r>
      <w:r>
        <w:t xml:space="preserve">). </w:t>
      </w:r>
      <w:r w:rsidRPr="00273106">
        <w:t xml:space="preserve">Receptivní složka duše ve formě </w:t>
      </w:r>
      <w:r w:rsidRPr="00273106">
        <w:rPr>
          <w:i/>
        </w:rPr>
        <w:t xml:space="preserve">intellectus possibilis </w:t>
      </w:r>
      <w:r w:rsidRPr="00273106">
        <w:t xml:space="preserve">je zbytečná, protože aktivní intelekt vytváří </w:t>
      </w:r>
      <w:r w:rsidRPr="00273106">
        <w:rPr>
          <w:i/>
        </w:rPr>
        <w:t>obiectum</w:t>
      </w:r>
      <w:r w:rsidRPr="00273106">
        <w:t xml:space="preserve"> poznání</w:t>
      </w:r>
      <w:r>
        <w:t>. Má k tomu vlastní aktualitu a substanční schopnosti dané habituálně</w:t>
      </w:r>
      <w:r w:rsidRPr="00273106">
        <w:t xml:space="preserve">. V nauce objektivních averroistů </w:t>
      </w:r>
      <w:r>
        <w:t xml:space="preserve">po roce 1277 </w:t>
      </w:r>
      <w:r w:rsidRPr="00273106">
        <w:t xml:space="preserve">se koncept receptivního intelektu stal zbytečným, protože jej ztotožnili s hylickým intelektem daným individuálně a smyslově. </w:t>
      </w:r>
      <w:r>
        <w:t xml:space="preserve">Jejich </w:t>
      </w:r>
      <w:r w:rsidRPr="00273106">
        <w:rPr>
          <w:i/>
        </w:rPr>
        <w:t>intellectus possibilis</w:t>
      </w:r>
      <w:r w:rsidRPr="00273106">
        <w:t xml:space="preserve"> </w:t>
      </w:r>
      <w:r>
        <w:t xml:space="preserve">funguje </w:t>
      </w:r>
      <w:r w:rsidRPr="00273106">
        <w:t xml:space="preserve">jako </w:t>
      </w:r>
      <w:r>
        <w:t>neoplatonsk</w:t>
      </w:r>
      <w:r w:rsidRPr="00273106">
        <w:t xml:space="preserve">ý intelekt Avicenny a má poznávací funkci jen vzhledem </w:t>
      </w:r>
      <w:r w:rsidRPr="00273106">
        <w:rPr>
          <w:i/>
        </w:rPr>
        <w:t>intellectus agens</w:t>
      </w:r>
      <w:r w:rsidRPr="00273106">
        <w:t xml:space="preserve"> a vzhledem k automním </w:t>
      </w:r>
      <w:r w:rsidR="00962190">
        <w:rPr>
          <w:i/>
        </w:rPr>
        <w:t>species</w:t>
      </w:r>
      <w:r w:rsidRPr="00273106">
        <w:t>, nikoliv vzhledem ke smyslové abstrakci.</w:t>
      </w:r>
      <w:r>
        <w:t xml:space="preserve"> Tyto </w:t>
      </w:r>
      <w:r w:rsidRPr="00273106">
        <w:t>moderní</w:t>
      </w:r>
      <w:r>
        <w:t xml:space="preserve"> alexandrovce</w:t>
      </w:r>
      <w:r>
        <w:fldChar w:fldCharType="begin"/>
      </w:r>
      <w:r>
        <w:instrText xml:space="preserve"> XE "alexandrovci" </w:instrText>
      </w:r>
      <w:r>
        <w:fldChar w:fldCharType="end"/>
      </w:r>
      <w:r>
        <w:t xml:space="preserve"> </w:t>
      </w:r>
      <w:r w:rsidRPr="00273106">
        <w:t xml:space="preserve">kritizoval </w:t>
      </w:r>
      <w:r>
        <w:t>Averroes</w:t>
      </w:r>
      <w:r w:rsidRPr="00273106">
        <w:t xml:space="preserve"> už v jeho době</w:t>
      </w:r>
      <w:r>
        <w:t xml:space="preserve"> a po nich celá škola prvního averroismu</w:t>
      </w:r>
      <w:r w:rsidR="00215A3C">
        <w:t xml:space="preserve">, viz </w:t>
      </w:r>
      <w:r>
        <w:t>termín</w:t>
      </w:r>
      <w:r w:rsidR="00215A3C">
        <w:t>y</w:t>
      </w:r>
      <w:r>
        <w:t xml:space="preserve"> </w:t>
      </w:r>
      <w:r w:rsidR="00215A3C">
        <w:t>„</w:t>
      </w:r>
      <w:r w:rsidRPr="08F15F22">
        <w:rPr>
          <w:i/>
        </w:rPr>
        <w:t>sequaces Aristotelis</w:t>
      </w:r>
      <w:r w:rsidR="00215A3C">
        <w:t>“</w:t>
      </w:r>
      <w:r>
        <w:t xml:space="preserve"> a </w:t>
      </w:r>
      <w:r w:rsidR="00215A3C">
        <w:t>„</w:t>
      </w:r>
      <w:r>
        <w:rPr>
          <w:i/>
        </w:rPr>
        <w:t>sophistae Latini</w:t>
      </w:r>
      <w:r w:rsidR="00215A3C">
        <w:t>“</w:t>
      </w:r>
      <w:r>
        <w:t xml:space="preserve">. </w:t>
      </w:r>
      <w:r w:rsidRPr="00273106">
        <w:t xml:space="preserve">Po ztrátě autonomní funkce </w:t>
      </w:r>
      <w:r w:rsidRPr="00273106">
        <w:rPr>
          <w:i/>
        </w:rPr>
        <w:t>intellectus possibilis</w:t>
      </w:r>
      <w:r w:rsidRPr="00273106">
        <w:t xml:space="preserve"> </w:t>
      </w:r>
      <w:r>
        <w:t xml:space="preserve">jako Averroesova </w:t>
      </w:r>
      <w:r>
        <w:rPr>
          <w:i/>
        </w:rPr>
        <w:t xml:space="preserve">tertium </w:t>
      </w:r>
      <w:r w:rsidR="00962190">
        <w:rPr>
          <w:i/>
        </w:rPr>
        <w:t>genus</w:t>
      </w:r>
      <w:r>
        <w:rPr>
          <w:i/>
        </w:rPr>
        <w:fldChar w:fldCharType="begin"/>
      </w:r>
      <w:r>
        <w:instrText xml:space="preserve"> XE "</w:instrText>
      </w:r>
      <w:r w:rsidRPr="0097354C">
        <w:rPr>
          <w:i/>
        </w:rPr>
        <w:instrText>tertium genus</w:instrText>
      </w:r>
      <w:r>
        <w:instrText xml:space="preserve">" </w:instrText>
      </w:r>
      <w:r>
        <w:rPr>
          <w:i/>
        </w:rPr>
        <w:fldChar w:fldCharType="end"/>
      </w:r>
      <w:r>
        <w:rPr>
          <w:i/>
        </w:rPr>
        <w:t xml:space="preserve"> </w:t>
      </w:r>
      <w:r w:rsidRPr="00273106">
        <w:t xml:space="preserve">není poznaná věc </w:t>
      </w:r>
      <w:r>
        <w:t xml:space="preserve">pojata </w:t>
      </w:r>
      <w:r w:rsidRPr="00273106">
        <w:t xml:space="preserve">jako univerzálie abstrahovaná od první substance, ale </w:t>
      </w:r>
      <w:r>
        <w:t xml:space="preserve">funguje </w:t>
      </w:r>
      <w:r w:rsidRPr="00273106">
        <w:t xml:space="preserve">jako </w:t>
      </w:r>
      <w:r>
        <w:t xml:space="preserve">specifické </w:t>
      </w:r>
      <w:r w:rsidRPr="00273106">
        <w:rPr>
          <w:i/>
        </w:rPr>
        <w:t>obiectum</w:t>
      </w:r>
      <w:r w:rsidRPr="00273106">
        <w:t xml:space="preserve"> </w:t>
      </w:r>
      <w:r>
        <w:t xml:space="preserve">třetího druhu </w:t>
      </w:r>
      <w:r w:rsidRPr="00273106">
        <w:t>vytvořené lidským subjektem. Ve změ</w:t>
      </w:r>
      <w:r>
        <w:t>něném poli vidění jsoucna je es</w:t>
      </w:r>
      <w:r w:rsidRPr="00273106">
        <w:t xml:space="preserve">ence nazírána od aktivního intelektu </w:t>
      </w:r>
      <w:r>
        <w:t xml:space="preserve">(porretánské </w:t>
      </w:r>
      <w:r w:rsidRPr="007505A7">
        <w:rPr>
          <w:i/>
        </w:rPr>
        <w:t>discrete videamus</w:t>
      </w:r>
      <w:r>
        <w:rPr>
          <w:i/>
        </w:rPr>
        <w:fldChar w:fldCharType="begin"/>
      </w:r>
      <w:r>
        <w:instrText xml:space="preserve"> XE "</w:instrText>
      </w:r>
      <w:r w:rsidRPr="00E90B20">
        <w:rPr>
          <w:i/>
        </w:rPr>
        <w:instrText>discrete videamus</w:instrText>
      </w:r>
      <w:r>
        <w:instrText xml:space="preserve">" </w:instrText>
      </w:r>
      <w:r>
        <w:rPr>
          <w:i/>
        </w:rPr>
        <w:fldChar w:fldCharType="end"/>
      </w:r>
      <w:r>
        <w:t xml:space="preserve">), nebo je dána jako předmět hypostázované vůle (Oliviho </w:t>
      </w:r>
      <w:r w:rsidRPr="007505A7">
        <w:rPr>
          <w:i/>
        </w:rPr>
        <w:t>aspectus</w:t>
      </w:r>
      <w:r>
        <w:t>)</w:t>
      </w:r>
      <w:r w:rsidRPr="00273106">
        <w:t xml:space="preserve">. Modernisté poznávají místo reality první substance to či ono jsoucno třetího druhu. A toto poznání reality je dáno skrze subjekt moderny, který </w:t>
      </w:r>
      <w:r>
        <w:t xml:space="preserve">představuje další </w:t>
      </w:r>
      <w:r w:rsidRPr="00273106">
        <w:t xml:space="preserve">jsoucno třetího druhu. </w:t>
      </w:r>
      <w:r>
        <w:t xml:space="preserve">Tato </w:t>
      </w:r>
      <w:r>
        <w:lastRenderedPageBreak/>
        <w:t xml:space="preserve">dvojí paranoia </w:t>
      </w:r>
      <w:r w:rsidRPr="00273106">
        <w:rPr>
          <w:i/>
        </w:rPr>
        <w:t>Modernorum</w:t>
      </w:r>
      <w:r>
        <w:t xml:space="preserve"> založila novou reprezentaci</w:t>
      </w:r>
      <w:r w:rsidRPr="00273106">
        <w:t xml:space="preserve"> reality a nové pojetí pravdy. Tím padl ve druhém averroismu a v semiaverroistickém objektivismu prvního averroismu původní koncept aristotelského intelektu jako </w:t>
      </w:r>
      <w:r w:rsidRPr="00273106">
        <w:rPr>
          <w:i/>
        </w:rPr>
        <w:t>tabula rasa</w:t>
      </w:r>
      <w:r w:rsidRPr="00273106">
        <w:t xml:space="preserve">, který recipuje a konstruuje </w:t>
      </w:r>
      <w:r>
        <w:t xml:space="preserve">pojem </w:t>
      </w:r>
      <w:r w:rsidRPr="00273106">
        <w:t>skrze formální kauzalitu</w:t>
      </w:r>
      <w:r>
        <w:t xml:space="preserve"> navázanou</w:t>
      </w:r>
      <w:r w:rsidR="004318D9">
        <w:t xml:space="preserve"> na efektivní kauzalitu smyslů.</w:t>
      </w:r>
    </w:p>
    <w:p w:rsidR="08163013" w:rsidRPr="00C70B5C" w:rsidRDefault="00051108" w:rsidP="00C70B5C">
      <w:pPr>
        <w:ind w:firstLine="397"/>
      </w:pPr>
      <w:r>
        <w:t xml:space="preserve">Theorie </w:t>
      </w:r>
      <w:r w:rsidR="08163013">
        <w:t xml:space="preserve">pravdy </w:t>
      </w:r>
      <w:r>
        <w:t xml:space="preserve">a poznání </w:t>
      </w:r>
      <w:r w:rsidR="08163013">
        <w:t xml:space="preserve">ve školách akademických iluminátů odporovalo klasické metafyzice a do roku 1277 bylo terčem posměchu vzdělaných aristoteliků. K nové syntéze došlo díky </w:t>
      </w:r>
      <w:r w:rsidR="08163013" w:rsidRPr="00273106">
        <w:t xml:space="preserve">moderním </w:t>
      </w:r>
      <w:r w:rsidR="08163013">
        <w:t xml:space="preserve">alexandrovcům jako Aegidius Romanus a Jindřich z </w:t>
      </w:r>
      <w:proofErr w:type="gramStart"/>
      <w:r w:rsidR="08163013">
        <w:t>Gentu</w:t>
      </w:r>
      <w:proofErr w:type="gramEnd"/>
      <w:r w:rsidR="08163013">
        <w:t xml:space="preserve"> (Henricus Gandavus). Tito akademičtí sofisté dostali vzdělání v pařížské škole prvního averroismu, proto měli dobrou znalost Korpusu podle Sigera i podle Averroese. Sigera tito sofisté akademicky zničili a z Averroese udělali heretika. Zásluhou těchto moderních latinských učenců začala o</w:t>
      </w:r>
      <w:r w:rsidR="08163013" w:rsidRPr="00273106">
        <w:t xml:space="preserve">bjektivní forma averroismu bojovat o přijetí do nejvyšších filosofických salónů. </w:t>
      </w:r>
      <w:r w:rsidR="08163013">
        <w:t xml:space="preserve">Objektivní semiaverroisté museli po roce 1277 vytvořit z chaoticky daných způsobů predikace jsoucen třetího druhu nový systém metafyziky. </w:t>
      </w:r>
      <w:r w:rsidR="08163013" w:rsidRPr="00273106">
        <w:t xml:space="preserve">Hermeneutika sleduje </w:t>
      </w:r>
      <w:r w:rsidR="08163013">
        <w:t xml:space="preserve">nejprve </w:t>
      </w:r>
      <w:r w:rsidR="08163013" w:rsidRPr="00273106">
        <w:t xml:space="preserve">proměnu jsoucna jako </w:t>
      </w:r>
      <w:r w:rsidR="08163013" w:rsidRPr="00273106">
        <w:rPr>
          <w:i/>
        </w:rPr>
        <w:t>res</w:t>
      </w:r>
      <w:r w:rsidR="08163013" w:rsidRPr="00273106">
        <w:t xml:space="preserve">, </w:t>
      </w:r>
      <w:r w:rsidR="08163013">
        <w:t xml:space="preserve">která indikuje vznik </w:t>
      </w:r>
      <w:r w:rsidR="08163013" w:rsidRPr="00273106">
        <w:t>nov</w:t>
      </w:r>
      <w:r w:rsidR="08163013">
        <w:t>é formy</w:t>
      </w:r>
      <w:r w:rsidR="08163013" w:rsidRPr="00273106">
        <w:t xml:space="preserve"> metafyziky.</w:t>
      </w:r>
      <w:r w:rsidR="08163013">
        <w:t xml:space="preserve"> Objektivní </w:t>
      </w:r>
      <w:r w:rsidR="08163013" w:rsidRPr="00273106">
        <w:t xml:space="preserve">určení </w:t>
      </w:r>
      <w:r w:rsidR="08C37EDC" w:rsidRPr="08C37EDC">
        <w:rPr>
          <w:i/>
        </w:rPr>
        <w:t>res</w:t>
      </w:r>
      <w:r w:rsidR="08C37EDC">
        <w:t xml:space="preserve"> </w:t>
      </w:r>
      <w:r w:rsidR="08163013" w:rsidRPr="00273106">
        <w:t xml:space="preserve">mimo první substanci hraje v novém schématu objektivity </w:t>
      </w:r>
      <w:r w:rsidR="08163013">
        <w:t xml:space="preserve">zásadní </w:t>
      </w:r>
      <w:r w:rsidR="08163013" w:rsidRPr="00273106">
        <w:t xml:space="preserve">roli. </w:t>
      </w:r>
      <w:r w:rsidR="08163013">
        <w:t>Moderna zapracovala</w:t>
      </w:r>
      <w:r w:rsidR="08163013" w:rsidRPr="00273106">
        <w:t xml:space="preserve"> do nového konceptu objektivity </w:t>
      </w:r>
      <w:r w:rsidR="08163013">
        <w:t xml:space="preserve">univoční porretánské </w:t>
      </w:r>
      <w:r w:rsidR="08163013" w:rsidRPr="00273106">
        <w:t xml:space="preserve">určení jsoucna daná již od </w:t>
      </w:r>
      <w:r w:rsidR="08163013" w:rsidRPr="00273106">
        <w:rPr>
          <w:i/>
        </w:rPr>
        <w:t>Nominales</w:t>
      </w:r>
      <w:r w:rsidR="08163013">
        <w:t xml:space="preserve">. </w:t>
      </w:r>
      <w:r w:rsidR="08163013" w:rsidRPr="00273106">
        <w:t>Přede</w:t>
      </w:r>
      <w:r w:rsidR="08163013">
        <w:t xml:space="preserve">šlé matrice ukázaly, že Rufus, </w:t>
      </w:r>
      <w:r w:rsidR="08163013" w:rsidRPr="00273106">
        <w:t xml:space="preserve">Bonaventura </w:t>
      </w:r>
      <w:r w:rsidR="08163013">
        <w:t xml:space="preserve">a Kilwardby </w:t>
      </w:r>
      <w:r w:rsidR="08163013" w:rsidRPr="00273106">
        <w:t xml:space="preserve">byli prvními modernisty, kteří změnili pojetí </w:t>
      </w:r>
      <w:r w:rsidR="08163013" w:rsidRPr="00273106">
        <w:rPr>
          <w:i/>
        </w:rPr>
        <w:t>ens ratum</w:t>
      </w:r>
      <w:r w:rsidR="08163013">
        <w:rPr>
          <w:i/>
        </w:rPr>
        <w:fldChar w:fldCharType="begin"/>
      </w:r>
      <w:r w:rsidR="08163013">
        <w:instrText xml:space="preserve"> XE "</w:instrText>
      </w:r>
      <w:r w:rsidR="08163013" w:rsidRPr="00B2798F">
        <w:rPr>
          <w:rStyle w:val="addmd"/>
          <w:i/>
        </w:rPr>
        <w:instrText>ens ratum:</w:instrText>
      </w:r>
      <w:r w:rsidR="08163013">
        <w:instrText xml:space="preserve">druhý averroismus" </w:instrText>
      </w:r>
      <w:r w:rsidR="08163013">
        <w:rPr>
          <w:i/>
        </w:rPr>
        <w:fldChar w:fldCharType="end"/>
      </w:r>
      <w:r w:rsidR="08163013" w:rsidRPr="00273106">
        <w:t xml:space="preserve"> </w:t>
      </w:r>
      <w:r w:rsidR="08163013">
        <w:t xml:space="preserve">předtím </w:t>
      </w:r>
      <w:r w:rsidR="08163013" w:rsidRPr="00273106">
        <w:t xml:space="preserve">vázané </w:t>
      </w:r>
      <w:r w:rsidR="08163013">
        <w:t xml:space="preserve">pouze </w:t>
      </w:r>
      <w:r w:rsidR="08163013" w:rsidRPr="00273106">
        <w:t>na první substanci.</w:t>
      </w:r>
      <w:r w:rsidR="08163013">
        <w:t xml:space="preserve"> </w:t>
      </w:r>
      <w:r w:rsidR="08163013" w:rsidRPr="00273106">
        <w:t xml:space="preserve">Nové pojetí kritizoval v rámci prvního averroismu především Albert </w:t>
      </w:r>
      <w:r w:rsidR="08163013">
        <w:t xml:space="preserve">Veliký. Hájil klasický koncept </w:t>
      </w:r>
      <w:r w:rsidR="08163013" w:rsidRPr="00273106">
        <w:rPr>
          <w:i/>
        </w:rPr>
        <w:t>esse ratum</w:t>
      </w:r>
      <w:r w:rsidR="08163013">
        <w:rPr>
          <w:i/>
        </w:rPr>
        <w:fldChar w:fldCharType="begin"/>
      </w:r>
      <w:r w:rsidR="08163013">
        <w:instrText xml:space="preserve"> XE "</w:instrText>
      </w:r>
      <w:r w:rsidR="08163013" w:rsidRPr="00AD770D">
        <w:rPr>
          <w:i/>
        </w:rPr>
        <w:instrText>esse ratum</w:instrText>
      </w:r>
      <w:r w:rsidR="08163013">
        <w:instrText xml:space="preserve">:Albert" </w:instrText>
      </w:r>
      <w:r w:rsidR="08163013">
        <w:rPr>
          <w:i/>
        </w:rPr>
        <w:fldChar w:fldCharType="end"/>
      </w:r>
      <w:r w:rsidR="08163013" w:rsidRPr="00273106">
        <w:t xml:space="preserve"> podle Aristotela, proto odmítl </w:t>
      </w:r>
      <w:r w:rsidR="08163013" w:rsidRPr="00273106">
        <w:rPr>
          <w:i/>
        </w:rPr>
        <w:t>Oxfordian Fallacy</w:t>
      </w:r>
      <w:r w:rsidR="08163013" w:rsidRPr="00273106">
        <w:t xml:space="preserve"> a také sofistiku modernistů jako Rufus a Kilwardby (</w:t>
      </w:r>
      <w:r w:rsidR="080E7C44">
        <w:t>OBj II, kap. 2</w:t>
      </w:r>
      <w:r w:rsidR="08163013" w:rsidRPr="00273106">
        <w:t>.4.3).</w:t>
      </w:r>
      <w:r w:rsidR="08163013">
        <w:t xml:space="preserve"> </w:t>
      </w:r>
      <w:r w:rsidR="08163013" w:rsidRPr="00273106">
        <w:t>Bonaventurova definice věci (</w:t>
      </w:r>
      <w:r w:rsidR="08163013" w:rsidRPr="00273106">
        <w:rPr>
          <w:i/>
        </w:rPr>
        <w:t>res</w:t>
      </w:r>
      <w:r w:rsidR="08163013" w:rsidRPr="00273106">
        <w:t xml:space="preserve">) </w:t>
      </w:r>
      <w:r w:rsidR="08163013">
        <w:t>završila náhled moderního intelektu na objektivně dané jsoucno</w:t>
      </w:r>
      <w:r w:rsidR="08163013" w:rsidRPr="00273106">
        <w:t xml:space="preserve">. Esenciálně daná věcnost věci </w:t>
      </w:r>
      <w:r w:rsidR="08163013">
        <w:t xml:space="preserve">se začala </w:t>
      </w:r>
      <w:r w:rsidR="08163013" w:rsidRPr="00273106">
        <w:t>nazíra</w:t>
      </w:r>
      <w:r w:rsidR="08163013">
        <w:t>t</w:t>
      </w:r>
      <w:r w:rsidR="08163013" w:rsidRPr="00273106">
        <w:t xml:space="preserve"> v rámci </w:t>
      </w:r>
      <w:r w:rsidR="08163013">
        <w:t xml:space="preserve">objektivního </w:t>
      </w:r>
      <w:r w:rsidR="08163013" w:rsidRPr="00273106">
        <w:t>určení jsoucna</w:t>
      </w:r>
      <w:r w:rsidR="00BE573F">
        <w:t xml:space="preserve"> jako první substance</w:t>
      </w:r>
      <w:r w:rsidR="08163013" w:rsidRPr="00273106">
        <w:t xml:space="preserve">. Náhled na </w:t>
      </w:r>
      <w:r w:rsidR="08163013">
        <w:t xml:space="preserve">jisté </w:t>
      </w:r>
      <w:r w:rsidR="08163013" w:rsidRPr="00273106">
        <w:t xml:space="preserve">jsoucno nezačíná u aktuálního jsoucna daného </w:t>
      </w:r>
      <w:r w:rsidR="08163013" w:rsidRPr="00273106">
        <w:rPr>
          <w:i/>
        </w:rPr>
        <w:t>simpliciter</w:t>
      </w:r>
      <w:r w:rsidR="08163013" w:rsidRPr="00273106">
        <w:t xml:space="preserve"> v první substanci, ale od </w:t>
      </w:r>
      <w:r w:rsidR="08163013" w:rsidRPr="00273106">
        <w:rPr>
          <w:i/>
        </w:rPr>
        <w:t>ens commune</w:t>
      </w:r>
      <w:r w:rsidR="08163013" w:rsidRPr="00273106">
        <w:t xml:space="preserve"> vzatým z Avicennovy definice metafyziky. Východiskem první vědy se stal formální statut jsoucna </w:t>
      </w:r>
      <w:r w:rsidR="08163013">
        <w:t xml:space="preserve">v intelektu </w:t>
      </w:r>
      <w:r w:rsidR="08163013" w:rsidRPr="00273106">
        <w:t>(</w:t>
      </w:r>
      <w:r w:rsidR="08163013" w:rsidRPr="00273106">
        <w:rPr>
          <w:i/>
        </w:rPr>
        <w:t>ens inquantum ens</w:t>
      </w:r>
      <w:r w:rsidR="08163013">
        <w:rPr>
          <w:i/>
        </w:rPr>
        <w:fldChar w:fldCharType="begin"/>
      </w:r>
      <w:r w:rsidR="08163013">
        <w:instrText xml:space="preserve"> XE "</w:instrText>
      </w:r>
      <w:r w:rsidR="08163013" w:rsidRPr="005424E2">
        <w:rPr>
          <w:i/>
        </w:rPr>
        <w:instrText>ens inquantum ens</w:instrText>
      </w:r>
      <w:r w:rsidR="08163013">
        <w:instrText xml:space="preserve">" </w:instrText>
      </w:r>
      <w:r w:rsidR="08163013">
        <w:rPr>
          <w:i/>
        </w:rPr>
        <w:fldChar w:fldCharType="end"/>
      </w:r>
      <w:r w:rsidR="08163013" w:rsidRPr="00273106">
        <w:t xml:space="preserve">). Jsoucno dané </w:t>
      </w:r>
      <w:r w:rsidR="08163013" w:rsidRPr="00273106">
        <w:rPr>
          <w:i/>
        </w:rPr>
        <w:t>simpliciter</w:t>
      </w:r>
      <w:r w:rsidR="08163013" w:rsidRPr="00273106">
        <w:t xml:space="preserve"> má úplně jiný charakter než aktuální první substance</w:t>
      </w:r>
      <w:r w:rsidR="08163013">
        <w:fldChar w:fldCharType="begin"/>
      </w:r>
      <w:r w:rsidR="08163013">
        <w:instrText xml:space="preserve"> XE "</w:instrText>
      </w:r>
      <w:r w:rsidR="08163013" w:rsidRPr="00DE2A32">
        <w:instrText>substance</w:instrText>
      </w:r>
      <w:r w:rsidR="08163013">
        <w:instrText xml:space="preserve">:objektivní" </w:instrText>
      </w:r>
      <w:r w:rsidR="08163013">
        <w:fldChar w:fldCharType="end"/>
      </w:r>
      <w:r w:rsidR="08163013" w:rsidRPr="00273106">
        <w:t>.</w:t>
      </w:r>
      <w:r w:rsidR="08163013">
        <w:t xml:space="preserve"> </w:t>
      </w:r>
      <w:r w:rsidR="08163013" w:rsidRPr="00273106">
        <w:t>Henry</w:t>
      </w:r>
      <w:r w:rsidR="08163013">
        <w:t xml:space="preserve"> z </w:t>
      </w:r>
      <w:proofErr w:type="gramStart"/>
      <w:r w:rsidR="08163013">
        <w:t>Gentu</w:t>
      </w:r>
      <w:proofErr w:type="gramEnd"/>
      <w:r w:rsidR="08163013" w:rsidRPr="00273106">
        <w:t xml:space="preserve"> je </w:t>
      </w:r>
      <w:r w:rsidR="08163013">
        <w:t xml:space="preserve">také ovlivněn </w:t>
      </w:r>
      <w:r w:rsidR="08163013" w:rsidRPr="00273106">
        <w:t xml:space="preserve">aristotelskou substancí předělanou Simplikiem v jeho komentáři ke </w:t>
      </w:r>
      <w:r w:rsidR="08163013" w:rsidRPr="08456456">
        <w:rPr>
          <w:i/>
        </w:rPr>
        <w:t>Kategoriím</w:t>
      </w:r>
      <w:r w:rsidR="08163013" w:rsidRPr="00273106">
        <w:t>. Tato syntéza rozmanitých proudů vytvořila ve druhém averroismu výsledný koncept objektivity.</w:t>
      </w:r>
      <w:r w:rsidR="08163013">
        <w:t xml:space="preserve"> </w:t>
      </w:r>
      <w:r w:rsidR="00BE573F" w:rsidRPr="00BE573F">
        <w:t>V</w:t>
      </w:r>
      <w:r w:rsidR="00BE573F">
        <w:t xml:space="preserve"> novém </w:t>
      </w:r>
      <w:r w:rsidR="00BE573F" w:rsidRPr="00BE573F">
        <w:t xml:space="preserve">systému objektivní první vědy o jsoucnu, z něhož vzešla </w:t>
      </w:r>
      <w:r w:rsidR="00BE573F" w:rsidRPr="00BE573F">
        <w:rPr>
          <w:i/>
        </w:rPr>
        <w:t>metaphysica generalis</w:t>
      </w:r>
      <w:r w:rsidR="00BE573F" w:rsidRPr="00BE573F">
        <w:t>, byly sys</w:t>
      </w:r>
      <w:r w:rsidR="00BE573F">
        <w:t xml:space="preserve">tematicky </w:t>
      </w:r>
      <w:r w:rsidR="00BE573F">
        <w:lastRenderedPageBreak/>
        <w:t>uspořádány porretánské</w:t>
      </w:r>
      <w:r w:rsidR="00BE573F" w:rsidRPr="00BE573F">
        <w:t xml:space="preserve"> </w:t>
      </w:r>
      <w:r w:rsidR="00BE573F">
        <w:t>kolekce různých hypostáz</w:t>
      </w:r>
      <w:r w:rsidR="00BE573F" w:rsidRPr="00BE573F">
        <w:t xml:space="preserve">ovaných určení jsoucna. Poté, co </w:t>
      </w:r>
      <w:r w:rsidR="00BE573F">
        <w:t>Duns</w:t>
      </w:r>
      <w:r w:rsidR="00BE573F" w:rsidRPr="00BE573F">
        <w:t xml:space="preserve"> </w:t>
      </w:r>
      <w:r w:rsidR="00BE573F">
        <w:t xml:space="preserve">Scotus vypracoval </w:t>
      </w:r>
      <w:r w:rsidR="00BE573F" w:rsidRPr="00BE573F">
        <w:t xml:space="preserve">první typ </w:t>
      </w:r>
      <w:r w:rsidR="00BE573F" w:rsidRPr="00BE573F">
        <w:rPr>
          <w:i/>
        </w:rPr>
        <w:t>metaphysica generalis</w:t>
      </w:r>
      <w:r w:rsidR="00BE573F" w:rsidRPr="00BE573F">
        <w:t xml:space="preserve">, </w:t>
      </w:r>
      <w:r w:rsidR="00BE573F">
        <w:t xml:space="preserve">pak se </w:t>
      </w:r>
      <w:r w:rsidR="00BE573F" w:rsidRPr="00BE573F">
        <w:t xml:space="preserve">první a také druhý averroismus vydal cestou </w:t>
      </w:r>
      <w:r w:rsidR="00BE573F" w:rsidRPr="00BE573F">
        <w:rPr>
          <w:i/>
        </w:rPr>
        <w:t>dativus incommodi</w:t>
      </w:r>
      <w:r w:rsidR="00BE573F">
        <w:rPr>
          <w:i/>
        </w:rPr>
        <w:fldChar w:fldCharType="begin"/>
      </w:r>
      <w:r w:rsidR="00BE573F">
        <w:instrText xml:space="preserve"> XE "</w:instrText>
      </w:r>
      <w:r w:rsidR="00BE573F" w:rsidRPr="00C61AC0">
        <w:rPr>
          <w:i/>
        </w:rPr>
        <w:instrText>dativus incommodi</w:instrText>
      </w:r>
      <w:r w:rsidR="00BE573F">
        <w:instrText xml:space="preserve">" </w:instrText>
      </w:r>
      <w:r w:rsidR="00BE573F">
        <w:rPr>
          <w:i/>
        </w:rPr>
        <w:fldChar w:fldCharType="end"/>
      </w:r>
      <w:r w:rsidR="00BE573F" w:rsidRPr="00BE573F">
        <w:t xml:space="preserve"> a </w:t>
      </w:r>
      <w:r w:rsidR="00AE1972">
        <w:t xml:space="preserve">oba filosofické směry odešly do říše </w:t>
      </w:r>
      <w:r w:rsidR="00831ECC">
        <w:t>Léthé</w:t>
      </w:r>
      <w:r w:rsidR="08163013">
        <w:rPr>
          <w:iCs/>
        </w:rPr>
        <w:t>.</w:t>
      </w:r>
    </w:p>
    <w:p w:rsidR="08163013" w:rsidRPr="00273106" w:rsidRDefault="00BE573F" w:rsidP="08163013">
      <w:pPr>
        <w:pStyle w:val="Nadpis3"/>
      </w:pPr>
      <w:bookmarkStart w:id="80" w:name="_Toc36144160"/>
      <w:r>
        <w:br w:type="page"/>
      </w:r>
      <w:bookmarkStart w:id="81" w:name="_Toc180231672"/>
      <w:r w:rsidR="08163013">
        <w:lastRenderedPageBreak/>
        <w:t>5</w:t>
      </w:r>
      <w:r w:rsidR="08163013" w:rsidRPr="00273106">
        <w:t>.2.1 Koncept objektivního jsoucna</w:t>
      </w:r>
      <w:bookmarkEnd w:id="80"/>
      <w:bookmarkEnd w:id="81"/>
    </w:p>
    <w:p w:rsidR="08163013" w:rsidRPr="00273106" w:rsidRDefault="08163013" w:rsidP="08163013">
      <w:r>
        <w:t>Gandavovo d</w:t>
      </w:r>
      <w:r w:rsidRPr="00273106">
        <w:t xml:space="preserve">ílo </w:t>
      </w:r>
      <w:r w:rsidRPr="00273106">
        <w:rPr>
          <w:i/>
        </w:rPr>
        <w:t>Quodlibet</w:t>
      </w:r>
      <w:r>
        <w:t xml:space="preserve"> V sepsané asi roku </w:t>
      </w:r>
      <w:r w:rsidRPr="00273106">
        <w:t xml:space="preserve">1280 </w:t>
      </w:r>
      <w:r>
        <w:t xml:space="preserve">přebírá </w:t>
      </w:r>
      <w:r w:rsidRPr="00273106">
        <w:t xml:space="preserve">moderní náhled na jsoucno </w:t>
      </w:r>
      <w:r>
        <w:t xml:space="preserve">v modu </w:t>
      </w:r>
      <w:r w:rsidRPr="00273106">
        <w:rPr>
          <w:i/>
        </w:rPr>
        <w:t>resolutio</w:t>
      </w:r>
      <w:r>
        <w:rPr>
          <w:i/>
        </w:rPr>
        <w:fldChar w:fldCharType="begin"/>
      </w:r>
      <w:r>
        <w:instrText xml:space="preserve"> XE "</w:instrText>
      </w:r>
      <w:r w:rsidRPr="00111E9E">
        <w:rPr>
          <w:i/>
        </w:rPr>
        <w:instrText>resolutio</w:instrText>
      </w:r>
      <w:r>
        <w:rPr>
          <w:i/>
        </w:rPr>
        <w:instrText>:</w:instrText>
      </w:r>
      <w:r w:rsidRPr="007D3515">
        <w:instrText>Gandavus</w:instrText>
      </w:r>
      <w:r>
        <w:instrText xml:space="preserve">" </w:instrText>
      </w:r>
      <w:r>
        <w:rPr>
          <w:i/>
        </w:rPr>
        <w:fldChar w:fldCharType="end"/>
      </w:r>
      <w:r w:rsidR="00AD0167">
        <w:t>, které měl</w:t>
      </w:r>
      <w:r>
        <w:t xml:space="preserve"> </w:t>
      </w:r>
      <w:r w:rsidR="00AD0167">
        <w:t>druhý</w:t>
      </w:r>
      <w:r>
        <w:t xml:space="preserve"> averroismu</w:t>
      </w:r>
      <w:r w:rsidR="00AD0167">
        <w:t>s</w:t>
      </w:r>
      <w:r w:rsidRPr="00273106">
        <w:t xml:space="preserve">. </w:t>
      </w:r>
      <w:r>
        <w:t>Připomeňme Bonaventurovu a Oliviho definici objektivně daného jsoucna odděleného pouze od nicoty (</w:t>
      </w:r>
      <w:r w:rsidRPr="008353AA">
        <w:rPr>
          <w:i/>
        </w:rPr>
        <w:t>non repugnat esse</w:t>
      </w:r>
      <w:r>
        <w:rPr>
          <w:i/>
        </w:rPr>
        <w:fldChar w:fldCharType="begin"/>
      </w:r>
      <w:r>
        <w:instrText xml:space="preserve"> XE "</w:instrText>
      </w:r>
      <w:r w:rsidRPr="00D44ACB">
        <w:rPr>
          <w:i/>
        </w:rPr>
        <w:instrText>non repugnat esse</w:instrText>
      </w:r>
      <w:r>
        <w:instrText xml:space="preserve">" </w:instrText>
      </w:r>
      <w:r>
        <w:rPr>
          <w:i/>
        </w:rPr>
        <w:fldChar w:fldCharType="end"/>
      </w:r>
      <w:r>
        <w:t xml:space="preserve">). Gandavus začíná první rozlišení jsoucna v jeho původní jsoucnosti </w:t>
      </w:r>
      <w:r w:rsidRPr="00273106">
        <w:t>od parmenidovské diference mezi nebytím a bytím věci vázané na poznání intelektu (</w:t>
      </w:r>
      <w:r>
        <w:rPr>
          <w:i/>
        </w:rPr>
        <w:t>q</w:t>
      </w:r>
      <w:r w:rsidRPr="00273106">
        <w:rPr>
          <w:i/>
        </w:rPr>
        <w:t>uod non est non contingit scire</w:t>
      </w:r>
      <w:r w:rsidRPr="00273106">
        <w:t>;</w:t>
      </w:r>
      <w:r w:rsidR="08C63CDF" w:rsidRPr="00D10BB4">
        <w:rPr>
          <w:rStyle w:val="ZkladntextKurzvadkovn0pt"/>
          <w:rFonts w:eastAsia="Times"/>
          <w:iCs w:val="0"/>
          <w:sz w:val="22"/>
          <w:u w:val="none"/>
          <w:lang w:val="cs-CZ"/>
        </w:rPr>
        <w:t xml:space="preserve"> </w:t>
      </w:r>
      <w:r w:rsidRPr="009D2C86">
        <w:rPr>
          <w:i/>
        </w:rPr>
        <w:t>Quodlibet</w:t>
      </w:r>
      <w:r w:rsidRPr="00273106">
        <w:t xml:space="preserve"> V, q. 2; </w:t>
      </w:r>
      <w:r>
        <w:t>p. 229</w:t>
      </w:r>
      <w:r>
        <w:fldChar w:fldCharType="begin"/>
      </w:r>
      <w:r>
        <w:instrText xml:space="preserve"> XE "Gandavus:</w:instrText>
      </w:r>
      <w:r w:rsidRPr="00A5146D">
        <w:rPr>
          <w:i/>
        </w:rPr>
        <w:instrText>Quodlibet</w:instrText>
      </w:r>
      <w:r>
        <w:instrText xml:space="preserve"> 5.229" </w:instrText>
      </w:r>
      <w:r>
        <w:fldChar w:fldCharType="end"/>
      </w:r>
      <w:r w:rsidRPr="00273106">
        <w:t>)</w:t>
      </w:r>
      <w:r>
        <w:t xml:space="preserve">. </w:t>
      </w:r>
      <w:r w:rsidRPr="00273106">
        <w:t xml:space="preserve">Následující citace ukazuje fundamentální </w:t>
      </w:r>
      <w:r w:rsidRPr="00273106">
        <w:rPr>
          <w:i/>
        </w:rPr>
        <w:t>aspectus</w:t>
      </w:r>
      <w:r w:rsidRPr="00273106">
        <w:t xml:space="preserve"> jsoucna</w:t>
      </w:r>
      <w:r>
        <w:t xml:space="preserve"> v jeho minimální jsoucnosti</w:t>
      </w:r>
      <w:r w:rsidRPr="00273106">
        <w:t xml:space="preserve">, čili </w:t>
      </w:r>
      <w:r w:rsidRPr="00273106">
        <w:rPr>
          <w:i/>
        </w:rPr>
        <w:t>terminus a quo</w:t>
      </w:r>
      <w:r w:rsidRPr="00273106">
        <w:t xml:space="preserve">, odkud </w:t>
      </w:r>
      <w:r>
        <w:t xml:space="preserve">začíná </w:t>
      </w:r>
      <w:r w:rsidRPr="00273106">
        <w:t>objektivní určení jsoucna.</w:t>
      </w:r>
      <w:r>
        <w:t xml:space="preserve"> </w:t>
      </w:r>
    </w:p>
    <w:p w:rsidR="08163013" w:rsidRDefault="08163013" w:rsidP="08163013">
      <w:pPr>
        <w:pStyle w:val="Citace"/>
      </w:pPr>
      <w:r w:rsidRPr="00273106">
        <w:rPr>
          <w:noProof/>
          <w:lang w:val="cs-CZ"/>
        </w:rPr>
        <w:t>„</w:t>
      </w:r>
      <w:r>
        <w:rPr>
          <w:noProof/>
          <w:lang w:val="cs-CZ"/>
        </w:rPr>
        <w:t>První nejobecnější koncept je společný pojmu neexistující věci (</w:t>
      </w:r>
      <w:r w:rsidRPr="00F6729A">
        <w:rPr>
          <w:i/>
          <w:noProof/>
          <w:lang w:val="cs-CZ"/>
        </w:rPr>
        <w:t>communis ad conceptum vanum</w:t>
      </w:r>
      <w:r>
        <w:rPr>
          <w:noProof/>
          <w:lang w:val="cs-CZ"/>
        </w:rPr>
        <w:t>), který koncipujeme v privativním modu</w:t>
      </w:r>
      <w:r w:rsidR="00D4449A">
        <w:rPr>
          <w:noProof/>
          <w:lang w:val="cs-CZ"/>
        </w:rPr>
        <w:t xml:space="preserve"> </w:t>
      </w:r>
      <w:r w:rsidR="00D4449A">
        <w:rPr>
          <w:lang w:val="de-LU"/>
        </w:rPr>
        <w:t>(</w:t>
      </w:r>
      <w:r w:rsidR="00D4449A" w:rsidRPr="0041780D">
        <w:rPr>
          <w:i/>
          <w:noProof/>
        </w:rPr>
        <w:t>modo privatorio</w:t>
      </w:r>
      <w:r w:rsidR="00D4449A">
        <w:rPr>
          <w:lang w:val="de-LU"/>
        </w:rPr>
        <w:t>)</w:t>
      </w:r>
      <w:r>
        <w:rPr>
          <w:noProof/>
          <w:lang w:val="cs-CZ"/>
        </w:rPr>
        <w:t>, jemuž nic neodpovídá v reálné v</w:t>
      </w:r>
      <w:r w:rsidR="00D10BB4">
        <w:rPr>
          <w:noProof/>
          <w:lang w:val="cs-CZ"/>
        </w:rPr>
        <w:t xml:space="preserve">ěci, což je </w:t>
      </w:r>
      <w:r>
        <w:rPr>
          <w:noProof/>
          <w:lang w:val="cs-CZ"/>
        </w:rPr>
        <w:t>například koncept chiméry nebo jednorožce. Tento koncept je společný i pravdivému pojmu, který pojímáme v modu reálně dané věci (</w:t>
      </w:r>
      <w:r w:rsidRPr="00F6729A">
        <w:rPr>
          <w:i/>
          <w:noProof/>
          <w:lang w:val="cs-CZ"/>
        </w:rPr>
        <w:t>modo positivo</w:t>
      </w:r>
      <w:r>
        <w:rPr>
          <w:noProof/>
          <w:lang w:val="cs-CZ"/>
        </w:rPr>
        <w:t xml:space="preserve">)...“ </w:t>
      </w:r>
      <w:r>
        <w:rPr>
          <w:rStyle w:val="Znakapoznpodarou"/>
        </w:rPr>
        <w:footnoteReference w:id="394"/>
      </w:r>
    </w:p>
    <w:p w:rsidR="08163013" w:rsidRPr="00273106" w:rsidRDefault="08163013" w:rsidP="08163013">
      <w:r w:rsidRPr="00273106">
        <w:t>Náhled na celek jsoucího začíná podle Avicenny v nejobecnějším určení jsoucna (</w:t>
      </w:r>
      <w:r w:rsidRPr="00273106">
        <w:rPr>
          <w:i/>
        </w:rPr>
        <w:t>primus conceptus communissimus</w:t>
      </w:r>
      <w:r w:rsidRPr="00273106">
        <w:t xml:space="preserve">). To je dáno přesně na opačném pólu než první substance. </w:t>
      </w:r>
      <w:r>
        <w:t xml:space="preserve">První </w:t>
      </w:r>
      <w:r w:rsidRPr="00273106">
        <w:t>určení věci obsahuje jen tolik jsoucnosti, aby bylo odděleno od nicoty (</w:t>
      </w:r>
      <w:r w:rsidRPr="00273106">
        <w:rPr>
          <w:i/>
        </w:rPr>
        <w:t>cui nihil natum est respondere in re</w:t>
      </w:r>
      <w:r>
        <w:t xml:space="preserve">). Predikaci minimální porce jsoucnosti </w:t>
      </w:r>
      <w:r w:rsidRPr="00273106">
        <w:t xml:space="preserve">zajišťuje </w:t>
      </w:r>
      <w:r>
        <w:t>formální operace</w:t>
      </w:r>
      <w:r w:rsidRPr="00273106">
        <w:t xml:space="preserve">, která </w:t>
      </w:r>
      <w:r>
        <w:t xml:space="preserve">fixuje </w:t>
      </w:r>
      <w:r w:rsidRPr="00273106">
        <w:t>k</w:t>
      </w:r>
      <w:r>
        <w:t>oncept věci v rámci tzv. „prázdného pojmu“ (</w:t>
      </w:r>
      <w:r w:rsidRPr="00273106">
        <w:rPr>
          <w:i/>
        </w:rPr>
        <w:t>conceptum vanum</w:t>
      </w:r>
      <w:r>
        <w:t>)</w:t>
      </w:r>
      <w:r w:rsidRPr="00273106">
        <w:t xml:space="preserve">. Toto první určení jsoucna jako </w:t>
      </w:r>
      <w:r w:rsidRPr="00273106">
        <w:rPr>
          <w:i/>
        </w:rPr>
        <w:t>res</w:t>
      </w:r>
      <w:r w:rsidRPr="00273106">
        <w:t xml:space="preserve"> v modu zbavenosti bytí (</w:t>
      </w:r>
      <w:r w:rsidRPr="00273106">
        <w:rPr>
          <w:i/>
        </w:rPr>
        <w:t>modo privatorio</w:t>
      </w:r>
      <w:r w:rsidRPr="00273106">
        <w:t xml:space="preserve">) určuje věc v nejobecnějším aspektu jsoucnosti oddělené </w:t>
      </w:r>
      <w:r>
        <w:t xml:space="preserve">pouze </w:t>
      </w:r>
      <w:r w:rsidRPr="00273106">
        <w:t>od čistého nebytí. Příkladem konceptu neexistující věci je například chiméra</w:t>
      </w:r>
      <w:r>
        <w:fldChar w:fldCharType="begin"/>
      </w:r>
      <w:r>
        <w:instrText xml:space="preserve"> XE "</w:instrText>
      </w:r>
      <w:r w:rsidRPr="009316B3">
        <w:instrText>chiméra</w:instrText>
      </w:r>
      <w:r>
        <w:instrText xml:space="preserve">" </w:instrText>
      </w:r>
      <w:r>
        <w:fldChar w:fldCharType="end"/>
      </w:r>
      <w:r w:rsidRPr="00273106">
        <w:t>, která je dána pouze v představivosti</w:t>
      </w:r>
      <w:r>
        <w:t xml:space="preserve"> (</w:t>
      </w:r>
      <w:r w:rsidRPr="0004128A">
        <w:rPr>
          <w:i/>
        </w:rPr>
        <w:t>conceptus fictitius</w:t>
      </w:r>
      <w:r>
        <w:rPr>
          <w:i/>
        </w:rPr>
        <w:fldChar w:fldCharType="begin"/>
      </w:r>
      <w:r>
        <w:instrText xml:space="preserve"> XE "substance:</w:instrText>
      </w:r>
      <w:r w:rsidRPr="0004128A">
        <w:rPr>
          <w:i/>
        </w:rPr>
        <w:instrText>conceptus fictitius</w:instrText>
      </w:r>
      <w:r>
        <w:instrText xml:space="preserve">" </w:instrText>
      </w:r>
      <w:r>
        <w:rPr>
          <w:i/>
        </w:rPr>
        <w:fldChar w:fldCharType="end"/>
      </w:r>
      <w:r>
        <w:t>)</w:t>
      </w:r>
      <w:r w:rsidRPr="00273106">
        <w:t xml:space="preserve">. </w:t>
      </w:r>
      <w:r>
        <w:t>Moderní objektivita začíná metafyzické určení jsoucna od chiméry, zatímco první averroismus začínal u reálné první substance. K</w:t>
      </w:r>
      <w:r w:rsidRPr="00273106">
        <w:t xml:space="preserve">onceptuálně pojatá esence </w:t>
      </w:r>
      <w:r>
        <w:t xml:space="preserve">může být vzata pozitivně </w:t>
      </w:r>
      <w:r w:rsidRPr="00273106">
        <w:t>(</w:t>
      </w:r>
      <w:r w:rsidRPr="00273106">
        <w:rPr>
          <w:i/>
        </w:rPr>
        <w:t>concipitur modo positivo</w:t>
      </w:r>
      <w:r w:rsidRPr="00273106">
        <w:t>)</w:t>
      </w:r>
      <w:r>
        <w:t>, tedy ve vztahu k realitě</w:t>
      </w:r>
      <w:r w:rsidRPr="00273106">
        <w:t xml:space="preserve">. </w:t>
      </w:r>
      <w:r>
        <w:t xml:space="preserve">Gandavus je první objektivní pozitivista. </w:t>
      </w:r>
      <w:r w:rsidRPr="00273106">
        <w:t xml:space="preserve">Nová forma pozitivity </w:t>
      </w:r>
      <w:r>
        <w:t xml:space="preserve">začíná metafyziku od bytí chiméry a tím </w:t>
      </w:r>
      <w:r w:rsidRPr="00273106">
        <w:t xml:space="preserve">anuluje význam smyslové zkušenosti pro poznání. Reálná věc, která existuje jako </w:t>
      </w:r>
      <w:r>
        <w:t xml:space="preserve">univerzální </w:t>
      </w:r>
      <w:r w:rsidRPr="00273106">
        <w:t xml:space="preserve">esence nebo </w:t>
      </w:r>
      <w:r>
        <w:t xml:space="preserve">jako poznaná </w:t>
      </w:r>
      <w:r w:rsidRPr="00273106">
        <w:t xml:space="preserve">první substance, je </w:t>
      </w:r>
      <w:r>
        <w:t>definována v rámci tzv. „pravdivého pojmu“ (</w:t>
      </w:r>
      <w:r w:rsidRPr="00273106">
        <w:rPr>
          <w:i/>
        </w:rPr>
        <w:t>conceptum verum</w:t>
      </w:r>
      <w:r>
        <w:t>)</w:t>
      </w:r>
      <w:r w:rsidRPr="00273106">
        <w:t xml:space="preserve">. </w:t>
      </w:r>
      <w:r>
        <w:t xml:space="preserve">Přechod od konceptu v modu </w:t>
      </w:r>
      <w:r w:rsidR="00BC2C95">
        <w:t>„</w:t>
      </w:r>
      <w:r w:rsidRPr="00E75C44">
        <w:rPr>
          <w:i/>
        </w:rPr>
        <w:t>vanum</w:t>
      </w:r>
      <w:r w:rsidR="00BC2C95">
        <w:t>“</w:t>
      </w:r>
      <w:r>
        <w:t xml:space="preserve"> ke </w:t>
      </w:r>
      <w:r>
        <w:lastRenderedPageBreak/>
        <w:t xml:space="preserve">konceptu v modu </w:t>
      </w:r>
      <w:r w:rsidR="00BC2C95">
        <w:t>„</w:t>
      </w:r>
      <w:r w:rsidRPr="00E75C44">
        <w:rPr>
          <w:i/>
        </w:rPr>
        <w:t>verum</w:t>
      </w:r>
      <w:r w:rsidR="00BC2C95">
        <w:t>“</w:t>
      </w:r>
      <w:r>
        <w:t xml:space="preserve"> ukazuje moderní dedukci jsoucna</w:t>
      </w:r>
      <w:r w:rsidR="00BC2C95">
        <w:t xml:space="preserve"> (</w:t>
      </w:r>
      <w:r w:rsidR="00BC2C95" w:rsidRPr="00E75C44">
        <w:rPr>
          <w:i/>
        </w:rPr>
        <w:t>resolutio</w:t>
      </w:r>
      <w:r w:rsidR="00BC2C95">
        <w:rPr>
          <w:i/>
        </w:rPr>
        <w:fldChar w:fldCharType="begin"/>
      </w:r>
      <w:r w:rsidR="00BC2C95">
        <w:instrText xml:space="preserve"> XE "</w:instrText>
      </w:r>
      <w:r w:rsidR="00BC2C95" w:rsidRPr="00111E9E">
        <w:rPr>
          <w:i/>
        </w:rPr>
        <w:instrText>resolutio</w:instrText>
      </w:r>
      <w:r w:rsidR="00BC2C95">
        <w:rPr>
          <w:i/>
        </w:rPr>
        <w:instrText>:</w:instrText>
      </w:r>
      <w:r w:rsidR="00BC2C95" w:rsidRPr="007D3515">
        <w:instrText>Gandavus</w:instrText>
      </w:r>
      <w:r w:rsidR="00BC2C95">
        <w:instrText xml:space="preserve">" </w:instrText>
      </w:r>
      <w:r w:rsidR="00BC2C95">
        <w:rPr>
          <w:i/>
        </w:rPr>
        <w:fldChar w:fldCharType="end"/>
      </w:r>
      <w:r w:rsidR="00BC2C95">
        <w:t xml:space="preserve">). </w:t>
      </w:r>
      <w:r w:rsidR="00BC2C95" w:rsidRPr="00BC2C95">
        <w:t>Začíná logickým určením obecného pojmu bytí, který lze ve druhém kroku potvrdit jako skutečně pravdivý.</w:t>
      </w:r>
      <w:r w:rsidR="00BC2C95">
        <w:t xml:space="preserve"> </w:t>
      </w:r>
      <w:r>
        <w:t xml:space="preserve">Metafyzické určení jsoucna začíná logickou operací, která </w:t>
      </w:r>
      <w:r w:rsidRPr="00273106">
        <w:t xml:space="preserve">odděluje </w:t>
      </w:r>
      <w:r>
        <w:t xml:space="preserve">první </w:t>
      </w:r>
      <w:r w:rsidRPr="00273106">
        <w:t>určení věci od čisté nicoty.</w:t>
      </w:r>
    </w:p>
    <w:p w:rsidR="08163013" w:rsidRPr="00D707B7" w:rsidRDefault="08163013" w:rsidP="08163013">
      <w:pPr>
        <w:pStyle w:val="Citace"/>
        <w:rPr>
          <w:noProof/>
          <w:lang w:val="cs-CZ"/>
        </w:rPr>
      </w:pPr>
      <w:r w:rsidRPr="00273106">
        <w:rPr>
          <w:noProof/>
          <w:lang w:val="cs-CZ"/>
        </w:rPr>
        <w:t>„</w:t>
      </w:r>
      <w:r>
        <w:rPr>
          <w:noProof/>
          <w:lang w:val="cs-CZ"/>
        </w:rPr>
        <w:t>Nejprve je dán nejobecnější pojem a pojem společný každému jinému konceptu, což je pojem, skrze který se věc pojímá a predikuje od věcnosti každé věci (</w:t>
      </w:r>
      <w:r w:rsidRPr="00D707B7">
        <w:rPr>
          <w:i/>
          <w:noProof/>
          <w:lang w:val="cs-CZ"/>
        </w:rPr>
        <w:t>res a reor reris dicta</w:t>
      </w:r>
      <w:r>
        <w:rPr>
          <w:noProof/>
          <w:lang w:val="cs-CZ"/>
        </w:rPr>
        <w:t>). Tento pojem v sobě obsahuje i věc danou pouze v představivosti, která je čisté nejsoucno (</w:t>
      </w:r>
      <w:r w:rsidRPr="00D91575">
        <w:rPr>
          <w:i/>
          <w:noProof/>
        </w:rPr>
        <w:t>purum non ens</w:t>
      </w:r>
      <w:r>
        <w:rPr>
          <w:noProof/>
          <w:lang w:val="cs-CZ"/>
        </w:rPr>
        <w:t xml:space="preserve">), protože není věcí danou ani esenciálně, ani nevznikla v aktuální existenci.“ </w:t>
      </w:r>
      <w:r>
        <w:rPr>
          <w:rStyle w:val="Znakapoznpodarou"/>
        </w:rPr>
        <w:footnoteReference w:id="395"/>
      </w:r>
    </w:p>
    <w:p w:rsidR="00F62338" w:rsidRDefault="08163013" w:rsidP="08163013">
      <w:r>
        <w:t xml:space="preserve">První určení věci </w:t>
      </w:r>
      <w:r w:rsidRPr="00273106">
        <w:t xml:space="preserve">je </w:t>
      </w:r>
      <w:r>
        <w:t xml:space="preserve">dáno od minimální formy </w:t>
      </w:r>
      <w:r w:rsidR="00D8392F">
        <w:t>bytí</w:t>
      </w:r>
      <w:r w:rsidRPr="00273106">
        <w:t xml:space="preserve">, kterou lze predikovat </w:t>
      </w:r>
      <w:r>
        <w:t xml:space="preserve">jako první nebo poslední společný jmenovatel </w:t>
      </w:r>
      <w:r w:rsidR="00D8392F">
        <w:t xml:space="preserve">objektivně určené </w:t>
      </w:r>
      <w:r>
        <w:t xml:space="preserve">věci </w:t>
      </w:r>
      <w:r w:rsidRPr="00273106">
        <w:t>(</w:t>
      </w:r>
      <w:r w:rsidRPr="00273106">
        <w:rPr>
          <w:i/>
        </w:rPr>
        <w:t>res a reor reris</w:t>
      </w:r>
      <w:r w:rsidRPr="00273106">
        <w:t>)</w:t>
      </w:r>
      <w:r>
        <w:t>. V</w:t>
      </w:r>
      <w:r w:rsidR="00684D15">
        <w:t xml:space="preserve">ěc má minimální existenci </w:t>
      </w:r>
      <w:r w:rsidRPr="00273106">
        <w:t>jako prázdn</w:t>
      </w:r>
      <w:r>
        <w:t>ý k</w:t>
      </w:r>
      <w:r w:rsidRPr="00273106">
        <w:t>oncept</w:t>
      </w:r>
      <w:r>
        <w:t xml:space="preserve"> v mysli, kde </w:t>
      </w:r>
      <w:r w:rsidRPr="00273106">
        <w:t>je dána v čisté jsoucnosti oddělené pouze od nejsoucna</w:t>
      </w:r>
      <w:r>
        <w:t xml:space="preserve">. V nové metafyzice založené na bytí chiméry se věc stala individuem, tedy poslední jednotkou významu vyděleného z kontinua avicennovského určení jsoucna v modu </w:t>
      </w:r>
      <w:r w:rsidRPr="00EC5368">
        <w:rPr>
          <w:i/>
        </w:rPr>
        <w:t>ens inqua</w:t>
      </w:r>
      <w:r>
        <w:rPr>
          <w:i/>
        </w:rPr>
        <w:t>n</w:t>
      </w:r>
      <w:r w:rsidRPr="00EC5368">
        <w:rPr>
          <w:i/>
        </w:rPr>
        <w:t>tum ens</w:t>
      </w:r>
      <w:r>
        <w:t xml:space="preserve">. První dělení jsoucna jako neoplatonského nejvyššího rodu zakládá metafyzické určení jsoucna v modu moderního </w:t>
      </w:r>
      <w:r w:rsidRPr="007F3223">
        <w:rPr>
          <w:i/>
        </w:rPr>
        <w:t>resolutio</w:t>
      </w:r>
      <w:r>
        <w:t>. Henryho predikace začíná na rovině čistého nihilismu (</w:t>
      </w:r>
      <w:r w:rsidRPr="004E766C">
        <w:rPr>
          <w:i/>
        </w:rPr>
        <w:t>purum non ens</w:t>
      </w:r>
      <w:r>
        <w:t>) a pak pokračuje směrem k reálnému bytí (</w:t>
      </w:r>
      <w:r w:rsidRPr="00FB3419">
        <w:rPr>
          <w:i/>
        </w:rPr>
        <w:t>esse per existentiam</w:t>
      </w:r>
      <w:r>
        <w:t xml:space="preserve">). Formální univocita pojmu </w:t>
      </w:r>
      <w:r w:rsidRPr="086560D2">
        <w:rPr>
          <w:i/>
        </w:rPr>
        <w:t>ens</w:t>
      </w:r>
      <w:r>
        <w:t xml:space="preserve"> jako první transcendentálie zajišťuje dialektické dělení Avicennova kontinua </w:t>
      </w:r>
      <w:r w:rsidRPr="08463247">
        <w:rPr>
          <w:i/>
        </w:rPr>
        <w:t>ens inquantum ens</w:t>
      </w:r>
      <w:r>
        <w:t xml:space="preserve"> jako univočně rodového a formálního bytí jsoucna. Pak je úplně jedno, jestli nová metafyzika začne u chiméry nebo u reálně existující osoby. První operace porretánského dělení zajistí minimální jsoucnost oddělenou</w:t>
      </w:r>
      <w:r w:rsidRPr="00273106">
        <w:t xml:space="preserve"> </w:t>
      </w:r>
      <w:r>
        <w:t>od čisté nicoty</w:t>
      </w:r>
      <w:r w:rsidRPr="00273106">
        <w:t xml:space="preserve"> (</w:t>
      </w:r>
      <w:r w:rsidRPr="00273106">
        <w:rPr>
          <w:i/>
        </w:rPr>
        <w:t>purum non ens</w:t>
      </w:r>
      <w:r w:rsidRPr="00273106">
        <w:t xml:space="preserve">). </w:t>
      </w:r>
      <w:r>
        <w:t>S</w:t>
      </w:r>
      <w:r w:rsidRPr="00273106">
        <w:t xml:space="preserve">mysl jsoucna jako </w:t>
      </w:r>
      <w:r w:rsidRPr="00273106">
        <w:rPr>
          <w:i/>
        </w:rPr>
        <w:t>res</w:t>
      </w:r>
      <w:r w:rsidRPr="00273106">
        <w:t xml:space="preserve"> je stvořen lidským subjektem </w:t>
      </w:r>
      <w:r w:rsidRPr="00273106">
        <w:rPr>
          <w:i/>
        </w:rPr>
        <w:t>ex nihilo</w:t>
      </w:r>
      <w:r>
        <w:t>, tedy čistě formální operac</w:t>
      </w:r>
      <w:r w:rsidRPr="004478A5">
        <w:t>í intelektu</w:t>
      </w:r>
      <w:r>
        <w:t xml:space="preserve">. </w:t>
      </w:r>
      <w:r w:rsidRPr="00273106">
        <w:t>První bytí oddělené od nicoty zajišťuje lidský subjekt tím, že v paměti podržuje význam chiméry (</w:t>
      </w:r>
      <w:r w:rsidRPr="00273106">
        <w:rPr>
          <w:i/>
        </w:rPr>
        <w:t>continet sub se rem imaginariam</w:t>
      </w:r>
      <w:r w:rsidRPr="00273106">
        <w:t xml:space="preserve">). </w:t>
      </w:r>
      <w:r>
        <w:t>Chiméra</w:t>
      </w:r>
      <w:r>
        <w:fldChar w:fldCharType="begin"/>
      </w:r>
      <w:r>
        <w:instrText xml:space="preserve"> XE "</w:instrText>
      </w:r>
      <w:r w:rsidRPr="009316B3">
        <w:instrText>chiméra</w:instrText>
      </w:r>
      <w:r>
        <w:instrText xml:space="preserve">" </w:instrText>
      </w:r>
      <w:r>
        <w:fldChar w:fldCharType="end"/>
      </w:r>
      <w:r>
        <w:t xml:space="preserve"> jako </w:t>
      </w:r>
      <w:r w:rsidRPr="007F3223">
        <w:rPr>
          <w:i/>
        </w:rPr>
        <w:t>res</w:t>
      </w:r>
      <w:r>
        <w:t xml:space="preserve"> podržená v augustiniánské paměti se stala substancí. Tím vznikl výše </w:t>
      </w:r>
      <w:r w:rsidRPr="00273106">
        <w:t>uvedený modus bytí chiméry v paměti daný pro prázdný koncept (</w:t>
      </w:r>
      <w:r w:rsidRPr="00273106">
        <w:rPr>
          <w:i/>
        </w:rPr>
        <w:t>conceptus vanus, fictitius</w:t>
      </w:r>
      <w:r w:rsidRPr="00273106">
        <w:t xml:space="preserve">). </w:t>
      </w:r>
      <w:r>
        <w:t xml:space="preserve">Určení </w:t>
      </w:r>
      <w:r w:rsidRPr="00273106">
        <w:t xml:space="preserve">moderní </w:t>
      </w:r>
      <w:r w:rsidR="00AE7B37">
        <w:t>„</w:t>
      </w:r>
      <w:r w:rsidRPr="00273106">
        <w:rPr>
          <w:i/>
        </w:rPr>
        <w:t>res</w:t>
      </w:r>
      <w:r w:rsidR="00AE7B37">
        <w:t>“</w:t>
      </w:r>
      <w:r w:rsidRPr="00273106">
        <w:t xml:space="preserve"> vzniká specifickou prací fantasie a paměti</w:t>
      </w:r>
      <w:r>
        <w:t xml:space="preserve">, která podržuje objektivní „exsistenci“ tohoto moderního individua v modu </w:t>
      </w:r>
      <w:r w:rsidRPr="0075583D">
        <w:rPr>
          <w:i/>
        </w:rPr>
        <w:t>per prius</w:t>
      </w:r>
      <w:r>
        <w:rPr>
          <w:i/>
        </w:rPr>
        <w:fldChar w:fldCharType="begin"/>
      </w:r>
      <w:r>
        <w:instrText xml:space="preserve"> XE "predikace:</w:instrText>
      </w:r>
      <w:r w:rsidRPr="0091658A">
        <w:rPr>
          <w:i/>
        </w:rPr>
        <w:instrText>per prius</w:instrText>
      </w:r>
      <w:r>
        <w:instrText xml:space="preserve">" </w:instrText>
      </w:r>
      <w:r>
        <w:rPr>
          <w:i/>
        </w:rPr>
        <w:fldChar w:fldCharType="end"/>
      </w:r>
      <w:r>
        <w:t xml:space="preserve">. Reálně existující </w:t>
      </w:r>
      <w:r w:rsidRPr="00273106">
        <w:t xml:space="preserve">věc dostává </w:t>
      </w:r>
      <w:r>
        <w:t xml:space="preserve">mimo minimální objektivní existenci i </w:t>
      </w:r>
      <w:r w:rsidRPr="00273106">
        <w:t>modus pravdivosti (</w:t>
      </w:r>
      <w:r w:rsidRPr="00273106">
        <w:rPr>
          <w:i/>
        </w:rPr>
        <w:t xml:space="preserve">continet sub </w:t>
      </w:r>
      <w:r w:rsidRPr="00273106">
        <w:rPr>
          <w:i/>
        </w:rPr>
        <w:lastRenderedPageBreak/>
        <w:t>se rem veram</w:t>
      </w:r>
      <w:r>
        <w:t xml:space="preserve">). </w:t>
      </w:r>
      <w:r w:rsidR="00F62338" w:rsidRPr="00F62338">
        <w:t>Skutečně existující věc mimo minimální objektivní existenci tvoří součást představivosti (</w:t>
      </w:r>
      <w:r w:rsidR="00F62338" w:rsidRPr="00F62338">
        <w:rPr>
          <w:i/>
        </w:rPr>
        <w:t>continet sub se rem veram</w:t>
      </w:r>
      <w:r w:rsidR="00F62338" w:rsidRPr="00F62338">
        <w:t>). Hermeneutika musí zkoumat souvislost mezi reálnými věcmi a tímto druhem chimérické objektivity dané v minimální formě bytí (</w:t>
      </w:r>
      <w:r w:rsidR="00F62338" w:rsidRPr="00F62338">
        <w:rPr>
          <w:i/>
        </w:rPr>
        <w:t>ratitudo</w:t>
      </w:r>
      <w:r w:rsidR="00F62338" w:rsidRPr="00F62338">
        <w:t>).</w:t>
      </w:r>
    </w:p>
    <w:p w:rsidR="08163013" w:rsidRDefault="08163013" w:rsidP="00F62338">
      <w:pPr>
        <w:ind w:firstLine="397"/>
      </w:pPr>
      <w:r>
        <w:t xml:space="preserve">Henry předložil první systematickou dedukci jsoucnosti z boží mysli, a tím zrušil primární založení smyslu jsoucna skrze kategoriální predikaci </w:t>
      </w:r>
      <w:r w:rsidR="00324C7D">
        <w:t xml:space="preserve">určenou </w:t>
      </w:r>
      <w:r>
        <w:t>hyparchick</w:t>
      </w:r>
      <w:r w:rsidR="00324C7D">
        <w:t xml:space="preserve">ým </w:t>
      </w:r>
      <w:r>
        <w:t>statut</w:t>
      </w:r>
      <w:r w:rsidR="00324C7D">
        <w:t>em</w:t>
      </w:r>
      <w:r>
        <w:t xml:space="preserve"> první substance</w:t>
      </w:r>
      <w:r>
        <w:fldChar w:fldCharType="begin"/>
      </w:r>
      <w:r>
        <w:instrText xml:space="preserve"> XE "</w:instrText>
      </w:r>
      <w:r w:rsidRPr="00DE2A32">
        <w:instrText>substance</w:instrText>
      </w:r>
      <w:r>
        <w:instrText xml:space="preserve">:první" </w:instrText>
      </w:r>
      <w:r>
        <w:fldChar w:fldCharType="end"/>
      </w:r>
      <w:r>
        <w:t xml:space="preserve">. Moderní bůh </w:t>
      </w:r>
      <w:r w:rsidR="004B0FC0">
        <w:t xml:space="preserve">vykonává funkci </w:t>
      </w:r>
      <w:r w:rsidR="081942A4">
        <w:t xml:space="preserve">metafyzického </w:t>
      </w:r>
      <w:r>
        <w:t>dativu</w:t>
      </w:r>
      <w:r w:rsidR="00C63F34">
        <w:rPr>
          <w:szCs w:val="24"/>
          <w:lang w:val="de-DE"/>
        </w:rPr>
        <w:fldChar w:fldCharType="begin"/>
      </w:r>
      <w:r w:rsidR="00C63F34">
        <w:instrText xml:space="preserve"> XE "</w:instrText>
      </w:r>
      <w:r w:rsidR="00C63F34" w:rsidRPr="0074751F">
        <w:rPr>
          <w:i/>
        </w:rPr>
        <w:instrText>dativus metaphysicus</w:instrText>
      </w:r>
      <w:r w:rsidR="00C63F34">
        <w:instrText xml:space="preserve">" </w:instrText>
      </w:r>
      <w:r w:rsidR="00C63F34">
        <w:rPr>
          <w:szCs w:val="24"/>
          <w:lang w:val="de-DE"/>
        </w:rPr>
        <w:fldChar w:fldCharType="end"/>
      </w:r>
      <w:r>
        <w:t xml:space="preserve">, která v aristotelismu patřila </w:t>
      </w:r>
      <w:r w:rsidR="004B0FC0">
        <w:t xml:space="preserve">pouze </w:t>
      </w:r>
      <w:r>
        <w:t xml:space="preserve">reálné první substanci. Není divu, že po jeho smrti v 19. století vypukl </w:t>
      </w:r>
      <w:r w:rsidR="00452A5B">
        <w:t xml:space="preserve">nihilistický chaos </w:t>
      </w:r>
      <w:r>
        <w:t xml:space="preserve">ve filosofii </w:t>
      </w:r>
      <w:r w:rsidR="008D2024">
        <w:t xml:space="preserve">zmatených </w:t>
      </w:r>
      <w:r w:rsidR="00452A5B">
        <w:t>objektivistů</w:t>
      </w:r>
      <w:r>
        <w:t xml:space="preserve">. Objektivní určení </w:t>
      </w:r>
      <w:r w:rsidRPr="00273106">
        <w:t xml:space="preserve">věci začíná od nejobecnějšího určení </w:t>
      </w:r>
      <w:r w:rsidRPr="00273106">
        <w:rPr>
          <w:i/>
        </w:rPr>
        <w:t>res</w:t>
      </w:r>
      <w:r w:rsidRPr="00273106">
        <w:t xml:space="preserve"> daného </w:t>
      </w:r>
      <w:r>
        <w:t>na exemplární úrovni v božím intelektu</w:t>
      </w:r>
      <w:r w:rsidRPr="00273106">
        <w:t xml:space="preserve">. Původní diference mezi bytím a nebytím </w:t>
      </w:r>
      <w:r>
        <w:t xml:space="preserve">v boží mysli zakládá smysl jsoucna jako něčeho definovaného a tím odděleného od nicoty. Proto musel avicennista Henry vyvést minimální porci jsoucnosti přímo z boha jako moderního dárce forem. </w:t>
      </w:r>
      <w:r>
        <w:fldChar w:fldCharType="begin"/>
      </w:r>
      <w:r>
        <w:instrText xml:space="preserve"> XE "</w:instrText>
      </w:r>
      <w:r w:rsidRPr="00BA7E25">
        <w:instrText>intelekt:dárce forem</w:instrText>
      </w:r>
      <w:r>
        <w:instrText xml:space="preserve">" </w:instrText>
      </w:r>
      <w:r>
        <w:fldChar w:fldCharType="end"/>
      </w:r>
      <w:r>
        <w:t>Pozdější avicennista Descartes také začínal poznání od chiméry a proto musel od postmoderního boha odvodit eficientní kauzalitu pro bytí první substance stejně jako Gandavus. Dedukce smyslu jsoucna od moderního boha jako dárce objektivního významu zakládá první celek jsoucna, jehož bytí je dáno v modu ontoteologické objektivity (</w:t>
      </w:r>
      <w:r w:rsidRPr="0087579C">
        <w:rPr>
          <w:i/>
        </w:rPr>
        <w:t>res a ratitudine</w:t>
      </w:r>
      <w:r>
        <w:rPr>
          <w:i/>
        </w:rPr>
        <w:fldChar w:fldCharType="begin"/>
      </w:r>
      <w:r>
        <w:instrText xml:space="preserve"> XE "věc:</w:instrText>
      </w:r>
      <w:r w:rsidRPr="002F0FBC">
        <w:rPr>
          <w:i/>
        </w:rPr>
        <w:instrText>res a ratitudine</w:instrText>
      </w:r>
      <w:r>
        <w:instrText xml:space="preserve">" </w:instrText>
      </w:r>
      <w:r>
        <w:rPr>
          <w:i/>
        </w:rPr>
        <w:fldChar w:fldCharType="end"/>
      </w:r>
      <w:r>
        <w:t>).</w:t>
      </w:r>
      <w:r w:rsidRPr="00311C5D">
        <w:t xml:space="preserve"> </w:t>
      </w:r>
      <w:r>
        <w:t xml:space="preserve">Následující citát zakládá první verzi </w:t>
      </w:r>
      <w:proofErr w:type="gramStart"/>
      <w:r w:rsidR="00655041">
        <w:t xml:space="preserve">objektivní </w:t>
      </w:r>
      <w:r>
        <w:t xml:space="preserve"> metafyziky</w:t>
      </w:r>
      <w:proofErr w:type="gramEnd"/>
      <w:r>
        <w:fldChar w:fldCharType="begin"/>
      </w:r>
      <w:r>
        <w:instrText xml:space="preserve"> XE "</w:instrText>
      </w:r>
      <w:r w:rsidRPr="002978CC">
        <w:instrText>ontoteologie:Gandavus</w:instrText>
      </w:r>
      <w:r>
        <w:instrText xml:space="preserve">" </w:instrText>
      </w:r>
      <w:r>
        <w:fldChar w:fldCharType="end"/>
      </w:r>
      <w:r>
        <w:t>.</w:t>
      </w:r>
    </w:p>
    <w:p w:rsidR="08163013" w:rsidRPr="00BA59B2" w:rsidRDefault="08163013" w:rsidP="08163013">
      <w:pPr>
        <w:pStyle w:val="Citace"/>
        <w:rPr>
          <w:noProof/>
          <w:lang w:val="cs-CZ"/>
        </w:rPr>
      </w:pPr>
      <w:r w:rsidRPr="00273106">
        <w:rPr>
          <w:noProof/>
          <w:lang w:val="cs-CZ"/>
        </w:rPr>
        <w:t>„</w:t>
      </w:r>
      <w:r>
        <w:rPr>
          <w:noProof/>
          <w:lang w:val="cs-CZ"/>
        </w:rPr>
        <w:t>Každá věc, ať existující nebo neexistující (</w:t>
      </w:r>
      <w:r w:rsidRPr="007F0E2B">
        <w:rPr>
          <w:i/>
          <w:noProof/>
        </w:rPr>
        <w:t>sive existens sive non existens</w:t>
      </w:r>
      <w:r>
        <w:rPr>
          <w:noProof/>
          <w:lang w:val="cs-CZ"/>
        </w:rPr>
        <w:t>), má bytí v bohu z hlediska exemplárního výměru (</w:t>
      </w:r>
      <w:r w:rsidRPr="0087579C">
        <w:rPr>
          <w:i/>
          <w:noProof/>
          <w:lang w:val="cs-CZ"/>
        </w:rPr>
        <w:t>secundum exemplarem rationem</w:t>
      </w:r>
      <w:r>
        <w:rPr>
          <w:noProof/>
          <w:lang w:val="cs-CZ"/>
        </w:rPr>
        <w:t>). Pak ale věc není jen predikovaná z hlediska své esenciální věcnosti (</w:t>
      </w:r>
      <w:r w:rsidRPr="0087579C">
        <w:rPr>
          <w:i/>
          <w:noProof/>
          <w:lang w:val="cs-CZ"/>
        </w:rPr>
        <w:t>dicta a reor reris</w:t>
      </w:r>
      <w:r>
        <w:rPr>
          <w:noProof/>
          <w:lang w:val="cs-CZ"/>
        </w:rPr>
        <w:t>), ale také z hlediska určité přirozenosti a esence (</w:t>
      </w:r>
      <w:r w:rsidRPr="0087579C">
        <w:rPr>
          <w:rStyle w:val="Zkladntext6ptdkovn0pt"/>
          <w:rFonts w:ascii="Calibri" w:eastAsia="Times" w:hAnsi="Calibri"/>
          <w:i/>
          <w:noProof/>
          <w:sz w:val="22"/>
          <w:lang w:val="cs-CZ"/>
        </w:rPr>
        <w:t xml:space="preserve">quod </w:t>
      </w:r>
      <w:r w:rsidRPr="0087579C">
        <w:rPr>
          <w:rStyle w:val="Zkladntext6ptMalpsmenadkovn0pt"/>
          <w:rFonts w:eastAsia="Times"/>
          <w:i/>
          <w:smallCaps w:val="0"/>
          <w:noProof/>
          <w:lang w:val="cs-CZ"/>
        </w:rPr>
        <w:t xml:space="preserve">sit natura et </w:t>
      </w:r>
      <w:r w:rsidRPr="0087579C">
        <w:rPr>
          <w:i/>
          <w:noProof/>
          <w:lang w:val="cs-CZ"/>
        </w:rPr>
        <w:t>essentia aliqua</w:t>
      </w:r>
      <w:r>
        <w:rPr>
          <w:noProof/>
          <w:lang w:val="cs-CZ"/>
        </w:rPr>
        <w:t>). Proto je predikovaná z hlediska individuální objektivní jsoucnosti (</w:t>
      </w:r>
      <w:r w:rsidRPr="0087579C">
        <w:rPr>
          <w:i/>
          <w:noProof/>
          <w:lang w:val="cs-CZ"/>
        </w:rPr>
        <w:t>dicitur res a ratitudine</w:t>
      </w:r>
      <w:r>
        <w:rPr>
          <w:noProof/>
          <w:lang w:val="cs-CZ"/>
        </w:rPr>
        <w:t>).“ </w:t>
      </w:r>
      <w:r>
        <w:rPr>
          <w:rStyle w:val="Znakapoznpodarou"/>
        </w:rPr>
        <w:footnoteReference w:id="396"/>
      </w:r>
    </w:p>
    <w:p w:rsidR="00851530" w:rsidRDefault="08163013" w:rsidP="08163013">
      <w:r>
        <w:t xml:space="preserve">Bůh dává ve stvořitelské mysli každé věci její podobu, definici, výměr a tím tvoří první objektivní jsoucno. První </w:t>
      </w:r>
      <w:r w:rsidRPr="00451D68">
        <w:rPr>
          <w:i/>
        </w:rPr>
        <w:t>ratio</w:t>
      </w:r>
      <w:r>
        <w:t xml:space="preserve"> </w:t>
      </w:r>
      <w:r w:rsidRPr="00273106">
        <w:t>má exemplární</w:t>
      </w:r>
      <w:r>
        <w:fldChar w:fldCharType="begin"/>
      </w:r>
      <w:r>
        <w:instrText xml:space="preserve"> XE "</w:instrText>
      </w:r>
      <w:r w:rsidRPr="00266F57">
        <w:instrText>exemplar</w:instrText>
      </w:r>
      <w:r>
        <w:instrText xml:space="preserve">" </w:instrText>
      </w:r>
      <w:r>
        <w:fldChar w:fldCharType="end"/>
      </w:r>
      <w:r w:rsidRPr="00273106">
        <w:t xml:space="preserve"> charakter, proto </w:t>
      </w:r>
      <w:r>
        <w:t xml:space="preserve">je produkováno </w:t>
      </w:r>
      <w:r w:rsidRPr="00273106">
        <w:t>v boží mysli (</w:t>
      </w:r>
      <w:r w:rsidRPr="00E007F1">
        <w:rPr>
          <w:i/>
        </w:rPr>
        <w:t>habet esse in deo secundum exemplarem rationem</w:t>
      </w:r>
      <w:r w:rsidRPr="00273106">
        <w:t xml:space="preserve">). Exemplar tvoří ontoteologický základ každé esence a proto umožňuje racionální výčet a predikaci </w:t>
      </w:r>
      <w:r>
        <w:t xml:space="preserve">na základě takto určené jsoucnosti </w:t>
      </w:r>
      <w:r w:rsidRPr="00273106">
        <w:t>(</w:t>
      </w:r>
      <w:r w:rsidRPr="00273106">
        <w:rPr>
          <w:i/>
        </w:rPr>
        <w:t>res dicta a reor reris</w:t>
      </w:r>
      <w:r>
        <w:rPr>
          <w:i/>
        </w:rPr>
        <w:fldChar w:fldCharType="begin"/>
      </w:r>
      <w:r>
        <w:instrText xml:space="preserve"> XE "</w:instrText>
      </w:r>
      <w:r w:rsidRPr="00162212">
        <w:instrText>věc</w:instrText>
      </w:r>
      <w:r w:rsidRPr="00A11FD3">
        <w:rPr>
          <w:i/>
        </w:rPr>
        <w:instrText>:res dicta a reor reris</w:instrText>
      </w:r>
      <w:r>
        <w:instrText xml:space="preserve">" </w:instrText>
      </w:r>
      <w:r>
        <w:rPr>
          <w:i/>
        </w:rPr>
        <w:fldChar w:fldCharType="end"/>
      </w:r>
      <w:r w:rsidRPr="00273106">
        <w:t xml:space="preserve">). </w:t>
      </w:r>
      <w:r>
        <w:lastRenderedPageBreak/>
        <w:t>Predikace objektivní</w:t>
      </w:r>
      <w:r>
        <w:fldChar w:fldCharType="begin"/>
      </w:r>
      <w:r>
        <w:instrText xml:space="preserve"> XE "</w:instrText>
      </w:r>
      <w:r w:rsidRPr="0071194F">
        <w:instrText>predikace:objektivní</w:instrText>
      </w:r>
      <w:r>
        <w:instrText xml:space="preserve">" </w:instrText>
      </w:r>
      <w:r>
        <w:fldChar w:fldCharType="end"/>
      </w:r>
      <w:r>
        <w:t xml:space="preserve"> věcnosti se spojuje s </w:t>
      </w:r>
      <w:proofErr w:type="gramStart"/>
      <w:r>
        <w:t>exemplární  predikací</w:t>
      </w:r>
      <w:proofErr w:type="gramEnd"/>
      <w:r>
        <w:t xml:space="preserve"> pravdivosti a obojí určení je dané v boží mysli. Její intencionalita</w:t>
      </w:r>
      <w:r>
        <w:fldChar w:fldCharType="begin"/>
      </w:r>
      <w:r>
        <w:instrText xml:space="preserve"> XE "</w:instrText>
      </w:r>
      <w:r w:rsidRPr="003C7BF1">
        <w:instrText>intencionalita:bůh</w:instrText>
      </w:r>
      <w:r>
        <w:instrText xml:space="preserve">" </w:instrText>
      </w:r>
      <w:r>
        <w:fldChar w:fldCharType="end"/>
      </w:r>
      <w:r>
        <w:t xml:space="preserve"> vytvořila první intencionální předmět, který má exemplární charakter, ale není oddělen od boží esence. </w:t>
      </w:r>
      <w:r w:rsidRPr="00273106">
        <w:t xml:space="preserve">Tím je vytvořen základ k dalšímu určení jsoucna pomocí sestupu z exemplárně </w:t>
      </w:r>
      <w:r>
        <w:t>dané esence od</w:t>
      </w:r>
      <w:r w:rsidRPr="00273106">
        <w:t xml:space="preserve"> boha směrem do konkrétní věci. </w:t>
      </w:r>
      <w:r>
        <w:t>Gandavus vytvořil první formu objektivní emanace jsoucen od moderního boha</w:t>
      </w:r>
      <w:r w:rsidR="007F27D2">
        <w:t xml:space="preserve">. </w:t>
      </w:r>
      <w:r w:rsidR="007F27D2" w:rsidRPr="007F27D2">
        <w:t xml:space="preserve">Scotus tento druh mytologie zrušil a nahradil ji mnohem sofistikovanější </w:t>
      </w:r>
      <w:r w:rsidR="00CE3297">
        <w:t xml:space="preserve">verzí </w:t>
      </w:r>
      <w:r w:rsidR="007F27D2" w:rsidRPr="007F27D2">
        <w:t>založenou na objektiv</w:t>
      </w:r>
      <w:r w:rsidR="007F27D2">
        <w:t>ní predikci božské racionality.</w:t>
      </w:r>
    </w:p>
    <w:p w:rsidR="00DE54DE" w:rsidRDefault="00AC4CCD" w:rsidP="00851530">
      <w:pPr>
        <w:ind w:firstLine="397"/>
      </w:pPr>
      <w:r>
        <w:t>Výše uvedený c</w:t>
      </w:r>
      <w:r w:rsidR="08163013" w:rsidRPr="00273106">
        <w:t xml:space="preserve">itát </w:t>
      </w:r>
      <w:r w:rsidRPr="00D478EE">
        <w:rPr>
          <w:i/>
        </w:rPr>
        <w:t>Quodlibet</w:t>
      </w:r>
      <w:r w:rsidRPr="00D478EE">
        <w:t xml:space="preserve"> V, </w:t>
      </w:r>
      <w:r>
        <w:t xml:space="preserve">q. 2 </w:t>
      </w:r>
      <w:r w:rsidR="08163013" w:rsidRPr="00273106">
        <w:t>j</w:t>
      </w:r>
      <w:r w:rsidR="08163013">
        <w:t>asně mluví o dvojím určení věci.</w:t>
      </w:r>
      <w:r w:rsidR="08163013" w:rsidRPr="00273106">
        <w:t xml:space="preserve">  </w:t>
      </w:r>
      <w:r w:rsidR="08163013">
        <w:t xml:space="preserve">Náhled na exemplární </w:t>
      </w:r>
      <w:r w:rsidR="08163013" w:rsidRPr="00273106">
        <w:t>esenc</w:t>
      </w:r>
      <w:r w:rsidR="08163013">
        <w:t>i</w:t>
      </w:r>
      <w:r w:rsidR="08163013" w:rsidRPr="00273106">
        <w:t xml:space="preserve"> (</w:t>
      </w:r>
      <w:r w:rsidR="08163013" w:rsidRPr="00273106">
        <w:rPr>
          <w:i/>
        </w:rPr>
        <w:t>res a ratitudine</w:t>
      </w:r>
      <w:r w:rsidR="08163013" w:rsidRPr="00273106">
        <w:t xml:space="preserve">) </w:t>
      </w:r>
      <w:r w:rsidR="08163013">
        <w:t xml:space="preserve">zakládá dedukci, která umožnuje kategoriální predikaci objektivního bytí věci </w:t>
      </w:r>
      <w:r w:rsidR="08163013" w:rsidRPr="00273106">
        <w:t>(</w:t>
      </w:r>
      <w:r w:rsidR="08163013" w:rsidRPr="00273106">
        <w:rPr>
          <w:i/>
        </w:rPr>
        <w:t>res dicta a reor reris</w:t>
      </w:r>
      <w:r w:rsidR="08163013">
        <w:rPr>
          <w:i/>
        </w:rPr>
        <w:fldChar w:fldCharType="begin"/>
      </w:r>
      <w:r w:rsidR="08163013">
        <w:instrText xml:space="preserve"> XE "</w:instrText>
      </w:r>
      <w:r w:rsidR="08163013" w:rsidRPr="00162212">
        <w:instrText>věc</w:instrText>
      </w:r>
      <w:r w:rsidR="08163013" w:rsidRPr="00A11FD3">
        <w:rPr>
          <w:i/>
        </w:rPr>
        <w:instrText>:res dicta a reor reris</w:instrText>
      </w:r>
      <w:r w:rsidR="08163013">
        <w:instrText xml:space="preserve">" </w:instrText>
      </w:r>
      <w:r w:rsidR="08163013">
        <w:rPr>
          <w:i/>
        </w:rPr>
        <w:fldChar w:fldCharType="end"/>
      </w:r>
      <w:r w:rsidR="08163013">
        <w:t>)</w:t>
      </w:r>
      <w:r w:rsidR="08163013" w:rsidRPr="00273106">
        <w:t xml:space="preserve">. </w:t>
      </w:r>
      <w:r w:rsidR="08163013">
        <w:t xml:space="preserve">Spojení pravdy a bytí na exemplární úrovni jsoucna umožňuje Bonaventurovo </w:t>
      </w:r>
      <w:r w:rsidR="08163013" w:rsidRPr="00273106">
        <w:t xml:space="preserve">nazírání esencí věcí daných v primární jistotě </w:t>
      </w:r>
      <w:r w:rsidR="08163013">
        <w:t xml:space="preserve">božího </w:t>
      </w:r>
      <w:r w:rsidR="08163013" w:rsidRPr="00273106">
        <w:t>subjektu</w:t>
      </w:r>
      <w:r w:rsidR="08163013">
        <w:t xml:space="preserve"> (</w:t>
      </w:r>
      <w:r w:rsidR="08163013" w:rsidRPr="00657231">
        <w:rPr>
          <w:i/>
        </w:rPr>
        <w:t xml:space="preserve">rationes </w:t>
      </w:r>
      <w:r w:rsidR="08163013">
        <w:rPr>
          <w:i/>
        </w:rPr>
        <w:t xml:space="preserve">exemplares, </w:t>
      </w:r>
      <w:r w:rsidR="08163013" w:rsidRPr="00657231">
        <w:rPr>
          <w:i/>
        </w:rPr>
        <w:t>seminales</w:t>
      </w:r>
      <w:r w:rsidR="08163013">
        <w:t>)</w:t>
      </w:r>
      <w:r w:rsidR="08163013" w:rsidRPr="00273106">
        <w:t xml:space="preserve">. </w:t>
      </w:r>
      <w:r w:rsidR="08163013">
        <w:t>Exemplar dostal statut jsoucna třetího druhu. Tato intence patří k boží substanci, ale porretánsky „exsistuje“ v roli intencionálně dané potence. Henry nepotřebuje realitu první substance</w:t>
      </w:r>
      <w:r w:rsidR="08163013">
        <w:fldChar w:fldCharType="begin"/>
      </w:r>
      <w:r w:rsidR="08163013">
        <w:instrText xml:space="preserve"> XE "zatmění:</w:instrText>
      </w:r>
      <w:r w:rsidR="08163013" w:rsidRPr="00DE2A32">
        <w:instrText>substance</w:instrText>
      </w:r>
      <w:r w:rsidR="08163013">
        <w:instrText xml:space="preserve">" </w:instrText>
      </w:r>
      <w:r w:rsidR="08163013">
        <w:fldChar w:fldCharType="end"/>
      </w:r>
      <w:r w:rsidR="08163013">
        <w:t xml:space="preserve"> pro založení smyslu jsoucna. Jeho avicennistický s</w:t>
      </w:r>
      <w:r w:rsidR="08163013" w:rsidRPr="00273106">
        <w:t xml:space="preserve">cénář sestupu forem a základní koncepty jsou obsaženy v díle </w:t>
      </w:r>
      <w:r w:rsidR="08163013" w:rsidRPr="00273106">
        <w:rPr>
          <w:i/>
        </w:rPr>
        <w:t>Liber de causis</w:t>
      </w:r>
      <w:r w:rsidR="08163013">
        <w:rPr>
          <w:i/>
        </w:rPr>
        <w:fldChar w:fldCharType="begin"/>
      </w:r>
      <w:r w:rsidR="08163013">
        <w:instrText xml:space="preserve"> XE "</w:instrText>
      </w:r>
      <w:r w:rsidR="08163013" w:rsidRPr="00C46BD8">
        <w:rPr>
          <w:i/>
        </w:rPr>
        <w:instrText>Liber de causis</w:instrText>
      </w:r>
      <w:r w:rsidR="08163013">
        <w:instrText xml:space="preserve">" </w:instrText>
      </w:r>
      <w:r w:rsidR="08163013">
        <w:rPr>
          <w:i/>
        </w:rPr>
        <w:fldChar w:fldCharType="end"/>
      </w:r>
      <w:r w:rsidR="08163013" w:rsidRPr="00273106">
        <w:t>.</w:t>
      </w:r>
      <w:r w:rsidR="08163013" w:rsidRPr="00273106">
        <w:rPr>
          <w:rStyle w:val="Znakapoznpodarou"/>
        </w:rPr>
        <w:footnoteReference w:id="397"/>
      </w:r>
      <w:r w:rsidR="08163013" w:rsidRPr="00273106">
        <w:t xml:space="preserve">  </w:t>
      </w:r>
      <w:r w:rsidR="08163013">
        <w:t>Neoplatonsk</w:t>
      </w:r>
      <w:r w:rsidR="08163013" w:rsidRPr="00273106">
        <w:t xml:space="preserve">ý </w:t>
      </w:r>
      <w:r w:rsidR="08163013">
        <w:t xml:space="preserve">a augustiniánský </w:t>
      </w:r>
      <w:r w:rsidR="08163013" w:rsidRPr="00273106">
        <w:t>náhled na jsoucno je dán směrem od ob</w:t>
      </w:r>
      <w:r w:rsidR="08163013">
        <w:t>ecného určení jsoucna jako Ploti</w:t>
      </w:r>
      <w:r w:rsidR="08163013" w:rsidRPr="00273106">
        <w:t xml:space="preserve">nova nejvyššího rodu. </w:t>
      </w:r>
      <w:r w:rsidR="08163013">
        <w:t>Zásadní rozdíl proti platonismu je v tom, že exemplar</w:t>
      </w:r>
      <w:r w:rsidR="08163013">
        <w:fldChar w:fldCharType="begin"/>
      </w:r>
      <w:r w:rsidR="08163013">
        <w:instrText xml:space="preserve"> XE "</w:instrText>
      </w:r>
      <w:r w:rsidR="08163013" w:rsidRPr="008E0867">
        <w:instrText>exemplar</w:instrText>
      </w:r>
      <w:r w:rsidR="08163013">
        <w:instrText xml:space="preserve">" </w:instrText>
      </w:r>
      <w:r w:rsidR="08163013">
        <w:fldChar w:fldCharType="end"/>
      </w:r>
      <w:r w:rsidR="08163013">
        <w:t xml:space="preserve"> má jen minimální jsoucnost podle Avicenny, protože je pouze intencionální předmět daný v boží mysli. Exemplar není platonská idea daná jako nejvyšší jsoucno. Po božím vidění exemplarů </w:t>
      </w:r>
      <w:r w:rsidR="08163013" w:rsidRPr="00273106">
        <w:t xml:space="preserve">následuje proces předání jsoucna od </w:t>
      </w:r>
      <w:r w:rsidR="08163013">
        <w:t xml:space="preserve">objektivní exemplární </w:t>
      </w:r>
      <w:r w:rsidR="08163013" w:rsidRPr="00273106">
        <w:t>formy směrem dolů.</w:t>
      </w:r>
      <w:r w:rsidR="08163013">
        <w:t xml:space="preserve"> N</w:t>
      </w:r>
      <w:r w:rsidR="08163013" w:rsidRPr="00273106">
        <w:t xml:space="preserve">ižší forma </w:t>
      </w:r>
      <w:r w:rsidR="08163013">
        <w:t xml:space="preserve">postavená mimo plné boží bytí </w:t>
      </w:r>
      <w:r w:rsidR="00B86432">
        <w:t>do</w:t>
      </w:r>
      <w:r w:rsidR="00392914">
        <w:t>s</w:t>
      </w:r>
      <w:r w:rsidR="00B86432">
        <w:t xml:space="preserve">tává </w:t>
      </w:r>
      <w:r w:rsidR="00392914">
        <w:t xml:space="preserve">objektivní </w:t>
      </w:r>
      <w:r w:rsidR="00B86432">
        <w:t xml:space="preserve">smysl </w:t>
      </w:r>
      <w:r w:rsidR="08163013" w:rsidRPr="00273106">
        <w:t xml:space="preserve">pomocí </w:t>
      </w:r>
      <w:r w:rsidR="08163013">
        <w:t xml:space="preserve">božího intelektu, což opět odpovídá scénáři dedukce kosmických forem. Citát z </w:t>
      </w:r>
      <w:r w:rsidR="08163013" w:rsidRPr="004F6F5C">
        <w:rPr>
          <w:rStyle w:val="TextpoznpodarouChar"/>
          <w:i/>
        </w:rPr>
        <w:t>Liber de causis</w:t>
      </w:r>
      <w:r w:rsidR="08163013">
        <w:rPr>
          <w:rStyle w:val="TextpoznpodarouChar"/>
        </w:rPr>
        <w:t xml:space="preserve"> ukazuje, že p</w:t>
      </w:r>
      <w:r w:rsidR="08163013" w:rsidRPr="00273106">
        <w:t>řechod</w:t>
      </w:r>
      <w:r w:rsidR="08163013">
        <w:t>em</w:t>
      </w:r>
      <w:r w:rsidR="08163013" w:rsidRPr="00273106">
        <w:t xml:space="preserve"> do nižšího stavu bytí</w:t>
      </w:r>
      <w:r w:rsidR="08163013">
        <w:t xml:space="preserve"> si forma </w:t>
      </w:r>
      <w:r w:rsidR="08163013" w:rsidRPr="00273106">
        <w:t xml:space="preserve">podržuje </w:t>
      </w:r>
      <w:r w:rsidR="08163013">
        <w:t xml:space="preserve">v umenšeném stavu </w:t>
      </w:r>
      <w:r w:rsidR="08163013" w:rsidRPr="00273106">
        <w:t>bývalé univerzá</w:t>
      </w:r>
      <w:r w:rsidR="08163013">
        <w:t>lní vlastnosti (</w:t>
      </w:r>
      <w:r w:rsidR="08163013" w:rsidRPr="0096536A">
        <w:rPr>
          <w:i/>
        </w:rPr>
        <w:t>substantia diminuta</w:t>
      </w:r>
      <w:r w:rsidR="08163013">
        <w:t>)</w:t>
      </w:r>
      <w:r w:rsidR="08163013" w:rsidRPr="00273106">
        <w:t>.</w:t>
      </w:r>
      <w:r w:rsidR="08163013" w:rsidRPr="00273106">
        <w:rPr>
          <w:rStyle w:val="Znakapoznpodarou"/>
        </w:rPr>
        <w:footnoteReference w:id="398"/>
      </w:r>
      <w:r w:rsidR="08163013" w:rsidRPr="00273106">
        <w:t xml:space="preserve"> Gandavus koncipuje sestup stvořitelské formy pomocí formální dedukce podle již zmíněné </w:t>
      </w:r>
      <w:r w:rsidR="08163013" w:rsidRPr="00273106">
        <w:rPr>
          <w:i/>
        </w:rPr>
        <w:t>Liber de causis</w:t>
      </w:r>
      <w:r w:rsidR="08163013" w:rsidRPr="00273106">
        <w:t xml:space="preserve"> a </w:t>
      </w:r>
      <w:r w:rsidR="08163013">
        <w:t xml:space="preserve">kategoriální predikace </w:t>
      </w:r>
      <w:r w:rsidR="08163013" w:rsidRPr="00273106">
        <w:t>provedené</w:t>
      </w:r>
      <w:r w:rsidR="08163013">
        <w:t xml:space="preserve"> </w:t>
      </w:r>
      <w:r w:rsidR="08163013" w:rsidRPr="00273106">
        <w:t>podle Simplikia</w:t>
      </w:r>
      <w:r w:rsidR="08163013">
        <w:t xml:space="preserve">. Místo kategoriální predikace </w:t>
      </w:r>
      <w:r w:rsidR="08163013" w:rsidRPr="00586C73">
        <w:rPr>
          <w:i/>
        </w:rPr>
        <w:t>per prius</w:t>
      </w:r>
      <w:r w:rsidR="08163013">
        <w:rPr>
          <w:i/>
        </w:rPr>
        <w:fldChar w:fldCharType="begin"/>
      </w:r>
      <w:r w:rsidR="08163013">
        <w:instrText xml:space="preserve"> XE </w:instrText>
      </w:r>
      <w:r w:rsidR="08163013">
        <w:lastRenderedPageBreak/>
        <w:instrText>"</w:instrText>
      </w:r>
      <w:r w:rsidR="08163013" w:rsidRPr="00BD3032">
        <w:instrText>predikace:</w:instrText>
      </w:r>
      <w:r w:rsidR="08163013" w:rsidRPr="00BD3032">
        <w:rPr>
          <w:i/>
        </w:rPr>
        <w:instrText>per prius</w:instrText>
      </w:r>
      <w:r w:rsidR="08163013">
        <w:instrText xml:space="preserve">" </w:instrText>
      </w:r>
      <w:r w:rsidR="08163013">
        <w:rPr>
          <w:i/>
        </w:rPr>
        <w:fldChar w:fldCharType="end"/>
      </w:r>
      <w:r w:rsidR="08163013">
        <w:t xml:space="preserve"> od první substance </w:t>
      </w:r>
      <w:r w:rsidR="00392914">
        <w:t>vznikla objektivní forma</w:t>
      </w:r>
      <w:r w:rsidR="08163013">
        <w:t xml:space="preserve"> predikace</w:t>
      </w:r>
      <w:r w:rsidR="00392914">
        <w:t xml:space="preserve">. Ta je dána </w:t>
      </w:r>
      <w:r w:rsidR="08163013">
        <w:t>v rámci formální dedukce jsoucnosti směrem od stvořitelské intencionality</w:t>
      </w:r>
      <w:r w:rsidR="08163013" w:rsidRPr="00273106">
        <w:t>.</w:t>
      </w:r>
    </w:p>
    <w:p w:rsidR="08163013" w:rsidRDefault="08163013" w:rsidP="000D2B3A">
      <w:pPr>
        <w:ind w:firstLine="397"/>
      </w:pPr>
      <w:r>
        <w:t>Antropomorfická dedukce minimálního bytí jsoucna od psychologicky definovaného boha moderny zajistila jsoucnu na úrovni objektivní exemplarity základní míru jsoucnosti, pevnost, stálost a věčnost. Ontoteologická</w:t>
      </w:r>
      <w:r w:rsidRPr="00273106">
        <w:t xml:space="preserve"> vazb</w:t>
      </w:r>
      <w:r>
        <w:t>a</w:t>
      </w:r>
      <w:r w:rsidRPr="00273106">
        <w:t xml:space="preserve"> </w:t>
      </w:r>
      <w:r>
        <w:t xml:space="preserve">věci </w:t>
      </w:r>
      <w:r w:rsidRPr="00273106">
        <w:t xml:space="preserve">na Bonaventurovy exemplary </w:t>
      </w:r>
      <w:r>
        <w:t xml:space="preserve">dává </w:t>
      </w:r>
      <w:r w:rsidRPr="00273106">
        <w:t>neměnné, esenciální a ideální bytí jsoucího (</w:t>
      </w:r>
      <w:r w:rsidRPr="00273106">
        <w:rPr>
          <w:i/>
        </w:rPr>
        <w:t>res a reor reris</w:t>
      </w:r>
      <w:r w:rsidRPr="00273106">
        <w:t>)</w:t>
      </w:r>
      <w:r w:rsidR="00B65D65">
        <w:t>. P</w:t>
      </w:r>
      <w:r>
        <w:t xml:space="preserve">oznávající intelekt </w:t>
      </w:r>
      <w:r w:rsidR="00B65D65">
        <w:t xml:space="preserve">drží </w:t>
      </w:r>
      <w:r>
        <w:t xml:space="preserve">objektivní jsoucnost v modu </w:t>
      </w:r>
      <w:r>
        <w:rPr>
          <w:i/>
        </w:rPr>
        <w:t>certitud</w:t>
      </w:r>
      <w:r w:rsidRPr="00193E00">
        <w:rPr>
          <w:i/>
        </w:rPr>
        <w:t>o</w:t>
      </w:r>
      <w:r w:rsidR="00B65D65">
        <w:t xml:space="preserve"> odvozeného</w:t>
      </w:r>
      <w:r>
        <w:t xml:space="preserve"> od přímého nazírání čisté jsoucnosti </w:t>
      </w:r>
      <w:r w:rsidRPr="00273106">
        <w:t>(</w:t>
      </w:r>
      <w:r w:rsidRPr="00273106">
        <w:rPr>
          <w:i/>
        </w:rPr>
        <w:t>res a ratitudine</w:t>
      </w:r>
      <w:r w:rsidRPr="00273106">
        <w:t>)</w:t>
      </w:r>
      <w:r>
        <w:t xml:space="preserve">. Všechny tyto vlastnosti vyjadřuje koncept </w:t>
      </w:r>
      <w:r w:rsidRPr="00273106">
        <w:rPr>
          <w:i/>
        </w:rPr>
        <w:t>esse ratum</w:t>
      </w:r>
      <w:r>
        <w:rPr>
          <w:i/>
        </w:rPr>
        <w:fldChar w:fldCharType="begin"/>
      </w:r>
      <w:r>
        <w:instrText xml:space="preserve"> XE "</w:instrText>
      </w:r>
      <w:r w:rsidRPr="00AD770D">
        <w:rPr>
          <w:i/>
        </w:rPr>
        <w:instrText>esse ratum</w:instrText>
      </w:r>
      <w:r>
        <w:instrText xml:space="preserve">:Gandavus" </w:instrText>
      </w:r>
      <w:r>
        <w:rPr>
          <w:i/>
        </w:rPr>
        <w:fldChar w:fldCharType="end"/>
      </w:r>
      <w:r>
        <w:t xml:space="preserve"> druhého averroismu</w:t>
      </w:r>
      <w:r w:rsidRPr="00273106">
        <w:t>.</w:t>
      </w:r>
      <w:r>
        <w:t xml:space="preserve"> Objektivní jsoucnost chiméry je původně v boží mysli</w:t>
      </w:r>
      <w:r w:rsidRPr="00382C20">
        <w:t xml:space="preserve"> </w:t>
      </w:r>
      <w:r>
        <w:t>a tato e</w:t>
      </w:r>
      <w:r w:rsidRPr="00273106">
        <w:t>xemplarita zajišťuje</w:t>
      </w:r>
      <w:r>
        <w:t xml:space="preserve"> bytí tohoto </w:t>
      </w:r>
      <w:r w:rsidRPr="00273106">
        <w:t>jsoucna</w:t>
      </w:r>
      <w:r>
        <w:t xml:space="preserve"> v modu </w:t>
      </w:r>
      <w:r w:rsidRPr="00193E00">
        <w:rPr>
          <w:i/>
        </w:rPr>
        <w:t>rectitudo</w:t>
      </w:r>
      <w:r>
        <w:rPr>
          <w:i/>
        </w:rPr>
        <w:fldChar w:fldCharType="begin"/>
      </w:r>
      <w:r>
        <w:instrText xml:space="preserve"> XE "pravda:</w:instrText>
      </w:r>
      <w:r w:rsidRPr="00F74C93">
        <w:rPr>
          <w:i/>
        </w:rPr>
        <w:instrText>rectitudo</w:instrText>
      </w:r>
      <w:r>
        <w:instrText xml:space="preserve">" </w:instrText>
      </w:r>
      <w:r>
        <w:rPr>
          <w:i/>
        </w:rPr>
        <w:fldChar w:fldCharType="end"/>
      </w:r>
      <w:r>
        <w:t xml:space="preserve">. Tím </w:t>
      </w:r>
      <w:r w:rsidRPr="00273106">
        <w:t xml:space="preserve">je dána i původní pravda věci jako její </w:t>
      </w:r>
      <w:r w:rsidRPr="00273106">
        <w:rPr>
          <w:i/>
        </w:rPr>
        <w:t>rectitudo</w:t>
      </w:r>
      <w:r>
        <w:t xml:space="preserve"> podle Anselma (</w:t>
      </w:r>
      <w:r w:rsidR="003508E7">
        <w:t>OBJ II, kap. 1</w:t>
      </w:r>
      <w:r>
        <w:t>.2</w:t>
      </w:r>
      <w:r w:rsidRPr="00273106">
        <w:t xml:space="preserve">). </w:t>
      </w:r>
      <w:r>
        <w:t>Naše mysl nazírá objektivní bytí chiméry skrze boží exemplar v modu avicennovské pravdy-</w:t>
      </w:r>
      <w:r w:rsidRPr="08B94D57">
        <w:rPr>
          <w:i/>
        </w:rPr>
        <w:t>certitudo</w:t>
      </w:r>
      <w:r>
        <w:t xml:space="preserve">. </w:t>
      </w:r>
      <w:r w:rsidRPr="00273106">
        <w:t xml:space="preserve">Původní smysl jsoucna a jeho pravda jako plná odkrytost pro moderní intelekt se </w:t>
      </w:r>
      <w:r>
        <w:t>poprvé plně vyvádí</w:t>
      </w:r>
      <w:r w:rsidRPr="00273106">
        <w:t xml:space="preserve"> ze skrytosti subjektu (</w:t>
      </w:r>
      <w:r w:rsidRPr="00273106">
        <w:rPr>
          <w:i/>
        </w:rPr>
        <w:t>in deo secundum exemplarem rationem</w:t>
      </w:r>
      <w:r w:rsidRPr="00273106">
        <w:t xml:space="preserve">) do plné manifestace pravdy dané v </w:t>
      </w:r>
      <w:r>
        <w:t xml:space="preserve">objektivní </w:t>
      </w:r>
      <w:r w:rsidRPr="00273106">
        <w:t>predikaci jsoucnosti</w:t>
      </w:r>
      <w:r>
        <w:t xml:space="preserve"> </w:t>
      </w:r>
      <w:r w:rsidRPr="00273106">
        <w:t>(</w:t>
      </w:r>
      <w:r w:rsidRPr="00273106">
        <w:rPr>
          <w:i/>
        </w:rPr>
        <w:t>res a ratitudine</w:t>
      </w:r>
      <w:r w:rsidRPr="00273106">
        <w:t xml:space="preserve">). </w:t>
      </w:r>
      <w:r>
        <w:t xml:space="preserve">Věcnost věci je </w:t>
      </w:r>
      <w:r w:rsidR="00F00253" w:rsidRPr="00273106">
        <w:t xml:space="preserve">zajištěna </w:t>
      </w:r>
      <w:r w:rsidRPr="00273106">
        <w:t xml:space="preserve">u boha </w:t>
      </w:r>
      <w:r w:rsidR="00F00253">
        <w:t xml:space="preserve">a je oddělena od reálného světa </w:t>
      </w:r>
      <w:r w:rsidRPr="00273106">
        <w:t>(</w:t>
      </w:r>
      <w:r w:rsidRPr="00273106">
        <w:rPr>
          <w:i/>
        </w:rPr>
        <w:t>absolute</w:t>
      </w:r>
      <w:r w:rsidRPr="00273106">
        <w:t>)</w:t>
      </w:r>
      <w:r>
        <w:t xml:space="preserve">. </w:t>
      </w:r>
      <w:r w:rsidR="00CF0952">
        <w:t xml:space="preserve">Objektivní </w:t>
      </w:r>
      <w:r w:rsidRPr="00273106">
        <w:t xml:space="preserve">poznání </w:t>
      </w:r>
      <w:r w:rsidR="00CF0952">
        <w:t xml:space="preserve">světa začíná na </w:t>
      </w:r>
      <w:r w:rsidRPr="00273106">
        <w:t>vyšší</w:t>
      </w:r>
      <w:r w:rsidR="00CF0952">
        <w:t xml:space="preserve">m patře reality, protože musí zajistit </w:t>
      </w:r>
      <w:r>
        <w:t>n</w:t>
      </w:r>
      <w:r w:rsidRPr="00273106">
        <w:t xml:space="preserve">azírání </w:t>
      </w:r>
      <w:r w:rsidR="00CF0952">
        <w:t xml:space="preserve">božího </w:t>
      </w:r>
      <w:r w:rsidRPr="00273106">
        <w:t>exemplaru ve věcech.</w:t>
      </w:r>
      <w:r>
        <w:t xml:space="preserve"> Denudace provedená v mysli moderního ilumináta zakládá vzhledem k objektivnímu bytí exemplaru v bohu </w:t>
      </w:r>
      <w:r w:rsidRPr="00273106">
        <w:t xml:space="preserve">koncept </w:t>
      </w:r>
      <w:r w:rsidR="00CF0952">
        <w:t xml:space="preserve">minimálního </w:t>
      </w:r>
      <w:r w:rsidRPr="00273106">
        <w:t>jsoucna (</w:t>
      </w:r>
      <w:r w:rsidRPr="00273106">
        <w:rPr>
          <w:i/>
        </w:rPr>
        <w:t>esse diminutum</w:t>
      </w:r>
      <w:r>
        <w:rPr>
          <w:i/>
        </w:rPr>
        <w:fldChar w:fldCharType="begin"/>
      </w:r>
      <w:r>
        <w:instrText xml:space="preserve"> XE "</w:instrText>
      </w:r>
      <w:r w:rsidRPr="00B13992">
        <w:instrText>objektivita</w:instrText>
      </w:r>
      <w:r w:rsidRPr="009C2D4E">
        <w:rPr>
          <w:i/>
        </w:rPr>
        <w:instrText>:esse diminutum</w:instrText>
      </w:r>
      <w:r>
        <w:instrText xml:space="preserve">" </w:instrText>
      </w:r>
      <w:r>
        <w:rPr>
          <w:i/>
        </w:rPr>
        <w:fldChar w:fldCharType="end"/>
      </w:r>
      <w:r w:rsidRPr="00273106">
        <w:t>)</w:t>
      </w:r>
      <w:r>
        <w:t xml:space="preserve">. Kompletní dedukce objektivního jsoucna je dána tím, že moderní iluminát (či Descartovo </w:t>
      </w:r>
      <w:r w:rsidRPr="009D184A">
        <w:rPr>
          <w:i/>
        </w:rPr>
        <w:t>cogito</w:t>
      </w:r>
      <w:r>
        <w:rPr>
          <w:i/>
        </w:rPr>
        <w:fldChar w:fldCharType="begin"/>
      </w:r>
      <w:r>
        <w:instrText xml:space="preserve"> XE "</w:instrText>
      </w:r>
      <w:r w:rsidRPr="003D2937">
        <w:rPr>
          <w:i/>
        </w:rPr>
        <w:instrText>cogito</w:instrText>
      </w:r>
      <w:r>
        <w:instrText xml:space="preserve">" </w:instrText>
      </w:r>
      <w:r>
        <w:rPr>
          <w:i/>
        </w:rPr>
        <w:fldChar w:fldCharType="end"/>
      </w:r>
      <w:r>
        <w:t xml:space="preserve">) si v procesu reflexe uvědomuje plně aktualitu své reflexe. Na úrovni </w:t>
      </w:r>
      <w:r w:rsidRPr="00AB44EA">
        <w:rPr>
          <w:i/>
        </w:rPr>
        <w:t>intellectus agens</w:t>
      </w:r>
      <w:r>
        <w:t xml:space="preserve"> jsou formy reaktualizovány plným způsobem.</w:t>
      </w:r>
      <w:r w:rsidRPr="00273106">
        <w:t xml:space="preserve"> </w:t>
      </w:r>
      <w:r>
        <w:t xml:space="preserve">Podle </w:t>
      </w:r>
      <w:r w:rsidRPr="00561576">
        <w:rPr>
          <w:i/>
        </w:rPr>
        <w:t>Liber de causis</w:t>
      </w:r>
      <w:r w:rsidR="00CF0952">
        <w:t xml:space="preserve"> platí, že intelekt provádí substanční sebereflexi skrze kompletní sérii č</w:t>
      </w:r>
      <w:r>
        <w:t>istých forem (</w:t>
      </w:r>
      <w:r w:rsidRPr="0073024D">
        <w:rPr>
          <w:i/>
        </w:rPr>
        <w:t>rediens ad essentiam suam reditione completa</w:t>
      </w:r>
      <w:r>
        <w:t>).</w:t>
      </w:r>
      <w:r w:rsidRPr="00273106">
        <w:rPr>
          <w:rStyle w:val="Znakapoznpodarou"/>
        </w:rPr>
        <w:footnoteReference w:id="399"/>
      </w:r>
      <w:r>
        <w:t xml:space="preserve"> Uvedené diktum </w:t>
      </w:r>
      <w:r w:rsidRPr="00273106">
        <w:t xml:space="preserve">určuje metodické zkoumání moderny </w:t>
      </w:r>
      <w:r>
        <w:t xml:space="preserve">a </w:t>
      </w:r>
      <w:r w:rsidRPr="00273106">
        <w:t xml:space="preserve">karteziánské </w:t>
      </w:r>
      <w:r>
        <w:t>postmoderny, která skrze kompletní cestu intelektu zpět do sebe (</w:t>
      </w:r>
      <w:r>
        <w:rPr>
          <w:i/>
        </w:rPr>
        <w:t>reditio</w:t>
      </w:r>
      <w:r w:rsidRPr="0073024D">
        <w:rPr>
          <w:i/>
        </w:rPr>
        <w:t xml:space="preserve"> completa</w:t>
      </w:r>
      <w:r>
        <w:t xml:space="preserve">) zajišťuje </w:t>
      </w:r>
      <w:r w:rsidRPr="00273106">
        <w:t>poznat</w:t>
      </w:r>
      <w:r>
        <w:t>ek</w:t>
      </w:r>
      <w:r w:rsidRPr="00273106">
        <w:t xml:space="preserve"> v jeho </w:t>
      </w:r>
      <w:r>
        <w:t xml:space="preserve">evidentní </w:t>
      </w:r>
      <w:r w:rsidRPr="00273106">
        <w:t>esencialitě</w:t>
      </w:r>
      <w:r>
        <w:t>. Tato klíčová teze z </w:t>
      </w:r>
      <w:r w:rsidRPr="00D54157">
        <w:rPr>
          <w:i/>
        </w:rPr>
        <w:t>Liber de causis</w:t>
      </w:r>
      <w:r>
        <w:t xml:space="preserve"> zakládá celý postup moderní dedukce</w:t>
      </w:r>
      <w:r>
        <w:fldChar w:fldCharType="begin"/>
      </w:r>
      <w:r>
        <w:instrText xml:space="preserve"> XE "</w:instrText>
      </w:r>
      <w:r w:rsidRPr="009729F2">
        <w:instrText>dedukce:</w:instrText>
      </w:r>
      <w:r>
        <w:rPr>
          <w:i/>
        </w:rPr>
        <w:instrText>reditio</w:instrText>
      </w:r>
      <w:r w:rsidRPr="00B13992">
        <w:rPr>
          <w:i/>
        </w:rPr>
        <w:instrText xml:space="preserve"> completa</w:instrText>
      </w:r>
      <w:r>
        <w:instrText xml:space="preserve">" </w:instrText>
      </w:r>
      <w:r>
        <w:fldChar w:fldCharType="end"/>
      </w:r>
      <w:r>
        <w:t xml:space="preserve"> smyslu jsoucna, kterou v postmoderně opakují Kartéziovy </w:t>
      </w:r>
      <w:r w:rsidR="00CF0952" w:rsidRPr="00CF0952">
        <w:rPr>
          <w:i/>
        </w:rPr>
        <w:t>Meditationes</w:t>
      </w:r>
      <w:r w:rsidR="00CF0952">
        <w:t xml:space="preserve"> </w:t>
      </w:r>
      <w:r>
        <w:t xml:space="preserve">a Husserlovy </w:t>
      </w:r>
      <w:r w:rsidR="00CF0952" w:rsidRPr="00CF0952">
        <w:rPr>
          <w:i/>
          <w:szCs w:val="24"/>
        </w:rPr>
        <w:t>Pariser Vortr</w:t>
      </w:r>
      <w:r w:rsidR="00CF0952" w:rsidRPr="00CF0952">
        <w:rPr>
          <w:rFonts w:cs="Calibri"/>
          <w:i/>
          <w:szCs w:val="24"/>
        </w:rPr>
        <w:t>ä</w:t>
      </w:r>
      <w:r w:rsidR="00CF0952" w:rsidRPr="00CF0952">
        <w:rPr>
          <w:i/>
          <w:szCs w:val="24"/>
        </w:rPr>
        <w:t>ge</w:t>
      </w:r>
      <w:r>
        <w:t>.</w:t>
      </w:r>
      <w:r w:rsidRPr="00273106">
        <w:t xml:space="preserve"> </w:t>
      </w:r>
      <w:r>
        <w:t xml:space="preserve">Po smrti moderního boha v epoše </w:t>
      </w:r>
      <w:r>
        <w:lastRenderedPageBreak/>
        <w:t xml:space="preserve">metafyzického nihilismu </w:t>
      </w:r>
      <w:r>
        <w:rPr>
          <w:color w:val="000000"/>
        </w:rPr>
        <w:fldChar w:fldCharType="begin"/>
      </w:r>
      <w:r>
        <w:instrText xml:space="preserve"> XE "smrt boha" </w:instrText>
      </w:r>
      <w:r>
        <w:rPr>
          <w:color w:val="000000"/>
        </w:rPr>
        <w:fldChar w:fldCharType="end"/>
      </w:r>
      <w:r>
        <w:t xml:space="preserve">zajištuje </w:t>
      </w:r>
      <w:r w:rsidRPr="0073024D">
        <w:rPr>
          <w:i/>
        </w:rPr>
        <w:t>reditio</w:t>
      </w:r>
      <w:r>
        <w:rPr>
          <w:i/>
        </w:rPr>
        <w:t xml:space="preserve"> completa</w:t>
      </w:r>
      <w:r>
        <w:t xml:space="preserve"> už jen smrtelný subjekt</w:t>
      </w:r>
      <w:r w:rsidR="000D2B3A">
        <w:t xml:space="preserve">. Takto dané </w:t>
      </w:r>
      <w:r w:rsidRPr="00D05EF6">
        <w:rPr>
          <w:i/>
        </w:rPr>
        <w:t>resolutio</w:t>
      </w:r>
      <w:r>
        <w:t xml:space="preserve"> jsoucna </w:t>
      </w:r>
      <w:r w:rsidR="000D2B3A">
        <w:t xml:space="preserve">podle </w:t>
      </w:r>
      <w:r w:rsidRPr="003B10D7">
        <w:rPr>
          <w:i/>
        </w:rPr>
        <w:t>Liber de causis</w:t>
      </w:r>
      <w:r>
        <w:t xml:space="preserve"> </w:t>
      </w:r>
      <w:r w:rsidR="000D2B3A">
        <w:t xml:space="preserve">rozdělilo </w:t>
      </w:r>
      <w:r w:rsidRPr="00273106">
        <w:t>cesty prvního</w:t>
      </w:r>
      <w:r w:rsidR="009B7753">
        <w:t xml:space="preserve"> a druhého averroismu </w:t>
      </w:r>
      <w:r w:rsidRPr="00273106">
        <w:t xml:space="preserve">zásadním způsobem. </w:t>
      </w:r>
      <w:r>
        <w:t>Škola Modistů</w:t>
      </w:r>
      <w:r>
        <w:fldChar w:fldCharType="begin"/>
      </w:r>
      <w:r>
        <w:instrText xml:space="preserve"> XE "první averroismus:</w:instrText>
      </w:r>
      <w:r w:rsidRPr="00BF7079">
        <w:instrText>Modisté</w:instrText>
      </w:r>
      <w:r>
        <w:instrText xml:space="preserve">" </w:instrText>
      </w:r>
      <w:r>
        <w:fldChar w:fldCharType="end"/>
      </w:r>
      <w:r>
        <w:t xml:space="preserve"> z prvního averroismu v této d</w:t>
      </w:r>
      <w:r w:rsidR="00B762B6">
        <w:t>obě naposledy a marně vysvětlovala</w:t>
      </w:r>
      <w:r>
        <w:t xml:space="preserve"> latinským sofistům, že </w:t>
      </w:r>
      <w:r w:rsidRPr="00273106">
        <w:t xml:space="preserve">lidské poznání nemůže jít univočně </w:t>
      </w:r>
      <w:r>
        <w:t xml:space="preserve">či objektivně </w:t>
      </w:r>
      <w:r w:rsidRPr="00273106">
        <w:t>na boží úroveň</w:t>
      </w:r>
      <w:r w:rsidR="003C7F47">
        <w:t xml:space="preserve"> (kap. 4</w:t>
      </w:r>
      <w:r>
        <w:t>.4.1)</w:t>
      </w:r>
      <w:r w:rsidRPr="00273106">
        <w:t xml:space="preserve">. </w:t>
      </w:r>
      <w:r>
        <w:t xml:space="preserve">A také nemůžeme začínat poznání světa logickou supozicí nicoty nebo chiméry, protože poznáváme v receptivním modu duše jako </w:t>
      </w:r>
      <w:r w:rsidRPr="00E55927">
        <w:rPr>
          <w:i/>
        </w:rPr>
        <w:t>tabula rasa</w:t>
      </w:r>
      <w:r>
        <w:rPr>
          <w:i/>
        </w:rPr>
        <w:fldChar w:fldCharType="begin"/>
      </w:r>
      <w:r>
        <w:instrText xml:space="preserve"> XE "</w:instrText>
      </w:r>
      <w:r w:rsidRPr="00CE6D17">
        <w:rPr>
          <w:i/>
        </w:rPr>
        <w:instrText>tabula rasa</w:instrText>
      </w:r>
      <w:r>
        <w:instrText xml:space="preserve">" </w:instrText>
      </w:r>
      <w:r>
        <w:rPr>
          <w:i/>
        </w:rPr>
        <w:fldChar w:fldCharType="end"/>
      </w:r>
      <w:r>
        <w:t xml:space="preserve"> od impozice aktuální první substance poznávané smysly. Navíc n</w:t>
      </w:r>
      <w:r w:rsidRPr="00273106">
        <w:t xml:space="preserve">emáme dán aktivní intelekt jako oddělenou formu subsistující </w:t>
      </w:r>
      <w:r w:rsidRPr="00273106">
        <w:rPr>
          <w:i/>
        </w:rPr>
        <w:t>simpliciter</w:t>
      </w:r>
      <w:r w:rsidRPr="00273106">
        <w:t xml:space="preserve"> a </w:t>
      </w:r>
      <w:r w:rsidRPr="00273106">
        <w:rPr>
          <w:i/>
        </w:rPr>
        <w:t>actualiter</w:t>
      </w:r>
      <w:r w:rsidRPr="00273106">
        <w:t>, jako to mají andělé či k</w:t>
      </w:r>
      <w:r>
        <w:t xml:space="preserve">osmické inteligence. </w:t>
      </w:r>
      <w:r w:rsidR="009B7753" w:rsidRPr="009B7753">
        <w:t xml:space="preserve">Po zániku první substance v metafyzice navrhli </w:t>
      </w:r>
      <w:r w:rsidR="009B7753">
        <w:t xml:space="preserve">moderní </w:t>
      </w:r>
      <w:r w:rsidR="009B7753" w:rsidRPr="009B7753">
        <w:t xml:space="preserve">ilumináti odvození exemplarity od </w:t>
      </w:r>
      <w:r w:rsidR="009B7753">
        <w:t>moderního b</w:t>
      </w:r>
      <w:r w:rsidR="009B7753" w:rsidRPr="009B7753">
        <w:t xml:space="preserve">oha; </w:t>
      </w:r>
      <w:r w:rsidR="009B7753">
        <w:t xml:space="preserve">postmoderní </w:t>
      </w:r>
      <w:r w:rsidR="009B7753" w:rsidRPr="009B7753">
        <w:t xml:space="preserve">ilumináti od Leibnize nahradili </w:t>
      </w:r>
      <w:r w:rsidR="009B7753">
        <w:t>moderního b</w:t>
      </w:r>
      <w:r w:rsidR="009B7753" w:rsidRPr="009B7753">
        <w:t>oha matematikou</w:t>
      </w:r>
      <w:r w:rsidR="009B7753">
        <w:fldChar w:fldCharType="begin"/>
      </w:r>
      <w:r w:rsidR="009B7753">
        <w:instrText xml:space="preserve"> XE "</w:instrText>
      </w:r>
      <w:r w:rsidR="009B7753" w:rsidRPr="00DC040D">
        <w:instrText>matematika</w:instrText>
      </w:r>
      <w:r w:rsidR="009B7753">
        <w:instrText xml:space="preserve">" </w:instrText>
      </w:r>
      <w:r w:rsidR="009B7753">
        <w:fldChar w:fldCharType="end"/>
      </w:r>
      <w:r w:rsidR="009B7753" w:rsidRPr="009B7753">
        <w:t xml:space="preserve"> jako univerzálním poznáním. </w:t>
      </w:r>
      <w:r w:rsidR="00BD794C">
        <w:t xml:space="preserve">Gandavus stojí na začátku cesty vedoucí ke smrti </w:t>
      </w:r>
      <w:r w:rsidR="00A921F6">
        <w:t xml:space="preserve">moderního </w:t>
      </w:r>
      <w:r w:rsidR="00BD794C">
        <w:t>boha v západním myšlení. Navrhnul a</w:t>
      </w:r>
      <w:r>
        <w:t>ntropocentrické pojetí metafyziky</w:t>
      </w:r>
      <w:r w:rsidR="00BD794C">
        <w:t xml:space="preserve"> tak, že </w:t>
      </w:r>
      <w:r>
        <w:t>naše a boží mysl pracují podle analogicky podobné formální regule (Bonaventura) č</w:t>
      </w:r>
      <w:r w:rsidR="000D2B3A">
        <w:t xml:space="preserve">i matematické rovnice (Leibniz), které byly </w:t>
      </w:r>
      <w:r>
        <w:t xml:space="preserve">původně dané v modu Rufusova </w:t>
      </w:r>
      <w:r w:rsidRPr="00B84DBD">
        <w:rPr>
          <w:i/>
        </w:rPr>
        <w:t>coaequatio</w:t>
      </w:r>
      <w:r>
        <w:rPr>
          <w:i/>
        </w:rPr>
        <w:fldChar w:fldCharType="begin"/>
      </w:r>
      <w:r>
        <w:instrText xml:space="preserve"> XE "pravda:</w:instrText>
      </w:r>
      <w:r w:rsidRPr="00E11E1F">
        <w:rPr>
          <w:i/>
        </w:rPr>
        <w:instrText>coaequatio</w:instrText>
      </w:r>
      <w:r>
        <w:instrText xml:space="preserve">" </w:instrText>
      </w:r>
      <w:r>
        <w:rPr>
          <w:i/>
        </w:rPr>
        <w:fldChar w:fldCharType="end"/>
      </w:r>
      <w:r>
        <w:t xml:space="preserve">. Nietzsche tohoto rozporného boha </w:t>
      </w:r>
      <w:r w:rsidRPr="00996E71">
        <w:rPr>
          <w:i/>
        </w:rPr>
        <w:t>Modernorum</w:t>
      </w:r>
      <w:r>
        <w:t xml:space="preserve"> jednoduše zrušil</w:t>
      </w:r>
      <w:r>
        <w:rPr>
          <w:color w:val="000000"/>
        </w:rPr>
        <w:fldChar w:fldCharType="begin"/>
      </w:r>
      <w:r>
        <w:instrText xml:space="preserve"> XE "smrt boha" </w:instrText>
      </w:r>
      <w:r>
        <w:rPr>
          <w:color w:val="000000"/>
        </w:rPr>
        <w:fldChar w:fldCharType="end"/>
      </w:r>
      <w:r w:rsidR="000D2B3A">
        <w:t xml:space="preserve"> a s ním </w:t>
      </w:r>
      <w:r>
        <w:t>i celou psychologizující objektivistickou metafyziku.</w:t>
      </w:r>
    </w:p>
    <w:p w:rsidR="00D93D7C" w:rsidRDefault="08163013" w:rsidP="08163013">
      <w:r>
        <w:tab/>
      </w:r>
      <w:r w:rsidRPr="00273106">
        <w:t>Gandavu</w:t>
      </w:r>
      <w:r w:rsidR="00187717">
        <w:t xml:space="preserve">s završil dlouhou cestu moderny, která začala konceptem jsoucna </w:t>
      </w:r>
      <w:r w:rsidRPr="00273106">
        <w:t xml:space="preserve">vázaného na </w:t>
      </w:r>
      <w:r>
        <w:t>objektivní určení věci</w:t>
      </w:r>
      <w:r w:rsidR="00187717">
        <w:t xml:space="preserve"> (</w:t>
      </w:r>
      <w:r w:rsidR="00187717" w:rsidRPr="00187717">
        <w:rPr>
          <w:i/>
        </w:rPr>
        <w:t>res</w:t>
      </w:r>
      <w:r w:rsidR="00187717">
        <w:t>)</w:t>
      </w:r>
      <w:r w:rsidRPr="00273106">
        <w:t xml:space="preserve">. </w:t>
      </w:r>
      <w:r>
        <w:t xml:space="preserve">Jistota této objektivní </w:t>
      </w:r>
      <w:r w:rsidRPr="002473D2">
        <w:rPr>
          <w:i/>
        </w:rPr>
        <w:t>res</w:t>
      </w:r>
      <w:r>
        <w:t xml:space="preserve"> </w:t>
      </w:r>
      <w:r w:rsidR="00187717">
        <w:t xml:space="preserve">musela být dána do </w:t>
      </w:r>
      <w:r>
        <w:t xml:space="preserve">boží mysli, protože v realitě žádné jsoucno třetího druhu neexistuje. </w:t>
      </w:r>
      <w:r w:rsidR="00341506">
        <w:rPr>
          <w:rStyle w:val="addmd"/>
        </w:rPr>
        <w:t>Rufus předal</w:t>
      </w:r>
      <w:r w:rsidRPr="00273106">
        <w:rPr>
          <w:rStyle w:val="addmd"/>
        </w:rPr>
        <w:t xml:space="preserve"> moderně dědictví </w:t>
      </w:r>
      <w:r w:rsidRPr="00273106">
        <w:rPr>
          <w:rStyle w:val="addmd"/>
          <w:i/>
        </w:rPr>
        <w:t>Nominales</w:t>
      </w:r>
      <w:r w:rsidRPr="00273106">
        <w:rPr>
          <w:rStyle w:val="addmd"/>
        </w:rPr>
        <w:t xml:space="preserve"> s tím, že kauzalitu zakládá koncept </w:t>
      </w:r>
      <w:r w:rsidR="004661D6" w:rsidRPr="00273106">
        <w:rPr>
          <w:rStyle w:val="addmd"/>
        </w:rPr>
        <w:t>v</w:t>
      </w:r>
      <w:r w:rsidR="004661D6">
        <w:rPr>
          <w:rStyle w:val="addmd"/>
        </w:rPr>
        <w:t> </w:t>
      </w:r>
      <w:r w:rsidR="004661D6" w:rsidRPr="00273106">
        <w:rPr>
          <w:rStyle w:val="addmd"/>
        </w:rPr>
        <w:t>mysli</w:t>
      </w:r>
      <w:r w:rsidR="004661D6">
        <w:rPr>
          <w:rStyle w:val="addmd"/>
        </w:rPr>
        <w:t>,</w:t>
      </w:r>
      <w:r w:rsidR="004661D6" w:rsidRPr="00273106">
        <w:rPr>
          <w:rStyle w:val="addmd"/>
        </w:rPr>
        <w:t xml:space="preserve"> </w:t>
      </w:r>
      <w:r w:rsidRPr="00273106">
        <w:rPr>
          <w:rStyle w:val="addmd"/>
        </w:rPr>
        <w:t xml:space="preserve">a </w:t>
      </w:r>
      <w:r w:rsidR="004661D6">
        <w:rPr>
          <w:rStyle w:val="addmd"/>
        </w:rPr>
        <w:t xml:space="preserve">ne </w:t>
      </w:r>
      <w:r w:rsidRPr="00273106">
        <w:rPr>
          <w:rStyle w:val="addmd"/>
        </w:rPr>
        <w:t>realit</w:t>
      </w:r>
      <w:r w:rsidR="004661D6">
        <w:rPr>
          <w:rStyle w:val="addmd"/>
        </w:rPr>
        <w:t>a</w:t>
      </w:r>
      <w:r w:rsidRPr="00273106">
        <w:rPr>
          <w:rStyle w:val="addmd"/>
        </w:rPr>
        <w:t xml:space="preserve"> </w:t>
      </w:r>
      <w:r w:rsidRPr="00273106">
        <w:t>(</w:t>
      </w:r>
      <w:r w:rsidRPr="00273106">
        <w:rPr>
          <w:i/>
          <w:szCs w:val="22"/>
        </w:rPr>
        <w:t>causa individuationis</w:t>
      </w:r>
      <w:r>
        <w:rPr>
          <w:i/>
          <w:szCs w:val="22"/>
        </w:rPr>
        <w:fldChar w:fldCharType="begin"/>
      </w:r>
      <w:r>
        <w:instrText xml:space="preserve"> XE "</w:instrText>
      </w:r>
      <w:r w:rsidRPr="00F10F0D">
        <w:rPr>
          <w:szCs w:val="22"/>
        </w:rPr>
        <w:instrText>kauzalita</w:instrText>
      </w:r>
      <w:r w:rsidRPr="000E6FBA">
        <w:rPr>
          <w:i/>
          <w:szCs w:val="22"/>
        </w:rPr>
        <w:instrText xml:space="preserve">:causa </w:instrText>
      </w:r>
      <w:proofErr w:type="gramStart"/>
      <w:r w:rsidRPr="000E6FBA">
        <w:rPr>
          <w:i/>
          <w:szCs w:val="22"/>
        </w:rPr>
        <w:instrText>individuationis</w:instrText>
      </w:r>
      <w:r>
        <w:instrText xml:space="preserve">" </w:instrText>
      </w:r>
      <w:r>
        <w:rPr>
          <w:i/>
          <w:szCs w:val="22"/>
        </w:rPr>
        <w:fldChar w:fldCharType="end"/>
      </w:r>
      <w:r w:rsidRPr="00273106">
        <w:rPr>
          <w:i/>
          <w:szCs w:val="22"/>
        </w:rPr>
        <w:t>... est</w:t>
      </w:r>
      <w:proofErr w:type="gramEnd"/>
      <w:r w:rsidRPr="00273106">
        <w:rPr>
          <w:i/>
          <w:szCs w:val="22"/>
        </w:rPr>
        <w:t xml:space="preserve"> scibile</w:t>
      </w:r>
      <w:r w:rsidR="003C7F47">
        <w:rPr>
          <w:szCs w:val="22"/>
        </w:rPr>
        <w:t>; OBJ II, kap. 3</w:t>
      </w:r>
      <w:r w:rsidRPr="00273106">
        <w:rPr>
          <w:szCs w:val="22"/>
        </w:rPr>
        <w:t>.3.2</w:t>
      </w:r>
      <w:r w:rsidRPr="00273106">
        <w:t>). Objektivní určení věci není</w:t>
      </w:r>
      <w:r>
        <w:t xml:space="preserve"> v modu </w:t>
      </w:r>
      <w:r w:rsidRPr="00CC434B">
        <w:rPr>
          <w:i/>
        </w:rPr>
        <w:t>per prius</w:t>
      </w:r>
      <w:r>
        <w:t xml:space="preserve"> </w:t>
      </w:r>
      <w:r w:rsidRPr="00273106">
        <w:t>dá</w:t>
      </w:r>
      <w:r>
        <w:t>no od první</w:t>
      </w:r>
      <w:r w:rsidR="009D20FE">
        <w:t xml:space="preserve">ch substancí; </w:t>
      </w:r>
      <w:r w:rsidRPr="00273106">
        <w:t xml:space="preserve">proto </w:t>
      </w:r>
      <w:r w:rsidR="009D20FE">
        <w:t xml:space="preserve">moderna </w:t>
      </w:r>
      <w:r w:rsidRPr="00273106">
        <w:t xml:space="preserve">nemůže </w:t>
      </w:r>
      <w:r>
        <w:t xml:space="preserve">plně </w:t>
      </w:r>
      <w:r w:rsidR="009D20FE">
        <w:t xml:space="preserve">přijat teorii pravdy </w:t>
      </w:r>
      <w:r w:rsidRPr="00273106">
        <w:t>jako adekvace</w:t>
      </w:r>
      <w:r>
        <w:t xml:space="preserve"> rozumu a reálné věci</w:t>
      </w:r>
      <w:r w:rsidRPr="00273106">
        <w:t xml:space="preserve">. Pravda jako </w:t>
      </w:r>
      <w:r w:rsidRPr="00273106">
        <w:rPr>
          <w:i/>
        </w:rPr>
        <w:t>rectitudo</w:t>
      </w:r>
      <w:r w:rsidRPr="00273106">
        <w:t xml:space="preserve"> </w:t>
      </w:r>
      <w:r w:rsidR="003C7F47">
        <w:t xml:space="preserve">a </w:t>
      </w:r>
      <w:r w:rsidR="003C7F47" w:rsidRPr="003C7F47">
        <w:rPr>
          <w:i/>
          <w:szCs w:val="24"/>
        </w:rPr>
        <w:t>certitudo</w:t>
      </w:r>
      <w:r w:rsidR="003C7F47" w:rsidRPr="003C7F47">
        <w:rPr>
          <w:szCs w:val="24"/>
        </w:rPr>
        <w:t xml:space="preserve"> </w:t>
      </w:r>
      <w:r w:rsidRPr="00273106">
        <w:t xml:space="preserve">je </w:t>
      </w:r>
      <w:r>
        <w:t>založena</w:t>
      </w:r>
      <w:r w:rsidRPr="00273106">
        <w:t xml:space="preserve"> na jistotě </w:t>
      </w:r>
      <w:r>
        <w:t xml:space="preserve">osvíceného </w:t>
      </w:r>
      <w:r w:rsidRPr="00273106">
        <w:t>subjektu</w:t>
      </w:r>
      <w:r>
        <w:t>, nejprve božího a pak lidského</w:t>
      </w:r>
      <w:r w:rsidRPr="00273106">
        <w:t xml:space="preserve">. </w:t>
      </w:r>
      <w:r w:rsidR="00C57D78">
        <w:t xml:space="preserve">Teoretický model božské intencionality </w:t>
      </w:r>
      <w:r>
        <w:t xml:space="preserve">zakládá </w:t>
      </w:r>
      <w:r w:rsidR="00C57D78">
        <w:t>v moderní metafyzice dvě z</w:t>
      </w:r>
      <w:r>
        <w:t>ákladní formy bytí jsoucna dané čistě hypoteticky (</w:t>
      </w:r>
      <w:r w:rsidRPr="00273106">
        <w:rPr>
          <w:i/>
        </w:rPr>
        <w:t>conceptum vanum</w:t>
      </w:r>
      <w:r>
        <w:t xml:space="preserve">) </w:t>
      </w:r>
      <w:r w:rsidR="00C57D78">
        <w:t xml:space="preserve">a </w:t>
      </w:r>
      <w:r>
        <w:t xml:space="preserve">reálně </w:t>
      </w:r>
      <w:r w:rsidRPr="00273106">
        <w:t>(</w:t>
      </w:r>
      <w:r w:rsidRPr="00273106">
        <w:rPr>
          <w:i/>
        </w:rPr>
        <w:t>conceptum verum</w:t>
      </w:r>
      <w:r w:rsidRPr="00273106">
        <w:t xml:space="preserve">). Oba koncepty určují základní aspekt jsoucna jako </w:t>
      </w:r>
      <w:r>
        <w:t>univoční věc, která je koncipovaná</w:t>
      </w:r>
      <w:r w:rsidRPr="00273106">
        <w:t xml:space="preserve"> objektivně</w:t>
      </w:r>
      <w:r>
        <w:t xml:space="preserve">. Toto </w:t>
      </w:r>
      <w:r w:rsidR="008A44CC">
        <w:t xml:space="preserve">nové </w:t>
      </w:r>
      <w:r w:rsidR="008A44CC" w:rsidRPr="008A44CC">
        <w:rPr>
          <w:i/>
        </w:rPr>
        <w:t>resolutio</w:t>
      </w:r>
      <w:r w:rsidR="008A44CC">
        <w:t xml:space="preserve"> </w:t>
      </w:r>
      <w:r>
        <w:t xml:space="preserve">se týká celku </w:t>
      </w:r>
      <w:r w:rsidRPr="00273106">
        <w:t>jsoucna (</w:t>
      </w:r>
      <w:r w:rsidRPr="00273106">
        <w:rPr>
          <w:i/>
        </w:rPr>
        <w:t>sive existens sive non existens</w:t>
      </w:r>
      <w:r w:rsidRPr="00273106">
        <w:t xml:space="preserve">). Původní model tohoto určování jsme popsali u Jamblicha v modu </w:t>
      </w:r>
      <w:r w:rsidRPr="00273106">
        <w:rPr>
          <w:rStyle w:val="addmd"/>
        </w:rPr>
        <w:t>„Omezené‒Neomezené</w:t>
      </w:r>
      <w:r>
        <w:rPr>
          <w:rStyle w:val="addmd"/>
        </w:rPr>
        <w:fldChar w:fldCharType="begin"/>
      </w:r>
      <w:r>
        <w:instrText xml:space="preserve"> XE "</w:instrText>
      </w:r>
      <w:r w:rsidRPr="00F84D3A">
        <w:rPr>
          <w:rStyle w:val="addmd"/>
        </w:rPr>
        <w:instrText>Omezené‒Neomezené</w:instrText>
      </w:r>
      <w:r>
        <w:instrText xml:space="preserve">" </w:instrText>
      </w:r>
      <w:r>
        <w:rPr>
          <w:rStyle w:val="addmd"/>
        </w:rPr>
        <w:fldChar w:fldCharType="end"/>
      </w:r>
      <w:r w:rsidR="00B37E9A">
        <w:rPr>
          <w:rStyle w:val="addmd"/>
        </w:rPr>
        <w:t xml:space="preserve">“ </w:t>
      </w:r>
      <w:r w:rsidR="00B37E9A" w:rsidRPr="00273106">
        <w:rPr>
          <w:rStyle w:val="addmd"/>
        </w:rPr>
        <w:t>(</w:t>
      </w:r>
      <w:r w:rsidR="00B37E9A">
        <w:rPr>
          <w:rStyle w:val="addmd"/>
        </w:rPr>
        <w:t>OBJ I, kap. 1.3.1). Ten p</w:t>
      </w:r>
      <w:r w:rsidR="00B37E9A" w:rsidRPr="00B37E9A">
        <w:rPr>
          <w:rStyle w:val="addmd"/>
        </w:rPr>
        <w:t xml:space="preserve">rovedl první formální určení substance třetího druhu, která byla vložena do </w:t>
      </w:r>
      <w:r w:rsidR="00B37E9A" w:rsidRPr="00B37E9A">
        <w:rPr>
          <w:rStyle w:val="addmd"/>
        </w:rPr>
        <w:lastRenderedPageBreak/>
        <w:t>demiurgického diakosmu.</w:t>
      </w:r>
      <w:r w:rsidR="00B37E9A">
        <w:rPr>
          <w:rStyle w:val="addmd"/>
        </w:rPr>
        <w:t xml:space="preserve"> </w:t>
      </w:r>
      <w:r>
        <w:t xml:space="preserve">Toto základní dělení či dedukci objektivního smyslu jsoucna našla moderna </w:t>
      </w:r>
      <w:r w:rsidRPr="00273106">
        <w:t xml:space="preserve">v </w:t>
      </w:r>
      <w:r>
        <w:t>Porfyriově</w:t>
      </w:r>
      <w:r w:rsidRPr="00273106">
        <w:t xml:space="preserve"> komentář</w:t>
      </w:r>
      <w:r>
        <w:t>i</w:t>
      </w:r>
      <w:r w:rsidRPr="00273106">
        <w:t xml:space="preserve"> </w:t>
      </w:r>
      <w:r w:rsidRPr="080F7BDB">
        <w:rPr>
          <w:i/>
        </w:rPr>
        <w:t>Kategorií</w:t>
      </w:r>
      <w:r w:rsidRPr="00273106">
        <w:t xml:space="preserve"> </w:t>
      </w:r>
      <w:r>
        <w:t>a zavedla jej v podobě známého Porfyri</w:t>
      </w:r>
      <w:r w:rsidRPr="00273106">
        <w:t>ova stromu</w:t>
      </w:r>
      <w:r>
        <w:t xml:space="preserve">. </w:t>
      </w:r>
      <w:r w:rsidRPr="00273106">
        <w:t>Klíčový je způsob</w:t>
      </w:r>
      <w:r>
        <w:t xml:space="preserve"> dedukce určující základní „jak“ (</w:t>
      </w:r>
      <w:r w:rsidRPr="00BA14EE">
        <w:rPr>
          <w:i/>
        </w:rPr>
        <w:t>Wie</w:t>
      </w:r>
      <w:r>
        <w:t xml:space="preserve">) </w:t>
      </w:r>
      <w:r w:rsidRPr="00273106">
        <w:t xml:space="preserve">subjekt </w:t>
      </w:r>
      <w:r w:rsidR="00814A6F">
        <w:t xml:space="preserve">přijme </w:t>
      </w:r>
      <w:r>
        <w:t xml:space="preserve">exemplární </w:t>
      </w:r>
      <w:r w:rsidRPr="00273106">
        <w:t>věcnost</w:t>
      </w:r>
      <w:r w:rsidR="00F57777">
        <w:t xml:space="preserve"> z boží mysli</w:t>
      </w:r>
      <w:r w:rsidR="00692A38">
        <w:t xml:space="preserve">. Henry </w:t>
      </w:r>
      <w:r w:rsidR="00797E28">
        <w:t>potvrdil paranoiu moderny tím, že n</w:t>
      </w:r>
      <w:r w:rsidR="00692A38">
        <w:t>ejprve zajistil</w:t>
      </w:r>
      <w:r>
        <w:t xml:space="preserve"> objek</w:t>
      </w:r>
      <w:r w:rsidR="00692A38">
        <w:t>tivní bytí chiméry a pak dospěl</w:t>
      </w:r>
      <w:r>
        <w:t xml:space="preserve"> </w:t>
      </w:r>
      <w:r w:rsidRPr="00273106">
        <w:t>k jistotě</w:t>
      </w:r>
      <w:r>
        <w:t xml:space="preserve"> věci dané reálně</w:t>
      </w:r>
      <w:r>
        <w:fldChar w:fldCharType="begin"/>
      </w:r>
      <w:r>
        <w:instrText xml:space="preserve"> XE "</w:instrText>
      </w:r>
      <w:r w:rsidRPr="00E73E12">
        <w:instrText>zje</w:instrText>
      </w:r>
      <w:r>
        <w:instrText>v</w:instrText>
      </w:r>
      <w:r w:rsidRPr="00E73E12">
        <w:instrText>ování:nasvícení zezadu</w:instrText>
      </w:r>
      <w:r>
        <w:instrText xml:space="preserve">" </w:instrText>
      </w:r>
      <w:r>
        <w:fldChar w:fldCharType="end"/>
      </w:r>
      <w:r w:rsidRPr="00273106">
        <w:t xml:space="preserve">. </w:t>
      </w:r>
      <w:r w:rsidR="00596557">
        <w:t>O</w:t>
      </w:r>
      <w:r>
        <w:t>ntoteologick</w:t>
      </w:r>
      <w:r w:rsidR="00596557">
        <w:t>ý smysl</w:t>
      </w:r>
      <w:r>
        <w:t xml:space="preserve"> jsoucna </w:t>
      </w:r>
      <w:r w:rsidRPr="00273106">
        <w:t>začíná u formálního určení jsoucna odlišného</w:t>
      </w:r>
      <w:r>
        <w:t xml:space="preserve"> od nicoty</w:t>
      </w:r>
      <w:r>
        <w:rPr>
          <w:i/>
        </w:rPr>
        <w:fldChar w:fldCharType="begin"/>
      </w:r>
      <w:r>
        <w:instrText xml:space="preserve"> XE "</w:instrText>
      </w:r>
      <w:r w:rsidRPr="00D82A66">
        <w:rPr>
          <w:i/>
        </w:rPr>
        <w:instrText>creatio ex nihilo</w:instrText>
      </w:r>
      <w:r>
        <w:instrText xml:space="preserve">" </w:instrText>
      </w:r>
      <w:r>
        <w:rPr>
          <w:i/>
        </w:rPr>
        <w:fldChar w:fldCharType="end"/>
      </w:r>
      <w:r>
        <w:t xml:space="preserve">. </w:t>
      </w:r>
      <w:r w:rsidR="00855FFF">
        <w:t>Exemplárně-objektivní jsoucn</w:t>
      </w:r>
      <w:r w:rsidR="00CC3A9B">
        <w:t xml:space="preserve">o dostalo </w:t>
      </w:r>
      <w:r w:rsidR="004005B4">
        <w:t>věčnou a evidentní „ex</w:t>
      </w:r>
      <w:r w:rsidR="00855FFF">
        <w:t>sistenci“ v</w:t>
      </w:r>
      <w:r w:rsidR="00CC3A9B">
        <w:t xml:space="preserve"> aktu </w:t>
      </w:r>
      <w:r w:rsidR="00855FFF">
        <w:t>boží intencional</w:t>
      </w:r>
      <w:r w:rsidR="00CC3A9B">
        <w:t>ity</w:t>
      </w:r>
      <w:r w:rsidR="00855FFF">
        <w:t>. R</w:t>
      </w:r>
      <w:r>
        <w:t xml:space="preserve">eálný, a proto pouze kontingentní a nejasný rys </w:t>
      </w:r>
      <w:r w:rsidR="00855FFF">
        <w:t xml:space="preserve">této exemplární intencionality </w:t>
      </w:r>
      <w:r>
        <w:t>„exsistuje“ v aktuální</w:t>
      </w:r>
      <w:r w:rsidR="00C91534">
        <w:t>ch</w:t>
      </w:r>
      <w:r>
        <w:t xml:space="preserve"> </w:t>
      </w:r>
      <w:r w:rsidRPr="00273106">
        <w:t>první</w:t>
      </w:r>
      <w:r w:rsidR="00C91534">
        <w:t>ch substancích</w:t>
      </w:r>
      <w:r w:rsidR="00D93D7C">
        <w:t>.</w:t>
      </w:r>
    </w:p>
    <w:p w:rsidR="08163013" w:rsidRPr="00273106" w:rsidRDefault="08163013" w:rsidP="0015024D">
      <w:pPr>
        <w:ind w:firstLine="397"/>
      </w:pPr>
      <w:r w:rsidRPr="00273106">
        <w:t xml:space="preserve">První určení jsoucna z ničeho </w:t>
      </w:r>
      <w:r>
        <w:t xml:space="preserve">zavedlo do ontoteologické metafyziky </w:t>
      </w:r>
      <w:r w:rsidRPr="00273106">
        <w:t xml:space="preserve">výše uvedené </w:t>
      </w:r>
      <w:r>
        <w:t xml:space="preserve">Bonaventurovo a </w:t>
      </w:r>
      <w:r w:rsidRPr="00273106">
        <w:t xml:space="preserve">Oliviho určení materie </w:t>
      </w:r>
      <w:r>
        <w:t xml:space="preserve">dané pouhým záporem od nicoty </w:t>
      </w:r>
      <w:r w:rsidRPr="00273106">
        <w:t>(</w:t>
      </w:r>
      <w:r w:rsidRPr="00273106">
        <w:rPr>
          <w:i/>
        </w:rPr>
        <w:t>non repugnat esse</w:t>
      </w:r>
      <w:r>
        <w:rPr>
          <w:i/>
        </w:rPr>
        <w:fldChar w:fldCharType="begin"/>
      </w:r>
      <w:r>
        <w:instrText xml:space="preserve"> XE "</w:instrText>
      </w:r>
      <w:r w:rsidRPr="00D44ACB">
        <w:rPr>
          <w:i/>
        </w:rPr>
        <w:instrText>non repugnat esse</w:instrText>
      </w:r>
      <w:r>
        <w:instrText xml:space="preserve">" </w:instrText>
      </w:r>
      <w:r>
        <w:rPr>
          <w:i/>
        </w:rPr>
        <w:fldChar w:fldCharType="end"/>
      </w:r>
      <w:r w:rsidRPr="00273106">
        <w:t xml:space="preserve">). Rozbor prvního konceptu objektivity ukazuje, že určení věci začíná </w:t>
      </w:r>
      <w:r w:rsidRPr="00273106">
        <w:rPr>
          <w:i/>
        </w:rPr>
        <w:t>ex nihilo</w:t>
      </w:r>
      <w:r w:rsidRPr="00273106">
        <w:t xml:space="preserve">, tedy </w:t>
      </w:r>
      <w:r w:rsidR="00380FCE">
        <w:t>u čistého nebytí</w:t>
      </w:r>
      <w:r w:rsidR="005C03B0">
        <w:t xml:space="preserve">. Logický zápor nicoty vytvořil pozitivní signifikaci a toto čistě </w:t>
      </w:r>
      <w:r w:rsidR="00380FCE">
        <w:t xml:space="preserve">formální bytí jsoucna </w:t>
      </w:r>
      <w:r w:rsidR="005C03B0">
        <w:t xml:space="preserve">je dáno </w:t>
      </w:r>
      <w:r w:rsidR="00380FCE">
        <w:t>jako nejvyšší a nejobecnější</w:t>
      </w:r>
      <w:r w:rsidR="005C03B0">
        <w:t xml:space="preserve"> rod</w:t>
      </w:r>
      <w:r>
        <w:t xml:space="preserve"> (</w:t>
      </w:r>
      <w:r w:rsidRPr="003637E6">
        <w:rPr>
          <w:i/>
        </w:rPr>
        <w:t>ens commune</w:t>
      </w:r>
      <w:r>
        <w:t>)</w:t>
      </w:r>
      <w:r w:rsidRPr="00273106">
        <w:t xml:space="preserve">. </w:t>
      </w:r>
      <w:r>
        <w:t>Moderní iluminát koncipuje</w:t>
      </w:r>
      <w:r w:rsidRPr="00273106">
        <w:t xml:space="preserve"> </w:t>
      </w:r>
      <w:r>
        <w:t xml:space="preserve">předmět </w:t>
      </w:r>
      <w:r w:rsidRPr="00273106">
        <w:t>metafyziky (</w:t>
      </w:r>
      <w:r w:rsidRPr="00273106">
        <w:rPr>
          <w:i/>
        </w:rPr>
        <w:t>res</w:t>
      </w:r>
      <w:r w:rsidRPr="00273106">
        <w:t xml:space="preserve">) postupným dělením </w:t>
      </w:r>
      <w:r w:rsidR="00063A75">
        <w:t xml:space="preserve">takto vytvořeného </w:t>
      </w:r>
      <w:r w:rsidR="00CF5300">
        <w:t xml:space="preserve">univerzálního </w:t>
      </w:r>
      <w:r w:rsidR="00063A75">
        <w:t>s</w:t>
      </w:r>
      <w:r w:rsidRPr="00273106">
        <w:t>myslu jsoucna (</w:t>
      </w:r>
      <w:r w:rsidRPr="00273106">
        <w:rPr>
          <w:i/>
        </w:rPr>
        <w:t>conceptus communissimus et communis</w:t>
      </w:r>
      <w:r w:rsidRPr="00273106">
        <w:t xml:space="preserve">). Gandavus toto </w:t>
      </w:r>
      <w:r>
        <w:t>neoplatonsk</w:t>
      </w:r>
      <w:r w:rsidRPr="00273106">
        <w:t xml:space="preserve">é kontinuum obecně daného jsoucna v Avicennově modu </w:t>
      </w:r>
      <w:r w:rsidRPr="00273106">
        <w:rPr>
          <w:i/>
        </w:rPr>
        <w:t>ens inquantum ens</w:t>
      </w:r>
      <w:r>
        <w:rPr>
          <w:i/>
        </w:rPr>
        <w:fldChar w:fldCharType="begin"/>
      </w:r>
      <w:r>
        <w:instrText xml:space="preserve"> XE "</w:instrText>
      </w:r>
      <w:r w:rsidRPr="005424E2">
        <w:rPr>
          <w:i/>
        </w:rPr>
        <w:instrText>ens inquantum ens</w:instrText>
      </w:r>
      <w:r>
        <w:instrText xml:space="preserve">" </w:instrText>
      </w:r>
      <w:r>
        <w:rPr>
          <w:i/>
        </w:rPr>
        <w:fldChar w:fldCharType="end"/>
      </w:r>
      <w:r w:rsidRPr="00273106">
        <w:t xml:space="preserve"> </w:t>
      </w:r>
      <w:r>
        <w:t xml:space="preserve">dává </w:t>
      </w:r>
      <w:r w:rsidRPr="00273106">
        <w:t xml:space="preserve">do specifického určení jsoucna, které je formováno jako transcendentálně definovaná </w:t>
      </w:r>
      <w:r w:rsidRPr="00273106">
        <w:rPr>
          <w:i/>
        </w:rPr>
        <w:t>res</w:t>
      </w:r>
      <w:r w:rsidRPr="00273106">
        <w:t>. Manifestace smyslu věci v intelektu (</w:t>
      </w:r>
      <w:r w:rsidRPr="00273106">
        <w:rPr>
          <w:i/>
        </w:rPr>
        <w:t>ratitudo</w:t>
      </w:r>
      <w:r w:rsidRPr="00273106">
        <w:t>) není dána adekvací od aktuálně daného jsoucna, ale skrze abstraktní dělení</w:t>
      </w:r>
      <w:r>
        <w:t xml:space="preserve"> či dedukci </w:t>
      </w:r>
      <w:r w:rsidR="007E3BE6">
        <w:t xml:space="preserve">podle bývalých škol </w:t>
      </w:r>
      <w:r w:rsidRPr="00273106">
        <w:rPr>
          <w:i/>
        </w:rPr>
        <w:t>Nominales</w:t>
      </w:r>
      <w:r w:rsidRPr="00273106">
        <w:t xml:space="preserve">. </w:t>
      </w:r>
      <w:r>
        <w:t>U</w:t>
      </w:r>
      <w:r w:rsidRPr="00273106">
        <w:t xml:space="preserve">niverzální forma či exemplar </w:t>
      </w:r>
      <w:r>
        <w:t xml:space="preserve">zajišťující minimální objektivitu </w:t>
      </w:r>
      <w:r w:rsidRPr="00273106">
        <w:t>(</w:t>
      </w:r>
      <w:r w:rsidRPr="00273106">
        <w:rPr>
          <w:i/>
        </w:rPr>
        <w:t>res a ratitudine</w:t>
      </w:r>
      <w:r>
        <w:rPr>
          <w:i/>
        </w:rPr>
        <w:fldChar w:fldCharType="begin"/>
      </w:r>
      <w:r>
        <w:instrText xml:space="preserve"> XE "věc:</w:instrText>
      </w:r>
      <w:r w:rsidRPr="00E3305F">
        <w:rPr>
          <w:i/>
        </w:rPr>
        <w:instrText>res a ratitudine</w:instrText>
      </w:r>
      <w:r>
        <w:instrText xml:space="preserve">" </w:instrText>
      </w:r>
      <w:r>
        <w:rPr>
          <w:i/>
        </w:rPr>
        <w:fldChar w:fldCharType="end"/>
      </w:r>
      <w:r w:rsidRPr="00273106">
        <w:t>)</w:t>
      </w:r>
      <w:r>
        <w:t xml:space="preserve"> se pak kontingentně </w:t>
      </w:r>
      <w:r w:rsidRPr="00273106">
        <w:t>individualizuje v první substanci.</w:t>
      </w:r>
      <w:r>
        <w:t xml:space="preserve"> Jde o typické pojetí „exsistence“ podle porretánů, které </w:t>
      </w:r>
      <w:r w:rsidR="00E666BF">
        <w:t xml:space="preserve">Rufus předal </w:t>
      </w:r>
      <w:r>
        <w:t xml:space="preserve">moderně </w:t>
      </w:r>
      <w:r w:rsidR="003C7F47">
        <w:t>(OBJ II, kap. 3</w:t>
      </w:r>
      <w:r>
        <w:t>.3.1). E</w:t>
      </w:r>
      <w:r w:rsidRPr="00273106">
        <w:t xml:space="preserve">xistence </w:t>
      </w:r>
      <w:r>
        <w:t xml:space="preserve">věci jako jsoucna třetího druhu vzniká ve výše uvedeném </w:t>
      </w:r>
      <w:r w:rsidRPr="000D4AF9">
        <w:rPr>
          <w:i/>
        </w:rPr>
        <w:t>resolutio</w:t>
      </w:r>
      <w:r>
        <w:t xml:space="preserve"> podle </w:t>
      </w:r>
      <w:r w:rsidRPr="000C4CA3">
        <w:rPr>
          <w:i/>
        </w:rPr>
        <w:t>Liber de causis</w:t>
      </w:r>
      <w:r>
        <w:t xml:space="preserve"> díky nové formě objektivní denudace. </w:t>
      </w:r>
      <w:r w:rsidRPr="00273106">
        <w:t xml:space="preserve">Podívejme se na vznik prvního objektivního </w:t>
      </w:r>
      <w:r>
        <w:t xml:space="preserve">systému dělení v citovaném díle </w:t>
      </w:r>
      <w:r w:rsidRPr="00273106">
        <w:rPr>
          <w:i/>
        </w:rPr>
        <w:t>Quodlibet</w:t>
      </w:r>
      <w:r>
        <w:t xml:space="preserve"> V</w:t>
      </w:r>
      <w:r w:rsidRPr="00273106">
        <w:t xml:space="preserve">, které opakuje </w:t>
      </w:r>
      <w:r>
        <w:t xml:space="preserve">postup </w:t>
      </w:r>
      <w:r w:rsidRPr="00273106">
        <w:t xml:space="preserve">dělení bývalé </w:t>
      </w:r>
      <w:r>
        <w:t>platonské</w:t>
      </w:r>
      <w:r w:rsidRPr="00273106">
        <w:t xml:space="preserve"> dyády. </w:t>
      </w:r>
      <w:r>
        <w:t xml:space="preserve">Bytí pojaté pouhým logickým záporem od nicoty vytvořilo kontinuum objektivní „exsistence“. Toto chimérické bytí dané jako nejvyšší rod je možné dělit libovolně utvořenými generickými deferencemi produkujícími na nižším patře porretánská </w:t>
      </w:r>
      <w:r w:rsidR="00962190">
        <w:rPr>
          <w:i/>
        </w:rPr>
        <w:t>species</w:t>
      </w:r>
      <w:r>
        <w:t xml:space="preserve">. </w:t>
      </w:r>
      <w:r w:rsidRPr="00273106">
        <w:t>Gandavus chápe dělení jsoucna (</w:t>
      </w:r>
      <w:r w:rsidRPr="00273106">
        <w:rPr>
          <w:i/>
        </w:rPr>
        <w:t>determinatio</w:t>
      </w:r>
      <w:r w:rsidRPr="00273106">
        <w:t xml:space="preserve">) podle scénáře </w:t>
      </w:r>
      <w:r w:rsidRPr="00273106">
        <w:rPr>
          <w:i/>
        </w:rPr>
        <w:t>Liber de causis</w:t>
      </w:r>
      <w:r w:rsidRPr="00273106">
        <w:t xml:space="preserve"> jako postup negace (</w:t>
      </w:r>
      <w:r w:rsidRPr="00273106">
        <w:rPr>
          <w:i/>
        </w:rPr>
        <w:t>negatio</w:t>
      </w:r>
      <w:r w:rsidRPr="00273106">
        <w:t xml:space="preserve">). Individuální forma subsistující v nositeli-subjektu </w:t>
      </w:r>
      <w:r w:rsidRPr="00273106">
        <w:lastRenderedPageBreak/>
        <w:t>(</w:t>
      </w:r>
      <w:r w:rsidRPr="00273106">
        <w:rPr>
          <w:i/>
        </w:rPr>
        <w:t>suppositum</w:t>
      </w:r>
      <w:r w:rsidRPr="00273106">
        <w:t xml:space="preserve">) dostává </w:t>
      </w:r>
      <w:r>
        <w:t>determinaci pomocí nasvícení zezadu</w:t>
      </w:r>
      <w:r>
        <w:fldChar w:fldCharType="begin"/>
      </w:r>
      <w:r>
        <w:instrText xml:space="preserve"> XE "</w:instrText>
      </w:r>
      <w:r w:rsidRPr="00116950">
        <w:instrText>supozice:Gandavus</w:instrText>
      </w:r>
      <w:r>
        <w:instrText xml:space="preserve">" </w:instrText>
      </w:r>
      <w:r>
        <w:fldChar w:fldCharType="end"/>
      </w:r>
      <w:r w:rsidRPr="00273106">
        <w:t xml:space="preserve">. </w:t>
      </w:r>
      <w:r w:rsidR="00FB25A7">
        <w:t xml:space="preserve">Determinace běží skrze </w:t>
      </w:r>
      <w:r>
        <w:t xml:space="preserve">hypostázovanou formu </w:t>
      </w:r>
      <w:r w:rsidR="00FB25A7">
        <w:t xml:space="preserve">a její dělení zakládá </w:t>
      </w:r>
      <w:r w:rsidRPr="00273106">
        <w:t>nové určení jsoucna (</w:t>
      </w:r>
      <w:r w:rsidRPr="00273106">
        <w:rPr>
          <w:i/>
        </w:rPr>
        <w:t>ratio individuationis</w:t>
      </w:r>
      <w:r>
        <w:rPr>
          <w:i/>
        </w:rPr>
        <w:fldChar w:fldCharType="begin"/>
      </w:r>
      <w:r>
        <w:instrText xml:space="preserve"> XE "substance:</w:instrText>
      </w:r>
      <w:r w:rsidRPr="007B2623">
        <w:rPr>
          <w:i/>
        </w:rPr>
        <w:instrText>ratio individuationis</w:instrText>
      </w:r>
      <w:r>
        <w:instrText xml:space="preserve">" </w:instrText>
      </w:r>
      <w:r>
        <w:rPr>
          <w:i/>
        </w:rPr>
        <w:fldChar w:fldCharType="end"/>
      </w:r>
      <w:r w:rsidRPr="00273106">
        <w:t>)</w:t>
      </w:r>
      <w:r w:rsidR="00FB25A7">
        <w:t>.</w:t>
      </w:r>
      <w:r w:rsidR="001076F9">
        <w:t xml:space="preserve"> Na konci dělení (</w:t>
      </w:r>
      <w:r w:rsidR="001076F9" w:rsidRPr="001076F9">
        <w:rPr>
          <w:i/>
        </w:rPr>
        <w:t>causa individuationis</w:t>
      </w:r>
      <w:r w:rsidR="001076F9">
        <w:t>) vznikne dále nedělitelný formální význam jsoucna (</w:t>
      </w:r>
      <w:r w:rsidR="001076F9" w:rsidRPr="00273106">
        <w:rPr>
          <w:i/>
        </w:rPr>
        <w:t>res a ratitudine</w:t>
      </w:r>
      <w:r w:rsidR="001076F9">
        <w:t>),</w:t>
      </w:r>
      <w:r w:rsidRPr="00273106">
        <w:t xml:space="preserve"> které zakládá objektivně pojatou </w:t>
      </w:r>
      <w:r>
        <w:t>„</w:t>
      </w:r>
      <w:r w:rsidRPr="00273106">
        <w:t>věc</w:t>
      </w:r>
      <w:r>
        <w:t xml:space="preserve">“ </w:t>
      </w:r>
      <w:r w:rsidR="001076F9">
        <w:t>(</w:t>
      </w:r>
      <w:r w:rsidR="001076F9" w:rsidRPr="001076F9">
        <w:rPr>
          <w:i/>
        </w:rPr>
        <w:t>res</w:t>
      </w:r>
      <w:r w:rsidR="001076F9">
        <w:t xml:space="preserve">) </w:t>
      </w:r>
      <w:r>
        <w:t>jako jsoucno třetího druhu</w:t>
      </w:r>
      <w:r w:rsidR="001076F9">
        <w:t xml:space="preserve"> (</w:t>
      </w:r>
      <w:r w:rsidR="001076F9" w:rsidRPr="001076F9">
        <w:rPr>
          <w:i/>
        </w:rPr>
        <w:t>res a reor reris</w:t>
      </w:r>
      <w:r w:rsidR="001076F9">
        <w:t>)</w:t>
      </w:r>
      <w:r w:rsidRPr="00273106">
        <w:t xml:space="preserve">. </w:t>
      </w:r>
      <w:r>
        <w:t xml:space="preserve">Bacon tuto produkci imaginárního světa označil </w:t>
      </w:r>
      <w:r w:rsidR="0015024D">
        <w:t xml:space="preserve">za šílenou a Albert za směšnou. </w:t>
      </w:r>
      <w:r w:rsidR="0015024D">
        <w:rPr>
          <w:rStyle w:val="ezkurwreuab5ozgtqnkl"/>
        </w:rPr>
        <w:t>Nicméně, Gandavus, jako nový filozofický vůdce Rue du Fouarre, psal</w:t>
      </w:r>
      <w:r w:rsidR="0015024D">
        <w:t xml:space="preserve"> </w:t>
      </w:r>
      <w:r w:rsidR="0015024D">
        <w:rPr>
          <w:rStyle w:val="ezkurwreuab5ozgtqnkl"/>
        </w:rPr>
        <w:t>své filozofické</w:t>
      </w:r>
      <w:r w:rsidR="0015024D">
        <w:t xml:space="preserve"> pohádky </w:t>
      </w:r>
      <w:r w:rsidR="0015024D">
        <w:rPr>
          <w:rStyle w:val="ezkurwreuab5ozgtqnkl"/>
        </w:rPr>
        <w:t>v roce</w:t>
      </w:r>
      <w:r w:rsidR="0015024D">
        <w:t xml:space="preserve"> </w:t>
      </w:r>
      <w:r w:rsidR="0015024D">
        <w:rPr>
          <w:rStyle w:val="ezkurwreuab5ozgtqnkl"/>
        </w:rPr>
        <w:t>1285, a ne v roce 1255.</w:t>
      </w:r>
      <w:r w:rsidR="0015024D">
        <w:t xml:space="preserve"> </w:t>
      </w:r>
      <w:r w:rsidR="00AA2FA4">
        <w:t xml:space="preserve">Tato </w:t>
      </w:r>
      <w:r>
        <w:t xml:space="preserve">nauka </w:t>
      </w:r>
      <w:r w:rsidR="00AA2FA4">
        <w:t xml:space="preserve">by byla prohlášena v </w:t>
      </w:r>
      <w:r>
        <w:t>Rue du Fouarre za heretickou</w:t>
      </w:r>
      <w:r w:rsidR="00AA2FA4">
        <w:t xml:space="preserve">, protože byla vytvořena podle </w:t>
      </w:r>
      <w:r>
        <w:t xml:space="preserve">panteistických amalriciánů. Rufus a Pecham museli z Paříže odejít kvůli hlásání mnohem méně nebepečných bludů a sofismat. </w:t>
      </w:r>
      <w:r w:rsidRPr="00273106">
        <w:t xml:space="preserve">Citát ukazuje </w:t>
      </w:r>
      <w:r>
        <w:t xml:space="preserve">vznik </w:t>
      </w:r>
      <w:r w:rsidRPr="00273106">
        <w:t xml:space="preserve">obecného určení jsoucna </w:t>
      </w:r>
      <w:r>
        <w:t xml:space="preserve">skrze </w:t>
      </w:r>
      <w:r w:rsidRPr="00273106">
        <w:t xml:space="preserve">specifické dělení původního </w:t>
      </w:r>
      <w:r>
        <w:t xml:space="preserve">bytí jako </w:t>
      </w:r>
      <w:r w:rsidRPr="00273106">
        <w:t>rod</w:t>
      </w:r>
      <w:r>
        <w:t xml:space="preserve">u </w:t>
      </w:r>
      <w:r w:rsidRPr="00273106">
        <w:t>na nižší složky</w:t>
      </w:r>
      <w:r>
        <w:t xml:space="preserve"> významu</w:t>
      </w:r>
      <w:r w:rsidRPr="00273106">
        <w:t>.</w:t>
      </w:r>
    </w:p>
    <w:p w:rsidR="08163013" w:rsidRPr="00411A5B" w:rsidRDefault="08163013" w:rsidP="08163013">
      <w:pPr>
        <w:pStyle w:val="Citace"/>
        <w:rPr>
          <w:noProof/>
          <w:lang w:val="cs-CZ"/>
        </w:rPr>
      </w:pPr>
      <w:r w:rsidRPr="00273106">
        <w:rPr>
          <w:noProof/>
          <w:lang w:val="cs-CZ"/>
        </w:rPr>
        <w:t>„</w:t>
      </w:r>
      <w:r w:rsidR="00E54EC0">
        <w:rPr>
          <w:noProof/>
          <w:lang w:val="cs-CZ"/>
        </w:rPr>
        <w:t xml:space="preserve">Stvořené formy jako </w:t>
      </w:r>
      <w:r w:rsidR="00962190" w:rsidRPr="00E54EC0">
        <w:rPr>
          <w:noProof/>
          <w:lang w:val="cs-CZ"/>
        </w:rPr>
        <w:t>species</w:t>
      </w:r>
      <w:r w:rsidR="00E54EC0">
        <w:rPr>
          <w:noProof/>
          <w:lang w:val="cs-CZ"/>
        </w:rPr>
        <w:t xml:space="preserve"> jakou </w:t>
      </w:r>
      <w:r>
        <w:rPr>
          <w:noProof/>
          <w:lang w:val="cs-CZ"/>
        </w:rPr>
        <w:t>specifick</w:t>
      </w:r>
      <w:r w:rsidR="00E54EC0">
        <w:rPr>
          <w:noProof/>
          <w:lang w:val="cs-CZ"/>
        </w:rPr>
        <w:t xml:space="preserve">é tím, že </w:t>
      </w:r>
      <w:r>
        <w:rPr>
          <w:noProof/>
          <w:lang w:val="cs-CZ"/>
        </w:rPr>
        <w:t xml:space="preserve">definice </w:t>
      </w:r>
      <w:r w:rsidR="00E54EC0">
        <w:rPr>
          <w:noProof/>
          <w:lang w:val="cs-CZ"/>
        </w:rPr>
        <w:t xml:space="preserve">jejich </w:t>
      </w:r>
      <w:r>
        <w:rPr>
          <w:noProof/>
          <w:lang w:val="cs-CZ"/>
        </w:rPr>
        <w:t xml:space="preserve">individuace </w:t>
      </w:r>
      <w:r w:rsidR="00E54EC0">
        <w:rPr>
          <w:noProof/>
          <w:lang w:val="cs-CZ"/>
        </w:rPr>
        <w:t xml:space="preserve">je dána skrze esenciálně určenou supozici </w:t>
      </w:r>
      <w:r>
        <w:rPr>
          <w:noProof/>
          <w:lang w:val="cs-CZ"/>
        </w:rPr>
        <w:t>(</w:t>
      </w:r>
      <w:r w:rsidRPr="00DE3BCB">
        <w:rPr>
          <w:i/>
          <w:noProof/>
        </w:rPr>
        <w:t>est ratio constitutiva suppositi</w:t>
      </w:r>
      <w:r w:rsidR="00340F1A">
        <w:rPr>
          <w:noProof/>
          <w:lang w:val="cs-CZ"/>
        </w:rPr>
        <w:t xml:space="preserve">). </w:t>
      </w:r>
      <w:r>
        <w:rPr>
          <w:noProof/>
          <w:lang w:val="cs-CZ"/>
        </w:rPr>
        <w:t>Tento výměr je negací (</w:t>
      </w:r>
      <w:r w:rsidRPr="002430D3">
        <w:rPr>
          <w:i/>
          <w:noProof/>
        </w:rPr>
        <w:t>est negatio</w:t>
      </w:r>
      <w:r>
        <w:rPr>
          <w:noProof/>
          <w:lang w:val="cs-CZ"/>
        </w:rPr>
        <w:t>) výše uvedeného specifického bytí formy dané v intelektu (</w:t>
      </w:r>
      <w:r w:rsidRPr="00B531A5">
        <w:rPr>
          <w:i/>
          <w:noProof/>
          <w:lang w:val="cs-CZ"/>
        </w:rPr>
        <w:t>ex se est specifica in esse rationis</w:t>
      </w:r>
      <w:r w:rsidR="00D929F3">
        <w:rPr>
          <w:noProof/>
          <w:lang w:val="cs-CZ"/>
        </w:rPr>
        <w:t xml:space="preserve">). Subjektivní </w:t>
      </w:r>
      <w:r>
        <w:rPr>
          <w:noProof/>
          <w:lang w:val="cs-CZ"/>
        </w:rPr>
        <w:t>bytí specifické formy je cílem její existence (</w:t>
      </w:r>
      <w:r w:rsidRPr="00B531A5">
        <w:rPr>
          <w:i/>
          <w:noProof/>
          <w:lang w:val="cs-CZ"/>
        </w:rPr>
        <w:t>terminus factionis</w:t>
      </w:r>
      <w:r>
        <w:rPr>
          <w:noProof/>
          <w:lang w:val="cs-CZ"/>
        </w:rPr>
        <w:t>), protože její individuální podoba je dána v supozitu (</w:t>
      </w:r>
      <w:r w:rsidRPr="00F84377">
        <w:rPr>
          <w:i/>
          <w:noProof/>
        </w:rPr>
        <w:t>facta est individua omnino in supposito</w:t>
      </w:r>
      <w:r>
        <w:rPr>
          <w:noProof/>
          <w:lang w:val="cs-CZ"/>
        </w:rPr>
        <w:t xml:space="preserve">).“ </w:t>
      </w:r>
      <w:r>
        <w:rPr>
          <w:rStyle w:val="Znakapoznpodarou"/>
        </w:rPr>
        <w:footnoteReference w:id="400"/>
      </w:r>
    </w:p>
    <w:p w:rsidR="009357B9" w:rsidRDefault="08163013" w:rsidP="08163013">
      <w:r w:rsidRPr="00273106">
        <w:t>Citát popisuje způsob, jak univerzální formy vytvářejí nižší specifická určení</w:t>
      </w:r>
      <w:r>
        <w:t xml:space="preserve"> </w:t>
      </w:r>
      <w:r w:rsidRPr="00273106">
        <w:t>(</w:t>
      </w:r>
      <w:r w:rsidRPr="00273106">
        <w:rPr>
          <w:i/>
        </w:rPr>
        <w:t>in formis specificis</w:t>
      </w:r>
      <w:r w:rsidR="00181296">
        <w:t xml:space="preserve">). Nová forma </w:t>
      </w:r>
      <w:r w:rsidR="002F0F2C">
        <w:t xml:space="preserve">objektivní </w:t>
      </w:r>
      <w:r w:rsidR="00181296">
        <w:t>supozice (</w:t>
      </w:r>
      <w:r w:rsidR="00181296" w:rsidRPr="00F84377">
        <w:rPr>
          <w:i/>
        </w:rPr>
        <w:t>in supposito</w:t>
      </w:r>
      <w:r w:rsidR="00181296">
        <w:t xml:space="preserve">) převádí </w:t>
      </w:r>
      <w:r w:rsidR="00F06207">
        <w:t xml:space="preserve">vyšší transcendentání </w:t>
      </w:r>
      <w:r w:rsidR="00181296">
        <w:t>významy na materiální</w:t>
      </w:r>
      <w:r>
        <w:t xml:space="preserve"> </w:t>
      </w:r>
      <w:r w:rsidR="00181296">
        <w:t xml:space="preserve">substrát. Tím vznikl moderní subjekt jako </w:t>
      </w:r>
      <w:r w:rsidR="008B4325">
        <w:t xml:space="preserve">věčný a/nebo </w:t>
      </w:r>
      <w:r w:rsidR="00181296">
        <w:t>kontingentní nositel (</w:t>
      </w:r>
      <w:r w:rsidR="00181296" w:rsidRPr="00181296">
        <w:rPr>
          <w:i/>
        </w:rPr>
        <w:t>subiectum</w:t>
      </w:r>
      <w:r w:rsidR="00181296">
        <w:t xml:space="preserve">) těchto věčných a evidentních </w:t>
      </w:r>
      <w:r w:rsidR="00042549">
        <w:t>určení jsoucna</w:t>
      </w:r>
      <w:r w:rsidRPr="00273106">
        <w:t xml:space="preserve">. Původně tato forma existuje v intelektu, protože zde je dána v </w:t>
      </w:r>
      <w:r>
        <w:t xml:space="preserve">objektivní </w:t>
      </w:r>
      <w:r w:rsidRPr="00273106">
        <w:t>univerzální formě (</w:t>
      </w:r>
      <w:r w:rsidRPr="00273106">
        <w:rPr>
          <w:i/>
        </w:rPr>
        <w:t>ex se est specifica in esse rationis</w:t>
      </w:r>
      <w:r w:rsidRPr="00273106">
        <w:t>). Individualizace univerzálních forem (</w:t>
      </w:r>
      <w:r w:rsidRPr="00273106">
        <w:rPr>
          <w:i/>
        </w:rPr>
        <w:t>ratio individuationis ipsarum</w:t>
      </w:r>
      <w:r w:rsidRPr="00273106">
        <w:t xml:space="preserve">) nastává pomocí materiálního substrátu, který </w:t>
      </w:r>
      <w:r>
        <w:t xml:space="preserve">racionálně dané </w:t>
      </w:r>
      <w:r w:rsidRPr="00273106">
        <w:t xml:space="preserve">formy určují </w:t>
      </w:r>
      <w:r>
        <w:t>svým aktem bytí (</w:t>
      </w:r>
      <w:r w:rsidRPr="005043DA">
        <w:rPr>
          <w:i/>
        </w:rPr>
        <w:t>qua</w:t>
      </w:r>
      <w:r>
        <w:t xml:space="preserve">) </w:t>
      </w:r>
      <w:r w:rsidRPr="00273106">
        <w:t xml:space="preserve">až </w:t>
      </w:r>
      <w:r>
        <w:t>na úroveň jednotlivin</w:t>
      </w:r>
      <w:r w:rsidRPr="00273106">
        <w:t xml:space="preserve"> (</w:t>
      </w:r>
      <w:r w:rsidRPr="00273106">
        <w:rPr>
          <w:i/>
        </w:rPr>
        <w:t>qua determinantur in suppositis</w:t>
      </w:r>
      <w:r w:rsidRPr="00273106">
        <w:t>). Během individuace do materie forma ztratí svou původní podobu univerzality (</w:t>
      </w:r>
      <w:r w:rsidRPr="00273106">
        <w:rPr>
          <w:i/>
        </w:rPr>
        <w:t>est negatio</w:t>
      </w:r>
      <w:r w:rsidRPr="00273106">
        <w:t xml:space="preserve">). Aktem této specifické negace univerzální formy vzniká </w:t>
      </w:r>
      <w:r>
        <w:t xml:space="preserve">hylemorfická substance </w:t>
      </w:r>
      <w:r w:rsidRPr="00273106">
        <w:t>daná na materiálním substrátě (</w:t>
      </w:r>
      <w:r w:rsidRPr="00C03A54">
        <w:rPr>
          <w:i/>
        </w:rPr>
        <w:t>facta est</w:t>
      </w:r>
      <w:r>
        <w:t xml:space="preserve"> </w:t>
      </w:r>
      <w:r w:rsidRPr="00273106">
        <w:rPr>
          <w:i/>
        </w:rPr>
        <w:t>individua in supposito</w:t>
      </w:r>
      <w:r w:rsidRPr="00273106">
        <w:t xml:space="preserve">). </w:t>
      </w:r>
      <w:r>
        <w:t>Cílem objektivní „exsistence</w:t>
      </w:r>
      <w:r>
        <w:fldChar w:fldCharType="begin"/>
      </w:r>
      <w:r>
        <w:instrText xml:space="preserve"> XE "</w:instrText>
      </w:r>
      <w:r w:rsidRPr="001B2302">
        <w:rPr>
          <w:i/>
        </w:rPr>
        <w:instrText>exsistere</w:instrText>
      </w:r>
      <w:r>
        <w:instrText xml:space="preserve">:Gandavus" </w:instrText>
      </w:r>
      <w:r>
        <w:fldChar w:fldCharType="end"/>
      </w:r>
      <w:r>
        <w:t xml:space="preserve">“ původní univerzální formy je </w:t>
      </w:r>
      <w:r w:rsidR="002172F3">
        <w:t xml:space="preserve">objektivní </w:t>
      </w:r>
      <w:r>
        <w:t>bytí formy na materiálním substrátu (</w:t>
      </w:r>
      <w:r w:rsidRPr="00B531A5">
        <w:rPr>
          <w:i/>
        </w:rPr>
        <w:t>terminus factionis</w:t>
      </w:r>
      <w:r>
        <w:t>). N</w:t>
      </w:r>
      <w:r w:rsidRPr="00273106">
        <w:t xml:space="preserve">a </w:t>
      </w:r>
      <w:r w:rsidRPr="00273106">
        <w:lastRenderedPageBreak/>
        <w:t>indivi</w:t>
      </w:r>
      <w:r>
        <w:t xml:space="preserve">duálním substrátu </w:t>
      </w:r>
      <w:r w:rsidRPr="00273106">
        <w:t>vzniká objektivní podoba</w:t>
      </w:r>
      <w:r>
        <w:t xml:space="preserve"> původní univerzality</w:t>
      </w:r>
      <w:r w:rsidRPr="00273106">
        <w:t xml:space="preserve"> formy</w:t>
      </w:r>
      <w:r w:rsidR="009357B9">
        <w:t xml:space="preserve">, a to </w:t>
      </w:r>
      <w:r>
        <w:t>skrze specifický proces negace</w:t>
      </w:r>
      <w:r w:rsidR="009357B9">
        <w:t>.</w:t>
      </w:r>
      <w:r w:rsidR="002172F3">
        <w:t xml:space="preserve"> Tím je završen přechod od trvalého chiméúrického bytí k jeho kontingentní a nestálé podobě v reálné materii. Ilumináti definitivně přešli na </w:t>
      </w:r>
      <w:proofErr w:type="gramStart"/>
      <w:r w:rsidR="002172F3" w:rsidRPr="002172F3">
        <w:rPr>
          <w:i/>
        </w:rPr>
        <w:t>via</w:t>
      </w:r>
      <w:proofErr w:type="gramEnd"/>
      <w:r w:rsidR="002172F3" w:rsidRPr="002172F3">
        <w:rPr>
          <w:i/>
        </w:rPr>
        <w:t xml:space="preserve"> Modernorum</w:t>
      </w:r>
      <w:r w:rsidR="002172F3">
        <w:t xml:space="preserve"> a začali </w:t>
      </w:r>
      <w:r w:rsidR="0092398B">
        <w:t xml:space="preserve">systematicky zkoumat </w:t>
      </w:r>
      <w:r w:rsidR="002172F3">
        <w:t>tento nový kontinent metafyziky.</w:t>
      </w:r>
    </w:p>
    <w:p w:rsidR="0050190D" w:rsidRDefault="009357B9" w:rsidP="001A6DAF">
      <w:pPr>
        <w:ind w:firstLine="397"/>
      </w:pPr>
      <w:r w:rsidRPr="009357B9">
        <w:t>Gandavus vytvořil plnohodnotnou paranoickou dedukci (</w:t>
      </w:r>
      <w:r w:rsidRPr="009357B9">
        <w:rPr>
          <w:i/>
        </w:rPr>
        <w:t>resolutio</w:t>
      </w:r>
      <w:r w:rsidRPr="009357B9">
        <w:t>), která založila objektivní metafyziku. Začíná na úrovni nebeské mytologie jako božské intencion</w:t>
      </w:r>
      <w:r>
        <w:t>ality a sestupuje do reality</w:t>
      </w:r>
      <w:r w:rsidRPr="009357B9">
        <w:t xml:space="preserve">. </w:t>
      </w:r>
      <w:r>
        <w:t>Moderní dedukce založená na metafyzice c</w:t>
      </w:r>
      <w:r w:rsidRPr="009357B9">
        <w:t>himéry vytvořila sys</w:t>
      </w:r>
      <w:r>
        <w:t xml:space="preserve">tém objektivní determinace jsoucna a tím založila </w:t>
      </w:r>
      <w:r w:rsidRPr="009357B9">
        <w:t xml:space="preserve">tzv. </w:t>
      </w:r>
      <w:r>
        <w:t>„</w:t>
      </w:r>
      <w:r w:rsidRPr="009357B9">
        <w:t>druhou metafyziku</w:t>
      </w:r>
      <w:r>
        <w:t>“.</w:t>
      </w:r>
      <w:r w:rsidR="008337DF">
        <w:t xml:space="preserve"> Z hlediska hermeneutiky platí, že vznik „druhé metafyziky“ </w:t>
      </w:r>
      <w:r w:rsidR="003C3382">
        <w:t xml:space="preserve">založil </w:t>
      </w:r>
      <w:r w:rsidR="008337DF" w:rsidRPr="008337DF">
        <w:rPr>
          <w:i/>
        </w:rPr>
        <w:t>Lichtung</w:t>
      </w:r>
      <w:r w:rsidR="008337DF">
        <w:t xml:space="preserve"> nepravdy, která charakterizuje následnou postmoderní epochu. </w:t>
      </w:r>
      <w:r w:rsidR="00870472">
        <w:t xml:space="preserve">Shrňme její původní </w:t>
      </w:r>
      <w:r w:rsidR="00870472" w:rsidRPr="00870472">
        <w:rPr>
          <w:i/>
        </w:rPr>
        <w:t>Ge-Stell</w:t>
      </w:r>
      <w:r w:rsidR="00870472">
        <w:rPr>
          <w:i/>
        </w:rPr>
        <w:fldChar w:fldCharType="begin"/>
      </w:r>
      <w:r w:rsidR="00870472">
        <w:instrText xml:space="preserve"> XE "</w:instrText>
      </w:r>
      <w:r w:rsidR="00870472" w:rsidRPr="00C87C18">
        <w:rPr>
          <w:i/>
        </w:rPr>
        <w:instrText>Ge-Stell</w:instrText>
      </w:r>
      <w:r w:rsidR="00870472">
        <w:instrText xml:space="preserve">" </w:instrText>
      </w:r>
      <w:r w:rsidR="00870472">
        <w:rPr>
          <w:i/>
        </w:rPr>
        <w:fldChar w:fldCharType="end"/>
      </w:r>
      <w:r w:rsidR="00870472">
        <w:t xml:space="preserve">, který </w:t>
      </w:r>
      <w:r w:rsidR="008337DF">
        <w:t xml:space="preserve">ukončením postmoderny 17. století </w:t>
      </w:r>
      <w:r w:rsidR="00870472">
        <w:t xml:space="preserve">založil současnou epochu myslitelského nihilismu. </w:t>
      </w:r>
      <w:r w:rsidR="00F26B02">
        <w:t>P</w:t>
      </w:r>
      <w:r w:rsidR="08163013">
        <w:t xml:space="preserve">ůvodní </w:t>
      </w:r>
      <w:r>
        <w:t>čistá objek</w:t>
      </w:r>
      <w:r w:rsidR="00F26B02">
        <w:t>t</w:t>
      </w:r>
      <w:r>
        <w:t>i</w:t>
      </w:r>
      <w:r w:rsidR="00F26B02">
        <w:t xml:space="preserve">vní </w:t>
      </w:r>
      <w:r w:rsidR="08163013">
        <w:t xml:space="preserve">forma </w:t>
      </w:r>
      <w:r w:rsidR="00AB6B8E">
        <w:t>je nejprve dána jako exemplární intentionální předmět v psychice a myšlení moderního boha</w:t>
      </w:r>
      <w:r w:rsidR="00831971">
        <w:t>, tedy v modu „</w:t>
      </w:r>
      <w:proofErr w:type="gramStart"/>
      <w:r w:rsidR="00831971" w:rsidRPr="00104708">
        <w:rPr>
          <w:i/>
          <w:szCs w:val="24"/>
        </w:rPr>
        <w:t>semel</w:t>
      </w:r>
      <w:proofErr w:type="gramEnd"/>
      <w:r w:rsidR="00831971">
        <w:rPr>
          <w:rFonts w:cs="Calibri"/>
          <w:i/>
          <w:szCs w:val="24"/>
        </w:rPr>
        <w:t>–</w:t>
      </w:r>
      <w:proofErr w:type="gramStart"/>
      <w:r w:rsidR="00831971" w:rsidRPr="00104708">
        <w:rPr>
          <w:i/>
          <w:szCs w:val="24"/>
        </w:rPr>
        <w:t>semper</w:t>
      </w:r>
      <w:proofErr w:type="gramEnd"/>
      <w:r w:rsidR="00831971">
        <w:rPr>
          <w:szCs w:val="24"/>
        </w:rPr>
        <w:t>“</w:t>
      </w:r>
      <w:r w:rsidR="00AB6B8E">
        <w:t xml:space="preserve">. </w:t>
      </w:r>
      <w:r w:rsidR="00370FA9">
        <w:t xml:space="preserve">Tato forma </w:t>
      </w:r>
      <w:r w:rsidR="00AB6B8E">
        <w:t xml:space="preserve">přejde </w:t>
      </w:r>
      <w:r w:rsidR="00BA444E">
        <w:t>do materiálního nosiče</w:t>
      </w:r>
      <w:r w:rsidR="004D2897">
        <w:t>. T</w:t>
      </w:r>
      <w:r w:rsidR="00F26B02">
        <w:t xml:space="preserve">ím dostala </w:t>
      </w:r>
      <w:r w:rsidR="08163013">
        <w:t>určitou negativitu, protože přišla o původní stálost a neměnnost. Ale tuto cenu je třeba zaplatit, aby se objektivní forma daná exemplárně v bohu dovedla do nižší sféry s vyšší mírou kontige</w:t>
      </w:r>
      <w:r w:rsidR="006E4C17">
        <w:t>nce a tím i materiální reality. Počínaje božským species postupuje dedukce k seminál</w:t>
      </w:r>
      <w:r w:rsidR="006E4C17" w:rsidRPr="006E4C17">
        <w:t>ní determinaci ve stvoření (viz Bonaventurovu ontoteologii); poté přechází k objektivně pojatým esencím moderních iluminátů; nakonec se objevuje jako kontingentní objekt</w:t>
      </w:r>
      <w:r w:rsidR="006E4C17">
        <w:t xml:space="preserve">ivní forma </w:t>
      </w:r>
      <w:r w:rsidR="006E4C17" w:rsidRPr="006E4C17">
        <w:t>v reálných věcech. Dnešní metafyzický nihilismus redukuje tyto objektivní formy na matem</w:t>
      </w:r>
      <w:r w:rsidR="006E4C17">
        <w:t>atické modely, aby je v modelu „</w:t>
      </w:r>
      <w:proofErr w:type="gramStart"/>
      <w:r w:rsidR="006E4C17" w:rsidRPr="006E4C17">
        <w:rPr>
          <w:i/>
        </w:rPr>
        <w:t>semel</w:t>
      </w:r>
      <w:proofErr w:type="gramEnd"/>
      <w:r w:rsidR="006E4C17" w:rsidRPr="006E4C17">
        <w:rPr>
          <w:i/>
        </w:rPr>
        <w:t>–</w:t>
      </w:r>
      <w:proofErr w:type="gramStart"/>
      <w:r w:rsidR="006E4C17" w:rsidRPr="006E4C17">
        <w:rPr>
          <w:i/>
        </w:rPr>
        <w:t>semper</w:t>
      </w:r>
      <w:proofErr w:type="gramEnd"/>
      <w:r w:rsidR="006E4C17">
        <w:t>“</w:t>
      </w:r>
      <w:r w:rsidR="006E4C17" w:rsidRPr="006E4C17">
        <w:t xml:space="preserve"> dovedl k původnímu mytologickému stavu</w:t>
      </w:r>
      <w:r w:rsidR="006E4C17">
        <w:t xml:space="preserve"> objektivní rajské nevinnosti</w:t>
      </w:r>
      <w:r w:rsidR="006E4C17" w:rsidRPr="006E4C17">
        <w:t>.</w:t>
      </w:r>
      <w:r w:rsidR="001A6DAF">
        <w:t xml:space="preserve"> </w:t>
      </w:r>
      <w:r w:rsidR="08163013">
        <w:t xml:space="preserve">Od exemplaru se jde k seminálním určením, pak k esencím a nakonec ke kontingentním </w:t>
      </w:r>
      <w:r w:rsidR="00B00A8E">
        <w:t xml:space="preserve">objektivním </w:t>
      </w:r>
      <w:r w:rsidR="08163013">
        <w:t xml:space="preserve">formám v reálných věcech. </w:t>
      </w:r>
      <w:r w:rsidR="00B36C57">
        <w:t>Objektivní s</w:t>
      </w:r>
      <w:r w:rsidR="08163013">
        <w:t xml:space="preserve">upozitum není </w:t>
      </w:r>
      <w:r w:rsidR="00BB5A55">
        <w:t xml:space="preserve">nutně </w:t>
      </w:r>
      <w:r w:rsidR="00B36C57">
        <w:t xml:space="preserve">spojeno s bytím reálné </w:t>
      </w:r>
      <w:r w:rsidR="08163013">
        <w:t>věci</w:t>
      </w:r>
      <w:r w:rsidR="00B36C57">
        <w:t>. M</w:t>
      </w:r>
      <w:r w:rsidR="08163013">
        <w:t xml:space="preserve">ůže </w:t>
      </w:r>
      <w:r w:rsidR="00B36C57">
        <w:t xml:space="preserve">to </w:t>
      </w:r>
      <w:r w:rsidR="08163013">
        <w:t xml:space="preserve">být porretánské individuum, chiméra nebo reálná první substance. </w:t>
      </w:r>
      <w:r w:rsidR="00BB5A55">
        <w:t xml:space="preserve">Subsistentní formy jsou založeny a </w:t>
      </w:r>
      <w:r w:rsidR="00765FE5">
        <w:t xml:space="preserve">nasvíceny </w:t>
      </w:r>
      <w:r w:rsidR="00BB5A55">
        <w:t xml:space="preserve">božským intelektem. </w:t>
      </w:r>
      <w:r w:rsidR="00765FE5">
        <w:t xml:space="preserve">Lidské poznání jde od božské exemplární formy k supozitu danému jako objektivní </w:t>
      </w:r>
      <w:r w:rsidR="00765FE5" w:rsidRPr="00765FE5">
        <w:rPr>
          <w:i/>
        </w:rPr>
        <w:t>tertium ens</w:t>
      </w:r>
      <w:r w:rsidR="00765FE5">
        <w:t xml:space="preserve">. </w:t>
      </w:r>
      <w:r w:rsidR="08163013">
        <w:t>V něm se forma predikuje vzhledem ke kontigentní atomární substanci, která je objektivním jsoucnem třetího druhu (</w:t>
      </w:r>
      <w:r w:rsidR="08163013" w:rsidRPr="00C03A54">
        <w:rPr>
          <w:i/>
        </w:rPr>
        <w:t>individuum</w:t>
      </w:r>
      <w:r w:rsidR="00AC561F">
        <w:rPr>
          <w:i/>
        </w:rPr>
        <w:t>, concretum</w:t>
      </w:r>
      <w:r w:rsidR="08163013">
        <w:t xml:space="preserve">). </w:t>
      </w:r>
      <w:r w:rsidR="00765FE5">
        <w:t xml:space="preserve">Objektivní dialektika může nakonec sestoupit až k objektivně danému subjektu, který je konstituovaný skrze materii. </w:t>
      </w:r>
      <w:r w:rsidR="08163013">
        <w:t>Individuální, konkrétní a faktická atomární substance představuje manifestaci původního exemplaru danou jeho přesahem do reality (</w:t>
      </w:r>
      <w:r w:rsidR="08163013" w:rsidRPr="087B1E1F">
        <w:rPr>
          <w:i/>
        </w:rPr>
        <w:t>exsistere</w:t>
      </w:r>
      <w:r w:rsidR="0050190D">
        <w:t>).</w:t>
      </w:r>
    </w:p>
    <w:p w:rsidR="08163013" w:rsidRPr="00273106" w:rsidRDefault="08163013" w:rsidP="004D1FB4">
      <w:pPr>
        <w:ind w:firstLine="397"/>
      </w:pPr>
      <w:r>
        <w:lastRenderedPageBreak/>
        <w:t xml:space="preserve">Neoplatonská dedukce objektivní formy </w:t>
      </w:r>
      <w:r w:rsidR="00C834D7">
        <w:t xml:space="preserve">na </w:t>
      </w:r>
      <w:r>
        <w:t>objektivní individuu</w:t>
      </w:r>
      <w:r w:rsidR="00C834D7">
        <w:t>m</w:t>
      </w:r>
      <w:r>
        <w:t xml:space="preserve"> </w:t>
      </w:r>
      <w:r w:rsidR="00C834D7">
        <w:t xml:space="preserve">a </w:t>
      </w:r>
      <w:r w:rsidR="00AD2E17">
        <w:t xml:space="preserve">na </w:t>
      </w:r>
      <w:r w:rsidR="00C834D7">
        <w:t>subjekt</w:t>
      </w:r>
      <w:r w:rsidR="00EF7447">
        <w:t xml:space="preserve"> </w:t>
      </w:r>
      <w:r>
        <w:t xml:space="preserve">představuje totální devalvaci první </w:t>
      </w:r>
      <w:r w:rsidR="005E44D9">
        <w:t xml:space="preserve">substance ve druhém averroismu. Tzv. „druhá metafyzika“ vznikla proto, že tuto myšlenkovou monstrozitu už původní forma druhého averroismu nemohla přijmout a Duns Scotus musel Gandavovu „metafyziku“ předělat do nové formy. </w:t>
      </w:r>
      <w:r w:rsidRPr="00273106">
        <w:t xml:space="preserve">Objektivně daná forma </w:t>
      </w:r>
      <w:r>
        <w:t xml:space="preserve">či </w:t>
      </w:r>
      <w:r w:rsidR="00962190" w:rsidRPr="005E44D9">
        <w:t>species</w:t>
      </w:r>
      <w:r>
        <w:t xml:space="preserve"> </w:t>
      </w:r>
      <w:r w:rsidRPr="00273106">
        <w:t xml:space="preserve">představuje typické jsoucno třetího druhu, protože je současně </w:t>
      </w:r>
      <w:r w:rsidR="004C37FC">
        <w:t xml:space="preserve">reálně-aktuální </w:t>
      </w:r>
      <w:r w:rsidRPr="00273106">
        <w:t xml:space="preserve">a univerzální. Moderna </w:t>
      </w:r>
      <w:r>
        <w:t xml:space="preserve">postavila kategoriální predikaci </w:t>
      </w:r>
      <w:r w:rsidRPr="08CD3E60">
        <w:rPr>
          <w:i/>
        </w:rPr>
        <w:t>Druhých analytik</w:t>
      </w:r>
      <w:r>
        <w:t xml:space="preserve"> absurdním způsobem. Gandavus otočil naruby tvrzení o Porfýriově individuu, které pro nedostatek univerzálního významu už nelze definovat (</w:t>
      </w:r>
      <w:r w:rsidR="00594A93">
        <w:t xml:space="preserve">OBJ I, </w:t>
      </w:r>
      <w:r>
        <w:t xml:space="preserve">kap. 1.3). </w:t>
      </w:r>
      <w:r w:rsidR="00594A93">
        <w:t>V moderně platí přesně opačná teze</w:t>
      </w:r>
      <w:r w:rsidR="007733DB">
        <w:t>, protože „</w:t>
      </w:r>
      <w:r w:rsidR="007733DB" w:rsidRPr="007733DB">
        <w:rPr>
          <w:i/>
        </w:rPr>
        <w:t>ens ratum</w:t>
      </w:r>
      <w:r w:rsidR="00DA768A">
        <w:rPr>
          <w:i/>
        </w:rPr>
        <w:fldChar w:fldCharType="begin"/>
      </w:r>
      <w:r w:rsidR="00DA768A">
        <w:instrText xml:space="preserve"> XE "</w:instrText>
      </w:r>
      <w:r w:rsidR="00DA768A" w:rsidRPr="0028430C">
        <w:rPr>
          <w:i/>
        </w:rPr>
        <w:instrText>ens ratum</w:instrText>
      </w:r>
      <w:r w:rsidR="00DA768A">
        <w:instrText xml:space="preserve">" </w:instrText>
      </w:r>
      <w:r w:rsidR="00DA768A">
        <w:rPr>
          <w:i/>
        </w:rPr>
        <w:fldChar w:fldCharType="end"/>
      </w:r>
      <w:r w:rsidR="007733DB">
        <w:t>“ dostalo mytologický charakter</w:t>
      </w:r>
      <w:r w:rsidR="00594A93">
        <w:t xml:space="preserve">. </w:t>
      </w:r>
      <w:r w:rsidR="004D1FB4" w:rsidRPr="004D1FB4">
        <w:t>Protože konkrétn</w:t>
      </w:r>
      <w:r w:rsidR="004D1FB4">
        <w:t xml:space="preserve">í individuum existuje objektivně evidentním </w:t>
      </w:r>
      <w:r w:rsidR="004D1FB4" w:rsidRPr="004D1FB4">
        <w:t xml:space="preserve">způsobem, </w:t>
      </w:r>
      <w:r w:rsidR="004D1FB4">
        <w:t xml:space="preserve">pak </w:t>
      </w:r>
      <w:r w:rsidR="004D1FB4" w:rsidRPr="004D1FB4">
        <w:t xml:space="preserve">je třeba skutečnou věc chápat pravdivě, a tedy objektivně. </w:t>
      </w:r>
      <w:r w:rsidRPr="00273106">
        <w:t>Rufus</w:t>
      </w:r>
      <w:r>
        <w:t xml:space="preserve"> poprvé zaměnil individ</w:t>
      </w:r>
      <w:r w:rsidR="00B46A63">
        <w:t>uum za aktuální první substanci</w:t>
      </w:r>
      <w:r w:rsidR="00920303">
        <w:t xml:space="preserve">. Čistý koncept daný v mysli dostal hypostázovanou existenci a kauzalitu. </w:t>
      </w:r>
      <w:r w:rsidRPr="00273106">
        <w:t xml:space="preserve">Individuum </w:t>
      </w:r>
      <w:r>
        <w:t>v moderním významu</w:t>
      </w:r>
      <w:r w:rsidRPr="00273106">
        <w:t xml:space="preserve"> vzniká </w:t>
      </w:r>
      <w:r w:rsidR="00920303">
        <w:t xml:space="preserve">posledním omezením avicennovské jsoucnosti. Objektivní věc </w:t>
      </w:r>
      <w:r w:rsidRPr="00273106">
        <w:t xml:space="preserve">existuje jako poslední, dále neurčitelná </w:t>
      </w:r>
      <w:r>
        <w:t xml:space="preserve">jednota </w:t>
      </w:r>
      <w:r w:rsidRPr="00273106">
        <w:t>spe</w:t>
      </w:r>
      <w:r>
        <w:t xml:space="preserve">cifického určování obecně dané </w:t>
      </w:r>
      <w:r w:rsidR="00920303">
        <w:t xml:space="preserve">objektivní </w:t>
      </w:r>
      <w:r>
        <w:t>formy</w:t>
      </w:r>
      <w:r>
        <w:rPr>
          <w:rStyle w:val="linemarker-marked-line"/>
          <w:i/>
        </w:rPr>
        <w:fldChar w:fldCharType="begin"/>
      </w:r>
      <w:r>
        <w:instrText xml:space="preserve"> XE "</w:instrText>
      </w:r>
      <w:r w:rsidRPr="000E3E9A">
        <w:rPr>
          <w:rStyle w:val="linemarker-marked-line"/>
        </w:rPr>
        <w:instrText>substance:individuum</w:instrText>
      </w:r>
      <w:r>
        <w:instrText xml:space="preserve">" </w:instrText>
      </w:r>
      <w:r>
        <w:rPr>
          <w:rStyle w:val="linemarker-marked-line"/>
          <w:i/>
        </w:rPr>
        <w:fldChar w:fldCharType="end"/>
      </w:r>
      <w:r w:rsidRPr="00273106">
        <w:t xml:space="preserve">. Určování </w:t>
      </w:r>
      <w:r>
        <w:t xml:space="preserve">posledního </w:t>
      </w:r>
      <w:r w:rsidRPr="00273106">
        <w:t xml:space="preserve">dále nedělitelného zbytku významu běží v moderně a postmoderně skrze negaci či skrze pohyb </w:t>
      </w:r>
      <w:r>
        <w:t xml:space="preserve">rodové a specifické </w:t>
      </w:r>
      <w:r w:rsidRPr="00273106">
        <w:t>difference. Podívejme se</w:t>
      </w:r>
      <w:r>
        <w:t xml:space="preserve"> na </w:t>
      </w:r>
      <w:proofErr w:type="gramStart"/>
      <w:r w:rsidRPr="00273106">
        <w:rPr>
          <w:i/>
        </w:rPr>
        <w:t>Quodlibet</w:t>
      </w:r>
      <w:r w:rsidRPr="00273106">
        <w:t xml:space="preserve"> V.8, kde</w:t>
      </w:r>
      <w:proofErr w:type="gramEnd"/>
      <w:r w:rsidRPr="00273106">
        <w:t xml:space="preserve"> je tento dvojí zápor poprvé použit pro determinaci jsoucna. Henry vytváří </w:t>
      </w:r>
      <w:r>
        <w:t xml:space="preserve">pomocí dvojí negace objektivní formu </w:t>
      </w:r>
      <w:r w:rsidR="00C8003E">
        <w:t>„</w:t>
      </w:r>
      <w:r w:rsidRPr="00273106">
        <w:rPr>
          <w:i/>
        </w:rPr>
        <w:t>hoc esse tantum</w:t>
      </w:r>
      <w:r w:rsidR="00C8003E">
        <w:t>“</w:t>
      </w:r>
      <w:r>
        <w:rPr>
          <w:i/>
        </w:rPr>
        <w:fldChar w:fldCharType="begin"/>
      </w:r>
      <w:r>
        <w:instrText xml:space="preserve"> XE "</w:instrText>
      </w:r>
      <w:r w:rsidRPr="005A071C">
        <w:rPr>
          <w:i/>
          <w:lang w:eastAsia="en-US"/>
        </w:rPr>
        <w:instrText>hoc esse tantum</w:instrText>
      </w:r>
      <w:r>
        <w:instrText xml:space="preserve">" </w:instrText>
      </w:r>
      <w:r>
        <w:rPr>
          <w:i/>
        </w:rPr>
        <w:fldChar w:fldCharType="end"/>
      </w:r>
      <w:r w:rsidRPr="00273106">
        <w:t xml:space="preserve"> </w:t>
      </w:r>
      <w:r>
        <w:t xml:space="preserve">poprvé danou u </w:t>
      </w:r>
      <w:r w:rsidRPr="00273106">
        <w:t>Avicenny (</w:t>
      </w:r>
      <w:r w:rsidR="00535D23">
        <w:t xml:space="preserve">OBJ I, </w:t>
      </w:r>
      <w:r w:rsidRPr="00273106">
        <w:t>kap. 2.3.3).</w:t>
      </w:r>
      <w:r>
        <w:t xml:space="preserve"> Gandavova metoda denudace zrušila hyparchickou determinaci první substance</w:t>
      </w:r>
      <w:r w:rsidRPr="00C80550">
        <w:t xml:space="preserve"> </w:t>
      </w:r>
      <w:r>
        <w:t xml:space="preserve">pomocí </w:t>
      </w:r>
      <w:r w:rsidRPr="00F86137">
        <w:rPr>
          <w:i/>
        </w:rPr>
        <w:t>duplex negatio</w:t>
      </w:r>
      <w:r>
        <w:rPr>
          <w:i/>
        </w:rPr>
        <w:fldChar w:fldCharType="begin"/>
      </w:r>
      <w:r>
        <w:instrText xml:space="preserve"> XE "substance:</w:instrText>
      </w:r>
      <w:r w:rsidRPr="007A456C">
        <w:rPr>
          <w:i/>
        </w:rPr>
        <w:instrText>duplex negatio</w:instrText>
      </w:r>
      <w:r>
        <w:instrText xml:space="preserve">" </w:instrText>
      </w:r>
      <w:r>
        <w:rPr>
          <w:i/>
        </w:rPr>
        <w:fldChar w:fldCharType="end"/>
      </w:r>
      <w:r>
        <w:t>.</w:t>
      </w:r>
      <w:r w:rsidRPr="00833411">
        <w:t xml:space="preserve"> </w:t>
      </w:r>
      <w:r>
        <w:t>Následující citát ukazuje první určení objektivity dané jako metafyzický koncept jsoucna podle Avicenny (</w:t>
      </w:r>
      <w:r w:rsidRPr="00097F37">
        <w:rPr>
          <w:i/>
        </w:rPr>
        <w:t>tantum haec</w:t>
      </w:r>
      <w:r>
        <w:rPr>
          <w:i/>
        </w:rPr>
        <w:fldChar w:fldCharType="begin"/>
      </w:r>
      <w:r>
        <w:instrText xml:space="preserve"> XE "</w:instrText>
      </w:r>
      <w:r w:rsidRPr="0074699C">
        <w:instrText>objektivita</w:instrText>
      </w:r>
      <w:r w:rsidRPr="00947E4E">
        <w:rPr>
          <w:i/>
        </w:rPr>
        <w:instrText>:tantum haec</w:instrText>
      </w:r>
      <w:r>
        <w:instrText xml:space="preserve">" </w:instrText>
      </w:r>
      <w:r>
        <w:rPr>
          <w:i/>
        </w:rPr>
        <w:fldChar w:fldCharType="end"/>
      </w:r>
      <w:r>
        <w:t>).</w:t>
      </w:r>
    </w:p>
    <w:p w:rsidR="08163013" w:rsidRPr="005D0300" w:rsidRDefault="08163013" w:rsidP="08163013">
      <w:pPr>
        <w:pStyle w:val="Citace"/>
        <w:rPr>
          <w:noProof/>
          <w:lang w:val="cs-CZ"/>
        </w:rPr>
      </w:pPr>
      <w:r w:rsidRPr="00273106">
        <w:rPr>
          <w:noProof/>
          <w:lang w:val="cs-CZ"/>
        </w:rPr>
        <w:t>„</w:t>
      </w:r>
      <w:r>
        <w:rPr>
          <w:noProof/>
          <w:lang w:val="cs-CZ"/>
        </w:rPr>
        <w:t>Negace není jednoduchá, ale dvojitá (</w:t>
      </w:r>
      <w:r w:rsidRPr="00107DD9">
        <w:rPr>
          <w:i/>
          <w:noProof/>
        </w:rPr>
        <w:t>negatio non est simplex, sed duplex</w:t>
      </w:r>
      <w:r>
        <w:rPr>
          <w:noProof/>
          <w:lang w:val="cs-CZ"/>
        </w:rPr>
        <w:t>). Postup směrem dovnitř (</w:t>
      </w:r>
      <w:r w:rsidRPr="00953D2B">
        <w:rPr>
          <w:i/>
          <w:noProof/>
          <w:lang w:val="cs-CZ"/>
        </w:rPr>
        <w:t>ad intra</w:t>
      </w:r>
      <w:r>
        <w:rPr>
          <w:noProof/>
          <w:lang w:val="cs-CZ"/>
        </w:rPr>
        <w:t>) odnímá všechnu mnohost a různost, a postup směrem od vnější věci (</w:t>
      </w:r>
      <w:r w:rsidRPr="00953D2B">
        <w:rPr>
          <w:i/>
          <w:noProof/>
          <w:lang w:val="cs-CZ"/>
        </w:rPr>
        <w:t>ab extra</w:t>
      </w:r>
      <w:r>
        <w:rPr>
          <w:noProof/>
          <w:lang w:val="cs-CZ"/>
        </w:rPr>
        <w:t>) odnímá všechnu identitu. Negativita pak predikuje pouze jsoucno jako takové (</w:t>
      </w:r>
      <w:r w:rsidRPr="00953D2B">
        <w:rPr>
          <w:i/>
          <w:noProof/>
          <w:lang w:val="cs-CZ"/>
        </w:rPr>
        <w:t>dicatur ita haec</w:t>
      </w:r>
      <w:r>
        <w:rPr>
          <w:noProof/>
          <w:lang w:val="cs-CZ"/>
        </w:rPr>
        <w:t>) a dané objektivně (</w:t>
      </w:r>
      <w:r w:rsidRPr="00953D2B">
        <w:rPr>
          <w:i/>
          <w:noProof/>
          <w:lang w:val="cs-CZ"/>
        </w:rPr>
        <w:t>tantum haec</w:t>
      </w:r>
      <w:r>
        <w:rPr>
          <w:noProof/>
          <w:lang w:val="cs-CZ"/>
        </w:rPr>
        <w:t>).  V tomto stavu už jsoucno nemá potenci být něčím jiným (</w:t>
      </w:r>
      <w:r w:rsidRPr="00953D2B">
        <w:rPr>
          <w:i/>
          <w:noProof/>
          <w:lang w:val="cs-CZ"/>
        </w:rPr>
        <w:t>possibilitatem ad esse aliud et aliud</w:t>
      </w:r>
      <w:r>
        <w:rPr>
          <w:noProof/>
          <w:lang w:val="cs-CZ"/>
        </w:rPr>
        <w:t xml:space="preserve">), jako to formálně má </w:t>
      </w:r>
      <w:r w:rsidR="00962190">
        <w:rPr>
          <w:i/>
          <w:noProof/>
          <w:lang w:val="cs-CZ"/>
        </w:rPr>
        <w:t>species</w:t>
      </w:r>
      <w:r>
        <w:rPr>
          <w:noProof/>
          <w:lang w:val="cs-CZ"/>
        </w:rPr>
        <w:t>. Toto individuum (</w:t>
      </w:r>
      <w:r w:rsidRPr="00097F37">
        <w:rPr>
          <w:i/>
          <w:noProof/>
          <w:lang w:val="cs-CZ"/>
        </w:rPr>
        <w:t>tantum haec</w:t>
      </w:r>
      <w:r>
        <w:rPr>
          <w:noProof/>
          <w:lang w:val="cs-CZ"/>
        </w:rPr>
        <w:t>)</w:t>
      </w:r>
      <w:r w:rsidRPr="00107DD9">
        <w:rPr>
          <w:noProof/>
          <w:lang w:val="cs-CZ"/>
        </w:rPr>
        <w:t xml:space="preserve"> </w:t>
      </w:r>
      <w:r>
        <w:rPr>
          <w:noProof/>
          <w:lang w:val="cs-CZ"/>
        </w:rPr>
        <w:t>je natolik specifické, že už nemůže být ničím jiným (</w:t>
      </w:r>
      <w:r w:rsidRPr="00097F37">
        <w:rPr>
          <w:i/>
          <w:noProof/>
          <w:lang w:val="cs-CZ"/>
        </w:rPr>
        <w:t>non fit alioqua aliarum suae speciei</w:t>
      </w:r>
      <w:r>
        <w:rPr>
          <w:noProof/>
          <w:lang w:val="cs-CZ"/>
        </w:rPr>
        <w:t xml:space="preserve">).“ </w:t>
      </w:r>
      <w:r>
        <w:rPr>
          <w:rStyle w:val="Znakapoznpodarou"/>
        </w:rPr>
        <w:footnoteReference w:id="401"/>
      </w:r>
    </w:p>
    <w:p w:rsidR="005D2917" w:rsidRDefault="08163013" w:rsidP="08163013">
      <w:r w:rsidRPr="00273106">
        <w:lastRenderedPageBreak/>
        <w:t xml:space="preserve">Dvojí negace vytváří </w:t>
      </w:r>
      <w:r>
        <w:t>koncept objektivní substance</w:t>
      </w:r>
      <w:r>
        <w:fldChar w:fldCharType="begin"/>
      </w:r>
      <w:r>
        <w:instrText xml:space="preserve"> XE "</w:instrText>
      </w:r>
      <w:r w:rsidRPr="00DE2A32">
        <w:instrText>substance</w:instrText>
      </w:r>
      <w:r>
        <w:instrText xml:space="preserve">:objektivní" </w:instrText>
      </w:r>
      <w:r>
        <w:fldChar w:fldCharType="end"/>
      </w:r>
      <w:r>
        <w:t xml:space="preserve">. Negace nejprve ruší formu danou na </w:t>
      </w:r>
      <w:r w:rsidRPr="00273106">
        <w:t>materiálním substrátu (</w:t>
      </w:r>
      <w:r w:rsidRPr="00273106">
        <w:rPr>
          <w:i/>
        </w:rPr>
        <w:t>removens ad intra omnem plurificabilitatem</w:t>
      </w:r>
      <w:r w:rsidRPr="00273106">
        <w:t xml:space="preserve">), </w:t>
      </w:r>
      <w:r>
        <w:t xml:space="preserve">a pak ji neguje mimo všechny vztahy </w:t>
      </w:r>
      <w:r w:rsidR="005256CC" w:rsidRPr="00273106">
        <w:t>(</w:t>
      </w:r>
      <w:r w:rsidR="005256CC" w:rsidRPr="00273106">
        <w:rPr>
          <w:i/>
        </w:rPr>
        <w:t>ab extra omnem identitatem</w:t>
      </w:r>
      <w:r w:rsidR="005256CC" w:rsidRPr="00273106">
        <w:t>)</w:t>
      </w:r>
      <w:r w:rsidR="005256CC">
        <w:t xml:space="preserve"> </w:t>
      </w:r>
      <w:r>
        <w:t xml:space="preserve">až na čistou </w:t>
      </w:r>
      <w:r w:rsidR="00962190">
        <w:rPr>
          <w:i/>
        </w:rPr>
        <w:t>species</w:t>
      </w:r>
      <w:r>
        <w:t xml:space="preserve"> </w:t>
      </w:r>
      <w:r w:rsidR="005256CC" w:rsidRPr="005256CC">
        <w:rPr>
          <w:i/>
        </w:rPr>
        <w:t>specialissima</w:t>
      </w:r>
      <w:r w:rsidR="00565051">
        <w:rPr>
          <w:i/>
        </w:rPr>
        <w:fldChar w:fldCharType="begin"/>
      </w:r>
      <w:r w:rsidR="00565051">
        <w:instrText xml:space="preserve"> XE "</w:instrText>
      </w:r>
      <w:r w:rsidR="00565051" w:rsidRPr="00553AE4">
        <w:rPr>
          <w:i/>
        </w:rPr>
        <w:instrText>species</w:instrText>
      </w:r>
      <w:r w:rsidR="00565051" w:rsidRPr="00553AE4">
        <w:instrText xml:space="preserve"> </w:instrText>
      </w:r>
      <w:r w:rsidR="00565051" w:rsidRPr="00553AE4">
        <w:rPr>
          <w:i/>
        </w:rPr>
        <w:instrText>specialissima</w:instrText>
      </w:r>
      <w:r w:rsidR="00565051">
        <w:instrText xml:space="preserve">" </w:instrText>
      </w:r>
      <w:r w:rsidR="00565051">
        <w:rPr>
          <w:i/>
        </w:rPr>
        <w:fldChar w:fldCharType="end"/>
      </w:r>
      <w:r w:rsidRPr="00273106">
        <w:t xml:space="preserve">. </w:t>
      </w:r>
      <w:r>
        <w:t xml:space="preserve">Citát jasně odlišuje výše uvedenou možnost </w:t>
      </w:r>
      <w:r w:rsidR="00962190">
        <w:rPr>
          <w:i/>
        </w:rPr>
        <w:t>species</w:t>
      </w:r>
      <w:r>
        <w:t xml:space="preserve"> být supozitem v realitě a zcela novým určením jsoucna jako absolutně j</w:t>
      </w:r>
      <w:r w:rsidR="00565051">
        <w:t>ednoduchého individua. Tato avicennovská jednoduchost (</w:t>
      </w:r>
      <w:r w:rsidR="00565051" w:rsidRPr="00565051">
        <w:rPr>
          <w:i/>
        </w:rPr>
        <w:t>equinitas tantum</w:t>
      </w:r>
      <w:r w:rsidR="003020C6">
        <w:rPr>
          <w:i/>
        </w:rPr>
        <w:fldChar w:fldCharType="begin"/>
      </w:r>
      <w:r w:rsidR="003020C6">
        <w:instrText xml:space="preserve"> XE "</w:instrText>
      </w:r>
      <w:r w:rsidR="003020C6" w:rsidRPr="00F074C7">
        <w:rPr>
          <w:i/>
        </w:rPr>
        <w:instrText>equinitas tantum</w:instrText>
      </w:r>
      <w:r w:rsidR="003020C6">
        <w:instrText xml:space="preserve">" </w:instrText>
      </w:r>
      <w:r w:rsidR="003020C6">
        <w:rPr>
          <w:i/>
        </w:rPr>
        <w:fldChar w:fldCharType="end"/>
      </w:r>
      <w:r w:rsidR="00565051">
        <w:t xml:space="preserve">) už není univerzální forma </w:t>
      </w:r>
      <w:r w:rsidR="00962190">
        <w:rPr>
          <w:i/>
        </w:rPr>
        <w:t>species</w:t>
      </w:r>
      <w:r>
        <w:t xml:space="preserve">. Pomocí dvojí negace směrem k vnějšku a směrem k nitru mysl ilumináta </w:t>
      </w:r>
      <w:r w:rsidRPr="00273106">
        <w:t>a</w:t>
      </w:r>
      <w:r>
        <w:t>bstrahuje od všech specifických znaků, až se přijde na poslední individuum dané jako objektivní jsoucno (</w:t>
      </w:r>
      <w:r w:rsidRPr="00953D2B">
        <w:rPr>
          <w:i/>
        </w:rPr>
        <w:t>tantum haec</w:t>
      </w:r>
      <w:r>
        <w:t xml:space="preserve">). Tento postup ukazuje na původní zdroj Scotovy objektivní </w:t>
      </w:r>
      <w:r w:rsidR="007637D7">
        <w:t>„</w:t>
      </w:r>
      <w:r w:rsidRPr="00A254D0">
        <w:rPr>
          <w:i/>
        </w:rPr>
        <w:t>haecceitas</w:t>
      </w:r>
      <w:r w:rsidR="007637D7">
        <w:t>“</w:t>
      </w:r>
      <w:r>
        <w:rPr>
          <w:i/>
        </w:rPr>
        <w:fldChar w:fldCharType="begin"/>
      </w:r>
      <w:r>
        <w:instrText xml:space="preserve"> XE "</w:instrText>
      </w:r>
      <w:r w:rsidRPr="00B566C1">
        <w:rPr>
          <w:i/>
        </w:rPr>
        <w:instrText>haecceitas</w:instrText>
      </w:r>
      <w:r>
        <w:instrText xml:space="preserve">" </w:instrText>
      </w:r>
      <w:r>
        <w:rPr>
          <w:i/>
        </w:rPr>
        <w:fldChar w:fldCharType="end"/>
      </w:r>
      <w:r>
        <w:t>. D</w:t>
      </w:r>
      <w:r w:rsidRPr="00273106">
        <w:t xml:space="preserve">enudací všech určení první substance </w:t>
      </w:r>
      <w:r>
        <w:t xml:space="preserve">dedukce </w:t>
      </w:r>
      <w:r w:rsidRPr="00273106">
        <w:t>nutně dojde k individuu jako nové formě jednotliviny (</w:t>
      </w:r>
      <w:r w:rsidRPr="00273106">
        <w:rPr>
          <w:i/>
        </w:rPr>
        <w:t>ita haec, quod tantum haec</w:t>
      </w:r>
      <w:r w:rsidRPr="00273106">
        <w:t xml:space="preserve">). Objektivně daný koncept věci </w:t>
      </w:r>
      <w:r>
        <w:t xml:space="preserve">v modu </w:t>
      </w:r>
      <w:r w:rsidRPr="00273106">
        <w:rPr>
          <w:i/>
        </w:rPr>
        <w:t>esse diminutum</w:t>
      </w:r>
      <w:r>
        <w:rPr>
          <w:i/>
        </w:rPr>
        <w:fldChar w:fldCharType="begin"/>
      </w:r>
      <w:r>
        <w:instrText xml:space="preserve"> XE "</w:instrText>
      </w:r>
      <w:r w:rsidRPr="00782C1F">
        <w:rPr>
          <w:i/>
        </w:rPr>
        <w:instrText>esse diminutum</w:instrText>
      </w:r>
      <w:r>
        <w:instrText xml:space="preserve">" </w:instrText>
      </w:r>
      <w:r>
        <w:rPr>
          <w:i/>
        </w:rPr>
        <w:fldChar w:fldCharType="end"/>
      </w:r>
      <w:r w:rsidRPr="00273106">
        <w:t xml:space="preserve"> je definován jako čistá možnost nebýt ničím jiným (</w:t>
      </w:r>
      <w:r w:rsidRPr="00273106">
        <w:rPr>
          <w:i/>
        </w:rPr>
        <w:t xml:space="preserve">non habedo </w:t>
      </w:r>
      <w:r>
        <w:rPr>
          <w:i/>
        </w:rPr>
        <w:t>p</w:t>
      </w:r>
      <w:r w:rsidRPr="00273106">
        <w:rPr>
          <w:i/>
        </w:rPr>
        <w:t>ossibilitatem ad esse aliud et aliud</w:t>
      </w:r>
      <w:r w:rsidRPr="00273106">
        <w:t xml:space="preserve">). Toto zvláštní individuum </w:t>
      </w:r>
      <w:r>
        <w:t xml:space="preserve">na způsob Avicennova </w:t>
      </w:r>
      <w:r w:rsidRPr="00273106">
        <w:rPr>
          <w:i/>
        </w:rPr>
        <w:t>individuum vagum</w:t>
      </w:r>
      <w:r>
        <w:rPr>
          <w:i/>
        </w:rPr>
        <w:fldChar w:fldCharType="begin"/>
      </w:r>
      <w:r>
        <w:instrText xml:space="preserve"> XE "substance:</w:instrText>
      </w:r>
      <w:r w:rsidRPr="00961784">
        <w:rPr>
          <w:i/>
        </w:rPr>
        <w:instrText>individuum vagum</w:instrText>
      </w:r>
      <w:r>
        <w:instrText xml:space="preserve">" </w:instrText>
      </w:r>
      <w:r>
        <w:rPr>
          <w:i/>
        </w:rPr>
        <w:fldChar w:fldCharType="end"/>
      </w:r>
      <w:r w:rsidRPr="00273106">
        <w:t xml:space="preserve"> je koncipováno jako </w:t>
      </w:r>
      <w:r>
        <w:t xml:space="preserve">pevné a nepochybné </w:t>
      </w:r>
      <w:r w:rsidRPr="00273106">
        <w:rPr>
          <w:i/>
        </w:rPr>
        <w:t>esse ratum</w:t>
      </w:r>
      <w:r>
        <w:rPr>
          <w:i/>
        </w:rPr>
        <w:fldChar w:fldCharType="begin"/>
      </w:r>
      <w:r>
        <w:instrText xml:space="preserve"> XE "</w:instrText>
      </w:r>
      <w:r w:rsidRPr="00AD770D">
        <w:rPr>
          <w:i/>
        </w:rPr>
        <w:instrText>esse ratum</w:instrText>
      </w:r>
      <w:r>
        <w:instrText xml:space="preserve">:Gandavus" </w:instrText>
      </w:r>
      <w:r>
        <w:rPr>
          <w:i/>
        </w:rPr>
        <w:fldChar w:fldCharType="end"/>
      </w:r>
      <w:r>
        <w:t xml:space="preserve">. </w:t>
      </w:r>
      <w:r w:rsidRPr="00273106">
        <w:t>Pevnost se tedy nevztahuje k aktuální první substanci, ale k faktu minimální jsouc</w:t>
      </w:r>
      <w:r w:rsidR="005D2917">
        <w:t>nosti dané negací čisté nicoty.</w:t>
      </w:r>
    </w:p>
    <w:p w:rsidR="08163013" w:rsidRDefault="00FA21AB" w:rsidP="005D2917">
      <w:pPr>
        <w:ind w:firstLine="397"/>
      </w:pPr>
      <w:r>
        <w:t>Gandavus zavedl</w:t>
      </w:r>
      <w:r w:rsidR="08163013">
        <w:t xml:space="preserve"> novou metodu </w:t>
      </w:r>
      <w:r w:rsidR="08163013" w:rsidRPr="00953D2B">
        <w:rPr>
          <w:i/>
        </w:rPr>
        <w:t>denudatio</w:t>
      </w:r>
      <w:r w:rsidR="08163013">
        <w:rPr>
          <w:i/>
        </w:rPr>
        <w:fldChar w:fldCharType="begin"/>
      </w:r>
      <w:r w:rsidR="08163013">
        <w:instrText xml:space="preserve"> XE "</w:instrText>
      </w:r>
      <w:r w:rsidR="08163013" w:rsidRPr="00C23100">
        <w:rPr>
          <w:i/>
        </w:rPr>
        <w:instrText>denudatio</w:instrText>
      </w:r>
      <w:r w:rsidR="08163013">
        <w:instrText xml:space="preserve">:Gandavus" </w:instrText>
      </w:r>
      <w:r w:rsidR="08163013">
        <w:rPr>
          <w:i/>
        </w:rPr>
        <w:fldChar w:fldCharType="end"/>
      </w:r>
      <w:r w:rsidR="08163013">
        <w:t xml:space="preserve"> danou jako vylučování jinakovosti pomocí negace.</w:t>
      </w:r>
      <w:r w:rsidR="08163013" w:rsidRPr="00EA3349">
        <w:t xml:space="preserve"> </w:t>
      </w:r>
      <w:r w:rsidR="08163013">
        <w:t xml:space="preserve">Oliviho a </w:t>
      </w:r>
      <w:r w:rsidR="08163013" w:rsidRPr="00273106">
        <w:t>Henryho postup určování jednotliviny převzal Spinoza</w:t>
      </w:r>
      <w:r w:rsidR="08163013">
        <w:fldChar w:fldCharType="begin"/>
      </w:r>
      <w:r w:rsidR="08163013">
        <w:instrText xml:space="preserve"> XE "</w:instrText>
      </w:r>
      <w:r w:rsidR="08163013" w:rsidRPr="009124C1">
        <w:instrText>Spinoza, B.</w:instrText>
      </w:r>
      <w:r w:rsidR="08163013">
        <w:instrText xml:space="preserve">" </w:instrText>
      </w:r>
      <w:r w:rsidR="08163013">
        <w:fldChar w:fldCharType="end"/>
      </w:r>
      <w:r w:rsidR="08163013" w:rsidRPr="00273106">
        <w:t xml:space="preserve"> do definice materie</w:t>
      </w:r>
      <w:r w:rsidR="08163013" w:rsidRPr="009F05FC">
        <w:t xml:space="preserve"> </w:t>
      </w:r>
      <w:r w:rsidR="08163013">
        <w:t xml:space="preserve">v modu </w:t>
      </w:r>
      <w:r w:rsidR="08163013" w:rsidRPr="00273106">
        <w:rPr>
          <w:i/>
        </w:rPr>
        <w:t>omnis determinatio est negatio</w:t>
      </w:r>
      <w:r w:rsidR="08163013" w:rsidRPr="00273106">
        <w:t>.</w:t>
      </w:r>
      <w:r w:rsidR="08163013">
        <w:t xml:space="preserve"> Spinoz</w:t>
      </w:r>
      <w:r w:rsidR="0063147C">
        <w:t xml:space="preserve">a vysvětlil v dopise </w:t>
      </w:r>
      <w:r w:rsidR="08163013" w:rsidRPr="00523829">
        <w:t>Jarrig</w:t>
      </w:r>
      <w:r w:rsidR="0063147C">
        <w:t>u</w:t>
      </w:r>
      <w:r w:rsidR="08163013" w:rsidRPr="00523829">
        <w:t xml:space="preserve"> Jell</w:t>
      </w:r>
      <w:r w:rsidR="08163013">
        <w:t>es</w:t>
      </w:r>
      <w:r w:rsidR="0063147C">
        <w:t>ovi</w:t>
      </w:r>
      <w:r w:rsidR="08163013">
        <w:t>, jak univerzální geometrická figura přechází v modu negace do jednotliviny, v níž se její původní univerzalita změní na nebytí.</w:t>
      </w:r>
      <w:r w:rsidR="08163013" w:rsidRPr="00273106">
        <w:rPr>
          <w:rStyle w:val="Znakapoznpodarou"/>
        </w:rPr>
        <w:footnoteReference w:id="402"/>
      </w:r>
      <w:r w:rsidR="08163013" w:rsidRPr="00273106">
        <w:t xml:space="preserve"> Hegel</w:t>
      </w:r>
      <w:r w:rsidR="08163013">
        <w:fldChar w:fldCharType="begin"/>
      </w:r>
      <w:r w:rsidR="08163013">
        <w:instrText xml:space="preserve"> XE "</w:instrText>
      </w:r>
      <w:r w:rsidR="08163013" w:rsidRPr="00CC7DE5">
        <w:instrText>Hegel, G. W.</w:instrText>
      </w:r>
      <w:r w:rsidR="08163013">
        <w:instrText xml:space="preserve">" </w:instrText>
      </w:r>
      <w:r w:rsidR="08163013">
        <w:fldChar w:fldCharType="end"/>
      </w:r>
      <w:r w:rsidR="08163013" w:rsidRPr="00273106">
        <w:t xml:space="preserve"> přímo navazuje na </w:t>
      </w:r>
      <w:r w:rsidR="08163013">
        <w:t xml:space="preserve">Gandavovo a Spinozovo </w:t>
      </w:r>
      <w:r w:rsidR="08163013" w:rsidRPr="00273106">
        <w:t xml:space="preserve">objektivní určení jsoucna jako </w:t>
      </w:r>
      <w:r w:rsidR="08163013" w:rsidRPr="00273106">
        <w:rPr>
          <w:i/>
        </w:rPr>
        <w:t>res</w:t>
      </w:r>
      <w:r w:rsidR="08163013" w:rsidRPr="00273106">
        <w:t xml:space="preserve"> postavené vůči nicotě. První díl </w:t>
      </w:r>
      <w:r w:rsidR="08163013" w:rsidRPr="00273106">
        <w:rPr>
          <w:i/>
        </w:rPr>
        <w:t>Wissenchaft der Logik</w:t>
      </w:r>
      <w:r w:rsidR="08163013" w:rsidRPr="00273106">
        <w:t xml:space="preserve"> říká, že Spinozova teze má </w:t>
      </w:r>
      <w:r w:rsidR="08163013">
        <w:t xml:space="preserve">nekonečnou </w:t>
      </w:r>
      <w:r w:rsidR="08163013" w:rsidRPr="00273106">
        <w:t>důležitost.</w:t>
      </w:r>
      <w:r w:rsidR="08163013" w:rsidRPr="00273106">
        <w:rPr>
          <w:rStyle w:val="Znakapoznpodarou"/>
        </w:rPr>
        <w:footnoteReference w:id="403"/>
      </w:r>
      <w:r w:rsidR="08163013" w:rsidRPr="00273106">
        <w:t xml:space="preserve"> </w:t>
      </w:r>
      <w:r w:rsidR="08163013">
        <w:t>P</w:t>
      </w:r>
      <w:r w:rsidR="08163013" w:rsidRPr="00273106">
        <w:t xml:space="preserve">řechod od nicoty k formálnímu určení jsoucna v modu </w:t>
      </w:r>
      <w:r w:rsidR="08163013" w:rsidRPr="00273106">
        <w:rPr>
          <w:i/>
        </w:rPr>
        <w:lastRenderedPageBreak/>
        <w:t xml:space="preserve">Dasein </w:t>
      </w:r>
      <w:r w:rsidR="08163013" w:rsidRPr="00273106">
        <w:t>a</w:t>
      </w:r>
      <w:r w:rsidR="08163013" w:rsidRPr="00273106">
        <w:rPr>
          <w:i/>
        </w:rPr>
        <w:t xml:space="preserve"> Etwas</w:t>
      </w:r>
      <w:r w:rsidR="08163013" w:rsidRPr="00273106">
        <w:t xml:space="preserve"> </w:t>
      </w:r>
      <w:r w:rsidR="08163013">
        <w:t xml:space="preserve">dává začátek Hegelovy </w:t>
      </w:r>
      <w:r w:rsidR="08163013" w:rsidRPr="00273106">
        <w:t xml:space="preserve">absolutní logiky. </w:t>
      </w:r>
      <w:r w:rsidR="08163013">
        <w:t xml:space="preserve">Tato negace vyvede v modu moderní dedukce jsoucno z nicoty, a tím vytvoří lidskou podobu </w:t>
      </w:r>
      <w:r w:rsidR="08163013" w:rsidRPr="003812FB">
        <w:rPr>
          <w:i/>
        </w:rPr>
        <w:t>creatio ex nihilo</w:t>
      </w:r>
      <w:r w:rsidR="08163013">
        <w:rPr>
          <w:i/>
        </w:rPr>
        <w:fldChar w:fldCharType="begin"/>
      </w:r>
      <w:r w:rsidR="08163013">
        <w:instrText xml:space="preserve"> XE "</w:instrText>
      </w:r>
      <w:r w:rsidR="08163013" w:rsidRPr="00807116">
        <w:rPr>
          <w:i/>
        </w:rPr>
        <w:instrText>creatio ex nihilo</w:instrText>
      </w:r>
      <w:r w:rsidR="08163013">
        <w:instrText xml:space="preserve">" </w:instrText>
      </w:r>
      <w:r w:rsidR="08163013">
        <w:rPr>
          <w:i/>
        </w:rPr>
        <w:fldChar w:fldCharType="end"/>
      </w:r>
      <w:r w:rsidR="08163013">
        <w:t xml:space="preserve">. </w:t>
      </w:r>
      <w:r w:rsidR="08163013" w:rsidRPr="00273106">
        <w:t xml:space="preserve">Na determinaci moderního určení </w:t>
      </w:r>
      <w:r w:rsidR="08163013" w:rsidRPr="00273106">
        <w:rPr>
          <w:i/>
        </w:rPr>
        <w:t>res</w:t>
      </w:r>
      <w:r w:rsidR="08163013" w:rsidRPr="00273106">
        <w:t xml:space="preserve"> skrze zápor </w:t>
      </w:r>
      <w:r w:rsidR="08163013">
        <w:rPr>
          <w:i/>
        </w:rPr>
        <w:fldChar w:fldCharType="begin"/>
      </w:r>
      <w:r w:rsidR="08163013">
        <w:instrText xml:space="preserve"> XE "substance:</w:instrText>
      </w:r>
      <w:r w:rsidR="08163013" w:rsidRPr="007A456C">
        <w:rPr>
          <w:i/>
        </w:rPr>
        <w:instrText>duplex negatio</w:instrText>
      </w:r>
      <w:r w:rsidR="08163013">
        <w:instrText xml:space="preserve">" </w:instrText>
      </w:r>
      <w:r w:rsidR="08163013">
        <w:rPr>
          <w:i/>
        </w:rPr>
        <w:fldChar w:fldCharType="end"/>
      </w:r>
      <w:r w:rsidR="08163013">
        <w:t xml:space="preserve">navazuje </w:t>
      </w:r>
      <w:r w:rsidR="08163013" w:rsidRPr="00273106">
        <w:t xml:space="preserve">dílo </w:t>
      </w:r>
      <w:r w:rsidR="08163013" w:rsidRPr="00273106">
        <w:rPr>
          <w:i/>
        </w:rPr>
        <w:t>Die Geschichte der Philosophie</w:t>
      </w:r>
      <w:r w:rsidR="08163013" w:rsidRPr="00273106">
        <w:t xml:space="preserve"> další tezí o dvojím záporu, který vytváří primární klad (</w:t>
      </w:r>
      <w:r w:rsidR="08163013" w:rsidRPr="00273106">
        <w:rPr>
          <w:i/>
        </w:rPr>
        <w:t>duplex negatio affirmat</w:t>
      </w:r>
      <w:r w:rsidR="08163013" w:rsidRPr="00273106">
        <w:t>; Hegel</w:t>
      </w:r>
      <w:r w:rsidR="08163013" w:rsidRPr="00273106">
        <w:rPr>
          <w:i/>
        </w:rPr>
        <w:t xml:space="preserve"> </w:t>
      </w:r>
      <w:r w:rsidR="08163013" w:rsidRPr="00273106">
        <w:t>20, 171</w:t>
      </w:r>
      <w:r w:rsidR="08163013">
        <w:fldChar w:fldCharType="begin"/>
      </w:r>
      <w:r w:rsidR="08163013">
        <w:instrText xml:space="preserve"> XE "Hegel:</w:instrText>
      </w:r>
      <w:r w:rsidR="08163013" w:rsidRPr="00AE6124">
        <w:rPr>
          <w:i/>
        </w:rPr>
        <w:instrText>Wissenchaft der Logik</w:instrText>
      </w:r>
      <w:r w:rsidR="08163013">
        <w:instrText xml:space="preserve"> 171" </w:instrText>
      </w:r>
      <w:r w:rsidR="08163013">
        <w:fldChar w:fldCharType="end"/>
      </w:r>
      <w:r w:rsidR="08163013" w:rsidRPr="00273106">
        <w:t>).</w:t>
      </w:r>
      <w:r w:rsidR="08163013">
        <w:t xml:space="preserve"> Klíčové pro vznik metafyziky </w:t>
      </w:r>
      <w:r w:rsidR="08163013" w:rsidRPr="008359C2">
        <w:rPr>
          <w:i/>
        </w:rPr>
        <w:t>Modernorum</w:t>
      </w:r>
      <w:r w:rsidR="08163013">
        <w:t xml:space="preserve"> je pokračování Gandavova citátu. Objektivní jsoucno se predikuje pomocí nové utvořené supozice (</w:t>
      </w:r>
      <w:r w:rsidR="08163013" w:rsidRPr="008359C2">
        <w:rPr>
          <w:i/>
        </w:rPr>
        <w:t>suppositum absolutum</w:t>
      </w:r>
      <w:r w:rsidR="08163013">
        <w:t xml:space="preserve">) podle Avicenny. </w:t>
      </w:r>
    </w:p>
    <w:p w:rsidR="08163013" w:rsidRDefault="08163013" w:rsidP="08163013">
      <w:pPr>
        <w:pStyle w:val="Citace"/>
        <w:rPr>
          <w:noProof/>
          <w:lang w:val="cs-CZ"/>
        </w:rPr>
      </w:pPr>
      <w:r>
        <w:t>„</w:t>
      </w:r>
      <w:r>
        <w:rPr>
          <w:lang w:val="cs-CZ"/>
        </w:rPr>
        <w:t>D</w:t>
      </w:r>
      <w:r>
        <w:rPr>
          <w:noProof/>
        </w:rPr>
        <w:t xml:space="preserve">vojitá negace </w:t>
      </w:r>
      <w:r>
        <w:rPr>
          <w:noProof/>
          <w:lang w:val="cs-CZ"/>
        </w:rPr>
        <w:t xml:space="preserve">vytváří čistě formální určení, které určuje druh formy daný za esencí. Tím </w:t>
      </w:r>
      <w:r w:rsidR="00807339">
        <w:rPr>
          <w:noProof/>
          <w:lang w:val="cs-CZ"/>
        </w:rPr>
        <w:t xml:space="preserve">negace </w:t>
      </w:r>
      <w:r>
        <w:rPr>
          <w:noProof/>
          <w:lang w:val="cs-CZ"/>
        </w:rPr>
        <w:t xml:space="preserve">zakládá absolutní formu supozice </w:t>
      </w:r>
      <w:r>
        <w:rPr>
          <w:noProof/>
        </w:rPr>
        <w:t>(</w:t>
      </w:r>
      <w:r w:rsidRPr="00895A9B">
        <w:rPr>
          <w:i/>
          <w:noProof/>
        </w:rPr>
        <w:t>constituitur suppositum absolutum</w:t>
      </w:r>
      <w:r>
        <w:rPr>
          <w:noProof/>
        </w:rPr>
        <w:t>)</w:t>
      </w:r>
      <w:r>
        <w:rPr>
          <w:noProof/>
          <w:lang w:val="cs-CZ"/>
        </w:rPr>
        <w:t xml:space="preserve">, které pravdivě predikuje objektivní </w:t>
      </w:r>
      <w:r w:rsidR="00E26389">
        <w:rPr>
          <w:noProof/>
          <w:lang w:val="cs-CZ"/>
        </w:rPr>
        <w:t xml:space="preserve">věc </w:t>
      </w:r>
      <w:r>
        <w:rPr>
          <w:noProof/>
        </w:rPr>
        <w:t>(</w:t>
      </w:r>
      <w:r w:rsidRPr="005D0300">
        <w:rPr>
          <w:i/>
          <w:noProof/>
        </w:rPr>
        <w:t>vere dicitur hoc aliquid</w:t>
      </w:r>
      <w:r>
        <w:rPr>
          <w:noProof/>
        </w:rPr>
        <w:t xml:space="preserve">) </w:t>
      </w:r>
      <w:r w:rsidR="00E26389">
        <w:rPr>
          <w:noProof/>
          <w:lang w:val="cs-CZ"/>
        </w:rPr>
        <w:t xml:space="preserve">danou v modu plně individualizované jsoucnosti </w:t>
      </w:r>
      <w:r>
        <w:rPr>
          <w:noProof/>
        </w:rPr>
        <w:t>(</w:t>
      </w:r>
      <w:r w:rsidRPr="005D0300">
        <w:rPr>
          <w:i/>
          <w:noProof/>
        </w:rPr>
        <w:t>tantum hoc</w:t>
      </w:r>
      <w:r>
        <w:rPr>
          <w:noProof/>
        </w:rPr>
        <w:t xml:space="preserve">). </w:t>
      </w:r>
      <w:r w:rsidR="00807339">
        <w:rPr>
          <w:noProof/>
          <w:lang w:val="cs-CZ"/>
        </w:rPr>
        <w:t>Toto jsoucno není</w:t>
      </w:r>
      <w:r w:rsidR="00807339">
        <w:rPr>
          <w:noProof/>
        </w:rPr>
        <w:t xml:space="preserve"> totiž n</w:t>
      </w:r>
      <w:r w:rsidR="00807339">
        <w:rPr>
          <w:noProof/>
          <w:lang w:val="cs-CZ"/>
        </w:rPr>
        <w:t>i</w:t>
      </w:r>
      <w:r>
        <w:rPr>
          <w:noProof/>
        </w:rPr>
        <w:t xml:space="preserve">čím jiným ani směrem do sebe, ani směrem navenek, </w:t>
      </w:r>
      <w:r w:rsidR="00807339">
        <w:rPr>
          <w:noProof/>
          <w:lang w:val="cs-CZ"/>
        </w:rPr>
        <w:t xml:space="preserve">proto </w:t>
      </w:r>
      <w:r>
        <w:rPr>
          <w:noProof/>
        </w:rPr>
        <w:t>nemůže být ničím jiným než tím, čím je (</w:t>
      </w:r>
      <w:r w:rsidRPr="005D0300">
        <w:rPr>
          <w:i/>
          <w:noProof/>
        </w:rPr>
        <w:t>sic nullo modo aliud quid</w:t>
      </w:r>
      <w:r>
        <w:rPr>
          <w:noProof/>
        </w:rPr>
        <w:t>).“</w:t>
      </w:r>
      <w:r>
        <w:rPr>
          <w:noProof/>
          <w:lang w:val="cs-CZ"/>
        </w:rPr>
        <w:t xml:space="preserve"> </w:t>
      </w:r>
      <w:r>
        <w:rPr>
          <w:rStyle w:val="Znakapoznpodarou"/>
        </w:rPr>
        <w:footnoteReference w:id="404"/>
      </w:r>
    </w:p>
    <w:p w:rsidR="003502F2" w:rsidRDefault="00E26389" w:rsidP="08163013">
      <w:r w:rsidRPr="00E26389">
        <w:t>Nová d</w:t>
      </w:r>
      <w:r>
        <w:t>eterminace provedla negaci species a tím vytvořila novou hypostáz</w:t>
      </w:r>
      <w:r w:rsidRPr="00E26389">
        <w:t>ovanou formu (</w:t>
      </w:r>
      <w:r w:rsidRPr="00E26389">
        <w:rPr>
          <w:i/>
        </w:rPr>
        <w:t>determinatione supra essentiam formae</w:t>
      </w:r>
      <w:r w:rsidRPr="00E26389">
        <w:t>). Tímto způsobem vznikla epochálně nová existence absolutně odděleného supozita</w:t>
      </w:r>
      <w:r>
        <w:fldChar w:fldCharType="begin"/>
      </w:r>
      <w:r>
        <w:instrText xml:space="preserve"> XE "</w:instrText>
      </w:r>
      <w:r w:rsidRPr="003B5FBB">
        <w:instrText>supozice:objektivní</w:instrText>
      </w:r>
      <w:r>
        <w:instrText xml:space="preserve">" </w:instrText>
      </w:r>
      <w:r>
        <w:fldChar w:fldCharType="end"/>
      </w:r>
      <w:r w:rsidRPr="00E26389">
        <w:t>, které má povahu čistého individua (</w:t>
      </w:r>
      <w:r w:rsidRPr="00E26389">
        <w:rPr>
          <w:i/>
        </w:rPr>
        <w:t>constituitur suppositum absolutum</w:t>
      </w:r>
      <w:r>
        <w:t xml:space="preserve">). </w:t>
      </w:r>
      <w:r w:rsidR="08163013" w:rsidRPr="00273106">
        <w:t xml:space="preserve">Neměnnost, pevnost a stálost objektivně definovaného jsoucna v jeho původní věcnosti </w:t>
      </w:r>
      <w:r w:rsidR="08163013">
        <w:t xml:space="preserve">je </w:t>
      </w:r>
      <w:r w:rsidR="08163013" w:rsidRPr="00273106">
        <w:t xml:space="preserve">daná negativně, jako zápor k </w:t>
      </w:r>
      <w:r w:rsidR="08163013">
        <w:t>čemukoliv jinému, co by nebylo ono samo</w:t>
      </w:r>
      <w:r w:rsidR="08163013" w:rsidRPr="00273106">
        <w:t xml:space="preserve"> (</w:t>
      </w:r>
      <w:r w:rsidR="08163013" w:rsidRPr="00273106">
        <w:rPr>
          <w:i/>
        </w:rPr>
        <w:t>non fit alioqua aliarum suae speciei</w:t>
      </w:r>
      <w:r w:rsidR="08163013" w:rsidRPr="00273106">
        <w:t>).</w:t>
      </w:r>
      <w:r w:rsidR="08163013">
        <w:t xml:space="preserve"> </w:t>
      </w:r>
      <w:r w:rsidR="00BA7C3D">
        <w:t>A</w:t>
      </w:r>
      <w:r w:rsidR="08163013" w:rsidRPr="00273106">
        <w:t xml:space="preserve">ktuální </w:t>
      </w:r>
      <w:r w:rsidR="08163013" w:rsidRPr="08CD3AFE">
        <w:t>j</w:t>
      </w:r>
      <w:r w:rsidR="08163013">
        <w:t>s</w:t>
      </w:r>
      <w:r w:rsidR="08163013" w:rsidRPr="08CD3AFE">
        <w:t>oucno</w:t>
      </w:r>
      <w:r w:rsidR="08163013">
        <w:rPr>
          <w:i/>
        </w:rPr>
        <w:t xml:space="preserve"> </w:t>
      </w:r>
      <w:r w:rsidR="08163013" w:rsidRPr="00273106">
        <w:t>dané v první substanci (Aristotelovo τόδε τι</w:t>
      </w:r>
      <w:r w:rsidR="08163013">
        <w:fldChar w:fldCharType="begin"/>
      </w:r>
      <w:r w:rsidR="08163013">
        <w:instrText xml:space="preserve"> XE "</w:instrText>
      </w:r>
      <w:r w:rsidR="08163013" w:rsidRPr="00E373E1">
        <w:instrText>substance:τόδε τι</w:instrText>
      </w:r>
      <w:r w:rsidR="08163013">
        <w:instrText xml:space="preserve">" </w:instrText>
      </w:r>
      <w:r w:rsidR="08163013">
        <w:fldChar w:fldCharType="end"/>
      </w:r>
      <w:r w:rsidR="08163013" w:rsidRPr="00273106">
        <w:t>) se stalo objektivní formou jsoucna (</w:t>
      </w:r>
      <w:r w:rsidR="08163013" w:rsidRPr="00273106">
        <w:rPr>
          <w:i/>
        </w:rPr>
        <w:t>tantum haec</w:t>
      </w:r>
      <w:r w:rsidR="08163013" w:rsidRPr="00273106">
        <w:t xml:space="preserve">). Tento </w:t>
      </w:r>
      <w:r w:rsidR="08163013">
        <w:t>nositel</w:t>
      </w:r>
      <w:r w:rsidR="08163013" w:rsidRPr="00273106">
        <w:t xml:space="preserve"> minimálního významu jsoucnosti </w:t>
      </w:r>
      <w:r w:rsidR="08163013">
        <w:t xml:space="preserve">v modu Porfýriova individua </w:t>
      </w:r>
      <w:r w:rsidR="08163013" w:rsidRPr="00273106">
        <w:t>je oddělen od existence reálné věci</w:t>
      </w:r>
      <w:r w:rsidR="08163013">
        <w:t xml:space="preserve"> dokonce dvakrát. Nejprve bylo třeba negovat aktualitu věci </w:t>
      </w:r>
      <w:r w:rsidR="00BA7C3D">
        <w:t>kvůli univerzalitě</w:t>
      </w:r>
      <w:r w:rsidR="08163013">
        <w:t xml:space="preserve"> formy. Druhá negace zbavila tuto formu specifického stvořeného obsahu a nechala jen absolutně čistý a od všeho oddělený </w:t>
      </w:r>
      <w:r w:rsidR="00F15F13">
        <w:t xml:space="preserve">objektivní </w:t>
      </w:r>
      <w:r w:rsidR="08163013">
        <w:t>význam, který univočně nahlíží moderní bůh i moderní subjekt. Henry vytvořil formálním způsobem dvojího záporu objektivní kopie reálných prvních substancí, které dostaly minimální míru jsoucnosti nutnou k tomu, aby byly identifikovány jako esence</w:t>
      </w:r>
      <w:r w:rsidR="08163013">
        <w:fldChar w:fldCharType="begin"/>
      </w:r>
      <w:r w:rsidR="08163013">
        <w:instrText xml:space="preserve"> XE "</w:instrText>
      </w:r>
      <w:r w:rsidR="08163013" w:rsidRPr="00DE2A32">
        <w:instrText>substance</w:instrText>
      </w:r>
      <w:r w:rsidR="08163013">
        <w:instrText xml:space="preserve">:objektivní" </w:instrText>
      </w:r>
      <w:r w:rsidR="08163013">
        <w:fldChar w:fldCharType="end"/>
      </w:r>
      <w:r w:rsidR="08163013">
        <w:t xml:space="preserve">. Toto oddělení od nicoty </w:t>
      </w:r>
      <w:r w:rsidR="08163013" w:rsidRPr="00273106">
        <w:t xml:space="preserve">tvoří základ </w:t>
      </w:r>
      <w:r w:rsidR="08163013">
        <w:t xml:space="preserve">moderní </w:t>
      </w:r>
      <w:r w:rsidR="08163013" w:rsidRPr="00273106">
        <w:t>jso</w:t>
      </w:r>
      <w:r w:rsidR="08163013">
        <w:t xml:space="preserve">ucnosti pojaté jako objektivně daná esence </w:t>
      </w:r>
      <w:r w:rsidR="08163013" w:rsidRPr="00273106">
        <w:t>(</w:t>
      </w:r>
      <w:r w:rsidR="08163013" w:rsidRPr="00273106">
        <w:rPr>
          <w:i/>
        </w:rPr>
        <w:t>quod vere dicitur hoc aliquid</w:t>
      </w:r>
      <w:r w:rsidR="003502F2">
        <w:t>).</w:t>
      </w:r>
    </w:p>
    <w:p w:rsidR="08163013" w:rsidRDefault="00FB3FD3" w:rsidP="003502F2">
      <w:pPr>
        <w:ind w:firstLine="397"/>
      </w:pPr>
      <w:r>
        <w:lastRenderedPageBreak/>
        <w:t xml:space="preserve">Produkce </w:t>
      </w:r>
      <w:r w:rsidR="08163013">
        <w:t xml:space="preserve">nového </w:t>
      </w:r>
      <w:r w:rsidR="005432D0" w:rsidRPr="00256A9C">
        <w:rPr>
          <w:i/>
        </w:rPr>
        <w:t>tertium ens</w:t>
      </w:r>
      <w:r w:rsidR="005432D0">
        <w:rPr>
          <w:i/>
        </w:rPr>
        <w:t xml:space="preserve"> </w:t>
      </w:r>
      <w:r>
        <w:t xml:space="preserve">založila </w:t>
      </w:r>
      <w:r w:rsidR="08163013">
        <w:t>nový diakosmos</w:t>
      </w:r>
      <w:r w:rsidR="08163013">
        <w:fldChar w:fldCharType="begin"/>
      </w:r>
      <w:r w:rsidR="08163013">
        <w:instrText xml:space="preserve"> XE "</w:instrText>
      </w:r>
      <w:r w:rsidR="08163013" w:rsidRPr="008501A7">
        <w:instrText>diakosmos</w:instrText>
      </w:r>
      <w:r w:rsidR="08163013">
        <w:instrText xml:space="preserve">" </w:instrText>
      </w:r>
      <w:r w:rsidR="08163013">
        <w:fldChar w:fldCharType="end"/>
      </w:r>
      <w:r>
        <w:t xml:space="preserve"> a novou</w:t>
      </w:r>
      <w:r w:rsidR="08163013">
        <w:t xml:space="preserve"> sfér</w:t>
      </w:r>
      <w:r>
        <w:t>u</w:t>
      </w:r>
      <w:r w:rsidR="08163013">
        <w:t xml:space="preserve"> objektivity. </w:t>
      </w:r>
      <w:r w:rsidR="08163013" w:rsidRPr="00273106">
        <w:t xml:space="preserve">Individuum </w:t>
      </w:r>
      <w:r w:rsidR="08163013">
        <w:t xml:space="preserve">jako minimální porce objektivně daného významu </w:t>
      </w:r>
      <w:r w:rsidR="08163013" w:rsidRPr="00273106">
        <w:t>je absolutní proto, že je odděleno od nicoty</w:t>
      </w:r>
      <w:r w:rsidR="08163013">
        <w:t xml:space="preserve">. </w:t>
      </w:r>
      <w:r w:rsidR="08163013" w:rsidRPr="00273106">
        <w:t xml:space="preserve">Formálním popřením nicoty </w:t>
      </w:r>
      <w:r w:rsidR="08163013">
        <w:t>a pomocí převedení nejsoucna na jsoucno je vytvořen koncept objekt</w:t>
      </w:r>
      <w:r w:rsidR="007F6B84">
        <w:t>ivní metafyziky, kterou převzal</w:t>
      </w:r>
      <w:r w:rsidR="08163013">
        <w:t xml:space="preserve"> a uprav</w:t>
      </w:r>
      <w:r w:rsidR="007F6B84">
        <w:t>il</w:t>
      </w:r>
      <w:r w:rsidR="08163013">
        <w:t xml:space="preserve"> Scotus</w:t>
      </w:r>
      <w:r w:rsidR="08163013" w:rsidRPr="00273106">
        <w:t xml:space="preserve">. </w:t>
      </w:r>
      <w:r w:rsidR="08163013">
        <w:t>Metoda absolutní supozice za</w:t>
      </w:r>
      <w:r w:rsidR="0035120B">
        <w:t xml:space="preserve">ložila </w:t>
      </w:r>
      <w:r w:rsidR="08163013">
        <w:t xml:space="preserve">první konstrukci moderní metafyziky. </w:t>
      </w:r>
      <w:r w:rsidR="08163013" w:rsidRPr="00273106">
        <w:t xml:space="preserve">Připomeňme, že v klasické metafyzice mohla být </w:t>
      </w:r>
      <w:r w:rsidR="08163013">
        <w:t>nositel</w:t>
      </w:r>
      <w:r w:rsidR="08163013" w:rsidRPr="00273106">
        <w:t xml:space="preserve">em </w:t>
      </w:r>
      <w:r w:rsidR="08163013">
        <w:t xml:space="preserve">abstraktních určení typu </w:t>
      </w:r>
      <w:r w:rsidR="08163013" w:rsidRPr="00273106">
        <w:t>běloby</w:t>
      </w:r>
      <w:r w:rsidR="08163013">
        <w:fldChar w:fldCharType="begin"/>
      </w:r>
      <w:r w:rsidR="08163013">
        <w:instrText xml:space="preserve"> XE "</w:instrText>
      </w:r>
      <w:r w:rsidR="08163013" w:rsidRPr="008A4EEA">
        <w:instrText>predikace:běloba</w:instrText>
      </w:r>
      <w:r w:rsidR="08163013">
        <w:instrText xml:space="preserve">" </w:instrText>
      </w:r>
      <w:r w:rsidR="08163013">
        <w:fldChar w:fldCharType="end"/>
      </w:r>
      <w:r w:rsidR="08163013" w:rsidRPr="00273106">
        <w:t xml:space="preserve"> jen aktuální substance (Aristotelovo ὑποκείμενον). Absolutní význam nové formy věcnosti je daný v modu pravdivosti jako </w:t>
      </w:r>
      <w:r w:rsidR="08163013" w:rsidRPr="00273106">
        <w:rPr>
          <w:i/>
        </w:rPr>
        <w:t>rectitudo</w:t>
      </w:r>
      <w:r w:rsidR="08163013">
        <w:rPr>
          <w:i/>
        </w:rPr>
        <w:fldChar w:fldCharType="begin"/>
      </w:r>
      <w:r w:rsidR="08163013">
        <w:instrText xml:space="preserve"> XE "pravda:</w:instrText>
      </w:r>
      <w:r w:rsidR="08163013" w:rsidRPr="00AE1EDB">
        <w:rPr>
          <w:i/>
        </w:rPr>
        <w:instrText>rectitudo</w:instrText>
      </w:r>
      <w:r w:rsidR="08163013">
        <w:instrText xml:space="preserve">" </w:instrText>
      </w:r>
      <w:r w:rsidR="08163013">
        <w:rPr>
          <w:i/>
        </w:rPr>
        <w:fldChar w:fldCharType="end"/>
      </w:r>
      <w:r w:rsidR="08163013">
        <w:t>. Chiméra</w:t>
      </w:r>
      <w:r w:rsidR="08163013">
        <w:fldChar w:fldCharType="begin"/>
      </w:r>
      <w:r w:rsidR="08163013">
        <w:instrText xml:space="preserve"> XE "</w:instrText>
      </w:r>
      <w:r w:rsidR="08163013" w:rsidRPr="009316B3">
        <w:instrText>chiméra</w:instrText>
      </w:r>
      <w:r w:rsidR="08163013">
        <w:instrText xml:space="preserve">" </w:instrText>
      </w:r>
      <w:r w:rsidR="08163013">
        <w:fldChar w:fldCharType="end"/>
      </w:r>
      <w:r w:rsidR="08163013">
        <w:t xml:space="preserve"> reálně neexistuje, takže její pravda v modu metafyzické adekvace také neexistuje. Objektivní jsoucno vzniklo z logicky intendované nicoty skrze dvojité popření první substance. První zápor oddělil objektivní esenci od </w:t>
      </w:r>
      <w:proofErr w:type="gramStart"/>
      <w:r w:rsidR="08163013">
        <w:t>reality  druhý</w:t>
      </w:r>
      <w:proofErr w:type="gramEnd"/>
      <w:r w:rsidR="08163013">
        <w:t xml:space="preserve"> od nicoty. Proto je objektivní esence predikována v modu logického simulákra</w:t>
      </w:r>
      <w:r w:rsidR="08163013">
        <w:fldChar w:fldCharType="begin"/>
      </w:r>
      <w:r w:rsidR="08163013">
        <w:instrText xml:space="preserve"> XE "</w:instrText>
      </w:r>
      <w:r w:rsidR="08163013" w:rsidRPr="00C2134D">
        <w:instrText>simulákrum</w:instrText>
      </w:r>
      <w:r w:rsidR="08163013">
        <w:instrText xml:space="preserve">" </w:instrText>
      </w:r>
      <w:r w:rsidR="08163013">
        <w:fldChar w:fldCharType="end"/>
      </w:r>
      <w:r w:rsidR="08163013">
        <w:t xml:space="preserve">, které je odděleno od všech ostatních typů predikace </w:t>
      </w:r>
      <w:r w:rsidR="08163013" w:rsidRPr="00273106">
        <w:t>(</w:t>
      </w:r>
      <w:r w:rsidR="08163013" w:rsidRPr="00273106">
        <w:rPr>
          <w:i/>
        </w:rPr>
        <w:t>suppositum absolutum</w:t>
      </w:r>
      <w:r w:rsidR="08163013" w:rsidRPr="00273106">
        <w:t>)</w:t>
      </w:r>
      <w:r w:rsidR="08163013">
        <w:t xml:space="preserve">. </w:t>
      </w:r>
      <w:r w:rsidR="08163013" w:rsidRPr="00273106">
        <w:t xml:space="preserve">Objektivní pravdivost se manifestuje </w:t>
      </w:r>
      <w:r w:rsidR="08163013">
        <w:t>díky novému typu predikace</w:t>
      </w:r>
      <w:r w:rsidR="08163013">
        <w:fldChar w:fldCharType="begin"/>
      </w:r>
      <w:r w:rsidR="08163013">
        <w:instrText xml:space="preserve"> XE "</w:instrText>
      </w:r>
      <w:r w:rsidR="08163013" w:rsidRPr="00632583">
        <w:instrText>predikace:objektivní</w:instrText>
      </w:r>
      <w:r w:rsidR="08163013">
        <w:instrText xml:space="preserve">" </w:instrText>
      </w:r>
      <w:r w:rsidR="08163013">
        <w:fldChar w:fldCharType="end"/>
      </w:r>
      <w:r w:rsidR="08163013">
        <w:t xml:space="preserve"> </w:t>
      </w:r>
      <w:r w:rsidR="08163013" w:rsidRPr="00273106">
        <w:t xml:space="preserve">jsoucna daného objektivně. </w:t>
      </w:r>
      <w:r w:rsidR="00544C7F">
        <w:t>A</w:t>
      </w:r>
      <w:r w:rsidR="08163013">
        <w:t>nalytick</w:t>
      </w:r>
      <w:r w:rsidR="00544C7F">
        <w:t xml:space="preserve">á </w:t>
      </w:r>
      <w:r w:rsidR="08163013">
        <w:t xml:space="preserve">filosofie </w:t>
      </w:r>
      <w:r w:rsidR="00544C7F">
        <w:t xml:space="preserve">Oxfordu </w:t>
      </w:r>
      <w:r w:rsidR="08163013">
        <w:t>(</w:t>
      </w:r>
      <w:r w:rsidR="08163013" w:rsidRPr="00273106">
        <w:rPr>
          <w:i/>
        </w:rPr>
        <w:t>suppositio discret</w:t>
      </w:r>
      <w:r w:rsidR="00EB3C5F">
        <w:rPr>
          <w:i/>
        </w:rPr>
        <w:t>a</w:t>
      </w:r>
      <w:r w:rsidR="00EB3C5F">
        <w:t>;</w:t>
      </w:r>
      <w:r w:rsidR="00EB3C5F">
        <w:rPr>
          <w:i/>
        </w:rPr>
        <w:t xml:space="preserve"> </w:t>
      </w:r>
      <w:r w:rsidR="00EB3C5F" w:rsidRPr="00CF2092">
        <w:rPr>
          <w:szCs w:val="24"/>
        </w:rPr>
        <w:t>OBJ II, Kap. 3.4.3</w:t>
      </w:r>
      <w:r w:rsidR="08163013">
        <w:t xml:space="preserve">) </w:t>
      </w:r>
      <w:r w:rsidR="00544C7F">
        <w:t xml:space="preserve">přešla </w:t>
      </w:r>
      <w:r w:rsidR="08163013">
        <w:t>do systému augustiniánské ontoteologie a avicennistické metafyziky</w:t>
      </w:r>
      <w:r w:rsidR="00544C7F">
        <w:t xml:space="preserve">. Konverzí logiky na metafyziku vznikla </w:t>
      </w:r>
      <w:r w:rsidR="08163013">
        <w:t xml:space="preserve">nová podoba Avicennova </w:t>
      </w:r>
      <w:r w:rsidR="00544C7F">
        <w:t>„</w:t>
      </w:r>
      <w:r w:rsidR="00544C7F">
        <w:rPr>
          <w:i/>
        </w:rPr>
        <w:t>hoc esse tantum</w:t>
      </w:r>
      <w:r w:rsidR="00544C7F">
        <w:t>“</w:t>
      </w:r>
      <w:r w:rsidR="08163013">
        <w:rPr>
          <w:i/>
        </w:rPr>
        <w:fldChar w:fldCharType="begin"/>
      </w:r>
      <w:r w:rsidR="08163013">
        <w:instrText xml:space="preserve"> XE "</w:instrText>
      </w:r>
      <w:r w:rsidR="08163013" w:rsidRPr="005A071C">
        <w:rPr>
          <w:i/>
          <w:lang w:eastAsia="en-US"/>
        </w:rPr>
        <w:instrText>hoc esse tantum</w:instrText>
      </w:r>
      <w:r w:rsidR="08163013">
        <w:instrText xml:space="preserve">" </w:instrText>
      </w:r>
      <w:r w:rsidR="08163013">
        <w:rPr>
          <w:i/>
        </w:rPr>
        <w:fldChar w:fldCharType="end"/>
      </w:r>
      <w:r w:rsidR="08163013">
        <w:t xml:space="preserve"> a Rufusova </w:t>
      </w:r>
      <w:r w:rsidR="00544C7F">
        <w:t>„</w:t>
      </w:r>
      <w:r w:rsidR="00962190">
        <w:rPr>
          <w:i/>
        </w:rPr>
        <w:t>species</w:t>
      </w:r>
      <w:r w:rsidR="08163013">
        <w:rPr>
          <w:i/>
        </w:rPr>
        <w:t xml:space="preserve"> obiecti exsistentis</w:t>
      </w:r>
      <w:r w:rsidR="00544C7F">
        <w:t>“</w:t>
      </w:r>
      <w:r w:rsidR="08163013">
        <w:t xml:space="preserve">. Gandavus odmítl primitivní formu oxfordského univerzálního hylemorfismu, který byl v Paříži po roce 1270 naprosto nepřijatelný. Zavedením objektivní emanace a predikace vytvořil tento latinský sofista nový paralelní svět moderny, který má vlastní způsob poznání, vlastní jsoucno, vlastní pojetí pravdy a vlastní typ kategoriální predikace. </w:t>
      </w:r>
      <w:r w:rsidR="08163013" w:rsidRPr="00273106">
        <w:t>Uzávorkováním první substance při novém určení jsoucna musí její roli převést božský nebo lidský subjekt, jinak by moderní metafyzika neměla vůbec žádný základ. Garantovat nicotu jako základ bytí pro metafyzický nihilismus</w:t>
      </w:r>
      <w:r w:rsidR="08163013">
        <w:fldChar w:fldCharType="begin"/>
      </w:r>
      <w:r w:rsidR="08163013">
        <w:instrText xml:space="preserve"> XE "</w:instrText>
      </w:r>
      <w:r w:rsidR="08163013" w:rsidRPr="00932BB8">
        <w:instrText>metafyzika:nihilismus</w:instrText>
      </w:r>
      <w:r w:rsidR="08163013">
        <w:instrText xml:space="preserve">" </w:instrText>
      </w:r>
      <w:r w:rsidR="08163013">
        <w:fldChar w:fldCharType="end"/>
      </w:r>
      <w:r w:rsidR="08163013" w:rsidRPr="00273106">
        <w:t xml:space="preserve"> moderny (</w:t>
      </w:r>
      <w:r w:rsidR="08163013">
        <w:t xml:space="preserve">viz </w:t>
      </w:r>
      <w:r w:rsidR="08163013" w:rsidRPr="00273106">
        <w:t xml:space="preserve">Heideggerovo </w:t>
      </w:r>
      <w:r w:rsidR="08163013" w:rsidRPr="00273106">
        <w:rPr>
          <w:i/>
        </w:rPr>
        <w:t>Gründung</w:t>
      </w:r>
      <w:r w:rsidR="08163013" w:rsidRPr="00273106">
        <w:t>) může jen božský nebo lidský subjekt, nikoliv kosmos složený z existujících jsoucen. Převedením smyslu jsoucna do subjekt-objektového vztahu začíná nihilismus západní metafyziky</w:t>
      </w:r>
      <w:r w:rsidR="08163013" w:rsidRPr="00C22D94">
        <w:t xml:space="preserve"> </w:t>
      </w:r>
      <w:r w:rsidR="08163013" w:rsidRPr="00273106">
        <w:t>daný</w:t>
      </w:r>
      <w:r w:rsidR="08163013" w:rsidRPr="00C22D94">
        <w:t xml:space="preserve"> </w:t>
      </w:r>
      <w:r w:rsidR="08163013">
        <w:t xml:space="preserve">již nikoliv pouze vůlí jako u Oliviho, ale čistě </w:t>
      </w:r>
      <w:r w:rsidR="08163013" w:rsidRPr="00273106">
        <w:t>konceptuálně.</w:t>
      </w:r>
      <w:r w:rsidR="08163013">
        <w:t xml:space="preserve"> Analýza Gandavova  </w:t>
      </w:r>
      <w:r w:rsidR="08163013" w:rsidRPr="00612EBC">
        <w:rPr>
          <w:i/>
        </w:rPr>
        <w:t>Quodlibet</w:t>
      </w:r>
      <w:r w:rsidR="08163013">
        <w:t xml:space="preserve"> V, q. 8 potvrzuje Courtinovu tezi ohledně vývoje </w:t>
      </w:r>
      <w:r w:rsidR="002C23EA">
        <w:t>tzv. „</w:t>
      </w:r>
      <w:r w:rsidR="08163013" w:rsidRPr="00D45C06">
        <w:rPr>
          <w:i/>
        </w:rPr>
        <w:t>objectité</w:t>
      </w:r>
      <w:r w:rsidR="002C23EA">
        <w:t>“</w:t>
      </w:r>
      <w:r w:rsidR="08163013">
        <w:rPr>
          <w:i/>
        </w:rPr>
        <w:fldChar w:fldCharType="begin"/>
      </w:r>
      <w:r w:rsidR="08163013">
        <w:instrText xml:space="preserve"> XE "</w:instrText>
      </w:r>
      <w:r w:rsidR="08163013" w:rsidRPr="00C256A0">
        <w:instrText>objektivita</w:instrText>
      </w:r>
      <w:r w:rsidR="08163013" w:rsidRPr="00AB6EA5">
        <w:rPr>
          <w:i/>
        </w:rPr>
        <w:instrText>:objectité</w:instrText>
      </w:r>
      <w:r w:rsidR="08163013">
        <w:instrText xml:space="preserve">" </w:instrText>
      </w:r>
      <w:r w:rsidR="08163013">
        <w:rPr>
          <w:i/>
        </w:rPr>
        <w:fldChar w:fldCharType="end"/>
      </w:r>
      <w:r w:rsidR="008C0C9D">
        <w:t xml:space="preserve">. Tato primární objektivita </w:t>
      </w:r>
      <w:r w:rsidR="08163013">
        <w:t>vznikl</w:t>
      </w:r>
      <w:r w:rsidR="008C0C9D">
        <w:t>a</w:t>
      </w:r>
      <w:r w:rsidR="08163013">
        <w:t xml:space="preserve"> v průběhu systematizace </w:t>
      </w:r>
      <w:r w:rsidR="007343D9">
        <w:t xml:space="preserve">nové </w:t>
      </w:r>
      <w:r w:rsidR="08163013">
        <w:t xml:space="preserve">metafyziky, kterou modernisté nakonec definovali jako </w:t>
      </w:r>
      <w:r w:rsidR="08163013" w:rsidRPr="00D45C06">
        <w:rPr>
          <w:i/>
        </w:rPr>
        <w:t>scientia transcendens</w:t>
      </w:r>
      <w:r w:rsidR="08163013">
        <w:rPr>
          <w:i/>
        </w:rPr>
        <w:fldChar w:fldCharType="begin"/>
      </w:r>
      <w:r w:rsidR="08163013">
        <w:instrText xml:space="preserve"> XE "metafyzika:</w:instrText>
      </w:r>
      <w:r w:rsidR="08163013" w:rsidRPr="00853790">
        <w:rPr>
          <w:i/>
        </w:rPr>
        <w:instrText>scientia transcendens</w:instrText>
      </w:r>
      <w:r w:rsidR="08163013">
        <w:instrText xml:space="preserve">" </w:instrText>
      </w:r>
      <w:r w:rsidR="08163013">
        <w:rPr>
          <w:i/>
        </w:rPr>
        <w:fldChar w:fldCharType="end"/>
      </w:r>
      <w:r w:rsidR="08163013">
        <w:t xml:space="preserve">. </w:t>
      </w:r>
      <w:r w:rsidR="004C7E42">
        <w:t xml:space="preserve">První postmodernista </w:t>
      </w:r>
      <w:r w:rsidR="08163013">
        <w:t>Suárez</w:t>
      </w:r>
      <w:r w:rsidR="08163013">
        <w:fldChar w:fldCharType="begin"/>
      </w:r>
      <w:r w:rsidR="08163013">
        <w:instrText xml:space="preserve"> XE </w:instrText>
      </w:r>
      <w:r w:rsidR="08163013">
        <w:lastRenderedPageBreak/>
        <w:instrText>"Suárez</w:instrText>
      </w:r>
      <w:r w:rsidR="08163013" w:rsidRPr="00E73967">
        <w:instrText>, F.</w:instrText>
      </w:r>
      <w:r w:rsidR="08163013">
        <w:instrText xml:space="preserve">" </w:instrText>
      </w:r>
      <w:r w:rsidR="08163013">
        <w:fldChar w:fldCharType="end"/>
      </w:r>
      <w:r w:rsidR="08163013">
        <w:t xml:space="preserve"> nakonec zařadil plně objektivizovanou teologii do struktury </w:t>
      </w:r>
      <w:r w:rsidR="08163013" w:rsidRPr="00D45C06">
        <w:rPr>
          <w:i/>
        </w:rPr>
        <w:t>metaphysica generalis</w:t>
      </w:r>
      <w:r w:rsidR="08163013">
        <w:t xml:space="preserve">. Viz schéma struktury určení jsoucna v moderní první vědě (Courtine  1990, 429). </w:t>
      </w:r>
      <w:r w:rsidR="08163013" w:rsidRPr="00273106">
        <w:t xml:space="preserve">V </w:t>
      </w:r>
      <w:r w:rsidR="08163013">
        <w:t xml:space="preserve">nihilistické </w:t>
      </w:r>
      <w:r w:rsidR="000A5D86">
        <w:t xml:space="preserve">epoše po </w:t>
      </w:r>
      <w:proofErr w:type="gramStart"/>
      <w:r w:rsidR="08163013">
        <w:t>Descartovi</w:t>
      </w:r>
      <w:proofErr w:type="gramEnd"/>
      <w:r w:rsidR="08163013">
        <w:t xml:space="preserve"> </w:t>
      </w:r>
      <w:r w:rsidR="000A5D86">
        <w:t xml:space="preserve">převzala </w:t>
      </w:r>
      <w:r w:rsidR="08163013" w:rsidRPr="00273106">
        <w:t xml:space="preserve">tuto dvojí funkci určování (všeobecné, partikulární) </w:t>
      </w:r>
      <w:r w:rsidR="08163013">
        <w:t xml:space="preserve">jednak </w:t>
      </w:r>
      <w:r w:rsidR="08163013" w:rsidRPr="00273106">
        <w:t>matematika</w:t>
      </w:r>
      <w:r w:rsidR="08163013">
        <w:fldChar w:fldCharType="begin"/>
      </w:r>
      <w:r w:rsidR="08163013">
        <w:instrText xml:space="preserve"> XE "</w:instrText>
      </w:r>
      <w:r w:rsidR="08163013" w:rsidRPr="00DC040D">
        <w:instrText>matematika</w:instrText>
      </w:r>
      <w:r w:rsidR="08163013">
        <w:instrText xml:space="preserve">" </w:instrText>
      </w:r>
      <w:r w:rsidR="08163013">
        <w:fldChar w:fldCharType="end"/>
      </w:r>
      <w:r w:rsidR="08163013" w:rsidRPr="00273106">
        <w:t xml:space="preserve"> a </w:t>
      </w:r>
      <w:r w:rsidR="08163013">
        <w:t xml:space="preserve">jednak </w:t>
      </w:r>
      <w:r w:rsidR="08163013" w:rsidRPr="00273106">
        <w:t>univerzálně aplikovatelná</w:t>
      </w:r>
      <w:r w:rsidR="08163013">
        <w:t xml:space="preserve"> </w:t>
      </w:r>
      <w:r w:rsidR="08163013" w:rsidRPr="00377278">
        <w:rPr>
          <w:i/>
        </w:rPr>
        <w:t>Unified</w:t>
      </w:r>
      <w:r w:rsidR="08163013">
        <w:rPr>
          <w:i/>
        </w:rPr>
        <w:t xml:space="preserve"> S</w:t>
      </w:r>
      <w:r w:rsidR="08163013" w:rsidRPr="00912AAE">
        <w:rPr>
          <w:i/>
        </w:rPr>
        <w:t>cience</w:t>
      </w:r>
      <w:r w:rsidR="08163013">
        <w:rPr>
          <w:i/>
        </w:rPr>
        <w:fldChar w:fldCharType="begin"/>
      </w:r>
      <w:r w:rsidR="08163013">
        <w:instrText xml:space="preserve"> XE "</w:instrText>
      </w:r>
      <w:r w:rsidR="08163013">
        <w:rPr>
          <w:i/>
        </w:rPr>
        <w:instrText>Unified S</w:instrText>
      </w:r>
      <w:r w:rsidR="08163013" w:rsidRPr="00B70114">
        <w:rPr>
          <w:i/>
        </w:rPr>
        <w:instrText>cience</w:instrText>
      </w:r>
      <w:r w:rsidR="08163013">
        <w:instrText xml:space="preserve">" </w:instrText>
      </w:r>
      <w:r w:rsidR="08163013">
        <w:rPr>
          <w:i/>
        </w:rPr>
        <w:fldChar w:fldCharType="end"/>
      </w:r>
      <w:r w:rsidR="08163013" w:rsidRPr="00273106">
        <w:t>.</w:t>
      </w:r>
    </w:p>
    <w:p w:rsidR="08163013" w:rsidRPr="00273106" w:rsidRDefault="00EB2CE9" w:rsidP="08163013">
      <w:pPr>
        <w:pStyle w:val="Nadpis3"/>
      </w:pPr>
      <w:bookmarkStart w:id="82" w:name="_Toc36144161"/>
      <w:r>
        <w:br w:type="page"/>
      </w:r>
      <w:bookmarkStart w:id="83" w:name="_Toc180231673"/>
      <w:r w:rsidR="08163013">
        <w:lastRenderedPageBreak/>
        <w:t>5</w:t>
      </w:r>
      <w:r w:rsidR="08163013" w:rsidRPr="00273106">
        <w:t>.2.2 Objektivní správnost jsoucna</w:t>
      </w:r>
      <w:bookmarkEnd w:id="82"/>
      <w:bookmarkEnd w:id="83"/>
    </w:p>
    <w:p w:rsidR="00804F91" w:rsidRDefault="08163013" w:rsidP="08163013">
      <w:r w:rsidRPr="00273106">
        <w:t>P</w:t>
      </w:r>
      <w:r w:rsidRPr="00273106">
        <w:rPr>
          <w:rStyle w:val="TextpoznpodarouChar"/>
        </w:rPr>
        <w:t xml:space="preserve">o roce 1277 vznikla </w:t>
      </w:r>
      <w:r>
        <w:rPr>
          <w:rStyle w:val="TextpoznpodarouChar"/>
        </w:rPr>
        <w:t xml:space="preserve">nová </w:t>
      </w:r>
      <w:r w:rsidRPr="00273106">
        <w:rPr>
          <w:rStyle w:val="TextpoznpodarouChar"/>
        </w:rPr>
        <w:t xml:space="preserve">forma </w:t>
      </w:r>
      <w:r>
        <w:rPr>
          <w:rStyle w:val="TextpoznpodarouChar"/>
        </w:rPr>
        <w:t xml:space="preserve">objektivního </w:t>
      </w:r>
      <w:r w:rsidRPr="00273106">
        <w:rPr>
          <w:rStyle w:val="TextpoznpodarouChar"/>
        </w:rPr>
        <w:t xml:space="preserve">antropoformismu, která přestala respektovat základní tezi </w:t>
      </w:r>
      <w:r w:rsidRPr="087F405C">
        <w:rPr>
          <w:rStyle w:val="TextpoznpodarouChar"/>
          <w:i/>
        </w:rPr>
        <w:t>Druhých analytik</w:t>
      </w:r>
      <w:r w:rsidRPr="00273106">
        <w:rPr>
          <w:rStyle w:val="TextpoznpodarouChar"/>
        </w:rPr>
        <w:t xml:space="preserve"> o nemožnosti přechodu poznání z jednoho rodu na druhý. Tezi </w:t>
      </w:r>
      <w:r>
        <w:rPr>
          <w:rStyle w:val="TextpoznpodarouChar"/>
        </w:rPr>
        <w:t xml:space="preserve">o oddělení filosofie a teologie jako odlišných rodů daných v </w:t>
      </w:r>
      <w:proofErr w:type="gramStart"/>
      <w:r>
        <w:rPr>
          <w:rStyle w:val="TextpoznpodarouChar"/>
        </w:rPr>
        <w:t>rámci  odlišných</w:t>
      </w:r>
      <w:proofErr w:type="gramEnd"/>
      <w:r>
        <w:rPr>
          <w:rStyle w:val="TextpoznpodarouChar"/>
        </w:rPr>
        <w:t xml:space="preserve"> věd ještě uhájili pařížš</w:t>
      </w:r>
      <w:r w:rsidRPr="00273106">
        <w:rPr>
          <w:rStyle w:val="TextpoznpodarouChar"/>
        </w:rPr>
        <w:t>tí magistři se Sigerem pomocí dekretu z</w:t>
      </w:r>
      <w:r>
        <w:rPr>
          <w:rStyle w:val="TextpoznpodarouChar"/>
        </w:rPr>
        <w:t xml:space="preserve"> dubna </w:t>
      </w:r>
      <w:r w:rsidRPr="00273106">
        <w:t>1272</w:t>
      </w:r>
      <w:r>
        <w:rPr>
          <w:szCs w:val="24"/>
        </w:rPr>
        <w:fldChar w:fldCharType="begin"/>
      </w:r>
      <w:r>
        <w:instrText xml:space="preserve"> XE "</w:instrText>
      </w:r>
      <w:r w:rsidRPr="00FD37CA">
        <w:rPr>
          <w:szCs w:val="24"/>
        </w:rPr>
        <w:instrText>dekret artistů 1272</w:instrText>
      </w:r>
      <w:r>
        <w:instrText xml:space="preserve">" </w:instrText>
      </w:r>
      <w:r>
        <w:rPr>
          <w:szCs w:val="24"/>
        </w:rPr>
        <w:fldChar w:fldCharType="end"/>
      </w:r>
      <w:r>
        <w:rPr>
          <w:rStyle w:val="TextpoznpodarouChar"/>
        </w:rPr>
        <w:t xml:space="preserve">. </w:t>
      </w:r>
      <w:r w:rsidRPr="00273106">
        <w:rPr>
          <w:rStyle w:val="TextpoznpodarouChar"/>
        </w:rPr>
        <w:t xml:space="preserve">Ale druhý averroismus </w:t>
      </w:r>
      <w:r>
        <w:rPr>
          <w:rStyle w:val="TextpoznpodarouChar"/>
        </w:rPr>
        <w:t xml:space="preserve">mocensky zvítězil, a tím </w:t>
      </w:r>
      <w:r w:rsidRPr="00273106">
        <w:rPr>
          <w:rStyle w:val="TextpoznpodarouChar"/>
        </w:rPr>
        <w:t xml:space="preserve">i </w:t>
      </w:r>
      <w:r>
        <w:rPr>
          <w:rStyle w:val="TextpoznpodarouChar"/>
        </w:rPr>
        <w:t xml:space="preserve">moderní </w:t>
      </w:r>
      <w:r w:rsidRPr="00273106">
        <w:rPr>
          <w:rStyle w:val="TextpoznpodarouChar"/>
        </w:rPr>
        <w:t>éra filosoficko-teologických sofismat a fabulací, které odmítl</w:t>
      </w:r>
      <w:r>
        <w:rPr>
          <w:rStyle w:val="TextpoznpodarouChar"/>
        </w:rPr>
        <w:t>i</w:t>
      </w:r>
      <w:r w:rsidRPr="00273106">
        <w:rPr>
          <w:rStyle w:val="TextpoznpodarouChar"/>
        </w:rPr>
        <w:t xml:space="preserve"> představitelé </w:t>
      </w:r>
      <w:r>
        <w:rPr>
          <w:rStyle w:val="TextpoznpodarouChar"/>
        </w:rPr>
        <w:t>prvního averroismu. G</w:t>
      </w:r>
      <w:r w:rsidRPr="00273106">
        <w:rPr>
          <w:rStyle w:val="TextpoznpodarouChar"/>
        </w:rPr>
        <w:t xml:space="preserve">enerace modernistů </w:t>
      </w:r>
      <w:r>
        <w:rPr>
          <w:rStyle w:val="TextpoznpodarouChar"/>
        </w:rPr>
        <w:t xml:space="preserve">působící v Paříži po roce 1277 musela uspořádat </w:t>
      </w:r>
      <w:r w:rsidRPr="00273106">
        <w:rPr>
          <w:rStyle w:val="TextpoznpodarouChar"/>
        </w:rPr>
        <w:t xml:space="preserve">chaotická určení </w:t>
      </w:r>
      <w:r w:rsidRPr="00E43755">
        <w:rPr>
          <w:rStyle w:val="TextpoznpodarouChar"/>
          <w:i/>
        </w:rPr>
        <w:t>tertium ens</w:t>
      </w:r>
      <w:r>
        <w:rPr>
          <w:rStyle w:val="TextpoznpodarouChar"/>
          <w:i/>
        </w:rPr>
        <w:fldChar w:fldCharType="begin"/>
      </w:r>
      <w:r>
        <w:instrText xml:space="preserve"> XE "</w:instrText>
      </w:r>
      <w:r w:rsidRPr="002F10B4">
        <w:rPr>
          <w:rStyle w:val="Zvraznn"/>
        </w:rPr>
        <w:instrText>tertium ens</w:instrText>
      </w:r>
      <w:r>
        <w:rPr>
          <w:rStyle w:val="Zvraznn"/>
        </w:rPr>
        <w:instrText>:</w:instrText>
      </w:r>
      <w:r w:rsidRPr="00481953">
        <w:rPr>
          <w:rStyle w:val="Zvraznn"/>
          <w:i w:val="0"/>
        </w:rPr>
        <w:instrText>Gandavus</w:instrText>
      </w:r>
      <w:r>
        <w:instrText xml:space="preserve">" </w:instrText>
      </w:r>
      <w:r>
        <w:rPr>
          <w:rStyle w:val="TextpoznpodarouChar"/>
          <w:i/>
        </w:rPr>
        <w:fldChar w:fldCharType="end"/>
      </w:r>
      <w:r w:rsidRPr="00273106">
        <w:rPr>
          <w:rStyle w:val="TextpoznpodarouChar"/>
        </w:rPr>
        <w:t xml:space="preserve"> do jednotného systému</w:t>
      </w:r>
      <w:r>
        <w:rPr>
          <w:rStyle w:val="TextpoznpodarouChar"/>
        </w:rPr>
        <w:t>, který se stal formálně aristotelským</w:t>
      </w:r>
      <w:r>
        <w:t xml:space="preserve">. Predikace </w:t>
      </w:r>
      <w:r w:rsidR="001849FE">
        <w:t xml:space="preserve">nejrůznějších </w:t>
      </w:r>
      <w:r>
        <w:t xml:space="preserve">objektivních jsoucen v paralelním diakosmu </w:t>
      </w:r>
      <w:r w:rsidRPr="08B003FB">
        <w:rPr>
          <w:i/>
        </w:rPr>
        <w:t>Modernorum</w:t>
      </w:r>
      <w:r>
        <w:t xml:space="preserve"> musela dostat nějaký řád. V opačném případě by byla druhá generace modernistů obviněna z hereze prvních modernistů, kterou zmiňovala preambule Tempierova dekretu (</w:t>
      </w:r>
      <w:r w:rsidRPr="08B003FB">
        <w:rPr>
          <w:i/>
        </w:rPr>
        <w:t>manifestos et execrabiles errores, immo potius vanitates et insanias falsas</w:t>
      </w:r>
      <w:r w:rsidR="001849FE">
        <w:t>, kap. 4</w:t>
      </w:r>
      <w:r>
        <w:t xml:space="preserve">.4.4). Gandavus udělal na </w:t>
      </w:r>
      <w:proofErr w:type="gramStart"/>
      <w:r>
        <w:rPr>
          <w:i/>
        </w:rPr>
        <w:t>via</w:t>
      </w:r>
      <w:proofErr w:type="gramEnd"/>
      <w:r>
        <w:rPr>
          <w:i/>
        </w:rPr>
        <w:t xml:space="preserve"> Mode</w:t>
      </w:r>
      <w:r w:rsidRPr="08BC4F3B">
        <w:rPr>
          <w:i/>
        </w:rPr>
        <w:t>r</w:t>
      </w:r>
      <w:r>
        <w:rPr>
          <w:i/>
        </w:rPr>
        <w:t>n</w:t>
      </w:r>
      <w:r w:rsidRPr="08BC4F3B">
        <w:rPr>
          <w:i/>
        </w:rPr>
        <w:t>orum</w:t>
      </w:r>
      <w:r>
        <w:t xml:space="preserve"> rozhodující krok, protože spojil vyvedení jsoucnosti od božích exemplarů s kategorální predikací podle Simplikia. </w:t>
      </w:r>
      <w:r w:rsidRPr="00273106">
        <w:t xml:space="preserve">Henry koncipuje </w:t>
      </w:r>
      <w:r w:rsidRPr="00273106">
        <w:rPr>
          <w:i/>
        </w:rPr>
        <w:t>verum ens</w:t>
      </w:r>
      <w:r w:rsidRPr="00273106">
        <w:t xml:space="preserve"> </w:t>
      </w:r>
      <w:r w:rsidR="0081578A">
        <w:t>skrze objektivistickou perspekti</w:t>
      </w:r>
      <w:r w:rsidR="00A235DD">
        <w:t>v</w:t>
      </w:r>
      <w:r w:rsidR="0081578A">
        <w:t>u (</w:t>
      </w:r>
      <w:r w:rsidRPr="00273106">
        <w:rPr>
          <w:i/>
        </w:rPr>
        <w:t>sub intentione entis</w:t>
      </w:r>
      <w:r w:rsidR="0081578A">
        <w:t>), která se skládá ze</w:t>
      </w:r>
      <w:r>
        <w:t xml:space="preserve"> tří </w:t>
      </w:r>
      <w:r w:rsidR="0081578A">
        <w:t>rovin</w:t>
      </w:r>
      <w:r>
        <w:t xml:space="preserve">. První rovina začíná </w:t>
      </w:r>
      <w:r w:rsidRPr="00273106">
        <w:t>od reálné substance</w:t>
      </w:r>
      <w:r>
        <w:t>, což ale není nutné. P</w:t>
      </w:r>
      <w:r w:rsidRPr="00273106">
        <w:t xml:space="preserve">ak </w:t>
      </w:r>
      <w:r>
        <w:t xml:space="preserve">následuje patro </w:t>
      </w:r>
      <w:r w:rsidRPr="00273106">
        <w:t>intelektuálně nazírané substance d</w:t>
      </w:r>
      <w:r>
        <w:t>efinované vzhledem k objektivnímu exemplaru ve stvoření. Jeho pevnost a objektivní jsoucnost (</w:t>
      </w:r>
      <w:r w:rsidRPr="008C1CA6">
        <w:rPr>
          <w:i/>
        </w:rPr>
        <w:t>ratitudo</w:t>
      </w:r>
      <w:r>
        <w:t xml:space="preserve">) je dána </w:t>
      </w:r>
      <w:r w:rsidRPr="00273106">
        <w:t xml:space="preserve">od </w:t>
      </w:r>
      <w:r>
        <w:t>intendovaného exemplaru v boží mysli, která tvoří posledního garanta objektivity. Tato poslední rovina objektivity představuje vrcholné dobro</w:t>
      </w:r>
      <w:r w:rsidRPr="00273106">
        <w:t xml:space="preserve"> každé stvořené věci v bohu</w:t>
      </w:r>
      <w:r>
        <w:t xml:space="preserve"> v podobě finální kauzy</w:t>
      </w:r>
      <w:r w:rsidRPr="00273106">
        <w:t>.</w:t>
      </w:r>
      <w:r>
        <w:t xml:space="preserve"> Gandavova produkce smyslu jsoucna je shrnuta v citátu</w:t>
      </w:r>
      <w:r w:rsidRPr="005E2B99">
        <w:t xml:space="preserve"> z </w:t>
      </w:r>
      <w:r w:rsidRPr="08D44886">
        <w:rPr>
          <w:i/>
        </w:rPr>
        <w:t>Metafyziky al-Šifá</w:t>
      </w:r>
      <w:r>
        <w:t xml:space="preserve">, kde Avicenna </w:t>
      </w:r>
      <w:r w:rsidRPr="005E2B99">
        <w:t xml:space="preserve">popisuje boží reflexi prvních </w:t>
      </w:r>
      <w:r>
        <w:t>stvořených forem. Dárce forem</w:t>
      </w:r>
      <w:r>
        <w:fldChar w:fldCharType="begin"/>
      </w:r>
      <w:r>
        <w:instrText xml:space="preserve"> XE "</w:instrText>
      </w:r>
      <w:r w:rsidR="001342FE">
        <w:rPr>
          <w:i/>
        </w:rPr>
        <w:instrText>dator formarum</w:instrText>
      </w:r>
      <w:r>
        <w:instrText xml:space="preserve">" </w:instrText>
      </w:r>
      <w:r>
        <w:fldChar w:fldCharType="end"/>
      </w:r>
      <w:r>
        <w:t xml:space="preserve"> zajišťuje produkci jsoucna</w:t>
      </w:r>
      <w:r w:rsidRPr="00894517">
        <w:t xml:space="preserve"> </w:t>
      </w:r>
      <w:r>
        <w:t>podle principu parsimonie, elegance a dobroty a tím garantuje ultimativní smysl jsoucího (</w:t>
      </w:r>
      <w:r w:rsidR="00A235DD">
        <w:t xml:space="preserve">OBJ I, </w:t>
      </w:r>
      <w:r>
        <w:t>kap. 2.3.3). Objektivní podobu neoplatonského</w:t>
      </w:r>
      <w:r w:rsidRPr="00273106">
        <w:t xml:space="preserve"> </w:t>
      </w:r>
      <w:r w:rsidRPr="00F9353B">
        <w:t>exitu</w:t>
      </w:r>
      <w:r>
        <w:t xml:space="preserve"> danou jako absolutní supozice orientovanou směrem do světa zopakují Descartes a Husserl skrze dedukci významů z evidentní sféry </w:t>
      </w:r>
      <w:r w:rsidRPr="002E01A7">
        <w:rPr>
          <w:i/>
        </w:rPr>
        <w:t>cogita</w:t>
      </w:r>
      <w:r>
        <w:t xml:space="preserve">. Myšlení </w:t>
      </w:r>
      <w:r w:rsidR="004F53FE">
        <w:t xml:space="preserve">moderny </w:t>
      </w:r>
      <w:r w:rsidRPr="00273106">
        <w:t>začíná u obecného učení jsoucna, které leží na opačném pólu než první substance. Descartes stejným způsobem uzávorkuje svět i boha a přemění vše na Gan</w:t>
      </w:r>
      <w:r>
        <w:t xml:space="preserve">davův </w:t>
      </w:r>
      <w:r w:rsidRPr="00273106">
        <w:rPr>
          <w:i/>
        </w:rPr>
        <w:t>conceptus vanus</w:t>
      </w:r>
      <w:r>
        <w:t xml:space="preserve">, či </w:t>
      </w:r>
      <w:r w:rsidR="004B45E4">
        <w:rPr>
          <w:i/>
        </w:rPr>
        <w:t>conceptus fictiti</w:t>
      </w:r>
      <w:r w:rsidRPr="00273106">
        <w:rPr>
          <w:i/>
        </w:rPr>
        <w:t>us</w:t>
      </w:r>
      <w:r>
        <w:rPr>
          <w:i/>
        </w:rPr>
        <w:fldChar w:fldCharType="begin"/>
      </w:r>
      <w:r>
        <w:instrText xml:space="preserve"> XE "substance:</w:instrText>
      </w:r>
      <w:r w:rsidRPr="00A41355">
        <w:rPr>
          <w:i/>
        </w:rPr>
        <w:instrText>conceptus ficti</w:instrText>
      </w:r>
      <w:r w:rsidR="004B45E4">
        <w:rPr>
          <w:i/>
        </w:rPr>
        <w:instrText>ti</w:instrText>
      </w:r>
      <w:r w:rsidRPr="00A41355">
        <w:rPr>
          <w:i/>
        </w:rPr>
        <w:instrText>us</w:instrText>
      </w:r>
      <w:r>
        <w:instrText xml:space="preserve">" </w:instrText>
      </w:r>
      <w:r>
        <w:rPr>
          <w:i/>
        </w:rPr>
        <w:fldChar w:fldCharType="end"/>
      </w:r>
      <w:r>
        <w:t xml:space="preserve"> </w:t>
      </w:r>
      <w:r w:rsidR="00E76AD1">
        <w:t>založený na metafyzice chiméry</w:t>
      </w:r>
      <w:r>
        <w:t>. Po anulaci</w:t>
      </w:r>
      <w:r w:rsidRPr="00273106">
        <w:t xml:space="preserve"> reálného jsoucna a odpovídající smyslové zkušenosti může </w:t>
      </w:r>
      <w:r>
        <w:t xml:space="preserve">Descartes </w:t>
      </w:r>
      <w:r w:rsidRPr="00273106">
        <w:t xml:space="preserve">ve druhém kroku přikročit ke konstituci světa </w:t>
      </w:r>
      <w:r w:rsidRPr="00273106">
        <w:rPr>
          <w:i/>
        </w:rPr>
        <w:t>ex nihilo</w:t>
      </w:r>
      <w:r w:rsidRPr="00273106">
        <w:t xml:space="preserve">, tedy v </w:t>
      </w:r>
      <w:r w:rsidRPr="00273106">
        <w:lastRenderedPageBreak/>
        <w:t>modu myšlení d</w:t>
      </w:r>
      <w:r>
        <w:t xml:space="preserve">aného pouze v rámci aktuálního </w:t>
      </w:r>
      <w:r w:rsidRPr="00FE22DD">
        <w:rPr>
          <w:i/>
        </w:rPr>
        <w:t>ego</w:t>
      </w:r>
      <w:r>
        <w:t xml:space="preserve"> </w:t>
      </w:r>
      <w:r w:rsidRPr="00273106">
        <w:rPr>
          <w:i/>
        </w:rPr>
        <w:t>sum</w:t>
      </w:r>
      <w:r>
        <w:t xml:space="preserve">. Substanční </w:t>
      </w:r>
      <w:r w:rsidRPr="08192843">
        <w:rPr>
          <w:i/>
        </w:rPr>
        <w:t>intellectus agens</w:t>
      </w:r>
      <w:r>
        <w:t xml:space="preserve"> reflektuje sám sebe a podle výše uvedené citace </w:t>
      </w:r>
      <w:r w:rsidRPr="0079199D">
        <w:rPr>
          <w:i/>
        </w:rPr>
        <w:t>Liber de causis</w:t>
      </w:r>
      <w:r>
        <w:t xml:space="preserve"> plně eviduje v modu </w:t>
      </w:r>
      <w:r w:rsidRPr="0079199D">
        <w:rPr>
          <w:i/>
        </w:rPr>
        <w:t>certitudo</w:t>
      </w:r>
      <w:r>
        <w:t xml:space="preserve"> avicennovsky denudované univerzum čistých forem (</w:t>
      </w:r>
      <w:r w:rsidRPr="0073024D">
        <w:rPr>
          <w:i/>
        </w:rPr>
        <w:t xml:space="preserve">rediens ad essentiam suam reditione </w:t>
      </w:r>
      <w:r w:rsidRPr="00BC6F34">
        <w:rPr>
          <w:i/>
        </w:rPr>
        <w:t>complet</w:t>
      </w:r>
      <w:r w:rsidR="00BC6F34" w:rsidRPr="00BC6F34">
        <w:rPr>
          <w:i/>
        </w:rPr>
        <w:t>a</w:t>
      </w:r>
      <w:r w:rsidR="00BC6F34">
        <w:t xml:space="preserve">, </w:t>
      </w:r>
      <w:r w:rsidR="00237F73" w:rsidRPr="00BC6F34">
        <w:t>kap.</w:t>
      </w:r>
      <w:r w:rsidR="006947ED">
        <w:t xml:space="preserve"> 5</w:t>
      </w:r>
      <w:r w:rsidRPr="004F7B31">
        <w:t>.2.1).</w:t>
      </w:r>
      <w:r w:rsidRPr="00273106">
        <w:t xml:space="preserve"> </w:t>
      </w:r>
      <w:r>
        <w:t xml:space="preserve">Předešlá kapitola ukázala, že Descartes opakuje systém dedukce, kterou poprve zavedl citovaný </w:t>
      </w:r>
      <w:r w:rsidRPr="00BC49B0">
        <w:rPr>
          <w:i/>
        </w:rPr>
        <w:t>Quodlibet</w:t>
      </w:r>
      <w:r>
        <w:t xml:space="preserve"> V psaný asi roku 1280. Subjekt </w:t>
      </w:r>
      <w:r w:rsidR="006947ED">
        <w:t xml:space="preserve">moderny a </w:t>
      </w:r>
      <w:r>
        <w:t>postmoderny konstituuje produkci smyslu jsoucna sám od sebe, stejně jako Avicenna</w:t>
      </w:r>
      <w:r w:rsidRPr="00273106">
        <w:t xml:space="preserve"> </w:t>
      </w:r>
      <w:r>
        <w:t xml:space="preserve">založil </w:t>
      </w:r>
      <w:r w:rsidRPr="00273106">
        <w:t xml:space="preserve">proud formálně určeného jsoucna od </w:t>
      </w:r>
      <w:r>
        <w:t>kosmického intelektu jako d</w:t>
      </w:r>
      <w:r w:rsidRPr="00273106">
        <w:t>árce forem</w:t>
      </w:r>
      <w:r>
        <w:fldChar w:fldCharType="begin"/>
      </w:r>
      <w:r>
        <w:instrText xml:space="preserve"> XE "</w:instrText>
      </w:r>
      <w:r w:rsidRPr="00BA7E25">
        <w:instrText>intelekt:dárce forem</w:instrText>
      </w:r>
      <w:r>
        <w:instrText xml:space="preserve">" </w:instrText>
      </w:r>
      <w:r>
        <w:fldChar w:fldCharType="end"/>
      </w:r>
      <w:r w:rsidRPr="00273106">
        <w:t>.</w:t>
      </w:r>
      <w:r>
        <w:t xml:space="preserve"> Roli substance třetího druhu začala hrát nová forma individua vytvořená dvojím logickým záporem (</w:t>
      </w:r>
      <w:r w:rsidRPr="0028549A">
        <w:rPr>
          <w:i/>
        </w:rPr>
        <w:t>duplex negatio</w:t>
      </w:r>
      <w:r>
        <w:rPr>
          <w:i/>
        </w:rPr>
        <w:fldChar w:fldCharType="begin"/>
      </w:r>
      <w:r>
        <w:instrText xml:space="preserve"> XE "substance:</w:instrText>
      </w:r>
      <w:r w:rsidRPr="003A6A9C">
        <w:rPr>
          <w:i/>
        </w:rPr>
        <w:instrText>duplex negatio</w:instrText>
      </w:r>
      <w:r>
        <w:instrText xml:space="preserve">" </w:instrText>
      </w:r>
      <w:r>
        <w:rPr>
          <w:i/>
        </w:rPr>
        <w:fldChar w:fldCharType="end"/>
      </w:r>
      <w:r>
        <w:t xml:space="preserve">). </w:t>
      </w:r>
      <w:r w:rsidRPr="00273106">
        <w:t xml:space="preserve">Subjekt nahlíží tento zvláštní objekt skrze </w:t>
      </w:r>
      <w:r w:rsidRPr="00273106">
        <w:rPr>
          <w:i/>
        </w:rPr>
        <w:t>denudatio</w:t>
      </w:r>
      <w:r>
        <w:rPr>
          <w:i/>
        </w:rPr>
        <w:fldChar w:fldCharType="begin"/>
      </w:r>
      <w:r>
        <w:instrText xml:space="preserve"> XE "</w:instrText>
      </w:r>
      <w:r w:rsidRPr="00C23100">
        <w:rPr>
          <w:i/>
        </w:rPr>
        <w:instrText>denudatio</w:instrText>
      </w:r>
      <w:r>
        <w:instrText xml:space="preserve">:moderna" </w:instrText>
      </w:r>
      <w:r>
        <w:rPr>
          <w:i/>
        </w:rPr>
        <w:fldChar w:fldCharType="end"/>
      </w:r>
      <w:r w:rsidRPr="00273106">
        <w:t xml:space="preserve"> for</w:t>
      </w:r>
      <w:r w:rsidR="006F57B0">
        <w:t>e</w:t>
      </w:r>
      <w:r w:rsidRPr="00273106">
        <w:t xml:space="preserve">m provedené podle druhého averroismu a podle </w:t>
      </w:r>
      <w:r w:rsidRPr="00273106">
        <w:rPr>
          <w:i/>
        </w:rPr>
        <w:t>Liber de causis</w:t>
      </w:r>
      <w:r>
        <w:rPr>
          <w:i/>
        </w:rPr>
        <w:fldChar w:fldCharType="begin"/>
      </w:r>
      <w:r>
        <w:instrText xml:space="preserve"> XE "</w:instrText>
      </w:r>
      <w:r w:rsidRPr="00C46BD8">
        <w:rPr>
          <w:i/>
        </w:rPr>
        <w:instrText>Liber de causis</w:instrText>
      </w:r>
      <w:r>
        <w:instrText xml:space="preserve">" </w:instrText>
      </w:r>
      <w:r>
        <w:rPr>
          <w:i/>
        </w:rPr>
        <w:fldChar w:fldCharType="end"/>
      </w:r>
      <w:r w:rsidRPr="00273106">
        <w:t xml:space="preserve">. </w:t>
      </w:r>
      <w:r w:rsidR="006F57B0">
        <w:t xml:space="preserve">Identita </w:t>
      </w:r>
      <w:r w:rsidRPr="00273106">
        <w:t>jsoucna je dána pouze odlišením od nicoty v rámci univerzální platnosti věty o vyloučeném třetím.</w:t>
      </w:r>
      <w:r>
        <w:t xml:space="preserve"> </w:t>
      </w:r>
      <w:r w:rsidRPr="00273106">
        <w:t xml:space="preserve">Metafyzika </w:t>
      </w:r>
      <w:r w:rsidRPr="00273106">
        <w:rPr>
          <w:i/>
        </w:rPr>
        <w:t>Modernorum</w:t>
      </w:r>
      <w:r w:rsidRPr="00273106">
        <w:t xml:space="preserve"> začíná od formálního určení jsoucna (</w:t>
      </w:r>
      <w:r w:rsidRPr="00273106">
        <w:rPr>
          <w:i/>
        </w:rPr>
        <w:t>metaphysica generalis</w:t>
      </w:r>
      <w:r>
        <w:rPr>
          <w:i/>
        </w:rPr>
        <w:fldChar w:fldCharType="begin"/>
      </w:r>
      <w:r>
        <w:instrText xml:space="preserve"> XE "</w:instrText>
      </w:r>
      <w:r w:rsidRPr="007E3962">
        <w:rPr>
          <w:i/>
        </w:rPr>
        <w:instrText>metaphysica generalis</w:instrText>
      </w:r>
      <w:r>
        <w:instrText xml:space="preserve">" </w:instrText>
      </w:r>
      <w:r>
        <w:rPr>
          <w:i/>
        </w:rPr>
        <w:fldChar w:fldCharType="end"/>
      </w:r>
      <w:r w:rsidRPr="00273106">
        <w:t>)</w:t>
      </w:r>
      <w:r w:rsidR="006F57B0">
        <w:t xml:space="preserve">. Ve druhém kroku následuje aristotelská kategoriální predikace daná </w:t>
      </w:r>
      <w:r>
        <w:t>vzhledem k první substanci</w:t>
      </w:r>
      <w:r w:rsidR="006F57B0">
        <w:t xml:space="preserve">, která je dána na nižší </w:t>
      </w:r>
      <w:r w:rsidRPr="00273106">
        <w:t xml:space="preserve">kategoriální </w:t>
      </w:r>
      <w:r>
        <w:t xml:space="preserve">úrovni </w:t>
      </w:r>
      <w:r w:rsidRPr="00273106">
        <w:t>(</w:t>
      </w:r>
      <w:r w:rsidRPr="00273106">
        <w:rPr>
          <w:i/>
        </w:rPr>
        <w:t>metaphysica specialis</w:t>
      </w:r>
      <w:r>
        <w:rPr>
          <w:i/>
        </w:rPr>
        <w:fldChar w:fldCharType="begin"/>
      </w:r>
      <w:r>
        <w:instrText xml:space="preserve"> XE "</w:instrText>
      </w:r>
      <w:r w:rsidRPr="002A50FD">
        <w:rPr>
          <w:i/>
        </w:rPr>
        <w:instrText>metaphysica specialis</w:instrText>
      </w:r>
      <w:r>
        <w:instrText xml:space="preserve">" </w:instrText>
      </w:r>
      <w:r>
        <w:rPr>
          <w:i/>
        </w:rPr>
        <w:fldChar w:fldCharType="end"/>
      </w:r>
      <w:r w:rsidRPr="00273106">
        <w:t>).</w:t>
      </w:r>
      <w:r>
        <w:t xml:space="preserve"> </w:t>
      </w:r>
      <w:r w:rsidRPr="00273106">
        <w:t xml:space="preserve">Úvod Henryho díla </w:t>
      </w:r>
      <w:r w:rsidRPr="00273106">
        <w:rPr>
          <w:i/>
        </w:rPr>
        <w:t>Summa</w:t>
      </w:r>
      <w:r w:rsidRPr="00273106">
        <w:t xml:space="preserve"> </w:t>
      </w:r>
      <w:r>
        <w:t xml:space="preserve">psaného po 1280 </w:t>
      </w:r>
      <w:r w:rsidRPr="00273106">
        <w:t xml:space="preserve">obsahuje určení objektivně pojatého jsoucna na základě pravdy jako </w:t>
      </w:r>
      <w:r w:rsidRPr="00273106">
        <w:rPr>
          <w:i/>
        </w:rPr>
        <w:t>certitudo</w:t>
      </w:r>
      <w:r>
        <w:rPr>
          <w:i/>
        </w:rPr>
        <w:fldChar w:fldCharType="begin"/>
      </w:r>
      <w:r>
        <w:instrText xml:space="preserve"> XE "pravda:</w:instrText>
      </w:r>
      <w:r w:rsidRPr="001273B4">
        <w:rPr>
          <w:i/>
        </w:rPr>
        <w:instrText>certitudo</w:instrText>
      </w:r>
      <w:r>
        <w:instrText xml:space="preserve">" </w:instrText>
      </w:r>
      <w:r>
        <w:rPr>
          <w:i/>
        </w:rPr>
        <w:fldChar w:fldCharType="end"/>
      </w:r>
      <w:r w:rsidRPr="00273106">
        <w:t xml:space="preserve"> a </w:t>
      </w:r>
      <w:r w:rsidRPr="00273106">
        <w:rPr>
          <w:i/>
        </w:rPr>
        <w:t>rectitudo</w:t>
      </w:r>
      <w:r w:rsidRPr="00273106">
        <w:t>. Henryho druhá kvestie kombinuje augustiniánskou iluminaci a aristotelismus</w:t>
      </w:r>
      <w:r>
        <w:t xml:space="preserve"> </w:t>
      </w:r>
      <w:r w:rsidRPr="00273106">
        <w:t>podobný</w:t>
      </w:r>
      <w:r>
        <w:t xml:space="preserve">m způsobem </w:t>
      </w:r>
      <w:r w:rsidRPr="00273106">
        <w:t>jako Aquasparta</w:t>
      </w:r>
      <w:r>
        <w:fldChar w:fldCharType="begin"/>
      </w:r>
      <w:r>
        <w:instrText xml:space="preserve"> XE "</w:instrText>
      </w:r>
      <w:r w:rsidRPr="003B1826">
        <w:instrText>Aquasparta, M.</w:instrText>
      </w:r>
      <w:r>
        <w:instrText xml:space="preserve">" </w:instrText>
      </w:r>
      <w:r>
        <w:fldChar w:fldCharType="end"/>
      </w:r>
      <w:r w:rsidRPr="00273106">
        <w:t xml:space="preserve">. Poznání je vždy dáno </w:t>
      </w:r>
      <w:r w:rsidRPr="00273106">
        <w:rPr>
          <w:i/>
        </w:rPr>
        <w:t>ex naturalibus</w:t>
      </w:r>
      <w:r w:rsidRPr="00273106">
        <w:t xml:space="preserve">, protože </w:t>
      </w:r>
      <w:r>
        <w:t xml:space="preserve">pařížští modernisté po roce 1270 nemohou </w:t>
      </w:r>
      <w:r w:rsidRPr="00273106">
        <w:t>pominout vliv aristotelismu</w:t>
      </w:r>
      <w:r>
        <w:t xml:space="preserve">. Ale přirozenost neváží na aktuální bytí první substance, ale na formální </w:t>
      </w:r>
      <w:r w:rsidRPr="08ED3F9D">
        <w:rPr>
          <w:i/>
        </w:rPr>
        <w:t>scibile</w:t>
      </w:r>
      <w:r>
        <w:t xml:space="preserve"> dané dedukcí v systému ontoteologických určení jsoucna v Gilsonem popsané škole </w:t>
      </w:r>
      <w:r>
        <w:rPr>
          <w:i/>
        </w:rPr>
        <w:t>augusti</w:t>
      </w:r>
      <w:r w:rsidRPr="08ED3F9D">
        <w:rPr>
          <w:i/>
        </w:rPr>
        <w:t>nisme avicennisant</w:t>
      </w:r>
      <w:r>
        <w:rPr>
          <w:i/>
        </w:rPr>
        <w:fldChar w:fldCharType="begin"/>
      </w:r>
      <w:r>
        <w:instrText xml:space="preserve"> XE "druhý averroismus:</w:instrText>
      </w:r>
      <w:r>
        <w:rPr>
          <w:i/>
        </w:rPr>
        <w:instrText>augusti</w:instrText>
      </w:r>
      <w:r w:rsidRPr="08101999">
        <w:rPr>
          <w:i/>
        </w:rPr>
        <w:instrText>nisme avicennisant</w:instrText>
      </w:r>
      <w:r>
        <w:instrText xml:space="preserve">" </w:instrText>
      </w:r>
      <w:r>
        <w:rPr>
          <w:i/>
        </w:rPr>
        <w:fldChar w:fldCharType="end"/>
      </w:r>
      <w:r w:rsidRPr="00273106">
        <w:t>. Henri představuje verzi umírněného objektivis</w:t>
      </w:r>
      <w:r>
        <w:t>mu, který představoval sofistický kompromis mezi Avicennou a Averroesem</w:t>
      </w:r>
      <w:r w:rsidRPr="00273106">
        <w:t>.</w:t>
      </w:r>
      <w:r>
        <w:t xml:space="preserve"> Henry nemá aristotelskou abstrakci, ale avicennovskou denudaci, proto nemá stejné pojetí </w:t>
      </w:r>
      <w:r w:rsidR="00962190" w:rsidRPr="00000085">
        <w:t>species</w:t>
      </w:r>
      <w:r>
        <w:rPr>
          <w:i/>
        </w:rPr>
        <w:t xml:space="preserve"> </w:t>
      </w:r>
      <w:r w:rsidRPr="08AE062F">
        <w:t>jako první averroismus.</w:t>
      </w:r>
      <w:r>
        <w:t xml:space="preserve"> Intelekt na</w:t>
      </w:r>
      <w:r w:rsidRPr="00273106">
        <w:t xml:space="preserve">zírá skrze </w:t>
      </w:r>
      <w:r w:rsidRPr="00273106">
        <w:rPr>
          <w:i/>
        </w:rPr>
        <w:t>denudatio</w:t>
      </w:r>
      <w:r>
        <w:rPr>
          <w:i/>
        </w:rPr>
        <w:fldChar w:fldCharType="begin"/>
      </w:r>
      <w:r>
        <w:instrText xml:space="preserve"> XE "</w:instrText>
      </w:r>
      <w:r w:rsidRPr="00C23100">
        <w:rPr>
          <w:i/>
        </w:rPr>
        <w:instrText>denudatio</w:instrText>
      </w:r>
      <w:r>
        <w:rPr>
          <w:i/>
        </w:rPr>
        <w:instrText>:</w:instrText>
      </w:r>
      <w:r w:rsidRPr="00BF118A">
        <w:instrText>Gandavus</w:instrText>
      </w:r>
      <w:r>
        <w:instrText xml:space="preserve">" </w:instrText>
      </w:r>
      <w:r>
        <w:rPr>
          <w:i/>
        </w:rPr>
        <w:fldChar w:fldCharType="end"/>
      </w:r>
      <w:r w:rsidRPr="00273106">
        <w:rPr>
          <w:i/>
        </w:rPr>
        <w:t xml:space="preserve"> </w:t>
      </w:r>
      <w:r w:rsidRPr="00273106">
        <w:t>univerzální formu (</w:t>
      </w:r>
      <w:r w:rsidRPr="00273106">
        <w:rPr>
          <w:i/>
        </w:rPr>
        <w:t>esse ratum</w:t>
      </w:r>
      <w:r>
        <w:rPr>
          <w:i/>
        </w:rPr>
        <w:fldChar w:fldCharType="begin"/>
      </w:r>
      <w:r>
        <w:instrText xml:space="preserve"> XE "</w:instrText>
      </w:r>
      <w:r w:rsidRPr="00AD770D">
        <w:rPr>
          <w:i/>
        </w:rPr>
        <w:instrText>esse ratum</w:instrText>
      </w:r>
      <w:r>
        <w:instrText xml:space="preserve">" </w:instrText>
      </w:r>
      <w:r>
        <w:rPr>
          <w:i/>
        </w:rPr>
        <w:fldChar w:fldCharType="end"/>
      </w:r>
      <w:r>
        <w:t xml:space="preserve">), jež „exsistuje“ v </w:t>
      </w:r>
      <w:r w:rsidRPr="00273106">
        <w:t>reálné věci</w:t>
      </w:r>
      <w:r>
        <w:t xml:space="preserve">. </w:t>
      </w:r>
      <w:r w:rsidRPr="00273106">
        <w:t>Nejprve se rozběhne proces abstrakce poz</w:t>
      </w:r>
      <w:r>
        <w:t>nání od reálné věci</w:t>
      </w:r>
      <w:r w:rsidR="0020192A">
        <w:t xml:space="preserve">. Tuto denudaci </w:t>
      </w:r>
      <w:r w:rsidRPr="00273106">
        <w:t xml:space="preserve">řídí </w:t>
      </w:r>
      <w:r>
        <w:t xml:space="preserve">subsistentní </w:t>
      </w:r>
      <w:r w:rsidRPr="00273106">
        <w:rPr>
          <w:i/>
        </w:rPr>
        <w:t>intellectus agens</w:t>
      </w:r>
      <w:r>
        <w:rPr>
          <w:i/>
        </w:rPr>
        <w:fldChar w:fldCharType="begin"/>
      </w:r>
      <w:r>
        <w:instrText xml:space="preserve"> XE "</w:instrText>
      </w:r>
      <w:r w:rsidRPr="00490D32">
        <w:rPr>
          <w:i/>
        </w:rPr>
        <w:instrText>intellectus agens:</w:instrText>
      </w:r>
      <w:r w:rsidRPr="0059602C">
        <w:instrText>Gandavus</w:instrText>
      </w:r>
      <w:r>
        <w:instrText xml:space="preserve">" </w:instrText>
      </w:r>
      <w:r>
        <w:rPr>
          <w:i/>
        </w:rPr>
        <w:fldChar w:fldCharType="end"/>
      </w:r>
      <w:r>
        <w:t xml:space="preserve"> moderny daný jako substance</w:t>
      </w:r>
      <w:r>
        <w:fldChar w:fldCharType="begin"/>
      </w:r>
      <w:r>
        <w:instrText xml:space="preserve"> XE "</w:instrText>
      </w:r>
      <w:r w:rsidRPr="00DE2A32">
        <w:instrText>substance</w:instrText>
      </w:r>
      <w:r>
        <w:instrText xml:space="preserve">:Gandavus" </w:instrText>
      </w:r>
      <w:r>
        <w:fldChar w:fldCharType="end"/>
      </w:r>
      <w:r>
        <w:t xml:space="preserve">. </w:t>
      </w:r>
      <w:r w:rsidRPr="00273106">
        <w:t xml:space="preserve">Po denudaci formy z věci </w:t>
      </w:r>
      <w:r>
        <w:t>následuje proces iluminace tohoto univerzálního</w:t>
      </w:r>
      <w:r w:rsidRPr="00273106">
        <w:t xml:space="preserve"> </w:t>
      </w:r>
      <w:r w:rsidR="00962190" w:rsidRPr="00F57371">
        <w:t>species</w:t>
      </w:r>
      <w:r w:rsidRPr="00273106">
        <w:t xml:space="preserve"> v aktivním intelektu, </w:t>
      </w:r>
      <w:r w:rsidRPr="00273106">
        <w:lastRenderedPageBreak/>
        <w:t xml:space="preserve">který </w:t>
      </w:r>
      <w:r>
        <w:t xml:space="preserve">toto jsoucno třetího druhu </w:t>
      </w:r>
      <w:r w:rsidRPr="00273106">
        <w:t xml:space="preserve">poznává ve světle božího exemplaru. Podle Gandava existuje zásadní rozdíl mezi aristotelským poznáním vztaženým k první substanci a mezi objektivním náhledem esence daným v přímé intuici vždy již aktuálního intelektu. </w:t>
      </w:r>
      <w:r>
        <w:t xml:space="preserve">První podobu tohoto poznání měl Grosseteste </w:t>
      </w:r>
      <w:r w:rsidR="00804F91">
        <w:t xml:space="preserve">(OBJ II, kap. 3.1.1) danou </w:t>
      </w:r>
      <w:r>
        <w:t>v rozdílu mezi přímým náhledem esence (</w:t>
      </w:r>
      <w:r w:rsidRPr="005378D3">
        <w:rPr>
          <w:i/>
        </w:rPr>
        <w:t>intellectus</w:t>
      </w:r>
      <w:r>
        <w:t>) a poznáním skrze smysly (</w:t>
      </w:r>
      <w:r w:rsidRPr="005378D3">
        <w:rPr>
          <w:i/>
        </w:rPr>
        <w:t>scientia</w:t>
      </w:r>
      <w:r>
        <w:t xml:space="preserve">). Boží mysl intenduje exemplární formu v modu objektivní jsoucnosti dané intencionálně </w:t>
      </w:r>
      <w:r w:rsidRPr="00273106">
        <w:t>(</w:t>
      </w:r>
      <w:r w:rsidRPr="00273106">
        <w:rPr>
          <w:i/>
        </w:rPr>
        <w:t>esse diminutum</w:t>
      </w:r>
      <w:r>
        <w:rPr>
          <w:i/>
        </w:rPr>
        <w:fldChar w:fldCharType="begin"/>
      </w:r>
      <w:r>
        <w:instrText xml:space="preserve"> XE "</w:instrText>
      </w:r>
      <w:r w:rsidRPr="00782C1F">
        <w:rPr>
          <w:i/>
        </w:rPr>
        <w:instrText>esse diminutum</w:instrText>
      </w:r>
      <w:r>
        <w:instrText xml:space="preserve">" </w:instrText>
      </w:r>
      <w:r>
        <w:rPr>
          <w:i/>
        </w:rPr>
        <w:fldChar w:fldCharType="end"/>
      </w:r>
      <w:r w:rsidRPr="00273106">
        <w:t>)</w:t>
      </w:r>
      <w:r>
        <w:t xml:space="preserve">. Toto </w:t>
      </w:r>
      <w:r w:rsidR="00013FE1">
        <w:t xml:space="preserve">minimální </w:t>
      </w:r>
      <w:r w:rsidR="00804F91">
        <w:t xml:space="preserve">jsoucno </w:t>
      </w:r>
      <w:r>
        <w:t xml:space="preserve">objektivně subsistuje </w:t>
      </w:r>
      <w:r w:rsidRPr="00273106">
        <w:t>v hylemorfické složenině pouze v umenšeném</w:t>
      </w:r>
      <w:r>
        <w:t>, tj. kontingentním</w:t>
      </w:r>
      <w:r w:rsidRPr="00273106">
        <w:t xml:space="preserve"> modu bytí</w:t>
      </w:r>
      <w:r>
        <w:t xml:space="preserve"> získaném výše uvedenou cestou dvojí negace </w:t>
      </w:r>
      <w:r w:rsidRPr="00273106">
        <w:t>(</w:t>
      </w:r>
      <w:r w:rsidRPr="00273106">
        <w:rPr>
          <w:i/>
        </w:rPr>
        <w:t>tantum haec</w:t>
      </w:r>
      <w:r>
        <w:rPr>
          <w:i/>
        </w:rPr>
        <w:fldChar w:fldCharType="begin"/>
      </w:r>
      <w:r>
        <w:instrText xml:space="preserve"> XE "substance:</w:instrText>
      </w:r>
      <w:r w:rsidRPr="0034707F">
        <w:rPr>
          <w:i/>
        </w:rPr>
        <w:instrText>tantum haec</w:instrText>
      </w:r>
      <w:r>
        <w:instrText xml:space="preserve">" </w:instrText>
      </w:r>
      <w:r>
        <w:rPr>
          <w:i/>
        </w:rPr>
        <w:fldChar w:fldCharType="end"/>
      </w:r>
      <w:r w:rsidRPr="00273106">
        <w:t>).</w:t>
      </w:r>
      <w:r>
        <w:t xml:space="preserve"> Dedukce jde od světa bohem poznaných forem k</w:t>
      </w:r>
      <w:r w:rsidR="0010112C">
        <w:t> formám poznaných modernisty</w:t>
      </w:r>
      <w:r w:rsidR="00804F91">
        <w:t>.</w:t>
      </w:r>
    </w:p>
    <w:p w:rsidR="08163013" w:rsidRDefault="08163013" w:rsidP="00C11018">
      <w:pPr>
        <w:ind w:firstLine="397"/>
      </w:pPr>
      <w:r w:rsidRPr="00273106">
        <w:t xml:space="preserve">Henry z </w:t>
      </w:r>
      <w:proofErr w:type="gramStart"/>
      <w:r w:rsidRPr="00273106">
        <w:t>Gentu</w:t>
      </w:r>
      <w:proofErr w:type="gramEnd"/>
      <w:r w:rsidRPr="00273106">
        <w:t xml:space="preserve"> převzal model </w:t>
      </w:r>
      <w:r>
        <w:t>dvojího poznání tradovaný od Grossetesteho a Bonaventury</w:t>
      </w:r>
      <w:r w:rsidR="003E71A5">
        <w:t xml:space="preserve"> (kap. 4</w:t>
      </w:r>
      <w:r w:rsidRPr="00273106">
        <w:t>.1.1)</w:t>
      </w:r>
      <w:r>
        <w:t>. Pravda věcí je kontingentní a nedostatečná, proto musíme nahlédnout objektivní pravdu skrze iluminaci a dedukci exemplarů daných od boží intencionality</w:t>
      </w:r>
      <w:r>
        <w:fldChar w:fldCharType="begin"/>
      </w:r>
      <w:r>
        <w:instrText xml:space="preserve"> XE "</w:instrText>
      </w:r>
      <w:r w:rsidRPr="00FD4E0D">
        <w:instrText>intencionalita:bůh</w:instrText>
      </w:r>
      <w:r>
        <w:instrText xml:space="preserve">" </w:instrText>
      </w:r>
      <w:r>
        <w:fldChar w:fldCharType="end"/>
      </w:r>
      <w:r>
        <w:t xml:space="preserve">. </w:t>
      </w:r>
      <w:r w:rsidRPr="00273106">
        <w:t>Objektivní forma náhledu je dána složením obou pojetí</w:t>
      </w:r>
      <w:r w:rsidR="00434483">
        <w:t>. A</w:t>
      </w:r>
      <w:r>
        <w:t xml:space="preserve">le </w:t>
      </w:r>
      <w:r w:rsidRPr="00273106">
        <w:t xml:space="preserve">druhé patro </w:t>
      </w:r>
      <w:r>
        <w:t xml:space="preserve">náhledu do evidentní podstaty poznává eidetickou podstatu </w:t>
      </w:r>
      <w:r w:rsidRPr="00273106">
        <w:t>samotné věc</w:t>
      </w:r>
      <w:r>
        <w:t>i</w:t>
      </w:r>
      <w:r w:rsidR="00434483">
        <w:t xml:space="preserve"> podobně jako bůh</w:t>
      </w:r>
      <w:r>
        <w:t>, proto je plně pravdivé</w:t>
      </w:r>
      <w:r w:rsidR="001A1FAB">
        <w:t xml:space="preserve"> a evidentní</w:t>
      </w:r>
      <w:r>
        <w:t xml:space="preserve">. Tato </w:t>
      </w:r>
      <w:r w:rsidR="00E5234C">
        <w:t xml:space="preserve">mytologická </w:t>
      </w:r>
      <w:r w:rsidR="00B554F6">
        <w:t xml:space="preserve">forma odkrytosti jsoucna </w:t>
      </w:r>
      <w:r w:rsidR="00DB138F">
        <w:t>(</w:t>
      </w:r>
      <w:r w:rsidR="00DB138F" w:rsidRPr="008B62AA">
        <w:rPr>
          <w:i/>
        </w:rPr>
        <w:t>al</w:t>
      </w:r>
      <w:r w:rsidR="00DB138F">
        <w:rPr>
          <w:rFonts w:cs="Calibri"/>
          <w:i/>
        </w:rPr>
        <w:t>é</w:t>
      </w:r>
      <w:r w:rsidR="00DB138F" w:rsidRPr="008B62AA">
        <w:rPr>
          <w:i/>
        </w:rPr>
        <w:t>theia</w:t>
      </w:r>
      <w:r w:rsidR="00DB138F">
        <w:t xml:space="preserve">) </w:t>
      </w:r>
      <w:r>
        <w:t xml:space="preserve">byla </w:t>
      </w:r>
      <w:r w:rsidRPr="00273106">
        <w:t xml:space="preserve">v prvním averroismu </w:t>
      </w:r>
      <w:r w:rsidR="00B554F6">
        <w:t>absolutně nem</w:t>
      </w:r>
      <w:r>
        <w:t>ožná. K</w:t>
      </w:r>
      <w:r w:rsidRPr="00273106">
        <w:t xml:space="preserve">oncept </w:t>
      </w:r>
      <w:r w:rsidRPr="00167D46">
        <w:t>diafanum</w:t>
      </w:r>
      <w:r>
        <w:rPr>
          <w:i/>
        </w:rPr>
        <w:fldChar w:fldCharType="begin"/>
      </w:r>
      <w:r>
        <w:instrText xml:space="preserve"> XE "</w:instrText>
      </w:r>
      <w:r w:rsidRPr="00167D46">
        <w:instrText>diafanum</w:instrText>
      </w:r>
      <w:r>
        <w:instrText xml:space="preserve">" </w:instrText>
      </w:r>
      <w:r>
        <w:rPr>
          <w:i/>
        </w:rPr>
        <w:fldChar w:fldCharType="end"/>
      </w:r>
      <w:r w:rsidRPr="00273106">
        <w:t xml:space="preserve"> a </w:t>
      </w:r>
      <w:r w:rsidRPr="00273106">
        <w:rPr>
          <w:i/>
        </w:rPr>
        <w:t>intellectus possibilis</w:t>
      </w:r>
      <w:r>
        <w:rPr>
          <w:i/>
        </w:rPr>
        <w:fldChar w:fldCharType="begin"/>
      </w:r>
      <w:r>
        <w:instrText xml:space="preserve"> XE "</w:instrText>
      </w:r>
      <w:r w:rsidRPr="00971AE2">
        <w:rPr>
          <w:i/>
        </w:rPr>
        <w:instrText>intellectus possibilis:</w:instrText>
      </w:r>
      <w:r w:rsidRPr="007D4204">
        <w:instrText>první averroismus</w:instrText>
      </w:r>
      <w:r>
        <w:instrText xml:space="preserve">" </w:instrText>
      </w:r>
      <w:r>
        <w:rPr>
          <w:i/>
        </w:rPr>
        <w:fldChar w:fldCharType="end"/>
      </w:r>
      <w:r w:rsidRPr="00273106">
        <w:t xml:space="preserve"> </w:t>
      </w:r>
      <w:r>
        <w:t xml:space="preserve">zajišťoval pravdivou </w:t>
      </w:r>
      <w:r w:rsidRPr="00273106">
        <w:t>manifesta</w:t>
      </w:r>
      <w:r>
        <w:t xml:space="preserve">ci jsoucna směrem od reálné věci v modelu efektivní a formální kauzality dané od první substance v procesu smyslového a intelektuálního poznání. </w:t>
      </w:r>
      <w:r w:rsidRPr="00273106">
        <w:t xml:space="preserve">Henry </w:t>
      </w:r>
      <w:r>
        <w:t xml:space="preserve">vedený teologicky vzdělanými Fúriemi </w:t>
      </w:r>
      <w:r w:rsidRPr="00273106">
        <w:t xml:space="preserve">našel pro poznání </w:t>
      </w:r>
      <w:r>
        <w:t xml:space="preserve">mytopoetické </w:t>
      </w:r>
      <w:r w:rsidRPr="00273106">
        <w:rPr>
          <w:i/>
        </w:rPr>
        <w:t>proportio</w:t>
      </w:r>
      <w:r w:rsidRPr="00273106">
        <w:t xml:space="preserve">, </w:t>
      </w:r>
      <w:r>
        <w:t xml:space="preserve">které zásadně odmítl </w:t>
      </w:r>
      <w:r w:rsidRPr="00273106">
        <w:t xml:space="preserve">aristotelismus a první averroismus. </w:t>
      </w:r>
      <w:r>
        <w:t>Neexistující exemplar</w:t>
      </w:r>
      <w:r>
        <w:fldChar w:fldCharType="begin"/>
      </w:r>
      <w:r>
        <w:instrText xml:space="preserve"> XE "</w:instrText>
      </w:r>
      <w:r w:rsidRPr="003F72AE">
        <w:rPr>
          <w:i/>
        </w:rPr>
        <w:instrText>exemplar</w:instrText>
      </w:r>
      <w:r>
        <w:instrText xml:space="preserve">" </w:instrText>
      </w:r>
      <w:r>
        <w:fldChar w:fldCharType="end"/>
      </w:r>
      <w:r>
        <w:t xml:space="preserve"> zaujal pozici existující první substance. </w:t>
      </w:r>
      <w:r w:rsidRPr="00273106">
        <w:t xml:space="preserve">Nová forma </w:t>
      </w:r>
      <w:r>
        <w:t xml:space="preserve">podobnosti </w:t>
      </w:r>
      <w:r w:rsidRPr="00273106">
        <w:t xml:space="preserve">stojí mimo proces </w:t>
      </w:r>
      <w:r w:rsidR="00883303">
        <w:t xml:space="preserve">pravdy jako </w:t>
      </w:r>
      <w:r w:rsidR="007C3032">
        <w:t xml:space="preserve">aristotelské </w:t>
      </w:r>
      <w:r w:rsidRPr="00273106">
        <w:t>adekvace medializovan</w:t>
      </w:r>
      <w:r w:rsidR="00883303">
        <w:t>é</w:t>
      </w:r>
      <w:r w:rsidRPr="00273106">
        <w:t xml:space="preserve"> skrze sm</w:t>
      </w:r>
      <w:r>
        <w:t xml:space="preserve">yslová a intelektuální </w:t>
      </w:r>
      <w:r w:rsidR="00962190" w:rsidRPr="00883303">
        <w:t>species</w:t>
      </w:r>
      <w:r w:rsidR="00883303">
        <w:t>, protože i</w:t>
      </w:r>
      <w:r>
        <w:t xml:space="preserve">lumináti mají </w:t>
      </w:r>
      <w:r w:rsidRPr="00273106">
        <w:t>přím</w:t>
      </w:r>
      <w:r>
        <w:t>ou intuici</w:t>
      </w:r>
      <w:r w:rsidRPr="00273106">
        <w:t xml:space="preserve"> </w:t>
      </w:r>
      <w:r w:rsidRPr="00273106">
        <w:rPr>
          <w:i/>
        </w:rPr>
        <w:t>quidditas</w:t>
      </w:r>
      <w:r>
        <w:rPr>
          <w:i/>
        </w:rPr>
        <w:fldChar w:fldCharType="begin"/>
      </w:r>
      <w:r>
        <w:instrText xml:space="preserve"> XE "</w:instrText>
      </w:r>
      <w:r w:rsidRPr="007C7423">
        <w:rPr>
          <w:i/>
        </w:rPr>
        <w:instrText>quidditas:</w:instrText>
      </w:r>
      <w:r w:rsidRPr="007D4204">
        <w:instrText>moderna</w:instrText>
      </w:r>
      <w:r>
        <w:instrText xml:space="preserve">" </w:instrText>
      </w:r>
      <w:r>
        <w:rPr>
          <w:i/>
        </w:rPr>
        <w:fldChar w:fldCharType="end"/>
      </w:r>
      <w:r w:rsidRPr="00273106">
        <w:t xml:space="preserve">. </w:t>
      </w:r>
      <w:r w:rsidR="00C11018" w:rsidRPr="00C11018">
        <w:t xml:space="preserve">Gandavova systematizace objektivního významu vychází z moderního subjektu. </w:t>
      </w:r>
      <w:r w:rsidR="00C11018">
        <w:t>Ten u</w:t>
      </w:r>
      <w:r w:rsidR="00C11018" w:rsidRPr="00C11018">
        <w:t>rčuje metafyziku pr</w:t>
      </w:r>
      <w:r w:rsidR="00C11018">
        <w:t>ostřednictvím nové verze Oliviho náhledu (</w:t>
      </w:r>
      <w:r w:rsidR="00C11018" w:rsidRPr="00C11018">
        <w:rPr>
          <w:i/>
        </w:rPr>
        <w:t>aspectus</w:t>
      </w:r>
      <w:r w:rsidR="00C11018">
        <w:t>)</w:t>
      </w:r>
      <w:r w:rsidR="00C11018" w:rsidRPr="00C11018">
        <w:t>, kte</w:t>
      </w:r>
      <w:r w:rsidR="00C11018">
        <w:t xml:space="preserve">rá nepotřebuje první substance. </w:t>
      </w:r>
      <w:r>
        <w:t xml:space="preserve">Objektivně daná </w:t>
      </w:r>
      <w:r w:rsidRPr="00273106">
        <w:t xml:space="preserve">esence exemplárně </w:t>
      </w:r>
      <w:r>
        <w:t xml:space="preserve">bytuje v boží mysli a později </w:t>
      </w:r>
      <w:r w:rsidRPr="00273106">
        <w:t>v postmoderní verzi matematiky a kognitivních věd.</w:t>
      </w:r>
      <w:r>
        <w:t xml:space="preserve"> </w:t>
      </w:r>
      <w:r w:rsidRPr="00273106">
        <w:t xml:space="preserve">Augustiniánská iluminace převádí </w:t>
      </w:r>
      <w:r w:rsidR="0014735A" w:rsidRPr="0014735A">
        <w:t xml:space="preserve">poznání pravdy jako </w:t>
      </w:r>
      <w:r w:rsidR="0014735A" w:rsidRPr="0014735A">
        <w:rPr>
          <w:i/>
        </w:rPr>
        <w:t>rectitudo</w:t>
      </w:r>
      <w:r w:rsidR="0014735A" w:rsidRPr="0014735A">
        <w:t xml:space="preserve"> a </w:t>
      </w:r>
      <w:r w:rsidR="0014735A" w:rsidRPr="006C6BBE">
        <w:rPr>
          <w:i/>
        </w:rPr>
        <w:t>summa veritas</w:t>
      </w:r>
      <w:r w:rsidR="0014735A" w:rsidRPr="0014735A">
        <w:t xml:space="preserve"> do hmo</w:t>
      </w:r>
      <w:r w:rsidR="0014735A">
        <w:t>tného světa</w:t>
      </w:r>
      <w:r>
        <w:t>.</w:t>
      </w:r>
      <w:r w:rsidR="005831C6">
        <w:t xml:space="preserve"> Tam začíná </w:t>
      </w:r>
      <w:r w:rsidR="005831C6">
        <w:lastRenderedPageBreak/>
        <w:t xml:space="preserve">poznání avicennistickým způsobem, tedy přímým náhledem aktualizovaného intelektu do prvních principů poznání. </w:t>
      </w:r>
    </w:p>
    <w:p w:rsidR="00566D06" w:rsidRDefault="00566D06" w:rsidP="000529D7">
      <w:pPr>
        <w:pStyle w:val="Citace"/>
      </w:pPr>
      <w:r>
        <w:t>„</w:t>
      </w:r>
      <w:r w:rsidR="000529D7">
        <w:t>Člověk může v řádu přirozeného poznání bez jakéhokoliv božího osvícení přijít až poznání prvních teoretických principů; podobně platí, že v řádu v řádu přirozeného poznání může bez jakéhokoliv božího osvícení také vyvodit všechny závěry, které vyplývají z těchto prvních principů poznání</w:t>
      </w:r>
      <w:r w:rsidR="000529D7">
        <w:rPr>
          <w:lang w:val="cs-CZ"/>
        </w:rPr>
        <w:t xml:space="preserve"> (</w:t>
      </w:r>
      <w:r w:rsidR="000529D7" w:rsidRPr="000529D7">
        <w:rPr>
          <w:i/>
        </w:rPr>
        <w:t>ad cognitionem omnium conclusionum sequentium post principia</w:t>
      </w:r>
      <w:r w:rsidR="000529D7">
        <w:rPr>
          <w:lang w:val="cs-CZ"/>
        </w:rPr>
        <w:t>)</w:t>
      </w:r>
      <w:r w:rsidR="000529D7">
        <w:t xml:space="preserve">.“ </w:t>
      </w:r>
      <w:r w:rsidR="000529D7">
        <w:rPr>
          <w:rStyle w:val="Znakapoznpodarou"/>
        </w:rPr>
        <w:footnoteReference w:id="405"/>
      </w:r>
    </w:p>
    <w:p w:rsidR="08163013" w:rsidRDefault="08163013" w:rsidP="08163013">
      <w:r w:rsidRPr="00273106">
        <w:t xml:space="preserve">Citát </w:t>
      </w:r>
      <w:r w:rsidR="000529D7">
        <w:t xml:space="preserve">typicky zaměnuje logickou supozici danou ve </w:t>
      </w:r>
      <w:r w:rsidR="000529D7" w:rsidRPr="000529D7">
        <w:rPr>
          <w:i/>
        </w:rPr>
        <w:t>Druhých analytikách</w:t>
      </w:r>
      <w:r w:rsidR="000529D7">
        <w:t xml:space="preserve"> jako druhou triádu principů poznání za první triádu principů, která je podle prvního averroismu zásadně určena pouze impozicí v modu „</w:t>
      </w:r>
      <w:r w:rsidR="000529D7" w:rsidRPr="000529D7">
        <w:rPr>
          <w:i/>
        </w:rPr>
        <w:t>ex inmediatis</w:t>
      </w:r>
      <w:r w:rsidR="000529D7">
        <w:t xml:space="preserve">“. </w:t>
      </w:r>
      <w:r w:rsidR="005F6BFA">
        <w:t xml:space="preserve">Logická dedukce nahradila metafyziku, což měl poprvé Kilwardby a Rufus. </w:t>
      </w:r>
      <w:r w:rsidRPr="00273106">
        <w:t xml:space="preserve">Tento způsob </w:t>
      </w:r>
      <w:r>
        <w:t xml:space="preserve">poznání </w:t>
      </w:r>
      <w:r w:rsidR="005F6BFA">
        <w:t xml:space="preserve">je daný </w:t>
      </w:r>
      <w:r>
        <w:t xml:space="preserve">skrze </w:t>
      </w:r>
      <w:r w:rsidR="005F6BFA">
        <w:t xml:space="preserve">logickou </w:t>
      </w:r>
      <w:r>
        <w:t xml:space="preserve">denudaci </w:t>
      </w:r>
      <w:r w:rsidR="005F6BFA">
        <w:t xml:space="preserve">a </w:t>
      </w:r>
      <w:r w:rsidRPr="00273106">
        <w:t>stojí výše, než pouhá smyslová abstrakce.</w:t>
      </w:r>
      <w:r w:rsidR="005F6BFA">
        <w:t xml:space="preserve"> Termín „</w:t>
      </w:r>
      <w:r w:rsidR="005F6BFA" w:rsidRPr="005F6BFA">
        <w:rPr>
          <w:i/>
        </w:rPr>
        <w:t>ex puris naturalibus</w:t>
      </w:r>
      <w:r w:rsidR="005F6BFA">
        <w:t>“ už nemá aristotelský</w:t>
      </w:r>
      <w:r w:rsidR="005B0870">
        <w:t xml:space="preserve"> původ</w:t>
      </w:r>
      <w:r w:rsidR="005F6BFA">
        <w:t>, ale</w:t>
      </w:r>
      <w:r w:rsidR="005B0870">
        <w:t xml:space="preserve"> jde o </w:t>
      </w:r>
      <w:r w:rsidR="005F6BFA">
        <w:t xml:space="preserve">avicennistický </w:t>
      </w:r>
      <w:r w:rsidR="005B0870">
        <w:t>konstrukt</w:t>
      </w:r>
      <w:r w:rsidR="005F6BFA">
        <w:t xml:space="preserve">. Logicky </w:t>
      </w:r>
      <w:r>
        <w:t>osvícený intelekt je schopen vyjít k vyššímu poznání z pozice neex</w:t>
      </w:r>
      <w:r w:rsidR="00CA6DF1">
        <w:t>istující čisté naturality</w:t>
      </w:r>
      <w:r w:rsidRPr="00273106">
        <w:t>.</w:t>
      </w:r>
      <w:r>
        <w:t xml:space="preserve"> </w:t>
      </w:r>
      <w:r w:rsidRPr="00273106">
        <w:t>Materie třetího druhu hraje roli univerzálního supozita a vytěsnila roli první substance. Tento objektivní aspekt materie jako zvláštní formy věci dané kvazi-aktuálně zakládá nový celek jsoucna</w:t>
      </w:r>
      <w:r>
        <w:t xml:space="preserve"> v popsaném modu </w:t>
      </w:r>
      <w:r w:rsidR="0061521F">
        <w:t>„</w:t>
      </w:r>
      <w:r w:rsidRPr="00A417FF">
        <w:rPr>
          <w:i/>
        </w:rPr>
        <w:t>ex puris naturalibus</w:t>
      </w:r>
      <w:r w:rsidR="0061521F">
        <w:t>“</w:t>
      </w:r>
      <w:r w:rsidRPr="00273106">
        <w:t>.</w:t>
      </w:r>
      <w:r>
        <w:t xml:space="preserve"> Citovaný výrok ukazuje na první vznik metafyziky typu </w:t>
      </w:r>
      <w:r w:rsidR="0061521F">
        <w:t>„</w:t>
      </w:r>
      <w:r w:rsidRPr="008231FE">
        <w:rPr>
          <w:i/>
        </w:rPr>
        <w:t>surnaturel</w:t>
      </w:r>
      <w:r w:rsidR="0061521F">
        <w:t>“</w:t>
      </w:r>
      <w:r>
        <w:rPr>
          <w:i/>
        </w:rPr>
        <w:fldChar w:fldCharType="begin"/>
      </w:r>
      <w:r>
        <w:instrText xml:space="preserve"> XE "</w:instrText>
      </w:r>
      <w:r w:rsidRPr="00B63754">
        <w:rPr>
          <w:i/>
        </w:rPr>
        <w:instrText>surnaturel</w:instrText>
      </w:r>
      <w:r>
        <w:instrText xml:space="preserve">" </w:instrText>
      </w:r>
      <w:r>
        <w:rPr>
          <w:i/>
        </w:rPr>
        <w:fldChar w:fldCharType="end"/>
      </w:r>
      <w:r>
        <w:t>, kterou analyzoval Gilson a Lubac</w:t>
      </w:r>
      <w:r>
        <w:fldChar w:fldCharType="begin"/>
      </w:r>
      <w:r>
        <w:instrText xml:space="preserve"> XE "</w:instrText>
      </w:r>
      <w:r w:rsidRPr="006F300B">
        <w:instrText>Lubac</w:instrText>
      </w:r>
      <w:r>
        <w:instrText>,</w:instrText>
      </w:r>
      <w:r w:rsidRPr="006F300B">
        <w:instrText xml:space="preserve"> H.</w:instrText>
      </w:r>
      <w:r>
        <w:instrText xml:space="preserve">" </w:instrText>
      </w:r>
      <w:r>
        <w:fldChar w:fldCharType="end"/>
      </w:r>
      <w:r w:rsidR="00830930">
        <w:t xml:space="preserve"> u Bonaventury (kap. 4</w:t>
      </w:r>
      <w:r>
        <w:t>.1.4). Na přelomu</w:t>
      </w:r>
      <w:r w:rsidR="00830930">
        <w:t xml:space="preserve"> 16. a 17. století vznikne z Gandavova objektivního supozita nejprve </w:t>
      </w:r>
      <w:r>
        <w:t xml:space="preserve">pojem </w:t>
      </w:r>
      <w:r w:rsidR="00430CC1">
        <w:t>„</w:t>
      </w:r>
      <w:r w:rsidRPr="00A417FF">
        <w:rPr>
          <w:i/>
        </w:rPr>
        <w:t>natura pura</w:t>
      </w:r>
      <w:r w:rsidR="00430CC1">
        <w:t>“</w:t>
      </w:r>
      <w:r>
        <w:rPr>
          <w:i/>
        </w:rPr>
        <w:fldChar w:fldCharType="begin"/>
      </w:r>
      <w:r>
        <w:instrText xml:space="preserve"> XE "</w:instrText>
      </w:r>
      <w:r w:rsidRPr="002067A6">
        <w:rPr>
          <w:i/>
        </w:rPr>
        <w:instrText>natura pura</w:instrText>
      </w:r>
      <w:r>
        <w:instrText xml:space="preserve">" </w:instrText>
      </w:r>
      <w:r>
        <w:rPr>
          <w:i/>
        </w:rPr>
        <w:fldChar w:fldCharType="end"/>
      </w:r>
      <w:r>
        <w:t xml:space="preserve"> a pak postmoderní ontologie. Moderní metafyzik Gandavus hájí pojetí dvojího poznání a tím i dvojí pravdy (přirozené a nadpřirozené), což výslovně odmítl Tempierův dekret z března 1277.</w:t>
      </w:r>
    </w:p>
    <w:p w:rsidR="08163013" w:rsidRPr="00B308CC" w:rsidRDefault="08163013" w:rsidP="08163013">
      <w:pPr>
        <w:pStyle w:val="Citace"/>
        <w:rPr>
          <w:noProof/>
          <w:lang w:val="cs-CZ"/>
        </w:rPr>
      </w:pPr>
      <w:r w:rsidRPr="00273106">
        <w:rPr>
          <w:noProof/>
          <w:lang w:val="cs-CZ"/>
        </w:rPr>
        <w:t>„</w:t>
      </w:r>
      <w:r>
        <w:rPr>
          <w:noProof/>
          <w:lang w:val="cs-CZ"/>
        </w:rPr>
        <w:t>Intelektuální poznání stvořené věci může být dvojím věděním: nejprve to, skrze které poznáváme objektivně existující věc (</w:t>
      </w:r>
      <w:r w:rsidRPr="00B308CC">
        <w:rPr>
          <w:i/>
          <w:noProof/>
          <w:lang w:val="cs-CZ"/>
        </w:rPr>
        <w:t>praecise scitur</w:t>
      </w:r>
      <w:r>
        <w:rPr>
          <w:noProof/>
          <w:lang w:val="cs-CZ"/>
        </w:rPr>
        <w:t>), čili poznáváme skrze přímý náhled toho, čím je věc (</w:t>
      </w:r>
      <w:r w:rsidRPr="001479CC">
        <w:rPr>
          <w:i/>
          <w:noProof/>
        </w:rPr>
        <w:t>simplici intelligentia id quod res est</w:t>
      </w:r>
      <w:r>
        <w:rPr>
          <w:noProof/>
          <w:lang w:val="cs-CZ"/>
        </w:rPr>
        <w:t>). Druhým poznáním víme a poznáváme pomocí syntetické a analytické schopnosti intelektu pravdu samotné věci (</w:t>
      </w:r>
      <w:r w:rsidRPr="000B0A3A">
        <w:rPr>
          <w:i/>
          <w:noProof/>
        </w:rPr>
        <w:t>cognoscitur intelligentia componente et dividente veritas ipsius rei</w:t>
      </w:r>
      <w:r>
        <w:rPr>
          <w:noProof/>
          <w:lang w:val="cs-CZ"/>
        </w:rPr>
        <w:t>).“ </w:t>
      </w:r>
      <w:r>
        <w:rPr>
          <w:rStyle w:val="Znakapoznpodarou"/>
        </w:rPr>
        <w:footnoteReference w:id="406"/>
      </w:r>
    </w:p>
    <w:p w:rsidR="00584B44" w:rsidRDefault="08163013" w:rsidP="08163013">
      <w:r w:rsidRPr="00273106">
        <w:lastRenderedPageBreak/>
        <w:t>Forma náhledu na stvořenou věc (</w:t>
      </w:r>
      <w:r w:rsidRPr="00273106">
        <w:rPr>
          <w:i/>
        </w:rPr>
        <w:t>cognitione igitur intellectiva de re creata</w:t>
      </w:r>
      <w:r w:rsidRPr="00273106">
        <w:t>) dělí manifestaci pravdy na dva různé procesy (</w:t>
      </w:r>
      <w:r w:rsidRPr="00273106">
        <w:rPr>
          <w:i/>
        </w:rPr>
        <w:t>duplex potest haberi cognitio</w:t>
      </w:r>
      <w:r w:rsidRPr="00273106">
        <w:t>)</w:t>
      </w:r>
      <w:r>
        <w:fldChar w:fldCharType="begin"/>
      </w:r>
      <w:r>
        <w:instrText xml:space="preserve"> XE "</w:instrText>
      </w:r>
      <w:r w:rsidRPr="00DA092F">
        <w:instrText>teorie dvojí pravdy</w:instrText>
      </w:r>
      <w:r>
        <w:instrText xml:space="preserve">" </w:instrText>
      </w:r>
      <w:r>
        <w:fldChar w:fldCharType="end"/>
      </w:r>
      <w:r w:rsidRPr="00273106">
        <w:t>. První pravda se vztahuje k</w:t>
      </w:r>
      <w:r>
        <w:t xml:space="preserve"> přímému a objektivnímu náhledu </w:t>
      </w:r>
      <w:r w:rsidRPr="00273106">
        <w:t>věci (</w:t>
      </w:r>
      <w:r w:rsidRPr="00273106">
        <w:rPr>
          <w:i/>
        </w:rPr>
        <w:t>id quod res est</w:t>
      </w:r>
      <w:r w:rsidRPr="00273106">
        <w:t>) v modu</w:t>
      </w:r>
      <w:r>
        <w:t xml:space="preserve"> denudace čisté esence (</w:t>
      </w:r>
      <w:r w:rsidRPr="001479CC">
        <w:rPr>
          <w:i/>
        </w:rPr>
        <w:t>simplici intelligentia</w:t>
      </w:r>
      <w:r>
        <w:t>)</w:t>
      </w:r>
      <w:r w:rsidRPr="00273106">
        <w:t xml:space="preserve">. </w:t>
      </w:r>
      <w:r>
        <w:t>Tato objektivní individualita věci je trvalá a je exemplárně daná u boha. Proto je první druh poznání absolutní a precizní, čili oddělený od reálné věci</w:t>
      </w:r>
      <w:r w:rsidR="005F34A6">
        <w:t xml:space="preserve"> (</w:t>
      </w:r>
      <w:r w:rsidR="005F34A6" w:rsidRPr="00CD712F">
        <w:rPr>
          <w:i/>
        </w:rPr>
        <w:t>qua praecise scitur</w:t>
      </w:r>
      <w:r w:rsidR="005F34A6">
        <w:t>)</w:t>
      </w:r>
      <w:r>
        <w:t>. Henry zavedl do moderního schématu poznání pojem avicennovské preciznosti (</w:t>
      </w:r>
      <w:r w:rsidRPr="088C60B4">
        <w:rPr>
          <w:i/>
        </w:rPr>
        <w:t>equinitas tantum</w:t>
      </w:r>
      <w:r w:rsidR="005F34A6" w:rsidRPr="005F34A6">
        <w:t xml:space="preserve">; OBJ I, </w:t>
      </w:r>
      <w:r w:rsidRPr="00273106">
        <w:t>kap. 2.3.2</w:t>
      </w:r>
      <w:r w:rsidR="007A3C41">
        <w:t xml:space="preserve">), stejně jako Rufus z tohoto pojmu vytvořil koncept </w:t>
      </w:r>
      <w:r>
        <w:t>konkrétnost</w:t>
      </w:r>
      <w:r w:rsidR="007A3C41">
        <w:t>i (</w:t>
      </w:r>
      <w:r w:rsidR="007A3C41" w:rsidRPr="00917622">
        <w:rPr>
          <w:i/>
        </w:rPr>
        <w:t>concretive</w:t>
      </w:r>
      <w:r w:rsidR="007A3C41">
        <w:t>)</w:t>
      </w:r>
      <w:r>
        <w:t xml:space="preserve">. </w:t>
      </w:r>
      <w:r w:rsidRPr="00273106">
        <w:t xml:space="preserve">Pak následuje </w:t>
      </w:r>
      <w:r>
        <w:t>poznání podle aristotelské kategoriální demonstrace (</w:t>
      </w:r>
      <w:r w:rsidRPr="009E280A">
        <w:rPr>
          <w:i/>
        </w:rPr>
        <w:t>cognoscitur intelligentia componente et dividente</w:t>
      </w:r>
      <w:r>
        <w:t xml:space="preserve">), jejíž pravdivost je determinována reálnou existencí věci </w:t>
      </w:r>
      <w:r w:rsidRPr="00273106">
        <w:t>(</w:t>
      </w:r>
      <w:r w:rsidRPr="00273106">
        <w:rPr>
          <w:i/>
        </w:rPr>
        <w:t>veritas ipsius rei</w:t>
      </w:r>
      <w:r w:rsidRPr="00273106">
        <w:t xml:space="preserve">). </w:t>
      </w:r>
      <w:r>
        <w:t xml:space="preserve">První náhled nazírá podstatu věci skrze substanční </w:t>
      </w:r>
      <w:r w:rsidRPr="00E05021">
        <w:rPr>
          <w:i/>
        </w:rPr>
        <w:t>intell</w:t>
      </w:r>
      <w:r>
        <w:rPr>
          <w:i/>
        </w:rPr>
        <w:t>e</w:t>
      </w:r>
      <w:r w:rsidRPr="00E05021">
        <w:rPr>
          <w:i/>
        </w:rPr>
        <w:t>ctus agens</w:t>
      </w:r>
      <w:r>
        <w:rPr>
          <w:i/>
        </w:rPr>
        <w:fldChar w:fldCharType="begin"/>
      </w:r>
      <w:r>
        <w:instrText xml:space="preserve"> XE "</w:instrText>
      </w:r>
      <w:r w:rsidRPr="00490D32">
        <w:rPr>
          <w:i/>
        </w:rPr>
        <w:instrText>intellectus agens:</w:instrText>
      </w:r>
      <w:r w:rsidRPr="007F15DB">
        <w:instrText>moderna</w:instrText>
      </w:r>
      <w:r>
        <w:instrText xml:space="preserve">" </w:instrText>
      </w:r>
      <w:r>
        <w:rPr>
          <w:i/>
        </w:rPr>
        <w:fldChar w:fldCharType="end"/>
      </w:r>
      <w:r>
        <w:t xml:space="preserve">, protože moderní iluminát nepotřebuje aktivovat poznání od </w:t>
      </w:r>
      <w:r w:rsidRPr="00E05021">
        <w:rPr>
          <w:i/>
        </w:rPr>
        <w:t>intellectus possibilis</w:t>
      </w:r>
      <w:r>
        <w:rPr>
          <w:i/>
        </w:rPr>
        <w:fldChar w:fldCharType="begin"/>
      </w:r>
      <w:r>
        <w:instrText xml:space="preserve"> XE "</w:instrText>
      </w:r>
      <w:r w:rsidRPr="00770D02">
        <w:rPr>
          <w:i/>
        </w:rPr>
        <w:instrText>intellectus possibilis</w:instrText>
      </w:r>
      <w:r>
        <w:instrText xml:space="preserve">" </w:instrText>
      </w:r>
      <w:r>
        <w:rPr>
          <w:i/>
        </w:rPr>
        <w:fldChar w:fldCharType="end"/>
      </w:r>
      <w:r>
        <w:t xml:space="preserve"> a od aktuální první substance. </w:t>
      </w:r>
      <w:r w:rsidR="00A36398">
        <w:t>S</w:t>
      </w:r>
      <w:r>
        <w:t xml:space="preserve">myslově podmíněná pravda </w:t>
      </w:r>
      <w:r w:rsidR="00A36398" w:rsidRPr="00273106">
        <w:t>určuje</w:t>
      </w:r>
      <w:r w:rsidR="00A36398">
        <w:t xml:space="preserve"> </w:t>
      </w:r>
      <w:r w:rsidRPr="00273106">
        <w:t>jen nižší patro</w:t>
      </w:r>
      <w:r>
        <w:t xml:space="preserve"> poznání, což zavedla Grossetesteho empirická </w:t>
      </w:r>
      <w:r w:rsidRPr="08A81F91">
        <w:rPr>
          <w:i/>
        </w:rPr>
        <w:t>scientia</w:t>
      </w:r>
      <w:r w:rsidRPr="00273106">
        <w:t xml:space="preserve">. </w:t>
      </w:r>
      <w:r>
        <w:t xml:space="preserve">Pro precizní a absolutní poznání věci v její objektivní jsoucnosti </w:t>
      </w:r>
      <w:r w:rsidRPr="00273106">
        <w:t xml:space="preserve">je </w:t>
      </w:r>
      <w:r>
        <w:t>zbytečná</w:t>
      </w:r>
      <w:r w:rsidRPr="00273106">
        <w:t xml:space="preserve"> adekvace </w:t>
      </w:r>
      <w:r>
        <w:t xml:space="preserve">poznání a </w:t>
      </w:r>
      <w:r w:rsidRPr="00273106">
        <w:t>první substance</w:t>
      </w:r>
      <w:r>
        <w:t xml:space="preserve">. Moderní intelekt iluminátů objektivně osvícených přímo od moderního boha má vlastní aktualitu na způsob výše uvedené sebereflexe podle </w:t>
      </w:r>
      <w:r w:rsidRPr="009A0075">
        <w:rPr>
          <w:i/>
        </w:rPr>
        <w:t>Liber de causis</w:t>
      </w:r>
      <w:r>
        <w:rPr>
          <w:i/>
        </w:rPr>
        <w:fldChar w:fldCharType="begin"/>
      </w:r>
      <w:r>
        <w:instrText xml:space="preserve"> XE "</w:instrText>
      </w:r>
      <w:r w:rsidRPr="00C46BD8">
        <w:rPr>
          <w:i/>
        </w:rPr>
        <w:instrText>Liber de causis</w:instrText>
      </w:r>
      <w:r>
        <w:instrText xml:space="preserve">" </w:instrText>
      </w:r>
      <w:r>
        <w:rPr>
          <w:i/>
        </w:rPr>
        <w:fldChar w:fldCharType="end"/>
      </w:r>
      <w:r>
        <w:t xml:space="preserve"> (</w:t>
      </w:r>
      <w:r w:rsidRPr="009A0075">
        <w:rPr>
          <w:i/>
        </w:rPr>
        <w:t>rediens ad essentiam suam reditione complet</w:t>
      </w:r>
      <w:r w:rsidR="00F404DC">
        <w:rPr>
          <w:i/>
        </w:rPr>
        <w:t xml:space="preserve">a, </w:t>
      </w:r>
      <w:r w:rsidR="00237F73" w:rsidRPr="00F404DC">
        <w:t>kap.</w:t>
      </w:r>
      <w:r w:rsidR="00B96C47" w:rsidRPr="00F404DC">
        <w:t xml:space="preserve"> </w:t>
      </w:r>
      <w:r w:rsidR="00B96C47">
        <w:t>5</w:t>
      </w:r>
      <w:r>
        <w:t>.2.1). Moderní i</w:t>
      </w:r>
      <w:r w:rsidRPr="00273106">
        <w:t xml:space="preserve">ntelekt </w:t>
      </w:r>
      <w:r w:rsidR="000D6CEF" w:rsidRPr="00273106">
        <w:t xml:space="preserve">nepotřebuje </w:t>
      </w:r>
      <w:r w:rsidRPr="00273106">
        <w:t xml:space="preserve">k produkci poznání </w:t>
      </w:r>
      <w:r>
        <w:t xml:space="preserve">reálnou věc v modu </w:t>
      </w:r>
      <w:r w:rsidRPr="007F15DB">
        <w:rPr>
          <w:i/>
        </w:rPr>
        <w:t>per prius</w:t>
      </w:r>
      <w:r>
        <w:t xml:space="preserve"> jako první averroismus, protože primárně osvítí sám sebe v aktu moderní a postmoderní sebereflexe. Poznání ilumináta objektivně nazírá boží exemplary v modu přímého vidění (</w:t>
      </w:r>
      <w:r w:rsidRPr="001479CC">
        <w:rPr>
          <w:i/>
        </w:rPr>
        <w:t>simplici intelligentia</w:t>
      </w:r>
      <w:r>
        <w:t>). Moderní „exsistence“ věci se odvozuje od sebereflexe intelektu, což byla pro Bacona čistá paranoia. Tuto formu analytické dedukce</w:t>
      </w:r>
      <w:r>
        <w:fldChar w:fldCharType="begin"/>
      </w:r>
      <w:r>
        <w:instrText xml:space="preserve"> XE "</w:instrText>
      </w:r>
      <w:r w:rsidRPr="001B1D11">
        <w:instrText>dedukce:objektivní</w:instrText>
      </w:r>
      <w:r>
        <w:instrText xml:space="preserve">" </w:instrText>
      </w:r>
      <w:r>
        <w:fldChar w:fldCharType="end"/>
      </w:r>
      <w:r>
        <w:t xml:space="preserve"> vyložila předešlá matrice skrze spor Bacona s </w:t>
      </w:r>
      <w:r w:rsidRPr="00EC40C6">
        <w:rPr>
          <w:i/>
        </w:rPr>
        <w:t>Erfurtským anonymem</w:t>
      </w:r>
      <w:r>
        <w:t xml:space="preserve">. Bytí hypostázovaného intelektu zajišťuje primární produkci smyslu jsoucna mimo první substanci </w:t>
      </w:r>
      <w:r w:rsidRPr="00273106">
        <w:t>(</w:t>
      </w:r>
      <w:r w:rsidRPr="00273106">
        <w:rPr>
          <w:i/>
        </w:rPr>
        <w:t>quaestio quid est</w:t>
      </w:r>
      <w:r>
        <w:rPr>
          <w:i/>
        </w:rPr>
        <w:t xml:space="preserve"> intellectus</w:t>
      </w:r>
      <w:r w:rsidRPr="00273106">
        <w:rPr>
          <w:i/>
        </w:rPr>
        <w:t xml:space="preserve"> non supponit quaestionem si est res</w:t>
      </w:r>
      <w:r w:rsidR="00DB10D5">
        <w:t>; OBJ II, kap. 3</w:t>
      </w:r>
      <w:r w:rsidRPr="00C530CD">
        <w:t>.4.3</w:t>
      </w:r>
      <w:r w:rsidRPr="00273106">
        <w:t>)</w:t>
      </w:r>
      <w:r>
        <w:t xml:space="preserve">. Tento náhled dává jsoucno </w:t>
      </w:r>
      <w:r w:rsidRPr="00273106">
        <w:t>v čisté jsoucnosti samotné esence či formy</w:t>
      </w:r>
      <w:r>
        <w:t xml:space="preserve"> a tvoří postmoderní základ objektivně poznané věci, individua či konkrétna v systému abstraktního třídění. Tím se do vědeckého poznání zavedl náhled na objektivně danou </w:t>
      </w:r>
      <w:r w:rsidR="00836AA7">
        <w:t>„</w:t>
      </w:r>
      <w:r>
        <w:t>precizní</w:t>
      </w:r>
      <w:r w:rsidR="00836AA7">
        <w:t>“</w:t>
      </w:r>
      <w:r>
        <w:t xml:space="preserve"> formu, která j</w:t>
      </w:r>
      <w:r w:rsidR="00584B44">
        <w:t>e oddělena od bytí reálné věci.</w:t>
      </w:r>
    </w:p>
    <w:p w:rsidR="00524DE0" w:rsidRDefault="08163013" w:rsidP="00584B44">
      <w:pPr>
        <w:ind w:firstLine="397"/>
      </w:pPr>
      <w:r>
        <w:t>Zbožný modernista Henry po vítězství jedné pravdy v roce 1277 potře</w:t>
      </w:r>
      <w:r w:rsidR="00FD2ABB">
        <w:t xml:space="preserve">buje moderního </w:t>
      </w:r>
      <w:r>
        <w:t xml:space="preserve">boha k zajištění objektivní reality, stejně jako zbožný postmodernista Descartes. </w:t>
      </w:r>
      <w:r>
        <w:lastRenderedPageBreak/>
        <w:t xml:space="preserve">Schizofrenický bůh moderny rozdělený na aktuální a potenciální bytí v sobě intencionálně nazírá exemplary, a tím je tvoří v jejich objektivní, a tím pouze potenciální jsoucnosti. </w:t>
      </w:r>
      <w:r w:rsidR="00F4545A">
        <w:t>Scotus zásadně odmítl t</w:t>
      </w:r>
      <w:r>
        <w:t xml:space="preserve">uto </w:t>
      </w:r>
      <w:r w:rsidR="00F4545A">
        <w:t xml:space="preserve">objektivní </w:t>
      </w:r>
      <w:r>
        <w:t>strukturu boží psychologie</w:t>
      </w:r>
      <w:r w:rsidR="00F4545A">
        <w:fldChar w:fldCharType="begin"/>
      </w:r>
      <w:r w:rsidR="00F4545A">
        <w:instrText xml:space="preserve"> XE "psychologie" </w:instrText>
      </w:r>
      <w:r w:rsidR="00F4545A">
        <w:fldChar w:fldCharType="end"/>
      </w:r>
      <w:r w:rsidR="00F4545A">
        <w:t xml:space="preserve"> a</w:t>
      </w:r>
      <w:r>
        <w:t xml:space="preserve"> </w:t>
      </w:r>
      <w:r w:rsidR="00F4545A">
        <w:t xml:space="preserve">odstranil </w:t>
      </w:r>
      <w:r>
        <w:t>potenci z moderního boha v novém systé</w:t>
      </w:r>
      <w:r w:rsidR="00F4545A">
        <w:t>mu metafyziky</w:t>
      </w:r>
      <w:r>
        <w:t xml:space="preserve">. </w:t>
      </w:r>
      <w:r w:rsidRPr="00273106">
        <w:t>Teorie iluminace</w:t>
      </w:r>
      <w:r>
        <w:fldChar w:fldCharType="begin"/>
      </w:r>
      <w:r>
        <w:instrText xml:space="preserve"> XE "</w:instrText>
      </w:r>
      <w:r w:rsidRPr="005D2709">
        <w:instrText>iluminace</w:instrText>
      </w:r>
      <w:r>
        <w:instrText xml:space="preserve">" </w:instrText>
      </w:r>
      <w:r>
        <w:fldChar w:fldCharType="end"/>
      </w:r>
      <w:r w:rsidRPr="00273106">
        <w:t xml:space="preserve"> a exemplarismu </w:t>
      </w:r>
      <w:r>
        <w:t xml:space="preserve">napojené na subjektivní rezervoár </w:t>
      </w:r>
      <w:r w:rsidR="00962190" w:rsidRPr="008522EA">
        <w:t>species</w:t>
      </w:r>
      <w:r>
        <w:t xml:space="preserve"> třetího druhu </w:t>
      </w:r>
      <w:r w:rsidR="00BA123F">
        <w:t xml:space="preserve">byly </w:t>
      </w:r>
      <w:r w:rsidRPr="00273106">
        <w:t xml:space="preserve">nezbytné pro založení objektivního aspektu jsoucna, protože </w:t>
      </w:r>
      <w:r w:rsidR="00BA123F">
        <w:t xml:space="preserve">zavedly </w:t>
      </w:r>
      <w:r>
        <w:t>možnost analogické proporcionality</w:t>
      </w:r>
      <w:r w:rsidRPr="00273106">
        <w:t xml:space="preserve">. </w:t>
      </w:r>
      <w:r w:rsidR="008522EA">
        <w:t>Bůh dal o</w:t>
      </w:r>
      <w:r>
        <w:t xml:space="preserve">bjektivní exemplar </w:t>
      </w:r>
      <w:r w:rsidR="008522EA">
        <w:t xml:space="preserve">člověku </w:t>
      </w:r>
      <w:r>
        <w:t>skrze stvoření</w:t>
      </w:r>
      <w:r w:rsidR="008522EA">
        <w:t xml:space="preserve">; tato species jako </w:t>
      </w:r>
      <w:r>
        <w:t>objektivně uložen</w:t>
      </w:r>
      <w:r w:rsidR="008522EA">
        <w:t>a</w:t>
      </w:r>
      <w:r w:rsidRPr="00273106">
        <w:t xml:space="preserve"> v </w:t>
      </w:r>
      <w:r>
        <w:t>moderním typu paměti (</w:t>
      </w:r>
      <w:r w:rsidRPr="00273106">
        <w:rPr>
          <w:i/>
        </w:rPr>
        <w:t>locus specierum</w:t>
      </w:r>
      <w:r>
        <w:rPr>
          <w:i/>
        </w:rPr>
        <w:fldChar w:fldCharType="begin"/>
      </w:r>
      <w:r>
        <w:instrText xml:space="preserve"> XE "</w:instrText>
      </w:r>
      <w:r w:rsidRPr="009E5259">
        <w:rPr>
          <w:i/>
        </w:rPr>
        <w:instrText>locus specierum</w:instrText>
      </w:r>
      <w:r>
        <w:instrText xml:space="preserve">" </w:instrText>
      </w:r>
      <w:r>
        <w:rPr>
          <w:i/>
        </w:rPr>
        <w:fldChar w:fldCharType="end"/>
      </w:r>
      <w:r>
        <w:t>)</w:t>
      </w:r>
      <w:r w:rsidRPr="00273106">
        <w:t>. Slo</w:t>
      </w:r>
      <w:r>
        <w:t>žením obou náhledů (</w:t>
      </w:r>
      <w:r w:rsidRPr="00304928">
        <w:t>exemplar</w:t>
      </w:r>
      <w:r>
        <w:t xml:space="preserve"> v boží mysli</w:t>
      </w:r>
      <w:r w:rsidRPr="00273106">
        <w:t xml:space="preserve">, </w:t>
      </w:r>
      <w:r w:rsidR="00962190" w:rsidRPr="00304928">
        <w:t>species</w:t>
      </w:r>
      <w:r w:rsidRPr="00273106">
        <w:t xml:space="preserve"> v </w:t>
      </w:r>
      <w:r>
        <w:t xml:space="preserve">lidské </w:t>
      </w:r>
      <w:r w:rsidRPr="00273106">
        <w:rPr>
          <w:i/>
        </w:rPr>
        <w:t>memoria</w:t>
      </w:r>
      <w:r>
        <w:rPr>
          <w:i/>
        </w:rPr>
        <w:fldChar w:fldCharType="begin"/>
      </w:r>
      <w:r>
        <w:instrText xml:space="preserve"> XE "</w:instrText>
      </w:r>
      <w:r w:rsidRPr="00840D0F">
        <w:rPr>
          <w:i/>
        </w:rPr>
        <w:instrText>memoria:</w:instrText>
      </w:r>
      <w:r w:rsidRPr="007D4204">
        <w:instrText>Olivi</w:instrText>
      </w:r>
      <w:r>
        <w:instrText xml:space="preserve">" </w:instrText>
      </w:r>
      <w:r>
        <w:rPr>
          <w:i/>
        </w:rPr>
        <w:fldChar w:fldCharType="end"/>
      </w:r>
      <w:r w:rsidRPr="00273106">
        <w:t xml:space="preserve">) vzniká </w:t>
      </w:r>
      <w:r>
        <w:t xml:space="preserve">analogicky uchopený </w:t>
      </w:r>
      <w:r w:rsidRPr="00273106">
        <w:t xml:space="preserve">smysl jsoucna. Dvojí specifikací esence v rámci exemplaru a </w:t>
      </w:r>
      <w:r w:rsidR="00962190">
        <w:rPr>
          <w:i/>
        </w:rPr>
        <w:t>species</w:t>
      </w:r>
      <w:r w:rsidRPr="00273106">
        <w:t xml:space="preserve"> </w:t>
      </w:r>
      <w:r>
        <w:t>vznikne</w:t>
      </w:r>
      <w:r w:rsidRPr="00273106">
        <w:t xml:space="preserve"> </w:t>
      </w:r>
      <w:r>
        <w:t xml:space="preserve">metafyzická </w:t>
      </w:r>
      <w:r w:rsidRPr="00273106">
        <w:t>trojčlenk</w:t>
      </w:r>
      <w:r>
        <w:t>a</w:t>
      </w:r>
      <w:r w:rsidRPr="00273106">
        <w:t xml:space="preserve"> </w:t>
      </w:r>
      <w:r>
        <w:t>a její poměr (</w:t>
      </w:r>
      <w:r w:rsidRPr="00A46401">
        <w:rPr>
          <w:i/>
        </w:rPr>
        <w:t>ratio</w:t>
      </w:r>
      <w:r>
        <w:t xml:space="preserve">) zakládá racionální pojetí </w:t>
      </w:r>
      <w:r w:rsidRPr="00273106">
        <w:t xml:space="preserve">pravdy </w:t>
      </w:r>
      <w:r>
        <w:t>jsoucna</w:t>
      </w:r>
      <w:r>
        <w:fldChar w:fldCharType="begin"/>
      </w:r>
      <w:r>
        <w:instrText xml:space="preserve"> XE "</w:instrText>
      </w:r>
      <w:r w:rsidRPr="00BE7BAA">
        <w:instrText>predikace:analogická</w:instrText>
      </w:r>
      <w:r>
        <w:instrText xml:space="preserve">" </w:instrText>
      </w:r>
      <w:r>
        <w:fldChar w:fldCharType="end"/>
      </w:r>
      <w:r w:rsidRPr="00273106">
        <w:t xml:space="preserve">. Adekvaci věci a intelektu nahrazuje koncept univerzální </w:t>
      </w:r>
      <w:r w:rsidRPr="00273106">
        <w:rPr>
          <w:i/>
        </w:rPr>
        <w:t>analogia entis</w:t>
      </w:r>
      <w:r>
        <w:rPr>
          <w:i/>
        </w:rPr>
        <w:fldChar w:fldCharType="begin"/>
      </w:r>
      <w:r>
        <w:instrText xml:space="preserve"> XE "</w:instrText>
      </w:r>
      <w:r w:rsidRPr="00834F99">
        <w:rPr>
          <w:rStyle w:val="addmd"/>
          <w:i/>
        </w:rPr>
        <w:instrText>analogia entis</w:instrText>
      </w:r>
      <w:r>
        <w:instrText xml:space="preserve">" </w:instrText>
      </w:r>
      <w:r>
        <w:rPr>
          <w:i/>
        </w:rPr>
        <w:fldChar w:fldCharType="end"/>
      </w:r>
      <w:r>
        <w:t xml:space="preserve">. </w:t>
      </w:r>
      <w:r w:rsidRPr="00273106">
        <w:t xml:space="preserve">Univoční koncept jsoucna spojí boha a celek jsoucna skrze novou formu dvoupatrové ontoteologie. Skutečná syntéza jsoucna viděného vzniká ve druhém stupni poznání, kdy dochází k iluminaci subjektu skrze epochálně nový aspekt jsoucna. </w:t>
      </w:r>
      <w:r>
        <w:t xml:space="preserve">Objektivně </w:t>
      </w:r>
      <w:r w:rsidRPr="00273106">
        <w:t>vědoucí mysl zaměř</w:t>
      </w:r>
      <w:r>
        <w:t xml:space="preserve">uje pozornost </w:t>
      </w:r>
      <w:r w:rsidRPr="00273106">
        <w:t>(</w:t>
      </w:r>
      <w:r w:rsidRPr="00273106">
        <w:rPr>
          <w:i/>
        </w:rPr>
        <w:t>intentio</w:t>
      </w:r>
      <w:r w:rsidRPr="00273106">
        <w:t xml:space="preserve">) k </w:t>
      </w:r>
      <w:r>
        <w:t>exemplar</w:t>
      </w:r>
      <w:r w:rsidRPr="00273106">
        <w:t>u</w:t>
      </w:r>
      <w:r>
        <w:t xml:space="preserve">. </w:t>
      </w:r>
      <w:r w:rsidR="00544E3A">
        <w:t>Specifické p</w:t>
      </w:r>
      <w:r>
        <w:t>oznání existuje v</w:t>
      </w:r>
      <w:r w:rsidR="00544E3A">
        <w:t xml:space="preserve"> moderním </w:t>
      </w:r>
      <w:r>
        <w:t>bohu jen jako potence, tedy jako intencionální objekt</w:t>
      </w:r>
      <w:r>
        <w:fldChar w:fldCharType="begin"/>
      </w:r>
      <w:r>
        <w:instrText xml:space="preserve"> XE "</w:instrText>
      </w:r>
      <w:r w:rsidRPr="008829CC">
        <w:instrText>intencionalita:moderna</w:instrText>
      </w:r>
      <w:r>
        <w:instrText xml:space="preserve">" </w:instrText>
      </w:r>
      <w:r>
        <w:fldChar w:fldCharType="end"/>
      </w:r>
      <w:r>
        <w:t xml:space="preserve"> konstituovaný aktivním božím intelektem. Bytí moderního exemplaru zajistila Avicennova metafyzika v abstraktním modu </w:t>
      </w:r>
      <w:r w:rsidRPr="00481C29">
        <w:rPr>
          <w:i/>
        </w:rPr>
        <w:t>ens inquantum ens</w:t>
      </w:r>
      <w:r>
        <w:rPr>
          <w:i/>
        </w:rPr>
        <w:fldChar w:fldCharType="begin"/>
      </w:r>
      <w:r>
        <w:instrText xml:space="preserve"> XE "</w:instrText>
      </w:r>
      <w:r w:rsidRPr="005424E2">
        <w:rPr>
          <w:i/>
        </w:rPr>
        <w:instrText>ens inquantum ens</w:instrText>
      </w:r>
      <w:r>
        <w:instrText xml:space="preserve">" </w:instrText>
      </w:r>
      <w:r>
        <w:rPr>
          <w:i/>
        </w:rPr>
        <w:fldChar w:fldCharType="end"/>
      </w:r>
      <w:r w:rsidR="00F86CB8">
        <w:t xml:space="preserve">. Boží intencionalita uchopila </w:t>
      </w:r>
      <w:r>
        <w:t>exemplar</w:t>
      </w:r>
      <w:r w:rsidRPr="00273106">
        <w:t xml:space="preserve"> </w:t>
      </w:r>
      <w:r>
        <w:t xml:space="preserve">v modu objektivity </w:t>
      </w:r>
      <w:r w:rsidR="00F86CB8">
        <w:t xml:space="preserve">a tím </w:t>
      </w:r>
      <w:r>
        <w:t>nahradila</w:t>
      </w:r>
      <w:r w:rsidRPr="00273106">
        <w:t xml:space="preserve"> </w:t>
      </w:r>
      <w:r>
        <w:t>proces abstrakce daný v prvním averroismu</w:t>
      </w:r>
      <w:r w:rsidR="00F86CB8">
        <w:t xml:space="preserve"> skrze </w:t>
      </w:r>
      <w:r w:rsidR="00962190">
        <w:rPr>
          <w:i/>
        </w:rPr>
        <w:t>species</w:t>
      </w:r>
      <w:r>
        <w:rPr>
          <w:i/>
        </w:rPr>
        <w:t xml:space="preserve"> i</w:t>
      </w:r>
      <w:r w:rsidRPr="00273106">
        <w:rPr>
          <w:i/>
        </w:rPr>
        <w:t>ntelligibilis</w:t>
      </w:r>
      <w:r>
        <w:t xml:space="preserve">. Intencionální předměty recipované v </w:t>
      </w:r>
      <w:r w:rsidRPr="008D7EEA">
        <w:rPr>
          <w:i/>
        </w:rPr>
        <w:t>intellectus possibilis</w:t>
      </w:r>
      <w:r>
        <w:t xml:space="preserve"> byly </w:t>
      </w:r>
      <w:r w:rsidRPr="00273106">
        <w:t xml:space="preserve">nutné v prvním averroismu k uskutečnění </w:t>
      </w:r>
      <w:r>
        <w:t>Averroes</w:t>
      </w:r>
      <w:r w:rsidRPr="00273106">
        <w:t xml:space="preserve">ova </w:t>
      </w:r>
      <w:r w:rsidRPr="00273106">
        <w:rPr>
          <w:i/>
        </w:rPr>
        <w:t>proportio</w:t>
      </w:r>
      <w:r w:rsidRPr="00273106">
        <w:t xml:space="preserve"> mezi individuální věcí a mezi jejím univerzálním poznáním. </w:t>
      </w:r>
      <w:r>
        <w:t>Metafyzická abstrakce degenerovala v moderně na matematickou a logickou abstrakci, jež z podstaty věci není schopna podat metafyzickou jednotu světa na úrovni reáln</w:t>
      </w:r>
      <w:r w:rsidR="00524DE0">
        <w:t>ých prvních substancí.</w:t>
      </w:r>
    </w:p>
    <w:p w:rsidR="08163013" w:rsidRPr="00273106" w:rsidRDefault="08163013" w:rsidP="00584B44">
      <w:pPr>
        <w:ind w:firstLine="397"/>
      </w:pPr>
      <w:r>
        <w:t>Tuto specifickou slepotu moderny viděl do hloubky pouze Siger, protože jako jediný myslitel této generace přesně určil základní selhá</w:t>
      </w:r>
      <w:r w:rsidR="00D91F34">
        <w:t>ní Avicennovy metafyziky (kap. 4</w:t>
      </w:r>
      <w:r>
        <w:t>.4.1). Ale nyní se píše rok 1280, Siger je v akademickém exilu a Gandavus převzal artistickou fakultu. Generace moderních latinských sofistů pevně usazená v Oxford</w:t>
      </w:r>
      <w:r w:rsidR="002C2E69">
        <w:t>u a v Paříži mocensky prezentovala</w:t>
      </w:r>
      <w:r>
        <w:t xml:space="preserve"> novou jednotu poznání v objektivním dualismu přirozené a nadpřirozené </w:t>
      </w:r>
      <w:r>
        <w:lastRenderedPageBreak/>
        <w:t xml:space="preserve">pravdy. </w:t>
      </w:r>
      <w:r w:rsidRPr="00273106">
        <w:t xml:space="preserve">Objektivní náhled na celek jsoucna v modu moderní intencionality </w:t>
      </w:r>
      <w:r>
        <w:t>od Gandava až po Husserla</w:t>
      </w:r>
      <w:r>
        <w:fldChar w:fldCharType="begin"/>
      </w:r>
      <w:r>
        <w:instrText xml:space="preserve"> XE "</w:instrText>
      </w:r>
      <w:r w:rsidRPr="000710C4">
        <w:instrText>Husserl, E.</w:instrText>
      </w:r>
      <w:r>
        <w:instrText xml:space="preserve">" </w:instrText>
      </w:r>
      <w:r>
        <w:fldChar w:fldCharType="end"/>
      </w:r>
      <w:r>
        <w:t xml:space="preserve"> </w:t>
      </w:r>
      <w:r w:rsidRPr="00273106">
        <w:t>vypadá následovně.</w:t>
      </w:r>
    </w:p>
    <w:p w:rsidR="08163013" w:rsidRPr="006960C4" w:rsidRDefault="08163013" w:rsidP="08163013">
      <w:pPr>
        <w:pStyle w:val="Citace"/>
        <w:rPr>
          <w:noProof/>
          <w:lang w:val="cs-CZ"/>
        </w:rPr>
      </w:pPr>
      <w:r w:rsidRPr="00273106">
        <w:rPr>
          <w:noProof/>
          <w:lang w:val="cs-CZ"/>
        </w:rPr>
        <w:t>„</w:t>
      </w:r>
      <w:r>
        <w:rPr>
          <w:noProof/>
          <w:lang w:val="cs-CZ"/>
        </w:rPr>
        <w:t>Pravda, která určuje intenci věci vzhledem k jejímu exemplaru, není primární, ale sekundární. Jsoucno vypovídá intenci věci v modu primární oddělenosti (</w:t>
      </w:r>
      <w:r w:rsidRPr="002920F8">
        <w:rPr>
          <w:i/>
        </w:rPr>
        <w:t>ens autem dicit intentionem rei primam et absolutam</w:t>
      </w:r>
      <w:r>
        <w:rPr>
          <w:noProof/>
          <w:lang w:val="cs-CZ"/>
        </w:rPr>
        <w:t>). To co je jsoucno a pravda v každé věci můžeme poznat přímo v intelektu a to tak, že  poznáváme intenci této pravdy</w:t>
      </w:r>
      <w:r w:rsidR="005B10ED">
        <w:rPr>
          <w:noProof/>
          <w:lang w:val="cs-CZ"/>
        </w:rPr>
        <w:t xml:space="preserve"> </w:t>
      </w:r>
      <w:r w:rsidR="005B10ED">
        <w:t>(</w:t>
      </w:r>
      <w:r w:rsidR="005B10ED" w:rsidRPr="00377313">
        <w:rPr>
          <w:i/>
        </w:rPr>
        <w:t>intentio veritatis</w:t>
      </w:r>
      <w:r w:rsidR="005B10ED">
        <w:t xml:space="preserve">) </w:t>
      </w:r>
      <w:r>
        <w:rPr>
          <w:noProof/>
          <w:lang w:val="cs-CZ"/>
        </w:rPr>
        <w:t>od jsoucna jako takového. Intence pravdy v reálné věci (</w:t>
      </w:r>
      <w:r w:rsidRPr="00921DED">
        <w:rPr>
          <w:i/>
        </w:rPr>
        <w:t>veritatis in re</w:t>
      </w:r>
      <w:r>
        <w:rPr>
          <w:noProof/>
          <w:lang w:val="cs-CZ"/>
        </w:rPr>
        <w:t>) se poznává pouze skrze poznání její podobnosti s exemplarem (</w:t>
      </w:r>
      <w:r w:rsidRPr="00BF1CBE">
        <w:rPr>
          <w:i/>
        </w:rPr>
        <w:t>conformitatem eius ad suum exemplar</w:t>
      </w:r>
      <w:r>
        <w:rPr>
          <w:noProof/>
          <w:lang w:val="cs-CZ"/>
        </w:rPr>
        <w:t>). Intence pravdy jsoucna jako takového (</w:t>
      </w:r>
      <w:r w:rsidRPr="00921DED">
        <w:rPr>
          <w:i/>
        </w:rPr>
        <w:t>vero entis</w:t>
      </w:r>
      <w:r>
        <w:rPr>
          <w:noProof/>
          <w:lang w:val="cs-CZ"/>
        </w:rPr>
        <w:t>) je dána v oddělené věci (</w:t>
      </w:r>
      <w:r w:rsidRPr="006960C4">
        <w:rPr>
          <w:i/>
          <w:noProof/>
          <w:lang w:val="cs-CZ"/>
        </w:rPr>
        <w:t>in re absoluta</w:t>
      </w:r>
      <w:r>
        <w:rPr>
          <w:noProof/>
          <w:lang w:val="cs-CZ"/>
        </w:rPr>
        <w:t>), která je zbavena tohoto exemplárného vztahu.“ </w:t>
      </w:r>
      <w:r>
        <w:rPr>
          <w:rStyle w:val="Znakapoznpodarou"/>
        </w:rPr>
        <w:footnoteReference w:id="407"/>
      </w:r>
    </w:p>
    <w:p w:rsidR="00B92AEC" w:rsidRDefault="00BA0E7B" w:rsidP="08163013">
      <w:r>
        <w:t>V objek</w:t>
      </w:r>
      <w:r w:rsidR="08163013">
        <w:t>tivní</w:t>
      </w:r>
      <w:r>
        <w:t>m</w:t>
      </w:r>
      <w:r w:rsidR="08163013">
        <w:t xml:space="preserve"> náhledu jsoucna je opět ve hře </w:t>
      </w:r>
      <w:r w:rsidR="00027A98">
        <w:t xml:space="preserve">určující </w:t>
      </w:r>
      <w:r w:rsidR="08163013">
        <w:t>negace</w:t>
      </w:r>
      <w:r w:rsidR="00870193">
        <w:t xml:space="preserve">. Ta </w:t>
      </w:r>
      <w:r w:rsidR="08163013">
        <w:t>oddělí pravdu danou adekvací mysli k exemplaru od pravdy</w:t>
      </w:r>
      <w:r>
        <w:t xml:space="preserve">, která je </w:t>
      </w:r>
      <w:r w:rsidR="00783792">
        <w:t xml:space="preserve">daná jako </w:t>
      </w:r>
      <w:r>
        <w:t xml:space="preserve">zcela odděleně </w:t>
      </w:r>
      <w:r w:rsidR="00783792">
        <w:t>nazíraná</w:t>
      </w:r>
      <w:r>
        <w:t xml:space="preserve"> jsoucnost</w:t>
      </w:r>
      <w:r w:rsidR="08163013">
        <w:t xml:space="preserve"> věci</w:t>
      </w:r>
      <w:r w:rsidR="00783792">
        <w:t xml:space="preserve"> (</w:t>
      </w:r>
      <w:r w:rsidR="00783792" w:rsidRPr="00783792">
        <w:rPr>
          <w:i/>
        </w:rPr>
        <w:t>in re absoluta</w:t>
      </w:r>
      <w:r w:rsidR="00783792">
        <w:t>)</w:t>
      </w:r>
      <w:r w:rsidR="00663554">
        <w:t>. T</w:t>
      </w:r>
      <w:r w:rsidR="00783792">
        <w:t xml:space="preserve">ato nová forma </w:t>
      </w:r>
      <w:r w:rsidR="00404C26">
        <w:t>jsoucnosti existuje mimo boží exemplary a</w:t>
      </w:r>
      <w:r w:rsidR="00663554">
        <w:t xml:space="preserve"> </w:t>
      </w:r>
      <w:r w:rsidR="00870193">
        <w:t>je daná</w:t>
      </w:r>
      <w:r w:rsidR="08163013">
        <w:t xml:space="preserve"> v čisté eidetické objektivitě. </w:t>
      </w:r>
      <w:r w:rsidR="08163013" w:rsidRPr="00273106">
        <w:t xml:space="preserve">Henry přebírá Avicennovu poučku, že prvním postřehem intelektu je jsoucno. </w:t>
      </w:r>
      <w:r w:rsidR="08163013">
        <w:t>Nová dedukce</w:t>
      </w:r>
      <w:r w:rsidR="08163013">
        <w:fldChar w:fldCharType="begin"/>
      </w:r>
      <w:r w:rsidR="08163013">
        <w:instrText xml:space="preserve"> XE "</w:instrText>
      </w:r>
      <w:r w:rsidR="08163013" w:rsidRPr="00484FE1">
        <w:instrText>dedukce:objektivní</w:instrText>
      </w:r>
      <w:r w:rsidR="08163013">
        <w:instrText xml:space="preserve">" </w:instrText>
      </w:r>
      <w:r w:rsidR="08163013">
        <w:fldChar w:fldCharType="end"/>
      </w:r>
      <w:r w:rsidR="08163013">
        <w:t xml:space="preserve"> se oddělila od náhledu daného skrze </w:t>
      </w:r>
      <w:r w:rsidR="00876025">
        <w:t xml:space="preserve">boží </w:t>
      </w:r>
      <w:r w:rsidR="08163013">
        <w:t xml:space="preserve">exemplar a založila primární poznání v rámci čisté jsoucnosti </w:t>
      </w:r>
      <w:r w:rsidR="08163013" w:rsidRPr="00273106">
        <w:t>(</w:t>
      </w:r>
      <w:r w:rsidR="08163013" w:rsidRPr="00273106">
        <w:rPr>
          <w:i/>
        </w:rPr>
        <w:t>ens autem dicit intentionem rei primam et absolutam</w:t>
      </w:r>
      <w:r w:rsidR="08163013" w:rsidRPr="00273106">
        <w:t>)</w:t>
      </w:r>
      <w:r w:rsidR="08163013">
        <w:t xml:space="preserve">. Intencionální náhled na čisté </w:t>
      </w:r>
      <w:r w:rsidR="08163013" w:rsidRPr="0000734A">
        <w:rPr>
          <w:i/>
        </w:rPr>
        <w:t>ens commune</w:t>
      </w:r>
      <w:r w:rsidR="08163013">
        <w:t xml:space="preserve"> j</w:t>
      </w:r>
      <w:r w:rsidR="08163013" w:rsidRPr="00273106">
        <w:t xml:space="preserve">e pro modernu naprosto zásadní. </w:t>
      </w:r>
      <w:r w:rsidR="0031363E" w:rsidRPr="0031363E">
        <w:t>Uvažováno na úrovni objektivní intencionality, je pravda nové metafyziky oddělena od božského poz</w:t>
      </w:r>
      <w:r w:rsidR="0031363E">
        <w:t xml:space="preserve">nání a od </w:t>
      </w:r>
      <w:r w:rsidR="08163013">
        <w:t>stvořené reality</w:t>
      </w:r>
      <w:r w:rsidR="000B15B0">
        <w:t>. O</w:t>
      </w:r>
      <w:r w:rsidR="001F52A4">
        <w:t>bjek</w:t>
      </w:r>
      <w:r w:rsidR="000B15B0">
        <w:t>t</w:t>
      </w:r>
      <w:r w:rsidR="001F52A4">
        <w:t>ivní pravda</w:t>
      </w:r>
      <w:r w:rsidR="000B15B0">
        <w:t xml:space="preserve"> se zjevuje </w:t>
      </w:r>
      <w:r w:rsidR="08163013" w:rsidRPr="00273106">
        <w:t>v p</w:t>
      </w:r>
      <w:r w:rsidR="08163013">
        <w:t xml:space="preserve">římém náhledu eidetického bytí jsoucna, které ukazuje nové bytí věci zcela oddělené od reality </w:t>
      </w:r>
      <w:r w:rsidR="08163013" w:rsidRPr="00273106">
        <w:t>(</w:t>
      </w:r>
      <w:r w:rsidR="08163013" w:rsidRPr="00273106">
        <w:rPr>
          <w:i/>
        </w:rPr>
        <w:t>intentio vero entis apprehenditur in re absoluta</w:t>
      </w:r>
      <w:r w:rsidR="08163013" w:rsidRPr="00273106">
        <w:t xml:space="preserve">). </w:t>
      </w:r>
      <w:r w:rsidR="00B92AEC">
        <w:t>Tato absolutně založená i</w:t>
      </w:r>
      <w:r w:rsidR="08163013" w:rsidRPr="00273106">
        <w:t xml:space="preserve">ntence </w:t>
      </w:r>
      <w:r w:rsidR="00B92AEC">
        <w:t xml:space="preserve">směřuje k </w:t>
      </w:r>
      <w:r w:rsidR="08163013" w:rsidRPr="00273106">
        <w:t xml:space="preserve">apriorně </w:t>
      </w:r>
      <w:r w:rsidR="08163013">
        <w:t>čist</w:t>
      </w:r>
      <w:r w:rsidR="00B92AEC">
        <w:t xml:space="preserve">é jsoucnosti, která </w:t>
      </w:r>
      <w:r w:rsidR="08163013">
        <w:t>zaklád</w:t>
      </w:r>
      <w:r w:rsidR="00B92AEC">
        <w:t xml:space="preserve">á minimální, </w:t>
      </w:r>
      <w:r w:rsidR="08163013">
        <w:t>a tím absolutně jistý význam objektivně manifestov</w:t>
      </w:r>
      <w:r w:rsidR="00B92AEC">
        <w:t>ané věci.</w:t>
      </w:r>
    </w:p>
    <w:p w:rsidR="08163013" w:rsidRDefault="003D5CC6" w:rsidP="00935581">
      <w:pPr>
        <w:ind w:firstLine="397"/>
      </w:pPr>
      <w:r>
        <w:t>Zavedení</w:t>
      </w:r>
      <w:r w:rsidR="08163013">
        <w:t xml:space="preserve"> univoční dedukce </w:t>
      </w:r>
      <w:r w:rsidR="00D84686">
        <w:t xml:space="preserve">metafyziky </w:t>
      </w:r>
      <w:r w:rsidR="08163013">
        <w:t>od pojmu čisté jsoucnosti v</w:t>
      </w:r>
      <w:r>
        <w:t xml:space="preserve">ytvořilo </w:t>
      </w:r>
      <w:r w:rsidR="00E221A2">
        <w:t xml:space="preserve">v letech 1280–85 </w:t>
      </w:r>
      <w:r>
        <w:t>první verzi</w:t>
      </w:r>
      <w:r w:rsidR="08163013">
        <w:t xml:space="preserve"> moderní </w:t>
      </w:r>
      <w:r w:rsidR="08163013" w:rsidRPr="008A081A">
        <w:rPr>
          <w:i/>
        </w:rPr>
        <w:t>metap</w:t>
      </w:r>
      <w:r w:rsidR="08163013">
        <w:rPr>
          <w:i/>
        </w:rPr>
        <w:t>hy</w:t>
      </w:r>
      <w:r w:rsidR="08163013" w:rsidRPr="008A081A">
        <w:rPr>
          <w:i/>
        </w:rPr>
        <w:t>sica generalis</w:t>
      </w:r>
      <w:r w:rsidR="08163013">
        <w:rPr>
          <w:i/>
        </w:rPr>
        <w:fldChar w:fldCharType="begin"/>
      </w:r>
      <w:r w:rsidR="08163013">
        <w:instrText xml:space="preserve"> XE "</w:instrText>
      </w:r>
      <w:r w:rsidR="08163013" w:rsidRPr="007E3962">
        <w:rPr>
          <w:i/>
        </w:rPr>
        <w:instrText>metaphysica generalis</w:instrText>
      </w:r>
      <w:r w:rsidR="08163013">
        <w:instrText xml:space="preserve">" </w:instrText>
      </w:r>
      <w:r w:rsidR="08163013">
        <w:rPr>
          <w:i/>
        </w:rPr>
        <w:fldChar w:fldCharType="end"/>
      </w:r>
      <w:r w:rsidR="08163013">
        <w:t xml:space="preserve">. Intence </w:t>
      </w:r>
      <w:r w:rsidR="08163013" w:rsidRPr="00273106">
        <w:t xml:space="preserve">poznávajícího intelektu </w:t>
      </w:r>
      <w:r w:rsidR="08163013">
        <w:fldChar w:fldCharType="begin"/>
      </w:r>
      <w:r w:rsidR="08163013">
        <w:instrText xml:space="preserve"> XE "</w:instrText>
      </w:r>
      <w:r w:rsidR="08163013" w:rsidRPr="004B3AA1">
        <w:instrText>intencionalita:Gandavus</w:instrText>
      </w:r>
      <w:r w:rsidR="08163013">
        <w:instrText xml:space="preserve">" </w:instrText>
      </w:r>
      <w:r w:rsidR="08163013">
        <w:fldChar w:fldCharType="end"/>
      </w:r>
      <w:r w:rsidR="08163013">
        <w:t>ne</w:t>
      </w:r>
      <w:r w:rsidR="08163013" w:rsidRPr="00273106">
        <w:t>jde</w:t>
      </w:r>
      <w:r w:rsidR="08163013">
        <w:t xml:space="preserve"> ke smyslov</w:t>
      </w:r>
      <w:r w:rsidR="00935581">
        <w:t>ě poznaným</w:t>
      </w:r>
      <w:r w:rsidR="08163013">
        <w:t xml:space="preserve"> věc</w:t>
      </w:r>
      <w:r w:rsidR="00935581">
        <w:t>em</w:t>
      </w:r>
      <w:r w:rsidR="08163013">
        <w:t xml:space="preserve">, ale </w:t>
      </w:r>
      <w:r w:rsidR="08163013" w:rsidRPr="00273106">
        <w:t>k</w:t>
      </w:r>
      <w:r w:rsidR="00935581">
        <w:t xml:space="preserve"> objektivním species. </w:t>
      </w:r>
      <w:r w:rsidR="00935581" w:rsidRPr="00935581">
        <w:t xml:space="preserve">Gandavus </w:t>
      </w:r>
      <w:r w:rsidR="00935581">
        <w:t xml:space="preserve">tím </w:t>
      </w:r>
      <w:r w:rsidR="00935581" w:rsidRPr="00935581">
        <w:t xml:space="preserve">ustanovil novou </w:t>
      </w:r>
      <w:r w:rsidR="00935581">
        <w:t xml:space="preserve">korespondenci </w:t>
      </w:r>
      <w:r w:rsidR="00935581" w:rsidRPr="00935581">
        <w:t>m</w:t>
      </w:r>
      <w:r w:rsidR="00935581">
        <w:t xml:space="preserve">ezi myšlením a věčnými formami. </w:t>
      </w:r>
      <w:r w:rsidR="08163013">
        <w:t xml:space="preserve">Následující </w:t>
      </w:r>
      <w:r w:rsidR="00D85011">
        <w:t xml:space="preserve">etapy </w:t>
      </w:r>
      <w:r w:rsidR="08163013">
        <w:t>myšlení řídí moderní podoba chimérické pravdy daná intencí objektivně nazírané věci (</w:t>
      </w:r>
      <w:r w:rsidR="08163013" w:rsidRPr="00312776">
        <w:rPr>
          <w:i/>
        </w:rPr>
        <w:t>intentio veritatis in re</w:t>
      </w:r>
      <w:r w:rsidR="08163013">
        <w:t xml:space="preserve">), a nikoliv adekvace reálné věci a </w:t>
      </w:r>
      <w:r w:rsidR="08163013">
        <w:lastRenderedPageBreak/>
        <w:t xml:space="preserve">intelektu. </w:t>
      </w:r>
      <w:r w:rsidR="006A62DE">
        <w:t>Mysl ilumináta zakládá i</w:t>
      </w:r>
      <w:r w:rsidR="08163013">
        <w:t xml:space="preserve">ntencionálně danou pravdu </w:t>
      </w:r>
      <w:r w:rsidR="006A62DE">
        <w:t xml:space="preserve">skrze </w:t>
      </w:r>
      <w:r w:rsidR="08163013">
        <w:t xml:space="preserve">konformitu </w:t>
      </w:r>
      <w:r w:rsidR="006A62DE">
        <w:t xml:space="preserve">objektivní </w:t>
      </w:r>
      <w:r w:rsidR="08163013">
        <w:t>intence s božím exemplarem (</w:t>
      </w:r>
      <w:r w:rsidR="08163013" w:rsidRPr="00312776">
        <w:rPr>
          <w:i/>
        </w:rPr>
        <w:t>apprehendendo conformitatem eius ad suum exemplar</w:t>
      </w:r>
      <w:r w:rsidR="08163013">
        <w:t>). Tím se stal moderní bůh v metafyzice iluminátů objektivně nutným jsoucnem vytvořeným k obrazu lidského demiurga. Objektivní pravda daná skrze moderní intencionalitu</w:t>
      </w:r>
      <w:r w:rsidR="08163013" w:rsidRPr="00273106">
        <w:t xml:space="preserve"> </w:t>
      </w:r>
      <w:r w:rsidR="08163013">
        <w:t>spojuje Henryho, Descarta</w:t>
      </w:r>
      <w:r w:rsidR="08163013">
        <w:fldChar w:fldCharType="begin"/>
      </w:r>
      <w:r w:rsidR="08163013">
        <w:instrText xml:space="preserve"> XE "</w:instrText>
      </w:r>
      <w:r w:rsidR="08163013" w:rsidRPr="004146C6">
        <w:rPr>
          <w:rStyle w:val="addmd"/>
        </w:rPr>
        <w:instrText>Descartes, R.</w:instrText>
      </w:r>
      <w:r w:rsidR="08163013">
        <w:instrText xml:space="preserve">" </w:instrText>
      </w:r>
      <w:r w:rsidR="08163013">
        <w:fldChar w:fldCharType="end"/>
      </w:r>
      <w:r w:rsidR="08163013">
        <w:t xml:space="preserve"> a Husserla</w:t>
      </w:r>
      <w:r w:rsidR="08163013">
        <w:fldChar w:fldCharType="begin"/>
      </w:r>
      <w:r w:rsidR="08163013">
        <w:instrText xml:space="preserve"> XE "</w:instrText>
      </w:r>
      <w:r w:rsidR="08163013" w:rsidRPr="000710C4">
        <w:instrText>Husserl, E.</w:instrText>
      </w:r>
      <w:r w:rsidR="08163013">
        <w:instrText xml:space="preserve">" </w:instrText>
      </w:r>
      <w:r w:rsidR="08163013">
        <w:fldChar w:fldCharType="end"/>
      </w:r>
      <w:r w:rsidR="08163013">
        <w:t xml:space="preserve"> nikoliv se smyslovým </w:t>
      </w:r>
      <w:r w:rsidR="00962190">
        <w:rPr>
          <w:i/>
        </w:rPr>
        <w:t>species</w:t>
      </w:r>
      <w:r w:rsidR="08163013">
        <w:t xml:space="preserve">, ale s poznáním </w:t>
      </w:r>
      <w:r w:rsidR="00FF6667">
        <w:t xml:space="preserve">objektivní </w:t>
      </w:r>
      <w:r w:rsidR="08163013">
        <w:t xml:space="preserve">věci </w:t>
      </w:r>
      <w:r w:rsidR="00FF6667" w:rsidRPr="00273106">
        <w:t>(</w:t>
      </w:r>
      <w:r w:rsidR="00FF6667" w:rsidRPr="00273106">
        <w:rPr>
          <w:i/>
        </w:rPr>
        <w:t>intentionem rei in respectu ad suum exemplar</w:t>
      </w:r>
      <w:r w:rsidR="00FF6667" w:rsidRPr="00273106">
        <w:t>)</w:t>
      </w:r>
      <w:r w:rsidR="00FF6667">
        <w:t xml:space="preserve">. Toto poznání je dané </w:t>
      </w:r>
      <w:r w:rsidR="08163013">
        <w:t xml:space="preserve">jako teologické nebo filosofické </w:t>
      </w:r>
      <w:r w:rsidR="08163013" w:rsidRPr="00107CE6">
        <w:rPr>
          <w:i/>
        </w:rPr>
        <w:t>scibile</w:t>
      </w:r>
      <w:r w:rsidR="08163013">
        <w:t xml:space="preserve"> produkované v </w:t>
      </w:r>
      <w:r w:rsidR="00FF6667">
        <w:t>substanciálně pojatém intelektu</w:t>
      </w:r>
      <w:r w:rsidR="08163013" w:rsidRPr="00273106">
        <w:t xml:space="preserve">. </w:t>
      </w:r>
      <w:r w:rsidR="08163013">
        <w:t xml:space="preserve">Moderna </w:t>
      </w:r>
      <w:r w:rsidR="08163013" w:rsidRPr="00273106">
        <w:t xml:space="preserve">nepotřebuje </w:t>
      </w:r>
      <w:r w:rsidR="08163013">
        <w:t>smyslová</w:t>
      </w:r>
      <w:r w:rsidR="08163013" w:rsidRPr="00273106">
        <w:t xml:space="preserve"> a inteligibilní </w:t>
      </w:r>
      <w:r w:rsidR="00962190">
        <w:rPr>
          <w:i/>
        </w:rPr>
        <w:t>species</w:t>
      </w:r>
      <w:r w:rsidR="08163013" w:rsidRPr="00273106">
        <w:t xml:space="preserve"> </w:t>
      </w:r>
      <w:r w:rsidR="08163013">
        <w:t>daná</w:t>
      </w:r>
      <w:r w:rsidR="08163013" w:rsidRPr="00273106">
        <w:t xml:space="preserve"> od věci, </w:t>
      </w:r>
      <w:r w:rsidR="08163013">
        <w:t xml:space="preserve">protože si vystačí </w:t>
      </w:r>
      <w:r w:rsidR="08163013" w:rsidRPr="00273106">
        <w:t xml:space="preserve">s jejich </w:t>
      </w:r>
      <w:r w:rsidR="08163013">
        <w:t xml:space="preserve">objektivními </w:t>
      </w:r>
      <w:r w:rsidR="08163013" w:rsidRPr="00273106">
        <w:t xml:space="preserve">duplikáty uloženými v </w:t>
      </w:r>
      <w:r w:rsidR="08163013">
        <w:t xml:space="preserve">moderní podobě </w:t>
      </w:r>
      <w:r w:rsidR="08163013" w:rsidRPr="00273106">
        <w:t>paměti</w:t>
      </w:r>
      <w:r w:rsidR="08163013">
        <w:t xml:space="preserve"> jako </w:t>
      </w:r>
      <w:r w:rsidR="08163013" w:rsidRPr="087C5D79">
        <w:rPr>
          <w:i/>
        </w:rPr>
        <w:t>locus specierum</w:t>
      </w:r>
      <w:r w:rsidR="08163013">
        <w:t>. O</w:t>
      </w:r>
      <w:r w:rsidR="08163013" w:rsidRPr="00273106">
        <w:t xml:space="preserve">bjektivní </w:t>
      </w:r>
      <w:r w:rsidR="08163013">
        <w:t xml:space="preserve">poznání </w:t>
      </w:r>
      <w:r w:rsidR="08163013" w:rsidRPr="00273106">
        <w:t>nejde k</w:t>
      </w:r>
      <w:r w:rsidR="08163013">
        <w:t xml:space="preserve"> reálné </w:t>
      </w:r>
      <w:r w:rsidR="08163013" w:rsidRPr="00273106">
        <w:t xml:space="preserve">věci, ale k jejímu </w:t>
      </w:r>
      <w:r w:rsidR="005A7EB4">
        <w:t xml:space="preserve">objektivnímu </w:t>
      </w:r>
      <w:r w:rsidR="08163013" w:rsidRPr="00273106">
        <w:t xml:space="preserve">exemplaru. </w:t>
      </w:r>
      <w:r w:rsidR="08163013">
        <w:t>Zavedením dvojí podoby intencionality a abstrakce vznikla dvě patra poznání: aristotelské a avicennovské, přirozené a nadpřirozené</w:t>
      </w:r>
      <w:r w:rsidR="004275D9">
        <w:t xml:space="preserve"> (tj. objektivní)</w:t>
      </w:r>
      <w:r w:rsidR="08163013">
        <w:t>.</w:t>
      </w:r>
      <w:r w:rsidR="08163013" w:rsidRPr="08150B16">
        <w:t xml:space="preserve"> </w:t>
      </w:r>
      <w:r w:rsidR="08163013">
        <w:t xml:space="preserve">Intencionalita </w:t>
      </w:r>
      <w:r w:rsidR="00F075D6">
        <w:t xml:space="preserve">daná smyslově </w:t>
      </w:r>
      <w:r w:rsidR="08163013">
        <w:t xml:space="preserve">zajišťuje filosofické poznání </w:t>
      </w:r>
      <w:r w:rsidR="00F075D6">
        <w:t xml:space="preserve">pouze </w:t>
      </w:r>
      <w:r w:rsidR="08163013">
        <w:t xml:space="preserve">na sekundární </w:t>
      </w:r>
      <w:r w:rsidR="08163013" w:rsidRPr="00273106">
        <w:t>úrovni</w:t>
      </w:r>
      <w:r w:rsidR="08163013">
        <w:t xml:space="preserve"> </w:t>
      </w:r>
      <w:r w:rsidR="08163013" w:rsidRPr="00273106">
        <w:t>(</w:t>
      </w:r>
      <w:r w:rsidR="08163013" w:rsidRPr="00273106">
        <w:rPr>
          <w:i/>
        </w:rPr>
        <w:t>non est prima, sed secundaria</w:t>
      </w:r>
      <w:r w:rsidR="08163013" w:rsidRPr="00273106">
        <w:t>)</w:t>
      </w:r>
      <w:r w:rsidR="00F075D6">
        <w:t>. E</w:t>
      </w:r>
      <w:r w:rsidR="08163013">
        <w:t>xemplar</w:t>
      </w:r>
      <w:r w:rsidR="00F075D6">
        <w:t xml:space="preserve"> zajišťuje první a nejvyšší úroveň poznání</w:t>
      </w:r>
      <w:r w:rsidR="08163013" w:rsidRPr="00273106">
        <w:t>.</w:t>
      </w:r>
      <w:r w:rsidR="08163013">
        <w:t xml:space="preserve"> Metafyzická odkrytost jsoucna se u Oliviho a Gandava stala objektem </w:t>
      </w:r>
      <w:r w:rsidR="08163013" w:rsidRPr="08E42C60">
        <w:t>substanční</w:t>
      </w:r>
      <w:r w:rsidR="08163013">
        <w:t xml:space="preserve"> vůle a hypostázovaného intelektu napojeného iluminací na boží exemplární intencionalitu.</w:t>
      </w:r>
      <w:r w:rsidR="00A32292">
        <w:t xml:space="preserve"> </w:t>
      </w:r>
      <w:r w:rsidR="00A32292" w:rsidRPr="00A32292">
        <w:t xml:space="preserve">Nové období </w:t>
      </w:r>
      <w:r w:rsidR="00A32292" w:rsidRPr="00A32292">
        <w:rPr>
          <w:i/>
        </w:rPr>
        <w:t>via Modernorum</w:t>
      </w:r>
      <w:r w:rsidR="00A32292" w:rsidRPr="00A32292">
        <w:t xml:space="preserve"> uskutečnilo </w:t>
      </w:r>
      <w:r w:rsidR="00A32292" w:rsidRPr="00A32292">
        <w:rPr>
          <w:i/>
        </w:rPr>
        <w:t>dativus incommodi</w:t>
      </w:r>
      <w:r w:rsidR="00A32292">
        <w:rPr>
          <w:i/>
        </w:rPr>
        <w:fldChar w:fldCharType="begin"/>
      </w:r>
      <w:r w:rsidR="00A32292">
        <w:instrText xml:space="preserve"> XE "</w:instrText>
      </w:r>
      <w:r w:rsidR="00A32292" w:rsidRPr="00971496">
        <w:rPr>
          <w:i/>
        </w:rPr>
        <w:instrText>dativus incommodi</w:instrText>
      </w:r>
      <w:r w:rsidR="00A32292">
        <w:instrText xml:space="preserve">" </w:instrText>
      </w:r>
      <w:r w:rsidR="00A32292">
        <w:rPr>
          <w:i/>
        </w:rPr>
        <w:fldChar w:fldCharType="end"/>
      </w:r>
      <w:r w:rsidR="00A32292" w:rsidRPr="00A32292">
        <w:t xml:space="preserve"> s ohledem na předchozí podobu druhého ave</w:t>
      </w:r>
      <w:r w:rsidR="00A32292">
        <w:t xml:space="preserve">rroismu. Zavedením psychologie do moderního boha </w:t>
      </w:r>
      <w:r w:rsidR="00A32292" w:rsidRPr="00A32292">
        <w:t xml:space="preserve">se </w:t>
      </w:r>
      <w:r w:rsidR="00A32292">
        <w:t xml:space="preserve">modernisté </w:t>
      </w:r>
      <w:r w:rsidR="00A32292" w:rsidRPr="00A32292">
        <w:t>zbavili jeho dřívější postavy jako teologicky a mysticky pojatého demiurga.</w:t>
      </w:r>
    </w:p>
    <w:p w:rsidR="00921333" w:rsidRDefault="08163013" w:rsidP="08163013">
      <w:r>
        <w:tab/>
      </w:r>
      <w:r w:rsidRPr="00273106">
        <w:t xml:space="preserve">Henry z </w:t>
      </w:r>
      <w:proofErr w:type="gramStart"/>
      <w:r w:rsidRPr="00273106">
        <w:t>Gentu</w:t>
      </w:r>
      <w:proofErr w:type="gramEnd"/>
      <w:r w:rsidRPr="00273106">
        <w:t xml:space="preserve"> </w:t>
      </w:r>
      <w:r>
        <w:t xml:space="preserve">objektivně ustavil epochu </w:t>
      </w:r>
      <w:r w:rsidRPr="00273106">
        <w:t>zapomenutost</w:t>
      </w:r>
      <w:r>
        <w:t>i</w:t>
      </w:r>
      <w:r w:rsidRPr="00273106">
        <w:t xml:space="preserve"> jsoucna </w:t>
      </w:r>
      <w:r>
        <w:t>(</w:t>
      </w:r>
      <w:r w:rsidRPr="00C04B41">
        <w:rPr>
          <w:i/>
        </w:rPr>
        <w:t>Seinsvergessenheit</w:t>
      </w:r>
      <w:r>
        <w:rPr>
          <w:i/>
        </w:rPr>
        <w:fldChar w:fldCharType="begin"/>
      </w:r>
      <w:r>
        <w:instrText xml:space="preserve"> XE "</w:instrText>
      </w:r>
      <w:r w:rsidRPr="003B3CCF">
        <w:rPr>
          <w:i/>
        </w:rPr>
        <w:instrText>Seinsvergessenheit</w:instrText>
      </w:r>
      <w:r>
        <w:instrText xml:space="preserve">" </w:instrText>
      </w:r>
      <w:r>
        <w:rPr>
          <w:i/>
        </w:rPr>
        <w:fldChar w:fldCharType="end"/>
      </w:r>
      <w:r>
        <w:t>)</w:t>
      </w:r>
      <w:r w:rsidR="00D4194F">
        <w:t>. V</w:t>
      </w:r>
      <w:r>
        <w:t xml:space="preserve">ytvořil základ moderní metafyziky, která nepotřebuje reálnou věc pro objektivní poznání. Moderní subjekt determinuje </w:t>
      </w:r>
      <w:r w:rsidRPr="00273106">
        <w:t xml:space="preserve">objektivní </w:t>
      </w:r>
      <w:r w:rsidRPr="00273106">
        <w:rPr>
          <w:i/>
        </w:rPr>
        <w:t>veritas</w:t>
      </w:r>
      <w:r>
        <w:rPr>
          <w:i/>
        </w:rPr>
        <w:fldChar w:fldCharType="begin"/>
      </w:r>
      <w:r>
        <w:instrText xml:space="preserve"> XE "pravda:</w:instrText>
      </w:r>
      <w:r w:rsidRPr="00E8585B">
        <w:rPr>
          <w:i/>
        </w:rPr>
        <w:instrText>veritas</w:instrText>
      </w:r>
      <w:r>
        <w:instrText xml:space="preserve">" </w:instrText>
      </w:r>
      <w:r>
        <w:rPr>
          <w:i/>
        </w:rPr>
        <w:fldChar w:fldCharType="end"/>
      </w:r>
      <w:r>
        <w:t xml:space="preserve"> jako formu subjektivní jistoty a správnosti dané z absolutní a precizní pozice ilumináta. Mytopoetické pojetí pravdy a vědeckého poznání daného v podobě osvíceného augustinianismu a avicennismu šlo v Rue du Fouarre hlásat až po odstranění kritických myslitelů po roce 1277. </w:t>
      </w:r>
      <w:r w:rsidRPr="00273106">
        <w:t xml:space="preserve">Adekvace mysli k reálné věci hraje v </w:t>
      </w:r>
      <w:r>
        <w:t xml:space="preserve">novém </w:t>
      </w:r>
      <w:r w:rsidRPr="00273106">
        <w:t xml:space="preserve">systému </w:t>
      </w:r>
      <w:r>
        <w:t xml:space="preserve">myšlení </w:t>
      </w:r>
      <w:r w:rsidRPr="00273106">
        <w:t>po</w:t>
      </w:r>
      <w:r w:rsidR="00D71027">
        <w:t xml:space="preserve">uze vedlejší roli, protože tvoří </w:t>
      </w:r>
      <w:r w:rsidR="00522777">
        <w:t xml:space="preserve">pouze </w:t>
      </w:r>
      <w:r w:rsidR="00D71027">
        <w:t>dostačují</w:t>
      </w:r>
      <w:r w:rsidR="00522777">
        <w:t>cí</w:t>
      </w:r>
      <w:r w:rsidR="00D71027">
        <w:t xml:space="preserve"> podmínku poznání. </w:t>
      </w:r>
      <w:r w:rsidR="00522777">
        <w:t>Absolutně n</w:t>
      </w:r>
      <w:r w:rsidR="00D71027">
        <w:t xml:space="preserve">utnou podmínkou poznání se stala objektivní podoba jsoucna, která tvoří </w:t>
      </w:r>
      <w:r w:rsidRPr="00273106">
        <w:rPr>
          <w:i/>
        </w:rPr>
        <w:t>conditio sine qua non</w:t>
      </w:r>
      <w:r w:rsidR="00D71027">
        <w:t xml:space="preserve"> pro </w:t>
      </w:r>
      <w:r w:rsidR="005F7BDA">
        <w:t xml:space="preserve">založení </w:t>
      </w:r>
      <w:r w:rsidR="00D71027">
        <w:t>moder</w:t>
      </w:r>
      <w:r w:rsidR="005F7BDA">
        <w:t>ní metafyziky</w:t>
      </w:r>
      <w:r w:rsidR="00D71027">
        <w:t xml:space="preserve">. </w:t>
      </w:r>
      <w:r>
        <w:t>P</w:t>
      </w:r>
      <w:r w:rsidRPr="00273106">
        <w:t xml:space="preserve">lná objektivita vzniká v systému pravdy jako </w:t>
      </w:r>
      <w:r>
        <w:t xml:space="preserve">nadpřirozené </w:t>
      </w:r>
      <w:r w:rsidRPr="00273106">
        <w:rPr>
          <w:i/>
        </w:rPr>
        <w:t>rectitudo</w:t>
      </w:r>
      <w:r>
        <w:rPr>
          <w:i/>
        </w:rPr>
        <w:fldChar w:fldCharType="begin"/>
      </w:r>
      <w:r>
        <w:instrText xml:space="preserve"> XE "pravda:</w:instrText>
      </w:r>
      <w:r w:rsidRPr="00ED2AEE">
        <w:rPr>
          <w:i/>
        </w:rPr>
        <w:instrText>rectitudo</w:instrText>
      </w:r>
      <w:r>
        <w:instrText xml:space="preserve">" </w:instrText>
      </w:r>
      <w:r>
        <w:rPr>
          <w:i/>
        </w:rPr>
        <w:fldChar w:fldCharType="end"/>
      </w:r>
      <w:r w:rsidR="005F7BDA">
        <w:t xml:space="preserve">. V tomto typu pravdy přesahuje </w:t>
      </w:r>
      <w:r>
        <w:t xml:space="preserve">aktivní intelekt ilumináta „exsistujícího“ v modu osvíceného </w:t>
      </w:r>
      <w:r w:rsidRPr="086536FE">
        <w:rPr>
          <w:i/>
        </w:rPr>
        <w:t>certitudo</w:t>
      </w:r>
      <w:r>
        <w:t xml:space="preserve"> </w:t>
      </w:r>
      <w:r w:rsidR="005F7BDA">
        <w:t>v </w:t>
      </w:r>
      <w:r>
        <w:t>akt</w:t>
      </w:r>
      <w:r w:rsidR="005F7BDA">
        <w:t xml:space="preserve">u </w:t>
      </w:r>
      <w:r>
        <w:t xml:space="preserve">transcendence </w:t>
      </w:r>
      <w:r w:rsidR="005F7BDA">
        <w:t xml:space="preserve">až </w:t>
      </w:r>
      <w:r>
        <w:t xml:space="preserve">k modernímu </w:t>
      </w:r>
      <w:r>
        <w:lastRenderedPageBreak/>
        <w:t xml:space="preserve">antropomorfickému bohu. Tímto přesahem mysli v modu </w:t>
      </w:r>
      <w:r w:rsidRPr="08C021F4">
        <w:rPr>
          <w:i/>
        </w:rPr>
        <w:t>exsistere</w:t>
      </w:r>
      <w:r>
        <w:t xml:space="preserve"> Gandavus </w:t>
      </w:r>
      <w:r w:rsidR="00D14768">
        <w:t xml:space="preserve">přirovnal poznání vzhledem </w:t>
      </w:r>
      <w:r>
        <w:t>k </w:t>
      </w:r>
      <w:proofErr w:type="gramStart"/>
      <w:r>
        <w:t>exemplárním</w:t>
      </w:r>
      <w:proofErr w:type="gramEnd"/>
      <w:r>
        <w:t xml:space="preserve"> významu, který hraje roli první substance dané potenciálně v boží mysli. Nové pojetí pravdy jako objektivní konformity osvícené mysli a exemplaru n</w:t>
      </w:r>
      <w:r w:rsidRPr="00273106">
        <w:t xml:space="preserve">emůže </w:t>
      </w:r>
      <w:r>
        <w:t xml:space="preserve">přijmout aristotelský </w:t>
      </w:r>
      <w:r w:rsidRPr="00273106">
        <w:t xml:space="preserve">intelekt v čistě receptivní formě jako </w:t>
      </w:r>
      <w:r w:rsidRPr="00273106">
        <w:rPr>
          <w:i/>
        </w:rPr>
        <w:t>tabula rasa</w:t>
      </w:r>
      <w:r>
        <w:rPr>
          <w:i/>
        </w:rPr>
        <w:fldChar w:fldCharType="begin"/>
      </w:r>
      <w:r>
        <w:instrText xml:space="preserve"> XE "</w:instrText>
      </w:r>
      <w:r w:rsidRPr="00CE6D17">
        <w:rPr>
          <w:i/>
        </w:rPr>
        <w:instrText>tabula rasa</w:instrText>
      </w:r>
      <w:r>
        <w:instrText xml:space="preserve">" </w:instrText>
      </w:r>
      <w:r>
        <w:rPr>
          <w:i/>
        </w:rPr>
        <w:fldChar w:fldCharType="end"/>
      </w:r>
      <w:r>
        <w:t xml:space="preserve">. Akt intencionality podle moderního avicennismu potřebuje na primární úrovni </w:t>
      </w:r>
      <w:r w:rsidRPr="00273106">
        <w:t>aktivní povah</w:t>
      </w:r>
      <w:r>
        <w:t>u</w:t>
      </w:r>
      <w:r w:rsidRPr="00273106">
        <w:t xml:space="preserve"> </w:t>
      </w:r>
      <w:r>
        <w:t xml:space="preserve">intelektu, který je sám o sobě již subsistentní substancí. </w:t>
      </w:r>
      <w:r w:rsidR="0005589F">
        <w:t xml:space="preserve">Jak již víme, tuto formu intelektu </w:t>
      </w:r>
      <w:r w:rsidR="00E71E64">
        <w:t xml:space="preserve">jako autonomní formy </w:t>
      </w:r>
      <w:r w:rsidR="0005589F">
        <w:t xml:space="preserve">hájil i Tomáš Akvinský. </w:t>
      </w:r>
      <w:r>
        <w:t xml:space="preserve">Jen tak může </w:t>
      </w:r>
      <w:r w:rsidR="00AE7F38">
        <w:t xml:space="preserve">modernista </w:t>
      </w:r>
      <w:r>
        <w:t xml:space="preserve">poznat v modu </w:t>
      </w:r>
      <w:r w:rsidRPr="0046731C">
        <w:rPr>
          <w:i/>
        </w:rPr>
        <w:t>per prius</w:t>
      </w:r>
      <w:r>
        <w:rPr>
          <w:i/>
        </w:rPr>
        <w:fldChar w:fldCharType="begin"/>
      </w:r>
      <w:r>
        <w:instrText xml:space="preserve"> XE "vidění:eidetické" </w:instrText>
      </w:r>
      <w:r>
        <w:rPr>
          <w:i/>
        </w:rPr>
        <w:fldChar w:fldCharType="end"/>
      </w:r>
      <w:r>
        <w:t xml:space="preserve"> čisté jsoucno, které reálně vůbec neexistuje. Neexistující jsoucno lze poznat pouze tím, že se přímo produkuje v mysli objektivního ilumináta skrze predikaci </w:t>
      </w:r>
      <w:r>
        <w:rPr>
          <w:i/>
        </w:rPr>
        <w:t>in artificiali</w:t>
      </w:r>
      <w:r w:rsidRPr="086229E2">
        <w:rPr>
          <w:i/>
        </w:rPr>
        <w:t>bus</w:t>
      </w:r>
      <w:r>
        <w:rPr>
          <w:i/>
        </w:rPr>
        <w:fldChar w:fldCharType="begin"/>
      </w:r>
      <w:r>
        <w:instrText xml:space="preserve"> XE "</w:instrText>
      </w:r>
      <w:r w:rsidRPr="08302C05">
        <w:instrText>predikace:</w:instrText>
      </w:r>
      <w:r w:rsidRPr="08302C05">
        <w:rPr>
          <w:i/>
        </w:rPr>
        <w:instrText>in artificialibus</w:instrText>
      </w:r>
      <w:r>
        <w:instrText xml:space="preserve">" </w:instrText>
      </w:r>
      <w:r>
        <w:rPr>
          <w:i/>
        </w:rPr>
        <w:fldChar w:fldCharType="end"/>
      </w:r>
      <w:r>
        <w:t>. Proto musí být moderní intelekt aktuální substancí nebo aspoň tomistickou hypostázovanou formou. H</w:t>
      </w:r>
      <w:r w:rsidRPr="00273106">
        <w:t xml:space="preserve">abituální aktualita </w:t>
      </w:r>
      <w:r>
        <w:t xml:space="preserve">moderní mysli je vztažena </w:t>
      </w:r>
      <w:r w:rsidRPr="00273106">
        <w:t xml:space="preserve">k </w:t>
      </w:r>
      <w:r>
        <w:t xml:space="preserve">objektivní jsoucnosti v modu </w:t>
      </w:r>
      <w:r w:rsidRPr="00273106">
        <w:rPr>
          <w:i/>
        </w:rPr>
        <w:t>ens inquantum ens</w:t>
      </w:r>
      <w:r>
        <w:rPr>
          <w:i/>
        </w:rPr>
        <w:fldChar w:fldCharType="begin"/>
      </w:r>
      <w:r>
        <w:instrText xml:space="preserve"> XE "</w:instrText>
      </w:r>
      <w:r w:rsidRPr="005424E2">
        <w:rPr>
          <w:i/>
        </w:rPr>
        <w:instrText>ens inquantum ens</w:instrText>
      </w:r>
      <w:r>
        <w:instrText xml:space="preserve">" </w:instrText>
      </w:r>
      <w:r>
        <w:rPr>
          <w:i/>
        </w:rPr>
        <w:fldChar w:fldCharType="end"/>
      </w:r>
      <w:r>
        <w:t xml:space="preserve">. Tento čistý náhled jsoucnosti je dán mimo jakékoliv reálné kauzální vztahy a mimo první substanci. Bacon marně připomínal modernistům kolem Bonaventury, že predikace </w:t>
      </w:r>
      <w:r w:rsidRPr="003B0E20">
        <w:rPr>
          <w:i/>
        </w:rPr>
        <w:t>in arti</w:t>
      </w:r>
      <w:r>
        <w:rPr>
          <w:i/>
        </w:rPr>
        <w:t>fi</w:t>
      </w:r>
      <w:r w:rsidRPr="003B0E20">
        <w:rPr>
          <w:i/>
        </w:rPr>
        <w:t>cialibus</w:t>
      </w:r>
      <w:r>
        <w:rPr>
          <w:i/>
        </w:rPr>
        <w:fldChar w:fldCharType="begin"/>
      </w:r>
      <w:r>
        <w:instrText xml:space="preserve"> XE "</w:instrText>
      </w:r>
      <w:r w:rsidRPr="003C2921">
        <w:instrText>predikace:</w:instrText>
      </w:r>
      <w:r w:rsidRPr="003C2921">
        <w:rPr>
          <w:i/>
        </w:rPr>
        <w:instrText>in arti</w:instrText>
      </w:r>
      <w:r>
        <w:rPr>
          <w:i/>
        </w:rPr>
        <w:instrText>fi</w:instrText>
      </w:r>
      <w:r w:rsidRPr="003C2921">
        <w:rPr>
          <w:i/>
        </w:rPr>
        <w:instrText>cialibus</w:instrText>
      </w:r>
      <w:r>
        <w:instrText xml:space="preserve">" </w:instrText>
      </w:r>
      <w:r>
        <w:rPr>
          <w:i/>
        </w:rPr>
        <w:fldChar w:fldCharType="end"/>
      </w:r>
      <w:r>
        <w:t xml:space="preserve"> se týká pouze demiurgické aktivity subjektu. Tato predikace daná jen analogicky nemá status vědeckého poznání etablovaného skrze hyparchicky predikovanou kauzalitu</w:t>
      </w:r>
      <w:r w:rsidR="00AE7F38">
        <w:t xml:space="preserve"> ve středním členu </w:t>
      </w:r>
      <w:r w:rsidR="0072719E">
        <w:t xml:space="preserve">deduktivního soudu </w:t>
      </w:r>
      <w:r w:rsidR="00AE7F38">
        <w:t>(kap. 4</w:t>
      </w:r>
      <w:r>
        <w:t xml:space="preserve">.1.1). Moderní statut </w:t>
      </w:r>
      <w:r w:rsidRPr="00273106">
        <w:rPr>
          <w:i/>
        </w:rPr>
        <w:t>esse diminutum</w:t>
      </w:r>
      <w:r w:rsidRPr="00273106">
        <w:t xml:space="preserve"> </w:t>
      </w:r>
      <w:r>
        <w:t xml:space="preserve">je </w:t>
      </w:r>
      <w:r w:rsidRPr="00273106">
        <w:t>úplně</w:t>
      </w:r>
      <w:r>
        <w:t xml:space="preserve"> jiný než v prvním averroismu. Ten definuje minimální jsoucno</w:t>
      </w:r>
      <w:r w:rsidRPr="00273106">
        <w:t xml:space="preserve"> </w:t>
      </w:r>
      <w:r>
        <w:t xml:space="preserve">jako </w:t>
      </w:r>
      <w:r w:rsidR="00962190">
        <w:rPr>
          <w:i/>
        </w:rPr>
        <w:t>species</w:t>
      </w:r>
      <w:r w:rsidRPr="00273106">
        <w:rPr>
          <w:i/>
        </w:rPr>
        <w:t xml:space="preserve"> intelligibilis</w:t>
      </w:r>
      <w:r>
        <w:rPr>
          <w:i/>
        </w:rPr>
        <w:fldChar w:fldCharType="begin"/>
      </w:r>
      <w:r>
        <w:instrText xml:space="preserve"> XE "</w:instrText>
      </w:r>
      <w:r w:rsidRPr="00DD403C">
        <w:rPr>
          <w:i/>
        </w:rPr>
        <w:instrText>species intelligibilis:</w:instrText>
      </w:r>
      <w:r w:rsidRPr="00DD403C">
        <w:instrText>Avicenna</w:instrText>
      </w:r>
      <w:r>
        <w:instrText xml:space="preserve">" </w:instrText>
      </w:r>
      <w:r>
        <w:rPr>
          <w:i/>
        </w:rPr>
        <w:fldChar w:fldCharType="end"/>
      </w:r>
      <w:r>
        <w:t xml:space="preserve"> </w:t>
      </w:r>
      <w:r w:rsidRPr="00273106">
        <w:t>vytvořené v procesu abstrakce</w:t>
      </w:r>
      <w:r>
        <w:t>, které je dané pouze v mysli (</w:t>
      </w:r>
      <w:r w:rsidRPr="00EE6388">
        <w:rPr>
          <w:i/>
        </w:rPr>
        <w:t>ens in ratione</w:t>
      </w:r>
      <w:r>
        <w:t>)</w:t>
      </w:r>
      <w:r w:rsidRPr="00273106">
        <w:t>.</w:t>
      </w:r>
      <w:r>
        <w:t xml:space="preserve"> </w:t>
      </w:r>
      <w:r w:rsidR="006339C4">
        <w:t>Moderna vzala boží</w:t>
      </w:r>
      <w:r w:rsidR="006339C4" w:rsidRPr="006339C4">
        <w:t xml:space="preserve"> exempla</w:t>
      </w:r>
      <w:r w:rsidR="006339C4">
        <w:t>r</w:t>
      </w:r>
      <w:r w:rsidR="006339C4" w:rsidRPr="006339C4">
        <w:t>, aby provedl</w:t>
      </w:r>
      <w:r w:rsidR="006339C4">
        <w:t>a</w:t>
      </w:r>
      <w:r w:rsidR="006339C4" w:rsidRPr="006339C4">
        <w:t xml:space="preserve"> metafyzickou fixaci (</w:t>
      </w:r>
      <w:r w:rsidR="006339C4" w:rsidRPr="006339C4">
        <w:rPr>
          <w:i/>
        </w:rPr>
        <w:t>ratitudo</w:t>
      </w:r>
      <w:r w:rsidR="006339C4" w:rsidRPr="006339C4">
        <w:t xml:space="preserve">), která přenesla minimální stupeň bytí na objektivní formu. </w:t>
      </w:r>
      <w:r w:rsidR="006339C4">
        <w:t>Dedukce j</w:t>
      </w:r>
      <w:r w:rsidRPr="00273106">
        <w:t xml:space="preserve">soucna </w:t>
      </w:r>
      <w:r w:rsidR="006339C4">
        <w:t>(</w:t>
      </w:r>
      <w:r w:rsidR="006339C4" w:rsidRPr="006339C4">
        <w:rPr>
          <w:i/>
        </w:rPr>
        <w:t>resolutio</w:t>
      </w:r>
      <w:r w:rsidR="006339C4">
        <w:t xml:space="preserve">) </w:t>
      </w:r>
      <w:r>
        <w:t xml:space="preserve">v nové metafyzice </w:t>
      </w:r>
      <w:r w:rsidRPr="00273106">
        <w:t xml:space="preserve">probíhá </w:t>
      </w:r>
      <w:r w:rsidRPr="00273106">
        <w:rPr>
          <w:i/>
        </w:rPr>
        <w:t>absolute</w:t>
      </w:r>
      <w:r>
        <w:rPr>
          <w:rStyle w:val="addmd"/>
          <w:i/>
        </w:rPr>
        <w:fldChar w:fldCharType="begin"/>
      </w:r>
      <w:r>
        <w:instrText xml:space="preserve"> XE "predikace</w:instrText>
      </w:r>
      <w:r w:rsidRPr="002A5D70">
        <w:instrText>:</w:instrText>
      </w:r>
      <w:r>
        <w:instrText xml:space="preserve">modus </w:instrText>
      </w:r>
      <w:r w:rsidRPr="008D23BF">
        <w:rPr>
          <w:i/>
        </w:rPr>
        <w:instrText>absolute</w:instrText>
      </w:r>
      <w:r>
        <w:instrText xml:space="preserve">" </w:instrText>
      </w:r>
      <w:r>
        <w:rPr>
          <w:rStyle w:val="addmd"/>
          <w:i/>
        </w:rPr>
        <w:fldChar w:fldCharType="end"/>
      </w:r>
      <w:r>
        <w:t>, smě</w:t>
      </w:r>
      <w:r w:rsidRPr="00273106">
        <w:t>rem od odděleného exemplaru danému v boží mysli (</w:t>
      </w:r>
      <w:r w:rsidRPr="00273106">
        <w:rPr>
          <w:i/>
        </w:rPr>
        <w:t>esse ratum</w:t>
      </w:r>
      <w:r w:rsidRPr="00273106">
        <w:t xml:space="preserve">, </w:t>
      </w:r>
      <w:r w:rsidRPr="00273106">
        <w:rPr>
          <w:i/>
        </w:rPr>
        <w:t>esse a reor rei</w:t>
      </w:r>
      <w:r w:rsidRPr="00273106">
        <w:t>)</w:t>
      </w:r>
      <w:r>
        <w:t xml:space="preserve">. </w:t>
      </w:r>
      <w:r w:rsidRPr="00273106">
        <w:t xml:space="preserve">Henry </w:t>
      </w:r>
      <w:r w:rsidR="00921333">
        <w:t>změnil</w:t>
      </w:r>
      <w:r>
        <w:t xml:space="preserve"> voluntaristickou determinaci Oliviho na objektivně pojatý aspekt </w:t>
      </w:r>
      <w:r w:rsidRPr="00273106">
        <w:t xml:space="preserve">jsoucna </w:t>
      </w:r>
      <w:r>
        <w:t xml:space="preserve">manifestovaný </w:t>
      </w:r>
      <w:r w:rsidRPr="00273106">
        <w:t xml:space="preserve">skrze </w:t>
      </w:r>
      <w:r>
        <w:t xml:space="preserve">moderní formu intelektuálního </w:t>
      </w:r>
      <w:r w:rsidRPr="00273106">
        <w:rPr>
          <w:i/>
        </w:rPr>
        <w:t>intentio</w:t>
      </w:r>
      <w:r w:rsidRPr="00051F9F">
        <w:t xml:space="preserve">, nikoliv </w:t>
      </w:r>
      <w:r>
        <w:rPr>
          <w:i/>
        </w:rPr>
        <w:t>volitio</w:t>
      </w:r>
      <w:r w:rsidRPr="00273106">
        <w:t>.</w:t>
      </w:r>
      <w:r>
        <w:t xml:space="preserve"> </w:t>
      </w:r>
      <w:r w:rsidR="00921333">
        <w:t>Primární d</w:t>
      </w:r>
      <w:r>
        <w:t xml:space="preserve">eterminace jsoucna </w:t>
      </w:r>
      <w:r w:rsidR="00921333">
        <w:t>skrze vůli</w:t>
      </w:r>
      <w:r>
        <w:t xml:space="preserve"> neumožňuje uni</w:t>
      </w:r>
      <w:r w:rsidR="008A0CB6">
        <w:t>v</w:t>
      </w:r>
      <w:r w:rsidR="00921333">
        <w:t>erzální kategoriální predikaci m</w:t>
      </w:r>
      <w:r w:rsidR="008A0CB6">
        <w:t>oderny, která je daná podle objektivního aristotelismu.</w:t>
      </w:r>
    </w:p>
    <w:p w:rsidR="08163013" w:rsidRDefault="00921333" w:rsidP="00921333">
      <w:pPr>
        <w:ind w:firstLine="397"/>
      </w:pPr>
      <w:r>
        <w:t xml:space="preserve">Gandavus </w:t>
      </w:r>
      <w:r w:rsidR="00D10DBB">
        <w:t xml:space="preserve">definoval </w:t>
      </w:r>
      <w:r w:rsidR="008A0CB6">
        <w:t xml:space="preserve">poslední úroveň </w:t>
      </w:r>
      <w:r w:rsidR="08163013" w:rsidRPr="0818337D">
        <w:rPr>
          <w:i/>
        </w:rPr>
        <w:t>resolutio</w:t>
      </w:r>
      <w:r w:rsidR="08163013">
        <w:t xml:space="preserve"> </w:t>
      </w:r>
      <w:r w:rsidR="007945D9">
        <w:t>jako čistou transcendentální objektivitu</w:t>
      </w:r>
      <w:r w:rsidR="08163013">
        <w:t xml:space="preserve">. </w:t>
      </w:r>
      <w:r w:rsidR="008A0CB6">
        <w:t xml:space="preserve">Proto drží proti Olivimu </w:t>
      </w:r>
      <w:r w:rsidR="08163013">
        <w:t xml:space="preserve">v poznání primát intelektu nad vůlí podle </w:t>
      </w:r>
      <w:r w:rsidR="08163013" w:rsidRPr="08DD3B73">
        <w:rPr>
          <w:i/>
        </w:rPr>
        <w:t>Etiky Nikomachovy</w:t>
      </w:r>
      <w:r w:rsidR="008A0CB6">
        <w:t xml:space="preserve">. Gandavus </w:t>
      </w:r>
      <w:r w:rsidR="08163013">
        <w:t xml:space="preserve">buduje kategoriální predikaci od avicennistické intence primárně vztažené k náhledu bytí jsoucna v jeho jsoucnosti. Základem nové metafyziky se stal objektivně </w:t>
      </w:r>
      <w:r w:rsidR="08163013">
        <w:lastRenderedPageBreak/>
        <w:t xml:space="preserve">utvořený </w:t>
      </w:r>
      <w:r w:rsidR="08163013" w:rsidRPr="00273106">
        <w:t>subjekt-objektov</w:t>
      </w:r>
      <w:r w:rsidR="08163013">
        <w:t xml:space="preserve">ý </w:t>
      </w:r>
      <w:r w:rsidR="08163013" w:rsidRPr="00273106">
        <w:t xml:space="preserve">vztah </w:t>
      </w:r>
      <w:r w:rsidR="08163013">
        <w:t xml:space="preserve">v univočním modu </w:t>
      </w:r>
      <w:r w:rsidR="08163013">
        <w:rPr>
          <w:i/>
        </w:rPr>
        <w:t>ens inquantum e</w:t>
      </w:r>
      <w:r w:rsidR="08163013" w:rsidRPr="00DB20C6">
        <w:rPr>
          <w:i/>
        </w:rPr>
        <w:t>n</w:t>
      </w:r>
      <w:r w:rsidR="08163013">
        <w:rPr>
          <w:i/>
        </w:rPr>
        <w:t>s</w:t>
      </w:r>
      <w:r w:rsidR="08163013" w:rsidRPr="00273106">
        <w:t>.</w:t>
      </w:r>
      <w:r w:rsidR="08163013">
        <w:t xml:space="preserve"> </w:t>
      </w:r>
      <w:r w:rsidR="08163013" w:rsidRPr="00273106">
        <w:t xml:space="preserve">Intence </w:t>
      </w:r>
      <w:r w:rsidR="08163013">
        <w:t xml:space="preserve">pravdy jako exemplární konformity moderního boha a objektivní věci </w:t>
      </w:r>
      <w:r w:rsidR="08163013" w:rsidRPr="00273106">
        <w:t xml:space="preserve">se stala </w:t>
      </w:r>
      <w:r w:rsidR="08163013">
        <w:t>fundamentálním metafyzickým</w:t>
      </w:r>
      <w:r w:rsidR="08163013" w:rsidRPr="00273106">
        <w:t xml:space="preserve"> kapitálem</w:t>
      </w:r>
      <w:r w:rsidR="08163013">
        <w:t xml:space="preserve"> moderny. Tento princip Avicennovy metafyziky odmítl Averroes jako základní omyl moderního myšlení, protože Avicenna začal výklad Aristotela od poznávajícího subjektu a ne od první substance (</w:t>
      </w:r>
      <w:r w:rsidR="08163013" w:rsidRPr="00544700">
        <w:rPr>
          <w:i/>
        </w:rPr>
        <w:t xml:space="preserve">quasi a </w:t>
      </w:r>
      <w:proofErr w:type="gramStart"/>
      <w:r w:rsidR="08163013" w:rsidRPr="00544700">
        <w:rPr>
          <w:i/>
        </w:rPr>
        <w:t>se</w:t>
      </w:r>
      <w:proofErr w:type="gramEnd"/>
      <w:r w:rsidR="00A82739">
        <w:t xml:space="preserve">; OBJ I, </w:t>
      </w:r>
      <w:r w:rsidR="08163013">
        <w:t>kap. 2.5). Siger viděl nedostatečnost Avicennovy metafyziky stejným způsobem jako Komentátor (k</w:t>
      </w:r>
      <w:r w:rsidR="00A82739">
        <w:t>ap. 4</w:t>
      </w:r>
      <w:r w:rsidR="08163013" w:rsidRPr="002446CB">
        <w:t>.4.1)</w:t>
      </w:r>
      <w:r w:rsidR="08163013">
        <w:t>.</w:t>
      </w:r>
      <w:r w:rsidR="08163013" w:rsidRPr="00273106">
        <w:t xml:space="preserve"> </w:t>
      </w:r>
      <w:r w:rsidR="08163013">
        <w:t>První averroismus nemůže přijat Avicennovu definici předmětu metafyziky</w:t>
      </w:r>
      <w:r w:rsidR="08163013">
        <w:fldChar w:fldCharType="begin"/>
      </w:r>
      <w:r w:rsidR="08163013">
        <w:instrText xml:space="preserve"> XE "</w:instrText>
      </w:r>
      <w:r w:rsidR="08163013" w:rsidRPr="00F5483C">
        <w:instrText>metafyzika:Avicenna</w:instrText>
      </w:r>
      <w:r w:rsidR="08163013">
        <w:instrText xml:space="preserve">" </w:instrText>
      </w:r>
      <w:r w:rsidR="08163013">
        <w:fldChar w:fldCharType="end"/>
      </w:r>
      <w:r w:rsidR="08163013">
        <w:t>, protože je dána mimo kauzalitu</w:t>
      </w:r>
      <w:r w:rsidR="004E477F">
        <w:t xml:space="preserve"> </w:t>
      </w:r>
      <w:r w:rsidR="08163013">
        <w:t>první</w:t>
      </w:r>
      <w:r w:rsidR="004E477F">
        <w:t>ch</w:t>
      </w:r>
      <w:r w:rsidR="08163013">
        <w:t xml:space="preserve"> substancí. Averroes</w:t>
      </w:r>
      <w:r w:rsidR="08163013" w:rsidRPr="00273106">
        <w:t xml:space="preserve"> koncipuje vznik </w:t>
      </w:r>
      <w:r w:rsidR="00962190" w:rsidRPr="007A11DA">
        <w:t>species</w:t>
      </w:r>
      <w:r w:rsidR="08163013" w:rsidRPr="00273106">
        <w:t xml:space="preserve"> v mysli jako nemateriální, univerzální a individuální výkon intelektu daný v modu </w:t>
      </w:r>
      <w:r w:rsidR="08163013" w:rsidRPr="00273106">
        <w:rPr>
          <w:i/>
        </w:rPr>
        <w:t>tertium</w:t>
      </w:r>
      <w:r w:rsidR="08163013">
        <w:t xml:space="preserve"> </w:t>
      </w:r>
      <w:r w:rsidR="00962190">
        <w:rPr>
          <w:i/>
        </w:rPr>
        <w:t>genus</w:t>
      </w:r>
      <w:r w:rsidR="08163013">
        <w:rPr>
          <w:i/>
        </w:rPr>
        <w:fldChar w:fldCharType="begin"/>
      </w:r>
      <w:r w:rsidR="08163013">
        <w:instrText xml:space="preserve"> XE "</w:instrText>
      </w:r>
      <w:r w:rsidR="08163013" w:rsidRPr="00D80F84">
        <w:rPr>
          <w:i/>
        </w:rPr>
        <w:instrText>tertium genus</w:instrText>
      </w:r>
      <w:r w:rsidR="08163013">
        <w:instrText xml:space="preserve">" </w:instrText>
      </w:r>
      <w:r w:rsidR="08163013">
        <w:rPr>
          <w:i/>
        </w:rPr>
        <w:fldChar w:fldCharType="end"/>
      </w:r>
      <w:r w:rsidR="08163013" w:rsidRPr="00273106">
        <w:t xml:space="preserve"> (</w:t>
      </w:r>
      <w:r w:rsidR="00A82739">
        <w:t xml:space="preserve">OBJ I, </w:t>
      </w:r>
      <w:r w:rsidR="08163013" w:rsidRPr="00273106">
        <w:t>kap. 2.4.3).</w:t>
      </w:r>
      <w:r w:rsidR="08163013">
        <w:t xml:space="preserve"> </w:t>
      </w:r>
      <w:r w:rsidR="08163013" w:rsidRPr="00273106">
        <w:t xml:space="preserve">Exegeze CMDA v prostředí prvního averroismu ukázala, že abstrahované </w:t>
      </w:r>
      <w:r w:rsidR="08163013" w:rsidRPr="00273106">
        <w:rPr>
          <w:i/>
        </w:rPr>
        <w:t>ens intentionale</w:t>
      </w:r>
      <w:r w:rsidR="08163013" w:rsidRPr="00273106">
        <w:t xml:space="preserve"> dané v procesu abstrakce od první substance je vázáno na výkon </w:t>
      </w:r>
      <w:r w:rsidR="08163013" w:rsidRPr="00273106">
        <w:rPr>
          <w:i/>
        </w:rPr>
        <w:t>intellectus speculativus</w:t>
      </w:r>
      <w:r w:rsidR="08163013">
        <w:rPr>
          <w:i/>
        </w:rPr>
        <w:fldChar w:fldCharType="begin"/>
      </w:r>
      <w:r w:rsidR="08163013">
        <w:instrText xml:space="preserve"> XE "</w:instrText>
      </w:r>
      <w:r w:rsidR="08163013">
        <w:rPr>
          <w:i/>
        </w:rPr>
        <w:instrText>intellectus speculativus</w:instrText>
      </w:r>
      <w:r w:rsidR="08163013">
        <w:instrText xml:space="preserve">" </w:instrText>
      </w:r>
      <w:r w:rsidR="08163013">
        <w:rPr>
          <w:i/>
        </w:rPr>
        <w:fldChar w:fldCharType="end"/>
      </w:r>
      <w:r w:rsidR="08163013" w:rsidRPr="00273106">
        <w:t xml:space="preserve"> (</w:t>
      </w:r>
      <w:r w:rsidR="00A82739">
        <w:t>OBJ II, kap. 2</w:t>
      </w:r>
      <w:r w:rsidR="08163013" w:rsidRPr="00273106">
        <w:t xml:space="preserve">.4.2). </w:t>
      </w:r>
      <w:r w:rsidR="08163013">
        <w:t>Siger proti moderním sofistům tvrdil, že každý z nás zakouší poznání ve výkonu ipseitně vlastní substance dané tělesně (</w:t>
      </w:r>
      <w:r w:rsidR="08163013" w:rsidRPr="002461AE">
        <w:rPr>
          <w:i/>
        </w:rPr>
        <w:t>experimur</w:t>
      </w:r>
      <w:r w:rsidR="08163013">
        <w:t xml:space="preserve">, </w:t>
      </w:r>
      <w:r w:rsidR="08163013" w:rsidRPr="002461AE">
        <w:rPr>
          <w:i/>
        </w:rPr>
        <w:t>conscii sumus</w:t>
      </w:r>
      <w:r w:rsidR="08163013">
        <w:rPr>
          <w:i/>
        </w:rPr>
        <w:fldChar w:fldCharType="begin"/>
      </w:r>
      <w:r w:rsidR="08163013">
        <w:instrText xml:space="preserve"> XE "intelekt:</w:instrText>
      </w:r>
      <w:r w:rsidR="08163013" w:rsidRPr="00851E43">
        <w:rPr>
          <w:i/>
        </w:rPr>
        <w:instrText>experimur</w:instrText>
      </w:r>
      <w:r w:rsidR="08163013">
        <w:rPr>
          <w:i/>
        </w:rPr>
        <w:instrText>/</w:instrText>
      </w:r>
      <w:r w:rsidR="08163013" w:rsidRPr="00851E43">
        <w:rPr>
          <w:i/>
        </w:rPr>
        <w:instrText>conscii sumus</w:instrText>
      </w:r>
      <w:r w:rsidR="08163013">
        <w:instrText xml:space="preserve">" </w:instrText>
      </w:r>
      <w:r w:rsidR="08163013">
        <w:rPr>
          <w:i/>
        </w:rPr>
        <w:fldChar w:fldCharType="end"/>
      </w:r>
      <w:r w:rsidR="08163013">
        <w:t xml:space="preserve">). Pravdu v modu adekvace určuje </w:t>
      </w:r>
      <w:r w:rsidR="08163013" w:rsidRPr="00273106">
        <w:t xml:space="preserve">poznání </w:t>
      </w:r>
      <w:r w:rsidR="08163013">
        <w:t xml:space="preserve">kauzálně dané skrze impozici významu od </w:t>
      </w:r>
      <w:r w:rsidR="08163013" w:rsidRPr="00273106">
        <w:t>aktuální první substance</w:t>
      </w:r>
      <w:r w:rsidR="08163013">
        <w:fldChar w:fldCharType="begin"/>
      </w:r>
      <w:r w:rsidR="08163013">
        <w:instrText xml:space="preserve"> XE "</w:instrText>
      </w:r>
      <w:r w:rsidR="08163013" w:rsidRPr="00A21DB9">
        <w:instrText>substance:první</w:instrText>
      </w:r>
      <w:r w:rsidR="08163013">
        <w:instrText xml:space="preserve">" </w:instrText>
      </w:r>
      <w:r w:rsidR="08163013">
        <w:fldChar w:fldCharType="end"/>
      </w:r>
      <w:r w:rsidR="08163013" w:rsidRPr="00273106">
        <w:t xml:space="preserve">. </w:t>
      </w:r>
      <w:r w:rsidR="08163013">
        <w:t xml:space="preserve">První substance nepotřebuje ke svému bytí </w:t>
      </w:r>
      <w:r w:rsidR="00F11509">
        <w:t xml:space="preserve">evidenci </w:t>
      </w:r>
      <w:r w:rsidR="00BE0D62">
        <w:t xml:space="preserve">moderního </w:t>
      </w:r>
      <w:r w:rsidR="08163013">
        <w:t xml:space="preserve">subjektu, protože </w:t>
      </w:r>
      <w:r w:rsidR="08163013" w:rsidRPr="00273106">
        <w:t xml:space="preserve">existuje sama o sobě a v </w:t>
      </w:r>
      <w:r w:rsidR="08163013">
        <w:t>reálných interakcích (</w:t>
      </w:r>
      <w:r w:rsidR="08163013" w:rsidRPr="00D717A2">
        <w:rPr>
          <w:i/>
        </w:rPr>
        <w:t>passio</w:t>
      </w:r>
      <w:r w:rsidR="08163013">
        <w:rPr>
          <w:i/>
        </w:rPr>
        <w:t xml:space="preserve"> entis</w:t>
      </w:r>
      <w:r w:rsidR="08163013">
        <w:rPr>
          <w:i/>
        </w:rPr>
        <w:fldChar w:fldCharType="begin"/>
      </w:r>
      <w:r w:rsidR="08163013">
        <w:instrText xml:space="preserve"> XE "</w:instrText>
      </w:r>
      <w:r w:rsidR="08163013" w:rsidRPr="00274107">
        <w:rPr>
          <w:i/>
        </w:rPr>
        <w:instrText>passio entis</w:instrText>
      </w:r>
      <w:r w:rsidR="08163013">
        <w:instrText xml:space="preserve">" </w:instrText>
      </w:r>
      <w:r w:rsidR="08163013">
        <w:rPr>
          <w:i/>
        </w:rPr>
        <w:fldChar w:fldCharType="end"/>
      </w:r>
      <w:r w:rsidR="08163013">
        <w:t xml:space="preserve">). Siger upozorňoval modernisty, že abstrakce dané v mysli nemají kauzální charakter jako reálné první substance. Z hlediska hermeneutiky existuje zásadní rozdíl mezi formulací prvního a druhého averroismu vzhledem k Avicennovu pojetí metafyziky v rámci </w:t>
      </w:r>
      <w:r w:rsidR="08163013" w:rsidRPr="00CD5565">
        <w:rPr>
          <w:i/>
        </w:rPr>
        <w:t>ens inquantum ens</w:t>
      </w:r>
      <w:r w:rsidR="08163013">
        <w:t xml:space="preserve">. </w:t>
      </w:r>
      <w:r w:rsidR="08163013" w:rsidRPr="00273106">
        <w:t xml:space="preserve">Poznání </w:t>
      </w:r>
      <w:r w:rsidR="08163013">
        <w:t xml:space="preserve">prvního averroismu </w:t>
      </w:r>
      <w:r w:rsidR="08163013" w:rsidRPr="00273106">
        <w:t xml:space="preserve">nejde k </w:t>
      </w:r>
      <w:r w:rsidR="08163013">
        <w:t xml:space="preserve">intenci </w:t>
      </w:r>
      <w:r w:rsidR="08163013" w:rsidRPr="00273106">
        <w:t xml:space="preserve">dané </w:t>
      </w:r>
      <w:r w:rsidR="08163013">
        <w:t xml:space="preserve">v moderní supozici </w:t>
      </w:r>
      <w:r w:rsidR="08163013" w:rsidRPr="00273106">
        <w:t>jako věčná esence ve zmenšeném modu bytí a jistoty</w:t>
      </w:r>
      <w:r w:rsidR="08163013">
        <w:t xml:space="preserve"> (</w:t>
      </w:r>
      <w:r w:rsidR="08163013" w:rsidRPr="003B0E20">
        <w:rPr>
          <w:i/>
        </w:rPr>
        <w:t>ens diminutum</w:t>
      </w:r>
      <w:r w:rsidR="08163013">
        <w:t>). Jsoucnost jsoucna není primárně dána skrze moderního ilumináta nazírajícího boží exemplar. To je metafyzická paranoia, kterou odmítl Bacon jako šílenství moderního rozumu (</w:t>
      </w:r>
      <w:r w:rsidR="08163013" w:rsidRPr="000E143E">
        <w:rPr>
          <w:i/>
        </w:rPr>
        <w:t>insaniunt contra veritatem</w:t>
      </w:r>
      <w:r w:rsidR="0811116E">
        <w:rPr>
          <w:i/>
        </w:rPr>
        <w:t xml:space="preserve">; </w:t>
      </w:r>
      <w:r w:rsidR="0811116E">
        <w:t xml:space="preserve">OBJ II, </w:t>
      </w:r>
      <w:r w:rsidR="0811116E">
        <w:rPr>
          <w:szCs w:val="14"/>
        </w:rPr>
        <w:t>kap. 3</w:t>
      </w:r>
      <w:r w:rsidR="08163013">
        <w:rPr>
          <w:szCs w:val="14"/>
        </w:rPr>
        <w:t>.4.2</w:t>
      </w:r>
      <w:r w:rsidR="08163013">
        <w:t xml:space="preserve">). </w:t>
      </w:r>
      <w:r w:rsidR="08163013" w:rsidRPr="00273106">
        <w:t>Základ poznání moderny není v reálné substanci, protože intencionalita jde k prvnímu potřehu jsoucna v jeho čisté jsoucnosti.</w:t>
      </w:r>
      <w:r w:rsidR="08163013">
        <w:t xml:space="preserve"> </w:t>
      </w:r>
      <w:r w:rsidR="00F56A5E">
        <w:t>V</w:t>
      </w:r>
      <w:r w:rsidR="00F56A5E" w:rsidRPr="00273106">
        <w:t xml:space="preserve">ztah </w:t>
      </w:r>
      <w:r w:rsidR="00F56A5E">
        <w:t>„</w:t>
      </w:r>
      <w:proofErr w:type="gramStart"/>
      <w:r w:rsidR="00F56A5E">
        <w:t>s</w:t>
      </w:r>
      <w:r w:rsidR="08163013" w:rsidRPr="00273106">
        <w:t>ubjekt</w:t>
      </w:r>
      <w:proofErr w:type="gramEnd"/>
      <w:r w:rsidR="00F56A5E">
        <w:t>–</w:t>
      </w:r>
      <w:proofErr w:type="gramStart"/>
      <w:r w:rsidR="08163013" w:rsidRPr="00273106">
        <w:t>objekt</w:t>
      </w:r>
      <w:proofErr w:type="gramEnd"/>
      <w:r w:rsidR="00F56A5E">
        <w:t>“ z</w:t>
      </w:r>
      <w:r w:rsidR="08163013" w:rsidRPr="00273106">
        <w:t xml:space="preserve">akládající </w:t>
      </w:r>
      <w:r w:rsidR="08163013">
        <w:t xml:space="preserve">antropocentrickou </w:t>
      </w:r>
      <w:r w:rsidR="08163013" w:rsidRPr="00273106">
        <w:t xml:space="preserve">metafyziku </w:t>
      </w:r>
      <w:r w:rsidR="08163013">
        <w:t xml:space="preserve">a </w:t>
      </w:r>
      <w:r w:rsidR="00492BA2">
        <w:t xml:space="preserve">moderní </w:t>
      </w:r>
      <w:r w:rsidR="08163013">
        <w:t>teologii vznikl a</w:t>
      </w:r>
      <w:r w:rsidR="08163013" w:rsidRPr="00273106">
        <w:t>bsolutizací intence vztažené k jsoucnu jako prvnímu objektu mysli (</w:t>
      </w:r>
      <w:r w:rsidR="08163013" w:rsidRPr="00273106">
        <w:rPr>
          <w:i/>
        </w:rPr>
        <w:t>ens inquantum ens</w:t>
      </w:r>
      <w:r w:rsidR="08163013">
        <w:t xml:space="preserve">). </w:t>
      </w:r>
      <w:r w:rsidR="08163013" w:rsidRPr="00273106">
        <w:t xml:space="preserve">Redukce smyslu jsoucna na </w:t>
      </w:r>
      <w:r w:rsidR="08163013">
        <w:t xml:space="preserve">pouhou </w:t>
      </w:r>
      <w:r w:rsidR="08163013" w:rsidRPr="00273106">
        <w:t xml:space="preserve">intencionalitu </w:t>
      </w:r>
      <w:r w:rsidR="08163013">
        <w:t xml:space="preserve">demiurgického </w:t>
      </w:r>
      <w:r w:rsidR="08163013" w:rsidRPr="00273106">
        <w:t>subjektu představuje další krok epochální</w:t>
      </w:r>
      <w:r w:rsidR="08163013">
        <w:t>ho</w:t>
      </w:r>
      <w:r w:rsidR="08163013" w:rsidRPr="00273106">
        <w:t xml:space="preserve"> působení </w:t>
      </w:r>
      <w:r w:rsidR="08163013" w:rsidRPr="00273106">
        <w:rPr>
          <w:i/>
        </w:rPr>
        <w:t>Oxfordian Fallacy</w:t>
      </w:r>
      <w:r w:rsidR="08163013">
        <w:rPr>
          <w:i/>
        </w:rPr>
        <w:fldChar w:fldCharType="begin"/>
      </w:r>
      <w:r w:rsidR="08163013">
        <w:instrText xml:space="preserve"> XE "</w:instrText>
      </w:r>
      <w:r w:rsidR="08163013" w:rsidRPr="0015798D">
        <w:rPr>
          <w:i/>
        </w:rPr>
        <w:instrText>Oxfordian Fallacy:</w:instrText>
      </w:r>
      <w:r w:rsidR="08163013" w:rsidRPr="00B07D1C">
        <w:instrText>moderna</w:instrText>
      </w:r>
      <w:r w:rsidR="08163013">
        <w:instrText xml:space="preserve">" </w:instrText>
      </w:r>
      <w:r w:rsidR="08163013">
        <w:rPr>
          <w:i/>
        </w:rPr>
        <w:fldChar w:fldCharType="end"/>
      </w:r>
      <w:r w:rsidR="08163013">
        <w:t>.</w:t>
      </w:r>
    </w:p>
    <w:p w:rsidR="08163013" w:rsidRDefault="08163013" w:rsidP="08163013">
      <w:r>
        <w:lastRenderedPageBreak/>
        <w:tab/>
      </w:r>
      <w:r w:rsidR="0092334D" w:rsidRPr="0092334D">
        <w:t xml:space="preserve">Hermeneutiku zajímá základní otázka: Jak si subjekt přivlastňuje objektivní bytí prostřednictvím </w:t>
      </w:r>
      <w:r w:rsidR="0092334D">
        <w:t xml:space="preserve">existenciálu </w:t>
      </w:r>
      <w:r w:rsidR="0092334D" w:rsidRPr="0092334D">
        <w:rPr>
          <w:i/>
        </w:rPr>
        <w:t>dativus possessivus</w:t>
      </w:r>
      <w:r w:rsidR="0092334D">
        <w:rPr>
          <w:i/>
        </w:rPr>
        <w:fldChar w:fldCharType="begin"/>
      </w:r>
      <w:r w:rsidR="0092334D">
        <w:instrText xml:space="preserve"> XE "</w:instrText>
      </w:r>
      <w:r w:rsidR="0092334D" w:rsidRPr="00461B3F">
        <w:rPr>
          <w:i/>
        </w:rPr>
        <w:instrText>d</w:instrText>
      </w:r>
      <w:r w:rsidR="0092334D" w:rsidRPr="00461B3F">
        <w:rPr>
          <w:i/>
          <w:iCs/>
        </w:rPr>
        <w:instrText>ativus possessivus</w:instrText>
      </w:r>
      <w:r w:rsidR="0092334D">
        <w:instrText xml:space="preserve">" </w:instrText>
      </w:r>
      <w:r w:rsidR="0092334D">
        <w:rPr>
          <w:i/>
        </w:rPr>
        <w:fldChar w:fldCharType="end"/>
      </w:r>
      <w:r w:rsidR="0092334D" w:rsidRPr="0092334D">
        <w:t>? Intencionalita, chápaná jako habitus myšlení, směřuje nejprve k univerzálnímu bytí (</w:t>
      </w:r>
      <w:r w:rsidR="0092334D" w:rsidRPr="0092334D">
        <w:rPr>
          <w:i/>
        </w:rPr>
        <w:t>ens commune</w:t>
      </w:r>
      <w:r w:rsidR="0015044A">
        <w:rPr>
          <w:i/>
        </w:rPr>
        <w:fldChar w:fldCharType="begin"/>
      </w:r>
      <w:r w:rsidR="0015044A">
        <w:instrText xml:space="preserve"> XE "</w:instrText>
      </w:r>
      <w:r w:rsidR="0015044A" w:rsidRPr="004429BF">
        <w:rPr>
          <w:i/>
        </w:rPr>
        <w:instrText>ens commune</w:instrText>
      </w:r>
      <w:r w:rsidR="0015044A">
        <w:instrText xml:space="preserve">" </w:instrText>
      </w:r>
      <w:r w:rsidR="0015044A">
        <w:rPr>
          <w:i/>
        </w:rPr>
        <w:fldChar w:fldCharType="end"/>
      </w:r>
      <w:r w:rsidR="0092334D" w:rsidRPr="0092334D">
        <w:t xml:space="preserve">), a </w:t>
      </w:r>
      <w:r w:rsidR="0092334D">
        <w:t>to v aktu intuitivního poznání. T</w:t>
      </w:r>
      <w:r>
        <w:t>akto dané jsoucno je objektivně odděleno</w:t>
      </w:r>
      <w:r w:rsidRPr="00273106">
        <w:t xml:space="preserve"> </w:t>
      </w:r>
      <w:r>
        <w:t xml:space="preserve">v modu </w:t>
      </w:r>
      <w:r w:rsidR="00896850">
        <w:t>„</w:t>
      </w:r>
      <w:r w:rsidRPr="00360F78">
        <w:rPr>
          <w:i/>
        </w:rPr>
        <w:t>pr</w:t>
      </w:r>
      <w:r>
        <w:rPr>
          <w:i/>
        </w:rPr>
        <w:t>a</w:t>
      </w:r>
      <w:r w:rsidRPr="00360F78">
        <w:rPr>
          <w:i/>
        </w:rPr>
        <w:t>ecise</w:t>
      </w:r>
      <w:r w:rsidR="00896850">
        <w:t>“</w:t>
      </w:r>
      <w:r>
        <w:t xml:space="preserve"> </w:t>
      </w:r>
      <w:r w:rsidRPr="00273106">
        <w:t>od poznání první substance</w:t>
      </w:r>
      <w:r>
        <w:rPr>
          <w:rStyle w:val="addmd"/>
          <w:i/>
        </w:rPr>
        <w:fldChar w:fldCharType="begin"/>
      </w:r>
      <w:r>
        <w:instrText xml:space="preserve"> XE "predikace</w:instrText>
      </w:r>
      <w:r w:rsidRPr="002A5D70">
        <w:instrText>:</w:instrText>
      </w:r>
      <w:r>
        <w:instrText xml:space="preserve">objektivní" </w:instrText>
      </w:r>
      <w:r>
        <w:rPr>
          <w:rStyle w:val="addmd"/>
          <w:i/>
        </w:rPr>
        <w:fldChar w:fldCharType="end"/>
      </w:r>
      <w:r w:rsidRPr="00273106">
        <w:t>.</w:t>
      </w:r>
      <w:r>
        <w:t xml:space="preserve"> Toto poznání je primární, na rozdíl od sekundárního poznání pravdy skrze intencionalitu intelektu obrácenou ke smyslové </w:t>
      </w:r>
      <w:r w:rsidR="00962190">
        <w:rPr>
          <w:i/>
        </w:rPr>
        <w:t>species</w:t>
      </w:r>
      <w:r>
        <w:t xml:space="preserve">. Objektivní jsoucno je </w:t>
      </w:r>
      <w:r w:rsidRPr="00273106">
        <w:t>dané aktuálně</w:t>
      </w:r>
      <w:r>
        <w:t xml:space="preserve"> v </w:t>
      </w:r>
      <w:r w:rsidRPr="00273106">
        <w:t xml:space="preserve">rámci trvalého </w:t>
      </w:r>
      <w:r w:rsidRPr="00273106">
        <w:rPr>
          <w:i/>
        </w:rPr>
        <w:t xml:space="preserve">habitus </w:t>
      </w:r>
      <w:r>
        <w:t>mysli dané mimo tělo jako „létající muž“</w:t>
      </w:r>
      <w:r>
        <w:fldChar w:fldCharType="begin"/>
      </w:r>
      <w:r>
        <w:instrText xml:space="preserve"> XE "</w:instrText>
      </w:r>
      <w:r w:rsidRPr="00901239">
        <w:instrText>létající muž</w:instrText>
      </w:r>
      <w:r>
        <w:instrText xml:space="preserve">" </w:instrText>
      </w:r>
      <w:r>
        <w:fldChar w:fldCharType="end"/>
      </w:r>
      <w:r>
        <w:t xml:space="preserve"> Avicenny nebo Descarta</w:t>
      </w:r>
      <w:r w:rsidRPr="00273106">
        <w:t>.</w:t>
      </w:r>
      <w:r w:rsidR="00432488">
        <w:t xml:space="preserve"> </w:t>
      </w:r>
      <w:r w:rsidR="00432488" w:rsidRPr="00432488">
        <w:t xml:space="preserve">Moderní subjekt se stal novým zdrojem vědy (ortus scientiarum), neboť vytváří objektivní scibile jako </w:t>
      </w:r>
      <w:proofErr w:type="gramStart"/>
      <w:r w:rsidR="00432488">
        <w:t xml:space="preserve">precizně </w:t>
      </w:r>
      <w:r w:rsidR="00432488" w:rsidRPr="00432488">
        <w:t xml:space="preserve"> myšlené</w:t>
      </w:r>
      <w:proofErr w:type="gramEnd"/>
      <w:r w:rsidR="00432488" w:rsidRPr="00432488">
        <w:t xml:space="preserve"> bytí (</w:t>
      </w:r>
      <w:r w:rsidR="00432488" w:rsidRPr="00432488">
        <w:rPr>
          <w:i/>
        </w:rPr>
        <w:t>ens ratum</w:t>
      </w:r>
      <w:r w:rsidR="009E08FE">
        <w:t>). Predikace „</w:t>
      </w:r>
      <w:r w:rsidR="00432488" w:rsidRPr="009E08FE">
        <w:rPr>
          <w:i/>
        </w:rPr>
        <w:t>in artificialibus</w:t>
      </w:r>
      <w:r w:rsidR="009E08FE">
        <w:t>“</w:t>
      </w:r>
      <w:r w:rsidR="00432488" w:rsidRPr="00432488">
        <w:t xml:space="preserve"> vytvořila nový </w:t>
      </w:r>
      <w:r w:rsidR="00432488" w:rsidRPr="009E08FE">
        <w:rPr>
          <w:i/>
        </w:rPr>
        <w:t>dativus auctoris</w:t>
      </w:r>
      <w:r w:rsidR="0001234F">
        <w:rPr>
          <w:i/>
        </w:rPr>
        <w:fldChar w:fldCharType="begin"/>
      </w:r>
      <w:r w:rsidR="0001234F">
        <w:instrText xml:space="preserve"> XE "</w:instrText>
      </w:r>
      <w:r w:rsidR="0001234F" w:rsidRPr="00203D48">
        <w:rPr>
          <w:i/>
        </w:rPr>
        <w:instrText>dativus auctoris</w:instrText>
      </w:r>
      <w:r w:rsidR="0001234F">
        <w:instrText xml:space="preserve">" </w:instrText>
      </w:r>
      <w:r w:rsidR="0001234F">
        <w:rPr>
          <w:i/>
        </w:rPr>
        <w:fldChar w:fldCharType="end"/>
      </w:r>
      <w:r w:rsidR="009E08FE">
        <w:t>, neboť vztah „</w:t>
      </w:r>
      <w:proofErr w:type="gramStart"/>
      <w:r w:rsidR="009E08FE">
        <w:t>subjekt</w:t>
      </w:r>
      <w:proofErr w:type="gramEnd"/>
      <w:r w:rsidR="009E08FE">
        <w:t>–</w:t>
      </w:r>
      <w:proofErr w:type="gramStart"/>
      <w:r w:rsidR="009E08FE">
        <w:t>objekt</w:t>
      </w:r>
      <w:proofErr w:type="gramEnd"/>
      <w:r w:rsidR="009E08FE">
        <w:t>“</w:t>
      </w:r>
      <w:r w:rsidR="00432488" w:rsidRPr="00432488">
        <w:t xml:space="preserve"> nahradil Sigerovo </w:t>
      </w:r>
      <w:r w:rsidR="009E08FE">
        <w:t>určení reálného poznání v modu „</w:t>
      </w:r>
      <w:r w:rsidR="00432488" w:rsidRPr="009E08FE">
        <w:rPr>
          <w:i/>
        </w:rPr>
        <w:t>subiective</w:t>
      </w:r>
      <w:r w:rsidR="009E08FE" w:rsidRPr="009E08FE">
        <w:rPr>
          <w:i/>
        </w:rPr>
        <w:t>–obiective</w:t>
      </w:r>
      <w:r w:rsidR="009E08FE">
        <w:t>“</w:t>
      </w:r>
      <w:r w:rsidR="00432488" w:rsidRPr="00432488">
        <w:t xml:space="preserve"> (</w:t>
      </w:r>
      <w:r w:rsidR="0001234F">
        <w:t xml:space="preserve">kap. </w:t>
      </w:r>
      <w:r w:rsidR="00432488" w:rsidRPr="00432488">
        <w:t xml:space="preserve">4.4.2). Siger </w:t>
      </w:r>
      <w:r w:rsidR="0001234F">
        <w:t xml:space="preserve">vzal </w:t>
      </w:r>
      <w:r w:rsidR="00432488" w:rsidRPr="00432488">
        <w:t xml:space="preserve">tělo reálného člověka jako </w:t>
      </w:r>
      <w:r w:rsidR="00432488" w:rsidRPr="0001234F">
        <w:rPr>
          <w:i/>
        </w:rPr>
        <w:t>dativus auctoris</w:t>
      </w:r>
      <w:r w:rsidR="00432488" w:rsidRPr="00432488">
        <w:t xml:space="preserve">, neboť nehmotný intelekt je </w:t>
      </w:r>
      <w:r w:rsidR="0001234F">
        <w:t xml:space="preserve">definovaná v </w:t>
      </w:r>
      <w:r w:rsidR="00432488" w:rsidRPr="00432488">
        <w:t>modu</w:t>
      </w:r>
      <w:r w:rsidR="0001234F">
        <w:t xml:space="preserve"> „</w:t>
      </w:r>
      <w:r w:rsidR="0001234F" w:rsidRPr="0001234F">
        <w:rPr>
          <w:i/>
        </w:rPr>
        <w:t>inmixtus</w:t>
      </w:r>
      <w:r w:rsidR="0001234F">
        <w:t>“</w:t>
      </w:r>
      <w:r w:rsidR="00432488" w:rsidRPr="00432488">
        <w:t xml:space="preserve">, který musí být aktualizován prostřednictvím smyslů. Moderna změnila status </w:t>
      </w:r>
      <w:r w:rsidR="00432488" w:rsidRPr="0001234F">
        <w:rPr>
          <w:i/>
        </w:rPr>
        <w:t>ens ratum</w:t>
      </w:r>
      <w:r w:rsidR="00432488" w:rsidRPr="00432488">
        <w:t xml:space="preserve"> a metafyzika chiméry vytvořila </w:t>
      </w:r>
      <w:r w:rsidR="0001234F">
        <w:t xml:space="preserve">reálně </w:t>
      </w:r>
      <w:r w:rsidR="00432488" w:rsidRPr="00432488">
        <w:t xml:space="preserve">neexistující subjekt, který </w:t>
      </w:r>
      <w:r w:rsidR="0001234F">
        <w:t xml:space="preserve">vytváří </w:t>
      </w:r>
      <w:r w:rsidR="00432488" w:rsidRPr="00432488">
        <w:t xml:space="preserve">odpovídající </w:t>
      </w:r>
      <w:r w:rsidR="0001234F">
        <w:t xml:space="preserve">reálně </w:t>
      </w:r>
      <w:r w:rsidR="00432488" w:rsidRPr="00432488">
        <w:t xml:space="preserve">neexistující objekt. </w:t>
      </w:r>
      <w:r>
        <w:t xml:space="preserve">Zdvojení světa na reálný a objektivní považoval Albert a Bacon za směšnost či šílenost. </w:t>
      </w:r>
      <w:r w:rsidR="00E476DD" w:rsidRPr="00E476DD">
        <w:t xml:space="preserve">Srovnání s voluntaristickým pojetím intencionality, které </w:t>
      </w:r>
      <w:r w:rsidR="00E476DD">
        <w:t xml:space="preserve">měl </w:t>
      </w:r>
      <w:r w:rsidR="00E476DD" w:rsidRPr="00E476DD">
        <w:t>Olivi, ukazuje, jak důkladně Henry změnil intencionalitu moderního subjektu. Gandavus nahradil Oliviho koncepci demiurgické a kapitalistické vůle spekulativní ontoteologií</w:t>
      </w:r>
      <w:r w:rsidR="00E476DD">
        <w:fldChar w:fldCharType="begin"/>
      </w:r>
      <w:r w:rsidR="00E476DD">
        <w:instrText xml:space="preserve"> XE "</w:instrText>
      </w:r>
      <w:r w:rsidR="00E476DD" w:rsidRPr="00B81C76">
        <w:instrText>ontoteologie:Gandavus</w:instrText>
      </w:r>
      <w:r w:rsidR="00E476DD">
        <w:instrText xml:space="preserve">" </w:instrText>
      </w:r>
      <w:r w:rsidR="00E476DD">
        <w:fldChar w:fldCharType="end"/>
      </w:r>
      <w:r w:rsidR="00E476DD" w:rsidRPr="00E476DD">
        <w:t xml:space="preserve"> ve stylu Bonaventury. </w:t>
      </w:r>
      <w:r>
        <w:t>Henry založil mezistupeň exemplární jsoucnosti</w:t>
      </w:r>
      <w:r w:rsidRPr="088B29CB">
        <w:t xml:space="preserve"> </w:t>
      </w:r>
      <w:r>
        <w:t xml:space="preserve">přímo v bohu. Objektivní jsoucno má vlastní bytnost danou potenciálně a intencionálně v boží mysli. Exemplar zakládající tuto sféru není výsledkem naší intencionální syntézy jako v prvním averroismu. První objektivní význam jsoucna „exsistuje“ jako objektivně hypostázovaná intence věčně u boha v modu v porretánském modu </w:t>
      </w:r>
      <w:r w:rsidRPr="006E4EE4">
        <w:rPr>
          <w:i/>
        </w:rPr>
        <w:t>semel‒semper</w:t>
      </w:r>
      <w:r>
        <w:rPr>
          <w:i/>
        </w:rPr>
        <w:fldChar w:fldCharType="begin"/>
      </w:r>
      <w:r>
        <w:instrText xml:space="preserve"> XE "predikace:</w:instrText>
      </w:r>
      <w:r w:rsidRPr="006B738F">
        <w:rPr>
          <w:i/>
        </w:rPr>
        <w:instrText>semel‒semper</w:instrText>
      </w:r>
      <w:r>
        <w:instrText xml:space="preserve">" </w:instrText>
      </w:r>
      <w:r>
        <w:rPr>
          <w:i/>
        </w:rPr>
        <w:fldChar w:fldCharType="end"/>
      </w:r>
      <w:r>
        <w:t xml:space="preserve">. Toto nové </w:t>
      </w:r>
      <w:r w:rsidRPr="006E4EE4">
        <w:rPr>
          <w:i/>
        </w:rPr>
        <w:t>tertium ens</w:t>
      </w:r>
      <w:r>
        <w:rPr>
          <w:i/>
        </w:rPr>
        <w:fldChar w:fldCharType="begin"/>
      </w:r>
      <w:r>
        <w:instrText xml:space="preserve"> XE "</w:instrText>
      </w:r>
      <w:r w:rsidRPr="00353701">
        <w:rPr>
          <w:i/>
        </w:rPr>
        <w:instrText>tertium ens</w:instrText>
      </w:r>
      <w:r>
        <w:instrText xml:space="preserve">:objektivní" </w:instrText>
      </w:r>
      <w:r>
        <w:rPr>
          <w:i/>
        </w:rPr>
        <w:fldChar w:fldCharType="end"/>
      </w:r>
      <w:r>
        <w:t xml:space="preserve"> se pak sekundárně manifestuje skrze akt stvoření světa, kde jsou exemplary dány jako seminální ratia</w:t>
      </w:r>
      <w:r w:rsidRPr="08C746D4">
        <w:t xml:space="preserve"> </w:t>
      </w:r>
      <w:r>
        <w:t>pro eidetické nazírání iluminátů. Náhled</w:t>
      </w:r>
      <w:r>
        <w:rPr>
          <w:i/>
        </w:rPr>
        <w:fldChar w:fldCharType="begin"/>
      </w:r>
      <w:r>
        <w:instrText xml:space="preserve"> XE "vidění:eidetické" </w:instrText>
      </w:r>
      <w:r>
        <w:rPr>
          <w:i/>
        </w:rPr>
        <w:fldChar w:fldCharType="end"/>
      </w:r>
      <w:r>
        <w:t xml:space="preserve"> do boží demiurgické mysli v analogickém modu položil nový základ metafyziky. Bůh jako zakládající simulákrum moderny začal fungovat okolo roku 1280 v první verzi antropocentrické metafyziky. Toto simulákrum vytváří objektivní základ celku jsoucna skrze duševní procesy (</w:t>
      </w:r>
      <w:r w:rsidRPr="005A5609">
        <w:rPr>
          <w:i/>
        </w:rPr>
        <w:t>intentio</w:t>
      </w:r>
      <w:r>
        <w:t xml:space="preserve">, </w:t>
      </w:r>
      <w:r w:rsidRPr="005A5609">
        <w:rPr>
          <w:i/>
        </w:rPr>
        <w:t>volitio</w:t>
      </w:r>
      <w:r>
        <w:rPr>
          <w:i/>
        </w:rPr>
        <w:t>, reflexio</w:t>
      </w:r>
      <w:r>
        <w:t xml:space="preserve">). Nový aspekt jsoucna daný v modu archetypické </w:t>
      </w:r>
      <w:r>
        <w:lastRenderedPageBreak/>
        <w:t xml:space="preserve">boží psychologie a intencionality založil všeobecnou metafyziku ve smyslu Heideggerova </w:t>
      </w:r>
      <w:r w:rsidRPr="006543EF">
        <w:rPr>
          <w:i/>
        </w:rPr>
        <w:t>Gründung</w:t>
      </w:r>
      <w:r>
        <w:rPr>
          <w:i/>
        </w:rPr>
        <w:fldChar w:fldCharType="begin"/>
      </w:r>
      <w:r>
        <w:instrText xml:space="preserve"> XE "metafyzika:</w:instrText>
      </w:r>
      <w:r w:rsidRPr="000854E0">
        <w:rPr>
          <w:i/>
        </w:rPr>
        <w:instrText>Gründung</w:instrText>
      </w:r>
      <w:r>
        <w:instrText xml:space="preserve">" </w:instrText>
      </w:r>
      <w:r>
        <w:rPr>
          <w:i/>
        </w:rPr>
        <w:fldChar w:fldCharType="end"/>
      </w:r>
      <w:r>
        <w:t xml:space="preserve">. </w:t>
      </w:r>
      <w:r w:rsidR="00135896" w:rsidRPr="00135896">
        <w:t>Olivi provedl kontemplaci bytí skrze vůli (</w:t>
      </w:r>
      <w:r w:rsidR="00135896" w:rsidRPr="00135896">
        <w:rPr>
          <w:i/>
        </w:rPr>
        <w:t>aspectus</w:t>
      </w:r>
      <w:r w:rsidR="00135896" w:rsidRPr="00135896">
        <w:t xml:space="preserve">); Gandavus ji transformoval zpět na intelektuální akt poznání, který se nacházel v ontoteologické struktuře metafyziky. </w:t>
      </w:r>
      <w:r>
        <w:t>Klíčovou roli v zakládání nové metafyziky hraje exemplar, protože tvoří nový střední člen</w:t>
      </w:r>
      <w:r>
        <w:fldChar w:fldCharType="begin"/>
      </w:r>
      <w:r>
        <w:instrText xml:space="preserve"> XE "</w:instrText>
      </w:r>
      <w:r w:rsidRPr="00884529">
        <w:rPr>
          <w:i/>
        </w:rPr>
        <w:instrText>medium</w:instrText>
      </w:r>
      <w:r w:rsidRPr="00CF7E87">
        <w:instrText>:Gandavus</w:instrText>
      </w:r>
      <w:r>
        <w:instrText xml:space="preserve">" </w:instrText>
      </w:r>
      <w:r>
        <w:fldChar w:fldCharType="end"/>
      </w:r>
      <w:r>
        <w:t xml:space="preserve"> objektivního demiurgického sylogismu. Bůh intenduje exemplar ve své </w:t>
      </w:r>
      <w:r w:rsidR="009002AD">
        <w:t xml:space="preserve">mysli </w:t>
      </w:r>
      <w:r>
        <w:t xml:space="preserve">a tím jej tvoří </w:t>
      </w:r>
      <w:r w:rsidRPr="00FF06F2">
        <w:rPr>
          <w:i/>
        </w:rPr>
        <w:t>ex nihilo</w:t>
      </w:r>
      <w:r>
        <w:rPr>
          <w:i/>
        </w:rPr>
        <w:fldChar w:fldCharType="begin"/>
      </w:r>
      <w:r>
        <w:instrText xml:space="preserve"> XE "</w:instrText>
      </w:r>
      <w:r w:rsidRPr="00555362">
        <w:rPr>
          <w:i/>
        </w:rPr>
        <w:instrText>creatio ex nihilo</w:instrText>
      </w:r>
      <w:r>
        <w:instrText xml:space="preserve">" </w:instrText>
      </w:r>
      <w:r>
        <w:rPr>
          <w:i/>
        </w:rPr>
        <w:fldChar w:fldCharType="end"/>
      </w:r>
      <w:r>
        <w:t xml:space="preserve">. Pak exemplar podrží ve své </w:t>
      </w:r>
      <w:r w:rsidRPr="00FF06F2">
        <w:rPr>
          <w:i/>
        </w:rPr>
        <w:t>memoria</w:t>
      </w:r>
      <w:r>
        <w:rPr>
          <w:i/>
        </w:rPr>
        <w:fldChar w:fldCharType="begin"/>
      </w:r>
      <w:r>
        <w:instrText xml:space="preserve"> XE "</w:instrText>
      </w:r>
      <w:r w:rsidRPr="00840D0F">
        <w:rPr>
          <w:i/>
        </w:rPr>
        <w:instrText>memoria:</w:instrText>
      </w:r>
      <w:r w:rsidRPr="00840D0F">
        <w:instrText>druhý averroismus</w:instrText>
      </w:r>
      <w:r>
        <w:instrText xml:space="preserve">" </w:instrText>
      </w:r>
      <w:r>
        <w:rPr>
          <w:i/>
        </w:rPr>
        <w:fldChar w:fldCharType="end"/>
      </w:r>
      <w:r>
        <w:t xml:space="preserve"> a může jej stvořitelsky poslat do světa, kde jej sekundárně nahlíží moderní iluminát. Nový typ intencionálního předmětu vybavený božskou mocí a inteligencí založil objektivně danou sféru bytí. </w:t>
      </w:r>
      <w:r w:rsidR="00B42D33">
        <w:t xml:space="preserve">Moderní iluminát je </w:t>
      </w:r>
      <w:r>
        <w:t xml:space="preserve">objektivně </w:t>
      </w:r>
      <w:r w:rsidR="00B42D33">
        <w:t xml:space="preserve">podobný modernímu </w:t>
      </w:r>
      <w:r>
        <w:t xml:space="preserve">bohu </w:t>
      </w:r>
      <w:r w:rsidR="00812A11">
        <w:t xml:space="preserve">jako </w:t>
      </w:r>
      <w:r w:rsidR="00F63C5F">
        <w:rPr>
          <w:i/>
        </w:rPr>
        <w:t>imago D</w:t>
      </w:r>
      <w:r w:rsidRPr="00AD68BE">
        <w:rPr>
          <w:i/>
        </w:rPr>
        <w:t>ei</w:t>
      </w:r>
      <w:r w:rsidR="00B42D33">
        <w:t xml:space="preserve">. </w:t>
      </w:r>
      <w:r>
        <w:t>Henry popisuje v návaznosti na Oliviho první objektivní kapitalizaci exemplarů v boží mysli, která se následně zúročí v kapitalistickém vědomí a jednání.</w:t>
      </w:r>
    </w:p>
    <w:p w:rsidR="08163013" w:rsidRDefault="08163013" w:rsidP="08163013">
      <w:pPr>
        <w:pStyle w:val="Citace"/>
      </w:pPr>
      <w:r>
        <w:t>„</w:t>
      </w:r>
      <w:r>
        <w:rPr>
          <w:lang w:val="cs-CZ"/>
        </w:rPr>
        <w:t>Exemplary jako poznané a účinné objekty nejsou v intelektu</w:t>
      </w:r>
      <w:r w:rsidRPr="00260802">
        <w:rPr>
          <w:lang w:val="cs-CZ"/>
        </w:rPr>
        <w:t xml:space="preserve"> </w:t>
      </w:r>
      <w:r>
        <w:rPr>
          <w:lang w:val="cs-CZ"/>
        </w:rPr>
        <w:t>determinovány našim poznáním (</w:t>
      </w:r>
      <w:r w:rsidRPr="004E1881">
        <w:rPr>
          <w:i/>
          <w:lang w:val="cs-CZ"/>
        </w:rPr>
        <w:t xml:space="preserve">non sunt </w:t>
      </w:r>
      <w:r w:rsidRPr="00260802">
        <w:rPr>
          <w:i/>
        </w:rPr>
        <w:t>obiecta cognita et operata ab intellectu</w:t>
      </w:r>
      <w:r>
        <w:rPr>
          <w:lang w:val="cs-CZ"/>
        </w:rPr>
        <w:t>). Jsou dány jako předmět jednání a činnosti k tomu, aby se aktualizoval náš intelekt. Skrze aktuální intelekt získají exemplary nové bytí v intelektu (</w:t>
      </w:r>
      <w:r w:rsidRPr="00B36F4C">
        <w:rPr>
          <w:i/>
        </w:rPr>
        <w:t>ipsa faciunt esse in esse cognito intellectus</w:t>
      </w:r>
      <w:r>
        <w:rPr>
          <w:lang w:val="cs-CZ"/>
        </w:rPr>
        <w:t>). To by nebylo možné, kdyby už předtím exemplary nebyly pravými jsoucny (</w:t>
      </w:r>
      <w:r w:rsidRPr="00B36F4C">
        <w:rPr>
          <w:i/>
        </w:rPr>
        <w:t>essent entia vera</w:t>
      </w:r>
      <w:r>
        <w:rPr>
          <w:lang w:val="cs-CZ"/>
        </w:rPr>
        <w:t>) podle míry své vlastní aktuality (</w:t>
      </w:r>
      <w:r w:rsidRPr="00B36F4C">
        <w:rPr>
          <w:i/>
        </w:rPr>
        <w:t>ex se secundum actum</w:t>
      </w:r>
      <w:r>
        <w:rPr>
          <w:lang w:val="cs-CZ"/>
        </w:rPr>
        <w:t>). Vůči nim (</w:t>
      </w:r>
      <w:r w:rsidRPr="00B36F4C">
        <w:rPr>
          <w:i/>
        </w:rPr>
        <w:t>respectu quorum</w:t>
      </w:r>
      <w:r>
        <w:rPr>
          <w:lang w:val="cs-CZ"/>
        </w:rPr>
        <w:t>) je intelekt nějakým způsobem jako jsoucno v potenci (</w:t>
      </w:r>
      <w:r w:rsidRPr="00B36F4C">
        <w:rPr>
          <w:i/>
        </w:rPr>
        <w:t>quodam modo est ens in potentia</w:t>
      </w:r>
      <w:r>
        <w:rPr>
          <w:lang w:val="cs-CZ"/>
        </w:rPr>
        <w:t>). Tato exemplární jsoucna jsou vz</w:t>
      </w:r>
      <w:r w:rsidR="00DB5445">
        <w:rPr>
          <w:lang w:val="cs-CZ"/>
        </w:rPr>
        <w:t xml:space="preserve">hledem k božímu bytí jsoucna v minimální </w:t>
      </w:r>
      <w:r>
        <w:rPr>
          <w:lang w:val="cs-CZ"/>
        </w:rPr>
        <w:t>jsoucnosti (</w:t>
      </w:r>
      <w:r w:rsidRPr="00B36F4C">
        <w:rPr>
          <w:i/>
        </w:rPr>
        <w:t>sunt diminuta entia</w:t>
      </w:r>
      <w:r>
        <w:rPr>
          <w:lang w:val="cs-CZ"/>
        </w:rPr>
        <w:t xml:space="preserve">). Nejsou </w:t>
      </w:r>
      <w:r w:rsidR="00DB5445">
        <w:rPr>
          <w:lang w:val="cs-CZ"/>
        </w:rPr>
        <w:t xml:space="preserve">minimalizována </w:t>
      </w:r>
      <w:r>
        <w:rPr>
          <w:lang w:val="cs-CZ"/>
        </w:rPr>
        <w:t>tím způsobem, jako předmětnosti konstituované v naší mysli (</w:t>
      </w:r>
      <w:r w:rsidRPr="00B36F4C">
        <w:rPr>
          <w:i/>
        </w:rPr>
        <w:t>entia operata ab intellectu nostro</w:t>
      </w:r>
      <w:r>
        <w:rPr>
          <w:lang w:val="cs-CZ"/>
        </w:rPr>
        <w:t xml:space="preserve">). </w:t>
      </w:r>
      <w:r w:rsidR="00142A8C">
        <w:rPr>
          <w:lang w:val="cs-CZ"/>
        </w:rPr>
        <w:t>Speci</w:t>
      </w:r>
      <w:r w:rsidR="00CB668F">
        <w:rPr>
          <w:lang w:val="cs-CZ"/>
        </w:rPr>
        <w:t>e</w:t>
      </w:r>
      <w:r w:rsidR="00142A8C">
        <w:rPr>
          <w:lang w:val="cs-CZ"/>
        </w:rPr>
        <w:t xml:space="preserve">s </w:t>
      </w:r>
      <w:r>
        <w:rPr>
          <w:lang w:val="cs-CZ"/>
        </w:rPr>
        <w:t>vznikl</w:t>
      </w:r>
      <w:r w:rsidR="00142A8C">
        <w:rPr>
          <w:lang w:val="cs-CZ"/>
        </w:rPr>
        <w:t>á v mysli jsou dána</w:t>
      </w:r>
      <w:r>
        <w:rPr>
          <w:lang w:val="cs-CZ"/>
        </w:rPr>
        <w:t xml:space="preserve"> tak, že nemohou mít pravdivé bytí mimo intelekt, protože existenci mají jen v intelektu.“ </w:t>
      </w:r>
      <w:r w:rsidRPr="00273106">
        <w:rPr>
          <w:rStyle w:val="Znakapoznpodarou"/>
        </w:rPr>
        <w:footnoteReference w:id="408"/>
      </w:r>
    </w:p>
    <w:p w:rsidR="006914F3" w:rsidRDefault="08163013" w:rsidP="08163013">
      <w:r>
        <w:t xml:space="preserve">Citát </w:t>
      </w:r>
      <w:r w:rsidRPr="00273106">
        <w:t>rozliš</w:t>
      </w:r>
      <w:r>
        <w:t>uje rovinu minimálního jsoucna</w:t>
      </w:r>
      <w:r w:rsidRPr="088134AD">
        <w:t xml:space="preserve"> </w:t>
      </w:r>
      <w:r w:rsidRPr="00273106">
        <w:t xml:space="preserve">vzhledem k aktuální plnosti bytí </w:t>
      </w:r>
      <w:r>
        <w:t>v bohu</w:t>
      </w:r>
      <w:r w:rsidRPr="00273106">
        <w:t xml:space="preserve"> (</w:t>
      </w:r>
      <w:r w:rsidRPr="00273106">
        <w:rPr>
          <w:i/>
        </w:rPr>
        <w:t>respectu entis quod Deus est</w:t>
      </w:r>
      <w:r w:rsidRPr="00273106">
        <w:t>)</w:t>
      </w:r>
      <w:r>
        <w:t xml:space="preserve">. V moderním bohu je </w:t>
      </w:r>
      <w:r w:rsidR="009C5B24">
        <w:t xml:space="preserve">externí </w:t>
      </w:r>
      <w:r>
        <w:t xml:space="preserve">jsoucnost </w:t>
      </w:r>
      <w:r w:rsidRPr="00273106">
        <w:t xml:space="preserve">dána </w:t>
      </w:r>
      <w:r w:rsidR="00B6763A">
        <w:t>jako potencialita, protože exemplary m</w:t>
      </w:r>
      <w:r>
        <w:t>ají jen potenciální a intencionální charakter (</w:t>
      </w:r>
      <w:r w:rsidRPr="00273106">
        <w:rPr>
          <w:i/>
        </w:rPr>
        <w:t>sunt diminuta entia</w:t>
      </w:r>
      <w:r>
        <w:t>)</w:t>
      </w:r>
      <w:r w:rsidRPr="00273106">
        <w:t>.</w:t>
      </w:r>
      <w:r w:rsidRPr="00A261DE">
        <w:rPr>
          <w:rStyle w:val="Znakapoznpodarou"/>
        </w:rPr>
        <w:t xml:space="preserve"> </w:t>
      </w:r>
      <w:r>
        <w:t>Tím je zajištěna Oliviho reálná distinkce mezi intimitou boží esence a její intencionální produkcí směrem navenek (</w:t>
      </w:r>
      <w:r w:rsidRPr="00273106">
        <w:rPr>
          <w:i/>
        </w:rPr>
        <w:t>realis distinctio inter essentiam voluntatis et suos aspectus</w:t>
      </w:r>
      <w:r w:rsidR="009C5B24">
        <w:t>, kap. 5</w:t>
      </w:r>
      <w:r>
        <w:t xml:space="preserve">.1.2). Oliviho schéma intimní vůle v intelektualistické verzi ontoteologie nahrazeno reflexivním </w:t>
      </w:r>
      <w:r>
        <w:lastRenderedPageBreak/>
        <w:t>sebepoznáním prováděným v rámci božího demiurgického intelektu. Bůh je věčně sám u sebe ve své ipseitě a směrem do světa posílá objektivní exempla</w:t>
      </w:r>
      <w:r w:rsidR="006914F3">
        <w:t>ry, které objektivně poznáváme.</w:t>
      </w:r>
    </w:p>
    <w:p w:rsidR="00AD7890" w:rsidRDefault="006914F3" w:rsidP="00EC14A8">
      <w:pPr>
        <w:ind w:firstLine="397"/>
      </w:pPr>
      <w:r w:rsidRPr="006914F3">
        <w:t xml:space="preserve">Pojem </w:t>
      </w:r>
      <w:r>
        <w:t>„</w:t>
      </w:r>
      <w:r w:rsidRPr="006914F3">
        <w:rPr>
          <w:i/>
        </w:rPr>
        <w:t>esse diminutum</w:t>
      </w:r>
      <w:r w:rsidR="00EC14A8">
        <w:rPr>
          <w:i/>
        </w:rPr>
        <w:fldChar w:fldCharType="begin"/>
      </w:r>
      <w:r w:rsidR="00EC14A8">
        <w:instrText xml:space="preserve"> XE "</w:instrText>
      </w:r>
      <w:r w:rsidR="00EC14A8" w:rsidRPr="00782C1F">
        <w:rPr>
          <w:i/>
        </w:rPr>
        <w:instrText>esse diminutum</w:instrText>
      </w:r>
      <w:r w:rsidR="00EC14A8">
        <w:instrText xml:space="preserve">" </w:instrText>
      </w:r>
      <w:r w:rsidR="00EC14A8">
        <w:rPr>
          <w:i/>
        </w:rPr>
        <w:fldChar w:fldCharType="end"/>
      </w:r>
      <w:r>
        <w:t>“</w:t>
      </w:r>
      <w:r w:rsidRPr="006914F3">
        <w:t xml:space="preserve"> </w:t>
      </w:r>
      <w:r>
        <w:t xml:space="preserve">ustavil </w:t>
      </w:r>
      <w:r w:rsidRPr="006914F3">
        <w:t>objektivní tok forem z božské mysli</w:t>
      </w:r>
      <w:r w:rsidR="00EC14A8">
        <w:t xml:space="preserve"> do světa. </w:t>
      </w:r>
      <w:r w:rsidR="08163013">
        <w:t>B</w:t>
      </w:r>
      <w:r w:rsidR="08163013" w:rsidRPr="00273106">
        <w:t>oží exemplar</w:t>
      </w:r>
      <w:r w:rsidR="08163013">
        <w:t>y „exsistují“ v</w:t>
      </w:r>
      <w:r w:rsidR="004F40D7">
        <w:t xml:space="preserve"> minimálním </w:t>
      </w:r>
      <w:r w:rsidR="08163013">
        <w:t xml:space="preserve">objektivním </w:t>
      </w:r>
      <w:r w:rsidR="08163013" w:rsidRPr="009073B4">
        <w:rPr>
          <w:i/>
        </w:rPr>
        <w:t>esse</w:t>
      </w:r>
      <w:r w:rsidR="08163013">
        <w:t xml:space="preserve">, které </w:t>
      </w:r>
      <w:r w:rsidR="08163013" w:rsidRPr="00273106">
        <w:t>lidský intelekt vnímá ja</w:t>
      </w:r>
      <w:r w:rsidR="08163013">
        <w:t>ko aktivní inteligibilní formy.</w:t>
      </w:r>
      <w:r w:rsidR="08163013" w:rsidRPr="08D76D8D">
        <w:t xml:space="preserve"> </w:t>
      </w:r>
      <w:r w:rsidR="08163013">
        <w:t>V bohu jsou exemplary dány pouze potenciálně, ale vzhledem k nám již vystupují v modu hypostázované objektivity. Nová sféra jsoucna třetího druhu je dána v definici exemplaru</w:t>
      </w:r>
      <w:r w:rsidR="00006C00">
        <w:t xml:space="preserve">. Moderní bůh </w:t>
      </w:r>
      <w:r w:rsidR="08163013">
        <w:t xml:space="preserve">vybavuje </w:t>
      </w:r>
      <w:r w:rsidR="00006C00">
        <w:t xml:space="preserve">své intencionální obsahy (a ne platonské ideje) </w:t>
      </w:r>
      <w:r w:rsidR="08163013">
        <w:t>exemplárním typem objektivní existence v modu objektivní pravdivosti (</w:t>
      </w:r>
      <w:r w:rsidR="08163013" w:rsidRPr="089E49CE">
        <w:rPr>
          <w:i/>
        </w:rPr>
        <w:t>ex se secundum actum essent entia vera</w:t>
      </w:r>
      <w:r w:rsidR="08163013">
        <w:t xml:space="preserve">). </w:t>
      </w:r>
      <w:r w:rsidR="00DB04BA">
        <w:t>Tyto o</w:t>
      </w:r>
      <w:r w:rsidR="00C16590">
        <w:t xml:space="preserve">bjektivované </w:t>
      </w:r>
      <w:r w:rsidR="00DB04BA">
        <w:t>exemplary</w:t>
      </w:r>
      <w:r w:rsidR="00C16590">
        <w:t xml:space="preserve"> vůči nám vystupují</w:t>
      </w:r>
      <w:r w:rsidR="08163013">
        <w:t xml:space="preserve"> jako externí objekt poznání, který receptivní intelekt poznává ve své potenci (</w:t>
      </w:r>
      <w:r w:rsidR="08163013" w:rsidRPr="089E49CE">
        <w:rPr>
          <w:i/>
        </w:rPr>
        <w:t>respectu quorum intellectus quodam modo est ens in potentia</w:t>
      </w:r>
      <w:r w:rsidR="08163013">
        <w:t xml:space="preserve">). Proto konec citátu tvrdí, že pro nás existují </w:t>
      </w:r>
      <w:r w:rsidR="00AA5699">
        <w:t xml:space="preserve">objektivní významy </w:t>
      </w:r>
      <w:r w:rsidR="08163013">
        <w:t>pouze v mysli. Nové jsoucno třetího druhu</w:t>
      </w:r>
      <w:r w:rsidR="08163013">
        <w:fldChar w:fldCharType="begin"/>
      </w:r>
      <w:r w:rsidR="08163013">
        <w:instrText xml:space="preserve"> XE "</w:instrText>
      </w:r>
      <w:r w:rsidR="08163013" w:rsidRPr="009E73C8">
        <w:rPr>
          <w:i/>
        </w:rPr>
        <w:instrText>tertium ens</w:instrText>
      </w:r>
      <w:r w:rsidR="08163013" w:rsidRPr="00C55744">
        <w:instrText>:Gandavus</w:instrText>
      </w:r>
      <w:r w:rsidR="08163013">
        <w:instrText xml:space="preserve">" </w:instrText>
      </w:r>
      <w:r w:rsidR="08163013">
        <w:fldChar w:fldCharType="end"/>
      </w:r>
      <w:r w:rsidR="08163013">
        <w:t xml:space="preserve"> neexistuje ve světě jako platonská idea, která má vlastní jsoucnost, na níž participují materiální věci. Henry </w:t>
      </w:r>
      <w:r w:rsidR="0077690A">
        <w:t xml:space="preserve">jasně odmítá </w:t>
      </w:r>
      <w:r w:rsidR="08163013">
        <w:t>platonismus stejně jako předtím Bonaventur</w:t>
      </w:r>
      <w:r w:rsidR="0077690A">
        <w:t>a (kap. 4</w:t>
      </w:r>
      <w:r w:rsidR="08163013">
        <w:t xml:space="preserve">.1.1). Exemplar neexistuje jako idea, protože „exsistuje“ jako potenciální intence daná buď v </w:t>
      </w:r>
      <w:proofErr w:type="gramStart"/>
      <w:r w:rsidR="08163013">
        <w:t>boží nebo</w:t>
      </w:r>
      <w:proofErr w:type="gramEnd"/>
      <w:r w:rsidR="08163013">
        <w:t xml:space="preserve"> v naší mysli. Diakosmem už není mytologický svět platonského demiurga</w:t>
      </w:r>
      <w:r w:rsidR="08163013">
        <w:fldChar w:fldCharType="begin"/>
      </w:r>
      <w:r w:rsidR="08163013">
        <w:instrText xml:space="preserve"> XE "</w:instrText>
      </w:r>
      <w:r w:rsidR="08163013" w:rsidRPr="005C2F4A">
        <w:rPr>
          <w:rStyle w:val="addmd"/>
        </w:rPr>
        <w:instrText>demiurg</w:instrText>
      </w:r>
      <w:r w:rsidR="08163013">
        <w:instrText xml:space="preserve">" </w:instrText>
      </w:r>
      <w:r w:rsidR="08163013">
        <w:fldChar w:fldCharType="end"/>
      </w:r>
      <w:r w:rsidR="08163013">
        <w:t xml:space="preserve"> Timaia, ale boží demiurgická mysl, která dostala moderní antropomorfický charakter v rámci ontoteologické psychologie. Exemplar jako objektivní jsoucno třetího druhu nasvěcuje lidskou duši, jež se stává univerzálním recipientem objektivního poznání (</w:t>
      </w:r>
      <w:r w:rsidR="08163013" w:rsidRPr="00B36F4C">
        <w:rPr>
          <w:i/>
        </w:rPr>
        <w:t>quodam modo est ens in potentia</w:t>
      </w:r>
      <w:r w:rsidR="08163013">
        <w:t>). Exemplárně daná objektivita daná primárně v boží mysli se zásadně liší od našich demiurgických představ, které můžeme demiurgicky ovládat (</w:t>
      </w:r>
      <w:r w:rsidR="08163013" w:rsidRPr="00F651F2">
        <w:rPr>
          <w:i/>
        </w:rPr>
        <w:t>entia operata ab intellectu nostro</w:t>
      </w:r>
      <w:r w:rsidR="08163013">
        <w:t>)</w:t>
      </w:r>
      <w:r w:rsidR="08163013" w:rsidRPr="00273106">
        <w:t xml:space="preserve">. </w:t>
      </w:r>
      <w:r w:rsidR="08163013">
        <w:t>Citát kodifikuje na úrovni objektivní metafyziky Bonaventurův rozdíl mezi dvojí regulí agenta stvořitele a tvořitele</w:t>
      </w:r>
      <w:r w:rsidR="08163013">
        <w:fldChar w:fldCharType="begin"/>
      </w:r>
      <w:r w:rsidR="08163013">
        <w:instrText xml:space="preserve"> XE "</w:instrText>
      </w:r>
      <w:r w:rsidR="08163013" w:rsidRPr="00A34994">
        <w:instrText>regule:</w:instrText>
      </w:r>
      <w:r w:rsidR="08163013" w:rsidRPr="003810C0">
        <w:rPr>
          <w:i/>
        </w:rPr>
        <w:instrText>agentis in/creati</w:instrText>
      </w:r>
      <w:r w:rsidR="08163013">
        <w:instrText xml:space="preserve">" </w:instrText>
      </w:r>
      <w:r w:rsidR="08163013">
        <w:fldChar w:fldCharType="end"/>
      </w:r>
      <w:r w:rsidR="08163013">
        <w:t xml:space="preserve">. </w:t>
      </w:r>
      <w:r w:rsidR="08163013" w:rsidRPr="00273106">
        <w:t xml:space="preserve">Boží exemplary jsou jen v potenci vůči </w:t>
      </w:r>
      <w:r w:rsidR="08163013">
        <w:t xml:space="preserve">reálnému </w:t>
      </w:r>
      <w:r w:rsidR="08163013" w:rsidRPr="00273106">
        <w:t>stvoření, proto mají nižší ontologický status než stvořené substance</w:t>
      </w:r>
      <w:r w:rsidR="08163013">
        <w:fldChar w:fldCharType="begin"/>
      </w:r>
      <w:r w:rsidR="08163013">
        <w:instrText xml:space="preserve"> XE "</w:instrText>
      </w:r>
      <w:r w:rsidR="08163013" w:rsidRPr="00DE2A32">
        <w:instrText>substance</w:instrText>
      </w:r>
      <w:r w:rsidR="08163013">
        <w:instrText xml:space="preserve">:stvořené" </w:instrText>
      </w:r>
      <w:r w:rsidR="08163013">
        <w:fldChar w:fldCharType="end"/>
      </w:r>
      <w:r w:rsidR="08163013" w:rsidRPr="00273106">
        <w:t>, které v bohu být nemohou. Ale jako boží entity už mají exemplary formální existenci objektivně danou v boží mysli, která stojí nekonečně výše než intencionální obsahy lidského intelektu</w:t>
      </w:r>
      <w:r w:rsidR="08163013">
        <w:t xml:space="preserve"> (</w:t>
      </w:r>
      <w:r w:rsidR="08163013" w:rsidRPr="00464CAD">
        <w:rPr>
          <w:i/>
        </w:rPr>
        <w:t>ex se secundum actum essent entia vera</w:t>
      </w:r>
      <w:r w:rsidR="08163013">
        <w:t>)</w:t>
      </w:r>
      <w:r w:rsidR="08163013" w:rsidRPr="00273106">
        <w:t xml:space="preserve">. Toto </w:t>
      </w:r>
      <w:r w:rsidR="08163013">
        <w:t>jsoucno o</w:t>
      </w:r>
      <w:r w:rsidR="08163013" w:rsidRPr="00273106">
        <w:t xml:space="preserve">bjektivně dané u boha </w:t>
      </w:r>
      <w:r w:rsidR="08163013">
        <w:t>v modu exemplárně pravdivé jsoucnosti (</w:t>
      </w:r>
      <w:r w:rsidR="08163013" w:rsidRPr="00454759">
        <w:rPr>
          <w:i/>
        </w:rPr>
        <w:t>entia vera</w:t>
      </w:r>
      <w:r w:rsidR="08163013">
        <w:t xml:space="preserve">) </w:t>
      </w:r>
      <w:r w:rsidR="08163013" w:rsidRPr="00273106">
        <w:t xml:space="preserve">aktualizuje </w:t>
      </w:r>
      <w:r w:rsidR="08163013">
        <w:t xml:space="preserve">naše poznání. Exemplárně pravdivé objektivní jsoucno </w:t>
      </w:r>
      <w:r w:rsidR="08163013" w:rsidRPr="00273106">
        <w:t xml:space="preserve">nasvěcuje </w:t>
      </w:r>
      <w:r w:rsidR="08163013">
        <w:t>intelekt, a tím jej primárně aktualizuje (</w:t>
      </w:r>
      <w:r w:rsidR="08163013" w:rsidRPr="00273106">
        <w:rPr>
          <w:i/>
        </w:rPr>
        <w:t>ut intellectus noster sit intellectus secundum actum</w:t>
      </w:r>
      <w:r w:rsidR="08163013" w:rsidRPr="00273106">
        <w:t xml:space="preserve">). </w:t>
      </w:r>
      <w:r w:rsidR="08163013">
        <w:lastRenderedPageBreak/>
        <w:t>Tím vzniklo první plně metafyzické schéma objektivního nasvícení jsoucna zezadu</w:t>
      </w:r>
      <w:r w:rsidR="08163013">
        <w:fldChar w:fldCharType="begin"/>
      </w:r>
      <w:r w:rsidR="08163013">
        <w:instrText xml:space="preserve"> XE "</w:instrText>
      </w:r>
      <w:r w:rsidR="08163013" w:rsidRPr="00B66EBA">
        <w:instrText>zjevování:nasvícení zezadu</w:instrText>
      </w:r>
      <w:r w:rsidR="08163013">
        <w:instrText xml:space="preserve">" </w:instrText>
      </w:r>
      <w:r w:rsidR="08163013">
        <w:fldChar w:fldCharType="end"/>
      </w:r>
      <w:r w:rsidR="08163013">
        <w:t xml:space="preserve"> od nově utvořeného diakosmu objektivně určených jsoucen. </w:t>
      </w:r>
      <w:r w:rsidR="006B0CF8" w:rsidRPr="00273106">
        <w:t>Henry nazírá exemplar</w:t>
      </w:r>
      <w:r w:rsidR="006B0CF8">
        <w:fldChar w:fldCharType="begin"/>
      </w:r>
      <w:r w:rsidR="006B0CF8">
        <w:instrText xml:space="preserve"> XE "</w:instrText>
      </w:r>
      <w:r w:rsidR="006B0CF8" w:rsidRPr="0063252E">
        <w:instrText>exemplar</w:instrText>
      </w:r>
      <w:r w:rsidR="006B0CF8">
        <w:instrText xml:space="preserve">" </w:instrText>
      </w:r>
      <w:r w:rsidR="006B0CF8">
        <w:fldChar w:fldCharType="end"/>
      </w:r>
      <w:r w:rsidR="006B0CF8" w:rsidRPr="00273106">
        <w:t xml:space="preserve"> jako nové </w:t>
      </w:r>
      <w:r w:rsidR="006B0CF8" w:rsidRPr="00273106">
        <w:rPr>
          <w:i/>
        </w:rPr>
        <w:t>obiectum</w:t>
      </w:r>
      <w:r w:rsidR="006B0CF8" w:rsidRPr="00273106">
        <w:t xml:space="preserve"> </w:t>
      </w:r>
      <w:r w:rsidR="006B0CF8">
        <w:t xml:space="preserve">intelektu, který ovšem exemplar nesyntetizuje, jen pasivně přijímá. </w:t>
      </w:r>
      <w:r w:rsidR="08163013">
        <w:t xml:space="preserve">Pasivní a receptivní role </w:t>
      </w:r>
      <w:r w:rsidR="08163013" w:rsidRPr="0063252E">
        <w:rPr>
          <w:i/>
        </w:rPr>
        <w:t>intellectus possibilis</w:t>
      </w:r>
      <w:r w:rsidR="08163013">
        <w:t xml:space="preserve"> je definována podle </w:t>
      </w:r>
      <w:r w:rsidR="08163013" w:rsidRPr="00EF71CB">
        <w:rPr>
          <w:i/>
        </w:rPr>
        <w:t>De anima</w:t>
      </w:r>
      <w:r w:rsidR="08163013">
        <w:t xml:space="preserve">, čímž je zachována fundamentální teze prvního averroismu zajišťující univerzalitu poznání. </w:t>
      </w:r>
      <w:r w:rsidR="00B3219E">
        <w:t>Boží k</w:t>
      </w:r>
      <w:r w:rsidR="08163013" w:rsidRPr="00273106">
        <w:t>ontemp</w:t>
      </w:r>
      <w:r w:rsidR="08163013">
        <w:t>l</w:t>
      </w:r>
      <w:r w:rsidR="08163013" w:rsidRPr="00273106">
        <w:t xml:space="preserve">ací </w:t>
      </w:r>
      <w:r w:rsidR="08163013">
        <w:t xml:space="preserve">danou v modu objektivního </w:t>
      </w:r>
      <w:r w:rsidR="08163013" w:rsidRPr="00284F4B">
        <w:rPr>
          <w:i/>
        </w:rPr>
        <w:t>rectitudo</w:t>
      </w:r>
      <w:r w:rsidR="00B3219E">
        <w:t xml:space="preserve"> vzniká plnost pravdy. Na lidské straně jí odpovídá </w:t>
      </w:r>
      <w:r w:rsidR="08163013" w:rsidRPr="00273106">
        <w:rPr>
          <w:i/>
        </w:rPr>
        <w:t>certitudo</w:t>
      </w:r>
      <w:r w:rsidR="08163013" w:rsidRPr="00284F4B">
        <w:t xml:space="preserve"> moderního ilumináta</w:t>
      </w:r>
      <w:r w:rsidR="08163013">
        <w:t>, který objektivně nazírá něco, co reálně vůbec neexistuje</w:t>
      </w:r>
      <w:r w:rsidR="08163013">
        <w:fldChar w:fldCharType="begin"/>
      </w:r>
      <w:r w:rsidR="08163013">
        <w:instrText xml:space="preserve"> XE "</w:instrText>
      </w:r>
      <w:r w:rsidR="08163013" w:rsidRPr="000F00BE">
        <w:instrText>pravda:obje</w:instrText>
      </w:r>
      <w:r w:rsidR="08163013">
        <w:instrText>k</w:instrText>
      </w:r>
      <w:r w:rsidR="08163013" w:rsidRPr="000F00BE">
        <w:instrText>tivní</w:instrText>
      </w:r>
      <w:r w:rsidR="08163013">
        <w:instrText xml:space="preserve">" </w:instrText>
      </w:r>
      <w:r w:rsidR="08163013">
        <w:fldChar w:fldCharType="end"/>
      </w:r>
      <w:r w:rsidR="08163013" w:rsidRPr="00273106">
        <w:t xml:space="preserve">. </w:t>
      </w:r>
      <w:r w:rsidR="08163013">
        <w:t xml:space="preserve">Henryho forma objektivní iluminace intelektu se zásadně liší od způsobu poznání v prvním averroismu daného nasvícením intelektu z reality. </w:t>
      </w:r>
      <w:r w:rsidR="08163013" w:rsidRPr="00273106">
        <w:t xml:space="preserve">Plnost </w:t>
      </w:r>
      <w:r w:rsidR="00182558">
        <w:t xml:space="preserve">moderní </w:t>
      </w:r>
      <w:r w:rsidR="08163013" w:rsidRPr="00273106">
        <w:t xml:space="preserve">pravdy vzniká nasvícením poznaného jsoucna pomocí exemplarů </w:t>
      </w:r>
      <w:r w:rsidR="08163013">
        <w:t>pocházejích z objektivní ontoteologické sféry božího myšlení a intencionality. Objektivní s</w:t>
      </w:r>
      <w:r w:rsidR="08163013" w:rsidRPr="00273106">
        <w:t>c</w:t>
      </w:r>
      <w:r w:rsidR="08163013">
        <w:t xml:space="preserve">énář nasvícení jsoucna zezadu vznikl syntézou avicennismu a aristotelismu a tento sofistický synkretismus určil </w:t>
      </w:r>
      <w:r w:rsidR="08163013" w:rsidRPr="00273106">
        <w:t>cestu objektivně determinované metafyziky.</w:t>
      </w:r>
    </w:p>
    <w:p w:rsidR="08163013" w:rsidRPr="00273106" w:rsidRDefault="008C3856" w:rsidP="00EC14A8">
      <w:pPr>
        <w:ind w:firstLine="397"/>
      </w:pPr>
      <w:r>
        <w:t xml:space="preserve">Henry pojal </w:t>
      </w:r>
      <w:r w:rsidR="08163013" w:rsidRPr="00273106">
        <w:t>exemplar ve trojím modu (</w:t>
      </w:r>
      <w:r w:rsidR="08163013" w:rsidRPr="00273106">
        <w:rPr>
          <w:i/>
        </w:rPr>
        <w:t>triplici ratione</w:t>
      </w:r>
      <w:r w:rsidR="08163013" w:rsidRPr="00273106">
        <w:t>)</w:t>
      </w:r>
      <w:r w:rsidR="08163013">
        <w:t>, který pokrývá celek jsoucna</w:t>
      </w:r>
      <w:r w:rsidR="08163013" w:rsidRPr="00273106">
        <w:t xml:space="preserve">. </w:t>
      </w:r>
      <w:r w:rsidR="08163013">
        <w:t>Scotus správně poznamená, že toto schéma objektivity dané v rámci avicennovské ontoteologie se musí upravit do aristotelské podoby, protože v bohu nemůže existovat sféra jsoucen třetího druhu. Následující citát ukazuje první strukturu moderní metafyziky, kterou dokončí Scotus</w:t>
      </w:r>
      <w:r w:rsidR="08163013">
        <w:fldChar w:fldCharType="begin"/>
      </w:r>
      <w:r w:rsidR="08163013">
        <w:instrText xml:space="preserve"> XE "metafy</w:instrText>
      </w:r>
      <w:r w:rsidR="08163013" w:rsidRPr="005934FE">
        <w:instrText>zika:Gandavus</w:instrText>
      </w:r>
      <w:r w:rsidR="08163013">
        <w:instrText xml:space="preserve">" </w:instrText>
      </w:r>
      <w:r w:rsidR="08163013">
        <w:fldChar w:fldCharType="end"/>
      </w:r>
      <w:r w:rsidR="08163013">
        <w:t>.</w:t>
      </w:r>
    </w:p>
    <w:p w:rsidR="08163013" w:rsidRPr="0016605A" w:rsidRDefault="08163013" w:rsidP="08163013">
      <w:pPr>
        <w:pStyle w:val="Citace"/>
        <w:rPr>
          <w:noProof/>
          <w:lang w:val="cs-CZ"/>
        </w:rPr>
      </w:pPr>
      <w:r w:rsidRPr="00273106">
        <w:rPr>
          <w:noProof/>
          <w:lang w:val="cs-CZ"/>
        </w:rPr>
        <w:t>„</w:t>
      </w:r>
      <w:r>
        <w:rPr>
          <w:noProof/>
          <w:lang w:val="cs-CZ"/>
        </w:rPr>
        <w:t>Takto daným přijetím exemplaru v nás dojde k jistému a neomylnému poznání pravdy (</w:t>
      </w:r>
      <w:r w:rsidRPr="00D60E9E">
        <w:rPr>
          <w:i/>
          <w:noProof/>
        </w:rPr>
        <w:t>certa omnino et infallibilis notitia veritatis</w:t>
      </w:r>
      <w:r>
        <w:rPr>
          <w:noProof/>
          <w:lang w:val="cs-CZ"/>
        </w:rPr>
        <w:t>), kterého není možno dosáhnout předešlým trojím způsobem. První určení jde od reálné věci, od níž je exemplar abstrahován. Druhé určení je dáno z hlediska intelektuální duše, která tento abstrahovaný exemplar přijímá. Třetí určení jde od samotného exemplaru (</w:t>
      </w:r>
      <w:r w:rsidRPr="006418BA">
        <w:rPr>
          <w:i/>
          <w:noProof/>
          <w:lang w:val="cs-CZ"/>
        </w:rPr>
        <w:t>ex parte ipsius exemplaris</w:t>
      </w:r>
      <w:r>
        <w:rPr>
          <w:noProof/>
          <w:lang w:val="cs-CZ"/>
        </w:rPr>
        <w:t>), který duše přijímá směrem od věci (</w:t>
      </w:r>
      <w:r w:rsidRPr="006418BA">
        <w:rPr>
          <w:i/>
          <w:noProof/>
          <w:lang w:val="cs-CZ"/>
        </w:rPr>
        <w:t>quod a re in anima susceptum est</w:t>
      </w:r>
      <w:r>
        <w:rPr>
          <w:noProof/>
          <w:lang w:val="cs-CZ"/>
        </w:rPr>
        <w:t>).“ </w:t>
      </w:r>
      <w:r>
        <w:rPr>
          <w:rStyle w:val="Znakapoznpodarou"/>
        </w:rPr>
        <w:footnoteReference w:id="409"/>
      </w:r>
    </w:p>
    <w:p w:rsidR="00867421" w:rsidRDefault="00AF42E0" w:rsidP="00867421">
      <w:r>
        <w:t xml:space="preserve">První intence produkuje poznání exemplaru jako ekvivalent </w:t>
      </w:r>
      <w:r w:rsidRPr="004809E8">
        <w:rPr>
          <w:i/>
        </w:rPr>
        <w:t>species</w:t>
      </w:r>
      <w:r w:rsidRPr="08EE792B">
        <w:rPr>
          <w:i/>
        </w:rPr>
        <w:t xml:space="preserve"> sensibilis</w:t>
      </w:r>
      <w:r>
        <w:t xml:space="preserve"> (</w:t>
      </w:r>
      <w:r w:rsidRPr="08EE792B">
        <w:rPr>
          <w:i/>
        </w:rPr>
        <w:t>ex parte rei</w:t>
      </w:r>
      <w:r>
        <w:t xml:space="preserve">) a druhá intence jako ekvivalent </w:t>
      </w:r>
      <w:r>
        <w:rPr>
          <w:i/>
        </w:rPr>
        <w:t>species</w:t>
      </w:r>
      <w:r>
        <w:t xml:space="preserve"> </w:t>
      </w:r>
      <w:r w:rsidRPr="08EE792B">
        <w:rPr>
          <w:i/>
        </w:rPr>
        <w:t>intelligibilis</w:t>
      </w:r>
      <w:r>
        <w:t xml:space="preserve"> (</w:t>
      </w:r>
      <w:r w:rsidRPr="08EE792B">
        <w:rPr>
          <w:i/>
        </w:rPr>
        <w:t>ex parte animae</w:t>
      </w:r>
      <w:r>
        <w:t xml:space="preserve">). Ale tyto formy poznání nemají plně objektivní charakter. </w:t>
      </w:r>
      <w:r w:rsidR="08163013">
        <w:t>Objektivní náhled exemplaru v čisté jsoucnosti v</w:t>
      </w:r>
      <w:r w:rsidR="0050230E">
        <w:t xml:space="preserve">e třetím </w:t>
      </w:r>
      <w:r w:rsidR="08163013">
        <w:lastRenderedPageBreak/>
        <w:t>modu je oddělen od</w:t>
      </w:r>
      <w:r w:rsidR="0050230E">
        <w:t xml:space="preserve"> jeho existence ve věci a také od</w:t>
      </w:r>
      <w:r w:rsidR="08163013">
        <w:t xml:space="preserve"> </w:t>
      </w:r>
      <w:r w:rsidR="0050230E">
        <w:t xml:space="preserve">aristotelské abstrakce, která bere exemplar pouze jako potencialitu v modu </w:t>
      </w:r>
      <w:r w:rsidR="0050230E" w:rsidRPr="0050230E">
        <w:rPr>
          <w:i/>
        </w:rPr>
        <w:t>species intelligibilis</w:t>
      </w:r>
      <w:r w:rsidR="003C594C">
        <w:t xml:space="preserve">. Ve třetím modu má exemplar svou vlastní objektivní existenci, které není ani ve věci, ani v intelektu. </w:t>
      </w:r>
      <w:r w:rsidR="08163013">
        <w:t>Pravda není dána</w:t>
      </w:r>
      <w:r w:rsidR="08163013" w:rsidRPr="00273106">
        <w:t xml:space="preserve"> v modu adekva</w:t>
      </w:r>
      <w:r w:rsidR="08163013">
        <w:t xml:space="preserve">ce věci a intelektu, ale skrze přímé nazírání </w:t>
      </w:r>
      <w:r w:rsidR="08163013" w:rsidRPr="00273106">
        <w:t>exemplaru v jeho nepochybné jistotě</w:t>
      </w:r>
      <w:r w:rsidR="08163013">
        <w:t xml:space="preserve"> minimální porce jsoucnosti zajišťující identitu každé věci</w:t>
      </w:r>
      <w:r w:rsidR="08163013" w:rsidRPr="00273106">
        <w:t xml:space="preserve">. </w:t>
      </w:r>
      <w:r w:rsidR="004809E8">
        <w:t>Intencionalita</w:t>
      </w:r>
      <w:r w:rsidR="004809E8">
        <w:fldChar w:fldCharType="begin"/>
      </w:r>
      <w:r w:rsidR="004809E8">
        <w:instrText xml:space="preserve"> XE "</w:instrText>
      </w:r>
      <w:r w:rsidR="004809E8" w:rsidRPr="008C40A7">
        <w:instrText>intencionalita:Gandavus</w:instrText>
      </w:r>
      <w:r w:rsidR="004809E8">
        <w:instrText xml:space="preserve">" </w:instrText>
      </w:r>
      <w:r w:rsidR="004809E8">
        <w:fldChar w:fldCharType="end"/>
      </w:r>
      <w:r w:rsidR="004809E8">
        <w:t xml:space="preserve"> </w:t>
      </w:r>
      <w:r w:rsidR="00960DD8">
        <w:t xml:space="preserve">vztažená k exemplaru </w:t>
      </w:r>
      <w:r w:rsidR="004809E8">
        <w:t xml:space="preserve">hraje ve schématu objektivní iluminace </w:t>
      </w:r>
      <w:r w:rsidR="004809E8" w:rsidRPr="00273106">
        <w:t xml:space="preserve">fundamentální </w:t>
      </w:r>
      <w:r w:rsidR="004809E8">
        <w:t xml:space="preserve">roli. Citát vyjadřuje dvojí roli intencionality </w:t>
      </w:r>
      <w:r w:rsidR="00291B1B">
        <w:t xml:space="preserve">skrze </w:t>
      </w:r>
      <w:r w:rsidR="004809E8">
        <w:t>sloves</w:t>
      </w:r>
      <w:r w:rsidR="00291B1B">
        <w:t>a</w:t>
      </w:r>
      <w:r w:rsidR="004809E8">
        <w:t xml:space="preserve"> „</w:t>
      </w:r>
      <w:r w:rsidR="004809E8" w:rsidRPr="00273106">
        <w:rPr>
          <w:i/>
        </w:rPr>
        <w:t>sumitur</w:t>
      </w:r>
      <w:r w:rsidR="004809E8">
        <w:t>“ a „</w:t>
      </w:r>
      <w:r w:rsidR="004809E8" w:rsidRPr="00273106">
        <w:rPr>
          <w:i/>
        </w:rPr>
        <w:t>susceptum est</w:t>
      </w:r>
      <w:r w:rsidR="00542AF7">
        <w:t xml:space="preserve">“, které jsou </w:t>
      </w:r>
      <w:r w:rsidR="004809E8">
        <w:t>vztažen</w:t>
      </w:r>
      <w:r w:rsidR="00542AF7">
        <w:t>y</w:t>
      </w:r>
      <w:r w:rsidR="004809E8">
        <w:t xml:space="preserve"> k poznání exemplaru.</w:t>
      </w:r>
      <w:r w:rsidR="00960DD8">
        <w:t xml:space="preserve"> </w:t>
      </w:r>
      <w:r w:rsidR="001F604E">
        <w:t xml:space="preserve">Objektivní poznání je založeno na </w:t>
      </w:r>
      <w:r w:rsidR="004809E8">
        <w:t>augustiniánsk</w:t>
      </w:r>
      <w:r w:rsidR="001F604E">
        <w:t xml:space="preserve">é </w:t>
      </w:r>
      <w:r w:rsidR="004809E8">
        <w:t xml:space="preserve">anamnézi, v </w:t>
      </w:r>
      <w:r w:rsidR="004809E8" w:rsidRPr="00273106">
        <w:t xml:space="preserve">níž </w:t>
      </w:r>
      <w:r w:rsidR="004809E8">
        <w:t xml:space="preserve">intelekt ilumináta přijme exemplární </w:t>
      </w:r>
      <w:r w:rsidR="004809E8" w:rsidRPr="00273106">
        <w:t xml:space="preserve">esenci </w:t>
      </w:r>
      <w:r w:rsidR="004809E8">
        <w:t xml:space="preserve">původně danou u boha </w:t>
      </w:r>
      <w:r w:rsidR="004809E8" w:rsidRPr="00273106">
        <w:t>(</w:t>
      </w:r>
      <w:r w:rsidR="004809E8" w:rsidRPr="00273106">
        <w:rPr>
          <w:i/>
        </w:rPr>
        <w:t>susceptum est</w:t>
      </w:r>
      <w:r w:rsidR="004809E8" w:rsidRPr="00273106">
        <w:t xml:space="preserve">). </w:t>
      </w:r>
      <w:r w:rsidR="001F604E">
        <w:t>Tím došlo k základní i</w:t>
      </w:r>
      <w:r w:rsidR="001F604E" w:rsidRPr="00273106">
        <w:t>dentifikaci</w:t>
      </w:r>
      <w:r w:rsidR="004809E8" w:rsidRPr="00273106">
        <w:t xml:space="preserve"> </w:t>
      </w:r>
      <w:r w:rsidR="001F604E">
        <w:t xml:space="preserve">s </w:t>
      </w:r>
      <w:r w:rsidR="004809E8" w:rsidRPr="00273106">
        <w:t xml:space="preserve">věčně daným exemplarem </w:t>
      </w:r>
      <w:r w:rsidR="001F604E">
        <w:t xml:space="preserve">na úrovni denudace intencí na čisté formy, ktzeré přímo osvěcují intelekt. </w:t>
      </w:r>
      <w:r w:rsidR="00867421">
        <w:t>Objektivě</w:t>
      </w:r>
      <w:r w:rsidR="001F604E">
        <w:t xml:space="preserve"> osvícený intelekt pak může s jistot</w:t>
      </w:r>
      <w:r w:rsidR="00867421">
        <w:t>o</w:t>
      </w:r>
      <w:r w:rsidR="001F604E">
        <w:t>u přijmout i jiné formy exemplaru (</w:t>
      </w:r>
      <w:r w:rsidR="001F604E" w:rsidRPr="00867421">
        <w:rPr>
          <w:i/>
        </w:rPr>
        <w:t>sumitur</w:t>
      </w:r>
      <w:r w:rsidR="00867421">
        <w:t>), které jsou dány</w:t>
      </w:r>
      <w:r w:rsidR="001F604E">
        <w:t xml:space="preserve"> skrze aristotelskou intencionalitu jako </w:t>
      </w:r>
      <w:r w:rsidR="001F604E" w:rsidRPr="004809E8">
        <w:rPr>
          <w:i/>
        </w:rPr>
        <w:t>species</w:t>
      </w:r>
      <w:r w:rsidR="001F604E" w:rsidRPr="08EE792B">
        <w:rPr>
          <w:i/>
        </w:rPr>
        <w:t xml:space="preserve"> sensibilis</w:t>
      </w:r>
      <w:r w:rsidR="001F604E">
        <w:t xml:space="preserve"> a </w:t>
      </w:r>
      <w:r w:rsidR="001F604E" w:rsidRPr="08EE792B">
        <w:rPr>
          <w:i/>
        </w:rPr>
        <w:t>intelligibilis</w:t>
      </w:r>
      <w:r w:rsidR="001F604E">
        <w:t>.</w:t>
      </w:r>
      <w:r w:rsidR="00867421">
        <w:t xml:space="preserve"> Ji</w:t>
      </w:r>
      <w:r w:rsidR="004809E8" w:rsidRPr="00273106">
        <w:t xml:space="preserve">stota nazírání završí tím, že </w:t>
      </w:r>
      <w:r w:rsidR="00867421">
        <w:t xml:space="preserve">objektivní iluminace </w:t>
      </w:r>
      <w:r w:rsidR="004809E8">
        <w:t xml:space="preserve">osvíceného subjektu </w:t>
      </w:r>
      <w:r w:rsidR="004809E8" w:rsidRPr="00273106">
        <w:t xml:space="preserve">restituuje původní univerzální význam </w:t>
      </w:r>
      <w:r w:rsidR="004809E8">
        <w:t xml:space="preserve">bohem intendované </w:t>
      </w:r>
      <w:r w:rsidR="004809E8" w:rsidRPr="00273106">
        <w:t>formy</w:t>
      </w:r>
      <w:r w:rsidR="004809E8">
        <w:t xml:space="preserve"> </w:t>
      </w:r>
      <w:r w:rsidR="004809E8" w:rsidRPr="00273106">
        <w:t>(</w:t>
      </w:r>
      <w:r w:rsidR="004809E8" w:rsidRPr="00273106">
        <w:rPr>
          <w:i/>
        </w:rPr>
        <w:t>exemplar acquisitum in nobis</w:t>
      </w:r>
      <w:r w:rsidR="00867421">
        <w:t>). Exemplar chiméry má u boha vlastní objektivní existenci danou mimo reálná jsoucna. Exemplar v nás „exsistuje“ na způsob jsoucna třetího druhu, které kauzálně zakládá jisté poznání (</w:t>
      </w:r>
      <w:r w:rsidR="00867421" w:rsidRPr="08765884">
        <w:rPr>
          <w:i/>
        </w:rPr>
        <w:t>a nobis certa</w:t>
      </w:r>
      <w:r w:rsidR="00867421">
        <w:rPr>
          <w:i/>
        </w:rPr>
        <w:t xml:space="preserve"> notitia veritatis</w:t>
      </w:r>
      <w:r w:rsidR="00867421">
        <w:t>)</w:t>
      </w:r>
      <w:r w:rsidR="00867421">
        <w:fldChar w:fldCharType="begin"/>
      </w:r>
      <w:r w:rsidR="00867421">
        <w:instrText xml:space="preserve"> XE "pravda:objek</w:instrText>
      </w:r>
      <w:r w:rsidR="00867421" w:rsidRPr="00021D57">
        <w:instrText>tivní</w:instrText>
      </w:r>
      <w:r w:rsidR="00867421">
        <w:instrText xml:space="preserve">" </w:instrText>
      </w:r>
      <w:r w:rsidR="00867421">
        <w:fldChar w:fldCharType="end"/>
      </w:r>
      <w:r w:rsidR="00867421">
        <w:t>. J</w:t>
      </w:r>
      <w:r w:rsidR="00867421" w:rsidRPr="00273106">
        <w:t xml:space="preserve">eho způsob pravdivosti je </w:t>
      </w:r>
      <w:r w:rsidR="00867421">
        <w:t xml:space="preserve">habituálně </w:t>
      </w:r>
      <w:r w:rsidR="00867421" w:rsidRPr="00273106">
        <w:t>založen v subjektu (</w:t>
      </w:r>
      <w:r w:rsidR="00867421" w:rsidRPr="00273106">
        <w:rPr>
          <w:i/>
        </w:rPr>
        <w:t>in nobis habeatur</w:t>
      </w:r>
      <w:r w:rsidR="00867421" w:rsidRPr="00273106">
        <w:t xml:space="preserve">) a </w:t>
      </w:r>
      <w:r w:rsidR="00D523E3">
        <w:t>je dán ve formě n</w:t>
      </w:r>
      <w:r w:rsidR="00867421" w:rsidRPr="00273106">
        <w:t>eomylné evidence</w:t>
      </w:r>
      <w:r w:rsidR="00867421">
        <w:fldChar w:fldCharType="begin"/>
      </w:r>
      <w:r w:rsidR="00867421">
        <w:instrText xml:space="preserve"> XE "</w:instrText>
      </w:r>
      <w:r w:rsidR="00867421" w:rsidRPr="004D79A7">
        <w:instrText>evidence:Avicenna</w:instrText>
      </w:r>
      <w:r w:rsidR="00867421">
        <w:instrText xml:space="preserve">" </w:instrText>
      </w:r>
      <w:r w:rsidR="00867421">
        <w:fldChar w:fldCharType="end"/>
      </w:r>
      <w:r w:rsidR="00867421" w:rsidRPr="00273106">
        <w:t xml:space="preserve"> (</w:t>
      </w:r>
      <w:r w:rsidR="00867421" w:rsidRPr="00273106">
        <w:rPr>
          <w:i/>
        </w:rPr>
        <w:t>a nobis certa omnino et infallibilis</w:t>
      </w:r>
      <w:r w:rsidR="00867421" w:rsidRPr="00273106">
        <w:t>).</w:t>
      </w:r>
      <w:r w:rsidR="00867421">
        <w:t xml:space="preserve"> E</w:t>
      </w:r>
      <w:r w:rsidR="00867421" w:rsidRPr="00273106">
        <w:t xml:space="preserve">xemplar </w:t>
      </w:r>
      <w:r w:rsidR="00867421">
        <w:t xml:space="preserve">je poznáván </w:t>
      </w:r>
      <w:r w:rsidR="00867421" w:rsidRPr="00273106">
        <w:t xml:space="preserve">přímo a bezprostředně, </w:t>
      </w:r>
      <w:r w:rsidR="00867421">
        <w:t xml:space="preserve">proto </w:t>
      </w:r>
      <w:r w:rsidR="00867421" w:rsidRPr="00273106">
        <w:t>jistota tohoto nazírání je přímo úměrná plnosti manifestace exemplaru (</w:t>
      </w:r>
      <w:r w:rsidR="00867421" w:rsidRPr="00D60E9E">
        <w:rPr>
          <w:i/>
        </w:rPr>
        <w:t xml:space="preserve">infallibilis </w:t>
      </w:r>
      <w:r w:rsidR="00867421" w:rsidRPr="00273106">
        <w:rPr>
          <w:i/>
        </w:rPr>
        <w:t>notitia veritatis</w:t>
      </w:r>
      <w:r w:rsidR="00867421" w:rsidRPr="00273106">
        <w:t xml:space="preserve">). </w:t>
      </w:r>
      <w:r w:rsidR="00867421">
        <w:t>Gandavův a po něm Kartéziův s</w:t>
      </w:r>
      <w:r w:rsidR="00867421" w:rsidRPr="00273106">
        <w:t>ubjekt je garantem zakládání pravdy jako jistoty evidence</w:t>
      </w:r>
      <w:r w:rsidR="00867421">
        <w:fldChar w:fldCharType="begin"/>
      </w:r>
      <w:r w:rsidR="00867421">
        <w:instrText xml:space="preserve"> XE "</w:instrText>
      </w:r>
      <w:r w:rsidR="00867421" w:rsidRPr="004D79A7">
        <w:instrText>evidence:</w:instrText>
      </w:r>
      <w:r w:rsidR="00867421">
        <w:instrText xml:space="preserve">moderna" </w:instrText>
      </w:r>
      <w:r w:rsidR="00867421">
        <w:fldChar w:fldCharType="end"/>
      </w:r>
      <w:r w:rsidR="00867421">
        <w:t xml:space="preserve">, protože se stal </w:t>
      </w:r>
      <w:r w:rsidR="00867421" w:rsidRPr="00273106">
        <w:t xml:space="preserve">jeho zdrojem a východiskem </w:t>
      </w:r>
      <w:r w:rsidR="00867421">
        <w:t xml:space="preserve">pro poznání světa. IIuminát jde k „věcem samým“, které reálně neexistují. </w:t>
      </w:r>
    </w:p>
    <w:p w:rsidR="00052E53" w:rsidRDefault="00867421" w:rsidP="08163013">
      <w:r>
        <w:tab/>
      </w:r>
      <w:r w:rsidR="08163013">
        <w:t>Dvojí akvizice exemplaru z věcí a z intelektu určuje moderní pravdu</w:t>
      </w:r>
      <w:r w:rsidR="08163013" w:rsidRPr="00273106">
        <w:t xml:space="preserve"> subjektu</w:t>
      </w:r>
      <w:r w:rsidR="00171126">
        <w:t xml:space="preserve"> poznávajícího objektivně svět</w:t>
      </w:r>
      <w:r w:rsidR="08163013">
        <w:t xml:space="preserve">. </w:t>
      </w:r>
      <w:r w:rsidR="00983E66">
        <w:t xml:space="preserve">Nazírání </w:t>
      </w:r>
      <w:r w:rsidR="08163013">
        <w:t xml:space="preserve">objektivního bytí jsoucna daného od boha v modu </w:t>
      </w:r>
      <w:r w:rsidR="08163013" w:rsidRPr="00301FC6">
        <w:rPr>
          <w:i/>
        </w:rPr>
        <w:t>rectitudo</w:t>
      </w:r>
      <w:r w:rsidR="08163013">
        <w:t xml:space="preserve"> umožňuje následnou </w:t>
      </w:r>
      <w:r w:rsidR="00E746BD">
        <w:t xml:space="preserve">podobu </w:t>
      </w:r>
      <w:r w:rsidR="08163013">
        <w:t xml:space="preserve">pravdy v modu </w:t>
      </w:r>
      <w:r w:rsidR="08163013" w:rsidRPr="00301FC6">
        <w:rPr>
          <w:i/>
        </w:rPr>
        <w:t>certitudo</w:t>
      </w:r>
      <w:r w:rsidR="08163013">
        <w:t xml:space="preserve"> a její</w:t>
      </w:r>
      <w:r w:rsidR="00E746BD">
        <w:t xml:space="preserve"> demiurgickou verzi</w:t>
      </w:r>
      <w:r w:rsidR="00511740">
        <w:t xml:space="preserve"> dané jako </w:t>
      </w:r>
      <w:r w:rsidR="08163013">
        <w:t xml:space="preserve">Oliviho kapitalistické </w:t>
      </w:r>
      <w:r w:rsidR="08163013" w:rsidRPr="086621B1">
        <w:rPr>
          <w:i/>
        </w:rPr>
        <w:t>volitio</w:t>
      </w:r>
      <w:r w:rsidR="00324A82">
        <w:t xml:space="preserve">. Hermeneutika sleduje formy </w:t>
      </w:r>
      <w:r w:rsidR="08163013">
        <w:t>objektivního dativu</w:t>
      </w:r>
      <w:r w:rsidR="004400FA">
        <w:t xml:space="preserve">; </w:t>
      </w:r>
      <w:r w:rsidR="00324A82">
        <w:t xml:space="preserve">proto ji </w:t>
      </w:r>
      <w:r w:rsidR="08163013">
        <w:t xml:space="preserve">zajímá, </w:t>
      </w:r>
      <w:r w:rsidR="08163013" w:rsidRPr="00273106">
        <w:t xml:space="preserve">jak vzniká </w:t>
      </w:r>
      <w:r w:rsidR="00324A82">
        <w:t xml:space="preserve">pravda jako </w:t>
      </w:r>
      <w:r w:rsidR="08163013">
        <w:t xml:space="preserve">objektivní </w:t>
      </w:r>
      <w:r w:rsidR="00324A82">
        <w:t xml:space="preserve">forma </w:t>
      </w:r>
      <w:r w:rsidR="08163013" w:rsidRPr="00273106">
        <w:t>adekvace</w:t>
      </w:r>
      <w:r w:rsidR="08163013">
        <w:t xml:space="preserve">. </w:t>
      </w:r>
      <w:r w:rsidR="08163013" w:rsidRPr="00273106">
        <w:t>Trojitě manifestovaný exemplar zajišťuje jistotu poznání</w:t>
      </w:r>
      <w:r w:rsidR="08163013">
        <w:t xml:space="preserve"> trojím způsobem</w:t>
      </w:r>
      <w:r w:rsidR="08163013">
        <w:fldChar w:fldCharType="begin"/>
      </w:r>
      <w:r w:rsidR="08163013">
        <w:instrText xml:space="preserve"> XE "</w:instrText>
      </w:r>
      <w:r w:rsidR="08163013" w:rsidRPr="0000521B">
        <w:instrText>pravda:</w:instrText>
      </w:r>
      <w:r w:rsidR="08163013">
        <w:instrText xml:space="preserve">Gandavus" </w:instrText>
      </w:r>
      <w:r w:rsidR="08163013">
        <w:fldChar w:fldCharType="end"/>
      </w:r>
      <w:r w:rsidR="08163013">
        <w:t xml:space="preserve">. Objektivní bytí determinuje exemplar v modu </w:t>
      </w:r>
      <w:r w:rsidR="08163013" w:rsidRPr="00646742">
        <w:rPr>
          <w:i/>
        </w:rPr>
        <w:t>per prius</w:t>
      </w:r>
      <w:r w:rsidR="08163013">
        <w:t xml:space="preserve"> mimo kontingentní první substanci (</w:t>
      </w:r>
      <w:r w:rsidR="08163013" w:rsidRPr="08B24308">
        <w:rPr>
          <w:i/>
        </w:rPr>
        <w:t xml:space="preserve">ex parte ipsius </w:t>
      </w:r>
      <w:r w:rsidR="08163013" w:rsidRPr="08B24308">
        <w:rPr>
          <w:i/>
        </w:rPr>
        <w:lastRenderedPageBreak/>
        <w:t>exemplaris</w:t>
      </w:r>
      <w:r w:rsidR="08163013">
        <w:t>). Jeho neproměnlivost daná od boha vylučuje možnost omylu a zajišťuje p</w:t>
      </w:r>
      <w:r w:rsidR="00263DFC">
        <w:t xml:space="preserve">lnost pravdy jako Anselmovo </w:t>
      </w:r>
      <w:r w:rsidR="08163013" w:rsidRPr="08C36225">
        <w:rPr>
          <w:i/>
        </w:rPr>
        <w:t>rectitudo</w:t>
      </w:r>
      <w:r w:rsidR="08163013">
        <w:t xml:space="preserve"> a </w:t>
      </w:r>
      <w:r w:rsidR="08163013" w:rsidRPr="08C36225">
        <w:rPr>
          <w:i/>
        </w:rPr>
        <w:t>summa veritas</w:t>
      </w:r>
      <w:r w:rsidR="08163013">
        <w:t xml:space="preserve">. Exemplární bytí nasvěcuje naše poznání a pozvedá darovaný </w:t>
      </w:r>
      <w:r w:rsidR="08163013" w:rsidRPr="00273106">
        <w:t>intelekt směrem k</w:t>
      </w:r>
      <w:r w:rsidR="08163013">
        <w:t xml:space="preserve"> boží pravdě</w:t>
      </w:r>
      <w:r w:rsidR="08163013" w:rsidRPr="00273106">
        <w:t>.</w:t>
      </w:r>
      <w:r w:rsidR="08163013">
        <w:t xml:space="preserve"> Druhý stupeň poznání se týká augustiniánské paměti, která tato jsoucna třetího druhu uchovává a tím v rámci omezeného stvoření kopíruje původní intencionální diakosmos boha </w:t>
      </w:r>
      <w:r w:rsidR="08163013">
        <w:rPr>
          <w:i/>
        </w:rPr>
        <w:t>Mode</w:t>
      </w:r>
      <w:r w:rsidR="08163013" w:rsidRPr="08B24308">
        <w:rPr>
          <w:i/>
        </w:rPr>
        <w:t>r</w:t>
      </w:r>
      <w:r w:rsidR="08163013">
        <w:rPr>
          <w:i/>
        </w:rPr>
        <w:t>n</w:t>
      </w:r>
      <w:r w:rsidR="08163013" w:rsidRPr="08B24308">
        <w:rPr>
          <w:i/>
        </w:rPr>
        <w:t>orum</w:t>
      </w:r>
      <w:r w:rsidR="08163013">
        <w:t>. E</w:t>
      </w:r>
      <w:r w:rsidR="08163013" w:rsidRPr="00273106">
        <w:t xml:space="preserve">xemplar </w:t>
      </w:r>
      <w:r w:rsidR="08163013">
        <w:t xml:space="preserve">daný v modu objektivní „exsistence“ </w:t>
      </w:r>
      <w:r w:rsidR="08163013" w:rsidRPr="00273106">
        <w:t xml:space="preserve">se stává novým </w:t>
      </w:r>
      <w:r w:rsidR="08163013" w:rsidRPr="00A231D3">
        <w:rPr>
          <w:i/>
        </w:rPr>
        <w:t>scibile</w:t>
      </w:r>
      <w:r w:rsidR="08163013">
        <w:rPr>
          <w:i/>
        </w:rPr>
        <w:fldChar w:fldCharType="begin"/>
      </w:r>
      <w:r w:rsidR="08163013">
        <w:instrText xml:space="preserve"> XE "</w:instrText>
      </w:r>
      <w:r w:rsidR="08163013" w:rsidRPr="00AA4F67">
        <w:rPr>
          <w:i/>
        </w:rPr>
        <w:instrText>scibile</w:instrText>
      </w:r>
      <w:r w:rsidR="08163013">
        <w:instrText xml:space="preserve">:Gandavus" </w:instrText>
      </w:r>
      <w:r w:rsidR="08163013">
        <w:rPr>
          <w:i/>
        </w:rPr>
        <w:fldChar w:fldCharType="end"/>
      </w:r>
      <w:r w:rsidR="00AE1330">
        <w:t xml:space="preserve"> moderny díky přijetí exemplaru </w:t>
      </w:r>
      <w:r w:rsidR="08163013">
        <w:t>do první formy moderní databáze (</w:t>
      </w:r>
      <w:r w:rsidR="08163013" w:rsidRPr="08B24308">
        <w:rPr>
          <w:i/>
        </w:rPr>
        <w:t>ex parte animae</w:t>
      </w:r>
      <w:r w:rsidR="08163013">
        <w:t xml:space="preserve">). Exemplar tvoří jistou </w:t>
      </w:r>
      <w:r w:rsidR="08163013" w:rsidRPr="00273106">
        <w:t xml:space="preserve">zárukou pravdy chápanou absolutně, tj. odděleně od první </w:t>
      </w:r>
      <w:r w:rsidR="08163013">
        <w:t xml:space="preserve">reálně existující </w:t>
      </w:r>
      <w:r w:rsidR="08163013" w:rsidRPr="00273106">
        <w:t>substance.</w:t>
      </w:r>
      <w:r w:rsidR="08163013">
        <w:t xml:space="preserve"> Pak platí, že o co méně exemplar reálně existuje, o to je jeho poznání evidentnější (</w:t>
      </w:r>
      <w:r w:rsidR="08163013" w:rsidRPr="00D60E9E">
        <w:rPr>
          <w:i/>
        </w:rPr>
        <w:t>certa omnino</w:t>
      </w:r>
      <w:r w:rsidR="08163013">
        <w:t xml:space="preserve">). </w:t>
      </w:r>
      <w:r w:rsidR="08163013" w:rsidRPr="00273106">
        <w:t xml:space="preserve">Poslední stádium </w:t>
      </w:r>
      <w:r w:rsidR="08163013">
        <w:t>určení pravdy exemplaru jde od reálné věci skrz proces aristotelské abstrakce (</w:t>
      </w:r>
      <w:r w:rsidR="08163013" w:rsidRPr="088A6698">
        <w:rPr>
          <w:i/>
        </w:rPr>
        <w:t>ex parte rei</w:t>
      </w:r>
      <w:r w:rsidR="08163013">
        <w:t>). Tento stupeň poznání není nutný a pouze potvrdí z kontingentní reality již dané objektivní poznání exemplaru v</w:t>
      </w:r>
      <w:r w:rsidR="00F614D1">
        <w:t> </w:t>
      </w:r>
      <w:proofErr w:type="gramStart"/>
      <w:r w:rsidR="00F614D1" w:rsidRPr="00F614D1">
        <w:rPr>
          <w:i/>
        </w:rPr>
        <w:t>memoria</w:t>
      </w:r>
      <w:proofErr w:type="gramEnd"/>
      <w:r w:rsidR="00F614D1">
        <w:t>–</w:t>
      </w:r>
      <w:proofErr w:type="gramStart"/>
      <w:r w:rsidR="08163013">
        <w:t>databázi</w:t>
      </w:r>
      <w:proofErr w:type="gramEnd"/>
      <w:r w:rsidR="08163013">
        <w:t xml:space="preserve"> a před</w:t>
      </w:r>
      <w:r w:rsidR="00F614D1">
        <w:t>evším</w:t>
      </w:r>
      <w:r w:rsidR="08163013">
        <w:t xml:space="preserve"> </w:t>
      </w:r>
      <w:r w:rsidR="002F1CB9">
        <w:t xml:space="preserve">v boží </w:t>
      </w:r>
      <w:r w:rsidR="08163013">
        <w:t xml:space="preserve">exemplární databázi. Tento trojí náhled na novou věc metafyziky </w:t>
      </w:r>
      <w:r w:rsidR="08163013" w:rsidRPr="00273106">
        <w:t>definuje objektiv</w:t>
      </w:r>
      <w:r w:rsidR="08163013">
        <w:t>itu</w:t>
      </w:r>
      <w:r w:rsidR="08163013" w:rsidRPr="00273106">
        <w:t xml:space="preserve"> </w:t>
      </w:r>
      <w:r w:rsidR="08163013" w:rsidRPr="00273106">
        <w:rPr>
          <w:i/>
        </w:rPr>
        <w:t>par excellence</w:t>
      </w:r>
      <w:r w:rsidR="08163013" w:rsidRPr="00273106">
        <w:t xml:space="preserve">, </w:t>
      </w:r>
      <w:r w:rsidR="08163013">
        <w:t xml:space="preserve">protože </w:t>
      </w:r>
      <w:r w:rsidR="08163013" w:rsidRPr="00273106">
        <w:t xml:space="preserve">zakládá </w:t>
      </w:r>
      <w:r w:rsidR="08163013">
        <w:t>poznání jako objektivní iluminaci intelektu</w:t>
      </w:r>
      <w:r w:rsidR="08163013">
        <w:fldChar w:fldCharType="begin"/>
      </w:r>
      <w:r w:rsidR="08163013">
        <w:instrText xml:space="preserve"> XE "</w:instrText>
      </w:r>
      <w:r w:rsidR="08163013" w:rsidRPr="001C5DAE">
        <w:instrText>iluminace</w:instrText>
      </w:r>
      <w:r w:rsidR="08163013">
        <w:instrText xml:space="preserve">" </w:instrText>
      </w:r>
      <w:r w:rsidR="08163013">
        <w:fldChar w:fldCharType="end"/>
      </w:r>
      <w:r w:rsidR="08163013">
        <w:t xml:space="preserve">. Záření exemplaru jako objektivního </w:t>
      </w:r>
      <w:r w:rsidR="00BB58E7">
        <w:t xml:space="preserve">slunce </w:t>
      </w:r>
      <w:r w:rsidR="08163013">
        <w:t xml:space="preserve">dává po plném zatmění první substance novou </w:t>
      </w:r>
      <w:r w:rsidR="08163013" w:rsidRPr="00273106">
        <w:t>perspektivu</w:t>
      </w:r>
      <w:r w:rsidR="08163013">
        <w:t xml:space="preserve"> nasvícení jsoucna</w:t>
      </w:r>
      <w:r w:rsidR="08163013" w:rsidRPr="00273106">
        <w:t xml:space="preserve">, odkud </w:t>
      </w:r>
      <w:r w:rsidR="08163013">
        <w:t>moderna bere smysl světa</w:t>
      </w:r>
      <w:r w:rsidR="08163013" w:rsidRPr="00273106">
        <w:t xml:space="preserve">. </w:t>
      </w:r>
      <w:proofErr w:type="gramStart"/>
      <w:r w:rsidR="08163013">
        <w:t>P</w:t>
      </w:r>
      <w:r w:rsidR="08163013" w:rsidRPr="00273106">
        <w:t>ravdu</w:t>
      </w:r>
      <w:proofErr w:type="gramEnd"/>
      <w:r w:rsidR="08163013" w:rsidRPr="00273106">
        <w:t xml:space="preserve"> </w:t>
      </w:r>
      <w:r w:rsidR="00C05054">
        <w:t xml:space="preserve">je </w:t>
      </w:r>
      <w:r w:rsidR="08163013" w:rsidRPr="00273106">
        <w:t>dan</w:t>
      </w:r>
      <w:r w:rsidR="00C05054">
        <w:t xml:space="preserve">á </w:t>
      </w:r>
      <w:r w:rsidR="08163013" w:rsidRPr="00273106">
        <w:t>v rámci čistého postřehu bytí v jeho původní formě manifestace</w:t>
      </w:r>
      <w:r w:rsidR="00C05054">
        <w:t xml:space="preserve">. </w:t>
      </w:r>
      <w:r w:rsidR="08163013" w:rsidRPr="00273106">
        <w:t>Descartes</w:t>
      </w:r>
      <w:r w:rsidR="08163013">
        <w:fldChar w:fldCharType="begin"/>
      </w:r>
      <w:r w:rsidR="08163013">
        <w:instrText xml:space="preserve"> XE "</w:instrText>
      </w:r>
      <w:r w:rsidR="08163013" w:rsidRPr="0080479D">
        <w:instrText>Descartes, R.</w:instrText>
      </w:r>
      <w:r w:rsidR="08163013">
        <w:instrText xml:space="preserve">" </w:instrText>
      </w:r>
      <w:r w:rsidR="08163013">
        <w:fldChar w:fldCharType="end"/>
      </w:r>
      <w:r w:rsidR="08163013" w:rsidRPr="00273106">
        <w:t xml:space="preserve"> a Husserl</w:t>
      </w:r>
      <w:r w:rsidR="08163013">
        <w:fldChar w:fldCharType="begin"/>
      </w:r>
      <w:r w:rsidR="08163013">
        <w:instrText xml:space="preserve"> XE "</w:instrText>
      </w:r>
      <w:r w:rsidR="08163013" w:rsidRPr="00C64F19">
        <w:instrText>Husserl, E.</w:instrText>
      </w:r>
      <w:r w:rsidR="08163013">
        <w:instrText xml:space="preserve">" </w:instrText>
      </w:r>
      <w:r w:rsidR="08163013">
        <w:fldChar w:fldCharType="end"/>
      </w:r>
      <w:r w:rsidR="08163013" w:rsidRPr="00273106">
        <w:t xml:space="preserve"> </w:t>
      </w:r>
      <w:r w:rsidR="006F0D55">
        <w:t>ji</w:t>
      </w:r>
      <w:r w:rsidR="00C05054">
        <w:t xml:space="preserve"> pak </w:t>
      </w:r>
      <w:r w:rsidR="08163013" w:rsidRPr="00273106">
        <w:t>označí jako eidetické nazírání podstaty</w:t>
      </w:r>
      <w:r w:rsidR="00C05054">
        <w:t xml:space="preserve"> věci</w:t>
      </w:r>
      <w:r w:rsidR="08163013">
        <w:t xml:space="preserve">. Henryho schéma </w:t>
      </w:r>
      <w:r w:rsidR="007A5A41">
        <w:t xml:space="preserve">je </w:t>
      </w:r>
      <w:r w:rsidR="08163013">
        <w:t>dané v modu jedné pravdy</w:t>
      </w:r>
      <w:r w:rsidR="007A5A41">
        <w:t xml:space="preserve"> dedukované</w:t>
      </w:r>
      <w:r w:rsidR="00052E53">
        <w:t xml:space="preserve"> z objektivního bytí </w:t>
      </w:r>
      <w:r w:rsidR="003E5469">
        <w:t>mytologických exemplarů</w:t>
      </w:r>
      <w:r w:rsidR="00052E53">
        <w:t>.</w:t>
      </w:r>
    </w:p>
    <w:p w:rsidR="08163013" w:rsidRDefault="00052E53" w:rsidP="00052E53">
      <w:pPr>
        <w:ind w:firstLine="397"/>
      </w:pPr>
      <w:r>
        <w:t>Následujíc Avicennu, Gandavus za</w:t>
      </w:r>
      <w:r w:rsidR="007A5A41">
        <w:t>l</w:t>
      </w:r>
      <w:r>
        <w:t xml:space="preserve">ožil </w:t>
      </w:r>
      <w:r w:rsidR="08163013">
        <w:t xml:space="preserve">první strukturu </w:t>
      </w:r>
      <w:r w:rsidR="08163013" w:rsidRPr="00461C7D">
        <w:rPr>
          <w:i/>
        </w:rPr>
        <w:t>metaphysica generalis</w:t>
      </w:r>
      <w:r w:rsidR="08163013">
        <w:rPr>
          <w:i/>
        </w:rPr>
        <w:fldChar w:fldCharType="begin"/>
      </w:r>
      <w:r w:rsidR="08163013">
        <w:instrText xml:space="preserve"> XE "</w:instrText>
      </w:r>
      <w:r w:rsidR="08163013" w:rsidRPr="008265FF">
        <w:rPr>
          <w:i/>
        </w:rPr>
        <w:instrText>metaphysica generalis</w:instrText>
      </w:r>
      <w:r w:rsidR="08163013">
        <w:instrText xml:space="preserve">" </w:instrText>
      </w:r>
      <w:r w:rsidR="08163013">
        <w:rPr>
          <w:i/>
        </w:rPr>
        <w:fldChar w:fldCharType="end"/>
      </w:r>
      <w:r w:rsidR="08163013">
        <w:t xml:space="preserve">. </w:t>
      </w:r>
      <w:r w:rsidR="007A5A41">
        <w:t xml:space="preserve">Nová metafyzika musí </w:t>
      </w:r>
      <w:r w:rsidR="08163013" w:rsidRPr="00273106">
        <w:t>z nazírání intelekt</w:t>
      </w:r>
      <w:r w:rsidR="08163013">
        <w:t xml:space="preserve">u vyloučit </w:t>
      </w:r>
      <w:r w:rsidR="08163013" w:rsidRPr="00273106">
        <w:t xml:space="preserve">nejistotu </w:t>
      </w:r>
      <w:r w:rsidR="007A5A41">
        <w:t xml:space="preserve">poznání </w:t>
      </w:r>
      <w:r w:rsidR="08163013" w:rsidRPr="00273106">
        <w:t xml:space="preserve">danou na úrovni exemplaru poznaného </w:t>
      </w:r>
      <w:r w:rsidR="08163013">
        <w:t>skrze aristotelskou abstrakci od smyslů</w:t>
      </w:r>
      <w:r w:rsidR="08163013" w:rsidRPr="00273106">
        <w:t xml:space="preserve">. </w:t>
      </w:r>
      <w:r w:rsidR="08163013">
        <w:t xml:space="preserve">Gandavus bere intendovanou esenci (Avicennova </w:t>
      </w:r>
      <w:r w:rsidR="08163013" w:rsidRPr="00273106">
        <w:rPr>
          <w:i/>
        </w:rPr>
        <w:t>equinitas tantum</w:t>
      </w:r>
      <w:r w:rsidR="08163013">
        <w:rPr>
          <w:i/>
        </w:rPr>
        <w:fldChar w:fldCharType="begin"/>
      </w:r>
      <w:r w:rsidR="08163013">
        <w:instrText xml:space="preserve"> XE "</w:instrText>
      </w:r>
      <w:r w:rsidR="08163013" w:rsidRPr="00D66868">
        <w:rPr>
          <w:i/>
        </w:rPr>
        <w:instrText>equinitas tantum</w:instrText>
      </w:r>
      <w:r w:rsidR="08163013">
        <w:instrText xml:space="preserve">" </w:instrText>
      </w:r>
      <w:r w:rsidR="08163013">
        <w:rPr>
          <w:i/>
        </w:rPr>
        <w:fldChar w:fldCharType="end"/>
      </w:r>
      <w:r w:rsidR="08163013" w:rsidRPr="00273106">
        <w:t xml:space="preserve">) </w:t>
      </w:r>
      <w:r w:rsidR="08163013">
        <w:t>a porovnává ji</w:t>
      </w:r>
      <w:r w:rsidR="08163013" w:rsidRPr="00273106">
        <w:t xml:space="preserve"> s věčným exemplarem daným od boha.</w:t>
      </w:r>
      <w:r w:rsidR="08163013">
        <w:t xml:space="preserve"> </w:t>
      </w:r>
      <w:r w:rsidR="08163013" w:rsidRPr="00273106">
        <w:t xml:space="preserve">Henry je první </w:t>
      </w:r>
      <w:r w:rsidR="08163013">
        <w:t xml:space="preserve">filosof </w:t>
      </w:r>
      <w:r w:rsidR="08163013" w:rsidRPr="00273106">
        <w:t>moderny</w:t>
      </w:r>
      <w:r w:rsidR="08163013">
        <w:t xml:space="preserve">, který mocensky a teoreticky pomohl na svět novému systému </w:t>
      </w:r>
      <w:r w:rsidR="007A5A41">
        <w:t xml:space="preserve">objektivní </w:t>
      </w:r>
      <w:r w:rsidR="08163013">
        <w:t xml:space="preserve">metafyziky. </w:t>
      </w:r>
      <w:r w:rsidR="08163013" w:rsidRPr="00273106">
        <w:t xml:space="preserve">Intelekt </w:t>
      </w:r>
      <w:r w:rsidR="08163013">
        <w:t>iluminátů</w:t>
      </w:r>
      <w:r w:rsidR="08163013">
        <w:fldChar w:fldCharType="begin"/>
      </w:r>
      <w:r w:rsidR="08163013">
        <w:instrText xml:space="preserve"> XE "</w:instrText>
      </w:r>
      <w:r w:rsidR="08163013" w:rsidRPr="00BD65D1">
        <w:instrText>ilumináti</w:instrText>
      </w:r>
      <w:r w:rsidR="08163013">
        <w:instrText xml:space="preserve">" </w:instrText>
      </w:r>
      <w:r w:rsidR="08163013">
        <w:fldChar w:fldCharType="end"/>
      </w:r>
      <w:r w:rsidR="08163013">
        <w:t xml:space="preserve"> </w:t>
      </w:r>
      <w:r w:rsidR="08163013" w:rsidRPr="00273106">
        <w:t xml:space="preserve">nazírá objekt v </w:t>
      </w:r>
      <w:r w:rsidR="08163013">
        <w:t xml:space="preserve">absolutní a věčné </w:t>
      </w:r>
      <w:r w:rsidR="08163013" w:rsidRPr="00273106">
        <w:t>jist</w:t>
      </w:r>
      <w:r w:rsidR="08163013">
        <w:t xml:space="preserve">otě jeho exemplární manifestace, která se kontingentně dává skrze </w:t>
      </w:r>
      <w:r w:rsidR="08163013" w:rsidRPr="00273106">
        <w:t>věc</w:t>
      </w:r>
      <w:r w:rsidR="08163013">
        <w:t xml:space="preserve"> existující v realitě. Objektivita nevzniká aristotelskou </w:t>
      </w:r>
      <w:r w:rsidR="08163013" w:rsidRPr="00273106">
        <w:t>abstrakcí</w:t>
      </w:r>
      <w:r w:rsidR="006311DD">
        <w:t xml:space="preserve">, která jde od smyslového </w:t>
      </w:r>
      <w:r w:rsidR="00962190" w:rsidRPr="00C64851">
        <w:t>species</w:t>
      </w:r>
      <w:r w:rsidR="006311DD">
        <w:t xml:space="preserve"> k inteligibilnímu a je kauzálně determinována</w:t>
      </w:r>
      <w:r w:rsidR="08163013">
        <w:t xml:space="preserve"> reálnou</w:t>
      </w:r>
      <w:r w:rsidR="08163013" w:rsidRPr="00273106">
        <w:t xml:space="preserve"> </w:t>
      </w:r>
      <w:r w:rsidR="08163013">
        <w:t>věcí</w:t>
      </w:r>
      <w:r w:rsidR="08163013" w:rsidRPr="00273106">
        <w:t xml:space="preserve">. </w:t>
      </w:r>
      <w:r w:rsidR="08163013">
        <w:t xml:space="preserve">Moderní </w:t>
      </w:r>
      <w:r w:rsidR="08163013" w:rsidRPr="00273106">
        <w:t xml:space="preserve">forma </w:t>
      </w:r>
      <w:r w:rsidR="08163013">
        <w:t xml:space="preserve">pravdy jako </w:t>
      </w:r>
      <w:r w:rsidR="08163013" w:rsidRPr="00273106">
        <w:t xml:space="preserve">správnosti </w:t>
      </w:r>
      <w:r w:rsidR="00AA2F48">
        <w:t xml:space="preserve">je </w:t>
      </w:r>
      <w:r w:rsidR="08163013" w:rsidRPr="00273106">
        <w:t xml:space="preserve">vázána primárně na jistotu náhledu </w:t>
      </w:r>
      <w:r w:rsidR="08163013">
        <w:t xml:space="preserve">objektivně daného exemplaru. Toto přímo nazírané </w:t>
      </w:r>
      <w:r w:rsidR="08163013" w:rsidRPr="00BA274A">
        <w:rPr>
          <w:i/>
        </w:rPr>
        <w:t>scibile</w:t>
      </w:r>
      <w:r w:rsidR="08163013">
        <w:rPr>
          <w:i/>
        </w:rPr>
        <w:fldChar w:fldCharType="begin"/>
      </w:r>
      <w:r w:rsidR="08163013">
        <w:instrText xml:space="preserve"> XE </w:instrText>
      </w:r>
      <w:r w:rsidR="08163013">
        <w:lastRenderedPageBreak/>
        <w:instrText>"</w:instrText>
      </w:r>
      <w:r w:rsidR="08163013" w:rsidRPr="00AA4F67">
        <w:rPr>
          <w:i/>
        </w:rPr>
        <w:instrText>scibile</w:instrText>
      </w:r>
      <w:r w:rsidR="08163013">
        <w:instrText xml:space="preserve">:moderna" </w:instrText>
      </w:r>
      <w:r w:rsidR="08163013">
        <w:rPr>
          <w:i/>
        </w:rPr>
        <w:fldChar w:fldCharType="end"/>
      </w:r>
      <w:r w:rsidR="08163013">
        <w:t xml:space="preserve"> zakládá vědecký kapitál nové epochy.</w:t>
      </w:r>
      <w:r w:rsidR="08163013" w:rsidRPr="00675874">
        <w:t xml:space="preserve"> </w:t>
      </w:r>
      <w:r w:rsidR="08163013">
        <w:t xml:space="preserve">Moderní subjekt (boží a lidský) skladuje v modu primární jistoty smysl jsoucna, který pak může následně manipulovat a kapitalizovat. </w:t>
      </w:r>
      <w:r w:rsidR="08163013" w:rsidRPr="00273106">
        <w:t xml:space="preserve">Receptivní složka poznání </w:t>
      </w:r>
      <w:r w:rsidR="08163013">
        <w:t xml:space="preserve">v modu </w:t>
      </w:r>
      <w:r w:rsidR="08163013" w:rsidRPr="00273106">
        <w:rPr>
          <w:i/>
        </w:rPr>
        <w:t>intellectus possibilis</w:t>
      </w:r>
      <w:r w:rsidR="08163013">
        <w:rPr>
          <w:i/>
        </w:rPr>
        <w:fldChar w:fldCharType="begin"/>
      </w:r>
      <w:r w:rsidR="08163013">
        <w:instrText xml:space="preserve"> XE "</w:instrText>
      </w:r>
      <w:r w:rsidR="08163013" w:rsidRPr="00770D02">
        <w:rPr>
          <w:i/>
        </w:rPr>
        <w:instrText>intellectus possibilis</w:instrText>
      </w:r>
      <w:r w:rsidR="08163013">
        <w:rPr>
          <w:i/>
        </w:rPr>
        <w:instrText>:</w:instrText>
      </w:r>
      <w:r w:rsidR="08163013" w:rsidRPr="00460EF6">
        <w:instrText>první averroismus</w:instrText>
      </w:r>
      <w:r w:rsidR="08163013">
        <w:instrText xml:space="preserve">" </w:instrText>
      </w:r>
      <w:r w:rsidR="08163013">
        <w:rPr>
          <w:i/>
        </w:rPr>
        <w:fldChar w:fldCharType="end"/>
      </w:r>
      <w:r w:rsidR="08163013">
        <w:rPr>
          <w:i/>
        </w:rPr>
        <w:t xml:space="preserve"> </w:t>
      </w:r>
      <w:r w:rsidR="08163013">
        <w:t>kauzálně navázaná na existenci první substance</w:t>
      </w:r>
      <w:r w:rsidR="08163013" w:rsidRPr="00273106">
        <w:t xml:space="preserve"> odešla do </w:t>
      </w:r>
      <w:r w:rsidR="00594E30" w:rsidRPr="00594E30">
        <w:t>Léthé</w:t>
      </w:r>
      <w:r w:rsidR="08163013" w:rsidRPr="00273106">
        <w:t xml:space="preserve"> i se školou prvního averroismu.</w:t>
      </w:r>
      <w:r w:rsidR="08163013">
        <w:t xml:space="preserve"> Scotus provede </w:t>
      </w:r>
      <w:r w:rsidR="08163013" w:rsidRPr="00273106">
        <w:t xml:space="preserve">epochální </w:t>
      </w:r>
      <w:r w:rsidR="08163013" w:rsidRPr="00273106">
        <w:rPr>
          <w:i/>
        </w:rPr>
        <w:t>Aufhebung</w:t>
      </w:r>
      <w:r w:rsidR="08163013">
        <w:rPr>
          <w:i/>
        </w:rPr>
        <w:fldChar w:fldCharType="begin"/>
      </w:r>
      <w:r w:rsidR="08163013">
        <w:instrText xml:space="preserve"> XE "</w:instrText>
      </w:r>
      <w:r w:rsidR="08163013" w:rsidRPr="00E57B11">
        <w:rPr>
          <w:i/>
        </w:rPr>
        <w:instrText>Aufhebung</w:instrText>
      </w:r>
      <w:r w:rsidR="08163013">
        <w:instrText xml:space="preserve">" </w:instrText>
      </w:r>
      <w:r w:rsidR="08163013">
        <w:rPr>
          <w:i/>
        </w:rPr>
        <w:fldChar w:fldCharType="end"/>
      </w:r>
      <w:r w:rsidR="08163013" w:rsidRPr="00273106">
        <w:t xml:space="preserve"> </w:t>
      </w:r>
      <w:r w:rsidR="08163013">
        <w:t xml:space="preserve">Gandavovy </w:t>
      </w:r>
      <w:r w:rsidR="08163013" w:rsidRPr="00273106">
        <w:t>ontoteologie</w:t>
      </w:r>
      <w:r w:rsidR="00470B37">
        <w:t xml:space="preserve">. Nastolí </w:t>
      </w:r>
      <w:r w:rsidR="08163013" w:rsidRPr="00273106">
        <w:t xml:space="preserve">již čistě </w:t>
      </w:r>
      <w:r w:rsidR="08163013">
        <w:t xml:space="preserve">esenciální </w:t>
      </w:r>
      <w:r w:rsidR="08163013" w:rsidRPr="00273106">
        <w:t>agendu první filosofie</w:t>
      </w:r>
      <w:r w:rsidR="08163013">
        <w:t xml:space="preserve"> </w:t>
      </w:r>
      <w:r w:rsidR="00470B37">
        <w:t xml:space="preserve">tím, že Gandavovu exemplaritu změní na schéma </w:t>
      </w:r>
      <w:r w:rsidR="08163013">
        <w:t>aristotelské kategoriální predikace</w:t>
      </w:r>
      <w:r w:rsidR="08163013" w:rsidRPr="00273106">
        <w:t>.</w:t>
      </w:r>
      <w:r w:rsidR="08163013">
        <w:t xml:space="preserve"> </w:t>
      </w:r>
      <w:r w:rsidR="08163013" w:rsidRPr="00273106">
        <w:t xml:space="preserve">Tímto činem </w:t>
      </w:r>
      <w:r w:rsidR="00A961C0">
        <w:t xml:space="preserve">v modu </w:t>
      </w:r>
      <w:r w:rsidR="00A961C0" w:rsidRPr="00637116">
        <w:rPr>
          <w:i/>
        </w:rPr>
        <w:t>dativus incommodi</w:t>
      </w:r>
      <w:r w:rsidR="00A961C0">
        <w:rPr>
          <w:i/>
        </w:rPr>
        <w:fldChar w:fldCharType="begin"/>
      </w:r>
      <w:r w:rsidR="00A961C0">
        <w:instrText xml:space="preserve"> XE "</w:instrText>
      </w:r>
      <w:r w:rsidR="00A961C0" w:rsidRPr="00576030">
        <w:rPr>
          <w:i/>
        </w:rPr>
        <w:instrText>dativus incommodi</w:instrText>
      </w:r>
      <w:r w:rsidR="00A961C0">
        <w:instrText xml:space="preserve">" </w:instrText>
      </w:r>
      <w:r w:rsidR="00A961C0">
        <w:rPr>
          <w:i/>
        </w:rPr>
        <w:fldChar w:fldCharType="end"/>
      </w:r>
      <w:r w:rsidR="00A961C0">
        <w:rPr>
          <w:i/>
        </w:rPr>
        <w:t xml:space="preserve"> </w:t>
      </w:r>
      <w:r w:rsidR="08163013" w:rsidRPr="00273106">
        <w:t>po</w:t>
      </w:r>
      <w:r w:rsidR="00A961C0">
        <w:t xml:space="preserve">slal </w:t>
      </w:r>
      <w:r w:rsidR="08163013">
        <w:t xml:space="preserve">Scotus do </w:t>
      </w:r>
      <w:r w:rsidR="00594E30" w:rsidRPr="00594E30">
        <w:t>Léthé</w:t>
      </w:r>
      <w:r w:rsidR="08163013" w:rsidRPr="08A5631F">
        <w:t xml:space="preserve"> </w:t>
      </w:r>
      <w:r w:rsidR="08163013">
        <w:t xml:space="preserve">také </w:t>
      </w:r>
      <w:r w:rsidR="08163013" w:rsidRPr="00273106">
        <w:t xml:space="preserve">druhý averroismus </w:t>
      </w:r>
      <w:r w:rsidR="08163013">
        <w:t xml:space="preserve">předešlé generace. Suárezova objektivní metafyzika pod sebe pojme tuto „racionální“ teologii moderny v modu </w:t>
      </w:r>
      <w:r w:rsidR="08163013">
        <w:rPr>
          <w:i/>
        </w:rPr>
        <w:t>metaph</w:t>
      </w:r>
      <w:r w:rsidR="08163013" w:rsidRPr="00FC253D">
        <w:rPr>
          <w:i/>
        </w:rPr>
        <w:t>ysica specialis</w:t>
      </w:r>
      <w:r w:rsidR="08163013">
        <w:rPr>
          <w:i/>
        </w:rPr>
        <w:fldChar w:fldCharType="begin"/>
      </w:r>
      <w:r w:rsidR="08163013">
        <w:instrText xml:space="preserve"> XE "</w:instrText>
      </w:r>
      <w:r w:rsidR="08163013">
        <w:rPr>
          <w:i/>
        </w:rPr>
        <w:instrText>metaph</w:instrText>
      </w:r>
      <w:r w:rsidR="08163013" w:rsidRPr="00601DBD">
        <w:rPr>
          <w:i/>
        </w:rPr>
        <w:instrText>ysica specialis</w:instrText>
      </w:r>
      <w:r w:rsidR="08163013">
        <w:instrText xml:space="preserve">" </w:instrText>
      </w:r>
      <w:r w:rsidR="08163013">
        <w:rPr>
          <w:i/>
        </w:rPr>
        <w:fldChar w:fldCharType="end"/>
      </w:r>
      <w:r w:rsidR="08163013">
        <w:t xml:space="preserve">. </w:t>
      </w:r>
      <w:r w:rsidR="08163013" w:rsidRPr="00273106">
        <w:t xml:space="preserve">Po smrti boha </w:t>
      </w:r>
      <w:r w:rsidR="08163013" w:rsidRPr="00273106">
        <w:rPr>
          <w:i/>
        </w:rPr>
        <w:t>Modernorum</w:t>
      </w:r>
      <w:r w:rsidR="08163013">
        <w:rPr>
          <w:color w:val="000000"/>
        </w:rPr>
        <w:fldChar w:fldCharType="begin"/>
      </w:r>
      <w:r w:rsidR="08163013">
        <w:instrText xml:space="preserve"> XE "smrt boha" </w:instrText>
      </w:r>
      <w:r w:rsidR="08163013">
        <w:rPr>
          <w:color w:val="000000"/>
        </w:rPr>
        <w:fldChar w:fldCharType="end"/>
      </w:r>
      <w:r w:rsidR="08163013" w:rsidRPr="00273106">
        <w:t xml:space="preserve"> zaměřuje </w:t>
      </w:r>
      <w:r w:rsidR="08163013">
        <w:t xml:space="preserve">současná mysl svou intencionalitu </w:t>
      </w:r>
      <w:r w:rsidR="08163013" w:rsidRPr="00273106">
        <w:t xml:space="preserve">už k jen čisté diferenci mezi </w:t>
      </w:r>
      <w:proofErr w:type="gramStart"/>
      <w:r w:rsidR="08163013" w:rsidRPr="00273106">
        <w:rPr>
          <w:i/>
        </w:rPr>
        <w:t>ad</w:t>
      </w:r>
      <w:proofErr w:type="gramEnd"/>
      <w:r w:rsidR="08163013" w:rsidRPr="00273106">
        <w:rPr>
          <w:i/>
        </w:rPr>
        <w:t xml:space="preserve"> hoc</w:t>
      </w:r>
      <w:r w:rsidR="08163013" w:rsidRPr="00273106">
        <w:t xml:space="preserve"> daným strukturálním pohybem výz</w:t>
      </w:r>
      <w:r w:rsidR="08163013">
        <w:t xml:space="preserve">namu, který se realizuje </w:t>
      </w:r>
      <w:r w:rsidR="08163013" w:rsidRPr="00273106">
        <w:t xml:space="preserve">v rámci metaforického přenosu smyslu. </w:t>
      </w:r>
      <w:r w:rsidR="08163013">
        <w:t>I</w:t>
      </w:r>
      <w:r w:rsidR="08163013" w:rsidRPr="00273106">
        <w:t xml:space="preserve">ntence </w:t>
      </w:r>
      <w:r w:rsidR="08163013">
        <w:t xml:space="preserve">pouze reflektuje </w:t>
      </w:r>
      <w:r w:rsidR="08163013" w:rsidRPr="00273106">
        <w:t xml:space="preserve">diferenci </w:t>
      </w:r>
      <w:r w:rsidR="08163013">
        <w:t xml:space="preserve">jiného </w:t>
      </w:r>
      <w:r w:rsidR="08163013" w:rsidRPr="00273106">
        <w:t>významu</w:t>
      </w:r>
      <w:r w:rsidR="08163013">
        <w:t xml:space="preserve">, který je </w:t>
      </w:r>
      <w:r w:rsidR="08163013" w:rsidRPr="00273106">
        <w:t>odlišn</w:t>
      </w:r>
      <w:r w:rsidR="08163013">
        <w:t xml:space="preserve">ý </w:t>
      </w:r>
      <w:r w:rsidR="08163013" w:rsidRPr="00273106">
        <w:t>od předešlého stavu</w:t>
      </w:r>
      <w:r w:rsidR="08163013">
        <w:t xml:space="preserve">. Význam jsoucna vzniká </w:t>
      </w:r>
      <w:r w:rsidR="08163013" w:rsidRPr="00D02FFF">
        <w:rPr>
          <w:i/>
        </w:rPr>
        <w:t>ex nihilo</w:t>
      </w:r>
      <w:r w:rsidR="08163013">
        <w:rPr>
          <w:i/>
        </w:rPr>
        <w:fldChar w:fldCharType="begin"/>
      </w:r>
      <w:r w:rsidR="08163013">
        <w:instrText xml:space="preserve"> XE "</w:instrText>
      </w:r>
      <w:r w:rsidR="08163013" w:rsidRPr="00D02FFF">
        <w:rPr>
          <w:i/>
        </w:rPr>
        <w:instrText>creatio</w:instrText>
      </w:r>
      <w:r w:rsidR="08163013">
        <w:instrText xml:space="preserve"> </w:instrText>
      </w:r>
      <w:r w:rsidR="08163013" w:rsidRPr="00625A5E">
        <w:rPr>
          <w:i/>
        </w:rPr>
        <w:instrText>ex nihilo</w:instrText>
      </w:r>
      <w:r w:rsidR="08163013">
        <w:instrText xml:space="preserve">" </w:instrText>
      </w:r>
      <w:r w:rsidR="08163013">
        <w:rPr>
          <w:i/>
        </w:rPr>
        <w:fldChar w:fldCharType="end"/>
      </w:r>
      <w:r w:rsidR="08163013">
        <w:t xml:space="preserve"> tedy skrze Gandavovu dvojí negaci smyslu (</w:t>
      </w:r>
      <w:r w:rsidR="08163013" w:rsidRPr="008D0984">
        <w:rPr>
          <w:i/>
        </w:rPr>
        <w:t>duplex negatio</w:t>
      </w:r>
      <w:r w:rsidR="08163013">
        <w:t xml:space="preserve">) dávající základní určení jsoucna jako objektivní věci v Oliviho modu </w:t>
      </w:r>
      <w:r w:rsidR="08163013" w:rsidRPr="00273106">
        <w:t>(</w:t>
      </w:r>
      <w:r w:rsidR="08163013" w:rsidRPr="00273106">
        <w:rPr>
          <w:i/>
        </w:rPr>
        <w:t>non repugnat esse</w:t>
      </w:r>
      <w:r w:rsidR="08163013">
        <w:rPr>
          <w:i/>
        </w:rPr>
        <w:fldChar w:fldCharType="begin"/>
      </w:r>
      <w:r w:rsidR="08163013">
        <w:instrText xml:space="preserve"> XE "</w:instrText>
      </w:r>
      <w:r w:rsidR="08163013" w:rsidRPr="00D44ACB">
        <w:rPr>
          <w:i/>
        </w:rPr>
        <w:instrText>non repugnat esse</w:instrText>
      </w:r>
      <w:r w:rsidR="08163013">
        <w:instrText xml:space="preserve">" </w:instrText>
      </w:r>
      <w:r w:rsidR="08163013">
        <w:rPr>
          <w:i/>
        </w:rPr>
        <w:fldChar w:fldCharType="end"/>
      </w:r>
      <w:r w:rsidR="08163013" w:rsidRPr="00273106">
        <w:rPr>
          <w:i/>
        </w:rPr>
        <w:t xml:space="preserve">, </w:t>
      </w:r>
      <w:r w:rsidR="00C741BA">
        <w:t>kap. 5</w:t>
      </w:r>
      <w:r w:rsidR="08163013" w:rsidRPr="00273106">
        <w:t>.1.2)</w:t>
      </w:r>
      <w:r w:rsidR="08163013">
        <w:t>. D</w:t>
      </w:r>
      <w:r w:rsidR="08163013" w:rsidRPr="00273106">
        <w:t xml:space="preserve">iference mezi </w:t>
      </w:r>
      <w:r w:rsidR="08163013">
        <w:t xml:space="preserve">formálním bytím a nebytím představuje základ pravdivosti, kterou později traktuje </w:t>
      </w:r>
      <w:r w:rsidR="08163013" w:rsidRPr="00273106">
        <w:t>strukturální lingvistik</w:t>
      </w:r>
      <w:r w:rsidR="08163013">
        <w:t>a a numerická digitalizace</w:t>
      </w:r>
      <w:r w:rsidR="08163013" w:rsidRPr="00273106">
        <w:t xml:space="preserve">. </w:t>
      </w:r>
      <w:r w:rsidR="08163013">
        <w:t xml:space="preserve">Z </w:t>
      </w:r>
      <w:r w:rsidR="08163013" w:rsidRPr="00273106">
        <w:t xml:space="preserve">hlediska minimálního smyslu jsoucna </w:t>
      </w:r>
      <w:r w:rsidR="08163013">
        <w:t>(</w:t>
      </w:r>
      <w:r w:rsidR="08163013" w:rsidRPr="00E5329A">
        <w:rPr>
          <w:i/>
        </w:rPr>
        <w:t>ens diminutum</w:t>
      </w:r>
      <w:r w:rsidR="08163013">
        <w:rPr>
          <w:i/>
        </w:rPr>
        <w:fldChar w:fldCharType="begin"/>
      </w:r>
      <w:r w:rsidR="08163013">
        <w:instrText xml:space="preserve"> XE "</w:instrText>
      </w:r>
      <w:r w:rsidR="08163013" w:rsidRPr="00D72A7A">
        <w:rPr>
          <w:i/>
        </w:rPr>
        <w:instrText>ens diminutum</w:instrText>
      </w:r>
      <w:r w:rsidR="08163013">
        <w:instrText xml:space="preserve">" </w:instrText>
      </w:r>
      <w:r w:rsidR="08163013">
        <w:rPr>
          <w:i/>
        </w:rPr>
        <w:fldChar w:fldCharType="end"/>
      </w:r>
      <w:r w:rsidR="08163013">
        <w:t xml:space="preserve">) daného dvojím záporem je </w:t>
      </w:r>
      <w:r w:rsidR="08163013" w:rsidRPr="00273106">
        <w:t xml:space="preserve">už úplně jedno, kam se </w:t>
      </w:r>
      <w:r w:rsidR="08163013">
        <w:t xml:space="preserve">moderní </w:t>
      </w:r>
      <w:r w:rsidR="08163013" w:rsidRPr="00273106">
        <w:t>i</w:t>
      </w:r>
      <w:r w:rsidR="08163013">
        <w:t xml:space="preserve">ntence zaměří: na chiméru, na první substanci, na formální rozdíl mezi </w:t>
      </w:r>
      <w:r w:rsidR="00A243CA">
        <w:t xml:space="preserve">digitální </w:t>
      </w:r>
      <w:r w:rsidR="08163013">
        <w:t xml:space="preserve">jedničkou a nulou. Hlavní </w:t>
      </w:r>
      <w:r w:rsidR="08163013" w:rsidRPr="00273106">
        <w:t>je</w:t>
      </w:r>
      <w:r w:rsidR="08163013">
        <w:t>,</w:t>
      </w:r>
      <w:r w:rsidR="08163013" w:rsidRPr="00273106">
        <w:t xml:space="preserve"> že se </w:t>
      </w:r>
      <w:r w:rsidR="08163013">
        <w:t xml:space="preserve">děje alespoň nějaký pohyb mysli zakládající primární diferenci rozdílem od čistého </w:t>
      </w:r>
      <w:r w:rsidR="08163013" w:rsidRPr="08B0640D">
        <w:rPr>
          <w:i/>
        </w:rPr>
        <w:t>nihil</w:t>
      </w:r>
      <w:r w:rsidR="08163013">
        <w:fldChar w:fldCharType="begin"/>
      </w:r>
      <w:r w:rsidR="08163013">
        <w:instrText xml:space="preserve"> XE "</w:instrText>
      </w:r>
      <w:r w:rsidR="08163013" w:rsidRPr="00143CDB">
        <w:instrText>intencionalita:postmoderna</w:instrText>
      </w:r>
      <w:r w:rsidR="08163013">
        <w:instrText xml:space="preserve">" </w:instrText>
      </w:r>
      <w:r w:rsidR="08163013">
        <w:fldChar w:fldCharType="end"/>
      </w:r>
      <w:r w:rsidR="08163013" w:rsidRPr="00273106">
        <w:t xml:space="preserve">. </w:t>
      </w:r>
      <w:r w:rsidR="08163013">
        <w:t xml:space="preserve">Nakonec se stal </w:t>
      </w:r>
      <w:r w:rsidR="08163013" w:rsidRPr="00273106">
        <w:t>pouhou metaforou</w:t>
      </w:r>
      <w:r w:rsidR="08163013">
        <w:t xml:space="preserve"> i moderní subjekt, který zakládal v roli čarodějova učně toto nihilistické pojetí metafyziky. </w:t>
      </w:r>
      <w:r w:rsidR="08163013" w:rsidRPr="00273106">
        <w:t>Realita první substance již není nutná pro objektivní form</w:t>
      </w:r>
      <w:r w:rsidR="08163013">
        <w:t xml:space="preserve">u poznání, protože ji nahradil osvícený náhled </w:t>
      </w:r>
      <w:r w:rsidR="08163013" w:rsidRPr="00273106">
        <w:t>lidského a božského subjektu.</w:t>
      </w:r>
      <w:r w:rsidR="08163013">
        <w:t xml:space="preserve"> Vědění změněné na objektivitu se poprvé stalo výhradní mocí demiurgického subjektu ve smyslu objektivního </w:t>
      </w:r>
      <w:r w:rsidR="08163013" w:rsidRPr="00921AA7">
        <w:rPr>
          <w:i/>
        </w:rPr>
        <w:t>dativus auctoris</w:t>
      </w:r>
      <w:r w:rsidR="08163013">
        <w:fldChar w:fldCharType="begin"/>
      </w:r>
      <w:r w:rsidR="08163013">
        <w:instrText xml:space="preserve"> XE "</w:instrText>
      </w:r>
      <w:r w:rsidR="08163013" w:rsidRPr="08A40210">
        <w:rPr>
          <w:i/>
        </w:rPr>
        <w:instrText>dativus auctoris</w:instrText>
      </w:r>
      <w:r w:rsidR="08163013">
        <w:instrText xml:space="preserve">" </w:instrText>
      </w:r>
      <w:r w:rsidR="08163013">
        <w:fldChar w:fldCharType="end"/>
      </w:r>
      <w:r w:rsidR="08163013">
        <w:t xml:space="preserve">. Tento dativ zakládá </w:t>
      </w:r>
      <w:r w:rsidR="08163013" w:rsidRPr="08BA498C">
        <w:rPr>
          <w:i/>
        </w:rPr>
        <w:t>Lichtung</w:t>
      </w:r>
      <w:r w:rsidR="08163013">
        <w:t xml:space="preserve"> budoucí epochy osvícenství v její pravdě a nepravdě. </w:t>
      </w:r>
      <w:r w:rsidR="08163013" w:rsidRPr="00273106">
        <w:t xml:space="preserve">Celý postup </w:t>
      </w:r>
      <w:r w:rsidR="08163013">
        <w:t xml:space="preserve">objektivního </w:t>
      </w:r>
      <w:r w:rsidR="08163013" w:rsidRPr="00273106">
        <w:t xml:space="preserve">poznání </w:t>
      </w:r>
      <w:r w:rsidR="08163013" w:rsidRPr="00992505">
        <w:rPr>
          <w:i/>
        </w:rPr>
        <w:t>Modernorum</w:t>
      </w:r>
      <w:r w:rsidR="08163013">
        <w:t xml:space="preserve"> </w:t>
      </w:r>
      <w:r w:rsidR="08163013" w:rsidRPr="00273106">
        <w:t>ukazuje, že bez ontoteologické struktury metafyziky se tato stavba zhroutí.</w:t>
      </w:r>
      <w:r w:rsidR="08163013">
        <w:t xml:space="preserve"> Po smrti boha vznikla vláda jedné pravdy v rámci </w:t>
      </w:r>
      <w:r w:rsidR="08163013" w:rsidRPr="00377278">
        <w:rPr>
          <w:i/>
        </w:rPr>
        <w:t>Unified</w:t>
      </w:r>
      <w:r w:rsidR="08163013">
        <w:rPr>
          <w:i/>
        </w:rPr>
        <w:t xml:space="preserve"> S</w:t>
      </w:r>
      <w:r w:rsidR="08163013" w:rsidRPr="00912AAE">
        <w:rPr>
          <w:i/>
        </w:rPr>
        <w:t>cience</w:t>
      </w:r>
      <w:r w:rsidR="08163013">
        <w:rPr>
          <w:i/>
        </w:rPr>
        <w:fldChar w:fldCharType="begin"/>
      </w:r>
      <w:r w:rsidR="08163013">
        <w:instrText xml:space="preserve"> XE "</w:instrText>
      </w:r>
      <w:r w:rsidR="08163013">
        <w:rPr>
          <w:i/>
        </w:rPr>
        <w:instrText>Unified S</w:instrText>
      </w:r>
      <w:r w:rsidR="08163013" w:rsidRPr="00B70114">
        <w:rPr>
          <w:i/>
        </w:rPr>
        <w:instrText>cience</w:instrText>
      </w:r>
      <w:r w:rsidR="08163013">
        <w:instrText xml:space="preserve">" </w:instrText>
      </w:r>
      <w:r w:rsidR="08163013">
        <w:rPr>
          <w:i/>
        </w:rPr>
        <w:fldChar w:fldCharType="end"/>
      </w:r>
      <w:r w:rsidR="08163013">
        <w:t xml:space="preserve"> dané logicko-matematicky a mytopoeticky</w:t>
      </w:r>
      <w:r w:rsidR="08163013">
        <w:fldChar w:fldCharType="begin"/>
      </w:r>
      <w:r w:rsidR="08163013">
        <w:instrText xml:space="preserve"> XE "</w:instrText>
      </w:r>
      <w:r w:rsidR="008B175F">
        <w:instrText>Mytologie</w:instrText>
      </w:r>
      <w:r w:rsidR="08163013">
        <w:instrText xml:space="preserve">" </w:instrText>
      </w:r>
      <w:r w:rsidR="08163013">
        <w:fldChar w:fldCharType="end"/>
      </w:r>
      <w:r w:rsidR="08163013">
        <w:t xml:space="preserve">. Viz současnou vládu metafory ve vědě a svět mediálních </w:t>
      </w:r>
      <w:r w:rsidR="08163013">
        <w:lastRenderedPageBreak/>
        <w:t>manipulací zakládajích matrixové univerzum, v němž současná mysl zrcadlí virtuální simulákra</w:t>
      </w:r>
      <w:r w:rsidR="08163013">
        <w:fldChar w:fldCharType="begin"/>
      </w:r>
      <w:r w:rsidR="08163013">
        <w:instrText xml:space="preserve"> XE "</w:instrText>
      </w:r>
      <w:r w:rsidR="08163013" w:rsidRPr="00C2134D">
        <w:instrText>simulákrum</w:instrText>
      </w:r>
      <w:r w:rsidR="08163013">
        <w:instrText xml:space="preserve">" </w:instrText>
      </w:r>
      <w:r w:rsidR="08163013">
        <w:fldChar w:fldCharType="end"/>
      </w:r>
      <w:r w:rsidR="08163013">
        <w:t xml:space="preserve"> všeho druhu.</w:t>
      </w:r>
    </w:p>
    <w:p w:rsidR="08163013" w:rsidRDefault="08163013" w:rsidP="08163013"/>
    <w:p w:rsidR="08163013" w:rsidRPr="00273106" w:rsidRDefault="008749CB" w:rsidP="08163013">
      <w:pPr>
        <w:pStyle w:val="Nadpis3"/>
      </w:pPr>
      <w:bookmarkStart w:id="84" w:name="_Toc36144162"/>
      <w:r>
        <w:br w:type="page"/>
      </w:r>
      <w:bookmarkStart w:id="85" w:name="_Toc180231674"/>
      <w:r w:rsidR="08163013">
        <w:lastRenderedPageBreak/>
        <w:t>5</w:t>
      </w:r>
      <w:r w:rsidR="08163013" w:rsidRPr="00273106">
        <w:t>.2.3 Objektivní ontoteologie a moderní bůh</w:t>
      </w:r>
      <w:bookmarkEnd w:id="84"/>
      <w:bookmarkEnd w:id="85"/>
    </w:p>
    <w:p w:rsidR="0062314B" w:rsidRDefault="08163013" w:rsidP="00F3060F">
      <w:pPr>
        <w:rPr>
          <w:rStyle w:val="ref"/>
        </w:rPr>
      </w:pPr>
      <w:r>
        <w:t xml:space="preserve">Původní </w:t>
      </w:r>
      <w:r w:rsidRPr="009A7A58">
        <w:rPr>
          <w:i/>
        </w:rPr>
        <w:t>Lichtung</w:t>
      </w:r>
      <w:r>
        <w:rPr>
          <w:i/>
        </w:rPr>
        <w:fldChar w:fldCharType="begin"/>
      </w:r>
      <w:r>
        <w:instrText xml:space="preserve"> XE "</w:instrText>
      </w:r>
      <w:r w:rsidRPr="00074A2E">
        <w:rPr>
          <w:i/>
        </w:rPr>
        <w:instrText>Lichtung:</w:instrText>
      </w:r>
      <w:r w:rsidRPr="002346A6">
        <w:instrText>moderní bůh</w:instrText>
      </w:r>
      <w:r>
        <w:instrText xml:space="preserve">" </w:instrText>
      </w:r>
      <w:r>
        <w:rPr>
          <w:i/>
        </w:rPr>
        <w:fldChar w:fldCharType="end"/>
      </w:r>
      <w:r>
        <w:t xml:space="preserve"> transformace božího intelektu na moderní</w:t>
      </w:r>
      <w:r w:rsidR="00AE3091">
        <w:t xml:space="preserve">ho demiurga </w:t>
      </w:r>
      <w:r>
        <w:t>najdeme u zakladatele</w:t>
      </w:r>
      <w:r w:rsidRPr="00273106">
        <w:t xml:space="preserve"> moderní subjektivity, kterým je Ibn Ádí (</w:t>
      </w:r>
      <w:r w:rsidR="009F5B7B">
        <w:t xml:space="preserve">OBJ I, </w:t>
      </w:r>
      <w:r w:rsidRPr="00273106">
        <w:t xml:space="preserve">kap. 2.2). </w:t>
      </w:r>
      <w:r>
        <w:t>K</w:t>
      </w:r>
      <w:r w:rsidRPr="00273106">
        <w:t xml:space="preserve">řesťanský </w:t>
      </w:r>
      <w:r>
        <w:t xml:space="preserve">rektor </w:t>
      </w:r>
      <w:r w:rsidRPr="00273106">
        <w:t xml:space="preserve">bagdádského Domu moudrosti koncipuje </w:t>
      </w:r>
      <w:r>
        <w:t xml:space="preserve">Boží </w:t>
      </w:r>
      <w:r w:rsidRPr="00273106">
        <w:rPr>
          <w:lang w:eastAsia="en-US"/>
        </w:rPr>
        <w:t xml:space="preserve">Trojici </w:t>
      </w:r>
      <w:r>
        <w:rPr>
          <w:i/>
        </w:rPr>
        <w:fldChar w:fldCharType="begin"/>
      </w:r>
      <w:r>
        <w:instrText xml:space="preserve"> XE "Boží Trojice:Ibn-Ádí" </w:instrText>
      </w:r>
      <w:r>
        <w:rPr>
          <w:i/>
        </w:rPr>
        <w:fldChar w:fldCharType="end"/>
      </w:r>
      <w:r w:rsidRPr="00273106">
        <w:rPr>
          <w:lang w:eastAsia="en-US"/>
        </w:rPr>
        <w:t xml:space="preserve">tak, že boží intelekt reflektuje sám sebe ve výkonu vlastní činnosti, a tím se současně vnímá jako předmět sebereflexe. </w:t>
      </w:r>
      <w:r w:rsidRPr="00273106">
        <w:t xml:space="preserve">Intelekt osoby Otce </w:t>
      </w:r>
      <w:r w:rsidR="005D3563">
        <w:t xml:space="preserve">existuje v plné ipseitě výkonu myšlení </w:t>
      </w:r>
      <w:r w:rsidRPr="00273106">
        <w:t>(</w:t>
      </w:r>
      <w:r w:rsidRPr="00273106">
        <w:rPr>
          <w:i/>
        </w:rPr>
        <w:t>'aql, intelligere</w:t>
      </w:r>
      <w:r w:rsidRPr="00273106">
        <w:t xml:space="preserve">); zdvojení </w:t>
      </w:r>
      <w:r w:rsidR="006C7CB9">
        <w:t xml:space="preserve">myšlení </w:t>
      </w:r>
      <w:r w:rsidRPr="00273106">
        <w:t xml:space="preserve">ve výkonu sebereflexe dává osobu Syna jako nové určení uvnitř </w:t>
      </w:r>
      <w:r w:rsidR="006C7CB9">
        <w:t xml:space="preserve">boží </w:t>
      </w:r>
      <w:r w:rsidRPr="00273106">
        <w:t>esence (</w:t>
      </w:r>
      <w:r w:rsidRPr="00273106">
        <w:rPr>
          <w:i/>
        </w:rPr>
        <w:t>'āgil</w:t>
      </w:r>
      <w:r w:rsidRPr="00273106">
        <w:t xml:space="preserve">, </w:t>
      </w:r>
      <w:r w:rsidRPr="00273106">
        <w:rPr>
          <w:i/>
        </w:rPr>
        <w:t>intelligens</w:t>
      </w:r>
      <w:r w:rsidRPr="00273106">
        <w:t xml:space="preserve">). </w:t>
      </w:r>
      <w:r w:rsidR="00FB6BFC">
        <w:t xml:space="preserve">Duch svatý vytváží médium imanentní </w:t>
      </w:r>
      <w:r w:rsidRPr="00273106">
        <w:t xml:space="preserve">sebereflexe </w:t>
      </w:r>
      <w:r w:rsidR="00FB6BFC">
        <w:t>mezi Otcem</w:t>
      </w:r>
      <w:r w:rsidRPr="00273106">
        <w:t xml:space="preserve"> a Syn</w:t>
      </w:r>
      <w:r w:rsidR="00FB6BFC">
        <w:t xml:space="preserve">em, protože obě božské Ososby chápe v jim vlastním výkonu a existenci </w:t>
      </w:r>
      <w:r w:rsidRPr="00273106">
        <w:t>(</w:t>
      </w:r>
      <w:r w:rsidRPr="00273106">
        <w:rPr>
          <w:i/>
        </w:rPr>
        <w:t>mā'gūl</w:t>
      </w:r>
      <w:r w:rsidRPr="00273106">
        <w:t xml:space="preserve">, </w:t>
      </w:r>
      <w:r w:rsidRPr="00273106">
        <w:rPr>
          <w:i/>
        </w:rPr>
        <w:t>intelligibile</w:t>
      </w:r>
      <w:r w:rsidRPr="00273106">
        <w:t>). Boží duch nakonec vyjde směrem do stvoření ve formě působící boží moudrosti</w:t>
      </w:r>
      <w:r w:rsidR="00FB6BFC">
        <w:t xml:space="preserve">. Ta </w:t>
      </w:r>
      <w:r>
        <w:t xml:space="preserve">fenomenálně ukazuje </w:t>
      </w:r>
      <w:r w:rsidRPr="001E4F5F">
        <w:rPr>
          <w:i/>
        </w:rPr>
        <w:t>ad extra</w:t>
      </w:r>
      <w:r w:rsidR="00AE3091">
        <w:t xml:space="preserve"> vnitřní bytí Trojice, která je ne</w:t>
      </w:r>
      <w:r w:rsidR="00516593">
        <w:t>j</w:t>
      </w:r>
      <w:r w:rsidR="00AE3091">
        <w:t xml:space="preserve">prve definována </w:t>
      </w:r>
      <w:r w:rsidRPr="001E4F5F">
        <w:rPr>
          <w:i/>
        </w:rPr>
        <w:t>ad intra</w:t>
      </w:r>
      <w:r w:rsidRPr="00273106">
        <w:t xml:space="preserve">. Ibn Ádí zachoval jednu substanci </w:t>
      </w:r>
      <w:r>
        <w:t>zakládající akt</w:t>
      </w:r>
      <w:r w:rsidRPr="00273106">
        <w:t xml:space="preserve"> myšlení, ale ta je je dána ve třech samostatných hypostázích symbolizujících </w:t>
      </w:r>
      <w:r>
        <w:t xml:space="preserve">různé </w:t>
      </w:r>
      <w:r w:rsidRPr="00273106">
        <w:t>akt</w:t>
      </w:r>
      <w:r>
        <w:t>y</w:t>
      </w:r>
      <w:r w:rsidRPr="00273106">
        <w:t xml:space="preserve"> myšlení</w:t>
      </w:r>
      <w:r>
        <w:t xml:space="preserve"> dané vztahem tří božských Osob</w:t>
      </w:r>
      <w:r w:rsidR="00F3060F">
        <w:t xml:space="preserve">. </w:t>
      </w:r>
      <w:r w:rsidR="0006405F" w:rsidRPr="0006405F">
        <w:rPr>
          <w:rStyle w:val="ref"/>
        </w:rPr>
        <w:t xml:space="preserve">Druhý averroismus navázal na Avicennovu metafyziku, která hlavní rysy subjektivity nastíněné Ibn Adím převedla do falsafy. Gandavus musel vytvořit koncepci stvoření, která odporovala prvnímu averroismu, jenž odmítal spekulovat o božské intencionalitě a intelektu. Modernisté druhé vlny museli </w:t>
      </w:r>
      <w:r w:rsidR="0006405F">
        <w:rPr>
          <w:rStyle w:val="ref"/>
        </w:rPr>
        <w:t xml:space="preserve">definovat </w:t>
      </w:r>
      <w:r w:rsidR="0006405F" w:rsidRPr="0006405F">
        <w:rPr>
          <w:rStyle w:val="ref"/>
        </w:rPr>
        <w:t xml:space="preserve">božskou subjektivitu, která stvořila svět svobodně a navíc </w:t>
      </w:r>
      <w:r w:rsidR="0006405F" w:rsidRPr="0006405F">
        <w:rPr>
          <w:rStyle w:val="ref"/>
          <w:i/>
        </w:rPr>
        <w:t>ex nihilo</w:t>
      </w:r>
      <w:r w:rsidR="0006405F">
        <w:rPr>
          <w:rStyle w:val="ref"/>
          <w:i/>
        </w:rPr>
        <w:fldChar w:fldCharType="begin"/>
      </w:r>
      <w:r w:rsidR="0006405F">
        <w:instrText xml:space="preserve"> XE "</w:instrText>
      </w:r>
      <w:r w:rsidR="0006405F" w:rsidRPr="00F76D38">
        <w:rPr>
          <w:i/>
        </w:rPr>
        <w:instrText>creatio</w:instrText>
      </w:r>
      <w:r w:rsidR="0006405F">
        <w:instrText xml:space="preserve"> </w:instrText>
      </w:r>
      <w:r w:rsidR="0006405F" w:rsidRPr="00CB7C42">
        <w:rPr>
          <w:rStyle w:val="ref"/>
          <w:i/>
        </w:rPr>
        <w:instrText>ex nihilo</w:instrText>
      </w:r>
      <w:r w:rsidR="0006405F">
        <w:instrText xml:space="preserve">" </w:instrText>
      </w:r>
      <w:r w:rsidR="0006405F">
        <w:rPr>
          <w:rStyle w:val="ref"/>
          <w:i/>
        </w:rPr>
        <w:fldChar w:fldCharType="end"/>
      </w:r>
      <w:r w:rsidR="00F25443">
        <w:rPr>
          <w:rStyle w:val="ref"/>
        </w:rPr>
        <w:t xml:space="preserve">. </w:t>
      </w:r>
      <w:r w:rsidRPr="00273106">
        <w:t xml:space="preserve">Křesťanská moderna </w:t>
      </w:r>
      <w:r>
        <w:t>z těchto zásadních důvodů nemohla</w:t>
      </w:r>
      <w:r w:rsidRPr="00273106">
        <w:t xml:space="preserve"> jít cestou </w:t>
      </w:r>
      <w:r>
        <w:t>neoplatonsk</w:t>
      </w:r>
      <w:r w:rsidRPr="00273106">
        <w:t xml:space="preserve">é emanace, kterou koncipuje Avicenna v modelu </w:t>
      </w:r>
      <w:r>
        <w:t>činného kosmického intelektu produkujícího inteligibilní formy (</w:t>
      </w:r>
      <w:r w:rsidR="001342FE">
        <w:rPr>
          <w:i/>
        </w:rPr>
        <w:t>dator formarum</w:t>
      </w:r>
      <w:r>
        <w:rPr>
          <w:i/>
        </w:rPr>
        <w:fldChar w:fldCharType="begin"/>
      </w:r>
      <w:r>
        <w:instrText xml:space="preserve"> XE "</w:instrText>
      </w:r>
      <w:r w:rsidR="001342FE">
        <w:rPr>
          <w:i/>
        </w:rPr>
        <w:instrText>dator formarum</w:instrText>
      </w:r>
      <w:r>
        <w:instrText xml:space="preserve">" </w:instrText>
      </w:r>
      <w:r>
        <w:rPr>
          <w:i/>
        </w:rPr>
        <w:fldChar w:fldCharType="end"/>
      </w:r>
      <w:r>
        <w:t>).</w:t>
      </w:r>
      <w:r w:rsidRPr="00273106">
        <w:t xml:space="preserve"> </w:t>
      </w:r>
      <w:r w:rsidR="005A4689" w:rsidRPr="005A4689">
        <w:t>Akvinský, který byl semiave</w:t>
      </w:r>
      <w:r w:rsidR="005A4689">
        <w:t xml:space="preserve">rroista a následovník Avicennny, </w:t>
      </w:r>
      <w:r w:rsidR="005A4689" w:rsidRPr="005A4689">
        <w:t xml:space="preserve">a </w:t>
      </w:r>
      <w:r w:rsidR="005A4689">
        <w:t xml:space="preserve">stejně tak i </w:t>
      </w:r>
      <w:r w:rsidR="005A4689" w:rsidRPr="005A4689">
        <w:t>pozdější tomismu</w:t>
      </w:r>
      <w:r w:rsidR="005A4689">
        <w:t xml:space="preserve">s, ti všichni tento model </w:t>
      </w:r>
      <w:r w:rsidR="005A4689" w:rsidRPr="005A4689">
        <w:t>zásadě kritizoval</w:t>
      </w:r>
      <w:r w:rsidR="005A4689">
        <w:t xml:space="preserve">i </w:t>
      </w:r>
      <w:r w:rsidR="00E93995">
        <w:t>(kap. 4</w:t>
      </w:r>
      <w:r>
        <w:t xml:space="preserve">.5.1). </w:t>
      </w:r>
      <w:r>
        <w:rPr>
          <w:rStyle w:val="ref"/>
        </w:rPr>
        <w:t>Latinský avicennismus se okolo roku 1280 definitivně oddělil od původní Avicennovy</w:t>
      </w:r>
      <w:r w:rsidRPr="00273106">
        <w:rPr>
          <w:rStyle w:val="ref"/>
        </w:rPr>
        <w:t xml:space="preserve"> metafyzik</w:t>
      </w:r>
      <w:r>
        <w:rPr>
          <w:rStyle w:val="ref"/>
        </w:rPr>
        <w:t xml:space="preserve">y a šel vlastní </w:t>
      </w:r>
      <w:r w:rsidR="0062314B">
        <w:rPr>
          <w:rStyle w:val="ref"/>
        </w:rPr>
        <w:t>myslitelskou cestou.</w:t>
      </w:r>
    </w:p>
    <w:p w:rsidR="009D6B76" w:rsidRDefault="08163013" w:rsidP="006E323E">
      <w:pPr>
        <w:ind w:firstLine="397"/>
      </w:pPr>
      <w:r>
        <w:rPr>
          <w:rStyle w:val="ref"/>
        </w:rPr>
        <w:t>O</w:t>
      </w:r>
      <w:r>
        <w:t xml:space="preserve">bjektivní antropologizace boha </w:t>
      </w:r>
      <w:r w:rsidRPr="08236286">
        <w:rPr>
          <w:i/>
        </w:rPr>
        <w:t>Modernorum</w:t>
      </w:r>
      <w:r>
        <w:t xml:space="preserve"> představovala pro reprezentanty školy druhého averroismu vážný problém. </w:t>
      </w:r>
      <w:r w:rsidRPr="00273106">
        <w:rPr>
          <w:rStyle w:val="ref"/>
        </w:rPr>
        <w:t xml:space="preserve">Zastánci druhého averroismu </w:t>
      </w:r>
      <w:r w:rsidR="00F207BD">
        <w:rPr>
          <w:rStyle w:val="ref"/>
        </w:rPr>
        <w:t>akademicky skvěle</w:t>
      </w:r>
      <w:r w:rsidR="00B723D7">
        <w:rPr>
          <w:rStyle w:val="ref"/>
        </w:rPr>
        <w:t xml:space="preserve"> inscenovali o</w:t>
      </w:r>
      <w:r w:rsidRPr="00273106">
        <w:rPr>
          <w:rStyle w:val="ref"/>
        </w:rPr>
        <w:t xml:space="preserve">dsouzení </w:t>
      </w:r>
      <w:r w:rsidR="00B723D7">
        <w:rPr>
          <w:rStyle w:val="ref"/>
        </w:rPr>
        <w:t xml:space="preserve">z roku </w:t>
      </w:r>
      <w:r w:rsidRPr="00273106">
        <w:rPr>
          <w:rStyle w:val="ref"/>
        </w:rPr>
        <w:t>1277</w:t>
      </w:r>
      <w:r w:rsidR="00B723D7">
        <w:rPr>
          <w:rStyle w:val="ref"/>
        </w:rPr>
        <w:t xml:space="preserve">. Ale </w:t>
      </w:r>
      <w:r w:rsidRPr="00273106">
        <w:rPr>
          <w:rStyle w:val="ref"/>
        </w:rPr>
        <w:t>museli re</w:t>
      </w:r>
      <w:r>
        <w:rPr>
          <w:rStyle w:val="ref"/>
        </w:rPr>
        <w:t xml:space="preserve">agovat na obvinění aristoteliků ze školy prvního averroismu jako </w:t>
      </w:r>
      <w:r w:rsidR="00B723D7">
        <w:rPr>
          <w:rStyle w:val="ref"/>
        </w:rPr>
        <w:t xml:space="preserve">byl </w:t>
      </w:r>
      <w:r>
        <w:rPr>
          <w:rStyle w:val="ref"/>
        </w:rPr>
        <w:t>Siger a Akvinský. Zavedením neoplatonského aristotelismu udělali</w:t>
      </w:r>
      <w:r w:rsidRPr="00273106">
        <w:rPr>
          <w:rStyle w:val="ref"/>
        </w:rPr>
        <w:t xml:space="preserve"> </w:t>
      </w:r>
      <w:r w:rsidR="000973C8">
        <w:rPr>
          <w:rStyle w:val="ref"/>
        </w:rPr>
        <w:t xml:space="preserve">modernisté </w:t>
      </w:r>
      <w:r w:rsidRPr="00273106">
        <w:rPr>
          <w:rStyle w:val="ref"/>
        </w:rPr>
        <w:t xml:space="preserve">z boha </w:t>
      </w:r>
      <w:r>
        <w:rPr>
          <w:rStyle w:val="ref"/>
        </w:rPr>
        <w:t>neoplatonsk</w:t>
      </w:r>
      <w:r w:rsidRPr="00273106">
        <w:rPr>
          <w:rStyle w:val="ref"/>
        </w:rPr>
        <w:t>é emanační božstvo</w:t>
      </w:r>
      <w:r>
        <w:rPr>
          <w:rStyle w:val="ref"/>
        </w:rPr>
        <w:t xml:space="preserve"> působící v člověku skrze oddělený kosmický </w:t>
      </w:r>
      <w:r w:rsidRPr="00264D73">
        <w:rPr>
          <w:rStyle w:val="ref"/>
          <w:i/>
        </w:rPr>
        <w:t>intellectus agens</w:t>
      </w:r>
      <w:r>
        <w:rPr>
          <w:rStyle w:val="ref"/>
          <w:i/>
        </w:rPr>
        <w:fldChar w:fldCharType="begin"/>
      </w:r>
      <w:r>
        <w:instrText xml:space="preserve"> XE "</w:instrText>
      </w:r>
      <w:r w:rsidRPr="00490D32">
        <w:rPr>
          <w:i/>
        </w:rPr>
        <w:instrText>intellectus agens:</w:instrText>
      </w:r>
      <w:r w:rsidRPr="00F76D38">
        <w:instrText>druhý averroismus</w:instrText>
      </w:r>
      <w:r>
        <w:instrText xml:space="preserve">" </w:instrText>
      </w:r>
      <w:r>
        <w:rPr>
          <w:rStyle w:val="ref"/>
          <w:i/>
        </w:rPr>
        <w:fldChar w:fldCharType="end"/>
      </w:r>
      <w:r w:rsidRPr="00273106">
        <w:rPr>
          <w:rStyle w:val="ref"/>
        </w:rPr>
        <w:t>.</w:t>
      </w:r>
      <w:r>
        <w:rPr>
          <w:rStyle w:val="ref"/>
        </w:rPr>
        <w:t xml:space="preserve"> Akvinský udělal z Averroese averroistu a v nově pojatém aristotelismu legitimoval Avicennův </w:t>
      </w:r>
      <w:r w:rsidRPr="08FC3F9A">
        <w:rPr>
          <w:rStyle w:val="ref"/>
          <w:i/>
        </w:rPr>
        <w:t xml:space="preserve">intellectus </w:t>
      </w:r>
      <w:r w:rsidRPr="08FC3F9A">
        <w:rPr>
          <w:rStyle w:val="ref"/>
          <w:i/>
        </w:rPr>
        <w:lastRenderedPageBreak/>
        <w:t>possibilis</w:t>
      </w:r>
      <w:r w:rsidR="00E93995">
        <w:rPr>
          <w:rStyle w:val="ref"/>
        </w:rPr>
        <w:t xml:space="preserve"> jako křesťanskou nauku (kap. 4</w:t>
      </w:r>
      <w:r>
        <w:rPr>
          <w:rStyle w:val="ref"/>
        </w:rPr>
        <w:t xml:space="preserve">.5.1). Tito semiaverroisté koncipovali Averroesův </w:t>
      </w:r>
      <w:r w:rsidRPr="08FC06C9">
        <w:rPr>
          <w:rStyle w:val="ref"/>
          <w:i/>
        </w:rPr>
        <w:t>intellectus possib</w:t>
      </w:r>
      <w:r>
        <w:rPr>
          <w:rStyle w:val="ref"/>
          <w:i/>
        </w:rPr>
        <w:t>i</w:t>
      </w:r>
      <w:r w:rsidRPr="08FC06C9">
        <w:rPr>
          <w:rStyle w:val="ref"/>
          <w:i/>
        </w:rPr>
        <w:t>lis</w:t>
      </w:r>
      <w:r>
        <w:rPr>
          <w:rStyle w:val="ref"/>
        </w:rPr>
        <w:t xml:space="preserve"> podaný jako </w:t>
      </w:r>
      <w:r w:rsidRPr="08AD4C52">
        <w:rPr>
          <w:rStyle w:val="ref"/>
          <w:i/>
        </w:rPr>
        <w:t xml:space="preserve">quartum </w:t>
      </w:r>
      <w:r w:rsidR="00962190">
        <w:rPr>
          <w:rStyle w:val="ref"/>
          <w:i/>
        </w:rPr>
        <w:t>genus</w:t>
      </w:r>
      <w:r>
        <w:rPr>
          <w:rStyle w:val="ref"/>
        </w:rPr>
        <w:t xml:space="preserve"> v CMDA po vzoru Avicennova aktivního kosmického intelektu. </w:t>
      </w:r>
      <w:r w:rsidR="008F6F69">
        <w:rPr>
          <w:rStyle w:val="ref"/>
        </w:rPr>
        <w:t xml:space="preserve">Zmatený výklad </w:t>
      </w:r>
      <w:r>
        <w:rPr>
          <w:rStyle w:val="ref"/>
        </w:rPr>
        <w:t>Averroese v pojetí Toledské školy</w:t>
      </w:r>
      <w:r>
        <w:rPr>
          <w:rStyle w:val="ref"/>
        </w:rPr>
        <w:fldChar w:fldCharType="begin"/>
      </w:r>
      <w:r>
        <w:instrText xml:space="preserve"> XE "</w:instrText>
      </w:r>
      <w:r w:rsidRPr="08E14D4F">
        <w:rPr>
          <w:rStyle w:val="ref"/>
        </w:rPr>
        <w:instrText>Toledská škola</w:instrText>
      </w:r>
      <w:r>
        <w:instrText xml:space="preserve">" </w:instrText>
      </w:r>
      <w:r>
        <w:rPr>
          <w:rStyle w:val="ref"/>
        </w:rPr>
        <w:fldChar w:fldCharType="end"/>
      </w:r>
      <w:r>
        <w:rPr>
          <w:rStyle w:val="ref"/>
        </w:rPr>
        <w:t xml:space="preserve"> </w:t>
      </w:r>
      <w:r w:rsidR="008F6F69">
        <w:rPr>
          <w:rStyle w:val="ref"/>
        </w:rPr>
        <w:t xml:space="preserve">způsobil, že semiaverroistický výklad Akvinského a Aegidia odmítl výklad intelektu podle CMDA, ale přijal intelekt jako autonomní formu. Tím se výklad tomismu okolo roku 1280 dostal do nebezpečí hereze dané skrze emanační model moderního boha jako dárce forem. </w:t>
      </w:r>
      <w:r>
        <w:rPr>
          <w:rStyle w:val="ref"/>
        </w:rPr>
        <w:t>K</w:t>
      </w:r>
      <w:r>
        <w:t xml:space="preserve">ritiku avicennovské a averroistické emanace povedli všichni představitelé školy prvního averroismu, včetně Akvinského. Tomista </w:t>
      </w:r>
      <w:r>
        <w:rPr>
          <w:rStyle w:val="ref"/>
        </w:rPr>
        <w:t xml:space="preserve">Aegidius </w:t>
      </w:r>
      <w:r>
        <w:rPr>
          <w:rStyle w:val="ref"/>
        </w:rPr>
        <w:fldChar w:fldCharType="begin"/>
      </w:r>
      <w:r>
        <w:instrText xml:space="preserve"> XE "</w:instrText>
      </w:r>
      <w:r w:rsidRPr="00B54432">
        <w:instrText>Aegidius Romanus</w:instrText>
      </w:r>
      <w:r>
        <w:instrText xml:space="preserve">" </w:instrText>
      </w:r>
      <w:r>
        <w:rPr>
          <w:rStyle w:val="ref"/>
        </w:rPr>
        <w:fldChar w:fldCharType="end"/>
      </w:r>
      <w:r>
        <w:rPr>
          <w:rStyle w:val="ref"/>
        </w:rPr>
        <w:t xml:space="preserve"> v roli </w:t>
      </w:r>
      <w:r w:rsidRPr="00940E2F">
        <w:rPr>
          <w:rStyle w:val="ref"/>
          <w:i/>
        </w:rPr>
        <w:t>alter ego</w:t>
      </w:r>
      <w:r>
        <w:rPr>
          <w:rStyle w:val="ref"/>
        </w:rPr>
        <w:t xml:space="preserve"> Akvinského udělal tento myslitelský obrat kolem 1270, což dokazuje třetí část</w:t>
      </w:r>
      <w:r w:rsidR="00B42794">
        <w:rPr>
          <w:rStyle w:val="ref"/>
        </w:rPr>
        <w:t xml:space="preserve"> Oxfordského rukopisu (kap. 4</w:t>
      </w:r>
      <w:r>
        <w:rPr>
          <w:rStyle w:val="ref"/>
        </w:rPr>
        <w:t xml:space="preserve">.3.2). Siger </w:t>
      </w:r>
      <w:r w:rsidR="00032C55">
        <w:rPr>
          <w:rStyle w:val="ref"/>
        </w:rPr>
        <w:t xml:space="preserve">nemusel dělat žádné </w:t>
      </w:r>
      <w:r>
        <w:rPr>
          <w:rStyle w:val="ref"/>
        </w:rPr>
        <w:t>kompromisy ohl</w:t>
      </w:r>
      <w:r w:rsidR="00032C55">
        <w:rPr>
          <w:rStyle w:val="ref"/>
        </w:rPr>
        <w:t>edně komitačně dané objektivity</w:t>
      </w:r>
      <w:r>
        <w:rPr>
          <w:rStyle w:val="ref"/>
        </w:rPr>
        <w:fldChar w:fldCharType="begin"/>
      </w:r>
      <w:r>
        <w:instrText xml:space="preserve"> XE "</w:instrText>
      </w:r>
      <w:r w:rsidRPr="00DD1136">
        <w:instrText>komitace</w:instrText>
      </w:r>
      <w:r>
        <w:instrText xml:space="preserve">" </w:instrText>
      </w:r>
      <w:r>
        <w:rPr>
          <w:rStyle w:val="ref"/>
        </w:rPr>
        <w:fldChar w:fldCharType="end"/>
      </w:r>
      <w:r>
        <w:rPr>
          <w:rStyle w:val="ref"/>
        </w:rPr>
        <w:t xml:space="preserve">, protože </w:t>
      </w:r>
      <w:r w:rsidR="00032C55">
        <w:rPr>
          <w:rStyle w:val="ref"/>
        </w:rPr>
        <w:t xml:space="preserve">odmítl </w:t>
      </w:r>
      <w:r>
        <w:rPr>
          <w:rStyle w:val="ref"/>
        </w:rPr>
        <w:t xml:space="preserve">primát Avicennovy metafyziky zásadně a ze stejných důvodů jako Averroes </w:t>
      </w:r>
      <w:r>
        <w:t>(</w:t>
      </w:r>
      <w:r w:rsidRPr="00DB2626">
        <w:rPr>
          <w:i/>
        </w:rPr>
        <w:t>Avicenna</w:t>
      </w:r>
      <w:r w:rsidRPr="00DB2626">
        <w:rPr>
          <w:rStyle w:val="Zkladntext7ptMalpsmena"/>
          <w:rFonts w:eastAsia="Times"/>
          <w:i/>
          <w:smallCaps w:val="0"/>
          <w:sz w:val="22"/>
          <w:lang w:val="x-none"/>
        </w:rPr>
        <w:t xml:space="preserve"> </w:t>
      </w:r>
      <w:r w:rsidRPr="00DB2626">
        <w:rPr>
          <w:i/>
        </w:rPr>
        <w:t>diceret oppositum, sicut recitat hic Commentator</w:t>
      </w:r>
      <w:r w:rsidR="00032C55">
        <w:t>, kap. 4</w:t>
      </w:r>
      <w:r>
        <w:t xml:space="preserve">.4.1). Plná jednota osoby v objektivním tomismu a scotismu už nikdy nevznikla, protože intelekt se zavedl do duše jako hypostázová forma. </w:t>
      </w:r>
      <w:r>
        <w:rPr>
          <w:rStyle w:val="ref"/>
        </w:rPr>
        <w:t>Pro Sigera představovalo pojetí avicennovské komitace v dané v podobě objektivní dedukce exemplarů z boží intencionality jednak filosofický nesmysl a jednak křesťanskou herezi, protože v konečném důsledku ruší substanční jednotu osoby</w:t>
      </w:r>
      <w:r>
        <w:rPr>
          <w:rStyle w:val="ref"/>
        </w:rPr>
        <w:fldChar w:fldCharType="begin"/>
      </w:r>
      <w:r>
        <w:instrText xml:space="preserve"> XE "</w:instrText>
      </w:r>
      <w:r w:rsidRPr="00094435">
        <w:instrText>osoba:ipseita</w:instrText>
      </w:r>
      <w:r>
        <w:instrText xml:space="preserve">" </w:instrText>
      </w:r>
      <w:r>
        <w:rPr>
          <w:rStyle w:val="ref"/>
        </w:rPr>
        <w:fldChar w:fldCharType="end"/>
      </w:r>
      <w:r>
        <w:rPr>
          <w:rStyle w:val="ref"/>
        </w:rPr>
        <w:t xml:space="preserve"> (</w:t>
      </w:r>
      <w:r w:rsidRPr="00733915">
        <w:rPr>
          <w:i/>
        </w:rPr>
        <w:t>ista positio in fide nostra est haeretica, et irrationalis</w:t>
      </w:r>
      <w:r w:rsidR="00A0676D">
        <w:t>; kap. 4</w:t>
      </w:r>
      <w:r>
        <w:t>.4.3</w:t>
      </w:r>
      <w:r w:rsidR="006E323E">
        <w:rPr>
          <w:rStyle w:val="ref"/>
        </w:rPr>
        <w:t xml:space="preserve">). Latinští sofisté nemohli být oficiální heretikové, takže moderní bůh musel být opakovaně modernizován po roce 1280 do nové podoby. </w:t>
      </w:r>
      <w:r>
        <w:rPr>
          <w:rStyle w:val="ref"/>
        </w:rPr>
        <w:t xml:space="preserve">Aegidius Romanus a </w:t>
      </w:r>
      <w:r>
        <w:t>Gandavus a další moderní objektivisté museli po akademické likvidaci školy prvního averroismu na Rue du Fouarre vyjasnit vztah boží jednoduchosti a mnohosti stvoření. M</w:t>
      </w:r>
      <w:r w:rsidRPr="00273106">
        <w:t xml:space="preserve">odernisté </w:t>
      </w:r>
      <w:r>
        <w:t xml:space="preserve">od sebe oddělili </w:t>
      </w:r>
      <w:r w:rsidRPr="00273106">
        <w:t>stvoření a stvořitele</w:t>
      </w:r>
      <w:r>
        <w:t xml:space="preserve"> tím, že odmítli Avicennovu komitaci podle ontologické dedukce dané v </w:t>
      </w:r>
      <w:proofErr w:type="gramStart"/>
      <w:r w:rsidRPr="00054383">
        <w:rPr>
          <w:i/>
        </w:rPr>
        <w:t>Liber</w:t>
      </w:r>
      <w:proofErr w:type="gramEnd"/>
      <w:r w:rsidRPr="00054383">
        <w:rPr>
          <w:i/>
        </w:rPr>
        <w:t xml:space="preserve"> de causis</w:t>
      </w:r>
      <w:r>
        <w:t xml:space="preserve"> a tím odmítli i Avicennovo pojetí boha jako dárce forem. </w:t>
      </w:r>
      <w:r w:rsidR="006E323E" w:rsidRPr="006E323E">
        <w:t>Mytologi</w:t>
      </w:r>
      <w:r w:rsidR="006E323E">
        <w:t>e objektivity však předpokládá, že v moderním b</w:t>
      </w:r>
      <w:r w:rsidR="006E323E" w:rsidRPr="006E323E">
        <w:t xml:space="preserve">ohu musí zůstat </w:t>
      </w:r>
      <w:r w:rsidR="006E323E">
        <w:t>u</w:t>
      </w:r>
      <w:r w:rsidR="006E323E" w:rsidRPr="006E323E">
        <w:t>rčitá forma plurality. Jinak by teorie jedn</w:t>
      </w:r>
      <w:r w:rsidR="006E323E">
        <w:t xml:space="preserve">é objektivní pravdy nefungovala, a tím </w:t>
      </w:r>
      <w:r w:rsidR="006E323E" w:rsidRPr="006E323E">
        <w:t>by nebyla udržitelná</w:t>
      </w:r>
      <w:r w:rsidR="006E323E">
        <w:t xml:space="preserve"> </w:t>
      </w:r>
      <w:r w:rsidR="006E323E" w:rsidRPr="006E323E">
        <w:t>ani ontoteologic</w:t>
      </w:r>
      <w:r w:rsidR="006E323E">
        <w:t xml:space="preserve">ká struktura moderní metafyziky. </w:t>
      </w:r>
      <w:r w:rsidR="0087752C">
        <w:t>Problém moderního b</w:t>
      </w:r>
      <w:r w:rsidR="00A56E4D" w:rsidRPr="00A56E4D">
        <w:t>oha</w:t>
      </w:r>
      <w:r w:rsidR="00A56E4D">
        <w:t xml:space="preserve"> byl velmi jednoduchý: neměnný b</w:t>
      </w:r>
      <w:r w:rsidR="00A56E4D" w:rsidRPr="00A56E4D">
        <w:t xml:space="preserve">ůh tvoří vše </w:t>
      </w:r>
      <w:r w:rsidR="00A56E4D" w:rsidRPr="00A56E4D">
        <w:rPr>
          <w:i/>
        </w:rPr>
        <w:t>ex nihilo</w:t>
      </w:r>
      <w:r w:rsidR="00A56E4D" w:rsidRPr="00A56E4D">
        <w:t>, a tím zavádí změnu do své nezměn</w:t>
      </w:r>
      <w:r w:rsidR="00A56E4D">
        <w:t xml:space="preserve">itelné </w:t>
      </w:r>
      <w:r w:rsidR="00A56E4D" w:rsidRPr="00A56E4D">
        <w:t xml:space="preserve">existence. </w:t>
      </w:r>
      <w:r>
        <w:t>Tento objektivní diakosmos</w:t>
      </w:r>
      <w:r>
        <w:fldChar w:fldCharType="begin"/>
      </w:r>
      <w:r>
        <w:instrText xml:space="preserve"> XE "</w:instrText>
      </w:r>
      <w:r w:rsidRPr="002174CA">
        <w:instrText>diakosmos</w:instrText>
      </w:r>
      <w:r>
        <w:instrText xml:space="preserve">" </w:instrText>
      </w:r>
      <w:r>
        <w:fldChar w:fldCharType="end"/>
      </w:r>
      <w:r>
        <w:t xml:space="preserve"> </w:t>
      </w:r>
      <w:r w:rsidRPr="00273106">
        <w:t xml:space="preserve">tvoří základ </w:t>
      </w:r>
      <w:r>
        <w:t>antropocentrického vidění boha, člověka a světa, protože dal celek jsoucen třetího druhu</w:t>
      </w:r>
      <w:r w:rsidRPr="08D7272C">
        <w:t xml:space="preserve"> </w:t>
      </w:r>
      <w:r>
        <w:t>do systému ontoteologické metafyziky.</w:t>
      </w:r>
      <w:r w:rsidRPr="08365B36">
        <w:t xml:space="preserve"> </w:t>
      </w:r>
      <w:r>
        <w:rPr>
          <w:rStyle w:val="ref"/>
        </w:rPr>
        <w:t xml:space="preserve">V moderním bohu musí něco „exsistovat“, protože boží intencionalita zakládá exemplární sféru objektivity. </w:t>
      </w:r>
      <w:r>
        <w:rPr>
          <w:rStyle w:val="TextpoznpodarouChar"/>
        </w:rPr>
        <w:t xml:space="preserve">Pravda v modu ontoteologické správnosti </w:t>
      </w:r>
      <w:r>
        <w:rPr>
          <w:rStyle w:val="TextpoznpodarouChar"/>
        </w:rPr>
        <w:lastRenderedPageBreak/>
        <w:t xml:space="preserve">a jistoty se musí navázat nikoliv na boha jako </w:t>
      </w:r>
      <w:r w:rsidRPr="08DB27A9">
        <w:rPr>
          <w:rStyle w:val="TextpoznpodarouChar"/>
          <w:i/>
        </w:rPr>
        <w:t>causa prima</w:t>
      </w:r>
      <w:r>
        <w:rPr>
          <w:rStyle w:val="TextpoznpodarouChar"/>
        </w:rPr>
        <w:t xml:space="preserve">, ale na intimní změnu v jeho bytí danou v exemplárním modu </w:t>
      </w:r>
      <w:r w:rsidR="00BD73BE">
        <w:rPr>
          <w:rStyle w:val="TextpoznpodarouChar"/>
        </w:rPr>
        <w:t>„</w:t>
      </w:r>
      <w:r w:rsidRPr="00BB1567">
        <w:rPr>
          <w:rStyle w:val="TextpoznpodarouChar"/>
          <w:i/>
        </w:rPr>
        <w:t>semel‒semper</w:t>
      </w:r>
      <w:r w:rsidR="00BD73BE">
        <w:rPr>
          <w:rStyle w:val="TextpoznpodarouChar"/>
        </w:rPr>
        <w:t>“</w:t>
      </w:r>
      <w:r>
        <w:rPr>
          <w:rStyle w:val="TextpoznpodarouChar"/>
          <w:i/>
        </w:rPr>
        <w:fldChar w:fldCharType="begin"/>
      </w:r>
      <w:r>
        <w:instrText xml:space="preserve"> XE "predikace:</w:instrText>
      </w:r>
      <w:r w:rsidRPr="001D16E3">
        <w:rPr>
          <w:rStyle w:val="TextpoznpodarouChar"/>
          <w:i/>
        </w:rPr>
        <w:instrText>semel‒semper</w:instrText>
      </w:r>
      <w:r>
        <w:instrText xml:space="preserve">" </w:instrText>
      </w:r>
      <w:r>
        <w:rPr>
          <w:rStyle w:val="TextpoznpodarouChar"/>
          <w:i/>
        </w:rPr>
        <w:fldChar w:fldCharType="end"/>
      </w:r>
      <w:r>
        <w:rPr>
          <w:rStyle w:val="TextpoznpodarouChar"/>
        </w:rPr>
        <w:t xml:space="preserve">. </w:t>
      </w:r>
      <w:r>
        <w:t>O</w:t>
      </w:r>
      <w:r w:rsidRPr="00273106">
        <w:t xml:space="preserve">ntoteologická struktura </w:t>
      </w:r>
      <w:r>
        <w:t xml:space="preserve">moderní </w:t>
      </w:r>
      <w:r w:rsidRPr="00273106">
        <w:t>metafyziky vyžaduje, aby poslední základ jsoucna třetího druhu byl promítnut přímo do boha jako nepochybně sp</w:t>
      </w:r>
      <w:r w:rsidR="009D6B76">
        <w:t>rávného a jistého základu bytí.</w:t>
      </w:r>
    </w:p>
    <w:p w:rsidR="00B83AC7" w:rsidRDefault="08163013" w:rsidP="00801C70">
      <w:pPr>
        <w:ind w:firstLine="397"/>
      </w:pPr>
      <w:r>
        <w:t xml:space="preserve">První averroismus každou antropomorfizaci boha stritkně odmítl, protože rodově odlišná pravda filosofie dovoluje vědecké zkoumání boha pouze jako </w:t>
      </w:r>
      <w:r w:rsidRPr="08C636CC">
        <w:rPr>
          <w:i/>
        </w:rPr>
        <w:t>causa prima</w:t>
      </w:r>
      <w:r>
        <w:t xml:space="preserve"> a pouze v modu poznání daném </w:t>
      </w:r>
      <w:r w:rsidR="00D22D41">
        <w:t>„</w:t>
      </w:r>
      <w:r w:rsidRPr="08C636CC">
        <w:rPr>
          <w:i/>
        </w:rPr>
        <w:t>qu</w:t>
      </w:r>
      <w:r>
        <w:rPr>
          <w:i/>
        </w:rPr>
        <w:t>o</w:t>
      </w:r>
      <w:r w:rsidRPr="08C636CC">
        <w:rPr>
          <w:i/>
        </w:rPr>
        <w:t>ad nos</w:t>
      </w:r>
      <w:r w:rsidR="00D22D41">
        <w:t>“</w:t>
      </w:r>
      <w:r>
        <w:t xml:space="preserve">. </w:t>
      </w:r>
      <w:r w:rsidR="00046943">
        <w:t>M</w:t>
      </w:r>
      <w:r>
        <w:rPr>
          <w:rStyle w:val="TextpoznpodarouChar"/>
        </w:rPr>
        <w:t>odernistům a augustiniánům vznikl kardinální problém, který první averroismus vůbec neměl, což ukazuje Sigerovo stanovisko ve sporu o věčnost světa</w:t>
      </w:r>
      <w:r>
        <w:fldChar w:fldCharType="begin"/>
      </w:r>
      <w:r>
        <w:instrText xml:space="preserve"> XE "</w:instrText>
      </w:r>
      <w:r w:rsidRPr="00727827">
        <w:instrText>věčnost světa</w:instrText>
      </w:r>
      <w:r>
        <w:instrText xml:space="preserve">" </w:instrText>
      </w:r>
      <w:r>
        <w:fldChar w:fldCharType="end"/>
      </w:r>
      <w:r w:rsidR="00A0676D">
        <w:rPr>
          <w:rStyle w:val="TextpoznpodarouChar"/>
        </w:rPr>
        <w:t xml:space="preserve"> (kap. 4</w:t>
      </w:r>
      <w:r>
        <w:rPr>
          <w:rStyle w:val="TextpoznpodarouChar"/>
        </w:rPr>
        <w:t xml:space="preserve">.4.1). Moderna musela </w:t>
      </w:r>
      <w:r>
        <w:t xml:space="preserve">vytvořit moderního boha, který obsahuje objektivní pravdy v exemplární podobě. </w:t>
      </w:r>
      <w:r w:rsidR="00E257CB">
        <w:t>Antropomorfický b</w:t>
      </w:r>
      <w:r>
        <w:t xml:space="preserve">ůh </w:t>
      </w:r>
      <w:r w:rsidRPr="086E5E77">
        <w:rPr>
          <w:i/>
        </w:rPr>
        <w:t>Modernorum</w:t>
      </w:r>
      <w:r>
        <w:t xml:space="preserve"> </w:t>
      </w:r>
      <w:r w:rsidR="00E257CB">
        <w:t xml:space="preserve">symbolizoval </w:t>
      </w:r>
      <w:r>
        <w:t>objektivně také exemplárně schizofrenii moderní osoby danou pluralitou forem či substancí. Jenže substanční či formální pluralita nemůže existovat v absolutně jednoduchém aktu božího bytí a esence.</w:t>
      </w:r>
      <w:r w:rsidRPr="08CD7F46">
        <w:rPr>
          <w:rStyle w:val="ref"/>
        </w:rPr>
        <w:t xml:space="preserve"> </w:t>
      </w:r>
      <w:r>
        <w:t xml:space="preserve">Gandavus zavedl intencionalitu a demiurgickou predikaci </w:t>
      </w:r>
      <w:r w:rsidRPr="00CF2EE1">
        <w:rPr>
          <w:i/>
        </w:rPr>
        <w:t>in artificialibus</w:t>
      </w:r>
      <w:r>
        <w:rPr>
          <w:i/>
        </w:rPr>
        <w:fldChar w:fldCharType="begin"/>
      </w:r>
      <w:r>
        <w:instrText xml:space="preserve"> XE "predikace:</w:instrText>
      </w:r>
      <w:r w:rsidRPr="004A0740">
        <w:rPr>
          <w:i/>
        </w:rPr>
        <w:instrText>in artificialibus</w:instrText>
      </w:r>
      <w:r>
        <w:instrText xml:space="preserve">" </w:instrText>
      </w:r>
      <w:r>
        <w:rPr>
          <w:i/>
        </w:rPr>
        <w:fldChar w:fldCharType="end"/>
      </w:r>
      <w:r>
        <w:rPr>
          <w:i/>
        </w:rPr>
        <w:t xml:space="preserve"> </w:t>
      </w:r>
      <w:r w:rsidRPr="00773DF9">
        <w:t>p</w:t>
      </w:r>
      <w:r>
        <w:t>římo do boží esence, a tím vytvo</w:t>
      </w:r>
      <w:r w:rsidRPr="00773DF9">
        <w:t>řil</w:t>
      </w:r>
      <w:r>
        <w:rPr>
          <w:i/>
        </w:rPr>
        <w:t xml:space="preserve"> </w:t>
      </w:r>
      <w:r>
        <w:t xml:space="preserve">v bohu samostatnou sféru jsoucen třetího druhu. </w:t>
      </w:r>
      <w:r w:rsidRPr="00273106">
        <w:rPr>
          <w:rStyle w:val="ref"/>
        </w:rPr>
        <w:t>Nová konstrukce reality vytvořila sfér</w:t>
      </w:r>
      <w:r>
        <w:rPr>
          <w:rStyle w:val="ref"/>
        </w:rPr>
        <w:t>u</w:t>
      </w:r>
      <w:r w:rsidRPr="00273106">
        <w:rPr>
          <w:rStyle w:val="ref"/>
        </w:rPr>
        <w:t xml:space="preserve"> objektivity přímo v</w:t>
      </w:r>
      <w:r w:rsidR="00955DB3">
        <w:rPr>
          <w:rStyle w:val="ref"/>
        </w:rPr>
        <w:t xml:space="preserve"> moderním </w:t>
      </w:r>
      <w:r w:rsidRPr="00273106">
        <w:rPr>
          <w:rStyle w:val="ref"/>
        </w:rPr>
        <w:t>bohu</w:t>
      </w:r>
      <w:r>
        <w:rPr>
          <w:rStyle w:val="ref"/>
        </w:rPr>
        <w:t>. Toto metafyzické simulákrum dostalo objektivně-antropomorfní charakter, který tvořil základní habitus moderního boha až do jeho smrti v 19. století</w:t>
      </w:r>
      <w:r>
        <w:t>. První averroismus nekompromisně hájící linii Aristotelovy první vědy nemohl připustit analogii mezi bohem a člověkem jako základ metafyzické jednoty jsoucna. Určení boží esence patří</w:t>
      </w:r>
      <w:r w:rsidRPr="00273106">
        <w:t xml:space="preserve"> buď do </w:t>
      </w:r>
      <w:r>
        <w:t xml:space="preserve">zjevené </w:t>
      </w:r>
      <w:r w:rsidRPr="00273106">
        <w:t xml:space="preserve">teologie, nebo do </w:t>
      </w:r>
      <w:r>
        <w:t>mytopoetiky typu Bonaventurovy ontoteologické a básnické licence</w:t>
      </w:r>
      <w:r w:rsidRPr="00273106">
        <w:t>, protože smíšení poznání vzhledem k různým rodům nebylo možné.</w:t>
      </w:r>
      <w:r>
        <w:t xml:space="preserve"> Moderna posunula boží nepoznatelnost až do intimity boží esence a udělala z boha moderní schizofrenický subjekt. Stvořitelská intencionalita funguje v boží esenci v modu </w:t>
      </w:r>
      <w:r w:rsidR="00D259A3">
        <w:t>„</w:t>
      </w:r>
      <w:r w:rsidRPr="08793301">
        <w:rPr>
          <w:i/>
        </w:rPr>
        <w:t>esse in</w:t>
      </w:r>
      <w:r w:rsidR="00D259A3">
        <w:t>“</w:t>
      </w:r>
      <w:r>
        <w:rPr>
          <w:i/>
        </w:rPr>
        <w:fldChar w:fldCharType="begin"/>
      </w:r>
      <w:r>
        <w:instrText xml:space="preserve"> XE "</w:instrText>
      </w:r>
      <w:r>
        <w:rPr>
          <w:i/>
        </w:rPr>
        <w:instrText>esse in</w:instrText>
      </w:r>
      <w:r>
        <w:instrText xml:space="preserve">" </w:instrText>
      </w:r>
      <w:r>
        <w:rPr>
          <w:i/>
        </w:rPr>
        <w:fldChar w:fldCharType="end"/>
      </w:r>
      <w:r>
        <w:t xml:space="preserve">, protože boží myšlení a </w:t>
      </w:r>
      <w:r w:rsidR="00D259A3">
        <w:t xml:space="preserve">intencionalita </w:t>
      </w:r>
      <w:r>
        <w:t xml:space="preserve">tvoří součást jednoduché boží esence. Stvořitelská vůle posílá toto intencionální bytí ve druhé exemplární fázi do stvoření, kde je manifestováno v objektivním modu </w:t>
      </w:r>
      <w:r w:rsidR="0020450B">
        <w:t>„</w:t>
      </w:r>
      <w:r w:rsidRPr="08793301">
        <w:rPr>
          <w:i/>
        </w:rPr>
        <w:t>esse ad</w:t>
      </w:r>
      <w:r w:rsidR="0020450B">
        <w:t>“</w:t>
      </w:r>
      <w:r>
        <w:rPr>
          <w:i/>
        </w:rPr>
        <w:fldChar w:fldCharType="begin"/>
      </w:r>
      <w:r>
        <w:instrText xml:space="preserve"> XE "</w:instrText>
      </w:r>
      <w:r w:rsidRPr="008F3381">
        <w:rPr>
          <w:i/>
        </w:rPr>
        <w:instrText xml:space="preserve">esse </w:instrText>
      </w:r>
      <w:proofErr w:type="gramStart"/>
      <w:r w:rsidRPr="008F3381">
        <w:rPr>
          <w:i/>
        </w:rPr>
        <w:instrText>ad</w:instrText>
      </w:r>
      <w:proofErr w:type="gramEnd"/>
      <w:r w:rsidRPr="008F3381">
        <w:rPr>
          <w:i/>
        </w:rPr>
        <w:instrText>:</w:instrText>
      </w:r>
      <w:r>
        <w:instrText xml:space="preserve">Gandavus" </w:instrText>
      </w:r>
      <w:r>
        <w:rPr>
          <w:i/>
        </w:rPr>
        <w:fldChar w:fldCharType="end"/>
      </w:r>
      <w:r>
        <w:t xml:space="preserve">. Pak teprve platí aristotelské poznání boha v modu </w:t>
      </w:r>
      <w:r w:rsidR="0020450B">
        <w:t>„</w:t>
      </w:r>
      <w:r w:rsidRPr="00AE5974">
        <w:rPr>
          <w:i/>
        </w:rPr>
        <w:t>quoad nos</w:t>
      </w:r>
      <w:r w:rsidR="0020450B">
        <w:t>“</w:t>
      </w:r>
      <w:r>
        <w:t xml:space="preserve">. </w:t>
      </w:r>
      <w:r w:rsidRPr="00273106">
        <w:t>Výk</w:t>
      </w:r>
      <w:r>
        <w:t xml:space="preserve">lad poznání boha z pozice </w:t>
      </w:r>
      <w:r w:rsidRPr="00273106">
        <w:t>Modistů (</w:t>
      </w:r>
      <w:r w:rsidRPr="00273106">
        <w:rPr>
          <w:i/>
        </w:rPr>
        <w:t>Modistae</w:t>
      </w:r>
      <w:r>
        <w:fldChar w:fldCharType="begin"/>
      </w:r>
      <w:r>
        <w:instrText xml:space="preserve"> XE "první averroismus:</w:instrText>
      </w:r>
      <w:r w:rsidRPr="00290367">
        <w:instrText>Modisté</w:instrText>
      </w:r>
      <w:r>
        <w:instrText xml:space="preserve">" </w:instrText>
      </w:r>
      <w:r>
        <w:fldChar w:fldCharType="end"/>
      </w:r>
      <w:r w:rsidRPr="00273106">
        <w:t xml:space="preserve">) podle smysly omezeného intelektu byl podán ve sporu </w:t>
      </w:r>
      <w:r>
        <w:t>Sig</w:t>
      </w:r>
      <w:r w:rsidR="00101D7B">
        <w:t>era s druhým averroismem (kap. 4</w:t>
      </w:r>
      <w:r w:rsidRPr="00273106">
        <w:t>.4</w:t>
      </w:r>
      <w:r>
        <w:t>.1</w:t>
      </w:r>
      <w:r w:rsidRPr="00273106">
        <w:t>).</w:t>
      </w:r>
      <w:r>
        <w:t xml:space="preserve"> Bůh </w:t>
      </w:r>
      <w:r w:rsidR="0020450B" w:rsidRPr="00D74E7C">
        <w:rPr>
          <w:i/>
        </w:rPr>
        <w:t>sophistae Latini</w:t>
      </w:r>
      <w:r w:rsidR="0020450B">
        <w:t xml:space="preserve"> </w:t>
      </w:r>
      <w:r>
        <w:t>po odsouzení roku 1277 je definovaný ve výslovném rozporu s učením Modistů</w:t>
      </w:r>
      <w:r>
        <w:fldChar w:fldCharType="begin"/>
      </w:r>
      <w:r>
        <w:instrText xml:space="preserve"> XE "první averroismus:</w:instrText>
      </w:r>
      <w:r w:rsidRPr="00290367">
        <w:instrText>Modisté</w:instrText>
      </w:r>
      <w:r>
        <w:instrText xml:space="preserve">" </w:instrText>
      </w:r>
      <w:r>
        <w:fldChar w:fldCharType="end"/>
      </w:r>
      <w:r w:rsidR="007D1A5A">
        <w:t>. Jejich argumentaci h</w:t>
      </w:r>
      <w:r>
        <w:t>ájí také Akvinský v ú</w:t>
      </w:r>
      <w:r w:rsidRPr="00273106">
        <w:t>vod</w:t>
      </w:r>
      <w:r>
        <w:t>u</w:t>
      </w:r>
      <w:r w:rsidRPr="00273106">
        <w:t xml:space="preserve"> do </w:t>
      </w:r>
      <w:r w:rsidRPr="089421D6">
        <w:rPr>
          <w:i/>
        </w:rPr>
        <w:t>Teologické summy</w:t>
      </w:r>
      <w:r>
        <w:t xml:space="preserve">. </w:t>
      </w:r>
      <w:r>
        <w:lastRenderedPageBreak/>
        <w:t xml:space="preserve">Poznání </w:t>
      </w:r>
      <w:r w:rsidRPr="00273106">
        <w:t xml:space="preserve">boha </w:t>
      </w:r>
      <w:r>
        <w:t xml:space="preserve">existuje ve dvou modech </w:t>
      </w:r>
      <w:r w:rsidR="00981F81">
        <w:t>„</w:t>
      </w:r>
      <w:r w:rsidRPr="00273106">
        <w:rPr>
          <w:i/>
        </w:rPr>
        <w:t>secundum se</w:t>
      </w:r>
      <w:r w:rsidR="00981F81">
        <w:rPr>
          <w:i/>
        </w:rPr>
        <w:t xml:space="preserve">“ </w:t>
      </w:r>
      <w:r w:rsidR="00981F81" w:rsidRPr="00981F81">
        <w:t>a</w:t>
      </w:r>
      <w:r w:rsidRPr="00981F81">
        <w:t xml:space="preserve"> </w:t>
      </w:r>
      <w:r w:rsidR="00981F81">
        <w:t>„</w:t>
      </w:r>
      <w:r w:rsidRPr="00273106">
        <w:rPr>
          <w:i/>
        </w:rPr>
        <w:t>quoad nos</w:t>
      </w:r>
      <w:r w:rsidR="00981F81">
        <w:t>“</w:t>
      </w:r>
      <w:r w:rsidRPr="00273106">
        <w:t>.</w:t>
      </w:r>
      <w:r>
        <w:rPr>
          <w:rStyle w:val="Znakapoznpodarou"/>
        </w:rPr>
        <w:footnoteReference w:id="410"/>
      </w:r>
      <w:r>
        <w:t xml:space="preserve"> V modu </w:t>
      </w:r>
      <w:r w:rsidR="00B43BB7">
        <w:t>„</w:t>
      </w:r>
      <w:r w:rsidRPr="00AE5974">
        <w:rPr>
          <w:i/>
        </w:rPr>
        <w:t>secundum se</w:t>
      </w:r>
      <w:r w:rsidR="00B43BB7">
        <w:t>“</w:t>
      </w:r>
      <w:r w:rsidR="00801C70">
        <w:t xml:space="preserve"> je pro nás bůh nepoznatelný. Moderní antropomorfizace b</w:t>
      </w:r>
      <w:r w:rsidR="00801C70" w:rsidRPr="00801C70">
        <w:t>oha není vědeckým důkazem božské existence, která existu</w:t>
      </w:r>
      <w:r w:rsidR="00801C70">
        <w:t xml:space="preserve">je na základě kauzality. Pak zbývá </w:t>
      </w:r>
      <w:r w:rsidR="00801C70" w:rsidRPr="00801C70">
        <w:t>buď dogm</w:t>
      </w:r>
      <w:r w:rsidR="00801C70">
        <w:t xml:space="preserve">atická mytologie </w:t>
      </w:r>
      <w:r w:rsidR="00A3340E">
        <w:t xml:space="preserve">podle </w:t>
      </w:r>
      <w:r w:rsidR="00801C70">
        <w:t xml:space="preserve">dialogu </w:t>
      </w:r>
      <w:r w:rsidR="00801C70" w:rsidRPr="00801C70">
        <w:rPr>
          <w:i/>
        </w:rPr>
        <w:t>Timaios</w:t>
      </w:r>
      <w:r w:rsidR="00801C70" w:rsidRPr="00801C70">
        <w:t xml:space="preserve">, nebo </w:t>
      </w:r>
      <w:r w:rsidR="00801C70">
        <w:t xml:space="preserve">rodově odlišné poznání teologie. </w:t>
      </w:r>
      <w:r>
        <w:t>P</w:t>
      </w:r>
      <w:r w:rsidRPr="00273106">
        <w:t xml:space="preserve">rvní averroismus </w:t>
      </w:r>
      <w:r>
        <w:t>nemohl udělat antropomorfizaci boha</w:t>
      </w:r>
      <w:r w:rsidRPr="00273106">
        <w:t xml:space="preserve">, protože z hlediska kritického podání </w:t>
      </w:r>
      <w:r w:rsidRPr="08530457">
        <w:rPr>
          <w:i/>
        </w:rPr>
        <w:t>Druhých analytik</w:t>
      </w:r>
      <w:r w:rsidRPr="00273106">
        <w:t xml:space="preserve"> a spisu </w:t>
      </w:r>
      <w:r>
        <w:rPr>
          <w:i/>
        </w:rPr>
        <w:t>De anima</w:t>
      </w:r>
      <w:r w:rsidRPr="00273106">
        <w:t xml:space="preserve"> znal boží esenci pouze nepřímo (</w:t>
      </w:r>
      <w:r w:rsidRPr="00273106">
        <w:rPr>
          <w:i/>
        </w:rPr>
        <w:t>quoad nos</w:t>
      </w:r>
      <w:r w:rsidRPr="00273106">
        <w:t xml:space="preserve">), tedy pouze ve formě svrchované </w:t>
      </w:r>
      <w:r w:rsidRPr="00273106">
        <w:rPr>
          <w:i/>
        </w:rPr>
        <w:t>causa prima</w:t>
      </w:r>
      <w:r>
        <w:rPr>
          <w:i/>
        </w:rPr>
        <w:fldChar w:fldCharType="begin"/>
      </w:r>
      <w:r>
        <w:instrText xml:space="preserve"> XE "</w:instrText>
      </w:r>
      <w:r w:rsidRPr="00EC783C">
        <w:rPr>
          <w:i/>
          <w:color w:val="000000"/>
        </w:rPr>
        <w:instrText>causa prima</w:instrText>
      </w:r>
      <w:r>
        <w:instrText xml:space="preserve">" </w:instrText>
      </w:r>
      <w:r>
        <w:rPr>
          <w:i/>
        </w:rPr>
        <w:fldChar w:fldCharType="end"/>
      </w:r>
      <w:r w:rsidR="00B83AC7">
        <w:t>.</w:t>
      </w:r>
    </w:p>
    <w:p w:rsidR="00F65155" w:rsidRDefault="08163013" w:rsidP="00801C70">
      <w:pPr>
        <w:ind w:firstLine="397"/>
      </w:pPr>
      <w:r>
        <w:t xml:space="preserve">Henry z </w:t>
      </w:r>
      <w:proofErr w:type="gramStart"/>
      <w:r>
        <w:t>Gentu</w:t>
      </w:r>
      <w:proofErr w:type="gramEnd"/>
      <w:r>
        <w:t xml:space="preserve"> vzal</w:t>
      </w:r>
      <w:r w:rsidRPr="00273106">
        <w:t xml:space="preserve"> imanentní sféru boží seberef</w:t>
      </w:r>
      <w:r>
        <w:t>lexe a udělal</w:t>
      </w:r>
      <w:r w:rsidRPr="00273106">
        <w:t xml:space="preserve"> z ní podle duality Bonaventurových regulí (</w:t>
      </w:r>
      <w:r w:rsidRPr="00273106">
        <w:rPr>
          <w:i/>
        </w:rPr>
        <w:t>regula agentis in/creati</w:t>
      </w:r>
      <w:r>
        <w:rPr>
          <w:i/>
        </w:rPr>
        <w:fldChar w:fldCharType="begin"/>
      </w:r>
      <w:r>
        <w:instrText xml:space="preserve"> XE "</w:instrText>
      </w:r>
      <w:r w:rsidRPr="00A9252A">
        <w:instrText>regule</w:instrText>
      </w:r>
      <w:r>
        <w:rPr>
          <w:i/>
        </w:rPr>
        <w:instrText>:</w:instrText>
      </w:r>
      <w:r w:rsidRPr="000E37A2">
        <w:rPr>
          <w:i/>
        </w:rPr>
        <w:instrText>agentis in/creati</w:instrText>
      </w:r>
      <w:r>
        <w:instrText xml:space="preserve">" </w:instrText>
      </w:r>
      <w:r>
        <w:rPr>
          <w:i/>
        </w:rPr>
        <w:fldChar w:fldCharType="end"/>
      </w:r>
      <w:r w:rsidRPr="00273106">
        <w:t xml:space="preserve">) novou formu demiurgické subjektivity. </w:t>
      </w:r>
      <w:r>
        <w:t>Moderní bůh dostal exemplární intencionalitu napojenou na stvořitelskou vůli a intelekt</w:t>
      </w:r>
      <w:r w:rsidR="000468B1">
        <w:t>. T</w:t>
      </w:r>
      <w:r>
        <w:t>ím je v sobě schizofrenicky rozdělen na intimní bytí a na objektivní racionální uvažování. D</w:t>
      </w:r>
      <w:r w:rsidRPr="00273106">
        <w:t>ůvod této interpretace nebyl primárně filosofický, ale teologický.</w:t>
      </w:r>
      <w:r w:rsidRPr="08B93BD8">
        <w:rPr>
          <w:rStyle w:val="TextpoznpodarouChar"/>
        </w:rPr>
        <w:t xml:space="preserve"> </w:t>
      </w:r>
      <w:r w:rsidRPr="00273106">
        <w:t xml:space="preserve">První forma </w:t>
      </w:r>
      <w:r>
        <w:t xml:space="preserve">predikace v rámci </w:t>
      </w:r>
      <w:r w:rsidRPr="00273106">
        <w:rPr>
          <w:i/>
        </w:rPr>
        <w:t>relatio</w:t>
      </w:r>
      <w:r>
        <w:t xml:space="preserve"> před recepcí Simplik</w:t>
      </w:r>
      <w:r w:rsidRPr="00273106">
        <w:t xml:space="preserve">iova komentáře ke </w:t>
      </w:r>
      <w:r w:rsidRPr="085E14FD">
        <w:rPr>
          <w:i/>
        </w:rPr>
        <w:t>Kategoriím</w:t>
      </w:r>
      <w:r>
        <w:t xml:space="preserve"> běžela podle scénáře </w:t>
      </w:r>
      <w:r w:rsidRPr="00C354EF">
        <w:rPr>
          <w:i/>
        </w:rPr>
        <w:t>Nominales</w:t>
      </w:r>
      <w:r w:rsidRPr="00273106">
        <w:t>. Pierre d'Auvergne (Petrus de Alvernia</w:t>
      </w:r>
      <w:r>
        <w:fldChar w:fldCharType="begin"/>
      </w:r>
      <w:r>
        <w:instrText xml:space="preserve"> XE "</w:instrText>
      </w:r>
      <w:r w:rsidRPr="000811E6">
        <w:instrText>Petrus de Alvernia</w:instrText>
      </w:r>
      <w:r>
        <w:instrText xml:space="preserve">" </w:instrText>
      </w:r>
      <w:r>
        <w:fldChar w:fldCharType="end"/>
      </w:r>
      <w:r w:rsidRPr="00273106">
        <w:t xml:space="preserve">, </w:t>
      </w:r>
      <w:r>
        <w:t>†</w:t>
      </w:r>
      <w:r w:rsidRPr="00273106">
        <w:t>1304) píše komentář</w:t>
      </w:r>
      <w:r>
        <w:t xml:space="preserve"> ke </w:t>
      </w:r>
      <w:r w:rsidRPr="085E14FD">
        <w:rPr>
          <w:i/>
        </w:rPr>
        <w:t>Kategoriím</w:t>
      </w:r>
      <w:r>
        <w:t xml:space="preserve"> někdy po roce 1270. Určení v rámci </w:t>
      </w:r>
      <w:r w:rsidRPr="00273106">
        <w:rPr>
          <w:i/>
        </w:rPr>
        <w:t>relatio</w:t>
      </w:r>
      <w:r>
        <w:rPr>
          <w:i/>
        </w:rPr>
        <w:fldChar w:fldCharType="begin"/>
      </w:r>
      <w:r>
        <w:instrText xml:space="preserve"> XE "</w:instrText>
      </w:r>
      <w:r w:rsidRPr="00714403">
        <w:rPr>
          <w:i/>
        </w:rPr>
        <w:instrText>relatio</w:instrText>
      </w:r>
      <w:r>
        <w:instrText xml:space="preserve">" </w:instrText>
      </w:r>
      <w:r>
        <w:rPr>
          <w:i/>
        </w:rPr>
        <w:fldChar w:fldCharType="end"/>
      </w:r>
      <w:r w:rsidRPr="00273106">
        <w:t xml:space="preserve"> přidá k</w:t>
      </w:r>
      <w:r>
        <w:t xml:space="preserve"> univerzálnímu vztahu mezi hypostázovaným rodem a </w:t>
      </w:r>
      <w:r w:rsidR="00962190" w:rsidRPr="007970B3">
        <w:t>species</w:t>
      </w:r>
      <w:r>
        <w:t>, místo aby jej predikoval jako akcident vzhledem ke druhé substanci</w:t>
      </w:r>
      <w:r w:rsidRPr="00273106">
        <w:t>.</w:t>
      </w:r>
      <w:r w:rsidRPr="00273106">
        <w:rPr>
          <w:rStyle w:val="Znakapoznpodarou"/>
        </w:rPr>
        <w:footnoteReference w:id="411"/>
      </w:r>
      <w:r w:rsidRPr="00273106">
        <w:t xml:space="preserve"> Pro druhé averroisty </w:t>
      </w:r>
      <w:r w:rsidR="00D60CB0">
        <w:t xml:space="preserve">uvažující </w:t>
      </w:r>
      <w:r>
        <w:t xml:space="preserve">v rámci </w:t>
      </w:r>
      <w:r>
        <w:rPr>
          <w:i/>
        </w:rPr>
        <w:t>Oxfordian Fal</w:t>
      </w:r>
      <w:r w:rsidRPr="002736AD">
        <w:rPr>
          <w:i/>
        </w:rPr>
        <w:t>l</w:t>
      </w:r>
      <w:r>
        <w:rPr>
          <w:i/>
        </w:rPr>
        <w:t>a</w:t>
      </w:r>
      <w:r w:rsidRPr="002736AD">
        <w:rPr>
          <w:i/>
        </w:rPr>
        <w:t>cy</w:t>
      </w:r>
      <w:r>
        <w:rPr>
          <w:i/>
        </w:rPr>
        <w:fldChar w:fldCharType="begin"/>
      </w:r>
      <w:r>
        <w:instrText xml:space="preserve"> XE "</w:instrText>
      </w:r>
      <w:r w:rsidRPr="0015798D">
        <w:rPr>
          <w:i/>
        </w:rPr>
        <w:instrText>Oxfordian Fallacy:</w:instrText>
      </w:r>
      <w:r w:rsidRPr="0093026C">
        <w:instrText>druhý averroismus</w:instrText>
      </w:r>
      <w:r>
        <w:instrText xml:space="preserve">" </w:instrText>
      </w:r>
      <w:r>
        <w:rPr>
          <w:i/>
        </w:rPr>
        <w:fldChar w:fldCharType="end"/>
      </w:r>
      <w:r>
        <w:t xml:space="preserve"> </w:t>
      </w:r>
      <w:r w:rsidRPr="00273106">
        <w:t xml:space="preserve">je vztah na úrovni </w:t>
      </w:r>
      <w:r w:rsidR="00962190">
        <w:rPr>
          <w:i/>
        </w:rPr>
        <w:t>species</w:t>
      </w:r>
      <w:r w:rsidRPr="00273106">
        <w:t xml:space="preserve"> </w:t>
      </w:r>
      <w:r>
        <w:t>a esencí daných jako kvazi-substance</w:t>
      </w:r>
      <w:r w:rsidRPr="00273106">
        <w:t xml:space="preserve"> už reálný</w:t>
      </w:r>
      <w:r>
        <w:t xml:space="preserve"> a kauzální (</w:t>
      </w:r>
      <w:r w:rsidRPr="00FA1C1A">
        <w:rPr>
          <w:i/>
        </w:rPr>
        <w:t>dicitur res naturalis, cum a natura talium rerum causetur</w:t>
      </w:r>
      <w:r>
        <w:t xml:space="preserve">). Proto </w:t>
      </w:r>
      <w:r w:rsidRPr="00273106">
        <w:t xml:space="preserve">není </w:t>
      </w:r>
      <w:r>
        <w:t xml:space="preserve">kategorie vztahu </w:t>
      </w:r>
      <w:r w:rsidRPr="00273106">
        <w:t>dán</w:t>
      </w:r>
      <w:r>
        <w:t>a</w:t>
      </w:r>
      <w:r w:rsidRPr="00273106">
        <w:t xml:space="preserve"> pouze v mysli</w:t>
      </w:r>
      <w:r>
        <w:t xml:space="preserve"> jako akcident určující význam univerzální druhé substance, ale má hypostázovanou kauzalitu a esenci, která působí i kauzálně</w:t>
      </w:r>
      <w:r w:rsidRPr="00273106">
        <w:t>.</w:t>
      </w:r>
      <w:r>
        <w:t xml:space="preserve"> </w:t>
      </w:r>
      <w:r w:rsidRPr="00273106">
        <w:t xml:space="preserve">Hermeneutiku </w:t>
      </w:r>
      <w:r>
        <w:t xml:space="preserve">zásadně </w:t>
      </w:r>
      <w:r w:rsidRPr="00273106">
        <w:t xml:space="preserve">zajímá </w:t>
      </w:r>
      <w:r>
        <w:t xml:space="preserve">toto ontoteologické přivlastnění jsoucna v první exemplární formě </w:t>
      </w:r>
      <w:r w:rsidRPr="08586C80">
        <w:rPr>
          <w:i/>
        </w:rPr>
        <w:t>dativus posses</w:t>
      </w:r>
      <w:r>
        <w:rPr>
          <w:i/>
        </w:rPr>
        <w:t>si</w:t>
      </w:r>
      <w:r w:rsidRPr="08586C80">
        <w:rPr>
          <w:i/>
        </w:rPr>
        <w:t>vus</w:t>
      </w:r>
      <w:r>
        <w:rPr>
          <w:i/>
        </w:rPr>
        <w:fldChar w:fldCharType="begin"/>
      </w:r>
      <w:r>
        <w:instrText xml:space="preserve"> XE "</w:instrText>
      </w:r>
      <w:r w:rsidRPr="081F1208">
        <w:rPr>
          <w:i/>
        </w:rPr>
        <w:instrText>dativus possessivus</w:instrText>
      </w:r>
      <w:r>
        <w:instrText xml:space="preserve">" </w:instrText>
      </w:r>
      <w:r>
        <w:rPr>
          <w:i/>
        </w:rPr>
        <w:fldChar w:fldCharType="end"/>
      </w:r>
      <w:r>
        <w:t>. Z</w:t>
      </w:r>
      <w:r w:rsidRPr="00273106">
        <w:t xml:space="preserve">asazení </w:t>
      </w:r>
      <w:r>
        <w:t xml:space="preserve">jsoucna </w:t>
      </w:r>
      <w:r w:rsidRPr="00273106">
        <w:t>do systému objektivně koncipované ontoteologie</w:t>
      </w:r>
      <w:r>
        <w:t xml:space="preserve"> </w:t>
      </w:r>
      <w:r>
        <w:lastRenderedPageBreak/>
        <w:t xml:space="preserve">změnilo </w:t>
      </w:r>
      <w:r w:rsidRPr="00273106">
        <w:t>Olivi</w:t>
      </w:r>
      <w:r>
        <w:t xml:space="preserve">ho voluntaristické </w:t>
      </w:r>
      <w:r w:rsidRPr="00273106">
        <w:t xml:space="preserve">spojení </w:t>
      </w:r>
      <w:r w:rsidRPr="00273106">
        <w:rPr>
          <w:i/>
        </w:rPr>
        <w:t>dativus possessivus</w:t>
      </w:r>
      <w:r w:rsidRPr="00273106">
        <w:t xml:space="preserve"> a </w:t>
      </w:r>
      <w:r w:rsidRPr="00273106">
        <w:rPr>
          <w:i/>
        </w:rPr>
        <w:t>dativus auctoris</w:t>
      </w:r>
      <w:r>
        <w:rPr>
          <w:i/>
        </w:rPr>
        <w:fldChar w:fldCharType="begin"/>
      </w:r>
      <w:r>
        <w:instrText xml:space="preserve"> XE "</w:instrText>
      </w:r>
      <w:r w:rsidRPr="00C5228F">
        <w:rPr>
          <w:i/>
          <w:iCs/>
        </w:rPr>
        <w:instrText>dativus auctoris</w:instrText>
      </w:r>
      <w:r>
        <w:instrText xml:space="preserve">" </w:instrText>
      </w:r>
      <w:r>
        <w:rPr>
          <w:i/>
        </w:rPr>
        <w:fldChar w:fldCharType="end"/>
      </w:r>
      <w:r>
        <w:t xml:space="preserve"> a vytvořilo objektivní </w:t>
      </w:r>
      <w:r w:rsidRPr="005E2C52">
        <w:rPr>
          <w:i/>
        </w:rPr>
        <w:t>resolutio</w:t>
      </w:r>
      <w:r>
        <w:rPr>
          <w:i/>
        </w:rPr>
        <w:fldChar w:fldCharType="begin"/>
      </w:r>
      <w:r>
        <w:instrText xml:space="preserve"> XE "</w:instrText>
      </w:r>
      <w:r w:rsidRPr="00111E9E">
        <w:rPr>
          <w:i/>
        </w:rPr>
        <w:instrText>resolutio</w:instrText>
      </w:r>
      <w:r>
        <w:rPr>
          <w:i/>
        </w:rPr>
        <w:instrText>:</w:instrText>
      </w:r>
      <w:r w:rsidRPr="007D3515">
        <w:instrText>Gandavus</w:instrText>
      </w:r>
      <w:r>
        <w:instrText xml:space="preserve">" </w:instrText>
      </w:r>
      <w:r>
        <w:rPr>
          <w:i/>
        </w:rPr>
        <w:fldChar w:fldCharType="end"/>
      </w:r>
      <w:r>
        <w:t xml:space="preserve"> nové metafyziky</w:t>
      </w:r>
      <w:r w:rsidRPr="00273106">
        <w:t>.</w:t>
      </w:r>
    </w:p>
    <w:p w:rsidR="002E2A6F" w:rsidRDefault="08163013" w:rsidP="0023136A">
      <w:pPr>
        <w:ind w:firstLine="397"/>
      </w:pPr>
      <w:r>
        <w:t xml:space="preserve">Gandavovo dílo </w:t>
      </w:r>
      <w:r w:rsidRPr="00273106">
        <w:rPr>
          <w:i/>
        </w:rPr>
        <w:t>Quodlibet</w:t>
      </w:r>
      <w:r w:rsidRPr="00273106">
        <w:t xml:space="preserve"> IX </w:t>
      </w:r>
      <w:r>
        <w:t xml:space="preserve">psané asi roku </w:t>
      </w:r>
      <w:r w:rsidRPr="00273106">
        <w:t>1286 je inspirováno Simplik</w:t>
      </w:r>
      <w:r>
        <w:t xml:space="preserve">iovým komentářem ke </w:t>
      </w:r>
      <w:r w:rsidRPr="08F87D69">
        <w:rPr>
          <w:i/>
        </w:rPr>
        <w:t>Kategoriím</w:t>
      </w:r>
      <w:r>
        <w:t xml:space="preserve"> podle Moerbekeho latinského překladu</w:t>
      </w:r>
      <w:r>
        <w:fldChar w:fldCharType="begin"/>
      </w:r>
      <w:r>
        <w:instrText xml:space="preserve"> XE "</w:instrText>
      </w:r>
      <w:r w:rsidRPr="00753DEE">
        <w:instrText>Moerbeke, W.</w:instrText>
      </w:r>
      <w:r>
        <w:instrText xml:space="preserve">" </w:instrText>
      </w:r>
      <w:r>
        <w:fldChar w:fldCharType="end"/>
      </w:r>
      <w:r>
        <w:t xml:space="preserve">. Připomeňme klíčovou část Simplikiova komentáře, která zakládá první transcendentální určení jsoucna v modu </w:t>
      </w:r>
      <w:r w:rsidR="004F6526">
        <w:t>„</w:t>
      </w:r>
      <w:r w:rsidRPr="083770B4">
        <w:rPr>
          <w:i/>
        </w:rPr>
        <w:t>esse ad</w:t>
      </w:r>
      <w:r w:rsidR="004F6526">
        <w:t>“</w:t>
      </w:r>
      <w:r>
        <w:t xml:space="preserve"> (</w:t>
      </w:r>
      <w:r w:rsidR="005A3002">
        <w:t xml:space="preserve">OBJ I, </w:t>
      </w:r>
      <w:r>
        <w:t>kap. 1.3.2)</w:t>
      </w:r>
      <w:r>
        <w:rPr>
          <w:i/>
        </w:rPr>
        <w:fldChar w:fldCharType="begin"/>
      </w:r>
      <w:r>
        <w:instrText xml:space="preserve"> XE "</w:instrText>
      </w:r>
      <w:r w:rsidRPr="008F3381">
        <w:rPr>
          <w:i/>
        </w:rPr>
        <w:instrText xml:space="preserve">esse </w:instrText>
      </w:r>
      <w:proofErr w:type="gramStart"/>
      <w:r w:rsidRPr="008F3381">
        <w:rPr>
          <w:i/>
        </w:rPr>
        <w:instrText>ad</w:instrText>
      </w:r>
      <w:proofErr w:type="gramEnd"/>
      <w:r w:rsidRPr="008F3381">
        <w:rPr>
          <w:i/>
        </w:rPr>
        <w:instrText>:</w:instrText>
      </w:r>
      <w:r w:rsidRPr="008F3381">
        <w:instrText>Simplikius</w:instrText>
      </w:r>
      <w:r>
        <w:instrText xml:space="preserve">" </w:instrText>
      </w:r>
      <w:r>
        <w:rPr>
          <w:i/>
        </w:rPr>
        <w:fldChar w:fldCharType="end"/>
      </w:r>
      <w:r>
        <w:t xml:space="preserve">. Absolutizací vztahu jako neoplatonského rodu bytí nadřazeného všem kategoriím vzniká u Simplikia kategoriální určení objektivity v modu </w:t>
      </w:r>
      <w:r w:rsidRPr="00435F33">
        <w:rPr>
          <w:i/>
        </w:rPr>
        <w:t>absolute</w:t>
      </w:r>
      <w:r>
        <w:rPr>
          <w:i/>
        </w:rPr>
        <w:fldChar w:fldCharType="begin"/>
      </w:r>
      <w:r>
        <w:instrText xml:space="preserve"> XE "predikace:</w:instrText>
      </w:r>
      <w:r w:rsidRPr="00F1446E">
        <w:instrText>modu</w:instrText>
      </w:r>
      <w:r>
        <w:instrText>s</w:instrText>
      </w:r>
      <w:r w:rsidRPr="00F1446E">
        <w:instrText xml:space="preserve"> </w:instrText>
      </w:r>
      <w:r w:rsidRPr="00F1446E">
        <w:rPr>
          <w:i/>
        </w:rPr>
        <w:instrText>absolute</w:instrText>
      </w:r>
      <w:r>
        <w:instrText xml:space="preserve">" </w:instrText>
      </w:r>
      <w:r>
        <w:rPr>
          <w:i/>
        </w:rPr>
        <w:fldChar w:fldCharType="end"/>
      </w:r>
      <w:r>
        <w:t xml:space="preserve"> a </w:t>
      </w:r>
      <w:r w:rsidRPr="00435F33">
        <w:rPr>
          <w:i/>
        </w:rPr>
        <w:t>simpliciter</w:t>
      </w:r>
      <w:r>
        <w:t>.</w:t>
      </w:r>
      <w:r w:rsidRPr="085A3FFA">
        <w:t xml:space="preserve"> </w:t>
      </w:r>
      <w:r>
        <w:t xml:space="preserve">Simplikius změnil akcidenciální predikaci pro kategorii zvanou </w:t>
      </w:r>
      <w:r w:rsidRPr="00321E39">
        <w:rPr>
          <w:i/>
        </w:rPr>
        <w:t>habitus</w:t>
      </w:r>
      <w:r>
        <w:t xml:space="preserve">. Objektivní </w:t>
      </w:r>
      <w:r w:rsidRPr="00273106">
        <w:t>určení habitu změnil</w:t>
      </w:r>
      <w:r>
        <w:t>o</w:t>
      </w:r>
      <w:r w:rsidRPr="00273106">
        <w:t xml:space="preserve"> aristotelské akcidentální určení substance na </w:t>
      </w:r>
      <w:r>
        <w:t>neoplatonsk</w:t>
      </w:r>
      <w:r w:rsidRPr="00273106">
        <w:t>é rodové určení jsoucna dané esenciálně.</w:t>
      </w:r>
      <w:r>
        <w:t xml:space="preserve"> Citovali jsme klíčovou pasáž komentáře ke </w:t>
      </w:r>
      <w:r w:rsidRPr="087C437D">
        <w:rPr>
          <w:i/>
        </w:rPr>
        <w:t>Kategoriím</w:t>
      </w:r>
      <w:r>
        <w:t>, v níž Simplikius přeměňuje habitus jako akcident na neoplatonsky pojatý habitus-esenci. Tento habitus pak kategoriálně predikuje na úrovni Aristotelovy druhé substance (</w:t>
      </w:r>
      <w:r>
        <w:rPr>
          <w:i/>
        </w:rPr>
        <w:t>In Simpl. C</w:t>
      </w:r>
      <w:r w:rsidRPr="00CE7C02">
        <w:rPr>
          <w:i/>
        </w:rPr>
        <w:t>at</w:t>
      </w:r>
      <w:r>
        <w:t>. 163.31</w:t>
      </w:r>
      <w:r>
        <w:rPr>
          <w:rStyle w:val="TextpoznpodarouChar"/>
        </w:rPr>
        <w:fldChar w:fldCharType="begin"/>
      </w:r>
      <w:r>
        <w:instrText xml:space="preserve"> XE "Simplikius:</w:instrText>
      </w:r>
      <w:r w:rsidRPr="00547111">
        <w:rPr>
          <w:rStyle w:val="TextpoznpodarouChar"/>
          <w:i/>
        </w:rPr>
        <w:instrText>In Simpl. Cat</w:instrText>
      </w:r>
      <w:r>
        <w:rPr>
          <w:rStyle w:val="TextpoznpodarouChar"/>
        </w:rPr>
        <w:instrText>. 163</w:instrText>
      </w:r>
      <w:r w:rsidRPr="00547111">
        <w:rPr>
          <w:rStyle w:val="TextpoznpodarouChar"/>
        </w:rPr>
        <w:instrText>.</w:instrText>
      </w:r>
      <w:r>
        <w:rPr>
          <w:rStyle w:val="TextpoznpodarouChar"/>
        </w:rPr>
        <w:instrText>31</w:instrText>
      </w:r>
      <w:r>
        <w:instrText xml:space="preserve">" </w:instrText>
      </w:r>
      <w:r>
        <w:rPr>
          <w:rStyle w:val="TextpoznpodarouChar"/>
        </w:rPr>
        <w:fldChar w:fldCharType="end"/>
      </w:r>
      <w:r>
        <w:t xml:space="preserve">). </w:t>
      </w:r>
      <w:r w:rsidRPr="00273106">
        <w:t xml:space="preserve">Předchozí </w:t>
      </w:r>
      <w:r>
        <w:t>matrice ukázaly</w:t>
      </w:r>
      <w:r w:rsidRPr="00273106">
        <w:t xml:space="preserve">, že </w:t>
      </w:r>
      <w:r>
        <w:t xml:space="preserve">kategorie zvaná </w:t>
      </w:r>
      <w:r w:rsidRPr="00273106">
        <w:rPr>
          <w:i/>
        </w:rPr>
        <w:t>habitus</w:t>
      </w:r>
      <w:r w:rsidRPr="00273106">
        <w:t xml:space="preserve"> určuje věc v její čisté esenciální identitě a v </w:t>
      </w:r>
      <w:r>
        <w:t>minimální porci jsoucnosti</w:t>
      </w:r>
      <w:r w:rsidRPr="00273106">
        <w:t>.</w:t>
      </w:r>
      <w:r>
        <w:t xml:space="preserve"> </w:t>
      </w:r>
      <w:r w:rsidRPr="00273106">
        <w:t xml:space="preserve">Henry potřebuje </w:t>
      </w:r>
      <w:r>
        <w:t xml:space="preserve">pro moderní teologii </w:t>
      </w:r>
      <w:r w:rsidRPr="00273106">
        <w:t>přetvořit vztah substance a akcidentu podle neoplatonismu</w:t>
      </w:r>
      <w:r>
        <w:t>, protože v</w:t>
      </w:r>
      <w:r w:rsidR="00D31A76">
        <w:t xml:space="preserve"> moderním </w:t>
      </w:r>
      <w:r>
        <w:t xml:space="preserve">bohu </w:t>
      </w:r>
      <w:r w:rsidR="0023136A">
        <w:t xml:space="preserve">je založen </w:t>
      </w:r>
      <w:r>
        <w:t xml:space="preserve">diakosmos substancí třetího druhu. V primární sféře boží </w:t>
      </w:r>
      <w:r w:rsidR="00D31A76">
        <w:t xml:space="preserve">intencionality </w:t>
      </w:r>
      <w:r>
        <w:t xml:space="preserve">musí fungovat archetypický a exemplární </w:t>
      </w:r>
      <w:r w:rsidRPr="08B559A9">
        <w:rPr>
          <w:i/>
        </w:rPr>
        <w:t>locus specierum</w:t>
      </w:r>
      <w:r>
        <w:rPr>
          <w:i/>
        </w:rPr>
        <w:fldChar w:fldCharType="begin"/>
      </w:r>
      <w:r>
        <w:instrText xml:space="preserve"> XE "</w:instrText>
      </w:r>
      <w:r w:rsidRPr="0897740A">
        <w:rPr>
          <w:i/>
        </w:rPr>
        <w:instrText>locus specierum</w:instrText>
      </w:r>
      <w:r>
        <w:instrText xml:space="preserve">" </w:instrText>
      </w:r>
      <w:r>
        <w:rPr>
          <w:i/>
        </w:rPr>
        <w:fldChar w:fldCharType="end"/>
      </w:r>
      <w:r>
        <w:t xml:space="preserve">. Řemeslník v dialogu </w:t>
      </w:r>
      <w:r w:rsidRPr="08535C70">
        <w:rPr>
          <w:i/>
        </w:rPr>
        <w:t>Timaios</w:t>
      </w:r>
      <w:r>
        <w:t xml:space="preserve"> má k tvorbě matematické ideje a geometrické formy, které drží nejprve ve své mysli a pak vtiskuje do inteligibilní materie třetího druhu. Bůh si nosí zásobárnu objektivních jsoucen třetího druhu všude a věčně s sebou, stejně jako moderní individuum vybavené augustiniánskou </w:t>
      </w:r>
      <w:r w:rsidRPr="0830484A">
        <w:rPr>
          <w:i/>
        </w:rPr>
        <w:t>memoria</w:t>
      </w:r>
      <w:r>
        <w:t xml:space="preserve"> a digitálním </w:t>
      </w:r>
      <w:r w:rsidRPr="08601E76">
        <w:rPr>
          <w:i/>
        </w:rPr>
        <w:t>cloud computing</w:t>
      </w:r>
      <w:r>
        <w:rPr>
          <w:i/>
        </w:rPr>
        <w:fldChar w:fldCharType="begin"/>
      </w:r>
      <w:r>
        <w:instrText xml:space="preserve"> XE "</w:instrText>
      </w:r>
      <w:r w:rsidRPr="00E1232A">
        <w:rPr>
          <w:i/>
        </w:rPr>
        <w:instrText>cloud computing</w:instrText>
      </w:r>
      <w:r>
        <w:instrText xml:space="preserve">" </w:instrText>
      </w:r>
      <w:r>
        <w:rPr>
          <w:i/>
        </w:rPr>
        <w:fldChar w:fldCharType="end"/>
      </w:r>
      <w:r>
        <w:t xml:space="preserve">. V bohu </w:t>
      </w:r>
      <w:r w:rsidR="00712D28">
        <w:t xml:space="preserve">jsou objektivní </w:t>
      </w:r>
      <w:r>
        <w:t xml:space="preserve">jsoucna </w:t>
      </w:r>
      <w:r w:rsidR="00712D28">
        <w:t xml:space="preserve">dána </w:t>
      </w:r>
      <w:r>
        <w:t xml:space="preserve">v modu </w:t>
      </w:r>
      <w:r w:rsidR="00802285">
        <w:t>„</w:t>
      </w:r>
      <w:r w:rsidRPr="08535C70">
        <w:rPr>
          <w:i/>
        </w:rPr>
        <w:t>semel</w:t>
      </w:r>
      <w:r>
        <w:t>‒</w:t>
      </w:r>
      <w:r w:rsidRPr="08535C70">
        <w:rPr>
          <w:i/>
        </w:rPr>
        <w:t>semper</w:t>
      </w:r>
      <w:r w:rsidR="00802285">
        <w:t>“</w:t>
      </w:r>
      <w:r>
        <w:t xml:space="preserve">, protože moderní individuum je omezené a smrtelné. </w:t>
      </w:r>
      <w:r w:rsidRPr="00273106">
        <w:t xml:space="preserve">Ale v bohu jako čistému bytí </w:t>
      </w:r>
      <w:r w:rsidRPr="00273106">
        <w:rPr>
          <w:i/>
        </w:rPr>
        <w:t>per se</w:t>
      </w:r>
      <w:r w:rsidRPr="00273106">
        <w:t xml:space="preserve"> nemůže existovat kategoriální rozdíl mezi substancí a akcidentem. </w:t>
      </w:r>
      <w:r w:rsidR="00701117">
        <w:t xml:space="preserve">Aristotelský </w:t>
      </w:r>
      <w:r>
        <w:t>s</w:t>
      </w:r>
      <w:r w:rsidRPr="00273106">
        <w:t xml:space="preserve">pis </w:t>
      </w:r>
      <w:r w:rsidRPr="08530457">
        <w:rPr>
          <w:i/>
        </w:rPr>
        <w:t>Kategorie</w:t>
      </w:r>
      <w:r w:rsidRPr="00273106">
        <w:t xml:space="preserve"> zásadně odlišuje jinakovost jsoucna daného substančně </w:t>
      </w:r>
      <w:r w:rsidRPr="00273106">
        <w:rPr>
          <w:i/>
        </w:rPr>
        <w:t>per se</w:t>
      </w:r>
      <w:r w:rsidRPr="00273106">
        <w:t xml:space="preserve"> a případkově </w:t>
      </w:r>
      <w:r w:rsidRPr="00273106">
        <w:rPr>
          <w:i/>
        </w:rPr>
        <w:t>ad aliud</w:t>
      </w:r>
      <w:r w:rsidRPr="00273106">
        <w:t>.</w:t>
      </w:r>
      <w:r>
        <w:t xml:space="preserve"> Gandavus </w:t>
      </w:r>
      <w:r w:rsidRPr="00273106">
        <w:t xml:space="preserve">musí </w:t>
      </w:r>
      <w:r>
        <w:t xml:space="preserve">v první sféře objektivity zrušit </w:t>
      </w:r>
      <w:r w:rsidRPr="00273106">
        <w:t xml:space="preserve">Aristotelova </w:t>
      </w:r>
      <w:r>
        <w:t xml:space="preserve">kategoriální </w:t>
      </w:r>
      <w:r w:rsidR="00461EF5">
        <w:t xml:space="preserve">určení jsoucna daná vzhledem ke druhé </w:t>
      </w:r>
      <w:r w:rsidRPr="00273106">
        <w:t>substanci</w:t>
      </w:r>
      <w:r>
        <w:fldChar w:fldCharType="begin"/>
      </w:r>
      <w:r>
        <w:instrText xml:space="preserve"> XE "</w:instrText>
      </w:r>
      <w:r w:rsidRPr="00DE2A32">
        <w:instrText>substance</w:instrText>
      </w:r>
      <w:r>
        <w:instrText xml:space="preserve">:Gandavus" </w:instrText>
      </w:r>
      <w:r>
        <w:fldChar w:fldCharType="end"/>
      </w:r>
      <w:r w:rsidRPr="00273106">
        <w:t>. Jenže</w:t>
      </w:r>
      <w:r>
        <w:t xml:space="preserve"> mnohost v </w:t>
      </w:r>
      <w:r w:rsidRPr="00273106">
        <w:t xml:space="preserve">bohu </w:t>
      </w:r>
      <w:r>
        <w:t xml:space="preserve">nějak </w:t>
      </w:r>
      <w:r w:rsidRPr="00273106">
        <w:t xml:space="preserve">být musí, jinak chybí základ objektivity dané exemplárně pro celé stvoření. </w:t>
      </w:r>
      <w:r>
        <w:t xml:space="preserve">Aby spojil obě patra, </w:t>
      </w:r>
      <w:r w:rsidR="00FD6521">
        <w:t>Gandavus potřeboval</w:t>
      </w:r>
      <w:r>
        <w:t xml:space="preserve"> vedle Aristotelova výkladu </w:t>
      </w:r>
      <w:r w:rsidRPr="082F4547">
        <w:rPr>
          <w:i/>
        </w:rPr>
        <w:t>Kategorií</w:t>
      </w:r>
      <w:r>
        <w:t xml:space="preserve"> také Simplikiův </w:t>
      </w:r>
      <w:r w:rsidRPr="00273106">
        <w:t xml:space="preserve">výklad </w:t>
      </w:r>
      <w:r>
        <w:t>daný predikací kategorií jako hypostází</w:t>
      </w:r>
      <w:r w:rsidRPr="00273106">
        <w:t xml:space="preserve">. Klíčovými termíny </w:t>
      </w:r>
      <w:r>
        <w:t xml:space="preserve">moderního </w:t>
      </w:r>
      <w:r w:rsidRPr="00273106">
        <w:t xml:space="preserve">určení jsoucna </w:t>
      </w:r>
      <w:r w:rsidR="00CC46F7">
        <w:t xml:space="preserve">se staly </w:t>
      </w:r>
      <w:r w:rsidRPr="00273106">
        <w:t xml:space="preserve">pojmy </w:t>
      </w:r>
      <w:r w:rsidRPr="00273106">
        <w:rPr>
          <w:i/>
        </w:rPr>
        <w:t>habitus</w:t>
      </w:r>
      <w:r>
        <w:t xml:space="preserve"> </w:t>
      </w:r>
      <w:r>
        <w:lastRenderedPageBreak/>
        <w:t xml:space="preserve">a </w:t>
      </w:r>
      <w:r w:rsidRPr="00273106">
        <w:rPr>
          <w:i/>
        </w:rPr>
        <w:t>relatio</w:t>
      </w:r>
      <w:r w:rsidRPr="00273106">
        <w:t xml:space="preserve">, jejichž </w:t>
      </w:r>
      <w:r>
        <w:t xml:space="preserve">hypostázovaný </w:t>
      </w:r>
      <w:r w:rsidRPr="00273106">
        <w:t xml:space="preserve">význam </w:t>
      </w:r>
      <w:r w:rsidR="00106190">
        <w:t xml:space="preserve">byl </w:t>
      </w:r>
      <w:r w:rsidRPr="00273106">
        <w:t>převzat od Simplikia.</w:t>
      </w:r>
      <w:r>
        <w:t xml:space="preserve"> Objektivní diakosmos sofistikovaných Latiníků musí dostat vlastní formu kategoriální predikace, kterou poprvé koncipoval Simplikius pro antický neoplatonismus. </w:t>
      </w:r>
      <w:r w:rsidRPr="00273106">
        <w:t xml:space="preserve">Aby zachránil objektivní určení jsoucna skrze exemplary, musel </w:t>
      </w:r>
      <w:r>
        <w:t xml:space="preserve">Gandavus </w:t>
      </w:r>
      <w:r w:rsidRPr="00273106">
        <w:t xml:space="preserve">vytvořit </w:t>
      </w:r>
      <w:r>
        <w:t xml:space="preserve">antropomorfického </w:t>
      </w:r>
      <w:r w:rsidRPr="00273106">
        <w:t>boha ve formě moderního subjektu</w:t>
      </w:r>
      <w:r>
        <w:t xml:space="preserve">. </w:t>
      </w:r>
      <w:r w:rsidR="00C460F3">
        <w:t>Proto z</w:t>
      </w:r>
      <w:r w:rsidRPr="00273106">
        <w:t xml:space="preserve">měnil </w:t>
      </w:r>
      <w:r w:rsidR="00C460F3">
        <w:t>aristotelskou substanci</w:t>
      </w:r>
      <w:r w:rsidRPr="00273106">
        <w:t xml:space="preserve"> </w:t>
      </w:r>
      <w:r w:rsidR="00C460F3">
        <w:t xml:space="preserve">a </w:t>
      </w:r>
      <w:r w:rsidRPr="00273106">
        <w:t>predikamenta na transcendentální vlastnosti jsoucna. Tato nově pojatá určení jsoucna zasadil podle druhého averroismu do Avicennova metafyzického schématu jsou</w:t>
      </w:r>
      <w:r>
        <w:t xml:space="preserve">cího jako jsoucího. Tato ontoteologická konstrukce vytvořila první verzi </w:t>
      </w:r>
      <w:r w:rsidRPr="08556F12">
        <w:rPr>
          <w:i/>
        </w:rPr>
        <w:t>metaphysica generalis</w:t>
      </w:r>
      <w:r>
        <w:rPr>
          <w:i/>
        </w:rPr>
        <w:fldChar w:fldCharType="begin"/>
      </w:r>
      <w:r>
        <w:instrText xml:space="preserve"> XE "</w:instrText>
      </w:r>
      <w:r w:rsidRPr="08F31ECF">
        <w:rPr>
          <w:i/>
        </w:rPr>
        <w:instrText>metaphysica generalis</w:instrText>
      </w:r>
      <w:r>
        <w:instrText xml:space="preserve">" </w:instrText>
      </w:r>
      <w:r>
        <w:rPr>
          <w:i/>
        </w:rPr>
        <w:fldChar w:fldCharType="end"/>
      </w:r>
      <w:r>
        <w:t>, kterou pak upr</w:t>
      </w:r>
      <w:r w:rsidR="002E2A6F">
        <w:t>aví Scotus do kompletní podoby.</w:t>
      </w:r>
    </w:p>
    <w:p w:rsidR="08163013" w:rsidRDefault="08163013" w:rsidP="00C72AC0">
      <w:pPr>
        <w:ind w:firstLine="397"/>
      </w:pPr>
      <w:r w:rsidRPr="00273106">
        <w:t xml:space="preserve">Hermeneutika </w:t>
      </w:r>
      <w:r>
        <w:t xml:space="preserve">musí vyložit </w:t>
      </w:r>
      <w:r w:rsidRPr="00273106">
        <w:t xml:space="preserve">způsob, jak </w:t>
      </w:r>
      <w:r w:rsidRPr="00273106">
        <w:rPr>
          <w:i/>
        </w:rPr>
        <w:t>Quodlibet</w:t>
      </w:r>
      <w:r w:rsidR="002E2A6F">
        <w:t xml:space="preserve"> IX, qq. 1‒3 zasadil</w:t>
      </w:r>
      <w:r w:rsidRPr="00273106">
        <w:t xml:space="preserve"> Simplikiovo pojetí jsoucna třetího druhu do systému absolutní stvořitelské subjektivity. </w:t>
      </w:r>
      <w:r>
        <w:t xml:space="preserve">V tomto traktátu podává </w:t>
      </w:r>
      <w:r w:rsidRPr="00273106">
        <w:rPr>
          <w:i/>
        </w:rPr>
        <w:t xml:space="preserve">Doctor Solemnis </w:t>
      </w:r>
      <w:r>
        <w:t xml:space="preserve">kompletní </w:t>
      </w:r>
      <w:r w:rsidRPr="0873068B">
        <w:rPr>
          <w:i/>
        </w:rPr>
        <w:t>resolutio</w:t>
      </w:r>
      <w:r>
        <w:t xml:space="preserve"> </w:t>
      </w:r>
      <w:r w:rsidRPr="00273106">
        <w:t xml:space="preserve">objektivně pojatého jsoucna a ne pouze koncept objektivního </w:t>
      </w:r>
      <w:r w:rsidRPr="00273106">
        <w:rPr>
          <w:i/>
        </w:rPr>
        <w:t>res</w:t>
      </w:r>
      <w:r w:rsidRPr="00273106">
        <w:t xml:space="preserve">. </w:t>
      </w:r>
      <w:r>
        <w:t>Moderní ilumináti se dívají na stvoření božíma očima. Celek jsoucna j</w:t>
      </w:r>
      <w:r w:rsidR="004E5868">
        <w:t xml:space="preserve">e nasvícen směrem od objektivního nazírání </w:t>
      </w:r>
      <w:r>
        <w:t>boha</w:t>
      </w:r>
      <w:r w:rsidR="004E5868">
        <w:t xml:space="preserve"> jako </w:t>
      </w:r>
      <w:r>
        <w:t xml:space="preserve">demiurga. Svět nelze poznávat </w:t>
      </w:r>
      <w:r w:rsidR="005A780E">
        <w:t xml:space="preserve">postaru, </w:t>
      </w:r>
      <w:r>
        <w:t>od nespolehlivé a proměnlivé první substance</w:t>
      </w:r>
      <w:r w:rsidR="004E5868">
        <w:t xml:space="preserve">. </w:t>
      </w:r>
      <w:r>
        <w:t>V</w:t>
      </w:r>
      <w:r w:rsidRPr="00273106">
        <w:t xml:space="preserve">zhledem k bohu jsou všechna určení jsoucího dána naprosto jednoduchým způsobem. </w:t>
      </w:r>
      <w:r w:rsidR="00C72AC0">
        <w:t>Pluralita v b</w:t>
      </w:r>
      <w:r w:rsidR="00C72AC0" w:rsidRPr="00C72AC0">
        <w:t>ohu a rozmanitost jeho činností existují pouze z lidského hlediska.</w:t>
      </w:r>
      <w:r w:rsidR="00C72AC0">
        <w:t xml:space="preserve"> Gandavus musel zrušit základní princip m</w:t>
      </w:r>
      <w:r>
        <w:t xml:space="preserve">odistů </w:t>
      </w:r>
      <w:r w:rsidR="004E3E3A">
        <w:t>daný n</w:t>
      </w:r>
      <w:r>
        <w:t>asvícení</w:t>
      </w:r>
      <w:r w:rsidR="004E3E3A">
        <w:t>m</w:t>
      </w:r>
      <w:r>
        <w:t xml:space="preserve"> jsoucna zepředu</w:t>
      </w:r>
      <w:r w:rsidR="004E3E3A">
        <w:t>,</w:t>
      </w:r>
      <w:r>
        <w:t xml:space="preserve"> od reálné první substance</w:t>
      </w:r>
      <w:r>
        <w:fldChar w:fldCharType="begin"/>
      </w:r>
      <w:r>
        <w:instrText xml:space="preserve"> XE "</w:instrText>
      </w:r>
      <w:r w:rsidRPr="004F4898">
        <w:instrText>zjevování:nasvícení zepředu</w:instrText>
      </w:r>
      <w:r>
        <w:instrText xml:space="preserve">" </w:instrText>
      </w:r>
      <w:r>
        <w:fldChar w:fldCharType="end"/>
      </w:r>
      <w:r>
        <w:t xml:space="preserve">. Gandavus řeší termín </w:t>
      </w:r>
      <w:r w:rsidR="00636C3D">
        <w:t>„</w:t>
      </w:r>
      <w:r w:rsidRPr="00620187">
        <w:rPr>
          <w:i/>
        </w:rPr>
        <w:t>quoad nos</w:t>
      </w:r>
      <w:r w:rsidR="00636C3D">
        <w:t>“</w:t>
      </w:r>
      <w:r>
        <w:t xml:space="preserve"> daný ve škole Modistů tím, že objektivní esence v bohu se liší pouze způsobem definice </w:t>
      </w:r>
      <w:r w:rsidRPr="00273106">
        <w:t>(</w:t>
      </w:r>
      <w:r w:rsidRPr="00273106">
        <w:rPr>
          <w:i/>
        </w:rPr>
        <w:t>secundum rationem</w:t>
      </w:r>
      <w:r w:rsidRPr="00273106">
        <w:t>).</w:t>
      </w:r>
      <w:r w:rsidRPr="0047086D">
        <w:t xml:space="preserve"> </w:t>
      </w:r>
      <w:r>
        <w:t xml:space="preserve">Tento modus bytí jsoucna je dán v modu </w:t>
      </w:r>
      <w:r w:rsidRPr="005766BF">
        <w:rPr>
          <w:i/>
        </w:rPr>
        <w:t>simpliciter</w:t>
      </w:r>
      <w:r>
        <w:t>, protože jinak by do boha přišla substanční mnohost. Gandavus definuje habitus jako minimální jsoucnost (</w:t>
      </w:r>
      <w:r w:rsidRPr="009202E2">
        <w:rPr>
          <w:i/>
        </w:rPr>
        <w:t>esse diminutum</w:t>
      </w:r>
      <w:r>
        <w:rPr>
          <w:i/>
        </w:rPr>
        <w:fldChar w:fldCharType="begin"/>
      </w:r>
      <w:r>
        <w:instrText xml:space="preserve"> XE "</w:instrText>
      </w:r>
      <w:r w:rsidRPr="00782C1F">
        <w:rPr>
          <w:i/>
        </w:rPr>
        <w:instrText>esse diminutum</w:instrText>
      </w:r>
      <w:r>
        <w:instrText xml:space="preserve">" </w:instrText>
      </w:r>
      <w:r>
        <w:rPr>
          <w:i/>
        </w:rPr>
        <w:fldChar w:fldCharType="end"/>
      </w:r>
      <w:r>
        <w:t xml:space="preserve">) intencionálně vnímaných věcí daných pouze v boží mysli. Pak má objektivní bytí boží intence pouze potenciální charakter a nijak neohrožuje aktuální jednoduchost božího bytí. </w:t>
      </w:r>
      <w:r w:rsidRPr="00273106">
        <w:t>Vztah mezi stvořitelem a stvořením determinují tři základní určení</w:t>
      </w:r>
      <w:r>
        <w:t xml:space="preserve"> exemplaru</w:t>
      </w:r>
      <w:r>
        <w:fldChar w:fldCharType="begin"/>
      </w:r>
      <w:r>
        <w:instrText xml:space="preserve"> XE "</w:instrText>
      </w:r>
      <w:r w:rsidRPr="00A04508">
        <w:instrText>exemplar</w:instrText>
      </w:r>
      <w:r>
        <w:instrText xml:space="preserve">" </w:instrText>
      </w:r>
      <w:r>
        <w:fldChar w:fldCharType="end"/>
      </w:r>
      <w:r>
        <w:t xml:space="preserve"> </w:t>
      </w:r>
      <w:r w:rsidRPr="00273106">
        <w:t>(</w:t>
      </w:r>
      <w:r w:rsidRPr="00273106">
        <w:rPr>
          <w:i/>
        </w:rPr>
        <w:t>triplici ratione</w:t>
      </w:r>
      <w:r w:rsidRPr="00273106">
        <w:t>)</w:t>
      </w:r>
      <w:r>
        <w:t xml:space="preserve"> podaná v předešlé kapitole.</w:t>
      </w:r>
    </w:p>
    <w:p w:rsidR="08163013" w:rsidRPr="00CD5876" w:rsidRDefault="08163013" w:rsidP="08163013">
      <w:pPr>
        <w:pStyle w:val="Citace"/>
        <w:rPr>
          <w:noProof/>
          <w:lang w:val="cs-CZ"/>
        </w:rPr>
      </w:pPr>
      <w:r w:rsidRPr="00273106">
        <w:rPr>
          <w:noProof/>
          <w:lang w:val="cs-CZ"/>
        </w:rPr>
        <w:t>„</w:t>
      </w:r>
      <w:r>
        <w:rPr>
          <w:noProof/>
          <w:lang w:val="cs-CZ"/>
        </w:rPr>
        <w:t>V bohu se tyto tři aspekty liší pouze svým výměrem a vzhledem k jeho bytí jsou dané stejným způsobem. Liší se pouze nominálně (</w:t>
      </w:r>
      <w:r w:rsidRPr="00913399">
        <w:rPr>
          <w:i/>
        </w:rPr>
        <w:t>differentes solo nomine</w:t>
      </w:r>
      <w:r w:rsidR="00E16DC8">
        <w:rPr>
          <w:noProof/>
          <w:lang w:val="cs-CZ"/>
        </w:rPr>
        <w:t>), a to: boží esence jako</w:t>
      </w:r>
      <w:r>
        <w:rPr>
          <w:noProof/>
          <w:lang w:val="cs-CZ"/>
        </w:rPr>
        <w:t xml:space="preserve"> </w:t>
      </w:r>
      <w:r w:rsidR="00E16DC8">
        <w:rPr>
          <w:noProof/>
          <w:lang w:val="cs-CZ"/>
        </w:rPr>
        <w:t xml:space="preserve">čistý akt tvoření; </w:t>
      </w:r>
      <w:r w:rsidR="00E16DC8">
        <w:rPr>
          <w:noProof/>
          <w:lang w:val="cs-CZ"/>
        </w:rPr>
        <w:lastRenderedPageBreak/>
        <w:t>intencionální</w:t>
      </w:r>
      <w:r w:rsidR="009C6F80">
        <w:rPr>
          <w:noProof/>
          <w:lang w:val="cs-CZ"/>
        </w:rPr>
        <w:t xml:space="preserve"> záměr</w:t>
      </w:r>
      <w:r w:rsidR="00E16DC8">
        <w:rPr>
          <w:noProof/>
          <w:lang w:val="cs-CZ"/>
        </w:rPr>
        <w:t>y</w:t>
      </w:r>
      <w:r>
        <w:rPr>
          <w:noProof/>
          <w:lang w:val="cs-CZ"/>
        </w:rPr>
        <w:t xml:space="preserve"> </w:t>
      </w:r>
      <w:r w:rsidR="00E16DC8">
        <w:rPr>
          <w:noProof/>
          <w:lang w:val="cs-CZ"/>
        </w:rPr>
        <w:t xml:space="preserve">ohledně </w:t>
      </w:r>
      <w:r>
        <w:rPr>
          <w:noProof/>
          <w:lang w:val="cs-CZ"/>
        </w:rPr>
        <w:t>tvoření</w:t>
      </w:r>
      <w:r w:rsidR="00E16DC8">
        <w:rPr>
          <w:noProof/>
          <w:lang w:val="cs-CZ"/>
        </w:rPr>
        <w:t xml:space="preserve">; aktuální výkon tvorby dané ve stvoření </w:t>
      </w:r>
      <w:r>
        <w:rPr>
          <w:noProof/>
          <w:lang w:val="cs-CZ"/>
        </w:rPr>
        <w:t>(</w:t>
      </w:r>
      <w:r w:rsidR="00E16DC8" w:rsidRPr="00E16DC8">
        <w:rPr>
          <w:i/>
          <w:noProof/>
          <w:lang w:val="cs-CZ"/>
        </w:rPr>
        <w:t>deus</w:t>
      </w:r>
      <w:r w:rsidR="00E16DC8">
        <w:rPr>
          <w:noProof/>
          <w:lang w:val="cs-CZ"/>
        </w:rPr>
        <w:t xml:space="preserve"> </w:t>
      </w:r>
      <w:r w:rsidRPr="00CD5876">
        <w:rPr>
          <w:i/>
          <w:noProof/>
          <w:lang w:val="cs-CZ"/>
        </w:rPr>
        <w:t>creativus, creaturus et creans</w:t>
      </w:r>
      <w:r>
        <w:rPr>
          <w:noProof/>
          <w:lang w:val="cs-CZ"/>
        </w:rPr>
        <w:t>).</w:t>
      </w:r>
      <w:r w:rsidRPr="00273106">
        <w:rPr>
          <w:noProof/>
          <w:lang w:val="cs-CZ"/>
        </w:rPr>
        <w:t xml:space="preserve">“ </w:t>
      </w:r>
      <w:r>
        <w:rPr>
          <w:rStyle w:val="Znakapoznpodarou"/>
        </w:rPr>
        <w:footnoteReference w:id="412"/>
      </w:r>
    </w:p>
    <w:p w:rsidR="00892060" w:rsidRDefault="08163013" w:rsidP="08163013">
      <w:r w:rsidRPr="00273106">
        <w:t xml:space="preserve">První určení je dáno v klasickém scénáři stvořitelské kauzality </w:t>
      </w:r>
      <w:r>
        <w:t xml:space="preserve">dané ve věčné </w:t>
      </w:r>
      <w:r w:rsidRPr="00273106">
        <w:t xml:space="preserve">boží </w:t>
      </w:r>
      <w:r>
        <w:t xml:space="preserve">esenci </w:t>
      </w:r>
      <w:r w:rsidRPr="00273106">
        <w:t xml:space="preserve">aktivně tvořící </w:t>
      </w:r>
      <w:r w:rsidRPr="00273106">
        <w:rPr>
          <w:i/>
        </w:rPr>
        <w:t>ex nihilo</w:t>
      </w:r>
      <w:r>
        <w:rPr>
          <w:i/>
        </w:rPr>
        <w:fldChar w:fldCharType="begin"/>
      </w:r>
      <w:r>
        <w:instrText xml:space="preserve"> XE "</w:instrText>
      </w:r>
      <w:r w:rsidRPr="00443D73">
        <w:rPr>
          <w:i/>
        </w:rPr>
        <w:instrText>creatio</w:instrText>
      </w:r>
      <w:r>
        <w:instrText xml:space="preserve"> </w:instrText>
      </w:r>
      <w:r w:rsidRPr="00933BB1">
        <w:rPr>
          <w:i/>
        </w:rPr>
        <w:instrText>ex nihilo</w:instrText>
      </w:r>
      <w:r>
        <w:instrText xml:space="preserve">" </w:instrText>
      </w:r>
      <w:r>
        <w:rPr>
          <w:i/>
        </w:rPr>
        <w:fldChar w:fldCharType="end"/>
      </w:r>
      <w:r w:rsidRPr="00273106">
        <w:t xml:space="preserve"> reálné věci (</w:t>
      </w:r>
      <w:r>
        <w:rPr>
          <w:i/>
        </w:rPr>
        <w:t>d</w:t>
      </w:r>
      <w:r w:rsidRPr="00273106">
        <w:rPr>
          <w:i/>
        </w:rPr>
        <w:t>eus creativus</w:t>
      </w:r>
      <w:r w:rsidRPr="00273106">
        <w:t xml:space="preserve">). Objektivita na první úrovni </w:t>
      </w:r>
      <w:r>
        <w:t xml:space="preserve">neexistuje, protože stvořitelská kauzalita je reálná a proto tvoří tento </w:t>
      </w:r>
      <w:r w:rsidRPr="0873068B">
        <w:rPr>
          <w:i/>
        </w:rPr>
        <w:t>actus essendi</w:t>
      </w:r>
      <w:r>
        <w:t xml:space="preserve"> součást boží esence (</w:t>
      </w:r>
      <w:r w:rsidRPr="00F644B2">
        <w:rPr>
          <w:i/>
        </w:rPr>
        <w:t>esse in</w:t>
      </w:r>
      <w:r>
        <w:t xml:space="preserve">). </w:t>
      </w:r>
      <w:r w:rsidRPr="00273106">
        <w:t xml:space="preserve">Druhé určení zakládá ideální míru bytí jsoucna v aktu čisté intencionality boží mysli zaměřené směrem k exemplarům </w:t>
      </w:r>
      <w:r>
        <w:t xml:space="preserve">intendovaným </w:t>
      </w:r>
      <w:r w:rsidRPr="00273106">
        <w:t>v boží esenci (</w:t>
      </w:r>
      <w:r>
        <w:rPr>
          <w:i/>
        </w:rPr>
        <w:t>d</w:t>
      </w:r>
      <w:r w:rsidRPr="00273106">
        <w:rPr>
          <w:i/>
        </w:rPr>
        <w:t>eus creaturus</w:t>
      </w:r>
      <w:r>
        <w:rPr>
          <w:i/>
        </w:rPr>
        <w:fldChar w:fldCharType="begin"/>
      </w:r>
      <w:r>
        <w:instrText xml:space="preserve"> XE "intencionalita:</w:instrText>
      </w:r>
      <w:r w:rsidRPr="00516639">
        <w:rPr>
          <w:i/>
        </w:rPr>
        <w:instrText>d</w:instrText>
      </w:r>
      <w:r w:rsidRPr="00A27942">
        <w:rPr>
          <w:i/>
        </w:rPr>
        <w:instrText>eus creaturus</w:instrText>
      </w:r>
      <w:r>
        <w:instrText xml:space="preserve">" </w:instrText>
      </w:r>
      <w:r>
        <w:rPr>
          <w:i/>
        </w:rPr>
        <w:fldChar w:fldCharType="end"/>
      </w:r>
      <w:r w:rsidRPr="00273106">
        <w:t xml:space="preserve">). </w:t>
      </w:r>
      <w:r>
        <w:t>Bůh chce, aby jeho kreativní myšlenky objektivně a věčně pre-existovaly v jeho čistém kreativním bytí</w:t>
      </w:r>
      <w:r w:rsidRPr="00273106">
        <w:t xml:space="preserve">. </w:t>
      </w:r>
      <w:r>
        <w:t>Aktivní participium futura dokládá, že t</w:t>
      </w:r>
      <w:r w:rsidRPr="00273106">
        <w:t>ato intencionální pre-existence všech věcí jako objektů boží mysli a vůle (</w:t>
      </w:r>
      <w:r w:rsidRPr="00273106">
        <w:rPr>
          <w:i/>
        </w:rPr>
        <w:t>creabilia</w:t>
      </w:r>
      <w:r>
        <w:rPr>
          <w:i/>
        </w:rPr>
        <w:fldChar w:fldCharType="begin"/>
      </w:r>
      <w:r>
        <w:instrText xml:space="preserve"> XE "</w:instrText>
      </w:r>
      <w:r w:rsidRPr="08225EAE">
        <w:rPr>
          <w:i/>
        </w:rPr>
        <w:instrText>creabilia</w:instrText>
      </w:r>
      <w:r>
        <w:instrText xml:space="preserve">" </w:instrText>
      </w:r>
      <w:r>
        <w:rPr>
          <w:i/>
        </w:rPr>
        <w:fldChar w:fldCharType="end"/>
      </w:r>
      <w:r w:rsidRPr="00273106">
        <w:t xml:space="preserve">) zakládá možnost </w:t>
      </w:r>
      <w:r>
        <w:t xml:space="preserve">budoucího </w:t>
      </w:r>
      <w:r w:rsidRPr="00273106">
        <w:t>stvoření</w:t>
      </w:r>
      <w:r>
        <w:t xml:space="preserve"> zatím daného pouze v čisté možnosti</w:t>
      </w:r>
      <w:r w:rsidRPr="00273106">
        <w:t xml:space="preserve">. </w:t>
      </w:r>
      <w:r>
        <w:t xml:space="preserve">Množina intencionálních předmětů v modu </w:t>
      </w:r>
      <w:r w:rsidRPr="009F3410">
        <w:rPr>
          <w:i/>
        </w:rPr>
        <w:t>creabilia</w:t>
      </w:r>
      <w:r>
        <w:t xml:space="preserve"> u</w:t>
      </w:r>
      <w:r w:rsidRPr="00273106">
        <w:t xml:space="preserve">tváří </w:t>
      </w:r>
      <w:r>
        <w:t>svět</w:t>
      </w:r>
      <w:r w:rsidRPr="00273106">
        <w:t xml:space="preserve"> </w:t>
      </w:r>
      <w:r>
        <w:t>objektivních významů exemplárního charakteru. Tento diakosmos významů mytopoeticky existuje pouze v boží mysli, ale již je intencionálně obrácen v modu futura směrem do stvoření (</w:t>
      </w:r>
      <w:r w:rsidRPr="086A44F5">
        <w:rPr>
          <w:i/>
        </w:rPr>
        <w:t xml:space="preserve">esse </w:t>
      </w:r>
      <w:proofErr w:type="gramStart"/>
      <w:r w:rsidRPr="086A44F5">
        <w:rPr>
          <w:i/>
        </w:rPr>
        <w:t>ad</w:t>
      </w:r>
      <w:proofErr w:type="gramEnd"/>
      <w:r>
        <w:t>)</w:t>
      </w:r>
      <w:r w:rsidRPr="00273106">
        <w:t xml:space="preserve">. Primární akt intencionality vybavuje všechny předměty takto daného </w:t>
      </w:r>
      <w:r>
        <w:t xml:space="preserve">božího </w:t>
      </w:r>
      <w:r w:rsidRPr="00273106">
        <w:t>chtění</w:t>
      </w:r>
      <w:r>
        <w:t xml:space="preserve"> a poznání </w:t>
      </w:r>
      <w:r w:rsidRPr="00273106">
        <w:t>exemplární formou jsoucnosti</w:t>
      </w:r>
      <w:r>
        <w:t>. Objektivní jsoucnost je dána v modu exemplární relativity a zakládá Simplikiovu první hypostázovanou kategorii vztahu (</w:t>
      </w:r>
      <w:r w:rsidRPr="002464DE">
        <w:rPr>
          <w:rStyle w:val="TextpoznpodarouChar"/>
        </w:rPr>
        <w:t>τῷ δὲ πρός τι τὸ ἁπλῶς πρὸς ἄλληλα λέγεσθαι,</w:t>
      </w:r>
      <w:r>
        <w:rPr>
          <w:rStyle w:val="TextpoznpodarouChar"/>
        </w:rPr>
        <w:t xml:space="preserve"> </w:t>
      </w:r>
      <w:r w:rsidRPr="002464DE">
        <w:rPr>
          <w:rStyle w:val="TextpoznpodarouChar"/>
          <w:i/>
        </w:rPr>
        <w:t xml:space="preserve">In </w:t>
      </w:r>
      <w:r>
        <w:rPr>
          <w:rStyle w:val="TextpoznpodarouChar"/>
          <w:i/>
        </w:rPr>
        <w:t xml:space="preserve">Simpl. </w:t>
      </w:r>
      <w:r w:rsidRPr="002464DE">
        <w:rPr>
          <w:rStyle w:val="TextpoznpodarouChar"/>
          <w:i/>
        </w:rPr>
        <w:t>Cat</w:t>
      </w:r>
      <w:r>
        <w:rPr>
          <w:rStyle w:val="TextpoznpodarouChar"/>
        </w:rPr>
        <w:t>. 61.9‒10)</w:t>
      </w:r>
      <w:r w:rsidRPr="00273106">
        <w:t xml:space="preserve">. </w:t>
      </w:r>
      <w:r>
        <w:t xml:space="preserve">Jsoucno třetího druhu je objektivně </w:t>
      </w:r>
      <w:r w:rsidRPr="00273106">
        <w:t xml:space="preserve">tematizováno </w:t>
      </w:r>
      <w:r w:rsidRPr="00273106">
        <w:rPr>
          <w:i/>
        </w:rPr>
        <w:t>ex nihilo</w:t>
      </w:r>
      <w:r>
        <w:rPr>
          <w:i/>
        </w:rPr>
        <w:fldChar w:fldCharType="begin"/>
      </w:r>
      <w:r>
        <w:instrText xml:space="preserve"> XE "</w:instrText>
      </w:r>
      <w:r w:rsidRPr="004D0012">
        <w:rPr>
          <w:i/>
        </w:rPr>
        <w:instrText>creatio ex nihilo</w:instrText>
      </w:r>
      <w:r>
        <w:instrText xml:space="preserve">" </w:instrText>
      </w:r>
      <w:r>
        <w:rPr>
          <w:i/>
        </w:rPr>
        <w:fldChar w:fldCharType="end"/>
      </w:r>
      <w:r w:rsidRPr="00273106">
        <w:t xml:space="preserve"> jako intencionálně pojímaný předmět</w:t>
      </w:r>
      <w:r>
        <w:t xml:space="preserve"> a je vztaženo pouze k jednoduché boží esenci</w:t>
      </w:r>
      <w:r w:rsidRPr="00273106">
        <w:t xml:space="preserve">. Objektivita je na </w:t>
      </w:r>
      <w:r>
        <w:t xml:space="preserve">exemplární boží </w:t>
      </w:r>
      <w:r w:rsidRPr="00273106">
        <w:t xml:space="preserve">úrovni dána </w:t>
      </w:r>
      <w:r>
        <w:t>naprosto odděleně (</w:t>
      </w:r>
      <w:r w:rsidRPr="00273106">
        <w:rPr>
          <w:i/>
        </w:rPr>
        <w:t>absolute</w:t>
      </w:r>
      <w:r>
        <w:t>) vzhledem k celku reálného stvořeného jsoucna, protože tvoří objektivní součást boží esence (</w:t>
      </w:r>
      <w:r w:rsidRPr="08FB3B22">
        <w:rPr>
          <w:i/>
        </w:rPr>
        <w:t>rationes exemplares</w:t>
      </w:r>
      <w:r>
        <w:t xml:space="preserve">). Třetí určení </w:t>
      </w:r>
      <w:r w:rsidRPr="00273106">
        <w:t xml:space="preserve">ukazuje objektivní jednotu mezi bohem intendovanými exemplary a jejich </w:t>
      </w:r>
      <w:r>
        <w:t xml:space="preserve">aktuálním bytím </w:t>
      </w:r>
      <w:r w:rsidRPr="00273106">
        <w:t>ve stvoření (</w:t>
      </w:r>
      <w:r>
        <w:rPr>
          <w:i/>
        </w:rPr>
        <w:t>d</w:t>
      </w:r>
      <w:r w:rsidRPr="00273106">
        <w:rPr>
          <w:i/>
        </w:rPr>
        <w:t>eus creans</w:t>
      </w:r>
      <w:r w:rsidRPr="00273106">
        <w:t>)</w:t>
      </w:r>
      <w:r>
        <w:t xml:space="preserve">. </w:t>
      </w:r>
      <w:r w:rsidR="007E4B2B">
        <w:t>Objektivní m</w:t>
      </w:r>
      <w:r>
        <w:t xml:space="preserve">odus </w:t>
      </w:r>
      <w:r w:rsidR="007E4B2B">
        <w:t>„</w:t>
      </w:r>
      <w:r w:rsidRPr="085E4291">
        <w:rPr>
          <w:i/>
        </w:rPr>
        <w:t>esse ad</w:t>
      </w:r>
      <w:r w:rsidR="007E4B2B">
        <w:t>“</w:t>
      </w:r>
      <w:r>
        <w:t xml:space="preserve"> </w:t>
      </w:r>
      <w:proofErr w:type="gramStart"/>
      <w:r>
        <w:t>se</w:t>
      </w:r>
      <w:proofErr w:type="gramEnd"/>
      <w:r>
        <w:t xml:space="preserve"> stal stvořitelským faktem díky boží vůli. Nejvyšší demiurg vyvedl v aktu první reálné dedukce objektivní jsoucna ze své </w:t>
      </w:r>
      <w:r w:rsidR="00D277BB">
        <w:t xml:space="preserve">mysli </w:t>
      </w:r>
      <w:r>
        <w:t>do aktuality stvořeného světa</w:t>
      </w:r>
      <w:r w:rsidR="00D277BB">
        <w:t xml:space="preserve">; </w:t>
      </w:r>
      <w:r>
        <w:t xml:space="preserve">tím je zjevil v aristotelském modu smyslově-intelektuálního poznání v modu </w:t>
      </w:r>
      <w:r w:rsidR="00D277BB">
        <w:t>„</w:t>
      </w:r>
      <w:r w:rsidRPr="085E4291">
        <w:rPr>
          <w:i/>
        </w:rPr>
        <w:t>quoad nos</w:t>
      </w:r>
      <w:r w:rsidR="00D277BB">
        <w:t>“</w:t>
      </w:r>
      <w:r>
        <w:t xml:space="preserve">. Objektivita je na třetí </w:t>
      </w:r>
      <w:r w:rsidRPr="00273106">
        <w:t xml:space="preserve">úrovni dána </w:t>
      </w:r>
      <w:r w:rsidRPr="081674E3">
        <w:rPr>
          <w:i/>
        </w:rPr>
        <w:t>relative</w:t>
      </w:r>
      <w:r>
        <w:t xml:space="preserve"> vzhledem k celku reálného stvořeného jsoucna, protože se stala objektivní součástí stvoření (</w:t>
      </w:r>
      <w:r w:rsidRPr="081674E3">
        <w:rPr>
          <w:i/>
        </w:rPr>
        <w:t>rationes seminales</w:t>
      </w:r>
      <w:r>
        <w:t xml:space="preserve">). </w:t>
      </w:r>
      <w:r w:rsidRPr="00273106">
        <w:t xml:space="preserve">Druhá rovina </w:t>
      </w:r>
      <w:r>
        <w:t xml:space="preserve">objektivní boží </w:t>
      </w:r>
      <w:r w:rsidR="00D277BB">
        <w:t xml:space="preserve">intencionality </w:t>
      </w:r>
      <w:r>
        <w:t xml:space="preserve">v modu </w:t>
      </w:r>
      <w:r w:rsidR="008213DA">
        <w:rPr>
          <w:i/>
        </w:rPr>
        <w:t>d</w:t>
      </w:r>
      <w:r w:rsidRPr="00273106">
        <w:rPr>
          <w:i/>
        </w:rPr>
        <w:t>eus creaturus</w:t>
      </w:r>
      <w:r>
        <w:t xml:space="preserve"> </w:t>
      </w:r>
      <w:r w:rsidRPr="00273106">
        <w:t xml:space="preserve">vytvořila ideální nekonečnou míru </w:t>
      </w:r>
      <w:r w:rsidR="00B95F23">
        <w:lastRenderedPageBreak/>
        <w:t xml:space="preserve">objektivity; </w:t>
      </w:r>
      <w:r w:rsidRPr="00273106">
        <w:t xml:space="preserve">třetí rovina </w:t>
      </w:r>
      <w:r>
        <w:t xml:space="preserve">v modu </w:t>
      </w:r>
      <w:r w:rsidR="008213DA">
        <w:rPr>
          <w:i/>
        </w:rPr>
        <w:t>d</w:t>
      </w:r>
      <w:r w:rsidRPr="00C3626A">
        <w:rPr>
          <w:i/>
        </w:rPr>
        <w:t>eus creans</w:t>
      </w:r>
      <w:r>
        <w:t xml:space="preserve"> </w:t>
      </w:r>
      <w:r w:rsidRPr="00273106">
        <w:t>zajistila její konečnou substanciální realizaci a imitaci v</w:t>
      </w:r>
      <w:r w:rsidR="00892060">
        <w:t>e stvoření.</w:t>
      </w:r>
    </w:p>
    <w:p w:rsidR="00FE2EBD" w:rsidRDefault="08163013" w:rsidP="0054444A">
      <w:pPr>
        <w:ind w:firstLine="397"/>
      </w:pPr>
      <w:r>
        <w:t>Tr</w:t>
      </w:r>
      <w:r w:rsidR="00B95F23">
        <w:t xml:space="preserve">ojí aspekt boží esence založil </w:t>
      </w:r>
      <w:r>
        <w:t>trojstupňovou stavbu objektivní ontoteologické</w:t>
      </w:r>
      <w:r w:rsidR="00B95F23">
        <w:t xml:space="preserve"> metafyziky v modu: boží bytí – objektivní jsoucno – </w:t>
      </w:r>
      <w:r>
        <w:t xml:space="preserve">reálné jsoucno. Gandavus vytvořil po vzoru Bonaventury dvojí analogii exemplárně objektivního jsoucna v boží </w:t>
      </w:r>
      <w:r w:rsidR="00583F0B">
        <w:t xml:space="preserve">mysli </w:t>
      </w:r>
      <w:r>
        <w:t xml:space="preserve">a seminálně-objektivního jsoucna ve stvořených věcech. Tím vznikl </w:t>
      </w:r>
      <w:r w:rsidR="00583F0B">
        <w:t xml:space="preserve">nový </w:t>
      </w:r>
      <w:r>
        <w:t xml:space="preserve">metafyzický systém později známý pod jménem </w:t>
      </w:r>
      <w:r w:rsidRPr="00AA4B1E">
        <w:rPr>
          <w:i/>
        </w:rPr>
        <w:t>analogia entis</w:t>
      </w:r>
      <w:r>
        <w:rPr>
          <w:i/>
        </w:rPr>
        <w:fldChar w:fldCharType="begin"/>
      </w:r>
      <w:r>
        <w:instrText xml:space="preserve"> XE "</w:instrText>
      </w:r>
      <w:r w:rsidRPr="001242DC">
        <w:rPr>
          <w:i/>
        </w:rPr>
        <w:instrText>analogia entis</w:instrText>
      </w:r>
      <w:r>
        <w:instrText xml:space="preserve">" </w:instrText>
      </w:r>
      <w:r>
        <w:rPr>
          <w:i/>
        </w:rPr>
        <w:fldChar w:fldCharType="end"/>
      </w:r>
      <w:r>
        <w:t xml:space="preserve">. Bonaventurova architektura dvojích regulí dostala první metafyzickou podobu ve formě moderního </w:t>
      </w:r>
      <w:r w:rsidRPr="00AA4B1E">
        <w:rPr>
          <w:i/>
        </w:rPr>
        <w:t>resolutio</w:t>
      </w:r>
      <w:r w:rsidR="00AB7EDA">
        <w:t xml:space="preserve"> jsoucna. Scotus přebral</w:t>
      </w:r>
      <w:r>
        <w:t xml:space="preserve"> ontoteologickou stavbu metafyziky v</w:t>
      </w:r>
      <w:r w:rsidR="00AB7EDA">
        <w:t xml:space="preserve"> této </w:t>
      </w:r>
      <w:r>
        <w:t>trojiční podobě</w:t>
      </w:r>
      <w:r w:rsidR="00AB7EDA">
        <w:t xml:space="preserve">. Upravil ji </w:t>
      </w:r>
      <w:r>
        <w:t>tím, že zruš</w:t>
      </w:r>
      <w:r w:rsidR="00AB7EDA">
        <w:t>il</w:t>
      </w:r>
      <w:r>
        <w:t xml:space="preserve"> objektivní </w:t>
      </w:r>
      <w:r w:rsidR="00AB7EDA">
        <w:t xml:space="preserve">mysl </w:t>
      </w:r>
      <w:r>
        <w:t xml:space="preserve">boha </w:t>
      </w:r>
      <w:r w:rsidR="00AB7EDA">
        <w:t>danou skrze reflexivně pojatou intencionalitu</w:t>
      </w:r>
      <w:r>
        <w:t xml:space="preserve">. Tuto sféru </w:t>
      </w:r>
      <w:r w:rsidR="00AB7EDA">
        <w:t xml:space="preserve">objektivity </w:t>
      </w:r>
      <w:r>
        <w:t>přesun</w:t>
      </w:r>
      <w:r w:rsidR="00AB7EDA">
        <w:t xml:space="preserve">ul </w:t>
      </w:r>
      <w:r>
        <w:t>do</w:t>
      </w:r>
      <w:r w:rsidR="00AB7EDA">
        <w:t xml:space="preserve"> aristotelské metafyziky a nechal</w:t>
      </w:r>
      <w:r>
        <w:t xml:space="preserve"> ji fungovat v modu objektivního hypostázova</w:t>
      </w:r>
      <w:r w:rsidR="00AB7EDA">
        <w:t>ného významu, který je ve stvoření, a nikoliv moderním bohu. Z trinitárního systému druhého averroismu se tím stal moderní dualismus mezi reálným a objektivním pojetím jso</w:t>
      </w:r>
      <w:r w:rsidR="00985B67">
        <w:t xml:space="preserve">ucna. </w:t>
      </w:r>
      <w:r>
        <w:t xml:space="preserve">Postmoderní Spinoza změní po Scotovi triadickou strukturu na duální tím, že přesune objektivitu v modu </w:t>
      </w:r>
      <w:r>
        <w:rPr>
          <w:i/>
        </w:rPr>
        <w:t>d</w:t>
      </w:r>
      <w:r w:rsidRPr="00273106">
        <w:rPr>
          <w:i/>
        </w:rPr>
        <w:t>eus creans</w:t>
      </w:r>
      <w:r>
        <w:t xml:space="preserve"> přímo do přírody (</w:t>
      </w:r>
      <w:r w:rsidRPr="00FE38A5">
        <w:rPr>
          <w:i/>
        </w:rPr>
        <w:t>natura</w:t>
      </w:r>
      <w:r>
        <w:rPr>
          <w:i/>
        </w:rPr>
        <w:t xml:space="preserve"> naturans</w:t>
      </w:r>
      <w:r>
        <w:t>)</w:t>
      </w:r>
      <w:r w:rsidRPr="00273106">
        <w:t>.</w:t>
      </w:r>
      <w:r>
        <w:t xml:space="preserve"> Spinoza v epoše smrti moderního boha </w:t>
      </w:r>
      <w:r w:rsidR="000D151D">
        <w:t>přesun</w:t>
      </w:r>
      <w:r w:rsidR="009C6859">
        <w:t>ul</w:t>
      </w:r>
      <w:r w:rsidR="000D151D">
        <w:t xml:space="preserve"> stvořitelskou kauzalitu </w:t>
      </w:r>
      <w:r>
        <w:t>do plně objektivované př</w:t>
      </w:r>
      <w:r w:rsidR="009C6859">
        <w:t>írody. Na rozdíl od Scota zavedl</w:t>
      </w:r>
      <w:r>
        <w:t xml:space="preserve"> tento postmoderní avicennista přímou neoplatonskou emanaci boží substance do stvoření</w:t>
      </w:r>
      <w:r w:rsidRPr="08EE1E5E">
        <w:t xml:space="preserve"> </w:t>
      </w:r>
      <w:r>
        <w:t xml:space="preserve">po vzoru židovských neoplatonských mystiků a Davida z Dinantu. Scotus a po něm Spinoza prohlásili v modu </w:t>
      </w:r>
      <w:r w:rsidRPr="00B8623B">
        <w:rPr>
          <w:i/>
        </w:rPr>
        <w:t>dativus</w:t>
      </w:r>
      <w:r>
        <w:rPr>
          <w:i/>
        </w:rPr>
        <w:t xml:space="preserve"> incommodi</w:t>
      </w:r>
      <w:r>
        <w:rPr>
          <w:i/>
        </w:rPr>
        <w:fldChar w:fldCharType="begin"/>
      </w:r>
      <w:r>
        <w:instrText xml:space="preserve"> XE "</w:instrText>
      </w:r>
      <w:r w:rsidRPr="005D18B7">
        <w:rPr>
          <w:i/>
        </w:rPr>
        <w:instrText>dativus incommodi</w:instrText>
      </w:r>
      <w:r>
        <w:instrText xml:space="preserve">" </w:instrText>
      </w:r>
      <w:r>
        <w:rPr>
          <w:i/>
        </w:rPr>
        <w:fldChar w:fldCharType="end"/>
      </w:r>
      <w:r w:rsidR="009C6859">
        <w:t xml:space="preserve"> sféru oddělené boží objektivity a </w:t>
      </w:r>
      <w:r>
        <w:t xml:space="preserve">racionality za zbytečnou. Antropomorfní bůh po zásahu Spinozy přestal jednat a myslet a tím se dostal od konce 17. století do vegetativního stavu ducha. Metafyzicky vyprázdněný bůh </w:t>
      </w:r>
      <w:r w:rsidRPr="088C10B3">
        <w:rPr>
          <w:i/>
        </w:rPr>
        <w:t>Modernorum</w:t>
      </w:r>
      <w:r>
        <w:t xml:space="preserve"> naplnil v epoše mytopoetiky klasické kenotické určení Mesiáše jako Božího služebníka dané v </w:t>
      </w:r>
      <w:r w:rsidRPr="08343BDD">
        <w:rPr>
          <w:i/>
        </w:rPr>
        <w:t>Listu Filipanům</w:t>
      </w:r>
      <w:r>
        <w:fldChar w:fldCharType="begin"/>
      </w:r>
      <w:r>
        <w:instrText xml:space="preserve"> XE "</w:instrText>
      </w:r>
      <w:r w:rsidRPr="080A589F">
        <w:instrText>kenoze</w:instrText>
      </w:r>
      <w:r>
        <w:instrText xml:space="preserve">" </w:instrText>
      </w:r>
      <w:r>
        <w:fldChar w:fldCharType="end"/>
      </w:r>
      <w:r>
        <w:t xml:space="preserve"> (</w:t>
      </w:r>
      <w:r>
        <w:rPr>
          <w:rStyle w:val="st"/>
        </w:rPr>
        <w:t xml:space="preserve">ἐκένωσεν, </w:t>
      </w:r>
      <w:r w:rsidRPr="08D92FD6">
        <w:rPr>
          <w:rStyle w:val="st"/>
          <w:i/>
        </w:rPr>
        <w:t>Fil</w:t>
      </w:r>
      <w:r>
        <w:rPr>
          <w:rStyle w:val="st"/>
        </w:rPr>
        <w:t xml:space="preserve"> 2:7</w:t>
      </w:r>
      <w:r>
        <w:rPr>
          <w:rStyle w:val="st"/>
        </w:rPr>
        <w:fldChar w:fldCharType="begin"/>
      </w:r>
      <w:r>
        <w:instrText xml:space="preserve"> XE "Nový zákon:</w:instrText>
      </w:r>
      <w:r w:rsidRPr="08D92FD6">
        <w:rPr>
          <w:rStyle w:val="st"/>
          <w:i/>
        </w:rPr>
        <w:instrText>Fil</w:instrText>
      </w:r>
      <w:r w:rsidRPr="08FF1223">
        <w:rPr>
          <w:rStyle w:val="st"/>
        </w:rPr>
        <w:instrText xml:space="preserve"> 2:7</w:instrText>
      </w:r>
      <w:r>
        <w:instrText xml:space="preserve">" </w:instrText>
      </w:r>
      <w:r>
        <w:rPr>
          <w:rStyle w:val="st"/>
        </w:rPr>
        <w:fldChar w:fldCharType="end"/>
      </w:r>
      <w:r>
        <w:rPr>
          <w:rStyle w:val="st"/>
        </w:rPr>
        <w:t xml:space="preserve">). </w:t>
      </w:r>
      <w:r>
        <w:t>Homérský epos zná tento kenotický mýtus postmoderny v podobě vyprávění o mladíku Tithonovi</w:t>
      </w:r>
      <w:r>
        <w:fldChar w:fldCharType="begin"/>
      </w:r>
      <w:r>
        <w:instrText xml:space="preserve"> XE "</w:instrText>
      </w:r>
      <w:r w:rsidRPr="08D91E79">
        <w:instrText>Tithonos</w:instrText>
      </w:r>
      <w:r>
        <w:instrText xml:space="preserve">" </w:instrText>
      </w:r>
      <w:r>
        <w:fldChar w:fldCharType="end"/>
      </w:r>
      <w:r>
        <w:t xml:space="preserve">. </w:t>
      </w:r>
      <w:r w:rsidRPr="084D0F27">
        <w:t xml:space="preserve">Dílo </w:t>
      </w:r>
      <w:r w:rsidRPr="084D0F27">
        <w:rPr>
          <w:i/>
        </w:rPr>
        <w:t>Homérské hymny</w:t>
      </w:r>
      <w:r>
        <w:t xml:space="preserve"> popisuje, jak se bohyně červánků Eós zamilovala</w:t>
      </w:r>
      <w:r w:rsidRPr="084D0F27">
        <w:t xml:space="preserve"> do mládence jménem Tithonos (</w:t>
      </w:r>
      <w:r w:rsidRPr="08FB5CAC">
        <w:rPr>
          <w:i/>
        </w:rPr>
        <w:t>Hymni Homerici</w:t>
      </w:r>
      <w:r>
        <w:t xml:space="preserve"> </w:t>
      </w:r>
      <w:r w:rsidRPr="084D0F27">
        <w:t>5.218–247</w:t>
      </w:r>
      <w:r>
        <w:fldChar w:fldCharType="begin"/>
      </w:r>
      <w:r>
        <w:instrText xml:space="preserve"> XE "Homér:</w:instrText>
      </w:r>
      <w:r w:rsidRPr="08BD64B5">
        <w:rPr>
          <w:i/>
        </w:rPr>
        <w:instrText>Hymni Homerici</w:instrText>
      </w:r>
      <w:r w:rsidRPr="08BD64B5">
        <w:instrText xml:space="preserve"> 5.218–247</w:instrText>
      </w:r>
      <w:r>
        <w:instrText xml:space="preserve">" </w:instrText>
      </w:r>
      <w:r>
        <w:fldChar w:fldCharType="end"/>
      </w:r>
      <w:r w:rsidRPr="084D0F27">
        <w:t>). Bohyně Eós si vyprosila u Dia pro milence nesmrtelnost, ale zapomněla na dar věčného mládí. Tithonos zůstal nesmrtelný, ale stařecký vzhled a nemohoucnost jej dostaly do stejného vegetativního stavu jako duše v Hádu.</w:t>
      </w:r>
      <w:r w:rsidR="0054444A">
        <w:t xml:space="preserve"> </w:t>
      </w:r>
      <w:r>
        <w:t xml:space="preserve">Tak daleko v destrukci moderního boha Henry z </w:t>
      </w:r>
      <w:proofErr w:type="gramStart"/>
      <w:r>
        <w:t>Gentu</w:t>
      </w:r>
      <w:proofErr w:type="gramEnd"/>
      <w:r>
        <w:t xml:space="preserve"> pochopitelně nešel, protože </w:t>
      </w:r>
      <w:r w:rsidR="005120AA">
        <w:t xml:space="preserve">teprve zakládal </w:t>
      </w:r>
      <w:r w:rsidR="00336A1B">
        <w:t>jeho nihilisticky-kenotickou podobu</w:t>
      </w:r>
      <w:r>
        <w:t xml:space="preserve">. Gandavus projektuje do </w:t>
      </w:r>
      <w:r>
        <w:lastRenderedPageBreak/>
        <w:t xml:space="preserve">boha </w:t>
      </w:r>
      <w:r w:rsidR="008C2E89">
        <w:t>avicennovské</w:t>
      </w:r>
      <w:r>
        <w:t xml:space="preserve"> intenc</w:t>
      </w:r>
      <w:r w:rsidR="008C2E89">
        <w:t>e</w:t>
      </w:r>
      <w:r>
        <w:t xml:space="preserve"> v modu boží potence, která uvnitř ipseity a intimity boží podstaty </w:t>
      </w:r>
      <w:r w:rsidR="00917E5F">
        <w:t xml:space="preserve">objektivně </w:t>
      </w:r>
      <w:r>
        <w:t>generuje všechny možnosti svobodné stvořitelské vůle. Nihilistický s</w:t>
      </w:r>
      <w:r w:rsidRPr="00273106">
        <w:t xml:space="preserve">mysl jsoucna se definuje jako objektivně daný vztah </w:t>
      </w:r>
      <w:r>
        <w:t xml:space="preserve">k boží intenci </w:t>
      </w:r>
      <w:r w:rsidRPr="00273106">
        <w:t>(</w:t>
      </w:r>
      <w:r w:rsidRPr="00273106">
        <w:rPr>
          <w:i/>
        </w:rPr>
        <w:t>esse ad</w:t>
      </w:r>
      <w:r>
        <w:rPr>
          <w:i/>
        </w:rPr>
        <w:fldChar w:fldCharType="begin"/>
      </w:r>
      <w:r>
        <w:instrText xml:space="preserve"> XE "</w:instrText>
      </w:r>
      <w:r w:rsidRPr="008F3381">
        <w:rPr>
          <w:i/>
        </w:rPr>
        <w:instrText xml:space="preserve">esse </w:instrText>
      </w:r>
      <w:proofErr w:type="gramStart"/>
      <w:r w:rsidRPr="008F3381">
        <w:rPr>
          <w:i/>
        </w:rPr>
        <w:instrText>ad</w:instrText>
      </w:r>
      <w:proofErr w:type="gramEnd"/>
      <w:r w:rsidRPr="008F3381">
        <w:rPr>
          <w:i/>
        </w:rPr>
        <w:instrText>:</w:instrText>
      </w:r>
      <w:r>
        <w:instrText xml:space="preserve">Gandavus" </w:instrText>
      </w:r>
      <w:r>
        <w:rPr>
          <w:i/>
        </w:rPr>
        <w:fldChar w:fldCharType="end"/>
      </w:r>
      <w:r>
        <w:t>), která</w:t>
      </w:r>
      <w:r w:rsidRPr="00273106">
        <w:t xml:space="preserve"> vybavuje jsoucno prvním určením ve formě </w:t>
      </w:r>
      <w:r>
        <w:t xml:space="preserve">objektivně </w:t>
      </w:r>
      <w:r w:rsidRPr="00273106">
        <w:t>dané identity.</w:t>
      </w:r>
      <w:bookmarkStart w:id="86" w:name="_Ref413916767"/>
      <w:r>
        <w:t xml:space="preserve"> </w:t>
      </w:r>
      <w:bookmarkEnd w:id="86"/>
      <w:r>
        <w:t>U</w:t>
      </w:r>
      <w:r w:rsidRPr="00273106">
        <w:t xml:space="preserve">rčení </w:t>
      </w:r>
      <w:r>
        <w:t xml:space="preserve">reálného </w:t>
      </w:r>
      <w:r w:rsidRPr="00273106">
        <w:t xml:space="preserve">jsoucna </w:t>
      </w:r>
      <w:r>
        <w:t xml:space="preserve">v jeho aktualitě je odděleno od boží intencionality a pochopitelně i od aktuální </w:t>
      </w:r>
      <w:r w:rsidRPr="00273106">
        <w:t>boží substance</w:t>
      </w:r>
      <w:r>
        <w:fldChar w:fldCharType="begin"/>
      </w:r>
      <w:r>
        <w:instrText xml:space="preserve"> XE "</w:instrText>
      </w:r>
      <w:r w:rsidRPr="00DE2A32">
        <w:instrText>substance</w:instrText>
      </w:r>
      <w:r>
        <w:instrText xml:space="preserve">:bůh" </w:instrText>
      </w:r>
      <w:r>
        <w:fldChar w:fldCharType="end"/>
      </w:r>
      <w:r w:rsidRPr="00273106">
        <w:t xml:space="preserve">. </w:t>
      </w:r>
      <w:r>
        <w:t xml:space="preserve">Ontologický statut </w:t>
      </w:r>
      <w:r w:rsidRPr="0091333A">
        <w:rPr>
          <w:i/>
        </w:rPr>
        <w:t xml:space="preserve">esse </w:t>
      </w:r>
      <w:proofErr w:type="gramStart"/>
      <w:r w:rsidRPr="0091333A">
        <w:rPr>
          <w:i/>
        </w:rPr>
        <w:t>a</w:t>
      </w:r>
      <w:r>
        <w:rPr>
          <w:i/>
        </w:rPr>
        <w:t xml:space="preserve">d </w:t>
      </w:r>
      <w:r>
        <w:t>není</w:t>
      </w:r>
      <w:proofErr w:type="gramEnd"/>
      <w:r>
        <w:t xml:space="preserve"> platonská idea daná jako subsistentní jsoucno, protože v bohu neexistuje mnohost platonských idejí-substancí. Bonaventurova exemplární objektivita přechází skrze modus </w:t>
      </w:r>
      <w:r w:rsidRPr="088D5430">
        <w:rPr>
          <w:i/>
        </w:rPr>
        <w:t xml:space="preserve">esse </w:t>
      </w:r>
      <w:proofErr w:type="gramStart"/>
      <w:r w:rsidRPr="088D5430">
        <w:rPr>
          <w:i/>
        </w:rPr>
        <w:t>ad</w:t>
      </w:r>
      <w:proofErr w:type="gramEnd"/>
      <w:r>
        <w:t xml:space="preserve"> do její seminální podoby ve stvoření. Tento demiurgický scénář převzal Gandavus od Oliviho</w:t>
      </w:r>
      <w:r w:rsidR="00EB63BD">
        <w:t xml:space="preserve"> konceptu </w:t>
      </w:r>
      <w:r>
        <w:t>intimní kauzality vůle (</w:t>
      </w:r>
      <w:r w:rsidRPr="0091333A">
        <w:rPr>
          <w:i/>
        </w:rPr>
        <w:t>potentia substa</w:t>
      </w:r>
      <w:r>
        <w:rPr>
          <w:i/>
        </w:rPr>
        <w:t>n</w:t>
      </w:r>
      <w:r w:rsidRPr="0091333A">
        <w:rPr>
          <w:i/>
        </w:rPr>
        <w:t>tialis</w:t>
      </w:r>
      <w:r>
        <w:rPr>
          <w:i/>
        </w:rPr>
        <w:fldChar w:fldCharType="begin"/>
      </w:r>
      <w:r>
        <w:instrText xml:space="preserve"> XE "</w:instrText>
      </w:r>
      <w:r w:rsidRPr="00263A8E">
        <w:rPr>
          <w:i/>
        </w:rPr>
        <w:instrText>potentia substantialis</w:instrText>
      </w:r>
      <w:r>
        <w:instrText xml:space="preserve">" </w:instrText>
      </w:r>
      <w:r>
        <w:rPr>
          <w:i/>
        </w:rPr>
        <w:fldChar w:fldCharType="end"/>
      </w:r>
      <w:r>
        <w:t>, kap</w:t>
      </w:r>
      <w:r w:rsidR="00EB63BD">
        <w:t>. 5</w:t>
      </w:r>
      <w:r>
        <w:t xml:space="preserve">.1.2). </w:t>
      </w:r>
      <w:r w:rsidR="006F622C">
        <w:t xml:space="preserve">Exemplary objektivně existující </w:t>
      </w:r>
      <w:r w:rsidRPr="00273106">
        <w:t xml:space="preserve">v boží esenci přechází do stvoření </w:t>
      </w:r>
      <w:r>
        <w:t xml:space="preserve">podle scénáře </w:t>
      </w:r>
      <w:r w:rsidRPr="000F698D">
        <w:rPr>
          <w:i/>
        </w:rPr>
        <w:t>Liber de causis</w:t>
      </w:r>
      <w:r>
        <w:rPr>
          <w:i/>
        </w:rPr>
        <w:fldChar w:fldCharType="begin"/>
      </w:r>
      <w:r>
        <w:instrText xml:space="preserve"> XE "</w:instrText>
      </w:r>
      <w:r w:rsidRPr="00C46BD8">
        <w:rPr>
          <w:i/>
        </w:rPr>
        <w:instrText>Liber de causis</w:instrText>
      </w:r>
      <w:r>
        <w:instrText xml:space="preserve">" </w:instrText>
      </w:r>
      <w:r>
        <w:rPr>
          <w:i/>
        </w:rPr>
        <w:fldChar w:fldCharType="end"/>
      </w:r>
      <w:r w:rsidRPr="00273106">
        <w:t xml:space="preserve">. Určení věci v boží mysli je </w:t>
      </w:r>
      <w:r>
        <w:t xml:space="preserve">na rozdíl od neoplatonské hypostázované formy v </w:t>
      </w:r>
      <w:proofErr w:type="gramStart"/>
      <w:r w:rsidRPr="007470CF">
        <w:rPr>
          <w:i/>
        </w:rPr>
        <w:t>Liber</w:t>
      </w:r>
      <w:proofErr w:type="gramEnd"/>
      <w:r w:rsidRPr="007470CF">
        <w:rPr>
          <w:i/>
        </w:rPr>
        <w:t xml:space="preserve"> de causis</w:t>
      </w:r>
      <w:r>
        <w:t xml:space="preserve"> </w:t>
      </w:r>
      <w:r w:rsidRPr="00273106">
        <w:t xml:space="preserve">dáno pouze potenciálně, protože jde o </w:t>
      </w:r>
      <w:r>
        <w:t xml:space="preserve">první </w:t>
      </w:r>
      <w:r w:rsidRPr="00273106">
        <w:t xml:space="preserve">určení jsoucna </w:t>
      </w:r>
      <w:r>
        <w:t xml:space="preserve">v modu pouhého </w:t>
      </w:r>
      <w:r w:rsidRPr="00273106">
        <w:rPr>
          <w:i/>
        </w:rPr>
        <w:t>esse diminutum</w:t>
      </w:r>
      <w:r>
        <w:rPr>
          <w:i/>
        </w:rPr>
        <w:fldChar w:fldCharType="begin"/>
      </w:r>
      <w:r>
        <w:instrText xml:space="preserve"> XE "</w:instrText>
      </w:r>
      <w:r w:rsidRPr="00782C1F">
        <w:rPr>
          <w:i/>
        </w:rPr>
        <w:instrText>esse diminutum</w:instrText>
      </w:r>
      <w:r>
        <w:instrText xml:space="preserve">" </w:instrText>
      </w:r>
      <w:r>
        <w:rPr>
          <w:i/>
        </w:rPr>
        <w:fldChar w:fldCharType="end"/>
      </w:r>
      <w:r w:rsidRPr="00273106">
        <w:t xml:space="preserve">. </w:t>
      </w:r>
      <w:r w:rsidR="00B37C8C">
        <w:t xml:space="preserve">Božský a lidský subjekt nazírají toto </w:t>
      </w:r>
      <w:r>
        <w:t xml:space="preserve">objektivní </w:t>
      </w:r>
      <w:r w:rsidRPr="003437E7">
        <w:rPr>
          <w:i/>
        </w:rPr>
        <w:t>scibile</w:t>
      </w:r>
      <w:r>
        <w:t xml:space="preserve"> v modu Grossetestova intuitivního náhledu (</w:t>
      </w:r>
      <w:r w:rsidRPr="00F97D37">
        <w:rPr>
          <w:i/>
        </w:rPr>
        <w:t>intellectus</w:t>
      </w:r>
      <w:r>
        <w:t xml:space="preserve">). Objektivní vidění neexistujícího jsoucna třetího druhu zopakují všichni postmodernisté </w:t>
      </w:r>
      <w:proofErr w:type="gramStart"/>
      <w:r>
        <w:t>začínajíc</w:t>
      </w:r>
      <w:proofErr w:type="gramEnd"/>
      <w:r>
        <w:t xml:space="preserve"> prvním karteziánem Arnauldem </w:t>
      </w:r>
      <w:r>
        <w:fldChar w:fldCharType="begin"/>
      </w:r>
      <w:r>
        <w:instrText xml:space="preserve"> XE "</w:instrText>
      </w:r>
      <w:r w:rsidRPr="00EF1828">
        <w:instrText>Arnauld, A.</w:instrText>
      </w:r>
      <w:r>
        <w:instrText xml:space="preserve">" </w:instrText>
      </w:r>
      <w:r>
        <w:fldChar w:fldCharType="end"/>
      </w:r>
      <w:r>
        <w:t xml:space="preserve"> (</w:t>
      </w:r>
      <w:r w:rsidR="002119FE">
        <w:t xml:space="preserve">OBJ I, </w:t>
      </w:r>
      <w:r>
        <w:t>kap. 2.4.4). Husserl završuje toto eidetické vidění v Heideggerem popsané epoše metafyzického nihilismu</w:t>
      </w:r>
      <w:r>
        <w:fldChar w:fldCharType="begin"/>
      </w:r>
      <w:r>
        <w:instrText xml:space="preserve"> XE "</w:instrText>
      </w:r>
      <w:r w:rsidRPr="00F0107B">
        <w:instrText>Husserl, E.</w:instrText>
      </w:r>
      <w:r>
        <w:instrText xml:space="preserve">" </w:instrText>
      </w:r>
      <w:r>
        <w:fldChar w:fldCharType="end"/>
      </w:r>
      <w:r w:rsidR="00FE2EBD">
        <w:t>.</w:t>
      </w:r>
    </w:p>
    <w:p w:rsidR="08163013" w:rsidRPr="00273106" w:rsidRDefault="08163013" w:rsidP="006602D1">
      <w:pPr>
        <w:ind w:firstLine="397"/>
      </w:pPr>
      <w:r>
        <w:t>S</w:t>
      </w:r>
      <w:r w:rsidRPr="00273106">
        <w:t xml:space="preserve">vrchovaná </w:t>
      </w:r>
      <w:r>
        <w:t xml:space="preserve">boží </w:t>
      </w:r>
      <w:r w:rsidRPr="00273106">
        <w:t xml:space="preserve">subjektivita daná v aktu volního a intelektuálního příklonu k potenciálnímu stvoření zakládá </w:t>
      </w:r>
      <w:r>
        <w:t xml:space="preserve">univerzální podobnost </w:t>
      </w:r>
      <w:r w:rsidRPr="00273106">
        <w:t>jsoucna</w:t>
      </w:r>
      <w:r>
        <w:t xml:space="preserve"> </w:t>
      </w:r>
      <w:r w:rsidRPr="00273106">
        <w:t xml:space="preserve">v rámci </w:t>
      </w:r>
      <w:r w:rsidRPr="00273106">
        <w:rPr>
          <w:i/>
        </w:rPr>
        <w:t>analogia entis</w:t>
      </w:r>
      <w:r>
        <w:rPr>
          <w:i/>
        </w:rPr>
        <w:fldChar w:fldCharType="begin"/>
      </w:r>
      <w:r>
        <w:instrText xml:space="preserve"> XE "</w:instrText>
      </w:r>
      <w:r w:rsidRPr="00834F99">
        <w:rPr>
          <w:rStyle w:val="addmd"/>
          <w:i/>
        </w:rPr>
        <w:instrText>analogia entis</w:instrText>
      </w:r>
      <w:r>
        <w:instrText xml:space="preserve">" </w:instrText>
      </w:r>
      <w:r>
        <w:rPr>
          <w:i/>
        </w:rPr>
        <w:fldChar w:fldCharType="end"/>
      </w:r>
      <w:r>
        <w:t xml:space="preserve">. Analogii </w:t>
      </w:r>
      <w:r w:rsidRPr="00273106">
        <w:t xml:space="preserve">určuje nutný vztah </w:t>
      </w:r>
      <w:r>
        <w:t xml:space="preserve">daný </w:t>
      </w:r>
      <w:r w:rsidRPr="00273106">
        <w:t xml:space="preserve">mezi aktuální boží substancí a mezi potenciálními produkty jejího myšlení a chtění. Tím vznikla </w:t>
      </w:r>
      <w:r>
        <w:t>v moderním bohu</w:t>
      </w:r>
      <w:r w:rsidRPr="00273106">
        <w:t xml:space="preserve"> primární sféra subjekt-objektového vztahu</w:t>
      </w:r>
      <w:r>
        <w:t xml:space="preserve"> daného exemplárně a intencionálně</w:t>
      </w:r>
      <w:r>
        <w:fldChar w:fldCharType="begin"/>
      </w:r>
      <w:r>
        <w:instrText xml:space="preserve"> XE "</w:instrText>
      </w:r>
      <w:r w:rsidRPr="0049312E">
        <w:instrText>intencionalita:bůh</w:instrText>
      </w:r>
      <w:r>
        <w:instrText xml:space="preserve">" </w:instrText>
      </w:r>
      <w:r>
        <w:fldChar w:fldCharType="end"/>
      </w:r>
      <w:r w:rsidRPr="00273106">
        <w:t xml:space="preserve">. </w:t>
      </w:r>
      <w:r>
        <w:t xml:space="preserve">Na prvním patře moderní resoluce jsoucna stojí absolutně dané </w:t>
      </w:r>
      <w:r w:rsidRPr="00931D03">
        <w:rPr>
          <w:i/>
        </w:rPr>
        <w:t>obiectum</w:t>
      </w:r>
      <w:r>
        <w:t>, které je v tomto specifickém bytí jsoucího intencionálně koncipované samotným bohem</w:t>
      </w:r>
      <w:r w:rsidRPr="00273106">
        <w:t xml:space="preserve">. </w:t>
      </w:r>
      <w:r>
        <w:t>B</w:t>
      </w:r>
      <w:r w:rsidRPr="00273106">
        <w:t>oží intencionalit</w:t>
      </w:r>
      <w:r>
        <w:t>a</w:t>
      </w:r>
      <w:r w:rsidRPr="00273106">
        <w:t xml:space="preserve"> </w:t>
      </w:r>
      <w:r>
        <w:t xml:space="preserve">daná směrem </w:t>
      </w:r>
      <w:r w:rsidRPr="00273106">
        <w:t>ke stvoření</w:t>
      </w:r>
      <w:r>
        <w:t xml:space="preserve"> má exemplární a plně objektivní charakter</w:t>
      </w:r>
      <w:r>
        <w:rPr>
          <w:i/>
        </w:rPr>
        <w:fldChar w:fldCharType="begin"/>
      </w:r>
      <w:r>
        <w:instrText xml:space="preserve"> XE "</w:instrText>
      </w:r>
      <w:r w:rsidRPr="00400302">
        <w:rPr>
          <w:i/>
        </w:rPr>
        <w:instrText>relatio</w:instrText>
      </w:r>
      <w:r>
        <w:instrText xml:space="preserve">" </w:instrText>
      </w:r>
      <w:r>
        <w:rPr>
          <w:i/>
        </w:rPr>
        <w:fldChar w:fldCharType="end"/>
      </w:r>
      <w:r>
        <w:t xml:space="preserve">. </w:t>
      </w:r>
      <w:r w:rsidRPr="00273106">
        <w:t>Na nižší úrovni stvořené věci mezi sebou udržují reálný vztah determinovaný jako kategoriální určení substance podle Aristotela (</w:t>
      </w:r>
      <w:r w:rsidRPr="00273106">
        <w:rPr>
          <w:i/>
        </w:rPr>
        <w:t>relatio realis</w:t>
      </w:r>
      <w:r w:rsidRPr="00273106">
        <w:t>), k němuž přijde i sekundární stvořitelská aktivita lidského agenta. Oba vztahy tvoří jeden ontoteologický celek univočně pojaté jednoty jsoucna</w:t>
      </w:r>
      <w:r>
        <w:t xml:space="preserve"> v modu objektivní analogie jsoucna třetího druhu (</w:t>
      </w:r>
      <w:r w:rsidRPr="008A673A">
        <w:rPr>
          <w:i/>
        </w:rPr>
        <w:t>analogia entis</w:t>
      </w:r>
      <w:r>
        <w:t>)</w:t>
      </w:r>
      <w:r w:rsidRPr="00273106">
        <w:t>.</w:t>
      </w:r>
      <w:r>
        <w:t xml:space="preserve"> Tím je dán základ antropocentrické konstrukce moderní metafyziky a je rovněž nalezeno původní místo vzniku </w:t>
      </w:r>
      <w:r>
        <w:lastRenderedPageBreak/>
        <w:t>objektivity</w:t>
      </w:r>
      <w:r>
        <w:fldChar w:fldCharType="begin"/>
      </w:r>
      <w:r>
        <w:instrText xml:space="preserve"> XE "</w:instrText>
      </w:r>
      <w:r w:rsidRPr="00D108BD">
        <w:instrText>objektivita:Gandavus</w:instrText>
      </w:r>
      <w:r>
        <w:instrText xml:space="preserve">" </w:instrText>
      </w:r>
      <w:r>
        <w:fldChar w:fldCharType="end"/>
      </w:r>
      <w:r>
        <w:t xml:space="preserve">. První podobu této analogie koncipoval Rufus skrze matematickou formu </w:t>
      </w:r>
      <w:r w:rsidRPr="00FF2436">
        <w:rPr>
          <w:i/>
        </w:rPr>
        <w:t>Oxfordian Fallacy</w:t>
      </w:r>
      <w:r>
        <w:fldChar w:fldCharType="begin"/>
      </w:r>
      <w:r>
        <w:instrText xml:space="preserve"> XE "</w:instrText>
      </w:r>
      <w:r w:rsidRPr="00FF2436">
        <w:rPr>
          <w:i/>
        </w:rPr>
        <w:instrText>Oxfordian Fallacy</w:instrText>
      </w:r>
      <w:r>
        <w:rPr>
          <w:i/>
        </w:rPr>
        <w:instrText>:</w:instrText>
      </w:r>
      <w:r w:rsidRPr="00FF2436">
        <w:instrText>Rufus</w:instrText>
      </w:r>
      <w:r>
        <w:instrText xml:space="preserve">" </w:instrText>
      </w:r>
      <w:r>
        <w:fldChar w:fldCharType="end"/>
      </w:r>
      <w:r>
        <w:t xml:space="preserve"> (</w:t>
      </w:r>
      <w:r w:rsidR="00E857BE">
        <w:t>OBJ II, kap. 3</w:t>
      </w:r>
      <w:r>
        <w:t xml:space="preserve">.3.1). Gandavus otevírá </w:t>
      </w:r>
      <w:r w:rsidRPr="00F82691">
        <w:rPr>
          <w:i/>
        </w:rPr>
        <w:t>via Modernorum</w:t>
      </w:r>
      <w:r>
        <w:t xml:space="preserve"> směrem k ontologii a k moderním vědám o člověku, které systematizuje reformační humanista Goclenius jako evropsky uznávaný expert n</w:t>
      </w:r>
      <w:r w:rsidR="00666097">
        <w:t>a zkoumání čarodějnictví (kap. 5</w:t>
      </w:r>
      <w:r>
        <w:t xml:space="preserve">.5). Bůh dostal objektivní hypostázovanou </w:t>
      </w:r>
      <w:r w:rsidR="00C71BDE">
        <w:t xml:space="preserve">mysl </w:t>
      </w:r>
      <w:r>
        <w:t>a stal</w:t>
      </w:r>
      <w:r w:rsidR="00C71BDE">
        <w:t>o se z něj moderní</w:t>
      </w:r>
      <w:r>
        <w:t xml:space="preserve"> </w:t>
      </w:r>
      <w:r w:rsidR="00C71BDE" w:rsidRPr="00E04F34">
        <w:rPr>
          <w:i/>
        </w:rPr>
        <w:t>individuum</w:t>
      </w:r>
      <w:r>
        <w:t xml:space="preserve">. Vytvoření nové sféry intencionální intimity v bohu vzniklo podle Simplikova habituálního </w:t>
      </w:r>
      <w:r w:rsidRPr="00273106">
        <w:t>určení vztahu jako jsoucna třetího druhu (πρός τι τὸ ἁπλῶς</w:t>
      </w:r>
      <w:r>
        <w:t xml:space="preserve">, </w:t>
      </w:r>
      <w:r w:rsidRPr="08B33D31">
        <w:rPr>
          <w:i/>
        </w:rPr>
        <w:t xml:space="preserve">esse </w:t>
      </w:r>
      <w:proofErr w:type="gramStart"/>
      <w:r w:rsidRPr="08B33D31">
        <w:rPr>
          <w:i/>
        </w:rPr>
        <w:t>ad</w:t>
      </w:r>
      <w:proofErr w:type="gramEnd"/>
      <w:r w:rsidRPr="00273106">
        <w:t>).</w:t>
      </w:r>
      <w:r>
        <w:t xml:space="preserve"> </w:t>
      </w:r>
      <w:r w:rsidRPr="00273106">
        <w:t xml:space="preserve">Sféra objektivity nesmí být v bohu dána jako další substance, ale musí se stát potenciální stvořitelskou intencí. </w:t>
      </w:r>
      <w:r>
        <w:t xml:space="preserve">Ale tato potence musí mít exemplárně trvalý, tedy objektivně-habituální charakter. </w:t>
      </w:r>
      <w:r w:rsidRPr="00273106">
        <w:t>Podle druhého averroismu může být substanční pluralita dána v člověku, ale nikoliv v bohu</w:t>
      </w:r>
      <w:r>
        <w:t>. Boží schizofrenie má pouze objektivní charakter, nikoliv substanční jako v případě moderního lidského subjektu</w:t>
      </w:r>
      <w:r w:rsidRPr="00273106">
        <w:t>.</w:t>
      </w:r>
      <w:r>
        <w:t xml:space="preserve"> Devátý </w:t>
      </w:r>
      <w:r w:rsidRPr="005F703C">
        <w:rPr>
          <w:i/>
        </w:rPr>
        <w:t>Quodlibet</w:t>
      </w:r>
      <w:r>
        <w:t xml:space="preserve"> doslovně </w:t>
      </w:r>
      <w:r w:rsidRPr="00273106">
        <w:t xml:space="preserve">cituje </w:t>
      </w:r>
      <w:r>
        <w:t xml:space="preserve">klíčovou </w:t>
      </w:r>
      <w:r w:rsidRPr="00273106">
        <w:t xml:space="preserve">část Simplikiova komentáře ke </w:t>
      </w:r>
      <w:r w:rsidRPr="08A478DC">
        <w:rPr>
          <w:i/>
        </w:rPr>
        <w:t>Kategoriím</w:t>
      </w:r>
      <w:r>
        <w:t xml:space="preserve"> v překladu Moerbekeho (ed. Pattin, t. I, pp. 280.85‒281.90) a </w:t>
      </w:r>
      <w:r w:rsidRPr="00273106">
        <w:t>zakládá první objektivní vztah ke jsoucnu</w:t>
      </w:r>
      <w:r>
        <w:t xml:space="preserve"> třetího druhu vzniklého v boží intencionalitě. </w:t>
      </w:r>
    </w:p>
    <w:p w:rsidR="08163013" w:rsidRPr="003E2DF1" w:rsidRDefault="08163013" w:rsidP="08163013">
      <w:pPr>
        <w:pStyle w:val="Citace"/>
        <w:rPr>
          <w:lang w:val="cs-CZ"/>
        </w:rPr>
      </w:pPr>
      <w:r w:rsidRPr="00A6508E">
        <w:t>„</w:t>
      </w:r>
      <w:r w:rsidR="001146DE">
        <w:rPr>
          <w:rFonts w:cs="Calibri"/>
        </w:rPr>
        <w:t>[</w:t>
      </w:r>
      <w:r w:rsidR="001146DE">
        <w:rPr>
          <w:lang w:val="cs-CZ"/>
        </w:rPr>
        <w:t>V bohu</w:t>
      </w:r>
      <w:r w:rsidR="001146DE">
        <w:rPr>
          <w:rFonts w:cs="Calibri"/>
          <w:lang w:val="cs-CZ"/>
        </w:rPr>
        <w:t>]</w:t>
      </w:r>
      <w:r w:rsidR="001146DE">
        <w:rPr>
          <w:lang w:val="cs-CZ"/>
        </w:rPr>
        <w:t xml:space="preserve"> n</w:t>
      </w:r>
      <w:r>
        <w:rPr>
          <w:lang w:val="cs-CZ"/>
        </w:rPr>
        <w:t xml:space="preserve">ení žádné habituální určení, protože </w:t>
      </w:r>
      <w:r w:rsidR="001146DE">
        <w:rPr>
          <w:lang w:val="cs-CZ"/>
        </w:rPr>
        <w:t>není myslitelné</w:t>
      </w:r>
      <w:r>
        <w:rPr>
          <w:lang w:val="cs-CZ"/>
        </w:rPr>
        <w:t xml:space="preserve">. Zde není jinakovost daná k něčemu jinému, jako je tomu při predikaci habitu vzhledem k substanci. Jedna kategorie se liší od druhé a mají jiný vztah k sobě navzájem. Jak jinak lze myslet v těchto kategoriálních určeních vztah k jinému </w:t>
      </w:r>
      <w:r w:rsidRPr="00666097">
        <w:t>(</w:t>
      </w:r>
      <w:r w:rsidRPr="00666097">
        <w:rPr>
          <w:i/>
        </w:rPr>
        <w:t>in istis ipsum 'ad aliquid' considerari</w:t>
      </w:r>
      <w:r w:rsidRPr="00666097">
        <w:t>)</w:t>
      </w:r>
      <w:r>
        <w:rPr>
          <w:lang w:val="cs-CZ"/>
        </w:rPr>
        <w:t xml:space="preserve"> než v modu analogie (</w:t>
      </w:r>
      <w:r w:rsidRPr="00C33DA7">
        <w:rPr>
          <w:i/>
        </w:rPr>
        <w:t>secundum aliquam analogiam</w:t>
      </w:r>
      <w:r>
        <w:rPr>
          <w:lang w:val="cs-CZ"/>
        </w:rPr>
        <w:t>), jako když o příčině říkáme, že je tam, kde je také účinek (</w:t>
      </w:r>
      <w:r w:rsidRPr="00C33DA7">
        <w:rPr>
          <w:i/>
        </w:rPr>
        <w:t>causas dicimus ibi et causata</w:t>
      </w:r>
      <w:r>
        <w:rPr>
          <w:lang w:val="cs-CZ"/>
        </w:rPr>
        <w:t>)?“ </w:t>
      </w:r>
      <w:r>
        <w:rPr>
          <w:rStyle w:val="Znakapoznpodarou"/>
        </w:rPr>
        <w:footnoteReference w:id="413"/>
      </w:r>
    </w:p>
    <w:p w:rsidR="000660F6" w:rsidRDefault="0059731F" w:rsidP="08163013">
      <w:r>
        <w:t>Odkaz na Simplikiův termín „</w:t>
      </w:r>
      <w:r w:rsidRPr="0059731F">
        <w:rPr>
          <w:i/>
        </w:rPr>
        <w:t>ad aliquid</w:t>
      </w:r>
      <w:r>
        <w:t>“</w:t>
      </w:r>
      <w:r w:rsidRPr="0059731F">
        <w:t xml:space="preserve"> (πρός τι τὸ ἁπλῶς) říká, že ve sféře první objektivity neexistuje určení druhé substance</w:t>
      </w:r>
      <w:r w:rsidR="00760DAC">
        <w:fldChar w:fldCharType="begin"/>
      </w:r>
      <w:r w:rsidR="00760DAC">
        <w:instrText xml:space="preserve"> XE "</w:instrText>
      </w:r>
      <w:r w:rsidR="00760DAC" w:rsidRPr="00A90EFC">
        <w:instrText>substance:druhá</w:instrText>
      </w:r>
      <w:r w:rsidR="00760DAC">
        <w:instrText xml:space="preserve">" </w:instrText>
      </w:r>
      <w:r w:rsidR="00760DAC">
        <w:fldChar w:fldCharType="end"/>
      </w:r>
      <w:r w:rsidRPr="0059731F">
        <w:t>. Tento argum</w:t>
      </w:r>
      <w:r>
        <w:t xml:space="preserve">ent ukazuje hrubou </w:t>
      </w:r>
      <w:r w:rsidRPr="0059731F">
        <w:rPr>
          <w:i/>
        </w:rPr>
        <w:t>apaideusía</w:t>
      </w:r>
      <w:r>
        <w:rPr>
          <w:i/>
        </w:rPr>
        <w:fldChar w:fldCharType="begin"/>
      </w:r>
      <w:r>
        <w:instrText xml:space="preserve"> XE "</w:instrText>
      </w:r>
      <w:r w:rsidRPr="002B4631">
        <w:rPr>
          <w:i/>
        </w:rPr>
        <w:instrText>apaideusía</w:instrText>
      </w:r>
      <w:r>
        <w:instrText xml:space="preserve">" </w:instrText>
      </w:r>
      <w:r>
        <w:rPr>
          <w:i/>
        </w:rPr>
        <w:fldChar w:fldCharType="end"/>
      </w:r>
      <w:r>
        <w:t xml:space="preserve"> </w:t>
      </w:r>
      <w:r w:rsidRPr="0059731F">
        <w:t>modernistů. Gandavus považuje neoplaton</w:t>
      </w:r>
      <w:r>
        <w:t>s</w:t>
      </w:r>
      <w:r w:rsidRPr="0059731F">
        <w:t xml:space="preserve">ké určení habitu za </w:t>
      </w:r>
      <w:r w:rsidR="00760DAC">
        <w:t xml:space="preserve">původní </w:t>
      </w:r>
      <w:r w:rsidRPr="0059731F">
        <w:t>aristotelský termín. Habitus jako hypostáze nemůž</w:t>
      </w:r>
      <w:r>
        <w:t>e v b</w:t>
      </w:r>
      <w:r w:rsidRPr="0059731F">
        <w:t>ohu existovat, protože je absolutně jednoduchý.</w:t>
      </w:r>
      <w:r w:rsidR="00760DAC">
        <w:t xml:space="preserve"> </w:t>
      </w:r>
      <w:r w:rsidR="08163013">
        <w:t>C</w:t>
      </w:r>
      <w:r w:rsidR="08163013" w:rsidRPr="00273106">
        <w:t xml:space="preserve">itát koncipuje </w:t>
      </w:r>
      <w:r w:rsidR="08163013">
        <w:t>v</w:t>
      </w:r>
      <w:r w:rsidR="08163013" w:rsidRPr="00273106">
        <w:t xml:space="preserve"> souladu se </w:t>
      </w:r>
      <w:r w:rsidR="08163013" w:rsidRPr="004163FB">
        <w:t>Simplikiem objektivní aspekt jsoucna daný směrem od boha ke stvoření (</w:t>
      </w:r>
      <w:r w:rsidR="08163013" w:rsidRPr="004163FB">
        <w:rPr>
          <w:i/>
        </w:rPr>
        <w:t>'ad aliquid' considerari</w:t>
      </w:r>
      <w:r w:rsidR="08163013" w:rsidRPr="004163FB">
        <w:t>), který je založený analogicky (</w:t>
      </w:r>
      <w:r w:rsidR="08163013" w:rsidRPr="004163FB">
        <w:rPr>
          <w:i/>
        </w:rPr>
        <w:t>secundum aliquam analogiam</w:t>
      </w:r>
      <w:r w:rsidR="08163013" w:rsidRPr="004163FB">
        <w:t xml:space="preserve">). </w:t>
      </w:r>
      <w:r w:rsidR="08163013" w:rsidRPr="00273106">
        <w:t>Habitus není dán akcidentální modifikací substance</w:t>
      </w:r>
      <w:r w:rsidR="08163013">
        <w:t xml:space="preserve"> </w:t>
      </w:r>
      <w:r w:rsidR="08163013" w:rsidRPr="00273106">
        <w:t>(</w:t>
      </w:r>
      <w:r w:rsidR="08163013" w:rsidRPr="00273106">
        <w:rPr>
          <w:i/>
        </w:rPr>
        <w:t>nulla est ibi habitudo</w:t>
      </w:r>
      <w:r w:rsidR="08163013" w:rsidRPr="00273106">
        <w:t xml:space="preserve">), ale určením věci od poznávajícího subjektu. </w:t>
      </w:r>
      <w:r w:rsidR="08163013">
        <w:t xml:space="preserve">Bůh objektivně </w:t>
      </w:r>
      <w:r w:rsidR="008E0E54">
        <w:t xml:space="preserve">vytváří </w:t>
      </w:r>
      <w:r w:rsidR="08163013">
        <w:t xml:space="preserve">věci tím, že je intenduje a ne tím, že je </w:t>
      </w:r>
      <w:r w:rsidR="008E0E54">
        <w:t xml:space="preserve">reálně </w:t>
      </w:r>
      <w:r w:rsidR="08163013">
        <w:t>tvoří</w:t>
      </w:r>
      <w:r w:rsidR="00ED250E">
        <w:t xml:space="preserve"> jako platonské ideje. </w:t>
      </w:r>
      <w:r w:rsidR="0082590D">
        <w:t xml:space="preserve">Zavedením Simpliciových </w:t>
      </w:r>
      <w:r w:rsidR="0082590D">
        <w:lastRenderedPageBreak/>
        <w:t>hypostá</w:t>
      </w:r>
      <w:r w:rsidR="0082590D" w:rsidRPr="0082590D">
        <w:t xml:space="preserve">zí vztahu a habitu Henry radikálně změnil aristotelský výklad kategoriální determinace. Nemohl zavést pluralitu substancí </w:t>
      </w:r>
      <w:r w:rsidR="00906674">
        <w:t>do boha</w:t>
      </w:r>
      <w:r w:rsidR="0082590D" w:rsidRPr="0082590D">
        <w:t xml:space="preserve">, </w:t>
      </w:r>
      <w:r w:rsidR="00906674">
        <w:t>proto hypostáz</w:t>
      </w:r>
      <w:r w:rsidR="0082590D" w:rsidRPr="0082590D">
        <w:t xml:space="preserve">oval trvalou schopnost božské intencionality prostřednictvím neoplatonského pojetí vztahu a habitu. </w:t>
      </w:r>
      <w:r w:rsidR="00EE70F7">
        <w:t xml:space="preserve">Kategoriální určení jsou nyní daná analogicky, protože primát </w:t>
      </w:r>
      <w:r w:rsidR="08163013">
        <w:t xml:space="preserve">druhé </w:t>
      </w:r>
      <w:r w:rsidR="08163013" w:rsidRPr="00273106">
        <w:t xml:space="preserve">substance </w:t>
      </w:r>
      <w:r w:rsidR="00EE70F7">
        <w:t>je založen skrze hypostázovanou subjektivitu</w:t>
      </w:r>
      <w:r w:rsidR="08163013" w:rsidRPr="00273106">
        <w:t xml:space="preserve"> </w:t>
      </w:r>
      <w:r w:rsidR="08163013">
        <w:t>božího demiurga</w:t>
      </w:r>
      <w:r w:rsidR="00812656">
        <w:fldChar w:fldCharType="begin"/>
      </w:r>
      <w:r w:rsidR="00812656">
        <w:instrText xml:space="preserve"> XE "</w:instrText>
      </w:r>
      <w:r w:rsidR="00812656" w:rsidRPr="005C2F4A">
        <w:rPr>
          <w:rStyle w:val="addmd"/>
        </w:rPr>
        <w:instrText>demiurg</w:instrText>
      </w:r>
      <w:r w:rsidR="00812656">
        <w:instrText xml:space="preserve">" </w:instrText>
      </w:r>
      <w:r w:rsidR="00812656">
        <w:fldChar w:fldCharType="end"/>
      </w:r>
      <w:r w:rsidR="08163013">
        <w:t xml:space="preserve">. Modus predikace od boha ke stvoření je daný </w:t>
      </w:r>
      <w:r w:rsidR="08163013" w:rsidRPr="00273106">
        <w:t xml:space="preserve">v </w:t>
      </w:r>
      <w:r w:rsidR="08163013">
        <w:t xml:space="preserve">intencionálním </w:t>
      </w:r>
      <w:r w:rsidR="08163013" w:rsidRPr="00273106">
        <w:t xml:space="preserve">modu </w:t>
      </w:r>
      <w:r w:rsidR="00996053">
        <w:t>„</w:t>
      </w:r>
      <w:r w:rsidR="08163013" w:rsidRPr="00273106">
        <w:rPr>
          <w:i/>
        </w:rPr>
        <w:t>esse ad</w:t>
      </w:r>
      <w:r w:rsidR="00996053">
        <w:t>“</w:t>
      </w:r>
      <w:r w:rsidR="08163013">
        <w:rPr>
          <w:i/>
        </w:rPr>
        <w:fldChar w:fldCharType="begin"/>
      </w:r>
      <w:r w:rsidR="08163013">
        <w:instrText xml:space="preserve"> XE "</w:instrText>
      </w:r>
      <w:r w:rsidR="08163013" w:rsidRPr="008F3381">
        <w:rPr>
          <w:i/>
        </w:rPr>
        <w:instrText xml:space="preserve">esse </w:instrText>
      </w:r>
      <w:proofErr w:type="gramStart"/>
      <w:r w:rsidR="08163013" w:rsidRPr="008F3381">
        <w:rPr>
          <w:i/>
        </w:rPr>
        <w:instrText>ad</w:instrText>
      </w:r>
      <w:proofErr w:type="gramEnd"/>
      <w:r w:rsidR="08163013" w:rsidRPr="008F3381">
        <w:rPr>
          <w:i/>
        </w:rPr>
        <w:instrText>:</w:instrText>
      </w:r>
      <w:r w:rsidR="08163013" w:rsidRPr="00B2598F">
        <w:instrText>Gandavus</w:instrText>
      </w:r>
      <w:r w:rsidR="08163013">
        <w:instrText xml:space="preserve">" </w:instrText>
      </w:r>
      <w:r w:rsidR="08163013">
        <w:rPr>
          <w:i/>
        </w:rPr>
        <w:fldChar w:fldCharType="end"/>
      </w:r>
      <w:r w:rsidR="08163013">
        <w:t xml:space="preserve">. Pak už </w:t>
      </w:r>
      <w:r w:rsidR="08163013" w:rsidRPr="00273106">
        <w:t xml:space="preserve">subjektivní intence moderního boha funguje směrem ke stvoření. Vraťme se k sebevlastnění vůle v Oliviho </w:t>
      </w:r>
      <w:r w:rsidR="08163013">
        <w:t xml:space="preserve">termínu </w:t>
      </w:r>
      <w:r w:rsidR="00E06377">
        <w:t>„</w:t>
      </w:r>
      <w:r w:rsidR="08163013" w:rsidRPr="00273106">
        <w:rPr>
          <w:i/>
        </w:rPr>
        <w:t>potentia substantialis</w:t>
      </w:r>
      <w:r w:rsidR="00E06377">
        <w:t>“</w:t>
      </w:r>
      <w:r w:rsidR="08163013">
        <w:rPr>
          <w:i/>
        </w:rPr>
        <w:fldChar w:fldCharType="begin"/>
      </w:r>
      <w:r w:rsidR="08163013">
        <w:instrText xml:space="preserve"> XE "</w:instrText>
      </w:r>
      <w:r w:rsidR="08163013" w:rsidRPr="00263A8E">
        <w:rPr>
          <w:i/>
        </w:rPr>
        <w:instrText>potentia substantialis</w:instrText>
      </w:r>
      <w:r w:rsidR="08163013">
        <w:instrText xml:space="preserve">" </w:instrText>
      </w:r>
      <w:r w:rsidR="08163013">
        <w:rPr>
          <w:i/>
        </w:rPr>
        <w:fldChar w:fldCharType="end"/>
      </w:r>
      <w:r w:rsidR="00D94677">
        <w:t xml:space="preserve"> (kap. 5</w:t>
      </w:r>
      <w:r w:rsidR="08163013" w:rsidRPr="00273106">
        <w:t>.1.3). Vůle jako substance třetího druhu je sama sebou v intimním výkonu aktuálně dané svobody</w:t>
      </w:r>
      <w:r w:rsidR="00192594">
        <w:t>,</w:t>
      </w:r>
      <w:r w:rsidR="08163013" w:rsidRPr="00273106">
        <w:t xml:space="preserve"> a </w:t>
      </w:r>
      <w:r w:rsidR="08163013">
        <w:t>t</w:t>
      </w:r>
      <w:r w:rsidR="08163013" w:rsidRPr="00273106">
        <w:t>ím je svobodná vzhledem k</w:t>
      </w:r>
      <w:r w:rsidR="00192594">
        <w:t>e každému</w:t>
      </w:r>
      <w:r w:rsidR="08163013" w:rsidRPr="00273106">
        <w:t xml:space="preserve"> možnému chtění. Gandavus dává boží intencionalitě </w:t>
      </w:r>
      <w:r w:rsidR="08163013">
        <w:t xml:space="preserve">v pojmu </w:t>
      </w:r>
      <w:r w:rsidR="00427E27">
        <w:t>„</w:t>
      </w:r>
      <w:r w:rsidR="08163013" w:rsidRPr="00273106">
        <w:rPr>
          <w:i/>
        </w:rPr>
        <w:t>esse ad</w:t>
      </w:r>
      <w:r w:rsidR="00427E27">
        <w:t>“</w:t>
      </w:r>
      <w:r w:rsidR="08163013" w:rsidRPr="00273106">
        <w:t xml:space="preserve"> podobný význam, </w:t>
      </w:r>
      <w:r w:rsidR="08163013">
        <w:t xml:space="preserve">jako měl Olivi pro intimitu </w:t>
      </w:r>
      <w:r w:rsidR="08163013" w:rsidRPr="00273106">
        <w:t xml:space="preserve">svobodné vůle. </w:t>
      </w:r>
      <w:r w:rsidR="08163013">
        <w:t>Bůh dostal objektivně danou intimitu</w:t>
      </w:r>
      <w:r w:rsidR="08163013">
        <w:fldChar w:fldCharType="begin"/>
      </w:r>
      <w:r w:rsidR="08163013">
        <w:instrText xml:space="preserve"> XE "</w:instrText>
      </w:r>
      <w:r w:rsidR="08163013" w:rsidRPr="00907D3E">
        <w:instrText>osoba:intimita</w:instrText>
      </w:r>
      <w:r w:rsidR="08163013">
        <w:instrText xml:space="preserve">" </w:instrText>
      </w:r>
      <w:r w:rsidR="08163013">
        <w:fldChar w:fldCharType="end"/>
      </w:r>
      <w:r w:rsidR="08163013">
        <w:t>, v níž se skrývá potence jeho demiurgické a exemplárně dané vůle</w:t>
      </w:r>
      <w:r w:rsidR="00840690">
        <w:t xml:space="preserve"> (</w:t>
      </w:r>
      <w:r w:rsidR="00840690" w:rsidRPr="00840690">
        <w:rPr>
          <w:i/>
        </w:rPr>
        <w:t>habitus</w:t>
      </w:r>
      <w:r w:rsidR="00840690">
        <w:t>)</w:t>
      </w:r>
      <w:r w:rsidR="08163013">
        <w:t>. Nositelem</w:t>
      </w:r>
      <w:r w:rsidR="008E335C">
        <w:t xml:space="preserve"> objektivovaného </w:t>
      </w:r>
      <w:r w:rsidR="0069179A">
        <w:t>intencionálního vztahu je</w:t>
      </w:r>
      <w:r w:rsidR="08163013">
        <w:t xml:space="preserve"> boží substance, protože </w:t>
      </w:r>
      <w:r w:rsidR="0069179A">
        <w:t xml:space="preserve">v bohu nelze </w:t>
      </w:r>
      <w:r w:rsidR="08163013">
        <w:t>predikova</w:t>
      </w:r>
      <w:r w:rsidR="0069179A">
        <w:t>t</w:t>
      </w:r>
      <w:r w:rsidR="08163013">
        <w:t xml:space="preserve"> alteritu v modu „substance‒akcident“. </w:t>
      </w:r>
      <w:r w:rsidR="00A54A76">
        <w:t xml:space="preserve">Henry nemohl v případě boží jednoduchosti použít </w:t>
      </w:r>
      <w:r w:rsidR="00A54A76" w:rsidRPr="00A54A76">
        <w:t xml:space="preserve">klasický rozdíl druhého averroismu mezi </w:t>
      </w:r>
      <w:r w:rsidR="00A54A76" w:rsidRPr="00A54A76">
        <w:rPr>
          <w:i/>
        </w:rPr>
        <w:t xml:space="preserve">potentia substantialis </w:t>
      </w:r>
      <w:r w:rsidR="00A54A76" w:rsidRPr="00A54A76">
        <w:t>a</w:t>
      </w:r>
      <w:r w:rsidR="00A54A76" w:rsidRPr="00A54A76">
        <w:rPr>
          <w:i/>
        </w:rPr>
        <w:t xml:space="preserve"> accidentalis</w:t>
      </w:r>
      <w:r w:rsidR="00A54A76" w:rsidRPr="00A54A76">
        <w:t xml:space="preserve">. </w:t>
      </w:r>
      <w:r w:rsidR="08163013">
        <w:t>Pluralita je</w:t>
      </w:r>
      <w:r w:rsidR="00A54A76">
        <w:t xml:space="preserve"> daná v bohu jen intencionálně v modu čisté potence, </w:t>
      </w:r>
      <w:r w:rsidR="08163013">
        <w:t>aby se do jednoduché boží podstaty n</w:t>
      </w:r>
      <w:r w:rsidR="000660F6">
        <w:t>edostala substanciální mnohost.</w:t>
      </w:r>
    </w:p>
    <w:p w:rsidR="08163013" w:rsidRPr="00273106" w:rsidRDefault="08163013" w:rsidP="00A63C70">
      <w:pPr>
        <w:ind w:firstLine="397"/>
      </w:pPr>
      <w:r>
        <w:t>V boží demiurgické mysli vznikla sféra objektivního diakosmu daná intencionálně a pouze potenciálně. Exemplární v</w:t>
      </w:r>
      <w:r w:rsidRPr="00273106">
        <w:t xml:space="preserve">ztah boha ke stvoření lze na úrovni jeho </w:t>
      </w:r>
      <w:r>
        <w:t xml:space="preserve">stvořitelské </w:t>
      </w:r>
      <w:r w:rsidRPr="00273106">
        <w:t>subjektivity platně předpokládat</w:t>
      </w:r>
      <w:r>
        <w:t xml:space="preserve"> v modu stvořitelské potence. I</w:t>
      </w:r>
      <w:r w:rsidRPr="00273106">
        <w:t>ntencionální předmět tvoří minimální porci jsoucna (</w:t>
      </w:r>
      <w:r w:rsidRPr="00273106">
        <w:rPr>
          <w:i/>
        </w:rPr>
        <w:t>esse diminutum</w:t>
      </w:r>
      <w:r>
        <w:rPr>
          <w:i/>
        </w:rPr>
        <w:fldChar w:fldCharType="begin"/>
      </w:r>
      <w:r>
        <w:instrText xml:space="preserve"> XE "</w:instrText>
      </w:r>
      <w:r w:rsidRPr="00782C1F">
        <w:rPr>
          <w:i/>
        </w:rPr>
        <w:instrText>esse diminutum</w:instrText>
      </w:r>
      <w:r>
        <w:instrText xml:space="preserve">" </w:instrText>
      </w:r>
      <w:r>
        <w:rPr>
          <w:i/>
        </w:rPr>
        <w:fldChar w:fldCharType="end"/>
      </w:r>
      <w:r w:rsidRPr="00273106">
        <w:t xml:space="preserve">) pro jakýkoliv myšlený objekt. </w:t>
      </w:r>
      <w:r w:rsidR="00C4653D">
        <w:t>V tomto vztahu „</w:t>
      </w:r>
      <w:proofErr w:type="gramStart"/>
      <w:r w:rsidR="00C4653D">
        <w:t>subjekt</w:t>
      </w:r>
      <w:proofErr w:type="gramEnd"/>
      <w:r w:rsidR="00C4653D">
        <w:t>–</w:t>
      </w:r>
      <w:proofErr w:type="gramStart"/>
      <w:r w:rsidR="00C4653D">
        <w:t>objekt</w:t>
      </w:r>
      <w:proofErr w:type="gramEnd"/>
      <w:r w:rsidR="00C4653D">
        <w:t>“</w:t>
      </w:r>
      <w:r w:rsidR="00C4653D" w:rsidRPr="00C4653D">
        <w:t xml:space="preserve"> je každý zamýšlený objekt daný</w:t>
      </w:r>
      <w:r w:rsidR="00C4653D">
        <w:t xml:space="preserve"> objektivně v božské sféře, </w:t>
      </w:r>
      <w:r w:rsidR="00C4653D" w:rsidRPr="00C4653D">
        <w:t xml:space="preserve">protože </w:t>
      </w:r>
      <w:r w:rsidR="00C4653D">
        <w:t xml:space="preserve">boží </w:t>
      </w:r>
      <w:r w:rsidR="00C4653D" w:rsidRPr="00C4653D">
        <w:t>reflexe j</w:t>
      </w:r>
      <w:r w:rsidR="00C4653D">
        <w:t xml:space="preserve">e určena pouze intencionalitou. </w:t>
      </w:r>
      <w:r w:rsidRPr="00273106">
        <w:t xml:space="preserve">Tento kvazi-substanční vztah je dán od božího subjektu </w:t>
      </w:r>
      <w:r>
        <w:t xml:space="preserve">v modu </w:t>
      </w:r>
      <w:r w:rsidRPr="00273106">
        <w:rPr>
          <w:i/>
        </w:rPr>
        <w:t>obiective</w:t>
      </w:r>
      <w:r>
        <w:t xml:space="preserve">, čili archetypicky a exemplárně </w:t>
      </w:r>
      <w:r w:rsidRPr="00273106">
        <w:t>směrem ke stvoření</w:t>
      </w:r>
      <w:r>
        <w:t xml:space="preserve">. Proto je dán </w:t>
      </w:r>
      <w:r w:rsidRPr="00273106">
        <w:t>zcela univerzálně</w:t>
      </w:r>
      <w:r>
        <w:t xml:space="preserve"> a platí pro celek stvoření v rámci nově utvořené ontoteologické metafyziky</w:t>
      </w:r>
      <w:r w:rsidRPr="00273106">
        <w:t xml:space="preserve">. </w:t>
      </w:r>
      <w:r>
        <w:t>Dráha náhledu (</w:t>
      </w:r>
      <w:r w:rsidRPr="00B30FBC">
        <w:rPr>
          <w:i/>
        </w:rPr>
        <w:t>Vor</w:t>
      </w:r>
      <w:r w:rsidRPr="00B30FBC">
        <w:rPr>
          <w:i/>
        </w:rPr>
        <w:noBreakHyphen/>
        <w:t>blickbahn</w:t>
      </w:r>
      <w:r>
        <w:rPr>
          <w:i/>
        </w:rPr>
        <w:fldChar w:fldCharType="begin"/>
      </w:r>
      <w:r>
        <w:instrText xml:space="preserve"> XE "</w:instrText>
      </w:r>
      <w:r>
        <w:rPr>
          <w:i/>
        </w:rPr>
        <w:instrText>Vor-</w:instrText>
      </w:r>
      <w:r w:rsidRPr="000C66F2">
        <w:rPr>
          <w:i/>
        </w:rPr>
        <w:instrText>b</w:instrText>
      </w:r>
      <w:r w:rsidRPr="000C66F2">
        <w:rPr>
          <w:i/>
          <w:iCs/>
        </w:rPr>
        <w:instrText>lickbahn</w:instrText>
      </w:r>
      <w:r>
        <w:rPr>
          <w:iCs/>
        </w:rPr>
        <w:instrText>:Gandavus</w:instrText>
      </w:r>
      <w:r>
        <w:instrText xml:space="preserve">" </w:instrText>
      </w:r>
      <w:r>
        <w:rPr>
          <w:i/>
        </w:rPr>
        <w:fldChar w:fldCharType="end"/>
      </w:r>
      <w:r>
        <w:t xml:space="preserve">) na celek jsoucna v božím modu </w:t>
      </w:r>
      <w:r w:rsidRPr="002B4B76">
        <w:rPr>
          <w:i/>
        </w:rPr>
        <w:t xml:space="preserve">esse </w:t>
      </w:r>
      <w:proofErr w:type="gramStart"/>
      <w:r w:rsidRPr="002B4B76">
        <w:rPr>
          <w:i/>
        </w:rPr>
        <w:t>ad</w:t>
      </w:r>
      <w:proofErr w:type="gramEnd"/>
      <w:r>
        <w:t xml:space="preserve"> je nyní </w:t>
      </w:r>
      <w:proofErr w:type="gramStart"/>
      <w:r>
        <w:t>dána</w:t>
      </w:r>
      <w:proofErr w:type="gramEnd"/>
      <w:r>
        <w:t xml:space="preserve"> </w:t>
      </w:r>
      <w:r w:rsidRPr="002B4B76">
        <w:rPr>
          <w:i/>
        </w:rPr>
        <w:t>absolute</w:t>
      </w:r>
      <w:r>
        <w:t xml:space="preserve">, nutně a v modu čisté exemplární objektivity. </w:t>
      </w:r>
      <w:r w:rsidR="00A63C70" w:rsidRPr="00A63C70">
        <w:t xml:space="preserve">Bůh pojatý v objektivní podobě </w:t>
      </w:r>
      <w:r w:rsidR="00A63C70">
        <w:t xml:space="preserve">Aristotelova Nehybného Hybatele nebo Epikurova </w:t>
      </w:r>
      <w:r w:rsidR="00A63C70" w:rsidRPr="08FC5DB6">
        <w:rPr>
          <w:i/>
        </w:rPr>
        <w:t>deus otiosus</w:t>
      </w:r>
      <w:r w:rsidR="00A63C70">
        <w:rPr>
          <w:i/>
        </w:rPr>
        <w:fldChar w:fldCharType="begin"/>
      </w:r>
      <w:r w:rsidR="00A63C70">
        <w:instrText xml:space="preserve"> XE "</w:instrText>
      </w:r>
      <w:r w:rsidR="00A63C70" w:rsidRPr="08767D7C">
        <w:rPr>
          <w:i/>
        </w:rPr>
        <w:instrText>deus otiosus</w:instrText>
      </w:r>
      <w:r w:rsidR="00A63C70">
        <w:instrText xml:space="preserve">" </w:instrText>
      </w:r>
      <w:r w:rsidR="00A63C70">
        <w:rPr>
          <w:i/>
        </w:rPr>
        <w:fldChar w:fldCharType="end"/>
      </w:r>
      <w:r w:rsidR="00A63C70" w:rsidRPr="00A63C70">
        <w:t xml:space="preserve"> potenciálně zamýšlí celé stvoření prostřednictvím své mysli a vůle, čímž zakládá archetypální úroveň objektivity dané </w:t>
      </w:r>
      <w:r w:rsidR="00A63C70" w:rsidRPr="00A63C70">
        <w:rPr>
          <w:i/>
        </w:rPr>
        <w:t>per prius</w:t>
      </w:r>
      <w:r w:rsidR="00A63C70" w:rsidRPr="00A63C70">
        <w:t xml:space="preserve">. </w:t>
      </w:r>
      <w:r>
        <w:t xml:space="preserve">Po založení </w:t>
      </w:r>
      <w:r w:rsidR="00D16932">
        <w:t xml:space="preserve">této formy </w:t>
      </w:r>
      <w:r>
        <w:t>objektivního deismu</w:t>
      </w:r>
      <w:r>
        <w:fldChar w:fldCharType="begin"/>
      </w:r>
      <w:r>
        <w:instrText xml:space="preserve"> XE "</w:instrText>
      </w:r>
      <w:r w:rsidRPr="083E6852">
        <w:instrText>deismus</w:instrText>
      </w:r>
      <w:r>
        <w:instrText xml:space="preserve">" </w:instrText>
      </w:r>
      <w:r>
        <w:fldChar w:fldCharType="end"/>
      </w:r>
      <w:r>
        <w:t xml:space="preserve"> </w:t>
      </w:r>
      <w:r w:rsidR="00D16932">
        <w:t xml:space="preserve">se moderna </w:t>
      </w:r>
      <w:r w:rsidRPr="00273106">
        <w:t>vyda</w:t>
      </w:r>
      <w:r w:rsidR="00D16932">
        <w:t>la</w:t>
      </w:r>
      <w:r w:rsidRPr="00273106">
        <w:t xml:space="preserve"> širokou a pohodlnou cestou </w:t>
      </w:r>
      <w:r w:rsidR="00D16932">
        <w:t xml:space="preserve">a koncipovala </w:t>
      </w:r>
      <w:r>
        <w:t xml:space="preserve">to či </w:t>
      </w:r>
      <w:r>
        <w:lastRenderedPageBreak/>
        <w:t xml:space="preserve">ono objektivní jsoucno v modu </w:t>
      </w:r>
      <w:r w:rsidR="00117B7F">
        <w:t>„</w:t>
      </w:r>
      <w:r w:rsidRPr="002B4B76">
        <w:rPr>
          <w:i/>
        </w:rPr>
        <w:t>ad aliquid</w:t>
      </w:r>
      <w:r w:rsidR="00117B7F">
        <w:t>“</w:t>
      </w:r>
      <w:r w:rsidRPr="00273106">
        <w:t xml:space="preserve">. </w:t>
      </w:r>
      <w:r>
        <w:t>Scotus</w:t>
      </w:r>
      <w:r w:rsidRPr="00C66F75">
        <w:t xml:space="preserve"> </w:t>
      </w:r>
      <w:r w:rsidR="002900AC">
        <w:t>upravil</w:t>
      </w:r>
      <w:r>
        <w:t xml:space="preserve"> tuto objektivní </w:t>
      </w:r>
      <w:r w:rsidR="00117B7F">
        <w:t>„</w:t>
      </w:r>
      <w:r w:rsidRPr="00C01D67">
        <w:rPr>
          <w:i/>
        </w:rPr>
        <w:t>aliquitas</w:t>
      </w:r>
      <w:r w:rsidR="00117B7F">
        <w:t>“</w:t>
      </w:r>
      <w:r>
        <w:rPr>
          <w:i/>
        </w:rPr>
        <w:fldChar w:fldCharType="begin"/>
      </w:r>
      <w:r>
        <w:instrText xml:space="preserve"> XE "</w:instrText>
      </w:r>
      <w:r w:rsidRPr="00D248E6">
        <w:rPr>
          <w:i/>
        </w:rPr>
        <w:instrText>aliquitas</w:instrText>
      </w:r>
      <w:r>
        <w:instrText xml:space="preserve">" </w:instrText>
      </w:r>
      <w:r>
        <w:rPr>
          <w:i/>
        </w:rPr>
        <w:fldChar w:fldCharType="end"/>
      </w:r>
      <w:r>
        <w:t xml:space="preserve"> tak, aby nebyla v boží substanci</w:t>
      </w:r>
      <w:r w:rsidR="002900AC">
        <w:t>, a tím vytvořil</w:t>
      </w:r>
      <w:r>
        <w:t xml:space="preserve"> plnohodnotné o</w:t>
      </w:r>
      <w:r w:rsidR="00EF3C7A">
        <w:t>bjektivní určení jsoucna (kap. 5</w:t>
      </w:r>
      <w:r>
        <w:t xml:space="preserve">.3.3). Objektivní pohled </w:t>
      </w:r>
      <w:r w:rsidR="00727E92">
        <w:t>„</w:t>
      </w:r>
      <w:r w:rsidRPr="00273106">
        <w:rPr>
          <w:i/>
        </w:rPr>
        <w:t>ad aliquid</w:t>
      </w:r>
      <w:r w:rsidR="00727E92">
        <w:t>“</w:t>
      </w:r>
      <w:r w:rsidRPr="00273106">
        <w:t xml:space="preserve"> od absolutně daného subjektu</w:t>
      </w:r>
      <w:r w:rsidR="00727E92">
        <w:t xml:space="preserve"> jako </w:t>
      </w:r>
      <w:r w:rsidRPr="003B40D4">
        <w:rPr>
          <w:i/>
        </w:rPr>
        <w:t>cogito</w:t>
      </w:r>
      <w:r>
        <w:rPr>
          <w:i/>
        </w:rPr>
        <w:fldChar w:fldCharType="begin"/>
      </w:r>
      <w:r>
        <w:instrText xml:space="preserve"> XE "</w:instrText>
      </w:r>
      <w:r w:rsidRPr="003D2937">
        <w:rPr>
          <w:i/>
        </w:rPr>
        <w:instrText>cogito</w:instrText>
      </w:r>
      <w:r>
        <w:instrText xml:space="preserve">" </w:instrText>
      </w:r>
      <w:r>
        <w:rPr>
          <w:i/>
        </w:rPr>
        <w:fldChar w:fldCharType="end"/>
      </w:r>
      <w:r w:rsidRPr="00273106">
        <w:t xml:space="preserve"> </w:t>
      </w:r>
      <w:r>
        <w:t xml:space="preserve">na libovolný objekt </w:t>
      </w:r>
      <w:r w:rsidRPr="00273106">
        <w:t>zopakuje Descartes a Husserl už nikoliv směrem od boží, ale od</w:t>
      </w:r>
      <w:r>
        <w:t xml:space="preserve"> lidské subjektivity. </w:t>
      </w:r>
      <w:r w:rsidR="003A2CFA">
        <w:t xml:space="preserve">Primární rovina </w:t>
      </w:r>
      <w:r>
        <w:t>objektiv</w:t>
      </w:r>
      <w:r w:rsidR="003A2CFA">
        <w:t xml:space="preserve">ity </w:t>
      </w:r>
      <w:r>
        <w:t xml:space="preserve">vychází z boha v pojmu </w:t>
      </w:r>
      <w:r w:rsidR="009F3774">
        <w:t>„</w:t>
      </w:r>
      <w:r>
        <w:rPr>
          <w:i/>
        </w:rPr>
        <w:t>ex</w:t>
      </w:r>
      <w:r w:rsidRPr="08BC5F2C">
        <w:rPr>
          <w:i/>
        </w:rPr>
        <w:t>s</w:t>
      </w:r>
      <w:r>
        <w:rPr>
          <w:i/>
        </w:rPr>
        <w:t>is</w:t>
      </w:r>
      <w:r w:rsidRPr="08BC5F2C">
        <w:rPr>
          <w:i/>
        </w:rPr>
        <w:t>tere</w:t>
      </w:r>
      <w:r w:rsidR="009F3774">
        <w:t>“</w:t>
      </w:r>
      <w:r>
        <w:t xml:space="preserve"> podle výše uvedeného vztahu mezi </w:t>
      </w:r>
      <w:r>
        <w:rPr>
          <w:i/>
        </w:rPr>
        <w:t>d</w:t>
      </w:r>
      <w:r w:rsidRPr="00273106">
        <w:rPr>
          <w:i/>
        </w:rPr>
        <w:t xml:space="preserve">eus </w:t>
      </w:r>
      <w:r>
        <w:rPr>
          <w:i/>
        </w:rPr>
        <w:t xml:space="preserve">creaturus </w:t>
      </w:r>
      <w:r w:rsidRPr="08BC5F2C">
        <w:t xml:space="preserve">a </w:t>
      </w:r>
      <w:r>
        <w:rPr>
          <w:i/>
        </w:rPr>
        <w:t xml:space="preserve">deus </w:t>
      </w:r>
      <w:r w:rsidRPr="00273106">
        <w:rPr>
          <w:i/>
        </w:rPr>
        <w:t>creans</w:t>
      </w:r>
      <w:r>
        <w:t xml:space="preserve">. Objektivita se plně manifestuje ve třetím způsobu, jak se antropomorfní bůh vztahuje ke světu. Na exemplárním výměru objektivního jsoucna v boží mysli participuje celek stvořených jsoucen v modu seminálních </w:t>
      </w:r>
      <w:r w:rsidR="00962190" w:rsidRPr="00FC1341">
        <w:t>species</w:t>
      </w:r>
      <w:r>
        <w:t xml:space="preserve">. Objektivní souměřitelnost boha a stvoření je dána tím, že objektivní aspekt boží intencionality analogicky zrcadlí jeho esenci směrem ke stvoření. </w:t>
      </w:r>
      <w:r w:rsidR="00CC2335">
        <w:t xml:space="preserve">Tím vzniklo </w:t>
      </w:r>
      <w:r w:rsidRPr="00273106">
        <w:t xml:space="preserve">objektivní </w:t>
      </w:r>
      <w:r w:rsidRPr="00273106">
        <w:rPr>
          <w:i/>
        </w:rPr>
        <w:t>resolutio</w:t>
      </w:r>
      <w:r>
        <w:rPr>
          <w:i/>
        </w:rPr>
        <w:fldChar w:fldCharType="begin"/>
      </w:r>
      <w:r>
        <w:instrText xml:space="preserve"> XE "</w:instrText>
      </w:r>
      <w:r w:rsidRPr="00111E9E">
        <w:rPr>
          <w:i/>
        </w:rPr>
        <w:instrText>resolutio</w:instrText>
      </w:r>
      <w:r>
        <w:rPr>
          <w:i/>
        </w:rPr>
        <w:instrText>:</w:instrText>
      </w:r>
      <w:r w:rsidRPr="007D3515">
        <w:instrText>Gandavus</w:instrText>
      </w:r>
      <w:r>
        <w:instrText xml:space="preserve">" </w:instrText>
      </w:r>
      <w:r>
        <w:rPr>
          <w:i/>
        </w:rPr>
        <w:fldChar w:fldCharType="end"/>
      </w:r>
      <w:r w:rsidRPr="00273106">
        <w:t xml:space="preserve"> celku jsoucna v modu </w:t>
      </w:r>
      <w:r>
        <w:t>myto</w:t>
      </w:r>
      <w:r w:rsidR="00CC2335">
        <w:t>logické</w:t>
      </w:r>
      <w:r>
        <w:fldChar w:fldCharType="begin"/>
      </w:r>
      <w:r>
        <w:instrText xml:space="preserve"> XE "</w:instrText>
      </w:r>
      <w:r w:rsidR="008B175F">
        <w:instrText>Mytologie</w:instrText>
      </w:r>
      <w:r>
        <w:instrText xml:space="preserve">" </w:instrText>
      </w:r>
      <w:r>
        <w:fldChar w:fldCharType="end"/>
      </w:r>
      <w:r>
        <w:t xml:space="preserve"> </w:t>
      </w:r>
      <w:r w:rsidRPr="00273106">
        <w:t>analogie</w:t>
      </w:r>
      <w:r>
        <w:t>, kterou přev</w:t>
      </w:r>
      <w:r w:rsidRPr="00273106">
        <w:t>e</w:t>
      </w:r>
      <w:r>
        <w:t>z</w:t>
      </w:r>
      <w:r w:rsidRPr="00273106">
        <w:t>me latinský Západ</w:t>
      </w:r>
      <w:r>
        <w:t xml:space="preserve"> v termínu </w:t>
      </w:r>
      <w:r w:rsidR="00CC2335">
        <w:t>„</w:t>
      </w:r>
      <w:r w:rsidRPr="00737A9F">
        <w:rPr>
          <w:i/>
        </w:rPr>
        <w:t>analogia entis</w:t>
      </w:r>
      <w:r w:rsidR="00CC2335">
        <w:t>“</w:t>
      </w:r>
      <w:r>
        <w:rPr>
          <w:i/>
        </w:rPr>
        <w:fldChar w:fldCharType="begin"/>
      </w:r>
      <w:r>
        <w:instrText xml:space="preserve"> XE "</w:instrText>
      </w:r>
      <w:r w:rsidRPr="00834F99">
        <w:rPr>
          <w:rStyle w:val="addmd"/>
          <w:i/>
        </w:rPr>
        <w:instrText>analogia entis</w:instrText>
      </w:r>
      <w:r>
        <w:instrText xml:space="preserve">" </w:instrText>
      </w:r>
      <w:r>
        <w:rPr>
          <w:i/>
        </w:rPr>
        <w:fldChar w:fldCharType="end"/>
      </w:r>
      <w:r w:rsidRPr="00273106">
        <w:t>.</w:t>
      </w:r>
      <w:r w:rsidR="003A2CFA">
        <w:t xml:space="preserve"> </w:t>
      </w:r>
      <w:r w:rsidR="003A2CFA" w:rsidRPr="00273106">
        <w:t xml:space="preserve">Následující citát podává první objektivní </w:t>
      </w:r>
      <w:r w:rsidR="003A2CFA" w:rsidRPr="00273106">
        <w:rPr>
          <w:i/>
        </w:rPr>
        <w:t>aspectus</w:t>
      </w:r>
      <w:r w:rsidR="003A2CFA" w:rsidRPr="00273106">
        <w:t xml:space="preserve"> jsoucna v hermene</w:t>
      </w:r>
      <w:r w:rsidR="003A2CFA">
        <w:t xml:space="preserve">utickém </w:t>
      </w:r>
      <w:r w:rsidR="003A2CFA" w:rsidRPr="00273106">
        <w:t>„jak“ (</w:t>
      </w:r>
      <w:r w:rsidR="003A2CFA" w:rsidRPr="00273106">
        <w:rPr>
          <w:i/>
        </w:rPr>
        <w:t>Wie</w:t>
      </w:r>
      <w:r w:rsidR="003A2CFA">
        <w:rPr>
          <w:i/>
        </w:rPr>
        <w:fldChar w:fldCharType="begin"/>
      </w:r>
      <w:r w:rsidR="003A2CFA">
        <w:instrText xml:space="preserve"> XE "</w:instrText>
      </w:r>
      <w:r w:rsidR="003A2CFA" w:rsidRPr="00F9726D">
        <w:instrText>hermeneutické</w:instrText>
      </w:r>
      <w:r w:rsidR="003A2CFA" w:rsidRPr="00B3469A">
        <w:rPr>
          <w:i/>
        </w:rPr>
        <w:instrText xml:space="preserve"> Wie</w:instrText>
      </w:r>
      <w:r w:rsidR="003A2CFA">
        <w:rPr>
          <w:i/>
        </w:rPr>
        <w:instrText>:</w:instrText>
      </w:r>
      <w:r w:rsidR="003A2CFA" w:rsidRPr="00F9726D">
        <w:instrText>Gandavus</w:instrText>
      </w:r>
      <w:r w:rsidR="003A2CFA">
        <w:instrText xml:space="preserve">" </w:instrText>
      </w:r>
      <w:r w:rsidR="003A2CFA">
        <w:rPr>
          <w:i/>
        </w:rPr>
        <w:fldChar w:fldCharType="end"/>
      </w:r>
      <w:r w:rsidR="003A2CFA" w:rsidRPr="00273106">
        <w:t>) je bytí jsoucna dáno v boží intencionalitě</w:t>
      </w:r>
      <w:r w:rsidR="003A2CFA">
        <w:t xml:space="preserve"> </w:t>
      </w:r>
      <w:r w:rsidR="00425627">
        <w:t xml:space="preserve">a </w:t>
      </w:r>
      <w:r w:rsidR="00EC7933">
        <w:t xml:space="preserve">jak </w:t>
      </w:r>
      <w:r w:rsidR="00425627">
        <w:t xml:space="preserve">vyzařuje </w:t>
      </w:r>
      <w:r w:rsidR="003A2CFA">
        <w:t>do světa</w:t>
      </w:r>
      <w:r w:rsidR="003A2CFA" w:rsidRPr="00273106">
        <w:t>.</w:t>
      </w:r>
      <w:r w:rsidR="003A2CFA">
        <w:t xml:space="preserve"> </w:t>
      </w:r>
    </w:p>
    <w:p w:rsidR="08163013" w:rsidRPr="0018239D" w:rsidRDefault="08163013" w:rsidP="08163013">
      <w:pPr>
        <w:pStyle w:val="Citace"/>
        <w:rPr>
          <w:noProof/>
          <w:lang w:val="cs-CZ"/>
        </w:rPr>
      </w:pPr>
      <w:r w:rsidRPr="00273106">
        <w:rPr>
          <w:noProof/>
        </w:rPr>
        <w:t>„</w:t>
      </w:r>
      <w:r>
        <w:rPr>
          <w:noProof/>
          <w:lang w:val="cs-CZ"/>
        </w:rPr>
        <w:t>Bůh ve třetím způsobu vztahů, který se týká souměřitelnosti (</w:t>
      </w:r>
      <w:r w:rsidRPr="00DC08EA">
        <w:rPr>
          <w:i/>
          <w:noProof/>
        </w:rPr>
        <w:t>modum relationis, qui consistit in commensurationibus</w:t>
      </w:r>
      <w:r>
        <w:rPr>
          <w:noProof/>
          <w:lang w:val="cs-CZ"/>
        </w:rPr>
        <w:t>), se vztahuje skrze svou esenci (</w:t>
      </w:r>
      <w:r w:rsidRPr="00F50EAA">
        <w:rPr>
          <w:i/>
          <w:noProof/>
        </w:rPr>
        <w:t>essentia sua</w:t>
      </w:r>
      <w:r>
        <w:rPr>
          <w:noProof/>
          <w:lang w:val="cs-CZ"/>
        </w:rPr>
        <w:t xml:space="preserve">) směrem ke stvoření. Stvořené věci </w:t>
      </w:r>
      <w:r w:rsidR="007C7758">
        <w:rPr>
          <w:noProof/>
          <w:lang w:val="cs-CZ"/>
        </w:rPr>
        <w:t xml:space="preserve">se vztahují k bohu tím, že </w:t>
      </w:r>
      <w:r w:rsidR="00103C43">
        <w:rPr>
          <w:noProof/>
          <w:lang w:val="cs-CZ"/>
        </w:rPr>
        <w:t>díky definici, skrze kterou je tato esence ve své jednoduchosti dána (</w:t>
      </w:r>
      <w:r w:rsidR="00103C43" w:rsidRPr="004B3525">
        <w:rPr>
          <w:i/>
          <w:noProof/>
        </w:rPr>
        <w:t>ratione qua est essentia simpliciter</w:t>
      </w:r>
      <w:r w:rsidR="00103C43">
        <w:rPr>
          <w:noProof/>
          <w:lang w:val="cs-CZ"/>
        </w:rPr>
        <w:t xml:space="preserve">), je </w:t>
      </w:r>
      <w:r w:rsidR="007C7758">
        <w:rPr>
          <w:noProof/>
          <w:lang w:val="cs-CZ"/>
        </w:rPr>
        <w:t xml:space="preserve">boží esence </w:t>
      </w:r>
      <w:r>
        <w:rPr>
          <w:noProof/>
          <w:lang w:val="cs-CZ"/>
        </w:rPr>
        <w:t>jedinečnou mírou všeho stvoření (</w:t>
      </w:r>
      <w:r w:rsidRPr="00526E9D">
        <w:rPr>
          <w:i/>
          <w:noProof/>
        </w:rPr>
        <w:t>unica mensura omnium creaturarum</w:t>
      </w:r>
      <w:r w:rsidR="007C7758">
        <w:rPr>
          <w:noProof/>
          <w:lang w:val="cs-CZ"/>
        </w:rPr>
        <w:t xml:space="preserve">). Skrze takto definovanou vlastní </w:t>
      </w:r>
      <w:r>
        <w:rPr>
          <w:noProof/>
          <w:lang w:val="cs-CZ"/>
        </w:rPr>
        <w:t>esenci bůh poznává kvantitu a stupně esence stvořených věcí v jejich původní jednoduchosti, jak jsou dány skrze sebe a ze sebe. Tato boží esence daná v modu sobě vlastní míry také poznává jasně určené esence stvořených věcí podle stupně jejich určenosti (</w:t>
      </w:r>
      <w:r w:rsidRPr="00A8604E">
        <w:rPr>
          <w:i/>
          <w:noProof/>
        </w:rPr>
        <w:t>secundum gradum determinatum</w:t>
      </w:r>
      <w:r>
        <w:rPr>
          <w:noProof/>
          <w:lang w:val="cs-CZ"/>
        </w:rPr>
        <w:t>). A to je možné proto, že boží esence obsahuje dokonalosti věcí, jak je patrné z následující kvestie.“ </w:t>
      </w:r>
      <w:r>
        <w:rPr>
          <w:rStyle w:val="Znakapoznpodarou"/>
        </w:rPr>
        <w:footnoteReference w:id="414"/>
      </w:r>
    </w:p>
    <w:p w:rsidR="00B10BEE" w:rsidRDefault="08163013" w:rsidP="08163013">
      <w:r w:rsidRPr="00273106">
        <w:t>Objektivní stavba jsoucna je zajištěna novou koinonií rodových určení jsoucna danou skrze matematickou a geometrickou abstrakci (</w:t>
      </w:r>
      <w:r w:rsidRPr="00273106">
        <w:rPr>
          <w:i/>
        </w:rPr>
        <w:t>in commensurationibus</w:t>
      </w:r>
      <w:r w:rsidRPr="00273106">
        <w:t xml:space="preserve">). Citát tvrdí, že každá reálná substance je dána </w:t>
      </w:r>
      <w:r w:rsidRPr="00273106">
        <w:rPr>
          <w:i/>
        </w:rPr>
        <w:t>per se</w:t>
      </w:r>
      <w:r w:rsidR="00AD56D7">
        <w:t xml:space="preserve"> </w:t>
      </w:r>
      <w:r w:rsidRPr="00273106">
        <w:t>v modu subsistence a insis</w:t>
      </w:r>
      <w:r>
        <w:t>tence (</w:t>
      </w:r>
      <w:r w:rsidRPr="00273106">
        <w:rPr>
          <w:i/>
        </w:rPr>
        <w:t>esse in</w:t>
      </w:r>
      <w:r w:rsidRPr="00273106">
        <w:t xml:space="preserve">). </w:t>
      </w:r>
      <w:r w:rsidR="002D45B3">
        <w:t xml:space="preserve">Boží </w:t>
      </w:r>
      <w:r w:rsidR="002D45B3" w:rsidRPr="00273106">
        <w:t xml:space="preserve">substance daná </w:t>
      </w:r>
      <w:r w:rsidR="002D45B3" w:rsidRPr="00273106">
        <w:rPr>
          <w:i/>
        </w:rPr>
        <w:t>simpliciter</w:t>
      </w:r>
      <w:r w:rsidR="002D45B3" w:rsidRPr="00273106">
        <w:t xml:space="preserve"> zároveň obsahuje díky své vlastní jednoduchosti bytí (</w:t>
      </w:r>
      <w:r w:rsidR="002D45B3" w:rsidRPr="00273106">
        <w:rPr>
          <w:i/>
        </w:rPr>
        <w:t>per se et ex se</w:t>
      </w:r>
      <w:r w:rsidR="002D45B3" w:rsidRPr="00273106">
        <w:t xml:space="preserve">) také </w:t>
      </w:r>
      <w:r w:rsidR="002D45B3" w:rsidRPr="00273106">
        <w:lastRenderedPageBreak/>
        <w:t xml:space="preserve">transcendentální určení rozsažnosti a dokonalosti </w:t>
      </w:r>
      <w:r w:rsidR="002D45B3">
        <w:t xml:space="preserve">v objektivně dané determinaci </w:t>
      </w:r>
      <w:r w:rsidR="002D45B3" w:rsidRPr="00273106">
        <w:t>(</w:t>
      </w:r>
      <w:r w:rsidR="002D45B3" w:rsidRPr="00273106">
        <w:rPr>
          <w:i/>
        </w:rPr>
        <w:t>quantitas essentiae creaturae secundum gradum determinatum</w:t>
      </w:r>
      <w:r w:rsidR="002D45B3" w:rsidRPr="00273106">
        <w:t>). Simpliki</w:t>
      </w:r>
      <w:r w:rsidR="002D45B3">
        <w:t xml:space="preserve">us definuje </w:t>
      </w:r>
      <w:r w:rsidR="002D45B3" w:rsidRPr="00273106">
        <w:t>obě kategoriální určení (</w:t>
      </w:r>
      <w:r w:rsidR="002D45B3" w:rsidRPr="00273106">
        <w:rPr>
          <w:i/>
        </w:rPr>
        <w:t>relatio</w:t>
      </w:r>
      <w:r w:rsidR="002D45B3">
        <w:rPr>
          <w:i/>
        </w:rPr>
        <w:fldChar w:fldCharType="begin"/>
      </w:r>
      <w:r w:rsidR="002D45B3">
        <w:instrText xml:space="preserve"> XE "</w:instrText>
      </w:r>
      <w:r w:rsidR="002D45B3" w:rsidRPr="00FD6A30">
        <w:rPr>
          <w:i/>
        </w:rPr>
        <w:instrText>relatio</w:instrText>
      </w:r>
      <w:r w:rsidR="002D45B3">
        <w:instrText xml:space="preserve">" </w:instrText>
      </w:r>
      <w:r w:rsidR="002D45B3">
        <w:rPr>
          <w:i/>
        </w:rPr>
        <w:fldChar w:fldCharType="end"/>
      </w:r>
      <w:r w:rsidR="002D45B3" w:rsidRPr="00273106">
        <w:t xml:space="preserve">, </w:t>
      </w:r>
      <w:r w:rsidR="002D45B3" w:rsidRPr="00273106">
        <w:rPr>
          <w:i/>
        </w:rPr>
        <w:t>habitudo</w:t>
      </w:r>
      <w:r w:rsidR="002D45B3" w:rsidRPr="00273106">
        <w:t>) jako nejvyšší rody jsoucna</w:t>
      </w:r>
      <w:r w:rsidR="002D45B3">
        <w:t xml:space="preserve"> mimo první a druhou substanci</w:t>
      </w:r>
      <w:r w:rsidR="002D45B3" w:rsidRPr="00273106">
        <w:t xml:space="preserve">. </w:t>
      </w:r>
      <w:r w:rsidR="002D45B3">
        <w:t>A</w:t>
      </w:r>
      <w:r w:rsidR="002D45B3" w:rsidRPr="00273106">
        <w:t xml:space="preserve">ktualizací </w:t>
      </w:r>
      <w:r w:rsidR="002D45B3">
        <w:t xml:space="preserve">nových rodů </w:t>
      </w:r>
      <w:r w:rsidR="002D45B3" w:rsidRPr="00273106">
        <w:t>vzniká řád daný rozdílným určením bytí subsistentní formy (</w:t>
      </w:r>
      <w:r w:rsidR="002D45B3" w:rsidRPr="00273106">
        <w:rPr>
          <w:i/>
        </w:rPr>
        <w:t>gradus</w:t>
      </w:r>
      <w:r w:rsidR="002D45B3" w:rsidRPr="00273106">
        <w:t>), a tím i determinace této formy vzhledem k větší či nižší míře aktuality dané nakonec i materiálně (</w:t>
      </w:r>
      <w:r w:rsidR="002D45B3" w:rsidRPr="00273106">
        <w:rPr>
          <w:i/>
        </w:rPr>
        <w:t>quantitas</w:t>
      </w:r>
      <w:r w:rsidR="002D45B3" w:rsidRPr="00273106">
        <w:t xml:space="preserve">). </w:t>
      </w:r>
      <w:r>
        <w:t xml:space="preserve">Díky analogickému výskytu kvantity a kvality v primární sféře boží objektivity </w:t>
      </w:r>
      <w:r w:rsidRPr="00273106">
        <w:t xml:space="preserve">vzniká nový druh </w:t>
      </w:r>
      <w:r>
        <w:t xml:space="preserve">objektivně poměřitelné </w:t>
      </w:r>
      <w:r w:rsidRPr="00273106">
        <w:t>identity jsoucna determinovaný od</w:t>
      </w:r>
      <w:r>
        <w:t xml:space="preserve"> boha ke stvoření v modu objektivní graduality a kvantity. </w:t>
      </w:r>
      <w:r w:rsidRPr="00273106">
        <w:t xml:space="preserve">Protože každá stvořená substance </w:t>
      </w:r>
      <w:r>
        <w:t>reálně existuje</w:t>
      </w:r>
      <w:r w:rsidRPr="00273106">
        <w:t xml:space="preserve"> (</w:t>
      </w:r>
      <w:r w:rsidRPr="00273106">
        <w:rPr>
          <w:i/>
        </w:rPr>
        <w:t>actus essendi</w:t>
      </w:r>
      <w:r>
        <w:rPr>
          <w:i/>
        </w:rPr>
        <w:fldChar w:fldCharType="begin"/>
      </w:r>
      <w:r>
        <w:instrText xml:space="preserve"> XE "</w:instrText>
      </w:r>
      <w:r w:rsidRPr="006D3950">
        <w:rPr>
          <w:i/>
        </w:rPr>
        <w:instrText>actus essendi</w:instrText>
      </w:r>
      <w:r>
        <w:instrText xml:space="preserve">" </w:instrText>
      </w:r>
      <w:r>
        <w:rPr>
          <w:i/>
        </w:rPr>
        <w:fldChar w:fldCharType="end"/>
      </w:r>
      <w:r w:rsidRPr="00273106">
        <w:t xml:space="preserve">), pak také </w:t>
      </w:r>
      <w:r>
        <w:t>objektivně „exsistuje“ v determinovaném vztahu k bohu</w:t>
      </w:r>
      <w:r w:rsidRPr="00273106">
        <w:t>.</w:t>
      </w:r>
      <w:r>
        <w:t xml:space="preserve"> Gradualita se přesunula z aktuality první substance do čisté potenciality konceptu, což bylo pro první averroismus nepřijatelné. Potence nemůže mít více či méně bytí, protože je potence a akcicenty patří k aktuální substanci determinované pohybem a změnou. </w:t>
      </w:r>
      <w:r w:rsidR="004570A8" w:rsidRPr="004570A8">
        <w:t xml:space="preserve">Gandavus vymyslel ontoteologickou metafyziku, která operuje objektivní božskou kauzalitou. Objektivní potenciality dané esenciální definicí zaujímají místo skutečných prvních substancí. Jedná se o typickou verzi </w:t>
      </w:r>
      <w:r w:rsidR="004570A8" w:rsidRPr="00A02323">
        <w:rPr>
          <w:i/>
        </w:rPr>
        <w:t>Oxfordian Fallacy</w:t>
      </w:r>
      <w:r w:rsidR="004570A8">
        <w:rPr>
          <w:i/>
        </w:rPr>
        <w:fldChar w:fldCharType="begin"/>
      </w:r>
      <w:r w:rsidR="004570A8">
        <w:instrText xml:space="preserve"> XE "</w:instrText>
      </w:r>
      <w:r w:rsidR="004570A8" w:rsidRPr="0015798D">
        <w:rPr>
          <w:i/>
        </w:rPr>
        <w:instrText>Oxfordian Fallacy:</w:instrText>
      </w:r>
      <w:r w:rsidR="004570A8" w:rsidRPr="00ED2EE8">
        <w:instrText>Gandavus</w:instrText>
      </w:r>
      <w:r w:rsidR="004570A8">
        <w:instrText xml:space="preserve">" </w:instrText>
      </w:r>
      <w:r w:rsidR="004570A8">
        <w:rPr>
          <w:i/>
        </w:rPr>
        <w:fldChar w:fldCharType="end"/>
      </w:r>
      <w:r w:rsidR="004570A8" w:rsidRPr="004570A8">
        <w:t xml:space="preserve">, </w:t>
      </w:r>
      <w:r w:rsidR="004570A8">
        <w:t xml:space="preserve">kdy </w:t>
      </w:r>
      <w:r w:rsidR="004570A8" w:rsidRPr="004570A8">
        <w:t>esenciální definice nahradila predikaci kauzáln</w:t>
      </w:r>
      <w:r w:rsidR="004570A8">
        <w:t xml:space="preserve">ě působících prvních substancí. </w:t>
      </w:r>
      <w:r w:rsidR="00B10BEE">
        <w:t>Zatmění první substance</w:t>
      </w:r>
      <w:r w:rsidR="00B10BEE">
        <w:fldChar w:fldCharType="begin"/>
      </w:r>
      <w:r w:rsidR="00B10BEE">
        <w:instrText xml:space="preserve"> XE "</w:instrText>
      </w:r>
      <w:r w:rsidR="00B10BEE" w:rsidRPr="00C27681">
        <w:instrText>zatmění</w:instrText>
      </w:r>
      <w:r w:rsidR="00B10BEE">
        <w:instrText>:</w:instrText>
      </w:r>
      <w:r w:rsidR="00B10BEE" w:rsidRPr="00C27681">
        <w:instrText>substance</w:instrText>
      </w:r>
      <w:r w:rsidR="00B10BEE">
        <w:instrText xml:space="preserve">" </w:instrText>
      </w:r>
      <w:r w:rsidR="00B10BEE">
        <w:fldChar w:fldCharType="end"/>
      </w:r>
      <w:r w:rsidR="00B10BEE">
        <w:t xml:space="preserve"> způsobilo, že bůh se stal objektivní mírou </w:t>
      </w:r>
      <w:r w:rsidR="00B10BEE" w:rsidRPr="00273106">
        <w:t xml:space="preserve">jsoucnosti </w:t>
      </w:r>
      <w:r w:rsidR="00B10BEE">
        <w:t xml:space="preserve">věcí </w:t>
      </w:r>
      <w:r w:rsidR="00B10BEE" w:rsidRPr="00273106">
        <w:t>(</w:t>
      </w:r>
      <w:r w:rsidR="00B10BEE" w:rsidRPr="00273106">
        <w:rPr>
          <w:i/>
        </w:rPr>
        <w:t>est unica mensura</w:t>
      </w:r>
      <w:r w:rsidR="00B10BEE" w:rsidRPr="00273106">
        <w:t>)</w:t>
      </w:r>
      <w:r w:rsidR="00B10BEE">
        <w:t xml:space="preserve"> v modu analogické univocity</w:t>
      </w:r>
      <w:r w:rsidR="00B10BEE" w:rsidRPr="00273106">
        <w:t xml:space="preserve">. </w:t>
      </w:r>
      <w:r w:rsidR="00ED27F5">
        <w:t xml:space="preserve">Moderna vytvořila okolo roku 1285 kompletní predikaci </w:t>
      </w:r>
      <w:r w:rsidR="00ED27F5" w:rsidRPr="008E4DE9">
        <w:rPr>
          <w:i/>
        </w:rPr>
        <w:t xml:space="preserve">ad </w:t>
      </w:r>
      <w:proofErr w:type="gramStart"/>
      <w:r w:rsidR="00ED27F5" w:rsidRPr="008E4DE9">
        <w:rPr>
          <w:i/>
        </w:rPr>
        <w:t>unum</w:t>
      </w:r>
      <w:proofErr w:type="gramEnd"/>
      <w:r w:rsidR="00ED27F5">
        <w:t xml:space="preserve"> v modu už nikoliv matematické, ale ontoteologické analogie. </w:t>
      </w:r>
    </w:p>
    <w:p w:rsidR="009B1632" w:rsidRDefault="08163013" w:rsidP="001F75FE">
      <w:pPr>
        <w:ind w:firstLine="397"/>
      </w:pPr>
      <w:r>
        <w:t>Poměřitelnost boha a stvoření v modu matematické analogie (</w:t>
      </w:r>
      <w:r w:rsidRPr="00273106">
        <w:rPr>
          <w:i/>
        </w:rPr>
        <w:t>in commensurationibus</w:t>
      </w:r>
      <w:r>
        <w:t xml:space="preserve">) obsahuje </w:t>
      </w:r>
      <w:r w:rsidRPr="00273106">
        <w:t xml:space="preserve">jádro ontoteologické struktury moderny, kterou </w:t>
      </w:r>
      <w:r>
        <w:t>Suárez</w:t>
      </w:r>
      <w:r>
        <w:fldChar w:fldCharType="begin"/>
      </w:r>
      <w:r>
        <w:instrText xml:space="preserve"> XE "Suárez</w:instrText>
      </w:r>
      <w:r w:rsidRPr="00E73967">
        <w:instrText>, F.</w:instrText>
      </w:r>
      <w:r>
        <w:instrText xml:space="preserve">" </w:instrText>
      </w:r>
      <w:r>
        <w:fldChar w:fldCharType="end"/>
      </w:r>
      <w:r w:rsidRPr="00273106">
        <w:t xml:space="preserve"> přetvoří na moderní ontologii a Leibniz</w:t>
      </w:r>
      <w:r>
        <w:fldChar w:fldCharType="begin"/>
      </w:r>
      <w:r>
        <w:instrText xml:space="preserve"> XE "</w:instrText>
      </w:r>
      <w:r w:rsidRPr="0048479D">
        <w:instrText>Leibniz, G. W.</w:instrText>
      </w:r>
      <w:r>
        <w:instrText xml:space="preserve">" </w:instrText>
      </w:r>
      <w:r>
        <w:fldChar w:fldCharType="end"/>
      </w:r>
      <w:r w:rsidRPr="00273106">
        <w:t xml:space="preserve"> na matematický model světa.</w:t>
      </w:r>
      <w:r>
        <w:t xml:space="preserve"> Citát zakládá další určení existenciálního dativu, kdy se objektivita dává v modu </w:t>
      </w:r>
      <w:r w:rsidRPr="00094577">
        <w:rPr>
          <w:i/>
        </w:rPr>
        <w:t>dativus mensurae</w:t>
      </w:r>
      <w:r>
        <w:rPr>
          <w:i/>
        </w:rPr>
        <w:fldChar w:fldCharType="begin"/>
      </w:r>
      <w:r>
        <w:instrText xml:space="preserve"> XE "</w:instrText>
      </w:r>
      <w:r w:rsidRPr="002353D7">
        <w:rPr>
          <w:i/>
          <w:iCs/>
        </w:rPr>
        <w:instrText>dativus mensurae</w:instrText>
      </w:r>
      <w:r>
        <w:instrText xml:space="preserve">" </w:instrText>
      </w:r>
      <w:r>
        <w:rPr>
          <w:i/>
        </w:rPr>
        <w:fldChar w:fldCharType="end"/>
      </w:r>
      <w:r w:rsidR="00A53E1F">
        <w:t xml:space="preserve"> (kap. 4</w:t>
      </w:r>
      <w:r>
        <w:t xml:space="preserve">). </w:t>
      </w:r>
      <w:r w:rsidRPr="00273106">
        <w:rPr>
          <w:iCs/>
        </w:rPr>
        <w:t xml:space="preserve">Shrňme základní znaky ontoteologie </w:t>
      </w:r>
      <w:r w:rsidRPr="00273106">
        <w:rPr>
          <w:i/>
          <w:iCs/>
        </w:rPr>
        <w:t>Modernorum</w:t>
      </w:r>
      <w:r>
        <w:rPr>
          <w:iCs/>
        </w:rPr>
        <w:t xml:space="preserve"> </w:t>
      </w:r>
      <w:r w:rsidR="00285CF2">
        <w:rPr>
          <w:iCs/>
        </w:rPr>
        <w:t>z hlediska vztahu, který</w:t>
      </w:r>
      <w:r>
        <w:rPr>
          <w:iCs/>
        </w:rPr>
        <w:t xml:space="preserve"> tvoří základ pozdější </w:t>
      </w:r>
      <w:r w:rsidRPr="00B22CCB">
        <w:rPr>
          <w:i/>
          <w:iCs/>
        </w:rPr>
        <w:t>analogia entis</w:t>
      </w:r>
      <w:r>
        <w:rPr>
          <w:i/>
          <w:iCs/>
        </w:rPr>
        <w:fldChar w:fldCharType="begin"/>
      </w:r>
      <w:r>
        <w:instrText xml:space="preserve"> XE "</w:instrText>
      </w:r>
      <w:r w:rsidRPr="00834F99">
        <w:rPr>
          <w:rStyle w:val="addmd"/>
          <w:i/>
        </w:rPr>
        <w:instrText>analogia entis</w:instrText>
      </w:r>
      <w:r>
        <w:instrText xml:space="preserve">" </w:instrText>
      </w:r>
      <w:r>
        <w:rPr>
          <w:i/>
          <w:iCs/>
        </w:rPr>
        <w:fldChar w:fldCharType="end"/>
      </w:r>
      <w:r>
        <w:rPr>
          <w:iCs/>
        </w:rPr>
        <w:t xml:space="preserve">. </w:t>
      </w:r>
      <w:r>
        <w:t xml:space="preserve">Substancializovaný vztah </w:t>
      </w:r>
      <w:r w:rsidR="00D51882">
        <w:t>„</w:t>
      </w:r>
      <w:r w:rsidRPr="08C93C18">
        <w:rPr>
          <w:i/>
        </w:rPr>
        <w:t>essentia</w:t>
      </w:r>
      <w:r>
        <w:t>‒</w:t>
      </w:r>
      <w:r w:rsidRPr="00273106">
        <w:rPr>
          <w:i/>
        </w:rPr>
        <w:t>relatio</w:t>
      </w:r>
      <w:r w:rsidRPr="00273106">
        <w:t>‒</w:t>
      </w:r>
      <w:r w:rsidR="004C7D54">
        <w:rPr>
          <w:i/>
        </w:rPr>
        <w:t>intentum</w:t>
      </w:r>
      <w:r w:rsidR="00D51882">
        <w:t>“</w:t>
      </w:r>
      <w:r w:rsidRPr="00273106">
        <w:t xml:space="preserve"> </w:t>
      </w:r>
      <w:r>
        <w:t>daný v</w:t>
      </w:r>
      <w:r w:rsidR="004C7D54">
        <w:t xml:space="preserve"> moderním </w:t>
      </w:r>
      <w:r>
        <w:t xml:space="preserve">bohu </w:t>
      </w:r>
      <w:r w:rsidRPr="00273106">
        <w:t xml:space="preserve">zakládá </w:t>
      </w:r>
      <w:r>
        <w:t>exemplar jako nové jsoucno třetího druhu</w:t>
      </w:r>
      <w:r w:rsidR="004C7D54">
        <w:t xml:space="preserve">; pak jej bůh </w:t>
      </w:r>
      <w:r>
        <w:t xml:space="preserve">kopíruje do stvoření. </w:t>
      </w:r>
      <w:r>
        <w:rPr>
          <w:iCs/>
        </w:rPr>
        <w:t>E</w:t>
      </w:r>
      <w:r w:rsidRPr="00273106">
        <w:t xml:space="preserve">xemplar </w:t>
      </w:r>
      <w:r>
        <w:t xml:space="preserve">vzniká v modu boží intencionality v několika krocích. Exemplar tvoří intencionální předmět boží esence </w:t>
      </w:r>
      <w:r w:rsidRPr="00273106">
        <w:t>(</w:t>
      </w:r>
      <w:r w:rsidRPr="08E308B3">
        <w:rPr>
          <w:i/>
        </w:rPr>
        <w:t>esse in</w:t>
      </w:r>
      <w:r>
        <w:rPr>
          <w:i/>
          <w:vertAlign w:val="superscript"/>
        </w:rPr>
        <w:t>1</w:t>
      </w:r>
      <w:r w:rsidRPr="00273106">
        <w:t>)</w:t>
      </w:r>
      <w:r>
        <w:t xml:space="preserve"> a je daný habituálně jako objektivovaná forma jeho myšlení (</w:t>
      </w:r>
      <w:r w:rsidRPr="00273106">
        <w:rPr>
          <w:i/>
        </w:rPr>
        <w:t>habitu</w:t>
      </w:r>
      <w:r>
        <w:rPr>
          <w:i/>
        </w:rPr>
        <w:t>s</w:t>
      </w:r>
      <w:r>
        <w:rPr>
          <w:i/>
          <w:vertAlign w:val="superscript"/>
        </w:rPr>
        <w:t>1</w:t>
      </w:r>
      <w:r>
        <w:t xml:space="preserve">). </w:t>
      </w:r>
      <w:r w:rsidRPr="00273106">
        <w:t xml:space="preserve">Směrem od boha </w:t>
      </w:r>
      <w:r>
        <w:t xml:space="preserve">k exemplaru </w:t>
      </w:r>
      <w:r w:rsidRPr="00273106">
        <w:t>je dán intencionální vztah (</w:t>
      </w:r>
      <w:r w:rsidRPr="00273106">
        <w:rPr>
          <w:i/>
        </w:rPr>
        <w:t>relatio</w:t>
      </w:r>
      <w:r>
        <w:rPr>
          <w:i/>
          <w:vertAlign w:val="superscript"/>
        </w:rPr>
        <w:t>1</w:t>
      </w:r>
      <w:r w:rsidRPr="00273106">
        <w:t xml:space="preserve">), který </w:t>
      </w:r>
      <w:r w:rsidR="00C611FC">
        <w:t>zakládá „</w:t>
      </w:r>
      <w:r w:rsidR="00C611FC" w:rsidRPr="00C611FC">
        <w:rPr>
          <w:i/>
        </w:rPr>
        <w:t>ex</w:t>
      </w:r>
      <w:r w:rsidRPr="00C611FC">
        <w:rPr>
          <w:i/>
        </w:rPr>
        <w:t>iste</w:t>
      </w:r>
      <w:r w:rsidR="00C611FC" w:rsidRPr="00C611FC">
        <w:rPr>
          <w:i/>
        </w:rPr>
        <w:t>re</w:t>
      </w:r>
      <w:r w:rsidR="00C611FC">
        <w:t>“</w:t>
      </w:r>
      <w:r>
        <w:t xml:space="preserve"> </w:t>
      </w:r>
      <w:r>
        <w:lastRenderedPageBreak/>
        <w:t xml:space="preserve">exemplaru </w:t>
      </w:r>
      <w:r w:rsidRPr="00273106">
        <w:t xml:space="preserve">v minimální porci </w:t>
      </w:r>
      <w:r w:rsidR="0013549D">
        <w:t xml:space="preserve">objektivní </w:t>
      </w:r>
      <w:r w:rsidRPr="00273106">
        <w:t>jsoucnosti (</w:t>
      </w:r>
      <w:r w:rsidRPr="08E308B3">
        <w:rPr>
          <w:i/>
        </w:rPr>
        <w:t>esse in</w:t>
      </w:r>
      <w:r>
        <w:rPr>
          <w:i/>
          <w:vertAlign w:val="superscript"/>
        </w:rPr>
        <w:t>2</w:t>
      </w:r>
      <w:r w:rsidRPr="00273106">
        <w:t xml:space="preserve">). </w:t>
      </w:r>
      <w:r>
        <w:t>Primární vztah exemplaru je dán vzhledem k neomezené boží substanci (</w:t>
      </w:r>
      <w:r w:rsidRPr="00273106">
        <w:rPr>
          <w:i/>
        </w:rPr>
        <w:t>esse ad</w:t>
      </w:r>
      <w:r>
        <w:rPr>
          <w:i/>
          <w:vertAlign w:val="superscript"/>
        </w:rPr>
        <w:t>1</w:t>
      </w:r>
      <w:r>
        <w:t>). Objektivní exemplar vystupuje vzhledem k budoucímu stvoření v archetypickém objektivním bytí (</w:t>
      </w:r>
      <w:r w:rsidRPr="08E308B3">
        <w:rPr>
          <w:i/>
        </w:rPr>
        <w:t>esse in</w:t>
      </w:r>
      <w:r>
        <w:rPr>
          <w:i/>
          <w:vertAlign w:val="superscript"/>
        </w:rPr>
        <w:t>2</w:t>
      </w:r>
      <w:r>
        <w:t xml:space="preserve">) a podává nejvyšší míru exemplární racionality dané objektivně pro celek jsoucna mimo boha </w:t>
      </w:r>
      <w:r w:rsidRPr="00273106">
        <w:t>(</w:t>
      </w:r>
      <w:r w:rsidRPr="00273106">
        <w:rPr>
          <w:i/>
        </w:rPr>
        <w:t>esse ad</w:t>
      </w:r>
      <w:r>
        <w:rPr>
          <w:i/>
          <w:vertAlign w:val="superscript"/>
        </w:rPr>
        <w:t>2</w:t>
      </w:r>
      <w:r>
        <w:rPr>
          <w:i/>
        </w:rPr>
        <w:fldChar w:fldCharType="begin"/>
      </w:r>
      <w:r>
        <w:instrText xml:space="preserve"> XE "</w:instrText>
      </w:r>
      <w:r w:rsidRPr="008F3381">
        <w:rPr>
          <w:i/>
        </w:rPr>
        <w:instrText xml:space="preserve">esse </w:instrText>
      </w:r>
      <w:proofErr w:type="gramStart"/>
      <w:r w:rsidRPr="008F3381">
        <w:rPr>
          <w:i/>
        </w:rPr>
        <w:instrText>ad</w:instrText>
      </w:r>
      <w:proofErr w:type="gramEnd"/>
      <w:r w:rsidRPr="008F3381">
        <w:rPr>
          <w:i/>
        </w:rPr>
        <w:instrText>:</w:instrText>
      </w:r>
      <w:r w:rsidRPr="00C87468">
        <w:instrText>Gandavus</w:instrText>
      </w:r>
      <w:r>
        <w:instrText xml:space="preserve">" </w:instrText>
      </w:r>
      <w:r>
        <w:rPr>
          <w:i/>
        </w:rPr>
        <w:fldChar w:fldCharType="end"/>
      </w:r>
      <w:r w:rsidRPr="00273106">
        <w:t>)</w:t>
      </w:r>
      <w:r>
        <w:t>. Stvořitelskou m</w:t>
      </w:r>
      <w:r w:rsidRPr="00273106">
        <w:t xml:space="preserve">odifikací </w:t>
      </w:r>
      <w:r>
        <w:t xml:space="preserve">objektivně-exemplárního </w:t>
      </w:r>
      <w:r w:rsidRPr="00273106">
        <w:t>vztahu v</w:t>
      </w:r>
      <w:r>
        <w:t xml:space="preserve">e stvoření </w:t>
      </w:r>
      <w:r w:rsidRPr="00273106">
        <w:t>vznikla moderní objektivita</w:t>
      </w:r>
      <w:r>
        <w:t xml:space="preserve">. Nyní je možná replikace této boží objektivity ve stvoření. Objektivita je dána ve stvoření </w:t>
      </w:r>
      <w:r w:rsidRPr="00273106">
        <w:t>jako ultimativní míra všeho jsoucího směrem k bohu (</w:t>
      </w:r>
      <w:r w:rsidRPr="00273106">
        <w:rPr>
          <w:i/>
        </w:rPr>
        <w:t>relatio</w:t>
      </w:r>
      <w:r>
        <w:rPr>
          <w:i/>
          <w:vertAlign w:val="superscript"/>
        </w:rPr>
        <w:t>2</w:t>
      </w:r>
      <w:r w:rsidRPr="00273106">
        <w:t xml:space="preserve">), který vybavuje každý objekt tohoto vztahu </w:t>
      </w:r>
      <w:r>
        <w:t xml:space="preserve">objektivně </w:t>
      </w:r>
      <w:r w:rsidRPr="00273106">
        <w:t xml:space="preserve">danou </w:t>
      </w:r>
      <w:r>
        <w:t xml:space="preserve">mírou </w:t>
      </w:r>
      <w:r w:rsidRPr="00273106">
        <w:t xml:space="preserve">jsoucnosti </w:t>
      </w:r>
      <w:r>
        <w:t xml:space="preserve">danou habituálně </w:t>
      </w:r>
      <w:r w:rsidRPr="00273106">
        <w:t>(</w:t>
      </w:r>
      <w:r w:rsidRPr="00273106">
        <w:rPr>
          <w:i/>
        </w:rPr>
        <w:t>habitus</w:t>
      </w:r>
      <w:r>
        <w:rPr>
          <w:i/>
          <w:vertAlign w:val="superscript"/>
        </w:rPr>
        <w:t>2</w:t>
      </w:r>
      <w:r w:rsidRPr="00273106">
        <w:t>).</w:t>
      </w:r>
      <w:r>
        <w:t xml:space="preserve"> Nová hypostázovaná forma vztahu (</w:t>
      </w:r>
      <w:proofErr w:type="gramStart"/>
      <w:r w:rsidRPr="00D60156">
        <w:rPr>
          <w:i/>
        </w:rPr>
        <w:t>relatio</w:t>
      </w:r>
      <w:r w:rsidRPr="00D60156">
        <w:rPr>
          <w:i/>
          <w:vertAlign w:val="superscript"/>
        </w:rPr>
        <w:t>2</w:t>
      </w:r>
      <w:r>
        <w:t>)  je</w:t>
      </w:r>
      <w:proofErr w:type="gramEnd"/>
      <w:r>
        <w:t xml:space="preserve"> objektivně daná na úrovni stvoření </w:t>
      </w:r>
      <w:r w:rsidRPr="00273106">
        <w:t>(</w:t>
      </w:r>
      <w:r w:rsidRPr="00273106">
        <w:rPr>
          <w:i/>
        </w:rPr>
        <w:t>esse ad</w:t>
      </w:r>
      <w:r>
        <w:rPr>
          <w:i/>
          <w:vertAlign w:val="superscript"/>
        </w:rPr>
        <w:t>2</w:t>
      </w:r>
      <w:r>
        <w:rPr>
          <w:i/>
        </w:rPr>
        <w:fldChar w:fldCharType="begin"/>
      </w:r>
      <w:r>
        <w:instrText xml:space="preserve"> XE "</w:instrText>
      </w:r>
      <w:r w:rsidRPr="008F3381">
        <w:rPr>
          <w:i/>
        </w:rPr>
        <w:instrText>esse ad:</w:instrText>
      </w:r>
      <w:r w:rsidRPr="00C87468">
        <w:instrText>Gandavus</w:instrText>
      </w:r>
      <w:r>
        <w:instrText xml:space="preserve">" </w:instrText>
      </w:r>
      <w:r>
        <w:rPr>
          <w:i/>
        </w:rPr>
        <w:fldChar w:fldCharType="end"/>
      </w:r>
      <w:r w:rsidRPr="00273106">
        <w:t>)</w:t>
      </w:r>
      <w:r>
        <w:t xml:space="preserve"> a manifestuje se skrze omezenou a kontingentní </w:t>
      </w:r>
      <w:r w:rsidRPr="00273106">
        <w:t>reá</w:t>
      </w:r>
      <w:r>
        <w:t>lnou substanci (</w:t>
      </w:r>
      <w:r w:rsidRPr="08E308B3">
        <w:rPr>
          <w:i/>
        </w:rPr>
        <w:t>esse in</w:t>
      </w:r>
      <w:r w:rsidRPr="08D66DBD">
        <w:rPr>
          <w:i/>
          <w:vertAlign w:val="superscript"/>
        </w:rPr>
        <w:t>3</w:t>
      </w:r>
      <w:r>
        <w:t xml:space="preserve">). Iluminát má díky darovanému intelektu a osvícení od boha substanční formu </w:t>
      </w:r>
      <w:r w:rsidRPr="08037C47">
        <w:rPr>
          <w:i/>
        </w:rPr>
        <w:t>anima intellectiva</w:t>
      </w:r>
      <w:r>
        <w:t xml:space="preserve"> (</w:t>
      </w:r>
      <w:r w:rsidRPr="00273106">
        <w:rPr>
          <w:i/>
        </w:rPr>
        <w:t>habitus</w:t>
      </w:r>
      <w:r>
        <w:rPr>
          <w:i/>
          <w:vertAlign w:val="superscript"/>
        </w:rPr>
        <w:t>3</w:t>
      </w:r>
      <w:r>
        <w:t xml:space="preserve">). Díky svému vrozenému habitu iluminát poznává objektivní </w:t>
      </w:r>
      <w:r w:rsidR="00962190">
        <w:rPr>
          <w:i/>
        </w:rPr>
        <w:t>species</w:t>
      </w:r>
      <w:r>
        <w:t xml:space="preserve"> v jeho objektivním habitu (</w:t>
      </w:r>
      <w:r w:rsidRPr="00273106">
        <w:rPr>
          <w:i/>
        </w:rPr>
        <w:t>habitus</w:t>
      </w:r>
      <w:r>
        <w:rPr>
          <w:i/>
          <w:vertAlign w:val="superscript"/>
        </w:rPr>
        <w:t>2</w:t>
      </w:r>
      <w:r>
        <w:t xml:space="preserve">), který je daný také v kontingentních prvních substancích </w:t>
      </w:r>
      <w:r w:rsidRPr="00273106">
        <w:t>(</w:t>
      </w:r>
      <w:r w:rsidRPr="08E308B3">
        <w:rPr>
          <w:i/>
        </w:rPr>
        <w:t>esse in</w:t>
      </w:r>
      <w:r>
        <w:rPr>
          <w:i/>
          <w:vertAlign w:val="superscript"/>
        </w:rPr>
        <w:t>3</w:t>
      </w:r>
      <w:r w:rsidRPr="00273106">
        <w:t>)</w:t>
      </w:r>
      <w:r>
        <w:t xml:space="preserve">. Tento objektivní vztah je nahlížen na nižší úrovni empirické </w:t>
      </w:r>
      <w:r w:rsidRPr="087B6EB6">
        <w:rPr>
          <w:i/>
        </w:rPr>
        <w:t>scientia</w:t>
      </w:r>
      <w:r>
        <w:t xml:space="preserve">  (</w:t>
      </w:r>
      <w:r w:rsidRPr="00273106">
        <w:rPr>
          <w:i/>
        </w:rPr>
        <w:t>esse ad</w:t>
      </w:r>
      <w:r>
        <w:rPr>
          <w:i/>
          <w:vertAlign w:val="superscript"/>
        </w:rPr>
        <w:t>3</w:t>
      </w:r>
      <w:r>
        <w:t xml:space="preserve">) pomocí aristotelské abstrakce ze smyslů v modu </w:t>
      </w:r>
      <w:r w:rsidR="00474D21">
        <w:t>„</w:t>
      </w:r>
      <w:r w:rsidRPr="087B6EB6">
        <w:rPr>
          <w:i/>
        </w:rPr>
        <w:t>quoad nos</w:t>
      </w:r>
      <w:r w:rsidR="00474D21">
        <w:t>“</w:t>
      </w:r>
      <w:r>
        <w:t xml:space="preserve"> (</w:t>
      </w:r>
      <w:r w:rsidRPr="00D60156">
        <w:rPr>
          <w:i/>
        </w:rPr>
        <w:t>relatio</w:t>
      </w:r>
      <w:r>
        <w:rPr>
          <w:i/>
          <w:vertAlign w:val="superscript"/>
        </w:rPr>
        <w:t>3</w:t>
      </w:r>
      <w:r>
        <w:t xml:space="preserve">). Ale filosoficky zdatný iluminát nepotřebuje tuto empirickou okliku a přímo nazírá exemplární racionalitu v její eidetické hypostázované formě dané přímo od boha </w:t>
      </w:r>
      <w:r w:rsidRPr="00273106">
        <w:t>(</w:t>
      </w:r>
      <w:r w:rsidRPr="00273106">
        <w:rPr>
          <w:i/>
        </w:rPr>
        <w:t>relatio</w:t>
      </w:r>
      <w:r>
        <w:rPr>
          <w:i/>
          <w:vertAlign w:val="superscript"/>
        </w:rPr>
        <w:t>2</w:t>
      </w:r>
      <w:r>
        <w:t xml:space="preserve">, </w:t>
      </w:r>
      <w:r w:rsidRPr="08E308B3">
        <w:rPr>
          <w:i/>
        </w:rPr>
        <w:t>esse in</w:t>
      </w:r>
      <w:r>
        <w:rPr>
          <w:i/>
          <w:vertAlign w:val="superscript"/>
        </w:rPr>
        <w:t>2</w:t>
      </w:r>
      <w:r>
        <w:rPr>
          <w:i/>
        </w:rPr>
        <w:t xml:space="preserve">, </w:t>
      </w:r>
      <w:r w:rsidRPr="00273106">
        <w:rPr>
          <w:i/>
        </w:rPr>
        <w:t>esse ad</w:t>
      </w:r>
      <w:r>
        <w:rPr>
          <w:i/>
          <w:vertAlign w:val="superscript"/>
        </w:rPr>
        <w:t>2</w:t>
      </w:r>
      <w:r>
        <w:t>). Tuto vizi objektivního nebeského Jeruzaléma zajišťuje adekvace hypostáz</w:t>
      </w:r>
      <w:r w:rsidR="005405EF">
        <w:t xml:space="preserve">ovaných esencí, habitů a vztahů, která </w:t>
      </w:r>
      <w:r>
        <w:t>je dána v modu Rufusovy pravdy jako asimilace (</w:t>
      </w:r>
      <w:r w:rsidRPr="08037C47">
        <w:rPr>
          <w:i/>
        </w:rPr>
        <w:t>coaequatio</w:t>
      </w:r>
      <w:r>
        <w:t xml:space="preserve">). </w:t>
      </w:r>
      <w:r w:rsidRPr="00273106">
        <w:t xml:space="preserve">Obě roviny </w:t>
      </w:r>
      <w:r>
        <w:t xml:space="preserve">exemplární a seminální objektivity </w:t>
      </w:r>
      <w:r w:rsidRPr="00273106">
        <w:t>si analogicky odpovídají v Jamblichově modu „Neomezené</w:t>
      </w:r>
      <w:r>
        <w:t>“</w:t>
      </w:r>
      <w:r w:rsidRPr="00273106">
        <w:t xml:space="preserve"> versus </w:t>
      </w:r>
      <w:r>
        <w:t>„</w:t>
      </w:r>
      <w:r w:rsidRPr="00273106">
        <w:t>Omezené“, který Gandavus upravil</w:t>
      </w:r>
      <w:r>
        <w:t xml:space="preserve"> do moderní podoby</w:t>
      </w:r>
      <w:r>
        <w:fldChar w:fldCharType="begin"/>
      </w:r>
      <w:r>
        <w:instrText xml:space="preserve"> XE "</w:instrText>
      </w:r>
      <w:r w:rsidRPr="004A1C1D">
        <w:instrText>analogie:objektivní</w:instrText>
      </w:r>
      <w:r>
        <w:instrText xml:space="preserve">" </w:instrText>
      </w:r>
      <w:r>
        <w:fldChar w:fldCharType="end"/>
      </w:r>
      <w:r w:rsidR="009B1632">
        <w:t>.</w:t>
      </w:r>
      <w:r w:rsidR="00E527C5">
        <w:t xml:space="preserve"> </w:t>
      </w:r>
      <w:r w:rsidR="00E527C5" w:rsidRPr="00273106">
        <w:rPr>
          <w:iCs/>
        </w:rPr>
        <w:t>Na rozdíl od neoplatonismu tvoří archetypální sféra exemplarů pouze součást</w:t>
      </w:r>
      <w:r w:rsidR="00E527C5">
        <w:rPr>
          <w:iCs/>
        </w:rPr>
        <w:t xml:space="preserve"> božích záměrů</w:t>
      </w:r>
      <w:r w:rsidR="00E527C5" w:rsidRPr="00273106">
        <w:rPr>
          <w:iCs/>
        </w:rPr>
        <w:t>, nikoliv vlastních stvořených substancí existujících reálně.</w:t>
      </w:r>
      <w:r w:rsidR="00E527C5" w:rsidRPr="00273106">
        <w:rPr>
          <w:rStyle w:val="Znakapoznpodarou"/>
          <w:iCs/>
        </w:rPr>
        <w:footnoteReference w:id="415"/>
      </w:r>
      <w:r w:rsidR="00E527C5" w:rsidRPr="00273106">
        <w:rPr>
          <w:iCs/>
        </w:rPr>
        <w:t xml:space="preserve"> Objektivita univerzálních </w:t>
      </w:r>
      <w:r w:rsidR="00E527C5" w:rsidRPr="00E527C5">
        <w:rPr>
          <w:iCs/>
        </w:rPr>
        <w:t>species</w:t>
      </w:r>
      <w:r w:rsidR="00E527C5" w:rsidRPr="00273106">
        <w:rPr>
          <w:iCs/>
        </w:rPr>
        <w:t xml:space="preserve"> všeho druhu je dána tím, že existují v boží intencionalitě jako čistá možnost, a nikoliv jako stvořitelský exemplar (</w:t>
      </w:r>
      <w:r w:rsidR="00E527C5" w:rsidRPr="00273106">
        <w:rPr>
          <w:i/>
        </w:rPr>
        <w:t>quae numquam futura erant in existentia</w:t>
      </w:r>
      <w:r w:rsidR="00E527C5" w:rsidRPr="00273106">
        <w:rPr>
          <w:iCs/>
        </w:rPr>
        <w:t xml:space="preserve">). Na </w:t>
      </w:r>
      <w:r w:rsidR="00E527C5">
        <w:rPr>
          <w:iCs/>
        </w:rPr>
        <w:t xml:space="preserve">tomto </w:t>
      </w:r>
      <w:r w:rsidR="00E527C5" w:rsidRPr="00273106">
        <w:rPr>
          <w:iCs/>
        </w:rPr>
        <w:t>jsoucnu daném skrze boží intenci jak objektivně-</w:t>
      </w:r>
      <w:r w:rsidR="00E527C5">
        <w:rPr>
          <w:iCs/>
        </w:rPr>
        <w:t>exemplárně</w:t>
      </w:r>
      <w:r w:rsidR="00E527C5" w:rsidRPr="00273106">
        <w:rPr>
          <w:iCs/>
        </w:rPr>
        <w:t>, tak objektivně-</w:t>
      </w:r>
      <w:r w:rsidR="00E527C5">
        <w:rPr>
          <w:iCs/>
        </w:rPr>
        <w:t>seminálně</w:t>
      </w:r>
      <w:r w:rsidR="00E527C5" w:rsidRPr="00273106">
        <w:rPr>
          <w:iCs/>
        </w:rPr>
        <w:t>, pak následně participuje celé stvoření.</w:t>
      </w:r>
    </w:p>
    <w:p w:rsidR="00804166" w:rsidRDefault="009E6B71" w:rsidP="00804166">
      <w:pPr>
        <w:ind w:firstLine="397"/>
      </w:pPr>
      <w:r w:rsidRPr="009E6B71">
        <w:lastRenderedPageBreak/>
        <w:t xml:space="preserve">Objektivní struktura moderní ontoteologie byla vytvořena jako síť vzájemných vztahů, které jsou dány ve stvoření jako </w:t>
      </w:r>
      <w:r w:rsidR="00215672">
        <w:t xml:space="preserve">exemplary </w:t>
      </w:r>
      <w:r w:rsidRPr="009E6B71">
        <w:t xml:space="preserve">a v </w:t>
      </w:r>
      <w:r w:rsidR="00215672">
        <w:t>b</w:t>
      </w:r>
      <w:r w:rsidRPr="009E6B71">
        <w:t xml:space="preserve">ohu a </w:t>
      </w:r>
      <w:r w:rsidR="00215672">
        <w:t xml:space="preserve">v </w:t>
      </w:r>
      <w:r w:rsidRPr="009E6B71">
        <w:t xml:space="preserve">člověku jako objektivní intence. </w:t>
      </w:r>
      <w:r w:rsidR="009B1632">
        <w:t>A</w:t>
      </w:r>
      <w:r w:rsidR="08163013" w:rsidRPr="00273106">
        <w:t xml:space="preserve">nalogie funguje v modelu </w:t>
      </w:r>
      <w:r w:rsidR="00797120">
        <w:t>metafyzické a matematické a</w:t>
      </w:r>
      <w:r w:rsidR="08163013" w:rsidRPr="00273106">
        <w:t>bstrakce</w:t>
      </w:r>
      <w:r w:rsidR="08163013">
        <w:fldChar w:fldCharType="begin"/>
      </w:r>
      <w:r w:rsidR="08163013">
        <w:instrText xml:space="preserve"> XE "</w:instrText>
      </w:r>
      <w:r w:rsidR="08163013" w:rsidRPr="00A824F0">
        <w:instrText>abstrakce:matematická</w:instrText>
      </w:r>
      <w:r w:rsidR="08163013">
        <w:instrText xml:space="preserve">" </w:instrText>
      </w:r>
      <w:r w:rsidR="08163013">
        <w:fldChar w:fldCharType="end"/>
      </w:r>
      <w:r w:rsidR="08163013">
        <w:t xml:space="preserve">, protože exemplarita </w:t>
      </w:r>
      <w:r w:rsidR="00CE6EFF">
        <w:t xml:space="preserve">zahrnuje </w:t>
      </w:r>
      <w:r w:rsidR="08163013">
        <w:t>vztahy míry, stupně a kvantity</w:t>
      </w:r>
      <w:r w:rsidR="08163013" w:rsidRPr="00273106">
        <w:t xml:space="preserve">. Kategorie vztahu </w:t>
      </w:r>
      <w:r w:rsidR="08163013">
        <w:t xml:space="preserve">v hypostázovaném modu </w:t>
      </w:r>
      <w:r w:rsidR="08163013" w:rsidRPr="08491368">
        <w:rPr>
          <w:i/>
        </w:rPr>
        <w:t>esse ad</w:t>
      </w:r>
      <w:r w:rsidR="08163013">
        <w:t xml:space="preserve"> převzatá ze Simplikia </w:t>
      </w:r>
      <w:r w:rsidR="08163013" w:rsidRPr="00273106">
        <w:t xml:space="preserve">dostává </w:t>
      </w:r>
      <w:r w:rsidR="08163013">
        <w:t xml:space="preserve">v první formě objektivního </w:t>
      </w:r>
      <w:r w:rsidR="08163013" w:rsidRPr="08FF1E7C">
        <w:rPr>
          <w:i/>
        </w:rPr>
        <w:t>resolutio</w:t>
      </w:r>
      <w:r w:rsidR="08163013">
        <w:t xml:space="preserve"> jsoucna </w:t>
      </w:r>
      <w:r w:rsidR="08163013" w:rsidRPr="00273106">
        <w:t xml:space="preserve">zásadní význam ze dvou důvodů. </w:t>
      </w:r>
      <w:r w:rsidR="08163013">
        <w:t xml:space="preserve">Za prvé. </w:t>
      </w:r>
      <w:r w:rsidR="08163013" w:rsidRPr="00273106">
        <w:t>Na úrovni boží intencionality dává jsoucnu první dávku objektivní jsoucnosti (</w:t>
      </w:r>
      <w:r w:rsidR="08163013" w:rsidRPr="00273106">
        <w:rPr>
          <w:i/>
        </w:rPr>
        <w:t>esse diminutum</w:t>
      </w:r>
      <w:r w:rsidR="08163013">
        <w:rPr>
          <w:i/>
        </w:rPr>
        <w:fldChar w:fldCharType="begin"/>
      </w:r>
      <w:r w:rsidR="08163013">
        <w:instrText xml:space="preserve"> XE "</w:instrText>
      </w:r>
      <w:r w:rsidR="08163013" w:rsidRPr="00782C1F">
        <w:rPr>
          <w:i/>
        </w:rPr>
        <w:instrText>esse diminutum</w:instrText>
      </w:r>
      <w:r w:rsidR="08163013">
        <w:instrText xml:space="preserve">" </w:instrText>
      </w:r>
      <w:r w:rsidR="08163013">
        <w:rPr>
          <w:i/>
        </w:rPr>
        <w:fldChar w:fldCharType="end"/>
      </w:r>
      <w:r w:rsidR="08163013">
        <w:t xml:space="preserve">). Za druhé. Nová metafyzika </w:t>
      </w:r>
      <w:r w:rsidR="08163013" w:rsidRPr="00273106">
        <w:t xml:space="preserve">zajišťuje tímto </w:t>
      </w:r>
      <w:r w:rsidR="08163013">
        <w:t xml:space="preserve">habituálním a kvantifikovatelným </w:t>
      </w:r>
      <w:r w:rsidR="08163013" w:rsidRPr="00273106">
        <w:t xml:space="preserve">vztahem </w:t>
      </w:r>
      <w:r w:rsidR="08163013">
        <w:t xml:space="preserve">analogické a měřitelné </w:t>
      </w:r>
      <w:r w:rsidR="08163013" w:rsidRPr="00273106">
        <w:t xml:space="preserve">určení jsoucna dané </w:t>
      </w:r>
      <w:r w:rsidR="08163013" w:rsidRPr="00273106">
        <w:rPr>
          <w:i/>
        </w:rPr>
        <w:t>per prius</w:t>
      </w:r>
      <w:r w:rsidR="08163013" w:rsidRPr="00273106">
        <w:t xml:space="preserve"> pro celek stvoření</w:t>
      </w:r>
      <w:r w:rsidR="08163013" w:rsidRPr="00F67502">
        <w:t xml:space="preserve"> </w:t>
      </w:r>
      <w:r w:rsidR="08163013">
        <w:t xml:space="preserve">v modu </w:t>
      </w:r>
      <w:r w:rsidR="08163013" w:rsidRPr="00273106">
        <w:rPr>
          <w:i/>
        </w:rPr>
        <w:t>ad</w:t>
      </w:r>
      <w:r w:rsidR="08163013">
        <w:rPr>
          <w:i/>
        </w:rPr>
        <w:t xml:space="preserve"> aliquid</w:t>
      </w:r>
      <w:r w:rsidR="08163013" w:rsidRPr="00273106">
        <w:t>.</w:t>
      </w:r>
      <w:r w:rsidR="08163013">
        <w:t xml:space="preserve"> </w:t>
      </w:r>
      <w:r w:rsidR="08163013" w:rsidRPr="00273106">
        <w:t xml:space="preserve">Aristotelem hledaná první filosofie vztažená k bytí první substance se změnila na intencionálně založenou jistotu </w:t>
      </w:r>
      <w:r w:rsidR="08163013">
        <w:t>vztaženou k neoplatonské esenci a k intelektu-slunci</w:t>
      </w:r>
      <w:r w:rsidR="08163013" w:rsidRPr="00273106">
        <w:t>.</w:t>
      </w:r>
      <w:r w:rsidR="08163013">
        <w:t xml:space="preserve"> </w:t>
      </w:r>
      <w:r w:rsidR="08163013" w:rsidRPr="00273106">
        <w:t>Vývoj j</w:t>
      </w:r>
      <w:r w:rsidR="08163013">
        <w:t xml:space="preserve">soucna třetího druhu v moderně poznamenalo esenciální a eidetické </w:t>
      </w:r>
      <w:r w:rsidR="08163013" w:rsidRPr="00273106">
        <w:t xml:space="preserve">pojetí intencionality zděděné po Simplikiovi a Avicennovi. </w:t>
      </w:r>
      <w:r w:rsidR="08163013">
        <w:t xml:space="preserve">Slepou modernu vede po zániku významu první substance v modu </w:t>
      </w:r>
      <w:r w:rsidR="08163013" w:rsidRPr="08BD6E4F">
        <w:rPr>
          <w:i/>
        </w:rPr>
        <w:t>Oxfordian Fallacy</w:t>
      </w:r>
      <w:r w:rsidR="08163013">
        <w:t xml:space="preserve"> objektivní sluneční mýtus, které zbožným augustinánům nabídly ochotné bohyně </w:t>
      </w:r>
      <w:r w:rsidR="00EA6F54">
        <w:t>akademické P</w:t>
      </w:r>
      <w:r w:rsidR="08163013">
        <w:t xml:space="preserve">omsty. V podsvětí spravovaném objektivními Fúriemi zcela pochopitelně svítí pouze </w:t>
      </w:r>
      <w:r w:rsidR="0013549D">
        <w:t xml:space="preserve">objektivní </w:t>
      </w:r>
      <w:r w:rsidR="08163013">
        <w:t>simulákrum slunce. Skutečná moudrost sleduje s Parmenidem dráhu reálného slunce. Radostná věda iluminátů žijících v epoše objektivní sluneční myto</w:t>
      </w:r>
      <w:r w:rsidR="00EA6F54">
        <w:t>logie</w:t>
      </w:r>
      <w:r w:rsidR="08163013">
        <w:fldChar w:fldCharType="begin"/>
      </w:r>
      <w:r w:rsidR="08163013">
        <w:instrText xml:space="preserve"> XE "</w:instrText>
      </w:r>
      <w:r w:rsidR="00EA6F54">
        <w:instrText>m</w:instrText>
      </w:r>
      <w:r w:rsidR="008B175F">
        <w:instrText>ytologie</w:instrText>
      </w:r>
      <w:r w:rsidR="08163013">
        <w:instrText xml:space="preserve">" </w:instrText>
      </w:r>
      <w:r w:rsidR="08163013">
        <w:fldChar w:fldCharType="end"/>
      </w:r>
      <w:r w:rsidR="08163013">
        <w:t xml:space="preserve"> vzniká </w:t>
      </w:r>
      <w:r w:rsidR="08163013" w:rsidRPr="00273106">
        <w:t xml:space="preserve">na úrovni individuální aktualizace esence, </w:t>
      </w:r>
      <w:r w:rsidR="08163013">
        <w:t xml:space="preserve">kterou intelekt-slunce </w:t>
      </w:r>
      <w:r w:rsidR="08163013" w:rsidRPr="00273106">
        <w:t xml:space="preserve">nazírá </w:t>
      </w:r>
      <w:r w:rsidR="08163013">
        <w:t xml:space="preserve">přímo a </w:t>
      </w:r>
      <w:r w:rsidR="08163013" w:rsidRPr="00273106">
        <w:t>v plné univerzalitě</w:t>
      </w:r>
      <w:r w:rsidR="08163013">
        <w:fldChar w:fldCharType="begin"/>
      </w:r>
      <w:r w:rsidR="08163013">
        <w:instrText xml:space="preserve"> XE "</w:instrText>
      </w:r>
      <w:r w:rsidR="08163013" w:rsidRPr="00057F32">
        <w:instrText>vidění:eidetické</w:instrText>
      </w:r>
      <w:r w:rsidR="08163013">
        <w:instrText xml:space="preserve">" </w:instrText>
      </w:r>
      <w:r w:rsidR="08163013">
        <w:fldChar w:fldCharType="end"/>
      </w:r>
      <w:r w:rsidR="08163013">
        <w:t xml:space="preserve">. Gandavovo revoluční </w:t>
      </w:r>
      <w:r w:rsidR="08163013">
        <w:rPr>
          <w:i/>
        </w:rPr>
        <w:t xml:space="preserve">fiat </w:t>
      </w:r>
      <w:r w:rsidR="08163013">
        <w:t xml:space="preserve">tvořící </w:t>
      </w:r>
      <w:r w:rsidR="08163013" w:rsidRPr="08790C6B">
        <w:rPr>
          <w:i/>
        </w:rPr>
        <w:t>ex nihilo</w:t>
      </w:r>
      <w:r w:rsidR="08163013">
        <w:t xml:space="preserve"> moderního boha a objektivní svět představuje první nihilistické </w:t>
      </w:r>
      <w:r w:rsidR="08163013" w:rsidRPr="08790C6B">
        <w:rPr>
          <w:i/>
        </w:rPr>
        <w:t>factum</w:t>
      </w:r>
      <w:r w:rsidR="08163013">
        <w:t xml:space="preserve"> zakládající m</w:t>
      </w:r>
      <w:r w:rsidR="00A730DC">
        <w:t>oderní dějiny latinského Západu</w:t>
      </w:r>
      <w:r w:rsidR="08163013">
        <w:t xml:space="preserve">. </w:t>
      </w:r>
      <w:r w:rsidR="08163013" w:rsidRPr="00273106">
        <w:t xml:space="preserve">Skrze intencionalitu danou na základě </w:t>
      </w:r>
      <w:r w:rsidR="08163013">
        <w:t xml:space="preserve">hypostázovaného </w:t>
      </w:r>
      <w:r w:rsidR="08163013" w:rsidRPr="00273106">
        <w:t>aktivního intelektu dostalo js</w:t>
      </w:r>
      <w:r w:rsidR="08163013">
        <w:t>oucno význam pouze ze subjektu</w:t>
      </w:r>
      <w:r w:rsidR="004D1934">
        <w:t xml:space="preserve"> </w:t>
      </w:r>
      <w:r w:rsidR="004D1934">
        <w:rPr>
          <w:szCs w:val="24"/>
        </w:rPr>
        <w:t>(</w:t>
      </w:r>
      <w:r w:rsidR="004D1934" w:rsidRPr="004D1934">
        <w:rPr>
          <w:i/>
          <w:szCs w:val="24"/>
        </w:rPr>
        <w:t>Ge-Stell</w:t>
      </w:r>
      <w:r w:rsidR="004D1934" w:rsidRPr="004D1934">
        <w:rPr>
          <w:i/>
          <w:szCs w:val="24"/>
        </w:rPr>
        <w:fldChar w:fldCharType="begin"/>
      </w:r>
      <w:r w:rsidR="004D1934" w:rsidRPr="004D1934">
        <w:rPr>
          <w:i/>
        </w:rPr>
        <w:instrText xml:space="preserve"> XE "</w:instrText>
      </w:r>
      <w:r w:rsidR="004D1934" w:rsidRPr="004D1934">
        <w:rPr>
          <w:i/>
          <w:szCs w:val="24"/>
        </w:rPr>
        <w:instrText>Ge-Stell</w:instrText>
      </w:r>
      <w:r w:rsidR="004D1934" w:rsidRPr="004D1934">
        <w:rPr>
          <w:i/>
        </w:rPr>
        <w:instrText xml:space="preserve">" </w:instrText>
      </w:r>
      <w:r w:rsidR="004D1934" w:rsidRPr="004D1934">
        <w:rPr>
          <w:i/>
          <w:szCs w:val="24"/>
        </w:rPr>
        <w:fldChar w:fldCharType="end"/>
      </w:r>
      <w:r w:rsidR="004D1934">
        <w:rPr>
          <w:szCs w:val="24"/>
        </w:rPr>
        <w:t>)</w:t>
      </w:r>
      <w:r w:rsidR="08163013">
        <w:t>. Gandavus vytvořil další dějinný existenciál donace objektivity (</w:t>
      </w:r>
      <w:r w:rsidR="08163013" w:rsidRPr="00A36CE1">
        <w:rPr>
          <w:i/>
        </w:rPr>
        <w:t>Ereignis</w:t>
      </w:r>
      <w:r w:rsidR="08163013">
        <w:rPr>
          <w:i/>
        </w:rPr>
        <w:fldChar w:fldCharType="begin"/>
      </w:r>
      <w:r w:rsidR="08163013">
        <w:instrText xml:space="preserve"> XE "</w:instrText>
      </w:r>
      <w:r w:rsidR="08163013" w:rsidRPr="00BE0829">
        <w:rPr>
          <w:i/>
        </w:rPr>
        <w:instrText>Ereignis</w:instrText>
      </w:r>
      <w:r w:rsidR="08163013">
        <w:instrText xml:space="preserve">" </w:instrText>
      </w:r>
      <w:r w:rsidR="08163013">
        <w:rPr>
          <w:i/>
        </w:rPr>
        <w:fldChar w:fldCharType="end"/>
      </w:r>
      <w:r w:rsidR="08163013">
        <w:t>) směrem od nihilisticky skrytého bytí (</w:t>
      </w:r>
      <w:r w:rsidR="08163013" w:rsidRPr="00A36CE1">
        <w:rPr>
          <w:i/>
        </w:rPr>
        <w:t>Es gibt</w:t>
      </w:r>
      <w:r w:rsidR="08163013">
        <w:rPr>
          <w:i/>
        </w:rPr>
        <w:fldChar w:fldCharType="begin"/>
      </w:r>
      <w:r w:rsidR="08163013">
        <w:instrText xml:space="preserve"> XE "</w:instrText>
      </w:r>
      <w:r w:rsidR="08163013" w:rsidRPr="00495CF0">
        <w:rPr>
          <w:i/>
        </w:rPr>
        <w:instrText>Es gibt</w:instrText>
      </w:r>
      <w:r w:rsidR="08163013">
        <w:instrText xml:space="preserve">" </w:instrText>
      </w:r>
      <w:r w:rsidR="08163013">
        <w:rPr>
          <w:i/>
        </w:rPr>
        <w:fldChar w:fldCharType="end"/>
      </w:r>
      <w:r w:rsidR="08163013">
        <w:t xml:space="preserve">) v modu </w:t>
      </w:r>
      <w:r w:rsidR="08163013" w:rsidRPr="00A36CE1">
        <w:rPr>
          <w:i/>
        </w:rPr>
        <w:t>dativus mensurae</w:t>
      </w:r>
      <w:r w:rsidR="08163013">
        <w:fldChar w:fldCharType="begin"/>
      </w:r>
      <w:r w:rsidR="08163013">
        <w:instrText xml:space="preserve"> XE "</w:instrText>
      </w:r>
      <w:r w:rsidR="08163013" w:rsidRPr="00302BE7">
        <w:rPr>
          <w:i/>
        </w:rPr>
        <w:instrText>dativus mensurae</w:instrText>
      </w:r>
      <w:r w:rsidR="08163013">
        <w:instrText xml:space="preserve">" </w:instrText>
      </w:r>
      <w:r w:rsidR="08163013">
        <w:fldChar w:fldCharType="end"/>
      </w:r>
      <w:r w:rsidR="08163013">
        <w:t xml:space="preserve">. </w:t>
      </w:r>
      <w:r w:rsidR="08163013" w:rsidRPr="00273106">
        <w:t xml:space="preserve">Bůh je nejvyšší míra </w:t>
      </w:r>
      <w:r w:rsidR="08163013">
        <w:t xml:space="preserve">objektivních </w:t>
      </w:r>
      <w:r w:rsidR="08163013" w:rsidRPr="00273106">
        <w:t xml:space="preserve">určení jsoucna, protože v něm jsou tato určení dána v nekonečné míře a sama o sobě. </w:t>
      </w:r>
      <w:r w:rsidR="08163013">
        <w:t xml:space="preserve">První rovinu </w:t>
      </w:r>
      <w:r w:rsidR="00B627BA">
        <w:t xml:space="preserve">vztahů </w:t>
      </w:r>
      <w:r w:rsidR="08163013">
        <w:t>tvoří boží esence, která produkuje intencionální exemplar</w:t>
      </w:r>
      <w:r w:rsidR="08163013">
        <w:fldChar w:fldCharType="begin"/>
      </w:r>
      <w:r w:rsidR="08163013">
        <w:instrText xml:space="preserve"> XE "</w:instrText>
      </w:r>
      <w:r w:rsidR="08163013" w:rsidRPr="00C87468">
        <w:instrText>exemplar</w:instrText>
      </w:r>
      <w:r w:rsidR="08163013">
        <w:instrText xml:space="preserve">" </w:instrText>
      </w:r>
      <w:r w:rsidR="08163013">
        <w:fldChar w:fldCharType="end"/>
      </w:r>
      <w:r w:rsidR="08163013">
        <w:t>. Jeho primární bytí je dáno v boží esenci (</w:t>
      </w:r>
      <w:r w:rsidR="08163013">
        <w:rPr>
          <w:i/>
        </w:rPr>
        <w:t>d</w:t>
      </w:r>
      <w:r w:rsidR="08163013" w:rsidRPr="00273106">
        <w:rPr>
          <w:i/>
        </w:rPr>
        <w:t>eus creativus</w:t>
      </w:r>
      <w:r w:rsidR="08163013">
        <w:t>), ale manifestuje se do budoucího stvoření (</w:t>
      </w:r>
      <w:r w:rsidR="08163013">
        <w:rPr>
          <w:i/>
        </w:rPr>
        <w:t>d</w:t>
      </w:r>
      <w:r w:rsidR="08163013" w:rsidRPr="089909C2">
        <w:rPr>
          <w:i/>
        </w:rPr>
        <w:t>eus creaturus</w:t>
      </w:r>
      <w:r w:rsidR="08163013">
        <w:t xml:space="preserve">). Druhou rovinu </w:t>
      </w:r>
      <w:r w:rsidR="002D2647">
        <w:t xml:space="preserve">vztahů </w:t>
      </w:r>
      <w:r w:rsidR="08163013">
        <w:t xml:space="preserve">nahlíženou lidským intelektem ve stvoření tvoří objektivní výměr věci (Bonaventurovo </w:t>
      </w:r>
      <w:r w:rsidR="08163013" w:rsidRPr="00FC4C4C">
        <w:rPr>
          <w:i/>
        </w:rPr>
        <w:t>ratio seminalis</w:t>
      </w:r>
      <w:r w:rsidR="08163013">
        <w:t>), který se analogicky zrcadlí v reálné stvořené věci (</w:t>
      </w:r>
      <w:r w:rsidR="08163013" w:rsidRPr="08797109">
        <w:rPr>
          <w:i/>
        </w:rPr>
        <w:t>deus creans</w:t>
      </w:r>
      <w:r w:rsidR="08163013">
        <w:t xml:space="preserve">). Obě roviny vytvářejí kompletní trojčlenku nové metafyziky pojaté </w:t>
      </w:r>
      <w:r w:rsidR="08163013" w:rsidRPr="08203A23">
        <w:rPr>
          <w:i/>
        </w:rPr>
        <w:t xml:space="preserve">modo </w:t>
      </w:r>
      <w:r w:rsidR="08163013" w:rsidRPr="08203A23">
        <w:rPr>
          <w:i/>
        </w:rPr>
        <w:lastRenderedPageBreak/>
        <w:t>geometrico</w:t>
      </w:r>
      <w:r w:rsidR="08163013">
        <w:rPr>
          <w:i/>
        </w:rPr>
        <w:fldChar w:fldCharType="begin"/>
      </w:r>
      <w:r w:rsidR="08163013">
        <w:instrText xml:space="preserve"> XE "</w:instrText>
      </w:r>
      <w:r w:rsidR="08163013" w:rsidRPr="08574361">
        <w:rPr>
          <w:i/>
        </w:rPr>
        <w:instrText>modo geometrico</w:instrText>
      </w:r>
      <w:r w:rsidR="08163013">
        <w:instrText xml:space="preserve">" </w:instrText>
      </w:r>
      <w:r w:rsidR="08163013">
        <w:rPr>
          <w:i/>
        </w:rPr>
        <w:fldChar w:fldCharType="end"/>
      </w:r>
      <w:r w:rsidR="08163013">
        <w:t xml:space="preserve">. Ratio boha a stvoření se manifestuje ve středové funkci exemplaru, který představuje univerzální a univoční </w:t>
      </w:r>
      <w:r w:rsidR="08163013" w:rsidRPr="00E00057">
        <w:rPr>
          <w:i/>
        </w:rPr>
        <w:t>medium</w:t>
      </w:r>
      <w:r w:rsidR="08163013">
        <w:rPr>
          <w:i/>
        </w:rPr>
        <w:fldChar w:fldCharType="begin"/>
      </w:r>
      <w:r w:rsidR="08163013">
        <w:instrText xml:space="preserve"> XE "</w:instrText>
      </w:r>
      <w:r w:rsidR="08163013" w:rsidRPr="001618A5">
        <w:rPr>
          <w:i/>
        </w:rPr>
        <w:instrText>medium:</w:instrText>
      </w:r>
      <w:r w:rsidR="08163013" w:rsidRPr="00F22B94">
        <w:instrText>Gandavus</w:instrText>
      </w:r>
      <w:r w:rsidR="08163013">
        <w:instrText xml:space="preserve">" </w:instrText>
      </w:r>
      <w:r w:rsidR="08163013">
        <w:rPr>
          <w:i/>
        </w:rPr>
        <w:fldChar w:fldCharType="end"/>
      </w:r>
      <w:r w:rsidR="08163013">
        <w:t xml:space="preserve"> v ontotelogické formě </w:t>
      </w:r>
      <w:r w:rsidR="08163013" w:rsidRPr="0874137F">
        <w:rPr>
          <w:i/>
        </w:rPr>
        <w:t>demonstratio</w:t>
      </w:r>
      <w:r w:rsidR="08163013">
        <w:t>. Přechod z neomezeného bytí objektivity na omezené je dán tím, boží intimní esence přetavená do demiurgické intence představuje suverénní výměr a definici (</w:t>
      </w:r>
      <w:r w:rsidR="08163013" w:rsidRPr="089F7E98">
        <w:rPr>
          <w:i/>
        </w:rPr>
        <w:t>ratio</w:t>
      </w:r>
      <w:r w:rsidR="08163013">
        <w:t xml:space="preserve">) toho, co je exemplárně intendováno. Proto je toto ratio v modu </w:t>
      </w:r>
      <w:r w:rsidR="005D6843">
        <w:t>„</w:t>
      </w:r>
      <w:r w:rsidR="08163013" w:rsidRPr="0018462F">
        <w:rPr>
          <w:i/>
        </w:rPr>
        <w:t>ad</w:t>
      </w:r>
      <w:r w:rsidR="08163013">
        <w:rPr>
          <w:i/>
        </w:rPr>
        <w:t xml:space="preserve"> aliquid</w:t>
      </w:r>
      <w:r w:rsidR="005D6843">
        <w:t>“</w:t>
      </w:r>
      <w:r w:rsidR="08163013">
        <w:t xml:space="preserve"> dáno také habituálně a zakládá exemplárně-objektivní míru stvoření. Toto základní boží ratio funguje jako intencionální vztah (</w:t>
      </w:r>
      <w:r w:rsidR="08163013" w:rsidRPr="089F7E98">
        <w:rPr>
          <w:i/>
        </w:rPr>
        <w:t>esse ad</w:t>
      </w:r>
      <w:r w:rsidR="08163013">
        <w:t>) a je racionálně předáváno v modu analogie směrem do stvoření. Tím vznikla kompletní ontoteologická struktura první moderní metafyziky objekt</w:t>
      </w:r>
      <w:r w:rsidR="00D44504">
        <w:t xml:space="preserve">ivně ozářená sluncem intelektu. </w:t>
      </w:r>
      <w:r w:rsidR="08163013">
        <w:t xml:space="preserve">Henry vytvořil sofistikovanou konstrukci objektivity, která do avicennovského neoplatonismu pařížských modernistů pojala i aristotelskou kategoriální predikaci danou podle Simplikia. Aristoteles a Averroes podle Henryho naprosto správně tvrdí, že </w:t>
      </w:r>
      <w:r w:rsidR="08163013" w:rsidRPr="00273106">
        <w:t xml:space="preserve">v bohu </w:t>
      </w:r>
      <w:r w:rsidR="08163013">
        <w:t xml:space="preserve">jako </w:t>
      </w:r>
      <w:proofErr w:type="gramStart"/>
      <w:r w:rsidR="08163013">
        <w:t>čistém</w:t>
      </w:r>
      <w:proofErr w:type="gramEnd"/>
      <w:r w:rsidR="08163013">
        <w:t xml:space="preserve"> esenciálním aktu </w:t>
      </w:r>
      <w:r w:rsidR="08163013" w:rsidRPr="00273106">
        <w:t xml:space="preserve">nemůže </w:t>
      </w:r>
      <w:r w:rsidR="08163013">
        <w:t xml:space="preserve">nic jiného aktuálně </w:t>
      </w:r>
      <w:r w:rsidR="08163013" w:rsidRPr="00273106">
        <w:t>existovat.</w:t>
      </w:r>
      <w:r w:rsidR="08163013" w:rsidRPr="00273106">
        <w:rPr>
          <w:rStyle w:val="Znakapoznpodarou"/>
        </w:rPr>
        <w:footnoteReference w:id="416"/>
      </w:r>
      <w:r w:rsidR="08163013">
        <w:t xml:space="preserve"> </w:t>
      </w:r>
      <w:r w:rsidR="08163013" w:rsidRPr="00273106">
        <w:t>Objekt myšlení v bohu (</w:t>
      </w:r>
      <w:r w:rsidR="08163013" w:rsidRPr="002351DF">
        <w:rPr>
          <w:i/>
        </w:rPr>
        <w:t>divinum</w:t>
      </w:r>
      <w:r w:rsidR="08163013">
        <w:t xml:space="preserve"> </w:t>
      </w:r>
      <w:r w:rsidR="08163013" w:rsidRPr="00273106">
        <w:rPr>
          <w:i/>
        </w:rPr>
        <w:t>intellectum</w:t>
      </w:r>
      <w:r w:rsidR="08163013" w:rsidRPr="00273106">
        <w:t xml:space="preserve">) nemůže být v bohu aktuální formou-substancí na způsob </w:t>
      </w:r>
      <w:r w:rsidR="08163013">
        <w:t>neoplatonsk</w:t>
      </w:r>
      <w:r w:rsidR="08163013" w:rsidRPr="00273106">
        <w:t>ého jsoucn</w:t>
      </w:r>
      <w:r w:rsidR="08163013">
        <w:t xml:space="preserve">a třetího druhu. To by </w:t>
      </w:r>
      <w:r w:rsidR="08163013" w:rsidRPr="00273106">
        <w:t>určoval boží intelekt zvnějšku, což je vyloučeno (</w:t>
      </w:r>
      <w:r w:rsidR="08163013" w:rsidRPr="00273106">
        <w:rPr>
          <w:i/>
        </w:rPr>
        <w:t>nihil est obiectum per se divini intellectus</w:t>
      </w:r>
      <w:r w:rsidR="08163013" w:rsidRPr="00273106">
        <w:t xml:space="preserve">). Předešlé citace ukázaly, že do první sféry </w:t>
      </w:r>
      <w:r w:rsidR="08163013">
        <w:t>oddělené boží esence nelze dát nic</w:t>
      </w:r>
      <w:r w:rsidR="08163013" w:rsidRPr="00273106">
        <w:t xml:space="preserve"> objektivního (</w:t>
      </w:r>
      <w:r w:rsidR="08163013" w:rsidRPr="00273106">
        <w:rPr>
          <w:i/>
        </w:rPr>
        <w:t>primo modo nihil est obiectum per se divini intellectus</w:t>
      </w:r>
      <w:r w:rsidR="08163013" w:rsidRPr="00273106">
        <w:t>)</w:t>
      </w:r>
      <w:r w:rsidR="08163013">
        <w:t xml:space="preserve">. První forma objektivity </w:t>
      </w:r>
      <w:r w:rsidR="08163013" w:rsidRPr="00273106">
        <w:t xml:space="preserve">vzniká </w:t>
      </w:r>
      <w:r w:rsidR="08163013">
        <w:t>v aktu boží intencionality, kdy vznikne v boží mysli intencionálně daný předmět jako nové jsoucno třetího druhu</w:t>
      </w:r>
      <w:r w:rsidR="08163013" w:rsidRPr="00273106">
        <w:t xml:space="preserve">. </w:t>
      </w:r>
      <w:r w:rsidR="08163013">
        <w:t xml:space="preserve">Pouze bůh </w:t>
      </w:r>
      <w:r w:rsidR="08163013" w:rsidRPr="00273106">
        <w:t xml:space="preserve">má </w:t>
      </w:r>
      <w:r w:rsidR="08163013">
        <w:t xml:space="preserve">v moderně </w:t>
      </w:r>
      <w:r w:rsidR="08163013" w:rsidRPr="00273106">
        <w:t xml:space="preserve">právo na plnou jednotu </w:t>
      </w:r>
      <w:r w:rsidR="08163013">
        <w:t xml:space="preserve">vlastní </w:t>
      </w:r>
      <w:r w:rsidR="08163013" w:rsidRPr="00273106">
        <w:t>substance</w:t>
      </w:r>
      <w:r w:rsidR="08163013">
        <w:t xml:space="preserve"> v modu existenciální ipseity</w:t>
      </w:r>
      <w:r w:rsidR="08163013" w:rsidRPr="00273106">
        <w:t xml:space="preserve">. </w:t>
      </w:r>
      <w:r w:rsidR="08163013">
        <w:t xml:space="preserve">Co má paranoická moderna jako výsadu platnou pouze pro svého </w:t>
      </w:r>
      <w:r w:rsidR="00804166">
        <w:t xml:space="preserve">neexistujího </w:t>
      </w:r>
      <w:r w:rsidR="08163013">
        <w:t xml:space="preserve">boha, to měl první averroismus Sigera pro každou </w:t>
      </w:r>
      <w:r w:rsidR="00804166">
        <w:t xml:space="preserve">existující </w:t>
      </w:r>
      <w:r w:rsidR="08163013">
        <w:t>reálnou osobu</w:t>
      </w:r>
      <w:r w:rsidR="08163013">
        <w:fldChar w:fldCharType="begin"/>
      </w:r>
      <w:r w:rsidR="08163013">
        <w:instrText xml:space="preserve"> XE "</w:instrText>
      </w:r>
      <w:r w:rsidR="08163013" w:rsidRPr="0033186F">
        <w:instrText>osoba:ipseita</w:instrText>
      </w:r>
      <w:r w:rsidR="08163013">
        <w:instrText xml:space="preserve">" </w:instrText>
      </w:r>
      <w:r w:rsidR="08163013">
        <w:fldChar w:fldCharType="end"/>
      </w:r>
      <w:r w:rsidR="08163013">
        <w:t xml:space="preserve">. </w:t>
      </w:r>
    </w:p>
    <w:p w:rsidR="08163013" w:rsidRPr="00273106" w:rsidRDefault="08163013" w:rsidP="00804166">
      <w:pPr>
        <w:ind w:firstLine="397"/>
      </w:pPr>
      <w:r>
        <w:t xml:space="preserve">Cestu k objektivnímu určení exemplaru začal </w:t>
      </w:r>
      <w:r w:rsidRPr="00273106">
        <w:t>Bonaventura a Olivi tím, že minimální porci jsoucnosti oddělili formou vyloučeného třetího od čisté nicoty (</w:t>
      </w:r>
      <w:r w:rsidRPr="00273106">
        <w:rPr>
          <w:i/>
        </w:rPr>
        <w:t>non repugnat esse</w:t>
      </w:r>
      <w:r>
        <w:rPr>
          <w:i/>
        </w:rPr>
        <w:fldChar w:fldCharType="begin"/>
      </w:r>
      <w:r>
        <w:instrText xml:space="preserve"> XE "</w:instrText>
      </w:r>
      <w:r w:rsidRPr="00D44ACB">
        <w:rPr>
          <w:i/>
        </w:rPr>
        <w:instrText>non repugnat esse</w:instrText>
      </w:r>
      <w:r>
        <w:instrText xml:space="preserve">" </w:instrText>
      </w:r>
      <w:r>
        <w:rPr>
          <w:i/>
        </w:rPr>
        <w:fldChar w:fldCharType="end"/>
      </w:r>
      <w:r w:rsidR="005C2C90">
        <w:t>, kap. 5</w:t>
      </w:r>
      <w:r w:rsidRPr="00273106">
        <w:t xml:space="preserve">.1.2). Henry platnil </w:t>
      </w:r>
      <w:r>
        <w:t xml:space="preserve">tento </w:t>
      </w:r>
      <w:r w:rsidRPr="00273106">
        <w:t>model na první sféru bytí v bohu, kde vyloučil vznik nové substance a nechal pouze intencionální obsahy</w:t>
      </w:r>
      <w:r>
        <w:t xml:space="preserve"> dané logicko-</w:t>
      </w:r>
      <w:r>
        <w:lastRenderedPageBreak/>
        <w:t>psychologicky</w:t>
      </w:r>
      <w:r w:rsidR="00DD2A1E">
        <w:t xml:space="preserve">. </w:t>
      </w:r>
      <w:r w:rsidRPr="00273106">
        <w:t xml:space="preserve">Bonaventura s odvoláním na </w:t>
      </w:r>
      <w:r w:rsidRPr="08E94B3B">
        <w:rPr>
          <w:i/>
        </w:rPr>
        <w:t>Knihu moudrosti</w:t>
      </w:r>
      <w:r w:rsidRPr="00273106">
        <w:t xml:space="preserve"> zakomponoval </w:t>
      </w:r>
      <w:r>
        <w:t xml:space="preserve">matematickou abstrakci </w:t>
      </w:r>
      <w:r w:rsidRPr="00273106">
        <w:t xml:space="preserve">do ontoteologického určení jsoucna </w:t>
      </w:r>
      <w:r>
        <w:t xml:space="preserve">jako </w:t>
      </w:r>
      <w:r w:rsidRPr="00273106">
        <w:t xml:space="preserve">transcendentální určení věci skrze míru (kap. </w:t>
      </w:r>
      <w:r w:rsidR="00884C87">
        <w:t>4</w:t>
      </w:r>
      <w:r>
        <w:t>.1.3</w:t>
      </w:r>
      <w:r w:rsidRPr="00273106">
        <w:t xml:space="preserve">). Henry už považuje </w:t>
      </w:r>
      <w:r>
        <w:t>biblické a neoplatonsk</w:t>
      </w:r>
      <w:r w:rsidRPr="00273106">
        <w:t>é určení jsoucna podle míry za autentický aristotelismus</w:t>
      </w:r>
      <w:r>
        <w:t xml:space="preserve">, protože jej obsahuje Simplikiův komentář ke </w:t>
      </w:r>
      <w:proofErr w:type="gramStart"/>
      <w:r w:rsidRPr="085E14FD">
        <w:rPr>
          <w:i/>
        </w:rPr>
        <w:t>Kategorií</w:t>
      </w:r>
      <w:proofErr w:type="gramEnd"/>
      <w:r>
        <w:t xml:space="preserve"> s odvoláním na pythágorejce Archytáse</w:t>
      </w:r>
      <w:r>
        <w:fldChar w:fldCharType="begin"/>
      </w:r>
      <w:r>
        <w:instrText xml:space="preserve"> XE "</w:instrText>
      </w:r>
      <w:r w:rsidRPr="00F37BCF">
        <w:instrText>Archytás</w:instrText>
      </w:r>
      <w:r>
        <w:instrText xml:space="preserve">" </w:instrText>
      </w:r>
      <w:r>
        <w:fldChar w:fldCharType="end"/>
      </w:r>
      <w:r w:rsidRPr="00273106">
        <w:t xml:space="preserve">. </w:t>
      </w:r>
      <w:r>
        <w:t>Vraťme se k mytopoetickému působení božské komedie</w:t>
      </w:r>
      <w:r>
        <w:fldChar w:fldCharType="begin"/>
      </w:r>
      <w:r>
        <w:instrText xml:space="preserve"> XE "</w:instrText>
      </w:r>
      <w:r w:rsidRPr="08EA6A95">
        <w:instrText>božská komedie</w:instrText>
      </w:r>
      <w:r>
        <w:instrText xml:space="preserve">" </w:instrText>
      </w:r>
      <w:r>
        <w:fldChar w:fldCharType="end"/>
      </w:r>
      <w:r>
        <w:t xml:space="preserve"> dané přechodem </w:t>
      </w:r>
      <w:r w:rsidR="00F70C52">
        <w:t xml:space="preserve">archaického </w:t>
      </w:r>
      <w:r w:rsidR="00124C64">
        <w:t xml:space="preserve">a múzického </w:t>
      </w:r>
      <w:r>
        <w:t xml:space="preserve">pythagoreismu do neoplatonismu. Fúrie se nového aktu divadelní komedie zvané „objektivita“ jistě zaradovaly. Citovaný </w:t>
      </w:r>
      <w:r w:rsidRPr="08F55696">
        <w:rPr>
          <w:i/>
        </w:rPr>
        <w:t>Quodlibet</w:t>
      </w:r>
      <w:r w:rsidR="00C10EBF">
        <w:t xml:space="preserve"> IX změnil</w:t>
      </w:r>
      <w:r>
        <w:t xml:space="preserve"> p</w:t>
      </w:r>
      <w:r w:rsidRPr="00273106">
        <w:t xml:space="preserve">ořadí obou pojetí abstrakce </w:t>
      </w:r>
      <w:r>
        <w:t xml:space="preserve">podle Kilwardbyho verze </w:t>
      </w:r>
      <w:r w:rsidRPr="007126D2">
        <w:rPr>
          <w:i/>
        </w:rPr>
        <w:t>Oxfordian Fallacy</w:t>
      </w:r>
      <w:r w:rsidR="00C10EBF">
        <w:t xml:space="preserve"> a dal</w:t>
      </w:r>
      <w:r>
        <w:t xml:space="preserve"> na první místo objektivně-metafyzickou abstrakci a po ní </w:t>
      </w:r>
      <w:r w:rsidRPr="00273106">
        <w:t>matemat</w:t>
      </w:r>
      <w:r>
        <w:t>ickou</w:t>
      </w:r>
      <w:r>
        <w:rPr>
          <w:i/>
        </w:rPr>
        <w:fldChar w:fldCharType="begin"/>
      </w:r>
      <w:r>
        <w:instrText xml:space="preserve"> XE "</w:instrText>
      </w:r>
      <w:r w:rsidRPr="0015798D">
        <w:rPr>
          <w:i/>
        </w:rPr>
        <w:instrText>Oxfordian Fallacy:</w:instrText>
      </w:r>
      <w:r w:rsidRPr="007D4B62">
        <w:instrText>Gandavus</w:instrText>
      </w:r>
      <w:r>
        <w:instrText xml:space="preserve">" </w:instrText>
      </w:r>
      <w:r>
        <w:rPr>
          <w:i/>
        </w:rPr>
        <w:fldChar w:fldCharType="end"/>
      </w:r>
      <w:r>
        <w:t xml:space="preserve">. </w:t>
      </w:r>
      <w:r w:rsidRPr="00273106">
        <w:t>Každé jsoucno je něco racionálně-voluntárně chtěné</w:t>
      </w:r>
      <w:r>
        <w:t>ho</w:t>
      </w:r>
      <w:r w:rsidRPr="00273106">
        <w:t xml:space="preserve"> od boha, ergo je subjektivně </w:t>
      </w:r>
      <w:r w:rsidR="007F08DC">
        <w:t xml:space="preserve">a potenciálně </w:t>
      </w:r>
      <w:r w:rsidRPr="00273106">
        <w:t>intendováno</w:t>
      </w:r>
      <w:r>
        <w:t xml:space="preserve"> v modu </w:t>
      </w:r>
      <w:r w:rsidRPr="00FB3DB0">
        <w:rPr>
          <w:i/>
        </w:rPr>
        <w:t>per prius</w:t>
      </w:r>
      <w:r>
        <w:rPr>
          <w:i/>
        </w:rPr>
        <w:fldChar w:fldCharType="begin"/>
      </w:r>
      <w:r>
        <w:instrText xml:space="preserve"> XE "predikace:</w:instrText>
      </w:r>
      <w:r w:rsidRPr="001D3805">
        <w:rPr>
          <w:i/>
        </w:rPr>
        <w:instrText>per prius</w:instrText>
      </w:r>
      <w:r>
        <w:instrText xml:space="preserve">" </w:instrText>
      </w:r>
      <w:r>
        <w:rPr>
          <w:i/>
        </w:rPr>
        <w:fldChar w:fldCharType="end"/>
      </w:r>
      <w:r w:rsidRPr="00273106">
        <w:t xml:space="preserve">. </w:t>
      </w:r>
      <w:r>
        <w:t xml:space="preserve">Tato forma kategoriální predikace založila objektivně-exemplární </w:t>
      </w:r>
      <w:r w:rsidRPr="00273106">
        <w:t>určení jsoucna</w:t>
      </w:r>
      <w:r>
        <w:t xml:space="preserve">. Nové určení determinuje minimální míru jsoucnosti jako </w:t>
      </w:r>
      <w:r w:rsidR="00C10EBF">
        <w:t xml:space="preserve">objektivovanou </w:t>
      </w:r>
      <w:r w:rsidRPr="00273106">
        <w:rPr>
          <w:i/>
        </w:rPr>
        <w:t>res</w:t>
      </w:r>
      <w:r w:rsidRPr="00273106">
        <w:t xml:space="preserve"> </w:t>
      </w:r>
      <w:r>
        <w:t xml:space="preserve">určenou </w:t>
      </w:r>
      <w:r w:rsidRPr="00273106">
        <w:t xml:space="preserve">skrze </w:t>
      </w:r>
      <w:r w:rsidR="00C10EBF">
        <w:t xml:space="preserve">hypostázovaný </w:t>
      </w:r>
      <w:r w:rsidRPr="00273106">
        <w:rPr>
          <w:i/>
        </w:rPr>
        <w:t>habitus</w:t>
      </w:r>
      <w:r w:rsidRPr="00273106">
        <w:t xml:space="preserve"> a </w:t>
      </w:r>
      <w:r w:rsidRPr="00273106">
        <w:rPr>
          <w:i/>
        </w:rPr>
        <w:t>relatio</w:t>
      </w:r>
      <w:r w:rsidRPr="00273106">
        <w:t>.</w:t>
      </w:r>
      <w:r>
        <w:t xml:space="preserve"> </w:t>
      </w:r>
      <w:r w:rsidR="00C10EBF">
        <w:t>P</w:t>
      </w:r>
      <w:r w:rsidRPr="00273106">
        <w:t>rimát matematické trojčlenky</w:t>
      </w:r>
      <w:r w:rsidR="00C10EBF">
        <w:t xml:space="preserve"> založil </w:t>
      </w:r>
      <w:r w:rsidRPr="00273106">
        <w:t xml:space="preserve">objektivní </w:t>
      </w:r>
      <w:r w:rsidR="00C10EBF">
        <w:t>formu</w:t>
      </w:r>
      <w:r w:rsidRPr="00273106">
        <w:t xml:space="preserve"> analogie</w:t>
      </w:r>
      <w:r>
        <w:t xml:space="preserve"> v modu </w:t>
      </w:r>
      <w:r w:rsidRPr="007126D2">
        <w:rPr>
          <w:i/>
        </w:rPr>
        <w:t>inmediate</w:t>
      </w:r>
      <w:r>
        <w:t xml:space="preserve"> a </w:t>
      </w:r>
      <w:r w:rsidRPr="007126D2">
        <w:rPr>
          <w:i/>
        </w:rPr>
        <w:t>per prius</w:t>
      </w:r>
      <w:r w:rsidRPr="00273106">
        <w:t xml:space="preserve">. </w:t>
      </w:r>
      <w:r>
        <w:t xml:space="preserve">Bůh působí reálně kauzálně skrze svou esenciální vůli, ale objektivně tuto kauzalitu nahlíží sám v sobě. Gandavus proto </w:t>
      </w:r>
      <w:r w:rsidRPr="00273106">
        <w:t xml:space="preserve">posunul </w:t>
      </w:r>
      <w:r>
        <w:t xml:space="preserve">kategorii vztahu </w:t>
      </w:r>
      <w:r w:rsidRPr="00273106">
        <w:t xml:space="preserve">do božího subjektu, a tím zásadně změnil celý systém ontoteologie. </w:t>
      </w:r>
      <w:r>
        <w:t>Bůh se stal člověkem tím, že se oddělila neproniknutelá sféra boží intimity (</w:t>
      </w:r>
      <w:r w:rsidRPr="08010B5B">
        <w:rPr>
          <w:i/>
        </w:rPr>
        <w:t>esse in</w:t>
      </w:r>
      <w:r w:rsidRPr="08010B5B">
        <w:rPr>
          <w:i/>
          <w:vertAlign w:val="superscript"/>
        </w:rPr>
        <w:t>1</w:t>
      </w:r>
      <w:r>
        <w:t>) od jeho demiurgické racionality, vůle a intencionality (</w:t>
      </w:r>
      <w:r w:rsidRPr="08010B5B">
        <w:rPr>
          <w:i/>
        </w:rPr>
        <w:t>esse ad</w:t>
      </w:r>
      <w:r w:rsidRPr="08010B5B">
        <w:rPr>
          <w:i/>
          <w:vertAlign w:val="superscript"/>
        </w:rPr>
        <w:t>1</w:t>
      </w:r>
      <w:r>
        <w:t>). Tím vznikla moderním bohu objektivní mnohost jsoucen třetího druhu. Nosič těchto absolutních jsoucen třetího druhu (čili subjekt) a stal se absolutním (čili odděleným) schizofrenikem. Umírání moderního božského individua jako dále nedělitelného nosiče objektivně-transcendentálních významů jsoucna nějakou dobu trvalo, ale bylo dějinně nevyhnutelné</w:t>
      </w:r>
      <w:r>
        <w:fldChar w:fldCharType="begin"/>
      </w:r>
      <w:r>
        <w:instrText xml:space="preserve"> XE "</w:instrText>
      </w:r>
      <w:r w:rsidRPr="00407256">
        <w:instrText>objekti</w:instrText>
      </w:r>
      <w:r>
        <w:instrText xml:space="preserve">vita:bůh" </w:instrText>
      </w:r>
      <w:r>
        <w:fldChar w:fldCharType="end"/>
      </w:r>
      <w:r>
        <w:t xml:space="preserve">. Moderní bůh se musel objektivně-nutně stát člověkem, aby se moderní člověk mohl stát </w:t>
      </w:r>
      <w:r w:rsidR="00270073">
        <w:t xml:space="preserve">moderním </w:t>
      </w:r>
      <w:r>
        <w:t xml:space="preserve">bohem v modu objektivní ontoteologie. </w:t>
      </w:r>
      <w:r w:rsidRPr="00273106">
        <w:t xml:space="preserve">Díky nové formě čtyřčlenky </w:t>
      </w:r>
      <w:r w:rsidRPr="00273106">
        <w:rPr>
          <w:i/>
          <w:iCs/>
        </w:rPr>
        <w:t>Doctor Solemnis</w:t>
      </w:r>
      <w:r w:rsidRPr="00273106">
        <w:rPr>
          <w:iCs/>
        </w:rPr>
        <w:t xml:space="preserve"> odkázal vítězné moderně čtyři způsoby objektivní analogie jsoucna.</w:t>
      </w:r>
      <w:r>
        <w:rPr>
          <w:iCs/>
        </w:rPr>
        <w:t xml:space="preserve"> </w:t>
      </w:r>
      <w:r w:rsidRPr="00273106">
        <w:t xml:space="preserve">Následující citát ukazuje </w:t>
      </w:r>
      <w:r>
        <w:t xml:space="preserve">první </w:t>
      </w:r>
      <w:r w:rsidRPr="00273106">
        <w:t>objektivn</w:t>
      </w:r>
      <w:r w:rsidR="002947E9">
        <w:t>í</w:t>
      </w:r>
      <w:r w:rsidR="001202F5">
        <w:t xml:space="preserve"> </w:t>
      </w:r>
      <w:r w:rsidR="001202F5" w:rsidRPr="001202F5">
        <w:rPr>
          <w:i/>
        </w:rPr>
        <w:t>resolu</w:t>
      </w:r>
      <w:r w:rsidR="001202F5">
        <w:rPr>
          <w:i/>
        </w:rPr>
        <w:t>t</w:t>
      </w:r>
      <w:r w:rsidR="001202F5" w:rsidRPr="001202F5">
        <w:rPr>
          <w:i/>
        </w:rPr>
        <w:t>io</w:t>
      </w:r>
      <w:r w:rsidR="001202F5">
        <w:t xml:space="preserve"> </w:t>
      </w:r>
      <w:r>
        <w:t xml:space="preserve">jsoucna </w:t>
      </w:r>
      <w:r w:rsidRPr="00273106">
        <w:t>na latinském Západě.</w:t>
      </w:r>
    </w:p>
    <w:p w:rsidR="08163013" w:rsidRPr="00DC087A" w:rsidRDefault="08163013" w:rsidP="08163013">
      <w:pPr>
        <w:pStyle w:val="Citace"/>
        <w:rPr>
          <w:noProof/>
          <w:lang w:val="cs-CZ"/>
        </w:rPr>
      </w:pPr>
      <w:r w:rsidRPr="00273106">
        <w:rPr>
          <w:noProof/>
          <w:lang w:val="cs-CZ"/>
        </w:rPr>
        <w:t>„</w:t>
      </w:r>
      <w:r>
        <w:rPr>
          <w:noProof/>
          <w:lang w:val="cs-CZ"/>
        </w:rPr>
        <w:t>K prvnímu z těchto modů, který je dán v poměru vzhledem k formě, je třeba říci, že členové formálního vztahu mohou sdílet formu v modu podobnosti čtyřmi způsoby. První způsob je dán jednoduše a odděleně (</w:t>
      </w:r>
      <w:r w:rsidRPr="00DC087A">
        <w:rPr>
          <w:i/>
          <w:noProof/>
          <w:lang w:val="cs-CZ"/>
        </w:rPr>
        <w:t>simpliciter et absolute</w:t>
      </w:r>
      <w:r>
        <w:rPr>
          <w:noProof/>
          <w:lang w:val="cs-CZ"/>
        </w:rPr>
        <w:t xml:space="preserve">) a forma v jednom členu nemá žádnou vazbu na druhý člen. Jiný způsob vztahu je dán vzhledem ke druhému členu sdílejícímu formu, a to trojím způsobem. </w:t>
      </w:r>
      <w:r>
        <w:rPr>
          <w:noProof/>
          <w:lang w:val="cs-CZ"/>
        </w:rPr>
        <w:lastRenderedPageBreak/>
        <w:t>Buď je vztah založen intencionálně (</w:t>
      </w:r>
      <w:r w:rsidRPr="00D13D41">
        <w:rPr>
          <w:i/>
          <w:noProof/>
        </w:rPr>
        <w:t>secundum rationem intentionis</w:t>
      </w:r>
      <w:r>
        <w:rPr>
          <w:noProof/>
          <w:lang w:val="cs-CZ"/>
        </w:rPr>
        <w:t>), nebo imitací (</w:t>
      </w:r>
      <w:r w:rsidRPr="00D13D41">
        <w:rPr>
          <w:i/>
          <w:noProof/>
        </w:rPr>
        <w:t>secundum rationem imitationis</w:t>
      </w:r>
      <w:r>
        <w:rPr>
          <w:noProof/>
          <w:lang w:val="cs-CZ"/>
        </w:rPr>
        <w:t>), nebo podobností v rámci produkce (</w:t>
      </w:r>
      <w:r w:rsidRPr="00D13D41">
        <w:rPr>
          <w:i/>
          <w:noProof/>
        </w:rPr>
        <w:t>secundum rationem productionis</w:t>
      </w:r>
      <w:r>
        <w:rPr>
          <w:noProof/>
          <w:lang w:val="cs-CZ"/>
        </w:rPr>
        <w:t xml:space="preserve">).“ </w:t>
      </w:r>
      <w:r>
        <w:rPr>
          <w:rStyle w:val="Znakapoznpodarou"/>
        </w:rPr>
        <w:footnoteReference w:id="417"/>
      </w:r>
    </w:p>
    <w:p w:rsidR="002B0086" w:rsidRDefault="08163013" w:rsidP="08163013">
      <w:r w:rsidRPr="00273106">
        <w:t xml:space="preserve">Existuje čtverá podobnost formy, která zakládá společenství objektivně dané podobnosti a analogické univocity </w:t>
      </w:r>
      <w:r>
        <w:t xml:space="preserve">dané sdílením objektivní formy </w:t>
      </w:r>
      <w:r w:rsidRPr="00273106">
        <w:t>(</w:t>
      </w:r>
      <w:r w:rsidRPr="00273106">
        <w:rPr>
          <w:i/>
        </w:rPr>
        <w:t>communicantia in forma</w:t>
      </w:r>
      <w:r w:rsidRPr="00273106">
        <w:t>). První podobnost má zcela oddělený charakter, protože bož</w:t>
      </w:r>
      <w:r>
        <w:t xml:space="preserve">í esence </w:t>
      </w:r>
      <w:r w:rsidRPr="00273106">
        <w:t>není sdělitelná a komunikovatelná v žádné formě podobnosti (</w:t>
      </w:r>
      <w:r w:rsidRPr="00273106">
        <w:rPr>
          <w:i/>
        </w:rPr>
        <w:t>nulla praerogativa secundum formam</w:t>
      </w:r>
      <w:r w:rsidRPr="00273106">
        <w:t xml:space="preserve">). </w:t>
      </w:r>
      <w:r>
        <w:t xml:space="preserve">Esenci sdílejí jen osoby v boží Trojici v rámci božské formy komunikace. </w:t>
      </w:r>
      <w:r w:rsidRPr="00273106">
        <w:t xml:space="preserve">Mezi bohem a stvořením neexistuje podobnost na úrovni esence, takže první model podobnosti není možný. </w:t>
      </w:r>
      <w:r>
        <w:t xml:space="preserve">Tuto formu jsoucnosti na naší úrovni vnímáme </w:t>
      </w:r>
      <w:r w:rsidR="007E4B17">
        <w:t>jen nepřímo, skrze náhled</w:t>
      </w:r>
      <w:r>
        <w:t xml:space="preserve"> do objektivní formy eideticky dané čisté jsoucnosti. Tato poslední identita se k ničemu jinému nevztahuje, protože je daná </w:t>
      </w:r>
      <w:r w:rsidRPr="08E11CC8">
        <w:rPr>
          <w:i/>
        </w:rPr>
        <w:t>absolute</w:t>
      </w:r>
      <w:r>
        <w:t xml:space="preserve">. </w:t>
      </w:r>
      <w:r w:rsidRPr="00273106">
        <w:t>Druhá forma společenství forem (</w:t>
      </w:r>
      <w:r w:rsidRPr="00273106">
        <w:rPr>
          <w:i/>
        </w:rPr>
        <w:t>alio modo</w:t>
      </w:r>
      <w:r w:rsidRPr="00273106">
        <w:t>) zakládá moderní objektivitu třemi různými způsoby</w:t>
      </w:r>
      <w:r>
        <w:t>. Vztah je dán intencionálně (</w:t>
      </w:r>
      <w:r w:rsidRPr="00D13D41">
        <w:rPr>
          <w:i/>
        </w:rPr>
        <w:t>secundum rationem intentionis</w:t>
      </w:r>
      <w:r>
        <w:t>), nebo imitací (</w:t>
      </w:r>
      <w:r w:rsidRPr="00D13D41">
        <w:rPr>
          <w:i/>
        </w:rPr>
        <w:t>secundum rationem imitationis</w:t>
      </w:r>
      <w:r>
        <w:t>), nebo podobností v rámci produkce (</w:t>
      </w:r>
      <w:r w:rsidRPr="00D13D41">
        <w:rPr>
          <w:i/>
        </w:rPr>
        <w:t>secundum rationem productionis</w:t>
      </w:r>
      <w:r>
        <w:t xml:space="preserve">). Rozeberme tyto vztahy podle </w:t>
      </w:r>
      <w:r w:rsidRPr="00273106">
        <w:t>již uvedených for</w:t>
      </w:r>
      <w:r>
        <w:t xml:space="preserve">em </w:t>
      </w:r>
      <w:r w:rsidR="00357594">
        <w:t xml:space="preserve">objektivního </w:t>
      </w:r>
      <w:r>
        <w:t>dativu (</w:t>
      </w:r>
      <w:r w:rsidRPr="00CC0FE2">
        <w:rPr>
          <w:i/>
        </w:rPr>
        <w:t>dativus obiectivus</w:t>
      </w:r>
      <w:r>
        <w:rPr>
          <w:i/>
        </w:rPr>
        <w:fldChar w:fldCharType="begin"/>
      </w:r>
      <w:r>
        <w:instrText xml:space="preserve"> XE "</w:instrText>
      </w:r>
      <w:r w:rsidRPr="00F55176">
        <w:rPr>
          <w:i/>
        </w:rPr>
        <w:instrText>dativus obiectivus</w:instrText>
      </w:r>
      <w:r>
        <w:instrText xml:space="preserve">" </w:instrText>
      </w:r>
      <w:r>
        <w:rPr>
          <w:i/>
        </w:rPr>
        <w:fldChar w:fldCharType="end"/>
      </w:r>
      <w:r w:rsidR="081942A4">
        <w:t>, kap. 4</w:t>
      </w:r>
      <w:r>
        <w:t xml:space="preserve">). </w:t>
      </w:r>
      <w:r w:rsidRPr="00273106">
        <w:t xml:space="preserve">Klíčové je oddělení </w:t>
      </w:r>
      <w:r w:rsidRPr="00273106">
        <w:rPr>
          <w:i/>
        </w:rPr>
        <w:t>dativus possessivus</w:t>
      </w:r>
      <w:r>
        <w:rPr>
          <w:i/>
        </w:rPr>
        <w:fldChar w:fldCharType="begin"/>
      </w:r>
      <w:r>
        <w:instrText xml:space="preserve"> XE "</w:instrText>
      </w:r>
      <w:r w:rsidRPr="00461B3F">
        <w:rPr>
          <w:i/>
        </w:rPr>
        <w:instrText>d</w:instrText>
      </w:r>
      <w:r w:rsidRPr="00461B3F">
        <w:rPr>
          <w:i/>
          <w:iCs/>
        </w:rPr>
        <w:instrText>ativus possessivus</w:instrText>
      </w:r>
      <w:r>
        <w:instrText xml:space="preserve">" </w:instrText>
      </w:r>
      <w:r>
        <w:rPr>
          <w:i/>
        </w:rPr>
        <w:fldChar w:fldCharType="end"/>
      </w:r>
      <w:r>
        <w:t xml:space="preserve"> vztaženého k boží esenci (</w:t>
      </w:r>
      <w:r w:rsidRPr="08395612">
        <w:rPr>
          <w:i/>
        </w:rPr>
        <w:t>esse in</w:t>
      </w:r>
      <w:r w:rsidRPr="08395612">
        <w:rPr>
          <w:i/>
          <w:vertAlign w:val="superscript"/>
        </w:rPr>
        <w:t>1</w:t>
      </w:r>
      <w:r>
        <w:t xml:space="preserve">) </w:t>
      </w:r>
      <w:r w:rsidRPr="00273106">
        <w:t>od komunikace</w:t>
      </w:r>
      <w:r>
        <w:t xml:space="preserve"> boží intence</w:t>
      </w:r>
      <w:r w:rsidRPr="00273106">
        <w:t xml:space="preserve"> </w:t>
      </w:r>
      <w:r>
        <w:t xml:space="preserve">v modu </w:t>
      </w:r>
      <w:r w:rsidRPr="007F7726">
        <w:rPr>
          <w:i/>
        </w:rPr>
        <w:t>dativus</w:t>
      </w:r>
      <w:r>
        <w:t xml:space="preserve"> </w:t>
      </w:r>
      <w:r w:rsidRPr="00273106">
        <w:rPr>
          <w:i/>
        </w:rPr>
        <w:t>auctoris</w:t>
      </w:r>
      <w:r>
        <w:t xml:space="preserve"> (</w:t>
      </w:r>
      <w:r w:rsidRPr="089D24D8">
        <w:rPr>
          <w:i/>
        </w:rPr>
        <w:t>esse ad</w:t>
      </w:r>
      <w:r w:rsidRPr="089D24D8">
        <w:rPr>
          <w:i/>
          <w:vertAlign w:val="superscript"/>
        </w:rPr>
        <w:t>1</w:t>
      </w:r>
      <w:r>
        <w:t xml:space="preserve">). </w:t>
      </w:r>
      <w:r w:rsidR="006D5B4B" w:rsidRPr="00273106">
        <w:t xml:space="preserve">Přivlastňovací dativ </w:t>
      </w:r>
      <w:r w:rsidR="006D5B4B">
        <w:t xml:space="preserve">v rámci </w:t>
      </w:r>
      <w:r w:rsidR="006D5B4B" w:rsidRPr="00273106">
        <w:t xml:space="preserve">objektivity je vyloučen díky oddělenosti boží esence, které patří </w:t>
      </w:r>
      <w:r w:rsidR="006D5B4B">
        <w:t xml:space="preserve">intimní </w:t>
      </w:r>
      <w:r w:rsidR="006D5B4B" w:rsidRPr="00273106">
        <w:t>plnost bytí (</w:t>
      </w:r>
      <w:r w:rsidR="006D5B4B" w:rsidRPr="00273106">
        <w:rPr>
          <w:i/>
        </w:rPr>
        <w:t>dativus possessivus</w:t>
      </w:r>
      <w:r w:rsidR="006D5B4B" w:rsidRPr="00273106">
        <w:t>).</w:t>
      </w:r>
      <w:r w:rsidR="006D5B4B">
        <w:t xml:space="preserve"> </w:t>
      </w:r>
      <w:r>
        <w:t>Vztah intimity vlastnící boží esenci je oddělen od zbylých tří vztahů, které zakládá manifestovatelná boží objektivita</w:t>
      </w:r>
      <w:r w:rsidR="006D5B4B">
        <w:t xml:space="preserve">. </w:t>
      </w:r>
      <w:r w:rsidR="00885548">
        <w:t xml:space="preserve">Manifestace </w:t>
      </w:r>
      <w:r w:rsidR="00885548" w:rsidRPr="00885548">
        <w:t>bož</w:t>
      </w:r>
      <w:r w:rsidR="00885548">
        <w:t xml:space="preserve">í intencionality </w:t>
      </w:r>
      <w:r w:rsidR="00885548" w:rsidRPr="00885548">
        <w:t xml:space="preserve">v modu </w:t>
      </w:r>
      <w:r w:rsidR="00885548" w:rsidRPr="00885548">
        <w:rPr>
          <w:i/>
        </w:rPr>
        <w:t>dativus auctoris</w:t>
      </w:r>
      <w:r w:rsidR="00885548">
        <w:rPr>
          <w:i/>
        </w:rPr>
        <w:fldChar w:fldCharType="begin"/>
      </w:r>
      <w:r w:rsidR="00885548">
        <w:instrText xml:space="preserve"> XE "</w:instrText>
      </w:r>
      <w:r w:rsidR="00885548" w:rsidRPr="007F7726">
        <w:rPr>
          <w:i/>
        </w:rPr>
        <w:instrText>dativus</w:instrText>
      </w:r>
      <w:r w:rsidR="00885548">
        <w:instrText xml:space="preserve"> </w:instrText>
      </w:r>
      <w:r w:rsidR="00885548" w:rsidRPr="006E4B49">
        <w:rPr>
          <w:i/>
        </w:rPr>
        <w:instrText>auctoris</w:instrText>
      </w:r>
      <w:r w:rsidR="00885548">
        <w:instrText xml:space="preserve">" </w:instrText>
      </w:r>
      <w:r w:rsidR="00885548">
        <w:rPr>
          <w:i/>
        </w:rPr>
        <w:fldChar w:fldCharType="end"/>
      </w:r>
      <w:r w:rsidR="00885548" w:rsidRPr="00885548">
        <w:t xml:space="preserve"> (</w:t>
      </w:r>
      <w:r w:rsidR="00885548" w:rsidRPr="00885548">
        <w:rPr>
          <w:i/>
        </w:rPr>
        <w:t>esse ad</w:t>
      </w:r>
      <w:r w:rsidR="00885548" w:rsidRPr="00885548">
        <w:rPr>
          <w:i/>
          <w:vertAlign w:val="superscript"/>
        </w:rPr>
        <w:t>1</w:t>
      </w:r>
      <w:r w:rsidR="00885548" w:rsidRPr="00885548">
        <w:t xml:space="preserve">) </w:t>
      </w:r>
      <w:r w:rsidR="00885548">
        <w:t>již směřuje navenek skrze exemplary v modu „</w:t>
      </w:r>
      <w:r w:rsidR="00885548" w:rsidRPr="00885548">
        <w:rPr>
          <w:i/>
        </w:rPr>
        <w:t>ad aliquid</w:t>
      </w:r>
      <w:r w:rsidR="00885548">
        <w:t>“</w:t>
      </w:r>
      <w:r w:rsidR="00885548" w:rsidRPr="00885548">
        <w:t xml:space="preserve">. </w:t>
      </w:r>
      <w:r w:rsidR="00843826">
        <w:t xml:space="preserve">Bůh v sobě vytváří potenci typu „být </w:t>
      </w:r>
      <w:r w:rsidR="007D6D7B">
        <w:t xml:space="preserve">něčím </w:t>
      </w:r>
      <w:r>
        <w:t>jiným než esencí</w:t>
      </w:r>
      <w:r w:rsidR="00843826">
        <w:t>“</w:t>
      </w:r>
      <w:r w:rsidR="00002FBD">
        <w:t xml:space="preserve">, což je základní forma objektivního </w:t>
      </w:r>
      <w:r w:rsidR="00002FBD" w:rsidRPr="00002FBD">
        <w:rPr>
          <w:i/>
        </w:rPr>
        <w:t>tertium ens</w:t>
      </w:r>
      <w:r w:rsidR="00843826">
        <w:t xml:space="preserve">. Tímo způsobem vznikne </w:t>
      </w:r>
      <w:r w:rsidR="002A51DD">
        <w:t xml:space="preserve">hypostázovaný a objektivní </w:t>
      </w:r>
      <w:r>
        <w:t xml:space="preserve">vztah </w:t>
      </w:r>
      <w:r w:rsidR="002A51DD">
        <w:t xml:space="preserve">boží intencionality </w:t>
      </w:r>
      <w:r>
        <w:t>k boží esenci (</w:t>
      </w:r>
      <w:r w:rsidRPr="000E6730">
        <w:rPr>
          <w:i/>
        </w:rPr>
        <w:t>esse ad</w:t>
      </w:r>
      <w:r w:rsidRPr="000E6730">
        <w:rPr>
          <w:i/>
          <w:vertAlign w:val="superscript"/>
        </w:rPr>
        <w:t>1</w:t>
      </w:r>
      <w:r>
        <w:t xml:space="preserve">). Gandavus odlišil </w:t>
      </w:r>
      <w:r w:rsidRPr="00273106">
        <w:rPr>
          <w:i/>
        </w:rPr>
        <w:t>dativus possessivus</w:t>
      </w:r>
      <w:r>
        <w:rPr>
          <w:i/>
        </w:rPr>
        <w:t xml:space="preserve"> </w:t>
      </w:r>
      <w:r w:rsidRPr="088A5818">
        <w:t>vztažený k esen</w:t>
      </w:r>
      <w:r>
        <w:t>ci od výkonu boží intencionality</w:t>
      </w:r>
      <w:r w:rsidRPr="088A5818">
        <w:t xml:space="preserve"> dané jako </w:t>
      </w:r>
      <w:r w:rsidRPr="00273106">
        <w:rPr>
          <w:i/>
        </w:rPr>
        <w:t>dativus auctoris</w:t>
      </w:r>
      <w:r>
        <w:rPr>
          <w:i/>
        </w:rPr>
        <w:fldChar w:fldCharType="begin"/>
      </w:r>
      <w:r>
        <w:instrText xml:space="preserve"> XE "</w:instrText>
      </w:r>
      <w:r w:rsidRPr="00C5228F">
        <w:rPr>
          <w:i/>
          <w:iCs/>
        </w:rPr>
        <w:instrText>dativus auctoris</w:instrText>
      </w:r>
      <w:r>
        <w:instrText xml:space="preserve">" </w:instrText>
      </w:r>
      <w:r>
        <w:rPr>
          <w:i/>
        </w:rPr>
        <w:fldChar w:fldCharType="end"/>
      </w:r>
      <w:r>
        <w:t xml:space="preserve">. </w:t>
      </w:r>
      <w:r w:rsidR="00002FBD" w:rsidRPr="00002FBD">
        <w:t xml:space="preserve">Moderní Bůh </w:t>
      </w:r>
      <w:r w:rsidR="00002FBD">
        <w:t>je autorem exemplárního myšlení ve smyslu objektivní produkce stvořitelského kapitálu (</w:t>
      </w:r>
      <w:r w:rsidR="00002FBD" w:rsidRPr="08B07E80">
        <w:rPr>
          <w:i/>
        </w:rPr>
        <w:t>creabilia</w:t>
      </w:r>
      <w:r w:rsidR="00002FBD">
        <w:rPr>
          <w:i/>
        </w:rPr>
        <w:fldChar w:fldCharType="begin"/>
      </w:r>
      <w:r w:rsidR="00002FBD">
        <w:instrText xml:space="preserve"> XE "</w:instrText>
      </w:r>
      <w:r w:rsidR="00002FBD" w:rsidRPr="08225EAE">
        <w:rPr>
          <w:i/>
        </w:rPr>
        <w:instrText>creabilia</w:instrText>
      </w:r>
      <w:r w:rsidR="00002FBD">
        <w:instrText xml:space="preserve">" </w:instrText>
      </w:r>
      <w:r w:rsidR="00002FBD">
        <w:rPr>
          <w:i/>
        </w:rPr>
        <w:fldChar w:fldCharType="end"/>
      </w:r>
      <w:r w:rsidR="00002FBD">
        <w:t>)</w:t>
      </w:r>
      <w:r w:rsidR="00002FBD" w:rsidRPr="00002FBD">
        <w:t xml:space="preserve">. Tento objektivní kapitál se stává reálným díky produkci </w:t>
      </w:r>
      <w:r w:rsidR="00002FBD">
        <w:lastRenderedPageBreak/>
        <w:t xml:space="preserve">stvořeného světa. </w:t>
      </w:r>
      <w:r>
        <w:t xml:space="preserve">Gandavův bůh se stal exemplárním kapitalistou a investorem ve futuristickém modu </w:t>
      </w:r>
      <w:r w:rsidR="00EB5568">
        <w:t>„</w:t>
      </w:r>
      <w:r w:rsidRPr="08515868">
        <w:rPr>
          <w:i/>
        </w:rPr>
        <w:t>semel</w:t>
      </w:r>
      <w:r>
        <w:t>‒</w:t>
      </w:r>
      <w:r w:rsidRPr="08515868">
        <w:rPr>
          <w:i/>
        </w:rPr>
        <w:t>semper</w:t>
      </w:r>
      <w:r w:rsidR="00EB5568">
        <w:t>“</w:t>
      </w:r>
      <w:r>
        <w:t xml:space="preserve">. Projekt stvoření světa objektivně daný </w:t>
      </w:r>
      <w:r w:rsidRPr="082732A1">
        <w:rPr>
          <w:i/>
        </w:rPr>
        <w:t>ex nihilo</w:t>
      </w:r>
      <w:r>
        <w:rPr>
          <w:i/>
        </w:rPr>
        <w:fldChar w:fldCharType="begin"/>
      </w:r>
      <w:r>
        <w:instrText xml:space="preserve"> XE "</w:instrText>
      </w:r>
      <w:r w:rsidRPr="086D424D">
        <w:rPr>
          <w:i/>
        </w:rPr>
        <w:instrText>creatio ex nihilo</w:instrText>
      </w:r>
      <w:r>
        <w:instrText xml:space="preserve">" </w:instrText>
      </w:r>
      <w:r>
        <w:rPr>
          <w:i/>
        </w:rPr>
        <w:fldChar w:fldCharType="end"/>
      </w:r>
      <w:r>
        <w:t xml:space="preserve"> a představuje první podnikatelský záměr daný vskutku nihilisticky, objektivně a exemplárně. Dnešní banksteři</w:t>
      </w:r>
      <w:r>
        <w:fldChar w:fldCharType="begin"/>
      </w:r>
      <w:r>
        <w:instrText xml:space="preserve"> XE "</w:instrText>
      </w:r>
      <w:r w:rsidRPr="0870790A">
        <w:rPr>
          <w:i/>
        </w:rPr>
        <w:instrText>banksters</w:instrText>
      </w:r>
      <w:r>
        <w:instrText xml:space="preserve">" </w:instrText>
      </w:r>
      <w:r>
        <w:fldChar w:fldCharType="end"/>
      </w:r>
      <w:r>
        <w:t xml:space="preserve"> ve věku metafyzického nihilismu završují po smrti tohoto simulákra toto objektivně působící </w:t>
      </w:r>
      <w:r w:rsidRPr="0870790A">
        <w:rPr>
          <w:i/>
        </w:rPr>
        <w:t>factum</w:t>
      </w:r>
      <w:r>
        <w:t xml:space="preserve"> ustavuj</w:t>
      </w:r>
      <w:r w:rsidR="002B0086">
        <w:t>ící metafyzický základ moderny.</w:t>
      </w:r>
    </w:p>
    <w:p w:rsidR="08163013" w:rsidRPr="00273106" w:rsidRDefault="00317955" w:rsidP="00EE4483">
      <w:pPr>
        <w:ind w:firstLine="397"/>
      </w:pPr>
      <w:r>
        <w:rPr>
          <w:iCs/>
        </w:rPr>
        <w:t>B</w:t>
      </w:r>
      <w:r w:rsidR="08163013" w:rsidRPr="00273106">
        <w:rPr>
          <w:iCs/>
        </w:rPr>
        <w:t xml:space="preserve">ohu patří subjektivita zcela </w:t>
      </w:r>
      <w:r>
        <w:rPr>
          <w:iCs/>
        </w:rPr>
        <w:t>intimně</w:t>
      </w:r>
      <w:r w:rsidR="08163013" w:rsidRPr="00273106">
        <w:rPr>
          <w:iCs/>
        </w:rPr>
        <w:t>, díky jeho esenci.</w:t>
      </w:r>
      <w:r w:rsidR="08163013">
        <w:rPr>
          <w:iCs/>
        </w:rPr>
        <w:t xml:space="preserve"> </w:t>
      </w:r>
      <w:r w:rsidR="00953D3F">
        <w:rPr>
          <w:iCs/>
        </w:rPr>
        <w:t xml:space="preserve">Objektivita začíná </w:t>
      </w:r>
      <w:r w:rsidR="08163013">
        <w:t xml:space="preserve">v modu </w:t>
      </w:r>
      <w:r w:rsidR="08163013" w:rsidRPr="0001714D">
        <w:rPr>
          <w:i/>
        </w:rPr>
        <w:t>dativus auctoris</w:t>
      </w:r>
      <w:r w:rsidR="08163013">
        <w:t xml:space="preserve"> </w:t>
      </w:r>
      <w:r w:rsidR="00953D3F">
        <w:t xml:space="preserve">ve sféře boží intencionality. Ta </w:t>
      </w:r>
      <w:r w:rsidR="08163013">
        <w:t>v</w:t>
      </w:r>
      <w:r w:rsidR="08163013" w:rsidRPr="00273106">
        <w:t>ytváří objektivní sféru vztahů, které z hlediska stvoření vystupují v modu nekonečnosti, a tím také imitability, vůči konečnému stvoření</w:t>
      </w:r>
      <w:r w:rsidR="08163013">
        <w:t xml:space="preserve"> (</w:t>
      </w:r>
      <w:r w:rsidR="08163013" w:rsidRPr="000E6730">
        <w:rPr>
          <w:i/>
        </w:rPr>
        <w:t>esse ad</w:t>
      </w:r>
      <w:r w:rsidR="08163013">
        <w:rPr>
          <w:i/>
          <w:vertAlign w:val="superscript"/>
        </w:rPr>
        <w:t>2</w:t>
      </w:r>
      <w:r w:rsidR="08163013">
        <w:t>)</w:t>
      </w:r>
      <w:r w:rsidR="08163013" w:rsidRPr="00273106">
        <w:t xml:space="preserve">. Sféra </w:t>
      </w:r>
      <w:r w:rsidR="08163013">
        <w:t xml:space="preserve">sekundární </w:t>
      </w:r>
      <w:r w:rsidR="08163013" w:rsidRPr="00273106">
        <w:t xml:space="preserve">objektivity tvoří součást ontoteologické struktury díky </w:t>
      </w:r>
      <w:r w:rsidR="08163013">
        <w:t xml:space="preserve">boží </w:t>
      </w:r>
      <w:r w:rsidR="08163013" w:rsidRPr="00273106">
        <w:t xml:space="preserve">nekonečnosti jako základní kvantitativní míry a graduální imitability. </w:t>
      </w:r>
      <w:r w:rsidR="08163013">
        <w:t xml:space="preserve">Dvojí podoba exemplaru jako boží intence </w:t>
      </w:r>
      <w:r w:rsidR="08163013" w:rsidRPr="0075441D">
        <w:rPr>
          <w:i/>
        </w:rPr>
        <w:t>ad intra</w:t>
      </w:r>
      <w:r w:rsidR="08163013">
        <w:t xml:space="preserve"> a objektivní míry </w:t>
      </w:r>
      <w:r w:rsidR="08163013" w:rsidRPr="0075441D">
        <w:rPr>
          <w:i/>
        </w:rPr>
        <w:t>ad extra</w:t>
      </w:r>
      <w:r w:rsidR="08163013">
        <w:t xml:space="preserve"> zakládá analogickou formu podobnosti boha a stvoření. Tím je možná komunikace objektivních idiomů moderního </w:t>
      </w:r>
      <w:proofErr w:type="gramStart"/>
      <w:r w:rsidR="08163013">
        <w:t>boha  ve</w:t>
      </w:r>
      <w:proofErr w:type="gramEnd"/>
      <w:r w:rsidR="08163013">
        <w:t xml:space="preserve"> zbylých dvou modech, tedy imitací (</w:t>
      </w:r>
      <w:r w:rsidR="08163013" w:rsidRPr="00D13D41">
        <w:rPr>
          <w:i/>
        </w:rPr>
        <w:t>secundum rationem imitationis</w:t>
      </w:r>
      <w:r w:rsidR="08163013">
        <w:t>) nebo podobností v rámci produkce (</w:t>
      </w:r>
      <w:r w:rsidR="08163013" w:rsidRPr="00D13D41">
        <w:rPr>
          <w:i/>
        </w:rPr>
        <w:t>secundum rationem productionis</w:t>
      </w:r>
      <w:r w:rsidR="08163013">
        <w:t xml:space="preserve">). </w:t>
      </w:r>
      <w:r w:rsidR="00EE4483">
        <w:t>Co moderní bůh zamýšlí mytologickými exemplary</w:t>
      </w:r>
      <w:r w:rsidR="00EE4483" w:rsidRPr="00EE4483">
        <w:t xml:space="preserve">, </w:t>
      </w:r>
      <w:r w:rsidR="00EE4483">
        <w:t xml:space="preserve">to také </w:t>
      </w:r>
      <w:r w:rsidR="00EE4483" w:rsidRPr="00EE4483">
        <w:t xml:space="preserve">moderní subjekt objektivně poznává. </w:t>
      </w:r>
      <w:r w:rsidR="08163013" w:rsidRPr="00273106">
        <w:t xml:space="preserve">Z hlediska hermeneutiky </w:t>
      </w:r>
      <w:r w:rsidR="08163013">
        <w:t xml:space="preserve">se tím </w:t>
      </w:r>
      <w:r w:rsidR="08163013" w:rsidRPr="00273106">
        <w:t xml:space="preserve">otevírá otázka </w:t>
      </w:r>
      <w:r w:rsidR="08163013">
        <w:t xml:space="preserve">objektivního </w:t>
      </w:r>
      <w:r w:rsidR="08163013">
        <w:rPr>
          <w:i/>
        </w:rPr>
        <w:t>c</w:t>
      </w:r>
      <w:r w:rsidR="08163013" w:rsidRPr="08FF1945">
        <w:rPr>
          <w:i/>
        </w:rPr>
        <w:t>ommunicatio idiomatum</w:t>
      </w:r>
      <w:r w:rsidR="08163013">
        <w:rPr>
          <w:i/>
        </w:rPr>
        <w:fldChar w:fldCharType="begin"/>
      </w:r>
      <w:r w:rsidR="08163013">
        <w:instrText xml:space="preserve"> XE "</w:instrText>
      </w:r>
      <w:r w:rsidR="08163013" w:rsidRPr="08276027">
        <w:rPr>
          <w:i/>
        </w:rPr>
        <w:instrText>communicatio idiomatum</w:instrText>
      </w:r>
      <w:r w:rsidR="08163013">
        <w:instrText xml:space="preserve">" </w:instrText>
      </w:r>
      <w:r w:rsidR="08163013">
        <w:rPr>
          <w:i/>
        </w:rPr>
        <w:fldChar w:fldCharType="end"/>
      </w:r>
      <w:r w:rsidR="08163013" w:rsidRPr="00273106">
        <w:t xml:space="preserve"> </w:t>
      </w:r>
      <w:r w:rsidR="08163013">
        <w:t xml:space="preserve">převzatého z dogmatické teologie do moderní ontoteologie. Touto komunikací objektivních idiomů vznikají další dvě určení </w:t>
      </w:r>
      <w:r w:rsidR="08163013" w:rsidRPr="00273106">
        <w:t xml:space="preserve">epochálních dativů. </w:t>
      </w:r>
      <w:r w:rsidR="08163013">
        <w:rPr>
          <w:iCs/>
        </w:rPr>
        <w:t xml:space="preserve">Analogie objektivity v bohu a ve stvoření dané v systému Gandavovy ontoteologie </w:t>
      </w:r>
      <w:r w:rsidR="08163013" w:rsidRPr="00273106">
        <w:rPr>
          <w:iCs/>
        </w:rPr>
        <w:t xml:space="preserve">ukazuje způsob, jak vznikl </w:t>
      </w:r>
      <w:r w:rsidR="08163013">
        <w:rPr>
          <w:iCs/>
        </w:rPr>
        <w:t xml:space="preserve">objektivní </w:t>
      </w:r>
      <w:r w:rsidR="08163013" w:rsidRPr="00273106">
        <w:rPr>
          <w:iCs/>
        </w:rPr>
        <w:t>náhled moderny na celek jsoucna (</w:t>
      </w:r>
      <w:r w:rsidR="08163013">
        <w:rPr>
          <w:i/>
          <w:iCs/>
        </w:rPr>
        <w:t>dativus auctoris</w:t>
      </w:r>
      <w:r w:rsidR="08163013">
        <w:rPr>
          <w:i/>
          <w:iCs/>
        </w:rPr>
        <w:fldChar w:fldCharType="begin"/>
      </w:r>
      <w:r w:rsidR="08163013">
        <w:instrText xml:space="preserve"> XE "</w:instrText>
      </w:r>
      <w:r w:rsidR="08163013">
        <w:rPr>
          <w:i/>
          <w:iCs/>
        </w:rPr>
        <w:instrText>dativus auctoris</w:instrText>
      </w:r>
      <w:r w:rsidR="08163013">
        <w:instrText xml:space="preserve">" </w:instrText>
      </w:r>
      <w:r w:rsidR="08163013">
        <w:rPr>
          <w:i/>
          <w:iCs/>
        </w:rPr>
        <w:fldChar w:fldCharType="end"/>
      </w:r>
      <w:r w:rsidR="08163013" w:rsidRPr="00273106">
        <w:rPr>
          <w:iCs/>
        </w:rPr>
        <w:t>)</w:t>
      </w:r>
      <w:r w:rsidR="08163013">
        <w:rPr>
          <w:iCs/>
        </w:rPr>
        <w:t xml:space="preserve">. </w:t>
      </w:r>
      <w:r w:rsidR="08163013">
        <w:t>Vztah boha a stvoření je založen imitací (</w:t>
      </w:r>
      <w:r w:rsidR="08163013" w:rsidRPr="00D13D41">
        <w:rPr>
          <w:i/>
        </w:rPr>
        <w:t>secundum rationem imitationis</w:t>
      </w:r>
      <w:r w:rsidR="08163013">
        <w:t>) nebo podobností v rámci produkce (</w:t>
      </w:r>
      <w:r w:rsidR="08163013" w:rsidRPr="00D13D41">
        <w:rPr>
          <w:i/>
        </w:rPr>
        <w:t>secundum rationem productionis</w:t>
      </w:r>
      <w:r w:rsidR="08163013">
        <w:t xml:space="preserve">). </w:t>
      </w:r>
      <w:r w:rsidR="08163013" w:rsidRPr="00273106">
        <w:t>Následující část deváté kvestie (</w:t>
      </w:r>
      <w:r w:rsidR="08163013" w:rsidRPr="00273106">
        <w:rPr>
          <w:i/>
        </w:rPr>
        <w:t>articuli</w:t>
      </w:r>
      <w:r w:rsidR="08163013" w:rsidRPr="00273106">
        <w:t xml:space="preserve"> 2-4) řeší otázku výše citované imitace exemplarů ve stvoření (</w:t>
      </w:r>
      <w:r w:rsidR="08163013" w:rsidRPr="00273106">
        <w:rPr>
          <w:i/>
        </w:rPr>
        <w:t>secundum rationem imitationis</w:t>
      </w:r>
      <w:r w:rsidR="08163013" w:rsidRPr="00273106">
        <w:t>). Možnost imitace podle stupně a míry (</w:t>
      </w:r>
      <w:r w:rsidR="08163013" w:rsidRPr="00273106">
        <w:rPr>
          <w:i/>
        </w:rPr>
        <w:t>mensura</w:t>
      </w:r>
      <w:r w:rsidR="08163013" w:rsidRPr="00273106">
        <w:t xml:space="preserve">, </w:t>
      </w:r>
      <w:r w:rsidR="08163013" w:rsidRPr="00273106">
        <w:rPr>
          <w:i/>
        </w:rPr>
        <w:t>gradus</w:t>
      </w:r>
      <w:r w:rsidR="08163013" w:rsidRPr="00273106">
        <w:t>) zakládá statut objektivního jsoucna ve stvořených věcech.</w:t>
      </w:r>
      <w:r w:rsidR="08163013">
        <w:t xml:space="preserve"> </w:t>
      </w:r>
      <w:r w:rsidR="08163013">
        <w:rPr>
          <w:iCs/>
        </w:rPr>
        <w:t xml:space="preserve">Analogie také ukazuje způsob, </w:t>
      </w:r>
      <w:r w:rsidR="08163013" w:rsidRPr="00273106">
        <w:rPr>
          <w:iCs/>
        </w:rPr>
        <w:t xml:space="preserve">jak se objektivní ens stalo univerzální mírou všeho jsoucího </w:t>
      </w:r>
      <w:r w:rsidR="08163013">
        <w:rPr>
          <w:iCs/>
        </w:rPr>
        <w:t xml:space="preserve">v modu demiurgické produkce </w:t>
      </w:r>
      <w:r w:rsidR="08163013" w:rsidRPr="00273106">
        <w:rPr>
          <w:iCs/>
        </w:rPr>
        <w:t>(</w:t>
      </w:r>
      <w:r w:rsidR="08163013" w:rsidRPr="00273106">
        <w:rPr>
          <w:i/>
          <w:iCs/>
        </w:rPr>
        <w:t>dativus mensurae</w:t>
      </w:r>
      <w:r w:rsidR="08163013">
        <w:rPr>
          <w:i/>
          <w:iCs/>
        </w:rPr>
        <w:fldChar w:fldCharType="begin"/>
      </w:r>
      <w:r w:rsidR="08163013">
        <w:instrText xml:space="preserve"> XE "</w:instrText>
      </w:r>
      <w:r w:rsidR="08163013" w:rsidRPr="002353D7">
        <w:rPr>
          <w:i/>
          <w:iCs/>
        </w:rPr>
        <w:instrText>dativus mensurae</w:instrText>
      </w:r>
      <w:r w:rsidR="08163013">
        <w:instrText xml:space="preserve">" </w:instrText>
      </w:r>
      <w:r w:rsidR="08163013">
        <w:rPr>
          <w:i/>
          <w:iCs/>
        </w:rPr>
        <w:fldChar w:fldCharType="end"/>
      </w:r>
      <w:r w:rsidR="08163013" w:rsidRPr="00273106">
        <w:rPr>
          <w:iCs/>
        </w:rPr>
        <w:t xml:space="preserve">). </w:t>
      </w:r>
      <w:r w:rsidR="08163013">
        <w:rPr>
          <w:iCs/>
        </w:rPr>
        <w:t>B</w:t>
      </w:r>
      <w:r w:rsidR="08163013" w:rsidRPr="00273106">
        <w:rPr>
          <w:iCs/>
        </w:rPr>
        <w:t>oží intencionalit</w:t>
      </w:r>
      <w:r w:rsidR="08163013">
        <w:rPr>
          <w:iCs/>
        </w:rPr>
        <w:t>a</w:t>
      </w:r>
      <w:r w:rsidR="08163013" w:rsidRPr="00273106">
        <w:rPr>
          <w:iCs/>
        </w:rPr>
        <w:t xml:space="preserve"> má absolutní charakter, protože tato sféra </w:t>
      </w:r>
      <w:r w:rsidR="08163013">
        <w:rPr>
          <w:iCs/>
        </w:rPr>
        <w:t xml:space="preserve">objektivity se stala </w:t>
      </w:r>
      <w:r w:rsidR="08163013" w:rsidRPr="00273106">
        <w:rPr>
          <w:iCs/>
        </w:rPr>
        <w:t>důvodem k napsání první postmoderní teodiceje</w:t>
      </w:r>
      <w:r w:rsidR="08163013">
        <w:rPr>
          <w:iCs/>
        </w:rPr>
        <w:fldChar w:fldCharType="begin"/>
      </w:r>
      <w:r w:rsidR="08163013">
        <w:instrText xml:space="preserve"> XE "</w:instrText>
      </w:r>
      <w:r w:rsidR="08163013" w:rsidRPr="00E01466">
        <w:rPr>
          <w:iCs/>
        </w:rPr>
        <w:instrText>teodicea</w:instrText>
      </w:r>
      <w:r w:rsidR="08163013">
        <w:instrText xml:space="preserve">" </w:instrText>
      </w:r>
      <w:r w:rsidR="08163013">
        <w:rPr>
          <w:iCs/>
        </w:rPr>
        <w:fldChar w:fldCharType="end"/>
      </w:r>
      <w:r w:rsidR="08163013" w:rsidRPr="00273106">
        <w:rPr>
          <w:iCs/>
        </w:rPr>
        <w:t xml:space="preserve">. </w:t>
      </w:r>
      <w:r w:rsidR="08163013" w:rsidRPr="00273106">
        <w:t>Leibniz</w:t>
      </w:r>
      <w:r w:rsidR="08163013">
        <w:fldChar w:fldCharType="begin"/>
      </w:r>
      <w:r w:rsidR="08163013">
        <w:instrText xml:space="preserve"> XE "</w:instrText>
      </w:r>
      <w:r w:rsidR="08163013" w:rsidRPr="006A6420">
        <w:instrText>Leibniz, G. W.</w:instrText>
      </w:r>
      <w:r w:rsidR="08163013">
        <w:instrText xml:space="preserve">" </w:instrText>
      </w:r>
      <w:r w:rsidR="08163013">
        <w:fldChar w:fldCharType="end"/>
      </w:r>
      <w:r w:rsidR="08163013" w:rsidRPr="00273106">
        <w:t xml:space="preserve"> </w:t>
      </w:r>
      <w:r w:rsidR="008C75D5">
        <w:t>vzal Gandavovu</w:t>
      </w:r>
      <w:r w:rsidR="08163013" w:rsidRPr="00273106">
        <w:t xml:space="preserve"> </w:t>
      </w:r>
      <w:r w:rsidR="008C75D5">
        <w:t>primární sféru významů danou</w:t>
      </w:r>
      <w:r w:rsidR="08163013" w:rsidRPr="00273106">
        <w:t xml:space="preserve"> v boží mysli</w:t>
      </w:r>
      <w:r w:rsidR="008C75D5">
        <w:t>, ale tuto intencionalitu zavedl</w:t>
      </w:r>
      <w:r w:rsidR="08163013">
        <w:t xml:space="preserve"> v modu matematické analogie</w:t>
      </w:r>
      <w:r w:rsidR="08163013" w:rsidRPr="00273106">
        <w:t>.</w:t>
      </w:r>
    </w:p>
    <w:p w:rsidR="08163013" w:rsidRPr="00273106" w:rsidRDefault="08163013" w:rsidP="08163013">
      <w:pPr>
        <w:pStyle w:val="Citace"/>
        <w:rPr>
          <w:noProof/>
          <w:lang w:val="cs-CZ"/>
        </w:rPr>
      </w:pPr>
      <w:r w:rsidRPr="00273106">
        <w:rPr>
          <w:noProof/>
          <w:lang w:val="cs-CZ"/>
        </w:rPr>
        <w:lastRenderedPageBreak/>
        <w:t>„Bůh je rozvažování a nutnost, to jest: nutná přirozenost věcí (</w:t>
      </w:r>
      <w:r w:rsidRPr="00273106">
        <w:rPr>
          <w:i/>
          <w:noProof/>
          <w:lang w:val="cs-CZ"/>
        </w:rPr>
        <w:t>nature essentielle des choses</w:t>
      </w:r>
      <w:r w:rsidRPr="00273106">
        <w:rPr>
          <w:noProof/>
          <w:lang w:val="cs-CZ"/>
        </w:rPr>
        <w:t xml:space="preserve">) je objektem </w:t>
      </w:r>
      <w:r w:rsidR="004526DA">
        <w:rPr>
          <w:noProof/>
          <w:lang w:val="cs-CZ"/>
        </w:rPr>
        <w:t xml:space="preserve">jeho </w:t>
      </w:r>
      <w:r w:rsidRPr="00273106">
        <w:rPr>
          <w:noProof/>
          <w:lang w:val="cs-CZ"/>
        </w:rPr>
        <w:t>rozvažování natolik, nakolik je obsažena ve věčných pravdách (</w:t>
      </w:r>
      <w:r w:rsidRPr="00273106">
        <w:rPr>
          <w:i/>
          <w:noProof/>
          <w:lang w:val="cs-CZ"/>
        </w:rPr>
        <w:t>en tant qu</w:t>
      </w:r>
      <w:r w:rsidRPr="00273106">
        <w:rPr>
          <w:rFonts w:cs="Calibri"/>
          <w:i/>
          <w:noProof/>
          <w:lang w:val="cs-CZ"/>
        </w:rPr>
        <w:t>'</w:t>
      </w:r>
      <w:r w:rsidRPr="00273106">
        <w:rPr>
          <w:i/>
          <w:noProof/>
          <w:lang w:val="cs-CZ"/>
        </w:rPr>
        <w:t>il consiste dans les vérités éternelles</w:t>
      </w:r>
      <w:r w:rsidRPr="00273106">
        <w:rPr>
          <w:noProof/>
          <w:lang w:val="cs-CZ"/>
        </w:rPr>
        <w:t>). Ale tento předmět uvažování je vnitřní (</w:t>
      </w:r>
      <w:r w:rsidRPr="00273106">
        <w:rPr>
          <w:i/>
          <w:noProof/>
          <w:lang w:val="cs-CZ"/>
        </w:rPr>
        <w:t>cet objet est interne</w:t>
      </w:r>
      <w:r w:rsidRPr="00273106">
        <w:rPr>
          <w:noProof/>
          <w:lang w:val="cs-CZ"/>
        </w:rPr>
        <w:t>) a nachází se v božím uvažování (</w:t>
      </w:r>
      <w:r w:rsidRPr="00273106">
        <w:rPr>
          <w:i/>
          <w:noProof/>
          <w:lang w:val="cs-CZ"/>
        </w:rPr>
        <w:t>et se trouve dans l</w:t>
      </w:r>
      <w:r w:rsidRPr="00273106">
        <w:rPr>
          <w:rFonts w:cs="Calibri"/>
          <w:i/>
          <w:noProof/>
          <w:lang w:val="cs-CZ"/>
        </w:rPr>
        <w:t>'</w:t>
      </w:r>
      <w:r w:rsidRPr="00273106">
        <w:rPr>
          <w:i/>
          <w:noProof/>
          <w:lang w:val="cs-CZ"/>
        </w:rPr>
        <w:t>entendement divin</w:t>
      </w:r>
      <w:r w:rsidRPr="00273106">
        <w:rPr>
          <w:noProof/>
          <w:lang w:val="cs-CZ"/>
        </w:rPr>
        <w:t>). A právě zde uvnitř se nachází (</w:t>
      </w:r>
      <w:r w:rsidRPr="00273106">
        <w:rPr>
          <w:i/>
          <w:noProof/>
          <w:lang w:val="cs-CZ"/>
        </w:rPr>
        <w:t>c</w:t>
      </w:r>
      <w:r w:rsidRPr="00273106">
        <w:rPr>
          <w:rFonts w:cs="Calibri"/>
          <w:i/>
          <w:noProof/>
          <w:lang w:val="cs-CZ"/>
        </w:rPr>
        <w:t>'</w:t>
      </w:r>
      <w:r w:rsidRPr="00273106">
        <w:rPr>
          <w:i/>
          <w:noProof/>
          <w:lang w:val="cs-CZ"/>
        </w:rPr>
        <w:t>est l</w:t>
      </w:r>
      <w:r w:rsidRPr="00273106">
        <w:rPr>
          <w:rFonts w:cs="Calibri"/>
          <w:i/>
          <w:noProof/>
          <w:lang w:val="cs-CZ"/>
        </w:rPr>
        <w:t>à</w:t>
      </w:r>
      <w:r w:rsidRPr="00273106">
        <w:rPr>
          <w:i/>
          <w:noProof/>
          <w:lang w:val="cs-CZ"/>
        </w:rPr>
        <w:t>-dedans que se trouve</w:t>
      </w:r>
      <w:r w:rsidRPr="00273106">
        <w:rPr>
          <w:noProof/>
          <w:lang w:val="cs-CZ"/>
        </w:rPr>
        <w:t>) nejen původní forma dobra (</w:t>
      </w:r>
      <w:r w:rsidRPr="00273106">
        <w:rPr>
          <w:i/>
          <w:noProof/>
          <w:lang w:val="cs-CZ"/>
        </w:rPr>
        <w:t>la forme primitive du bien</w:t>
      </w:r>
      <w:r w:rsidRPr="00273106">
        <w:rPr>
          <w:noProof/>
          <w:lang w:val="cs-CZ"/>
        </w:rPr>
        <w:t>), ale i původ zla (</w:t>
      </w:r>
      <w:r w:rsidRPr="00273106">
        <w:rPr>
          <w:i/>
          <w:noProof/>
          <w:lang w:val="cs-CZ"/>
        </w:rPr>
        <w:t>mais encore l</w:t>
      </w:r>
      <w:r w:rsidRPr="00273106">
        <w:rPr>
          <w:rFonts w:cs="Calibri"/>
          <w:i/>
          <w:noProof/>
          <w:lang w:val="cs-CZ"/>
        </w:rPr>
        <w:t>'</w:t>
      </w:r>
      <w:r w:rsidRPr="00273106">
        <w:rPr>
          <w:i/>
          <w:noProof/>
          <w:lang w:val="cs-CZ"/>
        </w:rPr>
        <w:t>origine du mal</w:t>
      </w:r>
      <w:r w:rsidRPr="00273106">
        <w:rPr>
          <w:noProof/>
          <w:lang w:val="cs-CZ"/>
        </w:rPr>
        <w:t>). A právě tuto oblast věčných pravd (</w:t>
      </w:r>
      <w:r w:rsidRPr="00273106">
        <w:rPr>
          <w:i/>
          <w:noProof/>
          <w:lang w:val="cs-CZ"/>
        </w:rPr>
        <w:t>c</w:t>
      </w:r>
      <w:r w:rsidRPr="00273106">
        <w:rPr>
          <w:rFonts w:cs="Calibri"/>
          <w:i/>
          <w:noProof/>
          <w:lang w:val="cs-CZ"/>
        </w:rPr>
        <w:t>'</w:t>
      </w:r>
      <w:r w:rsidRPr="00273106">
        <w:rPr>
          <w:i/>
          <w:noProof/>
          <w:lang w:val="cs-CZ"/>
        </w:rPr>
        <w:t>est la région des vérités éternelles</w:t>
      </w:r>
      <w:r w:rsidRPr="00273106">
        <w:rPr>
          <w:noProof/>
          <w:lang w:val="cs-CZ"/>
        </w:rPr>
        <w:t>) je nutno dát místo materie (</w:t>
      </w:r>
      <w:r w:rsidRPr="00273106">
        <w:rPr>
          <w:i/>
          <w:noProof/>
          <w:lang w:val="cs-CZ"/>
        </w:rPr>
        <w:t>qu</w:t>
      </w:r>
      <w:r w:rsidRPr="00273106">
        <w:rPr>
          <w:rFonts w:cs="Calibri"/>
          <w:i/>
          <w:noProof/>
          <w:lang w:val="cs-CZ"/>
        </w:rPr>
        <w:t>'</w:t>
      </w:r>
      <w:r w:rsidRPr="00273106">
        <w:rPr>
          <w:i/>
          <w:noProof/>
          <w:lang w:val="cs-CZ"/>
        </w:rPr>
        <w:t xml:space="preserve">il faut mettre </w:t>
      </w:r>
      <w:r w:rsidRPr="00273106">
        <w:rPr>
          <w:rFonts w:cs="Calibri"/>
          <w:i/>
          <w:noProof/>
          <w:lang w:val="cs-CZ"/>
        </w:rPr>
        <w:t>à</w:t>
      </w:r>
      <w:r w:rsidRPr="00273106">
        <w:rPr>
          <w:i/>
          <w:noProof/>
          <w:lang w:val="cs-CZ"/>
        </w:rPr>
        <w:t xml:space="preserve"> la place de la mati</w:t>
      </w:r>
      <w:r w:rsidRPr="00273106">
        <w:rPr>
          <w:rFonts w:cs="Calibri"/>
          <w:i/>
          <w:noProof/>
          <w:lang w:val="cs-CZ"/>
        </w:rPr>
        <w:t>è</w:t>
      </w:r>
      <w:r w:rsidRPr="00273106">
        <w:rPr>
          <w:i/>
          <w:noProof/>
          <w:lang w:val="cs-CZ"/>
        </w:rPr>
        <w:t>re</w:t>
      </w:r>
      <w:r w:rsidRPr="00273106">
        <w:rPr>
          <w:noProof/>
          <w:lang w:val="cs-CZ"/>
        </w:rPr>
        <w:t>), pokud chceme hledat zdroj věcí (</w:t>
      </w:r>
      <w:r w:rsidRPr="00273106">
        <w:rPr>
          <w:i/>
          <w:noProof/>
          <w:lang w:val="cs-CZ"/>
        </w:rPr>
        <w:t>la source des choses</w:t>
      </w:r>
      <w:r w:rsidRPr="00273106">
        <w:rPr>
          <w:noProof/>
          <w:lang w:val="cs-CZ"/>
        </w:rPr>
        <w:t>).</w:t>
      </w:r>
      <w:r w:rsidRPr="00273106">
        <w:rPr>
          <w:rFonts w:eastAsia="Century Schoolbook"/>
          <w:noProof/>
          <w:lang w:val="cs-CZ"/>
        </w:rPr>
        <w:t>“</w:t>
      </w:r>
      <w:r w:rsidRPr="00273106">
        <w:rPr>
          <w:noProof/>
          <w:lang w:val="cs-CZ"/>
        </w:rPr>
        <w:t xml:space="preserve"> (</w:t>
      </w:r>
      <w:r w:rsidRPr="00273106">
        <w:rPr>
          <w:i/>
          <w:noProof/>
          <w:lang w:val="cs-CZ"/>
        </w:rPr>
        <w:t>Théodicée</w:t>
      </w:r>
      <w:r w:rsidRPr="00273106">
        <w:rPr>
          <w:noProof/>
          <w:lang w:val="cs-CZ"/>
        </w:rPr>
        <w:t xml:space="preserve"> I, § 20</w:t>
      </w:r>
      <w:r>
        <w:rPr>
          <w:noProof/>
          <w:lang w:val="cs-CZ"/>
        </w:rPr>
        <w:t xml:space="preserve">; ed. Janet, </w:t>
      </w:r>
      <w:r w:rsidRPr="00273106">
        <w:rPr>
          <w:noProof/>
          <w:lang w:val="cs-CZ"/>
        </w:rPr>
        <w:t>p. 97</w:t>
      </w:r>
      <w:r>
        <w:rPr>
          <w:noProof/>
          <w:lang w:val="cs-CZ"/>
        </w:rPr>
        <w:fldChar w:fldCharType="begin"/>
      </w:r>
      <w:r>
        <w:instrText xml:space="preserve"> XE "</w:instrText>
      </w:r>
      <w:r>
        <w:rPr>
          <w:lang w:val="cs-CZ"/>
        </w:rPr>
        <w:instrText>Leibniz:</w:instrText>
      </w:r>
      <w:r w:rsidRPr="002D4E03">
        <w:rPr>
          <w:i/>
          <w:noProof/>
          <w:lang w:val="cs-CZ"/>
        </w:rPr>
        <w:instrText>Théodicée</w:instrText>
      </w:r>
      <w:r w:rsidRPr="002D4E03">
        <w:rPr>
          <w:noProof/>
          <w:lang w:val="cs-CZ"/>
        </w:rPr>
        <w:instrText xml:space="preserve"> 97</w:instrText>
      </w:r>
      <w:r>
        <w:instrText xml:space="preserve">" </w:instrText>
      </w:r>
      <w:r>
        <w:rPr>
          <w:noProof/>
          <w:lang w:val="cs-CZ"/>
        </w:rPr>
        <w:fldChar w:fldCharType="end"/>
      </w:r>
      <w:r w:rsidRPr="00273106">
        <w:rPr>
          <w:noProof/>
          <w:lang w:val="cs-CZ"/>
        </w:rPr>
        <w:t>)</w:t>
      </w:r>
    </w:p>
    <w:p w:rsidR="08163013" w:rsidRDefault="08163013" w:rsidP="08163013">
      <w:pPr>
        <w:rPr>
          <w:iCs/>
        </w:rPr>
      </w:pPr>
      <w:r w:rsidRPr="00273106">
        <w:rPr>
          <w:iCs/>
        </w:rPr>
        <w:t>Leib</w:t>
      </w:r>
      <w:r w:rsidR="009A7D8C">
        <w:rPr>
          <w:iCs/>
        </w:rPr>
        <w:t xml:space="preserve">niz musí objektivně vysvětlit </w:t>
      </w:r>
      <w:r w:rsidRPr="00273106">
        <w:rPr>
          <w:iCs/>
        </w:rPr>
        <w:t>vznik zla (</w:t>
      </w:r>
      <w:r w:rsidRPr="00273106">
        <w:rPr>
          <w:i/>
        </w:rPr>
        <w:t>l</w:t>
      </w:r>
      <w:r w:rsidRPr="00273106">
        <w:rPr>
          <w:rFonts w:cs="Calibri"/>
          <w:i/>
        </w:rPr>
        <w:t>'</w:t>
      </w:r>
      <w:r w:rsidRPr="00273106">
        <w:rPr>
          <w:i/>
        </w:rPr>
        <w:t>origine du mal</w:t>
      </w:r>
      <w:r w:rsidRPr="00273106">
        <w:rPr>
          <w:iCs/>
        </w:rPr>
        <w:t xml:space="preserve">), které samozřejmě </w:t>
      </w:r>
      <w:r w:rsidR="00021851" w:rsidRPr="00273106">
        <w:rPr>
          <w:iCs/>
        </w:rPr>
        <w:t>neexistuje</w:t>
      </w:r>
      <w:r w:rsidR="00021851">
        <w:rPr>
          <w:iCs/>
        </w:rPr>
        <w:t xml:space="preserve"> ve sféře božího bytí</w:t>
      </w:r>
      <w:r w:rsidRPr="00273106">
        <w:rPr>
          <w:iCs/>
        </w:rPr>
        <w:t xml:space="preserve">. </w:t>
      </w:r>
      <w:r>
        <w:rPr>
          <w:iCs/>
        </w:rPr>
        <w:t>A</w:t>
      </w:r>
      <w:r w:rsidR="00021851">
        <w:rPr>
          <w:iCs/>
        </w:rPr>
        <w:t>le</w:t>
      </w:r>
      <w:r>
        <w:rPr>
          <w:iCs/>
        </w:rPr>
        <w:t xml:space="preserve"> toto zlo už v bohu existuje objektivně, protože je dáno v intencionálním modu </w:t>
      </w:r>
      <w:r w:rsidRPr="08F75AB2">
        <w:rPr>
          <w:i/>
          <w:iCs/>
        </w:rPr>
        <w:t>dativus auctoris</w:t>
      </w:r>
      <w:r>
        <w:rPr>
          <w:iCs/>
        </w:rPr>
        <w:t>. Moderní bůh v sobě intenduje každé možné dobro i každé možné zlo. S</w:t>
      </w:r>
      <w:r w:rsidRPr="00273106">
        <w:rPr>
          <w:iCs/>
        </w:rPr>
        <w:t>vrchovaně dobrý bůh je objektivně odpovědný i za zlo ve světě, protože ho svobodně dopouští. Tím se dualismus dobra a zla posunul přímo do objektivně-exemplární sféry stvoření dané v boží intencionalitě (</w:t>
      </w:r>
      <w:r w:rsidRPr="00273106">
        <w:rPr>
          <w:i/>
        </w:rPr>
        <w:t>dans l</w:t>
      </w:r>
      <w:r w:rsidRPr="00273106">
        <w:rPr>
          <w:rFonts w:cs="Calibri"/>
          <w:i/>
        </w:rPr>
        <w:t>'</w:t>
      </w:r>
      <w:r w:rsidRPr="00273106">
        <w:rPr>
          <w:i/>
        </w:rPr>
        <w:t>entendement divin</w:t>
      </w:r>
      <w:r w:rsidRPr="00273106">
        <w:rPr>
          <w:iCs/>
        </w:rPr>
        <w:t xml:space="preserve">). </w:t>
      </w:r>
      <w:r w:rsidR="00243630">
        <w:rPr>
          <w:iCs/>
        </w:rPr>
        <w:t>Postmoderní b</w:t>
      </w:r>
      <w:r w:rsidR="00243630" w:rsidRPr="00243630">
        <w:rPr>
          <w:iCs/>
        </w:rPr>
        <w:t>ůh je esenciálně dobrý (</w:t>
      </w:r>
      <w:r w:rsidR="00243630" w:rsidRPr="00243630">
        <w:rPr>
          <w:i/>
          <w:iCs/>
        </w:rPr>
        <w:t>dativus poss</w:t>
      </w:r>
      <w:r w:rsidR="00283F2D">
        <w:rPr>
          <w:i/>
          <w:iCs/>
        </w:rPr>
        <w:t>e</w:t>
      </w:r>
      <w:r w:rsidR="00243630" w:rsidRPr="00243630">
        <w:rPr>
          <w:i/>
          <w:iCs/>
        </w:rPr>
        <w:t>ssivus</w:t>
      </w:r>
      <w:r w:rsidR="00243630" w:rsidRPr="00243630">
        <w:rPr>
          <w:iCs/>
        </w:rPr>
        <w:t>), ale objektivně zlý (</w:t>
      </w:r>
      <w:r w:rsidR="00243630" w:rsidRPr="00243630">
        <w:rPr>
          <w:i/>
          <w:iCs/>
        </w:rPr>
        <w:t>dativus auctoris</w:t>
      </w:r>
      <w:r w:rsidR="00243630" w:rsidRPr="00243630">
        <w:rPr>
          <w:iCs/>
        </w:rPr>
        <w:t xml:space="preserve">). </w:t>
      </w:r>
      <w:r>
        <w:rPr>
          <w:iCs/>
        </w:rPr>
        <w:t>Objektivně schizofrenický b</w:t>
      </w:r>
      <w:r w:rsidRPr="00273106">
        <w:rPr>
          <w:iCs/>
        </w:rPr>
        <w:t xml:space="preserve">ůh </w:t>
      </w:r>
      <w:r w:rsidR="00121905">
        <w:rPr>
          <w:iCs/>
        </w:rPr>
        <w:t xml:space="preserve">Gandava </w:t>
      </w:r>
      <w:r w:rsidRPr="00273106">
        <w:rPr>
          <w:iCs/>
        </w:rPr>
        <w:t xml:space="preserve">se stal v postmoderním pojetí Leibnize </w:t>
      </w:r>
      <w:r>
        <w:rPr>
          <w:iCs/>
        </w:rPr>
        <w:t xml:space="preserve">i </w:t>
      </w:r>
      <w:r w:rsidRPr="00273106">
        <w:rPr>
          <w:iCs/>
        </w:rPr>
        <w:t>morálním schizofrenikem</w:t>
      </w:r>
      <w:r>
        <w:rPr>
          <w:iCs/>
        </w:rPr>
        <w:t>. Leibniz vytvořil novou formu exemplární objektivity dobra i zla v bohu a završil cestu moderního nihilismu formou etického dativu (</w:t>
      </w:r>
      <w:r w:rsidRPr="00273106">
        <w:rPr>
          <w:i/>
          <w:iCs/>
        </w:rPr>
        <w:t>dativus ethicus</w:t>
      </w:r>
      <w:r>
        <w:rPr>
          <w:i/>
          <w:iCs/>
        </w:rPr>
        <w:fldChar w:fldCharType="begin"/>
      </w:r>
      <w:r>
        <w:instrText xml:space="preserve"> XE "</w:instrText>
      </w:r>
      <w:r w:rsidRPr="00945F2F">
        <w:rPr>
          <w:i/>
          <w:iCs/>
        </w:rPr>
        <w:instrText>dativus ethicus</w:instrText>
      </w:r>
      <w:r>
        <w:instrText xml:space="preserve">" </w:instrText>
      </w:r>
      <w:r>
        <w:rPr>
          <w:i/>
          <w:iCs/>
        </w:rPr>
        <w:fldChar w:fldCharType="end"/>
      </w:r>
      <w:r>
        <w:rPr>
          <w:iCs/>
        </w:rPr>
        <w:t>). M</w:t>
      </w:r>
      <w:r>
        <w:t>ody matematické podobnosti ukazují</w:t>
      </w:r>
      <w:r w:rsidRPr="00273106">
        <w:t xml:space="preserve"> o</w:t>
      </w:r>
      <w:r w:rsidRPr="00273106">
        <w:rPr>
          <w:iCs/>
        </w:rPr>
        <w:t>ntoteologickou struktu</w:t>
      </w:r>
      <w:r>
        <w:rPr>
          <w:iCs/>
        </w:rPr>
        <w:t xml:space="preserve">ru, v níž se objektivní jsoucno, dobro a zlo </w:t>
      </w:r>
      <w:r w:rsidRPr="00273106">
        <w:rPr>
          <w:iCs/>
        </w:rPr>
        <w:t>vztahuje k bohu jako dárci forem (</w:t>
      </w:r>
      <w:r w:rsidRPr="00273106">
        <w:rPr>
          <w:i/>
          <w:iCs/>
        </w:rPr>
        <w:t>dativus finalis</w:t>
      </w:r>
      <w:r>
        <w:rPr>
          <w:i/>
          <w:iCs/>
        </w:rPr>
        <w:fldChar w:fldCharType="begin"/>
      </w:r>
      <w:r>
        <w:instrText xml:space="preserve"> XE "</w:instrText>
      </w:r>
      <w:r w:rsidRPr="008729B1">
        <w:rPr>
          <w:i/>
          <w:iCs/>
        </w:rPr>
        <w:instrText>dativus finalis</w:instrText>
      </w:r>
      <w:r>
        <w:instrText xml:space="preserve">" </w:instrText>
      </w:r>
      <w:r>
        <w:rPr>
          <w:i/>
          <w:iCs/>
        </w:rPr>
        <w:fldChar w:fldCharType="end"/>
      </w:r>
      <w:r w:rsidRPr="00273106">
        <w:rPr>
          <w:iCs/>
        </w:rPr>
        <w:t xml:space="preserve">). </w:t>
      </w:r>
      <w:r>
        <w:rPr>
          <w:iCs/>
        </w:rPr>
        <w:t xml:space="preserve">Jednota boha a světa vznikla na základě matematické analogie, což zrušilo metafyzicku abstrakci, a tím i samotnou podstatu metafyziky. </w:t>
      </w:r>
      <w:r>
        <w:t xml:space="preserve">Jsoucna </w:t>
      </w:r>
      <w:r w:rsidRPr="00273106">
        <w:t xml:space="preserve">jsou v </w:t>
      </w:r>
      <w:r>
        <w:t>boží intencionalitě dána</w:t>
      </w:r>
      <w:r w:rsidRPr="00273106">
        <w:t xml:space="preserve"> ve formě </w:t>
      </w:r>
      <w:r>
        <w:t xml:space="preserve">objektivního </w:t>
      </w:r>
      <w:r w:rsidRPr="00273106">
        <w:rPr>
          <w:i/>
        </w:rPr>
        <w:t>scibile</w:t>
      </w:r>
      <w:r>
        <w:rPr>
          <w:i/>
        </w:rPr>
        <w:fldChar w:fldCharType="begin"/>
      </w:r>
      <w:r>
        <w:instrText xml:space="preserve"> XE "</w:instrText>
      </w:r>
      <w:r w:rsidRPr="00AA4F67">
        <w:rPr>
          <w:i/>
        </w:rPr>
        <w:instrText>scibile</w:instrText>
      </w:r>
      <w:r>
        <w:instrText xml:space="preserve">:objektivní" </w:instrText>
      </w:r>
      <w:r>
        <w:rPr>
          <w:i/>
        </w:rPr>
        <w:fldChar w:fldCharType="end"/>
      </w:r>
      <w:r w:rsidRPr="00273106">
        <w:t>, protože poznání v rámci matematické abstrakce</w:t>
      </w:r>
      <w:r>
        <w:fldChar w:fldCharType="begin"/>
      </w:r>
      <w:r>
        <w:instrText xml:space="preserve"> XE "</w:instrText>
      </w:r>
      <w:r w:rsidRPr="00A824F0">
        <w:instrText>abstrakce:matematická</w:instrText>
      </w:r>
      <w:r>
        <w:instrText xml:space="preserve">" </w:instrText>
      </w:r>
      <w:r>
        <w:fldChar w:fldCharType="end"/>
      </w:r>
      <w:r w:rsidRPr="00273106">
        <w:t xml:space="preserve"> nejde do reality, ale jen k</w:t>
      </w:r>
      <w:r w:rsidR="0051500F">
        <w:t> objektivní jsoucnosti</w:t>
      </w:r>
      <w:r w:rsidRPr="00273106">
        <w:t>.</w:t>
      </w:r>
      <w:r>
        <w:t xml:space="preserve"> </w:t>
      </w:r>
      <w:r w:rsidRPr="00273106">
        <w:t xml:space="preserve">Gandavus vytvořil </w:t>
      </w:r>
      <w:r>
        <w:t>exemplar</w:t>
      </w:r>
      <w:r>
        <w:fldChar w:fldCharType="begin"/>
      </w:r>
      <w:r>
        <w:instrText xml:space="preserve"> XE "</w:instrText>
      </w:r>
      <w:r w:rsidRPr="003F72AE">
        <w:rPr>
          <w:i/>
        </w:rPr>
        <w:instrText>exemplar</w:instrText>
      </w:r>
      <w:r>
        <w:instrText xml:space="preserve">" </w:instrText>
      </w:r>
      <w:r>
        <w:fldChar w:fldCharType="end"/>
      </w:r>
      <w:r>
        <w:t xml:space="preserve"> jako objektivní verzi Rufusova </w:t>
      </w:r>
      <w:r w:rsidRPr="00273106">
        <w:rPr>
          <w:i/>
        </w:rPr>
        <w:t>scibile</w:t>
      </w:r>
      <w:r w:rsidRPr="00273106">
        <w:t xml:space="preserve"> (</w:t>
      </w:r>
      <w:r w:rsidR="00943ED2">
        <w:t>OBJ</w:t>
      </w:r>
      <w:r w:rsidR="00381637">
        <w:t xml:space="preserve"> II, </w:t>
      </w:r>
      <w:r w:rsidR="00381637">
        <w:rPr>
          <w:szCs w:val="22"/>
        </w:rPr>
        <w:t>kap. 3</w:t>
      </w:r>
      <w:r w:rsidRPr="00273106">
        <w:rPr>
          <w:szCs w:val="22"/>
        </w:rPr>
        <w:t>.3.2</w:t>
      </w:r>
      <w:r>
        <w:t xml:space="preserve">) a </w:t>
      </w:r>
      <w:r w:rsidRPr="00273106">
        <w:t>rozšíři</w:t>
      </w:r>
      <w:r>
        <w:t xml:space="preserve">l moderní repertoár Avicennova </w:t>
      </w:r>
      <w:r w:rsidRPr="00273106">
        <w:rPr>
          <w:i/>
        </w:rPr>
        <w:t>individuum vagum</w:t>
      </w:r>
      <w:r>
        <w:rPr>
          <w:i/>
        </w:rPr>
        <w:fldChar w:fldCharType="begin"/>
      </w:r>
      <w:r>
        <w:instrText xml:space="preserve"> XE "substance:</w:instrText>
      </w:r>
      <w:r w:rsidRPr="006C764D">
        <w:rPr>
          <w:i/>
        </w:rPr>
        <w:instrText>individuum vagum</w:instrText>
      </w:r>
      <w:r>
        <w:instrText xml:space="preserve">" </w:instrText>
      </w:r>
      <w:r>
        <w:rPr>
          <w:i/>
        </w:rPr>
        <w:fldChar w:fldCharType="end"/>
      </w:r>
      <w:r w:rsidRPr="00273106">
        <w:t xml:space="preserve"> (</w:t>
      </w:r>
      <w:r w:rsidR="00943ED2">
        <w:t>OBJ</w:t>
      </w:r>
      <w:r w:rsidR="00381637">
        <w:t xml:space="preserve"> I, </w:t>
      </w:r>
      <w:r w:rsidRPr="00273106">
        <w:t xml:space="preserve">kap. 2.3.2). Přeměnou reálné kauzality na </w:t>
      </w:r>
      <w:r>
        <w:t xml:space="preserve">objektivní </w:t>
      </w:r>
      <w:r w:rsidRPr="00273106">
        <w:t xml:space="preserve">esencialitu </w:t>
      </w:r>
      <w:r>
        <w:t xml:space="preserve">danou v modu teologické dogmatiky </w:t>
      </w:r>
      <w:r w:rsidRPr="00273106">
        <w:t xml:space="preserve">vzniklo moderní </w:t>
      </w:r>
      <w:r w:rsidRPr="00273106">
        <w:rPr>
          <w:i/>
        </w:rPr>
        <w:t>medium</w:t>
      </w:r>
      <w:r>
        <w:rPr>
          <w:i/>
        </w:rPr>
        <w:fldChar w:fldCharType="begin"/>
      </w:r>
      <w:r>
        <w:instrText xml:space="preserve"> XE "</w:instrText>
      </w:r>
      <w:r w:rsidRPr="001618A5">
        <w:rPr>
          <w:i/>
        </w:rPr>
        <w:instrText>medium:</w:instrText>
      </w:r>
      <w:r w:rsidRPr="00FF43F4">
        <w:instrText>moderna</w:instrText>
      </w:r>
      <w:r>
        <w:instrText xml:space="preserve">" </w:instrText>
      </w:r>
      <w:r>
        <w:rPr>
          <w:i/>
        </w:rPr>
        <w:fldChar w:fldCharType="end"/>
      </w:r>
      <w:r w:rsidRPr="00273106">
        <w:rPr>
          <w:i/>
        </w:rPr>
        <w:t xml:space="preserve"> </w:t>
      </w:r>
      <w:r>
        <w:t>vědecké objektivní myto</w:t>
      </w:r>
      <w:r w:rsidR="00C17FE4">
        <w:t>logie</w:t>
      </w:r>
      <w:r>
        <w:t>. Tento kuriózní střední člen moderního vědeckého soudu nahradil</w:t>
      </w:r>
      <w:r w:rsidRPr="00273106">
        <w:t xml:space="preserve"> Aristotelův střední člen soudu determinovaný v rámci reálného působení prvních substancí. </w:t>
      </w:r>
      <w:r>
        <w:t xml:space="preserve">Poznání v rámci </w:t>
      </w:r>
      <w:r w:rsidRPr="00273106">
        <w:rPr>
          <w:i/>
        </w:rPr>
        <w:t>Oxfordian Fallacy</w:t>
      </w:r>
      <w:r>
        <w:rPr>
          <w:i/>
          <w:lang w:eastAsia="en-US"/>
        </w:rPr>
        <w:fldChar w:fldCharType="begin"/>
      </w:r>
      <w:r>
        <w:instrText xml:space="preserve"> XE "</w:instrText>
      </w:r>
      <w:r w:rsidRPr="08F076BF">
        <w:rPr>
          <w:i/>
          <w:lang w:eastAsia="en-US"/>
        </w:rPr>
        <w:instrText>Oxfordian Fallacy:</w:instrText>
      </w:r>
      <w:r>
        <w:rPr>
          <w:lang w:eastAsia="en-US"/>
        </w:rPr>
        <w:instrText>Gandavus</w:instrText>
      </w:r>
      <w:r>
        <w:instrText xml:space="preserve">" </w:instrText>
      </w:r>
      <w:r>
        <w:rPr>
          <w:i/>
          <w:lang w:eastAsia="en-US"/>
        </w:rPr>
        <w:fldChar w:fldCharType="end"/>
      </w:r>
      <w:r w:rsidRPr="00273106">
        <w:t xml:space="preserve"> dostal</w:t>
      </w:r>
      <w:r>
        <w:t>o</w:t>
      </w:r>
      <w:r w:rsidRPr="00273106">
        <w:t xml:space="preserve"> </w:t>
      </w:r>
      <w:r>
        <w:t xml:space="preserve">u Gandava zcela </w:t>
      </w:r>
      <w:r w:rsidRPr="00273106">
        <w:t>objektivní podobu. Každé jsoucno je habituálně (tj. objektivně-esenciálně) ustrojeno tím, že samo o sobě (</w:t>
      </w:r>
      <w:r w:rsidRPr="00273106">
        <w:rPr>
          <w:i/>
        </w:rPr>
        <w:t>per se</w:t>
      </w:r>
      <w:r w:rsidRPr="00273106">
        <w:t xml:space="preserve">) představuje vztah k </w:t>
      </w:r>
      <w:r w:rsidRPr="00273106">
        <w:lastRenderedPageBreak/>
        <w:t>subjektivně dané stvořitelské intencionalitě.</w:t>
      </w:r>
      <w:r>
        <w:t xml:space="preserve"> </w:t>
      </w:r>
      <w:r w:rsidRPr="00273106">
        <w:rPr>
          <w:iCs/>
        </w:rPr>
        <w:t xml:space="preserve">Henry se vrací na začátek cesty </w:t>
      </w:r>
      <w:r w:rsidRPr="00273106">
        <w:rPr>
          <w:i/>
          <w:iCs/>
        </w:rPr>
        <w:t>Modernorum</w:t>
      </w:r>
      <w:r w:rsidRPr="00273106">
        <w:rPr>
          <w:iCs/>
        </w:rPr>
        <w:t>, tedy ke Grossetestemu výkladu archetypálních vlastností boha (</w:t>
      </w:r>
      <w:r w:rsidR="00943ED2">
        <w:rPr>
          <w:iCs/>
        </w:rPr>
        <w:t>OBJ II, kap. 3.</w:t>
      </w:r>
      <w:r w:rsidRPr="00273106">
        <w:rPr>
          <w:iCs/>
        </w:rPr>
        <w:t>1.1). V modu zakládání primární objektivity funguje boží intence směrem k exemplarům jako absolutně daná finální a formální míra, která je relativně, tedy</w:t>
      </w:r>
      <w:r>
        <w:rPr>
          <w:iCs/>
        </w:rPr>
        <w:t xml:space="preserve"> vztahově oddělená od stvoření</w:t>
      </w:r>
      <w:r w:rsidR="008A5302">
        <w:rPr>
          <w:iCs/>
        </w:rPr>
        <w:t xml:space="preserve"> díky boží intencionalitě</w:t>
      </w:r>
      <w:r w:rsidRPr="00273106">
        <w:rPr>
          <w:iCs/>
        </w:rPr>
        <w:t xml:space="preserve">. Na této úrovni subjektivního zaměření boží mysli a vůle </w:t>
      </w:r>
      <w:r>
        <w:rPr>
          <w:iCs/>
        </w:rPr>
        <w:t xml:space="preserve">v modu </w:t>
      </w:r>
      <w:r w:rsidRPr="00907A51">
        <w:rPr>
          <w:i/>
          <w:iCs/>
        </w:rPr>
        <w:t>dativus auctoris</w:t>
      </w:r>
      <w:r>
        <w:rPr>
          <w:i/>
          <w:iCs/>
        </w:rPr>
        <w:fldChar w:fldCharType="begin"/>
      </w:r>
      <w:r>
        <w:instrText xml:space="preserve"> XE "</w:instrText>
      </w:r>
      <w:r w:rsidRPr="00C5228F">
        <w:rPr>
          <w:i/>
          <w:iCs/>
        </w:rPr>
        <w:instrText>dativus auctoris</w:instrText>
      </w:r>
      <w:r>
        <w:instrText xml:space="preserve">" </w:instrText>
      </w:r>
      <w:r>
        <w:rPr>
          <w:i/>
          <w:iCs/>
        </w:rPr>
        <w:fldChar w:fldCharType="end"/>
      </w:r>
      <w:r>
        <w:rPr>
          <w:iCs/>
        </w:rPr>
        <w:t xml:space="preserve"> </w:t>
      </w:r>
      <w:r w:rsidRPr="00273106">
        <w:rPr>
          <w:iCs/>
        </w:rPr>
        <w:t xml:space="preserve">směrem k možné stvořitelnosti jsoucna vzniká primární objekt </w:t>
      </w:r>
      <w:r w:rsidRPr="00273106">
        <w:t>(</w:t>
      </w:r>
      <w:r w:rsidRPr="00273106">
        <w:rPr>
          <w:i/>
        </w:rPr>
        <w:t>creabilia</w:t>
      </w:r>
      <w:r>
        <w:rPr>
          <w:i/>
        </w:rPr>
        <w:fldChar w:fldCharType="begin"/>
      </w:r>
      <w:r>
        <w:instrText xml:space="preserve"> XE "</w:instrText>
      </w:r>
      <w:r w:rsidRPr="08225EAE">
        <w:rPr>
          <w:i/>
        </w:rPr>
        <w:instrText>creabilia</w:instrText>
      </w:r>
      <w:r>
        <w:instrText xml:space="preserve">" </w:instrText>
      </w:r>
      <w:r>
        <w:rPr>
          <w:i/>
        </w:rPr>
        <w:fldChar w:fldCharType="end"/>
      </w:r>
      <w:r w:rsidRPr="00273106">
        <w:t>)</w:t>
      </w:r>
      <w:r w:rsidRPr="00273106">
        <w:rPr>
          <w:iCs/>
        </w:rPr>
        <w:t xml:space="preserve">. Jsoucno vztažené k bohu provádí díky těmto </w:t>
      </w:r>
      <w:r w:rsidRPr="00273106">
        <w:rPr>
          <w:i/>
          <w:iCs/>
        </w:rPr>
        <w:t>a priori</w:t>
      </w:r>
      <w:r w:rsidRPr="00273106">
        <w:rPr>
          <w:iCs/>
        </w:rPr>
        <w:t xml:space="preserve"> daným transcendendálním vlastnostem analogickou imitaci </w:t>
      </w:r>
      <w:r w:rsidR="00D01D10">
        <w:rPr>
          <w:iCs/>
        </w:rPr>
        <w:t xml:space="preserve">původní </w:t>
      </w:r>
      <w:r w:rsidRPr="00273106">
        <w:rPr>
          <w:iCs/>
        </w:rPr>
        <w:t>exemplární objektivity (</w:t>
      </w:r>
      <w:r w:rsidRPr="00273106">
        <w:rPr>
          <w:i/>
        </w:rPr>
        <w:t>in commensurationibus</w:t>
      </w:r>
      <w:r w:rsidRPr="00273106">
        <w:rPr>
          <w:iCs/>
        </w:rPr>
        <w:t xml:space="preserve">). </w:t>
      </w:r>
      <w:r>
        <w:rPr>
          <w:iCs/>
        </w:rPr>
        <w:t>Mystika barokní doby se soustředí na otázku božího následování a připodobnění (</w:t>
      </w:r>
      <w:r w:rsidRPr="00D13D41">
        <w:rPr>
          <w:i/>
        </w:rPr>
        <w:t>secundum rationem imitationis</w:t>
      </w:r>
      <w:r>
        <w:rPr>
          <w:iCs/>
        </w:rPr>
        <w:t xml:space="preserve">). Toto mystické </w:t>
      </w:r>
      <w:r w:rsidRPr="00C64149">
        <w:rPr>
          <w:i/>
          <w:iCs/>
        </w:rPr>
        <w:t>imitatio Christi</w:t>
      </w:r>
      <w:r>
        <w:rPr>
          <w:iCs/>
        </w:rPr>
        <w:t xml:space="preserve"> dané od 15. století v laické spiritualitě typu </w:t>
      </w:r>
      <w:r w:rsidRPr="0003400D">
        <w:rPr>
          <w:i/>
          <w:iCs/>
        </w:rPr>
        <w:t>devotio moderna</w:t>
      </w:r>
      <w:r>
        <w:rPr>
          <w:i/>
          <w:iCs/>
        </w:rPr>
        <w:fldChar w:fldCharType="begin"/>
      </w:r>
      <w:r>
        <w:instrText xml:space="preserve"> XE "</w:instrText>
      </w:r>
      <w:r w:rsidRPr="00EC6470">
        <w:rPr>
          <w:i/>
          <w:iCs/>
        </w:rPr>
        <w:instrText>devotio moderna</w:instrText>
      </w:r>
      <w:r>
        <w:instrText xml:space="preserve">" </w:instrText>
      </w:r>
      <w:r>
        <w:rPr>
          <w:i/>
          <w:iCs/>
        </w:rPr>
        <w:fldChar w:fldCharType="end"/>
      </w:r>
      <w:r>
        <w:rPr>
          <w:iCs/>
        </w:rPr>
        <w:t xml:space="preserve"> převedli Leibniz a Pascal</w:t>
      </w:r>
      <w:r>
        <w:rPr>
          <w:iCs/>
        </w:rPr>
        <w:fldChar w:fldCharType="begin"/>
      </w:r>
      <w:r>
        <w:instrText xml:space="preserve"> XE "</w:instrText>
      </w:r>
      <w:r w:rsidRPr="002D3C8D">
        <w:instrText>Pascal, B.</w:instrText>
      </w:r>
      <w:r>
        <w:instrText xml:space="preserve">" </w:instrText>
      </w:r>
      <w:r>
        <w:rPr>
          <w:iCs/>
        </w:rPr>
        <w:fldChar w:fldCharType="end"/>
      </w:r>
      <w:r>
        <w:rPr>
          <w:iCs/>
        </w:rPr>
        <w:t xml:space="preserve"> do matematické podoby. Moderní uctívání matematiky se stalo po smrti objektivně koncipovaného boha univerzální </w:t>
      </w:r>
      <w:r w:rsidR="00A31961">
        <w:rPr>
          <w:iCs/>
        </w:rPr>
        <w:t xml:space="preserve">mystikou </w:t>
      </w:r>
      <w:r>
        <w:rPr>
          <w:iCs/>
        </w:rPr>
        <w:t>Západu.</w:t>
      </w:r>
    </w:p>
    <w:p w:rsidR="0057645E" w:rsidRDefault="0057645E" w:rsidP="002D59C5">
      <w:pPr>
        <w:ind w:firstLine="397"/>
        <w:rPr>
          <w:rStyle w:val="ref"/>
        </w:rPr>
      </w:pPr>
      <w:r w:rsidRPr="00F050AB">
        <w:t xml:space="preserve">Jindřich z </w:t>
      </w:r>
      <w:proofErr w:type="gramStart"/>
      <w:r w:rsidRPr="00F050AB">
        <w:t>Gentu</w:t>
      </w:r>
      <w:proofErr w:type="gramEnd"/>
      <w:r w:rsidRPr="00F050AB">
        <w:t xml:space="preserve"> vytvořil první schéma objektivity pro </w:t>
      </w:r>
      <w:r w:rsidRPr="00F050AB">
        <w:rPr>
          <w:i/>
        </w:rPr>
        <w:t>vulgus philosophicus</w:t>
      </w:r>
      <w:r w:rsidR="0004756C">
        <w:t xml:space="preserve"> tak, aby </w:t>
      </w:r>
      <w:r w:rsidR="00B8172B">
        <w:t xml:space="preserve">byla pochopitelná </w:t>
      </w:r>
      <w:r w:rsidR="0004756C">
        <w:t xml:space="preserve">v </w:t>
      </w:r>
      <w:r w:rsidRPr="00F050AB">
        <w:t>antropo</w:t>
      </w:r>
      <w:r>
        <w:t xml:space="preserve">logickém a dogmatickém scénáři. </w:t>
      </w:r>
      <w:r w:rsidRPr="00273106">
        <w:t>Realita první substance již není nutná pro objektivní formu poznání</w:t>
      </w:r>
      <w:r w:rsidR="002D59C5">
        <w:t xml:space="preserve">. </w:t>
      </w:r>
      <w:r w:rsidR="002D59C5" w:rsidRPr="002D59C5">
        <w:t>Nahradila ji mýtická projekce moderního subjektu na moderního boha, aby bylo možné poznat svět podle jeho</w:t>
      </w:r>
      <w:r w:rsidR="002D59C5">
        <w:t xml:space="preserve"> intencionality. </w:t>
      </w:r>
      <w:r>
        <w:t xml:space="preserve">Oba moderní subjekty se staly aspektem mystické a objektivní představivosti </w:t>
      </w:r>
      <w:r w:rsidRPr="08A40210">
        <w:rPr>
          <w:i/>
        </w:rPr>
        <w:t>Modernorum</w:t>
      </w:r>
      <w:r w:rsidR="001D0CF1">
        <w:t>. P</w:t>
      </w:r>
      <w:r>
        <w:t xml:space="preserve">o zrušení kritického myšlení na Rue du Fouarre </w:t>
      </w:r>
      <w:r w:rsidR="001D0CF1">
        <w:t xml:space="preserve">prakticky přestaly existovat </w:t>
      </w:r>
      <w:r w:rsidR="00F838C6">
        <w:t xml:space="preserve">korektivy </w:t>
      </w:r>
      <w:r>
        <w:t>dané z reality. Moderna mohl</w:t>
      </w:r>
      <w:r w:rsidR="00AF4CAB">
        <w:t>a pod vedením objektivních Fúri</w:t>
      </w:r>
      <w:r>
        <w:t>í plně uplatnit kulturní hegemonii</w:t>
      </w:r>
      <w:r>
        <w:fldChar w:fldCharType="begin"/>
      </w:r>
      <w:r>
        <w:instrText xml:space="preserve"> XE "</w:instrText>
      </w:r>
      <w:r w:rsidRPr="085233AE">
        <w:instrText>kulturní hegemonie</w:instrText>
      </w:r>
      <w:r>
        <w:instrText xml:space="preserve">" </w:instrText>
      </w:r>
      <w:r>
        <w:fldChar w:fldCharType="end"/>
      </w:r>
      <w:r>
        <w:t xml:space="preserve"> jedné pravdy dané přirozeně a nadpřirozeně. Zbožný augustinián Gandavus ještě nemá digitální matrixový svět, protože exemplar není naším výtvorem, ale boží intencí. Zatmění první substance je potvrzeno objektivním akademickým zatměním rozumu, které se historicky projevilo skrze epochálně účinné </w:t>
      </w:r>
      <w:r w:rsidRPr="00520751">
        <w:rPr>
          <w:i/>
        </w:rPr>
        <w:t>damnatio memoriae</w:t>
      </w:r>
      <w:r>
        <w:rPr>
          <w:i/>
        </w:rPr>
        <w:fldChar w:fldCharType="begin"/>
      </w:r>
      <w:r>
        <w:instrText xml:space="preserve"> XE "</w:instrText>
      </w:r>
      <w:r w:rsidRPr="00D846C4">
        <w:rPr>
          <w:i/>
        </w:rPr>
        <w:instrText>damnatio memoriae</w:instrText>
      </w:r>
      <w:r>
        <w:instrText xml:space="preserve">" </w:instrText>
      </w:r>
      <w:r>
        <w:rPr>
          <w:i/>
        </w:rPr>
        <w:fldChar w:fldCharType="end"/>
      </w:r>
      <w:r>
        <w:t xml:space="preserve">. Univerzita byl pramen teoretického vědění v modu </w:t>
      </w:r>
      <w:r w:rsidRPr="005F694A">
        <w:rPr>
          <w:i/>
        </w:rPr>
        <w:t>vita contemplativa</w:t>
      </w:r>
      <w:r>
        <w:t xml:space="preserve"> (Platonova</w:t>
      </w:r>
      <w:r w:rsidRPr="005F694A">
        <w:rPr>
          <w:rStyle w:val="Znakapoznpodarou"/>
        </w:rPr>
        <w:t xml:space="preserve"> </w:t>
      </w:r>
      <w:r w:rsidRPr="005F694A">
        <w:t>σχολή</w:t>
      </w:r>
      <w:r>
        <w:fldChar w:fldCharType="begin"/>
      </w:r>
      <w:r>
        <w:instrText xml:space="preserve"> XE "</w:instrText>
      </w:r>
      <w:r w:rsidRPr="08C9680E">
        <w:rPr>
          <w:i/>
        </w:rPr>
        <w:instrText>scholé</w:instrText>
      </w:r>
      <w:r>
        <w:instrText xml:space="preserve">" </w:instrText>
      </w:r>
      <w:r>
        <w:fldChar w:fldCharType="end"/>
      </w:r>
      <w:r>
        <w:t xml:space="preserve">, Aristotelův </w:t>
      </w:r>
      <w:r w:rsidRPr="005F694A">
        <w:rPr>
          <w:rStyle w:val="greek"/>
          <w:bCs/>
        </w:rPr>
        <w:t>βίος</w:t>
      </w:r>
      <w:r>
        <w:rPr>
          <w:rStyle w:val="greek"/>
          <w:b/>
          <w:bCs/>
        </w:rPr>
        <w:t xml:space="preserve"> </w:t>
      </w:r>
      <w:r>
        <w:t xml:space="preserve">θεωρητικός). Po odsouzení roku 1277 se univerzita změnila na místo </w:t>
      </w:r>
      <w:r w:rsidR="004A1712">
        <w:t xml:space="preserve">filosofických </w:t>
      </w:r>
      <w:r>
        <w:fldChar w:fldCharType="begin"/>
      </w:r>
      <w:r w:rsidR="004A1712">
        <w:instrText xml:space="preserve"> XE "m</w:instrText>
      </w:r>
      <w:r>
        <w:instrText xml:space="preserve">ytologie" </w:instrText>
      </w:r>
      <w:r>
        <w:fldChar w:fldCharType="end"/>
      </w:r>
      <w:r>
        <w:t xml:space="preserve"> pohádek. Moderna pomocí ideologických obvinění z averroismu, teorie dvojí pravdy atd. manipulovaných v rámci mocenských zásahů prosadila sofistické vědění </w:t>
      </w:r>
      <w:r w:rsidRPr="002068EE">
        <w:rPr>
          <w:i/>
        </w:rPr>
        <w:t>doctores Latin</w:t>
      </w:r>
      <w:r>
        <w:rPr>
          <w:i/>
        </w:rPr>
        <w:t>i</w:t>
      </w:r>
      <w:r>
        <w:rPr>
          <w:i/>
        </w:rPr>
        <w:fldChar w:fldCharType="begin"/>
      </w:r>
      <w:r>
        <w:instrText xml:space="preserve"> XE "druhý averroismus:</w:instrText>
      </w:r>
      <w:r w:rsidRPr="08E80388">
        <w:rPr>
          <w:i/>
        </w:rPr>
        <w:instrText>doctores Latini</w:instrText>
      </w:r>
      <w:r>
        <w:instrText xml:space="preserve">" </w:instrText>
      </w:r>
      <w:r>
        <w:rPr>
          <w:i/>
        </w:rPr>
        <w:fldChar w:fldCharType="end"/>
      </w:r>
      <w:r>
        <w:t xml:space="preserve">. </w:t>
      </w:r>
      <w:r w:rsidRPr="00D364FA">
        <w:t>Irac</w:t>
      </w:r>
      <w:r>
        <w:t>ionální modernisté vložili vlastní sofismata</w:t>
      </w:r>
      <w:r w:rsidRPr="00D364FA">
        <w:t xml:space="preserve"> na </w:t>
      </w:r>
      <w:r>
        <w:t xml:space="preserve">figuru </w:t>
      </w:r>
      <w:r w:rsidRPr="00D364FA">
        <w:t xml:space="preserve">starozákonního obětního beránka v modu </w:t>
      </w:r>
      <w:r w:rsidRPr="00D364FA">
        <w:rPr>
          <w:i/>
        </w:rPr>
        <w:t>Verkehrung ins Gegeteil</w:t>
      </w:r>
      <w:r w:rsidR="007939C9">
        <w:rPr>
          <w:rStyle w:val="Zvraznn"/>
        </w:rPr>
        <w:fldChar w:fldCharType="begin"/>
      </w:r>
      <w:r w:rsidR="007939C9">
        <w:instrText xml:space="preserve"> XE "</w:instrText>
      </w:r>
      <w:r w:rsidR="007939C9" w:rsidRPr="0089394E">
        <w:rPr>
          <w:rStyle w:val="Zvraznn"/>
        </w:rPr>
        <w:instrText xml:space="preserve">Verkehrung ins </w:instrText>
      </w:r>
      <w:r w:rsidR="007939C9" w:rsidRPr="0089394E">
        <w:rPr>
          <w:rStyle w:val="Zvraznn"/>
        </w:rPr>
        <w:lastRenderedPageBreak/>
        <w:instrText>Gegenteil</w:instrText>
      </w:r>
      <w:r w:rsidR="007939C9">
        <w:instrText xml:space="preserve">" </w:instrText>
      </w:r>
      <w:r w:rsidR="007939C9">
        <w:rPr>
          <w:rStyle w:val="Zvraznn"/>
        </w:rPr>
        <w:fldChar w:fldCharType="end"/>
      </w:r>
      <w:r w:rsidRPr="00D364FA">
        <w:t xml:space="preserve">, aby moudré myslitele </w:t>
      </w:r>
      <w:r>
        <w:t xml:space="preserve">vyhnali z univerzity </w:t>
      </w:r>
      <w:r w:rsidRPr="00D364FA">
        <w:t xml:space="preserve">jako démonické postavy (Aristoteles, Averroes, Siger). </w:t>
      </w:r>
      <w:r>
        <w:t xml:space="preserve">Figuru tohoto démonického Jiného pak obec učených Latiníků vyhnala do akademické pouště (viz </w:t>
      </w:r>
      <w:r w:rsidRPr="0047630E">
        <w:rPr>
          <w:i/>
        </w:rPr>
        <w:t>Leviticus</w:t>
      </w:r>
      <w:r>
        <w:t xml:space="preserve"> 16:10</w:t>
      </w:r>
      <w:r>
        <w:fldChar w:fldCharType="begin"/>
      </w:r>
      <w:r>
        <w:instrText xml:space="preserve"> XE "Starý zákon:Lv 16.</w:instrText>
      </w:r>
      <w:r w:rsidRPr="00BD17BC">
        <w:instrText>10</w:instrText>
      </w:r>
      <w:r>
        <w:instrText xml:space="preserve">" </w:instrText>
      </w:r>
      <w:r>
        <w:fldChar w:fldCharType="end"/>
      </w:r>
      <w:r w:rsidR="00436213">
        <w:t>). Objektivně napsanou</w:t>
      </w:r>
      <w:r>
        <w:t xml:space="preserve"> </w:t>
      </w:r>
      <w:r w:rsidR="00436213">
        <w:t xml:space="preserve">historii </w:t>
      </w:r>
      <w:r w:rsidR="009E68F2">
        <w:t>sporu o tzv. „averroismus“</w:t>
      </w:r>
      <w:r>
        <w:t xml:space="preserve"> napsala vítězná strana modernistů</w:t>
      </w:r>
      <w:r w:rsidR="00436213">
        <w:t xml:space="preserve">. </w:t>
      </w:r>
      <w:r w:rsidR="006E542A">
        <w:t>Archaická h</w:t>
      </w:r>
      <w:r w:rsidR="009E68F2">
        <w:t xml:space="preserve">ermeneutika </w:t>
      </w:r>
      <w:r w:rsidR="006E542A">
        <w:t>vedená Múzami</w:t>
      </w:r>
      <w:r w:rsidR="006E542A">
        <w:fldChar w:fldCharType="begin"/>
      </w:r>
      <w:r w:rsidR="006E542A">
        <w:instrText xml:space="preserve"> XE "</w:instrText>
      </w:r>
      <w:r w:rsidR="006E542A" w:rsidRPr="08F50B40">
        <w:instrText>Múzy</w:instrText>
      </w:r>
      <w:r w:rsidR="006E542A">
        <w:instrText xml:space="preserve">" </w:instrText>
      </w:r>
      <w:r w:rsidR="006E542A">
        <w:fldChar w:fldCharType="end"/>
      </w:r>
      <w:r w:rsidR="006E542A">
        <w:t xml:space="preserve"> </w:t>
      </w:r>
      <w:r w:rsidR="009E68F2">
        <w:t xml:space="preserve">odhalila dějinný smysl </w:t>
      </w:r>
      <w:r w:rsidR="006E542A">
        <w:t xml:space="preserve">averroismu, jehož objektivní podoba vznikla </w:t>
      </w:r>
      <w:r>
        <w:t xml:space="preserve">pod skrytým vedením </w:t>
      </w:r>
      <w:r w:rsidR="001602E1">
        <w:t xml:space="preserve">objektivně vzdělaných </w:t>
      </w:r>
      <w:r>
        <w:t>Fúrií</w:t>
      </w:r>
      <w:r w:rsidR="00C73E81">
        <w:t xml:space="preserve">. Obvinění z averroismu </w:t>
      </w:r>
      <w:r w:rsidRPr="00483BF4">
        <w:rPr>
          <w:rStyle w:val="Zvraznn"/>
          <w:i w:val="0"/>
        </w:rPr>
        <w:t xml:space="preserve">vytěsnilo </w:t>
      </w:r>
      <w:r>
        <w:rPr>
          <w:rStyle w:val="Zvraznn"/>
          <w:i w:val="0"/>
        </w:rPr>
        <w:t xml:space="preserve">z dějin </w:t>
      </w:r>
      <w:r w:rsidRPr="00483BF4">
        <w:rPr>
          <w:rStyle w:val="Zvraznn"/>
          <w:i w:val="0"/>
        </w:rPr>
        <w:t xml:space="preserve">myšlení </w:t>
      </w:r>
      <w:r>
        <w:t xml:space="preserve">školu prvního averroismu a zejména brilantní znalce Averroese z Rue du Fouarre. Po tomto objektivním exorcismu vstoupila nová </w:t>
      </w:r>
      <w:r w:rsidRPr="08944638">
        <w:rPr>
          <w:i/>
        </w:rPr>
        <w:t>intelligentia spiritualis</w:t>
      </w:r>
      <w:r>
        <w:rPr>
          <w:i/>
        </w:rPr>
        <w:fldChar w:fldCharType="begin"/>
      </w:r>
      <w:r>
        <w:instrText xml:space="preserve"> XE "</w:instrText>
      </w:r>
      <w:r w:rsidRPr="083D4781">
        <w:rPr>
          <w:i/>
        </w:rPr>
        <w:instrText>intelligentia spiritualis</w:instrText>
      </w:r>
      <w:r>
        <w:instrText xml:space="preserve">" </w:instrText>
      </w:r>
      <w:r>
        <w:rPr>
          <w:i/>
        </w:rPr>
        <w:fldChar w:fldCharType="end"/>
      </w:r>
      <w:r>
        <w:t xml:space="preserve"> také na Pařížské univerzitě plně na </w:t>
      </w:r>
      <w:proofErr w:type="gramStart"/>
      <w:r w:rsidRPr="08435DA0">
        <w:rPr>
          <w:i/>
        </w:rPr>
        <w:t>via</w:t>
      </w:r>
      <w:proofErr w:type="gramEnd"/>
      <w:r w:rsidRPr="08435DA0">
        <w:rPr>
          <w:i/>
        </w:rPr>
        <w:t xml:space="preserve"> Modernorum</w:t>
      </w:r>
      <w:r>
        <w:t xml:space="preserve">. Pak mohli první osvícenci konečně začít akademické dobývání objektivní země zaslíbené plné moderních </w:t>
      </w:r>
      <w:r w:rsidRPr="080D1557">
        <w:rPr>
          <w:i/>
        </w:rPr>
        <w:t>scibile</w:t>
      </w:r>
      <w:r>
        <w:t xml:space="preserve"> a mohli krotit neposlušnou materii a lidské zdroje pomocí ontoteologicky posvěceného kapitalismu. </w:t>
      </w:r>
      <w:r w:rsidRPr="00DD39BD">
        <w:t xml:space="preserve">Sofistika pravdy založená na tomto druhu autoritářství se naplno projevila v další generaci. </w:t>
      </w:r>
      <w:r>
        <w:t xml:space="preserve">Nová politická filosofie vznikla na Pařížské univerzitě skrze politické spory ohledně papežské buly </w:t>
      </w:r>
      <w:r>
        <w:rPr>
          <w:i/>
        </w:rPr>
        <w:t>Unam Sanctam</w:t>
      </w:r>
      <w:r>
        <w:rPr>
          <w:i/>
        </w:rPr>
        <w:fldChar w:fldCharType="begin"/>
      </w:r>
      <w:r>
        <w:instrText xml:space="preserve"> XE "</w:instrText>
      </w:r>
      <w:r>
        <w:rPr>
          <w:i/>
        </w:rPr>
        <w:instrText>Unam Sanctam</w:instrText>
      </w:r>
      <w:r>
        <w:instrText xml:space="preserve">" </w:instrText>
      </w:r>
      <w:r>
        <w:rPr>
          <w:i/>
        </w:rPr>
        <w:fldChar w:fldCharType="end"/>
      </w:r>
      <w:r w:rsidR="00075539">
        <w:t xml:space="preserve"> (kap. 6</w:t>
      </w:r>
      <w:r>
        <w:t xml:space="preserve">). Tento postmoderní subjekt pak </w:t>
      </w:r>
      <w:r w:rsidRPr="00273106">
        <w:t>Hegel</w:t>
      </w:r>
      <w:r>
        <w:fldChar w:fldCharType="begin"/>
      </w:r>
      <w:r>
        <w:instrText xml:space="preserve"> XE "</w:instrText>
      </w:r>
      <w:r w:rsidRPr="00C675D8">
        <w:instrText>Hegel, G. W.</w:instrText>
      </w:r>
      <w:r>
        <w:instrText xml:space="preserve">" </w:instrText>
      </w:r>
      <w:r>
        <w:fldChar w:fldCharType="end"/>
      </w:r>
      <w:r w:rsidRPr="00273106">
        <w:t xml:space="preserve"> </w:t>
      </w:r>
      <w:r>
        <w:t xml:space="preserve">absolutizuje </w:t>
      </w:r>
      <w:r w:rsidRPr="00273106">
        <w:t>dějinně-historickým dramatem odcizeného vědomí</w:t>
      </w:r>
      <w:r>
        <w:t xml:space="preserve">, které do sebereflexivní paměti absolutního ducha shromažďuje vykupující kapitál dějinně reflektovaných </w:t>
      </w:r>
      <w:r>
        <w:rPr>
          <w:i/>
        </w:rPr>
        <w:t>species</w:t>
      </w:r>
      <w:r>
        <w:t>. Kritický Marx</w:t>
      </w:r>
      <w:r>
        <w:fldChar w:fldCharType="begin"/>
      </w:r>
      <w:r>
        <w:instrText xml:space="preserve"> XE "</w:instrText>
      </w:r>
      <w:r w:rsidRPr="00B77A7A">
        <w:instrText>Marx, K.</w:instrText>
      </w:r>
      <w:r>
        <w:instrText xml:space="preserve">" </w:instrText>
      </w:r>
      <w:r>
        <w:fldChar w:fldCharType="end"/>
      </w:r>
      <w:r>
        <w:t xml:space="preserve"> vrátil Hegelův kapitál daný ve spásonosném vědomí absolutního ducha zpět k Olivimu kapitalistickému subjektu vůle. Ten je skutečným pokladem nihilistické epochy kapitalismu a zdrojem jeho planetární moci</w:t>
      </w:r>
      <w:r w:rsidRPr="00273106">
        <w:t>.</w:t>
      </w:r>
      <w:r>
        <w:t xml:space="preserve"> R</w:t>
      </w:r>
      <w:r w:rsidRPr="00273106">
        <w:t xml:space="preserve">estituce původní univerzální hodnoty exemplaru </w:t>
      </w:r>
      <w:r>
        <w:t xml:space="preserve">skrze reálnou a poznanou věc </w:t>
      </w:r>
      <w:r w:rsidRPr="00273106">
        <w:t xml:space="preserve">tvoří </w:t>
      </w:r>
      <w:r>
        <w:t xml:space="preserve">další epochální </w:t>
      </w:r>
      <w:r w:rsidRPr="00273106">
        <w:rPr>
          <w:i/>
        </w:rPr>
        <w:t>Lichtung</w:t>
      </w:r>
      <w:r>
        <w:t xml:space="preserve">, tentokrát </w:t>
      </w:r>
      <w:r w:rsidRPr="00273106">
        <w:t xml:space="preserve">pro renesanční </w:t>
      </w:r>
      <w:r>
        <w:t xml:space="preserve">neoplatonismus a </w:t>
      </w:r>
      <w:r w:rsidRPr="00273106">
        <w:t>humanismus</w:t>
      </w:r>
      <w:r>
        <w:fldChar w:fldCharType="begin"/>
      </w:r>
      <w:r>
        <w:instrText xml:space="preserve"> XE "</w:instrText>
      </w:r>
      <w:r w:rsidRPr="00246262">
        <w:instrText>humanismus:renesance</w:instrText>
      </w:r>
      <w:r>
        <w:instrText xml:space="preserve">" </w:instrText>
      </w:r>
      <w:r>
        <w:fldChar w:fldCharType="end"/>
      </w:r>
      <w:r w:rsidRPr="00273106">
        <w:t xml:space="preserve"> s jeho </w:t>
      </w:r>
      <w:r>
        <w:t>heslem „</w:t>
      </w:r>
      <w:r>
        <w:rPr>
          <w:i/>
        </w:rPr>
        <w:t>restitutio ad</w:t>
      </w:r>
      <w:r w:rsidRPr="00273106">
        <w:rPr>
          <w:i/>
        </w:rPr>
        <w:t xml:space="preserve"> integrum</w:t>
      </w:r>
      <w:r>
        <w:t>“</w:t>
      </w:r>
      <w:r>
        <w:rPr>
          <w:i/>
        </w:rPr>
        <w:fldChar w:fldCharType="begin"/>
      </w:r>
      <w:r>
        <w:instrText xml:space="preserve"> XE "</w:instrText>
      </w:r>
      <w:r w:rsidRPr="006A1F7D">
        <w:rPr>
          <w:i/>
        </w:rPr>
        <w:instrText>restitutio ad integrum</w:instrText>
      </w:r>
      <w:r>
        <w:instrText xml:space="preserve">" </w:instrText>
      </w:r>
      <w:r>
        <w:rPr>
          <w:i/>
        </w:rPr>
        <w:fldChar w:fldCharType="end"/>
      </w:r>
      <w:r w:rsidRPr="00273106">
        <w:t>.</w:t>
      </w:r>
      <w:r>
        <w:t xml:space="preserve"> </w:t>
      </w:r>
      <w:r w:rsidR="0022690B">
        <w:t>Ř</w:t>
      </w:r>
      <w:r>
        <w:t>ímský právní nárok</w:t>
      </w:r>
      <w:r w:rsidR="0022690B">
        <w:t xml:space="preserve"> zvaný</w:t>
      </w:r>
      <w:r>
        <w:t xml:space="preserve"> „</w:t>
      </w:r>
      <w:r>
        <w:rPr>
          <w:i/>
        </w:rPr>
        <w:t>restitutio in</w:t>
      </w:r>
      <w:r w:rsidRPr="000C140E">
        <w:rPr>
          <w:i/>
        </w:rPr>
        <w:t xml:space="preserve"> integrum</w:t>
      </w:r>
      <w:r w:rsidR="0022690B">
        <w:t>“ se v renesanci přesunul</w:t>
      </w:r>
      <w:r>
        <w:t xml:space="preserve"> na právní a textové zkoumání archivních pramenů a biblických rukopisů. Archivní dokumenty tvořily základ pravdy jako teologické, filosofické či historické jistoty postavené proti falsifikaci minulosti ve stylu Konstantinovy donace (</w:t>
      </w:r>
      <w:r>
        <w:rPr>
          <w:rStyle w:val="st"/>
          <w:i/>
        </w:rPr>
        <w:t xml:space="preserve">Constitutum </w:t>
      </w:r>
      <w:r w:rsidRPr="08936282">
        <w:rPr>
          <w:rStyle w:val="st"/>
          <w:i/>
        </w:rPr>
        <w:t>Constantini</w:t>
      </w:r>
      <w:r>
        <w:t>).</w:t>
      </w:r>
      <w:r w:rsidRPr="00675874">
        <w:t xml:space="preserve"> </w:t>
      </w:r>
      <w:r>
        <w:t xml:space="preserve">Restituované vědění navázané nejprve na renesanční archivy a na současné databáze </w:t>
      </w:r>
      <w:r>
        <w:rPr>
          <w:i/>
        </w:rPr>
        <w:fldChar w:fldCharType="begin"/>
      </w:r>
      <w:r>
        <w:instrText xml:space="preserve"> XE "</w:instrText>
      </w:r>
      <w:r w:rsidRPr="00621429">
        <w:rPr>
          <w:i/>
        </w:rPr>
        <w:instrText>cloud computing</w:instrText>
      </w:r>
      <w:r>
        <w:instrText xml:space="preserve">" </w:instrText>
      </w:r>
      <w:r>
        <w:rPr>
          <w:i/>
        </w:rPr>
        <w:fldChar w:fldCharType="end"/>
      </w:r>
      <w:r>
        <w:t xml:space="preserve">vytváří prodloužený svět moderního subjektu v modu Rufusova </w:t>
      </w:r>
      <w:r w:rsidRPr="004B6719">
        <w:rPr>
          <w:i/>
        </w:rPr>
        <w:t>coaequatio</w:t>
      </w:r>
      <w:r>
        <w:rPr>
          <w:i/>
        </w:rPr>
        <w:fldChar w:fldCharType="begin"/>
      </w:r>
      <w:r>
        <w:instrText xml:space="preserve"> XE "pravda:</w:instrText>
      </w:r>
      <w:r w:rsidRPr="00E11E1F">
        <w:rPr>
          <w:i/>
        </w:rPr>
        <w:instrText>coaequatio</w:instrText>
      </w:r>
      <w:r>
        <w:instrText xml:space="preserve">" </w:instrText>
      </w:r>
      <w:r>
        <w:rPr>
          <w:i/>
        </w:rPr>
        <w:fldChar w:fldCharType="end"/>
      </w:r>
      <w:r>
        <w:t>.</w:t>
      </w:r>
      <w:r w:rsidRPr="08AE7D79">
        <w:t xml:space="preserve"> </w:t>
      </w:r>
      <w:r>
        <w:t xml:space="preserve">Termín </w:t>
      </w:r>
      <w:r w:rsidRPr="00937156">
        <w:rPr>
          <w:i/>
        </w:rPr>
        <w:t>locus specierum</w:t>
      </w:r>
      <w:r>
        <w:rPr>
          <w:i/>
        </w:rPr>
        <w:fldChar w:fldCharType="begin"/>
      </w:r>
      <w:r>
        <w:instrText xml:space="preserve"> XE "</w:instrText>
      </w:r>
      <w:r w:rsidRPr="009E5259">
        <w:rPr>
          <w:i/>
        </w:rPr>
        <w:instrText>locus specierum</w:instrText>
      </w:r>
      <w:r>
        <w:instrText xml:space="preserve">" </w:instrText>
      </w:r>
      <w:r>
        <w:rPr>
          <w:i/>
        </w:rPr>
        <w:fldChar w:fldCharType="end"/>
      </w:r>
      <w:r>
        <w:t xml:space="preserve"> nebo </w:t>
      </w:r>
      <w:r w:rsidRPr="00937156">
        <w:rPr>
          <w:i/>
        </w:rPr>
        <w:t>thesaurus specierum</w:t>
      </w:r>
      <w:r>
        <w:t xml:space="preserve"> se stal dějinným osudem moderny a postmoderny, která vytěsnila ve své epochální </w:t>
      </w:r>
      <w:r w:rsidRPr="00937156">
        <w:rPr>
          <w:i/>
        </w:rPr>
        <w:t>memoria</w:t>
      </w:r>
      <w:r>
        <w:rPr>
          <w:i/>
        </w:rPr>
        <w:fldChar w:fldCharType="begin"/>
      </w:r>
      <w:r>
        <w:instrText xml:space="preserve"> XE "</w:instrText>
      </w:r>
      <w:r w:rsidRPr="00840D0F">
        <w:rPr>
          <w:i/>
        </w:rPr>
        <w:instrText>memoria:</w:instrText>
      </w:r>
      <w:r w:rsidRPr="00DA0492">
        <w:instrText>moderna</w:instrText>
      </w:r>
      <w:r>
        <w:instrText xml:space="preserve">" </w:instrText>
      </w:r>
      <w:r>
        <w:rPr>
          <w:i/>
        </w:rPr>
        <w:fldChar w:fldCharType="end"/>
      </w:r>
      <w:r>
        <w:t xml:space="preserve"> aktuální první substanci </w:t>
      </w:r>
      <w:r>
        <w:lastRenderedPageBreak/>
        <w:t>a nahradila ji v modu objektivní archivace tou či onou formou informačního či finančního kapitálu.</w:t>
      </w:r>
    </w:p>
    <w:p w:rsidR="0057645E" w:rsidRDefault="0057645E" w:rsidP="0057645E"/>
    <w:p w:rsidR="08163013" w:rsidRPr="00273106" w:rsidRDefault="0057645E" w:rsidP="08163013">
      <w:pPr>
        <w:pStyle w:val="Nadpis2"/>
      </w:pPr>
      <w:bookmarkStart w:id="87" w:name="_Toc36144163"/>
      <w:r>
        <w:rPr>
          <w:lang w:val="cs-CZ"/>
        </w:rPr>
        <w:br w:type="page"/>
      </w:r>
      <w:bookmarkStart w:id="88" w:name="_Toc180231675"/>
      <w:r w:rsidR="08163013">
        <w:rPr>
          <w:lang w:val="cs-CZ"/>
        </w:rPr>
        <w:lastRenderedPageBreak/>
        <w:t>5</w:t>
      </w:r>
      <w:r w:rsidR="08163013">
        <w:t xml:space="preserve">.3 Vznik </w:t>
      </w:r>
      <w:r w:rsidR="08163013" w:rsidRPr="00273106">
        <w:t>objektivní metafyziky (Duns Scotus)</w:t>
      </w:r>
      <w:bookmarkEnd w:id="87"/>
      <w:bookmarkEnd w:id="88"/>
    </w:p>
    <w:p w:rsidR="00B46C14" w:rsidRPr="00A85EE1" w:rsidRDefault="00D71256" w:rsidP="002326ED">
      <w:pPr>
        <w:rPr>
          <w:iCs/>
        </w:rPr>
      </w:pPr>
      <w:r>
        <w:t>Hermeneutice dějinnosti, dějin a historie zbývá odpovědět na složitou otázku, j</w:t>
      </w:r>
      <w:r w:rsidRPr="00273106">
        <w:rPr>
          <w:iCs/>
        </w:rPr>
        <w:t xml:space="preserve">ak </w:t>
      </w:r>
      <w:r>
        <w:rPr>
          <w:iCs/>
        </w:rPr>
        <w:t>nová metafyzika</w:t>
      </w:r>
      <w:r w:rsidRPr="00273106">
        <w:rPr>
          <w:iCs/>
        </w:rPr>
        <w:t xml:space="preserve"> </w:t>
      </w:r>
      <w:r w:rsidRPr="008C5F11">
        <w:rPr>
          <w:i/>
          <w:iCs/>
        </w:rPr>
        <w:t>Modernorum</w:t>
      </w:r>
      <w:r>
        <w:rPr>
          <w:iCs/>
        </w:rPr>
        <w:t xml:space="preserve"> </w:t>
      </w:r>
      <w:r w:rsidRPr="00273106">
        <w:rPr>
          <w:iCs/>
        </w:rPr>
        <w:t xml:space="preserve">vyřešila či anulovala </w:t>
      </w:r>
      <w:r>
        <w:rPr>
          <w:iCs/>
        </w:rPr>
        <w:t>spory předešlých generací</w:t>
      </w:r>
      <w:r w:rsidRPr="00273106">
        <w:rPr>
          <w:iCs/>
        </w:rPr>
        <w:t xml:space="preserve"> </w:t>
      </w:r>
      <w:r>
        <w:rPr>
          <w:iCs/>
        </w:rPr>
        <w:t xml:space="preserve">prvního a druhého averroismu </w:t>
      </w:r>
      <w:r w:rsidRPr="00273106">
        <w:rPr>
          <w:iCs/>
        </w:rPr>
        <w:t>(</w:t>
      </w:r>
      <w:r w:rsidRPr="00273106">
        <w:rPr>
          <w:i/>
          <w:iCs/>
        </w:rPr>
        <w:t>dativus incommodi</w:t>
      </w:r>
      <w:r>
        <w:rPr>
          <w:i/>
          <w:iCs/>
        </w:rPr>
        <w:fldChar w:fldCharType="begin"/>
      </w:r>
      <w:r>
        <w:instrText xml:space="preserve"> XE "</w:instrText>
      </w:r>
      <w:r w:rsidRPr="00C265A3">
        <w:rPr>
          <w:i/>
          <w:iCs/>
        </w:rPr>
        <w:instrText>dativus incommodi</w:instrText>
      </w:r>
      <w:r>
        <w:instrText xml:space="preserve">" </w:instrText>
      </w:r>
      <w:r>
        <w:rPr>
          <w:i/>
          <w:iCs/>
        </w:rPr>
        <w:fldChar w:fldCharType="end"/>
      </w:r>
      <w:r w:rsidRPr="00273106">
        <w:rPr>
          <w:iCs/>
        </w:rPr>
        <w:t>)</w:t>
      </w:r>
      <w:r>
        <w:rPr>
          <w:iCs/>
        </w:rPr>
        <w:t xml:space="preserve">. </w:t>
      </w:r>
      <w:r w:rsidRPr="00273106">
        <w:t xml:space="preserve">Bonaventura, který moderní obraz člověka a boha poprvé aktivně vytvářel, se nemusel starat o jeho nedokonalosti a rozpory. </w:t>
      </w:r>
      <w:r w:rsidR="00E31C74" w:rsidRPr="00E31C74">
        <w:t>Gandavus a Scotus začali svou kariéru po odsouzení v roce 1277 a museli obha</w:t>
      </w:r>
      <w:r w:rsidR="00E31C74">
        <w:t>jovat rozporuplný obraz světa, b</w:t>
      </w:r>
      <w:r w:rsidR="00E31C74" w:rsidRPr="00E31C74">
        <w:t>oha a člověka, který první modernisté předali dalším generacím. Exeg</w:t>
      </w:r>
      <w:r w:rsidR="00E31C74">
        <w:t>eze Gandavova systému ukázala, že antropomorfní obraz b</w:t>
      </w:r>
      <w:r w:rsidR="00E31C74" w:rsidRPr="00E31C74">
        <w:t>oha jako exemplárního objektivisty potřeboval stálou teodiceu, aby mohl dále fungovat. Tot</w:t>
      </w:r>
      <w:r w:rsidR="00E31C74">
        <w:t xml:space="preserve">o sofistikované simulakrum tvořilo </w:t>
      </w:r>
      <w:r w:rsidR="00E31C74" w:rsidRPr="00E31C74">
        <w:t>základ nové metafyziky</w:t>
      </w:r>
      <w:r w:rsidR="00E31C74">
        <w:t>, takže muselo zůstat intelektuálně naživu</w:t>
      </w:r>
      <w:r w:rsidR="00E31C74" w:rsidRPr="00E31C74">
        <w:t xml:space="preserve">. </w:t>
      </w:r>
      <w:r w:rsidR="005E49AC" w:rsidRPr="00541DAC">
        <w:t xml:space="preserve">Bůh přebývá intimně v sobě samém; </w:t>
      </w:r>
      <w:r w:rsidR="005E49AC">
        <w:t xml:space="preserve">reflektuje </w:t>
      </w:r>
      <w:r w:rsidR="005E49AC" w:rsidRPr="00541DAC">
        <w:t>své myšlení subjektivním způsobem</w:t>
      </w:r>
      <w:r w:rsidR="005E49AC">
        <w:t xml:space="preserve"> a </w:t>
      </w:r>
      <w:r w:rsidR="005E49AC" w:rsidRPr="00541DAC">
        <w:t>tak objektivně-</w:t>
      </w:r>
      <w:r w:rsidR="005E49AC">
        <w:t xml:space="preserve">exemplárně </w:t>
      </w:r>
      <w:r w:rsidR="005E49AC" w:rsidRPr="00541DAC">
        <w:t xml:space="preserve">stanovuje smysl jsoucího; pak toto </w:t>
      </w:r>
      <w:r w:rsidR="005E49AC">
        <w:t xml:space="preserve">objektivní </w:t>
      </w:r>
      <w:r w:rsidR="005E49AC" w:rsidRPr="00541DAC">
        <w:t>jsouc</w:t>
      </w:r>
      <w:r w:rsidR="005E49AC">
        <w:t xml:space="preserve">no </w:t>
      </w:r>
      <w:r w:rsidR="005E49AC" w:rsidRPr="00541DAC">
        <w:t xml:space="preserve">přetváří svou vůlí a posílá je do světa. </w:t>
      </w:r>
      <w:r w:rsidR="000D0503" w:rsidRPr="000D0503">
        <w:t>Gandavus vytvořil první systém kapitalistické metafyziky</w:t>
      </w:r>
      <w:r w:rsidR="000D0503">
        <w:t>, která je založena na mytologické formě ontoteologie</w:t>
      </w:r>
      <w:r w:rsidR="000D0503" w:rsidRPr="000D0503">
        <w:t xml:space="preserve">. Bůh jako </w:t>
      </w:r>
      <w:r w:rsidR="000D0503">
        <w:t>první a základní demiurg produkuje exemplární formu objektivity v modu „</w:t>
      </w:r>
      <w:proofErr w:type="gramStart"/>
      <w:r w:rsidR="000D0503" w:rsidRPr="000D0503">
        <w:rPr>
          <w:i/>
        </w:rPr>
        <w:t>semel</w:t>
      </w:r>
      <w:proofErr w:type="gramEnd"/>
      <w:r w:rsidR="000D0503" w:rsidRPr="000D0503">
        <w:rPr>
          <w:rFonts w:cs="Calibri"/>
          <w:i/>
        </w:rPr>
        <w:t>—</w:t>
      </w:r>
      <w:proofErr w:type="gramStart"/>
      <w:r w:rsidR="000D0503" w:rsidRPr="000D0503">
        <w:rPr>
          <w:i/>
        </w:rPr>
        <w:t>semper</w:t>
      </w:r>
      <w:proofErr w:type="gramEnd"/>
      <w:r w:rsidR="000D0503">
        <w:t xml:space="preserve">“. </w:t>
      </w:r>
      <w:r w:rsidR="005E49AC" w:rsidRPr="00745F2C">
        <w:t>Objektivní demiurgická technologie zpočátku probíhá v modu božské intencionality,</w:t>
      </w:r>
      <w:r w:rsidR="005E49AC">
        <w:t xml:space="preserve"> která vytváří panství  exemplarů</w:t>
      </w:r>
      <w:r w:rsidR="005E49AC" w:rsidRPr="00745F2C">
        <w:t xml:space="preserve"> (</w:t>
      </w:r>
      <w:r w:rsidR="005E49AC" w:rsidRPr="00745F2C">
        <w:rPr>
          <w:i/>
        </w:rPr>
        <w:t>esse ad</w:t>
      </w:r>
      <w:r w:rsidR="005E49AC" w:rsidRPr="00745F2C">
        <w:rPr>
          <w:i/>
          <w:vertAlign w:val="superscript"/>
        </w:rPr>
        <w:t>1</w:t>
      </w:r>
      <w:r w:rsidR="005E49AC" w:rsidRPr="00745F2C">
        <w:t xml:space="preserve">). Ty tvoří paradigmatické </w:t>
      </w:r>
      <w:r w:rsidR="005E49AC" w:rsidRPr="00745F2C">
        <w:rPr>
          <w:i/>
        </w:rPr>
        <w:t>rationes seminales</w:t>
      </w:r>
      <w:r w:rsidR="005E49AC" w:rsidRPr="00745F2C">
        <w:t xml:space="preserve"> ve stvoření (</w:t>
      </w:r>
      <w:r w:rsidR="005E49AC" w:rsidRPr="00745F2C">
        <w:rPr>
          <w:i/>
        </w:rPr>
        <w:t>esse ad</w:t>
      </w:r>
      <w:r w:rsidR="005E49AC" w:rsidRPr="00745F2C">
        <w:rPr>
          <w:i/>
          <w:vertAlign w:val="superscript"/>
        </w:rPr>
        <w:t>2</w:t>
      </w:r>
      <w:r w:rsidR="005E49AC" w:rsidRPr="00745F2C">
        <w:t xml:space="preserve">). Člověk jako sekundární demiurg přebírá tyto </w:t>
      </w:r>
      <w:r w:rsidR="005E49AC" w:rsidRPr="00745F2C">
        <w:rPr>
          <w:i/>
        </w:rPr>
        <w:t>rationes</w:t>
      </w:r>
      <w:r w:rsidR="005E49AC" w:rsidRPr="00745F2C">
        <w:t>, transformuje je do svých vlastních idejí (</w:t>
      </w:r>
      <w:r w:rsidR="005E49AC" w:rsidRPr="00745F2C">
        <w:rPr>
          <w:i/>
        </w:rPr>
        <w:t>regula agentis creati</w:t>
      </w:r>
      <w:r w:rsidR="005E49AC" w:rsidRPr="00745F2C">
        <w:t>) a provozuje svůj vlastní kapitalistický diakosmos, který s</w:t>
      </w:r>
      <w:r w:rsidR="005E49AC">
        <w:t>e stal novým druhem světového impéria</w:t>
      </w:r>
      <w:r w:rsidR="005E49AC" w:rsidRPr="00745F2C">
        <w:t xml:space="preserve">. </w:t>
      </w:r>
      <w:r w:rsidR="002326ED">
        <w:t>Akademičtí ilumináti na univerzitě v Paříži a v Oxfordu naplnili Sibylin</w:t>
      </w:r>
      <w:r w:rsidR="00254E15">
        <w:t xml:space="preserve">o proroctví, že </w:t>
      </w:r>
      <w:r w:rsidR="00254E15">
        <w:rPr>
          <w:rStyle w:val="ezkurwreuab5ozgtqnkl"/>
        </w:rPr>
        <w:t>že velký</w:t>
      </w:r>
      <w:r w:rsidR="00254E15">
        <w:t xml:space="preserve"> </w:t>
      </w:r>
      <w:r w:rsidR="00254E15">
        <w:rPr>
          <w:rStyle w:val="ezkurwreuab5ozgtqnkl"/>
        </w:rPr>
        <w:t>cyklus</w:t>
      </w:r>
      <w:r w:rsidR="00254E15">
        <w:t xml:space="preserve"> </w:t>
      </w:r>
      <w:r w:rsidR="00254E15">
        <w:rPr>
          <w:rStyle w:val="ezkurwreuab5ozgtqnkl"/>
        </w:rPr>
        <w:t>věků</w:t>
      </w:r>
      <w:r w:rsidR="00254E15">
        <w:t xml:space="preserve"> </w:t>
      </w:r>
      <w:r w:rsidR="00254E15">
        <w:rPr>
          <w:rStyle w:val="ezkurwreuab5ozgtqnkl"/>
        </w:rPr>
        <w:t>se znovu narodil</w:t>
      </w:r>
      <w:r w:rsidR="00254E15">
        <w:t xml:space="preserve"> </w:t>
      </w:r>
      <w:r w:rsidR="002326ED">
        <w:t>(</w:t>
      </w:r>
      <w:r w:rsidR="002326ED">
        <w:rPr>
          <w:i/>
          <w:iCs/>
        </w:rPr>
        <w:t xml:space="preserve">magnus ab integro saeclorum nascitur </w:t>
      </w:r>
      <w:r w:rsidR="002326ED" w:rsidRPr="08610B6A">
        <w:rPr>
          <w:i/>
          <w:iCs/>
        </w:rPr>
        <w:t>ordo</w:t>
      </w:r>
      <w:r w:rsidR="002326ED">
        <w:rPr>
          <w:iCs/>
        </w:rPr>
        <w:t xml:space="preserve">, </w:t>
      </w:r>
      <w:r w:rsidR="002326ED" w:rsidRPr="00C32B60">
        <w:rPr>
          <w:i/>
        </w:rPr>
        <w:t>Eclogue</w:t>
      </w:r>
      <w:r w:rsidR="002326ED">
        <w:t xml:space="preserve"> 4.5</w:t>
      </w:r>
      <w:r w:rsidR="002326ED">
        <w:fldChar w:fldCharType="begin"/>
      </w:r>
      <w:r w:rsidR="002326ED">
        <w:instrText xml:space="preserve"> XE "</w:instrText>
      </w:r>
      <w:r w:rsidR="002326ED" w:rsidRPr="0098133A">
        <w:instrText>Vergilus</w:instrText>
      </w:r>
      <w:r w:rsidR="002326ED" w:rsidRPr="006C1332">
        <w:rPr>
          <w:i/>
        </w:rPr>
        <w:instrText>:Eclogue</w:instrText>
      </w:r>
      <w:r w:rsidR="002326ED" w:rsidRPr="006C1332">
        <w:instrText xml:space="preserve"> 4.5</w:instrText>
      </w:r>
      <w:r w:rsidR="002326ED">
        <w:instrText xml:space="preserve">" </w:instrText>
      </w:r>
      <w:r w:rsidR="002326ED">
        <w:fldChar w:fldCharType="end"/>
      </w:r>
      <w:r w:rsidR="00B46C14">
        <w:rPr>
          <w:iCs/>
        </w:rPr>
        <w:t xml:space="preserve">). </w:t>
      </w:r>
      <w:r w:rsidR="002326ED">
        <w:rPr>
          <w:iCs/>
        </w:rPr>
        <w:t xml:space="preserve">Metafyzika </w:t>
      </w:r>
      <w:r w:rsidR="002326ED" w:rsidRPr="085E61A9">
        <w:rPr>
          <w:i/>
          <w:iCs/>
        </w:rPr>
        <w:t>Modernorum</w:t>
      </w:r>
      <w:r w:rsidR="002326ED">
        <w:rPr>
          <w:iCs/>
        </w:rPr>
        <w:t xml:space="preserve"> se vyvíjela od Henryho metafyzické ontoteologii k Leibnizově matematické teodiceji; pak ke Spinozově specifickému </w:t>
      </w:r>
      <w:r w:rsidR="00B609C2">
        <w:rPr>
          <w:iCs/>
        </w:rPr>
        <w:t>pan</w:t>
      </w:r>
      <w:r w:rsidR="002326ED">
        <w:rPr>
          <w:iCs/>
        </w:rPr>
        <w:t xml:space="preserve">teismu, a nakonec k </w:t>
      </w:r>
      <w:proofErr w:type="gramStart"/>
      <w:r w:rsidR="002326ED">
        <w:rPr>
          <w:iCs/>
        </w:rPr>
        <w:t>Nietzscheho</w:t>
      </w:r>
      <w:proofErr w:type="gramEnd"/>
      <w:r w:rsidR="002326ED">
        <w:rPr>
          <w:iCs/>
        </w:rPr>
        <w:t xml:space="preserve"> kompletnímu nihilismu. Tento modus </w:t>
      </w:r>
      <w:r w:rsidR="002326ED" w:rsidRPr="00EC606A">
        <w:rPr>
          <w:i/>
          <w:iCs/>
        </w:rPr>
        <w:t>Seinsvergessenheit</w:t>
      </w:r>
      <w:r w:rsidR="002326ED">
        <w:rPr>
          <w:i/>
          <w:iCs/>
        </w:rPr>
        <w:fldChar w:fldCharType="begin"/>
      </w:r>
      <w:r w:rsidR="002326ED">
        <w:instrText xml:space="preserve"> XE "</w:instrText>
      </w:r>
      <w:r w:rsidR="002326ED" w:rsidRPr="0006499C">
        <w:rPr>
          <w:i/>
          <w:iCs/>
        </w:rPr>
        <w:instrText>Seinsvergessenheit</w:instrText>
      </w:r>
      <w:r w:rsidR="002326ED">
        <w:instrText xml:space="preserve">" </w:instrText>
      </w:r>
      <w:r w:rsidR="002326ED">
        <w:rPr>
          <w:i/>
          <w:iCs/>
        </w:rPr>
        <w:fldChar w:fldCharType="end"/>
      </w:r>
      <w:r w:rsidR="002326ED">
        <w:rPr>
          <w:iCs/>
        </w:rPr>
        <w:t xml:space="preserve"> odpovídá na další otázku, </w:t>
      </w:r>
      <w:r w:rsidR="002326ED" w:rsidRPr="00273106">
        <w:rPr>
          <w:iCs/>
        </w:rPr>
        <w:t>„jak“ (</w:t>
      </w:r>
      <w:r w:rsidR="002326ED" w:rsidRPr="00273106">
        <w:rPr>
          <w:i/>
          <w:iCs/>
        </w:rPr>
        <w:t>Wie</w:t>
      </w:r>
      <w:r w:rsidR="002326ED" w:rsidRPr="00273106">
        <w:rPr>
          <w:iCs/>
        </w:rPr>
        <w:t xml:space="preserve">) se </w:t>
      </w:r>
      <w:r w:rsidR="002326ED">
        <w:rPr>
          <w:iCs/>
        </w:rPr>
        <w:t xml:space="preserve">kapitalistické </w:t>
      </w:r>
      <w:r w:rsidR="002326ED" w:rsidRPr="00273106">
        <w:rPr>
          <w:iCs/>
        </w:rPr>
        <w:t xml:space="preserve">jsoucno </w:t>
      </w:r>
      <w:r w:rsidR="002326ED">
        <w:rPr>
          <w:iCs/>
        </w:rPr>
        <w:t xml:space="preserve">definované </w:t>
      </w:r>
      <w:r w:rsidR="002326ED" w:rsidRPr="00273106">
        <w:rPr>
          <w:iCs/>
        </w:rPr>
        <w:t>Olivim stalo nástrojem novověké vědo-techniky</w:t>
      </w:r>
      <w:r w:rsidR="002326ED">
        <w:rPr>
          <w:iCs/>
        </w:rPr>
        <w:t xml:space="preserve"> (</w:t>
      </w:r>
      <w:r w:rsidR="002326ED" w:rsidRPr="00273106">
        <w:rPr>
          <w:i/>
          <w:iCs/>
        </w:rPr>
        <w:t>dativus instrumenti</w:t>
      </w:r>
      <w:r w:rsidR="002326ED">
        <w:rPr>
          <w:i/>
          <w:iCs/>
        </w:rPr>
        <w:fldChar w:fldCharType="begin"/>
      </w:r>
      <w:r w:rsidR="002326ED">
        <w:instrText xml:space="preserve"> XE "</w:instrText>
      </w:r>
      <w:r w:rsidR="002326ED" w:rsidRPr="00BD4DF9">
        <w:rPr>
          <w:i/>
          <w:iCs/>
        </w:rPr>
        <w:instrText>dativus instrumenti</w:instrText>
      </w:r>
      <w:r w:rsidR="002326ED">
        <w:instrText xml:space="preserve">" </w:instrText>
      </w:r>
      <w:r w:rsidR="002326ED">
        <w:rPr>
          <w:i/>
          <w:iCs/>
        </w:rPr>
        <w:fldChar w:fldCharType="end"/>
      </w:r>
      <w:r w:rsidR="002326ED">
        <w:rPr>
          <w:iCs/>
        </w:rPr>
        <w:t xml:space="preserve">). </w:t>
      </w:r>
      <w:r w:rsidR="00A85EE1">
        <w:rPr>
          <w:iCs/>
        </w:rPr>
        <w:t>I</w:t>
      </w:r>
      <w:r w:rsidR="002326ED" w:rsidRPr="00273106">
        <w:rPr>
          <w:iCs/>
        </w:rPr>
        <w:t>mitace boží objektivity ve stvoření se týká éry voluntaristického a kapitalistického demiurga</w:t>
      </w:r>
      <w:r w:rsidR="002326ED">
        <w:rPr>
          <w:iCs/>
        </w:rPr>
        <w:fldChar w:fldCharType="begin"/>
      </w:r>
      <w:r w:rsidR="002326ED">
        <w:instrText xml:space="preserve"> XE "</w:instrText>
      </w:r>
      <w:r w:rsidR="002326ED" w:rsidRPr="005C2F4A">
        <w:rPr>
          <w:rStyle w:val="addmd"/>
        </w:rPr>
        <w:instrText>demiurg</w:instrText>
      </w:r>
      <w:r w:rsidR="002326ED">
        <w:instrText xml:space="preserve">" </w:instrText>
      </w:r>
      <w:r w:rsidR="002326ED">
        <w:rPr>
          <w:iCs/>
        </w:rPr>
        <w:fldChar w:fldCharType="end"/>
      </w:r>
      <w:r w:rsidR="002326ED" w:rsidRPr="00273106">
        <w:rPr>
          <w:iCs/>
        </w:rPr>
        <w:t xml:space="preserve">, jehož epochální působení </w:t>
      </w:r>
      <w:r w:rsidR="002326ED">
        <w:rPr>
          <w:iCs/>
        </w:rPr>
        <w:t xml:space="preserve">již </w:t>
      </w:r>
      <w:r w:rsidR="002326ED" w:rsidRPr="00273106">
        <w:rPr>
          <w:iCs/>
        </w:rPr>
        <w:t>nasto</w:t>
      </w:r>
      <w:r w:rsidR="002326ED">
        <w:rPr>
          <w:iCs/>
        </w:rPr>
        <w:t xml:space="preserve">lil Bonaventura a po něm Olivi v modu kapitalistického </w:t>
      </w:r>
      <w:r w:rsidR="002326ED" w:rsidRPr="00273106">
        <w:rPr>
          <w:i/>
          <w:iCs/>
        </w:rPr>
        <w:t>dativus instrumenti</w:t>
      </w:r>
      <w:r w:rsidR="002326ED">
        <w:rPr>
          <w:i/>
          <w:iCs/>
        </w:rPr>
        <w:fldChar w:fldCharType="begin"/>
      </w:r>
      <w:r w:rsidR="002326ED">
        <w:instrText xml:space="preserve"> XE "</w:instrText>
      </w:r>
      <w:r w:rsidR="002326ED" w:rsidRPr="00BD4DF9">
        <w:rPr>
          <w:i/>
          <w:iCs/>
        </w:rPr>
        <w:instrText>dativus instrumenti</w:instrText>
      </w:r>
      <w:r w:rsidR="002326ED">
        <w:instrText xml:space="preserve">" </w:instrText>
      </w:r>
      <w:r w:rsidR="002326ED">
        <w:rPr>
          <w:i/>
          <w:iCs/>
        </w:rPr>
        <w:fldChar w:fldCharType="end"/>
      </w:r>
      <w:r w:rsidR="002326ED">
        <w:rPr>
          <w:iCs/>
        </w:rPr>
        <w:t xml:space="preserve">. </w:t>
      </w:r>
      <w:r w:rsidR="00A85EE1">
        <w:rPr>
          <w:iCs/>
        </w:rPr>
        <w:t>Moderní bůh stejně jako jeho moderní tvůrce Gandavus je veden objektivní intencionalitou p</w:t>
      </w:r>
      <w:r w:rsidR="00A85EE1" w:rsidRPr="00273106">
        <w:rPr>
          <w:iCs/>
        </w:rPr>
        <w:t>roducenta</w:t>
      </w:r>
      <w:r w:rsidR="00A85EE1">
        <w:rPr>
          <w:iCs/>
        </w:rPr>
        <w:t xml:space="preserve"> </w:t>
      </w:r>
      <w:r w:rsidR="00A85EE1">
        <w:rPr>
          <w:szCs w:val="24"/>
          <w:lang w:val="de-DE"/>
        </w:rPr>
        <w:t xml:space="preserve">v modu </w:t>
      </w:r>
      <w:r w:rsidR="00A85EE1" w:rsidRPr="00AD74EF">
        <w:rPr>
          <w:i/>
          <w:szCs w:val="24"/>
          <w:lang w:val="de-DE"/>
        </w:rPr>
        <w:t>dativus auctoris</w:t>
      </w:r>
      <w:r w:rsidR="00A85EE1">
        <w:rPr>
          <w:iCs/>
        </w:rPr>
        <w:t xml:space="preserve">, která </w:t>
      </w:r>
      <w:r w:rsidR="00A85EE1" w:rsidRPr="00273106">
        <w:rPr>
          <w:iCs/>
        </w:rPr>
        <w:t>tvoří</w:t>
      </w:r>
      <w:r w:rsidR="00A85EE1">
        <w:rPr>
          <w:iCs/>
        </w:rPr>
        <w:t xml:space="preserve"> moderní </w:t>
      </w:r>
      <w:r w:rsidR="00A85EE1" w:rsidRPr="00273106">
        <w:rPr>
          <w:iCs/>
        </w:rPr>
        <w:t xml:space="preserve">objekty podle </w:t>
      </w:r>
      <w:r w:rsidR="00A85EE1" w:rsidRPr="00273106">
        <w:rPr>
          <w:iCs/>
        </w:rPr>
        <w:lastRenderedPageBreak/>
        <w:t>svobodné a rozumné vůle</w:t>
      </w:r>
      <w:r w:rsidR="00A85EE1">
        <w:rPr>
          <w:iCs/>
        </w:rPr>
        <w:t xml:space="preserve"> (</w:t>
      </w:r>
      <w:r w:rsidR="00A85EE1" w:rsidRPr="00D13D41">
        <w:rPr>
          <w:i/>
        </w:rPr>
        <w:t>secundum rationem productionis</w:t>
      </w:r>
      <w:r w:rsidR="00A85EE1">
        <w:rPr>
          <w:iCs/>
        </w:rPr>
        <w:t>)</w:t>
      </w:r>
      <w:r w:rsidR="00A85EE1" w:rsidRPr="00273106">
        <w:rPr>
          <w:iCs/>
        </w:rPr>
        <w:t>.</w:t>
      </w:r>
      <w:r w:rsidR="00A85EE1">
        <w:rPr>
          <w:iCs/>
        </w:rPr>
        <w:t xml:space="preserve"> Po smrti moderního boha</w:t>
      </w:r>
      <w:r w:rsidR="00A85EE1">
        <w:rPr>
          <w:color w:val="000000"/>
        </w:rPr>
        <w:fldChar w:fldCharType="begin"/>
      </w:r>
      <w:r w:rsidR="00A85EE1">
        <w:instrText xml:space="preserve"> XE "smrt boha" </w:instrText>
      </w:r>
      <w:r w:rsidR="00A85EE1">
        <w:rPr>
          <w:color w:val="000000"/>
        </w:rPr>
        <w:fldChar w:fldCharType="end"/>
      </w:r>
      <w:r w:rsidR="00A85EE1">
        <w:rPr>
          <w:iCs/>
        </w:rPr>
        <w:t xml:space="preserve"> se objektivita stala </w:t>
      </w:r>
      <w:r w:rsidR="00A85EE1" w:rsidRPr="00273106">
        <w:rPr>
          <w:iCs/>
        </w:rPr>
        <w:t>čistě lidským kapitálem</w:t>
      </w:r>
      <w:r w:rsidR="00A85EE1">
        <w:rPr>
          <w:iCs/>
        </w:rPr>
        <w:t xml:space="preserve">. </w:t>
      </w:r>
      <w:r w:rsidR="002326ED">
        <w:rPr>
          <w:iCs/>
        </w:rPr>
        <w:t>Postm</w:t>
      </w:r>
      <w:r w:rsidR="002326ED">
        <w:t>oderně stačí k vytvoření jednoty světa matematika</w:t>
      </w:r>
      <w:r w:rsidR="002326ED">
        <w:fldChar w:fldCharType="begin"/>
      </w:r>
      <w:r w:rsidR="002326ED">
        <w:instrText xml:space="preserve"> XE "</w:instrText>
      </w:r>
      <w:r w:rsidR="002326ED" w:rsidRPr="00DC040D">
        <w:instrText>matematika</w:instrText>
      </w:r>
      <w:r w:rsidR="002326ED">
        <w:instrText xml:space="preserve">" </w:instrText>
      </w:r>
      <w:r w:rsidR="002326ED">
        <w:fldChar w:fldCharType="end"/>
      </w:r>
      <w:r w:rsidR="002326ED">
        <w:t xml:space="preserve"> a formální logika, což v nihilistické etapě metafyziky završil neopozitivismus, který zrušil metaf</w:t>
      </w:r>
      <w:r w:rsidR="00B46C14">
        <w:t>yziku jako zbytečnou spekulaci.</w:t>
      </w:r>
    </w:p>
    <w:p w:rsidR="00871EB6" w:rsidRDefault="08163013" w:rsidP="003349AD">
      <w:pPr>
        <w:ind w:firstLine="397"/>
      </w:pPr>
      <w:r>
        <w:t>Scotus zasáhl do gigantomachie o moderní substanci a objektivitu zásadním a finálním způsobem. Proto je třeba určit jeho roli při utváření počátku pozitivních dějin objektivní metafyziky (</w:t>
      </w:r>
      <w:r w:rsidRPr="08FC49EC">
        <w:rPr>
          <w:i/>
        </w:rPr>
        <w:t>Beginn</w:t>
      </w:r>
      <w:r>
        <w:t xml:space="preserve">). </w:t>
      </w:r>
      <w:r w:rsidR="00975447" w:rsidRPr="00975447">
        <w:t xml:space="preserve">Scotus </w:t>
      </w:r>
      <w:r w:rsidR="00975447">
        <w:t xml:space="preserve">měl před sebou </w:t>
      </w:r>
      <w:r w:rsidR="00975447" w:rsidRPr="00975447">
        <w:t>zásadní</w:t>
      </w:r>
      <w:r w:rsidR="00975447">
        <w:t xml:space="preserve"> nedostatky moderny</w:t>
      </w:r>
      <w:r w:rsidR="00975447" w:rsidRPr="00975447">
        <w:t>, protože studoval všechny protichůdné pokusy hlavních př</w:t>
      </w:r>
      <w:r w:rsidR="00736972">
        <w:t xml:space="preserve">edstavitelů druhého averroismu. </w:t>
      </w:r>
      <w:r w:rsidR="00FF5DD0">
        <w:t>Scotus z</w:t>
      </w:r>
      <w:r w:rsidR="00FF5DD0" w:rsidRPr="00273106">
        <w:t>ásadně pře</w:t>
      </w:r>
      <w:r w:rsidR="00FF5DD0">
        <w:t>pracoval</w:t>
      </w:r>
      <w:r w:rsidR="00FF5DD0" w:rsidRPr="00273106">
        <w:t xml:space="preserve"> ontoteologickou stavbu dokončenou </w:t>
      </w:r>
      <w:r w:rsidR="00FF5DD0">
        <w:rPr>
          <w:szCs w:val="24"/>
          <w:lang w:val="de-DE"/>
        </w:rPr>
        <w:t xml:space="preserve">Gandavem jako </w:t>
      </w:r>
      <w:r w:rsidR="00FF5DD0" w:rsidRPr="00273106">
        <w:t xml:space="preserve">posledním velkým představitelem druhého averroismu, který </w:t>
      </w:r>
      <w:r w:rsidR="00FF5DD0">
        <w:t xml:space="preserve">s Aegidiem aktivně připravoval pařížské </w:t>
      </w:r>
      <w:r w:rsidR="00FF5DD0" w:rsidRPr="00273106">
        <w:t xml:space="preserve">odsouzení </w:t>
      </w:r>
      <w:r w:rsidR="00FF5DD0">
        <w:t xml:space="preserve">roku </w:t>
      </w:r>
      <w:r w:rsidR="00FF5DD0" w:rsidRPr="00273106">
        <w:t>1277</w:t>
      </w:r>
      <w:r w:rsidR="00FF5DD0">
        <w:fldChar w:fldCharType="begin"/>
      </w:r>
      <w:r w:rsidR="00FF5DD0">
        <w:instrText xml:space="preserve"> XE "</w:instrText>
      </w:r>
      <w:r w:rsidR="00FF5DD0" w:rsidRPr="0073188B">
        <w:instrText>odsouzení 1277</w:instrText>
      </w:r>
      <w:r w:rsidR="00FF5DD0">
        <w:instrText xml:space="preserve">" </w:instrText>
      </w:r>
      <w:r w:rsidR="00FF5DD0">
        <w:fldChar w:fldCharType="end"/>
      </w:r>
      <w:r w:rsidR="00FF5DD0" w:rsidRPr="00273106">
        <w:t xml:space="preserve">. </w:t>
      </w:r>
      <w:r w:rsidR="00061023">
        <w:t xml:space="preserve">Scotus </w:t>
      </w:r>
      <w:r w:rsidR="003757DA">
        <w:t xml:space="preserve">byl </w:t>
      </w:r>
      <w:r w:rsidR="00736972">
        <w:t>f</w:t>
      </w:r>
      <w:r w:rsidR="00736972">
        <w:rPr>
          <w:iCs/>
        </w:rPr>
        <w:t xml:space="preserve">rantiškářský terciář </w:t>
      </w:r>
      <w:r w:rsidR="003757DA">
        <w:rPr>
          <w:iCs/>
        </w:rPr>
        <w:t xml:space="preserve">a </w:t>
      </w:r>
      <w:r w:rsidR="00736972">
        <w:rPr>
          <w:iCs/>
        </w:rPr>
        <w:t>působil</w:t>
      </w:r>
      <w:r w:rsidRPr="00273106">
        <w:rPr>
          <w:iCs/>
        </w:rPr>
        <w:t xml:space="preserve"> kolem 1290‒1300 jako </w:t>
      </w:r>
      <w:r w:rsidRPr="00273106">
        <w:rPr>
          <w:i/>
          <w:iCs/>
        </w:rPr>
        <w:t>sententiarius</w:t>
      </w:r>
      <w:r w:rsidR="003757DA">
        <w:rPr>
          <w:iCs/>
        </w:rPr>
        <w:t xml:space="preserve"> na Oxfordu; jako </w:t>
      </w:r>
      <w:r w:rsidRPr="00273106">
        <w:rPr>
          <w:i/>
        </w:rPr>
        <w:t>baccalarus formatus</w:t>
      </w:r>
      <w:r w:rsidR="00736972">
        <w:rPr>
          <w:iCs/>
        </w:rPr>
        <w:t xml:space="preserve"> odešel</w:t>
      </w:r>
      <w:r w:rsidRPr="00273106">
        <w:rPr>
          <w:iCs/>
        </w:rPr>
        <w:t xml:space="preserve"> studovat a přednášet do Paříže v bouřlivých univerzitních letech 1302‒1307</w:t>
      </w:r>
      <w:r w:rsidR="003349AD">
        <w:rPr>
          <w:iCs/>
        </w:rPr>
        <w:t xml:space="preserve">; </w:t>
      </w:r>
      <w:r>
        <w:rPr>
          <w:iCs/>
        </w:rPr>
        <w:t>magistrem teologie</w:t>
      </w:r>
      <w:r w:rsidRPr="083F3E55">
        <w:rPr>
          <w:iCs/>
        </w:rPr>
        <w:t xml:space="preserve"> </w:t>
      </w:r>
      <w:r>
        <w:rPr>
          <w:iCs/>
        </w:rPr>
        <w:t>se stal asi roku 1305</w:t>
      </w:r>
      <w:r w:rsidR="00936CD3">
        <w:rPr>
          <w:iCs/>
        </w:rPr>
        <w:t xml:space="preserve">. </w:t>
      </w:r>
      <w:r w:rsidRPr="00273106">
        <w:t xml:space="preserve">Oxfordský logik a metafyzik poplatný tamější </w:t>
      </w:r>
      <w:r w:rsidR="00F300AF">
        <w:t xml:space="preserve">škole druhého averroismu vysoce </w:t>
      </w:r>
      <w:r>
        <w:t>respekt</w:t>
      </w:r>
      <w:r w:rsidR="00F300AF">
        <w:t xml:space="preserve">oval tomismus </w:t>
      </w:r>
      <w:r>
        <w:t>pařížsk</w:t>
      </w:r>
      <w:r w:rsidR="00F300AF">
        <w:t xml:space="preserve">ých </w:t>
      </w:r>
      <w:r w:rsidR="00482CB2">
        <w:t xml:space="preserve">a oxfordských </w:t>
      </w:r>
      <w:r>
        <w:t>avicennist</w:t>
      </w:r>
      <w:r w:rsidR="00F300AF">
        <w:t>ů.</w:t>
      </w:r>
      <w:r w:rsidR="00C8717F">
        <w:t xml:space="preserve"> </w:t>
      </w:r>
      <w:r w:rsidR="00C8717F">
        <w:rPr>
          <w:iCs/>
        </w:rPr>
        <w:t>Duns Scotus provedl</w:t>
      </w:r>
      <w:r w:rsidR="00C8717F" w:rsidRPr="00273106">
        <w:rPr>
          <w:iCs/>
        </w:rPr>
        <w:t xml:space="preserve"> revizi Henryho ontoteologie </w:t>
      </w:r>
      <w:r w:rsidR="00C8717F">
        <w:rPr>
          <w:iCs/>
        </w:rPr>
        <w:t xml:space="preserve">a převedl ji </w:t>
      </w:r>
      <w:r w:rsidR="00C8717F" w:rsidRPr="00273106">
        <w:rPr>
          <w:iCs/>
        </w:rPr>
        <w:t>na novou formu metafyziky.</w:t>
      </w:r>
      <w:r w:rsidR="003349AD">
        <w:t xml:space="preserve"> </w:t>
      </w:r>
      <w:r w:rsidR="003349AD" w:rsidRPr="003349AD">
        <w:t xml:space="preserve">Scotus </w:t>
      </w:r>
      <w:r w:rsidR="003349AD">
        <w:t>j</w:t>
      </w:r>
      <w:r w:rsidR="003349AD" w:rsidRPr="003349AD">
        <w:t xml:space="preserve">ako první moderní metafyzik odmítl </w:t>
      </w:r>
      <w:r w:rsidR="003349AD">
        <w:rPr>
          <w:rStyle w:val="TextpoznpodarouChar"/>
        </w:rPr>
        <w:t>augustiniánské exemplary</w:t>
      </w:r>
      <w:r w:rsidR="003349AD" w:rsidRPr="00273106">
        <w:rPr>
          <w:rStyle w:val="TextpoznpodarouChar"/>
        </w:rPr>
        <w:t xml:space="preserve"> </w:t>
      </w:r>
      <w:r w:rsidR="003349AD" w:rsidRPr="003349AD">
        <w:t>a neopla</w:t>
      </w:r>
      <w:r w:rsidR="003349AD">
        <w:t>tónské emanace, které přepracoval Avicenna</w:t>
      </w:r>
      <w:r w:rsidR="003349AD" w:rsidRPr="003349AD">
        <w:t xml:space="preserve">. </w:t>
      </w:r>
      <w:r w:rsidR="006438A5">
        <w:t>P</w:t>
      </w:r>
      <w:r w:rsidR="003349AD" w:rsidRPr="003349AD">
        <w:t>řevzal Gandavovu objektivní metafyziku a přetvořil ji na první filozofii, která vycházela z avicenovské</w:t>
      </w:r>
      <w:r w:rsidR="003349AD">
        <w:t xml:space="preserve">ho tomismu založeného Aegidiem. </w:t>
      </w:r>
      <w:r>
        <w:rPr>
          <w:rStyle w:val="TextpoznpodarouChar"/>
        </w:rPr>
        <w:t xml:space="preserve">Druhý averroismus </w:t>
      </w:r>
      <w:r w:rsidRPr="00273106">
        <w:rPr>
          <w:rStyle w:val="TextpoznpodarouChar"/>
        </w:rPr>
        <w:t>nenašel</w:t>
      </w:r>
      <w:r w:rsidRPr="00B65026">
        <w:rPr>
          <w:rStyle w:val="TextpoznpodarouChar"/>
        </w:rPr>
        <w:t xml:space="preserve"> </w:t>
      </w:r>
      <w:r>
        <w:rPr>
          <w:rStyle w:val="TextpoznpodarouChar"/>
        </w:rPr>
        <w:t>plnou j</w:t>
      </w:r>
      <w:r w:rsidRPr="00273106">
        <w:rPr>
          <w:rStyle w:val="TextpoznpodarouChar"/>
        </w:rPr>
        <w:t xml:space="preserve">ednotu jsoucího, zato Scotus ano. Otázka zní, jakou </w:t>
      </w:r>
      <w:r>
        <w:rPr>
          <w:rStyle w:val="TextpoznpodarouChar"/>
        </w:rPr>
        <w:t xml:space="preserve">filosofickou </w:t>
      </w:r>
      <w:r w:rsidRPr="00273106">
        <w:rPr>
          <w:rStyle w:val="TextpoznpodarouChar"/>
        </w:rPr>
        <w:t xml:space="preserve">cenu za to </w:t>
      </w:r>
      <w:r>
        <w:rPr>
          <w:rStyle w:val="TextpoznpodarouChar"/>
        </w:rPr>
        <w:t>zaplatil</w:t>
      </w:r>
      <w:r w:rsidRPr="00273106">
        <w:rPr>
          <w:rStyle w:val="TextpoznpodarouChar"/>
        </w:rPr>
        <w:t xml:space="preserve">. </w:t>
      </w:r>
      <w:r>
        <w:rPr>
          <w:rStyle w:val="TextpoznpodarouChar"/>
        </w:rPr>
        <w:t>Nová j</w:t>
      </w:r>
      <w:r>
        <w:t xml:space="preserve">ednota bytí jsoucna začíná od logické a esenciální abstrakce, a </w:t>
      </w:r>
      <w:r w:rsidRPr="00273106">
        <w:t xml:space="preserve">nikoliv </w:t>
      </w:r>
      <w:r>
        <w:t xml:space="preserve">od </w:t>
      </w:r>
      <w:r w:rsidRPr="00273106">
        <w:t>poznání reálné první substance.</w:t>
      </w:r>
      <w:r>
        <w:t xml:space="preserve"> Scotus vyšel z Avicennovy metafyziky založené na pojetí jsoucna v modu </w:t>
      </w:r>
      <w:r w:rsidRPr="00BA1967">
        <w:rPr>
          <w:i/>
        </w:rPr>
        <w:t>ens inquantum ens</w:t>
      </w:r>
      <w:r>
        <w:rPr>
          <w:i/>
        </w:rPr>
        <w:fldChar w:fldCharType="begin"/>
      </w:r>
      <w:r>
        <w:instrText xml:space="preserve"> XE "</w:instrText>
      </w:r>
      <w:r w:rsidRPr="005424E2">
        <w:rPr>
          <w:i/>
        </w:rPr>
        <w:instrText>ens inquantum ens</w:instrText>
      </w:r>
      <w:r>
        <w:instrText xml:space="preserve">" </w:instrText>
      </w:r>
      <w:r>
        <w:rPr>
          <w:i/>
        </w:rPr>
        <w:fldChar w:fldCharType="end"/>
      </w:r>
      <w:r>
        <w:t xml:space="preserve"> a přesadil ji do nové formy kategoriální predikace</w:t>
      </w:r>
      <w:r w:rsidRPr="00273106">
        <w:t xml:space="preserve">. </w:t>
      </w:r>
      <w:r>
        <w:t xml:space="preserve">Tato forma jednoty </w:t>
      </w:r>
      <w:r w:rsidRPr="00273106">
        <w:t xml:space="preserve">z principu </w:t>
      </w:r>
      <w:r>
        <w:t xml:space="preserve">nepojímá do objektivní jednoty nic reálně jsoucího, protože </w:t>
      </w:r>
      <w:r w:rsidRPr="00273106">
        <w:t xml:space="preserve">forma abstrakce </w:t>
      </w:r>
      <w:r>
        <w:t xml:space="preserve">jako avicennovského </w:t>
      </w:r>
      <w:r w:rsidRPr="00175D10">
        <w:rPr>
          <w:i/>
        </w:rPr>
        <w:t>denudatio</w:t>
      </w:r>
      <w:r>
        <w:rPr>
          <w:i/>
        </w:rPr>
        <w:fldChar w:fldCharType="begin"/>
      </w:r>
      <w:r>
        <w:instrText xml:space="preserve"> XE "</w:instrText>
      </w:r>
      <w:r w:rsidRPr="00C23100">
        <w:rPr>
          <w:i/>
        </w:rPr>
        <w:instrText>denudatio</w:instrText>
      </w:r>
      <w:r>
        <w:instrText xml:space="preserve">:Scotus" </w:instrText>
      </w:r>
      <w:r>
        <w:rPr>
          <w:i/>
        </w:rPr>
        <w:fldChar w:fldCharType="end"/>
      </w:r>
      <w:r>
        <w:t xml:space="preserve"> </w:t>
      </w:r>
      <w:r w:rsidRPr="00273106">
        <w:t>je čistě formální</w:t>
      </w:r>
      <w:r>
        <w:t xml:space="preserve"> a esenciální</w:t>
      </w:r>
      <w:r w:rsidRPr="00273106">
        <w:t>. První věda o jsoucnu rezignovala na hledání skutečné jednoty</w:t>
      </w:r>
      <w:r>
        <w:t xml:space="preserve"> prvních substancí a začal jej</w:t>
      </w:r>
      <w:r w:rsidR="00F42224">
        <w:t xml:space="preserve">í zánik dokonaný v postmoderně. </w:t>
      </w:r>
      <w:r>
        <w:rPr>
          <w:iCs/>
        </w:rPr>
        <w:t>Scotus zrušil</w:t>
      </w:r>
      <w:r w:rsidRPr="00273106">
        <w:rPr>
          <w:iCs/>
        </w:rPr>
        <w:t xml:space="preserve"> Gandavovu formu ontoteologické analogie jsoucna, protože je postavena na dvou chybných předpokladech. Za prvé. </w:t>
      </w:r>
      <w:r>
        <w:rPr>
          <w:iCs/>
        </w:rPr>
        <w:t>Analogie</w:t>
      </w:r>
      <w:r w:rsidRPr="00273106">
        <w:rPr>
          <w:iCs/>
        </w:rPr>
        <w:t xml:space="preserve"> jsoucna </w:t>
      </w:r>
      <w:r>
        <w:rPr>
          <w:iCs/>
        </w:rPr>
        <w:t xml:space="preserve">stojí </w:t>
      </w:r>
      <w:r w:rsidRPr="00273106">
        <w:rPr>
          <w:iCs/>
        </w:rPr>
        <w:t>na kategoriální predikaci vztahu a habitu</w:t>
      </w:r>
      <w:r>
        <w:rPr>
          <w:iCs/>
        </w:rPr>
        <w:t>, které Gandavus hypostázoval na neoplatonský způso</w:t>
      </w:r>
      <w:r w:rsidR="00EE3A81">
        <w:rPr>
          <w:iCs/>
        </w:rPr>
        <w:t>b</w:t>
      </w:r>
      <w:r>
        <w:rPr>
          <w:iCs/>
        </w:rPr>
        <w:t>. Akcidentální predikace představuje z hlediska aristotelské kategoriální predikace</w:t>
      </w:r>
      <w:r w:rsidRPr="00273106">
        <w:rPr>
          <w:iCs/>
        </w:rPr>
        <w:t xml:space="preserve"> </w:t>
      </w:r>
      <w:r>
        <w:rPr>
          <w:iCs/>
        </w:rPr>
        <w:t>nedostatečnou formu</w:t>
      </w:r>
      <w:r w:rsidRPr="00273106">
        <w:rPr>
          <w:iCs/>
        </w:rPr>
        <w:t xml:space="preserve"> </w:t>
      </w:r>
      <w:r w:rsidRPr="00273106">
        <w:rPr>
          <w:iCs/>
        </w:rPr>
        <w:lastRenderedPageBreak/>
        <w:t>jednoty jsoucího</w:t>
      </w:r>
      <w:r>
        <w:rPr>
          <w:iCs/>
        </w:rPr>
        <w:t xml:space="preserve">, protože je dána pouze v modu </w:t>
      </w:r>
      <w:r w:rsidRPr="086C6367">
        <w:rPr>
          <w:i/>
          <w:iCs/>
        </w:rPr>
        <w:t>per posterius</w:t>
      </w:r>
      <w:r>
        <w:rPr>
          <w:iCs/>
        </w:rPr>
        <w:t xml:space="preserve"> a potřebuje bytí druhé substance</w:t>
      </w:r>
      <w:r w:rsidRPr="00273106">
        <w:rPr>
          <w:iCs/>
        </w:rPr>
        <w:t xml:space="preserve">. První krok Scota </w:t>
      </w:r>
      <w:r>
        <w:rPr>
          <w:iCs/>
        </w:rPr>
        <w:t xml:space="preserve">proto </w:t>
      </w:r>
      <w:r w:rsidRPr="00273106">
        <w:rPr>
          <w:iCs/>
        </w:rPr>
        <w:t>zruší Gandavovu ontoteologii</w:t>
      </w:r>
      <w:r>
        <w:rPr>
          <w:iCs/>
        </w:rPr>
        <w:fldChar w:fldCharType="begin"/>
      </w:r>
      <w:r>
        <w:instrText xml:space="preserve"> XE "</w:instrText>
      </w:r>
      <w:r w:rsidRPr="00A45678">
        <w:rPr>
          <w:rStyle w:val="addmd"/>
        </w:rPr>
        <w:instrText>ontoteologie:</w:instrText>
      </w:r>
      <w:r>
        <w:rPr>
          <w:rStyle w:val="addmd"/>
        </w:rPr>
        <w:instrText>Gandavus</w:instrText>
      </w:r>
      <w:r>
        <w:instrText xml:space="preserve">" </w:instrText>
      </w:r>
      <w:r>
        <w:rPr>
          <w:iCs/>
        </w:rPr>
        <w:fldChar w:fldCharType="end"/>
      </w:r>
      <w:r w:rsidRPr="00273106">
        <w:rPr>
          <w:iCs/>
        </w:rPr>
        <w:t xml:space="preserve">, </w:t>
      </w:r>
      <w:r>
        <w:rPr>
          <w:iCs/>
        </w:rPr>
        <w:t xml:space="preserve">která </w:t>
      </w:r>
      <w:r w:rsidRPr="00273106">
        <w:rPr>
          <w:iCs/>
        </w:rPr>
        <w:t>vychází z chybně pojaté</w:t>
      </w:r>
      <w:r>
        <w:rPr>
          <w:iCs/>
        </w:rPr>
        <w:t>ho</w:t>
      </w:r>
      <w:r w:rsidRPr="00273106">
        <w:rPr>
          <w:iCs/>
        </w:rPr>
        <w:t xml:space="preserve"> modu </w:t>
      </w:r>
      <w:r>
        <w:rPr>
          <w:iCs/>
        </w:rPr>
        <w:t>analogie na úrovni akcidentálních určení jsoucna</w:t>
      </w:r>
      <w:r w:rsidRPr="00273106">
        <w:rPr>
          <w:iCs/>
        </w:rPr>
        <w:t>. Za druhé. Ontoteologická forma analogie vložila kategoriálně založenou podobnost jsoucna přímo do sféry boží subjektivity a univočně spojila boha a stvoření</w:t>
      </w:r>
      <w:r>
        <w:rPr>
          <w:iCs/>
        </w:rPr>
        <w:t xml:space="preserve"> v modu </w:t>
      </w:r>
      <w:r w:rsidR="00506666">
        <w:rPr>
          <w:iCs/>
        </w:rPr>
        <w:t>„</w:t>
      </w:r>
      <w:r>
        <w:rPr>
          <w:iCs/>
        </w:rPr>
        <w:t>substance‒akcident</w:t>
      </w:r>
      <w:r w:rsidR="00506666">
        <w:rPr>
          <w:iCs/>
        </w:rPr>
        <w:t>“</w:t>
      </w:r>
      <w:r w:rsidRPr="00273106">
        <w:rPr>
          <w:iCs/>
        </w:rPr>
        <w:t xml:space="preserve">. </w:t>
      </w:r>
      <w:r>
        <w:rPr>
          <w:iCs/>
        </w:rPr>
        <w:t>Scotus pod vlivem oxfordského a pařížského tomismu vidí, že v Gandavově ontoteologické stavbě jsoucna nevyhnutelně vznikla forma objektivní komitace</w:t>
      </w:r>
      <w:r>
        <w:rPr>
          <w:iCs/>
        </w:rPr>
        <w:fldChar w:fldCharType="begin"/>
      </w:r>
      <w:r>
        <w:instrText xml:space="preserve"> XE "</w:instrText>
      </w:r>
      <w:r w:rsidRPr="00D367A7">
        <w:rPr>
          <w:iCs/>
        </w:rPr>
        <w:instrText>komitace</w:instrText>
      </w:r>
      <w:r>
        <w:instrText xml:space="preserve">" </w:instrText>
      </w:r>
      <w:r>
        <w:rPr>
          <w:iCs/>
        </w:rPr>
        <w:fldChar w:fldCharType="end"/>
      </w:r>
      <w:r>
        <w:rPr>
          <w:iCs/>
        </w:rPr>
        <w:t xml:space="preserve"> forem podle Avicenny. </w:t>
      </w:r>
      <w:r w:rsidRPr="00273106">
        <w:rPr>
          <w:iCs/>
        </w:rPr>
        <w:t>To je nepřijatelné, protože nekonečný bůh nemůže přecházet do světa skrze emanaci</w:t>
      </w:r>
      <w:r>
        <w:rPr>
          <w:iCs/>
        </w:rPr>
        <w:fldChar w:fldCharType="begin"/>
      </w:r>
      <w:r>
        <w:instrText xml:space="preserve"> XE "</w:instrText>
      </w:r>
      <w:r w:rsidRPr="00185309">
        <w:rPr>
          <w:iCs/>
        </w:rPr>
        <w:instrText>emanace</w:instrText>
      </w:r>
      <w:r>
        <w:instrText xml:space="preserve">" </w:instrText>
      </w:r>
      <w:r>
        <w:rPr>
          <w:iCs/>
        </w:rPr>
        <w:fldChar w:fldCharType="end"/>
      </w:r>
      <w:r w:rsidRPr="00273106">
        <w:rPr>
          <w:iCs/>
        </w:rPr>
        <w:t xml:space="preserve"> své podstaty</w:t>
      </w:r>
      <w:r>
        <w:rPr>
          <w:iCs/>
        </w:rPr>
        <w:t>,</w:t>
      </w:r>
      <w:r w:rsidRPr="00273106">
        <w:rPr>
          <w:iCs/>
        </w:rPr>
        <w:t xml:space="preserve"> </w:t>
      </w:r>
      <w:r>
        <w:rPr>
          <w:iCs/>
        </w:rPr>
        <w:t xml:space="preserve">a to </w:t>
      </w:r>
      <w:r w:rsidRPr="00273106">
        <w:rPr>
          <w:iCs/>
        </w:rPr>
        <w:t>ani v nepřímé formě</w:t>
      </w:r>
      <w:r>
        <w:rPr>
          <w:iCs/>
        </w:rPr>
        <w:t xml:space="preserve"> intencionální a exemplární aktivity</w:t>
      </w:r>
      <w:r w:rsidRPr="00273106">
        <w:rPr>
          <w:iCs/>
        </w:rPr>
        <w:t xml:space="preserve"> jak</w:t>
      </w:r>
      <w:r>
        <w:rPr>
          <w:iCs/>
        </w:rPr>
        <w:t>o</w:t>
      </w:r>
      <w:r w:rsidRPr="00273106">
        <w:rPr>
          <w:iCs/>
        </w:rPr>
        <w:t xml:space="preserve"> to měl Gandavus. Druhý krok Scota </w:t>
      </w:r>
      <w:r>
        <w:rPr>
          <w:iCs/>
        </w:rPr>
        <w:t xml:space="preserve">proto </w:t>
      </w:r>
      <w:r w:rsidRPr="00273106">
        <w:rPr>
          <w:iCs/>
        </w:rPr>
        <w:t xml:space="preserve">provede dedukci základních významů jsoucna mimo boží subjektivitu. </w:t>
      </w:r>
      <w:r>
        <w:rPr>
          <w:iCs/>
        </w:rPr>
        <w:t xml:space="preserve">Nová forma objektivní dedukce sleduje linii Avicennovy metafyziky, která dostala striktní aristotelskou formu. </w:t>
      </w:r>
      <w:r>
        <w:rPr>
          <w:rStyle w:val="TextpoznpodarouChar"/>
        </w:rPr>
        <w:t xml:space="preserve">Ale </w:t>
      </w:r>
      <w:r w:rsidR="001B5E4F">
        <w:rPr>
          <w:rStyle w:val="TextpoznpodarouChar"/>
        </w:rPr>
        <w:t xml:space="preserve">moderní </w:t>
      </w:r>
      <w:r>
        <w:rPr>
          <w:rStyle w:val="TextpoznpodarouChar"/>
        </w:rPr>
        <w:t xml:space="preserve">bůh není v modu </w:t>
      </w:r>
      <w:r w:rsidRPr="007351E4">
        <w:rPr>
          <w:rStyle w:val="TextpoznpodarouChar"/>
          <w:i/>
        </w:rPr>
        <w:t>per prius</w:t>
      </w:r>
      <w:r>
        <w:rPr>
          <w:rStyle w:val="TextpoznpodarouChar"/>
        </w:rPr>
        <w:t xml:space="preserve"> definován skrze kauzalitu jako v prvním averroismu, ale skrze objektivně určenou potenci jsoucna. </w:t>
      </w:r>
      <w:r>
        <w:rPr>
          <w:iCs/>
        </w:rPr>
        <w:t xml:space="preserve">Výstavba nové metafyziky </w:t>
      </w:r>
      <w:r>
        <w:rPr>
          <w:rStyle w:val="TextpoznpodarouChar"/>
        </w:rPr>
        <w:t>nejde</w:t>
      </w:r>
      <w:r w:rsidRPr="00273106">
        <w:rPr>
          <w:rStyle w:val="TextpoznpodarouChar"/>
        </w:rPr>
        <w:t xml:space="preserve"> od</w:t>
      </w:r>
      <w:r>
        <w:rPr>
          <w:rStyle w:val="TextpoznpodarouChar"/>
        </w:rPr>
        <w:t xml:space="preserve"> </w:t>
      </w:r>
      <w:r w:rsidR="001B5E4F">
        <w:rPr>
          <w:rStyle w:val="TextpoznpodarouChar"/>
        </w:rPr>
        <w:t>„</w:t>
      </w:r>
      <w:r w:rsidRPr="00BC51DF">
        <w:rPr>
          <w:rStyle w:val="TextpoznpodarouChar"/>
          <w:i/>
        </w:rPr>
        <w:t>esse ad</w:t>
      </w:r>
      <w:r w:rsidR="001B5E4F">
        <w:rPr>
          <w:rStyle w:val="TextpoznpodarouChar"/>
          <w:i/>
        </w:rPr>
        <w:t>“</w:t>
      </w:r>
      <w:r>
        <w:rPr>
          <w:rStyle w:val="TextpoznpodarouChar"/>
          <w:i/>
        </w:rPr>
        <w:fldChar w:fldCharType="begin"/>
      </w:r>
      <w:r>
        <w:instrText xml:space="preserve"> XE "</w:instrText>
      </w:r>
      <w:r w:rsidRPr="008F3381">
        <w:rPr>
          <w:i/>
        </w:rPr>
        <w:instrText xml:space="preserve">esse </w:instrText>
      </w:r>
      <w:proofErr w:type="gramStart"/>
      <w:r w:rsidRPr="008F3381">
        <w:rPr>
          <w:i/>
        </w:rPr>
        <w:instrText>ad</w:instrText>
      </w:r>
      <w:proofErr w:type="gramEnd"/>
      <w:r w:rsidRPr="008F3381">
        <w:rPr>
          <w:i/>
        </w:rPr>
        <w:instrText>:</w:instrText>
      </w:r>
      <w:r w:rsidRPr="000657CD">
        <w:instrText>Gandavus</w:instrText>
      </w:r>
      <w:r>
        <w:instrText xml:space="preserve">" </w:instrText>
      </w:r>
      <w:r>
        <w:rPr>
          <w:rStyle w:val="TextpoznpodarouChar"/>
          <w:i/>
        </w:rPr>
        <w:fldChar w:fldCharType="end"/>
      </w:r>
      <w:r w:rsidR="001B5E4F">
        <w:rPr>
          <w:rStyle w:val="TextpoznpodarouChar"/>
        </w:rPr>
        <w:t xml:space="preserve"> daného v boží intencionalitě. Z</w:t>
      </w:r>
      <w:r w:rsidRPr="00273106">
        <w:rPr>
          <w:rStyle w:val="TextpoznpodarouChar"/>
        </w:rPr>
        <w:t>ákladní</w:t>
      </w:r>
      <w:r w:rsidR="001B5E4F">
        <w:rPr>
          <w:rStyle w:val="TextpoznpodarouChar"/>
        </w:rPr>
        <w:t xml:space="preserve"> určení jsoucna </w:t>
      </w:r>
      <w:r w:rsidRPr="00273106">
        <w:rPr>
          <w:rStyle w:val="TextpoznpodarouChar"/>
        </w:rPr>
        <w:t xml:space="preserve">je dáno </w:t>
      </w:r>
      <w:r w:rsidRPr="00273106">
        <w:rPr>
          <w:rStyle w:val="TextpoznpodarouChar"/>
          <w:i/>
        </w:rPr>
        <w:t>simpliciter</w:t>
      </w:r>
      <w:r>
        <w:rPr>
          <w:rStyle w:val="TextpoznpodarouChar"/>
        </w:rPr>
        <w:t xml:space="preserve"> jako Avicennovo </w:t>
      </w:r>
      <w:r w:rsidRPr="00273106">
        <w:rPr>
          <w:i/>
        </w:rPr>
        <w:t>ens inquantum ens</w:t>
      </w:r>
      <w:r>
        <w:rPr>
          <w:i/>
        </w:rPr>
        <w:fldChar w:fldCharType="begin"/>
      </w:r>
      <w:r>
        <w:instrText xml:space="preserve"> XE "</w:instrText>
      </w:r>
      <w:r w:rsidRPr="00AC2446">
        <w:rPr>
          <w:i/>
        </w:rPr>
        <w:instrText>ens inquantum ens</w:instrText>
      </w:r>
      <w:r>
        <w:instrText xml:space="preserve">" </w:instrText>
      </w:r>
      <w:r>
        <w:rPr>
          <w:i/>
        </w:rPr>
        <w:fldChar w:fldCharType="end"/>
      </w:r>
      <w:r>
        <w:t xml:space="preserve">. </w:t>
      </w:r>
      <w:r>
        <w:rPr>
          <w:rStyle w:val="TextpoznpodarouChar"/>
        </w:rPr>
        <w:t xml:space="preserve">Tím zmizelo napětí mezi objektivní boží </w:t>
      </w:r>
      <w:r w:rsidR="00B15482">
        <w:rPr>
          <w:rStyle w:val="TextpoznpodarouChar"/>
        </w:rPr>
        <w:t xml:space="preserve">reflexí </w:t>
      </w:r>
      <w:r>
        <w:rPr>
          <w:rStyle w:val="TextpoznpodarouChar"/>
        </w:rPr>
        <w:t xml:space="preserve">a esenciální imanencí. </w:t>
      </w:r>
      <w:r w:rsidR="00850054">
        <w:t>Gandavův pojem „</w:t>
      </w:r>
      <w:r w:rsidRPr="00273106">
        <w:rPr>
          <w:i/>
        </w:rPr>
        <w:t>sincera</w:t>
      </w:r>
      <w:r w:rsidRPr="00273106">
        <w:t xml:space="preserve"> </w:t>
      </w:r>
      <w:r w:rsidRPr="00273106">
        <w:rPr>
          <w:i/>
        </w:rPr>
        <w:t>veritas</w:t>
      </w:r>
      <w:r w:rsidR="00850054">
        <w:t>“</w:t>
      </w:r>
      <w:r>
        <w:rPr>
          <w:i/>
        </w:rPr>
        <w:fldChar w:fldCharType="begin"/>
      </w:r>
      <w:r>
        <w:instrText xml:space="preserve"> XE "pravda:</w:instrText>
      </w:r>
      <w:r w:rsidRPr="00F11E76">
        <w:rPr>
          <w:i/>
        </w:rPr>
        <w:instrText>sincera</w:instrText>
      </w:r>
      <w:r w:rsidRPr="00F11E76">
        <w:instrText xml:space="preserve"> </w:instrText>
      </w:r>
      <w:r w:rsidRPr="00F11E76">
        <w:rPr>
          <w:i/>
        </w:rPr>
        <w:instrText>veritas</w:instrText>
      </w:r>
      <w:r>
        <w:instrText xml:space="preserve">" </w:instrText>
      </w:r>
      <w:r>
        <w:rPr>
          <w:i/>
        </w:rPr>
        <w:fldChar w:fldCharType="end"/>
      </w:r>
      <w:r w:rsidRPr="00273106">
        <w:t xml:space="preserve"> zbožné ontoteologie přeš</w:t>
      </w:r>
      <w:r w:rsidR="00850054">
        <w:t>el</w:t>
      </w:r>
      <w:r w:rsidRPr="00273106">
        <w:t xml:space="preserve"> na vítěznou </w:t>
      </w:r>
      <w:r w:rsidRPr="00273106">
        <w:rPr>
          <w:i/>
        </w:rPr>
        <w:t>veritas</w:t>
      </w:r>
      <w:r w:rsidRPr="00273106">
        <w:t xml:space="preserve"> </w:t>
      </w:r>
      <w:r w:rsidR="00FC618F">
        <w:t>objektivní metafyziky</w:t>
      </w:r>
      <w:r w:rsidR="00871EB6">
        <w:t>.</w:t>
      </w:r>
    </w:p>
    <w:p w:rsidR="00497B2E" w:rsidRDefault="08163013" w:rsidP="00497B2E">
      <w:pPr>
        <w:ind w:firstLine="397"/>
      </w:pPr>
      <w:r w:rsidRPr="00273106">
        <w:t xml:space="preserve">První krok na cestě k nové metafyzice ukazují </w:t>
      </w:r>
      <w:r w:rsidRPr="00273106">
        <w:rPr>
          <w:rStyle w:val="addworkinfo"/>
          <w:i/>
        </w:rPr>
        <w:t>Quaestiones super Praedicamenta</w:t>
      </w:r>
      <w:r w:rsidRPr="00273106">
        <w:t xml:space="preserve"> </w:t>
      </w:r>
      <w:r w:rsidRPr="00273106">
        <w:rPr>
          <w:i/>
        </w:rPr>
        <w:t>Aristotelis</w:t>
      </w:r>
      <w:r w:rsidRPr="00273106">
        <w:t xml:space="preserve"> a spisy korpusu </w:t>
      </w:r>
      <w:r w:rsidRPr="00273106">
        <w:rPr>
          <w:i/>
        </w:rPr>
        <w:t>Parva logicalia</w:t>
      </w:r>
      <w:r w:rsidRPr="00273106">
        <w:t xml:space="preserve"> (</w:t>
      </w:r>
      <w:r>
        <w:t>asi</w:t>
      </w:r>
      <w:r w:rsidRPr="00273106">
        <w:t xml:space="preserve"> 1295</w:t>
      </w:r>
      <w:r>
        <w:t xml:space="preserve">). Korpus logických spisů byl redigovaný </w:t>
      </w:r>
      <w:r w:rsidRPr="00273106">
        <w:t xml:space="preserve">pravděpodobně ještě na Oxfordu </w:t>
      </w:r>
      <w:r>
        <w:t xml:space="preserve">v letech </w:t>
      </w:r>
      <w:r w:rsidRPr="00273106">
        <w:t>1298‒99</w:t>
      </w:r>
      <w:r>
        <w:t xml:space="preserve">, </w:t>
      </w:r>
      <w:r w:rsidRPr="00273106">
        <w:t xml:space="preserve">před odchodem </w:t>
      </w:r>
      <w:r>
        <w:t xml:space="preserve">Scota </w:t>
      </w:r>
      <w:r w:rsidRPr="00273106">
        <w:t>do Paříže</w:t>
      </w:r>
      <w:r w:rsidR="00E77F87">
        <w:t xml:space="preserve">. Zde </w:t>
      </w:r>
      <w:r>
        <w:t xml:space="preserve">dokončil klíčové části nové dedukce metafyziky podané </w:t>
      </w:r>
      <w:r w:rsidRPr="00273106">
        <w:t xml:space="preserve">v rámci </w:t>
      </w:r>
      <w:r w:rsidR="008C2D4A" w:rsidRPr="008C2D4A">
        <w:rPr>
          <w:i/>
        </w:rPr>
        <w:t>Lectura I</w:t>
      </w:r>
      <w:r w:rsidR="00E77F87">
        <w:rPr>
          <w:i/>
        </w:rPr>
        <w:t>–</w:t>
      </w:r>
      <w:r w:rsidRPr="00273106">
        <w:rPr>
          <w:i/>
        </w:rPr>
        <w:t>II</w:t>
      </w:r>
      <w:r w:rsidRPr="00273106">
        <w:t xml:space="preserve">. Přednášky z Oxfordu a z Paříže </w:t>
      </w:r>
      <w:r w:rsidR="00C868AC">
        <w:t xml:space="preserve">byly </w:t>
      </w:r>
      <w:r w:rsidRPr="00273106">
        <w:t xml:space="preserve">sebrané do korpusu disputací </w:t>
      </w:r>
      <w:r w:rsidRPr="00273106">
        <w:rPr>
          <w:i/>
        </w:rPr>
        <w:t>Collationes oxonienses et parisienses</w:t>
      </w:r>
      <w:r w:rsidRPr="00273106">
        <w:t xml:space="preserve"> (</w:t>
      </w:r>
      <w:r>
        <w:t>asi</w:t>
      </w:r>
      <w:r w:rsidR="00C868AC">
        <w:t xml:space="preserve"> 1307). Ty </w:t>
      </w:r>
      <w:r w:rsidRPr="00273106">
        <w:t xml:space="preserve">už obsahují systém nové metafyziky. Celou etapu budování nové metafyziky uzavře nedokončená revize díla </w:t>
      </w:r>
      <w:r w:rsidR="008C2D4A" w:rsidRPr="008C2D4A">
        <w:rPr>
          <w:i/>
        </w:rPr>
        <w:t>Ordinatio I</w:t>
      </w:r>
      <w:r w:rsidR="00822221" w:rsidRPr="00822221">
        <w:rPr>
          <w:i/>
        </w:rPr>
        <w:t>–</w:t>
      </w:r>
      <w:r w:rsidRPr="00822221">
        <w:rPr>
          <w:i/>
        </w:rPr>
        <w:t>IV</w:t>
      </w:r>
      <w:r w:rsidRPr="00273106">
        <w:t xml:space="preserve"> a posmrtná redakce spisů </w:t>
      </w:r>
      <w:r w:rsidRPr="00273106">
        <w:rPr>
          <w:i/>
        </w:rPr>
        <w:t xml:space="preserve">Additiones </w:t>
      </w:r>
      <w:r w:rsidRPr="00273106">
        <w:t>a</w:t>
      </w:r>
      <w:r w:rsidRPr="00273106">
        <w:rPr>
          <w:i/>
        </w:rPr>
        <w:t xml:space="preserve"> Theoremata</w:t>
      </w:r>
      <w:r>
        <w:t xml:space="preserve">. V obou posledně zmíněných </w:t>
      </w:r>
      <w:r w:rsidRPr="00273106">
        <w:t xml:space="preserve">dílech předkládají Scotovi žáci kompletní </w:t>
      </w:r>
      <w:r>
        <w:t xml:space="preserve">verzi </w:t>
      </w:r>
      <w:r w:rsidRPr="00273106">
        <w:rPr>
          <w:i/>
        </w:rPr>
        <w:t>scientia transcendens</w:t>
      </w:r>
      <w:r>
        <w:rPr>
          <w:i/>
        </w:rPr>
        <w:fldChar w:fldCharType="begin"/>
      </w:r>
      <w:r>
        <w:instrText xml:space="preserve"> XE "metafyzika:</w:instrText>
      </w:r>
      <w:r w:rsidRPr="004D1E5F">
        <w:rPr>
          <w:i/>
        </w:rPr>
        <w:instrText>scientia transcendens</w:instrText>
      </w:r>
      <w:r>
        <w:instrText xml:space="preserve">" </w:instrText>
      </w:r>
      <w:r>
        <w:rPr>
          <w:i/>
        </w:rPr>
        <w:fldChar w:fldCharType="end"/>
      </w:r>
      <w:r w:rsidRPr="00273106">
        <w:t xml:space="preserve">, kterou jejich mistr nastínil během </w:t>
      </w:r>
      <w:r>
        <w:t xml:space="preserve">svých </w:t>
      </w:r>
      <w:r w:rsidRPr="00273106">
        <w:t>přednášek v Paříži (</w:t>
      </w:r>
      <w:r w:rsidRPr="00273106">
        <w:rPr>
          <w:i/>
        </w:rPr>
        <w:t>Reportata</w:t>
      </w:r>
      <w:r w:rsidRPr="00273106">
        <w:t xml:space="preserve"> </w:t>
      </w:r>
      <w:r w:rsidRPr="00273106">
        <w:rPr>
          <w:i/>
        </w:rPr>
        <w:t>Parisiensia</w:t>
      </w:r>
      <w:r w:rsidR="000D5771">
        <w:t xml:space="preserve">). </w:t>
      </w:r>
      <w:r w:rsidR="000D5771" w:rsidRPr="00273106">
        <w:t xml:space="preserve">Myšlení v rámci </w:t>
      </w:r>
      <w:r w:rsidR="000D5771" w:rsidRPr="00273106">
        <w:rPr>
          <w:i/>
        </w:rPr>
        <w:t>Oxfordian Fallacy</w:t>
      </w:r>
      <w:r w:rsidR="000D5771">
        <w:rPr>
          <w:i/>
        </w:rPr>
        <w:fldChar w:fldCharType="begin"/>
      </w:r>
      <w:r w:rsidR="000D5771">
        <w:instrText xml:space="preserve"> XE "</w:instrText>
      </w:r>
      <w:r w:rsidR="000D5771" w:rsidRPr="0015798D">
        <w:rPr>
          <w:i/>
        </w:rPr>
        <w:instrText>Oxfordian Fallacy:</w:instrText>
      </w:r>
      <w:r w:rsidR="000D5771" w:rsidRPr="00A71A2B">
        <w:instrText>moderna</w:instrText>
      </w:r>
      <w:r w:rsidR="000D5771">
        <w:instrText xml:space="preserve">" </w:instrText>
      </w:r>
      <w:r w:rsidR="000D5771">
        <w:rPr>
          <w:i/>
        </w:rPr>
        <w:fldChar w:fldCharType="end"/>
      </w:r>
      <w:r w:rsidR="000D5771">
        <w:rPr>
          <w:i/>
        </w:rPr>
        <w:t xml:space="preserve"> </w:t>
      </w:r>
      <w:r w:rsidR="000D5771" w:rsidRPr="000D5771">
        <w:t xml:space="preserve">vstoupilo do závěrečné fáze. Objektivita přešla skrze Scotovu metafyziku do plné </w:t>
      </w:r>
      <w:r w:rsidR="000D5771" w:rsidRPr="000D5771">
        <w:rPr>
          <w:i/>
        </w:rPr>
        <w:t>veritas</w:t>
      </w:r>
      <w:r w:rsidR="000D5771" w:rsidRPr="000D5771">
        <w:t xml:space="preserve"> a </w:t>
      </w:r>
      <w:r w:rsidR="000D5771">
        <w:t xml:space="preserve">ustavila </w:t>
      </w:r>
      <w:r w:rsidR="000D5771" w:rsidRPr="000D5771">
        <w:t>druhý počátek metafyziky</w:t>
      </w:r>
      <w:r w:rsidR="000D5771">
        <w:t xml:space="preserve"> (</w:t>
      </w:r>
      <w:r w:rsidR="000D5771" w:rsidRPr="00A71A2B">
        <w:rPr>
          <w:i/>
        </w:rPr>
        <w:t>Beginn</w:t>
      </w:r>
      <w:r w:rsidR="000D5771">
        <w:fldChar w:fldCharType="begin"/>
      </w:r>
      <w:r w:rsidR="000D5771">
        <w:instrText xml:space="preserve"> XE </w:instrText>
      </w:r>
      <w:r w:rsidR="000D5771">
        <w:lastRenderedPageBreak/>
        <w:instrText>"</w:instrText>
      </w:r>
      <w:r w:rsidR="000D5771" w:rsidRPr="00E03AED">
        <w:instrText>metafyzika:</w:instrText>
      </w:r>
      <w:r w:rsidR="000D5771" w:rsidRPr="00614373">
        <w:rPr>
          <w:i/>
        </w:rPr>
        <w:instrText>Anfang</w:instrText>
      </w:r>
      <w:r w:rsidR="000D5771" w:rsidRPr="00E03AED">
        <w:instrText>/</w:instrText>
      </w:r>
      <w:r w:rsidR="000D5771" w:rsidRPr="00614373">
        <w:rPr>
          <w:i/>
        </w:rPr>
        <w:instrText>Beginn</w:instrText>
      </w:r>
      <w:r w:rsidR="000D5771">
        <w:instrText xml:space="preserve">" </w:instrText>
      </w:r>
      <w:r w:rsidR="000D5771">
        <w:fldChar w:fldCharType="end"/>
      </w:r>
      <w:r w:rsidR="000D5771">
        <w:t xml:space="preserve">). </w:t>
      </w:r>
      <w:r w:rsidR="000D5771" w:rsidRPr="000D5771">
        <w:t xml:space="preserve">Nově vytvořená objektivní </w:t>
      </w:r>
      <w:r w:rsidR="000D5771" w:rsidRPr="000D5771">
        <w:rPr>
          <w:i/>
        </w:rPr>
        <w:t>veritas</w:t>
      </w:r>
      <w:r w:rsidR="000D5771" w:rsidRPr="000D5771">
        <w:t xml:space="preserve"> učinila všechny dřívější pokusy o druhý averroismus zastaralými. Z filozofického hlediska to byl </w:t>
      </w:r>
      <w:r w:rsidR="0019665D">
        <w:t xml:space="preserve">tak jako tak </w:t>
      </w:r>
      <w:r w:rsidR="000D5771" w:rsidRPr="000D5771">
        <w:t xml:space="preserve">nesmysl </w:t>
      </w:r>
      <w:r w:rsidR="0019665D">
        <w:t>(</w:t>
      </w:r>
      <w:r w:rsidR="0019665D" w:rsidRPr="00A71A2B">
        <w:rPr>
          <w:i/>
        </w:rPr>
        <w:t>Irrtum</w:t>
      </w:r>
      <w:r w:rsidR="0019665D">
        <w:rPr>
          <w:i/>
        </w:rPr>
        <w:fldChar w:fldCharType="begin"/>
      </w:r>
      <w:r w:rsidR="0019665D">
        <w:instrText xml:space="preserve"> XE "</w:instrText>
      </w:r>
      <w:r w:rsidR="0019665D" w:rsidRPr="00A16315">
        <w:rPr>
          <w:i/>
        </w:rPr>
        <w:instrText>Irrtum:</w:instrText>
      </w:r>
      <w:r w:rsidR="0019665D">
        <w:instrText xml:space="preserve">druhá metafyzika" </w:instrText>
      </w:r>
      <w:r w:rsidR="0019665D">
        <w:rPr>
          <w:i/>
        </w:rPr>
        <w:fldChar w:fldCharType="end"/>
      </w:r>
      <w:r w:rsidR="00CA681F">
        <w:t>). M</w:t>
      </w:r>
      <w:r w:rsidR="0019665D">
        <w:t xml:space="preserve">oderna </w:t>
      </w:r>
      <w:r w:rsidR="000D5771" w:rsidRPr="000D5771">
        <w:t>se za něj styděl</w:t>
      </w:r>
      <w:r w:rsidR="0019665D">
        <w:t>a</w:t>
      </w:r>
      <w:r w:rsidR="000D5771" w:rsidRPr="000D5771">
        <w:t>, protože prohrál</w:t>
      </w:r>
      <w:r w:rsidR="0019665D">
        <w:t>a</w:t>
      </w:r>
      <w:r w:rsidR="000D5771" w:rsidRPr="000D5771">
        <w:t xml:space="preserve"> gigantomachii </w:t>
      </w:r>
      <w:r w:rsidR="0019665D">
        <w:t xml:space="preserve">o substanci </w:t>
      </w:r>
      <w:r w:rsidR="000D5771" w:rsidRPr="000D5771">
        <w:t xml:space="preserve">s prvním averroismem. Ten však po roce 1277 přestal existovat a modernisté mohli (a stále mohou) předstírat, že taková škola nikdy neexistovala. Nová </w:t>
      </w:r>
      <w:r w:rsidR="00004E30">
        <w:t xml:space="preserve">vlna </w:t>
      </w:r>
      <w:r w:rsidR="000D5771" w:rsidRPr="000D5771">
        <w:t xml:space="preserve">latinských sofistů pod vedením Aegidia, Gandava a Scota začala své myšlení </w:t>
      </w:r>
      <w:r w:rsidR="002A5D25" w:rsidRPr="00601E3E">
        <w:rPr>
          <w:i/>
        </w:rPr>
        <w:t>ex nihilo</w:t>
      </w:r>
      <w:r w:rsidR="000D5771" w:rsidRPr="000D5771">
        <w:t xml:space="preserve">, jak je tradicí </w:t>
      </w:r>
      <w:r w:rsidR="00C323A4">
        <w:t xml:space="preserve">na </w:t>
      </w:r>
      <w:proofErr w:type="gramStart"/>
      <w:r w:rsidR="000D5771" w:rsidRPr="00AE59CB">
        <w:rPr>
          <w:i/>
        </w:rPr>
        <w:t>via</w:t>
      </w:r>
      <w:proofErr w:type="gramEnd"/>
      <w:r w:rsidR="000D5771" w:rsidRPr="00AE59CB">
        <w:rPr>
          <w:i/>
        </w:rPr>
        <w:t xml:space="preserve"> Modernorum</w:t>
      </w:r>
      <w:r w:rsidR="000D5771" w:rsidRPr="000D5771">
        <w:t xml:space="preserve">. Po etablování objektivně dané první vědy přešel </w:t>
      </w:r>
      <w:r w:rsidR="009E49F4" w:rsidRPr="000D5771">
        <w:t>druh</w:t>
      </w:r>
      <w:r w:rsidR="009E49F4">
        <w:t>ý averroismus do Lethe</w:t>
      </w:r>
      <w:r w:rsidR="00497B2E">
        <w:t xml:space="preserve">. </w:t>
      </w:r>
      <w:r w:rsidR="009E49F4" w:rsidRPr="000D5771">
        <w:t>Aby byl ochráněn historicky účinný modernismus, který byl pod vlivem zcela poziti</w:t>
      </w:r>
      <w:r w:rsidR="009E49F4">
        <w:t>vistických a objektivistických F</w:t>
      </w:r>
      <w:r w:rsidR="009E49F4" w:rsidRPr="000D5771">
        <w:t>úrií, bylo na první aver</w:t>
      </w:r>
      <w:r w:rsidR="009E49F4">
        <w:t xml:space="preserve">roismus z Rue du Fouarre uvalena stejná forma </w:t>
      </w:r>
      <w:r w:rsidR="009E49F4" w:rsidRPr="00C323A4">
        <w:rPr>
          <w:i/>
        </w:rPr>
        <w:t>damnatio memoriae</w:t>
      </w:r>
      <w:r w:rsidR="009E49F4">
        <w:rPr>
          <w:i/>
        </w:rPr>
        <w:fldChar w:fldCharType="begin"/>
      </w:r>
      <w:r w:rsidR="009E49F4">
        <w:instrText xml:space="preserve"> XE "</w:instrText>
      </w:r>
      <w:r w:rsidR="009E49F4" w:rsidRPr="004F615D">
        <w:rPr>
          <w:i/>
        </w:rPr>
        <w:instrText>damnatio memoriae</w:instrText>
      </w:r>
      <w:r w:rsidR="009E49F4">
        <w:instrText xml:space="preserve">" </w:instrText>
      </w:r>
      <w:r w:rsidR="009E49F4">
        <w:rPr>
          <w:i/>
        </w:rPr>
        <w:fldChar w:fldCharType="end"/>
      </w:r>
      <w:r w:rsidR="009E49F4" w:rsidRPr="000D5771">
        <w:t xml:space="preserve">. </w:t>
      </w:r>
      <w:r w:rsidR="00497B2E">
        <w:t>Síly akademické P</w:t>
      </w:r>
      <w:r w:rsidR="000D5771" w:rsidRPr="000D5771">
        <w:t xml:space="preserve">omsty </w:t>
      </w:r>
      <w:r w:rsidR="00FA1137">
        <w:t xml:space="preserve">objektivně </w:t>
      </w:r>
      <w:r w:rsidR="000D5771" w:rsidRPr="000D5771">
        <w:t>dokončily své dílo tím, že zahájily novou fázi božské tragikomedie myšlení.</w:t>
      </w:r>
      <w:bookmarkStart w:id="89" w:name="_Toc36144164"/>
    </w:p>
    <w:p w:rsidR="08163013" w:rsidRPr="00273106" w:rsidRDefault="00497B2E" w:rsidP="00497B2E">
      <w:pPr>
        <w:pStyle w:val="Nadpis3"/>
      </w:pPr>
      <w:r>
        <w:br w:type="page"/>
      </w:r>
      <w:bookmarkStart w:id="90" w:name="_Toc180231676"/>
      <w:r w:rsidR="08163013">
        <w:lastRenderedPageBreak/>
        <w:t>5</w:t>
      </w:r>
      <w:r w:rsidR="08163013" w:rsidRPr="00273106">
        <w:t>.3.1 Nihilismus první substance</w:t>
      </w:r>
      <w:bookmarkEnd w:id="89"/>
      <w:bookmarkEnd w:id="90"/>
    </w:p>
    <w:p w:rsidR="00D95D6B" w:rsidRDefault="08163013" w:rsidP="08163013">
      <w:r w:rsidRPr="00273106">
        <w:rPr>
          <w:rStyle w:val="TextpoznpodarouChar"/>
        </w:rPr>
        <w:t>Scot</w:t>
      </w:r>
      <w:r w:rsidR="00CD2D6A">
        <w:rPr>
          <w:rStyle w:val="TextpoznpodarouChar"/>
        </w:rPr>
        <w:t xml:space="preserve">us </w:t>
      </w:r>
      <w:r>
        <w:rPr>
          <w:rStyle w:val="TextpoznpodarouChar"/>
        </w:rPr>
        <w:t>hr</w:t>
      </w:r>
      <w:r w:rsidR="00CD2D6A">
        <w:rPr>
          <w:rStyle w:val="TextpoznpodarouChar"/>
        </w:rPr>
        <w:t>ál r</w:t>
      </w:r>
      <w:r>
        <w:rPr>
          <w:rStyle w:val="TextpoznpodarouChar"/>
        </w:rPr>
        <w:t xml:space="preserve">ozhodující roli v přechodu dějinnosti objektivity </w:t>
      </w:r>
      <w:r w:rsidR="00CD2D6A">
        <w:rPr>
          <w:rStyle w:val="TextpoznpodarouChar"/>
        </w:rPr>
        <w:t xml:space="preserve">v její skryté </w:t>
      </w:r>
      <w:r w:rsidR="00CD2D6A" w:rsidRPr="00CD2D6A">
        <w:rPr>
          <w:rStyle w:val="TextpoznpodarouChar"/>
          <w:i/>
        </w:rPr>
        <w:t>alétheia</w:t>
      </w:r>
      <w:r w:rsidR="00CD2D6A">
        <w:rPr>
          <w:rStyle w:val="TextpoznpodarouChar"/>
        </w:rPr>
        <w:t xml:space="preserve"> </w:t>
      </w:r>
      <w:r>
        <w:rPr>
          <w:rStyle w:val="TextpoznpodarouChar"/>
        </w:rPr>
        <w:t xml:space="preserve">na odkrytou </w:t>
      </w:r>
      <w:r w:rsidR="00CD2D6A" w:rsidRPr="00CD2D6A">
        <w:rPr>
          <w:rStyle w:val="TextpoznpodarouChar"/>
          <w:i/>
        </w:rPr>
        <w:t>veritas</w:t>
      </w:r>
      <w:r w:rsidR="00CD2D6A">
        <w:rPr>
          <w:rStyle w:val="TextpoznpodarouChar"/>
        </w:rPr>
        <w:t xml:space="preserve"> </w:t>
      </w:r>
      <w:r>
        <w:rPr>
          <w:rStyle w:val="TextpoznpodarouChar"/>
        </w:rPr>
        <w:t xml:space="preserve">danou </w:t>
      </w:r>
      <w:r w:rsidR="00CD2D6A">
        <w:rPr>
          <w:rStyle w:val="TextpoznpodarouChar"/>
        </w:rPr>
        <w:t>historicky objektivně a pozitivně</w:t>
      </w:r>
      <w:r>
        <w:rPr>
          <w:rStyle w:val="TextpoznpodarouChar"/>
        </w:rPr>
        <w:t>.</w:t>
      </w:r>
      <w:r w:rsidRPr="089A1F3B">
        <w:t xml:space="preserve"> </w:t>
      </w:r>
      <w:r>
        <w:rPr>
          <w:lang w:eastAsia="en-US"/>
        </w:rPr>
        <w:t xml:space="preserve">Předešlé </w:t>
      </w:r>
      <w:r>
        <w:t>matrice objektivity ukázaly, že a</w:t>
      </w:r>
      <w:r w:rsidRPr="00273106">
        <w:rPr>
          <w:lang w:eastAsia="en-US"/>
        </w:rPr>
        <w:t xml:space="preserve">ristotelské kategorie ztratily původní smysl vázaný na rozdíl mezi </w:t>
      </w:r>
      <w:r>
        <w:rPr>
          <w:lang w:eastAsia="en-US"/>
        </w:rPr>
        <w:t xml:space="preserve">jedinečnou existencí </w:t>
      </w:r>
      <w:r w:rsidRPr="00273106">
        <w:rPr>
          <w:lang w:eastAsia="en-US"/>
        </w:rPr>
        <w:t>první</w:t>
      </w:r>
      <w:r>
        <w:rPr>
          <w:lang w:eastAsia="en-US"/>
        </w:rPr>
        <w:t xml:space="preserve"> substance</w:t>
      </w:r>
      <w:r w:rsidR="00C25438">
        <w:rPr>
          <w:lang w:eastAsia="en-US"/>
        </w:rPr>
        <w:t xml:space="preserve"> a druhou substancí, která </w:t>
      </w:r>
      <w:r>
        <w:rPr>
          <w:lang w:eastAsia="en-US"/>
        </w:rPr>
        <w:t xml:space="preserve">univerzálně predikovala </w:t>
      </w:r>
      <w:r w:rsidR="00C25438">
        <w:rPr>
          <w:lang w:eastAsia="en-US"/>
        </w:rPr>
        <w:t xml:space="preserve">bytí první </w:t>
      </w:r>
      <w:r>
        <w:rPr>
          <w:lang w:eastAsia="en-US"/>
        </w:rPr>
        <w:t>substance</w:t>
      </w:r>
      <w:r w:rsidRPr="00273106">
        <w:rPr>
          <w:lang w:eastAsia="en-US"/>
        </w:rPr>
        <w:t xml:space="preserve">. </w:t>
      </w:r>
      <w:r w:rsidRPr="083B0DD9">
        <w:t>Ve druhém averroismu</w:t>
      </w:r>
      <w:r w:rsidRPr="00273106">
        <w:t xml:space="preserve"> determinovaném dualitou duše a těla se změnila teorie dvojí</w:t>
      </w:r>
      <w:r>
        <w:t>ho</w:t>
      </w:r>
      <w:r w:rsidRPr="00273106">
        <w:t xml:space="preserve"> </w:t>
      </w:r>
      <w:r>
        <w:t xml:space="preserve">poznání </w:t>
      </w:r>
      <w:r w:rsidRPr="00273106">
        <w:t xml:space="preserve">na teorii dvojí substance: </w:t>
      </w:r>
      <w:r>
        <w:t>neoplatonsk</w:t>
      </w:r>
      <w:r w:rsidRPr="00273106">
        <w:t>é a aristotelské</w:t>
      </w:r>
      <w:r>
        <w:fldChar w:fldCharType="begin"/>
      </w:r>
      <w:r>
        <w:instrText xml:space="preserve"> XE "</w:instrText>
      </w:r>
      <w:r w:rsidRPr="005B6DB5">
        <w:instrText>teorie dvojí pravdy</w:instrText>
      </w:r>
      <w:r>
        <w:instrText xml:space="preserve">" </w:instrText>
      </w:r>
      <w:r>
        <w:fldChar w:fldCharType="end"/>
      </w:r>
      <w:r w:rsidRPr="00273106">
        <w:t>.</w:t>
      </w:r>
      <w:r>
        <w:t xml:space="preserve"> Scotus zrušil obě školy tím, že vytvořil novou syntézu substance v modu avicennistického aristotelismu. Subjekt se stal výhradním místem, kde vzniká původní </w:t>
      </w:r>
      <w:r w:rsidRPr="08DE6C58">
        <w:rPr>
          <w:i/>
        </w:rPr>
        <w:t>Lichtung</w:t>
      </w:r>
      <w:r>
        <w:t xml:space="preserve"> smyslu jsoucna. </w:t>
      </w:r>
      <w:r w:rsidRPr="00273106">
        <w:t>Esence chápaná jako kvazi-substance</w:t>
      </w:r>
      <w:r>
        <w:fldChar w:fldCharType="begin"/>
      </w:r>
      <w:r>
        <w:instrText xml:space="preserve"> XE "</w:instrText>
      </w:r>
      <w:r w:rsidRPr="00DE2A32">
        <w:instrText>substance</w:instrText>
      </w:r>
      <w:r>
        <w:instrText xml:space="preserve">:esence" </w:instrText>
      </w:r>
      <w:r>
        <w:fldChar w:fldCharType="end"/>
      </w:r>
      <w:r w:rsidRPr="00273106">
        <w:t xml:space="preserve"> způsobila, že </w:t>
      </w:r>
      <w:r>
        <w:t xml:space="preserve">od pozdní antiky </w:t>
      </w:r>
      <w:r w:rsidRPr="00273106">
        <w:t xml:space="preserve">se stal nejasným samotný smysl kategoriální predikace vázané na různé způsoby bytí druhé substance </w:t>
      </w:r>
      <w:r w:rsidRPr="00273106">
        <w:rPr>
          <w:lang w:eastAsia="en-US"/>
        </w:rPr>
        <w:t>(</w:t>
      </w:r>
      <w:r w:rsidR="000F1F48">
        <w:rPr>
          <w:lang w:eastAsia="en-US"/>
        </w:rPr>
        <w:t xml:space="preserve">OBJ I, </w:t>
      </w:r>
      <w:r>
        <w:rPr>
          <w:lang w:eastAsia="en-US"/>
        </w:rPr>
        <w:t>kap. 1.3</w:t>
      </w:r>
      <w:r w:rsidRPr="00273106">
        <w:rPr>
          <w:lang w:eastAsia="en-US"/>
        </w:rPr>
        <w:t>)</w:t>
      </w:r>
      <w:r w:rsidRPr="00273106">
        <w:t>. Klíčový posun na</w:t>
      </w:r>
      <w:r>
        <w:t xml:space="preserve">stal ve výkladu aristotelských </w:t>
      </w:r>
      <w:r w:rsidRPr="082B039E">
        <w:rPr>
          <w:i/>
        </w:rPr>
        <w:t>Kategorií</w:t>
      </w:r>
      <w:r w:rsidRPr="00273106">
        <w:t xml:space="preserve"> zejména s ohledem na </w:t>
      </w:r>
      <w:r>
        <w:rPr>
          <w:lang w:eastAsia="en-US"/>
        </w:rPr>
        <w:t>hyparchický</w:t>
      </w:r>
      <w:r w:rsidRPr="00273106">
        <w:rPr>
          <w:lang w:eastAsia="en-US"/>
        </w:rPr>
        <w:t xml:space="preserve"> </w:t>
      </w:r>
      <w:r w:rsidRPr="00273106">
        <w:t xml:space="preserve">vztah mezi reálnou první substancí a mezi kategoriálně predikovanou druhou substancí </w:t>
      </w:r>
      <w:r w:rsidRPr="00273106">
        <w:rPr>
          <w:lang w:eastAsia="en-US"/>
        </w:rPr>
        <w:t>(</w:t>
      </w:r>
      <w:r w:rsidRPr="00273106">
        <w:rPr>
          <w:i/>
        </w:rPr>
        <w:t>Cat</w:t>
      </w:r>
      <w:r w:rsidRPr="00273106">
        <w:t xml:space="preserve">. </w:t>
      </w:r>
      <w:proofErr w:type="gramStart"/>
      <w:r w:rsidRPr="00273106">
        <w:t>2a14</w:t>
      </w:r>
      <w:proofErr w:type="gramEnd"/>
      <w:r>
        <w:rPr>
          <w:rFonts w:cs="Calibri"/>
        </w:rPr>
        <w:t>–</w:t>
      </w:r>
      <w:proofErr w:type="gramStart"/>
      <w:r w:rsidRPr="00273106">
        <w:t>15</w:t>
      </w:r>
      <w:proofErr w:type="gramEnd"/>
      <w:r>
        <w:fldChar w:fldCharType="begin"/>
      </w:r>
      <w:r>
        <w:instrText xml:space="preserve"> XE "Aristoteles:</w:instrText>
      </w:r>
      <w:r w:rsidRPr="005D0A4C">
        <w:rPr>
          <w:i/>
        </w:rPr>
        <w:instrText>Cat</w:instrText>
      </w:r>
      <w:r w:rsidRPr="005D0A4C">
        <w:instrText>. 2a14–15</w:instrText>
      </w:r>
      <w:r>
        <w:instrText xml:space="preserve">" </w:instrText>
      </w:r>
      <w:r>
        <w:fldChar w:fldCharType="end"/>
      </w:r>
      <w:r w:rsidRPr="00273106">
        <w:rPr>
          <w:lang w:eastAsia="en-US"/>
        </w:rPr>
        <w:t>)</w:t>
      </w:r>
      <w:r w:rsidRPr="00273106">
        <w:t>. Úvod</w:t>
      </w:r>
      <w:r>
        <w:t>ní část</w:t>
      </w:r>
      <w:r w:rsidRPr="00273106">
        <w:t xml:space="preserve"> analyzoval</w:t>
      </w:r>
      <w:r>
        <w:t>a</w:t>
      </w:r>
      <w:r w:rsidRPr="00273106">
        <w:t xml:space="preserve"> vývoj </w:t>
      </w:r>
      <w:r>
        <w:t>Porfyriovy nedělitelné substance</w:t>
      </w:r>
      <w:r w:rsidRPr="00273106">
        <w:t xml:space="preserve"> (ἄτομος οὐσία</w:t>
      </w:r>
      <w:r>
        <w:fldChar w:fldCharType="begin"/>
      </w:r>
      <w:r>
        <w:instrText xml:space="preserve"> XE "</w:instrText>
      </w:r>
      <w:r w:rsidRPr="00644D5F">
        <w:instrText>substance:atomární</w:instrText>
      </w:r>
      <w:r>
        <w:instrText xml:space="preserve">" </w:instrText>
      </w:r>
      <w:r>
        <w:fldChar w:fldCharType="end"/>
      </w:r>
      <w:r>
        <w:t xml:space="preserve">) dané v </w:t>
      </w:r>
      <w:r w:rsidRPr="082B039E">
        <w:rPr>
          <w:i/>
        </w:rPr>
        <w:t>Isagoge</w:t>
      </w:r>
      <w:r w:rsidRPr="00273106">
        <w:t xml:space="preserve"> a její proměnu u </w:t>
      </w:r>
      <w:r>
        <w:t>neoplatonsk</w:t>
      </w:r>
      <w:r w:rsidRPr="00273106">
        <w:t>ého Simplikia na substanci třetího druhu (</w:t>
      </w:r>
      <w:r w:rsidR="000F1F48">
        <w:t xml:space="preserve">OBJ I, </w:t>
      </w:r>
      <w:r>
        <w:t>kap. 1.3</w:t>
      </w:r>
      <w:r w:rsidRPr="00273106">
        <w:t>.1</w:t>
      </w:r>
      <w:r>
        <w:t xml:space="preserve">). Vytěsnění </w:t>
      </w:r>
      <w:r w:rsidRPr="00273106">
        <w:rPr>
          <w:lang w:eastAsia="en-US"/>
        </w:rPr>
        <w:t xml:space="preserve">první substance </w:t>
      </w:r>
      <w:r>
        <w:rPr>
          <w:lang w:eastAsia="en-US"/>
        </w:rPr>
        <w:t>ve škole</w:t>
      </w:r>
      <w:r w:rsidRPr="00273106">
        <w:rPr>
          <w:lang w:eastAsia="en-US"/>
        </w:rPr>
        <w:t xml:space="preserve"> druhého averroismu</w:t>
      </w:r>
      <w:r>
        <w:rPr>
          <w:lang w:eastAsia="en-US"/>
        </w:rPr>
        <w:t xml:space="preserve"> způsobilo zásadní transformaci kategoriální predikace. </w:t>
      </w:r>
      <w:r>
        <w:t xml:space="preserve">Změna výkladu </w:t>
      </w:r>
      <w:r w:rsidRPr="083829D5">
        <w:rPr>
          <w:i/>
        </w:rPr>
        <w:t>Kategorií</w:t>
      </w:r>
      <w:r>
        <w:t xml:space="preserve"> začala na Oxfordu a Paříži okolo roku 1230 a způsobila zánik škol </w:t>
      </w:r>
      <w:r w:rsidRPr="08A11FF3">
        <w:rPr>
          <w:i/>
        </w:rPr>
        <w:t>log</w:t>
      </w:r>
      <w:r>
        <w:rPr>
          <w:i/>
        </w:rPr>
        <w:t>ica Mode</w:t>
      </w:r>
      <w:r w:rsidRPr="08A11FF3">
        <w:rPr>
          <w:i/>
        </w:rPr>
        <w:t>r</w:t>
      </w:r>
      <w:r>
        <w:rPr>
          <w:i/>
        </w:rPr>
        <w:t>n</w:t>
      </w:r>
      <w:r w:rsidRPr="08A11FF3">
        <w:rPr>
          <w:i/>
        </w:rPr>
        <w:t>orum</w:t>
      </w:r>
      <w:r>
        <w:t xml:space="preserve">. Tyto školy přijaly toletánskou verzi metafyziky </w:t>
      </w:r>
      <w:r w:rsidRPr="08680CD8">
        <w:rPr>
          <w:i/>
        </w:rPr>
        <w:t>ad mentem Averrois</w:t>
      </w:r>
      <w:r>
        <w:t xml:space="preserve"> a přešly v nově zavedeném avicennismu na predikaci amfibolických </w:t>
      </w:r>
      <w:r>
        <w:fldChar w:fldCharType="begin"/>
      </w:r>
      <w:r>
        <w:instrText xml:space="preserve"> XE "</w:instrText>
      </w:r>
      <w:r w:rsidRPr="08593356">
        <w:instrText>amfibolia</w:instrText>
      </w:r>
      <w:r>
        <w:instrText xml:space="preserve">" </w:instrText>
      </w:r>
      <w:r>
        <w:fldChar w:fldCharType="end"/>
      </w:r>
      <w:r>
        <w:t xml:space="preserve">významů </w:t>
      </w:r>
      <w:r w:rsidRPr="081D6C04">
        <w:rPr>
          <w:i/>
        </w:rPr>
        <w:t>ens inquantum ens</w:t>
      </w:r>
      <w:r>
        <w:t xml:space="preserve">. Z moderních logiků se stali dnešní moderní metafyzikové tím, že zrušili Komentátorovu metafyzickou abstrakci, která tvoří </w:t>
      </w:r>
      <w:r w:rsidRPr="0845513B">
        <w:rPr>
          <w:i/>
        </w:rPr>
        <w:t>raison d'être</w:t>
      </w:r>
      <w:r>
        <w:t xml:space="preserve"> aristotelské první vědy o jsoucnu. Metafyzickou z</w:t>
      </w:r>
      <w:r w:rsidR="00D925B9">
        <w:rPr>
          <w:lang w:eastAsia="en-US"/>
        </w:rPr>
        <w:t>měnu v chápá</w:t>
      </w:r>
      <w:r>
        <w:rPr>
          <w:lang w:eastAsia="en-US"/>
        </w:rPr>
        <w:t xml:space="preserve">ní Aristotelových </w:t>
      </w:r>
      <w:r w:rsidRPr="08B942BE">
        <w:rPr>
          <w:i/>
          <w:lang w:eastAsia="en-US"/>
        </w:rPr>
        <w:t>Kategorií</w:t>
      </w:r>
      <w:r>
        <w:rPr>
          <w:lang w:eastAsia="en-US"/>
        </w:rPr>
        <w:t xml:space="preserve"> dokládá </w:t>
      </w:r>
      <w:r>
        <w:t xml:space="preserve">debata shrnutá v termínu </w:t>
      </w:r>
      <w:r w:rsidRPr="00E027F3">
        <w:rPr>
          <w:i/>
        </w:rPr>
        <w:t>suffic</w:t>
      </w:r>
      <w:r>
        <w:rPr>
          <w:i/>
        </w:rPr>
        <w:t>i</w:t>
      </w:r>
      <w:r w:rsidRPr="00E027F3">
        <w:rPr>
          <w:i/>
        </w:rPr>
        <w:t>entia praedicamentorum</w:t>
      </w:r>
      <w:r>
        <w:rPr>
          <w:i/>
        </w:rPr>
        <w:fldChar w:fldCharType="begin"/>
      </w:r>
      <w:r>
        <w:instrText xml:space="preserve"> XE "predikace:</w:instrText>
      </w:r>
      <w:r w:rsidRPr="00C54A0E">
        <w:rPr>
          <w:i/>
        </w:rPr>
        <w:instrText>sufficientia praedicamentorum</w:instrText>
      </w:r>
      <w:r>
        <w:instrText xml:space="preserve">" </w:instrText>
      </w:r>
      <w:r>
        <w:rPr>
          <w:i/>
        </w:rPr>
        <w:fldChar w:fldCharType="end"/>
      </w:r>
      <w:r>
        <w:t xml:space="preserve"> </w:t>
      </w:r>
      <w:r w:rsidR="00335257">
        <w:t xml:space="preserve">(Pini 2002, 185‒89). Tehdy se změnila struktura kategorií. </w:t>
      </w:r>
      <w:r>
        <w:t xml:space="preserve">Tato debata se už týká Scota jeho předchůdců. </w:t>
      </w:r>
      <w:r w:rsidRPr="00273106">
        <w:rPr>
          <w:lang w:eastAsia="en-US"/>
        </w:rPr>
        <w:t xml:space="preserve">Dedukce kategorie jako nejvyššího rodu šla od </w:t>
      </w:r>
      <w:r>
        <w:rPr>
          <w:lang w:eastAsia="en-US"/>
        </w:rPr>
        <w:t xml:space="preserve">moderní </w:t>
      </w:r>
      <w:r w:rsidRPr="00273106">
        <w:rPr>
          <w:lang w:eastAsia="en-US"/>
        </w:rPr>
        <w:t>substance třetího druhu k první trojici vztahů</w:t>
      </w:r>
      <w:r>
        <w:rPr>
          <w:lang w:eastAsia="en-US"/>
        </w:rPr>
        <w:t xml:space="preserve"> (kvalita, kvantita, vztah). Středovou pozici držela kategorie habitu a na n</w:t>
      </w:r>
      <w:r w:rsidRPr="00273106">
        <w:rPr>
          <w:lang w:eastAsia="en-US"/>
        </w:rPr>
        <w:t xml:space="preserve">akonec </w:t>
      </w:r>
      <w:r>
        <w:rPr>
          <w:lang w:eastAsia="en-US"/>
        </w:rPr>
        <w:t xml:space="preserve">tabulky </w:t>
      </w:r>
      <w:r w:rsidRPr="00273106">
        <w:rPr>
          <w:lang w:eastAsia="en-US"/>
        </w:rPr>
        <w:t xml:space="preserve">byl </w:t>
      </w:r>
      <w:r>
        <w:rPr>
          <w:lang w:eastAsia="en-US"/>
        </w:rPr>
        <w:t xml:space="preserve">dán </w:t>
      </w:r>
      <w:r w:rsidRPr="00273106">
        <w:rPr>
          <w:lang w:eastAsia="en-US"/>
        </w:rPr>
        <w:t>zbytek akcid</w:t>
      </w:r>
      <w:r>
        <w:rPr>
          <w:lang w:eastAsia="en-US"/>
        </w:rPr>
        <w:t xml:space="preserve">entů shrnutých do skupiny </w:t>
      </w:r>
      <w:r w:rsidRPr="00273106">
        <w:rPr>
          <w:i/>
          <w:lang w:eastAsia="en-US"/>
        </w:rPr>
        <w:t>postpraedicamenta</w:t>
      </w:r>
      <w:r>
        <w:rPr>
          <w:i/>
          <w:lang w:eastAsia="en-US"/>
        </w:rPr>
        <w:fldChar w:fldCharType="begin"/>
      </w:r>
      <w:r>
        <w:instrText xml:space="preserve"> XE "</w:instrText>
      </w:r>
      <w:r w:rsidRPr="00427E82">
        <w:rPr>
          <w:i/>
        </w:rPr>
        <w:instrText>postpraedicamenta</w:instrText>
      </w:r>
      <w:r>
        <w:instrText xml:space="preserve">" </w:instrText>
      </w:r>
      <w:r>
        <w:rPr>
          <w:i/>
          <w:lang w:eastAsia="en-US"/>
        </w:rPr>
        <w:fldChar w:fldCharType="end"/>
      </w:r>
      <w:r w:rsidRPr="00273106">
        <w:rPr>
          <w:lang w:eastAsia="en-US"/>
        </w:rPr>
        <w:t xml:space="preserve">. </w:t>
      </w:r>
      <w:r w:rsidRPr="00273106">
        <w:t xml:space="preserve">Celkové shrnutí problematického vývoje kategorií po </w:t>
      </w:r>
      <w:r>
        <w:t xml:space="preserve">roce </w:t>
      </w:r>
      <w:r w:rsidRPr="00273106">
        <w:t xml:space="preserve">1277 podává </w:t>
      </w:r>
      <w:r>
        <w:t>Olivi v citovaném komentáři ke d</w:t>
      </w:r>
      <w:r w:rsidRPr="00273106">
        <w:t xml:space="preserve">ruhé knize </w:t>
      </w:r>
      <w:r w:rsidRPr="08F9000E">
        <w:rPr>
          <w:i/>
        </w:rPr>
        <w:t>Sentencí</w:t>
      </w:r>
      <w:r w:rsidR="008848E1">
        <w:t xml:space="preserve"> (kap. 5</w:t>
      </w:r>
      <w:r w:rsidRPr="00273106">
        <w:t xml:space="preserve">.1.1). </w:t>
      </w:r>
      <w:r>
        <w:t xml:space="preserve">Diverzitu různých </w:t>
      </w:r>
      <w:r>
        <w:lastRenderedPageBreak/>
        <w:t>určení sjednocuje pouze avicennisticky pojatá esence daná jako nejvyšší rod jsoucna (</w:t>
      </w:r>
      <w:r w:rsidRPr="00FC3520">
        <w:rPr>
          <w:i/>
        </w:rPr>
        <w:t>essentia unius generis et maxime generis generalissimi</w:t>
      </w:r>
      <w:r>
        <w:t>).</w:t>
      </w:r>
      <w:r w:rsidRPr="00273106">
        <w:rPr>
          <w:rStyle w:val="Znakapoznpodarou"/>
        </w:rPr>
        <w:footnoteReference w:id="418"/>
      </w:r>
      <w:r>
        <w:t xml:space="preserve"> Komentář </w:t>
      </w:r>
      <w:r w:rsidRPr="00273106">
        <w:t xml:space="preserve">ukazuje, že kategorie </w:t>
      </w:r>
      <w:r>
        <w:t xml:space="preserve">ve škole prvních modernistů </w:t>
      </w:r>
      <w:r w:rsidRPr="00273106">
        <w:t>již ztratily původní aristotelský smysl</w:t>
      </w:r>
      <w:r>
        <w:t xml:space="preserve"> vázaný na predikaci hyparchické první substance skrze univerzální významy druhé substance.</w:t>
      </w:r>
      <w:r w:rsidRPr="00273106">
        <w:t xml:space="preserve"> Kategoriální predikace daná v rámci klasické tabulky deseti kategorií (</w:t>
      </w:r>
      <w:r w:rsidRPr="00273106">
        <w:rPr>
          <w:i/>
        </w:rPr>
        <w:t>Cat</w:t>
      </w:r>
      <w:r w:rsidRPr="00273106">
        <w:t>. 1b25</w:t>
      </w:r>
      <w:r>
        <w:fldChar w:fldCharType="begin"/>
      </w:r>
      <w:r>
        <w:instrText xml:space="preserve"> XE "Aristoteles:</w:instrText>
      </w:r>
      <w:r w:rsidRPr="00D244AE">
        <w:rPr>
          <w:i/>
        </w:rPr>
        <w:instrText>Cat</w:instrText>
      </w:r>
      <w:r w:rsidRPr="00D244AE">
        <w:instrText>. 1b25</w:instrText>
      </w:r>
      <w:r>
        <w:instrText xml:space="preserve">" </w:instrText>
      </w:r>
      <w:r>
        <w:fldChar w:fldCharType="end"/>
      </w:r>
      <w:r w:rsidRPr="00273106">
        <w:t xml:space="preserve">) je pro </w:t>
      </w:r>
      <w:r>
        <w:t xml:space="preserve">Oliviho </w:t>
      </w:r>
      <w:r w:rsidRPr="00273106">
        <w:t xml:space="preserve">zmatená, nejasná a protikladná. </w:t>
      </w:r>
      <w:r>
        <w:t>Bytí reálné substance (</w:t>
      </w:r>
      <w:r w:rsidRPr="00FC3520">
        <w:rPr>
          <w:i/>
        </w:rPr>
        <w:t>modus essendi</w:t>
      </w:r>
      <w:r>
        <w:t xml:space="preserve">) a způsoby predikace už nemají skoro nic společného. </w:t>
      </w:r>
      <w:r w:rsidRPr="00273106">
        <w:t xml:space="preserve">Bytí první kategorie je dáno </w:t>
      </w:r>
      <w:r>
        <w:t xml:space="preserve">ve druhé vlně modernismu po roce 1280 </w:t>
      </w:r>
      <w:r w:rsidRPr="00273106">
        <w:t>jako minimální porce jsoucnosti (</w:t>
      </w:r>
      <w:r w:rsidRPr="00273106">
        <w:rPr>
          <w:i/>
        </w:rPr>
        <w:t>esse</w:t>
      </w:r>
      <w:r w:rsidRPr="00273106">
        <w:t xml:space="preserve"> </w:t>
      </w:r>
      <w:r w:rsidRPr="00273106">
        <w:rPr>
          <w:i/>
        </w:rPr>
        <w:t>diminutum</w:t>
      </w:r>
      <w:r w:rsidR="004F7874">
        <w:rPr>
          <w:i/>
        </w:rPr>
        <w:fldChar w:fldCharType="begin"/>
      </w:r>
      <w:r w:rsidR="004F7874">
        <w:instrText xml:space="preserve"> XE "</w:instrText>
      </w:r>
      <w:r w:rsidR="004F7874" w:rsidRPr="00E53C7B">
        <w:rPr>
          <w:i/>
        </w:rPr>
        <w:instrText xml:space="preserve">esse </w:instrText>
      </w:r>
      <w:r w:rsidR="004F7874">
        <w:rPr>
          <w:i/>
        </w:rPr>
        <w:instrText>dimi</w:instrText>
      </w:r>
      <w:r w:rsidR="004F7874" w:rsidRPr="00E53C7B">
        <w:rPr>
          <w:i/>
        </w:rPr>
        <w:instrText>nutum</w:instrText>
      </w:r>
      <w:r w:rsidR="004F7874">
        <w:instrText xml:space="preserve">" </w:instrText>
      </w:r>
      <w:r w:rsidR="004F7874">
        <w:rPr>
          <w:i/>
        </w:rPr>
        <w:fldChar w:fldCharType="end"/>
      </w:r>
      <w:r w:rsidRPr="00273106">
        <w:t xml:space="preserve">, </w:t>
      </w:r>
      <w:r>
        <w:rPr>
          <w:i/>
        </w:rPr>
        <w:t>in</w:t>
      </w:r>
      <w:r w:rsidRPr="00273106">
        <w:rPr>
          <w:i/>
        </w:rPr>
        <w:t>determinatum</w:t>
      </w:r>
      <w:r w:rsidRPr="00273106">
        <w:t xml:space="preserve">, </w:t>
      </w:r>
      <w:r w:rsidRPr="00273106">
        <w:rPr>
          <w:i/>
        </w:rPr>
        <w:t>vagum</w:t>
      </w:r>
      <w:r>
        <w:t>). M</w:t>
      </w:r>
      <w:r w:rsidRPr="00273106">
        <w:t xml:space="preserve">inimální jsoucnost </w:t>
      </w:r>
      <w:r>
        <w:t xml:space="preserve">věci </w:t>
      </w:r>
      <w:r w:rsidRPr="00273106">
        <w:t xml:space="preserve">nesmí být nesmyslná nebo logicky rozporná. </w:t>
      </w:r>
      <w:r>
        <w:t xml:space="preserve">Kategorie minimálního bytí </w:t>
      </w:r>
      <w:r w:rsidRPr="00273106">
        <w:t xml:space="preserve">splňuje </w:t>
      </w:r>
      <w:r>
        <w:t>základní podmínku identity stanovenou Gandavem, že individuum už nemůže být ničím jiným (</w:t>
      </w:r>
      <w:r w:rsidRPr="00097F37">
        <w:rPr>
          <w:i/>
        </w:rPr>
        <w:t>tantum haec</w:t>
      </w:r>
      <w:r>
        <w:rPr>
          <w:i/>
        </w:rPr>
        <w:fldChar w:fldCharType="begin"/>
      </w:r>
      <w:r>
        <w:instrText xml:space="preserve"> XE "substance:</w:instrText>
      </w:r>
      <w:r w:rsidRPr="00970395">
        <w:rPr>
          <w:i/>
        </w:rPr>
        <w:instrText>tantum haec</w:instrText>
      </w:r>
      <w:r>
        <w:instrText xml:space="preserve">" </w:instrText>
      </w:r>
      <w:r>
        <w:rPr>
          <w:i/>
        </w:rPr>
        <w:fldChar w:fldCharType="end"/>
      </w:r>
      <w:r w:rsidR="00745B1D">
        <w:t>, kap. 5</w:t>
      </w:r>
      <w:r>
        <w:t xml:space="preserve">.2.1). </w:t>
      </w:r>
      <w:r w:rsidR="00C526D6">
        <w:t>Objektivní substance vzniklá v procesu dvojí negace (</w:t>
      </w:r>
      <w:r w:rsidR="00C526D6" w:rsidRPr="00F86137">
        <w:rPr>
          <w:i/>
        </w:rPr>
        <w:t>duplex negatio</w:t>
      </w:r>
      <w:r w:rsidR="00C526D6">
        <w:rPr>
          <w:i/>
        </w:rPr>
        <w:fldChar w:fldCharType="begin"/>
      </w:r>
      <w:r w:rsidR="00C526D6">
        <w:instrText xml:space="preserve"> XE "</w:instrText>
      </w:r>
      <w:r w:rsidR="00C526D6" w:rsidRPr="00E07396">
        <w:rPr>
          <w:i/>
        </w:rPr>
        <w:instrText>duplex negatio</w:instrText>
      </w:r>
      <w:r w:rsidR="00C526D6">
        <w:instrText xml:space="preserve">" </w:instrText>
      </w:r>
      <w:r w:rsidR="00C526D6">
        <w:rPr>
          <w:i/>
        </w:rPr>
        <w:fldChar w:fldCharType="end"/>
      </w:r>
      <w:r w:rsidR="00C526D6">
        <w:t xml:space="preserve">) splnila základní moderní podmínku jsoucnosti, protože má vlastní identitu neodporující </w:t>
      </w:r>
      <w:r w:rsidR="00C526D6" w:rsidRPr="00273106">
        <w:t>zákon</w:t>
      </w:r>
      <w:r w:rsidR="00C526D6">
        <w:t>u</w:t>
      </w:r>
      <w:r w:rsidR="00C526D6" w:rsidRPr="00273106">
        <w:t xml:space="preserve"> o vyloučeném třetím. </w:t>
      </w:r>
      <w:r w:rsidRPr="00273106">
        <w:t xml:space="preserve">Takto pojatá esence jako minimální porce identity následně funguje jako substance </w:t>
      </w:r>
      <w:r w:rsidRPr="00273106">
        <w:rPr>
          <w:i/>
        </w:rPr>
        <w:t>sui generis</w:t>
      </w:r>
      <w:r w:rsidRPr="00273106">
        <w:t>, jejíž přesažná určení existují buď paralelně s kategoriálními mody bytí první substance, nebo i mimo kategorie</w:t>
      </w:r>
      <w:r>
        <w:t xml:space="preserve"> v modu transcendentálních určení jsoucna. Moderna </w:t>
      </w:r>
      <w:r w:rsidRPr="00273106">
        <w:t>integrov</w:t>
      </w:r>
      <w:r>
        <w:t>ala univerzální</w:t>
      </w:r>
      <w:r w:rsidRPr="00273106">
        <w:t xml:space="preserve"> vlastností esence do systému augustiniánsko-avicennovské ontoteologie </w:t>
      </w:r>
      <w:r>
        <w:t xml:space="preserve">společně s Toledským výkladem </w:t>
      </w:r>
      <w:r w:rsidRPr="00273106">
        <w:t>Aristotelovy metafyziky</w:t>
      </w:r>
      <w:r>
        <w:t xml:space="preserve"> </w:t>
      </w:r>
      <w:r w:rsidRPr="08892530">
        <w:rPr>
          <w:i/>
        </w:rPr>
        <w:t>ad mentem Averrois</w:t>
      </w:r>
      <w:r>
        <w:rPr>
          <w:i/>
        </w:rPr>
        <w:fldChar w:fldCharType="begin"/>
      </w:r>
      <w:r>
        <w:instrText xml:space="preserve"> XE "</w:instrText>
      </w:r>
      <w:r w:rsidRPr="08442043">
        <w:rPr>
          <w:i/>
        </w:rPr>
        <w:instrText>ad mentem Averrois</w:instrText>
      </w:r>
      <w:r>
        <w:instrText xml:space="preserve">" </w:instrText>
      </w:r>
      <w:r>
        <w:rPr>
          <w:i/>
        </w:rPr>
        <w:fldChar w:fldCharType="end"/>
      </w:r>
      <w:r w:rsidRPr="00273106">
        <w:t>.</w:t>
      </w:r>
      <w:r>
        <w:t xml:space="preserve"> Významy hyparchicky dané v reálné první substanci přestaly mít charakter impozice a byly nahrazeny supozicí významů pouze subjektu. Místem transformace logických sofistů na moderní metafyziky typu </w:t>
      </w:r>
      <w:r w:rsidRPr="08F0055C">
        <w:rPr>
          <w:i/>
        </w:rPr>
        <w:t>sophistae Latini</w:t>
      </w:r>
      <w:r>
        <w:t xml:space="preserve"> byla škola okolo Filipa Kancléře a prvních františkánských magistrů</w:t>
      </w:r>
      <w:r w:rsidRPr="08D948DF">
        <w:t xml:space="preserve"> </w:t>
      </w:r>
      <w:r>
        <w:t>v Paříži v letech 1230</w:t>
      </w:r>
      <w:r>
        <w:rPr>
          <w:rFonts w:cs="Calibri"/>
        </w:rPr>
        <w:t>–</w:t>
      </w:r>
      <w:r>
        <w:t>40. V této šk</w:t>
      </w:r>
      <w:r w:rsidR="00745B1D">
        <w:t xml:space="preserve">ole začal druhý </w:t>
      </w:r>
      <w:r>
        <w:t xml:space="preserve">averroismus daný v díle </w:t>
      </w:r>
      <w:r w:rsidRPr="08D948DF">
        <w:rPr>
          <w:i/>
        </w:rPr>
        <w:t>Summa Duacensis</w:t>
      </w:r>
      <w:r>
        <w:t xml:space="preserve"> (</w:t>
      </w:r>
      <w:r w:rsidR="00745B1D">
        <w:t>OBJ II, kap. 2</w:t>
      </w:r>
      <w:r>
        <w:t>.2.2). Komentovali jsme posun kategoriálního významu od impozice k čisté supozici</w:t>
      </w:r>
      <w:r>
        <w:fldChar w:fldCharType="begin"/>
      </w:r>
      <w:r>
        <w:instrText xml:space="preserve"> XE "</w:instrText>
      </w:r>
      <w:r w:rsidRPr="00D119E8">
        <w:instrText>supozice:druhý averroismus</w:instrText>
      </w:r>
      <w:r>
        <w:instrText xml:space="preserve">" </w:instrText>
      </w:r>
      <w:r>
        <w:fldChar w:fldCharType="end"/>
      </w:r>
      <w:r>
        <w:t xml:space="preserve"> imanentního významu na příkladu Jana </w:t>
      </w:r>
      <w:r w:rsidRPr="00273106">
        <w:t>Pagus</w:t>
      </w:r>
      <w:r>
        <w:t>e</w:t>
      </w:r>
      <w:r>
        <w:fldChar w:fldCharType="begin"/>
      </w:r>
      <w:r>
        <w:instrText xml:space="preserve"> XE "</w:instrText>
      </w:r>
      <w:r w:rsidRPr="004D4D82">
        <w:instrText>Pagus, J</w:instrText>
      </w:r>
      <w:r>
        <w:instrText xml:space="preserve">ohn" </w:instrText>
      </w:r>
      <w:r>
        <w:fldChar w:fldCharType="end"/>
      </w:r>
      <w:r>
        <w:t xml:space="preserve"> </w:t>
      </w:r>
      <w:r w:rsidRPr="00273106">
        <w:t>(</w:t>
      </w:r>
      <w:r w:rsidR="00C40E92">
        <w:t>OBJ II, kap. 3</w:t>
      </w:r>
      <w:r>
        <w:t>.1.1</w:t>
      </w:r>
      <w:r w:rsidRPr="00273106">
        <w:t>).</w:t>
      </w:r>
      <w:r>
        <w:t xml:space="preserve"> Po roce </w:t>
      </w:r>
      <w:r>
        <w:rPr>
          <w:lang w:eastAsia="en-US"/>
        </w:rPr>
        <w:t>1255</w:t>
      </w:r>
      <w:r w:rsidRPr="00273106">
        <w:rPr>
          <w:lang w:eastAsia="en-US"/>
        </w:rPr>
        <w:t xml:space="preserve"> stojí logická škola na Oxfordu a Bonaventurova škola v Paříži proti </w:t>
      </w:r>
      <w:r w:rsidRPr="00273106">
        <w:rPr>
          <w:lang w:eastAsia="en-US"/>
        </w:rPr>
        <w:lastRenderedPageBreak/>
        <w:t>Baconovi, Sigerovi, Albertovi a Akvinskému. Pokusy prvního</w:t>
      </w:r>
      <w:r>
        <w:rPr>
          <w:lang w:eastAsia="en-US"/>
        </w:rPr>
        <w:t xml:space="preserve"> averroismu o zastavení tohoto šíleného (Bacon) či směšného</w:t>
      </w:r>
      <w:r w:rsidRPr="00273106">
        <w:rPr>
          <w:lang w:eastAsia="en-US"/>
        </w:rPr>
        <w:t xml:space="preserve"> (Albert) vývoje latinského Západu měly pouze odkladný účinek.</w:t>
      </w:r>
      <w:r>
        <w:rPr>
          <w:lang w:eastAsia="en-US"/>
        </w:rPr>
        <w:t xml:space="preserve"> </w:t>
      </w:r>
      <w:r w:rsidR="005451A9">
        <w:t xml:space="preserve">První moderní výklad </w:t>
      </w:r>
      <w:r w:rsidR="005451A9" w:rsidRPr="008552BE">
        <w:rPr>
          <w:i/>
        </w:rPr>
        <w:t>Kategorií</w:t>
      </w:r>
      <w:r w:rsidR="005451A9">
        <w:t xml:space="preserve"> převedl do analytické filosofie Petrus Hispanus</w:t>
      </w:r>
      <w:r w:rsidR="005451A9">
        <w:fldChar w:fldCharType="begin"/>
      </w:r>
      <w:r w:rsidR="005451A9">
        <w:instrText xml:space="preserve"> XE "</w:instrText>
      </w:r>
      <w:r w:rsidR="005451A9" w:rsidRPr="00566D96">
        <w:instrText>Petrus Hispanus</w:instrText>
      </w:r>
      <w:r w:rsidR="005451A9">
        <w:instrText xml:space="preserve">" </w:instrText>
      </w:r>
      <w:r w:rsidR="005451A9">
        <w:fldChar w:fldCharType="end"/>
      </w:r>
      <w:r w:rsidR="005451A9">
        <w:t xml:space="preserve"> skrze díla </w:t>
      </w:r>
      <w:r w:rsidR="005451A9" w:rsidRPr="004C31C6">
        <w:rPr>
          <w:rStyle w:val="Podtitul1"/>
          <w:i/>
        </w:rPr>
        <w:t>Summul</w:t>
      </w:r>
      <w:r w:rsidR="005451A9">
        <w:rPr>
          <w:rStyle w:val="Podtitul1"/>
          <w:i/>
        </w:rPr>
        <w:t>a</w:t>
      </w:r>
      <w:r w:rsidR="005451A9" w:rsidRPr="004C31C6">
        <w:rPr>
          <w:rStyle w:val="Podtitul1"/>
          <w:i/>
        </w:rPr>
        <w:t>e logicales</w:t>
      </w:r>
      <w:r w:rsidR="005451A9">
        <w:rPr>
          <w:rStyle w:val="Podtitul1"/>
          <w:i/>
        </w:rPr>
        <w:t xml:space="preserve"> </w:t>
      </w:r>
      <w:r w:rsidR="005451A9" w:rsidRPr="004433C4">
        <w:t xml:space="preserve">a </w:t>
      </w:r>
      <w:r w:rsidR="005451A9" w:rsidRPr="004433C4">
        <w:rPr>
          <w:i/>
        </w:rPr>
        <w:t>Syncategoreumata</w:t>
      </w:r>
      <w:r w:rsidR="005451A9">
        <w:t xml:space="preserve">. Na Oxfordu to byl výše citovaný </w:t>
      </w:r>
      <w:r w:rsidR="005451A9" w:rsidRPr="00273106">
        <w:t xml:space="preserve">William </w:t>
      </w:r>
      <w:r w:rsidR="005451A9" w:rsidRPr="004A4741">
        <w:t>Sherwood</w:t>
      </w:r>
      <w:r w:rsidR="005451A9">
        <w:fldChar w:fldCharType="begin"/>
      </w:r>
      <w:r w:rsidR="005451A9">
        <w:instrText xml:space="preserve"> XE "</w:instrText>
      </w:r>
      <w:r w:rsidR="005451A9" w:rsidRPr="00A31F0A">
        <w:instrText>Sherwood, W.</w:instrText>
      </w:r>
      <w:r w:rsidR="005451A9">
        <w:instrText xml:space="preserve">" </w:instrText>
      </w:r>
      <w:r w:rsidR="005451A9">
        <w:fldChar w:fldCharType="end"/>
      </w:r>
      <w:r w:rsidR="005451A9">
        <w:t xml:space="preserve"> (OBJ II, kap. 3.4.3) a dále Simon Faversham</w:t>
      </w:r>
      <w:r w:rsidR="005451A9">
        <w:fldChar w:fldCharType="begin"/>
      </w:r>
      <w:r w:rsidR="005451A9">
        <w:instrText xml:space="preserve"> XE "</w:instrText>
      </w:r>
      <w:r w:rsidR="005451A9" w:rsidRPr="00D2792B">
        <w:instrText>Simon Faversham</w:instrText>
      </w:r>
      <w:r w:rsidR="005451A9">
        <w:instrText xml:space="preserve">" </w:instrText>
      </w:r>
      <w:r w:rsidR="005451A9">
        <w:fldChar w:fldCharType="end"/>
      </w:r>
      <w:r w:rsidR="005451A9">
        <w:t xml:space="preserve"> (†1306) a Radulphus Brito</w:t>
      </w:r>
      <w:r w:rsidR="005451A9">
        <w:fldChar w:fldCharType="begin"/>
      </w:r>
      <w:r w:rsidR="005451A9">
        <w:instrText xml:space="preserve"> XE "</w:instrText>
      </w:r>
      <w:r w:rsidR="005451A9" w:rsidRPr="00431265">
        <w:instrText>Radulphus Brito</w:instrText>
      </w:r>
      <w:r w:rsidR="005451A9">
        <w:instrText xml:space="preserve">" </w:instrText>
      </w:r>
      <w:r w:rsidR="005451A9">
        <w:fldChar w:fldCharType="end"/>
      </w:r>
      <w:r w:rsidR="005451A9">
        <w:t xml:space="preserve"> (†1320). Tato škola modernistů stála proti škole Modistů z prvního averroismu a rozhodující konflikt běžel na Pařížské univerzitě v letech 1270</w:t>
      </w:r>
      <w:r w:rsidR="005451A9">
        <w:rPr>
          <w:rFonts w:cs="Calibri"/>
        </w:rPr>
        <w:t>–</w:t>
      </w:r>
      <w:r w:rsidR="005451A9">
        <w:t xml:space="preserve">77. </w:t>
      </w:r>
      <w:r w:rsidRPr="00273106">
        <w:t xml:space="preserve">Krizi posílil Simplikiův komentář ke </w:t>
      </w:r>
      <w:r w:rsidRPr="08C171A6">
        <w:rPr>
          <w:i/>
        </w:rPr>
        <w:t>Kategoriím</w:t>
      </w:r>
      <w:r w:rsidRPr="00273106">
        <w:t>, který přeložil William Moerbek</w:t>
      </w:r>
      <w:r>
        <w:t>e</w:t>
      </w:r>
      <w:r>
        <w:fldChar w:fldCharType="begin"/>
      </w:r>
      <w:r>
        <w:instrText xml:space="preserve"> XE "</w:instrText>
      </w:r>
      <w:r w:rsidRPr="00753DEE">
        <w:instrText>Moerbeke, W.</w:instrText>
      </w:r>
      <w:r>
        <w:instrText xml:space="preserve">" </w:instrText>
      </w:r>
      <w:r>
        <w:fldChar w:fldCharType="end"/>
      </w:r>
      <w:r>
        <w:t xml:space="preserve"> do latiny</w:t>
      </w:r>
      <w:r w:rsidRPr="00AB78B7">
        <w:t xml:space="preserve"> </w:t>
      </w:r>
      <w:r>
        <w:t xml:space="preserve">roku </w:t>
      </w:r>
      <w:r w:rsidRPr="00273106">
        <w:t>1266</w:t>
      </w:r>
      <w:r>
        <w:t xml:space="preserve">. </w:t>
      </w:r>
      <w:r w:rsidRPr="00273106">
        <w:t>Interpretace tohoto komentáře umožnila zavést objektivní avicennismu</w:t>
      </w:r>
      <w:r>
        <w:t>s</w:t>
      </w:r>
      <w:r w:rsidRPr="00273106">
        <w:t xml:space="preserve"> do </w:t>
      </w:r>
      <w:r>
        <w:t xml:space="preserve">metafyziky </w:t>
      </w:r>
      <w:r w:rsidRPr="08F51439">
        <w:rPr>
          <w:i/>
        </w:rPr>
        <w:t>via Modernorum</w:t>
      </w:r>
      <w:r>
        <w:t>, což ukázal výklad Gandavovy augustiniánské ontoteologie</w:t>
      </w:r>
      <w:r w:rsidR="00C40E92">
        <w:t xml:space="preserve">. Jeho nauka předložila </w:t>
      </w:r>
      <w:r>
        <w:t>první verzi objektivní metafyziky</w:t>
      </w:r>
      <w:r w:rsidR="00D95D6B">
        <w:t>.</w:t>
      </w:r>
      <w:r w:rsidR="008552BE">
        <w:t xml:space="preserve">  </w:t>
      </w:r>
    </w:p>
    <w:p w:rsidR="00047430" w:rsidRDefault="08163013" w:rsidP="00047430">
      <w:pPr>
        <w:ind w:firstLine="397"/>
      </w:pPr>
      <w:r>
        <w:t xml:space="preserve">Znejasnění </w:t>
      </w:r>
      <w:r>
        <w:rPr>
          <w:lang w:eastAsia="en-US"/>
        </w:rPr>
        <w:t xml:space="preserve">hyparchické predikace determinované reálnou první substancí nutně vyvolalo další krizi ve výkladu </w:t>
      </w:r>
      <w:r w:rsidRPr="08A449AD">
        <w:rPr>
          <w:i/>
          <w:lang w:eastAsia="en-US"/>
        </w:rPr>
        <w:t>Kategorií</w:t>
      </w:r>
      <w:r>
        <w:rPr>
          <w:lang w:eastAsia="en-US"/>
        </w:rPr>
        <w:t>. A</w:t>
      </w:r>
      <w:r w:rsidRPr="00273106">
        <w:rPr>
          <w:lang w:eastAsia="en-US"/>
        </w:rPr>
        <w:t>tributy kvality</w:t>
      </w:r>
      <w:r>
        <w:rPr>
          <w:lang w:eastAsia="en-US"/>
        </w:rPr>
        <w:t>,</w:t>
      </w:r>
      <w:r w:rsidRPr="00273106">
        <w:rPr>
          <w:lang w:eastAsia="en-US"/>
        </w:rPr>
        <w:t xml:space="preserve"> kvantity,</w:t>
      </w:r>
      <w:r>
        <w:rPr>
          <w:lang w:eastAsia="en-US"/>
        </w:rPr>
        <w:t xml:space="preserve"> popř. vztahu a habitu začaly být predikovány dokonce i </w:t>
      </w:r>
      <w:r w:rsidRPr="00273106">
        <w:rPr>
          <w:lang w:eastAsia="en-US"/>
        </w:rPr>
        <w:t xml:space="preserve">na úrovni </w:t>
      </w:r>
      <w:r>
        <w:rPr>
          <w:lang w:eastAsia="en-US"/>
        </w:rPr>
        <w:t xml:space="preserve">hyparchické první substance a z akcidentálních vztahů se </w:t>
      </w:r>
      <w:r>
        <w:t>stala</w:t>
      </w:r>
      <w:r w:rsidRPr="00273106">
        <w:t xml:space="preserve"> </w:t>
      </w:r>
      <w:r>
        <w:t>u</w:t>
      </w:r>
      <w:r w:rsidRPr="00273106">
        <w:t>niverzální určení jsoucna.</w:t>
      </w:r>
      <w:r>
        <w:t xml:space="preserve"> Přechod z </w:t>
      </w:r>
      <w:r w:rsidR="081942A4">
        <w:t xml:space="preserve">metafyzického </w:t>
      </w:r>
      <w:r>
        <w:t xml:space="preserve">dativu na objektivní způsobil i zásadní změnu v postavení univerzálních </w:t>
      </w:r>
      <w:r w:rsidR="00962190">
        <w:rPr>
          <w:i/>
        </w:rPr>
        <w:t>species</w:t>
      </w:r>
      <w:r>
        <w:t>, která už v neoplatonismu převzala funkci atomární substance. Tato substance-</w:t>
      </w:r>
      <w:r w:rsidR="00962190">
        <w:rPr>
          <w:i/>
        </w:rPr>
        <w:t>species</w:t>
      </w:r>
      <w:r>
        <w:t xml:space="preserve"> se stala objektivním jsoucnem skrze hypostázovanou kauzalitu, což zařídil sofistický výklad </w:t>
      </w:r>
      <w:r w:rsidRPr="083829D5">
        <w:rPr>
          <w:i/>
        </w:rPr>
        <w:t xml:space="preserve">Druhých </w:t>
      </w:r>
      <w:r w:rsidRPr="08796E3F">
        <w:rPr>
          <w:i/>
        </w:rPr>
        <w:t>analytik</w:t>
      </w:r>
      <w:r>
        <w:t xml:space="preserve"> </w:t>
      </w:r>
      <w:r w:rsidRPr="08796E3F">
        <w:t>v</w:t>
      </w:r>
      <w:r>
        <w:t xml:space="preserve"> modu </w:t>
      </w:r>
      <w:r w:rsidRPr="08796E3F">
        <w:rPr>
          <w:i/>
        </w:rPr>
        <w:t>Oxfordian Fallacy</w:t>
      </w:r>
      <w:r w:rsidRPr="08E14F62">
        <w:t xml:space="preserve"> </w:t>
      </w:r>
      <w:r>
        <w:t xml:space="preserve">od roku 1230. Analytická filosofie se stala </w:t>
      </w:r>
      <w:proofErr w:type="gramStart"/>
      <w:r>
        <w:t>metafyzikou a  provedla</w:t>
      </w:r>
      <w:proofErr w:type="gramEnd"/>
      <w:r>
        <w:t xml:space="preserve"> moderní </w:t>
      </w:r>
      <w:r w:rsidRPr="08CB3E2A">
        <w:rPr>
          <w:i/>
        </w:rPr>
        <w:t>Aufhebung</w:t>
      </w:r>
      <w:r>
        <w:t xml:space="preserve"> bývalých škol porretánů a </w:t>
      </w:r>
      <w:r w:rsidRPr="08C41801">
        <w:rPr>
          <w:i/>
        </w:rPr>
        <w:t>Nominales</w:t>
      </w:r>
      <w:r w:rsidR="004A4D80">
        <w:t xml:space="preserve">. Tyto školy </w:t>
      </w:r>
      <w:r>
        <w:t xml:space="preserve">přešly do nově utvořené analytické metafyziky </w:t>
      </w:r>
      <w:r w:rsidR="004A4D80">
        <w:t xml:space="preserve">vyučované v Oxfordu a v Paříži, viz </w:t>
      </w:r>
      <w:r>
        <w:t xml:space="preserve">Alvernem kritizovaní </w:t>
      </w:r>
      <w:r w:rsidRPr="08CE4CFD">
        <w:rPr>
          <w:i/>
        </w:rPr>
        <w:t>Grammatici</w:t>
      </w:r>
      <w:r w:rsidR="004A4D80">
        <w:t xml:space="preserve"> </w:t>
      </w:r>
      <w:r w:rsidR="004A4D80" w:rsidRPr="00F23FDD">
        <w:rPr>
          <w:szCs w:val="24"/>
          <w:lang w:val="de-DE"/>
        </w:rPr>
        <w:t>(OBJ II,</w:t>
      </w:r>
      <w:r w:rsidR="004A4D80">
        <w:rPr>
          <w:szCs w:val="24"/>
          <w:lang w:val="de-DE"/>
        </w:rPr>
        <w:t xml:space="preserve"> k</w:t>
      </w:r>
      <w:r w:rsidR="004A4D80" w:rsidRPr="00F23FDD">
        <w:rPr>
          <w:szCs w:val="24"/>
          <w:lang w:val="de-DE"/>
        </w:rPr>
        <w:t>ap. 2.3.1)</w:t>
      </w:r>
      <w:r>
        <w:t xml:space="preserve">. Rufus zavedl do analytické filosofie také univerzální hylemorfismus  a udělal z analytického výkladu </w:t>
      </w:r>
      <w:r w:rsidRPr="086A7864">
        <w:rPr>
          <w:i/>
        </w:rPr>
        <w:t>Druhých analytik</w:t>
      </w:r>
      <w:r>
        <w:t xml:space="preserve"> novou první vědu o objektivním jsoucnu. Ale jeho pokus o modernizaci Aristotela tehd</w:t>
      </w:r>
      <w:r w:rsidR="008A7A4A">
        <w:t xml:space="preserve">y ztroskotal, protože kritické </w:t>
      </w:r>
      <w:r>
        <w:t xml:space="preserve">myšlení pevně ovládalo Pařížskou univerzitu do roku 1250. Rufus prosazoval verzi objektivního aristotelismu podle Davida z Dinantu, ale danou mimo jeho panteismus. Zakládající generace Pařížské univerzity vykládající metafyziku podle Komentátora nemohla tolerovat heretické učení </w:t>
      </w:r>
      <w:r w:rsidRPr="08D676FC">
        <w:rPr>
          <w:i/>
        </w:rPr>
        <w:t>sequaces Aristotelis</w:t>
      </w:r>
      <w:r>
        <w:t xml:space="preserve">. </w:t>
      </w:r>
      <w:r w:rsidR="008A7A4A" w:rsidRPr="008A7A4A">
        <w:t xml:space="preserve">Vedoucí představitelé univerzity, jako byl Alvernus, podnikli podobné kroky jako Averroes, který se angažoval proti Avicennovu neoplatonismu. Averroes vylepšil filosoficky nedostatečnou kritiku modernistů, kterou vypracoval Al-Ghazálí. Křesťanští učenci </w:t>
      </w:r>
      <w:r w:rsidR="008A7A4A" w:rsidRPr="008A7A4A">
        <w:lastRenderedPageBreak/>
        <w:t>na pařížské univerzitě posuzovali tyto spory moudře, stejně</w:t>
      </w:r>
      <w:r w:rsidR="008A7A4A">
        <w:t xml:space="preserve"> jako Ibn Rušd a Al-Ghazálí ve f</w:t>
      </w:r>
      <w:r w:rsidR="008A7A4A" w:rsidRPr="008A7A4A">
        <w:t>alsafě. Pro všechny z nich př</w:t>
      </w:r>
      <w:r w:rsidR="008A7A4A">
        <w:t>edstavoval rozpad osoby a smrt b</w:t>
      </w:r>
      <w:r w:rsidR="008A7A4A" w:rsidRPr="008A7A4A">
        <w:t>oha v západním myšlení příliš vysokou c</w:t>
      </w:r>
      <w:r w:rsidR="008A7A4A">
        <w:t>enu za hlásání moderních sofismat</w:t>
      </w:r>
      <w:r w:rsidR="008A7A4A" w:rsidRPr="008A7A4A">
        <w:t xml:space="preserve">. Klíčovým svědkem proměny kategorické predikace v esenciální metafyziku byl Jindřich z </w:t>
      </w:r>
      <w:proofErr w:type="gramStart"/>
      <w:r w:rsidR="008A7A4A" w:rsidRPr="008A7A4A">
        <w:t>Gentu</w:t>
      </w:r>
      <w:proofErr w:type="gramEnd"/>
      <w:r w:rsidR="008A7A4A" w:rsidRPr="008A7A4A">
        <w:t xml:space="preserve">. Zavedl predikaci založenou na intencionalitě subjektu, která měla být rovnocennou </w:t>
      </w:r>
      <w:r w:rsidR="008A7A4A">
        <w:t xml:space="preserve">náhradou kategorické predikace. </w:t>
      </w:r>
      <w:r>
        <w:t xml:space="preserve">Hermeneutika popsala jeho </w:t>
      </w:r>
      <w:r>
        <w:rPr>
          <w:lang w:eastAsia="en-US"/>
        </w:rPr>
        <w:t>dedukci</w:t>
      </w:r>
      <w:r w:rsidRPr="00273106">
        <w:rPr>
          <w:lang w:eastAsia="en-US"/>
        </w:rPr>
        <w:t xml:space="preserve"> významu substance </w:t>
      </w:r>
      <w:r>
        <w:rPr>
          <w:lang w:eastAsia="en-US"/>
        </w:rPr>
        <w:t xml:space="preserve">na esenci skrze termín </w:t>
      </w:r>
      <w:r w:rsidR="00386236">
        <w:rPr>
          <w:lang w:eastAsia="en-US"/>
        </w:rPr>
        <w:t>„</w:t>
      </w:r>
      <w:r w:rsidRPr="00273106">
        <w:rPr>
          <w:i/>
        </w:rPr>
        <w:t>res dicta a reor reris</w:t>
      </w:r>
      <w:r w:rsidR="00386236">
        <w:t>“</w:t>
      </w:r>
      <w:r>
        <w:rPr>
          <w:i/>
        </w:rPr>
        <w:fldChar w:fldCharType="begin"/>
      </w:r>
      <w:r>
        <w:instrText xml:space="preserve"> XE "</w:instrText>
      </w:r>
      <w:r w:rsidRPr="00162212">
        <w:instrText>věc</w:instrText>
      </w:r>
      <w:r w:rsidRPr="00A11FD3">
        <w:rPr>
          <w:i/>
        </w:rPr>
        <w:instrText>:res dicta a reor reris</w:instrText>
      </w:r>
      <w:r>
        <w:instrText xml:space="preserve">" </w:instrText>
      </w:r>
      <w:r>
        <w:rPr>
          <w:i/>
        </w:rPr>
        <w:fldChar w:fldCharType="end"/>
      </w:r>
      <w:r w:rsidR="00BF75B9">
        <w:rPr>
          <w:lang w:eastAsia="en-US"/>
        </w:rPr>
        <w:t xml:space="preserve"> (kap. 5</w:t>
      </w:r>
      <w:r>
        <w:rPr>
          <w:lang w:eastAsia="en-US"/>
        </w:rPr>
        <w:t xml:space="preserve">.2.1). </w:t>
      </w:r>
      <w:r w:rsidRPr="00273106">
        <w:t>Z původně akcidentálního určení vztahu a habitu vznikla substanciální predikace vztahu a minimální esence směrem od boha a směrem k bohu.</w:t>
      </w:r>
      <w:r>
        <w:t xml:space="preserve"> </w:t>
      </w:r>
      <w:r w:rsidRPr="00273106">
        <w:t xml:space="preserve">Hermeneutika zkoumala </w:t>
      </w:r>
      <w:r>
        <w:t xml:space="preserve">nové </w:t>
      </w:r>
      <w:r w:rsidRPr="00273106">
        <w:t xml:space="preserve">pojetí </w:t>
      </w:r>
      <w:r w:rsidRPr="00273106">
        <w:rPr>
          <w:i/>
        </w:rPr>
        <w:t>relatio</w:t>
      </w:r>
      <w:r>
        <w:rPr>
          <w:i/>
        </w:rPr>
        <w:fldChar w:fldCharType="begin"/>
      </w:r>
      <w:r>
        <w:instrText xml:space="preserve"> XE "</w:instrText>
      </w:r>
      <w:r w:rsidRPr="00162212">
        <w:rPr>
          <w:i/>
        </w:rPr>
        <w:instrText>relatio</w:instrText>
      </w:r>
      <w:r>
        <w:instrText xml:space="preserve">" </w:instrText>
      </w:r>
      <w:r>
        <w:rPr>
          <w:i/>
        </w:rPr>
        <w:fldChar w:fldCharType="end"/>
      </w:r>
      <w:r w:rsidRPr="00273106">
        <w:t xml:space="preserve"> a </w:t>
      </w:r>
      <w:r w:rsidRPr="00273106">
        <w:rPr>
          <w:i/>
        </w:rPr>
        <w:t>habitus</w:t>
      </w:r>
      <w:r>
        <w:rPr>
          <w:i/>
        </w:rPr>
        <w:fldChar w:fldCharType="begin"/>
      </w:r>
      <w:r>
        <w:instrText xml:space="preserve"> XE "</w:instrText>
      </w:r>
      <w:r w:rsidRPr="08260BA6">
        <w:rPr>
          <w:i/>
        </w:rPr>
        <w:instrText>habitus</w:instrText>
      </w:r>
      <w:r>
        <w:instrText xml:space="preserve">" </w:instrText>
      </w:r>
      <w:r>
        <w:rPr>
          <w:i/>
        </w:rPr>
        <w:fldChar w:fldCharType="end"/>
      </w:r>
      <w:r w:rsidRPr="00273106">
        <w:t xml:space="preserve"> založené na </w:t>
      </w:r>
      <w:r>
        <w:t xml:space="preserve">amfibolické </w:t>
      </w:r>
      <w:r w:rsidRPr="00273106">
        <w:t xml:space="preserve">dedukci </w:t>
      </w:r>
      <w:r>
        <w:t xml:space="preserve">objektivního </w:t>
      </w:r>
      <w:r w:rsidRPr="00273106">
        <w:t>smyslu jsoucna (</w:t>
      </w:r>
      <w:r w:rsidRPr="00273106">
        <w:rPr>
          <w:i/>
        </w:rPr>
        <w:t>esse ad</w:t>
      </w:r>
      <w:r>
        <w:rPr>
          <w:i/>
        </w:rPr>
        <w:fldChar w:fldCharType="begin"/>
      </w:r>
      <w:r>
        <w:instrText xml:space="preserve"> XE "</w:instrText>
      </w:r>
      <w:r w:rsidRPr="008F3381">
        <w:rPr>
          <w:i/>
        </w:rPr>
        <w:instrText xml:space="preserve">esse </w:instrText>
      </w:r>
      <w:proofErr w:type="gramStart"/>
      <w:r w:rsidRPr="008F3381">
        <w:rPr>
          <w:i/>
        </w:rPr>
        <w:instrText>ad</w:instrText>
      </w:r>
      <w:proofErr w:type="gramEnd"/>
      <w:r w:rsidRPr="008F3381">
        <w:rPr>
          <w:i/>
        </w:rPr>
        <w:instrText>:</w:instrText>
      </w:r>
      <w:r w:rsidRPr="00D83FB2">
        <w:instrText>Gandavus</w:instrText>
      </w:r>
      <w:r>
        <w:instrText xml:space="preserve">" </w:instrText>
      </w:r>
      <w:r>
        <w:rPr>
          <w:i/>
        </w:rPr>
        <w:fldChar w:fldCharType="end"/>
      </w:r>
      <w:r w:rsidRPr="00273106">
        <w:t xml:space="preserve">) směrem od boha </w:t>
      </w:r>
      <w:r w:rsidR="00BF75B9">
        <w:t>k exemplaru (kap. 5</w:t>
      </w:r>
      <w:r>
        <w:t>.2.3</w:t>
      </w:r>
      <w:r w:rsidRPr="00273106">
        <w:t xml:space="preserve">). </w:t>
      </w:r>
      <w:r>
        <w:rPr>
          <w:lang w:eastAsia="en-US"/>
        </w:rPr>
        <w:t xml:space="preserve">Připomeňme dvě teze </w:t>
      </w:r>
      <w:r w:rsidRPr="08990242">
        <w:rPr>
          <w:i/>
          <w:lang w:eastAsia="en-US"/>
        </w:rPr>
        <w:t>Oxfordian Fallacy</w:t>
      </w:r>
      <w:r>
        <w:rPr>
          <w:i/>
          <w:lang w:eastAsia="en-US"/>
        </w:rPr>
        <w:fldChar w:fldCharType="begin"/>
      </w:r>
      <w:r>
        <w:instrText xml:space="preserve"> XE "</w:instrText>
      </w:r>
      <w:r w:rsidRPr="08F076BF">
        <w:rPr>
          <w:i/>
          <w:lang w:eastAsia="en-US"/>
        </w:rPr>
        <w:instrText>Oxfordian Fallacy:</w:instrText>
      </w:r>
      <w:r w:rsidRPr="089401D8">
        <w:rPr>
          <w:lang w:eastAsia="en-US"/>
        </w:rPr>
        <w:instrText>predikace</w:instrText>
      </w:r>
      <w:r>
        <w:instrText xml:space="preserve">" </w:instrText>
      </w:r>
      <w:r>
        <w:rPr>
          <w:i/>
          <w:lang w:eastAsia="en-US"/>
        </w:rPr>
        <w:fldChar w:fldCharType="end"/>
      </w:r>
      <w:r>
        <w:rPr>
          <w:lang w:eastAsia="en-US"/>
        </w:rPr>
        <w:t xml:space="preserve">, které řídí od roku 1280 mytopoetickou produkci moderního jsoucna. Rufus zavedl absolutní </w:t>
      </w:r>
      <w:r>
        <w:t>supozici smyslu jsoucna od subjektu</w:t>
      </w:r>
      <w:r>
        <w:rPr>
          <w:i/>
        </w:rPr>
        <w:fldChar w:fldCharType="begin"/>
      </w:r>
      <w:r>
        <w:instrText xml:space="preserve"> XE "</w:instrText>
      </w:r>
      <w:r w:rsidRPr="00360013">
        <w:rPr>
          <w:i/>
        </w:rPr>
        <w:instrText>subiectum:</w:instrText>
      </w:r>
      <w:r w:rsidRPr="002C4CEE">
        <w:instrText>Rufus</w:instrText>
      </w:r>
      <w:r>
        <w:instrText xml:space="preserve">" </w:instrText>
      </w:r>
      <w:r>
        <w:rPr>
          <w:i/>
        </w:rPr>
        <w:fldChar w:fldCharType="end"/>
      </w:r>
      <w:r w:rsidRPr="00370E8C">
        <w:t xml:space="preserve"> </w:t>
      </w:r>
      <w:r>
        <w:t>(</w:t>
      </w:r>
      <w:r w:rsidRPr="00A70F2A">
        <w:rPr>
          <w:i/>
        </w:rPr>
        <w:t>ubi est subiectum, non ostenditur, sed supponitur</w:t>
      </w:r>
      <w:r w:rsidR="00BF75B9">
        <w:t>; OBJ II, kap. 3</w:t>
      </w:r>
      <w:r w:rsidRPr="0051421F">
        <w:t xml:space="preserve">.3.1). </w:t>
      </w:r>
      <w:r>
        <w:t xml:space="preserve">Supozice daná v modu absolutní demiurgické intencionality vytlačila impozici univočního kategoriálního významu, který v aristotelismu vědecky manifestuje kauzalitu první substance. </w:t>
      </w:r>
      <w:r>
        <w:rPr>
          <w:lang w:eastAsia="en-US"/>
        </w:rPr>
        <w:t>Erfurtský anonym na základě Rufusovy inovace tvrdí, že b</w:t>
      </w:r>
      <w:r>
        <w:t xml:space="preserve">ytí hypostázovaného intelektu-slunce zajišťuje primární produkci smyslu jsoucna mimo první substanci </w:t>
      </w:r>
      <w:r w:rsidRPr="00273106">
        <w:t>(</w:t>
      </w:r>
      <w:r w:rsidRPr="00273106">
        <w:rPr>
          <w:i/>
        </w:rPr>
        <w:t>quaestio quid est</w:t>
      </w:r>
      <w:r>
        <w:rPr>
          <w:i/>
        </w:rPr>
        <w:t xml:space="preserve"> intellectus</w:t>
      </w:r>
      <w:r w:rsidRPr="00273106">
        <w:rPr>
          <w:i/>
        </w:rPr>
        <w:t xml:space="preserve"> non supponit quaestionem si est res</w:t>
      </w:r>
      <w:r w:rsidR="00BF75B9">
        <w:t>; OBJ II, kap. 3</w:t>
      </w:r>
      <w:r w:rsidRPr="00C530CD">
        <w:t>.4.3</w:t>
      </w:r>
      <w:r w:rsidRPr="00273106">
        <w:t>)</w:t>
      </w:r>
      <w:r>
        <w:t xml:space="preserve">. </w:t>
      </w:r>
      <w:r w:rsidR="001B00A8" w:rsidRPr="001B00A8">
        <w:t>Nová metafyzika chiméry vytvořila objektivní typ slunečního mýtu, který určuje smysl kosm</w:t>
      </w:r>
      <w:r w:rsidR="001B00A8">
        <w:t>u pouze od osvíceného subjektu.</w:t>
      </w:r>
      <w:r w:rsidR="00BE6326">
        <w:t xml:space="preserve"> </w:t>
      </w:r>
      <w:r w:rsidR="00BE6326" w:rsidRPr="00BE6326">
        <w:t xml:space="preserve">Determinace </w:t>
      </w:r>
      <w:r w:rsidR="00BE6326">
        <w:t>skrze aktuální p</w:t>
      </w:r>
      <w:r w:rsidR="00D0666D">
        <w:t>rvní</w:t>
      </w:r>
      <w:r w:rsidR="00BE6326" w:rsidRPr="00BE6326">
        <w:t xml:space="preserve"> substance se stala zvláštním případem kontingentní determinace, kterou lze odvodit z věčných esencí. Ty jsou objektivně a exemplárně dány v božském myšlení. </w:t>
      </w:r>
      <w:r w:rsidR="008A31D4">
        <w:t xml:space="preserve">Toto exemplární myšlení pak </w:t>
      </w:r>
      <w:r>
        <w:t>metafyzicky a psychologicky poznává příslušný akademický iluminát v modu neomylné logické dedukce</w:t>
      </w:r>
      <w:r w:rsidRPr="00273106">
        <w:t xml:space="preserve">. </w:t>
      </w:r>
      <w:r>
        <w:t xml:space="preserve">Tím vznikla </w:t>
      </w:r>
      <w:r w:rsidRPr="00273106">
        <w:t>dvě určení jsoucna (substančně-kategoriální, esenciálně-</w:t>
      </w:r>
      <w:r>
        <w:t>objektivní</w:t>
      </w:r>
      <w:r w:rsidRPr="00273106">
        <w:t>), kte</w:t>
      </w:r>
      <w:r>
        <w:t xml:space="preserve">rá běžela paralelně vedle sebe, což klasický aristotelismus považoval za šílené. Moderní bůh a moderní subjekt trvale dedukují ve své mysli kolekci simuláker </w:t>
      </w:r>
      <w:r w:rsidR="00BB6BC4">
        <w:t xml:space="preserve">danou </w:t>
      </w:r>
      <w:r>
        <w:t xml:space="preserve">na základě dvojí kapitalistické a dnes </w:t>
      </w:r>
      <w:r w:rsidR="00B87E04">
        <w:t xml:space="preserve">virtuální </w:t>
      </w:r>
      <w:r>
        <w:t>produkce (</w:t>
      </w:r>
      <w:r w:rsidRPr="08A3112E">
        <w:rPr>
          <w:i/>
        </w:rPr>
        <w:t>regula agentis in/creati</w:t>
      </w:r>
      <w:r w:rsidR="00047430">
        <w:t xml:space="preserve">). </w:t>
      </w:r>
      <w:r w:rsidR="004B79E8">
        <w:t>Tato paranoická</w:t>
      </w:r>
      <w:r>
        <w:t xml:space="preserve"> dedukce smyslu jsoucna ze schizofrenického subjektu rozděleného u Oliviho</w:t>
      </w:r>
      <w:r w:rsidR="00C450A6">
        <w:t xml:space="preserve"> už na tři substance představovala</w:t>
      </w:r>
      <w:r>
        <w:t xml:space="preserve"> poslední myšlenkový produkt</w:t>
      </w:r>
      <w:r w:rsidRPr="00273106">
        <w:t xml:space="preserve"> </w:t>
      </w:r>
      <w:r>
        <w:t>druhého averroismu. Produkci m</w:t>
      </w:r>
      <w:r w:rsidR="00676AD7">
        <w:t>oderního smyslu jsoucna řídily</w:t>
      </w:r>
      <w:r w:rsidR="00894E9C">
        <w:t xml:space="preserve"> dva</w:t>
      </w:r>
      <w:r>
        <w:t xml:space="preserve"> apokalyptické </w:t>
      </w:r>
      <w:r w:rsidR="00894E9C">
        <w:t xml:space="preserve">subjekty </w:t>
      </w:r>
      <w:r>
        <w:t xml:space="preserve">zjevující poslední smysl </w:t>
      </w:r>
      <w:r w:rsidR="00894E9C">
        <w:t>věcí. N</w:t>
      </w:r>
      <w:r>
        <w:t xml:space="preserve">aštěstí </w:t>
      </w:r>
      <w:r w:rsidR="00676AD7">
        <w:t xml:space="preserve">tyto mytologicxké </w:t>
      </w:r>
      <w:r w:rsidR="00676AD7">
        <w:lastRenderedPageBreak/>
        <w:t xml:space="preserve">kreatury </w:t>
      </w:r>
      <w:r>
        <w:t>exist</w:t>
      </w:r>
      <w:r w:rsidR="00676AD7">
        <w:t xml:space="preserve">ovaly </w:t>
      </w:r>
      <w:r>
        <w:t>pouz</w:t>
      </w:r>
      <w:r w:rsidR="00676AD7">
        <w:t>e objektivně a dnes jsou již obě mrtvé</w:t>
      </w:r>
      <w:r>
        <w:t xml:space="preserve">. </w:t>
      </w:r>
      <w:r w:rsidR="00982B99" w:rsidRPr="00982B99">
        <w:t xml:space="preserve">V dnešní nihilistické verzi modernity vládnou světu pouze </w:t>
      </w:r>
      <w:r w:rsidR="00982B99">
        <w:t>F</w:t>
      </w:r>
      <w:r w:rsidR="00982B99" w:rsidRPr="00982B99">
        <w:t xml:space="preserve">úrie z podsvětí prostřednictvím svých </w:t>
      </w:r>
      <w:r w:rsidR="00982B99">
        <w:t xml:space="preserve">korporátně </w:t>
      </w:r>
      <w:r w:rsidR="00982B99" w:rsidRPr="00982B99">
        <w:t>schopných agentů, kteří sídlí v platónské jeskyni objektivního ducha.</w:t>
      </w:r>
    </w:p>
    <w:p w:rsidR="08163013" w:rsidRDefault="08163013" w:rsidP="08163013">
      <w:r>
        <w:tab/>
      </w:r>
      <w:r w:rsidR="006E37B2">
        <w:t>Moderna okolo roku 1290 neměla</w:t>
      </w:r>
      <w:r>
        <w:t xml:space="preserve"> jasnou metafyzickou dedukci teologie jako vědy</w:t>
      </w:r>
      <w:r w:rsidR="002E02B3">
        <w:t xml:space="preserve"> a vytvořila </w:t>
      </w:r>
      <w:r w:rsidR="00ED0D86">
        <w:t>sbírku</w:t>
      </w:r>
      <w:r>
        <w:t xml:space="preserve"> mytopoetických </w:t>
      </w:r>
      <w:r w:rsidR="002E02B3">
        <w:t>a b</w:t>
      </w:r>
      <w:r>
        <w:t>iblických tvrzení spojených augustiniánským avicennism</w:t>
      </w:r>
      <w:r w:rsidR="002E02B3">
        <w:t>em</w:t>
      </w:r>
      <w:r>
        <w:t xml:space="preserve">. To nebylo únosné pro metafyzické logiky ovlivněné avicennismem oxfordské </w:t>
      </w:r>
      <w:r w:rsidRPr="083211A9">
        <w:rPr>
          <w:i/>
        </w:rPr>
        <w:t>Summa theologiae</w:t>
      </w:r>
      <w:r w:rsidR="00A84B98">
        <w:t xml:space="preserve"> (OBJ II, kap. 3</w:t>
      </w:r>
      <w:r>
        <w:t>.1.3)</w:t>
      </w:r>
      <w:r w:rsidR="00A84B98">
        <w:t xml:space="preserve">. Jejich následovníci se přidali </w:t>
      </w:r>
      <w:r w:rsidR="00313FEF" w:rsidRPr="00313FEF">
        <w:t>k</w:t>
      </w:r>
      <w:r w:rsidR="007F3B1E">
        <w:t> </w:t>
      </w:r>
      <w:r w:rsidR="00313FEF" w:rsidRPr="00313FEF">
        <w:t>averroismu</w:t>
      </w:r>
      <w:r w:rsidR="007F3B1E">
        <w:t xml:space="preserve"> Akvinského</w:t>
      </w:r>
      <w:r w:rsidR="00313FEF" w:rsidRPr="00313FEF">
        <w:t>, který byl předá</w:t>
      </w:r>
      <w:r w:rsidR="00313FEF">
        <w:t xml:space="preserve">ván jako oficiální tomismus. </w:t>
      </w:r>
      <w:r>
        <w:t xml:space="preserve">Scotus odjížděl do Paříže s </w:t>
      </w:r>
      <w:r w:rsidR="00150DD5">
        <w:t>přesvědčením</w:t>
      </w:r>
      <w:r>
        <w:t>, že je třeba ukončit rozpor obou výše citovaných paradigmat v rámci moderní gigantomachie</w:t>
      </w:r>
      <w:r>
        <w:fldChar w:fldCharType="begin"/>
      </w:r>
      <w:r>
        <w:instrText xml:space="preserve"> XE "</w:instrText>
      </w:r>
      <w:r w:rsidRPr="00FC5D97">
        <w:instrText>substance:gigantomachie</w:instrText>
      </w:r>
      <w:r>
        <w:instrText xml:space="preserve">" </w:instrText>
      </w:r>
      <w:r>
        <w:fldChar w:fldCharType="end"/>
      </w:r>
      <w:r>
        <w:t xml:space="preserve"> o substanci. Oxfordský </w:t>
      </w:r>
      <w:r w:rsidRPr="08A555C4">
        <w:rPr>
          <w:i/>
        </w:rPr>
        <w:t>Doctor Subtilis</w:t>
      </w:r>
      <w:r w:rsidRPr="08A555C4">
        <w:t xml:space="preserve"> zrušil spor </w:t>
      </w:r>
      <w:r>
        <w:t xml:space="preserve">mezi prvním a druhým averroismem </w:t>
      </w:r>
      <w:r w:rsidRPr="08A555C4">
        <w:t>podle klasického</w:t>
      </w:r>
      <w:r>
        <w:t xml:space="preserve"> sofistického vzoru. Vítěznou metafyziku založil mimo školu prvního a druhého averroismu. Posun směrem k metafyzickému </w:t>
      </w:r>
      <w:r w:rsidRPr="00273106">
        <w:t>nihilis</w:t>
      </w:r>
      <w:r>
        <w:t>mu</w:t>
      </w:r>
      <w:r w:rsidRPr="00273106">
        <w:t xml:space="preserve"> dosvědčuje </w:t>
      </w:r>
      <w:r>
        <w:t xml:space="preserve">Scotův </w:t>
      </w:r>
      <w:r w:rsidRPr="00273106">
        <w:t xml:space="preserve">raný </w:t>
      </w:r>
      <w:r>
        <w:t xml:space="preserve">komentář k </w:t>
      </w:r>
      <w:r w:rsidRPr="086A00FB">
        <w:rPr>
          <w:i/>
        </w:rPr>
        <w:t>Isagoge</w:t>
      </w:r>
      <w:r w:rsidRPr="00273106">
        <w:t xml:space="preserve">. Původní diference mezi realitou a její kategoriální signifikací </w:t>
      </w:r>
      <w:r>
        <w:t>zmizela</w:t>
      </w:r>
      <w:r w:rsidR="00150DD5">
        <w:t xml:space="preserve">. </w:t>
      </w:r>
      <w:r w:rsidR="00235C3C">
        <w:t>M</w:t>
      </w:r>
      <w:r w:rsidR="00235C3C">
        <w:rPr>
          <w:szCs w:val="24"/>
          <w:lang w:val="de-DE"/>
        </w:rPr>
        <w:t>etafyzický dativ</w:t>
      </w:r>
      <w:r w:rsidR="00235C3C">
        <w:rPr>
          <w:szCs w:val="24"/>
          <w:lang w:val="de-DE"/>
        </w:rPr>
        <w:fldChar w:fldCharType="begin"/>
      </w:r>
      <w:r w:rsidR="00235C3C">
        <w:instrText xml:space="preserve"> XE "</w:instrText>
      </w:r>
      <w:r w:rsidR="00235C3C" w:rsidRPr="00FC7B02">
        <w:rPr>
          <w:i/>
        </w:rPr>
        <w:instrText>dativus metaphysicus</w:instrText>
      </w:r>
      <w:r w:rsidR="00235C3C">
        <w:instrText xml:space="preserve">" </w:instrText>
      </w:r>
      <w:r w:rsidR="00235C3C">
        <w:rPr>
          <w:szCs w:val="24"/>
          <w:lang w:val="de-DE"/>
        </w:rPr>
        <w:fldChar w:fldCharType="end"/>
      </w:r>
      <w:r w:rsidR="00235C3C">
        <w:rPr>
          <w:szCs w:val="24"/>
          <w:lang w:val="de-DE"/>
        </w:rPr>
        <w:t xml:space="preserve"> se kompletně změnil na </w:t>
      </w:r>
      <w:r w:rsidR="00235C3C" w:rsidRPr="00FC7B02">
        <w:rPr>
          <w:i/>
          <w:szCs w:val="24"/>
          <w:lang w:val="de-DE"/>
        </w:rPr>
        <w:t>dativus obiectivus</w:t>
      </w:r>
      <w:r w:rsidR="00235C3C">
        <w:rPr>
          <w:i/>
          <w:szCs w:val="24"/>
          <w:lang w:val="de-DE"/>
        </w:rPr>
        <w:fldChar w:fldCharType="begin"/>
      </w:r>
      <w:r w:rsidR="00235C3C">
        <w:instrText xml:space="preserve"> XE "</w:instrText>
      </w:r>
      <w:r w:rsidR="00235C3C" w:rsidRPr="00B13D97">
        <w:rPr>
          <w:i/>
          <w:szCs w:val="24"/>
          <w:lang w:val="de-DE"/>
        </w:rPr>
        <w:instrText>dativus obiectivus</w:instrText>
      </w:r>
      <w:r w:rsidR="00235C3C">
        <w:instrText xml:space="preserve">" </w:instrText>
      </w:r>
      <w:r w:rsidR="00235C3C">
        <w:rPr>
          <w:i/>
          <w:szCs w:val="24"/>
          <w:lang w:val="de-DE"/>
        </w:rPr>
        <w:fldChar w:fldCharType="end"/>
      </w:r>
      <w:r w:rsidR="00235C3C">
        <w:rPr>
          <w:szCs w:val="24"/>
          <w:lang w:val="de-DE"/>
        </w:rPr>
        <w:t xml:space="preserve">. </w:t>
      </w:r>
      <w:r w:rsidR="00150DD5">
        <w:t xml:space="preserve">Predikace se vztahuje k </w:t>
      </w:r>
      <w:r>
        <w:t>atomární substanci</w:t>
      </w:r>
      <w:r w:rsidR="00150DD5">
        <w:t xml:space="preserve">, která je dána </w:t>
      </w:r>
      <w:r>
        <w:t xml:space="preserve">reálně </w:t>
      </w:r>
      <w:r w:rsidRPr="00273106">
        <w:rPr>
          <w:i/>
        </w:rPr>
        <w:t>per se</w:t>
      </w:r>
      <w:r>
        <w:t xml:space="preserve"> </w:t>
      </w:r>
      <w:r w:rsidR="00150DD5">
        <w:t>a stejně tak je reálně daný i akcident</w:t>
      </w:r>
      <w:r w:rsidRPr="00273106">
        <w:t xml:space="preserve"> (</w:t>
      </w:r>
      <w:r w:rsidRPr="00273106">
        <w:rPr>
          <w:i/>
        </w:rPr>
        <w:t>hoc de accidente reali</w:t>
      </w:r>
      <w:r w:rsidRPr="00273106">
        <w:t>).</w:t>
      </w:r>
      <w:r w:rsidRPr="00273106">
        <w:rPr>
          <w:rStyle w:val="Znakapoznpodarou"/>
        </w:rPr>
        <w:footnoteReference w:id="419"/>
      </w:r>
      <w:r w:rsidRPr="00273106">
        <w:t xml:space="preserve"> </w:t>
      </w:r>
      <w:r>
        <w:t>P</w:t>
      </w:r>
      <w:r w:rsidRPr="00273106">
        <w:t xml:space="preserve">redikace </w:t>
      </w:r>
      <w:r>
        <w:t xml:space="preserve">metafyzické </w:t>
      </w:r>
      <w:r w:rsidRPr="00273106">
        <w:t xml:space="preserve">substance jako jsoucna třetího druhu </w:t>
      </w:r>
      <w:r>
        <w:t xml:space="preserve">daná v modu </w:t>
      </w:r>
      <w:r w:rsidRPr="00273106">
        <w:rPr>
          <w:i/>
        </w:rPr>
        <w:t>impositio prima</w:t>
      </w:r>
      <w:r>
        <w:rPr>
          <w:i/>
        </w:rPr>
        <w:fldChar w:fldCharType="begin"/>
      </w:r>
      <w:r>
        <w:instrText xml:space="preserve"> XE "impozice:</w:instrText>
      </w:r>
      <w:r w:rsidRPr="00B17D6E">
        <w:rPr>
          <w:i/>
        </w:rPr>
        <w:instrText>impositio prima</w:instrText>
      </w:r>
      <w:r>
        <w:instrText xml:space="preserve">" </w:instrText>
      </w:r>
      <w:r>
        <w:rPr>
          <w:i/>
        </w:rPr>
        <w:fldChar w:fldCharType="end"/>
      </w:r>
      <w:r w:rsidRPr="00273106">
        <w:t xml:space="preserve"> se oddělila od logického statutu </w:t>
      </w:r>
      <w:r>
        <w:t xml:space="preserve">nominální </w:t>
      </w:r>
      <w:r w:rsidRPr="00273106">
        <w:t>substance</w:t>
      </w:r>
      <w:r>
        <w:t>. Tato substance funguje jako formální subjekt</w:t>
      </w:r>
      <w:r w:rsidRPr="00273106">
        <w:t xml:space="preserve"> predikace dané </w:t>
      </w:r>
      <w:r>
        <w:t xml:space="preserve">pouze </w:t>
      </w:r>
      <w:r w:rsidRPr="00273106">
        <w:t xml:space="preserve">v logickém modu </w:t>
      </w:r>
      <w:r>
        <w:t>(</w:t>
      </w:r>
      <w:r w:rsidRPr="00273106">
        <w:rPr>
          <w:i/>
        </w:rPr>
        <w:t>impositio secunda</w:t>
      </w:r>
      <w:r>
        <w:t>)</w:t>
      </w:r>
      <w:r w:rsidRPr="00273106">
        <w:t xml:space="preserve">. </w:t>
      </w:r>
      <w:r>
        <w:t xml:space="preserve">Predikace druhé substance se rozdělila na logickou abstrakci analytických porretánů a na metafyzickou esenciální predikaci podle Avicenny. Kategoriální predikace přešla do logiky a tím bylo dokončeno zatmění první substance. V novém schématu první a druhé substance nezbylo místo pro impozici významu z reality. </w:t>
      </w:r>
      <w:r w:rsidRPr="00273106">
        <w:t xml:space="preserve">Scotův komentář k Aristotelovým </w:t>
      </w:r>
      <w:r w:rsidRPr="080012EB">
        <w:rPr>
          <w:i/>
        </w:rPr>
        <w:t>Kategoriím</w:t>
      </w:r>
      <w:r w:rsidRPr="00273106">
        <w:t xml:space="preserve"> psaný </w:t>
      </w:r>
      <w:r w:rsidR="00150DD5">
        <w:t xml:space="preserve">asi </w:t>
      </w:r>
      <w:r w:rsidRPr="00273106">
        <w:t xml:space="preserve">ve stejné době jako </w:t>
      </w:r>
      <w:r>
        <w:t xml:space="preserve">komentář k </w:t>
      </w:r>
      <w:r w:rsidRPr="080012EB">
        <w:rPr>
          <w:i/>
        </w:rPr>
        <w:t>Isagoge</w:t>
      </w:r>
      <w:r w:rsidRPr="00273106">
        <w:t xml:space="preserve"> bere statut kategoriální predikace podle Avicenny. Bytí jsoucna </w:t>
      </w:r>
      <w:r>
        <w:t xml:space="preserve">už </w:t>
      </w:r>
      <w:r w:rsidRPr="00273106">
        <w:t xml:space="preserve">není vztaženo </w:t>
      </w:r>
      <w:r w:rsidRPr="00273106">
        <w:rPr>
          <w:i/>
        </w:rPr>
        <w:t>per prius</w:t>
      </w:r>
      <w:r w:rsidRPr="00273106">
        <w:t xml:space="preserve"> k první substanci a </w:t>
      </w:r>
      <w:r w:rsidRPr="00273106">
        <w:rPr>
          <w:i/>
        </w:rPr>
        <w:t>per posterius</w:t>
      </w:r>
      <w:r>
        <w:rPr>
          <w:i/>
        </w:rPr>
        <w:fldChar w:fldCharType="begin"/>
      </w:r>
      <w:r>
        <w:instrText xml:space="preserve"> XE "predikace:</w:instrText>
      </w:r>
      <w:r w:rsidRPr="0034395F">
        <w:rPr>
          <w:i/>
        </w:rPr>
        <w:instrText>per posterius</w:instrText>
      </w:r>
      <w:r>
        <w:instrText xml:space="preserve">" </w:instrText>
      </w:r>
      <w:r>
        <w:rPr>
          <w:i/>
        </w:rPr>
        <w:fldChar w:fldCharType="end"/>
      </w:r>
      <w:r w:rsidRPr="00273106">
        <w:t xml:space="preserve"> k jejímu kategoriálnímu významu.</w:t>
      </w:r>
      <w:r>
        <w:t xml:space="preserve"> </w:t>
      </w:r>
      <w:r>
        <w:lastRenderedPageBreak/>
        <w:t>Podívejme se na základní postoj Scotovy metafyziky ke kategoriální predikaci, které zůstal nezměněn až do konce jeho myslitelské dráhy.</w:t>
      </w:r>
    </w:p>
    <w:p w:rsidR="08163013" w:rsidRDefault="08163013" w:rsidP="08163013">
      <w:pPr>
        <w:pStyle w:val="Citace"/>
        <w:rPr>
          <w:lang w:val="cs-CZ"/>
        </w:rPr>
      </w:pPr>
      <w:r>
        <w:t>„</w:t>
      </w:r>
      <w:r>
        <w:rPr>
          <w:lang w:val="cs-CZ"/>
        </w:rPr>
        <w:t xml:space="preserve">K otázce deseti kategorií platí, že mohou být posuzována dvojím způsobem. Nejprve z hlediska toho, nakolik jsou jsoucí. Dále jsou vzata z hlediska jejich výměru a to tak, že se k nim přidávají vlastnosti, jejichž příčina je dána v intelektu. Metafyzik </w:t>
      </w:r>
      <w:r w:rsidR="00405861">
        <w:rPr>
          <w:lang w:val="cs-CZ"/>
        </w:rPr>
        <w:t xml:space="preserve">pojednává </w:t>
      </w:r>
      <w:r>
        <w:rPr>
          <w:lang w:val="cs-CZ"/>
        </w:rPr>
        <w:t>kategorie pouze v prvním modu, protože jejich primárním nositelem je jsoucno jako jsoucí (</w:t>
      </w:r>
      <w:r w:rsidRPr="00C6290A">
        <w:rPr>
          <w:i/>
        </w:rPr>
        <w:t>subiectum enim eius primum est ens in quantum ens</w:t>
      </w:r>
      <w:r>
        <w:rPr>
          <w:lang w:val="cs-CZ"/>
        </w:rPr>
        <w:t>).“ </w:t>
      </w:r>
      <w:r w:rsidRPr="00273106">
        <w:rPr>
          <w:rStyle w:val="Znakapoznpodarou"/>
        </w:rPr>
        <w:footnoteReference w:id="420"/>
      </w:r>
    </w:p>
    <w:p w:rsidR="0027754C" w:rsidRDefault="08163013" w:rsidP="004338DD">
      <w:r>
        <w:t xml:space="preserve">Smysl kategoriálního určení se posunul z oblasti </w:t>
      </w:r>
      <w:r w:rsidR="081942A4">
        <w:t xml:space="preserve">metafyzického </w:t>
      </w:r>
      <w:r>
        <w:t>dativu do oblasti logické abstrakce (</w:t>
      </w:r>
      <w:r w:rsidRPr="086901B7">
        <w:rPr>
          <w:i/>
        </w:rPr>
        <w:t>in quantum considerantur a ratione</w:t>
      </w:r>
      <w:r>
        <w:t xml:space="preserve">). Aristotelovo určení kategoriální predikace z hyparchického bytí první substance úplně zmizelo. Nová metafyzika převzala jako základ predikace pouze </w:t>
      </w:r>
      <w:r w:rsidRPr="00273106">
        <w:t xml:space="preserve">bytí jsoucna v </w:t>
      </w:r>
      <w:r>
        <w:t xml:space="preserve">Avicennově </w:t>
      </w:r>
      <w:r w:rsidRPr="00273106">
        <w:t>univerzálním modu jsoucího jako jsoucího (</w:t>
      </w:r>
      <w:r w:rsidRPr="00273106">
        <w:rPr>
          <w:i/>
        </w:rPr>
        <w:t>ens inquantum ens</w:t>
      </w:r>
      <w:r>
        <w:rPr>
          <w:i/>
        </w:rPr>
        <w:fldChar w:fldCharType="begin"/>
      </w:r>
      <w:r>
        <w:instrText xml:space="preserve"> XE "</w:instrText>
      </w:r>
      <w:r w:rsidRPr="005424E2">
        <w:rPr>
          <w:i/>
        </w:rPr>
        <w:instrText>ens inquantum ens</w:instrText>
      </w:r>
      <w:r>
        <w:instrText xml:space="preserve">" </w:instrText>
      </w:r>
      <w:r>
        <w:rPr>
          <w:i/>
        </w:rPr>
        <w:fldChar w:fldCharType="end"/>
      </w:r>
      <w:r w:rsidRPr="00273106">
        <w:t xml:space="preserve">). </w:t>
      </w:r>
      <w:r>
        <w:t>Zavedení avicennistické metafyziky znamená, že kauzalita</w:t>
      </w:r>
      <w:r w:rsidRPr="00273106">
        <w:t xml:space="preserve"> pro kategoriální predikaci </w:t>
      </w:r>
      <w:r>
        <w:t>nejde od poznané první substance</w:t>
      </w:r>
      <w:r>
        <w:fldChar w:fldCharType="begin"/>
      </w:r>
      <w:r>
        <w:instrText xml:space="preserve"> XE "</w:instrText>
      </w:r>
      <w:r w:rsidRPr="00DE2A32">
        <w:instrText>substance</w:instrText>
      </w:r>
      <w:r>
        <w:instrText xml:space="preserve">:první" </w:instrText>
      </w:r>
      <w:r>
        <w:fldChar w:fldCharType="end"/>
      </w:r>
      <w:r>
        <w:t xml:space="preserve">, ale od poznávajícího intelektu </w:t>
      </w:r>
      <w:r w:rsidRPr="00273106">
        <w:t>(</w:t>
      </w:r>
      <w:r w:rsidRPr="00273106">
        <w:rPr>
          <w:i/>
        </w:rPr>
        <w:t>proprietas causata ab intellectu</w:t>
      </w:r>
      <w:r w:rsidRPr="00273106">
        <w:t xml:space="preserve">). </w:t>
      </w:r>
      <w:r>
        <w:t xml:space="preserve">Jedině v tomto modu bytí substance jako prvního principu poznání je jsoucno dáno primárně a </w:t>
      </w:r>
      <w:r w:rsidRPr="08FF610F">
        <w:rPr>
          <w:i/>
        </w:rPr>
        <w:t>per se</w:t>
      </w:r>
      <w:r>
        <w:t xml:space="preserve">, takže jiná substance nemá nárok na prvenství. </w:t>
      </w:r>
    </w:p>
    <w:p w:rsidR="003C4D88" w:rsidRDefault="0027754C" w:rsidP="004338DD">
      <w:r w:rsidRPr="0027754C">
        <w:t xml:space="preserve">Destrukce klasické metafyziky a kritické vědy </w:t>
      </w:r>
      <w:r>
        <w:t xml:space="preserve">je dána tím, </w:t>
      </w:r>
      <w:r w:rsidRPr="0027754C">
        <w:t xml:space="preserve">že kauzalita jako základ poznání nepochází ze skutečnosti, ale z poznávajícího intelektu. To výslovně konstatoval </w:t>
      </w:r>
      <w:r>
        <w:rPr>
          <w:i/>
        </w:rPr>
        <w:t>Erfurter Anonymus</w:t>
      </w:r>
      <w:r w:rsidRPr="0027754C">
        <w:t xml:space="preserve"> (</w:t>
      </w:r>
      <w:r w:rsidRPr="0027754C">
        <w:rPr>
          <w:i/>
        </w:rPr>
        <w:t>quod est intellectus non supponit quaestionem si est res, sed si est intellectus</w:t>
      </w:r>
      <w:r>
        <w:t xml:space="preserve">; OBJ II, kap. 3.4.3). </w:t>
      </w:r>
      <w:r w:rsidR="00651D14" w:rsidRPr="00273106">
        <w:t>K</w:t>
      </w:r>
      <w:r w:rsidR="00651D14">
        <w:t xml:space="preserve">ategoriální predikace dostala pouze </w:t>
      </w:r>
      <w:r w:rsidR="00651D14" w:rsidRPr="00273106">
        <w:t xml:space="preserve">logický statut atribuce vlastností </w:t>
      </w:r>
      <w:r w:rsidR="00651D14">
        <w:t xml:space="preserve">na nominálně určený subjekt. Dílo </w:t>
      </w:r>
      <w:r w:rsidR="00651D14" w:rsidRPr="00651D14">
        <w:rPr>
          <w:i/>
        </w:rPr>
        <w:t>Kategorie</w:t>
      </w:r>
      <w:r w:rsidR="00651D14">
        <w:t xml:space="preserve"> proto z hlediska Scota ztratilo metafyzický význam</w:t>
      </w:r>
      <w:r w:rsidR="00651D14" w:rsidRPr="00273106">
        <w:t>.</w:t>
      </w:r>
      <w:r w:rsidR="00651D14">
        <w:t xml:space="preserve"> </w:t>
      </w:r>
      <w:r w:rsidR="08163013">
        <w:t>Kategoriální predikaci určuje nasvícení jsoucna zezadu od avicennovské esence</w:t>
      </w:r>
      <w:r w:rsidR="08163013">
        <w:fldChar w:fldCharType="begin"/>
      </w:r>
      <w:r w:rsidR="08163013">
        <w:instrText xml:space="preserve"> XE "</w:instrText>
      </w:r>
      <w:r w:rsidR="08163013" w:rsidRPr="00834BA9">
        <w:instrText>zjevování:nasvícení zezadu</w:instrText>
      </w:r>
      <w:r w:rsidR="08163013">
        <w:instrText xml:space="preserve">" </w:instrText>
      </w:r>
      <w:r w:rsidR="08163013">
        <w:fldChar w:fldCharType="end"/>
      </w:r>
      <w:r w:rsidR="08163013">
        <w:t xml:space="preserve">, což charakterizuje moderní metafyziku. Scotus vzhledem k ustavení první vědy o jsoucnu sleduje Alexandrův komentář k </w:t>
      </w:r>
      <w:proofErr w:type="gramStart"/>
      <w:r w:rsidR="08163013" w:rsidRPr="00273106">
        <w:rPr>
          <w:i/>
        </w:rPr>
        <w:t>Met</w:t>
      </w:r>
      <w:proofErr w:type="gramEnd"/>
      <w:r w:rsidR="08163013">
        <w:t>. 1004a2</w:t>
      </w:r>
      <w:r w:rsidR="08163013" w:rsidRPr="00273106">
        <w:t>‒</w:t>
      </w:r>
      <w:r w:rsidR="08163013">
        <w:t xml:space="preserve">3 (καθ' αὑτὸ ὂν ἡ οὐσία, </w:t>
      </w:r>
      <w:r w:rsidR="08163013" w:rsidRPr="08076252">
        <w:rPr>
          <w:i/>
        </w:rPr>
        <w:t>Alexandri in Met. IV</w:t>
      </w:r>
      <w:r w:rsidR="08163013">
        <w:t>, 250.23</w:t>
      </w:r>
      <w:r w:rsidR="08163013">
        <w:fldChar w:fldCharType="begin"/>
      </w:r>
      <w:r w:rsidR="08163013">
        <w:instrText xml:space="preserve"> XE "Alexander, Afrodisias:</w:instrText>
      </w:r>
      <w:r w:rsidR="08163013">
        <w:rPr>
          <w:i/>
        </w:rPr>
        <w:instrText xml:space="preserve">Alexandri in Met. </w:instrText>
      </w:r>
      <w:r w:rsidR="08163013" w:rsidRPr="08803CA3">
        <w:instrText>250.23</w:instrText>
      </w:r>
      <w:r w:rsidR="08163013">
        <w:instrText xml:space="preserve">" </w:instrText>
      </w:r>
      <w:r w:rsidR="08163013">
        <w:fldChar w:fldCharType="end"/>
      </w:r>
      <w:r w:rsidR="08163013">
        <w:t xml:space="preserve">), který se formálně shoduje s jeho výkladem. Existuje tolik druhů filosofie, kolik je druhů substancí. </w:t>
      </w:r>
      <w:r w:rsidR="00B80E46">
        <w:t>To je k</w:t>
      </w:r>
      <w:r w:rsidR="00B80E46" w:rsidRPr="00B80E46">
        <w:t xml:space="preserve">lasická pozice Aristotelovy </w:t>
      </w:r>
      <w:r w:rsidR="00B80E46" w:rsidRPr="00B80E46">
        <w:rPr>
          <w:i/>
        </w:rPr>
        <w:t>Metafyziky</w:t>
      </w:r>
      <w:r w:rsidR="00B80E46" w:rsidRPr="00B80E46">
        <w:t xml:space="preserve"> j</w:t>
      </w:r>
      <w:r w:rsidR="00B80E46">
        <w:t xml:space="preserve">ako </w:t>
      </w:r>
      <w:r w:rsidR="00B80E46" w:rsidRPr="00B80E46">
        <w:t>východisk</w:t>
      </w:r>
      <w:r w:rsidR="00B80E46">
        <w:t>o</w:t>
      </w:r>
      <w:r w:rsidR="00B80E46" w:rsidRPr="00B80E46">
        <w:t xml:space="preserve"> pro zkoumání první </w:t>
      </w:r>
      <w:r w:rsidR="00B80E46" w:rsidRPr="00B80E46">
        <w:lastRenderedPageBreak/>
        <w:t xml:space="preserve">vědy. </w:t>
      </w:r>
      <w:r w:rsidR="08163013">
        <w:t xml:space="preserve">Ale oxfordský modernista opustí Alexandra a Aristotela v klíčové otázce dané jako </w:t>
      </w:r>
      <w:r w:rsidR="08163013" w:rsidRPr="08076252">
        <w:rPr>
          <w:i/>
        </w:rPr>
        <w:t>intentum</w:t>
      </w:r>
      <w:r w:rsidR="08163013">
        <w:t xml:space="preserve"> Aristotelovy první vědy, protože defi</w:t>
      </w:r>
      <w:r w:rsidR="003C4D88">
        <w:t>nuje první bytí podle Avicenny.</w:t>
      </w:r>
    </w:p>
    <w:p w:rsidR="08163013" w:rsidRPr="00CA08DA" w:rsidRDefault="08163013" w:rsidP="006B04F1">
      <w:pPr>
        <w:ind w:firstLine="397"/>
      </w:pPr>
      <w:r>
        <w:t xml:space="preserve">Pak je třeba nově definovat první substanci, která bude tvořit základ nové metafyziky. První věda musí obsahovat pojem jsoucna jako prvního principu myšlení. Scotovo pojetí metafyziky se zásadně rozešlo s pojetím první vědy o reálně existující první substanci podle Aristotela a Averroese. </w:t>
      </w:r>
      <w:r w:rsidR="00AE616B" w:rsidRPr="08A555C4">
        <w:rPr>
          <w:i/>
        </w:rPr>
        <w:t>Doctor Subtilis</w:t>
      </w:r>
      <w:r w:rsidR="00AE616B" w:rsidRPr="08A555C4">
        <w:t xml:space="preserve"> </w:t>
      </w:r>
      <w:r w:rsidRPr="00273106">
        <w:t xml:space="preserve">považuje kategoriální predikaci </w:t>
      </w:r>
      <w:r>
        <w:t>danou impozicí</w:t>
      </w:r>
      <w:r>
        <w:fldChar w:fldCharType="begin"/>
      </w:r>
      <w:r>
        <w:instrText xml:space="preserve"> XE "</w:instrText>
      </w:r>
      <w:r w:rsidRPr="00A5014F">
        <w:instrText>impozice:Scotus</w:instrText>
      </w:r>
      <w:r>
        <w:instrText xml:space="preserve">" </w:instrText>
      </w:r>
      <w:r>
        <w:fldChar w:fldCharType="end"/>
      </w:r>
      <w:r>
        <w:t xml:space="preserve"> od reálné první substance</w:t>
      </w:r>
      <w:r w:rsidRPr="00273106">
        <w:t xml:space="preserve"> za zásadní deficit předešlé metafyziky. </w:t>
      </w:r>
      <w:r w:rsidR="00E75B13" w:rsidRPr="00E75B13">
        <w:t xml:space="preserve">Smysl bytí přenesený z první hyparchické substance na univerzálně uvedenou druhou substanci představuje pouze akcidentální určení bytí. Na akcidentálních určeních nemůže být založena žádná metafyzika. Scotova cesta k nové metafyzice začíná skepsí vůči kategorické jednotě jsoucna, predikované druhou substancí (Scotovo </w:t>
      </w:r>
      <w:r w:rsidR="00E75B13" w:rsidRPr="00E75B13">
        <w:rPr>
          <w:i/>
        </w:rPr>
        <w:t>ens incomplexum</w:t>
      </w:r>
      <w:r w:rsidR="00E75B13">
        <w:rPr>
          <w:i/>
        </w:rPr>
        <w:fldChar w:fldCharType="begin"/>
      </w:r>
      <w:r w:rsidR="00E75B13">
        <w:instrText xml:space="preserve"> XE "</w:instrText>
      </w:r>
      <w:r w:rsidR="00E75B13" w:rsidRPr="00B6500B">
        <w:instrText>substance:</w:instrText>
      </w:r>
      <w:r w:rsidR="00E75B13" w:rsidRPr="00CC641A">
        <w:rPr>
          <w:i/>
        </w:rPr>
        <w:instrText>ens</w:instrText>
      </w:r>
      <w:r w:rsidR="00E75B13">
        <w:instrText xml:space="preserve"> </w:instrText>
      </w:r>
      <w:r w:rsidR="00E75B13" w:rsidRPr="00CC641A">
        <w:rPr>
          <w:i/>
        </w:rPr>
        <w:instrText>incomplexum</w:instrText>
      </w:r>
      <w:r w:rsidR="00E75B13">
        <w:instrText xml:space="preserve">" </w:instrText>
      </w:r>
      <w:r w:rsidR="00E75B13">
        <w:rPr>
          <w:i/>
        </w:rPr>
        <w:fldChar w:fldCharType="end"/>
      </w:r>
      <w:r w:rsidR="00E75B13" w:rsidRPr="00E75B13">
        <w:t xml:space="preserve">). Aristotelova predikace je určena metafyzickým dativem, který následuje darování smyslu </w:t>
      </w:r>
      <w:r w:rsidR="00E52F55">
        <w:t xml:space="preserve">od </w:t>
      </w:r>
      <w:r w:rsidR="00E75B13" w:rsidRPr="00E75B13">
        <w:t>hyparchické první substance (</w:t>
      </w:r>
      <w:r w:rsidR="00E75B13" w:rsidRPr="00E52F55">
        <w:rPr>
          <w:i/>
        </w:rPr>
        <w:t>ens complexum</w:t>
      </w:r>
      <w:r w:rsidR="00E75B13" w:rsidRPr="00E75B13">
        <w:t xml:space="preserve"> klasické metafyziky). Opět je zde ve hře </w:t>
      </w:r>
      <w:r w:rsidR="00932B87" w:rsidRPr="00932B87">
        <w:rPr>
          <w:i/>
        </w:rPr>
        <w:t>Oxfordian Fallacy</w:t>
      </w:r>
      <w:r w:rsidR="00E75B13" w:rsidRPr="00E75B13">
        <w:t>, kdy první triáda poznávacích principů byla nah</w:t>
      </w:r>
      <w:r w:rsidR="00932B87">
        <w:t>razena druhou triádou. Princip „</w:t>
      </w:r>
      <w:r w:rsidR="00E75B13" w:rsidRPr="00932B87">
        <w:rPr>
          <w:i/>
        </w:rPr>
        <w:t>ex inmediatis</w:t>
      </w:r>
      <w:r w:rsidR="00932B87">
        <w:t>“</w:t>
      </w:r>
      <w:r w:rsidR="00E75B13" w:rsidRPr="00E75B13">
        <w:t xml:space="preserve"> získal intelektualistický status, který zpochybnil veškeré </w:t>
      </w:r>
      <w:r w:rsidR="00932B87">
        <w:t xml:space="preserve">dědictví předchozí metafyziky. </w:t>
      </w:r>
      <w:r w:rsidR="00E75B13" w:rsidRPr="00E75B13">
        <w:t>Představitelé d</w:t>
      </w:r>
      <w:r w:rsidR="00932B87">
        <w:t>ruhého averroismu v období 1280–</w:t>
      </w:r>
      <w:r w:rsidR="00E75B13" w:rsidRPr="00E75B13">
        <w:t>90 (Aquasparta, Gandavus) se jej neodvážili zpochybnit v plném rozsahu jako Scotus.</w:t>
      </w:r>
      <w:r w:rsidR="00275B37">
        <w:t xml:space="preserve"> Tento </w:t>
      </w:r>
      <w:r w:rsidR="00275B37" w:rsidRPr="00275B37">
        <w:t xml:space="preserve">logický </w:t>
      </w:r>
      <w:r w:rsidR="00275B37">
        <w:t xml:space="preserve">absolutista </w:t>
      </w:r>
      <w:r w:rsidR="00275B37" w:rsidRPr="00275B37">
        <w:t xml:space="preserve">nyní může budovat metafyziku chiméry </w:t>
      </w:r>
      <w:r w:rsidR="00275B37">
        <w:t xml:space="preserve">kompletně </w:t>
      </w:r>
      <w:r w:rsidR="00275B37" w:rsidRPr="00275B37">
        <w:rPr>
          <w:i/>
        </w:rPr>
        <w:t>ex nihilo</w:t>
      </w:r>
      <w:r w:rsidR="00275B37" w:rsidRPr="00275B37">
        <w:t xml:space="preserve">. </w:t>
      </w:r>
      <w:r w:rsidR="00275B37">
        <w:t>Scotus považuje za zásadní nedostatek prvního averroismu r</w:t>
      </w:r>
      <w:r w:rsidR="00932B87">
        <w:t>ozdělení dvojí</w:t>
      </w:r>
      <w:r w:rsidR="004338DD">
        <w:t>ho kategoriá</w:t>
      </w:r>
      <w:r w:rsidR="00932B87">
        <w:t xml:space="preserve">lního významu jsoucna </w:t>
      </w:r>
      <w:r w:rsidR="00275B37">
        <w:t>určeného skrze metafyzickou impozici a logickou supozici</w:t>
      </w:r>
      <w:r w:rsidR="004338DD">
        <w:t xml:space="preserve">. </w:t>
      </w:r>
      <w:r w:rsidR="00275B37">
        <w:t>Jeho forma sofistiky je v tom, že hyparchická substace je pouhé „</w:t>
      </w:r>
      <w:r w:rsidR="00275B37" w:rsidRPr="00275B37">
        <w:rPr>
          <w:i/>
        </w:rPr>
        <w:t>ens incomplexum</w:t>
      </w:r>
      <w:r w:rsidR="00275B37">
        <w:t xml:space="preserve">“ dané pouze jako akcident vzhledem k absolutní supozici jsoucna v modu </w:t>
      </w:r>
      <w:r w:rsidR="00275B37" w:rsidRPr="00275B37">
        <w:rPr>
          <w:i/>
        </w:rPr>
        <w:t>ens inqunatum ens</w:t>
      </w:r>
      <w:r w:rsidR="00E063D1">
        <w:t xml:space="preserve">. </w:t>
      </w:r>
      <w:r w:rsidRPr="00273106">
        <w:t xml:space="preserve">Komentář bere </w:t>
      </w:r>
      <w:r>
        <w:t xml:space="preserve">kategorie </w:t>
      </w:r>
      <w:r w:rsidRPr="00273106">
        <w:t xml:space="preserve">v rámci </w:t>
      </w:r>
      <w:r>
        <w:t xml:space="preserve">univoční </w:t>
      </w:r>
      <w:r w:rsidRPr="00273106">
        <w:t>logické predikace dané mimo realitu</w:t>
      </w:r>
      <w:r>
        <w:t xml:space="preserve"> a pouze v</w:t>
      </w:r>
      <w:r w:rsidR="0019406B">
        <w:t> </w:t>
      </w:r>
      <w:r>
        <w:t>mysli</w:t>
      </w:r>
      <w:r w:rsidR="0019406B">
        <w:t xml:space="preserve">. Tento postoj plně </w:t>
      </w:r>
      <w:r>
        <w:t>odpovídá výkladu ana</w:t>
      </w:r>
      <w:r w:rsidR="0019406B">
        <w:t>lytické škole logiků na Oxfordu</w:t>
      </w:r>
      <w:r>
        <w:t xml:space="preserve">. Aristotelská druhá substance a na ni navázaná kategoriální predikace nemůže vytvořit požadovanou metafyzickou jednotu jsoucna. </w:t>
      </w:r>
    </w:p>
    <w:p w:rsidR="08163013" w:rsidRPr="002877D7" w:rsidRDefault="08163013" w:rsidP="08163013">
      <w:pPr>
        <w:pStyle w:val="Citace"/>
        <w:rPr>
          <w:noProof/>
          <w:lang w:val="cs-CZ"/>
        </w:rPr>
      </w:pPr>
      <w:r w:rsidRPr="00273106">
        <w:rPr>
          <w:noProof/>
          <w:lang w:val="cs-CZ"/>
        </w:rPr>
        <w:t xml:space="preserve"> „</w:t>
      </w:r>
      <w:r>
        <w:rPr>
          <w:noProof/>
          <w:lang w:val="cs-CZ"/>
        </w:rPr>
        <w:t xml:space="preserve">Těchto deset kategorií tvoří základ jedné vědy o realitě, tedy metafyziky, jedině v té míře, nakolik je v nich obsažena primární jednota, k níž se predikuje všechno ostatní, jak je řečeno ve čtvrté knize  </w:t>
      </w:r>
      <w:r w:rsidRPr="086966D6">
        <w:rPr>
          <w:i/>
          <w:noProof/>
          <w:lang w:val="cs-CZ"/>
        </w:rPr>
        <w:t>Metafyziky</w:t>
      </w:r>
      <w:r>
        <w:rPr>
          <w:i/>
          <w:noProof/>
          <w:lang w:val="cs-CZ"/>
        </w:rPr>
        <w:t xml:space="preserve"> </w:t>
      </w:r>
      <w:r w:rsidRPr="00273106">
        <w:rPr>
          <w:noProof/>
        </w:rPr>
        <w:t>[</w:t>
      </w:r>
      <w:r w:rsidRPr="00273106">
        <w:rPr>
          <w:i/>
          <w:noProof/>
        </w:rPr>
        <w:t>Met</w:t>
      </w:r>
      <w:r>
        <w:rPr>
          <w:noProof/>
        </w:rPr>
        <w:t>. 1003b1</w:t>
      </w:r>
      <w:r>
        <w:rPr>
          <w:noProof/>
          <w:lang w:val="cs-CZ"/>
        </w:rPr>
        <w:t>7</w:t>
      </w:r>
      <w:r w:rsidRPr="00273106">
        <w:rPr>
          <w:noProof/>
        </w:rPr>
        <w:t>‒</w:t>
      </w:r>
      <w:r>
        <w:rPr>
          <w:noProof/>
        </w:rPr>
        <w:t>1</w:t>
      </w:r>
      <w:r>
        <w:rPr>
          <w:noProof/>
          <w:lang w:val="cs-CZ"/>
        </w:rPr>
        <w:t>9</w:t>
      </w:r>
      <w:r>
        <w:rPr>
          <w:noProof/>
        </w:rPr>
        <w:fldChar w:fldCharType="begin"/>
      </w:r>
      <w:r>
        <w:instrText xml:space="preserve"> XE "</w:instrText>
      </w:r>
      <w:r>
        <w:rPr>
          <w:lang w:val="cs-CZ"/>
        </w:rPr>
        <w:instrText>Aristoteles:</w:instrText>
      </w:r>
      <w:r w:rsidRPr="00CA6BB8">
        <w:rPr>
          <w:i/>
          <w:noProof/>
        </w:rPr>
        <w:instrText>Met</w:instrText>
      </w:r>
      <w:r>
        <w:rPr>
          <w:noProof/>
        </w:rPr>
        <w:instrText>. 1003b1</w:instrText>
      </w:r>
      <w:r>
        <w:rPr>
          <w:noProof/>
          <w:lang w:val="cs-CZ"/>
        </w:rPr>
        <w:instrText>7</w:instrText>
      </w:r>
      <w:r w:rsidRPr="00CA6BB8">
        <w:rPr>
          <w:noProof/>
        </w:rPr>
        <w:instrText>‒</w:instrText>
      </w:r>
      <w:r>
        <w:rPr>
          <w:noProof/>
        </w:rPr>
        <w:instrText>1</w:instrText>
      </w:r>
      <w:r>
        <w:rPr>
          <w:noProof/>
          <w:lang w:val="cs-CZ"/>
        </w:rPr>
        <w:instrText>9</w:instrText>
      </w:r>
      <w:r>
        <w:instrText xml:space="preserve">" </w:instrText>
      </w:r>
      <w:r>
        <w:rPr>
          <w:noProof/>
        </w:rPr>
        <w:fldChar w:fldCharType="end"/>
      </w:r>
      <w:r w:rsidRPr="00273106">
        <w:rPr>
          <w:noProof/>
        </w:rPr>
        <w:t>]</w:t>
      </w:r>
      <w:r w:rsidR="002877D7">
        <w:rPr>
          <w:noProof/>
          <w:lang w:val="cs-CZ"/>
        </w:rPr>
        <w:t xml:space="preserve">. </w:t>
      </w:r>
      <w:r w:rsidR="002877D7" w:rsidRPr="002877D7">
        <w:rPr>
          <w:noProof/>
          <w:lang w:val="cs-CZ"/>
        </w:rPr>
        <w:t xml:space="preserve">Posuzujeme-li kategorie z </w:t>
      </w:r>
      <w:r w:rsidR="002877D7" w:rsidRPr="002877D7">
        <w:rPr>
          <w:noProof/>
          <w:lang w:val="cs-CZ"/>
        </w:rPr>
        <w:lastRenderedPageBreak/>
        <w:t>hlediska jejich definice, pak neobsahují nic, k čemu by odkazovaly</w:t>
      </w:r>
      <w:r w:rsidR="009F01E8">
        <w:rPr>
          <w:noProof/>
          <w:lang w:val="cs-CZ"/>
        </w:rPr>
        <w:t xml:space="preserve"> </w:t>
      </w:r>
      <w:r w:rsidR="009F01E8">
        <w:t>(</w:t>
      </w:r>
      <w:r w:rsidR="009F01E8" w:rsidRPr="007E3DCF">
        <w:rPr>
          <w:i/>
          <w:noProof/>
        </w:rPr>
        <w:t>nullum est ad quod attribuantur</w:t>
      </w:r>
      <w:r w:rsidR="009F01E8">
        <w:t>)</w:t>
      </w:r>
      <w:r w:rsidR="002877D7" w:rsidRPr="002877D7">
        <w:rPr>
          <w:noProof/>
          <w:lang w:val="cs-CZ"/>
        </w:rPr>
        <w:t xml:space="preserve">. Jak mohou být </w:t>
      </w:r>
      <w:r w:rsidR="002877D7">
        <w:rPr>
          <w:noProof/>
          <w:lang w:val="cs-CZ"/>
        </w:rPr>
        <w:t xml:space="preserve">subjektem </w:t>
      </w:r>
      <w:r w:rsidR="002877D7" w:rsidRPr="002877D7">
        <w:rPr>
          <w:noProof/>
          <w:lang w:val="cs-CZ"/>
        </w:rPr>
        <w:t>první vědy?</w:t>
      </w:r>
      <w:r>
        <w:rPr>
          <w:noProof/>
          <w:lang w:val="cs-CZ"/>
        </w:rPr>
        <w:t xml:space="preserve">“ </w:t>
      </w:r>
      <w:r>
        <w:rPr>
          <w:rStyle w:val="Znakapoznpodarou"/>
        </w:rPr>
        <w:footnoteReference w:id="421"/>
      </w:r>
    </w:p>
    <w:p w:rsidR="00353EB2" w:rsidRDefault="00345EDF" w:rsidP="004C05C1">
      <w:r w:rsidRPr="00345EDF">
        <w:t>Nihilismus moderny je zřejmý, protože Scotus provedl radikální destrukci kategori</w:t>
      </w:r>
      <w:r>
        <w:t>ální p</w:t>
      </w:r>
      <w:r w:rsidRPr="00345EDF">
        <w:t>redikace. Podle citátu se kategori</w:t>
      </w:r>
      <w:r>
        <w:t xml:space="preserve">ální </w:t>
      </w:r>
      <w:r w:rsidRPr="00345EDF">
        <w:t>predikace vztahuje k primátu logické definice (</w:t>
      </w:r>
      <w:r w:rsidRPr="00345EDF">
        <w:rPr>
          <w:i/>
        </w:rPr>
        <w:t>in quantum considerantur a ratione</w:t>
      </w:r>
      <w:r w:rsidRPr="00345EDF">
        <w:t xml:space="preserve">). Proto </w:t>
      </w:r>
      <w:r>
        <w:t xml:space="preserve">kategorie </w:t>
      </w:r>
      <w:r w:rsidRPr="00345EDF">
        <w:t>nemohou zaj</w:t>
      </w:r>
      <w:r w:rsidR="00E15C74">
        <w:t xml:space="preserve">istit původní jednotu jsoucna v </w:t>
      </w:r>
      <w:r>
        <w:t xml:space="preserve">jejich </w:t>
      </w:r>
      <w:r w:rsidRPr="00345EDF">
        <w:t xml:space="preserve">aristotelské podobě. Aristotelské kategorie se vztahují ke skutečnosti, což </w:t>
      </w:r>
      <w:r>
        <w:t xml:space="preserve">je bohužel </w:t>
      </w:r>
      <w:r w:rsidRPr="00345EDF">
        <w:t xml:space="preserve">jejich </w:t>
      </w:r>
      <w:r w:rsidRPr="00345EDF">
        <w:rPr>
          <w:i/>
        </w:rPr>
        <w:t>peccatum originale</w:t>
      </w:r>
      <w:r w:rsidRPr="00345EDF">
        <w:t xml:space="preserve"> v perspektivě moderních iluminátů. </w:t>
      </w:r>
      <w:r w:rsidR="08163013">
        <w:t xml:space="preserve">Aristotelské kategorie nemají </w:t>
      </w:r>
      <w:r w:rsidR="00E73066">
        <w:t>žádný vztah k</w:t>
      </w:r>
      <w:r w:rsidR="08163013" w:rsidRPr="00273106">
        <w:t xml:space="preserve"> původním</w:t>
      </w:r>
      <w:r w:rsidR="00E73066">
        <w:t>u</w:t>
      </w:r>
      <w:r w:rsidR="08163013" w:rsidRPr="00273106">
        <w:t xml:space="preserve"> bytí jsoucího (</w:t>
      </w:r>
      <w:r w:rsidR="08163013" w:rsidRPr="00273106">
        <w:rPr>
          <w:i/>
        </w:rPr>
        <w:t>nullum est ad quod attribuantur</w:t>
      </w:r>
      <w:r w:rsidR="08163013" w:rsidRPr="00273106">
        <w:t xml:space="preserve">). Kategoriální atribuce nejde k </w:t>
      </w:r>
      <w:r w:rsidR="08163013">
        <w:t xml:space="preserve">poslední rovině bytí daného </w:t>
      </w:r>
      <w:r w:rsidR="08163013" w:rsidRPr="00273106">
        <w:t xml:space="preserve">v modu metafyzické </w:t>
      </w:r>
      <w:r w:rsidR="08163013">
        <w:t xml:space="preserve">jednoty, </w:t>
      </w:r>
      <w:r w:rsidR="08163013" w:rsidRPr="00273106">
        <w:t>proto nezajistí jednotný subjekt metafyzické predikace (</w:t>
      </w:r>
      <w:r w:rsidR="08163013" w:rsidRPr="00273106">
        <w:rPr>
          <w:i/>
        </w:rPr>
        <w:t>unum subiectum</w:t>
      </w:r>
      <w:r w:rsidR="08163013" w:rsidRPr="00273106">
        <w:t>). Avicennova definice metafyziky v modu jsoucího jako jsoucího slouží za základní referenční bod smyslu jsoucna (</w:t>
      </w:r>
      <w:r w:rsidR="08163013" w:rsidRPr="00273106">
        <w:rPr>
          <w:i/>
        </w:rPr>
        <w:t>unum primum ad quod alia attribuantur</w:t>
      </w:r>
      <w:r w:rsidR="08163013" w:rsidRPr="00273106">
        <w:t>).</w:t>
      </w:r>
      <w:r w:rsidR="08163013">
        <w:t xml:space="preserve"> Zavedení Avicennovy metafyziky odpovídá na Aristotelovu definici hledané vědy o první substanci, kdy myšlení najde původní principy a </w:t>
      </w:r>
      <w:r w:rsidR="08163013" w:rsidRPr="08086E9A">
        <w:t xml:space="preserve">příčiny </w:t>
      </w:r>
      <w:r w:rsidR="08163013">
        <w:t xml:space="preserve">bytí jsoucna </w:t>
      </w:r>
      <w:r w:rsidR="08163013" w:rsidRPr="08086E9A">
        <w:t xml:space="preserve">(τὰς ἀρχὰς καὶ τὰς αἰτίας ἔχειν τὸν φιλόσοφον, </w:t>
      </w:r>
      <w:r w:rsidR="08163013" w:rsidRPr="08703585">
        <w:rPr>
          <w:i/>
        </w:rPr>
        <w:t>Met</w:t>
      </w:r>
      <w:r w:rsidR="08163013" w:rsidRPr="08086E9A">
        <w:t>. 1003b18‒19</w:t>
      </w:r>
      <w:r w:rsidR="08163013">
        <w:fldChar w:fldCharType="begin"/>
      </w:r>
      <w:r w:rsidR="08163013">
        <w:instrText xml:space="preserve"> XE "Aristoteles:</w:instrText>
      </w:r>
      <w:r w:rsidR="08163013" w:rsidRPr="00CA6BB8">
        <w:rPr>
          <w:i/>
        </w:rPr>
        <w:instrText>Met</w:instrText>
      </w:r>
      <w:r w:rsidR="08163013">
        <w:instrText>. 1003b18</w:instrText>
      </w:r>
      <w:r w:rsidR="08163013" w:rsidRPr="00CA6BB8">
        <w:instrText>‒</w:instrText>
      </w:r>
      <w:r w:rsidR="08163013">
        <w:instrText xml:space="preserve">19" </w:instrText>
      </w:r>
      <w:r w:rsidR="08163013">
        <w:fldChar w:fldCharType="end"/>
      </w:r>
      <w:r w:rsidR="08163013" w:rsidRPr="08086E9A">
        <w:t>).</w:t>
      </w:r>
      <w:r w:rsidR="08163013">
        <w:t xml:space="preserve"> Devalvace kategori</w:t>
      </w:r>
      <w:r w:rsidR="005527A4">
        <w:t xml:space="preserve">í na logické entity </w:t>
      </w:r>
      <w:r w:rsidR="08163013">
        <w:t xml:space="preserve">zrušila metafyzický rozdíl mezi </w:t>
      </w:r>
      <w:r w:rsidR="08163013" w:rsidRPr="00273106">
        <w:t>substancí a akcidentem</w:t>
      </w:r>
      <w:r w:rsidR="00554739">
        <w:t>. V</w:t>
      </w:r>
      <w:r w:rsidR="08163013">
        <w:t xml:space="preserve"> logické univocitě dané pouze nominálně je tento rozdíl zbytečný</w:t>
      </w:r>
      <w:r w:rsidR="08163013" w:rsidRPr="00273106">
        <w:t xml:space="preserve">. </w:t>
      </w:r>
      <w:r w:rsidR="00554739">
        <w:t xml:space="preserve">Myslet je možné úplně všechno a logicky úplně stejně. </w:t>
      </w:r>
      <w:r w:rsidR="08163013">
        <w:t xml:space="preserve">Nominální akcident v mysli a kategoriální akcident na druhé substanci mají podle Scota pouze logický status. Druhá </w:t>
      </w:r>
      <w:r w:rsidR="08163013" w:rsidRPr="00273106">
        <w:t>substanc</w:t>
      </w:r>
      <w:r w:rsidR="08163013">
        <w:t xml:space="preserve">e a její </w:t>
      </w:r>
      <w:r w:rsidR="08163013" w:rsidRPr="00273106">
        <w:t>akcident</w:t>
      </w:r>
      <w:r w:rsidR="08163013">
        <w:t xml:space="preserve">y jsou </w:t>
      </w:r>
      <w:r w:rsidR="08163013" w:rsidRPr="00273106">
        <w:t>predikován</w:t>
      </w:r>
      <w:r w:rsidR="08163013">
        <w:t>y</w:t>
      </w:r>
      <w:r w:rsidR="08163013" w:rsidRPr="00273106">
        <w:t xml:space="preserve"> </w:t>
      </w:r>
      <w:r w:rsidR="08163013">
        <w:t>zcela univočně, což ukazuje příklad běloby</w:t>
      </w:r>
      <w:r w:rsidR="08163013">
        <w:fldChar w:fldCharType="begin"/>
      </w:r>
      <w:r w:rsidR="08163013">
        <w:instrText xml:space="preserve"> XE "</w:instrText>
      </w:r>
      <w:r w:rsidR="08163013" w:rsidRPr="003C1814">
        <w:instrText>predikace:běloba</w:instrText>
      </w:r>
      <w:r w:rsidR="08163013">
        <w:instrText xml:space="preserve">" </w:instrText>
      </w:r>
      <w:r w:rsidR="08163013">
        <w:fldChar w:fldCharType="end"/>
      </w:r>
      <w:r w:rsidR="08163013" w:rsidRPr="00273106">
        <w:t>.</w:t>
      </w:r>
      <w:r w:rsidR="08163013">
        <w:t xml:space="preserve"> Z hlediska logika existuje pouze kontingentně daný rozdíl mezi </w:t>
      </w:r>
      <w:r w:rsidR="00AA7B5D">
        <w:t>„</w:t>
      </w:r>
      <w:r w:rsidR="08163013" w:rsidRPr="005C05E1">
        <w:rPr>
          <w:i/>
        </w:rPr>
        <w:t>album</w:t>
      </w:r>
      <w:r w:rsidR="00AA7B5D">
        <w:t>“</w:t>
      </w:r>
      <w:r w:rsidR="08163013">
        <w:t xml:space="preserve"> jako samostatným predikátem a </w:t>
      </w:r>
      <w:r w:rsidR="00AA7B5D">
        <w:t>„</w:t>
      </w:r>
      <w:r w:rsidR="08163013" w:rsidRPr="005C05E1">
        <w:rPr>
          <w:i/>
        </w:rPr>
        <w:t>album ut concernens</w:t>
      </w:r>
      <w:r w:rsidR="00AA7B5D">
        <w:t>“</w:t>
      </w:r>
      <w:r w:rsidR="08163013">
        <w:t>, což je predikát indikující reálné bytí na substanci.</w:t>
      </w:r>
      <w:r w:rsidR="08163013" w:rsidRPr="00273106">
        <w:rPr>
          <w:rStyle w:val="Znakapoznpodarou"/>
        </w:rPr>
        <w:footnoteReference w:id="422"/>
      </w:r>
      <w:r w:rsidR="08163013">
        <w:t xml:space="preserve"> Mezi bělobou neexistující chiméry a bělobou existujícího bílého auta existuje jen formální rozdíl daný odlišným pojetím predikace (</w:t>
      </w:r>
      <w:r w:rsidR="08163013" w:rsidRPr="00C86EDA">
        <w:rPr>
          <w:i/>
        </w:rPr>
        <w:t>modum oppositum</w:t>
      </w:r>
      <w:r w:rsidR="08163013">
        <w:t xml:space="preserve">). </w:t>
      </w:r>
      <w:r w:rsidR="00AA7B5D">
        <w:t>Scotus bere a</w:t>
      </w:r>
      <w:r w:rsidR="08163013" w:rsidRPr="00273106">
        <w:t xml:space="preserve">kcident </w:t>
      </w:r>
      <w:r w:rsidR="00AA7B5D">
        <w:t>jako kvazi-substanci</w:t>
      </w:r>
      <w:r w:rsidR="08163013">
        <w:fldChar w:fldCharType="begin"/>
      </w:r>
      <w:r w:rsidR="08163013">
        <w:instrText xml:space="preserve"> XE "</w:instrText>
      </w:r>
      <w:r w:rsidR="08163013" w:rsidRPr="00DE2A32">
        <w:instrText>substance</w:instrText>
      </w:r>
      <w:r w:rsidR="08163013">
        <w:instrText>:</w:instrText>
      </w:r>
      <w:proofErr w:type="gramStart"/>
      <w:r w:rsidR="08163013">
        <w:instrText xml:space="preserve">Scotus" </w:instrText>
      </w:r>
      <w:r w:rsidR="08163013">
        <w:fldChar w:fldCharType="end"/>
      </w:r>
      <w:r w:rsidR="00AA7B5D">
        <w:t>, která</w:t>
      </w:r>
      <w:proofErr w:type="gramEnd"/>
      <w:r w:rsidR="00AA7B5D">
        <w:t xml:space="preserve"> </w:t>
      </w:r>
      <w:r w:rsidR="08163013" w:rsidRPr="00273106">
        <w:t>dostal</w:t>
      </w:r>
      <w:r w:rsidR="00AA7B5D">
        <w:t>a</w:t>
      </w:r>
      <w:r w:rsidR="08163013" w:rsidRPr="00273106">
        <w:t xml:space="preserve"> statut </w:t>
      </w:r>
      <w:r w:rsidR="08163013">
        <w:t xml:space="preserve">esence </w:t>
      </w:r>
      <w:r w:rsidR="00AA7B5D">
        <w:t xml:space="preserve">a začal </w:t>
      </w:r>
      <w:r w:rsidR="00AA7B5D">
        <w:lastRenderedPageBreak/>
        <w:t xml:space="preserve">existovat v mytologickém modu </w:t>
      </w:r>
      <w:r w:rsidR="08163013" w:rsidRPr="00273106">
        <w:rPr>
          <w:i/>
        </w:rPr>
        <w:t xml:space="preserve">per </w:t>
      </w:r>
      <w:proofErr w:type="gramStart"/>
      <w:r w:rsidR="08163013" w:rsidRPr="00273106">
        <w:rPr>
          <w:i/>
        </w:rPr>
        <w:t>se</w:t>
      </w:r>
      <w:r w:rsidR="08163013" w:rsidRPr="00273106">
        <w:t>.</w:t>
      </w:r>
      <w:proofErr w:type="gramEnd"/>
      <w:r w:rsidR="08163013">
        <w:t xml:space="preserve"> Poznání</w:t>
      </w:r>
      <w:r w:rsidR="08163013" w:rsidRPr="00273106">
        <w:t xml:space="preserve"> </w:t>
      </w:r>
      <w:r w:rsidR="08163013">
        <w:t>v rámci k</w:t>
      </w:r>
      <w:r w:rsidR="08163013" w:rsidRPr="00273106">
        <w:t>ategoriální</w:t>
      </w:r>
      <w:r w:rsidR="08163013">
        <w:t xml:space="preserve"> predikace redukované na logiku se netýká reality, protože pracuje s hypostázovanými vlastnostmi mimo jejich substančního nositele, což do západní metafyziky zavedli porretáni (</w:t>
      </w:r>
      <w:r w:rsidR="00C65BFA">
        <w:t>OBJ II, kap. 1</w:t>
      </w:r>
      <w:r w:rsidR="08163013">
        <w:t>.4). Proto Scotus kriticky hodnotí Gandavův postup predikace minimální jsoucnosti (</w:t>
      </w:r>
      <w:r w:rsidR="08163013" w:rsidRPr="007A2E6A">
        <w:rPr>
          <w:i/>
        </w:rPr>
        <w:t>esse diminutum</w:t>
      </w:r>
      <w:r w:rsidR="08163013">
        <w:rPr>
          <w:i/>
        </w:rPr>
        <w:fldChar w:fldCharType="begin"/>
      </w:r>
      <w:r w:rsidR="08163013">
        <w:instrText xml:space="preserve"> XE "</w:instrText>
      </w:r>
      <w:r w:rsidR="08163013" w:rsidRPr="00782C1F">
        <w:rPr>
          <w:i/>
        </w:rPr>
        <w:instrText>esse diminutum</w:instrText>
      </w:r>
      <w:r w:rsidR="08163013">
        <w:instrText xml:space="preserve">" </w:instrText>
      </w:r>
      <w:r w:rsidR="08163013">
        <w:rPr>
          <w:i/>
        </w:rPr>
        <w:fldChar w:fldCharType="end"/>
      </w:r>
      <w:r w:rsidR="08163013">
        <w:t xml:space="preserve">), které řadí do skupiny čistě logických výpovědí. </w:t>
      </w:r>
      <w:r w:rsidR="00ED1455" w:rsidRPr="00ED1455">
        <w:t>Formální přístup logiky vytváří jakýkoli intencionální význam</w:t>
      </w:r>
      <w:r w:rsidR="00ED1455">
        <w:t xml:space="preserve">; tím se </w:t>
      </w:r>
      <w:r w:rsidR="00ED1455" w:rsidRPr="00ED1455">
        <w:t xml:space="preserve">generuje zcela kontingentní význam </w:t>
      </w:r>
      <w:r w:rsidR="00ED1455">
        <w:t xml:space="preserve">každé esence </w:t>
      </w:r>
      <w:r w:rsidR="00ED1455" w:rsidRPr="00ED1455">
        <w:t>(například význam chiméry</w:t>
      </w:r>
      <w:r w:rsidR="00ED1455">
        <w:fldChar w:fldCharType="begin"/>
      </w:r>
      <w:r w:rsidR="00ED1455">
        <w:instrText xml:space="preserve"> XE "</w:instrText>
      </w:r>
      <w:r w:rsidR="00ED1455" w:rsidRPr="009316B3">
        <w:instrText>chiméra</w:instrText>
      </w:r>
      <w:r w:rsidR="00ED1455">
        <w:instrText xml:space="preserve">" </w:instrText>
      </w:r>
      <w:r w:rsidR="00ED1455">
        <w:fldChar w:fldCharType="end"/>
      </w:r>
      <w:r w:rsidR="00ED1455">
        <w:t>). K</w:t>
      </w:r>
      <w:r w:rsidR="00ED1455" w:rsidRPr="00ED1455">
        <w:t xml:space="preserve">ategorie v rámci logické predikace neprovádí primární </w:t>
      </w:r>
      <w:r w:rsidR="00ED1455">
        <w:t xml:space="preserve">impozici </w:t>
      </w:r>
      <w:r w:rsidR="00ED1455" w:rsidRPr="00ED1455">
        <w:t xml:space="preserve">významu převzatého </w:t>
      </w:r>
      <w:r w:rsidR="00ED1455">
        <w:t xml:space="preserve">od </w:t>
      </w:r>
      <w:r w:rsidR="00ED1455" w:rsidRPr="00ED1455">
        <w:t>reálných věcí. Podle Scota nemá esenciální predikace žádný smysl</w:t>
      </w:r>
      <w:r w:rsidR="00ED1455">
        <w:t xml:space="preserve"> sama o sobě. Proto</w:t>
      </w:r>
      <w:r w:rsidR="00ED1455" w:rsidRPr="00ED1455">
        <w:t xml:space="preserve"> musí být redukována na log</w:t>
      </w:r>
      <w:r w:rsidR="00ED1455">
        <w:t>ické výroky, které tvoří základ</w:t>
      </w:r>
      <w:r w:rsidR="00ED1455" w:rsidRPr="00ED1455">
        <w:t xml:space="preserve"> kategoriální predikace. Gandavova ontoteologická esence je zbytečná, protože </w:t>
      </w:r>
      <w:r w:rsidR="00ED1455">
        <w:t xml:space="preserve">není </w:t>
      </w:r>
      <w:r w:rsidR="00ED1455" w:rsidRPr="00ED1455">
        <w:t>metafyzický</w:t>
      </w:r>
      <w:r w:rsidR="00ED1455">
        <w:t xml:space="preserve">m subjektem nové nauky </w:t>
      </w:r>
      <w:r w:rsidR="00ED1455" w:rsidRPr="00ED1455">
        <w:t xml:space="preserve">kategorií. </w:t>
      </w:r>
      <w:r w:rsidR="00ED1455">
        <w:t>Essence n</w:t>
      </w:r>
      <w:r w:rsidR="00ED1455" w:rsidRPr="00ED1455">
        <w:t xml:space="preserve">emá </w:t>
      </w:r>
      <w:r w:rsidR="00ED1455">
        <w:t xml:space="preserve">vlastní existenci, která tak jako tak </w:t>
      </w:r>
      <w:r w:rsidR="00ED1455" w:rsidRPr="00ED1455">
        <w:t>byl</w:t>
      </w:r>
      <w:r w:rsidR="00ED1455">
        <w:t xml:space="preserve">a utvořena skrze mytologickou impozici </w:t>
      </w:r>
      <w:r w:rsidR="00ED1455" w:rsidRPr="00ED1455">
        <w:t xml:space="preserve">jako </w:t>
      </w:r>
      <w:r w:rsidR="00ED1455">
        <w:t>„</w:t>
      </w:r>
      <w:r w:rsidR="00ED1455" w:rsidRPr="00ED1455">
        <w:rPr>
          <w:i/>
        </w:rPr>
        <w:t>esse ad</w:t>
      </w:r>
      <w:r w:rsidR="00ED1455">
        <w:t xml:space="preserve">“ od moderního boha. Původním subjektem metafyziky je </w:t>
      </w:r>
      <w:r w:rsidR="00ED1455" w:rsidRPr="00ED1455">
        <w:t xml:space="preserve">avicenistické pojetí čistého bytí jako </w:t>
      </w:r>
      <w:r w:rsidR="00ED1455" w:rsidRPr="00ED1455">
        <w:rPr>
          <w:i/>
        </w:rPr>
        <w:t>esse diminutum</w:t>
      </w:r>
      <w:r w:rsidR="00ED1455">
        <w:t xml:space="preserve">, které se vypovídá skrze </w:t>
      </w:r>
      <w:r w:rsidR="00ED1455" w:rsidRPr="00ED1455">
        <w:t>transcendentální logiku</w:t>
      </w:r>
      <w:r w:rsidR="00ED1455">
        <w:t xml:space="preserve">, z níž </w:t>
      </w:r>
      <w:r w:rsidR="00DE4D92">
        <w:t>stala nová meta</w:t>
      </w:r>
      <w:r w:rsidR="00ED1455">
        <w:t>fyzika</w:t>
      </w:r>
      <w:r w:rsidR="00DE4D92">
        <w:t>.</w:t>
      </w:r>
      <w:r w:rsidR="0003284B">
        <w:t xml:space="preserve"> Převedení kategoriálního významu na logickou ekvivocitu bylo okolo roku 1290 ve školách </w:t>
      </w:r>
      <w:r w:rsidR="0003284B" w:rsidRPr="081D77CF">
        <w:rPr>
          <w:i/>
        </w:rPr>
        <w:t>Modernorum</w:t>
      </w:r>
      <w:r w:rsidR="0003284B">
        <w:t xml:space="preserve"> všeobecně uznaným faktem. Hledání nové jednoty jsoucna nastolilo logickou abstrakci jako základ metafyziky. </w:t>
      </w:r>
      <w:r w:rsidR="0003284B" w:rsidRPr="005C6AC1">
        <w:t>Scotus změnil tento scénář, který se datuje do</w:t>
      </w:r>
      <w:r w:rsidR="0003284B">
        <w:t xml:space="preserve"> škol porretá</w:t>
      </w:r>
      <w:r w:rsidR="0003284B" w:rsidRPr="005C6AC1">
        <w:t xml:space="preserve">nů a do analytického přístupu v Oxfordu. </w:t>
      </w:r>
      <w:r w:rsidR="0003284B">
        <w:t>Jenže tato l</w:t>
      </w:r>
      <w:r w:rsidR="0003284B" w:rsidRPr="005C6AC1">
        <w:t xml:space="preserve">ogická abstrakce </w:t>
      </w:r>
      <w:r w:rsidR="0003284B">
        <w:t xml:space="preserve">podle Scota </w:t>
      </w:r>
      <w:r w:rsidR="0003284B" w:rsidRPr="005C6AC1">
        <w:t xml:space="preserve">nestačí, protože </w:t>
      </w:r>
      <w:r w:rsidR="0003284B">
        <w:t>netvoří předmět „aristotelské“</w:t>
      </w:r>
      <w:r w:rsidR="0003284B" w:rsidRPr="005C6AC1">
        <w:t xml:space="preserve"> metafyziky.</w:t>
      </w:r>
      <w:r w:rsidR="0003284B">
        <w:t xml:space="preserve"> Logická supozice není metafyzická impozice jsoucna v modu „</w:t>
      </w:r>
      <w:r w:rsidR="0003284B" w:rsidRPr="005C6AC1">
        <w:rPr>
          <w:i/>
        </w:rPr>
        <w:t>inquantum ens</w:t>
      </w:r>
      <w:r w:rsidR="0003284B">
        <w:t xml:space="preserve">“. Scotus se tím definitivně rozešel se školou druhého averroismu. </w:t>
      </w:r>
    </w:p>
    <w:p w:rsidR="005D4020" w:rsidRDefault="00DE4D92" w:rsidP="000565E2">
      <w:pPr>
        <w:ind w:firstLine="397"/>
      </w:pPr>
      <w:r>
        <w:t xml:space="preserve">Scotova </w:t>
      </w:r>
      <w:r w:rsidRPr="00DE4D92">
        <w:rPr>
          <w:i/>
        </w:rPr>
        <w:t>scientia transcendens</w:t>
      </w:r>
      <w:r>
        <w:t xml:space="preserve"> </w:t>
      </w:r>
      <w:r w:rsidR="00E95655">
        <w:t>opustila</w:t>
      </w:r>
      <w:r w:rsidR="08163013">
        <w:t xml:space="preserve"> predikaci podle spisu </w:t>
      </w:r>
      <w:r w:rsidR="08163013" w:rsidRPr="087F472D">
        <w:rPr>
          <w:i/>
        </w:rPr>
        <w:t>Kategorie</w:t>
      </w:r>
      <w:r w:rsidR="00E95655">
        <w:t xml:space="preserve"> a tím zrušila základ klasické metafyziky. </w:t>
      </w:r>
      <w:r w:rsidR="00DD5211">
        <w:t>V</w:t>
      </w:r>
      <w:r w:rsidR="00DD5211" w:rsidRPr="00273106">
        <w:t xml:space="preserve">azba kategoriální predikace na </w:t>
      </w:r>
      <w:r w:rsidR="00DD5211">
        <w:t xml:space="preserve">aristotelskou </w:t>
      </w:r>
      <w:r w:rsidR="00DD5211" w:rsidRPr="00273106">
        <w:t xml:space="preserve">první substanci </w:t>
      </w:r>
      <w:r w:rsidR="00DD5211">
        <w:t xml:space="preserve">bráněnou v </w:t>
      </w:r>
      <w:r w:rsidR="00DD5211" w:rsidRPr="08E23443">
        <w:rPr>
          <w:i/>
        </w:rPr>
        <w:t>Kategoriích</w:t>
      </w:r>
      <w:r w:rsidR="00DD5211">
        <w:t xml:space="preserve"> je </w:t>
      </w:r>
      <w:r w:rsidR="00DD5211" w:rsidRPr="00273106">
        <w:t xml:space="preserve">zrušena ze dvou důvodů. Za prvé. Výše uvedený </w:t>
      </w:r>
      <w:r w:rsidR="00DD5211">
        <w:t xml:space="preserve">moderní </w:t>
      </w:r>
      <w:r w:rsidR="00DD5211" w:rsidRPr="00273106">
        <w:t xml:space="preserve">status logické </w:t>
      </w:r>
      <w:r w:rsidR="00DD5211">
        <w:t xml:space="preserve">kategoriální </w:t>
      </w:r>
      <w:r w:rsidR="00DD5211" w:rsidRPr="00273106">
        <w:t>predikace nezaručí plnou jednotu jsoucna</w:t>
      </w:r>
      <w:r w:rsidR="00DD5211">
        <w:t xml:space="preserve">. </w:t>
      </w:r>
      <w:r w:rsidR="00DD5211" w:rsidRPr="00273106">
        <w:t>V logi</w:t>
      </w:r>
      <w:r w:rsidR="00DD5211">
        <w:t>cké predikaci</w:t>
      </w:r>
      <w:r w:rsidR="00DD5211" w:rsidRPr="00273106">
        <w:t xml:space="preserve"> </w:t>
      </w:r>
      <w:r w:rsidR="00DD5211">
        <w:t xml:space="preserve">funguje </w:t>
      </w:r>
      <w:r w:rsidR="00DD5211" w:rsidRPr="00273106">
        <w:t>intencionální předmět daný pouze v mysli</w:t>
      </w:r>
      <w:r w:rsidR="00DD5211">
        <w:t xml:space="preserve">, který nemůže vytvořit metafyzický univoční </w:t>
      </w:r>
      <w:r w:rsidR="00DD5211" w:rsidRPr="00273106">
        <w:t xml:space="preserve">výměr </w:t>
      </w:r>
      <w:r w:rsidR="00DD5211">
        <w:t xml:space="preserve">na úrovni </w:t>
      </w:r>
      <w:r w:rsidR="00DD5211" w:rsidRPr="00273106">
        <w:t xml:space="preserve">rodu. </w:t>
      </w:r>
      <w:r w:rsidR="00DD5211">
        <w:t xml:space="preserve">To je fatální chyba, která u Gandava způsobila chybnou výstavbu první vědy o jsoucnu. </w:t>
      </w:r>
      <w:r w:rsidR="00DD5211" w:rsidRPr="00273106">
        <w:t xml:space="preserve">Za druhé. Logická predikace jde od intelektu k věci, což z hlediska metafyziky vytváří pouze akcidentální poznání </w:t>
      </w:r>
      <w:r w:rsidR="00DD5211">
        <w:t xml:space="preserve">reality </w:t>
      </w:r>
      <w:r w:rsidR="00DD5211" w:rsidRPr="00273106">
        <w:t xml:space="preserve">dané </w:t>
      </w:r>
      <w:r w:rsidR="00DD5211" w:rsidRPr="00273106">
        <w:rPr>
          <w:i/>
        </w:rPr>
        <w:t>ad hoc</w:t>
      </w:r>
      <w:r w:rsidR="00DD5211" w:rsidRPr="00273106">
        <w:t>. A</w:t>
      </w:r>
      <w:r w:rsidR="00DD5211">
        <w:t xml:space="preserve">ristoteles říká, že </w:t>
      </w:r>
      <w:proofErr w:type="gramStart"/>
      <w:r w:rsidR="00DD5211" w:rsidRPr="00273106">
        <w:t>akcidentech</w:t>
      </w:r>
      <w:proofErr w:type="gramEnd"/>
      <w:r w:rsidR="00DD5211" w:rsidRPr="00273106">
        <w:t xml:space="preserve"> není možná věda</w:t>
      </w:r>
      <w:r w:rsidR="00DD5211">
        <w:t xml:space="preserve"> (</w:t>
      </w:r>
      <w:r w:rsidR="00DD5211" w:rsidRPr="004E7988">
        <w:rPr>
          <w:i/>
        </w:rPr>
        <w:t>Met</w:t>
      </w:r>
      <w:r w:rsidR="00DD5211" w:rsidRPr="00273106">
        <w:t>. 1026b24</w:t>
      </w:r>
      <w:r w:rsidR="00DD5211">
        <w:fldChar w:fldCharType="begin"/>
      </w:r>
      <w:r w:rsidR="00DD5211">
        <w:instrText xml:space="preserve"> XE "Aristoteles:</w:instrText>
      </w:r>
      <w:r w:rsidR="00DD5211" w:rsidRPr="001A1D68">
        <w:rPr>
          <w:i/>
        </w:rPr>
        <w:instrText>Met</w:instrText>
      </w:r>
      <w:r w:rsidR="00DD5211" w:rsidRPr="001A1D68">
        <w:instrText>. 1026b24</w:instrText>
      </w:r>
      <w:r w:rsidR="00DD5211">
        <w:instrText xml:space="preserve">" </w:instrText>
      </w:r>
      <w:r w:rsidR="00DD5211">
        <w:fldChar w:fldCharType="end"/>
      </w:r>
      <w:r w:rsidR="00DD5211">
        <w:t>)</w:t>
      </w:r>
      <w:r w:rsidR="00DD5211" w:rsidRPr="00273106">
        <w:t xml:space="preserve">. </w:t>
      </w:r>
      <w:r w:rsidR="00DD5211">
        <w:t xml:space="preserve">Oba důvody považují aristotelský statut kategoriální predikace za nedostačující cestu k metafyzice. </w:t>
      </w:r>
      <w:r w:rsidR="00DD5211" w:rsidRPr="00273106">
        <w:t xml:space="preserve">Obě námitky </w:t>
      </w:r>
      <w:r w:rsidR="00DD5211" w:rsidRPr="00273106">
        <w:lastRenderedPageBreak/>
        <w:t xml:space="preserve">proti kategoriálně pojaté logice mají podle Scota zásadní charakter a znemožňují zařazení </w:t>
      </w:r>
      <w:r w:rsidR="00DD5211">
        <w:t xml:space="preserve">aristotelských </w:t>
      </w:r>
      <w:r w:rsidR="00DD5211" w:rsidRPr="00273106">
        <w:t>kategorií do výstavby metafyziky</w:t>
      </w:r>
      <w:r w:rsidR="00DD5211">
        <w:t xml:space="preserve"> jako první vědy o jsoucnu</w:t>
      </w:r>
      <w:r w:rsidR="00DD5211" w:rsidRPr="00273106">
        <w:t>.</w:t>
      </w:r>
      <w:r w:rsidR="00DD5211">
        <w:t xml:space="preserve"> </w:t>
      </w:r>
      <w:r w:rsidR="00E95655">
        <w:t>Subjektem metafyziky není impozice smyslu od první substance na druhou v modu metafyzického dativu (τό τί ἦν εἶναι</w:t>
      </w:r>
      <w:r w:rsidR="006657EC">
        <w:fldChar w:fldCharType="begin"/>
      </w:r>
      <w:r w:rsidR="006657EC">
        <w:instrText xml:space="preserve"> XE "</w:instrText>
      </w:r>
      <w:r w:rsidR="006657EC" w:rsidRPr="00F8158C">
        <w:instrText>τό τί ἦν εἶναι</w:instrText>
      </w:r>
      <w:r w:rsidR="006657EC">
        <w:instrText xml:space="preserve">" </w:instrText>
      </w:r>
      <w:r w:rsidR="006657EC">
        <w:fldChar w:fldCharType="end"/>
      </w:r>
      <w:r w:rsidR="00E95655">
        <w:t xml:space="preserve">, </w:t>
      </w:r>
      <w:r w:rsidR="00E95655" w:rsidRPr="00E95655">
        <w:rPr>
          <w:i/>
        </w:rPr>
        <w:t>quidditas</w:t>
      </w:r>
      <w:r w:rsidR="006657EC">
        <w:rPr>
          <w:i/>
        </w:rPr>
        <w:fldChar w:fldCharType="begin"/>
      </w:r>
      <w:r w:rsidR="006657EC">
        <w:instrText xml:space="preserve"> XE "</w:instrText>
      </w:r>
      <w:r w:rsidR="006657EC" w:rsidRPr="0035148E">
        <w:rPr>
          <w:i/>
        </w:rPr>
        <w:instrText>quidditas</w:instrText>
      </w:r>
      <w:r w:rsidR="006657EC">
        <w:instrText xml:space="preserve">" </w:instrText>
      </w:r>
      <w:r w:rsidR="006657EC">
        <w:rPr>
          <w:i/>
        </w:rPr>
        <w:fldChar w:fldCharType="end"/>
      </w:r>
      <w:r w:rsidR="00E95655">
        <w:t xml:space="preserve">). Scotus nepotřebuje realitu jako základ nové metafyziky. Avicennovo bytí v čisté podobě stojí před jeho osvíceným intelektem trvale, protože existuje v modu </w:t>
      </w:r>
      <w:r w:rsidR="00E95655" w:rsidRPr="00E95655">
        <w:rPr>
          <w:i/>
        </w:rPr>
        <w:t>ens inquantum ens</w:t>
      </w:r>
      <w:r w:rsidR="00E95655">
        <w:t>.</w:t>
      </w:r>
      <w:r w:rsidR="00B57A3D">
        <w:t xml:space="preserve"> </w:t>
      </w:r>
      <w:r w:rsidR="006E07A4">
        <w:t>Školy</w:t>
      </w:r>
      <w:r w:rsidR="08163013">
        <w:t xml:space="preserve"> </w:t>
      </w:r>
      <w:r w:rsidR="08163013" w:rsidRPr="08384E74">
        <w:rPr>
          <w:i/>
        </w:rPr>
        <w:t>Grammatici</w:t>
      </w:r>
      <w:r w:rsidR="08163013">
        <w:t xml:space="preserve"> a </w:t>
      </w:r>
      <w:r w:rsidR="08163013" w:rsidRPr="08384E74">
        <w:rPr>
          <w:i/>
        </w:rPr>
        <w:t>sophistate Latini</w:t>
      </w:r>
      <w:r w:rsidR="006E07A4">
        <w:t xml:space="preserve"> zrušily metafyziku tím, že ji nahradily</w:t>
      </w:r>
      <w:r w:rsidR="08163013">
        <w:t xml:space="preserve"> </w:t>
      </w:r>
      <w:r w:rsidR="00871AAF">
        <w:t xml:space="preserve">formální </w:t>
      </w:r>
      <w:r w:rsidR="006451B7">
        <w:t>„</w:t>
      </w:r>
      <w:r w:rsidR="00871AAF">
        <w:t>logikou</w:t>
      </w:r>
      <w:r w:rsidR="006451B7">
        <w:t xml:space="preserve"> Antikrista“</w:t>
      </w:r>
      <w:r w:rsidR="08163013">
        <w:t>. Odmítnutí metafyzické platnosti moderní l</w:t>
      </w:r>
      <w:r w:rsidR="006E07A4">
        <w:t xml:space="preserve">ogiky pro Scota </w:t>
      </w:r>
      <w:r w:rsidR="00700DF7">
        <w:t xml:space="preserve">ale </w:t>
      </w:r>
      <w:r w:rsidR="006E07A4">
        <w:t xml:space="preserve">neznamenalo, že moderní metafyzika </w:t>
      </w:r>
      <w:r w:rsidR="08163013">
        <w:t xml:space="preserve">přejde k původní </w:t>
      </w:r>
      <w:r w:rsidR="00700DF7">
        <w:t>formě k</w:t>
      </w:r>
      <w:r w:rsidR="08163013">
        <w:t>ategoriální predikace</w:t>
      </w:r>
      <w:r w:rsidR="00700DF7">
        <w:t xml:space="preserve">, kterou Boethius a Abelard měli jako </w:t>
      </w:r>
      <w:r w:rsidR="08163013" w:rsidRPr="081F0C37">
        <w:rPr>
          <w:i/>
        </w:rPr>
        <w:t>logica Vetus</w:t>
      </w:r>
      <w:r w:rsidR="08163013">
        <w:rPr>
          <w:i/>
        </w:rPr>
        <w:fldChar w:fldCharType="begin"/>
      </w:r>
      <w:r w:rsidR="08163013">
        <w:instrText xml:space="preserve"> XE "</w:instrText>
      </w:r>
      <w:r w:rsidR="08163013" w:rsidRPr="08912F55">
        <w:rPr>
          <w:i/>
        </w:rPr>
        <w:instrText>logica Vetus</w:instrText>
      </w:r>
      <w:r w:rsidR="08163013">
        <w:instrText xml:space="preserve">" </w:instrText>
      </w:r>
      <w:r w:rsidR="08163013">
        <w:rPr>
          <w:i/>
        </w:rPr>
        <w:fldChar w:fldCharType="end"/>
      </w:r>
      <w:r w:rsidR="08163013">
        <w:t xml:space="preserve">. Spis </w:t>
      </w:r>
      <w:r w:rsidR="08163013" w:rsidRPr="089964CF">
        <w:rPr>
          <w:i/>
        </w:rPr>
        <w:t>Kategorie</w:t>
      </w:r>
      <w:r w:rsidR="08163013">
        <w:t xml:space="preserve"> </w:t>
      </w:r>
      <w:r w:rsidR="08163013" w:rsidRPr="00273106">
        <w:t>řešil</w:t>
      </w:r>
      <w:r w:rsidR="08163013">
        <w:t xml:space="preserve"> metafyzickou jednotu na základě hyparchické impozice od první substance a univerzální supozice od druhé substance</w:t>
      </w:r>
      <w:r w:rsidR="08163013" w:rsidRPr="00273106">
        <w:t xml:space="preserve"> </w:t>
      </w:r>
      <w:r w:rsidR="08163013">
        <w:t>(</w:t>
      </w:r>
      <w:r w:rsidR="006E07A4">
        <w:t xml:space="preserve">OBJ I, </w:t>
      </w:r>
      <w:r w:rsidR="08163013">
        <w:t xml:space="preserve">kap. 1.3). </w:t>
      </w:r>
      <w:r w:rsidR="001E3EA7" w:rsidRPr="001E3EA7">
        <w:t xml:space="preserve">Scotus odmítá </w:t>
      </w:r>
      <w:r w:rsidR="00EA428F">
        <w:t xml:space="preserve">redukovat </w:t>
      </w:r>
      <w:r w:rsidR="001E3EA7" w:rsidRPr="001E3EA7">
        <w:t xml:space="preserve">kategorickou predikaci </w:t>
      </w:r>
      <w:r w:rsidR="00EA428F">
        <w:t xml:space="preserve">na </w:t>
      </w:r>
      <w:r w:rsidR="001E3EA7" w:rsidRPr="001E3EA7">
        <w:t>pouhé logické cvičení, protože nemůže dosáhnout jednotného smyslu bytí, o který usiluje metafyzika.</w:t>
      </w:r>
      <w:r w:rsidR="00E218AE">
        <w:t xml:space="preserve"> Proto </w:t>
      </w:r>
      <w:r w:rsidR="08163013" w:rsidRPr="00273106">
        <w:t xml:space="preserve">cituje </w:t>
      </w:r>
      <w:r w:rsidR="08163013">
        <w:t xml:space="preserve">aristotelského </w:t>
      </w:r>
      <w:r w:rsidR="08163013" w:rsidRPr="00273106">
        <w:t xml:space="preserve">Boethia na podporu </w:t>
      </w:r>
      <w:r w:rsidR="08163013">
        <w:t>své pozice (</w:t>
      </w:r>
      <w:r w:rsidR="08163013" w:rsidRPr="009D4834">
        <w:rPr>
          <w:i/>
        </w:rPr>
        <w:t>logica est de secundis intentionibus applicatis primis</w:t>
      </w:r>
      <w:r w:rsidR="08163013">
        <w:t xml:space="preserve">; </w:t>
      </w:r>
      <w:r w:rsidR="08163013" w:rsidRPr="00273106">
        <w:t>ibid, q. 1, no. 6; OPh I, 250.2‒3</w:t>
      </w:r>
      <w:r w:rsidR="08163013">
        <w:fldChar w:fldCharType="begin"/>
      </w:r>
      <w:r w:rsidR="08163013">
        <w:instrText xml:space="preserve"> XE "Scotus:</w:instrText>
      </w:r>
      <w:r w:rsidR="08163013">
        <w:rPr>
          <w:i/>
        </w:rPr>
        <w:instrText>Quaestiones</w:instrText>
      </w:r>
      <w:r w:rsidR="08163013" w:rsidRPr="00BE436E">
        <w:rPr>
          <w:i/>
        </w:rPr>
        <w:instrText xml:space="preserve"> super Praedicamenta Aristotelis</w:instrText>
      </w:r>
      <w:r w:rsidR="08163013">
        <w:rPr>
          <w:i/>
        </w:rPr>
        <w:instrText xml:space="preserve"> </w:instrText>
      </w:r>
      <w:r w:rsidR="08163013">
        <w:instrText>250</w:instrText>
      </w:r>
      <w:r w:rsidR="08163013" w:rsidRPr="00BE436E">
        <w:instrText>.</w:instrText>
      </w:r>
      <w:r w:rsidR="08163013">
        <w:instrText>2</w:instrText>
      </w:r>
      <w:r w:rsidR="08163013" w:rsidRPr="00BE436E">
        <w:instrText>‒</w:instrText>
      </w:r>
      <w:r w:rsidR="08163013">
        <w:instrText xml:space="preserve">3" </w:instrText>
      </w:r>
      <w:r w:rsidR="08163013">
        <w:fldChar w:fldCharType="end"/>
      </w:r>
      <w:r w:rsidR="08163013" w:rsidRPr="00273106">
        <w:t>)</w:t>
      </w:r>
      <w:r w:rsidR="08163013">
        <w:t>. Odvolání na Boethia je naprosto sofistické. Žádný klasický aristotelik by nepřipustil degradaci kategoriální predikace na pouhé logické cvičení</w:t>
      </w:r>
      <w:r w:rsidR="000565E2">
        <w:t>. M</w:t>
      </w:r>
      <w:r w:rsidR="08163013">
        <w:t xml:space="preserve">etafyzická predikace by ztratila možnost adekvace myšlení a reálné první substance. </w:t>
      </w:r>
      <w:r w:rsidR="00DF71B1">
        <w:t xml:space="preserve">Scotus nemůže jít cestou aristotelské metafyziky danou skrze Averroesovu definici substance </w:t>
      </w:r>
      <w:r w:rsidR="00DF71B1" w:rsidRPr="081E0E3A">
        <w:rPr>
          <w:i/>
        </w:rPr>
        <w:t>qua</w:t>
      </w:r>
      <w:r w:rsidR="00DF71B1">
        <w:t xml:space="preserve"> substance. </w:t>
      </w:r>
      <w:r w:rsidR="000565E2">
        <w:t>V souladu s Avicennovou metafyzikou považuje kategoriální predikaci</w:t>
      </w:r>
      <w:r w:rsidR="000565E2" w:rsidRPr="00273106">
        <w:t xml:space="preserve"> na úrovni substance </w:t>
      </w:r>
      <w:r w:rsidR="000565E2">
        <w:t xml:space="preserve">za </w:t>
      </w:r>
      <w:r w:rsidR="000565E2" w:rsidRPr="00273106">
        <w:t>nedostatečnou</w:t>
      </w:r>
      <w:r w:rsidR="000565E2">
        <w:t xml:space="preserve"> formu univoční jednoty (</w:t>
      </w:r>
      <w:r w:rsidR="000565E2" w:rsidRPr="00DC145E">
        <w:rPr>
          <w:i/>
        </w:rPr>
        <w:t>Avicenna dicit: qui dicit ens, non dicit substa</w:t>
      </w:r>
      <w:r w:rsidR="000565E2">
        <w:rPr>
          <w:i/>
        </w:rPr>
        <w:t>n</w:t>
      </w:r>
      <w:r w:rsidR="000565E2" w:rsidRPr="00DC145E">
        <w:rPr>
          <w:i/>
        </w:rPr>
        <w:t>tiam nec accidens</w:t>
      </w:r>
      <w:r w:rsidR="000565E2">
        <w:t>)</w:t>
      </w:r>
      <w:r w:rsidR="000565E2" w:rsidRPr="00273106">
        <w:t>.</w:t>
      </w:r>
      <w:r w:rsidR="000565E2" w:rsidRPr="00273106">
        <w:rPr>
          <w:rStyle w:val="Znakapoznpodarou"/>
        </w:rPr>
        <w:footnoteReference w:id="423"/>
      </w:r>
      <w:r w:rsidR="000565E2" w:rsidRPr="00273106">
        <w:t xml:space="preserve"> </w:t>
      </w:r>
      <w:r w:rsidR="08163013">
        <w:t xml:space="preserve">Deteminace metafyziky nemůže podle Scota jít ani z mysli, ani z kontingentní první substance dané hylemorficky v realitě. </w:t>
      </w:r>
      <w:r w:rsidR="00A837DC">
        <w:t xml:space="preserve">Scotus musel najít novou jednotu bytí jsoucna za kategoriální predikací. Ta ztratila metafyzický význam, který měla v prvním averroismu. </w:t>
      </w:r>
      <w:r w:rsidR="0083501E">
        <w:t xml:space="preserve">Nová cesta </w:t>
      </w:r>
      <w:r w:rsidR="08163013">
        <w:t xml:space="preserve">k definici první vědy je dána </w:t>
      </w:r>
      <w:r w:rsidR="008F52BE">
        <w:t xml:space="preserve">podle Avicenny, tedy </w:t>
      </w:r>
      <w:r w:rsidR="08163013" w:rsidRPr="00273106">
        <w:t xml:space="preserve">pouze </w:t>
      </w:r>
      <w:r w:rsidR="08163013">
        <w:t>vzhl</w:t>
      </w:r>
      <w:r w:rsidR="00AD53C9">
        <w:t xml:space="preserve">edem k prvnímu </w:t>
      </w:r>
      <w:r w:rsidR="00AD53C9" w:rsidRPr="00AD53C9">
        <w:rPr>
          <w:i/>
        </w:rPr>
        <w:t>scibile</w:t>
      </w:r>
      <w:r w:rsidR="00AD53C9">
        <w:t xml:space="preserve">, kterým je čisté </w:t>
      </w:r>
      <w:r w:rsidR="00AD53C9" w:rsidRPr="00AD53C9">
        <w:rPr>
          <w:i/>
        </w:rPr>
        <w:t>ens</w:t>
      </w:r>
      <w:r w:rsidR="00AD53C9">
        <w:t xml:space="preserve">. </w:t>
      </w:r>
      <w:r w:rsidR="008F52BE">
        <w:t xml:space="preserve">Tato reflektovaná substance jako čisté </w:t>
      </w:r>
      <w:r w:rsidR="008F52BE" w:rsidRPr="008F52BE">
        <w:rPr>
          <w:i/>
        </w:rPr>
        <w:t>ens</w:t>
      </w:r>
      <w:r w:rsidR="008F52BE">
        <w:t xml:space="preserve"> je daná </w:t>
      </w:r>
      <w:r w:rsidR="08163013">
        <w:t>v náhledu jsoucna jako jsoucího</w:t>
      </w:r>
      <w:r w:rsidR="08163013" w:rsidRPr="00273106">
        <w:t xml:space="preserve">. </w:t>
      </w:r>
      <w:r w:rsidR="08163013">
        <w:t xml:space="preserve">Scotus integroval aristotelskou metafyziku do amfibolní </w:t>
      </w:r>
      <w:r w:rsidR="08163013">
        <w:lastRenderedPageBreak/>
        <w:t>predikace Avicenny a odmítl „meta</w:t>
      </w:r>
      <w:r w:rsidR="08163013">
        <w:noBreakHyphen/>
        <w:t>fyziku“ Komentátora danou od aktuality první substance, kterou hájil první av</w:t>
      </w:r>
      <w:r w:rsidR="005D4020">
        <w:t>erroismus.</w:t>
      </w:r>
    </w:p>
    <w:p w:rsidR="00FB4824" w:rsidRDefault="005D4020" w:rsidP="00CF069B">
      <w:pPr>
        <w:ind w:firstLine="397"/>
      </w:pPr>
      <w:r>
        <w:t>Nový v</w:t>
      </w:r>
      <w:r w:rsidR="08163013" w:rsidRPr="00273106">
        <w:t xml:space="preserve">ýklad </w:t>
      </w:r>
      <w:r>
        <w:t xml:space="preserve">spisu </w:t>
      </w:r>
      <w:r w:rsidRPr="005D4020">
        <w:rPr>
          <w:i/>
        </w:rPr>
        <w:t>K</w:t>
      </w:r>
      <w:r w:rsidR="08163013" w:rsidRPr="005D4020">
        <w:rPr>
          <w:i/>
        </w:rPr>
        <w:t>ategori</w:t>
      </w:r>
      <w:r w:rsidRPr="005D4020">
        <w:rPr>
          <w:i/>
        </w:rPr>
        <w:t>e</w:t>
      </w:r>
      <w:r>
        <w:t xml:space="preserve"> kodifikoval</w:t>
      </w:r>
      <w:r w:rsidR="08163013" w:rsidRPr="00273106">
        <w:t xml:space="preserve"> </w:t>
      </w:r>
      <w:r w:rsidR="00D63FA7">
        <w:t xml:space="preserve">novou </w:t>
      </w:r>
      <w:r w:rsidR="08163013" w:rsidRPr="00273106">
        <w:t>diferenci mezi formální logikou a metafyzikou</w:t>
      </w:r>
      <w:r w:rsidR="00D63FA7">
        <w:t xml:space="preserve">. Ta </w:t>
      </w:r>
      <w:r w:rsidR="08163013" w:rsidRPr="00273106">
        <w:t xml:space="preserve">ukazuje na zásadně změněný statut kategorií </w:t>
      </w:r>
      <w:r w:rsidR="08163013">
        <w:t>uvedený v předešlých matricích</w:t>
      </w:r>
      <w:r w:rsidR="08163013" w:rsidRPr="00273106">
        <w:t xml:space="preserve">. </w:t>
      </w:r>
      <w:r w:rsidR="0083501E">
        <w:t>Elias poprvé zavedl amfibolní</w:t>
      </w:r>
      <w:r w:rsidR="0083501E">
        <w:fldChar w:fldCharType="begin"/>
      </w:r>
      <w:r w:rsidR="0083501E">
        <w:instrText xml:space="preserve"> XE "</w:instrText>
      </w:r>
      <w:r w:rsidR="0083501E" w:rsidRPr="089C53F0">
        <w:instrText>predikace:amfibolní</w:instrText>
      </w:r>
      <w:r w:rsidR="0083501E">
        <w:instrText xml:space="preserve">" </w:instrText>
      </w:r>
      <w:r w:rsidR="0083501E">
        <w:fldChar w:fldCharType="end"/>
      </w:r>
      <w:r w:rsidR="0083501E">
        <w:t xml:space="preserve"> kategoriální predikaci, která nahradila původní smysl aristotelských kategorií </w:t>
      </w:r>
      <w:r w:rsidR="0083501E">
        <w:rPr>
          <w:szCs w:val="24"/>
          <w:lang w:val="de-DE"/>
        </w:rPr>
        <w:t>(</w:t>
      </w:r>
      <w:r w:rsidR="00237F73">
        <w:rPr>
          <w:szCs w:val="24"/>
          <w:lang w:val="de-DE"/>
        </w:rPr>
        <w:t>OBJ I, kap.</w:t>
      </w:r>
      <w:r w:rsidR="0083501E">
        <w:rPr>
          <w:szCs w:val="24"/>
          <w:lang w:val="de-DE"/>
        </w:rPr>
        <w:t xml:space="preserve"> 2.1.2). Scotus uděla</w:t>
      </w:r>
      <w:r w:rsidR="00A36103">
        <w:rPr>
          <w:szCs w:val="24"/>
          <w:lang w:val="de-DE"/>
        </w:rPr>
        <w:t>l</w:t>
      </w:r>
      <w:r w:rsidR="0083501E">
        <w:rPr>
          <w:szCs w:val="24"/>
          <w:lang w:val="de-DE"/>
        </w:rPr>
        <w:t xml:space="preserve"> s modernisty další krok </w:t>
      </w:r>
      <w:r w:rsidR="00A36103">
        <w:rPr>
          <w:szCs w:val="24"/>
          <w:lang w:val="de-DE"/>
        </w:rPr>
        <w:t xml:space="preserve">k nihilismu první substance </w:t>
      </w:r>
      <w:r w:rsidR="0083501E">
        <w:rPr>
          <w:szCs w:val="24"/>
          <w:lang w:val="de-DE"/>
        </w:rPr>
        <w:t xml:space="preserve">a prohlásil „logický“ status kategorií na nedostatečný základ pro metafyziku. </w:t>
      </w:r>
      <w:r w:rsidR="08163013">
        <w:t xml:space="preserve">Nová metafyzika musí najít primární metafyzickou abstrakci, kde vzniká první a původní jednota jsoucna. </w:t>
      </w:r>
      <w:r w:rsidR="08163013" w:rsidRPr="00273106">
        <w:t>Z původní diference mezi první a druhou substancí</w:t>
      </w:r>
      <w:r w:rsidR="08163013">
        <w:t xml:space="preserve"> </w:t>
      </w:r>
      <w:r w:rsidR="08163013" w:rsidRPr="00273106">
        <w:t xml:space="preserve">se stala </w:t>
      </w:r>
      <w:r w:rsidR="08163013">
        <w:t xml:space="preserve">moderní </w:t>
      </w:r>
      <w:r w:rsidR="08163013" w:rsidRPr="00273106">
        <w:t>dualita</w:t>
      </w:r>
      <w:r w:rsidR="08163013">
        <w:t xml:space="preserve"> mezi </w:t>
      </w:r>
      <w:r w:rsidR="00B536AF">
        <w:t xml:space="preserve">moderní </w:t>
      </w:r>
      <w:r w:rsidR="08163013">
        <w:t xml:space="preserve">logikou </w:t>
      </w:r>
      <w:r w:rsidR="00CF069B">
        <w:t xml:space="preserve">Antikrista </w:t>
      </w:r>
      <w:r w:rsidR="08163013">
        <w:t>a esenciální metafyzikou</w:t>
      </w:r>
      <w:r w:rsidR="00CF069B">
        <w:t xml:space="preserve"> chiméry. Na straně aristotelismu byla kategoriální logika</w:t>
      </w:r>
      <w:r w:rsidR="004C05C1">
        <w:t xml:space="preserve"> </w:t>
      </w:r>
      <w:r w:rsidR="004C05C1">
        <w:rPr>
          <w:szCs w:val="24"/>
          <w:lang w:val="de-DE"/>
        </w:rPr>
        <w:t>(</w:t>
      </w:r>
      <w:r w:rsidR="004C05C1" w:rsidRPr="00BB205E">
        <w:rPr>
          <w:i/>
          <w:szCs w:val="24"/>
          <w:lang w:val="de-DE"/>
        </w:rPr>
        <w:t>logica Vetus</w:t>
      </w:r>
      <w:r w:rsidR="004C05C1">
        <w:rPr>
          <w:i/>
          <w:szCs w:val="24"/>
          <w:lang w:val="de-DE"/>
        </w:rPr>
        <w:fldChar w:fldCharType="begin"/>
      </w:r>
      <w:r w:rsidR="004C05C1">
        <w:instrText xml:space="preserve"> XE "</w:instrText>
      </w:r>
      <w:r w:rsidR="004C05C1" w:rsidRPr="003400D7">
        <w:rPr>
          <w:i/>
          <w:szCs w:val="24"/>
          <w:lang w:val="de-DE"/>
        </w:rPr>
        <w:instrText>logica Vetus</w:instrText>
      </w:r>
      <w:r w:rsidR="004C05C1">
        <w:instrText xml:space="preserve">" </w:instrText>
      </w:r>
      <w:r w:rsidR="004C05C1">
        <w:rPr>
          <w:i/>
          <w:szCs w:val="24"/>
          <w:lang w:val="de-DE"/>
        </w:rPr>
        <w:fldChar w:fldCharType="end"/>
      </w:r>
      <w:r w:rsidR="00CF069B">
        <w:rPr>
          <w:szCs w:val="24"/>
          <w:lang w:val="de-DE"/>
        </w:rPr>
        <w:t xml:space="preserve">), která sledovala </w:t>
      </w:r>
      <w:r w:rsidR="004C05C1">
        <w:rPr>
          <w:szCs w:val="24"/>
          <w:lang w:val="de-DE"/>
        </w:rPr>
        <w:t xml:space="preserve">metafyziku </w:t>
      </w:r>
      <w:r w:rsidR="00CF069B">
        <w:rPr>
          <w:szCs w:val="24"/>
          <w:lang w:val="de-DE"/>
        </w:rPr>
        <w:t>„</w:t>
      </w:r>
      <w:r w:rsidR="004C05C1">
        <w:rPr>
          <w:szCs w:val="24"/>
          <w:lang w:val="de-DE"/>
        </w:rPr>
        <w:t xml:space="preserve">substance </w:t>
      </w:r>
      <w:r w:rsidR="004C05C1" w:rsidRPr="004C05C1">
        <w:rPr>
          <w:i/>
          <w:szCs w:val="24"/>
          <w:lang w:val="de-DE"/>
        </w:rPr>
        <w:t>qua</w:t>
      </w:r>
      <w:r w:rsidR="00CF069B">
        <w:rPr>
          <w:szCs w:val="24"/>
          <w:lang w:val="de-DE"/>
        </w:rPr>
        <w:t xml:space="preserve"> substance“</w:t>
      </w:r>
      <w:r w:rsidR="004C05C1">
        <w:rPr>
          <w:szCs w:val="24"/>
          <w:lang w:val="de-DE"/>
        </w:rPr>
        <w:t xml:space="preserve">. </w:t>
      </w:r>
      <w:r w:rsidR="08163013" w:rsidRPr="00273106">
        <w:t>Aristotelova kategoriální predikace</w:t>
      </w:r>
      <w:r w:rsidR="08163013">
        <w:fldChar w:fldCharType="begin"/>
      </w:r>
      <w:r w:rsidR="08163013">
        <w:instrText xml:space="preserve"> XE "</w:instrText>
      </w:r>
      <w:r w:rsidR="08163013" w:rsidRPr="00716DEB">
        <w:instrText>predikace:Scotus</w:instrText>
      </w:r>
      <w:r w:rsidR="08163013">
        <w:instrText xml:space="preserve">" </w:instrText>
      </w:r>
      <w:r w:rsidR="08163013">
        <w:fldChar w:fldCharType="end"/>
      </w:r>
      <w:r w:rsidR="08163013" w:rsidRPr="00273106">
        <w:t xml:space="preserve"> přišla </w:t>
      </w:r>
      <w:r w:rsidR="08163013">
        <w:t xml:space="preserve">kolem roku 1290 </w:t>
      </w:r>
      <w:r w:rsidR="08163013" w:rsidRPr="00273106">
        <w:t>o všechny klíčové atributy</w:t>
      </w:r>
      <w:r w:rsidR="00FB4824">
        <w:t>.</w:t>
      </w:r>
    </w:p>
    <w:p w:rsidR="00B66B09" w:rsidRDefault="00FB4824" w:rsidP="00B66B09">
      <w:pPr>
        <w:numPr>
          <w:ilvl w:val="0"/>
          <w:numId w:val="11"/>
        </w:numPr>
      </w:pPr>
      <w:r>
        <w:t xml:space="preserve">Ztratila vazbu na první substanci jako konečný zdroj jednoty </w:t>
      </w:r>
      <w:r w:rsidR="000064D6">
        <w:t>hledané „</w:t>
      </w:r>
      <w:r w:rsidRPr="00FB4824">
        <w:rPr>
          <w:i/>
        </w:rPr>
        <w:t xml:space="preserve">ad </w:t>
      </w:r>
      <w:proofErr w:type="gramStart"/>
      <w:r w:rsidRPr="00FB4824">
        <w:rPr>
          <w:i/>
        </w:rPr>
        <w:t>unum</w:t>
      </w:r>
      <w:proofErr w:type="gramEnd"/>
      <w:r w:rsidR="000064D6">
        <w:t>“</w:t>
      </w:r>
      <w:r>
        <w:t>.</w:t>
      </w:r>
    </w:p>
    <w:p w:rsidR="00B66B09" w:rsidRDefault="00FB4824" w:rsidP="00B66B09">
      <w:pPr>
        <w:numPr>
          <w:ilvl w:val="0"/>
          <w:numId w:val="11"/>
        </w:numPr>
      </w:pPr>
      <w:r>
        <w:t>Druhá substance ztratila statut daný primátem smyslu predikovaného na základě metafyzického dativu.</w:t>
      </w:r>
    </w:p>
    <w:p w:rsidR="00B66B09" w:rsidRDefault="00FB4824" w:rsidP="00B66B09">
      <w:pPr>
        <w:numPr>
          <w:ilvl w:val="0"/>
          <w:numId w:val="11"/>
        </w:numPr>
      </w:pPr>
      <w:r>
        <w:t xml:space="preserve">Kvůli </w:t>
      </w:r>
      <w:r w:rsidRPr="00B66B09">
        <w:rPr>
          <w:i/>
        </w:rPr>
        <w:t>Oxfordian Fallacy</w:t>
      </w:r>
      <w:r>
        <w:t xml:space="preserve"> se kategoriální predikace přestala vztahovat ke kauzálně působícím prvním substancím; tím přestala platit jako hlavní složka demonstrativního důkazu.</w:t>
      </w:r>
    </w:p>
    <w:p w:rsidR="00FB4824" w:rsidRDefault="00FB4824" w:rsidP="00B66B09">
      <w:pPr>
        <w:numPr>
          <w:ilvl w:val="0"/>
          <w:numId w:val="11"/>
        </w:numPr>
      </w:pPr>
      <w:r>
        <w:t>Nová "kategoriální" (tj. objektivně) určená kauzalita pochází primárně z myšlení, nikoli ze skutečnosti.</w:t>
      </w:r>
    </w:p>
    <w:p w:rsidR="00C263BC" w:rsidRDefault="08163013" w:rsidP="08163013">
      <w:r>
        <w:t>D</w:t>
      </w:r>
      <w:r w:rsidRPr="00273106">
        <w:t xml:space="preserve">ruhá </w:t>
      </w:r>
      <w:r w:rsidR="00AD6EBD">
        <w:t xml:space="preserve">aristotelská </w:t>
      </w:r>
      <w:r w:rsidRPr="00273106">
        <w:t xml:space="preserve">substance signifikuje jednotu jsoucna v oboru logické ekvivokace a </w:t>
      </w:r>
      <w:r>
        <w:t xml:space="preserve">v rámci </w:t>
      </w:r>
      <w:r w:rsidRPr="00273106">
        <w:t>subjektivně dané intencionality.</w:t>
      </w:r>
      <w:r>
        <w:t xml:space="preserve"> </w:t>
      </w:r>
      <w:r w:rsidRPr="00273106">
        <w:t>Tabulka kategorií nezaručuje dokonce ani analogickou jednotu jsoucna, pouze ekvivocitu čistě nominálního určení významu daného gramaticky podle Prisciána</w:t>
      </w:r>
      <w:r w:rsidR="00AD6EBD">
        <w:t xml:space="preserve"> (OBJ II, kap. 1.1)</w:t>
      </w:r>
      <w:r w:rsidRPr="00273106">
        <w:t>.</w:t>
      </w:r>
      <w:r>
        <w:t xml:space="preserve"> </w:t>
      </w:r>
      <w:r w:rsidRPr="00273106">
        <w:t>Tím je dokonán rozchod s realitou první substance predikovanou v rámci jednoty deseti kategorií.</w:t>
      </w:r>
      <w:r>
        <w:t xml:space="preserve"> Scotova metafyzická destrukce kategorií potvrzuje epochální vítězství analytické filosofie napojené na </w:t>
      </w:r>
      <w:r w:rsidRPr="00F778F7">
        <w:rPr>
          <w:i/>
        </w:rPr>
        <w:t>Oxfordian Fallacy</w:t>
      </w:r>
      <w:r>
        <w:rPr>
          <w:i/>
        </w:rPr>
        <w:fldChar w:fldCharType="begin"/>
      </w:r>
      <w:r>
        <w:instrText xml:space="preserve"> XE "</w:instrText>
      </w:r>
      <w:r w:rsidRPr="0015798D">
        <w:rPr>
          <w:i/>
        </w:rPr>
        <w:instrText>Oxfordian Fallacy:</w:instrText>
      </w:r>
      <w:r w:rsidRPr="007828A9">
        <w:instrText>moderna</w:instrText>
      </w:r>
      <w:r>
        <w:instrText xml:space="preserve">" </w:instrText>
      </w:r>
      <w:r>
        <w:rPr>
          <w:i/>
        </w:rPr>
        <w:fldChar w:fldCharType="end"/>
      </w:r>
      <w:r>
        <w:t>.</w:t>
      </w:r>
      <w:r w:rsidRPr="084A6FC6">
        <w:t xml:space="preserve"> </w:t>
      </w:r>
      <w:r w:rsidRPr="00273106">
        <w:t xml:space="preserve">Aktualita první reálné substance se stala pro </w:t>
      </w:r>
      <w:r>
        <w:t xml:space="preserve">metafyzické </w:t>
      </w:r>
      <w:r w:rsidRPr="00273106">
        <w:t>poznání zbytečnou</w:t>
      </w:r>
      <w:r>
        <w:t xml:space="preserve"> přítěží.</w:t>
      </w:r>
      <w:r w:rsidR="004F5F4D">
        <w:t xml:space="preserve"> </w:t>
      </w:r>
      <w:r w:rsidR="00F51099">
        <w:t xml:space="preserve">Scotus </w:t>
      </w:r>
      <w:r>
        <w:t>úspěšně dokonal zatmění první substance</w:t>
      </w:r>
      <w:r>
        <w:fldChar w:fldCharType="begin"/>
      </w:r>
      <w:r>
        <w:instrText xml:space="preserve"> XE "</w:instrText>
      </w:r>
      <w:r w:rsidRPr="00C27681">
        <w:instrText>zatmění</w:instrText>
      </w:r>
      <w:r>
        <w:instrText>:</w:instrText>
      </w:r>
      <w:r w:rsidRPr="00C27681">
        <w:instrText>substance</w:instrText>
      </w:r>
      <w:r>
        <w:instrText xml:space="preserve">" </w:instrText>
      </w:r>
      <w:r>
        <w:fldChar w:fldCharType="end"/>
      </w:r>
      <w:r>
        <w:t xml:space="preserve">, které ve stejné době prosazovali na Oxfordu ideoví nástupci </w:t>
      </w:r>
      <w:r w:rsidRPr="00273106">
        <w:lastRenderedPageBreak/>
        <w:t>Ki</w:t>
      </w:r>
      <w:r>
        <w:t xml:space="preserve">lwardbyho jako byli analytičtí logikové Walcote </w:t>
      </w:r>
      <w:r>
        <w:fldChar w:fldCharType="begin"/>
      </w:r>
      <w:r>
        <w:instrText xml:space="preserve"> XE "</w:instrText>
      </w:r>
      <w:r w:rsidRPr="0083535F">
        <w:instrText>Guillaume de Walcote</w:instrText>
      </w:r>
      <w:r>
        <w:instrText xml:space="preserve">" </w:instrText>
      </w:r>
      <w:r>
        <w:fldChar w:fldCharType="end"/>
      </w:r>
      <w:r>
        <w:t xml:space="preserve">a </w:t>
      </w:r>
      <w:r w:rsidRPr="00273106">
        <w:t>Bonkes</w:t>
      </w:r>
      <w:r>
        <w:t xml:space="preserve"> </w:t>
      </w:r>
      <w:r>
        <w:fldChar w:fldCharType="begin"/>
      </w:r>
      <w:r>
        <w:instrText xml:space="preserve"> XE "Guillaume de Bonkes" </w:instrText>
      </w:r>
      <w:r>
        <w:fldChar w:fldCharType="end"/>
      </w:r>
      <w:r>
        <w:t xml:space="preserve"> (</w:t>
      </w:r>
      <w:r w:rsidR="006F38AE">
        <w:t>OBJ II, kap. 3</w:t>
      </w:r>
      <w:r>
        <w:t>.4.3</w:t>
      </w:r>
      <w:r w:rsidRPr="00273106">
        <w:rPr>
          <w:szCs w:val="18"/>
        </w:rPr>
        <w:t>)</w:t>
      </w:r>
      <w:r w:rsidRPr="00273106">
        <w:t>.</w:t>
      </w:r>
      <w:r>
        <w:t xml:space="preserve"> Tento fakt </w:t>
      </w:r>
      <w:r w:rsidRPr="00273106">
        <w:t xml:space="preserve">potvrdila Gilsonova </w:t>
      </w:r>
      <w:r>
        <w:fldChar w:fldCharType="begin"/>
      </w:r>
      <w:r>
        <w:instrText xml:space="preserve"> XE "</w:instrText>
      </w:r>
      <w:r w:rsidRPr="00F81669">
        <w:instrText>Gilson, E.</w:instrText>
      </w:r>
      <w:r>
        <w:instrText xml:space="preserve">" </w:instrText>
      </w:r>
      <w:r>
        <w:fldChar w:fldCharType="end"/>
      </w:r>
      <w:r w:rsidRPr="00273106">
        <w:t xml:space="preserve">studie o Scotovi tím, že analyzovala jeho odmítnutí metafyziky </w:t>
      </w:r>
      <w:r>
        <w:t>Averroes</w:t>
      </w:r>
      <w:r w:rsidRPr="00273106">
        <w:t>e a přijetí Avicenny (Gilson 1927, 97‒99)</w:t>
      </w:r>
      <w:r w:rsidR="004F5F4D">
        <w:t xml:space="preserve">. </w:t>
      </w:r>
      <w:r w:rsidR="00C263BC">
        <w:t>Scotus vytvořil univoční jednotu jsoucna postavenou m</w:t>
      </w:r>
      <w:r w:rsidR="00C263BC" w:rsidRPr="00273106">
        <w:t>imo kategoriální</w:t>
      </w:r>
      <w:r w:rsidR="00C263BC">
        <w:t xml:space="preserve"> predikaci</w:t>
      </w:r>
      <w:r w:rsidR="00C263BC" w:rsidRPr="00273106">
        <w:t xml:space="preserve">. Impozice univerzálního významu nemůže jít z </w:t>
      </w:r>
      <w:r w:rsidR="00C263BC">
        <w:t xml:space="preserve">„logické“ </w:t>
      </w:r>
      <w:r w:rsidR="00C263BC" w:rsidRPr="00273106">
        <w:t>ekvivocity kategoriální substance, ale pouze z univočního náhledu jednot</w:t>
      </w:r>
      <w:r w:rsidR="004F5F4D">
        <w:t>y</w:t>
      </w:r>
      <w:r w:rsidR="00C263BC">
        <w:fldChar w:fldCharType="begin"/>
      </w:r>
      <w:r w:rsidR="00C263BC">
        <w:instrText xml:space="preserve"> XE "</w:instrText>
      </w:r>
      <w:r w:rsidR="00C263BC" w:rsidRPr="009B357D">
        <w:instrText>impozice:Scotus</w:instrText>
      </w:r>
      <w:r w:rsidR="00C263BC">
        <w:instrText xml:space="preserve">" </w:instrText>
      </w:r>
      <w:r w:rsidR="00C263BC">
        <w:fldChar w:fldCharType="end"/>
      </w:r>
      <w:r w:rsidR="00C263BC" w:rsidRPr="00273106">
        <w:t xml:space="preserve">. </w:t>
      </w:r>
      <w:r>
        <w:t xml:space="preserve">Dedukce </w:t>
      </w:r>
      <w:r w:rsidRPr="0868317A">
        <w:rPr>
          <w:i/>
        </w:rPr>
        <w:t>modo geometrico</w:t>
      </w:r>
      <w:r>
        <w:rPr>
          <w:i/>
        </w:rPr>
        <w:fldChar w:fldCharType="begin"/>
      </w:r>
      <w:r>
        <w:instrText xml:space="preserve"> XE "</w:instrText>
      </w:r>
      <w:r w:rsidRPr="08647454">
        <w:rPr>
          <w:i/>
        </w:rPr>
        <w:instrText>modo geometrico</w:instrText>
      </w:r>
      <w:r>
        <w:instrText xml:space="preserve">" </w:instrText>
      </w:r>
      <w:r>
        <w:rPr>
          <w:i/>
        </w:rPr>
        <w:fldChar w:fldCharType="end"/>
      </w:r>
      <w:r>
        <w:t xml:space="preserve"> </w:t>
      </w:r>
      <w:r w:rsidR="004F5F4D">
        <w:t>na minimální formu</w:t>
      </w:r>
      <w:r w:rsidR="00C263BC">
        <w:t xml:space="preserve"> bytí </w:t>
      </w:r>
      <w:r w:rsidR="004F5F4D">
        <w:t xml:space="preserve">podle Avicenny </w:t>
      </w:r>
      <w:r w:rsidRPr="00273106">
        <w:t>umožňuje redukci mnohosti na původní jednotu danou v rámci univočního pojetí jsoucna</w:t>
      </w:r>
      <w:r>
        <w:t xml:space="preserve"> (</w:t>
      </w:r>
      <w:r w:rsidRPr="001831DD">
        <w:rPr>
          <w:i/>
        </w:rPr>
        <w:t>omnis multitudo est reducibilis ad unitatem</w:t>
      </w:r>
      <w:r>
        <w:t>)</w:t>
      </w:r>
      <w:r w:rsidRPr="00273106">
        <w:t>.</w:t>
      </w:r>
      <w:r w:rsidRPr="00273106">
        <w:rPr>
          <w:rStyle w:val="Znakapoznpodarou"/>
        </w:rPr>
        <w:footnoteReference w:id="424"/>
      </w:r>
      <w:r w:rsidRPr="00273106">
        <w:t xml:space="preserve"> </w:t>
      </w:r>
      <w:r w:rsidR="00C263BC">
        <w:t>Nový n</w:t>
      </w:r>
      <w:r w:rsidR="00C263BC" w:rsidRPr="00273106">
        <w:t>áhled determinuje původní jednotu jsoucna danou v</w:t>
      </w:r>
      <w:r w:rsidR="00C263BC">
        <w:t xml:space="preserve"> objektivním </w:t>
      </w:r>
      <w:r w:rsidR="00C263BC" w:rsidRPr="00273106">
        <w:t>metafyzickém modu, a ne v logické predikaci</w:t>
      </w:r>
      <w:r w:rsidR="004F5F4D">
        <w:t xml:space="preserve">, která </w:t>
      </w:r>
      <w:r w:rsidR="00C263BC">
        <w:t xml:space="preserve">je podle Scota daná tabulkou deseti kategorií. Jednota je </w:t>
      </w:r>
      <w:r w:rsidR="00C263BC" w:rsidRPr="00273106">
        <w:t xml:space="preserve">metafyzickým určením jsoucna, </w:t>
      </w:r>
      <w:r w:rsidR="00C263BC">
        <w:t>n</w:t>
      </w:r>
      <w:r w:rsidR="00C263BC" w:rsidRPr="00273106">
        <w:t xml:space="preserve">ejen logickým konceptem daným </w:t>
      </w:r>
      <w:r w:rsidR="00C263BC">
        <w:t>akcidentálně</w:t>
      </w:r>
      <w:r w:rsidR="00C263BC" w:rsidRPr="00273106">
        <w:t>.</w:t>
      </w:r>
      <w:r w:rsidR="00C263BC">
        <w:t xml:space="preserve"> </w:t>
      </w:r>
    </w:p>
    <w:p w:rsidR="08163013" w:rsidRPr="00664689" w:rsidRDefault="00A02C7A" w:rsidP="08163013">
      <w:r>
        <w:tab/>
      </w:r>
      <w:r w:rsidR="00C263BC" w:rsidRPr="00273106">
        <w:t xml:space="preserve">Zmizení první substance a devalvace druhé substance </w:t>
      </w:r>
      <w:r w:rsidR="00C263BC">
        <w:t xml:space="preserve">dané jako první kategorie </w:t>
      </w:r>
      <w:r w:rsidR="00C263BC" w:rsidRPr="00273106">
        <w:t>ne</w:t>
      </w:r>
      <w:r>
        <w:t>slo</w:t>
      </w:r>
      <w:r w:rsidR="00C263BC" w:rsidRPr="00273106">
        <w:t xml:space="preserve"> zásadní metafyzické důsledky. </w:t>
      </w:r>
      <w:r>
        <w:t xml:space="preserve">Scotus se dostal do paradoxní situace, kdy vytvořil novou metafyziku, ale neměl žádný kategoriálně daný subjekt, k němuž by mohl vztáhnout nově vytvořenou transcendentální jednotu jsoucna. </w:t>
      </w:r>
      <w:r w:rsidR="002B0B3E" w:rsidRPr="002B0B3E">
        <w:t xml:space="preserve">Metafyzika chiméry vzniká vždy </w:t>
      </w:r>
      <w:r w:rsidR="002B0B3E" w:rsidRPr="002B0B3E">
        <w:rPr>
          <w:i/>
        </w:rPr>
        <w:t>ex nihilo</w:t>
      </w:r>
      <w:r w:rsidR="002B0B3E" w:rsidRPr="002B0B3E">
        <w:t xml:space="preserve">; Scotus ji však chtěl prodat jako aristotelskou kategorickou predikaci. </w:t>
      </w:r>
      <w:r w:rsidR="002B0B3E">
        <w:t xml:space="preserve">Jde o jedinou výrokou formu která vytváří </w:t>
      </w:r>
      <w:r w:rsidR="002B0B3E" w:rsidRPr="002B0B3E">
        <w:t xml:space="preserve">řád bytí v modu </w:t>
      </w:r>
      <w:r w:rsidR="002B0B3E" w:rsidRPr="002B0B3E">
        <w:rPr>
          <w:i/>
        </w:rPr>
        <w:t>per prius</w:t>
      </w:r>
      <w:r w:rsidR="002B0B3E" w:rsidRPr="002B0B3E">
        <w:t xml:space="preserve"> a </w:t>
      </w:r>
      <w:r w:rsidR="002B0B3E" w:rsidRPr="002B0B3E">
        <w:rPr>
          <w:i/>
        </w:rPr>
        <w:t>per posterius</w:t>
      </w:r>
      <w:r w:rsidR="002B0B3E" w:rsidRPr="002B0B3E">
        <w:t xml:space="preserve">. Bez tohoto řádu není </w:t>
      </w:r>
      <w:r w:rsidR="002B0B3E">
        <w:t xml:space="preserve">možné </w:t>
      </w:r>
      <w:r w:rsidR="002B0B3E" w:rsidRPr="002B0B3E">
        <w:rPr>
          <w:i/>
        </w:rPr>
        <w:t>resolutio</w:t>
      </w:r>
      <w:r w:rsidR="002B0B3E" w:rsidRPr="002B0B3E">
        <w:t xml:space="preserve">, a tedy </w:t>
      </w:r>
      <w:r w:rsidR="002D736D">
        <w:t xml:space="preserve">ani metafyzika jako první věda. </w:t>
      </w:r>
      <w:r w:rsidR="08163013">
        <w:t xml:space="preserve">Aristoteles považuje </w:t>
      </w:r>
      <w:r w:rsidR="08163013" w:rsidRPr="00273106">
        <w:t xml:space="preserve">definici </w:t>
      </w:r>
      <w:r w:rsidR="08163013">
        <w:t xml:space="preserve">první </w:t>
      </w:r>
      <w:r w:rsidR="08163013" w:rsidRPr="00273106">
        <w:t>substance</w:t>
      </w:r>
      <w:r w:rsidR="08163013">
        <w:fldChar w:fldCharType="begin"/>
      </w:r>
      <w:r w:rsidR="08163013">
        <w:instrText xml:space="preserve"> XE "</w:instrText>
      </w:r>
      <w:r w:rsidR="08163013" w:rsidRPr="005D01E0">
        <w:instrText>substance</w:instrText>
      </w:r>
      <w:r w:rsidR="08163013">
        <w:instrText xml:space="preserve">:první" </w:instrText>
      </w:r>
      <w:r w:rsidR="08163013">
        <w:fldChar w:fldCharType="end"/>
      </w:r>
      <w:r w:rsidR="08163013" w:rsidRPr="00273106">
        <w:t xml:space="preserve"> jako </w:t>
      </w:r>
      <w:r w:rsidR="08163013">
        <w:t xml:space="preserve">naprosto základní úkon </w:t>
      </w:r>
      <w:r w:rsidR="08163013" w:rsidRPr="00273106">
        <w:t xml:space="preserve">pro </w:t>
      </w:r>
      <w:r w:rsidR="08163013">
        <w:t xml:space="preserve">metafyzické </w:t>
      </w:r>
      <w:r w:rsidR="08163013" w:rsidRPr="00273106">
        <w:t>poznání</w:t>
      </w:r>
      <w:r w:rsidR="08163013">
        <w:t xml:space="preserve"> reality</w:t>
      </w:r>
      <w:r w:rsidR="08163013" w:rsidRPr="00273106">
        <w:t xml:space="preserve">. </w:t>
      </w:r>
      <w:r w:rsidR="08163013">
        <w:t xml:space="preserve">Substance musí být dána v modu </w:t>
      </w:r>
      <w:r w:rsidR="08163013" w:rsidRPr="087609E2">
        <w:rPr>
          <w:i/>
        </w:rPr>
        <w:t xml:space="preserve">per </w:t>
      </w:r>
      <w:proofErr w:type="gramStart"/>
      <w:r w:rsidR="08163013" w:rsidRPr="087609E2">
        <w:rPr>
          <w:i/>
        </w:rPr>
        <w:t>se</w:t>
      </w:r>
      <w:proofErr w:type="gramEnd"/>
      <w:r w:rsidR="08163013">
        <w:t xml:space="preserve"> a musí být prvním předmětem poznání. Pak bude první filosofie také první vědou o substanci</w:t>
      </w:r>
      <w:r w:rsidR="00545FC3">
        <w:t xml:space="preserve"> </w:t>
      </w:r>
      <w:r w:rsidR="00545FC3" w:rsidRPr="00545FC3">
        <w:rPr>
          <w:i/>
        </w:rPr>
        <w:t>qua</w:t>
      </w:r>
      <w:r w:rsidR="00545FC3">
        <w:t xml:space="preserve"> substanci</w:t>
      </w:r>
      <w:r w:rsidR="08163013">
        <w:t xml:space="preserve">. </w:t>
      </w:r>
      <w:r w:rsidR="08163013" w:rsidRPr="00273106">
        <w:t xml:space="preserve">Scotus odmítl statut </w:t>
      </w:r>
      <w:r w:rsidR="003A2C01">
        <w:t xml:space="preserve">aristotelské </w:t>
      </w:r>
      <w:r w:rsidR="08163013" w:rsidRPr="00273106">
        <w:t>substance jako první kategori</w:t>
      </w:r>
      <w:r w:rsidR="003A2C01">
        <w:t>e</w:t>
      </w:r>
      <w:r w:rsidR="00072E1D">
        <w:t xml:space="preserve"> jako základ nové metafyziky</w:t>
      </w:r>
      <w:r w:rsidR="003A2C01">
        <w:t xml:space="preserve">. Tím také padla </w:t>
      </w:r>
      <w:r w:rsidR="00CA5A3A">
        <w:t xml:space="preserve">v moderně </w:t>
      </w:r>
      <w:r w:rsidR="003A2C01">
        <w:t>vazba</w:t>
      </w:r>
      <w:r w:rsidR="08163013">
        <w:t xml:space="preserve"> </w:t>
      </w:r>
      <w:r w:rsidR="081942A4">
        <w:t xml:space="preserve">metafyzického </w:t>
      </w:r>
      <w:r w:rsidR="08163013">
        <w:t xml:space="preserve">dativu na hyparchickou existenci reálné věci. Tato jedinečná vazba na věc predikovanou v minulostním rázu bytí zajišťuje v aristotelské metafyzice </w:t>
      </w:r>
      <w:r w:rsidR="08163013" w:rsidRPr="00273106">
        <w:t>univoční jednotu jsoucna</w:t>
      </w:r>
      <w:r w:rsidR="08163013">
        <w:t xml:space="preserve"> </w:t>
      </w:r>
      <w:r w:rsidR="004447CC">
        <w:t xml:space="preserve">vytvořenou </w:t>
      </w:r>
      <w:r w:rsidR="08163013">
        <w:t>v rámci v</w:t>
      </w:r>
      <w:r w:rsidR="004447CC">
        <w:t xml:space="preserve"> kategoriální </w:t>
      </w:r>
      <w:r w:rsidR="08163013">
        <w:t>rodové predikace</w:t>
      </w:r>
      <w:r w:rsidR="08163013" w:rsidRPr="00273106">
        <w:t xml:space="preserve">. </w:t>
      </w:r>
      <w:r w:rsidR="00311549">
        <w:t xml:space="preserve">Scotus vzal </w:t>
      </w:r>
      <w:r w:rsidR="00372C5F">
        <w:t xml:space="preserve">model </w:t>
      </w:r>
      <w:r w:rsidR="00E2252F">
        <w:t>avicennistické parousie; b</w:t>
      </w:r>
      <w:r w:rsidR="08163013">
        <w:t>ezprostředně dané bytí jsoucna</w:t>
      </w:r>
      <w:r w:rsidR="00E2252F">
        <w:t xml:space="preserve"> </w:t>
      </w:r>
      <w:r w:rsidR="005B0201">
        <w:t xml:space="preserve">ve věcech </w:t>
      </w:r>
      <w:r w:rsidR="00E2252F">
        <w:t xml:space="preserve">se přímo a </w:t>
      </w:r>
      <w:r w:rsidR="00E2252F">
        <w:lastRenderedPageBreak/>
        <w:t xml:space="preserve">evidentně </w:t>
      </w:r>
      <w:r w:rsidR="08163013">
        <w:t>manifest</w:t>
      </w:r>
      <w:r w:rsidR="00E2252F">
        <w:t xml:space="preserve">uje </w:t>
      </w:r>
      <w:r w:rsidR="08163013">
        <w:t>v</w:t>
      </w:r>
      <w:r w:rsidR="00E2252F">
        <w:t> poznání moderních iluminátů</w:t>
      </w:r>
      <w:r w:rsidR="08163013">
        <w:t xml:space="preserve">. </w:t>
      </w:r>
      <w:r w:rsidR="08163013" w:rsidRPr="00273106">
        <w:t>Ale musí se vypořádat s</w:t>
      </w:r>
      <w:r w:rsidR="08163013">
        <w:t xml:space="preserve">e základní </w:t>
      </w:r>
      <w:r w:rsidR="08163013" w:rsidRPr="00273106">
        <w:t xml:space="preserve">námitkou </w:t>
      </w:r>
      <w:r w:rsidR="08163013" w:rsidRPr="0887572C">
        <w:rPr>
          <w:i/>
        </w:rPr>
        <w:t>Metafyziky</w:t>
      </w:r>
      <w:r w:rsidR="08163013" w:rsidRPr="00273106">
        <w:t xml:space="preserve">, že substance je první ve všech ohledech (πολλαχῶς μὲν οὖν λέγεται τὸ πρῶτον); jak v řádu definičního výměru, tak v řádu poznání, tak i v řádu aktuálního bytí v čase (πάντως ἡ οὐσία πρῶτον, καὶ λόγῳ καὶ γνώσει καὶ χρόνῳ, </w:t>
      </w:r>
      <w:r w:rsidR="08163013" w:rsidRPr="00273106">
        <w:rPr>
          <w:i/>
        </w:rPr>
        <w:t>Met</w:t>
      </w:r>
      <w:r w:rsidR="08163013" w:rsidRPr="00273106">
        <w:t>. 1028a32‒33</w:t>
      </w:r>
      <w:r w:rsidR="08163013">
        <w:fldChar w:fldCharType="begin"/>
      </w:r>
      <w:r w:rsidR="08163013">
        <w:instrText xml:space="preserve"> XE "Aristoteles:</w:instrText>
      </w:r>
      <w:r w:rsidR="08163013" w:rsidRPr="00435031">
        <w:rPr>
          <w:i/>
        </w:rPr>
        <w:instrText>Met</w:instrText>
      </w:r>
      <w:r w:rsidR="08163013" w:rsidRPr="00435031">
        <w:instrText>. 1028a32‒33</w:instrText>
      </w:r>
      <w:r w:rsidR="08163013">
        <w:instrText xml:space="preserve">" </w:instrText>
      </w:r>
      <w:r w:rsidR="08163013">
        <w:fldChar w:fldCharType="end"/>
      </w:r>
      <w:r w:rsidR="08163013" w:rsidRPr="00273106">
        <w:t xml:space="preserve">). </w:t>
      </w:r>
      <w:r w:rsidR="004378DE" w:rsidRPr="004378DE">
        <w:t xml:space="preserve">Základním problémem modernistů je časový primát druhé kategoriální substance, který je dán </w:t>
      </w:r>
      <w:r w:rsidR="004378DE">
        <w:t xml:space="preserve">impozicí </w:t>
      </w:r>
      <w:r w:rsidR="004378DE" w:rsidRPr="004378DE">
        <w:t xml:space="preserve">významu na základě kauzality prvních substancí. Tento řád tvoří základ predikace </w:t>
      </w:r>
      <w:r w:rsidR="004378DE" w:rsidRPr="004378DE">
        <w:rPr>
          <w:i/>
        </w:rPr>
        <w:t>per prius</w:t>
      </w:r>
      <w:r w:rsidR="004378DE" w:rsidRPr="004378DE">
        <w:t xml:space="preserve"> </w:t>
      </w:r>
      <w:r w:rsidR="004378DE">
        <w:t xml:space="preserve">a </w:t>
      </w:r>
      <w:r w:rsidR="004378DE" w:rsidRPr="004378DE">
        <w:t xml:space="preserve">zajišťuje následující prvky: pravdivý řád kategoriálních výroků; strukturu metafyziky jako první vědy; pravdivost deduktivního důkazu.  </w:t>
      </w:r>
      <w:r w:rsidR="0016765B">
        <w:t xml:space="preserve">Hyparchická existence </w:t>
      </w:r>
      <w:r w:rsidR="00DF3830">
        <w:t>danou fakticitou p</w:t>
      </w:r>
      <w:r w:rsidR="0016765B">
        <w:t xml:space="preserve">rvní substance a kategoriální význam druhé substance </w:t>
      </w:r>
      <w:r w:rsidR="004378DE">
        <w:t xml:space="preserve">dané </w:t>
      </w:r>
      <w:r w:rsidR="0016765B">
        <w:t xml:space="preserve">podle </w:t>
      </w:r>
      <w:r w:rsidR="0016765B" w:rsidRPr="0887572C">
        <w:rPr>
          <w:i/>
        </w:rPr>
        <w:t>Kategorií</w:t>
      </w:r>
      <w:r w:rsidR="0016765B">
        <w:rPr>
          <w:i/>
        </w:rPr>
        <w:t xml:space="preserve"> </w:t>
      </w:r>
      <w:r w:rsidR="00DF3830">
        <w:t>určují</w:t>
      </w:r>
      <w:r w:rsidR="0016765B">
        <w:t xml:space="preserve"> základní strukturu </w:t>
      </w:r>
      <w:r w:rsidR="004378DE" w:rsidRPr="0887572C">
        <w:rPr>
          <w:i/>
        </w:rPr>
        <w:t>Metafyziky</w:t>
      </w:r>
      <w:r w:rsidR="004378DE" w:rsidRPr="00273106">
        <w:t xml:space="preserve"> </w:t>
      </w:r>
      <w:r w:rsidR="0016765B">
        <w:t xml:space="preserve">a </w:t>
      </w:r>
      <w:r w:rsidR="0016765B" w:rsidRPr="0016765B">
        <w:rPr>
          <w:i/>
        </w:rPr>
        <w:t>Druhých Analytik</w:t>
      </w:r>
      <w:r w:rsidR="00670739">
        <w:t xml:space="preserve">. </w:t>
      </w:r>
      <w:r w:rsidR="004378DE" w:rsidRPr="00273106">
        <w:t xml:space="preserve">Existence substance je daná </w:t>
      </w:r>
      <w:r w:rsidR="004378DE" w:rsidRPr="00273106">
        <w:rPr>
          <w:i/>
        </w:rPr>
        <w:t>per prius</w:t>
      </w:r>
      <w:r w:rsidR="004378DE" w:rsidRPr="00273106">
        <w:t xml:space="preserve"> a z ní </w:t>
      </w:r>
      <w:r w:rsidR="004378DE" w:rsidRPr="00273106">
        <w:rPr>
          <w:i/>
        </w:rPr>
        <w:t>per posterius</w:t>
      </w:r>
      <w:r w:rsidR="004378DE" w:rsidRPr="00273106">
        <w:t xml:space="preserve"> vychází definice esence (</w:t>
      </w:r>
      <w:r w:rsidR="004378DE">
        <w:t>OBJ I, kap. 1.3</w:t>
      </w:r>
      <w:r w:rsidR="004378DE" w:rsidRPr="00273106">
        <w:t xml:space="preserve">). </w:t>
      </w:r>
      <w:r w:rsidR="00D3648F">
        <w:t>K</w:t>
      </w:r>
      <w:r w:rsidR="08163013" w:rsidRPr="00273106">
        <w:t>lasick</w:t>
      </w:r>
      <w:r w:rsidR="00D3648F">
        <w:t>á</w:t>
      </w:r>
      <w:r w:rsidR="08163013" w:rsidRPr="00273106">
        <w:t xml:space="preserve"> definice </w:t>
      </w:r>
      <w:r w:rsidR="08163013" w:rsidRPr="0887572C">
        <w:rPr>
          <w:i/>
        </w:rPr>
        <w:t>Druhých analytik</w:t>
      </w:r>
      <w:r w:rsidR="00D3648F">
        <w:t xml:space="preserve"> a </w:t>
      </w:r>
      <w:r w:rsidR="08163013" w:rsidRPr="00273106">
        <w:t xml:space="preserve">tím i </w:t>
      </w:r>
      <w:r w:rsidR="08163013" w:rsidRPr="0887572C">
        <w:rPr>
          <w:i/>
        </w:rPr>
        <w:t>Metafyziky</w:t>
      </w:r>
      <w:r w:rsidR="08163013">
        <w:t xml:space="preserve"> sleduj</w:t>
      </w:r>
      <w:r w:rsidR="00D3648F">
        <w:t xml:space="preserve">e </w:t>
      </w:r>
      <w:r w:rsidR="08163013">
        <w:t xml:space="preserve">působení </w:t>
      </w:r>
      <w:r w:rsidR="081942A4">
        <w:t xml:space="preserve">metafyzického </w:t>
      </w:r>
      <w:r w:rsidR="08163013">
        <w:t>dativu</w:t>
      </w:r>
      <w:r w:rsidR="08163013">
        <w:fldChar w:fldCharType="begin"/>
      </w:r>
      <w:r w:rsidR="08163013">
        <w:instrText xml:space="preserve"> XE "</w:instrText>
      </w:r>
      <w:r w:rsidR="08163013" w:rsidRPr="080E6890">
        <w:rPr>
          <w:i/>
        </w:rPr>
        <w:instrText xml:space="preserve">dativus </w:instrText>
      </w:r>
      <w:r w:rsidR="081942A4">
        <w:rPr>
          <w:i/>
        </w:rPr>
        <w:instrText>metaphysi</w:instrText>
      </w:r>
      <w:r w:rsidR="08163013" w:rsidRPr="080E6890">
        <w:rPr>
          <w:i/>
        </w:rPr>
        <w:instrText>cus</w:instrText>
      </w:r>
      <w:r w:rsidR="08163013">
        <w:instrText xml:space="preserve">" </w:instrText>
      </w:r>
      <w:r w:rsidR="08163013">
        <w:fldChar w:fldCharType="end"/>
      </w:r>
      <w:r w:rsidR="00D3648F">
        <w:t xml:space="preserve">. Pak platí, že </w:t>
      </w:r>
      <w:r w:rsidR="08163013">
        <w:t xml:space="preserve">hyparchická </w:t>
      </w:r>
      <w:r w:rsidR="08163013" w:rsidRPr="00273106">
        <w:t xml:space="preserve">existence </w:t>
      </w:r>
      <w:r w:rsidR="00D3648F">
        <w:t xml:space="preserve">reálné </w:t>
      </w:r>
      <w:r w:rsidR="08163013" w:rsidRPr="00273106">
        <w:t>věci předcház</w:t>
      </w:r>
      <w:r w:rsidR="00D3648F">
        <w:t xml:space="preserve">í </w:t>
      </w:r>
      <w:r w:rsidR="08163013" w:rsidRPr="00273106">
        <w:t xml:space="preserve">její </w:t>
      </w:r>
      <w:r w:rsidR="08163013">
        <w:t>predikovanou</w:t>
      </w:r>
      <w:r w:rsidR="00D3648F">
        <w:t xml:space="preserve"> univerzální </w:t>
      </w:r>
      <w:r w:rsidR="08163013" w:rsidRPr="00273106">
        <w:t xml:space="preserve">esenci (ἀνάγκη γὰρ ἐν τῷ ἑκάστου λόγῳ τὸν τῆς οὐσίας ἐνυπάρχειν, </w:t>
      </w:r>
      <w:r w:rsidR="08163013" w:rsidRPr="00273106">
        <w:rPr>
          <w:i/>
        </w:rPr>
        <w:t>Met</w:t>
      </w:r>
      <w:r w:rsidR="08163013">
        <w:t>. 1028a34‒</w:t>
      </w:r>
      <w:r w:rsidR="08163013" w:rsidRPr="00273106">
        <w:t>35</w:t>
      </w:r>
      <w:r w:rsidR="08163013">
        <w:fldChar w:fldCharType="begin"/>
      </w:r>
      <w:r w:rsidR="08163013">
        <w:instrText xml:space="preserve"> XE "Aristoteles:</w:instrText>
      </w:r>
      <w:r w:rsidR="08163013" w:rsidRPr="00435031">
        <w:rPr>
          <w:i/>
        </w:rPr>
        <w:instrText>Met</w:instrText>
      </w:r>
      <w:r w:rsidR="08163013">
        <w:instrText>. 1028a34</w:instrText>
      </w:r>
      <w:r w:rsidR="08163013" w:rsidRPr="00435031">
        <w:instrText>‒</w:instrText>
      </w:r>
      <w:r w:rsidR="08163013">
        <w:instrText xml:space="preserve">35" </w:instrText>
      </w:r>
      <w:r w:rsidR="08163013">
        <w:fldChar w:fldCharType="end"/>
      </w:r>
      <w:r w:rsidR="08163013" w:rsidRPr="00273106">
        <w:t xml:space="preserve">). Toto pořadí poprvé otočil </w:t>
      </w:r>
      <w:r w:rsidR="08163013">
        <w:t>Porfyri</w:t>
      </w:r>
      <w:r w:rsidR="08163013" w:rsidRPr="00273106">
        <w:t>us</w:t>
      </w:r>
      <w:r w:rsidR="08163013">
        <w:fldChar w:fldCharType="begin"/>
      </w:r>
      <w:r w:rsidR="08163013">
        <w:instrText xml:space="preserve"> XE "Porfyrius" </w:instrText>
      </w:r>
      <w:r w:rsidR="08163013">
        <w:fldChar w:fldCharType="end"/>
      </w:r>
      <w:r w:rsidR="08163013" w:rsidRPr="00273106">
        <w:t xml:space="preserve"> v termínu „zdvojené bytí</w:t>
      </w:r>
      <w:r w:rsidR="08163013">
        <w:fldChar w:fldCharType="begin"/>
      </w:r>
      <w:r w:rsidR="08163013">
        <w:instrText xml:space="preserve"> XE "</w:instrText>
      </w:r>
      <w:r w:rsidR="08163013" w:rsidRPr="000651FC">
        <w:instrText>zdvojení bytí</w:instrText>
      </w:r>
      <w:r w:rsidR="08163013">
        <w:instrText xml:space="preserve">" </w:instrText>
      </w:r>
      <w:r w:rsidR="08163013">
        <w:fldChar w:fldCharType="end"/>
      </w:r>
      <w:r w:rsidR="08163013">
        <w:t xml:space="preserve">“, v němž </w:t>
      </w:r>
      <w:r w:rsidR="00D3648F">
        <w:t>prohyparchick</w:t>
      </w:r>
      <w:r w:rsidR="08163013" w:rsidRPr="00273106">
        <w:t>é</w:t>
      </w:r>
      <w:r w:rsidR="08163013">
        <w:fldChar w:fldCharType="begin"/>
      </w:r>
      <w:r w:rsidR="08163013">
        <w:instrText xml:space="preserve"> XE "</w:instrText>
      </w:r>
      <w:r w:rsidR="08163013" w:rsidRPr="004874F8">
        <w:instrText>predikace:</w:instrText>
      </w:r>
      <w:r w:rsidR="00D3648F">
        <w:instrText>prohyparchick</w:instrText>
      </w:r>
      <w:r w:rsidR="08163013" w:rsidRPr="004874F8">
        <w:instrText>á</w:instrText>
      </w:r>
      <w:r w:rsidR="08163013">
        <w:instrText xml:space="preserve">" </w:instrText>
      </w:r>
      <w:r w:rsidR="08163013">
        <w:fldChar w:fldCharType="end"/>
      </w:r>
      <w:r w:rsidR="005F2738">
        <w:t xml:space="preserve"> bytí vytěsnilo Aristotelovu</w:t>
      </w:r>
      <w:r w:rsidR="08163013" w:rsidRPr="00273106">
        <w:t xml:space="preserve"> hyparchick</w:t>
      </w:r>
      <w:r w:rsidR="005F2738">
        <w:t>ou</w:t>
      </w:r>
      <w:r w:rsidR="08163013" w:rsidRPr="00273106">
        <w:t xml:space="preserve"> </w:t>
      </w:r>
      <w:r w:rsidR="005F2738">
        <w:t>substanci</w:t>
      </w:r>
      <w:r w:rsidR="08163013" w:rsidRPr="00273106">
        <w:t xml:space="preserve"> (</w:t>
      </w:r>
      <w:r w:rsidR="00510D33">
        <w:t xml:space="preserve">OBJ I, </w:t>
      </w:r>
      <w:r w:rsidR="08163013">
        <w:t>kap. 1.3</w:t>
      </w:r>
      <w:r w:rsidR="08163013" w:rsidRPr="00273106">
        <w:t xml:space="preserve">.1). </w:t>
      </w:r>
      <w:r w:rsidR="08163013">
        <w:t xml:space="preserve">Existence reálné první substance není důležitá pro novou metafyziku sledující bludnou cestu </w:t>
      </w:r>
      <w:r w:rsidR="08163013" w:rsidRPr="08BF237F">
        <w:rPr>
          <w:i/>
        </w:rPr>
        <w:t>Oxfordian Fallacy</w:t>
      </w:r>
      <w:r w:rsidR="08163013">
        <w:t xml:space="preserve">. Scotus zrušil kauzální </w:t>
      </w:r>
      <w:r w:rsidR="00752733">
        <w:t xml:space="preserve">primát </w:t>
      </w:r>
      <w:r w:rsidR="08163013">
        <w:t xml:space="preserve">první substance pro poznání daný skrze </w:t>
      </w:r>
      <w:r w:rsidR="081942A4">
        <w:t xml:space="preserve">metafyzický </w:t>
      </w:r>
      <w:r w:rsidR="08163013">
        <w:t xml:space="preserve">dativ a nahradil realitu čistou spekulací. Podívejme se, jak oxfordský komentář ke </w:t>
      </w:r>
      <w:r w:rsidR="08163013" w:rsidRPr="088B50F1">
        <w:rPr>
          <w:i/>
        </w:rPr>
        <w:t>Kategoriím</w:t>
      </w:r>
      <w:r w:rsidR="08163013">
        <w:t xml:space="preserve"> interpretuje uvedené části </w:t>
      </w:r>
      <w:r w:rsidR="08163013" w:rsidRPr="088B50F1">
        <w:rPr>
          <w:i/>
        </w:rPr>
        <w:t>Metafyziky</w:t>
      </w:r>
      <w:r w:rsidR="08163013">
        <w:t xml:space="preserve"> </w:t>
      </w:r>
      <w:proofErr w:type="gramStart"/>
      <w:r w:rsidR="08163013">
        <w:t>VII.1 zakládající</w:t>
      </w:r>
      <w:proofErr w:type="gramEnd"/>
      <w:r w:rsidR="08163013">
        <w:t xml:space="preserve"> centrální význam hyparchicky dané a kategoriálně predikované substance.</w:t>
      </w:r>
      <w:r w:rsidR="00263B24">
        <w:t xml:space="preserve"> Scotus vytvořil</w:t>
      </w:r>
      <w:r w:rsidR="08163013" w:rsidRPr="00273106">
        <w:t xml:space="preserve"> další verzi </w:t>
      </w:r>
      <w:r w:rsidR="08163013">
        <w:t xml:space="preserve">Porfyriova </w:t>
      </w:r>
      <w:r w:rsidR="08163013" w:rsidRPr="00273106">
        <w:t xml:space="preserve">zdvojeného bytí a </w:t>
      </w:r>
      <w:r w:rsidR="08163013">
        <w:t xml:space="preserve">tím </w:t>
      </w:r>
      <w:r w:rsidR="00263B24">
        <w:t>založil</w:t>
      </w:r>
      <w:r w:rsidR="08163013" w:rsidRPr="00273106">
        <w:t xml:space="preserve"> objektivní verzi první filosofie.</w:t>
      </w:r>
    </w:p>
    <w:p w:rsidR="08163013" w:rsidRDefault="08163013" w:rsidP="08163013">
      <w:pPr>
        <w:pStyle w:val="Citace"/>
      </w:pPr>
      <w:r w:rsidRPr="00273106">
        <w:rPr>
          <w:noProof/>
          <w:lang w:val="cs-CZ"/>
        </w:rPr>
        <w:t>„</w:t>
      </w:r>
      <w:r>
        <w:rPr>
          <w:noProof/>
          <w:lang w:val="cs-CZ"/>
        </w:rPr>
        <w:t>Aristoteles</w:t>
      </w:r>
      <w:r w:rsidRPr="00273106">
        <w:rPr>
          <w:noProof/>
          <w:lang w:val="cs-CZ"/>
        </w:rPr>
        <w:t xml:space="preserve"> </w:t>
      </w:r>
      <w:r>
        <w:rPr>
          <w:noProof/>
          <w:lang w:val="cs-CZ"/>
        </w:rPr>
        <w:t xml:space="preserve">říká na začátku sedmé knihy </w:t>
      </w:r>
      <w:r w:rsidRPr="08BC5A99">
        <w:rPr>
          <w:i/>
          <w:noProof/>
          <w:lang w:val="cs-CZ"/>
        </w:rPr>
        <w:t>Metafyziky</w:t>
      </w:r>
      <w:r>
        <w:rPr>
          <w:noProof/>
          <w:lang w:val="cs-CZ"/>
        </w:rPr>
        <w:t>, že '</w:t>
      </w:r>
      <w:r w:rsidRPr="00273106">
        <w:rPr>
          <w:noProof/>
          <w:lang w:val="cs-CZ"/>
        </w:rPr>
        <w:t>substan</w:t>
      </w:r>
      <w:r>
        <w:rPr>
          <w:noProof/>
          <w:lang w:val="cs-CZ"/>
        </w:rPr>
        <w:t>ce je pro poznání první mezi všemi jsoucny', což je třeba chápat nikoliv v řádu časové předchůdnosti, ale přirozenosti (</w:t>
      </w:r>
      <w:r w:rsidRPr="08A91234">
        <w:rPr>
          <w:i/>
          <w:noProof/>
        </w:rPr>
        <w:t>non intelligitur de prioritate temporis sed naturae</w:t>
      </w:r>
      <w:r>
        <w:rPr>
          <w:noProof/>
          <w:lang w:val="cs-CZ"/>
        </w:rPr>
        <w:t xml:space="preserve">), protože poznání </w:t>
      </w:r>
      <w:r w:rsidR="00AF544D">
        <w:rPr>
          <w:noProof/>
          <w:lang w:val="cs-CZ"/>
        </w:rPr>
        <w:t xml:space="preserve">substnce </w:t>
      </w:r>
      <w:r>
        <w:rPr>
          <w:noProof/>
          <w:lang w:val="cs-CZ"/>
        </w:rPr>
        <w:t>je nejdokonalejší (</w:t>
      </w:r>
      <w:r w:rsidRPr="08997609">
        <w:rPr>
          <w:i/>
          <w:noProof/>
        </w:rPr>
        <w:t>cognitio eius est perfectissima</w:t>
      </w:r>
      <w:r>
        <w:rPr>
          <w:noProof/>
          <w:lang w:val="cs-CZ"/>
        </w:rPr>
        <w:t xml:space="preserve">). Tuto pravdu potvrzuje i Avicenna tím, že definuje 'jsoucno' jako signifikaci danou vzhledem k tomu, co je primární, totiž </w:t>
      </w:r>
      <w:r w:rsidR="000D29CA">
        <w:rPr>
          <w:noProof/>
          <w:lang w:val="cs-CZ"/>
        </w:rPr>
        <w:t xml:space="preserve">k </w:t>
      </w:r>
      <w:r>
        <w:rPr>
          <w:noProof/>
          <w:lang w:val="cs-CZ"/>
        </w:rPr>
        <w:t xml:space="preserve">substanci.“ </w:t>
      </w:r>
      <w:r>
        <w:rPr>
          <w:rStyle w:val="Znakapoznpodarou"/>
        </w:rPr>
        <w:footnoteReference w:id="425"/>
      </w:r>
    </w:p>
    <w:p w:rsidR="00820ABD" w:rsidRDefault="08163013" w:rsidP="08163013">
      <w:r w:rsidRPr="00273106">
        <w:lastRenderedPageBreak/>
        <w:t xml:space="preserve">Citace vyloučila </w:t>
      </w:r>
      <w:r>
        <w:t xml:space="preserve">kauzální </w:t>
      </w:r>
      <w:r w:rsidRPr="00273106">
        <w:t xml:space="preserve">primát aktuální existence </w:t>
      </w:r>
      <w:r>
        <w:t xml:space="preserve">v čase </w:t>
      </w:r>
      <w:r w:rsidRPr="00273106">
        <w:t>(</w:t>
      </w:r>
      <w:r w:rsidRPr="00273106">
        <w:rPr>
          <w:i/>
        </w:rPr>
        <w:t>non intelligitur de prioritate temporis</w:t>
      </w:r>
      <w:r w:rsidRPr="00273106">
        <w:t xml:space="preserve">) ve prospěch </w:t>
      </w:r>
      <w:r>
        <w:t xml:space="preserve">věčné </w:t>
      </w:r>
      <w:r w:rsidRPr="00273106">
        <w:t>esence vyjadřující plnost poznání (</w:t>
      </w:r>
      <w:r w:rsidRPr="00273106">
        <w:rPr>
          <w:i/>
        </w:rPr>
        <w:t>naturae, quod cognitio eius est perfectissima</w:t>
      </w:r>
      <w:r w:rsidRPr="00273106">
        <w:t xml:space="preserve">). Komentář redukuje výše uvedenou výpověď </w:t>
      </w:r>
      <w:proofErr w:type="gramStart"/>
      <w:r w:rsidRPr="08BC5A99">
        <w:rPr>
          <w:i/>
        </w:rPr>
        <w:t>Metafyziky</w:t>
      </w:r>
      <w:r w:rsidRPr="00273106">
        <w:t xml:space="preserve"> Z</w:t>
      </w:r>
      <w:r>
        <w:t>.</w:t>
      </w:r>
      <w:r w:rsidRPr="00273106">
        <w:t>1 o primátu</w:t>
      </w:r>
      <w:proofErr w:type="gramEnd"/>
      <w:r w:rsidRPr="00273106">
        <w:t xml:space="preserve"> </w:t>
      </w:r>
      <w:r>
        <w:t xml:space="preserve">první </w:t>
      </w:r>
      <w:r w:rsidRPr="00273106">
        <w:t>substance</w:t>
      </w:r>
      <w:r>
        <w:fldChar w:fldCharType="begin"/>
      </w:r>
      <w:r>
        <w:instrText xml:space="preserve"> XE "</w:instrText>
      </w:r>
      <w:r w:rsidRPr="00DE2A32">
        <w:instrText>substance</w:instrText>
      </w:r>
      <w:r>
        <w:instrText xml:space="preserve">:první" </w:instrText>
      </w:r>
      <w:r>
        <w:fldChar w:fldCharType="end"/>
      </w:r>
      <w:r w:rsidRPr="00273106">
        <w:t xml:space="preserve"> pouze na substanci jako první princip poznání (</w:t>
      </w:r>
      <w:r w:rsidRPr="00273106">
        <w:rPr>
          <w:i/>
        </w:rPr>
        <w:t>substantia est primum omnium entium cognitione</w:t>
      </w:r>
      <w:r w:rsidRPr="00273106">
        <w:t xml:space="preserve">). </w:t>
      </w:r>
      <w:r>
        <w:t xml:space="preserve">Scotus pokračuje v linii </w:t>
      </w:r>
      <w:r w:rsidRPr="009860BC">
        <w:rPr>
          <w:i/>
        </w:rPr>
        <w:t>Oxfordian Fallacy</w:t>
      </w:r>
      <w:r>
        <w:rPr>
          <w:i/>
        </w:rPr>
        <w:fldChar w:fldCharType="begin"/>
      </w:r>
      <w:r>
        <w:instrText xml:space="preserve"> XE "</w:instrText>
      </w:r>
      <w:r w:rsidRPr="0015798D">
        <w:rPr>
          <w:i/>
        </w:rPr>
        <w:instrText>Oxfordian Fallacy:</w:instrText>
      </w:r>
      <w:r w:rsidRPr="00FB0E66">
        <w:instrText>Scotus</w:instrText>
      </w:r>
      <w:r>
        <w:instrText xml:space="preserve">" </w:instrText>
      </w:r>
      <w:r>
        <w:rPr>
          <w:i/>
        </w:rPr>
        <w:fldChar w:fldCharType="end"/>
      </w:r>
      <w:r>
        <w:t xml:space="preserve"> a redukuje reálnou substanci na univerzální esenci. </w:t>
      </w:r>
      <w:r w:rsidRPr="00273106">
        <w:t xml:space="preserve">Primát </w:t>
      </w:r>
      <w:r>
        <w:t>v definici</w:t>
      </w:r>
      <w:r w:rsidRPr="00273106">
        <w:t xml:space="preserve"> se už nevztahuje k Aristotelově substanci jako první kategorii</w:t>
      </w:r>
      <w:r>
        <w:t xml:space="preserve"> predikované vzhledem k reálné první substanci</w:t>
      </w:r>
      <w:r w:rsidRPr="00273106">
        <w:t xml:space="preserve">, ale k Avicennově esenci </w:t>
      </w:r>
      <w:r>
        <w:t>poznané</w:t>
      </w:r>
      <w:r w:rsidRPr="00273106">
        <w:t xml:space="preserve"> </w:t>
      </w:r>
      <w:r>
        <w:t xml:space="preserve">v modu </w:t>
      </w:r>
      <w:r w:rsidRPr="008A0AD8">
        <w:rPr>
          <w:i/>
        </w:rPr>
        <w:t>per prius</w:t>
      </w:r>
      <w:r>
        <w:t xml:space="preserve"> </w:t>
      </w:r>
      <w:r w:rsidRPr="00273106">
        <w:t>(</w:t>
      </w:r>
      <w:r w:rsidRPr="00273106">
        <w:rPr>
          <w:i/>
        </w:rPr>
        <w:t>quod est primum, scilicet substantia</w:t>
      </w:r>
      <w:r w:rsidRPr="00273106">
        <w:t xml:space="preserve">). </w:t>
      </w:r>
      <w:r>
        <w:t xml:space="preserve">Tato záměna Aristotelovy a Averroesovy substance za Avicennovu esenci má charakter epochálního </w:t>
      </w:r>
      <w:r w:rsidRPr="08712540">
        <w:rPr>
          <w:i/>
        </w:rPr>
        <w:t>Irrtum</w:t>
      </w:r>
      <w:r w:rsidR="00317F5E">
        <w:rPr>
          <w:i/>
        </w:rPr>
        <w:fldChar w:fldCharType="begin"/>
      </w:r>
      <w:r w:rsidR="00317F5E">
        <w:instrText xml:space="preserve"> XE "</w:instrText>
      </w:r>
      <w:r w:rsidR="00317F5E" w:rsidRPr="00DC39E8">
        <w:rPr>
          <w:i/>
        </w:rPr>
        <w:instrText>Irrtum</w:instrText>
      </w:r>
      <w:r w:rsidR="00317F5E">
        <w:instrText xml:space="preserve">" </w:instrText>
      </w:r>
      <w:r w:rsidR="00317F5E">
        <w:rPr>
          <w:i/>
        </w:rPr>
        <w:fldChar w:fldCharType="end"/>
      </w:r>
      <w:r>
        <w:t xml:space="preserve">, které založilo druhou metafyziku. Ideální </w:t>
      </w:r>
      <w:r w:rsidRPr="00273106">
        <w:t xml:space="preserve">bytí esence vytěsnilo kontingentní bytí aktuální </w:t>
      </w:r>
      <w:r>
        <w:t xml:space="preserve">první </w:t>
      </w:r>
      <w:r w:rsidRPr="00273106">
        <w:t>substance</w:t>
      </w:r>
      <w:r>
        <w:t xml:space="preserve"> a t</w:t>
      </w:r>
      <w:r w:rsidRPr="00273106">
        <w:t xml:space="preserve">ím vznikl nový kategoriální statut </w:t>
      </w:r>
      <w:r w:rsidR="00F973F5">
        <w:t>„</w:t>
      </w:r>
      <w:proofErr w:type="gramStart"/>
      <w:r w:rsidRPr="00273106">
        <w:t>substance</w:t>
      </w:r>
      <w:proofErr w:type="gramEnd"/>
      <w:r w:rsidR="00F973F5">
        <w:t>–</w:t>
      </w:r>
      <w:proofErr w:type="gramStart"/>
      <w:r>
        <w:t>esence</w:t>
      </w:r>
      <w:proofErr w:type="gramEnd"/>
      <w:r w:rsidR="00F973F5">
        <w:t>“</w:t>
      </w:r>
      <w:r w:rsidRPr="00273106">
        <w:t xml:space="preserve"> odlišný od Aristotela. </w:t>
      </w:r>
      <w:r w:rsidR="005E338C">
        <w:t xml:space="preserve">Po sofistické </w:t>
      </w:r>
      <w:r>
        <w:t xml:space="preserve">výměně abstraktní esence za reálnou substanci začne v plné </w:t>
      </w:r>
      <w:r w:rsidR="004F5AC6">
        <w:t xml:space="preserve">moderní a objektivní </w:t>
      </w:r>
      <w:r>
        <w:t xml:space="preserve">míře platit Alexandrova teze. Existuje tolik druhů filosofie, kolik je druhů </w:t>
      </w:r>
      <w:r w:rsidR="002913F4">
        <w:t>„</w:t>
      </w:r>
      <w:r>
        <w:t>substancí</w:t>
      </w:r>
      <w:r w:rsidR="002913F4">
        <w:t xml:space="preserve">“ jako </w:t>
      </w:r>
      <w:r w:rsidR="002913F4" w:rsidRPr="00563211">
        <w:rPr>
          <w:i/>
        </w:rPr>
        <w:t>tertium ens</w:t>
      </w:r>
      <w:r>
        <w:t>. Pak je třeba najít první určení substance v řádu prvních princip</w:t>
      </w:r>
      <w:r w:rsidR="006A4CCA">
        <w:t>ů poznání, protože to je oblast metafyziky jako první vědy. Jsoucno</w:t>
      </w:r>
      <w:r>
        <w:t xml:space="preserve"> </w:t>
      </w:r>
      <w:r w:rsidR="006A4CCA">
        <w:t xml:space="preserve">se </w:t>
      </w:r>
      <w:r>
        <w:t>nahl</w:t>
      </w:r>
      <w:r w:rsidR="006A4CCA">
        <w:t xml:space="preserve">íží </w:t>
      </w:r>
      <w:r>
        <w:t>v jeho čisté poznatelnosti, a ne v</w:t>
      </w:r>
      <w:r w:rsidR="006A4CCA">
        <w:t> jako reálná první substance</w:t>
      </w:r>
      <w:r>
        <w:t>. Metafyzické p</w:t>
      </w:r>
      <w:r w:rsidRPr="00273106">
        <w:t xml:space="preserve">oznání reality </w:t>
      </w:r>
      <w:r>
        <w:t xml:space="preserve">už </w:t>
      </w:r>
      <w:r w:rsidRPr="00273106">
        <w:t>nemá kategoriální charakter, ale objektivní</w:t>
      </w:r>
      <w:r>
        <w:t xml:space="preserve">, protože je vztaženo k primátu poznané esence. Metafyzická predikace </w:t>
      </w:r>
      <w:r>
        <w:rPr>
          <w:lang w:eastAsia="en-US"/>
        </w:rPr>
        <w:t xml:space="preserve">esence má </w:t>
      </w:r>
      <w:r w:rsidR="0021600D">
        <w:rPr>
          <w:lang w:eastAsia="en-US"/>
        </w:rPr>
        <w:t xml:space="preserve">z hlediska Aristotela </w:t>
      </w:r>
      <w:r>
        <w:rPr>
          <w:lang w:eastAsia="en-US"/>
        </w:rPr>
        <w:t xml:space="preserve">zajištěnu hyparchickou predikaci jen pro logickou abstrakci danou </w:t>
      </w:r>
      <w:r w:rsidRPr="08AE32A6">
        <w:rPr>
          <w:i/>
          <w:lang w:eastAsia="en-US"/>
        </w:rPr>
        <w:t>simpliciter</w:t>
      </w:r>
      <w:r w:rsidR="00B25C2A">
        <w:rPr>
          <w:lang w:eastAsia="en-US"/>
        </w:rPr>
        <w:t xml:space="preserve"> v mysli </w:t>
      </w:r>
      <w:r w:rsidRPr="00273106">
        <w:t>(</w:t>
      </w:r>
      <w:r w:rsidR="00B25C2A">
        <w:t>OBJ II, kap. 3.1.1</w:t>
      </w:r>
      <w:r>
        <w:t>)</w:t>
      </w:r>
      <w:r>
        <w:rPr>
          <w:lang w:eastAsia="en-US"/>
        </w:rPr>
        <w:t xml:space="preserve">. Z hlediska poznání reálného světa podle </w:t>
      </w:r>
      <w:r w:rsidRPr="08CC46AB">
        <w:rPr>
          <w:i/>
          <w:lang w:eastAsia="en-US"/>
        </w:rPr>
        <w:t>Druhých analytik</w:t>
      </w:r>
      <w:r>
        <w:rPr>
          <w:lang w:eastAsia="en-US"/>
        </w:rPr>
        <w:t xml:space="preserve"> má predikace skrze esenciální definici platnost hypotetického vědeckého důkazu, protože nepredikuje reálnou kauzalitu</w:t>
      </w:r>
      <w:r>
        <w:t xml:space="preserve">. Scotus vřadil Avicennovu esenci do definice první vědy podle </w:t>
      </w:r>
      <w:proofErr w:type="gramStart"/>
      <w:r w:rsidRPr="083B5D68">
        <w:rPr>
          <w:i/>
        </w:rPr>
        <w:t>Metafyziky</w:t>
      </w:r>
      <w:r>
        <w:t xml:space="preserve"> Z.1, kde</w:t>
      </w:r>
      <w:proofErr w:type="gramEnd"/>
      <w:r>
        <w:t xml:space="preserve"> dostala status neoplatonské atomární substance dané v porretánském modu </w:t>
      </w:r>
      <w:r w:rsidR="00DA0D3D">
        <w:t>„</w:t>
      </w:r>
      <w:r w:rsidRPr="08D92E48">
        <w:rPr>
          <w:i/>
        </w:rPr>
        <w:t>semel</w:t>
      </w:r>
      <w:r>
        <w:t>‒</w:t>
      </w:r>
      <w:r w:rsidRPr="08D92E48">
        <w:rPr>
          <w:i/>
        </w:rPr>
        <w:t>semper</w:t>
      </w:r>
      <w:r w:rsidR="00DA0D3D">
        <w:t>“</w:t>
      </w:r>
      <w:r>
        <w:t xml:space="preserve">. Tím vypadlo z metafyziky základní určení první substance dané hyparchicky v modu </w:t>
      </w:r>
      <w:r w:rsidR="00DA0D3D">
        <w:t>„</w:t>
      </w:r>
      <w:r w:rsidR="08A649EB">
        <w:rPr>
          <w:i/>
        </w:rPr>
        <w:t>ex in</w:t>
      </w:r>
      <w:r w:rsidRPr="08127C82">
        <w:rPr>
          <w:i/>
        </w:rPr>
        <w:t>mediatis</w:t>
      </w:r>
      <w:r w:rsidR="00DA0D3D">
        <w:t>“</w:t>
      </w:r>
      <w:r>
        <w:t>, což Averroes vyčítal Avicennovi a Alexandrovi (</w:t>
      </w:r>
      <w:r w:rsidR="0021600D">
        <w:t xml:space="preserve">OBJ I, </w:t>
      </w:r>
      <w:r>
        <w:t xml:space="preserve">kap. 2.4.1). Kompletní vědecký důkaz podle </w:t>
      </w:r>
      <w:r w:rsidRPr="08706BCB">
        <w:rPr>
          <w:i/>
        </w:rPr>
        <w:t>Druhých analytik</w:t>
      </w:r>
      <w:r>
        <w:t xml:space="preserve"> je daný predikací z reality, protože první substance nejprve působí kauzálně </w:t>
      </w:r>
      <w:r w:rsidRPr="00273106">
        <w:t>(</w:t>
      </w:r>
      <w:r w:rsidR="00875FBB">
        <w:t xml:space="preserve">viz </w:t>
      </w:r>
      <w:r w:rsidRPr="08D3313F">
        <w:rPr>
          <w:i/>
        </w:rPr>
        <w:t>Anal. Post.</w:t>
      </w:r>
      <w:r>
        <w:t xml:space="preserve"> </w:t>
      </w:r>
      <w:proofErr w:type="gramStart"/>
      <w:r>
        <w:t>84a</w:t>
      </w:r>
      <w:r w:rsidR="00DA0D3D">
        <w:t>13</w:t>
      </w:r>
      <w:proofErr w:type="gramEnd"/>
      <w:r w:rsidR="00DA0D3D">
        <w:t>–</w:t>
      </w:r>
      <w:proofErr w:type="gramStart"/>
      <w:r>
        <w:t>14</w:t>
      </w:r>
      <w:proofErr w:type="gramEnd"/>
      <w:r>
        <w:fldChar w:fldCharType="begin"/>
      </w:r>
      <w:r>
        <w:instrText xml:space="preserve"> XE "Aristoteles:</w:instrText>
      </w:r>
      <w:r w:rsidRPr="08FB7F27">
        <w:rPr>
          <w:i/>
        </w:rPr>
        <w:instrText>Anal. Post.</w:instrText>
      </w:r>
      <w:r>
        <w:instrText xml:space="preserve"> 84a</w:instrText>
      </w:r>
      <w:r w:rsidR="00DA0D3D">
        <w:instrText>13–</w:instrText>
      </w:r>
      <w:r>
        <w:instrText xml:space="preserve">14" </w:instrText>
      </w:r>
      <w:r>
        <w:fldChar w:fldCharType="end"/>
      </w:r>
      <w:r>
        <w:t xml:space="preserve">). Tomuto časovému primátu reálné existence před univerzální esencí přesně odpovídá definice první vědy o substanci v modu </w:t>
      </w:r>
      <w:r w:rsidR="081942A4">
        <w:t xml:space="preserve">metafyzického </w:t>
      </w:r>
      <w:r>
        <w:lastRenderedPageBreak/>
        <w:t xml:space="preserve">dativu podle výše citované </w:t>
      </w:r>
      <w:proofErr w:type="gramStart"/>
      <w:r w:rsidRPr="086034B1">
        <w:rPr>
          <w:i/>
        </w:rPr>
        <w:t>Metafyziky</w:t>
      </w:r>
      <w:r>
        <w:t xml:space="preserve"> Z.1.</w:t>
      </w:r>
      <w:proofErr w:type="gramEnd"/>
      <w:r>
        <w:t xml:space="preserve"> Uvedená definice první vědy shrnuje všechny druhy poznání substance z hlediska trojího primátu substance.</w:t>
      </w:r>
      <w:r w:rsidRPr="08763488">
        <w:t xml:space="preserve"> </w:t>
      </w:r>
      <w:r>
        <w:t>Zahrnuje časově předchůdnou hyparchickou existenci první substance v realitě (</w:t>
      </w:r>
      <w:r w:rsidRPr="00273106">
        <w:t xml:space="preserve">λόγῳ καὶ γνώσει καὶ χρόνῳ, </w:t>
      </w:r>
      <w:r w:rsidRPr="00273106">
        <w:rPr>
          <w:i/>
        </w:rPr>
        <w:t>Met</w:t>
      </w:r>
      <w:r w:rsidRPr="00273106">
        <w:t>. 1028a32‒33</w:t>
      </w:r>
      <w:r>
        <w:fldChar w:fldCharType="begin"/>
      </w:r>
      <w:r>
        <w:instrText xml:space="preserve"> XE "Aristoteles:</w:instrText>
      </w:r>
      <w:r w:rsidRPr="00435031">
        <w:rPr>
          <w:i/>
        </w:rPr>
        <w:instrText>Met</w:instrText>
      </w:r>
      <w:r w:rsidRPr="00435031">
        <w:instrText>. 1028a32‒33</w:instrText>
      </w:r>
      <w:r>
        <w:instrText xml:space="preserve">" </w:instrText>
      </w:r>
      <w:r>
        <w:fldChar w:fldCharType="end"/>
      </w:r>
      <w:r w:rsidRPr="00273106">
        <w:t>)</w:t>
      </w:r>
      <w:r>
        <w:t>. Vědecké poznání predikované z hyparchicky dané kauzality je univerzálně a kategoriálně signifikováno jako esenciální definice daná skrze druhou substanci</w:t>
      </w:r>
      <w:r w:rsidRPr="00273106">
        <w:t>.</w:t>
      </w:r>
      <w:r>
        <w:t xml:space="preserve"> Pak je metafyzika opravdu první vědou o </w:t>
      </w:r>
      <w:r w:rsidR="004E40AD">
        <w:t xml:space="preserve">substanci </w:t>
      </w:r>
      <w:r w:rsidR="004E40AD" w:rsidRPr="004E40AD">
        <w:rPr>
          <w:i/>
        </w:rPr>
        <w:t>qua</w:t>
      </w:r>
      <w:r w:rsidR="004E40AD">
        <w:t xml:space="preserve"> substanci</w:t>
      </w:r>
      <w:r>
        <w:t>, protože obsahuje primát první substance ve všech podobách</w:t>
      </w:r>
      <w:r w:rsidR="00817E5E">
        <w:t>. Obraťme toto pořadí. C</w:t>
      </w:r>
      <w:r>
        <w:t xml:space="preserve">itovaná věta z </w:t>
      </w:r>
      <w:proofErr w:type="gramStart"/>
      <w:r w:rsidRPr="08241C11">
        <w:rPr>
          <w:i/>
        </w:rPr>
        <w:t>Metafyziky</w:t>
      </w:r>
      <w:r>
        <w:t xml:space="preserve"> Z.1 chápe</w:t>
      </w:r>
      <w:proofErr w:type="gramEnd"/>
      <w:r>
        <w:t xml:space="preserve"> poznání substance </w:t>
      </w:r>
      <w:r w:rsidR="00817E5E">
        <w:t xml:space="preserve">také </w:t>
      </w:r>
      <w:r>
        <w:t xml:space="preserve">z hlediska již završené metafyzické abstrakce, proto začíná esenciálním výměrem substance. Ale reálné poznání </w:t>
      </w:r>
      <w:r w:rsidR="00646FA1">
        <w:t>sv</w:t>
      </w:r>
      <w:r w:rsidR="00655995">
        <w:t xml:space="preserve">ěta (biologie, fyzika atd.) </w:t>
      </w:r>
      <w:r>
        <w:t>vedoucí k první vědě o substanci běží přesně opačně</w:t>
      </w:r>
      <w:r w:rsidR="00646FA1">
        <w:t xml:space="preserve">. Nejprve </w:t>
      </w:r>
      <w:r>
        <w:t xml:space="preserve">platí </w:t>
      </w:r>
      <w:r w:rsidR="081942A4">
        <w:t xml:space="preserve">metafyzický </w:t>
      </w:r>
      <w:r>
        <w:t>dativ sledující s Parmenidem dráhu reálného slunce po obloze</w:t>
      </w:r>
      <w:r w:rsidR="00646FA1">
        <w:t xml:space="preserve"> </w:t>
      </w:r>
      <w:r w:rsidR="00646FA1">
        <w:rPr>
          <w:szCs w:val="24"/>
          <w:lang w:val="de-LU"/>
        </w:rPr>
        <w:t>(</w:t>
      </w:r>
      <w:r w:rsidR="00646FA1" w:rsidRPr="00B5655C">
        <w:rPr>
          <w:i/>
          <w:szCs w:val="24"/>
          <w:lang w:val="de-LU"/>
        </w:rPr>
        <w:t>dativus principalis</w:t>
      </w:r>
      <w:r w:rsidR="00646FA1">
        <w:rPr>
          <w:i/>
          <w:szCs w:val="24"/>
          <w:lang w:val="de-LU"/>
        </w:rPr>
        <w:fldChar w:fldCharType="begin"/>
      </w:r>
      <w:r w:rsidR="00646FA1">
        <w:instrText xml:space="preserve"> XE "</w:instrText>
      </w:r>
      <w:r w:rsidR="00646FA1" w:rsidRPr="00563E57">
        <w:rPr>
          <w:i/>
          <w:szCs w:val="24"/>
          <w:lang w:val="de-LU"/>
        </w:rPr>
        <w:instrText>dativus principalis</w:instrText>
      </w:r>
      <w:r w:rsidR="00646FA1">
        <w:instrText xml:space="preserve">" </w:instrText>
      </w:r>
      <w:r w:rsidR="00646FA1">
        <w:rPr>
          <w:i/>
          <w:szCs w:val="24"/>
          <w:lang w:val="de-LU"/>
        </w:rPr>
        <w:fldChar w:fldCharType="end"/>
      </w:r>
      <w:r w:rsidR="00646FA1">
        <w:rPr>
          <w:szCs w:val="24"/>
          <w:lang w:val="de-LU"/>
        </w:rPr>
        <w:t>)</w:t>
      </w:r>
      <w:r>
        <w:t>. Věci nejprve jsou aktuálně-fyzikálně, proto na sebe mohou kauzálně působit (</w:t>
      </w:r>
      <w:r w:rsidRPr="08983A72">
        <w:rPr>
          <w:i/>
        </w:rPr>
        <w:t>Fyzika</w:t>
      </w:r>
      <w:r>
        <w:t>). Tyto první substance můžeme adekvátně poznat (</w:t>
      </w:r>
      <w:r w:rsidRPr="08AA05D3">
        <w:rPr>
          <w:i/>
        </w:rPr>
        <w:t>De anima</w:t>
      </w:r>
      <w:r>
        <w:t>), logicky definovat jejich abstraktní vztahy (</w:t>
      </w:r>
      <w:r w:rsidRPr="08E14616">
        <w:rPr>
          <w:i/>
        </w:rPr>
        <w:t>De interpretatione</w:t>
      </w:r>
      <w:r>
        <w:t>), správně predikovat vlastnosti substance (</w:t>
      </w:r>
      <w:r w:rsidRPr="08A974AF">
        <w:rPr>
          <w:i/>
        </w:rPr>
        <w:t>Kategorie</w:t>
      </w:r>
      <w:r>
        <w:t>) a také pravdivě vědecky soudit skrze pozorování reálné kauzality (</w:t>
      </w:r>
      <w:r w:rsidRPr="08AA05D3">
        <w:rPr>
          <w:i/>
        </w:rPr>
        <w:t>Druhé analytiky</w:t>
      </w:r>
      <w:r>
        <w:t>). A nakonec můžeme substanci danou v takto vystavěné metafyzické abstrakci také esenciálně-univerzálně definovat ve správně vybudované první vědě o jsoucnu (</w:t>
      </w:r>
      <w:r w:rsidRPr="08983A72">
        <w:rPr>
          <w:i/>
        </w:rPr>
        <w:t>Metafyzika</w:t>
      </w:r>
      <w:r>
        <w:t xml:space="preserve"> Γ a Ζ). Scotus zrušil tuto základní architektonickou výstavbu první vědy garanto</w:t>
      </w:r>
      <w:r w:rsidR="00820ABD">
        <w:t>vanou Filosofem a Komentátorem.</w:t>
      </w:r>
    </w:p>
    <w:p w:rsidR="004B552D" w:rsidRDefault="00EA0B3B" w:rsidP="004B552D">
      <w:pPr>
        <w:ind w:firstLine="397"/>
      </w:pPr>
      <w:r>
        <w:t>Sofistická transformace</w:t>
      </w:r>
      <w:r w:rsidR="08163013">
        <w:t xml:space="preserve"> univerzální esence na kategoriálně predikovanou druhou substanci </w:t>
      </w:r>
      <w:r>
        <w:t>vytvořila n</w:t>
      </w:r>
      <w:r w:rsidR="08163013">
        <w:t>ové jsoucno třetího druhu</w:t>
      </w:r>
      <w:r>
        <w:t xml:space="preserve">. To </w:t>
      </w:r>
      <w:r w:rsidR="08163013">
        <w:t>nahradilo hyparchickou první substanci a na ni navázanou univoční kategoriální predikaci</w:t>
      </w:r>
      <w:r w:rsidR="08163013" w:rsidRPr="00273106">
        <w:t xml:space="preserve">. </w:t>
      </w:r>
      <w:r w:rsidR="00391E66">
        <w:t xml:space="preserve">Scotus pojal </w:t>
      </w:r>
      <w:r w:rsidR="08163013">
        <w:t>Aristotelov</w:t>
      </w:r>
      <w:r w:rsidR="00391E66">
        <w:t>u</w:t>
      </w:r>
      <w:r w:rsidR="08163013">
        <w:t xml:space="preserve"> metafyzik</w:t>
      </w:r>
      <w:r w:rsidR="00391E66">
        <w:t xml:space="preserve">u </w:t>
      </w:r>
      <w:r w:rsidR="08163013">
        <w:t xml:space="preserve">z pozice neoplatonismu, protože predikace </w:t>
      </w:r>
      <w:r w:rsidR="08163013" w:rsidRPr="00F93CDC">
        <w:rPr>
          <w:i/>
        </w:rPr>
        <w:t xml:space="preserve">ad </w:t>
      </w:r>
      <w:proofErr w:type="gramStart"/>
      <w:r w:rsidR="08163013" w:rsidRPr="00F93CDC">
        <w:rPr>
          <w:i/>
        </w:rPr>
        <w:t>unum</w:t>
      </w:r>
      <w:proofErr w:type="gramEnd"/>
      <w:r w:rsidR="08163013">
        <w:t xml:space="preserve"> jde mimo realitu první substance</w:t>
      </w:r>
      <w:r w:rsidR="08163013">
        <w:fldChar w:fldCharType="begin"/>
      </w:r>
      <w:r w:rsidR="08163013">
        <w:instrText xml:space="preserve"> XE "</w:instrText>
      </w:r>
      <w:r w:rsidR="08163013" w:rsidRPr="00B611AB">
        <w:instrText>metafyzika:Scotus</w:instrText>
      </w:r>
      <w:r w:rsidR="08163013">
        <w:instrText xml:space="preserve">" </w:instrText>
      </w:r>
      <w:r w:rsidR="08163013">
        <w:fldChar w:fldCharType="end"/>
      </w:r>
      <w:r w:rsidR="00706664">
        <w:t>. Dedukce</w:t>
      </w:r>
      <w:r w:rsidR="08163013">
        <w:t xml:space="preserve"> </w:t>
      </w:r>
      <w:r w:rsidR="00706664">
        <w:t xml:space="preserve">začíná </w:t>
      </w:r>
      <w:r w:rsidR="08163013">
        <w:t xml:space="preserve">od metafyzicky dané esence dané </w:t>
      </w:r>
      <w:r w:rsidR="08163013" w:rsidRPr="08305F04">
        <w:rPr>
          <w:i/>
        </w:rPr>
        <w:t>per prius</w:t>
      </w:r>
      <w:r w:rsidR="08163013">
        <w:t xml:space="preserve"> a jde k reálné věci dané </w:t>
      </w:r>
      <w:r w:rsidR="08163013" w:rsidRPr="086C5C30">
        <w:rPr>
          <w:i/>
        </w:rPr>
        <w:t>per posterius</w:t>
      </w:r>
      <w:r w:rsidR="08163013">
        <w:t>. Kritický filosof Aristoteles naopak skončil u výsledné abstrahované substance jako základu první vědy tím, že měl garantováno její pravdivé vědecké poznání z reality podle metafyzické abstrakce. Stejnou metafyzickou chybu udělal podle Sigera také avicennista Ak</w:t>
      </w:r>
      <w:r w:rsidR="00BD1E68">
        <w:t>vinský při zkoumání duše (kap. 4</w:t>
      </w:r>
      <w:r w:rsidR="08163013">
        <w:t xml:space="preserve">.5.4). </w:t>
      </w:r>
      <w:r w:rsidR="08163013" w:rsidRPr="00273106">
        <w:t>Scotus našel hned na začátku své myslitelské dráhy nový náhled na jednotu jsoucna mimo klasické kategorie</w:t>
      </w:r>
      <w:r w:rsidR="08163013">
        <w:t xml:space="preserve">. Postupoval stejně dogmaticky jako Akvinský. </w:t>
      </w:r>
      <w:r w:rsidR="08163013" w:rsidRPr="00273106">
        <w:t>Smysl substance je daný nasvícením zezadu</w:t>
      </w:r>
      <w:r w:rsidR="00C945EE">
        <w:t>,</w:t>
      </w:r>
      <w:r w:rsidR="08163013" w:rsidRPr="00273106">
        <w:t xml:space="preserve"> od </w:t>
      </w:r>
      <w:r w:rsidR="08163013">
        <w:t>parousie</w:t>
      </w:r>
      <w:r w:rsidR="08163013">
        <w:fldChar w:fldCharType="begin"/>
      </w:r>
      <w:r w:rsidR="08163013">
        <w:instrText xml:space="preserve"> XE "</w:instrText>
      </w:r>
      <w:r w:rsidR="08163013" w:rsidRPr="08D65175">
        <w:instrText>parousie</w:instrText>
      </w:r>
      <w:r w:rsidR="08163013">
        <w:instrText xml:space="preserve">" </w:instrText>
      </w:r>
      <w:r w:rsidR="08163013">
        <w:fldChar w:fldCharType="end"/>
      </w:r>
      <w:r w:rsidR="08163013">
        <w:t xml:space="preserve"> jsoucího jako jsoucího. </w:t>
      </w:r>
      <w:r w:rsidR="08163013" w:rsidRPr="00273106">
        <w:t xml:space="preserve">Scotus nehlásá </w:t>
      </w:r>
      <w:r w:rsidR="08163013">
        <w:t xml:space="preserve">augustiniánský </w:t>
      </w:r>
      <w:r w:rsidR="08163013" w:rsidRPr="00273106">
        <w:lastRenderedPageBreak/>
        <w:t>avicennismus daný ve škole druhého averroismu</w:t>
      </w:r>
      <w:r w:rsidR="00FE2061">
        <w:t xml:space="preserve">. Je to </w:t>
      </w:r>
      <w:r w:rsidR="08163013">
        <w:t>moderní aristotelik</w:t>
      </w:r>
      <w:r w:rsidR="00FE2061">
        <w:t xml:space="preserve"> </w:t>
      </w:r>
      <w:r w:rsidR="08163013">
        <w:t>ovlivněný oxfordským tomismem z Grossetesteho školy a pařížským tomismem z Aegidiovy školy</w:t>
      </w:r>
      <w:r w:rsidR="08163013" w:rsidRPr="00273106">
        <w:t>. Nová metafyzika odmítá autonomní bytí pouhé formy</w:t>
      </w:r>
      <w:r w:rsidR="08163013">
        <w:t xml:space="preserve"> nebo porretánské hypostáze</w:t>
      </w:r>
      <w:r w:rsidR="08163013" w:rsidRPr="00273106">
        <w:t xml:space="preserve">, protože to by znamenalo návrat do </w:t>
      </w:r>
      <w:r w:rsidR="08163013">
        <w:t xml:space="preserve">emanačního pojetí </w:t>
      </w:r>
      <w:r w:rsidR="08163013" w:rsidRPr="00273106">
        <w:t xml:space="preserve">neoplatonismu. První poznání je dáno vzhledem k </w:t>
      </w:r>
      <w:r w:rsidR="00231010">
        <w:t>„</w:t>
      </w:r>
      <w:r w:rsidR="08163013" w:rsidRPr="00273106">
        <w:t>substanci</w:t>
      </w:r>
      <w:r w:rsidR="00231010">
        <w:t>“</w:t>
      </w:r>
      <w:r w:rsidR="08163013" w:rsidRPr="00273106">
        <w:t xml:space="preserve">, což tvrdí </w:t>
      </w:r>
      <w:r w:rsidR="08163013">
        <w:t>Aristoteles</w:t>
      </w:r>
      <w:r w:rsidR="08163013" w:rsidRPr="00273106">
        <w:t xml:space="preserve"> i Avicenna. </w:t>
      </w:r>
      <w:r w:rsidR="00CF2EFB" w:rsidRPr="00CF2EFB">
        <w:t>Scotus navázal na avicenistický tomismus a zavedl nový řád bytí (</w:t>
      </w:r>
      <w:r w:rsidR="00CF2EFB" w:rsidRPr="00CF2EFB">
        <w:rPr>
          <w:i/>
        </w:rPr>
        <w:t>resolutio</w:t>
      </w:r>
      <w:r w:rsidR="00FD7F5F">
        <w:t xml:space="preserve">). </w:t>
      </w:r>
      <w:r w:rsidR="08163013">
        <w:t>Scotus zakládá metafyziku podle Gandavovy metafyziky</w:t>
      </w:r>
      <w:r w:rsidR="00E15DAE">
        <w:t xml:space="preserve"> chiméry, ale nemá stejný postup v rámci </w:t>
      </w:r>
      <w:r w:rsidR="00E15DAE" w:rsidRPr="00E15DAE">
        <w:rPr>
          <w:i/>
        </w:rPr>
        <w:t>resolutio</w:t>
      </w:r>
      <w:r w:rsidR="08163013">
        <w:t xml:space="preserve">. </w:t>
      </w:r>
      <w:r w:rsidR="00E15DAE">
        <w:t>Intentionalita moderního boha v modu „</w:t>
      </w:r>
      <w:r w:rsidR="00E15DAE">
        <w:rPr>
          <w:i/>
        </w:rPr>
        <w:t>es</w:t>
      </w:r>
      <w:r w:rsidR="00E15DAE" w:rsidRPr="00E15DAE">
        <w:rPr>
          <w:i/>
        </w:rPr>
        <w:t>se ad</w:t>
      </w:r>
      <w:r w:rsidR="00E15DAE">
        <w:t xml:space="preserve">“ nemůže zakládat </w:t>
      </w:r>
      <w:r w:rsidR="00FB10F0">
        <w:t xml:space="preserve">novu </w:t>
      </w:r>
      <w:r w:rsidR="00E15DAE">
        <w:t>metafyziku</w:t>
      </w:r>
      <w:r w:rsidR="00FB10F0">
        <w:t xml:space="preserve"> danou jako modernizovaný aristotelismus</w:t>
      </w:r>
      <w:r w:rsidR="00E15DAE">
        <w:t>. Impozice čistého jsoucna (</w:t>
      </w:r>
      <w:r w:rsidR="00E15DAE" w:rsidRPr="00E15DAE">
        <w:rPr>
          <w:i/>
        </w:rPr>
        <w:t>esse diminutum</w:t>
      </w:r>
      <w:r w:rsidR="00E15DAE">
        <w:t xml:space="preserve">) je vzata podle metafyziky Avicenny v modu </w:t>
      </w:r>
      <w:r w:rsidR="00E15DAE" w:rsidRPr="00D45F05">
        <w:rPr>
          <w:i/>
        </w:rPr>
        <w:t>per prius</w:t>
      </w:r>
      <w:r w:rsidR="00E15DAE">
        <w:t>, který je dána v rámci nové formy kategoriální (přesněji řečeno: transcendentální) predikace. Scotus zredukoval původní amfibolickou predikaci (</w:t>
      </w:r>
      <w:r w:rsidR="00E15DAE" w:rsidRPr="00E15DAE">
        <w:rPr>
          <w:i/>
        </w:rPr>
        <w:t>ens, unum, verum</w:t>
      </w:r>
      <w:r w:rsidR="00E15DAE">
        <w:t>) na pouhý je</w:t>
      </w:r>
      <w:r w:rsidR="00FB10F0">
        <w:t>d</w:t>
      </w:r>
      <w:r w:rsidR="00E15DAE">
        <w:t xml:space="preserve">iný prvek daný jako </w:t>
      </w:r>
      <w:r w:rsidR="00FB10F0">
        <w:t>„</w:t>
      </w:r>
      <w:r w:rsidR="00E15DAE" w:rsidRPr="00E15DAE">
        <w:rPr>
          <w:i/>
        </w:rPr>
        <w:t>ens inquantum ens</w:t>
      </w:r>
      <w:r w:rsidR="00FB10F0">
        <w:t>“</w:t>
      </w:r>
      <w:r w:rsidR="00E15DAE">
        <w:t xml:space="preserve">. </w:t>
      </w:r>
      <w:r w:rsidR="081942A4">
        <w:t xml:space="preserve">Metafyzický </w:t>
      </w:r>
      <w:r w:rsidR="08163013">
        <w:t xml:space="preserve">dativ a princip </w:t>
      </w:r>
      <w:r w:rsidR="00E15DAE">
        <w:t>„</w:t>
      </w:r>
      <w:r w:rsidR="08A649EB">
        <w:rPr>
          <w:i/>
        </w:rPr>
        <w:t>ex in</w:t>
      </w:r>
      <w:r w:rsidR="08163013" w:rsidRPr="0808584F">
        <w:rPr>
          <w:i/>
        </w:rPr>
        <w:t>mediatis</w:t>
      </w:r>
      <w:r w:rsidR="00E15DAE">
        <w:t>“</w:t>
      </w:r>
      <w:r w:rsidR="08163013">
        <w:rPr>
          <w:i/>
        </w:rPr>
        <w:fldChar w:fldCharType="begin"/>
      </w:r>
      <w:r w:rsidR="08163013">
        <w:instrText xml:space="preserve"> XE "</w:instrText>
      </w:r>
      <w:r w:rsidR="08163013" w:rsidRPr="08B46178">
        <w:instrText>princip:</w:instrText>
      </w:r>
      <w:r w:rsidR="08A649EB">
        <w:rPr>
          <w:i/>
        </w:rPr>
        <w:instrText>ex in</w:instrText>
      </w:r>
      <w:r w:rsidR="08163013" w:rsidRPr="08B46178">
        <w:rPr>
          <w:i/>
        </w:rPr>
        <w:instrText>mediatis</w:instrText>
      </w:r>
      <w:r w:rsidR="08163013">
        <w:instrText xml:space="preserve">" </w:instrText>
      </w:r>
      <w:r w:rsidR="08163013">
        <w:rPr>
          <w:i/>
        </w:rPr>
        <w:fldChar w:fldCharType="end"/>
      </w:r>
      <w:r w:rsidR="08163013" w:rsidRPr="0808584F">
        <w:rPr>
          <w:i/>
        </w:rPr>
        <w:t xml:space="preserve"> </w:t>
      </w:r>
      <w:r w:rsidR="08163013">
        <w:t xml:space="preserve">přestaly určovat </w:t>
      </w:r>
      <w:r w:rsidR="00367140">
        <w:t>první filosofii. A</w:t>
      </w:r>
      <w:r w:rsidR="08163013">
        <w:t>kt bytí jsoucna (</w:t>
      </w:r>
      <w:r w:rsidR="08163013" w:rsidRPr="08E42E39">
        <w:rPr>
          <w:i/>
        </w:rPr>
        <w:t>actus esendi</w:t>
      </w:r>
      <w:r w:rsidR="08163013">
        <w:t>) se nyní ch</w:t>
      </w:r>
      <w:r w:rsidR="00AD1FBD">
        <w:t xml:space="preserve">ápe vzhledem k Avicennově vizi čisté </w:t>
      </w:r>
      <w:r w:rsidR="08163013">
        <w:t>jsoucnosti (</w:t>
      </w:r>
      <w:r w:rsidR="00B519B2" w:rsidRPr="00B519B2">
        <w:rPr>
          <w:i/>
        </w:rPr>
        <w:t xml:space="preserve">ens </w:t>
      </w:r>
      <w:r w:rsidR="005A30AF">
        <w:rPr>
          <w:i/>
        </w:rPr>
        <w:t>inquantum ens</w:t>
      </w:r>
      <w:r w:rsidR="08163013">
        <w:t xml:space="preserve">). </w:t>
      </w:r>
      <w:r w:rsidR="004B552D" w:rsidRPr="00273106">
        <w:t xml:space="preserve">Zrození nové metafyziky </w:t>
      </w:r>
      <w:r w:rsidR="004B552D">
        <w:t xml:space="preserve">v letech </w:t>
      </w:r>
      <w:r w:rsidR="004B552D" w:rsidRPr="00273106">
        <w:t>1295</w:t>
      </w:r>
      <w:r w:rsidR="004B552D">
        <w:t>‒97</w:t>
      </w:r>
      <w:r w:rsidR="004B552D" w:rsidRPr="00273106">
        <w:t xml:space="preserve"> dosvěd</w:t>
      </w:r>
      <w:r w:rsidR="004B552D">
        <w:t>čuje následující citace, která shrnuje objektivní kategoriální predikaci vztaženou k novému druhu esence.</w:t>
      </w:r>
    </w:p>
    <w:p w:rsidR="004B552D" w:rsidRPr="00CB7E9C" w:rsidRDefault="004B552D" w:rsidP="004B552D">
      <w:pPr>
        <w:pStyle w:val="Citace"/>
        <w:rPr>
          <w:lang w:val="cs-CZ"/>
        </w:rPr>
      </w:pPr>
      <w:r>
        <w:rPr>
          <w:lang w:val="cs-CZ"/>
        </w:rPr>
        <w:t>„Zásadně platí, že impozice pojmu 'substance' je dána dvojím způsobem. Jako to, co samo ze sebe existuje (</w:t>
      </w:r>
      <w:r w:rsidRPr="00781941">
        <w:rPr>
          <w:i/>
        </w:rPr>
        <w:t>subsistendi</w:t>
      </w:r>
      <w:r>
        <w:rPr>
          <w:lang w:val="cs-CZ"/>
        </w:rPr>
        <w:t>) a jako to, co je dáno jako substrát (</w:t>
      </w:r>
      <w:r w:rsidRPr="00781941">
        <w:rPr>
          <w:i/>
        </w:rPr>
        <w:t>substandi</w:t>
      </w:r>
      <w:r>
        <w:rPr>
          <w:lang w:val="cs-CZ"/>
        </w:rPr>
        <w:t>). Zdá se, že aktuální existence je z hlediska definice jednodušší než bytí esence (</w:t>
      </w:r>
      <w:r w:rsidRPr="08E42E39">
        <w:rPr>
          <w:i/>
        </w:rPr>
        <w:t>actus essendi videtur ratio simplicior quam actus substandi</w:t>
      </w:r>
      <w:r>
        <w:rPr>
          <w:lang w:val="cs-CZ"/>
        </w:rPr>
        <w:t>). Proto 'jsoucno' se nejprve manifestuje intelektu jako důvod, odkud dochází k zavedení pojmu (</w:t>
      </w:r>
      <w:r w:rsidRPr="00CB7E9C">
        <w:rPr>
          <w:i/>
        </w:rPr>
        <w:t>rationem a qua est nominis impositio</w:t>
      </w:r>
      <w:r>
        <w:rPr>
          <w:lang w:val="cs-CZ"/>
        </w:rPr>
        <w:t>), protože jsoucno je nejjednodušší (</w:t>
      </w:r>
      <w:r w:rsidRPr="00CB7E9C">
        <w:rPr>
          <w:i/>
        </w:rPr>
        <w:t>est simplicissima</w:t>
      </w:r>
      <w:r>
        <w:rPr>
          <w:lang w:val="cs-CZ"/>
        </w:rPr>
        <w:t xml:space="preserve">). Vzhledem k takto signifikované esenci platí, že je dána 'substance' jen tehdy, pokud je 'jsoucno' primárním postřehem intelektu.“ </w:t>
      </w:r>
      <w:r>
        <w:rPr>
          <w:rStyle w:val="Znakapoznpodarou"/>
        </w:rPr>
        <w:footnoteReference w:id="426"/>
      </w:r>
    </w:p>
    <w:p w:rsidR="00742C63" w:rsidRDefault="00DD184E" w:rsidP="0099255A">
      <w:r>
        <w:t xml:space="preserve">Nová dedukce metafyziky jde od aktu avicennovsky čisté subsistence každé myslitelné substance jako primárně dané entity. Sofistika nové formy </w:t>
      </w:r>
      <w:r w:rsidRPr="00DD184E">
        <w:rPr>
          <w:i/>
        </w:rPr>
        <w:t>Oxfordian Fallacy</w:t>
      </w:r>
      <w:r>
        <w:t xml:space="preserve"> je v tom, že aristotelský „</w:t>
      </w:r>
      <w:r w:rsidRPr="00962313">
        <w:rPr>
          <w:i/>
        </w:rPr>
        <w:t>actus essendi</w:t>
      </w:r>
      <w:r>
        <w:t xml:space="preserve">“ </w:t>
      </w:r>
      <w:r w:rsidR="00962313">
        <w:t>je zreduko</w:t>
      </w:r>
      <w:r>
        <w:t xml:space="preserve">ván na </w:t>
      </w:r>
      <w:r w:rsidR="00962313">
        <w:t xml:space="preserve">essenci danou </w:t>
      </w:r>
      <w:r w:rsidRPr="00962313">
        <w:rPr>
          <w:i/>
        </w:rPr>
        <w:t>sim</w:t>
      </w:r>
      <w:r w:rsidR="00962313">
        <w:rPr>
          <w:i/>
        </w:rPr>
        <w:t>p</w:t>
      </w:r>
      <w:r w:rsidRPr="00962313">
        <w:rPr>
          <w:i/>
        </w:rPr>
        <w:t>liciter</w:t>
      </w:r>
      <w:r>
        <w:t xml:space="preserve">. </w:t>
      </w:r>
      <w:r w:rsidR="00962313">
        <w:t>Formálně je přece jedno, zda kategorie „</w:t>
      </w:r>
      <w:r w:rsidR="00962313" w:rsidRPr="00962313">
        <w:rPr>
          <w:i/>
        </w:rPr>
        <w:t>simpliciter</w:t>
      </w:r>
      <w:r w:rsidR="00962313">
        <w:t xml:space="preserve">“ je dána v realitě nebo v intelektu. </w:t>
      </w:r>
      <w:r>
        <w:t xml:space="preserve">Opět platí, že druhá </w:t>
      </w:r>
      <w:r w:rsidR="00D47AE9">
        <w:t>triáda poznáv</w:t>
      </w:r>
      <w:r>
        <w:t xml:space="preserve">acích principů </w:t>
      </w:r>
      <w:r w:rsidR="00D47AE9">
        <w:t>daná jako univerz</w:t>
      </w:r>
      <w:r>
        <w:t>ální esence určuje princip „</w:t>
      </w:r>
      <w:r w:rsidRPr="00D47AE9">
        <w:rPr>
          <w:i/>
        </w:rPr>
        <w:t>ex inmediatis</w:t>
      </w:r>
      <w:r>
        <w:t xml:space="preserve">“, </w:t>
      </w:r>
      <w:r>
        <w:lastRenderedPageBreak/>
        <w:t>který Aristotel</w:t>
      </w:r>
      <w:r w:rsidR="00D47AE9">
        <w:t>e</w:t>
      </w:r>
      <w:r>
        <w:t>s vzt</w:t>
      </w:r>
      <w:r w:rsidR="00D47AE9">
        <w:t xml:space="preserve">áhl </w:t>
      </w:r>
      <w:r>
        <w:t>pouze k první substanci. Ve druhém kroku se z této substance</w:t>
      </w:r>
      <w:r>
        <w:softHyphen/>
        <w:t xml:space="preserve"> jako esence (</w:t>
      </w:r>
      <w:r w:rsidRPr="00D449DE">
        <w:rPr>
          <w:i/>
        </w:rPr>
        <w:t>esse</w:t>
      </w:r>
      <w:r>
        <w:t xml:space="preserve"> </w:t>
      </w:r>
      <w:r w:rsidRPr="00B519B2">
        <w:rPr>
          <w:i/>
        </w:rPr>
        <w:t>subsistens</w:t>
      </w:r>
      <w:r w:rsidRPr="005A30AF">
        <w:t>)</w:t>
      </w:r>
      <w:r>
        <w:t xml:space="preserve"> dedukuje objektivní „aristotelská“ substance, původně určená jako metafyzický substrát pro akcidenty (</w:t>
      </w:r>
      <w:r w:rsidRPr="00D449DE">
        <w:rPr>
          <w:i/>
        </w:rPr>
        <w:t>esse</w:t>
      </w:r>
      <w:r>
        <w:t xml:space="preserve"> </w:t>
      </w:r>
      <w:r>
        <w:rPr>
          <w:i/>
        </w:rPr>
        <w:t>substans</w:t>
      </w:r>
      <w:r>
        <w:rPr>
          <w:i/>
        </w:rPr>
        <w:fldChar w:fldCharType="begin"/>
      </w:r>
      <w:r>
        <w:instrText xml:space="preserve"> XE "</w:instrText>
      </w:r>
      <w:r w:rsidRPr="005A5E25">
        <w:rPr>
          <w:i/>
        </w:rPr>
        <w:instrText>esse</w:instrText>
      </w:r>
      <w:r w:rsidRPr="005A5E25">
        <w:instrText xml:space="preserve"> </w:instrText>
      </w:r>
      <w:r w:rsidRPr="005A5E25">
        <w:rPr>
          <w:i/>
        </w:rPr>
        <w:instrText>substans</w:instrText>
      </w:r>
      <w:r>
        <w:instrText xml:space="preserve">" </w:instrText>
      </w:r>
      <w:r>
        <w:rPr>
          <w:i/>
        </w:rPr>
        <w:fldChar w:fldCharType="end"/>
      </w:r>
      <w:r>
        <w:t xml:space="preserve">). Kategoriální predikace tím dostala novou </w:t>
      </w:r>
      <w:r w:rsidR="008B2FB3">
        <w:t>„</w:t>
      </w:r>
      <w:r>
        <w:t>první substanci</w:t>
      </w:r>
      <w:r w:rsidR="008B2FB3">
        <w:t>“</w:t>
      </w:r>
      <w:r>
        <w:t xml:space="preserve">, od níž se odvíjí esenciální predikace nové </w:t>
      </w:r>
      <w:r w:rsidR="008B2FB3">
        <w:t>„</w:t>
      </w:r>
      <w:r>
        <w:t>druhé substance</w:t>
      </w:r>
      <w:r w:rsidR="008B2FB3">
        <w:t>“</w:t>
      </w:r>
      <w:r>
        <w:t xml:space="preserve">. </w:t>
      </w:r>
      <w:r w:rsidR="005A30AF">
        <w:t>Proto</w:t>
      </w:r>
      <w:r w:rsidR="009B4165">
        <w:t>že</w:t>
      </w:r>
      <w:r w:rsidR="005A30AF">
        <w:t xml:space="preserve"> toto </w:t>
      </w:r>
      <w:r w:rsidR="004E0368">
        <w:t>čisté jsoucno</w:t>
      </w:r>
      <w:r w:rsidR="005A30AF">
        <w:t xml:space="preserve"> má vlastní objektivní </w:t>
      </w:r>
      <w:r w:rsidR="005A30AF" w:rsidRPr="005A30AF">
        <w:rPr>
          <w:i/>
        </w:rPr>
        <w:t>actus essendi</w:t>
      </w:r>
      <w:r w:rsidR="004E0368">
        <w:t>, tak moderně „exsistuje“ i objektivní substance v jejím prvním bytí daném jako subsistence</w:t>
      </w:r>
      <w:r w:rsidR="005A30AF">
        <w:t xml:space="preserve"> (</w:t>
      </w:r>
      <w:r w:rsidR="00D449DE" w:rsidRPr="00D449DE">
        <w:rPr>
          <w:i/>
        </w:rPr>
        <w:t>esse</w:t>
      </w:r>
      <w:r w:rsidR="00D449DE">
        <w:t xml:space="preserve"> </w:t>
      </w:r>
      <w:r w:rsidR="005A30AF" w:rsidRPr="00B519B2">
        <w:rPr>
          <w:i/>
        </w:rPr>
        <w:t>subsistens</w:t>
      </w:r>
      <w:r w:rsidR="00C626F6">
        <w:rPr>
          <w:i/>
        </w:rPr>
        <w:fldChar w:fldCharType="begin"/>
      </w:r>
      <w:r w:rsidR="00C626F6">
        <w:instrText xml:space="preserve"> XE "</w:instrText>
      </w:r>
      <w:r w:rsidR="00C626F6" w:rsidRPr="00DE523C">
        <w:rPr>
          <w:i/>
        </w:rPr>
        <w:instrText>esse</w:instrText>
      </w:r>
      <w:r w:rsidR="00C626F6" w:rsidRPr="00DE523C">
        <w:instrText xml:space="preserve"> </w:instrText>
      </w:r>
      <w:r w:rsidR="00C626F6" w:rsidRPr="00DE523C">
        <w:rPr>
          <w:i/>
        </w:rPr>
        <w:instrText>subsistens</w:instrText>
      </w:r>
      <w:r w:rsidR="00C626F6">
        <w:instrText xml:space="preserve">" </w:instrText>
      </w:r>
      <w:r w:rsidR="00C626F6">
        <w:rPr>
          <w:i/>
        </w:rPr>
        <w:fldChar w:fldCharType="end"/>
      </w:r>
      <w:r w:rsidR="005A30AF" w:rsidRPr="005A30AF">
        <w:t>)</w:t>
      </w:r>
      <w:r w:rsidR="004E0368">
        <w:t xml:space="preserve">. Naopak aristotelská substance </w:t>
      </w:r>
      <w:r w:rsidR="008B2FB3">
        <w:t xml:space="preserve">tvoří </w:t>
      </w:r>
      <w:r w:rsidR="004E0368">
        <w:t xml:space="preserve">základ </w:t>
      </w:r>
      <w:r w:rsidR="008B2FB3">
        <w:t xml:space="preserve">pouze </w:t>
      </w:r>
      <w:r w:rsidR="004E0368">
        <w:t>pro reálná určení jsoucna (</w:t>
      </w:r>
      <w:r w:rsidR="00D449DE" w:rsidRPr="00D449DE">
        <w:rPr>
          <w:i/>
        </w:rPr>
        <w:t>esse substans</w:t>
      </w:r>
      <w:r w:rsidR="004E0368">
        <w:t>)</w:t>
      </w:r>
      <w:r w:rsidR="008B2FB3">
        <w:t xml:space="preserve">. Jejich existence je sekundární, protože s hlediska Scotovy dedukce už mají aristotelské druhé substance primární </w:t>
      </w:r>
      <w:r w:rsidR="004E0368">
        <w:t xml:space="preserve">avicennovskou čistou (tj. subsistenční) jsoucnost. </w:t>
      </w:r>
      <w:r w:rsidR="00A93932">
        <w:t xml:space="preserve">Scotova originální dedukce kategorií </w:t>
      </w:r>
      <w:r w:rsidR="00F8423A">
        <w:t>(</w:t>
      </w:r>
      <w:r w:rsidR="00F8423A" w:rsidRPr="00F8423A">
        <w:rPr>
          <w:i/>
        </w:rPr>
        <w:t>resolutio</w:t>
      </w:r>
      <w:r w:rsidR="00F8423A">
        <w:t xml:space="preserve">) </w:t>
      </w:r>
      <w:r w:rsidR="00450B8D">
        <w:t xml:space="preserve">je daná moderně </w:t>
      </w:r>
      <w:r w:rsidR="00450B8D" w:rsidRPr="00450B8D">
        <w:rPr>
          <w:i/>
        </w:rPr>
        <w:t>ex nihilo</w:t>
      </w:r>
      <w:r w:rsidR="00450B8D">
        <w:t xml:space="preserve">. První substanci zastupuje konstrukt čistého jsoucna, které se změní na esenci; tato objektivně daná esence v modu </w:t>
      </w:r>
      <w:r w:rsidR="00450B8D" w:rsidRPr="00450B8D">
        <w:rPr>
          <w:i/>
        </w:rPr>
        <w:t>per prius</w:t>
      </w:r>
      <w:r w:rsidR="00450B8D">
        <w:t xml:space="preserve"> je pak následně obsažena v každé aristotelské druhé substanci dané v modu </w:t>
      </w:r>
      <w:r w:rsidR="00450B8D" w:rsidRPr="00450B8D">
        <w:rPr>
          <w:i/>
        </w:rPr>
        <w:t>per posterius</w:t>
      </w:r>
      <w:r w:rsidR="00450B8D">
        <w:t>.</w:t>
      </w:r>
      <w:r w:rsidR="0099255A">
        <w:t xml:space="preserve"> </w:t>
      </w:r>
      <w:r w:rsidR="08163013">
        <w:t>Primát absolutně oddělené minimální jsoucnosti každé věci (</w:t>
      </w:r>
      <w:r w:rsidR="006A232C">
        <w:rPr>
          <w:i/>
        </w:rPr>
        <w:t>ratio subsistendi</w:t>
      </w:r>
      <w:r w:rsidR="08163013">
        <w:t xml:space="preserve">) </w:t>
      </w:r>
      <w:r w:rsidR="08163013" w:rsidRPr="00273106">
        <w:t>determinuje sekundární</w:t>
      </w:r>
      <w:r w:rsidR="08163013">
        <w:t xml:space="preserve"> </w:t>
      </w:r>
      <w:r w:rsidR="08163013" w:rsidRPr="00273106">
        <w:t xml:space="preserve">signifikaci </w:t>
      </w:r>
      <w:r w:rsidR="08163013">
        <w:t>specifického nositele této jsoucnosti (</w:t>
      </w:r>
      <w:r w:rsidR="08163013" w:rsidRPr="00273106">
        <w:rPr>
          <w:i/>
        </w:rPr>
        <w:t>ratio substandi</w:t>
      </w:r>
      <w:r w:rsidR="08163013">
        <w:rPr>
          <w:i/>
        </w:rPr>
        <w:fldChar w:fldCharType="begin"/>
      </w:r>
      <w:r w:rsidR="08163013">
        <w:instrText xml:space="preserve"> XE "</w:instrText>
      </w:r>
      <w:r w:rsidR="08163013" w:rsidRPr="00511AAF">
        <w:instrText>substance</w:instrText>
      </w:r>
      <w:r w:rsidR="08163013" w:rsidRPr="00AD3212">
        <w:rPr>
          <w:i/>
        </w:rPr>
        <w:instrText>:</w:instrText>
      </w:r>
      <w:r w:rsidR="08163013" w:rsidRPr="00273106">
        <w:rPr>
          <w:i/>
        </w:rPr>
        <w:instrText>subsistendi</w:instrText>
      </w:r>
      <w:r w:rsidR="08163013">
        <w:rPr>
          <w:i/>
        </w:rPr>
        <w:instrText>/</w:instrText>
      </w:r>
      <w:r w:rsidR="08163013" w:rsidRPr="00AD3212">
        <w:rPr>
          <w:i/>
        </w:rPr>
        <w:instrText>substandi</w:instrText>
      </w:r>
      <w:r w:rsidR="08163013">
        <w:instrText xml:space="preserve">" </w:instrText>
      </w:r>
      <w:r w:rsidR="08163013">
        <w:rPr>
          <w:i/>
        </w:rPr>
        <w:fldChar w:fldCharType="end"/>
      </w:r>
      <w:r w:rsidR="08163013" w:rsidRPr="00273106">
        <w:t xml:space="preserve">). </w:t>
      </w:r>
      <w:r w:rsidR="08163013">
        <w:t>Scotus jako metafyzik drží primát subsistence, ale její modus je daný mimo hyparchickou první substanci. Subsistence patří objektivnímu jsoucnu-esenci v modu čisté simplicity (</w:t>
      </w:r>
      <w:r w:rsidR="08163013" w:rsidRPr="009945DF">
        <w:rPr>
          <w:i/>
        </w:rPr>
        <w:t>actus essendi videtur ratio simplicior</w:t>
      </w:r>
      <w:r w:rsidR="08163013">
        <w:t xml:space="preserve">). Principem výstavby nové kategoriální predikace a tím i nové metafyziky není primát aktuální reality předávaný do myšlení, ale ideál logické </w:t>
      </w:r>
      <w:r w:rsidR="001A179C">
        <w:t xml:space="preserve">a reflexivní </w:t>
      </w:r>
      <w:r w:rsidR="08163013">
        <w:t xml:space="preserve">jasnosti. </w:t>
      </w:r>
      <w:r w:rsidR="08163013" w:rsidRPr="00273106">
        <w:t>Intelekt primárně nepoznává substanci, ale esenci v jejím čistém bytí jsoucího.</w:t>
      </w:r>
      <w:r w:rsidR="08163013">
        <w:t xml:space="preserve"> První </w:t>
      </w:r>
      <w:r w:rsidR="08163013" w:rsidRPr="00273106">
        <w:t xml:space="preserve">určení </w:t>
      </w:r>
      <w:r w:rsidR="08163013">
        <w:t xml:space="preserve">kategoriálně predikované </w:t>
      </w:r>
      <w:r w:rsidR="08163013" w:rsidRPr="00273106">
        <w:t>substance (</w:t>
      </w:r>
      <w:r w:rsidR="08163013" w:rsidRPr="00273106">
        <w:rPr>
          <w:i/>
        </w:rPr>
        <w:t>quoad essentiam significatam</w:t>
      </w:r>
      <w:r w:rsidR="08163013" w:rsidRPr="00273106">
        <w:t xml:space="preserve">) </w:t>
      </w:r>
      <w:r w:rsidR="08163013">
        <w:t xml:space="preserve">je založeno tím, že druhá substance se stala monopolním nosičem </w:t>
      </w:r>
      <w:r w:rsidR="08163013" w:rsidRPr="00273106">
        <w:t>čisté</w:t>
      </w:r>
      <w:r w:rsidR="08163013">
        <w:t>ho jsoucna</w:t>
      </w:r>
      <w:r w:rsidR="08163013" w:rsidRPr="00273106">
        <w:t xml:space="preserve"> Avicenny (</w:t>
      </w:r>
      <w:r w:rsidR="08163013" w:rsidRPr="00273106">
        <w:rPr>
          <w:i/>
        </w:rPr>
        <w:t xml:space="preserve">quando </w:t>
      </w:r>
      <w:r w:rsidR="007B0A6A" w:rsidRPr="00CF2092">
        <w:rPr>
          <w:i/>
          <w:szCs w:val="24"/>
        </w:rPr>
        <w:t>‚</w:t>
      </w:r>
      <w:proofErr w:type="gramStart"/>
      <w:r w:rsidR="007B0A6A" w:rsidRPr="00CF2092">
        <w:rPr>
          <w:i/>
          <w:szCs w:val="24"/>
        </w:rPr>
        <w:t xml:space="preserve">ens‘ </w:t>
      </w:r>
      <w:r w:rsidR="08163013" w:rsidRPr="00273106">
        <w:rPr>
          <w:i/>
        </w:rPr>
        <w:t xml:space="preserve"> primo</w:t>
      </w:r>
      <w:proofErr w:type="gramEnd"/>
      <w:r w:rsidR="08163013" w:rsidRPr="00273106">
        <w:rPr>
          <w:i/>
        </w:rPr>
        <w:t xml:space="preserve"> intelligitur</w:t>
      </w:r>
      <w:r w:rsidR="08163013">
        <w:t xml:space="preserve">). Uzávorkováním první substance a vztahu k realitě vzniklo sofistické kategoriální </w:t>
      </w:r>
      <w:r w:rsidR="08163013" w:rsidRPr="00273106">
        <w:t>ur</w:t>
      </w:r>
      <w:r w:rsidR="08163013">
        <w:t>čení</w:t>
      </w:r>
      <w:r w:rsidR="08163013" w:rsidRPr="00273106">
        <w:t xml:space="preserve"> </w:t>
      </w:r>
      <w:r w:rsidR="08163013">
        <w:t xml:space="preserve">druhé </w:t>
      </w:r>
      <w:r w:rsidR="08163013" w:rsidRPr="00273106">
        <w:t>substance</w:t>
      </w:r>
      <w:r w:rsidR="08163013">
        <w:t xml:space="preserve">, která se tváří jako Aristotelova první kategorie </w:t>
      </w:r>
      <w:r w:rsidR="08163013" w:rsidRPr="00273106">
        <w:t>(</w:t>
      </w:r>
      <w:r w:rsidR="007B0A6A">
        <w:rPr>
          <w:i/>
          <w:szCs w:val="24"/>
        </w:rPr>
        <w:t>‚</w:t>
      </w:r>
      <w:r w:rsidR="007B0A6A" w:rsidRPr="00273106">
        <w:rPr>
          <w:i/>
        </w:rPr>
        <w:t>substantia</w:t>
      </w:r>
      <w:r w:rsidR="007B0A6A">
        <w:rPr>
          <w:i/>
          <w:szCs w:val="24"/>
        </w:rPr>
        <w:t xml:space="preserve">‘ </w:t>
      </w:r>
      <w:r w:rsidR="08163013" w:rsidRPr="00273106">
        <w:rPr>
          <w:i/>
        </w:rPr>
        <w:t>intelligitur</w:t>
      </w:r>
      <w:r w:rsidR="08163013" w:rsidRPr="00273106">
        <w:t>). První impozice významu začíná u postřehu jsoucna v jeho čisté podobě jsoucího</w:t>
      </w:r>
      <w:r w:rsidR="08163013">
        <w:t xml:space="preserve">, což je </w:t>
      </w:r>
      <w:r w:rsidR="08163013" w:rsidRPr="00273106">
        <w:t>první manifestace jsoucna v intelektu (</w:t>
      </w:r>
      <w:r w:rsidR="007B0A6A" w:rsidRPr="00CF2092">
        <w:rPr>
          <w:i/>
          <w:szCs w:val="24"/>
        </w:rPr>
        <w:t xml:space="preserve">‚ens‘ </w:t>
      </w:r>
      <w:r w:rsidR="08163013" w:rsidRPr="00273106">
        <w:rPr>
          <w:i/>
        </w:rPr>
        <w:t>primo occurit intellectui</w:t>
      </w:r>
      <w:r w:rsidR="08163013" w:rsidRPr="00273106">
        <w:t>)</w:t>
      </w:r>
      <w:r w:rsidR="08163013">
        <w:t xml:space="preserve">. Tato intuice dané pouze v mysli </w:t>
      </w:r>
      <w:r w:rsidR="08163013" w:rsidRPr="00273106">
        <w:t>zakládá akt první, naprosto čisté impozice</w:t>
      </w:r>
      <w:r w:rsidR="08163013">
        <w:fldChar w:fldCharType="begin"/>
      </w:r>
      <w:r w:rsidR="08163013">
        <w:instrText xml:space="preserve"> XE "</w:instrText>
      </w:r>
      <w:r w:rsidR="08163013" w:rsidRPr="002814CC">
        <w:instrText>impozice:Scotus</w:instrText>
      </w:r>
      <w:r w:rsidR="08163013">
        <w:instrText xml:space="preserve">" </w:instrText>
      </w:r>
      <w:r w:rsidR="08163013">
        <w:fldChar w:fldCharType="end"/>
      </w:r>
      <w:r w:rsidR="08163013" w:rsidRPr="00273106">
        <w:t xml:space="preserve"> jsoucího jako jsoucího </w:t>
      </w:r>
      <w:r w:rsidR="08163013">
        <w:t>od prvního intuitivního náhledu na jsoucno. Impozice významu je dána v modu čisté jsoucnosti (</w:t>
      </w:r>
      <w:r w:rsidR="005F5CC6" w:rsidRPr="00CF2092">
        <w:rPr>
          <w:i/>
          <w:szCs w:val="24"/>
        </w:rPr>
        <w:t xml:space="preserve">‚ens‘ </w:t>
      </w:r>
      <w:r w:rsidR="08163013" w:rsidRPr="00273106">
        <w:rPr>
          <w:i/>
        </w:rPr>
        <w:t>imponitur</w:t>
      </w:r>
      <w:r w:rsidR="08163013">
        <w:t xml:space="preserve">). Tento náhled čisté jsoucnosti určuje základní impozici metafyzického významu </w:t>
      </w:r>
      <w:r w:rsidR="08163013" w:rsidRPr="00273106">
        <w:t>(</w:t>
      </w:r>
      <w:r w:rsidR="08163013" w:rsidRPr="00273106">
        <w:rPr>
          <w:i/>
        </w:rPr>
        <w:t>rationem a qua est nominis impositio</w:t>
      </w:r>
      <w:r w:rsidR="08163013" w:rsidRPr="00273106">
        <w:t xml:space="preserve">). </w:t>
      </w:r>
      <w:r w:rsidR="08163013">
        <w:t>Směr určení impozice od prvního potřehu první identifikovatelné jsoucnosti (</w:t>
      </w:r>
      <w:r w:rsidR="08163013" w:rsidRPr="08317850">
        <w:rPr>
          <w:i/>
        </w:rPr>
        <w:t xml:space="preserve">quia </w:t>
      </w:r>
      <w:r w:rsidR="08163013" w:rsidRPr="08317850">
        <w:rPr>
          <w:i/>
        </w:rPr>
        <w:lastRenderedPageBreak/>
        <w:t>est simplicissima</w:t>
      </w:r>
      <w:r w:rsidR="08163013">
        <w:t>) má klíčový význam, protože určuje fundamentální dráhu náhledu na jsoucno (</w:t>
      </w:r>
      <w:r w:rsidR="08163013" w:rsidRPr="00266A8D">
        <w:rPr>
          <w:i/>
        </w:rPr>
        <w:t>Vor</w:t>
      </w:r>
      <w:r w:rsidR="08163013" w:rsidRPr="00266A8D">
        <w:rPr>
          <w:i/>
        </w:rPr>
        <w:noBreakHyphen/>
        <w:t>blickbahn</w:t>
      </w:r>
      <w:r w:rsidR="08163013">
        <w:rPr>
          <w:i/>
        </w:rPr>
        <w:fldChar w:fldCharType="begin"/>
      </w:r>
      <w:r w:rsidR="08163013">
        <w:instrText xml:space="preserve"> XE "</w:instrText>
      </w:r>
      <w:r w:rsidR="08163013">
        <w:rPr>
          <w:i/>
        </w:rPr>
        <w:instrText>Vor-</w:instrText>
      </w:r>
      <w:r w:rsidR="08163013" w:rsidRPr="000C66F2">
        <w:rPr>
          <w:i/>
        </w:rPr>
        <w:instrText>b</w:instrText>
      </w:r>
      <w:r w:rsidR="08163013" w:rsidRPr="000C66F2">
        <w:rPr>
          <w:i/>
          <w:iCs/>
        </w:rPr>
        <w:instrText>lickbahn</w:instrText>
      </w:r>
      <w:r w:rsidR="08163013">
        <w:rPr>
          <w:iCs/>
        </w:rPr>
        <w:instrText>:Scotus</w:instrText>
      </w:r>
      <w:r w:rsidR="08163013">
        <w:instrText xml:space="preserve">" </w:instrText>
      </w:r>
      <w:r w:rsidR="08163013">
        <w:rPr>
          <w:i/>
        </w:rPr>
        <w:fldChar w:fldCharType="end"/>
      </w:r>
      <w:r w:rsidR="08163013">
        <w:t xml:space="preserve">) ve Scotově metafyzice. </w:t>
      </w:r>
      <w:r w:rsidR="08163013" w:rsidRPr="00273106">
        <w:t xml:space="preserve">Dvojí </w:t>
      </w:r>
      <w:r w:rsidR="08163013">
        <w:t xml:space="preserve">směr </w:t>
      </w:r>
      <w:r w:rsidR="08163013" w:rsidRPr="00273106">
        <w:t>náhledu (</w:t>
      </w:r>
      <w:proofErr w:type="gramStart"/>
      <w:r w:rsidR="08163013" w:rsidRPr="00273106">
        <w:rPr>
          <w:i/>
        </w:rPr>
        <w:t>ab</w:t>
      </w:r>
      <w:r w:rsidR="08163013" w:rsidRPr="00273106">
        <w:t>...</w:t>
      </w:r>
      <w:r w:rsidR="08163013" w:rsidRPr="00273106">
        <w:rPr>
          <w:i/>
        </w:rPr>
        <w:t>quoad</w:t>
      </w:r>
      <w:proofErr w:type="gramEnd"/>
      <w:r w:rsidR="08163013" w:rsidRPr="00273106">
        <w:t>) indikuje dvojí impozici smyslu jsoucna realizovanou v rámci dvojího náhledu substance (</w:t>
      </w:r>
      <w:r w:rsidR="08163013" w:rsidRPr="00273106">
        <w:rPr>
          <w:i/>
        </w:rPr>
        <w:t>duplex est ratio a qua hoc nomen 'substantia' imponitur</w:t>
      </w:r>
      <w:r w:rsidR="08163013" w:rsidRPr="00273106">
        <w:t xml:space="preserve">). Akt </w:t>
      </w:r>
      <w:r w:rsidR="08163013">
        <w:t xml:space="preserve">čisté </w:t>
      </w:r>
      <w:r w:rsidR="00345471">
        <w:t xml:space="preserve">objektivní </w:t>
      </w:r>
      <w:r w:rsidR="08163013">
        <w:t>„exsistence“</w:t>
      </w:r>
      <w:r w:rsidR="08163013">
        <w:fldChar w:fldCharType="begin"/>
      </w:r>
      <w:r w:rsidR="08163013">
        <w:instrText xml:space="preserve"> XE "</w:instrText>
      </w:r>
      <w:r w:rsidR="08163013" w:rsidRPr="001D1E42">
        <w:instrText>subsistence</w:instrText>
      </w:r>
      <w:r w:rsidR="08163013">
        <w:instrText xml:space="preserve">:Scotus" </w:instrText>
      </w:r>
      <w:r w:rsidR="08163013">
        <w:fldChar w:fldCharType="end"/>
      </w:r>
      <w:r w:rsidR="08163013" w:rsidRPr="00273106">
        <w:t xml:space="preserve"> (</w:t>
      </w:r>
      <w:r w:rsidR="08163013" w:rsidRPr="00273106">
        <w:rPr>
          <w:i/>
        </w:rPr>
        <w:t>ratio subsistendi</w:t>
      </w:r>
      <w:r w:rsidR="08163013" w:rsidRPr="00273106">
        <w:t xml:space="preserve">) </w:t>
      </w:r>
      <w:r w:rsidR="00345471">
        <w:t xml:space="preserve">přidělené esenci </w:t>
      </w:r>
      <w:r w:rsidR="08163013">
        <w:t xml:space="preserve">stojí výše, protože </w:t>
      </w:r>
      <w:r w:rsidR="00996168">
        <w:t xml:space="preserve">je založeno moderním subjektem. Ten provádí </w:t>
      </w:r>
      <w:r w:rsidR="08163013">
        <w:t>impozici metafyzického významu směre</w:t>
      </w:r>
      <w:r w:rsidR="00742C63">
        <w:t>m od jednoduchého bytí jsoucna</w:t>
      </w:r>
      <w:r w:rsidR="00996168">
        <w:t xml:space="preserve"> (</w:t>
      </w:r>
      <w:r w:rsidR="00996168" w:rsidRPr="00996168">
        <w:rPr>
          <w:i/>
        </w:rPr>
        <w:t>Ge-Stell</w:t>
      </w:r>
      <w:r w:rsidR="00996168">
        <w:rPr>
          <w:i/>
        </w:rPr>
        <w:fldChar w:fldCharType="begin"/>
      </w:r>
      <w:r w:rsidR="00996168">
        <w:instrText xml:space="preserve"> XE "</w:instrText>
      </w:r>
      <w:r w:rsidR="00996168" w:rsidRPr="00812236">
        <w:rPr>
          <w:i/>
        </w:rPr>
        <w:instrText>Ge-Stell</w:instrText>
      </w:r>
      <w:r w:rsidR="00996168">
        <w:instrText xml:space="preserve">" </w:instrText>
      </w:r>
      <w:r w:rsidR="00996168">
        <w:rPr>
          <w:i/>
        </w:rPr>
        <w:fldChar w:fldCharType="end"/>
      </w:r>
      <w:r w:rsidR="00996168">
        <w:t>)</w:t>
      </w:r>
      <w:r w:rsidR="00742C63">
        <w:t>.</w:t>
      </w:r>
    </w:p>
    <w:p w:rsidR="00DA260F" w:rsidRDefault="08163013" w:rsidP="00742C63">
      <w:pPr>
        <w:ind w:firstLine="397"/>
      </w:pPr>
      <w:r>
        <w:t xml:space="preserve">Scotovi </w:t>
      </w:r>
      <w:r w:rsidR="00742C63">
        <w:t xml:space="preserve">jako patentovanému modernistovi už vůbec </w:t>
      </w:r>
      <w:r>
        <w:t xml:space="preserve">nevadí, že </w:t>
      </w:r>
      <w:r w:rsidR="00742C63">
        <w:t>jeho čisté jsoucno vzaté jako základ kategoriální predikace vůbec neexistuje v realitě</w:t>
      </w:r>
      <w:r>
        <w:t>. Moderní metafyzika vedená objektivně myslícími Fúriemi se nebude zabývat kontigentní realitou světa a aktuálních prvních substancí. Osvícený intelekt ilumináta nazírá v parousii</w:t>
      </w:r>
      <w:r>
        <w:fldChar w:fldCharType="begin"/>
      </w:r>
      <w:r>
        <w:instrText xml:space="preserve"> XE "</w:instrText>
      </w:r>
      <w:r w:rsidRPr="08B3187C">
        <w:instrText>parousie</w:instrText>
      </w:r>
      <w:r>
        <w:instrText xml:space="preserve">" </w:instrText>
      </w:r>
      <w:r>
        <w:fldChar w:fldCharType="end"/>
      </w:r>
      <w:r>
        <w:t xml:space="preserve"> avicennistické objektivity přímé spojení mezi eidetickou objektivní jsoucností </w:t>
      </w:r>
      <w:r w:rsidR="00C86F10">
        <w:t>(</w:t>
      </w:r>
      <w:r w:rsidR="00C86F10" w:rsidRPr="00C86F10">
        <w:rPr>
          <w:i/>
        </w:rPr>
        <w:t>esse subsistens</w:t>
      </w:r>
      <w:r w:rsidR="00C626F6">
        <w:rPr>
          <w:i/>
        </w:rPr>
        <w:fldChar w:fldCharType="begin"/>
      </w:r>
      <w:r w:rsidR="00C626F6">
        <w:instrText xml:space="preserve"> XE "</w:instrText>
      </w:r>
      <w:r w:rsidR="00C626F6" w:rsidRPr="000D2432">
        <w:rPr>
          <w:i/>
        </w:rPr>
        <w:instrText>esse subsistens</w:instrText>
      </w:r>
      <w:r w:rsidR="00C626F6">
        <w:instrText xml:space="preserve">" </w:instrText>
      </w:r>
      <w:r w:rsidR="00C626F6">
        <w:rPr>
          <w:i/>
        </w:rPr>
        <w:fldChar w:fldCharType="end"/>
      </w:r>
      <w:r w:rsidR="00C86F10">
        <w:t xml:space="preserve">) </w:t>
      </w:r>
      <w:r>
        <w:t>a jejím nosičem jako kategoriálně danou substancí</w:t>
      </w:r>
      <w:r w:rsidR="00C86F10">
        <w:t xml:space="preserve"> (</w:t>
      </w:r>
      <w:r w:rsidR="00C86F10" w:rsidRPr="00C86F10">
        <w:rPr>
          <w:i/>
        </w:rPr>
        <w:t>esse substans</w:t>
      </w:r>
      <w:r w:rsidR="00C626F6">
        <w:rPr>
          <w:i/>
        </w:rPr>
        <w:fldChar w:fldCharType="begin"/>
      </w:r>
      <w:r w:rsidR="00C626F6">
        <w:instrText xml:space="preserve"> XE "</w:instrText>
      </w:r>
      <w:r w:rsidR="00C626F6" w:rsidRPr="00831F2D">
        <w:rPr>
          <w:i/>
        </w:rPr>
        <w:instrText>esse substans</w:instrText>
      </w:r>
      <w:r w:rsidR="00C626F6">
        <w:instrText xml:space="preserve">" </w:instrText>
      </w:r>
      <w:r w:rsidR="00C626F6">
        <w:rPr>
          <w:i/>
        </w:rPr>
        <w:fldChar w:fldCharType="end"/>
      </w:r>
      <w:r w:rsidR="00C86F10">
        <w:t>)</w:t>
      </w:r>
      <w:r>
        <w:t xml:space="preserve">. Neosvícený intelekt klasického metafyzika postupuje k poznání první vědy empiricky přes aristotelskou metafyziku, což jistě není špatně. Ale analytická </w:t>
      </w:r>
      <w:r w:rsidRPr="08BF6D69">
        <w:rPr>
          <w:i/>
        </w:rPr>
        <w:t>intelligentia spiritualis</w:t>
      </w:r>
      <w:r>
        <w:t xml:space="preserve"> vládnoucí v Oxfordu kolem roku 1290 už jde po přímé a široké </w:t>
      </w:r>
      <w:r w:rsidRPr="08BF6D69">
        <w:rPr>
          <w:i/>
        </w:rPr>
        <w:t>via Modernorum</w:t>
      </w:r>
      <w:r>
        <w:t xml:space="preserve"> otevřené Grossetestem, proto nepotřebuje jít klasickou cestou aristotelského slabého intelektu </w:t>
      </w:r>
      <w:r w:rsidRPr="00273106">
        <w:t>(</w:t>
      </w:r>
      <w:r w:rsidRPr="00273106">
        <w:rPr>
          <w:i/>
        </w:rPr>
        <w:t>intellectus debilis</w:t>
      </w:r>
      <w:r w:rsidR="0076569C">
        <w:t>; OBJ II, kap. 3</w:t>
      </w:r>
      <w:r w:rsidRPr="08BF6D69">
        <w:t>.1.1</w:t>
      </w:r>
      <w:r w:rsidRPr="08BF6D69">
        <w:fldChar w:fldCharType="begin"/>
      </w:r>
      <w:r w:rsidRPr="08BF6D69">
        <w:instrText xml:space="preserve"> XE "</w:instrText>
      </w:r>
      <w:r w:rsidRPr="08CE14DF">
        <w:rPr>
          <w:i/>
        </w:rPr>
        <w:instrText>intellectus debilis</w:instrText>
      </w:r>
      <w:r w:rsidRPr="08BF6D69">
        <w:instrText xml:space="preserve">" </w:instrText>
      </w:r>
      <w:r w:rsidRPr="08BF6D69">
        <w:fldChar w:fldCharType="end"/>
      </w:r>
      <w:r>
        <w:t>). Hlavní otázkou signifikace a predikace přece není poznání kontingentní první substance. Hypostázovaný i</w:t>
      </w:r>
      <w:r w:rsidRPr="00273106">
        <w:t xml:space="preserve">ntelekt </w:t>
      </w:r>
      <w:r>
        <w:t xml:space="preserve">daný jako substance třetího druhu </w:t>
      </w:r>
      <w:r w:rsidRPr="00273106">
        <w:t>nepotřebuje k produkci poznání existe</w:t>
      </w:r>
      <w:r>
        <w:t xml:space="preserve">nci reálné věci </w:t>
      </w:r>
      <w:r w:rsidRPr="00273106">
        <w:t>(</w:t>
      </w:r>
      <w:r w:rsidRPr="08CE14DF">
        <w:rPr>
          <w:i/>
        </w:rPr>
        <w:t>quid est intellectus non supponit quaestionem si est res, sed si est intellectus</w:t>
      </w:r>
      <w:r w:rsidR="0076569C">
        <w:t>; OBJ II, kap. 3</w:t>
      </w:r>
      <w:r w:rsidRPr="08CE14DF">
        <w:t>.4.3).</w:t>
      </w:r>
      <w:r>
        <w:t xml:space="preserve"> </w:t>
      </w:r>
      <w:r w:rsidRPr="08BF6D69">
        <w:t>Scotus</w:t>
      </w:r>
      <w:r>
        <w:t xml:space="preserve"> má univoční pojetí termínu </w:t>
      </w:r>
      <w:r w:rsidRPr="001D297F">
        <w:rPr>
          <w:i/>
        </w:rPr>
        <w:t>simplex</w:t>
      </w:r>
      <w:r>
        <w:t xml:space="preserve"> pro novou první substanci i pro její poznání. První substance nové metafyziky existuje jako objektivní jsoucno v modu </w:t>
      </w:r>
      <w:r>
        <w:rPr>
          <w:i/>
        </w:rPr>
        <w:t>simpliciter</w:t>
      </w:r>
      <w:r>
        <w:t xml:space="preserve">, má esenci danou </w:t>
      </w:r>
      <w:r>
        <w:rPr>
          <w:i/>
        </w:rPr>
        <w:t>simpliciter</w:t>
      </w:r>
      <w:r>
        <w:t xml:space="preserve"> skrze kategoriální predikaci a tuto druhou </w:t>
      </w:r>
      <w:proofErr w:type="gramStart"/>
      <w:r>
        <w:t>substanci  poznáváme</w:t>
      </w:r>
      <w:proofErr w:type="gramEnd"/>
      <w:r>
        <w:t xml:space="preserve"> v metafyzickém modu </w:t>
      </w:r>
      <w:r>
        <w:rPr>
          <w:i/>
        </w:rPr>
        <w:t>simpliciter</w:t>
      </w:r>
      <w:r>
        <w:t xml:space="preserve">. Scotův sofistický výklad </w:t>
      </w:r>
      <w:r w:rsidRPr="084B3FF1">
        <w:rPr>
          <w:i/>
        </w:rPr>
        <w:t>Kategorií</w:t>
      </w:r>
      <w:r>
        <w:t xml:space="preserve"> založil novou metafyziku. Objektivní substance je definována v čistém náhledu jsoucna-esence podle amfibolní predikace falsafy, školy Filipa Kancléře a metafyziky Gandava</w:t>
      </w:r>
      <w:r>
        <w:rPr>
          <w:i/>
        </w:rPr>
        <w:fldChar w:fldCharType="begin"/>
      </w:r>
      <w:r>
        <w:instrText xml:space="preserve"> XE "</w:instrText>
      </w:r>
      <w:r w:rsidRPr="005C6502">
        <w:rPr>
          <w:i/>
        </w:rPr>
        <w:instrText>Oxfordian Fallacy</w:instrText>
      </w:r>
      <w:r>
        <w:instrText xml:space="preserve">:Scotus" </w:instrText>
      </w:r>
      <w:r>
        <w:rPr>
          <w:i/>
        </w:rPr>
        <w:fldChar w:fldCharType="end"/>
      </w:r>
      <w:r>
        <w:t xml:space="preserve">. Tento univoční avicennismus představuje typický znak porretánské analytické školy panující na Oxfordu i v Paříži po vítězství </w:t>
      </w:r>
      <w:r>
        <w:rPr>
          <w:i/>
        </w:rPr>
        <w:t>Oxf</w:t>
      </w:r>
      <w:r w:rsidRPr="08483333">
        <w:rPr>
          <w:i/>
        </w:rPr>
        <w:t>o</w:t>
      </w:r>
      <w:r>
        <w:rPr>
          <w:i/>
        </w:rPr>
        <w:t>r</w:t>
      </w:r>
      <w:r w:rsidRPr="08483333">
        <w:rPr>
          <w:i/>
        </w:rPr>
        <w:t>dian Fallacy</w:t>
      </w:r>
      <w:r>
        <w:t xml:space="preserve">. Dráha náhledu na novou první kategorii metafyziky je dána od Avicennova </w:t>
      </w:r>
      <w:r w:rsidRPr="006046CC">
        <w:rPr>
          <w:i/>
        </w:rPr>
        <w:t>ens inquantum ens</w:t>
      </w:r>
      <w:r>
        <w:rPr>
          <w:i/>
        </w:rPr>
        <w:fldChar w:fldCharType="begin"/>
      </w:r>
      <w:r>
        <w:instrText xml:space="preserve"> XE "</w:instrText>
      </w:r>
      <w:r w:rsidRPr="005424E2">
        <w:rPr>
          <w:i/>
        </w:rPr>
        <w:instrText>ens inquantum ens</w:instrText>
      </w:r>
      <w:r>
        <w:instrText xml:space="preserve">" </w:instrText>
      </w:r>
      <w:r>
        <w:rPr>
          <w:i/>
        </w:rPr>
        <w:fldChar w:fldCharType="end"/>
      </w:r>
      <w:r>
        <w:t xml:space="preserve">. Toto rodově univoční jsoucno řídí směr impozice od aktu </w:t>
      </w:r>
      <w:r>
        <w:lastRenderedPageBreak/>
        <w:t>objektivní subsistence</w:t>
      </w:r>
      <w:r w:rsidRPr="00273106">
        <w:t xml:space="preserve"> </w:t>
      </w:r>
      <w:r>
        <w:t>jsoucna</w:t>
      </w:r>
      <w:r w:rsidR="0022513F">
        <w:t xml:space="preserve"> </w:t>
      </w:r>
      <w:r w:rsidR="008B7B21">
        <w:t xml:space="preserve">jako esence </w:t>
      </w:r>
      <w:r w:rsidR="0022513F">
        <w:t>(</w:t>
      </w:r>
      <w:r w:rsidR="0022513F" w:rsidRPr="000E36AB">
        <w:rPr>
          <w:i/>
          <w:szCs w:val="24"/>
          <w:lang w:val="de-LU"/>
        </w:rPr>
        <w:t>esse subsistendi</w:t>
      </w:r>
      <w:r w:rsidR="0022513F">
        <w:rPr>
          <w:i/>
          <w:szCs w:val="24"/>
          <w:lang w:val="de-LU"/>
        </w:rPr>
        <w:fldChar w:fldCharType="begin"/>
      </w:r>
      <w:r w:rsidR="0022513F">
        <w:instrText xml:space="preserve"> XE "</w:instrText>
      </w:r>
      <w:r w:rsidR="0022513F" w:rsidRPr="007A5014">
        <w:rPr>
          <w:i/>
          <w:szCs w:val="24"/>
          <w:lang w:val="de-LU"/>
        </w:rPr>
        <w:instrText xml:space="preserve">esse </w:instrText>
      </w:r>
      <w:proofErr w:type="gramStart"/>
      <w:r w:rsidR="0022513F" w:rsidRPr="007A5014">
        <w:rPr>
          <w:i/>
          <w:szCs w:val="24"/>
          <w:lang w:val="de-LU"/>
        </w:rPr>
        <w:instrText>subsistendi</w:instrText>
      </w:r>
      <w:r w:rsidR="0022513F">
        <w:instrText xml:space="preserve">" </w:instrText>
      </w:r>
      <w:r w:rsidR="0022513F">
        <w:rPr>
          <w:i/>
          <w:szCs w:val="24"/>
          <w:lang w:val="de-LU"/>
        </w:rPr>
        <w:fldChar w:fldCharType="end"/>
      </w:r>
      <w:r w:rsidR="0022513F">
        <w:rPr>
          <w:szCs w:val="24"/>
          <w:lang w:val="de-LU"/>
        </w:rPr>
        <w:t xml:space="preserve">) </w:t>
      </w:r>
      <w:r>
        <w:t xml:space="preserve"> v modu</w:t>
      </w:r>
      <w:proofErr w:type="gramEnd"/>
      <w:r>
        <w:t xml:space="preserve"> čisté jsoucnosti </w:t>
      </w:r>
      <w:r w:rsidRPr="00273106">
        <w:t>(</w:t>
      </w:r>
      <w:r w:rsidRPr="00273106">
        <w:rPr>
          <w:i/>
        </w:rPr>
        <w:t>ab actu essendi</w:t>
      </w:r>
      <w:r w:rsidRPr="00273106">
        <w:t xml:space="preserve">). </w:t>
      </w:r>
      <w:r>
        <w:t>Protože je jsoucnost nazírána jako první postřeh ilumináta i vzhledem ke specifickému nosiči této jsoucnosti, pak je tento náhled také kategoriální druhou substancí</w:t>
      </w:r>
      <w:r w:rsidR="008B7B21">
        <w:t xml:space="preserve"> </w:t>
      </w:r>
      <w:r w:rsidR="008B7B21">
        <w:rPr>
          <w:szCs w:val="24"/>
          <w:lang w:val="de-LU"/>
        </w:rPr>
        <w:t>(</w:t>
      </w:r>
      <w:r w:rsidR="008B7B21" w:rsidRPr="00982145">
        <w:rPr>
          <w:i/>
          <w:szCs w:val="24"/>
          <w:lang w:val="de-LU"/>
        </w:rPr>
        <w:t>esse substandi</w:t>
      </w:r>
      <w:r w:rsidR="008B7B21">
        <w:rPr>
          <w:i/>
          <w:szCs w:val="24"/>
          <w:lang w:val="de-LU"/>
        </w:rPr>
        <w:fldChar w:fldCharType="begin"/>
      </w:r>
      <w:r w:rsidR="008B7B21">
        <w:instrText xml:space="preserve"> XE "</w:instrText>
      </w:r>
      <w:r w:rsidR="008B7B21" w:rsidRPr="00DE016B">
        <w:rPr>
          <w:i/>
          <w:szCs w:val="24"/>
          <w:lang w:val="de-LU"/>
        </w:rPr>
        <w:instrText>esse substandi</w:instrText>
      </w:r>
      <w:r w:rsidR="008B7B21">
        <w:instrText xml:space="preserve">" </w:instrText>
      </w:r>
      <w:r w:rsidR="008B7B21">
        <w:rPr>
          <w:i/>
          <w:szCs w:val="24"/>
          <w:lang w:val="de-LU"/>
        </w:rPr>
        <w:fldChar w:fldCharType="end"/>
      </w:r>
      <w:r w:rsidR="008B7B21">
        <w:rPr>
          <w:szCs w:val="24"/>
          <w:lang w:val="de-LU"/>
        </w:rPr>
        <w:t>)</w:t>
      </w:r>
      <w:r w:rsidR="00DA260F">
        <w:t>.</w:t>
      </w:r>
    </w:p>
    <w:p w:rsidR="003C0FAC" w:rsidRDefault="00DA260F" w:rsidP="00343AD2">
      <w:pPr>
        <w:ind w:firstLine="397"/>
      </w:pPr>
      <w:r>
        <w:t xml:space="preserve">Scotus </w:t>
      </w:r>
      <w:r w:rsidR="08163013" w:rsidRPr="00273106">
        <w:t xml:space="preserve">se vrátil zpět k </w:t>
      </w:r>
      <w:proofErr w:type="gramStart"/>
      <w:r w:rsidR="08163013" w:rsidRPr="00273106">
        <w:t>Avicennově</w:t>
      </w:r>
      <w:proofErr w:type="gramEnd"/>
      <w:r w:rsidR="08163013" w:rsidRPr="00273106">
        <w:t xml:space="preserve"> jsoucnu třetího druhu a udělal z něj základ nové </w:t>
      </w:r>
      <w:r w:rsidR="08163013">
        <w:t xml:space="preserve">metafyzické </w:t>
      </w:r>
      <w:r w:rsidR="08163013" w:rsidRPr="00273106">
        <w:t>predikace</w:t>
      </w:r>
      <w:r w:rsidR="08163013">
        <w:fldChar w:fldCharType="begin"/>
      </w:r>
      <w:r w:rsidR="08163013">
        <w:instrText xml:space="preserve"> XE "</w:instrText>
      </w:r>
      <w:r w:rsidR="08163013" w:rsidRPr="00D10BA5">
        <w:rPr>
          <w:i/>
        </w:rPr>
        <w:instrText>tertium en</w:instrText>
      </w:r>
      <w:r w:rsidR="08163013" w:rsidRPr="00B55A88">
        <w:instrText>s:Scotus</w:instrText>
      </w:r>
      <w:r w:rsidR="08163013">
        <w:instrText xml:space="preserve">" </w:instrText>
      </w:r>
      <w:r w:rsidR="08163013">
        <w:fldChar w:fldCharType="end"/>
      </w:r>
      <w:r w:rsidR="08163013" w:rsidRPr="00273106">
        <w:t xml:space="preserve">. </w:t>
      </w:r>
      <w:r w:rsidR="08163013">
        <w:t xml:space="preserve">Gandavova metafyzika chiméry dostala konsistentní deduktivní základ, protože nová definice jsoucna dodala chiméře status nerozlišené první a druhé substance. Modifikovaný </w:t>
      </w:r>
      <w:r w:rsidR="08163013" w:rsidRPr="00273106">
        <w:rPr>
          <w:i/>
        </w:rPr>
        <w:t>actus essendi</w:t>
      </w:r>
      <w:r w:rsidR="08163013" w:rsidRPr="00273106">
        <w:t xml:space="preserve"> podle Avicenny je nyní aplikován na Aristotelovu </w:t>
      </w:r>
      <w:r w:rsidR="08163013">
        <w:t xml:space="preserve">hyparchickou signifikaci danou </w:t>
      </w:r>
      <w:r w:rsidR="08163013" w:rsidRPr="00273106">
        <w:t>směrem ke druhé substanci (</w:t>
      </w:r>
      <w:r w:rsidR="08163013" w:rsidRPr="00273106">
        <w:rPr>
          <w:i/>
        </w:rPr>
        <w:t>quoad</w:t>
      </w:r>
      <w:r w:rsidR="08163013" w:rsidRPr="00273106">
        <w:t xml:space="preserve"> </w:t>
      </w:r>
      <w:r w:rsidR="08163013" w:rsidRPr="00273106">
        <w:rPr>
          <w:i/>
        </w:rPr>
        <w:t>essentiam significatam</w:t>
      </w:r>
      <w:r w:rsidR="08163013" w:rsidRPr="00273106">
        <w:t>)</w:t>
      </w:r>
      <w:r w:rsidR="08163013">
        <w:t>. Opět platí základní hermeneutická teze definující druhý averroismus od Rufuse, protože supozice</w:t>
      </w:r>
      <w:r w:rsidR="08163013">
        <w:fldChar w:fldCharType="begin"/>
      </w:r>
      <w:r w:rsidR="08163013">
        <w:instrText xml:space="preserve"> XE "</w:instrText>
      </w:r>
      <w:r w:rsidR="08163013" w:rsidRPr="00BD61E8">
        <w:instrText>supozice:Scotus</w:instrText>
      </w:r>
      <w:r w:rsidR="08163013">
        <w:instrText xml:space="preserve">" </w:instrText>
      </w:r>
      <w:r w:rsidR="08163013">
        <w:fldChar w:fldCharType="end"/>
      </w:r>
      <w:r w:rsidR="08163013">
        <w:t xml:space="preserve"> univerzálního významu vytěsnila impozici od reálné substance. </w:t>
      </w:r>
      <w:r w:rsidR="00343AD2" w:rsidRPr="00343AD2">
        <w:t xml:space="preserve">První averroismus striktně odmítal dedukci metafyziky z esencí. Logika není metafyzika. První věda se týká konečných určení reálného světa, protože </w:t>
      </w:r>
      <w:r w:rsidR="00807EDD">
        <w:t xml:space="preserve">jinak </w:t>
      </w:r>
      <w:r w:rsidR="00891549">
        <w:t xml:space="preserve">by </w:t>
      </w:r>
      <w:r w:rsidR="00807EDD">
        <w:t>nebyla první vědou</w:t>
      </w:r>
      <w:r w:rsidR="00343AD2" w:rsidRPr="00343AD2">
        <w:t>.</w:t>
      </w:r>
      <w:r w:rsidR="00343AD2">
        <w:t xml:space="preserve"> </w:t>
      </w:r>
      <w:r w:rsidR="08163013">
        <w:t>Averroes považoval založení metafyziky od esence za fundamentální chybu Avicennovy metafyziky, která zrušila původní projekt Druhého mistra. Avicenna začal dedukci od vlastního intelektu místo od reality (</w:t>
      </w:r>
      <w:r w:rsidR="08163013" w:rsidRPr="00646950">
        <w:rPr>
          <w:i/>
          <w:szCs w:val="30"/>
        </w:rPr>
        <w:t xml:space="preserve">incepit quasi a </w:t>
      </w:r>
      <w:proofErr w:type="gramStart"/>
      <w:r w:rsidR="08163013" w:rsidRPr="00646950">
        <w:rPr>
          <w:i/>
          <w:szCs w:val="30"/>
        </w:rPr>
        <w:t>se</w:t>
      </w:r>
      <w:proofErr w:type="gramEnd"/>
      <w:r w:rsidR="00DB2174">
        <w:rPr>
          <w:i/>
          <w:szCs w:val="30"/>
        </w:rPr>
        <w:t xml:space="preserve">; </w:t>
      </w:r>
      <w:r w:rsidR="00DB2174">
        <w:rPr>
          <w:szCs w:val="30"/>
        </w:rPr>
        <w:t xml:space="preserve">OBJ I, </w:t>
      </w:r>
      <w:r w:rsidR="08163013" w:rsidRPr="08AD0F80">
        <w:t>kap. 2.5</w:t>
      </w:r>
      <w:r w:rsidR="08163013">
        <w:t xml:space="preserve">). </w:t>
      </w:r>
      <w:r w:rsidR="007C16E7">
        <w:t>H</w:t>
      </w:r>
      <w:r w:rsidR="08163013">
        <w:t xml:space="preserve">lavní argumenty Averroesovy kritiky Avicenny jsme uvedli v předešlých matricích a </w:t>
      </w:r>
      <w:r w:rsidR="007C16E7">
        <w:t xml:space="preserve">jsou shrnuty v </w:t>
      </w:r>
      <w:r w:rsidR="08163013">
        <w:rPr>
          <w:rStyle w:val="TextpoznpodarouChar"/>
        </w:rPr>
        <w:t xml:space="preserve">CMDA </w:t>
      </w:r>
      <w:r w:rsidR="08163013" w:rsidRPr="00273106">
        <w:rPr>
          <w:rStyle w:val="TextpoznpodarouChar"/>
        </w:rPr>
        <w:t>470.42–48</w:t>
      </w:r>
      <w:r w:rsidR="08163013">
        <w:rPr>
          <w:rStyle w:val="TextpoznpodarouChar"/>
        </w:rPr>
        <w:fldChar w:fldCharType="begin"/>
      </w:r>
      <w:r w:rsidR="08163013">
        <w:instrText xml:space="preserve"> XE "Averroes:</w:instrText>
      </w:r>
      <w:r w:rsidR="08163013" w:rsidRPr="00894C9E">
        <w:rPr>
          <w:rStyle w:val="TextpoznpodarouChar"/>
        </w:rPr>
        <w:instrText>CMDA 470.42–48</w:instrText>
      </w:r>
      <w:r w:rsidR="08163013">
        <w:instrText xml:space="preserve">" </w:instrText>
      </w:r>
      <w:r w:rsidR="08163013">
        <w:rPr>
          <w:rStyle w:val="TextpoznpodarouChar"/>
        </w:rPr>
        <w:fldChar w:fldCharType="end"/>
      </w:r>
      <w:r w:rsidR="08163013">
        <w:rPr>
          <w:rStyle w:val="TextpoznpodarouChar"/>
        </w:rPr>
        <w:t xml:space="preserve">. </w:t>
      </w:r>
      <w:r w:rsidR="08163013">
        <w:t xml:space="preserve">Siger </w:t>
      </w:r>
      <w:r w:rsidR="007C16E7">
        <w:t>definoval esenciální metafyzickou definic</w:t>
      </w:r>
      <w:r w:rsidR="08163013">
        <w:t xml:space="preserve"> </w:t>
      </w:r>
      <w:r w:rsidR="007C16E7">
        <w:t>„</w:t>
      </w:r>
      <w:r w:rsidR="08163013" w:rsidRPr="00EF4560">
        <w:rPr>
          <w:i/>
        </w:rPr>
        <w:t xml:space="preserve">ad </w:t>
      </w:r>
      <w:proofErr w:type="gramStart"/>
      <w:r w:rsidR="08163013" w:rsidRPr="00EF4560">
        <w:rPr>
          <w:i/>
        </w:rPr>
        <w:t>unum</w:t>
      </w:r>
      <w:proofErr w:type="gramEnd"/>
      <w:r w:rsidR="007C16E7">
        <w:t>“</w:t>
      </w:r>
      <w:r w:rsidR="08163013">
        <w:t xml:space="preserve"> </w:t>
      </w:r>
      <w:r w:rsidR="007C16E7">
        <w:t xml:space="preserve">jako </w:t>
      </w:r>
      <w:r w:rsidR="08163013">
        <w:t>základní selhání Avicenny (</w:t>
      </w:r>
      <w:r w:rsidR="08163013" w:rsidRPr="00EF4560">
        <w:rPr>
          <w:i/>
        </w:rPr>
        <w:t>causa deceptionis Avicennae</w:t>
      </w:r>
      <w:r w:rsidR="08163013" w:rsidRPr="00EF4560">
        <w:rPr>
          <w:rStyle w:val="Zkladntext7ptMalpsmena"/>
          <w:rFonts w:eastAsia="Times"/>
          <w:i/>
          <w:smallCaps w:val="0"/>
          <w:sz w:val="22"/>
          <w:lang w:val="x-none"/>
        </w:rPr>
        <w:t xml:space="preserve"> </w:t>
      </w:r>
      <w:r w:rsidR="08163013" w:rsidRPr="00EF4560">
        <w:rPr>
          <w:i/>
        </w:rPr>
        <w:t>fuit, quia non distinxit inter unum quod convertitur cum ente</w:t>
      </w:r>
      <w:r w:rsidR="007C16E7">
        <w:t>, kap. 4</w:t>
      </w:r>
      <w:r w:rsidR="08163013">
        <w:t xml:space="preserve">.4.1). Tuto myslitelskou pozici Sigera zopakuje po sedmi stoletích Heidegger roku 1920‒21 vzhledem k avicennistovi Husserlovi. Scotus je modernista, proto je aristotelský avicennista. Jsoucno subsistuje v bytí daném </w:t>
      </w:r>
      <w:r w:rsidR="08163013" w:rsidRPr="00793030">
        <w:rPr>
          <w:i/>
        </w:rPr>
        <w:t>simpliciter</w:t>
      </w:r>
      <w:r w:rsidR="08163013">
        <w:t xml:space="preserve"> a univerzálně a odtud začíná impozice genericky čistého jsoucna směrem k metafyzicky určené substanci. Oxfordský iluminát začal cestu k jednotě jsoucího od vlastní spekulace a šel skrze denudaci</w:t>
      </w:r>
      <w:r w:rsidR="08163013">
        <w:fldChar w:fldCharType="begin"/>
      </w:r>
      <w:r w:rsidR="08163013">
        <w:instrText xml:space="preserve"> XE "</w:instrText>
      </w:r>
      <w:r w:rsidR="08163013" w:rsidRPr="00A31B66">
        <w:rPr>
          <w:i/>
        </w:rPr>
        <w:instrText>denudatio</w:instrText>
      </w:r>
      <w:r w:rsidR="08163013" w:rsidRPr="00340138">
        <w:instrText>:Scotus</w:instrText>
      </w:r>
      <w:r w:rsidR="08163013">
        <w:instrText xml:space="preserve">" </w:instrText>
      </w:r>
      <w:r w:rsidR="08163013">
        <w:fldChar w:fldCharType="end"/>
      </w:r>
      <w:r w:rsidR="08163013">
        <w:t xml:space="preserve"> jsoucna na poslední jednotu danou v</w:t>
      </w:r>
      <w:r w:rsidR="00636904">
        <w:t> </w:t>
      </w:r>
      <w:r w:rsidR="08163013">
        <w:t>čisté</w:t>
      </w:r>
      <w:r w:rsidR="00636904">
        <w:t xml:space="preserve"> </w:t>
      </w:r>
      <w:r w:rsidR="00A1485A">
        <w:t>essenci</w:t>
      </w:r>
      <w:r w:rsidR="08163013">
        <w:t xml:space="preserve">. Tím přeměnil spis </w:t>
      </w:r>
      <w:r w:rsidR="08163013" w:rsidRPr="08524FFA">
        <w:rPr>
          <w:i/>
        </w:rPr>
        <w:t>Kategorie</w:t>
      </w:r>
      <w:r w:rsidR="08163013">
        <w:t xml:space="preserve"> na dialektické cvičení a na logickou predikaci. </w:t>
      </w:r>
      <w:r w:rsidR="00A37361">
        <w:t xml:space="preserve">Stejnou chybu vyčetl Avicennovi Averroes. </w:t>
      </w:r>
      <w:r w:rsidR="08163013" w:rsidRPr="00273106">
        <w:t xml:space="preserve">Scotův výklad </w:t>
      </w:r>
      <w:r w:rsidR="08163013" w:rsidRPr="08DD39C6">
        <w:rPr>
          <w:i/>
        </w:rPr>
        <w:t>Kategorií</w:t>
      </w:r>
      <w:r w:rsidR="08163013" w:rsidRPr="00273106">
        <w:t xml:space="preserve"> vyšel z </w:t>
      </w:r>
      <w:r w:rsidR="08163013">
        <w:t>neoplatonsk</w:t>
      </w:r>
      <w:r w:rsidR="00CC0ADD">
        <w:t>ého určení esence. Proto jen f</w:t>
      </w:r>
      <w:r w:rsidR="08163013" w:rsidRPr="00273106">
        <w:t xml:space="preserve">ormálně zachoval originální Aristotelův postup v </w:t>
      </w:r>
      <w:r w:rsidR="08163013" w:rsidRPr="08DD39C6">
        <w:rPr>
          <w:i/>
        </w:rPr>
        <w:t>Kategoriích</w:t>
      </w:r>
      <w:r w:rsidR="08163013">
        <w:t>, tedy predikaci významů směrem od substance jako prvního principu poznání</w:t>
      </w:r>
      <w:r w:rsidR="08163013" w:rsidRPr="00273106">
        <w:t xml:space="preserve">. </w:t>
      </w:r>
      <w:r w:rsidR="00CB0C2A">
        <w:t>A</w:t>
      </w:r>
      <w:r w:rsidR="08163013">
        <w:t>kt subsistence už není hyparchický, ale neoplatonsky hypostázovaný ve formě atomární substance třetího druhu. První i</w:t>
      </w:r>
      <w:r w:rsidR="08163013" w:rsidRPr="00273106">
        <w:t xml:space="preserve">mpozice významu začíná u bytí </w:t>
      </w:r>
      <w:r w:rsidR="000B4759">
        <w:t xml:space="preserve">avicennovského </w:t>
      </w:r>
      <w:r w:rsidR="08163013" w:rsidRPr="00273106">
        <w:lastRenderedPageBreak/>
        <w:t xml:space="preserve">jsoucna daného </w:t>
      </w:r>
      <w:r w:rsidR="08163013" w:rsidRPr="00273106">
        <w:rPr>
          <w:i/>
        </w:rPr>
        <w:t>simpliciter</w:t>
      </w:r>
      <w:r w:rsidR="08163013" w:rsidRPr="00273106">
        <w:t xml:space="preserve"> v modu </w:t>
      </w:r>
      <w:r w:rsidR="08163013" w:rsidRPr="00273106">
        <w:rPr>
          <w:i/>
        </w:rPr>
        <w:t>ens inquantum ens</w:t>
      </w:r>
      <w:r w:rsidR="08163013">
        <w:rPr>
          <w:i/>
        </w:rPr>
        <w:fldChar w:fldCharType="begin"/>
      </w:r>
      <w:r w:rsidR="08163013">
        <w:instrText xml:space="preserve"> XE "</w:instrText>
      </w:r>
      <w:r w:rsidR="08163013" w:rsidRPr="001267B7">
        <w:rPr>
          <w:i/>
        </w:rPr>
        <w:instrText>ens inquantum ens</w:instrText>
      </w:r>
      <w:r w:rsidR="08163013">
        <w:instrText xml:space="preserve">" </w:instrText>
      </w:r>
      <w:r w:rsidR="08163013">
        <w:rPr>
          <w:i/>
        </w:rPr>
        <w:fldChar w:fldCharType="end"/>
      </w:r>
      <w:r w:rsidR="000B4759">
        <w:t xml:space="preserve">. Dedukce </w:t>
      </w:r>
      <w:r w:rsidR="08163013" w:rsidRPr="00273106">
        <w:t xml:space="preserve">končí u </w:t>
      </w:r>
      <w:r w:rsidR="000B4759">
        <w:t xml:space="preserve">reálné substance dané v rámci druhé, tedy aristotelské </w:t>
      </w:r>
      <w:r w:rsidR="08163013" w:rsidRPr="00273106">
        <w:t xml:space="preserve">impozice významu. </w:t>
      </w:r>
      <w:r w:rsidR="08163013">
        <w:t xml:space="preserve">Logický význam </w:t>
      </w:r>
      <w:r w:rsidR="004A04BF">
        <w:t xml:space="preserve">může být daný </w:t>
      </w:r>
      <w:r w:rsidR="08163013">
        <w:t xml:space="preserve">pouze v mysli, jako například tabulka deseti kategorií pojatých v rámci logické abstrakce. </w:t>
      </w:r>
      <w:r w:rsidR="003C0FAC">
        <w:t xml:space="preserve">Nová </w:t>
      </w:r>
      <w:r w:rsidR="08163013">
        <w:t>dráha nasvícení smyslu jsoucna definitivně dokonala zatmění první substance</w:t>
      </w:r>
      <w:r w:rsidR="08163013">
        <w:fldChar w:fldCharType="begin"/>
      </w:r>
      <w:r w:rsidR="08163013">
        <w:instrText xml:space="preserve"> XE "</w:instrText>
      </w:r>
      <w:r w:rsidR="08163013" w:rsidRPr="00C27681">
        <w:instrText>zatmění</w:instrText>
      </w:r>
      <w:r w:rsidR="08163013">
        <w:instrText>:</w:instrText>
      </w:r>
      <w:r w:rsidR="08163013" w:rsidRPr="00C27681">
        <w:instrText>substance</w:instrText>
      </w:r>
      <w:r w:rsidR="08163013">
        <w:instrText xml:space="preserve">" </w:instrText>
      </w:r>
      <w:r w:rsidR="08163013">
        <w:fldChar w:fldCharType="end"/>
      </w:r>
      <w:r w:rsidR="003C0FAC">
        <w:t>.</w:t>
      </w:r>
    </w:p>
    <w:p w:rsidR="00677369" w:rsidRDefault="08163013" w:rsidP="00BB55A1">
      <w:pPr>
        <w:ind w:firstLine="397"/>
      </w:pPr>
      <w:r>
        <w:t xml:space="preserve">Kategoriální predikace rodově daného </w:t>
      </w:r>
      <w:r w:rsidRPr="007E4953">
        <w:rPr>
          <w:i/>
        </w:rPr>
        <w:t>ens inquantum ens</w:t>
      </w:r>
      <w:r>
        <w:rPr>
          <w:i/>
        </w:rPr>
        <w:fldChar w:fldCharType="begin"/>
      </w:r>
      <w:r>
        <w:instrText xml:space="preserve"> XE "</w:instrText>
      </w:r>
      <w:r w:rsidRPr="006D247B">
        <w:rPr>
          <w:i/>
        </w:rPr>
        <w:instrText>ens inquantum ens</w:instrText>
      </w:r>
      <w:r>
        <w:instrText xml:space="preserve">" </w:instrText>
      </w:r>
      <w:r>
        <w:rPr>
          <w:i/>
        </w:rPr>
        <w:fldChar w:fldCharType="end"/>
      </w:r>
      <w:r>
        <w:t xml:space="preserve"> založila novou metafyziku. </w:t>
      </w:r>
      <w:r w:rsidR="007B34EF">
        <w:t xml:space="preserve">Scotus zůstal </w:t>
      </w:r>
      <w:r w:rsidRPr="00273106">
        <w:t xml:space="preserve">věrný svým učitelům </w:t>
      </w:r>
      <w:r>
        <w:t xml:space="preserve">hájícím </w:t>
      </w:r>
      <w:r w:rsidRPr="003F30C7">
        <w:rPr>
          <w:i/>
        </w:rPr>
        <w:t>Oxfordian Fallacy</w:t>
      </w:r>
      <w:r>
        <w:t xml:space="preserve"> a zavrhujícím originální princip </w:t>
      </w:r>
      <w:r w:rsidR="00194BC0">
        <w:t>„</w:t>
      </w:r>
      <w:r w:rsidR="08A649EB">
        <w:rPr>
          <w:i/>
        </w:rPr>
        <w:t>ex in</w:t>
      </w:r>
      <w:r w:rsidRPr="085807FB">
        <w:rPr>
          <w:i/>
        </w:rPr>
        <w:t>mediatis</w:t>
      </w:r>
      <w:r w:rsidR="00194BC0">
        <w:t>“</w:t>
      </w:r>
      <w:r>
        <w:t xml:space="preserve"> </w:t>
      </w:r>
      <w:r w:rsidR="00194BC0">
        <w:t xml:space="preserve">daný </w:t>
      </w:r>
      <w:r>
        <w:t xml:space="preserve">podle </w:t>
      </w:r>
      <w:r w:rsidRPr="082000E1">
        <w:rPr>
          <w:i/>
        </w:rPr>
        <w:t>Druhých analytik</w:t>
      </w:r>
      <w:r w:rsidR="007B34EF">
        <w:t xml:space="preserve">. Na tomto základě </w:t>
      </w:r>
      <w:r w:rsidRPr="00273106">
        <w:t xml:space="preserve">provedl </w:t>
      </w:r>
      <w:r>
        <w:t>sofi</w:t>
      </w:r>
      <w:r w:rsidR="00F82BD7">
        <w:t xml:space="preserve">stikovanou subverzi Aristotelových </w:t>
      </w:r>
      <w:r>
        <w:t>kategorií</w:t>
      </w:r>
      <w:r w:rsidRPr="00273106">
        <w:t xml:space="preserve">. </w:t>
      </w:r>
      <w:r w:rsidR="00194BC0">
        <w:t>Averroesova kritika Avicenny (</w:t>
      </w:r>
      <w:r w:rsidR="00194BC0" w:rsidRPr="00E00D87">
        <w:rPr>
          <w:i/>
        </w:rPr>
        <w:t>maxime erravit</w:t>
      </w:r>
      <w:r w:rsidR="00194BC0">
        <w:t>) zásadně platí v případě Scotovy metafyziky</w:t>
      </w:r>
      <w:r>
        <w:t xml:space="preserve">. </w:t>
      </w:r>
      <w:r w:rsidR="00194BC0">
        <w:t xml:space="preserve">Anulací </w:t>
      </w:r>
      <w:r>
        <w:t xml:space="preserve">první substance </w:t>
      </w:r>
      <w:r w:rsidR="00194BC0">
        <w:t xml:space="preserve">jako základu kategoriální predikace </w:t>
      </w:r>
      <w:r>
        <w:t>Scotus zásadně minul cíl metafyziky jak</w:t>
      </w:r>
      <w:r w:rsidR="00194BC0">
        <w:t>o první vědy o reálné substanci</w:t>
      </w:r>
      <w:r>
        <w:t xml:space="preserve">. </w:t>
      </w:r>
      <w:r w:rsidRPr="00273106">
        <w:t xml:space="preserve">Scotus </w:t>
      </w:r>
      <w:r>
        <w:t>z</w:t>
      </w:r>
      <w:r w:rsidRPr="00273106">
        <w:t xml:space="preserve">rušil Aristotelův a </w:t>
      </w:r>
      <w:r>
        <w:t>Averroes</w:t>
      </w:r>
      <w:r w:rsidRPr="00273106">
        <w:t xml:space="preserve">ův primát kategoriálně predikované substance a místo druhé substance dal Avicennovu čistou </w:t>
      </w:r>
      <w:r>
        <w:t xml:space="preserve">rodovou </w:t>
      </w:r>
      <w:r w:rsidRPr="00273106">
        <w:t>esenci objektiv</w:t>
      </w:r>
      <w:r w:rsidR="00791288">
        <w:t xml:space="preserve">ně nazíranou a determinovanou v </w:t>
      </w:r>
      <w:r w:rsidRPr="00273106">
        <w:t xml:space="preserve">metafyzickém modu </w:t>
      </w:r>
      <w:r w:rsidRPr="00273106">
        <w:rPr>
          <w:i/>
        </w:rPr>
        <w:t>per prius</w:t>
      </w:r>
      <w:r>
        <w:rPr>
          <w:i/>
        </w:rPr>
        <w:fldChar w:fldCharType="begin"/>
      </w:r>
      <w:r>
        <w:instrText xml:space="preserve"> XE "predikace:</w:instrText>
      </w:r>
      <w:r w:rsidRPr="00E511A8">
        <w:rPr>
          <w:i/>
        </w:rPr>
        <w:instrText>per prius</w:instrText>
      </w:r>
      <w:r>
        <w:instrText xml:space="preserve">" </w:instrText>
      </w:r>
      <w:r>
        <w:rPr>
          <w:i/>
        </w:rPr>
        <w:fldChar w:fldCharType="end"/>
      </w:r>
      <w:r w:rsidR="00791288">
        <w:t xml:space="preserve">. </w:t>
      </w:r>
      <w:r w:rsidRPr="00273106">
        <w:t>Nová kvazi-substance</w:t>
      </w:r>
      <w:r w:rsidR="000C4357">
        <w:fldChar w:fldCharType="begin"/>
      </w:r>
      <w:r w:rsidR="000C4357">
        <w:instrText xml:space="preserve"> XE "</w:instrText>
      </w:r>
      <w:r w:rsidR="000C4357" w:rsidRPr="00A06C44">
        <w:instrText>substance:Scotus</w:instrText>
      </w:r>
      <w:r w:rsidR="000C4357">
        <w:instrText xml:space="preserve">" </w:instrText>
      </w:r>
      <w:r w:rsidR="000C4357">
        <w:fldChar w:fldCharType="end"/>
      </w:r>
      <w:r w:rsidRPr="00273106">
        <w:t xml:space="preserve"> </w:t>
      </w:r>
      <w:r>
        <w:t>ne</w:t>
      </w:r>
      <w:r w:rsidRPr="00273106">
        <w:t xml:space="preserve">má hyparchický modus bytí </w:t>
      </w:r>
      <w:r w:rsidRPr="00273106">
        <w:rPr>
          <w:i/>
        </w:rPr>
        <w:t>per se</w:t>
      </w:r>
      <w:r w:rsidRPr="00273106">
        <w:t xml:space="preserve"> </w:t>
      </w:r>
      <w:r>
        <w:t xml:space="preserve">podle </w:t>
      </w:r>
      <w:r>
        <w:rPr>
          <w:i/>
        </w:rPr>
        <w:t>Kategorií</w:t>
      </w:r>
      <w:r w:rsidRPr="00273106">
        <w:t xml:space="preserve">. </w:t>
      </w:r>
      <w:r>
        <w:t>Přidělení moderní hypostázované jsoucnosti podle Avicenny se děje v modu primární impozice absolutně jednoduchého významu „být jsoucím“</w:t>
      </w:r>
      <w:r w:rsidRPr="000362B9">
        <w:t xml:space="preserve"> </w:t>
      </w:r>
      <w:r w:rsidRPr="00273106">
        <w:t>(</w:t>
      </w:r>
      <w:r w:rsidRPr="00273106">
        <w:rPr>
          <w:i/>
        </w:rPr>
        <w:t>est simplicissima</w:t>
      </w:r>
      <w:r w:rsidRPr="00273106">
        <w:t>)</w:t>
      </w:r>
      <w:r>
        <w:t xml:space="preserve">. </w:t>
      </w:r>
      <w:r w:rsidRPr="00273106">
        <w:t>Scotus formálně d</w:t>
      </w:r>
      <w:r>
        <w:t xml:space="preserve">održuje postup </w:t>
      </w:r>
      <w:proofErr w:type="gramStart"/>
      <w:r w:rsidRPr="08566313">
        <w:rPr>
          <w:i/>
        </w:rPr>
        <w:t>Metafyziky</w:t>
      </w:r>
      <w:r>
        <w:t xml:space="preserve"> Z.1 a považuje</w:t>
      </w:r>
      <w:proofErr w:type="gramEnd"/>
      <w:r>
        <w:t xml:space="preserve"> tuto substanci danou </w:t>
      </w:r>
      <w:r w:rsidRPr="00696532">
        <w:rPr>
          <w:i/>
        </w:rPr>
        <w:t>absolute</w:t>
      </w:r>
      <w:r>
        <w:rPr>
          <w:i/>
        </w:rPr>
        <w:fldChar w:fldCharType="begin"/>
      </w:r>
      <w:r>
        <w:instrText xml:space="preserve"> XE "predikace:</w:instrText>
      </w:r>
      <w:r w:rsidRPr="003D0A16">
        <w:instrText>modus</w:instrText>
      </w:r>
      <w:r w:rsidRPr="000C1D0A">
        <w:rPr>
          <w:i/>
        </w:rPr>
        <w:instrText xml:space="preserve"> absolute</w:instrText>
      </w:r>
      <w:r>
        <w:instrText xml:space="preserve">" </w:instrText>
      </w:r>
      <w:r>
        <w:rPr>
          <w:i/>
        </w:rPr>
        <w:fldChar w:fldCharType="end"/>
      </w:r>
      <w:r>
        <w:t xml:space="preserve"> a </w:t>
      </w:r>
      <w:r w:rsidRPr="00696532">
        <w:rPr>
          <w:i/>
        </w:rPr>
        <w:t>simpliciter</w:t>
      </w:r>
      <w:r>
        <w:t xml:space="preserve"> za základ metafyzické predikace. Myšlení předběhlo realitu a začalo spekulaci jako Avicenna, tedy samo od sebe. Z hlediska </w:t>
      </w:r>
      <w:r w:rsidRPr="085E4D02">
        <w:rPr>
          <w:i/>
        </w:rPr>
        <w:t>intentum</w:t>
      </w:r>
      <w:r>
        <w:t xml:space="preserve"> hledané první vědy kontem</w:t>
      </w:r>
      <w:r w:rsidR="00B81F84">
        <w:t>plující jednotu reálného světa šlo</w:t>
      </w:r>
      <w:r>
        <w:t xml:space="preserve"> o epochální </w:t>
      </w:r>
      <w:r w:rsidRPr="08ED39AF">
        <w:rPr>
          <w:i/>
        </w:rPr>
        <w:t>Irrtum</w:t>
      </w:r>
      <w:r>
        <w:t>, který Ockham jako historicky poslední představi</w:t>
      </w:r>
      <w:r w:rsidR="00B81F84">
        <w:t xml:space="preserve">tel prvního averroismu </w:t>
      </w:r>
      <w:r w:rsidR="003E4E84">
        <w:t xml:space="preserve">vyčítal </w:t>
      </w:r>
      <w:r>
        <w:t xml:space="preserve">škole </w:t>
      </w:r>
      <w:r w:rsidR="00B8799A">
        <w:t xml:space="preserve">prvních </w:t>
      </w:r>
      <w:r w:rsidR="00BB55A1">
        <w:t>scotistů na Oxfordu. U</w:t>
      </w:r>
      <w:r>
        <w:t>stavení druhé substance jde od objektivního dativu</w:t>
      </w:r>
      <w:r>
        <w:fldChar w:fldCharType="begin"/>
      </w:r>
      <w:r>
        <w:instrText xml:space="preserve"> XE "</w:instrText>
      </w:r>
      <w:r w:rsidRPr="088D51A4">
        <w:rPr>
          <w:i/>
        </w:rPr>
        <w:instrText>dativus obiectivus</w:instrText>
      </w:r>
      <w:r>
        <w:instrText xml:space="preserve">" </w:instrText>
      </w:r>
      <w:r>
        <w:fldChar w:fldCharType="end"/>
      </w:r>
      <w:r>
        <w:t xml:space="preserve"> daného donací čistého </w:t>
      </w:r>
      <w:r w:rsidRPr="088D51A4">
        <w:rPr>
          <w:i/>
        </w:rPr>
        <w:t>ens</w:t>
      </w:r>
      <w:r>
        <w:t xml:space="preserve"> směrem ke druhé substanci jako nosiči této minimální jsoucnosti. </w:t>
      </w:r>
      <w:r w:rsidRPr="00273106">
        <w:t xml:space="preserve">Scotus bez problémů přijme klíčovou </w:t>
      </w:r>
      <w:r>
        <w:t xml:space="preserve">tezi </w:t>
      </w:r>
      <w:r w:rsidRPr="00273106">
        <w:t xml:space="preserve">spisu </w:t>
      </w:r>
      <w:r w:rsidRPr="085845E2">
        <w:rPr>
          <w:i/>
        </w:rPr>
        <w:t>Kategorie</w:t>
      </w:r>
      <w:r>
        <w:t xml:space="preserve"> o primátu první substance (</w:t>
      </w:r>
      <w:r w:rsidRPr="003F6A8B">
        <w:rPr>
          <w:i/>
        </w:rPr>
        <w:t>destructio primis</w:t>
      </w:r>
      <w:r>
        <w:rPr>
          <w:i/>
        </w:rPr>
        <w:fldChar w:fldCharType="begin"/>
      </w:r>
      <w:r>
        <w:instrText xml:space="preserve"> XE "</w:instrText>
      </w:r>
      <w:r w:rsidRPr="08514437">
        <w:rPr>
          <w:i/>
        </w:rPr>
        <w:instrText>destructio primis</w:instrText>
      </w:r>
      <w:r>
        <w:instrText xml:space="preserve">" </w:instrText>
      </w:r>
      <w:r>
        <w:rPr>
          <w:i/>
        </w:rPr>
        <w:fldChar w:fldCharType="end"/>
      </w:r>
      <w:r w:rsidR="003959A2">
        <w:t xml:space="preserve">; OBJ I, </w:t>
      </w:r>
      <w:r>
        <w:t xml:space="preserve">kap. 1.3). Z citované pasáže </w:t>
      </w:r>
      <w:r w:rsidRPr="00B82C79">
        <w:rPr>
          <w:i/>
        </w:rPr>
        <w:t>Cat</w:t>
      </w:r>
      <w:r>
        <w:t>. 2b5‒6</w:t>
      </w:r>
      <w:r>
        <w:fldChar w:fldCharType="begin"/>
      </w:r>
      <w:r>
        <w:instrText xml:space="preserve"> XE "Aristoteles:</w:instrText>
      </w:r>
      <w:r w:rsidRPr="003D0C91">
        <w:rPr>
          <w:i/>
        </w:rPr>
        <w:instrText>Cat</w:instrText>
      </w:r>
      <w:r w:rsidRPr="003D0C91">
        <w:instrText>. 2b5‒6</w:instrText>
      </w:r>
      <w:r>
        <w:instrText xml:space="preserve">" </w:instrText>
      </w:r>
      <w:r>
        <w:fldChar w:fldCharType="end"/>
      </w:r>
      <w:r>
        <w:t xml:space="preserve"> vyplývá, že </w:t>
      </w:r>
      <w:r w:rsidRPr="00273106">
        <w:t xml:space="preserve">zrušení první substance </w:t>
      </w:r>
      <w:r>
        <w:t xml:space="preserve">dané v modu </w:t>
      </w:r>
      <w:r w:rsidRPr="088372D4">
        <w:rPr>
          <w:i/>
        </w:rPr>
        <w:t>ens inquantum ens</w:t>
      </w:r>
      <w:r>
        <w:t xml:space="preserve"> </w:t>
      </w:r>
      <w:r w:rsidRPr="00273106">
        <w:t>zničí jakoukoliv možnost kategoriální predikace</w:t>
      </w:r>
      <w:r>
        <w:t xml:space="preserve"> pro druhou substanci</w:t>
      </w:r>
      <w:r w:rsidRPr="00273106">
        <w:t>.</w:t>
      </w:r>
      <w:r w:rsidRPr="00273106">
        <w:rPr>
          <w:rStyle w:val="Znakapoznpodarou"/>
        </w:rPr>
        <w:footnoteReference w:id="427"/>
      </w:r>
      <w:r w:rsidRPr="00273106">
        <w:t xml:space="preserve"> </w:t>
      </w:r>
      <w:r>
        <w:lastRenderedPageBreak/>
        <w:t xml:space="preserve">Destrukce reality u Aristotela zničí poznání, protože to je určeno </w:t>
      </w:r>
      <w:r w:rsidR="081942A4">
        <w:t xml:space="preserve">metafyzickým </w:t>
      </w:r>
      <w:r>
        <w:t xml:space="preserve">dativem. Scotus si myslí, že jeho výklad </w:t>
      </w:r>
      <w:r w:rsidRPr="003F6A8B">
        <w:rPr>
          <w:i/>
        </w:rPr>
        <w:t>destructio primis</w:t>
      </w:r>
      <w:r>
        <w:t xml:space="preserve"> je </w:t>
      </w:r>
      <w:r w:rsidR="00677369">
        <w:t>stejný jako u Aristotela.</w:t>
      </w:r>
    </w:p>
    <w:p w:rsidR="00256235" w:rsidRDefault="08163013" w:rsidP="00CD4A5E">
      <w:pPr>
        <w:ind w:firstLine="397"/>
      </w:pPr>
      <w:r>
        <w:t xml:space="preserve">Novou metafyzikou operací vznikl nový náhled na jsoucno v modu </w:t>
      </w:r>
      <w:r w:rsidRPr="08171B5D">
        <w:rPr>
          <w:i/>
        </w:rPr>
        <w:t>dativus obiectivus</w:t>
      </w:r>
      <w:r>
        <w:rPr>
          <w:i/>
        </w:rPr>
        <w:fldChar w:fldCharType="begin"/>
      </w:r>
      <w:r>
        <w:instrText xml:space="preserve"> XE "</w:instrText>
      </w:r>
      <w:r w:rsidRPr="0869435E">
        <w:rPr>
          <w:i/>
        </w:rPr>
        <w:instrText>dativus obiectivus</w:instrText>
      </w:r>
      <w:r>
        <w:instrText xml:space="preserve">" </w:instrText>
      </w:r>
      <w:r>
        <w:rPr>
          <w:i/>
        </w:rPr>
        <w:fldChar w:fldCharType="end"/>
      </w:r>
      <w:r>
        <w:t xml:space="preserve">, protože se změnila kategoriální forma predikace v modu </w:t>
      </w:r>
      <w:r w:rsidRPr="08171B5D">
        <w:rPr>
          <w:i/>
        </w:rPr>
        <w:t>dativus possessivus</w:t>
      </w:r>
      <w:r>
        <w:rPr>
          <w:i/>
        </w:rPr>
        <w:fldChar w:fldCharType="begin"/>
      </w:r>
      <w:r>
        <w:instrText xml:space="preserve"> XE "</w:instrText>
      </w:r>
      <w:r w:rsidRPr="08D363BF">
        <w:rPr>
          <w:i/>
        </w:rPr>
        <w:instrText>dativus possessivus</w:instrText>
      </w:r>
      <w:r>
        <w:instrText xml:space="preserve">" </w:instrText>
      </w:r>
      <w:r>
        <w:rPr>
          <w:i/>
        </w:rPr>
        <w:fldChar w:fldCharType="end"/>
      </w:r>
      <w:r>
        <w:t xml:space="preserve">. Impozice jsoucnosti nejde od </w:t>
      </w:r>
      <w:r w:rsidR="081942A4">
        <w:t xml:space="preserve">metafyzického </w:t>
      </w:r>
      <w:r>
        <w:t>dativu</w:t>
      </w:r>
      <w:r w:rsidR="00F10DB2">
        <w:rPr>
          <w:szCs w:val="24"/>
          <w:lang w:val="de-LU"/>
        </w:rPr>
        <w:fldChar w:fldCharType="begin"/>
      </w:r>
      <w:r w:rsidR="00F10DB2">
        <w:instrText xml:space="preserve"> XE "</w:instrText>
      </w:r>
      <w:r w:rsidR="00F10DB2" w:rsidRPr="004D77F4">
        <w:rPr>
          <w:i/>
        </w:rPr>
        <w:instrText>dativus metaphysicus</w:instrText>
      </w:r>
      <w:r w:rsidR="00F10DB2">
        <w:instrText xml:space="preserve">" </w:instrText>
      </w:r>
      <w:r w:rsidR="00F10DB2">
        <w:rPr>
          <w:szCs w:val="24"/>
          <w:lang w:val="de-LU"/>
        </w:rPr>
        <w:fldChar w:fldCharType="end"/>
      </w:r>
      <w:r>
        <w:t xml:space="preserve"> daného první substancí, ale od minimální jsoucnosti, kterou na sebe vezme </w:t>
      </w:r>
      <w:r w:rsidR="00387588">
        <w:t xml:space="preserve">jakýkoliv </w:t>
      </w:r>
      <w:r>
        <w:t>nosič (</w:t>
      </w:r>
      <w:r w:rsidRPr="08171B5D">
        <w:rPr>
          <w:i/>
        </w:rPr>
        <w:t>subiectum</w:t>
      </w:r>
      <w:r>
        <w:t xml:space="preserve">). Objektivní přivlastnění jsoucna běží v mysli osvíceného subjektu, který v aktu stvoření významu </w:t>
      </w:r>
      <w:r w:rsidRPr="08FE1168">
        <w:rPr>
          <w:i/>
        </w:rPr>
        <w:t>ex nihilo</w:t>
      </w:r>
      <w:r>
        <w:t xml:space="preserve"> předá čistou esenciální jsoucnost na cokoliv, co ji může nést nejprve v božím modu </w:t>
      </w:r>
      <w:r w:rsidRPr="08737E22">
        <w:rPr>
          <w:i/>
        </w:rPr>
        <w:t>rectitudo</w:t>
      </w:r>
      <w:r>
        <w:rPr>
          <w:i/>
        </w:rPr>
        <w:fldChar w:fldCharType="begin"/>
      </w:r>
      <w:r>
        <w:instrText xml:space="preserve"> XE "</w:instrText>
      </w:r>
      <w:r w:rsidRPr="08737E22">
        <w:instrText>pravda:objektivní</w:instrText>
      </w:r>
      <w:r>
        <w:rPr>
          <w:i/>
        </w:rPr>
        <w:instrText xml:space="preserve"> </w:instrText>
      </w:r>
      <w:r w:rsidRPr="08737E22">
        <w:rPr>
          <w:i/>
        </w:rPr>
        <w:instrText>rectitudo</w:instrText>
      </w:r>
      <w:r>
        <w:instrText xml:space="preserve">" </w:instrText>
      </w:r>
      <w:r>
        <w:rPr>
          <w:i/>
        </w:rPr>
        <w:fldChar w:fldCharType="end"/>
      </w:r>
      <w:r>
        <w:t xml:space="preserve"> a následného lidského </w:t>
      </w:r>
      <w:r w:rsidRPr="08737E22">
        <w:rPr>
          <w:i/>
        </w:rPr>
        <w:t>certitudo</w:t>
      </w:r>
      <w:r>
        <w:rPr>
          <w:i/>
        </w:rPr>
        <w:fldChar w:fldCharType="begin"/>
      </w:r>
      <w:r>
        <w:instrText xml:space="preserve"> XE "</w:instrText>
      </w:r>
      <w:r w:rsidRPr="08737E22">
        <w:instrText>pravda:objektivní</w:instrText>
      </w:r>
      <w:r>
        <w:rPr>
          <w:i/>
        </w:rPr>
        <w:instrText xml:space="preserve"> cer</w:instrText>
      </w:r>
      <w:r w:rsidRPr="08737E22">
        <w:rPr>
          <w:i/>
        </w:rPr>
        <w:instrText>titudo</w:instrText>
      </w:r>
      <w:r>
        <w:instrText xml:space="preserve">" </w:instrText>
      </w:r>
      <w:r>
        <w:rPr>
          <w:i/>
        </w:rPr>
        <w:fldChar w:fldCharType="end"/>
      </w:r>
      <w:r>
        <w:t xml:space="preserve">. Moderní božský subjekt jsoucno a pravdu ze sebe vyvádí neomezenou dedukcí a lidský subjekt ji rektifikuje také dedukcí, ale lidsky omezenou. </w:t>
      </w:r>
      <w:r w:rsidR="081942A4">
        <w:t xml:space="preserve">Metafyzický </w:t>
      </w:r>
      <w:r>
        <w:t xml:space="preserve">dativ </w:t>
      </w:r>
      <w:r w:rsidR="004063E7">
        <w:t xml:space="preserve">byl </w:t>
      </w:r>
      <w:r>
        <w:t>daný časovou posloupností poznání determinovaného z</w:t>
      </w:r>
      <w:r w:rsidR="004063E7">
        <w:t> </w:t>
      </w:r>
      <w:r>
        <w:t>reality</w:t>
      </w:r>
      <w:r w:rsidR="004063E7">
        <w:t xml:space="preserve">. Protože věc reálně existuje, tak je univerzálně poznatetelná. Scotus </w:t>
      </w:r>
      <w:r>
        <w:t>nahra</w:t>
      </w:r>
      <w:r w:rsidR="004063E7">
        <w:t xml:space="preserve">dil toto pořadí daná jako aristotelský </w:t>
      </w:r>
      <w:r w:rsidR="004063E7" w:rsidRPr="004063E7">
        <w:rPr>
          <w:i/>
        </w:rPr>
        <w:t>modus ponens</w:t>
      </w:r>
      <w:r w:rsidR="004063E7">
        <w:t xml:space="preserve"> </w:t>
      </w:r>
      <w:r>
        <w:t xml:space="preserve">logickou prioritou </w:t>
      </w:r>
      <w:r w:rsidR="004063E7">
        <w:t xml:space="preserve">určenou skrze dedukci. Co si subjekt přivlastní jako čisté bytí, to je vzato jako základ reality. Pak platí, že </w:t>
      </w:r>
      <w:r w:rsidRPr="08A652C5">
        <w:rPr>
          <w:i/>
        </w:rPr>
        <w:t>dativus possessivus</w:t>
      </w:r>
      <w:r w:rsidR="004063E7">
        <w:t xml:space="preserve"> je určený poznávacím subjektem a </w:t>
      </w:r>
      <w:r>
        <w:t xml:space="preserve">v řádu primárního poznání a dedukce zakládá novou metafyziku. Bez poznání objektivní substance jako nejvyššího rodu daného nelze nic predikovat směrem dolů, </w:t>
      </w:r>
      <w:r w:rsidR="004063E7">
        <w:t xml:space="preserve">protože </w:t>
      </w:r>
      <w:r>
        <w:t xml:space="preserve">by </w:t>
      </w:r>
      <w:r w:rsidR="004063E7">
        <w:t xml:space="preserve">to </w:t>
      </w:r>
      <w:r w:rsidR="00085687">
        <w:t xml:space="preserve">zrušilo metafyziku. </w:t>
      </w:r>
      <w:r>
        <w:t xml:space="preserve">Scotův </w:t>
      </w:r>
      <w:r w:rsidRPr="0818390F">
        <w:rPr>
          <w:i/>
        </w:rPr>
        <w:t>modus tollens</w:t>
      </w:r>
      <w:r w:rsidR="00836EE4">
        <w:rPr>
          <w:i/>
        </w:rPr>
        <w:fldChar w:fldCharType="begin"/>
      </w:r>
      <w:r w:rsidR="00836EE4">
        <w:instrText xml:space="preserve"> XE "</w:instrText>
      </w:r>
      <w:r w:rsidR="00836EE4" w:rsidRPr="001256F5">
        <w:rPr>
          <w:i/>
        </w:rPr>
        <w:instrText>modus tollens</w:instrText>
      </w:r>
      <w:r w:rsidR="00836EE4">
        <w:instrText xml:space="preserve">" </w:instrText>
      </w:r>
      <w:r w:rsidR="00836EE4">
        <w:rPr>
          <w:i/>
        </w:rPr>
        <w:fldChar w:fldCharType="end"/>
      </w:r>
      <w:r>
        <w:t xml:space="preserve"> se nevztahuje na reálnou první substanci, ale na </w:t>
      </w:r>
      <w:r w:rsidR="004C6DE0">
        <w:t xml:space="preserve">avicennovskou esenci danou v modu </w:t>
      </w:r>
      <w:r w:rsidR="004C6DE0" w:rsidRPr="004C6DE0">
        <w:rPr>
          <w:i/>
        </w:rPr>
        <w:t>simpliciter</w:t>
      </w:r>
      <w:r>
        <w:t xml:space="preserve">. </w:t>
      </w:r>
      <w:r w:rsidR="004C6DE0">
        <w:t xml:space="preserve">Toto </w:t>
      </w:r>
      <w:r w:rsidR="004C6DE0" w:rsidRPr="004C6DE0">
        <w:rPr>
          <w:i/>
        </w:rPr>
        <w:t>tertium ens</w:t>
      </w:r>
      <w:r w:rsidR="004C6DE0">
        <w:t xml:space="preserve"> pochopitelně zmizí, pokud není dán subjekt, který je produkuje. Objektivní dativ </w:t>
      </w:r>
      <w:r w:rsidR="004C6DE0">
        <w:rPr>
          <w:szCs w:val="24"/>
          <w:lang w:val="de-LU"/>
        </w:rPr>
        <w:t>(</w:t>
      </w:r>
      <w:r w:rsidR="004C6DE0" w:rsidRPr="00F56317">
        <w:rPr>
          <w:i/>
          <w:szCs w:val="24"/>
          <w:lang w:val="de-LU"/>
        </w:rPr>
        <w:t>dativus obiectivus</w:t>
      </w:r>
      <w:r w:rsidR="004C6DE0">
        <w:rPr>
          <w:szCs w:val="24"/>
          <w:lang w:val="de-LU"/>
        </w:rPr>
        <w:t xml:space="preserve">) </w:t>
      </w:r>
      <w:r w:rsidR="004C6DE0">
        <w:t xml:space="preserve">zakládá donaci minimálního jsoucna pouze ze subjektu. Existence iluminátů se </w:t>
      </w:r>
      <w:r w:rsidR="000E4F22">
        <w:t xml:space="preserve">tím </w:t>
      </w:r>
      <w:r w:rsidR="004C6DE0">
        <w:t xml:space="preserve">stala </w:t>
      </w:r>
      <w:r>
        <w:t>apriorní podmínkou objektivní dedukce</w:t>
      </w:r>
      <w:r w:rsidR="005C7BE0">
        <w:t xml:space="preserve">. </w:t>
      </w:r>
      <w:r>
        <w:t>B</w:t>
      </w:r>
      <w:r w:rsidRPr="00273106">
        <w:t xml:space="preserve">ytí jsoucna dané </w:t>
      </w:r>
      <w:r w:rsidR="005C7BE0">
        <w:t>jako „</w:t>
      </w:r>
      <w:r w:rsidRPr="00273106">
        <w:rPr>
          <w:i/>
        </w:rPr>
        <w:t>ens inquantum ens</w:t>
      </w:r>
      <w:r w:rsidR="005C7BE0">
        <w:t>“</w:t>
      </w:r>
      <w:r>
        <w:t xml:space="preserve"> zakládá objektivní „ex</w:t>
      </w:r>
      <w:r w:rsidRPr="00273106">
        <w:t>sistenci“ prvního určení jsoucího (</w:t>
      </w:r>
      <w:r w:rsidRPr="00273106">
        <w:rPr>
          <w:i/>
        </w:rPr>
        <w:t>quo est</w:t>
      </w:r>
      <w:r>
        <w:rPr>
          <w:i/>
        </w:rPr>
        <w:fldChar w:fldCharType="begin"/>
      </w:r>
      <w:r>
        <w:instrText xml:space="preserve"> XE "</w:instrText>
      </w:r>
      <w:r w:rsidRPr="003C4F2E">
        <w:rPr>
          <w:i/>
        </w:rPr>
        <w:instrText>quo est</w:instrText>
      </w:r>
      <w:r>
        <w:instrText xml:space="preserve">" </w:instrText>
      </w:r>
      <w:r>
        <w:rPr>
          <w:i/>
        </w:rPr>
        <w:fldChar w:fldCharType="end"/>
      </w:r>
      <w:r>
        <w:t>). A</w:t>
      </w:r>
      <w:r w:rsidRPr="00273106">
        <w:t xml:space="preserve">kt první impozice smyslu </w:t>
      </w:r>
      <w:r>
        <w:t xml:space="preserve">umožňuje následnou predikaci </w:t>
      </w:r>
      <w:r w:rsidRPr="00273106">
        <w:t xml:space="preserve">dalších vlastností </w:t>
      </w:r>
      <w:r>
        <w:t xml:space="preserve">substance, například na reálném substrátu </w:t>
      </w:r>
      <w:r w:rsidRPr="00273106">
        <w:t>(</w:t>
      </w:r>
      <w:r w:rsidRPr="00E43557">
        <w:rPr>
          <w:i/>
        </w:rPr>
        <w:t>quod est</w:t>
      </w:r>
      <w:r>
        <w:t>)</w:t>
      </w:r>
      <w:r w:rsidRPr="00273106">
        <w:t xml:space="preserve">. </w:t>
      </w:r>
      <w:r>
        <w:t xml:space="preserve">Příkladem je porretánská predikace běloby nebo humanity </w:t>
      </w:r>
      <w:r w:rsidR="00256235">
        <w:t>uvedená v předešlých matricích.</w:t>
      </w:r>
    </w:p>
    <w:p w:rsidR="00CD4A5E" w:rsidRPr="0099255A" w:rsidRDefault="08163013" w:rsidP="00CD4A5E">
      <w:pPr>
        <w:ind w:firstLine="397"/>
      </w:pPr>
      <w:r>
        <w:t xml:space="preserve">Scotus přeměnil oxfordskou analytickou logiku danou v modu univerzálního hylemorfismu na novou formu aristotelské metafyziky bez hylemorfismu. Tím zmizela z </w:t>
      </w:r>
      <w:r>
        <w:lastRenderedPageBreak/>
        <w:t xml:space="preserve">moderní metafyziky kategoriální predikace od substance jako jsoucna třetího druhu ve formě pseudo-fyzikálního tělesa. Nová úprava Aristotela zásadně </w:t>
      </w:r>
      <w:r w:rsidRPr="00273106">
        <w:t>předčila Rufuse, který poprvé ve škole druhého averroismu určil objekti</w:t>
      </w:r>
      <w:r>
        <w:t xml:space="preserve">vní charakter jsoucna termínem </w:t>
      </w:r>
      <w:r w:rsidR="007F6B64">
        <w:t>„</w:t>
      </w:r>
      <w:r w:rsidR="00962190">
        <w:rPr>
          <w:i/>
        </w:rPr>
        <w:t>species</w:t>
      </w:r>
      <w:r w:rsidRPr="00273106">
        <w:rPr>
          <w:i/>
        </w:rPr>
        <w:t xml:space="preserve"> obiecti exsistentis</w:t>
      </w:r>
      <w:r w:rsidR="007F6B64">
        <w:t>“</w:t>
      </w:r>
      <w:r>
        <w:rPr>
          <w:i/>
        </w:rPr>
        <w:fldChar w:fldCharType="begin"/>
      </w:r>
      <w:r>
        <w:instrText xml:space="preserve"> XE "</w:instrText>
      </w:r>
      <w:r w:rsidRPr="00C05196">
        <w:rPr>
          <w:i/>
        </w:rPr>
        <w:instrText>species</w:instrText>
      </w:r>
      <w:r w:rsidRPr="00C05196">
        <w:instrText xml:space="preserve"> </w:instrText>
      </w:r>
      <w:r w:rsidRPr="00C05196">
        <w:rPr>
          <w:i/>
        </w:rPr>
        <w:instrText>obiecti exsistentis</w:instrText>
      </w:r>
      <w:r>
        <w:instrText xml:space="preserve">" </w:instrText>
      </w:r>
      <w:r>
        <w:rPr>
          <w:i/>
        </w:rPr>
        <w:fldChar w:fldCharType="end"/>
      </w:r>
      <w:r w:rsidR="007F6B64">
        <w:t xml:space="preserve"> (kap. 3</w:t>
      </w:r>
      <w:r w:rsidRPr="00273106">
        <w:t>.3.4).</w:t>
      </w:r>
      <w:r>
        <w:t xml:space="preserve"> Determinace</w:t>
      </w:r>
      <w:r w:rsidRPr="00273106">
        <w:t xml:space="preserve"> </w:t>
      </w:r>
      <w:r>
        <w:t xml:space="preserve">aristotelské </w:t>
      </w:r>
      <w:r w:rsidRPr="00273106">
        <w:t xml:space="preserve">kategorie </w:t>
      </w:r>
      <w:r>
        <w:t>je v řádu logiky, ale prim</w:t>
      </w:r>
      <w:r w:rsidR="004C44C2">
        <w:t xml:space="preserve">ární impozice významu substance jako </w:t>
      </w:r>
      <w:r>
        <w:t xml:space="preserve">esence jde </w:t>
      </w:r>
      <w:r w:rsidRPr="00273106">
        <w:t>z Avicennovy metafyziky</w:t>
      </w:r>
      <w:r>
        <w:t xml:space="preserve">. Tím Scotus zrušil mysticismus </w:t>
      </w:r>
      <w:r w:rsidRPr="00273106">
        <w:t xml:space="preserve">Augustinovy </w:t>
      </w:r>
      <w:r>
        <w:t>neoplatonsk</w:t>
      </w:r>
      <w:r w:rsidRPr="00273106">
        <w:t xml:space="preserve">é </w:t>
      </w:r>
      <w:r>
        <w:t>ontoteologie, který v Paříži razila m</w:t>
      </w:r>
      <w:r w:rsidR="00312012">
        <w:t xml:space="preserve">odernistická škola Bonaventury. </w:t>
      </w:r>
      <w:r w:rsidR="008D7977">
        <w:t xml:space="preserve">Scotus </w:t>
      </w:r>
      <w:r w:rsidR="008D7977" w:rsidRPr="00273106">
        <w:t xml:space="preserve">vytvořil novou verzi predikace </w:t>
      </w:r>
      <w:r w:rsidR="008D7977" w:rsidRPr="00273106">
        <w:rPr>
          <w:i/>
        </w:rPr>
        <w:t>per prius</w:t>
      </w:r>
      <w:r w:rsidR="008D7977" w:rsidRPr="00273106">
        <w:t xml:space="preserve"> z hlediska nově pojaté univerzality </w:t>
      </w:r>
      <w:r w:rsidR="008D7977">
        <w:t>podle Simplikiovy „</w:t>
      </w:r>
      <w:proofErr w:type="gramStart"/>
      <w:r w:rsidR="008D7977">
        <w:t>esence</w:t>
      </w:r>
      <w:proofErr w:type="gramEnd"/>
      <w:r w:rsidR="008D7977">
        <w:t>–</w:t>
      </w:r>
      <w:proofErr w:type="gramStart"/>
      <w:r w:rsidR="008D7977">
        <w:t>substance</w:t>
      </w:r>
      <w:proofErr w:type="gramEnd"/>
      <w:r w:rsidR="008D7977">
        <w:t xml:space="preserve">“ </w:t>
      </w:r>
      <w:r w:rsidR="008D7977" w:rsidRPr="00273106">
        <w:t>(τὸ καθόλου καθ' ἑαυτὸ,</w:t>
      </w:r>
      <w:r w:rsidR="008D7977" w:rsidRPr="00273106">
        <w:rPr>
          <w:i/>
        </w:rPr>
        <w:t xml:space="preserve"> In </w:t>
      </w:r>
      <w:r w:rsidR="008D7977">
        <w:rPr>
          <w:i/>
        </w:rPr>
        <w:t xml:space="preserve">Simpl. </w:t>
      </w:r>
      <w:r w:rsidR="008D7977" w:rsidRPr="00273106">
        <w:rPr>
          <w:i/>
        </w:rPr>
        <w:t>Cat</w:t>
      </w:r>
      <w:r w:rsidR="008D7977" w:rsidRPr="00273106">
        <w:t>. 85.10</w:t>
      </w:r>
      <w:r w:rsidR="008D7977">
        <w:fldChar w:fldCharType="begin"/>
      </w:r>
      <w:r w:rsidR="008D7977">
        <w:instrText xml:space="preserve"> XE "Simplikius:</w:instrText>
      </w:r>
      <w:r w:rsidR="008D7977" w:rsidRPr="008F0EA9">
        <w:rPr>
          <w:i/>
        </w:rPr>
        <w:instrText>In Simpl. Cat</w:instrText>
      </w:r>
      <w:r w:rsidR="008D7977" w:rsidRPr="008F0EA9">
        <w:instrText>. 85.10</w:instrText>
      </w:r>
      <w:r w:rsidR="008D7977">
        <w:instrText xml:space="preserve">" </w:instrText>
      </w:r>
      <w:r w:rsidR="008D7977">
        <w:fldChar w:fldCharType="end"/>
      </w:r>
      <w:r w:rsidR="008D7977" w:rsidRPr="00273106">
        <w:t>).</w:t>
      </w:r>
      <w:r w:rsidR="008D7977">
        <w:t xml:space="preserve"> Existence této atomární substance bylo dáno jako nejvyšší rod neoplatonské jsoucnosti </w:t>
      </w:r>
      <w:r w:rsidR="008D7977" w:rsidRPr="00273106">
        <w:t xml:space="preserve">(τὴν κυριωτάτην οὐσίαν ἔχον, </w:t>
      </w:r>
      <w:r w:rsidR="008D7977">
        <w:t xml:space="preserve">ibid. </w:t>
      </w:r>
      <w:r w:rsidR="008D7977" w:rsidRPr="00273106">
        <w:t>85.11</w:t>
      </w:r>
      <w:r w:rsidR="008D7977">
        <w:fldChar w:fldCharType="begin"/>
      </w:r>
      <w:r w:rsidR="008D7977">
        <w:instrText xml:space="preserve"> XE "Simplikius:</w:instrText>
      </w:r>
      <w:r w:rsidR="008D7977" w:rsidRPr="008F0EA9">
        <w:rPr>
          <w:i/>
        </w:rPr>
        <w:instrText>In Simpl. Cat</w:instrText>
      </w:r>
      <w:r w:rsidR="008D7977">
        <w:instrText xml:space="preserve">. 85.11" </w:instrText>
      </w:r>
      <w:r w:rsidR="008D7977">
        <w:fldChar w:fldCharType="end"/>
      </w:r>
      <w:r w:rsidR="008D7977">
        <w:t xml:space="preserve">). Tato atomární substance je nyní daná v modu čistého </w:t>
      </w:r>
      <w:r w:rsidR="008D7977" w:rsidRPr="00627AF0">
        <w:rPr>
          <w:i/>
        </w:rPr>
        <w:t>scibile</w:t>
      </w:r>
      <w:r w:rsidR="008D7977">
        <w:rPr>
          <w:i/>
        </w:rPr>
        <w:fldChar w:fldCharType="begin"/>
      </w:r>
      <w:r w:rsidR="008D7977">
        <w:instrText xml:space="preserve"> XE "</w:instrText>
      </w:r>
      <w:r w:rsidR="008D7977" w:rsidRPr="00AA4F67">
        <w:rPr>
          <w:i/>
        </w:rPr>
        <w:instrText>scibile</w:instrText>
      </w:r>
      <w:r w:rsidR="008D7977">
        <w:instrText xml:space="preserve">:Scotus" </w:instrText>
      </w:r>
      <w:r w:rsidR="008D7977">
        <w:rPr>
          <w:i/>
        </w:rPr>
        <w:fldChar w:fldCharType="end"/>
      </w:r>
      <w:r w:rsidR="008D7977">
        <w:t xml:space="preserve"> podle Avicenny. Nově definovaná </w:t>
      </w:r>
      <w:r w:rsidR="008D7977" w:rsidRPr="00273106">
        <w:t xml:space="preserve">substance </w:t>
      </w:r>
      <w:r w:rsidR="008D7977">
        <w:t xml:space="preserve">se oddělila od Aristotelovy druhé substance, protože je definována jako čisté atomárně určené </w:t>
      </w:r>
      <w:r w:rsidR="008D7977" w:rsidRPr="008D7977">
        <w:rPr>
          <w:i/>
        </w:rPr>
        <w:t>individuum</w:t>
      </w:r>
      <w:r w:rsidR="008D7977">
        <w:t xml:space="preserve"> dané minimální mírou existence. Scotovo pojetí objektivní substance odpovídá primátu neoplatonské atomární substance</w:t>
      </w:r>
      <w:r w:rsidR="008D7977" w:rsidRPr="00273106">
        <w:t xml:space="preserve"> </w:t>
      </w:r>
      <w:r w:rsidR="008D7977">
        <w:t>(</w:t>
      </w:r>
      <w:r w:rsidR="008D7977" w:rsidRPr="00273106">
        <w:rPr>
          <w:i/>
        </w:rPr>
        <w:t xml:space="preserve">quando ens primo </w:t>
      </w:r>
      <w:proofErr w:type="gramStart"/>
      <w:r w:rsidR="008D7977" w:rsidRPr="00273106">
        <w:rPr>
          <w:i/>
        </w:rPr>
        <w:t>intelligitur</w:t>
      </w:r>
      <w:r w:rsidR="008D7977">
        <w:rPr>
          <w:i/>
        </w:rPr>
        <w:t xml:space="preserve"> ...</w:t>
      </w:r>
      <w:r w:rsidR="008D7977" w:rsidRPr="00273106">
        <w:rPr>
          <w:i/>
        </w:rPr>
        <w:t>substantia</w:t>
      </w:r>
      <w:proofErr w:type="gramEnd"/>
      <w:r w:rsidR="008D7977" w:rsidRPr="00273106">
        <w:rPr>
          <w:i/>
        </w:rPr>
        <w:t xml:space="preserve"> intelligitur</w:t>
      </w:r>
      <w:r w:rsidR="00312012">
        <w:t>)</w:t>
      </w:r>
      <w:r w:rsidR="00AF5CFC">
        <w:t>, ale je vytvořeno na základě aristotelské kategoriální predikace</w:t>
      </w:r>
      <w:r w:rsidR="00312012">
        <w:t xml:space="preserve">. </w:t>
      </w:r>
      <w:r w:rsidRPr="00273106">
        <w:t xml:space="preserve">Scotus v převleku prvního averroisty zrušil základní ontoteologické schéma druhého averroismu. </w:t>
      </w:r>
      <w:r>
        <w:t xml:space="preserve">Gandavova objektivní impozice v modu </w:t>
      </w:r>
      <w:r w:rsidR="002A0338">
        <w:t>„</w:t>
      </w:r>
      <w:r w:rsidRPr="00962885">
        <w:rPr>
          <w:i/>
        </w:rPr>
        <w:t>esse ad</w:t>
      </w:r>
      <w:r w:rsidR="002A0338">
        <w:t>“</w:t>
      </w:r>
      <w:r>
        <w:rPr>
          <w:i/>
        </w:rPr>
        <w:fldChar w:fldCharType="begin"/>
      </w:r>
      <w:r>
        <w:instrText xml:space="preserve"> XE "</w:instrText>
      </w:r>
      <w:r w:rsidRPr="008F3381">
        <w:rPr>
          <w:i/>
        </w:rPr>
        <w:instrText xml:space="preserve">esse </w:instrText>
      </w:r>
      <w:proofErr w:type="gramStart"/>
      <w:r w:rsidRPr="008F3381">
        <w:rPr>
          <w:i/>
        </w:rPr>
        <w:instrText>ad</w:instrText>
      </w:r>
      <w:proofErr w:type="gramEnd"/>
      <w:r w:rsidRPr="008F3381">
        <w:rPr>
          <w:i/>
        </w:rPr>
        <w:instrText>:</w:instrText>
      </w:r>
      <w:r w:rsidRPr="005B44E0">
        <w:instrText>Gandavus</w:instrText>
      </w:r>
      <w:r>
        <w:instrText xml:space="preserve">" </w:instrText>
      </w:r>
      <w:r>
        <w:rPr>
          <w:i/>
        </w:rPr>
        <w:fldChar w:fldCharType="end"/>
      </w:r>
      <w:r>
        <w:t xml:space="preserve"> šla od boží intencionality skrze exemplar</w:t>
      </w:r>
      <w:r>
        <w:fldChar w:fldCharType="begin"/>
      </w:r>
      <w:r>
        <w:instrText xml:space="preserve"> XE "</w:instrText>
      </w:r>
      <w:r w:rsidRPr="003F72AE">
        <w:rPr>
          <w:i/>
        </w:rPr>
        <w:instrText>exemplar</w:instrText>
      </w:r>
      <w:r>
        <w:instrText xml:space="preserve">" </w:instrText>
      </w:r>
      <w:r>
        <w:fldChar w:fldCharType="end"/>
      </w:r>
      <w:r>
        <w:t xml:space="preserve"> směrem do stvoření, což je typický scénář </w:t>
      </w:r>
      <w:r w:rsidR="00D850AF">
        <w:t xml:space="preserve">neoplatonské </w:t>
      </w:r>
      <w:r>
        <w:t xml:space="preserve">dedukce podle </w:t>
      </w:r>
      <w:r w:rsidRPr="00007DF9">
        <w:rPr>
          <w:i/>
        </w:rPr>
        <w:t>Liber de causis</w:t>
      </w:r>
      <w:r>
        <w:rPr>
          <w:i/>
        </w:rPr>
        <w:fldChar w:fldCharType="begin"/>
      </w:r>
      <w:r>
        <w:instrText xml:space="preserve"> XE "</w:instrText>
      </w:r>
      <w:r w:rsidRPr="00C46BD8">
        <w:rPr>
          <w:i/>
        </w:rPr>
        <w:instrText>Liber de causis</w:instrText>
      </w:r>
      <w:r>
        <w:instrText xml:space="preserve">" </w:instrText>
      </w:r>
      <w:r>
        <w:rPr>
          <w:i/>
        </w:rPr>
        <w:fldChar w:fldCharType="end"/>
      </w:r>
      <w:r>
        <w:t xml:space="preserve">. </w:t>
      </w:r>
      <w:r w:rsidR="00B9046A">
        <w:t xml:space="preserve">Scotus změnil </w:t>
      </w:r>
      <w:r w:rsidRPr="00273106">
        <w:t>Henryho ontoteologi</w:t>
      </w:r>
      <w:r w:rsidR="00B9046A">
        <w:t xml:space="preserve">i </w:t>
      </w:r>
      <w:r w:rsidRPr="00273106">
        <w:t>na metafyziku</w:t>
      </w:r>
      <w:r>
        <w:t xml:space="preserve"> </w:t>
      </w:r>
      <w:r w:rsidR="00B9046A">
        <w:t xml:space="preserve">transcendentálně pojaté </w:t>
      </w:r>
      <w:r>
        <w:t xml:space="preserve">substance. </w:t>
      </w:r>
      <w:r w:rsidRPr="00273106">
        <w:t>Nový celek kategoriálních určení jsoucna vznikl v rámci Avicenn</w:t>
      </w:r>
      <w:r>
        <w:t xml:space="preserve">ovy esenciální </w:t>
      </w:r>
      <w:r w:rsidR="00B9046A">
        <w:t>metafyziky čistého bytí</w:t>
      </w:r>
      <w:r w:rsidRPr="00273106">
        <w:t xml:space="preserve">. Kategoriální určení substance dané objektivně se dostalo díky impozici </w:t>
      </w:r>
      <w:r>
        <w:t xml:space="preserve">hypostázované jsoucnosti dané </w:t>
      </w:r>
      <w:r w:rsidRPr="007726A0">
        <w:rPr>
          <w:i/>
        </w:rPr>
        <w:t>simpliciter</w:t>
      </w:r>
      <w:r>
        <w:t xml:space="preserve"> </w:t>
      </w:r>
      <w:r w:rsidRPr="00273106">
        <w:t>na úroveň bývalé první substance. Od ní jde druhá impozice významu směrem ke druhé substanci</w:t>
      </w:r>
      <w:r>
        <w:t xml:space="preserve"> dané již aristotelsky</w:t>
      </w:r>
      <w:r w:rsidRPr="00273106">
        <w:t xml:space="preserve">. Scotus se </w:t>
      </w:r>
      <w:r>
        <w:t xml:space="preserve">hned v prvním kole vlastní cesty k metafyzice </w:t>
      </w:r>
      <w:r w:rsidRPr="00273106">
        <w:t xml:space="preserve">definitivně oddělil od bývalých </w:t>
      </w:r>
      <w:r w:rsidRPr="00273106">
        <w:rPr>
          <w:i/>
        </w:rPr>
        <w:t>Nominales</w:t>
      </w:r>
      <w:r>
        <w:t xml:space="preserve"> v Oxfordu a v Paříži. Tito nyní již zastaralí modernisté chápali </w:t>
      </w:r>
      <w:r w:rsidRPr="00273106">
        <w:t>po vzoru B</w:t>
      </w:r>
      <w:r>
        <w:t>onaventury a Pechama vrozená</w:t>
      </w:r>
      <w:r w:rsidRPr="00273106">
        <w:t xml:space="preserve"> </w:t>
      </w:r>
      <w:r w:rsidR="00962190">
        <w:rPr>
          <w:i/>
        </w:rPr>
        <w:t>species</w:t>
      </w:r>
      <w:r w:rsidRPr="00273106">
        <w:t xml:space="preserve">, exemplary, spirituální materii atd. jako jsoucna třetího druhu. </w:t>
      </w:r>
      <w:r w:rsidR="0014379A">
        <w:t xml:space="preserve">Nová metafyzika nepřipustila žádné jsoucno třetího druhu, protože pracuje pouze s Avicennovou esencí nebo s Aristotelovou kategoriální substancí. </w:t>
      </w:r>
      <w:r w:rsidR="00CD4A5E">
        <w:t xml:space="preserve">Františkánským představeným v Oxfordu bylo jasné, že musí poslat tohoto bakaláře na magisterská studia do Paříže, aby zde dále šířil světlo nové metafyziky. </w:t>
      </w:r>
    </w:p>
    <w:p w:rsidR="08163013" w:rsidRPr="00273106" w:rsidRDefault="00A401A3" w:rsidP="00CD4A5E">
      <w:pPr>
        <w:ind w:firstLine="397"/>
      </w:pPr>
      <w:r>
        <w:lastRenderedPageBreak/>
        <w:t xml:space="preserve">Nová predikace zrušila </w:t>
      </w:r>
      <w:r w:rsidR="08163013" w:rsidRPr="00273106">
        <w:t>jsoucna třetího druhu</w:t>
      </w:r>
      <w:r w:rsidR="00B6217D">
        <w:t>, která vznikala</w:t>
      </w:r>
      <w:r>
        <w:t xml:space="preserve"> </w:t>
      </w:r>
      <w:r w:rsidR="08163013" w:rsidRPr="00273106">
        <w:t xml:space="preserve">v rámci </w:t>
      </w:r>
      <w:r w:rsidR="08163013">
        <w:t xml:space="preserve">dělení </w:t>
      </w:r>
      <w:r w:rsidR="002A56DB">
        <w:t xml:space="preserve">univerzálií v rámci </w:t>
      </w:r>
      <w:r w:rsidR="08163013">
        <w:t>Porfyri</w:t>
      </w:r>
      <w:r w:rsidR="08163013" w:rsidRPr="00273106">
        <w:t>ova stromu</w:t>
      </w:r>
      <w:r>
        <w:t>. Scotus oddělil minimálně jistou porci</w:t>
      </w:r>
      <w:r w:rsidR="08163013" w:rsidRPr="00273106">
        <w:t xml:space="preserve"> jsoucnosti od </w:t>
      </w:r>
      <w:r>
        <w:t xml:space="preserve">všech </w:t>
      </w:r>
      <w:r w:rsidR="08163013" w:rsidRPr="00273106">
        <w:t>akcidentá</w:t>
      </w:r>
      <w:r>
        <w:t xml:space="preserve">lních a intencionálních variací. </w:t>
      </w:r>
      <w:r w:rsidR="00D1258F">
        <w:t xml:space="preserve">Zrušení všech forem </w:t>
      </w:r>
      <w:r w:rsidR="00D1258F" w:rsidRPr="00D1258F">
        <w:rPr>
          <w:i/>
        </w:rPr>
        <w:t>tertium ens</w:t>
      </w:r>
      <w:r w:rsidR="00D1258F">
        <w:t xml:space="preserve"> zrušilo také ontoteologii</w:t>
      </w:r>
      <w:r w:rsidR="08163013" w:rsidRPr="00273106">
        <w:t xml:space="preserve">, kterou </w:t>
      </w:r>
      <w:r w:rsidR="08163013">
        <w:t xml:space="preserve">roku </w:t>
      </w:r>
      <w:r w:rsidR="08163013" w:rsidRPr="00273106">
        <w:t xml:space="preserve">1285 završil Henry z </w:t>
      </w:r>
      <w:proofErr w:type="gramStart"/>
      <w:r w:rsidR="08163013" w:rsidRPr="00273106">
        <w:t>Gentu</w:t>
      </w:r>
      <w:proofErr w:type="gramEnd"/>
      <w:r w:rsidR="08163013">
        <w:t xml:space="preserve"> v citovaném </w:t>
      </w:r>
      <w:r w:rsidR="08163013" w:rsidRPr="00293A47">
        <w:rPr>
          <w:i/>
        </w:rPr>
        <w:t>Quodlibet</w:t>
      </w:r>
      <w:r w:rsidR="00134717">
        <w:t xml:space="preserve"> IX (kap. 5</w:t>
      </w:r>
      <w:r w:rsidR="08163013">
        <w:t>.2.3)</w:t>
      </w:r>
      <w:r w:rsidR="08163013" w:rsidRPr="00273106">
        <w:t xml:space="preserve">. </w:t>
      </w:r>
      <w:r w:rsidR="08163013">
        <w:t>Nová substance nese jako substrát (</w:t>
      </w:r>
      <w:r w:rsidR="08163013" w:rsidRPr="000A41B0">
        <w:rPr>
          <w:i/>
        </w:rPr>
        <w:t>subiectum</w:t>
      </w:r>
      <w:r w:rsidR="08163013">
        <w:rPr>
          <w:i/>
        </w:rPr>
        <w:fldChar w:fldCharType="begin"/>
      </w:r>
      <w:r w:rsidR="08163013">
        <w:instrText xml:space="preserve"> XE "</w:instrText>
      </w:r>
      <w:r w:rsidR="08163013" w:rsidRPr="00360013">
        <w:rPr>
          <w:i/>
        </w:rPr>
        <w:instrText>subiectum:</w:instrText>
      </w:r>
      <w:r w:rsidR="08163013" w:rsidRPr="007F151C">
        <w:instrText>Scotus</w:instrText>
      </w:r>
      <w:r w:rsidR="08163013">
        <w:instrText xml:space="preserve">" </w:instrText>
      </w:r>
      <w:r w:rsidR="08163013">
        <w:rPr>
          <w:i/>
        </w:rPr>
        <w:fldChar w:fldCharType="end"/>
      </w:r>
      <w:r w:rsidR="08163013">
        <w:t xml:space="preserve">) věčně vyměřenou porci Avicennovy čisté jsoucnosti. Tato atomární substance tvoří základ metafyziky, jak to údajně chce Aristoteles a Averroes. </w:t>
      </w:r>
      <w:r w:rsidR="08163013" w:rsidRPr="00273106">
        <w:t xml:space="preserve">Všechna ostatní akcidentální určení jsoucna nutně zůstala v modu </w:t>
      </w:r>
      <w:r w:rsidR="08163013" w:rsidRPr="00273106">
        <w:rPr>
          <w:i/>
        </w:rPr>
        <w:t>per posterius</w:t>
      </w:r>
      <w:r w:rsidR="08163013" w:rsidRPr="00273106">
        <w:t xml:space="preserve">, včetně intencionálně daného jsoucna existujícího buď v boží, nebo v lidské mysli. Nová forma kategorií degradovala všechny ostatní formy </w:t>
      </w:r>
      <w:r w:rsidR="08163013" w:rsidRPr="00273106">
        <w:rPr>
          <w:i/>
        </w:rPr>
        <w:t>tertium ens</w:t>
      </w:r>
      <w:r w:rsidR="08163013">
        <w:rPr>
          <w:i/>
        </w:rPr>
        <w:fldChar w:fldCharType="begin"/>
      </w:r>
      <w:r w:rsidR="08163013">
        <w:instrText xml:space="preserve"> XE "</w:instrText>
      </w:r>
      <w:r w:rsidR="08163013" w:rsidRPr="002F10B4">
        <w:rPr>
          <w:rStyle w:val="Zvraznn"/>
        </w:rPr>
        <w:instrText>tertium ens</w:instrText>
      </w:r>
      <w:r w:rsidR="08163013">
        <w:rPr>
          <w:rStyle w:val="Zvraznn"/>
          <w:i w:val="0"/>
        </w:rPr>
        <w:instrText>:kritika Scota</w:instrText>
      </w:r>
      <w:r w:rsidR="08163013">
        <w:instrText xml:space="preserve">" </w:instrText>
      </w:r>
      <w:r w:rsidR="08163013">
        <w:rPr>
          <w:i/>
        </w:rPr>
        <w:fldChar w:fldCharType="end"/>
      </w:r>
      <w:r w:rsidR="08163013">
        <w:t xml:space="preserve"> </w:t>
      </w:r>
      <w:r w:rsidR="08163013" w:rsidRPr="00273106">
        <w:t xml:space="preserve">zděděné v rámci druhého averroismu na pouhé intencionální abstrakce. </w:t>
      </w:r>
      <w:r w:rsidR="08163013">
        <w:t>V rámci nové predikace dostaly porretánské hypostáze, transcendentália, amfibolia atd. status pouhé abstrakce</w:t>
      </w:r>
      <w:r w:rsidR="00D84524">
        <w:t xml:space="preserve">. Scotus plně souhlasil s tomismem, že tento dané koncepty jsou </w:t>
      </w:r>
      <w:r w:rsidR="08163013">
        <w:t xml:space="preserve">pouze v mysli poznávajícího. Ale scotismus na rozdíl od tomismu je schopen přímo nazírat metafyzický a esenciální modus bytí v Avicennově čisté jsoucnosti </w:t>
      </w:r>
      <w:r w:rsidR="08163013" w:rsidRPr="08B1365B">
        <w:rPr>
          <w:i/>
        </w:rPr>
        <w:t>ens inqua</w:t>
      </w:r>
      <w:r w:rsidR="08163013">
        <w:rPr>
          <w:i/>
        </w:rPr>
        <w:t>n</w:t>
      </w:r>
      <w:r w:rsidR="08163013" w:rsidRPr="08B1365B">
        <w:rPr>
          <w:i/>
        </w:rPr>
        <w:t>tum ens</w:t>
      </w:r>
      <w:r w:rsidR="08163013">
        <w:rPr>
          <w:i/>
        </w:rPr>
        <w:fldChar w:fldCharType="begin"/>
      </w:r>
      <w:r w:rsidR="08163013">
        <w:instrText xml:space="preserve"> XE "</w:instrText>
      </w:r>
      <w:r w:rsidR="08163013" w:rsidRPr="08F32631">
        <w:rPr>
          <w:i/>
        </w:rPr>
        <w:instrText>ens inqua</w:instrText>
      </w:r>
      <w:r w:rsidR="08163013">
        <w:rPr>
          <w:i/>
        </w:rPr>
        <w:instrText>n</w:instrText>
      </w:r>
      <w:r w:rsidR="08163013" w:rsidRPr="08F32631">
        <w:rPr>
          <w:i/>
        </w:rPr>
        <w:instrText>tum ens</w:instrText>
      </w:r>
      <w:r w:rsidR="08163013">
        <w:instrText xml:space="preserve">" </w:instrText>
      </w:r>
      <w:r w:rsidR="08163013">
        <w:rPr>
          <w:i/>
        </w:rPr>
        <w:fldChar w:fldCharType="end"/>
      </w:r>
      <w:r w:rsidR="08163013">
        <w:t xml:space="preserve">. Scotus přijal moderní tomismus, který obsahoval jádro Avicennovy metafyziky především v otázce poznání. Nasvícení smyslu jsoucna běží od hypostázovaného intelektu a manifestace esence může být v naší mysli i přímá. Modernisté druhé vlny už mohli zcela konsekventně hájit poznání v modu eidetického náhledu pro objektivně pojatý intelekt jako hypostázovanou tomistickou formu. Scotus zavedl do scholastiky přímé nazírání objektivního jsoucna v modu metafyzické spekulace. Tím skončilo první období modernistů v převleku </w:t>
      </w:r>
      <w:r w:rsidR="08163013" w:rsidRPr="08342837">
        <w:rPr>
          <w:i/>
        </w:rPr>
        <w:t>sophistae Latini</w:t>
      </w:r>
      <w:r w:rsidR="08163013">
        <w:t>, jejichž metafyzika stála na myto</w:t>
      </w:r>
      <w:r w:rsidR="006C3E28">
        <w:t xml:space="preserve">logické </w:t>
      </w:r>
      <w:r w:rsidR="08163013">
        <w:t xml:space="preserve">sbírce hypostází. Porretáni typu Rufuse udělali z tohoto </w:t>
      </w:r>
      <w:r w:rsidR="00F446C8">
        <w:t xml:space="preserve">filosofického zmatku </w:t>
      </w:r>
      <w:r w:rsidR="08163013">
        <w:t>analytickou filosofii a vědu</w:t>
      </w:r>
      <w:r w:rsidR="00F446C8">
        <w:t>. P</w:t>
      </w:r>
      <w:r w:rsidR="08163013">
        <w:t xml:space="preserve">roduktivní pařížští ilumináti </w:t>
      </w:r>
      <w:r w:rsidR="00F446C8">
        <w:t xml:space="preserve">dali této „metafyzice“ </w:t>
      </w:r>
      <w:r w:rsidR="08163013">
        <w:t xml:space="preserve">mystický a biblický </w:t>
      </w:r>
      <w:r w:rsidR="00F446C8">
        <w:t>převlek</w:t>
      </w:r>
      <w:r w:rsidR="08163013">
        <w:t xml:space="preserve">. Znalci klasické metafyziky považovali podobné výmysly za šílené už na konci 12. století </w:t>
      </w:r>
      <w:r w:rsidR="08163013" w:rsidRPr="00273106">
        <w:t>(</w:t>
      </w:r>
      <w:r w:rsidR="08163013" w:rsidRPr="00273106">
        <w:rPr>
          <w:i/>
        </w:rPr>
        <w:t>hoc crediderit solus mentis alienus</w:t>
      </w:r>
      <w:r w:rsidR="08163013">
        <w:t>, kap. 3.6). Bonaventurova škola zajistila na Pař</w:t>
      </w:r>
      <w:r w:rsidR="000646B9">
        <w:t xml:space="preserve">ížské univerzitě </w:t>
      </w:r>
      <w:r w:rsidR="00A3052F">
        <w:t>novou formu kulturní hegemonie</w:t>
      </w:r>
      <w:r w:rsidR="00A3052F">
        <w:fldChar w:fldCharType="begin"/>
      </w:r>
      <w:r w:rsidR="00A3052F">
        <w:instrText xml:space="preserve"> XE "</w:instrText>
      </w:r>
      <w:r w:rsidR="00A3052F" w:rsidRPr="08D737C9">
        <w:instrText>kulturní hegemonie</w:instrText>
      </w:r>
      <w:r w:rsidR="00A3052F">
        <w:instrText xml:space="preserve">" </w:instrText>
      </w:r>
      <w:r w:rsidR="00A3052F">
        <w:fldChar w:fldCharType="end"/>
      </w:r>
      <w:r w:rsidR="00A3052F">
        <w:t xml:space="preserve"> moderny </w:t>
      </w:r>
      <w:r w:rsidR="000646B9">
        <w:t>okolo roku 1255</w:t>
      </w:r>
      <w:r w:rsidR="08163013">
        <w:t xml:space="preserve">. Tato první fáze skočila v myšlenkovém chaosu teorií </w:t>
      </w:r>
      <w:r w:rsidR="004B523C">
        <w:t xml:space="preserve">jednotného </w:t>
      </w:r>
      <w:r w:rsidR="08163013">
        <w:t>intelektu</w:t>
      </w:r>
      <w:r w:rsidR="00797FD9">
        <w:t xml:space="preserve"> pro všechny lidi</w:t>
      </w:r>
      <w:r w:rsidR="08163013">
        <w:t xml:space="preserve">, </w:t>
      </w:r>
      <w:r w:rsidR="00797FD9">
        <w:t xml:space="preserve">což </w:t>
      </w:r>
      <w:r w:rsidR="08163013">
        <w:t xml:space="preserve">v roce 1277 hlásali mnozí pařížští studenti </w:t>
      </w:r>
      <w:r w:rsidR="00806D09">
        <w:t xml:space="preserve">moderní </w:t>
      </w:r>
      <w:r w:rsidR="08163013">
        <w:t>filosofie (</w:t>
      </w:r>
      <w:r w:rsidR="08163013">
        <w:rPr>
          <w:i/>
          <w:iCs/>
        </w:rPr>
        <w:t>nonnulli parisius studentes in artibus</w:t>
      </w:r>
      <w:r w:rsidR="08163013">
        <w:rPr>
          <w:iCs/>
        </w:rPr>
        <w:t>)</w:t>
      </w:r>
      <w:r w:rsidR="08163013">
        <w:t xml:space="preserve">. Gandavus pomohl vyhnat z Rue du Fouarre aristotelské kritiky těchto sofistických nesmyslů a pod mocenskou ochranou biskupa Tempiera vytvořil první formu ontoteologické metafyziky. V další dekádě po roce 1300 </w:t>
      </w:r>
      <w:r w:rsidR="08163013" w:rsidRPr="00273106">
        <w:t xml:space="preserve">se objektivně naplnil osud </w:t>
      </w:r>
      <w:r w:rsidR="08163013" w:rsidRPr="00273106">
        <w:lastRenderedPageBreak/>
        <w:t>druhého averroismu</w:t>
      </w:r>
      <w:r w:rsidR="08163013" w:rsidRPr="001759AE">
        <w:t xml:space="preserve"> </w:t>
      </w:r>
      <w:r w:rsidR="08163013" w:rsidRPr="00273106">
        <w:t xml:space="preserve">v rámci </w:t>
      </w:r>
      <w:r w:rsidR="08163013">
        <w:t>Scotovy úpravy Avicennovy metafyziky</w:t>
      </w:r>
      <w:r w:rsidR="08163013" w:rsidRPr="00273106">
        <w:t xml:space="preserve">. </w:t>
      </w:r>
      <w:r w:rsidR="08163013">
        <w:t xml:space="preserve">Sofistikovaný aristotelismus nové metafyziky se obešel bez první substance, kterou nahradila univerzální esence. Kategoriální určení druhé substance nutné pro existenciální výroky založené na kauzálně daném </w:t>
      </w:r>
      <w:r w:rsidR="08163013" w:rsidRPr="007B01DD">
        <w:rPr>
          <w:i/>
        </w:rPr>
        <w:t>demonstratio</w:t>
      </w:r>
      <w:r w:rsidR="08163013">
        <w:rPr>
          <w:i/>
        </w:rPr>
        <w:fldChar w:fldCharType="begin"/>
      </w:r>
      <w:r w:rsidR="08163013">
        <w:instrText xml:space="preserve"> XE "</w:instrText>
      </w:r>
      <w:r w:rsidR="08163013" w:rsidRPr="004E6075">
        <w:rPr>
          <w:i/>
        </w:rPr>
        <w:instrText>demonstratio:</w:instrText>
      </w:r>
      <w:r w:rsidR="08163013">
        <w:instrText xml:space="preserve">Aristoteles" </w:instrText>
      </w:r>
      <w:r w:rsidR="08163013">
        <w:rPr>
          <w:i/>
        </w:rPr>
        <w:fldChar w:fldCharType="end"/>
      </w:r>
      <w:r w:rsidR="08163013">
        <w:t xml:space="preserve"> přestalo existovat jako zakládající metafyzický výměr vědy</w:t>
      </w:r>
      <w:r w:rsidR="00D41B01">
        <w:t>. Z</w:t>
      </w:r>
      <w:r w:rsidR="08163013">
        <w:t>anikla hyparchická vazba metafyzické predikace na první substanci.</w:t>
      </w:r>
      <w:r w:rsidR="08163013" w:rsidRPr="00AD6B30">
        <w:t xml:space="preserve"> </w:t>
      </w:r>
      <w:r w:rsidR="08163013">
        <w:t xml:space="preserve">Metafyzický </w:t>
      </w:r>
      <w:r w:rsidR="08163013" w:rsidRPr="00273106">
        <w:t xml:space="preserve">význam první substance </w:t>
      </w:r>
      <w:r w:rsidR="08163013">
        <w:t xml:space="preserve">daný stupňovitou formou aristotelské abstrakce od fyziky přes logiku až do metafyziky </w:t>
      </w:r>
      <w:r w:rsidR="08163013" w:rsidRPr="00273106">
        <w:t xml:space="preserve">přešel </w:t>
      </w:r>
      <w:r w:rsidR="00266FC4" w:rsidRPr="00273106">
        <w:t xml:space="preserve">do </w:t>
      </w:r>
      <w:r w:rsidR="0094479A">
        <w:t>říše Zapomění</w:t>
      </w:r>
      <w:r w:rsidR="00266FC4">
        <w:t xml:space="preserve">. </w:t>
      </w:r>
      <w:r w:rsidR="08163013">
        <w:t>Scotus změnil primitivní sofistiku učených Latiníků na sofistikovaný aristotelismus. Kategoriální predikaci bytí jsoucna od reálné první substance nahradila dedukce od univerzálně možné substance</w:t>
      </w:r>
      <w:r w:rsidR="00BA5C8D">
        <w:t>. V</w:t>
      </w:r>
      <w:r w:rsidR="08163013">
        <w:t xml:space="preserve">ědění možného jsoucna stojí výše než </w:t>
      </w:r>
      <w:r w:rsidR="00BA5C8D">
        <w:t>reálný svět</w:t>
      </w:r>
      <w:r w:rsidR="08163013">
        <w:t xml:space="preserve">. Z hlediska prvního averroismu jde o paranoický pohled na realitu, protože myšlení začíná metafyzickou dedukci od vlastních představ místo poznání reality. Poznávající mysl u první substance končí, místo aby u ní poznání začínala. Za kritiku této moderní paranoie byl celoživotně pronásledován oxfordský aristotelik Bacon a po něm Ockham. V nové podobě zatmění první substance také odešel do </w:t>
      </w:r>
      <w:r w:rsidR="00594E30" w:rsidRPr="00594E30">
        <w:t>Léthé</w:t>
      </w:r>
      <w:r w:rsidR="005B76D4">
        <w:t xml:space="preserve"> </w:t>
      </w:r>
      <w:r w:rsidR="08163013" w:rsidRPr="00273106">
        <w:t xml:space="preserve">i první averroismus </w:t>
      </w:r>
      <w:r w:rsidR="008D1EA9">
        <w:t xml:space="preserve">a </w:t>
      </w:r>
      <w:r w:rsidR="00E9189F">
        <w:t xml:space="preserve">s </w:t>
      </w:r>
      <w:r w:rsidR="008D1EA9">
        <w:t xml:space="preserve">ním i </w:t>
      </w:r>
      <w:r w:rsidR="08163013" w:rsidRPr="00273106">
        <w:t>adekvační teori</w:t>
      </w:r>
      <w:r w:rsidR="008D1EA9">
        <w:t>e</w:t>
      </w:r>
      <w:r w:rsidR="08163013" w:rsidRPr="00273106">
        <w:t xml:space="preserve"> pravdy</w:t>
      </w:r>
      <w:r w:rsidR="08163013" w:rsidRPr="085B069D">
        <w:t xml:space="preserve"> </w:t>
      </w:r>
      <w:r w:rsidR="08163013" w:rsidRPr="00273106">
        <w:t xml:space="preserve">jako </w:t>
      </w:r>
      <w:r w:rsidR="08163013">
        <w:t>Averroes</w:t>
      </w:r>
      <w:r w:rsidR="08163013" w:rsidRPr="00273106">
        <w:t xml:space="preserve">ovo </w:t>
      </w:r>
      <w:r w:rsidR="08163013" w:rsidRPr="00273106">
        <w:rPr>
          <w:i/>
        </w:rPr>
        <w:t>proportio</w:t>
      </w:r>
      <w:r w:rsidR="08163013" w:rsidRPr="00273106">
        <w:t xml:space="preserve"> a </w:t>
      </w:r>
      <w:r w:rsidR="08163013">
        <w:rPr>
          <w:i/>
        </w:rPr>
        <w:t>adaequatio</w:t>
      </w:r>
      <w:r w:rsidR="08163013">
        <w:rPr>
          <w:i/>
        </w:rPr>
        <w:fldChar w:fldCharType="begin"/>
      </w:r>
      <w:r w:rsidR="08163013">
        <w:instrText xml:space="preserve"> XE "</w:instrText>
      </w:r>
      <w:r w:rsidR="08163013">
        <w:rPr>
          <w:i/>
        </w:rPr>
        <w:instrText>adaequatio</w:instrText>
      </w:r>
      <w:r w:rsidR="08163013" w:rsidRPr="00BD02BA">
        <w:rPr>
          <w:i/>
        </w:rPr>
        <w:instrText>:</w:instrText>
      </w:r>
      <w:r w:rsidR="08163013">
        <w:instrText xml:space="preserve">Averroes" </w:instrText>
      </w:r>
      <w:r w:rsidR="08163013">
        <w:rPr>
          <w:i/>
        </w:rPr>
        <w:fldChar w:fldCharType="end"/>
      </w:r>
      <w:r w:rsidR="08163013" w:rsidRPr="00273106">
        <w:t>.</w:t>
      </w:r>
    </w:p>
    <w:p w:rsidR="08163013" w:rsidRPr="00810F19" w:rsidRDefault="00A857A6" w:rsidP="08163013">
      <w:pPr>
        <w:pStyle w:val="Nadpis3"/>
      </w:pPr>
      <w:bookmarkStart w:id="91" w:name="_Toc36144165"/>
      <w:r>
        <w:br w:type="page"/>
      </w:r>
      <w:bookmarkStart w:id="92" w:name="_Toc180231677"/>
      <w:r w:rsidR="08163013">
        <w:lastRenderedPageBreak/>
        <w:t>5</w:t>
      </w:r>
      <w:r w:rsidR="08163013" w:rsidRPr="00810F19">
        <w:t>.3.2 Metafyzická dedukce objektivity</w:t>
      </w:r>
      <w:bookmarkEnd w:id="91"/>
      <w:bookmarkEnd w:id="92"/>
      <w:r w:rsidR="08163013" w:rsidRPr="00810F19">
        <w:t xml:space="preserve"> </w:t>
      </w:r>
    </w:p>
    <w:p w:rsidR="004D7E5F" w:rsidRDefault="08163013" w:rsidP="08163013">
      <w:pPr>
        <w:rPr>
          <w:lang w:eastAsia="en-US"/>
        </w:rPr>
      </w:pPr>
      <w:r w:rsidRPr="00273106">
        <w:t xml:space="preserve">Předešlá kapitola </w:t>
      </w:r>
      <w:r w:rsidR="001B13CE">
        <w:t xml:space="preserve">analyzovala </w:t>
      </w:r>
      <w:r w:rsidRPr="00273106">
        <w:t xml:space="preserve">impozici smyslu jsoucna </w:t>
      </w:r>
      <w:r>
        <w:t xml:space="preserve">od nově utvořené substance třetího druhu, kterou vytvořil Scotův </w:t>
      </w:r>
      <w:r w:rsidRPr="00273106">
        <w:t>ran</w:t>
      </w:r>
      <w:r>
        <w:t>ý</w:t>
      </w:r>
      <w:r w:rsidRPr="00273106">
        <w:t xml:space="preserve"> komentář ke </w:t>
      </w:r>
      <w:r w:rsidRPr="08901BAD">
        <w:rPr>
          <w:i/>
        </w:rPr>
        <w:t>Kategoriím</w:t>
      </w:r>
      <w:r>
        <w:rPr>
          <w:i/>
        </w:rPr>
        <w:t xml:space="preserve"> </w:t>
      </w:r>
      <w:r w:rsidRPr="086A093A">
        <w:t>a k</w:t>
      </w:r>
      <w:r>
        <w:rPr>
          <w:i/>
        </w:rPr>
        <w:t xml:space="preserve"> Isagoge</w:t>
      </w:r>
      <w:r w:rsidRPr="00273106">
        <w:t xml:space="preserve">. </w:t>
      </w:r>
      <w:r w:rsidR="00BF55FE">
        <w:t xml:space="preserve">Scotus </w:t>
      </w:r>
      <w:r>
        <w:t xml:space="preserve">našel nové místo </w:t>
      </w:r>
      <w:r w:rsidRPr="00273106">
        <w:t xml:space="preserve">produkce smyslu jsoucího </w:t>
      </w:r>
      <w:r>
        <w:t>dané m</w:t>
      </w:r>
      <w:r w:rsidRPr="00273106">
        <w:t>imo aristotelskou impozici smyslu od první substance</w:t>
      </w:r>
      <w:r>
        <w:t>. Oxfordská škola latinských sofistů dostala na konci 13. století skutečného mistra, který novým způsobem navázal na aristotelismus Grossetesteho a na avicenni</w:t>
      </w:r>
      <w:r w:rsidR="002055D0">
        <w:t>stický tomismus Aegidia daný v Oxfordském manuskriptu (kap. 4</w:t>
      </w:r>
      <w:r>
        <w:t xml:space="preserve">.3.2). Vřazení avicennovské supozice </w:t>
      </w:r>
      <w:r w:rsidRPr="00651AB5">
        <w:rPr>
          <w:i/>
        </w:rPr>
        <w:t>ens inquantum ens</w:t>
      </w:r>
      <w:r>
        <w:rPr>
          <w:i/>
        </w:rPr>
        <w:fldChar w:fldCharType="begin"/>
      </w:r>
      <w:r>
        <w:instrText xml:space="preserve"> XE "supozice:</w:instrText>
      </w:r>
      <w:r w:rsidRPr="005424E2">
        <w:rPr>
          <w:i/>
        </w:rPr>
        <w:instrText>ens inquantum ens</w:instrText>
      </w:r>
      <w:r>
        <w:instrText xml:space="preserve">" </w:instrText>
      </w:r>
      <w:r>
        <w:rPr>
          <w:i/>
        </w:rPr>
        <w:fldChar w:fldCharType="end"/>
      </w:r>
      <w:r>
        <w:t xml:space="preserve"> do schématu aristotelské metafyziky způsobilo, že tento výklad nebyl </w:t>
      </w:r>
      <w:r w:rsidRPr="00273106">
        <w:t xml:space="preserve">poplatný </w:t>
      </w:r>
      <w:r>
        <w:t xml:space="preserve">žádné </w:t>
      </w:r>
      <w:r w:rsidRPr="00273106">
        <w:t>škole druhého averroismu</w:t>
      </w:r>
      <w:r>
        <w:t xml:space="preserve"> ani první vlně tomismu</w:t>
      </w:r>
      <w:r w:rsidRPr="00273106">
        <w:t xml:space="preserve">. </w:t>
      </w:r>
      <w:r>
        <w:t xml:space="preserve">Scotus na straně oxfordských modernistů opakuje cestu avicennisty Akvinského. Jeho první pobyt v Paříži vytvořil </w:t>
      </w:r>
      <w:r w:rsidR="002055D0">
        <w:t>novou metafyziku</w:t>
      </w:r>
      <w:r>
        <w:t xml:space="preserve"> spojením Averroese a Avicenny (kap.</w:t>
      </w:r>
      <w:r w:rsidR="002055D0">
        <w:t xml:space="preserve"> 4</w:t>
      </w:r>
      <w:r>
        <w:t>.5.1). Scotus odmítl po vzoru Akvinského h</w:t>
      </w:r>
      <w:r>
        <w:rPr>
          <w:lang w:eastAsia="en-US"/>
        </w:rPr>
        <w:t xml:space="preserve">ypostázovaní čisté esence na způsob neoplatonismu, protože Avicenna by přestal být aristotelikem a stal by se neoplatonikem. První forma </w:t>
      </w:r>
      <w:r>
        <w:t xml:space="preserve">dedukce kategorií </w:t>
      </w:r>
      <w:r w:rsidRPr="00273106">
        <w:t>zajistila minimální dávku jso</w:t>
      </w:r>
      <w:r>
        <w:t xml:space="preserve">ucnosti danou podle Avicennova </w:t>
      </w:r>
      <w:r w:rsidR="00EF5ADA">
        <w:t>„</w:t>
      </w:r>
      <w:r w:rsidRPr="00273106">
        <w:rPr>
          <w:i/>
        </w:rPr>
        <w:t>hoc esse tantum</w:t>
      </w:r>
      <w:r w:rsidR="00EF5ADA">
        <w:t>“</w:t>
      </w:r>
      <w:r>
        <w:rPr>
          <w:i/>
        </w:rPr>
        <w:fldChar w:fldCharType="begin"/>
      </w:r>
      <w:r>
        <w:instrText xml:space="preserve"> XE "</w:instrText>
      </w:r>
      <w:r w:rsidRPr="00C3691E">
        <w:rPr>
          <w:i/>
        </w:rPr>
        <w:instrText>tantum esse</w:instrText>
      </w:r>
      <w:r>
        <w:instrText xml:space="preserve">" </w:instrText>
      </w:r>
      <w:r>
        <w:rPr>
          <w:i/>
        </w:rPr>
        <w:fldChar w:fldCharType="end"/>
      </w:r>
      <w:r w:rsidR="00EF5ADA">
        <w:t xml:space="preserve">. Takto určená substance </w:t>
      </w:r>
      <w:r>
        <w:t xml:space="preserve">umožnila </w:t>
      </w:r>
      <w:r w:rsidRPr="00273106">
        <w:t xml:space="preserve">predikovat jednotu jsoucna podle </w:t>
      </w:r>
      <w:r>
        <w:t>formálně pojatého a</w:t>
      </w:r>
      <w:r w:rsidRPr="00273106">
        <w:t>ristotel</w:t>
      </w:r>
      <w:r>
        <w:t>ismu</w:t>
      </w:r>
      <w:r w:rsidRPr="00273106">
        <w:t>.</w:t>
      </w:r>
      <w:r>
        <w:t xml:space="preserve"> </w:t>
      </w:r>
      <w:r>
        <w:rPr>
          <w:lang w:eastAsia="en-US"/>
        </w:rPr>
        <w:t xml:space="preserve">Scotovým </w:t>
      </w:r>
      <w:r w:rsidR="008C288C">
        <w:rPr>
          <w:lang w:eastAsia="en-US"/>
        </w:rPr>
        <w:t xml:space="preserve">odchodem </w:t>
      </w:r>
      <w:r>
        <w:rPr>
          <w:lang w:eastAsia="en-US"/>
        </w:rPr>
        <w:t xml:space="preserve">na studia do Paříže </w:t>
      </w:r>
      <w:r w:rsidR="00560786">
        <w:rPr>
          <w:lang w:eastAsia="en-US"/>
        </w:rPr>
        <w:t xml:space="preserve">vznikl </w:t>
      </w:r>
      <w:r>
        <w:rPr>
          <w:lang w:eastAsia="en-US"/>
        </w:rPr>
        <w:t xml:space="preserve">poslední </w:t>
      </w:r>
      <w:r w:rsidR="00560786">
        <w:rPr>
          <w:lang w:eastAsia="en-US"/>
        </w:rPr>
        <w:t xml:space="preserve">krok nutný </w:t>
      </w:r>
      <w:r>
        <w:rPr>
          <w:lang w:eastAsia="en-US"/>
        </w:rPr>
        <w:t>ke vzniku objektivity</w:t>
      </w:r>
      <w:r w:rsidR="00560786">
        <w:rPr>
          <w:lang w:eastAsia="en-US"/>
        </w:rPr>
        <w:t>. O</w:t>
      </w:r>
      <w:r>
        <w:rPr>
          <w:lang w:eastAsia="en-US"/>
        </w:rPr>
        <w:t xml:space="preserve">kolo roku 1300 se spojily </w:t>
      </w:r>
      <w:r w:rsidR="00560786">
        <w:rPr>
          <w:lang w:eastAsia="en-US"/>
        </w:rPr>
        <w:t xml:space="preserve">různé </w:t>
      </w:r>
      <w:r>
        <w:rPr>
          <w:lang w:eastAsia="en-US"/>
        </w:rPr>
        <w:t xml:space="preserve">proudy moderny do nové formy aristotelismu, který překonal bývalý </w:t>
      </w:r>
      <w:r w:rsidR="008C288C">
        <w:rPr>
          <w:lang w:eastAsia="en-US"/>
        </w:rPr>
        <w:t xml:space="preserve">neoplatonismus škol </w:t>
      </w:r>
      <w:r w:rsidRPr="08E84EEC">
        <w:rPr>
          <w:i/>
          <w:lang w:eastAsia="en-US"/>
        </w:rPr>
        <w:t>Nominales</w:t>
      </w:r>
      <w:r>
        <w:rPr>
          <w:lang w:eastAsia="en-US"/>
        </w:rPr>
        <w:t xml:space="preserve"> a porretánů</w:t>
      </w:r>
      <w:r w:rsidR="008C288C">
        <w:rPr>
          <w:lang w:eastAsia="en-US"/>
        </w:rPr>
        <w:t xml:space="preserve">. Spojení tomistické a scotistické metafyziky bylo založeno na společně sdílené formě </w:t>
      </w:r>
      <w:r w:rsidR="008C288C" w:rsidRPr="08F07AD4">
        <w:rPr>
          <w:i/>
          <w:lang w:eastAsia="en-US"/>
        </w:rPr>
        <w:t>Oxfordian Fallacy</w:t>
      </w:r>
      <w:r w:rsidR="008C288C">
        <w:rPr>
          <w:lang w:eastAsia="en-US"/>
        </w:rPr>
        <w:t xml:space="preserve"> vytvořené podle Avicennovy metafyziky. Tuto původní </w:t>
      </w:r>
      <w:r>
        <w:rPr>
          <w:lang w:eastAsia="en-US"/>
        </w:rPr>
        <w:t>jednotu tomismu a scotismu naposledy viděl Suárez</w:t>
      </w:r>
      <w:r>
        <w:rPr>
          <w:lang w:eastAsia="en-US"/>
        </w:rPr>
        <w:fldChar w:fldCharType="begin"/>
      </w:r>
      <w:r>
        <w:instrText xml:space="preserve"> XE "</w:instrText>
      </w:r>
      <w:r w:rsidRPr="08BE5D58">
        <w:rPr>
          <w:lang w:eastAsia="en-US"/>
        </w:rPr>
        <w:instrText>Suárez, F.</w:instrText>
      </w:r>
      <w:r>
        <w:instrText xml:space="preserve">" </w:instrText>
      </w:r>
      <w:r>
        <w:rPr>
          <w:lang w:eastAsia="en-US"/>
        </w:rPr>
        <w:fldChar w:fldCharType="end"/>
      </w:r>
      <w:r>
        <w:rPr>
          <w:lang w:eastAsia="en-US"/>
        </w:rPr>
        <w:t xml:space="preserve">, protože byl poslední integrální znalec scholastické metafyziky na latinském Západě. Jeho </w:t>
      </w:r>
      <w:r w:rsidR="00811016">
        <w:rPr>
          <w:lang w:eastAsia="en-US"/>
        </w:rPr>
        <w:t xml:space="preserve">první </w:t>
      </w:r>
      <w:r>
        <w:rPr>
          <w:lang w:eastAsia="en-US"/>
        </w:rPr>
        <w:t xml:space="preserve">postmoderní syntéza spojila obě metafyziky do jedné univoční </w:t>
      </w:r>
      <w:r w:rsidRPr="08F07AD4">
        <w:rPr>
          <w:i/>
          <w:lang w:eastAsia="en-US"/>
        </w:rPr>
        <w:t>metaphysica generalis</w:t>
      </w:r>
      <w:r>
        <w:rPr>
          <w:i/>
          <w:lang w:eastAsia="en-US"/>
        </w:rPr>
        <w:fldChar w:fldCharType="begin"/>
      </w:r>
      <w:r>
        <w:instrText xml:space="preserve"> XE "</w:instrText>
      </w:r>
      <w:r w:rsidRPr="08AE2C7D">
        <w:rPr>
          <w:i/>
          <w:lang w:eastAsia="en-US"/>
        </w:rPr>
        <w:instrText>metaphysica generalis</w:instrText>
      </w:r>
      <w:r>
        <w:instrText xml:space="preserve">" </w:instrText>
      </w:r>
      <w:r>
        <w:rPr>
          <w:i/>
          <w:lang w:eastAsia="en-US"/>
        </w:rPr>
        <w:fldChar w:fldCharType="end"/>
      </w:r>
      <w:r>
        <w:rPr>
          <w:lang w:eastAsia="en-US"/>
        </w:rPr>
        <w:t>, která odmítla stará a již zcela nemoderní určení jsoucna třetího druhu (</w:t>
      </w:r>
      <w:r w:rsidRPr="08A34954">
        <w:rPr>
          <w:i/>
          <w:szCs w:val="28"/>
        </w:rPr>
        <w:t xml:space="preserve">haec conclusio est peripatetica, quam proinde recipiunt unanimiter </w:t>
      </w:r>
      <w:r>
        <w:rPr>
          <w:i/>
          <w:szCs w:val="28"/>
        </w:rPr>
        <w:t>T</w:t>
      </w:r>
      <w:r w:rsidRPr="08A34954">
        <w:rPr>
          <w:i/>
          <w:szCs w:val="28"/>
        </w:rPr>
        <w:t>homistae, et Scotistae contra Nominales</w:t>
      </w:r>
      <w:r>
        <w:rPr>
          <w:lang w:eastAsia="en-US"/>
        </w:rPr>
        <w:t>).</w:t>
      </w:r>
      <w:r>
        <w:rPr>
          <w:rStyle w:val="Znakapoznpodarou"/>
          <w:lang w:eastAsia="en-US"/>
        </w:rPr>
        <w:footnoteReference w:id="428"/>
      </w:r>
      <w:r>
        <w:rPr>
          <w:lang w:eastAsia="en-US"/>
        </w:rPr>
        <w:t xml:space="preserve"> </w:t>
      </w:r>
      <w:r w:rsidR="003303AA">
        <w:rPr>
          <w:lang w:eastAsia="en-US"/>
        </w:rPr>
        <w:t>P</w:t>
      </w:r>
      <w:r>
        <w:rPr>
          <w:lang w:eastAsia="en-US"/>
        </w:rPr>
        <w:t xml:space="preserve">ostmoderna založená Suarezem objektivně „vidí“ stejně </w:t>
      </w:r>
      <w:r>
        <w:rPr>
          <w:lang w:eastAsia="en-US"/>
        </w:rPr>
        <w:lastRenderedPageBreak/>
        <w:t xml:space="preserve">jako Scotus </w:t>
      </w:r>
      <w:r w:rsidR="003303AA">
        <w:rPr>
          <w:lang w:eastAsia="en-US"/>
        </w:rPr>
        <w:t xml:space="preserve">ontologickou amfibolní predikaci </w:t>
      </w:r>
      <w:r>
        <w:rPr>
          <w:lang w:eastAsia="en-US"/>
        </w:rPr>
        <w:t>přímo v reálu (</w:t>
      </w:r>
      <w:r w:rsidRPr="08120C26">
        <w:rPr>
          <w:i/>
          <w:szCs w:val="28"/>
        </w:rPr>
        <w:t>naturas reperiri ipsas experientia docet</w:t>
      </w:r>
      <w:r>
        <w:rPr>
          <w:lang w:eastAsia="en-US"/>
        </w:rPr>
        <w:t xml:space="preserve">). </w:t>
      </w:r>
      <w:r>
        <w:t xml:space="preserve">Scotus </w:t>
      </w:r>
      <w:r w:rsidR="00366649">
        <w:t>založil novou formu moderní metafyziky</w:t>
      </w:r>
      <w:r w:rsidR="00CB4DC8">
        <w:t xml:space="preserve">, jejíž dedukce stojí na </w:t>
      </w:r>
      <w:r w:rsidR="00366649">
        <w:t>moderní</w:t>
      </w:r>
      <w:r w:rsidR="00CB4DC8">
        <w:t>m</w:t>
      </w:r>
      <w:r w:rsidR="00366649">
        <w:t xml:space="preserve"> boh</w:t>
      </w:r>
      <w:r w:rsidR="00CB4DC8">
        <w:t>u</w:t>
      </w:r>
      <w:r>
        <w:t xml:space="preserve">. Spis </w:t>
      </w:r>
      <w:r w:rsidR="008C2D4A" w:rsidRPr="008C2D4A">
        <w:rPr>
          <w:i/>
        </w:rPr>
        <w:t>Lectura I</w:t>
      </w:r>
      <w:r w:rsidRPr="00273106">
        <w:t xml:space="preserve"> </w:t>
      </w:r>
      <w:r>
        <w:t xml:space="preserve">psaný asi ještě na Oxfordu </w:t>
      </w:r>
      <w:r w:rsidRPr="00273106">
        <w:t xml:space="preserve">rozvíjí základní metafyzický postřeh spisů </w:t>
      </w:r>
      <w:r w:rsidRPr="00273106">
        <w:rPr>
          <w:i/>
        </w:rPr>
        <w:t>Parva logicalia</w:t>
      </w:r>
      <w:r w:rsidR="003D10F9">
        <w:t xml:space="preserve"> psaných okolo roku 129. Spis </w:t>
      </w:r>
      <w:r w:rsidR="008C2D4A" w:rsidRPr="008C2D4A">
        <w:rPr>
          <w:i/>
        </w:rPr>
        <w:t>Lectura I</w:t>
      </w:r>
      <w:r w:rsidR="003D10F9" w:rsidRPr="00273106">
        <w:t xml:space="preserve"> </w:t>
      </w:r>
      <w:r>
        <w:t xml:space="preserve">nabízí první kompletní dedukci nově koncipovaného jsoucna vzhledem k bohu a k člověku. </w:t>
      </w:r>
      <w:r w:rsidRPr="00273106">
        <w:t xml:space="preserve">Dvojí náhled substance daný v poznání boha a člověka musí existovat v </w:t>
      </w:r>
      <w:r>
        <w:t>nějaké formě univoční predikace, protože jinak by nešlo vyvést jsoucno od boha do stvoření</w:t>
      </w:r>
      <w:r w:rsidRPr="00273106">
        <w:t>.</w:t>
      </w:r>
    </w:p>
    <w:p w:rsidR="00E24415" w:rsidRDefault="08163013" w:rsidP="004D7E5F">
      <w:pPr>
        <w:ind w:firstLine="397"/>
      </w:pPr>
      <w:r>
        <w:t>Scotus vytvořil novou dedukci, která zrušila antropocentrickou strukturu předešlé ontoteologie modernistů</w:t>
      </w:r>
      <w:r w:rsidR="00C57E3A">
        <w:t>. Vytvořil čistou metafyzik</w:t>
      </w:r>
      <w:r>
        <w:t xml:space="preserve">u založenou logicky a spekulativně. </w:t>
      </w:r>
      <w:r w:rsidRPr="00273106">
        <w:t xml:space="preserve">Simplikiova a Gandavova </w:t>
      </w:r>
      <w:r>
        <w:t xml:space="preserve">dedukce objektivního jsoucna typu </w:t>
      </w:r>
      <w:r w:rsidR="001B2CF0">
        <w:t>„</w:t>
      </w:r>
      <w:r w:rsidRPr="00273106">
        <w:rPr>
          <w:i/>
        </w:rPr>
        <w:t>esse ad</w:t>
      </w:r>
      <w:r w:rsidR="001B2CF0">
        <w:t>“</w:t>
      </w:r>
      <w:r>
        <w:rPr>
          <w:i/>
        </w:rPr>
        <w:fldChar w:fldCharType="begin"/>
      </w:r>
      <w:r>
        <w:instrText xml:space="preserve"> XE "</w:instrText>
      </w:r>
      <w:r w:rsidRPr="008F3381">
        <w:rPr>
          <w:i/>
        </w:rPr>
        <w:instrText xml:space="preserve">esse </w:instrText>
      </w:r>
      <w:proofErr w:type="gramStart"/>
      <w:r w:rsidRPr="008F3381">
        <w:rPr>
          <w:i/>
        </w:rPr>
        <w:instrText>ad</w:instrText>
      </w:r>
      <w:proofErr w:type="gramEnd"/>
      <w:r w:rsidRPr="008F3381">
        <w:rPr>
          <w:i/>
        </w:rPr>
        <w:instrText>:</w:instrText>
      </w:r>
      <w:r w:rsidRPr="00E221D3">
        <w:instrText>Scotus</w:instrText>
      </w:r>
      <w:r>
        <w:instrText xml:space="preserve">" </w:instrText>
      </w:r>
      <w:r>
        <w:rPr>
          <w:i/>
        </w:rPr>
        <w:fldChar w:fldCharType="end"/>
      </w:r>
      <w:r w:rsidRPr="00273106">
        <w:t xml:space="preserve"> přechází </w:t>
      </w:r>
      <w:r>
        <w:t xml:space="preserve">u Scota </w:t>
      </w:r>
      <w:r w:rsidRPr="00273106">
        <w:t xml:space="preserve">na </w:t>
      </w:r>
      <w:r>
        <w:t xml:space="preserve">subsistentní kategorii </w:t>
      </w:r>
      <w:r w:rsidR="001B2CF0">
        <w:t>„</w:t>
      </w:r>
      <w:r w:rsidRPr="00273106">
        <w:rPr>
          <w:i/>
        </w:rPr>
        <w:t>esse in</w:t>
      </w:r>
      <w:r w:rsidR="001B2CF0">
        <w:t xml:space="preserve">“. Ta je </w:t>
      </w:r>
      <w:r>
        <w:t>samostatnou substancí danou mimo oddělené boží bytí</w:t>
      </w:r>
      <w:r w:rsidRPr="00273106">
        <w:t xml:space="preserve">. </w:t>
      </w:r>
      <w:r>
        <w:t>Tato změna vytvořila jednotnou metafyziku a zrušila různorodé</w:t>
      </w:r>
      <w:r w:rsidRPr="00273106">
        <w:t xml:space="preserve"> systém</w:t>
      </w:r>
      <w:r>
        <w:t>y predikace a signifikace dané</w:t>
      </w:r>
      <w:r w:rsidRPr="00273106">
        <w:t xml:space="preserve"> </w:t>
      </w:r>
      <w:r w:rsidRPr="00273106">
        <w:rPr>
          <w:i/>
        </w:rPr>
        <w:t>ad hoc</w:t>
      </w:r>
      <w:r w:rsidRPr="00273106">
        <w:t xml:space="preserve"> v jednotlivých školách druhého averroismu. Scotus během </w:t>
      </w:r>
      <w:r>
        <w:t xml:space="preserve">pařížského pobytu </w:t>
      </w:r>
      <w:r w:rsidRPr="00273106">
        <w:t>provedl ucelenou syntézu</w:t>
      </w:r>
      <w:r>
        <w:t xml:space="preserve"> nové metafyziky</w:t>
      </w:r>
      <w:r w:rsidRPr="00273106">
        <w:t xml:space="preserve">, což </w:t>
      </w:r>
      <w:r>
        <w:t xml:space="preserve">začala, ale </w:t>
      </w:r>
      <w:r w:rsidRPr="00273106">
        <w:t xml:space="preserve">nedokončila oxfordská </w:t>
      </w:r>
      <w:r w:rsidR="008C2D4A" w:rsidRPr="008C2D4A">
        <w:rPr>
          <w:i/>
        </w:rPr>
        <w:t>Lectura I</w:t>
      </w:r>
      <w:r>
        <w:t xml:space="preserve">. Toto dílo ukazuje nový způsob objektivní metafyzické dedukce založené na univočním vyvedení objektivně pojatého jsoucna od boha k člověku. </w:t>
      </w:r>
      <w:r w:rsidR="00BA6138">
        <w:t>P</w:t>
      </w:r>
      <w:r w:rsidRPr="00273106">
        <w:t>rvní věda</w:t>
      </w:r>
      <w:r>
        <w:fldChar w:fldCharType="begin"/>
      </w:r>
      <w:r>
        <w:instrText xml:space="preserve"> XE "</w:instrText>
      </w:r>
      <w:r w:rsidRPr="0072342F">
        <w:instrText>metafyzika:</w:instrText>
      </w:r>
      <w:r>
        <w:instrText xml:space="preserve">Scotus" </w:instrText>
      </w:r>
      <w:r>
        <w:fldChar w:fldCharType="end"/>
      </w:r>
      <w:r w:rsidRPr="00273106">
        <w:t xml:space="preserve"> se oddělila od boží podstaty</w:t>
      </w:r>
      <w:r w:rsidR="0013226F">
        <w:t xml:space="preserve">. Metafyzika </w:t>
      </w:r>
      <w:r w:rsidRPr="00273106">
        <w:t>je plně dedukovaná z aktu přirozeného lidského poznání</w:t>
      </w:r>
      <w:r w:rsidR="002845EC">
        <w:t>,</w:t>
      </w:r>
      <w:r w:rsidRPr="00273106">
        <w:t xml:space="preserve"> a nikoliv z aktu nadpřirozené iluminace. Aby </w:t>
      </w:r>
      <w:r>
        <w:t xml:space="preserve">během dedukce </w:t>
      </w:r>
      <w:r w:rsidRPr="00273106">
        <w:t xml:space="preserve">nedošlo ke zdvojení jednoduché boží substance, musí být kategorie jsoucna definována </w:t>
      </w:r>
      <w:r>
        <w:t xml:space="preserve">v modu </w:t>
      </w:r>
      <w:r w:rsidRPr="00273106">
        <w:rPr>
          <w:i/>
        </w:rPr>
        <w:t>per prius</w:t>
      </w:r>
      <w:r w:rsidRPr="00273106">
        <w:t xml:space="preserve"> novým způsobem. Východisko k nové metafyzice odmítá aporie obou škol</w:t>
      </w:r>
      <w:r>
        <w:t>: analogii druhého averroismu a důkaz z kauzality ve škole Modistů</w:t>
      </w:r>
      <w:r>
        <w:fldChar w:fldCharType="begin"/>
      </w:r>
      <w:r>
        <w:instrText xml:space="preserve"> XE "první</w:instrText>
      </w:r>
      <w:r w:rsidRPr="00F80D10">
        <w:instrText xml:space="preserve"> averroismus:Modisté</w:instrText>
      </w:r>
      <w:r>
        <w:instrText xml:space="preserve">" </w:instrText>
      </w:r>
      <w:r>
        <w:fldChar w:fldCharType="end"/>
      </w:r>
      <w:r>
        <w:t xml:space="preserve"> prvního averroismu</w:t>
      </w:r>
      <w:r w:rsidRPr="00273106">
        <w:t xml:space="preserve">. </w:t>
      </w:r>
      <w:r>
        <w:t xml:space="preserve">Dílo </w:t>
      </w:r>
      <w:r w:rsidR="008C2D4A" w:rsidRPr="008C2D4A">
        <w:rPr>
          <w:i/>
        </w:rPr>
        <w:t>Lectura I</w:t>
      </w:r>
      <w:r w:rsidRPr="00273106">
        <w:t xml:space="preserve"> odmítá</w:t>
      </w:r>
      <w:r>
        <w:t xml:space="preserve"> obě cesty k bohu jako vědecky nedostatečné důkazy. </w:t>
      </w:r>
      <w:r w:rsidRPr="00273106">
        <w:t xml:space="preserve">Poznání boha nemůže jít ani přes atribuční analogii ani přes trojí </w:t>
      </w:r>
      <w:r>
        <w:t>neoplatonsk</w:t>
      </w:r>
      <w:r w:rsidRPr="00273106">
        <w:t>ou cestu afirmace, negace a eminence</w:t>
      </w:r>
      <w:r>
        <w:t>, protože tento důkaz stojí na nadpřirozené iluminaci intelektu</w:t>
      </w:r>
      <w:r w:rsidRPr="00273106">
        <w:t xml:space="preserve">. Řešení prvního averroismu přes kauzalitu na způsob </w:t>
      </w:r>
      <w:r>
        <w:t xml:space="preserve">Averroesova důkazu a </w:t>
      </w:r>
      <w:r w:rsidRPr="00273106">
        <w:t xml:space="preserve">Akvinského pěti cest k bohu je rovněž nedostatečné. Přirozené poznání </w:t>
      </w:r>
      <w:r>
        <w:t>kauzality je omezené smysly a b</w:t>
      </w:r>
      <w:r w:rsidRPr="00273106">
        <w:t xml:space="preserve">ůh je </w:t>
      </w:r>
      <w:r>
        <w:t xml:space="preserve">v prvním averroismu </w:t>
      </w:r>
      <w:r w:rsidRPr="00273106">
        <w:t>determinovaný pouze negativním způsobem</w:t>
      </w:r>
      <w:r>
        <w:t xml:space="preserve"> přes kauzalitu stvořených substancí</w:t>
      </w:r>
      <w:r w:rsidRPr="00273106">
        <w:t xml:space="preserve">. Odmítnutí </w:t>
      </w:r>
      <w:r>
        <w:t xml:space="preserve">mystické </w:t>
      </w:r>
      <w:r w:rsidRPr="00273106">
        <w:t xml:space="preserve">analogie </w:t>
      </w:r>
      <w:r>
        <w:t xml:space="preserve">dané iluminací </w:t>
      </w:r>
      <w:r w:rsidRPr="00273106">
        <w:t xml:space="preserve">a </w:t>
      </w:r>
      <w:r>
        <w:t xml:space="preserve">kauzální predikace první kauzy směrem od stvoření </w:t>
      </w:r>
      <w:r w:rsidRPr="00273106">
        <w:t xml:space="preserve">znamená, že je třeba hledat novou cestu k bohu. Klíčem k </w:t>
      </w:r>
      <w:r>
        <w:t xml:space="preserve">jistému </w:t>
      </w:r>
      <w:r w:rsidRPr="00273106">
        <w:t xml:space="preserve">poznání boha je pro Scota pouze univoční </w:t>
      </w:r>
      <w:r w:rsidRPr="00273106">
        <w:lastRenderedPageBreak/>
        <w:t>koncept boha a stvoření.</w:t>
      </w:r>
      <w:r>
        <w:t xml:space="preserve"> </w:t>
      </w:r>
      <w:r w:rsidRPr="00273106">
        <w:t xml:space="preserve">Zde na zemi poznáváme jsoucno a dobro s dostatečnou jistotou, </w:t>
      </w:r>
      <w:r w:rsidR="00E24415">
        <w:t>která má jistý základ v bohu.</w:t>
      </w:r>
    </w:p>
    <w:p w:rsidR="08163013" w:rsidRPr="00273106" w:rsidRDefault="08163013" w:rsidP="004D7E5F">
      <w:pPr>
        <w:ind w:firstLine="397"/>
      </w:pPr>
      <w:r>
        <w:t xml:space="preserve">Scotus </w:t>
      </w:r>
      <w:r w:rsidRPr="00273106">
        <w:t xml:space="preserve">podřídil </w:t>
      </w:r>
      <w:r>
        <w:t>t</w:t>
      </w:r>
      <w:r w:rsidRPr="00273106">
        <w:t>eologi</w:t>
      </w:r>
      <w:r>
        <w:t xml:space="preserve">i metafyzice a vytvořil první verzi </w:t>
      </w:r>
      <w:r w:rsidRPr="080D7B7F">
        <w:rPr>
          <w:i/>
        </w:rPr>
        <w:t>metaphysica generalis</w:t>
      </w:r>
      <w:r>
        <w:rPr>
          <w:i/>
        </w:rPr>
        <w:fldChar w:fldCharType="begin"/>
      </w:r>
      <w:r>
        <w:instrText xml:space="preserve"> XE "</w:instrText>
      </w:r>
      <w:r w:rsidRPr="08E672A7">
        <w:rPr>
          <w:i/>
        </w:rPr>
        <w:instrText>metaphysica generalis</w:instrText>
      </w:r>
      <w:r>
        <w:instrText xml:space="preserve">" </w:instrText>
      </w:r>
      <w:r>
        <w:rPr>
          <w:i/>
        </w:rPr>
        <w:fldChar w:fldCharType="end"/>
      </w:r>
      <w:r w:rsidRPr="00273106">
        <w:t>.</w:t>
      </w:r>
      <w:r>
        <w:t xml:space="preserve"> </w:t>
      </w:r>
      <w:r w:rsidRPr="00273106">
        <w:t xml:space="preserve">Přechod k nové metafyzice podává </w:t>
      </w:r>
      <w:r w:rsidR="008C2D4A" w:rsidRPr="008C2D4A">
        <w:rPr>
          <w:i/>
        </w:rPr>
        <w:t>Lectura I</w:t>
      </w:r>
      <w:r w:rsidRPr="00273106">
        <w:t xml:space="preserve"> </w:t>
      </w:r>
      <w:r>
        <w:t xml:space="preserve">v </w:t>
      </w:r>
      <w:r w:rsidRPr="00273106">
        <w:t>traktát</w:t>
      </w:r>
      <w:r>
        <w:t xml:space="preserve">u </w:t>
      </w:r>
      <w:r w:rsidRPr="00273106">
        <w:rPr>
          <w:i/>
        </w:rPr>
        <w:t>De cognoscibilitate Dei</w:t>
      </w:r>
      <w:r>
        <w:t xml:space="preserve"> psaném asi ještě na Oxfordu</w:t>
      </w:r>
      <w:r w:rsidRPr="00273106">
        <w:t xml:space="preserve">. </w:t>
      </w:r>
      <w:r>
        <w:t>Pozdější pařížský spis</w:t>
      </w:r>
      <w:r w:rsidRPr="00273106">
        <w:t xml:space="preserve"> </w:t>
      </w:r>
      <w:r w:rsidR="008C2D4A" w:rsidRPr="008C2D4A">
        <w:rPr>
          <w:i/>
        </w:rPr>
        <w:t>Ordinatio I</w:t>
      </w:r>
      <w:r>
        <w:t xml:space="preserve"> </w:t>
      </w:r>
      <w:proofErr w:type="gramStart"/>
      <w:r>
        <w:t xml:space="preserve">předkládá </w:t>
      </w:r>
      <w:r w:rsidRPr="00273106">
        <w:t xml:space="preserve"> </w:t>
      </w:r>
      <w:r>
        <w:t>v traktátech</w:t>
      </w:r>
      <w:proofErr w:type="gramEnd"/>
      <w:r>
        <w:t xml:space="preserve"> </w:t>
      </w:r>
      <w:r w:rsidRPr="00273106">
        <w:rPr>
          <w:i/>
        </w:rPr>
        <w:t>De vestigio</w:t>
      </w:r>
      <w:r>
        <w:t xml:space="preserve"> a </w:t>
      </w:r>
      <w:r w:rsidRPr="00273106">
        <w:rPr>
          <w:i/>
        </w:rPr>
        <w:t>De imagine</w:t>
      </w:r>
      <w:r w:rsidRPr="00273106">
        <w:t xml:space="preserve"> první ucelenou koncepci</w:t>
      </w:r>
      <w:r w:rsidRPr="000A1244">
        <w:t xml:space="preserve"> </w:t>
      </w:r>
      <w:r>
        <w:t xml:space="preserve">nové </w:t>
      </w:r>
      <w:r w:rsidRPr="00273106">
        <w:t>metafyziky.</w:t>
      </w:r>
      <w:r>
        <w:t xml:space="preserve"> </w:t>
      </w:r>
      <w:r w:rsidRPr="00273106">
        <w:t xml:space="preserve">Známá </w:t>
      </w:r>
      <w:r w:rsidRPr="00273106">
        <w:rPr>
          <w:i/>
        </w:rPr>
        <w:t>via Modernorum</w:t>
      </w:r>
      <w:r>
        <w:rPr>
          <w:i/>
        </w:rPr>
        <w:fldChar w:fldCharType="begin"/>
      </w:r>
      <w:r>
        <w:instrText xml:space="preserve"> XE "</w:instrText>
      </w:r>
      <w:r w:rsidRPr="00ED0748">
        <w:rPr>
          <w:i/>
        </w:rPr>
        <w:instrText>via Modernorum</w:instrText>
      </w:r>
      <w:r>
        <w:instrText xml:space="preserve">" </w:instrText>
      </w:r>
      <w:r>
        <w:rPr>
          <w:i/>
        </w:rPr>
        <w:fldChar w:fldCharType="end"/>
      </w:r>
      <w:r w:rsidRPr="00273106">
        <w:t xml:space="preserve"> </w:t>
      </w:r>
      <w:r>
        <w:t xml:space="preserve">historicky </w:t>
      </w:r>
      <w:r w:rsidRPr="00273106">
        <w:t xml:space="preserve">začíná </w:t>
      </w:r>
      <w:r>
        <w:t xml:space="preserve">ve spise </w:t>
      </w:r>
      <w:r w:rsidR="008C2D4A" w:rsidRPr="008C2D4A">
        <w:rPr>
          <w:i/>
        </w:rPr>
        <w:t>Lectura I</w:t>
      </w:r>
      <w:r w:rsidR="00163D27">
        <w:t xml:space="preserve">. Jisté </w:t>
      </w:r>
      <w:r w:rsidRPr="00273106">
        <w:t xml:space="preserve">poznání boha </w:t>
      </w:r>
      <w:r w:rsidR="00163D27">
        <w:t xml:space="preserve">jde </w:t>
      </w:r>
      <w:r>
        <w:t xml:space="preserve">mimo </w:t>
      </w:r>
      <w:r w:rsidRPr="00273106">
        <w:t>jeho myšlení a esenci</w:t>
      </w:r>
      <w:r w:rsidR="00163D27">
        <w:t xml:space="preserve">, </w:t>
      </w:r>
      <w:r>
        <w:t xml:space="preserve">skrze nepřímou manifestaci jeho racionality danou v metafyzickém řádu světa. Uspořádání vědy o substanci podané </w:t>
      </w:r>
      <w:r w:rsidRPr="08AA5E1C">
        <w:rPr>
          <w:i/>
        </w:rPr>
        <w:t>per prius</w:t>
      </w:r>
      <w:r>
        <w:t xml:space="preserve"> v axiomatické formě prvního principu poznání </w:t>
      </w:r>
      <w:r w:rsidRPr="00273106">
        <w:t>(</w:t>
      </w:r>
      <w:r w:rsidRPr="00273106">
        <w:rPr>
          <w:i/>
        </w:rPr>
        <w:t>ratio cognoscendi</w:t>
      </w:r>
      <w:r w:rsidRPr="00273106">
        <w:t xml:space="preserve">) </w:t>
      </w:r>
      <w:r>
        <w:t>funguje jako regule rozumového poznání samotného boha, který ve své podstatě nemůže být odlišný od své externě projevované racionality. J</w:t>
      </w:r>
      <w:r w:rsidRPr="00273106">
        <w:t>soucno poznáváme participací na exemplárním výměru daném v božím intelektu</w:t>
      </w:r>
      <w:r>
        <w:t>, ale ten nemůžeme poznat přímo v jeho výkonu</w:t>
      </w:r>
      <w:r w:rsidRPr="00273106">
        <w:t xml:space="preserve">. </w:t>
      </w:r>
      <w:r>
        <w:t>B</w:t>
      </w:r>
      <w:r w:rsidRPr="00273106">
        <w:t>ůh poznává sám sebe a své myšlení</w:t>
      </w:r>
      <w:r>
        <w:t xml:space="preserve">, ale tento neomezený modus božího bytí a intelektu je nám nepřístupný. Bytost stvořená k obrazu boha poznává neomezený modus božího bytí a intelektu </w:t>
      </w:r>
      <w:r w:rsidRPr="00273106">
        <w:t xml:space="preserve">skrze stopu </w:t>
      </w:r>
      <w:r>
        <w:t xml:space="preserve">boží racionality </w:t>
      </w:r>
      <w:r w:rsidRPr="00273106">
        <w:t>danou ve stvoření (</w:t>
      </w:r>
      <w:r w:rsidRPr="00273106">
        <w:rPr>
          <w:i/>
        </w:rPr>
        <w:t>vestigium</w:t>
      </w:r>
      <w:r>
        <w:rPr>
          <w:i/>
        </w:rPr>
        <w:fldChar w:fldCharType="begin"/>
      </w:r>
      <w:r>
        <w:instrText xml:space="preserve"> XE "</w:instrText>
      </w:r>
      <w:r w:rsidRPr="00757030">
        <w:rPr>
          <w:i/>
        </w:rPr>
        <w:instrText>vestigium</w:instrText>
      </w:r>
      <w:r>
        <w:instrText xml:space="preserve">" </w:instrText>
      </w:r>
      <w:r>
        <w:rPr>
          <w:i/>
        </w:rPr>
        <w:fldChar w:fldCharType="end"/>
      </w:r>
      <w:r>
        <w:t>). Tím je dán základní postup Scotovy dedukce dané skrze predikaci esenciálně pojaté kauzality. Bůh je pro přirozený rozum objekt</w:t>
      </w:r>
      <w:r w:rsidR="00C80A6E">
        <w:t>ivně inkarnovaný do racionálně daného řádu světa, který reprezentuje</w:t>
      </w:r>
      <w:r>
        <w:t xml:space="preserve"> stru</w:t>
      </w:r>
      <w:r w:rsidR="00C80A6E">
        <w:t>ktura</w:t>
      </w:r>
      <w:r>
        <w:t xml:space="preserve"> avicennistické metafyziky</w:t>
      </w:r>
      <w:r w:rsidR="00C80A6E">
        <w:t xml:space="preserve">. Poznání boha je proto založeno </w:t>
      </w:r>
      <w:r>
        <w:t>primárně inteligibilně</w:t>
      </w:r>
      <w:r w:rsidR="00C80A6E">
        <w:t xml:space="preserve"> a nevychází ze smyslového poznání, jako u aristotelismu</w:t>
      </w:r>
      <w:r>
        <w:t xml:space="preserve">. Připomeňme z předešlé kapitoly, že nové </w:t>
      </w:r>
      <w:r w:rsidRPr="00273106">
        <w:t>určení substance (</w:t>
      </w:r>
      <w:r w:rsidRPr="00273106">
        <w:rPr>
          <w:i/>
        </w:rPr>
        <w:t>quoad essentiam significatam</w:t>
      </w:r>
      <w:r w:rsidRPr="00273106">
        <w:t>) začíná v intuici čisté</w:t>
      </w:r>
      <w:r>
        <w:t>ho jsoucna</w:t>
      </w:r>
      <w:r w:rsidRPr="00273106">
        <w:t xml:space="preserve"> Avicenny (</w:t>
      </w:r>
      <w:r w:rsidRPr="00273106">
        <w:rPr>
          <w:i/>
        </w:rPr>
        <w:t>quando 'ens' primo intelligitur</w:t>
      </w:r>
      <w:r>
        <w:t xml:space="preserve">) </w:t>
      </w:r>
      <w:r w:rsidRPr="00273106">
        <w:t>a pokračuje určením substance</w:t>
      </w:r>
      <w:r>
        <w:t>-esence</w:t>
      </w:r>
      <w:r w:rsidRPr="00273106">
        <w:t xml:space="preserve"> (</w:t>
      </w:r>
      <w:r w:rsidRPr="00273106">
        <w:rPr>
          <w:i/>
        </w:rPr>
        <w:t>'substantia' intelligitur</w:t>
      </w:r>
      <w:r w:rsidRPr="00273106">
        <w:t>).</w:t>
      </w:r>
      <w:r>
        <w:t xml:space="preserve"> Dedukce jde od boží racionality přenesené ve formě účinné stopy do stvoření, což zakládá nutné a jisté poznání boha. Člověk definovaný jako </w:t>
      </w:r>
      <w:r w:rsidR="00A62F92">
        <w:rPr>
          <w:i/>
        </w:rPr>
        <w:t>imago D</w:t>
      </w:r>
      <w:r w:rsidRPr="087C0DDC">
        <w:rPr>
          <w:i/>
        </w:rPr>
        <w:t>ei</w:t>
      </w:r>
      <w:r>
        <w:t xml:space="preserve"> může spolehlivě poznat původní boží racionalitu danou ve stvoření (</w:t>
      </w:r>
      <w:r w:rsidRPr="084B7E42">
        <w:rPr>
          <w:i/>
        </w:rPr>
        <w:t>vestigium</w:t>
      </w:r>
      <w:r>
        <w:t xml:space="preserve">). Středním členem dedukce není boží intencionalita jako u Gandava, ale racionální struktura stvořeného a konečného jsoucna. </w:t>
      </w:r>
      <w:r w:rsidRPr="00273106">
        <w:t xml:space="preserve">Predikace </w:t>
      </w:r>
      <w:r w:rsidRPr="00273106">
        <w:rPr>
          <w:i/>
        </w:rPr>
        <w:t xml:space="preserve">per prius </w:t>
      </w:r>
      <w:r w:rsidRPr="00273106">
        <w:t xml:space="preserve">spojila poznání člověka a objektivně poznaný smysl jsoucna </w:t>
      </w:r>
      <w:r>
        <w:t>v</w:t>
      </w:r>
      <w:r w:rsidR="00D13A79">
        <w:t>zhledem k</w:t>
      </w:r>
      <w:r>
        <w:t xml:space="preserve"> bohu. Spojnici mezi bohem a člověkem tvoří metafyzická dedukce univočně daného formálního (ale ne aktuálního) způsobu, jak bůh a člověk myslí. </w:t>
      </w:r>
      <w:r w:rsidRPr="00273106">
        <w:t xml:space="preserve">Scotus shrnuje </w:t>
      </w:r>
      <w:r>
        <w:t xml:space="preserve">výchozí pozici nové metafyziky </w:t>
      </w:r>
      <w:r w:rsidRPr="00273106">
        <w:t xml:space="preserve">následovně. </w:t>
      </w:r>
    </w:p>
    <w:p w:rsidR="08163013" w:rsidRPr="00355010" w:rsidRDefault="08163013" w:rsidP="08163013">
      <w:pPr>
        <w:pStyle w:val="Citace"/>
        <w:rPr>
          <w:noProof/>
          <w:lang w:val="cs-CZ"/>
        </w:rPr>
      </w:pPr>
      <w:r w:rsidRPr="00273106">
        <w:rPr>
          <w:rStyle w:val="addmd"/>
          <w:noProof/>
          <w:lang w:val="cs-CZ"/>
        </w:rPr>
        <w:lastRenderedPageBreak/>
        <w:t>„</w:t>
      </w:r>
      <w:r>
        <w:rPr>
          <w:rStyle w:val="addmd"/>
          <w:noProof/>
          <w:lang w:val="cs-CZ"/>
        </w:rPr>
        <w:t>Druhý článek stojí v protikladu k tvrzení, že boha nelze myslet skrze obecný koncept analogie mezi ním a stvořením</w:t>
      </w:r>
      <w:r w:rsidR="000F1C4E">
        <w:rPr>
          <w:rStyle w:val="addmd"/>
          <w:noProof/>
          <w:lang w:val="cs-CZ"/>
        </w:rPr>
        <w:t xml:space="preserve">. To je možné </w:t>
      </w:r>
      <w:r>
        <w:rPr>
          <w:rStyle w:val="addmd"/>
          <w:noProof/>
          <w:lang w:val="cs-CZ"/>
        </w:rPr>
        <w:t>v obecném univočním konceptu boha i stvoření (</w:t>
      </w:r>
      <w:r w:rsidRPr="000C256C">
        <w:rPr>
          <w:rStyle w:val="addmd"/>
          <w:i/>
          <w:noProof/>
          <w:lang w:val="cs-CZ"/>
        </w:rPr>
        <w:t>in conceptu communi univoco sibi et creaturae</w:t>
      </w:r>
      <w:r>
        <w:rPr>
          <w:rStyle w:val="addmd"/>
          <w:noProof/>
          <w:lang w:val="cs-CZ"/>
        </w:rPr>
        <w:t>). Jsoucno, dobro a moudrost jsou predikované univočně o bohu a stvoření (</w:t>
      </w:r>
      <w:r w:rsidRPr="087B5965">
        <w:rPr>
          <w:rStyle w:val="addmd"/>
          <w:i/>
          <w:noProof/>
          <w:lang w:val="cs-CZ"/>
        </w:rPr>
        <w:t>dicta de Deo et creatura univoce dicuntur</w:t>
      </w:r>
      <w:r>
        <w:rPr>
          <w:rStyle w:val="addmd"/>
          <w:noProof/>
          <w:lang w:val="cs-CZ"/>
        </w:rPr>
        <w:t>), proto nevypovídají o dvou různých konceptech.“ </w:t>
      </w:r>
      <w:r>
        <w:rPr>
          <w:rStyle w:val="Znakapoznpodarou"/>
        </w:rPr>
        <w:footnoteReference w:id="429"/>
      </w:r>
    </w:p>
    <w:p w:rsidR="00BD7B73" w:rsidRDefault="08163013" w:rsidP="08163013">
      <w:r w:rsidRPr="00273106">
        <w:t>Základní vlastnosti boha a stvoření jsou dány univočně (</w:t>
      </w:r>
      <w:r w:rsidRPr="00273106">
        <w:rPr>
          <w:rStyle w:val="addmd"/>
          <w:i/>
        </w:rPr>
        <w:t>univoce dicuntur</w:t>
      </w:r>
      <w:r w:rsidRPr="00273106">
        <w:t>)</w:t>
      </w:r>
      <w:r>
        <w:t xml:space="preserve">. Koncepty musí být dány v metafyzické formě univocity, protože podobnost daná skrze analogii není vědecky deduktivní způsob poznání </w:t>
      </w:r>
      <w:r w:rsidRPr="00273106">
        <w:t>(</w:t>
      </w:r>
      <w:r w:rsidRPr="00273106">
        <w:rPr>
          <w:rStyle w:val="addmd"/>
          <w:i/>
        </w:rPr>
        <w:t>non concipitur Deus in conceptu communi analogo sibi et creaturae</w:t>
      </w:r>
      <w:r w:rsidRPr="00273106">
        <w:t>)</w:t>
      </w:r>
      <w:r>
        <w:t>. Scotus odmítl řešení Modistů ze školy prvního</w:t>
      </w:r>
      <w:r w:rsidRPr="00273106">
        <w:t xml:space="preserve"> av</w:t>
      </w:r>
      <w:r>
        <w:t>erroismu, kteří odmítli jak analogickou tak univoční predikaci</w:t>
      </w:r>
      <w:r w:rsidRPr="00273106">
        <w:t xml:space="preserve"> pro poznání boha a stvoření. </w:t>
      </w:r>
      <w:r>
        <w:t>Akvinský v ú</w:t>
      </w:r>
      <w:r w:rsidRPr="00273106">
        <w:t>vod</w:t>
      </w:r>
      <w:r>
        <w:t>u</w:t>
      </w:r>
      <w:r w:rsidRPr="00273106">
        <w:t xml:space="preserve"> do </w:t>
      </w:r>
      <w:r w:rsidRPr="088A3C6C">
        <w:rPr>
          <w:i/>
        </w:rPr>
        <w:t>Teologické summy</w:t>
      </w:r>
      <w:r>
        <w:t xml:space="preserve"> formuluje poznání boha ve dvou modech (</w:t>
      </w:r>
      <w:r w:rsidRPr="00273106">
        <w:rPr>
          <w:i/>
        </w:rPr>
        <w:t>secundum se et quoad nos</w:t>
      </w:r>
      <w:r>
        <w:t xml:space="preserve">). Způsob poznání boha jak bytuje sám v sobě </w:t>
      </w:r>
      <w:proofErr w:type="gramStart"/>
      <w:r>
        <w:t>je</w:t>
      </w:r>
      <w:proofErr w:type="gramEnd"/>
      <w:r>
        <w:t xml:space="preserve"> pro přirozené poznání nedosažitelný. Proto je vědecké poznání boha jako </w:t>
      </w:r>
      <w:r w:rsidRPr="08D3152E">
        <w:rPr>
          <w:i/>
        </w:rPr>
        <w:t>causa prima</w:t>
      </w:r>
      <w:r>
        <w:t xml:space="preserve"> zajištěno skrze efektivní kauzalitu boha danou ve stvoření a tedy vzhledem k nám </w:t>
      </w:r>
      <w:r w:rsidRPr="00273106">
        <w:t>(</w:t>
      </w:r>
      <w:bookmarkStart w:id="93" w:name="28303"/>
      <w:r w:rsidRPr="00273106">
        <w:t xml:space="preserve">ST </w:t>
      </w:r>
      <w:r w:rsidRPr="00273106">
        <w:rPr>
          <w:rStyle w:val="ref"/>
        </w:rPr>
        <w:t>I, q. 2, a. 1</w:t>
      </w:r>
      <w:bookmarkEnd w:id="93"/>
      <w:r w:rsidRPr="00273106">
        <w:rPr>
          <w:rStyle w:val="ref"/>
        </w:rPr>
        <w:t>, resp.</w:t>
      </w:r>
      <w:r>
        <w:rPr>
          <w:rStyle w:val="ref"/>
        </w:rPr>
        <w:t>; ed. Leonina 4, 27</w:t>
      </w:r>
      <w:r>
        <w:rPr>
          <w:rStyle w:val="ref"/>
        </w:rPr>
        <w:fldChar w:fldCharType="begin"/>
      </w:r>
      <w:r>
        <w:instrText xml:space="preserve"> XE "Akvinský:</w:instrText>
      </w:r>
      <w:proofErr w:type="gramStart"/>
      <w:r w:rsidRPr="00C9079A">
        <w:instrText xml:space="preserve">ST </w:instrText>
      </w:r>
      <w:r>
        <w:instrText>I.</w:instrText>
      </w:r>
      <w:r w:rsidRPr="00C9079A">
        <w:rPr>
          <w:rStyle w:val="ref"/>
        </w:rPr>
        <w:instrText>2</w:instrText>
      </w:r>
      <w:r>
        <w:rPr>
          <w:rStyle w:val="ref"/>
        </w:rPr>
        <w:instrText>.1</w:instrText>
      </w:r>
      <w:proofErr w:type="gramEnd"/>
      <w:r>
        <w:instrText xml:space="preserve">" </w:instrText>
      </w:r>
      <w:r>
        <w:rPr>
          <w:rStyle w:val="ref"/>
        </w:rPr>
        <w:fldChar w:fldCharType="end"/>
      </w:r>
      <w:r w:rsidRPr="00273106">
        <w:t>).</w:t>
      </w:r>
      <w:r>
        <w:t xml:space="preserve"> </w:t>
      </w:r>
      <w:r w:rsidR="008478DB">
        <w:t xml:space="preserve">Scotus nesouhlasí s argumentací Modistů. </w:t>
      </w:r>
      <w:r w:rsidRPr="00273106">
        <w:t xml:space="preserve">Sumace akcidentálního poznání daného smyslově a receptivitou na úrovni </w:t>
      </w:r>
      <w:r w:rsidRPr="00273106">
        <w:rPr>
          <w:i/>
        </w:rPr>
        <w:t>intellectus possibilis</w:t>
      </w:r>
      <w:r w:rsidRPr="00273106">
        <w:t xml:space="preserve"> by jen nekonečně sčítala vnější vlastnosti boha pomocí atribuce</w:t>
      </w:r>
      <w:r>
        <w:t xml:space="preserve"> dané z kauzálních účinků boha ve stvoření</w:t>
      </w:r>
      <w:r w:rsidRPr="00273106">
        <w:t xml:space="preserve">. </w:t>
      </w:r>
      <w:r w:rsidR="008B5DB1" w:rsidRPr="00273106">
        <w:t xml:space="preserve">Takto omezené poznání by zrušilo nutné </w:t>
      </w:r>
      <w:r w:rsidR="008B5DB1">
        <w:t xml:space="preserve">a zcela jisté </w:t>
      </w:r>
      <w:r w:rsidR="008B5DB1" w:rsidRPr="00273106">
        <w:t>poznání boha</w:t>
      </w:r>
      <w:r w:rsidR="008B5DB1">
        <w:t xml:space="preserve"> v modu </w:t>
      </w:r>
      <w:r w:rsidR="008B5DB1" w:rsidRPr="00273106">
        <w:rPr>
          <w:i/>
        </w:rPr>
        <w:t>secundum se</w:t>
      </w:r>
      <w:r w:rsidR="008B5DB1" w:rsidRPr="00273106">
        <w:t>.</w:t>
      </w:r>
      <w:r w:rsidR="008B5DB1">
        <w:t xml:space="preserve"> </w:t>
      </w:r>
      <w:r w:rsidR="00000775">
        <w:t xml:space="preserve">Poznáváme boha </w:t>
      </w:r>
      <w:r w:rsidR="00000775" w:rsidRPr="00413C07">
        <w:rPr>
          <w:i/>
          <w:szCs w:val="24"/>
          <w:lang w:val="de-DE"/>
        </w:rPr>
        <w:t>univoce</w:t>
      </w:r>
      <w:r w:rsidR="00000775">
        <w:rPr>
          <w:szCs w:val="24"/>
          <w:lang w:val="de-DE"/>
        </w:rPr>
        <w:t>, tedy v jeho raci</w:t>
      </w:r>
      <w:r w:rsidR="008B5DB1">
        <w:rPr>
          <w:szCs w:val="24"/>
          <w:lang w:val="de-DE"/>
        </w:rPr>
        <w:t>o</w:t>
      </w:r>
      <w:r w:rsidR="00000775">
        <w:rPr>
          <w:szCs w:val="24"/>
          <w:lang w:val="de-DE"/>
        </w:rPr>
        <w:t xml:space="preserve">nálním modu </w:t>
      </w:r>
      <w:r w:rsidR="008B5DB1">
        <w:rPr>
          <w:szCs w:val="24"/>
          <w:lang w:val="de-DE"/>
        </w:rPr>
        <w:t xml:space="preserve">myšlení (ale ne </w:t>
      </w:r>
      <w:r w:rsidR="00637572">
        <w:rPr>
          <w:szCs w:val="24"/>
          <w:lang w:val="de-DE"/>
        </w:rPr>
        <w:t xml:space="preserve">jeho </w:t>
      </w:r>
      <w:r w:rsidR="008B5DB1">
        <w:rPr>
          <w:szCs w:val="24"/>
          <w:lang w:val="de-DE"/>
        </w:rPr>
        <w:t xml:space="preserve">bytí) </w:t>
      </w:r>
      <w:r w:rsidR="00000775" w:rsidRPr="00413C07">
        <w:rPr>
          <w:i/>
          <w:szCs w:val="24"/>
          <w:lang w:val="de-DE"/>
        </w:rPr>
        <w:t>secundum se</w:t>
      </w:r>
      <w:r w:rsidR="00000775">
        <w:rPr>
          <w:szCs w:val="24"/>
          <w:lang w:val="de-DE"/>
        </w:rPr>
        <w:t xml:space="preserve">. </w:t>
      </w:r>
      <w:r w:rsidRPr="00273106">
        <w:t xml:space="preserve">Další část </w:t>
      </w:r>
      <w:r>
        <w:t xml:space="preserve">Scotovy </w:t>
      </w:r>
      <w:r w:rsidRPr="00273106">
        <w:t xml:space="preserve">citace odvrhne </w:t>
      </w:r>
      <w:r>
        <w:t>také neoplatonsk</w:t>
      </w:r>
      <w:r w:rsidRPr="00273106">
        <w:t xml:space="preserve">é řešení školy </w:t>
      </w:r>
      <w:r w:rsidRPr="00273106">
        <w:rPr>
          <w:i/>
        </w:rPr>
        <w:t>Nominales</w:t>
      </w:r>
      <w:r w:rsidRPr="00273106">
        <w:t xml:space="preserve">, která vyšla z univoční dedukce jsoucna od boha. </w:t>
      </w:r>
      <w:r>
        <w:t>P</w:t>
      </w:r>
      <w:r w:rsidRPr="00273106">
        <w:t xml:space="preserve">rimitivní koncept univocity </w:t>
      </w:r>
      <w:r>
        <w:t xml:space="preserve">daný na základě porretánských hypostází vytvářel další systém neoplatonské emanace a nerespektoval </w:t>
      </w:r>
      <w:r w:rsidRPr="00273106">
        <w:t>zásadní rozdíl mezi Stvořitelem a stvoření</w:t>
      </w:r>
      <w:r>
        <w:t>m</w:t>
      </w:r>
      <w:r w:rsidRPr="00273106">
        <w:t xml:space="preserve">. </w:t>
      </w:r>
      <w:r>
        <w:t xml:space="preserve">Modernisté jako Gandavus změnili emanaci na Avicennovu komitaci jsoucna třetího druhu a tato jsoucna začali kategoriálně predikovat vzhledem k bohu. Ale tím zrušili jedinečný statut první substance, kterou spojili se </w:t>
      </w:r>
      <w:r w:rsidR="00962190">
        <w:rPr>
          <w:i/>
        </w:rPr>
        <w:t>species</w:t>
      </w:r>
      <w:r>
        <w:t xml:space="preserve"> třetího druhu, což jim vyčetli tomisté, první averroisté, Scotus a výše citovaný Suárez. Výsledkem byla zmatená univocita, která zrušila impozici významu od atomární substance. Scotus jasně vidí, že druhý averroismus nemá ani </w:t>
      </w:r>
      <w:r w:rsidRPr="00273106">
        <w:t xml:space="preserve">univocitu jsoucna v bohu, ani jedinečnost </w:t>
      </w:r>
      <w:r>
        <w:t xml:space="preserve">na </w:t>
      </w:r>
      <w:r w:rsidRPr="00273106">
        <w:t>úrovni hylemorfické</w:t>
      </w:r>
      <w:r>
        <w:t xml:space="preserve"> substance </w:t>
      </w:r>
      <w:r w:rsidRPr="00273106">
        <w:t>(</w:t>
      </w:r>
      <w:r w:rsidRPr="00273106">
        <w:rPr>
          <w:i/>
        </w:rPr>
        <w:t>impossibile esset probare aliquid esse univocum, ut hominem respectu Socratis et Platonis</w:t>
      </w:r>
      <w:r w:rsidRPr="00273106">
        <w:t xml:space="preserve">; </w:t>
      </w:r>
      <w:r w:rsidRPr="08143E1D">
        <w:rPr>
          <w:i/>
        </w:rPr>
        <w:t>Vat</w:t>
      </w:r>
      <w:r>
        <w:t xml:space="preserve">. XVI, </w:t>
      </w:r>
      <w:r w:rsidRPr="00273106">
        <w:t>no. 24</w:t>
      </w:r>
      <w:r>
        <w:t xml:space="preserve">, </w:t>
      </w:r>
      <w:r w:rsidRPr="00273106">
        <w:t>233.18‒19</w:t>
      </w:r>
      <w:r>
        <w:fldChar w:fldCharType="begin"/>
      </w:r>
      <w:r>
        <w:instrText xml:space="preserve"> XE "Scotus:</w:instrText>
      </w:r>
      <w:r w:rsidRPr="007C4A4F">
        <w:rPr>
          <w:i/>
        </w:rPr>
        <w:instrText>Lectura</w:instrText>
      </w:r>
      <w:r>
        <w:instrText xml:space="preserve"> 1.233.18</w:instrText>
      </w:r>
      <w:r w:rsidRPr="007C4A4F">
        <w:instrText>‒</w:instrText>
      </w:r>
      <w:r>
        <w:instrText xml:space="preserve">19" </w:instrText>
      </w:r>
      <w:r>
        <w:lastRenderedPageBreak/>
        <w:fldChar w:fldCharType="end"/>
      </w:r>
      <w:r>
        <w:t>).</w:t>
      </w:r>
      <w:r w:rsidRPr="00273106">
        <w:t xml:space="preserve"> </w:t>
      </w:r>
      <w:r>
        <w:t>N</w:t>
      </w:r>
      <w:r w:rsidRPr="00273106">
        <w:t xml:space="preserve">ové řešení univocity jsoucna </w:t>
      </w:r>
      <w:r>
        <w:t>překonalo rozpory druhého averroismu daného jak v oxfordské škole</w:t>
      </w:r>
      <w:r w:rsidRPr="00273106">
        <w:t xml:space="preserve"> </w:t>
      </w:r>
      <w:r w:rsidRPr="00273106">
        <w:rPr>
          <w:i/>
        </w:rPr>
        <w:t>Nominales</w:t>
      </w:r>
      <w:r>
        <w:t xml:space="preserve">, tak v ontoteologii </w:t>
      </w:r>
      <w:r w:rsidRPr="00273106">
        <w:t>Bonaventurovy školy.</w:t>
      </w:r>
      <w:r>
        <w:t xml:space="preserve"> V bohu a člověku n</w:t>
      </w:r>
      <w:r w:rsidRPr="00273106">
        <w:t xml:space="preserve">elze najít nějaký nejvyšší koncept </w:t>
      </w:r>
      <w:r>
        <w:t xml:space="preserve">minimální </w:t>
      </w:r>
      <w:r w:rsidRPr="00273106">
        <w:t>jsoucnosti a od něj sestupovat dolů k nižším konceptům sk</w:t>
      </w:r>
      <w:r>
        <w:t>rze univočně pojatá univerzália</w:t>
      </w:r>
      <w:r>
        <w:rPr>
          <w:i/>
        </w:rPr>
        <w:fldChar w:fldCharType="begin"/>
      </w:r>
      <w:r>
        <w:instrText xml:space="preserve"> XE "</w:instrText>
      </w:r>
      <w:r w:rsidRPr="00227C7B">
        <w:rPr>
          <w:i/>
        </w:rPr>
        <w:instrText>Arbor Porphyriana</w:instrText>
      </w:r>
      <w:r>
        <w:instrText xml:space="preserve">" </w:instrText>
      </w:r>
      <w:r>
        <w:rPr>
          <w:i/>
        </w:rPr>
        <w:fldChar w:fldCharType="end"/>
      </w:r>
      <w:r w:rsidRPr="00273106">
        <w:t>.</w:t>
      </w:r>
      <w:r>
        <w:t xml:space="preserve"> Aristotelova kategoriální predikace nedovoluje neoplatonské dělení rodů podle </w:t>
      </w:r>
      <w:r w:rsidRPr="00273106">
        <w:rPr>
          <w:i/>
        </w:rPr>
        <w:t>Arbor Porphyriana</w:t>
      </w:r>
      <w:r>
        <w:t xml:space="preserve">, protože predikuje významy o substancích. A bytí jsoucna není nejvyšší rod, protože jsoucno nejde vůbec dělit, ale pouze predikovat v řádu jazyka. Kauzalita podle prvního averroismu představuje také nedostatečnou formu jednoty boha a stvoření. Scotus </w:t>
      </w:r>
      <w:r w:rsidRPr="00273106">
        <w:t xml:space="preserve">proti </w:t>
      </w:r>
      <w:r>
        <w:t xml:space="preserve">škole prvního averroismu </w:t>
      </w:r>
      <w:r w:rsidRPr="00273106">
        <w:t xml:space="preserve">namítá, že nelze vzít kauzalitu pro poznání jen na základě smyslově determinovaného konceptu a </w:t>
      </w:r>
      <w:r>
        <w:t xml:space="preserve">následné </w:t>
      </w:r>
      <w:r w:rsidRPr="00273106">
        <w:t xml:space="preserve">abstrakce, protože takové poznání boha by bylo jen vnější a kontingentní. </w:t>
      </w:r>
      <w:r>
        <w:t>Kategoriální predikace je buď nezávazné logické cvičení</w:t>
      </w:r>
      <w:r w:rsidR="009B5ECA">
        <w:t>;</w:t>
      </w:r>
      <w:r>
        <w:t xml:space="preserve"> nebo predikuje v modu nevědecké demonstrace pouze kontigentní akcidenty. </w:t>
      </w:r>
      <w:r w:rsidR="009B5ECA">
        <w:t xml:space="preserve">Nové </w:t>
      </w:r>
      <w:r w:rsidR="009B5ECA" w:rsidRPr="009B5ECA">
        <w:rPr>
          <w:i/>
        </w:rPr>
        <w:t>resolutio</w:t>
      </w:r>
      <w:r w:rsidR="009B5ECA">
        <w:t xml:space="preserve"> metafyziky </w:t>
      </w:r>
      <w:r>
        <w:t>musí stát na vědecké dedukci dané un</w:t>
      </w:r>
      <w:r w:rsidR="00BD7B73">
        <w:t>ivočně, jinak není metafyzikou.</w:t>
      </w:r>
    </w:p>
    <w:p w:rsidR="00F44CB8" w:rsidRDefault="08163013" w:rsidP="00F44CB8">
      <w:pPr>
        <w:ind w:firstLine="397"/>
      </w:pPr>
      <w:r>
        <w:t xml:space="preserve">Spis </w:t>
      </w:r>
      <w:r w:rsidR="008C2D4A" w:rsidRPr="008C2D4A">
        <w:rPr>
          <w:i/>
        </w:rPr>
        <w:t>Lectura I</w:t>
      </w:r>
      <w:r>
        <w:t xml:space="preserve"> </w:t>
      </w:r>
      <w:r w:rsidRPr="00273106">
        <w:t>s</w:t>
      </w:r>
      <w:r w:rsidR="00884655">
        <w:t>e vrátil</w:t>
      </w:r>
      <w:r w:rsidRPr="00273106">
        <w:t xml:space="preserve"> ke druhému averroismu inspirovaného Avicennou a uprav</w:t>
      </w:r>
      <w:r w:rsidR="00884655">
        <w:t>il</w:t>
      </w:r>
      <w:r w:rsidRPr="00273106">
        <w:t xml:space="preserve"> schéma nasvícení intelektu zezadu</w:t>
      </w:r>
      <w:r>
        <w:t xml:space="preserve"> do nového důkazu boží existence</w:t>
      </w:r>
      <w:r w:rsidRPr="00273106">
        <w:t xml:space="preserve">. Poznání boha musí být dáno </w:t>
      </w:r>
      <w:r>
        <w:t xml:space="preserve">dedukcí </w:t>
      </w:r>
      <w:r w:rsidRPr="00273106">
        <w:t xml:space="preserve">od </w:t>
      </w:r>
      <w:r>
        <w:t>nekonečné substance ke konečné</w:t>
      </w:r>
      <w:r w:rsidRPr="00273106">
        <w:t>. Jinak</w:t>
      </w:r>
      <w:r w:rsidRPr="00273106">
        <w:rPr>
          <w:i/>
        </w:rPr>
        <w:t xml:space="preserve"> </w:t>
      </w:r>
      <w:proofErr w:type="gramStart"/>
      <w:r w:rsidR="000747D2">
        <w:t>by</w:t>
      </w:r>
      <w:proofErr w:type="gramEnd"/>
      <w:r w:rsidR="000747D2">
        <w:t xml:space="preserve"> důkaz </w:t>
      </w:r>
      <w:proofErr w:type="gramStart"/>
      <w:r w:rsidR="000747D2">
        <w:t>by</w:t>
      </w:r>
      <w:proofErr w:type="gramEnd"/>
      <w:r w:rsidR="000747D2">
        <w:t xml:space="preserve"> šel </w:t>
      </w:r>
      <w:r w:rsidRPr="00273106">
        <w:t xml:space="preserve">jen k analogii, která o bohu nevypovídá univočně, </w:t>
      </w:r>
      <w:r>
        <w:t xml:space="preserve">ale </w:t>
      </w:r>
      <w:r w:rsidRPr="00273106">
        <w:t xml:space="preserve">pouze v nekonečném modu </w:t>
      </w:r>
      <w:r w:rsidRPr="00273106">
        <w:rPr>
          <w:i/>
        </w:rPr>
        <w:t>ad hoc</w:t>
      </w:r>
      <w:r w:rsidRPr="00273106">
        <w:t xml:space="preserve"> přidávané atribuce. Vnější příčina daná </w:t>
      </w:r>
      <w:r>
        <w:t xml:space="preserve">náhodným </w:t>
      </w:r>
      <w:r w:rsidRPr="00273106">
        <w:t xml:space="preserve">receptivním poznáním </w:t>
      </w:r>
      <w:r>
        <w:t xml:space="preserve">také </w:t>
      </w:r>
      <w:r w:rsidRPr="00273106">
        <w:t>nemůže generovat univoční poznání boha. Aktuální bůh působí kauzálně</w:t>
      </w:r>
      <w:r w:rsidRPr="000705F5">
        <w:t xml:space="preserve"> </w:t>
      </w:r>
      <w:r>
        <w:t xml:space="preserve">v modu </w:t>
      </w:r>
      <w:r w:rsidRPr="009A3777">
        <w:rPr>
          <w:i/>
        </w:rPr>
        <w:t>causa prima</w:t>
      </w:r>
      <w:r>
        <w:rPr>
          <w:i/>
        </w:rPr>
        <w:fldChar w:fldCharType="begin"/>
      </w:r>
      <w:r>
        <w:instrText xml:space="preserve"> XE "</w:instrText>
      </w:r>
      <w:r w:rsidRPr="00EC783C">
        <w:rPr>
          <w:i/>
          <w:color w:val="000000"/>
        </w:rPr>
        <w:instrText>causa prima</w:instrText>
      </w:r>
      <w:r>
        <w:instrText xml:space="preserve">" </w:instrText>
      </w:r>
      <w:r>
        <w:rPr>
          <w:i/>
        </w:rPr>
        <w:fldChar w:fldCharType="end"/>
      </w:r>
      <w:r w:rsidRPr="00273106">
        <w:t xml:space="preserve">, což tvrdí doktrína prvního averroismu, kterou Scotus potvrdil. </w:t>
      </w:r>
      <w:r>
        <w:t>Jenže p</w:t>
      </w:r>
      <w:r w:rsidRPr="00273106">
        <w:t>ro smyslové poznání platí, že nikdo nemůže přijmout víc, než může pojmout z hlediska své potence.</w:t>
      </w:r>
      <w:r>
        <w:t xml:space="preserve"> Pak by byla boží kauzalita poznatelná jen na kontingentní úrovni dané smyslovou zkušeností, a to by bylo málo vzhledem k poznání boha v moderním modu pravdy jako </w:t>
      </w:r>
      <w:r w:rsidRPr="088D639C">
        <w:rPr>
          <w:i/>
        </w:rPr>
        <w:t>certitudo</w:t>
      </w:r>
      <w:r>
        <w:t xml:space="preserve"> a </w:t>
      </w:r>
      <w:r w:rsidRPr="088D639C">
        <w:rPr>
          <w:i/>
        </w:rPr>
        <w:t>rectitudo</w:t>
      </w:r>
      <w:r>
        <w:t>. Výstavbu nové dedukce nemohou zaručit smyslová</w:t>
      </w:r>
      <w:r w:rsidRPr="00273106">
        <w:t xml:space="preserve"> </w:t>
      </w:r>
      <w:r w:rsidR="00962190">
        <w:rPr>
          <w:i/>
        </w:rPr>
        <w:t>species</w:t>
      </w:r>
      <w:r>
        <w:fldChar w:fldCharType="begin"/>
      </w:r>
      <w:r>
        <w:instrText xml:space="preserve"> XE "</w:instrText>
      </w:r>
      <w:r w:rsidRPr="00A862C0">
        <w:rPr>
          <w:i/>
        </w:rPr>
        <w:instrText>species sensibilis</w:instrText>
      </w:r>
      <w:r>
        <w:instrText xml:space="preserve">" </w:instrText>
      </w:r>
      <w:r>
        <w:fldChar w:fldCharType="end"/>
      </w:r>
      <w:r>
        <w:t>, protože produkují v intelektu sice univerzální, ale pouze kontingentní poznání</w:t>
      </w:r>
      <w:r w:rsidRPr="00273106">
        <w:t xml:space="preserve">. </w:t>
      </w:r>
      <w:r>
        <w:t>Ř</w:t>
      </w:r>
      <w:r w:rsidRPr="00273106">
        <w:t xml:space="preserve">ešení </w:t>
      </w:r>
      <w:r>
        <w:t xml:space="preserve">aporie přinesla úprava Aristotelova modu kauzality. Kvůli nepochybnému důkazu boží existence </w:t>
      </w:r>
      <w:proofErr w:type="gramStart"/>
      <w:r>
        <w:t>vyžadovaném</w:t>
      </w:r>
      <w:proofErr w:type="gramEnd"/>
      <w:r>
        <w:t xml:space="preserve"> dogmatickou teologií a jednou pravdou vědy bylo třeba najít novou verzi </w:t>
      </w:r>
      <w:r w:rsidRPr="0044562A">
        <w:rPr>
          <w:i/>
        </w:rPr>
        <w:t>Oxfordian Fallacy</w:t>
      </w:r>
      <w:r>
        <w:rPr>
          <w:i/>
        </w:rPr>
        <w:fldChar w:fldCharType="begin"/>
      </w:r>
      <w:r>
        <w:instrText xml:space="preserve"> XE "</w:instrText>
      </w:r>
      <w:r w:rsidRPr="00486A59">
        <w:rPr>
          <w:i/>
        </w:rPr>
        <w:instrText>Oxfordian Fallacy</w:instrText>
      </w:r>
      <w:r>
        <w:instrText xml:space="preserve">:Scotus" </w:instrText>
      </w:r>
      <w:r>
        <w:rPr>
          <w:i/>
        </w:rPr>
        <w:fldChar w:fldCharType="end"/>
      </w:r>
      <w:r w:rsidR="00BD7B73">
        <w:t xml:space="preserve">. </w:t>
      </w:r>
      <w:r>
        <w:t xml:space="preserve">Esenciální </w:t>
      </w:r>
      <w:r w:rsidRPr="00273106">
        <w:t xml:space="preserve">bytí </w:t>
      </w:r>
      <w:r>
        <w:t xml:space="preserve">boha působící racionálně </w:t>
      </w:r>
      <w:r w:rsidRPr="00090B71">
        <w:rPr>
          <w:i/>
        </w:rPr>
        <w:t>ad extra</w:t>
      </w:r>
      <w:r>
        <w:t xml:space="preserve"> vytvá</w:t>
      </w:r>
      <w:r w:rsidRPr="00273106">
        <w:t xml:space="preserve">ří </w:t>
      </w:r>
      <w:r>
        <w:t xml:space="preserve">účinnou </w:t>
      </w:r>
      <w:r w:rsidRPr="00273106">
        <w:t xml:space="preserve">kauzu zakládající poznání </w:t>
      </w:r>
      <w:r>
        <w:t xml:space="preserve">našeho </w:t>
      </w:r>
      <w:r w:rsidRPr="00273106">
        <w:t>intelektu.</w:t>
      </w:r>
      <w:r>
        <w:t xml:space="preserve"> Jen esenciálně daná nutnost </w:t>
      </w:r>
      <w:r w:rsidRPr="00273106">
        <w:t xml:space="preserve">zaručuje podle </w:t>
      </w:r>
      <w:r>
        <w:t xml:space="preserve">důkazu </w:t>
      </w:r>
      <w:r w:rsidRPr="08612D66">
        <w:rPr>
          <w:i/>
        </w:rPr>
        <w:t>Druhých analytik</w:t>
      </w:r>
      <w:r w:rsidRPr="00273106">
        <w:t xml:space="preserve"> univoční vědecké poznání. Bůh je pak vrozený princip </w:t>
      </w:r>
      <w:r>
        <w:t xml:space="preserve">přirozeného </w:t>
      </w:r>
      <w:r w:rsidRPr="00273106">
        <w:t xml:space="preserve">poznání </w:t>
      </w:r>
      <w:r>
        <w:t xml:space="preserve">a toto poznání v </w:t>
      </w:r>
      <w:r w:rsidRPr="00273106">
        <w:t xml:space="preserve">nás působí ze své vůle a kauzálně. </w:t>
      </w:r>
      <w:r>
        <w:lastRenderedPageBreak/>
        <w:t>Znovu se tím opakuje zásadní spor mezi Sigerem a Tomášem o hodnotu vědeckého důkazu, kde je střední člen</w:t>
      </w:r>
      <w:r>
        <w:fldChar w:fldCharType="begin"/>
      </w:r>
      <w:r>
        <w:instrText xml:space="preserve"> XE "</w:instrText>
      </w:r>
      <w:r w:rsidRPr="00346FCA">
        <w:rPr>
          <w:i/>
        </w:rPr>
        <w:instrText>medium</w:instrText>
      </w:r>
      <w:r w:rsidRPr="00C11A30">
        <w:instrText>:Scotus</w:instrText>
      </w:r>
      <w:r>
        <w:instrText xml:space="preserve">" </w:instrText>
      </w:r>
      <w:r>
        <w:fldChar w:fldCharType="end"/>
      </w:r>
      <w:r>
        <w:t xml:space="preserve"> </w:t>
      </w:r>
      <w:r w:rsidRPr="085702BF">
        <w:rPr>
          <w:i/>
        </w:rPr>
        <w:t>demonstratio</w:t>
      </w:r>
      <w:r>
        <w:t xml:space="preserve"> definován buď esencí nebo predikací hyparchické kauzality z reálu (</w:t>
      </w:r>
      <w:r w:rsidRPr="00273106">
        <w:rPr>
          <w:i/>
        </w:rPr>
        <w:t>Anal. Post</w:t>
      </w:r>
      <w:r w:rsidRPr="00273106">
        <w:t>. 84a11‒14</w:t>
      </w:r>
      <w:r>
        <w:fldChar w:fldCharType="begin"/>
      </w:r>
      <w:r>
        <w:instrText xml:space="preserve"> XE "Aristoteles:</w:instrText>
      </w:r>
      <w:r w:rsidRPr="08FB7F27">
        <w:rPr>
          <w:i/>
        </w:rPr>
        <w:instrText>Anal. Post.</w:instrText>
      </w:r>
      <w:r w:rsidRPr="08FB7F27">
        <w:instrText xml:space="preserve"> 84a</w:instrText>
      </w:r>
      <w:r>
        <w:instrText xml:space="preserve">11‒14" </w:instrText>
      </w:r>
      <w:r>
        <w:fldChar w:fldCharType="end"/>
      </w:r>
      <w:r w:rsidR="00CB5967">
        <w:t xml:space="preserve">). </w:t>
      </w:r>
      <w:r w:rsidR="00CB5967" w:rsidRPr="00CB5967">
        <w:t xml:space="preserve">Scotus je tomistou ve věci dogmaticky pojaté filosofie, která je dána teorií jediné pravdy. Jeho důkaz Boží existence je založen na esenci a plně odpovídá tomuto názoru. Tomismus se však držel esence pro důkaz Boží existence pouze v řádu </w:t>
      </w:r>
      <w:r w:rsidR="00CB5967">
        <w:t xml:space="preserve">finální </w:t>
      </w:r>
      <w:r w:rsidR="00CB5967" w:rsidRPr="00CB5967">
        <w:t>kauzality, která stano</w:t>
      </w:r>
      <w:r w:rsidR="00CB5967">
        <w:t xml:space="preserve">vila důkaz čtvrté a páté cesty. </w:t>
      </w:r>
      <w:r w:rsidR="008D2AE8" w:rsidRPr="008D2AE8">
        <w:t xml:space="preserve">Scotus proto odmítl </w:t>
      </w:r>
      <w:r w:rsidR="008D2AE8">
        <w:t xml:space="preserve">vzít </w:t>
      </w:r>
      <w:r w:rsidR="008D2AE8" w:rsidRPr="008D2AE8">
        <w:t>tomismus z</w:t>
      </w:r>
      <w:r w:rsidR="008D2AE8">
        <w:t xml:space="preserve">a fundament metafyzického </w:t>
      </w:r>
      <w:r w:rsidR="008D2AE8" w:rsidRPr="008D2AE8">
        <w:rPr>
          <w:i/>
        </w:rPr>
        <w:t>resolutio</w:t>
      </w:r>
      <w:r w:rsidR="008D2AE8" w:rsidRPr="008D2AE8">
        <w:t>. Akvin</w:t>
      </w:r>
      <w:r w:rsidR="008D2AE8">
        <w:t>ský</w:t>
      </w:r>
      <w:r w:rsidR="008D2AE8" w:rsidRPr="008D2AE8">
        <w:t xml:space="preserve"> jako představitel prvního averroismu přijal za základ metafyzické resoluce reálnou kauzalitu prvních substancí.</w:t>
      </w:r>
      <w:r w:rsidR="008D2AE8">
        <w:t xml:space="preserve"> </w:t>
      </w:r>
      <w:r w:rsidR="00BA1E82" w:rsidRPr="00BA1E82">
        <w:t xml:space="preserve">Tomismus však potřeboval dedukci z esence, aby mohl vytvořit deduktivní důkaz nesmrtelné duše. </w:t>
      </w:r>
      <w:r w:rsidR="00BA1E82">
        <w:t>N</w:t>
      </w:r>
      <w:r>
        <w:t xml:space="preserve">esmrtelnost duše </w:t>
      </w:r>
      <w:r w:rsidR="00BA1E82">
        <w:t>je daná</w:t>
      </w:r>
      <w:r>
        <w:t xml:space="preserve"> hypostázováním intelektu jako </w:t>
      </w:r>
      <w:r w:rsidR="006748A4">
        <w:t xml:space="preserve">autonomní </w:t>
      </w:r>
      <w:r w:rsidR="00047D0F">
        <w:t xml:space="preserve">formy. </w:t>
      </w:r>
      <w:r w:rsidR="000E5638" w:rsidRPr="00394076">
        <w:t xml:space="preserve">Tomismus měl definici duše jako věčné formy a Scotus ji </w:t>
      </w:r>
      <w:r w:rsidR="000E5638">
        <w:t xml:space="preserve">plně </w:t>
      </w:r>
      <w:r w:rsidR="000E5638" w:rsidRPr="00394076">
        <w:t xml:space="preserve">využil. Jako jediný modernista své doby </w:t>
      </w:r>
      <w:r w:rsidR="000E5638">
        <w:t xml:space="preserve">poznal zásadní </w:t>
      </w:r>
      <w:r w:rsidR="000E5638" w:rsidRPr="00394076">
        <w:t>hodnotu přímé esenciální kauzality, kterou tomismus vztahoval k hypostatickému intelektu. Tomáš odmítl</w:t>
      </w:r>
      <w:r w:rsidR="000E5638">
        <w:t xml:space="preserve"> esenciální kauzalitu pro proces přirozeného poznání</w:t>
      </w:r>
      <w:r w:rsidR="000E5638" w:rsidRPr="00394076">
        <w:t xml:space="preserve">, protože </w:t>
      </w:r>
      <w:r w:rsidR="000E5638">
        <w:t>jeho gnoseologické schéma tvořilo součást prvního averroismu</w:t>
      </w:r>
      <w:r w:rsidR="000E5638" w:rsidRPr="00394076">
        <w:t xml:space="preserve">. </w:t>
      </w:r>
      <w:r w:rsidR="00F520DF">
        <w:t>Scotus přijal „správný“</w:t>
      </w:r>
      <w:r w:rsidR="002F38F3" w:rsidRPr="002F38F3">
        <w:t xml:space="preserve"> (tj. mytol</w:t>
      </w:r>
      <w:r w:rsidR="002F38F3">
        <w:t xml:space="preserve">ogický) závěr tomistické pozice </w:t>
      </w:r>
      <w:r w:rsidR="000E5638">
        <w:t xml:space="preserve">ohledně intelektu a navrhnul </w:t>
      </w:r>
      <w:r w:rsidR="000E5638" w:rsidRPr="00394076">
        <w:t>no</w:t>
      </w:r>
      <w:r w:rsidR="000E5638">
        <w:t>vé schéma esenciální kauzality</w:t>
      </w:r>
      <w:r w:rsidR="00251DD2">
        <w:t>, která zakládá m</w:t>
      </w:r>
      <w:r w:rsidR="00F520DF">
        <w:t xml:space="preserve">etafyzické poznání </w:t>
      </w:r>
      <w:r w:rsidR="00904296">
        <w:t>mimo realitu</w:t>
      </w:r>
      <w:r w:rsidR="000E5638">
        <w:t xml:space="preserve">. </w:t>
      </w:r>
      <w:r w:rsidR="006839CB">
        <w:t xml:space="preserve">Realitu prvních substancí nahradil moderní bůh. </w:t>
      </w:r>
      <w:r w:rsidR="00251DD2">
        <w:t xml:space="preserve">Nová forma dedukce založená na mytologické kauzalitě </w:t>
      </w:r>
      <w:r w:rsidR="00394076">
        <w:t>zavedl</w:t>
      </w:r>
      <w:r w:rsidR="00251DD2">
        <w:t>a</w:t>
      </w:r>
      <w:r w:rsidR="00394076">
        <w:t xml:space="preserve"> nové poznání b</w:t>
      </w:r>
      <w:r w:rsidR="00394076" w:rsidRPr="00394076">
        <w:t>oha v modu přím</w:t>
      </w:r>
      <w:r w:rsidR="00394076">
        <w:t>é kauzality způsobené samotným b</w:t>
      </w:r>
      <w:r w:rsidR="00394076" w:rsidRPr="00394076">
        <w:t xml:space="preserve">ohem. </w:t>
      </w:r>
      <w:r w:rsidR="00251DD2">
        <w:t xml:space="preserve">Tím vznikla nová forma metafyziky, která odmítla racionální hledání základů reality a zároveň neměla iluminační scénář neoplatonismu. Nová forma ontoteologie tím dostal plně objektivní charakter založený na dvojí formě </w:t>
      </w:r>
      <w:r w:rsidR="00F44533">
        <w:t xml:space="preserve">metafyzického </w:t>
      </w:r>
      <w:r w:rsidR="00251DD2">
        <w:t>omylu</w:t>
      </w:r>
      <w:r w:rsidR="00F44533">
        <w:t xml:space="preserve"> (</w:t>
      </w:r>
      <w:r w:rsidR="00F44533" w:rsidRPr="00F44533">
        <w:rPr>
          <w:i/>
        </w:rPr>
        <w:t>Irrtum</w:t>
      </w:r>
      <w:r w:rsidR="00F938DF">
        <w:rPr>
          <w:i/>
        </w:rPr>
        <w:fldChar w:fldCharType="begin"/>
      </w:r>
      <w:r w:rsidR="00F938DF">
        <w:instrText xml:space="preserve"> XE "</w:instrText>
      </w:r>
      <w:r w:rsidR="00F938DF" w:rsidRPr="00CD320B">
        <w:rPr>
          <w:i/>
        </w:rPr>
        <w:instrText>Irrtum</w:instrText>
      </w:r>
      <w:r w:rsidR="00F938DF">
        <w:instrText xml:space="preserve">" </w:instrText>
      </w:r>
      <w:r w:rsidR="00F938DF">
        <w:rPr>
          <w:i/>
        </w:rPr>
        <w:fldChar w:fldCharType="end"/>
      </w:r>
      <w:r w:rsidR="00F44533">
        <w:t>)</w:t>
      </w:r>
      <w:r w:rsidR="00251DD2">
        <w:t xml:space="preserve">. Základ nové metafyziky tvoří přímý náhled boží kauzality. To je falešná filosofická pozice daná instrumentalizací teologie pro filosofické účely, vytvořená v rámci Scotem definované formy </w:t>
      </w:r>
      <w:r w:rsidR="00251DD2" w:rsidRPr="00251DD2">
        <w:rPr>
          <w:i/>
        </w:rPr>
        <w:t>dativus possessivus</w:t>
      </w:r>
      <w:r w:rsidR="00F938DF">
        <w:rPr>
          <w:i/>
        </w:rPr>
        <w:fldChar w:fldCharType="begin"/>
      </w:r>
      <w:r w:rsidR="00F938DF">
        <w:instrText xml:space="preserve"> XE "</w:instrText>
      </w:r>
      <w:r w:rsidR="00F938DF" w:rsidRPr="000E65E3">
        <w:rPr>
          <w:i/>
        </w:rPr>
        <w:instrText>dativus possessivus</w:instrText>
      </w:r>
      <w:r w:rsidR="00F938DF">
        <w:instrText xml:space="preserve">" </w:instrText>
      </w:r>
      <w:r w:rsidR="00F938DF">
        <w:rPr>
          <w:i/>
        </w:rPr>
        <w:fldChar w:fldCharType="end"/>
      </w:r>
      <w:r w:rsidR="00251DD2">
        <w:t>. Přivlastnění teologie v rámci chybně určené filosofie jako první vědy pak nutně znamenalo, že přímá iluminace intelektu skrze esenciá</w:t>
      </w:r>
      <w:r w:rsidR="00F44533">
        <w:t>l</w:t>
      </w:r>
      <w:r w:rsidR="00251DD2">
        <w:t xml:space="preserve">ní kauzalitu tvoří skrytý základ nové </w:t>
      </w:r>
      <w:r w:rsidR="00F44533">
        <w:t>metafyziky. Přirození r</w:t>
      </w:r>
      <w:r w:rsidR="00251DD2">
        <w:t>o</w:t>
      </w:r>
      <w:r w:rsidR="00F44533">
        <w:t>z</w:t>
      </w:r>
      <w:r w:rsidR="00251DD2">
        <w:t>um přestal být přirozený a stal se obje</w:t>
      </w:r>
      <w:r w:rsidR="00F44533">
        <w:t>k</w:t>
      </w:r>
      <w:r w:rsidR="00251DD2">
        <w:t>tivním nesmyslem</w:t>
      </w:r>
      <w:r w:rsidR="00F44533">
        <w:t xml:space="preserve">. To je další a trvalý efekt </w:t>
      </w:r>
      <w:r w:rsidR="00251DD2">
        <w:t xml:space="preserve">Scotem definované formy </w:t>
      </w:r>
      <w:r w:rsidR="00251DD2" w:rsidRPr="00251DD2">
        <w:rPr>
          <w:i/>
        </w:rPr>
        <w:t>dativus possessivus</w:t>
      </w:r>
      <w:r w:rsidR="00F44533">
        <w:t>. Archaická hermeneutika jej definuje jako objektivní bloudění moderního rozumu v rámci metafyzického šílenství (</w:t>
      </w:r>
      <w:r w:rsidR="00F44533" w:rsidRPr="00F44533">
        <w:rPr>
          <w:i/>
        </w:rPr>
        <w:t>Irre</w:t>
      </w:r>
      <w:r w:rsidR="00F938DF">
        <w:rPr>
          <w:i/>
        </w:rPr>
        <w:fldChar w:fldCharType="begin"/>
      </w:r>
      <w:r w:rsidR="00F938DF">
        <w:instrText xml:space="preserve"> XE "</w:instrText>
      </w:r>
      <w:r w:rsidR="00F938DF" w:rsidRPr="00236A94">
        <w:rPr>
          <w:i/>
        </w:rPr>
        <w:instrText>Irre</w:instrText>
      </w:r>
      <w:r w:rsidR="00F938DF">
        <w:instrText xml:space="preserve">" </w:instrText>
      </w:r>
      <w:r w:rsidR="00F938DF">
        <w:rPr>
          <w:i/>
        </w:rPr>
        <w:fldChar w:fldCharType="end"/>
      </w:r>
      <w:r w:rsidR="00F44533">
        <w:t>).</w:t>
      </w:r>
    </w:p>
    <w:p w:rsidR="08163013" w:rsidRPr="00273106" w:rsidRDefault="08163013" w:rsidP="00134B06">
      <w:pPr>
        <w:ind w:firstLine="397"/>
      </w:pPr>
      <w:r>
        <w:t xml:space="preserve">Dosazení esenciální kauzality </w:t>
      </w:r>
      <w:r w:rsidR="00F44CB8">
        <w:t xml:space="preserve">do deduktivního syllogismu </w:t>
      </w:r>
      <w:r>
        <w:t xml:space="preserve">zajistilo vědecky danou nutnost ve středním členu vědeckého </w:t>
      </w:r>
      <w:r>
        <w:rPr>
          <w:lang w:eastAsia="en-US"/>
        </w:rPr>
        <w:t>důkazu</w:t>
      </w:r>
      <w:r w:rsidR="000D54A5">
        <w:rPr>
          <w:lang w:eastAsia="en-US"/>
        </w:rPr>
        <w:t xml:space="preserve"> </w:t>
      </w:r>
      <w:r w:rsidR="000D54A5">
        <w:t>(</w:t>
      </w:r>
      <w:r w:rsidR="000D54A5" w:rsidRPr="008F02A5">
        <w:rPr>
          <w:i/>
        </w:rPr>
        <w:t>medium</w:t>
      </w:r>
      <w:r w:rsidR="000D54A5">
        <w:t>)</w:t>
      </w:r>
      <w:r w:rsidR="00D87543">
        <w:t>.</w:t>
      </w:r>
      <w:r>
        <w:t xml:space="preserve"> </w:t>
      </w:r>
      <w:r w:rsidR="00C05CCC">
        <w:t xml:space="preserve">Je jasné, že Scotus musel zrušit impozici </w:t>
      </w:r>
      <w:r w:rsidR="00C05CCC">
        <w:lastRenderedPageBreak/>
        <w:t xml:space="preserve">z reality danou v prvním averroismu a nahradil ji logickou supozicí danou v druhém averroismu. Z hlediska </w:t>
      </w:r>
      <w:r w:rsidR="00C05CCC" w:rsidRPr="00C05CCC">
        <w:rPr>
          <w:i/>
        </w:rPr>
        <w:t>Druhých Analytik</w:t>
      </w:r>
      <w:r w:rsidR="00C05CCC">
        <w:t xml:space="preserve"> to znamená, že </w:t>
      </w:r>
      <w:r w:rsidR="00FE6D3E">
        <w:t xml:space="preserve">Scotova </w:t>
      </w:r>
      <w:r w:rsidR="00C05CCC">
        <w:t xml:space="preserve">nutnost nemá hyparchický charakter, ale je daná pouze v mysli. Takže nový </w:t>
      </w:r>
      <w:r w:rsidR="00DC680B">
        <w:t>přísun jsoucna jako smysluplného, poznatelného, manipulovatelného atd. (</w:t>
      </w:r>
      <w:r w:rsidR="00C05CCC" w:rsidRPr="00B839DC">
        <w:rPr>
          <w:i/>
        </w:rPr>
        <w:t>Ge-Stell</w:t>
      </w:r>
      <w:r w:rsidR="009A4C65">
        <w:rPr>
          <w:i/>
        </w:rPr>
        <w:fldChar w:fldCharType="begin"/>
      </w:r>
      <w:r w:rsidR="009A4C65">
        <w:instrText xml:space="preserve"> XE "</w:instrText>
      </w:r>
      <w:r w:rsidR="009A4C65" w:rsidRPr="00AC0CE3">
        <w:rPr>
          <w:i/>
        </w:rPr>
        <w:instrText>Ge-Stell</w:instrText>
      </w:r>
      <w:r w:rsidR="009A4C65">
        <w:instrText xml:space="preserve">" </w:instrText>
      </w:r>
      <w:r w:rsidR="009A4C65">
        <w:rPr>
          <w:i/>
        </w:rPr>
        <w:fldChar w:fldCharType="end"/>
      </w:r>
      <w:r w:rsidR="00DC680B">
        <w:rPr>
          <w:sz w:val="28"/>
        </w:rPr>
        <w:t xml:space="preserve">) </w:t>
      </w:r>
      <w:r w:rsidR="00C05CCC">
        <w:t xml:space="preserve">je daný </w:t>
      </w:r>
      <w:r w:rsidR="00B839DC">
        <w:t>tím, že esenciální kauzalitu mo</w:t>
      </w:r>
      <w:r w:rsidR="00C05CCC">
        <w:t>derního</w:t>
      </w:r>
      <w:r w:rsidR="00B839DC">
        <w:t xml:space="preserve"> boha přímo vytváří lid</w:t>
      </w:r>
      <w:r w:rsidR="009A4C65">
        <w:t xml:space="preserve">ský subjekt. </w:t>
      </w:r>
      <w:r w:rsidR="00134B06" w:rsidRPr="00134B06">
        <w:t xml:space="preserve">Modernisté vnímají božskou kauzalitu přímo v myšlení, stejně jako kauzalitu trojúhelníku. </w:t>
      </w:r>
      <w:r>
        <w:t xml:space="preserve">Obě esence působí v řádu věčných a nemateriálních substancí daných </w:t>
      </w:r>
      <w:r w:rsidRPr="080671A7">
        <w:rPr>
          <w:i/>
        </w:rPr>
        <w:t>simpliciter</w:t>
      </w:r>
      <w:r>
        <w:t>. Tím vznikl nový koncept univocity spojující boha a člověka</w:t>
      </w:r>
      <w:r>
        <w:fldChar w:fldCharType="begin"/>
      </w:r>
      <w:r>
        <w:instrText xml:space="preserve"> XE "</w:instrText>
      </w:r>
      <w:r w:rsidRPr="004016A8">
        <w:instrText>predikace:univoční</w:instrText>
      </w:r>
      <w:r>
        <w:instrText xml:space="preserve">" </w:instrText>
      </w:r>
      <w:r>
        <w:fldChar w:fldCharType="end"/>
      </w:r>
      <w:r>
        <w:t xml:space="preserve">. </w:t>
      </w:r>
      <w:r w:rsidRPr="00273106">
        <w:t>Mystická iluminace intelektu přímo od boha je zbytečná, protože je třeba hledat obecnou kauzalitu zaručující jisté a nutné poznání</w:t>
      </w:r>
      <w:r>
        <w:t xml:space="preserve"> na úrovni substance</w:t>
      </w:r>
      <w:r w:rsidRPr="00273106">
        <w:t xml:space="preserve">. </w:t>
      </w:r>
      <w:r>
        <w:t xml:space="preserve">V </w:t>
      </w:r>
      <w:r w:rsidRPr="00273106">
        <w:t>našem intelektu místo iluminace přímo působ</w:t>
      </w:r>
      <w:r>
        <w:t>í</w:t>
      </w:r>
      <w:r w:rsidRPr="00273106">
        <w:t xml:space="preserve"> boží kauzalita daná na základě jeho vůle. </w:t>
      </w:r>
      <w:r>
        <w:t>Scotus vyloučil vliv mystické analogie a iluminace pro rozumové poznání boha. Modernu musí ovládat racionální filosofie</w:t>
      </w:r>
      <w:r w:rsidR="00384970">
        <w:t>,</w:t>
      </w:r>
      <w:r>
        <w:t xml:space="preserve"> a ne mystika. P</w:t>
      </w:r>
      <w:r w:rsidRPr="00273106">
        <w:t>oznání</w:t>
      </w:r>
      <w:r>
        <w:t xml:space="preserve"> boha není dáno v modu neoplatonské iluminace dané skrze oddělený kosmický </w:t>
      </w:r>
      <w:r w:rsidRPr="001A3820">
        <w:rPr>
          <w:i/>
        </w:rPr>
        <w:t>intellectus agens</w:t>
      </w:r>
      <w:r w:rsidRPr="00D9396A">
        <w:fldChar w:fldCharType="begin"/>
      </w:r>
      <w:r w:rsidRPr="00D9396A">
        <w:instrText xml:space="preserve"> XE "</w:instrText>
      </w:r>
      <w:r w:rsidRPr="00D9396A">
        <w:rPr>
          <w:i/>
        </w:rPr>
        <w:instrText>intellectus agens</w:instrText>
      </w:r>
      <w:r w:rsidRPr="00D9396A">
        <w:instrText>:</w:instrText>
      </w:r>
      <w:r>
        <w:instrText>druhý averroismus</w:instrText>
      </w:r>
      <w:r w:rsidRPr="00D9396A">
        <w:instrText xml:space="preserve">" </w:instrText>
      </w:r>
      <w:r w:rsidRPr="00D9396A">
        <w:fldChar w:fldCharType="end"/>
      </w:r>
      <w:r w:rsidRPr="00D9396A">
        <w:t>, ale skrz</w:t>
      </w:r>
      <w:r>
        <w:t>e aristotelský proce</w:t>
      </w:r>
      <w:r w:rsidR="00410F0B">
        <w:t>s abstrakce. Intelektuální formace</w:t>
      </w:r>
      <w:r>
        <w:t xml:space="preserve"> konceptu je naše vlastní, vnější je pouze kauzalita, která spouští proces poznání. </w:t>
      </w:r>
      <w:r w:rsidRPr="00273106">
        <w:t xml:space="preserve">Duše je čistě pasivní </w:t>
      </w:r>
      <w:r w:rsidRPr="00273106">
        <w:rPr>
          <w:i/>
        </w:rPr>
        <w:t>tabula rasa</w:t>
      </w:r>
      <w:r>
        <w:rPr>
          <w:i/>
        </w:rPr>
        <w:fldChar w:fldCharType="begin"/>
      </w:r>
      <w:r>
        <w:instrText xml:space="preserve"> XE "</w:instrText>
      </w:r>
      <w:r w:rsidRPr="00CE6D17">
        <w:rPr>
          <w:i/>
        </w:rPr>
        <w:instrText>tabula rasa</w:instrText>
      </w:r>
      <w:r>
        <w:instrText xml:space="preserve">" </w:instrText>
      </w:r>
      <w:r>
        <w:rPr>
          <w:i/>
        </w:rPr>
        <w:fldChar w:fldCharType="end"/>
      </w:r>
      <w:r w:rsidRPr="00273106">
        <w:t xml:space="preserve"> podle </w:t>
      </w:r>
      <w:r>
        <w:rPr>
          <w:i/>
        </w:rPr>
        <w:t>De a</w:t>
      </w:r>
      <w:r w:rsidRPr="00273106">
        <w:rPr>
          <w:i/>
        </w:rPr>
        <w:t>nima</w:t>
      </w:r>
      <w:r>
        <w:t>. A</w:t>
      </w:r>
      <w:r w:rsidRPr="00273106">
        <w:t xml:space="preserve">le </w:t>
      </w:r>
      <w:r>
        <w:t xml:space="preserve">víme, že existuje </w:t>
      </w:r>
      <w:r w:rsidRPr="00273106">
        <w:t>b</w:t>
      </w:r>
      <w:r>
        <w:t xml:space="preserve">ůh a jeho stvořitelská </w:t>
      </w:r>
      <w:r w:rsidRPr="00273106">
        <w:t>kauzalita</w:t>
      </w:r>
      <w:r>
        <w:t xml:space="preserve">, která je dána </w:t>
      </w:r>
      <w:r w:rsidRPr="00273106">
        <w:t>mimo nás</w:t>
      </w:r>
      <w:r>
        <w:t xml:space="preserve"> a také v nás</w:t>
      </w:r>
      <w:r w:rsidRPr="00273106">
        <w:t xml:space="preserve">. </w:t>
      </w:r>
      <w:r>
        <w:t xml:space="preserve">Stvořitelská efektivní kauzalita je daná přímo od boha a my ji přímo zakoušíme. Kauzalita daná od boha představuje univoční koncept, který svou aktualitou rozbíhá proces aristotelsky pojaté abstrakce. Tento koncept kauzality je definovaný dogmaticky podle teorie jedné pravdy mocensky potvrzené v roce 1277. Zavedení dogmatické esenciální kauzality zrušilo analogickou predikaci božích vlastností ve stvoření. Prázdný intelekt v sobě nemůže vytvořit žádný koncept něčeho jiného, protože duše je prázdná a pasivní vzhledem k prvním konceptům. </w:t>
      </w:r>
      <w:r w:rsidRPr="00273106">
        <w:t xml:space="preserve">Skok myšlení </w:t>
      </w:r>
      <w:r>
        <w:t xml:space="preserve">k oddělenému bohu jako vnější příčině našeho poznání </w:t>
      </w:r>
      <w:r w:rsidRPr="00273106">
        <w:t>zaklád</w:t>
      </w:r>
      <w:r>
        <w:t xml:space="preserve">á univoční ontologii moderny. Podobný skok měl teolog Akvinský v dogmatickém postulátu věčné </w:t>
      </w:r>
      <w:r w:rsidR="000B0080">
        <w:t xml:space="preserve">intelektuální </w:t>
      </w:r>
      <w:r>
        <w:t xml:space="preserve">duše. </w:t>
      </w:r>
      <w:r w:rsidRPr="00273106">
        <w:t>Traktát odmítne poznání založené na mystické iluminaci</w:t>
      </w:r>
      <w:r>
        <w:fldChar w:fldCharType="begin"/>
      </w:r>
      <w:r>
        <w:instrText xml:space="preserve"> XE "</w:instrText>
      </w:r>
      <w:r w:rsidRPr="00FB2783">
        <w:instrText>iluminace</w:instrText>
      </w:r>
      <w:r>
        <w:instrText xml:space="preserve">" </w:instrText>
      </w:r>
      <w:r>
        <w:fldChar w:fldCharType="end"/>
      </w:r>
      <w:r w:rsidRPr="00273106">
        <w:t xml:space="preserve"> po vzoru Bonaventurovy školy, protože každé poznání je dané přirozeně a kauzálně</w:t>
      </w:r>
      <w:r>
        <w:t xml:space="preserve">, jak to postuluje spis </w:t>
      </w:r>
      <w:r w:rsidRPr="005B3C99">
        <w:rPr>
          <w:i/>
        </w:rPr>
        <w:t>De anima</w:t>
      </w:r>
      <w:r w:rsidRPr="00273106">
        <w:t xml:space="preserve">. </w:t>
      </w:r>
      <w:r>
        <w:t xml:space="preserve">Scotus upravil kauzalitu poznání podle schématu </w:t>
      </w:r>
      <w:r w:rsidRPr="08C519E5">
        <w:rPr>
          <w:i/>
        </w:rPr>
        <w:t>Druhých analytik</w:t>
      </w:r>
      <w:r>
        <w:t xml:space="preserve"> a odmítl iluminaci skrze autonomní </w:t>
      </w:r>
      <w:r w:rsidRPr="08C519E5">
        <w:rPr>
          <w:i/>
        </w:rPr>
        <w:t>intellectus agens</w:t>
      </w:r>
      <w:r>
        <w:t>, k němuž se vrátil postmoderní iluminát Descartes</w:t>
      </w:r>
      <w:r>
        <w:fldChar w:fldCharType="begin"/>
      </w:r>
      <w:r>
        <w:instrText xml:space="preserve"> XE "</w:instrText>
      </w:r>
      <w:r w:rsidRPr="00D12321">
        <w:instrText>Descartes, R.</w:instrText>
      </w:r>
      <w:r>
        <w:instrText xml:space="preserve">" </w:instrText>
      </w:r>
      <w:r>
        <w:fldChar w:fldCharType="end"/>
      </w:r>
      <w:r>
        <w:t xml:space="preserve">. Scotus nepotřebuje Bonaventurova vrozená </w:t>
      </w:r>
      <w:r w:rsidR="00962190" w:rsidRPr="008567D6">
        <w:t>species</w:t>
      </w:r>
      <w:r w:rsidR="008567D6">
        <w:t xml:space="preserve"> </w:t>
      </w:r>
      <w:r w:rsidR="008567D6" w:rsidRPr="00273106">
        <w:t>(</w:t>
      </w:r>
      <w:r w:rsidR="008567D6">
        <w:rPr>
          <w:i/>
        </w:rPr>
        <w:t>species</w:t>
      </w:r>
      <w:r w:rsidR="008567D6" w:rsidRPr="00273106">
        <w:rPr>
          <w:i/>
        </w:rPr>
        <w:t xml:space="preserve"> innata</w:t>
      </w:r>
      <w:r w:rsidR="008567D6">
        <w:rPr>
          <w:i/>
        </w:rPr>
        <w:fldChar w:fldCharType="begin"/>
      </w:r>
      <w:r w:rsidR="008567D6">
        <w:instrText xml:space="preserve"> XE "</w:instrText>
      </w:r>
      <w:r w:rsidR="008567D6" w:rsidRPr="00D770FF">
        <w:rPr>
          <w:i/>
        </w:rPr>
        <w:instrText>species innata</w:instrText>
      </w:r>
      <w:r w:rsidR="008567D6">
        <w:instrText xml:space="preserve">" </w:instrText>
      </w:r>
      <w:r w:rsidR="008567D6">
        <w:rPr>
          <w:i/>
        </w:rPr>
        <w:fldChar w:fldCharType="end"/>
      </w:r>
      <w:r w:rsidR="008567D6">
        <w:t>)</w:t>
      </w:r>
      <w:r>
        <w:t>, které</w:t>
      </w:r>
      <w:r w:rsidRPr="00273106">
        <w:t xml:space="preserve"> </w:t>
      </w:r>
      <w:r w:rsidR="008567D6">
        <w:t xml:space="preserve">znovu zavedl </w:t>
      </w:r>
      <w:r w:rsidRPr="00273106">
        <w:t xml:space="preserve">Descartes </w:t>
      </w:r>
      <w:r>
        <w:t xml:space="preserve">skrze </w:t>
      </w:r>
      <w:r w:rsidRPr="00273106">
        <w:lastRenderedPageBreak/>
        <w:t>vrozenou ideu boha v nás.</w:t>
      </w:r>
      <w:r>
        <w:t xml:space="preserve"> Nový filosofický vztah k bohu koncipovaný v modu aristotelské kauzality ukazuje tento citát. </w:t>
      </w:r>
    </w:p>
    <w:p w:rsidR="08163013" w:rsidRPr="009B0EA5" w:rsidRDefault="08163013" w:rsidP="08163013">
      <w:pPr>
        <w:pStyle w:val="Citace"/>
        <w:rPr>
          <w:noProof/>
          <w:lang w:val="cs-CZ"/>
        </w:rPr>
      </w:pPr>
      <w:r w:rsidRPr="00273106">
        <w:rPr>
          <w:noProof/>
          <w:lang w:val="cs-CZ"/>
        </w:rPr>
        <w:t>„</w:t>
      </w:r>
      <w:r>
        <w:rPr>
          <w:noProof/>
          <w:lang w:val="cs-CZ"/>
        </w:rPr>
        <w:t xml:space="preserve">A podle Filosofa ve třetí knize </w:t>
      </w:r>
      <w:r w:rsidRPr="081F0473">
        <w:rPr>
          <w:i/>
          <w:noProof/>
          <w:lang w:val="cs-CZ"/>
        </w:rPr>
        <w:t>De anima</w:t>
      </w:r>
      <w:r>
        <w:rPr>
          <w:noProof/>
          <w:lang w:val="cs-CZ"/>
        </w:rPr>
        <w:t xml:space="preserve"> platí, že 'duše je sama o sobě prázdná tabulka' atd.;  proto tvrdím, že prázdný intelekt nemůže sám ze sebe vytvořit žádný koncept vnější věci (</w:t>
      </w:r>
      <w:r w:rsidRPr="081F0473">
        <w:rPr>
          <w:i/>
          <w:noProof/>
        </w:rPr>
        <w:t>nullum conceptum 'de alio'</w:t>
      </w:r>
      <w:r>
        <w:rPr>
          <w:noProof/>
          <w:lang w:val="cs-CZ"/>
        </w:rPr>
        <w:t>), i když někteří tvrdí, že tento koncept jiného jsoucna vytvořit může, protože náš intelekt je sám v sobě vždy aktuálně přítomný (</w:t>
      </w:r>
      <w:r w:rsidRPr="081F0473">
        <w:rPr>
          <w:i/>
          <w:noProof/>
        </w:rPr>
        <w:t>sibi semper praesens est</w:t>
      </w:r>
      <w:r>
        <w:rPr>
          <w:noProof/>
          <w:lang w:val="cs-CZ"/>
        </w:rPr>
        <w:t>). Kdyby byl koncept boha v mysli dán analogicky a odlišný od konceptu [univočně] vypovídaném o stvoření, pak by bylo třeba, aby v našem intelektu existovala jiná příčina [poznání boha], než je samotný intelekt. Ale tato kauza nemůže být dána v přirozeném stavu našeho intelektu, jak je dokázáno výše. Tato příčina poznání boha by nemohla existovat, a ani bychom nemohli o bohu nic vědět (</w:t>
      </w:r>
      <w:r w:rsidRPr="00D33DE0">
        <w:rPr>
          <w:i/>
          <w:noProof/>
        </w:rPr>
        <w:t>nihil intelligemus de Deo</w:t>
      </w:r>
      <w:r>
        <w:rPr>
          <w:noProof/>
          <w:lang w:val="cs-CZ"/>
        </w:rPr>
        <w:t>), kdyby bůh sám nedal tuto příčinu do naší mysli podle svého uvážení (</w:t>
      </w:r>
      <w:r w:rsidRPr="00D33DE0">
        <w:rPr>
          <w:i/>
          <w:noProof/>
        </w:rPr>
        <w:t>nisi Deus velit imprimere</w:t>
      </w:r>
      <w:r>
        <w:rPr>
          <w:noProof/>
          <w:lang w:val="cs-CZ"/>
        </w:rPr>
        <w:t>).“ </w:t>
      </w:r>
      <w:r>
        <w:rPr>
          <w:rStyle w:val="Znakapoznpodarou"/>
        </w:rPr>
        <w:footnoteReference w:id="430"/>
      </w:r>
    </w:p>
    <w:p w:rsidR="007632E3" w:rsidRDefault="08163013" w:rsidP="08163013">
      <w:r w:rsidRPr="00273106">
        <w:t xml:space="preserve">Citát </w:t>
      </w:r>
      <w:r>
        <w:t xml:space="preserve">jasně říká podle </w:t>
      </w:r>
      <w:r w:rsidRPr="00D15B26">
        <w:rPr>
          <w:i/>
        </w:rPr>
        <w:t>De anima</w:t>
      </w:r>
      <w:r>
        <w:t xml:space="preserve">, že možný intelekt je </w:t>
      </w:r>
      <w:r w:rsidRPr="00D15B26">
        <w:rPr>
          <w:i/>
        </w:rPr>
        <w:t>tabula rasa</w:t>
      </w:r>
      <w:r>
        <w:t xml:space="preserve"> a nemůže obsahovat žádné vrozené ideje. </w:t>
      </w:r>
      <w:r w:rsidRPr="00273106">
        <w:t>Bůh působí přímo v na</w:t>
      </w:r>
      <w:r>
        <w:t xml:space="preserve">ší duši na způsob první příčiny </w:t>
      </w:r>
      <w:r w:rsidRPr="00273106">
        <w:t>(</w:t>
      </w:r>
      <w:r w:rsidRPr="00273106">
        <w:rPr>
          <w:i/>
        </w:rPr>
        <w:t>Deus velit imprimere sicut sibi placet</w:t>
      </w:r>
      <w:r w:rsidRPr="00273106">
        <w:t>)</w:t>
      </w:r>
      <w:r>
        <w:t>. Aristotelik Scotus zásadně odmítl hypostázované pojetí moderního intelektu, který je aktuální substancí a sám ze sebe produkuje poznané významy (</w:t>
      </w:r>
      <w:r w:rsidRPr="08891905">
        <w:rPr>
          <w:i/>
        </w:rPr>
        <w:t xml:space="preserve">nullum conceptum 'de alio' potest intellectus nudus facere in </w:t>
      </w:r>
      <w:proofErr w:type="gramStart"/>
      <w:r w:rsidRPr="08891905">
        <w:rPr>
          <w:i/>
        </w:rPr>
        <w:t>se</w:t>
      </w:r>
      <w:proofErr w:type="gramEnd"/>
      <w:r>
        <w:t xml:space="preserve">). Iluminace, emanace a komitace nejsou filosofické koncepty, ale mystické vize, proto nemohou být zahrnuty do projektu nové moderní metafyziky. Ale na rozdíl od Modistů ze školy prvního averroismu Scotus tvrdí, že náš intelekt nazírá působení </w:t>
      </w:r>
      <w:r w:rsidRPr="08582AEE">
        <w:rPr>
          <w:i/>
        </w:rPr>
        <w:t xml:space="preserve">causa prima </w:t>
      </w:r>
      <w:r>
        <w:t xml:space="preserve">přímo v sobě bez mediace smyslů. Opět je ve hře pojetí esenciální kauzality </w:t>
      </w:r>
      <w:r w:rsidRPr="083E40A5">
        <w:rPr>
          <w:i/>
        </w:rPr>
        <w:t>Oxfordian Fallacy</w:t>
      </w:r>
      <w:r>
        <w:t xml:space="preserve"> podle Rufuse a Kilwardbyho, které bere kauzalitu na úrovni matematických esencí univočně i pro působení reálných prvních substancí. Scotus udělal z boha matematickou veličinu a tím provedl zásadní zatmění boha jako první substance. Bůh se nyní manifestuje v mysli ilumináta v modu antropomorfní parousie dané </w:t>
      </w:r>
      <w:r w:rsidRPr="08AE32A6">
        <w:rPr>
          <w:i/>
          <w:lang w:eastAsia="en-US"/>
        </w:rPr>
        <w:t>simpliciter</w:t>
      </w:r>
      <w:r>
        <w:rPr>
          <w:lang w:eastAsia="en-US"/>
        </w:rPr>
        <w:t xml:space="preserve"> v rámci</w:t>
      </w:r>
      <w:r w:rsidR="00FB0AD7">
        <w:rPr>
          <w:lang w:eastAsia="en-US"/>
        </w:rPr>
        <w:t xml:space="preserve"> hypotetického vědeckého důkazu. </w:t>
      </w:r>
      <w:r>
        <w:t xml:space="preserve">Tím se </w:t>
      </w:r>
      <w:proofErr w:type="gramStart"/>
      <w:r>
        <w:t>stal</w:t>
      </w:r>
      <w:proofErr w:type="gramEnd"/>
      <w:r>
        <w:t xml:space="preserve"> moderní bůh </w:t>
      </w:r>
      <w:proofErr w:type="gramStart"/>
      <w:r>
        <w:t>stal</w:t>
      </w:r>
      <w:proofErr w:type="gramEnd"/>
      <w:r>
        <w:t xml:space="preserve"> ve Scotově metafyzice matematickou abstrakcí, což </w:t>
      </w:r>
      <w:r w:rsidR="00BB2E97">
        <w:t xml:space="preserve">skrze </w:t>
      </w:r>
      <w:r>
        <w:t xml:space="preserve">Leibnize a Nietzscheho způsobilo jeho smrt. Iluminát může objektivní boží kauzalitu nazírat v duši přímo jako v případě matematického či geometrického působení trojúhelníka. Koncept boha i stvoření je daný univočně skrze Avicennův formální koncept jsoucího jako jsoucího. </w:t>
      </w:r>
      <w:r w:rsidRPr="00273106">
        <w:t xml:space="preserve">Zavedení kauzality </w:t>
      </w:r>
      <w:r>
        <w:lastRenderedPageBreak/>
        <w:t xml:space="preserve">do intelektu skrze externí boží vůli proměnilo </w:t>
      </w:r>
      <w:r w:rsidRPr="00273106">
        <w:t>průběh abstrakce a převe</w:t>
      </w:r>
      <w:r>
        <w:t xml:space="preserve">dlo ji z neoplatonského </w:t>
      </w:r>
      <w:r w:rsidRPr="00273106">
        <w:rPr>
          <w:i/>
        </w:rPr>
        <w:t>denudatio</w:t>
      </w:r>
      <w:r w:rsidRPr="00273106">
        <w:t xml:space="preserve"> </w:t>
      </w:r>
      <w:r>
        <w:t>do a</w:t>
      </w:r>
      <w:r w:rsidRPr="00273106">
        <w:t>ristotel</w:t>
      </w:r>
      <w:r w:rsidR="00BB2E97">
        <w:t xml:space="preserve">ské </w:t>
      </w:r>
      <w:r w:rsidR="00BB2E97" w:rsidRPr="00BB2E97">
        <w:rPr>
          <w:i/>
        </w:rPr>
        <w:t>abstractio</w:t>
      </w:r>
      <w:r w:rsidR="00BB2E97">
        <w:t xml:space="preserve">. Ta je </w:t>
      </w:r>
      <w:r w:rsidR="000F3265">
        <w:t>daná</w:t>
      </w:r>
      <w:r>
        <w:t xml:space="preserve"> v rámci logicko-matematického důkazu a nutnosti podle </w:t>
      </w:r>
      <w:r w:rsidRPr="088C6B9F">
        <w:rPr>
          <w:i/>
        </w:rPr>
        <w:t>Druhých analytik</w:t>
      </w:r>
      <w:r w:rsidRPr="00273106">
        <w:t xml:space="preserve">. </w:t>
      </w:r>
      <w:r>
        <w:t xml:space="preserve">Stvořitelskou kauzalitu esenciálně poznáváme v našem receptivním </w:t>
      </w:r>
      <w:r w:rsidR="00254E25">
        <w:t xml:space="preserve">intelektuálním </w:t>
      </w:r>
      <w:r>
        <w:t xml:space="preserve">poznání, proto je myšlení a poznání naše vlastní. Citát </w:t>
      </w:r>
      <w:r w:rsidRPr="00273106">
        <w:t>odmít</w:t>
      </w:r>
      <w:r>
        <w:t>l</w:t>
      </w:r>
      <w:r w:rsidRPr="00273106">
        <w:t xml:space="preserve"> koncept analogického </w:t>
      </w:r>
      <w:r>
        <w:t xml:space="preserve">a mystického </w:t>
      </w:r>
      <w:r w:rsidRPr="00273106">
        <w:t>poznání boha</w:t>
      </w:r>
      <w:r>
        <w:t xml:space="preserve"> a také cestu prvního averroismu a tomismu přes přes smyslově vnímané účinky boha ve stvoření</w:t>
      </w:r>
      <w:r w:rsidRPr="084626BC">
        <w:t xml:space="preserve"> </w:t>
      </w:r>
      <w:r>
        <w:t xml:space="preserve">jako </w:t>
      </w:r>
      <w:r w:rsidRPr="08621AD6">
        <w:rPr>
          <w:i/>
        </w:rPr>
        <w:t>causa prima</w:t>
      </w:r>
      <w:r>
        <w:rPr>
          <w:i/>
        </w:rPr>
        <w:fldChar w:fldCharType="begin"/>
      </w:r>
      <w:r>
        <w:instrText xml:space="preserve"> XE "</w:instrText>
      </w:r>
      <w:r w:rsidRPr="08C016C4">
        <w:rPr>
          <w:i/>
        </w:rPr>
        <w:instrText>causa prima</w:instrText>
      </w:r>
      <w:r>
        <w:instrText xml:space="preserve">" </w:instrText>
      </w:r>
      <w:r>
        <w:rPr>
          <w:i/>
        </w:rPr>
        <w:fldChar w:fldCharType="end"/>
      </w:r>
      <w:r>
        <w:t xml:space="preserve">. Scotus vytvořil filosofickou formu iluminace danou jako esence kauzality a tu vložil do schématu aristotelské vědecké dedukce. </w:t>
      </w:r>
      <w:r w:rsidRPr="00273106">
        <w:t>A</w:t>
      </w:r>
      <w:r>
        <w:t xml:space="preserve">nalogie daná v přirozeném lidském </w:t>
      </w:r>
      <w:r w:rsidRPr="00273106">
        <w:t xml:space="preserve">poznání </w:t>
      </w:r>
      <w:r>
        <w:t>(</w:t>
      </w:r>
      <w:r w:rsidRPr="00273106">
        <w:rPr>
          <w:i/>
        </w:rPr>
        <w:t>pro statu isto</w:t>
      </w:r>
      <w:r>
        <w:t xml:space="preserve">) </w:t>
      </w:r>
      <w:r w:rsidRPr="00273106">
        <w:t xml:space="preserve">na základě kauzality od stvořených jsoucen nestačí na etablování </w:t>
      </w:r>
      <w:r w:rsidR="00254E25">
        <w:t xml:space="preserve">univočního </w:t>
      </w:r>
      <w:r w:rsidRPr="00273106">
        <w:t>poznání boha (</w:t>
      </w:r>
      <w:r w:rsidRPr="00273106">
        <w:rPr>
          <w:i/>
        </w:rPr>
        <w:t>causa non potest esse aliquid quod est motivum intellectus nostri</w:t>
      </w:r>
      <w:r w:rsidRPr="00273106">
        <w:t xml:space="preserve">). </w:t>
      </w:r>
      <w:r>
        <w:t>J</w:t>
      </w:r>
      <w:r w:rsidRPr="00273106">
        <w:t>e třeba vyjít z boha jako aktivní příčiny našeho poznání</w:t>
      </w:r>
      <w:r>
        <w:t>, která na duši působí zvnějšku, čistě intelektuálně a přímo</w:t>
      </w:r>
      <w:r w:rsidRPr="00273106">
        <w:t xml:space="preserve">. </w:t>
      </w:r>
      <w:r>
        <w:t>Aristotelské n</w:t>
      </w:r>
      <w:r w:rsidRPr="00273106">
        <w:t xml:space="preserve">asvícení intelektu od aktuální </w:t>
      </w:r>
      <w:r>
        <w:t xml:space="preserve">hylemorfické </w:t>
      </w:r>
      <w:r w:rsidRPr="00273106">
        <w:t xml:space="preserve">substance stačí </w:t>
      </w:r>
      <w:r>
        <w:t xml:space="preserve">pouze </w:t>
      </w:r>
      <w:r w:rsidRPr="00273106">
        <w:t>pro přirozené poznání</w:t>
      </w:r>
      <w:r>
        <w:t xml:space="preserve"> božích účinků ve stvoření. Ale tím je vyloučeno poznání boha vázané na pojem nekonečného jsoucna. Analogie zase nedává </w:t>
      </w:r>
      <w:r w:rsidRPr="00273106">
        <w:t>univoční koncept boha</w:t>
      </w:r>
      <w:r>
        <w:t xml:space="preserve"> a navíc je napojená na teorii iluminace</w:t>
      </w:r>
      <w:r w:rsidR="00AD26D1">
        <w:t xml:space="preserve"> a emenace</w:t>
      </w:r>
      <w:r>
        <w:t xml:space="preserve">, proto také nemůže založit vědeckou </w:t>
      </w:r>
      <w:r w:rsidR="00AD26D1">
        <w:t xml:space="preserve">aristotelskou </w:t>
      </w:r>
      <w:r>
        <w:t xml:space="preserve">dedukci. </w:t>
      </w:r>
      <w:r w:rsidRPr="00273106">
        <w:t xml:space="preserve">Poznání boha musí být univoční a analogie má pro univocitu nedostačující kauzalitu. </w:t>
      </w:r>
      <w:r>
        <w:t>Proto by po analogickém důkazu (</w:t>
      </w:r>
      <w:r w:rsidRPr="087A195B">
        <w:rPr>
          <w:i/>
        </w:rPr>
        <w:t>conceptus dictus de Deo analogus</w:t>
      </w:r>
      <w:r>
        <w:t>) stejně musel následovat vědecký důkaz z kauzality nějaké nemateriální substance, protože analogie je dána pouze v intelektu (</w:t>
      </w:r>
      <w:r w:rsidRPr="087A195B">
        <w:rPr>
          <w:i/>
        </w:rPr>
        <w:t>oportet ponere aliquam causam aliam ab intellectu</w:t>
      </w:r>
      <w:r>
        <w:t xml:space="preserve">). </w:t>
      </w:r>
      <w:r w:rsidRPr="00273106">
        <w:t>Scotova aristotelská pozice</w:t>
      </w:r>
      <w:r>
        <w:t xml:space="preserve"> nevylučuje </w:t>
      </w:r>
      <w:r w:rsidRPr="00273106">
        <w:t>smyslové poznání z důkazu boha</w:t>
      </w:r>
      <w:r>
        <w:t>, jen ho považuje za nedostatečné</w:t>
      </w:r>
      <w:r w:rsidRPr="00273106">
        <w:t xml:space="preserve">. </w:t>
      </w:r>
    </w:p>
    <w:p w:rsidR="08163013" w:rsidRDefault="08163013" w:rsidP="00A27F12">
      <w:pPr>
        <w:ind w:firstLine="397"/>
      </w:pPr>
      <w:r>
        <w:t xml:space="preserve">Scotus drží na rozdíl od </w:t>
      </w:r>
      <w:r w:rsidR="00330044">
        <w:t>neoplatonského</w:t>
      </w:r>
      <w:r w:rsidR="00504DB9">
        <w:t xml:space="preserve"> </w:t>
      </w:r>
      <w:r>
        <w:t>Descarta</w:t>
      </w:r>
      <w:r>
        <w:fldChar w:fldCharType="begin"/>
      </w:r>
      <w:r>
        <w:instrText xml:space="preserve"> XE "</w:instrText>
      </w:r>
      <w:r w:rsidRPr="004146C6">
        <w:rPr>
          <w:rStyle w:val="addmd"/>
        </w:rPr>
        <w:instrText>Descartes, R.</w:instrText>
      </w:r>
      <w:r>
        <w:instrText xml:space="preserve">" </w:instrText>
      </w:r>
      <w:r>
        <w:fldChar w:fldCharType="end"/>
      </w:r>
      <w:r>
        <w:t xml:space="preserve"> definici intelektu jako </w:t>
      </w:r>
      <w:r w:rsidRPr="00B10AE3">
        <w:rPr>
          <w:i/>
        </w:rPr>
        <w:t>tabula rasa</w:t>
      </w:r>
      <w:r>
        <w:rPr>
          <w:i/>
        </w:rPr>
        <w:fldChar w:fldCharType="begin"/>
      </w:r>
      <w:r>
        <w:instrText xml:space="preserve"> XE "</w:instrText>
      </w:r>
      <w:r w:rsidRPr="00CE6D17">
        <w:rPr>
          <w:i/>
        </w:rPr>
        <w:instrText>tabula rasa</w:instrText>
      </w:r>
      <w:r>
        <w:instrText xml:space="preserve">" </w:instrText>
      </w:r>
      <w:r>
        <w:rPr>
          <w:i/>
        </w:rPr>
        <w:fldChar w:fldCharType="end"/>
      </w:r>
      <w:r w:rsidR="00593C06">
        <w:t>. Naví</w:t>
      </w:r>
      <w:r w:rsidR="00A42615">
        <w:t xml:space="preserve">c nevylučuje </w:t>
      </w:r>
      <w:r w:rsidR="00593C06">
        <w:t>externí kauzalitu</w:t>
      </w:r>
      <w:r w:rsidR="00A42615">
        <w:t xml:space="preserve"> danou </w:t>
      </w:r>
      <w:r>
        <w:t>smyslově</w:t>
      </w:r>
      <w:r w:rsidR="00A42615">
        <w:t xml:space="preserve"> pro </w:t>
      </w:r>
      <w:r>
        <w:t xml:space="preserve">pro poznání </w:t>
      </w:r>
      <w:r w:rsidR="00A42615">
        <w:t xml:space="preserve">v rámci </w:t>
      </w:r>
      <w:r>
        <w:t>vědecké</w:t>
      </w:r>
      <w:r w:rsidR="00A42615">
        <w:t>ho</w:t>
      </w:r>
      <w:r>
        <w:t xml:space="preserve"> </w:t>
      </w:r>
      <w:r w:rsidRPr="00606A88">
        <w:rPr>
          <w:i/>
        </w:rPr>
        <w:t>demonstratio</w:t>
      </w:r>
      <w:r>
        <w:rPr>
          <w:i/>
        </w:rPr>
        <w:fldChar w:fldCharType="begin"/>
      </w:r>
      <w:r>
        <w:instrText xml:space="preserve"> XE "</w:instrText>
      </w:r>
      <w:r w:rsidRPr="004E6075">
        <w:rPr>
          <w:i/>
        </w:rPr>
        <w:instrText>demonstratio:</w:instrText>
      </w:r>
      <w:r w:rsidRPr="00AD42AB">
        <w:instrText>Scotus</w:instrText>
      </w:r>
      <w:r>
        <w:instrText xml:space="preserve">" </w:instrText>
      </w:r>
      <w:r>
        <w:rPr>
          <w:i/>
        </w:rPr>
        <w:fldChar w:fldCharType="end"/>
      </w:r>
      <w:r>
        <w:t xml:space="preserve"> podle </w:t>
      </w:r>
      <w:r w:rsidRPr="086044F2">
        <w:rPr>
          <w:i/>
        </w:rPr>
        <w:t>Druhých analytik</w:t>
      </w:r>
      <w:r>
        <w:t xml:space="preserve">. </w:t>
      </w:r>
      <w:r w:rsidRPr="00273106">
        <w:t xml:space="preserve">Oxfordské období interpretovalo poznání přes fantasmata v modu prvního averroismu a </w:t>
      </w:r>
      <w:r>
        <w:t xml:space="preserve">tím </w:t>
      </w:r>
      <w:r w:rsidRPr="00273106">
        <w:t xml:space="preserve">valorizovalo koncept </w:t>
      </w:r>
      <w:r w:rsidRPr="00273106">
        <w:rPr>
          <w:i/>
        </w:rPr>
        <w:t>intellectus possibilis</w:t>
      </w:r>
      <w:r>
        <w:rPr>
          <w:i/>
        </w:rPr>
        <w:fldChar w:fldCharType="begin"/>
      </w:r>
      <w:r>
        <w:instrText xml:space="preserve"> XE "</w:instrText>
      </w:r>
      <w:r w:rsidRPr="00770D02">
        <w:rPr>
          <w:i/>
        </w:rPr>
        <w:instrText>intellectus possibilis</w:instrText>
      </w:r>
      <w:r>
        <w:instrText xml:space="preserve">:Scotus" </w:instrText>
      </w:r>
      <w:r>
        <w:rPr>
          <w:i/>
        </w:rPr>
        <w:fldChar w:fldCharType="end"/>
      </w:r>
      <w:r w:rsidRPr="00273106">
        <w:t xml:space="preserve"> pro </w:t>
      </w:r>
      <w:r>
        <w:t>modernu</w:t>
      </w:r>
      <w:r w:rsidRPr="00273106">
        <w:t>. Scotův částečný realismus navazuje na dílo výše citovaného Matouše Aquasparty</w:t>
      </w:r>
      <w:r>
        <w:fldChar w:fldCharType="begin"/>
      </w:r>
      <w:r>
        <w:instrText xml:space="preserve"> XE "</w:instrText>
      </w:r>
      <w:r w:rsidRPr="00BA5883">
        <w:instrText>Aquasparta, M.</w:instrText>
      </w:r>
      <w:r>
        <w:instrText xml:space="preserve">" </w:instrText>
      </w:r>
      <w:r>
        <w:fldChar w:fldCharType="end"/>
      </w:r>
      <w:r w:rsidR="00504DB9">
        <w:t xml:space="preserve"> (kap. 5</w:t>
      </w:r>
      <w:r w:rsidRPr="00273106">
        <w:t xml:space="preserve">.2). Tento </w:t>
      </w:r>
      <w:r>
        <w:t>semiaverroistický</w:t>
      </w:r>
      <w:r>
        <w:fldChar w:fldCharType="begin"/>
      </w:r>
      <w:r>
        <w:instrText xml:space="preserve"> XE "</w:instrText>
      </w:r>
      <w:r w:rsidRPr="00575827">
        <w:instrText>semiaverroismus</w:instrText>
      </w:r>
      <w:r>
        <w:instrText xml:space="preserve">" </w:instrText>
      </w:r>
      <w:r>
        <w:fldChar w:fldCharType="end"/>
      </w:r>
      <w:r>
        <w:t xml:space="preserve"> </w:t>
      </w:r>
      <w:r w:rsidRPr="00273106">
        <w:t xml:space="preserve">filosof </w:t>
      </w:r>
      <w:r>
        <w:t xml:space="preserve">recipující první tomismus </w:t>
      </w:r>
      <w:r w:rsidRPr="00273106">
        <w:t xml:space="preserve">upozorňoval ilumináty ze školy druhého averroismu na to, že adekvační teorie pravdy vychází podle spisu </w:t>
      </w:r>
      <w:r>
        <w:rPr>
          <w:i/>
        </w:rPr>
        <w:t>De anima</w:t>
      </w:r>
      <w:r w:rsidRPr="00273106">
        <w:t xml:space="preserve"> ze smyslového poznání. </w:t>
      </w:r>
      <w:r>
        <w:t xml:space="preserve">Tomistická moderna a </w:t>
      </w:r>
      <w:r w:rsidRPr="00273106">
        <w:t xml:space="preserve">Scotus </w:t>
      </w:r>
      <w:r>
        <w:t>na rozdíl od prvního averroismu trvají</w:t>
      </w:r>
      <w:r w:rsidRPr="00273106">
        <w:t xml:space="preserve"> na zásadní nepodobnosti smyslů a </w:t>
      </w:r>
      <w:r w:rsidRPr="00273106">
        <w:lastRenderedPageBreak/>
        <w:t>intelektu</w:t>
      </w:r>
      <w:r>
        <w:t xml:space="preserve">. </w:t>
      </w:r>
      <w:r w:rsidRPr="00273106">
        <w:t>Smysly poznávají individuálně a materiálně</w:t>
      </w:r>
      <w:r>
        <w:t>, i</w:t>
      </w:r>
      <w:r w:rsidRPr="00273106">
        <w:t>ntelektuální poznání se děje skrze všeobecné pojmy</w:t>
      </w:r>
      <w:r>
        <w:t xml:space="preserve">. Proto nelze v moderně </w:t>
      </w:r>
      <w:r w:rsidRPr="00273106">
        <w:t xml:space="preserve">spojit </w:t>
      </w:r>
      <w:r>
        <w:t>smysly a intelekt, popřípadě mysl a tělo</w:t>
      </w:r>
      <w:r w:rsidRPr="00273106">
        <w:t xml:space="preserve">. </w:t>
      </w:r>
      <w:r>
        <w:t>Tuto dualistickou linii ohledně poznání razil Aegidius Romanus</w:t>
      </w:r>
      <w:r w:rsidRPr="00273106">
        <w:t xml:space="preserve"> </w:t>
      </w:r>
      <w:r>
        <w:t>z tomistické školy prvního averroismu. Dualismus hlásali všichni latinští sofisté, kteří svůj vlastní omyl připsali Averroesovi vykládaného podle Avicenny</w:t>
      </w:r>
      <w:r w:rsidRPr="00273106">
        <w:t xml:space="preserve">. </w:t>
      </w:r>
      <w:r>
        <w:t>Scotův dualismus pokračuje v linii semiaverroismu vzniklého sofistickým synkretismem Aegidiova tomismu a františkánských modernistů po roce 1277</w:t>
      </w:r>
      <w:r w:rsidRPr="00273106">
        <w:t>.</w:t>
      </w:r>
      <w:r>
        <w:t xml:space="preserve"> Abstrakce ze smyslů je nutná, protože duše je nepopsaný list. Ale </w:t>
      </w:r>
      <w:r w:rsidRPr="00273106">
        <w:t xml:space="preserve">aristotelská abstrakce nestačí </w:t>
      </w:r>
      <w:r>
        <w:t xml:space="preserve">zajistit </w:t>
      </w:r>
      <w:r w:rsidRPr="00273106">
        <w:t>univoční koncept poznání</w:t>
      </w:r>
      <w:r>
        <w:t>, proto potřebujeme přímý náhled do esenciálně pojaté kauzality</w:t>
      </w:r>
      <w:r w:rsidRPr="00273106">
        <w:t xml:space="preserve">. </w:t>
      </w:r>
      <w:r w:rsidR="00504125">
        <w:t xml:space="preserve">Jenež tato kauzalita se podle prvního averrosimu nedá najít v realitě, protože existuje jen jako logická abstrakce v naší mysli. V protikladu k moderně pro klasickou metafyziku platí, že její myšlení musí vycházet z reality první substance. </w:t>
      </w:r>
      <w:r>
        <w:t xml:space="preserve">Filosofie scotismu </w:t>
      </w:r>
      <w:r w:rsidRPr="00273106">
        <w:t xml:space="preserve">není založena na </w:t>
      </w:r>
      <w:r>
        <w:t>abstrakci ze smyslů</w:t>
      </w:r>
      <w:r w:rsidRPr="00273106">
        <w:t xml:space="preserve">, ale na univoční predikaci </w:t>
      </w:r>
      <w:r>
        <w:t xml:space="preserve">přímého poznání </w:t>
      </w:r>
      <w:r w:rsidRPr="00273106">
        <w:t>boha</w:t>
      </w:r>
      <w:r>
        <w:t>, který kauzálně působí v nás i ve</w:t>
      </w:r>
      <w:r w:rsidRPr="00273106">
        <w:t xml:space="preserve"> stvoření. </w:t>
      </w:r>
      <w:r>
        <w:t xml:space="preserve">Scotus vyznává univoční koncept jedné pravdy v modu </w:t>
      </w:r>
      <w:r w:rsidR="009F48F8">
        <w:t>„</w:t>
      </w:r>
      <w:r w:rsidRPr="00BB5972">
        <w:rPr>
          <w:i/>
        </w:rPr>
        <w:t>secundum se</w:t>
      </w:r>
      <w:r w:rsidR="009F48F8">
        <w:t>“</w:t>
      </w:r>
      <w:r w:rsidR="006A7CF5">
        <w:t xml:space="preserve">, protože tak přímo </w:t>
      </w:r>
      <w:r>
        <w:t>poznáváme i samotného boha</w:t>
      </w:r>
      <w:r w:rsidR="006A7CF5">
        <w:t xml:space="preserve"> skrze přirozený rozum</w:t>
      </w:r>
      <w:r>
        <w:t xml:space="preserve">. Proto </w:t>
      </w:r>
      <w:r w:rsidR="00DC08E3">
        <w:t xml:space="preserve">Scotus </w:t>
      </w:r>
      <w:r>
        <w:t xml:space="preserve">musí proti Modistům </w:t>
      </w:r>
      <w:r>
        <w:fldChar w:fldCharType="begin"/>
      </w:r>
      <w:r>
        <w:instrText xml:space="preserve"> XE "první averroismus:</w:instrText>
      </w:r>
      <w:r w:rsidRPr="00290367">
        <w:instrText>Modisté</w:instrText>
      </w:r>
      <w:r>
        <w:instrText xml:space="preserve">" </w:instrText>
      </w:r>
      <w:r>
        <w:fldChar w:fldCharType="end"/>
      </w:r>
      <w:r>
        <w:t>ze školy prvního averroismu</w:t>
      </w:r>
      <w:r w:rsidRPr="00273106">
        <w:t xml:space="preserve"> etablovat </w:t>
      </w:r>
      <w:r>
        <w:t xml:space="preserve">smíšený </w:t>
      </w:r>
      <w:r w:rsidRPr="00273106">
        <w:t xml:space="preserve">koncept pravdy </w:t>
      </w:r>
      <w:r>
        <w:t xml:space="preserve">podle Aristotelovy </w:t>
      </w:r>
      <w:r w:rsidRPr="00273106">
        <w:t>adekvace</w:t>
      </w:r>
      <w:r>
        <w:t xml:space="preserve"> a podle esenciální kauzality v modu </w:t>
      </w:r>
      <w:r w:rsidRPr="00594ED5">
        <w:rPr>
          <w:i/>
        </w:rPr>
        <w:t>Oxfordian Fallacy</w:t>
      </w:r>
      <w:r>
        <w:rPr>
          <w:i/>
        </w:rPr>
        <w:fldChar w:fldCharType="begin"/>
      </w:r>
      <w:r>
        <w:instrText xml:space="preserve"> XE "</w:instrText>
      </w:r>
      <w:r w:rsidRPr="0015798D">
        <w:rPr>
          <w:i/>
        </w:rPr>
        <w:instrText>Oxfordian Fallacy:</w:instrText>
      </w:r>
      <w:r w:rsidRPr="006E246D">
        <w:instrText>kauzalita</w:instrText>
      </w:r>
      <w:r>
        <w:instrText xml:space="preserve">" </w:instrText>
      </w:r>
      <w:r>
        <w:rPr>
          <w:i/>
        </w:rPr>
        <w:fldChar w:fldCharType="end"/>
      </w:r>
      <w:r>
        <w:t xml:space="preserve">. </w:t>
      </w:r>
      <w:r w:rsidRPr="00273106">
        <w:t xml:space="preserve">Scotus a po něm Descartes </w:t>
      </w:r>
      <w:r>
        <w:t xml:space="preserve">univočně dedukují metafyzické </w:t>
      </w:r>
      <w:r w:rsidRPr="00273106">
        <w:t xml:space="preserve">poznání </w:t>
      </w:r>
      <w:r>
        <w:t>z dogmatického předpokladu boží existence a jeho kauzálního působení v naší duši. Ve druhém kroku lze dedukci rozšířit i na kauzální působení boha ve světě</w:t>
      </w:r>
      <w:r w:rsidRPr="00273106">
        <w:t xml:space="preserve">. Oba </w:t>
      </w:r>
      <w:r>
        <w:t xml:space="preserve">modernisté </w:t>
      </w:r>
      <w:r w:rsidRPr="00273106">
        <w:t>hledají nepochybný základ pro dedukci</w:t>
      </w:r>
      <w:r w:rsidR="009F48F8">
        <w:t xml:space="preserve">. Proto </w:t>
      </w:r>
      <w:r w:rsidRPr="00273106">
        <w:t xml:space="preserve">musí najít nějaký primární ostrůvek aktuality v duši, který do nás </w:t>
      </w:r>
      <w:r w:rsidR="009F48F8">
        <w:t xml:space="preserve">moderní </w:t>
      </w:r>
      <w:r w:rsidRPr="00273106">
        <w:t>bůh vložil</w:t>
      </w:r>
      <w:r>
        <w:t xml:space="preserve"> </w:t>
      </w:r>
      <w:proofErr w:type="gramStart"/>
      <w:r>
        <w:t>ze</w:t>
      </w:r>
      <w:proofErr w:type="gramEnd"/>
      <w:r>
        <w:t xml:space="preserve"> vlastní vůle</w:t>
      </w:r>
      <w:r w:rsidRPr="00273106">
        <w:t>.</w:t>
      </w:r>
      <w:r>
        <w:t xml:space="preserve"> Bůh je aristotelská </w:t>
      </w:r>
      <w:r w:rsidR="009F48F8">
        <w:rPr>
          <w:i/>
        </w:rPr>
        <w:t>causa</w:t>
      </w:r>
      <w:r w:rsidR="009F48F8" w:rsidRPr="009F48F8">
        <w:rPr>
          <w:i/>
        </w:rPr>
        <w:t xml:space="preserve"> prima</w:t>
      </w:r>
      <w:r w:rsidR="009F48F8">
        <w:t xml:space="preserve"> </w:t>
      </w:r>
      <w:r>
        <w:fldChar w:fldCharType="begin"/>
      </w:r>
      <w:r>
        <w:instrText xml:space="preserve"> XE "</w:instrText>
      </w:r>
      <w:r w:rsidRPr="00A25FF8">
        <w:rPr>
          <w:i/>
        </w:rPr>
        <w:instrText>causa prima</w:instrText>
      </w:r>
      <w:r>
        <w:instrText xml:space="preserve">" </w:instrText>
      </w:r>
      <w:r>
        <w:fldChar w:fldCharType="end"/>
      </w:r>
      <w:r>
        <w:t>, proto zakládá kauzalitu ve stvoření</w:t>
      </w:r>
      <w:r w:rsidR="009F48F8">
        <w:t>,</w:t>
      </w:r>
      <w:r>
        <w:t xml:space="preserve"> a tím i v našem poznání. </w:t>
      </w:r>
      <w:r w:rsidR="009F48F8">
        <w:t xml:space="preserve">Jenže tito </w:t>
      </w:r>
      <w:r w:rsidR="002673CA">
        <w:t xml:space="preserve">ilumináti </w:t>
      </w:r>
      <w:r w:rsidR="009F48F8">
        <w:t>jdou od moderního boha k reálnému světu, což je fatální metafyzická chyba.</w:t>
      </w:r>
      <w:r w:rsidR="008F6F4D">
        <w:t xml:space="preserve"> </w:t>
      </w:r>
      <w:r>
        <w:t xml:space="preserve">Scotus se ptá, kde je dána efektivní příčina externího jsoucna, které formálně poznáváme </w:t>
      </w:r>
      <w:r w:rsidRPr="00273106">
        <w:t xml:space="preserve">v </w:t>
      </w:r>
      <w:r>
        <w:t xml:space="preserve">našem </w:t>
      </w:r>
      <w:r w:rsidRPr="00273106">
        <w:t>intelektu.</w:t>
      </w:r>
      <w:r>
        <w:t xml:space="preserve"> Intelekt reflektuje čistě racionální </w:t>
      </w:r>
      <w:r w:rsidRPr="00273106">
        <w:t>evidenc</w:t>
      </w:r>
      <w:r>
        <w:t>i aktuálně danou</w:t>
      </w:r>
      <w:r w:rsidRPr="00273106">
        <w:t xml:space="preserve"> </w:t>
      </w:r>
      <w:r>
        <w:t xml:space="preserve">v osvíceném intelektu </w:t>
      </w:r>
      <w:r w:rsidRPr="00273106">
        <w:t>(</w:t>
      </w:r>
      <w:r>
        <w:t xml:space="preserve">Avicennův </w:t>
      </w:r>
      <w:r w:rsidRPr="00273106">
        <w:rPr>
          <w:i/>
        </w:rPr>
        <w:t>intellectus adeptus</w:t>
      </w:r>
      <w:r>
        <w:rPr>
          <w:i/>
        </w:rPr>
        <w:fldChar w:fldCharType="begin"/>
      </w:r>
      <w:r>
        <w:instrText xml:space="preserve"> XE "</w:instrText>
      </w:r>
      <w:r w:rsidRPr="00F77FCE">
        <w:rPr>
          <w:i/>
        </w:rPr>
        <w:instrText>intellectus adeptus</w:instrText>
      </w:r>
      <w:r>
        <w:instrText xml:space="preserve">:Scotus" </w:instrText>
      </w:r>
      <w:r>
        <w:rPr>
          <w:i/>
        </w:rPr>
        <w:fldChar w:fldCharType="end"/>
      </w:r>
      <w:r w:rsidRPr="00273106">
        <w:t>)</w:t>
      </w:r>
      <w:r>
        <w:t xml:space="preserve"> skrze působe</w:t>
      </w:r>
      <w:r w:rsidR="00786A56">
        <w:t>ní boží esence jako účinné příčiny</w:t>
      </w:r>
      <w:r w:rsidRPr="00273106">
        <w:t xml:space="preserve">. </w:t>
      </w:r>
      <w:r>
        <w:t xml:space="preserve">Scotova spekulativní metafyzika neměla žádný problém s rozběhem poznání skrze boží esenci kauzálně danou mimo lidský intelekt. V jeho době ještě bůh </w:t>
      </w:r>
      <w:r w:rsidRPr="083D4EC9">
        <w:rPr>
          <w:i/>
        </w:rPr>
        <w:t>Modernorum</w:t>
      </w:r>
      <w:r>
        <w:t xml:space="preserve"> mrtvý nebyl</w:t>
      </w:r>
      <w:r w:rsidR="00643FB2">
        <w:t>. P</w:t>
      </w:r>
      <w:r>
        <w:t xml:space="preserve">o mocenském zásahu modernistů kohabitovala filosofie a teologie v modelu jedné univoční pravdy přímo nazírané vítěznými ilumináty v Oxfordu i v Paříži. Ostrůvek aktuality </w:t>
      </w:r>
      <w:r>
        <w:lastRenderedPageBreak/>
        <w:t xml:space="preserve">vykázaný v naší mysli skrze boží působení v nás je podle Scota dán nutně, protože to chce bůh vzhledem jeho </w:t>
      </w:r>
      <w:r w:rsidRPr="00B9327B">
        <w:rPr>
          <w:i/>
        </w:rPr>
        <w:t>rectitudo</w:t>
      </w:r>
      <w:r>
        <w:t xml:space="preserve"> a </w:t>
      </w:r>
      <w:r w:rsidRPr="00B9327B">
        <w:rPr>
          <w:i/>
        </w:rPr>
        <w:t>certitudo</w:t>
      </w:r>
      <w:r>
        <w:t xml:space="preserve"> daném v teologii zjevení a skrze dějiny spásy. Dogmatické předpoklady j</w:t>
      </w:r>
      <w:r w:rsidR="00A27F12">
        <w:t xml:space="preserve">sou stejně nepochybné, </w:t>
      </w:r>
      <w:r>
        <w:t xml:space="preserve">jako je logicky nutný příchod Antikrista nebo metafyzicky daná věčnost duše </w:t>
      </w:r>
      <w:r w:rsidR="00A27F12">
        <w:t>v tomismu</w:t>
      </w:r>
      <w:r>
        <w:t xml:space="preserve">. </w:t>
      </w:r>
      <w:r w:rsidR="00A27F12" w:rsidRPr="00A27F12">
        <w:t>Moderní on</w:t>
      </w:r>
      <w:r w:rsidR="00D41A06">
        <w:t>toteologie a dnešní nihilistické ideologie</w:t>
      </w:r>
      <w:r w:rsidR="00A27F12" w:rsidRPr="00A27F12">
        <w:t xml:space="preserve"> neuznávají žádné oddělení </w:t>
      </w:r>
      <w:r w:rsidR="00A27F12">
        <w:t xml:space="preserve">rodově </w:t>
      </w:r>
      <w:r w:rsidR="00A27F12" w:rsidRPr="00A27F12">
        <w:t xml:space="preserve">odlišných věd. </w:t>
      </w:r>
      <w:r>
        <w:t>Myto</w:t>
      </w:r>
      <w:r w:rsidR="00A27F12">
        <w:t xml:space="preserve">poetická </w:t>
      </w:r>
      <w:r>
        <w:t xml:space="preserve">moderna pod vedením dogmatických Fúrií začíná u objektivně nazíraného boha a ke skutečnému </w:t>
      </w:r>
      <w:r w:rsidR="00F46BA0">
        <w:t xml:space="preserve">světu </w:t>
      </w:r>
      <w:r>
        <w:t>dojde až ve druhém kole.</w:t>
      </w:r>
      <w:r w:rsidR="003377D8">
        <w:t xml:space="preserve"> Pro klasické metafyziky jako Bacon představovala tato nauka naprostý nesmysl</w:t>
      </w:r>
      <w:r w:rsidR="001A5BDE">
        <w:t xml:space="preserve"> </w:t>
      </w:r>
      <w:r w:rsidR="0052057B">
        <w:t xml:space="preserve">a šílenství </w:t>
      </w:r>
      <w:r w:rsidR="001A5BDE">
        <w:rPr>
          <w:szCs w:val="24"/>
          <w:lang w:val="de-DE"/>
        </w:rPr>
        <w:t>(</w:t>
      </w:r>
      <w:r w:rsidR="001A5BDE" w:rsidRPr="00B07B52">
        <w:rPr>
          <w:i/>
          <w:szCs w:val="24"/>
          <w:lang w:val="de-DE"/>
        </w:rPr>
        <w:t>insaniunt contra veritatem</w:t>
      </w:r>
      <w:r w:rsidR="003949F5">
        <w:rPr>
          <w:szCs w:val="24"/>
          <w:lang w:val="de-DE"/>
        </w:rPr>
        <w:t>; OBJ II</w:t>
      </w:r>
      <w:r w:rsidR="001A5BDE">
        <w:rPr>
          <w:szCs w:val="24"/>
          <w:lang w:val="de-DE"/>
        </w:rPr>
        <w:t xml:space="preserve">, kap. </w:t>
      </w:r>
      <w:r w:rsidR="001A5BDE">
        <w:t>3</w:t>
      </w:r>
      <w:r w:rsidR="001A5BDE" w:rsidRPr="00273106">
        <w:t>.</w:t>
      </w:r>
      <w:r w:rsidR="001A5BDE">
        <w:t>4.2</w:t>
      </w:r>
      <w:r w:rsidR="001A5BDE">
        <w:rPr>
          <w:szCs w:val="24"/>
          <w:lang w:val="de-DE"/>
        </w:rPr>
        <w:t>)</w:t>
      </w:r>
      <w:r w:rsidR="003377D8">
        <w:t xml:space="preserve">. </w:t>
      </w:r>
      <w:r w:rsidR="00E841C1">
        <w:t>První averroismus pro vznik přirozeného poznání nepotřeboval</w:t>
      </w:r>
      <w:r w:rsidR="00E841C1" w:rsidRPr="00390B31">
        <w:t xml:space="preserve"> </w:t>
      </w:r>
      <w:r w:rsidR="00E841C1">
        <w:t xml:space="preserve">přímé poznání boha jako esenciálně nazírané účinné příčiny. Z hlediska Modistů je univoční poznání boha v modu esenciálně-kauzální abstrakce naprostým nesmyslem. Bůh bytuje jako eminentní první substance v modu </w:t>
      </w:r>
      <w:r w:rsidR="00E841C1" w:rsidRPr="0835004A">
        <w:rPr>
          <w:i/>
        </w:rPr>
        <w:t>aseitas</w:t>
      </w:r>
      <w:r w:rsidR="00E841C1">
        <w:t xml:space="preserve">, kterou nelze redukovat na matematickou esenci. A jedině na úrovni matematicko-logické abstrakce je připuštěna univoční kauzalita a nutnost podle </w:t>
      </w:r>
      <w:r w:rsidR="00E841C1" w:rsidRPr="084D192D">
        <w:rPr>
          <w:i/>
        </w:rPr>
        <w:t>Druhých analytik</w:t>
      </w:r>
      <w:r w:rsidR="00E841C1">
        <w:t xml:space="preserve">.  Aristotelikové si pro poznání boha vystačí s aktuální první substancí a k bohu jako </w:t>
      </w:r>
      <w:r w:rsidR="00E841C1" w:rsidRPr="08AE7114">
        <w:rPr>
          <w:i/>
        </w:rPr>
        <w:t>causa prima</w:t>
      </w:r>
      <w:r w:rsidR="00E841C1">
        <w:t xml:space="preserve"> přicházejí až úplně naposled. </w:t>
      </w:r>
    </w:p>
    <w:p w:rsidR="00B26A30" w:rsidRDefault="08163013" w:rsidP="08163013">
      <w:r>
        <w:tab/>
        <w:t xml:space="preserve">Scotus má díky spekulativním předpokladům shromážděno vše potřebné k tomu, aby zahájil dedukci jsoucna od moderního boha k objektivnímu jsoucnu. Spekulativně si pojistil Archimédův bod </w:t>
      </w:r>
      <w:r w:rsidR="00064A94">
        <w:t xml:space="preserve">esenciální </w:t>
      </w:r>
      <w:r>
        <w:t>kauzality daný mimo poznávající intelekt</w:t>
      </w:r>
      <w:r w:rsidR="00A512B2">
        <w:t xml:space="preserve"> a také mimo k</w:t>
      </w:r>
      <w:r w:rsidR="009B1F25">
        <w:t xml:space="preserve">auzalitu </w:t>
      </w:r>
      <w:r w:rsidR="00A512B2">
        <w:t>hylemorfických</w:t>
      </w:r>
      <w:r>
        <w:t xml:space="preserve"> první</w:t>
      </w:r>
      <w:r w:rsidR="00A512B2">
        <w:t>ch substancí</w:t>
      </w:r>
      <w:r w:rsidR="009B1F25">
        <w:t xml:space="preserve">. Nyní může </w:t>
      </w:r>
      <w:r>
        <w:t xml:space="preserve">rozběhnout proces poznání podle </w:t>
      </w:r>
      <w:r w:rsidRPr="08F6282E">
        <w:rPr>
          <w:i/>
        </w:rPr>
        <w:t>Druhých analytik</w:t>
      </w:r>
      <w:r>
        <w:t xml:space="preserve"> pouze v intelektu</w:t>
      </w:r>
      <w:r>
        <w:fldChar w:fldCharType="begin"/>
      </w:r>
      <w:r>
        <w:instrText xml:space="preserve"> XE "</w:instrText>
      </w:r>
      <w:r w:rsidRPr="00163A0C">
        <w:instrText>substance:hylemorfická</w:instrText>
      </w:r>
      <w:r>
        <w:instrText xml:space="preserve">" </w:instrText>
      </w:r>
      <w:r>
        <w:fldChar w:fldCharType="end"/>
      </w:r>
      <w:r>
        <w:t xml:space="preserve">. První podoba nové metafyziky v díle </w:t>
      </w:r>
      <w:r w:rsidR="008C2D4A" w:rsidRPr="008C2D4A">
        <w:rPr>
          <w:i/>
        </w:rPr>
        <w:t>Lectura I</w:t>
      </w:r>
      <w:r w:rsidRPr="00273106">
        <w:t xml:space="preserve"> je načrtnuta v </w:t>
      </w:r>
      <w:r>
        <w:t xml:space="preserve">citovaném </w:t>
      </w:r>
      <w:r w:rsidRPr="00273106">
        <w:t xml:space="preserve">traktátu </w:t>
      </w:r>
      <w:r w:rsidRPr="00273106">
        <w:rPr>
          <w:i/>
        </w:rPr>
        <w:t>De cognoscibilitate Dei</w:t>
      </w:r>
      <w:r w:rsidRPr="00273106">
        <w:t xml:space="preserve">. </w:t>
      </w:r>
      <w:r>
        <w:t>P</w:t>
      </w:r>
      <w:r w:rsidRPr="00273106">
        <w:t xml:space="preserve">rvní </w:t>
      </w:r>
      <w:r>
        <w:t xml:space="preserve">krok </w:t>
      </w:r>
      <w:r w:rsidRPr="00273106">
        <w:t xml:space="preserve">obejde smyslové poznání tím, že místo první substance zavede jsoucno třetího druhu dané čistě potenciálně. </w:t>
      </w:r>
      <w:r>
        <w:t xml:space="preserve">Traktát </w:t>
      </w:r>
      <w:r w:rsidRPr="00273106">
        <w:t>ukazuje proti Akvinsk</w:t>
      </w:r>
      <w:r>
        <w:t xml:space="preserve">ému, že nemožnost poznání boha </w:t>
      </w:r>
      <w:r w:rsidR="0056091F">
        <w:t>„</w:t>
      </w:r>
      <w:r w:rsidRPr="00273106">
        <w:rPr>
          <w:i/>
        </w:rPr>
        <w:t>sicuti est</w:t>
      </w:r>
      <w:r w:rsidR="0056091F">
        <w:t>“</w:t>
      </w:r>
      <w:r w:rsidRPr="00273106">
        <w:t xml:space="preserve"> je jen zdánlivá (</w:t>
      </w:r>
      <w:r w:rsidRPr="08143E1D">
        <w:rPr>
          <w:i/>
        </w:rPr>
        <w:t>Vat</w:t>
      </w:r>
      <w:r>
        <w:t>.</w:t>
      </w:r>
      <w:r w:rsidRPr="08143E1D">
        <w:t xml:space="preserve"> </w:t>
      </w:r>
      <w:r>
        <w:t>XVI</w:t>
      </w:r>
      <w:r w:rsidRPr="00273106">
        <w:t xml:space="preserve">, </w:t>
      </w:r>
      <w:r>
        <w:t xml:space="preserve">no. 43, p. </w:t>
      </w:r>
      <w:r w:rsidRPr="00273106">
        <w:t>241</w:t>
      </w:r>
      <w:r>
        <w:fldChar w:fldCharType="begin"/>
      </w:r>
      <w:r>
        <w:instrText xml:space="preserve"> XE "Scotus:</w:instrText>
      </w:r>
      <w:r w:rsidRPr="007C4A4F">
        <w:rPr>
          <w:i/>
        </w:rPr>
        <w:instrText>Lectura</w:instrText>
      </w:r>
      <w:r>
        <w:instrText xml:space="preserve"> 1.241" </w:instrText>
      </w:r>
      <w:r>
        <w:fldChar w:fldCharType="end"/>
      </w:r>
      <w:r w:rsidRPr="00273106">
        <w:t>). Připomeňme základní teologickou poučku o přímém vidění boží esence vyhláš</w:t>
      </w:r>
      <w:r>
        <w:t>enou biskupem Alvernem</w:t>
      </w:r>
      <w:r w:rsidRPr="00273106">
        <w:t>, kterou druhý averroismu</w:t>
      </w:r>
      <w:r>
        <w:t>s chápal doslovně (</w:t>
      </w:r>
      <w:r w:rsidR="003949F5">
        <w:t>OBJ II, kap. 3</w:t>
      </w:r>
      <w:r>
        <w:t>.4.3). První averroismus odmítl vzít doslovně Alvernovu tezi o přímém vidění boží esence, protože ji vidíme pouze v našem modu poznání (</w:t>
      </w:r>
      <w:r w:rsidRPr="08473D8D">
        <w:rPr>
          <w:i/>
        </w:rPr>
        <w:t>eius essentiam videre non possumus</w:t>
      </w:r>
      <w:r>
        <w:t>).</w:t>
      </w:r>
      <w:r>
        <w:rPr>
          <w:rStyle w:val="Znakapoznpodarou"/>
        </w:rPr>
        <w:footnoteReference w:id="431"/>
      </w:r>
      <w:r>
        <w:t xml:space="preserve"> Scotus znal Tomášovu kritiku přímého </w:t>
      </w:r>
      <w:r>
        <w:lastRenderedPageBreak/>
        <w:t>vidění boha pravděpodobně již z Oxfordu skrze Aegid</w:t>
      </w:r>
      <w:r w:rsidR="00B27502">
        <w:t>i</w:t>
      </w:r>
      <w:r>
        <w:t xml:space="preserve">ův tomismus. Nová forma iluminace našla střední člen důkazu v boží kauzalitě definované esenciálním způsobem. Esenciální kauzalitu první averroismus zásadně odmítl, protože jde o typickou ukázku metafyzického omylu typu </w:t>
      </w:r>
      <w:r w:rsidR="00E73654">
        <w:t>„</w:t>
      </w:r>
      <w:r>
        <w:rPr>
          <w:i/>
        </w:rPr>
        <w:t>fallac</w:t>
      </w:r>
      <w:r w:rsidRPr="009F589E">
        <w:rPr>
          <w:i/>
        </w:rPr>
        <w:t>ia</w:t>
      </w:r>
      <w:r>
        <w:t xml:space="preserve"> </w:t>
      </w:r>
      <w:r w:rsidRPr="00D82095">
        <w:rPr>
          <w:i/>
        </w:rPr>
        <w:t>a dicto simpliciter ad dictum secundum quid</w:t>
      </w:r>
      <w:r w:rsidR="00E73654">
        <w:t>“</w:t>
      </w:r>
      <w:r w:rsidRPr="00273106">
        <w:t xml:space="preserve"> (</w:t>
      </w:r>
      <w:r w:rsidR="003949F5">
        <w:t>OBJ II, kap. 3</w:t>
      </w:r>
      <w:r w:rsidRPr="00273106">
        <w:t>.1.1)</w:t>
      </w:r>
      <w:r>
        <w:t>. Vědecký důkaz má kauzalitu pouze od smyslově poznávaného působení první</w:t>
      </w:r>
      <w:r w:rsidR="0022596E">
        <w:t>ch substancí</w:t>
      </w:r>
      <w:r>
        <w:t xml:space="preserve"> (</w:t>
      </w:r>
      <w:r w:rsidRPr="00D82095">
        <w:rPr>
          <w:i/>
        </w:rPr>
        <w:t>secundum quid</w:t>
      </w:r>
      <w:r>
        <w:t xml:space="preserve">), proto nemůže jít v modu našeho poznání přímo k boží kauzalitě. Lidský rozum nemá božský charakter nebo charakter kosmických inteligencí, že by myšlením tvořil svět nebo skrze pohyb inteligibilní formy způsobil reálné změny ve světě. To je čistá paranoia daná mytopoetickou predikací </w:t>
      </w:r>
      <w:r w:rsidRPr="08DE13D1">
        <w:rPr>
          <w:i/>
        </w:rPr>
        <w:t>in artificialibus</w:t>
      </w:r>
      <w:r>
        <w:rPr>
          <w:i/>
        </w:rPr>
        <w:fldChar w:fldCharType="begin"/>
      </w:r>
      <w:r>
        <w:instrText xml:space="preserve"> XE "</w:instrText>
      </w:r>
      <w:r w:rsidRPr="08335630">
        <w:instrText>predikace:</w:instrText>
      </w:r>
      <w:r w:rsidRPr="08335630">
        <w:rPr>
          <w:i/>
        </w:rPr>
        <w:instrText>in artificialibus</w:instrText>
      </w:r>
      <w:r>
        <w:instrText xml:space="preserve">" </w:instrText>
      </w:r>
      <w:r>
        <w:rPr>
          <w:i/>
        </w:rPr>
        <w:fldChar w:fldCharType="end"/>
      </w:r>
      <w:r>
        <w:t xml:space="preserve">. Lidský rozum existuje jen v těle a skrze tělo a smysly poznává a působí. Moderní metafyzická dedukce našla univoční predikaci vzhledem k bohu i člověku, což první averroismus zásadně odmítl jako skrytou formu emanace dané nutně a věčně. Bůh se stává účinnou příčinou našeho poznání tím, že jeho kauzalita se dává do našeho nemateriálního intelektu přímo. Scotus ruší v tomto klíčovém bodě poznání Modistů v modu </w:t>
      </w:r>
      <w:r w:rsidRPr="00594AB0">
        <w:rPr>
          <w:i/>
        </w:rPr>
        <w:t>quo</w:t>
      </w:r>
      <w:r>
        <w:rPr>
          <w:i/>
        </w:rPr>
        <w:t>a</w:t>
      </w:r>
      <w:r w:rsidRPr="00594AB0">
        <w:rPr>
          <w:i/>
        </w:rPr>
        <w:t>d nos</w:t>
      </w:r>
      <w:r>
        <w:t xml:space="preserve">, protože aritotelikové odmítli přímé inteligibilní poznání boží kauzality v řádu přirozeného poznání. To by náš intelekt obsahoval nějaké aktuální formy a byl by nemateriální kosmickou substancí podobnou kosmickým inteligencím, na které už bůh působí přímo v modu kauzálně daného poznání. Naše poznání je dáno pouze v těle a skrze smysly a stejně tak musí být postaven důkaz božího působení a poznání. Scotova verze </w:t>
      </w:r>
      <w:r w:rsidRPr="00357EED">
        <w:rPr>
          <w:i/>
        </w:rPr>
        <w:t>Oxfordian Fallacy</w:t>
      </w:r>
      <w:r>
        <w:rPr>
          <w:i/>
        </w:rPr>
        <w:fldChar w:fldCharType="begin"/>
      </w:r>
      <w:r>
        <w:instrText xml:space="preserve"> XE "</w:instrText>
      </w:r>
      <w:r w:rsidRPr="0015798D">
        <w:rPr>
          <w:i/>
        </w:rPr>
        <w:instrText>Oxfordian Fallacy:</w:instrText>
      </w:r>
      <w:r>
        <w:instrText xml:space="preserve">Scotus" </w:instrText>
      </w:r>
      <w:r>
        <w:rPr>
          <w:i/>
        </w:rPr>
        <w:fldChar w:fldCharType="end"/>
      </w:r>
      <w:r>
        <w:t xml:space="preserve"> je dána tím, že boží esence je predikována jako individuální reálná kauza ve středním členu soudu podle Rufusova analytického výkladu </w:t>
      </w:r>
      <w:r w:rsidRPr="08AA778E">
        <w:rPr>
          <w:i/>
        </w:rPr>
        <w:t>Druhých analytik</w:t>
      </w:r>
      <w:r>
        <w:t xml:space="preserve"> (</w:t>
      </w:r>
      <w:r w:rsidR="008220D4">
        <w:t>OBJ II, kap. 3</w:t>
      </w:r>
      <w:r>
        <w:t xml:space="preserve">.3.1). To je pro první averroismus naprosto vyloučeno, protože boha ani jeho vůli nemůžeme poznat v přímém univočním náhledu jeho kauzality. Scotovo </w:t>
      </w:r>
      <w:r w:rsidRPr="00273106">
        <w:t>za</w:t>
      </w:r>
      <w:r>
        <w:t xml:space="preserve">ložení metafyziky otevřelo cestu </w:t>
      </w:r>
      <w:r w:rsidRPr="00273106">
        <w:rPr>
          <w:i/>
        </w:rPr>
        <w:t>Modernorum</w:t>
      </w:r>
      <w:r w:rsidRPr="00273106">
        <w:t xml:space="preserve"> </w:t>
      </w:r>
      <w:r>
        <w:t xml:space="preserve">tím, že kritizovalo </w:t>
      </w:r>
      <w:r w:rsidRPr="00273106">
        <w:t>všech</w:t>
      </w:r>
      <w:r>
        <w:t>ny předešlé</w:t>
      </w:r>
      <w:r w:rsidRPr="00273106">
        <w:t xml:space="preserve"> </w:t>
      </w:r>
      <w:r>
        <w:t>cesty k bohu jako nedostatečné</w:t>
      </w:r>
      <w:r w:rsidRPr="00273106">
        <w:t xml:space="preserve">. </w:t>
      </w:r>
      <w:r>
        <w:t>Racionalita a nutnost dané v nekonečném</w:t>
      </w:r>
      <w:r w:rsidRPr="00273106">
        <w:t xml:space="preserve"> boží</w:t>
      </w:r>
      <w:r>
        <w:t>m</w:t>
      </w:r>
      <w:r w:rsidRPr="00273106">
        <w:t xml:space="preserve"> intelekt</w:t>
      </w:r>
      <w:r>
        <w:t xml:space="preserve">u a v </w:t>
      </w:r>
      <w:r w:rsidRPr="00273106">
        <w:t>konečn</w:t>
      </w:r>
      <w:r>
        <w:t>ém lidském</w:t>
      </w:r>
      <w:r w:rsidRPr="00273106">
        <w:t xml:space="preserve"> intelekt</w:t>
      </w:r>
      <w:r>
        <w:t>u</w:t>
      </w:r>
      <w:r w:rsidRPr="00273106">
        <w:t xml:space="preserve"> si </w:t>
      </w:r>
      <w:r>
        <w:t xml:space="preserve">musí </w:t>
      </w:r>
      <w:r w:rsidRPr="00273106">
        <w:t xml:space="preserve">univočně odpovídat. </w:t>
      </w:r>
      <w:r>
        <w:t>Poznání ze smyslů není plně pravdivé</w:t>
      </w:r>
      <w:r w:rsidRPr="00273106">
        <w:t xml:space="preserve">, </w:t>
      </w:r>
      <w:r>
        <w:t xml:space="preserve">protože tato abstrakce </w:t>
      </w:r>
      <w:r w:rsidRPr="00273106">
        <w:t xml:space="preserve">zaručuje jen vnější podobnost </w:t>
      </w:r>
      <w:r>
        <w:t>boha a našeho intelektu danou pouze ekvivočně</w:t>
      </w:r>
      <w:r w:rsidRPr="00273106">
        <w:t xml:space="preserve">. Abstrakce z fantasmat stačí jen na </w:t>
      </w:r>
      <w:r>
        <w:t>adekvaci v modu analogie, ale my už teď poznáváme b</w:t>
      </w:r>
      <w:r w:rsidRPr="00273106">
        <w:t>oha jistě a aktuálně.</w:t>
      </w:r>
      <w:r>
        <w:t xml:space="preserve"> Poznání boha v modu Augustinovy neoplatonské a</w:t>
      </w:r>
      <w:r w:rsidRPr="00273106">
        <w:t xml:space="preserve">nalogie </w:t>
      </w:r>
      <w:r>
        <w:t xml:space="preserve">Dobra </w:t>
      </w:r>
      <w:r w:rsidRPr="00273106">
        <w:t>je vyloučen</w:t>
      </w:r>
      <w:r>
        <w:t>o</w:t>
      </w:r>
      <w:r w:rsidRPr="00273106">
        <w:t xml:space="preserve"> s odkazem na Aristotelovu kritiku </w:t>
      </w:r>
      <w:r>
        <w:t>platon</w:t>
      </w:r>
      <w:r w:rsidRPr="00273106">
        <w:t>ského pojmu dobra, která platí pouze analogicky</w:t>
      </w:r>
      <w:r>
        <w:t xml:space="preserve">, </w:t>
      </w:r>
      <w:r>
        <w:lastRenderedPageBreak/>
        <w:t>nikoliv univočně</w:t>
      </w:r>
      <w:r w:rsidRPr="00273106">
        <w:t xml:space="preserve">. </w:t>
      </w:r>
      <w:r>
        <w:t xml:space="preserve">Univocita je v aristotelismu dána pouze skrze kauzální působení dané reálně, což Scotus zásadně akceptuje, ale podle vlastní verze </w:t>
      </w:r>
      <w:r w:rsidRPr="00385634">
        <w:rPr>
          <w:i/>
        </w:rPr>
        <w:t>Oxfordian Fallacy</w:t>
      </w:r>
      <w:r w:rsidR="00B26A30">
        <w:t>.</w:t>
      </w:r>
    </w:p>
    <w:p w:rsidR="08163013" w:rsidRPr="00273106" w:rsidRDefault="08163013" w:rsidP="00B26A30">
      <w:pPr>
        <w:ind w:firstLine="397"/>
      </w:pPr>
      <w:r w:rsidRPr="00273106">
        <w:t xml:space="preserve">Po odmítnutí nepřímého poznání boží esence dané ve škole prvního averroismu </w:t>
      </w:r>
      <w:r>
        <w:t xml:space="preserve">v modu </w:t>
      </w:r>
      <w:r w:rsidR="00B26A30">
        <w:t>„</w:t>
      </w:r>
      <w:r w:rsidRPr="087F262B">
        <w:rPr>
          <w:i/>
        </w:rPr>
        <w:t>quoad nos</w:t>
      </w:r>
      <w:r w:rsidR="00B26A30">
        <w:t>“</w:t>
      </w:r>
      <w:r>
        <w:t xml:space="preserve"> </w:t>
      </w:r>
      <w:r w:rsidRPr="00273106">
        <w:t xml:space="preserve">je třeba najít </w:t>
      </w:r>
      <w:r>
        <w:t xml:space="preserve">jisté a nutné </w:t>
      </w:r>
      <w:r w:rsidRPr="00273106">
        <w:t>poznání boha</w:t>
      </w:r>
      <w:r>
        <w:t xml:space="preserve"> pomocí univoční dedukce z esenciálně dané kauzality</w:t>
      </w:r>
      <w:r w:rsidR="00B26A30">
        <w:t xml:space="preserve">. Tento postup </w:t>
      </w:r>
      <w:r w:rsidRPr="00273106">
        <w:t xml:space="preserve">přesahuje pojem </w:t>
      </w:r>
      <w:r>
        <w:t xml:space="preserve">boha </w:t>
      </w:r>
      <w:r w:rsidRPr="00273106">
        <w:t xml:space="preserve">determinovaný skrze fantasmata. Všichni lidé musí mít potenci k tomuto </w:t>
      </w:r>
      <w:r>
        <w:t xml:space="preserve">účinnému </w:t>
      </w:r>
      <w:r w:rsidRPr="00273106">
        <w:t>poznání</w:t>
      </w:r>
      <w:r>
        <w:t xml:space="preserve"> boha jako příčiny lidského poznání</w:t>
      </w:r>
      <w:r w:rsidR="00F9448A">
        <w:t>. Jinak by první věda skončila</w:t>
      </w:r>
      <w:r w:rsidRPr="00273106">
        <w:t xml:space="preserve"> v ekvivocitě nebo </w:t>
      </w:r>
      <w:r w:rsidR="00F9448A">
        <w:t xml:space="preserve">v </w:t>
      </w:r>
      <w:r w:rsidRPr="00273106">
        <w:t xml:space="preserve">analogii. </w:t>
      </w:r>
      <w:r>
        <w:t xml:space="preserve">Dedukce daná v analytickém modu </w:t>
      </w:r>
      <w:r w:rsidRPr="00273106">
        <w:t xml:space="preserve">otočí schéma poznání </w:t>
      </w:r>
      <w:r w:rsidRPr="080E60EC">
        <w:rPr>
          <w:i/>
        </w:rPr>
        <w:t>Druhých analytik</w:t>
      </w:r>
      <w:r w:rsidRPr="00273106">
        <w:t xml:space="preserve"> </w:t>
      </w:r>
      <w:r>
        <w:t xml:space="preserve">dané </w:t>
      </w:r>
      <w:r w:rsidRPr="00273106">
        <w:t xml:space="preserve">v modu </w:t>
      </w:r>
      <w:r w:rsidRPr="00273106">
        <w:rPr>
          <w:i/>
        </w:rPr>
        <w:t>per prius</w:t>
      </w:r>
      <w:r w:rsidRPr="00273106">
        <w:t xml:space="preserve"> od aktuální první substance směrem k</w:t>
      </w:r>
      <w:r w:rsidR="00AF13A5">
        <w:t> univerzální esenci</w:t>
      </w:r>
      <w:r>
        <w:rPr>
          <w:i/>
        </w:rPr>
        <w:fldChar w:fldCharType="begin"/>
      </w:r>
      <w:r>
        <w:instrText xml:space="preserve"> XE "</w:instrText>
      </w:r>
      <w:r w:rsidRPr="002250F1">
        <w:instrText>zjevování:nasvícení zezadu</w:instrText>
      </w:r>
      <w:r>
        <w:instrText xml:space="preserve">" </w:instrText>
      </w:r>
      <w:r>
        <w:rPr>
          <w:i/>
        </w:rPr>
        <w:fldChar w:fldCharType="end"/>
      </w:r>
      <w:r w:rsidRPr="00273106">
        <w:t>.</w:t>
      </w:r>
      <w:r w:rsidRPr="001D7BB2">
        <w:t xml:space="preserve"> </w:t>
      </w:r>
      <w:r w:rsidRPr="00273106">
        <w:t>Scotus si vypomůže dvojstupň</w:t>
      </w:r>
      <w:r w:rsidR="00544FE0">
        <w:t>ovou stavbou Bonaventury (kap. 4</w:t>
      </w:r>
      <w:r w:rsidRPr="00273106">
        <w:t xml:space="preserve">.1.2) a zavede pojem </w:t>
      </w:r>
      <w:r>
        <w:t>objektivně-</w:t>
      </w:r>
      <w:r w:rsidRPr="00273106">
        <w:t>přirozeného</w:t>
      </w:r>
      <w:r>
        <w:t xml:space="preserve"> poznání</w:t>
      </w:r>
      <w:r w:rsidRPr="00273106">
        <w:t>.</w:t>
      </w:r>
      <w:r w:rsidRPr="085E5DC7">
        <w:t xml:space="preserve"> </w:t>
      </w:r>
      <w:r>
        <w:t xml:space="preserve">Předešlá kapitola ukázala, že </w:t>
      </w:r>
      <w:r w:rsidRPr="00273106">
        <w:t xml:space="preserve">Scotus </w:t>
      </w:r>
      <w:r>
        <w:t>provádí kategoriální predikaci</w:t>
      </w:r>
      <w:r w:rsidRPr="00273106">
        <w:t xml:space="preserve"> </w:t>
      </w:r>
      <w:r>
        <w:t xml:space="preserve">v univerzálním </w:t>
      </w:r>
      <w:r w:rsidRPr="00273106">
        <w:t>náhledu</w:t>
      </w:r>
      <w:r>
        <w:t xml:space="preserve"> </w:t>
      </w:r>
      <w:r w:rsidRPr="00253347">
        <w:rPr>
          <w:i/>
        </w:rPr>
        <w:t>ens inquantum ens</w:t>
      </w:r>
      <w:r>
        <w:rPr>
          <w:i/>
        </w:rPr>
        <w:fldChar w:fldCharType="begin"/>
      </w:r>
      <w:r>
        <w:instrText xml:space="preserve"> XE "</w:instrText>
      </w:r>
      <w:r w:rsidRPr="005424E2">
        <w:rPr>
          <w:i/>
        </w:rPr>
        <w:instrText>ens inquantum ens</w:instrText>
      </w:r>
      <w:r>
        <w:instrText xml:space="preserve">" </w:instrText>
      </w:r>
      <w:r>
        <w:rPr>
          <w:i/>
        </w:rPr>
        <w:fldChar w:fldCharType="end"/>
      </w:r>
      <w:r>
        <w:t xml:space="preserve">. Nyní tuto univerzalitu aplikuje v modu </w:t>
      </w:r>
      <w:r w:rsidRPr="00CC53D1">
        <w:rPr>
          <w:i/>
        </w:rPr>
        <w:t>per prius</w:t>
      </w:r>
      <w:r w:rsidR="008511BF">
        <w:t xml:space="preserve"> i pro poznání boží esenciální kauzality určené podle </w:t>
      </w:r>
      <w:r w:rsidR="008511BF" w:rsidRPr="008511BF">
        <w:rPr>
          <w:i/>
        </w:rPr>
        <w:t>Oxfordian Fallacy</w:t>
      </w:r>
      <w:r>
        <w:t xml:space="preserve">. Cestu prvního averroismu od kauzality ve </w:t>
      </w:r>
      <w:r w:rsidR="006D4350">
        <w:t>stvoření k bohu jako první příčině</w:t>
      </w:r>
      <w:r>
        <w:t xml:space="preserve"> tento modernista odmítl jako nedostatečnou. Poznání boha z účinků ve stvoření zajišťuje pouze ekvivoční poznání boží esence v modu </w:t>
      </w:r>
      <w:r>
        <w:rPr>
          <w:i/>
        </w:rPr>
        <w:t>c</w:t>
      </w:r>
      <w:r w:rsidRPr="00253347">
        <w:rPr>
          <w:i/>
        </w:rPr>
        <w:t>ausa prima</w:t>
      </w:r>
      <w:r>
        <w:rPr>
          <w:i/>
        </w:rPr>
        <w:fldChar w:fldCharType="begin"/>
      </w:r>
      <w:r>
        <w:instrText xml:space="preserve"> XE "</w:instrText>
      </w:r>
      <w:r w:rsidRPr="00EC783C">
        <w:rPr>
          <w:i/>
          <w:color w:val="000000"/>
        </w:rPr>
        <w:instrText>causa prima</w:instrText>
      </w:r>
      <w:r>
        <w:instrText xml:space="preserve">" </w:instrText>
      </w:r>
      <w:r>
        <w:rPr>
          <w:i/>
        </w:rPr>
        <w:fldChar w:fldCharType="end"/>
      </w:r>
      <w:r>
        <w:t xml:space="preserve"> poznané </w:t>
      </w:r>
      <w:r w:rsidRPr="00A252E1">
        <w:rPr>
          <w:i/>
        </w:rPr>
        <w:t>per prius</w:t>
      </w:r>
      <w:r>
        <w:t xml:space="preserve"> směrem od smyslů. Scotus tvrdí, že boha primárně zakoušíme v obecnině a pak teprve v jednotlivině. S</w:t>
      </w:r>
      <w:r w:rsidRPr="00273106">
        <w:t xml:space="preserve">chéma poznání </w:t>
      </w:r>
      <w:r>
        <w:t xml:space="preserve">podle </w:t>
      </w:r>
      <w:r w:rsidRPr="085E5DC7">
        <w:rPr>
          <w:i/>
        </w:rPr>
        <w:t>Druhých analytik</w:t>
      </w:r>
      <w:r>
        <w:t xml:space="preserve"> se aplikuje proti Aristotelovi podle výkladu kauzality v modu </w:t>
      </w:r>
      <w:r w:rsidRPr="085E5DC7">
        <w:rPr>
          <w:i/>
        </w:rPr>
        <w:t>Oxfordian Fallacy</w:t>
      </w:r>
      <w:r>
        <w:rPr>
          <w:i/>
        </w:rPr>
        <w:fldChar w:fldCharType="begin"/>
      </w:r>
      <w:r>
        <w:instrText xml:space="preserve"> XE "</w:instrText>
      </w:r>
      <w:r w:rsidRPr="08B767EB">
        <w:rPr>
          <w:i/>
        </w:rPr>
        <w:instrText>Oxfordian Fallacy:</w:instrText>
      </w:r>
      <w:r w:rsidRPr="086B04D0">
        <w:instrText>Scotus</w:instrText>
      </w:r>
      <w:r>
        <w:instrText xml:space="preserve">" </w:instrText>
      </w:r>
      <w:r>
        <w:rPr>
          <w:i/>
        </w:rPr>
        <w:fldChar w:fldCharType="end"/>
      </w:r>
      <w:r w:rsidRPr="00273106">
        <w:t>.</w:t>
      </w:r>
      <w:r>
        <w:t xml:space="preserve"> Teolog Scotus dogmaticky ví, že boží kauzalitu poznáváme přímo a univerzálně. Přímý náhled na univerzální boží kauzalitu je v rozporu se smyslovým poznáním účinku reálné substance podle filosofického principu </w:t>
      </w:r>
      <w:r w:rsidR="08A649EB">
        <w:rPr>
          <w:i/>
        </w:rPr>
        <w:t>ex in</w:t>
      </w:r>
      <w:r w:rsidRPr="08AD5AED">
        <w:rPr>
          <w:i/>
        </w:rPr>
        <w:t>mediatis</w:t>
      </w:r>
      <w:r>
        <w:t xml:space="preserve">. Nová metafyzika proto zrušila základní princip poznání reality podle </w:t>
      </w:r>
      <w:r w:rsidRPr="08704D68">
        <w:rPr>
          <w:i/>
        </w:rPr>
        <w:t>Druhých analytik</w:t>
      </w:r>
      <w:r>
        <w:t>.</w:t>
      </w:r>
    </w:p>
    <w:p w:rsidR="08163013" w:rsidRPr="00DB12D8" w:rsidRDefault="08163013" w:rsidP="08163013">
      <w:pPr>
        <w:pStyle w:val="Citace"/>
        <w:rPr>
          <w:noProof/>
          <w:lang w:val="cs-CZ"/>
        </w:rPr>
      </w:pPr>
      <w:r w:rsidRPr="00273106">
        <w:rPr>
          <w:noProof/>
          <w:lang w:val="cs-CZ"/>
        </w:rPr>
        <w:t>„</w:t>
      </w:r>
      <w:r>
        <w:rPr>
          <w:noProof/>
          <w:lang w:val="cs-CZ"/>
        </w:rPr>
        <w:t>S Aristotelem nesouhlasím, pokud chápe predikaci výše uvedeným způsobem. Sami totiž zakoušíme, že když poznáváme příčinu univerzálně (</w:t>
      </w:r>
      <w:r w:rsidRPr="08852CE8">
        <w:rPr>
          <w:i/>
          <w:noProof/>
          <w:lang w:val="cs-CZ"/>
        </w:rPr>
        <w:t>e</w:t>
      </w:r>
      <w:r w:rsidRPr="08852CE8">
        <w:rPr>
          <w:i/>
          <w:noProof/>
        </w:rPr>
        <w:t>xperimur quod quando cognoscimus causam in universali</w:t>
      </w:r>
      <w:r>
        <w:rPr>
          <w:noProof/>
          <w:lang w:val="cs-CZ"/>
        </w:rPr>
        <w:t xml:space="preserve">), přirozeně ji chceme poznat i v jednotlivinách. Stejně tak pokud známe účinek, chceme poznat i jeho příčinu. Proto intelekt, který poznává boha univerzálně, přirozeně touží po tom, aby jej poznal </w:t>
      </w:r>
      <w:r w:rsidR="00D4537E">
        <w:rPr>
          <w:noProof/>
          <w:lang w:val="cs-CZ"/>
        </w:rPr>
        <w:t xml:space="preserve">i </w:t>
      </w:r>
      <w:r w:rsidR="00723B82">
        <w:rPr>
          <w:noProof/>
          <w:lang w:val="cs-CZ"/>
        </w:rPr>
        <w:t>v individuálních věcech</w:t>
      </w:r>
      <w:r>
        <w:rPr>
          <w:noProof/>
          <w:lang w:val="cs-CZ"/>
        </w:rPr>
        <w:t xml:space="preserve"> (</w:t>
      </w:r>
      <w:r w:rsidRPr="00FA6CDB">
        <w:rPr>
          <w:i/>
          <w:noProof/>
        </w:rPr>
        <w:t>intellectus cognoscens Deum in universali, naturaliter desiderat scire in particulari</w:t>
      </w:r>
      <w:r>
        <w:rPr>
          <w:noProof/>
          <w:lang w:val="cs-CZ"/>
        </w:rPr>
        <w:t>).“ </w:t>
      </w:r>
      <w:r>
        <w:rPr>
          <w:rStyle w:val="Znakapoznpodarou"/>
        </w:rPr>
        <w:footnoteReference w:id="432"/>
      </w:r>
    </w:p>
    <w:p w:rsidR="00ED64E8" w:rsidRDefault="08163013" w:rsidP="08163013">
      <w:r>
        <w:lastRenderedPageBreak/>
        <w:t xml:space="preserve">Poznání </w:t>
      </w:r>
      <w:r w:rsidR="006730A7">
        <w:t xml:space="preserve">moderní </w:t>
      </w:r>
      <w:r>
        <w:t xml:space="preserve">metafyziky </w:t>
      </w:r>
      <w:r w:rsidR="006730A7">
        <w:t xml:space="preserve">běží </w:t>
      </w:r>
      <w:r>
        <w:t xml:space="preserve">v modu </w:t>
      </w:r>
      <w:r w:rsidRPr="088E6844">
        <w:rPr>
          <w:i/>
        </w:rPr>
        <w:t>Oxfordian Fallacy</w:t>
      </w:r>
      <w:r w:rsidR="006730A7">
        <w:t xml:space="preserve">. Východiskem je boží kauzalita daná </w:t>
      </w:r>
      <w:r>
        <w:t xml:space="preserve">univerzálně </w:t>
      </w:r>
      <w:r w:rsidR="006730A7">
        <w:t xml:space="preserve">a </w:t>
      </w:r>
      <w:r>
        <w:t>mimo smysly</w:t>
      </w:r>
      <w:r w:rsidR="006730A7">
        <w:t xml:space="preserve">, která je poznávána </w:t>
      </w:r>
      <w:r>
        <w:t xml:space="preserve">v modu </w:t>
      </w:r>
      <w:r w:rsidRPr="00DB65E2">
        <w:rPr>
          <w:i/>
        </w:rPr>
        <w:t>per prius</w:t>
      </w:r>
      <w:r>
        <w:t>. Boží kauzalita je dána ve formě univerzální esence</w:t>
      </w:r>
      <w:r w:rsidR="00AB17EF">
        <w:t>. Tímto způsobem Scotus založil</w:t>
      </w:r>
      <w:r>
        <w:t xml:space="preserve"> nový střední člen deduktivního vědeckého soudu</w:t>
      </w:r>
      <w:r>
        <w:fldChar w:fldCharType="begin"/>
      </w:r>
      <w:r>
        <w:instrText xml:space="preserve"> XE "</w:instrText>
      </w:r>
      <w:r w:rsidRPr="00E344A8">
        <w:rPr>
          <w:i/>
        </w:rPr>
        <w:instrText>demonstratio</w:instrText>
      </w:r>
      <w:r w:rsidRPr="00214EFB">
        <w:instrText>:Scotus</w:instrText>
      </w:r>
      <w:r>
        <w:instrText xml:space="preserve">" </w:instrText>
      </w:r>
      <w:r>
        <w:fldChar w:fldCharType="end"/>
      </w:r>
      <w:r>
        <w:t xml:space="preserve">. Boha poznáváme evidentně, nutně a v modu plné jistoty, protože v nás působí </w:t>
      </w:r>
      <w:r w:rsidR="008A34A7">
        <w:t>objektivně-</w:t>
      </w:r>
      <w:r>
        <w:t>kauzálně</w:t>
      </w:r>
      <w:r w:rsidR="008A34A7">
        <w:t>. Objektivní kauzalita je založena voluntaristicky, protože bůh chce, abychom ho poznali v modu moderní jistoty a univocity</w:t>
      </w:r>
      <w:r>
        <w:t>. Proto m</w:t>
      </w:r>
      <w:r w:rsidRPr="00273106">
        <w:t xml:space="preserve">áme </w:t>
      </w:r>
      <w:r>
        <w:t xml:space="preserve">v modu </w:t>
      </w:r>
      <w:r>
        <w:rPr>
          <w:i/>
        </w:rPr>
        <w:t>p</w:t>
      </w:r>
      <w:r w:rsidRPr="00F1162B">
        <w:rPr>
          <w:i/>
        </w:rPr>
        <w:t>e</w:t>
      </w:r>
      <w:r>
        <w:rPr>
          <w:i/>
        </w:rPr>
        <w:t>r</w:t>
      </w:r>
      <w:r w:rsidRPr="00F1162B">
        <w:rPr>
          <w:i/>
        </w:rPr>
        <w:t xml:space="preserve"> prius</w:t>
      </w:r>
      <w:r>
        <w:t xml:space="preserve"> </w:t>
      </w:r>
      <w:r w:rsidRPr="00273106">
        <w:t xml:space="preserve">univerzální poznání </w:t>
      </w:r>
      <w:r>
        <w:t>boha dané přirozeně (</w:t>
      </w:r>
      <w:r w:rsidRPr="0099220C">
        <w:rPr>
          <w:i/>
        </w:rPr>
        <w:t>cognoscens Deum in universali</w:t>
      </w:r>
      <w:r>
        <w:t xml:space="preserve">). Skrze dedukci platí poznání boží univerzální kauzality i v modu </w:t>
      </w:r>
      <w:r w:rsidRPr="00DB65E2">
        <w:rPr>
          <w:i/>
        </w:rPr>
        <w:t>per posterius</w:t>
      </w:r>
      <w:r>
        <w:t>, protože přirozeně chceme poznávat</w:t>
      </w:r>
      <w:r w:rsidRPr="00273106">
        <w:t xml:space="preserve"> </w:t>
      </w:r>
      <w:r>
        <w:t>jeho působení i v jednotlivinách</w:t>
      </w:r>
      <w:r w:rsidRPr="00273106">
        <w:t xml:space="preserve"> (</w:t>
      </w:r>
      <w:r w:rsidRPr="00273106">
        <w:rPr>
          <w:i/>
        </w:rPr>
        <w:t>naturaliter desideramus scire in particulari</w:t>
      </w:r>
      <w:r w:rsidRPr="00273106">
        <w:t xml:space="preserve">). </w:t>
      </w:r>
      <w:r>
        <w:t xml:space="preserve">Z hlediska aristotelského poznání </w:t>
      </w:r>
      <w:r w:rsidR="00077691">
        <w:t xml:space="preserve">je dedukce dána </w:t>
      </w:r>
      <w:r>
        <w:t>přesně opačně</w:t>
      </w:r>
      <w:r w:rsidR="006E1F6E">
        <w:t xml:space="preserve">. </w:t>
      </w:r>
      <w:r w:rsidR="00077691">
        <w:t xml:space="preserve">Důkaz </w:t>
      </w:r>
      <w:r w:rsidR="00077691" w:rsidRPr="08DD6731">
        <w:rPr>
          <w:i/>
        </w:rPr>
        <w:t>Druhých analytik</w:t>
      </w:r>
      <w:r w:rsidR="00077691">
        <w:t xml:space="preserve"> </w:t>
      </w:r>
      <w:r>
        <w:t>jde od singulárního následku v realitě k univerzál</w:t>
      </w:r>
      <w:r w:rsidR="00D1153E">
        <w:t xml:space="preserve">ně predikované příčině v mysli. </w:t>
      </w:r>
      <w:r>
        <w:t xml:space="preserve">Objektivní </w:t>
      </w:r>
      <w:r w:rsidR="00A137D0">
        <w:t xml:space="preserve">Scotus </w:t>
      </w:r>
      <w:r>
        <w:t>nesouhlasí s Aristotelem, a tím ani s Komentátorem a s tomismem.  Scotus nahlíží univerzální boží kauzalitu přímo, protože bůh neexistuje j</w:t>
      </w:r>
      <w:r w:rsidR="00ED64E8">
        <w:t>ako smyslově poznatelná esence.</w:t>
      </w:r>
    </w:p>
    <w:p w:rsidR="00952121" w:rsidRDefault="08163013" w:rsidP="00952121">
      <w:pPr>
        <w:ind w:firstLine="397"/>
      </w:pPr>
      <w:r>
        <w:t xml:space="preserve">Úvod </w:t>
      </w:r>
      <w:r w:rsidRPr="00273106">
        <w:t xml:space="preserve">traktátu </w:t>
      </w:r>
      <w:r w:rsidRPr="00273106">
        <w:rPr>
          <w:i/>
        </w:rPr>
        <w:t>De cognoscibilitate Dei</w:t>
      </w:r>
      <w:r w:rsidRPr="00273106">
        <w:t xml:space="preserve"> </w:t>
      </w:r>
      <w:r>
        <w:t>ukázal, že bůh se dává univerzálně a efektivně poznat v modu plné vědecké jistoty dané mimo smyslové poznání a mimo analogii. Protože ale poznáváme z boha pouze jeho kauzalitu a ne jeho intelekt a jeho myšlenkové formy, pak primárně-univerzální poznání boha jde skrze přirozené intelektuální poznání. K</w:t>
      </w:r>
      <w:r w:rsidRPr="00273106">
        <w:t>aždý chce poznat příčinu nějakého následku (</w:t>
      </w:r>
      <w:r w:rsidRPr="00273106">
        <w:rPr>
          <w:i/>
        </w:rPr>
        <w:t>quando cognoscimus effectum, desideramus scire causam</w:t>
      </w:r>
      <w:r w:rsidRPr="00273106">
        <w:t xml:space="preserve">). </w:t>
      </w:r>
      <w:r>
        <w:t xml:space="preserve">Scotus vzal boží kauzalitu jako efektivně působící univerzální esenci a nechal ji kauzálně zakoušet v přímé zkušenosti přirozeného rozumu. </w:t>
      </w:r>
      <w:r w:rsidR="00853B74">
        <w:t xml:space="preserve">V důsledku toho vzniklo vidění </w:t>
      </w:r>
      <w:r w:rsidR="00853B74" w:rsidRPr="00853B74">
        <w:t>svět</w:t>
      </w:r>
      <w:r w:rsidR="00853B74">
        <w:t>a jako nové formy</w:t>
      </w:r>
      <w:r w:rsidR="00853B74" w:rsidRPr="00853B74">
        <w:t xml:space="preserve"> </w:t>
      </w:r>
      <w:r w:rsidR="00853B74" w:rsidRPr="00853B74">
        <w:rPr>
          <w:i/>
        </w:rPr>
        <w:t>tertium ens</w:t>
      </w:r>
      <w:r w:rsidR="00853B74" w:rsidRPr="00853B74">
        <w:t xml:space="preserve">, která je dána </w:t>
      </w:r>
      <w:r w:rsidR="005E7A9A">
        <w:t>objetivní zkušeností a intelektuálním nazíráním</w:t>
      </w:r>
      <w:r w:rsidR="00853B74" w:rsidRPr="00853B74">
        <w:t xml:space="preserve">. Nový druh </w:t>
      </w:r>
      <w:r w:rsidR="00853B74" w:rsidRPr="00853B74">
        <w:rPr>
          <w:i/>
        </w:rPr>
        <w:t>resolutio</w:t>
      </w:r>
      <w:r w:rsidR="00853B74" w:rsidRPr="00853B74">
        <w:t xml:space="preserve"> ustanovil ontologický způsob předporozumění (</w:t>
      </w:r>
      <w:r w:rsidR="00853B74" w:rsidRPr="00853B74">
        <w:rPr>
          <w:i/>
        </w:rPr>
        <w:t>Vor-blickbahn</w:t>
      </w:r>
      <w:r w:rsidR="00853B74">
        <w:rPr>
          <w:i/>
        </w:rPr>
        <w:fldChar w:fldCharType="begin"/>
      </w:r>
      <w:r w:rsidR="00853B74">
        <w:instrText xml:space="preserve"> XE "</w:instrText>
      </w:r>
      <w:r w:rsidR="00853B74" w:rsidRPr="004975A1">
        <w:rPr>
          <w:i/>
        </w:rPr>
        <w:instrText>Vor-blickbahn</w:instrText>
      </w:r>
      <w:r w:rsidR="00853B74">
        <w:instrText xml:space="preserve">" </w:instrText>
      </w:r>
      <w:r w:rsidR="00853B74">
        <w:rPr>
          <w:i/>
        </w:rPr>
        <w:fldChar w:fldCharType="end"/>
      </w:r>
      <w:r w:rsidR="00853B74" w:rsidRPr="00853B74">
        <w:t xml:space="preserve">), který </w:t>
      </w:r>
      <w:r w:rsidR="006522A6">
        <w:t xml:space="preserve">celek jsoucího </w:t>
      </w:r>
      <w:r w:rsidR="00A65202">
        <w:t xml:space="preserve">posuzuje skrze tento objektivně určený </w:t>
      </w:r>
      <w:r w:rsidR="00853B74" w:rsidRPr="00853B74">
        <w:t>způsob metafyzické dedukce.</w:t>
      </w:r>
      <w:r w:rsidR="00853B74">
        <w:t xml:space="preserve"> </w:t>
      </w:r>
      <w:r>
        <w:t xml:space="preserve">Nový způsob univerzálního poznání kauzálně a univerzálně působící boží racionality se zásadně odlišil od porretánské matematizace světa v modu </w:t>
      </w:r>
      <w:r w:rsidR="009100E4">
        <w:t>„</w:t>
      </w:r>
      <w:r w:rsidRPr="084F2678">
        <w:rPr>
          <w:i/>
        </w:rPr>
        <w:t>discrete videamus</w:t>
      </w:r>
      <w:r w:rsidR="009100E4">
        <w:t>“</w:t>
      </w:r>
      <w:r>
        <w:t xml:space="preserve"> a také od Gandavovy komitace exemplárních jsoucen třetího druhu od boha do stvoření. O</w:t>
      </w:r>
      <w:r w:rsidRPr="00273106">
        <w:t xml:space="preserve">bjektivní </w:t>
      </w:r>
      <w:r>
        <w:t xml:space="preserve">jsoucno není </w:t>
      </w:r>
      <w:r w:rsidRPr="00273106">
        <w:t>univerzální matematickou mírou všeho jsoucího</w:t>
      </w:r>
      <w:r>
        <w:t xml:space="preserve">, ale esenciální metafyzickou mírou objektivně dané zkušenosti světa. Poznání boha začíná v modu </w:t>
      </w:r>
      <w:r w:rsidRPr="08CD65BD">
        <w:rPr>
          <w:i/>
        </w:rPr>
        <w:t>per prius</w:t>
      </w:r>
      <w:r>
        <w:t xml:space="preserve"> na úrovni přímého poznání univerzálně dané příčiny (</w:t>
      </w:r>
      <w:r w:rsidRPr="08852CE8">
        <w:rPr>
          <w:i/>
        </w:rPr>
        <w:t>experimur quod quando cognoscimus causam in universali</w:t>
      </w:r>
      <w:r>
        <w:t xml:space="preserve">). </w:t>
      </w:r>
      <w:r w:rsidR="009100E4" w:rsidRPr="009100E4">
        <w:t>Závěr</w:t>
      </w:r>
      <w:r w:rsidR="009100E4">
        <w:rPr>
          <w:i/>
        </w:rPr>
        <w:fldChar w:fldCharType="begin"/>
      </w:r>
      <w:r w:rsidR="009100E4">
        <w:instrText xml:space="preserve"> XE "dedukce:objektivní" </w:instrText>
      </w:r>
      <w:r w:rsidR="009100E4">
        <w:rPr>
          <w:i/>
        </w:rPr>
        <w:fldChar w:fldCharType="end"/>
      </w:r>
      <w:r w:rsidR="009100E4" w:rsidRPr="009100E4">
        <w:t xml:space="preserve"> se nejprve </w:t>
      </w:r>
      <w:r w:rsidR="009100E4" w:rsidRPr="009100E4">
        <w:lastRenderedPageBreak/>
        <w:t xml:space="preserve">zabývá univerzálním poznáním </w:t>
      </w:r>
      <w:r w:rsidR="009100E4">
        <w:t>b</w:t>
      </w:r>
      <w:r w:rsidR="009100E4" w:rsidRPr="009100E4">
        <w:t xml:space="preserve">oha v modu </w:t>
      </w:r>
      <w:r w:rsidR="009100E4" w:rsidRPr="009100E4">
        <w:rPr>
          <w:i/>
        </w:rPr>
        <w:t>per prius</w:t>
      </w:r>
      <w:r w:rsidR="009100E4" w:rsidRPr="009100E4">
        <w:t xml:space="preserve">; poté jde o přirozené poznání založené na poznání </w:t>
      </w:r>
      <w:r w:rsidR="009100E4">
        <w:t>b</w:t>
      </w:r>
      <w:r w:rsidR="009100E4" w:rsidRPr="009100E4">
        <w:t xml:space="preserve">oha ve smyslově daných a abstrahovaných jednotlivých věcech. Takový postup stojí v přímém rozporu jak s Aristotelem, tak s prvním averroismem. </w:t>
      </w:r>
      <w:r>
        <w:t>Scotus vytváří objektivní aristotelismus, který jde proti Aristotelovi (</w:t>
      </w:r>
      <w:r w:rsidRPr="080A1770">
        <w:rPr>
          <w:i/>
        </w:rPr>
        <w:t>contra Philosophum</w:t>
      </w:r>
      <w:r>
        <w:rPr>
          <w:i/>
        </w:rPr>
        <w:t xml:space="preserve"> arguo</w:t>
      </w:r>
      <w:r>
        <w:t xml:space="preserve">). Přirozené poznání boha v řádu esenciálně dané kauzality je vědecké a je možné vždy, i kdyby reálný smyslově vnímaný svět vůbec neexistoval. </w:t>
      </w:r>
      <w:r w:rsidRPr="00273106">
        <w:t>Augustiniánská teorie iluminace odporuje filosofickém</w:t>
      </w:r>
      <w:r>
        <w:t xml:space="preserve">u poznání danému čistě rozumově, protože představuje mystickou cestu k bohu a ne filosofickou. Dedukce poznání z boží esence-kauzy ukazuje, že Scotus má klíčový princip poznání v modu </w:t>
      </w:r>
      <w:r w:rsidRPr="007F52FC">
        <w:rPr>
          <w:i/>
        </w:rPr>
        <w:t>inmediate</w:t>
      </w:r>
      <w:r>
        <w:rPr>
          <w:i/>
        </w:rPr>
        <w:fldChar w:fldCharType="begin"/>
      </w:r>
      <w:r>
        <w:instrText xml:space="preserve"> XE "princip </w:instrText>
      </w:r>
      <w:r w:rsidRPr="004F0EA6">
        <w:rPr>
          <w:i/>
        </w:rPr>
        <w:instrText>ex</w:instrText>
      </w:r>
      <w:r>
        <w:instrText xml:space="preserve"> </w:instrText>
      </w:r>
      <w:r>
        <w:rPr>
          <w:i/>
        </w:rPr>
        <w:instrText>i</w:instrText>
      </w:r>
      <w:r w:rsidR="08A649EB">
        <w:rPr>
          <w:i/>
        </w:rPr>
        <w:instrText>n</w:instrText>
      </w:r>
      <w:r>
        <w:rPr>
          <w:i/>
        </w:rPr>
        <w:instrText>mediatis</w:instrText>
      </w:r>
      <w:r>
        <w:instrText xml:space="preserve">" </w:instrText>
      </w:r>
      <w:r>
        <w:rPr>
          <w:i/>
        </w:rPr>
        <w:fldChar w:fldCharType="end"/>
      </w:r>
      <w:r>
        <w:t xml:space="preserve"> podle oxfordské analytické školy. Na prvním místě stojí p</w:t>
      </w:r>
      <w:r w:rsidRPr="00273106">
        <w:t xml:space="preserve">oznání </w:t>
      </w:r>
      <w:r>
        <w:t xml:space="preserve">dané </w:t>
      </w:r>
      <w:r w:rsidRPr="00273106">
        <w:t>skrze univerzální esenci (</w:t>
      </w:r>
      <w:r w:rsidRPr="00273106">
        <w:rPr>
          <w:i/>
        </w:rPr>
        <w:t>cognoscimus causam in universali</w:t>
      </w:r>
      <w:r w:rsidRPr="00273106">
        <w:t xml:space="preserve">). </w:t>
      </w:r>
      <w:r>
        <w:t xml:space="preserve">Protože boží esenciální kauzalitu lze poznat přímo skrze objektivní verzi </w:t>
      </w:r>
      <w:r w:rsidRPr="086708AC">
        <w:rPr>
          <w:i/>
        </w:rPr>
        <w:t>Oxfordian Fallacy</w:t>
      </w:r>
      <w:r>
        <w:t>, pak už není problém dotáhnout toto poznání první příčiny až do stvoření, kde poznává</w:t>
      </w:r>
      <w:r w:rsidR="004D6E0C">
        <w:t>me stejnou kauzu skrze následky</w:t>
      </w:r>
      <w:r>
        <w:t xml:space="preserve">. </w:t>
      </w:r>
      <w:r w:rsidR="004D6E0C">
        <w:t xml:space="preserve">Nakonec se </w:t>
      </w:r>
      <w:r>
        <w:t>Scotus vrátil k výchozí pozici prvního averroismu, ale z pozice nové dedukce boží kauzality, která je primárně dána v intelektu. To je typická Grossetesteho pozice dvojstupňového náhledu vědy v modu přímého náhledu (</w:t>
      </w:r>
      <w:r w:rsidRPr="081E7297">
        <w:rPr>
          <w:i/>
        </w:rPr>
        <w:t>intellectus</w:t>
      </w:r>
      <w:r>
        <w:t>) a empirické abstrakce (</w:t>
      </w:r>
      <w:r w:rsidRPr="081E7297">
        <w:rPr>
          <w:i/>
        </w:rPr>
        <w:t>scientia</w:t>
      </w:r>
      <w:r w:rsidR="00795EE4">
        <w:t>; OBJ II, kap. 3</w:t>
      </w:r>
      <w:r>
        <w:t xml:space="preserve">.1.1). </w:t>
      </w:r>
      <w:r w:rsidR="00787437" w:rsidRPr="00787437">
        <w:t>Prostřednictvím metafyzické dedukce od univerzálních pojmů k jednotlivým věcem byla ustave</w:t>
      </w:r>
      <w:r w:rsidR="00787437">
        <w:t>na nová povaha hermeneutického „jak“ (</w:t>
      </w:r>
      <w:r w:rsidR="00787437" w:rsidRPr="00787437">
        <w:rPr>
          <w:i/>
        </w:rPr>
        <w:t>Wie</w:t>
      </w:r>
      <w:r w:rsidR="00787437">
        <w:t>)</w:t>
      </w:r>
      <w:r w:rsidR="00787437" w:rsidRPr="00787437">
        <w:t>, která tvoří základ metafyzické objektivní zkušenosti (</w:t>
      </w:r>
      <w:r w:rsidR="00787437" w:rsidRPr="00787437">
        <w:rPr>
          <w:i/>
        </w:rPr>
        <w:t>experimur quod</w:t>
      </w:r>
      <w:r w:rsidR="00787437">
        <w:t xml:space="preserve">). </w:t>
      </w:r>
      <w:r>
        <w:t xml:space="preserve">Podle Scota </w:t>
      </w:r>
      <w:r w:rsidR="00B1019A">
        <w:t xml:space="preserve">přímo a evidentně </w:t>
      </w:r>
      <w:r>
        <w:t xml:space="preserve">zakoušíme něco, co reálně neexistuje a nikdy existovat nemůže, tedy univerzální objektivní kauzalitu. Opět je vidět tragická záměna v působení </w:t>
      </w:r>
      <w:r w:rsidR="081942A4">
        <w:t xml:space="preserve">metafyzického </w:t>
      </w:r>
      <w:r>
        <w:t>dativu</w:t>
      </w:r>
      <w:r>
        <w:fldChar w:fldCharType="begin"/>
      </w:r>
      <w:r>
        <w:instrText xml:space="preserve"> XE "</w:instrText>
      </w:r>
      <w:r w:rsidR="081942A4">
        <w:rPr>
          <w:i/>
        </w:rPr>
        <w:instrText>dativus metaphysi</w:instrText>
      </w:r>
      <w:r w:rsidRPr="08832981">
        <w:rPr>
          <w:i/>
        </w:rPr>
        <w:instrText>cus</w:instrText>
      </w:r>
      <w:r>
        <w:instrText xml:space="preserve">" </w:instrText>
      </w:r>
      <w:r>
        <w:fldChar w:fldCharType="end"/>
      </w:r>
      <w:r>
        <w:t xml:space="preserve"> v modu </w:t>
      </w:r>
      <w:r w:rsidRPr="08832981">
        <w:rPr>
          <w:i/>
        </w:rPr>
        <w:t>Oxfordian Fallacy</w:t>
      </w:r>
      <w:r>
        <w:t xml:space="preserve"> (</w:t>
      </w:r>
      <w:r w:rsidR="00425DDB">
        <w:t xml:space="preserve">OBJ II, kap. 3.1.1). </w:t>
      </w:r>
      <w:r w:rsidR="003D0F60" w:rsidRPr="003D0F60">
        <w:t>Modernisté považují bytí v jeho objektivní parousii</w:t>
      </w:r>
      <w:r w:rsidR="003D0F60">
        <w:fldChar w:fldCharType="begin"/>
      </w:r>
      <w:r w:rsidR="003D0F60">
        <w:instrText xml:space="preserve"> XE "</w:instrText>
      </w:r>
      <w:r w:rsidR="003D0F60" w:rsidRPr="08F60EAE">
        <w:instrText>parousie</w:instrText>
      </w:r>
      <w:r w:rsidR="003D0F60">
        <w:instrText xml:space="preserve">" </w:instrText>
      </w:r>
      <w:r w:rsidR="003D0F60">
        <w:fldChar w:fldCharType="end"/>
      </w:r>
      <w:r w:rsidR="003D0F60" w:rsidRPr="003D0F60">
        <w:t xml:space="preserve"> za </w:t>
      </w:r>
      <w:r w:rsidR="003D0F60">
        <w:t xml:space="preserve">reálný základ metafyziky. </w:t>
      </w:r>
      <w:r>
        <w:t>Tuto paranoiu se pokusila odstranit z metafyziky</w:t>
      </w:r>
      <w:r w:rsidRPr="080D24E2">
        <w:t xml:space="preserve"> </w:t>
      </w:r>
      <w:r>
        <w:t>Ockhamova břitva</w:t>
      </w:r>
      <w:r w:rsidR="009517BF">
        <w:t xml:space="preserve"> (kap. 5.4.2)</w:t>
      </w:r>
      <w:r>
        <w:fldChar w:fldCharType="begin"/>
      </w:r>
      <w:r>
        <w:instrText xml:space="preserve"> XE "</w:instrText>
      </w:r>
      <w:r w:rsidRPr="080C3B1E">
        <w:instrText>Ockhamova břitva</w:instrText>
      </w:r>
      <w:r>
        <w:instrText xml:space="preserve">" </w:instrText>
      </w:r>
      <w:r>
        <w:fldChar w:fldCharType="end"/>
      </w:r>
      <w:r w:rsidR="00952121">
        <w:t xml:space="preserve">, ale bez úspěchu. </w:t>
      </w:r>
      <w:r>
        <w:t>Scotus vytvořil n</w:t>
      </w:r>
      <w:r w:rsidR="009A2112">
        <w:t>ovou formu poznání boha a světa, která vytvořila donaci objektivního jsoucna v plné formě objektivního dativu (</w:t>
      </w:r>
      <w:r w:rsidR="009A2112">
        <w:rPr>
          <w:i/>
        </w:rPr>
        <w:t>dativus ob</w:t>
      </w:r>
      <w:r w:rsidR="009A2112" w:rsidRPr="009A2112">
        <w:rPr>
          <w:i/>
        </w:rPr>
        <w:t>i</w:t>
      </w:r>
      <w:r w:rsidR="009A2112">
        <w:rPr>
          <w:i/>
        </w:rPr>
        <w:t>e</w:t>
      </w:r>
      <w:r w:rsidR="009A2112" w:rsidRPr="009A2112">
        <w:rPr>
          <w:i/>
        </w:rPr>
        <w:t>ctivus</w:t>
      </w:r>
      <w:r w:rsidR="009A2112">
        <w:rPr>
          <w:i/>
        </w:rPr>
        <w:fldChar w:fldCharType="begin"/>
      </w:r>
      <w:r w:rsidR="009A2112">
        <w:instrText xml:space="preserve"> XE "</w:instrText>
      </w:r>
      <w:r w:rsidR="009A2112" w:rsidRPr="00CF39AB">
        <w:rPr>
          <w:i/>
        </w:rPr>
        <w:instrText>dativus obiectivus</w:instrText>
      </w:r>
      <w:r w:rsidR="009A2112">
        <w:instrText xml:space="preserve">" </w:instrText>
      </w:r>
      <w:r w:rsidR="009A2112">
        <w:rPr>
          <w:i/>
        </w:rPr>
        <w:fldChar w:fldCharType="end"/>
      </w:r>
      <w:r w:rsidR="009A2112">
        <w:t>)</w:t>
      </w:r>
      <w:r w:rsidR="005B69B9">
        <w:t xml:space="preserve">. Tento metafyzik určil nový způsob, </w:t>
      </w:r>
      <w:r>
        <w:t xml:space="preserve">jak </w:t>
      </w:r>
      <w:r w:rsidR="002265F7">
        <w:t xml:space="preserve">modernisté </w:t>
      </w:r>
      <w:r w:rsidR="00F70082">
        <w:t xml:space="preserve">objektivně </w:t>
      </w:r>
      <w:r>
        <w:t>poznáv</w:t>
      </w:r>
      <w:r w:rsidR="002265F7">
        <w:t xml:space="preserve">ají jimi stvořeného boha </w:t>
      </w:r>
      <w:r>
        <w:t>(</w:t>
      </w:r>
      <w:r w:rsidRPr="00273106">
        <w:rPr>
          <w:i/>
        </w:rPr>
        <w:t>dativus m</w:t>
      </w:r>
      <w:r>
        <w:rPr>
          <w:i/>
        </w:rPr>
        <w:t>odi</w:t>
      </w:r>
      <w:r>
        <w:rPr>
          <w:i/>
        </w:rPr>
        <w:fldChar w:fldCharType="begin"/>
      </w:r>
      <w:r>
        <w:instrText xml:space="preserve"> XE "</w:instrText>
      </w:r>
      <w:r>
        <w:rPr>
          <w:i/>
        </w:rPr>
        <w:instrText>dativus modi</w:instrText>
      </w:r>
      <w:r>
        <w:instrText xml:space="preserve">" </w:instrText>
      </w:r>
      <w:r>
        <w:rPr>
          <w:i/>
        </w:rPr>
        <w:fldChar w:fldCharType="end"/>
      </w:r>
      <w:r>
        <w:t>)</w:t>
      </w:r>
      <w:r w:rsidRPr="08832B0F">
        <w:t>.</w:t>
      </w:r>
      <w:r>
        <w:t xml:space="preserve"> </w:t>
      </w:r>
      <w:r w:rsidR="003F2FB3" w:rsidRPr="003F2FB3">
        <w:t>Múzy měly z tohot</w:t>
      </w:r>
      <w:r w:rsidR="003F2FB3">
        <w:t>o pokroku božské komedie</w:t>
      </w:r>
      <w:r w:rsidR="003F2FB3">
        <w:fldChar w:fldCharType="begin"/>
      </w:r>
      <w:r w:rsidR="003F2FB3">
        <w:instrText xml:space="preserve"> XE "</w:instrText>
      </w:r>
      <w:r w:rsidR="003F2FB3" w:rsidRPr="08EA6A95">
        <w:instrText>božská komedie</w:instrText>
      </w:r>
      <w:r w:rsidR="003F2FB3">
        <w:instrText xml:space="preserve">" </w:instrText>
      </w:r>
      <w:r w:rsidR="003F2FB3">
        <w:fldChar w:fldCharType="end"/>
      </w:r>
      <w:r w:rsidR="003F2FB3">
        <w:t xml:space="preserve"> zvané „objektivita“</w:t>
      </w:r>
      <w:r w:rsidR="003F2FB3" w:rsidRPr="003F2FB3">
        <w:t xml:space="preserve"> jistě radost. Logicky odvozená objektivita se stala přímo prožívaným stavem mysli, který působí jako univerzá</w:t>
      </w:r>
      <w:r w:rsidR="003F2FB3">
        <w:t xml:space="preserve">lní příčina v moderním bohu a ve stvoření </w:t>
      </w:r>
      <w:r w:rsidR="00A12791">
        <w:t>(</w:t>
      </w:r>
      <w:r w:rsidR="00A12791" w:rsidRPr="08852CE8">
        <w:rPr>
          <w:i/>
        </w:rPr>
        <w:t>experimur quod quando cognoscimus causam in universali</w:t>
      </w:r>
      <w:r w:rsidR="00A12791">
        <w:t>)</w:t>
      </w:r>
      <w:r>
        <w:t xml:space="preserve">. </w:t>
      </w:r>
      <w:r w:rsidR="00952121">
        <w:t xml:space="preserve">Tento nový způsob paranoického vnímání světa změnil předešlou inovaci Simplikia (OBJ I, </w:t>
      </w:r>
      <w:r w:rsidR="00952121">
        <w:lastRenderedPageBreak/>
        <w:t xml:space="preserve">kap. 1.3.3). Mocná skupina </w:t>
      </w:r>
      <w:r w:rsidR="00952121" w:rsidRPr="00E020FD">
        <w:rPr>
          <w:i/>
        </w:rPr>
        <w:t>sophistae Latini</w:t>
      </w:r>
      <w:r w:rsidR="00952121">
        <w:t xml:space="preserve"> nastoupila </w:t>
      </w:r>
      <w:r w:rsidRPr="08976877">
        <w:rPr>
          <w:i/>
        </w:rPr>
        <w:t>via Modernorum</w:t>
      </w:r>
      <w:r w:rsidR="00063E04">
        <w:t xml:space="preserve"> </w:t>
      </w:r>
      <w:r w:rsidR="00952121">
        <w:t xml:space="preserve">a </w:t>
      </w:r>
      <w:r w:rsidR="00215942">
        <w:t xml:space="preserve">nosit </w:t>
      </w:r>
      <w:r w:rsidR="00063E04">
        <w:t xml:space="preserve">nové </w:t>
      </w:r>
      <w:r w:rsidR="00952121">
        <w:t xml:space="preserve">a zcela objektivní </w:t>
      </w:r>
      <w:r w:rsidR="00063E04">
        <w:t xml:space="preserve">šaty </w:t>
      </w:r>
      <w:r w:rsidR="00901FFC">
        <w:t xml:space="preserve">jako </w:t>
      </w:r>
      <w:r w:rsidR="0019223B">
        <w:t xml:space="preserve">múzicky pravdivý </w:t>
      </w:r>
      <w:r w:rsidR="00901FFC">
        <w:t>císař ve známé pohádce</w:t>
      </w:r>
      <w:r w:rsidR="00952121">
        <w:t>.</w:t>
      </w:r>
    </w:p>
    <w:p w:rsidR="08163013" w:rsidRDefault="003A2E2B" w:rsidP="00952121">
      <w:pPr>
        <w:ind w:firstLine="397"/>
      </w:pPr>
      <w:r>
        <w:t xml:space="preserve">Nyní </w:t>
      </w:r>
      <w:r w:rsidR="00952121">
        <w:t xml:space="preserve">mohla </w:t>
      </w:r>
      <w:r>
        <w:t>modern</w:t>
      </w:r>
      <w:r w:rsidRPr="003A2E2B">
        <w:t>a vypracovat úplnou dedukci obj</w:t>
      </w:r>
      <w:r>
        <w:t>ektivní metafyziky založené na b</w:t>
      </w:r>
      <w:r w:rsidRPr="003A2E2B">
        <w:t xml:space="preserve">ohu jako první příčině, která má zásadní účinky a může být rozpoznána v lidské mysli. </w:t>
      </w:r>
      <w:r w:rsidR="001C5227">
        <w:t>S</w:t>
      </w:r>
      <w:r w:rsidR="08163013">
        <w:t xml:space="preserve">pekulativní </w:t>
      </w:r>
      <w:r w:rsidR="08163013" w:rsidRPr="00273106">
        <w:t>jednot</w:t>
      </w:r>
      <w:r w:rsidR="001C5227">
        <w:t>a</w:t>
      </w:r>
      <w:r w:rsidR="08163013" w:rsidRPr="00273106">
        <w:t xml:space="preserve"> začíná atributem nekonečnosti, který v sobě zahrnuje všechna</w:t>
      </w:r>
      <w:r w:rsidR="08163013">
        <w:t xml:space="preserve"> ostatní určení jsoucna. Pojem nekonečna je oddělený od konečného</w:t>
      </w:r>
      <w:r w:rsidR="08163013" w:rsidRPr="00273106">
        <w:t xml:space="preserve"> stvoření.</w:t>
      </w:r>
      <w:r w:rsidR="08163013">
        <w:t xml:space="preserve"> </w:t>
      </w:r>
      <w:r w:rsidR="001936BB" w:rsidRPr="001936BB">
        <w:t xml:space="preserve">Pojem nekonečného bytí je oddělen od konečného stvoření. Dílo </w:t>
      </w:r>
      <w:r w:rsidR="008C2D4A" w:rsidRPr="008C2D4A">
        <w:rPr>
          <w:i/>
        </w:rPr>
        <w:t>Lectura I</w:t>
      </w:r>
      <w:r w:rsidR="001936BB" w:rsidRPr="001936BB">
        <w:t xml:space="preserve"> obsahuje traktát nazvaný </w:t>
      </w:r>
      <w:r w:rsidR="001936BB" w:rsidRPr="001936BB">
        <w:rPr>
          <w:i/>
        </w:rPr>
        <w:t>De conceptus Deus infiniti</w:t>
      </w:r>
      <w:r w:rsidR="001936BB" w:rsidRPr="001936BB">
        <w:t xml:space="preserve">, který založil novou verzi metafyzické dedukce na způsob moderního </w:t>
      </w:r>
      <w:r w:rsidR="001936BB" w:rsidRPr="001936BB">
        <w:rPr>
          <w:i/>
        </w:rPr>
        <w:t>resolutio</w:t>
      </w:r>
      <w:r w:rsidR="001936BB" w:rsidRPr="001936BB">
        <w:t>. Objektivní dedukce metafyziky začíná uvedením základního problému, k</w:t>
      </w:r>
      <w:r w:rsidR="001936BB">
        <w:t>terý se týká pojmového poznání b</w:t>
      </w:r>
      <w:r w:rsidR="001936BB" w:rsidRPr="001936BB">
        <w:t>oha a celku jsoucna.</w:t>
      </w:r>
    </w:p>
    <w:p w:rsidR="08163013" w:rsidRDefault="08163013" w:rsidP="08163013">
      <w:pPr>
        <w:pStyle w:val="Citace"/>
        <w:rPr>
          <w:lang w:val="cs-CZ"/>
        </w:rPr>
      </w:pPr>
      <w:r w:rsidRPr="00D846BF">
        <w:rPr>
          <w:rStyle w:val="TextpoznpodarouChar"/>
        </w:rPr>
        <w:t>„</w:t>
      </w:r>
      <w:r>
        <w:rPr>
          <w:rStyle w:val="TextpoznpodarouChar"/>
          <w:lang w:val="cs-CZ"/>
        </w:rPr>
        <w:t>Je-li pojem nekonečného jsoucna nejdokonalejším konceptem</w:t>
      </w:r>
      <w:r w:rsidR="00905C1F">
        <w:rPr>
          <w:rStyle w:val="TextpoznpodarouChar"/>
          <w:lang w:val="cs-CZ"/>
        </w:rPr>
        <w:t xml:space="preserve"> k </w:t>
      </w:r>
      <w:r w:rsidR="00F62ED2">
        <w:rPr>
          <w:rStyle w:val="TextpoznpodarouChar"/>
          <w:lang w:val="cs-CZ"/>
        </w:rPr>
        <w:t>uchop</w:t>
      </w:r>
      <w:r w:rsidR="00905C1F">
        <w:rPr>
          <w:rStyle w:val="TextpoznpodarouChar"/>
          <w:lang w:val="cs-CZ"/>
        </w:rPr>
        <w:t>ení</w:t>
      </w:r>
      <w:r w:rsidR="00F62ED2">
        <w:rPr>
          <w:rStyle w:val="TextpoznpodarouChar"/>
          <w:lang w:val="cs-CZ"/>
        </w:rPr>
        <w:t xml:space="preserve"> </w:t>
      </w:r>
      <w:r>
        <w:rPr>
          <w:rStyle w:val="TextpoznpodarouChar"/>
          <w:lang w:val="cs-CZ"/>
        </w:rPr>
        <w:t xml:space="preserve">boha, jak se dostaneme k poznání tohoto konceptu?“ </w:t>
      </w:r>
      <w:r w:rsidRPr="00273106">
        <w:rPr>
          <w:rStyle w:val="Znakapoznpodarou"/>
        </w:rPr>
        <w:footnoteReference w:id="433"/>
      </w:r>
    </w:p>
    <w:p w:rsidR="08163013" w:rsidRPr="00273106" w:rsidRDefault="08163013" w:rsidP="00952121">
      <w:r w:rsidRPr="00273106">
        <w:t xml:space="preserve">Řešení předešlých aporií </w:t>
      </w:r>
      <w:r>
        <w:t xml:space="preserve">ohledně božího poznání ve škole prvního a druhého averroismu </w:t>
      </w:r>
      <w:r w:rsidRPr="00273106">
        <w:t>přinesl upravený Avic</w:t>
      </w:r>
      <w:r>
        <w:t xml:space="preserve">ennův </w:t>
      </w:r>
      <w:r w:rsidR="00EA1D62">
        <w:t>pojem „</w:t>
      </w:r>
      <w:r w:rsidR="00962190">
        <w:rPr>
          <w:i/>
        </w:rPr>
        <w:t>species</w:t>
      </w:r>
      <w:r w:rsidRPr="00273106">
        <w:rPr>
          <w:i/>
        </w:rPr>
        <w:t xml:space="preserve"> accidentis tantum</w:t>
      </w:r>
      <w:r w:rsidR="00EA1D62">
        <w:t>“</w:t>
      </w:r>
      <w:r w:rsidRPr="00273106">
        <w:t xml:space="preserve"> </w:t>
      </w:r>
      <w:r>
        <w:t xml:space="preserve">daný </w:t>
      </w:r>
      <w:r w:rsidRPr="00273106">
        <w:t xml:space="preserve">jako nová forma jsoucna třetího druhu. Scotus definuje novou formu </w:t>
      </w:r>
      <w:r w:rsidR="00962190">
        <w:rPr>
          <w:i/>
        </w:rPr>
        <w:t>species</w:t>
      </w:r>
      <w:r>
        <w:fldChar w:fldCharType="begin"/>
      </w:r>
      <w:r>
        <w:instrText xml:space="preserve"> XE "</w:instrText>
      </w:r>
      <w:r w:rsidRPr="00445AF6">
        <w:instrText>species:Scotus</w:instrText>
      </w:r>
      <w:r>
        <w:instrText xml:space="preserve">" </w:instrText>
      </w:r>
      <w:r>
        <w:fldChar w:fldCharType="end"/>
      </w:r>
      <w:r w:rsidRPr="00273106">
        <w:t>, která je dána jako trvalá idea v intelektu</w:t>
      </w:r>
      <w:r>
        <w:t>. D</w:t>
      </w:r>
      <w:r w:rsidRPr="00273106">
        <w:t xml:space="preserve">ůkaz o poznání boží nekonečnosti </w:t>
      </w:r>
      <w:r>
        <w:t xml:space="preserve">je založen na </w:t>
      </w:r>
      <w:r w:rsidR="00B27675">
        <w:t xml:space="preserve">existenci </w:t>
      </w:r>
      <w:r w:rsidR="006E1D76">
        <w:t xml:space="preserve">objektivních </w:t>
      </w:r>
      <w:r w:rsidR="00962190" w:rsidRPr="006E1D76">
        <w:t>species</w:t>
      </w:r>
      <w:r w:rsidRPr="00273106">
        <w:t xml:space="preserve"> </w:t>
      </w:r>
      <w:r w:rsidR="006E1D76">
        <w:t>daných mimo fantasmata</w:t>
      </w:r>
      <w:r>
        <w:t xml:space="preserve">. </w:t>
      </w:r>
      <w:r w:rsidR="00EA58F7">
        <w:t>Nový náhled objektivity zrušil augustiniánskou paměť</w:t>
      </w:r>
      <w:r w:rsidR="00EA58F7" w:rsidRPr="00273106">
        <w:t xml:space="preserve"> </w:t>
      </w:r>
      <w:r w:rsidR="00EA58F7">
        <w:t xml:space="preserve">jako </w:t>
      </w:r>
      <w:r w:rsidR="00EA58F7" w:rsidRPr="00273106">
        <w:rPr>
          <w:i/>
        </w:rPr>
        <w:t>locus specierum</w:t>
      </w:r>
      <w:r w:rsidR="00EA58F7">
        <w:rPr>
          <w:i/>
        </w:rPr>
        <w:fldChar w:fldCharType="begin"/>
      </w:r>
      <w:r w:rsidR="00EA58F7">
        <w:instrText xml:space="preserve"> XE "</w:instrText>
      </w:r>
      <w:r w:rsidR="00EA58F7" w:rsidRPr="009E5259">
        <w:rPr>
          <w:i/>
        </w:rPr>
        <w:instrText>locus specierum</w:instrText>
      </w:r>
      <w:r w:rsidR="00EA58F7">
        <w:instrText xml:space="preserve">" </w:instrText>
      </w:r>
      <w:r w:rsidR="00EA58F7">
        <w:rPr>
          <w:i/>
        </w:rPr>
        <w:fldChar w:fldCharType="end"/>
      </w:r>
      <w:r w:rsidR="00EA58F7" w:rsidRPr="00273106">
        <w:t xml:space="preserve"> </w:t>
      </w:r>
      <w:r w:rsidR="00EA58F7">
        <w:t xml:space="preserve">napojenou na aktivně poznávající </w:t>
      </w:r>
      <w:r w:rsidR="00EA58F7" w:rsidRPr="00981730">
        <w:rPr>
          <w:i/>
        </w:rPr>
        <w:t>intellectus agens</w:t>
      </w:r>
      <w:r w:rsidR="00EA58F7">
        <w:t xml:space="preserve">. </w:t>
      </w:r>
      <w:r w:rsidRPr="00273106">
        <w:t xml:space="preserve">První substance daná v realitě může přestat existovat, ale její </w:t>
      </w:r>
      <w:r w:rsidR="00962190">
        <w:rPr>
          <w:i/>
        </w:rPr>
        <w:t>species</w:t>
      </w:r>
      <w:r w:rsidRPr="00273106">
        <w:t xml:space="preserve"> v paměti a v intelektu trvá dál. </w:t>
      </w:r>
      <w:r>
        <w:t xml:space="preserve">Ale intelekt funguje pouze v modu aristotelské abstrakce mimo jakokoliv formu iluminace z augustiniánské </w:t>
      </w:r>
      <w:r w:rsidRPr="08DD7F84">
        <w:rPr>
          <w:i/>
        </w:rPr>
        <w:t>memoria</w:t>
      </w:r>
      <w:r>
        <w:t xml:space="preserve">. Dedukce univerzální racionality z boha na stvoření umožňuje najít nové </w:t>
      </w:r>
      <w:r w:rsidRPr="089C1EFC">
        <w:rPr>
          <w:i/>
        </w:rPr>
        <w:t>locus specierum</w:t>
      </w:r>
      <w:r>
        <w:rPr>
          <w:i/>
        </w:rPr>
        <w:fldChar w:fldCharType="begin"/>
      </w:r>
      <w:r>
        <w:instrText xml:space="preserve"> XE "</w:instrText>
      </w:r>
      <w:r w:rsidRPr="08866B04">
        <w:rPr>
          <w:i/>
        </w:rPr>
        <w:instrText>locus specierum</w:instrText>
      </w:r>
      <w:r>
        <w:instrText xml:space="preserve">" </w:instrText>
      </w:r>
      <w:r>
        <w:rPr>
          <w:i/>
        </w:rPr>
        <w:fldChar w:fldCharType="end"/>
      </w:r>
      <w:r w:rsidR="000852D4">
        <w:t xml:space="preserve"> dané absolutně jistě a odděleně od smyslů</w:t>
      </w:r>
      <w:r w:rsidR="003909BD">
        <w:t xml:space="preserve">. Esenciální permanence moderních </w:t>
      </w:r>
      <w:r w:rsidR="00962190">
        <w:rPr>
          <w:i/>
        </w:rPr>
        <w:t>species</w:t>
      </w:r>
      <w:r w:rsidRPr="00273106">
        <w:t xml:space="preserve"> </w:t>
      </w:r>
      <w:r w:rsidR="003909BD">
        <w:t>je z</w:t>
      </w:r>
      <w:r w:rsidR="00663E9C">
        <w:t>ajištěna tím, že objektivně „ex</w:t>
      </w:r>
      <w:r w:rsidR="003909BD">
        <w:t xml:space="preserve">sistují“ v boží mysli ještě </w:t>
      </w:r>
      <w:r w:rsidRPr="00273106">
        <w:t xml:space="preserve">před aktuálním aktem stvoření. </w:t>
      </w:r>
      <w:r>
        <w:t xml:space="preserve">Způsob této objektivní existence jsoucna v bohu podal Gandavus skrze </w:t>
      </w:r>
      <w:r w:rsidR="00663E9C">
        <w:t xml:space="preserve">jeho </w:t>
      </w:r>
      <w:r>
        <w:t>intencional</w:t>
      </w:r>
      <w:r w:rsidR="00247D36">
        <w:t>itu vůle a intelektu (kap. 5</w:t>
      </w:r>
      <w:r>
        <w:t xml:space="preserve">.2.2). Scotus nově ukazuje způsob, jak </w:t>
      </w:r>
      <w:r w:rsidRPr="00273106">
        <w:t xml:space="preserve">se manifestuje </w:t>
      </w:r>
      <w:r w:rsidR="00962190" w:rsidRPr="00CA7D07">
        <w:t>species</w:t>
      </w:r>
      <w:r w:rsidRPr="00273106">
        <w:t xml:space="preserve"> </w:t>
      </w:r>
      <w:r>
        <w:t xml:space="preserve">objektivně daný nikoliv přímo v </w:t>
      </w:r>
      <w:r w:rsidRPr="00273106">
        <w:t>bohu</w:t>
      </w:r>
      <w:r>
        <w:t xml:space="preserve"> jako u předešlých moderních iluminátů, ale ve způsobu jeho ra</w:t>
      </w:r>
      <w:r w:rsidR="00A75CBC">
        <w:t>cionálního uvažování a dedukce.</w:t>
      </w:r>
      <w:r w:rsidR="00952121">
        <w:t xml:space="preserve"> </w:t>
      </w:r>
      <w:r>
        <w:t xml:space="preserve">Důkaz </w:t>
      </w:r>
      <w:r w:rsidR="004A4EFF">
        <w:t xml:space="preserve">je založen </w:t>
      </w:r>
      <w:r w:rsidRPr="00273106">
        <w:rPr>
          <w:i/>
        </w:rPr>
        <w:t>per absurdum</w:t>
      </w:r>
      <w:r>
        <w:rPr>
          <w:i/>
        </w:rPr>
        <w:fldChar w:fldCharType="begin"/>
      </w:r>
      <w:r>
        <w:instrText xml:space="preserve"> XE "predikace:</w:instrText>
      </w:r>
      <w:r w:rsidRPr="006A31DC">
        <w:rPr>
          <w:i/>
        </w:rPr>
        <w:instrText xml:space="preserve">per </w:instrText>
      </w:r>
      <w:r w:rsidRPr="006A31DC">
        <w:rPr>
          <w:i/>
        </w:rPr>
        <w:lastRenderedPageBreak/>
        <w:instrText>absurdum</w:instrText>
      </w:r>
      <w:r>
        <w:instrText xml:space="preserve">" </w:instrText>
      </w:r>
      <w:r>
        <w:rPr>
          <w:i/>
        </w:rPr>
        <w:fldChar w:fldCharType="end"/>
      </w:r>
      <w:r w:rsidR="004A4EFF">
        <w:t>. D</w:t>
      </w:r>
      <w:r w:rsidRPr="00273106">
        <w:t>edukce nejde o</w:t>
      </w:r>
      <w:r>
        <w:t>d neoplatonské analogie</w:t>
      </w:r>
      <w:r w:rsidRPr="00273106">
        <w:t xml:space="preserve"> nasvícení duše od </w:t>
      </w:r>
      <w:r>
        <w:t>intelektu-</w:t>
      </w:r>
      <w:r w:rsidRPr="00273106">
        <w:t>slunce</w:t>
      </w:r>
      <w:r>
        <w:fldChar w:fldCharType="begin"/>
      </w:r>
      <w:r>
        <w:instrText xml:space="preserve"> XE "</w:instrText>
      </w:r>
      <w:r w:rsidRPr="00CE2CA3">
        <w:instrText>intelekt-slunce</w:instrText>
      </w:r>
      <w:r>
        <w:instrText xml:space="preserve">" </w:instrText>
      </w:r>
      <w:r>
        <w:fldChar w:fldCharType="end"/>
      </w:r>
      <w:r w:rsidRPr="00273106">
        <w:t xml:space="preserve">, </w:t>
      </w:r>
      <w:r>
        <w:t xml:space="preserve">jak to měl druhý averroismus </w:t>
      </w:r>
      <w:r w:rsidRPr="00273106">
        <w:t>od Avicenny (</w:t>
      </w:r>
      <w:r w:rsidR="00247D36">
        <w:t xml:space="preserve">OBJ I, </w:t>
      </w:r>
      <w:r w:rsidRPr="00273106">
        <w:t xml:space="preserve">kap. 2.3.1). Jsoucno jako </w:t>
      </w:r>
      <w:r w:rsidR="00962190" w:rsidRPr="00E632F0">
        <w:t>species</w:t>
      </w:r>
      <w:r w:rsidRPr="00273106">
        <w:t xml:space="preserve"> v boží mysli existuje dál, i když první substance daná v realitě už neexistuje nebo ještě neexistuje. </w:t>
      </w:r>
      <w:r>
        <w:t xml:space="preserve">Objektivní </w:t>
      </w:r>
      <w:r w:rsidR="00962190" w:rsidRPr="00662DEC">
        <w:t>species</w:t>
      </w:r>
      <w:r w:rsidRPr="00273106">
        <w:t xml:space="preserve"> </w:t>
      </w:r>
      <w:r>
        <w:t xml:space="preserve">představují </w:t>
      </w:r>
      <w:r w:rsidRPr="00273106">
        <w:t>pro boha</w:t>
      </w:r>
      <w:r w:rsidRPr="0005132C">
        <w:t xml:space="preserve"> </w:t>
      </w:r>
      <w:r>
        <w:t>věčné racionální významy odvozené ze způsobu jeho myšlení</w:t>
      </w:r>
      <w:r w:rsidRPr="00273106">
        <w:t xml:space="preserve">. </w:t>
      </w:r>
      <w:r>
        <w:t xml:space="preserve">Bohem koncipovaná substance dané v jeho racionalitě </w:t>
      </w:r>
      <w:r w:rsidRPr="00273106">
        <w:t>má objektivní formu js</w:t>
      </w:r>
      <w:r>
        <w:t xml:space="preserve">oucnosti, </w:t>
      </w:r>
      <w:r w:rsidRPr="00273106">
        <w:t>proto patří do přirozeného poznání.</w:t>
      </w:r>
      <w:r>
        <w:t xml:space="preserve"> </w:t>
      </w:r>
      <w:r w:rsidRPr="00273106">
        <w:t xml:space="preserve">Charakter tohoto </w:t>
      </w:r>
      <w:r w:rsidR="00962190" w:rsidRPr="00662DEC">
        <w:t>species</w:t>
      </w:r>
      <w:r w:rsidRPr="00273106">
        <w:t xml:space="preserve"> je dán intencionálně a pouze v možnosti, což zaručuje univocitu pro poznání boha i člověka. Poznávají</w:t>
      </w:r>
      <w:r>
        <w:t xml:space="preserve"> tutéž objektivitu</w:t>
      </w:r>
      <w:r w:rsidRPr="00273106">
        <w:t>, ale ne ve stejném modu</w:t>
      </w:r>
      <w:r>
        <w:t>, protože jedno poznání je konečné a druhé nekonečné</w:t>
      </w:r>
      <w:r w:rsidRPr="00273106">
        <w:t xml:space="preserve">. Podle </w:t>
      </w:r>
      <w:r>
        <w:t xml:space="preserve">objektivního aristotelika </w:t>
      </w:r>
      <w:r w:rsidRPr="00273106">
        <w:t xml:space="preserve">Scota je tento projekt </w:t>
      </w:r>
      <w:r w:rsidR="00962190" w:rsidRPr="00C00727">
        <w:t>species</w:t>
      </w:r>
      <w:r>
        <w:t xml:space="preserve"> </w:t>
      </w:r>
      <w:r w:rsidRPr="00273106">
        <w:t xml:space="preserve">zcela v souladu s jeho </w:t>
      </w:r>
      <w:r w:rsidR="00C00727">
        <w:t xml:space="preserve">exegezí </w:t>
      </w:r>
      <w:r w:rsidRPr="08E7595C">
        <w:rPr>
          <w:i/>
        </w:rPr>
        <w:t>Druhých analytik</w:t>
      </w:r>
      <w:r>
        <w:t xml:space="preserve"> podle </w:t>
      </w:r>
      <w:r w:rsidRPr="00E31F3E">
        <w:rPr>
          <w:i/>
        </w:rPr>
        <w:t>Oxfordian Fallacy</w:t>
      </w:r>
      <w:r>
        <w:rPr>
          <w:i/>
        </w:rPr>
        <w:fldChar w:fldCharType="begin"/>
      </w:r>
      <w:r>
        <w:instrText xml:space="preserve"> XE "</w:instrText>
      </w:r>
      <w:r w:rsidRPr="0015798D">
        <w:rPr>
          <w:i/>
        </w:rPr>
        <w:instrText>Oxfordian Fallacy:</w:instrText>
      </w:r>
      <w:r w:rsidRPr="009712D6">
        <w:instrText>Scotus</w:instrText>
      </w:r>
      <w:r>
        <w:instrText xml:space="preserve">" </w:instrText>
      </w:r>
      <w:r>
        <w:rPr>
          <w:i/>
        </w:rPr>
        <w:fldChar w:fldCharType="end"/>
      </w:r>
      <w:r>
        <w:t>. Boha poznáváme primárně skrze univerzální koncept, který zakoušíme přímo jako střední člen kauzálního deduktivního soudu</w:t>
      </w:r>
      <w:r w:rsidRPr="00273106">
        <w:t>.</w:t>
      </w:r>
      <w:r>
        <w:t xml:space="preserve"> Bůh je nekonečné univerzální a intelektuální bytí dané jako esence</w:t>
      </w:r>
      <w:r w:rsidR="00190E40">
        <w:t xml:space="preserve">. Ta </w:t>
      </w:r>
      <w:r>
        <w:t>se dává poznat skrze objektivní kauzalitu</w:t>
      </w:r>
      <w:r w:rsidRPr="08433103">
        <w:t xml:space="preserve"> </w:t>
      </w:r>
      <w:r>
        <w:t xml:space="preserve">přímo zakoušenou v naší bohem osvícené duši. Proto </w:t>
      </w:r>
      <w:r w:rsidR="00190E40">
        <w:t xml:space="preserve">objektivní kauzalita </w:t>
      </w:r>
      <w:r>
        <w:t xml:space="preserve">nemůže záviset na faktickém stavu světa, kde je kauzalita už daná efektivně skrze působení prvních substancí. Koncept poznatelné substance (nekonečné a konečné) spojuje oba póly metafyziky do univočního poznání boha i objektivně daného světa odděleného od reálného božího </w:t>
      </w:r>
      <w:r w:rsidRPr="083146B4">
        <w:rPr>
          <w:i/>
        </w:rPr>
        <w:t>creatio</w:t>
      </w:r>
      <w:r>
        <w:t xml:space="preserve">. Podívejme se na </w:t>
      </w:r>
      <w:r w:rsidRPr="00273106">
        <w:t xml:space="preserve">důkaz </w:t>
      </w:r>
      <w:r w:rsidRPr="000D427C">
        <w:rPr>
          <w:i/>
        </w:rPr>
        <w:t>per absurdum</w:t>
      </w:r>
      <w:r>
        <w:t xml:space="preserve">, který založil radikální </w:t>
      </w:r>
      <w:r w:rsidRPr="00273106">
        <w:t>karteziánsk</w:t>
      </w:r>
      <w:r w:rsidR="00485323">
        <w:t>ou</w:t>
      </w:r>
      <w:r w:rsidRPr="00273106">
        <w:t xml:space="preserve"> pochybnost</w:t>
      </w:r>
      <w:r>
        <w:t>, jež nakonec pohřbila i samotného boha moderny</w:t>
      </w:r>
      <w:r w:rsidRPr="00273106">
        <w:t xml:space="preserve">. Následující </w:t>
      </w:r>
      <w:r>
        <w:t xml:space="preserve">argument </w:t>
      </w:r>
      <w:r w:rsidRPr="00273106">
        <w:t xml:space="preserve">podává první verzi metafyzické </w:t>
      </w:r>
      <w:r w:rsidRPr="00273106">
        <w:rPr>
          <w:i/>
        </w:rPr>
        <w:t>epoché</w:t>
      </w:r>
      <w:r>
        <w:rPr>
          <w:i/>
        </w:rPr>
        <w:fldChar w:fldCharType="begin"/>
      </w:r>
      <w:r>
        <w:instrText xml:space="preserve"> XE "</w:instrText>
      </w:r>
      <w:r w:rsidRPr="001B0D03">
        <w:rPr>
          <w:i/>
        </w:rPr>
        <w:instrText>epoché</w:instrText>
      </w:r>
      <w:r>
        <w:instrText xml:space="preserve">" </w:instrText>
      </w:r>
      <w:r>
        <w:rPr>
          <w:i/>
        </w:rPr>
        <w:fldChar w:fldCharType="end"/>
      </w:r>
      <w:r w:rsidRPr="00273106">
        <w:t xml:space="preserve"> n</w:t>
      </w:r>
      <w:r>
        <w:t>avázanou na koncept Descartova klamajícího boha</w:t>
      </w:r>
      <w:r w:rsidRPr="00273106">
        <w:t xml:space="preserve"> (</w:t>
      </w:r>
      <w:r w:rsidRPr="00273106">
        <w:rPr>
          <w:i/>
        </w:rPr>
        <w:t>deus malignus</w:t>
      </w:r>
      <w:r>
        <w:rPr>
          <w:i/>
        </w:rPr>
        <w:fldChar w:fldCharType="begin"/>
      </w:r>
      <w:r>
        <w:instrText xml:space="preserve"> XE "</w:instrText>
      </w:r>
      <w:r w:rsidRPr="00AD4A2D">
        <w:rPr>
          <w:i/>
        </w:rPr>
        <w:instrText>deus malignus</w:instrText>
      </w:r>
      <w:r>
        <w:instrText xml:space="preserve">" </w:instrText>
      </w:r>
      <w:r>
        <w:rPr>
          <w:i/>
        </w:rPr>
        <w:fldChar w:fldCharType="end"/>
      </w:r>
      <w:r w:rsidRPr="00273106">
        <w:t>).</w:t>
      </w:r>
    </w:p>
    <w:p w:rsidR="08163013" w:rsidRPr="00066893" w:rsidRDefault="08163013" w:rsidP="08163013">
      <w:pPr>
        <w:pStyle w:val="Citace"/>
        <w:rPr>
          <w:noProof/>
          <w:lang w:val="cs-CZ"/>
        </w:rPr>
      </w:pPr>
      <w:r w:rsidRPr="00273106">
        <w:rPr>
          <w:noProof/>
          <w:lang w:val="cs-CZ"/>
        </w:rPr>
        <w:t>„</w:t>
      </w:r>
      <w:r>
        <w:rPr>
          <w:noProof/>
          <w:lang w:val="cs-CZ"/>
        </w:rPr>
        <w:t>Připusťme, že by bůh zrušil substanci slunce, a přitom zachoval sluneční světlo. Pak by stejným způsobem vznikla s</w:t>
      </w:r>
      <w:r w:rsidRPr="08166123">
        <w:rPr>
          <w:i/>
          <w:noProof/>
          <w:lang w:val="cs-CZ"/>
        </w:rPr>
        <w:t>pecies</w:t>
      </w:r>
      <w:r>
        <w:rPr>
          <w:noProof/>
          <w:lang w:val="cs-CZ"/>
        </w:rPr>
        <w:t xml:space="preserve"> paprsků vzhledem k poznávajícímu intelektu a světlo by bylo v intelektu aktivní na způsob substance dané tímto způsobem. A stejně tak by náš intelekt podržel </w:t>
      </w:r>
      <w:r w:rsidR="00962190" w:rsidRPr="006B3AAF">
        <w:rPr>
          <w:noProof/>
          <w:lang w:val="cs-CZ"/>
        </w:rPr>
        <w:t>species</w:t>
      </w:r>
      <w:r>
        <w:rPr>
          <w:noProof/>
          <w:lang w:val="cs-CZ"/>
        </w:rPr>
        <w:t xml:space="preserve"> této substance dané tímto způsobem. Ale tento způsob substituce nemůže nahradit </w:t>
      </w:r>
      <w:r w:rsidR="00962190" w:rsidRPr="006B3AAF">
        <w:rPr>
          <w:noProof/>
          <w:lang w:val="cs-CZ"/>
        </w:rPr>
        <w:t>species</w:t>
      </w:r>
      <w:r>
        <w:rPr>
          <w:noProof/>
          <w:lang w:val="cs-CZ"/>
        </w:rPr>
        <w:t xml:space="preserve"> reálné substance. Je-li reálná substance zničena, </w:t>
      </w:r>
      <w:r w:rsidR="00962190" w:rsidRPr="006B3AAF">
        <w:rPr>
          <w:noProof/>
          <w:lang w:val="cs-CZ"/>
        </w:rPr>
        <w:t>species</w:t>
      </w:r>
      <w:r>
        <w:rPr>
          <w:noProof/>
          <w:lang w:val="cs-CZ"/>
        </w:rPr>
        <w:t xml:space="preserve"> ji nemůže nahradit zástupným způsobem. Pak nelze nahradit v modu impozice ani </w:t>
      </w:r>
      <w:r w:rsidR="00962190">
        <w:rPr>
          <w:i/>
          <w:noProof/>
          <w:lang w:val="cs-CZ"/>
        </w:rPr>
        <w:t>species</w:t>
      </w:r>
      <w:r>
        <w:rPr>
          <w:noProof/>
          <w:lang w:val="cs-CZ"/>
        </w:rPr>
        <w:t xml:space="preserve"> reálné substance ani její akcidenty, které jsou dány na reálné substanci a existují jen skrze ni.“ </w:t>
      </w:r>
      <w:r>
        <w:rPr>
          <w:rStyle w:val="Znakapoznpodarou"/>
        </w:rPr>
        <w:footnoteReference w:id="434"/>
      </w:r>
    </w:p>
    <w:p w:rsidR="007E3B75" w:rsidRDefault="08163013" w:rsidP="08163013">
      <w:r w:rsidRPr="00273106">
        <w:lastRenderedPageBreak/>
        <w:t xml:space="preserve">Připusťme </w:t>
      </w:r>
      <w:r>
        <w:t xml:space="preserve">hypotetickou a absurdní </w:t>
      </w:r>
      <w:r w:rsidRPr="00273106">
        <w:t>možnost, že by bůh zrušil slunce jako substanci a ponechal by pouze sluneční paprsek (</w:t>
      </w:r>
      <w:r w:rsidRPr="00273106">
        <w:rPr>
          <w:i/>
        </w:rPr>
        <w:t>si</w:t>
      </w:r>
      <w:r w:rsidRPr="00273106">
        <w:t xml:space="preserve"> </w:t>
      </w:r>
      <w:r w:rsidRPr="00273106">
        <w:rPr>
          <w:i/>
        </w:rPr>
        <w:t>Deus destrueret solis substantiam et conservaret eius lumen</w:t>
      </w:r>
      <w:r w:rsidRPr="00273106">
        <w:t xml:space="preserve">). Pak z povahy paradoxně daného světla platí, že </w:t>
      </w:r>
      <w:r w:rsidR="00962190" w:rsidRPr="00AA25AC">
        <w:t>species</w:t>
      </w:r>
      <w:r w:rsidRPr="00273106">
        <w:t xml:space="preserve"> světla vnímáme v </w:t>
      </w:r>
      <w:r>
        <w:t xml:space="preserve">poznávajícím </w:t>
      </w:r>
      <w:r w:rsidRPr="00273106">
        <w:t>intelektu jako by pocházelo od nyn</w:t>
      </w:r>
      <w:r>
        <w:t>í suspendovaného s</w:t>
      </w:r>
      <w:r w:rsidRPr="00273106">
        <w:t>lunce jako substance</w:t>
      </w:r>
      <w:r>
        <w:fldChar w:fldCharType="begin"/>
      </w:r>
      <w:r>
        <w:instrText xml:space="preserve"> XE "</w:instrText>
      </w:r>
      <w:r w:rsidRPr="00DE2A32">
        <w:instrText>substance</w:instrText>
      </w:r>
      <w:r>
        <w:instrText>:</w:instrText>
      </w:r>
      <w:r w:rsidRPr="08CE63C5">
        <w:rPr>
          <w:i/>
        </w:rPr>
        <w:instrText>species</w:instrText>
      </w:r>
      <w:r>
        <w:instrText xml:space="preserve">" </w:instrText>
      </w:r>
      <w:r>
        <w:fldChar w:fldCharType="end"/>
      </w:r>
      <w:r w:rsidRPr="00273106">
        <w:t xml:space="preserve"> (</w:t>
      </w:r>
      <w:r w:rsidR="00962190">
        <w:rPr>
          <w:i/>
        </w:rPr>
        <w:t>species</w:t>
      </w:r>
      <w:r w:rsidRPr="00273106">
        <w:rPr>
          <w:i/>
        </w:rPr>
        <w:t xml:space="preserve"> </w:t>
      </w:r>
      <w:proofErr w:type="gramStart"/>
      <w:r w:rsidRPr="00273106">
        <w:rPr>
          <w:i/>
        </w:rPr>
        <w:t>luminis ...esset</w:t>
      </w:r>
      <w:proofErr w:type="gramEnd"/>
      <w:r w:rsidRPr="00273106">
        <w:rPr>
          <w:i/>
        </w:rPr>
        <w:t xml:space="preserve"> activum in intellectu sicut si esset in substantia</w:t>
      </w:r>
      <w:r w:rsidRPr="00273106">
        <w:t xml:space="preserve">). </w:t>
      </w:r>
      <w:r>
        <w:t xml:space="preserve">I když slunce zmizí, moderní intelekt vidí objektivně poznané světlo. Paranoické či dogmatické poznání světla nyní přichází primárně od boha jako dárce objektivních </w:t>
      </w:r>
      <w:r w:rsidR="00962190" w:rsidRPr="00AA25AC">
        <w:t>species</w:t>
      </w:r>
      <w:r>
        <w:fldChar w:fldCharType="begin"/>
      </w:r>
      <w:r>
        <w:instrText xml:space="preserve"> XE "zatmění:substance" </w:instrText>
      </w:r>
      <w:r>
        <w:fldChar w:fldCharType="end"/>
      </w:r>
      <w:r w:rsidR="007E3B75">
        <w:t>.</w:t>
      </w:r>
    </w:p>
    <w:p w:rsidR="00FD3A92" w:rsidRDefault="08163013" w:rsidP="002B41F8">
      <w:pPr>
        <w:ind w:firstLine="397"/>
      </w:pPr>
      <w:r>
        <w:t xml:space="preserve">Poznaná </w:t>
      </w:r>
      <w:r w:rsidR="00962190" w:rsidRPr="00AA25AC">
        <w:t>species</w:t>
      </w:r>
      <w:r>
        <w:t xml:space="preserve"> </w:t>
      </w:r>
      <w:r w:rsidR="007E3B75">
        <w:t xml:space="preserve">je spojena </w:t>
      </w:r>
      <w:r>
        <w:t xml:space="preserve">v modu deduktivního poznání </w:t>
      </w:r>
      <w:r w:rsidR="007E3B75">
        <w:t xml:space="preserve">s reálnou první substancí a univerzální </w:t>
      </w:r>
      <w:r w:rsidR="00AE2FA3">
        <w:t xml:space="preserve">druhá </w:t>
      </w:r>
      <w:r w:rsidR="007E3B75">
        <w:t>substance vystupuje jako reálná</w:t>
      </w:r>
      <w:r w:rsidR="001B6675">
        <w:t xml:space="preserve"> věc</w:t>
      </w:r>
      <w:r w:rsidR="007E3B75">
        <w:t xml:space="preserve">. </w:t>
      </w:r>
      <w:r w:rsidR="00672D98">
        <w:t xml:space="preserve">Proti nim stojí jiná univerzální substance jako objektivní jsoucno. </w:t>
      </w:r>
      <w:r w:rsidR="007E3B75">
        <w:t>To</w:t>
      </w:r>
      <w:r w:rsidR="007222EF">
        <w:t>to pojetí</w:t>
      </w:r>
      <w:r w:rsidR="007E3B75">
        <w:t xml:space="preserve"> </w:t>
      </w:r>
      <w:r>
        <w:t xml:space="preserve">zrušilo adekvační teorii pravdy podle prvního averroismu. </w:t>
      </w:r>
      <w:r w:rsidR="002B41F8">
        <w:t>Pak je třeba změnit celou strukturu důkazu podle „</w:t>
      </w:r>
      <w:r w:rsidR="002B41F8" w:rsidRPr="002B41F8">
        <w:rPr>
          <w:i/>
        </w:rPr>
        <w:t>destructio primis</w:t>
      </w:r>
      <w:r w:rsidR="002B41F8">
        <w:rPr>
          <w:i/>
        </w:rPr>
        <w:fldChar w:fldCharType="begin"/>
      </w:r>
      <w:r w:rsidR="002B41F8">
        <w:instrText xml:space="preserve"> XE "</w:instrText>
      </w:r>
      <w:r w:rsidR="002B41F8" w:rsidRPr="0011485B">
        <w:rPr>
          <w:i/>
        </w:rPr>
        <w:instrText>destructio primis</w:instrText>
      </w:r>
      <w:r w:rsidR="002B41F8">
        <w:instrText xml:space="preserve">" </w:instrText>
      </w:r>
      <w:r w:rsidR="002B41F8">
        <w:rPr>
          <w:i/>
        </w:rPr>
        <w:fldChar w:fldCharType="end"/>
      </w:r>
      <w:r w:rsidR="002B41F8">
        <w:t xml:space="preserve">“. </w:t>
      </w:r>
      <w:r>
        <w:t xml:space="preserve">Díky myšlenkovému experimentu je možné oba členy predikace zaměnit a v modelu </w:t>
      </w:r>
      <w:r w:rsidRPr="006E645F">
        <w:rPr>
          <w:i/>
        </w:rPr>
        <w:t>Oxfordian Fallacy</w:t>
      </w:r>
      <w:r>
        <w:rPr>
          <w:i/>
        </w:rPr>
        <w:fldChar w:fldCharType="begin"/>
      </w:r>
      <w:r>
        <w:instrText xml:space="preserve"> XE "</w:instrText>
      </w:r>
      <w:r w:rsidRPr="0015798D">
        <w:rPr>
          <w:i/>
        </w:rPr>
        <w:instrText>Oxfordian Fallacy:</w:instrText>
      </w:r>
      <w:r w:rsidRPr="00CE15E0">
        <w:instrText>Scotus</w:instrText>
      </w:r>
      <w:r>
        <w:instrText xml:space="preserve">" </w:instrText>
      </w:r>
      <w:r>
        <w:rPr>
          <w:i/>
        </w:rPr>
        <w:fldChar w:fldCharType="end"/>
      </w:r>
      <w:r>
        <w:t xml:space="preserve"> tato záměna platí i pro takto predikovanou kauzalitu danou v deduktivním vědeckém důkazu. Tato doslovná </w:t>
      </w:r>
      <w:r w:rsidRPr="083A1342">
        <w:rPr>
          <w:i/>
        </w:rPr>
        <w:t>epoché</w:t>
      </w:r>
      <w:r>
        <w:fldChar w:fldCharType="begin"/>
      </w:r>
      <w:r>
        <w:instrText xml:space="preserve"> XE "</w:instrText>
      </w:r>
      <w:r w:rsidRPr="001B0D03">
        <w:rPr>
          <w:i/>
        </w:rPr>
        <w:instrText>epoché</w:instrText>
      </w:r>
      <w:r>
        <w:instrText xml:space="preserve">" </w:instrText>
      </w:r>
      <w:r>
        <w:fldChar w:fldCharType="end"/>
      </w:r>
      <w:r w:rsidRPr="00273106">
        <w:t>, čili zm</w:t>
      </w:r>
      <w:r>
        <w:t>izení světa při úplném zatmění s</w:t>
      </w:r>
      <w:r w:rsidRPr="00273106">
        <w:t>lunce</w:t>
      </w:r>
      <w:r>
        <w:t>,</w:t>
      </w:r>
      <w:r w:rsidRPr="00273106">
        <w:t xml:space="preserve"> zakládá novou verzi metafyziky</w:t>
      </w:r>
      <w:r>
        <w:t xml:space="preserve">. Světlo při zatmění slunce zmizí, ale nikoliv poznané </w:t>
      </w:r>
      <w:r w:rsidR="00962190" w:rsidRPr="00C553D8">
        <w:t>species</w:t>
      </w:r>
      <w:r>
        <w:t xml:space="preserve"> světla. Jeho objektivní „exsistenci“ zajišťuje samotný bůh tím, že nechal působit princip poznání slunce, tedy objektivní formu slunečního paprsku, místo samotné substance slunce. Zatmění slunce z hlediska Scotovy metafyziky objektivně nemůže nastat, protože kauzalitu reálného slunce si můžeme simulovat v našem intelektu skrze esenciálně daný střední člen poznávacího sylogismu. Uzávorkování slunce jako první substance z deduktivního sylogismu </w:t>
      </w:r>
      <w:r w:rsidRPr="08143A2E">
        <w:rPr>
          <w:i/>
        </w:rPr>
        <w:t>Druhých analytik</w:t>
      </w:r>
      <w:r>
        <w:t xml:space="preserve"> zakládá vznik objektivně vidoucí, ale reálně slepé moderní metafyziky a vědy. Scotův </w:t>
      </w:r>
      <w:r w:rsidRPr="00273106">
        <w:t>konce</w:t>
      </w:r>
      <w:r>
        <w:t>pt zhasnutí slunce</w:t>
      </w:r>
      <w:r>
        <w:fldChar w:fldCharType="begin"/>
      </w:r>
      <w:r>
        <w:instrText xml:space="preserve"> XE "zatmění:</w:instrText>
      </w:r>
      <w:proofErr w:type="gramStart"/>
      <w:r>
        <w:instrText xml:space="preserve">substance" </w:instrText>
      </w:r>
      <w:r>
        <w:fldChar w:fldCharType="end"/>
      </w:r>
      <w:r>
        <w:t>. a objektivního</w:t>
      </w:r>
      <w:proofErr w:type="gramEnd"/>
      <w:r>
        <w:t xml:space="preserve"> vidění neexistujícího světla bude mít velkou budoucnost v dnešní epoše </w:t>
      </w:r>
      <w:r w:rsidRPr="00273106">
        <w:t>počítačového matrixu a mediálních simuláker</w:t>
      </w:r>
      <w:r>
        <w:fldChar w:fldCharType="begin"/>
      </w:r>
      <w:r>
        <w:instrText xml:space="preserve"> XE "simulákrum" </w:instrText>
      </w:r>
      <w:r>
        <w:fldChar w:fldCharType="end"/>
      </w:r>
      <w:r>
        <w:t xml:space="preserve">. Vědecký důkaz daný logickou argumentací </w:t>
      </w:r>
      <w:r w:rsidRPr="0811516C">
        <w:rPr>
          <w:i/>
        </w:rPr>
        <w:t>per absurdum</w:t>
      </w:r>
      <w:r>
        <w:t xml:space="preserve"> potvrdil, že existence první substance není třeba k vědecké dedukci, protože ji supluje boží racionalita. Uzávorkování s</w:t>
      </w:r>
      <w:r w:rsidRPr="00273106">
        <w:t xml:space="preserve">lunce jako první substance </w:t>
      </w:r>
      <w:r>
        <w:t xml:space="preserve">dávající smysl jsoucna </w:t>
      </w:r>
      <w:r w:rsidRPr="00273106">
        <w:t xml:space="preserve">ustavuje objektivní verzi </w:t>
      </w:r>
      <w:r w:rsidR="00962190" w:rsidRPr="00C553D8">
        <w:t>species</w:t>
      </w:r>
      <w:r w:rsidRPr="00273106">
        <w:t>, kt</w:t>
      </w:r>
      <w:r>
        <w:t>erá</w:t>
      </w:r>
      <w:r w:rsidRPr="00273106">
        <w:t xml:space="preserve"> </w:t>
      </w:r>
      <w:r>
        <w:t xml:space="preserve">existují i mimo </w:t>
      </w:r>
      <w:r w:rsidR="00BB04E6">
        <w:t>Scotova „</w:t>
      </w:r>
      <w:r>
        <w:t>reálná</w:t>
      </w:r>
      <w:r w:rsidR="00BB04E6">
        <w:t>“</w:t>
      </w:r>
      <w:r w:rsidRPr="00273106">
        <w:t xml:space="preserve"> </w:t>
      </w:r>
      <w:r w:rsidR="00962190" w:rsidRPr="00C553D8">
        <w:t>species</w:t>
      </w:r>
      <w:r>
        <w:t xml:space="preserve">. Ty totiž </w:t>
      </w:r>
      <w:r w:rsidRPr="00273106">
        <w:t>zanik</w:t>
      </w:r>
      <w:r>
        <w:t xml:space="preserve">nou </w:t>
      </w:r>
      <w:r w:rsidRPr="00273106">
        <w:t xml:space="preserve">při zmizení </w:t>
      </w:r>
      <w:r>
        <w:t xml:space="preserve">slunce jako </w:t>
      </w:r>
      <w:r w:rsidRPr="00273106">
        <w:t>první substance (</w:t>
      </w:r>
      <w:r w:rsidRPr="00273106">
        <w:rPr>
          <w:i/>
        </w:rPr>
        <w:t>hoc posito non posset suffodere ad speciem substantiae</w:t>
      </w:r>
      <w:r w:rsidRPr="00273106">
        <w:t>).</w:t>
      </w:r>
      <w:r>
        <w:t xml:space="preserve"> </w:t>
      </w:r>
      <w:r w:rsidR="00914F9A">
        <w:t>Pak se musí změnit důkaz daný jako „</w:t>
      </w:r>
      <w:r w:rsidR="00914F9A" w:rsidRPr="00914F9A">
        <w:rPr>
          <w:i/>
        </w:rPr>
        <w:t>destructio primis</w:t>
      </w:r>
      <w:r w:rsidR="009B03BF">
        <w:rPr>
          <w:i/>
        </w:rPr>
        <w:fldChar w:fldCharType="begin"/>
      </w:r>
      <w:r w:rsidR="009B03BF">
        <w:instrText xml:space="preserve"> XE "</w:instrText>
      </w:r>
      <w:r w:rsidR="009B03BF" w:rsidRPr="003C3449">
        <w:rPr>
          <w:i/>
        </w:rPr>
        <w:instrText>destructio primis</w:instrText>
      </w:r>
      <w:r w:rsidR="009B03BF">
        <w:instrText xml:space="preserve">" </w:instrText>
      </w:r>
      <w:r w:rsidR="009B03BF">
        <w:rPr>
          <w:i/>
        </w:rPr>
        <w:lastRenderedPageBreak/>
        <w:fldChar w:fldCharType="end"/>
      </w:r>
      <w:r w:rsidR="00914F9A">
        <w:t>“. O</w:t>
      </w:r>
      <w:r>
        <w:t xml:space="preserve">bjektivní podoba </w:t>
      </w:r>
      <w:r w:rsidR="00962190" w:rsidRPr="00C553D8">
        <w:t>species</w:t>
      </w:r>
      <w:r>
        <w:t xml:space="preserve"> v boží mysli zaniknout nemůže, protože tam je dána v modu </w:t>
      </w:r>
      <w:r w:rsidR="009B03BF">
        <w:t>„</w:t>
      </w:r>
      <w:r w:rsidRPr="08806BCB">
        <w:rPr>
          <w:i/>
        </w:rPr>
        <w:t>semel</w:t>
      </w:r>
      <w:r>
        <w:t>‒</w:t>
      </w:r>
      <w:r w:rsidRPr="08806BCB">
        <w:rPr>
          <w:i/>
        </w:rPr>
        <w:t>semper</w:t>
      </w:r>
      <w:r w:rsidR="00162B6E">
        <w:rPr>
          <w:i/>
        </w:rPr>
        <w:fldChar w:fldCharType="begin"/>
      </w:r>
      <w:r w:rsidR="00162B6E">
        <w:instrText xml:space="preserve"> XE "</w:instrText>
      </w:r>
      <w:r w:rsidR="00162B6E" w:rsidRPr="00C642CE">
        <w:rPr>
          <w:i/>
        </w:rPr>
        <w:instrText>semel</w:instrText>
      </w:r>
      <w:r w:rsidR="00162B6E" w:rsidRPr="00C642CE">
        <w:instrText>‒</w:instrText>
      </w:r>
      <w:r w:rsidR="00162B6E" w:rsidRPr="00C642CE">
        <w:rPr>
          <w:i/>
        </w:rPr>
        <w:instrText>semper</w:instrText>
      </w:r>
      <w:r w:rsidR="00162B6E">
        <w:instrText xml:space="preserve">" </w:instrText>
      </w:r>
      <w:r w:rsidR="00162B6E">
        <w:rPr>
          <w:i/>
        </w:rPr>
        <w:fldChar w:fldCharType="end"/>
      </w:r>
      <w:r w:rsidR="009B03BF">
        <w:t>“</w:t>
      </w:r>
      <w:r w:rsidR="00AC16C8">
        <w:t>. P</w:t>
      </w:r>
      <w:r>
        <w:t xml:space="preserve">okud je objektivní ratio slunce v boží mysli, tak má tento výměr faktem takto dané exemplární objektivity rovněž kauzální účinnost pro lidské poznání danou na základě této dedukce. Její nutnost je dána logicky bezchybně a je vybavena </w:t>
      </w:r>
      <w:r w:rsidR="00AC16C8">
        <w:t xml:space="preserve">nutností danou metafyzicky a </w:t>
      </w:r>
      <w:r>
        <w:t xml:space="preserve">esenciálně v modu </w:t>
      </w:r>
      <w:r w:rsidRPr="0889352C">
        <w:rPr>
          <w:i/>
        </w:rPr>
        <w:t>simpliciter</w:t>
      </w:r>
      <w:r>
        <w:t xml:space="preserve">. Proto byla objektivní nutnost </w:t>
      </w:r>
      <w:r w:rsidR="00260F35">
        <w:t>daná skrze Scotov</w:t>
      </w:r>
      <w:r>
        <w:t xml:space="preserve">u </w:t>
      </w:r>
      <w:r w:rsidRPr="08453CEC">
        <w:rPr>
          <w:i/>
        </w:rPr>
        <w:t>epoché</w:t>
      </w:r>
      <w:r>
        <w:t xml:space="preserve"> světa tak </w:t>
      </w:r>
      <w:r w:rsidR="00074930">
        <w:t xml:space="preserve">přitažlivá </w:t>
      </w:r>
      <w:r>
        <w:t xml:space="preserve">pro postmoderní ilumináty typu Descarta, Leibnize, Hegela, Husserla a dnešních reprezentantů analytické filosofie. </w:t>
      </w:r>
      <w:r w:rsidR="00BC76C9">
        <w:t>O</w:t>
      </w:r>
      <w:r>
        <w:t>xfordskou analytickou filosofii Sco</w:t>
      </w:r>
      <w:r w:rsidR="00BC76C9">
        <w:t>tových současníků reprezentoval</w:t>
      </w:r>
      <w:r>
        <w:t xml:space="preserve"> </w:t>
      </w:r>
      <w:r w:rsidRPr="00246B62">
        <w:rPr>
          <w:i/>
        </w:rPr>
        <w:t>Erfurtský anonym</w:t>
      </w:r>
      <w:r w:rsidR="00BC76C9">
        <w:t>. Pak n</w:t>
      </w:r>
      <w:r>
        <w:t>ení důležité, je-li reálné jsoucno, ale je-li intelekt</w:t>
      </w:r>
      <w:r w:rsidR="00BC76C9">
        <w:t xml:space="preserve">. Ten je </w:t>
      </w:r>
      <w:r>
        <w:t>dnes daný v nihilistické formě experimentu zvaného „mozek ve vatě“ (</w:t>
      </w:r>
      <w:r>
        <w:rPr>
          <w:i/>
        </w:rPr>
        <w:t>Brain in a V</w:t>
      </w:r>
      <w:r w:rsidRPr="080E0B8D">
        <w:rPr>
          <w:i/>
        </w:rPr>
        <w:t>at</w:t>
      </w:r>
      <w:r>
        <w:rPr>
          <w:i/>
        </w:rPr>
        <w:fldChar w:fldCharType="begin"/>
      </w:r>
      <w:r>
        <w:instrText xml:space="preserve"> XE "</w:instrText>
      </w:r>
      <w:r w:rsidRPr="08E7732C">
        <w:rPr>
          <w:i/>
        </w:rPr>
        <w:instrText xml:space="preserve">Brain in a </w:instrText>
      </w:r>
      <w:proofErr w:type="gramStart"/>
      <w:r w:rsidRPr="08E7732C">
        <w:rPr>
          <w:i/>
        </w:rPr>
        <w:instrText>Vat</w:instrText>
      </w:r>
      <w:r>
        <w:instrText xml:space="preserve">" </w:instrText>
      </w:r>
      <w:r>
        <w:rPr>
          <w:i/>
        </w:rPr>
        <w:fldChar w:fldCharType="end"/>
      </w:r>
      <w:r>
        <w:t xml:space="preserve">).  </w:t>
      </w:r>
      <w:r w:rsidRPr="00273106">
        <w:t>Připomeňme</w:t>
      </w:r>
      <w:proofErr w:type="gramEnd"/>
      <w:r w:rsidRPr="00273106">
        <w:t xml:space="preserve"> původní model </w:t>
      </w:r>
      <w:r>
        <w:t xml:space="preserve">Scotovy </w:t>
      </w:r>
      <w:r w:rsidRPr="080002FB">
        <w:rPr>
          <w:i/>
        </w:rPr>
        <w:t>epoché</w:t>
      </w:r>
      <w:r>
        <w:t xml:space="preserve"> u Porfyria, který obhajoval podobným způsobem </w:t>
      </w:r>
      <w:r w:rsidRPr="00273106">
        <w:t xml:space="preserve">autonomii </w:t>
      </w:r>
      <w:r w:rsidR="00962190">
        <w:rPr>
          <w:i/>
        </w:rPr>
        <w:t>species</w:t>
      </w:r>
      <w:r w:rsidRPr="00273106">
        <w:t xml:space="preserve"> v kategoriální </w:t>
      </w:r>
      <w:r>
        <w:t xml:space="preserve">predikaci </w:t>
      </w:r>
      <w:r w:rsidRPr="00273106">
        <w:t xml:space="preserve">jsoucna danou skrze </w:t>
      </w:r>
      <w:r w:rsidRPr="00273106">
        <w:rPr>
          <w:i/>
        </w:rPr>
        <w:t>modus ponens</w:t>
      </w:r>
      <w:r>
        <w:rPr>
          <w:i/>
        </w:rPr>
        <w:fldChar w:fldCharType="begin"/>
      </w:r>
      <w:r>
        <w:instrText xml:space="preserve"> XE "</w:instrText>
      </w:r>
      <w:r w:rsidRPr="0029612B">
        <w:rPr>
          <w:i/>
        </w:rPr>
        <w:instrText>modus ponens</w:instrText>
      </w:r>
      <w:r>
        <w:instrText xml:space="preserve">" </w:instrText>
      </w:r>
      <w:r>
        <w:rPr>
          <w:i/>
        </w:rPr>
        <w:fldChar w:fldCharType="end"/>
      </w:r>
      <w:r w:rsidRPr="00273106">
        <w:t xml:space="preserve"> a </w:t>
      </w:r>
      <w:r w:rsidRPr="00273106">
        <w:rPr>
          <w:i/>
        </w:rPr>
        <w:t>modus tollens</w:t>
      </w:r>
      <w:r>
        <w:rPr>
          <w:i/>
        </w:rPr>
        <w:fldChar w:fldCharType="begin"/>
      </w:r>
      <w:r>
        <w:instrText xml:space="preserve"> XE "</w:instrText>
      </w:r>
      <w:r w:rsidRPr="00285A7E">
        <w:rPr>
          <w:i/>
        </w:rPr>
        <w:instrText>modus tollens</w:instrText>
      </w:r>
      <w:r>
        <w:instrText xml:space="preserve">" </w:instrText>
      </w:r>
      <w:r>
        <w:rPr>
          <w:i/>
        </w:rPr>
        <w:fldChar w:fldCharType="end"/>
      </w:r>
      <w:r w:rsidRPr="00273106">
        <w:t xml:space="preserve"> (</w:t>
      </w:r>
      <w:r w:rsidR="001E06E6">
        <w:t xml:space="preserve">OBJ I, </w:t>
      </w:r>
      <w:r>
        <w:t>kap. 1.3</w:t>
      </w:r>
      <w:r w:rsidRPr="00273106">
        <w:t xml:space="preserve">). </w:t>
      </w:r>
      <w:r w:rsidR="00853DFD">
        <w:t xml:space="preserve">Scotus vytvořil objektivní verzi </w:t>
      </w:r>
      <w:r w:rsidRPr="00273106">
        <w:rPr>
          <w:i/>
        </w:rPr>
        <w:t>modus tollens</w:t>
      </w:r>
      <w:r w:rsidRPr="00273106">
        <w:t xml:space="preserve"> </w:t>
      </w:r>
      <w:r>
        <w:t xml:space="preserve">(reálné slunce není) a </w:t>
      </w:r>
      <w:r w:rsidR="00853DFD" w:rsidRPr="00853DFD">
        <w:rPr>
          <w:i/>
        </w:rPr>
        <w:t>modus</w:t>
      </w:r>
      <w:r w:rsidR="00853DFD">
        <w:t xml:space="preserve"> </w:t>
      </w:r>
      <w:r w:rsidRPr="0068574A">
        <w:rPr>
          <w:i/>
        </w:rPr>
        <w:t>ponens</w:t>
      </w:r>
      <w:r>
        <w:t xml:space="preserve"> (ale jeho objektivní </w:t>
      </w:r>
      <w:r w:rsidR="00962190" w:rsidRPr="00525CC9">
        <w:t>species</w:t>
      </w:r>
      <w:r>
        <w:t xml:space="preserve"> je myšleno bohem)</w:t>
      </w:r>
      <w:r w:rsidR="00853DFD">
        <w:t>.</w:t>
      </w:r>
      <w:r w:rsidR="008F497C">
        <w:t xml:space="preserve"> Tato sofistika zajišťuje primární impozici</w:t>
      </w:r>
      <w:r>
        <w:t xml:space="preserve"> objektivního významu jsoucna</w:t>
      </w:r>
      <w:r w:rsidR="008F497C">
        <w:t>. G</w:t>
      </w:r>
      <w:r>
        <w:t xml:space="preserve">andavus </w:t>
      </w:r>
      <w:r w:rsidR="008F497C">
        <w:t xml:space="preserve">ji měl </w:t>
      </w:r>
      <w:r>
        <w:t xml:space="preserve">v modu </w:t>
      </w:r>
      <w:r w:rsidR="008F497C">
        <w:t>„</w:t>
      </w:r>
      <w:r w:rsidRPr="00B95022">
        <w:rPr>
          <w:i/>
        </w:rPr>
        <w:t>esse ad</w:t>
      </w:r>
      <w:r w:rsidR="008F497C">
        <w:t>“</w:t>
      </w:r>
      <w:r>
        <w:rPr>
          <w:i/>
        </w:rPr>
        <w:fldChar w:fldCharType="begin"/>
      </w:r>
      <w:r>
        <w:instrText xml:space="preserve"> XE "</w:instrText>
      </w:r>
      <w:r w:rsidRPr="008F3381">
        <w:rPr>
          <w:i/>
        </w:rPr>
        <w:instrText>esse ad:</w:instrText>
      </w:r>
      <w:r>
        <w:instrText xml:space="preserve">Gandavus" </w:instrText>
      </w:r>
      <w:r>
        <w:rPr>
          <w:i/>
        </w:rPr>
        <w:fldChar w:fldCharType="end"/>
      </w:r>
      <w:r w:rsidR="008F497C">
        <w:t>, který vyžadoval existenci božího</w:t>
      </w:r>
      <w:r>
        <w:t xml:space="preserve"> exemplaru</w:t>
      </w:r>
      <w:r>
        <w:fldChar w:fldCharType="begin"/>
      </w:r>
      <w:r>
        <w:instrText xml:space="preserve"> XE "</w:instrText>
      </w:r>
      <w:r w:rsidRPr="00F225C8">
        <w:instrText>exemplar</w:instrText>
      </w:r>
      <w:r>
        <w:instrText xml:space="preserve">" </w:instrText>
      </w:r>
      <w:r>
        <w:fldChar w:fldCharType="end"/>
      </w:r>
      <w:r>
        <w:t xml:space="preserve">. Scotova metafyzická </w:t>
      </w:r>
      <w:r w:rsidRPr="08F50E45">
        <w:rPr>
          <w:i/>
        </w:rPr>
        <w:t>epoché</w:t>
      </w:r>
      <w:r w:rsidRPr="08F50E45">
        <w:rPr>
          <w:i/>
        </w:rPr>
        <w:fldChar w:fldCharType="begin"/>
      </w:r>
      <w:r w:rsidRPr="08F50E45">
        <w:rPr>
          <w:i/>
        </w:rPr>
        <w:instrText xml:space="preserve"> XE "epoché" </w:instrText>
      </w:r>
      <w:r w:rsidRPr="08F50E45">
        <w:rPr>
          <w:i/>
        </w:rPr>
        <w:fldChar w:fldCharType="end"/>
      </w:r>
      <w:r>
        <w:t xml:space="preserve"> </w:t>
      </w:r>
      <w:r w:rsidRPr="00273106">
        <w:t>zrušil</w:t>
      </w:r>
      <w:r>
        <w:t>a</w:t>
      </w:r>
      <w:r w:rsidRPr="00273106">
        <w:t xml:space="preserve"> kl</w:t>
      </w:r>
      <w:r>
        <w:t xml:space="preserve">íčovou část Gandavova konceptu </w:t>
      </w:r>
      <w:r w:rsidR="00D00289">
        <w:t>„</w:t>
      </w:r>
      <w:r w:rsidRPr="00273106">
        <w:rPr>
          <w:i/>
        </w:rPr>
        <w:t>esse ad</w:t>
      </w:r>
      <w:r w:rsidR="00D00289">
        <w:t>“</w:t>
      </w:r>
      <w:r>
        <w:rPr>
          <w:i/>
        </w:rPr>
        <w:fldChar w:fldCharType="begin"/>
      </w:r>
      <w:r>
        <w:instrText xml:space="preserve"> XE "</w:instrText>
      </w:r>
      <w:r w:rsidRPr="008F3381">
        <w:rPr>
          <w:i/>
        </w:rPr>
        <w:instrText xml:space="preserve">esse </w:instrText>
      </w:r>
      <w:proofErr w:type="gramStart"/>
      <w:r w:rsidRPr="008F3381">
        <w:rPr>
          <w:i/>
        </w:rPr>
        <w:instrText>ad</w:instrText>
      </w:r>
      <w:proofErr w:type="gramEnd"/>
      <w:r w:rsidRPr="008F3381">
        <w:rPr>
          <w:i/>
        </w:rPr>
        <w:instrText>:</w:instrText>
      </w:r>
      <w:r w:rsidRPr="0032336A">
        <w:instrText>Gandavus</w:instrText>
      </w:r>
      <w:r>
        <w:instrText xml:space="preserve">" </w:instrText>
      </w:r>
      <w:r>
        <w:rPr>
          <w:i/>
        </w:rPr>
        <w:fldChar w:fldCharType="end"/>
      </w:r>
      <w:r>
        <w:t xml:space="preserve"> váza</w:t>
      </w:r>
      <w:r w:rsidR="001E06E6">
        <w:t>nou na sféru božího bytí (kap. 5</w:t>
      </w:r>
      <w:r>
        <w:t xml:space="preserve">.2.3). </w:t>
      </w:r>
      <w:r w:rsidRPr="00273106">
        <w:t>Nelze než obdivovat Sco</w:t>
      </w:r>
      <w:r>
        <w:t>tovo sapérské umění, kterým se podhrabal</w:t>
      </w:r>
      <w:r w:rsidRPr="00273106">
        <w:t xml:space="preserve"> (</w:t>
      </w:r>
      <w:r>
        <w:t xml:space="preserve">viz citované </w:t>
      </w:r>
      <w:r w:rsidRPr="00273106">
        <w:rPr>
          <w:i/>
        </w:rPr>
        <w:t>suffodere</w:t>
      </w:r>
      <w:r w:rsidRPr="00273106">
        <w:t>) jak pod</w:t>
      </w:r>
      <w:r>
        <w:t xml:space="preserve"> </w:t>
      </w:r>
      <w:proofErr w:type="gramStart"/>
      <w:r>
        <w:t>Aristotela tak</w:t>
      </w:r>
      <w:proofErr w:type="gramEnd"/>
      <w:r>
        <w:t xml:space="preserve"> i pod Avicennu</w:t>
      </w:r>
      <w:r w:rsidRPr="00273106">
        <w:t xml:space="preserve">. </w:t>
      </w:r>
      <w:r>
        <w:t>Od božího či lidského intelektu-slunce může moderna za</w:t>
      </w:r>
      <w:r w:rsidR="00902331">
        <w:t xml:space="preserve">ložit objektivní poznání slunce jako </w:t>
      </w:r>
      <w:r w:rsidR="00962190" w:rsidRPr="00902331">
        <w:t>species</w:t>
      </w:r>
      <w:r w:rsidR="00902331">
        <w:t>. A</w:t>
      </w:r>
      <w:r>
        <w:t xml:space="preserve">le to nemůže podle Scota suplovat reálnou fyzikální kauzalitu slunce jako první substance. Citát v další větě zdůrazňuje, že v reálu tato objektivní </w:t>
      </w:r>
      <w:r w:rsidRPr="08D853DB">
        <w:rPr>
          <w:i/>
        </w:rPr>
        <w:t>epoché</w:t>
      </w:r>
      <w:r>
        <w:t xml:space="preserve"> není možná, protože reálná první substance podmiňuje existenci akcidentálních vlastností jsoucna. Pokud zanikne reálná substance, nejsou ani akcidenty. Bez reálného slunce nebude ani reálné světlo. Ale pro boha platí něco jiného, protože zruší slunce a podrží kauzálně-objektivní „exsistenci“ slunečních paprsků jako principu poznání světla. Zatmění první substance ukazuje, že objektivní moderna už nepotřebuje k poznání</w:t>
      </w:r>
      <w:r w:rsidR="00FD3A92">
        <w:t xml:space="preserve"> ani augustiniánskou iluminaci.</w:t>
      </w:r>
    </w:p>
    <w:p w:rsidR="00F073E3" w:rsidRDefault="08163013" w:rsidP="00FD3A92">
      <w:pPr>
        <w:ind w:firstLine="397"/>
      </w:pPr>
      <w:r>
        <w:t xml:space="preserve">Scotova </w:t>
      </w:r>
      <w:r w:rsidRPr="08EE149E">
        <w:rPr>
          <w:i/>
        </w:rPr>
        <w:t>epoché</w:t>
      </w:r>
      <w:r w:rsidR="00FD3A92">
        <w:t xml:space="preserve"> zhasla </w:t>
      </w:r>
      <w:r>
        <w:t xml:space="preserve">mystické světlo neoplatonského intelektu-slunce a nechala zářit sílu </w:t>
      </w:r>
      <w:r w:rsidR="00CB29BF">
        <w:t xml:space="preserve">deduktivního </w:t>
      </w:r>
      <w:r>
        <w:t xml:space="preserve">intelektu. Scotus zahajuje novou epochu tím, že stejně jako Grosseteste a Rufus nechal zhasnout slunce a tím změnil dráhu slunce z múzické pravdivosti na </w:t>
      </w:r>
      <w:r>
        <w:lastRenderedPageBreak/>
        <w:t>mytopoetický</w:t>
      </w:r>
      <w:r w:rsidR="0034290F">
        <w:t xml:space="preserve"> mýtus nové metafyziky. Podle Hé</w:t>
      </w:r>
      <w:r>
        <w:t>rakleita platí, že ani slunce nesmí samo od sebe změnit dráhu svého běhu, protože by je potrestaly Erínije</w:t>
      </w:r>
      <w:r>
        <w:fldChar w:fldCharType="begin"/>
      </w:r>
      <w:r>
        <w:instrText xml:space="preserve"> XE "Erín</w:instrText>
      </w:r>
      <w:r w:rsidRPr="08E9469E">
        <w:instrText>ije</w:instrText>
      </w:r>
      <w:r>
        <w:instrText xml:space="preserve">" </w:instrText>
      </w:r>
      <w:r>
        <w:fldChar w:fldCharType="end"/>
      </w:r>
      <w:r>
        <w:t xml:space="preserve"> jako pomocnice bohyně Spravedlnosti Díké (</w:t>
      </w:r>
      <w:r w:rsidR="00D042E5">
        <w:t>D</w:t>
      </w:r>
      <w:r w:rsidR="000919DB">
        <w:t>K 22</w:t>
      </w:r>
      <w:r w:rsidR="00236552">
        <w:t xml:space="preserve">, </w:t>
      </w:r>
      <w:r>
        <w:t>B 94</w:t>
      </w:r>
      <w:r>
        <w:fldChar w:fldCharType="begin"/>
      </w:r>
      <w:r>
        <w:instrText xml:space="preserve"> XE "</w:instrText>
      </w:r>
      <w:r w:rsidRPr="08F1052A">
        <w:instrText>Herakleitos, B 94</w:instrText>
      </w:r>
      <w:r>
        <w:instrText xml:space="preserve">" </w:instrText>
      </w:r>
      <w:r>
        <w:fldChar w:fldCharType="end"/>
      </w:r>
      <w:r>
        <w:t xml:space="preserve">). Nová metafyzika </w:t>
      </w:r>
      <w:r w:rsidR="00253C4F">
        <w:t xml:space="preserve">zahájila </w:t>
      </w:r>
      <w:r w:rsidRPr="08CA10F4">
        <w:rPr>
          <w:i/>
        </w:rPr>
        <w:t>via Modernorum</w:t>
      </w:r>
      <w:r>
        <w:t xml:space="preserve"> tím, že slunce úplně zhasla a nahradila je vlastním mytopoetickým výtvorem daným objektivně. Moderna dostala v následujících obdobích odpovídají</w:t>
      </w:r>
      <w:r w:rsidR="00253C4F">
        <w:t>cí</w:t>
      </w:r>
      <w:r>
        <w:t xml:space="preserve"> trest za chaotické myšlení, které zrušilo základní řády moudrosti. Predikace objektivního </w:t>
      </w:r>
      <w:r w:rsidR="00962190" w:rsidRPr="00F959F9">
        <w:t>species</w:t>
      </w:r>
      <w:r>
        <w:t xml:space="preserve"> </w:t>
      </w:r>
      <w:r>
        <w:fldChar w:fldCharType="begin"/>
      </w:r>
      <w:r>
        <w:instrText xml:space="preserve"> XE "</w:instrText>
      </w:r>
      <w:r w:rsidRPr="00861011">
        <w:instrText>species:objektivní</w:instrText>
      </w:r>
      <w:r>
        <w:instrText xml:space="preserve">" </w:instrText>
      </w:r>
      <w:r>
        <w:fldChar w:fldCharType="end"/>
      </w:r>
      <w:r>
        <w:t xml:space="preserve">je založena na bytí jsoucna v modu </w:t>
      </w:r>
      <w:r w:rsidRPr="007773E8">
        <w:rPr>
          <w:i/>
        </w:rPr>
        <w:t>ens inquantum ens</w:t>
      </w:r>
      <w:r>
        <w:rPr>
          <w:i/>
        </w:rPr>
        <w:fldChar w:fldCharType="begin"/>
      </w:r>
      <w:r>
        <w:instrText xml:space="preserve"> XE "</w:instrText>
      </w:r>
      <w:r w:rsidRPr="005424E2">
        <w:rPr>
          <w:i/>
        </w:rPr>
        <w:instrText>ens inquantum ens</w:instrText>
      </w:r>
      <w:r>
        <w:instrText xml:space="preserve">" </w:instrText>
      </w:r>
      <w:r>
        <w:rPr>
          <w:i/>
        </w:rPr>
        <w:fldChar w:fldCharType="end"/>
      </w:r>
      <w:r>
        <w:t xml:space="preserve">. Bůh garantuje jeho jednoduchost, poznatelnost a kauzální účinnost na naše poznání. Slunce existuje reálně, ale i kdyby náhodou zhaslo a zmizelo, jeho </w:t>
      </w:r>
      <w:r w:rsidR="00962190" w:rsidRPr="00E22E1B">
        <w:t>species</w:t>
      </w:r>
      <w:r>
        <w:t xml:space="preserve"> bude v bohu existovat pořád, a my můžeme objektivně pracovat s tímto jsoucnem v modu jeho exemplární „exsistence“. Derridova verze logocentricky orientované metafyziky jako </w:t>
      </w:r>
      <w:r w:rsidRPr="00AE77C4">
        <w:rPr>
          <w:i/>
        </w:rPr>
        <w:t>héliotrope</w:t>
      </w:r>
      <w:r>
        <w:rPr>
          <w:i/>
        </w:rPr>
        <w:fldChar w:fldCharType="begin"/>
      </w:r>
      <w:r>
        <w:instrText xml:space="preserve"> XE "</w:instrText>
      </w:r>
      <w:r w:rsidRPr="00373D6E">
        <w:rPr>
          <w:i/>
        </w:rPr>
        <w:instrText>héliotrope</w:instrText>
      </w:r>
      <w:r>
        <w:instrText xml:space="preserve">" </w:instrText>
      </w:r>
      <w:r>
        <w:rPr>
          <w:i/>
        </w:rPr>
        <w:fldChar w:fldCharType="end"/>
      </w:r>
      <w:r>
        <w:t xml:space="preserve"> neplatí pro objektivní metafyziku Scota</w:t>
      </w:r>
      <w:r w:rsidR="008174B6">
        <w:t>. T</w:t>
      </w:r>
      <w:r>
        <w:t>a je podána mnohem rafinovanějším způsobem než to má metaforický Derrida v kritice logocentrismu</w:t>
      </w:r>
      <w:r>
        <w:fldChar w:fldCharType="begin"/>
      </w:r>
      <w:r>
        <w:instrText xml:space="preserve"> XE "</w:instrText>
      </w:r>
      <w:r w:rsidRPr="08C43203">
        <w:instrText>logocentrismus</w:instrText>
      </w:r>
      <w:r>
        <w:instrText xml:space="preserve">" </w:instrText>
      </w:r>
      <w:r>
        <w:fldChar w:fldCharType="end"/>
      </w:r>
      <w:r>
        <w:t>. Pokud bůh rozhodne, že věc aktuálně nestvoří, pořád existuje její objektivní jsoucnost daná věčně v jeho mysli a tato racionalita je efektivně-objektivně poznatelná ve stvoření</w:t>
      </w:r>
      <w:r w:rsidR="00C209DE">
        <w:t xml:space="preserve"> jako </w:t>
      </w:r>
      <w:r>
        <w:t>objektivn</w:t>
      </w:r>
      <w:r w:rsidR="00C209DE">
        <w:t xml:space="preserve">í </w:t>
      </w:r>
      <w:r w:rsidRPr="08751BE9">
        <w:rPr>
          <w:i/>
        </w:rPr>
        <w:t>vestigium</w:t>
      </w:r>
      <w:r>
        <w:t xml:space="preserve">. Boží myšlení určuje reálné bytí stvoření, a tím i naše myšlení. </w:t>
      </w:r>
      <w:r w:rsidRPr="00273106">
        <w:t xml:space="preserve">Ale objektivní </w:t>
      </w:r>
      <w:r>
        <w:t xml:space="preserve">jsoucno </w:t>
      </w:r>
      <w:r w:rsidRPr="00273106">
        <w:t>v modu potenciální nekonečné boží intence (</w:t>
      </w:r>
      <w:r w:rsidRPr="00273106">
        <w:rPr>
          <w:i/>
        </w:rPr>
        <w:t>esse cognitum</w:t>
      </w:r>
      <w:r>
        <w:t xml:space="preserve">) ještě není </w:t>
      </w:r>
      <w:r w:rsidR="00790B3F">
        <w:t>„</w:t>
      </w:r>
      <w:r w:rsidRPr="00273106">
        <w:rPr>
          <w:i/>
        </w:rPr>
        <w:t>esse verum</w:t>
      </w:r>
      <w:r w:rsidR="00790B3F">
        <w:t>“</w:t>
      </w:r>
      <w:r w:rsidRPr="00273106">
        <w:t>, protože mu nic neodpovídá aktuálně</w:t>
      </w:r>
      <w:r w:rsidR="00790B3F">
        <w:t xml:space="preserve"> v realitě</w:t>
      </w:r>
      <w:r w:rsidRPr="00273106">
        <w:t xml:space="preserve">. Kritický Scotus </w:t>
      </w:r>
      <w:r>
        <w:t xml:space="preserve">v další větě citátu </w:t>
      </w:r>
      <w:r w:rsidRPr="00273106">
        <w:t xml:space="preserve">zdůrazňuje </w:t>
      </w:r>
      <w:r>
        <w:t>omezení objektivn</w:t>
      </w:r>
      <w:r w:rsidR="00030CB8">
        <w:t xml:space="preserve">ích </w:t>
      </w:r>
      <w:r w:rsidR="00962190" w:rsidRPr="00030CB8">
        <w:t>species</w:t>
      </w:r>
      <w:r w:rsidRPr="00273106">
        <w:t>. Existence objekt</w:t>
      </w:r>
      <w:r>
        <w:t>ivně dané</w:t>
      </w:r>
      <w:r w:rsidRPr="00273106">
        <w:t xml:space="preserve"> </w:t>
      </w:r>
      <w:r w:rsidR="00962190" w:rsidRPr="00030CB8">
        <w:t>species</w:t>
      </w:r>
      <w:r w:rsidRPr="00273106">
        <w:t xml:space="preserve"> nestačí na to, aby etablovala existenci slunce jako </w:t>
      </w:r>
      <w:r>
        <w:t xml:space="preserve">kauzálně působící </w:t>
      </w:r>
      <w:r w:rsidRPr="00273106">
        <w:t>substance, protože vůči ní není daná jako pozitivně určený akcident (</w:t>
      </w:r>
      <w:r w:rsidRPr="00273106">
        <w:rPr>
          <w:i/>
        </w:rPr>
        <w:t>non est ibi, cum substantia destruatur</w:t>
      </w:r>
      <w:r>
        <w:t xml:space="preserve">). Tuto </w:t>
      </w:r>
      <w:r w:rsidRPr="00273106">
        <w:t>pozitivní</w:t>
      </w:r>
      <w:r w:rsidRPr="00BF06D4">
        <w:t xml:space="preserve"> </w:t>
      </w:r>
      <w:r>
        <w:t>(</w:t>
      </w:r>
      <w:r w:rsidRPr="00273106">
        <w:rPr>
          <w:i/>
        </w:rPr>
        <w:t>per positum</w:t>
      </w:r>
      <w:r>
        <w:rPr>
          <w:i/>
        </w:rPr>
        <w:fldChar w:fldCharType="begin"/>
      </w:r>
      <w:r>
        <w:instrText xml:space="preserve"> XE "</w:instrText>
      </w:r>
      <w:r w:rsidRPr="00AE0AA5">
        <w:rPr>
          <w:rStyle w:val="st"/>
          <w:i/>
        </w:rPr>
        <w:instrText>positum</w:instrText>
      </w:r>
      <w:r>
        <w:instrText xml:space="preserve">" </w:instrText>
      </w:r>
      <w:r>
        <w:rPr>
          <w:i/>
        </w:rPr>
        <w:fldChar w:fldCharType="end"/>
      </w:r>
      <w:r>
        <w:t>)</w:t>
      </w:r>
      <w:r w:rsidRPr="00273106">
        <w:t xml:space="preserve">, čili aktuálně existující verzi </w:t>
      </w:r>
      <w:r w:rsidR="00962190" w:rsidRPr="005B08CF">
        <w:t>species</w:t>
      </w:r>
      <w:r w:rsidRPr="00273106">
        <w:t xml:space="preserve"> </w:t>
      </w:r>
      <w:r>
        <w:t xml:space="preserve"> </w:t>
      </w:r>
      <w:r w:rsidRPr="00273106">
        <w:t xml:space="preserve">vztaženou k existujícímu slunci jako substanci je třeba jasně odlišit od objektivní </w:t>
      </w:r>
      <w:r>
        <w:t xml:space="preserve">definice slunečného </w:t>
      </w:r>
      <w:r w:rsidRPr="00273106">
        <w:t>paprsku jako samosta</w:t>
      </w:r>
      <w:r>
        <w:t>t</w:t>
      </w:r>
      <w:r w:rsidRPr="00273106">
        <w:t xml:space="preserve">ného </w:t>
      </w:r>
      <w:r w:rsidR="00962190" w:rsidRPr="005B08CF">
        <w:t>species</w:t>
      </w:r>
      <w:r w:rsidRPr="00273106">
        <w:t xml:space="preserve"> v boží mysli</w:t>
      </w:r>
      <w:r>
        <w:t xml:space="preserve">. Toto </w:t>
      </w:r>
      <w:r w:rsidRPr="00273106">
        <w:t>objektivní</w:t>
      </w:r>
      <w:r w:rsidRPr="00273106">
        <w:rPr>
          <w:i/>
        </w:rPr>
        <w:t xml:space="preserve"> </w:t>
      </w:r>
      <w:r w:rsidR="005B08CF">
        <w:rPr>
          <w:i/>
        </w:rPr>
        <w:t>„</w:t>
      </w:r>
      <w:r w:rsidR="00962190">
        <w:rPr>
          <w:i/>
        </w:rPr>
        <w:t>species</w:t>
      </w:r>
      <w:r w:rsidRPr="00273106">
        <w:rPr>
          <w:i/>
        </w:rPr>
        <w:t xml:space="preserve"> accidentis tantum</w:t>
      </w:r>
      <w:r w:rsidR="005B08CF">
        <w:t>“</w:t>
      </w:r>
      <w:r w:rsidRPr="00273106">
        <w:t xml:space="preserve"> má jen minimální jsoucnost</w:t>
      </w:r>
      <w:r w:rsidR="008E74CD">
        <w:t xml:space="preserve">; </w:t>
      </w:r>
      <w:r>
        <w:t xml:space="preserve">viz Avicennovo </w:t>
      </w:r>
      <w:r w:rsidR="005B08CF">
        <w:t>„</w:t>
      </w:r>
      <w:r w:rsidRPr="00273106">
        <w:rPr>
          <w:i/>
        </w:rPr>
        <w:t>hoc esse tantum</w:t>
      </w:r>
      <w:r w:rsidR="005B08CF">
        <w:t>“</w:t>
      </w:r>
      <w:r>
        <w:rPr>
          <w:i/>
        </w:rPr>
        <w:fldChar w:fldCharType="begin"/>
      </w:r>
      <w:r>
        <w:instrText xml:space="preserve"> XE "</w:instrText>
      </w:r>
      <w:r w:rsidRPr="005A071C">
        <w:rPr>
          <w:i/>
          <w:lang w:eastAsia="en-US"/>
        </w:rPr>
        <w:instrText>hoc esse tantum</w:instrText>
      </w:r>
      <w:r>
        <w:instrText xml:space="preserve">" </w:instrText>
      </w:r>
      <w:r>
        <w:rPr>
          <w:i/>
        </w:rPr>
        <w:fldChar w:fldCharType="end"/>
      </w:r>
      <w:r w:rsidRPr="00273106">
        <w:t xml:space="preserve"> </w:t>
      </w:r>
      <w:r>
        <w:t xml:space="preserve">a Gandavův koncept </w:t>
      </w:r>
      <w:r w:rsidR="002134FD">
        <w:t>„</w:t>
      </w:r>
      <w:r w:rsidRPr="00943748">
        <w:rPr>
          <w:i/>
        </w:rPr>
        <w:t>ratitudo</w:t>
      </w:r>
      <w:r w:rsidR="002134FD">
        <w:t>“</w:t>
      </w:r>
      <w:r w:rsidR="00B44485">
        <w:t xml:space="preserve"> (kap. 5</w:t>
      </w:r>
      <w:r>
        <w:t>.2</w:t>
      </w:r>
      <w:r w:rsidRPr="00273106">
        <w:t xml:space="preserve">.2). Ale díky minimální jsoucnosti </w:t>
      </w:r>
      <w:r>
        <w:t>dané skrze objektivně-efektivní boží racionalitu „</w:t>
      </w:r>
      <w:r w:rsidRPr="00273106">
        <w:t>ex</w:t>
      </w:r>
      <w:r>
        <w:t>s</w:t>
      </w:r>
      <w:r w:rsidRPr="00273106">
        <w:t>is</w:t>
      </w:r>
      <w:r>
        <w:t>tuje“ jednoduchá</w:t>
      </w:r>
      <w:r w:rsidRPr="00273106">
        <w:t xml:space="preserve"> </w:t>
      </w:r>
      <w:r w:rsidR="00962190">
        <w:rPr>
          <w:i/>
        </w:rPr>
        <w:t>species</w:t>
      </w:r>
      <w:r w:rsidRPr="00273106">
        <w:t xml:space="preserve"> </w:t>
      </w:r>
      <w:r>
        <w:t xml:space="preserve">světla </w:t>
      </w:r>
      <w:r w:rsidRPr="00273106">
        <w:t>i po zániku aktuální substance</w:t>
      </w:r>
      <w:r>
        <w:t xml:space="preserve"> slunce</w:t>
      </w:r>
      <w:r>
        <w:fldChar w:fldCharType="begin"/>
      </w:r>
      <w:r>
        <w:instrText xml:space="preserve"> XE "</w:instrText>
      </w:r>
      <w:r w:rsidRPr="00C40715">
        <w:instrText>species:objektivní</w:instrText>
      </w:r>
      <w:r>
        <w:instrText xml:space="preserve">" </w:instrText>
      </w:r>
      <w:r>
        <w:fldChar w:fldCharType="end"/>
      </w:r>
      <w:r w:rsidRPr="00273106">
        <w:t xml:space="preserve">. Scotus rozvíjí argument uzávorkování reality </w:t>
      </w:r>
      <w:r>
        <w:t xml:space="preserve">ve spisu </w:t>
      </w:r>
      <w:r w:rsidR="008C2D4A" w:rsidRPr="008C2D4A">
        <w:rPr>
          <w:i/>
        </w:rPr>
        <w:t>Lectura I</w:t>
      </w:r>
      <w:r>
        <w:t xml:space="preserve"> </w:t>
      </w:r>
      <w:r w:rsidRPr="00273106">
        <w:t>na dvou dalších místech</w:t>
      </w:r>
      <w:r>
        <w:t xml:space="preserve"> důležitých pro vz</w:t>
      </w:r>
      <w:r w:rsidRPr="00273106">
        <w:t xml:space="preserve">nik metafyziky. Nejprve se </w:t>
      </w:r>
      <w:r>
        <w:t xml:space="preserve">metafyzická </w:t>
      </w:r>
      <w:r w:rsidRPr="080002FB">
        <w:rPr>
          <w:i/>
        </w:rPr>
        <w:t>epoché</w:t>
      </w:r>
      <w:r w:rsidRPr="00273106">
        <w:t xml:space="preserve"> týká explicitně existence boha (</w:t>
      </w:r>
      <w:r w:rsidRPr="08C215F1">
        <w:rPr>
          <w:i/>
        </w:rPr>
        <w:t>Vat</w:t>
      </w:r>
      <w:r w:rsidRPr="00273106">
        <w:t>. XVII, no. 33</w:t>
      </w:r>
      <w:r>
        <w:t xml:space="preserve">, p. </w:t>
      </w:r>
      <w:r w:rsidRPr="00273106">
        <w:t>472.20‒26</w:t>
      </w:r>
      <w:r>
        <w:fldChar w:fldCharType="begin"/>
      </w:r>
      <w:r>
        <w:instrText xml:space="preserve"> XE "Scotus:</w:instrText>
      </w:r>
      <w:r w:rsidRPr="0050494D">
        <w:rPr>
          <w:i/>
        </w:rPr>
        <w:instrText>Lectura</w:instrText>
      </w:r>
      <w:r>
        <w:instrText xml:space="preserve"> 1.472.20</w:instrText>
      </w:r>
      <w:r w:rsidRPr="0050494D">
        <w:instrText>‒</w:instrText>
      </w:r>
      <w:r>
        <w:instrText xml:space="preserve">26" </w:instrText>
      </w:r>
      <w:r>
        <w:fldChar w:fldCharType="end"/>
      </w:r>
      <w:r w:rsidRPr="00273106">
        <w:t xml:space="preserve">). Scotus potřebuje obhájit první filosofii </w:t>
      </w:r>
      <w:r w:rsidRPr="00273106">
        <w:lastRenderedPageBreak/>
        <w:t xml:space="preserve">založenou na čisté možnosti, která si podržuje primární identitu </w:t>
      </w:r>
      <w:r>
        <w:t xml:space="preserve">významu danou </w:t>
      </w:r>
      <w:r w:rsidRPr="00273106">
        <w:rPr>
          <w:i/>
        </w:rPr>
        <w:t xml:space="preserve">per </w:t>
      </w:r>
      <w:proofErr w:type="gramStart"/>
      <w:r w:rsidRPr="00273106">
        <w:rPr>
          <w:i/>
        </w:rPr>
        <w:t>se</w:t>
      </w:r>
      <w:proofErr w:type="gramEnd"/>
      <w:r>
        <w:t xml:space="preserve">, tedy </w:t>
      </w:r>
      <w:r w:rsidRPr="00273106">
        <w:t>mimo reálnou existenci</w:t>
      </w:r>
      <w:r>
        <w:t xml:space="preserve"> jsoucna</w:t>
      </w:r>
      <w:r w:rsidRPr="00273106">
        <w:t xml:space="preserve">. I kdyby nebyl aktuálně doložen bůh z hlediska metafyziky (tj. kdyby aktuálně </w:t>
      </w:r>
      <w:r>
        <w:t xml:space="preserve">nepůsobil </w:t>
      </w:r>
      <w:r w:rsidRPr="00273106">
        <w:t xml:space="preserve">ve stvoření, ne že by vůbec neexistoval), přesto by byla skrze jeho myšlení dána možnost objektivně založeného vědění. Druhá verze </w:t>
      </w:r>
      <w:r>
        <w:t xml:space="preserve">Scotovy </w:t>
      </w:r>
      <w:r w:rsidRPr="08CA2E86">
        <w:rPr>
          <w:i/>
        </w:rPr>
        <w:t>epoché</w:t>
      </w:r>
      <w:r w:rsidRPr="00273106">
        <w:t xml:space="preserve"> používá ve stylu Descarta</w:t>
      </w:r>
      <w:r>
        <w:fldChar w:fldCharType="begin"/>
      </w:r>
      <w:r>
        <w:instrText xml:space="preserve"> XE "</w:instrText>
      </w:r>
      <w:r w:rsidRPr="004146C6">
        <w:rPr>
          <w:rStyle w:val="addmd"/>
        </w:rPr>
        <w:instrText>Descartes, R.</w:instrText>
      </w:r>
      <w:r>
        <w:instrText xml:space="preserve">" </w:instrText>
      </w:r>
      <w:r>
        <w:fldChar w:fldCharType="end"/>
      </w:r>
      <w:r w:rsidRPr="00273106">
        <w:t xml:space="preserve"> tento argument pro zmizení reálných esencí, které by byly poznatelné přes jejich objektivní </w:t>
      </w:r>
      <w:r w:rsidR="00962190">
        <w:rPr>
          <w:i/>
        </w:rPr>
        <w:t>species</w:t>
      </w:r>
      <w:r>
        <w:t xml:space="preserve"> (</w:t>
      </w:r>
      <w:r w:rsidRPr="08C215F1">
        <w:rPr>
          <w:i/>
        </w:rPr>
        <w:t>Vat.</w:t>
      </w:r>
      <w:r w:rsidRPr="00273106">
        <w:t xml:space="preserve"> VI, no. 24</w:t>
      </w:r>
      <w:r>
        <w:t xml:space="preserve">, p. </w:t>
      </w:r>
      <w:r w:rsidRPr="00273106">
        <w:t>254.14‒20</w:t>
      </w:r>
      <w:r>
        <w:fldChar w:fldCharType="begin"/>
      </w:r>
      <w:r>
        <w:instrText xml:space="preserve"> XE "Scotus:</w:instrText>
      </w:r>
      <w:r w:rsidRPr="0050494D">
        <w:rPr>
          <w:i/>
        </w:rPr>
        <w:instrText>Lectura</w:instrText>
      </w:r>
      <w:r>
        <w:instrText xml:space="preserve"> 1.254.14</w:instrText>
      </w:r>
      <w:r w:rsidRPr="0050494D">
        <w:instrText>‒</w:instrText>
      </w:r>
      <w:r>
        <w:instrText xml:space="preserve">20" </w:instrText>
      </w:r>
      <w:r>
        <w:fldChar w:fldCharType="end"/>
      </w:r>
      <w:r w:rsidRPr="00273106">
        <w:t>).</w:t>
      </w:r>
      <w:r>
        <w:t xml:space="preserve"> </w:t>
      </w:r>
      <w:r w:rsidRPr="00273106">
        <w:t>Věc ve své minimální jsoucnosti by měla dost</w:t>
      </w:r>
      <w:r>
        <w:t xml:space="preserve">atečný důvod k identitě, protože </w:t>
      </w:r>
      <w:r w:rsidRPr="00273106">
        <w:t xml:space="preserve">by </w:t>
      </w:r>
      <w:r>
        <w:t xml:space="preserve">objektivně subsistovala </w:t>
      </w:r>
      <w:r w:rsidRPr="00273106">
        <w:t xml:space="preserve">pouze </w:t>
      </w:r>
      <w:r>
        <w:t xml:space="preserve">v </w:t>
      </w:r>
      <w:r w:rsidRPr="00273106">
        <w:t>myšlené identitě</w:t>
      </w:r>
      <w:r>
        <w:t xml:space="preserve"> garantované v božím intelektu</w:t>
      </w:r>
      <w:r w:rsidRPr="00273106">
        <w:t xml:space="preserve">. Scotus </w:t>
      </w:r>
      <w:r>
        <w:t xml:space="preserve">provádí epochální obrat k objektivní formě zkušenosti boha </w:t>
      </w:r>
      <w:r w:rsidRPr="00273106">
        <w:t>logickou cest</w:t>
      </w:r>
      <w:r>
        <w:t xml:space="preserve">ou </w:t>
      </w:r>
      <w:r w:rsidRPr="00273106">
        <w:rPr>
          <w:i/>
        </w:rPr>
        <w:t>reductio ad absurdum</w:t>
      </w:r>
      <w:r>
        <w:t xml:space="preserve">. Objektivní zkušenost reálně neexistujícího absurdna ukazuje po Avicennově „létajícím muži“ další klíčový </w:t>
      </w:r>
      <w:r>
        <w:rPr>
          <w:i/>
        </w:rPr>
        <w:t>Thought E</w:t>
      </w:r>
      <w:r w:rsidRPr="00273106">
        <w:rPr>
          <w:i/>
        </w:rPr>
        <w:t>xperiment</w:t>
      </w:r>
      <w:r w:rsidR="005F6EE4">
        <w:t xml:space="preserve"> moderny</w:t>
      </w:r>
      <w:r w:rsidR="00F073E3">
        <w:t>.</w:t>
      </w:r>
      <w:r w:rsidR="005F6EE4">
        <w:t xml:space="preserve"> Scotus uzávorkoval realitu, což po něm provedl Descartes. Pak logicky a nutně nalezl ostrov reality daný skrze objektivní </w:t>
      </w:r>
      <w:r w:rsidR="005F6EE4" w:rsidRPr="00E1489C">
        <w:t>species</w:t>
      </w:r>
      <w:r w:rsidR="005F6EE4">
        <w:t xml:space="preserve">. Jejich objektivitu zaručilo formálně stejné myšlení kauzálně činný a racionálně myslícího moderního boha. </w:t>
      </w:r>
      <w:r w:rsidR="005F6EE4" w:rsidRPr="00273106">
        <w:t xml:space="preserve">Descartes tento krok provede ve druhé meditaci a Husselova </w:t>
      </w:r>
      <w:r w:rsidR="005F6EE4" w:rsidRPr="00273106">
        <w:rPr>
          <w:i/>
        </w:rPr>
        <w:t>epoché</w:t>
      </w:r>
      <w:r w:rsidR="005F6EE4" w:rsidRPr="00273106">
        <w:t xml:space="preserve"> tento scénář </w:t>
      </w:r>
      <w:r w:rsidR="005F6EE4">
        <w:t xml:space="preserve">zopakuje. Transcendentního význam se vynoří jako </w:t>
      </w:r>
      <w:r w:rsidR="005F6EE4" w:rsidRPr="00273106">
        <w:rPr>
          <w:i/>
        </w:rPr>
        <w:t>eidos</w:t>
      </w:r>
      <w:r w:rsidR="005F6EE4" w:rsidRPr="00273106">
        <w:t xml:space="preserve"> v imanenci čistého vědomí.</w:t>
      </w:r>
      <w:r w:rsidR="005F6EE4">
        <w:t xml:space="preserve"> Husserlovo sapérské umění v modu nihilistického „</w:t>
      </w:r>
      <w:r w:rsidR="005F6EE4" w:rsidRPr="00DB3EEA">
        <w:rPr>
          <w:i/>
        </w:rPr>
        <w:t>suffodere</w:t>
      </w:r>
      <w:r w:rsidR="005F6EE4">
        <w:t xml:space="preserve">“ opakuje </w:t>
      </w:r>
      <w:r w:rsidR="005F6EE4" w:rsidRPr="003646C3">
        <w:t>poj</w:t>
      </w:r>
      <w:r w:rsidR="005F6EE4">
        <w:t>em „</w:t>
      </w:r>
      <w:r w:rsidR="005F6EE4" w:rsidRPr="08045F7D">
        <w:rPr>
          <w:i/>
        </w:rPr>
        <w:t>Sich-von-sich-selbst-her-zeigen</w:t>
      </w:r>
      <w:r w:rsidR="005F6EE4">
        <w:t>“</w:t>
      </w:r>
      <w:r w:rsidR="005F6EE4" w:rsidRPr="003646C3">
        <w:t xml:space="preserve"> </w:t>
      </w:r>
      <w:r w:rsidR="005F6EE4">
        <w:t xml:space="preserve">podaný </w:t>
      </w:r>
      <w:r w:rsidR="005F6EE4">
        <w:rPr>
          <w:rFonts w:cs="TimesNewRomanPSMT"/>
          <w:szCs w:val="24"/>
        </w:rPr>
        <w:t xml:space="preserve">v </w:t>
      </w:r>
      <w:proofErr w:type="gramStart"/>
      <w:r w:rsidR="005F6EE4" w:rsidRPr="081A699A">
        <w:rPr>
          <w:rFonts w:cs="TimesNewRomanPSMT"/>
          <w:i/>
          <w:szCs w:val="24"/>
        </w:rPr>
        <w:t>Karteziánských  meditacích</w:t>
      </w:r>
      <w:proofErr w:type="gramEnd"/>
      <w:r w:rsidR="005F6EE4">
        <w:rPr>
          <w:rFonts w:cs="TimesNewRomanPSMT"/>
          <w:szCs w:val="24"/>
        </w:rPr>
        <w:t>.</w:t>
      </w:r>
      <w:r w:rsidR="005F6EE4" w:rsidRPr="00273106">
        <w:rPr>
          <w:rStyle w:val="Znakapoznpodarou"/>
        </w:rPr>
        <w:footnoteReference w:id="435"/>
      </w:r>
      <w:r w:rsidR="005F6EE4">
        <w:rPr>
          <w:rFonts w:cs="TimesNewRomanPSMT"/>
          <w:szCs w:val="24"/>
        </w:rPr>
        <w:t xml:space="preserve"> Husserlova iluminace zakládá minimální bytí, které stačí pro založení první filosofie.</w:t>
      </w:r>
      <w:r w:rsidR="005F6EE4" w:rsidRPr="00273106">
        <w:t xml:space="preserve"> </w:t>
      </w:r>
      <w:r w:rsidR="005F6EE4">
        <w:rPr>
          <w:rFonts w:cs="TimesNewRomanPSMT"/>
          <w:szCs w:val="24"/>
        </w:rPr>
        <w:t>Aristotelsky formovaný Heidegger</w:t>
      </w:r>
      <w:r w:rsidR="005F6EE4">
        <w:rPr>
          <w:rFonts w:cs="TimesNewRomanPSMT"/>
          <w:szCs w:val="24"/>
        </w:rPr>
        <w:fldChar w:fldCharType="begin"/>
      </w:r>
      <w:r w:rsidR="005F6EE4">
        <w:instrText xml:space="preserve"> XE "</w:instrText>
      </w:r>
      <w:r w:rsidR="005F6EE4" w:rsidRPr="008964AF">
        <w:rPr>
          <w:rFonts w:cs="TimesNewRomanPSMT"/>
          <w:szCs w:val="24"/>
        </w:rPr>
        <w:instrText>Heidegger, M.</w:instrText>
      </w:r>
      <w:r w:rsidR="005F6EE4">
        <w:instrText xml:space="preserve">" </w:instrText>
      </w:r>
      <w:r w:rsidR="005F6EE4">
        <w:rPr>
          <w:rFonts w:cs="TimesNewRomanPSMT"/>
          <w:szCs w:val="24"/>
        </w:rPr>
        <w:fldChar w:fldCharType="end"/>
      </w:r>
      <w:r w:rsidR="005F6EE4">
        <w:rPr>
          <w:rFonts w:cs="TimesNewRomanPSMT"/>
          <w:szCs w:val="24"/>
        </w:rPr>
        <w:t xml:space="preserve"> zavrhl </w:t>
      </w:r>
      <w:r w:rsidR="005F6EE4">
        <w:t>tento mytologický ne</w:t>
      </w:r>
      <w:r w:rsidR="005F6EE4">
        <w:rPr>
          <w:rFonts w:cs="TimesNewRomanPSMT"/>
          <w:szCs w:val="24"/>
        </w:rPr>
        <w:t xml:space="preserve">smysl hned na začátku vlastní cesty k filosofii a nahradil jej trojím výkonem smyslu koncipovaného jako existenciální modus </w:t>
      </w:r>
      <w:r w:rsidR="005F6EE4" w:rsidRPr="00735554">
        <w:rPr>
          <w:rFonts w:cs="TimesNewRomanPSMT"/>
          <w:i/>
          <w:szCs w:val="24"/>
        </w:rPr>
        <w:t>Dasein</w:t>
      </w:r>
      <w:r w:rsidR="005F6EE4">
        <w:rPr>
          <w:rFonts w:cs="TimesNewRomanPSMT"/>
          <w:szCs w:val="24"/>
        </w:rPr>
        <w:t xml:space="preserve"> </w:t>
      </w:r>
      <w:r w:rsidR="005F6EE4">
        <w:t>(kap. 4.4.4)</w:t>
      </w:r>
      <w:r w:rsidR="005F6EE4">
        <w:rPr>
          <w:rFonts w:cs="TimesNewRomanPSMT"/>
          <w:szCs w:val="24"/>
        </w:rPr>
        <w:t xml:space="preserve">. </w:t>
      </w:r>
      <w:r w:rsidR="00B2179C" w:rsidRPr="00273106">
        <w:t xml:space="preserve">Nihilismus první substance způsobil, že mysl </w:t>
      </w:r>
      <w:r w:rsidR="00B2179C" w:rsidRPr="00273106">
        <w:rPr>
          <w:i/>
        </w:rPr>
        <w:t>Modernorum</w:t>
      </w:r>
      <w:r w:rsidR="00B2179C" w:rsidRPr="00273106">
        <w:t xml:space="preserve"> jde do sebe a hledá jistotu </w:t>
      </w:r>
      <w:r w:rsidR="00B2179C">
        <w:t xml:space="preserve">skrze kauzálně působícího boha daného přímo v našem poznání. </w:t>
      </w:r>
    </w:p>
    <w:p w:rsidR="08163013" w:rsidRDefault="00F073E3" w:rsidP="00F073E3">
      <w:pPr>
        <w:ind w:firstLine="397"/>
      </w:pPr>
      <w:r w:rsidRPr="00F073E3">
        <w:t>V epoše následující po Scotově eliminaci kritické aristotelské vě</w:t>
      </w:r>
      <w:r>
        <w:t>dy doplnily šalebné M</w:t>
      </w:r>
      <w:r w:rsidRPr="00F073E3">
        <w:t>úzy</w:t>
      </w:r>
      <w:r>
        <w:fldChar w:fldCharType="begin"/>
      </w:r>
      <w:r>
        <w:instrText xml:space="preserve"> XE "</w:instrText>
      </w:r>
      <w:r w:rsidRPr="08A90620">
        <w:instrText>Múzy</w:instrText>
      </w:r>
      <w:r>
        <w:instrText xml:space="preserve">" </w:instrText>
      </w:r>
      <w:r>
        <w:fldChar w:fldCharType="end"/>
      </w:r>
      <w:r w:rsidRPr="00F073E3">
        <w:t xml:space="preserve"> metafyzické dílo prezentované v podobě objektivní božské komedie</w:t>
      </w:r>
      <w:r>
        <w:fldChar w:fldCharType="begin"/>
      </w:r>
      <w:r>
        <w:instrText xml:space="preserve"> XE "</w:instrText>
      </w:r>
      <w:r w:rsidRPr="08EB42AD">
        <w:instrText>božská komedie</w:instrText>
      </w:r>
      <w:r>
        <w:instrText xml:space="preserve">" </w:instrText>
      </w:r>
      <w:r>
        <w:fldChar w:fldCharType="end"/>
      </w:r>
      <w:r>
        <w:t xml:space="preserve">. </w:t>
      </w:r>
      <w:r w:rsidR="00706887">
        <w:t>V epoše metafyzického nihilismu převzala</w:t>
      </w:r>
      <w:r w:rsidR="00706887" w:rsidRPr="00273106">
        <w:t xml:space="preserve"> postmoderna do vlastních rukou</w:t>
      </w:r>
      <w:r w:rsidR="00706887">
        <w:t xml:space="preserve"> r</w:t>
      </w:r>
      <w:r w:rsidR="08163013" w:rsidRPr="00273106">
        <w:t xml:space="preserve">oli boha jako metafyzické náhražky za </w:t>
      </w:r>
      <w:r w:rsidR="00706887">
        <w:t>realitu první substance</w:t>
      </w:r>
      <w:r w:rsidR="08163013" w:rsidRPr="00273106">
        <w:t xml:space="preserve">. </w:t>
      </w:r>
      <w:r w:rsidR="08163013">
        <w:t xml:space="preserve">Fúrie zavedly modernu </w:t>
      </w:r>
      <w:r w:rsidR="08163013">
        <w:lastRenderedPageBreak/>
        <w:t xml:space="preserve">skrze Scota na </w:t>
      </w:r>
      <w:proofErr w:type="gramStart"/>
      <w:r w:rsidR="08163013" w:rsidRPr="08AD4C58">
        <w:rPr>
          <w:i/>
        </w:rPr>
        <w:t>via</w:t>
      </w:r>
      <w:proofErr w:type="gramEnd"/>
      <w:r w:rsidR="08163013" w:rsidRPr="08AD4C58">
        <w:rPr>
          <w:i/>
        </w:rPr>
        <w:t xml:space="preserve"> Modernorum</w:t>
      </w:r>
      <w:r w:rsidR="00706887">
        <w:t xml:space="preserve">. </w:t>
      </w:r>
      <w:r w:rsidR="08163013">
        <w:t>Arnauld</w:t>
      </w:r>
      <w:r w:rsidR="08163013">
        <w:fldChar w:fldCharType="begin"/>
      </w:r>
      <w:r w:rsidR="08163013">
        <w:instrText xml:space="preserve"> XE "</w:instrText>
      </w:r>
      <w:r w:rsidR="08163013" w:rsidRPr="00EF1828">
        <w:instrText>Arnauld, A.</w:instrText>
      </w:r>
      <w:r w:rsidR="08163013">
        <w:instrText xml:space="preserve">" </w:instrText>
      </w:r>
      <w:r w:rsidR="08163013">
        <w:fldChar w:fldCharType="end"/>
      </w:r>
      <w:r w:rsidR="08163013">
        <w:t xml:space="preserve"> v návaznosti na Descartovy ideje provedl postmoderní zatmění první substance, protože mu k vědeckému poznání stačí přímé vidění postmoderních idejí, alias moderních exemplarů (</w:t>
      </w:r>
      <w:r w:rsidR="00E04D01">
        <w:t xml:space="preserve">OBJ I, </w:t>
      </w:r>
      <w:r w:rsidR="08163013">
        <w:t xml:space="preserve">kap. 2.4.4). Po zatmění první substance představuje bůh moderny </w:t>
      </w:r>
      <w:r w:rsidR="08163013">
        <w:rPr>
          <w:i/>
        </w:rPr>
        <w:t>locus specie</w:t>
      </w:r>
      <w:r w:rsidR="08163013" w:rsidRPr="00EB2F87">
        <w:rPr>
          <w:i/>
        </w:rPr>
        <w:t>rum</w:t>
      </w:r>
      <w:r w:rsidR="08163013">
        <w:rPr>
          <w:i/>
        </w:rPr>
        <w:fldChar w:fldCharType="begin"/>
      </w:r>
      <w:r w:rsidR="08163013">
        <w:instrText xml:space="preserve"> XE "</w:instrText>
      </w:r>
      <w:r w:rsidR="08163013" w:rsidRPr="009E5259">
        <w:rPr>
          <w:i/>
        </w:rPr>
        <w:instrText>locus specierum</w:instrText>
      </w:r>
      <w:r w:rsidR="08163013">
        <w:instrText xml:space="preserve">" </w:instrText>
      </w:r>
      <w:r w:rsidR="08163013">
        <w:rPr>
          <w:i/>
        </w:rPr>
        <w:fldChar w:fldCharType="end"/>
      </w:r>
      <w:r w:rsidR="08163013">
        <w:t xml:space="preserve"> pro všechna </w:t>
      </w:r>
      <w:r w:rsidR="08163013" w:rsidRPr="003E101B">
        <w:rPr>
          <w:i/>
        </w:rPr>
        <w:t>scibile</w:t>
      </w:r>
      <w:r w:rsidR="08163013">
        <w:rPr>
          <w:i/>
        </w:rPr>
        <w:fldChar w:fldCharType="begin"/>
      </w:r>
      <w:r w:rsidR="08163013">
        <w:instrText xml:space="preserve"> XE "</w:instrText>
      </w:r>
      <w:r w:rsidR="08163013" w:rsidRPr="00AA4F67">
        <w:rPr>
          <w:i/>
        </w:rPr>
        <w:instrText>scibile</w:instrText>
      </w:r>
      <w:r w:rsidR="08163013">
        <w:rPr>
          <w:i/>
        </w:rPr>
        <w:instrText>:</w:instrText>
      </w:r>
      <w:r w:rsidR="08163013" w:rsidRPr="002E6903">
        <w:instrText>Scotus</w:instrText>
      </w:r>
      <w:r w:rsidR="08163013">
        <w:instrText xml:space="preserve">" </w:instrText>
      </w:r>
      <w:r w:rsidR="08163013">
        <w:rPr>
          <w:i/>
        </w:rPr>
        <w:fldChar w:fldCharType="end"/>
      </w:r>
      <w:r w:rsidR="08163013">
        <w:t xml:space="preserve">, které pilná moderna trvale produkuje. Po smrti nejvyššího strážce moderních pokladů objektivního vědění </w:t>
      </w:r>
      <w:r w:rsidR="08163013">
        <w:rPr>
          <w:color w:val="000000"/>
        </w:rPr>
        <w:fldChar w:fldCharType="begin"/>
      </w:r>
      <w:r w:rsidR="08163013">
        <w:instrText xml:space="preserve"> XE "smrt boha" </w:instrText>
      </w:r>
      <w:r w:rsidR="08163013">
        <w:rPr>
          <w:color w:val="000000"/>
        </w:rPr>
        <w:fldChar w:fldCharType="end"/>
      </w:r>
      <w:r w:rsidR="08163013">
        <w:t>toto uprázdněné místo boha-pokladníka zaujaly cloudové databáze</w:t>
      </w:r>
      <w:r w:rsidR="08163013">
        <w:rPr>
          <w:i/>
        </w:rPr>
        <w:fldChar w:fldCharType="begin"/>
      </w:r>
      <w:r w:rsidR="08163013">
        <w:instrText xml:space="preserve"> XE "</w:instrText>
      </w:r>
      <w:r w:rsidR="08163013" w:rsidRPr="00621429">
        <w:rPr>
          <w:i/>
        </w:rPr>
        <w:instrText>cloud computing</w:instrText>
      </w:r>
      <w:r w:rsidR="08163013">
        <w:instrText xml:space="preserve">" </w:instrText>
      </w:r>
      <w:r w:rsidR="08163013">
        <w:rPr>
          <w:i/>
        </w:rPr>
        <w:fldChar w:fldCharType="end"/>
      </w:r>
      <w:r w:rsidR="08163013">
        <w:t xml:space="preserve"> a nakonec pouze molekula DNA. Tato zázračná a mystická substance představuje postmoderní kámen akademických mudrců v epoše plného vítězství absurdní zkušenosti neexistuj</w:t>
      </w:r>
      <w:r w:rsidR="00F85712">
        <w:t xml:space="preserve">ícího třetího světa. Objektivně a </w:t>
      </w:r>
      <w:r w:rsidR="08163013">
        <w:t xml:space="preserve">memicky daný kámen mudrců se dotkl molekuly DNA a udělal z této reálné první substance nové nihilistické </w:t>
      </w:r>
      <w:r w:rsidR="08163013" w:rsidRPr="08E663A2">
        <w:rPr>
          <w:i/>
        </w:rPr>
        <w:t>scibile</w:t>
      </w:r>
      <w:r w:rsidR="08163013">
        <w:t xml:space="preserve"> zvané </w:t>
      </w:r>
      <w:r w:rsidR="08163013" w:rsidRPr="08E663A2">
        <w:rPr>
          <w:i/>
        </w:rPr>
        <w:t>humanitas</w:t>
      </w:r>
      <w:r w:rsidR="08163013">
        <w:t>. Tato objektivně daná substance třetího druhu chemicky a memicky udržuje základy lidství pro objektivní ilumináty</w:t>
      </w:r>
      <w:r w:rsidR="08163013">
        <w:fldChar w:fldCharType="begin"/>
      </w:r>
      <w:r w:rsidR="08163013">
        <w:instrText xml:space="preserve"> XE "</w:instrText>
      </w:r>
      <w:r w:rsidR="08163013" w:rsidRPr="00CF7F83">
        <w:instrText>Dawkins, R.</w:instrText>
      </w:r>
      <w:r w:rsidR="08163013">
        <w:instrText xml:space="preserve">" </w:instrText>
      </w:r>
      <w:r w:rsidR="08163013">
        <w:fldChar w:fldCharType="end"/>
      </w:r>
      <w:r w:rsidR="08163013">
        <w:t>, kteří kontemplují své lidství výlučně v zrcadle objektivně dané přírody. Zhasnutím slunce a vytvořením metafyzické temnoty si Scotus zajistil první diferenci</w:t>
      </w:r>
      <w:r w:rsidR="08163013" w:rsidRPr="00273106">
        <w:t xml:space="preserve"> mezi objektivním a re</w:t>
      </w:r>
      <w:r w:rsidR="08163013">
        <w:t xml:space="preserve">álným bytím jsoucna. V nastalé tmě po zhasnutí první substance nastal první den objektivního stvoření </w:t>
      </w:r>
      <w:r w:rsidR="00962190">
        <w:rPr>
          <w:i/>
        </w:rPr>
        <w:t>species</w:t>
      </w:r>
      <w:r w:rsidR="08163013">
        <w:t xml:space="preserve"> a moderna se vydala na vítěznou pouť světem. Mystický matematik Descartes se v založení metafyziky vrátil k Bonaventurovi, zatímco kritický metafyzik Scotus šel cestou prvního averroismu. </w:t>
      </w:r>
      <w:r w:rsidR="007045C9">
        <w:t>V</w:t>
      </w:r>
      <w:r w:rsidR="007045C9" w:rsidRPr="00273106">
        <w:t xml:space="preserve"> prvním kroku </w:t>
      </w:r>
      <w:r w:rsidR="007045C9" w:rsidRPr="007045C9">
        <w:rPr>
          <w:i/>
        </w:rPr>
        <w:t>Meditationes</w:t>
      </w:r>
      <w:r w:rsidR="007045C9">
        <w:t xml:space="preserve"> </w:t>
      </w:r>
      <w:r w:rsidR="08163013">
        <w:t xml:space="preserve">Descartes </w:t>
      </w:r>
      <w:r w:rsidR="007045C9">
        <w:t xml:space="preserve">vyloučil </w:t>
      </w:r>
      <w:r w:rsidR="08163013" w:rsidRPr="00273106">
        <w:t xml:space="preserve">smyslové poznání </w:t>
      </w:r>
      <w:r w:rsidR="08163013">
        <w:t xml:space="preserve">a vrátil se k ideji </w:t>
      </w:r>
      <w:r w:rsidR="007045C9">
        <w:t xml:space="preserve">boha </w:t>
      </w:r>
      <w:r w:rsidR="08163013">
        <w:t xml:space="preserve">pomocí </w:t>
      </w:r>
      <w:r w:rsidR="00450357">
        <w:t>vrozených</w:t>
      </w:r>
      <w:r w:rsidR="08163013">
        <w:t xml:space="preserve"> </w:t>
      </w:r>
      <w:r w:rsidR="00962190" w:rsidRPr="007045C9">
        <w:t>species</w:t>
      </w:r>
      <w:r w:rsidR="08163013">
        <w:t>.</w:t>
      </w:r>
      <w:r w:rsidR="08163013" w:rsidRPr="00EA161C">
        <w:t xml:space="preserve"> </w:t>
      </w:r>
      <w:r w:rsidR="08163013">
        <w:t>Univoční</w:t>
      </w:r>
      <w:r w:rsidR="08163013" w:rsidRPr="00273106">
        <w:t xml:space="preserve"> poznání boha </w:t>
      </w:r>
      <w:r w:rsidR="08163013">
        <w:t>skrze kauzalitu obsahuje t</w:t>
      </w:r>
      <w:r w:rsidR="08163013" w:rsidRPr="00273106">
        <w:t xml:space="preserve">řetí krok </w:t>
      </w:r>
      <w:r w:rsidR="08163013" w:rsidRPr="08F911BE">
        <w:rPr>
          <w:i/>
        </w:rPr>
        <w:t>Meditací</w:t>
      </w:r>
      <w:r w:rsidR="08163013">
        <w:t xml:space="preserve">, když si v předešlém </w:t>
      </w:r>
      <w:r w:rsidR="08163013" w:rsidRPr="00273106">
        <w:t>druhém kroku zajistil aktuální substanci (</w:t>
      </w:r>
      <w:r w:rsidR="08163013" w:rsidRPr="00273106">
        <w:rPr>
          <w:i/>
        </w:rPr>
        <w:t>res cogitans</w:t>
      </w:r>
      <w:r w:rsidR="08163013">
        <w:rPr>
          <w:i/>
        </w:rPr>
        <w:fldChar w:fldCharType="begin"/>
      </w:r>
      <w:r w:rsidR="08163013">
        <w:instrText xml:space="preserve"> XE "</w:instrText>
      </w:r>
      <w:r w:rsidR="08163013" w:rsidRPr="003F49D8">
        <w:rPr>
          <w:i/>
        </w:rPr>
        <w:instrText>res cogitans</w:instrText>
      </w:r>
      <w:r w:rsidR="08163013">
        <w:instrText xml:space="preserve">" </w:instrText>
      </w:r>
      <w:r w:rsidR="08163013">
        <w:rPr>
          <w:i/>
        </w:rPr>
        <w:fldChar w:fldCharType="end"/>
      </w:r>
      <w:r w:rsidR="08163013" w:rsidRPr="00273106">
        <w:t xml:space="preserve">) danou </w:t>
      </w:r>
      <w:r w:rsidR="08163013" w:rsidRPr="00273106">
        <w:rPr>
          <w:i/>
        </w:rPr>
        <w:t>per se</w:t>
      </w:r>
      <w:r w:rsidR="08163013" w:rsidRPr="00273106">
        <w:t xml:space="preserve"> skrze výkon vlastního </w:t>
      </w:r>
      <w:r w:rsidR="08163013" w:rsidRPr="00273106">
        <w:rPr>
          <w:i/>
        </w:rPr>
        <w:t>cogitatio</w:t>
      </w:r>
      <w:r w:rsidR="08163013">
        <w:t>.</w:t>
      </w:r>
      <w:r w:rsidR="08163013" w:rsidRPr="00273106">
        <w:t xml:space="preserve"> </w:t>
      </w:r>
      <w:r w:rsidR="08163013">
        <w:t xml:space="preserve">Ze Scotova </w:t>
      </w:r>
      <w:r w:rsidR="00FA0898">
        <w:t xml:space="preserve">přímého </w:t>
      </w:r>
      <w:r w:rsidR="08163013">
        <w:t xml:space="preserve">kauzálního působení boha </w:t>
      </w:r>
      <w:r w:rsidR="00FA0898">
        <w:t xml:space="preserve">v nás </w:t>
      </w:r>
      <w:r w:rsidR="08163013">
        <w:t xml:space="preserve">udělal Descartes vrozenou ideu boha v nás. Karteziánský intelekt jako </w:t>
      </w:r>
      <w:r w:rsidR="08163013" w:rsidRPr="00A242DF">
        <w:rPr>
          <w:i/>
        </w:rPr>
        <w:t>res cogitans</w:t>
      </w:r>
      <w:r w:rsidR="08163013">
        <w:rPr>
          <w:i/>
        </w:rPr>
        <w:fldChar w:fldCharType="begin"/>
      </w:r>
      <w:r w:rsidR="08163013">
        <w:instrText xml:space="preserve"> XE "</w:instrText>
      </w:r>
      <w:r w:rsidR="08163013" w:rsidRPr="003F49D8">
        <w:rPr>
          <w:i/>
        </w:rPr>
        <w:instrText>res cogitans</w:instrText>
      </w:r>
      <w:r w:rsidR="08163013">
        <w:instrText xml:space="preserve">" </w:instrText>
      </w:r>
      <w:r w:rsidR="08163013">
        <w:rPr>
          <w:i/>
        </w:rPr>
        <w:fldChar w:fldCharType="end"/>
      </w:r>
      <w:r w:rsidR="08163013">
        <w:t xml:space="preserve"> nazírá objektivní realitu idejí v jejich minimální jsoucnosti (</w:t>
      </w:r>
      <w:r w:rsidR="08163013" w:rsidRPr="00E353FB">
        <w:rPr>
          <w:i/>
        </w:rPr>
        <w:t>idea realitatem objectivam</w:t>
      </w:r>
      <w:r w:rsidR="08163013">
        <w:t>) a hledá jejich externí příčinu.</w:t>
      </w:r>
      <w:r w:rsidR="08163013" w:rsidRPr="00273106">
        <w:rPr>
          <w:rStyle w:val="Znakapoznpodarou"/>
        </w:rPr>
        <w:footnoteReference w:id="436"/>
      </w:r>
      <w:r w:rsidR="08163013">
        <w:t xml:space="preserve"> Tato příčina musí po formální stránce obsahovat tutéž objektivitu, ale u boha danou v modu původní efektivní stvořitelské kauzality. Pak se „létající muž“ dostane ze svého </w:t>
      </w:r>
      <w:r w:rsidR="08163013" w:rsidRPr="08F911BE">
        <w:rPr>
          <w:i/>
        </w:rPr>
        <w:t>cogita</w:t>
      </w:r>
      <w:r w:rsidR="08163013">
        <w:t xml:space="preserve"> do vnějšího světa. Vyjít z platonské jeskyně je pro modernu a postmodernu </w:t>
      </w:r>
      <w:r w:rsidR="08163013">
        <w:lastRenderedPageBreak/>
        <w:t>nadlidský úkol splnitelný pouze v rámci nové mytopoetiky, jejímž úhelným kamenem byl Eliášův krkavec</w:t>
      </w:r>
      <w:r w:rsidR="08163013">
        <w:fldChar w:fldCharType="begin"/>
      </w:r>
      <w:r w:rsidR="08163013">
        <w:instrText xml:space="preserve"> XE "</w:instrText>
      </w:r>
      <w:r w:rsidR="08163013" w:rsidRPr="0883270E">
        <w:instrText>Eliášův krkavec</w:instrText>
      </w:r>
      <w:r w:rsidR="08163013">
        <w:instrText xml:space="preserve">" </w:instrText>
      </w:r>
      <w:r w:rsidR="08163013">
        <w:fldChar w:fldCharType="end"/>
      </w:r>
      <w:r w:rsidR="08163013">
        <w:t xml:space="preserve"> </w:t>
      </w:r>
      <w:r w:rsidR="00973C00">
        <w:t xml:space="preserve">(OBJ II, kap. 3.3.3) </w:t>
      </w:r>
      <w:r w:rsidR="08163013">
        <w:t xml:space="preserve">a nyní je to nově koncipovaný bůh </w:t>
      </w:r>
      <w:r w:rsidR="08163013" w:rsidRPr="08F911BE">
        <w:rPr>
          <w:i/>
        </w:rPr>
        <w:t>Modernorum</w:t>
      </w:r>
      <w:r w:rsidR="08163013">
        <w:t>. Dedukce boha z esenciálně určené mysli má jednu velkou výhodu. I kdyby bůh</w:t>
      </w:r>
      <w:r w:rsidR="08163013" w:rsidRPr="00273106">
        <w:t xml:space="preserve"> nebyl metafyzicky dokazatelný</w:t>
      </w:r>
      <w:r w:rsidR="08163013">
        <w:t xml:space="preserve"> ze stvoření</w:t>
      </w:r>
      <w:r w:rsidR="08163013" w:rsidRPr="00273106">
        <w:t>, a i kdyby neexistovala realita</w:t>
      </w:r>
      <w:r w:rsidR="08163013">
        <w:t xml:space="preserve"> prvních substancí, přesto by objektivně daná kauzalita stačila</w:t>
      </w:r>
      <w:r w:rsidR="08163013" w:rsidRPr="00273106">
        <w:t xml:space="preserve"> k poznání </w:t>
      </w:r>
      <w:r w:rsidR="08163013">
        <w:t xml:space="preserve">boha a světa v modu deduktivního </w:t>
      </w:r>
      <w:r w:rsidR="08163013" w:rsidRPr="000A5562">
        <w:rPr>
          <w:i/>
        </w:rPr>
        <w:t>demonstratio</w:t>
      </w:r>
      <w:r w:rsidR="08163013" w:rsidRPr="0835415E">
        <w:fldChar w:fldCharType="begin"/>
      </w:r>
      <w:r w:rsidR="08163013" w:rsidRPr="0835415E">
        <w:instrText xml:space="preserve"> XE "demonstratio:Scotus" </w:instrText>
      </w:r>
      <w:r w:rsidR="08163013" w:rsidRPr="0835415E">
        <w:fldChar w:fldCharType="end"/>
      </w:r>
      <w:r w:rsidR="08163013" w:rsidRPr="08EE6F3B">
        <w:t>.</w:t>
      </w:r>
      <w:r w:rsidR="08163013">
        <w:rPr>
          <w:i/>
        </w:rPr>
        <w:t xml:space="preserve"> </w:t>
      </w:r>
      <w:r w:rsidR="00CB15D6">
        <w:t>Modernistovi stačí, že bů</w:t>
      </w:r>
      <w:r w:rsidR="00FC3D48">
        <w:t>h myslí a ne, že existuje svět. Z</w:t>
      </w:r>
      <w:r w:rsidR="08163013">
        <w:t xml:space="preserve">mizení reality v modu </w:t>
      </w:r>
      <w:r w:rsidR="08163013" w:rsidRPr="00273106">
        <w:rPr>
          <w:i/>
        </w:rPr>
        <w:t>reductio ad absurdum</w:t>
      </w:r>
      <w:r w:rsidR="00FC3D48">
        <w:t xml:space="preserve"> je logicky správné. P</w:t>
      </w:r>
      <w:r w:rsidR="08163013">
        <w:t xml:space="preserve">aranoické myšlení </w:t>
      </w:r>
      <w:r w:rsidR="00FD283C">
        <w:t xml:space="preserve">moderny </w:t>
      </w:r>
      <w:r w:rsidR="08163013">
        <w:t xml:space="preserve">je determinováno logickou nutností, a ne metafyzickou abstrakcí predikovanou skrze reálnou kauzalitu prvních substancí. Z hlediska aristotelské metafyziky jde o naprostý nesmysl v modu citovaného omylu </w:t>
      </w:r>
      <w:r w:rsidR="0020420A">
        <w:t>„</w:t>
      </w:r>
      <w:r w:rsidR="08163013" w:rsidRPr="004C182F">
        <w:rPr>
          <w:i/>
        </w:rPr>
        <w:t>fallacia secu</w:t>
      </w:r>
      <w:r w:rsidR="08163013">
        <w:rPr>
          <w:i/>
        </w:rPr>
        <w:t>ndu</w:t>
      </w:r>
      <w:r w:rsidR="08163013" w:rsidRPr="004C182F">
        <w:rPr>
          <w:i/>
        </w:rPr>
        <w:t>m quid</w:t>
      </w:r>
      <w:r w:rsidR="0020420A">
        <w:t>“</w:t>
      </w:r>
      <w:r w:rsidR="08163013">
        <w:rPr>
          <w:i/>
          <w:lang w:eastAsia="en-US"/>
        </w:rPr>
        <w:fldChar w:fldCharType="begin"/>
      </w:r>
      <w:r w:rsidR="08163013">
        <w:instrText xml:space="preserve"> XE "</w:instrText>
      </w:r>
      <w:r w:rsidR="08163013" w:rsidRPr="00027DD3">
        <w:rPr>
          <w:i/>
        </w:rPr>
        <w:instrText>fallacia secundum quid et simpliciter</w:instrText>
      </w:r>
      <w:r w:rsidR="08163013">
        <w:instrText xml:space="preserve">" </w:instrText>
      </w:r>
      <w:r w:rsidR="08163013">
        <w:rPr>
          <w:i/>
          <w:lang w:eastAsia="en-US"/>
        </w:rPr>
        <w:fldChar w:fldCharType="end"/>
      </w:r>
      <w:r w:rsidR="08163013" w:rsidRPr="00273106">
        <w:t xml:space="preserve">. </w:t>
      </w:r>
      <w:r w:rsidR="08163013">
        <w:t xml:space="preserve">Lidské myšlení v kritické filosofii predikuje pravdu podle </w:t>
      </w:r>
      <w:r w:rsidR="08163013" w:rsidRPr="08C0228A">
        <w:rPr>
          <w:i/>
        </w:rPr>
        <w:t>simpliciter</w:t>
      </w:r>
      <w:r w:rsidR="08163013">
        <w:t xml:space="preserve"> a </w:t>
      </w:r>
      <w:r w:rsidR="08163013" w:rsidRPr="08C0228A">
        <w:rPr>
          <w:i/>
        </w:rPr>
        <w:t>actualiter</w:t>
      </w:r>
      <w:r w:rsidR="08163013">
        <w:t xml:space="preserve"> dané reality první substance, a ne naopak. M</w:t>
      </w:r>
      <w:r w:rsidR="08163013" w:rsidRPr="00273106">
        <w:t xml:space="preserve">ystika </w:t>
      </w:r>
      <w:r w:rsidR="08163013">
        <w:t>ontoteologického Jakubova žebříku</w:t>
      </w:r>
      <w:r w:rsidR="08163013">
        <w:fldChar w:fldCharType="begin"/>
      </w:r>
      <w:r w:rsidR="08163013">
        <w:instrText xml:space="preserve"> XE "</w:instrText>
      </w:r>
      <w:r w:rsidR="08163013" w:rsidRPr="001205CF">
        <w:instrText>Jakubův žebřík</w:instrText>
      </w:r>
      <w:r w:rsidR="08163013">
        <w:instrText xml:space="preserve">" </w:instrText>
      </w:r>
      <w:r w:rsidR="08163013">
        <w:fldChar w:fldCharType="end"/>
      </w:r>
      <w:r w:rsidR="08163013">
        <w:t xml:space="preserve"> </w:t>
      </w:r>
      <w:r w:rsidR="08163013" w:rsidRPr="00273106">
        <w:t xml:space="preserve">se stala zbytečná vzhledem k </w:t>
      </w:r>
      <w:r w:rsidR="08163013">
        <w:t xml:space="preserve">objektivně poznané </w:t>
      </w:r>
      <w:r w:rsidR="08163013" w:rsidRPr="00273106">
        <w:t xml:space="preserve">realitě dokázané skrze logický důkaz </w:t>
      </w:r>
      <w:r w:rsidR="08163013">
        <w:t xml:space="preserve">zrušení slunce v modu </w:t>
      </w:r>
      <w:r w:rsidR="08163013" w:rsidRPr="00273106">
        <w:rPr>
          <w:bCs/>
          <w:i/>
          <w:iCs/>
        </w:rPr>
        <w:t>reductio ad absurdum</w:t>
      </w:r>
      <w:r w:rsidR="08163013">
        <w:t>. Objektivní s</w:t>
      </w:r>
      <w:r w:rsidR="00CA22B3">
        <w:t>cholastik logicky zrušil reálný smysl světa</w:t>
      </w:r>
      <w:r w:rsidR="08163013">
        <w:t>, což je skutečně absu</w:t>
      </w:r>
      <w:r w:rsidR="00CA302F">
        <w:t>rdní a tím i moderně zcela evidetní</w:t>
      </w:r>
      <w:r w:rsidR="08163013">
        <w:t xml:space="preserve">. </w:t>
      </w:r>
      <w:r w:rsidR="0078514F">
        <w:t>Po zatmění první substance</w:t>
      </w:r>
      <w:r w:rsidR="0078514F">
        <w:fldChar w:fldCharType="begin"/>
      </w:r>
      <w:r w:rsidR="0078514F">
        <w:instrText xml:space="preserve"> XE "</w:instrText>
      </w:r>
      <w:r w:rsidR="0078514F" w:rsidRPr="00C27681">
        <w:instrText>zatmění</w:instrText>
      </w:r>
      <w:r w:rsidR="0078514F">
        <w:instrText>:</w:instrText>
      </w:r>
      <w:r w:rsidR="0078514F" w:rsidRPr="00C27681">
        <w:instrText>substance</w:instrText>
      </w:r>
      <w:r w:rsidR="0078514F">
        <w:instrText xml:space="preserve">" </w:instrText>
      </w:r>
      <w:r w:rsidR="0078514F">
        <w:fldChar w:fldCharType="end"/>
      </w:r>
      <w:r w:rsidR="0078514F">
        <w:t xml:space="preserve"> m</w:t>
      </w:r>
      <w:r w:rsidR="08163013">
        <w:t xml:space="preserve">odernisté </w:t>
      </w:r>
      <w:r w:rsidR="0078514F">
        <w:t xml:space="preserve">jako </w:t>
      </w:r>
      <w:r w:rsidR="08163013">
        <w:t>Scot</w:t>
      </w:r>
      <w:r w:rsidR="0078514F">
        <w:t xml:space="preserve">us </w:t>
      </w:r>
      <w:r w:rsidR="08163013">
        <w:t xml:space="preserve">a postmodernisté </w:t>
      </w:r>
      <w:r w:rsidR="0078514F">
        <w:t xml:space="preserve">jako </w:t>
      </w:r>
      <w:r w:rsidR="08163013">
        <w:t>Descart</w:t>
      </w:r>
      <w:r w:rsidR="0078514F">
        <w:t>es</w:t>
      </w:r>
      <w:r w:rsidR="08163013">
        <w:fldChar w:fldCharType="begin"/>
      </w:r>
      <w:r w:rsidR="08163013">
        <w:instrText xml:space="preserve"> XE "</w:instrText>
      </w:r>
      <w:r w:rsidR="08163013" w:rsidRPr="004146C6">
        <w:rPr>
          <w:rStyle w:val="addmd"/>
        </w:rPr>
        <w:instrText>Descartes, R.</w:instrText>
      </w:r>
      <w:r w:rsidR="08163013">
        <w:instrText xml:space="preserve">" </w:instrText>
      </w:r>
      <w:r w:rsidR="08163013">
        <w:fldChar w:fldCharType="end"/>
      </w:r>
      <w:r w:rsidR="08163013">
        <w:t xml:space="preserve"> pevně věří, že milosrdný bůh </w:t>
      </w:r>
      <w:r w:rsidR="08163013" w:rsidRPr="08C72D88">
        <w:rPr>
          <w:i/>
        </w:rPr>
        <w:t>Modernorum</w:t>
      </w:r>
      <w:r w:rsidR="08163013">
        <w:t xml:space="preserve"> je ne</w:t>
      </w:r>
      <w:r w:rsidR="00CB7D03">
        <w:t xml:space="preserve">ponechá </w:t>
      </w:r>
      <w:r w:rsidR="08163013">
        <w:t>v temnotě nerozumu</w:t>
      </w:r>
      <w:r w:rsidR="08163013" w:rsidRPr="00273106">
        <w:t xml:space="preserve">. </w:t>
      </w:r>
      <w:r w:rsidR="08163013">
        <w:t>Gnoseologické drama postmoderny začalo v momentu, kdy Nietzsche kompletně zrušil božské zásvětí moderní metafyziky. Pak už nihilistům posledních časů myšlení zbylo jen zrcadlo sebereflexivního vědomí individua, božské přírody, mystické evoluce</w:t>
      </w:r>
      <w:r w:rsidR="00BC6146">
        <w:fldChar w:fldCharType="begin"/>
      </w:r>
      <w:r w:rsidR="00BC6146">
        <w:instrText xml:space="preserve"> XE "</w:instrText>
      </w:r>
      <w:r w:rsidR="00BC6146" w:rsidRPr="00826988">
        <w:instrText>evoluce</w:instrText>
      </w:r>
      <w:r w:rsidR="00BC6146">
        <w:instrText xml:space="preserve">" </w:instrText>
      </w:r>
      <w:r w:rsidR="00BC6146">
        <w:fldChar w:fldCharType="end"/>
      </w:r>
      <w:r w:rsidR="08163013">
        <w:t xml:space="preserve"> </w:t>
      </w:r>
      <w:r w:rsidR="00D10F3B">
        <w:t xml:space="preserve">DNA </w:t>
      </w:r>
      <w:r w:rsidR="08163013">
        <w:t>a virtuálního bankovního konta.</w:t>
      </w:r>
    </w:p>
    <w:p w:rsidR="00D10F3B" w:rsidRDefault="08163013" w:rsidP="08163013">
      <w:r>
        <w:tab/>
      </w:r>
      <w:r>
        <w:rPr>
          <w:rFonts w:cs="TimesNewRomanPSMT"/>
          <w:szCs w:val="24"/>
        </w:rPr>
        <w:t xml:space="preserve">Vraťme se ke Scotově </w:t>
      </w:r>
      <w:r w:rsidRPr="006E76E7">
        <w:rPr>
          <w:rFonts w:cs="TimesNewRomanPSMT"/>
          <w:i/>
          <w:szCs w:val="24"/>
        </w:rPr>
        <w:t>epoché</w:t>
      </w:r>
      <w:r>
        <w:rPr>
          <w:rFonts w:cs="TimesNewRomanPSMT"/>
          <w:szCs w:val="24"/>
        </w:rPr>
        <w:t xml:space="preserve">, která nastolila první verzi moderní metafyziky v modu </w:t>
      </w:r>
      <w:r w:rsidRPr="00505FCC">
        <w:rPr>
          <w:rFonts w:cs="TimesNewRomanPSMT"/>
          <w:i/>
          <w:szCs w:val="24"/>
        </w:rPr>
        <w:t>Oxfordian Fallacy</w:t>
      </w:r>
      <w:r>
        <w:rPr>
          <w:rFonts w:cs="TimesNewRomanPSMT"/>
          <w:i/>
          <w:szCs w:val="24"/>
        </w:rPr>
        <w:fldChar w:fldCharType="begin"/>
      </w:r>
      <w:r>
        <w:instrText xml:space="preserve"> XE "</w:instrText>
      </w:r>
      <w:r w:rsidRPr="0015798D">
        <w:rPr>
          <w:i/>
        </w:rPr>
        <w:instrText>Oxfordian Fallacy:</w:instrText>
      </w:r>
      <w:r w:rsidRPr="006F3BDD">
        <w:instrText>Scotus</w:instrText>
      </w:r>
      <w:r>
        <w:instrText xml:space="preserve">" </w:instrText>
      </w:r>
      <w:r>
        <w:rPr>
          <w:rFonts w:cs="TimesNewRomanPSMT"/>
          <w:i/>
          <w:szCs w:val="24"/>
        </w:rPr>
        <w:fldChar w:fldCharType="end"/>
      </w:r>
      <w:r>
        <w:rPr>
          <w:rFonts w:cs="TimesNewRomanPSMT"/>
          <w:szCs w:val="24"/>
        </w:rPr>
        <w:t xml:space="preserve">. </w:t>
      </w:r>
      <w:r>
        <w:t xml:space="preserve">Objektivní sféra jsoucna není dána v modu aktuální substance, což měl Gandavus v modu </w:t>
      </w:r>
      <w:r>
        <w:rPr>
          <w:i/>
        </w:rPr>
        <w:t>es</w:t>
      </w:r>
      <w:r w:rsidRPr="08574A64">
        <w:rPr>
          <w:i/>
        </w:rPr>
        <w:t>se ad</w:t>
      </w:r>
      <w:r>
        <w:t xml:space="preserve">.  Scotus vytvořil novou </w:t>
      </w:r>
      <w:r w:rsidR="00962190">
        <w:rPr>
          <w:i/>
        </w:rPr>
        <w:t>species</w:t>
      </w:r>
      <w:r>
        <w:t xml:space="preserve"> třetího druhu oddělenou od boha, která má vlastní kauzalitu zajišťující pravdivý průběh poznání. </w:t>
      </w:r>
      <w:r w:rsidR="00E54F7A" w:rsidRPr="00E54F7A">
        <w:t xml:space="preserve">Slunce </w:t>
      </w:r>
      <w:r w:rsidR="00E54F7A">
        <w:t>může zmizet,</w:t>
      </w:r>
      <w:r w:rsidR="00E54F7A" w:rsidRPr="00E54F7A">
        <w:t xml:space="preserve"> ale objektivně daná božská racionalita nemůže nikdy zmizet, pro</w:t>
      </w:r>
      <w:r w:rsidR="00E54F7A">
        <w:t>tože je přímým důsledkem boží esence</w:t>
      </w:r>
      <w:r w:rsidR="00E54F7A" w:rsidRPr="00E54F7A">
        <w:t>.</w:t>
      </w:r>
      <w:r w:rsidR="006C2BBE">
        <w:t xml:space="preserve"> </w:t>
      </w:r>
      <w:r>
        <w:t xml:space="preserve">Tím vznikla nová verze slunečního mýtu pro objektivně osvícenou, leč reálně slepou modernu. </w:t>
      </w:r>
      <w:r w:rsidR="006C2BBE">
        <w:t>Plně i</w:t>
      </w:r>
      <w:r>
        <w:t xml:space="preserve">nteligibilní </w:t>
      </w:r>
      <w:r w:rsidR="006C2BBE">
        <w:t>moderní bůh přímo působí</w:t>
      </w:r>
      <w:r>
        <w:t xml:space="preserve"> v našem vědomí</w:t>
      </w:r>
      <w:r w:rsidR="006C2BBE">
        <w:t xml:space="preserve">, což je naprostý nesmysl, ale objektivně nutný nesmysl. Moderna a následující epochy vidí „svět“ </w:t>
      </w:r>
      <w:r>
        <w:t xml:space="preserve">v objektivním modu </w:t>
      </w:r>
      <w:r w:rsidRPr="085435EB">
        <w:rPr>
          <w:i/>
        </w:rPr>
        <w:t>credo quia absurdum</w:t>
      </w:r>
      <w:r w:rsidR="006C2BBE">
        <w:t xml:space="preserve">. Evidentní poznání </w:t>
      </w:r>
      <w:r w:rsidR="00FC1511">
        <w:t>paranoických i</w:t>
      </w:r>
      <w:r w:rsidR="006C2BBE">
        <w:t>luminátů nepotřebuje existenci</w:t>
      </w:r>
      <w:r>
        <w:t xml:space="preserve"> reálného světa</w:t>
      </w:r>
      <w:r w:rsidR="00A134B8">
        <w:t xml:space="preserve">. </w:t>
      </w:r>
      <w:r w:rsidR="00DD6EFA">
        <w:t>Reálné s</w:t>
      </w:r>
      <w:r w:rsidR="00A134B8">
        <w:t>větlo mohou</w:t>
      </w:r>
      <w:r>
        <w:t xml:space="preserve"> </w:t>
      </w:r>
      <w:r w:rsidR="00270C7D">
        <w:lastRenderedPageBreak/>
        <w:t xml:space="preserve">objektivně </w:t>
      </w:r>
      <w:r>
        <w:t xml:space="preserve">pravdivě poznat skrze hypostázovaná </w:t>
      </w:r>
      <w:r w:rsidR="00962190" w:rsidRPr="006C2BBE">
        <w:t>species</w:t>
      </w:r>
      <w:r>
        <w:t xml:space="preserve">, což poprvé zavedl Rufusův analytický výklad </w:t>
      </w:r>
      <w:r w:rsidRPr="08253A79">
        <w:rPr>
          <w:i/>
        </w:rPr>
        <w:t>Druhých analytik</w:t>
      </w:r>
      <w:r>
        <w:t xml:space="preserve"> na Oxfordu. </w:t>
      </w:r>
      <w:r w:rsidRPr="00273106">
        <w:t xml:space="preserve">Objektivní podoba </w:t>
      </w:r>
      <w:r w:rsidR="00962190" w:rsidRPr="008D15A4">
        <w:t>species</w:t>
      </w:r>
      <w:r w:rsidRPr="00273106">
        <w:t xml:space="preserve"> není dána ve smyslové paměti, jak to předpokládal první averroismus</w:t>
      </w:r>
      <w:r>
        <w:t xml:space="preserve"> v pojmu </w:t>
      </w:r>
      <w:r w:rsidR="00962190">
        <w:rPr>
          <w:i/>
        </w:rPr>
        <w:t>species</w:t>
      </w:r>
      <w:r w:rsidRPr="00273106">
        <w:rPr>
          <w:i/>
        </w:rPr>
        <w:t xml:space="preserve"> sensibilis</w:t>
      </w:r>
      <w:r>
        <w:rPr>
          <w:i/>
        </w:rPr>
        <w:fldChar w:fldCharType="begin"/>
      </w:r>
      <w:r>
        <w:instrText xml:space="preserve"> XE "</w:instrText>
      </w:r>
      <w:r w:rsidRPr="00374FA1">
        <w:rPr>
          <w:i/>
        </w:rPr>
        <w:instrText>species sensibilis</w:instrText>
      </w:r>
      <w:r>
        <w:instrText xml:space="preserve">" </w:instrText>
      </w:r>
      <w:r>
        <w:rPr>
          <w:i/>
        </w:rPr>
        <w:fldChar w:fldCharType="end"/>
      </w:r>
      <w:r w:rsidRPr="00273106">
        <w:t xml:space="preserve">. </w:t>
      </w:r>
      <w:r>
        <w:t xml:space="preserve">Moderní </w:t>
      </w:r>
      <w:r w:rsidR="00962190" w:rsidRPr="008D15A4">
        <w:t>species</w:t>
      </w:r>
      <w:r w:rsidRPr="00273106">
        <w:t xml:space="preserve"> jako jsoucno třetího dr</w:t>
      </w:r>
      <w:r>
        <w:t xml:space="preserve">uhu musí být vyvázáno </w:t>
      </w:r>
      <w:r w:rsidRPr="00273106">
        <w:t>ze smyslové abstrakce, protože má objektivní charakter oddělený od sm</w:t>
      </w:r>
      <w:r>
        <w:t>yslové zkušenosti aktuální věci</w:t>
      </w:r>
      <w:r w:rsidRPr="00273106">
        <w:t xml:space="preserve">. </w:t>
      </w:r>
      <w:r>
        <w:t xml:space="preserve">Dedukce daná </w:t>
      </w:r>
      <w:r w:rsidR="008D15A4">
        <w:t>„</w:t>
      </w:r>
      <w:r>
        <w:t>silou absurdna</w:t>
      </w:r>
      <w:r w:rsidR="008D15A4">
        <w:t>“ (S. Kierkegaard)</w:t>
      </w:r>
      <w:r>
        <w:t xml:space="preserve"> </w:t>
      </w:r>
      <w:r w:rsidRPr="00273106">
        <w:t>obešla a</w:t>
      </w:r>
      <w:r>
        <w:t>ktualitu první substance</w:t>
      </w:r>
      <w:r w:rsidR="008372EC">
        <w:t>. K</w:t>
      </w:r>
      <w:r>
        <w:t xml:space="preserve">lasická filosofie </w:t>
      </w:r>
      <w:r w:rsidR="008372EC">
        <w:t xml:space="preserve">ji </w:t>
      </w:r>
      <w:r>
        <w:t xml:space="preserve">poznávala nejprve smyslově a pak predikovala </w:t>
      </w:r>
      <w:r w:rsidRPr="00273106">
        <w:t>kategoriálně</w:t>
      </w:r>
      <w:r>
        <w:t xml:space="preserve"> v modu aristotelské impozice</w:t>
      </w:r>
      <w:r w:rsidRPr="00273106">
        <w:t xml:space="preserve">. </w:t>
      </w:r>
      <w:r>
        <w:t xml:space="preserve">Nová realita je dedukována </w:t>
      </w:r>
      <w:r w:rsidRPr="08974C43">
        <w:rPr>
          <w:i/>
        </w:rPr>
        <w:t>per absurdum</w:t>
      </w:r>
      <w:r>
        <w:t xml:space="preserve"> na základě</w:t>
      </w:r>
      <w:r w:rsidRPr="00273106">
        <w:t xml:space="preserve"> </w:t>
      </w:r>
      <w:r>
        <w:t xml:space="preserve">hypotetického, ale zcela logického popisu </w:t>
      </w:r>
      <w:r w:rsidRPr="00273106">
        <w:t>boží</w:t>
      </w:r>
      <w:r w:rsidR="00CD7026">
        <w:t xml:space="preserve"> mysli. Hypotetické species </w:t>
      </w:r>
      <w:r w:rsidR="00CD7026" w:rsidRPr="00CD7026">
        <w:t xml:space="preserve">světla může modernista rozpoznat přímo ve svém myšlení. Takto odvozený objektivní a univerzální způsob </w:t>
      </w:r>
      <w:r w:rsidR="00CD7026">
        <w:t xml:space="preserve">esence má </w:t>
      </w:r>
      <w:r w:rsidR="00CD7026" w:rsidRPr="00CD7026">
        <w:rPr>
          <w:i/>
        </w:rPr>
        <w:t>univoce</w:t>
      </w:r>
      <w:r w:rsidR="00CD7026" w:rsidRPr="00CD7026">
        <w:t xml:space="preserve"> daný smysl. </w:t>
      </w:r>
      <w:r w:rsidR="00CD7026">
        <w:t>Ten vyplývá</w:t>
      </w:r>
      <w:r w:rsidR="00CD7026" w:rsidRPr="00CD7026">
        <w:t xml:space="preserve"> z přímo zakoušené božské kauzality, která si z</w:t>
      </w:r>
      <w:r w:rsidR="00CD7026">
        <w:t xml:space="preserve">achovává univerzální charakter. </w:t>
      </w:r>
      <w:r w:rsidR="00FF7EA9">
        <w:t xml:space="preserve">Této paranoické metafyzice </w:t>
      </w:r>
      <w:r>
        <w:t xml:space="preserve">je úplně jedno, jestli světlo reálně existuje nebo neexistuje. Stačí, když bůh slunce myslí a my jeho myšlení se stejnou jistotou víme a poznáváme. Objektivně myšlené slunce nenahradí fyzikální působení slunce, ale zajistí jeho primární poznatelnou substanci danou objektivně. </w:t>
      </w:r>
      <w:r w:rsidRPr="00273106">
        <w:t xml:space="preserve">Scotus tematizoval </w:t>
      </w:r>
      <w:r w:rsidR="004E27E3">
        <w:t xml:space="preserve">objektivní </w:t>
      </w:r>
      <w:r>
        <w:t>poznání boha a světa, které nepotřebuje smyslová</w:t>
      </w:r>
      <w:r w:rsidRPr="00273106">
        <w:t xml:space="preserve"> </w:t>
      </w:r>
      <w:r w:rsidR="00962190">
        <w:rPr>
          <w:i/>
        </w:rPr>
        <w:t>species</w:t>
      </w:r>
      <w:r>
        <w:t xml:space="preserve">. Na </w:t>
      </w:r>
      <w:r w:rsidRPr="00273106">
        <w:t>úrovni univočního koncept</w:t>
      </w:r>
      <w:r>
        <w:t>u jsoucna se</w:t>
      </w:r>
      <w:r w:rsidR="00D10F3B">
        <w:t xml:space="preserve"> poznává </w:t>
      </w:r>
      <w:r w:rsidR="00510CB0">
        <w:t xml:space="preserve">třetí </w:t>
      </w:r>
      <w:r w:rsidR="00D10F3B">
        <w:t>svět zcela objektivně.</w:t>
      </w:r>
    </w:p>
    <w:p w:rsidR="001345CA" w:rsidRDefault="08163013" w:rsidP="00E566A9">
      <w:pPr>
        <w:ind w:firstLine="397"/>
      </w:pPr>
      <w:r w:rsidRPr="00273106">
        <w:t>Nová teorie poznání vystupuje proti pojetí</w:t>
      </w:r>
      <w:r>
        <w:t xml:space="preserve"> intencionality, kterou měl </w:t>
      </w:r>
      <w:r w:rsidRPr="00273106">
        <w:t>první averroismus</w:t>
      </w:r>
      <w:r>
        <w:fldChar w:fldCharType="begin"/>
      </w:r>
      <w:r>
        <w:instrText xml:space="preserve"> XE "</w:instrText>
      </w:r>
      <w:r w:rsidRPr="001623DF">
        <w:instrText>první averroismus:Blund</w:instrText>
      </w:r>
      <w:r>
        <w:instrText xml:space="preserve">" </w:instrText>
      </w:r>
      <w:r>
        <w:fldChar w:fldCharType="end"/>
      </w:r>
      <w:r w:rsidRPr="00273106">
        <w:t xml:space="preserve"> Johna Blunda (</w:t>
      </w:r>
      <w:r w:rsidR="00B6785F">
        <w:t>OBJ II, kap. 2</w:t>
      </w:r>
      <w:r w:rsidR="00AD5735">
        <w:t xml:space="preserve">.1). </w:t>
      </w:r>
      <w:r w:rsidR="000D19DA">
        <w:t xml:space="preserve">Nová forma </w:t>
      </w:r>
      <w:r w:rsidR="000D19DA" w:rsidRPr="00F719F8">
        <w:rPr>
          <w:i/>
        </w:rPr>
        <w:t>species intelligibilis</w:t>
      </w:r>
      <w:r w:rsidR="0027290A">
        <w:rPr>
          <w:i/>
          <w:szCs w:val="24"/>
        </w:rPr>
        <w:fldChar w:fldCharType="begin"/>
      </w:r>
      <w:r w:rsidR="0027290A">
        <w:instrText xml:space="preserve"> XE "</w:instrText>
      </w:r>
      <w:r w:rsidR="0027290A" w:rsidRPr="001C034C">
        <w:rPr>
          <w:i/>
          <w:szCs w:val="24"/>
        </w:rPr>
        <w:instrText>species intelligibilis</w:instrText>
      </w:r>
      <w:r w:rsidR="0027290A" w:rsidRPr="00290339">
        <w:rPr>
          <w:szCs w:val="24"/>
        </w:rPr>
        <w:instrText>:Scotus</w:instrText>
      </w:r>
      <w:r w:rsidR="0027290A">
        <w:instrText xml:space="preserve">" </w:instrText>
      </w:r>
      <w:r w:rsidR="0027290A">
        <w:rPr>
          <w:i/>
          <w:szCs w:val="24"/>
        </w:rPr>
        <w:fldChar w:fldCharType="end"/>
      </w:r>
      <w:r w:rsidR="000D19DA">
        <w:t xml:space="preserve"> </w:t>
      </w:r>
      <w:r w:rsidR="00237EC2">
        <w:t xml:space="preserve">nahradila bývalý </w:t>
      </w:r>
      <w:r w:rsidR="00237EC2" w:rsidRPr="00237EC2">
        <w:rPr>
          <w:i/>
        </w:rPr>
        <w:t>species sensibilis</w:t>
      </w:r>
      <w:r w:rsidR="00237EC2">
        <w:t xml:space="preserve"> tím, že založila první intenci</w:t>
      </w:r>
      <w:r w:rsidRPr="00273106">
        <w:t xml:space="preserve"> </w:t>
      </w:r>
      <w:r>
        <w:t xml:space="preserve">minimálního jsoucna objektivně danou jako </w:t>
      </w:r>
      <w:r w:rsidR="00237EC2">
        <w:t>„</w:t>
      </w:r>
      <w:r w:rsidR="00962190">
        <w:rPr>
          <w:i/>
        </w:rPr>
        <w:t>species</w:t>
      </w:r>
      <w:r w:rsidRPr="00273106">
        <w:t xml:space="preserve"> </w:t>
      </w:r>
      <w:r w:rsidRPr="00273106">
        <w:rPr>
          <w:i/>
        </w:rPr>
        <w:t>tantum</w:t>
      </w:r>
      <w:r w:rsidR="00237EC2">
        <w:t xml:space="preserve">“. Toto objektivní species vytvořilo novou formu donace jsoucna v modu </w:t>
      </w:r>
      <w:r w:rsidR="00986851" w:rsidRPr="00986851">
        <w:rPr>
          <w:i/>
        </w:rPr>
        <w:t>dativus obiectivus</w:t>
      </w:r>
      <w:r w:rsidR="0027290A">
        <w:rPr>
          <w:i/>
        </w:rPr>
        <w:fldChar w:fldCharType="begin"/>
      </w:r>
      <w:r w:rsidR="0027290A">
        <w:instrText xml:space="preserve"> XE "</w:instrText>
      </w:r>
      <w:r w:rsidR="0027290A" w:rsidRPr="00D8730A">
        <w:rPr>
          <w:i/>
        </w:rPr>
        <w:instrText>dativus obiectivus</w:instrText>
      </w:r>
      <w:r w:rsidR="0027290A">
        <w:instrText xml:space="preserve">" </w:instrText>
      </w:r>
      <w:r w:rsidR="0027290A">
        <w:rPr>
          <w:i/>
        </w:rPr>
        <w:fldChar w:fldCharType="end"/>
      </w:r>
      <w:r w:rsidR="00237EC2">
        <w:t xml:space="preserve">, která pochází výlučně z paranoického </w:t>
      </w:r>
      <w:r w:rsidR="00986851">
        <w:t>mod</w:t>
      </w:r>
      <w:r w:rsidR="00237EC2">
        <w:t>ern</w:t>
      </w:r>
      <w:r w:rsidR="00986851">
        <w:t>ího subjektu. V</w:t>
      </w:r>
      <w:r w:rsidR="00237EC2">
        <w:t xml:space="preserve">e druhém kroku nová škola </w:t>
      </w:r>
      <w:r w:rsidR="00986851">
        <w:rPr>
          <w:i/>
        </w:rPr>
        <w:t>sophista</w:t>
      </w:r>
      <w:r w:rsidR="00237EC2" w:rsidRPr="00986851">
        <w:rPr>
          <w:i/>
        </w:rPr>
        <w:t>e Latini</w:t>
      </w:r>
      <w:r w:rsidR="00237EC2">
        <w:t xml:space="preserve"> </w:t>
      </w:r>
      <w:r w:rsidR="00986851">
        <w:t xml:space="preserve">vedená Scotem </w:t>
      </w:r>
      <w:r w:rsidR="00237EC2">
        <w:t>prove</w:t>
      </w:r>
      <w:r w:rsidR="00986851">
        <w:t>dla</w:t>
      </w:r>
      <w:r w:rsidR="00237EC2">
        <w:t xml:space="preserve"> zcela </w:t>
      </w:r>
      <w:r w:rsidR="00986851">
        <w:t xml:space="preserve">epochálně nové </w:t>
      </w:r>
      <w:r w:rsidR="00237EC2">
        <w:t xml:space="preserve">přivlastnění jsoucna v modu </w:t>
      </w:r>
      <w:r w:rsidR="00237EC2" w:rsidRPr="00237EC2">
        <w:rPr>
          <w:i/>
        </w:rPr>
        <w:t>dativus possessivus</w:t>
      </w:r>
      <w:r w:rsidR="0027290A">
        <w:rPr>
          <w:i/>
        </w:rPr>
        <w:fldChar w:fldCharType="begin"/>
      </w:r>
      <w:r w:rsidR="0027290A">
        <w:instrText xml:space="preserve"> XE "</w:instrText>
      </w:r>
      <w:r w:rsidR="0027290A" w:rsidRPr="00247727">
        <w:rPr>
          <w:i/>
        </w:rPr>
        <w:instrText>dativus possessivus</w:instrText>
      </w:r>
      <w:r w:rsidR="0027290A">
        <w:instrText xml:space="preserve">" </w:instrText>
      </w:r>
      <w:r w:rsidR="0027290A">
        <w:rPr>
          <w:i/>
        </w:rPr>
        <w:fldChar w:fldCharType="end"/>
      </w:r>
      <w:r w:rsidR="00237EC2">
        <w:t xml:space="preserve">. </w:t>
      </w:r>
      <w:r w:rsidR="00986851">
        <w:t>Výše uvedená objektivní intence minimálního jsoucna jako objektivní „druhé substance“ (</w:t>
      </w:r>
      <w:r w:rsidR="00986851" w:rsidRPr="00F719F8">
        <w:rPr>
          <w:i/>
        </w:rPr>
        <w:t>species intelligibilis</w:t>
      </w:r>
      <w:r w:rsidR="00986851" w:rsidRPr="00986851">
        <w:rPr>
          <w:i/>
          <w:vertAlign w:val="superscript"/>
        </w:rPr>
        <w:t>1</w:t>
      </w:r>
      <w:r w:rsidR="00986851">
        <w:t>) si přivlastnila druhou aristotelskou intencionalitu (</w:t>
      </w:r>
      <w:r w:rsidR="00986851" w:rsidRPr="00F719F8">
        <w:rPr>
          <w:i/>
        </w:rPr>
        <w:t>species intelligibilis</w:t>
      </w:r>
      <w:r w:rsidR="00986851">
        <w:rPr>
          <w:i/>
          <w:vertAlign w:val="superscript"/>
        </w:rPr>
        <w:t>2</w:t>
      </w:r>
      <w:r w:rsidR="00986851">
        <w:t xml:space="preserve">). Aristotelismus vytváří </w:t>
      </w:r>
      <w:r w:rsidR="00986851" w:rsidRPr="00F719F8">
        <w:rPr>
          <w:i/>
        </w:rPr>
        <w:t>species intelligibilis</w:t>
      </w:r>
      <w:r w:rsidR="00986851">
        <w:t xml:space="preserve"> skrze smyslově založenou abstrakci, která vystupuje jako dvojí </w:t>
      </w:r>
      <w:r w:rsidR="00986851" w:rsidRPr="00774DE0">
        <w:rPr>
          <w:i/>
        </w:rPr>
        <w:t>diaphanum</w:t>
      </w:r>
      <w:r w:rsidR="00986851">
        <w:t xml:space="preserve"> nejprve do představivosti a pak do </w:t>
      </w:r>
      <w:r w:rsidR="00986851" w:rsidRPr="00986851">
        <w:rPr>
          <w:i/>
        </w:rPr>
        <w:t>intellectus possibilis</w:t>
      </w:r>
      <w:r w:rsidR="00986851">
        <w:t>.</w:t>
      </w:r>
      <w:r w:rsidR="00774DE0">
        <w:t xml:space="preserve"> Schéma poznání</w:t>
      </w:r>
      <w:r w:rsidR="00986851">
        <w:t xml:space="preserve"> podle prvního averroismu je nyní zbytečné</w:t>
      </w:r>
      <w:r w:rsidR="00774DE0">
        <w:t>. P</w:t>
      </w:r>
      <w:r w:rsidR="00986851">
        <w:t xml:space="preserve">římé poznání univerzální boží kauzality </w:t>
      </w:r>
      <w:r w:rsidR="00774DE0">
        <w:t xml:space="preserve">okamžitě v prvním kroku </w:t>
      </w:r>
      <w:r w:rsidR="00986851">
        <w:t xml:space="preserve">produkuje </w:t>
      </w:r>
      <w:r w:rsidR="00986851" w:rsidRPr="00F719F8">
        <w:rPr>
          <w:i/>
        </w:rPr>
        <w:t>species intelligibilis</w:t>
      </w:r>
      <w:r w:rsidR="00986851" w:rsidRPr="00986851">
        <w:rPr>
          <w:i/>
          <w:vertAlign w:val="superscript"/>
        </w:rPr>
        <w:t>1</w:t>
      </w:r>
      <w:r w:rsidR="00986851">
        <w:t xml:space="preserve">. Tato </w:t>
      </w:r>
      <w:r w:rsidR="00774DE0">
        <w:t>eidetická</w:t>
      </w:r>
      <w:r w:rsidR="00986851">
        <w:t xml:space="preserve"> intuice „druhé substance“ pak </w:t>
      </w:r>
      <w:r w:rsidR="00774DE0">
        <w:lastRenderedPageBreak/>
        <w:t>zakládá kategoriální pre</w:t>
      </w:r>
      <w:r w:rsidR="00986851">
        <w:t xml:space="preserve">dikaci, která si přivlastňuje aristotelské </w:t>
      </w:r>
      <w:r w:rsidR="00986851" w:rsidRPr="00F719F8">
        <w:rPr>
          <w:i/>
        </w:rPr>
        <w:t>species intelligibilis</w:t>
      </w:r>
      <w:r w:rsidR="00986851">
        <w:rPr>
          <w:i/>
          <w:vertAlign w:val="superscript"/>
        </w:rPr>
        <w:t>2</w:t>
      </w:r>
      <w:r w:rsidR="00986851">
        <w:t xml:space="preserve">. </w:t>
      </w:r>
      <w:r w:rsidR="009C116A">
        <w:t xml:space="preserve">Scotus opakuje </w:t>
      </w:r>
      <w:r w:rsidR="00986851">
        <w:t>Grossesteho postup vědeckého důkazu od intuice (</w:t>
      </w:r>
      <w:r w:rsidR="00986851" w:rsidRPr="00986851">
        <w:rPr>
          <w:i/>
        </w:rPr>
        <w:t>intellectus</w:t>
      </w:r>
      <w:r w:rsidR="00986851">
        <w:t>) prvních principů v</w:t>
      </w:r>
      <w:r w:rsidR="00576E1E">
        <w:t> </w:t>
      </w:r>
      <w:r w:rsidR="00986851">
        <w:t>avicennovském</w:t>
      </w:r>
      <w:r w:rsidR="00576E1E">
        <w:t xml:space="preserve"> hypostázovaném </w:t>
      </w:r>
      <w:r w:rsidR="00986851">
        <w:t>intelektu k aristotelské vědě založené smyslovou abstrakcí (</w:t>
      </w:r>
      <w:r w:rsidR="00986851" w:rsidRPr="00986851">
        <w:rPr>
          <w:i/>
        </w:rPr>
        <w:t>scientia</w:t>
      </w:r>
      <w:r w:rsidR="00986851">
        <w:t>).</w:t>
      </w:r>
      <w:r w:rsidR="00AD5735">
        <w:t xml:space="preserve"> </w:t>
      </w:r>
      <w:r w:rsidRPr="00273106">
        <w:t xml:space="preserve">Rozdíl </w:t>
      </w:r>
      <w:r>
        <w:t>mezi objektivní</w:t>
      </w:r>
      <w:r w:rsidR="006E52EA">
        <w:t>mi</w:t>
      </w:r>
      <w:r>
        <w:t xml:space="preserve"> </w:t>
      </w:r>
      <w:r w:rsidR="00962190" w:rsidRPr="00EF04C4">
        <w:t>species</w:t>
      </w:r>
      <w:r>
        <w:t xml:space="preserve"> dedukovan</w:t>
      </w:r>
      <w:r w:rsidR="006E52EA">
        <w:t>ými</w:t>
      </w:r>
      <w:r>
        <w:t xml:space="preserve"> </w:t>
      </w:r>
      <w:r w:rsidR="006E52EA" w:rsidRPr="08213044">
        <w:rPr>
          <w:i/>
        </w:rPr>
        <w:t>per absurdum</w:t>
      </w:r>
      <w:r w:rsidR="006E52EA">
        <w:t xml:space="preserve"> </w:t>
      </w:r>
      <w:r>
        <w:t>ve Scotově metaf</w:t>
      </w:r>
      <w:r w:rsidR="006E52EA">
        <w:t>yzice</w:t>
      </w:r>
      <w:r>
        <w:t xml:space="preserve"> </w:t>
      </w:r>
      <w:r w:rsidR="006E52EA">
        <w:t xml:space="preserve">a aristotelskými </w:t>
      </w:r>
      <w:r w:rsidR="00962190" w:rsidRPr="00EF04C4">
        <w:t>species</w:t>
      </w:r>
      <w:r>
        <w:t xml:space="preserve"> </w:t>
      </w:r>
      <w:r w:rsidR="006E52EA">
        <w:t xml:space="preserve">danými </w:t>
      </w:r>
      <w:r>
        <w:t xml:space="preserve">skrze abstrakci z reality má pro hermeneutiku zásadní význam. </w:t>
      </w:r>
      <w:r w:rsidR="00E566A9" w:rsidRPr="005D7C95">
        <w:t xml:space="preserve">Scotus ví, že kauzalita světa leží mimo lidský intelekt, jinak by naše poznání mělo pouze chimérický charakter. </w:t>
      </w:r>
      <w:r w:rsidR="002E45D1">
        <w:t>V objektivní</w:t>
      </w:r>
      <w:r w:rsidRPr="00273106">
        <w:t xml:space="preserve"> </w:t>
      </w:r>
      <w:r w:rsidR="00962190" w:rsidRPr="00EF04C4">
        <w:t>species</w:t>
      </w:r>
      <w:r w:rsidRPr="00273106">
        <w:t xml:space="preserve"> </w:t>
      </w:r>
      <w:r w:rsidR="002E45D1">
        <w:t>kamene, kterou</w:t>
      </w:r>
      <w:r>
        <w:t xml:space="preserve"> indenduje bůh, </w:t>
      </w:r>
      <w:r w:rsidRPr="00273106">
        <w:t xml:space="preserve">jsou </w:t>
      </w:r>
      <w:r>
        <w:t xml:space="preserve">v porretánském modu </w:t>
      </w:r>
      <w:r w:rsidR="00EF04C4">
        <w:t>„</w:t>
      </w:r>
      <w:r w:rsidRPr="08D73E50">
        <w:rPr>
          <w:i/>
        </w:rPr>
        <w:t>semel‒semper</w:t>
      </w:r>
      <w:r w:rsidR="00EF04C4">
        <w:t>“</w:t>
      </w:r>
      <w:r>
        <w:rPr>
          <w:i/>
        </w:rPr>
        <w:fldChar w:fldCharType="begin"/>
      </w:r>
      <w:r>
        <w:instrText xml:space="preserve"> XE "</w:instrText>
      </w:r>
      <w:r w:rsidRPr="08C22E9C">
        <w:instrText>predikace</w:instrText>
      </w:r>
      <w:r w:rsidRPr="08787FF7">
        <w:rPr>
          <w:i/>
        </w:rPr>
        <w:instrText>:semel‒semper</w:instrText>
      </w:r>
      <w:r>
        <w:instrText xml:space="preserve">" </w:instrText>
      </w:r>
      <w:r>
        <w:rPr>
          <w:i/>
        </w:rPr>
        <w:fldChar w:fldCharType="end"/>
      </w:r>
      <w:r w:rsidR="002D6AF0">
        <w:t xml:space="preserve"> </w:t>
      </w:r>
      <w:r w:rsidR="002D6AF0" w:rsidRPr="002D6AF0">
        <w:t>zahrnuty všechny objektivně dané vlastnosti, k</w:t>
      </w:r>
      <w:r w:rsidR="002D6AF0">
        <w:t>teré „</w:t>
      </w:r>
      <w:r w:rsidR="002D6AF0" w:rsidRPr="002D6AF0">
        <w:t>ex</w:t>
      </w:r>
      <w:r w:rsidR="002D6AF0">
        <w:t>sistují“</w:t>
      </w:r>
      <w:r w:rsidR="002D6AF0" w:rsidRPr="002D6AF0">
        <w:t xml:space="preserve"> nezávisl</w:t>
      </w:r>
      <w:r w:rsidR="002D6AF0">
        <w:t xml:space="preserve">e na reálně existujícím kameni. </w:t>
      </w:r>
      <w:r w:rsidRPr="00273106">
        <w:t xml:space="preserve">Objektivní </w:t>
      </w:r>
      <w:r w:rsidR="00962190" w:rsidRPr="00EF04C4">
        <w:t>species</w:t>
      </w:r>
      <w:r w:rsidRPr="00273106">
        <w:t xml:space="preserve"> dané ve formě kategoriální kvazi</w:t>
      </w:r>
      <w:r w:rsidRPr="00273106">
        <w:noBreakHyphen/>
        <w:t xml:space="preserve">substance </w:t>
      </w:r>
      <w:r>
        <w:t xml:space="preserve">podle Avicennovy </w:t>
      </w:r>
      <w:r w:rsidR="002D48DA">
        <w:t>„</w:t>
      </w:r>
      <w:r w:rsidRPr="00206567">
        <w:rPr>
          <w:i/>
        </w:rPr>
        <w:t>equinitas tantum</w:t>
      </w:r>
      <w:r w:rsidR="002D48DA">
        <w:t>“</w:t>
      </w:r>
      <w:r>
        <w:rPr>
          <w:i/>
        </w:rPr>
        <w:fldChar w:fldCharType="begin"/>
      </w:r>
      <w:r>
        <w:instrText xml:space="preserve"> XE "</w:instrText>
      </w:r>
      <w:r w:rsidRPr="009F1E3B">
        <w:rPr>
          <w:i/>
        </w:rPr>
        <w:instrText>equinitas tantum</w:instrText>
      </w:r>
      <w:r>
        <w:instrText xml:space="preserve">" </w:instrText>
      </w:r>
      <w:r>
        <w:rPr>
          <w:i/>
        </w:rPr>
        <w:fldChar w:fldCharType="end"/>
      </w:r>
      <w:r>
        <w:t xml:space="preserve"> </w:t>
      </w:r>
      <w:r w:rsidR="005046E4">
        <w:t>pak vstupují do kategoriální pre</w:t>
      </w:r>
      <w:r w:rsidR="005046E4" w:rsidRPr="005046E4">
        <w:t>dikace</w:t>
      </w:r>
      <w:r w:rsidR="005046E4">
        <w:t xml:space="preserve"> a z</w:t>
      </w:r>
      <w:r w:rsidR="005046E4" w:rsidRPr="005046E4">
        <w:t xml:space="preserve">akládají moderní vědu </w:t>
      </w:r>
      <w:r w:rsidR="005046E4">
        <w:t xml:space="preserve">danou </w:t>
      </w:r>
      <w:r w:rsidR="005046E4" w:rsidRPr="005046E4">
        <w:rPr>
          <w:i/>
        </w:rPr>
        <w:t>ex nihilo</w:t>
      </w:r>
      <w:r w:rsidR="005046E4">
        <w:t>. D</w:t>
      </w:r>
      <w:r>
        <w:t xml:space="preserve">eduktivní spojení mysli </w:t>
      </w:r>
      <w:r w:rsidR="005046E4">
        <w:t xml:space="preserve">iluminátů </w:t>
      </w:r>
      <w:r>
        <w:t xml:space="preserve">a </w:t>
      </w:r>
      <w:r w:rsidR="005046E4">
        <w:t xml:space="preserve">moderního </w:t>
      </w:r>
      <w:r>
        <w:t xml:space="preserve">boha zajišťuje dogmatický důkaz světa </w:t>
      </w:r>
      <w:r w:rsidR="00F07D14">
        <w:t xml:space="preserve">podaný </w:t>
      </w:r>
      <w:r w:rsidRPr="00667214">
        <w:rPr>
          <w:i/>
        </w:rPr>
        <w:t>per absurdum</w:t>
      </w:r>
      <w:r>
        <w:t xml:space="preserve">. Po zhasnutí první substance by bez </w:t>
      </w:r>
      <w:r w:rsidR="00AD68D5">
        <w:t xml:space="preserve">moderního </w:t>
      </w:r>
      <w:r>
        <w:t>boha nic neexistovalo</w:t>
      </w:r>
      <w:r w:rsidR="00AD68D5">
        <w:t>. Je třeba připomenout, že intelekt Scota je daný</w:t>
      </w:r>
      <w:r>
        <w:t xml:space="preserve"> v duši jako </w:t>
      </w:r>
      <w:r w:rsidR="00AD68D5">
        <w:t xml:space="preserve">aristotelská </w:t>
      </w:r>
      <w:r w:rsidRPr="08D73E50">
        <w:rPr>
          <w:i/>
        </w:rPr>
        <w:t>tabula rasa</w:t>
      </w:r>
      <w:r w:rsidR="00AD68D5">
        <w:t xml:space="preserve"> a je aktivovaný přímo</w:t>
      </w:r>
      <w:r w:rsidR="006E08E5">
        <w:t>,</w:t>
      </w:r>
      <w:r w:rsidR="00AD68D5">
        <w:t xml:space="preserve"> skrze esenciální boží kauzalitu.</w:t>
      </w:r>
      <w:r w:rsidR="00E566A9">
        <w:t xml:space="preserve"> </w:t>
      </w:r>
      <w:r>
        <w:t xml:space="preserve">Po Scotově </w:t>
      </w:r>
      <w:r w:rsidRPr="089F073F">
        <w:rPr>
          <w:i/>
        </w:rPr>
        <w:t>epoché</w:t>
      </w:r>
      <w:r>
        <w:t xml:space="preserve"> se stal moderní bůh epochálně nu</w:t>
      </w:r>
      <w:r w:rsidR="005D7C95">
        <w:t xml:space="preserve">tným pro objektivní metafyziku. </w:t>
      </w:r>
      <w:r w:rsidR="005D7C95" w:rsidRPr="005D7C95">
        <w:t xml:space="preserve">Jeho </w:t>
      </w:r>
      <w:r w:rsidR="005D7C95">
        <w:t xml:space="preserve">exemplární </w:t>
      </w:r>
      <w:r w:rsidR="005D7C95" w:rsidRPr="005D7C95">
        <w:t xml:space="preserve">demiurgické myšlení tvoří první zdroj </w:t>
      </w:r>
      <w:r w:rsidR="005D7C95">
        <w:t xml:space="preserve">pro </w:t>
      </w:r>
      <w:r w:rsidR="005D7C95" w:rsidRPr="005D7C95">
        <w:rPr>
          <w:i/>
        </w:rPr>
        <w:t>dativus auctoris</w:t>
      </w:r>
      <w:r w:rsidR="005D7C95" w:rsidRPr="005D7C95">
        <w:t xml:space="preserve">, který zakládá účinnou kauzalitu objektivního poznání. </w:t>
      </w:r>
      <w:r>
        <w:t>Matematik Descarte</w:t>
      </w:r>
      <w:r w:rsidR="00316330">
        <w:t xml:space="preserve">s vychází z metafyzického Scota; </w:t>
      </w:r>
      <w:r>
        <w:t xml:space="preserve">ale </w:t>
      </w:r>
      <w:r w:rsidR="00316330">
        <w:t>udělá krok z</w:t>
      </w:r>
      <w:r>
        <w:t xml:space="preserve">pět </w:t>
      </w:r>
      <w:r w:rsidR="00316330">
        <w:t xml:space="preserve">a do hypostázovaného avicennovského intelektu opět zavedl </w:t>
      </w:r>
      <w:r>
        <w:t>Bonaventurův exemplar ve formě vrozené ideje. Moderní bůh zajišťuj</w:t>
      </w:r>
      <w:r w:rsidR="006E2ED6">
        <w:t xml:space="preserve">e </w:t>
      </w:r>
      <w:r>
        <w:t xml:space="preserve">po </w:t>
      </w:r>
      <w:r w:rsidRPr="0822162E">
        <w:rPr>
          <w:i/>
        </w:rPr>
        <w:t>epoché</w:t>
      </w:r>
      <w:r>
        <w:t xml:space="preserve"> první substance nepochybné poznání jako Scotova externí kauza nebo Descartova vrozená idea</w:t>
      </w:r>
      <w:r w:rsidR="006E2ED6">
        <w:t xml:space="preserve">. </w:t>
      </w:r>
      <w:r w:rsidR="0013530E" w:rsidRPr="0013530E">
        <w:t xml:space="preserve">Prvotní reflexe je spojena s původní </w:t>
      </w:r>
      <w:r w:rsidR="0013530E" w:rsidRPr="0013530E">
        <w:rPr>
          <w:i/>
        </w:rPr>
        <w:t>causa prima</w:t>
      </w:r>
      <w:r w:rsidR="0013530E" w:rsidRPr="0013530E">
        <w:t xml:space="preserve">, neboť lidská mysl jako </w:t>
      </w:r>
      <w:r w:rsidR="0013530E" w:rsidRPr="0013530E">
        <w:rPr>
          <w:i/>
        </w:rPr>
        <w:t>cogito</w:t>
      </w:r>
      <w:r w:rsidR="0013530E" w:rsidRPr="0013530E">
        <w:t xml:space="preserve"> odráží</w:t>
      </w:r>
      <w:r w:rsidR="0013530E">
        <w:t xml:space="preserve"> myšlení a kauzalitu moderního b</w:t>
      </w:r>
      <w:r w:rsidR="0013530E" w:rsidRPr="0013530E">
        <w:t xml:space="preserve">oha. Tento druh společného </w:t>
      </w:r>
      <w:r w:rsidR="0013530E" w:rsidRPr="0013530E">
        <w:rPr>
          <w:i/>
        </w:rPr>
        <w:t>dativus auctoris</w:t>
      </w:r>
      <w:r w:rsidR="0013530E" w:rsidRPr="0013530E">
        <w:t xml:space="preserve"> tvoří základní zdroj nihilistické metafyzické reflexe. V druhém kroku </w:t>
      </w:r>
      <w:r w:rsidR="0013530E">
        <w:t xml:space="preserve">se </w:t>
      </w:r>
      <w:r w:rsidR="0013530E" w:rsidRPr="0013530E">
        <w:t xml:space="preserve">realizuje lidsky možný </w:t>
      </w:r>
      <w:r w:rsidR="0013530E" w:rsidRPr="0013530E">
        <w:rPr>
          <w:i/>
        </w:rPr>
        <w:t>dativus possessivus</w:t>
      </w:r>
      <w:r w:rsidR="0013530E" w:rsidRPr="0013530E">
        <w:t xml:space="preserve">, který je objektivně nutný pro přivlastnění </w:t>
      </w:r>
      <w:r w:rsidR="0013530E">
        <w:t>imaginárně odvozeného diakosm</w:t>
      </w:r>
      <w:r w:rsidR="0013530E" w:rsidRPr="0013530E">
        <w:t>u. Analo</w:t>
      </w:r>
      <w:r w:rsidR="0013530E">
        <w:t xml:space="preserve">gie </w:t>
      </w:r>
      <w:r w:rsidR="00270C88">
        <w:t xml:space="preserve">tohoto </w:t>
      </w:r>
      <w:r w:rsidR="0013530E">
        <w:t>imaginárního a démonického „</w:t>
      </w:r>
      <w:r w:rsidR="0013530E" w:rsidRPr="0013530E">
        <w:rPr>
          <w:i/>
        </w:rPr>
        <w:t>possessio</w:t>
      </w:r>
      <w:r w:rsidR="0013530E">
        <w:t>“</w:t>
      </w:r>
      <w:r w:rsidR="00270C88">
        <w:t xml:space="preserve"> je vedena</w:t>
      </w:r>
      <w:r w:rsidR="0013530E" w:rsidRPr="0013530E">
        <w:t xml:space="preserve"> subjektivně utvářenými </w:t>
      </w:r>
      <w:r w:rsidR="0013530E">
        <w:t>Fúriemi</w:t>
      </w:r>
      <w:r w:rsidR="00270C88">
        <w:t xml:space="preserve">. Analogie </w:t>
      </w:r>
      <w:r w:rsidR="002E5E4C">
        <w:t xml:space="preserve">obou autorských projektů demiurgické kolonizace jsoucna </w:t>
      </w:r>
      <w:r w:rsidR="00270C88">
        <w:t xml:space="preserve">je založena na </w:t>
      </w:r>
      <w:r w:rsidR="0013530E">
        <w:t xml:space="preserve">mytologicky </w:t>
      </w:r>
      <w:r w:rsidR="00270C88">
        <w:t>určené, a proto společné racionalitě</w:t>
      </w:r>
      <w:r w:rsidR="0013530E">
        <w:t xml:space="preserve"> </w:t>
      </w:r>
      <w:r w:rsidR="00270C88">
        <w:t xml:space="preserve">moderního </w:t>
      </w:r>
      <w:r w:rsidR="0013530E">
        <w:t>b</w:t>
      </w:r>
      <w:r w:rsidR="0013530E" w:rsidRPr="0013530E">
        <w:t xml:space="preserve">oha a </w:t>
      </w:r>
      <w:r w:rsidR="00270C88">
        <w:t>moderního ilumináta</w:t>
      </w:r>
      <w:r w:rsidR="0013530E" w:rsidRPr="0013530E">
        <w:t xml:space="preserve">. Tento </w:t>
      </w:r>
      <w:r w:rsidR="00270C88">
        <w:t xml:space="preserve">paranoický </w:t>
      </w:r>
      <w:r w:rsidR="00EF6C5C">
        <w:t xml:space="preserve">a démonický </w:t>
      </w:r>
      <w:r w:rsidR="0013530E" w:rsidRPr="0013530E">
        <w:rPr>
          <w:i/>
        </w:rPr>
        <w:t>dativus modi</w:t>
      </w:r>
      <w:r w:rsidR="0013530E" w:rsidRPr="0013530E">
        <w:t xml:space="preserve"> zakládá vědecký výklad postmoderního světa na základě Descartovy deduktivní metody (</w:t>
      </w:r>
      <w:r w:rsidR="0013530E" w:rsidRPr="0013530E">
        <w:rPr>
          <w:i/>
        </w:rPr>
        <w:t>modus procedendi</w:t>
      </w:r>
      <w:r w:rsidR="0013530E" w:rsidRPr="0013530E">
        <w:t>).</w:t>
      </w:r>
      <w:r w:rsidR="00FE7DB4">
        <w:t xml:space="preserve"> </w:t>
      </w:r>
      <w:r w:rsidRPr="00273106">
        <w:t xml:space="preserve">Boží </w:t>
      </w:r>
      <w:r w:rsidR="00FE7DB4">
        <w:t xml:space="preserve">reflexe </w:t>
      </w:r>
      <w:r w:rsidRPr="00273106">
        <w:t>nekonečného jsoucna (</w:t>
      </w:r>
      <w:r w:rsidRPr="00273106">
        <w:rPr>
          <w:i/>
        </w:rPr>
        <w:t>ens infinitum</w:t>
      </w:r>
      <w:r w:rsidRPr="00273106">
        <w:t xml:space="preserve">) umožňuje následnou dedukci </w:t>
      </w:r>
      <w:r>
        <w:t xml:space="preserve">konečného jsoucna. Aristoteles </w:t>
      </w:r>
      <w:r>
        <w:lastRenderedPageBreak/>
        <w:t xml:space="preserve">vylučuje jakoukoliv univoční či kauzální participaci na božském Prvním Intelektu. </w:t>
      </w:r>
      <w:r w:rsidR="006323A6" w:rsidRPr="006323A6">
        <w:t>Milujeme božský intelekt, a proto se mu snažíme připodo</w:t>
      </w:r>
      <w:r w:rsidR="006323A6">
        <w:t xml:space="preserve">bnit v pohybu lidské existence </w:t>
      </w:r>
      <w:r>
        <w:t xml:space="preserve">(κινεῖ δὴ ὡς ἐρώμενον, </w:t>
      </w:r>
      <w:r>
        <w:rPr>
          <w:i/>
          <w:iCs/>
        </w:rPr>
        <w:t>Met</w:t>
      </w:r>
      <w:r>
        <w:t>. 1072</w:t>
      </w:r>
      <w:r w:rsidRPr="00E95FAE">
        <w:t>b</w:t>
      </w:r>
      <w:r>
        <w:t>3</w:t>
      </w:r>
      <w:r>
        <w:fldChar w:fldCharType="begin"/>
      </w:r>
      <w:r>
        <w:instrText xml:space="preserve"> XE "Aristoteles:</w:instrText>
      </w:r>
      <w:r w:rsidRPr="00116CF2">
        <w:rPr>
          <w:i/>
          <w:iCs/>
        </w:rPr>
        <w:instrText>Met</w:instrText>
      </w:r>
      <w:r w:rsidRPr="00116CF2">
        <w:instrText>. 1072b3</w:instrText>
      </w:r>
      <w:r>
        <w:instrText xml:space="preserve">" </w:instrText>
      </w:r>
      <w:r>
        <w:fldChar w:fldCharType="end"/>
      </w:r>
      <w:r>
        <w:t>).</w:t>
      </w:r>
      <w:r w:rsidRPr="00D83A5A">
        <w:t xml:space="preserve"> </w:t>
      </w:r>
      <w:r>
        <w:t>Nehybný Hybatel všechny rozumné bytosti přirozeně přitahuje, a tím je nepřímo uvádí do pohybu daného nejprve na úrovni kosm</w:t>
      </w:r>
      <w:r w:rsidR="001345CA">
        <w:t>ických inteligencí první sféry.</w:t>
      </w:r>
    </w:p>
    <w:p w:rsidR="08163013" w:rsidRPr="084D1687" w:rsidRDefault="08163013" w:rsidP="00F41050">
      <w:pPr>
        <w:ind w:firstLine="397"/>
      </w:pPr>
      <w:r w:rsidRPr="00273106">
        <w:t>Scotus zvolil jinou pozici</w:t>
      </w:r>
      <w:r>
        <w:t xml:space="preserve"> než aristotelismus</w:t>
      </w:r>
      <w:r w:rsidR="00F41050">
        <w:t>, protože teologie a filosofie mají jednu společnou pravdu. V</w:t>
      </w:r>
      <w:r>
        <w:t xml:space="preserve"> křesťanském pojetí </w:t>
      </w:r>
      <w:r w:rsidR="00AC3C88">
        <w:t xml:space="preserve">je </w:t>
      </w:r>
      <w:r>
        <w:t xml:space="preserve">bůh </w:t>
      </w:r>
      <w:r w:rsidR="00AC3C88">
        <w:t>s</w:t>
      </w:r>
      <w:r>
        <w:t>tvořitel</w:t>
      </w:r>
      <w:r w:rsidR="00AC3C88">
        <w:t xml:space="preserve"> světa</w:t>
      </w:r>
      <w:r>
        <w:t xml:space="preserve">. </w:t>
      </w:r>
      <w:r w:rsidR="00D92D04">
        <w:t xml:space="preserve">Scotus </w:t>
      </w:r>
      <w:r w:rsidR="00F41050">
        <w:t xml:space="preserve">proto </w:t>
      </w:r>
      <w:r>
        <w:t xml:space="preserve">přijal Alvernovu křesťanskou tezi o přímém vidění boha (kap. 5.4.3). Ale </w:t>
      </w:r>
      <w:r w:rsidR="00D92D04">
        <w:t xml:space="preserve">upravil po vzoru </w:t>
      </w:r>
      <w:r>
        <w:t>první</w:t>
      </w:r>
      <w:r w:rsidR="00D92D04">
        <w:t>ho</w:t>
      </w:r>
      <w:r>
        <w:t xml:space="preserve"> averroismu Modistů </w:t>
      </w:r>
      <w:r w:rsidR="00D92D04">
        <w:t xml:space="preserve">boží </w:t>
      </w:r>
      <w:r>
        <w:t xml:space="preserve">esenciální kauzalitu tak, aby držel základní tezi přirozeného poznání boha pouze v modu </w:t>
      </w:r>
      <w:r w:rsidR="00D92D04">
        <w:t>„</w:t>
      </w:r>
      <w:r w:rsidRPr="08F15F60">
        <w:rPr>
          <w:i/>
        </w:rPr>
        <w:t>quoad nos</w:t>
      </w:r>
      <w:r w:rsidR="00D92D04">
        <w:t>“</w:t>
      </w:r>
      <w:r>
        <w:t>. Objektivně osvícený iluminát našel novou dráhu náhledu (</w:t>
      </w:r>
      <w:r w:rsidRPr="08153F3C">
        <w:rPr>
          <w:i/>
        </w:rPr>
        <w:t>Vor-blickbahn</w:t>
      </w:r>
      <w:r>
        <w:rPr>
          <w:i/>
        </w:rPr>
        <w:fldChar w:fldCharType="begin"/>
      </w:r>
      <w:r>
        <w:instrText xml:space="preserve"> XE "</w:instrText>
      </w:r>
      <w:r>
        <w:rPr>
          <w:i/>
        </w:rPr>
        <w:instrText>Vor-</w:instrText>
      </w:r>
      <w:r w:rsidRPr="000C66F2">
        <w:rPr>
          <w:i/>
        </w:rPr>
        <w:instrText>b</w:instrText>
      </w:r>
      <w:r w:rsidRPr="000C66F2">
        <w:rPr>
          <w:i/>
          <w:iCs/>
        </w:rPr>
        <w:instrText>lickbahn</w:instrText>
      </w:r>
      <w:r>
        <w:rPr>
          <w:iCs/>
        </w:rPr>
        <w:instrText>:Scotus</w:instrText>
      </w:r>
      <w:r>
        <w:instrText xml:space="preserve">" </w:instrText>
      </w:r>
      <w:r>
        <w:rPr>
          <w:i/>
        </w:rPr>
        <w:fldChar w:fldCharType="end"/>
      </w:r>
      <w:r>
        <w:t xml:space="preserve">) danou skrze náhled jsoucna jako objektivně jsoucího. Poznání boha v modu </w:t>
      </w:r>
      <w:r w:rsidRPr="08F15F60">
        <w:rPr>
          <w:i/>
        </w:rPr>
        <w:t>quoad nos</w:t>
      </w:r>
      <w:r>
        <w:t xml:space="preserve"> mění z aristotelského na moderně-objektivní.</w:t>
      </w:r>
    </w:p>
    <w:p w:rsidR="08163013" w:rsidRPr="00D323B6" w:rsidRDefault="08163013" w:rsidP="08163013">
      <w:pPr>
        <w:pStyle w:val="Citace"/>
        <w:rPr>
          <w:noProof/>
          <w:lang w:val="cs-CZ"/>
        </w:rPr>
      </w:pPr>
      <w:r w:rsidRPr="00273106">
        <w:rPr>
          <w:noProof/>
          <w:lang w:val="cs-CZ"/>
        </w:rPr>
        <w:t>„</w:t>
      </w:r>
      <w:r>
        <w:rPr>
          <w:noProof/>
          <w:lang w:val="cs-CZ"/>
        </w:rPr>
        <w:t>Tímto způsobem náš intelekt poznává boží bytí jako nekonečné jsoucno (</w:t>
      </w:r>
      <w:r w:rsidRPr="08E44736">
        <w:rPr>
          <w:i/>
          <w:noProof/>
        </w:rPr>
        <w:t>Deum esse ens infinitum</w:t>
      </w:r>
      <w:r>
        <w:rPr>
          <w:noProof/>
          <w:lang w:val="cs-CZ"/>
        </w:rPr>
        <w:t>), nejvyšší dobro a podobně. Univerzální pojem jsoucna je zahrnutý do konceptu stvoření (</w:t>
      </w:r>
      <w:r w:rsidRPr="08AD208E">
        <w:rPr>
          <w:i/>
          <w:noProof/>
        </w:rPr>
        <w:t>conceptus entis includitur in conceptu creaturae</w:t>
      </w:r>
      <w:r>
        <w:rPr>
          <w:noProof/>
          <w:lang w:val="cs-CZ"/>
        </w:rPr>
        <w:t xml:space="preserve">). Pokud intelekt uchopuje toto jsoucno jako bělobu nebo kámen, </w:t>
      </w:r>
      <w:r w:rsidR="00407CBC">
        <w:rPr>
          <w:noProof/>
          <w:lang w:val="cs-CZ"/>
        </w:rPr>
        <w:t xml:space="preserve">pak </w:t>
      </w:r>
      <w:r>
        <w:rPr>
          <w:noProof/>
          <w:lang w:val="cs-CZ"/>
        </w:rPr>
        <w:t xml:space="preserve">dedukcí a abstrakcí může </w:t>
      </w:r>
      <w:r w:rsidR="009B3B44">
        <w:rPr>
          <w:noProof/>
          <w:lang w:val="cs-CZ"/>
        </w:rPr>
        <w:t xml:space="preserve">intendovat samotné </w:t>
      </w:r>
      <w:r>
        <w:rPr>
          <w:noProof/>
          <w:lang w:val="cs-CZ"/>
        </w:rPr>
        <w:t>jsoucn</w:t>
      </w:r>
      <w:r w:rsidR="009B3B44">
        <w:rPr>
          <w:noProof/>
          <w:lang w:val="cs-CZ"/>
        </w:rPr>
        <w:t>o</w:t>
      </w:r>
      <w:r>
        <w:rPr>
          <w:noProof/>
          <w:lang w:val="cs-CZ"/>
        </w:rPr>
        <w:t xml:space="preserve"> (</w:t>
      </w:r>
      <w:r w:rsidRPr="00D323B6">
        <w:rPr>
          <w:i/>
          <w:noProof/>
          <w:lang w:val="cs-CZ"/>
        </w:rPr>
        <w:t>potest cognoscere intentionem entis</w:t>
      </w:r>
      <w:r>
        <w:rPr>
          <w:i/>
          <w:noProof/>
          <w:lang w:val="cs-CZ"/>
        </w:rPr>
        <w:t>)</w:t>
      </w:r>
      <w:r w:rsidR="00722532">
        <w:rPr>
          <w:noProof/>
          <w:lang w:val="cs-CZ"/>
        </w:rPr>
        <w:t>, které tvoří základ této int</w:t>
      </w:r>
      <w:r>
        <w:rPr>
          <w:noProof/>
          <w:lang w:val="cs-CZ"/>
        </w:rPr>
        <w:t>enc</w:t>
      </w:r>
      <w:r w:rsidR="00722532">
        <w:rPr>
          <w:noProof/>
          <w:lang w:val="cs-CZ"/>
        </w:rPr>
        <w:t>e</w:t>
      </w:r>
      <w:r>
        <w:rPr>
          <w:noProof/>
          <w:lang w:val="cs-CZ"/>
        </w:rPr>
        <w:t xml:space="preserve"> (</w:t>
      </w:r>
      <w:r>
        <w:rPr>
          <w:i/>
          <w:noProof/>
          <w:lang w:val="cs-CZ"/>
        </w:rPr>
        <w:t>i</w:t>
      </w:r>
      <w:r w:rsidRPr="00D323B6">
        <w:rPr>
          <w:i/>
          <w:noProof/>
          <w:lang w:val="cs-CZ"/>
        </w:rPr>
        <w:t>bi sistendo</w:t>
      </w:r>
      <w:r>
        <w:rPr>
          <w:noProof/>
          <w:lang w:val="cs-CZ"/>
        </w:rPr>
        <w:t>).“ </w:t>
      </w:r>
      <w:r>
        <w:rPr>
          <w:rStyle w:val="Znakapoznpodarou"/>
        </w:rPr>
        <w:footnoteReference w:id="437"/>
      </w:r>
    </w:p>
    <w:p w:rsidR="00EE61F9" w:rsidRDefault="08163013" w:rsidP="08163013">
      <w:r>
        <w:t>D</w:t>
      </w:r>
      <w:r w:rsidRPr="00273106">
        <w:t xml:space="preserve">edukce </w:t>
      </w:r>
      <w:r w:rsidR="00D35B1B">
        <w:t xml:space="preserve">začíná u lidsky poznaného pojmu nekonečna, který je univočně definovaný na stejné úrovni jako koncept stvořeného </w:t>
      </w:r>
      <w:r w:rsidRPr="00273106">
        <w:t>jsoucna (</w:t>
      </w:r>
      <w:r w:rsidRPr="00273106">
        <w:rPr>
          <w:i/>
        </w:rPr>
        <w:t>conceptus entis includitur in conceptu creaturae</w:t>
      </w:r>
      <w:r w:rsidRPr="00273106">
        <w:t xml:space="preserve">). </w:t>
      </w:r>
      <w:r w:rsidR="00D35B1B">
        <w:t>P</w:t>
      </w:r>
      <w:r w:rsidRPr="00273106">
        <w:t xml:space="preserve">oznání </w:t>
      </w:r>
      <w:r w:rsidR="009E7070">
        <w:t xml:space="preserve">pak </w:t>
      </w:r>
      <w:r w:rsidR="00D35B1B">
        <w:t xml:space="preserve">bere v univerzálním </w:t>
      </w:r>
      <w:r w:rsidRPr="00273106">
        <w:t xml:space="preserve">modu jsoucno jako objektivně jsoucí </w:t>
      </w:r>
      <w:r>
        <w:t xml:space="preserve">bělobu nebo kámen </w:t>
      </w:r>
      <w:r w:rsidRPr="00273106">
        <w:t>(</w:t>
      </w:r>
      <w:r w:rsidRPr="00273106">
        <w:rPr>
          <w:i/>
        </w:rPr>
        <w:t>ut album aut lapidem</w:t>
      </w:r>
      <w:r w:rsidRPr="00273106">
        <w:t xml:space="preserve">). </w:t>
      </w:r>
      <w:r>
        <w:t>Reálně neexistující běloba</w:t>
      </w:r>
      <w:r>
        <w:fldChar w:fldCharType="begin"/>
      </w:r>
      <w:r>
        <w:instrText xml:space="preserve"> XE "</w:instrText>
      </w:r>
      <w:r w:rsidRPr="00C0177F">
        <w:instrText>predikace:běloba</w:instrText>
      </w:r>
      <w:r>
        <w:instrText xml:space="preserve">" </w:instrText>
      </w:r>
      <w:r>
        <w:fldChar w:fldCharType="end"/>
      </w:r>
      <w:r>
        <w:t xml:space="preserve"> a </w:t>
      </w:r>
      <w:r w:rsidR="008A52DA">
        <w:t xml:space="preserve">reálný </w:t>
      </w:r>
      <w:r>
        <w:t xml:space="preserve">kámen </w:t>
      </w:r>
      <w:r w:rsidRPr="00273106">
        <w:t xml:space="preserve">jsou </w:t>
      </w:r>
      <w:r w:rsidR="0086463E">
        <w:t xml:space="preserve">deduktivně </w:t>
      </w:r>
      <w:r w:rsidR="008A52DA">
        <w:t xml:space="preserve">zahrnuty </w:t>
      </w:r>
      <w:r w:rsidRPr="00273106">
        <w:t xml:space="preserve">do </w:t>
      </w:r>
      <w:r>
        <w:t xml:space="preserve">univoční predikace </w:t>
      </w:r>
      <w:r w:rsidRPr="00273106">
        <w:rPr>
          <w:i/>
        </w:rPr>
        <w:t xml:space="preserve">ad </w:t>
      </w:r>
      <w:proofErr w:type="gramStart"/>
      <w:r w:rsidRPr="00273106">
        <w:rPr>
          <w:i/>
        </w:rPr>
        <w:t>unum</w:t>
      </w:r>
      <w:proofErr w:type="gramEnd"/>
      <w:r w:rsidRPr="00273106">
        <w:t>, která je vybavena minim</w:t>
      </w:r>
      <w:r w:rsidR="00497A61">
        <w:t xml:space="preserve">ální formou univoční jsoucnosti, která se nachází </w:t>
      </w:r>
      <w:r w:rsidRPr="00273106">
        <w:t>v božím a v lidském intelektu (</w:t>
      </w:r>
      <w:r w:rsidRPr="00273106">
        <w:rPr>
          <w:i/>
        </w:rPr>
        <w:t>ibi sistendo</w:t>
      </w:r>
      <w:r w:rsidRPr="00273106">
        <w:t xml:space="preserve">). </w:t>
      </w:r>
      <w:r>
        <w:t>Citát koncipuje univoční jsoucno vzhledem k původní jednotě jsoucího jako jsoucího (</w:t>
      </w:r>
      <w:r w:rsidRPr="00273106">
        <w:rPr>
          <w:i/>
        </w:rPr>
        <w:t>in concipiendo hoc ens</w:t>
      </w:r>
      <w:r>
        <w:t>), která nahradila hyparchickou roli první substance</w:t>
      </w:r>
      <w:r>
        <w:fldChar w:fldCharType="begin"/>
      </w:r>
      <w:r>
        <w:instrText xml:space="preserve"> XE "</w:instrText>
      </w:r>
      <w:r w:rsidRPr="00DE2A32">
        <w:instrText>substance</w:instrText>
      </w:r>
      <w:r>
        <w:instrText xml:space="preserve">:Scotus" </w:instrText>
      </w:r>
      <w:r>
        <w:fldChar w:fldCharType="end"/>
      </w:r>
      <w:r>
        <w:t xml:space="preserve"> </w:t>
      </w:r>
      <w:r w:rsidRPr="00273106">
        <w:t>(</w:t>
      </w:r>
      <w:r w:rsidRPr="00273106">
        <w:rPr>
          <w:i/>
        </w:rPr>
        <w:t>ascendendo et abstrahendo potest cognoscere intentionem entis</w:t>
      </w:r>
      <w:r w:rsidRPr="00273106">
        <w:t>)</w:t>
      </w:r>
      <w:r>
        <w:t>. Intenc</w:t>
      </w:r>
      <w:r w:rsidR="00225A27">
        <w:t>ionalita daná impozicí od reálných</w:t>
      </w:r>
      <w:r>
        <w:t xml:space="preserve"> substanc</w:t>
      </w:r>
      <w:r w:rsidR="00225A27">
        <w:t xml:space="preserve">í není součást </w:t>
      </w:r>
      <w:r>
        <w:t xml:space="preserve">Scotovy dedukce </w:t>
      </w:r>
      <w:r w:rsidRPr="00273106">
        <w:t>univerzálií</w:t>
      </w:r>
      <w:r w:rsidR="00225A27">
        <w:t xml:space="preserve">. </w:t>
      </w:r>
      <w:r w:rsidRPr="00273106">
        <w:t xml:space="preserve"> </w:t>
      </w:r>
      <w:r w:rsidR="00225A27">
        <w:t>Ty jsou určeny ontoteologickou definicí jako esence</w:t>
      </w:r>
      <w:r w:rsidRPr="00273106">
        <w:t>.</w:t>
      </w:r>
      <w:r>
        <w:t xml:space="preserve"> </w:t>
      </w:r>
      <w:r w:rsidRPr="00273106">
        <w:t xml:space="preserve">Příklad </w:t>
      </w:r>
      <w:r>
        <w:t xml:space="preserve">univočně </w:t>
      </w:r>
      <w:r w:rsidRPr="00273106">
        <w:t xml:space="preserve">pojaté </w:t>
      </w:r>
      <w:r>
        <w:t xml:space="preserve">hypostázované </w:t>
      </w:r>
      <w:r w:rsidRPr="00273106">
        <w:t xml:space="preserve">běloby </w:t>
      </w:r>
      <w:r>
        <w:t xml:space="preserve">ukazuje, že objektivní supozice se zcela oddělila </w:t>
      </w:r>
      <w:r w:rsidRPr="00273106">
        <w:t xml:space="preserve">od </w:t>
      </w:r>
      <w:r>
        <w:t xml:space="preserve">původní </w:t>
      </w:r>
      <w:r w:rsidRPr="00273106">
        <w:t>aristotelské predikace</w:t>
      </w:r>
      <w:r>
        <w:t xml:space="preserve"> </w:t>
      </w:r>
      <w:r>
        <w:lastRenderedPageBreak/>
        <w:t>vázané na hyparchickou predikaci od první substance</w:t>
      </w:r>
      <w:r w:rsidRPr="00273106">
        <w:t xml:space="preserve">. </w:t>
      </w:r>
      <w:r w:rsidR="00A16B69">
        <w:t xml:space="preserve">V prvním </w:t>
      </w:r>
      <w:r w:rsidR="00A16B69" w:rsidRPr="00273106">
        <w:t>averroismu</w:t>
      </w:r>
      <w:r w:rsidR="00A16B69">
        <w:t xml:space="preserve"> je </w:t>
      </w:r>
      <w:r w:rsidR="00A16B69" w:rsidRPr="00273106">
        <w:t>vyloučena</w:t>
      </w:r>
      <w:r w:rsidR="00A16B69">
        <w:t xml:space="preserve"> </w:t>
      </w:r>
      <w:r w:rsidR="00A16B69" w:rsidRPr="00273106">
        <w:t xml:space="preserve">kategoriální predikace </w:t>
      </w:r>
      <w:r w:rsidR="00A16B69">
        <w:t>pro bělobu (natož univoční!)</w:t>
      </w:r>
      <w:r>
        <w:t>, protože tento význam existuje pouze v mysli jako čistá abstrakce</w:t>
      </w:r>
      <w:r w:rsidR="00A16B69">
        <w:t xml:space="preserve"> na druhou</w:t>
      </w:r>
      <w:r>
        <w:t>. Jednota jsoucna musí být nejprve dána</w:t>
      </w:r>
      <w:r w:rsidRPr="00273106">
        <w:t xml:space="preserve"> </w:t>
      </w:r>
      <w:r>
        <w:t xml:space="preserve">aktuálně a </w:t>
      </w:r>
      <w:r w:rsidRPr="00273106">
        <w:t>reálně</w:t>
      </w:r>
      <w:r>
        <w:t xml:space="preserve"> v první substanci a pak se může univerzálně predikovat ve druhé substanci. Objektivní intence </w:t>
      </w:r>
      <w:r w:rsidR="007D7148">
        <w:t xml:space="preserve">Scota </w:t>
      </w:r>
      <w:r>
        <w:t>jde k</w:t>
      </w:r>
      <w:r w:rsidR="0068683B">
        <w:t xml:space="preserve"> logické </w:t>
      </w:r>
      <w:r>
        <w:t>supozici</w:t>
      </w:r>
      <w:r>
        <w:fldChar w:fldCharType="begin"/>
      </w:r>
      <w:r>
        <w:instrText xml:space="preserve"> XE "</w:instrText>
      </w:r>
      <w:r w:rsidRPr="00A624D7">
        <w:instrText>supozice:Scotus</w:instrText>
      </w:r>
      <w:r>
        <w:instrText xml:space="preserve">" </w:instrText>
      </w:r>
      <w:r>
        <w:fldChar w:fldCharType="end"/>
      </w:r>
      <w:r w:rsidR="00666CDB">
        <w:t xml:space="preserve"> v mysli</w:t>
      </w:r>
      <w:r w:rsidR="0009536F">
        <w:t>,</w:t>
      </w:r>
      <w:r>
        <w:t xml:space="preserve"> a ne k</w:t>
      </w:r>
      <w:r w:rsidR="0068683B">
        <w:t xml:space="preserve"> metafyzické </w:t>
      </w:r>
      <w:r w:rsidR="0009536F">
        <w:t>impozici od prvních substancí</w:t>
      </w:r>
      <w:r w:rsidR="00EE61F9">
        <w:t>.</w:t>
      </w:r>
    </w:p>
    <w:p w:rsidR="08163013" w:rsidRDefault="00E803F6" w:rsidP="00EE61F9">
      <w:pPr>
        <w:ind w:firstLine="397"/>
      </w:pPr>
      <w:r>
        <w:t>Ale Scotus rozlišuje objektivitu</w:t>
      </w:r>
      <w:r w:rsidR="00ED1D4A">
        <w:t xml:space="preserve"> a </w:t>
      </w:r>
      <w:r>
        <w:t>realit</w:t>
      </w:r>
      <w:r w:rsidR="00ED1D4A">
        <w:t>u</w:t>
      </w:r>
      <w:r w:rsidR="08163013">
        <w:t xml:space="preserve">. Objektivní </w:t>
      </w:r>
      <w:r w:rsidR="00962190">
        <w:rPr>
          <w:i/>
        </w:rPr>
        <w:t>species</w:t>
      </w:r>
      <w:r w:rsidR="08163013" w:rsidRPr="00273106">
        <w:t xml:space="preserve"> existují jen potenciálně, protože mají minimální jsoucnost. </w:t>
      </w:r>
      <w:r w:rsidR="08163013">
        <w:t>No</w:t>
      </w:r>
      <w:r w:rsidR="08163013" w:rsidRPr="00273106">
        <w:t xml:space="preserve">vý koncept odpovídá </w:t>
      </w:r>
      <w:r w:rsidR="08163013">
        <w:t xml:space="preserve">moderní definici </w:t>
      </w:r>
      <w:r w:rsidR="08163013" w:rsidRPr="00273106">
        <w:rPr>
          <w:i/>
        </w:rPr>
        <w:t>ens ratum</w:t>
      </w:r>
      <w:r w:rsidR="08163013">
        <w:rPr>
          <w:i/>
        </w:rPr>
        <w:fldChar w:fldCharType="begin"/>
      </w:r>
      <w:r w:rsidR="08163013">
        <w:instrText xml:space="preserve"> XE "</w:instrText>
      </w:r>
      <w:r w:rsidR="08163013" w:rsidRPr="00B2798F">
        <w:rPr>
          <w:rStyle w:val="addmd"/>
          <w:i/>
        </w:rPr>
        <w:instrText>ens ratum:</w:instrText>
      </w:r>
      <w:r w:rsidR="08163013">
        <w:instrText xml:space="preserve">Scotus" </w:instrText>
      </w:r>
      <w:r w:rsidR="08163013">
        <w:rPr>
          <w:i/>
        </w:rPr>
        <w:fldChar w:fldCharType="end"/>
      </w:r>
      <w:r w:rsidR="08163013" w:rsidRPr="00273106">
        <w:t xml:space="preserve"> jako minimální porce jsoucnosti (</w:t>
      </w:r>
      <w:r w:rsidR="08163013" w:rsidRPr="00273106">
        <w:rPr>
          <w:i/>
        </w:rPr>
        <w:t>ens diminutum</w:t>
      </w:r>
      <w:r w:rsidR="08163013">
        <w:rPr>
          <w:i/>
        </w:rPr>
        <w:fldChar w:fldCharType="begin"/>
      </w:r>
      <w:r w:rsidR="08163013">
        <w:instrText xml:space="preserve"> XE "</w:instrText>
      </w:r>
      <w:r w:rsidR="08163013" w:rsidRPr="00D72A7A">
        <w:rPr>
          <w:i/>
        </w:rPr>
        <w:instrText>ens diminutum</w:instrText>
      </w:r>
      <w:r w:rsidR="08163013">
        <w:instrText xml:space="preserve">" </w:instrText>
      </w:r>
      <w:r w:rsidR="08163013">
        <w:rPr>
          <w:i/>
        </w:rPr>
        <w:fldChar w:fldCharType="end"/>
      </w:r>
      <w:r w:rsidR="08163013" w:rsidRPr="00273106">
        <w:t xml:space="preserve">) </w:t>
      </w:r>
      <w:r w:rsidR="00F94E55">
        <w:t xml:space="preserve">a </w:t>
      </w:r>
      <w:r w:rsidR="08163013" w:rsidRPr="00273106">
        <w:t xml:space="preserve">umožnil objektivní zjevování </w:t>
      </w:r>
      <w:r w:rsidR="00962190" w:rsidRPr="00F94E55">
        <w:t>species</w:t>
      </w:r>
      <w:r w:rsidR="08163013" w:rsidRPr="00273106">
        <w:t xml:space="preserve"> třetího druhu v jejich čisté potenci (</w:t>
      </w:r>
      <w:r w:rsidR="08163013" w:rsidRPr="00273106">
        <w:rPr>
          <w:i/>
        </w:rPr>
        <w:t>potentia immaterialis</w:t>
      </w:r>
      <w:r w:rsidR="08163013" w:rsidRPr="00273106">
        <w:t xml:space="preserve">, </w:t>
      </w:r>
      <w:r w:rsidR="08163013" w:rsidRPr="00273106">
        <w:rPr>
          <w:i/>
        </w:rPr>
        <w:t>potentia tantum</w:t>
      </w:r>
      <w:r w:rsidR="08163013">
        <w:t xml:space="preserve">). Tato minimální porce jsoucna daná v potenci </w:t>
      </w:r>
      <w:r w:rsidR="08163013" w:rsidRPr="00273106">
        <w:t>je poznatelná mimo smysly</w:t>
      </w:r>
      <w:r w:rsidR="08163013">
        <w:t>,</w:t>
      </w:r>
      <w:r w:rsidR="08163013" w:rsidRPr="00273106">
        <w:t xml:space="preserve"> jen čistým náhledem intelektu</w:t>
      </w:r>
      <w:r w:rsidR="0017102F">
        <w:t xml:space="preserve">. </w:t>
      </w:r>
      <w:r w:rsidR="08163013" w:rsidRPr="00273106">
        <w:t xml:space="preserve">Rozdíl mezi první a druhou intencí a mezi oběma druhy </w:t>
      </w:r>
      <w:r w:rsidR="00962190" w:rsidRPr="00932BDE">
        <w:t>species</w:t>
      </w:r>
      <w:r w:rsidR="08163013" w:rsidRPr="00273106">
        <w:t xml:space="preserve"> </w:t>
      </w:r>
      <w:r w:rsidR="08163013">
        <w:t xml:space="preserve">(objektivní, reálná) </w:t>
      </w:r>
      <w:r w:rsidR="08163013" w:rsidRPr="00273106">
        <w:t>je</w:t>
      </w:r>
      <w:r w:rsidR="08163013">
        <w:t xml:space="preserve"> v tom, že objektivní</w:t>
      </w:r>
      <w:r w:rsidR="08163013" w:rsidRPr="00273106">
        <w:t xml:space="preserve"> </w:t>
      </w:r>
      <w:r w:rsidR="00962190">
        <w:rPr>
          <w:i/>
        </w:rPr>
        <w:t>species</w:t>
      </w:r>
      <w:r w:rsidR="08163013" w:rsidRPr="00273106">
        <w:t xml:space="preserve"> ve fo</w:t>
      </w:r>
      <w:r w:rsidR="08163013">
        <w:t>rmě „hora zlata“ odpovídá reálná</w:t>
      </w:r>
      <w:r w:rsidR="08163013" w:rsidRPr="00273106">
        <w:t xml:space="preserve"> </w:t>
      </w:r>
      <w:r w:rsidR="00962190" w:rsidRPr="00932BDE">
        <w:t>species</w:t>
      </w:r>
      <w:r w:rsidR="08163013" w:rsidRPr="00273106">
        <w:t xml:space="preserve"> na úrovni „zlata“ a „hory“, ale nikoliv jejich spojení (</w:t>
      </w:r>
      <w:r w:rsidR="08163013" w:rsidRPr="00273106">
        <w:rPr>
          <w:i/>
        </w:rPr>
        <w:t>tantum extrema sunt in re et non ipsum coniunctum</w:t>
      </w:r>
      <w:r w:rsidR="08163013" w:rsidRPr="00273106">
        <w:t>;</w:t>
      </w:r>
      <w:r w:rsidR="08163013">
        <w:t xml:space="preserve"> </w:t>
      </w:r>
      <w:r w:rsidR="08163013" w:rsidRPr="08C215F1">
        <w:rPr>
          <w:i/>
        </w:rPr>
        <w:t>Vat.</w:t>
      </w:r>
      <w:r w:rsidR="08163013" w:rsidRPr="00273106">
        <w:t xml:space="preserve"> XVI</w:t>
      </w:r>
      <w:r w:rsidR="08163013">
        <w:t>,</w:t>
      </w:r>
      <w:r w:rsidR="08163013" w:rsidRPr="00273106">
        <w:t xml:space="preserve"> no. 56, p. 246.23</w:t>
      </w:r>
      <w:r w:rsidR="08163013">
        <w:fldChar w:fldCharType="begin"/>
      </w:r>
      <w:r w:rsidR="08163013">
        <w:instrText xml:space="preserve"> XE "Scotus:</w:instrText>
      </w:r>
      <w:r w:rsidR="08163013" w:rsidRPr="005D298D">
        <w:rPr>
          <w:i/>
        </w:rPr>
        <w:instrText>Lectura</w:instrText>
      </w:r>
      <w:r w:rsidR="08163013" w:rsidRPr="005D298D">
        <w:instrText xml:space="preserve"> </w:instrText>
      </w:r>
      <w:r w:rsidR="08163013">
        <w:instrText xml:space="preserve">1.246.23" </w:instrText>
      </w:r>
      <w:r w:rsidR="08163013">
        <w:fldChar w:fldCharType="end"/>
      </w:r>
      <w:r w:rsidR="08163013" w:rsidRPr="00273106">
        <w:t xml:space="preserve">). Nová forma predikace dělá z objektivních </w:t>
      </w:r>
      <w:r w:rsidR="00962190" w:rsidRPr="000E6815">
        <w:t>species</w:t>
      </w:r>
      <w:r w:rsidR="08163013" w:rsidRPr="00273106">
        <w:t xml:space="preserve"> abstraktní třídu akcidentů na úrovni čistého intelektu.</w:t>
      </w:r>
      <w:r w:rsidR="08163013">
        <w:t xml:space="preserve"> </w:t>
      </w:r>
      <w:r w:rsidR="08163013" w:rsidRPr="00273106">
        <w:t xml:space="preserve">Co bylo pro Alberta a Bacona směšné nebo šílené, to se stalo </w:t>
      </w:r>
      <w:r w:rsidR="00CA0A9C">
        <w:t xml:space="preserve">základem </w:t>
      </w:r>
      <w:r w:rsidR="00CC028F">
        <w:t xml:space="preserve">nové </w:t>
      </w:r>
      <w:r w:rsidR="08163013" w:rsidRPr="00273106">
        <w:t xml:space="preserve">metafyziky. </w:t>
      </w:r>
      <w:r w:rsidR="08163013">
        <w:t>Ale nejprve bylo třeba objektivně zhasnout slunce a zahalit bytí jsoucna do epochální temnoty. Zavedením objektivně pojaté adekvace nekonečna a konečna vznikla</w:t>
      </w:r>
      <w:r w:rsidR="08163013" w:rsidRPr="00273106">
        <w:t xml:space="preserve"> nová forma </w:t>
      </w:r>
      <w:r w:rsidR="08163013">
        <w:t xml:space="preserve">metafyziky </w:t>
      </w:r>
      <w:r w:rsidR="08163013" w:rsidRPr="00273106">
        <w:t xml:space="preserve">oddělená od Gandavovy a Bonaventurovy </w:t>
      </w:r>
      <w:r w:rsidR="08163013">
        <w:t xml:space="preserve">antropocentické </w:t>
      </w:r>
      <w:r w:rsidR="08163013" w:rsidRPr="00273106">
        <w:t>ontote</w:t>
      </w:r>
      <w:r w:rsidR="08163013">
        <w:t>o</w:t>
      </w:r>
      <w:r w:rsidR="08163013" w:rsidRPr="00273106">
        <w:t xml:space="preserve">logie. Scotus trvá </w:t>
      </w:r>
      <w:r w:rsidR="08163013">
        <w:t>po vzoru Modistů</w:t>
      </w:r>
      <w:r w:rsidR="08163013">
        <w:fldChar w:fldCharType="begin"/>
      </w:r>
      <w:r w:rsidR="08163013">
        <w:instrText xml:space="preserve"> XE "</w:instrText>
      </w:r>
      <w:r w:rsidR="08163013" w:rsidRPr="00AA35B9">
        <w:instrText>první averroismus:Modisté</w:instrText>
      </w:r>
      <w:r w:rsidR="08163013">
        <w:instrText xml:space="preserve">" </w:instrText>
      </w:r>
      <w:r w:rsidR="08163013">
        <w:fldChar w:fldCharType="end"/>
      </w:r>
      <w:r w:rsidR="08163013">
        <w:t xml:space="preserve"> </w:t>
      </w:r>
      <w:r w:rsidR="08163013" w:rsidRPr="00273106">
        <w:t xml:space="preserve">na tom, že </w:t>
      </w:r>
      <w:r w:rsidR="00EF0B1E">
        <w:t>p</w:t>
      </w:r>
      <w:r w:rsidR="08163013">
        <w:t xml:space="preserve">římé převedení </w:t>
      </w:r>
      <w:r w:rsidR="00EF0B1E">
        <w:t xml:space="preserve">boží </w:t>
      </w:r>
      <w:r w:rsidR="08163013">
        <w:t xml:space="preserve">reflexivity v modu </w:t>
      </w:r>
      <w:r w:rsidR="00EF0B1E">
        <w:t>„</w:t>
      </w:r>
      <w:r w:rsidR="08163013" w:rsidRPr="00683D89">
        <w:rPr>
          <w:i/>
        </w:rPr>
        <w:t>esse ad</w:t>
      </w:r>
      <w:r w:rsidR="00EF0B1E">
        <w:t>“</w:t>
      </w:r>
      <w:r w:rsidR="08163013">
        <w:rPr>
          <w:i/>
        </w:rPr>
        <w:fldChar w:fldCharType="begin"/>
      </w:r>
      <w:r w:rsidR="08163013">
        <w:instrText xml:space="preserve"> XE "</w:instrText>
      </w:r>
      <w:r w:rsidR="08163013" w:rsidRPr="008F3381">
        <w:rPr>
          <w:i/>
        </w:rPr>
        <w:instrText xml:space="preserve">esse </w:instrText>
      </w:r>
      <w:proofErr w:type="gramStart"/>
      <w:r w:rsidR="08163013" w:rsidRPr="008F3381">
        <w:rPr>
          <w:i/>
        </w:rPr>
        <w:instrText>ad</w:instrText>
      </w:r>
      <w:proofErr w:type="gramEnd"/>
      <w:r w:rsidR="08163013" w:rsidRPr="008F3381">
        <w:rPr>
          <w:i/>
        </w:rPr>
        <w:instrText>:</w:instrText>
      </w:r>
      <w:r w:rsidR="08163013" w:rsidRPr="00317F7B">
        <w:instrText>Gandavus</w:instrText>
      </w:r>
      <w:r w:rsidR="08163013">
        <w:instrText xml:space="preserve">" </w:instrText>
      </w:r>
      <w:r w:rsidR="08163013">
        <w:rPr>
          <w:i/>
        </w:rPr>
        <w:fldChar w:fldCharType="end"/>
      </w:r>
      <w:r w:rsidR="08163013">
        <w:t xml:space="preserve"> do stvoření </w:t>
      </w:r>
      <w:r w:rsidR="00EF0B1E">
        <w:t>není možné, což měl Gandavus</w:t>
      </w:r>
      <w:r w:rsidR="08163013">
        <w:t xml:space="preserve">. Analogie nezajišťuje vědecké poznání, proto je nutné provést novou formu kategoriální predikace podle Simplikia v modu </w:t>
      </w:r>
      <w:r w:rsidR="00A31AC4">
        <w:t>„</w:t>
      </w:r>
      <w:r w:rsidR="08163013" w:rsidRPr="08930EFD">
        <w:rPr>
          <w:i/>
        </w:rPr>
        <w:t>esse in</w:t>
      </w:r>
      <w:r w:rsidR="00A31AC4">
        <w:t>“</w:t>
      </w:r>
      <w:r w:rsidR="08163013">
        <w:t xml:space="preserve">. </w:t>
      </w:r>
      <w:r w:rsidR="08163013" w:rsidRPr="00273106">
        <w:t xml:space="preserve">Rozlišení </w:t>
      </w:r>
      <w:r w:rsidR="08163013">
        <w:t xml:space="preserve">boha a stvoření </w:t>
      </w:r>
      <w:r w:rsidR="00A31AC4">
        <w:t xml:space="preserve">nejde </w:t>
      </w:r>
      <w:r w:rsidR="08163013" w:rsidRPr="00273106">
        <w:t>přes univoční pojem</w:t>
      </w:r>
      <w:r w:rsidR="08163013">
        <w:t xml:space="preserve"> Ganda</w:t>
      </w:r>
      <w:r w:rsidR="00A31AC4">
        <w:t>vovy intencionality jako „</w:t>
      </w:r>
      <w:r w:rsidR="08163013" w:rsidRPr="08093180">
        <w:rPr>
          <w:i/>
        </w:rPr>
        <w:t>ess</w:t>
      </w:r>
      <w:r w:rsidR="08163013">
        <w:rPr>
          <w:i/>
        </w:rPr>
        <w:t>e</w:t>
      </w:r>
      <w:r w:rsidR="08163013" w:rsidRPr="08093180">
        <w:rPr>
          <w:i/>
        </w:rPr>
        <w:t xml:space="preserve"> </w:t>
      </w:r>
      <w:proofErr w:type="gramStart"/>
      <w:r w:rsidR="08163013" w:rsidRPr="08093180">
        <w:rPr>
          <w:i/>
        </w:rPr>
        <w:t>ad</w:t>
      </w:r>
      <w:proofErr w:type="gramEnd"/>
      <w:r w:rsidR="00A31AC4">
        <w:t xml:space="preserve">“. Scotus zkoumá povahu intelektu danou v rámci jeho hypostázovaného habitu </w:t>
      </w:r>
      <w:r w:rsidR="08163013" w:rsidRPr="00273106">
        <w:t>(</w:t>
      </w:r>
      <w:r w:rsidR="08163013" w:rsidRPr="00273106">
        <w:rPr>
          <w:i/>
        </w:rPr>
        <w:t>habitus</w:t>
      </w:r>
      <w:r w:rsidR="00A31AC4">
        <w:t xml:space="preserve">), který je </w:t>
      </w:r>
      <w:r w:rsidR="08163013" w:rsidRPr="00273106">
        <w:t>nekonečný</w:t>
      </w:r>
      <w:r w:rsidR="00A31AC4">
        <w:t xml:space="preserve"> a k</w:t>
      </w:r>
      <w:r w:rsidR="08163013" w:rsidRPr="00273106">
        <w:t>onečný.</w:t>
      </w:r>
    </w:p>
    <w:p w:rsidR="08163013" w:rsidRPr="009B32DA" w:rsidRDefault="08163013" w:rsidP="08163013">
      <w:pPr>
        <w:pStyle w:val="Citace"/>
        <w:rPr>
          <w:lang w:val="cs-CZ"/>
        </w:rPr>
      </w:pPr>
      <w:r>
        <w:t>„</w:t>
      </w:r>
      <w:r>
        <w:rPr>
          <w:lang w:val="cs-CZ"/>
        </w:rPr>
        <w:t xml:space="preserve">Habitus závisí na objektu a intelektu. Boží intelekt nemá stejné určení jako náš intelekt, proto nemůže mít ani stejný habitus. Jeho habitus je nekonečný, náš je konečný.“ </w:t>
      </w:r>
      <w:r w:rsidRPr="00273106">
        <w:rPr>
          <w:rStyle w:val="Znakapoznpodarou"/>
        </w:rPr>
        <w:footnoteReference w:id="438"/>
      </w:r>
    </w:p>
    <w:p w:rsidR="00BE4E53" w:rsidRDefault="08163013" w:rsidP="00BE4E53">
      <w:r>
        <w:lastRenderedPageBreak/>
        <w:t>N</w:t>
      </w:r>
      <w:r w:rsidRPr="00273106">
        <w:t>epodobnost našeho a božího poznání tkví ve faktu, že boží objektivitu vnímáme jen omezeným pohledem z konečnosti</w:t>
      </w:r>
      <w:r>
        <w:t xml:space="preserve">, v tomistickém modu poznání boha </w:t>
      </w:r>
      <w:r w:rsidR="00A90EDF">
        <w:t>„</w:t>
      </w:r>
      <w:r w:rsidRPr="083E3FB0">
        <w:rPr>
          <w:i/>
        </w:rPr>
        <w:t>quoad nos</w:t>
      </w:r>
      <w:r w:rsidR="00A90EDF">
        <w:t>“</w:t>
      </w:r>
      <w:r w:rsidRPr="00273106">
        <w:t>.</w:t>
      </w:r>
      <w:r>
        <w:t xml:space="preserve"> </w:t>
      </w:r>
      <w:r w:rsidRPr="00273106">
        <w:t xml:space="preserve">Původně mystická regule </w:t>
      </w:r>
      <w:r>
        <w:t xml:space="preserve">božího působení ve světě </w:t>
      </w:r>
      <w:r w:rsidRPr="00273106">
        <w:t>(</w:t>
      </w:r>
      <w:r w:rsidRPr="00273106">
        <w:rPr>
          <w:i/>
        </w:rPr>
        <w:t>regula agentis in/creati</w:t>
      </w:r>
      <w:r>
        <w:rPr>
          <w:i/>
        </w:rPr>
        <w:fldChar w:fldCharType="begin"/>
      </w:r>
      <w:r>
        <w:instrText xml:space="preserve"> XE "</w:instrText>
      </w:r>
      <w:r w:rsidRPr="00317F7B">
        <w:instrText>regule</w:instrText>
      </w:r>
      <w:r>
        <w:rPr>
          <w:i/>
        </w:rPr>
        <w:instrText>:</w:instrText>
      </w:r>
      <w:r w:rsidRPr="000E37A2">
        <w:rPr>
          <w:i/>
        </w:rPr>
        <w:instrText>agentis in/creati</w:instrText>
      </w:r>
      <w:r>
        <w:instrText xml:space="preserve">" </w:instrText>
      </w:r>
      <w:r>
        <w:rPr>
          <w:i/>
        </w:rPr>
        <w:fldChar w:fldCharType="end"/>
      </w:r>
      <w:r w:rsidR="00EE662F">
        <w:t>, kap. 4</w:t>
      </w:r>
      <w:r w:rsidRPr="00273106">
        <w:t>.1.2)</w:t>
      </w:r>
      <w:r>
        <w:t xml:space="preserve"> </w:t>
      </w:r>
      <w:r w:rsidRPr="00273106">
        <w:t>se stala objektivním poznáním</w:t>
      </w:r>
      <w:r w:rsidR="009E59C6">
        <w:t xml:space="preserve"> boha a světa, která vyloučila každou voluntaristickou produkci</w:t>
      </w:r>
      <w:r w:rsidRPr="00273106">
        <w:t xml:space="preserve">. </w:t>
      </w:r>
      <w:r w:rsidR="00C908E7">
        <w:t>Bonaventurovy</w:t>
      </w:r>
      <w:r>
        <w:t xml:space="preserve"> a Oliviho demiurgick</w:t>
      </w:r>
      <w:r w:rsidR="00C908E7">
        <w:t xml:space="preserve">é regule jsou </w:t>
      </w:r>
      <w:r w:rsidRPr="00273106">
        <w:t>nahraze</w:t>
      </w:r>
      <w:r w:rsidR="00C908E7">
        <w:t>ny</w:t>
      </w:r>
      <w:r w:rsidRPr="00273106">
        <w:t xml:space="preserve"> </w:t>
      </w:r>
      <w:r>
        <w:t xml:space="preserve">racionálním </w:t>
      </w:r>
      <w:r w:rsidRPr="00273106">
        <w:t>vyvozováním objektivních vlastností jsoucna</w:t>
      </w:r>
      <w:r>
        <w:t xml:space="preserve"> skrze metafyzickou dedukci</w:t>
      </w:r>
      <w:r w:rsidRPr="00273106">
        <w:t xml:space="preserve">. </w:t>
      </w:r>
      <w:r w:rsidR="000D0FF4">
        <w:t xml:space="preserve">Tento fakt </w:t>
      </w:r>
      <w:r>
        <w:t xml:space="preserve">oddělil boží bytí od jeho sekundárně produkované a námi poznané racionality. </w:t>
      </w:r>
      <w:r w:rsidR="000D0FF4" w:rsidRPr="00273106">
        <w:t xml:space="preserve">Scotus </w:t>
      </w:r>
      <w:r w:rsidR="000D0FF4">
        <w:t>odmítl Aristotelův</w:t>
      </w:r>
      <w:r w:rsidRPr="00273106">
        <w:t xml:space="preserve"> negativní</w:t>
      </w:r>
      <w:r w:rsidR="000D0FF4">
        <w:t xml:space="preserve"> </w:t>
      </w:r>
      <w:r w:rsidRPr="00273106">
        <w:t>poj</w:t>
      </w:r>
      <w:r w:rsidR="000D0FF4">
        <w:t>em</w:t>
      </w:r>
      <w:r w:rsidRPr="00273106">
        <w:t xml:space="preserve"> nekonečna</w:t>
      </w:r>
      <w:r w:rsidR="000D0FF4">
        <w:t xml:space="preserve"> a </w:t>
      </w:r>
      <w:r w:rsidRPr="00273106">
        <w:t xml:space="preserve">postavil </w:t>
      </w:r>
      <w:r w:rsidR="000D0FF4">
        <w:t xml:space="preserve">boha jako aktuálně dané nekonečno. To </w:t>
      </w:r>
      <w:r w:rsidRPr="00273106">
        <w:t xml:space="preserve">se dává </w:t>
      </w:r>
      <w:r>
        <w:t xml:space="preserve">objektivně </w:t>
      </w:r>
      <w:r w:rsidRPr="00273106">
        <w:t xml:space="preserve">poznat, protože to </w:t>
      </w:r>
      <w:r>
        <w:t xml:space="preserve">reálně </w:t>
      </w:r>
      <w:r w:rsidRPr="00273106">
        <w:t>chce</w:t>
      </w:r>
      <w:r>
        <w:t xml:space="preserve"> a také to reálně dělá osvícením naší mysli </w:t>
      </w:r>
      <w:r w:rsidR="000D0FF4">
        <w:t xml:space="preserve">skrze působení </w:t>
      </w:r>
      <w:r>
        <w:t>přirozené esenciální kauzality</w:t>
      </w:r>
      <w:r w:rsidRPr="00273106">
        <w:t xml:space="preserve">. Toto pozitivně a objektivně dané </w:t>
      </w:r>
      <w:r>
        <w:t xml:space="preserve">faktické </w:t>
      </w:r>
      <w:r w:rsidRPr="00273106">
        <w:t>nekonečno (</w:t>
      </w:r>
      <w:r w:rsidRPr="00273106">
        <w:rPr>
          <w:i/>
        </w:rPr>
        <w:t>infinitum in actu</w:t>
      </w:r>
      <w:r w:rsidRPr="00273106">
        <w:t>) je zkoumané skrze univoční a objektivní koncept</w:t>
      </w:r>
      <w:r>
        <w:t xml:space="preserve"> boží nekonečnosti dané jako specifická forma substance. Z ní </w:t>
      </w:r>
      <w:r w:rsidRPr="00273106">
        <w:t xml:space="preserve">jsou </w:t>
      </w:r>
      <w:r w:rsidR="00D4520A">
        <w:t xml:space="preserve">objektivně a </w:t>
      </w:r>
      <w:r>
        <w:t xml:space="preserve">kategoriálně </w:t>
      </w:r>
      <w:r w:rsidR="00D4520A">
        <w:t xml:space="preserve">dedukovány </w:t>
      </w:r>
      <w:r w:rsidRPr="00273106">
        <w:t>všechny ostatní vlastnosti jsoucna.</w:t>
      </w:r>
      <w:r>
        <w:t xml:space="preserve"> </w:t>
      </w:r>
      <w:r w:rsidRPr="00273106">
        <w:t xml:space="preserve">V rámci dvojího pojetí </w:t>
      </w:r>
      <w:r w:rsidR="00962190" w:rsidRPr="00A228BC">
        <w:t>species</w:t>
      </w:r>
      <w:r>
        <w:t xml:space="preserve"> Scotus definuje dvojí </w:t>
      </w:r>
      <w:r w:rsidRPr="00273106">
        <w:t>pojetí nekonečnosti (</w:t>
      </w:r>
      <w:r w:rsidRPr="00273106">
        <w:rPr>
          <w:i/>
        </w:rPr>
        <w:t>infinitum in actu et infinitum in potentia</w:t>
      </w:r>
      <w:r w:rsidRPr="00273106">
        <w:t>).</w:t>
      </w:r>
      <w:r w:rsidRPr="00273106">
        <w:rPr>
          <w:rStyle w:val="Znakapoznpodarou"/>
        </w:rPr>
        <w:footnoteReference w:id="439"/>
      </w:r>
      <w:r w:rsidR="00A1555F">
        <w:t xml:space="preserve"> </w:t>
      </w:r>
      <w:r w:rsidRPr="00273106">
        <w:t>Čistě potenciální nekonečno není poznatelné. Takové nekonečno nemůžeme pojmout, pro</w:t>
      </w:r>
      <w:r>
        <w:t>tože je dáno i mimo nekonečnou boží esenci</w:t>
      </w:r>
      <w:r w:rsidRPr="00273106">
        <w:t xml:space="preserve">. </w:t>
      </w:r>
      <w:r>
        <w:t>Také n</w:t>
      </w:r>
      <w:r w:rsidRPr="00273106">
        <w:t>elze pojmout nekonečno ani v jeho nekonečné aktualitě dané v bohu (</w:t>
      </w:r>
      <w:r w:rsidRPr="00273106">
        <w:rPr>
          <w:i/>
        </w:rPr>
        <w:t>sub ratione infiniti</w:t>
      </w:r>
      <w:r w:rsidRPr="00273106">
        <w:t xml:space="preserve">), ale pouze jeho </w:t>
      </w:r>
      <w:r>
        <w:t>objektivně-</w:t>
      </w:r>
      <w:r w:rsidRPr="00273106">
        <w:t xml:space="preserve">konečném modu pro nás. Bůh se poprvé stává předmětem našeho </w:t>
      </w:r>
      <w:r>
        <w:t xml:space="preserve">objektivního </w:t>
      </w:r>
      <w:r w:rsidRPr="00273106">
        <w:t>poznání (</w:t>
      </w:r>
      <w:r w:rsidRPr="00273106">
        <w:rPr>
          <w:i/>
        </w:rPr>
        <w:t>obiectum scientiae nostrae</w:t>
      </w:r>
      <w:r w:rsidRPr="00273106">
        <w:t>)</w:t>
      </w:r>
      <w:r w:rsidR="00986FA0">
        <w:t xml:space="preserve"> skrze koncept </w:t>
      </w:r>
      <w:r w:rsidRPr="00273106">
        <w:t xml:space="preserve">efektivního </w:t>
      </w:r>
      <w:r>
        <w:t xml:space="preserve">a objektivního </w:t>
      </w:r>
      <w:r w:rsidRPr="00273106">
        <w:t>nekonečna</w:t>
      </w:r>
      <w:r w:rsidR="00986FA0">
        <w:t xml:space="preserve">, což bylo důležité </w:t>
      </w:r>
      <w:r w:rsidRPr="00273106">
        <w:t>pro západní vědu</w:t>
      </w:r>
      <w:r>
        <w:fldChar w:fldCharType="begin"/>
      </w:r>
      <w:r>
        <w:instrText xml:space="preserve"> XE "objektivita:nekonečné univerzum" </w:instrText>
      </w:r>
      <w:r>
        <w:fldChar w:fldCharType="end"/>
      </w:r>
      <w:r w:rsidR="00BE4E53">
        <w:t xml:space="preserve">. </w:t>
      </w:r>
      <w:r>
        <w:t xml:space="preserve">Scotova verze moderního boha se </w:t>
      </w:r>
      <w:r w:rsidR="000A6E54">
        <w:t>stala</w:t>
      </w:r>
      <w:r>
        <w:t xml:space="preserve"> metafyzickým kapitálem západní vědy</w:t>
      </w:r>
      <w:r w:rsidR="000A6E54">
        <w:t xml:space="preserve"> díky spojení předešlých pojetí v rámci </w:t>
      </w:r>
      <w:r w:rsidR="000A6E54" w:rsidRPr="000A6E54">
        <w:rPr>
          <w:i/>
        </w:rPr>
        <w:t>dativus auctoris</w:t>
      </w:r>
      <w:r w:rsidR="00C31186">
        <w:rPr>
          <w:i/>
        </w:rPr>
        <w:fldChar w:fldCharType="begin"/>
      </w:r>
      <w:r w:rsidR="00C31186">
        <w:instrText xml:space="preserve"> XE "</w:instrText>
      </w:r>
      <w:r w:rsidR="00C31186" w:rsidRPr="00922AC9">
        <w:rPr>
          <w:i/>
        </w:rPr>
        <w:instrText>dativus auctoris</w:instrText>
      </w:r>
      <w:r w:rsidR="00C31186">
        <w:instrText xml:space="preserve">" </w:instrText>
      </w:r>
      <w:r w:rsidR="00C31186">
        <w:rPr>
          <w:i/>
        </w:rPr>
        <w:fldChar w:fldCharType="end"/>
      </w:r>
      <w:r w:rsidR="000A6E54">
        <w:t xml:space="preserve"> (Bonave</w:t>
      </w:r>
      <w:r w:rsidR="00C31186">
        <w:t>n</w:t>
      </w:r>
      <w:r w:rsidR="000A6E54">
        <w:t xml:space="preserve">tura, Olivi) a objektivní verze </w:t>
      </w:r>
      <w:r w:rsidR="000A6E54" w:rsidRPr="000A6E54">
        <w:rPr>
          <w:i/>
        </w:rPr>
        <w:t>dativus modi</w:t>
      </w:r>
      <w:r w:rsidR="00C31186">
        <w:rPr>
          <w:i/>
        </w:rPr>
        <w:fldChar w:fldCharType="begin"/>
      </w:r>
      <w:r w:rsidR="00C31186">
        <w:instrText xml:space="preserve"> XE "</w:instrText>
      </w:r>
      <w:r w:rsidR="00C31186" w:rsidRPr="000978E7">
        <w:rPr>
          <w:i/>
        </w:rPr>
        <w:instrText>dativus modi</w:instrText>
      </w:r>
      <w:r w:rsidR="00C31186">
        <w:instrText xml:space="preserve">" </w:instrText>
      </w:r>
      <w:r w:rsidR="00C31186">
        <w:rPr>
          <w:i/>
        </w:rPr>
        <w:fldChar w:fldCharType="end"/>
      </w:r>
      <w:r w:rsidR="000A6E54">
        <w:t xml:space="preserve"> (Scotus).</w:t>
      </w:r>
      <w:r w:rsidR="00C31186">
        <w:t xml:space="preserve"> Kapitalistický demiurg daný v předešlé generaci modernistů nyní dostal božskou racionalitu a celý vesmír je mu k dispozici v rámci </w:t>
      </w:r>
      <w:r>
        <w:t>virtuálně účinné nekonečnosti. Přenesením nekonečna do objektivně-virtuálního boha se uzavřel deduktivní postup infinitezimálního počtu</w:t>
      </w:r>
      <w:r w:rsidR="00A90E1B">
        <w:t xml:space="preserve">. </w:t>
      </w:r>
      <w:r w:rsidR="00C85342">
        <w:t>Původní forma integrace</w:t>
      </w:r>
      <w:r>
        <w:fldChar w:fldCharType="begin"/>
      </w:r>
      <w:r>
        <w:instrText xml:space="preserve"> XE "</w:instrText>
      </w:r>
      <w:r w:rsidRPr="003E5C28">
        <w:instrText>integrace</w:instrText>
      </w:r>
      <w:r>
        <w:instrText xml:space="preserve">" </w:instrText>
      </w:r>
      <w:r>
        <w:fldChar w:fldCharType="end"/>
      </w:r>
      <w:r w:rsidR="00C85342">
        <w:t xml:space="preserve"> a derivace</w:t>
      </w:r>
      <w:r>
        <w:fldChar w:fldCharType="begin"/>
      </w:r>
      <w:r>
        <w:instrText xml:space="preserve"> XE "</w:instrText>
      </w:r>
      <w:r w:rsidRPr="00124CC1">
        <w:instrText>derivace</w:instrText>
      </w:r>
      <w:r>
        <w:instrText xml:space="preserve">" </w:instrText>
      </w:r>
      <w:r>
        <w:fldChar w:fldCharType="end"/>
      </w:r>
      <w:r>
        <w:t xml:space="preserve"> </w:t>
      </w:r>
      <w:r w:rsidR="00C85342">
        <w:t>byla určena vzhledem k</w:t>
      </w:r>
      <w:r w:rsidR="00731F7B">
        <w:t> dále nedělitelnému i</w:t>
      </w:r>
      <w:r w:rsidR="00C85342">
        <w:t xml:space="preserve">ndividuu, které </w:t>
      </w:r>
      <w:r w:rsidR="00C85342">
        <w:lastRenderedPageBreak/>
        <w:t>objevilo p</w:t>
      </w:r>
      <w:r>
        <w:t xml:space="preserve">orretánské vidění světa </w:t>
      </w:r>
      <w:r w:rsidR="00C85342">
        <w:t>v modu „</w:t>
      </w:r>
      <w:r w:rsidR="00C85342" w:rsidRPr="00C85342">
        <w:rPr>
          <w:i/>
        </w:rPr>
        <w:t>discrete videamus</w:t>
      </w:r>
      <w:r w:rsidR="00C85342">
        <w:rPr>
          <w:i/>
        </w:rPr>
        <w:fldChar w:fldCharType="begin"/>
      </w:r>
      <w:r w:rsidR="00C85342">
        <w:instrText xml:space="preserve"> XE "</w:instrText>
      </w:r>
      <w:r w:rsidR="00C85342" w:rsidRPr="0038061E">
        <w:rPr>
          <w:i/>
        </w:rPr>
        <w:instrText>discrete videamus</w:instrText>
      </w:r>
      <w:r w:rsidR="00C85342">
        <w:instrText xml:space="preserve">" </w:instrText>
      </w:r>
      <w:r w:rsidR="00C85342">
        <w:rPr>
          <w:i/>
        </w:rPr>
        <w:fldChar w:fldCharType="end"/>
      </w:r>
      <w:r w:rsidR="00C85342">
        <w:t xml:space="preserve">“ </w:t>
      </w:r>
      <w:r>
        <w:t>(</w:t>
      </w:r>
      <w:r w:rsidR="00C85342" w:rsidRPr="00CF2092">
        <w:rPr>
          <w:szCs w:val="24"/>
        </w:rPr>
        <w:t>OBJ II, Kap. 1.4</w:t>
      </w:r>
      <w:r>
        <w:t xml:space="preserve">). </w:t>
      </w:r>
      <w:r w:rsidR="00A90E1B">
        <w:t xml:space="preserve">Toto nekonečně malé atomární </w:t>
      </w:r>
      <w:r w:rsidR="00A90E1B" w:rsidRPr="00A90E1B">
        <w:rPr>
          <w:i/>
        </w:rPr>
        <w:t>individuum</w:t>
      </w:r>
      <w:r w:rsidR="00A90E1B">
        <w:t xml:space="preserve"> se stalo moderním člověkem. Scotus k tomuto lidskému individuu přidal jeho nekonečně velký božský protějšek. </w:t>
      </w:r>
      <w:r>
        <w:t>Scotus sekularizoval a završil Bonaventurovu teorii</w:t>
      </w:r>
      <w:r w:rsidRPr="00273106">
        <w:t xml:space="preserve"> </w:t>
      </w:r>
      <w:r>
        <w:t>objektivního nekonečna</w:t>
      </w:r>
      <w:r w:rsidR="00BF702D">
        <w:t xml:space="preserve">. Tento pojem </w:t>
      </w:r>
      <w:r>
        <w:t xml:space="preserve">vytvořil první </w:t>
      </w:r>
      <w:r w:rsidRPr="00273106">
        <w:t>koncept objektivní západní vědy</w:t>
      </w:r>
      <w:r>
        <w:t xml:space="preserve"> napojené na teologickou spekulaci </w:t>
      </w:r>
      <w:r w:rsidR="00F52228">
        <w:t>(kap. 4</w:t>
      </w:r>
      <w:r w:rsidRPr="00273106">
        <w:t>.1.1).</w:t>
      </w:r>
      <w:r>
        <w:t xml:space="preserve"> Vznikem metafyzické </w:t>
      </w:r>
      <w:r w:rsidR="00B70034">
        <w:t xml:space="preserve">nekonečnosti </w:t>
      </w:r>
      <w:r>
        <w:t>je v moderně završena cesta k celku univerza pojatého matematicky.</w:t>
      </w:r>
    </w:p>
    <w:p w:rsidR="08163013" w:rsidRPr="00273106" w:rsidRDefault="08163013" w:rsidP="000B1051">
      <w:pPr>
        <w:ind w:firstLine="397"/>
      </w:pPr>
      <w:r w:rsidRPr="00273106">
        <w:t>Vznik nové</w:t>
      </w:r>
      <w:r w:rsidR="002A2732">
        <w:t xml:space="preserve"> </w:t>
      </w:r>
      <w:r>
        <w:t xml:space="preserve">objektivity v porretánském modu </w:t>
      </w:r>
      <w:r w:rsidR="002A2732">
        <w:t>„</w:t>
      </w:r>
      <w:r w:rsidRPr="007A2A37">
        <w:rPr>
          <w:i/>
        </w:rPr>
        <w:t>discrete videamus</w:t>
      </w:r>
      <w:r w:rsidR="002A2732">
        <w:t>“</w:t>
      </w:r>
      <w:r>
        <w:rPr>
          <w:i/>
        </w:rPr>
        <w:fldChar w:fldCharType="begin"/>
      </w:r>
      <w:r>
        <w:instrText xml:space="preserve"> XE "</w:instrText>
      </w:r>
      <w:r w:rsidRPr="00E90B20">
        <w:rPr>
          <w:i/>
        </w:rPr>
        <w:instrText>discrete videamus</w:instrText>
      </w:r>
      <w:r>
        <w:instrText xml:space="preserve">" </w:instrText>
      </w:r>
      <w:r>
        <w:rPr>
          <w:i/>
        </w:rPr>
        <w:fldChar w:fldCharType="end"/>
      </w:r>
      <w:r>
        <w:t xml:space="preserve"> koncipuje </w:t>
      </w:r>
      <w:r w:rsidR="008C2D4A" w:rsidRPr="008C2D4A">
        <w:rPr>
          <w:i/>
        </w:rPr>
        <w:t>Lectura I</w:t>
      </w:r>
      <w:r w:rsidRPr="00273106">
        <w:t xml:space="preserve"> </w:t>
      </w:r>
      <w:r>
        <w:t xml:space="preserve">v následujícím </w:t>
      </w:r>
      <w:r w:rsidRPr="00273106">
        <w:t xml:space="preserve">traktátu </w:t>
      </w:r>
      <w:r>
        <w:rPr>
          <w:i/>
        </w:rPr>
        <w:t>De conceptu entis</w:t>
      </w:r>
      <w:r w:rsidRPr="00273106">
        <w:rPr>
          <w:i/>
        </w:rPr>
        <w:t xml:space="preserve"> infiniti</w:t>
      </w:r>
      <w:r>
        <w:t xml:space="preserve"> (ed. </w:t>
      </w:r>
      <w:r w:rsidRPr="002A2732">
        <w:rPr>
          <w:i/>
        </w:rPr>
        <w:t>Vaticana</w:t>
      </w:r>
      <w:r w:rsidRPr="00273106">
        <w:t xml:space="preserve"> XVI</w:t>
      </w:r>
      <w:r>
        <w:t>, pp. 244f.). Druhý k</w:t>
      </w:r>
      <w:r w:rsidRPr="00273106">
        <w:t>rok</w:t>
      </w:r>
      <w:r>
        <w:t xml:space="preserve"> metafyzické dedukce</w:t>
      </w:r>
      <w:r w:rsidRPr="00273106">
        <w:t xml:space="preserve"> </w:t>
      </w:r>
      <w:r w:rsidR="004F68B2">
        <w:t>odlišil</w:t>
      </w:r>
      <w:r w:rsidRPr="00273106">
        <w:t xml:space="preserve"> poznání </w:t>
      </w:r>
      <w:r w:rsidR="004F7235">
        <w:t xml:space="preserve">hylemorfických </w:t>
      </w:r>
      <w:r w:rsidRPr="00273106">
        <w:t>složenin (</w:t>
      </w:r>
      <w:r w:rsidRPr="00273106">
        <w:rPr>
          <w:i/>
        </w:rPr>
        <w:t>esse confusum</w:t>
      </w:r>
      <w:r w:rsidRPr="00273106">
        <w:t>) od poznání objektivních</w:t>
      </w:r>
      <w:r>
        <w:t xml:space="preserve"> forem (</w:t>
      </w:r>
      <w:r w:rsidR="00962190">
        <w:rPr>
          <w:i/>
        </w:rPr>
        <w:t>species</w:t>
      </w:r>
      <w:r w:rsidRPr="00273106">
        <w:rPr>
          <w:i/>
        </w:rPr>
        <w:t xml:space="preserve"> tantum</w:t>
      </w:r>
      <w:r>
        <w:t>)</w:t>
      </w:r>
      <w:r w:rsidRPr="00273106">
        <w:t>. Tím se poznání reality dostalo od kategori</w:t>
      </w:r>
      <w:r>
        <w:t xml:space="preserve">ální predikace </w:t>
      </w:r>
      <w:r w:rsidRPr="00273106">
        <w:t xml:space="preserve">na úroveň </w:t>
      </w:r>
      <w:r>
        <w:t xml:space="preserve">objektivní </w:t>
      </w:r>
      <w:r w:rsidRPr="00273106">
        <w:t xml:space="preserve">kategorizace </w:t>
      </w:r>
      <w:r>
        <w:t xml:space="preserve">jsoucna. </w:t>
      </w:r>
      <w:r w:rsidRPr="00273106">
        <w:t xml:space="preserve">Objektivní poznání </w:t>
      </w:r>
      <w:r>
        <w:t xml:space="preserve">podle Scota </w:t>
      </w:r>
      <w:r w:rsidRPr="00273106">
        <w:t>nesmí jít na rovinu akcidentálního smyslového</w:t>
      </w:r>
      <w:r>
        <w:t xml:space="preserve"> poznání typu </w:t>
      </w:r>
      <w:r w:rsidR="00DF2ABF">
        <w:t>„</w:t>
      </w:r>
      <w:r w:rsidRPr="00273106">
        <w:rPr>
          <w:i/>
        </w:rPr>
        <w:t>homo albus</w:t>
      </w:r>
      <w:r w:rsidR="00DF2ABF">
        <w:t>“</w:t>
      </w:r>
      <w:r w:rsidRPr="00273106">
        <w:t>, protože by už nebylo objektivní. P</w:t>
      </w:r>
      <w:r>
        <w:t>řestalo by „ex</w:t>
      </w:r>
      <w:r w:rsidRPr="00273106">
        <w:t xml:space="preserve">sistovat“ </w:t>
      </w:r>
      <w:r w:rsidR="00891CF8">
        <w:t xml:space="preserve">jako </w:t>
      </w:r>
      <w:r w:rsidRPr="00273106">
        <w:t xml:space="preserve">minimání </w:t>
      </w:r>
      <w:r>
        <w:t>a univerzální</w:t>
      </w:r>
      <w:r w:rsidR="00891CF8">
        <w:t xml:space="preserve"> jsoucno</w:t>
      </w:r>
      <w:r w:rsidR="00345D20">
        <w:t xml:space="preserve"> třetího druhu. Objektivní koncept je univerzální proto, že může přesáhnout</w:t>
      </w:r>
      <w:r w:rsidR="00345D20" w:rsidRPr="00273106">
        <w:t xml:space="preserve"> do reality (existující auto), nebo také </w:t>
      </w:r>
      <w:r w:rsidR="00345D20">
        <w:t xml:space="preserve">může zůstat </w:t>
      </w:r>
      <w:r w:rsidR="00345D20" w:rsidRPr="00273106">
        <w:t>jen v mysli (neexistující chiméra</w:t>
      </w:r>
      <w:r w:rsidR="00345D20">
        <w:fldChar w:fldCharType="begin"/>
      </w:r>
      <w:r w:rsidR="00345D20">
        <w:instrText xml:space="preserve"> XE "</w:instrText>
      </w:r>
      <w:r w:rsidR="00345D20" w:rsidRPr="009316B3">
        <w:instrText>chiméra</w:instrText>
      </w:r>
      <w:r w:rsidR="00345D20">
        <w:instrText xml:space="preserve">" </w:instrText>
      </w:r>
      <w:r w:rsidR="00345D20">
        <w:fldChar w:fldCharType="end"/>
      </w:r>
      <w:r w:rsidR="00345D20" w:rsidRPr="00273106">
        <w:t xml:space="preserve">). </w:t>
      </w:r>
      <w:r w:rsidR="00345D20">
        <w:t>Nová species</w:t>
      </w:r>
      <w:r w:rsidR="00345D20" w:rsidRPr="00345D20">
        <w:t xml:space="preserve"> (viz výše zmíněný příklad bělosti) </w:t>
      </w:r>
      <w:r w:rsidR="00345D20">
        <w:t xml:space="preserve">odmítl dílo </w:t>
      </w:r>
      <w:r w:rsidR="00345D20" w:rsidRPr="00345D20">
        <w:rPr>
          <w:i/>
        </w:rPr>
        <w:t>K</w:t>
      </w:r>
      <w:r w:rsidR="00345D20">
        <w:rPr>
          <w:i/>
        </w:rPr>
        <w:t>ategorie</w:t>
      </w:r>
      <w:r w:rsidR="00E001D9">
        <w:t>, které</w:t>
      </w:r>
      <w:r w:rsidR="00345D20">
        <w:t xml:space="preserve"> </w:t>
      </w:r>
      <w:r w:rsidR="00345D20" w:rsidRPr="00345D20">
        <w:t>zaved</w:t>
      </w:r>
      <w:r w:rsidR="00E001D9">
        <w:t xml:space="preserve">lo </w:t>
      </w:r>
      <w:r w:rsidR="00345D20" w:rsidRPr="00345D20">
        <w:t>druh</w:t>
      </w:r>
      <w:r w:rsidR="00E001D9">
        <w:t>ou substanci</w:t>
      </w:r>
      <w:r w:rsidR="00345D20" w:rsidRPr="00345D20">
        <w:t xml:space="preserve"> prostřednictvím </w:t>
      </w:r>
      <w:r w:rsidR="00345D20">
        <w:t>impozice</w:t>
      </w:r>
      <w:r w:rsidR="009D3A29">
        <w:t xml:space="preserve"> z reality</w:t>
      </w:r>
      <w:r w:rsidR="00345D20">
        <w:t xml:space="preserve">. Scotus </w:t>
      </w:r>
      <w:r w:rsidR="0001623A">
        <w:t xml:space="preserve">ustavil </w:t>
      </w:r>
      <w:r w:rsidRPr="00273106">
        <w:t xml:space="preserve">po vzoru Avicenny třídu konceptů daných </w:t>
      </w:r>
      <w:r w:rsidRPr="00273106">
        <w:rPr>
          <w:i/>
        </w:rPr>
        <w:t>simplex</w:t>
      </w:r>
      <w:r w:rsidRPr="00273106">
        <w:t xml:space="preserve"> a </w:t>
      </w:r>
      <w:r w:rsidRPr="00273106">
        <w:rPr>
          <w:i/>
        </w:rPr>
        <w:t>per se</w:t>
      </w:r>
      <w:r w:rsidRPr="00273106">
        <w:t>, která</w:t>
      </w:r>
      <w:r>
        <w:t xml:space="preserve"> nahrad</w:t>
      </w:r>
      <w:r w:rsidR="0001623A">
        <w:t>ila</w:t>
      </w:r>
      <w:r>
        <w:t xml:space="preserve"> impozici od první substance pomocí supozice od konceptu nekonečného jsoucna.</w:t>
      </w:r>
      <w:r w:rsidRPr="00273106">
        <w:t xml:space="preserve"> </w:t>
      </w:r>
      <w:r>
        <w:t xml:space="preserve">Gandavus začíná objektivní poznání od chiméry skrze koncept jsoucna jako </w:t>
      </w:r>
      <w:r w:rsidR="004B6679">
        <w:t>„</w:t>
      </w:r>
      <w:r w:rsidRPr="00273106">
        <w:rPr>
          <w:i/>
        </w:rPr>
        <w:t>conceptus vanus</w:t>
      </w:r>
      <w:r w:rsidR="004B6679">
        <w:t>“</w:t>
      </w:r>
      <w:r>
        <w:t xml:space="preserve">, či </w:t>
      </w:r>
      <w:r w:rsidR="004B6679">
        <w:t>„</w:t>
      </w:r>
      <w:r w:rsidR="004B45E4">
        <w:rPr>
          <w:i/>
        </w:rPr>
        <w:t>conceptus fictiti</w:t>
      </w:r>
      <w:r w:rsidRPr="00273106">
        <w:rPr>
          <w:i/>
        </w:rPr>
        <w:t>us</w:t>
      </w:r>
      <w:r w:rsidR="004B6679">
        <w:t>“</w:t>
      </w:r>
      <w:r>
        <w:rPr>
          <w:i/>
        </w:rPr>
        <w:fldChar w:fldCharType="begin"/>
      </w:r>
      <w:r>
        <w:instrText xml:space="preserve"> XE "substance:</w:instrText>
      </w:r>
      <w:r w:rsidRPr="00044167">
        <w:rPr>
          <w:i/>
        </w:rPr>
        <w:instrText xml:space="preserve">conceptus </w:instrText>
      </w:r>
      <w:r w:rsidR="004B45E4">
        <w:rPr>
          <w:i/>
        </w:rPr>
        <w:instrText>fictiti</w:instrText>
      </w:r>
      <w:r w:rsidRPr="00044167">
        <w:rPr>
          <w:i/>
        </w:rPr>
        <w:instrText>us</w:instrText>
      </w:r>
      <w:r>
        <w:instrText xml:space="preserve">" </w:instrText>
      </w:r>
      <w:r>
        <w:rPr>
          <w:i/>
        </w:rPr>
        <w:fldChar w:fldCharType="end"/>
      </w:r>
      <w:r w:rsidR="00F52228">
        <w:t xml:space="preserve"> (kap. 5</w:t>
      </w:r>
      <w:r>
        <w:t xml:space="preserve">.2.1). Kritický objektivista </w:t>
      </w:r>
      <w:r w:rsidRPr="00273106">
        <w:t xml:space="preserve">Scotus </w:t>
      </w:r>
      <w:r>
        <w:t xml:space="preserve">nezačíná poznání metafyziky od chiméry, ale od </w:t>
      </w:r>
      <w:r w:rsidR="001C6109">
        <w:t xml:space="preserve">racionality </w:t>
      </w:r>
      <w:r>
        <w:t xml:space="preserve">nekonečného boha, která </w:t>
      </w:r>
      <w:r w:rsidR="001C6109">
        <w:t xml:space="preserve">je poznatelná </w:t>
      </w:r>
      <w:r>
        <w:t xml:space="preserve">v konečné realitě. Jeho důvtipné úsilí vyšlo nastejno, protože moderní bůh se nevyhnutelně stal chimérou. Nihilistická postmoderna v podání Nietzscheho se konsekventně vrátila na začátek </w:t>
      </w:r>
      <w:r w:rsidR="00845C22">
        <w:t xml:space="preserve">cesty určené </w:t>
      </w:r>
      <w:r>
        <w:t>Olivi</w:t>
      </w:r>
      <w:r w:rsidR="00845C22">
        <w:t xml:space="preserve">m. Ten </w:t>
      </w:r>
      <w:r>
        <w:t>determin</w:t>
      </w:r>
      <w:r w:rsidR="00845C22">
        <w:t>oval demiurgickou</w:t>
      </w:r>
      <w:r>
        <w:t xml:space="preserve"> vůli </w:t>
      </w:r>
      <w:r w:rsidR="00845C22">
        <w:t>jako základ božského a lidského s</w:t>
      </w:r>
      <w:r>
        <w:t>ubjektu</w:t>
      </w:r>
      <w:r w:rsidR="00845C22">
        <w:t xml:space="preserve">; </w:t>
      </w:r>
      <w:r>
        <w:t>svět</w:t>
      </w:r>
      <w:r w:rsidR="00845C22">
        <w:t xml:space="preserve"> je nahlížen </w:t>
      </w:r>
      <w:r>
        <w:t xml:space="preserve">jako </w:t>
      </w:r>
      <w:r w:rsidR="00845C22" w:rsidRPr="003B0BB6">
        <w:rPr>
          <w:i/>
        </w:rPr>
        <w:t>a</w:t>
      </w:r>
      <w:r w:rsidR="003B0BB6" w:rsidRPr="003B0BB6">
        <w:rPr>
          <w:i/>
        </w:rPr>
        <w:t>spectus</w:t>
      </w:r>
      <w:r>
        <w:t xml:space="preserve"> </w:t>
      </w:r>
      <w:r w:rsidR="00845C22">
        <w:t xml:space="preserve">takto určené </w:t>
      </w:r>
      <w:r>
        <w:t xml:space="preserve">vůle. Proto postmoderna zrušila moderního boha stejně </w:t>
      </w:r>
      <w:r w:rsidR="00790A18">
        <w:t xml:space="preserve">nutně </w:t>
      </w:r>
      <w:r>
        <w:t>jako Scotus zrušil při zakládání objektivní metafyziky</w:t>
      </w:r>
      <w:r>
        <w:fldChar w:fldCharType="begin"/>
      </w:r>
      <w:r>
        <w:instrText xml:space="preserve"> XE "</w:instrText>
      </w:r>
      <w:r w:rsidRPr="00773E4B">
        <w:instrText>metafyzika:dogmatická</w:instrText>
      </w:r>
      <w:r>
        <w:instrText xml:space="preserve">" </w:instrText>
      </w:r>
      <w:r>
        <w:fldChar w:fldCharType="end"/>
      </w:r>
      <w:r>
        <w:t xml:space="preserve"> Gandavovu </w:t>
      </w:r>
      <w:r w:rsidR="004814A0">
        <w:t>metafyziku chiméry</w:t>
      </w:r>
      <w:r>
        <w:t xml:space="preserve">. Princip logické parsimonie a Nietzscheho </w:t>
      </w:r>
      <w:r w:rsidR="00E66937">
        <w:t xml:space="preserve">filosofického kladiva </w:t>
      </w:r>
      <w:r>
        <w:t xml:space="preserve">jasně dokazuje, že usmrtit moderního boha je logicky mnohem jednodušší než marné a dnes již zcela zbytečné dokazování jeho objektivní </w:t>
      </w:r>
      <w:r>
        <w:lastRenderedPageBreak/>
        <w:t xml:space="preserve">„exsistence“. </w:t>
      </w:r>
      <w:r w:rsidRPr="00273106">
        <w:t xml:space="preserve">Primárním objektem nové metafyziky musí být jsoucno v modu </w:t>
      </w:r>
      <w:r w:rsidRPr="00273106">
        <w:rPr>
          <w:i/>
        </w:rPr>
        <w:t>simpliciter</w:t>
      </w:r>
      <w:r>
        <w:t xml:space="preserve">. Ale toto jsoucno je podle aristotelského Scota jen </w:t>
      </w:r>
      <w:r w:rsidRPr="00273106">
        <w:rPr>
          <w:i/>
        </w:rPr>
        <w:t>conceptus</w:t>
      </w:r>
      <w:r w:rsidRPr="00273106">
        <w:t xml:space="preserve">, tedy </w:t>
      </w:r>
      <w:r>
        <w:t xml:space="preserve">specifický </w:t>
      </w:r>
      <w:r w:rsidRPr="00273106">
        <w:t xml:space="preserve">náhled na celek konečného </w:t>
      </w:r>
      <w:r>
        <w:t xml:space="preserve">univerza daný </w:t>
      </w:r>
      <w:r w:rsidRPr="00273106">
        <w:t xml:space="preserve">z perspektivy </w:t>
      </w:r>
      <w:r>
        <w:t xml:space="preserve">boží </w:t>
      </w:r>
      <w:r w:rsidRPr="00273106">
        <w:t>nekonečnosti</w:t>
      </w:r>
      <w:r>
        <w:t xml:space="preserve"> (</w:t>
      </w:r>
      <w:r w:rsidRPr="086D1BB5">
        <w:rPr>
          <w:i/>
        </w:rPr>
        <w:t>entis infiniti</w:t>
      </w:r>
      <w:r>
        <w:t>)</w:t>
      </w:r>
      <w:r w:rsidRPr="00273106">
        <w:t xml:space="preserve">. </w:t>
      </w:r>
      <w:r>
        <w:t>Aristoteles</w:t>
      </w:r>
      <w:r w:rsidRPr="00273106">
        <w:t xml:space="preserve"> a první averroismus by podobný pokus jednoznačně odmítli</w:t>
      </w:r>
      <w:r w:rsidR="002660E8">
        <w:t>. J</w:t>
      </w:r>
      <w:r w:rsidRPr="00273106">
        <w:t xml:space="preserve">en první substance je dána čistě </w:t>
      </w:r>
      <w:r w:rsidRPr="00273106">
        <w:rPr>
          <w:i/>
        </w:rPr>
        <w:t>simpliciter</w:t>
      </w:r>
      <w:r w:rsidRPr="00273106">
        <w:t xml:space="preserve"> a druhá substance je </w:t>
      </w:r>
      <w:r w:rsidR="002660E8">
        <w:t xml:space="preserve">nadto </w:t>
      </w:r>
      <w:r w:rsidRPr="00273106">
        <w:t xml:space="preserve">dána </w:t>
      </w:r>
      <w:r w:rsidR="002660E8">
        <w:t xml:space="preserve">také </w:t>
      </w:r>
      <w:r w:rsidRPr="00273106">
        <w:rPr>
          <w:i/>
        </w:rPr>
        <w:t>universaliter</w:t>
      </w:r>
      <w:r w:rsidRPr="00273106">
        <w:t xml:space="preserve"> jako </w:t>
      </w:r>
      <w:r>
        <w:t xml:space="preserve">potenciální </w:t>
      </w:r>
      <w:r w:rsidR="002660E8">
        <w:t>případek našeho poznání, které odpovídá první substanci</w:t>
      </w:r>
      <w:r w:rsidRPr="00273106">
        <w:t>.</w:t>
      </w:r>
      <w:r>
        <w:t xml:space="preserve"> Scotův náhled na jsoucno </w:t>
      </w:r>
      <w:r w:rsidRPr="00273106">
        <w:t xml:space="preserve">musí </w:t>
      </w:r>
      <w:r>
        <w:t xml:space="preserve">ve druhém kroku dedukce odlišit </w:t>
      </w:r>
      <w:r w:rsidR="00962190" w:rsidRPr="004D496F">
        <w:t>species</w:t>
      </w:r>
      <w:r>
        <w:t xml:space="preserve"> reálných </w:t>
      </w:r>
      <w:r w:rsidR="00C96B02">
        <w:t xml:space="preserve">věcí </w:t>
      </w:r>
      <w:r>
        <w:t xml:space="preserve">od </w:t>
      </w:r>
      <w:r w:rsidRPr="00273106">
        <w:t>objektivní</w:t>
      </w:r>
      <w:r>
        <w:t xml:space="preserve">ho poznání těchto </w:t>
      </w:r>
      <w:r w:rsidR="00C96B02">
        <w:t>věcí</w:t>
      </w:r>
      <w:r>
        <w:t xml:space="preserve">. </w:t>
      </w:r>
      <w:r w:rsidRPr="00273106">
        <w:t xml:space="preserve">Definice </w:t>
      </w:r>
      <w:r w:rsidR="000B1051">
        <w:t>objektivní</w:t>
      </w:r>
      <w:r>
        <w:t xml:space="preserve"> </w:t>
      </w:r>
      <w:r w:rsidR="00962190" w:rsidRPr="004D496F">
        <w:t>species</w:t>
      </w:r>
      <w:r>
        <w:t xml:space="preserve"> inspirovaná </w:t>
      </w:r>
      <w:r w:rsidR="00E658EB">
        <w:t xml:space="preserve">eidetickým </w:t>
      </w:r>
      <w:r>
        <w:t xml:space="preserve">náhledem Avicenny </w:t>
      </w:r>
      <w:r w:rsidRPr="00273106">
        <w:t>předs</w:t>
      </w:r>
      <w:r>
        <w:t>tavuje rozhodující krok na cestě k metafyzickému pojmu objektivního jsoucna.</w:t>
      </w:r>
      <w:r w:rsidRPr="00273106">
        <w:t xml:space="preserve"> </w:t>
      </w:r>
    </w:p>
    <w:p w:rsidR="08163013" w:rsidRPr="00907742" w:rsidRDefault="08163013" w:rsidP="08163013">
      <w:pPr>
        <w:pStyle w:val="Citace"/>
        <w:rPr>
          <w:noProof/>
          <w:lang w:val="cs-CZ"/>
        </w:rPr>
      </w:pPr>
      <w:r w:rsidRPr="00273106">
        <w:rPr>
          <w:noProof/>
          <w:lang w:val="cs-CZ"/>
        </w:rPr>
        <w:t>„</w:t>
      </w:r>
      <w:r>
        <w:rPr>
          <w:noProof/>
          <w:lang w:val="cs-CZ"/>
        </w:rPr>
        <w:t>Pojem v modu jednoduchosti, který je pojatý v jediném aktu uchopení intelektem a v jediném aktu porozumění, je dvojí. Je dán jako pojem v objektivní jednoduchosti (</w:t>
      </w:r>
      <w:r w:rsidRPr="00907742">
        <w:rPr>
          <w:i/>
          <w:noProof/>
          <w:lang w:val="cs-CZ"/>
        </w:rPr>
        <w:t>conceptus simpliciter simplex</w:t>
      </w:r>
      <w:r>
        <w:rPr>
          <w:noProof/>
          <w:lang w:val="cs-CZ"/>
        </w:rPr>
        <w:t>) a mimo tuto jednoduchost (</w:t>
      </w:r>
      <w:r w:rsidRPr="00907742">
        <w:rPr>
          <w:i/>
          <w:noProof/>
          <w:lang w:val="cs-CZ"/>
        </w:rPr>
        <w:t>non simpliciter simplex</w:t>
      </w:r>
      <w:r>
        <w:rPr>
          <w:noProof/>
          <w:lang w:val="cs-CZ"/>
        </w:rPr>
        <w:t>). Pojem daný v objektivní jednoduchosti je ten, jehož konceptualitu není možno rozložit na jiné koncepty, které by byly řádu bytí primárnější (</w:t>
      </w:r>
      <w:r w:rsidRPr="00907742">
        <w:rPr>
          <w:i/>
          <w:noProof/>
          <w:lang w:val="cs-CZ"/>
        </w:rPr>
        <w:t>non est resolubilis in alios conceptus priores</w:t>
      </w:r>
      <w:r>
        <w:rPr>
          <w:noProof/>
          <w:lang w:val="cs-CZ"/>
        </w:rPr>
        <w:t>). Pojem daný mimo tuto jednoduchost je možné rozložit na předcházející pojmy, jako například koncept člověka je možné rozložit na pojem rodu a diference.“ </w:t>
      </w:r>
      <w:r>
        <w:rPr>
          <w:rStyle w:val="Znakapoznpodarou"/>
        </w:rPr>
        <w:footnoteReference w:id="440"/>
      </w:r>
    </w:p>
    <w:p w:rsidR="008E2222" w:rsidRDefault="08163013" w:rsidP="00FC2C52">
      <w:r w:rsidRPr="00273106">
        <w:t xml:space="preserve">Rozlišení </w:t>
      </w:r>
      <w:r>
        <w:t xml:space="preserve">metafyzického náhledu na jsoucno </w:t>
      </w:r>
      <w:r w:rsidRPr="00273106">
        <w:t>nyní běží na úrovni druhé substance</w:t>
      </w:r>
      <w:r>
        <w:fldChar w:fldCharType="begin"/>
      </w:r>
      <w:r>
        <w:instrText xml:space="preserve"> XE "</w:instrText>
      </w:r>
      <w:r w:rsidRPr="00DE2A32">
        <w:instrText>substance</w:instrText>
      </w:r>
      <w:r>
        <w:instrText xml:space="preserve">:druhá" </w:instrText>
      </w:r>
      <w:r>
        <w:fldChar w:fldCharType="end"/>
      </w:r>
      <w:r w:rsidRPr="00273106">
        <w:t xml:space="preserve">, která pro Aristotela představovala poslední univoční predikaci v rámci rodu. Scotus to odmítá a řadí </w:t>
      </w:r>
      <w:r>
        <w:t xml:space="preserve">aristotelskou </w:t>
      </w:r>
      <w:r w:rsidRPr="00273106">
        <w:t>druhou substanci (</w:t>
      </w:r>
      <w:r w:rsidRPr="00273106">
        <w:rPr>
          <w:i/>
        </w:rPr>
        <w:t>conceptus non simpliciter simplex</w:t>
      </w:r>
      <w:r>
        <w:fldChar w:fldCharType="begin"/>
      </w:r>
      <w:r>
        <w:instrText xml:space="preserve"> XE "</w:instrText>
      </w:r>
      <w:r w:rsidRPr="00FF6A6C">
        <w:rPr>
          <w:i/>
        </w:rPr>
        <w:instrText>conceptus simpliciter simplex</w:instrText>
      </w:r>
      <w:r>
        <w:instrText xml:space="preserve">" </w:instrText>
      </w:r>
      <w:r>
        <w:fldChar w:fldCharType="end"/>
      </w:r>
      <w:r w:rsidRPr="00273106">
        <w:t>) do kategorie dále rozložitelných pojmů (</w:t>
      </w:r>
      <w:r w:rsidRPr="00273106">
        <w:rPr>
          <w:i/>
        </w:rPr>
        <w:t>resolvitur in conceptum generis et differentiae</w:t>
      </w:r>
      <w:r w:rsidRPr="00273106">
        <w:t xml:space="preserve">). </w:t>
      </w:r>
      <w:r w:rsidR="00FC2C52">
        <w:t xml:space="preserve">Objektivní predikace jde za aristotelskou druhou substanci. Primární predikace poslední jednoty substance musí jít až na poslední úroveň objektivní (a nikoliv kategoriální) predikace na úrovni </w:t>
      </w:r>
      <w:r w:rsidR="00FC2C52" w:rsidRPr="00FC2C52">
        <w:rPr>
          <w:i/>
        </w:rPr>
        <w:t>ens inquantum ens</w:t>
      </w:r>
      <w:r w:rsidR="00FC2C52">
        <w:t xml:space="preserve">. </w:t>
      </w:r>
      <w:r w:rsidRPr="00273106">
        <w:t>Primární predikac</w:t>
      </w:r>
      <w:r>
        <w:t xml:space="preserve">e jednoty jsoucna musí jít za </w:t>
      </w:r>
      <w:r w:rsidRPr="00273106">
        <w:t>druhou substanci</w:t>
      </w:r>
      <w:r>
        <w:t xml:space="preserve"> až</w:t>
      </w:r>
      <w:r w:rsidRPr="00273106">
        <w:t xml:space="preserve"> do poslední roviny predikace</w:t>
      </w:r>
      <w:r>
        <w:t xml:space="preserve"> dané mimo druhou substanci</w:t>
      </w:r>
      <w:r w:rsidRPr="00273106">
        <w:t xml:space="preserve">. </w:t>
      </w:r>
      <w:r>
        <w:t xml:space="preserve">Složené </w:t>
      </w:r>
      <w:r w:rsidRPr="00273106">
        <w:t xml:space="preserve">kategoriálně predikované jsoucno </w:t>
      </w:r>
      <w:r w:rsidR="00DA6369">
        <w:t xml:space="preserve">jako </w:t>
      </w:r>
      <w:r>
        <w:t>„</w:t>
      </w:r>
      <w:r w:rsidR="008F0C85" w:rsidRPr="00A20C8E">
        <w:rPr>
          <w:i/>
          <w:noProof/>
        </w:rPr>
        <w:t>conceptus hominis</w:t>
      </w:r>
      <w:r>
        <w:t xml:space="preserve">“ </w:t>
      </w:r>
      <w:r w:rsidRPr="00273106">
        <w:t xml:space="preserve">se rozkládá na </w:t>
      </w:r>
      <w:r>
        <w:t xml:space="preserve">rod, diferenci a </w:t>
      </w:r>
      <w:r w:rsidR="00962190">
        <w:rPr>
          <w:i/>
        </w:rPr>
        <w:t>species</w:t>
      </w:r>
      <w:r w:rsidRPr="00273106">
        <w:t xml:space="preserve">. </w:t>
      </w:r>
      <w:r>
        <w:t>Člověk jako aristotelská druhá substance není posledním určením jsoucna, protože tuto univerzálii je možné dále dělit na jiné atomární jednotky významu. Z hlediska Alexandrovy teze o druzích vědy da</w:t>
      </w:r>
      <w:r w:rsidR="00D40FB8">
        <w:t>né podle druhů substancí (kap. 5</w:t>
      </w:r>
      <w:r>
        <w:t xml:space="preserve">.3.1) by toto dělení skončilo v logice porretánů a ne u první vědy o </w:t>
      </w:r>
      <w:r w:rsidR="001B262A">
        <w:t>„</w:t>
      </w:r>
      <w:r>
        <w:t>substanci</w:t>
      </w:r>
      <w:r w:rsidR="001B262A">
        <w:t xml:space="preserve"> </w:t>
      </w:r>
      <w:r w:rsidR="001B262A" w:rsidRPr="001B262A">
        <w:rPr>
          <w:i/>
        </w:rPr>
        <w:t>qua</w:t>
      </w:r>
      <w:r w:rsidR="001B262A">
        <w:t xml:space="preserve"> </w:t>
      </w:r>
      <w:r w:rsidR="001B262A">
        <w:lastRenderedPageBreak/>
        <w:t>substanci“</w:t>
      </w:r>
      <w:r>
        <w:t>. Scotus musí přejít z roviny logické predikace do metafyzické abstrakce, kde se univerzá</w:t>
      </w:r>
      <w:r w:rsidR="00D40FB8">
        <w:t xml:space="preserve">lní jsoucno nahlíží přímo a není nahrazeno </w:t>
      </w:r>
      <w:r>
        <w:t xml:space="preserve">skrze logický koncept. Teprve přímý intelektuální náhled na poslední identitu </w:t>
      </w:r>
      <w:r w:rsidR="00962190">
        <w:rPr>
          <w:i/>
        </w:rPr>
        <w:t>species</w:t>
      </w:r>
      <w:r w:rsidRPr="00273106">
        <w:t xml:space="preserve"> (</w:t>
      </w:r>
      <w:r w:rsidRPr="00273106">
        <w:rPr>
          <w:i/>
        </w:rPr>
        <w:t>conceptus simpliciter simplex</w:t>
      </w:r>
      <w:r>
        <w:rPr>
          <w:i/>
        </w:rPr>
        <w:fldChar w:fldCharType="begin"/>
      </w:r>
      <w:r>
        <w:instrText xml:space="preserve"> XE "</w:instrText>
      </w:r>
      <w:r w:rsidRPr="00FF6A6C">
        <w:rPr>
          <w:i/>
        </w:rPr>
        <w:instrText>conceptus simpliciter simplex</w:instrText>
      </w:r>
      <w:r>
        <w:instrText xml:space="preserve">" </w:instrText>
      </w:r>
      <w:r>
        <w:rPr>
          <w:i/>
        </w:rPr>
        <w:fldChar w:fldCharType="end"/>
      </w:r>
      <w:r w:rsidRPr="00273106">
        <w:t>) už není rozložitelný na další části (</w:t>
      </w:r>
      <w:r w:rsidRPr="00273106">
        <w:rPr>
          <w:i/>
        </w:rPr>
        <w:t>non est resolubilis in alios conceptus priores</w:t>
      </w:r>
      <w:r w:rsidRPr="00273106">
        <w:t xml:space="preserve">). </w:t>
      </w:r>
      <w:r>
        <w:t>N</w:t>
      </w:r>
      <w:r w:rsidRPr="00273106">
        <w:t xml:space="preserve">a této úrovni už nejsou </w:t>
      </w:r>
      <w:r>
        <w:t xml:space="preserve">primární určení jsoucna </w:t>
      </w:r>
      <w:r w:rsidRPr="00273106">
        <w:t>dále rozložitelné na rody a druhy</w:t>
      </w:r>
      <w:r>
        <w:t>, ale fungují jako čisté eidetické esence</w:t>
      </w:r>
      <w:r w:rsidRPr="00273106">
        <w:t>. Poznání na úrovni objektivního univočního konceptu daného v minimální míře jsoucnosti zajištuje poslední rovinu univocity</w:t>
      </w:r>
      <w:r>
        <w:t xml:space="preserve">, protože </w:t>
      </w:r>
      <w:r w:rsidRPr="00273106">
        <w:t>čistý koncept „něčeho</w:t>
      </w:r>
      <w:r>
        <w:t xml:space="preserve"> určitého</w:t>
      </w:r>
      <w:r w:rsidRPr="00273106">
        <w:t>“ ne</w:t>
      </w:r>
      <w:r>
        <w:t>lze rozkládat</w:t>
      </w:r>
      <w:r w:rsidRPr="00273106">
        <w:t xml:space="preserve"> na </w:t>
      </w:r>
      <w:r>
        <w:t xml:space="preserve">nic </w:t>
      </w:r>
      <w:r w:rsidRPr="00273106">
        <w:t>dalšího</w:t>
      </w:r>
      <w:r>
        <w:t>. Nerozložitelnost prvních konceptů (</w:t>
      </w:r>
      <w:r w:rsidRPr="08D63DA5">
        <w:rPr>
          <w:i/>
        </w:rPr>
        <w:t>resolutio</w:t>
      </w:r>
      <w:r>
        <w:t>) zajišťuje Avicennovi sféru posledních či prvních individuálních významů jsoucna. Nově určená amfibolní jednota</w:t>
      </w:r>
      <w:r w:rsidRPr="00273106">
        <w:t xml:space="preserve"> </w:t>
      </w:r>
      <w:r>
        <w:t>jsoucna je daná vskutku transcendentálně „za“ (</w:t>
      </w:r>
      <w:r w:rsidRPr="08AA21A9">
        <w:t>μετά</w:t>
      </w:r>
      <w:r>
        <w:t xml:space="preserve">, </w:t>
      </w:r>
      <w:r w:rsidRPr="08AA21A9">
        <w:rPr>
          <w:i/>
        </w:rPr>
        <w:t>trans</w:t>
      </w:r>
      <w:r>
        <w:t xml:space="preserve">) první a dokonce i za druhou substancí. Scotus </w:t>
      </w:r>
      <w:r w:rsidRPr="00273106">
        <w:t xml:space="preserve">zakládá </w:t>
      </w:r>
      <w:r>
        <w:t xml:space="preserve">nové metafyzické </w:t>
      </w:r>
      <w:r w:rsidRPr="00273106">
        <w:rPr>
          <w:i/>
        </w:rPr>
        <w:t>resolutio</w:t>
      </w:r>
      <w:r>
        <w:rPr>
          <w:i/>
        </w:rPr>
        <w:fldChar w:fldCharType="begin"/>
      </w:r>
      <w:r>
        <w:instrText xml:space="preserve"> XE "</w:instrText>
      </w:r>
      <w:r w:rsidRPr="00111E9E">
        <w:rPr>
          <w:i/>
        </w:rPr>
        <w:instrText>resolutio</w:instrText>
      </w:r>
      <w:r>
        <w:rPr>
          <w:i/>
        </w:rPr>
        <w:instrText>:</w:instrText>
      </w:r>
      <w:r w:rsidRPr="007D3515">
        <w:instrText>Scotus</w:instrText>
      </w:r>
      <w:r>
        <w:instrText xml:space="preserve">" </w:instrText>
      </w:r>
      <w:r>
        <w:rPr>
          <w:i/>
        </w:rPr>
        <w:fldChar w:fldCharType="end"/>
      </w:r>
      <w:r w:rsidRPr="00273106">
        <w:t xml:space="preserve"> jsoucna</w:t>
      </w:r>
      <w:r>
        <w:t xml:space="preserve"> po vzoru Avicenny a školy Gramatiků pod Kancléřem Filipem. Ale místo neoplatonské transcendentálie </w:t>
      </w:r>
      <w:r w:rsidR="002A4C97">
        <w:t xml:space="preserve">se objevila </w:t>
      </w:r>
      <w:r>
        <w:t>ve schématu nov</w:t>
      </w:r>
      <w:r w:rsidR="008E2222">
        <w:t>á forma aristotelské substance.</w:t>
      </w:r>
    </w:p>
    <w:p w:rsidR="08163013" w:rsidRPr="00273106" w:rsidRDefault="08163013" w:rsidP="008E2222">
      <w:pPr>
        <w:ind w:firstLine="397"/>
      </w:pPr>
      <w:r>
        <w:t>Hermeneutika našla původní dráhu Scotova objektivního náhledu</w:t>
      </w:r>
      <w:r w:rsidR="0040587D">
        <w:t xml:space="preserve"> na </w:t>
      </w:r>
      <w:r w:rsidR="008E2222">
        <w:t xml:space="preserve">smysl </w:t>
      </w:r>
      <w:r w:rsidR="0040587D">
        <w:t>jsoucn</w:t>
      </w:r>
      <w:r w:rsidR="008E2222">
        <w:t>a</w:t>
      </w:r>
      <w:r w:rsidR="0040587D">
        <w:t xml:space="preserve"> (</w:t>
      </w:r>
      <w:r w:rsidR="0040587D" w:rsidRPr="0040587D">
        <w:rPr>
          <w:i/>
        </w:rPr>
        <w:t>Vor-blickbahn</w:t>
      </w:r>
      <w:r w:rsidR="0040587D">
        <w:t>)</w:t>
      </w:r>
      <w:r w:rsidR="008E2222">
        <w:t xml:space="preserve">. </w:t>
      </w:r>
      <w:r>
        <w:t xml:space="preserve">Na úrovni jsoucna dané </w:t>
      </w:r>
      <w:r w:rsidRPr="00F94888">
        <w:rPr>
          <w:i/>
        </w:rPr>
        <w:t>simpliciter</w:t>
      </w:r>
      <w:r>
        <w:t xml:space="preserve"> vzniká objektivní vědění přesahující (</w:t>
      </w:r>
      <w:r w:rsidRPr="005C7E25">
        <w:rPr>
          <w:i/>
        </w:rPr>
        <w:t>tra</w:t>
      </w:r>
      <w:r>
        <w:rPr>
          <w:i/>
        </w:rPr>
        <w:t>nscendens</w:t>
      </w:r>
      <w:r w:rsidR="00EA0148">
        <w:t xml:space="preserve">) Aristotelovu metafyziku, které je dáno </w:t>
      </w:r>
      <w:r>
        <w:t>v modu objektivně upraveného avicennismu. Koncepty, které tuto jednoduchost nemají (</w:t>
      </w:r>
      <w:r w:rsidRPr="00F9495B">
        <w:rPr>
          <w:i/>
        </w:rPr>
        <w:t>non simpliciter simplex</w:t>
      </w:r>
      <w:r>
        <w:t xml:space="preserve">), patří do struktury dialektického dělení na úrovni Porfyriova stromu daného skrze abstrakci. </w:t>
      </w:r>
      <w:r w:rsidRPr="00273106">
        <w:t xml:space="preserve">Scotus našel </w:t>
      </w:r>
      <w:r>
        <w:t>konečné významy reality</w:t>
      </w:r>
      <w:r w:rsidRPr="00273106">
        <w:t xml:space="preserve"> dan</w:t>
      </w:r>
      <w:r>
        <w:t xml:space="preserve">é </w:t>
      </w:r>
      <w:r w:rsidRPr="00273106">
        <w:t xml:space="preserve">metafyzicky a </w:t>
      </w:r>
      <w:r>
        <w:t>v přímém náhledu</w:t>
      </w:r>
      <w:r w:rsidRPr="00273106">
        <w:t xml:space="preserve">. </w:t>
      </w:r>
      <w:r>
        <w:t>Tyto poslední formy jsou z tohoto důvodu naprosto jasné a jisté. Nejasné je pouze jejich poznávání z naší strany. Normálně poznáváme tyto jednoduché formy směrem od složených forem, protože poznáváme od méně dokonalého k dokonalejšímu jsoucnu (</w:t>
      </w:r>
      <w:r w:rsidRPr="00E63418">
        <w:rPr>
          <w:i/>
        </w:rPr>
        <w:t>intellectus noster procedat de imperfecto ad perfectum</w:t>
      </w:r>
      <w:r>
        <w:t>).</w:t>
      </w:r>
      <w:r w:rsidRPr="00273106">
        <w:rPr>
          <w:rStyle w:val="Znakapoznpodarou"/>
        </w:rPr>
        <w:footnoteReference w:id="441"/>
      </w:r>
      <w:r>
        <w:t xml:space="preserve"> Ale oxfordský iluminát </w:t>
      </w:r>
      <w:r w:rsidR="00EA0148">
        <w:t xml:space="preserve">v linii </w:t>
      </w:r>
      <w:r>
        <w:t>Grosseteste</w:t>
      </w:r>
      <w:r w:rsidR="00EA0148">
        <w:t>ho</w:t>
      </w:r>
      <w:r>
        <w:t xml:space="preserve"> může tyto jednoduché formy vidět i přímo. Nové vidění jsoucna za kategoriemi zakládá univoční </w:t>
      </w:r>
      <w:r w:rsidRPr="00CA30FA">
        <w:rPr>
          <w:i/>
        </w:rPr>
        <w:t>scibile</w:t>
      </w:r>
      <w:r>
        <w:rPr>
          <w:i/>
        </w:rPr>
        <w:fldChar w:fldCharType="begin"/>
      </w:r>
      <w:r>
        <w:instrText xml:space="preserve"> XE "</w:instrText>
      </w:r>
      <w:r w:rsidRPr="00AA4F67">
        <w:rPr>
          <w:i/>
        </w:rPr>
        <w:instrText>scibile</w:instrText>
      </w:r>
      <w:r>
        <w:rPr>
          <w:i/>
        </w:rPr>
        <w:instrText>:</w:instrText>
      </w:r>
      <w:r w:rsidRPr="00C92581">
        <w:instrText>Scotus</w:instrText>
      </w:r>
      <w:r>
        <w:instrText xml:space="preserve">" </w:instrText>
      </w:r>
      <w:r>
        <w:rPr>
          <w:i/>
        </w:rPr>
        <w:fldChar w:fldCharType="end"/>
      </w:r>
      <w:r>
        <w:t xml:space="preserve"> v původním pojetí </w:t>
      </w:r>
      <w:r w:rsidRPr="085F65DD">
        <w:rPr>
          <w:i/>
        </w:rPr>
        <w:t>metaphysica</w:t>
      </w:r>
      <w:r>
        <w:t xml:space="preserve"> </w:t>
      </w:r>
      <w:r w:rsidRPr="00F94888">
        <w:rPr>
          <w:i/>
        </w:rPr>
        <w:t>transcendens</w:t>
      </w:r>
      <w:r>
        <w:t xml:space="preserve">, kterou znají současní badatelé pod objektivní variantou </w:t>
      </w:r>
      <w:r w:rsidRPr="00F94888">
        <w:rPr>
          <w:i/>
        </w:rPr>
        <w:t>scientia transcendens</w:t>
      </w:r>
      <w:r>
        <w:t xml:space="preserve"> </w:t>
      </w:r>
      <w:r>
        <w:rPr>
          <w:i/>
        </w:rPr>
        <w:fldChar w:fldCharType="begin"/>
      </w:r>
      <w:r>
        <w:instrText xml:space="preserve"> XE "metafyzika:</w:instrText>
      </w:r>
      <w:r w:rsidRPr="00B32D3C">
        <w:rPr>
          <w:i/>
        </w:rPr>
        <w:instrText xml:space="preserve">scientia </w:instrText>
      </w:r>
      <w:r w:rsidRPr="00B32D3C">
        <w:rPr>
          <w:i/>
        </w:rPr>
        <w:lastRenderedPageBreak/>
        <w:instrText>transcendens</w:instrText>
      </w:r>
      <w:r>
        <w:instrText xml:space="preserve">" </w:instrText>
      </w:r>
      <w:r>
        <w:rPr>
          <w:i/>
        </w:rPr>
        <w:fldChar w:fldCharType="end"/>
      </w:r>
      <w:r>
        <w:t>(</w:t>
      </w:r>
      <w:r w:rsidRPr="00273106">
        <w:t>Honnefelder</w:t>
      </w:r>
      <w:r>
        <w:fldChar w:fldCharType="begin"/>
      </w:r>
      <w:r>
        <w:instrText xml:space="preserve"> XE "</w:instrText>
      </w:r>
      <w:r w:rsidRPr="00664C2D">
        <w:rPr>
          <w:rFonts w:eastAsia="Brill-Roman"/>
        </w:rPr>
        <w:instrText>Honnefelder, L.</w:instrText>
      </w:r>
      <w:r>
        <w:instrText xml:space="preserve">" </w:instrText>
      </w:r>
      <w:r>
        <w:fldChar w:fldCharType="end"/>
      </w:r>
      <w:r>
        <w:t xml:space="preserve"> 2006). </w:t>
      </w:r>
      <w:r w:rsidRPr="00273106">
        <w:t xml:space="preserve">Hned v následující pasáži se objevuje </w:t>
      </w:r>
      <w:r>
        <w:t xml:space="preserve">nová </w:t>
      </w:r>
      <w:r w:rsidRPr="00273106">
        <w:t xml:space="preserve">definice objektivního jsoucna, </w:t>
      </w:r>
      <w:r>
        <w:t xml:space="preserve">která je první svého druhu </w:t>
      </w:r>
      <w:r w:rsidRPr="00273106">
        <w:t>v západní metafyzice</w:t>
      </w:r>
      <w:r>
        <w:t xml:space="preserve">. </w:t>
      </w:r>
      <w:r w:rsidR="00E30953">
        <w:t xml:space="preserve">Klíčová pasáž pro vznik metafyzické objektivity </w:t>
      </w:r>
      <w:r w:rsidR="00E30953" w:rsidRPr="00273106">
        <w:t>zkoum</w:t>
      </w:r>
      <w:r w:rsidR="00E30953">
        <w:t xml:space="preserve">á </w:t>
      </w:r>
      <w:r w:rsidR="00E30953" w:rsidRPr="00273106">
        <w:t xml:space="preserve">jednotu jsoucna </w:t>
      </w:r>
      <w:r w:rsidR="00E30953">
        <w:t>skrze rozdíl „</w:t>
      </w:r>
      <w:r w:rsidR="00E30953" w:rsidRPr="00273106">
        <w:rPr>
          <w:i/>
        </w:rPr>
        <w:t>confusum</w:t>
      </w:r>
      <w:r w:rsidR="00E30953" w:rsidRPr="00273106">
        <w:t>‒</w:t>
      </w:r>
      <w:r w:rsidR="00E30953" w:rsidRPr="00273106">
        <w:rPr>
          <w:i/>
        </w:rPr>
        <w:t>confuse</w:t>
      </w:r>
      <w:r w:rsidR="00E30953">
        <w:t>“</w:t>
      </w:r>
      <w:r w:rsidR="00E30953">
        <w:rPr>
          <w:i/>
        </w:rPr>
        <w:fldChar w:fldCharType="begin"/>
      </w:r>
      <w:r w:rsidR="00E30953">
        <w:instrText xml:space="preserve"> XE "objektivita</w:instrText>
      </w:r>
      <w:r w:rsidR="00E30953" w:rsidRPr="001370A8">
        <w:rPr>
          <w:i/>
        </w:rPr>
        <w:instrText>:confusum</w:instrText>
      </w:r>
      <w:r w:rsidR="00E30953" w:rsidRPr="001370A8">
        <w:instrText>/</w:instrText>
      </w:r>
      <w:r w:rsidR="00E30953" w:rsidRPr="001370A8">
        <w:rPr>
          <w:i/>
        </w:rPr>
        <w:instrText>confuse</w:instrText>
      </w:r>
      <w:r w:rsidR="00E30953">
        <w:instrText xml:space="preserve">" </w:instrText>
      </w:r>
      <w:r w:rsidR="00E30953">
        <w:rPr>
          <w:i/>
        </w:rPr>
        <w:fldChar w:fldCharType="end"/>
      </w:r>
      <w:r w:rsidR="00E30953" w:rsidRPr="00273106">
        <w:t xml:space="preserve">. </w:t>
      </w:r>
      <w:r>
        <w:t xml:space="preserve">Náhled objektivní jsoucnosti se oddělí od aristotelského </w:t>
      </w:r>
      <w:r w:rsidRPr="00273106">
        <w:t xml:space="preserve">poznání </w:t>
      </w:r>
      <w:r w:rsidR="00A44289">
        <w:t xml:space="preserve">hylemorfických substancí </w:t>
      </w:r>
      <w:r>
        <w:t>poznaných skrze smyslovou abstrakci. J</w:t>
      </w:r>
      <w:r w:rsidRPr="00273106">
        <w:t>soucno jako objektivní koncept se svou minimální mírou jsoucno</w:t>
      </w:r>
      <w:r w:rsidR="00C7009C">
        <w:t xml:space="preserve">sti existuje reálně jen v hylemorfické substanci </w:t>
      </w:r>
      <w:r w:rsidRPr="00273106">
        <w:t>(</w:t>
      </w:r>
      <w:r w:rsidRPr="00273106">
        <w:rPr>
          <w:i/>
        </w:rPr>
        <w:t>confusum</w:t>
      </w:r>
      <w:r w:rsidRPr="00273106">
        <w:t>)</w:t>
      </w:r>
      <w:r>
        <w:t xml:space="preserve">. Ale my toto </w:t>
      </w:r>
      <w:r w:rsidR="0052553F">
        <w:t xml:space="preserve">minimální </w:t>
      </w:r>
      <w:r>
        <w:t xml:space="preserve">jsoucno dané jako </w:t>
      </w:r>
      <w:r w:rsidRPr="00273106">
        <w:rPr>
          <w:i/>
        </w:rPr>
        <w:t>confusum</w:t>
      </w:r>
      <w:r w:rsidRPr="00273106">
        <w:t xml:space="preserve"> </w:t>
      </w:r>
      <w:r>
        <w:t xml:space="preserve">v reálné věci </w:t>
      </w:r>
      <w:r w:rsidRPr="00273106">
        <w:t xml:space="preserve">nepoznáváme jen </w:t>
      </w:r>
      <w:r>
        <w:t xml:space="preserve">skrze </w:t>
      </w:r>
      <w:r w:rsidRPr="00273106">
        <w:t xml:space="preserve">poznání </w:t>
      </w:r>
      <w:proofErr w:type="gramStart"/>
      <w:r w:rsidRPr="00273106">
        <w:t>dané</w:t>
      </w:r>
      <w:r w:rsidR="0052553F">
        <w:t>m</w:t>
      </w:r>
      <w:proofErr w:type="gramEnd"/>
      <w:r w:rsidRPr="00273106">
        <w:t xml:space="preserve"> abstrakcí ze smyslů a intelektu (</w:t>
      </w:r>
      <w:r w:rsidRPr="00273106">
        <w:rPr>
          <w:i/>
        </w:rPr>
        <w:t>confuse</w:t>
      </w:r>
      <w:r>
        <w:t xml:space="preserve">). </w:t>
      </w:r>
      <w:r w:rsidR="00B34A9B">
        <w:t xml:space="preserve">Scotus </w:t>
      </w:r>
      <w:r>
        <w:t>zavedl přímé poznání esence skrze objektivně nazíraný pojem věci (</w:t>
      </w:r>
      <w:r w:rsidRPr="00273106">
        <w:rPr>
          <w:i/>
        </w:rPr>
        <w:t>conceptus simpliciter simplex</w:t>
      </w:r>
      <w:r>
        <w:rPr>
          <w:i/>
        </w:rPr>
        <w:fldChar w:fldCharType="begin"/>
      </w:r>
      <w:r>
        <w:instrText xml:space="preserve"> XE "objektivita:</w:instrText>
      </w:r>
      <w:r w:rsidRPr="002B0DE5">
        <w:rPr>
          <w:i/>
        </w:rPr>
        <w:instrText>conceptus simpliciter simplex</w:instrText>
      </w:r>
      <w:r>
        <w:instrText xml:space="preserve">" </w:instrText>
      </w:r>
      <w:r>
        <w:rPr>
          <w:i/>
        </w:rPr>
        <w:fldChar w:fldCharType="end"/>
      </w:r>
      <w:r>
        <w:t>)</w:t>
      </w:r>
      <w:r w:rsidRPr="00273106">
        <w:t>. Stejná věc v realitě se poznává dvěma odlišnými způsoby</w:t>
      </w:r>
      <w:r>
        <w:rPr>
          <w:i/>
        </w:rPr>
        <w:fldChar w:fldCharType="begin"/>
      </w:r>
      <w:r>
        <w:instrText xml:space="preserve"> XE "objektivita</w:instrText>
      </w:r>
      <w:r w:rsidRPr="001370A8">
        <w:rPr>
          <w:i/>
        </w:rPr>
        <w:instrText>:confusum</w:instrText>
      </w:r>
      <w:r w:rsidRPr="001370A8">
        <w:instrText>/</w:instrText>
      </w:r>
      <w:r w:rsidRPr="001370A8">
        <w:rPr>
          <w:i/>
        </w:rPr>
        <w:instrText>confuse</w:instrText>
      </w:r>
      <w:r>
        <w:instrText xml:space="preserve">" </w:instrText>
      </w:r>
      <w:r>
        <w:rPr>
          <w:i/>
        </w:rPr>
        <w:fldChar w:fldCharType="end"/>
      </w:r>
      <w:r w:rsidRPr="00273106">
        <w:t xml:space="preserve">. </w:t>
      </w:r>
      <w:r>
        <w:t>Smyslová abstrakce je dána jen nejasně</w:t>
      </w:r>
      <w:r w:rsidRPr="007C48A0">
        <w:t xml:space="preserve"> </w:t>
      </w:r>
      <w:r w:rsidRPr="00273106">
        <w:t>(</w:t>
      </w:r>
      <w:r w:rsidRPr="00273106">
        <w:rPr>
          <w:i/>
        </w:rPr>
        <w:t>confuse</w:t>
      </w:r>
      <w:r w:rsidRPr="00273106">
        <w:t>)</w:t>
      </w:r>
      <w:r>
        <w:t>, protože toto poznání determinuje proměnlivá první substance (</w:t>
      </w:r>
      <w:r w:rsidRPr="084D1494">
        <w:rPr>
          <w:i/>
        </w:rPr>
        <w:t>confusum</w:t>
      </w:r>
      <w:r>
        <w:t>)</w:t>
      </w:r>
      <w:r w:rsidRPr="00273106">
        <w:t xml:space="preserve">. </w:t>
      </w:r>
      <w:r>
        <w:t xml:space="preserve">Věc poznaná konfúzně skrze smyslovou abstrakci se musí odlišit od evidentního objektivního poznání </w:t>
      </w:r>
      <w:r w:rsidR="00962190">
        <w:rPr>
          <w:i/>
        </w:rPr>
        <w:t>species</w:t>
      </w:r>
      <w:r>
        <w:t xml:space="preserve"> v modu přímého náhledu. Scotus vytvořil novou variantu Rufusova termínu </w:t>
      </w:r>
      <w:r w:rsidR="006908B9">
        <w:t>„</w:t>
      </w:r>
      <w:r w:rsidR="00962190">
        <w:rPr>
          <w:i/>
        </w:rPr>
        <w:t>species</w:t>
      </w:r>
      <w:r>
        <w:rPr>
          <w:i/>
        </w:rPr>
        <w:t xml:space="preserve"> obiecti exsistentis</w:t>
      </w:r>
      <w:r w:rsidR="006908B9">
        <w:t>“</w:t>
      </w:r>
      <w:r>
        <w:rPr>
          <w:i/>
        </w:rPr>
        <w:fldChar w:fldCharType="begin"/>
      </w:r>
      <w:r>
        <w:instrText xml:space="preserve"> XE "</w:instrText>
      </w:r>
      <w:r>
        <w:rPr>
          <w:i/>
        </w:rPr>
        <w:instrText>species obiecti exsistentis</w:instrText>
      </w:r>
      <w:r>
        <w:instrText xml:space="preserve">" </w:instrText>
      </w:r>
      <w:r>
        <w:rPr>
          <w:i/>
        </w:rPr>
        <w:fldChar w:fldCharType="end"/>
      </w:r>
      <w:r w:rsidR="006908B9">
        <w:rPr>
          <w:i/>
        </w:rPr>
        <w:t xml:space="preserve"> </w:t>
      </w:r>
      <w:r>
        <w:t>(</w:t>
      </w:r>
      <w:r w:rsidR="00EA0148">
        <w:t xml:space="preserve">OBJ II, </w:t>
      </w:r>
      <w:r>
        <w:t>k</w:t>
      </w:r>
      <w:r w:rsidR="00EA0148">
        <w:t>ap. 3</w:t>
      </w:r>
      <w:r>
        <w:t xml:space="preserve">.3.4). </w:t>
      </w:r>
      <w:r w:rsidRPr="00273106">
        <w:t>Rozdíl mezi dvěma druhy poznání určuje diferen</w:t>
      </w:r>
      <w:r>
        <w:t xml:space="preserve">ci mezi předešlým </w:t>
      </w:r>
      <w:r w:rsidR="00276DD4">
        <w:t xml:space="preserve">pojetím metafyziky </w:t>
      </w:r>
      <w:r>
        <w:t>(Aristoteles, Averroes</w:t>
      </w:r>
      <w:r w:rsidR="005D3FE4">
        <w:t>, Siger</w:t>
      </w:r>
      <w:r w:rsidRPr="00273106">
        <w:t xml:space="preserve">) a </w:t>
      </w:r>
      <w:r w:rsidR="00276DD4">
        <w:t xml:space="preserve">její </w:t>
      </w:r>
      <w:r>
        <w:t>novou objektivní formou</w:t>
      </w:r>
      <w:r w:rsidRPr="00273106">
        <w:t xml:space="preserve"> (</w:t>
      </w:r>
      <w:r>
        <w:t>A</w:t>
      </w:r>
      <w:r w:rsidRPr="00273106">
        <w:t>vicenn</w:t>
      </w:r>
      <w:r>
        <w:t xml:space="preserve">a, </w:t>
      </w:r>
      <w:r w:rsidR="00257123">
        <w:t xml:space="preserve">Rufus, </w:t>
      </w:r>
      <w:r>
        <w:t>Scotus</w:t>
      </w:r>
      <w:r w:rsidRPr="00273106">
        <w:t>).</w:t>
      </w:r>
    </w:p>
    <w:p w:rsidR="08163013" w:rsidRPr="00110B96" w:rsidRDefault="08163013" w:rsidP="08163013">
      <w:pPr>
        <w:pStyle w:val="Citace"/>
        <w:rPr>
          <w:noProof/>
          <w:lang w:val="cs-CZ"/>
        </w:rPr>
      </w:pPr>
      <w:r>
        <w:rPr>
          <w:noProof/>
          <w:lang w:val="cs-CZ"/>
        </w:rPr>
        <w:t>„Vzhledem k tomu, co bylo řečeno výše, je třeba odlišit poznání jsoucna jako hylemorfické složeniny (</w:t>
      </w:r>
      <w:r w:rsidRPr="00110B96">
        <w:rPr>
          <w:i/>
          <w:noProof/>
        </w:rPr>
        <w:t>esse confusum cognitum</w:t>
      </w:r>
      <w:r>
        <w:rPr>
          <w:noProof/>
          <w:lang w:val="cs-CZ"/>
        </w:rPr>
        <w:t>) od kontingentního poznání tohoto jsoucna (</w:t>
      </w:r>
      <w:r w:rsidRPr="00110B96">
        <w:rPr>
          <w:i/>
          <w:noProof/>
        </w:rPr>
        <w:t>esse confuse cognitum</w:t>
      </w:r>
      <w:r>
        <w:rPr>
          <w:noProof/>
          <w:lang w:val="cs-CZ"/>
        </w:rPr>
        <w:t>). Tím se liší objektivní poznání složeniny (</w:t>
      </w:r>
      <w:r w:rsidRPr="00110B96">
        <w:rPr>
          <w:i/>
          <w:noProof/>
        </w:rPr>
        <w:t>confusum cognoscere</w:t>
      </w:r>
      <w:r>
        <w:rPr>
          <w:noProof/>
          <w:lang w:val="cs-CZ"/>
        </w:rPr>
        <w:t>) od empirického poznání této složeniny (</w:t>
      </w:r>
      <w:r w:rsidRPr="002C682E">
        <w:rPr>
          <w:i/>
          <w:noProof/>
        </w:rPr>
        <w:t>confuse</w:t>
      </w:r>
      <w:r w:rsidRPr="00273106">
        <w:rPr>
          <w:noProof/>
        </w:rPr>
        <w:t xml:space="preserve"> </w:t>
      </w:r>
      <w:r w:rsidRPr="00981C8F">
        <w:rPr>
          <w:i/>
          <w:noProof/>
        </w:rPr>
        <w:t>cognoscere</w:t>
      </w:r>
      <w:r>
        <w:rPr>
          <w:noProof/>
          <w:lang w:val="cs-CZ"/>
        </w:rPr>
        <w:t xml:space="preserve">).“ </w:t>
      </w:r>
      <w:r>
        <w:rPr>
          <w:rStyle w:val="Znakapoznpodarou"/>
          <w:lang w:val="cs-CZ"/>
        </w:rPr>
        <w:footnoteReference w:id="442"/>
      </w:r>
    </w:p>
    <w:p w:rsidR="08163013" w:rsidRDefault="08163013" w:rsidP="08163013">
      <w:r w:rsidRPr="00273106">
        <w:t>Poz</w:t>
      </w:r>
      <w:r>
        <w:t>návat hylemo</w:t>
      </w:r>
      <w:r w:rsidRPr="00273106">
        <w:t>r</w:t>
      </w:r>
      <w:r>
        <w:t>fi</w:t>
      </w:r>
      <w:r w:rsidRPr="00273106">
        <w:t>ckou složeninu</w:t>
      </w:r>
      <w:r>
        <w:t xml:space="preserve"> (</w:t>
      </w:r>
      <w:r w:rsidRPr="00273106">
        <w:rPr>
          <w:i/>
        </w:rPr>
        <w:t>confusum</w:t>
      </w:r>
      <w:r>
        <w:t>)</w:t>
      </w:r>
      <w:r w:rsidRPr="00273106">
        <w:t xml:space="preserve"> lze</w:t>
      </w:r>
      <w:r>
        <w:t xml:space="preserve"> různě. Věda a metafyzika začíná u </w:t>
      </w:r>
      <w:r w:rsidRPr="00273106">
        <w:t xml:space="preserve">klasické </w:t>
      </w:r>
      <w:r>
        <w:t xml:space="preserve">aristotelské </w:t>
      </w:r>
      <w:r w:rsidRPr="00273106">
        <w:t xml:space="preserve">abstrakce </w:t>
      </w:r>
      <w:r>
        <w:t xml:space="preserve">a kategoriální predikace, která determinuje kontingentní a empirické poznání reálné věci </w:t>
      </w:r>
      <w:r w:rsidRPr="00273106">
        <w:t>(</w:t>
      </w:r>
      <w:r w:rsidRPr="00273106">
        <w:rPr>
          <w:i/>
        </w:rPr>
        <w:t>confuse cognoscere</w:t>
      </w:r>
      <w:r w:rsidRPr="00273106">
        <w:t xml:space="preserve">). </w:t>
      </w:r>
      <w:r>
        <w:t xml:space="preserve">Novou vizi řídí přímý intelektuální náhled na poslední identitu objektivních </w:t>
      </w:r>
      <w:r w:rsidR="00962190">
        <w:rPr>
          <w:i/>
        </w:rPr>
        <w:t>species</w:t>
      </w:r>
      <w:r w:rsidRPr="00273106">
        <w:t xml:space="preserve"> (</w:t>
      </w:r>
      <w:r w:rsidRPr="00273106">
        <w:rPr>
          <w:i/>
        </w:rPr>
        <w:t>conceptus simpliciter simplex</w:t>
      </w:r>
      <w:r>
        <w:rPr>
          <w:i/>
        </w:rPr>
        <w:fldChar w:fldCharType="begin"/>
      </w:r>
      <w:r>
        <w:instrText xml:space="preserve"> XE "</w:instrText>
      </w:r>
      <w:r w:rsidRPr="00FF6A6C">
        <w:rPr>
          <w:i/>
        </w:rPr>
        <w:instrText>conceptus simpliciter simplex</w:instrText>
      </w:r>
      <w:r>
        <w:instrText xml:space="preserve">" </w:instrText>
      </w:r>
      <w:r>
        <w:rPr>
          <w:i/>
        </w:rPr>
        <w:fldChar w:fldCharType="end"/>
      </w:r>
      <w:r w:rsidRPr="00273106">
        <w:t>)</w:t>
      </w:r>
      <w:r>
        <w:t xml:space="preserve">. I </w:t>
      </w:r>
      <w:r w:rsidR="006D19E9">
        <w:t xml:space="preserve">hylepomorfické </w:t>
      </w:r>
      <w:r>
        <w:t xml:space="preserve">složeniny </w:t>
      </w:r>
      <w:r w:rsidR="006D19E9" w:rsidRPr="00273106">
        <w:t>(</w:t>
      </w:r>
      <w:r w:rsidR="006D19E9" w:rsidRPr="00273106">
        <w:rPr>
          <w:i/>
        </w:rPr>
        <w:t>confusum cognitum</w:t>
      </w:r>
      <w:r w:rsidR="006D19E9" w:rsidRPr="00273106">
        <w:t>)</w:t>
      </w:r>
      <w:r w:rsidR="006D19E9">
        <w:t xml:space="preserve"> </w:t>
      </w:r>
      <w:r w:rsidR="00D73321">
        <w:t>můžeme poznat</w:t>
      </w:r>
      <w:r w:rsidRPr="00273106">
        <w:t xml:space="preserve"> </w:t>
      </w:r>
      <w:r>
        <w:t xml:space="preserve">v objektivním náhledu zcela jasně </w:t>
      </w:r>
      <w:r w:rsidR="006D19E9">
        <w:rPr>
          <w:szCs w:val="24"/>
          <w:lang w:val="de-LU"/>
        </w:rPr>
        <w:t>(</w:t>
      </w:r>
      <w:r w:rsidR="006D19E9">
        <w:rPr>
          <w:i/>
          <w:lang w:val="de-LU"/>
        </w:rPr>
        <w:t>confusum cognoscere</w:t>
      </w:r>
      <w:r w:rsidR="006D19E9">
        <w:rPr>
          <w:szCs w:val="24"/>
          <w:lang w:val="de-LU"/>
        </w:rPr>
        <w:t>)</w:t>
      </w:r>
      <w:r>
        <w:t xml:space="preserve">. </w:t>
      </w:r>
      <w:r w:rsidR="00FD61A2" w:rsidRPr="00FD61A2">
        <w:t xml:space="preserve">Tento druh </w:t>
      </w:r>
      <w:r w:rsidR="00FD61A2">
        <w:t>intuice však není dán způsobem „</w:t>
      </w:r>
      <w:r w:rsidR="00FD61A2" w:rsidRPr="00FD61A2">
        <w:rPr>
          <w:i/>
        </w:rPr>
        <w:t>confuse</w:t>
      </w:r>
      <w:r w:rsidR="00FD61A2">
        <w:t>“</w:t>
      </w:r>
      <w:r w:rsidR="00FD61A2" w:rsidRPr="00FD61A2">
        <w:t>, protože je učiněn způsobem</w:t>
      </w:r>
      <w:r w:rsidR="00FD61A2">
        <w:t xml:space="preserve"> </w:t>
      </w:r>
      <w:r w:rsidR="00FD61A2" w:rsidRPr="00FD61A2">
        <w:t xml:space="preserve">daným absolutně </w:t>
      </w:r>
      <w:r w:rsidR="00FD61A2" w:rsidRPr="00FD61A2">
        <w:rPr>
          <w:i/>
        </w:rPr>
        <w:t>simpliciter</w:t>
      </w:r>
      <w:r w:rsidR="00FD61A2" w:rsidRPr="00FD61A2">
        <w:t>.</w:t>
      </w:r>
      <w:r w:rsidR="00FD61A2">
        <w:t xml:space="preserve"> </w:t>
      </w:r>
      <w:r>
        <w:t>P</w:t>
      </w:r>
      <w:r w:rsidRPr="00273106">
        <w:t xml:space="preserve">oslední </w:t>
      </w:r>
      <w:r w:rsidRPr="00273106">
        <w:lastRenderedPageBreak/>
        <w:t>rozdělení jsoucna (</w:t>
      </w:r>
      <w:r w:rsidRPr="00273106">
        <w:rPr>
          <w:i/>
        </w:rPr>
        <w:t>resolutio</w:t>
      </w:r>
      <w:r>
        <w:rPr>
          <w:i/>
        </w:rPr>
        <w:fldChar w:fldCharType="begin"/>
      </w:r>
      <w:r>
        <w:instrText xml:space="preserve"> XE "</w:instrText>
      </w:r>
      <w:r w:rsidRPr="00111E9E">
        <w:rPr>
          <w:i/>
        </w:rPr>
        <w:instrText>resolutio</w:instrText>
      </w:r>
      <w:r>
        <w:rPr>
          <w:i/>
        </w:rPr>
        <w:instrText>:</w:instrText>
      </w:r>
      <w:r w:rsidRPr="007D3515">
        <w:instrText>Scotus</w:instrText>
      </w:r>
      <w:r>
        <w:instrText xml:space="preserve">" </w:instrText>
      </w:r>
      <w:r>
        <w:rPr>
          <w:i/>
        </w:rPr>
        <w:fldChar w:fldCharType="end"/>
      </w:r>
      <w:r w:rsidRPr="00273106">
        <w:t>)</w:t>
      </w:r>
      <w:r>
        <w:t xml:space="preserve"> vzniklo p</w:t>
      </w:r>
      <w:r w:rsidRPr="00273106">
        <w:t xml:space="preserve">římým náhledem do minimální jsoucnosti a </w:t>
      </w:r>
      <w:r w:rsidR="00131111">
        <w:t xml:space="preserve">používá </w:t>
      </w:r>
      <w:r w:rsidRPr="00273106">
        <w:t>čist</w:t>
      </w:r>
      <w:r w:rsidR="00131111">
        <w:t>ou univoční esencialitu</w:t>
      </w:r>
      <w:r>
        <w:t xml:space="preserve">. Za tuto poslední rovinu jednoty jsoucna </w:t>
      </w:r>
      <w:r w:rsidRPr="00273106">
        <w:t xml:space="preserve">už nelze jít, </w:t>
      </w:r>
      <w:r w:rsidR="001917CB">
        <w:t xml:space="preserve">protože bychom </w:t>
      </w:r>
      <w:r w:rsidRPr="00273106">
        <w:t>ztratili univocitu</w:t>
      </w:r>
      <w:r>
        <w:t xml:space="preserve"> jsoucna vázanou na objektivní </w:t>
      </w:r>
      <w:r w:rsidRPr="00C1413F">
        <w:rPr>
          <w:i/>
        </w:rPr>
        <w:t>individuum</w:t>
      </w:r>
      <w:r w:rsidRPr="00273106">
        <w:t xml:space="preserve">. </w:t>
      </w:r>
      <w:r>
        <w:t xml:space="preserve">Toto objektivně nazírané </w:t>
      </w:r>
      <w:r w:rsidRPr="00273106">
        <w:t xml:space="preserve">jsoucno je dané sice minimálně, ale zato naprosto </w:t>
      </w:r>
      <w:r>
        <w:t xml:space="preserve">spolehlivě, jistě a </w:t>
      </w:r>
      <w:r w:rsidRPr="00273106">
        <w:t>esenciálně, v modu univoční identity</w:t>
      </w:r>
      <w:r>
        <w:t xml:space="preserve"> dané </w:t>
      </w:r>
      <w:r w:rsidRPr="001D6D6C">
        <w:rPr>
          <w:i/>
        </w:rPr>
        <w:t>per prius</w:t>
      </w:r>
      <w:r>
        <w:rPr>
          <w:i/>
        </w:rPr>
        <w:fldChar w:fldCharType="begin"/>
      </w:r>
      <w:r>
        <w:instrText xml:space="preserve"> XE "predikace:</w:instrText>
      </w:r>
      <w:r w:rsidRPr="00D26EB2">
        <w:rPr>
          <w:i/>
        </w:rPr>
        <w:instrText>per prius</w:instrText>
      </w:r>
      <w:r>
        <w:instrText xml:space="preserve">" </w:instrText>
      </w:r>
      <w:r>
        <w:rPr>
          <w:i/>
        </w:rPr>
        <w:fldChar w:fldCharType="end"/>
      </w:r>
      <w:r w:rsidRPr="00273106">
        <w:t>.</w:t>
      </w:r>
      <w:r>
        <w:t xml:space="preserve"> </w:t>
      </w:r>
      <w:r w:rsidRPr="00273106">
        <w:t xml:space="preserve">Citát popisuje vidění čistého </w:t>
      </w:r>
      <w:r>
        <w:t xml:space="preserve">objektivního </w:t>
      </w:r>
      <w:r w:rsidRPr="00273106">
        <w:t>jsoucna (</w:t>
      </w:r>
      <w:r w:rsidRPr="00273106">
        <w:rPr>
          <w:i/>
        </w:rPr>
        <w:t>ideo ens</w:t>
      </w:r>
      <w:r w:rsidRPr="00273106">
        <w:t>), které nelze rozložit na žádné další části.</w:t>
      </w:r>
    </w:p>
    <w:p w:rsidR="08163013" w:rsidRPr="00D670C9" w:rsidRDefault="08163013" w:rsidP="08163013">
      <w:pPr>
        <w:pStyle w:val="Citace"/>
        <w:rPr>
          <w:noProof/>
          <w:lang w:val="cs-CZ"/>
        </w:rPr>
      </w:pPr>
      <w:r w:rsidRPr="00273106">
        <w:rPr>
          <w:noProof/>
          <w:lang w:val="cs-CZ"/>
        </w:rPr>
        <w:t>„</w:t>
      </w:r>
      <w:r>
        <w:rPr>
          <w:noProof/>
          <w:lang w:val="cs-CZ"/>
        </w:rPr>
        <w:t xml:space="preserve">Jsoucno, i když je </w:t>
      </w:r>
      <w:r w:rsidR="00696DED">
        <w:rPr>
          <w:noProof/>
          <w:lang w:val="cs-CZ"/>
        </w:rPr>
        <w:t xml:space="preserve">objektivně </w:t>
      </w:r>
      <w:r>
        <w:rPr>
          <w:noProof/>
          <w:lang w:val="cs-CZ"/>
        </w:rPr>
        <w:t>poznané ve své individuální podobě (</w:t>
      </w:r>
      <w:r w:rsidRPr="00D670C9">
        <w:rPr>
          <w:i/>
          <w:noProof/>
          <w:lang w:val="cs-CZ"/>
        </w:rPr>
        <w:t>confusum cognitum</w:t>
      </w:r>
      <w:r>
        <w:rPr>
          <w:noProof/>
          <w:lang w:val="cs-CZ"/>
        </w:rPr>
        <w:t>), není poznané na této kontingentní úrovni (</w:t>
      </w:r>
      <w:r w:rsidRPr="00D670C9">
        <w:rPr>
          <w:i/>
          <w:noProof/>
          <w:lang w:val="cs-CZ"/>
        </w:rPr>
        <w:t>non tamen confuse cognoscitur</w:t>
      </w:r>
      <w:r>
        <w:rPr>
          <w:noProof/>
          <w:lang w:val="cs-CZ"/>
        </w:rPr>
        <w:t>), protože již není dále rozložitelné na mnohost nebo na předcházející významy. A vidění takto daného jsoucna (</w:t>
      </w:r>
      <w:r w:rsidRPr="081E5AD1">
        <w:rPr>
          <w:i/>
          <w:noProof/>
        </w:rPr>
        <w:t>ideo ens</w:t>
      </w:r>
      <w:r>
        <w:rPr>
          <w:noProof/>
          <w:lang w:val="cs-CZ"/>
        </w:rPr>
        <w:t xml:space="preserve">) </w:t>
      </w:r>
      <w:r w:rsidR="00596CBA">
        <w:rPr>
          <w:noProof/>
          <w:lang w:val="cs-CZ"/>
        </w:rPr>
        <w:t xml:space="preserve">dává pouze </w:t>
      </w:r>
      <w:r w:rsidR="004F703C">
        <w:rPr>
          <w:noProof/>
          <w:lang w:val="cs-CZ"/>
        </w:rPr>
        <w:t xml:space="preserve">precizně </w:t>
      </w:r>
      <w:r>
        <w:rPr>
          <w:noProof/>
          <w:lang w:val="cs-CZ"/>
        </w:rPr>
        <w:t xml:space="preserve">a jasně </w:t>
      </w:r>
      <w:r w:rsidR="00596CBA">
        <w:rPr>
          <w:noProof/>
          <w:lang w:val="cs-CZ"/>
        </w:rPr>
        <w:t xml:space="preserve">určené poznání </w:t>
      </w:r>
      <w:r>
        <w:rPr>
          <w:noProof/>
          <w:lang w:val="cs-CZ"/>
        </w:rPr>
        <w:t>(</w:t>
      </w:r>
      <w:r w:rsidRPr="00D670C9">
        <w:rPr>
          <w:i/>
          <w:noProof/>
          <w:lang w:val="cs-CZ"/>
        </w:rPr>
        <w:t>non potest indistincte et confuse cognosci</w:t>
      </w:r>
      <w:r>
        <w:rPr>
          <w:noProof/>
          <w:lang w:val="cs-CZ"/>
        </w:rPr>
        <w:t>).“ </w:t>
      </w:r>
      <w:r>
        <w:rPr>
          <w:rStyle w:val="Znakapoznpodarou"/>
        </w:rPr>
        <w:footnoteReference w:id="443"/>
      </w:r>
    </w:p>
    <w:p w:rsidR="00437AE1" w:rsidRDefault="08163013" w:rsidP="08163013">
      <w:r>
        <w:t xml:space="preserve">Citát </w:t>
      </w:r>
      <w:r w:rsidRPr="00273106">
        <w:t xml:space="preserve">definuje </w:t>
      </w:r>
      <w:r>
        <w:t>o</w:t>
      </w:r>
      <w:r w:rsidRPr="00273106">
        <w:t>bjektivní modus jsoucnosti</w:t>
      </w:r>
      <w:r>
        <w:t xml:space="preserve"> v rámci nové metafyziky</w:t>
      </w:r>
      <w:r w:rsidRPr="00273106">
        <w:t>.</w:t>
      </w:r>
      <w:r>
        <w:t xml:space="preserve"> </w:t>
      </w:r>
      <w:r w:rsidRPr="00273106">
        <w:t>Složené jsoucno (</w:t>
      </w:r>
      <w:r w:rsidRPr="00273106">
        <w:rPr>
          <w:i/>
        </w:rPr>
        <w:t>confusum</w:t>
      </w:r>
      <w:r w:rsidRPr="00273106">
        <w:t xml:space="preserve">) může být různého druhu </w:t>
      </w:r>
      <w:r>
        <w:t xml:space="preserve">nebo může být mysleno </w:t>
      </w:r>
      <w:r w:rsidRPr="00273106">
        <w:t>pouze ekvivočně</w:t>
      </w:r>
      <w:r>
        <w:t xml:space="preserve">, </w:t>
      </w:r>
      <w:r w:rsidRPr="00273106">
        <w:t xml:space="preserve">jako například hora zlata. Ale způsob poznání těchto složenin </w:t>
      </w:r>
      <w:r w:rsidR="00635DE5">
        <w:rPr>
          <w:szCs w:val="24"/>
          <w:lang w:val="de-LU"/>
        </w:rPr>
        <w:t>(</w:t>
      </w:r>
      <w:r w:rsidR="00635DE5">
        <w:rPr>
          <w:i/>
          <w:szCs w:val="24"/>
          <w:lang w:val="de-LU"/>
        </w:rPr>
        <w:t>confusum</w:t>
      </w:r>
      <w:r w:rsidR="00635DE5">
        <w:rPr>
          <w:szCs w:val="24"/>
          <w:lang w:val="de-LU"/>
        </w:rPr>
        <w:t xml:space="preserve">) </w:t>
      </w:r>
      <w:r>
        <w:t xml:space="preserve">je </w:t>
      </w:r>
      <w:r w:rsidRPr="00273106">
        <w:t>objektivní</w:t>
      </w:r>
      <w:r>
        <w:t>, protože j</w:t>
      </w:r>
      <w:r w:rsidRPr="00273106">
        <w:t>ejich poznání v objektivním modu už není dáno kontingentně a nejasně (</w:t>
      </w:r>
      <w:r w:rsidRPr="00273106">
        <w:rPr>
          <w:i/>
        </w:rPr>
        <w:t>confuse</w:t>
      </w:r>
      <w:r w:rsidRPr="00273106">
        <w:t>)</w:t>
      </w:r>
      <w:r>
        <w:rPr>
          <w:i/>
        </w:rPr>
        <w:fldChar w:fldCharType="begin"/>
      </w:r>
      <w:r>
        <w:instrText xml:space="preserve"> XE "objektivita</w:instrText>
      </w:r>
      <w:r w:rsidRPr="001370A8">
        <w:rPr>
          <w:i/>
        </w:rPr>
        <w:instrText>:confusum</w:instrText>
      </w:r>
      <w:r w:rsidRPr="001370A8">
        <w:instrText>/</w:instrText>
      </w:r>
      <w:r w:rsidRPr="001370A8">
        <w:rPr>
          <w:i/>
        </w:rPr>
        <w:instrText>confuse</w:instrText>
      </w:r>
      <w:r>
        <w:instrText xml:space="preserve">" </w:instrText>
      </w:r>
      <w:r>
        <w:rPr>
          <w:i/>
        </w:rPr>
        <w:fldChar w:fldCharType="end"/>
      </w:r>
      <w:r w:rsidRPr="00273106">
        <w:t xml:space="preserve">. Věc daná v složeném modu </w:t>
      </w:r>
      <w:r w:rsidR="00606C86">
        <w:t>„</w:t>
      </w:r>
      <w:r w:rsidRPr="00273106">
        <w:rPr>
          <w:i/>
        </w:rPr>
        <w:t>esse confusum</w:t>
      </w:r>
      <w:r w:rsidR="00606C86">
        <w:t>“</w:t>
      </w:r>
      <w:r w:rsidRPr="00273106">
        <w:t xml:space="preserve"> se manifestuje </w:t>
      </w:r>
      <w:r>
        <w:t xml:space="preserve">jako čisté </w:t>
      </w:r>
      <w:r w:rsidRPr="00273106">
        <w:rPr>
          <w:i/>
        </w:rPr>
        <w:t>cognoscibile</w:t>
      </w:r>
      <w:r>
        <w:t xml:space="preserve"> v </w:t>
      </w:r>
      <w:r w:rsidRPr="00273106">
        <w:t xml:space="preserve">objektivní jsoucnosti. Z nové danosti jsoucna je jasné, že </w:t>
      </w:r>
      <w:r>
        <w:t xml:space="preserve">objektivní </w:t>
      </w:r>
      <w:r w:rsidRPr="00273106">
        <w:t>jsoucno nelze poznat nejasně (</w:t>
      </w:r>
      <w:r w:rsidRPr="00273106">
        <w:rPr>
          <w:i/>
        </w:rPr>
        <w:t>ens non potest indistincte et confuse cognosci</w:t>
      </w:r>
      <w:r w:rsidRPr="00273106">
        <w:t xml:space="preserve">). </w:t>
      </w:r>
      <w:r>
        <w:t xml:space="preserve">Tuto objektivně danou věc totiž nevidíme smysly, ale čistým intelektem. </w:t>
      </w:r>
      <w:r w:rsidRPr="00273106">
        <w:t>Zde má svůj ultimativ</w:t>
      </w:r>
      <w:r>
        <w:t xml:space="preserve">ní zdroj také Descartovo heslo </w:t>
      </w:r>
      <w:r w:rsidR="00CE0FC6">
        <w:t>„</w:t>
      </w:r>
      <w:r w:rsidRPr="00273106">
        <w:rPr>
          <w:i/>
        </w:rPr>
        <w:t>clare et distincte</w:t>
      </w:r>
      <w:r w:rsidR="00CE0FC6">
        <w:t xml:space="preserve">“. </w:t>
      </w:r>
      <w:r>
        <w:t>Descartes šel cestou od první substance do nitra intelektu skrze stejnou dráhu náhledu na objektivní jsoucno</w:t>
      </w:r>
      <w:r>
        <w:fldChar w:fldCharType="begin"/>
      </w:r>
      <w:r>
        <w:instrText xml:space="preserve"> XE "</w:instrText>
      </w:r>
      <w:r w:rsidRPr="00B3074B">
        <w:instrText>vidění:eidetické</w:instrText>
      </w:r>
      <w:r>
        <w:instrText xml:space="preserve">" </w:instrText>
      </w:r>
      <w:r>
        <w:fldChar w:fldCharType="end"/>
      </w:r>
      <w:r>
        <w:t xml:space="preserve">. </w:t>
      </w:r>
      <w:r w:rsidRPr="00273106">
        <w:t xml:space="preserve">Hermeneutika zdůrazňuje, že </w:t>
      </w:r>
      <w:r>
        <w:t xml:space="preserve">termín </w:t>
      </w:r>
      <w:r w:rsidR="00CE0FC6">
        <w:t>„</w:t>
      </w:r>
      <w:r w:rsidRPr="00273106">
        <w:rPr>
          <w:i/>
        </w:rPr>
        <w:t>ideo</w:t>
      </w:r>
      <w:r>
        <w:rPr>
          <w:i/>
        </w:rPr>
        <w:t xml:space="preserve"> ens</w:t>
      </w:r>
      <w:r w:rsidR="00CE0FC6">
        <w:t>“</w:t>
      </w:r>
      <w:r w:rsidRPr="00273106">
        <w:t xml:space="preserve"> není jen řečnická figura, ale </w:t>
      </w:r>
      <w:r w:rsidR="0029199D">
        <w:t>epochálně nové</w:t>
      </w:r>
      <w:r w:rsidR="0029199D" w:rsidRPr="00273106">
        <w:t xml:space="preserve"> </w:t>
      </w:r>
      <w:r w:rsidRPr="00273106">
        <w:t xml:space="preserve">vidění </w:t>
      </w:r>
      <w:r w:rsidR="00D22BC6">
        <w:t xml:space="preserve">celku </w:t>
      </w:r>
      <w:r w:rsidRPr="00273106">
        <w:t xml:space="preserve">jsoucna. </w:t>
      </w:r>
      <w:r>
        <w:t xml:space="preserve">Objektivní </w:t>
      </w:r>
      <w:r w:rsidRPr="00273106">
        <w:t xml:space="preserve">jsoucno </w:t>
      </w:r>
      <w:r w:rsidR="00085FA2">
        <w:t xml:space="preserve">třetího druhu je poznáno přímo a v modu </w:t>
      </w:r>
      <w:r w:rsidRPr="00273106">
        <w:rPr>
          <w:i/>
        </w:rPr>
        <w:t>simpliciter</w:t>
      </w:r>
      <w:r w:rsidR="00085FA2">
        <w:t>. T</w:t>
      </w:r>
      <w:r w:rsidRPr="00273106">
        <w:t xml:space="preserve">oto poznání je </w:t>
      </w:r>
      <w:r>
        <w:t xml:space="preserve">výslovně </w:t>
      </w:r>
      <w:r w:rsidRPr="00273106">
        <w:t xml:space="preserve">odděleno od </w:t>
      </w:r>
      <w:r>
        <w:t xml:space="preserve">Aristotelovy </w:t>
      </w:r>
      <w:r w:rsidRPr="00273106">
        <w:t xml:space="preserve">kategoriální predikace </w:t>
      </w:r>
      <w:r>
        <w:t xml:space="preserve">dané </w:t>
      </w:r>
      <w:r w:rsidRPr="08080132">
        <w:rPr>
          <w:i/>
        </w:rPr>
        <w:t>confuse</w:t>
      </w:r>
      <w:r>
        <w:t xml:space="preserve"> </w:t>
      </w:r>
      <w:r w:rsidRPr="00273106">
        <w:t>v rámci druhé substance</w:t>
      </w:r>
      <w:r>
        <w:fldChar w:fldCharType="begin"/>
      </w:r>
      <w:r>
        <w:instrText xml:space="preserve"> XE "</w:instrText>
      </w:r>
      <w:r w:rsidRPr="00DE2A32">
        <w:instrText>substance</w:instrText>
      </w:r>
      <w:r>
        <w:instrText xml:space="preserve">:druhá" </w:instrText>
      </w:r>
      <w:r>
        <w:fldChar w:fldCharType="end"/>
      </w:r>
      <w:r w:rsidRPr="00273106">
        <w:t xml:space="preserve">. </w:t>
      </w:r>
      <w:r>
        <w:t xml:space="preserve">Rufusovo </w:t>
      </w:r>
      <w:r w:rsidRPr="00273106">
        <w:rPr>
          <w:i/>
        </w:rPr>
        <w:t>scibile</w:t>
      </w:r>
      <w:r w:rsidRPr="00273106">
        <w:t xml:space="preserve"> dané v rámci </w:t>
      </w:r>
      <w:r>
        <w:t xml:space="preserve">objektivního genitivu </w:t>
      </w:r>
      <w:r w:rsidR="0064735B">
        <w:t>„</w:t>
      </w:r>
      <w:r w:rsidR="00962190">
        <w:rPr>
          <w:i/>
        </w:rPr>
        <w:t>species</w:t>
      </w:r>
      <w:r>
        <w:rPr>
          <w:i/>
        </w:rPr>
        <w:t xml:space="preserve"> obiecti exsistentis</w:t>
      </w:r>
      <w:r w:rsidR="0064735B">
        <w:t>“</w:t>
      </w:r>
      <w:r>
        <w:rPr>
          <w:i/>
        </w:rPr>
        <w:fldChar w:fldCharType="begin"/>
      </w:r>
      <w:r>
        <w:instrText xml:space="preserve"> XE "</w:instrText>
      </w:r>
      <w:r>
        <w:rPr>
          <w:i/>
        </w:rPr>
        <w:instrText>species obiecti exsistentis</w:instrText>
      </w:r>
      <w:r>
        <w:instrText xml:space="preserve">" </w:instrText>
      </w:r>
      <w:r>
        <w:rPr>
          <w:i/>
        </w:rPr>
        <w:fldChar w:fldCharType="end"/>
      </w:r>
      <w:r w:rsidRPr="00273106">
        <w:t xml:space="preserve"> </w:t>
      </w:r>
      <w:r>
        <w:t>dostalo</w:t>
      </w:r>
      <w:r w:rsidRPr="00273106">
        <w:t xml:space="preserve"> moderní charakter</w:t>
      </w:r>
      <w:r>
        <w:t xml:space="preserve"> objektivní atomární substance</w:t>
      </w:r>
      <w:r w:rsidR="00437AE1">
        <w:t>.</w:t>
      </w:r>
    </w:p>
    <w:p w:rsidR="08163013" w:rsidRDefault="08163013" w:rsidP="00437AE1">
      <w:pPr>
        <w:ind w:firstLine="397"/>
      </w:pPr>
      <w:r>
        <w:t xml:space="preserve">Scotus provedl finální </w:t>
      </w:r>
      <w:r w:rsidRPr="00273106">
        <w:rPr>
          <w:i/>
        </w:rPr>
        <w:t>Aufhebung</w:t>
      </w:r>
      <w:r>
        <w:rPr>
          <w:i/>
        </w:rPr>
        <w:fldChar w:fldCharType="begin"/>
      </w:r>
      <w:r>
        <w:instrText xml:space="preserve"> XE "</w:instrText>
      </w:r>
      <w:r w:rsidRPr="00E57B11">
        <w:rPr>
          <w:i/>
        </w:rPr>
        <w:instrText>Aufhebung</w:instrText>
      </w:r>
      <w:r>
        <w:instrText xml:space="preserve">" </w:instrText>
      </w:r>
      <w:r>
        <w:rPr>
          <w:i/>
        </w:rPr>
        <w:fldChar w:fldCharType="end"/>
      </w:r>
      <w:r w:rsidRPr="00273106">
        <w:t xml:space="preserve"> druhé</w:t>
      </w:r>
      <w:r w:rsidR="007B71AE">
        <w:t>ho averroismu a předložil</w:t>
      </w:r>
      <w:r>
        <w:t xml:space="preserve"> nové metafyzické </w:t>
      </w:r>
      <w:r w:rsidRPr="00273106">
        <w:rPr>
          <w:i/>
        </w:rPr>
        <w:t>resolutio</w:t>
      </w:r>
      <w:r w:rsidRPr="00273106">
        <w:t xml:space="preserve"> jsoucna v modu plné objektivity. </w:t>
      </w:r>
      <w:r>
        <w:t xml:space="preserve">Nové vědění je absolutní proto, </w:t>
      </w:r>
      <w:r>
        <w:lastRenderedPageBreak/>
        <w:t xml:space="preserve">že </w:t>
      </w:r>
      <w:r w:rsidRPr="00273106">
        <w:t>je plně odděleno nejen od reality první substance, a</w:t>
      </w:r>
      <w:r>
        <w:t>le</w:t>
      </w:r>
      <w:r w:rsidRPr="00273106">
        <w:t xml:space="preserve"> i od univerzality druhé substance.</w:t>
      </w:r>
      <w:r>
        <w:t xml:space="preserve"> První substance je poznání smyslově a ve svém bytí je kontingentní. Druhá substance je dělitelná v systému univerzální</w:t>
      </w:r>
      <w:r w:rsidR="006C31F6">
        <w:t>ho</w:t>
      </w:r>
      <w:r>
        <w:t xml:space="preserve"> Porfýriova stromu až na individuum. Tato atomární jednotka kategoriálně daného významu nemá </w:t>
      </w:r>
      <w:proofErr w:type="gramStart"/>
      <w:r>
        <w:t>sama o  sobě</w:t>
      </w:r>
      <w:proofErr w:type="gramEnd"/>
      <w:r>
        <w:t xml:space="preserve"> identitu objektivních </w:t>
      </w:r>
      <w:r w:rsidR="00962190">
        <w:rPr>
          <w:i/>
        </w:rPr>
        <w:t>species</w:t>
      </w:r>
      <w:r w:rsidRPr="00273106">
        <w:t xml:space="preserve"> (</w:t>
      </w:r>
      <w:r w:rsidRPr="00273106">
        <w:rPr>
          <w:i/>
        </w:rPr>
        <w:t>conceptus simpliciter simplex</w:t>
      </w:r>
      <w:r>
        <w:rPr>
          <w:i/>
        </w:rPr>
        <w:fldChar w:fldCharType="begin"/>
      </w:r>
      <w:r>
        <w:instrText xml:space="preserve"> XE "</w:instrText>
      </w:r>
      <w:r w:rsidRPr="00FF6A6C">
        <w:rPr>
          <w:i/>
        </w:rPr>
        <w:instrText>conceptus simpliciter simplex</w:instrText>
      </w:r>
      <w:r>
        <w:instrText xml:space="preserve">" </w:instrText>
      </w:r>
      <w:r>
        <w:rPr>
          <w:i/>
        </w:rPr>
        <w:fldChar w:fldCharType="end"/>
      </w:r>
      <w:r w:rsidRPr="00273106">
        <w:t>)</w:t>
      </w:r>
      <w:r>
        <w:t>, protože je dána dělením a ne přímým náhledem</w:t>
      </w:r>
      <w:r w:rsidR="006C31F6">
        <w:t xml:space="preserve">, viz </w:t>
      </w:r>
      <w:r w:rsidR="006C31F6">
        <w:rPr>
          <w:szCs w:val="24"/>
          <w:lang w:val="de-LU"/>
        </w:rPr>
        <w:t xml:space="preserve">Grossetesteho rozdíl </w:t>
      </w:r>
      <w:r w:rsidR="006C31F6" w:rsidRPr="004E76E2">
        <w:rPr>
          <w:i/>
          <w:szCs w:val="24"/>
          <w:lang w:val="de-LU"/>
        </w:rPr>
        <w:t>scientia/intelle</w:t>
      </w:r>
      <w:r w:rsidR="006C31F6">
        <w:rPr>
          <w:i/>
          <w:szCs w:val="24"/>
          <w:lang w:val="de-LU"/>
        </w:rPr>
        <w:t>c</w:t>
      </w:r>
      <w:r w:rsidR="006C31F6" w:rsidRPr="004E76E2">
        <w:rPr>
          <w:i/>
          <w:szCs w:val="24"/>
          <w:lang w:val="de-LU"/>
        </w:rPr>
        <w:t>tus</w:t>
      </w:r>
      <w:r w:rsidR="006C31F6">
        <w:rPr>
          <w:szCs w:val="24"/>
          <w:lang w:val="de-LU"/>
        </w:rPr>
        <w:t xml:space="preserve"> (OBJ II, kap. 3.1.1). </w:t>
      </w:r>
      <w:r>
        <w:t xml:space="preserve">Jiná věc je, pokud se objektivní metafyzik dívá na individuum v rámci metafyzické abstrakce </w:t>
      </w:r>
      <w:r w:rsidRPr="08FC6690">
        <w:rPr>
          <w:i/>
        </w:rPr>
        <w:t>en</w:t>
      </w:r>
      <w:r>
        <w:rPr>
          <w:i/>
        </w:rPr>
        <w:t>s</w:t>
      </w:r>
      <w:r w:rsidRPr="08FC6690">
        <w:rPr>
          <w:i/>
        </w:rPr>
        <w:t xml:space="preserve"> inquantum ens</w:t>
      </w:r>
      <w:r>
        <w:t>. D</w:t>
      </w:r>
      <w:r w:rsidRPr="00273106">
        <w:t xml:space="preserve">edukce </w:t>
      </w:r>
      <w:r>
        <w:t xml:space="preserve">jsoucna nejde od bytí boha, jako to měly předešlé části teologické dedukce, ale skrze osvícený náhled na reálné jsoucno. </w:t>
      </w:r>
      <w:r w:rsidRPr="00273106">
        <w:t>Po objektivní resoluci jsoucna až na poslední úroveň nerozložitelnosti (</w:t>
      </w:r>
      <w:r w:rsidRPr="00273106">
        <w:rPr>
          <w:i/>
        </w:rPr>
        <w:t>conceptus simpliciter simplex</w:t>
      </w:r>
      <w:r>
        <w:rPr>
          <w:i/>
        </w:rPr>
        <w:fldChar w:fldCharType="begin"/>
      </w:r>
      <w:r>
        <w:instrText xml:space="preserve"> XE "</w:instrText>
      </w:r>
      <w:r w:rsidRPr="00FF6A6C">
        <w:rPr>
          <w:i/>
        </w:rPr>
        <w:instrText>conceptus simpliciter simplex</w:instrText>
      </w:r>
      <w:r>
        <w:instrText xml:space="preserve">" </w:instrText>
      </w:r>
      <w:r>
        <w:rPr>
          <w:i/>
        </w:rPr>
        <w:fldChar w:fldCharType="end"/>
      </w:r>
      <w:r w:rsidRPr="00273106">
        <w:t xml:space="preserve">) následuje dedukce nové metafyziky. </w:t>
      </w:r>
      <w:r>
        <w:t xml:space="preserve">Toto poslední nazírání jsoucna se děje v metafyzickém modu </w:t>
      </w:r>
      <w:r w:rsidRPr="00A93010">
        <w:rPr>
          <w:i/>
        </w:rPr>
        <w:t>ens inquantum ens</w:t>
      </w:r>
      <w:r>
        <w:t xml:space="preserve">, protože jen takto dané bytí jsoucího není možné rozložit na další prvky. </w:t>
      </w:r>
      <w:r w:rsidRPr="00273106">
        <w:t>Opět přitom pomůže koncept nekonečnosti, v němž jsou obsaženy v</w:t>
      </w:r>
      <w:r>
        <w:t xml:space="preserve">šechny konečné významy jsoucna. Tím se rozbíhá další kolo metafyzické dedukce dané od boha ke stvoření. Následující část traktátu </w:t>
      </w:r>
      <w:r w:rsidR="008C2D4A" w:rsidRPr="008C2D4A">
        <w:rPr>
          <w:i/>
        </w:rPr>
        <w:t>Lectura I</w:t>
      </w:r>
      <w:r w:rsidR="00C20934">
        <w:t xml:space="preserve"> </w:t>
      </w:r>
      <w:r>
        <w:t xml:space="preserve">nejprve </w:t>
      </w:r>
      <w:r w:rsidRPr="00273106">
        <w:t xml:space="preserve">zkoumá </w:t>
      </w:r>
      <w:r>
        <w:t>bytí tohoto objektivního pojmu (</w:t>
      </w:r>
      <w:r w:rsidRPr="084501A4">
        <w:rPr>
          <w:i/>
        </w:rPr>
        <w:t xml:space="preserve">De primo cognito primitate </w:t>
      </w:r>
      <w:r>
        <w:rPr>
          <w:i/>
        </w:rPr>
        <w:t>prefectionis</w:t>
      </w:r>
      <w:r>
        <w:t xml:space="preserve">) a pak řeší adekvaci prvního postřehu </w:t>
      </w:r>
      <w:r w:rsidRPr="00273106">
        <w:t xml:space="preserve">poznání </w:t>
      </w:r>
      <w:r>
        <w:t xml:space="preserve">vzhledem ke světu </w:t>
      </w:r>
      <w:r w:rsidRPr="00273106">
        <w:t xml:space="preserve">konečných </w:t>
      </w:r>
      <w:r>
        <w:t>jsoucen (</w:t>
      </w:r>
      <w:r w:rsidRPr="084501A4">
        <w:rPr>
          <w:i/>
        </w:rPr>
        <w:t xml:space="preserve">De </w:t>
      </w:r>
      <w:proofErr w:type="gramStart"/>
      <w:r w:rsidRPr="084501A4">
        <w:rPr>
          <w:i/>
        </w:rPr>
        <w:t>primo</w:t>
      </w:r>
      <w:proofErr w:type="gramEnd"/>
      <w:r w:rsidRPr="084501A4">
        <w:rPr>
          <w:i/>
        </w:rPr>
        <w:t xml:space="preserve"> cognito primitate adaequationis</w:t>
      </w:r>
      <w:r>
        <w:t xml:space="preserve">). </w:t>
      </w:r>
      <w:r w:rsidRPr="00273106">
        <w:t xml:space="preserve">Shrňme </w:t>
      </w:r>
      <w:r>
        <w:t xml:space="preserve">jen stručně konstrukci první verze nové metafyziky, která následuje po výše citované pasáži </w:t>
      </w:r>
      <w:r w:rsidR="008C2D4A" w:rsidRPr="008C2D4A">
        <w:rPr>
          <w:i/>
        </w:rPr>
        <w:t>Lectura I</w:t>
      </w:r>
      <w:r w:rsidRPr="00273106">
        <w:t xml:space="preserve"> (</w:t>
      </w:r>
      <w:r w:rsidRPr="08C215F1">
        <w:rPr>
          <w:i/>
        </w:rPr>
        <w:t>Vat.</w:t>
      </w:r>
      <w:r w:rsidRPr="00273106">
        <w:t xml:space="preserve"> XVI, no. 73‒81</w:t>
      </w:r>
      <w:r>
        <w:t>, pp. 252‒55</w:t>
      </w:r>
      <w:r w:rsidRPr="00273106">
        <w:t xml:space="preserve">). </w:t>
      </w:r>
      <w:r>
        <w:t>Transcendentální d</w:t>
      </w:r>
      <w:r w:rsidRPr="00273106">
        <w:t xml:space="preserve">edukce </w:t>
      </w:r>
      <w:r>
        <w:t xml:space="preserve">v rámci nového </w:t>
      </w:r>
      <w:r w:rsidRPr="002418BD">
        <w:rPr>
          <w:i/>
        </w:rPr>
        <w:t>resolutio</w:t>
      </w:r>
      <w:r>
        <w:t xml:space="preserve"> definuje </w:t>
      </w:r>
      <w:r w:rsidRPr="00273106">
        <w:t xml:space="preserve">první určení univocity </w:t>
      </w:r>
      <w:r>
        <w:t>jako čistou</w:t>
      </w:r>
      <w:r w:rsidRPr="00273106">
        <w:t xml:space="preserve"> </w:t>
      </w:r>
      <w:r w:rsidR="00162F26">
        <w:t>„</w:t>
      </w:r>
      <w:r w:rsidRPr="00273106">
        <w:rPr>
          <w:i/>
        </w:rPr>
        <w:t>potentia tantum</w:t>
      </w:r>
      <w:r w:rsidR="00162F26">
        <w:t>“</w:t>
      </w:r>
      <w:r w:rsidRPr="00273106">
        <w:t xml:space="preserve">, která je </w:t>
      </w:r>
      <w:r>
        <w:t>nemateriální formou</w:t>
      </w:r>
      <w:r w:rsidRPr="00273106">
        <w:t xml:space="preserve"> (</w:t>
      </w:r>
      <w:r w:rsidRPr="00273106">
        <w:rPr>
          <w:i/>
        </w:rPr>
        <w:t>potentia immaterialis</w:t>
      </w:r>
      <w:r w:rsidRPr="00273106">
        <w:t>)</w:t>
      </w:r>
      <w:r>
        <w:t xml:space="preserve">. Proto patří tento </w:t>
      </w:r>
      <w:r w:rsidRPr="00273106">
        <w:t>modu</w:t>
      </w:r>
      <w:r>
        <w:t>s</w:t>
      </w:r>
      <w:r w:rsidRPr="00273106">
        <w:t xml:space="preserve"> </w:t>
      </w:r>
      <w:r w:rsidR="005E6D3C">
        <w:t xml:space="preserve">daný </w:t>
      </w:r>
      <w:r w:rsidRPr="00273106">
        <w:rPr>
          <w:i/>
        </w:rPr>
        <w:t>per prius</w:t>
      </w:r>
      <w:r w:rsidRPr="00273106">
        <w:t xml:space="preserve"> </w:t>
      </w:r>
      <w:r>
        <w:t xml:space="preserve">pouze </w:t>
      </w:r>
      <w:r w:rsidRPr="00273106">
        <w:t xml:space="preserve">k transcendentálnímu určení nekonečna v boží mysli. První krok dedukce jde od </w:t>
      </w:r>
      <w:r>
        <w:t>objektivně poznaného jsoucna (</w:t>
      </w:r>
      <w:r w:rsidRPr="00273106">
        <w:rPr>
          <w:i/>
        </w:rPr>
        <w:t>ens ut primo cognitum</w:t>
      </w:r>
      <w:r>
        <w:t>)</w:t>
      </w:r>
      <w:r w:rsidRPr="00273106">
        <w:t xml:space="preserve"> směrem k</w:t>
      </w:r>
      <w:r>
        <w:t xml:space="preserve">e jsoucnu </w:t>
      </w:r>
      <w:proofErr w:type="gramStart"/>
      <w:r>
        <w:t>danému</w:t>
      </w:r>
      <w:proofErr w:type="gramEnd"/>
      <w:r>
        <w:t xml:space="preserve"> reálném světě (</w:t>
      </w:r>
      <w:r w:rsidRPr="00273106">
        <w:rPr>
          <w:i/>
        </w:rPr>
        <w:t>ens generabile</w:t>
      </w:r>
      <w:r>
        <w:t>)</w:t>
      </w:r>
      <w:r w:rsidRPr="00273106">
        <w:t xml:space="preserve">. </w:t>
      </w:r>
      <w:r>
        <w:t xml:space="preserve">Novým poznáním jsoucna v modu </w:t>
      </w:r>
      <w:r w:rsidRPr="00542B8F">
        <w:rPr>
          <w:i/>
        </w:rPr>
        <w:t>per prius</w:t>
      </w:r>
      <w:r>
        <w:t xml:space="preserve"> </w:t>
      </w:r>
      <w:r w:rsidRPr="00273106">
        <w:t>vznikla náhrada za tabulku kategorií a přitom zůstal základn</w:t>
      </w:r>
      <w:r>
        <w:t xml:space="preserve">í smysl kategoriální predikace </w:t>
      </w:r>
      <w:r w:rsidRPr="00273106">
        <w:rPr>
          <w:i/>
        </w:rPr>
        <w:t xml:space="preserve">ad </w:t>
      </w:r>
      <w:proofErr w:type="gramStart"/>
      <w:r w:rsidRPr="00273106">
        <w:rPr>
          <w:i/>
        </w:rPr>
        <w:t>unum</w:t>
      </w:r>
      <w:proofErr w:type="gramEnd"/>
      <w:r>
        <w:t xml:space="preserve"> k </w:t>
      </w:r>
      <w:r w:rsidRPr="00273106">
        <w:t>objektivně danému minimálnímu jsoucnu (</w:t>
      </w:r>
      <w:r w:rsidRPr="00273106">
        <w:rPr>
          <w:i/>
        </w:rPr>
        <w:t>conceptus simpliciter simplex</w:t>
      </w:r>
      <w:r w:rsidRPr="00273106">
        <w:t xml:space="preserve">). Program nové metafyziky </w:t>
      </w:r>
      <w:r>
        <w:t>s</w:t>
      </w:r>
      <w:r w:rsidRPr="00273106">
        <w:t>hrnují tyto tři fundamentální úkoly.</w:t>
      </w:r>
    </w:p>
    <w:p w:rsidR="08163013" w:rsidRDefault="08163013" w:rsidP="08163013">
      <w:pPr>
        <w:pStyle w:val="Citace"/>
      </w:pPr>
      <w:r w:rsidRPr="00273106">
        <w:rPr>
          <w:noProof/>
          <w:lang w:val="cs-CZ"/>
        </w:rPr>
        <w:t>„</w:t>
      </w:r>
      <w:r>
        <w:t>Při řešení druhé otázky, 'jak poznáváme první jsoucno', je třeba postupovat takto. Nejprve je třeba zjistit, co je prvním poznaným jsoucnem v řádu priority dané původem a vznikem</w:t>
      </w:r>
      <w:r>
        <w:rPr>
          <w:lang w:val="cs-CZ"/>
        </w:rPr>
        <w:t xml:space="preserve"> (</w:t>
      </w:r>
      <w:r w:rsidRPr="08665AFA">
        <w:rPr>
          <w:i/>
          <w:noProof/>
        </w:rPr>
        <w:t xml:space="preserve">primitate originis </w:t>
      </w:r>
      <w:r w:rsidRPr="08665AFA">
        <w:rPr>
          <w:i/>
          <w:noProof/>
        </w:rPr>
        <w:lastRenderedPageBreak/>
        <w:t>et generationis</w:t>
      </w:r>
      <w:r>
        <w:rPr>
          <w:lang w:val="cs-CZ"/>
        </w:rPr>
        <w:t>)</w:t>
      </w:r>
      <w:r>
        <w:t>. Za druhé, co je první poznané jsou</w:t>
      </w:r>
      <w:r>
        <w:rPr>
          <w:lang w:val="cs-CZ"/>
        </w:rPr>
        <w:t>c</w:t>
      </w:r>
      <w:r>
        <w:t>no z hlediska jeho dokonalosti</w:t>
      </w:r>
      <w:r w:rsidR="007D6912">
        <w:rPr>
          <w:lang w:val="cs-CZ"/>
        </w:rPr>
        <w:t xml:space="preserve"> </w:t>
      </w:r>
      <w:r w:rsidR="007D6912">
        <w:t>(</w:t>
      </w:r>
      <w:r w:rsidR="007D6912">
        <w:rPr>
          <w:i/>
          <w:noProof/>
        </w:rPr>
        <w:t>primitat</w:t>
      </w:r>
      <w:r w:rsidR="007D6912">
        <w:rPr>
          <w:i/>
          <w:noProof/>
          <w:lang w:val="cs-CZ"/>
        </w:rPr>
        <w:t>e perfectio</w:t>
      </w:r>
      <w:r w:rsidR="007D6912" w:rsidRPr="00976225">
        <w:rPr>
          <w:i/>
          <w:noProof/>
        </w:rPr>
        <w:t>nis</w:t>
      </w:r>
      <w:r w:rsidR="007D6912">
        <w:t>)</w:t>
      </w:r>
      <w:r>
        <w:t>. Za třetí, co je první poznané jsoucno z hlediska adekvace</w:t>
      </w:r>
      <w:r w:rsidR="007D6912">
        <w:rPr>
          <w:lang w:val="cs-CZ"/>
        </w:rPr>
        <w:t xml:space="preserve"> </w:t>
      </w:r>
      <w:r w:rsidR="007D6912">
        <w:t>(</w:t>
      </w:r>
      <w:r w:rsidR="007D6912" w:rsidRPr="00976225">
        <w:rPr>
          <w:i/>
          <w:noProof/>
        </w:rPr>
        <w:t>primitate adaequationis</w:t>
      </w:r>
      <w:r w:rsidR="007D6912">
        <w:t>)</w:t>
      </w:r>
      <w:r>
        <w:t>.“</w:t>
      </w:r>
      <w:r>
        <w:rPr>
          <w:lang w:val="cs-CZ"/>
        </w:rPr>
        <w:t> </w:t>
      </w:r>
      <w:r>
        <w:rPr>
          <w:rStyle w:val="Znakapoznpodarou"/>
        </w:rPr>
        <w:footnoteReference w:id="444"/>
      </w:r>
    </w:p>
    <w:p w:rsidR="000C3E88" w:rsidRDefault="08163013" w:rsidP="08163013">
      <w:r>
        <w:t xml:space="preserve">Priorita určení jsoucna daná původem a vznikem představuje klíčové určení metafyziky. Citované komentáře </w:t>
      </w:r>
      <w:r w:rsidRPr="084450C9">
        <w:rPr>
          <w:i/>
        </w:rPr>
        <w:t>Kategorií</w:t>
      </w:r>
      <w:r>
        <w:t xml:space="preserve"> a </w:t>
      </w:r>
      <w:proofErr w:type="gramStart"/>
      <w:r w:rsidRPr="084450C9">
        <w:rPr>
          <w:i/>
        </w:rPr>
        <w:t>Metafyziky</w:t>
      </w:r>
      <w:r w:rsidRPr="00273106">
        <w:t xml:space="preserve"> Z</w:t>
      </w:r>
      <w:r>
        <w:t>.1 bránily</w:t>
      </w:r>
      <w:proofErr w:type="gramEnd"/>
      <w:r>
        <w:t xml:space="preserve"> primát</w:t>
      </w:r>
      <w:r w:rsidRPr="00273106">
        <w:t xml:space="preserve"> </w:t>
      </w:r>
      <w:r>
        <w:t xml:space="preserve">první </w:t>
      </w:r>
      <w:r w:rsidRPr="00273106">
        <w:t>substance</w:t>
      </w:r>
      <w:r>
        <w:t xml:space="preserve"> zredukované na </w:t>
      </w:r>
      <w:r w:rsidRPr="00273106">
        <w:t>první princip poznání (</w:t>
      </w:r>
      <w:r w:rsidRPr="00273106">
        <w:rPr>
          <w:i/>
        </w:rPr>
        <w:t>substantia est primum omnium entium cognitione</w:t>
      </w:r>
      <w:r>
        <w:rPr>
          <w:i/>
        </w:rPr>
        <w:t xml:space="preserve">, </w:t>
      </w:r>
      <w:r w:rsidR="000025ED">
        <w:t>kap. 5</w:t>
      </w:r>
      <w:r>
        <w:t>.3.1</w:t>
      </w:r>
      <w:r w:rsidRPr="00273106">
        <w:t>).</w:t>
      </w:r>
      <w:r w:rsidR="000025ED">
        <w:t xml:space="preserve"> </w:t>
      </w:r>
      <w:r>
        <w:t xml:space="preserve">Koncept prvního jsoucna vzniká v náhledu objektivity dané v simplicitě jsoucna jako čistě jsoucího. Tento náhled je možné učinit vzhledem k bohu v modu hypotetické </w:t>
      </w:r>
      <w:r w:rsidRPr="08015385">
        <w:rPr>
          <w:i/>
        </w:rPr>
        <w:t>epoché</w:t>
      </w:r>
      <w:r w:rsidRPr="08015385">
        <w:rPr>
          <w:i/>
        </w:rPr>
        <w:fldChar w:fldCharType="begin"/>
      </w:r>
      <w:r w:rsidRPr="08015385">
        <w:rPr>
          <w:i/>
        </w:rPr>
        <w:instrText xml:space="preserve"> XE "epoché" </w:instrText>
      </w:r>
      <w:r w:rsidRPr="08015385">
        <w:rPr>
          <w:i/>
        </w:rPr>
        <w:fldChar w:fldCharType="end"/>
      </w:r>
      <w:r>
        <w:rPr>
          <w:i/>
        </w:rPr>
        <w:t xml:space="preserve"> </w:t>
      </w:r>
      <w:r w:rsidRPr="08EA6506">
        <w:t>zhasnutého slunce</w:t>
      </w:r>
      <w:r>
        <w:t xml:space="preserve">. Přesazením do kauzality dané přímým poznáním jsoucen od boha je náhled stvořených věcí přiveden na rovinu, kde už nelze koncept rozložit na nižší složky </w:t>
      </w:r>
      <w:r w:rsidRPr="00273106">
        <w:t>(</w:t>
      </w:r>
      <w:r w:rsidRPr="00273106">
        <w:rPr>
          <w:i/>
        </w:rPr>
        <w:t>conceptus simpliciter simplex</w:t>
      </w:r>
      <w:r>
        <w:rPr>
          <w:i/>
        </w:rPr>
        <w:fldChar w:fldCharType="begin"/>
      </w:r>
      <w:r>
        <w:instrText xml:space="preserve"> XE "</w:instrText>
      </w:r>
      <w:r w:rsidRPr="00FF6A6C">
        <w:rPr>
          <w:i/>
        </w:rPr>
        <w:instrText>conceptus simpliciter simplex</w:instrText>
      </w:r>
      <w:r>
        <w:instrText xml:space="preserve">" </w:instrText>
      </w:r>
      <w:r>
        <w:rPr>
          <w:i/>
        </w:rPr>
        <w:fldChar w:fldCharType="end"/>
      </w:r>
      <w:r w:rsidRPr="00273106">
        <w:t>)</w:t>
      </w:r>
      <w:r>
        <w:t>. Tato rovina určení jsoucna je základní, protože zajišťuje objektivní formu dedukce z jednoho původního zdroje jsoucího jako jsoucího (</w:t>
      </w:r>
      <w:r w:rsidR="001E246E">
        <w:rPr>
          <w:i/>
          <w:lang w:val="de-LU"/>
        </w:rPr>
        <w:t>primitate originis et generationis</w:t>
      </w:r>
      <w:r>
        <w:t xml:space="preserve">). </w:t>
      </w:r>
      <w:r w:rsidRPr="00273106">
        <w:t xml:space="preserve">Nové jsoucno má vlastní formu esenciality </w:t>
      </w:r>
      <w:r>
        <w:t xml:space="preserve">dané jako forma čistého a zcela evidentního poznání </w:t>
      </w:r>
      <w:r w:rsidRPr="00273106">
        <w:t>(</w:t>
      </w:r>
      <w:r w:rsidRPr="00273106">
        <w:rPr>
          <w:i/>
        </w:rPr>
        <w:t>primo cognitum primitate perfectionis</w:t>
      </w:r>
      <w:r w:rsidRPr="00273106">
        <w:t>)</w:t>
      </w:r>
      <w:r>
        <w:t>. Tato objektivní substance</w:t>
      </w:r>
      <w:r>
        <w:fldChar w:fldCharType="begin"/>
      </w:r>
      <w:r>
        <w:instrText xml:space="preserve"> XE "</w:instrText>
      </w:r>
      <w:r w:rsidRPr="00DE2A32">
        <w:instrText>substance</w:instrText>
      </w:r>
      <w:r>
        <w:instrText xml:space="preserve">:objektivní" </w:instrText>
      </w:r>
      <w:r>
        <w:fldChar w:fldCharType="end"/>
      </w:r>
      <w:r>
        <w:t xml:space="preserve"> zakládá </w:t>
      </w:r>
      <w:r w:rsidRPr="00273106">
        <w:t xml:space="preserve">pojetí pravdy jako adekvace </w:t>
      </w:r>
      <w:r>
        <w:t xml:space="preserve">intelektu </w:t>
      </w:r>
      <w:r w:rsidRPr="00273106">
        <w:t>(</w:t>
      </w:r>
      <w:r w:rsidRPr="00273106">
        <w:rPr>
          <w:i/>
        </w:rPr>
        <w:t>primo cognitum primitate adaequationis</w:t>
      </w:r>
      <w:r w:rsidRPr="00273106">
        <w:t xml:space="preserve">). Tím </w:t>
      </w:r>
      <w:r w:rsidR="00A64872" w:rsidRPr="00273106">
        <w:t xml:space="preserve">je </w:t>
      </w:r>
      <w:r w:rsidR="00A64872">
        <w:t xml:space="preserve">deduktivně </w:t>
      </w:r>
      <w:r w:rsidR="00A64872" w:rsidRPr="00273106">
        <w:t>dána p</w:t>
      </w:r>
      <w:r w:rsidR="00A64872">
        <w:t xml:space="preserve">rvní rovina čistě objektivního bytí </w:t>
      </w:r>
      <w:r w:rsidR="00A64872" w:rsidRPr="00273106">
        <w:t>jsoucna</w:t>
      </w:r>
      <w:r w:rsidR="00A64872">
        <w:t xml:space="preserve">, která určuje plnost bytí a pravdy. Tuto rovinu už </w:t>
      </w:r>
      <w:r w:rsidRPr="00273106">
        <w:t>nelze rozložit na jednodušší principy</w:t>
      </w:r>
      <w:r w:rsidR="00A64872">
        <w:t xml:space="preserve">, takže zajišťuje poslední úroveň metafyzického </w:t>
      </w:r>
      <w:r w:rsidR="00A64872" w:rsidRPr="00A64872">
        <w:rPr>
          <w:i/>
        </w:rPr>
        <w:t>resolutio</w:t>
      </w:r>
      <w:r w:rsidR="00A64872">
        <w:t xml:space="preserve">. </w:t>
      </w:r>
      <w:r w:rsidRPr="00273106">
        <w:t xml:space="preserve">Primární poznání </w:t>
      </w:r>
      <w:r>
        <w:t xml:space="preserve">objektivních </w:t>
      </w:r>
      <w:r w:rsidR="00962190">
        <w:rPr>
          <w:i/>
        </w:rPr>
        <w:t>species</w:t>
      </w:r>
      <w:r w:rsidRPr="00273106">
        <w:t xml:space="preserve"> se děje v rámci </w:t>
      </w:r>
      <w:r w:rsidRPr="00273106">
        <w:rPr>
          <w:i/>
        </w:rPr>
        <w:t>ens inquantum ens</w:t>
      </w:r>
      <w:r>
        <w:rPr>
          <w:i/>
        </w:rPr>
        <w:fldChar w:fldCharType="begin"/>
      </w:r>
      <w:r>
        <w:instrText xml:space="preserve"> XE "</w:instrText>
      </w:r>
      <w:r w:rsidRPr="005424E2">
        <w:rPr>
          <w:i/>
        </w:rPr>
        <w:instrText>ens inquantum ens</w:instrText>
      </w:r>
      <w:r>
        <w:instrText xml:space="preserve">" </w:instrText>
      </w:r>
      <w:r>
        <w:rPr>
          <w:i/>
        </w:rPr>
        <w:fldChar w:fldCharType="end"/>
      </w:r>
      <w:r w:rsidRPr="00273106">
        <w:t>, a nikoliv skrze jsoucnost</w:t>
      </w:r>
      <w:r>
        <w:t xml:space="preserve"> danou v aktualizované věci. Díky čisté nematerialitě a boží univerzální a inteligibilní kauzalitě dané přímo v našem intelektu představuje toto </w:t>
      </w:r>
      <w:r w:rsidRPr="00273106">
        <w:t xml:space="preserve">jsoucno první </w:t>
      </w:r>
      <w:r w:rsidR="00F73A23" w:rsidRPr="00F73A23">
        <w:rPr>
          <w:i/>
        </w:rPr>
        <w:t>scibile</w:t>
      </w:r>
      <w:r w:rsidR="00F73A23">
        <w:t xml:space="preserve"> intelektu</w:t>
      </w:r>
      <w:r>
        <w:t xml:space="preserve">. </w:t>
      </w:r>
      <w:r w:rsidR="00A64872">
        <w:t>I</w:t>
      </w:r>
      <w:r>
        <w:t>ntelekt moderních iluminátů</w:t>
      </w:r>
      <w:r>
        <w:fldChar w:fldCharType="begin"/>
      </w:r>
      <w:r>
        <w:instrText xml:space="preserve"> XE "</w:instrText>
      </w:r>
      <w:r w:rsidRPr="00BD65D1">
        <w:instrText>ilumináti</w:instrText>
      </w:r>
      <w:r>
        <w:instrText xml:space="preserve">" </w:instrText>
      </w:r>
      <w:r>
        <w:fldChar w:fldCharType="end"/>
      </w:r>
      <w:r>
        <w:t xml:space="preserve"> </w:t>
      </w:r>
      <w:r w:rsidR="00A64872" w:rsidRPr="00273106">
        <w:t xml:space="preserve">musí </w:t>
      </w:r>
      <w:r>
        <w:t xml:space="preserve">vystoupit za Aristotela o </w:t>
      </w:r>
      <w:r w:rsidRPr="00273106">
        <w:t>krok vzhůru</w:t>
      </w:r>
      <w:r w:rsidR="006A6042">
        <w:t>,</w:t>
      </w:r>
      <w:r w:rsidRPr="00273106">
        <w:t xml:space="preserve"> k objektivní formě jsoucna. Avic</w:t>
      </w:r>
      <w:r>
        <w:t xml:space="preserve">enna poprvé definoval termín </w:t>
      </w:r>
      <w:r w:rsidRPr="00273106">
        <w:rPr>
          <w:i/>
        </w:rPr>
        <w:t>individuum vagum</w:t>
      </w:r>
      <w:r>
        <w:rPr>
          <w:i/>
        </w:rPr>
        <w:fldChar w:fldCharType="begin"/>
      </w:r>
      <w:r>
        <w:instrText xml:space="preserve"> XE "substance:</w:instrText>
      </w:r>
      <w:r w:rsidRPr="00154E2A">
        <w:rPr>
          <w:i/>
        </w:rPr>
        <w:instrText>individuum vagum</w:instrText>
      </w:r>
      <w:r>
        <w:instrText xml:space="preserve">" </w:instrText>
      </w:r>
      <w:r>
        <w:rPr>
          <w:i/>
        </w:rPr>
        <w:fldChar w:fldCharType="end"/>
      </w:r>
      <w:r w:rsidRPr="00273106">
        <w:t xml:space="preserve"> (</w:t>
      </w:r>
      <w:r w:rsidR="00014508">
        <w:t xml:space="preserve">OBJ I, </w:t>
      </w:r>
      <w:r w:rsidRPr="00273106">
        <w:t>kap. 2.3.2)</w:t>
      </w:r>
      <w:r w:rsidR="008F6152">
        <w:t xml:space="preserve">. Škola </w:t>
      </w:r>
      <w:r w:rsidRPr="00273106">
        <w:rPr>
          <w:i/>
        </w:rPr>
        <w:t>Nominales</w:t>
      </w:r>
      <w:r>
        <w:t xml:space="preserve"> </w:t>
      </w:r>
      <w:r w:rsidR="008F6152">
        <w:t xml:space="preserve">pak vytvořila </w:t>
      </w:r>
      <w:r>
        <w:t xml:space="preserve">moderní </w:t>
      </w:r>
      <w:r w:rsidRPr="00DA3824">
        <w:t>individuum</w:t>
      </w:r>
      <w:r>
        <w:t xml:space="preserve"> </w:t>
      </w:r>
      <w:r w:rsidR="008F6152">
        <w:t xml:space="preserve">skrze dělení </w:t>
      </w:r>
      <w:r w:rsidR="008F6152" w:rsidRPr="00273106">
        <w:t>univerzálních významů</w:t>
      </w:r>
      <w:r w:rsidR="00E31EA2">
        <w:t xml:space="preserve"> </w:t>
      </w:r>
      <w:r w:rsidR="008F6152">
        <w:t xml:space="preserve">v rámci </w:t>
      </w:r>
      <w:r>
        <w:t>Porfyri</w:t>
      </w:r>
      <w:r w:rsidRPr="00273106">
        <w:t>ova</w:t>
      </w:r>
      <w:r>
        <w:t xml:space="preserve"> stromu</w:t>
      </w:r>
      <w:r w:rsidRPr="00273106">
        <w:t xml:space="preserve">. Z nominalistického individua se </w:t>
      </w:r>
      <w:r>
        <w:t xml:space="preserve">v nové dedukci na amfibolní úroveň predikace </w:t>
      </w:r>
      <w:r w:rsidRPr="00273106">
        <w:t>stalo objektivní</w:t>
      </w:r>
      <w:r>
        <w:t xml:space="preserve"> jsoucno</w:t>
      </w:r>
      <w:r w:rsidRPr="00273106">
        <w:t>.</w:t>
      </w:r>
      <w:r>
        <w:t xml:space="preserve"> Použití Avicennovy metafyziky </w:t>
      </w:r>
      <w:r w:rsidRPr="00273106">
        <w:t xml:space="preserve">v objektivním modu </w:t>
      </w:r>
      <w:r w:rsidRPr="00273106">
        <w:rPr>
          <w:i/>
        </w:rPr>
        <w:t>ens inquantum ens</w:t>
      </w:r>
      <w:r>
        <w:t xml:space="preserve"> zakládá historický </w:t>
      </w:r>
      <w:r w:rsidRPr="00273106">
        <w:t xml:space="preserve">začátek metafyziky </w:t>
      </w:r>
      <w:r w:rsidRPr="00273106">
        <w:rPr>
          <w:i/>
        </w:rPr>
        <w:t>Modernorum</w:t>
      </w:r>
      <w:r>
        <w:t xml:space="preserve">, kterou </w:t>
      </w:r>
      <w:r w:rsidR="00754490">
        <w:t>převzal</w:t>
      </w:r>
      <w:r w:rsidRPr="00273106">
        <w:t xml:space="preserve"> Descartes. </w:t>
      </w:r>
      <w:r>
        <w:t xml:space="preserve">Tím se změnil archaický </w:t>
      </w:r>
      <w:r w:rsidRPr="08CA1857">
        <w:rPr>
          <w:i/>
        </w:rPr>
        <w:t>Anfang</w:t>
      </w:r>
      <w:r>
        <w:t xml:space="preserve"> objektivity vyšetřovaný v předešlých matricích na objektivně </w:t>
      </w:r>
      <w:r>
        <w:lastRenderedPageBreak/>
        <w:t>daný začátek druhé metafyziky (</w:t>
      </w:r>
      <w:r w:rsidRPr="08CA1857">
        <w:rPr>
          <w:i/>
        </w:rPr>
        <w:t>Beginn</w:t>
      </w:r>
      <w:r>
        <w:t>) manifestovaný v historickém a pozitivním modu</w:t>
      </w:r>
      <w:r>
        <w:fldChar w:fldCharType="begin"/>
      </w:r>
      <w:r>
        <w:instrText xml:space="preserve"> XE "</w:instrText>
      </w:r>
      <w:r w:rsidRPr="00E03AED">
        <w:instrText>metafyzika:</w:instrText>
      </w:r>
      <w:r w:rsidRPr="00614373">
        <w:rPr>
          <w:i/>
        </w:rPr>
        <w:instrText>Anfang</w:instrText>
      </w:r>
      <w:r w:rsidRPr="00E03AED">
        <w:instrText>/</w:instrText>
      </w:r>
      <w:r w:rsidRPr="00614373">
        <w:rPr>
          <w:i/>
        </w:rPr>
        <w:instrText>Beginn</w:instrText>
      </w:r>
      <w:r>
        <w:instrText xml:space="preserve">" </w:instrText>
      </w:r>
      <w:r>
        <w:fldChar w:fldCharType="end"/>
      </w:r>
      <w:r w:rsidR="000C3E88">
        <w:t>.</w:t>
      </w:r>
    </w:p>
    <w:p w:rsidR="08163013" w:rsidRPr="00273106" w:rsidRDefault="08163013" w:rsidP="000C3E88">
      <w:pPr>
        <w:ind w:firstLine="397"/>
      </w:pPr>
      <w:r>
        <w:t>P</w:t>
      </w:r>
      <w:r w:rsidRPr="00273106">
        <w:t>rvní</w:t>
      </w:r>
      <w:r>
        <w:t xml:space="preserve"> způsob </w:t>
      </w:r>
      <w:r w:rsidRPr="00273106">
        <w:t xml:space="preserve">dedukce jsoucna </w:t>
      </w:r>
      <w:r>
        <w:t xml:space="preserve">pomocí objektivního </w:t>
      </w:r>
      <w:r w:rsidRPr="08D149B9">
        <w:rPr>
          <w:i/>
        </w:rPr>
        <w:t>resolutio</w:t>
      </w:r>
      <w:r>
        <w:t xml:space="preserve"> jde za </w:t>
      </w:r>
      <w:r w:rsidRPr="00273106">
        <w:t xml:space="preserve">kategoriální rozdělení na substanci a akcident. </w:t>
      </w:r>
      <w:r>
        <w:t xml:space="preserve">Až teprve v </w:t>
      </w:r>
      <w:r w:rsidRPr="00273106">
        <w:t xml:space="preserve">sekundární </w:t>
      </w:r>
      <w:r>
        <w:t xml:space="preserve">formě </w:t>
      </w:r>
      <w:r w:rsidRPr="00273106">
        <w:t xml:space="preserve">poznání </w:t>
      </w:r>
      <w:r>
        <w:t xml:space="preserve">se poznává jsoucno v reálu </w:t>
      </w:r>
      <w:r w:rsidRPr="00273106">
        <w:t>(</w:t>
      </w:r>
      <w:r w:rsidRPr="00273106">
        <w:rPr>
          <w:i/>
        </w:rPr>
        <w:t>ens generabile</w:t>
      </w:r>
      <w:r>
        <w:t xml:space="preserve">). </w:t>
      </w:r>
      <w:r w:rsidRPr="00273106">
        <w:t>Citujme druhý krok dedukce</w:t>
      </w:r>
      <w:r>
        <w:t>, který ukazuje aristotelský náhled na reálně danou věc</w:t>
      </w:r>
      <w:r w:rsidRPr="00273106">
        <w:t xml:space="preserve">. </w:t>
      </w:r>
    </w:p>
    <w:p w:rsidR="08163013" w:rsidRPr="002A4913" w:rsidRDefault="08163013" w:rsidP="08163013">
      <w:pPr>
        <w:pStyle w:val="Citace"/>
        <w:rPr>
          <w:noProof/>
          <w:lang w:val="cs-CZ"/>
        </w:rPr>
      </w:pPr>
      <w:r w:rsidRPr="00273106">
        <w:rPr>
          <w:noProof/>
          <w:lang w:val="cs-CZ"/>
        </w:rPr>
        <w:t>„</w:t>
      </w:r>
      <w:r>
        <w:rPr>
          <w:noProof/>
          <w:lang w:val="cs-CZ"/>
        </w:rPr>
        <w:t>Za druhé je jsoucno primárně dáno skrze původ a vznik, proto je poznáváme skrze poznání individuí (</w:t>
      </w:r>
      <w:r w:rsidRPr="002A4913">
        <w:rPr>
          <w:i/>
          <w:noProof/>
          <w:lang w:val="cs-CZ"/>
        </w:rPr>
        <w:t>cognitione distincta</w:t>
      </w:r>
      <w:r>
        <w:rPr>
          <w:noProof/>
          <w:lang w:val="cs-CZ"/>
        </w:rPr>
        <w:t>). Důkaz je tento. Jsoucno nelze poznat jinak než jako určité bytí, protože není rozložitelné na mnohost nižších konceptů.  K takto danému poznání něčeho v modu určitosti je ale nutné předchozí poznání jsoucna jako takového (</w:t>
      </w:r>
      <w:r w:rsidRPr="00342388">
        <w:rPr>
          <w:i/>
          <w:noProof/>
        </w:rPr>
        <w:t>oportet quod ens praecognoscatur</w:t>
      </w:r>
      <w:r>
        <w:rPr>
          <w:noProof/>
          <w:lang w:val="cs-CZ"/>
        </w:rPr>
        <w:t>), protože v každém určeném pojmu je dáno jsoucno jako takové (</w:t>
      </w:r>
      <w:r w:rsidRPr="00342388">
        <w:rPr>
          <w:i/>
          <w:noProof/>
        </w:rPr>
        <w:t>in omni conceptu est ens</w:t>
      </w:r>
      <w:r>
        <w:rPr>
          <w:noProof/>
          <w:lang w:val="cs-CZ"/>
        </w:rPr>
        <w:t xml:space="preserve">).“ </w:t>
      </w:r>
      <w:r>
        <w:rPr>
          <w:rStyle w:val="Znakapoznpodarou"/>
        </w:rPr>
        <w:footnoteReference w:id="445"/>
      </w:r>
    </w:p>
    <w:p w:rsidR="08163013" w:rsidRDefault="00DB6710" w:rsidP="08163013">
      <w:r w:rsidRPr="00273106">
        <w:t>Citát ukazuje poznání jsoucna, které se nachází v modu aktuální existence (</w:t>
      </w:r>
      <w:r w:rsidRPr="00273106">
        <w:rPr>
          <w:i/>
        </w:rPr>
        <w:t>ordine originis et generationis</w:t>
      </w:r>
      <w:r w:rsidRPr="00273106">
        <w:t xml:space="preserve">). </w:t>
      </w:r>
      <w:r w:rsidR="08163013" w:rsidRPr="00273106">
        <w:t>Scotus jde od p</w:t>
      </w:r>
      <w:r w:rsidR="08163013">
        <w:t>rvní substance</w:t>
      </w:r>
      <w:r w:rsidR="08163013">
        <w:fldChar w:fldCharType="begin"/>
      </w:r>
      <w:r w:rsidR="08163013">
        <w:instrText xml:space="preserve"> XE "</w:instrText>
      </w:r>
      <w:r w:rsidR="08163013" w:rsidRPr="00DE2A32">
        <w:instrText>substance</w:instrText>
      </w:r>
      <w:r w:rsidR="08163013">
        <w:instrText xml:space="preserve">:první" </w:instrText>
      </w:r>
      <w:r w:rsidR="08163013">
        <w:fldChar w:fldCharType="end"/>
      </w:r>
      <w:r w:rsidR="08163013">
        <w:t xml:space="preserve"> poznané konfúzně, k poznání </w:t>
      </w:r>
      <w:r w:rsidR="08163013" w:rsidRPr="00273106">
        <w:t xml:space="preserve">něčeho </w:t>
      </w:r>
      <w:r w:rsidR="08163013">
        <w:t xml:space="preserve">objektivně </w:t>
      </w:r>
      <w:r w:rsidR="08163013" w:rsidRPr="00273106">
        <w:t>jasného (</w:t>
      </w:r>
      <w:r w:rsidR="08163013" w:rsidRPr="00273106">
        <w:rPr>
          <w:i/>
        </w:rPr>
        <w:t>quod cognoscitur cognitione distincta</w:t>
      </w:r>
      <w:r w:rsidR="08163013" w:rsidRPr="00273106">
        <w:t>).</w:t>
      </w:r>
      <w:r w:rsidR="08163013">
        <w:t xml:space="preserve"> </w:t>
      </w:r>
      <w:r w:rsidR="08163013" w:rsidRPr="00273106">
        <w:t>Běloba</w:t>
      </w:r>
      <w:r w:rsidR="08163013">
        <w:fldChar w:fldCharType="begin"/>
      </w:r>
      <w:r w:rsidR="08163013">
        <w:instrText xml:space="preserve"> XE "</w:instrText>
      </w:r>
      <w:r w:rsidR="08163013" w:rsidRPr="00266899">
        <w:instrText>predikace:běloba</w:instrText>
      </w:r>
      <w:r w:rsidR="08163013">
        <w:instrText xml:space="preserve">" </w:instrText>
      </w:r>
      <w:r w:rsidR="08163013">
        <w:fldChar w:fldCharType="end"/>
      </w:r>
      <w:r w:rsidR="08163013" w:rsidRPr="00273106">
        <w:t xml:space="preserve"> </w:t>
      </w:r>
      <w:r w:rsidR="08163013">
        <w:t>daná v náhledu aristotelské abstrakce od reálné bílé věci</w:t>
      </w:r>
      <w:r w:rsidR="08163013" w:rsidRPr="00273106">
        <w:t xml:space="preserve"> je </w:t>
      </w:r>
      <w:r w:rsidR="08163013">
        <w:t xml:space="preserve">predikována vzhledem k reálné substanci. Její reálné bytí dané kontingentně </w:t>
      </w:r>
      <w:r w:rsidR="08163013" w:rsidRPr="00273106">
        <w:t xml:space="preserve">stojí mimo </w:t>
      </w:r>
      <w:r w:rsidR="08163013">
        <w:t xml:space="preserve">věčnou a </w:t>
      </w:r>
      <w:r w:rsidR="08163013" w:rsidRPr="00273106">
        <w:t>jednoduchou</w:t>
      </w:r>
      <w:r w:rsidR="08163013" w:rsidRPr="006A59B5">
        <w:t xml:space="preserve"> </w:t>
      </w:r>
      <w:r w:rsidR="08163013" w:rsidRPr="00273106">
        <w:t>obecnost</w:t>
      </w:r>
      <w:r w:rsidR="08163013">
        <w:t xml:space="preserve"> danou čistě objektivně</w:t>
      </w:r>
      <w:r w:rsidR="08163013" w:rsidRPr="00273106">
        <w:t xml:space="preserve">. </w:t>
      </w:r>
      <w:r w:rsidR="08163013">
        <w:t>Aristotelské poznání postupuje skrze fantasma</w:t>
      </w:r>
      <w:r w:rsidR="00216C5F">
        <w:t>ta</w:t>
      </w:r>
      <w:r w:rsidR="08163013" w:rsidRPr="00273106">
        <w:t xml:space="preserve">, protože rozum </w:t>
      </w:r>
      <w:r w:rsidR="00216C5F">
        <w:t xml:space="preserve">poznává </w:t>
      </w:r>
      <w:r w:rsidR="08163013">
        <w:t xml:space="preserve">skrze </w:t>
      </w:r>
      <w:r w:rsidR="08163013" w:rsidRPr="00273106">
        <w:t xml:space="preserve">singularitu </w:t>
      </w:r>
      <w:r w:rsidR="08163013">
        <w:t>smyslově poznané věci. Toto poznání obsahuje a</w:t>
      </w:r>
      <w:r w:rsidR="08163013" w:rsidRPr="00273106">
        <w:t>ristotel</w:t>
      </w:r>
      <w:r w:rsidR="08163013">
        <w:t>ská metafyzika</w:t>
      </w:r>
      <w:r w:rsidR="00216C5F">
        <w:t xml:space="preserve">. </w:t>
      </w:r>
      <w:r w:rsidR="08163013">
        <w:t xml:space="preserve">Scotus bere tento způsob poznání až ve druhotném </w:t>
      </w:r>
      <w:r w:rsidR="08163013" w:rsidRPr="00273106">
        <w:t>modu.</w:t>
      </w:r>
      <w:r w:rsidR="08163013">
        <w:t xml:space="preserve"> P</w:t>
      </w:r>
      <w:r w:rsidR="08163013" w:rsidRPr="00273106">
        <w:t xml:space="preserve">oznání </w:t>
      </w:r>
      <w:r w:rsidR="00D03647">
        <w:t xml:space="preserve">reálného světa jde skrze </w:t>
      </w:r>
      <w:r w:rsidR="08163013">
        <w:t xml:space="preserve">objektivní metafyzickou dedukci v modu </w:t>
      </w:r>
      <w:r w:rsidR="08163013" w:rsidRPr="005F1DE6">
        <w:rPr>
          <w:i/>
        </w:rPr>
        <w:t>per prius</w:t>
      </w:r>
      <w:r w:rsidR="002C70D6">
        <w:t>. M</w:t>
      </w:r>
      <w:r w:rsidR="08163013" w:rsidRPr="00273106">
        <w:t>etafyzik</w:t>
      </w:r>
      <w:r w:rsidR="002C70D6">
        <w:t xml:space="preserve">a stojí na </w:t>
      </w:r>
      <w:r w:rsidR="08163013" w:rsidRPr="00273106">
        <w:t xml:space="preserve">objektivním poznání daném </w:t>
      </w:r>
      <w:r w:rsidR="00AF4B46">
        <w:t>„</w:t>
      </w:r>
      <w:r w:rsidR="08163013" w:rsidRPr="00273106">
        <w:rPr>
          <w:i/>
        </w:rPr>
        <w:t>distincte</w:t>
      </w:r>
      <w:r w:rsidR="00AF4B46">
        <w:t>“</w:t>
      </w:r>
      <w:r w:rsidR="002C70D6">
        <w:t xml:space="preserve"> určeném skrze </w:t>
      </w:r>
      <w:r w:rsidR="08163013" w:rsidRPr="00273106">
        <w:t xml:space="preserve">poslední </w:t>
      </w:r>
      <w:r w:rsidR="08163013" w:rsidRPr="00273106">
        <w:rPr>
          <w:i/>
        </w:rPr>
        <w:t>resolutio</w:t>
      </w:r>
      <w:r w:rsidR="08163013">
        <w:rPr>
          <w:i/>
        </w:rPr>
        <w:fldChar w:fldCharType="begin"/>
      </w:r>
      <w:r w:rsidR="08163013">
        <w:instrText xml:space="preserve"> XE "</w:instrText>
      </w:r>
      <w:r w:rsidR="08163013" w:rsidRPr="00111E9E">
        <w:rPr>
          <w:i/>
        </w:rPr>
        <w:instrText>resolutio</w:instrText>
      </w:r>
      <w:r w:rsidR="08163013">
        <w:rPr>
          <w:i/>
        </w:rPr>
        <w:instrText>:</w:instrText>
      </w:r>
      <w:r w:rsidR="08163013" w:rsidRPr="007D3515">
        <w:instrText>Scotus</w:instrText>
      </w:r>
      <w:r w:rsidR="08163013">
        <w:instrText xml:space="preserve">" </w:instrText>
      </w:r>
      <w:r w:rsidR="08163013">
        <w:rPr>
          <w:i/>
        </w:rPr>
        <w:fldChar w:fldCharType="end"/>
      </w:r>
      <w:r w:rsidR="08163013" w:rsidRPr="00273106">
        <w:t xml:space="preserve"> jsoucna na minimální univoční jednotky jsoucnosti</w:t>
      </w:r>
      <w:r w:rsidR="08163013">
        <w:t xml:space="preserve">. Jejich identita je daná jen negativně, nemožností dalšího dělení těchto pojmů na jednodušší </w:t>
      </w:r>
      <w:r w:rsidR="08163013" w:rsidRPr="00273106">
        <w:t>(</w:t>
      </w:r>
      <w:r w:rsidR="08163013" w:rsidRPr="00273106">
        <w:rPr>
          <w:i/>
        </w:rPr>
        <w:t>non est resolubile in plures conceptus priores</w:t>
      </w:r>
      <w:r w:rsidR="08163013" w:rsidRPr="00273106">
        <w:t xml:space="preserve">). </w:t>
      </w:r>
      <w:r w:rsidR="08163013">
        <w:t xml:space="preserve">Takto dané individuum v </w:t>
      </w:r>
      <w:r w:rsidR="08163013" w:rsidRPr="00273106">
        <w:t xml:space="preserve">poslední v řadě </w:t>
      </w:r>
      <w:r w:rsidR="08163013">
        <w:t xml:space="preserve">atomárního </w:t>
      </w:r>
      <w:r w:rsidR="08163013" w:rsidRPr="00273106">
        <w:t>významu je poznáno naprosto jasně</w:t>
      </w:r>
      <w:r w:rsidR="08163013">
        <w:t xml:space="preserve"> ve své objektivní jsoucnosti</w:t>
      </w:r>
      <w:r w:rsidR="08163013" w:rsidRPr="00273106">
        <w:t xml:space="preserve">. </w:t>
      </w:r>
      <w:r w:rsidR="08163013">
        <w:t xml:space="preserve">Objektivní </w:t>
      </w:r>
      <w:r w:rsidR="08163013" w:rsidRPr="00AA1384">
        <w:t>individuum</w:t>
      </w:r>
      <w:r w:rsidR="08163013">
        <w:t xml:space="preserve"> není aktuální první substance, ale poslední jednotka minimálně, tedy objektivně určeného jsoucna. Jde o esenci danou v modu </w:t>
      </w:r>
      <w:r w:rsidR="00612A2B">
        <w:t>„</w:t>
      </w:r>
      <w:r w:rsidR="08163013" w:rsidRPr="083500A0">
        <w:rPr>
          <w:i/>
        </w:rPr>
        <w:t>semel</w:t>
      </w:r>
      <w:r w:rsidR="08163013">
        <w:t>‒</w:t>
      </w:r>
      <w:r w:rsidR="08163013" w:rsidRPr="083500A0">
        <w:rPr>
          <w:i/>
        </w:rPr>
        <w:t>semper</w:t>
      </w:r>
      <w:r w:rsidR="00612A2B">
        <w:t>“</w:t>
      </w:r>
      <w:r w:rsidR="08163013">
        <w:t>, jejíž jsoucnost vykazuje minimální dávku substanční poznatelnosti jako „toto zde“ (</w:t>
      </w:r>
      <w:r w:rsidR="08163013" w:rsidRPr="083500A0">
        <w:rPr>
          <w:i/>
        </w:rPr>
        <w:t>hoc aliquid</w:t>
      </w:r>
      <w:r w:rsidR="08163013">
        <w:t xml:space="preserve">). Tím vznikla nová </w:t>
      </w:r>
      <w:r w:rsidR="08163013">
        <w:lastRenderedPageBreak/>
        <w:t>forma atomární substance, kterou poprvé zavedl neoplatonismus (</w:t>
      </w:r>
      <w:r w:rsidR="00C4587F">
        <w:t xml:space="preserve">OBJ I, </w:t>
      </w:r>
      <w:r w:rsidR="08163013">
        <w:t xml:space="preserve">kap. 1.3.1). Jsoucno v modu </w:t>
      </w:r>
      <w:r w:rsidR="08163013" w:rsidRPr="00941ABB">
        <w:rPr>
          <w:i/>
        </w:rPr>
        <w:t>ens inquantum ens</w:t>
      </w:r>
      <w:r w:rsidR="08163013">
        <w:rPr>
          <w:i/>
        </w:rPr>
        <w:fldChar w:fldCharType="begin"/>
      </w:r>
      <w:r w:rsidR="08163013">
        <w:instrText xml:space="preserve"> XE "</w:instrText>
      </w:r>
      <w:r w:rsidR="08163013" w:rsidRPr="005424E2">
        <w:rPr>
          <w:i/>
        </w:rPr>
        <w:instrText>ens inquantum ens</w:instrText>
      </w:r>
      <w:r w:rsidR="08163013">
        <w:instrText xml:space="preserve">" </w:instrText>
      </w:r>
      <w:r w:rsidR="08163013">
        <w:rPr>
          <w:i/>
        </w:rPr>
        <w:fldChar w:fldCharType="end"/>
      </w:r>
      <w:r w:rsidR="08163013">
        <w:t xml:space="preserve"> vystupuje jako univočně daná univerzálie postavená mimo dělení v rámci Porfýriova stromu </w:t>
      </w:r>
      <w:r w:rsidR="08163013" w:rsidRPr="00273106">
        <w:t>(</w:t>
      </w:r>
      <w:r w:rsidR="08163013" w:rsidRPr="00273106">
        <w:rPr>
          <w:i/>
        </w:rPr>
        <w:t xml:space="preserve">ens est </w:t>
      </w:r>
      <w:proofErr w:type="gramStart"/>
      <w:r w:rsidR="08163013" w:rsidRPr="00273106">
        <w:rPr>
          <w:i/>
        </w:rPr>
        <w:t>primum</w:t>
      </w:r>
      <w:r w:rsidR="08163013">
        <w:rPr>
          <w:i/>
        </w:rPr>
        <w:t>...</w:t>
      </w:r>
      <w:r w:rsidR="08163013" w:rsidRPr="00D63F1A">
        <w:rPr>
          <w:i/>
        </w:rPr>
        <w:t>non</w:t>
      </w:r>
      <w:proofErr w:type="gramEnd"/>
      <w:r w:rsidR="08163013" w:rsidRPr="00D63F1A">
        <w:rPr>
          <w:i/>
        </w:rPr>
        <w:t xml:space="preserve"> est resolubile</w:t>
      </w:r>
      <w:r w:rsidR="08163013" w:rsidRPr="00273106">
        <w:t>)</w:t>
      </w:r>
      <w:r w:rsidR="08163013">
        <w:t xml:space="preserve">. </w:t>
      </w:r>
      <w:r w:rsidR="08163013" w:rsidRPr="00273106">
        <w:t xml:space="preserve">Přechodem na </w:t>
      </w:r>
      <w:r w:rsidR="08163013">
        <w:t>objektivní substanci</w:t>
      </w:r>
      <w:r w:rsidR="08163013" w:rsidRPr="00273106">
        <w:t xml:space="preserve"> jako prvního členu univoční predikace je dán </w:t>
      </w:r>
      <w:r w:rsidR="08163013" w:rsidRPr="00273106">
        <w:rPr>
          <w:i/>
        </w:rPr>
        <w:t>in nuce</w:t>
      </w:r>
      <w:r w:rsidR="08163013" w:rsidRPr="00273106">
        <w:t xml:space="preserve"> vznik nové metafyziky, i když ji </w:t>
      </w:r>
      <w:r w:rsidR="08163013">
        <w:t xml:space="preserve">plně </w:t>
      </w:r>
      <w:r w:rsidR="08163013" w:rsidRPr="00273106">
        <w:t xml:space="preserve">vytvoří až </w:t>
      </w:r>
      <w:r w:rsidR="00651B3B">
        <w:t xml:space="preserve">dílo </w:t>
      </w:r>
      <w:r w:rsidR="008C2D4A" w:rsidRPr="008C2D4A">
        <w:rPr>
          <w:i/>
        </w:rPr>
        <w:t>Ordinatio I</w:t>
      </w:r>
      <w:r w:rsidR="08163013">
        <w:t xml:space="preserve">. Tento postup dedukce od objektivity </w:t>
      </w:r>
      <w:r w:rsidR="00BC210F">
        <w:t xml:space="preserve">k poznání reálného světa </w:t>
      </w:r>
      <w:r w:rsidR="08163013">
        <w:t>kopíruje Descartes přechodem od druhé ke třetí a čtvrté meditaci</w:t>
      </w:r>
      <w:r w:rsidR="00BC210F">
        <w:t xml:space="preserve"> v modu „</w:t>
      </w:r>
      <w:r w:rsidR="00BC210F" w:rsidRPr="08FA4E2D">
        <w:rPr>
          <w:i/>
        </w:rPr>
        <w:t>clare et disc</w:t>
      </w:r>
      <w:r w:rsidR="00BC210F">
        <w:rPr>
          <w:i/>
        </w:rPr>
        <w:t>tin</w:t>
      </w:r>
      <w:r w:rsidR="00BC210F" w:rsidRPr="08FA4E2D">
        <w:rPr>
          <w:i/>
        </w:rPr>
        <w:t>cte</w:t>
      </w:r>
      <w:r w:rsidR="00BC210F">
        <w:t>“</w:t>
      </w:r>
      <w:r w:rsidR="08163013">
        <w:t xml:space="preserve">. </w:t>
      </w:r>
      <w:r w:rsidR="08163013" w:rsidRPr="00273106">
        <w:t xml:space="preserve">Scotus sleduje vznik a statut čistého konceptu </w:t>
      </w:r>
      <w:r w:rsidR="08163013">
        <w:t>minimální jsoucnosti</w:t>
      </w:r>
      <w:r w:rsidR="00546B73">
        <w:t xml:space="preserve">; proto </w:t>
      </w:r>
      <w:r w:rsidR="08163013" w:rsidRPr="00273106">
        <w:t xml:space="preserve">musí zajistit primát potenciality a ne aktuality. Priorita modu </w:t>
      </w:r>
      <w:r w:rsidR="08163013" w:rsidRPr="00273106">
        <w:rPr>
          <w:i/>
        </w:rPr>
        <w:t>distincte</w:t>
      </w:r>
      <w:r w:rsidR="08163013" w:rsidRPr="00273106">
        <w:t xml:space="preserve"> není v aktu poznání </w:t>
      </w:r>
      <w:r w:rsidR="08163013">
        <w:t xml:space="preserve">reálné </w:t>
      </w:r>
      <w:r w:rsidR="08163013" w:rsidRPr="00273106">
        <w:t>první subs</w:t>
      </w:r>
      <w:r w:rsidR="08163013">
        <w:t>tance, protože jasnost dává přímý náhled osvíceného metafyzika na jsoucí jako jsoucí</w:t>
      </w:r>
      <w:r w:rsidR="08163013" w:rsidRPr="00273106">
        <w:t xml:space="preserve">. </w:t>
      </w:r>
      <w:r w:rsidR="08163013">
        <w:t xml:space="preserve">Intelekt </w:t>
      </w:r>
      <w:r w:rsidR="00514C88">
        <w:t xml:space="preserve">nejde k </w:t>
      </w:r>
      <w:r w:rsidR="08163013" w:rsidRPr="00273106">
        <w:t xml:space="preserve">poznání </w:t>
      </w:r>
      <w:r w:rsidR="00514C88">
        <w:t xml:space="preserve">substance skrze aristotelskou abstrakci </w:t>
      </w:r>
      <w:r w:rsidR="08163013" w:rsidRPr="00273106">
        <w:t>(</w:t>
      </w:r>
      <w:r w:rsidR="08163013" w:rsidRPr="00273106">
        <w:rPr>
          <w:i/>
        </w:rPr>
        <w:t>confu</w:t>
      </w:r>
      <w:r w:rsidR="08163013">
        <w:rPr>
          <w:i/>
        </w:rPr>
        <w:t>se</w:t>
      </w:r>
      <w:r w:rsidR="08163013" w:rsidRPr="00273106">
        <w:t xml:space="preserve">), ale k </w:t>
      </w:r>
      <w:r w:rsidR="08163013">
        <w:t xml:space="preserve">poznání </w:t>
      </w:r>
      <w:r w:rsidR="08163013" w:rsidRPr="00273106">
        <w:t xml:space="preserve">danému </w:t>
      </w:r>
      <w:r w:rsidR="08163013" w:rsidRPr="009113E3">
        <w:rPr>
          <w:i/>
        </w:rPr>
        <w:t>simplex</w:t>
      </w:r>
      <w:r w:rsidR="08163013">
        <w:t xml:space="preserve">, a proto </w:t>
      </w:r>
      <w:r w:rsidR="08163013" w:rsidRPr="00273106">
        <w:t xml:space="preserve">pouze </w:t>
      </w:r>
      <w:r w:rsidR="08163013" w:rsidRPr="00273106">
        <w:rPr>
          <w:i/>
        </w:rPr>
        <w:t>poten</w:t>
      </w:r>
      <w:r w:rsidR="08163013">
        <w:rPr>
          <w:i/>
        </w:rPr>
        <w:t>t</w:t>
      </w:r>
      <w:r w:rsidR="08163013" w:rsidRPr="00273106">
        <w:rPr>
          <w:i/>
        </w:rPr>
        <w:t>ialiter</w:t>
      </w:r>
      <w:r w:rsidR="08163013">
        <w:t xml:space="preserve">. Takové poznání samo o sobě existuje </w:t>
      </w:r>
      <w:r w:rsidR="08163013" w:rsidRPr="00273106">
        <w:t xml:space="preserve">pouze </w:t>
      </w:r>
      <w:r w:rsidR="08163013">
        <w:t>v modu minimální jsoucnosti, protože je univerzálně-metafyzické</w:t>
      </w:r>
      <w:r w:rsidR="08163013" w:rsidRPr="00273106">
        <w:t xml:space="preserve">. </w:t>
      </w:r>
      <w:r w:rsidR="08163013">
        <w:t xml:space="preserve">Ale výhoda objektivní jsoucnosti je v tom, že ji lze predikovat v modu čistého jsoucna, které transcenduje kategoriální predikaci. Teprve po tomto </w:t>
      </w:r>
      <w:r w:rsidR="08163013" w:rsidRPr="00E03A2B">
        <w:rPr>
          <w:i/>
        </w:rPr>
        <w:t>deductio</w:t>
      </w:r>
      <w:r w:rsidR="08163013">
        <w:t xml:space="preserve"> objektivity od boha do reality a </w:t>
      </w:r>
      <w:r w:rsidR="08163013" w:rsidRPr="00E03A2B">
        <w:rPr>
          <w:i/>
        </w:rPr>
        <w:t>reductio</w:t>
      </w:r>
      <w:r w:rsidR="08163013">
        <w:t xml:space="preserve"> z reality na objektivní jsoucnost věcí plně </w:t>
      </w:r>
      <w:r w:rsidR="08163013" w:rsidRPr="00273106">
        <w:t>platí Avicennova teze</w:t>
      </w:r>
      <w:r w:rsidR="00514C88">
        <w:t>. M</w:t>
      </w:r>
      <w:r w:rsidR="08163013" w:rsidRPr="00273106">
        <w:t>etafyzika je první vě</w:t>
      </w:r>
      <w:r w:rsidR="08163013">
        <w:t>da</w:t>
      </w:r>
      <w:r w:rsidR="08163013">
        <w:fldChar w:fldCharType="begin"/>
      </w:r>
      <w:r w:rsidR="08163013">
        <w:instrText xml:space="preserve"> XE "</w:instrText>
      </w:r>
      <w:r w:rsidR="08163013" w:rsidRPr="0072342F">
        <w:instrText>metafyzika:první věda</w:instrText>
      </w:r>
      <w:r w:rsidR="08163013">
        <w:instrText xml:space="preserve">" </w:instrText>
      </w:r>
      <w:r w:rsidR="08163013">
        <w:fldChar w:fldCharType="end"/>
      </w:r>
      <w:r w:rsidR="08163013">
        <w:t xml:space="preserve"> o jsoucnu a jeho principech daných v první poznané </w:t>
      </w:r>
      <w:r w:rsidR="004A4E0A">
        <w:t>„</w:t>
      </w:r>
      <w:r w:rsidR="08163013">
        <w:t>substanci</w:t>
      </w:r>
      <w:r w:rsidR="004A4E0A">
        <w:t xml:space="preserve">“ jako </w:t>
      </w:r>
      <w:r w:rsidR="004A4E0A" w:rsidRPr="00E4010F">
        <w:rPr>
          <w:i/>
        </w:rPr>
        <w:t>tertium ens</w:t>
      </w:r>
      <w:r w:rsidR="08163013">
        <w:t>. Proto první věda o jsoucnu metafyzicky předchází poznání dané</w:t>
      </w:r>
      <w:r w:rsidR="08163013" w:rsidRPr="00273106">
        <w:t xml:space="preserve"> speciálními</w:t>
      </w:r>
      <w:r w:rsidR="08163013">
        <w:t xml:space="preserve"> vědami</w:t>
      </w:r>
      <w:r w:rsidR="08163013" w:rsidRPr="00273106">
        <w:t>, které ovšem časově předcházejí konstrukci první vědy.</w:t>
      </w:r>
      <w:r w:rsidR="08163013" w:rsidRPr="00273106">
        <w:rPr>
          <w:rStyle w:val="Znakapoznpodarou"/>
        </w:rPr>
        <w:footnoteReference w:id="446"/>
      </w:r>
      <w:r w:rsidR="08163013" w:rsidRPr="00273106">
        <w:t xml:space="preserve"> Přímé a jasné poznání máme o </w:t>
      </w:r>
      <w:r w:rsidR="08163013">
        <w:t xml:space="preserve">jsoucnu </w:t>
      </w:r>
      <w:r w:rsidR="08163013" w:rsidRPr="00273106">
        <w:t xml:space="preserve">v jeho minimální jsoucnosti, proto může metafyzika zajistit jistotu poznání </w:t>
      </w:r>
      <w:r w:rsidR="08163013">
        <w:t xml:space="preserve">i </w:t>
      </w:r>
      <w:r w:rsidR="08163013" w:rsidRPr="00273106">
        <w:t>pro ostatní vědy (</w:t>
      </w:r>
      <w:r w:rsidR="08163013" w:rsidRPr="00273106">
        <w:rPr>
          <w:i/>
        </w:rPr>
        <w:t>certificare principia aliarum scientiarum</w:t>
      </w:r>
      <w:r w:rsidR="08163013" w:rsidRPr="00273106">
        <w:t xml:space="preserve">). Tím je dán vztah mezi </w:t>
      </w:r>
      <w:r w:rsidR="08163013">
        <w:t xml:space="preserve">empirickým poznáním věci </w:t>
      </w:r>
      <w:r w:rsidR="08163013" w:rsidRPr="00273106">
        <w:t xml:space="preserve">a mezi </w:t>
      </w:r>
      <w:r w:rsidR="08163013">
        <w:t>objektivní metafyzickou abstrakcí</w:t>
      </w:r>
      <w:r w:rsidR="08163013" w:rsidRPr="00273106">
        <w:t xml:space="preserve">. </w:t>
      </w:r>
      <w:r w:rsidR="08163013">
        <w:t>Vědecké p</w:t>
      </w:r>
      <w:r w:rsidR="08163013" w:rsidRPr="00273106">
        <w:t xml:space="preserve">oznání mimo metafyziku vzniká </w:t>
      </w:r>
      <w:r w:rsidR="08163013">
        <w:t xml:space="preserve">až druhotně v modelu rozsažnosti a kvantity, </w:t>
      </w:r>
      <w:r w:rsidR="08163013" w:rsidRPr="00273106">
        <w:t xml:space="preserve">viz uvedený příklad geometrie. </w:t>
      </w:r>
      <w:r w:rsidR="08163013">
        <w:t xml:space="preserve">Na rozdíl od Scota současní logikové a metodologové vědy </w:t>
      </w:r>
      <w:r w:rsidR="08163013" w:rsidRPr="00273106">
        <w:t>zrušil</w:t>
      </w:r>
      <w:r w:rsidR="08163013">
        <w:t>i</w:t>
      </w:r>
      <w:r w:rsidR="08163013" w:rsidRPr="00273106">
        <w:t xml:space="preserve"> metafyziku </w:t>
      </w:r>
      <w:r w:rsidR="08163013">
        <w:t>a nastolili epochu objektivního nihilismu v modu logické abstrakce.</w:t>
      </w:r>
      <w:r w:rsidR="08163013" w:rsidRPr="08B160B7">
        <w:t xml:space="preserve"> </w:t>
      </w:r>
      <w:r w:rsidR="08163013" w:rsidRPr="00273106">
        <w:t xml:space="preserve">Neopozitivismus </w:t>
      </w:r>
      <w:r w:rsidR="08163013">
        <w:t xml:space="preserve">a scientismus všeho druhu postavený pouze na logice musel nutně a zásadně ztroskotat </w:t>
      </w:r>
      <w:r w:rsidR="08163013" w:rsidRPr="00273106">
        <w:t>při naplnění pro</w:t>
      </w:r>
      <w:r w:rsidR="003900F3">
        <w:t xml:space="preserve">gramu filosofie jako první </w:t>
      </w:r>
      <w:r w:rsidR="08163013" w:rsidRPr="00273106">
        <w:t>vědy</w:t>
      </w:r>
      <w:r w:rsidR="003900F3">
        <w:t xml:space="preserve"> o </w:t>
      </w:r>
      <w:r w:rsidR="003900F3">
        <w:lastRenderedPageBreak/>
        <w:t>objektivním jsoucnu, natož aby splnil postuláty aristotelské metafyziky jako první vědy o reálném jsoucnu</w:t>
      </w:r>
      <w:r w:rsidR="08163013">
        <w:t>.</w:t>
      </w:r>
    </w:p>
    <w:p w:rsidR="08163013" w:rsidRPr="00273106" w:rsidRDefault="08163013" w:rsidP="08163013">
      <w:r>
        <w:tab/>
      </w:r>
      <w:r w:rsidRPr="00273106">
        <w:t>Po nalezení nové formy substance</w:t>
      </w:r>
      <w:r>
        <w:fldChar w:fldCharType="begin"/>
      </w:r>
      <w:r>
        <w:instrText xml:space="preserve"> XE "</w:instrText>
      </w:r>
      <w:r w:rsidRPr="00DE2A32">
        <w:instrText>substance</w:instrText>
      </w:r>
      <w:r>
        <w:instrText xml:space="preserve">:objektivní" </w:instrText>
      </w:r>
      <w:r>
        <w:fldChar w:fldCharType="end"/>
      </w:r>
      <w:r w:rsidRPr="00273106">
        <w:t xml:space="preserve"> a dedukce jejích vlastností se Scotus může vrátit ke </w:t>
      </w:r>
      <w:r w:rsidRPr="08B26BC0">
        <w:rPr>
          <w:i/>
        </w:rPr>
        <w:t>Druhým analytikám</w:t>
      </w:r>
      <w:r>
        <w:t xml:space="preserve">. Našel novou objektivní substanci danou v modu </w:t>
      </w:r>
      <w:r w:rsidRPr="00F5267A">
        <w:rPr>
          <w:i/>
        </w:rPr>
        <w:t>ens inquantum ens</w:t>
      </w:r>
      <w:r>
        <w:rPr>
          <w:i/>
        </w:rPr>
        <w:fldChar w:fldCharType="begin"/>
      </w:r>
      <w:r>
        <w:instrText xml:space="preserve"> XE "</w:instrText>
      </w:r>
      <w:r w:rsidRPr="005424E2">
        <w:rPr>
          <w:i/>
        </w:rPr>
        <w:instrText>ens inquantum ens</w:instrText>
      </w:r>
      <w:r>
        <w:instrText xml:space="preserve">" </w:instrText>
      </w:r>
      <w:r>
        <w:rPr>
          <w:i/>
        </w:rPr>
        <w:fldChar w:fldCharType="end"/>
      </w:r>
      <w:r>
        <w:t xml:space="preserve"> a t</w:t>
      </w:r>
      <w:r w:rsidR="00B753A6">
        <w:t xml:space="preserve">aké novou univerzální kauzalitu, která odkazuje na </w:t>
      </w:r>
      <w:r>
        <w:t>boží esenc</w:t>
      </w:r>
      <w:r w:rsidR="00B753A6">
        <w:t xml:space="preserve">i </w:t>
      </w:r>
      <w:r w:rsidR="002D1584">
        <w:t xml:space="preserve">a je poznatelná v </w:t>
      </w:r>
      <w:r>
        <w:t xml:space="preserve">přímém náhledu intelektu. Ani jedno z těchto jsoucen třetího druhu předtím neexistovalo. Vybaven dvojím objektivním nejsoucnem, tj. substancí i kauzalitou, </w:t>
      </w:r>
      <w:r w:rsidRPr="00273106">
        <w:t xml:space="preserve">může </w:t>
      </w:r>
      <w:r>
        <w:t xml:space="preserve">Scotus </w:t>
      </w:r>
      <w:r w:rsidR="005A063D">
        <w:t xml:space="preserve">zrušit </w:t>
      </w:r>
      <w:r w:rsidRPr="00273106">
        <w:t xml:space="preserve">fundamentální princip </w:t>
      </w:r>
      <w:r w:rsidR="00FC65CF">
        <w:t>„</w:t>
      </w:r>
      <w:r w:rsidR="0813035E" w:rsidRPr="0813035E">
        <w:rPr>
          <w:i/>
        </w:rPr>
        <w:t>ex</w:t>
      </w:r>
      <w:r w:rsidR="0813035E">
        <w:t xml:space="preserve"> </w:t>
      </w:r>
      <w:r w:rsidR="08A649EB">
        <w:rPr>
          <w:i/>
        </w:rPr>
        <w:t>in</w:t>
      </w:r>
      <w:r w:rsidR="0813035E">
        <w:rPr>
          <w:i/>
        </w:rPr>
        <w:t>mediatis</w:t>
      </w:r>
      <w:r w:rsidR="00FC65CF">
        <w:t>“</w:t>
      </w:r>
      <w:r>
        <w:rPr>
          <w:i/>
        </w:rPr>
        <w:fldChar w:fldCharType="begin"/>
      </w:r>
      <w:r>
        <w:instrText xml:space="preserve"> XE "princip </w:instrText>
      </w:r>
      <w:r w:rsidR="08A649EB">
        <w:rPr>
          <w:i/>
        </w:rPr>
        <w:instrText>ex in</w:instrText>
      </w:r>
      <w:r w:rsidRPr="004F044B">
        <w:rPr>
          <w:i/>
        </w:rPr>
        <w:instrText>mediatis</w:instrText>
      </w:r>
      <w:r>
        <w:instrText xml:space="preserve">" </w:instrText>
      </w:r>
      <w:r>
        <w:rPr>
          <w:i/>
        </w:rPr>
        <w:fldChar w:fldCharType="end"/>
      </w:r>
      <w:r w:rsidR="00FC65CF">
        <w:t xml:space="preserve">, která zakládá aristotelskou vědu </w:t>
      </w:r>
      <w:r w:rsidR="00ED145D">
        <w:t>(OBJ II, kap. 2</w:t>
      </w:r>
      <w:r w:rsidRPr="00273106">
        <w:t>.4.1).</w:t>
      </w:r>
      <w:r>
        <w:t xml:space="preserve"> </w:t>
      </w:r>
      <w:r w:rsidRPr="00273106">
        <w:t xml:space="preserve">Scotus </w:t>
      </w:r>
      <w:r w:rsidR="00160356">
        <w:t xml:space="preserve">nemá kategoriální </w:t>
      </w:r>
      <w:r w:rsidRPr="00273106">
        <w:t>predikaci od první ke druhé substanci</w:t>
      </w:r>
      <w:r w:rsidR="00160356">
        <w:t xml:space="preserve"> jako základ metafyzické dedukce</w:t>
      </w:r>
      <w:r w:rsidRPr="00273106">
        <w:t xml:space="preserve">. </w:t>
      </w:r>
      <w:r>
        <w:t xml:space="preserve">Objektivně-hyparchické bytí vzniklo skrze dedukci nekonečného </w:t>
      </w:r>
      <w:r w:rsidR="00ED145D">
        <w:t xml:space="preserve">boží myšlení </w:t>
      </w:r>
      <w:r>
        <w:t xml:space="preserve">vybaveného základní aktivitou, protože první </w:t>
      </w:r>
      <w:r w:rsidRPr="087A7E92">
        <w:rPr>
          <w:i/>
        </w:rPr>
        <w:t>passio entis</w:t>
      </w:r>
      <w:r>
        <w:t xml:space="preserve"> je jeho nekonečnost, univerzalita a inteligibilně daná kauzalita. Všechny tyto základní vlastnosti nekonečného jsoucna (</w:t>
      </w:r>
      <w:r w:rsidRPr="00273106">
        <w:rPr>
          <w:i/>
        </w:rPr>
        <w:t>primo cognitum primitate perfectionis</w:t>
      </w:r>
      <w:r>
        <w:t xml:space="preserve">) zakládají objektivní adekvaci </w:t>
      </w:r>
      <w:r w:rsidR="008C3EB3">
        <w:t xml:space="preserve">objektivity </w:t>
      </w:r>
      <w:r>
        <w:t>ve stvoření (</w:t>
      </w:r>
      <w:r w:rsidRPr="00273106">
        <w:rPr>
          <w:i/>
        </w:rPr>
        <w:t>primo cognitum primitate adaequationis</w:t>
      </w:r>
      <w:r>
        <w:t>). Proto je třeba tuto</w:t>
      </w:r>
      <w:r w:rsidR="00AC4BBF">
        <w:t xml:space="preserve"> první rovinu adekvační pravdy </w:t>
      </w:r>
      <w:r>
        <w:t xml:space="preserve">odlišit od univerzálních konceptů daných skrze aristotelskou abstrakci. Tam běží druhotná adekvace intelektu a věci daná abstrakcí od reálné první substance. </w:t>
      </w:r>
      <w:r w:rsidRPr="00273106">
        <w:t xml:space="preserve">Kontingentní východisko poznání dané ve smyslově poznané první substanci </w:t>
      </w:r>
      <w:r>
        <w:t>ne</w:t>
      </w:r>
      <w:r w:rsidRPr="00273106">
        <w:t>m</w:t>
      </w:r>
      <w:r>
        <w:t>ůže založit objektivní dedukci boha jako nekonečné racionality dané substančně, protože ta není dána na smyslové úrovni</w:t>
      </w:r>
      <w:r w:rsidRPr="00273106">
        <w:t xml:space="preserve">. </w:t>
      </w:r>
      <w:r>
        <w:t xml:space="preserve">Cesta </w:t>
      </w:r>
      <w:r w:rsidRPr="00273106">
        <w:t>k objektivně dané substanci třetího druhu</w:t>
      </w:r>
      <w:r>
        <w:t xml:space="preserve"> musí jít </w:t>
      </w:r>
      <w:r w:rsidRPr="00273106">
        <w:t xml:space="preserve">mimo </w:t>
      </w:r>
      <w:r>
        <w:t xml:space="preserve">aristotelskou </w:t>
      </w:r>
      <w:r w:rsidRPr="00273106">
        <w:t xml:space="preserve">aktualitu </w:t>
      </w:r>
      <w:r>
        <w:t xml:space="preserve">první substance </w:t>
      </w:r>
      <w:r w:rsidRPr="00273106">
        <w:t xml:space="preserve">a </w:t>
      </w:r>
      <w:r>
        <w:t xml:space="preserve">také </w:t>
      </w:r>
      <w:r w:rsidRPr="00273106">
        <w:t xml:space="preserve">mimo předešlá </w:t>
      </w:r>
      <w:r>
        <w:t xml:space="preserve">nejvyšší </w:t>
      </w:r>
      <w:r w:rsidRPr="00273106">
        <w:t xml:space="preserve">určení jsoucna </w:t>
      </w:r>
      <w:r>
        <w:t xml:space="preserve">třetího druhu daná ve škole druhého averroismu pomocí emanace nebo komitace </w:t>
      </w:r>
      <w:r w:rsidRPr="00273106">
        <w:t>(</w:t>
      </w:r>
      <w:r w:rsidRPr="00273106">
        <w:rPr>
          <w:i/>
        </w:rPr>
        <w:t>ens</w:t>
      </w:r>
      <w:r w:rsidRPr="00273106">
        <w:t xml:space="preserve">, </w:t>
      </w:r>
      <w:r w:rsidRPr="00273106">
        <w:rPr>
          <w:i/>
        </w:rPr>
        <w:t>res</w:t>
      </w:r>
      <w:r w:rsidRPr="00273106">
        <w:t xml:space="preserve">, </w:t>
      </w:r>
      <w:r w:rsidRPr="00273106">
        <w:rPr>
          <w:i/>
        </w:rPr>
        <w:t>verum</w:t>
      </w:r>
      <w:r w:rsidRPr="00273106">
        <w:t xml:space="preserve">, </w:t>
      </w:r>
      <w:proofErr w:type="gramStart"/>
      <w:r w:rsidRPr="00273106">
        <w:rPr>
          <w:i/>
        </w:rPr>
        <w:t>bonum</w:t>
      </w:r>
      <w:r w:rsidRPr="00273106">
        <w:t>...).</w:t>
      </w:r>
      <w:proofErr w:type="gramEnd"/>
      <w:r w:rsidRPr="00273106">
        <w:t xml:space="preserve"> </w:t>
      </w:r>
      <w:r>
        <w:t xml:space="preserve">Tato teze je klíčová pro založení moderní </w:t>
      </w:r>
      <w:r w:rsidRPr="00832531">
        <w:rPr>
          <w:i/>
        </w:rPr>
        <w:t>metaphysica generalis</w:t>
      </w:r>
      <w:r>
        <w:rPr>
          <w:i/>
        </w:rPr>
        <w:fldChar w:fldCharType="begin"/>
      </w:r>
      <w:r>
        <w:instrText xml:space="preserve"> XE "</w:instrText>
      </w:r>
      <w:r w:rsidRPr="007E3962">
        <w:rPr>
          <w:i/>
        </w:rPr>
        <w:instrText>metaphysica generalis</w:instrText>
      </w:r>
      <w:r>
        <w:instrText xml:space="preserve">" </w:instrText>
      </w:r>
      <w:r>
        <w:rPr>
          <w:i/>
        </w:rPr>
        <w:fldChar w:fldCharType="end"/>
      </w:r>
      <w:r>
        <w:t xml:space="preserve">. </w:t>
      </w:r>
      <w:r w:rsidRPr="00273106">
        <w:t xml:space="preserve">Scotus </w:t>
      </w:r>
      <w:r>
        <w:t xml:space="preserve">v objektivní formě </w:t>
      </w:r>
      <w:r w:rsidRPr="00273106">
        <w:rPr>
          <w:i/>
        </w:rPr>
        <w:t>resolutio</w:t>
      </w:r>
      <w:r w:rsidRPr="00273106">
        <w:t xml:space="preserve"> vidí celek jsoucn</w:t>
      </w:r>
      <w:r>
        <w:t xml:space="preserve">a univočně z pozice božího oka, </w:t>
      </w:r>
      <w:r w:rsidRPr="00273106">
        <w:t>i když ne v jeho nekonečném h</w:t>
      </w:r>
      <w:r>
        <w:t xml:space="preserve">abitu poznání. </w:t>
      </w:r>
      <w:r w:rsidRPr="00273106">
        <w:t xml:space="preserve">První forma objektivního poznání v minimální verzi esenciality a identity jsoucna </w:t>
      </w:r>
      <w:r w:rsidR="00AC4BBF">
        <w:t xml:space="preserve">je </w:t>
      </w:r>
      <w:r>
        <w:t xml:space="preserve">odlišená od kategoriální predikace </w:t>
      </w:r>
      <w:r w:rsidRPr="00273106">
        <w:t>(</w:t>
      </w:r>
      <w:r w:rsidRPr="00273106">
        <w:rPr>
          <w:i/>
        </w:rPr>
        <w:t>in quid</w:t>
      </w:r>
      <w:r>
        <w:t>)</w:t>
      </w:r>
      <w:r w:rsidRPr="00273106">
        <w:t>.</w:t>
      </w:r>
      <w:r>
        <w:t xml:space="preserve"> Náhled objektivity je postaven na Scotově nauce o kategorích</w:t>
      </w:r>
      <w:r w:rsidR="00704497">
        <w:t xml:space="preserve">. Objektivní kategorie dostávají jsoucnost </w:t>
      </w:r>
      <w:r>
        <w:t>v nové formě přivlastňovacího dativu</w:t>
      </w:r>
      <w:r w:rsidR="00704497">
        <w:t xml:space="preserve"> </w:t>
      </w:r>
      <w:r w:rsidR="00ED52AC">
        <w:rPr>
          <w:szCs w:val="24"/>
          <w:lang w:val="de-LU"/>
        </w:rPr>
        <w:t>(</w:t>
      </w:r>
      <w:r w:rsidR="00ED52AC">
        <w:rPr>
          <w:i/>
          <w:szCs w:val="24"/>
          <w:lang w:val="de-LU"/>
        </w:rPr>
        <w:t>dativus poss</w:t>
      </w:r>
      <w:r w:rsidR="00ED52AC" w:rsidRPr="007F0FCE">
        <w:rPr>
          <w:i/>
          <w:szCs w:val="24"/>
          <w:lang w:val="de-LU"/>
        </w:rPr>
        <w:t>essivus</w:t>
      </w:r>
      <w:r w:rsidR="007C29E6">
        <w:rPr>
          <w:i/>
          <w:szCs w:val="24"/>
          <w:lang w:val="de-LU"/>
        </w:rPr>
        <w:fldChar w:fldCharType="begin"/>
      </w:r>
      <w:r w:rsidR="007C29E6">
        <w:instrText xml:space="preserve"> XE "</w:instrText>
      </w:r>
      <w:r w:rsidR="007C29E6" w:rsidRPr="00D00F19">
        <w:rPr>
          <w:i/>
          <w:szCs w:val="24"/>
          <w:lang w:val="de-LU"/>
        </w:rPr>
        <w:instrText>dativus possessivus</w:instrText>
      </w:r>
      <w:r w:rsidR="007C29E6">
        <w:instrText xml:space="preserve">" </w:instrText>
      </w:r>
      <w:r w:rsidR="007C29E6">
        <w:rPr>
          <w:i/>
          <w:szCs w:val="24"/>
          <w:lang w:val="de-LU"/>
        </w:rPr>
        <w:fldChar w:fldCharType="end"/>
      </w:r>
      <w:r w:rsidR="00ED52AC">
        <w:rPr>
          <w:szCs w:val="24"/>
          <w:lang w:val="de-LU"/>
        </w:rPr>
        <w:t xml:space="preserve">). Objektivní identita reálné první substance vznikne tím, že </w:t>
      </w:r>
      <w:r w:rsidR="00704497">
        <w:t>p</w:t>
      </w:r>
      <w:r>
        <w:t xml:space="preserve">ůvodní </w:t>
      </w:r>
      <w:r w:rsidR="00704497">
        <w:t xml:space="preserve">transcendentální </w:t>
      </w:r>
      <w:r>
        <w:t xml:space="preserve">význam čistého avicennovského </w:t>
      </w:r>
      <w:r w:rsidRPr="084470BE">
        <w:rPr>
          <w:i/>
        </w:rPr>
        <w:t>ens</w:t>
      </w:r>
      <w:r>
        <w:t xml:space="preserve"> </w:t>
      </w:r>
      <w:r w:rsidR="00704497">
        <w:t xml:space="preserve">se přenese </w:t>
      </w:r>
      <w:r>
        <w:t>na kate</w:t>
      </w:r>
      <w:r w:rsidR="00704497">
        <w:t>goriálně určeného nosiče (kap. 5</w:t>
      </w:r>
      <w:r>
        <w:t xml:space="preserve">.3.1). </w:t>
      </w:r>
      <w:r w:rsidR="007D4B0C" w:rsidRPr="007D4B0C">
        <w:t>Scotus</w:t>
      </w:r>
      <w:r w:rsidR="007D4B0C">
        <w:t xml:space="preserve"> nyní</w:t>
      </w:r>
      <w:r w:rsidR="007D4B0C" w:rsidRPr="007D4B0C">
        <w:t xml:space="preserve"> zaujímá </w:t>
      </w:r>
      <w:r w:rsidR="007D4B0C">
        <w:t>b</w:t>
      </w:r>
      <w:r w:rsidR="007D4B0C" w:rsidRPr="007D4B0C">
        <w:t xml:space="preserve">oží stanovisko a pozoruje svět podobným způsobem božského myšlení jako </w:t>
      </w:r>
      <w:r w:rsidR="007D4B0C" w:rsidRPr="007D4B0C">
        <w:lastRenderedPageBreak/>
        <w:t xml:space="preserve">Gandavus. </w:t>
      </w:r>
      <w:r w:rsidR="007D4B0C">
        <w:t xml:space="preserve">Metafyzika </w:t>
      </w:r>
      <w:r w:rsidR="00A514DB">
        <w:t xml:space="preserve">pozoruje </w:t>
      </w:r>
      <w:r>
        <w:t xml:space="preserve">původní </w:t>
      </w:r>
      <w:r w:rsidR="007D4B0C">
        <w:t xml:space="preserve">transcendentální </w:t>
      </w:r>
      <w:r>
        <w:t>formu objektivního jsoucna oddělenou od následné kategoriální predikace.</w:t>
      </w:r>
    </w:p>
    <w:p w:rsidR="08163013" w:rsidRPr="007B32A9" w:rsidRDefault="08163013" w:rsidP="08163013">
      <w:pPr>
        <w:pStyle w:val="Citace"/>
        <w:rPr>
          <w:noProof/>
          <w:lang w:val="cs-CZ"/>
        </w:rPr>
      </w:pPr>
      <w:r w:rsidRPr="00273106">
        <w:rPr>
          <w:noProof/>
          <w:lang w:val="cs-CZ"/>
        </w:rPr>
        <w:t>„</w:t>
      </w:r>
      <w:r>
        <w:rPr>
          <w:noProof/>
          <w:lang w:val="cs-CZ"/>
        </w:rPr>
        <w:t xml:space="preserve">Potence daná ve věcech </w:t>
      </w:r>
      <w:r w:rsidRPr="00F67594">
        <w:rPr>
          <w:i/>
          <w:noProof/>
          <w:lang w:val="cs-CZ"/>
        </w:rPr>
        <w:t>simpliciter</w:t>
      </w:r>
      <w:r>
        <w:rPr>
          <w:noProof/>
          <w:lang w:val="cs-CZ"/>
        </w:rPr>
        <w:t xml:space="preserve"> neobsahuje žádnou aktualitu a reálný akt bytí reálné substance neobsahuje ve své esencialitě žádnou potenci. Proto potenciální konc</w:t>
      </w:r>
      <w:r w:rsidR="00E93392">
        <w:rPr>
          <w:noProof/>
          <w:lang w:val="cs-CZ"/>
        </w:rPr>
        <w:t>ept, k němuž směřuje metafyzická dedukce</w:t>
      </w:r>
      <w:r>
        <w:rPr>
          <w:noProof/>
          <w:lang w:val="cs-CZ"/>
        </w:rPr>
        <w:t xml:space="preserve"> (</w:t>
      </w:r>
      <w:r w:rsidRPr="007B32A9">
        <w:rPr>
          <w:i/>
          <w:noProof/>
        </w:rPr>
        <w:t>resolutio</w:t>
      </w:r>
      <w:r>
        <w:rPr>
          <w:noProof/>
          <w:lang w:val="cs-CZ"/>
        </w:rPr>
        <w:t>), v sobě nezahrnuje aktuálně daný koncept (</w:t>
      </w:r>
      <w:r w:rsidRPr="00F90548">
        <w:rPr>
          <w:i/>
          <w:noProof/>
        </w:rPr>
        <w:t>non includit conceptum actualem</w:t>
      </w:r>
      <w:r>
        <w:rPr>
          <w:noProof/>
          <w:lang w:val="cs-CZ"/>
        </w:rPr>
        <w:t>), což ale opačně</w:t>
      </w:r>
      <w:r w:rsidR="00E93392">
        <w:rPr>
          <w:noProof/>
          <w:lang w:val="cs-CZ"/>
        </w:rPr>
        <w:t xml:space="preserve"> platí. Je jasné, že metafyzická</w:t>
      </w:r>
      <w:r>
        <w:rPr>
          <w:noProof/>
          <w:lang w:val="cs-CZ"/>
        </w:rPr>
        <w:t xml:space="preserve"> </w:t>
      </w:r>
      <w:r w:rsidR="00E93392">
        <w:rPr>
          <w:noProof/>
          <w:lang w:val="cs-CZ"/>
        </w:rPr>
        <w:t xml:space="preserve">dedukce </w:t>
      </w:r>
      <w:r>
        <w:rPr>
          <w:noProof/>
          <w:lang w:val="cs-CZ"/>
        </w:rPr>
        <w:t>se týká jsoucna (</w:t>
      </w:r>
      <w:r w:rsidRPr="00E95F2E">
        <w:rPr>
          <w:i/>
          <w:noProof/>
        </w:rPr>
        <w:t>resolutio stat ad ens</w:t>
      </w:r>
      <w:r>
        <w:rPr>
          <w:noProof/>
          <w:lang w:val="cs-CZ"/>
        </w:rPr>
        <w:t>). Pak ale nutně platí (</w:t>
      </w:r>
      <w:r w:rsidRPr="08C8377B">
        <w:rPr>
          <w:i/>
          <w:noProof/>
          <w:lang w:val="cs-CZ"/>
        </w:rPr>
        <w:t>ergo oportet</w:t>
      </w:r>
      <w:r>
        <w:rPr>
          <w:noProof/>
          <w:lang w:val="cs-CZ"/>
        </w:rPr>
        <w:t>), že toto jsoucno určené tímto původním rozlišením nemůže být dáno ani v kategoriálním modu 'být v něčem' (</w:t>
      </w:r>
      <w:r w:rsidRPr="0053326E">
        <w:rPr>
          <w:i/>
          <w:noProof/>
          <w:lang w:val="cs-CZ"/>
        </w:rPr>
        <w:t>resolutio in 'quid'</w:t>
      </w:r>
      <w:r>
        <w:rPr>
          <w:noProof/>
          <w:lang w:val="cs-CZ"/>
        </w:rPr>
        <w:t>), ani v</w:t>
      </w:r>
      <w:r w:rsidR="006A6638">
        <w:rPr>
          <w:noProof/>
          <w:lang w:val="cs-CZ"/>
        </w:rPr>
        <w:t xml:space="preserve"> jiném </w:t>
      </w:r>
      <w:r>
        <w:rPr>
          <w:noProof/>
          <w:lang w:val="cs-CZ"/>
        </w:rPr>
        <w:t>aktuálním bytí jsoucna (</w:t>
      </w:r>
      <w:r w:rsidRPr="08C8377B">
        <w:rPr>
          <w:i/>
          <w:noProof/>
        </w:rPr>
        <w:t>ens non includatur in illo actuali</w:t>
      </w:r>
      <w:r>
        <w:rPr>
          <w:noProof/>
          <w:lang w:val="cs-CZ"/>
        </w:rPr>
        <w:t>). Je to proto, že aktuální pojmy obsahují odlišná určení jsoucna a objektivní jsoucnost v nich není esenciálně obsažena ani jedním z obou způsobů.“ </w:t>
      </w:r>
      <w:r>
        <w:rPr>
          <w:rStyle w:val="Znakapoznpodarou"/>
        </w:rPr>
        <w:footnoteReference w:id="447"/>
      </w:r>
    </w:p>
    <w:p w:rsidR="000166A6" w:rsidRDefault="003E2B0F" w:rsidP="004C763B">
      <w:r>
        <w:t xml:space="preserve">Úvodní věta bere </w:t>
      </w:r>
      <w:r w:rsidRPr="00273106">
        <w:t xml:space="preserve">Aristotela </w:t>
      </w:r>
      <w:r>
        <w:t>v</w:t>
      </w:r>
      <w:r w:rsidR="00BD257D">
        <w:t xml:space="preserve"> zásadním bodě: </w:t>
      </w:r>
      <w:r>
        <w:t>v reálných</w:t>
      </w:r>
      <w:r w:rsidR="08163013" w:rsidRPr="00273106">
        <w:t xml:space="preserve"> věc</w:t>
      </w:r>
      <w:r>
        <w:t>ech</w:t>
      </w:r>
      <w:r w:rsidR="08163013" w:rsidRPr="00273106">
        <w:t xml:space="preserve"> </w:t>
      </w:r>
      <w:r>
        <w:t xml:space="preserve">daných </w:t>
      </w:r>
      <w:r w:rsidR="08163013" w:rsidRPr="083C1287">
        <w:rPr>
          <w:i/>
        </w:rPr>
        <w:t>per se</w:t>
      </w:r>
      <w:r w:rsidR="08163013">
        <w:t xml:space="preserve"> a </w:t>
      </w:r>
      <w:r w:rsidR="08163013" w:rsidRPr="083C1287">
        <w:rPr>
          <w:i/>
        </w:rPr>
        <w:t>simpliciter</w:t>
      </w:r>
      <w:r w:rsidR="08163013">
        <w:t xml:space="preserve"> </w:t>
      </w:r>
      <w:r w:rsidR="08163013" w:rsidRPr="00273106">
        <w:t>se potence a aktualita zásadně vylučují</w:t>
      </w:r>
      <w:r w:rsidR="08163013">
        <w:t xml:space="preserve">. Každý </w:t>
      </w:r>
      <w:r w:rsidR="08163013" w:rsidRPr="084E120E">
        <w:rPr>
          <w:i/>
        </w:rPr>
        <w:t>actus esendi</w:t>
      </w:r>
      <w:r w:rsidR="08163013">
        <w:t xml:space="preserve"> reálné věci obsahuje plnost </w:t>
      </w:r>
      <w:r w:rsidR="00E33A07">
        <w:t xml:space="preserve">bytí </w:t>
      </w:r>
      <w:r w:rsidR="08163013">
        <w:t xml:space="preserve">mimo potenci. </w:t>
      </w:r>
      <w:r w:rsidR="00BD257D">
        <w:t>Tak by ale nešla založit moderní metafyzika, která stojí na chimérické poten</w:t>
      </w:r>
      <w:r w:rsidR="008A2701">
        <w:t xml:space="preserve">tialitě bytí. </w:t>
      </w:r>
      <w:r w:rsidR="08163013">
        <w:t>Citát nejprve vyloučí</w:t>
      </w:r>
      <w:r w:rsidR="08163013" w:rsidRPr="00273106">
        <w:t xml:space="preserve"> nové poznání jsouc</w:t>
      </w:r>
      <w:r w:rsidR="08163013">
        <w:t xml:space="preserve">na z klasické stavby metafyziky vztažené k bytí první substance </w:t>
      </w:r>
      <w:r w:rsidR="08163013" w:rsidRPr="00273106">
        <w:t>(</w:t>
      </w:r>
      <w:r w:rsidR="08163013" w:rsidRPr="00273106">
        <w:rPr>
          <w:i/>
        </w:rPr>
        <w:t>ens non includatur in illo actuali</w:t>
      </w:r>
      <w:r w:rsidR="08163013" w:rsidRPr="00273106">
        <w:t>)</w:t>
      </w:r>
      <w:r w:rsidR="08163013">
        <w:t xml:space="preserve">. Aristoteles provádí redukci pouze na poslední univocitu predikovanou skrze druhou substanci vzhledem k reálné </w:t>
      </w:r>
      <w:r w:rsidR="08163013" w:rsidRPr="00273106">
        <w:t>substanc</w:t>
      </w:r>
      <w:r w:rsidR="08163013">
        <w:t xml:space="preserve">i </w:t>
      </w:r>
      <w:r w:rsidR="08163013" w:rsidRPr="00273106">
        <w:t>(</w:t>
      </w:r>
      <w:r w:rsidR="08163013" w:rsidRPr="00273106">
        <w:rPr>
          <w:i/>
        </w:rPr>
        <w:t>resolutio in 'quid'</w:t>
      </w:r>
      <w:r w:rsidR="08163013" w:rsidRPr="00273106">
        <w:t xml:space="preserve">). </w:t>
      </w:r>
      <w:r w:rsidR="08163013">
        <w:t>Podle Scota je objektivita nový způsob, jak moderní metafyzik vidí svět za tímto typem kategoriální predikace a reality světa. Proto n</w:t>
      </w:r>
      <w:r w:rsidR="08163013" w:rsidRPr="00273106">
        <w:t xml:space="preserve">ásleduje druhý krok, který jednotu </w:t>
      </w:r>
      <w:r w:rsidR="08163013">
        <w:t xml:space="preserve">jsoucna predikovanou vzhledem ke druhé substanci </w:t>
      </w:r>
      <w:r w:rsidR="08163013" w:rsidRPr="00273106">
        <w:t>dá o jedno patro výše, do objekt</w:t>
      </w:r>
      <w:r w:rsidR="08163013">
        <w:t xml:space="preserve">ivní roviny univočního jsoucna. </w:t>
      </w:r>
      <w:r w:rsidR="08163013" w:rsidRPr="00273106">
        <w:t>Nová verze metafyziky začíná v čisté možnosti</w:t>
      </w:r>
      <w:r w:rsidR="08163013">
        <w:t xml:space="preserve"> dané jako minimální verze individualizované jsoucnosti (</w:t>
      </w:r>
      <w:r w:rsidR="08163013" w:rsidRPr="00273106">
        <w:rPr>
          <w:i/>
        </w:rPr>
        <w:t>potentia simpliciter in rebus</w:t>
      </w:r>
      <w:r w:rsidR="08163013">
        <w:t>).</w:t>
      </w:r>
      <w:r w:rsidR="08163013" w:rsidRPr="00273106">
        <w:t xml:space="preserve"> </w:t>
      </w:r>
      <w:r w:rsidR="08163013">
        <w:t xml:space="preserve">Na této úrovni čisté objektivity </w:t>
      </w:r>
      <w:r w:rsidR="08163013" w:rsidRPr="00273106">
        <w:t>už není možná žádná další resoluce na jednodušší principy</w:t>
      </w:r>
      <w:r w:rsidR="08163013">
        <w:t xml:space="preserve">. </w:t>
      </w:r>
      <w:r w:rsidR="08163013" w:rsidRPr="00273106">
        <w:t>První věda zač</w:t>
      </w:r>
      <w:r w:rsidR="08163013">
        <w:t>íná dedukci od této úrovně, v níž objektivně „exsistují“ všechny univoční významy jsoucna (</w:t>
      </w:r>
      <w:r w:rsidR="08163013" w:rsidRPr="00F32F86">
        <w:rPr>
          <w:i/>
        </w:rPr>
        <w:t>ad quem ultimo stat resolutio</w:t>
      </w:r>
      <w:r w:rsidR="08163013">
        <w:t>). Scotus našel skrze novou formu dělení univerzálií (</w:t>
      </w:r>
      <w:r w:rsidR="08163013" w:rsidRPr="08DA7EB7">
        <w:rPr>
          <w:i/>
        </w:rPr>
        <w:t>resolutio</w:t>
      </w:r>
      <w:r w:rsidR="08163013">
        <w:t>) objektivní verzi Jamblichova diakosmu</w:t>
      </w:r>
      <w:r w:rsidR="08163013">
        <w:fldChar w:fldCharType="begin"/>
      </w:r>
      <w:r w:rsidR="08163013">
        <w:instrText xml:space="preserve"> XE "</w:instrText>
      </w:r>
      <w:r w:rsidR="08163013" w:rsidRPr="089A1010">
        <w:instrText>diakosmos</w:instrText>
      </w:r>
      <w:r w:rsidR="08163013">
        <w:instrText xml:space="preserve">" </w:instrText>
      </w:r>
      <w:r w:rsidR="08163013">
        <w:fldChar w:fldCharType="end"/>
      </w:r>
      <w:r w:rsidR="08163013">
        <w:t xml:space="preserve"> </w:t>
      </w:r>
      <w:r w:rsidR="08163013" w:rsidRPr="00273106">
        <w:t>(</w:t>
      </w:r>
      <w:r w:rsidR="007E31F6">
        <w:t xml:space="preserve">OBJ I, </w:t>
      </w:r>
      <w:r w:rsidR="08163013">
        <w:t>kap. 1.3.1). Moderní theurgie</w:t>
      </w:r>
      <w:r w:rsidR="08163013">
        <w:fldChar w:fldCharType="begin"/>
      </w:r>
      <w:r w:rsidR="08163013">
        <w:instrText xml:space="preserve"> XE "</w:instrText>
      </w:r>
      <w:r w:rsidR="08163013" w:rsidRPr="08F41987">
        <w:instrText>theurgie</w:instrText>
      </w:r>
      <w:r w:rsidR="08163013">
        <w:instrText xml:space="preserve">" </w:instrText>
      </w:r>
      <w:r w:rsidR="08163013">
        <w:fldChar w:fldCharType="end"/>
      </w:r>
      <w:r w:rsidR="08163013">
        <w:t xml:space="preserve"> již nemá charakter mystického božího muže zanikající antiky, ale logicky nazírajího ilumináta nové epochy, v níž nihilisticky vládne </w:t>
      </w:r>
      <w:r w:rsidR="001F3B46" w:rsidRPr="08A56B02">
        <w:rPr>
          <w:i/>
        </w:rPr>
        <w:t>intelligentia spiritualis</w:t>
      </w:r>
      <w:r w:rsidR="001F3B46">
        <w:rPr>
          <w:i/>
        </w:rPr>
        <w:t xml:space="preserve"> </w:t>
      </w:r>
      <w:r w:rsidR="08163013">
        <w:fldChar w:fldCharType="begin"/>
      </w:r>
      <w:r w:rsidR="08163013">
        <w:instrText xml:space="preserve"> XE "</w:instrText>
      </w:r>
      <w:r w:rsidR="001F3B46" w:rsidRPr="08A56B02">
        <w:rPr>
          <w:i/>
        </w:rPr>
        <w:instrText>intelligentia spiritualis</w:instrText>
      </w:r>
      <w:r w:rsidR="08163013">
        <w:instrText xml:space="preserve">" </w:instrText>
      </w:r>
      <w:r w:rsidR="08163013">
        <w:fldChar w:fldCharType="end"/>
      </w:r>
      <w:r w:rsidR="08163013">
        <w:t xml:space="preserve">. </w:t>
      </w:r>
      <w:r w:rsidR="001F3B46">
        <w:t xml:space="preserve">Joachima Fiore </w:t>
      </w:r>
      <w:proofErr w:type="gramStart"/>
      <w:r w:rsidR="001F3B46">
        <w:t>začal</w:t>
      </w:r>
      <w:proofErr w:type="gramEnd"/>
      <w:r w:rsidR="001F3B46">
        <w:t xml:space="preserve"> o</w:t>
      </w:r>
      <w:r w:rsidR="08163013">
        <w:t xml:space="preserve">bjektivní epocha </w:t>
      </w:r>
      <w:r w:rsidR="08163013">
        <w:fldChar w:fldCharType="begin"/>
      </w:r>
      <w:r w:rsidR="08163013">
        <w:instrText xml:space="preserve"> XE "</w:instrText>
      </w:r>
      <w:r w:rsidR="08163013" w:rsidRPr="08CB37CB">
        <w:instrText>Fiore, J.</w:instrText>
      </w:r>
      <w:r w:rsidR="08163013">
        <w:instrText xml:space="preserve">" </w:instrText>
      </w:r>
      <w:r w:rsidR="08163013">
        <w:fldChar w:fldCharType="end"/>
      </w:r>
      <w:r w:rsidR="08163013">
        <w:t xml:space="preserve"> </w:t>
      </w:r>
      <w:r w:rsidR="001F3B46">
        <w:t xml:space="preserve">skrze vizi o </w:t>
      </w:r>
      <w:r w:rsidR="08163013">
        <w:lastRenderedPageBreak/>
        <w:t>vládě Ducha svatého</w:t>
      </w:r>
      <w:r w:rsidR="001F3B46">
        <w:t xml:space="preserve">. Tato epocha </w:t>
      </w:r>
      <w:r w:rsidR="08163013">
        <w:t>začala v</w:t>
      </w:r>
      <w:r w:rsidR="001F3B46">
        <w:t> </w:t>
      </w:r>
      <w:r w:rsidR="08163013">
        <w:t>Oxfordu</w:t>
      </w:r>
      <w:r w:rsidR="001F3B46">
        <w:t xml:space="preserve"> a </w:t>
      </w:r>
      <w:r w:rsidR="08163013">
        <w:t xml:space="preserve">ve věku dokonaného imperialistického kapitalismu přešla do bankovní enklávy </w:t>
      </w:r>
      <w:r w:rsidR="08163013" w:rsidRPr="08F057FA">
        <w:rPr>
          <w:i/>
        </w:rPr>
        <w:t>City of London</w:t>
      </w:r>
      <w:r w:rsidR="08163013">
        <w:rPr>
          <w:i/>
        </w:rPr>
        <w:fldChar w:fldCharType="begin"/>
      </w:r>
      <w:r w:rsidR="08163013">
        <w:instrText xml:space="preserve"> XE "</w:instrText>
      </w:r>
      <w:r w:rsidR="08163013" w:rsidRPr="082C4FE1">
        <w:rPr>
          <w:i/>
        </w:rPr>
        <w:instrText xml:space="preserve">City of </w:instrText>
      </w:r>
      <w:proofErr w:type="gramStart"/>
      <w:r w:rsidR="08163013" w:rsidRPr="082C4FE1">
        <w:rPr>
          <w:i/>
        </w:rPr>
        <w:instrText>London</w:instrText>
      </w:r>
      <w:proofErr w:type="gramEnd"/>
      <w:r w:rsidR="08163013">
        <w:instrText xml:space="preserve">" </w:instrText>
      </w:r>
      <w:r w:rsidR="08163013">
        <w:rPr>
          <w:i/>
        </w:rPr>
        <w:fldChar w:fldCharType="end"/>
      </w:r>
      <w:r w:rsidR="001F3B46">
        <w:t xml:space="preserve">; </w:t>
      </w:r>
      <w:r w:rsidR="08163013">
        <w:t xml:space="preserve">její dosavadní nihilistické sídlo má </w:t>
      </w:r>
      <w:r w:rsidR="000166A6">
        <w:t>adresu v jedné ulici New Yorku.</w:t>
      </w:r>
    </w:p>
    <w:p w:rsidR="00480E02" w:rsidRDefault="08163013" w:rsidP="00B9230D">
      <w:pPr>
        <w:ind w:firstLine="397"/>
      </w:pPr>
      <w:r>
        <w:t>Poslední univocita je dána jako koncept objektivně dané potence</w:t>
      </w:r>
      <w:r w:rsidR="00AE42EF">
        <w:t xml:space="preserve"> </w:t>
      </w:r>
      <w:r w:rsidR="00AE42EF" w:rsidRPr="00273106">
        <w:t>(</w:t>
      </w:r>
      <w:r w:rsidR="00AE42EF" w:rsidRPr="00273106">
        <w:rPr>
          <w:i/>
        </w:rPr>
        <w:t>conceptus potentialis</w:t>
      </w:r>
      <w:r w:rsidR="00AE42EF" w:rsidRPr="00273106">
        <w:t>)</w:t>
      </w:r>
      <w:r>
        <w:t xml:space="preserve"> definované mimo </w:t>
      </w:r>
      <w:r w:rsidR="00AE42EF">
        <w:t>realitu první substance</w:t>
      </w:r>
      <w:r w:rsidRPr="00273106">
        <w:t xml:space="preserve">. </w:t>
      </w:r>
      <w:r>
        <w:t>Redukce na metafyzickou jednoduchost jsoucna (</w:t>
      </w:r>
      <w:r w:rsidRPr="00273106">
        <w:rPr>
          <w:i/>
        </w:rPr>
        <w:t>resolutio</w:t>
      </w:r>
      <w:r>
        <w:t>)</w:t>
      </w:r>
      <w:r w:rsidRPr="00273106">
        <w:t xml:space="preserve"> </w:t>
      </w:r>
      <w:r>
        <w:t>neobsahuje realit</w:t>
      </w:r>
      <w:r w:rsidRPr="00273106">
        <w:t xml:space="preserve">u </w:t>
      </w:r>
      <w:r>
        <w:t xml:space="preserve">první </w:t>
      </w:r>
      <w:r w:rsidRPr="00273106">
        <w:t>substance (</w:t>
      </w:r>
      <w:r w:rsidRPr="00273106">
        <w:rPr>
          <w:i/>
        </w:rPr>
        <w:t>nihil includit actualitatis</w:t>
      </w:r>
      <w:r w:rsidRPr="00273106">
        <w:t xml:space="preserve">). </w:t>
      </w:r>
      <w:r>
        <w:t>O</w:t>
      </w:r>
      <w:r w:rsidRPr="00273106">
        <w:t>bjektivní forma deduk</w:t>
      </w:r>
      <w:r>
        <w:t>ce vychází z minimálního pojetí jsoucna</w:t>
      </w:r>
      <w:r w:rsidRPr="00273106">
        <w:t xml:space="preserve">, </w:t>
      </w:r>
      <w:r>
        <w:t xml:space="preserve">které je dáno pouze potenciálně. </w:t>
      </w:r>
      <w:r w:rsidR="00B9230D" w:rsidRPr="00B9230D">
        <w:t>V důsledku toho vznikly dvě formy metafyziky založené na dvojí nedělitelné kat</w:t>
      </w:r>
      <w:r w:rsidR="00B9230D">
        <w:t>egoriální substanci</w:t>
      </w:r>
      <w:r>
        <w:t xml:space="preserve">: scotistická </w:t>
      </w:r>
      <w:r w:rsidR="00B9230D">
        <w:t xml:space="preserve">„první“ substance </w:t>
      </w:r>
      <w:r>
        <w:t>(</w:t>
      </w:r>
      <w:r w:rsidRPr="00273106">
        <w:rPr>
          <w:i/>
        </w:rPr>
        <w:t>potentia simpliciter in rebus</w:t>
      </w:r>
      <w:r>
        <w:t xml:space="preserve">) a aristotelská </w:t>
      </w:r>
      <w:r w:rsidR="00B9230D">
        <w:t xml:space="preserve">druhá substance </w:t>
      </w:r>
      <w:r>
        <w:t>(</w:t>
      </w:r>
      <w:r w:rsidRPr="084E5889">
        <w:rPr>
          <w:i/>
        </w:rPr>
        <w:t>resolutio</w:t>
      </w:r>
      <w:r>
        <w:t xml:space="preserve"> </w:t>
      </w:r>
      <w:r w:rsidRPr="084E5889">
        <w:rPr>
          <w:i/>
        </w:rPr>
        <w:t>in quid</w:t>
      </w:r>
      <w:r>
        <w:rPr>
          <w:i/>
        </w:rPr>
        <w:fldChar w:fldCharType="begin"/>
      </w:r>
      <w:r>
        <w:instrText xml:space="preserve"> XE "</w:instrText>
      </w:r>
      <w:r w:rsidRPr="08996FDC">
        <w:rPr>
          <w:i/>
        </w:rPr>
        <w:instrText>resolutio</w:instrText>
      </w:r>
      <w:r>
        <w:rPr>
          <w:i/>
        </w:rPr>
        <w:instrText>:</w:instrText>
      </w:r>
      <w:r w:rsidRPr="08996FDC">
        <w:rPr>
          <w:i/>
        </w:rPr>
        <w:instrText>in quid</w:instrText>
      </w:r>
      <w:r>
        <w:instrText xml:space="preserve">" </w:instrText>
      </w:r>
      <w:r>
        <w:rPr>
          <w:i/>
        </w:rPr>
        <w:fldChar w:fldCharType="end"/>
      </w:r>
      <w:r>
        <w:t xml:space="preserve">). Čistý náhled jsoucna je daný </w:t>
      </w:r>
      <w:r w:rsidRPr="00273106">
        <w:t xml:space="preserve">na úrovni </w:t>
      </w:r>
      <w:r w:rsidR="00737A65">
        <w:t>objektivní substance (</w:t>
      </w:r>
      <w:r>
        <w:rPr>
          <w:i/>
        </w:rPr>
        <w:t>conceptus potentialis</w:t>
      </w:r>
      <w:r w:rsidR="00737A65">
        <w:t>)</w:t>
      </w:r>
      <w:r>
        <w:rPr>
          <w:i/>
        </w:rPr>
        <w:t xml:space="preserve">. </w:t>
      </w:r>
      <w:r>
        <w:t>Aristotelské poznání dané a</w:t>
      </w:r>
      <w:r w:rsidRPr="084E5889">
        <w:t>bstrak</w:t>
      </w:r>
      <w:r>
        <w:t>cí vzniká skrze hylemorfickou substanci (</w:t>
      </w:r>
      <w:r w:rsidRPr="084E5889">
        <w:rPr>
          <w:i/>
        </w:rPr>
        <w:t>conce</w:t>
      </w:r>
      <w:r>
        <w:rPr>
          <w:i/>
        </w:rPr>
        <w:t>ptus actualis</w:t>
      </w:r>
      <w:r>
        <w:t xml:space="preserve">). Obě formy náhledu </w:t>
      </w:r>
      <w:r w:rsidRPr="00273106">
        <w:t>jsou zásadně odlišné</w:t>
      </w:r>
      <w:r>
        <w:t xml:space="preserve"> </w:t>
      </w:r>
      <w:r w:rsidRPr="00273106">
        <w:t>od aktuálně dané první substance (</w:t>
      </w:r>
      <w:r w:rsidRPr="00273106">
        <w:rPr>
          <w:i/>
        </w:rPr>
        <w:t>ens non includitur essentialiter in utroque illorum</w:t>
      </w:r>
      <w:r w:rsidRPr="00273106">
        <w:t xml:space="preserve">). </w:t>
      </w:r>
      <w:r>
        <w:t xml:space="preserve">První náhled na substanci v modu </w:t>
      </w:r>
      <w:r w:rsidRPr="08A54DEB">
        <w:rPr>
          <w:i/>
        </w:rPr>
        <w:t>ens inquantum ens</w:t>
      </w:r>
      <w:r>
        <w:t xml:space="preserve"> zakládá objektivní metafyziku, protože není odvozen od reálné první substance, ale od </w:t>
      </w:r>
      <w:r w:rsidR="000A6908">
        <w:t xml:space="preserve">objektivního </w:t>
      </w:r>
      <w:r>
        <w:t xml:space="preserve">konceptu božího nekonečného jsoucna. Druhý náhled na abstrahované jsoucno </w:t>
      </w:r>
      <w:r w:rsidR="00FB2A01">
        <w:t>„</w:t>
      </w:r>
      <w:r>
        <w:t xml:space="preserve">substance </w:t>
      </w:r>
      <w:r w:rsidRPr="08A54DEB">
        <w:rPr>
          <w:i/>
        </w:rPr>
        <w:t>qua</w:t>
      </w:r>
      <w:r>
        <w:t xml:space="preserve"> substance</w:t>
      </w:r>
      <w:r w:rsidR="00FB2A01">
        <w:t>“</w:t>
      </w:r>
      <w:r>
        <w:fldChar w:fldCharType="begin"/>
      </w:r>
      <w:r>
        <w:instrText xml:space="preserve"> XE "</w:instrText>
      </w:r>
      <w:r w:rsidRPr="088F3EFB">
        <w:instrText xml:space="preserve">substance </w:instrText>
      </w:r>
      <w:r w:rsidRPr="088F3EFB">
        <w:rPr>
          <w:i/>
        </w:rPr>
        <w:instrText>qua</w:instrText>
      </w:r>
      <w:r w:rsidRPr="088F3EFB">
        <w:instrText xml:space="preserve"> substance</w:instrText>
      </w:r>
      <w:r>
        <w:instrText xml:space="preserve">" </w:instrText>
      </w:r>
      <w:r>
        <w:fldChar w:fldCharType="end"/>
      </w:r>
      <w:r>
        <w:t xml:space="preserve"> zakládá aristotelskou formu metafyziky. Scotus založil nový projekt první vědy odlišný od Aristotelovy </w:t>
      </w:r>
      <w:r w:rsidRPr="08A54DEB">
        <w:rPr>
          <w:i/>
        </w:rPr>
        <w:t>Metafyziky</w:t>
      </w:r>
      <w:r w:rsidR="00F61DE2">
        <w:t>. N</w:t>
      </w:r>
      <w:r>
        <w:t>aplnil Alexandrovu a Avic</w:t>
      </w:r>
      <w:r w:rsidR="00F61DE2">
        <w:t>ennovu definici první vědy o jednotě jsoucna,</w:t>
      </w:r>
      <w:r>
        <w:t xml:space="preserve"> která </w:t>
      </w:r>
      <w:r w:rsidR="00F61DE2">
        <w:t>stojí za fyzikou (kap. 5</w:t>
      </w:r>
      <w:r>
        <w:t xml:space="preserve">.3.1). Existuje tolik druhů </w:t>
      </w:r>
      <w:r w:rsidR="008A2C0B">
        <w:t>metzafyziky</w:t>
      </w:r>
      <w:r>
        <w:t xml:space="preserve">, kolik je druhů substancí. </w:t>
      </w:r>
      <w:r w:rsidR="00FE2565">
        <w:t>Protože modernisté pozorují objek</w:t>
      </w:r>
      <w:r w:rsidR="008A2C0B">
        <w:t>tivní subst</w:t>
      </w:r>
      <w:r w:rsidR="00A53792">
        <w:t>a</w:t>
      </w:r>
      <w:r w:rsidR="008A2C0B">
        <w:t>n</w:t>
      </w:r>
      <w:r w:rsidR="00A53792">
        <w:t xml:space="preserve">ci, tak také mají objektivní metafyziku. A není důležité, že tato substance reálně neexistuje. Transcendentální metafyzika moderny není aristotelská první věda. </w:t>
      </w:r>
      <w:r>
        <w:t xml:space="preserve">Scotus našel s Avicennou v řádu absolutně první poznatelnosti první určení substance jako prvního principu poznání, protože to je oblast vědění metafyziky jako první vědy o jsoucnu. </w:t>
      </w:r>
      <w:r w:rsidRPr="00273106">
        <w:t xml:space="preserve">Scotův výklad sleduje na úrovni objektivity argumentaci klíčové části </w:t>
      </w:r>
      <w:r w:rsidRPr="08EF3144">
        <w:rPr>
          <w:i/>
        </w:rPr>
        <w:t>Metafyziky</w:t>
      </w:r>
      <w:r w:rsidRPr="00273106">
        <w:t xml:space="preserve"> popisující hledanou jednotu jsoucího (τὸ ὂν λέγεται πολλαχῶς μὲν ἀλλ' ἅπαν πρὸς μίαν ἀρχήν, </w:t>
      </w:r>
      <w:r w:rsidRPr="007D3F42">
        <w:rPr>
          <w:i/>
        </w:rPr>
        <w:t>Met</w:t>
      </w:r>
      <w:r w:rsidRPr="00273106">
        <w:t>. 1003b5‒6</w:t>
      </w:r>
      <w:r>
        <w:fldChar w:fldCharType="begin"/>
      </w:r>
      <w:r>
        <w:instrText xml:space="preserve"> XE "Aristoteles:</w:instrText>
      </w:r>
      <w:r w:rsidRPr="00590B90">
        <w:rPr>
          <w:i/>
        </w:rPr>
        <w:instrText>Met</w:instrText>
      </w:r>
      <w:r w:rsidRPr="00590B90">
        <w:instrText>. 1003b5‒6</w:instrText>
      </w:r>
      <w:r>
        <w:instrText xml:space="preserve">" </w:instrText>
      </w:r>
      <w:r>
        <w:fldChar w:fldCharType="end"/>
      </w:r>
      <w:r w:rsidRPr="00273106">
        <w:t xml:space="preserve">). Scotus </w:t>
      </w:r>
      <w:r w:rsidR="00E457FA" w:rsidRPr="00273106">
        <w:t>našel</w:t>
      </w:r>
      <w:r w:rsidR="00E457FA">
        <w:t xml:space="preserve"> ob</w:t>
      </w:r>
      <w:r w:rsidR="00820766">
        <w:t>jek</w:t>
      </w:r>
      <w:r w:rsidR="00E457FA">
        <w:t xml:space="preserve">tivní </w:t>
      </w:r>
      <w:r w:rsidRPr="00273106">
        <w:t xml:space="preserve">jednotu </w:t>
      </w:r>
      <w:r w:rsidR="00E457FA">
        <w:t>„</w:t>
      </w:r>
      <w:r w:rsidRPr="00273106">
        <w:rPr>
          <w:i/>
        </w:rPr>
        <w:t xml:space="preserve">ad </w:t>
      </w:r>
      <w:proofErr w:type="gramStart"/>
      <w:r w:rsidRPr="00273106">
        <w:rPr>
          <w:i/>
        </w:rPr>
        <w:t>unum</w:t>
      </w:r>
      <w:proofErr w:type="gramEnd"/>
      <w:r w:rsidR="00E457FA">
        <w:t xml:space="preserve">“. Ale počátek </w:t>
      </w:r>
      <w:r w:rsidR="003B3006">
        <w:t xml:space="preserve">jeho metafyziky </w:t>
      </w:r>
      <w:r w:rsidR="00E457FA">
        <w:t>s</w:t>
      </w:r>
      <w:r>
        <w:t xml:space="preserve">tojí </w:t>
      </w:r>
      <w:r w:rsidRPr="00273106">
        <w:t>mimo aktuální realitu</w:t>
      </w:r>
      <w:r>
        <w:t xml:space="preserve">. </w:t>
      </w:r>
      <w:r w:rsidR="000159F3">
        <w:t xml:space="preserve">Scotus </w:t>
      </w:r>
      <w:r>
        <w:t>sofistikovaně zrušil aristotelský projekt metafyziky tím, že ji dogmaticky převedl na úroveň konceptu nekonečného božího jsoucna. Logická n</w:t>
      </w:r>
      <w:r w:rsidRPr="00273106">
        <w:t xml:space="preserve">utnost </w:t>
      </w:r>
      <w:r>
        <w:t xml:space="preserve">daná závěrem </w:t>
      </w:r>
      <w:r w:rsidRPr="00273106">
        <w:rPr>
          <w:i/>
        </w:rPr>
        <w:t>ergo oportet</w:t>
      </w:r>
      <w:r>
        <w:t xml:space="preserve"> je vztažená ke </w:t>
      </w:r>
      <w:r w:rsidRPr="00273106">
        <w:t>jsoucnu</w:t>
      </w:r>
      <w:r>
        <w:t xml:space="preserve"> třetího druhu</w:t>
      </w:r>
      <w:r w:rsidR="009F450D">
        <w:t xml:space="preserve">. Objektivní jsoucno </w:t>
      </w:r>
      <w:r>
        <w:t xml:space="preserve">přešlo skrze nově daný </w:t>
      </w:r>
      <w:r w:rsidRPr="00DC16A5">
        <w:rPr>
          <w:i/>
        </w:rPr>
        <w:t>dativus possessivus</w:t>
      </w:r>
      <w:r>
        <w:rPr>
          <w:i/>
        </w:rPr>
        <w:fldChar w:fldCharType="begin"/>
      </w:r>
      <w:r>
        <w:instrText xml:space="preserve"> XE "</w:instrText>
      </w:r>
      <w:r w:rsidRPr="00461B3F">
        <w:rPr>
          <w:i/>
        </w:rPr>
        <w:instrText>d</w:instrText>
      </w:r>
      <w:r w:rsidRPr="00461B3F">
        <w:rPr>
          <w:i/>
          <w:iCs/>
        </w:rPr>
        <w:instrText>ativus possessivus</w:instrText>
      </w:r>
      <w:r>
        <w:instrText xml:space="preserve">" </w:instrText>
      </w:r>
      <w:r>
        <w:rPr>
          <w:i/>
        </w:rPr>
        <w:fldChar w:fldCharType="end"/>
      </w:r>
      <w:r>
        <w:t xml:space="preserve"> do prostoru </w:t>
      </w:r>
      <w:r w:rsidR="000917C7">
        <w:t xml:space="preserve">historicky odkryté </w:t>
      </w:r>
      <w:r>
        <w:lastRenderedPageBreak/>
        <w:t xml:space="preserve">manifestace </w:t>
      </w:r>
      <w:r w:rsidR="004C763B">
        <w:t>tzv. druhé metafyziky“ (</w:t>
      </w:r>
      <w:r w:rsidR="004C763B" w:rsidRPr="004C763B">
        <w:rPr>
          <w:i/>
        </w:rPr>
        <w:t>Ereignis</w:t>
      </w:r>
      <w:r w:rsidR="004C763B">
        <w:rPr>
          <w:i/>
        </w:rPr>
        <w:fldChar w:fldCharType="begin"/>
      </w:r>
      <w:r w:rsidR="004C763B">
        <w:instrText xml:space="preserve"> XE "</w:instrText>
      </w:r>
      <w:r w:rsidR="004C763B" w:rsidRPr="00617C92">
        <w:rPr>
          <w:i/>
        </w:rPr>
        <w:instrText>Ereignis</w:instrText>
      </w:r>
      <w:r w:rsidR="004C763B">
        <w:instrText xml:space="preserve">" </w:instrText>
      </w:r>
      <w:r w:rsidR="004C763B">
        <w:rPr>
          <w:i/>
        </w:rPr>
        <w:fldChar w:fldCharType="end"/>
      </w:r>
      <w:r w:rsidR="004C763B">
        <w:t xml:space="preserve">). Z hlediska dějinnosti hledané hermeneutikou ukazuje toto založení metafyziky </w:t>
      </w:r>
      <w:r w:rsidR="009F450D">
        <w:t>nové porozumění světa</w:t>
      </w:r>
      <w:r w:rsidR="000917C7">
        <w:t xml:space="preserve"> (</w:t>
      </w:r>
      <w:r w:rsidR="000917C7" w:rsidRPr="000917C7">
        <w:rPr>
          <w:i/>
        </w:rPr>
        <w:t>Wirkungsgeschichte</w:t>
      </w:r>
      <w:r w:rsidR="00952B11">
        <w:rPr>
          <w:i/>
        </w:rPr>
        <w:fldChar w:fldCharType="begin"/>
      </w:r>
      <w:r w:rsidR="00952B11">
        <w:instrText xml:space="preserve"> XE "</w:instrText>
      </w:r>
      <w:r w:rsidR="00952B11" w:rsidRPr="0079333F">
        <w:rPr>
          <w:i/>
        </w:rPr>
        <w:instrText>Wirkungsgeschichte</w:instrText>
      </w:r>
      <w:r w:rsidR="00952B11">
        <w:instrText xml:space="preserve">" </w:instrText>
      </w:r>
      <w:r w:rsidR="00952B11">
        <w:rPr>
          <w:i/>
        </w:rPr>
        <w:fldChar w:fldCharType="end"/>
      </w:r>
      <w:r w:rsidR="000917C7">
        <w:t xml:space="preserve">) </w:t>
      </w:r>
      <w:r>
        <w:t>v</w:t>
      </w:r>
      <w:r w:rsidR="000917C7">
        <w:t xml:space="preserve"> dějinném </w:t>
      </w:r>
      <w:r>
        <w:t xml:space="preserve">modu epochálního </w:t>
      </w:r>
      <w:r w:rsidRPr="00DC16A5">
        <w:rPr>
          <w:i/>
        </w:rPr>
        <w:t>Irrtum</w:t>
      </w:r>
      <w:r w:rsidR="00B54E5C">
        <w:rPr>
          <w:i/>
        </w:rPr>
        <w:fldChar w:fldCharType="begin"/>
      </w:r>
      <w:r w:rsidR="00B54E5C">
        <w:instrText xml:space="preserve"> XE "</w:instrText>
      </w:r>
      <w:r w:rsidR="00B54E5C" w:rsidRPr="00E54C24">
        <w:rPr>
          <w:i/>
        </w:rPr>
        <w:instrText>Irrtum</w:instrText>
      </w:r>
      <w:r w:rsidR="00B54E5C">
        <w:instrText xml:space="preserve">" </w:instrText>
      </w:r>
      <w:r w:rsidR="00B54E5C">
        <w:rPr>
          <w:i/>
        </w:rPr>
        <w:fldChar w:fldCharType="end"/>
      </w:r>
      <w:r>
        <w:t>. Rozklad jsoucna na absolutně jednoduchá určení (</w:t>
      </w:r>
      <w:r w:rsidRPr="00AF2EDB">
        <w:rPr>
          <w:i/>
        </w:rPr>
        <w:t>resolutio</w:t>
      </w:r>
      <w:r>
        <w:t>) se dostal do „nulového bodu“ moderny, protože zde již subsistuje jsoucno v původní jednoduchosti, mimo konfůzní subjekt daný v realitě. Metafyzika se dostala do nulového bodu</w:t>
      </w:r>
      <w:r>
        <w:fldChar w:fldCharType="begin"/>
      </w:r>
      <w:r>
        <w:instrText xml:space="preserve"> XE "</w:instrText>
      </w:r>
      <w:r w:rsidRPr="08537759">
        <w:instrText>nulový bod</w:instrText>
      </w:r>
      <w:r>
        <w:instrText xml:space="preserve">" </w:instrText>
      </w:r>
      <w:r>
        <w:fldChar w:fldCharType="end"/>
      </w:r>
      <w:r>
        <w:t xml:space="preserve">, v němž se skrývá základní </w:t>
      </w:r>
      <w:r w:rsidRPr="002E71EC">
        <w:rPr>
          <w:i/>
        </w:rPr>
        <w:t>Lichtung</w:t>
      </w:r>
      <w:r>
        <w:rPr>
          <w:i/>
        </w:rPr>
        <w:fldChar w:fldCharType="begin"/>
      </w:r>
      <w:r>
        <w:instrText xml:space="preserve"> XE "</w:instrText>
      </w:r>
      <w:r w:rsidRPr="009756AA">
        <w:rPr>
          <w:i/>
        </w:rPr>
        <w:instrText>Lichtung:</w:instrText>
      </w:r>
      <w:r w:rsidRPr="007D3F42">
        <w:instrText>moderní metafyzika</w:instrText>
      </w:r>
      <w:r>
        <w:instrText xml:space="preserve">" </w:instrText>
      </w:r>
      <w:r>
        <w:rPr>
          <w:i/>
        </w:rPr>
        <w:fldChar w:fldCharType="end"/>
      </w:r>
      <w:r>
        <w:t xml:space="preserve"> </w:t>
      </w:r>
      <w:r w:rsidR="00542D40">
        <w:t xml:space="preserve">pravdy nepravdy </w:t>
      </w:r>
      <w:r>
        <w:t>pro dějiny moderny.</w:t>
      </w:r>
      <w:r>
        <w:rPr>
          <w:rStyle w:val="Znakapoznpodarou"/>
        </w:rPr>
        <w:footnoteReference w:id="448"/>
      </w:r>
      <w:r>
        <w:t xml:space="preserve"> Scotus našel Archimédův bod metafyziky v bohu </w:t>
      </w:r>
      <w:r w:rsidRPr="08AA7320">
        <w:rPr>
          <w:i/>
        </w:rPr>
        <w:t>Modernorum</w:t>
      </w:r>
      <w:r>
        <w:t xml:space="preserve"> a </w:t>
      </w:r>
      <w:r w:rsidR="009461CF">
        <w:t xml:space="preserve">vytvořil novou architekturu </w:t>
      </w:r>
      <w:r>
        <w:t>jsoucna pomocí objektivní dedukce. Podle Scota nutně platí (</w:t>
      </w:r>
      <w:r w:rsidRPr="08C8377B">
        <w:rPr>
          <w:i/>
        </w:rPr>
        <w:t>ergo oportet</w:t>
      </w:r>
      <w:r>
        <w:t>), že toto objektivní absolutně oddělené jsoucn</w:t>
      </w:r>
      <w:r w:rsidR="0055583D">
        <w:t xml:space="preserve">o stojí za kategoriálním modem </w:t>
      </w:r>
      <w:r w:rsidR="008F6352">
        <w:t>daným aristotelskou druhou substancí (</w:t>
      </w:r>
      <w:r w:rsidRPr="0053326E">
        <w:rPr>
          <w:i/>
        </w:rPr>
        <w:t>r</w:t>
      </w:r>
      <w:r w:rsidR="008F6352">
        <w:rPr>
          <w:i/>
        </w:rPr>
        <w:t>esolutio in quid</w:t>
      </w:r>
      <w:r>
        <w:t>)</w:t>
      </w:r>
      <w:r w:rsidR="009658A4">
        <w:t>,</w:t>
      </w:r>
      <w:r>
        <w:t xml:space="preserve"> a </w:t>
      </w:r>
      <w:r w:rsidR="009658A4">
        <w:t xml:space="preserve">proto </w:t>
      </w:r>
      <w:r>
        <w:t>nemůže být dáno v aktuálním bytí jsoucna (</w:t>
      </w:r>
      <w:r w:rsidRPr="08C8377B">
        <w:rPr>
          <w:i/>
        </w:rPr>
        <w:t>ens non includatur in illo actuali</w:t>
      </w:r>
      <w:r>
        <w:t xml:space="preserve">). </w:t>
      </w:r>
      <w:r w:rsidRPr="00273106">
        <w:t xml:space="preserve">Takové řešení </w:t>
      </w:r>
      <w:r>
        <w:t xml:space="preserve">první vědy </w:t>
      </w:r>
      <w:r w:rsidR="00967C80">
        <w:t xml:space="preserve">založené na </w:t>
      </w:r>
      <w:r w:rsidR="0070750D">
        <w:t xml:space="preserve">neexistujícím </w:t>
      </w:r>
      <w:r w:rsidR="00967C80">
        <w:t xml:space="preserve">aktuálním </w:t>
      </w:r>
      <w:r>
        <w:t>jsoucnu Aristoteles</w:t>
      </w:r>
      <w:r w:rsidRPr="00273106">
        <w:t xml:space="preserve"> při hledání </w:t>
      </w:r>
      <w:r>
        <w:t xml:space="preserve">první vědy </w:t>
      </w:r>
      <w:r w:rsidRPr="00273106">
        <w:t xml:space="preserve">několikrát odmítl: jak proti sofistům, tak proti Eleatům, a nakonec i proti </w:t>
      </w:r>
      <w:r>
        <w:t>Platon</w:t>
      </w:r>
      <w:r w:rsidRPr="00273106">
        <w:t xml:space="preserve">ovi. </w:t>
      </w:r>
      <w:r>
        <w:t>Citovaná nutnost otevřela cestu zápa</w:t>
      </w:r>
      <w:r w:rsidR="008C6E10">
        <w:t>dní objektivních</w:t>
      </w:r>
      <w:r>
        <w:t xml:space="preserve"> </w:t>
      </w:r>
      <w:r w:rsidR="008C6E10">
        <w:t>křížových výprav</w:t>
      </w:r>
      <w:r>
        <w:t>. Jej</w:t>
      </w:r>
      <w:r w:rsidR="008C6E10">
        <w:t xml:space="preserve">ich </w:t>
      </w:r>
      <w:r>
        <w:t xml:space="preserve"> dynamika se skrývá v objektivní nutnosti </w:t>
      </w:r>
      <w:r w:rsidR="008C6E10">
        <w:t>„</w:t>
      </w:r>
      <w:r w:rsidR="008C6E10" w:rsidRPr="00495EFF">
        <w:rPr>
          <w:i/>
        </w:rPr>
        <w:t>ergo oportet</w:t>
      </w:r>
      <w:r w:rsidR="008C6E10">
        <w:t xml:space="preserve">“, která vytvořila </w:t>
      </w:r>
      <w:r>
        <w:t>cest</w:t>
      </w:r>
      <w:r w:rsidR="008C6E10">
        <w:t>u</w:t>
      </w:r>
      <w:r>
        <w:t xml:space="preserve"> západního nihilismu</w:t>
      </w:r>
      <w:r>
        <w:fldChar w:fldCharType="begin"/>
      </w:r>
      <w:r>
        <w:instrText xml:space="preserve"> XE "</w:instrText>
      </w:r>
      <w:r w:rsidRPr="00907F19">
        <w:rPr>
          <w:i/>
        </w:rPr>
        <w:instrText>a/léth</w:instrText>
      </w:r>
      <w:r>
        <w:rPr>
          <w:i/>
        </w:rPr>
        <w:instrText>e</w:instrText>
      </w:r>
      <w:r w:rsidRPr="00907F19">
        <w:rPr>
          <w:i/>
        </w:rPr>
        <w:instrText>ia</w:instrText>
      </w:r>
      <w:r w:rsidRPr="00907F19">
        <w:instrText>:</w:instrText>
      </w:r>
      <w:r>
        <w:instrText xml:space="preserve">Scotus" </w:instrText>
      </w:r>
      <w:r>
        <w:fldChar w:fldCharType="end"/>
      </w:r>
      <w:r w:rsidRPr="00273106">
        <w:t xml:space="preserve">. </w:t>
      </w:r>
      <w:r>
        <w:t>Scotovi a jeho následovníkům je zcela zřejmé</w:t>
      </w:r>
      <w:r w:rsidRPr="00273106">
        <w:t xml:space="preserve"> (</w:t>
      </w:r>
      <w:r w:rsidRPr="00273106">
        <w:rPr>
          <w:i/>
        </w:rPr>
        <w:t>manifestum est</w:t>
      </w:r>
      <w:r w:rsidRPr="00273106">
        <w:t xml:space="preserve">), že jejich výstavba metafyziky daná v tomto epochálním momentu </w:t>
      </w:r>
      <w:r w:rsidRPr="00273106">
        <w:rPr>
          <w:i/>
        </w:rPr>
        <w:t>per prius</w:t>
      </w:r>
      <w:r>
        <w:rPr>
          <w:i/>
        </w:rPr>
        <w:fldChar w:fldCharType="begin"/>
      </w:r>
      <w:r>
        <w:instrText xml:space="preserve"> XE "predikace:</w:instrText>
      </w:r>
      <w:r w:rsidRPr="007022B1">
        <w:rPr>
          <w:i/>
        </w:rPr>
        <w:instrText>per prius</w:instrText>
      </w:r>
      <w:r>
        <w:instrText xml:space="preserve">" </w:instrText>
      </w:r>
      <w:r>
        <w:rPr>
          <w:i/>
        </w:rPr>
        <w:fldChar w:fldCharType="end"/>
      </w:r>
      <w:r w:rsidRPr="00273106">
        <w:t xml:space="preserve"> obsahuje naprosto stejné pojetí jsoucna (</w:t>
      </w:r>
      <w:r w:rsidRPr="00273106">
        <w:rPr>
          <w:i/>
        </w:rPr>
        <w:t>quod resolutio stat ad ens</w:t>
      </w:r>
      <w:r>
        <w:t>)</w:t>
      </w:r>
      <w:r w:rsidRPr="00273106">
        <w:t xml:space="preserve"> jako měl</w:t>
      </w:r>
      <w:r>
        <w:t xml:space="preserve">a </w:t>
      </w:r>
      <w:proofErr w:type="gramStart"/>
      <w:r w:rsidRPr="08DC2CEB">
        <w:rPr>
          <w:i/>
        </w:rPr>
        <w:t>Metafyzika</w:t>
      </w:r>
      <w:r>
        <w:t xml:space="preserve"> Z.1 </w:t>
      </w:r>
      <w:r w:rsidR="00F60F5E">
        <w:t>vzhledem</w:t>
      </w:r>
      <w:proofErr w:type="gramEnd"/>
      <w:r w:rsidR="00F60F5E">
        <w:t xml:space="preserve"> </w:t>
      </w:r>
      <w:r w:rsidRPr="00273106">
        <w:t xml:space="preserve">k substanci. </w:t>
      </w:r>
      <w:r w:rsidR="00A30568">
        <w:t>Nová metafyzika</w:t>
      </w:r>
      <w:r>
        <w:t xml:space="preserve"> je shrnutá v tezi, že nová forma dedukce obsah</w:t>
      </w:r>
      <w:r w:rsidR="00A30568">
        <w:t xml:space="preserve">uje původní jsoucno </w:t>
      </w:r>
      <w:r w:rsidR="00A30568" w:rsidRPr="00A30568">
        <w:rPr>
          <w:i/>
        </w:rPr>
        <w:t>M</w:t>
      </w:r>
      <w:r w:rsidRPr="00A30568">
        <w:rPr>
          <w:i/>
        </w:rPr>
        <w:t>etafyziky</w:t>
      </w:r>
      <w:r>
        <w:t>, o němž mluví kniha Z (</w:t>
      </w:r>
      <w:r w:rsidRPr="00D03075">
        <w:rPr>
          <w:i/>
        </w:rPr>
        <w:t>resolutio stat ad ens</w:t>
      </w:r>
      <w:r>
        <w:t>). Z předešlého výkladu je zřejmé, že jde o epochální omyl. Scotus zaměnil reálnou první substanci danou hyparchicky za její esenci danou v abstraktní definici. Substanci vidí v abstraktním náhledu</w:t>
      </w:r>
      <w:r w:rsidR="00F60F5E">
        <w:t xml:space="preserve"> jednoty jsoucna</w:t>
      </w:r>
      <w:r w:rsidR="0008758F">
        <w:t xml:space="preserve">. </w:t>
      </w:r>
      <w:r w:rsidR="00F60F5E">
        <w:t xml:space="preserve">Tato jednota stojí na </w:t>
      </w:r>
      <w:r w:rsidR="0008758F">
        <w:t>dogmatické formě</w:t>
      </w:r>
      <w:r>
        <w:t xml:space="preserve"> jeho </w:t>
      </w:r>
      <w:r w:rsidR="00AA1B5B">
        <w:t xml:space="preserve">esenciální </w:t>
      </w:r>
      <w:r>
        <w:t xml:space="preserve">metafyziky </w:t>
      </w:r>
      <w:r w:rsidR="00F60F5E">
        <w:t>založené n</w:t>
      </w:r>
      <w:r>
        <w:t xml:space="preserve">a </w:t>
      </w:r>
      <w:r w:rsidR="00AA1B5B">
        <w:t xml:space="preserve">logické </w:t>
      </w:r>
      <w:r>
        <w:t>dedukc</w:t>
      </w:r>
      <w:r w:rsidR="00F60F5E">
        <w:t xml:space="preserve">i. </w:t>
      </w:r>
      <w:r>
        <w:t xml:space="preserve">Scotův výklad </w:t>
      </w:r>
      <w:r>
        <w:rPr>
          <w:i/>
        </w:rPr>
        <w:t xml:space="preserve">Metafyziky </w:t>
      </w:r>
      <w:r w:rsidR="006D321C">
        <w:t xml:space="preserve">staví na Avicennově logickém </w:t>
      </w:r>
      <w:r>
        <w:t xml:space="preserve">konceptu jsoucna daném univočně v mysli a v realitě. To není </w:t>
      </w:r>
      <w:r>
        <w:lastRenderedPageBreak/>
        <w:t>parmenidovská shoda myšlení daná vzhledem k celku bytí, které božská Pravda ukazuje smrtelníkovi. Myto</w:t>
      </w:r>
      <w:r w:rsidR="00336D6E">
        <w:t xml:space="preserve">logická </w:t>
      </w:r>
      <w:r>
        <w:t>dedukce představuje moderní paranoiu, kdy myšlení smrtelníka samo ze sebe určuje smysl kosmického bytí. Múzy</w:t>
      </w:r>
      <w:r>
        <w:fldChar w:fldCharType="begin"/>
      </w:r>
      <w:r>
        <w:instrText xml:space="preserve"> XE "</w:instrText>
      </w:r>
      <w:r w:rsidRPr="089B29F3">
        <w:instrText>Múzy</w:instrText>
      </w:r>
      <w:r>
        <w:instrText xml:space="preserve">" </w:instrText>
      </w:r>
      <w:r>
        <w:fldChar w:fldCharType="end"/>
      </w:r>
      <w:r>
        <w:t xml:space="preserve"> střežící s titánkou </w:t>
      </w:r>
      <w:r w:rsidRPr="081462B1">
        <w:t>Mnémosýné</w:t>
      </w:r>
      <w:r>
        <w:t xml:space="preserve"> celek smyslu jsoucna pro živé a mrtvé nemají rády falešnou mytopoetiku objektivních </w:t>
      </w:r>
      <w:r w:rsidRPr="080F3374">
        <w:rPr>
          <w:i/>
        </w:rPr>
        <w:t>Modernorum</w:t>
      </w:r>
      <w:r>
        <w:t xml:space="preserve">. Proto vedou takto obluzené smrtelníky staletou cestou epochální </w:t>
      </w:r>
      <w:r w:rsidRPr="08922063">
        <w:rPr>
          <w:i/>
        </w:rPr>
        <w:t>Irre</w:t>
      </w:r>
      <w:r>
        <w:rPr>
          <w:i/>
        </w:rPr>
        <w:fldChar w:fldCharType="begin"/>
      </w:r>
      <w:r>
        <w:instrText xml:space="preserve"> XE "</w:instrText>
      </w:r>
      <w:r w:rsidRPr="089C72BD">
        <w:rPr>
          <w:i/>
        </w:rPr>
        <w:instrText>Irre</w:instrText>
      </w:r>
      <w:r>
        <w:instrText xml:space="preserve">" </w:instrText>
      </w:r>
      <w:r>
        <w:rPr>
          <w:i/>
        </w:rPr>
        <w:fldChar w:fldCharType="end"/>
      </w:r>
      <w:r>
        <w:t xml:space="preserve"> pod vládou božské síly Apaté a objektivně vzdělaných Fúrií. Jsou ale myslitelé a básníci, které archaické Múzy mají rády v modu </w:t>
      </w:r>
      <w:r w:rsidRPr="086E2D7F">
        <w:rPr>
          <w:i/>
        </w:rPr>
        <w:t>a/létheia</w:t>
      </w:r>
      <w:r>
        <w:t xml:space="preserve"> stejně jako známé homérské věštce typu Nestóra, </w:t>
      </w:r>
      <w:r w:rsidRPr="08387F35">
        <w:rPr>
          <w:rStyle w:val="st"/>
          <w:bCs/>
        </w:rPr>
        <w:t>Teiresiás</w:t>
      </w:r>
      <w:r>
        <w:rPr>
          <w:rStyle w:val="st"/>
          <w:bCs/>
        </w:rPr>
        <w:t>e</w:t>
      </w:r>
      <w:r>
        <w:rPr>
          <w:rStyle w:val="st"/>
        </w:rPr>
        <w:t xml:space="preserve"> </w:t>
      </w:r>
      <w:r>
        <w:t xml:space="preserve">a Kalcháse. Tito smrtelníci chtějí existovat v původní archaické </w:t>
      </w:r>
      <w:r w:rsidRPr="08CD26DA">
        <w:rPr>
          <w:i/>
        </w:rPr>
        <w:t>alétheia</w:t>
      </w:r>
      <w:r>
        <w:t>, kde se dává jednota múzického bytí světa rozepjatého mezi živými a mrtvými v původ</w:t>
      </w:r>
      <w:r w:rsidR="00480E02">
        <w:t>ní jednotě dějinně daného bytí.</w:t>
      </w:r>
    </w:p>
    <w:p w:rsidR="08163013" w:rsidRPr="08FB24D9" w:rsidRDefault="00D53E26" w:rsidP="00D53E26">
      <w:pPr>
        <w:ind w:firstLine="397"/>
      </w:pPr>
      <w:r>
        <w:t xml:space="preserve">Výklad </w:t>
      </w:r>
      <w:r w:rsidRPr="00273106">
        <w:t>předešlých matric</w:t>
      </w:r>
      <w:r>
        <w:t xml:space="preserve"> ukázal</w:t>
      </w:r>
      <w:r w:rsidRPr="00D53E26">
        <w:t xml:space="preserve">, že </w:t>
      </w:r>
      <w:r w:rsidR="0056293F">
        <w:t xml:space="preserve">univoční </w:t>
      </w:r>
      <w:r w:rsidRPr="00D53E26">
        <w:t xml:space="preserve">jednota </w:t>
      </w:r>
      <w:r w:rsidR="0056293F">
        <w:t xml:space="preserve">jsoucna </w:t>
      </w:r>
      <w:r w:rsidR="0099644A">
        <w:t xml:space="preserve">vybudovaná </w:t>
      </w:r>
      <w:r w:rsidRPr="00D53E26">
        <w:t>podle Avicenny</w:t>
      </w:r>
      <w:r>
        <w:fldChar w:fldCharType="begin"/>
      </w:r>
      <w:r>
        <w:instrText xml:space="preserve"> XE "</w:instrText>
      </w:r>
      <w:r w:rsidRPr="0019071C">
        <w:instrText>predikace:univoční</w:instrText>
      </w:r>
      <w:r>
        <w:instrText xml:space="preserve">" </w:instrText>
      </w:r>
      <w:r>
        <w:fldChar w:fldCharType="end"/>
      </w:r>
      <w:r w:rsidRPr="00D53E26">
        <w:t xml:space="preserve"> je v rozporu s</w:t>
      </w:r>
      <w:r>
        <w:t xml:space="preserve"> původním cílem aristotelské metafyziky. </w:t>
      </w:r>
      <w:r w:rsidR="08163013">
        <w:t xml:space="preserve">Platon a Aristoteles a po nich Avicenna a Averroes podávají dva zcela odlišné náhledy na způsob, jak se jsoucno dává ve své jsoucnosti. Zatmění </w:t>
      </w:r>
      <w:r w:rsidR="00945556">
        <w:t xml:space="preserve">aktuálního </w:t>
      </w:r>
      <w:r w:rsidR="08163013">
        <w:t xml:space="preserve">jsoucna v </w:t>
      </w:r>
      <w:r w:rsidR="08163013" w:rsidRPr="00273106">
        <w:t>západní filosofii</w:t>
      </w:r>
      <w:r w:rsidR="08163013">
        <w:t xml:space="preserve"> zakládá metafyzickou </w:t>
      </w:r>
      <w:r w:rsidR="08163013" w:rsidRPr="00BF33CC">
        <w:rPr>
          <w:i/>
        </w:rPr>
        <w:t>obscurity</w:t>
      </w:r>
      <w:r w:rsidR="08163013">
        <w:rPr>
          <w:i/>
        </w:rPr>
        <w:fldChar w:fldCharType="begin"/>
      </w:r>
      <w:r w:rsidR="08163013">
        <w:instrText xml:space="preserve"> XE "</w:instrText>
      </w:r>
      <w:r w:rsidR="08163013" w:rsidRPr="000E608A">
        <w:instrText>zatmění:substance</w:instrText>
      </w:r>
      <w:r w:rsidR="08163013">
        <w:instrText xml:space="preserve">" </w:instrText>
      </w:r>
      <w:r w:rsidR="08163013">
        <w:rPr>
          <w:i/>
        </w:rPr>
        <w:fldChar w:fldCharType="end"/>
      </w:r>
      <w:r w:rsidR="08163013">
        <w:t xml:space="preserve"> jako postupné zatmění první substance</w:t>
      </w:r>
      <w:r w:rsidR="08163013" w:rsidRPr="00273106">
        <w:t xml:space="preserve"> </w:t>
      </w:r>
      <w:r w:rsidR="08163013">
        <w:t xml:space="preserve">dané od Porfyria a od Avicenny. Averroes tvrdí, že Avicennova spekulativní metafyzika začíná v temnotě teoretického rozumu odtrženého od reality první substance. </w:t>
      </w:r>
      <w:r w:rsidR="00A80437">
        <w:t>Nová metafyzická jednota</w:t>
      </w:r>
      <w:r w:rsidR="08163013" w:rsidRPr="00273106">
        <w:t xml:space="preserve"> jsoucna postaví po vzoru Avicenny bytí objektivního jsoucna </w:t>
      </w:r>
      <w:r w:rsidR="00A80437">
        <w:t>mimo reálné</w:t>
      </w:r>
      <w:r w:rsidR="08163013">
        <w:t xml:space="preserve"> </w:t>
      </w:r>
      <w:r w:rsidR="00A80437">
        <w:t>substance</w:t>
      </w:r>
      <w:r w:rsidR="08163013">
        <w:t xml:space="preserve">. Scotus </w:t>
      </w:r>
      <w:r w:rsidR="08163013" w:rsidRPr="00273106">
        <w:t>ukončí první fázi výstavby nové první vědy</w:t>
      </w:r>
      <w:r w:rsidR="00A80437">
        <w:t xml:space="preserve"> tímto způsobem</w:t>
      </w:r>
      <w:r w:rsidR="08163013" w:rsidRPr="00273106">
        <w:t xml:space="preserve">. </w:t>
      </w:r>
    </w:p>
    <w:p w:rsidR="08163013" w:rsidRDefault="08163013" w:rsidP="08163013">
      <w:pPr>
        <w:pStyle w:val="Citace"/>
      </w:pPr>
      <w:r w:rsidRPr="00273106">
        <w:rPr>
          <w:noProof/>
          <w:lang w:val="cs-CZ"/>
        </w:rPr>
        <w:t>„</w:t>
      </w:r>
      <w:r>
        <w:rPr>
          <w:noProof/>
          <w:lang w:val="cs-CZ"/>
        </w:rPr>
        <w:t>Substance má v sobě něco formálního, co není její formálně daná jsoucnost, ale způsob bytí jsoucího (</w:t>
      </w:r>
      <w:r w:rsidRPr="00282F4F">
        <w:rPr>
          <w:i/>
          <w:noProof/>
          <w:lang w:val="cs-CZ"/>
        </w:rPr>
        <w:t>sed modus entis</w:t>
      </w:r>
      <w:r>
        <w:rPr>
          <w:noProof/>
          <w:lang w:val="cs-CZ"/>
        </w:rPr>
        <w:t>). Kdyby tento způsob bytí byl formálním jsoucnem (</w:t>
      </w:r>
      <w:r w:rsidRPr="007347C7">
        <w:rPr>
          <w:i/>
        </w:rPr>
        <w:t>formaliter ens</w:t>
      </w:r>
      <w:r>
        <w:rPr>
          <w:noProof/>
          <w:lang w:val="cs-CZ"/>
        </w:rPr>
        <w:t xml:space="preserve">), pak by vzhledem k němu došlo k dalšímu dělení formy, aby se odlišila od této jinakovosti, což by šlo do nekonečna.“ </w:t>
      </w:r>
      <w:r>
        <w:rPr>
          <w:rStyle w:val="Znakapoznpodarou"/>
        </w:rPr>
        <w:footnoteReference w:id="449"/>
      </w:r>
    </w:p>
    <w:p w:rsidR="002463CD" w:rsidRDefault="08163013" w:rsidP="08163013">
      <w:r w:rsidRPr="00273106">
        <w:t>Nový výměr jsoucnos</w:t>
      </w:r>
      <w:r>
        <w:t xml:space="preserve">ti není dán primárně skrze </w:t>
      </w:r>
      <w:r w:rsidRPr="00273106">
        <w:t>kategoriální substanci</w:t>
      </w:r>
      <w:r>
        <w:t xml:space="preserve"> (</w:t>
      </w:r>
      <w:r w:rsidRPr="00273106">
        <w:rPr>
          <w:rStyle w:val="CitaceChar"/>
          <w:i/>
        </w:rPr>
        <w:t>non est formaliter entitas</w:t>
      </w:r>
      <w:r>
        <w:t>)</w:t>
      </w:r>
      <w:r w:rsidRPr="00273106">
        <w:t xml:space="preserve">, protože </w:t>
      </w:r>
      <w:r>
        <w:t xml:space="preserve">tento způsob univerzálního poznání je určen abstrakcí </w:t>
      </w:r>
      <w:r w:rsidRPr="00273106">
        <w:t>z kontigentní reality</w:t>
      </w:r>
      <w:r>
        <w:t xml:space="preserve"> (</w:t>
      </w:r>
      <w:r w:rsidRPr="007347C7">
        <w:rPr>
          <w:i/>
        </w:rPr>
        <w:t>formaliter ens</w:t>
      </w:r>
      <w:r>
        <w:t xml:space="preserve">). </w:t>
      </w:r>
      <w:r w:rsidRPr="00273106">
        <w:t xml:space="preserve">Na úrovni </w:t>
      </w:r>
      <w:r>
        <w:t xml:space="preserve">kategoriální </w:t>
      </w:r>
      <w:r w:rsidRPr="00273106">
        <w:t>druhé substance</w:t>
      </w:r>
      <w:r>
        <w:fldChar w:fldCharType="begin"/>
      </w:r>
      <w:r>
        <w:instrText xml:space="preserve"> XE "</w:instrText>
      </w:r>
      <w:r w:rsidRPr="00DE2A32">
        <w:instrText>substance</w:instrText>
      </w:r>
      <w:r>
        <w:instrText xml:space="preserve">:druhá" </w:instrText>
      </w:r>
      <w:r>
        <w:fldChar w:fldCharType="end"/>
      </w:r>
      <w:r w:rsidRPr="00273106">
        <w:t xml:space="preserve"> je podle Scota pořád možné </w:t>
      </w:r>
      <w:r w:rsidRPr="00273106">
        <w:rPr>
          <w:i/>
        </w:rPr>
        <w:t>resolutio</w:t>
      </w:r>
      <w:r>
        <w:t xml:space="preserve"> na jednodušší koncepty, protože člověk je dělitelný na druh a diferenci. Čistá</w:t>
      </w:r>
      <w:r w:rsidRPr="00273106">
        <w:t xml:space="preserve"> objektivní jsoucnost</w:t>
      </w:r>
      <w:r>
        <w:t xml:space="preserve"> vystupuje jako hypostázovaná forma (</w:t>
      </w:r>
      <w:r w:rsidRPr="0054060D">
        <w:rPr>
          <w:i/>
        </w:rPr>
        <w:t>aliquid formale</w:t>
      </w:r>
      <w:r>
        <w:t xml:space="preserve">), </w:t>
      </w:r>
      <w:r>
        <w:lastRenderedPageBreak/>
        <w:t xml:space="preserve">která je dána jako nový způsob bytí jsoucna </w:t>
      </w:r>
      <w:r w:rsidRPr="00273106">
        <w:t>(</w:t>
      </w:r>
      <w:r w:rsidRPr="00282F4F">
        <w:rPr>
          <w:i/>
        </w:rPr>
        <w:t>modus entis</w:t>
      </w:r>
      <w:r w:rsidRPr="00273106">
        <w:t xml:space="preserve">). </w:t>
      </w:r>
      <w:r>
        <w:t>Citát dokazuje, že nová metafyzika není slučitelná s Aristotelovým pojetím jednoty vztažené k reálné substanci. I</w:t>
      </w:r>
      <w:r w:rsidRPr="00273106">
        <w:t>dentita substance jako poslední jednoty by v sobě obsahovala ještě onen poslední rozdíl mezi sebou a mezi objektivně daným jsoucnem (</w:t>
      </w:r>
      <w:r w:rsidRPr="00273106">
        <w:rPr>
          <w:i/>
        </w:rPr>
        <w:t>conveniret in ente cum alia differentia</w:t>
      </w:r>
      <w:r w:rsidRPr="00273106">
        <w:t>). Tím by se jednota na úrovni kategoriální substance hledala do nekonečna (</w:t>
      </w:r>
      <w:r w:rsidRPr="00273106">
        <w:rPr>
          <w:i/>
        </w:rPr>
        <w:t>ultra in infinitum</w:t>
      </w:r>
      <w:r>
        <w:t xml:space="preserve">) </w:t>
      </w:r>
      <w:r w:rsidRPr="00273106">
        <w:t xml:space="preserve">podle námitky „třetího muže“ z dialogu </w:t>
      </w:r>
      <w:r w:rsidRPr="08D73CD7">
        <w:rPr>
          <w:i/>
        </w:rPr>
        <w:t>Parmenides</w:t>
      </w:r>
      <w:r w:rsidRPr="00273106">
        <w:t xml:space="preserve"> a z </w:t>
      </w:r>
      <w:r w:rsidRPr="08D73CD7">
        <w:rPr>
          <w:i/>
        </w:rPr>
        <w:t>Metafyziky</w:t>
      </w:r>
      <w:r w:rsidRPr="00273106">
        <w:t xml:space="preserve">. </w:t>
      </w:r>
      <w:r>
        <w:t>Scotova námitka proti klasické kategoriální predikace zní, že abstrahovaná univerzální esence-forma není dostatečně jednoduchá, protože nemá původní f</w:t>
      </w:r>
      <w:r w:rsidR="004D70CA">
        <w:t xml:space="preserve">ormu objektivní jsoucnosti danou skrze dedukci </w:t>
      </w:r>
      <w:r>
        <w:t>od konceptu nekonečného jsoucna. První věda vznikne objektivní dedukcí a přímým náhledem na poslední atomární substanci</w:t>
      </w:r>
      <w:r w:rsidR="00E94ABC">
        <w:t xml:space="preserve">. Tato simliciter daná atomární substance obsahuje </w:t>
      </w:r>
      <w:r>
        <w:t>poslední</w:t>
      </w:r>
      <w:r w:rsidR="00E94ABC">
        <w:t xml:space="preserve"> (tj. objektivní) </w:t>
      </w:r>
      <w:r>
        <w:t xml:space="preserve">úroveň jednoty jsoucna před čistým nebytím. </w:t>
      </w:r>
      <w:r w:rsidRPr="00273106">
        <w:t>První náhled jsoucna v jeho primární jednotě je daný na úrovni čisté jsoucnosti (</w:t>
      </w:r>
      <w:r w:rsidRPr="00273106">
        <w:rPr>
          <w:i/>
        </w:rPr>
        <w:t>formaliter entitas</w:t>
      </w:r>
      <w:r w:rsidRPr="00273106">
        <w:t>), což odpovídá pohledu na jsoucno dané</w:t>
      </w:r>
      <w:r>
        <w:t xml:space="preserve"> v modu </w:t>
      </w:r>
      <w:r w:rsidRPr="00D7307E">
        <w:rPr>
          <w:i/>
        </w:rPr>
        <w:t>inquantum ens</w:t>
      </w:r>
      <w:r w:rsidRPr="00273106">
        <w:t xml:space="preserve">. Proti tomuto primárnímu pohledu </w:t>
      </w:r>
      <w:r>
        <w:t>na objek</w:t>
      </w:r>
      <w:r w:rsidRPr="00273106">
        <w:t xml:space="preserve">tivně dané jsoucno stojí </w:t>
      </w:r>
      <w:r>
        <w:t>aristotelské jsoucno</w:t>
      </w:r>
      <w:r w:rsidRPr="00273106">
        <w:t xml:space="preserve"> determinované v rámci kategoriální predikace</w:t>
      </w:r>
      <w:r w:rsidR="004E3F68">
        <w:t xml:space="preserve"> </w:t>
      </w:r>
      <w:r w:rsidR="004E3F68">
        <w:rPr>
          <w:szCs w:val="24"/>
          <w:lang w:val="de-DE"/>
        </w:rPr>
        <w:t>(</w:t>
      </w:r>
      <w:r w:rsidR="004E3F68" w:rsidRPr="0011627C">
        <w:rPr>
          <w:i/>
        </w:rPr>
        <w:t>formaliter ens</w:t>
      </w:r>
      <w:r w:rsidR="004E3F68">
        <w:rPr>
          <w:szCs w:val="24"/>
          <w:lang w:val="de-DE"/>
        </w:rPr>
        <w:t>)</w:t>
      </w:r>
      <w:r w:rsidRPr="00273106">
        <w:t xml:space="preserve">. Jednoduchost původně daná v reálné věci nyní přišla výhradně do božského a do lidského subjektu. </w:t>
      </w:r>
      <w:r w:rsidR="00FF4811">
        <w:t>A navíc opačně platí, že reálná věc (</w:t>
      </w:r>
      <w:r w:rsidR="00FF4811" w:rsidRPr="00FF4811">
        <w:rPr>
          <w:i/>
        </w:rPr>
        <w:t>confusum</w:t>
      </w:r>
      <w:r w:rsidR="00FF4811">
        <w:t>) je poznána nejasně (</w:t>
      </w:r>
      <w:r w:rsidR="00FF4811" w:rsidRPr="00FF4811">
        <w:rPr>
          <w:i/>
        </w:rPr>
        <w:t>confuse</w:t>
      </w:r>
      <w:r w:rsidR="00FF4811">
        <w:t xml:space="preserve">). </w:t>
      </w:r>
      <w:r>
        <w:t xml:space="preserve">Tento druh </w:t>
      </w:r>
      <w:r w:rsidRPr="00586756">
        <w:rPr>
          <w:i/>
        </w:rPr>
        <w:t>resolutio</w:t>
      </w:r>
      <w:r>
        <w:t xml:space="preserve"> </w:t>
      </w:r>
      <w:r>
        <w:rPr>
          <w:i/>
        </w:rPr>
        <w:fldChar w:fldCharType="begin"/>
      </w:r>
      <w:r>
        <w:instrText xml:space="preserve"> XE "</w:instrText>
      </w:r>
      <w:r w:rsidRPr="00111E9E">
        <w:rPr>
          <w:i/>
        </w:rPr>
        <w:instrText>resolutio</w:instrText>
      </w:r>
      <w:r>
        <w:rPr>
          <w:i/>
        </w:rPr>
        <w:instrText>:</w:instrText>
      </w:r>
      <w:r w:rsidRPr="007D3515">
        <w:instrText>Scotus</w:instrText>
      </w:r>
      <w:r>
        <w:instrText xml:space="preserve">" </w:instrText>
      </w:r>
      <w:r>
        <w:rPr>
          <w:i/>
        </w:rPr>
        <w:fldChar w:fldCharType="end"/>
      </w:r>
      <w:r>
        <w:t>Aristoteles</w:t>
      </w:r>
      <w:r w:rsidRPr="00273106">
        <w:t xml:space="preserve"> </w:t>
      </w:r>
      <w:r>
        <w:t xml:space="preserve">pro metafyziku zásadně odmítl, což po něm zopakovali vrcholní zástupci prvního averroismu na Rue du Fouarre poukazem na chybný koncept Avicennovy metafyziky. První věda musí podle aristoteliků hledat reálnou, a ne abstraktní jednotu jsoucna. Scotus dává jednotu mimo realitu a mimo kategoriální predikaci první a druhé substance, což ukázaly předešlé části metafyzické dedukce dané pro jsoucno v modu </w:t>
      </w:r>
      <w:r w:rsidRPr="00586756">
        <w:rPr>
          <w:i/>
        </w:rPr>
        <w:t>simplex</w:t>
      </w:r>
      <w:r w:rsidR="002463CD">
        <w:t>.</w:t>
      </w:r>
    </w:p>
    <w:p w:rsidR="002E390A" w:rsidRDefault="08163013" w:rsidP="008A48F0">
      <w:pPr>
        <w:ind w:firstLine="397"/>
        <w:rPr>
          <w:szCs w:val="24"/>
        </w:rPr>
      </w:pPr>
      <w:r w:rsidRPr="00273106">
        <w:t xml:space="preserve">Shrňme </w:t>
      </w:r>
      <w:r>
        <w:t xml:space="preserve">první metafyzickou dedukci v </w:t>
      </w:r>
      <w:r w:rsidR="008C2D4A" w:rsidRPr="008C2D4A">
        <w:rPr>
          <w:i/>
        </w:rPr>
        <w:t>Lectura I</w:t>
      </w:r>
      <w:r>
        <w:t xml:space="preserve"> </w:t>
      </w:r>
      <w:r w:rsidRPr="00273106">
        <w:t>na příkladu běloby</w:t>
      </w:r>
      <w:r>
        <w:fldChar w:fldCharType="begin"/>
      </w:r>
      <w:r>
        <w:instrText xml:space="preserve"> XE "</w:instrText>
      </w:r>
      <w:r w:rsidRPr="08AC217A">
        <w:instrText>predikace:běloba</w:instrText>
      </w:r>
      <w:r>
        <w:instrText xml:space="preserve">" </w:instrText>
      </w:r>
      <w:r>
        <w:fldChar w:fldCharType="end"/>
      </w:r>
      <w:r>
        <w:t xml:space="preserve">, kde je možné vidět všechny tři </w:t>
      </w:r>
      <w:r w:rsidRPr="00273106">
        <w:t>výměry jsoucna (</w:t>
      </w:r>
      <w:r w:rsidRPr="00273106">
        <w:rPr>
          <w:i/>
        </w:rPr>
        <w:t>ratio entis</w:t>
      </w:r>
      <w:r w:rsidRPr="00273106">
        <w:t xml:space="preserve">). První forma je dána na úrovni </w:t>
      </w:r>
      <w:r>
        <w:t>kategoriální predikace dané vzhledem k jedinečnému bytí hylemorfické substance</w:t>
      </w:r>
      <w:r w:rsidR="002D4CE6">
        <w:t xml:space="preserve">. Skrze impozici </w:t>
      </w:r>
      <w:r w:rsidRPr="00273106">
        <w:t xml:space="preserve">se </w:t>
      </w:r>
      <w:r>
        <w:t xml:space="preserve">predikuje </w:t>
      </w:r>
      <w:r w:rsidRPr="00273106">
        <w:t>běloba</w:t>
      </w:r>
      <w:r>
        <w:fldChar w:fldCharType="begin"/>
      </w:r>
      <w:r>
        <w:instrText xml:space="preserve"> XE "</w:instrText>
      </w:r>
      <w:r w:rsidRPr="00C0177F">
        <w:instrText>predikace:běloba</w:instrText>
      </w:r>
      <w:r>
        <w:instrText xml:space="preserve">" </w:instrText>
      </w:r>
      <w:r>
        <w:fldChar w:fldCharType="end"/>
      </w:r>
      <w:r w:rsidRPr="00273106">
        <w:t xml:space="preserve"> jako </w:t>
      </w:r>
      <w:r>
        <w:t xml:space="preserve">univerzální </w:t>
      </w:r>
      <w:r w:rsidRPr="00273106">
        <w:t>akcident</w:t>
      </w:r>
      <w:r>
        <w:t xml:space="preserve"> </w:t>
      </w:r>
      <w:r w:rsidR="00315631">
        <w:t xml:space="preserve">druhé substance </w:t>
      </w:r>
      <w:r>
        <w:t>(„běloba predikovaná vzhledem k tomuto hyparchickému reálnému autu</w:t>
      </w:r>
      <w:r w:rsidRPr="00273106">
        <w:t>“)</w:t>
      </w:r>
      <w:r>
        <w:t xml:space="preserve">. První kapitola ukázala, že Scotův komentář </w:t>
      </w:r>
      <w:r w:rsidRPr="089C1DEB">
        <w:rPr>
          <w:i/>
        </w:rPr>
        <w:t>Kategorií</w:t>
      </w:r>
      <w:r>
        <w:t xml:space="preserve"> už nerozlišuje mezi bytím první a druhé substance daným na metafyzické úrovni abstrakce</w:t>
      </w:r>
      <w:r w:rsidRPr="00273106">
        <w:t xml:space="preserve">. Druhá forma </w:t>
      </w:r>
      <w:r>
        <w:t xml:space="preserve">resoluce </w:t>
      </w:r>
      <w:r w:rsidR="006D57C5">
        <w:t xml:space="preserve">defomovala </w:t>
      </w:r>
      <w:r>
        <w:t xml:space="preserve">aristotelskou </w:t>
      </w:r>
      <w:r w:rsidRPr="00273106">
        <w:t>abstrakc</w:t>
      </w:r>
      <w:r>
        <w:t>i</w:t>
      </w:r>
      <w:r w:rsidR="006D57C5">
        <w:t xml:space="preserve"> a určila</w:t>
      </w:r>
      <w:r w:rsidRPr="00273106">
        <w:t xml:space="preserve"> esenci běloby jako </w:t>
      </w:r>
      <w:r>
        <w:t xml:space="preserve">porretánský a avicennovský </w:t>
      </w:r>
      <w:r w:rsidRPr="00273106">
        <w:t xml:space="preserve">akcident </w:t>
      </w:r>
      <w:r w:rsidRPr="00273106">
        <w:rPr>
          <w:i/>
        </w:rPr>
        <w:t>per se</w:t>
      </w:r>
      <w:r w:rsidRPr="00273106">
        <w:t xml:space="preserve">, který </w:t>
      </w:r>
      <w:r>
        <w:t xml:space="preserve">funguje jako univerzální hypostázovaná </w:t>
      </w:r>
      <w:r>
        <w:lastRenderedPageBreak/>
        <w:t xml:space="preserve">esence. Vztah běloby-esence k reálnému bílému autu je dán podle Avicennovy denudace </w:t>
      </w:r>
      <w:r w:rsidR="000E3620">
        <w:t xml:space="preserve">a komitace </w:t>
      </w:r>
      <w:r w:rsidRPr="00273106">
        <w:t>(„</w:t>
      </w:r>
      <w:r>
        <w:t>esence běloby abstrahovaná</w:t>
      </w:r>
      <w:r w:rsidR="00457443">
        <w:t xml:space="preserve"> </w:t>
      </w:r>
      <w:r w:rsidR="00F8732B">
        <w:t xml:space="preserve">skrze denudaci </w:t>
      </w:r>
      <w:r w:rsidR="00457443">
        <w:t xml:space="preserve">nebo </w:t>
      </w:r>
      <w:r w:rsidR="0062665F">
        <w:t xml:space="preserve">predikovaná </w:t>
      </w:r>
      <w:r w:rsidR="00F8732B">
        <w:t xml:space="preserve">skrze </w:t>
      </w:r>
      <w:r w:rsidR="0062665F">
        <w:t xml:space="preserve">komitaci </w:t>
      </w:r>
      <w:r>
        <w:t xml:space="preserve">vzhledem k </w:t>
      </w:r>
      <w:r w:rsidRPr="00273106">
        <w:t xml:space="preserve">tomuto autu“). Třetí </w:t>
      </w:r>
      <w:r>
        <w:t xml:space="preserve">výměr jsoucna </w:t>
      </w:r>
      <w:r w:rsidRPr="00273106">
        <w:t xml:space="preserve">vezme bytí běloby v její exemplární a </w:t>
      </w:r>
      <w:r w:rsidR="00095A13">
        <w:t xml:space="preserve">jednoduché </w:t>
      </w:r>
      <w:r w:rsidRPr="00273106">
        <w:t xml:space="preserve">objektivitě. </w:t>
      </w:r>
      <w:r>
        <w:t xml:space="preserve">Tato </w:t>
      </w:r>
      <w:r w:rsidRPr="00273106">
        <w:t xml:space="preserve">identita běloby </w:t>
      </w:r>
      <w:r>
        <w:t xml:space="preserve">je dána </w:t>
      </w:r>
      <w:r w:rsidRPr="00273106">
        <w:t>na poslední</w:t>
      </w:r>
      <w:r>
        <w:t xml:space="preserve">, tedy minimální </w:t>
      </w:r>
      <w:r w:rsidRPr="00273106">
        <w:t>úrovni</w:t>
      </w:r>
      <w:r>
        <w:t xml:space="preserve"> její jsoucnosti</w:t>
      </w:r>
      <w:r w:rsidRPr="00273106">
        <w:t xml:space="preserve">, kde ještě existuje její </w:t>
      </w:r>
      <w:r>
        <w:t xml:space="preserve">určení </w:t>
      </w:r>
      <w:r w:rsidRPr="00273106">
        <w:t xml:space="preserve">ve smyslu </w:t>
      </w:r>
      <w:r>
        <w:t xml:space="preserve">objektivního individua jako </w:t>
      </w:r>
      <w:r w:rsidRPr="00273106">
        <w:t xml:space="preserve">„něčeho </w:t>
      </w:r>
      <w:r>
        <w:t xml:space="preserve">určitého“ poprvé odděleného od původního konceptu neomezené jsoucnosti („objektivní bytí běloby jako původní substance dané </w:t>
      </w:r>
      <w:r w:rsidRPr="08365B67">
        <w:rPr>
          <w:i/>
        </w:rPr>
        <w:t>per se</w:t>
      </w:r>
      <w:r>
        <w:rPr>
          <w:i/>
        </w:rPr>
        <w:t xml:space="preserve"> </w:t>
      </w:r>
      <w:r>
        <w:t>skrze minimální jsoucnost běloby</w:t>
      </w:r>
      <w:r w:rsidR="0046677A">
        <w:t xml:space="preserve"> dané jako objektivní substance</w:t>
      </w:r>
      <w:r>
        <w:t>“)</w:t>
      </w:r>
      <w:r w:rsidRPr="00273106">
        <w:t xml:space="preserve">. </w:t>
      </w:r>
      <w:r w:rsidR="0022472B">
        <w:t xml:space="preserve">Tady už žádné auto není třeba. </w:t>
      </w:r>
      <w:r w:rsidRPr="00273106">
        <w:t>Tento koncept běloby je objektivní a univoční pro boha i pro člověka</w:t>
      </w:r>
      <w:r>
        <w:t>, protože určuje první atomární substanci vybavenou minimálním bytím a minimálním výměrem</w:t>
      </w:r>
      <w:r w:rsidRPr="00273106">
        <w:t xml:space="preserve">. </w:t>
      </w:r>
      <w:r w:rsidR="008824AF">
        <w:t xml:space="preserve">Bůh myslí tuto bělobu na nekonečný způsob, člověk na konečný způsob. </w:t>
      </w:r>
      <w:r w:rsidRPr="00273106">
        <w:t xml:space="preserve">Rozdíl tkví pouze v modu </w:t>
      </w:r>
      <w:r>
        <w:t xml:space="preserve">poznání </w:t>
      </w:r>
      <w:r w:rsidRPr="00273106">
        <w:t>této univoční objek</w:t>
      </w:r>
      <w:r>
        <w:t xml:space="preserve">tivity, protože sama o sobě neexistuje, je to čistá potence. Směrem od boha </w:t>
      </w:r>
      <w:r w:rsidRPr="00273106">
        <w:t xml:space="preserve">je </w:t>
      </w:r>
      <w:r>
        <w:t xml:space="preserve">objektivní </w:t>
      </w:r>
      <w:r w:rsidRPr="081C7050">
        <w:rPr>
          <w:i/>
        </w:rPr>
        <w:t>ratio</w:t>
      </w:r>
      <w:r>
        <w:t xml:space="preserve"> běloby dáno</w:t>
      </w:r>
      <w:r w:rsidRPr="00273106">
        <w:t xml:space="preserve"> v nekonečném modu, lidská m</w:t>
      </w:r>
      <w:r>
        <w:t xml:space="preserve">ysl ho </w:t>
      </w:r>
      <w:r w:rsidRPr="00273106">
        <w:t>poznává v konečném modu.</w:t>
      </w:r>
      <w:r>
        <w:t xml:space="preserve"> Tyto </w:t>
      </w:r>
      <w:r w:rsidR="00E36C87">
        <w:t>tři způsoby bytí běloby (</w:t>
      </w:r>
      <w:r>
        <w:t xml:space="preserve">kategoriální, esenciální, objektivní) podávají celek dedukce směrem od objektivního božího jsoucna do reality. Nebo naopak pozorují realitu v náhledu esenciální denudace (Avicenna) a objektivního náhledu (Scotus). Pak se objektivní jsoucnost manifestuje skrze reálné jsoucno. Scotus vytvořil verzi objektivního aristotelského exemplarismu a tím zrušil druhý averroismus Henryho z </w:t>
      </w:r>
      <w:proofErr w:type="gramStart"/>
      <w:r>
        <w:t>Gentu</w:t>
      </w:r>
      <w:proofErr w:type="gramEnd"/>
      <w:r>
        <w:t xml:space="preserve">. </w:t>
      </w:r>
      <w:r w:rsidR="00350C93">
        <w:t xml:space="preserve">Podle Scotovy verze </w:t>
      </w:r>
      <w:r w:rsidR="00350C93" w:rsidRPr="00181EC7">
        <w:rPr>
          <w:i/>
        </w:rPr>
        <w:t>dativus incommodi</w:t>
      </w:r>
      <w:r w:rsidR="00350C93">
        <w:rPr>
          <w:i/>
        </w:rPr>
        <w:fldChar w:fldCharType="begin"/>
      </w:r>
      <w:r w:rsidR="00350C93">
        <w:instrText xml:space="preserve"> XE "</w:instrText>
      </w:r>
      <w:r w:rsidR="00350C93" w:rsidRPr="00E91F86">
        <w:rPr>
          <w:i/>
        </w:rPr>
        <w:instrText>dativus incommodi</w:instrText>
      </w:r>
      <w:r w:rsidR="00350C93">
        <w:instrText xml:space="preserve">" </w:instrText>
      </w:r>
      <w:r w:rsidR="00350C93">
        <w:rPr>
          <w:i/>
        </w:rPr>
        <w:fldChar w:fldCharType="end"/>
      </w:r>
      <w:r w:rsidR="00350C93">
        <w:t xml:space="preserve"> mají a</w:t>
      </w:r>
      <w:r w:rsidRPr="00273106">
        <w:t xml:space="preserve">ristotelikové prvního averroismu pravdu proti iluminátům z druhého averroismu, protože </w:t>
      </w:r>
      <w:r w:rsidR="00350C93" w:rsidRPr="00273106">
        <w:t>k poznání pravdy</w:t>
      </w:r>
      <w:r w:rsidR="00350C93">
        <w:t xml:space="preserve"> není třeba nadpřirozených entit</w:t>
      </w:r>
      <w:r w:rsidRPr="00273106">
        <w:t xml:space="preserve">. </w:t>
      </w:r>
      <w:r w:rsidR="002A126A" w:rsidRPr="089B18DE">
        <w:t xml:space="preserve">Tím zanikla </w:t>
      </w:r>
      <w:r w:rsidR="002A126A">
        <w:t xml:space="preserve">potřeba </w:t>
      </w:r>
      <w:r w:rsidR="002A126A" w:rsidRPr="089B18DE">
        <w:t xml:space="preserve">emanace </w:t>
      </w:r>
      <w:r w:rsidR="002A126A">
        <w:t xml:space="preserve">a komitace daná </w:t>
      </w:r>
      <w:r w:rsidR="002A126A" w:rsidRPr="089B18DE">
        <w:t>v</w:t>
      </w:r>
      <w:r w:rsidR="002A126A">
        <w:t xml:space="preserve"> avicennovském </w:t>
      </w:r>
      <w:r w:rsidR="002A126A" w:rsidRPr="089B18DE">
        <w:t xml:space="preserve">modu </w:t>
      </w:r>
      <w:r w:rsidR="002A126A">
        <w:t>„</w:t>
      </w:r>
      <w:r w:rsidR="002A126A" w:rsidRPr="00273106">
        <w:rPr>
          <w:i/>
        </w:rPr>
        <w:t>esse ad</w:t>
      </w:r>
      <w:r w:rsidR="002A126A">
        <w:t>“</w:t>
      </w:r>
      <w:r w:rsidR="002A126A">
        <w:rPr>
          <w:i/>
        </w:rPr>
        <w:fldChar w:fldCharType="begin"/>
      </w:r>
      <w:r w:rsidR="002A126A">
        <w:instrText xml:space="preserve"> XE "</w:instrText>
      </w:r>
      <w:r w:rsidR="002A126A" w:rsidRPr="008F3381">
        <w:rPr>
          <w:i/>
        </w:rPr>
        <w:instrText>esse ad:</w:instrText>
      </w:r>
      <w:r w:rsidR="002A126A" w:rsidRPr="00F84A7A">
        <w:instrText>Gandavus</w:instrText>
      </w:r>
      <w:r w:rsidR="002A126A">
        <w:instrText xml:space="preserve">" </w:instrText>
      </w:r>
      <w:r w:rsidR="002A126A">
        <w:rPr>
          <w:i/>
        </w:rPr>
        <w:fldChar w:fldCharType="end"/>
      </w:r>
      <w:r w:rsidR="002A126A">
        <w:t xml:space="preserve">, kterou </w:t>
      </w:r>
      <w:r w:rsidR="002A126A" w:rsidRPr="00273106">
        <w:t xml:space="preserve">měl Henry z </w:t>
      </w:r>
      <w:proofErr w:type="gramStart"/>
      <w:r w:rsidR="002A126A" w:rsidRPr="00273106">
        <w:t>Gentu</w:t>
      </w:r>
      <w:proofErr w:type="gramEnd"/>
      <w:r w:rsidR="002A126A" w:rsidRPr="00273106">
        <w:t xml:space="preserve">. </w:t>
      </w:r>
      <w:r w:rsidRPr="00273106">
        <w:t>Ostrůvek ex</w:t>
      </w:r>
      <w:r>
        <w:t xml:space="preserve">emplární přirozenosti </w:t>
      </w:r>
      <w:r w:rsidR="000938DD">
        <w:t xml:space="preserve">existuje </w:t>
      </w:r>
      <w:r>
        <w:t xml:space="preserve">v </w:t>
      </w:r>
      <w:r w:rsidRPr="00273106">
        <w:t>autonomně dané</w:t>
      </w:r>
      <w:r w:rsidR="000938DD">
        <w:t xml:space="preserve"> </w:t>
      </w:r>
      <w:r w:rsidR="00C03EED">
        <w:t xml:space="preserve">boží </w:t>
      </w:r>
      <w:r w:rsidR="000938DD">
        <w:t xml:space="preserve">racionalitě a jsoucnosti; ty představují univerální a univoční vzor </w:t>
      </w:r>
      <w:r>
        <w:t xml:space="preserve">boží mysli </w:t>
      </w:r>
      <w:r w:rsidR="000938DD">
        <w:t>ve světě</w:t>
      </w:r>
      <w:r>
        <w:t xml:space="preserve">. </w:t>
      </w:r>
      <w:r w:rsidR="000938DD">
        <w:t xml:space="preserve">Objektivista </w:t>
      </w:r>
      <w:r>
        <w:t xml:space="preserve">nazírá </w:t>
      </w:r>
      <w:r w:rsidR="000938DD">
        <w:t xml:space="preserve">tuto racionalitu </w:t>
      </w:r>
      <w:r>
        <w:t xml:space="preserve">skrze konečné bytí jsoucna </w:t>
      </w:r>
      <w:r w:rsidR="000938DD">
        <w:t>určené v modu objektivní kauzality. Může si to dovolit tot</w:t>
      </w:r>
      <w:r w:rsidR="00C03EED">
        <w:t>o</w:t>
      </w:r>
      <w:r w:rsidR="000938DD">
        <w:t xml:space="preserve"> nadpřirozené vidění objeitivního diakosmu, protože jeho mysl má stejný habitus jako myšlení moderního boha. </w:t>
      </w:r>
      <w:r w:rsidR="00A61310">
        <w:rPr>
          <w:szCs w:val="24"/>
        </w:rPr>
        <w:t xml:space="preserve">Tento typ </w:t>
      </w:r>
      <w:r w:rsidR="00A61310" w:rsidRPr="00B95C8A">
        <w:rPr>
          <w:szCs w:val="24"/>
        </w:rPr>
        <w:t>ontot</w:t>
      </w:r>
      <w:r w:rsidR="00A61310">
        <w:rPr>
          <w:szCs w:val="24"/>
        </w:rPr>
        <w:t>eologické výměny</w:t>
      </w:r>
      <w:r w:rsidR="00A61310" w:rsidRPr="00B95C8A">
        <w:rPr>
          <w:szCs w:val="24"/>
        </w:rPr>
        <w:t xml:space="preserve"> (</w:t>
      </w:r>
      <w:r w:rsidR="00A61310" w:rsidRPr="00A61310">
        <w:rPr>
          <w:i/>
          <w:szCs w:val="24"/>
        </w:rPr>
        <w:t>Ge-Stell</w:t>
      </w:r>
      <w:r w:rsidR="00A61310" w:rsidRPr="00A61310">
        <w:rPr>
          <w:i/>
          <w:szCs w:val="24"/>
        </w:rPr>
        <w:fldChar w:fldCharType="begin"/>
      </w:r>
      <w:r w:rsidR="00A61310" w:rsidRPr="00A61310">
        <w:rPr>
          <w:i/>
        </w:rPr>
        <w:instrText xml:space="preserve"> XE "</w:instrText>
      </w:r>
      <w:r w:rsidR="00A61310" w:rsidRPr="00A61310">
        <w:rPr>
          <w:i/>
          <w:szCs w:val="24"/>
        </w:rPr>
        <w:instrText>Ge-Stell</w:instrText>
      </w:r>
      <w:r w:rsidR="00A61310" w:rsidRPr="00A61310">
        <w:rPr>
          <w:i/>
        </w:rPr>
        <w:instrText xml:space="preserve">" </w:instrText>
      </w:r>
      <w:r w:rsidR="00A61310" w:rsidRPr="00A61310">
        <w:rPr>
          <w:i/>
          <w:szCs w:val="24"/>
        </w:rPr>
        <w:fldChar w:fldCharType="end"/>
      </w:r>
      <w:r w:rsidR="00A61310" w:rsidRPr="00B95C8A">
        <w:rPr>
          <w:szCs w:val="24"/>
        </w:rPr>
        <w:t xml:space="preserve">) </w:t>
      </w:r>
      <w:r w:rsidR="00A61310">
        <w:rPr>
          <w:szCs w:val="24"/>
        </w:rPr>
        <w:t xml:space="preserve">má démonickou povahu; </w:t>
      </w:r>
      <w:r w:rsidR="008A48F0">
        <w:rPr>
          <w:szCs w:val="24"/>
        </w:rPr>
        <w:t xml:space="preserve">nový </w:t>
      </w:r>
      <w:r w:rsidR="00A61310" w:rsidRPr="00B95C8A">
        <w:rPr>
          <w:i/>
          <w:szCs w:val="24"/>
        </w:rPr>
        <w:t>dativus possessivus</w:t>
      </w:r>
      <w:r w:rsidR="00A61310">
        <w:rPr>
          <w:i/>
          <w:szCs w:val="24"/>
        </w:rPr>
        <w:fldChar w:fldCharType="begin"/>
      </w:r>
      <w:r w:rsidR="00A61310">
        <w:instrText xml:space="preserve"> XE "</w:instrText>
      </w:r>
      <w:r w:rsidR="00A61310" w:rsidRPr="00277AF1">
        <w:rPr>
          <w:i/>
          <w:szCs w:val="24"/>
        </w:rPr>
        <w:instrText>dativus possessivus</w:instrText>
      </w:r>
      <w:r w:rsidR="00A61310">
        <w:instrText xml:space="preserve">" </w:instrText>
      </w:r>
      <w:r w:rsidR="00A61310">
        <w:rPr>
          <w:i/>
          <w:szCs w:val="24"/>
        </w:rPr>
        <w:fldChar w:fldCharType="end"/>
      </w:r>
      <w:r w:rsidR="008A48F0">
        <w:rPr>
          <w:szCs w:val="24"/>
        </w:rPr>
        <w:t xml:space="preserve">, </w:t>
      </w:r>
      <w:r w:rsidR="00A61310">
        <w:rPr>
          <w:szCs w:val="24"/>
        </w:rPr>
        <w:t xml:space="preserve">na kterém tato výměna spočívá, je plně mytologický </w:t>
      </w:r>
      <w:r w:rsidR="00A61310" w:rsidRPr="00B95C8A">
        <w:rPr>
          <w:szCs w:val="24"/>
        </w:rPr>
        <w:t>(</w:t>
      </w:r>
      <w:r w:rsidR="00A61310" w:rsidRPr="00B95C8A">
        <w:rPr>
          <w:i/>
          <w:szCs w:val="24"/>
        </w:rPr>
        <w:t>possessio</w:t>
      </w:r>
      <w:r w:rsidR="00A61310" w:rsidRPr="00B95C8A">
        <w:rPr>
          <w:szCs w:val="24"/>
        </w:rPr>
        <w:t xml:space="preserve">). </w:t>
      </w:r>
      <w:r w:rsidR="00A61310">
        <w:rPr>
          <w:szCs w:val="24"/>
        </w:rPr>
        <w:t xml:space="preserve">Proto také moderna úplně změnila status čarodějnických procesů od 14. století </w:t>
      </w:r>
      <w:r w:rsidR="008A48F0">
        <w:rPr>
          <w:szCs w:val="24"/>
        </w:rPr>
        <w:t>(Kap. 5.5).</w:t>
      </w:r>
    </w:p>
    <w:p w:rsidR="08163013" w:rsidRDefault="000938DD" w:rsidP="00B61317">
      <w:pPr>
        <w:ind w:firstLine="397"/>
      </w:pPr>
      <w:r>
        <w:t xml:space="preserve">Něco jiného je </w:t>
      </w:r>
      <w:r w:rsidR="00CE09A5">
        <w:t xml:space="preserve">reálná </w:t>
      </w:r>
      <w:r>
        <w:t xml:space="preserve">kauzalita daná demiurgickou </w:t>
      </w:r>
      <w:r w:rsidR="00FC69EE">
        <w:t xml:space="preserve">vůlí, která tvoří věci. </w:t>
      </w:r>
      <w:r w:rsidR="08163013" w:rsidRPr="00273106">
        <w:t xml:space="preserve">Nové univoční jsoucno je dáno </w:t>
      </w:r>
      <w:r w:rsidR="08163013" w:rsidRPr="00273106">
        <w:rPr>
          <w:i/>
        </w:rPr>
        <w:t>per se</w:t>
      </w:r>
      <w:r w:rsidR="08163013">
        <w:rPr>
          <w:i/>
        </w:rPr>
        <w:t xml:space="preserve"> </w:t>
      </w:r>
      <w:r w:rsidR="08163013" w:rsidRPr="086038EE">
        <w:t xml:space="preserve">v </w:t>
      </w:r>
      <w:r w:rsidR="08163013">
        <w:t xml:space="preserve">objektivním </w:t>
      </w:r>
      <w:r w:rsidR="08163013" w:rsidRPr="086038EE">
        <w:t>modu</w:t>
      </w:r>
      <w:r w:rsidR="08163013">
        <w:rPr>
          <w:i/>
        </w:rPr>
        <w:t xml:space="preserve"> </w:t>
      </w:r>
      <w:r w:rsidR="00FC69EE">
        <w:t>„</w:t>
      </w:r>
      <w:r w:rsidR="08163013">
        <w:rPr>
          <w:i/>
        </w:rPr>
        <w:t>esse in</w:t>
      </w:r>
      <w:r w:rsidR="00FC69EE">
        <w:t>“</w:t>
      </w:r>
      <w:r w:rsidR="08163013" w:rsidRPr="089B18DE">
        <w:t xml:space="preserve">, protože je </w:t>
      </w:r>
      <w:r w:rsidR="00085B43">
        <w:t>moderní „</w:t>
      </w:r>
      <w:r w:rsidR="08163013" w:rsidRPr="089B18DE">
        <w:t>substancí</w:t>
      </w:r>
      <w:r w:rsidR="00FC69EE">
        <w:t xml:space="preserve">“. </w:t>
      </w:r>
      <w:r w:rsidR="08163013">
        <w:t xml:space="preserve">Nově </w:t>
      </w:r>
      <w:r w:rsidR="08163013">
        <w:lastRenderedPageBreak/>
        <w:t>myšlené jsoucno je objektivně-reálné</w:t>
      </w:r>
      <w:r w:rsidR="08163013" w:rsidRPr="00273106">
        <w:t xml:space="preserve"> ve smyslu </w:t>
      </w:r>
      <w:r w:rsidR="08163013">
        <w:t xml:space="preserve">subsistentního </w:t>
      </w:r>
      <w:r w:rsidR="08163013" w:rsidRPr="00273106">
        <w:rPr>
          <w:i/>
        </w:rPr>
        <w:t>ens inquantum ens</w:t>
      </w:r>
      <w:r w:rsidR="08163013">
        <w:rPr>
          <w:i/>
        </w:rPr>
        <w:fldChar w:fldCharType="begin"/>
      </w:r>
      <w:r w:rsidR="08163013">
        <w:instrText xml:space="preserve"> XE "</w:instrText>
      </w:r>
      <w:r w:rsidR="08163013" w:rsidRPr="005424E2">
        <w:rPr>
          <w:i/>
        </w:rPr>
        <w:instrText>ens inquantum ens</w:instrText>
      </w:r>
      <w:r w:rsidR="08163013">
        <w:instrText xml:space="preserve">" </w:instrText>
      </w:r>
      <w:r w:rsidR="08163013">
        <w:rPr>
          <w:i/>
        </w:rPr>
        <w:fldChar w:fldCharType="end"/>
      </w:r>
      <w:r w:rsidR="08163013" w:rsidRPr="00273106">
        <w:t xml:space="preserve">. </w:t>
      </w:r>
      <w:r w:rsidR="08163013">
        <w:t>Proto platí, že je třeba na úrovni přístupu k substanci rozlišit dvě formy náhledu, které od sebe oddělí původní objektivní subsistenci a reálnou existenci danou na hylemorfickém substrátu (</w:t>
      </w:r>
      <w:r w:rsidR="08163013" w:rsidRPr="08073159">
        <w:rPr>
          <w:i/>
        </w:rPr>
        <w:t>duplex est ratio a qua hoc nomen 'substantia' imponitur, scilicet subsistendi et substandi</w:t>
      </w:r>
      <w:r w:rsidR="00085B43">
        <w:t>, kap. 5</w:t>
      </w:r>
      <w:r w:rsidR="08163013">
        <w:t>.3.1). Ale objektivní jsoucno reálně neexistuje, protože nemá jak. Objektivní je jen náhled na jsoucno, který ukazuje základní dělení (</w:t>
      </w:r>
      <w:r w:rsidR="08163013" w:rsidRPr="08BA1715">
        <w:rPr>
          <w:i/>
        </w:rPr>
        <w:t>resolutio</w:t>
      </w:r>
      <w:r w:rsidR="08163013">
        <w:t xml:space="preserve">) na původní poznatelnou </w:t>
      </w:r>
      <w:r w:rsidR="00085B43">
        <w:t xml:space="preserve">objektivní </w:t>
      </w:r>
      <w:r w:rsidR="08163013">
        <w:t xml:space="preserve">substanci. </w:t>
      </w:r>
      <w:r w:rsidR="00AE0F90">
        <w:t>Tato substanční a tím i univočně-objektivní jednota má vzhledem k aristotelské kategoriální predikaci transcendentální charakter, protože je dána až „za“ (</w:t>
      </w:r>
      <w:r w:rsidR="00AE0F90" w:rsidRPr="00AE0F90">
        <w:rPr>
          <w:i/>
        </w:rPr>
        <w:t>metá, trans-</w:t>
      </w:r>
      <w:r w:rsidR="00D47378">
        <w:t xml:space="preserve">) </w:t>
      </w:r>
      <w:r w:rsidR="00AE0F90">
        <w:t xml:space="preserve">druhou substancí. </w:t>
      </w:r>
      <w:r w:rsidR="08163013">
        <w:t>Výstavbu no</w:t>
      </w:r>
      <w:r w:rsidR="00F47712">
        <w:t xml:space="preserve">vé metafyziky určuje </w:t>
      </w:r>
      <w:r w:rsidR="000A6E9D">
        <w:t xml:space="preserve">fenomenologický </w:t>
      </w:r>
      <w:r w:rsidR="00F47712">
        <w:t>způsob,</w:t>
      </w:r>
      <w:r w:rsidR="08163013">
        <w:t xml:space="preserve"> „jak“ je fundamentálně dána substance v racionální konstituci jsoucnosti. Objektivita představuje první a proto evidentně jasný a čistý náhled moderního ilumináta na boží racionalitu produkující v modu původní poznatelnosti substanční celek stvoření. </w:t>
      </w:r>
      <w:r w:rsidR="00B61317">
        <w:t xml:space="preserve">Toto faktum čistého rozumu </w:t>
      </w:r>
      <w:r w:rsidR="002B1899">
        <w:t xml:space="preserve">je </w:t>
      </w:r>
      <w:r w:rsidR="00C8286C">
        <w:t>božská objektivita</w:t>
      </w:r>
      <w:r w:rsidR="002B1899">
        <w:t xml:space="preserve">, která </w:t>
      </w:r>
      <w:r w:rsidR="00C8286C">
        <w:t xml:space="preserve">je racionálně manifestovaná v </w:t>
      </w:r>
      <w:r w:rsidR="08163013">
        <w:t>rámci dogmaticky vytvořené metafyziky</w:t>
      </w:r>
      <w:r w:rsidR="002B1899">
        <w:t xml:space="preserve">. </w:t>
      </w:r>
      <w:r w:rsidR="00B61317">
        <w:t xml:space="preserve">Ockham tento nesmysl jednoduše zrušil jako metafyzický blábol. </w:t>
      </w:r>
      <w:r w:rsidR="00F53EE9">
        <w:t>Objektivní i</w:t>
      </w:r>
      <w:r w:rsidR="002B1899">
        <w:t xml:space="preserve">luminát tuto metafyziku </w:t>
      </w:r>
      <w:r w:rsidR="08163013">
        <w:t>popisuje v její původní struktuře</w:t>
      </w:r>
      <w:r w:rsidR="007E5B7C">
        <w:t xml:space="preserve"> </w:t>
      </w:r>
      <w:r w:rsidR="002B1899">
        <w:t xml:space="preserve">určené skrze teorii </w:t>
      </w:r>
      <w:r w:rsidR="007E5B7C">
        <w:t xml:space="preserve">„jedné pravdy“ </w:t>
      </w:r>
      <w:r w:rsidR="007E5B7C">
        <w:rPr>
          <w:szCs w:val="24"/>
          <w:lang w:val="de-DE"/>
        </w:rPr>
        <w:t>(</w:t>
      </w:r>
      <w:r w:rsidR="007E5B7C" w:rsidRPr="00F268B9">
        <w:rPr>
          <w:i/>
          <w:szCs w:val="24"/>
          <w:lang w:val="de-DE"/>
        </w:rPr>
        <w:t>metaphysica generalis</w:t>
      </w:r>
      <w:r w:rsidR="007E5B7C">
        <w:rPr>
          <w:i/>
          <w:szCs w:val="24"/>
          <w:lang w:val="de-DE"/>
        </w:rPr>
        <w:fldChar w:fldCharType="begin"/>
      </w:r>
      <w:r w:rsidR="007E5B7C">
        <w:instrText xml:space="preserve"> XE "</w:instrText>
      </w:r>
      <w:r w:rsidR="007E5B7C" w:rsidRPr="005C3F5C">
        <w:rPr>
          <w:i/>
          <w:szCs w:val="24"/>
          <w:lang w:val="de-DE"/>
        </w:rPr>
        <w:instrText>metaphysica generalis</w:instrText>
      </w:r>
      <w:r w:rsidR="007E5B7C">
        <w:instrText xml:space="preserve">" </w:instrText>
      </w:r>
      <w:r w:rsidR="007E5B7C">
        <w:rPr>
          <w:i/>
          <w:szCs w:val="24"/>
          <w:lang w:val="de-DE"/>
        </w:rPr>
        <w:fldChar w:fldCharType="end"/>
      </w:r>
      <w:r w:rsidR="007E5B7C">
        <w:rPr>
          <w:szCs w:val="24"/>
          <w:lang w:val="de-DE"/>
        </w:rPr>
        <w:t>)</w:t>
      </w:r>
      <w:r w:rsidR="08163013">
        <w:t xml:space="preserve">. </w:t>
      </w:r>
      <w:r w:rsidR="08163013" w:rsidRPr="00273106">
        <w:t xml:space="preserve">Tato minimální porce identity a jsoucna má </w:t>
      </w:r>
      <w:r w:rsidR="003B6147">
        <w:t xml:space="preserve">v spise </w:t>
      </w:r>
      <w:r w:rsidR="008C2D4A" w:rsidRPr="008C2D4A">
        <w:rPr>
          <w:i/>
        </w:rPr>
        <w:t>Lectura I</w:t>
      </w:r>
      <w:r w:rsidR="003B6147">
        <w:t xml:space="preserve"> </w:t>
      </w:r>
      <w:r w:rsidR="08163013" w:rsidRPr="00273106">
        <w:t>i kvazi-kauzální účin</w:t>
      </w:r>
      <w:r w:rsidR="08163013">
        <w:t xml:space="preserve">nost, i když nikoliv na rovině </w:t>
      </w:r>
      <w:r w:rsidR="08163013" w:rsidRPr="00273106">
        <w:rPr>
          <w:i/>
        </w:rPr>
        <w:t>generatio</w:t>
      </w:r>
      <w:r w:rsidR="08163013" w:rsidRPr="00273106">
        <w:t xml:space="preserve"> aktuální substance (</w:t>
      </w:r>
      <w:r w:rsidR="08163013" w:rsidRPr="00E32CDD">
        <w:rPr>
          <w:i/>
        </w:rPr>
        <w:t>Vat</w:t>
      </w:r>
      <w:r w:rsidR="08163013">
        <w:t>. XVI</w:t>
      </w:r>
      <w:r w:rsidR="08163013" w:rsidRPr="00273106">
        <w:t>, no. 191‒192</w:t>
      </w:r>
      <w:r w:rsidR="08163013">
        <w:t>, pp. 302‒303</w:t>
      </w:r>
      <w:r w:rsidR="08163013">
        <w:fldChar w:fldCharType="begin"/>
      </w:r>
      <w:r w:rsidR="08163013">
        <w:instrText xml:space="preserve"> XE "Scotus:</w:instrText>
      </w:r>
      <w:r w:rsidR="08163013" w:rsidRPr="00ED7808">
        <w:rPr>
          <w:i/>
        </w:rPr>
        <w:instrText>Lectura</w:instrText>
      </w:r>
      <w:r w:rsidR="08163013" w:rsidRPr="00ED7808">
        <w:instrText xml:space="preserve"> </w:instrText>
      </w:r>
      <w:r w:rsidR="08163013">
        <w:instrText>1.302</w:instrText>
      </w:r>
      <w:r w:rsidR="08163013" w:rsidRPr="00ED7808">
        <w:instrText>‒</w:instrText>
      </w:r>
      <w:r w:rsidR="08163013">
        <w:instrText xml:space="preserve">303" </w:instrText>
      </w:r>
      <w:r w:rsidR="08163013">
        <w:fldChar w:fldCharType="end"/>
      </w:r>
      <w:r w:rsidR="08163013" w:rsidRPr="00273106">
        <w:t>).</w:t>
      </w:r>
      <w:r w:rsidR="08163013" w:rsidRPr="00710E51">
        <w:t xml:space="preserve"> </w:t>
      </w:r>
      <w:r w:rsidR="08163013">
        <w:t xml:space="preserve">Tím je umožněn celkový rozvrh jsoucna v objektivně dané jsoucnosti. Manifestace </w:t>
      </w:r>
      <w:r w:rsidR="003B6147">
        <w:t>metafyzického smyslu jsoucna má univerzálně objektivní charakter</w:t>
      </w:r>
      <w:r w:rsidR="08163013">
        <w:t xml:space="preserve">, </w:t>
      </w:r>
      <w:r w:rsidR="08163013" w:rsidRPr="00273106">
        <w:t xml:space="preserve">protože </w:t>
      </w:r>
      <w:r w:rsidR="08163013">
        <w:t>je dána v</w:t>
      </w:r>
      <w:r w:rsidR="003B6147">
        <w:t xml:space="preserve"> univočním modu </w:t>
      </w:r>
      <w:r w:rsidR="00605FF2">
        <w:t xml:space="preserve">absolutní jednoduchosti </w:t>
      </w:r>
      <w:r w:rsidR="08163013">
        <w:t>jak vzhledem k</w:t>
      </w:r>
      <w:r w:rsidR="00D320C5">
        <w:t> oběma moderním intelektuálům: vzhledem k neexistujícímu modernímu boh</w:t>
      </w:r>
      <w:r w:rsidR="003C10DB">
        <w:t>u</w:t>
      </w:r>
      <w:r w:rsidR="00D320C5">
        <w:t xml:space="preserve"> a vzhledem k paranoickém</w:t>
      </w:r>
      <w:r w:rsidR="0023025E">
        <w:t>u</w:t>
      </w:r>
      <w:r w:rsidR="00D320C5">
        <w:t xml:space="preserve"> modernímu člověku. </w:t>
      </w:r>
      <w:r w:rsidR="005662AB">
        <w:t xml:space="preserve">Modalita této jednoduchosti se liší v konečném a nekonečném modu. </w:t>
      </w:r>
      <w:r w:rsidR="08163013">
        <w:t xml:space="preserve">Jsoucno koncipované v modu nekonečnosti dává </w:t>
      </w:r>
      <w:r w:rsidR="08163013" w:rsidRPr="00273106">
        <w:t xml:space="preserve">první pole pole zjevování </w:t>
      </w:r>
      <w:r w:rsidR="08163013">
        <w:t xml:space="preserve">jsoucna </w:t>
      </w:r>
      <w:r w:rsidR="08163013" w:rsidRPr="00273106">
        <w:t>v jeho objektivním</w:t>
      </w:r>
      <w:r w:rsidR="08163013">
        <w:t xml:space="preserve"> bytí</w:t>
      </w:r>
      <w:r w:rsidR="08163013" w:rsidRPr="00273106">
        <w:t xml:space="preserve">. </w:t>
      </w:r>
      <w:r w:rsidR="08163013">
        <w:t xml:space="preserve">Pak je možná i objektivní forma pravdy jako adekvace skrze </w:t>
      </w:r>
      <w:r w:rsidR="08163013">
        <w:rPr>
          <w:rStyle w:val="addmd"/>
        </w:rPr>
        <w:t>poznání plné pravdy (</w:t>
      </w:r>
      <w:r w:rsidR="08163013" w:rsidRPr="00273106">
        <w:rPr>
          <w:rStyle w:val="addmd"/>
          <w:i/>
        </w:rPr>
        <w:t>in luce aeterna obiective formaliter</w:t>
      </w:r>
      <w:r w:rsidR="08163013">
        <w:rPr>
          <w:rStyle w:val="addmd"/>
        </w:rPr>
        <w:t xml:space="preserve">; </w:t>
      </w:r>
      <w:r w:rsidR="08163013" w:rsidRPr="00273106">
        <w:rPr>
          <w:rStyle w:val="addmd"/>
        </w:rPr>
        <w:t>ibid, no. 193, p. 304.2</w:t>
      </w:r>
      <w:r w:rsidR="08163013">
        <w:fldChar w:fldCharType="begin"/>
      </w:r>
      <w:r w:rsidR="08163013">
        <w:instrText xml:space="preserve"> XE "Scotus:</w:instrText>
      </w:r>
      <w:r w:rsidR="08163013" w:rsidRPr="00ED7808">
        <w:rPr>
          <w:i/>
        </w:rPr>
        <w:instrText>Lectura</w:instrText>
      </w:r>
      <w:r w:rsidR="08163013" w:rsidRPr="00ED7808">
        <w:instrText xml:space="preserve"> </w:instrText>
      </w:r>
      <w:r w:rsidR="08163013">
        <w:instrText>1.304</w:instrText>
      </w:r>
      <w:r w:rsidR="08163013" w:rsidRPr="00ED7808">
        <w:instrText>.</w:instrText>
      </w:r>
      <w:r w:rsidR="08163013">
        <w:instrText xml:space="preserve">2" </w:instrText>
      </w:r>
      <w:r w:rsidR="08163013">
        <w:fldChar w:fldCharType="end"/>
      </w:r>
      <w:r w:rsidR="08163013" w:rsidRPr="00273106">
        <w:rPr>
          <w:rStyle w:val="addmd"/>
        </w:rPr>
        <w:t xml:space="preserve">). </w:t>
      </w:r>
      <w:r w:rsidR="08163013">
        <w:t>E</w:t>
      </w:r>
      <w:r w:rsidR="08163013" w:rsidRPr="00273106">
        <w:t xml:space="preserve">fektivní </w:t>
      </w:r>
      <w:r w:rsidR="08163013" w:rsidRPr="00273106">
        <w:rPr>
          <w:i/>
        </w:rPr>
        <w:t>causa prima</w:t>
      </w:r>
      <w:r w:rsidR="08163013">
        <w:rPr>
          <w:i/>
        </w:rPr>
        <w:fldChar w:fldCharType="begin"/>
      </w:r>
      <w:r w:rsidR="08163013">
        <w:instrText xml:space="preserve"> XE "</w:instrText>
      </w:r>
      <w:r w:rsidR="08163013" w:rsidRPr="00EC783C">
        <w:rPr>
          <w:i/>
          <w:color w:val="000000"/>
        </w:rPr>
        <w:instrText>causa prima</w:instrText>
      </w:r>
      <w:r w:rsidR="08163013">
        <w:instrText xml:space="preserve">" </w:instrText>
      </w:r>
      <w:r w:rsidR="08163013">
        <w:rPr>
          <w:i/>
        </w:rPr>
        <w:fldChar w:fldCharType="end"/>
      </w:r>
      <w:r w:rsidR="08163013" w:rsidRPr="00273106">
        <w:t xml:space="preserve"> </w:t>
      </w:r>
      <w:r w:rsidR="08163013">
        <w:t xml:space="preserve">pro stvoření je na objektivní úrovni dána tím, že bůh </w:t>
      </w:r>
      <w:r w:rsidR="08163013" w:rsidRPr="00273106">
        <w:t>ch</w:t>
      </w:r>
      <w:r w:rsidR="08163013">
        <w:t xml:space="preserve">ce „něco“ </w:t>
      </w:r>
      <w:r w:rsidR="08163013" w:rsidRPr="00273106">
        <w:t>věčně a nutně myšleného</w:t>
      </w:r>
      <w:r w:rsidR="08163013">
        <w:t>, ale nikoliv nutně stvořeného</w:t>
      </w:r>
      <w:r w:rsidR="08163013" w:rsidRPr="00273106">
        <w:t>. Boží exemplární objektivita (</w:t>
      </w:r>
      <w:r w:rsidR="08163013" w:rsidRPr="00273106">
        <w:rPr>
          <w:i/>
        </w:rPr>
        <w:t>aeternitas secundum quid</w:t>
      </w:r>
      <w:r w:rsidR="08163013" w:rsidRPr="00273106">
        <w:t>) se ukazuje v přirozeném řádu jako objektivní jsoucnost, kterou vidíme ve světle přirozeného poznání (ibid, no. 192, p. 303.21</w:t>
      </w:r>
      <w:r w:rsidR="08163013">
        <w:fldChar w:fldCharType="begin"/>
      </w:r>
      <w:r w:rsidR="08163013">
        <w:instrText xml:space="preserve"> XE "Scotus:</w:instrText>
      </w:r>
      <w:r w:rsidR="08163013" w:rsidRPr="00ED7808">
        <w:rPr>
          <w:i/>
        </w:rPr>
        <w:instrText>Lectura</w:instrText>
      </w:r>
      <w:r w:rsidR="08163013" w:rsidRPr="00ED7808">
        <w:instrText xml:space="preserve"> </w:instrText>
      </w:r>
      <w:r w:rsidR="08163013">
        <w:instrText>1.303</w:instrText>
      </w:r>
      <w:r w:rsidR="08163013" w:rsidRPr="00ED7808">
        <w:instrText>.</w:instrText>
      </w:r>
      <w:r w:rsidR="08163013">
        <w:instrText xml:space="preserve">21" </w:instrText>
      </w:r>
      <w:r w:rsidR="08163013">
        <w:fldChar w:fldCharType="end"/>
      </w:r>
      <w:r w:rsidR="00BF5862">
        <w:t xml:space="preserve">). Pak i my poznáme </w:t>
      </w:r>
      <w:r w:rsidR="00BF5862" w:rsidRPr="00BF5862">
        <w:rPr>
          <w:i/>
        </w:rPr>
        <w:t>univoce</w:t>
      </w:r>
      <w:r w:rsidR="00BF5862">
        <w:t xml:space="preserve"> a </w:t>
      </w:r>
      <w:r w:rsidR="00BF5862" w:rsidRPr="00BF5862">
        <w:rPr>
          <w:i/>
        </w:rPr>
        <w:t>obiective</w:t>
      </w:r>
      <w:r w:rsidR="08163013" w:rsidRPr="00273106">
        <w:t xml:space="preserve">, protože naše mysl </w:t>
      </w:r>
      <w:r w:rsidR="08163013" w:rsidRPr="00273106">
        <w:lastRenderedPageBreak/>
        <w:t>funguje stejně jako bož</w:t>
      </w:r>
      <w:r w:rsidR="00534F0E">
        <w:t xml:space="preserve">í intelekt, ale v jiném habitu daném dialektikou </w:t>
      </w:r>
      <w:r w:rsidR="08163013" w:rsidRPr="00273106">
        <w:t>nekonečnost</w:t>
      </w:r>
      <w:r w:rsidR="00534F0E">
        <w:t xml:space="preserve">i a </w:t>
      </w:r>
      <w:r w:rsidR="08163013" w:rsidRPr="00273106">
        <w:t>konečnost</w:t>
      </w:r>
      <w:r w:rsidR="00534F0E">
        <w:t>i</w:t>
      </w:r>
      <w:r w:rsidR="08163013">
        <w:fldChar w:fldCharType="begin"/>
      </w:r>
      <w:r w:rsidR="08163013">
        <w:instrText xml:space="preserve"> XE "intelekt:</w:instrText>
      </w:r>
      <w:r w:rsidR="08163013" w:rsidRPr="0028635B">
        <w:instrText>nekonečnost/konečnost</w:instrText>
      </w:r>
      <w:r w:rsidR="08163013">
        <w:instrText xml:space="preserve">" </w:instrText>
      </w:r>
      <w:r w:rsidR="08163013">
        <w:fldChar w:fldCharType="end"/>
      </w:r>
      <w:r w:rsidR="08163013" w:rsidRPr="00273106">
        <w:t>).</w:t>
      </w:r>
      <w:r w:rsidR="08163013">
        <w:t xml:space="preserve"> Tím je celek dedukce objektivního jsoucna uzavřen. </w:t>
      </w:r>
      <w:r w:rsidR="00DC4CE4">
        <w:t>Poslední a</w:t>
      </w:r>
      <w:r w:rsidR="00182AEB">
        <w:t>ristotelik Ockham pak provedl k</w:t>
      </w:r>
      <w:r w:rsidR="08163013">
        <w:t>ri</w:t>
      </w:r>
      <w:r w:rsidR="00E222B3">
        <w:t xml:space="preserve">tiku Scotovy metafyziky </w:t>
      </w:r>
      <w:r w:rsidR="08163013">
        <w:t>z pozice prvního averr</w:t>
      </w:r>
      <w:r w:rsidR="00182AEB">
        <w:t xml:space="preserve">oismu. Ockham </w:t>
      </w:r>
      <w:r w:rsidR="00F3260D">
        <w:t xml:space="preserve">ji kompletně </w:t>
      </w:r>
      <w:r w:rsidR="00E222B3">
        <w:t>zrušil</w:t>
      </w:r>
      <w:r w:rsidR="08163013">
        <w:t xml:space="preserve"> jako metafyzicky zbytečnou a filosoficky nesmyslnou.</w:t>
      </w:r>
    </w:p>
    <w:p w:rsidR="08163013" w:rsidRDefault="08163013" w:rsidP="08163013">
      <w:pPr>
        <w:rPr>
          <w:rStyle w:val="addmd"/>
        </w:rPr>
      </w:pPr>
      <w:r>
        <w:tab/>
      </w:r>
      <w:r w:rsidRPr="00273106">
        <w:rPr>
          <w:rStyle w:val="addmd"/>
        </w:rPr>
        <w:t xml:space="preserve">Následující část </w:t>
      </w:r>
      <w:r w:rsidR="008C2D4A" w:rsidRPr="008C2D4A">
        <w:rPr>
          <w:rStyle w:val="addmd"/>
          <w:i/>
        </w:rPr>
        <w:t>Lectura I</w:t>
      </w:r>
      <w:r w:rsidRPr="00273106">
        <w:t xml:space="preserve"> rozšířila </w:t>
      </w:r>
      <w:r>
        <w:t xml:space="preserve">pole </w:t>
      </w:r>
      <w:r w:rsidRPr="00273106">
        <w:t xml:space="preserve">první filosofie tím, že postulovala kontingenci jako možnost </w:t>
      </w:r>
      <w:r>
        <w:t xml:space="preserve">danou </w:t>
      </w:r>
      <w:r w:rsidRPr="00273106">
        <w:t xml:space="preserve">přímo od boha. </w:t>
      </w:r>
      <w:r w:rsidRPr="00273106">
        <w:rPr>
          <w:rStyle w:val="addmd"/>
        </w:rPr>
        <w:t xml:space="preserve">Scotus vázal určení minimální jsoucnosti na boží vůli a určil </w:t>
      </w:r>
      <w:r w:rsidRPr="00273106">
        <w:t>po vzor</w:t>
      </w:r>
      <w:r>
        <w:t xml:space="preserve">u Oliviho první jsoucno v modu </w:t>
      </w:r>
      <w:r w:rsidR="005A1A37">
        <w:t>„</w:t>
      </w:r>
      <w:r w:rsidRPr="00273106">
        <w:rPr>
          <w:i/>
        </w:rPr>
        <w:t>non repugnat esse</w:t>
      </w:r>
      <w:r w:rsidR="005A1A37">
        <w:t>“</w:t>
      </w:r>
      <w:r>
        <w:rPr>
          <w:i/>
        </w:rPr>
        <w:fldChar w:fldCharType="begin"/>
      </w:r>
      <w:r>
        <w:instrText xml:space="preserve"> XE "</w:instrText>
      </w:r>
      <w:r w:rsidRPr="00D44ACB">
        <w:rPr>
          <w:i/>
        </w:rPr>
        <w:instrText>non repugnat esse</w:instrText>
      </w:r>
      <w:r>
        <w:instrText xml:space="preserve">" </w:instrText>
      </w:r>
      <w:r>
        <w:rPr>
          <w:i/>
        </w:rPr>
        <w:fldChar w:fldCharType="end"/>
      </w:r>
      <w:r w:rsidRPr="00273106">
        <w:t>.</w:t>
      </w:r>
      <w:r w:rsidRPr="00273106">
        <w:rPr>
          <w:rStyle w:val="addmd"/>
        </w:rPr>
        <w:t xml:space="preserve"> Scotus použil základní koncepty Oliviho pojetí metafyziky vůle </w:t>
      </w:r>
      <w:r>
        <w:rPr>
          <w:rStyle w:val="addmd"/>
        </w:rPr>
        <w:t xml:space="preserve">v modu ipseity vůle </w:t>
      </w:r>
      <w:r w:rsidRPr="00273106">
        <w:rPr>
          <w:rStyle w:val="addmd"/>
        </w:rPr>
        <w:t xml:space="preserve">pro ustavení objektivní existence kontigentních </w:t>
      </w:r>
      <w:r>
        <w:rPr>
          <w:rStyle w:val="addmd"/>
        </w:rPr>
        <w:t xml:space="preserve">událostí </w:t>
      </w:r>
      <w:r w:rsidRPr="00273106">
        <w:rPr>
          <w:rStyle w:val="addmd"/>
        </w:rPr>
        <w:t>v bohu.</w:t>
      </w:r>
      <w:r>
        <w:rPr>
          <w:rStyle w:val="addmd"/>
        </w:rPr>
        <w:t xml:space="preserve"> </w:t>
      </w:r>
      <w:r w:rsidR="006D0A51">
        <w:rPr>
          <w:rStyle w:val="addmd"/>
        </w:rPr>
        <w:t>Jeho s</w:t>
      </w:r>
      <w:r>
        <w:rPr>
          <w:rStyle w:val="addmd"/>
        </w:rPr>
        <w:t>vobodná ipseita (</w:t>
      </w:r>
      <w:r w:rsidRPr="00C424FC">
        <w:rPr>
          <w:rStyle w:val="addmd"/>
          <w:i/>
        </w:rPr>
        <w:t>potentia substantialis</w:t>
      </w:r>
      <w:r>
        <w:rPr>
          <w:rStyle w:val="addmd"/>
          <w:i/>
        </w:rPr>
        <w:fldChar w:fldCharType="begin"/>
      </w:r>
      <w:r>
        <w:instrText xml:space="preserve"> XE "</w:instrText>
      </w:r>
      <w:r w:rsidRPr="00263A8E">
        <w:rPr>
          <w:i/>
        </w:rPr>
        <w:instrText>potentia substantialis</w:instrText>
      </w:r>
      <w:r>
        <w:instrText xml:space="preserve">" </w:instrText>
      </w:r>
      <w:r>
        <w:rPr>
          <w:rStyle w:val="addmd"/>
          <w:i/>
        </w:rPr>
        <w:fldChar w:fldCharType="end"/>
      </w:r>
      <w:r>
        <w:rPr>
          <w:rStyle w:val="addmd"/>
        </w:rPr>
        <w:t>) dovoluje totéž chtít a nechtít, což kontrastuje s již určeným modem chtění (</w:t>
      </w:r>
      <w:r w:rsidRPr="00F90EDA">
        <w:rPr>
          <w:rStyle w:val="addmd"/>
          <w:i/>
        </w:rPr>
        <w:t>potentia</w:t>
      </w:r>
      <w:r>
        <w:rPr>
          <w:rStyle w:val="addmd"/>
        </w:rPr>
        <w:t xml:space="preserve"> </w:t>
      </w:r>
      <w:r>
        <w:rPr>
          <w:rStyle w:val="addmd"/>
          <w:i/>
        </w:rPr>
        <w:t>accidentalis</w:t>
      </w:r>
      <w:r>
        <w:rPr>
          <w:rStyle w:val="addmd"/>
          <w:i/>
        </w:rPr>
        <w:fldChar w:fldCharType="begin"/>
      </w:r>
      <w:r>
        <w:instrText xml:space="preserve"> XE "</w:instrText>
      </w:r>
      <w:r w:rsidRPr="007169BB">
        <w:rPr>
          <w:i/>
        </w:rPr>
        <w:instrText>potentia</w:instrText>
      </w:r>
      <w:r w:rsidRPr="007169BB">
        <w:instrText xml:space="preserve"> </w:instrText>
      </w:r>
      <w:r>
        <w:rPr>
          <w:i/>
        </w:rPr>
        <w:instrText>accidentalis</w:instrText>
      </w:r>
      <w:r>
        <w:instrText xml:space="preserve">" </w:instrText>
      </w:r>
      <w:r>
        <w:rPr>
          <w:rStyle w:val="addmd"/>
          <w:i/>
        </w:rPr>
        <w:fldChar w:fldCharType="end"/>
      </w:r>
      <w:r>
        <w:rPr>
          <w:rStyle w:val="addmd"/>
          <w:i/>
        </w:rPr>
        <w:t>)</w:t>
      </w:r>
      <w:r>
        <w:rPr>
          <w:rStyle w:val="addmd"/>
        </w:rPr>
        <w:t xml:space="preserve">. </w:t>
      </w:r>
      <w:r>
        <w:t>Ipseita božího intelektu funguje podl</w:t>
      </w:r>
      <w:r w:rsidR="005662AB">
        <w:t xml:space="preserve">e intimní kauzality vůle </w:t>
      </w:r>
      <w:r w:rsidR="00763A8D">
        <w:t xml:space="preserve">podané Olivim </w:t>
      </w:r>
      <w:r w:rsidR="005662AB">
        <w:t>(kap. 5</w:t>
      </w:r>
      <w:r>
        <w:t>.1.2).</w:t>
      </w:r>
      <w:r w:rsidRPr="00DB1224">
        <w:rPr>
          <w:rStyle w:val="addmd"/>
        </w:rPr>
        <w:t xml:space="preserve"> </w:t>
      </w:r>
      <w:r>
        <w:rPr>
          <w:rStyle w:val="addmd"/>
        </w:rPr>
        <w:t xml:space="preserve">Scotus změnil Oliviho intimní substanciální potenci na objektivní </w:t>
      </w:r>
      <w:r w:rsidRPr="00606C15">
        <w:rPr>
          <w:i/>
        </w:rPr>
        <w:t>possibilitas logica</w:t>
      </w:r>
      <w:r>
        <w:t>.</w:t>
      </w:r>
    </w:p>
    <w:p w:rsidR="08163013" w:rsidRPr="00FA3FF4" w:rsidRDefault="08163013" w:rsidP="08163013">
      <w:pPr>
        <w:pStyle w:val="Citace"/>
        <w:rPr>
          <w:rStyle w:val="addmd"/>
          <w:lang w:val="cs-CZ"/>
        </w:rPr>
      </w:pPr>
      <w:r>
        <w:t>„</w:t>
      </w:r>
      <w:r>
        <w:rPr>
          <w:lang w:val="cs-CZ"/>
        </w:rPr>
        <w:t>Ale opak daný vzhledem k akcidentu v jeho náhodném působení (</w:t>
      </w:r>
      <w:r w:rsidRPr="00FA3FF4">
        <w:rPr>
          <w:i/>
        </w:rPr>
        <w:t>accidentis per accidens</w:t>
      </w:r>
      <w:r>
        <w:rPr>
          <w:lang w:val="cs-CZ"/>
        </w:rPr>
        <w:t xml:space="preserve">) </w:t>
      </w:r>
      <w:r w:rsidR="00654C9A">
        <w:rPr>
          <w:lang w:val="cs-CZ"/>
        </w:rPr>
        <w:t xml:space="preserve">zahrnuje také </w:t>
      </w:r>
      <w:r>
        <w:rPr>
          <w:lang w:val="cs-CZ"/>
        </w:rPr>
        <w:t xml:space="preserve">substanci, která toto dění v daném okamžiku nese. Vůle chce A v tento okamžik a pro tento okamžik a stejně může nechtít A stejným způsobem. Vzhledem k těmto oběma možnostem svobodné vůle </w:t>
      </w:r>
      <w:r w:rsidR="00CC6D26">
        <w:rPr>
          <w:lang w:val="cs-CZ"/>
        </w:rPr>
        <w:t xml:space="preserve">pak </w:t>
      </w:r>
      <w:r>
        <w:rPr>
          <w:lang w:val="cs-CZ"/>
        </w:rPr>
        <w:t xml:space="preserve">logika </w:t>
      </w:r>
      <w:r w:rsidR="000F2994">
        <w:rPr>
          <w:lang w:val="cs-CZ"/>
        </w:rPr>
        <w:t xml:space="preserve">možnosti </w:t>
      </w:r>
      <w:r w:rsidR="00CC6D26">
        <w:rPr>
          <w:lang w:val="cs-CZ"/>
        </w:rPr>
        <w:t>(</w:t>
      </w:r>
      <w:r w:rsidR="00CC6D26" w:rsidRPr="00606C15">
        <w:rPr>
          <w:i/>
        </w:rPr>
        <w:t>possibilitas logica</w:t>
      </w:r>
      <w:r w:rsidR="00CC6D26">
        <w:rPr>
          <w:lang w:val="cs-CZ"/>
        </w:rPr>
        <w:t>) nevylučuje oba současné protiklady jako kontradiktorní</w:t>
      </w:r>
      <w:r>
        <w:rPr>
          <w:lang w:val="cs-CZ"/>
        </w:rPr>
        <w:t xml:space="preserve">.“ </w:t>
      </w:r>
      <w:r w:rsidRPr="00273106">
        <w:rPr>
          <w:rStyle w:val="Znakapoznpodarou"/>
        </w:rPr>
        <w:footnoteReference w:id="450"/>
      </w:r>
    </w:p>
    <w:p w:rsidR="08163013" w:rsidRPr="00826D9D" w:rsidRDefault="08163013" w:rsidP="08163013">
      <w:pPr>
        <w:rPr>
          <w:rStyle w:val="addmd"/>
          <w:szCs w:val="24"/>
        </w:rPr>
      </w:pPr>
      <w:r w:rsidRPr="00273106">
        <w:rPr>
          <w:rStyle w:val="addmd"/>
        </w:rPr>
        <w:t>Na úrovni exemplární objektivity v bohu platí současně kontingence a nutnost. Konti</w:t>
      </w:r>
      <w:r>
        <w:rPr>
          <w:rStyle w:val="addmd"/>
        </w:rPr>
        <w:t>n</w:t>
      </w:r>
      <w:r w:rsidRPr="00273106">
        <w:rPr>
          <w:rStyle w:val="addmd"/>
        </w:rPr>
        <w:t xml:space="preserve">gence se týká logické danosti poznání </w:t>
      </w:r>
      <w:r>
        <w:rPr>
          <w:rStyle w:val="addmd"/>
        </w:rPr>
        <w:t xml:space="preserve">jako možnosti </w:t>
      </w:r>
      <w:r w:rsidR="00CC3C4C">
        <w:rPr>
          <w:rStyle w:val="addmd"/>
        </w:rPr>
        <w:t xml:space="preserve">moderního </w:t>
      </w:r>
      <w:r>
        <w:rPr>
          <w:rStyle w:val="addmd"/>
        </w:rPr>
        <w:t>božího intelektu „</w:t>
      </w:r>
      <w:r w:rsidRPr="00273106">
        <w:rPr>
          <w:rStyle w:val="addmd"/>
        </w:rPr>
        <w:t>stát</w:t>
      </w:r>
      <w:r>
        <w:rPr>
          <w:rStyle w:val="addmd"/>
        </w:rPr>
        <w:t xml:space="preserve"> se ‒ nestát se“. Obě možnosti stojí v čisté potenci p</w:t>
      </w:r>
      <w:r w:rsidRPr="00273106">
        <w:rPr>
          <w:rStyle w:val="addmd"/>
        </w:rPr>
        <w:t>ro determinující</w:t>
      </w:r>
      <w:r>
        <w:rPr>
          <w:rStyle w:val="addmd"/>
        </w:rPr>
        <w:t xml:space="preserve"> a </w:t>
      </w:r>
      <w:r w:rsidRPr="00273106">
        <w:rPr>
          <w:rStyle w:val="addmd"/>
        </w:rPr>
        <w:t>pro aktuálně chtějící boží vůli</w:t>
      </w:r>
      <w:r>
        <w:rPr>
          <w:rStyle w:val="addmd"/>
        </w:rPr>
        <w:t xml:space="preserve"> danou v modu substanciální ipseity</w:t>
      </w:r>
      <w:r w:rsidRPr="00273106">
        <w:rPr>
          <w:rStyle w:val="addmd"/>
        </w:rPr>
        <w:t xml:space="preserve">. </w:t>
      </w:r>
      <w:r>
        <w:rPr>
          <w:rStyle w:val="addmd"/>
        </w:rPr>
        <w:t xml:space="preserve">Tu sice v jejím původním modu nejsme schopni </w:t>
      </w:r>
      <w:proofErr w:type="gramStart"/>
      <w:r>
        <w:rPr>
          <w:rStyle w:val="addmd"/>
        </w:rPr>
        <w:t>poznat tak</w:t>
      </w:r>
      <w:proofErr w:type="gramEnd"/>
      <w:r>
        <w:rPr>
          <w:rStyle w:val="addmd"/>
        </w:rPr>
        <w:t xml:space="preserve"> jak existuje v boží esenci</w:t>
      </w:r>
      <w:r w:rsidR="00615440">
        <w:rPr>
          <w:rStyle w:val="addmd"/>
        </w:rPr>
        <w:t xml:space="preserve">. Poznáváme jen racionální produkci boží objektivity, která má formu </w:t>
      </w:r>
      <w:r w:rsidR="00615440" w:rsidRPr="00615440">
        <w:rPr>
          <w:rStyle w:val="addmd"/>
          <w:i/>
        </w:rPr>
        <w:t>ad extra</w:t>
      </w:r>
      <w:r w:rsidR="00615440">
        <w:rPr>
          <w:rStyle w:val="addmd"/>
        </w:rPr>
        <w:t xml:space="preserve"> dané boží racionality </w:t>
      </w:r>
      <w:r w:rsidR="00615440">
        <w:rPr>
          <w:szCs w:val="24"/>
          <w:lang w:val="de-DE"/>
        </w:rPr>
        <w:t>(</w:t>
      </w:r>
      <w:r w:rsidR="00615440" w:rsidRPr="00762884">
        <w:rPr>
          <w:i/>
          <w:szCs w:val="24"/>
          <w:lang w:val="de-DE"/>
        </w:rPr>
        <w:t>dicimur intelligere in luce incr</w:t>
      </w:r>
      <w:r w:rsidR="00615440">
        <w:rPr>
          <w:i/>
          <w:szCs w:val="24"/>
          <w:lang w:val="de-DE"/>
        </w:rPr>
        <w:t>eata, et non in voluntate incre</w:t>
      </w:r>
      <w:r w:rsidR="00615440" w:rsidRPr="00762884">
        <w:rPr>
          <w:i/>
          <w:szCs w:val="24"/>
          <w:lang w:val="de-DE"/>
        </w:rPr>
        <w:t>ata</w:t>
      </w:r>
      <w:r w:rsidR="00615440" w:rsidRPr="00762884">
        <w:t xml:space="preserve">; </w:t>
      </w:r>
      <w:r w:rsidR="00615440">
        <w:t>Vat. XVI, p. 302.28</w:t>
      </w:r>
      <w:r w:rsidR="00615440">
        <w:fldChar w:fldCharType="begin"/>
      </w:r>
      <w:r w:rsidR="00615440">
        <w:instrText xml:space="preserve"> XE "</w:instrText>
      </w:r>
      <w:r w:rsidR="00615440" w:rsidRPr="00E92795">
        <w:instrText>Scotus:Lectura 1.302.28</w:instrText>
      </w:r>
      <w:r w:rsidR="00615440">
        <w:instrText xml:space="preserve">" </w:instrText>
      </w:r>
      <w:r w:rsidR="00615440">
        <w:fldChar w:fldCharType="end"/>
      </w:r>
      <w:r w:rsidR="00615440" w:rsidRPr="00762884">
        <w:t>)</w:t>
      </w:r>
      <w:r w:rsidR="00615440">
        <w:rPr>
          <w:szCs w:val="24"/>
          <w:lang w:val="de-DE"/>
        </w:rPr>
        <w:t xml:space="preserve">. </w:t>
      </w:r>
      <w:r w:rsidRPr="00273106">
        <w:rPr>
          <w:rStyle w:val="addmd"/>
        </w:rPr>
        <w:t xml:space="preserve">Napojením na aktuální </w:t>
      </w:r>
      <w:r w:rsidR="00CD5A81">
        <w:rPr>
          <w:rStyle w:val="addmd"/>
        </w:rPr>
        <w:t xml:space="preserve">svobodnou </w:t>
      </w:r>
      <w:r w:rsidRPr="00273106">
        <w:rPr>
          <w:rStyle w:val="addmd"/>
        </w:rPr>
        <w:t xml:space="preserve">vůli </w:t>
      </w:r>
      <w:r>
        <w:rPr>
          <w:rStyle w:val="addmd"/>
        </w:rPr>
        <w:t xml:space="preserve">danou intimně </w:t>
      </w:r>
      <w:r w:rsidRPr="00273106">
        <w:rPr>
          <w:rStyle w:val="addmd"/>
        </w:rPr>
        <w:t xml:space="preserve">vznikla možnost kontingence v bohu </w:t>
      </w:r>
      <w:r w:rsidR="00CD5A81">
        <w:rPr>
          <w:rStyle w:val="addmd"/>
        </w:rPr>
        <w:t xml:space="preserve">daná </w:t>
      </w:r>
      <w:r w:rsidRPr="00273106">
        <w:rPr>
          <w:rStyle w:val="addmd"/>
        </w:rPr>
        <w:t xml:space="preserve">na objektivní úrovni. </w:t>
      </w:r>
      <w:r>
        <w:rPr>
          <w:rStyle w:val="addmd"/>
        </w:rPr>
        <w:t xml:space="preserve">Intimní a ipseitní logika třetího druhu </w:t>
      </w:r>
      <w:r w:rsidRPr="00273106">
        <w:rPr>
          <w:rStyle w:val="addmd"/>
        </w:rPr>
        <w:t>vytvořil</w:t>
      </w:r>
      <w:r>
        <w:rPr>
          <w:rStyle w:val="addmd"/>
        </w:rPr>
        <w:t>a</w:t>
      </w:r>
      <w:r w:rsidRPr="00273106">
        <w:rPr>
          <w:rStyle w:val="addmd"/>
        </w:rPr>
        <w:t xml:space="preserve"> nové určení objektivity pro kontingentní jsoucna</w:t>
      </w:r>
      <w:r w:rsidR="003B3DEB">
        <w:rPr>
          <w:rStyle w:val="addmd"/>
        </w:rPr>
        <w:t xml:space="preserve">. Ta jsou exemplárně určena </w:t>
      </w:r>
      <w:r>
        <w:rPr>
          <w:rStyle w:val="addmd"/>
        </w:rPr>
        <w:t>v modu nekonečného božího poznání</w:t>
      </w:r>
      <w:r w:rsidR="00DE2EAF">
        <w:rPr>
          <w:rStyle w:val="addmd"/>
        </w:rPr>
        <w:t xml:space="preserve"> a </w:t>
      </w:r>
      <w:r w:rsidR="00DE2EAF">
        <w:rPr>
          <w:rStyle w:val="addmd"/>
        </w:rPr>
        <w:lastRenderedPageBreak/>
        <w:t>intimně dané svobodné vůle</w:t>
      </w:r>
      <w:r w:rsidRPr="00273106">
        <w:rPr>
          <w:rStyle w:val="addmd"/>
        </w:rPr>
        <w:t>.</w:t>
      </w:r>
      <w:r>
        <w:rPr>
          <w:rStyle w:val="addmd"/>
        </w:rPr>
        <w:t xml:space="preserve"> </w:t>
      </w:r>
      <w:r w:rsidR="008D0BD5">
        <w:rPr>
          <w:rStyle w:val="addmd"/>
        </w:rPr>
        <w:t xml:space="preserve">Tím </w:t>
      </w:r>
      <w:r w:rsidR="008D0BD5">
        <w:rPr>
          <w:szCs w:val="24"/>
        </w:rPr>
        <w:t xml:space="preserve">Scotus zavedl modernizovanou verzi demiurgického </w:t>
      </w:r>
      <w:r w:rsidR="008D0BD5" w:rsidRPr="007A01ED">
        <w:rPr>
          <w:i/>
          <w:szCs w:val="24"/>
        </w:rPr>
        <w:t>dativus auctoris</w:t>
      </w:r>
      <w:r w:rsidR="008D0BD5">
        <w:rPr>
          <w:i/>
          <w:szCs w:val="24"/>
        </w:rPr>
        <w:fldChar w:fldCharType="begin"/>
      </w:r>
      <w:r w:rsidR="008D0BD5">
        <w:instrText xml:space="preserve"> XE "</w:instrText>
      </w:r>
      <w:r w:rsidR="008D0BD5" w:rsidRPr="00632DF3">
        <w:rPr>
          <w:i/>
          <w:szCs w:val="24"/>
        </w:rPr>
        <w:instrText>dativus auctoris</w:instrText>
      </w:r>
      <w:r w:rsidR="008D0BD5">
        <w:instrText xml:space="preserve">" </w:instrText>
      </w:r>
      <w:r w:rsidR="008D0BD5">
        <w:rPr>
          <w:i/>
          <w:szCs w:val="24"/>
        </w:rPr>
        <w:fldChar w:fldCharType="end"/>
      </w:r>
      <w:r w:rsidR="008D0BD5">
        <w:rPr>
          <w:szCs w:val="24"/>
        </w:rPr>
        <w:t>, kterou Olivi navrhnul pro kapitalistický subjekt</w:t>
      </w:r>
      <w:r w:rsidR="00D47378">
        <w:rPr>
          <w:szCs w:val="24"/>
        </w:rPr>
        <w:t xml:space="preserve"> ve stejné době</w:t>
      </w:r>
      <w:r w:rsidR="008D0BD5">
        <w:rPr>
          <w:szCs w:val="24"/>
        </w:rPr>
        <w:t xml:space="preserve">. </w:t>
      </w:r>
      <w:r w:rsidR="00826D9D">
        <w:rPr>
          <w:szCs w:val="24"/>
        </w:rPr>
        <w:t>Moderní kapitalistický b</w:t>
      </w:r>
      <w:r w:rsidR="00826D9D" w:rsidRPr="00826D9D">
        <w:rPr>
          <w:szCs w:val="24"/>
        </w:rPr>
        <w:t xml:space="preserve">ůh je svobodný, racionální </w:t>
      </w:r>
      <w:r w:rsidR="00826D9D">
        <w:rPr>
          <w:szCs w:val="24"/>
        </w:rPr>
        <w:t xml:space="preserve">producent </w:t>
      </w:r>
      <w:r w:rsidR="00826D9D" w:rsidRPr="00826D9D">
        <w:rPr>
          <w:szCs w:val="24"/>
        </w:rPr>
        <w:t xml:space="preserve">a používá stejnou logiku jako my. Jednoznačná objektivní metafyzika tvoří </w:t>
      </w:r>
      <w:r w:rsidR="00826D9D">
        <w:rPr>
          <w:szCs w:val="24"/>
        </w:rPr>
        <w:t xml:space="preserve">nový </w:t>
      </w:r>
      <w:r w:rsidR="00826D9D" w:rsidRPr="00826D9D">
        <w:rPr>
          <w:szCs w:val="24"/>
        </w:rPr>
        <w:t>dogmatický a sociální kapitál</w:t>
      </w:r>
      <w:r w:rsidR="00826D9D">
        <w:fldChar w:fldCharType="begin"/>
      </w:r>
      <w:r w:rsidR="00826D9D">
        <w:instrText xml:space="preserve"> XE "</w:instrText>
      </w:r>
      <w:r w:rsidR="00826D9D" w:rsidRPr="000703DD">
        <w:instrText>kapitál</w:instrText>
      </w:r>
      <w:r w:rsidR="00826D9D">
        <w:instrText xml:space="preserve">" </w:instrText>
      </w:r>
      <w:r w:rsidR="00826D9D">
        <w:fldChar w:fldCharType="end"/>
      </w:r>
      <w:r w:rsidR="00826D9D" w:rsidRPr="00826D9D">
        <w:rPr>
          <w:szCs w:val="24"/>
        </w:rPr>
        <w:t>, který zůstává spo</w:t>
      </w:r>
      <w:r w:rsidR="00826D9D">
        <w:rPr>
          <w:szCs w:val="24"/>
        </w:rPr>
        <w:t>lečný oběma moderním subjektům</w:t>
      </w:r>
      <w:r>
        <w:rPr>
          <w:rStyle w:val="addmd"/>
        </w:rPr>
        <w:t xml:space="preserve">. </w:t>
      </w:r>
      <w:r w:rsidRPr="00273106">
        <w:rPr>
          <w:rStyle w:val="addmd"/>
        </w:rPr>
        <w:t xml:space="preserve">Něco jiného je nutnost dění v reálu, kde už </w:t>
      </w:r>
      <w:r>
        <w:rPr>
          <w:rStyle w:val="addmd"/>
        </w:rPr>
        <w:t xml:space="preserve">nevládne potenciální neurčitost dvou protikladných </w:t>
      </w:r>
      <w:r w:rsidRPr="00273106">
        <w:rPr>
          <w:rStyle w:val="addmd"/>
        </w:rPr>
        <w:t>možnost</w:t>
      </w:r>
      <w:r>
        <w:rPr>
          <w:rStyle w:val="addmd"/>
        </w:rPr>
        <w:t>í</w:t>
      </w:r>
      <w:r w:rsidRPr="00273106">
        <w:rPr>
          <w:rStyle w:val="addmd"/>
        </w:rPr>
        <w:t>, ale determinovaná aktualita</w:t>
      </w:r>
      <w:r>
        <w:rPr>
          <w:rStyle w:val="addmd"/>
        </w:rPr>
        <w:t xml:space="preserve"> v modu identity substance (A=A)</w:t>
      </w:r>
      <w:r w:rsidRPr="00273106">
        <w:rPr>
          <w:rStyle w:val="addmd"/>
        </w:rPr>
        <w:t xml:space="preserve">. </w:t>
      </w:r>
      <w:r>
        <w:rPr>
          <w:rStyle w:val="addmd"/>
        </w:rPr>
        <w:t xml:space="preserve">Moderní logika </w:t>
      </w:r>
      <w:r>
        <w:rPr>
          <w:rStyle w:val="addmd"/>
        </w:rPr>
        <w:fldChar w:fldCharType="begin"/>
      </w:r>
      <w:r>
        <w:instrText xml:space="preserve"> XE "</w:instrText>
      </w:r>
      <w:r w:rsidRPr="00BE2EA2">
        <w:rPr>
          <w:i/>
        </w:rPr>
        <w:instrText>logica Modernorum</w:instrText>
      </w:r>
      <w:r>
        <w:instrText xml:space="preserve">" </w:instrText>
      </w:r>
      <w:r>
        <w:rPr>
          <w:rStyle w:val="addmd"/>
        </w:rPr>
        <w:fldChar w:fldCharType="end"/>
      </w:r>
      <w:r>
        <w:rPr>
          <w:rStyle w:val="addmd"/>
        </w:rPr>
        <w:t>daná mytopoeticky na Oxfordu již od Grossetesteho (</w:t>
      </w:r>
      <w:r w:rsidR="002D1C24">
        <w:rPr>
          <w:rStyle w:val="addmd"/>
        </w:rPr>
        <w:t>OBJ II, kap. 3</w:t>
      </w:r>
      <w:r>
        <w:rPr>
          <w:rStyle w:val="addmd"/>
        </w:rPr>
        <w:t>.1.2) nemá žádný problém s tím, že se dívá bohu přes rameno</w:t>
      </w:r>
      <w:r w:rsidRPr="08E477DF">
        <w:rPr>
          <w:rStyle w:val="addmd"/>
        </w:rPr>
        <w:t xml:space="preserve"> </w:t>
      </w:r>
      <w:r>
        <w:rPr>
          <w:rStyle w:val="addmd"/>
        </w:rPr>
        <w:t>na celek stvoření</w:t>
      </w:r>
      <w:r>
        <w:rPr>
          <w:rStyle w:val="addmd"/>
        </w:rPr>
        <w:fldChar w:fldCharType="begin"/>
      </w:r>
      <w:r>
        <w:instrText xml:space="preserve"> XE "</w:instrText>
      </w:r>
      <w:r w:rsidRPr="00BB70E3">
        <w:instrText>zjevování:nasvícení zezadu</w:instrText>
      </w:r>
      <w:r>
        <w:instrText xml:space="preserve">" </w:instrText>
      </w:r>
      <w:r>
        <w:rPr>
          <w:rStyle w:val="addmd"/>
        </w:rPr>
        <w:fldChar w:fldCharType="end"/>
      </w:r>
      <w:r w:rsidR="00F91DC9">
        <w:rPr>
          <w:rStyle w:val="addmd"/>
        </w:rPr>
        <w:t>. Moderní</w:t>
      </w:r>
      <w:r>
        <w:rPr>
          <w:rStyle w:val="addmd"/>
        </w:rPr>
        <w:t xml:space="preserve"> bůh se stal moderním subjektem a banksteři po smrti této modly v epoše nihilismu dále dělají objektivní boží dílo. První averroismus odmítl tuto mytopoetiku moderního boho-lidského subjektu pustit do racionální filosofie. Citovali jsme stanovisko Sigera k boží vůli proti modernistům (</w:t>
      </w:r>
      <w:r w:rsidRPr="006912FC">
        <w:rPr>
          <w:i/>
        </w:rPr>
        <w:t>dico quod sic voluit, quia voluit</w:t>
      </w:r>
      <w:r w:rsidR="00D7233C">
        <w:t>, kap. 4</w:t>
      </w:r>
      <w:r w:rsidRPr="00BE2BDE">
        <w:t>.4.1</w:t>
      </w:r>
      <w:r>
        <w:rPr>
          <w:rStyle w:val="addmd"/>
        </w:rPr>
        <w:t>). Teorie jedné pravdy dává myšlení moderny větší rozlet</w:t>
      </w:r>
      <w:r w:rsidR="000D2D78">
        <w:rPr>
          <w:rStyle w:val="addmd"/>
        </w:rPr>
        <w:t xml:space="preserve">. Tato „relativní utopie“ </w:t>
      </w:r>
      <w:r w:rsidR="000D2D78">
        <w:t>(K. Mannheim)</w:t>
      </w:r>
      <w:r w:rsidR="000D2D78" w:rsidRPr="003641D1">
        <w:t xml:space="preserve"> </w:t>
      </w:r>
      <w:r w:rsidR="000D2D78">
        <w:t xml:space="preserve">vytvořila </w:t>
      </w:r>
      <w:r w:rsidR="000D2D78">
        <w:rPr>
          <w:rStyle w:val="addmd"/>
        </w:rPr>
        <w:t xml:space="preserve">novou </w:t>
      </w:r>
      <w:r w:rsidR="00DD1470">
        <w:rPr>
          <w:rStyle w:val="addmd"/>
        </w:rPr>
        <w:t>„</w:t>
      </w:r>
      <w:r w:rsidR="000D2D78">
        <w:rPr>
          <w:rStyle w:val="addmd"/>
        </w:rPr>
        <w:t>kulturní hegemonii</w:t>
      </w:r>
      <w:r w:rsidR="00DD1470">
        <w:rPr>
          <w:rStyle w:val="addmd"/>
        </w:rPr>
        <w:t xml:space="preserve">“ </w:t>
      </w:r>
      <w:r w:rsidR="00DD1470">
        <w:t>(A. Gramsci)</w:t>
      </w:r>
      <w:r w:rsidR="000D2D78">
        <w:rPr>
          <w:rStyle w:val="addmd"/>
        </w:rPr>
        <w:t xml:space="preserve"> a </w:t>
      </w:r>
      <w:r>
        <w:rPr>
          <w:rStyle w:val="addmd"/>
        </w:rPr>
        <w:t xml:space="preserve">dovoluje s jistotou přehlédnout celek boží psychologie a myšlení. </w:t>
      </w:r>
      <w:r w:rsidR="002905F3">
        <w:rPr>
          <w:rStyle w:val="addmd"/>
        </w:rPr>
        <w:t xml:space="preserve">Moderní věda je </w:t>
      </w:r>
      <w:r w:rsidR="002E595D">
        <w:rPr>
          <w:rStyle w:val="addmd"/>
        </w:rPr>
        <w:t xml:space="preserve">plně </w:t>
      </w:r>
      <w:r w:rsidR="002905F3">
        <w:rPr>
          <w:rStyle w:val="addmd"/>
        </w:rPr>
        <w:t xml:space="preserve">radostná a </w:t>
      </w:r>
      <w:r w:rsidR="002E595D">
        <w:rPr>
          <w:rStyle w:val="addmd"/>
        </w:rPr>
        <w:t xml:space="preserve">plně </w:t>
      </w:r>
      <w:r w:rsidR="002905F3">
        <w:rPr>
          <w:rStyle w:val="addmd"/>
        </w:rPr>
        <w:t xml:space="preserve">stupidní. </w:t>
      </w:r>
      <w:r>
        <w:rPr>
          <w:rStyle w:val="addmd"/>
        </w:rPr>
        <w:t>Scotus založil éru objektivní hegemonie moderny, kterou na mystické rovině zahájili Ru</w:t>
      </w:r>
      <w:r w:rsidR="00D7233C">
        <w:rPr>
          <w:rStyle w:val="addmd"/>
        </w:rPr>
        <w:t>fus, Bonaventura a Olivi (kap. 5</w:t>
      </w:r>
      <w:r>
        <w:rPr>
          <w:rStyle w:val="addmd"/>
        </w:rPr>
        <w:t xml:space="preserve">.1.2). </w:t>
      </w:r>
      <w:r w:rsidR="00AA6C22">
        <w:rPr>
          <w:rStyle w:val="addmd"/>
        </w:rPr>
        <w:t xml:space="preserve">Následující citát zakládá sféru objektivní fakticity </w:t>
      </w:r>
      <w:r w:rsidR="00AA6C22" w:rsidRPr="00273106">
        <w:rPr>
          <w:rStyle w:val="addmd"/>
        </w:rPr>
        <w:t>(</w:t>
      </w:r>
      <w:r w:rsidR="00AA6C22" w:rsidRPr="00273106">
        <w:rPr>
          <w:i/>
        </w:rPr>
        <w:t>sub ratione factibilis</w:t>
      </w:r>
      <w:r w:rsidR="00AA6C22">
        <w:rPr>
          <w:rStyle w:val="addmd"/>
        </w:rPr>
        <w:t xml:space="preserve">) objektivně určující stvořená jsoucna. Scotus </w:t>
      </w:r>
      <w:r>
        <w:rPr>
          <w:rStyle w:val="addmd"/>
        </w:rPr>
        <w:t xml:space="preserve">ukazuje objektivní formu predikace </w:t>
      </w:r>
      <w:r w:rsidR="00BF7C3A">
        <w:rPr>
          <w:rStyle w:val="addmd"/>
        </w:rPr>
        <w:t>„</w:t>
      </w:r>
      <w:r w:rsidRPr="08D44824">
        <w:rPr>
          <w:rStyle w:val="addmd"/>
          <w:i/>
        </w:rPr>
        <w:t>in artificialibus</w:t>
      </w:r>
      <w:r w:rsidR="00BF7C3A">
        <w:rPr>
          <w:rStyle w:val="addmd"/>
        </w:rPr>
        <w:t>“</w:t>
      </w:r>
      <w:r>
        <w:rPr>
          <w:rStyle w:val="addmd"/>
          <w:i/>
        </w:rPr>
        <w:fldChar w:fldCharType="begin"/>
      </w:r>
      <w:r>
        <w:instrText xml:space="preserve"> XE "</w:instrText>
      </w:r>
      <w:r w:rsidRPr="080657AE">
        <w:rPr>
          <w:rStyle w:val="addmd"/>
        </w:rPr>
        <w:instrText>predikace:</w:instrText>
      </w:r>
      <w:r w:rsidRPr="080657AE">
        <w:rPr>
          <w:rStyle w:val="addmd"/>
          <w:i/>
        </w:rPr>
        <w:instrText>in artificialibus</w:instrText>
      </w:r>
      <w:r>
        <w:instrText xml:space="preserve">" </w:instrText>
      </w:r>
      <w:r>
        <w:rPr>
          <w:rStyle w:val="addmd"/>
          <w:i/>
        </w:rPr>
        <w:fldChar w:fldCharType="end"/>
      </w:r>
      <w:r>
        <w:rPr>
          <w:rStyle w:val="addmd"/>
        </w:rPr>
        <w:t>, která běží v boží mysli.</w:t>
      </w:r>
    </w:p>
    <w:p w:rsidR="08163013" w:rsidRPr="00026A91" w:rsidRDefault="08163013" w:rsidP="08163013">
      <w:pPr>
        <w:pStyle w:val="Citace"/>
        <w:rPr>
          <w:rStyle w:val="addmd"/>
          <w:noProof/>
          <w:lang w:val="cs-CZ"/>
        </w:rPr>
      </w:pPr>
      <w:r>
        <w:rPr>
          <w:noProof/>
        </w:rPr>
        <w:t>„</w:t>
      </w:r>
      <w:r>
        <w:rPr>
          <w:noProof/>
          <w:lang w:val="cs-CZ"/>
        </w:rPr>
        <w:t>Boží intelekt nahlíží pravdu jakéhokoliv složeného jsoucna směrem od stvořitelské a činné vůle a pravdivost tohoto jsoucna sám sobě bezprostředně zpřítomňuje skrze bytí své vlastní esence. Tato pravda se nemanifestuje ve stvořitelském stavu (</w:t>
      </w:r>
      <w:r w:rsidRPr="00884E0A">
        <w:rPr>
          <w:i/>
          <w:noProof/>
        </w:rPr>
        <w:t>non relucet sub ratione factibilis</w:t>
      </w:r>
      <w:r>
        <w:rPr>
          <w:noProof/>
          <w:lang w:val="cs-CZ"/>
        </w:rPr>
        <w:t xml:space="preserve">) a v jeho esenci, dokud není předtím determinována boží vůlí.“ </w:t>
      </w:r>
      <w:r>
        <w:rPr>
          <w:rStyle w:val="Znakapoznpodarou"/>
        </w:rPr>
        <w:footnoteReference w:id="451"/>
      </w:r>
    </w:p>
    <w:p w:rsidR="08163013" w:rsidRDefault="08163013" w:rsidP="08163013">
      <w:pPr>
        <w:rPr>
          <w:rStyle w:val="addmd"/>
        </w:rPr>
      </w:pPr>
      <w:r w:rsidRPr="00273106">
        <w:rPr>
          <w:rStyle w:val="addmd"/>
        </w:rPr>
        <w:t>Aktualita boží vůle dává formální determinaci int</w:t>
      </w:r>
      <w:r>
        <w:rPr>
          <w:rStyle w:val="addmd"/>
        </w:rPr>
        <w:t>elektu, v němž se manifestuje (</w:t>
      </w:r>
      <w:r w:rsidRPr="00273106">
        <w:rPr>
          <w:rStyle w:val="addmd"/>
          <w:i/>
        </w:rPr>
        <w:t>relucet</w:t>
      </w:r>
      <w:r w:rsidRPr="00273106">
        <w:rPr>
          <w:rStyle w:val="addmd"/>
        </w:rPr>
        <w:t>) každý možný kontigentní stav světa na základě so</w:t>
      </w:r>
      <w:r>
        <w:rPr>
          <w:rStyle w:val="addmd"/>
        </w:rPr>
        <w:t>učinnosti boží vůle a intelektu. Boží intelekt nazírá pravdu reálné věci (</w:t>
      </w:r>
      <w:r w:rsidRPr="00273106">
        <w:rPr>
          <w:i/>
        </w:rPr>
        <w:t>veritatem alicuius complexionis</w:t>
      </w:r>
      <w:r>
        <w:rPr>
          <w:rStyle w:val="addmd"/>
        </w:rPr>
        <w:t xml:space="preserve">), kterou vytváří jeho vůle </w:t>
      </w:r>
      <w:r w:rsidRPr="00273106">
        <w:rPr>
          <w:rStyle w:val="addmd"/>
        </w:rPr>
        <w:t>(</w:t>
      </w:r>
      <w:r w:rsidRPr="00273106">
        <w:rPr>
          <w:i/>
        </w:rPr>
        <w:t>factam et operatam a voluntate</w:t>
      </w:r>
      <w:r w:rsidRPr="00273106">
        <w:rPr>
          <w:rStyle w:val="addmd"/>
        </w:rPr>
        <w:t xml:space="preserve">). Boží vůle spoludeterminuje objektivní </w:t>
      </w:r>
      <w:r>
        <w:rPr>
          <w:rStyle w:val="addmd"/>
        </w:rPr>
        <w:t xml:space="preserve">pravdu dané složeniny </w:t>
      </w:r>
      <w:r w:rsidRPr="00273106">
        <w:rPr>
          <w:rStyle w:val="addmd"/>
        </w:rPr>
        <w:lastRenderedPageBreak/>
        <w:t>(</w:t>
      </w:r>
      <w:r w:rsidRPr="00273106">
        <w:rPr>
          <w:i/>
        </w:rPr>
        <w:t>determinatum sit a voluntate divina</w:t>
      </w:r>
      <w:r>
        <w:rPr>
          <w:rStyle w:val="addmd"/>
        </w:rPr>
        <w:t xml:space="preserve">). Tím vzniká objektivní </w:t>
      </w:r>
      <w:r w:rsidRPr="00273106">
        <w:rPr>
          <w:rStyle w:val="addmd"/>
        </w:rPr>
        <w:t xml:space="preserve">určení </w:t>
      </w:r>
      <w:r w:rsidR="00423ABF">
        <w:rPr>
          <w:rStyle w:val="addmd"/>
        </w:rPr>
        <w:t xml:space="preserve">každé možné </w:t>
      </w:r>
      <w:r w:rsidRPr="00273106">
        <w:rPr>
          <w:rStyle w:val="addmd"/>
        </w:rPr>
        <w:t>proveditelnosti (</w:t>
      </w:r>
      <w:r w:rsidRPr="00273106">
        <w:rPr>
          <w:i/>
        </w:rPr>
        <w:t>sub ratione factibilis</w:t>
      </w:r>
      <w:r>
        <w:rPr>
          <w:rStyle w:val="addmd"/>
        </w:rPr>
        <w:t xml:space="preserve">) dané v boží </w:t>
      </w:r>
      <w:r w:rsidR="00423ABF">
        <w:rPr>
          <w:rStyle w:val="addmd"/>
        </w:rPr>
        <w:t xml:space="preserve">esenci </w:t>
      </w:r>
      <w:r>
        <w:rPr>
          <w:rStyle w:val="addmd"/>
        </w:rPr>
        <w:t>(</w:t>
      </w:r>
      <w:r w:rsidRPr="00273106">
        <w:rPr>
          <w:i/>
        </w:rPr>
        <w:t>in essentia</w:t>
      </w:r>
      <w:r>
        <w:rPr>
          <w:rStyle w:val="addmd"/>
        </w:rPr>
        <w:t xml:space="preserve">). Objektivní pravda </w:t>
      </w:r>
      <w:r w:rsidR="00884D24">
        <w:rPr>
          <w:rStyle w:val="addmd"/>
        </w:rPr>
        <w:t xml:space="preserve">reálné </w:t>
      </w:r>
      <w:r>
        <w:rPr>
          <w:rStyle w:val="addmd"/>
        </w:rPr>
        <w:t xml:space="preserve">věci </w:t>
      </w:r>
      <w:r w:rsidRPr="00273106">
        <w:rPr>
          <w:rStyle w:val="addmd"/>
        </w:rPr>
        <w:t xml:space="preserve">je </w:t>
      </w:r>
      <w:r>
        <w:rPr>
          <w:rStyle w:val="addmd"/>
        </w:rPr>
        <w:t xml:space="preserve">stvořena vůlí, nikoliv pouze božím rozumem </w:t>
      </w:r>
      <w:r w:rsidRPr="00273106">
        <w:rPr>
          <w:rStyle w:val="addmd"/>
        </w:rPr>
        <w:t>(</w:t>
      </w:r>
      <w:r w:rsidRPr="00273106">
        <w:rPr>
          <w:i/>
        </w:rPr>
        <w:t>factam et operatam a voluntate</w:t>
      </w:r>
      <w:r w:rsidRPr="00273106">
        <w:t xml:space="preserve">). </w:t>
      </w:r>
      <w:r w:rsidR="0036603A" w:rsidRPr="00273106">
        <w:t>Boží intelekt vidí pravdu takto daného objektivního jsoucna (</w:t>
      </w:r>
      <w:r w:rsidR="0036603A" w:rsidRPr="00273106">
        <w:rPr>
          <w:i/>
        </w:rPr>
        <w:t>intellectus divinus videt veritatem alicuius complexionis</w:t>
      </w:r>
      <w:r w:rsidR="0036603A" w:rsidRPr="00273106">
        <w:t>).</w:t>
      </w:r>
      <w:r w:rsidR="0036603A">
        <w:t xml:space="preserve"> </w:t>
      </w:r>
      <w:r w:rsidRPr="00273106">
        <w:t>V</w:t>
      </w:r>
      <w:r w:rsidRPr="00273106">
        <w:rPr>
          <w:rStyle w:val="addmd"/>
        </w:rPr>
        <w:t>olu</w:t>
      </w:r>
      <w:r>
        <w:rPr>
          <w:rStyle w:val="addmd"/>
        </w:rPr>
        <w:t>n</w:t>
      </w:r>
      <w:r w:rsidRPr="00273106">
        <w:rPr>
          <w:rStyle w:val="addmd"/>
        </w:rPr>
        <w:t xml:space="preserve">taristická produkce objektivity ustavila první verzi objektivního </w:t>
      </w:r>
      <w:r w:rsidRPr="00273106">
        <w:rPr>
          <w:rStyle w:val="addmd"/>
          <w:i/>
        </w:rPr>
        <w:t>factum</w:t>
      </w:r>
      <w:r>
        <w:rPr>
          <w:rStyle w:val="addmd"/>
          <w:i/>
        </w:rPr>
        <w:fldChar w:fldCharType="begin"/>
      </w:r>
      <w:r>
        <w:instrText xml:space="preserve"> XE "</w:instrText>
      </w:r>
      <w:r w:rsidRPr="0012277B">
        <w:rPr>
          <w:i/>
        </w:rPr>
        <w:instrText>factum</w:instrText>
      </w:r>
      <w:r>
        <w:instrText xml:space="preserve">" </w:instrText>
      </w:r>
      <w:r>
        <w:rPr>
          <w:rStyle w:val="addmd"/>
          <w:i/>
        </w:rPr>
        <w:fldChar w:fldCharType="end"/>
      </w:r>
      <w:r w:rsidRPr="00273106">
        <w:rPr>
          <w:rStyle w:val="addmd"/>
        </w:rPr>
        <w:t xml:space="preserve">, tedy objektivní </w:t>
      </w:r>
      <w:r>
        <w:rPr>
          <w:rStyle w:val="addmd"/>
        </w:rPr>
        <w:t xml:space="preserve">pravdy </w:t>
      </w:r>
      <w:r w:rsidRPr="00273106">
        <w:rPr>
          <w:rStyle w:val="addmd"/>
        </w:rPr>
        <w:t>kontigentních jsoucen</w:t>
      </w:r>
      <w:r>
        <w:rPr>
          <w:rStyle w:val="addmd"/>
        </w:rPr>
        <w:t xml:space="preserve"> v modu </w:t>
      </w:r>
      <w:r w:rsidR="00884D24">
        <w:rPr>
          <w:rStyle w:val="addmd"/>
        </w:rPr>
        <w:t xml:space="preserve">voluntaristické </w:t>
      </w:r>
      <w:r>
        <w:rPr>
          <w:rStyle w:val="addmd"/>
        </w:rPr>
        <w:t>demiurgické produkce</w:t>
      </w:r>
      <w:r w:rsidRPr="00273106">
        <w:rPr>
          <w:rStyle w:val="addmd"/>
        </w:rPr>
        <w:t xml:space="preserve">. </w:t>
      </w:r>
      <w:r w:rsidR="000B4D37" w:rsidRPr="000B4D37">
        <w:rPr>
          <w:rStyle w:val="addmd"/>
        </w:rPr>
        <w:t xml:space="preserve">Scotus navázal na Oliviho a vytvořil novou verzi </w:t>
      </w:r>
      <w:r w:rsidR="000B4D37" w:rsidRPr="000B4D37">
        <w:rPr>
          <w:rStyle w:val="addmd"/>
          <w:i/>
        </w:rPr>
        <w:t>dativus modi</w:t>
      </w:r>
      <w:r w:rsidR="000B4D37">
        <w:rPr>
          <w:rStyle w:val="addmd"/>
          <w:i/>
        </w:rPr>
        <w:fldChar w:fldCharType="begin"/>
      </w:r>
      <w:r w:rsidR="000B4D37">
        <w:instrText xml:space="preserve"> XE "</w:instrText>
      </w:r>
      <w:r w:rsidR="000B4D37" w:rsidRPr="00902FB2">
        <w:rPr>
          <w:rStyle w:val="addmd"/>
          <w:i/>
        </w:rPr>
        <w:instrText>dativus modi</w:instrText>
      </w:r>
      <w:r w:rsidR="000B4D37">
        <w:instrText xml:space="preserve">" </w:instrText>
      </w:r>
      <w:r w:rsidR="000B4D37">
        <w:rPr>
          <w:rStyle w:val="addmd"/>
          <w:i/>
        </w:rPr>
        <w:fldChar w:fldCharType="end"/>
      </w:r>
      <w:r w:rsidR="000B4D37" w:rsidRPr="000B4D37">
        <w:rPr>
          <w:rStyle w:val="addmd"/>
        </w:rPr>
        <w:t>, která stanovila věčnou modalitu objektivní kapitalistické výroby dané jako takové (</w:t>
      </w:r>
      <w:r w:rsidR="000B4D37" w:rsidRPr="000B4D37">
        <w:rPr>
          <w:rStyle w:val="addmd"/>
          <w:i/>
        </w:rPr>
        <w:t>sub ratione factibilis</w:t>
      </w:r>
      <w:r w:rsidR="000B4D37" w:rsidRPr="000B4D37">
        <w:rPr>
          <w:rStyle w:val="addmd"/>
        </w:rPr>
        <w:t xml:space="preserve">). </w:t>
      </w:r>
      <w:r>
        <w:rPr>
          <w:rStyle w:val="addmd"/>
        </w:rPr>
        <w:t>V bohu v</w:t>
      </w:r>
      <w:r w:rsidRPr="00273106">
        <w:rPr>
          <w:rStyle w:val="addmd"/>
        </w:rPr>
        <w:t>zniklo primární místo kauzálně dané objekti</w:t>
      </w:r>
      <w:r>
        <w:rPr>
          <w:rStyle w:val="addmd"/>
        </w:rPr>
        <w:t xml:space="preserve">vity </w:t>
      </w:r>
      <w:r w:rsidR="00197742">
        <w:rPr>
          <w:rStyle w:val="addmd"/>
        </w:rPr>
        <w:t xml:space="preserve">dané </w:t>
      </w:r>
      <w:r>
        <w:rPr>
          <w:rStyle w:val="addmd"/>
        </w:rPr>
        <w:t xml:space="preserve">ipseitně </w:t>
      </w:r>
      <w:r w:rsidR="00197742">
        <w:rPr>
          <w:rStyle w:val="addmd"/>
        </w:rPr>
        <w:t xml:space="preserve">a </w:t>
      </w:r>
      <w:r w:rsidR="008D50D9">
        <w:rPr>
          <w:rStyle w:val="addmd"/>
        </w:rPr>
        <w:t xml:space="preserve">jako objekty </w:t>
      </w:r>
      <w:r>
        <w:rPr>
          <w:rStyle w:val="addmd"/>
        </w:rPr>
        <w:t xml:space="preserve">potenciálního </w:t>
      </w:r>
      <w:r w:rsidR="008D50D9">
        <w:rPr>
          <w:rStyle w:val="addmd"/>
        </w:rPr>
        <w:t xml:space="preserve">božího </w:t>
      </w:r>
      <w:r w:rsidRPr="00273106">
        <w:rPr>
          <w:rStyle w:val="addmd"/>
          <w:i/>
        </w:rPr>
        <w:t>facere</w:t>
      </w:r>
      <w:r w:rsidR="00197742">
        <w:rPr>
          <w:rStyle w:val="addmd"/>
        </w:rPr>
        <w:t xml:space="preserve">. Tato </w:t>
      </w:r>
      <w:r w:rsidR="00A77722">
        <w:rPr>
          <w:rStyle w:val="addmd"/>
        </w:rPr>
        <w:t xml:space="preserve">demiurgická </w:t>
      </w:r>
      <w:r w:rsidR="00197742">
        <w:rPr>
          <w:rStyle w:val="addmd"/>
        </w:rPr>
        <w:t xml:space="preserve">objektivita je </w:t>
      </w:r>
      <w:r w:rsidRPr="00273106">
        <w:rPr>
          <w:rStyle w:val="addmd"/>
        </w:rPr>
        <w:t>založen</w:t>
      </w:r>
      <w:r w:rsidR="00197742">
        <w:rPr>
          <w:rStyle w:val="addmd"/>
        </w:rPr>
        <w:t xml:space="preserve">a jako </w:t>
      </w:r>
      <w:r w:rsidRPr="00273106">
        <w:rPr>
          <w:rStyle w:val="addmd"/>
        </w:rPr>
        <w:t>čist</w:t>
      </w:r>
      <w:r w:rsidR="00197742">
        <w:rPr>
          <w:rStyle w:val="addmd"/>
        </w:rPr>
        <w:t>á možnost</w:t>
      </w:r>
      <w:r w:rsidRPr="00273106">
        <w:rPr>
          <w:rStyle w:val="addmd"/>
        </w:rPr>
        <w:t xml:space="preserve"> bez jakéhokoliv vnějšího účinku (</w:t>
      </w:r>
      <w:r w:rsidRPr="00273106">
        <w:rPr>
          <w:rStyle w:val="addmd"/>
          <w:i/>
        </w:rPr>
        <w:t>voluntas divina inquantum est operativa ad intra</w:t>
      </w:r>
      <w:r w:rsidRPr="00273106">
        <w:rPr>
          <w:rStyle w:val="addmd"/>
        </w:rPr>
        <w:t>;</w:t>
      </w:r>
      <w:r w:rsidRPr="00A55691">
        <w:t xml:space="preserve"> </w:t>
      </w:r>
      <w:r w:rsidRPr="007F1C96">
        <w:rPr>
          <w:i/>
        </w:rPr>
        <w:t>Vat</w:t>
      </w:r>
      <w:r>
        <w:t xml:space="preserve">. </w:t>
      </w:r>
      <w:r w:rsidRPr="00273106">
        <w:t>XVII</w:t>
      </w:r>
      <w:r w:rsidRPr="00273106">
        <w:rPr>
          <w:rStyle w:val="addmd"/>
        </w:rPr>
        <w:t xml:space="preserve">, </w:t>
      </w:r>
      <w:r w:rsidRPr="00273106">
        <w:t>no. 54; p. 497.13‒15</w:t>
      </w:r>
      <w:r>
        <w:fldChar w:fldCharType="begin"/>
      </w:r>
      <w:r>
        <w:instrText xml:space="preserve"> XE "Scotus:</w:instrText>
      </w:r>
      <w:r w:rsidRPr="00ED7808">
        <w:rPr>
          <w:i/>
        </w:rPr>
        <w:instrText>Lectura</w:instrText>
      </w:r>
      <w:r w:rsidRPr="00ED7808">
        <w:instrText xml:space="preserve"> </w:instrText>
      </w:r>
      <w:r>
        <w:instrText>1.497</w:instrText>
      </w:r>
      <w:r w:rsidRPr="00ED7808">
        <w:instrText>.13‒15</w:instrText>
      </w:r>
      <w:r>
        <w:instrText xml:space="preserve">" </w:instrText>
      </w:r>
      <w:r>
        <w:fldChar w:fldCharType="end"/>
      </w:r>
      <w:r w:rsidRPr="00273106">
        <w:rPr>
          <w:rStyle w:val="addmd"/>
        </w:rPr>
        <w:t xml:space="preserve">). Scotus vytvořil </w:t>
      </w:r>
      <w:r>
        <w:rPr>
          <w:rStyle w:val="addmd"/>
        </w:rPr>
        <w:t xml:space="preserve">po vzoru Oliviho v moderním bohu intimní </w:t>
      </w:r>
      <w:r w:rsidRPr="00273106">
        <w:rPr>
          <w:rStyle w:val="addmd"/>
        </w:rPr>
        <w:t xml:space="preserve">univerzum kontingentních možností </w:t>
      </w:r>
      <w:r>
        <w:rPr>
          <w:rStyle w:val="addmd"/>
        </w:rPr>
        <w:t xml:space="preserve">demiurgické tvorby </w:t>
      </w:r>
      <w:r w:rsidRPr="00273106">
        <w:rPr>
          <w:rStyle w:val="addmd"/>
        </w:rPr>
        <w:t>postaven</w:t>
      </w:r>
      <w:r>
        <w:rPr>
          <w:rStyle w:val="addmd"/>
        </w:rPr>
        <w:t xml:space="preserve">é </w:t>
      </w:r>
      <w:r w:rsidRPr="00273106">
        <w:rPr>
          <w:rStyle w:val="addmd"/>
        </w:rPr>
        <w:t>pouze proti nemožnosti jako logické kontradikci (</w:t>
      </w:r>
      <w:r w:rsidRPr="00273106">
        <w:rPr>
          <w:rStyle w:val="addmd"/>
          <w:i/>
        </w:rPr>
        <w:t>si aliquid est possibile, est ponibile</w:t>
      </w:r>
      <w:r w:rsidRPr="00273106">
        <w:rPr>
          <w:rStyle w:val="addmd"/>
        </w:rPr>
        <w:t>; ibid, no. 72, p. 504.14‒15</w:t>
      </w:r>
      <w:r>
        <w:fldChar w:fldCharType="begin"/>
      </w:r>
      <w:r>
        <w:instrText xml:space="preserve"> XE "Scotus:</w:instrText>
      </w:r>
      <w:r w:rsidRPr="00ED7808">
        <w:rPr>
          <w:i/>
        </w:rPr>
        <w:instrText>Lectura</w:instrText>
      </w:r>
      <w:r w:rsidRPr="00ED7808">
        <w:instrText xml:space="preserve"> </w:instrText>
      </w:r>
      <w:r>
        <w:instrText>1.504.14</w:instrText>
      </w:r>
      <w:r w:rsidRPr="00ED7808">
        <w:instrText>‒15</w:instrText>
      </w:r>
      <w:r>
        <w:instrText xml:space="preserve">" </w:instrText>
      </w:r>
      <w:r>
        <w:fldChar w:fldCharType="end"/>
      </w:r>
      <w:r w:rsidRPr="00273106">
        <w:rPr>
          <w:rStyle w:val="addmd"/>
        </w:rPr>
        <w:t>). Jsoucno jako čistá možnost (</w:t>
      </w:r>
      <w:r w:rsidRPr="00273106">
        <w:rPr>
          <w:rStyle w:val="addmd"/>
          <w:i/>
        </w:rPr>
        <w:t>possibile</w:t>
      </w:r>
      <w:r w:rsidRPr="00273106">
        <w:rPr>
          <w:rStyle w:val="addmd"/>
        </w:rPr>
        <w:t>) dostává objektivitu</w:t>
      </w:r>
      <w:r w:rsidR="004A6B37">
        <w:rPr>
          <w:rStyle w:val="addmd"/>
        </w:rPr>
        <w:t xml:space="preserve"> a také </w:t>
      </w:r>
      <w:r w:rsidRPr="00273106">
        <w:rPr>
          <w:rStyle w:val="addmd"/>
        </w:rPr>
        <w:t xml:space="preserve">první </w:t>
      </w:r>
      <w:r>
        <w:rPr>
          <w:rStyle w:val="addmd"/>
        </w:rPr>
        <w:t xml:space="preserve">fakticitu a </w:t>
      </w:r>
      <w:r w:rsidR="009B3169">
        <w:rPr>
          <w:rStyle w:val="addmd"/>
        </w:rPr>
        <w:t xml:space="preserve">pozitivitu ve smyslu </w:t>
      </w:r>
      <w:r w:rsidR="009B3169" w:rsidRPr="009B3169">
        <w:rPr>
          <w:rStyle w:val="addmd"/>
          <w:i/>
        </w:rPr>
        <w:t>absolute</w:t>
      </w:r>
      <w:r w:rsidRPr="00273106">
        <w:rPr>
          <w:rStyle w:val="addmd"/>
        </w:rPr>
        <w:t xml:space="preserve">, čili </w:t>
      </w:r>
      <w:r w:rsidR="00954B05">
        <w:rPr>
          <w:rStyle w:val="addmd"/>
        </w:rPr>
        <w:t xml:space="preserve">plně </w:t>
      </w:r>
      <w:r w:rsidRPr="00273106">
        <w:rPr>
          <w:rStyle w:val="addmd"/>
        </w:rPr>
        <w:t xml:space="preserve">oddělené kontingence </w:t>
      </w:r>
      <w:r w:rsidR="009B3169">
        <w:rPr>
          <w:rStyle w:val="addmd"/>
        </w:rPr>
        <w:t xml:space="preserve">dané pouze v moderním bohu </w:t>
      </w:r>
      <w:r w:rsidRPr="00273106">
        <w:rPr>
          <w:rStyle w:val="addmd"/>
        </w:rPr>
        <w:t>(</w:t>
      </w:r>
      <w:r w:rsidRPr="00273106">
        <w:rPr>
          <w:rStyle w:val="addmd"/>
          <w:i/>
        </w:rPr>
        <w:t>ponibile</w:t>
      </w:r>
      <w:r w:rsidRPr="00273106">
        <w:rPr>
          <w:rStyle w:val="addmd"/>
        </w:rPr>
        <w:t xml:space="preserve">). </w:t>
      </w:r>
      <w:r w:rsidR="00AE02DC">
        <w:rPr>
          <w:rStyle w:val="addmd"/>
        </w:rPr>
        <w:t>T</w:t>
      </w:r>
      <w:r>
        <w:rPr>
          <w:rStyle w:val="addmd"/>
        </w:rPr>
        <w:t xml:space="preserve">vrzení „co je možné, to je proveditelné“ se stalo základním imperativem vědy v epoše metafyzického nihilismu, kdy myšlení přestalo být determinováno reálnou první substancí. </w:t>
      </w:r>
      <w:r w:rsidR="000A4A4B" w:rsidRPr="000A4A4B">
        <w:rPr>
          <w:rStyle w:val="addmd"/>
        </w:rPr>
        <w:t>Scotus vložil tento druh objektivních, absolutně uskutečn</w:t>
      </w:r>
      <w:r w:rsidR="000A4A4B">
        <w:rPr>
          <w:rStyle w:val="addmd"/>
        </w:rPr>
        <w:t>itelných možností do moderního b</w:t>
      </w:r>
      <w:r w:rsidR="000A4A4B" w:rsidRPr="000A4A4B">
        <w:rPr>
          <w:rStyle w:val="addmd"/>
        </w:rPr>
        <w:t>oha</w:t>
      </w:r>
      <w:r w:rsidR="000A4A4B">
        <w:rPr>
          <w:rStyle w:val="addmd"/>
        </w:rPr>
        <w:t xml:space="preserve">. </w:t>
      </w:r>
      <w:r w:rsidR="00324601">
        <w:rPr>
          <w:rStyle w:val="addmd"/>
        </w:rPr>
        <w:t>Bůh s</w:t>
      </w:r>
      <w:r w:rsidR="000A4A4B">
        <w:rPr>
          <w:rStyle w:val="addmd"/>
        </w:rPr>
        <w:t xml:space="preserve">e </w:t>
      </w:r>
      <w:r w:rsidR="00324601">
        <w:rPr>
          <w:rStyle w:val="addmd"/>
        </w:rPr>
        <w:t>od</w:t>
      </w:r>
      <w:r w:rsidR="00915AC0">
        <w:rPr>
          <w:rStyle w:val="addmd"/>
        </w:rPr>
        <w:t xml:space="preserve"> nynějška </w:t>
      </w:r>
      <w:r w:rsidR="000A4A4B" w:rsidRPr="000A4A4B">
        <w:rPr>
          <w:rStyle w:val="addmd"/>
        </w:rPr>
        <w:t>stal hlavním d</w:t>
      </w:r>
      <w:r w:rsidR="000A4A4B">
        <w:rPr>
          <w:rStyle w:val="addmd"/>
        </w:rPr>
        <w:t>onátorem epochálně nové formy západního šílenství (</w:t>
      </w:r>
      <w:r w:rsidR="000A4A4B" w:rsidRPr="000A4A4B">
        <w:rPr>
          <w:rStyle w:val="addmd"/>
          <w:i/>
        </w:rPr>
        <w:t>Irre</w:t>
      </w:r>
      <w:r w:rsidR="000A4A4B">
        <w:rPr>
          <w:rStyle w:val="addmd"/>
          <w:i/>
        </w:rPr>
        <w:fldChar w:fldCharType="begin"/>
      </w:r>
      <w:r w:rsidR="000A4A4B">
        <w:instrText xml:space="preserve"> XE "</w:instrText>
      </w:r>
      <w:r w:rsidR="000A4A4B" w:rsidRPr="004D6FC5">
        <w:rPr>
          <w:rStyle w:val="addmd"/>
          <w:i/>
        </w:rPr>
        <w:instrText>Irre</w:instrText>
      </w:r>
      <w:r w:rsidR="000A4A4B">
        <w:instrText xml:space="preserve">" </w:instrText>
      </w:r>
      <w:r w:rsidR="000A4A4B">
        <w:rPr>
          <w:rStyle w:val="addmd"/>
          <w:i/>
        </w:rPr>
        <w:fldChar w:fldCharType="end"/>
      </w:r>
      <w:r w:rsidR="000A4A4B">
        <w:rPr>
          <w:rStyle w:val="addmd"/>
        </w:rPr>
        <w:t xml:space="preserve">), což je </w:t>
      </w:r>
      <w:r w:rsidR="000A4A4B" w:rsidRPr="000A4A4B">
        <w:rPr>
          <w:rStyle w:val="addmd"/>
        </w:rPr>
        <w:t>objektivní</w:t>
      </w:r>
      <w:r w:rsidR="000A4A4B">
        <w:rPr>
          <w:rStyle w:val="addmd"/>
        </w:rPr>
        <w:t xml:space="preserve"> forma </w:t>
      </w:r>
      <w:r w:rsidR="000A4A4B" w:rsidRPr="000A4A4B">
        <w:rPr>
          <w:rStyle w:val="addmd"/>
        </w:rPr>
        <w:t>kapitalismu</w:t>
      </w:r>
      <w:r w:rsidR="000A4A4B">
        <w:rPr>
          <w:rStyle w:val="addmd"/>
        </w:rPr>
        <w:fldChar w:fldCharType="begin"/>
      </w:r>
      <w:r w:rsidR="000A4A4B">
        <w:instrText xml:space="preserve"> XE "</w:instrText>
      </w:r>
      <w:r w:rsidR="000A4A4B" w:rsidRPr="00546481">
        <w:rPr>
          <w:rStyle w:val="addmd"/>
        </w:rPr>
        <w:instrText>kapitalismus</w:instrText>
      </w:r>
      <w:r w:rsidR="000A4A4B">
        <w:instrText xml:space="preserve">" </w:instrText>
      </w:r>
      <w:r w:rsidR="000A4A4B">
        <w:rPr>
          <w:rStyle w:val="addmd"/>
        </w:rPr>
        <w:fldChar w:fldCharType="end"/>
      </w:r>
      <w:r w:rsidR="000A4A4B" w:rsidRPr="000A4A4B">
        <w:rPr>
          <w:rStyle w:val="addmd"/>
        </w:rPr>
        <w:t xml:space="preserve">. Scotus </w:t>
      </w:r>
      <w:r w:rsidR="000A4A4B">
        <w:rPr>
          <w:rStyle w:val="addmd"/>
        </w:rPr>
        <w:t xml:space="preserve">definoval novou formu </w:t>
      </w:r>
      <w:r w:rsidR="000A4A4B" w:rsidRPr="000A4A4B">
        <w:rPr>
          <w:rStyle w:val="addmd"/>
          <w:i/>
        </w:rPr>
        <w:t xml:space="preserve">dativus auctoris </w:t>
      </w:r>
      <w:r w:rsidR="000A4A4B">
        <w:rPr>
          <w:rStyle w:val="addmd"/>
        </w:rPr>
        <w:t xml:space="preserve">jako </w:t>
      </w:r>
      <w:r w:rsidR="000A4A4B" w:rsidRPr="000A4A4B">
        <w:rPr>
          <w:rStyle w:val="addmd"/>
          <w:i/>
        </w:rPr>
        <w:t xml:space="preserve">locus specierum </w:t>
      </w:r>
      <w:r w:rsidR="000A4A4B" w:rsidRPr="000A4A4B">
        <w:rPr>
          <w:rStyle w:val="addmd"/>
        </w:rPr>
        <w:t>o</w:t>
      </w:r>
      <w:r w:rsidR="000A4A4B">
        <w:rPr>
          <w:rStyle w:val="addmd"/>
        </w:rPr>
        <w:t>bjektivně uskutečnitelných species. Moderní b</w:t>
      </w:r>
      <w:r w:rsidR="000A4A4B" w:rsidRPr="000A4A4B">
        <w:rPr>
          <w:rStyle w:val="addmd"/>
        </w:rPr>
        <w:t>ůh se stal nejen skutečným demiurgem, jak tomu bylo u Bonaventury, ale byl přeměněn na obj</w:t>
      </w:r>
      <w:r w:rsidR="0058144B">
        <w:rPr>
          <w:rStyle w:val="addmd"/>
        </w:rPr>
        <w:t>ektivního demiurga. Nová sféra „</w:t>
      </w:r>
      <w:r w:rsidR="0058144B" w:rsidRPr="0058144B">
        <w:rPr>
          <w:rStyle w:val="addmd"/>
          <w:i/>
        </w:rPr>
        <w:t>ponibile</w:t>
      </w:r>
      <w:r w:rsidR="0058144B">
        <w:rPr>
          <w:rStyle w:val="addmd"/>
        </w:rPr>
        <w:t>“ je rozpracována „</w:t>
      </w:r>
      <w:r w:rsidR="0058144B" w:rsidRPr="0058144B">
        <w:rPr>
          <w:rStyle w:val="addmd"/>
          <w:i/>
        </w:rPr>
        <w:t>sub ratione factibilis</w:t>
      </w:r>
      <w:r w:rsidR="0058144B">
        <w:rPr>
          <w:rStyle w:val="addmd"/>
        </w:rPr>
        <w:t>“</w:t>
      </w:r>
      <w:r w:rsidR="000A4A4B" w:rsidRPr="000A4A4B">
        <w:rPr>
          <w:rStyle w:val="addmd"/>
        </w:rPr>
        <w:t xml:space="preserve">, </w:t>
      </w:r>
      <w:r w:rsidR="0058144B">
        <w:rPr>
          <w:rStyle w:val="addmd"/>
        </w:rPr>
        <w:t xml:space="preserve">což </w:t>
      </w:r>
      <w:r w:rsidR="000A4A4B" w:rsidRPr="000A4A4B">
        <w:rPr>
          <w:rStyle w:val="addmd"/>
        </w:rPr>
        <w:t>přispěl</w:t>
      </w:r>
      <w:r w:rsidR="0058144B">
        <w:rPr>
          <w:rStyle w:val="addmd"/>
        </w:rPr>
        <w:t>o</w:t>
      </w:r>
      <w:r w:rsidR="000A4A4B" w:rsidRPr="000A4A4B">
        <w:rPr>
          <w:rStyle w:val="addmd"/>
        </w:rPr>
        <w:t xml:space="preserve"> k další významné změně. N</w:t>
      </w:r>
      <w:r w:rsidR="0058144B">
        <w:rPr>
          <w:rStyle w:val="addmd"/>
        </w:rPr>
        <w:t>ová sféra vytvořená pod heslem „</w:t>
      </w:r>
      <w:r w:rsidR="000A4A4B" w:rsidRPr="000A4A4B">
        <w:rPr>
          <w:rStyle w:val="addmd"/>
        </w:rPr>
        <w:t>co</w:t>
      </w:r>
      <w:r w:rsidR="0058144B">
        <w:rPr>
          <w:rStyle w:val="addmd"/>
        </w:rPr>
        <w:t xml:space="preserve"> je možné, to je uskutečnitelné“</w:t>
      </w:r>
      <w:r w:rsidR="000A4A4B" w:rsidRPr="000A4A4B">
        <w:rPr>
          <w:rStyle w:val="addmd"/>
        </w:rPr>
        <w:t xml:space="preserve"> založila novou podobu moderního </w:t>
      </w:r>
      <w:r w:rsidR="000A4A4B" w:rsidRPr="0058144B">
        <w:rPr>
          <w:rStyle w:val="addmd"/>
          <w:i/>
        </w:rPr>
        <w:t>dativus ethicus</w:t>
      </w:r>
      <w:r w:rsidR="0058144B">
        <w:rPr>
          <w:rStyle w:val="addmd"/>
          <w:i/>
        </w:rPr>
        <w:fldChar w:fldCharType="begin"/>
      </w:r>
      <w:r w:rsidR="0058144B">
        <w:instrText xml:space="preserve"> XE "</w:instrText>
      </w:r>
      <w:r w:rsidR="0058144B" w:rsidRPr="00B91BAF">
        <w:rPr>
          <w:rStyle w:val="addmd"/>
          <w:i/>
        </w:rPr>
        <w:instrText>dativus ethicus</w:instrText>
      </w:r>
      <w:r w:rsidR="0058144B">
        <w:instrText xml:space="preserve">" </w:instrText>
      </w:r>
      <w:r w:rsidR="0058144B">
        <w:rPr>
          <w:rStyle w:val="addmd"/>
          <w:i/>
        </w:rPr>
        <w:fldChar w:fldCharType="end"/>
      </w:r>
      <w:r w:rsidR="000A4A4B" w:rsidRPr="000A4A4B">
        <w:rPr>
          <w:rStyle w:val="addmd"/>
        </w:rPr>
        <w:t xml:space="preserve"> pr</w:t>
      </w:r>
      <w:r w:rsidR="0058144B">
        <w:rPr>
          <w:rStyle w:val="addmd"/>
        </w:rPr>
        <w:t>ovedeného v nihilistické formě „</w:t>
      </w:r>
      <w:r w:rsidR="0058144B" w:rsidRPr="0058144B">
        <w:rPr>
          <w:rStyle w:val="addmd"/>
          <w:i/>
        </w:rPr>
        <w:t>anything goes</w:t>
      </w:r>
      <w:r w:rsidR="0058144B">
        <w:rPr>
          <w:rStyle w:val="addmd"/>
        </w:rPr>
        <w:t>“</w:t>
      </w:r>
      <w:r w:rsidR="000A4A4B" w:rsidRPr="000A4A4B">
        <w:rPr>
          <w:rStyle w:val="addmd"/>
        </w:rPr>
        <w:t xml:space="preserve">. </w:t>
      </w:r>
      <w:r w:rsidR="005C438D">
        <w:rPr>
          <w:rStyle w:val="addmd"/>
        </w:rPr>
        <w:t>První p</w:t>
      </w:r>
      <w:r w:rsidR="001D37CB">
        <w:rPr>
          <w:rStyle w:val="addmd"/>
        </w:rPr>
        <w:t>ři-</w:t>
      </w:r>
      <w:r w:rsidR="00AE02DC">
        <w:rPr>
          <w:rStyle w:val="addmd"/>
        </w:rPr>
        <w:t>sunutí (</w:t>
      </w:r>
      <w:r w:rsidR="00AE02DC">
        <w:rPr>
          <w:i/>
        </w:rPr>
        <w:t>Ge-Stell</w:t>
      </w:r>
      <w:r w:rsidR="00AE02DC">
        <w:rPr>
          <w:i/>
        </w:rPr>
        <w:fldChar w:fldCharType="begin"/>
      </w:r>
      <w:r w:rsidR="00AE02DC">
        <w:instrText xml:space="preserve"> XE "</w:instrText>
      </w:r>
      <w:r w:rsidR="00AE02DC">
        <w:rPr>
          <w:i/>
        </w:rPr>
        <w:instrText>Ge-Stell</w:instrText>
      </w:r>
      <w:r w:rsidR="00AE02DC">
        <w:instrText xml:space="preserve">" </w:instrText>
      </w:r>
      <w:r w:rsidR="00AE02DC">
        <w:rPr>
          <w:i/>
        </w:rPr>
        <w:fldChar w:fldCharType="end"/>
      </w:r>
      <w:r w:rsidR="00AE02DC">
        <w:t xml:space="preserve">) </w:t>
      </w:r>
      <w:r>
        <w:rPr>
          <w:rStyle w:val="addmd"/>
        </w:rPr>
        <w:t>věci do její pr</w:t>
      </w:r>
      <w:r w:rsidR="005C438D">
        <w:rPr>
          <w:rStyle w:val="addmd"/>
        </w:rPr>
        <w:t>imární objektivní pravdy se děje</w:t>
      </w:r>
      <w:r>
        <w:rPr>
          <w:rStyle w:val="addmd"/>
        </w:rPr>
        <w:t xml:space="preserve"> v boží vůli. </w:t>
      </w:r>
      <w:r w:rsidRPr="00273106">
        <w:rPr>
          <w:rStyle w:val="addmd"/>
        </w:rPr>
        <w:t xml:space="preserve">Touto operací vznikla oblast minimálního jsoucna v oblasti čisté možnosti a tento modus objektivity je oddělen od reálné danosti. Tyto formy danosti vázané </w:t>
      </w:r>
      <w:r w:rsidRPr="00273106">
        <w:rPr>
          <w:rStyle w:val="addmd"/>
        </w:rPr>
        <w:lastRenderedPageBreak/>
        <w:t xml:space="preserve">na boží vůli založily nové pole zjevování jsoucna vázané </w:t>
      </w:r>
      <w:r>
        <w:rPr>
          <w:rStyle w:val="addmd"/>
        </w:rPr>
        <w:t xml:space="preserve">na </w:t>
      </w:r>
      <w:r w:rsidR="005C438D">
        <w:rPr>
          <w:rStyle w:val="addmd"/>
        </w:rPr>
        <w:t xml:space="preserve">demiurgickou </w:t>
      </w:r>
      <w:r>
        <w:rPr>
          <w:rStyle w:val="addmd"/>
        </w:rPr>
        <w:t>vůli</w:t>
      </w:r>
      <w:r w:rsidR="005C438D">
        <w:rPr>
          <w:rStyle w:val="addmd"/>
        </w:rPr>
        <w:t xml:space="preserve">. Objektivně chtěné jsoucno se klade jako </w:t>
      </w:r>
      <w:r>
        <w:rPr>
          <w:rStyle w:val="addmd"/>
        </w:rPr>
        <w:t>„něco proveditelného</w:t>
      </w:r>
      <w:r w:rsidRPr="00273106">
        <w:rPr>
          <w:rStyle w:val="addmd"/>
        </w:rPr>
        <w:t>“ (</w:t>
      </w:r>
      <w:r w:rsidRPr="00273106">
        <w:rPr>
          <w:i/>
        </w:rPr>
        <w:t>sub ratione factibilis</w:t>
      </w:r>
      <w:r>
        <w:rPr>
          <w:rStyle w:val="addmd"/>
        </w:rPr>
        <w:t xml:space="preserve">) </w:t>
      </w:r>
      <w:r w:rsidR="005C438D">
        <w:rPr>
          <w:rStyle w:val="addmd"/>
        </w:rPr>
        <w:t>do potenciáln</w:t>
      </w:r>
      <w:r w:rsidR="00BA7A5A">
        <w:rPr>
          <w:rStyle w:val="addmd"/>
        </w:rPr>
        <w:t>ě proveditelné existence</w:t>
      </w:r>
      <w:r>
        <w:rPr>
          <w:rStyle w:val="addmd"/>
        </w:rPr>
        <w:t xml:space="preserve">. </w:t>
      </w:r>
      <w:r w:rsidRPr="00273106">
        <w:rPr>
          <w:rStyle w:val="addmd"/>
        </w:rPr>
        <w:t xml:space="preserve">Složenina existující v reálu má v bohu exemplární </w:t>
      </w:r>
      <w:r>
        <w:rPr>
          <w:rStyle w:val="addmd"/>
        </w:rPr>
        <w:t>modus objektivní insis</w:t>
      </w:r>
      <w:r w:rsidRPr="00273106">
        <w:rPr>
          <w:rStyle w:val="addmd"/>
        </w:rPr>
        <w:t>tence</w:t>
      </w:r>
      <w:r>
        <w:rPr>
          <w:rStyle w:val="addmd"/>
        </w:rPr>
        <w:t xml:space="preserve"> dané jako objektivní fakticita určená boží vůlí. Zamýšlené jsoucno určené k reálné stvořitelské produkci se liší </w:t>
      </w:r>
      <w:r w:rsidR="00BA7A5A">
        <w:rPr>
          <w:rStyle w:val="addmd"/>
        </w:rPr>
        <w:t xml:space="preserve">reálným </w:t>
      </w:r>
      <w:r>
        <w:rPr>
          <w:rStyle w:val="addmd"/>
        </w:rPr>
        <w:t xml:space="preserve">voluntaristickým zaměřením boží racionality od </w:t>
      </w:r>
      <w:r w:rsidRPr="00273106">
        <w:rPr>
          <w:rStyle w:val="addmd"/>
        </w:rPr>
        <w:t>čistě myšlené</w:t>
      </w:r>
      <w:r>
        <w:rPr>
          <w:rStyle w:val="addmd"/>
        </w:rPr>
        <w:t>ho jsoucna</w:t>
      </w:r>
      <w:r w:rsidRPr="00273106">
        <w:rPr>
          <w:rStyle w:val="addmd"/>
        </w:rPr>
        <w:t xml:space="preserve">. </w:t>
      </w:r>
      <w:r>
        <w:rPr>
          <w:rStyle w:val="addmd"/>
        </w:rPr>
        <w:t>Tím je založen Leibnizův</w:t>
      </w:r>
      <w:r>
        <w:rPr>
          <w:rStyle w:val="addmd"/>
        </w:rPr>
        <w:fldChar w:fldCharType="begin"/>
      </w:r>
      <w:r>
        <w:instrText xml:space="preserve"> XE "</w:instrText>
      </w:r>
      <w:proofErr w:type="gramStart"/>
      <w:r w:rsidRPr="08482439">
        <w:rPr>
          <w:rStyle w:val="addmd"/>
        </w:rPr>
        <w:instrText>Leibniz, G.W.</w:instrText>
      </w:r>
      <w:r>
        <w:instrText xml:space="preserve">" </w:instrText>
      </w:r>
      <w:r>
        <w:rPr>
          <w:rStyle w:val="addmd"/>
        </w:rPr>
        <w:fldChar w:fldCharType="end"/>
      </w:r>
      <w:r>
        <w:rPr>
          <w:rStyle w:val="addmd"/>
        </w:rPr>
        <w:t xml:space="preserve"> </w:t>
      </w:r>
      <w:r w:rsidR="0053038D">
        <w:rPr>
          <w:rStyle w:val="addmd"/>
        </w:rPr>
        <w:t>projekt</w:t>
      </w:r>
      <w:proofErr w:type="gramEnd"/>
      <w:r w:rsidR="0053038D">
        <w:rPr>
          <w:rStyle w:val="addmd"/>
        </w:rPr>
        <w:t xml:space="preserve"> dvou světů. Objektivně možný svět je dán </w:t>
      </w:r>
      <w:r>
        <w:rPr>
          <w:rStyle w:val="addmd"/>
        </w:rPr>
        <w:t>v ideálním božím kalkulu daném jeho dobrotou</w:t>
      </w:r>
      <w:r w:rsidR="0053038D">
        <w:rPr>
          <w:rStyle w:val="addmd"/>
        </w:rPr>
        <w:t xml:space="preserve">; na druhé straně jsou </w:t>
      </w:r>
      <w:r>
        <w:rPr>
          <w:rStyle w:val="addmd"/>
        </w:rPr>
        <w:t>zbyl</w:t>
      </w:r>
      <w:r w:rsidR="0053038D">
        <w:rPr>
          <w:rStyle w:val="addmd"/>
        </w:rPr>
        <w:t xml:space="preserve">é, </w:t>
      </w:r>
      <w:r>
        <w:rPr>
          <w:rStyle w:val="addmd"/>
        </w:rPr>
        <w:t>hypoteticky možn</w:t>
      </w:r>
      <w:r w:rsidR="0053038D">
        <w:rPr>
          <w:rStyle w:val="addmd"/>
        </w:rPr>
        <w:t xml:space="preserve">é a </w:t>
      </w:r>
      <w:r>
        <w:rPr>
          <w:rStyle w:val="addmd"/>
        </w:rPr>
        <w:t xml:space="preserve">proto </w:t>
      </w:r>
      <w:r w:rsidR="0053038D">
        <w:rPr>
          <w:rStyle w:val="addmd"/>
        </w:rPr>
        <w:t xml:space="preserve">mnohem </w:t>
      </w:r>
      <w:r>
        <w:rPr>
          <w:rStyle w:val="addmd"/>
        </w:rPr>
        <w:t xml:space="preserve">horší variace. </w:t>
      </w:r>
      <w:r w:rsidR="00AD1C48">
        <w:rPr>
          <w:rStyle w:val="addmd"/>
        </w:rPr>
        <w:t>Moderní b</w:t>
      </w:r>
      <w:r>
        <w:rPr>
          <w:rStyle w:val="addmd"/>
        </w:rPr>
        <w:t>ůh nutně musí produkovat jen to nejlepší z</w:t>
      </w:r>
      <w:r w:rsidR="0053038D">
        <w:rPr>
          <w:rStyle w:val="addmd"/>
        </w:rPr>
        <w:t> </w:t>
      </w:r>
      <w:r>
        <w:rPr>
          <w:rStyle w:val="addmd"/>
        </w:rPr>
        <w:t>možného</w:t>
      </w:r>
      <w:r w:rsidR="0053038D">
        <w:rPr>
          <w:rStyle w:val="addmd"/>
        </w:rPr>
        <w:t>; jinak by nebyl moderní</w:t>
      </w:r>
      <w:r>
        <w:rPr>
          <w:rStyle w:val="addmd"/>
        </w:rPr>
        <w:t xml:space="preserve">. </w:t>
      </w:r>
      <w:r w:rsidRPr="00273106">
        <w:rPr>
          <w:rStyle w:val="addmd"/>
        </w:rPr>
        <w:t>Díky existenci tří řádů objektivity (</w:t>
      </w:r>
      <w:r w:rsidR="005F3539">
        <w:rPr>
          <w:rStyle w:val="addmd"/>
        </w:rPr>
        <w:t xml:space="preserve">nekonečné </w:t>
      </w:r>
      <w:r w:rsidRPr="00EF66D8">
        <w:rPr>
          <w:rStyle w:val="addmd"/>
          <w:i/>
        </w:rPr>
        <w:t>factibile</w:t>
      </w:r>
      <w:r>
        <w:rPr>
          <w:rStyle w:val="addmd"/>
        </w:rPr>
        <w:t xml:space="preserve"> </w:t>
      </w:r>
      <w:r w:rsidRPr="00273106">
        <w:rPr>
          <w:rStyle w:val="addmd"/>
        </w:rPr>
        <w:t xml:space="preserve">v bohu, </w:t>
      </w:r>
      <w:r w:rsidR="005F3539">
        <w:rPr>
          <w:rStyle w:val="addmd"/>
        </w:rPr>
        <w:t xml:space="preserve">konečné </w:t>
      </w:r>
      <w:r w:rsidRPr="00273106">
        <w:rPr>
          <w:rStyle w:val="addmd"/>
          <w:i/>
        </w:rPr>
        <w:t>vestigium</w:t>
      </w:r>
      <w:r>
        <w:rPr>
          <w:rStyle w:val="addmd"/>
          <w:i/>
        </w:rPr>
        <w:fldChar w:fldCharType="begin"/>
      </w:r>
      <w:r>
        <w:instrText xml:space="preserve"> XE "</w:instrText>
      </w:r>
      <w:r w:rsidRPr="00757030">
        <w:rPr>
          <w:i/>
        </w:rPr>
        <w:instrText>vestigium</w:instrText>
      </w:r>
      <w:r>
        <w:instrText xml:space="preserve">" </w:instrText>
      </w:r>
      <w:r>
        <w:rPr>
          <w:rStyle w:val="addmd"/>
          <w:i/>
        </w:rPr>
        <w:fldChar w:fldCharType="end"/>
      </w:r>
      <w:r w:rsidRPr="00273106">
        <w:rPr>
          <w:rStyle w:val="addmd"/>
        </w:rPr>
        <w:t xml:space="preserve"> ve stvoření, </w:t>
      </w:r>
      <w:r w:rsidR="005F3539">
        <w:rPr>
          <w:rStyle w:val="addmd"/>
        </w:rPr>
        <w:t xml:space="preserve">objektivně nazírané </w:t>
      </w:r>
      <w:r w:rsidRPr="00273106">
        <w:rPr>
          <w:rStyle w:val="addmd"/>
          <w:i/>
        </w:rPr>
        <w:t>imago</w:t>
      </w:r>
      <w:r w:rsidRPr="00273106">
        <w:rPr>
          <w:rStyle w:val="addmd"/>
        </w:rPr>
        <w:t xml:space="preserve"> v kontigentní věci) existuje i trojí </w:t>
      </w:r>
      <w:r w:rsidRPr="00273106">
        <w:t xml:space="preserve">podobnost jsoucna v modu potence a příslušného objektu, který patří k takto danému typu poznání. </w:t>
      </w:r>
      <w:r>
        <w:rPr>
          <w:rStyle w:val="addmd"/>
        </w:rPr>
        <w:t xml:space="preserve">Všechny tyto tři varianty objektivního </w:t>
      </w:r>
      <w:r w:rsidRPr="00273106">
        <w:rPr>
          <w:rStyle w:val="addmd"/>
          <w:i/>
        </w:rPr>
        <w:t>inesse</w:t>
      </w:r>
      <w:r>
        <w:rPr>
          <w:i/>
        </w:rPr>
        <w:fldChar w:fldCharType="begin"/>
      </w:r>
      <w:r>
        <w:instrText xml:space="preserve"> XE "esence:</w:instrText>
      </w:r>
      <w:r w:rsidRPr="00CF4ADF">
        <w:rPr>
          <w:i/>
        </w:rPr>
        <w:instrText>inesse</w:instrText>
      </w:r>
      <w:r>
        <w:instrText xml:space="preserve">" </w:instrText>
      </w:r>
      <w:r>
        <w:rPr>
          <w:i/>
        </w:rPr>
        <w:fldChar w:fldCharType="end"/>
      </w:r>
      <w:r w:rsidRPr="00273106">
        <w:rPr>
          <w:rStyle w:val="addmd"/>
        </w:rPr>
        <w:t xml:space="preserve"> měly později zásadní důsledky v pozdějších teologických sporech </w:t>
      </w:r>
      <w:r>
        <w:rPr>
          <w:rStyle w:val="addmd"/>
        </w:rPr>
        <w:t>od 16. století</w:t>
      </w:r>
      <w:r w:rsidRPr="00273106">
        <w:rPr>
          <w:rStyle w:val="addmd"/>
        </w:rPr>
        <w:t xml:space="preserve">. </w:t>
      </w:r>
      <w:r>
        <w:rPr>
          <w:rStyle w:val="addmd"/>
        </w:rPr>
        <w:t xml:space="preserve">Spekulace ohledně božího </w:t>
      </w:r>
      <w:r>
        <w:rPr>
          <w:i/>
        </w:rPr>
        <w:t>factibile</w:t>
      </w:r>
      <w:r>
        <w:rPr>
          <w:rStyle w:val="addmd"/>
        </w:rPr>
        <w:t xml:space="preserve"> v boží vůli a jeho vztahu k naší svobodě založila </w:t>
      </w:r>
      <w:r w:rsidR="00EC5E47">
        <w:rPr>
          <w:rStyle w:val="addmd"/>
        </w:rPr>
        <w:t xml:space="preserve">naprosto zbytečný </w:t>
      </w:r>
      <w:r>
        <w:rPr>
          <w:rStyle w:val="addmd"/>
        </w:rPr>
        <w:t xml:space="preserve">spor </w:t>
      </w:r>
      <w:r w:rsidR="00EC5E47">
        <w:rPr>
          <w:rStyle w:val="addmd"/>
        </w:rPr>
        <w:t xml:space="preserve">nazvaný </w:t>
      </w:r>
      <w:r w:rsidRPr="00273106">
        <w:rPr>
          <w:rStyle w:val="addmd"/>
          <w:i/>
        </w:rPr>
        <w:t>De auxiliis</w:t>
      </w:r>
      <w:r>
        <w:rPr>
          <w:rStyle w:val="addmd"/>
          <w:i/>
        </w:rPr>
        <w:fldChar w:fldCharType="begin"/>
      </w:r>
      <w:r>
        <w:instrText xml:space="preserve"> XE "</w:instrText>
      </w:r>
      <w:r w:rsidRPr="00CD295D">
        <w:rPr>
          <w:rStyle w:val="addmd"/>
          <w:i/>
        </w:rPr>
        <w:instrText>spor De auxiliis</w:instrText>
      </w:r>
      <w:r>
        <w:instrText xml:space="preserve">" </w:instrText>
      </w:r>
      <w:r>
        <w:rPr>
          <w:rStyle w:val="addmd"/>
          <w:i/>
        </w:rPr>
        <w:fldChar w:fldCharType="end"/>
      </w:r>
      <w:r w:rsidRPr="00273106">
        <w:rPr>
          <w:rStyle w:val="addmd"/>
        </w:rPr>
        <w:t xml:space="preserve"> (</w:t>
      </w:r>
      <w:r w:rsidRPr="00273106">
        <w:t>1582‒1607)</w:t>
      </w:r>
      <w:r w:rsidR="00591C8F">
        <w:t xml:space="preserve">; viz </w:t>
      </w:r>
      <w:r w:rsidRPr="00273106">
        <w:rPr>
          <w:rStyle w:val="addmd"/>
        </w:rPr>
        <w:t xml:space="preserve">jeho současné varianty v analytické filosofii a </w:t>
      </w:r>
      <w:r>
        <w:rPr>
          <w:rStyle w:val="addmd"/>
        </w:rPr>
        <w:t xml:space="preserve">postmoderní </w:t>
      </w:r>
      <w:r w:rsidRPr="00273106">
        <w:rPr>
          <w:rStyle w:val="addmd"/>
        </w:rPr>
        <w:t xml:space="preserve">logice. </w:t>
      </w:r>
      <w:r w:rsidRPr="00273106">
        <w:t xml:space="preserve">Rozlišením </w:t>
      </w:r>
      <w:r>
        <w:t xml:space="preserve">druhů </w:t>
      </w:r>
      <w:r w:rsidRPr="00273106">
        <w:t xml:space="preserve">objektivity a jejich návaznosti je </w:t>
      </w:r>
      <w:r>
        <w:t xml:space="preserve">rovněž </w:t>
      </w:r>
      <w:r w:rsidRPr="00273106">
        <w:t xml:space="preserve">dána </w:t>
      </w:r>
      <w:r>
        <w:t xml:space="preserve">cesta </w:t>
      </w:r>
      <w:r w:rsidRPr="00273106">
        <w:t xml:space="preserve">vědy a techniky k ovládnutí přírody. Objektivní fakticitu světa </w:t>
      </w:r>
      <w:r>
        <w:t xml:space="preserve">v modu proveditelnosti znovu otevře </w:t>
      </w:r>
      <w:r w:rsidRPr="00273106">
        <w:t xml:space="preserve">Descartova definice vědy v šesté části </w:t>
      </w:r>
      <w:r w:rsidRPr="00273106">
        <w:rPr>
          <w:i/>
        </w:rPr>
        <w:t>Rozpravě o metodě</w:t>
      </w:r>
      <w:r w:rsidRPr="00273106">
        <w:t xml:space="preserve"> (</w:t>
      </w:r>
      <w:r>
        <w:rPr>
          <w:rStyle w:val="citation"/>
          <w:bCs/>
        </w:rPr>
        <w:t xml:space="preserve">1637), která z lidí udělá </w:t>
      </w:r>
      <w:r w:rsidRPr="00273106">
        <w:rPr>
          <w:rStyle w:val="citation"/>
          <w:bCs/>
          <w:i/>
        </w:rPr>
        <w:t>maîtres et possesseurs de la nature</w:t>
      </w:r>
      <w:r>
        <w:t xml:space="preserve"> </w:t>
      </w:r>
      <w:r>
        <w:rPr>
          <w:rStyle w:val="citation"/>
          <w:bCs/>
        </w:rPr>
        <w:t xml:space="preserve">v rámci </w:t>
      </w:r>
      <w:r w:rsidR="000E097E">
        <w:t>Bonaventurovy „</w:t>
      </w:r>
      <w:r w:rsidR="000E097E" w:rsidRPr="00EE48AE">
        <w:rPr>
          <w:i/>
        </w:rPr>
        <w:t>regula agentis creati</w:t>
      </w:r>
      <w:r w:rsidR="000E097E">
        <w:t>“.</w:t>
      </w:r>
      <w:r w:rsidR="000E097E" w:rsidRPr="00A9626C">
        <w:t xml:space="preserve"> </w:t>
      </w:r>
      <w:r w:rsidRPr="00273106">
        <w:rPr>
          <w:rStyle w:val="addmd"/>
        </w:rPr>
        <w:t xml:space="preserve">Nihilistický vývoj moderní fakticity </w:t>
      </w:r>
      <w:r>
        <w:rPr>
          <w:rStyle w:val="addmd"/>
        </w:rPr>
        <w:t xml:space="preserve">v řádu humanitích věd zahájí </w:t>
      </w:r>
      <w:r w:rsidRPr="00273106">
        <w:t>Giambattista Vico</w:t>
      </w:r>
      <w:r>
        <w:fldChar w:fldCharType="begin"/>
      </w:r>
      <w:r>
        <w:instrText xml:space="preserve"> XE "</w:instrText>
      </w:r>
      <w:r w:rsidRPr="00170836">
        <w:instrText>Vico, G.</w:instrText>
      </w:r>
      <w:r>
        <w:instrText xml:space="preserve">" </w:instrText>
      </w:r>
      <w:r>
        <w:fldChar w:fldCharType="end"/>
      </w:r>
      <w:r w:rsidRPr="00273106">
        <w:t xml:space="preserve"> </w:t>
      </w:r>
      <w:r>
        <w:t>(</w:t>
      </w:r>
      <w:r w:rsidRPr="00273106">
        <w:rPr>
          <w:i/>
        </w:rPr>
        <w:t>Nuova scienza</w:t>
      </w:r>
      <w:r w:rsidRPr="005B2366">
        <w:t xml:space="preserve">, </w:t>
      </w:r>
      <w:r w:rsidRPr="00273106">
        <w:t>1725) a jeho výrok o plné konverzi mezi pravdou a lidskými výtvory (</w:t>
      </w:r>
      <w:r w:rsidRPr="00273106">
        <w:rPr>
          <w:rStyle w:val="reference-text"/>
          <w:i/>
        </w:rPr>
        <w:t>verum et factum reciprocantur seu convertuntur</w:t>
      </w:r>
      <w:r>
        <w:rPr>
          <w:rStyle w:val="reference-text"/>
          <w:i/>
        </w:rPr>
        <w:fldChar w:fldCharType="begin"/>
      </w:r>
      <w:r>
        <w:instrText xml:space="preserve"> XE "</w:instrText>
      </w:r>
      <w:r w:rsidRPr="0012277B">
        <w:rPr>
          <w:i/>
        </w:rPr>
        <w:instrText>factum</w:instrText>
      </w:r>
      <w:r>
        <w:instrText xml:space="preserve">" </w:instrText>
      </w:r>
      <w:r>
        <w:rPr>
          <w:rStyle w:val="reference-text"/>
          <w:i/>
        </w:rPr>
        <w:fldChar w:fldCharType="end"/>
      </w:r>
      <w:r w:rsidRPr="00273106">
        <w:t xml:space="preserve">). Pravda se stala plně závislou na modu voluntaristické determinace a nakonec </w:t>
      </w:r>
      <w:r>
        <w:t xml:space="preserve">na </w:t>
      </w:r>
      <w:r w:rsidRPr="00273106">
        <w:t xml:space="preserve">instrumentálně-technické </w:t>
      </w:r>
      <w:r>
        <w:t>produkci</w:t>
      </w:r>
      <w:r w:rsidRPr="00273106">
        <w:t xml:space="preserve"> jsoucna.</w:t>
      </w:r>
      <w:r>
        <w:t xml:space="preserve"> Epochální </w:t>
      </w:r>
      <w:r w:rsidRPr="00273106">
        <w:t>nejasnost západní moderny citovaná Gross</w:t>
      </w:r>
      <w:r>
        <w:t>e</w:t>
      </w:r>
      <w:r w:rsidRPr="00273106">
        <w:t>testem (</w:t>
      </w:r>
      <w:r w:rsidRPr="00273106">
        <w:rPr>
          <w:i/>
          <w:color w:val="000000"/>
        </w:rPr>
        <w:t>aliquantulum obscura</w:t>
      </w:r>
      <w:r w:rsidR="00290088">
        <w:t>; OBJ II, kap. 3</w:t>
      </w:r>
      <w:r w:rsidRPr="00273106">
        <w:t xml:space="preserve">.1.1) se stala u Scota </w:t>
      </w:r>
      <w:r>
        <w:t>objektivně danou jasností</w:t>
      </w:r>
      <w:r w:rsidRPr="00273106">
        <w:t xml:space="preserve">. </w:t>
      </w:r>
      <w:r>
        <w:t xml:space="preserve">Dedukce jsoucna na jeho první základ je naprosto jasná, protože jsoucno v jeho objektivitě dané </w:t>
      </w:r>
      <w:r w:rsidRPr="00E63418">
        <w:rPr>
          <w:i/>
        </w:rPr>
        <w:t>simpliciter</w:t>
      </w:r>
      <w:r>
        <w:t xml:space="preserve"> nahlížíme přímo. </w:t>
      </w:r>
      <w:r w:rsidRPr="00273106">
        <w:t xml:space="preserve">Tím je dokonáno dění Heideggerova </w:t>
      </w:r>
      <w:r w:rsidRPr="00273106">
        <w:rPr>
          <w:i/>
        </w:rPr>
        <w:t>Irrtum</w:t>
      </w:r>
      <w:r w:rsidRPr="00273106">
        <w:t xml:space="preserve"> determinující osud západní metafyziky skrze zapomenutí bytí, a nyní i jsoucna</w:t>
      </w:r>
      <w:r>
        <w:t xml:space="preserve">. </w:t>
      </w:r>
      <w:r w:rsidRPr="00273106">
        <w:t xml:space="preserve">Vidění </w:t>
      </w:r>
      <w:r>
        <w:t>oxfordského ilumináta přešlo po zatmění první substance na absolutní vědění</w:t>
      </w:r>
      <w:r>
        <w:rPr>
          <w:i/>
        </w:rPr>
        <w:fldChar w:fldCharType="begin"/>
      </w:r>
      <w:r>
        <w:instrText xml:space="preserve"> XE "scholastika:druhý začátek" </w:instrText>
      </w:r>
      <w:r>
        <w:rPr>
          <w:i/>
        </w:rPr>
        <w:fldChar w:fldCharType="end"/>
      </w:r>
      <w:r>
        <w:t xml:space="preserve">. Proto Scotus zakládá první jistou a distinktivní podobu </w:t>
      </w:r>
      <w:r w:rsidRPr="08F64E7F">
        <w:rPr>
          <w:i/>
        </w:rPr>
        <w:t>via Modernum</w:t>
      </w:r>
      <w:r>
        <w:t xml:space="preserve">. </w:t>
      </w:r>
      <w:r w:rsidRPr="08FA3C0B">
        <w:rPr>
          <w:i/>
        </w:rPr>
        <w:t>Doctor Subtilis</w:t>
      </w:r>
      <w:r>
        <w:t xml:space="preserve"> objektivně restauroval </w:t>
      </w:r>
      <w:r>
        <w:lastRenderedPageBreak/>
        <w:t xml:space="preserve">mytopoetickou podobu Jamblichova diakosmu. Neexistující diakosmos jsoucna třetího druhu </w:t>
      </w:r>
      <w:r w:rsidR="002467E8">
        <w:t xml:space="preserve">v novém převleku </w:t>
      </w:r>
      <w:r>
        <w:t>se plně in</w:t>
      </w:r>
      <w:r w:rsidR="002467E8">
        <w:t>tegroval do západní racionality</w:t>
      </w:r>
      <w:r>
        <w:t xml:space="preserve">. Císařovy nové šaty byly opravdu krásné a moc mu slušely. Alespoň podle mínění prvních scotistů, kteří z Oxfordu vyháněli Ockhama. V nastalé </w:t>
      </w:r>
      <w:r w:rsidRPr="08C5285A">
        <w:rPr>
          <w:i/>
        </w:rPr>
        <w:t>epoché</w:t>
      </w:r>
      <w:r>
        <w:t xml:space="preserve"> klasického rozumu </w:t>
      </w:r>
      <w:r w:rsidR="004E146E">
        <w:t>provedli</w:t>
      </w:r>
      <w:r w:rsidR="00BB1B84">
        <w:t xml:space="preserve"> </w:t>
      </w:r>
      <w:r w:rsidR="004E146E">
        <w:t>i</w:t>
      </w:r>
      <w:r>
        <w:t>luminát</w:t>
      </w:r>
      <w:r w:rsidR="004E146E">
        <w:t>i</w:t>
      </w:r>
      <w:r w:rsidR="00BB1B84">
        <w:t xml:space="preserve"> zá</w:t>
      </w:r>
      <w:r>
        <w:t>chr</w:t>
      </w:r>
      <w:r w:rsidR="00BB1B84">
        <w:t>anu metafyziky</w:t>
      </w:r>
      <w:r>
        <w:t xml:space="preserve"> </w:t>
      </w:r>
      <w:r w:rsidRPr="08181FFA">
        <w:rPr>
          <w:i/>
        </w:rPr>
        <w:t>Modernorum</w:t>
      </w:r>
      <w:r>
        <w:t xml:space="preserve">. </w:t>
      </w:r>
      <w:r>
        <w:rPr>
          <w:rStyle w:val="addmd"/>
        </w:rPr>
        <w:t xml:space="preserve">Kapitalistický demiurg mohl konečně vyrazit dobývat svět pod vedením objektivní vize moderního </w:t>
      </w:r>
      <w:r w:rsidR="00955B67">
        <w:rPr>
          <w:rStyle w:val="addmd"/>
        </w:rPr>
        <w:t>boha</w:t>
      </w:r>
      <w:r>
        <w:rPr>
          <w:rStyle w:val="addmd"/>
        </w:rPr>
        <w:t xml:space="preserve">. </w:t>
      </w:r>
      <w:r>
        <w:t xml:space="preserve">Moderna drží pojetí jedné pravdy v modu </w:t>
      </w:r>
      <w:r w:rsidR="000975FC">
        <w:t>objektivní trojice jako jistotu</w:t>
      </w:r>
      <w:r>
        <w:t xml:space="preserve"> (</w:t>
      </w:r>
      <w:r w:rsidRPr="005B61F4">
        <w:rPr>
          <w:i/>
        </w:rPr>
        <w:t>certitudo</w:t>
      </w:r>
      <w:r w:rsidR="000975FC">
        <w:t>), správnost</w:t>
      </w:r>
      <w:r>
        <w:t xml:space="preserve"> (</w:t>
      </w:r>
      <w:r w:rsidRPr="005B61F4">
        <w:rPr>
          <w:i/>
        </w:rPr>
        <w:t>rectitudo</w:t>
      </w:r>
      <w:r w:rsidR="000975FC">
        <w:t xml:space="preserve">) a univerzální rovnost </w:t>
      </w:r>
      <w:r>
        <w:t>(</w:t>
      </w:r>
      <w:r w:rsidRPr="005B61F4">
        <w:rPr>
          <w:i/>
        </w:rPr>
        <w:t>coaequatio</w:t>
      </w:r>
      <w:r>
        <w:rPr>
          <w:i/>
        </w:rPr>
        <w:fldChar w:fldCharType="begin"/>
      </w:r>
      <w:r>
        <w:instrText xml:space="preserve"> XE "pravda:</w:instrText>
      </w:r>
      <w:r w:rsidRPr="00E11E1F">
        <w:rPr>
          <w:i/>
        </w:rPr>
        <w:instrText>coaequatio</w:instrText>
      </w:r>
      <w:r>
        <w:instrText xml:space="preserve">" </w:instrText>
      </w:r>
      <w:r>
        <w:rPr>
          <w:i/>
        </w:rPr>
        <w:fldChar w:fldCharType="end"/>
      </w:r>
      <w:r>
        <w:t xml:space="preserve">). Proto se nemusí starat o adekvaci poznání vzhledem ke kontigentní realitě. Scotus stojí </w:t>
      </w:r>
      <w:r w:rsidRPr="00273106">
        <w:t xml:space="preserve">na začátku této cesty Západu </w:t>
      </w:r>
      <w:r>
        <w:t xml:space="preserve">v modu objektivní </w:t>
      </w:r>
      <w:r w:rsidRPr="0895130E">
        <w:rPr>
          <w:i/>
        </w:rPr>
        <w:t>Irre</w:t>
      </w:r>
      <w:r>
        <w:rPr>
          <w:i/>
        </w:rPr>
        <w:fldChar w:fldCharType="begin"/>
      </w:r>
      <w:r>
        <w:instrText xml:space="preserve"> XE "</w:instrText>
      </w:r>
      <w:r w:rsidRPr="08062207">
        <w:rPr>
          <w:i/>
        </w:rPr>
        <w:instrText>Irre</w:instrText>
      </w:r>
      <w:r>
        <w:instrText xml:space="preserve">" </w:instrText>
      </w:r>
      <w:r>
        <w:rPr>
          <w:i/>
        </w:rPr>
        <w:fldChar w:fldCharType="end"/>
      </w:r>
      <w:r>
        <w:t xml:space="preserve">. Jeho metafyzická inovace </w:t>
      </w:r>
      <w:r w:rsidRPr="00273106">
        <w:t>založil</w:t>
      </w:r>
      <w:r>
        <w:t>a</w:t>
      </w:r>
      <w:r w:rsidRPr="00273106">
        <w:t xml:space="preserve"> nové pole zjevování objektivity a postavil</w:t>
      </w:r>
      <w:r>
        <w:t>a</w:t>
      </w:r>
      <w:r w:rsidRPr="00273106">
        <w:t xml:space="preserve"> možnost matematických modelů, které objektivně určují vlastnosti</w:t>
      </w:r>
      <w:r>
        <w:t xml:space="preserve"> </w:t>
      </w:r>
      <w:proofErr w:type="gramStart"/>
      <w:r>
        <w:t>těles  a dnes</w:t>
      </w:r>
      <w:proofErr w:type="gramEnd"/>
      <w:r>
        <w:t xml:space="preserve"> i kvantové modely </w:t>
      </w:r>
      <w:r w:rsidRPr="00273106">
        <w:t>na úrovni kosmologie.</w:t>
      </w:r>
      <w:r w:rsidRPr="003622E1">
        <w:t xml:space="preserve"> </w:t>
      </w:r>
      <w:r>
        <w:t xml:space="preserve">První metafyzický modernista hypoteticky zhasnul slunce, aby temnotě klasického myšlení našel </w:t>
      </w:r>
      <w:r w:rsidRPr="00627DD6">
        <w:rPr>
          <w:i/>
        </w:rPr>
        <w:t>per absurdum</w:t>
      </w:r>
      <w:r>
        <w:t xml:space="preserve"> objektivní smysl jsoucna</w:t>
      </w:r>
      <w:r w:rsidRPr="00273106">
        <w:t xml:space="preserve">. </w:t>
      </w:r>
      <w:r>
        <w:t xml:space="preserve">Tento absurdní a zcela nihilistický </w:t>
      </w:r>
      <w:r w:rsidRPr="00273106">
        <w:t xml:space="preserve">postup poznání </w:t>
      </w:r>
      <w:r>
        <w:t>měl za následek epochální produktivitu Západu danou v modu neutuchající kapitalistické píle západních Latiníků (</w:t>
      </w:r>
      <w:r w:rsidRPr="0889125E">
        <w:rPr>
          <w:i/>
        </w:rPr>
        <w:t>industria</w:t>
      </w:r>
      <w:r>
        <w:rPr>
          <w:i/>
        </w:rPr>
        <w:t xml:space="preserve"> in </w:t>
      </w:r>
      <w:proofErr w:type="gramStart"/>
      <w:r>
        <w:rPr>
          <w:i/>
        </w:rPr>
        <w:t>agendo</w:t>
      </w:r>
      <w:proofErr w:type="gramEnd"/>
      <w:r>
        <w:rPr>
          <w:i/>
        </w:rPr>
        <w:t>, in scribendo</w:t>
      </w:r>
      <w:r>
        <w:t xml:space="preserve">). Tato frenetická činnost dříve potvrzovala jistotu spasení a dnes potvrzuje pouze jistotu virtuálního konta v bance. </w:t>
      </w:r>
      <w:r>
        <w:rPr>
          <w:rStyle w:val="addmd"/>
        </w:rPr>
        <w:t>K</w:t>
      </w:r>
      <w:r>
        <w:t>apitalistickému demiurgovi založeného Bonaventurou a Olivim slouží po smrti moderního boha zbylá možnost neomezené produkce (</w:t>
      </w:r>
      <w:r w:rsidRPr="08BA4667">
        <w:rPr>
          <w:i/>
        </w:rPr>
        <w:t>regula</w:t>
      </w:r>
      <w:r>
        <w:t xml:space="preserve"> </w:t>
      </w:r>
      <w:r w:rsidRPr="00627DD6">
        <w:rPr>
          <w:i/>
        </w:rPr>
        <w:t>agentis creati</w:t>
      </w:r>
      <w:r>
        <w:t xml:space="preserve">) jako naprosto uspokojivé </w:t>
      </w:r>
      <w:r w:rsidRPr="00627DD6">
        <w:rPr>
          <w:i/>
        </w:rPr>
        <w:t>ultima ratio</w:t>
      </w:r>
      <w:r>
        <w:t xml:space="preserve"> pro vysvětlení světa. Nové </w:t>
      </w:r>
      <w:r w:rsidRPr="00081F8F">
        <w:rPr>
          <w:i/>
        </w:rPr>
        <w:t>scibile</w:t>
      </w:r>
      <w:r>
        <w:rPr>
          <w:i/>
        </w:rPr>
        <w:fldChar w:fldCharType="begin"/>
      </w:r>
      <w:r>
        <w:instrText xml:space="preserve"> XE "</w:instrText>
      </w:r>
      <w:r w:rsidRPr="00AA4F67">
        <w:rPr>
          <w:i/>
        </w:rPr>
        <w:instrText>scibile</w:instrText>
      </w:r>
      <w:r>
        <w:instrText xml:space="preserve">:moderna" </w:instrText>
      </w:r>
      <w:r>
        <w:rPr>
          <w:i/>
        </w:rPr>
        <w:fldChar w:fldCharType="end"/>
      </w:r>
      <w:r>
        <w:t xml:space="preserve"> moderny odpovídá neomezenému apetitu a neomezené schopnosti invidividua, které je dnes mediálně přetvářeno v modu Rufusova </w:t>
      </w:r>
      <w:r w:rsidRPr="00081F8F">
        <w:rPr>
          <w:i/>
        </w:rPr>
        <w:t>informatio</w:t>
      </w:r>
      <w:r>
        <w:rPr>
          <w:i/>
        </w:rPr>
        <w:fldChar w:fldCharType="begin"/>
      </w:r>
      <w:r>
        <w:instrText xml:space="preserve"> XE "</w:instrText>
      </w:r>
      <w:r w:rsidRPr="00BA0B31">
        <w:rPr>
          <w:i/>
        </w:rPr>
        <w:instrText>informatio</w:instrText>
      </w:r>
      <w:r>
        <w:instrText xml:space="preserve">" </w:instrText>
      </w:r>
      <w:r>
        <w:rPr>
          <w:i/>
        </w:rPr>
        <w:fldChar w:fldCharType="end"/>
      </w:r>
      <w:r>
        <w:t xml:space="preserve"> proudem simuláker</w:t>
      </w:r>
      <w:r>
        <w:fldChar w:fldCharType="begin"/>
      </w:r>
      <w:r>
        <w:instrText xml:space="preserve"> XE "simulákrum" </w:instrText>
      </w:r>
      <w:r>
        <w:fldChar w:fldCharType="end"/>
      </w:r>
      <w:r>
        <w:t xml:space="preserve"> produkovaným univerzem objektivně myslících iluminátů</w:t>
      </w:r>
      <w:r>
        <w:fldChar w:fldCharType="begin"/>
      </w:r>
      <w:r>
        <w:instrText xml:space="preserve"> XE "</w:instrText>
      </w:r>
      <w:r w:rsidRPr="00BD65D1">
        <w:instrText>ilumináti</w:instrText>
      </w:r>
      <w:r>
        <w:instrText xml:space="preserve">" </w:instrText>
      </w:r>
      <w:r>
        <w:fldChar w:fldCharType="end"/>
      </w:r>
      <w:r>
        <w:t xml:space="preserve">. Po zániku klasického metafyzického myšlení představuje spolek oligarchů všeho druhu (ekonomického, politického, akademického) současného nihilistického dárce objektivních forem původně představeného Avicennou. Myšlenkový nihilismus postavený na sekularizované verzi Avicennovy mystické metafyziky zrušil klasické filosofické myšlení a nechal si jeho simulákrum v podobě objektivní formy myšlení a instrumentální nihilistické racionality. Dělník ducha vzniklý z původní oxfordské </w:t>
      </w:r>
      <w:r w:rsidRPr="089249AC">
        <w:rPr>
          <w:i/>
        </w:rPr>
        <w:t>intelligentia spiritualis</w:t>
      </w:r>
      <w:r>
        <w:rPr>
          <w:i/>
        </w:rPr>
        <w:fldChar w:fldCharType="begin"/>
      </w:r>
      <w:r>
        <w:instrText xml:space="preserve"> XE "</w:instrText>
      </w:r>
      <w:r w:rsidRPr="08A62D2B">
        <w:rPr>
          <w:i/>
        </w:rPr>
        <w:instrText>intelligentia spiritualis</w:instrText>
      </w:r>
      <w:r>
        <w:instrText xml:space="preserve">" </w:instrText>
      </w:r>
      <w:r>
        <w:rPr>
          <w:i/>
        </w:rPr>
        <w:fldChar w:fldCharType="end"/>
      </w:r>
      <w:r>
        <w:t xml:space="preserve"> nese na svých berech globální </w:t>
      </w:r>
      <w:r w:rsidRPr="08292BDD">
        <w:rPr>
          <w:i/>
        </w:rPr>
        <w:t>conatus</w:t>
      </w:r>
      <w:r>
        <w:t xml:space="preserve"> současné epochy freneticky digitalizující po zatmění první substance v modu Heideggerova </w:t>
      </w:r>
      <w:r>
        <w:rPr>
          <w:i/>
        </w:rPr>
        <w:t>Ge-Stell</w:t>
      </w:r>
      <w:r>
        <w:rPr>
          <w:i/>
        </w:rPr>
        <w:fldChar w:fldCharType="begin"/>
      </w:r>
      <w:r>
        <w:instrText xml:space="preserve"> XE "</w:instrText>
      </w:r>
      <w:r>
        <w:rPr>
          <w:i/>
        </w:rPr>
        <w:instrText>Ge-Stell</w:instrText>
      </w:r>
      <w:r>
        <w:instrText xml:space="preserve">" </w:instrText>
      </w:r>
      <w:r>
        <w:rPr>
          <w:i/>
        </w:rPr>
        <w:fldChar w:fldCharType="end"/>
      </w:r>
      <w:r>
        <w:t xml:space="preserve"> a Jüngerova </w:t>
      </w:r>
      <w:r w:rsidRPr="08292BDD">
        <w:rPr>
          <w:i/>
        </w:rPr>
        <w:t>Mobilmachung</w:t>
      </w:r>
      <w:r>
        <w:rPr>
          <w:i/>
        </w:rPr>
        <w:fldChar w:fldCharType="begin"/>
      </w:r>
      <w:r>
        <w:instrText xml:space="preserve"> XE "</w:instrText>
      </w:r>
      <w:r w:rsidRPr="086C1999">
        <w:rPr>
          <w:i/>
        </w:rPr>
        <w:instrText>Mobilmachung</w:instrText>
      </w:r>
      <w:r>
        <w:instrText xml:space="preserve">" </w:instrText>
      </w:r>
      <w:r>
        <w:rPr>
          <w:i/>
        </w:rPr>
        <w:fldChar w:fldCharType="end"/>
      </w:r>
      <w:r w:rsidRPr="082D25BF">
        <w:t xml:space="preserve"> </w:t>
      </w:r>
      <w:r>
        <w:t xml:space="preserve">všechna dostupná </w:t>
      </w:r>
      <w:r w:rsidRPr="08F55079">
        <w:rPr>
          <w:i/>
        </w:rPr>
        <w:t>scibile</w:t>
      </w:r>
      <w:r>
        <w:t xml:space="preserve">. Mediálně zdatné Fúrie </w:t>
      </w:r>
      <w:r>
        <w:lastRenderedPageBreak/>
        <w:t>udělaly ze scholastického objektivního divadla navštěvovaného vážnou a bohabojnou modernou typu Bonaventury a Scota současný postmoderní kabaret pořádaný pro planetární obecenstvo žijící v současné globální vesnici.</w:t>
      </w:r>
    </w:p>
    <w:p w:rsidR="08163013" w:rsidRPr="00273106" w:rsidRDefault="00357A16" w:rsidP="08163013">
      <w:pPr>
        <w:pStyle w:val="Nadpis3"/>
      </w:pPr>
      <w:bookmarkStart w:id="94" w:name="_Toc36144166"/>
      <w:r>
        <w:br w:type="page"/>
      </w:r>
      <w:bookmarkStart w:id="95" w:name="_Toc180231678"/>
      <w:r w:rsidR="08163013">
        <w:lastRenderedPageBreak/>
        <w:t>5</w:t>
      </w:r>
      <w:r w:rsidR="08163013" w:rsidRPr="00273106">
        <w:t xml:space="preserve">.3.3 </w:t>
      </w:r>
      <w:r w:rsidR="08163013">
        <w:t xml:space="preserve">Systém objektivní </w:t>
      </w:r>
      <w:r w:rsidR="08163013" w:rsidRPr="00273106">
        <w:t>metafyziky</w:t>
      </w:r>
      <w:bookmarkEnd w:id="94"/>
      <w:bookmarkEnd w:id="95"/>
      <w:r w:rsidR="08163013" w:rsidRPr="00273106">
        <w:t xml:space="preserve"> </w:t>
      </w:r>
    </w:p>
    <w:p w:rsidR="00487028" w:rsidRDefault="08163013" w:rsidP="00102188">
      <w:pPr>
        <w:rPr>
          <w:rStyle w:val="addmd"/>
        </w:rPr>
      </w:pPr>
      <w:r>
        <w:rPr>
          <w:rStyle w:val="addmd"/>
        </w:rPr>
        <w:t>S</w:t>
      </w:r>
      <w:r w:rsidRPr="00273106">
        <w:rPr>
          <w:rStyle w:val="addmd"/>
        </w:rPr>
        <w:t xml:space="preserve">pis </w:t>
      </w:r>
      <w:r w:rsidR="008C2D4A" w:rsidRPr="008C2D4A">
        <w:rPr>
          <w:rStyle w:val="addmd"/>
          <w:i/>
        </w:rPr>
        <w:t>Lectura I</w:t>
      </w:r>
      <w:r w:rsidRPr="00273106">
        <w:rPr>
          <w:rStyle w:val="addmd"/>
        </w:rPr>
        <w:t xml:space="preserve"> přinesl základní prvky nové metafyziky, včetně </w:t>
      </w:r>
      <w:r>
        <w:rPr>
          <w:rStyle w:val="addmd"/>
        </w:rPr>
        <w:t>nové racionality umožňující o</w:t>
      </w:r>
      <w:r w:rsidR="00B22938">
        <w:rPr>
          <w:rStyle w:val="addmd"/>
        </w:rPr>
        <w:t>bjektivní</w:t>
      </w:r>
      <w:r>
        <w:rPr>
          <w:rStyle w:val="addmd"/>
        </w:rPr>
        <w:t xml:space="preserve"> poznání a manipulaci světa</w:t>
      </w:r>
      <w:r w:rsidRPr="00273106">
        <w:rPr>
          <w:rStyle w:val="addmd"/>
        </w:rPr>
        <w:t xml:space="preserve">. </w:t>
      </w:r>
      <w:r w:rsidR="00B22938">
        <w:rPr>
          <w:rStyle w:val="addmd"/>
        </w:rPr>
        <w:t>P</w:t>
      </w:r>
      <w:r>
        <w:t>rvní dedukce jsoucna představuje aristotelské řešení</w:t>
      </w:r>
      <w:r w:rsidRPr="00273106">
        <w:t xml:space="preserve"> ve třech důležitých bodech</w:t>
      </w:r>
      <w:r>
        <w:t>, které neměla škola druhého averroismu</w:t>
      </w:r>
      <w:r w:rsidRPr="00273106">
        <w:t>.</w:t>
      </w:r>
      <w:r>
        <w:t xml:space="preserve"> Za prvé. Moderní metafyzika a</w:t>
      </w:r>
      <w:r w:rsidRPr="00273106">
        <w:t xml:space="preserve">kceptuje </w:t>
      </w:r>
      <w:r w:rsidRPr="00273106">
        <w:rPr>
          <w:i/>
        </w:rPr>
        <w:t>intellectus possibilis</w:t>
      </w:r>
      <w:r>
        <w:rPr>
          <w:i/>
        </w:rPr>
        <w:fldChar w:fldCharType="begin"/>
      </w:r>
      <w:r>
        <w:instrText xml:space="preserve"> XE "</w:instrText>
      </w:r>
      <w:r w:rsidRPr="00770D02">
        <w:rPr>
          <w:i/>
        </w:rPr>
        <w:instrText>intellectus possibilis</w:instrText>
      </w:r>
      <w:r>
        <w:rPr>
          <w:i/>
        </w:rPr>
        <w:instrText>:</w:instrText>
      </w:r>
      <w:r w:rsidRPr="003663C0">
        <w:instrText>Scotus</w:instrText>
      </w:r>
      <w:r>
        <w:instrText xml:space="preserve">" </w:instrText>
      </w:r>
      <w:r>
        <w:rPr>
          <w:i/>
        </w:rPr>
        <w:fldChar w:fldCharType="end"/>
      </w:r>
      <w:r w:rsidRPr="00273106">
        <w:t xml:space="preserve"> jako pasivní </w:t>
      </w:r>
      <w:r>
        <w:t xml:space="preserve">princip v modu </w:t>
      </w:r>
      <w:r w:rsidRPr="089A5A0B">
        <w:rPr>
          <w:i/>
        </w:rPr>
        <w:t>tabula rasa</w:t>
      </w:r>
      <w:r>
        <w:t xml:space="preserve"> </w:t>
      </w:r>
      <w:r w:rsidRPr="00273106">
        <w:t>vzhledem k inte</w:t>
      </w:r>
      <w:r>
        <w:t>lektuálnímu nazírání nekonečné exemplární substance</w:t>
      </w:r>
      <w:r w:rsidRPr="00273106">
        <w:t>.</w:t>
      </w:r>
      <w:r>
        <w:t xml:space="preserve"> Za druhé. Moderní metafyzika p</w:t>
      </w:r>
      <w:r w:rsidRPr="00273106">
        <w:t xml:space="preserve">řevedla veškeré poznání bytí jsoucího na kategoriální dedukci v modu </w:t>
      </w:r>
      <w:r w:rsidRPr="00273106">
        <w:rPr>
          <w:i/>
        </w:rPr>
        <w:t xml:space="preserve">per prius </w:t>
      </w:r>
      <w:r w:rsidRPr="00273106">
        <w:t xml:space="preserve">a </w:t>
      </w:r>
      <w:r w:rsidRPr="00273106">
        <w:rPr>
          <w:i/>
        </w:rPr>
        <w:t>per posterius</w:t>
      </w:r>
      <w:r w:rsidR="002F2666">
        <w:t xml:space="preserve">. Tato dedukce je </w:t>
      </w:r>
      <w:r>
        <w:t>vztažen</w:t>
      </w:r>
      <w:r w:rsidR="002F2666">
        <w:t>a</w:t>
      </w:r>
      <w:r>
        <w:t xml:space="preserve"> k přirozenému poznání substance podle </w:t>
      </w:r>
      <w:r w:rsidRPr="089A1A01">
        <w:rPr>
          <w:i/>
        </w:rPr>
        <w:t>Metafyziky</w:t>
      </w:r>
      <w:r>
        <w:t xml:space="preserve"> a tím zrušila augustiniánskou teorii iluminace. Za třetí. </w:t>
      </w:r>
      <w:r w:rsidRPr="00273106">
        <w:t>Rozum poznává boha a všechno ostatní zcela přirozeně</w:t>
      </w:r>
      <w:r w:rsidRPr="081E289D">
        <w:t xml:space="preserve"> </w:t>
      </w:r>
      <w:r>
        <w:t>skrze objektivní</w:t>
      </w:r>
      <w:r w:rsidRPr="00273106">
        <w:t xml:space="preserve"> </w:t>
      </w:r>
      <w:r>
        <w:t xml:space="preserve">a reálnou </w:t>
      </w:r>
      <w:r w:rsidR="00102188">
        <w:t xml:space="preserve">kauzalitu. </w:t>
      </w:r>
      <w:r w:rsidR="008C4A1E">
        <w:rPr>
          <w:rStyle w:val="addmd"/>
        </w:rPr>
        <w:t xml:space="preserve">Scotus v Paříži pochopil, že jeho metafyzická dedukce vytvořená v Oxfordu ještě zůstala v oblasti druhého averroismu. Měl sice objektivní dedukci jsoucna danou kategoriálně, ale ta spočívala na komitačním pojetí pravdy, což bylo nepřijatelné. Školu druhého averroismu považovali vzdělaní aristotelští tomisté v Paříži z modernizované školy </w:t>
      </w:r>
      <w:r w:rsidR="008C4A1E" w:rsidRPr="00E95BF2">
        <w:rPr>
          <w:rStyle w:val="addmd"/>
          <w:i/>
        </w:rPr>
        <w:t>sophistae Latini</w:t>
      </w:r>
      <w:r w:rsidR="008C4A1E">
        <w:rPr>
          <w:rStyle w:val="addmd"/>
        </w:rPr>
        <w:t xml:space="preserve"> (viz sofista Aegidius) za debakl myšlení. </w:t>
      </w:r>
      <w:r w:rsidR="008C4A1E">
        <w:t xml:space="preserve">Bacon přesně viděl a popsal, jak teologie přišla o svůj vědecký status. Novou theologii vytvořili moderní logikové a metafyzikové, kterým chybělo klasické vzdělání v přírodních a humanitních vědách </w:t>
      </w:r>
      <w:r w:rsidR="008C4A1E" w:rsidRPr="00273106">
        <w:t>(</w:t>
      </w:r>
      <w:r w:rsidR="008C4A1E" w:rsidRPr="00273106">
        <w:rPr>
          <w:i/>
        </w:rPr>
        <w:t>philosophia dominatur in usu theologiam</w:t>
      </w:r>
      <w:r w:rsidR="008C4A1E">
        <w:t>;</w:t>
      </w:r>
      <w:r w:rsidR="008C4A1E" w:rsidRPr="00A50106">
        <w:t xml:space="preserve"> </w:t>
      </w:r>
      <w:r w:rsidR="008C4A1E">
        <w:t xml:space="preserve">OBJ II, </w:t>
      </w:r>
      <w:r w:rsidR="008C4A1E" w:rsidRPr="00A50106">
        <w:t>kap</w:t>
      </w:r>
      <w:r w:rsidR="008C4A1E">
        <w:t>. 3</w:t>
      </w:r>
      <w:r w:rsidR="008C4A1E" w:rsidRPr="00A50106">
        <w:t>.4.3</w:t>
      </w:r>
      <w:r w:rsidR="008C4A1E" w:rsidRPr="00273106">
        <w:t>)</w:t>
      </w:r>
      <w:r w:rsidR="008C4A1E">
        <w:t xml:space="preserve">. Moderní bůh byl podřízen logické a esenciální spekulaci a tím nastala jeho pomalá smrt. Scotus se stal prvním hrobníkem boha </w:t>
      </w:r>
      <w:r w:rsidR="008C4A1E" w:rsidRPr="08B05DC2">
        <w:rPr>
          <w:i/>
        </w:rPr>
        <w:t>Modernorum</w:t>
      </w:r>
      <w:r w:rsidR="008C4A1E">
        <w:t>, což je důstojný závěr objektivní komedie inscenované Múzami. Scotus poznal v Paříži tomistického Avicennu vykládaného „</w:t>
      </w:r>
      <w:r w:rsidR="008C4A1E">
        <w:rPr>
          <w:i/>
        </w:rPr>
        <w:t>ad mentem Averrois</w:t>
      </w:r>
      <w:r w:rsidR="008C4A1E">
        <w:t>“</w:t>
      </w:r>
      <w:r w:rsidR="008C4A1E">
        <w:rPr>
          <w:i/>
        </w:rPr>
        <w:fldChar w:fldCharType="begin"/>
      </w:r>
      <w:r w:rsidR="008C4A1E">
        <w:instrText xml:space="preserve"> XE "</w:instrText>
      </w:r>
      <w:r w:rsidR="008C4A1E">
        <w:rPr>
          <w:i/>
        </w:rPr>
        <w:instrText>ad mentem Averrois</w:instrText>
      </w:r>
      <w:r w:rsidR="008C4A1E">
        <w:instrText xml:space="preserve">" </w:instrText>
      </w:r>
      <w:r w:rsidR="008C4A1E">
        <w:rPr>
          <w:i/>
        </w:rPr>
        <w:fldChar w:fldCharType="end"/>
      </w:r>
      <w:r w:rsidR="008C4A1E">
        <w:t>, který neexistoval na Oxfordu ovládaném porretány typu Pechama. Scotus plně přijal aristotelskou kritiku namířenou proti skupině „</w:t>
      </w:r>
      <w:r w:rsidR="008C4A1E" w:rsidRPr="08937CB4">
        <w:rPr>
          <w:i/>
        </w:rPr>
        <w:t>sequaces Aristotelis</w:t>
      </w:r>
      <w:r w:rsidR="008C4A1E">
        <w:t>“ následujících neoplatonismus Toledské školy</w:t>
      </w:r>
      <w:r w:rsidR="008C4A1E">
        <w:fldChar w:fldCharType="begin"/>
      </w:r>
      <w:r w:rsidR="008C4A1E">
        <w:instrText xml:space="preserve"> XE "</w:instrText>
      </w:r>
      <w:r w:rsidR="008C4A1E" w:rsidRPr="08CD6E9D">
        <w:instrText>Toledská škola</w:instrText>
      </w:r>
      <w:r w:rsidR="008C4A1E">
        <w:instrText xml:space="preserve">" </w:instrText>
      </w:r>
      <w:r w:rsidR="008C4A1E">
        <w:fldChar w:fldCharType="end"/>
      </w:r>
      <w:r w:rsidR="008C4A1E">
        <w:t xml:space="preserve">. </w:t>
      </w:r>
      <w:r w:rsidR="008C4A1E" w:rsidRPr="001F6D4E">
        <w:t>Scotův avicenismus se blížil tomistickému pojetí semiaverroistů, stejně jako Aegidius Romanus</w:t>
      </w:r>
      <w:r w:rsidR="008C4A1E">
        <w:fldChar w:fldCharType="begin"/>
      </w:r>
      <w:r w:rsidR="008C4A1E">
        <w:instrText xml:space="preserve"> XE "</w:instrText>
      </w:r>
      <w:r w:rsidR="008C4A1E" w:rsidRPr="00B54432">
        <w:instrText>Aegidius Romanus</w:instrText>
      </w:r>
      <w:r w:rsidR="008C4A1E">
        <w:instrText xml:space="preserve">" </w:instrText>
      </w:r>
      <w:r w:rsidR="008C4A1E">
        <w:fldChar w:fldCharType="end"/>
      </w:r>
      <w:r w:rsidR="008C4A1E" w:rsidRPr="001F6D4E">
        <w:t xml:space="preserve">. </w:t>
      </w:r>
      <w:r w:rsidR="008C4A1E">
        <w:t>Ten p</w:t>
      </w:r>
      <w:r w:rsidR="008C4A1E" w:rsidRPr="001F6D4E">
        <w:t xml:space="preserve">řijal Avicennovu metafyziku a zachoval koncepci </w:t>
      </w:r>
      <w:r w:rsidR="008C4A1E" w:rsidRPr="001F6D4E">
        <w:rPr>
          <w:i/>
        </w:rPr>
        <w:t>intellectus possibilis</w:t>
      </w:r>
      <w:r w:rsidR="008C4A1E" w:rsidRPr="001F6D4E">
        <w:t xml:space="preserve"> </w:t>
      </w:r>
      <w:r w:rsidR="008C4A1E">
        <w:t xml:space="preserve">podle </w:t>
      </w:r>
      <w:r w:rsidR="008C4A1E" w:rsidRPr="001F6D4E">
        <w:t>CMDA, aby modernizoval dualistickou teorii poznání.</w:t>
      </w:r>
      <w:r w:rsidR="008C4A1E">
        <w:t xml:space="preserve"> </w:t>
      </w:r>
      <w:r w:rsidR="000940DA">
        <w:t xml:space="preserve">Scotus </w:t>
      </w:r>
      <w:r w:rsidR="0018619A">
        <w:t xml:space="preserve">po příchodu </w:t>
      </w:r>
      <w:r>
        <w:t xml:space="preserve">do Paříže </w:t>
      </w:r>
      <w:r w:rsidR="000940DA">
        <w:t xml:space="preserve">pozorně četl </w:t>
      </w:r>
      <w:r>
        <w:t>aristotelské traktáty ze školy prvního averroismu</w:t>
      </w:r>
      <w:r w:rsidR="0067113C">
        <w:t>, zejména tomistické provenience</w:t>
      </w:r>
      <w:r>
        <w:t xml:space="preserve">. </w:t>
      </w:r>
      <w:r w:rsidR="00956A39">
        <w:t>I</w:t>
      </w:r>
      <w:r w:rsidR="0067113C">
        <w:t xml:space="preserve">ntelekt funguje jako tomistická hypostáze v modu </w:t>
      </w:r>
      <w:r w:rsidR="007D3CE1">
        <w:t xml:space="preserve">věčného a neporušitelného </w:t>
      </w:r>
      <w:r w:rsidR="0067113C" w:rsidRPr="0067113C">
        <w:rPr>
          <w:i/>
        </w:rPr>
        <w:t>tertium ens</w:t>
      </w:r>
      <w:r w:rsidR="00956A39">
        <w:t>. P</w:t>
      </w:r>
      <w:r w:rsidR="0067113C">
        <w:t>ak bylo třeba dát o</w:t>
      </w:r>
      <w:r>
        <w:t>bjektivní diakosmos mimo boží</w:t>
      </w:r>
      <w:r w:rsidR="008C1F79">
        <w:t xml:space="preserve"> esenci, </w:t>
      </w:r>
      <w:r>
        <w:t xml:space="preserve">do racionálního uspořádání nekonečného a konečného jsoucna. </w:t>
      </w:r>
      <w:r w:rsidR="00A524DA">
        <w:t xml:space="preserve">Tento první krok </w:t>
      </w:r>
      <w:r w:rsidR="00871E30">
        <w:t xml:space="preserve">daný </w:t>
      </w:r>
      <w:r w:rsidR="00A524DA">
        <w:t>ve formě objek</w:t>
      </w:r>
      <w:r w:rsidR="008C1F79">
        <w:t xml:space="preserve">tivního </w:t>
      </w:r>
      <w:r w:rsidR="008C1F79" w:rsidRPr="008C1F79">
        <w:rPr>
          <w:i/>
        </w:rPr>
        <w:lastRenderedPageBreak/>
        <w:t>resolutio</w:t>
      </w:r>
      <w:r w:rsidR="008C1F79">
        <w:t xml:space="preserve"> provedl traktát </w:t>
      </w:r>
      <w:r w:rsidR="008C2D4A" w:rsidRPr="008C2D4A">
        <w:rPr>
          <w:rStyle w:val="addmd"/>
          <w:i/>
        </w:rPr>
        <w:t>Lectura I</w:t>
      </w:r>
      <w:r w:rsidR="008C1F79">
        <w:rPr>
          <w:rStyle w:val="addmd"/>
        </w:rPr>
        <w:t xml:space="preserve">. </w:t>
      </w:r>
      <w:r>
        <w:t xml:space="preserve">Tím </w:t>
      </w:r>
      <w:r w:rsidRPr="00273106">
        <w:t>vzniklo pole čisté intelligibility, které odstar</w:t>
      </w:r>
      <w:r>
        <w:t xml:space="preserve">tovalo vývoj ke konceptu </w:t>
      </w:r>
      <w:r w:rsidRPr="00273106">
        <w:rPr>
          <w:i/>
        </w:rPr>
        <w:t>natura pura</w:t>
      </w:r>
      <w:r>
        <w:rPr>
          <w:i/>
        </w:rPr>
        <w:fldChar w:fldCharType="begin"/>
      </w:r>
      <w:r>
        <w:instrText xml:space="preserve"> XE "</w:instrText>
      </w:r>
      <w:r w:rsidRPr="00624507">
        <w:rPr>
          <w:i/>
        </w:rPr>
        <w:instrText>natura pura</w:instrText>
      </w:r>
      <w:r>
        <w:instrText xml:space="preserve">" </w:instrText>
      </w:r>
      <w:r>
        <w:rPr>
          <w:i/>
        </w:rPr>
        <w:fldChar w:fldCharType="end"/>
      </w:r>
      <w:r w:rsidRPr="00273106">
        <w:t xml:space="preserve"> v 16. století</w:t>
      </w:r>
      <w:r>
        <w:t xml:space="preserve"> a postmoderní ontologie v 17</w:t>
      </w:r>
      <w:r w:rsidRPr="00273106">
        <w:t>. století.</w:t>
      </w:r>
      <w:r>
        <w:t xml:space="preserve"> K</w:t>
      </w:r>
      <w:r w:rsidRPr="00273106">
        <w:t xml:space="preserve">oncept </w:t>
      </w:r>
      <w:r>
        <w:t xml:space="preserve">čisté jsoucnosti </w:t>
      </w:r>
      <w:r w:rsidRPr="00273106">
        <w:t xml:space="preserve">produkuje </w:t>
      </w:r>
      <w:r>
        <w:t xml:space="preserve">metafyziku </w:t>
      </w:r>
      <w:r w:rsidRPr="00273106">
        <w:t xml:space="preserve">skrze </w:t>
      </w:r>
      <w:r>
        <w:t xml:space="preserve">univoční vyvedení objektivního </w:t>
      </w:r>
      <w:r w:rsidRPr="00273106">
        <w:t xml:space="preserve">pojmu jsoucna od </w:t>
      </w:r>
      <w:r>
        <w:t xml:space="preserve">kauzálně působícího </w:t>
      </w:r>
      <w:r w:rsidRPr="00273106">
        <w:t>boha k člověku</w:t>
      </w:r>
      <w:r>
        <w:t>, který toto působení přímo a univerzálně poznává</w:t>
      </w:r>
      <w:r>
        <w:fldChar w:fldCharType="begin"/>
      </w:r>
      <w:r>
        <w:instrText xml:space="preserve"> XE "dedukce:objektivní" </w:instrText>
      </w:r>
      <w:r>
        <w:fldChar w:fldCharType="end"/>
      </w:r>
      <w:r w:rsidRPr="00273106">
        <w:t>.</w:t>
      </w:r>
      <w:r>
        <w:t xml:space="preserve"> Metafyzická dedukce provedená skrze hypotetické zatmění slunce a skrze objektivní kauzalitu božích </w:t>
      </w:r>
      <w:r w:rsidR="00962190" w:rsidRPr="00646713">
        <w:t>species</w:t>
      </w:r>
      <w:r w:rsidR="00646713">
        <w:t xml:space="preserve"> ustavila</w:t>
      </w:r>
      <w:r>
        <w:t xml:space="preserve"> základy nové metafyziky. V temnotě jsoucna dané zatměním první substance</w:t>
      </w:r>
      <w:r>
        <w:rPr>
          <w:i/>
        </w:rPr>
        <w:fldChar w:fldCharType="begin"/>
      </w:r>
      <w:r>
        <w:instrText xml:space="preserve"> XE "</w:instrText>
      </w:r>
      <w:r w:rsidRPr="00317F7B">
        <w:instrText>metafyzika</w:instrText>
      </w:r>
      <w:r w:rsidRPr="009E66F3">
        <w:rPr>
          <w:i/>
        </w:rPr>
        <w:instrText>:Gründung</w:instrText>
      </w:r>
      <w:r>
        <w:instrText xml:space="preserve">" </w:instrText>
      </w:r>
      <w:r>
        <w:rPr>
          <w:i/>
        </w:rPr>
        <w:fldChar w:fldCharType="end"/>
      </w:r>
      <w:r>
        <w:t xml:space="preserve"> p</w:t>
      </w:r>
      <w:r w:rsidRPr="00273106">
        <w:t xml:space="preserve">oznáváme </w:t>
      </w:r>
      <w:r w:rsidR="00646713">
        <w:t xml:space="preserve">moderního </w:t>
      </w:r>
      <w:r w:rsidRPr="00273106">
        <w:t xml:space="preserve">boha </w:t>
      </w:r>
      <w:r w:rsidR="00646713">
        <w:t xml:space="preserve">v modu univočního pojetí jsoucna podle Avicenny, tedy skrze objektivní </w:t>
      </w:r>
      <w:r>
        <w:t>kauz</w:t>
      </w:r>
      <w:r w:rsidR="00646713">
        <w:t>alitu</w:t>
      </w:r>
      <w:r>
        <w:t xml:space="preserve">. </w:t>
      </w:r>
      <w:r w:rsidR="00646713">
        <w:t xml:space="preserve">Nová náhled </w:t>
      </w:r>
      <w:r>
        <w:t xml:space="preserve">zahájil </w:t>
      </w:r>
      <w:r w:rsidR="00646713">
        <w:t>moderní objektivaci</w:t>
      </w:r>
      <w:r w:rsidR="00865601">
        <w:t xml:space="preserve"> teologie, jejímiž</w:t>
      </w:r>
      <w:r>
        <w:t xml:space="preserve"> původním</w:t>
      </w:r>
      <w:r w:rsidR="00646713">
        <w:t>i</w:t>
      </w:r>
      <w:r>
        <w:t xml:space="preserve"> autor</w:t>
      </w:r>
      <w:r w:rsidR="00646713">
        <w:t>y</w:t>
      </w:r>
      <w:r>
        <w:t xml:space="preserve"> byl</w:t>
      </w:r>
      <w:r w:rsidR="00646713">
        <w:t>i</w:t>
      </w:r>
      <w:r>
        <w:t xml:space="preserve"> Bonaventura a Gandavus. </w:t>
      </w:r>
      <w:r w:rsidRPr="081F3EC5">
        <w:t xml:space="preserve">Analyticky myslící </w:t>
      </w:r>
      <w:r w:rsidRPr="081F3EC5">
        <w:rPr>
          <w:i/>
        </w:rPr>
        <w:t>Doctor Subtilis</w:t>
      </w:r>
      <w:r w:rsidRPr="081F3EC5">
        <w:t xml:space="preserve"> pochopil důsledky pař</w:t>
      </w:r>
      <w:r>
        <w:t>ížské tomistické i</w:t>
      </w:r>
      <w:r w:rsidRPr="081F3EC5">
        <w:t>nte</w:t>
      </w:r>
      <w:r>
        <w:t>r</w:t>
      </w:r>
      <w:r w:rsidRPr="081F3EC5">
        <w:t xml:space="preserve">pretace Avicenny pro </w:t>
      </w:r>
      <w:r w:rsidR="00C329F1">
        <w:t xml:space="preserve">jeho </w:t>
      </w:r>
      <w:r>
        <w:t xml:space="preserve">novou </w:t>
      </w:r>
      <w:r w:rsidRPr="081F3EC5">
        <w:t>metafyziku.</w:t>
      </w:r>
      <w:r>
        <w:rPr>
          <w:rStyle w:val="st"/>
          <w:b/>
          <w:bCs/>
        </w:rPr>
        <w:t xml:space="preserve"> </w:t>
      </w:r>
      <w:r w:rsidRPr="08597561">
        <w:t>Nadpřirozená</w:t>
      </w:r>
      <w:r>
        <w:t xml:space="preserve"> iluminace neřídí přirozené poznání, proto je třeba změnit pojetí pravdy na aristotelskou adekvaci danou v rámci vědeckého poznání </w:t>
      </w:r>
      <w:r w:rsidRPr="08AC6983">
        <w:rPr>
          <w:i/>
        </w:rPr>
        <w:t>Druhých analytik</w:t>
      </w:r>
      <w:r>
        <w:t xml:space="preserve">. Teorie jedné pravdy musí být vědecká v rámci nově založené </w:t>
      </w:r>
      <w:r w:rsidRPr="08562E6A">
        <w:rPr>
          <w:i/>
        </w:rPr>
        <w:t>metaphysica generalis</w:t>
      </w:r>
      <w:r>
        <w:rPr>
          <w:i/>
        </w:rPr>
        <w:fldChar w:fldCharType="begin"/>
      </w:r>
      <w:r>
        <w:instrText xml:space="preserve"> XE "</w:instrText>
      </w:r>
      <w:r w:rsidRPr="08CE4624">
        <w:rPr>
          <w:i/>
        </w:rPr>
        <w:instrText>metaphysica generalis</w:instrText>
      </w:r>
      <w:r>
        <w:instrText xml:space="preserve">" </w:instrText>
      </w:r>
      <w:r>
        <w:rPr>
          <w:i/>
        </w:rPr>
        <w:fldChar w:fldCharType="end"/>
      </w:r>
      <w:r>
        <w:t xml:space="preserve">, kde je racionalita teologie vědecky dedukována z filosofie. </w:t>
      </w:r>
      <w:r w:rsidRPr="00273106">
        <w:rPr>
          <w:rStyle w:val="addmd"/>
        </w:rPr>
        <w:t xml:space="preserve">Scotus proti Bonaventurovi a Gandavovi odmítl duální </w:t>
      </w:r>
      <w:r>
        <w:rPr>
          <w:rStyle w:val="addmd"/>
        </w:rPr>
        <w:t xml:space="preserve">pojetí </w:t>
      </w:r>
      <w:r w:rsidRPr="00273106">
        <w:rPr>
          <w:rStyle w:val="addmd"/>
        </w:rPr>
        <w:t>exemplar</w:t>
      </w:r>
      <w:r>
        <w:rPr>
          <w:rStyle w:val="addmd"/>
        </w:rPr>
        <w:t xml:space="preserve">u v rámci boží intence a </w:t>
      </w:r>
      <w:r w:rsidR="00810F53">
        <w:rPr>
          <w:rStyle w:val="addmd"/>
        </w:rPr>
        <w:t xml:space="preserve">jejího </w:t>
      </w:r>
      <w:r>
        <w:rPr>
          <w:rStyle w:val="addmd"/>
        </w:rPr>
        <w:t xml:space="preserve">objektivního statutu ve stvoření. Tato ontoteologická konstrukce druhého averroismu </w:t>
      </w:r>
      <w:r w:rsidRPr="00273106">
        <w:rPr>
          <w:rStyle w:val="addmd"/>
        </w:rPr>
        <w:t>vedl</w:t>
      </w:r>
      <w:r>
        <w:rPr>
          <w:rStyle w:val="addmd"/>
        </w:rPr>
        <w:t>a</w:t>
      </w:r>
      <w:r w:rsidRPr="00273106">
        <w:rPr>
          <w:rStyle w:val="addmd"/>
        </w:rPr>
        <w:t xml:space="preserve"> k neřešitelným problémům</w:t>
      </w:r>
      <w:r>
        <w:rPr>
          <w:rStyle w:val="addmd"/>
        </w:rPr>
        <w:t xml:space="preserve">, což brilantní </w:t>
      </w:r>
      <w:r w:rsidR="00C03116">
        <w:rPr>
          <w:rStyle w:val="addmd"/>
        </w:rPr>
        <w:t xml:space="preserve">myslitel z </w:t>
      </w:r>
      <w:r>
        <w:rPr>
          <w:rStyle w:val="addmd"/>
        </w:rPr>
        <w:t>Oxfordu analyzoval s neobyčejnou jasností</w:t>
      </w:r>
      <w:r w:rsidRPr="00273106">
        <w:rPr>
          <w:rStyle w:val="addmd"/>
        </w:rPr>
        <w:t xml:space="preserve">. </w:t>
      </w:r>
      <w:r>
        <w:rPr>
          <w:rStyle w:val="addmd"/>
        </w:rPr>
        <w:t xml:space="preserve">Bonaventurova a Gandavova koncepce objektivity </w:t>
      </w:r>
      <w:r w:rsidRPr="00273106">
        <w:rPr>
          <w:rStyle w:val="addmd"/>
        </w:rPr>
        <w:t xml:space="preserve">v </w:t>
      </w:r>
      <w:r>
        <w:rPr>
          <w:rStyle w:val="addmd"/>
        </w:rPr>
        <w:t xml:space="preserve">komitačním modu </w:t>
      </w:r>
      <w:r w:rsidR="003D0BD0">
        <w:rPr>
          <w:rStyle w:val="addmd"/>
        </w:rPr>
        <w:t>„</w:t>
      </w:r>
      <w:r w:rsidRPr="00273106">
        <w:rPr>
          <w:rStyle w:val="addmd"/>
          <w:i/>
        </w:rPr>
        <w:t>esse ad</w:t>
      </w:r>
      <w:r w:rsidR="003D0BD0">
        <w:rPr>
          <w:rStyle w:val="addmd"/>
        </w:rPr>
        <w:t>“</w:t>
      </w:r>
      <w:r>
        <w:rPr>
          <w:rStyle w:val="addmd"/>
          <w:i/>
        </w:rPr>
        <w:fldChar w:fldCharType="begin"/>
      </w:r>
      <w:r>
        <w:instrText xml:space="preserve"> XE "</w:instrText>
      </w:r>
      <w:r w:rsidRPr="008F3381">
        <w:rPr>
          <w:i/>
        </w:rPr>
        <w:instrText xml:space="preserve">esse </w:instrText>
      </w:r>
      <w:proofErr w:type="gramStart"/>
      <w:r w:rsidRPr="008F3381">
        <w:rPr>
          <w:i/>
        </w:rPr>
        <w:instrText>ad</w:instrText>
      </w:r>
      <w:proofErr w:type="gramEnd"/>
      <w:r w:rsidRPr="008F3381">
        <w:rPr>
          <w:i/>
        </w:rPr>
        <w:instrText>:</w:instrText>
      </w:r>
      <w:r w:rsidRPr="004A4A59">
        <w:instrText>Gandavus</w:instrText>
      </w:r>
      <w:r>
        <w:instrText xml:space="preserve">" </w:instrText>
      </w:r>
      <w:r>
        <w:rPr>
          <w:rStyle w:val="addmd"/>
          <w:i/>
        </w:rPr>
        <w:fldChar w:fldCharType="end"/>
      </w:r>
      <w:r>
        <w:rPr>
          <w:rStyle w:val="addmd"/>
        </w:rPr>
        <w:t xml:space="preserve"> vytvořila dva řád</w:t>
      </w:r>
      <w:r w:rsidR="003D0BD0">
        <w:rPr>
          <w:rStyle w:val="addmd"/>
        </w:rPr>
        <w:t>y emanace jsoucen třetího druhu</w:t>
      </w:r>
      <w:r>
        <w:rPr>
          <w:rStyle w:val="addmd"/>
        </w:rPr>
        <w:t xml:space="preserve">: </w:t>
      </w:r>
      <w:r w:rsidRPr="003D0BD0">
        <w:rPr>
          <w:rStyle w:val="addmd"/>
          <w:i/>
        </w:rPr>
        <w:t>exemplar</w:t>
      </w:r>
      <w:r>
        <w:rPr>
          <w:rStyle w:val="addmd"/>
        </w:rPr>
        <w:fldChar w:fldCharType="begin"/>
      </w:r>
      <w:r>
        <w:instrText xml:space="preserve"> XE "</w:instrText>
      </w:r>
      <w:r w:rsidRPr="00481601">
        <w:instrText>exemplar</w:instrText>
      </w:r>
      <w:r>
        <w:instrText xml:space="preserve">" </w:instrText>
      </w:r>
      <w:r>
        <w:rPr>
          <w:rStyle w:val="addmd"/>
        </w:rPr>
        <w:fldChar w:fldCharType="end"/>
      </w:r>
      <w:r w:rsidR="003D0BD0">
        <w:rPr>
          <w:rStyle w:val="addmd"/>
        </w:rPr>
        <w:t xml:space="preserve"> vycházel od </w:t>
      </w:r>
      <w:r>
        <w:rPr>
          <w:rStyle w:val="addmd"/>
        </w:rPr>
        <w:t>boh</w:t>
      </w:r>
      <w:r w:rsidR="003D0BD0">
        <w:rPr>
          <w:rStyle w:val="addmd"/>
        </w:rPr>
        <w:t>a</w:t>
      </w:r>
      <w:r>
        <w:rPr>
          <w:rStyle w:val="addmd"/>
        </w:rPr>
        <w:t xml:space="preserve"> a </w:t>
      </w:r>
      <w:r w:rsidR="003D0BD0" w:rsidRPr="003D0BD0">
        <w:rPr>
          <w:rStyle w:val="addmd"/>
          <w:i/>
        </w:rPr>
        <w:t xml:space="preserve">ratio </w:t>
      </w:r>
      <w:r w:rsidRPr="003D0BD0">
        <w:rPr>
          <w:rStyle w:val="addmd"/>
          <w:i/>
        </w:rPr>
        <w:t>semin</w:t>
      </w:r>
      <w:r w:rsidR="003D0BD0" w:rsidRPr="003D0BD0">
        <w:rPr>
          <w:rStyle w:val="addmd"/>
          <w:i/>
        </w:rPr>
        <w:t>alis</w:t>
      </w:r>
      <w:r w:rsidR="003D0BD0">
        <w:rPr>
          <w:rStyle w:val="addmd"/>
        </w:rPr>
        <w:fldChar w:fldCharType="begin"/>
      </w:r>
      <w:r w:rsidR="003D0BD0">
        <w:instrText xml:space="preserve"> XE "</w:instrText>
      </w:r>
      <w:r w:rsidR="003D0BD0" w:rsidRPr="00481601">
        <w:rPr>
          <w:i/>
        </w:rPr>
        <w:instrText>ratio seminalis</w:instrText>
      </w:r>
      <w:r w:rsidR="003D0BD0">
        <w:instrText xml:space="preserve">" </w:instrText>
      </w:r>
      <w:r w:rsidR="003D0BD0">
        <w:rPr>
          <w:rStyle w:val="addmd"/>
        </w:rPr>
        <w:fldChar w:fldCharType="end"/>
      </w:r>
      <w:r w:rsidR="003D0BD0">
        <w:rPr>
          <w:rStyle w:val="addmd"/>
        </w:rPr>
        <w:t xml:space="preserve"> bylo dáno </w:t>
      </w:r>
      <w:r>
        <w:rPr>
          <w:rStyle w:val="addmd"/>
        </w:rPr>
        <w:t>ve stvoření</w:t>
      </w:r>
      <w:r w:rsidR="00635DAF">
        <w:rPr>
          <w:rStyle w:val="addmd"/>
        </w:rPr>
        <w:t xml:space="preserve">. </w:t>
      </w:r>
      <w:r w:rsidR="000372FA" w:rsidRPr="000372FA">
        <w:rPr>
          <w:rStyle w:val="addmd"/>
        </w:rPr>
        <w:t>Scotus přenesl sféru božského myšlení do aristotelismu tím, že oddělil božský intelekt a habitus od jeho božské podstaty. Vyt</w:t>
      </w:r>
      <w:r w:rsidR="000372FA">
        <w:rPr>
          <w:rStyle w:val="addmd"/>
        </w:rPr>
        <w:t>vořil novou verzi objektivního „</w:t>
      </w:r>
      <w:r w:rsidR="000372FA" w:rsidRPr="000372FA">
        <w:rPr>
          <w:rStyle w:val="addmd"/>
          <w:i/>
        </w:rPr>
        <w:t>esse in</w:t>
      </w:r>
      <w:r w:rsidR="003535C4">
        <w:rPr>
          <w:rStyle w:val="addmd"/>
          <w:i/>
        </w:rPr>
        <w:fldChar w:fldCharType="begin"/>
      </w:r>
      <w:r w:rsidR="003535C4">
        <w:instrText xml:space="preserve"> XE "</w:instrText>
      </w:r>
      <w:r w:rsidR="003535C4" w:rsidRPr="00895D2C">
        <w:rPr>
          <w:rStyle w:val="addmd"/>
          <w:i/>
        </w:rPr>
        <w:instrText>esse in</w:instrText>
      </w:r>
      <w:r w:rsidR="003535C4">
        <w:instrText xml:space="preserve">" </w:instrText>
      </w:r>
      <w:r w:rsidR="003535C4">
        <w:rPr>
          <w:rStyle w:val="addmd"/>
          <w:i/>
        </w:rPr>
        <w:fldChar w:fldCharType="end"/>
      </w:r>
      <w:r w:rsidR="000372FA">
        <w:rPr>
          <w:rStyle w:val="addmd"/>
        </w:rPr>
        <w:t>“</w:t>
      </w:r>
      <w:r w:rsidR="000372FA" w:rsidRPr="000372FA">
        <w:rPr>
          <w:rStyle w:val="addmd"/>
        </w:rPr>
        <w:t xml:space="preserve">, které bylo </w:t>
      </w:r>
      <w:r w:rsidR="000372FA">
        <w:rPr>
          <w:rStyle w:val="addmd"/>
        </w:rPr>
        <w:t>definované skrze pojem nekonečnosti přístupný</w:t>
      </w:r>
      <w:r w:rsidR="000372FA" w:rsidRPr="000372FA">
        <w:rPr>
          <w:rStyle w:val="addmd"/>
        </w:rPr>
        <w:t xml:space="preserve"> lidskému poznání. Tomistický hypostatický intelekt se stal univerzálním druhem racionality definovaným </w:t>
      </w:r>
      <w:r w:rsidR="000372FA" w:rsidRPr="000372FA">
        <w:rPr>
          <w:rStyle w:val="addmd"/>
          <w:i/>
        </w:rPr>
        <w:t>univoce</w:t>
      </w:r>
      <w:r w:rsidR="000372FA" w:rsidRPr="000372FA">
        <w:rPr>
          <w:rStyle w:val="addmd"/>
        </w:rPr>
        <w:t xml:space="preserve"> a </w:t>
      </w:r>
      <w:r w:rsidR="000372FA" w:rsidRPr="000372FA">
        <w:rPr>
          <w:rStyle w:val="addmd"/>
          <w:i/>
        </w:rPr>
        <w:t>obiective</w:t>
      </w:r>
      <w:r w:rsidR="00405D41">
        <w:rPr>
          <w:rStyle w:val="addmd"/>
        </w:rPr>
        <w:t xml:space="preserve">. Původní </w:t>
      </w:r>
      <w:r w:rsidRPr="00273106">
        <w:rPr>
          <w:rStyle w:val="addmd"/>
        </w:rPr>
        <w:t>forma n</w:t>
      </w:r>
      <w:r w:rsidR="00BB795F">
        <w:rPr>
          <w:rStyle w:val="addmd"/>
        </w:rPr>
        <w:t xml:space="preserve">ekonečné myslitelské potence se stala nyní </w:t>
      </w:r>
      <w:r w:rsidRPr="00273106">
        <w:rPr>
          <w:rStyle w:val="addmd"/>
        </w:rPr>
        <w:t xml:space="preserve">pro </w:t>
      </w:r>
      <w:r>
        <w:rPr>
          <w:rStyle w:val="addmd"/>
        </w:rPr>
        <w:t xml:space="preserve">člověka </w:t>
      </w:r>
      <w:r w:rsidR="00BB795F">
        <w:rPr>
          <w:rStyle w:val="addmd"/>
        </w:rPr>
        <w:t>nedostupnou. K</w:t>
      </w:r>
      <w:r w:rsidRPr="00273106">
        <w:rPr>
          <w:rStyle w:val="addmd"/>
        </w:rPr>
        <w:t xml:space="preserve">onečné stvoření nemůže </w:t>
      </w:r>
      <w:r>
        <w:rPr>
          <w:rStyle w:val="addmd"/>
        </w:rPr>
        <w:t xml:space="preserve">pojmout aktualitu </w:t>
      </w:r>
      <w:r w:rsidRPr="00273106">
        <w:rPr>
          <w:rStyle w:val="addmd"/>
        </w:rPr>
        <w:t>boha</w:t>
      </w:r>
      <w:r>
        <w:rPr>
          <w:rStyle w:val="addmd"/>
        </w:rPr>
        <w:t xml:space="preserve"> v</w:t>
      </w:r>
      <w:r w:rsidRPr="00273106">
        <w:rPr>
          <w:rStyle w:val="addmd"/>
        </w:rPr>
        <w:t xml:space="preserve"> její esenciální nekonečnosti</w:t>
      </w:r>
      <w:r>
        <w:rPr>
          <w:rStyle w:val="addmd"/>
        </w:rPr>
        <w:t>, jako to měli avicennističtí augustináni vedení Gandavem</w:t>
      </w:r>
      <w:r w:rsidRPr="00273106">
        <w:rPr>
          <w:rStyle w:val="addmd"/>
        </w:rPr>
        <w:t>.</w:t>
      </w:r>
      <w:r w:rsidR="00461BAC">
        <w:rPr>
          <w:rStyle w:val="addmd"/>
        </w:rPr>
        <w:t xml:space="preserve"> </w:t>
      </w:r>
      <w:r>
        <w:rPr>
          <w:rStyle w:val="addmd"/>
        </w:rPr>
        <w:t xml:space="preserve">Nekonečná existence </w:t>
      </w:r>
      <w:r w:rsidRPr="00273106">
        <w:rPr>
          <w:rStyle w:val="addmd"/>
        </w:rPr>
        <w:t xml:space="preserve">boha </w:t>
      </w:r>
      <w:r w:rsidR="00115A40">
        <w:rPr>
          <w:rStyle w:val="addmd"/>
        </w:rPr>
        <w:t xml:space="preserve">je přímo pochopitelná </w:t>
      </w:r>
      <w:r w:rsidRPr="00273106">
        <w:rPr>
          <w:rStyle w:val="addmd"/>
        </w:rPr>
        <w:t>v</w:t>
      </w:r>
      <w:r>
        <w:rPr>
          <w:rStyle w:val="addmd"/>
        </w:rPr>
        <w:t xml:space="preserve"> konečném </w:t>
      </w:r>
      <w:r w:rsidRPr="00273106">
        <w:rPr>
          <w:rStyle w:val="addmd"/>
        </w:rPr>
        <w:t>stvoření</w:t>
      </w:r>
      <w:r w:rsidR="00115A40">
        <w:rPr>
          <w:rStyle w:val="addmd"/>
        </w:rPr>
        <w:t>, a to skrze rozumnou stavbu</w:t>
      </w:r>
      <w:r>
        <w:rPr>
          <w:rStyle w:val="addmd"/>
        </w:rPr>
        <w:t xml:space="preserve"> kosmu</w:t>
      </w:r>
      <w:r w:rsidRPr="00273106">
        <w:rPr>
          <w:rStyle w:val="addmd"/>
        </w:rPr>
        <w:t xml:space="preserve">. </w:t>
      </w:r>
      <w:r w:rsidR="009B6F00">
        <w:rPr>
          <w:rStyle w:val="addmd"/>
        </w:rPr>
        <w:t xml:space="preserve">Pak </w:t>
      </w:r>
      <w:r w:rsidRPr="00273106">
        <w:rPr>
          <w:rStyle w:val="addmd"/>
        </w:rPr>
        <w:t xml:space="preserve">ji poznáváme v modu konečné objektivity nazírané </w:t>
      </w:r>
      <w:r>
        <w:rPr>
          <w:rStyle w:val="addmd"/>
        </w:rPr>
        <w:t xml:space="preserve">přirozeným </w:t>
      </w:r>
      <w:r w:rsidRPr="00273106">
        <w:rPr>
          <w:rStyle w:val="addmd"/>
        </w:rPr>
        <w:t xml:space="preserve">rozumem. </w:t>
      </w:r>
      <w:r w:rsidR="00A30846" w:rsidRPr="00A30846">
        <w:rPr>
          <w:rStyle w:val="addmd"/>
        </w:rPr>
        <w:t>Nová metafyzika však nebyla do</w:t>
      </w:r>
      <w:r w:rsidR="00A30846">
        <w:rPr>
          <w:rStyle w:val="addmd"/>
        </w:rPr>
        <w:t>končena. Dedukce racionality z b</w:t>
      </w:r>
      <w:r w:rsidR="00A30846" w:rsidRPr="00A30846">
        <w:rPr>
          <w:rStyle w:val="addmd"/>
        </w:rPr>
        <w:t xml:space="preserve">oha do kontingentního </w:t>
      </w:r>
      <w:r w:rsidR="00A30846">
        <w:rPr>
          <w:rStyle w:val="addmd"/>
        </w:rPr>
        <w:t xml:space="preserve">jsoucna </w:t>
      </w:r>
      <w:r w:rsidR="00A30846" w:rsidRPr="00A30846">
        <w:rPr>
          <w:rStyle w:val="addmd"/>
        </w:rPr>
        <w:lastRenderedPageBreak/>
        <w:t xml:space="preserve">nebyla vyřešena s ohledem na otázku pravdy. </w:t>
      </w:r>
      <w:r w:rsidR="001C5F5D">
        <w:rPr>
          <w:rStyle w:val="addmd"/>
        </w:rPr>
        <w:t>Aristotelská teorie pravdy jako korespondence je založená na univocitě druhé substance, která zakládá kategoriální predikaci skrze impozici smyslu z první substance. Scotus v prvním patře objektivní dedukce přímo nazírá „</w:t>
      </w:r>
      <w:r w:rsidR="001C5F5D" w:rsidRPr="00273106">
        <w:rPr>
          <w:i/>
        </w:rPr>
        <w:t>conceptus simpliciter simplex</w:t>
      </w:r>
      <w:r w:rsidR="006C0570">
        <w:rPr>
          <w:rStyle w:val="addmd"/>
        </w:rPr>
        <w:t>“ jako první objektivní subst</w:t>
      </w:r>
      <w:r w:rsidR="001C5F5D">
        <w:rPr>
          <w:rStyle w:val="addmd"/>
        </w:rPr>
        <w:t xml:space="preserve">anci. </w:t>
      </w:r>
      <w:r w:rsidR="0018773A">
        <w:rPr>
          <w:rStyle w:val="addmd"/>
        </w:rPr>
        <w:t>Takto daná transcende</w:t>
      </w:r>
      <w:r w:rsidR="006C0570">
        <w:rPr>
          <w:rStyle w:val="addmd"/>
        </w:rPr>
        <w:t>n</w:t>
      </w:r>
      <w:r w:rsidR="0018773A">
        <w:rPr>
          <w:rStyle w:val="addmd"/>
        </w:rPr>
        <w:t>tální úroveň predikace proto n</w:t>
      </w:r>
      <w:r w:rsidR="001C5F5D">
        <w:rPr>
          <w:rStyle w:val="addmd"/>
        </w:rPr>
        <w:t>epotřebuje žádnou druhou substa</w:t>
      </w:r>
      <w:r w:rsidR="0018773A">
        <w:rPr>
          <w:rStyle w:val="addmd"/>
        </w:rPr>
        <w:t>nci. Aristotelská druhá substance se změnila na objektivně určenou první substanci</w:t>
      </w:r>
      <w:r w:rsidR="00C83B46">
        <w:rPr>
          <w:rStyle w:val="addmd"/>
        </w:rPr>
        <w:t>,</w:t>
      </w:r>
      <w:r w:rsidR="0018773A">
        <w:rPr>
          <w:rStyle w:val="addmd"/>
        </w:rPr>
        <w:t xml:space="preserve"> a tím vytvořila so</w:t>
      </w:r>
      <w:r w:rsidR="001C5F5D">
        <w:rPr>
          <w:rStyle w:val="addmd"/>
        </w:rPr>
        <w:t>fis</w:t>
      </w:r>
      <w:r w:rsidR="0018773A">
        <w:rPr>
          <w:rStyle w:val="addmd"/>
        </w:rPr>
        <w:t>tickou formu avicennovské</w:t>
      </w:r>
      <w:r w:rsidR="001C5F5D">
        <w:rPr>
          <w:rStyle w:val="addmd"/>
        </w:rPr>
        <w:t xml:space="preserve"> komitace.</w:t>
      </w:r>
    </w:p>
    <w:p w:rsidR="00287B63" w:rsidRDefault="00D61929" w:rsidP="001F6D4E">
      <w:pPr>
        <w:ind w:firstLine="397"/>
        <w:rPr>
          <w:rStyle w:val="addmd"/>
        </w:rPr>
      </w:pPr>
      <w:r>
        <w:rPr>
          <w:rStyle w:val="addmd"/>
        </w:rPr>
        <w:t xml:space="preserve">Scotus vytvořil </w:t>
      </w:r>
      <w:r w:rsidR="00461BAC">
        <w:rPr>
          <w:rStyle w:val="addmd"/>
        </w:rPr>
        <w:t>novou formu objektivního diakosmu odlišnou od předešlých modernistů</w:t>
      </w:r>
      <w:r w:rsidR="001F6D4E">
        <w:rPr>
          <w:rStyle w:val="addmd"/>
        </w:rPr>
        <w:t xml:space="preserve">. </w:t>
      </w:r>
      <w:r w:rsidR="0087250D">
        <w:rPr>
          <w:rStyle w:val="addmd"/>
        </w:rPr>
        <w:t xml:space="preserve">V tomto diakosmu </w:t>
      </w:r>
      <w:r>
        <w:rPr>
          <w:rStyle w:val="addmd"/>
        </w:rPr>
        <w:t xml:space="preserve">bylo třeba etablovat pravdu jako univoční a univerzální formu podobnosti. Na jedné straně bylo dáno boží nekonečné </w:t>
      </w:r>
      <w:r w:rsidRPr="00D61929">
        <w:rPr>
          <w:rStyle w:val="addmd"/>
          <w:i/>
        </w:rPr>
        <w:t>scibile</w:t>
      </w:r>
      <w:r>
        <w:rPr>
          <w:rStyle w:val="addmd"/>
        </w:rPr>
        <w:t xml:space="preserve"> jako trinitiární boží racionalita, což zajistila dedukce v díle </w:t>
      </w:r>
      <w:r w:rsidR="008C2D4A" w:rsidRPr="008C2D4A">
        <w:rPr>
          <w:rStyle w:val="addmd"/>
          <w:i/>
        </w:rPr>
        <w:t>Lectura I</w:t>
      </w:r>
      <w:r w:rsidR="00DF5FC6">
        <w:rPr>
          <w:rStyle w:val="addmd"/>
        </w:rPr>
        <w:t>. P</w:t>
      </w:r>
      <w:r>
        <w:rPr>
          <w:rStyle w:val="addmd"/>
        </w:rPr>
        <w:t xml:space="preserve">ařížské období </w:t>
      </w:r>
      <w:r w:rsidR="00DF5FC6">
        <w:rPr>
          <w:rStyle w:val="addmd"/>
        </w:rPr>
        <w:t>vytvořilo</w:t>
      </w:r>
      <w:r>
        <w:rPr>
          <w:rStyle w:val="addmd"/>
        </w:rPr>
        <w:t xml:space="preserve"> dedukci objektivní metafyziky s ohledem na stvořený řád bytí poznaný odpovídající formou přiro</w:t>
      </w:r>
      <w:r w:rsidR="00BF6B0D">
        <w:rPr>
          <w:rStyle w:val="addmd"/>
        </w:rPr>
        <w:t xml:space="preserve">zeného intelektu. </w:t>
      </w:r>
      <w:r w:rsidR="08163013" w:rsidRPr="00273106">
        <w:rPr>
          <w:rStyle w:val="addmd"/>
        </w:rPr>
        <w:t xml:space="preserve">Objektivita univočně spojuje nekonečnou </w:t>
      </w:r>
      <w:r w:rsidR="08163013">
        <w:rPr>
          <w:rStyle w:val="addmd"/>
        </w:rPr>
        <w:t xml:space="preserve">sféru </w:t>
      </w:r>
      <w:r w:rsidR="08163013" w:rsidRPr="00273106">
        <w:rPr>
          <w:rStyle w:val="addmd"/>
        </w:rPr>
        <w:t>boží objektiv</w:t>
      </w:r>
      <w:r w:rsidR="08163013">
        <w:rPr>
          <w:rStyle w:val="addmd"/>
        </w:rPr>
        <w:t>ity</w:t>
      </w:r>
      <w:r w:rsidR="08163013" w:rsidRPr="00273106">
        <w:rPr>
          <w:rStyle w:val="addmd"/>
        </w:rPr>
        <w:t xml:space="preserve"> (</w:t>
      </w:r>
      <w:r w:rsidR="08163013" w:rsidRPr="00273106">
        <w:rPr>
          <w:rStyle w:val="addmd"/>
          <w:i/>
        </w:rPr>
        <w:t>exemplar</w:t>
      </w:r>
      <w:r w:rsidR="08163013">
        <w:rPr>
          <w:rStyle w:val="addmd"/>
        </w:rPr>
        <w:t xml:space="preserve">) a </w:t>
      </w:r>
      <w:r w:rsidR="08163013" w:rsidRPr="00273106">
        <w:rPr>
          <w:rStyle w:val="addmd"/>
        </w:rPr>
        <w:t>její konečnou objektivní reprezentaci ve stvořeném jsoucnu (</w:t>
      </w:r>
      <w:r w:rsidR="08163013" w:rsidRPr="00273106">
        <w:rPr>
          <w:rStyle w:val="addmd"/>
          <w:i/>
        </w:rPr>
        <w:t>vestigi</w:t>
      </w:r>
      <w:r w:rsidR="08163013">
        <w:rPr>
          <w:rStyle w:val="addmd"/>
          <w:i/>
        </w:rPr>
        <w:t>um</w:t>
      </w:r>
      <w:r w:rsidR="08163013">
        <w:rPr>
          <w:rStyle w:val="addmd"/>
          <w:i/>
        </w:rPr>
        <w:fldChar w:fldCharType="begin"/>
      </w:r>
      <w:r w:rsidR="08163013">
        <w:instrText xml:space="preserve"> XE "</w:instrText>
      </w:r>
      <w:r w:rsidR="08163013" w:rsidRPr="00A92026">
        <w:rPr>
          <w:rStyle w:val="addmd"/>
          <w:i/>
        </w:rPr>
        <w:instrText>vestigi</w:instrText>
      </w:r>
      <w:r w:rsidR="08163013">
        <w:rPr>
          <w:rStyle w:val="addmd"/>
          <w:i/>
        </w:rPr>
        <w:instrText>um</w:instrText>
      </w:r>
      <w:r w:rsidR="08163013">
        <w:instrText xml:space="preserve">" </w:instrText>
      </w:r>
      <w:r w:rsidR="08163013">
        <w:rPr>
          <w:rStyle w:val="addmd"/>
          <w:i/>
        </w:rPr>
        <w:fldChar w:fldCharType="end"/>
      </w:r>
      <w:r w:rsidR="08163013">
        <w:rPr>
          <w:rStyle w:val="addmd"/>
        </w:rPr>
        <w:t>). O</w:t>
      </w:r>
      <w:r w:rsidR="08163013" w:rsidRPr="00273106">
        <w:rPr>
          <w:rStyle w:val="addmd"/>
        </w:rPr>
        <w:t>bojí poznáváme ve světě konečných, kontingentních a aktuálních jsoucen (</w:t>
      </w:r>
      <w:r w:rsidR="08163013" w:rsidRPr="00273106">
        <w:rPr>
          <w:rStyle w:val="addmd"/>
          <w:i/>
        </w:rPr>
        <w:t>imago</w:t>
      </w:r>
      <w:r w:rsidR="08163013" w:rsidRPr="00273106">
        <w:rPr>
          <w:rStyle w:val="addmd"/>
        </w:rPr>
        <w:t xml:space="preserve">). </w:t>
      </w:r>
      <w:r w:rsidR="08163013">
        <w:rPr>
          <w:rStyle w:val="addmd"/>
        </w:rPr>
        <w:t xml:space="preserve">Poslední féra už umožňuje vedle objektivního poznání také aristotelské schéma abstrakce. </w:t>
      </w:r>
      <w:r w:rsidR="08163013">
        <w:t xml:space="preserve">Pak vznikne i objektivní pravda v modu adekvace, protože v řádu objektivně dané dedukce si odpovídají dva racionální pojmy dané pouze potenciálně. </w:t>
      </w:r>
      <w:r w:rsidR="08163013" w:rsidRPr="00273106">
        <w:rPr>
          <w:rStyle w:val="addmd"/>
        </w:rPr>
        <w:t xml:space="preserve">Objektivní bytí dané </w:t>
      </w:r>
      <w:r w:rsidR="00144F5F">
        <w:rPr>
          <w:rStyle w:val="addmd"/>
          <w:i/>
        </w:rPr>
        <w:t>simpliciter</w:t>
      </w:r>
      <w:r w:rsidR="08163013">
        <w:rPr>
          <w:rStyle w:val="addmd"/>
        </w:rPr>
        <w:t xml:space="preserve"> jako potenciální jsoucno </w:t>
      </w:r>
      <w:r w:rsidR="08163013" w:rsidRPr="00273106">
        <w:rPr>
          <w:rStyle w:val="addmd"/>
        </w:rPr>
        <w:t xml:space="preserve">aktivizuje náš intelekt </w:t>
      </w:r>
      <w:r w:rsidR="08163013">
        <w:rPr>
          <w:rStyle w:val="addmd"/>
        </w:rPr>
        <w:t>jak skrze avicennovskou denudaci, tak skrze aristotelské schéma abstrakce</w:t>
      </w:r>
      <w:r w:rsidR="08163013" w:rsidRPr="00273106">
        <w:rPr>
          <w:rStyle w:val="addmd"/>
        </w:rPr>
        <w:t>.</w:t>
      </w:r>
      <w:r w:rsidR="08163013">
        <w:rPr>
          <w:rStyle w:val="addmd"/>
        </w:rPr>
        <w:t xml:space="preserve"> A</w:t>
      </w:r>
      <w:r w:rsidR="08163013" w:rsidRPr="00273106">
        <w:rPr>
          <w:rStyle w:val="addmd"/>
        </w:rPr>
        <w:t xml:space="preserve">dekvace mezi </w:t>
      </w:r>
      <w:r w:rsidR="08163013">
        <w:rPr>
          <w:rStyle w:val="addmd"/>
        </w:rPr>
        <w:t xml:space="preserve">objektivním bytím ve stvoření </w:t>
      </w:r>
      <w:r w:rsidR="08163013" w:rsidRPr="00273106">
        <w:rPr>
          <w:rStyle w:val="addmd"/>
        </w:rPr>
        <w:t xml:space="preserve">a </w:t>
      </w:r>
      <w:r w:rsidR="08163013">
        <w:rPr>
          <w:rStyle w:val="addmd"/>
        </w:rPr>
        <w:t xml:space="preserve">naším poznávacím </w:t>
      </w:r>
      <w:r w:rsidR="08163013" w:rsidRPr="00273106">
        <w:rPr>
          <w:rStyle w:val="addmd"/>
        </w:rPr>
        <w:t xml:space="preserve">konceptem existuje od úrovně </w:t>
      </w:r>
      <w:r w:rsidR="00192D36">
        <w:rPr>
          <w:rStyle w:val="addmd"/>
        </w:rPr>
        <w:t>„</w:t>
      </w:r>
      <w:r w:rsidR="08163013">
        <w:rPr>
          <w:rStyle w:val="addmd"/>
          <w:i/>
        </w:rPr>
        <w:t>vestigium</w:t>
      </w:r>
      <w:r w:rsidR="08163013" w:rsidRPr="00273106">
        <w:rPr>
          <w:rStyle w:val="addmd"/>
          <w:i/>
        </w:rPr>
        <w:t>‒imago</w:t>
      </w:r>
      <w:r w:rsidR="00192D36">
        <w:rPr>
          <w:rStyle w:val="addmd"/>
        </w:rPr>
        <w:t>“</w:t>
      </w:r>
      <w:r w:rsidR="08163013">
        <w:rPr>
          <w:rStyle w:val="addmd"/>
          <w:i/>
        </w:rPr>
        <w:fldChar w:fldCharType="begin"/>
      </w:r>
      <w:r w:rsidR="08163013">
        <w:instrText xml:space="preserve"> XE "pravda:</w:instrText>
      </w:r>
      <w:r w:rsidR="08163013">
        <w:rPr>
          <w:rStyle w:val="addmd"/>
          <w:i/>
        </w:rPr>
        <w:instrText>vestigium/</w:instrText>
      </w:r>
      <w:r w:rsidR="08163013" w:rsidRPr="005C4615">
        <w:rPr>
          <w:rStyle w:val="addmd"/>
          <w:i/>
        </w:rPr>
        <w:instrText>imago</w:instrText>
      </w:r>
      <w:r w:rsidR="08163013">
        <w:instrText xml:space="preserve">" </w:instrText>
      </w:r>
      <w:r w:rsidR="08163013">
        <w:rPr>
          <w:rStyle w:val="addmd"/>
          <w:i/>
        </w:rPr>
        <w:fldChar w:fldCharType="end"/>
      </w:r>
      <w:r w:rsidR="08163013">
        <w:rPr>
          <w:rStyle w:val="addmd"/>
        </w:rPr>
        <w:t xml:space="preserve">. </w:t>
      </w:r>
      <w:r w:rsidR="08163013" w:rsidRPr="00273106">
        <w:rPr>
          <w:rStyle w:val="addmd"/>
        </w:rPr>
        <w:t xml:space="preserve">Scotus při adekvaci nekonečné a konečné objektivity pracuje s podobným schématem jako Akvinský v díle </w:t>
      </w:r>
      <w:r w:rsidR="08163013" w:rsidRPr="00273106">
        <w:rPr>
          <w:rStyle w:val="addmd"/>
          <w:i/>
        </w:rPr>
        <w:t>De potentia</w:t>
      </w:r>
      <w:r w:rsidR="08163013" w:rsidRPr="00273106">
        <w:rPr>
          <w:rStyle w:val="addmd"/>
        </w:rPr>
        <w:t xml:space="preserve"> (k</w:t>
      </w:r>
      <w:r w:rsidR="003F2D8C">
        <w:rPr>
          <w:rStyle w:val="addmd"/>
        </w:rPr>
        <w:t>ap. 4</w:t>
      </w:r>
      <w:r w:rsidR="08163013">
        <w:rPr>
          <w:rStyle w:val="addmd"/>
        </w:rPr>
        <w:t>.5.2)</w:t>
      </w:r>
      <w:r w:rsidR="08163013" w:rsidRPr="00273106">
        <w:rPr>
          <w:rStyle w:val="addmd"/>
        </w:rPr>
        <w:t>.</w:t>
      </w:r>
      <w:r w:rsidR="08163013">
        <w:t xml:space="preserve"> </w:t>
      </w:r>
      <w:r w:rsidR="08163013" w:rsidRPr="00273106">
        <w:rPr>
          <w:rStyle w:val="addmd"/>
        </w:rPr>
        <w:t>Vy</w:t>
      </w:r>
      <w:r w:rsidR="08163013" w:rsidRPr="00273106">
        <w:t>tváří koncept pravdy jak</w:t>
      </w:r>
      <w:r w:rsidR="08163013">
        <w:t xml:space="preserve">o adekvace intelektu vzhledem ke </w:t>
      </w:r>
      <w:r w:rsidR="00962190">
        <w:rPr>
          <w:i/>
        </w:rPr>
        <w:t>species</w:t>
      </w:r>
      <w:r w:rsidR="08163013" w:rsidRPr="00193D85">
        <w:rPr>
          <w:i/>
        </w:rPr>
        <w:t xml:space="preserve"> intelligibilis</w:t>
      </w:r>
      <w:r w:rsidR="08163013">
        <w:rPr>
          <w:i/>
        </w:rPr>
        <w:fldChar w:fldCharType="begin"/>
      </w:r>
      <w:r w:rsidR="08163013">
        <w:instrText xml:space="preserve"> XE "</w:instrText>
      </w:r>
      <w:r w:rsidR="08163013" w:rsidRPr="00DD403C">
        <w:rPr>
          <w:i/>
        </w:rPr>
        <w:instrText>species intelligibilis:</w:instrText>
      </w:r>
      <w:r w:rsidR="08163013" w:rsidRPr="00270A1F">
        <w:instrText>Scotus</w:instrText>
      </w:r>
      <w:r w:rsidR="08163013">
        <w:instrText xml:space="preserve">" </w:instrText>
      </w:r>
      <w:r w:rsidR="08163013">
        <w:rPr>
          <w:i/>
        </w:rPr>
        <w:fldChar w:fldCharType="end"/>
      </w:r>
      <w:r w:rsidR="08163013">
        <w:t xml:space="preserve"> </w:t>
      </w:r>
      <w:r w:rsidR="08163013" w:rsidRPr="00273106">
        <w:t>dané</w:t>
      </w:r>
      <w:r w:rsidR="08163013">
        <w:t>mu</w:t>
      </w:r>
      <w:r w:rsidR="08163013" w:rsidRPr="00273106">
        <w:t xml:space="preserve"> jako pouhá potence</w:t>
      </w:r>
      <w:r w:rsidR="08163013">
        <w:t xml:space="preserve">. Denudace nevytváří jsoucno třetího druhu. Objektivní esence představuje potenciální koncept daný v mysli. Ale Scotus na rozdíl od tomismu našel novou formu racionálního náhledu na objektivní substanci a na její celkovou architekturu danou od moderního boha v modu objektivní kauzality. Scotus je první autor druhého averroismu, jenž vytvořil schéma objektivního poznání podle </w:t>
      </w:r>
      <w:r w:rsidR="08163013" w:rsidRPr="004967D5">
        <w:rPr>
          <w:i/>
        </w:rPr>
        <w:t>De anima</w:t>
      </w:r>
      <w:r w:rsidR="08163013" w:rsidRPr="009B5C24">
        <w:t xml:space="preserve"> </w:t>
      </w:r>
      <w:r w:rsidR="08163013">
        <w:t xml:space="preserve">na úrovni </w:t>
      </w:r>
      <w:r w:rsidR="00192D36">
        <w:t>„</w:t>
      </w:r>
      <w:r w:rsidR="08163013" w:rsidRPr="004967D5">
        <w:rPr>
          <w:i/>
        </w:rPr>
        <w:t>vestigium</w:t>
      </w:r>
      <w:r w:rsidR="08163013">
        <w:t>‒</w:t>
      </w:r>
      <w:r w:rsidR="08163013" w:rsidRPr="004967D5">
        <w:rPr>
          <w:i/>
        </w:rPr>
        <w:t>imago</w:t>
      </w:r>
      <w:r w:rsidR="00192D36">
        <w:t>“</w:t>
      </w:r>
      <w:r w:rsidR="08163013">
        <w:t xml:space="preserve"> tím, že použil formu poznání danou ve škole prvního averroismu. </w:t>
      </w:r>
      <w:r w:rsidR="08163013">
        <w:rPr>
          <w:rStyle w:val="addmd"/>
        </w:rPr>
        <w:t>N</w:t>
      </w:r>
      <w:r w:rsidR="08163013" w:rsidRPr="00273106">
        <w:rPr>
          <w:rStyle w:val="addmd"/>
        </w:rPr>
        <w:t xml:space="preserve">a rozdíl od emanačního </w:t>
      </w:r>
      <w:r w:rsidR="08163013">
        <w:rPr>
          <w:rStyle w:val="addmd"/>
        </w:rPr>
        <w:t xml:space="preserve">a iluminačního </w:t>
      </w:r>
      <w:r w:rsidR="08163013" w:rsidRPr="00273106">
        <w:rPr>
          <w:rStyle w:val="addmd"/>
        </w:rPr>
        <w:t xml:space="preserve">scénáře neoplatonismu </w:t>
      </w:r>
      <w:r w:rsidR="08163013">
        <w:rPr>
          <w:rStyle w:val="addmd"/>
        </w:rPr>
        <w:t xml:space="preserve">se bytí boha </w:t>
      </w:r>
      <w:r w:rsidR="08163013" w:rsidRPr="00273106">
        <w:rPr>
          <w:rStyle w:val="addmd"/>
        </w:rPr>
        <w:t>oddělilo od poznání člověka</w:t>
      </w:r>
      <w:r w:rsidR="08163013">
        <w:rPr>
          <w:rStyle w:val="addmd"/>
        </w:rPr>
        <w:t xml:space="preserve">. </w:t>
      </w:r>
      <w:r w:rsidR="08163013">
        <w:t xml:space="preserve">Scotova </w:t>
      </w:r>
      <w:r w:rsidR="08163013" w:rsidRPr="00273106">
        <w:lastRenderedPageBreak/>
        <w:t>konstru</w:t>
      </w:r>
      <w:r w:rsidR="08163013">
        <w:t xml:space="preserve">kce nové metafyziky se vrátila k Jamblichovu páru </w:t>
      </w:r>
      <w:r w:rsidR="08163013" w:rsidRPr="00273106">
        <w:t>„Omezené‒Neomezené“</w:t>
      </w:r>
      <w:r w:rsidR="08163013" w:rsidRPr="00273106">
        <w:rPr>
          <w:rStyle w:val="addmd"/>
        </w:rPr>
        <w:t xml:space="preserve"> (</w:t>
      </w:r>
      <w:r w:rsidR="00E13257">
        <w:rPr>
          <w:rStyle w:val="addmd"/>
        </w:rPr>
        <w:t xml:space="preserve">OBJ I, </w:t>
      </w:r>
      <w:r w:rsidR="08163013">
        <w:t>kap. 1.3</w:t>
      </w:r>
      <w:r w:rsidR="08163013" w:rsidRPr="00273106">
        <w:t>.1</w:t>
      </w:r>
      <w:r w:rsidR="08163013" w:rsidRPr="00273106">
        <w:rPr>
          <w:rStyle w:val="addmd"/>
        </w:rPr>
        <w:t>)</w:t>
      </w:r>
      <w:r w:rsidR="08163013" w:rsidRPr="00273106">
        <w:t xml:space="preserve">. </w:t>
      </w:r>
      <w:r w:rsidR="08163013" w:rsidRPr="00273106">
        <w:rPr>
          <w:rStyle w:val="addmd"/>
        </w:rPr>
        <w:t>Scotus do rozdílu mezi nekonečností a konečností přidal A</w:t>
      </w:r>
      <w:r w:rsidR="08163013">
        <w:rPr>
          <w:rStyle w:val="addmd"/>
        </w:rPr>
        <w:t xml:space="preserve">ristotelův rozdíl </w:t>
      </w:r>
      <w:r w:rsidR="08163013" w:rsidRPr="00273106">
        <w:rPr>
          <w:rStyle w:val="addmd"/>
        </w:rPr>
        <w:t xml:space="preserve">mezi aktualitou </w:t>
      </w:r>
      <w:r w:rsidR="08163013">
        <w:rPr>
          <w:rStyle w:val="addmd"/>
        </w:rPr>
        <w:t xml:space="preserve">a možností. </w:t>
      </w:r>
      <w:r w:rsidR="08163013" w:rsidRPr="00273106">
        <w:rPr>
          <w:rStyle w:val="addmd"/>
        </w:rPr>
        <w:t xml:space="preserve">Díky </w:t>
      </w:r>
      <w:r w:rsidR="08163013">
        <w:rPr>
          <w:rStyle w:val="addmd"/>
        </w:rPr>
        <w:t xml:space="preserve">těmto změnám </w:t>
      </w:r>
      <w:r w:rsidR="08163013" w:rsidRPr="00273106">
        <w:rPr>
          <w:rStyle w:val="addmd"/>
        </w:rPr>
        <w:t xml:space="preserve">dostala nová stavba metafyziky nikoliv </w:t>
      </w:r>
      <w:r w:rsidR="08163013">
        <w:rPr>
          <w:rStyle w:val="addmd"/>
        </w:rPr>
        <w:t>dvě formy boží esence v modu komitace jako u Gandava (</w:t>
      </w:r>
      <w:r w:rsidR="08163013" w:rsidRPr="00301744">
        <w:rPr>
          <w:rStyle w:val="addmd"/>
          <w:i/>
        </w:rPr>
        <w:t>esse in</w:t>
      </w:r>
      <w:r w:rsidR="08163013">
        <w:rPr>
          <w:rStyle w:val="addmd"/>
        </w:rPr>
        <w:t xml:space="preserve">, </w:t>
      </w:r>
      <w:r w:rsidR="08163013" w:rsidRPr="00301744">
        <w:rPr>
          <w:rStyle w:val="addmd"/>
          <w:i/>
        </w:rPr>
        <w:t>esse ad</w:t>
      </w:r>
      <w:r w:rsidR="08163013">
        <w:rPr>
          <w:rStyle w:val="addmd"/>
        </w:rPr>
        <w:t>)</w:t>
      </w:r>
      <w:r w:rsidR="08163013" w:rsidRPr="00273106">
        <w:rPr>
          <w:rStyle w:val="addmd"/>
        </w:rPr>
        <w:t>, al</w:t>
      </w:r>
      <w:r w:rsidR="08163013">
        <w:rPr>
          <w:rStyle w:val="addmd"/>
        </w:rPr>
        <w:t>e</w:t>
      </w:r>
      <w:r w:rsidR="08163013" w:rsidRPr="00273106">
        <w:rPr>
          <w:rStyle w:val="addmd"/>
        </w:rPr>
        <w:t xml:space="preserve"> </w:t>
      </w:r>
      <w:r w:rsidR="08163013">
        <w:rPr>
          <w:rStyle w:val="addmd"/>
        </w:rPr>
        <w:t xml:space="preserve">postupně zakládané </w:t>
      </w:r>
      <w:r w:rsidR="08163013" w:rsidRPr="00273106">
        <w:rPr>
          <w:rStyle w:val="addmd"/>
        </w:rPr>
        <w:t>sféry reprezentace</w:t>
      </w:r>
      <w:r w:rsidR="08163013">
        <w:rPr>
          <w:rStyle w:val="addmd"/>
        </w:rPr>
        <w:t xml:space="preserve">. Dedukce nevzniká sestupem objektivních forem </w:t>
      </w:r>
      <w:r w:rsidR="00D431BA">
        <w:rPr>
          <w:rStyle w:val="addmd"/>
        </w:rPr>
        <w:t xml:space="preserve">jako v díle </w:t>
      </w:r>
      <w:r w:rsidR="08163013" w:rsidRPr="00301744">
        <w:rPr>
          <w:rStyle w:val="addmd"/>
          <w:i/>
        </w:rPr>
        <w:t>Liber de causis</w:t>
      </w:r>
      <w:r w:rsidR="08163013">
        <w:rPr>
          <w:rStyle w:val="addmd"/>
          <w:i/>
        </w:rPr>
        <w:fldChar w:fldCharType="begin"/>
      </w:r>
      <w:r w:rsidR="08163013">
        <w:instrText xml:space="preserve"> XE "</w:instrText>
      </w:r>
      <w:r w:rsidR="08163013" w:rsidRPr="00C46BD8">
        <w:rPr>
          <w:i/>
        </w:rPr>
        <w:instrText>Liber de causis</w:instrText>
      </w:r>
      <w:r w:rsidR="08163013">
        <w:instrText xml:space="preserve">" </w:instrText>
      </w:r>
      <w:r w:rsidR="08163013">
        <w:rPr>
          <w:rStyle w:val="addmd"/>
          <w:i/>
        </w:rPr>
        <w:fldChar w:fldCharType="end"/>
      </w:r>
      <w:r w:rsidR="08163013">
        <w:rPr>
          <w:rStyle w:val="addmd"/>
        </w:rPr>
        <w:t xml:space="preserve"> </w:t>
      </w:r>
      <w:r w:rsidR="08163013">
        <w:t>(</w:t>
      </w:r>
      <w:r w:rsidR="08163013" w:rsidRPr="009A0075">
        <w:rPr>
          <w:i/>
        </w:rPr>
        <w:t>rediens ad essentiam suam reditione complet</w:t>
      </w:r>
      <w:r w:rsidR="00357A16">
        <w:rPr>
          <w:i/>
        </w:rPr>
        <w:t>a</w:t>
      </w:r>
      <w:r w:rsidR="00357A16">
        <w:t>,</w:t>
      </w:r>
      <w:r w:rsidR="00357A16">
        <w:rPr>
          <w:i/>
        </w:rPr>
        <w:t xml:space="preserve"> </w:t>
      </w:r>
      <w:r w:rsidR="00357A16">
        <w:t xml:space="preserve">kap. </w:t>
      </w:r>
      <w:r w:rsidR="00E13257">
        <w:t>5</w:t>
      </w:r>
      <w:r w:rsidR="08163013">
        <w:t>.2.1)</w:t>
      </w:r>
      <w:r w:rsidR="00D431BA">
        <w:t xml:space="preserve">. Scotus zavedl </w:t>
      </w:r>
      <w:r w:rsidR="00D431BA">
        <w:rPr>
          <w:rStyle w:val="addmd"/>
        </w:rPr>
        <w:t>aristotelský</w:t>
      </w:r>
      <w:r w:rsidR="08163013">
        <w:rPr>
          <w:rStyle w:val="addmd"/>
        </w:rPr>
        <w:t xml:space="preserve"> </w:t>
      </w:r>
      <w:r w:rsidR="004325C0">
        <w:rPr>
          <w:rStyle w:val="addmd"/>
        </w:rPr>
        <w:t xml:space="preserve">deduktivní </w:t>
      </w:r>
      <w:r w:rsidR="08163013">
        <w:rPr>
          <w:rStyle w:val="addmd"/>
        </w:rPr>
        <w:t>sylogismu</w:t>
      </w:r>
      <w:r w:rsidR="00D431BA">
        <w:rPr>
          <w:rStyle w:val="addmd"/>
        </w:rPr>
        <w:t>s</w:t>
      </w:r>
      <w:r w:rsidR="08163013">
        <w:rPr>
          <w:rStyle w:val="addmd"/>
        </w:rPr>
        <w:t xml:space="preserve">, který je společný modernímu </w:t>
      </w:r>
      <w:r w:rsidR="00D431BA">
        <w:rPr>
          <w:rStyle w:val="addmd"/>
        </w:rPr>
        <w:t>člověku a jeho bohu</w:t>
      </w:r>
      <w:r w:rsidR="08163013">
        <w:rPr>
          <w:rStyle w:val="addmd"/>
        </w:rPr>
        <w:t xml:space="preserve">. </w:t>
      </w:r>
      <w:r w:rsidR="00374E18">
        <w:rPr>
          <w:rStyle w:val="addmd"/>
        </w:rPr>
        <w:t>M</w:t>
      </w:r>
      <w:r w:rsidR="08163013" w:rsidRPr="00273106">
        <w:rPr>
          <w:rStyle w:val="addmd"/>
        </w:rPr>
        <w:t xml:space="preserve">ísto Jamblichovy emanace vznikl </w:t>
      </w:r>
      <w:r w:rsidR="08163013">
        <w:rPr>
          <w:rStyle w:val="addmd"/>
        </w:rPr>
        <w:t>ve druhé sféře</w:t>
      </w:r>
      <w:r w:rsidR="08163013" w:rsidRPr="00273106">
        <w:rPr>
          <w:rStyle w:val="addmd"/>
        </w:rPr>
        <w:t xml:space="preserve"> koncept objektivního jsoucna navázaný na potenci božího myšlení</w:t>
      </w:r>
      <w:r w:rsidR="08163013">
        <w:rPr>
          <w:rStyle w:val="addmd"/>
        </w:rPr>
        <w:t>, který je inspirovaný Avicennou</w:t>
      </w:r>
      <w:r w:rsidR="08163013" w:rsidRPr="00273106">
        <w:rPr>
          <w:rStyle w:val="addmd"/>
        </w:rPr>
        <w:t xml:space="preserve">. Toto trinitární schéma </w:t>
      </w:r>
      <w:r w:rsidR="08163013">
        <w:rPr>
          <w:rStyle w:val="addmd"/>
        </w:rPr>
        <w:t>poprvé užil Ibn Ádí</w:t>
      </w:r>
      <w:r w:rsidR="08163013" w:rsidRPr="00273106">
        <w:rPr>
          <w:rStyle w:val="addmd"/>
        </w:rPr>
        <w:t xml:space="preserve"> pro koncept Trojice (</w:t>
      </w:r>
      <w:r w:rsidR="003164BD">
        <w:rPr>
          <w:rStyle w:val="addmd"/>
        </w:rPr>
        <w:t xml:space="preserve">OBJ I, </w:t>
      </w:r>
      <w:r w:rsidR="08163013" w:rsidRPr="00273106">
        <w:rPr>
          <w:rStyle w:val="addmd"/>
        </w:rPr>
        <w:t>kap. 2.2).</w:t>
      </w:r>
      <w:r w:rsidR="08163013">
        <w:rPr>
          <w:rStyle w:val="addmd"/>
        </w:rPr>
        <w:t xml:space="preserve"> Metafyzika </w:t>
      </w:r>
      <w:r w:rsidR="08163013" w:rsidRPr="00273106">
        <w:rPr>
          <w:rStyle w:val="addmd"/>
        </w:rPr>
        <w:t xml:space="preserve">koncipuje </w:t>
      </w:r>
      <w:r w:rsidR="08163013">
        <w:rPr>
          <w:rStyle w:val="addmd"/>
        </w:rPr>
        <w:t>přechod od božího exemplaru k jeho objektivní reprezentaci v</w:t>
      </w:r>
      <w:r w:rsidR="08163013" w:rsidRPr="00273106">
        <w:rPr>
          <w:rStyle w:val="addmd"/>
        </w:rPr>
        <w:t xml:space="preserve"> modu</w:t>
      </w:r>
      <w:r w:rsidR="08163013">
        <w:rPr>
          <w:rStyle w:val="addmd"/>
        </w:rPr>
        <w:t xml:space="preserve"> </w:t>
      </w:r>
      <w:r w:rsidR="08163013" w:rsidRPr="000C1589">
        <w:rPr>
          <w:rStyle w:val="addmd"/>
          <w:i/>
        </w:rPr>
        <w:t>ens inquantum ens</w:t>
      </w:r>
      <w:r w:rsidR="08163013">
        <w:rPr>
          <w:rStyle w:val="addmd"/>
          <w:i/>
        </w:rPr>
        <w:fldChar w:fldCharType="begin"/>
      </w:r>
      <w:r w:rsidR="08163013">
        <w:instrText xml:space="preserve"> XE "</w:instrText>
      </w:r>
      <w:r w:rsidR="08163013" w:rsidRPr="005424E2">
        <w:rPr>
          <w:i/>
        </w:rPr>
        <w:instrText>ens inquantum ens</w:instrText>
      </w:r>
      <w:r w:rsidR="08163013">
        <w:instrText xml:space="preserve">" </w:instrText>
      </w:r>
      <w:r w:rsidR="08163013">
        <w:rPr>
          <w:rStyle w:val="addmd"/>
          <w:i/>
        </w:rPr>
        <w:fldChar w:fldCharType="end"/>
      </w:r>
      <w:r w:rsidR="08163013">
        <w:rPr>
          <w:rStyle w:val="addmd"/>
        </w:rPr>
        <w:t xml:space="preserve">. V otázce </w:t>
      </w:r>
      <w:r w:rsidR="08163013" w:rsidRPr="00555C3B">
        <w:rPr>
          <w:rStyle w:val="addmd"/>
          <w:i/>
        </w:rPr>
        <w:t>resolutio</w:t>
      </w:r>
      <w:r w:rsidR="08163013">
        <w:rPr>
          <w:i/>
        </w:rPr>
        <w:fldChar w:fldCharType="begin"/>
      </w:r>
      <w:r w:rsidR="08163013">
        <w:instrText xml:space="preserve"> XE "</w:instrText>
      </w:r>
      <w:r w:rsidR="08163013" w:rsidRPr="00111E9E">
        <w:rPr>
          <w:i/>
        </w:rPr>
        <w:instrText>resolutio</w:instrText>
      </w:r>
      <w:r w:rsidR="08163013">
        <w:rPr>
          <w:i/>
        </w:rPr>
        <w:instrText>:</w:instrText>
      </w:r>
      <w:r w:rsidR="08163013" w:rsidRPr="007D3515">
        <w:instrText>Scotus</w:instrText>
      </w:r>
      <w:r w:rsidR="08163013">
        <w:instrText xml:space="preserve">" </w:instrText>
      </w:r>
      <w:r w:rsidR="08163013">
        <w:rPr>
          <w:i/>
        </w:rPr>
        <w:fldChar w:fldCharType="end"/>
      </w:r>
      <w:r w:rsidR="08163013">
        <w:rPr>
          <w:rStyle w:val="addmd"/>
        </w:rPr>
        <w:t xml:space="preserve"> Scotus nechal původní Gandavovo schéma </w:t>
      </w:r>
      <w:r w:rsidR="08163013">
        <w:t>nejobecnějšího</w:t>
      </w:r>
      <w:r w:rsidR="08163013" w:rsidRPr="00273106">
        <w:t xml:space="preserve"> určení jsoucna (</w:t>
      </w:r>
      <w:r w:rsidR="08163013" w:rsidRPr="00273106">
        <w:rPr>
          <w:i/>
        </w:rPr>
        <w:t>primus conceptus communissimus</w:t>
      </w:r>
      <w:r w:rsidR="003164BD">
        <w:t>, kap. 5</w:t>
      </w:r>
      <w:r w:rsidR="08163013">
        <w:t>.2.1</w:t>
      </w:r>
      <w:r w:rsidR="08163013">
        <w:rPr>
          <w:rStyle w:val="addmd"/>
        </w:rPr>
        <w:t xml:space="preserve">). </w:t>
      </w:r>
      <w:r w:rsidR="00F25363">
        <w:rPr>
          <w:rStyle w:val="addmd"/>
        </w:rPr>
        <w:t xml:space="preserve">Metafyzika </w:t>
      </w:r>
      <w:r w:rsidR="08163013">
        <w:rPr>
          <w:rStyle w:val="addmd"/>
        </w:rPr>
        <w:t xml:space="preserve">nezačíná od chiméry, ale od moderního boha. </w:t>
      </w:r>
      <w:r w:rsidR="005F4C1F">
        <w:rPr>
          <w:rStyle w:val="addmd"/>
        </w:rPr>
        <w:t xml:space="preserve">Ten se stal aristotelikem a nyní </w:t>
      </w:r>
      <w:r w:rsidR="08163013">
        <w:rPr>
          <w:rStyle w:val="addmd"/>
        </w:rPr>
        <w:t xml:space="preserve">myslí podle </w:t>
      </w:r>
      <w:r w:rsidR="08163013" w:rsidRPr="008979C2">
        <w:rPr>
          <w:rStyle w:val="addmd"/>
          <w:i/>
        </w:rPr>
        <w:t>De anima</w:t>
      </w:r>
      <w:r w:rsidR="08163013">
        <w:rPr>
          <w:rStyle w:val="addmd"/>
        </w:rPr>
        <w:t xml:space="preserve">. Nová forma objektivního jsoucna </w:t>
      </w:r>
      <w:r w:rsidR="08163013" w:rsidRPr="00273106">
        <w:rPr>
          <w:rStyle w:val="addmd"/>
        </w:rPr>
        <w:t>není aktuální entita, ale jen potenciální koncept.</w:t>
      </w:r>
      <w:r w:rsidR="08163013">
        <w:rPr>
          <w:rStyle w:val="addmd"/>
        </w:rPr>
        <w:t xml:space="preserve"> Zavedením nového </w:t>
      </w:r>
      <w:r w:rsidR="08163013" w:rsidRPr="008979C2">
        <w:rPr>
          <w:rStyle w:val="addmd"/>
          <w:i/>
        </w:rPr>
        <w:t>resolutio</w:t>
      </w:r>
      <w:r w:rsidR="08163013">
        <w:rPr>
          <w:rStyle w:val="addmd"/>
        </w:rPr>
        <w:t xml:space="preserve"> jsoucna vznikly tři rozdílné manifestace o</w:t>
      </w:r>
      <w:r w:rsidR="08163013" w:rsidRPr="00273106">
        <w:rPr>
          <w:rStyle w:val="addmd"/>
        </w:rPr>
        <w:t>bjektivity (</w:t>
      </w:r>
      <w:r w:rsidR="08163013" w:rsidRPr="00EF66D8">
        <w:rPr>
          <w:rStyle w:val="addmd"/>
          <w:i/>
        </w:rPr>
        <w:t>factibile</w:t>
      </w:r>
      <w:r w:rsidR="08163013">
        <w:rPr>
          <w:rStyle w:val="addmd"/>
        </w:rPr>
        <w:t xml:space="preserve"> </w:t>
      </w:r>
      <w:r w:rsidR="08163013" w:rsidRPr="00273106">
        <w:rPr>
          <w:rStyle w:val="addmd"/>
        </w:rPr>
        <w:t xml:space="preserve">v bohu, </w:t>
      </w:r>
      <w:r w:rsidR="08163013" w:rsidRPr="00273106">
        <w:rPr>
          <w:rStyle w:val="addmd"/>
          <w:i/>
        </w:rPr>
        <w:t>vestigium</w:t>
      </w:r>
      <w:r w:rsidR="08163013" w:rsidRPr="00273106">
        <w:rPr>
          <w:rStyle w:val="addmd"/>
        </w:rPr>
        <w:t xml:space="preserve"> ve stvoření, </w:t>
      </w:r>
      <w:r w:rsidR="08163013" w:rsidRPr="00273106">
        <w:rPr>
          <w:rStyle w:val="addmd"/>
          <w:i/>
        </w:rPr>
        <w:t>imago</w:t>
      </w:r>
      <w:r w:rsidR="08163013">
        <w:rPr>
          <w:rStyle w:val="addmd"/>
        </w:rPr>
        <w:t xml:space="preserve"> v kontigentní věci</w:t>
      </w:r>
      <w:r w:rsidR="08163013">
        <w:rPr>
          <w:rStyle w:val="addmd"/>
          <w:i/>
        </w:rPr>
        <w:fldChar w:fldCharType="begin"/>
      </w:r>
      <w:r w:rsidR="08163013">
        <w:instrText xml:space="preserve"> XE "pravda:</w:instrText>
      </w:r>
      <w:r w:rsidR="08163013">
        <w:rPr>
          <w:rStyle w:val="addmd"/>
          <w:i/>
        </w:rPr>
        <w:instrText>vestigium/</w:instrText>
      </w:r>
      <w:r w:rsidR="08163013" w:rsidRPr="005C4615">
        <w:rPr>
          <w:rStyle w:val="addmd"/>
          <w:i/>
        </w:rPr>
        <w:instrText>imago</w:instrText>
      </w:r>
      <w:r w:rsidR="08163013">
        <w:instrText xml:space="preserve">" </w:instrText>
      </w:r>
      <w:r w:rsidR="08163013">
        <w:rPr>
          <w:rStyle w:val="addmd"/>
          <w:i/>
        </w:rPr>
        <w:fldChar w:fldCharType="end"/>
      </w:r>
      <w:r w:rsidR="08163013">
        <w:rPr>
          <w:rStyle w:val="addmd"/>
        </w:rPr>
        <w:t>). Tím byla dokončena prvn</w:t>
      </w:r>
      <w:r w:rsidR="00287B63">
        <w:rPr>
          <w:rStyle w:val="addmd"/>
        </w:rPr>
        <w:t>í stavba objektivní metafyziky.</w:t>
      </w:r>
      <w:r w:rsidR="006E3A6A">
        <w:rPr>
          <w:rStyle w:val="addmd"/>
        </w:rPr>
        <w:t xml:space="preserve"> </w:t>
      </w:r>
      <w:r w:rsidR="00E005FC">
        <w:t xml:space="preserve">Scotus během pařížského pobytu odstranil z nové metafyziky všechny zbytky augustiniánské a neoplatonské mystické iluminace, protože v Paříži poznal objektivní tomismus podle Avicenny. </w:t>
      </w:r>
    </w:p>
    <w:p w:rsidR="001512FD" w:rsidRDefault="00287B63" w:rsidP="001512FD">
      <w:pPr>
        <w:ind w:firstLine="397"/>
        <w:rPr>
          <w:rStyle w:val="addmd"/>
        </w:rPr>
      </w:pPr>
      <w:r w:rsidRPr="00287B63">
        <w:rPr>
          <w:rStyle w:val="addmd"/>
        </w:rPr>
        <w:t xml:space="preserve">Po zavedení Scotovy metafyziky přišel nový druh </w:t>
      </w:r>
      <w:r w:rsidRPr="00287B63">
        <w:rPr>
          <w:rStyle w:val="addmd"/>
          <w:i/>
        </w:rPr>
        <w:t>dativus incommodi</w:t>
      </w:r>
      <w:r>
        <w:rPr>
          <w:rStyle w:val="addmd"/>
          <w:i/>
        </w:rPr>
        <w:fldChar w:fldCharType="begin"/>
      </w:r>
      <w:r>
        <w:instrText xml:space="preserve"> XE "</w:instrText>
      </w:r>
      <w:r w:rsidRPr="00FE06BD">
        <w:rPr>
          <w:rStyle w:val="addmd"/>
          <w:i/>
        </w:rPr>
        <w:instrText>dativus incommodi</w:instrText>
      </w:r>
      <w:r>
        <w:instrText xml:space="preserve">" </w:instrText>
      </w:r>
      <w:r>
        <w:rPr>
          <w:rStyle w:val="addmd"/>
          <w:i/>
        </w:rPr>
        <w:fldChar w:fldCharType="end"/>
      </w:r>
      <w:r w:rsidRPr="00287B63">
        <w:rPr>
          <w:rStyle w:val="addmd"/>
        </w:rPr>
        <w:t xml:space="preserve">, který poslal druhý averroismus do </w:t>
      </w:r>
      <w:r>
        <w:rPr>
          <w:rStyle w:val="addmd"/>
        </w:rPr>
        <w:t>říše Zapomnění</w:t>
      </w:r>
      <w:r w:rsidRPr="00287B63">
        <w:rPr>
          <w:rStyle w:val="addmd"/>
        </w:rPr>
        <w:t xml:space="preserve">. </w:t>
      </w:r>
      <w:r>
        <w:rPr>
          <w:rStyle w:val="addmd"/>
        </w:rPr>
        <w:t xml:space="preserve">Moderna </w:t>
      </w:r>
      <w:r w:rsidRPr="00287B63">
        <w:rPr>
          <w:rStyle w:val="addmd"/>
        </w:rPr>
        <w:t xml:space="preserve">se </w:t>
      </w:r>
      <w:r>
        <w:rPr>
          <w:rStyle w:val="addmd"/>
        </w:rPr>
        <w:t>nyní skládá</w:t>
      </w:r>
      <w:r w:rsidRPr="00287B63">
        <w:rPr>
          <w:rStyle w:val="addmd"/>
        </w:rPr>
        <w:t xml:space="preserve"> </w:t>
      </w:r>
      <w:r>
        <w:rPr>
          <w:rStyle w:val="addmd"/>
        </w:rPr>
        <w:t xml:space="preserve">pouze </w:t>
      </w:r>
      <w:r w:rsidRPr="00287B63">
        <w:rPr>
          <w:rStyle w:val="addmd"/>
        </w:rPr>
        <w:t xml:space="preserve">z metafyzického scotismu a tomismu. </w:t>
      </w:r>
      <w:r w:rsidR="08163013">
        <w:t xml:space="preserve">Pařížský pobyt mezi </w:t>
      </w:r>
      <w:r w:rsidR="005964B7">
        <w:t xml:space="preserve">modernistickými </w:t>
      </w:r>
      <w:r w:rsidR="08163013">
        <w:t xml:space="preserve">znalci Aristotela </w:t>
      </w:r>
      <w:r w:rsidR="005964B7">
        <w:t xml:space="preserve">jako byl </w:t>
      </w:r>
      <w:r w:rsidR="005964B7" w:rsidRPr="085E2DF6">
        <w:rPr>
          <w:rStyle w:val="st"/>
        </w:rPr>
        <w:t>Godefroid de Fontaines</w:t>
      </w:r>
      <w:r w:rsidR="08163013">
        <w:rPr>
          <w:rStyle w:val="st"/>
        </w:rPr>
        <w:fldChar w:fldCharType="begin"/>
      </w:r>
      <w:r w:rsidR="08163013">
        <w:instrText xml:space="preserve"> XE "</w:instrText>
      </w:r>
      <w:r w:rsidR="005964B7" w:rsidRPr="085E2DF6">
        <w:rPr>
          <w:rStyle w:val="st"/>
        </w:rPr>
        <w:instrText>Godefroid de Fontaines</w:instrText>
      </w:r>
      <w:r w:rsidR="08163013">
        <w:instrText xml:space="preserve">" </w:instrText>
      </w:r>
      <w:r w:rsidR="08163013">
        <w:rPr>
          <w:rStyle w:val="st"/>
        </w:rPr>
        <w:fldChar w:fldCharType="end"/>
      </w:r>
      <w:r w:rsidR="006F66E4">
        <w:rPr>
          <w:rStyle w:val="st"/>
        </w:rPr>
        <w:t xml:space="preserve"> </w:t>
      </w:r>
      <w:r w:rsidR="08163013">
        <w:t xml:space="preserve">poučil </w:t>
      </w:r>
      <w:r w:rsidR="00373E79">
        <w:t xml:space="preserve">Scota </w:t>
      </w:r>
      <w:r w:rsidR="08163013">
        <w:t xml:space="preserve">v tom, že </w:t>
      </w:r>
      <w:r w:rsidR="00962190" w:rsidRPr="00373E79">
        <w:t>species</w:t>
      </w:r>
      <w:r w:rsidR="08163013">
        <w:t xml:space="preserve"> nemohou existovat jinak, než jako intencionální předmět. Jsoucna třetího druhu nejsou substance, ale univerzálie dané pouze v mysli. Scotus přijal základní tezi prvního averroismu o kategoriální predikaci vzhledem k substanci, kterou ale chápal jako Avicennovu metafyzicky definovanou esenci. Proto odmítl po vzoru prvního averroismu jakoukoliv kategoriální predikaci </w:t>
      </w:r>
      <w:r w:rsidR="009B7C5B">
        <w:t>založenou na e</w:t>
      </w:r>
      <w:r w:rsidR="08163013">
        <w:t>xemplar</w:t>
      </w:r>
      <w:r w:rsidR="009B7C5B">
        <w:t xml:space="preserve">ech </w:t>
      </w:r>
      <w:r w:rsidR="08163013">
        <w:t xml:space="preserve">či </w:t>
      </w:r>
      <w:r w:rsidR="009B7C5B">
        <w:t>neoplatonských</w:t>
      </w:r>
      <w:r w:rsidR="00D22F42">
        <w:t xml:space="preserve"> </w:t>
      </w:r>
      <w:r w:rsidR="00962190" w:rsidRPr="009B7C5B">
        <w:t>species</w:t>
      </w:r>
      <w:r w:rsidR="08163013">
        <w:t>. Toto pojetí bylo pro aristotelského modernistu nepřijatelné už během oxfordského obd</w:t>
      </w:r>
      <w:r w:rsidR="00070329">
        <w:t>obí. Substanční či hypostázovaná</w:t>
      </w:r>
      <w:r w:rsidR="08163013">
        <w:t xml:space="preserve"> </w:t>
      </w:r>
      <w:r w:rsidR="00962190" w:rsidRPr="00070329">
        <w:t>species</w:t>
      </w:r>
      <w:r w:rsidR="08163013">
        <w:t xml:space="preserve"> druhého averroismu existoval</w:t>
      </w:r>
      <w:r w:rsidR="00070329">
        <w:t>y</w:t>
      </w:r>
      <w:r w:rsidR="08163013">
        <w:t xml:space="preserve"> jen </w:t>
      </w:r>
      <w:r w:rsidR="00070329">
        <w:t xml:space="preserve">v </w:t>
      </w:r>
      <w:r w:rsidR="08163013">
        <w:t xml:space="preserve">teorii iluminace. Ta </w:t>
      </w:r>
      <w:r w:rsidR="08163013">
        <w:lastRenderedPageBreak/>
        <w:t xml:space="preserve">představovala pro Scota základní kámen úrazu, protože zničila racionální stavbu metafyziky jako první vědy o jsoucnu. </w:t>
      </w:r>
      <w:r w:rsidR="00070329" w:rsidRPr="00070329">
        <w:t xml:space="preserve">Navíc odmítl další tezi druhého averroismu, že Bůh přímo určuje přirozené lidské poznání, což </w:t>
      </w:r>
      <w:r w:rsidR="00070329">
        <w:t xml:space="preserve">redublovalo </w:t>
      </w:r>
      <w:r w:rsidR="00070329" w:rsidRPr="00070329">
        <w:t xml:space="preserve">schéma poznání podle </w:t>
      </w:r>
      <w:r w:rsidR="00070329" w:rsidRPr="00070329">
        <w:rPr>
          <w:i/>
        </w:rPr>
        <w:t>De anima</w:t>
      </w:r>
      <w:r w:rsidR="00070329" w:rsidRPr="00070329">
        <w:t xml:space="preserve">. </w:t>
      </w:r>
      <w:r w:rsidR="08163013">
        <w:t xml:space="preserve">Důvody pro odstranění iluminace z nové metafyziky jsou hned dva. Za prvé. Metafyzika nemůže být iracionální ve své metodě a základu, protože je přirozeným poznáním člověka. Za druhé. Teologie </w:t>
      </w:r>
      <w:r w:rsidR="00273D2D">
        <w:t xml:space="preserve">je </w:t>
      </w:r>
      <w:r w:rsidR="08163013">
        <w:t>daná v modu jedné a nyní už plně objektivní pravdy</w:t>
      </w:r>
      <w:r w:rsidR="00273D2D">
        <w:t xml:space="preserve">. Racionalita objektivního ontoteologického </w:t>
      </w:r>
      <w:r w:rsidR="08163013" w:rsidRPr="08530FC0">
        <w:rPr>
          <w:i/>
        </w:rPr>
        <w:t>adaequatio</w:t>
      </w:r>
      <w:r w:rsidR="08163013">
        <w:t xml:space="preserve"> </w:t>
      </w:r>
      <w:r w:rsidR="00273D2D">
        <w:t xml:space="preserve">mezi bohem a stvořením </w:t>
      </w:r>
      <w:r w:rsidR="08163013">
        <w:t xml:space="preserve">musí být </w:t>
      </w:r>
      <w:r w:rsidR="00273D2D">
        <w:t>založena na n</w:t>
      </w:r>
      <w:r w:rsidR="08163013">
        <w:t>ové formě univerzální dedukce</w:t>
      </w:r>
      <w:r w:rsidR="08163013">
        <w:rPr>
          <w:i/>
        </w:rPr>
        <w:fldChar w:fldCharType="begin"/>
      </w:r>
      <w:r w:rsidR="08163013">
        <w:instrText xml:space="preserve"> XE "</w:instrText>
      </w:r>
      <w:r w:rsidR="08163013" w:rsidRPr="084247E3">
        <w:rPr>
          <w:i/>
        </w:rPr>
        <w:instrText>metaphysica generalis</w:instrText>
      </w:r>
      <w:r w:rsidR="08163013">
        <w:instrText xml:space="preserve">" </w:instrText>
      </w:r>
      <w:r w:rsidR="08163013">
        <w:rPr>
          <w:i/>
        </w:rPr>
        <w:fldChar w:fldCharType="end"/>
      </w:r>
      <w:r w:rsidR="08163013">
        <w:t>. Poznání moderního boha a objektivního jsoucna musí mít pouze při</w:t>
      </w:r>
      <w:r w:rsidR="00273D2D">
        <w:t xml:space="preserve">rozený základ daný filosoficky. </w:t>
      </w:r>
      <w:r w:rsidR="08163013">
        <w:t xml:space="preserve">Z těchto dvou důvodů nebylo pro iluminaci v novém systému žádné místo, protože by zrušila deduktivní výstavbu první vědy o přirozeně poznané objektivní substanci. </w:t>
      </w:r>
      <w:r w:rsidR="08163013">
        <w:rPr>
          <w:rStyle w:val="addmd"/>
        </w:rPr>
        <w:t xml:space="preserve">Iluminace </w:t>
      </w:r>
      <w:r w:rsidR="08163013" w:rsidRPr="00273106">
        <w:rPr>
          <w:rStyle w:val="addmd"/>
        </w:rPr>
        <w:t xml:space="preserve">představuje </w:t>
      </w:r>
      <w:r w:rsidR="08163013">
        <w:rPr>
          <w:rStyle w:val="addmd"/>
        </w:rPr>
        <w:t xml:space="preserve">z hlediska filosofie </w:t>
      </w:r>
      <w:r w:rsidR="08163013" w:rsidRPr="00273106">
        <w:rPr>
          <w:rStyle w:val="addmd"/>
          <w:i/>
        </w:rPr>
        <w:t>contradictio in adiecto</w:t>
      </w:r>
      <w:r w:rsidR="08163013">
        <w:rPr>
          <w:rStyle w:val="addmd"/>
        </w:rPr>
        <w:t xml:space="preserve">, protože metafyzika </w:t>
      </w:r>
      <w:r w:rsidR="08163013" w:rsidRPr="00273106">
        <w:rPr>
          <w:rStyle w:val="addmd"/>
        </w:rPr>
        <w:t>přestala být přirozenou vědou o bohu</w:t>
      </w:r>
      <w:r w:rsidR="08163013">
        <w:rPr>
          <w:rStyle w:val="addmd"/>
        </w:rPr>
        <w:t xml:space="preserve"> a poznání reality bylo možné jen skrze nadpřirozenou iluminaci danou kauzálně. Tento metafyzický konstrukt daný v neoplatonské mystice Toledské školy a přenesený do avicennistického augustinianismu Latiníků později hájili v nihilistické verzi gigantomachie postmoderní </w:t>
      </w:r>
      <w:r w:rsidR="08163013">
        <w:t>okazionalisté (</w:t>
      </w:r>
      <w:r w:rsidR="08163013">
        <w:rPr>
          <w:rStyle w:val="addmd"/>
        </w:rPr>
        <w:t>Berkeley</w:t>
      </w:r>
      <w:r w:rsidR="08163013">
        <w:rPr>
          <w:rStyle w:val="addmd"/>
        </w:rPr>
        <w:fldChar w:fldCharType="begin"/>
      </w:r>
      <w:r w:rsidR="08163013">
        <w:instrText xml:space="preserve"> XE "</w:instrText>
      </w:r>
      <w:r w:rsidR="08163013" w:rsidRPr="002F48E0">
        <w:instrText>Berkeley, G.</w:instrText>
      </w:r>
      <w:r w:rsidR="08163013">
        <w:instrText xml:space="preserve">" </w:instrText>
      </w:r>
      <w:r w:rsidR="08163013">
        <w:rPr>
          <w:rStyle w:val="addmd"/>
        </w:rPr>
        <w:fldChar w:fldCharType="end"/>
      </w:r>
      <w:r w:rsidR="08163013">
        <w:rPr>
          <w:rStyle w:val="addmd"/>
        </w:rPr>
        <w:t>, Maleblanche)</w:t>
      </w:r>
      <w:r w:rsidR="08163013" w:rsidRPr="00273106">
        <w:rPr>
          <w:rStyle w:val="addmd"/>
        </w:rPr>
        <w:t>.</w:t>
      </w:r>
      <w:r w:rsidR="08163013">
        <w:rPr>
          <w:rStyle w:val="addmd"/>
        </w:rPr>
        <w:t xml:space="preserve"> P</w:t>
      </w:r>
      <w:r w:rsidR="08163013" w:rsidRPr="00273106">
        <w:rPr>
          <w:rStyle w:val="addmd"/>
        </w:rPr>
        <w:t xml:space="preserve">ařížské období hledá adekvaci boha a myšlení v rámci </w:t>
      </w:r>
      <w:r w:rsidR="08163013" w:rsidRPr="00273106">
        <w:t>nové struktury metafyziky</w:t>
      </w:r>
      <w:r w:rsidR="08163013">
        <w:t xml:space="preserve"> dané </w:t>
      </w:r>
      <w:r w:rsidR="08163013" w:rsidRPr="00273106">
        <w:t xml:space="preserve">mimo ontoteologii augustiniánských iluminátů. Cestu zahájil </w:t>
      </w:r>
      <w:r w:rsidR="08163013">
        <w:t xml:space="preserve">Scotův </w:t>
      </w:r>
      <w:r w:rsidR="08163013" w:rsidRPr="00273106">
        <w:t xml:space="preserve">výklad spisu </w:t>
      </w:r>
      <w:r w:rsidR="08163013" w:rsidRPr="08E63A27">
        <w:rPr>
          <w:i/>
        </w:rPr>
        <w:t>Kategorie</w:t>
      </w:r>
      <w:r w:rsidR="08163013" w:rsidRPr="00273106">
        <w:t>, protože ukázal pojetí jednoty jsoucna dané kategoriálně a posta</w:t>
      </w:r>
      <w:r w:rsidR="004E05E4">
        <w:t>vené za druhou substancí (kap. 5</w:t>
      </w:r>
      <w:r w:rsidR="08163013" w:rsidRPr="00273106">
        <w:t>.3.1).</w:t>
      </w:r>
      <w:r w:rsidR="08163013" w:rsidRPr="00273106">
        <w:rPr>
          <w:rStyle w:val="addmd"/>
        </w:rPr>
        <w:t xml:space="preserve"> </w:t>
      </w:r>
      <w:r w:rsidR="001512FD" w:rsidRPr="001512FD">
        <w:rPr>
          <w:rStyle w:val="addmd"/>
        </w:rPr>
        <w:t xml:space="preserve">Dílo </w:t>
      </w:r>
      <w:r w:rsidR="008C2D4A" w:rsidRPr="008C2D4A">
        <w:rPr>
          <w:rStyle w:val="addmd"/>
          <w:i/>
        </w:rPr>
        <w:t>Ordinatio I</w:t>
      </w:r>
      <w:r w:rsidR="001512FD" w:rsidRPr="001512FD">
        <w:rPr>
          <w:rStyle w:val="addmd"/>
        </w:rPr>
        <w:t xml:space="preserve"> bylo ve své první </w:t>
      </w:r>
      <w:r w:rsidR="001512FD">
        <w:rPr>
          <w:rStyle w:val="addmd"/>
        </w:rPr>
        <w:t>trinititární v</w:t>
      </w:r>
      <w:r w:rsidR="001512FD" w:rsidRPr="001512FD">
        <w:rPr>
          <w:rStyle w:val="addmd"/>
        </w:rPr>
        <w:t>erzi jistě načrtnuto již v Oxfordu. Vycházelo z</w:t>
      </w:r>
      <w:r w:rsidR="001512FD">
        <w:rPr>
          <w:rStyle w:val="addmd"/>
        </w:rPr>
        <w:t xml:space="preserve"> výše uvedené </w:t>
      </w:r>
      <w:r w:rsidR="001512FD" w:rsidRPr="001512FD">
        <w:rPr>
          <w:rStyle w:val="addmd"/>
        </w:rPr>
        <w:t xml:space="preserve">dedukce objektivní racionality od Boha ke stvoření a spojovalo přirozené poznání filozofie dané rozumem s poznáním teologie daným vírou. Božské bytí </w:t>
      </w:r>
      <w:r w:rsidR="001512FD">
        <w:rPr>
          <w:rStyle w:val="addmd"/>
        </w:rPr>
        <w:t xml:space="preserve">bylo </w:t>
      </w:r>
      <w:r w:rsidR="001512FD" w:rsidRPr="001512FD">
        <w:rPr>
          <w:rStyle w:val="addmd"/>
        </w:rPr>
        <w:t>z tohoto syst</w:t>
      </w:r>
      <w:r w:rsidR="001512FD">
        <w:rPr>
          <w:rStyle w:val="addmd"/>
        </w:rPr>
        <w:t>ému vyňato, protože by zakložilo</w:t>
      </w:r>
      <w:r w:rsidR="001512FD" w:rsidRPr="001512FD">
        <w:rPr>
          <w:rStyle w:val="addmd"/>
        </w:rPr>
        <w:t xml:space="preserve"> novou formu neoplatónské emanace.</w:t>
      </w:r>
    </w:p>
    <w:p w:rsidR="08163013" w:rsidRDefault="0062228A" w:rsidP="0062228A">
      <w:pPr>
        <w:ind w:firstLine="397"/>
        <w:rPr>
          <w:rStyle w:val="addmd"/>
        </w:rPr>
      </w:pPr>
      <w:r>
        <w:rPr>
          <w:rStyle w:val="addmd"/>
        </w:rPr>
        <w:t xml:space="preserve">Scotus </w:t>
      </w:r>
      <w:r w:rsidR="00CA2627">
        <w:rPr>
          <w:rStyle w:val="addmd"/>
        </w:rPr>
        <w:t>vyložil</w:t>
      </w:r>
      <w:r>
        <w:rPr>
          <w:rStyle w:val="addmd"/>
        </w:rPr>
        <w:t xml:space="preserve"> trojí </w:t>
      </w:r>
      <w:r w:rsidRPr="00273106">
        <w:t xml:space="preserve">podobnost </w:t>
      </w:r>
      <w:r>
        <w:t xml:space="preserve">danou </w:t>
      </w:r>
      <w:r w:rsidR="003A740F">
        <w:t xml:space="preserve">ve výše uvedené </w:t>
      </w:r>
      <w:r>
        <w:t xml:space="preserve">trinitární formě objektivní dedukce podle </w:t>
      </w:r>
      <w:r w:rsidR="008C2D4A" w:rsidRPr="008C2D4A">
        <w:rPr>
          <w:i/>
        </w:rPr>
        <w:t>Lectura I</w:t>
      </w:r>
      <w:r>
        <w:t xml:space="preserve"> v novém paradigmatu universální shody. </w:t>
      </w:r>
      <w:r>
        <w:rPr>
          <w:rStyle w:val="addmd"/>
        </w:rPr>
        <w:t xml:space="preserve">Pro první patro objektivního metafyzického </w:t>
      </w:r>
      <w:r w:rsidRPr="003656FD">
        <w:rPr>
          <w:rStyle w:val="addmd"/>
          <w:i/>
        </w:rPr>
        <w:t>resolutio</w:t>
      </w:r>
      <w:r>
        <w:rPr>
          <w:rStyle w:val="addmd"/>
        </w:rPr>
        <w:t xml:space="preserve"> bylo třeba navrhnout novou teorii pravdy. </w:t>
      </w:r>
      <w:r w:rsidR="000E49D3">
        <w:t xml:space="preserve">Model pravdy v pojetí oxfordských a pařížských iluminátů ze školy druhého averroismu nebyl udržitelný ani v rámci první formy Scotovy objektivní redukce vypracované ještě na Oxfordu. Ilumináti pohrdali aristotelskou metafyzikou, protože ji nepotřebovali. Pak ale neměli vědu založenou na kategoriální predikaci. </w:t>
      </w:r>
      <w:r>
        <w:t xml:space="preserve">Na Oxfordu již existovala jako teorie pravdy založená na Rufusově universální shodě moderního hypostázovaného intelektu a jeho stejně tak hypostázovaného </w:t>
      </w:r>
      <w:r w:rsidRPr="00337F72">
        <w:rPr>
          <w:i/>
        </w:rPr>
        <w:lastRenderedPageBreak/>
        <w:t>scibile</w:t>
      </w:r>
      <w:r>
        <w:t xml:space="preserve"> (</w:t>
      </w:r>
      <w:r w:rsidRPr="00453D96">
        <w:rPr>
          <w:i/>
        </w:rPr>
        <w:t>coaequatio</w:t>
      </w:r>
      <w:r>
        <w:t xml:space="preserve">; </w:t>
      </w:r>
      <w:r w:rsidRPr="003F26F8">
        <w:rPr>
          <w:szCs w:val="24"/>
        </w:rPr>
        <w:t>OBJ II, Kap. 3.3.2</w:t>
      </w:r>
      <w:r>
        <w:rPr>
          <w:szCs w:val="24"/>
        </w:rPr>
        <w:t xml:space="preserve">). </w:t>
      </w:r>
      <w:r w:rsidR="00102188" w:rsidRPr="009D687C">
        <w:rPr>
          <w:rStyle w:val="addmd"/>
        </w:rPr>
        <w:t xml:space="preserve">Scotus si během editace </w:t>
      </w:r>
      <w:r w:rsidR="008C2D4A" w:rsidRPr="008C2D4A">
        <w:rPr>
          <w:rStyle w:val="addmd"/>
          <w:i/>
        </w:rPr>
        <w:t>Lectura I</w:t>
      </w:r>
      <w:r w:rsidR="00102188" w:rsidRPr="009D687C">
        <w:rPr>
          <w:rStyle w:val="addmd"/>
        </w:rPr>
        <w:t xml:space="preserve"> uvědomil, že musí reformovat Gandavovo </w:t>
      </w:r>
      <w:r w:rsidR="00102188">
        <w:rPr>
          <w:rStyle w:val="addmd"/>
        </w:rPr>
        <w:t>pojetí pravdy uvedené v termínu</w:t>
      </w:r>
      <w:r w:rsidR="00102188" w:rsidRPr="009D687C">
        <w:rPr>
          <w:rStyle w:val="addmd"/>
        </w:rPr>
        <w:t xml:space="preserve"> </w:t>
      </w:r>
      <w:r w:rsidR="00102188">
        <w:t>„</w:t>
      </w:r>
      <w:r w:rsidR="00102188">
        <w:rPr>
          <w:i/>
        </w:rPr>
        <w:t>s</w:t>
      </w:r>
      <w:r w:rsidR="00102188" w:rsidRPr="08283B57">
        <w:rPr>
          <w:i/>
        </w:rPr>
        <w:t>incera veritas</w:t>
      </w:r>
      <w:r w:rsidR="00102188">
        <w:t>“</w:t>
      </w:r>
      <w:r w:rsidR="00102188">
        <w:rPr>
          <w:i/>
        </w:rPr>
        <w:fldChar w:fldCharType="begin"/>
      </w:r>
      <w:r w:rsidR="00102188">
        <w:instrText xml:space="preserve"> XE "</w:instrText>
      </w:r>
      <w:r w:rsidR="00102188" w:rsidRPr="082E13EF">
        <w:rPr>
          <w:i/>
        </w:rPr>
        <w:instrText>sincera veritas</w:instrText>
      </w:r>
      <w:r w:rsidR="00102188">
        <w:instrText xml:space="preserve">" </w:instrText>
      </w:r>
      <w:r w:rsidR="00102188">
        <w:rPr>
          <w:i/>
        </w:rPr>
        <w:fldChar w:fldCharType="end"/>
      </w:r>
      <w:r w:rsidR="00102188" w:rsidRPr="00273106">
        <w:t>.</w:t>
      </w:r>
      <w:r w:rsidR="00102188">
        <w:t xml:space="preserve"> </w:t>
      </w:r>
      <w:r w:rsidR="00102188" w:rsidRPr="009D687C">
        <w:rPr>
          <w:rStyle w:val="addmd"/>
        </w:rPr>
        <w:t xml:space="preserve">Teorie pravdy </w:t>
      </w:r>
      <w:r w:rsidR="00D841A8">
        <w:rPr>
          <w:rStyle w:val="addmd"/>
        </w:rPr>
        <w:t xml:space="preserve">musí </w:t>
      </w:r>
      <w:r w:rsidR="00102188">
        <w:rPr>
          <w:rStyle w:val="addmd"/>
        </w:rPr>
        <w:t xml:space="preserve">reflektovat </w:t>
      </w:r>
      <w:r w:rsidR="00102188" w:rsidRPr="009D687C">
        <w:rPr>
          <w:rStyle w:val="addmd"/>
        </w:rPr>
        <w:t>nový druh plně racionální a objektivní korespondence mezi Stvořitelem a stvořením. Pojetí pravdy bylo nezbytné k provedení plné dedukce trinitární metafyziky, která založila výše zmíněný projekt objektivity (</w:t>
      </w:r>
      <w:r w:rsidR="00102188" w:rsidRPr="009D687C">
        <w:rPr>
          <w:rStyle w:val="addmd"/>
          <w:i/>
        </w:rPr>
        <w:t>exemplar, vestigium, imago</w:t>
      </w:r>
      <w:r w:rsidR="00102188">
        <w:rPr>
          <w:rStyle w:val="addmd"/>
        </w:rPr>
        <w:t xml:space="preserve">). Tím je vysvětlen přechod metafyzické dedukce od prvního projektu v díle </w:t>
      </w:r>
      <w:r w:rsidR="008C2D4A" w:rsidRPr="008C2D4A">
        <w:rPr>
          <w:rStyle w:val="addmd"/>
          <w:i/>
        </w:rPr>
        <w:t>Lectura I</w:t>
      </w:r>
      <w:r w:rsidR="00102188" w:rsidRPr="009D687C">
        <w:rPr>
          <w:rStyle w:val="addmd"/>
        </w:rPr>
        <w:t xml:space="preserve"> </w:t>
      </w:r>
      <w:r w:rsidR="00102188">
        <w:rPr>
          <w:rStyle w:val="addmd"/>
        </w:rPr>
        <w:t xml:space="preserve">k jeho dokončené verzi v díle </w:t>
      </w:r>
      <w:r w:rsidR="008C2D4A" w:rsidRPr="008C2D4A">
        <w:rPr>
          <w:rStyle w:val="addmd"/>
          <w:i/>
        </w:rPr>
        <w:t>Ordinatio I</w:t>
      </w:r>
      <w:r w:rsidR="00102188">
        <w:rPr>
          <w:rStyle w:val="addmd"/>
        </w:rPr>
        <w:t xml:space="preserve">. </w:t>
      </w:r>
      <w:r w:rsidR="08163013">
        <w:rPr>
          <w:rStyle w:val="addmd"/>
        </w:rPr>
        <w:t xml:space="preserve">Traktát </w:t>
      </w:r>
      <w:r w:rsidR="08163013" w:rsidRPr="00273106">
        <w:rPr>
          <w:rStyle w:val="addmd"/>
          <w:i/>
        </w:rPr>
        <w:t>De cognoscibilitate Dei</w:t>
      </w:r>
      <w:r w:rsidR="08163013" w:rsidRPr="00273106">
        <w:rPr>
          <w:rStyle w:val="addmd"/>
        </w:rPr>
        <w:t xml:space="preserve"> začíná výstavbu nové metafyziky</w:t>
      </w:r>
      <w:r w:rsidR="005F5BDE">
        <w:rPr>
          <w:rStyle w:val="addmd"/>
        </w:rPr>
        <w:t xml:space="preserve"> polemikou s Gandavovy pojmy</w:t>
      </w:r>
      <w:r w:rsidR="08163013">
        <w:rPr>
          <w:rStyle w:val="addmd"/>
        </w:rPr>
        <w:t xml:space="preserve"> </w:t>
      </w:r>
      <w:r w:rsidR="005F5BDE">
        <w:rPr>
          <w:rStyle w:val="addmd"/>
        </w:rPr>
        <w:t>„</w:t>
      </w:r>
      <w:r w:rsidR="08163013" w:rsidRPr="00273106">
        <w:rPr>
          <w:rStyle w:val="addmd"/>
          <w:i/>
        </w:rPr>
        <w:t>sincera veritas</w:t>
      </w:r>
      <w:r w:rsidR="005F5BDE">
        <w:rPr>
          <w:rStyle w:val="addmd"/>
        </w:rPr>
        <w:t>“</w:t>
      </w:r>
      <w:r w:rsidR="08163013">
        <w:rPr>
          <w:rStyle w:val="addmd"/>
          <w:i/>
        </w:rPr>
        <w:fldChar w:fldCharType="begin"/>
      </w:r>
      <w:r w:rsidR="08163013">
        <w:instrText xml:space="preserve"> XE "pravda:</w:instrText>
      </w:r>
      <w:r w:rsidR="08163013" w:rsidRPr="00E83706">
        <w:rPr>
          <w:rStyle w:val="addmd"/>
          <w:i/>
        </w:rPr>
        <w:instrText>sincera veritas</w:instrText>
      </w:r>
      <w:r w:rsidR="08163013">
        <w:instrText xml:space="preserve">" </w:instrText>
      </w:r>
      <w:r w:rsidR="08163013">
        <w:rPr>
          <w:rStyle w:val="addmd"/>
          <w:i/>
        </w:rPr>
        <w:fldChar w:fldCharType="end"/>
      </w:r>
      <w:r w:rsidR="08163013">
        <w:rPr>
          <w:rStyle w:val="addmd"/>
        </w:rPr>
        <w:t xml:space="preserve"> a </w:t>
      </w:r>
      <w:r w:rsidR="005F5BDE">
        <w:rPr>
          <w:rStyle w:val="addmd"/>
        </w:rPr>
        <w:t>„</w:t>
      </w:r>
      <w:r w:rsidR="08163013" w:rsidRPr="00273106">
        <w:rPr>
          <w:rStyle w:val="addmd"/>
          <w:i/>
        </w:rPr>
        <w:t>veritas certa</w:t>
      </w:r>
      <w:r w:rsidR="005F5BDE">
        <w:rPr>
          <w:rStyle w:val="addmd"/>
        </w:rPr>
        <w:t>“</w:t>
      </w:r>
      <w:r w:rsidR="08163013" w:rsidRPr="00273106">
        <w:rPr>
          <w:rStyle w:val="addmd"/>
        </w:rPr>
        <w:t xml:space="preserve">. </w:t>
      </w:r>
      <w:r w:rsidR="08163013">
        <w:rPr>
          <w:rStyle w:val="addmd"/>
        </w:rPr>
        <w:t xml:space="preserve">Hlavní </w:t>
      </w:r>
      <w:r w:rsidR="08163013" w:rsidRPr="00273106">
        <w:rPr>
          <w:rStyle w:val="addmd"/>
        </w:rPr>
        <w:t xml:space="preserve">útok je veden proti teorii iluminace, kterou předešlá škola druhého averrorismu považovala za základní součást poznání. </w:t>
      </w:r>
      <w:r w:rsidR="08163013">
        <w:rPr>
          <w:rStyle w:val="addmd"/>
        </w:rPr>
        <w:t>Scotus podává tuto teorii jako pouhé obecné mínění (</w:t>
      </w:r>
      <w:r w:rsidR="08163013" w:rsidRPr="08AE3CA6">
        <w:rPr>
          <w:i/>
        </w:rPr>
        <w:t>opinio communis</w:t>
      </w:r>
      <w:r w:rsidR="08163013">
        <w:rPr>
          <w:rStyle w:val="addmd"/>
        </w:rPr>
        <w:t xml:space="preserve">), které </w:t>
      </w:r>
      <w:r w:rsidR="00E708F5">
        <w:rPr>
          <w:rStyle w:val="addmd"/>
        </w:rPr>
        <w:t>potřebuje k</w:t>
      </w:r>
      <w:r w:rsidR="08163013">
        <w:rPr>
          <w:rStyle w:val="addmd"/>
        </w:rPr>
        <w:t>ritick</w:t>
      </w:r>
      <w:r w:rsidR="00E708F5">
        <w:rPr>
          <w:rStyle w:val="addmd"/>
        </w:rPr>
        <w:t>ou revizi</w:t>
      </w:r>
      <w:r w:rsidR="08163013">
        <w:rPr>
          <w:rStyle w:val="addmd"/>
        </w:rPr>
        <w:t>.</w:t>
      </w:r>
    </w:p>
    <w:p w:rsidR="08163013" w:rsidRPr="003F6B00" w:rsidRDefault="08163013" w:rsidP="08163013">
      <w:pPr>
        <w:pStyle w:val="Citace"/>
        <w:rPr>
          <w:rStyle w:val="addmd"/>
          <w:lang w:val="cs-CZ"/>
        </w:rPr>
      </w:pPr>
      <w:r>
        <w:rPr>
          <w:rStyle w:val="addmd"/>
        </w:rPr>
        <w:t>„</w:t>
      </w:r>
      <w:r>
        <w:rPr>
          <w:rStyle w:val="addmd"/>
          <w:lang w:val="cs-CZ"/>
        </w:rPr>
        <w:t>Jestliže tvrdíš, že nestvořené světlo společně s intelektem a poznávaným předmětem způsobují plnost pravdy (</w:t>
      </w:r>
      <w:r w:rsidRPr="003F6B00">
        <w:rPr>
          <w:rStyle w:val="addmd"/>
          <w:i/>
        </w:rPr>
        <w:t>veritatem sinceram</w:t>
      </w:r>
      <w:r>
        <w:rPr>
          <w:rStyle w:val="addmd"/>
          <w:lang w:val="cs-CZ"/>
        </w:rPr>
        <w:t xml:space="preserve">), pak jde o obecné mínění, které dává věčné světlo jako  </w:t>
      </w:r>
      <w:r>
        <w:rPr>
          <w:rStyle w:val="addmd"/>
        </w:rPr>
        <w:t>'</w:t>
      </w:r>
      <w:r>
        <w:rPr>
          <w:rStyle w:val="addmd"/>
          <w:lang w:val="cs-CZ"/>
        </w:rPr>
        <w:t>vzdálenou příčinu</w:t>
      </w:r>
      <w:r w:rsidRPr="003F6B00">
        <w:rPr>
          <w:rStyle w:val="addmd"/>
        </w:rPr>
        <w:t>'</w:t>
      </w:r>
      <w:r>
        <w:rPr>
          <w:rStyle w:val="addmd"/>
          <w:lang w:val="cs-CZ"/>
        </w:rPr>
        <w:t xml:space="preserve"> (</w:t>
      </w:r>
      <w:r w:rsidRPr="003F6B00">
        <w:rPr>
          <w:rStyle w:val="addmd"/>
          <w:i/>
        </w:rPr>
        <w:t>causam remotam</w:t>
      </w:r>
      <w:r>
        <w:rPr>
          <w:rStyle w:val="addmd"/>
          <w:lang w:val="cs-CZ"/>
        </w:rPr>
        <w:t>) tak, aby způsobovala všechnu jistou pravdu (</w:t>
      </w:r>
      <w:r w:rsidRPr="003F6B00">
        <w:rPr>
          <w:rStyle w:val="addmd"/>
          <w:i/>
        </w:rPr>
        <w:t>causare omnem certam veritatem</w:t>
      </w:r>
      <w:r>
        <w:rPr>
          <w:rStyle w:val="addmd"/>
          <w:lang w:val="cs-CZ"/>
        </w:rPr>
        <w:t xml:space="preserve">).“ </w:t>
      </w:r>
      <w:r>
        <w:rPr>
          <w:rStyle w:val="Znakapoznpodarou"/>
        </w:rPr>
        <w:footnoteReference w:id="452"/>
      </w:r>
    </w:p>
    <w:p w:rsidR="08163013" w:rsidRPr="00273106" w:rsidRDefault="08163013" w:rsidP="08163013">
      <w:pPr>
        <w:rPr>
          <w:rStyle w:val="addmd"/>
        </w:rPr>
      </w:pPr>
      <w:r>
        <w:rPr>
          <w:rStyle w:val="addmd"/>
        </w:rPr>
        <w:t xml:space="preserve">Gandavův </w:t>
      </w:r>
      <w:r w:rsidRPr="00273106">
        <w:t>exemplar</w:t>
      </w:r>
      <w:r>
        <w:fldChar w:fldCharType="begin"/>
      </w:r>
      <w:r>
        <w:instrText xml:space="preserve"> XE "</w:instrText>
      </w:r>
      <w:r w:rsidRPr="001631DB">
        <w:instrText>exemplar</w:instrText>
      </w:r>
      <w:r>
        <w:instrText xml:space="preserve">" </w:instrText>
      </w:r>
      <w:r>
        <w:fldChar w:fldCharType="end"/>
      </w:r>
      <w:r w:rsidRPr="00273106">
        <w:t xml:space="preserve"> fungoval jako </w:t>
      </w:r>
      <w:r>
        <w:t>přímá, i když vzdálená příčina poznání (</w:t>
      </w:r>
      <w:r w:rsidRPr="00273106">
        <w:rPr>
          <w:i/>
        </w:rPr>
        <w:t>causa remota</w:t>
      </w:r>
      <w:r>
        <w:rPr>
          <w:i/>
        </w:rPr>
        <w:fldChar w:fldCharType="begin"/>
      </w:r>
      <w:r>
        <w:instrText xml:space="preserve"> XE "kauzalita:</w:instrText>
      </w:r>
      <w:r w:rsidRPr="00700D93">
        <w:rPr>
          <w:i/>
        </w:rPr>
        <w:instrText>causa remota</w:instrText>
      </w:r>
      <w:r>
        <w:instrText xml:space="preserve">" </w:instrText>
      </w:r>
      <w:r>
        <w:rPr>
          <w:i/>
        </w:rPr>
        <w:fldChar w:fldCharType="end"/>
      </w:r>
      <w:r>
        <w:t xml:space="preserve">). Ve schématu nasvícení poznání zezadu </w:t>
      </w:r>
      <w:r w:rsidRPr="00273106">
        <w:t xml:space="preserve">tvořil </w:t>
      </w:r>
      <w:r>
        <w:t xml:space="preserve">v řádu kauzality základní </w:t>
      </w:r>
      <w:r w:rsidRPr="00273106">
        <w:t>složku lidského poznání</w:t>
      </w:r>
      <w:r>
        <w:t xml:space="preserve"> (</w:t>
      </w:r>
      <w:r w:rsidRPr="00092EBE">
        <w:rPr>
          <w:i/>
        </w:rPr>
        <w:t>causet veritatem sinceram</w:t>
      </w:r>
      <w:r>
        <w:t>)</w:t>
      </w:r>
      <w:r w:rsidRPr="00273106">
        <w:t xml:space="preserve">. </w:t>
      </w:r>
      <w:r>
        <w:t>Z hlediska Henryho ontoteologie to bylo nezbytné. Moderna včetně Descarta</w:t>
      </w:r>
      <w:r>
        <w:fldChar w:fldCharType="begin"/>
      </w:r>
      <w:r>
        <w:instrText xml:space="preserve"> XE "</w:instrText>
      </w:r>
      <w:r w:rsidRPr="004146C6">
        <w:rPr>
          <w:rStyle w:val="addmd"/>
        </w:rPr>
        <w:instrText>Descartes, R.</w:instrText>
      </w:r>
      <w:r>
        <w:instrText xml:space="preserve">" </w:instrText>
      </w:r>
      <w:r>
        <w:fldChar w:fldCharType="end"/>
      </w:r>
      <w:r>
        <w:t xml:space="preserve"> musí najít po zatmění první substance nějaký ostrůvek kauzality mimo lidskou mysl. </w:t>
      </w:r>
      <w:r>
        <w:rPr>
          <w:rStyle w:val="addmd"/>
        </w:rPr>
        <w:t xml:space="preserve">Scotus předělal augustiniánský pojem </w:t>
      </w:r>
      <w:r w:rsidR="00D32377">
        <w:rPr>
          <w:rStyle w:val="addmd"/>
        </w:rPr>
        <w:t>„</w:t>
      </w:r>
      <w:r>
        <w:rPr>
          <w:rStyle w:val="addmd"/>
          <w:i/>
        </w:rPr>
        <w:t>causa remota</w:t>
      </w:r>
      <w:r w:rsidR="00D32377">
        <w:rPr>
          <w:rStyle w:val="addmd"/>
        </w:rPr>
        <w:t>“</w:t>
      </w:r>
      <w:r>
        <w:rPr>
          <w:rStyle w:val="addmd"/>
        </w:rPr>
        <w:t xml:space="preserve"> tak, aby boží světlo přestalo být metafyzickou </w:t>
      </w:r>
      <w:r w:rsidR="00564022">
        <w:rPr>
          <w:rStyle w:val="addmd"/>
        </w:rPr>
        <w:t xml:space="preserve">příčinou </w:t>
      </w:r>
      <w:r>
        <w:rPr>
          <w:rStyle w:val="addmd"/>
        </w:rPr>
        <w:t>a stalo se pouhou metaforou. Objektivita, pravda a poznání dané</w:t>
      </w:r>
      <w:r w:rsidRPr="00273106">
        <w:rPr>
          <w:rStyle w:val="addmd"/>
        </w:rPr>
        <w:t xml:space="preserve"> </w:t>
      </w:r>
      <w:r>
        <w:rPr>
          <w:rStyle w:val="addmd"/>
        </w:rPr>
        <w:t xml:space="preserve">na úrovni adekvace </w:t>
      </w:r>
      <w:r w:rsidR="00CE062A">
        <w:rPr>
          <w:rStyle w:val="addmd"/>
        </w:rPr>
        <w:t>„</w:t>
      </w:r>
      <w:r w:rsidRPr="004967D5">
        <w:rPr>
          <w:i/>
        </w:rPr>
        <w:t>vestigium</w:t>
      </w:r>
      <w:r>
        <w:t>‒</w:t>
      </w:r>
      <w:r w:rsidRPr="004967D5">
        <w:rPr>
          <w:i/>
        </w:rPr>
        <w:t>imago</w:t>
      </w:r>
      <w:r w:rsidR="00CE062A">
        <w:t>“</w:t>
      </w:r>
      <w:r>
        <w:rPr>
          <w:i/>
        </w:rPr>
        <w:fldChar w:fldCharType="begin"/>
      </w:r>
      <w:r>
        <w:instrText xml:space="preserve"> XE "pravda:</w:instrText>
      </w:r>
      <w:r w:rsidRPr="000003DC">
        <w:rPr>
          <w:i/>
        </w:rPr>
        <w:instrText>vestigium</w:instrText>
      </w:r>
      <w:r>
        <w:instrText>/</w:instrText>
      </w:r>
      <w:r w:rsidRPr="000003DC">
        <w:rPr>
          <w:i/>
        </w:rPr>
        <w:instrText>imago</w:instrText>
      </w:r>
      <w:r>
        <w:instrText xml:space="preserve">" </w:instrText>
      </w:r>
      <w:r>
        <w:rPr>
          <w:i/>
        </w:rPr>
        <w:fldChar w:fldCharType="end"/>
      </w:r>
      <w:r>
        <w:t xml:space="preserve"> </w:t>
      </w:r>
      <w:r>
        <w:rPr>
          <w:rStyle w:val="addmd"/>
        </w:rPr>
        <w:t>vylučují</w:t>
      </w:r>
      <w:r w:rsidRPr="00273106">
        <w:rPr>
          <w:rStyle w:val="addmd"/>
        </w:rPr>
        <w:t xml:space="preserve"> mystickou iluminaci</w:t>
      </w:r>
      <w:r w:rsidR="008514E2">
        <w:rPr>
          <w:rStyle w:val="addmd"/>
        </w:rPr>
        <w:t>. P</w:t>
      </w:r>
      <w:r>
        <w:rPr>
          <w:rStyle w:val="addmd"/>
        </w:rPr>
        <w:t xml:space="preserve">oznání konečného jsoucna probíhá v modernizovaném scénáři Aristotelovy metafyziky. </w:t>
      </w:r>
      <w:r w:rsidRPr="00273106">
        <w:rPr>
          <w:rStyle w:val="addmd"/>
        </w:rPr>
        <w:t xml:space="preserve">Reprezentace </w:t>
      </w:r>
      <w:r>
        <w:rPr>
          <w:rStyle w:val="addmd"/>
        </w:rPr>
        <w:t xml:space="preserve">boží </w:t>
      </w:r>
      <w:r w:rsidRPr="00273106">
        <w:rPr>
          <w:rStyle w:val="addmd"/>
        </w:rPr>
        <w:t xml:space="preserve">objektivity ve stvořeném jsoucnu </w:t>
      </w:r>
      <w:r>
        <w:rPr>
          <w:rStyle w:val="addmd"/>
        </w:rPr>
        <w:t xml:space="preserve">představuje pro přirozený rozum pouhou stopu </w:t>
      </w:r>
      <w:r w:rsidRPr="00273106">
        <w:rPr>
          <w:rStyle w:val="addmd"/>
        </w:rPr>
        <w:t>(</w:t>
      </w:r>
      <w:r w:rsidRPr="00273106">
        <w:rPr>
          <w:rStyle w:val="addmd"/>
          <w:i/>
        </w:rPr>
        <w:t>vestigi</w:t>
      </w:r>
      <w:r>
        <w:rPr>
          <w:rStyle w:val="addmd"/>
          <w:i/>
        </w:rPr>
        <w:t>um</w:t>
      </w:r>
      <w:r w:rsidRPr="00273106">
        <w:rPr>
          <w:rStyle w:val="addmd"/>
        </w:rPr>
        <w:t>)</w:t>
      </w:r>
      <w:r>
        <w:rPr>
          <w:rStyle w:val="addmd"/>
        </w:rPr>
        <w:t>, a nikoliv účinnou příčinu poznání jako u předešlých moderních iluminátů. L</w:t>
      </w:r>
      <w:r w:rsidRPr="00273106">
        <w:rPr>
          <w:rStyle w:val="addmd"/>
        </w:rPr>
        <w:t xml:space="preserve">idské poznání </w:t>
      </w:r>
      <w:r>
        <w:rPr>
          <w:rStyle w:val="addmd"/>
        </w:rPr>
        <w:t xml:space="preserve">reálného </w:t>
      </w:r>
      <w:r w:rsidRPr="00273106">
        <w:rPr>
          <w:rStyle w:val="addmd"/>
        </w:rPr>
        <w:t xml:space="preserve">světa </w:t>
      </w:r>
      <w:r>
        <w:rPr>
          <w:rStyle w:val="addmd"/>
        </w:rPr>
        <w:t xml:space="preserve">musí najít </w:t>
      </w:r>
      <w:r w:rsidRPr="00273106">
        <w:rPr>
          <w:rStyle w:val="addmd"/>
        </w:rPr>
        <w:t xml:space="preserve">odpovídající adekvaci </w:t>
      </w:r>
      <w:r>
        <w:rPr>
          <w:rStyle w:val="addmd"/>
        </w:rPr>
        <w:t xml:space="preserve">na </w:t>
      </w:r>
      <w:r w:rsidRPr="00273106">
        <w:rPr>
          <w:rStyle w:val="addmd"/>
        </w:rPr>
        <w:t>čistě přirozené úrovni. Argumentace proti iluminační</w:t>
      </w:r>
      <w:r>
        <w:rPr>
          <w:rStyle w:val="addmd"/>
        </w:rPr>
        <w:fldChar w:fldCharType="begin"/>
      </w:r>
      <w:r>
        <w:instrText xml:space="preserve"> XE "</w:instrText>
      </w:r>
      <w:r w:rsidRPr="009B36C8">
        <w:rPr>
          <w:rStyle w:val="addmd"/>
        </w:rPr>
        <w:instrText>iluminace</w:instrText>
      </w:r>
      <w:r>
        <w:instrText xml:space="preserve">" </w:instrText>
      </w:r>
      <w:r>
        <w:rPr>
          <w:rStyle w:val="addmd"/>
        </w:rPr>
        <w:fldChar w:fldCharType="end"/>
      </w:r>
      <w:r w:rsidRPr="00273106">
        <w:rPr>
          <w:rStyle w:val="addmd"/>
        </w:rPr>
        <w:t xml:space="preserve"> teorii poznání má aristotelský charakter podle prvního averrorismu.</w:t>
      </w:r>
      <w:r>
        <w:rPr>
          <w:rStyle w:val="addmd"/>
        </w:rPr>
        <w:t xml:space="preserve"> </w:t>
      </w:r>
    </w:p>
    <w:p w:rsidR="08163013" w:rsidRDefault="08163013" w:rsidP="08163013">
      <w:pPr>
        <w:pStyle w:val="Citace"/>
      </w:pPr>
      <w:r w:rsidRPr="00273106">
        <w:rPr>
          <w:rStyle w:val="addmd"/>
          <w:noProof/>
          <w:lang w:val="cs-CZ"/>
        </w:rPr>
        <w:lastRenderedPageBreak/>
        <w:t>„</w:t>
      </w:r>
      <w:r>
        <w:rPr>
          <w:rStyle w:val="addmd"/>
          <w:noProof/>
          <w:lang w:val="cs-CZ"/>
        </w:rPr>
        <w:t>Buď je věčné světlo nezbytné pro získání plné pravdy a kauzálně v nás působí před přirozeně daným poznáním, nebo ne. Pokud ano, tak je dáno buď v poznávaném předmětu nebo v intelektu. V poznávaném předmětu být nemůže, protože poznaná věc má bytí pouze v intelektu a nemá žádné reálné bytí, ale pouze intencionální. Proto intelekt není schopen přijmout žádný reálný akcident.“ </w:t>
      </w:r>
      <w:r>
        <w:rPr>
          <w:rStyle w:val="Znakapoznpodarou"/>
        </w:rPr>
        <w:footnoteReference w:id="453"/>
      </w:r>
    </w:p>
    <w:p w:rsidR="00B20158" w:rsidRDefault="005B6B19" w:rsidP="08163013">
      <w:r>
        <w:t>Za prvé, i</w:t>
      </w:r>
      <w:r w:rsidR="08163013" w:rsidRPr="00273106">
        <w:t>lu</w:t>
      </w:r>
      <w:r w:rsidR="08163013">
        <w:t>minace nemá v průběhu přirozeného poznání jak působit</w:t>
      </w:r>
      <w:r w:rsidR="08163013" w:rsidRPr="00273106">
        <w:t xml:space="preserve">, protože </w:t>
      </w:r>
      <w:r w:rsidR="08163013">
        <w:t xml:space="preserve">by měla vlastní kauzalitu danou před působením reálných substancí </w:t>
      </w:r>
      <w:r w:rsidR="08163013" w:rsidRPr="00273106">
        <w:t>(</w:t>
      </w:r>
      <w:r w:rsidR="08163013" w:rsidRPr="00273106">
        <w:rPr>
          <w:rStyle w:val="addmd"/>
          <w:i/>
        </w:rPr>
        <w:t>causat aliquid prius naturaliter actu</w:t>
      </w:r>
      <w:r w:rsidR="08163013" w:rsidRPr="00273106">
        <w:t xml:space="preserve">). </w:t>
      </w:r>
      <w:r>
        <w:t>Za druhé, b</w:t>
      </w:r>
      <w:r w:rsidR="08163013">
        <w:t>oží kauzalitu danou</w:t>
      </w:r>
      <w:r w:rsidR="00590173">
        <w:t xml:space="preserve"> ve stvoření </w:t>
      </w:r>
      <w:r w:rsidR="08163013">
        <w:t xml:space="preserve">nejde zavést do </w:t>
      </w:r>
      <w:r w:rsidR="00626810">
        <w:t xml:space="preserve">lidského </w:t>
      </w:r>
      <w:r w:rsidR="08163013">
        <w:t>poznání</w:t>
      </w:r>
      <w:r w:rsidR="00590173">
        <w:t xml:space="preserve"> přímo</w:t>
      </w:r>
      <w:r w:rsidR="00626810">
        <w:t xml:space="preserve">. </w:t>
      </w:r>
      <w:r>
        <w:t>Za třetí, v</w:t>
      </w:r>
      <w:r w:rsidR="08163013" w:rsidRPr="00273106">
        <w:t xml:space="preserve">šechny </w:t>
      </w:r>
      <w:r w:rsidR="08163013">
        <w:t xml:space="preserve">poznané </w:t>
      </w:r>
      <w:r w:rsidR="08163013" w:rsidRPr="00273106">
        <w:t xml:space="preserve">formy mají </w:t>
      </w:r>
      <w:r w:rsidR="08163013">
        <w:t xml:space="preserve">v lidské mysli </w:t>
      </w:r>
      <w:r w:rsidR="08163013" w:rsidRPr="00273106">
        <w:t>jen intencionální charakter (</w:t>
      </w:r>
      <w:r w:rsidR="08163013" w:rsidRPr="00273106">
        <w:rPr>
          <w:rStyle w:val="addmd"/>
          <w:i/>
        </w:rPr>
        <w:t>non habet 'esse' reale sed tantum intentionale</w:t>
      </w:r>
      <w:r w:rsidR="08163013" w:rsidRPr="00273106">
        <w:t xml:space="preserve">). </w:t>
      </w:r>
      <w:r w:rsidR="08163013">
        <w:fldChar w:fldCharType="begin"/>
      </w:r>
      <w:r w:rsidR="08163013">
        <w:instrText xml:space="preserve"> XE "</w:instrText>
      </w:r>
      <w:r w:rsidR="08163013" w:rsidRPr="00A5220B">
        <w:instrText>intencionalita:Scotus</w:instrText>
      </w:r>
      <w:r w:rsidR="08163013">
        <w:instrText xml:space="preserve">" </w:instrText>
      </w:r>
      <w:r w:rsidR="08163013">
        <w:fldChar w:fldCharType="end"/>
      </w:r>
      <w:r w:rsidR="08163013">
        <w:t>Věčné světlo nepůsobí mezi reálným</w:t>
      </w:r>
      <w:r w:rsidR="00AC32E0">
        <w:t>i</w:t>
      </w:r>
      <w:r w:rsidR="08163013">
        <w:t xml:space="preserve"> věcmi jako jejich přímá přirozená kauza, protože není ani substancí ani akcidentem. A pokud je dáno v mysli, pak pouze jako intencionální obsah. </w:t>
      </w:r>
      <w:r w:rsidR="08163013" w:rsidRPr="00273106">
        <w:t xml:space="preserve">Scotus odmítl mystický augustinianimus ve prospěch </w:t>
      </w:r>
      <w:r w:rsidR="08163013">
        <w:t xml:space="preserve">aristotelského schématu poznání </w:t>
      </w:r>
      <w:r w:rsidR="00184F79">
        <w:t xml:space="preserve">podle </w:t>
      </w:r>
      <w:r w:rsidR="08163013" w:rsidRPr="00436CE2">
        <w:rPr>
          <w:i/>
        </w:rPr>
        <w:t>De anima</w:t>
      </w:r>
      <w:r w:rsidR="08163013">
        <w:fldChar w:fldCharType="begin"/>
      </w:r>
      <w:r w:rsidR="08163013">
        <w:instrText xml:space="preserve"> XE "</w:instrText>
      </w:r>
      <w:r w:rsidR="08163013" w:rsidRPr="08F8261C">
        <w:instrText>Sicilská škola</w:instrText>
      </w:r>
      <w:r w:rsidR="08163013">
        <w:instrText xml:space="preserve">" </w:instrText>
      </w:r>
      <w:r w:rsidR="08163013">
        <w:fldChar w:fldCharType="end"/>
      </w:r>
      <w:r w:rsidR="08163013">
        <w:t xml:space="preserve">. </w:t>
      </w:r>
      <w:r w:rsidR="00315370">
        <w:t xml:space="preserve">Bůh působí </w:t>
      </w:r>
      <w:r w:rsidR="08163013">
        <w:t>na lidsk</w:t>
      </w:r>
      <w:r w:rsidR="00315370">
        <w:t xml:space="preserve">ý intelekt </w:t>
      </w:r>
      <w:r w:rsidR="00C07220">
        <w:t xml:space="preserve">daný ve světě </w:t>
      </w:r>
      <w:r w:rsidR="00315370">
        <w:t xml:space="preserve">skrze </w:t>
      </w:r>
      <w:r w:rsidR="08163013">
        <w:t>esenciální a univerzální kauzalitu</w:t>
      </w:r>
      <w:r w:rsidR="00C07220">
        <w:t xml:space="preserve"> poznávanou ve schématu </w:t>
      </w:r>
      <w:r w:rsidR="00C07220" w:rsidRPr="00C07220">
        <w:rPr>
          <w:i/>
        </w:rPr>
        <w:t>De anima</w:t>
      </w:r>
      <w:r w:rsidR="00CB06A3">
        <w:t xml:space="preserve">. Odstraněním starého typu iluminační ontoteologie zmizela z filosofie Bonaventurova metafora biblického světla, které pochází od boží tváře </w:t>
      </w:r>
      <w:r w:rsidR="00CB06A3" w:rsidRPr="00273106">
        <w:t>(</w:t>
      </w:r>
      <w:r w:rsidR="00CB06A3" w:rsidRPr="00273106">
        <w:rPr>
          <w:i/>
        </w:rPr>
        <w:t>signatum est super nos lumen vultus tui Domine</w:t>
      </w:r>
      <w:r w:rsidR="00CB06A3">
        <w:t>, kap. 4.1.2</w:t>
      </w:r>
      <w:r w:rsidR="00CB06A3">
        <w:fldChar w:fldCharType="begin"/>
      </w:r>
      <w:r w:rsidR="00CB06A3">
        <w:instrText xml:space="preserve"> XE "Starý zákon:</w:instrText>
      </w:r>
      <w:r w:rsidR="00CB06A3" w:rsidRPr="00140829">
        <w:instrText>Ž</w:instrText>
      </w:r>
      <w:r w:rsidR="00CB06A3">
        <w:instrText>alm</w:instrText>
      </w:r>
      <w:r w:rsidR="00CB06A3" w:rsidRPr="00140829">
        <w:instrText xml:space="preserve"> 4</w:instrText>
      </w:r>
      <w:r w:rsidR="00CB06A3">
        <w:instrText>.</w:instrText>
      </w:r>
      <w:r w:rsidR="00CB06A3" w:rsidRPr="00140829">
        <w:instrText>7</w:instrText>
      </w:r>
      <w:r w:rsidR="00CB06A3">
        <w:instrText xml:space="preserve">" </w:instrText>
      </w:r>
      <w:r w:rsidR="00CB06A3">
        <w:fldChar w:fldCharType="end"/>
      </w:r>
      <w:r w:rsidR="00CB06A3" w:rsidRPr="00273106">
        <w:t xml:space="preserve">). </w:t>
      </w:r>
      <w:r w:rsidR="08163013">
        <w:rPr>
          <w:rStyle w:val="addmd"/>
        </w:rPr>
        <w:t xml:space="preserve">Z hlediska </w:t>
      </w:r>
      <w:r w:rsidR="00CB06A3">
        <w:rPr>
          <w:rStyle w:val="addmd"/>
        </w:rPr>
        <w:t>hermeneutického existenciálu „</w:t>
      </w:r>
      <w:r w:rsidR="08163013" w:rsidRPr="08E04A34">
        <w:rPr>
          <w:rStyle w:val="addmd"/>
          <w:i/>
        </w:rPr>
        <w:t>dativus incommodi</w:t>
      </w:r>
      <w:r w:rsidR="00C039ED">
        <w:rPr>
          <w:rStyle w:val="addmd"/>
          <w:i/>
        </w:rPr>
        <w:fldChar w:fldCharType="begin"/>
      </w:r>
      <w:r w:rsidR="00C039ED">
        <w:instrText xml:space="preserve"> XE "</w:instrText>
      </w:r>
      <w:r w:rsidR="00C039ED" w:rsidRPr="00925E96">
        <w:rPr>
          <w:rStyle w:val="addmd"/>
          <w:i/>
        </w:rPr>
        <w:instrText>dativus incommodi</w:instrText>
      </w:r>
      <w:r w:rsidR="00C039ED">
        <w:instrText xml:space="preserve">" </w:instrText>
      </w:r>
      <w:r w:rsidR="00C039ED">
        <w:rPr>
          <w:rStyle w:val="addmd"/>
          <w:i/>
        </w:rPr>
        <w:fldChar w:fldCharType="end"/>
      </w:r>
      <w:r w:rsidR="00CB06A3">
        <w:rPr>
          <w:rStyle w:val="addmd"/>
        </w:rPr>
        <w:t>“</w:t>
      </w:r>
      <w:r w:rsidR="08163013">
        <w:rPr>
          <w:rStyle w:val="addmd"/>
        </w:rPr>
        <w:t xml:space="preserve"> tím nastal pohřeb druhého averroismu. </w:t>
      </w:r>
      <w:r w:rsidR="08163013">
        <w:t xml:space="preserve">Přirozené poznání </w:t>
      </w:r>
      <w:r w:rsidR="00CB06A3">
        <w:t>vytvořilo n</w:t>
      </w:r>
      <w:r w:rsidR="08163013">
        <w:t>ov</w:t>
      </w:r>
      <w:r w:rsidR="00CB06A3">
        <w:t xml:space="preserve">ý </w:t>
      </w:r>
      <w:r w:rsidR="08163013">
        <w:t>typ objektivity</w:t>
      </w:r>
      <w:r w:rsidR="00CB06A3">
        <w:t xml:space="preserve">, a tím </w:t>
      </w:r>
      <w:r w:rsidR="08163013" w:rsidRPr="00273106">
        <w:t>zrušil</w:t>
      </w:r>
      <w:r w:rsidR="08163013">
        <w:t>o</w:t>
      </w:r>
      <w:r w:rsidR="08163013" w:rsidRPr="00273106">
        <w:t xml:space="preserve"> </w:t>
      </w:r>
      <w:r w:rsidR="08163013">
        <w:t>iluminační teorii</w:t>
      </w:r>
      <w:r w:rsidR="0050787F">
        <w:t xml:space="preserve"> postavenou na nadpřirozeném poznání</w:t>
      </w:r>
      <w:r w:rsidR="00CB06A3">
        <w:t xml:space="preserve">. </w:t>
      </w:r>
      <w:r w:rsidR="006460F3">
        <w:t xml:space="preserve">Scotus provedl hegeliánské </w:t>
      </w:r>
      <w:r w:rsidR="08163013" w:rsidRPr="081D04A1">
        <w:rPr>
          <w:rStyle w:val="addmd"/>
          <w:i/>
        </w:rPr>
        <w:t>Aufhebung</w:t>
      </w:r>
      <w:r w:rsidR="08163013">
        <w:rPr>
          <w:rStyle w:val="addmd"/>
          <w:i/>
        </w:rPr>
        <w:fldChar w:fldCharType="begin"/>
      </w:r>
      <w:r w:rsidR="08163013">
        <w:instrText xml:space="preserve"> XE "</w:instrText>
      </w:r>
      <w:r w:rsidR="08163013" w:rsidRPr="0826228C">
        <w:rPr>
          <w:rStyle w:val="addmd"/>
          <w:i/>
        </w:rPr>
        <w:instrText>Aufhebung</w:instrText>
      </w:r>
      <w:r w:rsidR="08163013">
        <w:instrText xml:space="preserve">" </w:instrText>
      </w:r>
      <w:r w:rsidR="08163013">
        <w:rPr>
          <w:rStyle w:val="addmd"/>
          <w:i/>
        </w:rPr>
        <w:fldChar w:fldCharType="end"/>
      </w:r>
      <w:r w:rsidR="00F902A4">
        <w:rPr>
          <w:rStyle w:val="addmd"/>
        </w:rPr>
        <w:t xml:space="preserve"> </w:t>
      </w:r>
      <w:r w:rsidR="006460F3">
        <w:rPr>
          <w:rStyle w:val="addmd"/>
        </w:rPr>
        <w:t>druhého averroismu</w:t>
      </w:r>
      <w:r w:rsidR="00F902A4">
        <w:rPr>
          <w:rStyle w:val="addmd"/>
        </w:rPr>
        <w:t xml:space="preserve">. </w:t>
      </w:r>
      <w:r w:rsidR="00AE6D6C">
        <w:rPr>
          <w:rStyle w:val="addmd"/>
        </w:rPr>
        <w:t>S</w:t>
      </w:r>
      <w:r w:rsidR="00F902A4">
        <w:rPr>
          <w:rStyle w:val="addmd"/>
        </w:rPr>
        <w:t xml:space="preserve">cotismus šel stejnou cestou jako </w:t>
      </w:r>
      <w:r w:rsidR="08163013">
        <w:rPr>
          <w:rStyle w:val="addmd"/>
        </w:rPr>
        <w:t>tomismus</w:t>
      </w:r>
      <w:r w:rsidR="00E55CC8">
        <w:rPr>
          <w:rStyle w:val="addmd"/>
        </w:rPr>
        <w:t xml:space="preserve"> proti druhému averroismu</w:t>
      </w:r>
      <w:r w:rsidR="08163013">
        <w:rPr>
          <w:rStyle w:val="addmd"/>
        </w:rPr>
        <w:t xml:space="preserve">. </w:t>
      </w:r>
      <w:r w:rsidR="08163013">
        <w:t>Přirozené</w:t>
      </w:r>
      <w:r w:rsidR="08163013" w:rsidRPr="00273106">
        <w:t xml:space="preserve"> poznání </w:t>
      </w:r>
      <w:r w:rsidR="08163013">
        <w:t>se spojilo s metafyzickým konceptem jsoucna vzatého v čisté jsoucnosti podle Avicenny, nikoliv s první reálnou substancí, jako to měl první averroismus</w:t>
      </w:r>
      <w:r w:rsidR="00B20158">
        <w:t>.</w:t>
      </w:r>
    </w:p>
    <w:p w:rsidR="08163013" w:rsidRPr="00273106" w:rsidRDefault="08163013" w:rsidP="00B20158">
      <w:pPr>
        <w:ind w:firstLine="397"/>
      </w:pPr>
      <w:r>
        <w:t xml:space="preserve">Scotus zrušil iluminaci, ale ponechal moderní teorii jedné univoční pravdy založenou na výše popsané dedukci dané v </w:t>
      </w:r>
      <w:r w:rsidR="008C2D4A" w:rsidRPr="008C2D4A">
        <w:rPr>
          <w:i/>
        </w:rPr>
        <w:t>Lectura I</w:t>
      </w:r>
      <w:r>
        <w:t xml:space="preserve">. </w:t>
      </w:r>
      <w:r w:rsidRPr="00273106">
        <w:t>S objek</w:t>
      </w:r>
      <w:r>
        <w:t xml:space="preserve">tivitou božího poznání vzniká </w:t>
      </w:r>
      <w:r w:rsidRPr="00273106">
        <w:t>nové pojetí pravdy</w:t>
      </w:r>
      <w:r>
        <w:t xml:space="preserve"> jako objektivně dané adekvace mysli vzhledem k primární sféře boží racionality</w:t>
      </w:r>
      <w:r w:rsidRPr="00273106">
        <w:t>.</w:t>
      </w:r>
      <w:r>
        <w:t xml:space="preserve"> </w:t>
      </w:r>
      <w:r w:rsidRPr="00273106">
        <w:t xml:space="preserve">Následující pasáže citovaného traktátu </w:t>
      </w:r>
      <w:r w:rsidRPr="00273106">
        <w:rPr>
          <w:rStyle w:val="addmd"/>
          <w:i/>
        </w:rPr>
        <w:t>De cognoscibilitate Dei</w:t>
      </w:r>
      <w:r w:rsidRPr="00273106">
        <w:rPr>
          <w:rStyle w:val="addmd"/>
        </w:rPr>
        <w:t xml:space="preserve"> </w:t>
      </w:r>
      <w:r>
        <w:rPr>
          <w:rStyle w:val="addmd"/>
        </w:rPr>
        <w:t xml:space="preserve">ve spise </w:t>
      </w:r>
      <w:r w:rsidR="008C2D4A" w:rsidRPr="008C2D4A">
        <w:rPr>
          <w:rStyle w:val="addmd"/>
          <w:i/>
        </w:rPr>
        <w:t>Ordinatio I</w:t>
      </w:r>
      <w:r w:rsidRPr="00273106">
        <w:t xml:space="preserve"> obsahují </w:t>
      </w:r>
      <w:r>
        <w:t>první teorii</w:t>
      </w:r>
      <w:r w:rsidRPr="00273106">
        <w:t xml:space="preserve"> </w:t>
      </w:r>
      <w:r>
        <w:t xml:space="preserve">objektivního </w:t>
      </w:r>
      <w:r w:rsidRPr="00273106">
        <w:t>poznání a pravdy</w:t>
      </w:r>
      <w:r>
        <w:t xml:space="preserve"> </w:t>
      </w:r>
      <w:r w:rsidRPr="00273106">
        <w:t>(</w:t>
      </w:r>
      <w:r w:rsidRPr="089D6EAB">
        <w:rPr>
          <w:i/>
        </w:rPr>
        <w:t>Vat</w:t>
      </w:r>
      <w:r>
        <w:t>. III</w:t>
      </w:r>
      <w:r>
        <w:rPr>
          <w:rStyle w:val="addmd"/>
        </w:rPr>
        <w:t xml:space="preserve">, </w:t>
      </w:r>
      <w:r>
        <w:t xml:space="preserve">no. 261‒264, </w:t>
      </w:r>
      <w:r>
        <w:rPr>
          <w:rStyle w:val="addmd"/>
        </w:rPr>
        <w:t>pp. 160‒62</w:t>
      </w:r>
      <w:r>
        <w:fldChar w:fldCharType="begin"/>
      </w:r>
      <w:r>
        <w:instrText xml:space="preserve"> XE "Scotus:</w:instrText>
      </w:r>
      <w:r w:rsidRPr="00BC7ADB">
        <w:rPr>
          <w:i/>
        </w:rPr>
        <w:instrText>Ordinatio</w:instrText>
      </w:r>
      <w:r>
        <w:instrText xml:space="preserve"> 1.</w:instrText>
      </w:r>
      <w:r>
        <w:rPr>
          <w:rStyle w:val="addmd"/>
        </w:rPr>
        <w:instrText>160‒62</w:instrText>
      </w:r>
      <w:r>
        <w:instrText xml:space="preserve">" </w:instrText>
      </w:r>
      <w:r>
        <w:fldChar w:fldCharType="end"/>
      </w:r>
      <w:r w:rsidRPr="00273106">
        <w:t xml:space="preserve">). </w:t>
      </w:r>
      <w:r>
        <w:t xml:space="preserve">Iluminát Scotus jasně vidí do způsobu božího uvažování a </w:t>
      </w:r>
      <w:r>
        <w:lastRenderedPageBreak/>
        <w:t>zakládá plnou formu objektivity na základě inovované boží psychologie.</w:t>
      </w:r>
      <w:r w:rsidRPr="087D2E52">
        <w:t xml:space="preserve"> </w:t>
      </w:r>
      <w:r>
        <w:t xml:space="preserve">Klíčový je statut </w:t>
      </w:r>
      <w:r w:rsidRPr="00273106">
        <w:rPr>
          <w:i/>
        </w:rPr>
        <w:t>esse intelligibile</w:t>
      </w:r>
      <w:r w:rsidRPr="00273106">
        <w:t xml:space="preserve"> </w:t>
      </w:r>
      <w:r>
        <w:rPr>
          <w:i/>
        </w:rPr>
        <w:fldChar w:fldCharType="begin"/>
      </w:r>
      <w:r>
        <w:instrText xml:space="preserve"> XE "objektivita:</w:instrText>
      </w:r>
      <w:r w:rsidRPr="00361AD5">
        <w:rPr>
          <w:i/>
        </w:rPr>
        <w:instrText>esse intelligibile</w:instrText>
      </w:r>
      <w:r>
        <w:instrText xml:space="preserve">" </w:instrText>
      </w:r>
      <w:r>
        <w:rPr>
          <w:i/>
        </w:rPr>
        <w:fldChar w:fldCharType="end"/>
      </w:r>
      <w:r w:rsidRPr="00273106">
        <w:t xml:space="preserve">v boží mysli, který je vázaný na primární sféru zjevování jsoucna v </w:t>
      </w:r>
      <w:r>
        <w:t xml:space="preserve">objektivním modu </w:t>
      </w:r>
      <w:r w:rsidRPr="00273106">
        <w:rPr>
          <w:i/>
        </w:rPr>
        <w:t>secundum quid</w:t>
      </w:r>
      <w:r>
        <w:rPr>
          <w:i/>
        </w:rPr>
        <w:fldChar w:fldCharType="begin"/>
      </w:r>
      <w:r>
        <w:instrText xml:space="preserve"> XE "</w:instrText>
      </w:r>
      <w:r w:rsidRPr="00985C10">
        <w:instrText>predikace</w:instrText>
      </w:r>
      <w:r w:rsidRPr="00844018">
        <w:rPr>
          <w:i/>
        </w:rPr>
        <w:instrText>:secundum quid</w:instrText>
      </w:r>
      <w:r>
        <w:instrText xml:space="preserve">" </w:instrText>
      </w:r>
      <w:r>
        <w:rPr>
          <w:i/>
        </w:rPr>
        <w:fldChar w:fldCharType="end"/>
      </w:r>
      <w:r w:rsidRPr="00273106">
        <w:t>.</w:t>
      </w:r>
      <w:r>
        <w:t xml:space="preserve"> Zavedením intuitivní sylogistiky do božího myšlení se zrušil avicennistický scénář emanace</w:t>
      </w:r>
      <w:r>
        <w:fldChar w:fldCharType="begin"/>
      </w:r>
      <w:r>
        <w:instrText xml:space="preserve"> XE "</w:instrText>
      </w:r>
      <w:r w:rsidRPr="00B44BF2">
        <w:instrText>emanace</w:instrText>
      </w:r>
      <w:r>
        <w:instrText xml:space="preserve">" </w:instrText>
      </w:r>
      <w:r>
        <w:fldChar w:fldCharType="end"/>
      </w:r>
      <w:r>
        <w:t xml:space="preserve">, který měl Gandavus a před ním všichni modernisté druhého averroismu. Ti hájili model adekvace lidské a boží mysli </w:t>
      </w:r>
      <w:r w:rsidR="00003EC4">
        <w:t>jako účinek daný přímým působením boží substance</w:t>
      </w:r>
      <w:r>
        <w:t>. Scotus ponechal boží myšlení na úrovni jeho nekon</w:t>
      </w:r>
      <w:r w:rsidR="00BF5BE4">
        <w:t>ečné a zcela oddělené substance</w:t>
      </w:r>
      <w:r>
        <w:t xml:space="preserve">. </w:t>
      </w:r>
      <w:r w:rsidRPr="00273106">
        <w:t xml:space="preserve">Pravdy jako myšlené boží obsahy vystupují ve své původní </w:t>
      </w:r>
      <w:r>
        <w:t xml:space="preserve">nutné a věčné </w:t>
      </w:r>
      <w:r w:rsidRPr="00273106">
        <w:t xml:space="preserve">objektivitě, protože jsou </w:t>
      </w:r>
      <w:r>
        <w:t xml:space="preserve">logickým závěrem </w:t>
      </w:r>
      <w:r w:rsidRPr="00273106">
        <w:t>božího nazíravého myšlení</w:t>
      </w:r>
      <w:r>
        <w:t>,</w:t>
      </w:r>
      <w:r w:rsidRPr="08DE6605">
        <w:t xml:space="preserve"> </w:t>
      </w:r>
      <w:r>
        <w:t>a nikoliv jeho esence</w:t>
      </w:r>
      <w:r w:rsidRPr="00273106">
        <w:t>.</w:t>
      </w:r>
      <w:r>
        <w:t xml:space="preserve"> </w:t>
      </w:r>
      <w:r w:rsidR="00626FF6" w:rsidRPr="00626FF6">
        <w:t>První forma teologicky ortodoxního modernismu prov</w:t>
      </w:r>
      <w:r w:rsidR="00626FF6">
        <w:t xml:space="preserve">edla dedukci jsoucna </w:t>
      </w:r>
      <w:r w:rsidR="00626FF6" w:rsidRPr="00626FF6">
        <w:t>vědeckým způsobem</w:t>
      </w:r>
      <w:r w:rsidR="006F2C0B">
        <w:t xml:space="preserve"> po</w:t>
      </w:r>
      <w:r w:rsidR="00626FF6" w:rsidRPr="00626FF6">
        <w:t xml:space="preserve">dle </w:t>
      </w:r>
      <w:r w:rsidR="00626FF6" w:rsidRPr="08B57933">
        <w:rPr>
          <w:i/>
        </w:rPr>
        <w:t>Druhých analytik</w:t>
      </w:r>
      <w:r w:rsidR="006F2C0B">
        <w:t>. R</w:t>
      </w:r>
      <w:r w:rsidR="00626FF6" w:rsidRPr="00626FF6">
        <w:t xml:space="preserve">acionalita </w:t>
      </w:r>
      <w:r w:rsidR="006F2C0B" w:rsidRPr="00626FF6">
        <w:t>směřuje</w:t>
      </w:r>
      <w:r w:rsidR="006F2C0B">
        <w:t xml:space="preserve"> </w:t>
      </w:r>
      <w:r w:rsidR="00626FF6" w:rsidRPr="00626FF6">
        <w:t>od modern</w:t>
      </w:r>
      <w:r w:rsidR="00626FF6">
        <w:t>ího b</w:t>
      </w:r>
      <w:r w:rsidR="00626FF6" w:rsidRPr="00626FF6">
        <w:t>oha k objektivně pojatému stvoření.</w:t>
      </w:r>
    </w:p>
    <w:p w:rsidR="009828C4" w:rsidRDefault="08163013" w:rsidP="00D5676A">
      <w:pPr>
        <w:pStyle w:val="Citace"/>
        <w:rPr>
          <w:lang w:val="de-DE"/>
        </w:rPr>
      </w:pPr>
      <w:r w:rsidRPr="00273106">
        <w:rPr>
          <w:noProof/>
          <w:lang w:val="cs-CZ"/>
        </w:rPr>
        <w:t>„</w:t>
      </w:r>
      <w:r>
        <w:rPr>
          <w:noProof/>
          <w:lang w:val="cs-CZ"/>
        </w:rPr>
        <w:t>K poznání prvního js</w:t>
      </w:r>
      <w:r w:rsidR="00637806">
        <w:rPr>
          <w:noProof/>
          <w:lang w:val="cs-CZ"/>
        </w:rPr>
        <w:t>oucna je třeba říci, že všechn</w:t>
      </w:r>
      <w:r w:rsidR="00E85F31">
        <w:rPr>
          <w:noProof/>
          <w:lang w:val="cs-CZ"/>
        </w:rPr>
        <w:t xml:space="preserve">y racionální obsahy </w:t>
      </w:r>
      <w:r w:rsidR="00A125B5">
        <w:t>(</w:t>
      </w:r>
      <w:r w:rsidR="00A125B5" w:rsidRPr="0040152F">
        <w:rPr>
          <w:i/>
          <w:noProof/>
        </w:rPr>
        <w:t>omnia intelligibilia</w:t>
      </w:r>
      <w:r w:rsidR="00A125B5">
        <w:t xml:space="preserve">) </w:t>
      </w:r>
      <w:r>
        <w:rPr>
          <w:noProof/>
          <w:lang w:val="cs-CZ"/>
        </w:rPr>
        <w:t>mají skrze akt božího intelektu formu inteligibilního bytí (</w:t>
      </w:r>
      <w:r w:rsidRPr="00DE185D">
        <w:rPr>
          <w:i/>
          <w:noProof/>
          <w:lang w:val="cs-CZ"/>
        </w:rPr>
        <w:t>esse intelligibile</w:t>
      </w:r>
      <w:r>
        <w:rPr>
          <w:noProof/>
          <w:lang w:val="cs-CZ"/>
        </w:rPr>
        <w:t>). V</w:t>
      </w:r>
      <w:r w:rsidR="00EF63C3">
        <w:rPr>
          <w:noProof/>
          <w:lang w:val="cs-CZ"/>
        </w:rPr>
        <w:t xml:space="preserve"> těchto intelligibilích </w:t>
      </w:r>
      <w:r>
        <w:rPr>
          <w:noProof/>
          <w:lang w:val="cs-CZ"/>
        </w:rPr>
        <w:t>se ma</w:t>
      </w:r>
      <w:r w:rsidR="00467F7A">
        <w:rPr>
          <w:noProof/>
          <w:lang w:val="cs-CZ"/>
        </w:rPr>
        <w:t>nifestují</w:t>
      </w:r>
      <w:r>
        <w:rPr>
          <w:noProof/>
          <w:lang w:val="cs-CZ"/>
        </w:rPr>
        <w:t xml:space="preserve"> </w:t>
      </w:r>
      <w:r w:rsidR="00EF63C3">
        <w:rPr>
          <w:noProof/>
          <w:lang w:val="cs-CZ"/>
        </w:rPr>
        <w:t>(</w:t>
      </w:r>
      <w:r w:rsidR="00EF63C3" w:rsidRPr="00EF63C3">
        <w:rPr>
          <w:i/>
          <w:noProof/>
          <w:lang w:val="cs-CZ"/>
        </w:rPr>
        <w:t>reluce</w:t>
      </w:r>
      <w:r w:rsidR="00CC6BD8">
        <w:rPr>
          <w:i/>
          <w:noProof/>
          <w:lang w:val="cs-CZ"/>
        </w:rPr>
        <w:t>n</w:t>
      </w:r>
      <w:r w:rsidR="00EF63C3" w:rsidRPr="00EF63C3">
        <w:rPr>
          <w:i/>
          <w:noProof/>
          <w:lang w:val="cs-CZ"/>
        </w:rPr>
        <w:t>t</w:t>
      </w:r>
      <w:r w:rsidR="00EF63C3">
        <w:rPr>
          <w:noProof/>
          <w:lang w:val="cs-CZ"/>
        </w:rPr>
        <w:t xml:space="preserve">) </w:t>
      </w:r>
      <w:r>
        <w:rPr>
          <w:noProof/>
          <w:lang w:val="cs-CZ"/>
        </w:rPr>
        <w:t xml:space="preserve">všechny </w:t>
      </w:r>
      <w:r w:rsidR="00467F7A">
        <w:rPr>
          <w:noProof/>
          <w:lang w:val="cs-CZ"/>
        </w:rPr>
        <w:t xml:space="preserve">jejich pravdy </w:t>
      </w:r>
      <w:r w:rsidR="00EF63C3">
        <w:rPr>
          <w:noProof/>
          <w:lang w:val="cs-CZ"/>
        </w:rPr>
        <w:t>tím</w:t>
      </w:r>
      <w:r>
        <w:rPr>
          <w:noProof/>
          <w:lang w:val="cs-CZ"/>
        </w:rPr>
        <w:t xml:space="preserve">, že </w:t>
      </w:r>
      <w:r w:rsidR="00EF63C3">
        <w:rPr>
          <w:noProof/>
          <w:lang w:val="cs-CZ"/>
        </w:rPr>
        <w:t xml:space="preserve">boží </w:t>
      </w:r>
      <w:r>
        <w:rPr>
          <w:noProof/>
          <w:lang w:val="cs-CZ"/>
        </w:rPr>
        <w:t xml:space="preserve">intelekt </w:t>
      </w:r>
      <w:r w:rsidR="00EF63C3">
        <w:rPr>
          <w:noProof/>
          <w:lang w:val="cs-CZ"/>
        </w:rPr>
        <w:t xml:space="preserve">svá </w:t>
      </w:r>
      <w:r>
        <w:rPr>
          <w:noProof/>
          <w:lang w:val="cs-CZ"/>
        </w:rPr>
        <w:t xml:space="preserve">inteligibilia </w:t>
      </w:r>
      <w:r w:rsidR="00467F7A">
        <w:rPr>
          <w:noProof/>
          <w:lang w:val="cs-CZ"/>
        </w:rPr>
        <w:t>reflektuje</w:t>
      </w:r>
      <w:r>
        <w:rPr>
          <w:noProof/>
          <w:lang w:val="cs-CZ"/>
        </w:rPr>
        <w:t xml:space="preserve">. </w:t>
      </w:r>
      <w:r w:rsidR="009828C4">
        <w:rPr>
          <w:noProof/>
          <w:lang w:val="cs-CZ"/>
        </w:rPr>
        <w:t xml:space="preserve">Na základě těchto </w:t>
      </w:r>
      <w:r w:rsidR="00467F7A">
        <w:rPr>
          <w:noProof/>
          <w:lang w:val="cs-CZ"/>
        </w:rPr>
        <w:t xml:space="preserve">reflektovaných </w:t>
      </w:r>
      <w:r w:rsidR="009828C4">
        <w:rPr>
          <w:noProof/>
          <w:lang w:val="cs-CZ"/>
        </w:rPr>
        <w:t xml:space="preserve">inteligibilních obsahů rozumí boží intelekt </w:t>
      </w:r>
      <w:r w:rsidR="009828C4">
        <w:rPr>
          <w:rFonts w:cs="Calibri"/>
          <w:noProof/>
        </w:rPr>
        <w:t xml:space="preserve">také </w:t>
      </w:r>
      <w:r w:rsidR="009828C4">
        <w:rPr>
          <w:noProof/>
          <w:lang w:val="cs-CZ"/>
        </w:rPr>
        <w:t xml:space="preserve">všem pravdám, které z nich nutně vyplývají. Boží intelekt </w:t>
      </w:r>
      <w:r w:rsidR="009828C4">
        <w:rPr>
          <w:noProof/>
        </w:rPr>
        <w:t xml:space="preserve">vidí </w:t>
      </w:r>
      <w:r w:rsidR="00BF07A1">
        <w:rPr>
          <w:noProof/>
          <w:lang w:val="cs-CZ"/>
        </w:rPr>
        <w:t xml:space="preserve">obsahy svého </w:t>
      </w:r>
      <w:r w:rsidR="009828C4">
        <w:rPr>
          <w:noProof/>
          <w:lang w:val="cs-CZ"/>
        </w:rPr>
        <w:t xml:space="preserve">myšlení </w:t>
      </w:r>
      <w:r w:rsidR="009828C4">
        <w:rPr>
          <w:noProof/>
        </w:rPr>
        <w:t>a v </w:t>
      </w:r>
      <w:r w:rsidR="00BF07A1">
        <w:rPr>
          <w:noProof/>
        </w:rPr>
        <w:t>n</w:t>
      </w:r>
      <w:r w:rsidR="00BF07A1">
        <w:rPr>
          <w:noProof/>
          <w:lang w:val="cs-CZ"/>
        </w:rPr>
        <w:t>ich</w:t>
      </w:r>
      <w:r w:rsidR="009828C4">
        <w:rPr>
          <w:noProof/>
        </w:rPr>
        <w:t xml:space="preserve"> objektivně poznává </w:t>
      </w:r>
      <w:r w:rsidR="009828C4">
        <w:rPr>
          <w:noProof/>
          <w:lang w:val="cs-CZ"/>
        </w:rPr>
        <w:t>(</w:t>
      </w:r>
      <w:r w:rsidR="009828C4" w:rsidRPr="00071EFF">
        <w:rPr>
          <w:i/>
          <w:noProof/>
        </w:rPr>
        <w:t>videt in eis sicut in obiectis</w:t>
      </w:r>
      <w:r w:rsidR="009828C4" w:rsidRPr="00F565DB">
        <w:rPr>
          <w:noProof/>
        </w:rPr>
        <w:t>)</w:t>
      </w:r>
      <w:r w:rsidR="009828C4">
        <w:rPr>
          <w:noProof/>
        </w:rPr>
        <w:t xml:space="preserve"> ony nutné pravdy (</w:t>
      </w:r>
      <w:r w:rsidR="009828C4" w:rsidRPr="08382E4F">
        <w:rPr>
          <w:i/>
        </w:rPr>
        <w:t>istas veritates necessarias</w:t>
      </w:r>
      <w:r w:rsidR="009828C4">
        <w:rPr>
          <w:noProof/>
          <w:lang w:val="cs-CZ"/>
        </w:rPr>
        <w:t>).“</w:t>
      </w:r>
      <w:r w:rsidR="005B0D8D">
        <w:rPr>
          <w:noProof/>
          <w:lang w:val="cs-CZ" w:eastAsia="cs-CZ"/>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9pt;height:1.9pt;visibility:visible">
            <v:imagedata r:id="rId9" o:title=""/>
          </v:shape>
        </w:pict>
      </w:r>
      <w:r w:rsidR="009828C4">
        <w:rPr>
          <w:rStyle w:val="Znakapoznpodarou"/>
        </w:rPr>
        <w:footnoteReference w:id="454"/>
      </w:r>
    </w:p>
    <w:p w:rsidR="0078630D" w:rsidRDefault="002F4435" w:rsidP="0078630D">
      <w:r w:rsidRPr="002F4435">
        <w:t xml:space="preserve">Božský intelekt je původcem </w:t>
      </w:r>
      <w:r>
        <w:t xml:space="preserve">inteligibilních </w:t>
      </w:r>
      <w:r w:rsidRPr="002F4435">
        <w:t xml:space="preserve">obsahů a pravd, které se </w:t>
      </w:r>
      <w:r>
        <w:t xml:space="preserve">manifestují skrze tyto obsahy </w:t>
      </w:r>
      <w:r w:rsidRPr="002F4435">
        <w:t>(</w:t>
      </w:r>
      <w:r w:rsidRPr="002F4435">
        <w:rPr>
          <w:i/>
        </w:rPr>
        <w:t>omnes veritates de eis relucent</w:t>
      </w:r>
      <w:r>
        <w:t>). Scotus nemá exemplar</w:t>
      </w:r>
      <w:r w:rsidRPr="002F4435">
        <w:t xml:space="preserve"> jako nadpřirozenou substanci. Božské myšlení je pouze hypotetickou nutnou podmí</w:t>
      </w:r>
      <w:r>
        <w:t>nkou. Dedukce začíná na úrovni „</w:t>
      </w:r>
      <w:r w:rsidRPr="002F4435">
        <w:rPr>
          <w:i/>
        </w:rPr>
        <w:t>esse intelligibile</w:t>
      </w:r>
      <w:r>
        <w:rPr>
          <w:i/>
        </w:rPr>
        <w:fldChar w:fldCharType="begin"/>
      </w:r>
      <w:r>
        <w:instrText xml:space="preserve"> XE "objektivita:</w:instrText>
      </w:r>
      <w:r w:rsidRPr="00361AD5">
        <w:rPr>
          <w:i/>
        </w:rPr>
        <w:instrText>esse intelligibile</w:instrText>
      </w:r>
      <w:r>
        <w:instrText xml:space="preserve">" </w:instrText>
      </w:r>
      <w:r>
        <w:rPr>
          <w:i/>
        </w:rPr>
        <w:fldChar w:fldCharType="end"/>
      </w:r>
      <w:r>
        <w:t>“</w:t>
      </w:r>
      <w:r w:rsidRPr="002F4435">
        <w:t xml:space="preserve"> vytvářené božským intelektem. Racionalita je totožná s inteligibilními obsahy (</w:t>
      </w:r>
      <w:r w:rsidRPr="002F4435">
        <w:rPr>
          <w:i/>
        </w:rPr>
        <w:t>omnia intelligibilia</w:t>
      </w:r>
      <w:r w:rsidRPr="002F4435">
        <w:t xml:space="preserve">), které tvoří první úroveň božských pravd. Exemplarita má charakter logického postupu založeného na </w:t>
      </w:r>
      <w:r w:rsidR="00D708D5">
        <w:t>bož</w:t>
      </w:r>
      <w:r w:rsidR="00BF6E09">
        <w:t>í</w:t>
      </w:r>
      <w:r w:rsidR="00D708D5">
        <w:t xml:space="preserve"> racionalitě</w:t>
      </w:r>
      <w:r>
        <w:t>. Moderní b</w:t>
      </w:r>
      <w:r w:rsidRPr="002F4435">
        <w:t>ůh nutně myslí exemplárním způsobem a člověk by měl dělat totéž. Neex</w:t>
      </w:r>
      <w:r>
        <w:t>istuje kategorické bytí v modu „</w:t>
      </w:r>
      <w:r w:rsidRPr="002F4435">
        <w:rPr>
          <w:i/>
        </w:rPr>
        <w:t>esse ad</w:t>
      </w:r>
      <w:r>
        <w:t xml:space="preserve">“ jako v Gandavově ontoteologii. </w:t>
      </w:r>
      <w:r w:rsidR="08163013">
        <w:t xml:space="preserve">První adekvace našeho intelektu vzhledem k bohu jde k božským pravdám daným ve stvoření, a nikoliv k boží esenci. Tím je boží bytí zásadně odděleno od boží racionality dané do světa. Scotus nechal boha sylogisticky myslet podle </w:t>
      </w:r>
      <w:r w:rsidR="08163013" w:rsidRPr="08E1631B">
        <w:rPr>
          <w:i/>
        </w:rPr>
        <w:t>Druhých analytik</w:t>
      </w:r>
      <w:r w:rsidR="08163013">
        <w:t xml:space="preserve">, které mají </w:t>
      </w:r>
      <w:r w:rsidR="08163013" w:rsidRPr="00273106">
        <w:t>přím</w:t>
      </w:r>
      <w:r w:rsidR="08163013">
        <w:t>ý intelektuální náhled</w:t>
      </w:r>
      <w:r w:rsidR="08163013" w:rsidRPr="00273106">
        <w:t xml:space="preserve"> do premis </w:t>
      </w:r>
      <w:r w:rsidR="08163013" w:rsidRPr="00273106">
        <w:lastRenderedPageBreak/>
        <w:t>soudu (</w:t>
      </w:r>
      <w:r w:rsidR="08163013" w:rsidRPr="002A276F">
        <w:rPr>
          <w:i/>
        </w:rPr>
        <w:t>Anal</w:t>
      </w:r>
      <w:r w:rsidR="08163013">
        <w:t xml:space="preserve">. </w:t>
      </w:r>
      <w:r w:rsidR="08163013" w:rsidRPr="002A276F">
        <w:rPr>
          <w:i/>
        </w:rPr>
        <w:t>Post</w:t>
      </w:r>
      <w:r w:rsidR="08163013">
        <w:t xml:space="preserve">. </w:t>
      </w:r>
      <w:r w:rsidR="08163013" w:rsidRPr="00273106">
        <w:t>88b37</w:t>
      </w:r>
      <w:r w:rsidR="08163013">
        <w:fldChar w:fldCharType="begin"/>
      </w:r>
      <w:r w:rsidR="08163013">
        <w:instrText xml:space="preserve"> XE "Aristoteles:</w:instrText>
      </w:r>
      <w:r w:rsidR="08163013" w:rsidRPr="00DD5348">
        <w:rPr>
          <w:i/>
        </w:rPr>
        <w:instrText>Anal. Post</w:instrText>
      </w:r>
      <w:r w:rsidR="08163013">
        <w:instrText xml:space="preserve">. 88b37" </w:instrText>
      </w:r>
      <w:r w:rsidR="08163013">
        <w:fldChar w:fldCharType="end"/>
      </w:r>
      <w:r w:rsidR="08163013" w:rsidRPr="00273106">
        <w:t>)</w:t>
      </w:r>
      <w:r w:rsidR="08163013">
        <w:t>. Bůh k tomuto objektivně nutnému  úkonu používá aristotelsky bystrou mysl (</w:t>
      </w:r>
      <w:r w:rsidR="08163013" w:rsidRPr="0002680E">
        <w:t>ἀγχίνοια</w:t>
      </w:r>
      <w:r w:rsidR="08163013">
        <w:t xml:space="preserve">), která </w:t>
      </w:r>
      <w:r w:rsidR="08163013" w:rsidRPr="00273106">
        <w:t>postřehn</w:t>
      </w:r>
      <w:r w:rsidR="08163013">
        <w:t>e</w:t>
      </w:r>
      <w:r w:rsidR="08163013" w:rsidRPr="00273106">
        <w:t xml:space="preserve"> závěr bez </w:t>
      </w:r>
      <w:r w:rsidR="08163013">
        <w:t>sylo</w:t>
      </w:r>
      <w:r w:rsidR="08163013" w:rsidRPr="00273106">
        <w:t xml:space="preserve">gismu, jak </w:t>
      </w:r>
      <w:r w:rsidR="08163013">
        <w:t xml:space="preserve">je </w:t>
      </w:r>
      <w:r w:rsidR="08163013" w:rsidRPr="00273106">
        <w:t xml:space="preserve">bezprostředně dán v </w:t>
      </w:r>
      <w:r w:rsidR="08163013">
        <w:t xml:space="preserve">jeho božské </w:t>
      </w:r>
      <w:r w:rsidR="08163013" w:rsidRPr="00273106">
        <w:t>realitě (</w:t>
      </w:r>
      <w:r w:rsidR="08163013" w:rsidRPr="002A276F">
        <w:rPr>
          <w:i/>
        </w:rPr>
        <w:t>Anal</w:t>
      </w:r>
      <w:r w:rsidR="08163013">
        <w:t xml:space="preserve">. </w:t>
      </w:r>
      <w:r w:rsidR="08163013" w:rsidRPr="002A276F">
        <w:rPr>
          <w:i/>
        </w:rPr>
        <w:t>Post</w:t>
      </w:r>
      <w:r w:rsidR="08163013">
        <w:t xml:space="preserve">. </w:t>
      </w:r>
      <w:r w:rsidR="08163013" w:rsidRPr="00273106">
        <w:t>89b10‒11</w:t>
      </w:r>
      <w:r w:rsidR="08163013">
        <w:fldChar w:fldCharType="begin"/>
      </w:r>
      <w:r w:rsidR="08163013">
        <w:instrText xml:space="preserve"> XE "Aristoteles:</w:instrText>
      </w:r>
      <w:r w:rsidR="08163013" w:rsidRPr="00DD5348">
        <w:rPr>
          <w:i/>
        </w:rPr>
        <w:instrText>Anal. Post</w:instrText>
      </w:r>
      <w:r w:rsidR="08163013">
        <w:instrText>. 89b</w:instrText>
      </w:r>
      <w:r w:rsidR="08163013" w:rsidRPr="00DD5348">
        <w:instrText>10</w:instrText>
      </w:r>
      <w:r w:rsidR="08163013">
        <w:instrText xml:space="preserve">‒11" </w:instrText>
      </w:r>
      <w:r w:rsidR="08163013">
        <w:fldChar w:fldCharType="end"/>
      </w:r>
      <w:r w:rsidR="08163013" w:rsidRPr="00273106">
        <w:t>).</w:t>
      </w:r>
      <w:r w:rsidR="08163013">
        <w:t xml:space="preserve"> Gross</w:t>
      </w:r>
      <w:r w:rsidR="00B0650D">
        <w:t>e</w:t>
      </w:r>
      <w:r w:rsidR="08163013">
        <w:t xml:space="preserve">teste tento typ myšlení použil pro konstrukci první verze </w:t>
      </w:r>
      <w:r w:rsidR="08163013" w:rsidRPr="00812EBE">
        <w:rPr>
          <w:i/>
        </w:rPr>
        <w:t>Oxfordian Fallacy</w:t>
      </w:r>
      <w:r w:rsidR="08163013">
        <w:rPr>
          <w:i/>
        </w:rPr>
        <w:fldChar w:fldCharType="begin"/>
      </w:r>
      <w:r w:rsidR="08163013">
        <w:instrText xml:space="preserve"> XE "</w:instrText>
      </w:r>
      <w:r w:rsidR="08163013" w:rsidRPr="0015798D">
        <w:rPr>
          <w:i/>
        </w:rPr>
        <w:instrText>Oxfordian Fallacy:</w:instrText>
      </w:r>
      <w:r w:rsidR="08163013">
        <w:instrText xml:space="preserve">Grosseteste" </w:instrText>
      </w:r>
      <w:r w:rsidR="08163013">
        <w:rPr>
          <w:i/>
        </w:rPr>
        <w:fldChar w:fldCharType="end"/>
      </w:r>
      <w:r w:rsidR="08163013">
        <w:t xml:space="preserve"> (</w:t>
      </w:r>
      <w:r w:rsidR="00BC7525">
        <w:t>OBJ II, kap. 3</w:t>
      </w:r>
      <w:r w:rsidR="08163013">
        <w:t xml:space="preserve">.1.1). Scotus dává tento způsob </w:t>
      </w:r>
      <w:r w:rsidR="004F3BD9">
        <w:t xml:space="preserve">exemplárně-objektivního </w:t>
      </w:r>
      <w:r w:rsidR="08163013">
        <w:t>s</w:t>
      </w:r>
      <w:r w:rsidR="003C523C">
        <w:t>ylogistického myšlení pouze bohu</w:t>
      </w:r>
      <w:r w:rsidR="08163013">
        <w:t xml:space="preserve">. </w:t>
      </w:r>
      <w:r w:rsidR="008B37C7">
        <w:t xml:space="preserve">Přechod od exemplární boží </w:t>
      </w:r>
      <w:r w:rsidR="00850E7D">
        <w:t xml:space="preserve">racionality </w:t>
      </w:r>
      <w:r w:rsidR="008B37C7">
        <w:t xml:space="preserve">k objektivnímu závěru </w:t>
      </w:r>
      <w:r w:rsidR="00850E7D">
        <w:t>je daný v modu „</w:t>
      </w:r>
      <w:r w:rsidR="008B37C7" w:rsidRPr="00CA24AF">
        <w:rPr>
          <w:i/>
        </w:rPr>
        <w:t>secundum quid</w:t>
      </w:r>
      <w:r w:rsidR="00850E7D">
        <w:t>“. Tím se</w:t>
      </w:r>
      <w:r w:rsidR="008B37C7">
        <w:t xml:space="preserve"> ukazuje první krok dedukce objektivity v modu aristotelské pravdy jako adekvace. Bůh vidí předmět svého myšlení v intuitivním náhledu okamžitého a kauzálně-exemplárního racionálního soudu. </w:t>
      </w:r>
      <w:r w:rsidR="00BC2301">
        <w:t xml:space="preserve">V </w:t>
      </w:r>
      <w:r w:rsidR="008B37C7" w:rsidRPr="00273106">
        <w:t>pr</w:t>
      </w:r>
      <w:r w:rsidR="008B37C7">
        <w:t xml:space="preserve">vním </w:t>
      </w:r>
      <w:r w:rsidR="006329B5">
        <w:t xml:space="preserve">kroku </w:t>
      </w:r>
      <w:r w:rsidR="008B37C7">
        <w:t xml:space="preserve">demiurgické produkce </w:t>
      </w:r>
      <w:r w:rsidR="006329B5">
        <w:t>„</w:t>
      </w:r>
      <w:r w:rsidR="006874E1" w:rsidRPr="006C15DD">
        <w:rPr>
          <w:i/>
        </w:rPr>
        <w:t>esse intelligibile</w:t>
      </w:r>
      <w:r w:rsidR="006329B5">
        <w:t>“</w:t>
      </w:r>
      <w:r w:rsidR="006874E1">
        <w:rPr>
          <w:i/>
        </w:rPr>
        <w:t xml:space="preserve"> </w:t>
      </w:r>
      <w:r w:rsidR="008B37C7" w:rsidRPr="00273106">
        <w:t>vzniká nový objekt</w:t>
      </w:r>
      <w:r w:rsidR="008B37C7">
        <w:t xml:space="preserve"> </w:t>
      </w:r>
      <w:r w:rsidR="006329B5">
        <w:t xml:space="preserve">vytvořený skrze </w:t>
      </w:r>
      <w:r w:rsidR="008B37C7">
        <w:t xml:space="preserve">deduktivní </w:t>
      </w:r>
      <w:r w:rsidR="006329B5">
        <w:t>syllogismus</w:t>
      </w:r>
      <w:r w:rsidR="00A0066B">
        <w:t xml:space="preserve">. Jeho závěr je daný jako forma </w:t>
      </w:r>
      <w:r w:rsidR="008B37C7">
        <w:t>intuitivního sylogismu.</w:t>
      </w:r>
      <w:r w:rsidR="0078630D">
        <w:t xml:space="preserve"> </w:t>
      </w:r>
      <w:r w:rsidR="001B6341">
        <w:t xml:space="preserve">První návěst je </w:t>
      </w:r>
      <w:r w:rsidR="001B6341" w:rsidRPr="001B6341">
        <w:t>(</w:t>
      </w:r>
      <w:r w:rsidR="001B6341" w:rsidRPr="0078630D">
        <w:rPr>
          <w:i/>
        </w:rPr>
        <w:t>maior</w:t>
      </w:r>
      <w:r w:rsidR="001B6341" w:rsidRPr="001B6341">
        <w:t xml:space="preserve">) </w:t>
      </w:r>
      <w:r w:rsidR="001B6341">
        <w:t>je dána jako univerzální božská racionalita</w:t>
      </w:r>
      <w:r w:rsidR="00536107">
        <w:t>; prostředním členem (</w:t>
      </w:r>
      <w:r w:rsidR="00B62461">
        <w:rPr>
          <w:i/>
        </w:rPr>
        <w:t>minor</w:t>
      </w:r>
      <w:r w:rsidR="00536107">
        <w:t xml:space="preserve">) </w:t>
      </w:r>
      <w:r w:rsidR="001B6341" w:rsidRPr="001B6341">
        <w:t xml:space="preserve">je </w:t>
      </w:r>
      <w:r w:rsidR="00B62461">
        <w:t xml:space="preserve">univočně </w:t>
      </w:r>
      <w:r w:rsidR="001B6341" w:rsidRPr="001B6341">
        <w:t xml:space="preserve">daný pojem </w:t>
      </w:r>
      <w:r w:rsidR="0078630D">
        <w:t>„</w:t>
      </w:r>
      <w:r w:rsidR="001B6341" w:rsidRPr="001B6341">
        <w:rPr>
          <w:i/>
        </w:rPr>
        <w:t>esse intelligibile</w:t>
      </w:r>
      <w:r w:rsidR="0078630D">
        <w:t>“</w:t>
      </w:r>
      <w:r w:rsidR="001B6341">
        <w:t xml:space="preserve">, který má podle Scota přímý kauzální účinek; </w:t>
      </w:r>
      <w:r w:rsidR="001B6341" w:rsidRPr="001B6341">
        <w:t>výsledný racionální závěr má podobu univerzálního racionálního obsahu (</w:t>
      </w:r>
      <w:r w:rsidR="001B6341" w:rsidRPr="001B6341">
        <w:rPr>
          <w:i/>
        </w:rPr>
        <w:t>omnia intelligibilia</w:t>
      </w:r>
      <w:r w:rsidR="001B6341" w:rsidRPr="001B6341">
        <w:t xml:space="preserve">). Tyto </w:t>
      </w:r>
      <w:r w:rsidR="0078630D">
        <w:t xml:space="preserve">inteligibilní </w:t>
      </w:r>
      <w:r w:rsidR="001B6341" w:rsidRPr="001B6341">
        <w:t xml:space="preserve">obsahy se </w:t>
      </w:r>
      <w:r w:rsidR="0078630D">
        <w:t xml:space="preserve">pak </w:t>
      </w:r>
      <w:r w:rsidR="001B6341" w:rsidRPr="001B6341">
        <w:t>projevují ve stvoření; jsou již plně objektivní a definované v tom</w:t>
      </w:r>
      <w:r w:rsidR="0078630D">
        <w:t>istickém modu „</w:t>
      </w:r>
      <w:r w:rsidR="0078630D" w:rsidRPr="0078630D">
        <w:rPr>
          <w:i/>
        </w:rPr>
        <w:t>quoad nos</w:t>
      </w:r>
      <w:r w:rsidR="0078630D">
        <w:t>“</w:t>
      </w:r>
      <w:r w:rsidR="001B6341" w:rsidRPr="001B6341">
        <w:t xml:space="preserve">. Pravda a nutnost patří k univerzálně platné a rozpoznatelné božské racionalitě. </w:t>
      </w:r>
      <w:r w:rsidR="002A7042">
        <w:t xml:space="preserve">Boží racionální intuice má charakter logického úsudku. </w:t>
      </w:r>
      <w:r w:rsidR="001B3717">
        <w:t>Scot</w:t>
      </w:r>
      <w:r w:rsidR="002A7042">
        <w:t>us odmítl mytologii druhého averroi</w:t>
      </w:r>
      <w:r w:rsidR="001B3717">
        <w:t>s</w:t>
      </w:r>
      <w:r w:rsidR="002A7042">
        <w:t xml:space="preserve">mu, která stála na boží intencionalitě jako středním členu metafyzické dedukce. </w:t>
      </w:r>
      <w:r w:rsidR="001B3717">
        <w:t xml:space="preserve">První shoda je dána na úrovni božího deduktivního syllogismu, který generuje věčné pravdy. </w:t>
      </w:r>
    </w:p>
    <w:p w:rsidR="008B37C7" w:rsidRPr="089041BE" w:rsidRDefault="008B37C7" w:rsidP="001B3717">
      <w:pPr>
        <w:pStyle w:val="Citace"/>
        <w:rPr>
          <w:lang w:val="cs-CZ"/>
        </w:rPr>
      </w:pPr>
      <w:r>
        <w:t>„</w:t>
      </w:r>
      <w:r>
        <w:rPr>
          <w:lang w:val="cs-CZ"/>
        </w:rPr>
        <w:t xml:space="preserve">Tyto </w:t>
      </w:r>
      <w:r w:rsidR="004176F0">
        <w:rPr>
          <w:rFonts w:cs="Calibri"/>
          <w:lang w:val="cs-CZ"/>
        </w:rPr>
        <w:t>[</w:t>
      </w:r>
      <w:r>
        <w:rPr>
          <w:lang w:val="cs-CZ"/>
        </w:rPr>
        <w:t>i</w:t>
      </w:r>
      <w:r>
        <w:rPr>
          <w:noProof/>
          <w:lang w:val="cs-CZ"/>
        </w:rPr>
        <w:t>nteligibilní pravdy</w:t>
      </w:r>
      <w:r w:rsidR="004176F0">
        <w:rPr>
          <w:rFonts w:cs="Calibri"/>
          <w:noProof/>
          <w:lang w:val="cs-CZ"/>
        </w:rPr>
        <w:t>]</w:t>
      </w:r>
      <w:r>
        <w:rPr>
          <w:noProof/>
          <w:lang w:val="cs-CZ"/>
        </w:rPr>
        <w:t>, nakolik jsou sekundární předměty božího intelektu (</w:t>
      </w:r>
      <w:r w:rsidRPr="004622C1">
        <w:rPr>
          <w:i/>
          <w:noProof/>
        </w:rPr>
        <w:t>sunt obiecta secundaria intellectus divini</w:t>
      </w:r>
      <w:r>
        <w:rPr>
          <w:noProof/>
          <w:lang w:val="cs-CZ"/>
        </w:rPr>
        <w:t xml:space="preserve">), jsou </w:t>
      </w:r>
      <w:r>
        <w:rPr>
          <w:noProof/>
        </w:rPr>
        <w:t>pravdami</w:t>
      </w:r>
      <w:r w:rsidR="00770C9D">
        <w:rPr>
          <w:noProof/>
          <w:lang w:val="cs-CZ"/>
        </w:rPr>
        <w:t xml:space="preserve"> proto</w:t>
      </w:r>
      <w:r>
        <w:rPr>
          <w:noProof/>
        </w:rPr>
        <w:t>, že se podobají svému exemplaru (</w:t>
      </w:r>
      <w:r w:rsidRPr="004622C1">
        <w:rPr>
          <w:i/>
          <w:noProof/>
        </w:rPr>
        <w:t>sunt veritates, quia conformes suo exemplari</w:t>
      </w:r>
      <w:r>
        <w:rPr>
          <w:noProof/>
        </w:rPr>
        <w:t xml:space="preserve">), </w:t>
      </w:r>
      <w:r>
        <w:rPr>
          <w:noProof/>
          <w:lang w:val="cs-CZ"/>
        </w:rPr>
        <w:t xml:space="preserve">tedy </w:t>
      </w:r>
      <w:r>
        <w:rPr>
          <w:noProof/>
        </w:rPr>
        <w:t>boží</w:t>
      </w:r>
      <w:r>
        <w:rPr>
          <w:noProof/>
          <w:lang w:val="cs-CZ"/>
        </w:rPr>
        <w:t>mu</w:t>
      </w:r>
      <w:r>
        <w:rPr>
          <w:noProof/>
        </w:rPr>
        <w:t xml:space="preserve"> intelekt</w:t>
      </w:r>
      <w:r>
        <w:rPr>
          <w:noProof/>
          <w:lang w:val="cs-CZ"/>
        </w:rPr>
        <w:t>u</w:t>
      </w:r>
      <w:r>
        <w:rPr>
          <w:noProof/>
        </w:rPr>
        <w:t xml:space="preserve"> (</w:t>
      </w:r>
      <w:r w:rsidRPr="004622C1">
        <w:rPr>
          <w:i/>
          <w:noProof/>
        </w:rPr>
        <w:t>intellectui scilicet divino</w:t>
      </w:r>
      <w:r>
        <w:rPr>
          <w:noProof/>
        </w:rPr>
        <w:t xml:space="preserve">). Tím jsou světlem, protože se ukazují a jsou neměnné a </w:t>
      </w:r>
      <w:r w:rsidR="00F21D87">
        <w:rPr>
          <w:noProof/>
          <w:lang w:val="cs-CZ"/>
        </w:rPr>
        <w:t xml:space="preserve">tudíž </w:t>
      </w:r>
      <w:r>
        <w:rPr>
          <w:noProof/>
        </w:rPr>
        <w:t xml:space="preserve">nutné. Ale věčné jsou </w:t>
      </w:r>
      <w:r>
        <w:rPr>
          <w:noProof/>
          <w:lang w:val="cs-CZ"/>
        </w:rPr>
        <w:t xml:space="preserve">pouze </w:t>
      </w:r>
      <w:r>
        <w:rPr>
          <w:noProof/>
        </w:rPr>
        <w:t>v modu objektivity (</w:t>
      </w:r>
      <w:r w:rsidRPr="00F056C1">
        <w:rPr>
          <w:i/>
          <w:noProof/>
        </w:rPr>
        <w:t>secundum quid</w:t>
      </w:r>
      <w:r>
        <w:rPr>
          <w:noProof/>
        </w:rPr>
        <w:t>), protože věčnost je dána jako podmínka jejich existence. Proto nemají jinou formu než objektivní (</w:t>
      </w:r>
      <w:r w:rsidRPr="00CA24AF">
        <w:rPr>
          <w:i/>
          <w:noProof/>
        </w:rPr>
        <w:t>nisi secundum quid</w:t>
      </w:r>
      <w:r>
        <w:rPr>
          <w:noProof/>
        </w:rPr>
        <w:t>)</w:t>
      </w:r>
      <w:r>
        <w:t>.“</w:t>
      </w:r>
      <w:r>
        <w:rPr>
          <w:lang w:val="cs-CZ"/>
        </w:rPr>
        <w:t xml:space="preserve"> </w:t>
      </w:r>
      <w:r>
        <w:rPr>
          <w:rStyle w:val="Znakapoznpodarou"/>
          <w:lang w:val="cs-CZ"/>
        </w:rPr>
        <w:footnoteReference w:id="455"/>
      </w:r>
    </w:p>
    <w:p w:rsidR="00930174" w:rsidRDefault="008B37C7" w:rsidP="00930174">
      <w:r>
        <w:t>Boží náhled do sylogismu vytváří nepochybný racionální závěr (</w:t>
      </w:r>
      <w:r w:rsidRPr="0044349E">
        <w:rPr>
          <w:i/>
        </w:rPr>
        <w:t>obiecta secundaria intellectus divini</w:t>
      </w:r>
      <w:r>
        <w:t xml:space="preserve">) a tento závěr má objektivní „exsistenci“ danou výše uvedenou formou sylogistického </w:t>
      </w:r>
      <w:r>
        <w:lastRenderedPageBreak/>
        <w:t>úsudku (</w:t>
      </w:r>
      <w:r>
        <w:rPr>
          <w:i/>
        </w:rPr>
        <w:t>exsistentia</w:t>
      </w:r>
      <w:r w:rsidRPr="00273106">
        <w:rPr>
          <w:i/>
        </w:rPr>
        <w:t xml:space="preserve"> secundum quid</w:t>
      </w:r>
      <w:r>
        <w:t>). V modu nutnosti jsou věčné pravdy dané jako obecně pravdivé závěry soudu, což tyto deduktivní pravdy oddělilo od boží esence. Mytopoetika věčného světla a iluminace se nyní stala skutečnou metaforou</w:t>
      </w:r>
      <w:r w:rsidR="00D26557">
        <w:t>, a ničím jiným</w:t>
      </w:r>
      <w:r>
        <w:t>. Racionalita boží mysli je dána ve formě přirozeného úsudku, který manifestuje deduktivní nutnost</w:t>
      </w:r>
      <w:r w:rsidRPr="00E8592D">
        <w:rPr>
          <w:i/>
        </w:rPr>
        <w:t xml:space="preserve"> </w:t>
      </w:r>
      <w:r w:rsidRPr="00EF7C56">
        <w:rPr>
          <w:i/>
        </w:rPr>
        <w:t>ad extra</w:t>
      </w:r>
      <w:r>
        <w:t xml:space="preserve">. Dedukované objektivní jsoucno </w:t>
      </w:r>
      <w:r w:rsidRPr="00273106">
        <w:t xml:space="preserve">zakládá </w:t>
      </w:r>
      <w:r>
        <w:t xml:space="preserve">nový objektivní </w:t>
      </w:r>
      <w:r w:rsidRPr="00273106">
        <w:t>smysl jsoucnosti (</w:t>
      </w:r>
      <w:r w:rsidRPr="00501931">
        <w:rPr>
          <w:i/>
        </w:rPr>
        <w:t>obiecta secundaria</w:t>
      </w:r>
      <w:r>
        <w:t>). Vyzářené pravdy d</w:t>
      </w:r>
      <w:r w:rsidRPr="00273106">
        <w:t>ostáva</w:t>
      </w:r>
      <w:r>
        <w:t>jí statut věčného světla</w:t>
      </w:r>
      <w:r w:rsidRPr="00273106">
        <w:t xml:space="preserve"> (</w:t>
      </w:r>
      <w:r w:rsidRPr="00273106">
        <w:rPr>
          <w:i/>
        </w:rPr>
        <w:t>lux aeterna</w:t>
      </w:r>
      <w:r w:rsidRPr="00273106">
        <w:t>) a tím i atri</w:t>
      </w:r>
      <w:r>
        <w:t xml:space="preserve">but nutnosti, stability </w:t>
      </w:r>
      <w:r w:rsidR="00C370C8">
        <w:t>a neměnnosti</w:t>
      </w:r>
      <w:r w:rsidRPr="00273106">
        <w:t xml:space="preserve">. </w:t>
      </w:r>
      <w:r>
        <w:t>Exemplarem je samotná boží mysl daná ve své myslitelské aktualitě (</w:t>
      </w:r>
      <w:r w:rsidRPr="00C959A7">
        <w:rPr>
          <w:i/>
        </w:rPr>
        <w:t>intellectui scilicet divino</w:t>
      </w:r>
      <w:r>
        <w:t>). Obsahy myšlení jsou pouze předmětnými pravdami intelektu v modu první adekvace (</w:t>
      </w:r>
      <w:r>
        <w:rPr>
          <w:i/>
        </w:rPr>
        <w:t>conformes suo exemplari</w:t>
      </w:r>
      <w:r>
        <w:t xml:space="preserve">) dané deduktivním sylogismem. Oblast nutných pravd tvoří závěr božího exemplárního myšlení. Obojí je spojeno modem jedné pravdy </w:t>
      </w:r>
      <w:r w:rsidRPr="08A86986">
        <w:rPr>
          <w:i/>
        </w:rPr>
        <w:t>rectitudo</w:t>
      </w:r>
      <w:r>
        <w:t xml:space="preserve"> a </w:t>
      </w:r>
      <w:r w:rsidRPr="08A86986">
        <w:rPr>
          <w:i/>
        </w:rPr>
        <w:t>certitudo</w:t>
      </w:r>
      <w:r>
        <w:t xml:space="preserve">, protože racionalita v moderním bohu a jeho stvoření je jen jedna, proto není dána v modu analogie. </w:t>
      </w:r>
      <w:r w:rsidR="00620CAA">
        <w:t xml:space="preserve">Boží intelekt </w:t>
      </w:r>
      <w:r w:rsidR="00620CAA" w:rsidRPr="00273106">
        <w:t xml:space="preserve">nazírá </w:t>
      </w:r>
      <w:r w:rsidR="00620CAA">
        <w:t xml:space="preserve">skrze intuitivní soud věčné </w:t>
      </w:r>
      <w:r w:rsidR="00620CAA" w:rsidRPr="00273106">
        <w:t xml:space="preserve">pravdy v jejich </w:t>
      </w:r>
      <w:r w:rsidR="003B1C46">
        <w:t>exemplární nutnosti</w:t>
      </w:r>
      <w:r w:rsidR="00620CAA" w:rsidRPr="00273106">
        <w:t xml:space="preserve">. </w:t>
      </w:r>
      <w:r w:rsidR="08163013">
        <w:t>Věčné pravdy jsou nutným závěrem božího deduktivního úsudku, v němž boží intelekt přímo nazírá střední člen soudu. N</w:t>
      </w:r>
      <w:r w:rsidR="08163013" w:rsidRPr="00273106">
        <w:t xml:space="preserve">utnou podmínkou </w:t>
      </w:r>
      <w:r w:rsidR="08163013">
        <w:t xml:space="preserve">pravd je původní věčnost a nutnost boží mysli </w:t>
      </w:r>
      <w:r w:rsidR="08163013" w:rsidRPr="00273106">
        <w:t>(</w:t>
      </w:r>
      <w:r w:rsidR="08163013" w:rsidRPr="00273106">
        <w:rPr>
          <w:i/>
        </w:rPr>
        <w:t>aeternitas est condicio exsistentis</w:t>
      </w:r>
      <w:r w:rsidR="08163013">
        <w:t xml:space="preserve">). Boží poznání přesahuje v modu </w:t>
      </w:r>
      <w:r w:rsidR="00A61986">
        <w:t>„</w:t>
      </w:r>
      <w:r w:rsidR="08163013" w:rsidRPr="08674AA8">
        <w:rPr>
          <w:i/>
        </w:rPr>
        <w:t>exsistere</w:t>
      </w:r>
      <w:r w:rsidR="00A61986">
        <w:t>“</w:t>
      </w:r>
      <w:r w:rsidR="08163013">
        <w:t xml:space="preserve"> do světa skrze závěry racionálního soudu</w:t>
      </w:r>
      <w:r w:rsidR="003C523C">
        <w:t xml:space="preserve"> (</w:t>
      </w:r>
      <w:r w:rsidR="003C523C" w:rsidRPr="00266D19">
        <w:rPr>
          <w:i/>
          <w:szCs w:val="24"/>
          <w:lang w:val="de-DE"/>
        </w:rPr>
        <w:t>secundum quid</w:t>
      </w:r>
      <w:r w:rsidR="003C523C">
        <w:t>)</w:t>
      </w:r>
      <w:r w:rsidR="08163013">
        <w:t xml:space="preserve">, nikoliv skrze přímé </w:t>
      </w:r>
      <w:r w:rsidR="00F2684B">
        <w:t xml:space="preserve">kauzální </w:t>
      </w:r>
      <w:r w:rsidR="0056498E">
        <w:t>pů</w:t>
      </w:r>
      <w:r w:rsidR="00376917">
        <w:t xml:space="preserve">sobení exemplarů. </w:t>
      </w:r>
      <w:r w:rsidR="08163013">
        <w:t xml:space="preserve">Díky exemplární formě úsudku mají inteligibilní obsahy pouze </w:t>
      </w:r>
      <w:r w:rsidR="08163013" w:rsidRPr="00273106">
        <w:t xml:space="preserve">sekundární </w:t>
      </w:r>
      <w:r w:rsidR="08163013">
        <w:t>statut</w:t>
      </w:r>
      <w:r w:rsidR="08163013" w:rsidRPr="00273106">
        <w:t xml:space="preserve"> (</w:t>
      </w:r>
      <w:r w:rsidR="08163013" w:rsidRPr="00273106">
        <w:rPr>
          <w:i/>
        </w:rPr>
        <w:t>sunt obiecta secundaria intellectus divini</w:t>
      </w:r>
      <w:r w:rsidR="08163013" w:rsidRPr="00273106">
        <w:t>)</w:t>
      </w:r>
      <w:r w:rsidR="08163013">
        <w:t xml:space="preserve"> v</w:t>
      </w:r>
      <w:r w:rsidR="08163013" w:rsidRPr="00273106">
        <w:t xml:space="preserve">zhledem k </w:t>
      </w:r>
      <w:r w:rsidR="08163013">
        <w:t xml:space="preserve">božímu intelektu </w:t>
      </w:r>
      <w:r w:rsidR="08163013" w:rsidRPr="00273106">
        <w:t>(</w:t>
      </w:r>
      <w:r w:rsidR="08163013" w:rsidRPr="00273106">
        <w:rPr>
          <w:i/>
        </w:rPr>
        <w:t>intellectui scilicet divino</w:t>
      </w:r>
      <w:r w:rsidR="08163013" w:rsidRPr="00273106">
        <w:t xml:space="preserve">). </w:t>
      </w:r>
      <w:r w:rsidR="08163013">
        <w:t>Racionální dedukce věčných a nutných pravd je odvozena od primárn</w:t>
      </w:r>
      <w:r w:rsidR="00A83A18">
        <w:t xml:space="preserve">í formy božího </w:t>
      </w:r>
      <w:r w:rsidR="08163013">
        <w:t xml:space="preserve">myšlení. </w:t>
      </w:r>
      <w:r w:rsidR="00A83A18">
        <w:t>M</w:t>
      </w:r>
      <w:r w:rsidR="08163013">
        <w:t xml:space="preserve">oderní bůh používá </w:t>
      </w:r>
      <w:r w:rsidR="00A83A18">
        <w:t xml:space="preserve">svůj </w:t>
      </w:r>
      <w:r w:rsidR="08163013">
        <w:t xml:space="preserve">nekonečně bystrý intelekt intuitivně a logicky </w:t>
      </w:r>
      <w:r w:rsidR="00393FD0">
        <w:t xml:space="preserve">správně. </w:t>
      </w:r>
      <w:r w:rsidR="08163013">
        <w:t>Boží mysl je první místo objektivity proto, že pravdy se vynořují jako předmět boží sylogistické intuice (</w:t>
      </w:r>
      <w:r w:rsidR="08163013" w:rsidRPr="004C1E0A">
        <w:rPr>
          <w:i/>
        </w:rPr>
        <w:t>videt in eis</w:t>
      </w:r>
      <w:r w:rsidR="08163013">
        <w:t xml:space="preserve"> ... </w:t>
      </w:r>
      <w:r w:rsidR="08163013" w:rsidRPr="004C1E0A">
        <w:rPr>
          <w:i/>
        </w:rPr>
        <w:t>istas veritates</w:t>
      </w:r>
      <w:r w:rsidR="08163013">
        <w:t>). Sekundární o</w:t>
      </w:r>
      <w:r w:rsidR="08163013" w:rsidRPr="00273106">
        <w:t>bsahy b</w:t>
      </w:r>
      <w:r w:rsidR="08163013">
        <w:t xml:space="preserve">ožího myšlení dané formou dedukce již </w:t>
      </w:r>
      <w:r w:rsidR="08163013" w:rsidRPr="00273106">
        <w:t xml:space="preserve">mají esenciální bytí ve zvláštním modu </w:t>
      </w:r>
      <w:r w:rsidR="08163013">
        <w:t xml:space="preserve">objektivní </w:t>
      </w:r>
      <w:r w:rsidR="08163013" w:rsidRPr="00273106">
        <w:t>jsoucnosti (</w:t>
      </w:r>
      <w:r w:rsidR="08163013" w:rsidRPr="00273106">
        <w:rPr>
          <w:i/>
        </w:rPr>
        <w:t>exsistentiam secundum quid</w:t>
      </w:r>
      <w:r w:rsidR="08163013" w:rsidRPr="00273106">
        <w:t>)</w:t>
      </w:r>
      <w:r w:rsidR="08163013">
        <w:rPr>
          <w:i/>
        </w:rPr>
        <w:fldChar w:fldCharType="begin"/>
      </w:r>
      <w:r w:rsidR="08163013">
        <w:instrText xml:space="preserve"> XE "esence:</w:instrText>
      </w:r>
      <w:r w:rsidR="08163013" w:rsidRPr="00904B1D">
        <w:rPr>
          <w:i/>
        </w:rPr>
        <w:instrText>secundum quid</w:instrText>
      </w:r>
      <w:r w:rsidR="08163013">
        <w:instrText xml:space="preserve">" </w:instrText>
      </w:r>
      <w:r w:rsidR="08163013">
        <w:rPr>
          <w:i/>
        </w:rPr>
        <w:fldChar w:fldCharType="end"/>
      </w:r>
      <w:r w:rsidR="08163013" w:rsidRPr="00273106">
        <w:t xml:space="preserve">. </w:t>
      </w:r>
      <w:r w:rsidR="00376917">
        <w:t xml:space="preserve">Bůh vidí to, co racionálně vymyslel jako nutný závěr svého neomylného soudu. </w:t>
      </w:r>
      <w:r w:rsidR="08163013">
        <w:t>Exemplární boží myšlení a pravda je daná v modu objektivní jsoucnosti</w:t>
      </w:r>
      <w:r w:rsidR="00480EBF">
        <w:t xml:space="preserve"> jako </w:t>
      </w:r>
      <w:r w:rsidR="08163013">
        <w:t xml:space="preserve">nutný a věčný závěr intuitivně provedeného </w:t>
      </w:r>
      <w:r w:rsidR="00480EBF">
        <w:t xml:space="preserve">úsudku. </w:t>
      </w:r>
      <w:r w:rsidR="08163013">
        <w:t>Exemplární pravda vzniká v modu adekvace božího inte</w:t>
      </w:r>
      <w:r w:rsidR="00376917">
        <w:t>le</w:t>
      </w:r>
      <w:r w:rsidR="08163013">
        <w:t>ktu a exemplaru (</w:t>
      </w:r>
      <w:r w:rsidR="08163013" w:rsidRPr="00296FF3">
        <w:rPr>
          <w:i/>
        </w:rPr>
        <w:t>esse intelligibile</w:t>
      </w:r>
      <w:r w:rsidR="08163013">
        <w:rPr>
          <w:i/>
        </w:rPr>
        <w:fldChar w:fldCharType="begin"/>
      </w:r>
      <w:r w:rsidR="08163013">
        <w:instrText xml:space="preserve"> XE "pravda:</w:instrText>
      </w:r>
      <w:r w:rsidR="08163013" w:rsidRPr="00C771E9">
        <w:rPr>
          <w:i/>
        </w:rPr>
        <w:instrText>esse intelligibile</w:instrText>
      </w:r>
      <w:r w:rsidR="08163013">
        <w:instrText xml:space="preserve">" </w:instrText>
      </w:r>
      <w:r w:rsidR="08163013">
        <w:rPr>
          <w:i/>
        </w:rPr>
        <w:fldChar w:fldCharType="end"/>
      </w:r>
      <w:r w:rsidR="08163013">
        <w:t xml:space="preserve">). Ale důsledek tohoto čistě imanentního božího myšlení a jeho nutné a pravdivé závěry může přirozeně poznávat </w:t>
      </w:r>
      <w:r w:rsidR="009111CF">
        <w:t xml:space="preserve">člověk jako </w:t>
      </w:r>
      <w:r w:rsidR="08163013">
        <w:t>inteligibilní bytost, protože j</w:t>
      </w:r>
      <w:r w:rsidR="009111CF">
        <w:t xml:space="preserve">sme stvořeni k božímu </w:t>
      </w:r>
      <w:r w:rsidR="08163013">
        <w:t>obrazu. Objektivní status nové sféry boží racionality „exsistuje</w:t>
      </w:r>
      <w:r w:rsidR="00D53987">
        <w:rPr>
          <w:i/>
        </w:rPr>
        <w:fldChar w:fldCharType="begin"/>
      </w:r>
      <w:r w:rsidR="00D53987">
        <w:instrText xml:space="preserve"> XE "</w:instrText>
      </w:r>
      <w:r w:rsidR="00D53987" w:rsidRPr="008E07A9">
        <w:rPr>
          <w:i/>
        </w:rPr>
        <w:instrText>exsistere</w:instrText>
      </w:r>
      <w:r w:rsidR="00D53987">
        <w:instrText xml:space="preserve">" </w:instrText>
      </w:r>
      <w:r w:rsidR="00D53987">
        <w:rPr>
          <w:i/>
        </w:rPr>
        <w:fldChar w:fldCharType="end"/>
      </w:r>
      <w:r w:rsidR="08163013">
        <w:t xml:space="preserve">“ v modu exemplární pravdy a nutnosti. </w:t>
      </w:r>
      <w:r w:rsidR="08163013">
        <w:lastRenderedPageBreak/>
        <w:t xml:space="preserve">První inteligibilia jsou pravdivá proto, že jsou dána jako metafyzická adekvace závěru soudu vzhledem k božskému intelektu. Tento exemplární intelekt tvoří součást boží esence jako jediného exemplaru, od něhož jsou pravdy odvozeny formou intuitivní dedukce. Omezený intelekt ilumináta poznává boží racionalitu v modu </w:t>
      </w:r>
      <w:r w:rsidR="00930174">
        <w:t>„</w:t>
      </w:r>
      <w:r w:rsidR="08163013" w:rsidRPr="081719C3">
        <w:rPr>
          <w:i/>
        </w:rPr>
        <w:t>quoad nos</w:t>
      </w:r>
      <w:r w:rsidR="00930174">
        <w:t xml:space="preserve">“. Scotova </w:t>
      </w:r>
      <w:r w:rsidR="00930174" w:rsidRPr="0056498E">
        <w:t>teze</w:t>
      </w:r>
      <w:r w:rsidR="00930174">
        <w:t xml:space="preserve"> </w:t>
      </w:r>
      <w:r w:rsidR="00930174" w:rsidRPr="0056498E">
        <w:t>založená na reflexivním intuitivním důkazu</w:t>
      </w:r>
      <w:r w:rsidR="00930174">
        <w:t xml:space="preserve"> ukazuje cestu hermeneutického „jak“</w:t>
      </w:r>
      <w:r w:rsidR="00930174" w:rsidRPr="0056498E">
        <w:t xml:space="preserve"> </w:t>
      </w:r>
      <w:r w:rsidR="00930174">
        <w:t>(</w:t>
      </w:r>
      <w:r w:rsidR="00930174" w:rsidRPr="0056498E">
        <w:rPr>
          <w:i/>
        </w:rPr>
        <w:t>Wie</w:t>
      </w:r>
      <w:r w:rsidR="00930174">
        <w:t xml:space="preserve">) </w:t>
      </w:r>
      <w:r w:rsidR="00930174" w:rsidRPr="0056498E">
        <w:t xml:space="preserve">moderního </w:t>
      </w:r>
      <w:r w:rsidR="00930174">
        <w:t xml:space="preserve">bůh </w:t>
      </w:r>
      <w:r w:rsidR="00930174" w:rsidRPr="0056498E">
        <w:t>myslí sám ze sebe, v neko</w:t>
      </w:r>
      <w:r w:rsidR="00930174">
        <w:t>nečném, ale srozumitelném modu „</w:t>
      </w:r>
      <w:r w:rsidR="00930174" w:rsidRPr="0056498E">
        <w:rPr>
          <w:i/>
        </w:rPr>
        <w:t>quoad nos</w:t>
      </w:r>
      <w:r w:rsidR="00930174">
        <w:t>“</w:t>
      </w:r>
      <w:r w:rsidR="00930174" w:rsidRPr="0056498E">
        <w:t xml:space="preserve">. Nevíme, jak </w:t>
      </w:r>
      <w:r w:rsidR="00930174">
        <w:t xml:space="preserve">bůh </w:t>
      </w:r>
      <w:r w:rsidR="00930174" w:rsidRPr="0056498E">
        <w:t xml:space="preserve">myslí v sobě samém. Scotus definitivně oddělil svou objektivní metafyziku od neoplatónské konstrukce svých předchůdců. </w:t>
      </w:r>
      <w:r w:rsidR="00930174">
        <w:t xml:space="preserve">Moderní bůh se stal ve Scotově antropomorfním modu prvním objektivně-moderním člověkem. Pod vedením deduktivně-objektivních Fúrií vznikl objektivní akademický diakosmos daný jako výsledný produkt zcela oddělené boží </w:t>
      </w:r>
      <w:r w:rsidR="00930174" w:rsidRPr="08E239CB">
        <w:rPr>
          <w:i/>
        </w:rPr>
        <w:t>scholé</w:t>
      </w:r>
      <w:r w:rsidR="00930174">
        <w:t xml:space="preserve">. Scotus vytvořil absolutního garanta objektivní racionality v modu metafyzického </w:t>
      </w:r>
      <w:r w:rsidR="00930174" w:rsidRPr="08663D2F">
        <w:rPr>
          <w:i/>
        </w:rPr>
        <w:t>Gründung</w:t>
      </w:r>
      <w:r w:rsidR="00930174">
        <w:rPr>
          <w:i/>
        </w:rPr>
        <w:fldChar w:fldCharType="begin"/>
      </w:r>
      <w:r w:rsidR="00930174">
        <w:instrText xml:space="preserve"> XE "</w:instrText>
      </w:r>
      <w:r w:rsidR="00930174" w:rsidRPr="00317F7B">
        <w:instrText>metafyzika</w:instrText>
      </w:r>
      <w:r w:rsidR="00930174" w:rsidRPr="009E66F3">
        <w:rPr>
          <w:i/>
        </w:rPr>
        <w:instrText>:Gründung</w:instrText>
      </w:r>
      <w:r w:rsidR="00930174">
        <w:instrText xml:space="preserve">" </w:instrText>
      </w:r>
      <w:r w:rsidR="00930174">
        <w:rPr>
          <w:i/>
        </w:rPr>
        <w:fldChar w:fldCharType="end"/>
      </w:r>
      <w:r w:rsidR="00930174">
        <w:t xml:space="preserve"> a potvrdil tezi </w:t>
      </w:r>
      <w:r w:rsidR="00930174" w:rsidRPr="08005C94">
        <w:rPr>
          <w:i/>
        </w:rPr>
        <w:t>Metafyziky</w:t>
      </w:r>
      <w:r w:rsidR="00930174">
        <w:t xml:space="preserve"> o odděleném Nehybném Hybateli z knihy </w:t>
      </w:r>
      <w:r w:rsidR="00930174" w:rsidRPr="08005C94">
        <w:rPr>
          <w:i/>
        </w:rPr>
        <w:t>Lambda</w:t>
      </w:r>
      <w:r w:rsidR="00930174">
        <w:t xml:space="preserve">. Bůh jako stvořitel je oddělen od moderního boha jako objektivního myslitele. Tento exemplární objektivní scholastik má přímé vidění své racionality skrze nekonečný intelektuální náhled. </w:t>
      </w:r>
      <w:r w:rsidR="00C95A25">
        <w:t xml:space="preserve">Člověk má pouze nepřímé vědění božího nekonečného vidění, protože naše poznání je dané skrze konečné deduktivní uvažování. </w:t>
      </w:r>
      <w:r w:rsidR="00930174">
        <w:t xml:space="preserve">Zcela oddělený inteligibilní kapitál daný božím myšlením </w:t>
      </w:r>
      <w:r w:rsidR="00930174" w:rsidRPr="086F3C09">
        <w:rPr>
          <w:i/>
        </w:rPr>
        <w:t>ad intra</w:t>
      </w:r>
      <w:r w:rsidR="00930174">
        <w:t xml:space="preserve"> je pro nás přístupný </w:t>
      </w:r>
      <w:r w:rsidR="00930174" w:rsidRPr="086F3C09">
        <w:rPr>
          <w:i/>
        </w:rPr>
        <w:t>ad extra</w:t>
      </w:r>
      <w:r w:rsidR="00930174">
        <w:t xml:space="preserve"> tím, že se vyzařuje do stvoření formou racionální nutnosti, která představuje objektivní závěr boží </w:t>
      </w:r>
      <w:r w:rsidR="00930174" w:rsidRPr="085477EE">
        <w:rPr>
          <w:i/>
        </w:rPr>
        <w:t>scholé</w:t>
      </w:r>
      <w:r w:rsidR="00930174">
        <w:t xml:space="preserve">. Scotův scholastický bůh koncipovaný ještě v Oxfordu se stal na Pařížské univerzitě okolo roku 1300 exemplárním moderním intelektuálem. A smrt této podivuhodné bytosti nakonec zničila Pařížskou univerzitu v 18. století. </w:t>
      </w:r>
      <w:r w:rsidR="00930174" w:rsidRPr="00D47414">
        <w:t xml:space="preserve">Oxfordská univerzita žije z této mytologické mrtvoly objektivně velmi dobře </w:t>
      </w:r>
      <w:r w:rsidR="00930174">
        <w:t xml:space="preserve">až </w:t>
      </w:r>
      <w:r w:rsidR="00930174" w:rsidRPr="00D47414">
        <w:t xml:space="preserve">dodnes. </w:t>
      </w:r>
      <w:r w:rsidR="00930174" w:rsidRPr="00040D35">
        <w:t xml:space="preserve">Archaická hermeneutika se </w:t>
      </w:r>
      <w:r w:rsidR="00930174">
        <w:t>řídí</w:t>
      </w:r>
      <w:r w:rsidR="00930174" w:rsidRPr="00040D35">
        <w:t xml:space="preserve"> perspektivou </w:t>
      </w:r>
      <w:r w:rsidR="00930174" w:rsidRPr="00040D35">
        <w:rPr>
          <w:i/>
        </w:rPr>
        <w:t>alétheia</w:t>
      </w:r>
      <w:r w:rsidR="00930174">
        <w:t>, kterou nabízí božské M</w:t>
      </w:r>
      <w:r w:rsidR="00930174" w:rsidRPr="00040D35">
        <w:t xml:space="preserve">úzy. </w:t>
      </w:r>
      <w:r w:rsidR="00930174">
        <w:t>Z hlediska takto dané perspektivy</w:t>
      </w:r>
      <w:r w:rsidR="00930174" w:rsidRPr="00040D35">
        <w:t xml:space="preserve"> </w:t>
      </w:r>
      <w:r w:rsidR="00930174">
        <w:t>představuje Scotova verze O</w:t>
      </w:r>
      <w:r w:rsidR="00930174" w:rsidRPr="00040D35">
        <w:t>xfordského bludu objektivní verzi Osirisova mýtu.</w:t>
      </w:r>
      <w:r w:rsidR="00930174">
        <w:t xml:space="preserve"> První moderní (a proto manický) akademi</w:t>
      </w:r>
      <w:r w:rsidR="00930174" w:rsidRPr="00D47414">
        <w:t>k</w:t>
      </w:r>
      <w:r w:rsidR="00930174">
        <w:t xml:space="preserve"> Set </w:t>
      </w:r>
      <w:r w:rsidR="00930174" w:rsidRPr="00D47414">
        <w:t xml:space="preserve">rozebral Osirisovo </w:t>
      </w:r>
      <w:r w:rsidR="00930174">
        <w:t xml:space="preserve">mrtvé </w:t>
      </w:r>
      <w:r w:rsidR="00930174" w:rsidRPr="00D47414">
        <w:t>těl</w:t>
      </w:r>
      <w:r w:rsidR="00930174">
        <w:t>o na části, aby vybudoval</w:t>
      </w:r>
      <w:r w:rsidR="00930174" w:rsidRPr="00D47414">
        <w:t xml:space="preserve"> úspěšné pobočky Oxf</w:t>
      </w:r>
      <w:r w:rsidR="00930174">
        <w:t>ordské univerzity v Novém světě.</w:t>
      </w:r>
      <w:r w:rsidR="0045374D">
        <w:t xml:space="preserve"> </w:t>
      </w:r>
      <w:r w:rsidR="0045374D" w:rsidRPr="0045374D">
        <w:t>Tímto objekt</w:t>
      </w:r>
      <w:r w:rsidR="0045374D">
        <w:t>ivním způsobem si nihilistické F</w:t>
      </w:r>
      <w:r w:rsidR="0045374D" w:rsidRPr="0045374D">
        <w:t xml:space="preserve">úrie definitivně zajistily kult akademické </w:t>
      </w:r>
      <w:r w:rsidR="008375AD">
        <w:t xml:space="preserve">a plně </w:t>
      </w:r>
      <w:r w:rsidR="0045374D" w:rsidRPr="0045374D">
        <w:t>intelektuální plodnosti.</w:t>
      </w:r>
    </w:p>
    <w:p w:rsidR="00906CD9" w:rsidRDefault="08163013" w:rsidP="00A97CF4">
      <w:pPr>
        <w:ind w:firstLine="397"/>
      </w:pPr>
      <w:r>
        <w:t xml:space="preserve">Nová forma metafyziky bohu </w:t>
      </w:r>
      <w:r w:rsidRPr="00B36227">
        <w:rPr>
          <w:i/>
        </w:rPr>
        <w:t>Modernorum</w:t>
      </w:r>
      <w:r>
        <w:t xml:space="preserve"> dovolila, aby byl </w:t>
      </w:r>
      <w:r w:rsidR="00D551D9">
        <w:t xml:space="preserve">sám sebou, </w:t>
      </w:r>
      <w:r>
        <w:t>ve své esenciální intimitě inte</w:t>
      </w:r>
      <w:r w:rsidR="00D551D9">
        <w:t>lektu a stvořitelsky činné vůle</w:t>
      </w:r>
      <w:r w:rsidR="00F13418">
        <w:t>. Ale je zavázán</w:t>
      </w:r>
      <w:r w:rsidR="00C0586C">
        <w:t xml:space="preserve">, aby </w:t>
      </w:r>
      <w:r w:rsidR="00F13418">
        <w:t>pos</w:t>
      </w:r>
      <w:r w:rsidR="00C0586C">
        <w:t>ílal</w:t>
      </w:r>
      <w:r w:rsidR="00F13418">
        <w:t xml:space="preserve"> do světa </w:t>
      </w:r>
      <w:r>
        <w:t>poznatelnou formu své sylogistické racionality. Druhý krok založil novou formu objektivní dedukce božích pravd do stvoření. Racionalita univoční nutnosti tvoří spoj</w:t>
      </w:r>
      <w:r w:rsidR="0092126E">
        <w:t xml:space="preserve">nici </w:t>
      </w:r>
      <w:r>
        <w:t xml:space="preserve">mezi boží nekonečností a </w:t>
      </w:r>
      <w:r>
        <w:lastRenderedPageBreak/>
        <w:t xml:space="preserve">konečným stvořením. Bůh je od světa </w:t>
      </w:r>
      <w:r w:rsidR="0000104D">
        <w:t xml:space="preserve">objektivně </w:t>
      </w:r>
      <w:r>
        <w:t xml:space="preserve">oddělen, exemplarem je jeho nekonečný intelekt spojený s boží esencí. My poznáváme jeho objektivní </w:t>
      </w:r>
      <w:r w:rsidR="00284E2B">
        <w:t xml:space="preserve">intelektuální </w:t>
      </w:r>
      <w:r>
        <w:t xml:space="preserve">produkci. </w:t>
      </w:r>
      <w:r w:rsidR="005C094B">
        <w:t xml:space="preserve">Tato deduktivní forma objektivní boží racionality je </w:t>
      </w:r>
      <w:r w:rsidR="005C094B" w:rsidRPr="00273106">
        <w:t>vyzářen</w:t>
      </w:r>
      <w:r w:rsidR="005C094B">
        <w:t>a</w:t>
      </w:r>
      <w:r w:rsidR="005C094B" w:rsidRPr="00273106">
        <w:t xml:space="preserve"> do kontigentního </w:t>
      </w:r>
      <w:r w:rsidR="005C094B">
        <w:t xml:space="preserve">světa jako </w:t>
      </w:r>
      <w:r w:rsidR="00553DE3">
        <w:t>„</w:t>
      </w:r>
      <w:r w:rsidR="005C094B" w:rsidRPr="00273106">
        <w:rPr>
          <w:i/>
        </w:rPr>
        <w:t>lux aeterna</w:t>
      </w:r>
      <w:r w:rsidR="00553DE3">
        <w:t>“</w:t>
      </w:r>
      <w:r w:rsidR="005C094B">
        <w:t xml:space="preserve">, protože boží světlo symbolizuje univerzálně nutný charakter těchto pravd. </w:t>
      </w:r>
      <w:r>
        <w:t>Nová metafyzika představuje systém dedukce objektivity od odděleného boha ke stvoření. S</w:t>
      </w:r>
      <w:r w:rsidRPr="00273106">
        <w:t xml:space="preserve">tvoření je </w:t>
      </w:r>
      <w:r>
        <w:t xml:space="preserve">reprezentací </w:t>
      </w:r>
      <w:r w:rsidRPr="00273106">
        <w:t xml:space="preserve">těchto </w:t>
      </w:r>
      <w:r>
        <w:t xml:space="preserve">nutných </w:t>
      </w:r>
      <w:r w:rsidRPr="00273106">
        <w:t xml:space="preserve">pravd, protože bytí </w:t>
      </w:r>
      <w:r>
        <w:t xml:space="preserve">stvořeného </w:t>
      </w:r>
      <w:r w:rsidRPr="00273106">
        <w:t>jsoucna v sobě nese objektivní ratio dané od věčného exemplaru</w:t>
      </w:r>
      <w:r>
        <w:t>. Gandav</w:t>
      </w:r>
      <w:r w:rsidR="001F3BEC">
        <w:t>us vytvořil tento model pomocí dvou modů (kap. 5.2.3) konceptu „</w:t>
      </w:r>
      <w:r w:rsidRPr="002F6DA8">
        <w:rPr>
          <w:i/>
        </w:rPr>
        <w:t>esse ad</w:t>
      </w:r>
      <w:r w:rsidR="001F3BEC">
        <w:t>“</w:t>
      </w:r>
      <w:r>
        <w:rPr>
          <w:i/>
        </w:rPr>
        <w:fldChar w:fldCharType="begin"/>
      </w:r>
      <w:r>
        <w:instrText xml:space="preserve"> XE "</w:instrText>
      </w:r>
      <w:r w:rsidRPr="008F3381">
        <w:rPr>
          <w:i/>
        </w:rPr>
        <w:instrText>esse ad:</w:instrText>
      </w:r>
      <w:r>
        <w:instrText xml:space="preserve">Gandavus" </w:instrText>
      </w:r>
      <w:r>
        <w:rPr>
          <w:i/>
        </w:rPr>
        <w:fldChar w:fldCharType="end"/>
      </w:r>
      <w:r w:rsidR="001F3BEC">
        <w:t>. Scotus to</w:t>
      </w:r>
      <w:r w:rsidR="0012135B">
        <w:t>to schéma n</w:t>
      </w:r>
      <w:r>
        <w:t>ahradil rozdíl</w:t>
      </w:r>
      <w:r w:rsidR="0012135B">
        <w:t>em</w:t>
      </w:r>
      <w:r>
        <w:t xml:space="preserve"> mezi intelektuální</w:t>
      </w:r>
      <w:r w:rsidR="0012135B">
        <w:t xml:space="preserve"> produkcí </w:t>
      </w:r>
      <w:r>
        <w:t>boha (</w:t>
      </w:r>
      <w:r w:rsidRPr="00DE185D">
        <w:rPr>
          <w:i/>
        </w:rPr>
        <w:t>esse intelligibile</w:t>
      </w:r>
      <w:r>
        <w:rPr>
          <w:i/>
        </w:rPr>
        <w:fldChar w:fldCharType="begin"/>
      </w:r>
      <w:r>
        <w:instrText xml:space="preserve"> XE "objektivita:</w:instrText>
      </w:r>
      <w:r w:rsidRPr="00361AD5">
        <w:rPr>
          <w:i/>
        </w:rPr>
        <w:instrText>esse intelligibile</w:instrText>
      </w:r>
      <w:r>
        <w:instrText xml:space="preserve">" </w:instrText>
      </w:r>
      <w:r>
        <w:rPr>
          <w:i/>
        </w:rPr>
        <w:fldChar w:fldCharType="end"/>
      </w:r>
      <w:r>
        <w:rPr>
          <w:i/>
        </w:rPr>
        <w:t>, exemplar</w:t>
      </w:r>
      <w:r>
        <w:t xml:space="preserve">) a </w:t>
      </w:r>
      <w:r w:rsidR="0012135B">
        <w:t xml:space="preserve">manifestovaným </w:t>
      </w:r>
      <w:r>
        <w:t>objektivním závěrem jeho úsudku</w:t>
      </w:r>
      <w:r w:rsidR="0012135B">
        <w:t>, který je poznatelný ve světě</w:t>
      </w:r>
      <w:r>
        <w:t xml:space="preserve">. Místo subsistentní formy </w:t>
      </w:r>
      <w:r w:rsidR="0034602F">
        <w:t>„</w:t>
      </w:r>
      <w:r w:rsidRPr="00DF3302">
        <w:rPr>
          <w:i/>
        </w:rPr>
        <w:t>esse ad</w:t>
      </w:r>
      <w:r w:rsidR="0034602F">
        <w:t>“</w:t>
      </w:r>
      <w:r>
        <w:rPr>
          <w:i/>
        </w:rPr>
        <w:fldChar w:fldCharType="begin"/>
      </w:r>
      <w:r>
        <w:instrText xml:space="preserve"> XE "</w:instrText>
      </w:r>
      <w:r w:rsidRPr="008F3381">
        <w:rPr>
          <w:i/>
        </w:rPr>
        <w:instrText>esse ad:</w:instrText>
      </w:r>
      <w:r>
        <w:instrText xml:space="preserve">Gandavus" </w:instrText>
      </w:r>
      <w:r>
        <w:rPr>
          <w:i/>
        </w:rPr>
        <w:fldChar w:fldCharType="end"/>
      </w:r>
      <w:r>
        <w:t xml:space="preserve"> dané boží intencí funguje směrem do světa jen oblast věčných pravd jako nutných kosmických regulí. Ty </w:t>
      </w:r>
      <w:r>
        <w:fldChar w:fldCharType="begin"/>
      </w:r>
      <w:r>
        <w:instrText xml:space="preserve"> XE "</w:instrText>
      </w:r>
      <w:r w:rsidRPr="00B065F6">
        <w:instrText>regule:objektivní</w:instrText>
      </w:r>
      <w:r>
        <w:instrText xml:space="preserve">" </w:instrText>
      </w:r>
      <w:r>
        <w:fldChar w:fldCharType="end"/>
      </w:r>
      <w:r>
        <w:t xml:space="preserve"> jsou určeny nikoliv Bonventurovou či Oliviho vůlí, ale Aristotelovým </w:t>
      </w:r>
      <w:r w:rsidRPr="00A94FE0">
        <w:rPr>
          <w:i/>
        </w:rPr>
        <w:t>demonstratio</w:t>
      </w:r>
      <w:r>
        <w:rPr>
          <w:i/>
        </w:rPr>
        <w:fldChar w:fldCharType="begin"/>
      </w:r>
      <w:r>
        <w:instrText xml:space="preserve"> XE "</w:instrText>
      </w:r>
      <w:r w:rsidRPr="004E6075">
        <w:rPr>
          <w:i/>
        </w:rPr>
        <w:instrText>demonstratio:</w:instrText>
      </w:r>
      <w:r w:rsidRPr="00A61BB4">
        <w:instrText>Scotus</w:instrText>
      </w:r>
      <w:r>
        <w:instrText xml:space="preserve">" </w:instrText>
      </w:r>
      <w:r>
        <w:rPr>
          <w:i/>
        </w:rPr>
        <w:fldChar w:fldCharType="end"/>
      </w:r>
      <w:r>
        <w:t xml:space="preserve"> podle </w:t>
      </w:r>
      <w:r w:rsidRPr="084E3A84">
        <w:rPr>
          <w:i/>
        </w:rPr>
        <w:t>Druhých analytik</w:t>
      </w:r>
      <w:r>
        <w:t xml:space="preserve">. Avicennův emanační model činného kosmického intelektu jako </w:t>
      </w:r>
      <w:r w:rsidR="001342FE">
        <w:rPr>
          <w:i/>
        </w:rPr>
        <w:t>dator formarum</w:t>
      </w:r>
      <w:r>
        <w:rPr>
          <w:i/>
        </w:rPr>
        <w:fldChar w:fldCharType="begin"/>
      </w:r>
      <w:r>
        <w:instrText xml:space="preserve"> XE "</w:instrText>
      </w:r>
      <w:r w:rsidR="001342FE">
        <w:rPr>
          <w:i/>
        </w:rPr>
        <w:instrText>dator formarum</w:instrText>
      </w:r>
      <w:r>
        <w:instrText xml:space="preserve">" </w:instrText>
      </w:r>
      <w:r>
        <w:rPr>
          <w:i/>
        </w:rPr>
        <w:fldChar w:fldCharType="end"/>
      </w:r>
      <w:r>
        <w:t xml:space="preserve"> dostal moderní podobu objektivní racionality, kterou v postmoderně přebrala logika, matematika a fyzika</w:t>
      </w:r>
      <w:r>
        <w:fldChar w:fldCharType="begin"/>
      </w:r>
      <w:r>
        <w:instrText xml:space="preserve"> XE "</w:instrText>
      </w:r>
      <w:r w:rsidRPr="00DC040D">
        <w:instrText>matematika</w:instrText>
      </w:r>
      <w:r>
        <w:instrText xml:space="preserve">" </w:instrText>
      </w:r>
      <w:r>
        <w:fldChar w:fldCharType="end"/>
      </w:r>
      <w:r>
        <w:t xml:space="preserve">. </w:t>
      </w:r>
      <w:r w:rsidR="00EC6A22">
        <w:t xml:space="preserve">Scotus pozoruje </w:t>
      </w:r>
      <w:r>
        <w:t xml:space="preserve">způsobu myšlení </w:t>
      </w:r>
      <w:r w:rsidR="00EC6A22">
        <w:t xml:space="preserve">moderního </w:t>
      </w:r>
      <w:r>
        <w:t xml:space="preserve">boha jasně a správně, </w:t>
      </w:r>
      <w:r w:rsidR="00EC6A22">
        <w:t xml:space="preserve">protože toto myšlení se univočně manifestuje ve světě. Exemplární boží racionalita nahradila boží kauzalitu danou v modu </w:t>
      </w:r>
      <w:r w:rsidR="00EC6A22" w:rsidRPr="00EC6A22">
        <w:rPr>
          <w:i/>
        </w:rPr>
        <w:t>causa prima</w:t>
      </w:r>
      <w:r w:rsidR="00EC6A22">
        <w:t xml:space="preserve">, kterou měl první averroismus. </w:t>
      </w:r>
      <w:r w:rsidR="00300CC6">
        <w:t xml:space="preserve">Bůh má modus nekonečného poznání v aktu intelektuální intuice, ale my jsme schopni dělat konečné racionální závěry na úrovni </w:t>
      </w:r>
      <w:r w:rsidR="00300CC6" w:rsidRPr="08A07142">
        <w:rPr>
          <w:i/>
        </w:rPr>
        <w:t>metaphysica generalis</w:t>
      </w:r>
      <w:r w:rsidR="00300CC6">
        <w:t xml:space="preserve">. </w:t>
      </w:r>
      <w:r>
        <w:t xml:space="preserve">Proto můžeme poznat </w:t>
      </w:r>
      <w:r w:rsidR="00300CC6">
        <w:t>také nereálné</w:t>
      </w:r>
      <w:r w:rsidR="007F0256">
        <w:t xml:space="preserve"> objektivní jsoucno, viz výše uvedený příklad neexistujícího slunce a objektivně daného slunečního světla (kap. 5.3.2). Stačí, když bůh slunce myslí jako nutnou pravdu a takto vytvořený racionální úsudek zajišťuje objektivní poznání pro konečný intelekt. </w:t>
      </w:r>
      <w:r>
        <w:t>Objektivní univocita je v této formě dedukce vztaže</w:t>
      </w:r>
      <w:r w:rsidR="00CC087F">
        <w:t>ná pouze ke společnému způsobu, jak</w:t>
      </w:r>
      <w:r>
        <w:t xml:space="preserve"> myslí bůh i člověk jako dvě racionální bytosti, které </w:t>
      </w:r>
      <w:r w:rsidR="00CC087F">
        <w:t>ne</w:t>
      </w:r>
      <w:r>
        <w:t xml:space="preserve">jsou </w:t>
      </w:r>
      <w:r w:rsidR="00CC087F">
        <w:t xml:space="preserve">stejné z hlediska jejich </w:t>
      </w:r>
      <w:r>
        <w:t xml:space="preserve">bytí. Tato verze dedukce zakládá objektivní metafyziku </w:t>
      </w:r>
      <w:r w:rsidR="00AB3342">
        <w:t xml:space="preserve">založenou na </w:t>
      </w:r>
      <w:r>
        <w:t xml:space="preserve">jedné </w:t>
      </w:r>
      <w:r w:rsidR="00AB3342">
        <w:t>unifikované pravdě</w:t>
      </w:r>
      <w:r>
        <w:t xml:space="preserve">. Objektivita již </w:t>
      </w:r>
      <w:r w:rsidRPr="00273106">
        <w:t xml:space="preserve">není Simplikiovým a Gandavovým substancializovaným vztahem </w:t>
      </w:r>
      <w:r>
        <w:t xml:space="preserve">vyvedeným z boží esence </w:t>
      </w:r>
      <w:r w:rsidR="00AB3342">
        <w:t xml:space="preserve">skrze </w:t>
      </w:r>
      <w:r>
        <w:t>neoplatonské emanac</w:t>
      </w:r>
      <w:r w:rsidR="00906CD9">
        <w:t>e nebo avicennistické komitace.</w:t>
      </w:r>
    </w:p>
    <w:p w:rsidR="08163013" w:rsidRDefault="08163013" w:rsidP="00E05121">
      <w:pPr>
        <w:ind w:firstLine="397"/>
      </w:pPr>
      <w:r>
        <w:t xml:space="preserve">Scotus </w:t>
      </w:r>
      <w:r w:rsidR="00631B88">
        <w:t>vy</w:t>
      </w:r>
      <w:r>
        <w:t xml:space="preserve">tvořil nového boha </w:t>
      </w:r>
      <w:r w:rsidRPr="08513351">
        <w:rPr>
          <w:i/>
        </w:rPr>
        <w:t>Modernorum</w:t>
      </w:r>
      <w:r>
        <w:t xml:space="preserve">. </w:t>
      </w:r>
      <w:r w:rsidR="00EC1240">
        <w:t>Objektivní</w:t>
      </w:r>
      <w:r w:rsidR="00701191">
        <w:t xml:space="preserve"> </w:t>
      </w:r>
      <w:r w:rsidR="00E6145B">
        <w:t xml:space="preserve">boží </w:t>
      </w:r>
      <w:r>
        <w:t>kapitál</w:t>
      </w:r>
      <w:r>
        <w:fldChar w:fldCharType="begin"/>
      </w:r>
      <w:r>
        <w:instrText xml:space="preserve"> XE "</w:instrText>
      </w:r>
      <w:r w:rsidRPr="000703DD">
        <w:instrText>kapitál</w:instrText>
      </w:r>
      <w:r>
        <w:instrText xml:space="preserve">" </w:instrText>
      </w:r>
      <w:r>
        <w:fldChar w:fldCharType="end"/>
      </w:r>
      <w:r>
        <w:t xml:space="preserve"> </w:t>
      </w:r>
      <w:r w:rsidR="00EC1240">
        <w:t xml:space="preserve">nyní </w:t>
      </w:r>
      <w:r w:rsidR="00E6145B">
        <w:t>spočívá ve s</w:t>
      </w:r>
      <w:r>
        <w:t>pekulativní</w:t>
      </w:r>
      <w:r w:rsidR="00E6145B">
        <w:t>m</w:t>
      </w:r>
      <w:r>
        <w:t xml:space="preserve"> myšlení</w:t>
      </w:r>
      <w:r w:rsidR="00C30DD7">
        <w:t xml:space="preserve"> a h</w:t>
      </w:r>
      <w:r>
        <w:t xml:space="preserve">lavní činností </w:t>
      </w:r>
      <w:r w:rsidR="00E6145B">
        <w:t xml:space="preserve">moderního boha </w:t>
      </w:r>
      <w:r>
        <w:t xml:space="preserve">je </w:t>
      </w:r>
      <w:r w:rsidR="00E6145B">
        <w:t>ontologická medi</w:t>
      </w:r>
      <w:r>
        <w:t xml:space="preserve">ace </w:t>
      </w:r>
      <w:r w:rsidR="00E6145B">
        <w:lastRenderedPageBreak/>
        <w:t xml:space="preserve">nutného myšlení </w:t>
      </w:r>
      <w:r w:rsidR="00E6145B" w:rsidRPr="00E6145B">
        <w:rPr>
          <w:i/>
        </w:rPr>
        <w:t>ad extra</w:t>
      </w:r>
      <w:r w:rsidR="00C30DD7">
        <w:t>. O</w:t>
      </w:r>
      <w:r w:rsidR="00E6145B">
        <w:t xml:space="preserve">bjektivní </w:t>
      </w:r>
      <w:r>
        <w:t xml:space="preserve">stvoření vzniká jako vedlejší intelektuální produkt osvícené činnosti </w:t>
      </w:r>
      <w:r w:rsidR="00C30DD7">
        <w:t>exemplárního intelektu. P</w:t>
      </w:r>
      <w:r w:rsidR="00E6145B">
        <w:t>okud se k tomuto procesu připojí i nekonečná boží vůle</w:t>
      </w:r>
      <w:r w:rsidR="00C30DD7">
        <w:t xml:space="preserve">, pak </w:t>
      </w:r>
      <w:r w:rsidR="00E6145B">
        <w:t xml:space="preserve">dojde k reálnému stvoření. </w:t>
      </w:r>
      <w:r>
        <w:t xml:space="preserve">Radostná věda modernistů vedená akademickými Fúriemi v Oxfordu i v Paříži se nutně a objektivně </w:t>
      </w:r>
      <w:r w:rsidR="00EF37A4">
        <w:t xml:space="preserve">završila </w:t>
      </w:r>
      <w:r>
        <w:t xml:space="preserve">ve Scotově </w:t>
      </w:r>
      <w:r w:rsidR="00E05121">
        <w:t xml:space="preserve">metafyzické dedukci. </w:t>
      </w:r>
      <w:r w:rsidR="00F146EC">
        <w:t xml:space="preserve">Nová metafyzika pohrdla reálným světem a vytvořila neexistujícího božského inteletuála s jemu vlastní </w:t>
      </w:r>
      <w:r w:rsidR="00F146EC" w:rsidRPr="00F146EC">
        <w:rPr>
          <w:i/>
        </w:rPr>
        <w:t>regula agentis increati</w:t>
      </w:r>
      <w:r w:rsidR="00082EAA">
        <w:t>, což boží racionalita.</w:t>
      </w:r>
      <w:r w:rsidR="00F146EC">
        <w:t xml:space="preserve"> Podle této regule pak </w:t>
      </w:r>
      <w:r w:rsidR="00082EAA">
        <w:t xml:space="preserve">nutně a evidentně </w:t>
      </w:r>
      <w:r w:rsidR="00F146EC">
        <w:t xml:space="preserve">dedukuje bytí objektivně určeného světa platného pro objektivně založenou </w:t>
      </w:r>
      <w:r w:rsidR="00F146EC" w:rsidRPr="00F146EC">
        <w:rPr>
          <w:i/>
        </w:rPr>
        <w:t>intelli</w:t>
      </w:r>
      <w:r w:rsidR="00F146EC">
        <w:rPr>
          <w:i/>
        </w:rPr>
        <w:t xml:space="preserve">gentia </w:t>
      </w:r>
      <w:r w:rsidR="00F146EC" w:rsidRPr="00F146EC">
        <w:rPr>
          <w:i/>
        </w:rPr>
        <w:t>spiritualis</w:t>
      </w:r>
      <w:r w:rsidR="00082EAA">
        <w:t xml:space="preserve">. Tato nová skupina iluminátů </w:t>
      </w:r>
      <w:r w:rsidR="00F146EC">
        <w:t xml:space="preserve">si po </w:t>
      </w:r>
      <w:r w:rsidR="00082EAA">
        <w:t>vzoru Scota</w:t>
      </w:r>
      <w:r w:rsidR="00F146EC">
        <w:t xml:space="preserve"> vytvořila vlastní </w:t>
      </w:r>
      <w:r w:rsidR="00F146EC" w:rsidRPr="00F146EC">
        <w:rPr>
          <w:i/>
        </w:rPr>
        <w:t>regula agentis creati</w:t>
      </w:r>
      <w:r w:rsidR="00F146EC">
        <w:t>.</w:t>
      </w:r>
      <w:r w:rsidR="00082EAA">
        <w:t xml:space="preserve"> Ockham jako poslední velký znalec prvního avrroismu pozoroval </w:t>
      </w:r>
      <w:r w:rsidR="00F146EC">
        <w:t>celou tuto tragikomedii</w:t>
      </w:r>
      <w:r w:rsidR="00082EAA">
        <w:t xml:space="preserve"> a Scotovu dedukci zru</w:t>
      </w:r>
      <w:r w:rsidR="00F146EC">
        <w:t xml:space="preserve">šil jako nesmyslnou. </w:t>
      </w:r>
      <w:r>
        <w:t xml:space="preserve">Objektivní mytopoetika božího uvažování (a nikoliv psychiky jako předtím) se sofisticky naroubovala na deduktivní postup </w:t>
      </w:r>
      <w:r w:rsidRPr="087422DF">
        <w:rPr>
          <w:i/>
        </w:rPr>
        <w:t>Druhých analytik</w:t>
      </w:r>
      <w:r>
        <w:t xml:space="preserve">. Modernisté vzali tento božský idol za hlavní totem akademického kmene </w:t>
      </w:r>
      <w:r w:rsidR="00747ED7" w:rsidRPr="00747ED7">
        <w:rPr>
          <w:i/>
        </w:rPr>
        <w:t>sophistae</w:t>
      </w:r>
      <w:r w:rsidR="00747ED7">
        <w:t xml:space="preserve"> </w:t>
      </w:r>
      <w:r w:rsidRPr="08BF69D3">
        <w:rPr>
          <w:i/>
        </w:rPr>
        <w:t>Latinorum</w:t>
      </w:r>
      <w:r>
        <w:t xml:space="preserve"> podle projekčního mechanismu výše popsané kulturní hegemonie</w:t>
      </w:r>
      <w:r>
        <w:fldChar w:fldCharType="begin"/>
      </w:r>
      <w:r>
        <w:instrText xml:space="preserve"> XE "</w:instrText>
      </w:r>
      <w:r w:rsidRPr="089B7571">
        <w:instrText>kulturní hegemonie</w:instrText>
      </w:r>
      <w:r>
        <w:instrText xml:space="preserve">" </w:instrText>
      </w:r>
      <w:r>
        <w:fldChar w:fldCharType="end"/>
      </w:r>
      <w:r>
        <w:t xml:space="preserve"> a relativní utopie</w:t>
      </w:r>
      <w:r>
        <w:fldChar w:fldCharType="begin"/>
      </w:r>
      <w:r>
        <w:instrText xml:space="preserve"> XE "</w:instrText>
      </w:r>
      <w:r w:rsidRPr="089B7571">
        <w:instrText>relativní utopie</w:instrText>
      </w:r>
      <w:r>
        <w:instrText xml:space="preserve">" </w:instrText>
      </w:r>
      <w:r>
        <w:fldChar w:fldCharType="end"/>
      </w:r>
      <w:r w:rsidR="00E05121">
        <w:t xml:space="preserve"> (kap. 5.3.2</w:t>
      </w:r>
      <w:r>
        <w:t xml:space="preserve">). Objektivita se oddělila </w:t>
      </w:r>
      <w:r w:rsidR="00C543AD">
        <w:t xml:space="preserve">v podobě </w:t>
      </w:r>
      <w:r>
        <w:t>automní</w:t>
      </w:r>
      <w:r w:rsidR="00C543AD">
        <w:t>ho diakosmu</w:t>
      </w:r>
      <w:r>
        <w:t xml:space="preserve"> od božího intelektu a </w:t>
      </w:r>
      <w:r w:rsidRPr="00273106">
        <w:t>dostala nutný, n</w:t>
      </w:r>
      <w:r>
        <w:t>eměnný a pravdivý výměr</w:t>
      </w:r>
      <w:r w:rsidRPr="00273106">
        <w:t xml:space="preserve">. </w:t>
      </w:r>
      <w:r>
        <w:t xml:space="preserve">Bohem myšlené obsahy mají vlastní objektivní jsoucnost v modu prvního určení jsoucna </w:t>
      </w:r>
      <w:r w:rsidR="004D528A">
        <w:t xml:space="preserve">jako substance </w:t>
      </w:r>
      <w:r w:rsidR="00D56B28">
        <w:t xml:space="preserve">třetího druhu </w:t>
      </w:r>
      <w:r>
        <w:t>(</w:t>
      </w:r>
      <w:r w:rsidRPr="00F74DF5">
        <w:rPr>
          <w:i/>
        </w:rPr>
        <w:t>secundum qui</w:t>
      </w:r>
      <w:r w:rsidR="004D528A">
        <w:rPr>
          <w:i/>
        </w:rPr>
        <w:t>d</w:t>
      </w:r>
      <w:r w:rsidR="004D528A">
        <w:rPr>
          <w:i/>
        </w:rPr>
        <w:fldChar w:fldCharType="begin"/>
      </w:r>
      <w:r w:rsidR="004D528A">
        <w:instrText xml:space="preserve"> XE "esence:</w:instrText>
      </w:r>
      <w:r w:rsidR="004D528A" w:rsidRPr="00904B1D">
        <w:rPr>
          <w:i/>
        </w:rPr>
        <w:instrText>secundum quid</w:instrText>
      </w:r>
      <w:r w:rsidR="004D528A">
        <w:instrText xml:space="preserve">" </w:instrText>
      </w:r>
      <w:r w:rsidR="004D528A">
        <w:rPr>
          <w:i/>
        </w:rPr>
        <w:fldChar w:fldCharType="end"/>
      </w:r>
      <w:r>
        <w:t xml:space="preserve">). Racionalita deduktivního soudu je univoční v celém kosmu, protože bůh </w:t>
      </w:r>
      <w:r w:rsidRPr="087107AF">
        <w:rPr>
          <w:i/>
        </w:rPr>
        <w:t>Modernorum</w:t>
      </w:r>
      <w:r>
        <w:t xml:space="preserve"> je první objektivní vědec, který vidí tak, jak myslí a opačně. A boží myšlení představuje základní moderní kapitál reprezentovaný v modu konečnosti na rovině </w:t>
      </w:r>
      <w:r w:rsidRPr="08C25872">
        <w:rPr>
          <w:i/>
        </w:rPr>
        <w:t>vestigium</w:t>
      </w:r>
      <w:r>
        <w:t xml:space="preserve"> a </w:t>
      </w:r>
      <w:r w:rsidRPr="08C25872">
        <w:rPr>
          <w:i/>
        </w:rPr>
        <w:t>imago</w:t>
      </w:r>
      <w:r>
        <w:t>. Scotus stvořil nové simulákrum moderny ve formě intelektuálního demiurga</w:t>
      </w:r>
      <w:r w:rsidR="006C7D26">
        <w:t xml:space="preserve">. Ten </w:t>
      </w:r>
      <w:r w:rsidR="00E852AE">
        <w:t xml:space="preserve">nutně produkuje </w:t>
      </w:r>
      <w:r w:rsidR="006C7D26">
        <w:t xml:space="preserve">exemplární podobu racionality, která je </w:t>
      </w:r>
      <w:r>
        <w:t xml:space="preserve">objektivně </w:t>
      </w:r>
      <w:r w:rsidR="006C7D26">
        <w:t xml:space="preserve">daná </w:t>
      </w:r>
      <w:r>
        <w:t xml:space="preserve">ve stvoření jako </w:t>
      </w:r>
      <w:r w:rsidRPr="08DD1A0B">
        <w:rPr>
          <w:i/>
        </w:rPr>
        <w:t>imago</w:t>
      </w:r>
      <w:r>
        <w:t>.</w:t>
      </w:r>
    </w:p>
    <w:p w:rsidR="08163013" w:rsidRPr="00273106" w:rsidRDefault="08163013" w:rsidP="005C406B">
      <w:pPr>
        <w:ind w:firstLine="397"/>
      </w:pPr>
      <w:r w:rsidRPr="00273106">
        <w:t xml:space="preserve">Shrňme </w:t>
      </w:r>
      <w:r>
        <w:t xml:space="preserve">následující </w:t>
      </w:r>
      <w:r w:rsidRPr="00273106">
        <w:t>část traktátu</w:t>
      </w:r>
      <w:r>
        <w:t xml:space="preserve"> </w:t>
      </w:r>
      <w:r w:rsidRPr="00273106">
        <w:rPr>
          <w:rStyle w:val="addmd"/>
          <w:i/>
        </w:rPr>
        <w:t>De cognoscibilitate Dei</w:t>
      </w:r>
      <w:r w:rsidRPr="00273106">
        <w:rPr>
          <w:rStyle w:val="addmd"/>
        </w:rPr>
        <w:t xml:space="preserve"> </w:t>
      </w:r>
      <w:r>
        <w:rPr>
          <w:rStyle w:val="addmd"/>
        </w:rPr>
        <w:t xml:space="preserve">ve spise </w:t>
      </w:r>
      <w:r w:rsidR="008C2D4A" w:rsidRPr="008C2D4A">
        <w:rPr>
          <w:rStyle w:val="addmd"/>
          <w:i/>
        </w:rPr>
        <w:t>Ordinatio I</w:t>
      </w:r>
      <w:r w:rsidRPr="00273106">
        <w:t>, která podává přehled čtyř modů zjevování jsoucna v modu nově etablované objektivity (</w:t>
      </w:r>
      <w:r w:rsidRPr="088527C4">
        <w:rPr>
          <w:i/>
        </w:rPr>
        <w:t>Vat</w:t>
      </w:r>
      <w:r>
        <w:t>. III</w:t>
      </w:r>
      <w:r>
        <w:rPr>
          <w:rStyle w:val="addmd"/>
        </w:rPr>
        <w:t>,</w:t>
      </w:r>
      <w:r>
        <w:t xml:space="preserve"> </w:t>
      </w:r>
      <w:r w:rsidRPr="00273106">
        <w:t>no. 261‒67</w:t>
      </w:r>
      <w:r>
        <w:t>, pp. 160‒63</w:t>
      </w:r>
      <w:r>
        <w:fldChar w:fldCharType="begin"/>
      </w:r>
      <w:r>
        <w:instrText xml:space="preserve"> XE "Scotus:</w:instrText>
      </w:r>
      <w:r w:rsidRPr="00BC7ADB">
        <w:rPr>
          <w:i/>
        </w:rPr>
        <w:instrText>Ordinatio</w:instrText>
      </w:r>
      <w:r>
        <w:instrText xml:space="preserve"> 1.160‒63" </w:instrText>
      </w:r>
      <w:r>
        <w:fldChar w:fldCharType="end"/>
      </w:r>
      <w:r w:rsidRPr="00273106">
        <w:t xml:space="preserve">). Boží mysl je dána o </w:t>
      </w:r>
      <w:r>
        <w:t xml:space="preserve">sobě jako intelektuální esence a deduktivně </w:t>
      </w:r>
      <w:r w:rsidRPr="00273106">
        <w:t xml:space="preserve">myslí </w:t>
      </w:r>
      <w:r>
        <w:t xml:space="preserve">sama sebe </w:t>
      </w:r>
      <w:r w:rsidRPr="00273106">
        <w:t xml:space="preserve">ve formě </w:t>
      </w:r>
      <w:r w:rsidR="00E06A22">
        <w:t xml:space="preserve">exemplárně </w:t>
      </w:r>
      <w:r>
        <w:t>pravdivého závěru. Tento závěr je ve světě manifestován v objektivní podobě (</w:t>
      </w:r>
      <w:r w:rsidRPr="009E081B">
        <w:rPr>
          <w:i/>
        </w:rPr>
        <w:t>secundum quid</w:t>
      </w:r>
      <w:r>
        <w:t>). V</w:t>
      </w:r>
      <w:r w:rsidRPr="00273106">
        <w:t>ěčn</w:t>
      </w:r>
      <w:r>
        <w:t>é boží</w:t>
      </w:r>
      <w:r w:rsidRPr="00273106">
        <w:t xml:space="preserve"> pravd</w:t>
      </w:r>
      <w:r>
        <w:t xml:space="preserve">y jsou dány čistě imanentně v modu nekonečnosti, ale díky univocitě lidské a boží racionality jsou pro nás poznatelné i v našem konečném modu myšlení. Adekvační teorie pravdy postavená mimo iluminaci vyřešila </w:t>
      </w:r>
      <w:r w:rsidRPr="00273106">
        <w:t xml:space="preserve">přechod </w:t>
      </w:r>
      <w:r>
        <w:t xml:space="preserve">od </w:t>
      </w:r>
      <w:r w:rsidRPr="00273106">
        <w:t xml:space="preserve">boží objektivity </w:t>
      </w:r>
      <w:r>
        <w:t xml:space="preserve">k </w:t>
      </w:r>
      <w:r w:rsidRPr="00273106">
        <w:t>lidské</w:t>
      </w:r>
      <w:r>
        <w:t xml:space="preserve">mu </w:t>
      </w:r>
      <w:r w:rsidRPr="00273106">
        <w:t xml:space="preserve">poznání. </w:t>
      </w:r>
      <w:r>
        <w:t xml:space="preserve">Boží intimita obsahuje identitu intelektuální boží esence a jeho exemplárně kladoucího </w:t>
      </w:r>
      <w:r>
        <w:lastRenderedPageBreak/>
        <w:t xml:space="preserve">myšlení. Deduktivní </w:t>
      </w:r>
      <w:r w:rsidR="00D57A27">
        <w:t xml:space="preserve">exemplární </w:t>
      </w:r>
      <w:r w:rsidRPr="004C5CB4">
        <w:rPr>
          <w:i/>
        </w:rPr>
        <w:t>positum</w:t>
      </w:r>
      <w:r>
        <w:rPr>
          <w:i/>
        </w:rPr>
        <w:fldChar w:fldCharType="begin"/>
      </w:r>
      <w:r>
        <w:instrText xml:space="preserve"> XE "</w:instrText>
      </w:r>
      <w:r w:rsidRPr="00AE0AA5">
        <w:rPr>
          <w:rStyle w:val="st"/>
          <w:i/>
        </w:rPr>
        <w:instrText>positum</w:instrText>
      </w:r>
      <w:r>
        <w:instrText xml:space="preserve">" </w:instrText>
      </w:r>
      <w:r>
        <w:rPr>
          <w:i/>
        </w:rPr>
        <w:fldChar w:fldCharType="end"/>
      </w:r>
      <w:r>
        <w:t xml:space="preserve"> vytváří první ratio boha a stvoření, které přechází v konečném univočním modu do našeho intelektu. </w:t>
      </w:r>
      <w:r w:rsidR="00D57A27">
        <w:t xml:space="preserve">Na úrovni přechodu od </w:t>
      </w:r>
      <w:r w:rsidR="009A560E">
        <w:t xml:space="preserve">božího </w:t>
      </w:r>
      <w:r w:rsidR="00D57A27" w:rsidRPr="00BC3B3E">
        <w:rPr>
          <w:i/>
          <w:szCs w:val="24"/>
        </w:rPr>
        <w:t>vestigium</w:t>
      </w:r>
      <w:r w:rsidR="00D57A27">
        <w:rPr>
          <w:szCs w:val="24"/>
        </w:rPr>
        <w:t xml:space="preserve"> k</w:t>
      </w:r>
      <w:r w:rsidR="009A560E">
        <w:rPr>
          <w:szCs w:val="24"/>
        </w:rPr>
        <w:t xml:space="preserve"> pozemskému </w:t>
      </w:r>
      <w:r w:rsidR="00D57A27" w:rsidRPr="00BC3B3E">
        <w:rPr>
          <w:i/>
          <w:szCs w:val="24"/>
        </w:rPr>
        <w:t>imago</w:t>
      </w:r>
      <w:r w:rsidR="00D57A27" w:rsidRPr="00BC3B3E">
        <w:rPr>
          <w:i/>
          <w:szCs w:val="24"/>
        </w:rPr>
        <w:fldChar w:fldCharType="begin"/>
      </w:r>
      <w:r w:rsidR="00D57A27">
        <w:rPr>
          <w:szCs w:val="24"/>
        </w:rPr>
        <w:instrText xml:space="preserve"> XE Wahrheit</w:instrText>
      </w:r>
      <w:r w:rsidR="00D57A27" w:rsidRPr="00BC3B3E">
        <w:rPr>
          <w:szCs w:val="24"/>
        </w:rPr>
        <w:instrText>:</w:instrText>
      </w:r>
      <w:r w:rsidR="00D57A27" w:rsidRPr="00BC3B3E">
        <w:rPr>
          <w:i/>
          <w:szCs w:val="24"/>
        </w:rPr>
        <w:instrText>vestigium</w:instrText>
      </w:r>
      <w:r w:rsidR="00D57A27" w:rsidRPr="00BC3B3E">
        <w:rPr>
          <w:szCs w:val="24"/>
        </w:rPr>
        <w:instrText>/</w:instrText>
      </w:r>
      <w:r w:rsidR="00D57A27" w:rsidRPr="00BC3B3E">
        <w:rPr>
          <w:i/>
          <w:szCs w:val="24"/>
        </w:rPr>
        <w:instrText>imago</w:instrText>
      </w:r>
      <w:r w:rsidR="00D57A27" w:rsidRPr="00BC3B3E">
        <w:rPr>
          <w:szCs w:val="24"/>
        </w:rPr>
        <w:instrText xml:space="preserve">" </w:instrText>
      </w:r>
      <w:r w:rsidR="00D57A27" w:rsidRPr="00BC3B3E">
        <w:rPr>
          <w:i/>
          <w:szCs w:val="24"/>
        </w:rPr>
        <w:fldChar w:fldCharType="end"/>
      </w:r>
      <w:r w:rsidR="00D57A27">
        <w:rPr>
          <w:i/>
          <w:szCs w:val="24"/>
        </w:rPr>
        <w:t xml:space="preserve"> </w:t>
      </w:r>
      <w:r w:rsidR="00D57A27" w:rsidRPr="00D57A27">
        <w:rPr>
          <w:szCs w:val="24"/>
        </w:rPr>
        <w:t>se potkává</w:t>
      </w:r>
      <w:r w:rsidR="00D57A27">
        <w:rPr>
          <w:i/>
          <w:szCs w:val="24"/>
        </w:rPr>
        <w:t xml:space="preserve"> </w:t>
      </w:r>
      <w:r>
        <w:t>deduktivní racionalita člověka a boha v</w:t>
      </w:r>
      <w:r w:rsidR="00D57A27">
        <w:t xml:space="preserve"> adekvační </w:t>
      </w:r>
      <w:r>
        <w:t xml:space="preserve">formě. </w:t>
      </w:r>
      <w:r w:rsidR="005C406B" w:rsidRPr="005C406B">
        <w:t>Pro rozvoj Západu je tento způsob pod</w:t>
      </w:r>
      <w:r w:rsidR="005C406B">
        <w:t>obnosti b</w:t>
      </w:r>
      <w:r w:rsidR="005C406B" w:rsidRPr="005C406B">
        <w:t xml:space="preserve">oha a stvoření nesmírně důležitý. Vytváří nový druh </w:t>
      </w:r>
      <w:r w:rsidR="005C406B" w:rsidRPr="005C406B">
        <w:rPr>
          <w:i/>
        </w:rPr>
        <w:t>dativus possessivus</w:t>
      </w:r>
      <w:r w:rsidR="005C406B">
        <w:rPr>
          <w:i/>
        </w:rPr>
        <w:fldChar w:fldCharType="begin"/>
      </w:r>
      <w:r w:rsidR="005C406B">
        <w:instrText xml:space="preserve"> XE "</w:instrText>
      </w:r>
      <w:r w:rsidR="005C406B" w:rsidRPr="000F5055">
        <w:rPr>
          <w:i/>
        </w:rPr>
        <w:instrText>dativus possessivus</w:instrText>
      </w:r>
      <w:r w:rsidR="005C406B">
        <w:instrText xml:space="preserve">" </w:instrText>
      </w:r>
      <w:r w:rsidR="005C406B">
        <w:rPr>
          <w:i/>
        </w:rPr>
        <w:fldChar w:fldCharType="end"/>
      </w:r>
      <w:r w:rsidR="005C406B" w:rsidRPr="005C406B">
        <w:t xml:space="preserve">, který reguluje produkci objektivity v božském myšlení a následně v lidském intelektu. </w:t>
      </w:r>
      <w:r w:rsidR="00B35504">
        <w:t xml:space="preserve">Tento způsob poznání zakládá Scotovu teorii pravdy jako </w:t>
      </w:r>
      <w:r w:rsidRPr="085E2543">
        <w:rPr>
          <w:i/>
        </w:rPr>
        <w:t>certitudo</w:t>
      </w:r>
      <w:r w:rsidRPr="085E2543">
        <w:rPr>
          <w:i/>
        </w:rPr>
        <w:fldChar w:fldCharType="begin"/>
      </w:r>
      <w:r w:rsidRPr="085E2543">
        <w:rPr>
          <w:i/>
        </w:rPr>
        <w:instrText xml:space="preserve"> XE "</w:instrText>
      </w:r>
      <w:r w:rsidRPr="00152BFE">
        <w:instrText>pravda:Scotus</w:instrText>
      </w:r>
      <w:r w:rsidRPr="085E2543">
        <w:rPr>
          <w:i/>
        </w:rPr>
        <w:instrText xml:space="preserve">" </w:instrText>
      </w:r>
      <w:r w:rsidRPr="085E2543">
        <w:rPr>
          <w:i/>
        </w:rPr>
        <w:fldChar w:fldCharType="end"/>
      </w:r>
      <w:r w:rsidR="000C12B5">
        <w:t xml:space="preserve">, která vyjadřuje </w:t>
      </w:r>
      <w:r>
        <w:t xml:space="preserve">objektivní podobnost boží a lidské racionality danou mimo teorii iluminace. Podívejme se na status středního členu soudu, který má objektivní kauzalitu. </w:t>
      </w:r>
    </w:p>
    <w:p w:rsidR="08163013" w:rsidRPr="00196288" w:rsidRDefault="08163013" w:rsidP="08163013">
      <w:pPr>
        <w:pStyle w:val="Citace"/>
        <w:rPr>
          <w:noProof/>
          <w:lang w:val="cs-CZ"/>
        </w:rPr>
      </w:pPr>
      <w:r w:rsidRPr="00273106">
        <w:rPr>
          <w:noProof/>
          <w:lang w:val="cs-CZ"/>
        </w:rPr>
        <w:t>„</w:t>
      </w:r>
      <w:r>
        <w:rPr>
          <w:noProof/>
          <w:lang w:val="cs-CZ"/>
        </w:rPr>
        <w:t>Pokud jde o třetí způsob, ve věčném světle vidíme jako v příčině, která v sobě obsahuje primární objektivitu (</w:t>
      </w:r>
      <w:r w:rsidRPr="00196288">
        <w:rPr>
          <w:i/>
          <w:noProof/>
          <w:lang w:val="cs-CZ"/>
        </w:rPr>
        <w:t>sicut in causa obiecti in se</w:t>
      </w:r>
      <w:r>
        <w:rPr>
          <w:noProof/>
          <w:lang w:val="cs-CZ"/>
        </w:rPr>
        <w:t xml:space="preserve">). Boží intelekt produkuje objektivní kauzalitu skrze své akty ve svém inteligibilním bytí a skrze svou aktualitu dává této objektivitě </w:t>
      </w:r>
      <w:r w:rsidR="00040BDE">
        <w:rPr>
          <w:noProof/>
          <w:lang w:val="cs-CZ"/>
        </w:rPr>
        <w:t xml:space="preserve">takto </w:t>
      </w:r>
      <w:r w:rsidR="00040BDE">
        <w:rPr>
          <w:rFonts w:cs="Calibri"/>
          <w:noProof/>
          <w:lang w:val="cs-CZ"/>
        </w:rPr>
        <w:t>[</w:t>
      </w:r>
      <w:r w:rsidR="001C445C">
        <w:rPr>
          <w:rFonts w:cs="Calibri"/>
          <w:noProof/>
          <w:lang w:val="cs-CZ"/>
        </w:rPr>
        <w:t>minimálně</w:t>
      </w:r>
      <w:r w:rsidR="00040BDE">
        <w:rPr>
          <w:rFonts w:cs="Calibri"/>
          <w:noProof/>
          <w:lang w:val="cs-CZ"/>
        </w:rPr>
        <w:t>]</w:t>
      </w:r>
      <w:r w:rsidR="00040BDE">
        <w:rPr>
          <w:noProof/>
          <w:lang w:val="cs-CZ"/>
        </w:rPr>
        <w:t xml:space="preserve"> </w:t>
      </w:r>
      <w:r w:rsidR="001C445C">
        <w:rPr>
          <w:noProof/>
          <w:lang w:val="cs-CZ"/>
        </w:rPr>
        <w:t xml:space="preserve">určené </w:t>
      </w:r>
      <w:r>
        <w:rPr>
          <w:noProof/>
          <w:lang w:val="cs-CZ"/>
        </w:rPr>
        <w:t>bytí (</w:t>
      </w:r>
      <w:r w:rsidRPr="00196288">
        <w:rPr>
          <w:i/>
          <w:noProof/>
          <w:lang w:val="cs-CZ"/>
        </w:rPr>
        <w:t>actu suo dat huic obiecto esse tale</w:t>
      </w:r>
      <w:r>
        <w:rPr>
          <w:noProof/>
          <w:lang w:val="cs-CZ"/>
        </w:rPr>
        <w:t>). Z toho vyplývá (</w:t>
      </w:r>
      <w:r w:rsidRPr="00E340AD">
        <w:rPr>
          <w:i/>
          <w:noProof/>
        </w:rPr>
        <w:t>per consequens</w:t>
      </w:r>
      <w:r>
        <w:rPr>
          <w:noProof/>
          <w:lang w:val="cs-CZ"/>
        </w:rPr>
        <w:t xml:space="preserve">), že těmto inteligibilním jsoucnům dává určitý </w:t>
      </w:r>
      <w:r w:rsidR="00A23327">
        <w:rPr>
          <w:noProof/>
          <w:lang w:val="cs-CZ"/>
        </w:rPr>
        <w:t xml:space="preserve">racionální </w:t>
      </w:r>
      <w:r>
        <w:rPr>
          <w:noProof/>
          <w:lang w:val="cs-CZ"/>
        </w:rPr>
        <w:t>výměr  (</w:t>
      </w:r>
      <w:r w:rsidRPr="00196288">
        <w:rPr>
          <w:i/>
          <w:noProof/>
          <w:lang w:val="cs-CZ"/>
        </w:rPr>
        <w:t>rationem obiecti</w:t>
      </w:r>
      <w:r>
        <w:rPr>
          <w:noProof/>
          <w:lang w:val="cs-CZ"/>
        </w:rPr>
        <w:t>). A skrze tyto racionální výměry je následně veden lidský intelekt (</w:t>
      </w:r>
      <w:r w:rsidRPr="00FB4121">
        <w:rPr>
          <w:i/>
          <w:noProof/>
        </w:rPr>
        <w:t>per quas rationes post movent intellectum</w:t>
      </w:r>
      <w:r>
        <w:rPr>
          <w:noProof/>
          <w:lang w:val="cs-CZ"/>
        </w:rPr>
        <w:t>)  k jistému poznání (</w:t>
      </w:r>
      <w:r w:rsidRPr="003332DA">
        <w:rPr>
          <w:i/>
          <w:noProof/>
        </w:rPr>
        <w:t>ad cognitionem certam</w:t>
      </w:r>
      <w:r>
        <w:rPr>
          <w:noProof/>
          <w:lang w:val="cs-CZ"/>
        </w:rPr>
        <w:t xml:space="preserve">).“ </w:t>
      </w:r>
      <w:r>
        <w:rPr>
          <w:rStyle w:val="Znakapoznpodarou"/>
        </w:rPr>
        <w:footnoteReference w:id="456"/>
      </w:r>
    </w:p>
    <w:p w:rsidR="00553918" w:rsidRDefault="08163013" w:rsidP="008A321B">
      <w:r>
        <w:t>Citát začíná u boží esence, která je účinnou příčinou objektivního poznání ve sféře boží exemplární imanence (</w:t>
      </w:r>
      <w:r w:rsidRPr="00FB4121">
        <w:rPr>
          <w:i/>
        </w:rPr>
        <w:t>in causa obiecti in se</w:t>
      </w:r>
      <w:r>
        <w:t>). Toto poznání produkuje poznatek jako určenou předmětnost v objektivním bytí u boha (</w:t>
      </w:r>
      <w:r w:rsidRPr="00196288">
        <w:rPr>
          <w:i/>
        </w:rPr>
        <w:t>esse tale</w:t>
      </w:r>
      <w:r>
        <w:t xml:space="preserve">). Poznatek </w:t>
      </w:r>
      <w:r w:rsidRPr="00273106">
        <w:t xml:space="preserve">se stal </w:t>
      </w:r>
      <w:r>
        <w:t xml:space="preserve">objektivní esencí danou modu </w:t>
      </w:r>
      <w:r w:rsidRPr="00273106">
        <w:rPr>
          <w:i/>
        </w:rPr>
        <w:t>secundum quid</w:t>
      </w:r>
      <w:r>
        <w:rPr>
          <w:i/>
        </w:rPr>
        <w:fldChar w:fldCharType="begin"/>
      </w:r>
      <w:r>
        <w:instrText xml:space="preserve"> XE "esence:</w:instrText>
      </w:r>
      <w:r w:rsidRPr="00904B1D">
        <w:rPr>
          <w:i/>
        </w:rPr>
        <w:instrText>secundum quid</w:instrText>
      </w:r>
      <w:r>
        <w:instrText xml:space="preserve">" </w:instrText>
      </w:r>
      <w:r>
        <w:rPr>
          <w:i/>
        </w:rPr>
        <w:fldChar w:fldCharType="end"/>
      </w:r>
      <w:r>
        <w:t xml:space="preserve">, viz předešlé definice této objektivity. Myšlenka </w:t>
      </w:r>
      <w:r w:rsidRPr="00273106">
        <w:t xml:space="preserve">dostala </w:t>
      </w:r>
      <w:r>
        <w:t xml:space="preserve">po provedené intuitivní dedukci objektivní </w:t>
      </w:r>
      <w:r w:rsidRPr="00273106">
        <w:t xml:space="preserve">výměr daný v primární sféře boží </w:t>
      </w:r>
      <w:r>
        <w:t xml:space="preserve">racionality </w:t>
      </w:r>
      <w:r w:rsidRPr="00273106">
        <w:t>(</w:t>
      </w:r>
      <w:r>
        <w:rPr>
          <w:i/>
        </w:rPr>
        <w:t xml:space="preserve">actu suo dat huic obiecto </w:t>
      </w:r>
      <w:r w:rsidRPr="00273106">
        <w:rPr>
          <w:i/>
        </w:rPr>
        <w:t>esse tale</w:t>
      </w:r>
      <w:r>
        <w:t xml:space="preserve">). Neomezená věc daná v božím intelektu se nyní manifestuje jako </w:t>
      </w:r>
      <w:r w:rsidRPr="00273106">
        <w:t>něco</w:t>
      </w:r>
      <w:r>
        <w:t xml:space="preserve"> objektivně určeného</w:t>
      </w:r>
      <w:r w:rsidRPr="00273106">
        <w:t xml:space="preserve"> (</w:t>
      </w:r>
      <w:r w:rsidRPr="00273106">
        <w:rPr>
          <w:i/>
        </w:rPr>
        <w:t>esse</w:t>
      </w:r>
      <w:r>
        <w:rPr>
          <w:i/>
        </w:rPr>
        <w:t xml:space="preserve"> tale</w:t>
      </w:r>
      <w:r>
        <w:rPr>
          <w:i/>
        </w:rPr>
        <w:fldChar w:fldCharType="begin"/>
      </w:r>
      <w:r>
        <w:instrText xml:space="preserve"> XE "esence:</w:instrText>
      </w:r>
      <w:r w:rsidRPr="00EF4C4D">
        <w:rPr>
          <w:i/>
        </w:rPr>
        <w:instrText>esse tale</w:instrText>
      </w:r>
      <w:r>
        <w:instrText xml:space="preserve">" </w:instrText>
      </w:r>
      <w:r>
        <w:rPr>
          <w:i/>
        </w:rPr>
        <w:fldChar w:fldCharType="end"/>
      </w:r>
      <w:r>
        <w:t xml:space="preserve">). </w:t>
      </w:r>
      <w:r w:rsidR="00A34ED8">
        <w:t xml:space="preserve">Nová forma </w:t>
      </w:r>
      <w:r w:rsidR="00A34ED8" w:rsidRPr="00A34ED8">
        <w:rPr>
          <w:i/>
        </w:rPr>
        <w:t>tertium ens</w:t>
      </w:r>
      <w:r w:rsidR="00BA0CBB">
        <w:t xml:space="preserve"> má stejný ontologic</w:t>
      </w:r>
      <w:r w:rsidR="00A34ED8">
        <w:t xml:space="preserve">ký význam jako Avicennovo </w:t>
      </w:r>
      <w:r w:rsidR="00A34ED8">
        <w:rPr>
          <w:szCs w:val="24"/>
          <w:lang w:val="de-DE"/>
        </w:rPr>
        <w:t xml:space="preserve"> </w:t>
      </w:r>
      <w:r w:rsidR="00A62F05">
        <w:rPr>
          <w:szCs w:val="24"/>
          <w:lang w:val="de-DE"/>
        </w:rPr>
        <w:t>„</w:t>
      </w:r>
      <w:r w:rsidR="00A34ED8" w:rsidRPr="001210F0">
        <w:rPr>
          <w:i/>
          <w:szCs w:val="24"/>
          <w:lang w:val="de-DE"/>
        </w:rPr>
        <w:t>hoc esse tantum</w:t>
      </w:r>
      <w:r w:rsidR="00A62F05">
        <w:rPr>
          <w:szCs w:val="24"/>
          <w:lang w:val="de-DE"/>
        </w:rPr>
        <w:t>“</w:t>
      </w:r>
      <w:r w:rsidR="00A34ED8" w:rsidRPr="001210F0">
        <w:rPr>
          <w:i/>
          <w:szCs w:val="24"/>
          <w:lang w:val="de-DE"/>
        </w:rPr>
        <w:fldChar w:fldCharType="begin"/>
      </w:r>
      <w:r w:rsidR="00A34ED8" w:rsidRPr="001210F0">
        <w:rPr>
          <w:i/>
          <w:szCs w:val="24"/>
          <w:lang w:val="de-DE"/>
        </w:rPr>
        <w:instrText xml:space="preserve"> XE "</w:instrText>
      </w:r>
      <w:r w:rsidR="00A34ED8" w:rsidRPr="001210F0">
        <w:rPr>
          <w:i/>
          <w:szCs w:val="24"/>
          <w:lang w:val="de-DE" w:eastAsia="en-US"/>
        </w:rPr>
        <w:instrText>hoc esse tantum</w:instrText>
      </w:r>
      <w:r w:rsidR="00A34ED8" w:rsidRPr="001210F0">
        <w:rPr>
          <w:i/>
          <w:szCs w:val="24"/>
          <w:lang w:val="de-DE"/>
        </w:rPr>
        <w:instrText xml:space="preserve">" </w:instrText>
      </w:r>
      <w:r w:rsidR="00A34ED8" w:rsidRPr="001210F0">
        <w:rPr>
          <w:i/>
          <w:szCs w:val="24"/>
          <w:lang w:val="de-DE"/>
        </w:rPr>
        <w:fldChar w:fldCharType="end"/>
      </w:r>
      <w:r w:rsidR="00A34ED8" w:rsidRPr="001210F0">
        <w:rPr>
          <w:szCs w:val="24"/>
          <w:lang w:val="de-DE"/>
        </w:rPr>
        <w:t xml:space="preserve"> und </w:t>
      </w:r>
      <w:r w:rsidR="00A34ED8">
        <w:rPr>
          <w:szCs w:val="24"/>
          <w:lang w:val="de-DE"/>
        </w:rPr>
        <w:t>Gandavův</w:t>
      </w:r>
      <w:r w:rsidR="00A34ED8" w:rsidRPr="001210F0">
        <w:rPr>
          <w:szCs w:val="24"/>
          <w:lang w:val="de-DE"/>
        </w:rPr>
        <w:t xml:space="preserve"> </w:t>
      </w:r>
      <w:r w:rsidR="00A34ED8">
        <w:rPr>
          <w:szCs w:val="24"/>
          <w:lang w:val="de-DE"/>
        </w:rPr>
        <w:t>konc</w:t>
      </w:r>
      <w:r w:rsidR="00A34ED8" w:rsidRPr="001210F0">
        <w:rPr>
          <w:szCs w:val="24"/>
          <w:lang w:val="de-DE"/>
        </w:rPr>
        <w:t xml:space="preserve">ept </w:t>
      </w:r>
      <w:r w:rsidR="00A62F05">
        <w:rPr>
          <w:szCs w:val="24"/>
          <w:lang w:val="de-DE"/>
        </w:rPr>
        <w:t>„</w:t>
      </w:r>
      <w:r w:rsidR="00A34ED8" w:rsidRPr="001210F0">
        <w:rPr>
          <w:i/>
          <w:szCs w:val="24"/>
          <w:lang w:val="de-DE"/>
        </w:rPr>
        <w:t>res a ratitudine</w:t>
      </w:r>
      <w:r w:rsidR="00A62F05">
        <w:rPr>
          <w:szCs w:val="24"/>
          <w:lang w:val="de-DE"/>
        </w:rPr>
        <w:t>“</w:t>
      </w:r>
      <w:r w:rsidR="00A34ED8" w:rsidRPr="001210F0">
        <w:rPr>
          <w:szCs w:val="24"/>
          <w:lang w:val="de-DE"/>
        </w:rPr>
        <w:t xml:space="preserve"> </w:t>
      </w:r>
      <w:r w:rsidR="00A34ED8">
        <w:rPr>
          <w:szCs w:val="24"/>
          <w:lang w:val="de-DE"/>
        </w:rPr>
        <w:t>(k</w:t>
      </w:r>
      <w:r w:rsidR="00A34ED8" w:rsidRPr="001210F0">
        <w:rPr>
          <w:szCs w:val="24"/>
          <w:lang w:val="de-DE"/>
        </w:rPr>
        <w:t xml:space="preserve">ap. 5.2.1). </w:t>
      </w:r>
      <w:r w:rsidR="001F7F51">
        <w:t>Objektivně zajištěné myto</w:t>
      </w:r>
      <w:r w:rsidR="00917FCD">
        <w:t xml:space="preserve">logické </w:t>
      </w:r>
      <w:r w:rsidR="001F7F51">
        <w:t>jsoucno</w:t>
      </w:r>
      <w:r w:rsidR="00BA0CBB">
        <w:t xml:space="preserve"> </w:t>
      </w:r>
      <w:r w:rsidR="001F7F51">
        <w:t>dostalo</w:t>
      </w:r>
      <w:r>
        <w:t xml:space="preserve"> první vymezení v rámci nekonečné</w:t>
      </w:r>
      <w:r w:rsidR="008F746E">
        <w:t xml:space="preserve"> boží racionality</w:t>
      </w:r>
      <w:r>
        <w:t>. Tím vznikla prv</w:t>
      </w:r>
      <w:r w:rsidR="0037673D">
        <w:t xml:space="preserve">ní sféra objektivní racionality, která obsahuje exemplárně-objektivně určené </w:t>
      </w:r>
      <w:r w:rsidR="0037673D" w:rsidRPr="0037673D">
        <w:rPr>
          <w:i/>
        </w:rPr>
        <w:t>scibile</w:t>
      </w:r>
      <w:r>
        <w:t xml:space="preserve">. </w:t>
      </w:r>
      <w:r w:rsidR="00E5538F">
        <w:t>Rozchod s Gandavou komitací</w:t>
      </w:r>
      <w:r>
        <w:t xml:space="preserve"> představuje druhá část citátu daná v modu logického </w:t>
      </w:r>
      <w:r>
        <w:lastRenderedPageBreak/>
        <w:t>závěru (</w:t>
      </w:r>
      <w:r w:rsidRPr="08FC3188">
        <w:rPr>
          <w:i/>
        </w:rPr>
        <w:t>per consequens dat eis talem rationem obiecti</w:t>
      </w:r>
      <w:r>
        <w:t xml:space="preserve">). Racionalita vyzářená do světa v modu </w:t>
      </w:r>
      <w:r w:rsidR="005F2CBB">
        <w:t>„</w:t>
      </w:r>
      <w:r w:rsidRPr="08FC3188">
        <w:rPr>
          <w:i/>
        </w:rPr>
        <w:t>per consequens</w:t>
      </w:r>
      <w:r w:rsidR="005F2CBB">
        <w:t>“</w:t>
      </w:r>
      <w:r w:rsidRPr="08FC3188">
        <w:rPr>
          <w:i/>
        </w:rPr>
        <w:t xml:space="preserve"> </w:t>
      </w:r>
      <w:r>
        <w:t>představuje pouze závěr poznávacího soudu</w:t>
      </w:r>
      <w:r w:rsidR="00C77376">
        <w:t>,</w:t>
      </w:r>
      <w:r>
        <w:t xml:space="preserve"> a ne emanaci boží podstaty. Nová sféra objektivity obsahuje formální pravdivost správného uvažování daného skrze plně univerzální, exemplární a racionální formy božího úsudku. </w:t>
      </w:r>
      <w:r w:rsidR="00D86B83">
        <w:t>Scotus navrhl přechod boží racionality do světa konsekventně aristotelsko-logickým způsobem</w:t>
      </w:r>
      <w:r w:rsidR="00E74710">
        <w:t xml:space="preserve">, což zakládá </w:t>
      </w:r>
      <w:r w:rsidR="00D86B83">
        <w:t xml:space="preserve">jedinečnost jím produkovaného boha </w:t>
      </w:r>
      <w:r w:rsidR="00D86B83" w:rsidRPr="00E74710">
        <w:rPr>
          <w:i/>
        </w:rPr>
        <w:t>Modernorum</w:t>
      </w:r>
      <w:r w:rsidR="00E74710">
        <w:t>. R</w:t>
      </w:r>
      <w:r>
        <w:t xml:space="preserve">acionalita božího usuzování má vlastní konsistenci a </w:t>
      </w:r>
      <w:r w:rsidR="000F1B1E">
        <w:t xml:space="preserve">nutnost </w:t>
      </w:r>
      <w:r>
        <w:t xml:space="preserve">danou </w:t>
      </w:r>
      <w:r w:rsidR="00C77376">
        <w:t xml:space="preserve">v </w:t>
      </w:r>
      <w:r>
        <w:t>modu jistoty (</w:t>
      </w:r>
      <w:r w:rsidRPr="08F01479">
        <w:rPr>
          <w:i/>
        </w:rPr>
        <w:t>per quas rationes post movent intellectum ad cognitionem certam</w:t>
      </w:r>
      <w:r>
        <w:t xml:space="preserve">). </w:t>
      </w:r>
      <w:r w:rsidR="00C04444">
        <w:t>P</w:t>
      </w:r>
      <w:r>
        <w:t>rotože bůh produkuje svou podstatou racionální úsudky v modu nekonečnosti, jsou pro nás jeho racionální úsudky univočně a deduktivně poznatelné v modu konečnosti. Racionalita, l</w:t>
      </w:r>
      <w:r w:rsidR="000E7CD7">
        <w:t>o</w:t>
      </w:r>
      <w:r>
        <w:t>gika a metafyzika je je</w:t>
      </w:r>
      <w:r w:rsidR="000E7CD7">
        <w:t>n jedna, pro moderního boha i pro modernisty</w:t>
      </w:r>
      <w:r>
        <w:t xml:space="preserve">. Scotus vytvořil místo komitační </w:t>
      </w:r>
      <w:r w:rsidR="002E696E">
        <w:t>„</w:t>
      </w:r>
      <w:r w:rsidRPr="0834229E">
        <w:rPr>
          <w:i/>
        </w:rPr>
        <w:t>analogia entis</w:t>
      </w:r>
      <w:r w:rsidR="002E696E">
        <w:t>“</w:t>
      </w:r>
      <w:r>
        <w:rPr>
          <w:i/>
        </w:rPr>
        <w:fldChar w:fldCharType="begin"/>
      </w:r>
      <w:r>
        <w:instrText xml:space="preserve"> XE "</w:instrText>
      </w:r>
      <w:r w:rsidRPr="085C4A11">
        <w:rPr>
          <w:i/>
        </w:rPr>
        <w:instrText>analogia entis</w:instrText>
      </w:r>
      <w:r>
        <w:instrText xml:space="preserve">" </w:instrText>
      </w:r>
      <w:r>
        <w:rPr>
          <w:i/>
        </w:rPr>
        <w:fldChar w:fldCharType="end"/>
      </w:r>
      <w:r>
        <w:t xml:space="preserve"> objektivní formu idiomatické komunikace s moderním bohem v podobě </w:t>
      </w:r>
      <w:r w:rsidR="002E696E">
        <w:t>„</w:t>
      </w:r>
      <w:r w:rsidRPr="0834229E">
        <w:rPr>
          <w:i/>
        </w:rPr>
        <w:t>analogia rationalis</w:t>
      </w:r>
      <w:r w:rsidR="002E696E">
        <w:t>“</w:t>
      </w:r>
      <w:r>
        <w:t xml:space="preserve">. Subtilní doktor objektivně završil Gandavův výklad </w:t>
      </w:r>
      <w:r>
        <w:rPr>
          <w:i/>
        </w:rPr>
        <w:t>c</w:t>
      </w:r>
      <w:r w:rsidRPr="08FF1945">
        <w:rPr>
          <w:i/>
        </w:rPr>
        <w:t>ommunicatio idiomatum</w:t>
      </w:r>
      <w:r>
        <w:rPr>
          <w:i/>
        </w:rPr>
        <w:fldChar w:fldCharType="begin"/>
      </w:r>
      <w:r>
        <w:instrText xml:space="preserve"> XE "</w:instrText>
      </w:r>
      <w:r w:rsidRPr="08276027">
        <w:rPr>
          <w:i/>
        </w:rPr>
        <w:instrText>communicatio idiomatum</w:instrText>
      </w:r>
      <w:r>
        <w:instrText xml:space="preserve">" </w:instrText>
      </w:r>
      <w:r>
        <w:rPr>
          <w:i/>
        </w:rPr>
        <w:fldChar w:fldCharType="end"/>
      </w:r>
      <w:r>
        <w:t>, který tvoří mytopoetický a</w:t>
      </w:r>
      <w:r w:rsidR="00E33CEE">
        <w:t xml:space="preserve"> mystický základ moderny (kap. 5</w:t>
      </w:r>
      <w:r>
        <w:t>.3.2). Inteligibilita</w:t>
      </w:r>
      <w:r w:rsidRPr="00273106">
        <w:t xml:space="preserve"> věčného světla odpovídá au</w:t>
      </w:r>
      <w:r>
        <w:t xml:space="preserve">gustiniánské iluminaci a boží světlo nyní funguje v modu imanentní nutnosti dané racionální formou božího myšlení danou </w:t>
      </w:r>
      <w:r w:rsidRPr="088E79B8">
        <w:rPr>
          <w:i/>
        </w:rPr>
        <w:t>ad extra</w:t>
      </w:r>
      <w:r w:rsidRPr="00273106">
        <w:t xml:space="preserve">. </w:t>
      </w:r>
      <w:r w:rsidR="00340A90">
        <w:t xml:space="preserve">Tento </w:t>
      </w:r>
      <w:r w:rsidR="000E7CD7">
        <w:t xml:space="preserve">intimní výkon </w:t>
      </w:r>
      <w:r>
        <w:t xml:space="preserve">božího myšlení </w:t>
      </w:r>
      <w:r w:rsidR="009D0147">
        <w:t xml:space="preserve">je vykonávaný pouze </w:t>
      </w:r>
      <w:r w:rsidR="009D0147" w:rsidRPr="088E79B8">
        <w:rPr>
          <w:i/>
        </w:rPr>
        <w:t>ad intra</w:t>
      </w:r>
      <w:r w:rsidR="009D0147">
        <w:rPr>
          <w:i/>
        </w:rPr>
        <w:t xml:space="preserve"> </w:t>
      </w:r>
      <w:r w:rsidR="009D0147" w:rsidRPr="009D0147">
        <w:t xml:space="preserve">a </w:t>
      </w:r>
      <w:r w:rsidR="00340A90">
        <w:t xml:space="preserve">je objektivovaný </w:t>
      </w:r>
      <w:r>
        <w:t xml:space="preserve">skrze exemplary. </w:t>
      </w:r>
      <w:r w:rsidR="002A714E">
        <w:t xml:space="preserve">Oliviho intimita svobodné vůle se změnila na objektivní intimitu </w:t>
      </w:r>
      <w:r w:rsidR="009B4649">
        <w:t xml:space="preserve">exemplární </w:t>
      </w:r>
      <w:r w:rsidR="002A714E">
        <w:t>intelektuální reflexe</w:t>
      </w:r>
      <w:r w:rsidR="00563F0B">
        <w:t xml:space="preserve">. </w:t>
      </w:r>
      <w:r>
        <w:t xml:space="preserve">Scotus změnil klasické schéma Augustinovy iluminace, které filosoficky ztvárnil Gandavus jako poslední představitel školy druhého averroismu. Intencionální předmět není součást božího bytí projektovaného v modu </w:t>
      </w:r>
      <w:r w:rsidRPr="00FB6C84">
        <w:rPr>
          <w:i/>
        </w:rPr>
        <w:t>esse ad</w:t>
      </w:r>
      <w:r>
        <w:t>. Reformovaný aristotelik zrušil Gandavovu teorii boží objektivity jako kauzálně působící síly v našem intelektu, kterou explicitně formuloval Pecham (</w:t>
      </w:r>
      <w:r w:rsidRPr="00B074FF">
        <w:rPr>
          <w:i/>
          <w:szCs w:val="16"/>
        </w:rPr>
        <w:t xml:space="preserve">quod </w:t>
      </w:r>
      <w:r w:rsidRPr="00B074FF">
        <w:rPr>
          <w:i/>
          <w:szCs w:val="17"/>
        </w:rPr>
        <w:t xml:space="preserve">movet </w:t>
      </w:r>
      <w:r w:rsidRPr="00B074FF">
        <w:rPr>
          <w:i/>
          <w:szCs w:val="14"/>
        </w:rPr>
        <w:t xml:space="preserve">intellectum </w:t>
      </w:r>
      <w:r w:rsidRPr="00B074FF">
        <w:rPr>
          <w:i/>
        </w:rPr>
        <w:t>obiectiv</w:t>
      </w:r>
      <w:r>
        <w:rPr>
          <w:i/>
        </w:rPr>
        <w:t xml:space="preserve">e </w:t>
      </w:r>
      <w:r w:rsidRPr="00B074FF">
        <w:rPr>
          <w:i/>
        </w:rPr>
        <w:t xml:space="preserve">est </w:t>
      </w:r>
      <w:r w:rsidRPr="00B074FF">
        <w:rPr>
          <w:i/>
          <w:szCs w:val="12"/>
        </w:rPr>
        <w:t>res</w:t>
      </w:r>
      <w:r w:rsidR="002822CD">
        <w:rPr>
          <w:szCs w:val="12"/>
        </w:rPr>
        <w:t>, kap. 4</w:t>
      </w:r>
      <w:r>
        <w:rPr>
          <w:szCs w:val="12"/>
        </w:rPr>
        <w:t>.2.2</w:t>
      </w:r>
      <w:r>
        <w:t xml:space="preserve">). Pecham chápe boží exemplární </w:t>
      </w:r>
      <w:r w:rsidRPr="005E3319">
        <w:rPr>
          <w:i/>
        </w:rPr>
        <w:t>res</w:t>
      </w:r>
      <w:r>
        <w:t xml:space="preserve"> jako jsoucno třetího druhu působící na naše poznání kauzálně. </w:t>
      </w:r>
      <w:r>
        <w:rPr>
          <w:rStyle w:val="addmd"/>
        </w:rPr>
        <w:t xml:space="preserve">Hypostázovaná </w:t>
      </w:r>
      <w:r w:rsidR="00962190">
        <w:rPr>
          <w:rStyle w:val="addmd"/>
          <w:i/>
        </w:rPr>
        <w:t>species</w:t>
      </w:r>
      <w:r>
        <w:rPr>
          <w:rStyle w:val="addmd"/>
        </w:rPr>
        <w:t xml:space="preserve"> fungovala jako jsoucno třetího druhu</w:t>
      </w:r>
      <w:r w:rsidR="00DE2F5F">
        <w:rPr>
          <w:rStyle w:val="addmd"/>
        </w:rPr>
        <w:t xml:space="preserve">, které spojilo </w:t>
      </w:r>
      <w:r>
        <w:rPr>
          <w:rStyle w:val="addmd"/>
        </w:rPr>
        <w:t xml:space="preserve">realitu a </w:t>
      </w:r>
      <w:r w:rsidR="00DE2F5F">
        <w:rPr>
          <w:rStyle w:val="addmd"/>
        </w:rPr>
        <w:t xml:space="preserve">lidské </w:t>
      </w:r>
      <w:r>
        <w:rPr>
          <w:rStyle w:val="addmd"/>
        </w:rPr>
        <w:t>poznání. Scotus odmítl sféru jsoucen třetího druhu jako zbytečnou, protože nebyla v souladu s a</w:t>
      </w:r>
      <w:r>
        <w:t xml:space="preserve">ristotelským schématem poznání podle </w:t>
      </w:r>
      <w:r w:rsidR="00266D78">
        <w:t xml:space="preserve">tomistického </w:t>
      </w:r>
      <w:r>
        <w:t xml:space="preserve">výkladu </w:t>
      </w:r>
      <w:r w:rsidRPr="00A535A5">
        <w:rPr>
          <w:i/>
        </w:rPr>
        <w:t>De anima</w:t>
      </w:r>
      <w:r>
        <w:t xml:space="preserve">. </w:t>
      </w:r>
      <w:r w:rsidR="002822CD">
        <w:t xml:space="preserve">Descartes znovu zavedl do dedukce objektivity vrozené neoplatónské ideje, když </w:t>
      </w:r>
      <w:r w:rsidR="006B1816">
        <w:t>tvořil</w:t>
      </w:r>
      <w:r w:rsidR="002822CD">
        <w:t xml:space="preserve"> další </w:t>
      </w:r>
      <w:r w:rsidR="006B1816">
        <w:t>dedukci</w:t>
      </w:r>
      <w:r w:rsidR="002822CD">
        <w:t xml:space="preserve"> scotistické objektivity pro postmodernu. Scotova </w:t>
      </w:r>
      <w:r w:rsidR="002822CD" w:rsidRPr="002822CD">
        <w:rPr>
          <w:i/>
        </w:rPr>
        <w:t>metaphysica generalis</w:t>
      </w:r>
      <w:r w:rsidR="002822CD">
        <w:t xml:space="preserve"> </w:t>
      </w:r>
      <w:r w:rsidR="0076280E">
        <w:t>je logicky naprosto komple</w:t>
      </w:r>
      <w:r w:rsidR="006206E5">
        <w:t xml:space="preserve">tní a z pohledu </w:t>
      </w:r>
      <w:r w:rsidR="007E2550">
        <w:t>prvního averro</w:t>
      </w:r>
      <w:r w:rsidR="006206E5">
        <w:t>i</w:t>
      </w:r>
      <w:r w:rsidR="007E2550">
        <w:t>s</w:t>
      </w:r>
      <w:r w:rsidR="006206E5">
        <w:t xml:space="preserve">mu je zcela iracionální. Nová metafyzika </w:t>
      </w:r>
      <w:r>
        <w:t xml:space="preserve">vytvořila </w:t>
      </w:r>
      <w:r w:rsidR="002822CD">
        <w:t xml:space="preserve">univerzální </w:t>
      </w:r>
      <w:r>
        <w:t>spojení člověka, boha a kosmu založené na univoční objektivní racionali</w:t>
      </w:r>
      <w:r w:rsidR="007E2550">
        <w:t>tě</w:t>
      </w:r>
      <w:r>
        <w:t xml:space="preserve">. </w:t>
      </w:r>
      <w:r w:rsidR="007E2550">
        <w:lastRenderedPageBreak/>
        <w:t xml:space="preserve">Moderní člověk a jeho bůh potřebují logickou dedukci, aby přežili. </w:t>
      </w:r>
      <w:r>
        <w:t xml:space="preserve">Pořadí je důležité, protože Scotův bůh je objektivní lidskou projekcí, což exaktně ukázal Feuerbach v 19. století. </w:t>
      </w:r>
      <w:r>
        <w:fldChar w:fldCharType="begin"/>
      </w:r>
      <w:r>
        <w:instrText xml:space="preserve"> XE "</w:instrText>
      </w:r>
      <w:r w:rsidRPr="00041674">
        <w:instrText>Feuerbach, L.</w:instrText>
      </w:r>
      <w:r>
        <w:instrText xml:space="preserve">" </w:instrText>
      </w:r>
      <w:r>
        <w:fldChar w:fldCharType="end"/>
      </w:r>
      <w:r>
        <w:t>Na rozdíl od Gandava a dalších iluminátů</w:t>
      </w:r>
      <w:r>
        <w:fldChar w:fldCharType="begin"/>
      </w:r>
      <w:r>
        <w:instrText xml:space="preserve"> XE "</w:instrText>
      </w:r>
      <w:r w:rsidRPr="00BD65D1">
        <w:instrText>ilumináti</w:instrText>
      </w:r>
      <w:r>
        <w:instrText xml:space="preserve">" </w:instrText>
      </w:r>
      <w:r>
        <w:fldChar w:fldCharType="end"/>
      </w:r>
      <w:r>
        <w:t xml:space="preserve"> zavedl moderní Scotus adekvaci jako poznanou nutnost danou </w:t>
      </w:r>
      <w:r w:rsidR="00B83D23">
        <w:t>v boží ipseitě</w:t>
      </w:r>
      <w:r>
        <w:t xml:space="preserve">, ale </w:t>
      </w:r>
      <w:r w:rsidR="00B83D23">
        <w:t xml:space="preserve">skrze </w:t>
      </w:r>
      <w:r w:rsidR="007B68E3">
        <w:t>racionality božího myšlení danou skrze d</w:t>
      </w:r>
      <w:r w:rsidR="00B83D23">
        <w:t>eduk</w:t>
      </w:r>
      <w:r w:rsidR="007B68E3">
        <w:t>ci</w:t>
      </w:r>
      <w:r>
        <w:t xml:space="preserve">. Racionální povaha objektivity není emanace boží podstaty v modu jsoucna třetího druhu, ale nutný závěr objektivního myšlení. Oddělení boží racionální předmětnosti od její esence určuje sylogistický modus </w:t>
      </w:r>
      <w:r w:rsidR="00B83D23">
        <w:t>„</w:t>
      </w:r>
      <w:r w:rsidRPr="00FB4121">
        <w:rPr>
          <w:i/>
        </w:rPr>
        <w:t>per consequens</w:t>
      </w:r>
      <w:r w:rsidR="00B83D23">
        <w:t>“</w:t>
      </w:r>
      <w:r w:rsidR="00506EC5">
        <w:t xml:space="preserve">. Gandavus měl </w:t>
      </w:r>
      <w:r>
        <w:t xml:space="preserve">základní aspekt objektivity v bohu </w:t>
      </w:r>
      <w:r w:rsidR="00506EC5">
        <w:t xml:space="preserve">daný na základě </w:t>
      </w:r>
      <w:r>
        <w:t>intencionální</w:t>
      </w:r>
      <w:r w:rsidR="00506EC5">
        <w:t xml:space="preserve">ch </w:t>
      </w:r>
      <w:r w:rsidR="00962190" w:rsidRPr="00506EC5">
        <w:t>species</w:t>
      </w:r>
      <w:r w:rsidR="00506EC5">
        <w:t>. Scotus to změnil</w:t>
      </w:r>
      <w:r>
        <w:t xml:space="preserve"> na formáln</w:t>
      </w:r>
      <w:r w:rsidR="00287B5E">
        <w:t xml:space="preserve">í strukturu podobnosti danou v univoční </w:t>
      </w:r>
      <w:r>
        <w:t xml:space="preserve">formě deduktivního soudu. Tím padlo přímé kauzální působení exemplaru na naše poznání, jako to měli ilumináti druhého averroismu v pojmu </w:t>
      </w:r>
      <w:r w:rsidR="00051CAA">
        <w:t>„</w:t>
      </w:r>
      <w:r w:rsidRPr="00B00456">
        <w:rPr>
          <w:i/>
        </w:rPr>
        <w:t>sincera veritas</w:t>
      </w:r>
      <w:r w:rsidR="00051CAA">
        <w:t>“</w:t>
      </w:r>
      <w:r>
        <w:rPr>
          <w:i/>
        </w:rPr>
        <w:fldChar w:fldCharType="begin"/>
      </w:r>
      <w:r>
        <w:instrText xml:space="preserve"> XE "pravda:</w:instrText>
      </w:r>
      <w:r w:rsidRPr="002040AA">
        <w:rPr>
          <w:i/>
        </w:rPr>
        <w:instrText>sincera veritas</w:instrText>
      </w:r>
      <w:r>
        <w:instrText xml:space="preserve">" </w:instrText>
      </w:r>
      <w:r>
        <w:rPr>
          <w:i/>
        </w:rPr>
        <w:fldChar w:fldCharType="end"/>
      </w:r>
      <w:r w:rsidR="003A0B41">
        <w:t>.</w:t>
      </w:r>
      <w:r w:rsidR="008A321B">
        <w:t xml:space="preserve"> </w:t>
      </w:r>
      <w:r w:rsidR="00E3495E" w:rsidRPr="00E3495E">
        <w:t>Boží duch je nekonečný a nachází se ve stavu absolutní a neome</w:t>
      </w:r>
      <w:r w:rsidR="00E3495E">
        <w:t>zené aktuality</w:t>
      </w:r>
      <w:r w:rsidR="00E3495E" w:rsidRPr="00E3495E">
        <w:t>. Této úrovni intuitivní</w:t>
      </w:r>
      <w:r w:rsidR="00E3495E">
        <w:t xml:space="preserve"> reflexi </w:t>
      </w:r>
      <w:r w:rsidR="00E3495E" w:rsidRPr="00E3495E">
        <w:t xml:space="preserve">imanentního Boha neodpovídá žádná úroveň ve stvoření. </w:t>
      </w:r>
      <w:r>
        <w:t xml:space="preserve">Ale boží </w:t>
      </w:r>
      <w:r w:rsidR="00C43FE0">
        <w:t xml:space="preserve">reflexe </w:t>
      </w:r>
      <w:r>
        <w:t>vytváří sekundární sestupnou řadu objektivního vědění</w:t>
      </w:r>
      <w:r w:rsidR="00C43FE0">
        <w:t xml:space="preserve"> daného jako Bonaventurova „</w:t>
      </w:r>
      <w:r w:rsidR="00C43FE0" w:rsidRPr="007166F5">
        <w:rPr>
          <w:i/>
        </w:rPr>
        <w:t>regula agentis increati</w:t>
      </w:r>
      <w:r w:rsidR="00440E17">
        <w:rPr>
          <w:i/>
        </w:rPr>
        <w:fldChar w:fldCharType="begin"/>
      </w:r>
      <w:r w:rsidR="00440E17">
        <w:instrText xml:space="preserve"> XE "</w:instrText>
      </w:r>
      <w:r w:rsidR="00440E17" w:rsidRPr="002E341B">
        <w:rPr>
          <w:i/>
        </w:rPr>
        <w:instrText>regula agentis in/creati</w:instrText>
      </w:r>
      <w:r w:rsidR="00440E17">
        <w:instrText xml:space="preserve">" </w:instrText>
      </w:r>
      <w:r w:rsidR="00440E17">
        <w:rPr>
          <w:i/>
        </w:rPr>
        <w:fldChar w:fldCharType="end"/>
      </w:r>
      <w:r w:rsidR="00C43FE0">
        <w:t xml:space="preserve">“. Scotova verse této regule </w:t>
      </w:r>
      <w:r w:rsidR="00A60F23">
        <w:t xml:space="preserve">má podobu intuitivního deduktivního syllogismu, a tím </w:t>
      </w:r>
      <w:r>
        <w:t xml:space="preserve">se podstatně liší od </w:t>
      </w:r>
      <w:r w:rsidR="00A60F23">
        <w:t xml:space="preserve">předešlé </w:t>
      </w:r>
      <w:r>
        <w:t xml:space="preserve">emanace </w:t>
      </w:r>
      <w:r w:rsidR="00A60F23">
        <w:t xml:space="preserve">neoplatonských </w:t>
      </w:r>
      <w:r>
        <w:t>hypostázovaných forem</w:t>
      </w:r>
      <w:r w:rsidR="00A60F23">
        <w:t xml:space="preserve"> a avincennovské intencionality</w:t>
      </w:r>
      <w:r>
        <w:t xml:space="preserve">. Na </w:t>
      </w:r>
      <w:r w:rsidR="00A60F23">
        <w:t xml:space="preserve">druhé </w:t>
      </w:r>
      <w:r>
        <w:t>úrovni raci</w:t>
      </w:r>
      <w:r w:rsidR="00550F37">
        <w:t>onality je už možná</w:t>
      </w:r>
      <w:r w:rsidR="00176FEE">
        <w:t>,</w:t>
      </w:r>
      <w:r w:rsidR="00550F37">
        <w:t xml:space="preserve"> a dokonce </w:t>
      </w:r>
      <w:r>
        <w:t>nutná</w:t>
      </w:r>
      <w:r w:rsidR="00176FEE">
        <w:t xml:space="preserve"> adekvace, a to díky racionální kategoriální dedukci</w:t>
      </w:r>
      <w:r>
        <w:t>.</w:t>
      </w:r>
      <w:r w:rsidRPr="00387BDB">
        <w:t xml:space="preserve"> </w:t>
      </w:r>
      <w:r w:rsidR="00A60F23">
        <w:t xml:space="preserve">Druhá </w:t>
      </w:r>
      <w:r w:rsidR="00176FEE">
        <w:t>forma objektivní racionality generuje další patro objektivity, kde je koresponde</w:t>
      </w:r>
      <w:r w:rsidR="00A60F23">
        <w:t>n</w:t>
      </w:r>
      <w:r w:rsidR="00176FEE">
        <w:t>ční teorie pravdy daná jako podobnost na úrovni „</w:t>
      </w:r>
      <w:r w:rsidR="00176FEE" w:rsidRPr="00176FEE">
        <w:rPr>
          <w:i/>
        </w:rPr>
        <w:t>vestigium</w:t>
      </w:r>
      <w:r w:rsidR="00176FEE" w:rsidRPr="00176FEE">
        <w:rPr>
          <w:i/>
        </w:rPr>
        <w:softHyphen/>
      </w:r>
      <w:r w:rsidR="00176FEE" w:rsidRPr="00176FEE">
        <w:rPr>
          <w:rFonts w:cs="Calibri"/>
          <w:i/>
        </w:rPr>
        <w:t>—</w:t>
      </w:r>
      <w:r w:rsidR="00176FEE" w:rsidRPr="00176FEE">
        <w:rPr>
          <w:i/>
        </w:rPr>
        <w:t>imago</w:t>
      </w:r>
      <w:r w:rsidR="00176FEE">
        <w:t>“</w:t>
      </w:r>
      <w:r w:rsidR="0011404E">
        <w:t xml:space="preserve">. </w:t>
      </w:r>
      <w:r w:rsidR="00034770">
        <w:t xml:space="preserve">Tato nová struktura objektivity představuje </w:t>
      </w:r>
      <w:r>
        <w:t xml:space="preserve">mohutný impulz pro </w:t>
      </w:r>
      <w:r w:rsidR="00AF3056">
        <w:t xml:space="preserve">lidského </w:t>
      </w:r>
      <w:r w:rsidR="00B83959">
        <w:t xml:space="preserve">konečného </w:t>
      </w:r>
      <w:r>
        <w:t>demiurga</w:t>
      </w:r>
      <w:r>
        <w:fldChar w:fldCharType="begin"/>
      </w:r>
      <w:r>
        <w:instrText xml:space="preserve"> XE "</w:instrText>
      </w:r>
      <w:r w:rsidRPr="005C2F4A">
        <w:rPr>
          <w:rStyle w:val="addmd"/>
        </w:rPr>
        <w:instrText>demiurg</w:instrText>
      </w:r>
      <w:r>
        <w:instrText xml:space="preserve">" </w:instrText>
      </w:r>
      <w:r>
        <w:fldChar w:fldCharType="end"/>
      </w:r>
      <w:r w:rsidR="00AF3056">
        <w:t>. Obje</w:t>
      </w:r>
      <w:r w:rsidR="00FA70BC">
        <w:t>k</w:t>
      </w:r>
      <w:r w:rsidR="00AF3056">
        <w:t xml:space="preserve">tivně založený kapitalistický demiurg tyto </w:t>
      </w:r>
      <w:r>
        <w:t>nutné a univerzální boží regule</w:t>
      </w:r>
      <w:r>
        <w:fldChar w:fldCharType="begin"/>
      </w:r>
      <w:r>
        <w:instrText xml:space="preserve"> XE "regule:matematická" </w:instrText>
      </w:r>
      <w:r>
        <w:fldChar w:fldCharType="end"/>
      </w:r>
      <w:r>
        <w:t xml:space="preserve"> dané ve formě boží racionality zpracova</w:t>
      </w:r>
      <w:r w:rsidR="00AF3056">
        <w:t>vá d</w:t>
      </w:r>
      <w:r>
        <w:t xml:space="preserve">o </w:t>
      </w:r>
      <w:r w:rsidR="00AF3056">
        <w:t>odpovídající formy objektivity na úrovni „</w:t>
      </w:r>
      <w:r w:rsidR="00AF3056" w:rsidRPr="00AF3056">
        <w:rPr>
          <w:i/>
        </w:rPr>
        <w:t>regula agentis creati</w:t>
      </w:r>
      <w:r w:rsidR="00AF3056">
        <w:t>“</w:t>
      </w:r>
      <w:r>
        <w:t xml:space="preserve">. </w:t>
      </w:r>
      <w:r w:rsidR="002F5509" w:rsidRPr="002F5509">
        <w:t>Tato druhá verze pravdy má již metafyzický charakter aristotelské dedukce. Postmo</w:t>
      </w:r>
      <w:r w:rsidR="002F5509">
        <w:t>derní Descartes transformoval tyto metafyzické</w:t>
      </w:r>
      <w:r w:rsidR="002F5509" w:rsidRPr="002F5509">
        <w:t xml:space="preserve"> </w:t>
      </w:r>
      <w:r w:rsidR="002F5509">
        <w:t>regule do matematiky. Logický pozitivismus v epoše m</w:t>
      </w:r>
      <w:r w:rsidR="00553918">
        <w:t>yslitelského nihilis</w:t>
      </w:r>
      <w:r w:rsidR="002F5509">
        <w:t>mu pak definitivně zr</w:t>
      </w:r>
      <w:r w:rsidR="00553918">
        <w:t>ušil metafyziku jako zbytečnou.</w:t>
      </w:r>
    </w:p>
    <w:p w:rsidR="00035910" w:rsidRDefault="08163013" w:rsidP="00035910">
      <w:pPr>
        <w:ind w:firstLine="397"/>
      </w:pPr>
      <w:r>
        <w:t xml:space="preserve">Scotus byl první modernista, který objektivně-adekvátně vyvedl pravdu z exemplární sféry božího bytí a intelektu </w:t>
      </w:r>
      <w:r w:rsidR="00D65C28">
        <w:t xml:space="preserve">a poslal ji </w:t>
      </w:r>
      <w:r>
        <w:t>do stvoření. Nová metafyzika</w:t>
      </w:r>
      <w:r w:rsidR="008A381D">
        <w:t xml:space="preserve"> </w:t>
      </w:r>
      <w:r>
        <w:t xml:space="preserve">zachránila </w:t>
      </w:r>
      <w:r w:rsidR="007B04C9">
        <w:t>modernu před herezí neoplatonských emanací</w:t>
      </w:r>
      <w:r>
        <w:t xml:space="preserve"> a </w:t>
      </w:r>
      <w:r w:rsidR="007B04C9">
        <w:t xml:space="preserve">avicennovské </w:t>
      </w:r>
      <w:r>
        <w:t>komitace. Cenou za odstranění emanace z objektivní metafyziky byla smrt moderního boha</w:t>
      </w:r>
      <w:r>
        <w:fldChar w:fldCharType="begin"/>
      </w:r>
      <w:r>
        <w:instrText xml:space="preserve"> XE "</w:instrText>
      </w:r>
      <w:r w:rsidRPr="081F3BF9">
        <w:instrText>smrt boha</w:instrText>
      </w:r>
      <w:r>
        <w:instrText xml:space="preserve">" </w:instrText>
      </w:r>
      <w:r>
        <w:fldChar w:fldCharType="end"/>
      </w:r>
      <w:r>
        <w:t>, kterou dokonala p</w:t>
      </w:r>
      <w:r>
        <w:rPr>
          <w:color w:val="000000"/>
        </w:rPr>
        <w:t>ostmoderna</w:t>
      </w:r>
      <w:r>
        <w:t xml:space="preserve">. </w:t>
      </w:r>
      <w:r w:rsidR="008A381D" w:rsidRPr="008A381D">
        <w:t xml:space="preserve">Pro Scota byla božská sylogistická pravda druhotným prvkem, pro Leibnize a </w:t>
      </w:r>
      <w:r w:rsidR="008A381D" w:rsidRPr="008A381D">
        <w:lastRenderedPageBreak/>
        <w:t xml:space="preserve">jeho následovníky se však stala </w:t>
      </w:r>
      <w:r w:rsidR="008A381D">
        <w:t>primární věcí myšlení</w:t>
      </w:r>
      <w:r w:rsidR="008A381D" w:rsidRPr="008A381D">
        <w:t>.</w:t>
      </w:r>
      <w:r w:rsidR="008A381D">
        <w:t xml:space="preserve"> </w:t>
      </w:r>
      <w:r w:rsidR="008F6C47" w:rsidRPr="008F6C47">
        <w:t>Scotova dedukce odstartovala proces sekularizace</w:t>
      </w:r>
      <w:r w:rsidR="008F6C47">
        <w:fldChar w:fldCharType="begin"/>
      </w:r>
      <w:r w:rsidR="008F6C47">
        <w:instrText xml:space="preserve"> XE "</w:instrText>
      </w:r>
      <w:r w:rsidR="008F6C47" w:rsidRPr="08966D50">
        <w:instrText>sekularizace</w:instrText>
      </w:r>
      <w:r w:rsidR="008F6C47">
        <w:instrText xml:space="preserve">" </w:instrText>
      </w:r>
      <w:r w:rsidR="008F6C47">
        <w:fldChar w:fldCharType="end"/>
      </w:r>
      <w:r w:rsidR="008F6C47" w:rsidRPr="008F6C47">
        <w:t xml:space="preserve"> Západu, protože zavedla univerzální koncept ob</w:t>
      </w:r>
      <w:r w:rsidR="008F6C47">
        <w:t>jektivity založený na moderním b</w:t>
      </w:r>
      <w:r w:rsidR="008F6C47" w:rsidRPr="008F6C47">
        <w:t xml:space="preserve">ohu. </w:t>
      </w:r>
      <w:r w:rsidR="008F6C47">
        <w:t>Ten p</w:t>
      </w:r>
      <w:r w:rsidR="008F6C47" w:rsidRPr="008F6C47">
        <w:t>rovádí logické a kategoriální uvažování s</w:t>
      </w:r>
      <w:r w:rsidR="008F6C47">
        <w:t xml:space="preserve"> absolutní </w:t>
      </w:r>
      <w:r w:rsidR="008F6C47" w:rsidRPr="008F6C47">
        <w:t>rychl</w:t>
      </w:r>
      <w:r w:rsidR="008F6C47">
        <w:t xml:space="preserve">ostí, které současný superkomputer </w:t>
      </w:r>
      <w:r w:rsidR="008F6C47" w:rsidRPr="008F6C47">
        <w:t xml:space="preserve">nikdy nedosáhne. </w:t>
      </w:r>
      <w:r>
        <w:t xml:space="preserve">Proto je tento blahoslavený františkán po kanonizovaném světci Bonaventurovi druhým zakladatelem západní sekularizace. Moderní </w:t>
      </w:r>
      <w:r w:rsidRPr="00CC235A">
        <w:rPr>
          <w:i/>
        </w:rPr>
        <w:t>deus otiosus</w:t>
      </w:r>
      <w:r>
        <w:fldChar w:fldCharType="begin"/>
      </w:r>
      <w:r>
        <w:instrText xml:space="preserve"> XE "</w:instrText>
      </w:r>
      <w:r w:rsidRPr="00CC235A">
        <w:rPr>
          <w:i/>
          <w:u w:val="single"/>
        </w:rPr>
        <w:instrText>deus otiosus</w:instrText>
      </w:r>
      <w:r>
        <w:instrText xml:space="preserve">" </w:instrText>
      </w:r>
      <w:r>
        <w:fldChar w:fldCharType="end"/>
      </w:r>
      <w:r>
        <w:t xml:space="preserve"> sice pravdivě přemýšlí, ale je od světa objektivně oddělen ve své nekonečné scholastické aktivitě. Jistěže může </w:t>
      </w:r>
      <w:r w:rsidR="005B67B9">
        <w:t xml:space="preserve">i moderní </w:t>
      </w:r>
      <w:r>
        <w:t xml:space="preserve">bůh působit jako Stvořitel. K tomu potřebuje akt vůle, která vybaví jeho primární objektivní racionalitu následnou stvořitelskou kauzalitou. Scotův objektivně definovaný bůh vždy exemplárně myslí v modu </w:t>
      </w:r>
      <w:r w:rsidRPr="08C22E9C">
        <w:rPr>
          <w:i/>
        </w:rPr>
        <w:t>semel</w:t>
      </w:r>
      <w:r>
        <w:t>‒</w:t>
      </w:r>
      <w:r w:rsidRPr="08C22E9C">
        <w:rPr>
          <w:i/>
        </w:rPr>
        <w:t>semper</w:t>
      </w:r>
      <w:r>
        <w:rPr>
          <w:i/>
        </w:rPr>
        <w:fldChar w:fldCharType="begin"/>
      </w:r>
      <w:r>
        <w:instrText xml:space="preserve"> XE "</w:instrText>
      </w:r>
      <w:r w:rsidRPr="08C22E9C">
        <w:instrText>predikace</w:instrText>
      </w:r>
      <w:r w:rsidRPr="08094FD8">
        <w:rPr>
          <w:i/>
        </w:rPr>
        <w:instrText>:semel</w:instrText>
      </w:r>
      <w:r w:rsidRPr="08094FD8">
        <w:instrText>‒</w:instrText>
      </w:r>
      <w:r w:rsidRPr="08094FD8">
        <w:rPr>
          <w:i/>
        </w:rPr>
        <w:instrText>semper</w:instrText>
      </w:r>
      <w:r>
        <w:instrText xml:space="preserve">" </w:instrText>
      </w:r>
      <w:r>
        <w:rPr>
          <w:i/>
        </w:rPr>
        <w:fldChar w:fldCharType="end"/>
      </w:r>
      <w:r>
        <w:t xml:space="preserve"> a někdy i demiurgicky koná. Bůh vyvádí exemplární obsahy svého myšlení</w:t>
      </w:r>
      <w:r w:rsidRPr="00D93885">
        <w:t xml:space="preserve"> </w:t>
      </w:r>
      <w:r>
        <w:t>do sféry primární objektivity a nedrží je ve svém intelektu nebo esenci. Raný kapitalismus založený dvojí regulí a dvojí vůli Bonaventury a Oliviho dostal nový božský subjekt, který pr</w:t>
      </w:r>
      <w:r w:rsidR="00F40DC7">
        <w:t>odukuje univerzální racionalitu</w:t>
      </w:r>
      <w:r>
        <w:t xml:space="preserve">. Moderní bůh už není pokladníkem objektivních </w:t>
      </w:r>
      <w:r w:rsidR="00962190" w:rsidRPr="00F40DC7">
        <w:t>species</w:t>
      </w:r>
      <w:r w:rsidR="00DB0373">
        <w:t>. Bůh vložil p</w:t>
      </w:r>
      <w:r w:rsidR="00DB0373" w:rsidRPr="00DB0373">
        <w:t xml:space="preserve">oklad rozumné racionality do </w:t>
      </w:r>
      <w:r w:rsidR="00DB0373">
        <w:t>„</w:t>
      </w:r>
      <w:r w:rsidR="00DB0373" w:rsidRPr="00DB0373">
        <w:rPr>
          <w:i/>
        </w:rPr>
        <w:t>brave new world</w:t>
      </w:r>
      <w:r w:rsidR="00DB0373">
        <w:t xml:space="preserve">“ </w:t>
      </w:r>
      <w:r w:rsidR="00DB0373" w:rsidRPr="00DB0373">
        <w:t>jako globá</w:t>
      </w:r>
      <w:r w:rsidR="00DB0373">
        <w:t xml:space="preserve">lního kapitalistického podniku. </w:t>
      </w:r>
      <w:r>
        <w:t xml:space="preserve">Objektivita dostala nový dějinný habitat, protože bůh dostal nový habitus myšlení. Scotus zrušil Gandavovu psychologii boží intencionality a nahradil ji logickým úsudkem boží racionality oddělené od boží podstaty. Tím také potvrdil oddělenost </w:t>
      </w:r>
      <w:r w:rsidR="003223E6">
        <w:t xml:space="preserve">prvního </w:t>
      </w:r>
      <w:r w:rsidR="0014470C">
        <w:t>„</w:t>
      </w:r>
      <w:r>
        <w:t xml:space="preserve">Nehybného </w:t>
      </w:r>
      <w:r w:rsidR="0014470C">
        <w:t xml:space="preserve">Objektivisty“ </w:t>
      </w:r>
      <w:r>
        <w:t xml:space="preserve">podle </w:t>
      </w:r>
      <w:r w:rsidRPr="08CE64ED">
        <w:rPr>
          <w:i/>
        </w:rPr>
        <w:t>Metafyziky</w:t>
      </w:r>
      <w:r>
        <w:t xml:space="preserve">, kniha </w:t>
      </w:r>
      <w:r w:rsidRPr="00A37798">
        <w:rPr>
          <w:i/>
        </w:rPr>
        <w:t>Lambda</w:t>
      </w:r>
      <w:r>
        <w:t>. E</w:t>
      </w:r>
      <w:r w:rsidRPr="00273106">
        <w:t xml:space="preserve">xemplar </w:t>
      </w:r>
      <w:r>
        <w:t xml:space="preserve">druhého averroismu se změnil </w:t>
      </w:r>
      <w:r w:rsidRPr="00273106">
        <w:t xml:space="preserve">na </w:t>
      </w:r>
      <w:r w:rsidR="00A37798">
        <w:t xml:space="preserve">demiurgickou produkci </w:t>
      </w:r>
      <w:r w:rsidRPr="00273106">
        <w:t>exemplární objektivity</w:t>
      </w:r>
      <w:r w:rsidR="00C35308">
        <w:t xml:space="preserve">, které se </w:t>
      </w:r>
      <w:r w:rsidR="00B153DE">
        <w:t xml:space="preserve">nazírá a </w:t>
      </w:r>
      <w:r w:rsidR="00C35308">
        <w:t xml:space="preserve">reflektuje </w:t>
      </w:r>
      <w:r>
        <w:t xml:space="preserve">v aktu </w:t>
      </w:r>
      <w:r w:rsidR="00A60C55">
        <w:t>kategoriální dedukce</w:t>
      </w:r>
      <w:r w:rsidRPr="00273106">
        <w:t xml:space="preserve">. </w:t>
      </w:r>
      <w:r>
        <w:t>Pokud k tomuto deduktivnímu soudu přijde i akt boží demiurgické vůle, pak tento objektivně správně a nutně daný závěr začne existovat i reálně. Objektivní adekvační teorie pravdy vychází z identity mezi exemplární</w:t>
      </w:r>
      <w:r w:rsidR="00910579">
        <w:t>m božím intelektem a objektivními závěry, které</w:t>
      </w:r>
      <w:r>
        <w:t xml:space="preserve"> tento intelekt myslí. </w:t>
      </w:r>
      <w:r w:rsidRPr="00273106">
        <w:t xml:space="preserve">Skrze </w:t>
      </w:r>
      <w:r>
        <w:t xml:space="preserve">vyzářené </w:t>
      </w:r>
      <w:r w:rsidRPr="00273106">
        <w:t xml:space="preserve">pravdy dané v božím světle </w:t>
      </w:r>
      <w:r>
        <w:t xml:space="preserve">intelektu můžeme </w:t>
      </w:r>
      <w:r w:rsidRPr="00273106">
        <w:t xml:space="preserve">vidět </w:t>
      </w:r>
      <w:r w:rsidR="00112C12">
        <w:t xml:space="preserve">proměnlivé </w:t>
      </w:r>
      <w:r w:rsidRPr="00273106">
        <w:t>js</w:t>
      </w:r>
      <w:r w:rsidR="00112C12">
        <w:t xml:space="preserve">oucno </w:t>
      </w:r>
      <w:r w:rsidR="00112C12" w:rsidRPr="00273106">
        <w:t>(</w:t>
      </w:r>
      <w:r w:rsidR="00112C12" w:rsidRPr="00273106">
        <w:rPr>
          <w:i/>
        </w:rPr>
        <w:t>sicut in continente obiectum</w:t>
      </w:r>
      <w:r w:rsidR="00112C12" w:rsidRPr="00273106">
        <w:t>)</w:t>
      </w:r>
      <w:r w:rsidR="00112C12">
        <w:t xml:space="preserve"> v modu trvalé objektivity</w:t>
      </w:r>
      <w:r w:rsidR="00AD115F">
        <w:t xml:space="preserve">. </w:t>
      </w:r>
      <w:r w:rsidR="00F74822">
        <w:t>Podle Scota o</w:t>
      </w:r>
      <w:r w:rsidR="00F74822" w:rsidRPr="00273106">
        <w:t xml:space="preserve">dpovídá </w:t>
      </w:r>
      <w:r w:rsidR="00F74822">
        <w:t>tat</w:t>
      </w:r>
      <w:r w:rsidR="00AD115F">
        <w:t xml:space="preserve">o </w:t>
      </w:r>
      <w:r w:rsidR="00F74822">
        <w:t xml:space="preserve">teorie </w:t>
      </w:r>
      <w:r w:rsidR="00AD115F">
        <w:t xml:space="preserve">smyslu </w:t>
      </w:r>
      <w:r w:rsidRPr="00273106">
        <w:t xml:space="preserve">Augustinova díla </w:t>
      </w:r>
      <w:r w:rsidRPr="00273106">
        <w:rPr>
          <w:i/>
        </w:rPr>
        <w:t>De trinitate</w:t>
      </w:r>
      <w:r w:rsidRPr="00273106">
        <w:t xml:space="preserve"> XI.14 (</w:t>
      </w:r>
      <w:r w:rsidRPr="08143E1D">
        <w:rPr>
          <w:i/>
        </w:rPr>
        <w:t>Vat.</w:t>
      </w:r>
      <w:r>
        <w:t xml:space="preserve"> III</w:t>
      </w:r>
      <w:r w:rsidRPr="00273106">
        <w:t>, no. 263, p. 161.6‒7</w:t>
      </w:r>
      <w:r>
        <w:fldChar w:fldCharType="begin"/>
      </w:r>
      <w:r>
        <w:instrText xml:space="preserve"> XE "Scotus:</w:instrText>
      </w:r>
      <w:r w:rsidRPr="00BC7ADB">
        <w:rPr>
          <w:i/>
        </w:rPr>
        <w:instrText>Ordinatio</w:instrText>
      </w:r>
      <w:r>
        <w:instrText xml:space="preserve"> 1.161.6‒7" </w:instrText>
      </w:r>
      <w:r>
        <w:fldChar w:fldCharType="end"/>
      </w:r>
      <w:r w:rsidRPr="00273106">
        <w:t xml:space="preserve">). </w:t>
      </w:r>
      <w:r>
        <w:t>Scotus provedl</w:t>
      </w:r>
      <w:r w:rsidRPr="00273106">
        <w:t xml:space="preserve"> exegezi výše uvedeného Augustinova textu o poznání skrze</w:t>
      </w:r>
      <w:r>
        <w:t xml:space="preserve"> věčné boží světlo tak, že zrušil základní tezi druhého averroismu</w:t>
      </w:r>
      <w:r w:rsidRPr="00273106">
        <w:t xml:space="preserve">. </w:t>
      </w:r>
      <w:r>
        <w:t>Světlo boží tváře sice nadále metaforicky ozařuje</w:t>
      </w:r>
      <w:r w:rsidRPr="0892383B">
        <w:t xml:space="preserve"> </w:t>
      </w:r>
      <w:r>
        <w:t xml:space="preserve">svět, ale přestalo působit jako metafyzická </w:t>
      </w:r>
      <w:r w:rsidR="00085746">
        <w:t>„</w:t>
      </w:r>
      <w:r w:rsidRPr="00043949">
        <w:rPr>
          <w:i/>
        </w:rPr>
        <w:t>causa remota</w:t>
      </w:r>
      <w:r w:rsidR="00085746">
        <w:t>“</w:t>
      </w:r>
      <w:r>
        <w:rPr>
          <w:i/>
        </w:rPr>
        <w:fldChar w:fldCharType="begin"/>
      </w:r>
      <w:r>
        <w:instrText xml:space="preserve"> XE "kauzalita:</w:instrText>
      </w:r>
      <w:r w:rsidRPr="00174191">
        <w:rPr>
          <w:i/>
        </w:rPr>
        <w:instrText>causa remota</w:instrText>
      </w:r>
      <w:r>
        <w:instrText xml:space="preserve">" </w:instrText>
      </w:r>
      <w:r>
        <w:rPr>
          <w:i/>
        </w:rPr>
        <w:fldChar w:fldCharType="end"/>
      </w:r>
      <w:r>
        <w:t xml:space="preserve"> na naše myšlení. Tezi o objektivní boží racionalitě plně pochopil a využil Leibniz</w:t>
      </w:r>
      <w:r>
        <w:fldChar w:fldCharType="begin"/>
      </w:r>
      <w:r>
        <w:instrText xml:space="preserve"> XE "</w:instrText>
      </w:r>
      <w:r w:rsidRPr="001D124E">
        <w:instrText>Leibniz, G. W.</w:instrText>
      </w:r>
      <w:r>
        <w:instrText xml:space="preserve">" </w:instrText>
      </w:r>
      <w:r>
        <w:fldChar w:fldCharType="end"/>
      </w:r>
      <w:r>
        <w:t xml:space="preserve">, který byl výborný znalec Scotovy </w:t>
      </w:r>
      <w:r>
        <w:lastRenderedPageBreak/>
        <w:t>metafyziky a dobře znal i její nedostatky (kap. 5.3.2). Scotus dokončil po Rufusovi a Bonaventurovi výstavbu západní objektivní vědy postavené mimo aktualitu první substance. Nové univerzum racionality je plně objektivní a sahá od boh</w:t>
      </w:r>
      <w:r w:rsidR="00035910">
        <w:t xml:space="preserve">a až do posledního místa kosmu. </w:t>
      </w:r>
      <w:r>
        <w:t xml:space="preserve">Scotus proti škole latinských sofistů ve druhém averroismu odmítl jakoukoliv kauzálně účinnou hypostázi v boží sféře. Zavedení </w:t>
      </w:r>
      <w:r w:rsidR="002764ED" w:rsidRPr="002764ED">
        <w:rPr>
          <w:i/>
        </w:rPr>
        <w:t>tertium ens</w:t>
      </w:r>
      <w:r w:rsidR="002764ED">
        <w:t xml:space="preserve"> </w:t>
      </w:r>
      <w:r>
        <w:t xml:space="preserve">do jednoduchého božího bytí by vneslo do boha substanční mnohost. To byla podle školy prvního averroismu jasná hereze neoplatonských </w:t>
      </w:r>
      <w:r w:rsidR="002764ED">
        <w:t>„</w:t>
      </w:r>
      <w:r w:rsidRPr="086277E9">
        <w:rPr>
          <w:i/>
        </w:rPr>
        <w:t>sequaces Aristotelis</w:t>
      </w:r>
      <w:r w:rsidR="002764ED">
        <w:t>“</w:t>
      </w:r>
      <w:r>
        <w:t xml:space="preserve">. Scotova metafyzika </w:t>
      </w:r>
      <w:r w:rsidR="00797E69">
        <w:t xml:space="preserve">otevřela </w:t>
      </w:r>
      <w:r w:rsidRPr="08E960FF">
        <w:rPr>
          <w:i/>
        </w:rPr>
        <w:t>via Modernorum</w:t>
      </w:r>
      <w:r>
        <w:t>, protože sekularizovala racionalitu mimo boží esenci a mimo stvořitelskou vůli. Nekonečn</w:t>
      </w:r>
      <w:r w:rsidR="003E777C">
        <w:t xml:space="preserve">ý bůh zůstal ve své aktuální esencialitě. Ale forma jeho myšlení se manifestuje jako objektivní racionalita, která je návodem ke správnému deduktivnímu myšlení. </w:t>
      </w:r>
      <w:r>
        <w:t xml:space="preserve">Objektivita přestala být jsoucnem třetího druhu a stala se univerzálním formálním konceptem v modu </w:t>
      </w:r>
      <w:r w:rsidRPr="001B60DF">
        <w:rPr>
          <w:i/>
        </w:rPr>
        <w:t>secundum quid</w:t>
      </w:r>
      <w:r>
        <w:rPr>
          <w:i/>
        </w:rPr>
        <w:fldChar w:fldCharType="begin"/>
      </w:r>
      <w:r>
        <w:instrText xml:space="preserve"> XE "predikace:</w:instrText>
      </w:r>
      <w:r w:rsidRPr="009B093D">
        <w:rPr>
          <w:i/>
        </w:rPr>
        <w:instrText>secundum quid</w:instrText>
      </w:r>
      <w:r>
        <w:instrText xml:space="preserve">" </w:instrText>
      </w:r>
      <w:r>
        <w:rPr>
          <w:i/>
        </w:rPr>
        <w:fldChar w:fldCharType="end"/>
      </w:r>
      <w:r>
        <w:t xml:space="preserve">. Není třeba multiplikovat jsoucna třetího druhu, když na vysvětlení objektivity stačí modernizovaný avicennismus a aristotelismus. Nově utvořená forma dedukce založila finální </w:t>
      </w:r>
      <w:r w:rsidRPr="087F080C">
        <w:rPr>
          <w:i/>
        </w:rPr>
        <w:t>dativus incommodi</w:t>
      </w:r>
      <w:r>
        <w:rPr>
          <w:i/>
        </w:rPr>
        <w:fldChar w:fldCharType="begin"/>
      </w:r>
      <w:r>
        <w:instrText xml:space="preserve"> XE "</w:instrText>
      </w:r>
      <w:r w:rsidRPr="08C93EAC">
        <w:rPr>
          <w:i/>
        </w:rPr>
        <w:instrText>dativus incommodi</w:instrText>
      </w:r>
      <w:r>
        <w:instrText xml:space="preserve">" </w:instrText>
      </w:r>
      <w:r>
        <w:rPr>
          <w:i/>
        </w:rPr>
        <w:fldChar w:fldCharType="end"/>
      </w:r>
      <w:r>
        <w:t xml:space="preserve">, který poslal školu druhého averroismu do </w:t>
      </w:r>
      <w:r w:rsidR="004557DA">
        <w:t>L</w:t>
      </w:r>
      <w:r w:rsidRPr="004557DA">
        <w:t>éthé</w:t>
      </w:r>
      <w:r w:rsidR="00035910">
        <w:t>.</w:t>
      </w:r>
    </w:p>
    <w:p w:rsidR="00C2246E" w:rsidRDefault="08163013" w:rsidP="00035910">
      <w:pPr>
        <w:ind w:firstLine="397"/>
      </w:pPr>
      <w:r>
        <w:t xml:space="preserve">Projděme Scotovo schéma objektivní emanace vědecké racionality ustavené podle </w:t>
      </w:r>
      <w:r w:rsidRPr="08153ECA">
        <w:rPr>
          <w:i/>
        </w:rPr>
        <w:t>Druhých analytik</w:t>
      </w:r>
      <w:r>
        <w:t xml:space="preserve">. </w:t>
      </w:r>
      <w:r w:rsidR="00AB3E6E">
        <w:t xml:space="preserve">Deduktivní </w:t>
      </w:r>
      <w:r>
        <w:t>sylogismus</w:t>
      </w:r>
      <w:r>
        <w:fldChar w:fldCharType="begin"/>
      </w:r>
      <w:r>
        <w:instrText xml:space="preserve"> XE "praktický sylogismus" </w:instrText>
      </w:r>
      <w:r>
        <w:fldChar w:fldCharType="end"/>
      </w:r>
      <w:r>
        <w:t xml:space="preserve"> sm</w:t>
      </w:r>
      <w:r w:rsidR="00C2246E">
        <w:t>ěrem od boha vypadá následovně.</w:t>
      </w:r>
    </w:p>
    <w:p w:rsidR="00C2246E" w:rsidRDefault="08163013" w:rsidP="00C2246E">
      <w:pPr>
        <w:numPr>
          <w:ilvl w:val="0"/>
          <w:numId w:val="12"/>
        </w:numPr>
      </w:pPr>
      <w:r w:rsidRPr="00A23FA5">
        <w:rPr>
          <w:i/>
        </w:rPr>
        <w:t>Maior</w:t>
      </w:r>
      <w:r w:rsidR="00C2246E">
        <w:t xml:space="preserve">: Oddělený boží intelekt jako </w:t>
      </w:r>
      <w:r>
        <w:t>esence</w:t>
      </w:r>
      <w:r w:rsidR="00C2246E">
        <w:t xml:space="preserve"> a </w:t>
      </w:r>
      <w:r>
        <w:t xml:space="preserve">kauza bytující v intimním modu nekonečné </w:t>
      </w:r>
      <w:r w:rsidR="00F10881">
        <w:t xml:space="preserve">boží </w:t>
      </w:r>
      <w:r>
        <w:t>aktuality a bytí (</w:t>
      </w:r>
      <w:r w:rsidRPr="00196288">
        <w:rPr>
          <w:i/>
        </w:rPr>
        <w:t>causa obiecti in se</w:t>
      </w:r>
      <w:r w:rsidR="00C2246E">
        <w:t>).</w:t>
      </w:r>
    </w:p>
    <w:p w:rsidR="00C2246E" w:rsidRDefault="08163013" w:rsidP="00C2246E">
      <w:pPr>
        <w:numPr>
          <w:ilvl w:val="0"/>
          <w:numId w:val="12"/>
        </w:numPr>
      </w:pPr>
      <w:r w:rsidRPr="00A23FA5">
        <w:rPr>
          <w:i/>
        </w:rPr>
        <w:t>Minor</w:t>
      </w:r>
      <w:r>
        <w:t>: Výměr inteligibilních obsahů daných v božím intelektu formou intuitivního náhledu (</w:t>
      </w:r>
      <w:r>
        <w:rPr>
          <w:i/>
        </w:rPr>
        <w:t>exemplar, ratio</w:t>
      </w:r>
      <w:r w:rsidRPr="00196288">
        <w:rPr>
          <w:i/>
        </w:rPr>
        <w:t xml:space="preserve"> obiecti</w:t>
      </w:r>
      <w:r>
        <w:rPr>
          <w:i/>
        </w:rPr>
        <w:t xml:space="preserve">, </w:t>
      </w:r>
      <w:r w:rsidRPr="00273106">
        <w:rPr>
          <w:i/>
        </w:rPr>
        <w:t>esse</w:t>
      </w:r>
      <w:r>
        <w:rPr>
          <w:i/>
        </w:rPr>
        <w:t xml:space="preserve"> tale, ponibilia, </w:t>
      </w:r>
      <w:r w:rsidRPr="00273106">
        <w:rPr>
          <w:i/>
        </w:rPr>
        <w:t>factibilia</w:t>
      </w:r>
      <w:r w:rsidR="00C2246E">
        <w:t>).</w:t>
      </w:r>
    </w:p>
    <w:p w:rsidR="00C2246E" w:rsidRDefault="08163013" w:rsidP="00C2246E">
      <w:pPr>
        <w:numPr>
          <w:ilvl w:val="0"/>
          <w:numId w:val="12"/>
        </w:numPr>
      </w:pPr>
      <w:r w:rsidRPr="00A23FA5">
        <w:rPr>
          <w:i/>
        </w:rPr>
        <w:t>Ergo</w:t>
      </w:r>
      <w:r>
        <w:t>: Nutné pravdy a regule vyzářené v modu věčného světla do světa pro lidský intelekt (</w:t>
      </w:r>
      <w:r w:rsidRPr="00EF1DDF">
        <w:rPr>
          <w:i/>
        </w:rPr>
        <w:t>lux aeterna</w:t>
      </w:r>
      <w:r>
        <w:t xml:space="preserve">, </w:t>
      </w:r>
      <w:r>
        <w:rPr>
          <w:i/>
        </w:rPr>
        <w:t>cognitio certa, esse intelligibile, ens obiective</w:t>
      </w:r>
      <w:r w:rsidR="00C2246E">
        <w:t>).</w:t>
      </w:r>
    </w:p>
    <w:p w:rsidR="003E777C" w:rsidRDefault="08163013" w:rsidP="00C2246E">
      <w:r>
        <w:t xml:space="preserve">Střední člen </w:t>
      </w:r>
      <w:r w:rsidR="00FC0BD9">
        <w:t xml:space="preserve">božího </w:t>
      </w:r>
      <w:r>
        <w:t>soudu je pro nás poznatelný v naší konečné racionalitě</w:t>
      </w:r>
      <w:r w:rsidR="00A26FE2">
        <w:t xml:space="preserve">. Jde </w:t>
      </w:r>
      <w:r>
        <w:t xml:space="preserve">o způsob sylogistického uvažování daný od boha v nekonečném modu. Boží nekonečně bystrá mysl vnesla do poznávajího soudu daném v sekundárním modu původní primární stvořitelskou kauzalitu a racionální exemplaritu, ale ta v nové formě vědecké dedukce figuruje pouze skrze formu sylogistického závěru. </w:t>
      </w:r>
      <w:r w:rsidR="005B2FCE" w:rsidRPr="005B2FCE">
        <w:t xml:space="preserve">Božská racionalita nyní funguje v nové podobě vědecké dedukce, tj. pouze jako čistě racionální forma. </w:t>
      </w:r>
      <w:r w:rsidR="005B2FCE">
        <w:t xml:space="preserve">Nasledujíc </w:t>
      </w:r>
      <w:r w:rsidR="005B2FCE" w:rsidRPr="005B2FCE">
        <w:t>první averroismu</w:t>
      </w:r>
      <w:r w:rsidR="005B2FCE">
        <w:t>s</w:t>
      </w:r>
      <w:r w:rsidR="00215D6D">
        <w:t xml:space="preserve"> daný pro něj jako tomismus</w:t>
      </w:r>
      <w:r w:rsidR="005B2FCE">
        <w:t xml:space="preserve">, </w:t>
      </w:r>
      <w:r w:rsidR="005B2FCE" w:rsidRPr="005B2FCE">
        <w:t xml:space="preserve"> Scotus oddělil formální </w:t>
      </w:r>
      <w:r w:rsidR="005B2FCE">
        <w:t xml:space="preserve">kauzalitu </w:t>
      </w:r>
      <w:r w:rsidR="005B2FCE" w:rsidRPr="005B2FCE">
        <w:t xml:space="preserve">povahu poznání od účinné </w:t>
      </w:r>
      <w:r w:rsidR="005B2FCE">
        <w:t xml:space="preserve">kauzality dané </w:t>
      </w:r>
      <w:r w:rsidR="005B2FCE" w:rsidRPr="005B2FCE">
        <w:lastRenderedPageBreak/>
        <w:t>stvoření</w:t>
      </w:r>
      <w:r w:rsidR="005B2FCE">
        <w:t>m</w:t>
      </w:r>
      <w:r w:rsidR="005B2FCE" w:rsidRPr="005B2FCE">
        <w:t>.</w:t>
      </w:r>
      <w:r w:rsidR="008023AA">
        <w:t xml:space="preserve"> </w:t>
      </w:r>
      <w:r w:rsidR="00C95147">
        <w:t xml:space="preserve">Bývalé </w:t>
      </w:r>
      <w:r>
        <w:t>exemplar</w:t>
      </w:r>
      <w:r w:rsidR="00C95147">
        <w:t xml:space="preserve">y dané jako </w:t>
      </w:r>
      <w:r w:rsidR="00C95147" w:rsidRPr="00C95147">
        <w:rPr>
          <w:i/>
        </w:rPr>
        <w:t>tertium ens</w:t>
      </w:r>
      <w:r w:rsidR="00C95147">
        <w:t xml:space="preserve"> zmizely a </w:t>
      </w:r>
      <w:r>
        <w:t xml:space="preserve">vzhledem ke světu se </w:t>
      </w:r>
      <w:r w:rsidR="00C95147">
        <w:t xml:space="preserve">manifestují pouze </w:t>
      </w:r>
      <w:r>
        <w:t>nutný</w:t>
      </w:r>
      <w:r w:rsidR="00C95147">
        <w:t>m</w:t>
      </w:r>
      <w:r w:rsidR="008023AA">
        <w:t>i</w:t>
      </w:r>
      <w:r w:rsidR="00C95147">
        <w:t xml:space="preserve"> a věčným</w:t>
      </w:r>
      <w:r w:rsidR="008023AA">
        <w:t>i</w:t>
      </w:r>
      <w:r w:rsidR="00C95147">
        <w:t xml:space="preserve"> závěry</w:t>
      </w:r>
      <w:r>
        <w:t xml:space="preserve"> demonstrativního soudu. Jako střední člen </w:t>
      </w:r>
      <w:r w:rsidR="00001921">
        <w:t xml:space="preserve">sylogismu </w:t>
      </w:r>
      <w:r>
        <w:t>funguje boží racionalita daná aktualitou intuitivního božího náhledu. Objektivní podoba boží racionality není dána kauzálně-efektivně jako v případě stvořitelské vůle, ale pouze objektivně-formálně. Boží myšlení je poznatelné v jeho objektivních závěrech ve stvoření (</w:t>
      </w:r>
      <w:r w:rsidRPr="00326C60">
        <w:rPr>
          <w:i/>
        </w:rPr>
        <w:t>vestigium</w:t>
      </w:r>
      <w:r>
        <w:rPr>
          <w:i/>
        </w:rPr>
        <w:fldChar w:fldCharType="begin"/>
      </w:r>
      <w:r>
        <w:instrText xml:space="preserve"> XE "</w:instrText>
      </w:r>
      <w:r w:rsidRPr="00757030">
        <w:rPr>
          <w:i/>
        </w:rPr>
        <w:instrText>vestigium</w:instrText>
      </w:r>
      <w:r>
        <w:instrText xml:space="preserve">" </w:instrText>
      </w:r>
      <w:r>
        <w:rPr>
          <w:i/>
        </w:rPr>
        <w:fldChar w:fldCharType="end"/>
      </w:r>
      <w:r>
        <w:t xml:space="preserve">). Základní racionalita poznání zrcadlí univerzum věčných pravd daných intimně v bohu, a to ve formě nutného demonstrativního závěru daného ve světě. </w:t>
      </w:r>
      <w:r w:rsidRPr="00273106">
        <w:t xml:space="preserve">Objektivita </w:t>
      </w:r>
      <w:r>
        <w:t xml:space="preserve">daná v této kombinaci </w:t>
      </w:r>
      <w:r w:rsidRPr="00273106">
        <w:t>formá</w:t>
      </w:r>
      <w:r>
        <w:t>lní a finální kauzality</w:t>
      </w:r>
      <w:r w:rsidRPr="00273106">
        <w:t xml:space="preserve"> vede lidský rozum k jistému poznání (</w:t>
      </w:r>
      <w:r w:rsidRPr="00273106">
        <w:rPr>
          <w:i/>
        </w:rPr>
        <w:t>movent intellectum ad cognitionem certam</w:t>
      </w:r>
      <w:r w:rsidRPr="00273106">
        <w:t xml:space="preserve">). </w:t>
      </w:r>
      <w:r>
        <w:t xml:space="preserve">Scotus dosadil do schématu adekvace formální a esenciální kauzalitu poznání od boha k člověku. Bůh poznává stejný potenciální a nutný koncept esence v nekonečném modu a člověk v konečném modu. Ale oba </w:t>
      </w:r>
      <w:r w:rsidR="00AB5496">
        <w:t xml:space="preserve">subjekty </w:t>
      </w:r>
      <w:r>
        <w:t xml:space="preserve">poznávají stejnou objektivní pravdu a ve stejně dané nutnosti dané demonstrativní formou objektivní dedukce. Schéma </w:t>
      </w:r>
      <w:r w:rsidRPr="08147BF2">
        <w:rPr>
          <w:i/>
        </w:rPr>
        <w:t>Druhých analytik</w:t>
      </w:r>
      <w:r>
        <w:t xml:space="preserve"> v modu </w:t>
      </w:r>
      <w:r w:rsidRPr="00A97E41">
        <w:rPr>
          <w:i/>
        </w:rPr>
        <w:t>Oxfordian Fallacy</w:t>
      </w:r>
      <w:r>
        <w:t xml:space="preserve"> </w:t>
      </w:r>
      <w:r w:rsidRPr="08147BF2">
        <w:fldChar w:fldCharType="begin"/>
      </w:r>
      <w:r w:rsidRPr="08147BF2">
        <w:instrText xml:space="preserve"> XE "</w:instrText>
      </w:r>
      <w:r w:rsidRPr="08A00561">
        <w:rPr>
          <w:i/>
        </w:rPr>
        <w:instrText>Oxfordian Fallacy</w:instrText>
      </w:r>
      <w:r w:rsidRPr="08147BF2">
        <w:instrText xml:space="preserve">:Scotus" </w:instrText>
      </w:r>
      <w:r w:rsidRPr="08147BF2">
        <w:fldChar w:fldCharType="end"/>
      </w:r>
      <w:r>
        <w:t xml:space="preserve">univočně </w:t>
      </w:r>
      <w:r w:rsidRPr="08147BF2">
        <w:t>platí</w:t>
      </w:r>
      <w:r>
        <w:t xml:space="preserve"> jak pro boha, tak pro člověka</w:t>
      </w:r>
      <w:r w:rsidR="006545C6">
        <w:t>. A</w:t>
      </w:r>
      <w:r>
        <w:t xml:space="preserve">le my vnímáme původní racionalitu pouze v modu </w:t>
      </w:r>
      <w:r w:rsidR="006545C6">
        <w:t>„</w:t>
      </w:r>
      <w:r w:rsidRPr="08232F85">
        <w:rPr>
          <w:i/>
        </w:rPr>
        <w:t>quoad nos</w:t>
      </w:r>
      <w:r w:rsidR="006545C6">
        <w:t>“</w:t>
      </w:r>
      <w:r>
        <w:t xml:space="preserve">. Tato forma božího myšlení je dána v modu </w:t>
      </w:r>
      <w:r w:rsidR="00D515F0">
        <w:t>„</w:t>
      </w:r>
      <w:r w:rsidRPr="08392D8A">
        <w:rPr>
          <w:i/>
        </w:rPr>
        <w:t>semel</w:t>
      </w:r>
      <w:r>
        <w:t>‒</w:t>
      </w:r>
      <w:r w:rsidRPr="08392D8A">
        <w:rPr>
          <w:i/>
        </w:rPr>
        <w:t>semper</w:t>
      </w:r>
      <w:r w:rsidR="00D515F0">
        <w:t>“</w:t>
      </w:r>
      <w:r>
        <w:t xml:space="preserve"> i před stvořením světa. Proto platí absolutně a tedy zcela odděleně od aktuálně existující první substance. Aristotelova první substance daná jako základní kámen vědy ve </w:t>
      </w:r>
      <w:r w:rsidRPr="08931CE3">
        <w:rPr>
          <w:i/>
        </w:rPr>
        <w:t>Druhých analytikách</w:t>
      </w:r>
      <w:r>
        <w:t xml:space="preserve"> není v první fázi dedukce objektivity vůbec přítomná</w:t>
      </w:r>
      <w:r w:rsidR="00B41A7F">
        <w:t>. T</w:t>
      </w:r>
      <w:r>
        <w:t xml:space="preserve">ranscendentální forma objektivity je dána </w:t>
      </w:r>
      <w:r w:rsidR="00B41A7F" w:rsidRPr="00CA3058">
        <w:rPr>
          <w:i/>
        </w:rPr>
        <w:t>per prius</w:t>
      </w:r>
      <w:r w:rsidR="00B41A7F">
        <w:rPr>
          <w:i/>
        </w:rPr>
        <w:t xml:space="preserve"> </w:t>
      </w:r>
      <w:r>
        <w:t xml:space="preserve">přímo od boha: logicky, nutně, </w:t>
      </w:r>
      <w:r w:rsidR="003E777C">
        <w:t>esenciálně a formálně-kauzálně.</w:t>
      </w:r>
    </w:p>
    <w:p w:rsidR="08163013" w:rsidRPr="00273106" w:rsidRDefault="08163013" w:rsidP="08163013">
      <w:r>
        <w:tab/>
      </w:r>
      <w:r w:rsidR="00391183" w:rsidRPr="00391183">
        <w:t xml:space="preserve">Další otázka sleduje odvození pravdy a poznání z nutné božské racionality. Směr dedukce v </w:t>
      </w:r>
      <w:r w:rsidR="008C2D4A" w:rsidRPr="008C2D4A">
        <w:rPr>
          <w:i/>
        </w:rPr>
        <w:t>Ordinatio I</w:t>
      </w:r>
      <w:r w:rsidR="00391183" w:rsidRPr="00391183">
        <w:t xml:space="preserve"> je oproti </w:t>
      </w:r>
      <w:r w:rsidR="008C2D4A" w:rsidRPr="008C2D4A">
        <w:rPr>
          <w:i/>
        </w:rPr>
        <w:t>Lectura I</w:t>
      </w:r>
      <w:r w:rsidR="00391183" w:rsidRPr="00391183">
        <w:t xml:space="preserve"> obrácený, neboť reflexe se odvíjí od stvoření k Bohu. Otázka zní takto: Jak je stopa Trojice pravdivě a nutně dána ve stvoření? </w:t>
      </w:r>
      <w:r w:rsidR="009F5BEF" w:rsidRPr="009F5BEF">
        <w:t xml:space="preserve">Scotus zrušil poslední zbytky avicenistické dedukce, které oxfordská verze objektivní dedukce ještě obsahovala při psaní </w:t>
      </w:r>
      <w:r w:rsidR="008C2D4A" w:rsidRPr="008C2D4A">
        <w:rPr>
          <w:i/>
        </w:rPr>
        <w:t>Lectura I</w:t>
      </w:r>
      <w:r w:rsidR="009F5BEF" w:rsidRPr="009F5BEF">
        <w:t xml:space="preserve">. </w:t>
      </w:r>
      <w:r>
        <w:t xml:space="preserve">Vliv </w:t>
      </w:r>
      <w:r w:rsidR="009F5BEF">
        <w:t xml:space="preserve">neoplatonské </w:t>
      </w:r>
      <w:r w:rsidRPr="082E73A6">
        <w:rPr>
          <w:i/>
        </w:rPr>
        <w:t xml:space="preserve">Liber de causis </w:t>
      </w:r>
      <w:r>
        <w:t xml:space="preserve">ustoupil během pařížského pobytu logice a vědě dedukované podle </w:t>
      </w:r>
      <w:r w:rsidRPr="082E73A6">
        <w:rPr>
          <w:i/>
        </w:rPr>
        <w:t>Druhých analy</w:t>
      </w:r>
      <w:r>
        <w:t xml:space="preserve">tik. </w:t>
      </w:r>
      <w:r w:rsidR="009141E5" w:rsidRPr="009141E5">
        <w:t>Nová teorie dedukce vycházela ze schématu aristotelské metafyziky tomistické provenience, k</w:t>
      </w:r>
      <w:r w:rsidR="009141E5">
        <w:t xml:space="preserve">teré se Scotus naučil v Paříži. </w:t>
      </w:r>
      <w:r w:rsidRPr="08B2032C">
        <w:t>Další</w:t>
      </w:r>
      <w:r w:rsidRPr="00273106">
        <w:t xml:space="preserve"> část </w:t>
      </w:r>
      <w:r w:rsidR="008C2D4A" w:rsidRPr="008C2D4A">
        <w:rPr>
          <w:i/>
        </w:rPr>
        <w:t>Ordinatio I</w:t>
      </w:r>
      <w:r w:rsidRPr="00273106">
        <w:t xml:space="preserve"> </w:t>
      </w:r>
      <w:r>
        <w:t xml:space="preserve">proto zkoumá v traktátu </w:t>
      </w:r>
      <w:r w:rsidRPr="00273106">
        <w:rPr>
          <w:i/>
        </w:rPr>
        <w:t>De vestigio</w:t>
      </w:r>
      <w:r w:rsidRPr="00273106">
        <w:t xml:space="preserve"> </w:t>
      </w:r>
      <w:r w:rsidR="00DC6463">
        <w:t>objektivitu</w:t>
      </w:r>
      <w:r w:rsidRPr="00273106">
        <w:t xml:space="preserve"> ve stvoření. </w:t>
      </w:r>
      <w:r w:rsidR="004C74B9">
        <w:t>E</w:t>
      </w:r>
      <w:r w:rsidR="004C74B9" w:rsidRPr="00273106">
        <w:t>xemplární charakter</w:t>
      </w:r>
      <w:r w:rsidR="004C74B9">
        <w:t xml:space="preserve"> nutných božích pravd zrušil neoplatonské</w:t>
      </w:r>
      <w:r>
        <w:t xml:space="preserve"> </w:t>
      </w:r>
      <w:r w:rsidRPr="00273106">
        <w:t>atribut</w:t>
      </w:r>
      <w:r w:rsidR="004C74B9">
        <w:t>y</w:t>
      </w:r>
      <w:r w:rsidRPr="00273106">
        <w:t xml:space="preserve"> věčnosti, exemp</w:t>
      </w:r>
      <w:r w:rsidR="004C74B9">
        <w:t xml:space="preserve">lární nutnosti a neměnnosti, které nahradila </w:t>
      </w:r>
      <w:r w:rsidRPr="00273106">
        <w:t>kontingentní form</w:t>
      </w:r>
      <w:r w:rsidR="004C74B9">
        <w:t>a</w:t>
      </w:r>
      <w:r w:rsidRPr="00273106">
        <w:t xml:space="preserve"> objektivity. Scotus se vr</w:t>
      </w:r>
      <w:r w:rsidR="004C74B9">
        <w:t xml:space="preserve">átil </w:t>
      </w:r>
      <w:r w:rsidRPr="00273106">
        <w:t>k základnímu východi</w:t>
      </w:r>
      <w:r>
        <w:t xml:space="preserve">sku druhého averroismu, tedy k </w:t>
      </w:r>
      <w:r w:rsidRPr="00273106">
        <w:t xml:space="preserve">citaci </w:t>
      </w:r>
      <w:r w:rsidRPr="08C776A0">
        <w:rPr>
          <w:i/>
        </w:rPr>
        <w:t>Knihy moudrosti</w:t>
      </w:r>
      <w:r w:rsidRPr="00273106">
        <w:t xml:space="preserve"> </w:t>
      </w:r>
      <w:r w:rsidRPr="00273106">
        <w:rPr>
          <w:rStyle w:val="Zvraznn"/>
          <w:i w:val="0"/>
        </w:rPr>
        <w:t xml:space="preserve">o uspořádání kosmu podle </w:t>
      </w:r>
      <w:r>
        <w:lastRenderedPageBreak/>
        <w:t xml:space="preserve">podle míry, počtu a váhy </w:t>
      </w:r>
      <w:r w:rsidRPr="00273106">
        <w:rPr>
          <w:rStyle w:val="Zvraznn"/>
          <w:i w:val="0"/>
        </w:rPr>
        <w:t>(</w:t>
      </w:r>
      <w:r w:rsidRPr="00273106">
        <w:rPr>
          <w:i/>
        </w:rPr>
        <w:t>omnia in mensura, et numero et pondere disposuisti</w:t>
      </w:r>
      <w:r w:rsidRPr="007504D0">
        <w:t xml:space="preserve">, </w:t>
      </w:r>
      <w:r w:rsidR="00C2560F">
        <w:t>kap. 4.</w:t>
      </w:r>
      <w:r w:rsidRPr="00273106">
        <w:t>1</w:t>
      </w:r>
      <w:r w:rsidR="00C2560F">
        <w:t>.3</w:t>
      </w:r>
      <w:r>
        <w:rPr>
          <w:rStyle w:val="st"/>
        </w:rPr>
        <w:fldChar w:fldCharType="begin"/>
      </w:r>
      <w:r>
        <w:instrText xml:space="preserve"> XE "</w:instrText>
      </w:r>
      <w:r w:rsidRPr="00FD00D1">
        <w:instrText>Starý zákon</w:instrText>
      </w:r>
      <w:r w:rsidRPr="0046213D">
        <w:instrText>:</w:instrText>
      </w:r>
      <w:r w:rsidRPr="00FD00D1">
        <w:instrText>Moudr</w:instrText>
      </w:r>
      <w:r>
        <w:rPr>
          <w:i/>
        </w:rPr>
        <w:instrText>.</w:instrText>
      </w:r>
      <w:r w:rsidRPr="00142FB3">
        <w:instrText xml:space="preserve"> </w:instrText>
      </w:r>
      <w:r>
        <w:rPr>
          <w:rStyle w:val="st"/>
        </w:rPr>
        <w:instrText>11.</w:instrText>
      </w:r>
      <w:r w:rsidRPr="00142FB3">
        <w:rPr>
          <w:rStyle w:val="st"/>
        </w:rPr>
        <w:instrText>21</w:instrText>
      </w:r>
      <w:r>
        <w:instrText xml:space="preserve">" </w:instrText>
      </w:r>
      <w:r>
        <w:rPr>
          <w:rStyle w:val="st"/>
        </w:rPr>
        <w:fldChar w:fldCharType="end"/>
      </w:r>
      <w:r>
        <w:rPr>
          <w:rStyle w:val="Zvraznn"/>
          <w:i w:val="0"/>
        </w:rPr>
        <w:t>)</w:t>
      </w:r>
      <w:r w:rsidRPr="00273106">
        <w:t>. Pro hledání sounáležitosti boha a stvoření je klíčová otázka míry (</w:t>
      </w:r>
      <w:r w:rsidRPr="00273106">
        <w:rPr>
          <w:i/>
        </w:rPr>
        <w:t>mensura</w:t>
      </w:r>
      <w:r w:rsidRPr="00273106">
        <w:t xml:space="preserve">), kterou Scotus chápe mimo klasické schéma </w:t>
      </w:r>
      <w:r>
        <w:t>neoplatonsk</w:t>
      </w:r>
      <w:r w:rsidRPr="00273106">
        <w:t>é kauzality</w:t>
      </w:r>
      <w:r w:rsidR="006D4F71">
        <w:t xml:space="preserve">. Ty bylo dané </w:t>
      </w:r>
      <w:r>
        <w:t xml:space="preserve">působením hypostázovaných forem </w:t>
      </w:r>
      <w:r w:rsidR="006D4F71">
        <w:t xml:space="preserve">podle </w:t>
      </w:r>
      <w:r w:rsidRPr="009F576B">
        <w:rPr>
          <w:i/>
        </w:rPr>
        <w:t>Liber de causis</w:t>
      </w:r>
      <w:r>
        <w:rPr>
          <w:i/>
        </w:rPr>
        <w:fldChar w:fldCharType="begin"/>
      </w:r>
      <w:r>
        <w:instrText xml:space="preserve"> XE "</w:instrText>
      </w:r>
      <w:r w:rsidRPr="00C46BD8">
        <w:rPr>
          <w:i/>
        </w:rPr>
        <w:instrText>Liber de causis</w:instrText>
      </w:r>
      <w:r>
        <w:instrText xml:space="preserve">" </w:instrText>
      </w:r>
      <w:r>
        <w:rPr>
          <w:i/>
        </w:rPr>
        <w:fldChar w:fldCharType="end"/>
      </w:r>
      <w:r>
        <w:t xml:space="preserve"> a Bonaventurových exemplarů. Jsoucna třetího druhu ve stvoření</w:t>
      </w:r>
      <w:r w:rsidRPr="00841DE6">
        <w:t xml:space="preserve"> </w:t>
      </w:r>
      <w:r>
        <w:t>neexistují. Aristotelský Scotus po vzoru p</w:t>
      </w:r>
      <w:r w:rsidR="009775BA">
        <w:t xml:space="preserve">rvního averroismu zrušil všechny formy </w:t>
      </w:r>
      <w:r w:rsidRPr="00841DE6">
        <w:rPr>
          <w:i/>
        </w:rPr>
        <w:t>tertium ens</w:t>
      </w:r>
      <w:r>
        <w:rPr>
          <w:i/>
        </w:rPr>
        <w:fldChar w:fldCharType="begin"/>
      </w:r>
      <w:r>
        <w:instrText xml:space="preserve"> XE "</w:instrText>
      </w:r>
      <w:r w:rsidRPr="002F10B4">
        <w:rPr>
          <w:rStyle w:val="Zvraznn"/>
        </w:rPr>
        <w:instrText>tertium ens</w:instrText>
      </w:r>
      <w:r>
        <w:rPr>
          <w:rStyle w:val="Zvraznn"/>
          <w:i w:val="0"/>
        </w:rPr>
        <w:instrText>:kritika Scota</w:instrText>
      </w:r>
      <w:r>
        <w:instrText xml:space="preserve">" </w:instrText>
      </w:r>
      <w:r>
        <w:rPr>
          <w:i/>
        </w:rPr>
        <w:fldChar w:fldCharType="end"/>
      </w:r>
      <w:r>
        <w:t xml:space="preserve">. Buď jsou dány první substance v realitě, nebo univerzálie v mysli. </w:t>
      </w:r>
      <w:r w:rsidRPr="00273106">
        <w:t xml:space="preserve">Spis </w:t>
      </w:r>
      <w:r w:rsidR="008C2D4A" w:rsidRPr="008C2D4A">
        <w:rPr>
          <w:rStyle w:val="addmd"/>
          <w:i/>
        </w:rPr>
        <w:t>Ordinatio I</w:t>
      </w:r>
      <w:r w:rsidRPr="00273106">
        <w:t xml:space="preserve"> zrušil základní schéma druhého aver</w:t>
      </w:r>
      <w:r w:rsidR="008B3F77">
        <w:t>oismu</w:t>
      </w:r>
      <w:r w:rsidRPr="00273106">
        <w:t xml:space="preserve">, které stálo na </w:t>
      </w:r>
      <w:r w:rsidR="008B3F77">
        <w:t>ontoteologické p</w:t>
      </w:r>
      <w:r w:rsidRPr="00273106">
        <w:t xml:space="preserve">odobnosti Stvořitele a jeho díla. </w:t>
      </w:r>
      <w:r>
        <w:t xml:space="preserve">Tato klíčová část nové metafyziky byla psaná v Paříži, protože obsahuje přímou kritiku Bonaventurovy moderny. </w:t>
      </w:r>
      <w:r w:rsidR="00CA46B3" w:rsidRPr="00CA46B3">
        <w:t xml:space="preserve">Pojednání se vrací k metafyzickému </w:t>
      </w:r>
      <w:r w:rsidR="00CA46B3">
        <w:t>východisku objektivního bytí. To je dáno</w:t>
      </w:r>
      <w:r w:rsidR="00CA46B3" w:rsidRPr="00CA46B3">
        <w:t xml:space="preserve"> v božském myšlení a v </w:t>
      </w:r>
      <w:r w:rsidR="00CA46B3">
        <w:t xml:space="preserve">našem myšlení je nutně odvozeno </w:t>
      </w:r>
      <w:r w:rsidR="00CA46B3" w:rsidRPr="00CA46B3">
        <w:t xml:space="preserve">díky </w:t>
      </w:r>
      <w:r w:rsidR="00CA46B3">
        <w:t xml:space="preserve">univoční </w:t>
      </w:r>
      <w:r w:rsidR="00CA46B3" w:rsidRPr="00CA46B3">
        <w:t xml:space="preserve">objektivní racionalitě. </w:t>
      </w:r>
      <w:r>
        <w:t xml:space="preserve">Metafyzická dedukce v řádu objektivní racionality obsahuje nutnou míru podobnosti mezi boží a lidskou racionalitou v Averroesově </w:t>
      </w:r>
      <w:r w:rsidR="00EE3DED">
        <w:t xml:space="preserve">pojetí </w:t>
      </w:r>
      <w:r>
        <w:t xml:space="preserve">pravdy jako </w:t>
      </w:r>
      <w:r w:rsidRPr="08040308">
        <w:rPr>
          <w:i/>
        </w:rPr>
        <w:t>proportio</w:t>
      </w:r>
      <w:r>
        <w:fldChar w:fldCharType="begin"/>
      </w:r>
      <w:r>
        <w:instrText xml:space="preserve"> XE "</w:instrText>
      </w:r>
      <w:r w:rsidRPr="004C79A1">
        <w:instrText>pravda:</w:instrText>
      </w:r>
      <w:r w:rsidRPr="00493603">
        <w:rPr>
          <w:i/>
        </w:rPr>
        <w:instrText>proportio</w:instrText>
      </w:r>
      <w:r>
        <w:instrText xml:space="preserve">" </w:instrText>
      </w:r>
      <w:r>
        <w:fldChar w:fldCharType="end"/>
      </w:r>
      <w:r>
        <w:t>.</w:t>
      </w:r>
    </w:p>
    <w:p w:rsidR="08163013" w:rsidRPr="00DA52B5" w:rsidRDefault="08163013" w:rsidP="08163013">
      <w:pPr>
        <w:pStyle w:val="Citace"/>
        <w:rPr>
          <w:noProof/>
          <w:lang w:val="cs-CZ"/>
        </w:rPr>
      </w:pPr>
      <w:r w:rsidRPr="00273106">
        <w:rPr>
          <w:rStyle w:val="CitaceChar"/>
          <w:lang w:val="cs-CZ"/>
        </w:rPr>
        <w:t>„</w:t>
      </w:r>
      <w:r>
        <w:rPr>
          <w:rStyle w:val="CitaceChar"/>
          <w:lang w:val="cs-CZ"/>
        </w:rPr>
        <w:t>Mluvím o proporční reprezentaci (</w:t>
      </w:r>
      <w:r w:rsidRPr="00AF63B0">
        <w:rPr>
          <w:i/>
        </w:rPr>
        <w:t>proportionaliter repraesentare</w:t>
      </w:r>
      <w:r>
        <w:rPr>
          <w:rStyle w:val="CitaceChar"/>
          <w:lang w:val="cs-CZ"/>
        </w:rPr>
        <w:t xml:space="preserve">), protože výměr toho, co je </w:t>
      </w:r>
      <w:r w:rsidR="009A5AFD">
        <w:rPr>
          <w:rStyle w:val="CitaceChar"/>
          <w:lang w:val="cs-CZ"/>
        </w:rPr>
        <w:t xml:space="preserve">existuje </w:t>
      </w:r>
      <w:r>
        <w:rPr>
          <w:rStyle w:val="CitaceChar"/>
          <w:lang w:val="cs-CZ"/>
        </w:rPr>
        <w:t>ve stvoření, není v bohu dán formálně (</w:t>
      </w:r>
      <w:r w:rsidRPr="00E319FC">
        <w:rPr>
          <w:i/>
        </w:rPr>
        <w:t>ratio illius repraesentantis non est formaliter in Deo</w:t>
      </w:r>
      <w:r>
        <w:rPr>
          <w:rStyle w:val="CitaceChar"/>
          <w:lang w:val="cs-CZ"/>
        </w:rPr>
        <w:t>), ale stojí v odpovídajícím poměru k jeho racionalitě (</w:t>
      </w:r>
      <w:r w:rsidRPr="003650E5">
        <w:rPr>
          <w:i/>
        </w:rPr>
        <w:t>aliquid proportionale illi rationi</w:t>
      </w:r>
      <w:r>
        <w:rPr>
          <w:rStyle w:val="CitaceChar"/>
          <w:lang w:val="cs-CZ"/>
        </w:rPr>
        <w:t>).“ </w:t>
      </w:r>
      <w:r>
        <w:rPr>
          <w:rStyle w:val="Znakapoznpodarou"/>
        </w:rPr>
        <w:footnoteReference w:id="457"/>
      </w:r>
    </w:p>
    <w:p w:rsidR="004162E9" w:rsidRDefault="009A5AFD" w:rsidP="007759D8">
      <w:r w:rsidRPr="009A5AFD">
        <w:t xml:space="preserve">Scotus </w:t>
      </w:r>
      <w:r>
        <w:t>odmít</w:t>
      </w:r>
      <w:r w:rsidRPr="009A5AFD">
        <w:t>l formální kauzalitu, kterou dřívější modernisté povýšili na substanci třetího druhu. Jejich analogický a proporcionální vztah b</w:t>
      </w:r>
      <w:r>
        <w:t xml:space="preserve">yl dán přímo v boží esenci </w:t>
      </w:r>
      <w:r w:rsidR="007F4CD8">
        <w:t>(kap. 5</w:t>
      </w:r>
      <w:r w:rsidR="08163013">
        <w:t>.2.3).</w:t>
      </w:r>
      <w:r w:rsidR="08163013" w:rsidRPr="00273106">
        <w:t xml:space="preserve"> </w:t>
      </w:r>
      <w:r w:rsidR="08163013">
        <w:t xml:space="preserve">Odmítnutí principu </w:t>
      </w:r>
      <w:r w:rsidR="00F726CA">
        <w:t>„</w:t>
      </w:r>
      <w:r w:rsidR="08163013" w:rsidRPr="00AC4F62">
        <w:rPr>
          <w:i/>
        </w:rPr>
        <w:t>esse ad</w:t>
      </w:r>
      <w:r w:rsidR="00F726CA">
        <w:t>“</w:t>
      </w:r>
      <w:r w:rsidR="08163013">
        <w:rPr>
          <w:i/>
        </w:rPr>
        <w:fldChar w:fldCharType="begin"/>
      </w:r>
      <w:r w:rsidR="08163013">
        <w:instrText xml:space="preserve"> XE "</w:instrText>
      </w:r>
      <w:r w:rsidR="08163013" w:rsidRPr="008F3381">
        <w:rPr>
          <w:i/>
        </w:rPr>
        <w:instrText>esse ad:</w:instrText>
      </w:r>
      <w:r w:rsidR="08163013">
        <w:instrText xml:space="preserve">Gandavus" </w:instrText>
      </w:r>
      <w:r w:rsidR="08163013">
        <w:rPr>
          <w:i/>
        </w:rPr>
        <w:fldChar w:fldCharType="end"/>
      </w:r>
      <w:r w:rsidR="08163013">
        <w:t xml:space="preserve"> znamená, že v bohu nemůže existovat žádná sféra jsoucna třetího druhu, která by působila jako objektivní kauza směrem navenek </w:t>
      </w:r>
      <w:r w:rsidR="08163013" w:rsidRPr="00273106">
        <w:t>(</w:t>
      </w:r>
      <w:r w:rsidR="08163013" w:rsidRPr="00273106">
        <w:rPr>
          <w:i/>
        </w:rPr>
        <w:t>ratio illius repraesentantis non est formaliter in Deo</w:t>
      </w:r>
      <w:r w:rsidR="00070145">
        <w:t>). Citát odmítá Gandavovu</w:t>
      </w:r>
      <w:r w:rsidR="08163013" w:rsidRPr="00273106">
        <w:t xml:space="preserve"> </w:t>
      </w:r>
      <w:r w:rsidR="00070145">
        <w:t>proporcionalitu</w:t>
      </w:r>
      <w:r w:rsidR="08163013" w:rsidRPr="00273106">
        <w:t xml:space="preserve"> cháp</w:t>
      </w:r>
      <w:r w:rsidR="00070145">
        <w:t>anou</w:t>
      </w:r>
      <w:r w:rsidR="00C1354B">
        <w:t xml:space="preserve"> v modu substanční predikace</w:t>
      </w:r>
      <w:r w:rsidR="08163013" w:rsidRPr="00273106">
        <w:t xml:space="preserve">. Scotus je v tomto bodu aristotelik po vzoru prvního averroismu. Aristotelský scénář kauzality potvrzuje, že podobnost Stvořitele a stvoření </w:t>
      </w:r>
      <w:r w:rsidR="08163013">
        <w:t xml:space="preserve">má pouze nepřímý </w:t>
      </w:r>
      <w:r w:rsidR="08163013" w:rsidRPr="00273106">
        <w:t>charakter</w:t>
      </w:r>
      <w:r w:rsidR="08163013">
        <w:t xml:space="preserve"> a nemůže zahrnout nekonečnou </w:t>
      </w:r>
      <w:r w:rsidR="08163013" w:rsidRPr="00273106">
        <w:t>bo</w:t>
      </w:r>
      <w:r w:rsidR="08163013">
        <w:t>ží esenci. D</w:t>
      </w:r>
      <w:r w:rsidR="08163013" w:rsidRPr="00273106">
        <w:t xml:space="preserve">ruhý averroismus </w:t>
      </w:r>
      <w:r w:rsidR="08163013">
        <w:t xml:space="preserve">držel emanační scénář </w:t>
      </w:r>
      <w:r w:rsidR="08163013" w:rsidRPr="00273106">
        <w:t>tím, že pro boží myšlení ponechal kategoriální schéma „substance‒akcident“</w:t>
      </w:r>
      <w:r w:rsidR="00E71C7E">
        <w:t xml:space="preserve">. </w:t>
      </w:r>
      <w:r w:rsidR="08163013" w:rsidRPr="00273106">
        <w:t xml:space="preserve">Apologie přirozeného poznání nemůže tolerovat </w:t>
      </w:r>
      <w:r w:rsidR="08163013">
        <w:t xml:space="preserve">ontoteologický </w:t>
      </w:r>
      <w:r w:rsidR="08163013" w:rsidRPr="00273106">
        <w:t xml:space="preserve">žebřík </w:t>
      </w:r>
      <w:r w:rsidR="08163013">
        <w:t>mystických iluminátů</w:t>
      </w:r>
      <w:r w:rsidR="08163013">
        <w:fldChar w:fldCharType="begin"/>
      </w:r>
      <w:r w:rsidR="08163013">
        <w:instrText xml:space="preserve"> XE "Jakubův žebřík" </w:instrText>
      </w:r>
      <w:r w:rsidR="08163013">
        <w:fldChar w:fldCharType="end"/>
      </w:r>
      <w:r w:rsidR="08163013" w:rsidRPr="00273106">
        <w:t xml:space="preserve"> vedoucí od stvoření až k </w:t>
      </w:r>
      <w:r w:rsidR="08163013" w:rsidRPr="00273106">
        <w:lastRenderedPageBreak/>
        <w:t>bohu</w:t>
      </w:r>
      <w:r w:rsidR="08163013">
        <w:t xml:space="preserve"> a opačně</w:t>
      </w:r>
      <w:r w:rsidR="08163013" w:rsidRPr="00273106">
        <w:t xml:space="preserve">. </w:t>
      </w:r>
      <w:r w:rsidR="08163013">
        <w:t xml:space="preserve">Scotus nastoluje ve druhém averroismu nový věk objektivního myšlení, nikoliv epochu objektivní mystiky jako to dělali modernisté před ním. Bonaventurova a Gandavova </w:t>
      </w:r>
      <w:r w:rsidR="00B06197">
        <w:t xml:space="preserve">forma </w:t>
      </w:r>
      <w:r w:rsidR="08163013">
        <w:t xml:space="preserve">emanace představuje </w:t>
      </w:r>
      <w:r w:rsidR="08163013" w:rsidRPr="00273106">
        <w:t>zakuklen</w:t>
      </w:r>
      <w:r w:rsidR="08163013">
        <w:t>ý neoplatonismus, kterým přechází do stvoření akcidenciální boží intence</w:t>
      </w:r>
      <w:r w:rsidR="00B06197">
        <w:t xml:space="preserve">. Ty jsou </w:t>
      </w:r>
      <w:r w:rsidR="08163013">
        <w:t>dané ve druhém averroismu jako jsoucna třetího druhu (</w:t>
      </w:r>
      <w:r w:rsidR="08163013" w:rsidRPr="007B115B">
        <w:rPr>
          <w:i/>
        </w:rPr>
        <w:t>rationes exemplares</w:t>
      </w:r>
      <w:r w:rsidR="08163013">
        <w:rPr>
          <w:i/>
        </w:rPr>
        <w:fldChar w:fldCharType="begin"/>
      </w:r>
      <w:r w:rsidR="08163013">
        <w:instrText xml:space="preserve"> XE "</w:instrText>
      </w:r>
      <w:r w:rsidR="08163013" w:rsidRPr="00912BC9">
        <w:rPr>
          <w:i/>
        </w:rPr>
        <w:instrText>rationes exemplares</w:instrText>
      </w:r>
      <w:r w:rsidR="08163013">
        <w:instrText xml:space="preserve">" </w:instrText>
      </w:r>
      <w:r w:rsidR="08163013">
        <w:rPr>
          <w:i/>
        </w:rPr>
        <w:fldChar w:fldCharType="end"/>
      </w:r>
      <w:r w:rsidR="08163013">
        <w:t xml:space="preserve">, </w:t>
      </w:r>
      <w:r w:rsidR="08163013" w:rsidRPr="007B115B">
        <w:rPr>
          <w:i/>
        </w:rPr>
        <w:t>seminales</w:t>
      </w:r>
      <w:r w:rsidR="08163013">
        <w:rPr>
          <w:i/>
        </w:rPr>
        <w:fldChar w:fldCharType="begin"/>
      </w:r>
      <w:r w:rsidR="08163013">
        <w:instrText xml:space="preserve"> XE "</w:instrText>
      </w:r>
      <w:r w:rsidR="08163013" w:rsidRPr="00912BC9">
        <w:rPr>
          <w:i/>
        </w:rPr>
        <w:instrText>rationes seminales</w:instrText>
      </w:r>
      <w:r w:rsidR="08163013">
        <w:instrText xml:space="preserve">" </w:instrText>
      </w:r>
      <w:r w:rsidR="08163013">
        <w:rPr>
          <w:i/>
        </w:rPr>
        <w:fldChar w:fldCharType="end"/>
      </w:r>
      <w:r w:rsidR="08163013">
        <w:t xml:space="preserve">). Toto pojetí emanace a komitace hypostází bylo v Paříži neudržitelné, protože je odmítla vítězná škola moderního semiaverroismu podle Akvinského a Aegidia. Po rehabilitaci Akvinského oficiálně přijali tomistickou kritiku </w:t>
      </w:r>
      <w:r w:rsidR="00E71C7E">
        <w:t xml:space="preserve">primitivního </w:t>
      </w:r>
      <w:r w:rsidR="08163013">
        <w:t xml:space="preserve">avicennismu také dominikáni a františkáni. </w:t>
      </w:r>
      <w:r w:rsidR="08163013" w:rsidRPr="00273106">
        <w:t xml:space="preserve">Scotovo </w:t>
      </w:r>
      <w:r w:rsidR="08163013">
        <w:t>odmítnutí nepřímé kauzality pro poznání (</w:t>
      </w:r>
      <w:r w:rsidR="08163013" w:rsidRPr="00273106">
        <w:rPr>
          <w:i/>
        </w:rPr>
        <w:t>causa remota</w:t>
      </w:r>
      <w:r w:rsidR="08163013">
        <w:rPr>
          <w:i/>
        </w:rPr>
        <w:fldChar w:fldCharType="begin"/>
      </w:r>
      <w:r w:rsidR="08163013">
        <w:instrText xml:space="preserve"> XE "</w:instrText>
      </w:r>
      <w:r w:rsidR="08163013" w:rsidRPr="005E4303">
        <w:instrText>kauzalita</w:instrText>
      </w:r>
      <w:r w:rsidR="08163013" w:rsidRPr="0063562E">
        <w:rPr>
          <w:i/>
        </w:rPr>
        <w:instrText>:causa remota</w:instrText>
      </w:r>
      <w:r w:rsidR="08163013">
        <w:instrText xml:space="preserve">" </w:instrText>
      </w:r>
      <w:r w:rsidR="08163013">
        <w:rPr>
          <w:i/>
        </w:rPr>
        <w:fldChar w:fldCharType="end"/>
      </w:r>
      <w:r w:rsidR="08163013">
        <w:t>)</w:t>
      </w:r>
      <w:r w:rsidR="08163013" w:rsidRPr="00273106">
        <w:t xml:space="preserve"> </w:t>
      </w:r>
      <w:r w:rsidR="08163013">
        <w:t xml:space="preserve">zrušilo základní </w:t>
      </w:r>
      <w:r w:rsidR="08163013" w:rsidRPr="00273106">
        <w:t xml:space="preserve">teze augustiniánského avicennismu a </w:t>
      </w:r>
      <w:r w:rsidR="08163013">
        <w:t>obnovilo scénář</w:t>
      </w:r>
      <w:r w:rsidR="08163013" w:rsidRPr="00273106">
        <w:t xml:space="preserve"> </w:t>
      </w:r>
      <w:r w:rsidR="08163013">
        <w:t xml:space="preserve">formální </w:t>
      </w:r>
      <w:r w:rsidR="08163013" w:rsidRPr="00273106">
        <w:t>propor</w:t>
      </w:r>
      <w:r w:rsidR="00F40429">
        <w:t xml:space="preserve">cionality mezi </w:t>
      </w:r>
      <w:r w:rsidR="08163013" w:rsidRPr="00273106">
        <w:t>boh</w:t>
      </w:r>
      <w:r w:rsidR="00F40429">
        <w:t xml:space="preserve">em </w:t>
      </w:r>
      <w:r w:rsidR="08163013" w:rsidRPr="00273106">
        <w:t>a stvoření</w:t>
      </w:r>
      <w:r w:rsidR="00F40429">
        <w:t>m</w:t>
      </w:r>
      <w:r w:rsidR="08163013" w:rsidRPr="00273106">
        <w:t xml:space="preserve"> podle prvního averroismu. </w:t>
      </w:r>
      <w:r w:rsidR="08163013">
        <w:t xml:space="preserve">Moderní metafyzika nemůže držet emanaci z boží substance skrze porretánská </w:t>
      </w:r>
      <w:r w:rsidR="00962190">
        <w:rPr>
          <w:i/>
        </w:rPr>
        <w:t>species</w:t>
      </w:r>
      <w:r w:rsidR="08163013">
        <w:t xml:space="preserve"> třetího druhu. Scotus v letech 1290‒1300 převedl </w:t>
      </w:r>
      <w:r w:rsidR="000B7D5C">
        <w:t xml:space="preserve">oxfordskou </w:t>
      </w:r>
      <w:r w:rsidR="08163013">
        <w:t xml:space="preserve">modernu </w:t>
      </w:r>
      <w:r w:rsidR="00B0751A">
        <w:t>na p</w:t>
      </w:r>
      <w:r w:rsidR="08163013">
        <w:t>ozic</w:t>
      </w:r>
      <w:r w:rsidR="00B0751A">
        <w:t>e</w:t>
      </w:r>
      <w:r w:rsidR="08163013">
        <w:t xml:space="preserve"> </w:t>
      </w:r>
      <w:r w:rsidR="000B7D5C">
        <w:t xml:space="preserve">pařížského </w:t>
      </w:r>
      <w:r w:rsidR="08163013">
        <w:t>tomismu</w:t>
      </w:r>
      <w:r w:rsidR="00B0751A">
        <w:t>. Podobně jako tomismus, také scotismus d</w:t>
      </w:r>
      <w:r w:rsidR="08163013">
        <w:t xml:space="preserve">onutil moderní augustiniánské ilumináty, aby se </w:t>
      </w:r>
      <w:r w:rsidR="00B0751A">
        <w:t>stali objektivními aristoteliky</w:t>
      </w:r>
      <w:r w:rsidR="00B20F06">
        <w:t>.</w:t>
      </w:r>
      <w:r w:rsidR="007759D8">
        <w:t xml:space="preserve"> </w:t>
      </w:r>
      <w:r w:rsidR="004162E9">
        <w:t xml:space="preserve">Myšlení emanuje do stvoření ve formě věčného božího světla daného jako boží racionalita. Pojetí objektivního </w:t>
      </w:r>
      <w:r w:rsidR="004162E9" w:rsidRPr="003C31FB">
        <w:rPr>
          <w:i/>
        </w:rPr>
        <w:t>lux aeterna</w:t>
      </w:r>
      <w:r w:rsidR="004162E9">
        <w:t xml:space="preserve"> se proto shoduje se schématem poznání podle prvního averroismu, kde podobnost běží pouze v modu formální kauzality zajištěnou skrze smyslovou a inteligibilní </w:t>
      </w:r>
      <w:r w:rsidR="004162E9">
        <w:rPr>
          <w:i/>
        </w:rPr>
        <w:t>species</w:t>
      </w:r>
      <w:r w:rsidR="004162E9">
        <w:t xml:space="preserve">. V modu racionality si nyní odpovídají dvě formy: nutná racionalita daná jako regule od objektivní formy božího </w:t>
      </w:r>
      <w:r w:rsidR="004162E9" w:rsidRPr="00E81562">
        <w:rPr>
          <w:i/>
        </w:rPr>
        <w:t>demonstratio</w:t>
      </w:r>
      <w:r w:rsidR="004162E9">
        <w:rPr>
          <w:i/>
        </w:rPr>
        <w:fldChar w:fldCharType="begin"/>
      </w:r>
      <w:r w:rsidR="004162E9">
        <w:instrText xml:space="preserve"> XE "</w:instrText>
      </w:r>
      <w:r w:rsidR="004162E9" w:rsidRPr="004E6075">
        <w:rPr>
          <w:i/>
        </w:rPr>
        <w:instrText>demonstratio:</w:instrText>
      </w:r>
      <w:r w:rsidR="004162E9" w:rsidRPr="000F0812">
        <w:instrText>Scotus</w:instrText>
      </w:r>
      <w:r w:rsidR="004162E9">
        <w:instrText xml:space="preserve">" </w:instrText>
      </w:r>
      <w:r w:rsidR="004162E9">
        <w:rPr>
          <w:i/>
        </w:rPr>
        <w:fldChar w:fldCharType="end"/>
      </w:r>
      <w:r w:rsidR="004162E9">
        <w:t xml:space="preserve"> a naše nutné poznání této objektivní formy. Formální adekvace v rámci poznané objektivní nutnosti nahradila kauzální působení exemplaru na naše poznání v modu Rufusovy pravdy jako </w:t>
      </w:r>
      <w:r w:rsidR="004162E9" w:rsidRPr="085B0965">
        <w:rPr>
          <w:i/>
        </w:rPr>
        <w:t>coaequatio</w:t>
      </w:r>
      <w:r w:rsidR="004162E9">
        <w:t>. Formalizací objektivity vznikla nová metafyzika, která zrušila ontoteologii</w:t>
      </w:r>
      <w:r w:rsidR="004162E9">
        <w:fldChar w:fldCharType="begin"/>
      </w:r>
      <w:r w:rsidR="004162E9">
        <w:instrText xml:space="preserve"> XE "</w:instrText>
      </w:r>
      <w:r w:rsidR="004162E9" w:rsidRPr="00A45678">
        <w:rPr>
          <w:rStyle w:val="addmd"/>
        </w:rPr>
        <w:instrText>ontoteologie:</w:instrText>
      </w:r>
      <w:r w:rsidR="004162E9">
        <w:rPr>
          <w:rStyle w:val="addmd"/>
        </w:rPr>
        <w:instrText>druhý averroismus</w:instrText>
      </w:r>
      <w:r w:rsidR="004162E9">
        <w:instrText xml:space="preserve">" </w:instrText>
      </w:r>
      <w:r w:rsidR="004162E9">
        <w:fldChar w:fldCharType="end"/>
      </w:r>
      <w:r w:rsidR="004162E9">
        <w:t xml:space="preserve"> druhého averroismu. Scotus obhájil model poznání podle prvního averroismu, ale v modu avicennovské objektivity. Jeho metafyzika zůstala antropocentrická, ale mnohem sofistikovanějším</w:t>
      </w:r>
      <w:r w:rsidR="007759D8">
        <w:t xml:space="preserve"> způsobem než předešlá moderna.</w:t>
      </w:r>
      <w:r w:rsidR="00BC784C">
        <w:t xml:space="preserve"> </w:t>
      </w:r>
      <w:r w:rsidR="004162E9" w:rsidRPr="00273106">
        <w:t xml:space="preserve">Z hlediska hermeneutiky jde o poznání nasvícením </w:t>
      </w:r>
      <w:r w:rsidR="004162E9">
        <w:t xml:space="preserve">smyslu jsoucna </w:t>
      </w:r>
      <w:r w:rsidR="004162E9" w:rsidRPr="00273106">
        <w:t>zezadu od boží</w:t>
      </w:r>
      <w:r w:rsidR="004162E9">
        <w:t xml:space="preserve"> racionality</w:t>
      </w:r>
      <w:r w:rsidR="004162E9" w:rsidRPr="00273106">
        <w:t xml:space="preserve">. </w:t>
      </w:r>
      <w:r w:rsidR="004162E9">
        <w:t xml:space="preserve">Scotus tvrdí, že poznání jde od boha do světa objektivně-pravdivě, proto poznáváme boha a svět objektivně-přirozeně. K deduktivnímu založení metafyziky není potřeba přímé působení boží esence, ani přímé působení </w:t>
      </w:r>
      <w:r w:rsidR="0042348E">
        <w:t xml:space="preserve">boží kauzality skrze iluminaci. </w:t>
      </w:r>
      <w:r w:rsidR="004162E9" w:rsidRPr="00273106">
        <w:t xml:space="preserve">Boží </w:t>
      </w:r>
      <w:r w:rsidR="004162E9">
        <w:t xml:space="preserve">iluminace přestala působit na lidské poznání jako </w:t>
      </w:r>
      <w:r w:rsidR="004162E9" w:rsidRPr="00273106">
        <w:rPr>
          <w:i/>
        </w:rPr>
        <w:t>causa remota</w:t>
      </w:r>
      <w:r w:rsidR="004162E9">
        <w:rPr>
          <w:i/>
        </w:rPr>
        <w:fldChar w:fldCharType="begin"/>
      </w:r>
      <w:r w:rsidR="004162E9">
        <w:instrText xml:space="preserve"> XE "kauzalita:</w:instrText>
      </w:r>
      <w:r w:rsidR="004162E9" w:rsidRPr="00363E15">
        <w:rPr>
          <w:i/>
        </w:rPr>
        <w:instrText>causa remota</w:instrText>
      </w:r>
      <w:r w:rsidR="004162E9">
        <w:instrText xml:space="preserve">" </w:instrText>
      </w:r>
      <w:r w:rsidR="004162E9">
        <w:rPr>
          <w:i/>
        </w:rPr>
        <w:fldChar w:fldCharType="end"/>
      </w:r>
      <w:r w:rsidR="004162E9">
        <w:t xml:space="preserve"> a přešla do logické formy souzení a racionální nutnosti dané v </w:t>
      </w:r>
      <w:r w:rsidR="004162E9">
        <w:lastRenderedPageBreak/>
        <w:t xml:space="preserve">modu nekonečnosti a konečnosti. Objektivita je exemplárně dána v boží esenci, tam druhý avicennismus platí. Ale adekvace boží sféry myšlení v našem intelektu je dána na základě nutné podobnosti racionálního </w:t>
      </w:r>
      <w:r w:rsidR="004162E9" w:rsidRPr="006F3714">
        <w:rPr>
          <w:i/>
        </w:rPr>
        <w:t>demonstratio</w:t>
      </w:r>
      <w:r w:rsidR="004162E9">
        <w:rPr>
          <w:i/>
        </w:rPr>
        <w:fldChar w:fldCharType="begin"/>
      </w:r>
      <w:r w:rsidR="004162E9">
        <w:instrText xml:space="preserve"> XE "</w:instrText>
      </w:r>
      <w:r w:rsidR="004162E9" w:rsidRPr="004E6075">
        <w:rPr>
          <w:i/>
        </w:rPr>
        <w:instrText>demonstratio:</w:instrText>
      </w:r>
      <w:r w:rsidR="004162E9" w:rsidRPr="000D611F">
        <w:instrText>Scotus</w:instrText>
      </w:r>
      <w:r w:rsidR="004162E9">
        <w:instrText xml:space="preserve">" </w:instrText>
      </w:r>
      <w:r w:rsidR="004162E9">
        <w:rPr>
          <w:i/>
        </w:rPr>
        <w:fldChar w:fldCharType="end"/>
      </w:r>
      <w:r w:rsidR="004162E9">
        <w:t xml:space="preserve">, a nikoliv skrze kauzálně-efektivně působící demiurgické </w:t>
      </w:r>
      <w:r w:rsidR="004162E9" w:rsidRPr="006F3714">
        <w:rPr>
          <w:i/>
        </w:rPr>
        <w:t>volitio</w:t>
      </w:r>
      <w:r w:rsidR="004162E9">
        <w:t xml:space="preserve">. Scotus zrušil ontoteologii </w:t>
      </w:r>
      <w:r w:rsidR="004162E9" w:rsidRPr="08FE3F5C">
        <w:rPr>
          <w:i/>
        </w:rPr>
        <w:t>Modernorum</w:t>
      </w:r>
      <w:r w:rsidR="004162E9">
        <w:t>, protože vycházela z avicennovského modelu emanace</w:t>
      </w:r>
      <w:r w:rsidR="004162E9">
        <w:fldChar w:fldCharType="begin"/>
      </w:r>
      <w:r w:rsidR="004162E9">
        <w:instrText xml:space="preserve"> XE "</w:instrText>
      </w:r>
      <w:r w:rsidR="004162E9" w:rsidRPr="005A7852">
        <w:instrText>emanace</w:instrText>
      </w:r>
      <w:r w:rsidR="004162E9">
        <w:instrText xml:space="preserve">" </w:instrText>
      </w:r>
      <w:r w:rsidR="004162E9">
        <w:fldChar w:fldCharType="end"/>
      </w:r>
      <w:r w:rsidR="004162E9">
        <w:t xml:space="preserve"> a komitace</w:t>
      </w:r>
      <w:r w:rsidR="004162E9">
        <w:fldChar w:fldCharType="begin"/>
      </w:r>
      <w:r w:rsidR="004162E9">
        <w:instrText xml:space="preserve"> XE "</w:instrText>
      </w:r>
      <w:r w:rsidR="004162E9" w:rsidRPr="00475C59">
        <w:instrText>komitace</w:instrText>
      </w:r>
      <w:r w:rsidR="004162E9">
        <w:instrText xml:space="preserve">" </w:instrText>
      </w:r>
      <w:r w:rsidR="004162E9">
        <w:fldChar w:fldCharType="end"/>
      </w:r>
      <w:r w:rsidR="004162E9">
        <w:t xml:space="preserve">, a nikoliv z aristotelské kategoriální predikace. </w:t>
      </w:r>
      <w:r w:rsidR="004162E9" w:rsidRPr="00273106">
        <w:t>Stvořitel působí pochopitelně ve světě i přímo, ale</w:t>
      </w:r>
      <w:r w:rsidR="004162E9">
        <w:t xml:space="preserve"> o to nyní Scotovi nejde, protože řeší otázku přirozeného poznání boha ve filosofii. Emanace od boha do stvoření nejde cestou jsoucen třetího druhu (exemplary, seminální ratia), ale skrze deduktivní nutnost božích regulí a věčných pravd, které jsme schopni přirozeně poznat naším vlastním úsudkem. </w:t>
      </w:r>
      <w:r w:rsidR="004162E9" w:rsidRPr="00273106">
        <w:t>Až ve druhé sféře objektiv</w:t>
      </w:r>
      <w:r w:rsidR="004162E9">
        <w:t>it</w:t>
      </w:r>
      <w:r w:rsidR="004162E9" w:rsidRPr="00273106">
        <w:t xml:space="preserve">y </w:t>
      </w:r>
      <w:r w:rsidR="004162E9">
        <w:t>dané ve světě (</w:t>
      </w:r>
      <w:r w:rsidR="004162E9" w:rsidRPr="00273106">
        <w:rPr>
          <w:i/>
        </w:rPr>
        <w:t>vestigi</w:t>
      </w:r>
      <w:r w:rsidR="004162E9">
        <w:rPr>
          <w:i/>
        </w:rPr>
        <w:t>um</w:t>
      </w:r>
      <w:r w:rsidR="004162E9">
        <w:t xml:space="preserve">) a našeho poznání této objektivity </w:t>
      </w:r>
      <w:r w:rsidR="004162E9" w:rsidRPr="00273106">
        <w:t>(</w:t>
      </w:r>
      <w:r w:rsidR="004162E9">
        <w:rPr>
          <w:i/>
        </w:rPr>
        <w:t>imago</w:t>
      </w:r>
      <w:r w:rsidR="004162E9" w:rsidRPr="00273106">
        <w:t>)</w:t>
      </w:r>
      <w:r w:rsidR="004162E9">
        <w:t xml:space="preserve"> platí plná účinnost boží demiurgické racionality </w:t>
      </w:r>
      <w:r w:rsidR="008C3180">
        <w:t xml:space="preserve">založená na </w:t>
      </w:r>
      <w:r w:rsidR="004162E9">
        <w:t>konečné</w:t>
      </w:r>
      <w:r w:rsidR="008C3180">
        <w:t xml:space="preserve"> formě </w:t>
      </w:r>
      <w:r w:rsidR="004162E9">
        <w:t>bytí</w:t>
      </w:r>
      <w:r w:rsidR="004162E9" w:rsidRPr="00273106">
        <w:t>.</w:t>
      </w:r>
      <w:r w:rsidR="004162E9">
        <w:t xml:space="preserve"> </w:t>
      </w:r>
      <w:r w:rsidR="004162E9" w:rsidRPr="00273106">
        <w:t xml:space="preserve">Exemplarita objektivity </w:t>
      </w:r>
      <w:r w:rsidR="004162E9">
        <w:t xml:space="preserve">dané nekonečně a zcela imanentně </w:t>
      </w:r>
      <w:r w:rsidR="004162E9" w:rsidRPr="00273106">
        <w:t xml:space="preserve">v bohu </w:t>
      </w:r>
      <w:r w:rsidR="008C3180">
        <w:t xml:space="preserve">tak nalezla </w:t>
      </w:r>
      <w:r w:rsidR="004162E9">
        <w:t xml:space="preserve">odpovídající adekvaci v objektivitě konečného </w:t>
      </w:r>
      <w:r w:rsidR="004162E9" w:rsidRPr="00273106">
        <w:t>stvoření</w:t>
      </w:r>
      <w:r w:rsidR="004162E9">
        <w:fldChar w:fldCharType="begin"/>
      </w:r>
      <w:r w:rsidR="004162E9">
        <w:instrText xml:space="preserve"> XE "</w:instrText>
      </w:r>
      <w:r w:rsidR="004162E9" w:rsidRPr="000F5597">
        <w:instrText>pravda:</w:instrText>
      </w:r>
      <w:r w:rsidR="004162E9">
        <w:rPr>
          <w:i/>
        </w:rPr>
        <w:instrText>vestigium</w:instrText>
      </w:r>
      <w:r w:rsidR="004162E9" w:rsidRPr="003D121A">
        <w:rPr>
          <w:i/>
        </w:rPr>
        <w:instrText>/imago</w:instrText>
      </w:r>
      <w:r w:rsidR="004162E9">
        <w:instrText xml:space="preserve">" </w:instrText>
      </w:r>
      <w:r w:rsidR="004162E9">
        <w:fldChar w:fldCharType="end"/>
      </w:r>
      <w:r w:rsidR="004162E9">
        <w:t>.</w:t>
      </w:r>
    </w:p>
    <w:p w:rsidR="08163013" w:rsidRDefault="0017107A" w:rsidP="00124EA9">
      <w:r>
        <w:tab/>
      </w:r>
      <w:r w:rsidR="08163013" w:rsidRPr="00273106">
        <w:t>Dalším problémem</w:t>
      </w:r>
      <w:r w:rsidR="08163013">
        <w:t xml:space="preserve"> nové</w:t>
      </w:r>
      <w:r w:rsidR="08163013" w:rsidRPr="00273106">
        <w:t xml:space="preserve"> metafyziky se stal koncept </w:t>
      </w:r>
      <w:r w:rsidR="08163013">
        <w:t>jistého jsoucna (</w:t>
      </w:r>
      <w:r w:rsidR="08163013" w:rsidRPr="00273106">
        <w:rPr>
          <w:i/>
        </w:rPr>
        <w:t>ens ratum</w:t>
      </w:r>
      <w:r w:rsidR="08163013">
        <w:t>)</w:t>
      </w:r>
      <w:r w:rsidR="08163013">
        <w:rPr>
          <w:i/>
        </w:rPr>
        <w:fldChar w:fldCharType="begin"/>
      </w:r>
      <w:r w:rsidR="08163013">
        <w:instrText xml:space="preserve"> XE "</w:instrText>
      </w:r>
      <w:r w:rsidR="08163013" w:rsidRPr="00B2798F">
        <w:rPr>
          <w:rStyle w:val="addmd"/>
          <w:i/>
        </w:rPr>
        <w:instrText>ens ratum:</w:instrText>
      </w:r>
      <w:r w:rsidR="08163013">
        <w:instrText xml:space="preserve">Scotus" </w:instrText>
      </w:r>
      <w:r w:rsidR="08163013">
        <w:rPr>
          <w:i/>
        </w:rPr>
        <w:fldChar w:fldCharType="end"/>
      </w:r>
      <w:r w:rsidR="08163013">
        <w:t xml:space="preserve">. Scotus nemůže po metafyzické dedukci </w:t>
      </w:r>
      <w:r w:rsidR="08163013" w:rsidRPr="00273106">
        <w:t xml:space="preserve">chápat </w:t>
      </w:r>
      <w:r w:rsidR="08163013" w:rsidRPr="00273106">
        <w:rPr>
          <w:i/>
        </w:rPr>
        <w:t>ens ratum</w:t>
      </w:r>
      <w:r w:rsidR="08163013" w:rsidRPr="00273106">
        <w:t xml:space="preserve"> v modu prvního averroism</w:t>
      </w:r>
      <w:r w:rsidR="08163013">
        <w:t>u jako aktuální první substanci</w:t>
      </w:r>
      <w:r w:rsidR="08163013" w:rsidRPr="00273106">
        <w:t xml:space="preserve">. </w:t>
      </w:r>
      <w:r w:rsidR="08163013">
        <w:t>Nová ratifikace jsoucna se zajišťuje</w:t>
      </w:r>
      <w:r w:rsidR="08163013" w:rsidRPr="00273106">
        <w:t xml:space="preserve"> </w:t>
      </w:r>
      <w:r w:rsidR="08163013">
        <w:t xml:space="preserve">skrze </w:t>
      </w:r>
      <w:r w:rsidR="00B30455">
        <w:t>boží objektivitu</w:t>
      </w:r>
      <w:r w:rsidR="08163013">
        <w:t xml:space="preserve">, která </w:t>
      </w:r>
      <w:r w:rsidR="00B30455">
        <w:t xml:space="preserve">posílá </w:t>
      </w:r>
      <w:r w:rsidR="08163013">
        <w:t>objektivní</w:t>
      </w:r>
      <w:r w:rsidR="08163013" w:rsidRPr="00273106">
        <w:t xml:space="preserve"> </w:t>
      </w:r>
      <w:r w:rsidR="08163013">
        <w:t xml:space="preserve">pravdy </w:t>
      </w:r>
      <w:r w:rsidR="00B30455">
        <w:t>do stvoření</w:t>
      </w:r>
      <w:r w:rsidR="08163013" w:rsidRPr="00273106">
        <w:t xml:space="preserve">. </w:t>
      </w:r>
      <w:r w:rsidR="08163013">
        <w:t xml:space="preserve">Empirická dedukce vědy od </w:t>
      </w:r>
      <w:r w:rsidR="00B30455">
        <w:t xml:space="preserve">prvních </w:t>
      </w:r>
      <w:r w:rsidR="08163013">
        <w:t>substanc</w:t>
      </w:r>
      <w:r w:rsidR="00B30455">
        <w:t>í</w:t>
      </w:r>
      <w:r w:rsidR="08163013">
        <w:t xml:space="preserve"> podle </w:t>
      </w:r>
      <w:r w:rsidR="08163013" w:rsidRPr="08425C8C">
        <w:rPr>
          <w:i/>
        </w:rPr>
        <w:t>Druhých analytik</w:t>
      </w:r>
      <w:r w:rsidR="08163013">
        <w:t xml:space="preserve"> je nyní zbytečná</w:t>
      </w:r>
      <w:r w:rsidR="00E105A5">
        <w:t>. I</w:t>
      </w:r>
      <w:r w:rsidR="08163013">
        <w:t>luminát</w:t>
      </w:r>
      <w:r w:rsidR="00B30455">
        <w:t>i</w:t>
      </w:r>
      <w:r w:rsidR="08163013">
        <w:t xml:space="preserve"> </w:t>
      </w:r>
      <w:r w:rsidR="00E105A5">
        <w:t>nepoužívají tak slabou form</w:t>
      </w:r>
      <w:r w:rsidR="08163013">
        <w:t xml:space="preserve">u </w:t>
      </w:r>
      <w:r w:rsidR="08163013" w:rsidRPr="08425C8C">
        <w:rPr>
          <w:i/>
        </w:rPr>
        <w:t>demonstratio</w:t>
      </w:r>
      <w:r w:rsidR="00E105A5">
        <w:t xml:space="preserve"> pro metafyzickou dedukci. </w:t>
      </w:r>
      <w:r w:rsidR="08163013">
        <w:t xml:space="preserve">Nové pojetí </w:t>
      </w:r>
      <w:r w:rsidR="08163013" w:rsidRPr="00273106">
        <w:t>solidn</w:t>
      </w:r>
      <w:r w:rsidR="08163013">
        <w:t>í jsoucnosti</w:t>
      </w:r>
      <w:r w:rsidR="08163013" w:rsidRPr="00273106">
        <w:t xml:space="preserve"> (</w:t>
      </w:r>
      <w:r w:rsidR="08163013" w:rsidRPr="00273106">
        <w:rPr>
          <w:i/>
        </w:rPr>
        <w:t>ens ratum</w:t>
      </w:r>
      <w:r w:rsidR="08163013" w:rsidRPr="00273106">
        <w:t>)</w:t>
      </w:r>
      <w:r w:rsidR="08163013">
        <w:t xml:space="preserve"> </w:t>
      </w:r>
      <w:r w:rsidR="08163013" w:rsidRPr="00273106">
        <w:t xml:space="preserve">podává </w:t>
      </w:r>
      <w:r w:rsidR="008C2D4A" w:rsidRPr="008C2D4A">
        <w:rPr>
          <w:i/>
        </w:rPr>
        <w:t>Ordinatio I</w:t>
      </w:r>
      <w:r w:rsidR="08163013">
        <w:t xml:space="preserve"> v traktátu </w:t>
      </w:r>
      <w:r w:rsidR="08163013" w:rsidRPr="00273106">
        <w:rPr>
          <w:i/>
        </w:rPr>
        <w:t>De ratitudine et aliquitat</w:t>
      </w:r>
      <w:r w:rsidR="08163013">
        <w:rPr>
          <w:i/>
        </w:rPr>
        <w:t>e</w:t>
      </w:r>
      <w:r w:rsidR="08163013">
        <w:t xml:space="preserve"> (</w:t>
      </w:r>
      <w:r w:rsidR="08163013" w:rsidRPr="08CC4F9F">
        <w:rPr>
          <w:i/>
        </w:rPr>
        <w:t>Vat</w:t>
      </w:r>
      <w:r w:rsidR="08163013">
        <w:t>. III, pp. 183‒200</w:t>
      </w:r>
      <w:r w:rsidR="08163013" w:rsidRPr="008253E8">
        <w:fldChar w:fldCharType="begin"/>
      </w:r>
      <w:r w:rsidR="08163013" w:rsidRPr="008253E8">
        <w:instrText xml:space="preserve"> XE "Scotus:</w:instrText>
      </w:r>
      <w:r w:rsidR="08163013" w:rsidRPr="008253E8">
        <w:rPr>
          <w:i/>
        </w:rPr>
        <w:instrText>Ordinatio</w:instrText>
      </w:r>
      <w:r w:rsidR="08163013" w:rsidRPr="008253E8">
        <w:instrText xml:space="preserve"> 1.</w:instrText>
      </w:r>
      <w:r w:rsidR="08163013">
        <w:instrText>303</w:instrText>
      </w:r>
      <w:r w:rsidR="08163013" w:rsidRPr="008253E8">
        <w:instrText>‒</w:instrText>
      </w:r>
      <w:r w:rsidR="08163013">
        <w:instrText>329</w:instrText>
      </w:r>
      <w:r w:rsidR="08163013" w:rsidRPr="008253E8">
        <w:instrText xml:space="preserve">" </w:instrText>
      </w:r>
      <w:r w:rsidR="08163013" w:rsidRPr="008253E8">
        <w:fldChar w:fldCharType="end"/>
      </w:r>
      <w:r w:rsidR="08163013" w:rsidRPr="00273106">
        <w:t xml:space="preserve">). Traktát v úvodu bere Gandavovu definici </w:t>
      </w:r>
      <w:r w:rsidR="08163013" w:rsidRPr="00273106">
        <w:rPr>
          <w:i/>
        </w:rPr>
        <w:t>ratitudo</w:t>
      </w:r>
      <w:r w:rsidR="00FB44AE">
        <w:t>.</w:t>
      </w:r>
      <w:r w:rsidR="00FB44AE" w:rsidRPr="00273106">
        <w:rPr>
          <w:rStyle w:val="Znakapoznpodarou"/>
        </w:rPr>
        <w:footnoteReference w:id="458"/>
      </w:r>
      <w:r w:rsidR="00FB44AE">
        <w:t xml:space="preserve"> Jeho definice </w:t>
      </w:r>
      <w:r w:rsidR="08163013">
        <w:t xml:space="preserve">se odvolává na Boethiovo </w:t>
      </w:r>
      <w:r w:rsidR="08163013" w:rsidRPr="08E34C14">
        <w:rPr>
          <w:i/>
        </w:rPr>
        <w:t>De hebdomadibus</w:t>
      </w:r>
      <w:r w:rsidR="00B521D7" w:rsidRPr="00B521D7">
        <w:t xml:space="preserve">, které </w:t>
      </w:r>
      <w:r w:rsidR="00B521D7">
        <w:t xml:space="preserve">Akvinský vyložil novým způsobem proti porretánům </w:t>
      </w:r>
      <w:r w:rsidR="00B521D7" w:rsidRPr="00B521D7">
        <w:t>(kap. 4.5.1)</w:t>
      </w:r>
      <w:r w:rsidR="08163013" w:rsidRPr="00273106">
        <w:t xml:space="preserve">. </w:t>
      </w:r>
      <w:r w:rsidR="00B521D7">
        <w:t xml:space="preserve">Ale Scotus sleduje v tomto bodě linii Avicennovy metafyziky a ruší tomistické pojetí poplatné škole prvního averroismu. </w:t>
      </w:r>
      <w:r w:rsidR="08163013" w:rsidRPr="00273106">
        <w:t xml:space="preserve">Scotus oddělil existující substanci </w:t>
      </w:r>
      <w:r w:rsidR="08163013">
        <w:t>(</w:t>
      </w:r>
      <w:r w:rsidR="08163013" w:rsidRPr="009F3D81">
        <w:rPr>
          <w:i/>
        </w:rPr>
        <w:t>quo est</w:t>
      </w:r>
      <w:r w:rsidR="08163013">
        <w:rPr>
          <w:i/>
        </w:rPr>
        <w:fldChar w:fldCharType="begin"/>
      </w:r>
      <w:r w:rsidR="08163013">
        <w:instrText xml:space="preserve"> XE "</w:instrText>
      </w:r>
      <w:r w:rsidR="08163013" w:rsidRPr="003C4F2E">
        <w:rPr>
          <w:i/>
        </w:rPr>
        <w:instrText>quo est</w:instrText>
      </w:r>
      <w:r w:rsidR="08163013">
        <w:instrText xml:space="preserve">" </w:instrText>
      </w:r>
      <w:r w:rsidR="08163013">
        <w:rPr>
          <w:i/>
        </w:rPr>
        <w:fldChar w:fldCharType="end"/>
      </w:r>
      <w:r w:rsidR="08163013">
        <w:t xml:space="preserve">) </w:t>
      </w:r>
      <w:r w:rsidR="08163013" w:rsidRPr="00273106">
        <w:t xml:space="preserve">a formální esenci </w:t>
      </w:r>
      <w:r w:rsidR="08163013">
        <w:t>(</w:t>
      </w:r>
      <w:r w:rsidR="08163013" w:rsidRPr="009F3D81">
        <w:rPr>
          <w:i/>
        </w:rPr>
        <w:t>quod est</w:t>
      </w:r>
      <w:r w:rsidR="08163013">
        <w:t xml:space="preserve">) </w:t>
      </w:r>
      <w:r w:rsidR="08163013" w:rsidRPr="00273106">
        <w:t xml:space="preserve">na dva </w:t>
      </w:r>
      <w:r w:rsidR="08163013">
        <w:t xml:space="preserve">nezávislé </w:t>
      </w:r>
      <w:r w:rsidR="08163013" w:rsidRPr="00273106">
        <w:t>principy jsoucna</w:t>
      </w:r>
      <w:r w:rsidR="08163013" w:rsidRPr="08CC5945">
        <w:t xml:space="preserve"> </w:t>
      </w:r>
      <w:r w:rsidR="08163013" w:rsidRPr="00273106">
        <w:t xml:space="preserve">podle Avicenny </w:t>
      </w:r>
      <w:r w:rsidR="08163013">
        <w:t>a rámci sofistické odvolávky na Boethia</w:t>
      </w:r>
      <w:r w:rsidR="08163013" w:rsidRPr="00273106">
        <w:t xml:space="preserve">. </w:t>
      </w:r>
      <w:r w:rsidR="08163013">
        <w:t>Nový</w:t>
      </w:r>
      <w:r w:rsidR="08163013" w:rsidRPr="00273106">
        <w:t xml:space="preserve"> koncept </w:t>
      </w:r>
      <w:r w:rsidR="08163013">
        <w:t xml:space="preserve">jistého </w:t>
      </w:r>
      <w:r w:rsidR="08163013" w:rsidRPr="00273106">
        <w:t>jsoucna determinující metafyziku a budoucí ontologii</w:t>
      </w:r>
      <w:r w:rsidR="08163013">
        <w:t xml:space="preserve">. Scotus odmítne hypostázované pojetí </w:t>
      </w:r>
      <w:r w:rsidR="08163013" w:rsidRPr="00F46697">
        <w:rPr>
          <w:i/>
        </w:rPr>
        <w:lastRenderedPageBreak/>
        <w:t>humanitas</w:t>
      </w:r>
      <w:r w:rsidR="08163013">
        <w:t xml:space="preserve"> dané porretány</w:t>
      </w:r>
      <w:r w:rsidR="08163013" w:rsidRPr="08EC7F02">
        <w:t xml:space="preserve"> </w:t>
      </w:r>
      <w:r w:rsidR="08163013">
        <w:t xml:space="preserve">jako jsoucna třetího druhu a brání její definici podle Avicennovy </w:t>
      </w:r>
      <w:r w:rsidR="08163013" w:rsidRPr="08CC5945">
        <w:rPr>
          <w:i/>
        </w:rPr>
        <w:t>Metafyziky</w:t>
      </w:r>
      <w:r w:rsidR="08163013">
        <w:t>.</w:t>
      </w:r>
    </w:p>
    <w:p w:rsidR="08163013" w:rsidRDefault="08163013" w:rsidP="08163013">
      <w:pPr>
        <w:pStyle w:val="Citace"/>
        <w:rPr>
          <w:lang w:val="cs-CZ"/>
        </w:rPr>
      </w:pPr>
      <w:r>
        <w:t xml:space="preserve">„Její </w:t>
      </w:r>
      <w:r w:rsidR="00EB4CFD">
        <w:rPr>
          <w:lang w:val="cs-CZ"/>
        </w:rPr>
        <w:t xml:space="preserve">existence </w:t>
      </w:r>
      <w:r>
        <w:t xml:space="preserve">je podle Avicennovy páté knihy </w:t>
      </w:r>
      <w:r w:rsidRPr="084647EF">
        <w:rPr>
          <w:i/>
        </w:rPr>
        <w:t>Metafyziky</w:t>
      </w:r>
      <w:r>
        <w:t xml:space="preserve"> </w:t>
      </w:r>
      <w:r w:rsidR="00EB4CFD">
        <w:rPr>
          <w:lang w:val="cs-CZ"/>
        </w:rPr>
        <w:t xml:space="preserve">dána </w:t>
      </w:r>
      <w:r w:rsidR="003F6F73">
        <w:t xml:space="preserve">v modu </w:t>
      </w:r>
      <w:r w:rsidR="003F6F73">
        <w:rPr>
          <w:rFonts w:cs="Calibri"/>
        </w:rPr>
        <w:t>«</w:t>
      </w:r>
      <w:r>
        <w:t>lidskost</w:t>
      </w:r>
      <w:r w:rsidR="00EB4CFD">
        <w:rPr>
          <w:lang w:val="cs-CZ"/>
        </w:rPr>
        <w:t>i jako takové</w:t>
      </w:r>
      <w:r w:rsidR="003F6F73">
        <w:rPr>
          <w:rFonts w:cs="Calibri"/>
          <w:lang w:val="cs-CZ"/>
        </w:rPr>
        <w:t>»</w:t>
      </w:r>
      <w:r>
        <w:t xml:space="preserve"> (</w:t>
      </w:r>
      <w:r w:rsidRPr="00B254CF">
        <w:rPr>
          <w:i/>
        </w:rPr>
        <w:t>humanitas est tantum humanitas</w:t>
      </w:r>
      <w:r>
        <w:t xml:space="preserve">). Výměr humanity není věc vybavená </w:t>
      </w:r>
      <w:r>
        <w:rPr>
          <w:lang w:val="cs-CZ"/>
        </w:rPr>
        <w:t xml:space="preserve">reálnou </w:t>
      </w:r>
      <w:r>
        <w:t>jsoucností (</w:t>
      </w:r>
      <w:r w:rsidRPr="00B254CF">
        <w:rPr>
          <w:i/>
        </w:rPr>
        <w:t>ratio humanitatis non est res rata</w:t>
      </w:r>
      <w:r>
        <w:t>). Pak je nutné, aby jisté jsoucno bylo mimo tuto formální definici člověka.“</w:t>
      </w:r>
      <w:r>
        <w:rPr>
          <w:lang w:val="cs-CZ"/>
        </w:rPr>
        <w:t xml:space="preserve"> </w:t>
      </w:r>
      <w:r w:rsidRPr="00273106">
        <w:rPr>
          <w:rStyle w:val="Znakapoznpodarou"/>
        </w:rPr>
        <w:footnoteReference w:id="459"/>
      </w:r>
    </w:p>
    <w:p w:rsidR="00CD754A" w:rsidRDefault="08163013" w:rsidP="08163013">
      <w:r>
        <w:t>Z</w:t>
      </w:r>
      <w:r w:rsidRPr="00273106">
        <w:t xml:space="preserve">droj </w:t>
      </w:r>
      <w:r>
        <w:t>solidního jsoucna</w:t>
      </w:r>
      <w:r w:rsidRPr="00273106">
        <w:t xml:space="preserve"> (</w:t>
      </w:r>
      <w:r w:rsidRPr="00273106">
        <w:rPr>
          <w:i/>
        </w:rPr>
        <w:t>ens ratum</w:t>
      </w:r>
      <w:r w:rsidRPr="00273106">
        <w:t xml:space="preserve">) se musí hledat skrze kritickou revizi jsoucna třetího druhu daného v pojmu </w:t>
      </w:r>
      <w:r w:rsidRPr="00273106">
        <w:rPr>
          <w:i/>
        </w:rPr>
        <w:t>humanitas est tantum humanitas</w:t>
      </w:r>
      <w:r>
        <w:rPr>
          <w:i/>
        </w:rPr>
        <w:fldChar w:fldCharType="begin"/>
      </w:r>
      <w:r>
        <w:instrText xml:space="preserve"> XE "</w:instrText>
      </w:r>
      <w:r w:rsidRPr="00420622">
        <w:rPr>
          <w:i/>
        </w:rPr>
        <w:instrText>humanitas:</w:instrText>
      </w:r>
      <w:r>
        <w:instrText xml:space="preserve">Scotus" </w:instrText>
      </w:r>
      <w:r>
        <w:rPr>
          <w:i/>
        </w:rPr>
        <w:fldChar w:fldCharType="end"/>
      </w:r>
      <w:r w:rsidRPr="00273106">
        <w:t xml:space="preserve">. </w:t>
      </w:r>
      <w:r>
        <w:t xml:space="preserve">Scotus je v tomto bodě striktní aristotelik. </w:t>
      </w:r>
      <w:r w:rsidRPr="00273106">
        <w:t xml:space="preserve">Z čistě formálního určení humanity nelze odvodit </w:t>
      </w:r>
      <w:r>
        <w:t xml:space="preserve">bytí </w:t>
      </w:r>
      <w:r w:rsidRPr="00273106">
        <w:t>konkrétního jsoucna</w:t>
      </w:r>
      <w:r>
        <w:t xml:space="preserve"> na porretánský způsob nějaké hypostáze v Rufusově modu </w:t>
      </w:r>
      <w:r w:rsidRPr="0098728D">
        <w:rPr>
          <w:i/>
        </w:rPr>
        <w:t>homo humanat</w:t>
      </w:r>
      <w:r w:rsidR="00307335">
        <w:t xml:space="preserve"> (OBJ II, kap. 3</w:t>
      </w:r>
      <w:r>
        <w:t>.3.4)</w:t>
      </w:r>
      <w:r w:rsidRPr="00273106">
        <w:t xml:space="preserve">. </w:t>
      </w:r>
      <w:r>
        <w:t xml:space="preserve">I když moderní bůh provede zatmění slunce, pak máme pouze objektivní poznání slunce a jakákoliv kategoriální predikace je vázaná na aristotelský vztah mezi </w:t>
      </w:r>
      <w:r w:rsidR="00E32005">
        <w:t>první a druhou substancí (kap. 5</w:t>
      </w:r>
      <w:r>
        <w:t xml:space="preserve">.3.2). </w:t>
      </w:r>
      <w:r w:rsidRPr="00273106">
        <w:t>Pevné jsoucno (</w:t>
      </w:r>
      <w:r w:rsidRPr="00273106">
        <w:rPr>
          <w:i/>
        </w:rPr>
        <w:t>ens ratum</w:t>
      </w:r>
      <w:r w:rsidRPr="00273106">
        <w:t>) je pouze aktuální</w:t>
      </w:r>
      <w:r>
        <w:t xml:space="preserve"> jsoucno,</w:t>
      </w:r>
      <w:r w:rsidR="00CD754A">
        <w:t xml:space="preserve"> a ne jeho abstrakce v mysli.</w:t>
      </w:r>
    </w:p>
    <w:p w:rsidR="08163013" w:rsidRDefault="08163013" w:rsidP="00CD754A">
      <w:pPr>
        <w:ind w:firstLine="397"/>
      </w:pPr>
      <w:r>
        <w:t xml:space="preserve">V tomto bodu nastala </w:t>
      </w:r>
      <w:r w:rsidRPr="00273106">
        <w:t xml:space="preserve">změna proti předešlé úvaze </w:t>
      </w:r>
      <w:r w:rsidR="008C2D4A" w:rsidRPr="008C2D4A">
        <w:rPr>
          <w:i/>
        </w:rPr>
        <w:t>Lectura I</w:t>
      </w:r>
      <w:r w:rsidRPr="00273106">
        <w:t>, která vytvořila koncept objektivity z boží perspektivy. Nyní Scotus determi</w:t>
      </w:r>
      <w:r>
        <w:t xml:space="preserve">nuje objektivní jsoucno v modu </w:t>
      </w:r>
      <w:r w:rsidRPr="00273106">
        <w:rPr>
          <w:i/>
        </w:rPr>
        <w:t>vestigium</w:t>
      </w:r>
      <w:r>
        <w:rPr>
          <w:i/>
        </w:rPr>
        <w:t xml:space="preserve"> </w:t>
      </w:r>
      <w:r>
        <w:rPr>
          <w:i/>
        </w:rPr>
        <w:fldChar w:fldCharType="begin"/>
      </w:r>
      <w:r>
        <w:instrText xml:space="preserve"> XE "</w:instrText>
      </w:r>
      <w:r w:rsidRPr="00757030">
        <w:rPr>
          <w:i/>
        </w:rPr>
        <w:instrText>vestigium</w:instrText>
      </w:r>
      <w:r>
        <w:instrText xml:space="preserve">" </w:instrText>
      </w:r>
      <w:r>
        <w:rPr>
          <w:i/>
        </w:rPr>
        <w:fldChar w:fldCharType="end"/>
      </w:r>
      <w:r w:rsidRPr="00273106">
        <w:t>na úrovni k</w:t>
      </w:r>
      <w:r>
        <w:t xml:space="preserve">onečné objektivity ve stvoření. Zde </w:t>
      </w:r>
      <w:r w:rsidRPr="00273106">
        <w:t>je boží</w:t>
      </w:r>
      <w:r>
        <w:t xml:space="preserve"> forma nekonečné objektivity re</w:t>
      </w:r>
      <w:r w:rsidRPr="00273106">
        <w:t xml:space="preserve">prezentována </w:t>
      </w:r>
      <w:r>
        <w:t xml:space="preserve">pouze </w:t>
      </w:r>
      <w:r w:rsidRPr="00273106">
        <w:t>v modu konečnosti</w:t>
      </w:r>
      <w:r>
        <w:t xml:space="preserve"> a pouze jako mentální koncept daný v mysli poznávajícího</w:t>
      </w:r>
      <w:r w:rsidRPr="00273106">
        <w:t xml:space="preserve">. Traktát bere z Avicenny formální identitu obsahu </w:t>
      </w:r>
      <w:r>
        <w:t xml:space="preserve">(A=A) a udělá z ní novou formu </w:t>
      </w:r>
      <w:r w:rsidRPr="00273106">
        <w:rPr>
          <w:i/>
        </w:rPr>
        <w:t>ens ratum</w:t>
      </w:r>
      <w:r>
        <w:rPr>
          <w:i/>
        </w:rPr>
        <w:fldChar w:fldCharType="begin"/>
      </w:r>
      <w:r>
        <w:instrText xml:space="preserve"> XE "</w:instrText>
      </w:r>
      <w:r w:rsidRPr="00B2798F">
        <w:rPr>
          <w:rStyle w:val="addmd"/>
          <w:i/>
        </w:rPr>
        <w:instrText>ens ratum:</w:instrText>
      </w:r>
      <w:r>
        <w:instrText xml:space="preserve">Scotus" </w:instrText>
      </w:r>
      <w:r>
        <w:rPr>
          <w:i/>
        </w:rPr>
        <w:fldChar w:fldCharType="end"/>
      </w:r>
      <w:r w:rsidRPr="00273106">
        <w:t xml:space="preserve">. Vznik metafyzické objektivity </w:t>
      </w:r>
      <w:r>
        <w:t xml:space="preserve">ve světě </w:t>
      </w:r>
      <w:r w:rsidRPr="00273106">
        <w:t>dokládá následující věta komentující Avicennovo jsoucno třetího druhu.</w:t>
      </w:r>
      <w:r w:rsidRPr="08445FEB">
        <w:t xml:space="preserve"> </w:t>
      </w:r>
      <w:r>
        <w:t xml:space="preserve">Scotus zásadně odmítá univocitu mezi božím bytím a stvořením. Proto také zrušil neoplatonský scénář kategoriální emanace a nahradil jej dedukcí objektivní racionality. </w:t>
      </w:r>
      <w:r w:rsidRPr="00273106">
        <w:t xml:space="preserve">Boethiova </w:t>
      </w:r>
      <w:r>
        <w:t xml:space="preserve">diference </w:t>
      </w:r>
      <w:r w:rsidR="003F6F73">
        <w:t>„</w:t>
      </w:r>
      <w:r w:rsidRPr="002A40E4">
        <w:rPr>
          <w:i/>
        </w:rPr>
        <w:t>quo</w:t>
      </w:r>
      <w:r w:rsidR="003F6F73">
        <w:rPr>
          <w:i/>
        </w:rPr>
        <w:t xml:space="preserve"> est</w:t>
      </w:r>
      <w:r>
        <w:t>‒</w:t>
      </w:r>
      <w:r w:rsidRPr="002A40E4">
        <w:rPr>
          <w:i/>
        </w:rPr>
        <w:t>quod</w:t>
      </w:r>
      <w:r w:rsidR="003F6F73">
        <w:rPr>
          <w:i/>
        </w:rPr>
        <w:t xml:space="preserve"> est</w:t>
      </w:r>
      <w:r w:rsidR="003F6F73">
        <w:t>“</w:t>
      </w:r>
      <w:r>
        <w:t xml:space="preserve"> platí </w:t>
      </w:r>
      <w:r w:rsidRPr="00273106">
        <w:t xml:space="preserve">v novém modu </w:t>
      </w:r>
      <w:r>
        <w:t xml:space="preserve">translace </w:t>
      </w:r>
      <w:r w:rsidRPr="00273106">
        <w:t>objektivity</w:t>
      </w:r>
      <w:r>
        <w:t xml:space="preserve"> z primární racionality vyzářené od božího exemplárního myšlení (</w:t>
      </w:r>
      <w:r w:rsidRPr="002A40E4">
        <w:rPr>
          <w:i/>
        </w:rPr>
        <w:t>lux aeterna</w:t>
      </w:r>
      <w:r>
        <w:t xml:space="preserve">) </w:t>
      </w:r>
      <w:r w:rsidRPr="00273106">
        <w:t xml:space="preserve">do </w:t>
      </w:r>
      <w:r>
        <w:t>sféry její</w:t>
      </w:r>
      <w:r w:rsidRPr="00273106">
        <w:t xml:space="preserve"> sekundární reprezentace </w:t>
      </w:r>
      <w:r>
        <w:t xml:space="preserve">v konečném stvoření </w:t>
      </w:r>
      <w:r w:rsidRPr="00273106">
        <w:t>(</w:t>
      </w:r>
      <w:r w:rsidRPr="00273106">
        <w:rPr>
          <w:i/>
        </w:rPr>
        <w:t>vestigium</w:t>
      </w:r>
      <w:r>
        <w:rPr>
          <w:i/>
        </w:rPr>
        <w:fldChar w:fldCharType="begin"/>
      </w:r>
      <w:r>
        <w:instrText xml:space="preserve"> XE "</w:instrText>
      </w:r>
      <w:r w:rsidRPr="00757030">
        <w:rPr>
          <w:i/>
        </w:rPr>
        <w:instrText>vestigium</w:instrText>
      </w:r>
      <w:r>
        <w:instrText xml:space="preserve">" </w:instrText>
      </w:r>
      <w:r>
        <w:rPr>
          <w:i/>
        </w:rPr>
        <w:fldChar w:fldCharType="end"/>
      </w:r>
      <w:r w:rsidRPr="00273106">
        <w:t>).</w:t>
      </w:r>
    </w:p>
    <w:p w:rsidR="08163013" w:rsidRDefault="08163013" w:rsidP="08163013">
      <w:pPr>
        <w:pStyle w:val="Citace"/>
      </w:pPr>
      <w:r>
        <w:t xml:space="preserve">„To, co </w:t>
      </w:r>
      <w:r w:rsidR="00AA09A3">
        <w:rPr>
          <w:lang w:val="cs-CZ"/>
        </w:rPr>
        <w:t>exemplárně-</w:t>
      </w:r>
      <w:r w:rsidR="002F66D4">
        <w:rPr>
          <w:lang w:val="cs-CZ"/>
        </w:rPr>
        <w:t>objektivně</w:t>
      </w:r>
      <w:r w:rsidR="007613F1">
        <w:rPr>
          <w:lang w:val="cs-CZ"/>
        </w:rPr>
        <w:t xml:space="preserve"> (</w:t>
      </w:r>
      <w:r w:rsidR="007613F1" w:rsidRPr="007613F1">
        <w:rPr>
          <w:i/>
          <w:lang w:val="cs-CZ"/>
        </w:rPr>
        <w:t>quo</w:t>
      </w:r>
      <w:r w:rsidR="007613F1">
        <w:rPr>
          <w:lang w:val="cs-CZ"/>
        </w:rPr>
        <w:t xml:space="preserve">) a </w:t>
      </w:r>
      <w:r>
        <w:t>formál</w:t>
      </w:r>
      <w:r>
        <w:rPr>
          <w:lang w:val="cs-CZ"/>
        </w:rPr>
        <w:t xml:space="preserve">ně </w:t>
      </w:r>
      <w:r w:rsidR="007613F1">
        <w:rPr>
          <w:lang w:val="cs-CZ"/>
        </w:rPr>
        <w:t>(</w:t>
      </w:r>
      <w:r w:rsidR="007613F1" w:rsidRPr="007613F1">
        <w:rPr>
          <w:i/>
          <w:lang w:val="cs-CZ"/>
        </w:rPr>
        <w:t>formaliter</w:t>
      </w:r>
      <w:r w:rsidR="007613F1">
        <w:rPr>
          <w:lang w:val="cs-CZ"/>
        </w:rPr>
        <w:t xml:space="preserve">) </w:t>
      </w:r>
      <w:r>
        <w:rPr>
          <w:lang w:val="cs-CZ"/>
        </w:rPr>
        <w:t xml:space="preserve">ustavuje </w:t>
      </w:r>
      <w:r>
        <w:t>jist</w:t>
      </w:r>
      <w:r>
        <w:rPr>
          <w:lang w:val="cs-CZ"/>
        </w:rPr>
        <w:t xml:space="preserve">é bytí jsoucna </w:t>
      </w:r>
      <w:r>
        <w:t>(</w:t>
      </w:r>
      <w:r w:rsidRPr="00ED70FB">
        <w:rPr>
          <w:i/>
        </w:rPr>
        <w:t>ratitudo eius</w:t>
      </w:r>
      <w:r>
        <w:t xml:space="preserve">) je </w:t>
      </w:r>
      <w:r>
        <w:rPr>
          <w:lang w:val="cs-CZ"/>
        </w:rPr>
        <w:t xml:space="preserve">dáno </w:t>
      </w:r>
      <w:r>
        <w:t>vzhledem k boží stopě ve stvoření (</w:t>
      </w:r>
      <w:r w:rsidRPr="00ED70FB">
        <w:rPr>
          <w:i/>
        </w:rPr>
        <w:t>respectus vestigialis</w:t>
      </w:r>
      <w:r>
        <w:t>) a to ne</w:t>
      </w:r>
      <w:r>
        <w:rPr>
          <w:lang w:val="cs-CZ"/>
        </w:rPr>
        <w:t>j</w:t>
      </w:r>
      <w:r>
        <w:t>prve takto</w:t>
      </w:r>
      <w:r w:rsidR="004D6F44">
        <w:rPr>
          <w:lang w:val="cs-CZ"/>
        </w:rPr>
        <w:t>: c</w:t>
      </w:r>
      <w:r>
        <w:t xml:space="preserve">o je v lidském intelektu v objektivní jsoucnosti </w:t>
      </w:r>
      <w:r w:rsidR="004D6F44">
        <w:rPr>
          <w:lang w:val="cs-CZ"/>
        </w:rPr>
        <w:t xml:space="preserve">dáno o sobě </w:t>
      </w:r>
      <w:r>
        <w:t>(</w:t>
      </w:r>
      <w:r w:rsidRPr="00BE4DE5">
        <w:rPr>
          <w:i/>
        </w:rPr>
        <w:t>per</w:t>
      </w:r>
      <w:r w:rsidRPr="00477676">
        <w:t xml:space="preserve"> </w:t>
      </w:r>
      <w:r w:rsidRPr="00CC45FC">
        <w:rPr>
          <w:i/>
        </w:rPr>
        <w:t>se intellectu alicuius in quantum tale</w:t>
      </w:r>
      <w:r>
        <w:t xml:space="preserve">), to zakládá </w:t>
      </w:r>
      <w:r>
        <w:lastRenderedPageBreak/>
        <w:t>akt takto daného objektivního bytí (</w:t>
      </w:r>
      <w:r w:rsidRPr="00CC45FC">
        <w:rPr>
          <w:i/>
        </w:rPr>
        <w:t>est illud quo ipsum est tale</w:t>
      </w:r>
      <w:r>
        <w:t xml:space="preserve">), nebo má formální totožnost </w:t>
      </w:r>
      <w:r>
        <w:rPr>
          <w:lang w:val="cs-CZ"/>
        </w:rPr>
        <w:t>(</w:t>
      </w:r>
      <w:r w:rsidRPr="007D3CBB">
        <w:rPr>
          <w:i/>
          <w:lang w:val="cs-CZ"/>
        </w:rPr>
        <w:t>idem formaliter</w:t>
      </w:r>
      <w:r>
        <w:rPr>
          <w:lang w:val="cs-CZ"/>
        </w:rPr>
        <w:t xml:space="preserve">) </w:t>
      </w:r>
      <w:r>
        <w:t>s tím, co je takto objektivně dáno. A objektivn</w:t>
      </w:r>
      <w:r>
        <w:rPr>
          <w:lang w:val="cs-CZ"/>
        </w:rPr>
        <w:t xml:space="preserve">í </w:t>
      </w:r>
      <w:r>
        <w:t>racionalita</w:t>
      </w:r>
      <w:r>
        <w:rPr>
          <w:lang w:val="cs-CZ"/>
        </w:rPr>
        <w:t xml:space="preserve"> </w:t>
      </w:r>
      <w:r>
        <w:t xml:space="preserve">boha </w:t>
      </w:r>
      <w:r>
        <w:rPr>
          <w:lang w:val="cs-CZ"/>
        </w:rPr>
        <w:t xml:space="preserve">ve stvoření </w:t>
      </w:r>
      <w:r>
        <w:t>(</w:t>
      </w:r>
      <w:r w:rsidRPr="00CC45FC">
        <w:rPr>
          <w:i/>
        </w:rPr>
        <w:t>respectus vestigialis</w:t>
      </w:r>
      <w:r>
        <w:t>) je zahrnuta v každém výměru existujícího jsoucna (</w:t>
      </w:r>
      <w:r w:rsidRPr="0074350D">
        <w:rPr>
          <w:i/>
        </w:rPr>
        <w:t>includitur</w:t>
      </w:r>
      <w:r w:rsidRPr="00477676">
        <w:t xml:space="preserve"> </w:t>
      </w:r>
      <w:r w:rsidRPr="00CC45FC">
        <w:rPr>
          <w:i/>
        </w:rPr>
        <w:t>in ratione cuiuslibet entis rati</w:t>
      </w:r>
      <w:r>
        <w:t>). Proto argument platí.“</w:t>
      </w:r>
      <w:r>
        <w:rPr>
          <w:lang w:val="cs-CZ"/>
        </w:rPr>
        <w:t> </w:t>
      </w:r>
      <w:r>
        <w:rPr>
          <w:rStyle w:val="Znakapoznpodarou"/>
        </w:rPr>
        <w:footnoteReference w:id="460"/>
      </w:r>
    </w:p>
    <w:p w:rsidR="00D67A14" w:rsidRDefault="08163013" w:rsidP="08163013">
      <w:r>
        <w:t xml:space="preserve">Boethiova definice jsoucna v porretánské diferenci mezi </w:t>
      </w:r>
      <w:r w:rsidR="0013548B">
        <w:t>„</w:t>
      </w:r>
      <w:r w:rsidRPr="00273106">
        <w:rPr>
          <w:i/>
        </w:rPr>
        <w:t>quo est</w:t>
      </w:r>
      <w:r w:rsidR="0013548B">
        <w:t>“</w:t>
      </w:r>
      <w:r>
        <w:rPr>
          <w:i/>
        </w:rPr>
        <w:fldChar w:fldCharType="begin"/>
      </w:r>
      <w:r>
        <w:instrText xml:space="preserve"> XE "</w:instrText>
      </w:r>
      <w:r w:rsidRPr="003C4F2E">
        <w:rPr>
          <w:i/>
        </w:rPr>
        <w:instrText>quo est</w:instrText>
      </w:r>
      <w:r>
        <w:instrText xml:space="preserve">" </w:instrText>
      </w:r>
      <w:r>
        <w:rPr>
          <w:i/>
        </w:rPr>
        <w:fldChar w:fldCharType="end"/>
      </w:r>
      <w:r>
        <w:t xml:space="preserve"> a </w:t>
      </w:r>
      <w:r w:rsidR="0013548B">
        <w:t>„</w:t>
      </w:r>
      <w:r w:rsidRPr="00273106">
        <w:rPr>
          <w:i/>
        </w:rPr>
        <w:t>quod est</w:t>
      </w:r>
      <w:r w:rsidR="0013548B">
        <w:t>“</w:t>
      </w:r>
      <w:r>
        <w:t xml:space="preserve"> je nutná pro stanovení objektivní formy, která určuje nové bytí jsoucna</w:t>
      </w:r>
      <w:r w:rsidRPr="00273106">
        <w:t xml:space="preserve">. </w:t>
      </w:r>
      <w:r>
        <w:t xml:space="preserve">Viděno v modu aristotelské abstrakce, představuje humanita jen potenciální koncept daný v mysli. Ale objektivní náhled sleduje stopu čisté esence produkované boží racionalitou ve formě jistých a nepochybných závěrů. Protože humanita patří do konceptů vzešlých z boží racionality, pak má také objektivní charakter. </w:t>
      </w:r>
      <w:r w:rsidRPr="00273106">
        <w:t xml:space="preserve">Klíčové je určení nového </w:t>
      </w:r>
      <w:r w:rsidRPr="00273106">
        <w:rPr>
          <w:i/>
        </w:rPr>
        <w:t>actus es</w:t>
      </w:r>
      <w:r>
        <w:rPr>
          <w:i/>
        </w:rPr>
        <w:t>s</w:t>
      </w:r>
      <w:r w:rsidRPr="00273106">
        <w:rPr>
          <w:i/>
        </w:rPr>
        <w:t>endi</w:t>
      </w:r>
      <w:r>
        <w:t xml:space="preserve"> v modu </w:t>
      </w:r>
      <w:r w:rsidR="00246CC3">
        <w:t>„</w:t>
      </w:r>
      <w:r w:rsidRPr="002270DF">
        <w:rPr>
          <w:i/>
        </w:rPr>
        <w:t>quo est</w:t>
      </w:r>
      <w:r w:rsidR="00246CC3">
        <w:t>“</w:t>
      </w:r>
      <w:r>
        <w:t xml:space="preserve"> pro </w:t>
      </w:r>
      <w:r w:rsidR="0006577A">
        <w:t>exemplárně-</w:t>
      </w:r>
      <w:r>
        <w:t xml:space="preserve">formálně danou jsoucnost v její objektivní stálosti a pevnosti </w:t>
      </w:r>
      <w:r w:rsidRPr="00273106">
        <w:t>(</w:t>
      </w:r>
      <w:r w:rsidRPr="00273106">
        <w:rPr>
          <w:i/>
        </w:rPr>
        <w:t>quo est formaliter ratitudo eius</w:t>
      </w:r>
      <w:r w:rsidRPr="00273106">
        <w:t xml:space="preserve">). Koncept humanity </w:t>
      </w:r>
      <w:r>
        <w:t xml:space="preserve">bez vazby na reálnou osobu </w:t>
      </w:r>
      <w:r w:rsidRPr="00273106">
        <w:t>představuje stopu původní boží objektivity směrem ke stvoření (</w:t>
      </w:r>
      <w:r w:rsidRPr="00273106">
        <w:rPr>
          <w:i/>
        </w:rPr>
        <w:t>respectus vestigialis</w:t>
      </w:r>
      <w:r>
        <w:t xml:space="preserve">). Exemplární a neomezená objektivita </w:t>
      </w:r>
      <w:r w:rsidR="00684498">
        <w:t xml:space="preserve">produkovaná </w:t>
      </w:r>
      <w:r>
        <w:t>boh</w:t>
      </w:r>
      <w:r w:rsidR="00684498">
        <w:t xml:space="preserve">em </w:t>
      </w:r>
      <w:r>
        <w:t xml:space="preserve">dává </w:t>
      </w:r>
      <w:r w:rsidRPr="00273106">
        <w:t xml:space="preserve">formu </w:t>
      </w:r>
      <w:r>
        <w:t xml:space="preserve">omezené objektivitě ve stvoření </w:t>
      </w:r>
      <w:r w:rsidRPr="00273106">
        <w:t>(</w:t>
      </w:r>
      <w:r w:rsidRPr="00273106">
        <w:rPr>
          <w:i/>
        </w:rPr>
        <w:t>quo formaliter</w:t>
      </w:r>
      <w:r w:rsidRPr="00273106">
        <w:t>)</w:t>
      </w:r>
      <w:r>
        <w:t>. Subtilní doktor v</w:t>
      </w:r>
      <w:r w:rsidRPr="00273106">
        <w:t xml:space="preserve">ezme Avicennův výměr </w:t>
      </w:r>
      <w:r>
        <w:t xml:space="preserve">humanity </w:t>
      </w:r>
      <w:r w:rsidRPr="00273106">
        <w:t>jako formální</w:t>
      </w:r>
      <w:r>
        <w:t>ho</w:t>
      </w:r>
      <w:r w:rsidRPr="00273106">
        <w:t xml:space="preserve"> určení jsoucna</w:t>
      </w:r>
      <w:r>
        <w:t xml:space="preserve"> a jeho pojem </w:t>
      </w:r>
      <w:r w:rsidRPr="087D1393">
        <w:rPr>
          <w:i/>
        </w:rPr>
        <w:t>humanitas tantum</w:t>
      </w:r>
      <w:r>
        <w:t xml:space="preserve"> ratifikuje skrze jím provedenou dedukci boží racionality do stvoření (</w:t>
      </w:r>
      <w:r w:rsidRPr="087D1393">
        <w:rPr>
          <w:i/>
        </w:rPr>
        <w:t>vestigium</w:t>
      </w:r>
      <w:r>
        <w:t>)</w:t>
      </w:r>
      <w:r w:rsidRPr="00273106">
        <w:t xml:space="preserve">. </w:t>
      </w:r>
      <w:r>
        <w:t xml:space="preserve">Porretánský </w:t>
      </w:r>
      <w:r w:rsidR="008641DD">
        <w:t>„člověk–</w:t>
      </w:r>
      <w:r>
        <w:t>mrtvola</w:t>
      </w:r>
      <w:r w:rsidR="008641DD">
        <w:t>“</w:t>
      </w:r>
      <w:r>
        <w:t xml:space="preserve"> se změnil na koncept objektivní humanity</w:t>
      </w:r>
      <w:r w:rsidR="00527F33">
        <w:t>. T</w:t>
      </w:r>
      <w:r>
        <w:t xml:space="preserve">outo dedukcí od neexistujícího moderního boha a člověka </w:t>
      </w:r>
      <w:r w:rsidR="003E6CCC">
        <w:t xml:space="preserve">v podobě </w:t>
      </w:r>
      <w:r w:rsidR="003E6CCC" w:rsidRPr="003E6CCC">
        <w:rPr>
          <w:i/>
        </w:rPr>
        <w:t>tertium ens</w:t>
      </w:r>
      <w:r w:rsidR="003E6CCC">
        <w:t xml:space="preserve"> </w:t>
      </w:r>
      <w:r>
        <w:t>zača</w:t>
      </w:r>
      <w:r w:rsidR="00D67A14">
        <w:t>la nová éra humanistických věd.</w:t>
      </w:r>
    </w:p>
    <w:p w:rsidR="007A5FB7" w:rsidRDefault="08163013" w:rsidP="002A36AC">
      <w:pPr>
        <w:ind w:firstLine="397"/>
      </w:pPr>
      <w:r>
        <w:t xml:space="preserve">Scotus </w:t>
      </w:r>
      <w:r w:rsidRPr="00273106">
        <w:t xml:space="preserve">unikl pasti </w:t>
      </w:r>
      <w:r w:rsidRPr="00273106">
        <w:rPr>
          <w:i/>
        </w:rPr>
        <w:t>Nominales</w:t>
      </w:r>
      <w:r w:rsidRPr="00273106">
        <w:t xml:space="preserve">, kteří pracovali s formou jako s univočně daným </w:t>
      </w:r>
      <w:r w:rsidRPr="00273106">
        <w:rPr>
          <w:i/>
        </w:rPr>
        <w:t>tertium ens</w:t>
      </w:r>
      <w:r>
        <w:rPr>
          <w:i/>
        </w:rPr>
        <w:fldChar w:fldCharType="begin"/>
      </w:r>
      <w:r>
        <w:instrText xml:space="preserve"> XE "</w:instrText>
      </w:r>
      <w:r w:rsidRPr="002F10B4">
        <w:rPr>
          <w:rStyle w:val="Zvraznn"/>
        </w:rPr>
        <w:instrText>tertium ens</w:instrText>
      </w:r>
      <w:r>
        <w:rPr>
          <w:rStyle w:val="Zvraznn"/>
          <w:i w:val="0"/>
        </w:rPr>
        <w:instrText>:porretáni</w:instrText>
      </w:r>
      <w:r>
        <w:instrText xml:space="preserve">" </w:instrText>
      </w:r>
      <w:r>
        <w:rPr>
          <w:i/>
        </w:rPr>
        <w:fldChar w:fldCharType="end"/>
      </w:r>
      <w:r>
        <w:t xml:space="preserve">. </w:t>
      </w:r>
      <w:r w:rsidRPr="00273106">
        <w:t xml:space="preserve">Humanita je nyní konečnou </w:t>
      </w:r>
      <w:r>
        <w:t xml:space="preserve">a objektivní substancí </w:t>
      </w:r>
      <w:r w:rsidRPr="00273106">
        <w:t>(</w:t>
      </w:r>
      <w:r w:rsidRPr="00273106">
        <w:rPr>
          <w:i/>
        </w:rPr>
        <w:t>quid est</w:t>
      </w:r>
      <w:r w:rsidR="00085ECD">
        <w:t>) daná</w:t>
      </w:r>
      <w:r>
        <w:t xml:space="preserve"> pouze v mysli jako koncept. Al</w:t>
      </w:r>
      <w:r w:rsidR="00246F66">
        <w:t>e akt objektivní ratifikace daný</w:t>
      </w:r>
      <w:r>
        <w:t xml:space="preserve"> avicennovskou denudací je víc </w:t>
      </w:r>
      <w:r w:rsidR="004D0B81">
        <w:t xml:space="preserve">platný </w:t>
      </w:r>
      <w:r>
        <w:t xml:space="preserve">než aristotelský koncept daný empirickou abstrakcí. </w:t>
      </w:r>
      <w:r w:rsidR="00246F66" w:rsidRPr="00246F66">
        <w:t>Objektivní bytí je ve stvoření pozorováno jako stopa božské racionality (</w:t>
      </w:r>
      <w:r w:rsidR="00246F66" w:rsidRPr="00246F66">
        <w:rPr>
          <w:i/>
        </w:rPr>
        <w:t>vestigium</w:t>
      </w:r>
      <w:r w:rsidR="00246F66" w:rsidRPr="00246F66">
        <w:t xml:space="preserve">) a nevytváří nové </w:t>
      </w:r>
      <w:r w:rsidR="0081433E">
        <w:t xml:space="preserve">jsoucno </w:t>
      </w:r>
      <w:r w:rsidR="00246F66" w:rsidRPr="00246F66">
        <w:t xml:space="preserve">třetího druhu. </w:t>
      </w:r>
      <w:r>
        <w:t xml:space="preserve">Předešlá část dedukce ukázala, že tato racionální nutnost </w:t>
      </w:r>
      <w:r w:rsidR="00C5531B">
        <w:t xml:space="preserve">objektivně </w:t>
      </w:r>
      <w:r>
        <w:t>determinuje každé konečné jsoucno (</w:t>
      </w:r>
      <w:r w:rsidRPr="00E67DDD">
        <w:rPr>
          <w:i/>
        </w:rPr>
        <w:t>esse tale</w:t>
      </w:r>
      <w:r>
        <w:t xml:space="preserve">, </w:t>
      </w:r>
      <w:r w:rsidRPr="00E67DDD">
        <w:rPr>
          <w:i/>
        </w:rPr>
        <w:t>quod est</w:t>
      </w:r>
      <w:r>
        <w:t>). A</w:t>
      </w:r>
      <w:r w:rsidRPr="00273106">
        <w:t xml:space="preserve">kt </w:t>
      </w:r>
      <w:r>
        <w:t xml:space="preserve">objektivního </w:t>
      </w:r>
      <w:r w:rsidRPr="00933004">
        <w:rPr>
          <w:i/>
        </w:rPr>
        <w:t>exsistere</w:t>
      </w:r>
      <w:r>
        <w:rPr>
          <w:i/>
        </w:rPr>
        <w:fldChar w:fldCharType="begin"/>
      </w:r>
      <w:r>
        <w:instrText xml:space="preserve"> XE "</w:instrText>
      </w:r>
      <w:r w:rsidRPr="008E07A9">
        <w:rPr>
          <w:i/>
        </w:rPr>
        <w:instrText>exsistere</w:instrText>
      </w:r>
      <w:r>
        <w:instrText xml:space="preserve">" </w:instrText>
      </w:r>
      <w:r>
        <w:rPr>
          <w:i/>
        </w:rPr>
        <w:fldChar w:fldCharType="end"/>
      </w:r>
      <w:r w:rsidRPr="00273106">
        <w:t xml:space="preserve"> </w:t>
      </w:r>
      <w:r>
        <w:t xml:space="preserve">je daný přechodem z neomezené boží racionality do omezeného lidského poznání. Původní pevnost </w:t>
      </w:r>
      <w:r w:rsidR="00267601">
        <w:t xml:space="preserve">a jistota </w:t>
      </w:r>
      <w:r>
        <w:t xml:space="preserve">jsoucna </w:t>
      </w:r>
      <w:r w:rsidR="00267601">
        <w:t>(</w:t>
      </w:r>
      <w:r w:rsidR="00267601" w:rsidRPr="00267601">
        <w:rPr>
          <w:i/>
        </w:rPr>
        <w:t>ratitudo</w:t>
      </w:r>
      <w:r w:rsidR="00267601">
        <w:t xml:space="preserve">) </w:t>
      </w:r>
      <w:r w:rsidRPr="00273106">
        <w:t xml:space="preserve">vychází z </w:t>
      </w:r>
      <w:r>
        <w:t xml:space="preserve">výše uvedeného racionálního </w:t>
      </w:r>
      <w:r>
        <w:lastRenderedPageBreak/>
        <w:t xml:space="preserve">výměru </w:t>
      </w:r>
      <w:r w:rsidR="00A73564">
        <w:t>„</w:t>
      </w:r>
      <w:r w:rsidRPr="00F75D15">
        <w:rPr>
          <w:i/>
        </w:rPr>
        <w:t>secundum quid</w:t>
      </w:r>
      <w:r w:rsidR="00A73564">
        <w:t>“</w:t>
      </w:r>
      <w:r>
        <w:rPr>
          <w:i/>
        </w:rPr>
        <w:fldChar w:fldCharType="begin"/>
      </w:r>
      <w:r>
        <w:instrText xml:space="preserve"> XE "esence:</w:instrText>
      </w:r>
      <w:r w:rsidRPr="002A0260">
        <w:rPr>
          <w:i/>
        </w:rPr>
        <w:instrText>secundum quid</w:instrText>
      </w:r>
      <w:r>
        <w:instrText xml:space="preserve">" </w:instrText>
      </w:r>
      <w:r>
        <w:rPr>
          <w:i/>
        </w:rPr>
        <w:fldChar w:fldCharType="end"/>
      </w:r>
      <w:r>
        <w:t xml:space="preserve"> </w:t>
      </w:r>
      <w:r w:rsidRPr="00273106">
        <w:t>dané</w:t>
      </w:r>
      <w:r>
        <w:t>ho</w:t>
      </w:r>
      <w:r w:rsidRPr="00273106">
        <w:t xml:space="preserve"> u boha</w:t>
      </w:r>
      <w:r>
        <w:t xml:space="preserve">. Ten je </w:t>
      </w:r>
      <w:r w:rsidRPr="00273106">
        <w:t xml:space="preserve">zdrojem neomezené objektivity jsoucna </w:t>
      </w:r>
      <w:r>
        <w:t xml:space="preserve">v modu prvního objektivního určení </w:t>
      </w:r>
      <w:r w:rsidRPr="00273106">
        <w:t>(</w:t>
      </w:r>
      <w:r w:rsidRPr="00273106">
        <w:rPr>
          <w:i/>
        </w:rPr>
        <w:t>illud quo ipsum est tale</w:t>
      </w:r>
      <w:r w:rsidRPr="00273106">
        <w:t xml:space="preserve">). </w:t>
      </w:r>
      <w:r>
        <w:t xml:space="preserve">Akt Boethiovy </w:t>
      </w:r>
      <w:r w:rsidRPr="00273106">
        <w:t>existence (</w:t>
      </w:r>
      <w:r w:rsidRPr="00273106">
        <w:rPr>
          <w:i/>
        </w:rPr>
        <w:t>quo est</w:t>
      </w:r>
      <w:r w:rsidRPr="00273106">
        <w:t xml:space="preserve">) je dán směrem od </w:t>
      </w:r>
      <w:r w:rsidR="004B017F">
        <w:t xml:space="preserve">boží </w:t>
      </w:r>
      <w:r w:rsidRPr="00273106">
        <w:t>objektiv</w:t>
      </w:r>
      <w:r w:rsidR="00872911">
        <w:t xml:space="preserve">ity, která </w:t>
      </w:r>
      <w:r>
        <w:t xml:space="preserve">není </w:t>
      </w:r>
      <w:r w:rsidR="00872911">
        <w:t xml:space="preserve">bývalým </w:t>
      </w:r>
      <w:r>
        <w:t>exemplarem</w:t>
      </w:r>
      <w:r w:rsidRPr="00273106">
        <w:t xml:space="preserve">. </w:t>
      </w:r>
      <w:r>
        <w:t xml:space="preserve">Ten se </w:t>
      </w:r>
      <w:r w:rsidRPr="00273106">
        <w:t xml:space="preserve">stal </w:t>
      </w:r>
      <w:r>
        <w:t xml:space="preserve">v médiu boží racionality a stvořitelských regulí objektivním závěrem v modu </w:t>
      </w:r>
      <w:r w:rsidR="002A628E">
        <w:t>„</w:t>
      </w:r>
      <w:r w:rsidRPr="00273106">
        <w:rPr>
          <w:i/>
        </w:rPr>
        <w:t>secundum quid</w:t>
      </w:r>
      <w:r w:rsidR="002A628E">
        <w:t xml:space="preserve">“; </w:t>
      </w:r>
      <w:r>
        <w:t>viz předešlé definice exemplární objektivity.</w:t>
      </w:r>
      <w:r w:rsidRPr="00D77032">
        <w:t xml:space="preserve"> </w:t>
      </w:r>
      <w:r>
        <w:t>Rufusova „exsistence“ dostala</w:t>
      </w:r>
      <w:r w:rsidRPr="00273106">
        <w:t xml:space="preserve"> </w:t>
      </w:r>
      <w:r>
        <w:t xml:space="preserve">novu objektivní </w:t>
      </w:r>
      <w:r w:rsidRPr="00273106">
        <w:t>podobu</w:t>
      </w:r>
      <w:r>
        <w:t xml:space="preserve"> danou mimo problematickou </w:t>
      </w:r>
      <w:r w:rsidR="00962190">
        <w:rPr>
          <w:i/>
        </w:rPr>
        <w:t>species</w:t>
      </w:r>
      <w:r>
        <w:t xml:space="preserve"> porretánů. </w:t>
      </w:r>
      <w:r w:rsidRPr="00273106">
        <w:t xml:space="preserve">Scotus bere boží objektivitu jako primární </w:t>
      </w:r>
      <w:r>
        <w:t xml:space="preserve">racionalitu (a nikoliv subsistující </w:t>
      </w:r>
      <w:r w:rsidR="00CE0AE6">
        <w:t>entitu</w:t>
      </w:r>
      <w:r>
        <w:t>)</w:t>
      </w:r>
      <w:r w:rsidRPr="00273106">
        <w:t xml:space="preserve"> </w:t>
      </w:r>
      <w:r>
        <w:t xml:space="preserve">zakládající pouze objektivní, a proto pouze potenciální akt existence třetího druhu </w:t>
      </w:r>
      <w:r w:rsidRPr="00273106">
        <w:t>(</w:t>
      </w:r>
      <w:r w:rsidRPr="00273106">
        <w:rPr>
          <w:i/>
        </w:rPr>
        <w:t>quo est</w:t>
      </w:r>
      <w:r w:rsidRPr="00273106">
        <w:t>)</w:t>
      </w:r>
      <w:r>
        <w:t xml:space="preserve">. Tato možnost </w:t>
      </w:r>
      <w:r w:rsidRPr="00273106">
        <w:t>určuj</w:t>
      </w:r>
      <w:r>
        <w:t>e</w:t>
      </w:r>
      <w:r w:rsidRPr="00273106">
        <w:t xml:space="preserve"> výskyt každé stvořené esence </w:t>
      </w:r>
      <w:r>
        <w:t xml:space="preserve">jako objektivně konečného jsoucna </w:t>
      </w:r>
      <w:r w:rsidRPr="00273106">
        <w:t>(</w:t>
      </w:r>
      <w:r w:rsidRPr="00273106">
        <w:rPr>
          <w:i/>
        </w:rPr>
        <w:t>quod est</w:t>
      </w:r>
      <w:r w:rsidRPr="00273106">
        <w:t xml:space="preserve">). </w:t>
      </w:r>
      <w:r>
        <w:t xml:space="preserve">Nové použití Boethiovy definice existence zajišťuje </w:t>
      </w:r>
      <w:r w:rsidRPr="08B619D4">
        <w:rPr>
          <w:i/>
        </w:rPr>
        <w:t>ens ratum</w:t>
      </w:r>
      <w:r>
        <w:t xml:space="preserve"> v jeho výměru objektivní esence, která stojí mimo aktuální </w:t>
      </w:r>
      <w:r w:rsidRPr="00273106">
        <w:t>ex</w:t>
      </w:r>
      <w:r>
        <w:t>istenci</w:t>
      </w:r>
      <w:r w:rsidRPr="00273106">
        <w:t xml:space="preserve"> první substance</w:t>
      </w:r>
      <w:r>
        <w:t xml:space="preserve">. Scotus zrušil scénář druhého averroismu, v němž hypostázované </w:t>
      </w:r>
      <w:r w:rsidR="00CE0AE6">
        <w:t>„</w:t>
      </w:r>
      <w:r w:rsidRPr="00C87B86">
        <w:rPr>
          <w:i/>
        </w:rPr>
        <w:t>rationes</w:t>
      </w:r>
      <w:r>
        <w:t xml:space="preserve"> </w:t>
      </w:r>
      <w:r w:rsidRPr="00C87B86">
        <w:rPr>
          <w:i/>
        </w:rPr>
        <w:t>exemplares</w:t>
      </w:r>
      <w:r w:rsidR="00CE0AE6">
        <w:t>“</w:t>
      </w:r>
      <w:r>
        <w:t xml:space="preserve"> emanovaly</w:t>
      </w:r>
      <w:r>
        <w:fldChar w:fldCharType="begin"/>
      </w:r>
      <w:r>
        <w:instrText xml:space="preserve"> XE "</w:instrText>
      </w:r>
      <w:r w:rsidRPr="00577C0B">
        <w:instrText>emanace</w:instrText>
      </w:r>
      <w:r>
        <w:instrText xml:space="preserve">" </w:instrText>
      </w:r>
      <w:r>
        <w:fldChar w:fldCharType="end"/>
      </w:r>
      <w:r>
        <w:t xml:space="preserve"> ve formě jsoucna třetího druhu od boha ke stvoření, kde se </w:t>
      </w:r>
      <w:r w:rsidR="002A3BA5">
        <w:t xml:space="preserve">nakonec </w:t>
      </w:r>
      <w:r>
        <w:t xml:space="preserve">hypostázovaly pro lidské poznání jako </w:t>
      </w:r>
      <w:r w:rsidR="00CE0AE6">
        <w:t>„</w:t>
      </w:r>
      <w:r w:rsidR="00CE0AE6" w:rsidRPr="00C87B86">
        <w:rPr>
          <w:i/>
        </w:rPr>
        <w:t>rationes</w:t>
      </w:r>
      <w:r w:rsidR="00CE0AE6">
        <w:t xml:space="preserve"> </w:t>
      </w:r>
      <w:r w:rsidR="00CE0AE6">
        <w:rPr>
          <w:i/>
        </w:rPr>
        <w:t>seminales</w:t>
      </w:r>
      <w:r w:rsidR="00CE0AE6">
        <w:t>“</w:t>
      </w:r>
      <w:r>
        <w:t xml:space="preserve">. Dogmatická mytologie jsoucen třetího druhu se špatně snáší s aristotelismem. Scotova metafyzická </w:t>
      </w:r>
      <w:r w:rsidRPr="000C5DA5">
        <w:rPr>
          <w:i/>
        </w:rPr>
        <w:t>Wahrheit</w:t>
      </w:r>
      <w:r>
        <w:t xml:space="preserve"> zrušila </w:t>
      </w:r>
      <w:r w:rsidRPr="000C5DA5">
        <w:rPr>
          <w:i/>
        </w:rPr>
        <w:t>Dichtung</w:t>
      </w:r>
      <w:r>
        <w:t xml:space="preserve"> augustiniánského avicennismu, v němž biblické a teologické spekulace tvořily jednu mytopoetickou pravdu s filosofickým myšlením. </w:t>
      </w:r>
      <w:r w:rsidR="00816B4B">
        <w:t>Nová m</w:t>
      </w:r>
      <w:r>
        <w:t xml:space="preserve">etafyzika </w:t>
      </w:r>
      <w:r w:rsidRPr="00273106">
        <w:t>dokonč</w:t>
      </w:r>
      <w:r>
        <w:t xml:space="preserve">ila </w:t>
      </w:r>
      <w:r w:rsidRPr="00273106">
        <w:t xml:space="preserve">scénář přechodu z neomezeného objektivního </w:t>
      </w:r>
      <w:r w:rsidR="002574FF">
        <w:t xml:space="preserve">jsoucna </w:t>
      </w:r>
      <w:r>
        <w:t xml:space="preserve">v boží mysli </w:t>
      </w:r>
      <w:r w:rsidRPr="00273106">
        <w:t>(</w:t>
      </w:r>
      <w:r w:rsidRPr="00273106">
        <w:rPr>
          <w:i/>
        </w:rPr>
        <w:t>exemplar</w:t>
      </w:r>
      <w:r>
        <w:rPr>
          <w:i/>
        </w:rPr>
        <w:fldChar w:fldCharType="begin"/>
      </w:r>
      <w:r>
        <w:instrText xml:space="preserve"> XE "</w:instrText>
      </w:r>
      <w:r w:rsidRPr="005D07C3">
        <w:instrText>exemplar</w:instrText>
      </w:r>
      <w:r>
        <w:instrText xml:space="preserve">" </w:instrText>
      </w:r>
      <w:r>
        <w:rPr>
          <w:i/>
        </w:rPr>
        <w:fldChar w:fldCharType="end"/>
      </w:r>
      <w:r w:rsidRPr="00273106">
        <w:t>) na omezenou formu objektivity ve stvoření (</w:t>
      </w:r>
      <w:r w:rsidRPr="00273106">
        <w:rPr>
          <w:i/>
        </w:rPr>
        <w:t>vestigium</w:t>
      </w:r>
      <w:r w:rsidRPr="00273106">
        <w:t>).</w:t>
      </w:r>
      <w:r>
        <w:t xml:space="preserve"> P</w:t>
      </w:r>
      <w:r w:rsidRPr="00273106">
        <w:t>rimární objektivita konti</w:t>
      </w:r>
      <w:r>
        <w:t>n</w:t>
      </w:r>
      <w:r w:rsidRPr="00273106">
        <w:t xml:space="preserve">gentního jsoucna </w:t>
      </w:r>
      <w:r>
        <w:t xml:space="preserve">nepřímo </w:t>
      </w:r>
      <w:r w:rsidRPr="00273106">
        <w:t xml:space="preserve">napojená na </w:t>
      </w:r>
      <w:r>
        <w:t xml:space="preserve">sféru boží racionality deduktivně </w:t>
      </w:r>
      <w:r w:rsidRPr="00273106">
        <w:t>zakládá každý konečný modus objektivity</w:t>
      </w:r>
      <w:r>
        <w:t xml:space="preserve">. Ratifikace jsoucna směrem od boha do stvoření dostala plně objektivní podobu v modifikované verzi Gandavova </w:t>
      </w:r>
      <w:r w:rsidR="00A77D58">
        <w:t>„</w:t>
      </w:r>
      <w:r>
        <w:rPr>
          <w:i/>
        </w:rPr>
        <w:t>esse ad</w:t>
      </w:r>
      <w:r w:rsidR="00A77D58">
        <w:t>“</w:t>
      </w:r>
      <w:r>
        <w:t xml:space="preserve"> a založila novou formu objektivního diakosmu mezi bohem a stvořením. Nová forma </w:t>
      </w:r>
      <w:r w:rsidR="005A1CFF">
        <w:t>„</w:t>
      </w:r>
      <w:r w:rsidRPr="08A62EC0">
        <w:rPr>
          <w:i/>
        </w:rPr>
        <w:t>esse ratum</w:t>
      </w:r>
      <w:r w:rsidR="005A1CFF">
        <w:t>“</w:t>
      </w:r>
      <w:r>
        <w:t xml:space="preserve"> určuje modus konečné racionality směrem od její nekonečné podoby dané exemplárně a nutně </w:t>
      </w:r>
      <w:r w:rsidRPr="00273106">
        <w:t>(</w:t>
      </w:r>
      <w:r w:rsidRPr="00273106">
        <w:rPr>
          <w:i/>
        </w:rPr>
        <w:t>respectus vestigialis</w:t>
      </w:r>
      <w:r w:rsidRPr="00273106">
        <w:t>)</w:t>
      </w:r>
      <w:r>
        <w:t xml:space="preserve">. </w:t>
      </w:r>
      <w:r w:rsidR="0056498A">
        <w:t xml:space="preserve">Přechod </w:t>
      </w:r>
      <w:r>
        <w:t>nekonečna do konečna dává objektivitu v její pozitivní</w:t>
      </w:r>
      <w:r w:rsidRPr="00273106">
        <w:t xml:space="preserve"> předmětnosti</w:t>
      </w:r>
      <w:r>
        <w:t xml:space="preserve"> dané racionálním objektivním výměrem (</w:t>
      </w:r>
      <w:r w:rsidRPr="00273106">
        <w:rPr>
          <w:i/>
        </w:rPr>
        <w:t>in ratione cuiuslibet entis rati</w:t>
      </w:r>
      <w:r>
        <w:t>)</w:t>
      </w:r>
      <w:r w:rsidRPr="00273106">
        <w:t>. Tím vzniká objektivita ve stvoření</w:t>
      </w:r>
      <w:r>
        <w:t xml:space="preserve">, která je vázaná na objektivní jsoucno třetího druhu v Avicennově metafyzickém modu </w:t>
      </w:r>
      <w:r w:rsidR="005A1CFF">
        <w:t>„</w:t>
      </w:r>
      <w:r w:rsidRPr="00273106">
        <w:rPr>
          <w:i/>
        </w:rPr>
        <w:t>in quantum tale</w:t>
      </w:r>
      <w:r w:rsidR="005A1CFF">
        <w:t>“</w:t>
      </w:r>
      <w:r w:rsidRPr="00273106">
        <w:t>. Reprezentace reality dostala potřebnou formální a exemplárn</w:t>
      </w:r>
      <w:r>
        <w:t>í kauzalitu směrem od boha ke stvoření</w:t>
      </w:r>
      <w:r w:rsidRPr="00273106">
        <w:t>. Hledan</w:t>
      </w:r>
      <w:r>
        <w:t>á pevnost</w:t>
      </w:r>
      <w:r w:rsidRPr="00273106">
        <w:t xml:space="preserve"> (</w:t>
      </w:r>
      <w:r w:rsidRPr="00273106">
        <w:rPr>
          <w:i/>
        </w:rPr>
        <w:t>ratitudo</w:t>
      </w:r>
      <w:r w:rsidRPr="00273106">
        <w:t>) nového jsoucna pochopitelně není v aktualitě, protože modus j</w:t>
      </w:r>
      <w:r>
        <w:t xml:space="preserve">soucího </w:t>
      </w:r>
      <w:r w:rsidR="005A1CFF">
        <w:t>„</w:t>
      </w:r>
      <w:r w:rsidRPr="00273106">
        <w:rPr>
          <w:i/>
        </w:rPr>
        <w:t>in quantum tale</w:t>
      </w:r>
      <w:r w:rsidR="005A1CFF">
        <w:t>“</w:t>
      </w:r>
      <w:r w:rsidRPr="00273106">
        <w:t xml:space="preserve"> je dán pouze v mysli (</w:t>
      </w:r>
      <w:r w:rsidRPr="00273106">
        <w:rPr>
          <w:i/>
        </w:rPr>
        <w:t>in ratione</w:t>
      </w:r>
      <w:r w:rsidRPr="00273106">
        <w:t xml:space="preserve">). Ale toto </w:t>
      </w:r>
      <w:r>
        <w:t xml:space="preserve">ratio </w:t>
      </w:r>
      <w:r w:rsidRPr="00273106">
        <w:t>už má objektivní charakter</w:t>
      </w:r>
      <w:r>
        <w:t xml:space="preserve"> daný dedukcí racionality a nutnosti směrem od primární sféry boží </w:t>
      </w:r>
      <w:r>
        <w:lastRenderedPageBreak/>
        <w:t xml:space="preserve">objektivity. Scotus vytvořil novou formu Porfýriova zdvojení </w:t>
      </w:r>
      <w:r w:rsidR="00DB21D1">
        <w:t xml:space="preserve">bytí </w:t>
      </w:r>
      <w:r>
        <w:t>(</w:t>
      </w:r>
      <w:r w:rsidR="00760706">
        <w:t xml:space="preserve">OBJ I, </w:t>
      </w:r>
      <w:r>
        <w:t>kap. 1.3.1), které nemá charakter</w:t>
      </w:r>
      <w:r w:rsidR="00DB21D1">
        <w:t xml:space="preserve"> neoplatonského </w:t>
      </w:r>
      <w:r>
        <w:t>jsoucna třetího druhu. Boží racionalita má v případě ratifikace pouze objektivně-kauzální charakter, a nikoliv stvořitelskou, volní a eficientní kauzalitu</w:t>
      </w:r>
      <w:r w:rsidRPr="00273106">
        <w:t xml:space="preserve">. </w:t>
      </w:r>
      <w:r>
        <w:t xml:space="preserve">Bůh nemusí kauzálně-efektivně tvořit, aby z ničeho stvořil </w:t>
      </w:r>
      <w:r w:rsidR="00DB21D1">
        <w:t>„</w:t>
      </w:r>
      <w:r w:rsidRPr="08057819">
        <w:rPr>
          <w:i/>
        </w:rPr>
        <w:t>ens ratum</w:t>
      </w:r>
      <w:r w:rsidR="00DB21D1">
        <w:t>“</w:t>
      </w:r>
      <w:r>
        <w:t>. K zajištění racionální stavby jsoucna st</w:t>
      </w:r>
      <w:r w:rsidR="002A36AC">
        <w:t xml:space="preserve">ačí, když bůh objektivně myslí. </w:t>
      </w:r>
      <w:r>
        <w:t>Nově daný objektivní smysl jsoucna je nasvícen zezadu od boží sféry racionality (</w:t>
      </w:r>
      <w:r w:rsidRPr="003C4AF1">
        <w:rPr>
          <w:i/>
        </w:rPr>
        <w:t>respectus vestigialis</w:t>
      </w:r>
      <w:r>
        <w:t xml:space="preserve">). V upravené avicennovské kategoriální predikaci představuje </w:t>
      </w:r>
      <w:r w:rsidRPr="00CF388B">
        <w:rPr>
          <w:i/>
        </w:rPr>
        <w:t>vestigium</w:t>
      </w:r>
      <w:r>
        <w:t xml:space="preserve"> první modus jsoucna v objektivně determinovaném významu. Vyzářená pravda z božího intelektu nechává ve stvoření inteligibilní stopu pro náš rozum (</w:t>
      </w:r>
      <w:r w:rsidRPr="00985671">
        <w:rPr>
          <w:i/>
        </w:rPr>
        <w:t>vestigium</w:t>
      </w:r>
      <w:r>
        <w:t xml:space="preserve">). Exemplární výkon nekonečného božího intelektu je dán ve stvoření jako objektivní závěr deduktivní racionality boha </w:t>
      </w:r>
      <w:r w:rsidRPr="0854592E">
        <w:rPr>
          <w:i/>
        </w:rPr>
        <w:t>Modernorum</w:t>
      </w:r>
      <w:r>
        <w:t xml:space="preserve">. Objektivní pevnost jsoucna je </w:t>
      </w:r>
      <w:r w:rsidRPr="00D57759">
        <w:rPr>
          <w:i/>
        </w:rPr>
        <w:t>per prius</w:t>
      </w:r>
      <w:r>
        <w:t xml:space="preserve"> dána skrze deduktivní soud v boží mysli a pak je promítnuta skrze demiurgickou racionalitu do stvoření (</w:t>
      </w:r>
      <w:r w:rsidRPr="00220B0B">
        <w:rPr>
          <w:i/>
        </w:rPr>
        <w:t>ens ratum</w:t>
      </w:r>
      <w:r>
        <w:rPr>
          <w:i/>
        </w:rPr>
        <w:fldChar w:fldCharType="begin"/>
      </w:r>
      <w:r>
        <w:instrText xml:space="preserve"> XE "</w:instrText>
      </w:r>
      <w:r w:rsidRPr="00B2798F">
        <w:rPr>
          <w:rStyle w:val="addmd"/>
          <w:i/>
        </w:rPr>
        <w:instrText>ens ratum:</w:instrText>
      </w:r>
      <w:r>
        <w:instrText xml:space="preserve">Scotus" </w:instrText>
      </w:r>
      <w:r>
        <w:rPr>
          <w:i/>
        </w:rPr>
        <w:fldChar w:fldCharType="end"/>
      </w:r>
      <w:r>
        <w:t>). Proto j</w:t>
      </w:r>
      <w:r w:rsidRPr="00273106">
        <w:t xml:space="preserve">e možné </w:t>
      </w:r>
      <w:r>
        <w:t xml:space="preserve">objektivně fixovanou minimální </w:t>
      </w:r>
      <w:r w:rsidRPr="00273106">
        <w:t xml:space="preserve">jsoucnost predikovat modu </w:t>
      </w:r>
      <w:r w:rsidRPr="00273106">
        <w:rPr>
          <w:i/>
        </w:rPr>
        <w:t>per prius</w:t>
      </w:r>
      <w:r w:rsidRPr="00273106">
        <w:t xml:space="preserve"> k </w:t>
      </w:r>
      <w:r>
        <w:t>exemplární boží racionalitě</w:t>
      </w:r>
      <w:r w:rsidRPr="00273106">
        <w:t xml:space="preserve"> a </w:t>
      </w:r>
      <w:r w:rsidRPr="00273106">
        <w:rPr>
          <w:i/>
        </w:rPr>
        <w:t>per posterius</w:t>
      </w:r>
      <w:r w:rsidRPr="00273106">
        <w:t xml:space="preserve"> ke kontingentnímu stvořenému světu</w:t>
      </w:r>
      <w:r>
        <w:t xml:space="preserve">, který objektivně poznáváme na konečný způsob </w:t>
      </w:r>
      <w:r w:rsidRPr="00273106">
        <w:t>(</w:t>
      </w:r>
      <w:r w:rsidRPr="00CF388B">
        <w:rPr>
          <w:i/>
        </w:rPr>
        <w:t>imago</w:t>
      </w:r>
      <w:r w:rsidRPr="00273106">
        <w:t xml:space="preserve">). </w:t>
      </w:r>
      <w:r>
        <w:t>Objektivní racionalita dostala moderní regulující</w:t>
      </w:r>
      <w:r>
        <w:fldChar w:fldCharType="begin"/>
      </w:r>
      <w:r>
        <w:instrText xml:space="preserve"> XE "</w:instrText>
      </w:r>
      <w:r w:rsidRPr="00420535">
        <w:instrText>regule:objektivní</w:instrText>
      </w:r>
      <w:r>
        <w:instrText xml:space="preserve">" </w:instrText>
      </w:r>
      <w:r>
        <w:fldChar w:fldCharType="end"/>
      </w:r>
      <w:r>
        <w:t xml:space="preserve"> charakter, který plně nahradil dřívější formy </w:t>
      </w:r>
      <w:r w:rsidRPr="003C4AF1">
        <w:rPr>
          <w:i/>
        </w:rPr>
        <w:t>tertium ens</w:t>
      </w:r>
      <w:r>
        <w:t>. Vestiginálně fixované objektivní jsoucno se manifestuje na poslední úrovni lidského poznání objektivity (</w:t>
      </w:r>
      <w:r w:rsidRPr="00F170AA">
        <w:rPr>
          <w:i/>
        </w:rPr>
        <w:t>imago</w:t>
      </w:r>
      <w:r>
        <w:t xml:space="preserve">). Zde má pouze potenciální charakter, protože je univerzálním poznáním v lidské mysli. Člověk může tuto nekonečnou racionalitu danou ve stvoření jako </w:t>
      </w:r>
      <w:r w:rsidRPr="085256F0">
        <w:rPr>
          <w:i/>
        </w:rPr>
        <w:t>vestigium</w:t>
      </w:r>
      <w:r>
        <w:t xml:space="preserve"> univočně poznat skrze konečný objektivní soud daný na úrovni intelektu stvořenému k božímu obrazu (</w:t>
      </w:r>
      <w:r w:rsidRPr="00B2681E">
        <w:rPr>
          <w:i/>
        </w:rPr>
        <w:t>imago</w:t>
      </w:r>
      <w:r>
        <w:t>). Spojením obou typů objektivního nazírání (</w:t>
      </w:r>
      <w:r w:rsidRPr="00B2681E">
        <w:rPr>
          <w:i/>
        </w:rPr>
        <w:t>vestigium</w:t>
      </w:r>
      <w:r>
        <w:t>‒</w:t>
      </w:r>
      <w:r w:rsidRPr="00B2681E">
        <w:rPr>
          <w:i/>
        </w:rPr>
        <w:t>imago</w:t>
      </w:r>
      <w:r>
        <w:rPr>
          <w:i/>
        </w:rPr>
        <w:fldChar w:fldCharType="begin"/>
      </w:r>
      <w:r>
        <w:instrText xml:space="preserve"> XE "pravda:</w:instrText>
      </w:r>
      <w:r w:rsidRPr="00F542FE">
        <w:rPr>
          <w:i/>
        </w:rPr>
        <w:instrText>vestigium/imago</w:instrText>
      </w:r>
      <w:r>
        <w:instrText xml:space="preserve">" </w:instrText>
      </w:r>
      <w:r>
        <w:rPr>
          <w:i/>
        </w:rPr>
        <w:fldChar w:fldCharType="end"/>
      </w:r>
      <w:r>
        <w:t>) vznikla nová cesta k bohu jako exe</w:t>
      </w:r>
      <w:r w:rsidR="007A5FB7">
        <w:t>mplárně-objektivnímu simulákru.</w:t>
      </w:r>
    </w:p>
    <w:p w:rsidR="00E231D4" w:rsidRDefault="00CE01D9" w:rsidP="00D67A14">
      <w:pPr>
        <w:ind w:firstLine="397"/>
      </w:pPr>
      <w:r>
        <w:t>Bůh modernistů ztratil intencional</w:t>
      </w:r>
      <w:r w:rsidR="007A5FB7">
        <w:t>itu a psychologii a získal objek</w:t>
      </w:r>
      <w:r>
        <w:t xml:space="preserve">tivní racionalitu. Předtím bylo toto simulákrum druhého averroismu aspoň formálně lidské, ale nyní se stalo čistým strojem na myšlení. </w:t>
      </w:r>
      <w:r w:rsidR="08163013">
        <w:t xml:space="preserve">Scotova metafyzická verze </w:t>
      </w:r>
      <w:r w:rsidR="00E35279">
        <w:t>„</w:t>
      </w:r>
      <w:r w:rsidR="08163013" w:rsidRPr="00273106">
        <w:rPr>
          <w:i/>
        </w:rPr>
        <w:t>ens ratum</w:t>
      </w:r>
      <w:r w:rsidR="00E35279">
        <w:t>“</w:t>
      </w:r>
      <w:r w:rsidR="08163013" w:rsidRPr="00273106">
        <w:t xml:space="preserve"> objektiv</w:t>
      </w:r>
      <w:r w:rsidR="08163013">
        <w:t xml:space="preserve">ovala </w:t>
      </w:r>
      <w:r w:rsidR="08163013" w:rsidRPr="00273106">
        <w:t>boží</w:t>
      </w:r>
      <w:r w:rsidR="08163013">
        <w:t xml:space="preserve"> racionalitu podle porretánců, aniž by ovšem vytvořila nové jsoucno třetího druhu. </w:t>
      </w:r>
      <w:r w:rsidR="00353FBF">
        <w:t xml:space="preserve">Exemplární </w:t>
      </w:r>
      <w:r w:rsidR="08163013">
        <w:t xml:space="preserve">výkon božího myšlení </w:t>
      </w:r>
      <w:r w:rsidR="08163013" w:rsidRPr="00273106">
        <w:t>má zakládající charakter daný objektivně-kauzálně (</w:t>
      </w:r>
      <w:r w:rsidR="08163013" w:rsidRPr="00273106">
        <w:rPr>
          <w:i/>
        </w:rPr>
        <w:t>quo est</w:t>
      </w:r>
      <w:r w:rsidR="08163013" w:rsidRPr="00273106">
        <w:t xml:space="preserve">). </w:t>
      </w:r>
      <w:r w:rsidR="08163013">
        <w:t xml:space="preserve">Ale tato kauzalita nemá efektivní charakter, ale pouze formální a finální, protože je výkonem božího sylogismu poslaného </w:t>
      </w:r>
      <w:r w:rsidR="08163013" w:rsidRPr="087E39D2">
        <w:rPr>
          <w:i/>
        </w:rPr>
        <w:t>ad extra</w:t>
      </w:r>
      <w:r w:rsidR="08163013">
        <w:t xml:space="preserve">. Efektivita patří až stvořitelské vůli, která tvoří reálná </w:t>
      </w:r>
      <w:r w:rsidR="08163013" w:rsidRPr="00642283">
        <w:t>jsoucna</w:t>
      </w:r>
      <w:r w:rsidR="08163013" w:rsidRPr="00642283">
        <w:rPr>
          <w:i/>
        </w:rPr>
        <w:t xml:space="preserve"> ex nihilo</w:t>
      </w:r>
      <w:r w:rsidR="08163013">
        <w:t xml:space="preserve">, ale podle objektivně zdůvodněných pravd. Scotus našel vědecký důkaz boží </w:t>
      </w:r>
      <w:r w:rsidR="08163013">
        <w:lastRenderedPageBreak/>
        <w:t xml:space="preserve">racionální objektivity, a ne boží existence, protože ta je daná intimně v bohu v modu </w:t>
      </w:r>
      <w:r w:rsidR="08163013" w:rsidRPr="086E294B">
        <w:rPr>
          <w:i/>
        </w:rPr>
        <w:t>esse in</w:t>
      </w:r>
      <w:r w:rsidR="08163013">
        <w:t>. Nový důkaz boží existence a objektivně dedukované racionality jsoucna stojí mimo klasické aristotelské cesty k bohu dané pouze na základě kauzality. Subtilní metafyzik vytvořil objektivní verzi diakosmu a tím rozšířil původní repertoár třetího světa</w:t>
      </w:r>
      <w:r w:rsidR="08163013">
        <w:fldChar w:fldCharType="begin"/>
      </w:r>
      <w:r w:rsidR="08163013">
        <w:instrText xml:space="preserve"> XE "</w:instrText>
      </w:r>
      <w:r w:rsidR="08163013" w:rsidRPr="007F6286">
        <w:instrText>třetí svět</w:instrText>
      </w:r>
      <w:r w:rsidR="08163013">
        <w:instrText xml:space="preserve">" </w:instrText>
      </w:r>
      <w:r w:rsidR="08163013">
        <w:fldChar w:fldCharType="end"/>
      </w:r>
      <w:r w:rsidR="08163013">
        <w:t xml:space="preserve"> neoplatonismu, islámské mystiky a falsafy (</w:t>
      </w:r>
      <w:r w:rsidR="08163013" w:rsidRPr="00273106">
        <w:rPr>
          <w:i/>
          <w:iCs/>
        </w:rPr>
        <w:t>'ālam al-mithāl</w:t>
      </w:r>
      <w:r w:rsidR="00FE7887">
        <w:t xml:space="preserve">; OBJ I, </w:t>
      </w:r>
      <w:r w:rsidR="08163013">
        <w:t>kap. 2.3.3). Jamblichův diakosmos</w:t>
      </w:r>
      <w:r w:rsidR="08163013">
        <w:fldChar w:fldCharType="begin"/>
      </w:r>
      <w:r w:rsidR="08163013">
        <w:instrText xml:space="preserve"> XE "</w:instrText>
      </w:r>
      <w:r w:rsidR="08163013" w:rsidRPr="00320F66">
        <w:instrText>diakosmos</w:instrText>
      </w:r>
      <w:r w:rsidR="08163013">
        <w:instrText xml:space="preserve">" </w:instrText>
      </w:r>
      <w:r w:rsidR="08163013">
        <w:fldChar w:fldCharType="end"/>
      </w:r>
      <w:r w:rsidR="08163013">
        <w:t xml:space="preserve"> se konečně dočkal radikální modernizace, která založila scholastickou </w:t>
      </w:r>
      <w:r w:rsidR="08163013" w:rsidRPr="00D10F04">
        <w:rPr>
          <w:i/>
        </w:rPr>
        <w:t>via Modernorum</w:t>
      </w:r>
      <w:r w:rsidR="08163013">
        <w:rPr>
          <w:i/>
        </w:rPr>
        <w:fldChar w:fldCharType="begin"/>
      </w:r>
      <w:r w:rsidR="08163013">
        <w:instrText xml:space="preserve"> XE "</w:instrText>
      </w:r>
      <w:r w:rsidR="08163013" w:rsidRPr="00ED0748">
        <w:rPr>
          <w:i/>
        </w:rPr>
        <w:instrText>via Modernorum</w:instrText>
      </w:r>
      <w:r w:rsidR="08163013">
        <w:instrText xml:space="preserve">" </w:instrText>
      </w:r>
      <w:r w:rsidR="08163013">
        <w:rPr>
          <w:i/>
        </w:rPr>
        <w:fldChar w:fldCharType="end"/>
      </w:r>
      <w:r w:rsidR="08163013">
        <w:t xml:space="preserve">. </w:t>
      </w:r>
      <w:r w:rsidR="08163013" w:rsidRPr="00273106">
        <w:t xml:space="preserve">Každé konečné jsoucno je </w:t>
      </w:r>
      <w:r w:rsidR="08163013">
        <w:t xml:space="preserve">nyní </w:t>
      </w:r>
      <w:r w:rsidR="08163013" w:rsidRPr="00273106">
        <w:t>vybaveno objektivním druhem jsoucnosti</w:t>
      </w:r>
      <w:r w:rsidR="08163013">
        <w:t xml:space="preserve">, protože je výplodem boží racionality, kterou </w:t>
      </w:r>
      <w:r w:rsidR="00684BF0">
        <w:t xml:space="preserve">reflektujeme </w:t>
      </w:r>
      <w:r w:rsidR="08163013">
        <w:t>jistě, univočně, ale pouze v lidsky omezeném modu poznání. Proto Scotus do objektivní nauky integroval i trojí pojetí Modistů ze školy prvního averroismu</w:t>
      </w:r>
      <w:r w:rsidR="08163013">
        <w:fldChar w:fldCharType="begin"/>
      </w:r>
      <w:r w:rsidR="08163013">
        <w:instrText xml:space="preserve"> XE "</w:instrText>
      </w:r>
      <w:r w:rsidR="08163013" w:rsidRPr="00AA35B9">
        <w:instrText>první averroismus:Modisté</w:instrText>
      </w:r>
      <w:r w:rsidR="08163013">
        <w:instrText xml:space="preserve">" </w:instrText>
      </w:r>
      <w:r w:rsidR="08163013">
        <w:fldChar w:fldCharType="end"/>
      </w:r>
      <w:r w:rsidR="08163013">
        <w:t>. V boží intimitě je racionalita daná esenciálně a exemplárně, protože exemplar je spojen s boží esencí (</w:t>
      </w:r>
      <w:r w:rsidR="08163013" w:rsidRPr="08D14DCD">
        <w:rPr>
          <w:i/>
        </w:rPr>
        <w:t>modus essendi</w:t>
      </w:r>
      <w:r w:rsidR="08163013">
        <w:t>). Svět tuto exemplární racionalitu vyzařuje podle míry počtu a váhy jako objektivně manifestovanou stopu (</w:t>
      </w:r>
      <w:r w:rsidR="08163013" w:rsidRPr="08781E73">
        <w:rPr>
          <w:i/>
        </w:rPr>
        <w:t>vestigium</w:t>
      </w:r>
      <w:r w:rsidR="08163013">
        <w:t>), což zajišťuje objektivní signifikaci boží racionality ve stvoření (</w:t>
      </w:r>
      <w:r w:rsidR="08163013" w:rsidRPr="08D14DCD">
        <w:rPr>
          <w:i/>
        </w:rPr>
        <w:t>modus significandi</w:t>
      </w:r>
      <w:r w:rsidR="08163013">
        <w:t xml:space="preserve">). A my tuto racionalitu poznáváme proto, že jsme stvořeni jako </w:t>
      </w:r>
      <w:r w:rsidR="08163013" w:rsidRPr="08D14DCD">
        <w:rPr>
          <w:i/>
        </w:rPr>
        <w:t>imago Dei</w:t>
      </w:r>
      <w:r w:rsidR="08163013">
        <w:t xml:space="preserve"> a stvoření je vzhledem k bohu postaveno na stejnou úroveň imaga díky vestiginální racionalitě, kterou každá stvořená věc objektivně manifestuje (</w:t>
      </w:r>
      <w:r w:rsidR="08163013" w:rsidRPr="08D14DCD">
        <w:rPr>
          <w:i/>
        </w:rPr>
        <w:t>modus cognoscendi</w:t>
      </w:r>
      <w:r w:rsidR="08163013">
        <w:t xml:space="preserve">). Takto determinované objektivní jsoucno </w:t>
      </w:r>
      <w:r w:rsidR="08163013" w:rsidRPr="00273106">
        <w:t>(</w:t>
      </w:r>
      <w:r w:rsidR="009F3473">
        <w:rPr>
          <w:i/>
        </w:rPr>
        <w:t>vestigium</w:t>
      </w:r>
      <w:r w:rsidR="08163013" w:rsidRPr="00273106">
        <w:rPr>
          <w:i/>
        </w:rPr>
        <w:t xml:space="preserve"> quo est</w:t>
      </w:r>
      <w:r w:rsidR="08163013" w:rsidRPr="00273106">
        <w:t>)</w:t>
      </w:r>
      <w:r w:rsidR="08163013">
        <w:t xml:space="preserve"> představuje reprezentaci</w:t>
      </w:r>
      <w:r w:rsidR="08163013" w:rsidRPr="00273106">
        <w:t xml:space="preserve"> boží objektivity v modu konečnosti (</w:t>
      </w:r>
      <w:r w:rsidR="08163013" w:rsidRPr="00F05FF6">
        <w:rPr>
          <w:i/>
        </w:rPr>
        <w:t>imago</w:t>
      </w:r>
      <w:r w:rsidR="08163013" w:rsidRPr="00273106">
        <w:t xml:space="preserve"> </w:t>
      </w:r>
      <w:r w:rsidR="08163013" w:rsidRPr="00273106">
        <w:rPr>
          <w:i/>
        </w:rPr>
        <w:t>quod est</w:t>
      </w:r>
      <w:r w:rsidR="08163013">
        <w:t>). Trojí odlišná ratifikace jsoucna (</w:t>
      </w:r>
      <w:r w:rsidR="08163013" w:rsidRPr="00B35A46">
        <w:rPr>
          <w:i/>
        </w:rPr>
        <w:t>exemplar</w:t>
      </w:r>
      <w:r w:rsidR="08163013">
        <w:t xml:space="preserve">, </w:t>
      </w:r>
      <w:r w:rsidR="00884743">
        <w:rPr>
          <w:i/>
        </w:rPr>
        <w:t>vestigium</w:t>
      </w:r>
      <w:r w:rsidR="08163013">
        <w:t xml:space="preserve">, </w:t>
      </w:r>
      <w:r w:rsidR="08163013" w:rsidRPr="00B35A46">
        <w:rPr>
          <w:i/>
        </w:rPr>
        <w:t>imago</w:t>
      </w:r>
      <w:r w:rsidR="08163013">
        <w:t xml:space="preserve">) daná v modu aristotelské adekvace </w:t>
      </w:r>
      <w:r w:rsidR="08163013" w:rsidRPr="00273106">
        <w:t>polož</w:t>
      </w:r>
      <w:r w:rsidR="08163013">
        <w:t xml:space="preserve">ila </w:t>
      </w:r>
      <w:r w:rsidR="08163013" w:rsidRPr="00273106">
        <w:t>základní kámen k výstavbě nové metafyziky</w:t>
      </w:r>
      <w:r w:rsidR="00E231D4">
        <w:t>.</w:t>
      </w:r>
    </w:p>
    <w:p w:rsidR="00A02203" w:rsidRDefault="08163013" w:rsidP="00D67A14">
      <w:pPr>
        <w:ind w:firstLine="397"/>
      </w:pPr>
      <w:r>
        <w:t xml:space="preserve">Scotus nyní může citovat Averroese jako doklad </w:t>
      </w:r>
      <w:r w:rsidR="004B1EB5">
        <w:t xml:space="preserve">spojení </w:t>
      </w:r>
      <w:r w:rsidRPr="00273106">
        <w:t>s prvním averroismem</w:t>
      </w:r>
      <w:r>
        <w:t>, a</w:t>
      </w:r>
      <w:r w:rsidRPr="00273106">
        <w:t>le musí je</w:t>
      </w:r>
      <w:r>
        <w:t>ho nauku</w:t>
      </w:r>
      <w:r w:rsidRPr="00273106">
        <w:t xml:space="preserve"> upravit</w:t>
      </w:r>
      <w:r>
        <w:t xml:space="preserve"> podle Simplikiova k</w:t>
      </w:r>
      <w:r w:rsidRPr="00273106">
        <w:t xml:space="preserve">omentáře ke </w:t>
      </w:r>
      <w:r w:rsidRPr="08C63B59">
        <w:rPr>
          <w:i/>
        </w:rPr>
        <w:t>Kategoriím</w:t>
      </w:r>
      <w:r w:rsidRPr="00273106">
        <w:t>.</w:t>
      </w:r>
      <w:r>
        <w:t xml:space="preserve"> Geneze termínu </w:t>
      </w:r>
      <w:r w:rsidRPr="08E7504A">
        <w:rPr>
          <w:i/>
        </w:rPr>
        <w:t>esse ad</w:t>
      </w:r>
      <w:r>
        <w:t xml:space="preserve"> od Simplikia ke Gandavovi </w:t>
      </w:r>
      <w:r w:rsidR="004B1EB5">
        <w:t>vytvořila neoplatonskou predikaci</w:t>
      </w:r>
      <w:r>
        <w:t xml:space="preserve"> </w:t>
      </w:r>
      <w:r w:rsidR="004B1EB5">
        <w:t>„</w:t>
      </w:r>
      <w:r w:rsidRPr="08E7504A">
        <w:rPr>
          <w:i/>
        </w:rPr>
        <w:t>ad unum</w:t>
      </w:r>
      <w:r w:rsidR="004B1EB5">
        <w:t>“</w:t>
      </w:r>
      <w:r>
        <w:t xml:space="preserve">. Gandavus dal Simplikiovy hypostáze jako </w:t>
      </w:r>
      <w:r w:rsidRPr="00E30321">
        <w:t>habitus</w:t>
      </w:r>
      <w:r>
        <w:t xml:space="preserve"> a </w:t>
      </w:r>
      <w:r w:rsidR="00E30321">
        <w:t>„</w:t>
      </w:r>
      <w:r w:rsidRPr="008F7D47">
        <w:rPr>
          <w:i/>
        </w:rPr>
        <w:t>esse ad</w:t>
      </w:r>
      <w:r w:rsidR="00E30321">
        <w:t>“</w:t>
      </w:r>
      <w:r>
        <w:rPr>
          <w:i/>
        </w:rPr>
        <w:fldChar w:fldCharType="begin"/>
      </w:r>
      <w:r>
        <w:instrText xml:space="preserve"> XE "</w:instrText>
      </w:r>
      <w:r w:rsidRPr="008F3381">
        <w:rPr>
          <w:i/>
        </w:rPr>
        <w:instrText>esse ad:</w:instrText>
      </w:r>
      <w:r>
        <w:instrText xml:space="preserve">Gandavus" </w:instrText>
      </w:r>
      <w:r>
        <w:rPr>
          <w:i/>
        </w:rPr>
        <w:fldChar w:fldCharType="end"/>
      </w:r>
      <w:r w:rsidR="005F5A8A">
        <w:t xml:space="preserve"> přímo do boží esence. P</w:t>
      </w:r>
      <w:r>
        <w:t xml:space="preserve">oužil přitom termín </w:t>
      </w:r>
      <w:r w:rsidR="005F5A8A">
        <w:t>„</w:t>
      </w:r>
      <w:r w:rsidRPr="00273106">
        <w:rPr>
          <w:i/>
        </w:rPr>
        <w:t>potentia substantialis</w:t>
      </w:r>
      <w:r w:rsidR="005F5A8A">
        <w:t>“</w:t>
      </w:r>
      <w:r>
        <w:rPr>
          <w:i/>
        </w:rPr>
        <w:fldChar w:fldCharType="begin"/>
      </w:r>
      <w:r>
        <w:instrText xml:space="preserve"> XE "</w:instrText>
      </w:r>
      <w:r w:rsidRPr="00263A8E">
        <w:rPr>
          <w:i/>
        </w:rPr>
        <w:instrText>potentia substantialis</w:instrText>
      </w:r>
      <w:r>
        <w:instrText xml:space="preserve">" </w:instrText>
      </w:r>
      <w:r>
        <w:rPr>
          <w:i/>
        </w:rPr>
        <w:fldChar w:fldCharType="end"/>
      </w:r>
      <w:r>
        <w:t xml:space="preserve">, který </w:t>
      </w:r>
      <w:r w:rsidRPr="00273106">
        <w:t>zná</w:t>
      </w:r>
      <w:r>
        <w:t>me u</w:t>
      </w:r>
      <w:r w:rsidR="00C04A29">
        <w:t>ž od Oliviho pojetí vůle (kap. 5</w:t>
      </w:r>
      <w:r>
        <w:t xml:space="preserve">.1.3). Modus </w:t>
      </w:r>
      <w:r w:rsidR="00D07FC4">
        <w:t>„</w:t>
      </w:r>
      <w:r w:rsidRPr="00D85BF6">
        <w:rPr>
          <w:i/>
        </w:rPr>
        <w:t>esse ad</w:t>
      </w:r>
      <w:r w:rsidR="00D07FC4">
        <w:t>L</w:t>
      </w:r>
      <w:r>
        <w:t xml:space="preserve"> predikuje v bohu vztah na </w:t>
      </w:r>
      <w:r w:rsidRPr="00273106">
        <w:t>úrovni substance (</w:t>
      </w:r>
      <w:r w:rsidRPr="00273106">
        <w:rPr>
          <w:i/>
        </w:rPr>
        <w:t>relatio substantialis</w:t>
      </w:r>
      <w:r>
        <w:rPr>
          <w:i/>
        </w:rPr>
        <w:fldChar w:fldCharType="begin"/>
      </w:r>
      <w:r>
        <w:instrText xml:space="preserve"> XE "</w:instrText>
      </w:r>
      <w:r w:rsidRPr="005B2F10">
        <w:rPr>
          <w:i/>
        </w:rPr>
        <w:instrText>relatio</w:instrText>
      </w:r>
      <w:r>
        <w:instrText xml:space="preserve">" </w:instrText>
      </w:r>
      <w:r>
        <w:rPr>
          <w:i/>
        </w:rPr>
        <w:fldChar w:fldCharType="end"/>
      </w:r>
      <w:r w:rsidRPr="00273106">
        <w:t xml:space="preserve">). </w:t>
      </w:r>
      <w:r>
        <w:t>Doslovným použitím kategoriální predikace se sféra objektivity podle Gand</w:t>
      </w:r>
      <w:r w:rsidR="0068786A">
        <w:t xml:space="preserve">ava stala součástí boží esence. Tato forma mystického pantheismu </w:t>
      </w:r>
      <w:r w:rsidR="008C6247">
        <w:rPr>
          <w:rFonts w:cs="Calibri"/>
          <w:szCs w:val="24"/>
          <w:lang w:val="de-DE"/>
        </w:rPr>
        <w:t>à</w:t>
      </w:r>
      <w:r w:rsidR="008C6247">
        <w:rPr>
          <w:szCs w:val="24"/>
          <w:lang w:val="de-DE"/>
        </w:rPr>
        <w:t xml:space="preserve"> la Spinoza </w:t>
      </w:r>
      <w:r w:rsidR="0068786A">
        <w:t xml:space="preserve">se </w:t>
      </w:r>
      <w:r w:rsidR="008C6247">
        <w:t xml:space="preserve">učila </w:t>
      </w:r>
      <w:r w:rsidR="0068786A">
        <w:t>na Pařížské univerzitě po roce 1277 a hlásal ji samotný rektor artistické fakulty. S</w:t>
      </w:r>
      <w:r>
        <w:t>měrem do stvoření fungoval scénář emanace</w:t>
      </w:r>
      <w:r>
        <w:fldChar w:fldCharType="begin"/>
      </w:r>
      <w:r>
        <w:instrText xml:space="preserve"> XE "</w:instrText>
      </w:r>
      <w:r w:rsidRPr="00F43FA8">
        <w:instrText>emanace</w:instrText>
      </w:r>
      <w:r>
        <w:instrText xml:space="preserve">" </w:instrText>
      </w:r>
      <w:r>
        <w:fldChar w:fldCharType="end"/>
      </w:r>
      <w:r>
        <w:t xml:space="preserve">, který byl pro křesťanskou teologii naprosto nepřijatelný. Scotus </w:t>
      </w:r>
      <w:r w:rsidRPr="00273106">
        <w:t xml:space="preserve">vytvořil novou </w:t>
      </w:r>
      <w:r w:rsidRPr="00273106">
        <w:lastRenderedPageBreak/>
        <w:t>verzi minimál</w:t>
      </w:r>
      <w:r>
        <w:t>ní jsoucnosti</w:t>
      </w:r>
      <w:r w:rsidR="00711944">
        <w:t xml:space="preserve"> </w:t>
      </w:r>
      <w:r w:rsidR="000715DD" w:rsidRPr="00273106">
        <w:t>(</w:t>
      </w:r>
      <w:r w:rsidR="000715DD" w:rsidRPr="00273106">
        <w:rPr>
          <w:i/>
        </w:rPr>
        <w:t>ens ratum</w:t>
      </w:r>
      <w:r w:rsidR="000715DD" w:rsidRPr="00273106">
        <w:t>)</w:t>
      </w:r>
      <w:r w:rsidR="000715DD">
        <w:t xml:space="preserve"> skrze objektivní výměr</w:t>
      </w:r>
      <w:r w:rsidRPr="00273106">
        <w:t xml:space="preserve">. Proto </w:t>
      </w:r>
      <w:r w:rsidR="00551C40">
        <w:t xml:space="preserve">Scotus nesouhlasí </w:t>
      </w:r>
      <w:r w:rsidRPr="00273106">
        <w:t xml:space="preserve">s </w:t>
      </w:r>
      <w:r>
        <w:t xml:space="preserve">Averroesovou </w:t>
      </w:r>
      <w:r w:rsidRPr="00273106">
        <w:t xml:space="preserve">kategoriální definicí </w:t>
      </w:r>
      <w:r>
        <w:t xml:space="preserve">vztahu jako čistého </w:t>
      </w:r>
      <w:r w:rsidRPr="00273106">
        <w:t xml:space="preserve">akcidentu a opravuje ji s ohledem na </w:t>
      </w:r>
      <w:r>
        <w:t>neoplatonsk</w:t>
      </w:r>
      <w:r w:rsidRPr="00273106">
        <w:t xml:space="preserve">ého Simplikia. </w:t>
      </w:r>
    </w:p>
    <w:p w:rsidR="00A02203" w:rsidRPr="00FC2362" w:rsidRDefault="00A02203" w:rsidP="00A02203">
      <w:pPr>
        <w:pStyle w:val="Citace"/>
        <w:rPr>
          <w:noProof/>
          <w:lang w:val="cs-CZ"/>
        </w:rPr>
      </w:pPr>
      <w:r w:rsidRPr="00273106">
        <w:rPr>
          <w:noProof/>
        </w:rPr>
        <w:t>„</w:t>
      </w:r>
      <w:r>
        <w:rPr>
          <w:noProof/>
          <w:lang w:val="cs-CZ"/>
        </w:rPr>
        <w:t xml:space="preserve">Musíme agumentovat proti Averroesovu tvrzení v deváté knize </w:t>
      </w:r>
      <w:r w:rsidRPr="085751D1">
        <w:rPr>
          <w:i/>
          <w:noProof/>
          <w:lang w:val="cs-CZ"/>
        </w:rPr>
        <w:t>Metafyziky</w:t>
      </w:r>
      <w:r>
        <w:rPr>
          <w:noProof/>
          <w:lang w:val="cs-CZ"/>
        </w:rPr>
        <w:t>, že totiž 'vztah má pouze minimální bytí' (</w:t>
      </w:r>
      <w:r w:rsidRPr="00320693">
        <w:rPr>
          <w:i/>
          <w:noProof/>
        </w:rPr>
        <w:t>relatio habet debilissimum esse</w:t>
      </w:r>
      <w:r>
        <w:rPr>
          <w:noProof/>
          <w:lang w:val="cs-CZ"/>
        </w:rPr>
        <w:t>)</w:t>
      </w:r>
      <w:r w:rsidR="00FA4A76">
        <w:rPr>
          <w:noProof/>
          <w:lang w:val="cs-CZ"/>
        </w:rPr>
        <w:t xml:space="preserve">; </w:t>
      </w:r>
      <w:r>
        <w:rPr>
          <w:noProof/>
          <w:lang w:val="cs-CZ"/>
        </w:rPr>
        <w:t>proto prý kategorie vztahu není jistým bytím jsoucna, ani je nemůže formálně zajistit (</w:t>
      </w:r>
      <w:r w:rsidRPr="00320693">
        <w:rPr>
          <w:i/>
          <w:noProof/>
        </w:rPr>
        <w:t>ergo non est nec potest esse formaliter ratitudo entis rati</w:t>
      </w:r>
      <w:r>
        <w:rPr>
          <w:noProof/>
          <w:lang w:val="cs-CZ"/>
        </w:rPr>
        <w:t xml:space="preserve">). K tomu je třeba říci, že definice vztahu je dvojí: buď akcidentální, nebo substanciální. Rozdělení kategorie vztahu bereme ze Simplikiova komentáře ke </w:t>
      </w:r>
      <w:r w:rsidRPr="085751D1">
        <w:rPr>
          <w:i/>
          <w:noProof/>
          <w:lang w:val="cs-CZ"/>
        </w:rPr>
        <w:t>Kategoriím</w:t>
      </w:r>
      <w:r>
        <w:rPr>
          <w:noProof/>
          <w:lang w:val="cs-CZ"/>
        </w:rPr>
        <w:t xml:space="preserve">, kde říká že existuje určení „v“, které nepatří do kategoriálního vztahu </w:t>
      </w:r>
      <w:r w:rsidRPr="00273106">
        <w:t>(</w:t>
      </w:r>
      <w:r w:rsidRPr="00273106">
        <w:rPr>
          <w:i/>
        </w:rPr>
        <w:t>'in' non constituunt praedicamenta</w:t>
      </w:r>
      <w:r w:rsidRPr="00273106">
        <w:t>)</w:t>
      </w:r>
      <w:r>
        <w:rPr>
          <w:noProof/>
          <w:lang w:val="cs-CZ"/>
        </w:rPr>
        <w:t xml:space="preserve">, </w:t>
      </w:r>
      <w:r w:rsidR="008B2FF1">
        <w:rPr>
          <w:noProof/>
          <w:lang w:val="cs-CZ"/>
        </w:rPr>
        <w:t xml:space="preserve">v němž je </w:t>
      </w:r>
      <w:r>
        <w:rPr>
          <w:noProof/>
          <w:lang w:val="cs-CZ"/>
        </w:rPr>
        <w:t xml:space="preserve">predikamentum </w:t>
      </w:r>
      <w:r w:rsidR="005F659A">
        <w:rPr>
          <w:noProof/>
          <w:lang w:val="cs-CZ"/>
        </w:rPr>
        <w:t xml:space="preserve">dáno </w:t>
      </w:r>
      <w:r w:rsidR="008B2FF1">
        <w:rPr>
          <w:noProof/>
          <w:lang w:val="cs-CZ"/>
        </w:rPr>
        <w:t xml:space="preserve">jako </w:t>
      </w:r>
      <w:r>
        <w:rPr>
          <w:noProof/>
          <w:lang w:val="cs-CZ"/>
        </w:rPr>
        <w:t xml:space="preserve">kategoriální určení. Tato predikamenta jsou esenciální nebo substanciální, a ta druhá pouze akcidentální. Tvrzení Komentátora platí pouze pro kategoriální vztah na úrovni akcidentu, nikoliv na úrovni substance.“ </w:t>
      </w:r>
      <w:r>
        <w:rPr>
          <w:rStyle w:val="Znakapoznpodarou"/>
        </w:rPr>
        <w:footnoteReference w:id="461"/>
      </w:r>
    </w:p>
    <w:p w:rsidR="00B203CE" w:rsidRDefault="00C34240" w:rsidP="00CD1D2C">
      <w:r w:rsidRPr="00273106">
        <w:t xml:space="preserve">Kategorie vztahu </w:t>
      </w:r>
      <w:r>
        <w:t>(</w:t>
      </w:r>
      <w:r w:rsidRPr="000A14BE">
        <w:rPr>
          <w:i/>
        </w:rPr>
        <w:t>relatio</w:t>
      </w:r>
      <w:r>
        <w:rPr>
          <w:i/>
        </w:rPr>
        <w:fldChar w:fldCharType="begin"/>
      </w:r>
      <w:r>
        <w:instrText xml:space="preserve"> XE "</w:instrText>
      </w:r>
      <w:r w:rsidRPr="009B122B">
        <w:rPr>
          <w:i/>
        </w:rPr>
        <w:instrText>relatio</w:instrText>
      </w:r>
      <w:r>
        <w:instrText xml:space="preserve">" </w:instrText>
      </w:r>
      <w:r>
        <w:rPr>
          <w:i/>
        </w:rPr>
        <w:fldChar w:fldCharType="end"/>
      </w:r>
      <w:r>
        <w:t xml:space="preserve">) </w:t>
      </w:r>
      <w:r w:rsidRPr="00273106">
        <w:t xml:space="preserve">má pro </w:t>
      </w:r>
      <w:r>
        <w:t>Averroes</w:t>
      </w:r>
      <w:r w:rsidRPr="00273106">
        <w:t>e jen akcidentální charakter a nemůže existova</w:t>
      </w:r>
      <w:r>
        <w:t>t mimo substanci. Protože j</w:t>
      </w:r>
      <w:r w:rsidRPr="00273106">
        <w:t>e dána pouze v mysli, její bytí je naprosto minimá</w:t>
      </w:r>
      <w:r>
        <w:t>l</w:t>
      </w:r>
      <w:r w:rsidRPr="00273106">
        <w:t>ní (</w:t>
      </w:r>
      <w:r w:rsidRPr="00273106">
        <w:rPr>
          <w:i/>
        </w:rPr>
        <w:t>relatio habet debilissimum esse</w:t>
      </w:r>
      <w:r w:rsidRPr="00273106">
        <w:t xml:space="preserve">). Scotus </w:t>
      </w:r>
      <w:r>
        <w:t xml:space="preserve">musí přenést objektivní nutnost z boha na stvoření v Boethiově modu </w:t>
      </w:r>
      <w:r w:rsidRPr="0029577F">
        <w:rPr>
          <w:i/>
        </w:rPr>
        <w:t>quo est</w:t>
      </w:r>
      <w:r>
        <w:rPr>
          <w:i/>
        </w:rPr>
        <w:fldChar w:fldCharType="begin"/>
      </w:r>
      <w:r>
        <w:instrText xml:space="preserve"> XE "</w:instrText>
      </w:r>
      <w:r w:rsidRPr="003C4F2E">
        <w:rPr>
          <w:i/>
        </w:rPr>
        <w:instrText>quo est</w:instrText>
      </w:r>
      <w:r>
        <w:instrText xml:space="preserve">" </w:instrText>
      </w:r>
      <w:r>
        <w:rPr>
          <w:i/>
        </w:rPr>
        <w:fldChar w:fldCharType="end"/>
      </w:r>
      <w:r>
        <w:t>, protože stopa boha ve stvoření má objektivní kauzalitu danou racionální dedukcí. Substance v modu „</w:t>
      </w:r>
      <w:r w:rsidRPr="081D5C38">
        <w:rPr>
          <w:i/>
        </w:rPr>
        <w:t>esse in</w:t>
      </w:r>
      <w:r>
        <w:t xml:space="preserve">“ proto nese transcendentální charakter daný až za kategoriální predikací. Tvrzení Komentátora proto platí pouze pro kategoriální vztah na úrovni akcidentu, nikoliv na úrovni moderní substance třetího druhu </w:t>
      </w:r>
      <w:r w:rsidRPr="00273106">
        <w:t>(</w:t>
      </w:r>
      <w:r w:rsidRPr="00273106">
        <w:rPr>
          <w:i/>
        </w:rPr>
        <w:t>dictum Commentatoris verum est de relatione accidentali, non de substantiali</w:t>
      </w:r>
      <w:r w:rsidRPr="00273106">
        <w:t>).</w:t>
      </w:r>
      <w:r>
        <w:t xml:space="preserve"> </w:t>
      </w:r>
      <w:r w:rsidR="08163013" w:rsidRPr="00273106">
        <w:t>Aristotelova kategoriální predikace vztahu k substanci (</w:t>
      </w:r>
      <w:r w:rsidR="08163013" w:rsidRPr="00273106">
        <w:rPr>
          <w:i/>
        </w:rPr>
        <w:t>relatio accidentalis</w:t>
      </w:r>
      <w:r w:rsidR="08163013" w:rsidRPr="00273106">
        <w:t xml:space="preserve">) se změnila na novou formu predikace vzhledem k původní jednotě jsoucího. Klíčový </w:t>
      </w:r>
      <w:r w:rsidR="08163013">
        <w:t xml:space="preserve">termín </w:t>
      </w:r>
      <w:r w:rsidR="08163013" w:rsidRPr="00273106">
        <w:rPr>
          <w:i/>
        </w:rPr>
        <w:t>esse in</w:t>
      </w:r>
      <w:r w:rsidR="08163013" w:rsidRPr="006B4ACB">
        <w:t xml:space="preserve"> </w:t>
      </w:r>
      <w:r w:rsidR="08163013">
        <w:fldChar w:fldCharType="begin"/>
      </w:r>
      <w:r w:rsidR="08163013">
        <w:instrText xml:space="preserve"> XE "</w:instrText>
      </w:r>
      <w:r w:rsidR="08163013" w:rsidRPr="00DE2A32">
        <w:instrText>substance</w:instrText>
      </w:r>
      <w:r w:rsidR="08163013">
        <w:instrText>:</w:instrText>
      </w:r>
      <w:r w:rsidR="08163013" w:rsidRPr="006B4ACB">
        <w:rPr>
          <w:i/>
        </w:rPr>
        <w:instrText>esse in</w:instrText>
      </w:r>
      <w:r w:rsidR="08163013">
        <w:instrText xml:space="preserve">" </w:instrText>
      </w:r>
      <w:r w:rsidR="08163013">
        <w:fldChar w:fldCharType="end"/>
      </w:r>
      <w:r w:rsidR="08163013" w:rsidRPr="00273106">
        <w:t xml:space="preserve"> vzatý podle Simplikia zakládá novou verzi metafyziky</w:t>
      </w:r>
      <w:r w:rsidR="00F728D0">
        <w:t xml:space="preserve">. </w:t>
      </w:r>
      <w:r w:rsidR="00F728D0">
        <w:rPr>
          <w:rStyle w:val="ezkurwreuab5ozgtqnkl"/>
        </w:rPr>
        <w:t>Kategorická</w:t>
      </w:r>
      <w:r w:rsidR="00F728D0">
        <w:t xml:space="preserve"> predikace </w:t>
      </w:r>
      <w:r w:rsidR="00F728D0">
        <w:rPr>
          <w:rStyle w:val="ezkurwreuab5ozgtqnkl"/>
        </w:rPr>
        <w:t>Scota</w:t>
      </w:r>
      <w:r w:rsidR="00F728D0">
        <w:t xml:space="preserve"> </w:t>
      </w:r>
      <w:r w:rsidR="00F728D0">
        <w:rPr>
          <w:rStyle w:val="ezkurwreuab5ozgtqnkl"/>
        </w:rPr>
        <w:t>je v rozporu</w:t>
      </w:r>
      <w:r w:rsidR="00F728D0">
        <w:t xml:space="preserve"> </w:t>
      </w:r>
      <w:r w:rsidR="00F728D0">
        <w:rPr>
          <w:rStyle w:val="ezkurwreuab5ozgtqnkl"/>
        </w:rPr>
        <w:t>se zásadou</w:t>
      </w:r>
      <w:r w:rsidR="00F728D0">
        <w:t xml:space="preserve"> </w:t>
      </w:r>
      <w:r w:rsidR="00F728D0">
        <w:rPr>
          <w:rStyle w:val="ezkurwreuab5ozgtqnkl"/>
        </w:rPr>
        <w:t>„</w:t>
      </w:r>
      <w:r w:rsidR="00F728D0" w:rsidRPr="00F728D0">
        <w:rPr>
          <w:rStyle w:val="ezkurwreuab5ozgtqnkl"/>
          <w:i/>
        </w:rPr>
        <w:t>ex</w:t>
      </w:r>
      <w:r w:rsidR="00F728D0" w:rsidRPr="00F728D0">
        <w:rPr>
          <w:i/>
        </w:rPr>
        <w:t xml:space="preserve"> </w:t>
      </w:r>
      <w:r w:rsidR="00F728D0" w:rsidRPr="00F728D0">
        <w:rPr>
          <w:rStyle w:val="ezkurwreuab5ozgtqnkl"/>
          <w:i/>
        </w:rPr>
        <w:t>inmediatis</w:t>
      </w:r>
      <w:r w:rsidR="008248A8">
        <w:rPr>
          <w:rStyle w:val="ezkurwreuab5ozgtqnkl"/>
          <w:i/>
        </w:rPr>
        <w:fldChar w:fldCharType="begin"/>
      </w:r>
      <w:r w:rsidR="008248A8">
        <w:instrText xml:space="preserve"> XE "</w:instrText>
      </w:r>
      <w:r w:rsidR="008248A8" w:rsidRPr="00C62BD2">
        <w:rPr>
          <w:rStyle w:val="ezkurwreuab5ozgtqnkl"/>
          <w:i/>
        </w:rPr>
        <w:instrText>ex</w:instrText>
      </w:r>
      <w:r w:rsidR="008248A8" w:rsidRPr="00C62BD2">
        <w:rPr>
          <w:i/>
        </w:rPr>
        <w:instrText xml:space="preserve"> </w:instrText>
      </w:r>
      <w:r w:rsidR="008248A8" w:rsidRPr="00C62BD2">
        <w:rPr>
          <w:rStyle w:val="ezkurwreuab5ozgtqnkl"/>
          <w:i/>
        </w:rPr>
        <w:instrText>inmediatis</w:instrText>
      </w:r>
      <w:r w:rsidR="008248A8">
        <w:instrText xml:space="preserve">" </w:instrText>
      </w:r>
      <w:r w:rsidR="008248A8">
        <w:rPr>
          <w:rStyle w:val="ezkurwreuab5ozgtqnkl"/>
          <w:i/>
        </w:rPr>
        <w:fldChar w:fldCharType="end"/>
      </w:r>
      <w:r w:rsidR="00F728D0">
        <w:rPr>
          <w:rStyle w:val="ezkurwreuab5ozgtqnkl"/>
        </w:rPr>
        <w:t>“, která tvoří základ Averroesovy metafyziky.</w:t>
      </w:r>
      <w:r w:rsidR="00F728D0">
        <w:t xml:space="preserve"> </w:t>
      </w:r>
      <w:r w:rsidR="08163013" w:rsidRPr="00273106">
        <w:t xml:space="preserve">Moderní františkán se postavil na stranu </w:t>
      </w:r>
      <w:r w:rsidR="08163013">
        <w:t>neoplatonsk</w:t>
      </w:r>
      <w:r w:rsidR="08163013" w:rsidRPr="00273106">
        <w:t xml:space="preserve">ého Simplikia proti nemodernímu </w:t>
      </w:r>
      <w:r w:rsidR="08163013">
        <w:t>Averroes</w:t>
      </w:r>
      <w:r w:rsidR="08163013" w:rsidRPr="00273106">
        <w:t>ovi</w:t>
      </w:r>
      <w:r w:rsidR="008248A8">
        <w:t>,</w:t>
      </w:r>
      <w:r w:rsidR="08163013" w:rsidRPr="00273106">
        <w:t xml:space="preserve"> a tím i proti celému prvnímu averroismu.</w:t>
      </w:r>
      <w:r w:rsidR="08163013" w:rsidRPr="007744DD">
        <w:t xml:space="preserve"> </w:t>
      </w:r>
      <w:r w:rsidR="08163013" w:rsidRPr="00273106">
        <w:t xml:space="preserve">Scotus </w:t>
      </w:r>
      <w:r w:rsidR="08163013">
        <w:t xml:space="preserve">se stal prvním tomistou ve škole porretánských </w:t>
      </w:r>
      <w:r w:rsidR="08163013" w:rsidRPr="086F35FB">
        <w:rPr>
          <w:i/>
        </w:rPr>
        <w:t>Modernorum</w:t>
      </w:r>
      <w:r w:rsidR="08163013">
        <w:t xml:space="preserve">. Proto </w:t>
      </w:r>
      <w:r w:rsidR="08163013" w:rsidRPr="00273106">
        <w:t xml:space="preserve">přesně vidí </w:t>
      </w:r>
      <w:r w:rsidR="08163013">
        <w:t xml:space="preserve">zásadní </w:t>
      </w:r>
      <w:r w:rsidR="08163013" w:rsidRPr="00273106">
        <w:t>novum dané v transc</w:t>
      </w:r>
      <w:r w:rsidR="08163013">
        <w:t xml:space="preserve">endentální predikaci Simplikia. Tento neoplatonik </w:t>
      </w:r>
      <w:r w:rsidR="08163013" w:rsidRPr="00273106">
        <w:lastRenderedPageBreak/>
        <w:t xml:space="preserve">vytvořil </w:t>
      </w:r>
      <w:r w:rsidR="08163013">
        <w:t xml:space="preserve">kategoriální </w:t>
      </w:r>
      <w:r w:rsidR="08163013" w:rsidRPr="00273106">
        <w:t>predikaci mimo kategorie.</w:t>
      </w:r>
      <w:r w:rsidR="08163013">
        <w:t xml:space="preserve"> Scotus musí podržet objektivní vztah </w:t>
      </w:r>
      <w:r>
        <w:t>„</w:t>
      </w:r>
      <w:r w:rsidR="08163013" w:rsidRPr="00317A36">
        <w:rPr>
          <w:i/>
        </w:rPr>
        <w:t>vestigium</w:t>
      </w:r>
      <w:r w:rsidR="08163013">
        <w:t>‒</w:t>
      </w:r>
      <w:r w:rsidR="08163013" w:rsidRPr="00317A36">
        <w:rPr>
          <w:i/>
        </w:rPr>
        <w:t>imago</w:t>
      </w:r>
      <w:r>
        <w:t>“</w:t>
      </w:r>
      <w:r w:rsidR="08163013">
        <w:t xml:space="preserve"> za kategoriální predikací substance, protože věčné a nutné boží pravdy předcházejí stvoření. Obhajoba metafyziky jako </w:t>
      </w:r>
      <w:r w:rsidR="08163013" w:rsidRPr="008E72F8">
        <w:rPr>
          <w:i/>
        </w:rPr>
        <w:t>scientia transcendens</w:t>
      </w:r>
      <w:r w:rsidR="08163013">
        <w:rPr>
          <w:i/>
        </w:rPr>
        <w:fldChar w:fldCharType="begin"/>
      </w:r>
      <w:r w:rsidR="08163013">
        <w:instrText xml:space="preserve"> XE "</w:instrText>
      </w:r>
      <w:r w:rsidR="08163013" w:rsidRPr="002412A9">
        <w:instrText>metafyzika:</w:instrText>
      </w:r>
      <w:r w:rsidR="08163013" w:rsidRPr="002412A9">
        <w:rPr>
          <w:i/>
        </w:rPr>
        <w:instrText>scientia transcendens</w:instrText>
      </w:r>
      <w:r w:rsidR="08163013">
        <w:instrText xml:space="preserve">" </w:instrText>
      </w:r>
      <w:r w:rsidR="08163013">
        <w:rPr>
          <w:i/>
        </w:rPr>
        <w:fldChar w:fldCharType="end"/>
      </w:r>
      <w:r w:rsidR="08163013">
        <w:t xml:space="preserve"> sáhla opět do rezervoáru Simplikiova výkladu </w:t>
      </w:r>
      <w:r w:rsidR="08163013" w:rsidRPr="08943D0F">
        <w:rPr>
          <w:i/>
        </w:rPr>
        <w:t>Kategorií</w:t>
      </w:r>
      <w:r w:rsidR="08163013">
        <w:t xml:space="preserve">, ale jinak než Gandavus. Odkaz na Simplikiovo </w:t>
      </w:r>
      <w:r>
        <w:t>„</w:t>
      </w:r>
      <w:r w:rsidR="08163013" w:rsidRPr="00317A36">
        <w:rPr>
          <w:i/>
        </w:rPr>
        <w:t>esse in</w:t>
      </w:r>
      <w:r>
        <w:t>“</w:t>
      </w:r>
      <w:r w:rsidR="08163013">
        <w:t xml:space="preserve"> </w:t>
      </w:r>
      <w:r w:rsidR="08163013">
        <w:fldChar w:fldCharType="begin"/>
      </w:r>
      <w:r w:rsidR="08163013">
        <w:instrText xml:space="preserve"> XE "</w:instrText>
      </w:r>
      <w:r w:rsidR="08163013" w:rsidRPr="00DE2A32">
        <w:instrText>substance</w:instrText>
      </w:r>
      <w:r w:rsidR="08163013">
        <w:instrText>:</w:instrText>
      </w:r>
      <w:r w:rsidR="08163013" w:rsidRPr="006B4ACB">
        <w:rPr>
          <w:i/>
        </w:rPr>
        <w:instrText>esse in</w:instrText>
      </w:r>
      <w:r w:rsidR="08163013">
        <w:instrText xml:space="preserve">" </w:instrText>
      </w:r>
      <w:r w:rsidR="08163013">
        <w:fldChar w:fldCharType="end"/>
      </w:r>
      <w:r w:rsidR="08163013">
        <w:t xml:space="preserve">místo na Henryho </w:t>
      </w:r>
      <w:r>
        <w:t>„</w:t>
      </w:r>
      <w:r w:rsidR="08163013" w:rsidRPr="00317A36">
        <w:rPr>
          <w:i/>
        </w:rPr>
        <w:t>esse ad</w:t>
      </w:r>
      <w:r>
        <w:t>“</w:t>
      </w:r>
      <w:r w:rsidR="08163013">
        <w:t xml:space="preserve"> ukazuje sofistikovanou konstrukci nové metafyziky.</w:t>
      </w:r>
      <w:r w:rsidR="000133DE">
        <w:t xml:space="preserve"> </w:t>
      </w:r>
      <w:r w:rsidR="08163013">
        <w:t xml:space="preserve">Vestiginální stopa boží racionality musí být na rovině stvoření jako objektivního </w:t>
      </w:r>
      <w:r w:rsidR="08163013" w:rsidRPr="08F205D8">
        <w:rPr>
          <w:i/>
        </w:rPr>
        <w:t>imago</w:t>
      </w:r>
      <w:r w:rsidR="08163013">
        <w:t xml:space="preserve"> této racionality daná jako Avicennova čistá esence (</w:t>
      </w:r>
      <w:r w:rsidR="08163013" w:rsidRPr="08FF2197">
        <w:rPr>
          <w:i/>
        </w:rPr>
        <w:t>hoc esse tantum</w:t>
      </w:r>
      <w:r w:rsidR="08163013">
        <w:rPr>
          <w:i/>
        </w:rPr>
        <w:fldChar w:fldCharType="begin"/>
      </w:r>
      <w:r w:rsidR="08163013">
        <w:instrText xml:space="preserve"> XE "</w:instrText>
      </w:r>
      <w:r w:rsidR="08163013" w:rsidRPr="005A071C">
        <w:rPr>
          <w:i/>
          <w:lang w:eastAsia="en-US"/>
        </w:rPr>
        <w:instrText>hoc esse tantum</w:instrText>
      </w:r>
      <w:r w:rsidR="08163013">
        <w:instrText xml:space="preserve">" </w:instrText>
      </w:r>
      <w:r w:rsidR="08163013">
        <w:rPr>
          <w:i/>
        </w:rPr>
        <w:fldChar w:fldCharType="end"/>
      </w:r>
      <w:r w:rsidR="08163013">
        <w:t xml:space="preserve">), jinak by nezaložila </w:t>
      </w:r>
      <w:r w:rsidR="00CD62D5">
        <w:t xml:space="preserve">moderní </w:t>
      </w:r>
      <w:r w:rsidR="08163013">
        <w:t xml:space="preserve">metafyziku. Scotus se vrátí zpět k Simplikiovi jako praotci modernistů a povýší akcidentální kategorii vztahu na substanciání úroveň </w:t>
      </w:r>
      <w:r w:rsidR="08163013" w:rsidRPr="00273106">
        <w:t>(</w:t>
      </w:r>
      <w:r w:rsidR="08163013" w:rsidRPr="00273106">
        <w:rPr>
          <w:i/>
        </w:rPr>
        <w:t>aliqui respectus sunt essentiales sive substantiales</w:t>
      </w:r>
      <w:r w:rsidR="08163013">
        <w:t xml:space="preserve">). Forma habitu upravená Gandavem v modu </w:t>
      </w:r>
      <w:r w:rsidR="000F69A7">
        <w:t>„</w:t>
      </w:r>
      <w:r w:rsidR="08163013" w:rsidRPr="00031149">
        <w:rPr>
          <w:i/>
        </w:rPr>
        <w:t>esse in</w:t>
      </w:r>
      <w:r w:rsidR="000F69A7">
        <w:t>“</w:t>
      </w:r>
      <w:r w:rsidR="08163013">
        <w:t xml:space="preserve"> </w:t>
      </w:r>
      <w:r w:rsidR="08163013">
        <w:fldChar w:fldCharType="begin"/>
      </w:r>
      <w:r w:rsidR="08163013">
        <w:instrText xml:space="preserve"> XE "</w:instrText>
      </w:r>
      <w:r w:rsidR="08163013" w:rsidRPr="00DE2A32">
        <w:instrText>substance</w:instrText>
      </w:r>
      <w:r w:rsidR="08163013">
        <w:instrText>:</w:instrText>
      </w:r>
      <w:r w:rsidR="08163013" w:rsidRPr="006B4ACB">
        <w:rPr>
          <w:i/>
        </w:rPr>
        <w:instrText>esse in</w:instrText>
      </w:r>
      <w:r w:rsidR="08163013">
        <w:instrText xml:space="preserve">" </w:instrText>
      </w:r>
      <w:r w:rsidR="08163013">
        <w:fldChar w:fldCharType="end"/>
      </w:r>
      <w:r w:rsidR="08163013">
        <w:t xml:space="preserve">musí zůstat, ale </w:t>
      </w:r>
      <w:r w:rsidR="00300011">
        <w:t xml:space="preserve">kategorie </w:t>
      </w:r>
      <w:r w:rsidR="00300011" w:rsidRPr="00300011">
        <w:rPr>
          <w:i/>
        </w:rPr>
        <w:t>habitus</w:t>
      </w:r>
      <w:r w:rsidR="00300011">
        <w:t xml:space="preserve"> a </w:t>
      </w:r>
      <w:r w:rsidR="00300011" w:rsidRPr="00300011">
        <w:rPr>
          <w:i/>
        </w:rPr>
        <w:t>relatio</w:t>
      </w:r>
      <w:r w:rsidR="00300011">
        <w:t xml:space="preserve"> </w:t>
      </w:r>
      <w:r w:rsidR="08163013">
        <w:t>dosta</w:t>
      </w:r>
      <w:r w:rsidR="00300011">
        <w:t>ly</w:t>
      </w:r>
      <w:r w:rsidR="08163013">
        <w:t xml:space="preserve"> nový metafyzický kabát podle Rufusova dvojího rozdělení potencí.</w:t>
      </w:r>
      <w:r w:rsidR="08163013" w:rsidRPr="004508AC">
        <w:t xml:space="preserve"> </w:t>
      </w:r>
      <w:r w:rsidR="08163013">
        <w:t xml:space="preserve">Simplikius zrušil původní smysl predikace </w:t>
      </w:r>
      <w:r w:rsidR="08163013" w:rsidRPr="084819F6">
        <w:rPr>
          <w:i/>
        </w:rPr>
        <w:t>Kategorií</w:t>
      </w:r>
      <w:r w:rsidR="08163013">
        <w:t xml:space="preserve"> tím, že postavil </w:t>
      </w:r>
      <w:r w:rsidR="00300011">
        <w:t>čisté b</w:t>
      </w:r>
      <w:r w:rsidR="08163013" w:rsidRPr="00273106">
        <w:t>ytí jako nejvyšší</w:t>
      </w:r>
      <w:r w:rsidR="08163013">
        <w:t xml:space="preserve"> rod </w:t>
      </w:r>
      <w:r w:rsidR="08163013" w:rsidRPr="00273106">
        <w:t>(</w:t>
      </w:r>
      <w:r w:rsidR="00CD3880">
        <w:t xml:space="preserve">OBJ I, </w:t>
      </w:r>
      <w:r w:rsidR="08163013">
        <w:t>kap. 1.3</w:t>
      </w:r>
      <w:r w:rsidR="08163013" w:rsidRPr="00273106">
        <w:t xml:space="preserve">.1). </w:t>
      </w:r>
      <w:r w:rsidR="08163013">
        <w:t xml:space="preserve">Tuto transformaci Scotus zásadně potřebuje k vybudování objektivní metafyziky. </w:t>
      </w:r>
      <w:r w:rsidR="08163013" w:rsidRPr="00273106">
        <w:t>Akcident</w:t>
      </w:r>
      <w:r w:rsidR="08163013">
        <w:t>ální určení substance nesou</w:t>
      </w:r>
      <w:r w:rsidR="08163013" w:rsidRPr="00273106">
        <w:t xml:space="preserve"> v novém náhledu jsoucna univoční význam Simplikiovy kvazi</w:t>
      </w:r>
      <w:r w:rsidR="08163013" w:rsidRPr="00273106">
        <w:noBreakHyphen/>
        <w:t>substance</w:t>
      </w:r>
      <w:r w:rsidR="08163013">
        <w:t xml:space="preserve">. Vztah dostal hypostázovaný charakter v Rufusově modu </w:t>
      </w:r>
      <w:r w:rsidR="00A10EA4">
        <w:t>„</w:t>
      </w:r>
      <w:r w:rsidR="08163013" w:rsidRPr="00025604">
        <w:rPr>
          <w:i/>
        </w:rPr>
        <w:t>potentia</w:t>
      </w:r>
      <w:r w:rsidR="08163013">
        <w:rPr>
          <w:i/>
        </w:rPr>
        <w:t xml:space="preserve"> substantia</w:t>
      </w:r>
      <w:r w:rsidR="08163013" w:rsidRPr="00025604">
        <w:rPr>
          <w:i/>
        </w:rPr>
        <w:t>lis</w:t>
      </w:r>
      <w:r w:rsidR="00A10EA4" w:rsidRPr="00A10EA4">
        <w:t>“</w:t>
      </w:r>
      <w:r w:rsidR="08163013">
        <w:rPr>
          <w:i/>
        </w:rPr>
        <w:fldChar w:fldCharType="begin"/>
      </w:r>
      <w:r w:rsidR="08163013">
        <w:instrText xml:space="preserve"> XE "</w:instrText>
      </w:r>
      <w:r w:rsidR="08163013" w:rsidRPr="00263A8E">
        <w:rPr>
          <w:i/>
        </w:rPr>
        <w:instrText>potentia substantialis</w:instrText>
      </w:r>
      <w:r w:rsidR="08163013">
        <w:instrText xml:space="preserve">" </w:instrText>
      </w:r>
      <w:r w:rsidR="08163013">
        <w:rPr>
          <w:i/>
        </w:rPr>
        <w:fldChar w:fldCharType="end"/>
      </w:r>
      <w:r w:rsidR="08163013">
        <w:t xml:space="preserve">. Odkaz na Simplikia odstranil poslední stopu oné </w:t>
      </w:r>
      <w:r w:rsidR="00A10EA4">
        <w:t>„</w:t>
      </w:r>
      <w:r w:rsidR="08163013" w:rsidRPr="00273106">
        <w:rPr>
          <w:i/>
        </w:rPr>
        <w:t>obscurity</w:t>
      </w:r>
      <w:r w:rsidR="00A10EA4">
        <w:t>“</w:t>
      </w:r>
      <w:r w:rsidR="08163013">
        <w:rPr>
          <w:i/>
        </w:rPr>
        <w:fldChar w:fldCharType="begin"/>
      </w:r>
      <w:r w:rsidR="08163013">
        <w:instrText xml:space="preserve"> XE "</w:instrText>
      </w:r>
      <w:r w:rsidR="08163013" w:rsidRPr="000E608A">
        <w:instrText>zatmění:substance</w:instrText>
      </w:r>
      <w:r w:rsidR="08163013">
        <w:instrText xml:space="preserve">" </w:instrText>
      </w:r>
      <w:r w:rsidR="08163013">
        <w:rPr>
          <w:i/>
        </w:rPr>
        <w:fldChar w:fldCharType="end"/>
      </w:r>
      <w:r w:rsidR="08163013" w:rsidRPr="00273106">
        <w:t xml:space="preserve">, kterou </w:t>
      </w:r>
      <w:r w:rsidR="08163013">
        <w:t xml:space="preserve">Averroes odmítl v </w:t>
      </w:r>
      <w:r w:rsidR="08163013" w:rsidRPr="00273106">
        <w:t>metafyzice svého předchůdce (</w:t>
      </w:r>
      <w:r w:rsidR="004F22C9">
        <w:t xml:space="preserve">OBJ I, </w:t>
      </w:r>
      <w:r w:rsidR="08163013" w:rsidRPr="00273106">
        <w:t>kap. 2.4.1).</w:t>
      </w:r>
      <w:r w:rsidR="00CD1D2C">
        <w:t xml:space="preserve"> </w:t>
      </w:r>
      <w:r w:rsidR="08163013" w:rsidRPr="00273106">
        <w:t>Scotus se zásadním, tedy substanciálním způsobem (</w:t>
      </w:r>
      <w:r w:rsidR="08163013" w:rsidRPr="00273106">
        <w:rPr>
          <w:i/>
        </w:rPr>
        <w:t>de substantiali</w:t>
      </w:r>
      <w:r w:rsidR="08163013" w:rsidRPr="00273106">
        <w:t>) oddělil od klasické metafyziky</w:t>
      </w:r>
      <w:r w:rsidR="08163013">
        <w:t xml:space="preserve">. </w:t>
      </w:r>
      <w:r w:rsidR="00DB707E">
        <w:t xml:space="preserve">Averroes </w:t>
      </w:r>
      <w:r w:rsidR="08163013">
        <w:t xml:space="preserve">drží </w:t>
      </w:r>
      <w:r w:rsidR="08163013" w:rsidRPr="00273106">
        <w:t>primát</w:t>
      </w:r>
      <w:r w:rsidR="08163013">
        <w:t xml:space="preserve"> první substance</w:t>
      </w:r>
      <w:r w:rsidR="08163013">
        <w:fldChar w:fldCharType="begin"/>
      </w:r>
      <w:r w:rsidR="08163013">
        <w:instrText xml:space="preserve"> XE "</w:instrText>
      </w:r>
      <w:r w:rsidR="08163013" w:rsidRPr="00AF5A29">
        <w:instrText>substance:první</w:instrText>
      </w:r>
      <w:r w:rsidR="08163013">
        <w:instrText xml:space="preserve">" </w:instrText>
      </w:r>
      <w:r w:rsidR="08163013">
        <w:fldChar w:fldCharType="end"/>
      </w:r>
      <w:r w:rsidR="08163013">
        <w:t>, která je hyparchicky vypovídaná v modu kategoriální predikace dané</w:t>
      </w:r>
      <w:r w:rsidR="08163013" w:rsidRPr="00273106">
        <w:t xml:space="preserve"> výlučně pro druhou substanci. </w:t>
      </w:r>
      <w:r w:rsidR="00DB707E">
        <w:t xml:space="preserve">Scotovi stačí </w:t>
      </w:r>
      <w:r w:rsidR="08163013">
        <w:t xml:space="preserve">zabezpečit v neoplatonském systému </w:t>
      </w:r>
      <w:r w:rsidR="00DC5F2B">
        <w:t>„</w:t>
      </w:r>
      <w:r w:rsidR="08163013" w:rsidRPr="00317A36">
        <w:rPr>
          <w:i/>
        </w:rPr>
        <w:t>esse in</w:t>
      </w:r>
      <w:r w:rsidR="00DC5F2B">
        <w:t>“</w:t>
      </w:r>
      <w:r w:rsidR="08163013">
        <w:t xml:space="preserve"> minimální míru objektivní jsoucnosti ve stvoření</w:t>
      </w:r>
      <w:r w:rsidR="0085308E">
        <w:t xml:space="preserve">. Tato jsoucnost je daná skrze </w:t>
      </w:r>
      <w:r w:rsidR="08163013">
        <w:t>univerzálně-deduktivn</w:t>
      </w:r>
      <w:r w:rsidR="0085308E">
        <w:t>í</w:t>
      </w:r>
      <w:r w:rsidR="08163013">
        <w:t xml:space="preserve"> typ racionality</w:t>
      </w:r>
      <w:r w:rsidR="0085308E">
        <w:t xml:space="preserve"> založený na objektivní definici</w:t>
      </w:r>
      <w:r w:rsidR="08163013">
        <w:t xml:space="preserve"> </w:t>
      </w:r>
      <w:r w:rsidR="00DC5F2B">
        <w:t>„</w:t>
      </w:r>
      <w:r w:rsidR="08163013" w:rsidRPr="08855422">
        <w:rPr>
          <w:i/>
        </w:rPr>
        <w:t>esse ratum</w:t>
      </w:r>
      <w:r w:rsidR="00DC5F2B">
        <w:t>“</w:t>
      </w:r>
      <w:r w:rsidR="00E319B5">
        <w:t xml:space="preserve">. </w:t>
      </w:r>
      <w:r w:rsidR="00E319B5">
        <w:rPr>
          <w:rStyle w:val="ezkurwreuab5ozgtqnkl"/>
        </w:rPr>
        <w:t>Neoplatonská</w:t>
      </w:r>
      <w:r w:rsidR="00E319B5">
        <w:t xml:space="preserve"> </w:t>
      </w:r>
      <w:r w:rsidR="00E319B5">
        <w:rPr>
          <w:rStyle w:val="ezkurwreuab5ozgtqnkl"/>
        </w:rPr>
        <w:t>metafyzika</w:t>
      </w:r>
      <w:r w:rsidR="00E319B5">
        <w:t xml:space="preserve"> </w:t>
      </w:r>
      <w:r w:rsidR="00E319B5">
        <w:rPr>
          <w:rStyle w:val="ezkurwreuab5ozgtqnkl"/>
        </w:rPr>
        <w:t>byla</w:t>
      </w:r>
      <w:r w:rsidR="00E319B5">
        <w:t xml:space="preserve"> </w:t>
      </w:r>
      <w:r w:rsidR="00E319B5">
        <w:rPr>
          <w:rStyle w:val="ezkurwreuab5ozgtqnkl"/>
        </w:rPr>
        <w:t>přeměněna</w:t>
      </w:r>
      <w:r w:rsidR="00E319B5">
        <w:t xml:space="preserve"> </w:t>
      </w:r>
      <w:r w:rsidR="00E319B5">
        <w:rPr>
          <w:rStyle w:val="ezkurwreuab5ozgtqnkl"/>
        </w:rPr>
        <w:t>na transcendentální</w:t>
      </w:r>
      <w:r w:rsidR="00E319B5">
        <w:t xml:space="preserve"> </w:t>
      </w:r>
      <w:r w:rsidR="00E319B5">
        <w:rPr>
          <w:rStyle w:val="ezkurwreuab5ozgtqnkl"/>
        </w:rPr>
        <w:t>verzi</w:t>
      </w:r>
      <w:r w:rsidR="00E319B5">
        <w:t xml:space="preserve"> </w:t>
      </w:r>
      <w:r w:rsidR="00E319B5">
        <w:rPr>
          <w:rStyle w:val="ezkurwreuab5ozgtqnkl"/>
        </w:rPr>
        <w:t>aristotelismu</w:t>
      </w:r>
      <w:r w:rsidR="00A03534">
        <w:t xml:space="preserve">. Místo </w:t>
      </w:r>
      <w:r w:rsidR="00C0721F">
        <w:t>ne</w:t>
      </w:r>
      <w:r w:rsidR="00A03534">
        <w:t>o</w:t>
      </w:r>
      <w:r w:rsidR="00C0721F">
        <w:t xml:space="preserve">platonského systému </w:t>
      </w:r>
      <w:r w:rsidR="00A03534">
        <w:t xml:space="preserve">hypostází vznikla </w:t>
      </w:r>
      <w:r w:rsidR="00C0721F">
        <w:t>transcendentální verze</w:t>
      </w:r>
      <w:r w:rsidR="00A03534">
        <w:t xml:space="preserve"> kateroriálně predikované racionality</w:t>
      </w:r>
      <w:r w:rsidR="00C0721F">
        <w:t xml:space="preserve">, v níž je opět ustaven </w:t>
      </w:r>
      <w:r w:rsidR="00917075">
        <w:t xml:space="preserve">generický </w:t>
      </w:r>
      <w:r w:rsidR="00C0721F">
        <w:t>význ</w:t>
      </w:r>
      <w:r w:rsidR="00247EAC">
        <w:t xml:space="preserve">am jsoucna mimo nauku kategorií. </w:t>
      </w:r>
      <w:r w:rsidR="00C0721F">
        <w:t>Scotus potřebuje stejně jako Akvinský fiktivní jednotu jsoucna podle Avicenny (</w:t>
      </w:r>
      <w:r w:rsidR="00C0721F" w:rsidRPr="00C0721F">
        <w:rPr>
          <w:i/>
        </w:rPr>
        <w:t>ens inqu</w:t>
      </w:r>
      <w:r w:rsidR="00C0721F">
        <w:rPr>
          <w:i/>
        </w:rPr>
        <w:t>a</w:t>
      </w:r>
      <w:r w:rsidR="00C0721F" w:rsidRPr="00C0721F">
        <w:rPr>
          <w:i/>
        </w:rPr>
        <w:t>ntum ens</w:t>
      </w:r>
      <w:r w:rsidR="00C0721F">
        <w:t>), j</w:t>
      </w:r>
      <w:r w:rsidR="08163013">
        <w:t>inak nebude fungovat dedukce boží racionality na třech rovinách (</w:t>
      </w:r>
      <w:r w:rsidR="08163013" w:rsidRPr="000F7092">
        <w:rPr>
          <w:i/>
        </w:rPr>
        <w:t>exemplar</w:t>
      </w:r>
      <w:r w:rsidR="08163013">
        <w:t xml:space="preserve">, </w:t>
      </w:r>
      <w:r w:rsidR="00884743">
        <w:rPr>
          <w:i/>
        </w:rPr>
        <w:t>vestigium</w:t>
      </w:r>
      <w:r w:rsidR="08163013">
        <w:t xml:space="preserve">, </w:t>
      </w:r>
      <w:r w:rsidR="08163013" w:rsidRPr="000F7092">
        <w:rPr>
          <w:i/>
        </w:rPr>
        <w:t>imago</w:t>
      </w:r>
      <w:r w:rsidR="08163013">
        <w:t xml:space="preserve">). Nová metafyzika založená na objektivní analogii boží, stvořené a lidské racionality odstranila první substanci jako základní princip Averroesovy metafyziky a nechala fungovat </w:t>
      </w:r>
      <w:r w:rsidR="08163013">
        <w:lastRenderedPageBreak/>
        <w:t xml:space="preserve">jsoucno třetího druhu v nové formě objektivity. </w:t>
      </w:r>
      <w:r w:rsidR="00B203CE">
        <w:t xml:space="preserve">Zrušení </w:t>
      </w:r>
      <w:r w:rsidR="00B203CE" w:rsidRPr="00B203CE">
        <w:t>Averro</w:t>
      </w:r>
      <w:r w:rsidR="00B203CE">
        <w:t xml:space="preserve">esovy </w:t>
      </w:r>
      <w:r w:rsidR="00B203CE" w:rsidRPr="00B203CE">
        <w:t>metafyz</w:t>
      </w:r>
      <w:r w:rsidR="00B203CE">
        <w:t>iky poskytlo poslední důležitý a</w:t>
      </w:r>
      <w:r w:rsidR="00B203CE" w:rsidRPr="00B203CE">
        <w:t xml:space="preserve">rgument, který vyvolal </w:t>
      </w:r>
      <w:r w:rsidR="00B203CE">
        <w:t xml:space="preserve">dějinnou </w:t>
      </w:r>
      <w:r w:rsidR="00B203CE" w:rsidRPr="00B203CE">
        <w:t xml:space="preserve">událost </w:t>
      </w:r>
      <w:r w:rsidR="00B203CE">
        <w:t>(</w:t>
      </w:r>
      <w:r w:rsidR="00B203CE" w:rsidRPr="00B203CE">
        <w:rPr>
          <w:i/>
        </w:rPr>
        <w:t>Ereignis</w:t>
      </w:r>
      <w:r w:rsidR="00B203CE">
        <w:rPr>
          <w:i/>
        </w:rPr>
        <w:fldChar w:fldCharType="begin"/>
      </w:r>
      <w:r w:rsidR="00B203CE">
        <w:instrText xml:space="preserve"> XE "</w:instrText>
      </w:r>
      <w:r w:rsidR="00B203CE" w:rsidRPr="003203B4">
        <w:rPr>
          <w:i/>
        </w:rPr>
        <w:instrText>Ereignis</w:instrText>
      </w:r>
      <w:r w:rsidR="00B203CE">
        <w:instrText xml:space="preserve">" </w:instrText>
      </w:r>
      <w:r w:rsidR="00B203CE">
        <w:rPr>
          <w:i/>
        </w:rPr>
        <w:fldChar w:fldCharType="end"/>
      </w:r>
      <w:r w:rsidR="00B203CE">
        <w:t xml:space="preserve">) </w:t>
      </w:r>
      <w:r w:rsidR="00B203CE" w:rsidRPr="00B203CE">
        <w:t>epochální donace objektivity v Avicennově metafyzice vázané na antický Novopla</w:t>
      </w:r>
      <w:r w:rsidR="00B203CE">
        <w:t>tonismus. Hermeneutika nalezla p</w:t>
      </w:r>
      <w:r w:rsidR="00B203CE" w:rsidRPr="00B203CE">
        <w:t xml:space="preserve">oslední transformaci objektivity: temnota na rovině </w:t>
      </w:r>
      <w:r w:rsidR="00B203CE" w:rsidRPr="00B203CE">
        <w:rPr>
          <w:i/>
        </w:rPr>
        <w:t>alétheia</w:t>
      </w:r>
      <w:r w:rsidR="00B203CE" w:rsidRPr="00B203CE">
        <w:t xml:space="preserve"> se proměnila v</w:t>
      </w:r>
      <w:r w:rsidR="00B203CE">
        <w:t>e</w:t>
      </w:r>
      <w:r w:rsidR="00B203CE" w:rsidRPr="00B203CE">
        <w:t xml:space="preserve"> zcela objektivní </w:t>
      </w:r>
      <w:r w:rsidR="00B203CE" w:rsidRPr="00B203CE">
        <w:rPr>
          <w:i/>
        </w:rPr>
        <w:t>veritas</w:t>
      </w:r>
      <w:r w:rsidR="00B203CE" w:rsidRPr="00B203CE">
        <w:t xml:space="preserve">. Tento druh moderní pravdy </w:t>
      </w:r>
      <w:r w:rsidR="00B203CE">
        <w:t xml:space="preserve">založil donaci </w:t>
      </w:r>
      <w:r w:rsidR="00B203CE" w:rsidRPr="00B203CE">
        <w:t xml:space="preserve">bytí skrze </w:t>
      </w:r>
      <w:r w:rsidR="00B203CE" w:rsidRPr="00B203CE">
        <w:rPr>
          <w:i/>
        </w:rPr>
        <w:t>dativus obiectivus</w:t>
      </w:r>
      <w:r w:rsidR="00B203CE">
        <w:rPr>
          <w:i/>
        </w:rPr>
        <w:fldChar w:fldCharType="begin"/>
      </w:r>
      <w:r w:rsidR="00B203CE">
        <w:instrText xml:space="preserve"> XE "</w:instrText>
      </w:r>
      <w:r w:rsidR="00B203CE" w:rsidRPr="00DB2EDD">
        <w:rPr>
          <w:i/>
        </w:rPr>
        <w:instrText>dativus obiectivus</w:instrText>
      </w:r>
      <w:r w:rsidR="00B203CE">
        <w:instrText xml:space="preserve">" </w:instrText>
      </w:r>
      <w:r w:rsidR="00B203CE">
        <w:rPr>
          <w:i/>
        </w:rPr>
        <w:fldChar w:fldCharType="end"/>
      </w:r>
      <w:r w:rsidR="00B203CE" w:rsidRPr="00B203CE">
        <w:t xml:space="preserve"> </w:t>
      </w:r>
      <w:r w:rsidR="00B203CE">
        <w:t xml:space="preserve">v modu </w:t>
      </w:r>
      <w:r w:rsidR="00B203CE" w:rsidRPr="00B203CE">
        <w:t>božsk</w:t>
      </w:r>
      <w:r w:rsidR="00B203CE">
        <w:t xml:space="preserve">ého </w:t>
      </w:r>
      <w:r w:rsidR="00B203CE" w:rsidRPr="00B203CE">
        <w:t>a objektivní</w:t>
      </w:r>
      <w:r w:rsidR="00B203CE">
        <w:t xml:space="preserve">ho </w:t>
      </w:r>
      <w:r w:rsidR="00B203CE" w:rsidRPr="00B203CE">
        <w:rPr>
          <w:i/>
        </w:rPr>
        <w:t>rectitudo</w:t>
      </w:r>
      <w:r w:rsidR="00B203CE">
        <w:t>. Osvícený s</w:t>
      </w:r>
      <w:r w:rsidR="00B203CE" w:rsidRPr="00B203CE">
        <w:t xml:space="preserve">ubjekt si přivlastňuje tento druh božské pravdy jako </w:t>
      </w:r>
      <w:r w:rsidR="00B203CE" w:rsidRPr="00B203CE">
        <w:rPr>
          <w:i/>
        </w:rPr>
        <w:t>certitudo</w:t>
      </w:r>
      <w:r w:rsidR="00B203CE" w:rsidRPr="00B203CE">
        <w:t xml:space="preserve"> skrze lidskou pravdu. Tento druh sekundární objektivní pravdy je založen na lidsky možném </w:t>
      </w:r>
      <w:r w:rsidR="00B203CE" w:rsidRPr="00B203CE">
        <w:rPr>
          <w:i/>
        </w:rPr>
        <w:t>dativus possessivus</w:t>
      </w:r>
      <w:r w:rsidR="00B203CE" w:rsidRPr="00B203CE">
        <w:t xml:space="preserve"> božské objektivity. Tato dvojí podoba pravdy</w:t>
      </w:r>
      <w:r w:rsidR="00B203CE">
        <w:t xml:space="preserve"> nesená </w:t>
      </w:r>
      <w:r w:rsidR="00B203CE" w:rsidRPr="00B203CE">
        <w:t xml:space="preserve">dvěma moderními subjekty (jedním konečným a druhým nekonečným), založila novou formu </w:t>
      </w:r>
      <w:r w:rsidR="00B203CE" w:rsidRPr="00B203CE">
        <w:rPr>
          <w:i/>
        </w:rPr>
        <w:t>dativus auctoris</w:t>
      </w:r>
      <w:r w:rsidR="00B203CE" w:rsidRPr="00B203CE">
        <w:t xml:space="preserve">, která založila nové </w:t>
      </w:r>
      <w:r w:rsidR="00B203CE">
        <w:t>vidění světa. Protože se tento subjekt stal kapitalistickým d</w:t>
      </w:r>
      <w:r w:rsidR="00B203CE" w:rsidRPr="00B203CE">
        <w:t xml:space="preserve">emiurgem, jedná se o </w:t>
      </w:r>
      <w:r w:rsidR="00B203CE" w:rsidRPr="00B203CE">
        <w:rPr>
          <w:i/>
        </w:rPr>
        <w:t>dativus modi</w:t>
      </w:r>
      <w:r w:rsidR="00B203CE" w:rsidRPr="00B203CE">
        <w:t xml:space="preserve"> nového imperialismu, který nahradil křížové výpravy latinského Západu. Dedukce</w:t>
      </w:r>
      <w:r w:rsidR="00B203CE">
        <w:t xml:space="preserve"> objektivity v modu analytické</w:t>
      </w:r>
      <w:r w:rsidR="00B203CE" w:rsidRPr="00B203CE">
        <w:t xml:space="preserve"> </w:t>
      </w:r>
      <w:r w:rsidR="00B203CE" w:rsidRPr="00B203CE">
        <w:rPr>
          <w:i/>
        </w:rPr>
        <w:t>veritas</w:t>
      </w:r>
      <w:r w:rsidR="00B203CE">
        <w:t xml:space="preserve"> od moderního b</w:t>
      </w:r>
      <w:r w:rsidR="00B203CE" w:rsidRPr="00B203CE">
        <w:t>oha do stvoření hermeneuticky</w:t>
      </w:r>
      <w:r w:rsidR="00B203CE">
        <w:t xml:space="preserve"> ukázala „jak“</w:t>
      </w:r>
      <w:r w:rsidR="00B203CE" w:rsidRPr="00B203CE">
        <w:t xml:space="preserve"> nová forma metafyziky </w:t>
      </w:r>
      <w:r w:rsidR="00B203CE" w:rsidRPr="00B203CE">
        <w:rPr>
          <w:i/>
        </w:rPr>
        <w:t>Modernorum</w:t>
      </w:r>
      <w:r w:rsidR="00B203CE">
        <w:t xml:space="preserve"> </w:t>
      </w:r>
      <w:r w:rsidR="00B203CE" w:rsidRPr="00B203CE">
        <w:t>vyřešila nebo zrušila spory předchozí generace (</w:t>
      </w:r>
      <w:r w:rsidR="00B203CE" w:rsidRPr="00B203CE">
        <w:rPr>
          <w:i/>
        </w:rPr>
        <w:t>dativus incommodi</w:t>
      </w:r>
      <w:r w:rsidR="00B203CE" w:rsidRPr="00B203CE">
        <w:t>). Hermeneutická triáda objekt</w:t>
      </w:r>
      <w:r w:rsidR="00B203CE">
        <w:t>ivity (dějinnost, dějiny, historie</w:t>
      </w:r>
      <w:r w:rsidR="00B203CE" w:rsidRPr="00B203CE">
        <w:t>) je tím dovršena.</w:t>
      </w:r>
    </w:p>
    <w:p w:rsidR="08163013" w:rsidRDefault="08163013" w:rsidP="08163013">
      <w:r>
        <w:tab/>
      </w:r>
      <w:r w:rsidRPr="00273106">
        <w:t xml:space="preserve">Rozchod s klasickou metafyzikou </w:t>
      </w:r>
      <w:r>
        <w:t>umožnil</w:t>
      </w:r>
      <w:r w:rsidRPr="00273106">
        <w:t xml:space="preserve"> poslední důležitou r</w:t>
      </w:r>
      <w:r w:rsidR="005157F3">
        <w:t>ektifikaci Gandavovy filosofie dané v modu „</w:t>
      </w:r>
      <w:r w:rsidR="005157F3" w:rsidRPr="00273106">
        <w:rPr>
          <w:i/>
        </w:rPr>
        <w:t>relatio</w:t>
      </w:r>
      <w:r w:rsidR="003A0B14">
        <w:rPr>
          <w:rFonts w:cs="Calibri"/>
          <w:i/>
        </w:rPr>
        <w:t>–</w:t>
      </w:r>
      <w:r w:rsidR="005157F3">
        <w:rPr>
          <w:i/>
        </w:rPr>
        <w:t>habitudo</w:t>
      </w:r>
      <w:r w:rsidR="005157F3" w:rsidRPr="005157F3">
        <w:t xml:space="preserve">“. </w:t>
      </w:r>
      <w:r w:rsidR="005157F3">
        <w:t>Bůh má intencionální vztah ke stvoření daný jako hypostáze v modu „</w:t>
      </w:r>
      <w:r w:rsidR="005157F3" w:rsidRPr="00C731A1">
        <w:rPr>
          <w:i/>
        </w:rPr>
        <w:t>esse ad</w:t>
      </w:r>
      <w:r w:rsidR="005157F3">
        <w:t>“</w:t>
      </w:r>
      <w:r w:rsidR="00C731A1">
        <w:t xml:space="preserve"> (kap. 5.2.1</w:t>
      </w:r>
      <w:r w:rsidR="00C731A1" w:rsidRPr="00273106">
        <w:t>)</w:t>
      </w:r>
      <w:r w:rsidR="00C731A1">
        <w:t>.</w:t>
      </w:r>
      <w:r w:rsidR="005157F3">
        <w:t xml:space="preserve"> </w:t>
      </w:r>
      <w:r w:rsidR="00C731A1">
        <w:t>T</w:t>
      </w:r>
      <w:r w:rsidR="005157F3">
        <w:t>ato hypostáze je ve stvoření realizovaná jako habitus. Tato hypostáze funguje v rámci boží intencionálně dané kauzality (</w:t>
      </w:r>
      <w:r w:rsidR="005157F3" w:rsidRPr="001076F9">
        <w:rPr>
          <w:i/>
        </w:rPr>
        <w:t>causa individuationis</w:t>
      </w:r>
      <w:r w:rsidR="005157F3">
        <w:t>) a zakládá minimální porci objektivní jsoucnosti (</w:t>
      </w:r>
      <w:r w:rsidR="005157F3" w:rsidRPr="00273106">
        <w:rPr>
          <w:i/>
        </w:rPr>
        <w:t>res a ratitudine</w:t>
      </w:r>
      <w:r w:rsidR="005157F3">
        <w:t xml:space="preserve">). </w:t>
      </w:r>
      <w:r w:rsidR="00C731A1">
        <w:t xml:space="preserve">Tato </w:t>
      </w:r>
      <w:r w:rsidR="005157F3">
        <w:t>jsoucnost určená vztahem „</w:t>
      </w:r>
      <w:r w:rsidR="005157F3" w:rsidRPr="00273106">
        <w:rPr>
          <w:i/>
        </w:rPr>
        <w:t>relatio</w:t>
      </w:r>
      <w:r w:rsidR="003A0B14">
        <w:rPr>
          <w:rFonts w:cs="Calibri"/>
          <w:i/>
        </w:rPr>
        <w:t>–</w:t>
      </w:r>
      <w:r w:rsidR="005157F3">
        <w:rPr>
          <w:i/>
        </w:rPr>
        <w:t>habitudo</w:t>
      </w:r>
      <w:r w:rsidR="005157F3" w:rsidRPr="005157F3">
        <w:t>“</w:t>
      </w:r>
      <w:r w:rsidR="005157F3">
        <w:t xml:space="preserve"> </w:t>
      </w:r>
      <w:r w:rsidR="005157F3" w:rsidRPr="00273106">
        <w:t xml:space="preserve">zakládá objektivně pojatou </w:t>
      </w:r>
      <w:r w:rsidR="005157F3">
        <w:t>„</w:t>
      </w:r>
      <w:r w:rsidR="005157F3" w:rsidRPr="00273106">
        <w:t>věc</w:t>
      </w:r>
      <w:r w:rsidR="005157F3">
        <w:t>“ (</w:t>
      </w:r>
      <w:r w:rsidR="005157F3" w:rsidRPr="001076F9">
        <w:rPr>
          <w:i/>
        </w:rPr>
        <w:t>res</w:t>
      </w:r>
      <w:r w:rsidR="005157F3">
        <w:t>) jako jsoucno třetího druhu (</w:t>
      </w:r>
      <w:r w:rsidR="005157F3" w:rsidRPr="001076F9">
        <w:rPr>
          <w:i/>
        </w:rPr>
        <w:t>res a reor reris</w:t>
      </w:r>
      <w:r w:rsidR="005157F3">
        <w:t>)</w:t>
      </w:r>
      <w:r w:rsidR="005157F3" w:rsidRPr="00273106">
        <w:t xml:space="preserve">. </w:t>
      </w:r>
      <w:r w:rsidRPr="00273106">
        <w:t xml:space="preserve">Scotus musí určit objektivně danou první substanci </w:t>
      </w:r>
      <w:r>
        <w:t>jiným způsobem</w:t>
      </w:r>
      <w:r w:rsidRPr="00273106">
        <w:t xml:space="preserve">. </w:t>
      </w:r>
      <w:r>
        <w:t xml:space="preserve">Habituální charakter podle Scota definuje pouze </w:t>
      </w:r>
      <w:r w:rsidRPr="00273106">
        <w:t xml:space="preserve">akcidentální vlastnost </w:t>
      </w:r>
      <w:r>
        <w:t>druhé substance</w:t>
      </w:r>
      <w:r w:rsidRPr="00273106">
        <w:t xml:space="preserve">, a ne objektivní ontologické určení jsoucího jako jsoucího. </w:t>
      </w:r>
      <w:r>
        <w:t xml:space="preserve">A navíc není možné predikovat akcidenty jako jsoucna třetího druhu vzhledem k boží esenci, protože tím by vznikla neoplatonská emanace boží esence do stvoření. </w:t>
      </w:r>
      <w:r w:rsidRPr="00273106">
        <w:t xml:space="preserve">Scotova korekce </w:t>
      </w:r>
      <w:r>
        <w:t xml:space="preserve">Gandavova pojmu </w:t>
      </w:r>
      <w:r w:rsidR="00C35D38">
        <w:t>„</w:t>
      </w:r>
      <w:r w:rsidR="00C35D38" w:rsidRPr="00D52743">
        <w:rPr>
          <w:i/>
        </w:rPr>
        <w:t xml:space="preserve">res a </w:t>
      </w:r>
      <w:r w:rsidR="00C35D38" w:rsidRPr="00C35D38">
        <w:rPr>
          <w:i/>
        </w:rPr>
        <w:t>ratitudine</w:t>
      </w:r>
      <w:r w:rsidR="00C35D38">
        <w:t xml:space="preserve">“ je </w:t>
      </w:r>
      <w:r w:rsidRPr="00C35D38">
        <w:t>daná</w:t>
      </w:r>
      <w:r>
        <w:t xml:space="preserve"> v pojmu </w:t>
      </w:r>
      <w:r w:rsidR="00C35D38">
        <w:t>„</w:t>
      </w:r>
      <w:r w:rsidRPr="00273106">
        <w:rPr>
          <w:i/>
        </w:rPr>
        <w:t>aliquitas</w:t>
      </w:r>
      <w:r w:rsidR="00C35D38">
        <w:t>“</w:t>
      </w:r>
      <w:r>
        <w:rPr>
          <w:i/>
        </w:rPr>
        <w:fldChar w:fldCharType="begin"/>
      </w:r>
      <w:r>
        <w:instrText xml:space="preserve"> XE "</w:instrText>
      </w:r>
      <w:r w:rsidRPr="00D248E6">
        <w:rPr>
          <w:i/>
        </w:rPr>
        <w:instrText>aliquitas</w:instrText>
      </w:r>
      <w:r>
        <w:instrText xml:space="preserve">" </w:instrText>
      </w:r>
      <w:r>
        <w:rPr>
          <w:i/>
        </w:rPr>
        <w:fldChar w:fldCharType="end"/>
      </w:r>
      <w:r w:rsidR="00C35D38">
        <w:t xml:space="preserve">. Scotus potvrzuje </w:t>
      </w:r>
      <w:r w:rsidRPr="00273106">
        <w:t xml:space="preserve">nihilismus nové </w:t>
      </w:r>
      <w:r w:rsidR="00C35D38">
        <w:t xml:space="preserve">metafyziky </w:t>
      </w:r>
      <w:r w:rsidRPr="00273106">
        <w:t xml:space="preserve">převzatý </w:t>
      </w:r>
      <w:r>
        <w:t xml:space="preserve">od Oliviho určení jsoucna </w:t>
      </w:r>
      <w:r w:rsidR="00C35D38">
        <w:t>v modu „</w:t>
      </w:r>
      <w:r w:rsidRPr="00273106">
        <w:rPr>
          <w:i/>
        </w:rPr>
        <w:t xml:space="preserve">non repugnat </w:t>
      </w:r>
      <w:r w:rsidRPr="082136FB">
        <w:rPr>
          <w:i/>
        </w:rPr>
        <w:t>esse</w:t>
      </w:r>
      <w:r w:rsidR="00C35D38">
        <w:t>“</w:t>
      </w:r>
      <w:r w:rsidRPr="082136FB">
        <w:rPr>
          <w:i/>
        </w:rPr>
        <w:fldChar w:fldCharType="begin"/>
      </w:r>
      <w:r w:rsidRPr="082136FB">
        <w:rPr>
          <w:i/>
        </w:rPr>
        <w:instrText xml:space="preserve"> XE "non repugnat esse" </w:instrText>
      </w:r>
      <w:r w:rsidRPr="082136FB">
        <w:rPr>
          <w:i/>
        </w:rPr>
        <w:fldChar w:fldCharType="end"/>
      </w:r>
      <w:r w:rsidR="00CF043E">
        <w:t xml:space="preserve"> (kap. 5</w:t>
      </w:r>
      <w:r w:rsidRPr="00273106">
        <w:t>.1.2). Formální urče</w:t>
      </w:r>
      <w:r>
        <w:t xml:space="preserve">ní jsoucna jako „něčeho“ </w:t>
      </w:r>
      <w:r w:rsidRPr="00273106">
        <w:t>(</w:t>
      </w:r>
      <w:r w:rsidRPr="00273106">
        <w:rPr>
          <w:i/>
        </w:rPr>
        <w:t>aliquitas</w:t>
      </w:r>
      <w:r w:rsidRPr="00273106">
        <w:t>)</w:t>
      </w:r>
      <w:r>
        <w:t xml:space="preserve"> je dáno</w:t>
      </w:r>
      <w:r w:rsidRPr="00273106">
        <w:t xml:space="preserve"> </w:t>
      </w:r>
      <w:r>
        <w:t xml:space="preserve">jako nominální význam </w:t>
      </w:r>
      <w:r w:rsidRPr="00273106">
        <w:t>(</w:t>
      </w:r>
      <w:r w:rsidRPr="00273106">
        <w:rPr>
          <w:i/>
        </w:rPr>
        <w:t>quid nominis</w:t>
      </w:r>
      <w:r w:rsidRPr="00273106">
        <w:t xml:space="preserve">). Každý koncept je možno myslet jen tím, že </w:t>
      </w:r>
      <w:r>
        <w:t xml:space="preserve">je </w:t>
      </w:r>
      <w:r>
        <w:lastRenderedPageBreak/>
        <w:t xml:space="preserve">něčím odlišným od </w:t>
      </w:r>
      <w:r w:rsidRPr="00273106">
        <w:t xml:space="preserve">nebytí. </w:t>
      </w:r>
      <w:r>
        <w:t>Gand</w:t>
      </w:r>
      <w:r w:rsidR="00AE30E1">
        <w:t>av</w:t>
      </w:r>
      <w:r>
        <w:t>ova definice chiméry (</w:t>
      </w:r>
      <w:r w:rsidRPr="00FA5A04">
        <w:rPr>
          <w:i/>
        </w:rPr>
        <w:t>conceptus</w:t>
      </w:r>
      <w:r>
        <w:t xml:space="preserve"> </w:t>
      </w:r>
      <w:r w:rsidRPr="00FA5A04">
        <w:rPr>
          <w:i/>
        </w:rPr>
        <w:t>vanus</w:t>
      </w:r>
      <w:r>
        <w:t xml:space="preserve">, </w:t>
      </w:r>
      <w:r w:rsidRPr="00FA5A04">
        <w:rPr>
          <w:i/>
        </w:rPr>
        <w:t>fictitius</w:t>
      </w:r>
      <w:r>
        <w:rPr>
          <w:i/>
        </w:rPr>
        <w:fldChar w:fldCharType="begin"/>
      </w:r>
      <w:r>
        <w:instrText xml:space="preserve"> XE "substance:</w:instrText>
      </w:r>
      <w:r w:rsidRPr="00562CB7">
        <w:rPr>
          <w:i/>
        </w:rPr>
        <w:instrText>conceptus</w:instrText>
      </w:r>
      <w:r w:rsidRPr="00562CB7">
        <w:instrText xml:space="preserve"> </w:instrText>
      </w:r>
      <w:r w:rsidRPr="00562CB7">
        <w:rPr>
          <w:i/>
        </w:rPr>
        <w:instrText>fictitius</w:instrText>
      </w:r>
      <w:r>
        <w:instrText xml:space="preserve">" </w:instrText>
      </w:r>
      <w:r>
        <w:rPr>
          <w:i/>
        </w:rPr>
        <w:fldChar w:fldCharType="end"/>
      </w:r>
      <w:r>
        <w:t xml:space="preserve">) musí </w:t>
      </w:r>
      <w:r w:rsidR="00AE30E1">
        <w:t xml:space="preserve">u Scota </w:t>
      </w:r>
      <w:r>
        <w:t xml:space="preserve">dostat objektivní charakter. </w:t>
      </w:r>
      <w:r w:rsidRPr="00273106">
        <w:t>Metafyziku lze založit jedi</w:t>
      </w:r>
      <w:r>
        <w:t xml:space="preserve">ně na objektivně-konceptuálním </w:t>
      </w:r>
      <w:r w:rsidRPr="00273106">
        <w:rPr>
          <w:i/>
        </w:rPr>
        <w:t>ens ratum</w:t>
      </w:r>
      <w:r w:rsidRPr="00273106">
        <w:t xml:space="preserve">, tedy </w:t>
      </w:r>
      <w:r>
        <w:t xml:space="preserve">na individuálně vymezené </w:t>
      </w:r>
      <w:r w:rsidRPr="00273106">
        <w:t xml:space="preserve">objektivitě </w:t>
      </w:r>
      <w:r>
        <w:t>oddělené už jen  od nejsoucna</w:t>
      </w:r>
      <w:r w:rsidRPr="00273106">
        <w:t>.</w:t>
      </w:r>
      <w:r>
        <w:t xml:space="preserve"> </w:t>
      </w:r>
      <w:r w:rsidRPr="00273106">
        <w:t>Pak přijde důležitá diference daná již dosaženou rektifikací jsoucna</w:t>
      </w:r>
      <w:r>
        <w:t xml:space="preserve"> jako objektivního </w:t>
      </w:r>
      <w:r w:rsidRPr="00E9798C">
        <w:rPr>
          <w:i/>
        </w:rPr>
        <w:t>ens ratum</w:t>
      </w:r>
      <w:r>
        <w:rPr>
          <w:i/>
        </w:rPr>
        <w:fldChar w:fldCharType="begin"/>
      </w:r>
      <w:r>
        <w:instrText xml:space="preserve"> XE "</w:instrText>
      </w:r>
      <w:r w:rsidRPr="00B2798F">
        <w:rPr>
          <w:rStyle w:val="addmd"/>
          <w:i/>
        </w:rPr>
        <w:instrText>ens ratum:</w:instrText>
      </w:r>
      <w:r>
        <w:instrText xml:space="preserve">Scotus" </w:instrText>
      </w:r>
      <w:r>
        <w:rPr>
          <w:i/>
        </w:rPr>
        <w:fldChar w:fldCharType="end"/>
      </w:r>
      <w:r w:rsidRPr="00273106">
        <w:t xml:space="preserve">. Scotus výslovně </w:t>
      </w:r>
      <w:r w:rsidR="00FB5514">
        <w:t>odmítl</w:t>
      </w:r>
      <w:r w:rsidRPr="00273106">
        <w:t xml:space="preserve"> Gandavovo pojetí</w:t>
      </w:r>
      <w:r>
        <w:t xml:space="preserve"> ontoteologie </w:t>
      </w:r>
      <w:r w:rsidR="003940FF">
        <w:t>a za</w:t>
      </w:r>
      <w:r w:rsidR="00FB5514">
        <w:t>ložil</w:t>
      </w:r>
      <w:r w:rsidRPr="00273106">
        <w:t xml:space="preserve"> objektivní metafyziku.</w:t>
      </w:r>
      <w:r>
        <w:t xml:space="preserve"> Korekce Aristotela ve prospěch Avicenny ukázala, že Simplikiovo určení vztahu jako hypostáze se neváže na boží esenci jako u Gandava, ale na boží racionalitu. Avicennova esence jako čistá objektivní substance vzniká až ve druhém patře (</w:t>
      </w:r>
      <w:r w:rsidRPr="0815032C">
        <w:rPr>
          <w:i/>
        </w:rPr>
        <w:t>vestigium</w:t>
      </w:r>
      <w:r>
        <w:t xml:space="preserve">), a ne v primární sféře boží esence a exemplární racionality. Pak už platí Gandavův postup, protože zmizela heretická komitace jsoucen třetího druhu a nastoupila čistá dedukce objektivních esencí. </w:t>
      </w:r>
      <w:r w:rsidRPr="00273106">
        <w:t xml:space="preserve">První formální určení „něčeho“ musí být </w:t>
      </w:r>
      <w:r>
        <w:t xml:space="preserve">dáno </w:t>
      </w:r>
      <w:r w:rsidRPr="00273106">
        <w:rPr>
          <w:i/>
        </w:rPr>
        <w:t>absolute</w:t>
      </w:r>
      <w:r>
        <w:rPr>
          <w:rStyle w:val="addmd"/>
          <w:i/>
        </w:rPr>
        <w:fldChar w:fldCharType="begin"/>
      </w:r>
      <w:r>
        <w:instrText xml:space="preserve"> XE "predikace</w:instrText>
      </w:r>
      <w:r w:rsidRPr="002A5D70">
        <w:instrText>:</w:instrText>
      </w:r>
      <w:r>
        <w:instrText xml:space="preserve">modus </w:instrText>
      </w:r>
      <w:r w:rsidRPr="008D23BF">
        <w:rPr>
          <w:i/>
        </w:rPr>
        <w:instrText>absolute</w:instrText>
      </w:r>
      <w:r>
        <w:instrText xml:space="preserve">" </w:instrText>
      </w:r>
      <w:r>
        <w:rPr>
          <w:rStyle w:val="addmd"/>
          <w:i/>
        </w:rPr>
        <w:fldChar w:fldCharType="end"/>
      </w:r>
      <w:r w:rsidRPr="00273106">
        <w:t>, tedy v p</w:t>
      </w:r>
      <w:r w:rsidR="00495481">
        <w:t xml:space="preserve">ůvodní míře minimálního významu, který je </w:t>
      </w:r>
      <w:r>
        <w:t>oddělen od všech ostatních. Celá argumentace</w:t>
      </w:r>
      <w:r w:rsidRPr="00273106">
        <w:t xml:space="preserve"> </w:t>
      </w:r>
      <w:r>
        <w:t xml:space="preserve">opakuje </w:t>
      </w:r>
      <w:r w:rsidRPr="00273106">
        <w:t xml:space="preserve">předešlé schéma </w:t>
      </w:r>
      <w:r>
        <w:t xml:space="preserve">z díla </w:t>
      </w:r>
      <w:r w:rsidR="008C2D4A" w:rsidRPr="008C2D4A">
        <w:rPr>
          <w:i/>
        </w:rPr>
        <w:t>Lectura I</w:t>
      </w:r>
      <w:r>
        <w:t xml:space="preserve"> dané jako oddělení od kategoriální predikace (</w:t>
      </w:r>
      <w:r w:rsidRPr="00273106">
        <w:rPr>
          <w:i/>
        </w:rPr>
        <w:t>resolutio in quid</w:t>
      </w:r>
      <w:r>
        <w:t>)</w:t>
      </w:r>
      <w:r>
        <w:rPr>
          <w:i/>
        </w:rPr>
        <w:fldChar w:fldCharType="begin"/>
      </w:r>
      <w:r>
        <w:instrText xml:space="preserve"> XE "</w:instrText>
      </w:r>
      <w:r w:rsidRPr="00111E9E">
        <w:rPr>
          <w:i/>
        </w:rPr>
        <w:instrText>resolutio</w:instrText>
      </w:r>
      <w:r>
        <w:rPr>
          <w:i/>
        </w:rPr>
        <w:instrText>:in quid</w:instrText>
      </w:r>
      <w:r>
        <w:instrText xml:space="preserve">" </w:instrText>
      </w:r>
      <w:r>
        <w:rPr>
          <w:i/>
        </w:rPr>
        <w:fldChar w:fldCharType="end"/>
      </w:r>
      <w:r>
        <w:rPr>
          <w:i/>
        </w:rPr>
        <w:t xml:space="preserve"> </w:t>
      </w:r>
      <w:r>
        <w:t>na základě první dedukované a nazírané objektivity (</w:t>
      </w:r>
      <w:r w:rsidRPr="00273106">
        <w:rPr>
          <w:i/>
        </w:rPr>
        <w:t>conceptus simpliciter simplex</w:t>
      </w:r>
      <w:r>
        <w:rPr>
          <w:i/>
        </w:rPr>
        <w:fldChar w:fldCharType="begin"/>
      </w:r>
      <w:r>
        <w:instrText xml:space="preserve"> XE "</w:instrText>
      </w:r>
      <w:r w:rsidRPr="00FF6A6C">
        <w:rPr>
          <w:i/>
        </w:rPr>
        <w:instrText>conceptus simpliciter simplex</w:instrText>
      </w:r>
      <w:r>
        <w:instrText xml:space="preserve">" </w:instrText>
      </w:r>
      <w:r>
        <w:rPr>
          <w:i/>
        </w:rPr>
        <w:fldChar w:fldCharType="end"/>
      </w:r>
      <w:r>
        <w:t xml:space="preserve">, </w:t>
      </w:r>
      <w:r w:rsidRPr="00273106">
        <w:t xml:space="preserve">kap. 7.3.2). </w:t>
      </w:r>
      <w:r>
        <w:t xml:space="preserve">První význam jsoucna jako „něčeho“ je </w:t>
      </w:r>
      <w:r w:rsidRPr="00273106">
        <w:t>dan</w:t>
      </w:r>
      <w:r>
        <w:t xml:space="preserve">ý </w:t>
      </w:r>
      <w:r w:rsidRPr="00273106">
        <w:t>metafyzic</w:t>
      </w:r>
      <w:r>
        <w:t xml:space="preserve">ky, čili na úrovni autonomního </w:t>
      </w:r>
      <w:r w:rsidRPr="00273106">
        <w:rPr>
          <w:i/>
        </w:rPr>
        <w:t>esse in</w:t>
      </w:r>
      <w:r>
        <w:t xml:space="preserve"> definovaného jako objektivní substance-esence. Avicennův výměr jsoucna univočně spojuje logiku a metafyziku, a proto umožňuje užít logické důkazy v modu </w:t>
      </w:r>
      <w:r w:rsidRPr="00EE27FE">
        <w:rPr>
          <w:i/>
        </w:rPr>
        <w:t>reductio</w:t>
      </w:r>
      <w:r>
        <w:t xml:space="preserve"> </w:t>
      </w:r>
      <w:r w:rsidRPr="008172FC">
        <w:rPr>
          <w:i/>
        </w:rPr>
        <w:t>ad absurdum</w:t>
      </w:r>
      <w:r>
        <w:t xml:space="preserve">. Pokud by jsoucno jako </w:t>
      </w:r>
      <w:r w:rsidRPr="00273106">
        <w:t>„nějakovost“ (</w:t>
      </w:r>
      <w:r w:rsidRPr="00273106">
        <w:rPr>
          <w:i/>
        </w:rPr>
        <w:t>aliquitas</w:t>
      </w:r>
      <w:r w:rsidRPr="00273106">
        <w:t xml:space="preserve">) </w:t>
      </w:r>
      <w:r>
        <w:t xml:space="preserve">fungovalo v modu nejvyššího rodu, pak by musel výměr </w:t>
      </w:r>
      <w:r w:rsidRPr="00273106">
        <w:t xml:space="preserve">zkoumat všechny </w:t>
      </w:r>
      <w:r>
        <w:t>subčleny složeniny „člověka, který se směje“ (</w:t>
      </w:r>
      <w:r w:rsidRPr="00273106">
        <w:rPr>
          <w:i/>
        </w:rPr>
        <w:t>homo inquantum risibilis</w:t>
      </w:r>
      <w:r w:rsidRPr="00273106">
        <w:t xml:space="preserve">). </w:t>
      </w:r>
      <w:r>
        <w:t xml:space="preserve">Porretánské dělení na </w:t>
      </w:r>
      <w:r w:rsidR="00962190">
        <w:rPr>
          <w:i/>
        </w:rPr>
        <w:t>species</w:t>
      </w:r>
      <w:r w:rsidRPr="00783AAE">
        <w:rPr>
          <w:i/>
        </w:rPr>
        <w:t xml:space="preserve"> specialissima</w:t>
      </w:r>
      <w:r>
        <w:rPr>
          <w:i/>
        </w:rPr>
        <w:fldChar w:fldCharType="begin"/>
      </w:r>
      <w:r>
        <w:instrText xml:space="preserve"> XE "</w:instrText>
      </w:r>
      <w:r w:rsidRPr="00A94442">
        <w:rPr>
          <w:i/>
        </w:rPr>
        <w:instrText>species specialissima</w:instrText>
      </w:r>
      <w:r>
        <w:instrText xml:space="preserve">" </w:instrText>
      </w:r>
      <w:r>
        <w:rPr>
          <w:i/>
        </w:rPr>
        <w:fldChar w:fldCharType="end"/>
      </w:r>
      <w:r>
        <w:t xml:space="preserve"> je podle Scota nesmysl, protože existuje reálný člověk, který se směje, tj. tvoří aristotelskou první a druhou substanci vybavenou tímto akcidentem. </w:t>
      </w:r>
      <w:r w:rsidRPr="00273106">
        <w:t>A</w:t>
      </w:r>
      <w:r>
        <w:t xml:space="preserve"> </w:t>
      </w:r>
      <w:r w:rsidRPr="00273106">
        <w:t xml:space="preserve">toto složené určení </w:t>
      </w:r>
      <w:r>
        <w:t xml:space="preserve">substance </w:t>
      </w:r>
      <w:r w:rsidRPr="00273106">
        <w:t xml:space="preserve">je </w:t>
      </w:r>
      <w:r>
        <w:t xml:space="preserve">v posledním stádiu metafyzického náhledu na jsoucno jako jsoucí zásadně </w:t>
      </w:r>
      <w:r w:rsidRPr="00273106">
        <w:t>odděleno od nebytí díky minimální konceptuální identitě (</w:t>
      </w:r>
      <w:r w:rsidRPr="00273106">
        <w:rPr>
          <w:i/>
        </w:rPr>
        <w:t>conceptus entis rati</w:t>
      </w:r>
      <w:r w:rsidRPr="00273106">
        <w:t>)</w:t>
      </w:r>
      <w:r>
        <w:t>. Minimální bytí člověka da</w:t>
      </w:r>
      <w:r w:rsidRPr="00273106">
        <w:t xml:space="preserve">né </w:t>
      </w:r>
      <w:r>
        <w:t xml:space="preserve">jako </w:t>
      </w:r>
      <w:r w:rsidRPr="00273106">
        <w:t xml:space="preserve">metafyzické určení </w:t>
      </w:r>
      <w:r w:rsidRPr="00273106">
        <w:rPr>
          <w:i/>
        </w:rPr>
        <w:t>ens ratum</w:t>
      </w:r>
      <w:r w:rsidRPr="00273106">
        <w:t xml:space="preserve"> </w:t>
      </w:r>
      <w:r>
        <w:t xml:space="preserve">se liší od </w:t>
      </w:r>
      <w:r w:rsidRPr="00273106">
        <w:rPr>
          <w:i/>
        </w:rPr>
        <w:t>aliquitas</w:t>
      </w:r>
      <w:r w:rsidRPr="00273106">
        <w:t xml:space="preserve"> chiméry</w:t>
      </w:r>
      <w:r>
        <w:t xml:space="preserve">. Její bytí </w:t>
      </w:r>
      <w:r w:rsidRPr="00273106">
        <w:t>sice lze definovat a rozložit na rod a druh, ale jejímu určení nic neodpovídá v realitě</w:t>
      </w:r>
      <w:r>
        <w:t xml:space="preserve">, protože má pouze nominální definici </w:t>
      </w:r>
      <w:r w:rsidRPr="00273106">
        <w:t>(</w:t>
      </w:r>
      <w:r w:rsidRPr="00273106">
        <w:rPr>
          <w:i/>
        </w:rPr>
        <w:t>quid nominis</w:t>
      </w:r>
      <w:r w:rsidRPr="00273106">
        <w:t>). Na základě čistě formálního určení jsoucna jako rozdílu od nicoty (</w:t>
      </w:r>
      <w:r w:rsidRPr="00273106">
        <w:rPr>
          <w:i/>
        </w:rPr>
        <w:t>non repugnat esse</w:t>
      </w:r>
      <w:r>
        <w:rPr>
          <w:i/>
        </w:rPr>
        <w:fldChar w:fldCharType="begin"/>
      </w:r>
      <w:r>
        <w:instrText xml:space="preserve"> XE "</w:instrText>
      </w:r>
      <w:r w:rsidRPr="003937EE">
        <w:rPr>
          <w:i/>
        </w:rPr>
        <w:instrText>non repugnat esse</w:instrText>
      </w:r>
      <w:r>
        <w:instrText xml:space="preserve">" </w:instrText>
      </w:r>
      <w:r>
        <w:rPr>
          <w:i/>
        </w:rPr>
        <w:fldChar w:fldCharType="end"/>
      </w:r>
      <w:r w:rsidRPr="00273106">
        <w:t xml:space="preserve">) vzniklo dvojí určení </w:t>
      </w:r>
      <w:r>
        <w:t xml:space="preserve">objektivní </w:t>
      </w:r>
      <w:r w:rsidRPr="00273106">
        <w:t>identity: reálně doložené a pouze fiktivní. Chiméra nemá zajištěnou jsoucnost, protože její ide</w:t>
      </w:r>
      <w:r>
        <w:t xml:space="preserve">ntita je čistě nominální. </w:t>
      </w:r>
      <w:r>
        <w:lastRenderedPageBreak/>
        <w:t xml:space="preserve">Zato </w:t>
      </w:r>
      <w:r w:rsidRPr="00273106">
        <w:rPr>
          <w:i/>
        </w:rPr>
        <w:t>humanitas</w:t>
      </w:r>
      <w:r>
        <w:rPr>
          <w:i/>
        </w:rPr>
        <w:fldChar w:fldCharType="begin"/>
      </w:r>
      <w:r>
        <w:instrText xml:space="preserve"> XE "</w:instrText>
      </w:r>
      <w:r w:rsidRPr="00420622">
        <w:rPr>
          <w:i/>
        </w:rPr>
        <w:instrText>humanitas:</w:instrText>
      </w:r>
      <w:r>
        <w:instrText xml:space="preserve">Scotus" </w:instrText>
      </w:r>
      <w:r>
        <w:rPr>
          <w:i/>
        </w:rPr>
        <w:fldChar w:fldCharType="end"/>
      </w:r>
      <w:r w:rsidRPr="00273106">
        <w:t xml:space="preserve"> už patří do objektivního určen</w:t>
      </w:r>
      <w:r>
        <w:t xml:space="preserve">í </w:t>
      </w:r>
      <w:r w:rsidRPr="00273106">
        <w:rPr>
          <w:i/>
        </w:rPr>
        <w:t>ens ratum</w:t>
      </w:r>
      <w:r w:rsidRPr="00273106">
        <w:t xml:space="preserve">, protože její význam je daný v každém člověku. </w:t>
      </w:r>
      <w:r>
        <w:t>Objektivní humanismus moderny</w:t>
      </w:r>
      <w:r>
        <w:rPr>
          <w:i/>
        </w:rPr>
        <w:fldChar w:fldCharType="begin"/>
      </w:r>
      <w:r>
        <w:instrText xml:space="preserve"> XE "humanismus:objektivní" </w:instrText>
      </w:r>
      <w:r>
        <w:rPr>
          <w:i/>
        </w:rPr>
        <w:fldChar w:fldCharType="end"/>
      </w:r>
      <w:r>
        <w:t xml:space="preserve"> založený na formálním principu non-kontradikce vypadá následovně. </w:t>
      </w:r>
    </w:p>
    <w:p w:rsidR="08163013" w:rsidRDefault="08163013" w:rsidP="08163013">
      <w:pPr>
        <w:pStyle w:val="Citace"/>
        <w:rPr>
          <w:lang w:val="cs-CZ"/>
        </w:rPr>
      </w:pPr>
      <w:r>
        <w:t>„</w:t>
      </w:r>
      <w:r>
        <w:rPr>
          <w:lang w:val="cs-CZ"/>
        </w:rPr>
        <w:t>Pokud rozumíme jisté jsoucno druhým způsobem, pak platí, že reálný člověk vzatý o sobě je jisté jsoucno (</w:t>
      </w:r>
      <w:r w:rsidRPr="000A51DC">
        <w:rPr>
          <w:i/>
        </w:rPr>
        <w:t>homo est ex se ens ratum</w:t>
      </w:r>
      <w:r>
        <w:rPr>
          <w:lang w:val="cs-CZ"/>
        </w:rPr>
        <w:t>), protože formálním způsobem neodporuje bytí (</w:t>
      </w:r>
      <w:r w:rsidRPr="00427FFA">
        <w:rPr>
          <w:i/>
        </w:rPr>
        <w:t>formaliter ex se non repugnat sibi esse</w:t>
      </w:r>
      <w:r>
        <w:rPr>
          <w:lang w:val="cs-CZ"/>
        </w:rPr>
        <w:t>). Co si vzájemně odporuje, to si odporuje z hlediska formálního výměru, a co si neodporuje, to je dáno v souladu s tímto výměrem. Pokud by člověk vzatý o sobě odporoval objektivně určenému bytí (</w:t>
      </w:r>
      <w:r w:rsidRPr="0073313B">
        <w:rPr>
          <w:i/>
        </w:rPr>
        <w:t>si homini de se repugnaret esse</w:t>
      </w:r>
      <w:r>
        <w:rPr>
          <w:lang w:val="cs-CZ"/>
        </w:rPr>
        <w:t>), pak by žádným argumentem přicházejícím zvnějšku nešlo tento rozpor odstranit.“ </w:t>
      </w:r>
      <w:r w:rsidRPr="00273106">
        <w:rPr>
          <w:rStyle w:val="Znakapoznpodarou"/>
        </w:rPr>
        <w:footnoteReference w:id="462"/>
      </w:r>
      <w:r w:rsidRPr="00273106">
        <w:t xml:space="preserve"> </w:t>
      </w:r>
    </w:p>
    <w:p w:rsidR="00C76489" w:rsidRDefault="08163013" w:rsidP="00E85AED">
      <w:r>
        <w:t>Scotus vychází v případě empirického poznání z aristotelské pozice, kde aktualitu má první substance v reálu (</w:t>
      </w:r>
      <w:r w:rsidRPr="000A51DC">
        <w:rPr>
          <w:i/>
        </w:rPr>
        <w:t>homo est ex se ens ratum</w:t>
      </w:r>
      <w:r>
        <w:t>). Ale objektivní u</w:t>
      </w:r>
      <w:r w:rsidRPr="00273106">
        <w:t xml:space="preserve">rčení </w:t>
      </w:r>
      <w:r>
        <w:t xml:space="preserve">člověka </w:t>
      </w:r>
      <w:r w:rsidRPr="00273106">
        <w:t>má minimální formu jsoucnosti dané vyloučením jiné možnosti (</w:t>
      </w:r>
      <w:r w:rsidRPr="00273106">
        <w:rPr>
          <w:i/>
        </w:rPr>
        <w:t>formaliter ex se non repugnat sibi esse</w:t>
      </w:r>
      <w:r w:rsidRPr="00273106">
        <w:t xml:space="preserve">). </w:t>
      </w:r>
      <w:r>
        <w:t xml:space="preserve">To je zásadní </w:t>
      </w:r>
      <w:r w:rsidRPr="00273106">
        <w:t xml:space="preserve">rozdíl od prvního averroismu, kde </w:t>
      </w:r>
      <w:r w:rsidR="00155459">
        <w:t>poznání určuje</w:t>
      </w:r>
      <w:r w:rsidRPr="00273106">
        <w:t xml:space="preserve"> aktuální první substance poznávaná skrze smysly a pak skrze </w:t>
      </w:r>
      <w:r w:rsidRPr="00273106">
        <w:rPr>
          <w:i/>
        </w:rPr>
        <w:t>intellectus possibilis</w:t>
      </w:r>
      <w:r w:rsidRPr="00273106">
        <w:t xml:space="preserve">. </w:t>
      </w:r>
      <w:r>
        <w:t xml:space="preserve">Scotus zrušil determinaci poznání skrze </w:t>
      </w:r>
      <w:r w:rsidR="081942A4">
        <w:t xml:space="preserve">metafyzický </w:t>
      </w:r>
      <w:r>
        <w:t>dativ</w:t>
      </w:r>
      <w:r>
        <w:fldChar w:fldCharType="begin"/>
      </w:r>
      <w:r>
        <w:instrText xml:space="preserve"> XE "</w:instrText>
      </w:r>
      <w:r w:rsidR="081942A4">
        <w:rPr>
          <w:i/>
        </w:rPr>
        <w:instrText>dativus metaphysi</w:instrText>
      </w:r>
      <w:r w:rsidRPr="08CD6FB7">
        <w:rPr>
          <w:i/>
        </w:rPr>
        <w:instrText>cus</w:instrText>
      </w:r>
      <w:r>
        <w:instrText xml:space="preserve">" </w:instrText>
      </w:r>
      <w:r>
        <w:fldChar w:fldCharType="end"/>
      </w:r>
      <w:r>
        <w:t xml:space="preserve">, protože moderna se přímo dívá na parousii významu danou v osvícené mysli. </w:t>
      </w:r>
      <w:r w:rsidR="00C763AC">
        <w:t>I</w:t>
      </w:r>
      <w:r>
        <w:t>luminát nepotřebuje realitu první substance pro jisté poznání a vystačí si pouze s logickým záporem (</w:t>
      </w:r>
      <w:r w:rsidRPr="00427FFA">
        <w:rPr>
          <w:i/>
        </w:rPr>
        <w:t>non repugnat sibi esse</w:t>
      </w:r>
      <w:r>
        <w:t>). Nicota tvoří základní modus impozice smyslu jsoucna</w:t>
      </w:r>
      <w:r w:rsidR="00E85AED">
        <w:t xml:space="preserve">. </w:t>
      </w:r>
      <w:r w:rsidR="00E85AED" w:rsidRPr="00E85AED">
        <w:t xml:space="preserve">Scotus potvrdil epochu metafyzického nihilismu v jeho objektivní podobě. </w:t>
      </w:r>
      <w:r>
        <w:t>Na rozdíl od Parmenida sledujícího dráhu reálného slunce v moderně platí, že f</w:t>
      </w:r>
      <w:r w:rsidRPr="00273106">
        <w:t xml:space="preserve">ormální určení minimální formy </w:t>
      </w:r>
      <w:r w:rsidRPr="006A0731">
        <w:rPr>
          <w:i/>
        </w:rPr>
        <w:t>ens</w:t>
      </w:r>
      <w:r>
        <w:t xml:space="preserve"> </w:t>
      </w:r>
      <w:r w:rsidR="00D27ECC">
        <w:t xml:space="preserve">je </w:t>
      </w:r>
      <w:r>
        <w:t xml:space="preserve">na poslední úrovni </w:t>
      </w:r>
      <w:r w:rsidRPr="001726A4">
        <w:rPr>
          <w:i/>
        </w:rPr>
        <w:t>resolutio</w:t>
      </w:r>
      <w:r>
        <w:rPr>
          <w:i/>
        </w:rPr>
        <w:fldChar w:fldCharType="begin"/>
      </w:r>
      <w:r>
        <w:instrText xml:space="preserve"> XE "</w:instrText>
      </w:r>
      <w:r w:rsidRPr="00111E9E">
        <w:rPr>
          <w:i/>
        </w:rPr>
        <w:instrText>resolutio</w:instrText>
      </w:r>
      <w:r>
        <w:rPr>
          <w:i/>
        </w:rPr>
        <w:instrText>:</w:instrText>
      </w:r>
      <w:r w:rsidRPr="001D03DB">
        <w:instrText>Scotus</w:instrText>
      </w:r>
      <w:r>
        <w:instrText xml:space="preserve">" </w:instrText>
      </w:r>
      <w:r>
        <w:rPr>
          <w:i/>
        </w:rPr>
        <w:fldChar w:fldCharType="end"/>
      </w:r>
      <w:r>
        <w:t xml:space="preserve"> </w:t>
      </w:r>
      <w:r w:rsidRPr="00273106">
        <w:t xml:space="preserve">dáno </w:t>
      </w:r>
      <w:r>
        <w:t xml:space="preserve">pouze čistým </w:t>
      </w:r>
      <w:r w:rsidRPr="00273106">
        <w:t>rozdílem od nebytí.</w:t>
      </w:r>
      <w:r>
        <w:t xml:space="preserve"> Objektivní ratifikace člověka jako esenciální mrtvoly dané </w:t>
      </w:r>
      <w:r w:rsidRPr="00CD693F">
        <w:rPr>
          <w:i/>
        </w:rPr>
        <w:t>ex se</w:t>
      </w:r>
      <w:r>
        <w:t xml:space="preserve"> v sobě obsahuje základní model </w:t>
      </w:r>
      <w:r w:rsidRPr="00CD693F">
        <w:rPr>
          <w:i/>
        </w:rPr>
        <w:t>Oxfordian Fallacy</w:t>
      </w:r>
      <w:r>
        <w:rPr>
          <w:i/>
        </w:rPr>
        <w:fldChar w:fldCharType="begin"/>
      </w:r>
      <w:r>
        <w:instrText xml:space="preserve"> XE "</w:instrText>
      </w:r>
      <w:r w:rsidRPr="0015798D">
        <w:rPr>
          <w:i/>
        </w:rPr>
        <w:instrText>Oxfordian Fallacy:</w:instrText>
      </w:r>
      <w:r>
        <w:instrText xml:space="preserve">Scotus" </w:instrText>
      </w:r>
      <w:r>
        <w:rPr>
          <w:i/>
        </w:rPr>
        <w:fldChar w:fldCharType="end"/>
      </w:r>
      <w:r>
        <w:t xml:space="preserve">, který poprvé nastolil Rufusův výklad </w:t>
      </w:r>
      <w:r w:rsidRPr="081E6DBC">
        <w:rPr>
          <w:i/>
        </w:rPr>
        <w:t>Druhých analytik</w:t>
      </w:r>
      <w:r>
        <w:t xml:space="preserve"> (</w:t>
      </w:r>
      <w:r w:rsidRPr="00273106">
        <w:rPr>
          <w:i/>
        </w:rPr>
        <w:t>secundum-quod-ipsum-</w:t>
      </w:r>
      <w:r w:rsidRPr="00CD693F">
        <w:rPr>
          <w:i/>
        </w:rPr>
        <w:t>est</w:t>
      </w:r>
      <w:r w:rsidR="00950350">
        <w:t>;</w:t>
      </w:r>
      <w:r>
        <w:t xml:space="preserve"> </w:t>
      </w:r>
      <w:r w:rsidR="00950350">
        <w:rPr>
          <w:szCs w:val="24"/>
          <w:lang w:val="de-DE"/>
        </w:rPr>
        <w:t>OBJ II, kap. 3.3.1)</w:t>
      </w:r>
      <w:r>
        <w:t>. Scotus se opět řídí podle Rufusovy tragické teze zakládající myšlení moderny (</w:t>
      </w:r>
      <w:r w:rsidRPr="00A70F2A">
        <w:rPr>
          <w:i/>
        </w:rPr>
        <w:t>ubi est subiectum, non ostenditur, sed supponitur</w:t>
      </w:r>
      <w:r w:rsidRPr="0051421F">
        <w:t xml:space="preserve">, </w:t>
      </w:r>
      <w:r w:rsidR="00950350">
        <w:t>ibid</w:t>
      </w:r>
      <w:r w:rsidRPr="0051421F">
        <w:t>).</w:t>
      </w:r>
      <w:r>
        <w:t xml:space="preserve"> První averroismus tvrdí, že mrtvola není člověk, protože impozice v modu </w:t>
      </w:r>
      <w:r w:rsidRPr="000E3726">
        <w:rPr>
          <w:i/>
        </w:rPr>
        <w:t>secundum quid</w:t>
      </w:r>
      <w:r>
        <w:rPr>
          <w:i/>
        </w:rPr>
        <w:fldChar w:fldCharType="begin"/>
      </w:r>
      <w:r>
        <w:instrText xml:space="preserve"> XE "impozice:</w:instrText>
      </w:r>
      <w:r w:rsidRPr="00BF6CCA">
        <w:rPr>
          <w:i/>
        </w:rPr>
        <w:instrText>secundum quid</w:instrText>
      </w:r>
      <w:r>
        <w:instrText xml:space="preserve">" </w:instrText>
      </w:r>
      <w:r>
        <w:rPr>
          <w:i/>
        </w:rPr>
        <w:fldChar w:fldCharType="end"/>
      </w:r>
      <w:r>
        <w:t xml:space="preserve"> nejde od reálné </w:t>
      </w:r>
      <w:r w:rsidR="00E5601D">
        <w:t xml:space="preserve">a živé </w:t>
      </w:r>
      <w:r>
        <w:t xml:space="preserve">první substance. Druhý averroismus v </w:t>
      </w:r>
      <w:r>
        <w:lastRenderedPageBreak/>
        <w:t>podání Scota tvrdí, že mrtvola je objektivně viděno člověk</w:t>
      </w:r>
      <w:r>
        <w:rPr>
          <w:i/>
        </w:rPr>
        <w:fldChar w:fldCharType="begin"/>
      </w:r>
      <w:r>
        <w:instrText xml:space="preserve"> XE "sofisma člověk-mrtvola" </w:instrText>
      </w:r>
      <w:r>
        <w:rPr>
          <w:i/>
        </w:rPr>
        <w:fldChar w:fldCharType="end"/>
      </w:r>
      <w:r>
        <w:t xml:space="preserve">, protože v porretánském modu </w:t>
      </w:r>
      <w:r w:rsidR="00840376">
        <w:t>„</w:t>
      </w:r>
      <w:r w:rsidRPr="00984015">
        <w:rPr>
          <w:i/>
        </w:rPr>
        <w:t>semel</w:t>
      </w:r>
      <w:r>
        <w:t>‒</w:t>
      </w:r>
      <w:r w:rsidRPr="00984015">
        <w:rPr>
          <w:i/>
        </w:rPr>
        <w:t>semper</w:t>
      </w:r>
      <w:r w:rsidR="00840376">
        <w:t>“</w:t>
      </w:r>
      <w:r>
        <w:rPr>
          <w:i/>
        </w:rPr>
        <w:fldChar w:fldCharType="begin"/>
      </w:r>
      <w:r>
        <w:instrText xml:space="preserve"> XE "pravda:</w:instrText>
      </w:r>
      <w:r w:rsidRPr="00FA75D6">
        <w:rPr>
          <w:i/>
        </w:rPr>
        <w:instrText>semel</w:instrText>
      </w:r>
      <w:r w:rsidRPr="00FA75D6">
        <w:instrText>‒</w:instrText>
      </w:r>
      <w:r w:rsidRPr="00FA75D6">
        <w:rPr>
          <w:i/>
        </w:rPr>
        <w:instrText>semper</w:instrText>
      </w:r>
      <w:r>
        <w:instrText xml:space="preserve">" </w:instrText>
      </w:r>
      <w:r>
        <w:rPr>
          <w:i/>
        </w:rPr>
        <w:fldChar w:fldCharType="end"/>
      </w:r>
      <w:r>
        <w:t xml:space="preserve"> obsahuje definici člově</w:t>
      </w:r>
      <w:r w:rsidR="00840376">
        <w:t xml:space="preserve">ka, která je logicky správná a je postavená na </w:t>
      </w:r>
      <w:r>
        <w:t>avicennovsk</w:t>
      </w:r>
      <w:r w:rsidR="00840376">
        <w:t>é</w:t>
      </w:r>
      <w:r>
        <w:t xml:space="preserve"> esenci. Mrtvola podle Scota není člověk, pokud postupujeme aristotelským systémem impozice z reality první substance. Ale v případě, že tento racionální úsudek reprezentuje stopu boží racionality ve stvoření, pak objektivně viděno je mrtvola člověkem, i kdyby žádný člověk nikdy nežil. Objektivní poznání slunce je </w:t>
      </w:r>
      <w:r w:rsidR="007D2F95">
        <w:t xml:space="preserve">možné </w:t>
      </w:r>
      <w:r>
        <w:t>díky boží kauzalitě objektivně řídí</w:t>
      </w:r>
      <w:r w:rsidR="007D2F95">
        <w:t>cí naše poznání</w:t>
      </w:r>
      <w:r>
        <w:t>, i kdyby ž</w:t>
      </w:r>
      <w:r w:rsidR="006C7F97">
        <w:t>ádné slunce neexistovalo (kap. 5</w:t>
      </w:r>
      <w:r>
        <w:t>.3.2). Scotus vytvořil r</w:t>
      </w:r>
      <w:r w:rsidRPr="00273106">
        <w:t>ozdíl</w:t>
      </w:r>
      <w:r>
        <w:t xml:space="preserve"> mezi reálným člověkem a objektivním </w:t>
      </w:r>
      <w:r w:rsidR="00A67751">
        <w:t>„člověkem–</w:t>
      </w:r>
      <w:r>
        <w:t>mrtvolou</w:t>
      </w:r>
      <w:r w:rsidR="00A67751">
        <w:t>“</w:t>
      </w:r>
      <w:r>
        <w:t xml:space="preserve"> </w:t>
      </w:r>
      <w:r w:rsidR="00A67751">
        <w:t xml:space="preserve">skrze </w:t>
      </w:r>
      <w:r>
        <w:t>dedukc</w:t>
      </w:r>
      <w:r w:rsidR="00A67751">
        <w:t>i</w:t>
      </w:r>
      <w:r>
        <w:t xml:space="preserve"> </w:t>
      </w:r>
      <w:r w:rsidR="00A67751">
        <w:t xml:space="preserve">smyslu </w:t>
      </w:r>
      <w:r>
        <w:t xml:space="preserve">od boží racionality směrem do stvoření. Toto </w:t>
      </w:r>
      <w:r w:rsidR="004459A1">
        <w:t xml:space="preserve">nihilistické a logicky bezchybné </w:t>
      </w:r>
      <w:r>
        <w:t>řešení založilo novou metafyziku postavenou mimo realitu první substance</w:t>
      </w:r>
      <w:r w:rsidRPr="00273106">
        <w:t>.</w:t>
      </w:r>
      <w:r>
        <w:t xml:space="preserve"> </w:t>
      </w:r>
      <w:r w:rsidRPr="00273106">
        <w:t xml:space="preserve">Základní </w:t>
      </w:r>
      <w:r>
        <w:t xml:space="preserve">objektivní </w:t>
      </w:r>
      <w:r w:rsidRPr="00273106">
        <w:t xml:space="preserve">určení ratifikovaného </w:t>
      </w:r>
      <w:r w:rsidRPr="00CE16DA">
        <w:rPr>
          <w:i/>
        </w:rPr>
        <w:t>ens</w:t>
      </w:r>
      <w:r w:rsidRPr="00273106">
        <w:t xml:space="preserve"> pochází </w:t>
      </w:r>
      <w:r>
        <w:t>z logické diference „něčeho“ vůči nicotě. Díky dvojímu záporu Gandava (</w:t>
      </w:r>
      <w:r>
        <w:rPr>
          <w:i/>
        </w:rPr>
        <w:t>duplex ne</w:t>
      </w:r>
      <w:r w:rsidRPr="00AC5E21">
        <w:rPr>
          <w:i/>
        </w:rPr>
        <w:t>gatio</w:t>
      </w:r>
      <w:r>
        <w:rPr>
          <w:i/>
        </w:rPr>
        <w:fldChar w:fldCharType="begin"/>
      </w:r>
      <w:r>
        <w:instrText xml:space="preserve"> XE "</w:instrText>
      </w:r>
      <w:r w:rsidRPr="00ED57DA">
        <w:rPr>
          <w:i/>
        </w:rPr>
        <w:instrText>duplex negatio</w:instrText>
      </w:r>
      <w:r>
        <w:instrText xml:space="preserve">" </w:instrText>
      </w:r>
      <w:r>
        <w:rPr>
          <w:i/>
        </w:rPr>
        <w:fldChar w:fldCharType="end"/>
      </w:r>
      <w:r w:rsidR="006C7F97">
        <w:t>, kap. 5</w:t>
      </w:r>
      <w:r>
        <w:t xml:space="preserve">.2.1) nepotřebuje objektivní supozice významu žádnou impozici z reality. </w:t>
      </w:r>
      <w:r w:rsidRPr="00273106">
        <w:t xml:space="preserve">Gandavus zakotvil </w:t>
      </w:r>
      <w:r w:rsidRPr="00273106">
        <w:rPr>
          <w:i/>
        </w:rPr>
        <w:t>ens ratum</w:t>
      </w:r>
      <w:r>
        <w:rPr>
          <w:i/>
        </w:rPr>
        <w:fldChar w:fldCharType="begin"/>
      </w:r>
      <w:r>
        <w:instrText xml:space="preserve"> XE "</w:instrText>
      </w:r>
      <w:r w:rsidRPr="00B2798F">
        <w:rPr>
          <w:rStyle w:val="addmd"/>
          <w:i/>
        </w:rPr>
        <w:instrText>ens ratum:</w:instrText>
      </w:r>
      <w:r>
        <w:instrText xml:space="preserve">Gandavus" </w:instrText>
      </w:r>
      <w:r>
        <w:rPr>
          <w:i/>
        </w:rPr>
        <w:fldChar w:fldCharType="end"/>
      </w:r>
      <w:r w:rsidRPr="00273106">
        <w:t xml:space="preserve"> stvoře</w:t>
      </w:r>
      <w:r>
        <w:t xml:space="preserve">ných věcí v moderním bohu, protože jeho </w:t>
      </w:r>
      <w:r w:rsidRPr="00273106">
        <w:rPr>
          <w:i/>
        </w:rPr>
        <w:t>ratitudo</w:t>
      </w:r>
      <w:r w:rsidRPr="00273106">
        <w:t xml:space="preserve"> je dáno v habitu každého jsoucna určeného jako vztahové bytí jsoucího (</w:t>
      </w:r>
      <w:r w:rsidRPr="00273106">
        <w:rPr>
          <w:i/>
        </w:rPr>
        <w:t>esse ad</w:t>
      </w:r>
      <w:r>
        <w:rPr>
          <w:i/>
        </w:rPr>
        <w:fldChar w:fldCharType="begin"/>
      </w:r>
      <w:r>
        <w:instrText xml:space="preserve"> XE "</w:instrText>
      </w:r>
      <w:r w:rsidRPr="008F3381">
        <w:rPr>
          <w:i/>
        </w:rPr>
        <w:instrText>esse ad:</w:instrText>
      </w:r>
      <w:r>
        <w:instrText xml:space="preserve">Gandavus" </w:instrText>
      </w:r>
      <w:r>
        <w:rPr>
          <w:i/>
        </w:rPr>
        <w:fldChar w:fldCharType="end"/>
      </w:r>
      <w:r w:rsidRPr="00273106">
        <w:t>)</w:t>
      </w:r>
      <w:r>
        <w:t xml:space="preserve">. </w:t>
      </w:r>
      <w:r w:rsidR="00EF5758">
        <w:t xml:space="preserve">Gandavus tím </w:t>
      </w:r>
      <w:r>
        <w:t>vytvořil predikaci v modu „akcident‒substance“ vz</w:t>
      </w:r>
      <w:r w:rsidR="000650A4">
        <w:t>hledem k božímu habitu</w:t>
      </w:r>
      <w:r w:rsidR="008B7AE3">
        <w:rPr>
          <w:i/>
        </w:rPr>
        <w:fldChar w:fldCharType="begin"/>
      </w:r>
      <w:r w:rsidR="008B7AE3">
        <w:instrText xml:space="preserve"> XE "</w:instrText>
      </w:r>
      <w:r w:rsidR="008B7AE3" w:rsidRPr="00AC1885">
        <w:instrText>habitus</w:instrText>
      </w:r>
      <w:r w:rsidR="008B7AE3">
        <w:instrText xml:space="preserve">" </w:instrText>
      </w:r>
      <w:r w:rsidR="008B7AE3">
        <w:rPr>
          <w:i/>
        </w:rPr>
        <w:fldChar w:fldCharType="end"/>
      </w:r>
      <w:r w:rsidR="000650A4">
        <w:t xml:space="preserve"> a k božímu reflexivnímu sebevztahu</w:t>
      </w:r>
      <w:r w:rsidR="008B7AE3">
        <w:rPr>
          <w:i/>
        </w:rPr>
        <w:fldChar w:fldCharType="begin"/>
      </w:r>
      <w:r w:rsidR="008B7AE3">
        <w:instrText xml:space="preserve"> XE "</w:instrText>
      </w:r>
      <w:r w:rsidR="008B7AE3" w:rsidRPr="00475F5A">
        <w:rPr>
          <w:i/>
        </w:rPr>
        <w:instrText>relatio</w:instrText>
      </w:r>
      <w:r w:rsidR="008B7AE3">
        <w:instrText xml:space="preserve">" </w:instrText>
      </w:r>
      <w:r w:rsidR="008B7AE3">
        <w:rPr>
          <w:i/>
        </w:rPr>
        <w:fldChar w:fldCharType="end"/>
      </w:r>
      <w:r w:rsidR="000650A4">
        <w:t>. Oba atributy jsou dány</w:t>
      </w:r>
      <w:r w:rsidR="002671D2">
        <w:t xml:space="preserve"> </w:t>
      </w:r>
      <w:r w:rsidR="00C76489">
        <w:t>esenciálně přímo v božím bytí.</w:t>
      </w:r>
    </w:p>
    <w:p w:rsidR="002A1FE3" w:rsidRDefault="08163013" w:rsidP="00B868D7">
      <w:pPr>
        <w:ind w:firstLine="397"/>
      </w:pPr>
      <w:r w:rsidRPr="00273106">
        <w:t xml:space="preserve">Scotus </w:t>
      </w:r>
      <w:r>
        <w:t xml:space="preserve">odmítá jakékoliv substanční určení objektivity  </w:t>
      </w:r>
      <w:r w:rsidR="00F91B93">
        <w:t xml:space="preserve">v </w:t>
      </w:r>
      <w:r>
        <w:t xml:space="preserve">bohu, </w:t>
      </w:r>
      <w:r w:rsidRPr="00273106">
        <w:t>protože boží bytí by přišlo o svou aktuální jednoduchost.</w:t>
      </w:r>
      <w:r w:rsidRPr="00273106">
        <w:rPr>
          <w:rStyle w:val="Znakapoznpodarou"/>
        </w:rPr>
        <w:footnoteReference w:id="463"/>
      </w:r>
      <w:r w:rsidRPr="00273106">
        <w:t xml:space="preserve"> Traktát o objektivitě boha ve stvoření musí definovat novou objektivní věcnost (</w:t>
      </w:r>
      <w:r w:rsidRPr="00273106">
        <w:rPr>
          <w:i/>
        </w:rPr>
        <w:t>ratitudo</w:t>
      </w:r>
      <w:r w:rsidRPr="00273106">
        <w:t xml:space="preserve">) </w:t>
      </w:r>
      <w:r>
        <w:t xml:space="preserve">až </w:t>
      </w:r>
      <w:r w:rsidRPr="00273106">
        <w:t xml:space="preserve">v sekundární sféře boží </w:t>
      </w:r>
      <w:r>
        <w:t xml:space="preserve">racionality </w:t>
      </w:r>
      <w:r w:rsidRPr="00273106">
        <w:t>(</w:t>
      </w:r>
      <w:r w:rsidR="001E33E1">
        <w:rPr>
          <w:i/>
        </w:rPr>
        <w:t>vestigium</w:t>
      </w:r>
      <w:r w:rsidRPr="00273106">
        <w:t xml:space="preserve">). Tato nová forma objektivity musí být oddělena od jakéhokoliv </w:t>
      </w:r>
      <w:r w:rsidR="00ED3E09">
        <w:t xml:space="preserve">kategoriálně definovaného </w:t>
      </w:r>
      <w:r w:rsidRPr="00273106">
        <w:t>vztahu k boží esenci</w:t>
      </w:r>
      <w:r w:rsidR="009A7CEA">
        <w:t xml:space="preserve"> a intelektu</w:t>
      </w:r>
      <w:r>
        <w:t xml:space="preserve">. Gandavovo univoční </w:t>
      </w:r>
      <w:r w:rsidR="00184AB5">
        <w:t>„</w:t>
      </w:r>
      <w:r w:rsidRPr="00273106">
        <w:rPr>
          <w:i/>
        </w:rPr>
        <w:t>esse ad</w:t>
      </w:r>
      <w:r w:rsidR="00184AB5">
        <w:t>“</w:t>
      </w:r>
      <w:r w:rsidRPr="00273106">
        <w:t xml:space="preserve"> je </w:t>
      </w:r>
      <w:r>
        <w:t>nemožné jsoucno vinou přímé vazby</w:t>
      </w:r>
      <w:r w:rsidRPr="00273106">
        <w:t xml:space="preserve"> </w:t>
      </w:r>
      <w:r>
        <w:t xml:space="preserve">stvořené věci </w:t>
      </w:r>
      <w:r w:rsidRPr="00273106">
        <w:t xml:space="preserve">na </w:t>
      </w:r>
      <w:r>
        <w:t xml:space="preserve">boží </w:t>
      </w:r>
      <w:r w:rsidRPr="00273106">
        <w:t>esenci.</w:t>
      </w:r>
      <w:r w:rsidR="005958A6">
        <w:t xml:space="preserve"> Citovaný spis </w:t>
      </w:r>
      <w:r w:rsidR="008C2D4A" w:rsidRPr="008C2D4A">
        <w:rPr>
          <w:i/>
        </w:rPr>
        <w:t>Ordinatio I</w:t>
      </w:r>
      <w:r>
        <w:t xml:space="preserve"> </w:t>
      </w:r>
      <w:r w:rsidR="00C82A85">
        <w:t xml:space="preserve">rozšiřuje již danou kritiku Henryho z Gentu ve spise </w:t>
      </w:r>
      <w:r w:rsidR="008C2D4A" w:rsidRPr="008C2D4A">
        <w:rPr>
          <w:i/>
        </w:rPr>
        <w:t>Lectura I</w:t>
      </w:r>
      <w:r w:rsidR="00C82A85">
        <w:t>, ale nyní podanou z hlediska objektivně určeného</w:t>
      </w:r>
      <w:r>
        <w:t xml:space="preserve"> vztahu (</w:t>
      </w:r>
      <w:r w:rsidRPr="08143E1D">
        <w:rPr>
          <w:i/>
        </w:rPr>
        <w:t>Vat</w:t>
      </w:r>
      <w:r>
        <w:t>. VI, no. 15‒19, pp. 250‒251</w:t>
      </w:r>
      <w:r>
        <w:fldChar w:fldCharType="begin"/>
      </w:r>
      <w:r>
        <w:instrText xml:space="preserve"> XE "Scotus:</w:instrText>
      </w:r>
      <w:r w:rsidRPr="00DF5D31">
        <w:rPr>
          <w:i/>
        </w:rPr>
        <w:instrText>Ordinatio</w:instrText>
      </w:r>
      <w:r w:rsidRPr="00DF5D31">
        <w:instrText xml:space="preserve"> </w:instrText>
      </w:r>
      <w:r>
        <w:instrText>1.</w:instrText>
      </w:r>
      <w:r w:rsidRPr="00DF5D31">
        <w:instrText>2</w:instrText>
      </w:r>
      <w:r>
        <w:instrText>50</w:instrText>
      </w:r>
      <w:r w:rsidRPr="00DF5D31">
        <w:instrText>‒</w:instrText>
      </w:r>
      <w:r>
        <w:instrText xml:space="preserve">251" </w:instrText>
      </w:r>
      <w:r>
        <w:fldChar w:fldCharType="end"/>
      </w:r>
      <w:r>
        <w:t xml:space="preserve">). Scotus tvrdí, že v boží esenci není </w:t>
      </w:r>
      <w:r w:rsidR="005958A6">
        <w:t>„</w:t>
      </w:r>
      <w:r w:rsidRPr="08025629">
        <w:rPr>
          <w:i/>
        </w:rPr>
        <w:t>esse ad</w:t>
      </w:r>
      <w:r w:rsidR="005958A6">
        <w:t>“</w:t>
      </w:r>
      <w:r w:rsidRPr="08025629">
        <w:t xml:space="preserve"> ve smyslu intenc</w:t>
      </w:r>
      <w:r>
        <w:t xml:space="preserve">ionálního </w:t>
      </w:r>
      <w:r w:rsidRPr="08025629">
        <w:t xml:space="preserve">předmětu daného </w:t>
      </w:r>
      <w:r w:rsidRPr="08025629">
        <w:rPr>
          <w:i/>
        </w:rPr>
        <w:t>per se</w:t>
      </w:r>
      <w:r w:rsidRPr="08025629">
        <w:t xml:space="preserve"> skrze </w:t>
      </w:r>
      <w:r>
        <w:t xml:space="preserve">nějaké </w:t>
      </w:r>
      <w:r w:rsidRPr="08025629">
        <w:t>ratio</w:t>
      </w:r>
      <w:r>
        <w:t xml:space="preserve"> dané přímo v boží esenci. To by bůh </w:t>
      </w:r>
      <w:r w:rsidRPr="08025629">
        <w:t>poznával pasivně</w:t>
      </w:r>
      <w:r>
        <w:t xml:space="preserve"> </w:t>
      </w:r>
      <w:r w:rsidRPr="08025629">
        <w:t xml:space="preserve">skrze </w:t>
      </w:r>
      <w:r>
        <w:t xml:space="preserve">esenciálně daný vztah k sobě samému, </w:t>
      </w:r>
      <w:r>
        <w:lastRenderedPageBreak/>
        <w:t xml:space="preserve">tj. přijímal by sám sebe trpně jako poznanou esenci. </w:t>
      </w:r>
      <w:r w:rsidR="00A1505A" w:rsidRPr="00A1505A">
        <w:t xml:space="preserve">Scotus oddělil racionalitu od božské podstaty </w:t>
      </w:r>
      <w:r w:rsidR="00A1505A">
        <w:t xml:space="preserve">tím, že </w:t>
      </w:r>
      <w:r w:rsidR="00A1505A" w:rsidRPr="00A1505A">
        <w:t>závěr je určen formou objekti</w:t>
      </w:r>
      <w:r w:rsidR="00A1505A">
        <w:t>vní essence</w:t>
      </w:r>
      <w:r w:rsidR="00A1505A" w:rsidRPr="00A1505A">
        <w:t xml:space="preserve">. Závěr božské racionality v podobě objektivního </w:t>
      </w:r>
      <w:r w:rsidR="00A1505A">
        <w:t xml:space="preserve">jsoucna </w:t>
      </w:r>
      <w:r w:rsidR="00A1505A" w:rsidRPr="00A1505A">
        <w:t xml:space="preserve">je </w:t>
      </w:r>
      <w:r w:rsidR="00A1505A">
        <w:t xml:space="preserve">tím </w:t>
      </w:r>
      <w:r w:rsidR="00A1505A" w:rsidRPr="00A1505A">
        <w:t>oddělen od božské esence (</w:t>
      </w:r>
      <w:r w:rsidR="00A1505A" w:rsidRPr="00A1505A">
        <w:rPr>
          <w:i/>
        </w:rPr>
        <w:t>essentia pr</w:t>
      </w:r>
      <w:r w:rsidR="00521D94">
        <w:rPr>
          <w:i/>
        </w:rPr>
        <w:t>a</w:t>
      </w:r>
      <w:r w:rsidR="00A1505A" w:rsidRPr="00A1505A">
        <w:rPr>
          <w:i/>
        </w:rPr>
        <w:t>ecise</w:t>
      </w:r>
      <w:r w:rsidR="007973C9">
        <w:rPr>
          <w:i/>
        </w:rPr>
        <w:fldChar w:fldCharType="begin"/>
      </w:r>
      <w:r w:rsidR="007973C9">
        <w:instrText xml:space="preserve"> XE "esence:</w:instrText>
      </w:r>
      <w:r w:rsidR="007973C9" w:rsidRPr="0015178D">
        <w:rPr>
          <w:i/>
        </w:rPr>
        <w:instrText>essentia praecise</w:instrText>
      </w:r>
      <w:r w:rsidR="007973C9">
        <w:instrText xml:space="preserve">" </w:instrText>
      </w:r>
      <w:r w:rsidR="007973C9">
        <w:rPr>
          <w:i/>
        </w:rPr>
        <w:fldChar w:fldCharType="end"/>
      </w:r>
      <w:r w:rsidR="00A1505A" w:rsidRPr="00A1505A">
        <w:t xml:space="preserve">). </w:t>
      </w:r>
      <w:r w:rsidR="007973C9">
        <w:t xml:space="preserve">Racionalita </w:t>
      </w:r>
      <w:r>
        <w:t xml:space="preserve">je </w:t>
      </w:r>
      <w:r w:rsidR="007973C9">
        <w:t xml:space="preserve">pak jen nepřímo </w:t>
      </w:r>
      <w:r>
        <w:t>určen</w:t>
      </w:r>
      <w:r w:rsidR="007973C9">
        <w:t>a</w:t>
      </w:r>
      <w:r>
        <w:t xml:space="preserve"> od esenciálního nekonečného bytí, jenž je pro nás nepoznatelné. Ale v deduktivním soudu kladoucím esenci jako racionálně nahlédnutý závěr už není přítomná boží </w:t>
      </w:r>
      <w:r w:rsidRPr="083276A0">
        <w:t>esence</w:t>
      </w:r>
      <w:r w:rsidR="00EE6E86">
        <w:t xml:space="preserve"> jako taková</w:t>
      </w:r>
      <w:r>
        <w:t xml:space="preserve">, ale výsledná boží racionalita daná sylogisticky. </w:t>
      </w:r>
      <w:r w:rsidR="00AC1EAC" w:rsidRPr="00AC1EAC">
        <w:t xml:space="preserve">Objektivní dedukce nutně vymezuje předmět myšlení, a proto má tento předmět </w:t>
      </w:r>
      <w:r w:rsidR="00AC1EAC">
        <w:t xml:space="preserve">esenciální </w:t>
      </w:r>
      <w:r w:rsidR="00AC1EAC" w:rsidRPr="00AC1EAC">
        <w:t xml:space="preserve">charakter </w:t>
      </w:r>
      <w:r w:rsidR="00AC1EAC" w:rsidRPr="00AC1EAC">
        <w:rPr>
          <w:i/>
        </w:rPr>
        <w:t>ens ratum</w:t>
      </w:r>
      <w:r w:rsidR="00AC1EAC" w:rsidRPr="00AC1EAC">
        <w:t xml:space="preserve">. </w:t>
      </w:r>
      <w:r>
        <w:t xml:space="preserve">Nová forma </w:t>
      </w:r>
      <w:r w:rsidRPr="003A7542">
        <w:rPr>
          <w:i/>
        </w:rPr>
        <w:t>aliquitas</w:t>
      </w:r>
      <w:r>
        <w:rPr>
          <w:i/>
        </w:rPr>
        <w:fldChar w:fldCharType="begin"/>
      </w:r>
      <w:r>
        <w:instrText xml:space="preserve"> XE "</w:instrText>
      </w:r>
      <w:r w:rsidRPr="00D248E6">
        <w:rPr>
          <w:i/>
        </w:rPr>
        <w:instrText>aliquitas</w:instrText>
      </w:r>
      <w:r>
        <w:instrText xml:space="preserve">" </w:instrText>
      </w:r>
      <w:r>
        <w:rPr>
          <w:i/>
        </w:rPr>
        <w:fldChar w:fldCharType="end"/>
      </w:r>
      <w:r>
        <w:t xml:space="preserve"> je primárně limitována</w:t>
      </w:r>
      <w:r w:rsidRPr="083276A0">
        <w:t xml:space="preserve"> </w:t>
      </w:r>
      <w:r>
        <w:t>tím, že je kontradiktorně odlišná</w:t>
      </w:r>
      <w:r w:rsidRPr="083276A0">
        <w:t xml:space="preserve"> od jiných</w:t>
      </w:r>
      <w:r>
        <w:t xml:space="preserve"> obsahů </w:t>
      </w:r>
      <w:r w:rsidRPr="083276A0">
        <w:t>(</w:t>
      </w:r>
      <w:r>
        <w:rPr>
          <w:i/>
        </w:rPr>
        <w:t xml:space="preserve">determinatione </w:t>
      </w:r>
      <w:r w:rsidRPr="083276A0">
        <w:rPr>
          <w:i/>
        </w:rPr>
        <w:t>repugnante indeterminationi ad contradictoria</w:t>
      </w:r>
      <w:r>
        <w:t xml:space="preserve">). </w:t>
      </w:r>
      <w:r w:rsidR="00AC1EAC">
        <w:t>Tím vznikl</w:t>
      </w:r>
      <w:r w:rsidR="00A41C8D">
        <w:t xml:space="preserve">a </w:t>
      </w:r>
      <w:r w:rsidR="00AC1EAC">
        <w:t>d</w:t>
      </w:r>
      <w:r>
        <w:t xml:space="preserve">vojí </w:t>
      </w:r>
      <w:r w:rsidR="00A41C8D">
        <w:t>negace</w:t>
      </w:r>
      <w:r>
        <w:t>, jak od boží esence, tak od jiných ob</w:t>
      </w:r>
      <w:r w:rsidR="00AC1EAC">
        <w:t xml:space="preserve">jektivních závěrů boží dedukce. Tento dvojitý nihilismus </w:t>
      </w:r>
      <w:r>
        <w:t xml:space="preserve">vytváří objektivní identitu jsoucna jako „něčeho“ v modu čistého </w:t>
      </w:r>
      <w:r w:rsidRPr="003417CA">
        <w:rPr>
          <w:i/>
        </w:rPr>
        <w:t xml:space="preserve">ex </w:t>
      </w:r>
      <w:r w:rsidRPr="007F3B48">
        <w:rPr>
          <w:i/>
        </w:rPr>
        <w:t>nihilo</w:t>
      </w:r>
      <w:r>
        <w:t>. Zároveň je tato exemplární objektivita dané v modu minimální jsoucnosti oddělena (</w:t>
      </w:r>
      <w:r w:rsidRPr="007F3B48">
        <w:rPr>
          <w:i/>
        </w:rPr>
        <w:t>praecise</w:t>
      </w:r>
      <w:r>
        <w:t xml:space="preserve">) od reálného stvořeného jsoucna. Pravidlo </w:t>
      </w:r>
      <w:r w:rsidR="00BA6858">
        <w:t>„</w:t>
      </w:r>
      <w:r w:rsidRPr="00552136">
        <w:rPr>
          <w:i/>
        </w:rPr>
        <w:t>non repugnat esse</w:t>
      </w:r>
      <w:r w:rsidR="00BA6858">
        <w:t>“</w:t>
      </w:r>
      <w:r>
        <w:rPr>
          <w:i/>
        </w:rPr>
        <w:fldChar w:fldCharType="begin"/>
      </w:r>
      <w:r>
        <w:instrText xml:space="preserve"> XE "</w:instrText>
      </w:r>
      <w:r w:rsidRPr="00D44ACB">
        <w:rPr>
          <w:i/>
        </w:rPr>
        <w:instrText>non repugnat esse</w:instrText>
      </w:r>
      <w:r>
        <w:instrText xml:space="preserve">" </w:instrText>
      </w:r>
      <w:r>
        <w:rPr>
          <w:i/>
        </w:rPr>
        <w:fldChar w:fldCharType="end"/>
      </w:r>
      <w:r>
        <w:t xml:space="preserve"> </w:t>
      </w:r>
      <w:r w:rsidR="00BA6858">
        <w:t xml:space="preserve">určené </w:t>
      </w:r>
      <w:r>
        <w:t xml:space="preserve">vzhledem k božímu myšlení znamená holý fakt, že </w:t>
      </w:r>
      <w:r w:rsidRPr="00A04181">
        <w:rPr>
          <w:i/>
        </w:rPr>
        <w:t>ratio</w:t>
      </w:r>
      <w:r>
        <w:t xml:space="preserve"> jednoho deduktivního intuitivního božího náhledu se objektivně liší od </w:t>
      </w:r>
      <w:r w:rsidR="002671D2">
        <w:t>jiného ratia</w:t>
      </w:r>
      <w:r>
        <w:t>. Princip vyloučeného třetího platí ve sféře božího myšlení tím, že jeden předmět myšlení je jiný vzhledem ke druhému a žádná třetí možnost neexistuje, protože jinak by boží myšlení nemělo identitu.</w:t>
      </w:r>
      <w:r w:rsidR="00D30436">
        <w:t xml:space="preserve"> </w:t>
      </w:r>
      <w:r w:rsidR="00834289" w:rsidRPr="00834289">
        <w:t>Scotus vytvořil novou l</w:t>
      </w:r>
      <w:r w:rsidR="00834289">
        <w:t>ogickou a objektivní formu Porfý</w:t>
      </w:r>
      <w:r w:rsidR="00834289" w:rsidRPr="00834289">
        <w:t>r</w:t>
      </w:r>
      <w:r w:rsidR="00834289">
        <w:t>i</w:t>
      </w:r>
      <w:r w:rsidR="00834289" w:rsidRPr="00834289">
        <w:t xml:space="preserve">ova </w:t>
      </w:r>
      <w:r w:rsidR="00834289" w:rsidRPr="00834289">
        <w:rPr>
          <w:i/>
        </w:rPr>
        <w:t>individuum</w:t>
      </w:r>
      <w:r w:rsidR="00834289" w:rsidRPr="00834289">
        <w:t xml:space="preserve"> (OBJ I, kap. 1.3), </w:t>
      </w:r>
      <w:r w:rsidR="00834289">
        <w:t>kterou vložil mezi Simplikiovu „substanci–esenci“</w:t>
      </w:r>
      <w:r w:rsidR="00834289" w:rsidRPr="00834289">
        <w:t xml:space="preserve"> jako hypostatické </w:t>
      </w:r>
      <w:r w:rsidR="00834289" w:rsidRPr="00834289">
        <w:rPr>
          <w:i/>
        </w:rPr>
        <w:t>tertium ens</w:t>
      </w:r>
      <w:r w:rsidR="00834289" w:rsidRPr="00834289">
        <w:t xml:space="preserve"> a aristotelskou druhou substanci. Nová podoba </w:t>
      </w:r>
      <w:r w:rsidR="00834289" w:rsidRPr="00834289">
        <w:rPr>
          <w:i/>
        </w:rPr>
        <w:t>dativus incommodi</w:t>
      </w:r>
      <w:r w:rsidR="00834289">
        <w:rPr>
          <w:i/>
        </w:rPr>
        <w:fldChar w:fldCharType="begin"/>
      </w:r>
      <w:r w:rsidR="00834289">
        <w:instrText xml:space="preserve"> XE "</w:instrText>
      </w:r>
      <w:r w:rsidR="00834289" w:rsidRPr="008D7866">
        <w:rPr>
          <w:i/>
        </w:rPr>
        <w:instrText>dativus incommodi</w:instrText>
      </w:r>
      <w:r w:rsidR="00834289">
        <w:instrText xml:space="preserve">" </w:instrText>
      </w:r>
      <w:r w:rsidR="00834289">
        <w:rPr>
          <w:i/>
        </w:rPr>
        <w:fldChar w:fldCharType="end"/>
      </w:r>
      <w:r w:rsidR="00834289" w:rsidRPr="00834289">
        <w:t xml:space="preserve"> se nyní přímo týká oxfordské školy druhého averroismu. Rufovy objektivní termíny (</w:t>
      </w:r>
      <w:r w:rsidR="00834289" w:rsidRPr="00834289">
        <w:rPr>
          <w:i/>
        </w:rPr>
        <w:t>scibile,</w:t>
      </w:r>
      <w:r w:rsidR="008B42BD">
        <w:rPr>
          <w:i/>
        </w:rPr>
        <w:t xml:space="preserve"> concretum, </w:t>
      </w:r>
      <w:r w:rsidR="00834289" w:rsidRPr="00834289">
        <w:rPr>
          <w:i/>
        </w:rPr>
        <w:t>species obiecti existentis</w:t>
      </w:r>
      <w:r w:rsidR="00834289" w:rsidRPr="00834289">
        <w:t xml:space="preserve">), které byly vypracovány jako moderní hypostáze v paradigmatu univerzálního hylemorfismu, přestaly být platnými výroky nové objektivní predikace. </w:t>
      </w:r>
      <w:r>
        <w:t xml:space="preserve">Scotus se stal dávno před Hegelem zakladelem absolutní logiky, protože s ní nahradil Gandavovu absolutní psychologii avicennovského augustinismu. Identita boží intencionality a racionality se liší od zbytku stvoření </w:t>
      </w:r>
      <w:r w:rsidR="00FE67AC">
        <w:t>na základě logiky</w:t>
      </w:r>
      <w:r>
        <w:t xml:space="preserve">. </w:t>
      </w:r>
      <w:r w:rsidR="0066563E">
        <w:t xml:space="preserve">Bůh má </w:t>
      </w:r>
      <w:r w:rsidR="0066563E" w:rsidRPr="0066563E">
        <w:rPr>
          <w:i/>
        </w:rPr>
        <w:t>ens ratum</w:t>
      </w:r>
      <w:r w:rsidR="0066563E">
        <w:t xml:space="preserve"> jako plné </w:t>
      </w:r>
      <w:r w:rsidR="0066563E" w:rsidRPr="0066563E">
        <w:rPr>
          <w:i/>
        </w:rPr>
        <w:t>positum</w:t>
      </w:r>
      <w:r w:rsidR="0066563E">
        <w:t xml:space="preserve"> dané v nekonečném modu, protože tvoří nutný závěr jeho racionality. Modernista má toto </w:t>
      </w:r>
      <w:r w:rsidR="0066563E" w:rsidRPr="0066563E">
        <w:rPr>
          <w:i/>
        </w:rPr>
        <w:t>ens ratum</w:t>
      </w:r>
      <w:r w:rsidR="0066563E">
        <w:t xml:space="preserve"> dáno v omezeném negativním modu, protože jej logicky oddělí od jiného termínu danému </w:t>
      </w:r>
      <w:r w:rsidR="0066563E" w:rsidRPr="0066563E">
        <w:rPr>
          <w:i/>
        </w:rPr>
        <w:t>ex nihilo</w:t>
      </w:r>
      <w:r w:rsidR="0066563E">
        <w:t>. Minimální obsah jsoucnosti pro objektivní entitu zvanou „</w:t>
      </w:r>
      <w:r w:rsidR="0066563E" w:rsidRPr="0066563E">
        <w:rPr>
          <w:i/>
        </w:rPr>
        <w:t>homo</w:t>
      </w:r>
      <w:r w:rsidR="0066563E">
        <w:t xml:space="preserve">“ je dán tím, že není chiméra. </w:t>
      </w:r>
      <w:r w:rsidRPr="00273106">
        <w:t>Scotus musí popřít Gandavov</w:t>
      </w:r>
      <w:r w:rsidR="00D83022">
        <w:t xml:space="preserve">o </w:t>
      </w:r>
      <w:r w:rsidRPr="00273106">
        <w:t xml:space="preserve">určení jsoucna jako habitu daného participací na boží esenci. </w:t>
      </w:r>
      <w:r>
        <w:t xml:space="preserve">Základ </w:t>
      </w:r>
      <w:r>
        <w:lastRenderedPageBreak/>
        <w:t>objektivní reality v bohu je čistá diference od nebytí daná až v racionální sféře stvoření (</w:t>
      </w:r>
      <w:r w:rsidRPr="089D03A5">
        <w:rPr>
          <w:i/>
        </w:rPr>
        <w:t>vestigium</w:t>
      </w:r>
      <w:r w:rsidRPr="089D03A5">
        <w:t>)</w:t>
      </w:r>
      <w:r>
        <w:t xml:space="preserve"> a našeho objektivního poznání této racionality </w:t>
      </w:r>
      <w:r w:rsidRPr="089D03A5">
        <w:t>(</w:t>
      </w:r>
      <w:r w:rsidRPr="089D03A5">
        <w:rPr>
          <w:i/>
        </w:rPr>
        <w:t>imago</w:t>
      </w:r>
      <w:r>
        <w:t xml:space="preserve">). </w:t>
      </w:r>
      <w:r w:rsidRPr="00273106">
        <w:t xml:space="preserve">Definice nového </w:t>
      </w:r>
      <w:r>
        <w:t xml:space="preserve">jsoucna vytvořeného z ničeho </w:t>
      </w:r>
      <w:r w:rsidR="00027A28" w:rsidRPr="00027A28">
        <w:t xml:space="preserve">je plně </w:t>
      </w:r>
      <w:r w:rsidR="00027A28">
        <w:t xml:space="preserve">dána </w:t>
      </w:r>
      <w:r w:rsidR="00027A28" w:rsidRPr="00027A28">
        <w:t xml:space="preserve">v modu </w:t>
      </w:r>
      <w:r w:rsidR="00027A28" w:rsidRPr="00027A28">
        <w:rPr>
          <w:i/>
        </w:rPr>
        <w:t>per se</w:t>
      </w:r>
      <w:r w:rsidR="002A1FE3">
        <w:t>.</w:t>
      </w:r>
    </w:p>
    <w:p w:rsidR="08163013" w:rsidRPr="000A51DC" w:rsidRDefault="00027A28" w:rsidP="00B868D7">
      <w:pPr>
        <w:ind w:firstLine="397"/>
      </w:pPr>
      <w:r w:rsidRPr="00027A28">
        <w:t xml:space="preserve">Moderní nihilismus byl </w:t>
      </w:r>
      <w:r>
        <w:t xml:space="preserve">integrován </w:t>
      </w:r>
      <w:r w:rsidRPr="00027A28">
        <w:t>přímo do sféry božské racional</w:t>
      </w:r>
      <w:r>
        <w:t>ity. Takto byla smrt moderního b</w:t>
      </w:r>
      <w:r w:rsidRPr="00027A28">
        <w:t xml:space="preserve">oha </w:t>
      </w:r>
      <w:r>
        <w:t xml:space="preserve">založena podle </w:t>
      </w:r>
      <w:r w:rsidRPr="00027A28">
        <w:rPr>
          <w:i/>
        </w:rPr>
        <w:t>dativus incommodi</w:t>
      </w:r>
      <w:r>
        <w:t xml:space="preserve">, který vytvořily objektivně vzdělané Fúrie jako nevyhnutelné </w:t>
      </w:r>
      <w:r w:rsidRPr="00027A28">
        <w:t>lidsk</w:t>
      </w:r>
      <w:r>
        <w:t xml:space="preserve">é </w:t>
      </w:r>
      <w:r w:rsidRPr="00027A28">
        <w:rPr>
          <w:i/>
        </w:rPr>
        <w:t>factum</w:t>
      </w:r>
      <w:r w:rsidRPr="00027A28">
        <w:t xml:space="preserve">. Dvojí negace jako nové metafyzické </w:t>
      </w:r>
      <w:r w:rsidRPr="00027A28">
        <w:rPr>
          <w:i/>
        </w:rPr>
        <w:t>positum</w:t>
      </w:r>
      <w:r w:rsidRPr="00027A28">
        <w:t xml:space="preserve"> vytvořila nový </w:t>
      </w:r>
      <w:r>
        <w:t xml:space="preserve">kategoriální </w:t>
      </w:r>
      <w:r w:rsidRPr="00027A28">
        <w:t>substrát (</w:t>
      </w:r>
      <w:r w:rsidRPr="00027A28">
        <w:rPr>
          <w:i/>
        </w:rPr>
        <w:t>subiectum</w:t>
      </w:r>
      <w:r w:rsidR="00B868D7">
        <w:rPr>
          <w:i/>
        </w:rPr>
        <w:fldChar w:fldCharType="begin"/>
      </w:r>
      <w:r w:rsidR="00B868D7">
        <w:instrText xml:space="preserve"> XE "</w:instrText>
      </w:r>
      <w:r w:rsidR="00B868D7" w:rsidRPr="00360013">
        <w:rPr>
          <w:i/>
        </w:rPr>
        <w:instrText>subiectum:</w:instrText>
      </w:r>
      <w:r w:rsidR="00B868D7">
        <w:instrText xml:space="preserve">Scotus" </w:instrText>
      </w:r>
      <w:r w:rsidR="00B868D7">
        <w:rPr>
          <w:i/>
        </w:rPr>
        <w:fldChar w:fldCharType="end"/>
      </w:r>
      <w:r w:rsidRPr="00027A28">
        <w:t xml:space="preserve">), který se stal základem pro predikaci objektivních akcidentů. Simplicius </w:t>
      </w:r>
      <w:r>
        <w:t xml:space="preserve">byl původním autorem kategoriálního </w:t>
      </w:r>
      <w:r w:rsidRPr="00027A28">
        <w:t>schém</w:t>
      </w:r>
      <w:r>
        <w:t xml:space="preserve">atu této </w:t>
      </w:r>
      <w:r w:rsidRPr="00027A28">
        <w:t>pseudo</w:t>
      </w:r>
      <w:r>
        <w:t>-</w:t>
      </w:r>
      <w:r w:rsidRPr="00027A28">
        <w:t>substan</w:t>
      </w:r>
      <w:r>
        <w:t>ce</w:t>
      </w:r>
      <w:r w:rsidRPr="00027A28">
        <w:t xml:space="preserve">. </w:t>
      </w:r>
      <w:r w:rsidR="08163013" w:rsidRPr="00273106">
        <w:t>Výsledná podoba objektivní</w:t>
      </w:r>
      <w:r w:rsidR="00B868D7">
        <w:t xml:space="preserve">ho jsoucna </w:t>
      </w:r>
      <w:r w:rsidR="08163013" w:rsidRPr="00273106">
        <w:t xml:space="preserve">ve stvoření </w:t>
      </w:r>
      <w:r w:rsidR="08163013">
        <w:t>se vrací k avicennovskému určen</w:t>
      </w:r>
      <w:r w:rsidR="00EB72A0">
        <w:t xml:space="preserve">í jsoucna </w:t>
      </w:r>
      <w:r w:rsidR="00674E13">
        <w:t xml:space="preserve">daného </w:t>
      </w:r>
      <w:r w:rsidR="00EB72A0">
        <w:t>za kategoriemi (kap. 5</w:t>
      </w:r>
      <w:r w:rsidR="08163013">
        <w:t>.3.1)</w:t>
      </w:r>
      <w:r w:rsidR="08163013" w:rsidRPr="00273106">
        <w:t>.</w:t>
      </w:r>
      <w:r w:rsidR="08163013">
        <w:t xml:space="preserve"> Jistota jsoucna v pozitivním modelu metafyziky běží podle kategoriální predikace (</w:t>
      </w:r>
      <w:r w:rsidR="08163013" w:rsidRPr="08573D02">
        <w:rPr>
          <w:i/>
        </w:rPr>
        <w:t>resolutio in quid</w:t>
      </w:r>
      <w:r w:rsidR="08163013">
        <w:rPr>
          <w:i/>
        </w:rPr>
        <w:fldChar w:fldCharType="begin"/>
      </w:r>
      <w:r w:rsidR="08163013">
        <w:instrText xml:space="preserve"> XE "</w:instrText>
      </w:r>
      <w:r w:rsidR="08163013" w:rsidRPr="08CE45A4">
        <w:rPr>
          <w:i/>
        </w:rPr>
        <w:instrText>resolutio:in quid</w:instrText>
      </w:r>
      <w:r w:rsidR="08163013">
        <w:instrText xml:space="preserve">" </w:instrText>
      </w:r>
      <w:r w:rsidR="08163013">
        <w:rPr>
          <w:i/>
        </w:rPr>
        <w:fldChar w:fldCharType="end"/>
      </w:r>
      <w:r w:rsidR="08163013">
        <w:t>), která již do sebe zahrnuje možnost predikace vztahu a dalších akcidentů.</w:t>
      </w:r>
    </w:p>
    <w:p w:rsidR="08163013" w:rsidRDefault="08163013" w:rsidP="08163013">
      <w:pPr>
        <w:pStyle w:val="Citace"/>
      </w:pPr>
      <w:r w:rsidRPr="00273106">
        <w:rPr>
          <w:noProof/>
        </w:rPr>
        <w:t>„</w:t>
      </w:r>
      <w:r>
        <w:rPr>
          <w:noProof/>
          <w:lang w:val="cs-CZ"/>
        </w:rPr>
        <w:t>Kámen jakožto kámen participuje na svém jsoucnu tak, že jako kámen vlastní pevně danou jsoucnost v realitě (</w:t>
      </w:r>
      <w:r w:rsidRPr="006D6399">
        <w:rPr>
          <w:i/>
          <w:noProof/>
        </w:rPr>
        <w:t>positus in entitate rata</w:t>
      </w:r>
      <w:r>
        <w:rPr>
          <w:noProof/>
          <w:lang w:val="cs-CZ"/>
        </w:rPr>
        <w:t>). Pak také nutně a z hlediska tohoto druhého způsobu svého bytí (</w:t>
      </w:r>
      <w:r w:rsidRPr="002A5C68">
        <w:rPr>
          <w:i/>
          <w:noProof/>
        </w:rPr>
        <w:t>per se secundo modo</w:t>
      </w:r>
      <w:r>
        <w:rPr>
          <w:noProof/>
          <w:lang w:val="cs-CZ"/>
        </w:rPr>
        <w:t>) má založen vztah k sobě samému i objektivně (</w:t>
      </w:r>
      <w:r w:rsidRPr="00FC5E07">
        <w:rPr>
          <w:i/>
          <w:noProof/>
        </w:rPr>
        <w:t>habet respectum participationis</w:t>
      </w:r>
      <w:r>
        <w:rPr>
          <w:noProof/>
          <w:lang w:val="cs-CZ"/>
        </w:rPr>
        <w:t>). Bez tohoto vztahu by jeho bytí samo v sobě zahrnovalo rozpor</w:t>
      </w:r>
      <w:r w:rsidR="001D24A4">
        <w:rPr>
          <w:noProof/>
          <w:lang w:val="cs-CZ"/>
        </w:rPr>
        <w:t>;</w:t>
      </w:r>
      <w:r>
        <w:rPr>
          <w:noProof/>
          <w:lang w:val="cs-CZ"/>
        </w:rPr>
        <w:t xml:space="preserve"> například jako subjekt bez vlastností, nebo určení vztahu bez členů, pokud je tento vztah již určen z hlediska obou členů vztahu.“ </w:t>
      </w:r>
      <w:r>
        <w:rPr>
          <w:rStyle w:val="Znakapoznpodarou"/>
        </w:rPr>
        <w:footnoteReference w:id="464"/>
      </w:r>
    </w:p>
    <w:p w:rsidR="00A272E4" w:rsidRDefault="006B1948" w:rsidP="08163013">
      <w:r>
        <w:t>Citát odlišuje dvě formy identity</w:t>
      </w:r>
      <w:r w:rsidR="08163013">
        <w:t xml:space="preserve">. Reálné </w:t>
      </w:r>
      <w:r w:rsidR="08163013" w:rsidRPr="00273106">
        <w:t xml:space="preserve">bytí jsoucna </w:t>
      </w:r>
      <w:r w:rsidR="08163013">
        <w:t>je dáno primárně a samo v sobě (</w:t>
      </w:r>
      <w:r w:rsidR="08163013" w:rsidRPr="006D6399">
        <w:rPr>
          <w:i/>
        </w:rPr>
        <w:t>positus in entitate rata</w:t>
      </w:r>
      <w:r w:rsidR="08163013">
        <w:t>). Primárně existuje a</w:t>
      </w:r>
      <w:r w:rsidR="00FB29FC">
        <w:t>kt reálného bytí prvních substancí</w:t>
      </w:r>
      <w:r w:rsidR="08163013">
        <w:t xml:space="preserve">. Tím se metafyzika vrátila k pojetí </w:t>
      </w:r>
      <w:r w:rsidR="08163013" w:rsidRPr="00762AA3">
        <w:rPr>
          <w:i/>
        </w:rPr>
        <w:t>ens ratum</w:t>
      </w:r>
      <w:r w:rsidR="08163013">
        <w:rPr>
          <w:i/>
        </w:rPr>
        <w:fldChar w:fldCharType="begin"/>
      </w:r>
      <w:r w:rsidR="08163013">
        <w:instrText xml:space="preserve"> XE "</w:instrText>
      </w:r>
      <w:r w:rsidR="08163013" w:rsidRPr="00B2798F">
        <w:rPr>
          <w:rStyle w:val="addmd"/>
          <w:i/>
        </w:rPr>
        <w:instrText>ens ratum:</w:instrText>
      </w:r>
      <w:r w:rsidR="08163013">
        <w:instrText xml:space="preserve">Scotus" </w:instrText>
      </w:r>
      <w:r w:rsidR="08163013">
        <w:rPr>
          <w:i/>
        </w:rPr>
        <w:fldChar w:fldCharType="end"/>
      </w:r>
      <w:r w:rsidR="08163013">
        <w:t xml:space="preserve"> daného podle prvního averroismu pouze </w:t>
      </w:r>
      <w:r w:rsidR="00FD0853">
        <w:t>jako aktuální první substance</w:t>
      </w:r>
      <w:r w:rsidR="08163013">
        <w:fldChar w:fldCharType="begin"/>
      </w:r>
      <w:r w:rsidR="08163013">
        <w:instrText xml:space="preserve"> XE "</w:instrText>
      </w:r>
      <w:r w:rsidR="08163013" w:rsidRPr="004B41D3">
        <w:instrText>substance:první</w:instrText>
      </w:r>
      <w:r w:rsidR="08163013">
        <w:instrText xml:space="preserve">" </w:instrText>
      </w:r>
      <w:r w:rsidR="08163013">
        <w:fldChar w:fldCharType="end"/>
      </w:r>
      <w:r w:rsidR="08163013">
        <w:t xml:space="preserve">. Ale na objektivní rovině daná jako pozitivní predikace vzniká objektivní forma sebevztahu </w:t>
      </w:r>
      <w:r w:rsidR="08163013" w:rsidRPr="00273106">
        <w:t>(</w:t>
      </w:r>
      <w:r w:rsidR="08163013">
        <w:rPr>
          <w:i/>
        </w:rPr>
        <w:t xml:space="preserve">participat ipsum </w:t>
      </w:r>
      <w:r w:rsidR="08163013" w:rsidRPr="00273106">
        <w:rPr>
          <w:i/>
        </w:rPr>
        <w:t>esse</w:t>
      </w:r>
      <w:r w:rsidR="08163013" w:rsidRPr="00273106">
        <w:t>)</w:t>
      </w:r>
      <w:r w:rsidR="08163013">
        <w:t xml:space="preserve">. Tím je </w:t>
      </w:r>
      <w:r w:rsidR="006C013B">
        <w:t xml:space="preserve">vytvořena </w:t>
      </w:r>
      <w:r w:rsidR="08163013">
        <w:t>objektivní predikace</w:t>
      </w:r>
      <w:r w:rsidR="08163013">
        <w:fldChar w:fldCharType="begin"/>
      </w:r>
      <w:r w:rsidR="08163013">
        <w:instrText xml:space="preserve"> XE "</w:instrText>
      </w:r>
      <w:r w:rsidR="08163013" w:rsidRPr="084E5D77">
        <w:instrText>predikace:pozitivní</w:instrText>
      </w:r>
      <w:r w:rsidR="08163013">
        <w:instrText xml:space="preserve">" </w:instrText>
      </w:r>
      <w:r w:rsidR="08163013">
        <w:fldChar w:fldCharType="end"/>
      </w:r>
      <w:r w:rsidR="08163013">
        <w:t xml:space="preserve"> stvořených jsoucen daný</w:t>
      </w:r>
      <w:r w:rsidR="006C013B">
        <w:t xml:space="preserve">ch v jejich reálném nebo </w:t>
      </w:r>
      <w:r w:rsidR="08163013">
        <w:t>možném bytí (</w:t>
      </w:r>
      <w:r w:rsidR="08163013" w:rsidRPr="08E62A93">
        <w:rPr>
          <w:i/>
        </w:rPr>
        <w:t>positum</w:t>
      </w:r>
      <w:r w:rsidR="006C013B">
        <w:t>)</w:t>
      </w:r>
      <w:r w:rsidR="08163013">
        <w:t xml:space="preserve">. </w:t>
      </w:r>
      <w:r w:rsidR="0022367B" w:rsidRPr="0022367B">
        <w:t xml:space="preserve">V převleku školy </w:t>
      </w:r>
      <w:r w:rsidR="0022367B">
        <w:rPr>
          <w:i/>
        </w:rPr>
        <w:t>sophistae L</w:t>
      </w:r>
      <w:r w:rsidR="0022367B" w:rsidRPr="0022367B">
        <w:rPr>
          <w:i/>
        </w:rPr>
        <w:t>atini</w:t>
      </w:r>
      <w:r w:rsidR="0022367B" w:rsidRPr="0022367B">
        <w:t xml:space="preserve"> nechal Scotus zdvoj</w:t>
      </w:r>
      <w:r w:rsidR="0022367B">
        <w:t>it</w:t>
      </w:r>
      <w:r w:rsidR="0022367B" w:rsidRPr="0022367B">
        <w:t xml:space="preserve"> vztah zcela fiktivního jsoucna k sobě samému, aby vytvořil </w:t>
      </w:r>
      <w:r w:rsidR="0022367B" w:rsidRPr="0022367B">
        <w:rPr>
          <w:i/>
        </w:rPr>
        <w:t>ex nihilo</w:t>
      </w:r>
      <w:r w:rsidR="0022367B" w:rsidRPr="0022367B">
        <w:t xml:space="preserve"> novou formu </w:t>
      </w:r>
      <w:r w:rsidR="0022367B" w:rsidRPr="0022367B">
        <w:rPr>
          <w:i/>
        </w:rPr>
        <w:t>tertium ens</w:t>
      </w:r>
      <w:r w:rsidR="0022367B" w:rsidRPr="0022367B">
        <w:t>. Je třeba poznamenat, že Porfyri</w:t>
      </w:r>
      <w:r w:rsidR="0022367B">
        <w:t>u</w:t>
      </w:r>
      <w:r w:rsidR="0022367B" w:rsidRPr="0022367B">
        <w:t xml:space="preserve">s použil stejný postup k vytvoření </w:t>
      </w:r>
      <w:r w:rsidR="0022367B" w:rsidRPr="0022367B">
        <w:lastRenderedPageBreak/>
        <w:t xml:space="preserve">prvního </w:t>
      </w:r>
      <w:r w:rsidR="00024BD5">
        <w:t xml:space="preserve">zdvojení bytí </w:t>
      </w:r>
      <w:r w:rsidR="0022367B" w:rsidRPr="0022367B">
        <w:t>v Jednom (διττὸν τὸ εἶναι, OBJ I, kap. 1.3.1).</w:t>
      </w:r>
      <w:r w:rsidR="0022367B">
        <w:t xml:space="preserve"> </w:t>
      </w:r>
      <w:r w:rsidR="001E243C">
        <w:t>Z hlediska aristotelismu je to úplný nesmysl. V</w:t>
      </w:r>
      <w:r w:rsidR="08163013">
        <w:t xml:space="preserve"> modu čisté Simplikiovy hypostáze (</w:t>
      </w:r>
      <w:r w:rsidR="08163013" w:rsidRPr="08573D02">
        <w:rPr>
          <w:i/>
        </w:rPr>
        <w:t>esse in</w:t>
      </w:r>
      <w:r w:rsidR="08163013">
        <w:t xml:space="preserve">) není možné vytvářet </w:t>
      </w:r>
      <w:r w:rsidR="001E243C">
        <w:t xml:space="preserve">žádnou impozici, protože chybí </w:t>
      </w:r>
      <w:r w:rsidR="001E243C" w:rsidRPr="001E243C">
        <w:rPr>
          <w:i/>
        </w:rPr>
        <w:t>ens ratum</w:t>
      </w:r>
      <w:r w:rsidR="001E243C">
        <w:t xml:space="preserve"> dané impozicí od hyparchické první substance. Ale Scotus si založil vlastní formu </w:t>
      </w:r>
      <w:r w:rsidR="001E243C" w:rsidRPr="001E243C">
        <w:rPr>
          <w:i/>
        </w:rPr>
        <w:t>ens ratum</w:t>
      </w:r>
      <w:r w:rsidR="001E243C">
        <w:t xml:space="preserve"> danou v mysli skrze novou definici modu </w:t>
      </w:r>
      <w:r w:rsidR="00074906">
        <w:t>„</w:t>
      </w:r>
      <w:r w:rsidR="08163013" w:rsidRPr="08573D02">
        <w:rPr>
          <w:i/>
        </w:rPr>
        <w:t>esse ad</w:t>
      </w:r>
      <w:r w:rsidR="00074906">
        <w:t>“</w:t>
      </w:r>
      <w:r w:rsidR="001E243C">
        <w:t>, kdy objektivní definice v modu logické identity (A=A) založila hypostázovaný vztah podle neoplatonského modelu</w:t>
      </w:r>
      <w:r w:rsidR="00024BD5">
        <w:t xml:space="preserve"> zdvojeného bytí</w:t>
      </w:r>
      <w:r w:rsidR="001E243C">
        <w:t xml:space="preserve">. Pak už sofisticky dal </w:t>
      </w:r>
      <w:r w:rsidR="08163013">
        <w:t>objektivní účinky substancí do demonstračního soudu</w:t>
      </w:r>
      <w:r w:rsidR="001E243C">
        <w:t>, protože do středního členu důkazu dal o</w:t>
      </w:r>
      <w:r w:rsidR="004552EC">
        <w:t>bjek</w:t>
      </w:r>
      <w:r w:rsidR="001E243C">
        <w:t>tivně pojatou a ted</w:t>
      </w:r>
      <w:r w:rsidR="004552EC">
        <w:t>y reálně neexistující kauz</w:t>
      </w:r>
      <w:r w:rsidR="001E243C">
        <w:t xml:space="preserve">alitu. A protože objektivní kauzalita „působí“ na neexistující substance dané jako </w:t>
      </w:r>
      <w:r w:rsidR="001E243C" w:rsidRPr="001E243C">
        <w:rPr>
          <w:i/>
        </w:rPr>
        <w:t>tertium ens</w:t>
      </w:r>
      <w:r w:rsidR="001E243C">
        <w:t xml:space="preserve">, pak je logicky všechno v pořádku. </w:t>
      </w:r>
      <w:r w:rsidR="08163013">
        <w:t xml:space="preserve">Nová </w:t>
      </w:r>
      <w:r w:rsidR="001E243C">
        <w:t>„</w:t>
      </w:r>
      <w:r w:rsidR="08163013">
        <w:t>pozitivní predikace</w:t>
      </w:r>
      <w:r w:rsidR="001E243C">
        <w:t>“</w:t>
      </w:r>
      <w:r w:rsidR="08163013">
        <w:t xml:space="preserve"> </w:t>
      </w:r>
      <w:r w:rsidR="001E243C">
        <w:t>tím dostala objektivní kategoriální charakter, což Gandavus nem</w:t>
      </w:r>
      <w:r w:rsidR="00486D56">
        <w:t xml:space="preserve">ěl. </w:t>
      </w:r>
      <w:r w:rsidR="08163013" w:rsidRPr="00273106">
        <w:t xml:space="preserve">Argumentace upozorní na to, že </w:t>
      </w:r>
      <w:r w:rsidR="08163013">
        <w:t xml:space="preserve">tento objektivní sebevztah má jen </w:t>
      </w:r>
      <w:r w:rsidR="08163013" w:rsidRPr="00273106">
        <w:t xml:space="preserve">sekundární </w:t>
      </w:r>
      <w:r w:rsidR="08163013">
        <w:t xml:space="preserve">charakter </w:t>
      </w:r>
      <w:r w:rsidR="08163013" w:rsidRPr="00273106">
        <w:t>(</w:t>
      </w:r>
      <w:r w:rsidR="08163013">
        <w:rPr>
          <w:i/>
        </w:rPr>
        <w:t>secundo modo</w:t>
      </w:r>
      <w:r w:rsidR="08163013" w:rsidRPr="00273106">
        <w:rPr>
          <w:i/>
        </w:rPr>
        <w:t xml:space="preserve"> habet respectum participationis</w:t>
      </w:r>
      <w:r w:rsidR="08163013" w:rsidRPr="00273106">
        <w:t>). Scotus se odrazí od čisté nicoty</w:t>
      </w:r>
      <w:r w:rsidR="08163013">
        <w:t xml:space="preserve"> a opět si pomůže logikou </w:t>
      </w:r>
      <w:r w:rsidR="002D6672">
        <w:t>„</w:t>
      </w:r>
      <w:r w:rsidR="08163013" w:rsidRPr="00273106">
        <w:rPr>
          <w:i/>
        </w:rPr>
        <w:t>reductio ad absurdum</w:t>
      </w:r>
      <w:r w:rsidR="002D6672">
        <w:t>“</w:t>
      </w:r>
      <w:r w:rsidR="08163013">
        <w:rPr>
          <w:i/>
        </w:rPr>
        <w:fldChar w:fldCharType="begin"/>
      </w:r>
      <w:r w:rsidR="08163013">
        <w:instrText xml:space="preserve"> XE "</w:instrText>
      </w:r>
      <w:r w:rsidR="08163013" w:rsidRPr="00B95ED5">
        <w:rPr>
          <w:i/>
        </w:rPr>
        <w:instrText>reductio ad absurdum</w:instrText>
      </w:r>
      <w:r w:rsidR="08163013">
        <w:instrText xml:space="preserve">" </w:instrText>
      </w:r>
      <w:r w:rsidR="08163013">
        <w:rPr>
          <w:i/>
        </w:rPr>
        <w:fldChar w:fldCharType="end"/>
      </w:r>
      <w:r w:rsidR="08163013" w:rsidRPr="00273106">
        <w:t xml:space="preserve">. </w:t>
      </w:r>
      <w:r w:rsidR="08163013">
        <w:t xml:space="preserve">Identita vzniká tím, že jsoucno má na logické rovině pozitivní vztah samo k sobě, protože z hlediska minimální jsoucnosti nemůže být něčím jiným </w:t>
      </w:r>
      <w:r w:rsidR="08163013" w:rsidRPr="00273106">
        <w:t>(</w:t>
      </w:r>
      <w:r w:rsidR="08163013" w:rsidRPr="00273106">
        <w:rPr>
          <w:i/>
        </w:rPr>
        <w:t>posito termino illius relationis</w:t>
      </w:r>
      <w:r w:rsidR="08163013" w:rsidRPr="00273106">
        <w:t>)</w:t>
      </w:r>
      <w:r w:rsidR="08163013">
        <w:t xml:space="preserve">. Bez </w:t>
      </w:r>
      <w:r w:rsidR="08163013" w:rsidRPr="00F8075C">
        <w:t xml:space="preserve">této </w:t>
      </w:r>
      <w:r w:rsidR="08163013">
        <w:t xml:space="preserve">objektivní danosti by nebylo myslitelné, což by z hlediska boží i lidské racionality představovalo jasný rozpor </w:t>
      </w:r>
      <w:r w:rsidR="08163013" w:rsidRPr="00273106">
        <w:t>(</w:t>
      </w:r>
      <w:r w:rsidR="08163013" w:rsidRPr="00273106">
        <w:rPr>
          <w:i/>
        </w:rPr>
        <w:t>sine qua ipsum 'esse' includit contradictionem</w:t>
      </w:r>
      <w:r w:rsidR="08163013" w:rsidRPr="00273106">
        <w:t xml:space="preserve">). </w:t>
      </w:r>
      <w:r w:rsidR="0017086E">
        <w:t xml:space="preserve">Aristotelismus považuje tento sebevztah eidetické „věci samé“ za nesmysl, protože je daný pouze v mysli a ne v realitě. </w:t>
      </w:r>
      <w:r w:rsidR="00BA33B3" w:rsidRPr="00BA33B3">
        <w:t>Takový objektivní vztah je čistá mytologie, protože předpo</w:t>
      </w:r>
      <w:r w:rsidR="00BA33B3">
        <w:t xml:space="preserve">kládá antropologický pohled na </w:t>
      </w:r>
      <w:r w:rsidR="009507EF">
        <w:t xml:space="preserve">moderního (a tedy reálně neexistujícího) </w:t>
      </w:r>
      <w:r w:rsidR="00BA33B3">
        <w:t>b</w:t>
      </w:r>
      <w:r w:rsidR="00BA33B3" w:rsidRPr="00BA33B3">
        <w:t xml:space="preserve">oha. </w:t>
      </w:r>
      <w:r w:rsidR="0056618D" w:rsidRPr="0056618D">
        <w:t xml:space="preserve">Zdvojené bytí podle Platónova dialogu </w:t>
      </w:r>
      <w:r w:rsidR="0056618D">
        <w:rPr>
          <w:i/>
        </w:rPr>
        <w:t>Sofiste</w:t>
      </w:r>
      <w:r w:rsidR="0056618D" w:rsidRPr="0056618D">
        <w:rPr>
          <w:i/>
        </w:rPr>
        <w:t>s</w:t>
      </w:r>
      <w:r w:rsidR="0056618D" w:rsidRPr="0056618D">
        <w:t xml:space="preserve"> se n</w:t>
      </w:r>
      <w:r w:rsidR="0056618D">
        <w:t>akonec neobejde bez zdvojeného b</w:t>
      </w:r>
      <w:r w:rsidR="0056618D" w:rsidRPr="0056618D">
        <w:t xml:space="preserve">oha, který tvoří nezbytné </w:t>
      </w:r>
      <w:r w:rsidR="0056618D" w:rsidRPr="0056618D">
        <w:rPr>
          <w:i/>
        </w:rPr>
        <w:t>speculum</w:t>
      </w:r>
      <w:r w:rsidR="0056618D" w:rsidRPr="0056618D">
        <w:t xml:space="preserve"> spekulativní metafyziky </w:t>
      </w:r>
      <w:r w:rsidR="0056618D">
        <w:t xml:space="preserve">dané jako </w:t>
      </w:r>
      <w:r w:rsidR="0056618D" w:rsidRPr="0056618D">
        <w:t>fata morgana</w:t>
      </w:r>
      <w:r w:rsidR="0056618D">
        <w:t xml:space="preserve"> reality</w:t>
      </w:r>
      <w:r w:rsidR="0056618D" w:rsidRPr="0056618D">
        <w:t xml:space="preserve">. </w:t>
      </w:r>
      <w:r w:rsidR="0041392A">
        <w:t xml:space="preserve">Podle </w:t>
      </w:r>
      <w:r w:rsidR="0056618D" w:rsidRPr="0056618D">
        <w:t>klasické metafyziky, nelze takovou mytologickou entitu vytvořenou zdvojením vložit do demons</w:t>
      </w:r>
      <w:r w:rsidR="00F64264">
        <w:t>trativního důkazu daného na axiomu „</w:t>
      </w:r>
      <w:r w:rsidR="00F64264" w:rsidRPr="00F64264">
        <w:rPr>
          <w:i/>
        </w:rPr>
        <w:t>ex inmediatis</w:t>
      </w:r>
      <w:r w:rsidR="00F64264">
        <w:rPr>
          <w:i/>
        </w:rPr>
        <w:fldChar w:fldCharType="begin"/>
      </w:r>
      <w:r w:rsidR="00F64264">
        <w:instrText xml:space="preserve"> XE "</w:instrText>
      </w:r>
      <w:r w:rsidR="00F64264" w:rsidRPr="00C059FB">
        <w:rPr>
          <w:i/>
        </w:rPr>
        <w:instrText>ex immediatis</w:instrText>
      </w:r>
      <w:r w:rsidR="00F64264">
        <w:instrText xml:space="preserve">" </w:instrText>
      </w:r>
      <w:r w:rsidR="00F64264">
        <w:rPr>
          <w:i/>
        </w:rPr>
        <w:fldChar w:fldCharType="end"/>
      </w:r>
      <w:r w:rsidR="00F64264">
        <w:t>“. Me</w:t>
      </w:r>
      <w:r w:rsidR="0056618D" w:rsidRPr="0056618D">
        <w:t>tafyzika nemů</w:t>
      </w:r>
      <w:r w:rsidR="00F64264">
        <w:t>ž</w:t>
      </w:r>
      <w:r w:rsidR="0056618D" w:rsidRPr="0056618D">
        <w:t>e být zalo</w:t>
      </w:r>
      <w:r w:rsidR="00F64264">
        <w:t>ž</w:t>
      </w:r>
      <w:r w:rsidR="0056618D" w:rsidRPr="0056618D">
        <w:t>ena na chiméře, jako je tomu v</w:t>
      </w:r>
      <w:r w:rsidR="00F64264">
        <w:t xml:space="preserve"> případě logické supozice</w:t>
      </w:r>
      <w:r w:rsidR="0056618D" w:rsidRPr="0056618D">
        <w:t xml:space="preserve">. </w:t>
      </w:r>
      <w:r w:rsidR="00F64264">
        <w:t>T</w:t>
      </w:r>
      <w:r w:rsidR="0056618D" w:rsidRPr="0056618D">
        <w:t xml:space="preserve">aková identita supozičního jsoucna je metafyzickým </w:t>
      </w:r>
      <w:r w:rsidR="0056618D" w:rsidRPr="00F64264">
        <w:rPr>
          <w:i/>
        </w:rPr>
        <w:t>contradictio in adiecto</w:t>
      </w:r>
      <w:r w:rsidR="002A38BD">
        <w:t xml:space="preserve"> a </w:t>
      </w:r>
      <w:r w:rsidR="0056618D" w:rsidRPr="0056618D">
        <w:t xml:space="preserve">vytváří logickou </w:t>
      </w:r>
      <w:r w:rsidR="00F64264">
        <w:t xml:space="preserve">filosofickou </w:t>
      </w:r>
      <w:r w:rsidR="0056618D" w:rsidRPr="0056618D">
        <w:t xml:space="preserve">pohádku, jako tomu bylo v případě </w:t>
      </w:r>
      <w:r w:rsidR="00F64264">
        <w:t xml:space="preserve">Gandavovy metafyziky </w:t>
      </w:r>
      <w:r w:rsidR="0056618D" w:rsidRPr="0056618D">
        <w:t xml:space="preserve">chiméry. </w:t>
      </w:r>
      <w:r w:rsidR="00BA33B3" w:rsidRPr="00BA33B3">
        <w:t xml:space="preserve">Navíc je </w:t>
      </w:r>
      <w:r w:rsidR="00BA33B3">
        <w:t xml:space="preserve">takto daná identita </w:t>
      </w:r>
      <w:r w:rsidR="00BA33B3" w:rsidRPr="00BA33B3">
        <w:t xml:space="preserve">nepoužitelná i </w:t>
      </w:r>
      <w:r w:rsidR="00BA33B3">
        <w:t>z teologického hlediska, neboť b</w:t>
      </w:r>
      <w:r w:rsidR="00BA33B3" w:rsidRPr="00BA33B3">
        <w:t xml:space="preserve">ůh je nejvyšší stvořitel, a nikoliv akademický moderní myslitel. </w:t>
      </w:r>
      <w:r w:rsidR="08163013">
        <w:t xml:space="preserve">Projekce jsoucna z mysli ilumináta do reality v modu predikace </w:t>
      </w:r>
      <w:r w:rsidR="0017086E">
        <w:t>„</w:t>
      </w:r>
      <w:r w:rsidR="08163013" w:rsidRPr="088B4BBF">
        <w:rPr>
          <w:i/>
        </w:rPr>
        <w:t>in artificialibus</w:t>
      </w:r>
      <w:r w:rsidR="0017086E">
        <w:t>“</w:t>
      </w:r>
      <w:r w:rsidR="08163013">
        <w:rPr>
          <w:i/>
        </w:rPr>
        <w:fldChar w:fldCharType="begin"/>
      </w:r>
      <w:r w:rsidR="08163013">
        <w:instrText xml:space="preserve"> XE "</w:instrText>
      </w:r>
      <w:r w:rsidR="00A87A7B">
        <w:instrText>predi</w:instrText>
      </w:r>
      <w:r w:rsidR="08163013" w:rsidRPr="08E77B88">
        <w:instrText>k</w:instrText>
      </w:r>
      <w:r w:rsidR="00A87A7B">
        <w:instrText>a</w:instrText>
      </w:r>
      <w:r w:rsidR="08163013" w:rsidRPr="08E77B88">
        <w:instrText>ce:</w:instrText>
      </w:r>
      <w:r w:rsidR="08163013" w:rsidRPr="08E77B88">
        <w:rPr>
          <w:i/>
        </w:rPr>
        <w:instrText>in artificialibus</w:instrText>
      </w:r>
      <w:r w:rsidR="08163013">
        <w:instrText xml:space="preserve">" </w:instrText>
      </w:r>
      <w:r w:rsidR="08163013">
        <w:rPr>
          <w:i/>
        </w:rPr>
        <w:fldChar w:fldCharType="end"/>
      </w:r>
      <w:r w:rsidR="08163013">
        <w:t xml:space="preserve"> nemůže založit metafyziku, která zk</w:t>
      </w:r>
      <w:r w:rsidR="0017086E">
        <w:t>oumá jednotu reálných substancí</w:t>
      </w:r>
      <w:r w:rsidR="08163013">
        <w:t>. P</w:t>
      </w:r>
      <w:r w:rsidR="08163013" w:rsidRPr="00273106">
        <w:t xml:space="preserve">ro založení nové metafyziky je </w:t>
      </w:r>
      <w:r w:rsidR="08163013">
        <w:t xml:space="preserve">klíčové </w:t>
      </w:r>
      <w:r w:rsidR="08163013" w:rsidRPr="00273106">
        <w:t xml:space="preserve">určení </w:t>
      </w:r>
      <w:r w:rsidR="08163013">
        <w:t xml:space="preserve">objektivity jako absolutně čisté identity odlišené pouze od nebytí. </w:t>
      </w:r>
      <w:r w:rsidR="00152A31" w:rsidRPr="00152A31">
        <w:t xml:space="preserve">Tento </w:t>
      </w:r>
      <w:r w:rsidR="00152A31" w:rsidRPr="00152A31">
        <w:lastRenderedPageBreak/>
        <w:t xml:space="preserve">minimální význam </w:t>
      </w:r>
      <w:r w:rsidR="00152A31">
        <w:t xml:space="preserve">původně daný pouze logicky nyní </w:t>
      </w:r>
      <w:r w:rsidR="00152A31" w:rsidRPr="00152A31">
        <w:t xml:space="preserve">zahrnuje kategorickou predikaci založenou na Scotově nihilistické verzi </w:t>
      </w:r>
      <w:r w:rsidR="00152A31" w:rsidRPr="00C26D41">
        <w:rPr>
          <w:i/>
        </w:rPr>
        <w:t>Oxfordian Fallacy</w:t>
      </w:r>
      <w:r w:rsidR="00152A31">
        <w:rPr>
          <w:i/>
        </w:rPr>
        <w:fldChar w:fldCharType="begin"/>
      </w:r>
      <w:r w:rsidR="00152A31">
        <w:instrText xml:space="preserve"> XE "</w:instrText>
      </w:r>
      <w:r w:rsidR="00152A31" w:rsidRPr="0015798D">
        <w:rPr>
          <w:i/>
        </w:rPr>
        <w:instrText>Oxfordian Fallacy:</w:instrText>
      </w:r>
      <w:r w:rsidR="00152A31">
        <w:instrText xml:space="preserve">Scotus" </w:instrText>
      </w:r>
      <w:r w:rsidR="00152A31">
        <w:rPr>
          <w:i/>
        </w:rPr>
        <w:fldChar w:fldCharType="end"/>
      </w:r>
      <w:r w:rsidR="00152A31" w:rsidRPr="00152A31">
        <w:t xml:space="preserve">. </w:t>
      </w:r>
      <w:r w:rsidR="00152A31">
        <w:t xml:space="preserve">Objektivní identita jsoucna vzniklá </w:t>
      </w:r>
      <w:r w:rsidR="00152A31" w:rsidRPr="00152A31">
        <w:rPr>
          <w:i/>
        </w:rPr>
        <w:t>ex nihilo</w:t>
      </w:r>
      <w:r w:rsidR="00152A31">
        <w:t xml:space="preserve"> z</w:t>
      </w:r>
      <w:r w:rsidR="00152A31" w:rsidRPr="00152A31">
        <w:t>aložil</w:t>
      </w:r>
      <w:r w:rsidR="00152A31">
        <w:t>a</w:t>
      </w:r>
      <w:r w:rsidR="00152A31" w:rsidRPr="00152A31">
        <w:t xml:space="preserve"> první objektivní verzi </w:t>
      </w:r>
      <w:r w:rsidR="00152A31" w:rsidRPr="00152A31">
        <w:rPr>
          <w:i/>
        </w:rPr>
        <w:t>metaphysica generalis</w:t>
      </w:r>
      <w:r w:rsidR="00152A31">
        <w:rPr>
          <w:i/>
        </w:rPr>
        <w:fldChar w:fldCharType="begin"/>
      </w:r>
      <w:r w:rsidR="00152A31">
        <w:instrText xml:space="preserve"> XE "</w:instrText>
      </w:r>
      <w:r w:rsidR="00152A31" w:rsidRPr="005F0F7D">
        <w:rPr>
          <w:i/>
        </w:rPr>
        <w:instrText>metaphysica generalis</w:instrText>
      </w:r>
      <w:r w:rsidR="00152A31">
        <w:instrText xml:space="preserve">" </w:instrText>
      </w:r>
      <w:r w:rsidR="00152A31">
        <w:rPr>
          <w:i/>
        </w:rPr>
        <w:fldChar w:fldCharType="end"/>
      </w:r>
      <w:r w:rsidR="00152A31" w:rsidRPr="00152A31">
        <w:t xml:space="preserve">. </w:t>
      </w:r>
      <w:r w:rsidR="08163013">
        <w:t>Scotus</w:t>
      </w:r>
      <w:r w:rsidR="00152A31">
        <w:t xml:space="preserve"> jako příklad cituje Avicennovu definici „</w:t>
      </w:r>
      <w:r w:rsidR="08163013" w:rsidRPr="004A0F52">
        <w:rPr>
          <w:i/>
        </w:rPr>
        <w:t>equinitas est tantum equinitas</w:t>
      </w:r>
      <w:r w:rsidR="00152A31">
        <w:t>“</w:t>
      </w:r>
      <w:r w:rsidR="08163013">
        <w:t xml:space="preserve"> (</w:t>
      </w:r>
      <w:r w:rsidR="00367BDB">
        <w:t xml:space="preserve">OBJ I, </w:t>
      </w:r>
      <w:r w:rsidR="08163013" w:rsidRPr="00273106">
        <w:t>kap. 2.3.2</w:t>
      </w:r>
      <w:r w:rsidR="08163013">
        <w:t>). U</w:t>
      </w:r>
      <w:r w:rsidR="08163013" w:rsidRPr="00273106">
        <w:t>vedená citace Avicennovy objek</w:t>
      </w:r>
      <w:r w:rsidR="08163013">
        <w:t xml:space="preserve">tivní „koňovitosti“ představuje hledané </w:t>
      </w:r>
      <w:r w:rsidR="08163013" w:rsidRPr="00273106">
        <w:rPr>
          <w:i/>
        </w:rPr>
        <w:t>ens ratum</w:t>
      </w:r>
      <w:r w:rsidR="08163013">
        <w:rPr>
          <w:i/>
        </w:rPr>
        <w:fldChar w:fldCharType="begin"/>
      </w:r>
      <w:r w:rsidR="08163013">
        <w:instrText xml:space="preserve"> XE "</w:instrText>
      </w:r>
      <w:r w:rsidR="08163013" w:rsidRPr="00B2798F">
        <w:rPr>
          <w:rStyle w:val="addmd"/>
          <w:i/>
        </w:rPr>
        <w:instrText>ens ratum:</w:instrText>
      </w:r>
      <w:r w:rsidR="08163013" w:rsidRPr="00404E1B">
        <w:rPr>
          <w:rStyle w:val="addmd"/>
        </w:rPr>
        <w:instrText>Scotus</w:instrText>
      </w:r>
      <w:r w:rsidR="08163013">
        <w:instrText xml:space="preserve">" </w:instrText>
      </w:r>
      <w:r w:rsidR="08163013">
        <w:rPr>
          <w:i/>
        </w:rPr>
        <w:fldChar w:fldCharType="end"/>
      </w:r>
      <w:r w:rsidR="08163013" w:rsidRPr="00273106">
        <w:t xml:space="preserve"> v jeho </w:t>
      </w:r>
      <w:r w:rsidR="08163013">
        <w:t xml:space="preserve">objektivním a pozitivním </w:t>
      </w:r>
      <w:r w:rsidR="08163013" w:rsidRPr="00273106">
        <w:t>výskytu ve stvoření</w:t>
      </w:r>
      <w:r w:rsidR="08163013">
        <w:t xml:space="preserve"> (</w:t>
      </w:r>
      <w:r w:rsidR="08163013" w:rsidRPr="08143E1D">
        <w:rPr>
          <w:i/>
        </w:rPr>
        <w:t>Vat</w:t>
      </w:r>
      <w:r w:rsidR="08163013">
        <w:t>. III, no. 324, p. 195.10‒14</w:t>
      </w:r>
      <w:r w:rsidR="08163013">
        <w:fldChar w:fldCharType="begin"/>
      </w:r>
      <w:r w:rsidR="08163013">
        <w:instrText xml:space="preserve"> XE "Scotus:</w:instrText>
      </w:r>
      <w:r w:rsidR="08163013" w:rsidRPr="00DF5D31">
        <w:rPr>
          <w:i/>
        </w:rPr>
        <w:instrText>Ordinatio</w:instrText>
      </w:r>
      <w:r w:rsidR="08163013" w:rsidRPr="00DF5D31">
        <w:instrText xml:space="preserve"> </w:instrText>
      </w:r>
      <w:r w:rsidR="08163013">
        <w:instrText>1.195</w:instrText>
      </w:r>
      <w:r w:rsidR="08163013" w:rsidRPr="00DF5D31">
        <w:instrText>.1</w:instrText>
      </w:r>
      <w:r w:rsidR="08163013">
        <w:instrText>0</w:instrText>
      </w:r>
      <w:r w:rsidR="08163013" w:rsidRPr="00DF5D31">
        <w:instrText>‒</w:instrText>
      </w:r>
      <w:r w:rsidR="08163013">
        <w:instrText xml:space="preserve">14" </w:instrText>
      </w:r>
      <w:r w:rsidR="08163013">
        <w:fldChar w:fldCharType="end"/>
      </w:r>
      <w:r w:rsidR="08163013">
        <w:t>)</w:t>
      </w:r>
      <w:r w:rsidR="08163013" w:rsidRPr="00273106">
        <w:t xml:space="preserve">. </w:t>
      </w:r>
      <w:r w:rsidR="004648C2">
        <w:t xml:space="preserve">Scotus </w:t>
      </w:r>
      <w:r w:rsidR="08163013">
        <w:t>naš</w:t>
      </w:r>
      <w:r w:rsidR="004648C2">
        <w:t>el</w:t>
      </w:r>
      <w:r w:rsidR="08163013">
        <w:t xml:space="preserve"> </w:t>
      </w:r>
      <w:r w:rsidR="08163013" w:rsidRPr="00273106">
        <w:t>první</w:t>
      </w:r>
      <w:r w:rsidR="08163013">
        <w:t xml:space="preserve">ho nositele </w:t>
      </w:r>
      <w:r w:rsidR="004648C2">
        <w:t>(</w:t>
      </w:r>
      <w:r w:rsidR="004648C2" w:rsidRPr="006279C5">
        <w:rPr>
          <w:i/>
        </w:rPr>
        <w:t>subiectum</w:t>
      </w:r>
      <w:r w:rsidR="004648C2">
        <w:rPr>
          <w:i/>
        </w:rPr>
        <w:fldChar w:fldCharType="begin"/>
      </w:r>
      <w:r w:rsidR="004648C2">
        <w:instrText xml:space="preserve"> XE "</w:instrText>
      </w:r>
      <w:r w:rsidR="004648C2" w:rsidRPr="00360013">
        <w:rPr>
          <w:i/>
        </w:rPr>
        <w:instrText>subiectum:</w:instrText>
      </w:r>
      <w:r w:rsidR="004648C2">
        <w:instrText xml:space="preserve">Scotus" </w:instrText>
      </w:r>
      <w:r w:rsidR="004648C2">
        <w:rPr>
          <w:i/>
        </w:rPr>
        <w:fldChar w:fldCharType="end"/>
      </w:r>
      <w:r w:rsidR="004648C2">
        <w:t xml:space="preserve">) </w:t>
      </w:r>
      <w:r w:rsidR="08163013">
        <w:t xml:space="preserve">metafyzického významu </w:t>
      </w:r>
      <w:r w:rsidR="004648C2">
        <w:t xml:space="preserve">jsoucna v jeho čisté </w:t>
      </w:r>
      <w:r w:rsidR="08163013">
        <w:t>jsouc</w:t>
      </w:r>
      <w:r w:rsidR="004648C2">
        <w:t>nosti</w:t>
      </w:r>
      <w:r w:rsidR="08163013">
        <w:t xml:space="preserve">. Nihilistický subjekt definovaný pouze rozdílem k nebytí nahradil aristotelskou druhou substanci. První averroismus by namítl stejně jako později Ockham, že </w:t>
      </w:r>
      <w:r w:rsidR="005D7F74">
        <w:t xml:space="preserve">takový „subjekt“ </w:t>
      </w:r>
      <w:r w:rsidR="08163013">
        <w:t xml:space="preserve">nelze </w:t>
      </w:r>
      <w:r w:rsidR="005D7F74">
        <w:t>dedukovat skrze impozici významu od reálných</w:t>
      </w:r>
      <w:r w:rsidR="08163013">
        <w:t xml:space="preserve"> </w:t>
      </w:r>
      <w:r w:rsidR="005D7F74">
        <w:t xml:space="preserve">prvních </w:t>
      </w:r>
      <w:r w:rsidR="08163013">
        <w:t>substanc</w:t>
      </w:r>
      <w:r w:rsidR="005D7F74">
        <w:t>í. Logická supozice se týká čehokoliv možného, protože logika není metafyzika.</w:t>
      </w:r>
    </w:p>
    <w:p w:rsidR="08163013" w:rsidRPr="084D0ABB" w:rsidRDefault="08163013" w:rsidP="00A272E4">
      <w:pPr>
        <w:ind w:firstLine="397"/>
      </w:pPr>
      <w:r>
        <w:t xml:space="preserve">Scotus se postavil na boží úroveň a navrhl pro reálný kámen novou metafyzickou pozici. Toto </w:t>
      </w:r>
      <w:r w:rsidRPr="00273106">
        <w:rPr>
          <w:i/>
        </w:rPr>
        <w:t>positum</w:t>
      </w:r>
      <w:r>
        <w:rPr>
          <w:i/>
        </w:rPr>
        <w:fldChar w:fldCharType="begin"/>
      </w:r>
      <w:r>
        <w:instrText xml:space="preserve"> XE "</w:instrText>
      </w:r>
      <w:r w:rsidRPr="00AE0AA5">
        <w:rPr>
          <w:rStyle w:val="st"/>
          <w:i/>
        </w:rPr>
        <w:instrText>positum</w:instrText>
      </w:r>
      <w:r>
        <w:instrText xml:space="preserve">" </w:instrText>
      </w:r>
      <w:r>
        <w:rPr>
          <w:i/>
        </w:rPr>
        <w:fldChar w:fldCharType="end"/>
      </w:r>
      <w:r w:rsidRPr="00273106">
        <w:t xml:space="preserve"> objektivního jsoucna směrem</w:t>
      </w:r>
      <w:r w:rsidR="00CD6F96">
        <w:t xml:space="preserve"> od boží vůle do stvoření řešil</w:t>
      </w:r>
      <w:r w:rsidRPr="00273106">
        <w:t xml:space="preserve"> </w:t>
      </w:r>
      <w:r w:rsidR="00CD6F96">
        <w:t xml:space="preserve">spis </w:t>
      </w:r>
      <w:r w:rsidR="008C2D4A" w:rsidRPr="008C2D4A">
        <w:rPr>
          <w:i/>
        </w:rPr>
        <w:t>Lectura I</w:t>
      </w:r>
      <w:r w:rsidRPr="00273106">
        <w:t xml:space="preserve">, viz předešlou kapitolu. </w:t>
      </w:r>
      <w:r w:rsidR="00896D98" w:rsidRPr="00896D98">
        <w:t xml:space="preserve">Pozdější dílo </w:t>
      </w:r>
      <w:r w:rsidR="00896D98" w:rsidRPr="00896D98">
        <w:rPr>
          <w:i/>
        </w:rPr>
        <w:t>Ordinatio I</w:t>
      </w:r>
      <w:r w:rsidR="00896D98" w:rsidRPr="00896D98">
        <w:t xml:space="preserve"> konstruuje metafyzický ekvivalent této exemplární objektivity v modu konečné objektivity ve stvoření </w:t>
      </w:r>
      <w:r w:rsidRPr="00273106">
        <w:t>(</w:t>
      </w:r>
      <w:r w:rsidRPr="00273106">
        <w:rPr>
          <w:i/>
        </w:rPr>
        <w:t>vestigium</w:t>
      </w:r>
      <w:r>
        <w:rPr>
          <w:i/>
        </w:rPr>
        <w:fldChar w:fldCharType="begin"/>
      </w:r>
      <w:r>
        <w:instrText xml:space="preserve"> XE "</w:instrText>
      </w:r>
      <w:r w:rsidRPr="00757030">
        <w:rPr>
          <w:i/>
        </w:rPr>
        <w:instrText>vestigium</w:instrText>
      </w:r>
      <w:r>
        <w:instrText xml:space="preserve">" </w:instrText>
      </w:r>
      <w:r>
        <w:rPr>
          <w:i/>
        </w:rPr>
        <w:fldChar w:fldCharType="end"/>
      </w:r>
      <w:r w:rsidRPr="00273106">
        <w:t xml:space="preserve">). </w:t>
      </w:r>
      <w:r>
        <w:t xml:space="preserve">V nové formě predikace významů za klasickými kategoriemi </w:t>
      </w:r>
      <w:r w:rsidRPr="00273106">
        <w:t xml:space="preserve">hraje </w:t>
      </w:r>
      <w:r>
        <w:t xml:space="preserve">tento minimální subjekt </w:t>
      </w:r>
      <w:r w:rsidRPr="00273106">
        <w:t>roli substance třetího druhu</w:t>
      </w:r>
      <w:r w:rsidR="005A49BB">
        <w:t xml:space="preserve">, která je </w:t>
      </w:r>
      <w:r w:rsidRPr="00273106">
        <w:t>oddělen</w:t>
      </w:r>
      <w:r w:rsidR="005A49BB">
        <w:t>a</w:t>
      </w:r>
      <w:r w:rsidRPr="00273106">
        <w:t xml:space="preserve"> od všech ostatních určení jsoucna. </w:t>
      </w:r>
      <w:r>
        <w:t xml:space="preserve">Nová </w:t>
      </w:r>
      <w:r w:rsidRPr="085128F2">
        <w:rPr>
          <w:i/>
        </w:rPr>
        <w:t>metaphysica transcendens</w:t>
      </w:r>
      <w:r>
        <w:t xml:space="preserve"> musela nově určit objektivní </w:t>
      </w:r>
      <w:r w:rsidRPr="00273106">
        <w:t>danost této substance</w:t>
      </w:r>
      <w:r w:rsidR="005C171A">
        <w:t xml:space="preserve"> na modernizovaný aristotelský způsob</w:t>
      </w:r>
      <w:r w:rsidR="0077585D">
        <w:t>, protože Scotus nebyl</w:t>
      </w:r>
      <w:r>
        <w:t xml:space="preserve"> platonik</w:t>
      </w:r>
      <w:r w:rsidRPr="00273106">
        <w:t xml:space="preserve">. </w:t>
      </w:r>
      <w:r>
        <w:t>Čistá l</w:t>
      </w:r>
      <w:r w:rsidRPr="00273106">
        <w:t>ogika nemůže založit</w:t>
      </w:r>
      <w:r w:rsidRPr="002E55B9">
        <w:t xml:space="preserve"> </w:t>
      </w:r>
      <w:r w:rsidRPr="00273106">
        <w:t>metafyziku</w:t>
      </w:r>
      <w:r>
        <w:t xml:space="preserve">, protože logická abstrakce nemá </w:t>
      </w:r>
      <w:r w:rsidRPr="00273106">
        <w:t xml:space="preserve">určení jsoucna </w:t>
      </w:r>
      <w:r>
        <w:t>z reality,</w:t>
      </w:r>
      <w:r w:rsidRPr="00273106">
        <w:t xml:space="preserve"> jako v případě </w:t>
      </w:r>
      <w:r>
        <w:t xml:space="preserve">metafyzického esenciálního </w:t>
      </w:r>
      <w:r w:rsidRPr="00273106">
        <w:t xml:space="preserve">určení </w:t>
      </w:r>
      <w:r w:rsidRPr="00273106">
        <w:rPr>
          <w:i/>
        </w:rPr>
        <w:t>ens inquantum ens</w:t>
      </w:r>
      <w:r>
        <w:rPr>
          <w:i/>
        </w:rPr>
        <w:fldChar w:fldCharType="begin"/>
      </w:r>
      <w:r>
        <w:instrText xml:space="preserve"> XE "</w:instrText>
      </w:r>
      <w:r w:rsidRPr="005424E2">
        <w:rPr>
          <w:i/>
        </w:rPr>
        <w:instrText>ens inquantum ens</w:instrText>
      </w:r>
      <w:r>
        <w:instrText xml:space="preserve">" </w:instrText>
      </w:r>
      <w:r>
        <w:rPr>
          <w:i/>
        </w:rPr>
        <w:fldChar w:fldCharType="end"/>
      </w:r>
      <w:r w:rsidR="00A87A7B">
        <w:t xml:space="preserve"> (kap. 5</w:t>
      </w:r>
      <w:r>
        <w:t xml:space="preserve">.3.1). Nová metafyzika transcenduje klasické Aristotelovy kategorie, </w:t>
      </w:r>
      <w:r w:rsidR="081942A4">
        <w:t xml:space="preserve">metafyzický </w:t>
      </w:r>
      <w:r>
        <w:t>dativ a realitu první substance. Proto musí Scotus provést dvojí typ ratifikace js</w:t>
      </w:r>
      <w:r w:rsidRPr="00273106">
        <w:t xml:space="preserve">oucího: nejprve v bohu a pak v reálu. </w:t>
      </w:r>
      <w:r>
        <w:t xml:space="preserve">Tato dvojí ratifikace jsoucna </w:t>
      </w:r>
      <w:r w:rsidRPr="00273106">
        <w:t xml:space="preserve">tvoří smysl jsoucna </w:t>
      </w:r>
      <w:r>
        <w:t xml:space="preserve">jako objektivního </w:t>
      </w:r>
      <w:r w:rsidRPr="00273106">
        <w:t>„něčeho“ (</w:t>
      </w:r>
      <w:r w:rsidRPr="00273106">
        <w:rPr>
          <w:i/>
        </w:rPr>
        <w:t>aliquitas</w:t>
      </w:r>
      <w:r>
        <w:rPr>
          <w:i/>
        </w:rPr>
        <w:fldChar w:fldCharType="begin"/>
      </w:r>
      <w:r>
        <w:instrText xml:space="preserve"> XE "</w:instrText>
      </w:r>
      <w:r w:rsidRPr="00D248E6">
        <w:rPr>
          <w:i/>
        </w:rPr>
        <w:instrText>aliquitas</w:instrText>
      </w:r>
      <w:r>
        <w:instrText xml:space="preserve">" </w:instrText>
      </w:r>
      <w:r>
        <w:rPr>
          <w:i/>
        </w:rPr>
        <w:fldChar w:fldCharType="end"/>
      </w:r>
      <w:r w:rsidRPr="00273106">
        <w:t xml:space="preserve">). </w:t>
      </w:r>
      <w:r>
        <w:t xml:space="preserve">Scotus našel plnou odpověď na Gandavovu ontoteologickou dedukci ve trojím modu </w:t>
      </w:r>
      <w:r w:rsidR="00830240">
        <w:t>„</w:t>
      </w:r>
      <w:r w:rsidRPr="08D738F5">
        <w:rPr>
          <w:i/>
        </w:rPr>
        <w:t>deus</w:t>
      </w:r>
      <w:r>
        <w:t xml:space="preserve"> </w:t>
      </w:r>
      <w:r w:rsidRPr="00CD5876">
        <w:rPr>
          <w:i/>
        </w:rPr>
        <w:t>creativus, creaturus et creans</w:t>
      </w:r>
      <w:r w:rsidR="00830240">
        <w:t>“</w:t>
      </w:r>
      <w:r w:rsidR="00A87A7B">
        <w:t xml:space="preserve"> (kap. 5</w:t>
      </w:r>
      <w:r>
        <w:t>.2.3).</w:t>
      </w:r>
      <w:r w:rsidRPr="087A02C5">
        <w:t xml:space="preserve"> </w:t>
      </w:r>
      <w:r w:rsidR="00830240">
        <w:t xml:space="preserve">Dedukce provedená v Paříži jako nová forma metafyzického </w:t>
      </w:r>
      <w:r w:rsidR="00830240" w:rsidRPr="00830240">
        <w:rPr>
          <w:i/>
        </w:rPr>
        <w:t>resolutio</w:t>
      </w:r>
      <w:r w:rsidR="00830240">
        <w:t xml:space="preserve"> metodicky shrnula</w:t>
      </w:r>
      <w:r w:rsidRPr="00273106">
        <w:t xml:space="preserve"> předešlé formy jsoucnosti</w:t>
      </w:r>
      <w:r>
        <w:t>,</w:t>
      </w:r>
      <w:r w:rsidRPr="00273106">
        <w:t xml:space="preserve"> a </w:t>
      </w:r>
      <w:r>
        <w:t xml:space="preserve">tím </w:t>
      </w:r>
      <w:r w:rsidR="00830240">
        <w:t>vytvořila</w:t>
      </w:r>
      <w:r w:rsidRPr="00273106">
        <w:t xml:space="preserve"> ucelený systém nové metafyziky. </w:t>
      </w:r>
      <w:r>
        <w:t>S</w:t>
      </w:r>
      <w:r w:rsidRPr="00273106">
        <w:t xml:space="preserve">yntéza </w:t>
      </w:r>
      <w:r>
        <w:t xml:space="preserve">kompletní objektivity směrem od boha </w:t>
      </w:r>
      <w:r w:rsidRPr="00273106">
        <w:t>vypadá následovně.</w:t>
      </w:r>
    </w:p>
    <w:p w:rsidR="08163013" w:rsidRPr="00436F1D" w:rsidRDefault="08163013" w:rsidP="08163013">
      <w:pPr>
        <w:pStyle w:val="Citace"/>
        <w:rPr>
          <w:noProof/>
          <w:lang w:val="cs-CZ"/>
        </w:rPr>
      </w:pPr>
      <w:r w:rsidRPr="00273106">
        <w:rPr>
          <w:noProof/>
          <w:lang w:val="cs-CZ"/>
        </w:rPr>
        <w:lastRenderedPageBreak/>
        <w:t>„</w:t>
      </w:r>
      <w:r>
        <w:rPr>
          <w:noProof/>
          <w:lang w:val="cs-CZ"/>
        </w:rPr>
        <w:t>První v řádu bytí je jsoucno, které je svým vlastním bytím, tedy bůh. Ve druhé instanci je kámen dán jako jisté jsoucno v jeho oddělenosti (</w:t>
      </w:r>
      <w:r w:rsidRPr="003B21D9">
        <w:rPr>
          <w:i/>
          <w:noProof/>
          <w:lang w:val="cs-CZ"/>
        </w:rPr>
        <w:t>ens ratum, absolutum</w:t>
      </w:r>
      <w:r>
        <w:rPr>
          <w:noProof/>
          <w:lang w:val="cs-CZ"/>
        </w:rPr>
        <w:t>), která není myšlena k ničemu jinému a k ničemu se nemůže vztahovat. Za třetí je dán vztah vzhledem k něčemu existujícímu (</w:t>
      </w:r>
      <w:r w:rsidRPr="00A838B8">
        <w:rPr>
          <w:i/>
          <w:noProof/>
        </w:rPr>
        <w:t>respectus quidam</w:t>
      </w:r>
      <w:r>
        <w:rPr>
          <w:noProof/>
          <w:lang w:val="cs-CZ"/>
        </w:rPr>
        <w:t>), což v tomto případě zakládá identitu reálného kamene.“ </w:t>
      </w:r>
      <w:r>
        <w:rPr>
          <w:rStyle w:val="Znakapoznpodarou"/>
        </w:rPr>
        <w:footnoteReference w:id="465"/>
      </w:r>
    </w:p>
    <w:p w:rsidR="08163013" w:rsidRDefault="08163013" w:rsidP="08163013">
      <w:r w:rsidRPr="00273106">
        <w:t xml:space="preserve">První krok </w:t>
      </w:r>
      <w:r>
        <w:t xml:space="preserve">mimo bytí boha </w:t>
      </w:r>
      <w:r w:rsidRPr="00273106">
        <w:t>ukazuje exemplární objektivitu v bohu, kde je primární přirozenost věci (</w:t>
      </w:r>
      <w:r w:rsidRPr="00273106">
        <w:rPr>
          <w:i/>
        </w:rPr>
        <w:t>in primo instanti naturae</w:t>
      </w:r>
      <w:r w:rsidRPr="00273106">
        <w:t xml:space="preserve">) </w:t>
      </w:r>
      <w:r>
        <w:t xml:space="preserve">dána </w:t>
      </w:r>
      <w:r w:rsidRPr="00273106">
        <w:t xml:space="preserve">v modu nekonečné, nutné a </w:t>
      </w:r>
      <w:r>
        <w:t xml:space="preserve">věčné identity. V této oddělené sféře boží nekonečnosti je </w:t>
      </w:r>
      <w:r w:rsidR="00A87A7B">
        <w:t xml:space="preserve">bytí věci založeno </w:t>
      </w:r>
      <w:r w:rsidR="006257A2">
        <w:t xml:space="preserve">v bytí boží ipseity </w:t>
      </w:r>
      <w:r w:rsidRPr="00273106">
        <w:t>absolutním způsobem</w:t>
      </w:r>
      <w:r>
        <w:t xml:space="preserve">, ale pro nás nepoznatelným </w:t>
      </w:r>
      <w:r w:rsidRPr="00273106">
        <w:t>(</w:t>
      </w:r>
      <w:r>
        <w:rPr>
          <w:i/>
        </w:rPr>
        <w:t xml:space="preserve">est ens quod est ipsum </w:t>
      </w:r>
      <w:r w:rsidRPr="00273106">
        <w:rPr>
          <w:i/>
        </w:rPr>
        <w:t>esse</w:t>
      </w:r>
      <w:r>
        <w:t>). J</w:t>
      </w:r>
      <w:r w:rsidRPr="00273106">
        <w:t xml:space="preserve">soucno je objektivní absolutním způsobem, protože jeho minimální míra jsoucnosti a čisté specifické identity </w:t>
      </w:r>
      <w:r>
        <w:t xml:space="preserve">dané v boží sféře deduktivní racionality </w:t>
      </w:r>
      <w:r w:rsidRPr="00273106">
        <w:t xml:space="preserve">jej odděluje od </w:t>
      </w:r>
      <w:r w:rsidR="00AE4D1A">
        <w:t>jaké</w:t>
      </w:r>
      <w:r w:rsidR="000318C2">
        <w:t>koliv jiné objektivní identity.</w:t>
      </w:r>
      <w:r>
        <w:t xml:space="preserve"> Protože racionální bytí kamene tvoří závě</w:t>
      </w:r>
      <w:r w:rsidR="00AE4D1A">
        <w:t xml:space="preserve">r deduktivního soudu, pak tato </w:t>
      </w:r>
      <w:r>
        <w:t>objektivní „ex</w:t>
      </w:r>
      <w:r w:rsidRPr="00273106">
        <w:t xml:space="preserve">sistence“ není </w:t>
      </w:r>
      <w:r>
        <w:t>neoplatonsk</w:t>
      </w:r>
      <w:r w:rsidRPr="00273106">
        <w:t xml:space="preserve">á emanace subsistentní </w:t>
      </w:r>
      <w:r>
        <w:t>boží esence</w:t>
      </w:r>
      <w:r w:rsidRPr="00273106">
        <w:t xml:space="preserve">. </w:t>
      </w:r>
      <w:r>
        <w:t xml:space="preserve">Na této úrovni vzniká koncept absolutně dané objektivity, která je dána v racionální sféře nutnosti oddělené jak od boží esence, tak od stvoření. </w:t>
      </w:r>
      <w:r w:rsidR="008F1D1C" w:rsidRPr="00273106">
        <w:t>Druhý modus shrnuje dosavadní dedukci nového typu objektivně jistého jsoucna</w:t>
      </w:r>
      <w:r w:rsidR="008F1D1C">
        <w:rPr>
          <w:i/>
        </w:rPr>
        <w:fldChar w:fldCharType="begin"/>
      </w:r>
      <w:r w:rsidR="008F1D1C">
        <w:instrText xml:space="preserve"> XE "</w:instrText>
      </w:r>
      <w:r w:rsidR="008F1D1C" w:rsidRPr="00B2798F">
        <w:rPr>
          <w:rStyle w:val="addmd"/>
          <w:i/>
        </w:rPr>
        <w:instrText>ens ratum:</w:instrText>
      </w:r>
      <w:r w:rsidR="008F1D1C">
        <w:instrText xml:space="preserve">Scotus" </w:instrText>
      </w:r>
      <w:r w:rsidR="008F1D1C">
        <w:rPr>
          <w:i/>
        </w:rPr>
        <w:fldChar w:fldCharType="end"/>
      </w:r>
      <w:r w:rsidR="008F1D1C" w:rsidRPr="00273106">
        <w:t xml:space="preserve">, které </w:t>
      </w:r>
      <w:r w:rsidR="008F1D1C">
        <w:t>přesahuje v modu objektivního „</w:t>
      </w:r>
      <w:r w:rsidR="008F1D1C" w:rsidRPr="00BF2496">
        <w:rPr>
          <w:i/>
        </w:rPr>
        <w:t>exsistere</w:t>
      </w:r>
      <w:r w:rsidR="008F1D1C">
        <w:t>“</w:t>
      </w:r>
      <w:r w:rsidR="008F1D1C">
        <w:rPr>
          <w:i/>
        </w:rPr>
        <w:fldChar w:fldCharType="begin"/>
      </w:r>
      <w:r w:rsidR="008F1D1C">
        <w:instrText xml:space="preserve"> XE "</w:instrText>
      </w:r>
      <w:r w:rsidR="008F1D1C" w:rsidRPr="008E07A9">
        <w:rPr>
          <w:i/>
        </w:rPr>
        <w:instrText>exsistere</w:instrText>
      </w:r>
      <w:r w:rsidR="008F1D1C">
        <w:instrText xml:space="preserve">" </w:instrText>
      </w:r>
      <w:r w:rsidR="008F1D1C">
        <w:rPr>
          <w:i/>
        </w:rPr>
        <w:fldChar w:fldCharType="end"/>
      </w:r>
      <w:r w:rsidR="008F1D1C" w:rsidRPr="00273106">
        <w:t xml:space="preserve"> z první </w:t>
      </w:r>
      <w:r w:rsidR="008F1D1C">
        <w:t xml:space="preserve">boží </w:t>
      </w:r>
      <w:r w:rsidR="008F1D1C" w:rsidRPr="00273106">
        <w:t xml:space="preserve">sféry do druhé </w:t>
      </w:r>
      <w:r w:rsidR="008F1D1C">
        <w:t xml:space="preserve">sféry ve stvoření </w:t>
      </w:r>
      <w:r w:rsidR="008F1D1C" w:rsidRPr="00273106">
        <w:t>(</w:t>
      </w:r>
      <w:r w:rsidR="008F1D1C" w:rsidRPr="00273106">
        <w:rPr>
          <w:i/>
        </w:rPr>
        <w:t>in secundo est lapis ens ratum</w:t>
      </w:r>
      <w:r w:rsidR="008F1D1C">
        <w:rPr>
          <w:i/>
        </w:rPr>
        <w:t>,</w:t>
      </w:r>
      <w:r w:rsidR="008F1D1C" w:rsidRPr="00273106">
        <w:rPr>
          <w:i/>
        </w:rPr>
        <w:t xml:space="preserve"> absolutum</w:t>
      </w:r>
      <w:r w:rsidR="008F1D1C" w:rsidRPr="00273106">
        <w:t xml:space="preserve">). </w:t>
      </w:r>
      <w:r>
        <w:t xml:space="preserve">Objektivita kamene je myšlena již mimo </w:t>
      </w:r>
      <w:r w:rsidR="00834133">
        <w:t>boží racionalitu</w:t>
      </w:r>
      <w:r w:rsidR="00C0684D">
        <w:t>, což formálně (ale ne metafyzicky) odpovídá definici exemplaru Bonaventury a Gandava</w:t>
      </w:r>
      <w:r>
        <w:t xml:space="preserve">. </w:t>
      </w:r>
      <w:r w:rsidR="002E762F">
        <w:t>Tato f</w:t>
      </w:r>
      <w:r>
        <w:t>orma objektivity je dána v modu racionální nutnosti dané dedukcí věčných pravd do stvoření (</w:t>
      </w:r>
      <w:r w:rsidRPr="00A838B8">
        <w:rPr>
          <w:i/>
        </w:rPr>
        <w:t>respectus quidam</w:t>
      </w:r>
      <w:r>
        <w:t xml:space="preserve">) skrze </w:t>
      </w:r>
      <w:r w:rsidRPr="00273106">
        <w:t xml:space="preserve">participaci kamene </w:t>
      </w:r>
      <w:r>
        <w:t xml:space="preserve">ve výše uvedeném modu </w:t>
      </w:r>
      <w:r w:rsidR="002E762F">
        <w:t>„</w:t>
      </w:r>
      <w:r w:rsidRPr="00436F1D">
        <w:rPr>
          <w:i/>
        </w:rPr>
        <w:t>per consequens</w:t>
      </w:r>
      <w:r w:rsidR="002E762F">
        <w:t>“</w:t>
      </w:r>
      <w:r>
        <w:t xml:space="preserve">. Tato objektivita již má pozitivní charakter, protože je vztažena primárně k sobě samé, a ne k boží racionalitě. Jsoucno se klade jako konečné a stvořené </w:t>
      </w:r>
      <w:r w:rsidRPr="08C22C00">
        <w:rPr>
          <w:i/>
        </w:rPr>
        <w:t>positum</w:t>
      </w:r>
      <w:r>
        <w:t xml:space="preserve"> a má z titulu takto kladené pozitivní jsoucnosti sebevztah ke své vlastní objektivní identitě. Exemplar ze druhé roviny objektivní emanace se stává pravdivě danou a proto pozitivní nutností v řádu božího poznání vázanou na reálnou existenci kamene </w:t>
      </w:r>
      <w:r w:rsidRPr="00273106">
        <w:t>(</w:t>
      </w:r>
      <w:r w:rsidRPr="00273106">
        <w:rPr>
          <w:i/>
        </w:rPr>
        <w:t>consequens ad ipsum lapidem</w:t>
      </w:r>
      <w:r w:rsidRPr="00273106">
        <w:t>).</w:t>
      </w:r>
      <w:r w:rsidR="003D28D3">
        <w:t xml:space="preserve"> Citát </w:t>
      </w:r>
      <w:r w:rsidRPr="00273106">
        <w:t>podává trojí obj</w:t>
      </w:r>
      <w:r w:rsidR="0024075F">
        <w:t xml:space="preserve">ektivitu určující celek jsoucí věci: </w:t>
      </w:r>
      <w:r w:rsidR="0024075F" w:rsidRPr="0024075F">
        <w:t>její abs</w:t>
      </w:r>
      <w:r w:rsidR="0024075F">
        <w:t>olutně dané bytí v bohu (</w:t>
      </w:r>
      <w:r w:rsidR="0024075F" w:rsidRPr="0024075F">
        <w:rPr>
          <w:i/>
        </w:rPr>
        <w:t>exemplar</w:t>
      </w:r>
      <w:r w:rsidR="0024075F">
        <w:t>)</w:t>
      </w:r>
      <w:r w:rsidR="0024075F" w:rsidRPr="0024075F">
        <w:t>; objektivně dané bytí v jeho sylogistickém myšlení (</w:t>
      </w:r>
      <w:r w:rsidR="0024075F" w:rsidRPr="0024075F">
        <w:rPr>
          <w:i/>
        </w:rPr>
        <w:t>vestigium</w:t>
      </w:r>
      <w:r w:rsidR="0024075F" w:rsidRPr="0024075F">
        <w:t xml:space="preserve">); relativně participující bytí jako objektivně nutné bytí, které poznáváme v myšlení skrze </w:t>
      </w:r>
      <w:r w:rsidR="0024075F" w:rsidRPr="0024075F">
        <w:rPr>
          <w:i/>
        </w:rPr>
        <w:t>positum</w:t>
      </w:r>
      <w:r w:rsidR="0024075F" w:rsidRPr="0024075F">
        <w:t xml:space="preserve"> skutečné věci (</w:t>
      </w:r>
      <w:r w:rsidR="0024075F" w:rsidRPr="0024075F">
        <w:rPr>
          <w:i/>
        </w:rPr>
        <w:t>imago</w:t>
      </w:r>
      <w:r w:rsidR="0024075F" w:rsidRPr="0024075F">
        <w:t>).</w:t>
      </w:r>
      <w:r w:rsidR="0024075F">
        <w:t xml:space="preserve"> </w:t>
      </w:r>
      <w:r>
        <w:t xml:space="preserve">Tyto tři druhy zakládání objektivního </w:t>
      </w:r>
      <w:r w:rsidRPr="08E01DC9">
        <w:rPr>
          <w:i/>
        </w:rPr>
        <w:t>ens ratum</w:t>
      </w:r>
      <w:r>
        <w:t xml:space="preserve"> (exemplární, vestiginální, pozitivní) tvoří jeden </w:t>
      </w:r>
      <w:r>
        <w:lastRenderedPageBreak/>
        <w:t>univoční celek metafyzické dedukce</w:t>
      </w:r>
      <w:r w:rsidR="007B5339">
        <w:t xml:space="preserve">. Scotus nastínil způsob, „jak“ (viz </w:t>
      </w:r>
      <w:r w:rsidR="007B5339" w:rsidRPr="007B5339">
        <w:rPr>
          <w:i/>
        </w:rPr>
        <w:t>hermeneutisches Wie</w:t>
      </w:r>
      <w:r w:rsidR="007B5339" w:rsidRPr="007B5339">
        <w:t xml:space="preserve">) přichází původní objektivita Boha (a ne v Bohu) </w:t>
      </w:r>
      <w:r w:rsidR="007B5339">
        <w:t xml:space="preserve">do </w:t>
      </w:r>
      <w:r w:rsidR="007B5339" w:rsidRPr="007B5339">
        <w:t xml:space="preserve">stvoření. </w:t>
      </w:r>
      <w:r>
        <w:t>Tím je boží my</w:t>
      </w:r>
      <w:r w:rsidR="00D73106">
        <w:t>šlení manifestované ve stvoření</w:t>
      </w:r>
      <w:r w:rsidR="000C562F">
        <w:t xml:space="preserve">, které </w:t>
      </w:r>
      <w:r w:rsidR="006E25CE">
        <w:t xml:space="preserve">tvoří </w:t>
      </w:r>
      <w:r>
        <w:t>spekulativní obraz boží objektivní racionality</w:t>
      </w:r>
      <w:r w:rsidRPr="00273106">
        <w:t xml:space="preserve">. Tímto výčtem a vzájemnou závislostí výše uvedeného trinitárního smyslu jsoucího </w:t>
      </w:r>
      <w:r>
        <w:t>(</w:t>
      </w:r>
      <w:r w:rsidRPr="08E01DC9">
        <w:rPr>
          <w:i/>
        </w:rPr>
        <w:t>exemplar</w:t>
      </w:r>
      <w:r>
        <w:t xml:space="preserve">, </w:t>
      </w:r>
      <w:r w:rsidRPr="08E01DC9">
        <w:rPr>
          <w:i/>
        </w:rPr>
        <w:t>vestigium</w:t>
      </w:r>
      <w:r>
        <w:fldChar w:fldCharType="begin"/>
      </w:r>
      <w:r>
        <w:instrText xml:space="preserve"> XE "</w:instrText>
      </w:r>
      <w:r w:rsidRPr="00757030">
        <w:rPr>
          <w:i/>
        </w:rPr>
        <w:instrText>vestigium</w:instrText>
      </w:r>
      <w:r>
        <w:instrText xml:space="preserve">" </w:instrText>
      </w:r>
      <w:r>
        <w:fldChar w:fldCharType="end"/>
      </w:r>
      <w:r>
        <w:t xml:space="preserve">, </w:t>
      </w:r>
      <w:r w:rsidRPr="08E01DC9">
        <w:rPr>
          <w:i/>
        </w:rPr>
        <w:t>imago</w:t>
      </w:r>
      <w:r>
        <w:t xml:space="preserve">) </w:t>
      </w:r>
      <w:r w:rsidRPr="00273106">
        <w:t>v</w:t>
      </w:r>
      <w:r>
        <w:t xml:space="preserve">znikla nová metafyzika Západu. </w:t>
      </w:r>
      <w:r w:rsidR="000C562F" w:rsidRPr="000C562F">
        <w:t xml:space="preserve">Původní podobu této objektivity </w:t>
      </w:r>
      <w:r w:rsidR="000C562F">
        <w:t xml:space="preserve">prosadil první aristotelik falsafy </w:t>
      </w:r>
      <w:r w:rsidR="000C562F" w:rsidRPr="000C562F">
        <w:t xml:space="preserve">Al-Fárábí </w:t>
      </w:r>
      <w:r w:rsidR="000C562F">
        <w:t>proti neoplatonikovi Al-Kindímu. Scotův přímý předchůdce je křesťanský trinitární filosof Ibn Á</w:t>
      </w:r>
      <w:r w:rsidR="000C562F" w:rsidRPr="000C562F">
        <w:t>dí, který byl prvním spekulativním aristo</w:t>
      </w:r>
      <w:r w:rsidR="000C562F">
        <w:t>telikem B</w:t>
      </w:r>
      <w:r w:rsidR="000C562F" w:rsidRPr="000C562F">
        <w:t xml:space="preserve">agdádské univerzity (OBJ I, kap. 2.2). </w:t>
      </w:r>
      <w:r>
        <w:t xml:space="preserve">Spis </w:t>
      </w:r>
      <w:r w:rsidR="008C2D4A" w:rsidRPr="008C2D4A">
        <w:rPr>
          <w:i/>
        </w:rPr>
        <w:t>Ordinatio I</w:t>
      </w:r>
      <w:r>
        <w:t xml:space="preserve"> d</w:t>
      </w:r>
      <w:r w:rsidRPr="00273106">
        <w:t xml:space="preserve">okončil </w:t>
      </w:r>
      <w:r w:rsidR="000C562F">
        <w:t xml:space="preserve">stavbu </w:t>
      </w:r>
      <w:r w:rsidRPr="00273106">
        <w:t>první filosofi</w:t>
      </w:r>
      <w:r w:rsidR="000C562F">
        <w:t>e</w:t>
      </w:r>
      <w:r w:rsidR="00F05872">
        <w:t xml:space="preserve">. Scotus </w:t>
      </w:r>
      <w:r w:rsidRPr="00273106">
        <w:t xml:space="preserve">založil </w:t>
      </w:r>
      <w:r w:rsidR="00E90DC7">
        <w:t xml:space="preserve">novou </w:t>
      </w:r>
      <w:r w:rsidRPr="00273106">
        <w:t xml:space="preserve">metafyziku </w:t>
      </w:r>
      <w:r w:rsidRPr="00273106">
        <w:rPr>
          <w:i/>
        </w:rPr>
        <w:t>Modernorum</w:t>
      </w:r>
      <w:r w:rsidRPr="00273106">
        <w:t xml:space="preserve"> </w:t>
      </w:r>
      <w:r w:rsidR="000C562F">
        <w:t>skrze změněný</w:t>
      </w:r>
      <w:r w:rsidRPr="00273106">
        <w:t xml:space="preserve"> statu</w:t>
      </w:r>
      <w:r w:rsidR="000C562F">
        <w:t>s</w:t>
      </w:r>
      <w:r w:rsidRPr="00273106">
        <w:t xml:space="preserve"> </w:t>
      </w:r>
      <w:r w:rsidR="000C562F">
        <w:t>plně obje</w:t>
      </w:r>
      <w:r w:rsidR="006F456F">
        <w:t>k</w:t>
      </w:r>
      <w:r w:rsidR="000C562F">
        <w:t>tivní s</w:t>
      </w:r>
      <w:r w:rsidRPr="00273106">
        <w:t>ubstance.</w:t>
      </w:r>
      <w:r>
        <w:t xml:space="preserve"> </w:t>
      </w:r>
    </w:p>
    <w:p w:rsidR="08163013" w:rsidRDefault="08163013" w:rsidP="08163013">
      <w:r>
        <w:tab/>
      </w:r>
      <w:r w:rsidRPr="00273106">
        <w:t xml:space="preserve">Poslední část </w:t>
      </w:r>
      <w:r w:rsidR="008C2D4A" w:rsidRPr="008C2D4A">
        <w:rPr>
          <w:i/>
        </w:rPr>
        <w:t>Ordinatio I</w:t>
      </w:r>
      <w:r w:rsidRPr="00273106">
        <w:t xml:space="preserve"> se věnuje lidskému poznání takto dané obj</w:t>
      </w:r>
      <w:r>
        <w:t xml:space="preserve">ektivity v našem intelektu, což pojednává </w:t>
      </w:r>
      <w:r w:rsidRPr="00273106">
        <w:t xml:space="preserve">traktát </w:t>
      </w:r>
      <w:r w:rsidRPr="00273106">
        <w:rPr>
          <w:i/>
        </w:rPr>
        <w:t>De imagine</w:t>
      </w:r>
      <w:r w:rsidRPr="00273106">
        <w:t xml:space="preserve">. Scotus musí </w:t>
      </w:r>
      <w:r>
        <w:t xml:space="preserve">vytvořit novou </w:t>
      </w:r>
      <w:r w:rsidRPr="00273106">
        <w:t>teorii poznání</w:t>
      </w:r>
      <w:r>
        <w:t xml:space="preserve">, která vezme objektivní vlastnosti čistě formálního a potenciálního božího </w:t>
      </w:r>
      <w:r w:rsidRPr="00480B97">
        <w:rPr>
          <w:i/>
        </w:rPr>
        <w:t>scibile</w:t>
      </w:r>
      <w:r>
        <w:rPr>
          <w:i/>
        </w:rPr>
        <w:fldChar w:fldCharType="begin"/>
      </w:r>
      <w:r>
        <w:instrText xml:space="preserve"> XE "</w:instrText>
      </w:r>
      <w:r w:rsidRPr="00AA4F67">
        <w:rPr>
          <w:i/>
        </w:rPr>
        <w:instrText>scibile</w:instrText>
      </w:r>
      <w:r>
        <w:instrText xml:space="preserve">:Scotus" </w:instrText>
      </w:r>
      <w:r>
        <w:rPr>
          <w:i/>
        </w:rPr>
        <w:fldChar w:fldCharType="end"/>
      </w:r>
      <w:r>
        <w:t xml:space="preserve"> a dá je do schématu poznání podle prvního averroismu daného jako </w:t>
      </w:r>
      <w:r w:rsidRPr="083D7F7A">
        <w:rPr>
          <w:i/>
        </w:rPr>
        <w:t>tabula rasa</w:t>
      </w:r>
      <w:r>
        <w:t xml:space="preserve">. Ze druhého averroismu Scotus podrží model přímého nazírání skrze avicennovskou denudaci. Spojením obou škol vznikne nová forma objektivního náhledu. </w:t>
      </w:r>
      <w:r w:rsidR="00CC0881" w:rsidRPr="00CC0881">
        <w:t xml:space="preserve">Duše poznává objektivní předmět přímo a bez fantasmat, protože je dán v modu intencionálního bytí jako potenciální univerzální věc. Předchozí dedukce předmětnosti v modu přímé univerzální kauzality, která byla vložena do duše jako </w:t>
      </w:r>
      <w:r w:rsidR="00CC0881" w:rsidRPr="00CC0881">
        <w:rPr>
          <w:i/>
        </w:rPr>
        <w:t>tabula rasa</w:t>
      </w:r>
      <w:r w:rsidR="00CC0881" w:rsidRPr="00CC0881">
        <w:t>, naznačuje nový způsob poznávání</w:t>
      </w:r>
      <w:r w:rsidR="00CC0881">
        <w:t xml:space="preserve"> univerzálních významů (kap. 5</w:t>
      </w:r>
      <w:r>
        <w:t>.3.1). Následující citát ukazuje schéma objektivního poznání skrze synkretismus prvního a druhého averroismu.</w:t>
      </w:r>
    </w:p>
    <w:p w:rsidR="08163013" w:rsidRDefault="08163013" w:rsidP="08163013">
      <w:pPr>
        <w:pStyle w:val="Citace"/>
      </w:pPr>
      <w:r>
        <w:t>„</w:t>
      </w:r>
      <w:r>
        <w:rPr>
          <w:lang w:val="cs-CZ"/>
        </w:rPr>
        <w:t xml:space="preserve">Z toho je zřejmé, že </w:t>
      </w:r>
      <w:r>
        <w:t xml:space="preserve">intelekt může </w:t>
      </w:r>
      <w:r>
        <w:rPr>
          <w:lang w:val="cs-CZ"/>
        </w:rPr>
        <w:t xml:space="preserve">poznat </w:t>
      </w:r>
      <w:r>
        <w:t>univerzália</w:t>
      </w:r>
      <w:r>
        <w:rPr>
          <w:lang w:val="cs-CZ"/>
        </w:rPr>
        <w:t xml:space="preserve">, a </w:t>
      </w:r>
      <w:r>
        <w:t xml:space="preserve">pak platí tato propozice: 'intelekt může uchopit </w:t>
      </w:r>
      <w:r>
        <w:rPr>
          <w:lang w:val="cs-CZ"/>
        </w:rPr>
        <w:t xml:space="preserve">poznaný </w:t>
      </w:r>
      <w:r>
        <w:t xml:space="preserve">předmět </w:t>
      </w:r>
      <w:r>
        <w:rPr>
          <w:lang w:val="cs-CZ"/>
        </w:rPr>
        <w:t xml:space="preserve">v aktu univerzálního </w:t>
      </w:r>
      <w:r>
        <w:t>poznání</w:t>
      </w:r>
      <w:r>
        <w:rPr>
          <w:lang w:val="cs-CZ"/>
        </w:rPr>
        <w:t xml:space="preserve"> a tento akt je </w:t>
      </w:r>
      <w:r>
        <w:t xml:space="preserve">skrze </w:t>
      </w:r>
      <w:r>
        <w:rPr>
          <w:lang w:val="cs-CZ"/>
        </w:rPr>
        <w:t xml:space="preserve">sebe přítomný v </w:t>
      </w:r>
      <w:r>
        <w:t>jeho definic</w:t>
      </w:r>
      <w:r>
        <w:rPr>
          <w:lang w:val="cs-CZ"/>
        </w:rPr>
        <w:t>i</w:t>
      </w:r>
      <w:r>
        <w:t xml:space="preserve"> </w:t>
      </w:r>
      <w:r>
        <w:rPr>
          <w:lang w:val="cs-CZ"/>
        </w:rPr>
        <w:t xml:space="preserve">poznaného objektu </w:t>
      </w:r>
      <w:r>
        <w:t>(</w:t>
      </w:r>
      <w:r w:rsidRPr="00D6140C">
        <w:rPr>
          <w:i/>
        </w:rPr>
        <w:t>in ratione obiecti</w:t>
      </w:r>
      <w:r>
        <w:t>)</w:t>
      </w:r>
      <w:r>
        <w:rPr>
          <w:lang w:val="cs-CZ"/>
        </w:rPr>
        <w:t xml:space="preserve"> a to dříve, než poznává reálné věci'</w:t>
      </w:r>
      <w:r>
        <w:t>. Tím si intelekt uvědomuje sám sebe (</w:t>
      </w:r>
      <w:r w:rsidRPr="00D6140C">
        <w:rPr>
          <w:i/>
        </w:rPr>
        <w:t>per se sibi praesens</w:t>
      </w:r>
      <w:r>
        <w:t xml:space="preserve">), protože přirozeně poznává něco jiného dříve, než sám sebe. Z toho vyplývá, že intelekt má nejprve předmět poznání dán v inteligibilní </w:t>
      </w:r>
      <w:r w:rsidR="00962190">
        <w:rPr>
          <w:i/>
        </w:rPr>
        <w:t>species</w:t>
      </w:r>
      <w:r>
        <w:t xml:space="preserve">, a proto má </w:t>
      </w:r>
      <w:r>
        <w:rPr>
          <w:lang w:val="cs-CZ"/>
        </w:rPr>
        <w:t xml:space="preserve">v aktu poznání nejprve poznání </w:t>
      </w:r>
      <w:r>
        <w:t xml:space="preserve">této </w:t>
      </w:r>
      <w:r w:rsidR="00962190">
        <w:rPr>
          <w:i/>
        </w:rPr>
        <w:t>species</w:t>
      </w:r>
      <w:r>
        <w:t>.“ </w:t>
      </w:r>
      <w:r w:rsidRPr="00273106">
        <w:rPr>
          <w:rStyle w:val="Znakapoznpodarou"/>
        </w:rPr>
        <w:footnoteReference w:id="466"/>
      </w:r>
    </w:p>
    <w:p w:rsidR="00ED13D6" w:rsidRDefault="08163013" w:rsidP="08163013">
      <w:r>
        <w:lastRenderedPageBreak/>
        <w:t xml:space="preserve">Scotus klasifikuje objektivní jsoucno jako </w:t>
      </w:r>
      <w:r w:rsidR="00962190">
        <w:rPr>
          <w:i/>
        </w:rPr>
        <w:t>species</w:t>
      </w:r>
      <w:r w:rsidRPr="00CC77F8">
        <w:rPr>
          <w:i/>
        </w:rPr>
        <w:t xml:space="preserve"> intelligibilis</w:t>
      </w:r>
      <w:r>
        <w:rPr>
          <w:i/>
        </w:rPr>
        <w:fldChar w:fldCharType="begin"/>
      </w:r>
      <w:r>
        <w:instrText xml:space="preserve"> XE "</w:instrText>
      </w:r>
      <w:r w:rsidRPr="00DD403C">
        <w:rPr>
          <w:i/>
        </w:rPr>
        <w:instrText>species intelligibilis:</w:instrText>
      </w:r>
      <w:r>
        <w:instrText xml:space="preserve">Scotus" </w:instrText>
      </w:r>
      <w:r>
        <w:rPr>
          <w:i/>
        </w:rPr>
        <w:fldChar w:fldCharType="end"/>
      </w:r>
      <w:r>
        <w:t xml:space="preserve"> podle prvního averroismu. Pak nemá žádný problém s tím, aby vzal poznání skrze nasvícení smyslu jsoucna zepředu, ale přitom použil kompletní avicennovské nasvícení smyslu jsoucna zezadu. Pak je jasné, že musí vyloučit aktualizaci tohoto poznání pouze ze smyslů, protože jinak by musel nechat působit ve schématu objektivního poznání pouze aristotelskou abstrakci, a ne avicennistickou denudaci. Z prvního averroismu Scotus nechal fakt, že poznáváme objektivitu od inteligibilní </w:t>
      </w:r>
      <w:r w:rsidR="00962190">
        <w:rPr>
          <w:i/>
        </w:rPr>
        <w:t>species</w:t>
      </w:r>
      <w:r>
        <w:t xml:space="preserve">, která není dána reálně, ale pouze jako intencionální předmět v mysli. Objektivní poznání dané v modu objektivní pozitivity se rozešlo ze schématem druhého averroismu, který odmítl základní strukturu poznání podle </w:t>
      </w:r>
      <w:r w:rsidRPr="00E23FC9">
        <w:rPr>
          <w:i/>
        </w:rPr>
        <w:t>De anima</w:t>
      </w:r>
      <w:r>
        <w:t xml:space="preserve">. Scotův intelekt je primárně pasivní, proto musí být aktualizován z aktuální objektivní </w:t>
      </w:r>
      <w:r w:rsidR="00962190">
        <w:rPr>
          <w:i/>
        </w:rPr>
        <w:t>species</w:t>
      </w:r>
      <w:r>
        <w:t xml:space="preserve">, která skrze dedukci přichází do poznání zvnějšku. Tato objektivní </w:t>
      </w:r>
      <w:r w:rsidR="00962190">
        <w:rPr>
          <w:i/>
        </w:rPr>
        <w:t>species</w:t>
      </w:r>
      <w:r>
        <w:t xml:space="preserve"> nejde z první substance jako v prvním averroismu, protože intelektem primárně nazíráme boží racionalitu danou ve stvoření (</w:t>
      </w:r>
      <w:r w:rsidRPr="00887253">
        <w:rPr>
          <w:i/>
        </w:rPr>
        <w:t>vestigium</w:t>
      </w:r>
      <w:r>
        <w:rPr>
          <w:i/>
        </w:rPr>
        <w:fldChar w:fldCharType="begin"/>
      </w:r>
      <w:r>
        <w:instrText xml:space="preserve"> XE "</w:instrText>
      </w:r>
      <w:r w:rsidRPr="00757030">
        <w:rPr>
          <w:i/>
        </w:rPr>
        <w:instrText>vestigium</w:instrText>
      </w:r>
      <w:r>
        <w:instrText xml:space="preserve">" </w:instrText>
      </w:r>
      <w:r>
        <w:rPr>
          <w:i/>
        </w:rPr>
        <w:fldChar w:fldCharType="end"/>
      </w:r>
      <w:r>
        <w:t xml:space="preserve">). Aktualita imaga jde z první reálné substance směrem k boží racionalitě, která funguje jako objektivní příčina pro esenciální náhled stvořeného jsoucna. Scotus vyloučil z objektivity smyslové poznání, které bylo pro první averroismus základním zdrojem aktuality pro adekvaci věci, smyslů a intelektu. Moderna primárně nepotřebuje aktualitu poznání z reality, protože objektivní </w:t>
      </w:r>
      <w:r w:rsidR="00962190" w:rsidRPr="00F121C7">
        <w:t>species</w:t>
      </w:r>
      <w:r>
        <w:t xml:space="preserve"> je univerzálie původně daná v boží mysli</w:t>
      </w:r>
      <w:r w:rsidR="00F121C7">
        <w:t xml:space="preserve">. </w:t>
      </w:r>
      <w:r w:rsidR="00F121C7" w:rsidRPr="00F121C7">
        <w:t xml:space="preserve">Lidský intelekt jedná objektivně a kauzálně prostřednictvím nutně dané božské racionality, která je přítomna ve stvoření. </w:t>
      </w:r>
      <w:r w:rsidRPr="00273106">
        <w:t xml:space="preserve">Předešlé části jasně ukázaly, že poznání čistých </w:t>
      </w:r>
      <w:r w:rsidR="00962190">
        <w:rPr>
          <w:i/>
        </w:rPr>
        <w:t>species</w:t>
      </w:r>
      <w:r w:rsidRPr="00273106">
        <w:t xml:space="preserve"> daných </w:t>
      </w:r>
      <w:r w:rsidRPr="00273106">
        <w:rPr>
          <w:i/>
        </w:rPr>
        <w:t>simpliciter</w:t>
      </w:r>
      <w:r w:rsidRPr="00273106">
        <w:t xml:space="preserve"> probíhá na objektivní rovině primárníh</w:t>
      </w:r>
      <w:r>
        <w:t>o určení jsoucna mimo fan</w:t>
      </w:r>
      <w:r w:rsidRPr="00273106">
        <w:t>tasmata. Viz schéma</w:t>
      </w:r>
      <w:r>
        <w:t xml:space="preserve"> předešlé kapitoly v kategoriálním modu </w:t>
      </w:r>
      <w:r w:rsidR="000B74C0">
        <w:t>„</w:t>
      </w:r>
      <w:r w:rsidRPr="00273106">
        <w:rPr>
          <w:i/>
        </w:rPr>
        <w:t>resolutio in quid</w:t>
      </w:r>
      <w:r w:rsidR="000B74C0">
        <w:t>“</w:t>
      </w:r>
      <w:r>
        <w:rPr>
          <w:i/>
        </w:rPr>
        <w:fldChar w:fldCharType="begin"/>
      </w:r>
      <w:r>
        <w:instrText xml:space="preserve"> XE "</w:instrText>
      </w:r>
      <w:r w:rsidRPr="00111E9E">
        <w:rPr>
          <w:i/>
        </w:rPr>
        <w:instrText>resolutio</w:instrText>
      </w:r>
      <w:r>
        <w:rPr>
          <w:i/>
        </w:rPr>
        <w:instrText>:in quid</w:instrText>
      </w:r>
      <w:r>
        <w:instrText xml:space="preserve">" </w:instrText>
      </w:r>
      <w:r>
        <w:rPr>
          <w:i/>
        </w:rPr>
        <w:fldChar w:fldCharType="end"/>
      </w:r>
      <w:r w:rsidRPr="00273106">
        <w:t>, k</w:t>
      </w:r>
      <w:r>
        <w:t xml:space="preserve">teré je determinované náhledem </w:t>
      </w:r>
      <w:r w:rsidR="000B74C0">
        <w:t>„</w:t>
      </w:r>
      <w:r w:rsidRPr="00273106">
        <w:rPr>
          <w:i/>
        </w:rPr>
        <w:t>conceptus simpliciter simplex</w:t>
      </w:r>
      <w:r w:rsidR="000B74C0">
        <w:t>“</w:t>
      </w:r>
      <w:r>
        <w:rPr>
          <w:i/>
        </w:rPr>
        <w:fldChar w:fldCharType="begin"/>
      </w:r>
      <w:r>
        <w:instrText xml:space="preserve"> XE "</w:instrText>
      </w:r>
      <w:r w:rsidRPr="00FF6A6C">
        <w:rPr>
          <w:i/>
        </w:rPr>
        <w:instrText>conceptus simpliciter simplex</w:instrText>
      </w:r>
      <w:r>
        <w:instrText xml:space="preserve">" </w:instrText>
      </w:r>
      <w:r>
        <w:rPr>
          <w:i/>
        </w:rPr>
        <w:fldChar w:fldCharType="end"/>
      </w:r>
      <w:r w:rsidR="00ED13D6">
        <w:t>.</w:t>
      </w:r>
    </w:p>
    <w:p w:rsidR="00BF3C09" w:rsidRDefault="08163013" w:rsidP="00ED13D6">
      <w:pPr>
        <w:ind w:firstLine="397"/>
      </w:pPr>
      <w:r w:rsidRPr="00273106">
        <w:t xml:space="preserve">Z výše uvedeného postavení boha jako primární </w:t>
      </w:r>
      <w:r w:rsidR="005B1CC4">
        <w:t xml:space="preserve">příčiny </w:t>
      </w:r>
      <w:r w:rsidRPr="00273106">
        <w:t xml:space="preserve">poznání je jasné, že Scotus má univerzální </w:t>
      </w:r>
      <w:r w:rsidR="00962190" w:rsidRPr="000B74C0">
        <w:t>species</w:t>
      </w:r>
      <w:r w:rsidRPr="00273106">
        <w:t xml:space="preserve"> </w:t>
      </w:r>
      <w:r>
        <w:t xml:space="preserve">jako </w:t>
      </w:r>
      <w:r w:rsidRPr="000B482E">
        <w:rPr>
          <w:i/>
        </w:rPr>
        <w:t>imago</w:t>
      </w:r>
      <w:r>
        <w:t xml:space="preserve">, které je </w:t>
      </w:r>
      <w:r w:rsidRPr="00273106">
        <w:t xml:space="preserve">od počátku </w:t>
      </w:r>
      <w:r>
        <w:t>přítomné</w:t>
      </w:r>
      <w:r w:rsidRPr="00273106">
        <w:t xml:space="preserve"> v poznávacím aktu v modu </w:t>
      </w:r>
      <w:r>
        <w:t xml:space="preserve">objektivně dané </w:t>
      </w:r>
      <w:r w:rsidRPr="00273106">
        <w:t xml:space="preserve">aktuality. Jinak by nebylo možno určit </w:t>
      </w:r>
      <w:r>
        <w:t xml:space="preserve">žádnou </w:t>
      </w:r>
      <w:r w:rsidRPr="00273106">
        <w:t>jsoucnost v modu ratifikované reality (</w:t>
      </w:r>
      <w:r w:rsidRPr="00273106">
        <w:rPr>
          <w:i/>
        </w:rPr>
        <w:t>ens ratum</w:t>
      </w:r>
      <w:r>
        <w:rPr>
          <w:i/>
        </w:rPr>
        <w:fldChar w:fldCharType="begin"/>
      </w:r>
      <w:r>
        <w:instrText xml:space="preserve"> XE "</w:instrText>
      </w:r>
      <w:r w:rsidRPr="00B2798F">
        <w:rPr>
          <w:rStyle w:val="addmd"/>
          <w:i/>
        </w:rPr>
        <w:instrText>ens ratum:</w:instrText>
      </w:r>
      <w:r>
        <w:instrText xml:space="preserve">Scotus" </w:instrText>
      </w:r>
      <w:r>
        <w:rPr>
          <w:i/>
        </w:rPr>
        <w:fldChar w:fldCharType="end"/>
      </w:r>
      <w:r w:rsidRPr="00273106">
        <w:t xml:space="preserve">). </w:t>
      </w:r>
      <w:r>
        <w:t xml:space="preserve">Termín </w:t>
      </w:r>
      <w:r w:rsidR="00972E2D">
        <w:t>„</w:t>
      </w:r>
      <w:r w:rsidRPr="00273106">
        <w:rPr>
          <w:i/>
        </w:rPr>
        <w:t>receptio intellectionis</w:t>
      </w:r>
      <w:r w:rsidR="00972E2D">
        <w:t>“</w:t>
      </w:r>
      <w:r w:rsidRPr="00273106">
        <w:t xml:space="preserve"> ukazuje </w:t>
      </w:r>
      <w:r>
        <w:t xml:space="preserve">primární </w:t>
      </w:r>
      <w:r w:rsidRPr="00273106">
        <w:t xml:space="preserve">roli </w:t>
      </w:r>
      <w:r w:rsidRPr="00273106">
        <w:rPr>
          <w:i/>
        </w:rPr>
        <w:t>intellectus agens</w:t>
      </w:r>
      <w:r>
        <w:rPr>
          <w:i/>
        </w:rPr>
        <w:fldChar w:fldCharType="begin"/>
      </w:r>
      <w:r>
        <w:instrText xml:space="preserve"> XE "</w:instrText>
      </w:r>
      <w:r w:rsidRPr="00490D32">
        <w:rPr>
          <w:i/>
        </w:rPr>
        <w:instrText>intellectus agens:</w:instrText>
      </w:r>
      <w:r>
        <w:instrText xml:space="preserve">Scotus" </w:instrText>
      </w:r>
      <w:r>
        <w:rPr>
          <w:i/>
        </w:rPr>
        <w:fldChar w:fldCharType="end"/>
      </w:r>
      <w:r w:rsidRPr="00273106">
        <w:t xml:space="preserve"> </w:t>
      </w:r>
      <w:r>
        <w:t xml:space="preserve">hned </w:t>
      </w:r>
      <w:r w:rsidRPr="00273106">
        <w:t>na začátku poznání (</w:t>
      </w:r>
      <w:r w:rsidRPr="08143E1D">
        <w:rPr>
          <w:i/>
        </w:rPr>
        <w:t>Vat</w:t>
      </w:r>
      <w:r w:rsidRPr="00273106">
        <w:t>. III, no. 386</w:t>
      </w:r>
      <w:r>
        <w:t>,</w:t>
      </w:r>
      <w:r w:rsidRPr="00273106">
        <w:t xml:space="preserve"> </w:t>
      </w:r>
      <w:r>
        <w:t xml:space="preserve">p. </w:t>
      </w:r>
      <w:r w:rsidRPr="00273106">
        <w:t>234</w:t>
      </w:r>
      <w:r>
        <w:fldChar w:fldCharType="begin"/>
      </w:r>
      <w:r>
        <w:instrText xml:space="preserve"> XE "Scotus:</w:instrText>
      </w:r>
      <w:r w:rsidRPr="00DF5D31">
        <w:rPr>
          <w:i/>
        </w:rPr>
        <w:instrText>Ordinatio</w:instrText>
      </w:r>
      <w:r w:rsidRPr="00DF5D31">
        <w:instrText xml:space="preserve"> </w:instrText>
      </w:r>
      <w:r>
        <w:instrText xml:space="preserve">1.234" </w:instrText>
      </w:r>
      <w:r>
        <w:fldChar w:fldCharType="end"/>
      </w:r>
      <w:r w:rsidRPr="00273106">
        <w:t>).</w:t>
      </w:r>
      <w:r>
        <w:t xml:space="preserve"> Nazírání primární</w:t>
      </w:r>
      <w:r w:rsidRPr="00273106">
        <w:t xml:space="preserve"> </w:t>
      </w:r>
      <w:r w:rsidR="00962190" w:rsidRPr="004E33AD">
        <w:t>species</w:t>
      </w:r>
      <w:r w:rsidRPr="00273106">
        <w:t xml:space="preserve"> ja</w:t>
      </w:r>
      <w:r>
        <w:t>ko čisté objektivity není odkázáno</w:t>
      </w:r>
      <w:r w:rsidRPr="00273106">
        <w:t xml:space="preserve"> na reálné poznání světa dané </w:t>
      </w:r>
      <w:r>
        <w:t xml:space="preserve">abstrakcí skrze </w:t>
      </w:r>
      <w:r w:rsidRPr="00273106">
        <w:rPr>
          <w:i/>
        </w:rPr>
        <w:t>intellectus possibilis</w:t>
      </w:r>
      <w:r>
        <w:t xml:space="preserve"> formálně navázaný na smysly. Empirické poznání v modu Grossetesteho </w:t>
      </w:r>
      <w:r w:rsidRPr="08D42364">
        <w:rPr>
          <w:i/>
        </w:rPr>
        <w:t>scientia</w:t>
      </w:r>
      <w:r>
        <w:t xml:space="preserve"> není </w:t>
      </w:r>
      <w:r>
        <w:lastRenderedPageBreak/>
        <w:t xml:space="preserve">chybné, ale pro objektivní spekulaci není třeba. </w:t>
      </w:r>
      <w:r w:rsidRPr="00273106">
        <w:t xml:space="preserve">Scotus </w:t>
      </w:r>
      <w:r>
        <w:t>opakuje tezi semiaverroistů</w:t>
      </w:r>
      <w:r>
        <w:fldChar w:fldCharType="begin"/>
      </w:r>
      <w:r>
        <w:instrText xml:space="preserve"> XE "</w:instrText>
      </w:r>
      <w:r w:rsidRPr="009D1134">
        <w:instrText>semiaverroismus</w:instrText>
      </w:r>
      <w:r>
        <w:instrText xml:space="preserve">" </w:instrText>
      </w:r>
      <w:r>
        <w:fldChar w:fldCharType="end"/>
      </w:r>
      <w:r>
        <w:t xml:space="preserve"> jako Aegidius Roma</w:t>
      </w:r>
      <w:r w:rsidRPr="00273106">
        <w:t>nus</w:t>
      </w:r>
      <w:r>
        <w:fldChar w:fldCharType="begin"/>
      </w:r>
      <w:r>
        <w:instrText xml:space="preserve"> XE "</w:instrText>
      </w:r>
      <w:r w:rsidRPr="00B54432">
        <w:instrText>Aegidius Romanus</w:instrText>
      </w:r>
      <w:r>
        <w:instrText xml:space="preserve">" </w:instrText>
      </w:r>
      <w:r>
        <w:fldChar w:fldCharType="end"/>
      </w:r>
      <w:r w:rsidRPr="00273106">
        <w:t xml:space="preserve"> o odděleném singulárním </w:t>
      </w:r>
      <w:r w:rsidR="007D65DA">
        <w:t xml:space="preserve">smyslovém poznání, které nemá společná </w:t>
      </w:r>
      <w:r w:rsidRPr="00273106">
        <w:t xml:space="preserve">univerzální </w:t>
      </w:r>
      <w:r w:rsidR="00962190" w:rsidRPr="004E33AD">
        <w:t>species</w:t>
      </w:r>
      <w:r w:rsidRPr="00273106">
        <w:t>.</w:t>
      </w:r>
      <w:r w:rsidRPr="00273106">
        <w:rPr>
          <w:rStyle w:val="Znakapoznpodarou"/>
        </w:rPr>
        <w:footnoteReference w:id="467"/>
      </w:r>
      <w:r>
        <w:t xml:space="preserve"> </w:t>
      </w:r>
      <w:r w:rsidRPr="00273106">
        <w:t xml:space="preserve">Smyslová </w:t>
      </w:r>
      <w:r w:rsidR="00962190">
        <w:rPr>
          <w:i/>
        </w:rPr>
        <w:t>species</w:t>
      </w:r>
      <w:r w:rsidRPr="00273106">
        <w:t xml:space="preserve"> mají pro poznání jen </w:t>
      </w:r>
      <w:r>
        <w:t>sekundární status</w:t>
      </w:r>
      <w:r w:rsidRPr="00273106">
        <w:t xml:space="preserve">, protože jsou dána z abstrakce </w:t>
      </w:r>
      <w:r>
        <w:t>determinované pouze kontigentní existencí</w:t>
      </w:r>
      <w:r w:rsidRPr="00273106">
        <w:t xml:space="preserve"> věci (</w:t>
      </w:r>
      <w:r w:rsidRPr="00273106">
        <w:rPr>
          <w:i/>
        </w:rPr>
        <w:t>praesentia reali</w:t>
      </w:r>
      <w:r w:rsidRPr="00273106">
        <w:t xml:space="preserve">). Voluntaristický Scotus bere poznání ze </w:t>
      </w:r>
      <w:r w:rsidR="00962190">
        <w:rPr>
          <w:i/>
        </w:rPr>
        <w:t>species</w:t>
      </w:r>
      <w:r w:rsidRPr="00273106">
        <w:rPr>
          <w:i/>
        </w:rPr>
        <w:t xml:space="preserve"> sensibilis</w:t>
      </w:r>
      <w:r>
        <w:rPr>
          <w:i/>
        </w:rPr>
        <w:fldChar w:fldCharType="begin"/>
      </w:r>
      <w:r>
        <w:instrText xml:space="preserve"> XE "</w:instrText>
      </w:r>
      <w:r w:rsidRPr="00374FA1">
        <w:rPr>
          <w:i/>
        </w:rPr>
        <w:instrText>species sensibilis</w:instrText>
      </w:r>
      <w:r>
        <w:instrText xml:space="preserve">" </w:instrText>
      </w:r>
      <w:r>
        <w:rPr>
          <w:i/>
        </w:rPr>
        <w:fldChar w:fldCharType="end"/>
      </w:r>
      <w:r w:rsidRPr="00273106">
        <w:t xml:space="preserve"> jako nižší formu poznání, protože smyslová recepce nezávisí na vůli. Scotus na</w:t>
      </w:r>
      <w:r>
        <w:t xml:space="preserve">víc bere funkci augustiniánské </w:t>
      </w:r>
      <w:r w:rsidRPr="00273106">
        <w:rPr>
          <w:i/>
        </w:rPr>
        <w:t>memoria</w:t>
      </w:r>
      <w:r>
        <w:rPr>
          <w:i/>
        </w:rPr>
        <w:fldChar w:fldCharType="begin"/>
      </w:r>
      <w:r>
        <w:instrText xml:space="preserve"> XE "</w:instrText>
      </w:r>
      <w:r w:rsidRPr="00840D0F">
        <w:rPr>
          <w:i/>
        </w:rPr>
        <w:instrText>memoria:</w:instrText>
      </w:r>
      <w:r>
        <w:instrText xml:space="preserve">Scotus" </w:instrText>
      </w:r>
      <w:r>
        <w:rPr>
          <w:i/>
        </w:rPr>
        <w:fldChar w:fldCharType="end"/>
      </w:r>
      <w:r w:rsidRPr="00273106">
        <w:t xml:space="preserve"> zcela v duchu druhého averroismu. Proto se kloní k recepci </w:t>
      </w:r>
      <w:r w:rsidR="00962190" w:rsidRPr="004E33AD">
        <w:t>species</w:t>
      </w:r>
      <w:r w:rsidRPr="00273106">
        <w:t xml:space="preserve"> z intelektuální paměti, která pro něj představuje základní zdroj habituálně dané </w:t>
      </w:r>
      <w:r>
        <w:t xml:space="preserve">identity. Traktát </w:t>
      </w:r>
      <w:r w:rsidRPr="007D7850">
        <w:rPr>
          <w:i/>
        </w:rPr>
        <w:t>De imagine</w:t>
      </w:r>
      <w:r>
        <w:t xml:space="preserve"> potvrzuje pro tuto sféru objektivity augustiniánskou </w:t>
      </w:r>
      <w:r w:rsidRPr="00A12784">
        <w:rPr>
          <w:i/>
        </w:rPr>
        <w:t>memoria</w:t>
      </w:r>
      <w:r>
        <w:t xml:space="preserve"> jako </w:t>
      </w:r>
      <w:r w:rsidRPr="00273106">
        <w:rPr>
          <w:i/>
        </w:rPr>
        <w:t>locus specierum</w:t>
      </w:r>
      <w:r>
        <w:rPr>
          <w:i/>
        </w:rPr>
        <w:fldChar w:fldCharType="begin"/>
      </w:r>
      <w:r>
        <w:instrText xml:space="preserve"> XE "</w:instrText>
      </w:r>
      <w:r w:rsidRPr="009E5259">
        <w:rPr>
          <w:i/>
        </w:rPr>
        <w:instrText>locus specierum</w:instrText>
      </w:r>
      <w:r>
        <w:instrText xml:space="preserve">" </w:instrText>
      </w:r>
      <w:r>
        <w:rPr>
          <w:i/>
        </w:rPr>
        <w:fldChar w:fldCharType="end"/>
      </w:r>
      <w:r>
        <w:t>, kde se kombinuje objektivně daná a subjektivně poznaná</w:t>
      </w:r>
      <w:r w:rsidRPr="00273106">
        <w:t xml:space="preserve"> </w:t>
      </w:r>
      <w:r>
        <w:t>realita</w:t>
      </w:r>
      <w:r w:rsidRPr="00273106">
        <w:t xml:space="preserve">. Pole zjevování smyslu jsoucna je osvětleno zevnitř a </w:t>
      </w:r>
      <w:r w:rsidRPr="08247447">
        <w:rPr>
          <w:i/>
        </w:rPr>
        <w:t>intellectus possib</w:t>
      </w:r>
      <w:r>
        <w:rPr>
          <w:i/>
        </w:rPr>
        <w:t>i</w:t>
      </w:r>
      <w:r w:rsidRPr="08247447">
        <w:rPr>
          <w:i/>
        </w:rPr>
        <w:t>lis</w:t>
      </w:r>
      <w:r>
        <w:rPr>
          <w:i/>
        </w:rPr>
        <w:fldChar w:fldCharType="begin"/>
      </w:r>
      <w:r>
        <w:instrText xml:space="preserve"> XE "</w:instrText>
      </w:r>
      <w:r w:rsidRPr="08C447A7">
        <w:rPr>
          <w:i/>
        </w:rPr>
        <w:instrText>intellectus possibilis</w:instrText>
      </w:r>
      <w:r w:rsidRPr="08247447">
        <w:instrText>:Sc</w:instrText>
      </w:r>
      <w:r>
        <w:instrText>o</w:instrText>
      </w:r>
      <w:r w:rsidRPr="08247447">
        <w:instrText>tus</w:instrText>
      </w:r>
      <w:r>
        <w:instrText xml:space="preserve">" </w:instrText>
      </w:r>
      <w:r>
        <w:rPr>
          <w:i/>
        </w:rPr>
        <w:fldChar w:fldCharType="end"/>
      </w:r>
      <w:r>
        <w:t xml:space="preserve"> </w:t>
      </w:r>
      <w:r w:rsidRPr="00273106">
        <w:t>přímo</w:t>
      </w:r>
      <w:r>
        <w:t xml:space="preserve"> přijímá objektivně-aktuální intelektuální </w:t>
      </w:r>
      <w:r w:rsidR="00962190" w:rsidRPr="004E33AD">
        <w:t>species</w:t>
      </w:r>
      <w:r>
        <w:t>, která způsobují pohyb poznání (</w:t>
      </w:r>
      <w:r w:rsidRPr="00830211">
        <w:rPr>
          <w:i/>
        </w:rPr>
        <w:t>est motus rei ad animam</w:t>
      </w:r>
      <w:r>
        <w:t>)</w:t>
      </w:r>
      <w:r w:rsidRPr="00273106">
        <w:t>.</w:t>
      </w:r>
      <w:r w:rsidRPr="00273106">
        <w:rPr>
          <w:rStyle w:val="Znakapoznpodarou"/>
        </w:rPr>
        <w:footnoteReference w:id="468"/>
      </w:r>
      <w:r w:rsidRPr="00273106">
        <w:t xml:space="preserve"> </w:t>
      </w:r>
      <w:r>
        <w:t xml:space="preserve">Paměť v podobě aktuálního </w:t>
      </w:r>
      <w:r w:rsidRPr="00273106">
        <w:rPr>
          <w:i/>
        </w:rPr>
        <w:t>locus specierum</w:t>
      </w:r>
      <w:r w:rsidRPr="00273106">
        <w:t xml:space="preserve"> částečně nahradila Aristotelův receptivní intelekt. John Locke</w:t>
      </w:r>
      <w:r>
        <w:fldChar w:fldCharType="begin"/>
      </w:r>
      <w:r>
        <w:instrText xml:space="preserve"> XE "</w:instrText>
      </w:r>
      <w:r w:rsidRPr="00772E1F">
        <w:instrText>Locke, J.</w:instrText>
      </w:r>
      <w:r>
        <w:instrText xml:space="preserve">" </w:instrText>
      </w:r>
      <w:r>
        <w:fldChar w:fldCharType="end"/>
      </w:r>
      <w:r w:rsidRPr="00273106">
        <w:t xml:space="preserve"> později tuto roli paměti rozšíří i na lidskou identitu</w:t>
      </w:r>
      <w:r>
        <w:rPr>
          <w:i/>
        </w:rPr>
        <w:fldChar w:fldCharType="begin"/>
      </w:r>
      <w:r>
        <w:instrText xml:space="preserve"> XE "</w:instrText>
      </w:r>
      <w:r w:rsidRPr="00840D0F">
        <w:rPr>
          <w:i/>
        </w:rPr>
        <w:instrText>memoria:</w:instrText>
      </w:r>
      <w:r>
        <w:instrText xml:space="preserve">Locke" </w:instrText>
      </w:r>
      <w:r>
        <w:rPr>
          <w:i/>
        </w:rPr>
        <w:fldChar w:fldCharType="end"/>
      </w:r>
      <w:r>
        <w:t xml:space="preserve"> </w:t>
      </w:r>
      <w:r w:rsidRPr="00273106">
        <w:t>a vytvoří západní určení právního subjektu a identity</w:t>
      </w:r>
      <w:r>
        <w:t xml:space="preserve"> pro moderní </w:t>
      </w:r>
      <w:r w:rsidRPr="00BF3C09">
        <w:rPr>
          <w:i/>
        </w:rPr>
        <w:t>individuum</w:t>
      </w:r>
      <w:r>
        <w:t xml:space="preserve"> </w:t>
      </w:r>
      <w:r w:rsidR="006D2808">
        <w:t>(kap. 4</w:t>
      </w:r>
      <w:r w:rsidRPr="00273106">
        <w:t xml:space="preserve">.4.3). </w:t>
      </w:r>
      <w:r>
        <w:t xml:space="preserve">Scotus musí odlišit aristotelské </w:t>
      </w:r>
      <w:r w:rsidRPr="00273106">
        <w:t xml:space="preserve">poznání jako </w:t>
      </w:r>
      <w:r w:rsidRPr="00273106">
        <w:rPr>
          <w:i/>
        </w:rPr>
        <w:t>tabula rasa</w:t>
      </w:r>
      <w:r>
        <w:rPr>
          <w:i/>
        </w:rPr>
        <w:fldChar w:fldCharType="begin"/>
      </w:r>
      <w:r>
        <w:instrText xml:space="preserve"> XE "</w:instrText>
      </w:r>
      <w:r w:rsidRPr="00CE6D17">
        <w:rPr>
          <w:i/>
        </w:rPr>
        <w:instrText>tabula rasa</w:instrText>
      </w:r>
      <w:r>
        <w:instrText xml:space="preserve">" </w:instrText>
      </w:r>
      <w:r>
        <w:rPr>
          <w:i/>
        </w:rPr>
        <w:fldChar w:fldCharType="end"/>
      </w:r>
      <w:r w:rsidRPr="00273106">
        <w:t xml:space="preserve"> </w:t>
      </w:r>
      <w:r>
        <w:t xml:space="preserve">dané </w:t>
      </w:r>
      <w:r w:rsidRPr="00273106">
        <w:t xml:space="preserve">na abstrakci z fantasmatu </w:t>
      </w:r>
      <w:r>
        <w:t xml:space="preserve">od poznání objektivního, které má recepci objektivních </w:t>
      </w:r>
      <w:r w:rsidR="00962190">
        <w:rPr>
          <w:i/>
        </w:rPr>
        <w:t>species</w:t>
      </w:r>
      <w:r>
        <w:t xml:space="preserve"> danou skrze augustiniánskou formu </w:t>
      </w:r>
      <w:r w:rsidRPr="08BE5F1C">
        <w:rPr>
          <w:i/>
        </w:rPr>
        <w:t>memoria</w:t>
      </w:r>
      <w:r>
        <w:t xml:space="preserve">. Toto avicennovské poznání dané denudací je založeno na výše uvedených formách dedukce. Objektivně daná esence </w:t>
      </w:r>
      <w:r w:rsidRPr="00273106">
        <w:t>(</w:t>
      </w:r>
      <w:r w:rsidRPr="00273106">
        <w:rPr>
          <w:i/>
        </w:rPr>
        <w:t>obiectum</w:t>
      </w:r>
      <w:r w:rsidRPr="00273106">
        <w:t xml:space="preserve">) </w:t>
      </w:r>
      <w:r>
        <w:t xml:space="preserve">uložená v </w:t>
      </w:r>
      <w:r w:rsidRPr="00273106">
        <w:t xml:space="preserve">paměti a </w:t>
      </w:r>
      <w:r>
        <w:t xml:space="preserve">vybavená skrze formu </w:t>
      </w:r>
      <w:r w:rsidRPr="00273106">
        <w:t>intelektuální recepce (</w:t>
      </w:r>
      <w:r w:rsidR="00962190">
        <w:rPr>
          <w:i/>
        </w:rPr>
        <w:t>species</w:t>
      </w:r>
      <w:r w:rsidRPr="00273106">
        <w:rPr>
          <w:i/>
        </w:rPr>
        <w:t xml:space="preserve"> impressa</w:t>
      </w:r>
      <w:r w:rsidRPr="00273106">
        <w:t xml:space="preserve">) má </w:t>
      </w:r>
      <w:r>
        <w:t xml:space="preserve">substanční bytí dané jako závěr boží sylogistiky. Objektivní </w:t>
      </w:r>
      <w:r w:rsidR="00962190" w:rsidRPr="00BF3C09">
        <w:t>species</w:t>
      </w:r>
      <w:r>
        <w:t xml:space="preserve"> nazíráme a uchováváme přímo, protože tvoří podstatu intelektuálního poznání ve smyslu sylogistického tvoření závěrů. Vzhledem k nám je boží </w:t>
      </w:r>
      <w:r>
        <w:lastRenderedPageBreak/>
        <w:t xml:space="preserve">racionalita ve </w:t>
      </w:r>
      <w:r w:rsidRPr="08FE65E1">
        <w:rPr>
          <w:i/>
        </w:rPr>
        <w:t>vestigium</w:t>
      </w:r>
      <w:r>
        <w:t xml:space="preserve"> manifestována jako objektivní substance</w:t>
      </w:r>
      <w:r>
        <w:rPr>
          <w:i/>
        </w:rPr>
        <w:fldChar w:fldCharType="begin"/>
      </w:r>
      <w:r>
        <w:instrText xml:space="preserve"> XE "</w:instrText>
      </w:r>
      <w:r w:rsidRPr="00DD403C">
        <w:rPr>
          <w:i/>
        </w:rPr>
        <w:instrText>species intelligibilis:</w:instrText>
      </w:r>
      <w:r>
        <w:instrText xml:space="preserve">Scotus" </w:instrText>
      </w:r>
      <w:r>
        <w:rPr>
          <w:i/>
        </w:rPr>
        <w:fldChar w:fldCharType="end"/>
      </w:r>
      <w:r>
        <w:t>. Výše uvedený citát říká, že věc</w:t>
      </w:r>
      <w:r w:rsidRPr="00273106">
        <w:t xml:space="preserve"> (</w:t>
      </w:r>
      <w:r w:rsidRPr="00273106">
        <w:rPr>
          <w:i/>
        </w:rPr>
        <w:t>res</w:t>
      </w:r>
      <w:r w:rsidRPr="00273106">
        <w:t>) rozbíhá poznání v intelektu</w:t>
      </w:r>
      <w:r>
        <w:t xml:space="preserve"> (</w:t>
      </w:r>
      <w:r w:rsidRPr="00860463">
        <w:rPr>
          <w:i/>
        </w:rPr>
        <w:t>motus rei ad animam</w:t>
      </w:r>
      <w:r>
        <w:t>)</w:t>
      </w:r>
      <w:r w:rsidRPr="00273106">
        <w:t xml:space="preserve">. Scotus výrazem </w:t>
      </w:r>
      <w:r w:rsidRPr="004D0C23">
        <w:rPr>
          <w:i/>
        </w:rPr>
        <w:t>res</w:t>
      </w:r>
      <w:r>
        <w:t xml:space="preserve"> </w:t>
      </w:r>
      <w:r w:rsidRPr="00273106">
        <w:t>chápe objektivní bytí věci dané ve výše uvedené tr</w:t>
      </w:r>
      <w:r>
        <w:t xml:space="preserve">initární struktuře objektivity </w:t>
      </w:r>
      <w:r w:rsidRPr="00273106">
        <w:t>(</w:t>
      </w:r>
      <w:r w:rsidRPr="00273106">
        <w:rPr>
          <w:i/>
        </w:rPr>
        <w:t>aliquitas</w:t>
      </w:r>
      <w:r>
        <w:rPr>
          <w:i/>
        </w:rPr>
        <w:fldChar w:fldCharType="begin"/>
      </w:r>
      <w:r>
        <w:instrText xml:space="preserve"> XE "</w:instrText>
      </w:r>
      <w:r w:rsidRPr="00D248E6">
        <w:rPr>
          <w:i/>
        </w:rPr>
        <w:instrText>aliquitas</w:instrText>
      </w:r>
      <w:r>
        <w:instrText xml:space="preserve">" </w:instrText>
      </w:r>
      <w:r>
        <w:rPr>
          <w:i/>
        </w:rPr>
        <w:fldChar w:fldCharType="end"/>
      </w:r>
      <w:r w:rsidRPr="00273106">
        <w:t>)</w:t>
      </w:r>
      <w:r w:rsidR="00BF3C09">
        <w:t>.</w:t>
      </w:r>
    </w:p>
    <w:p w:rsidR="008C1314" w:rsidRDefault="08163013" w:rsidP="00ED13D6">
      <w:pPr>
        <w:ind w:firstLine="397"/>
      </w:pPr>
      <w:r w:rsidRPr="00273106">
        <w:t>Druhou ver</w:t>
      </w:r>
      <w:r>
        <w:t>zi metafyzické dedukce, dané ten</w:t>
      </w:r>
      <w:r w:rsidRPr="00273106">
        <w:t>to</w:t>
      </w:r>
      <w:r>
        <w:t>k</w:t>
      </w:r>
      <w:r w:rsidRPr="00273106">
        <w:t>rát ze strany poznávají</w:t>
      </w:r>
      <w:r>
        <w:t>cí</w:t>
      </w:r>
      <w:r w:rsidRPr="00273106">
        <w:t>ho subjektu</w:t>
      </w:r>
      <w:r>
        <w:t>,</w:t>
      </w:r>
      <w:r w:rsidRPr="00273106">
        <w:t xml:space="preserve"> podává další část </w:t>
      </w:r>
      <w:r w:rsidR="008C2D4A" w:rsidRPr="008C2D4A">
        <w:rPr>
          <w:i/>
        </w:rPr>
        <w:t>Ordinatio I</w:t>
      </w:r>
      <w:r w:rsidRPr="00273106">
        <w:t xml:space="preserve">. Shrňme tu část, která rozpracovává novou podobu metafyziky z perspektivy </w:t>
      </w:r>
      <w:r w:rsidRPr="00273106">
        <w:rPr>
          <w:i/>
        </w:rPr>
        <w:t>De imagine</w:t>
      </w:r>
      <w:r w:rsidRPr="00273106">
        <w:t>.</w:t>
      </w:r>
      <w:r>
        <w:t xml:space="preserve"> Komentář se týká klíčové pasáže </w:t>
      </w:r>
      <w:r w:rsidR="008C2D4A" w:rsidRPr="008C2D4A">
        <w:rPr>
          <w:i/>
        </w:rPr>
        <w:t>Ordinatio I</w:t>
      </w:r>
      <w:r>
        <w:t xml:space="preserve"> (</w:t>
      </w:r>
      <w:r w:rsidRPr="086041A2">
        <w:rPr>
          <w:i/>
        </w:rPr>
        <w:t>Vat</w:t>
      </w:r>
      <w:r>
        <w:t>.</w:t>
      </w:r>
      <w:r w:rsidRPr="00273106">
        <w:t xml:space="preserve"> VI, </w:t>
      </w:r>
      <w:r>
        <w:t xml:space="preserve">p. </w:t>
      </w:r>
      <w:r w:rsidRPr="00273106">
        <w:t>258.4‒15</w:t>
      </w:r>
      <w:r>
        <w:fldChar w:fldCharType="begin"/>
      </w:r>
      <w:r>
        <w:instrText xml:space="preserve"> XE "Scotus:</w:instrText>
      </w:r>
      <w:r w:rsidRPr="00DF5D31">
        <w:rPr>
          <w:i/>
        </w:rPr>
        <w:instrText>Ordinatio</w:instrText>
      </w:r>
      <w:r w:rsidRPr="00DF5D31">
        <w:instrText xml:space="preserve"> </w:instrText>
      </w:r>
      <w:r>
        <w:instrText xml:space="preserve">1.258.4‒15" </w:instrText>
      </w:r>
      <w:r>
        <w:fldChar w:fldCharType="end"/>
      </w:r>
      <w:r>
        <w:t>).</w:t>
      </w:r>
      <w:r w:rsidRPr="00273106">
        <w:t xml:space="preserve"> První </w:t>
      </w:r>
      <w:r>
        <w:t>člen dedukce představu</w:t>
      </w:r>
      <w:r w:rsidRPr="00273106">
        <w:t xml:space="preserve">je poznání esence jako absolutní identity kamene </w:t>
      </w:r>
      <w:r>
        <w:t xml:space="preserve">exemplárně </w:t>
      </w:r>
      <w:r w:rsidRPr="00273106">
        <w:t>dané vzhledem k boží esenci (</w:t>
      </w:r>
      <w:r w:rsidRPr="00273106">
        <w:rPr>
          <w:i/>
        </w:rPr>
        <w:t>sub ratione mere absoluta</w:t>
      </w:r>
      <w:r w:rsidRPr="00273106">
        <w:t xml:space="preserve">). </w:t>
      </w:r>
      <w:r>
        <w:t xml:space="preserve">Tato úroveň je dána intimitou a naprostou výlučností božího </w:t>
      </w:r>
      <w:r w:rsidRPr="08E875EC">
        <w:rPr>
          <w:i/>
        </w:rPr>
        <w:t>actus essendi</w:t>
      </w:r>
      <w:r>
        <w:t xml:space="preserve">. </w:t>
      </w:r>
      <w:r w:rsidRPr="00273106">
        <w:t xml:space="preserve">Druhé poznání objektivity se děje skrze boží intelekt, který jde ke kamenu jako k </w:t>
      </w:r>
      <w:r>
        <w:t xml:space="preserve">intencionálnímu objektu a jeho </w:t>
      </w:r>
      <w:r w:rsidRPr="00273106">
        <w:rPr>
          <w:i/>
        </w:rPr>
        <w:t>terminus</w:t>
      </w:r>
      <w:r>
        <w:rPr>
          <w:i/>
        </w:rPr>
        <w:fldChar w:fldCharType="begin"/>
      </w:r>
      <w:r>
        <w:instrText xml:space="preserve"> XE "</w:instrText>
      </w:r>
      <w:r w:rsidRPr="00F1366A">
        <w:rPr>
          <w:i/>
          <w:color w:val="000000"/>
        </w:rPr>
        <w:instrText>terminus</w:instrText>
      </w:r>
      <w:r>
        <w:instrText xml:space="preserve">" </w:instrText>
      </w:r>
      <w:r>
        <w:rPr>
          <w:i/>
        </w:rPr>
        <w:fldChar w:fldCharType="end"/>
      </w:r>
      <w:r w:rsidRPr="00273106">
        <w:t xml:space="preserve"> je v </w:t>
      </w:r>
      <w:r>
        <w:t xml:space="preserve">božím </w:t>
      </w:r>
      <w:r w:rsidRPr="00273106">
        <w:t>intelektu (</w:t>
      </w:r>
      <w:r w:rsidRPr="00273106">
        <w:rPr>
          <w:i/>
        </w:rPr>
        <w:t>intellectio divina terminat relationem 'lapidis ut intellecti' ad ipsam</w:t>
      </w:r>
      <w:r w:rsidRPr="00273106">
        <w:t xml:space="preserve">). </w:t>
      </w:r>
      <w:r>
        <w:t xml:space="preserve">Tím vzniknou vztahy metafyzické pravdivosti a objektivní logické nutnosti vztažené k exemplární racionalitě, jejíž původní výkon je dán v nekonečném odděleném modu boží esence. Tato úroveň je dána intimitou a naprostou výlučností exemplárního </w:t>
      </w:r>
      <w:r>
        <w:rPr>
          <w:i/>
        </w:rPr>
        <w:t>actus cognoscendi</w:t>
      </w:r>
      <w:r>
        <w:t xml:space="preserve"> daného ve formě intuitivního božího náhledu do vlastního intelektu. </w:t>
      </w:r>
      <w:r w:rsidRPr="00273106">
        <w:t xml:space="preserve">Bůh ve třetím kroku porovnává </w:t>
      </w:r>
      <w:r>
        <w:t xml:space="preserve">tyto </w:t>
      </w:r>
      <w:r w:rsidRPr="00273106">
        <w:t>intencionální obsahy mezi sebou</w:t>
      </w:r>
      <w:r>
        <w:t xml:space="preserve">. Porovnáním nekonečných substancí daném v soudu </w:t>
      </w:r>
      <w:r w:rsidRPr="00273106">
        <w:t xml:space="preserve">vzniká objektivní </w:t>
      </w:r>
      <w:r>
        <w:t xml:space="preserve">(a nikoliv reálný) </w:t>
      </w:r>
      <w:r w:rsidRPr="00273106">
        <w:t xml:space="preserve">demiurgický </w:t>
      </w:r>
      <w:r w:rsidR="00B61D4C">
        <w:t xml:space="preserve">exemplar </w:t>
      </w:r>
      <w:r>
        <w:t xml:space="preserve">čisté racionality </w:t>
      </w:r>
      <w:r w:rsidRPr="00273106">
        <w:t>(</w:t>
      </w:r>
      <w:r w:rsidRPr="00273106">
        <w:rPr>
          <w:i/>
          <w:color w:val="000000"/>
        </w:rPr>
        <w:t>ad lapidem intellectum, potest causare in se rela</w:t>
      </w:r>
      <w:r w:rsidRPr="00273106">
        <w:rPr>
          <w:i/>
        </w:rPr>
        <w:t>tionem rationis</w:t>
      </w:r>
      <w:r w:rsidRPr="00273106">
        <w:t xml:space="preserve">). </w:t>
      </w:r>
      <w:r>
        <w:t xml:space="preserve">Tím je ve sféře božího intelektu sestavena základní logika exemplárně zakládající sylogistické vztahy. Do světa vyzařuje pouze sekundární forma původní exemplární boží racionality. Proto je  racionalita stvoření ve formě objektivního </w:t>
      </w:r>
      <w:r w:rsidRPr="08081A6C">
        <w:rPr>
          <w:i/>
        </w:rPr>
        <w:t>vestigium</w:t>
      </w:r>
      <w:r>
        <w:t xml:space="preserve"> zcela oddělená od boží esence. </w:t>
      </w:r>
      <w:r w:rsidRPr="00273106">
        <w:t xml:space="preserve">Čtvrtý stupeň </w:t>
      </w:r>
      <w:r>
        <w:t xml:space="preserve">božího </w:t>
      </w:r>
      <w:r w:rsidRPr="00273106">
        <w:t xml:space="preserve">poznání </w:t>
      </w:r>
      <w:r>
        <w:t xml:space="preserve">daného čistě objektivně </w:t>
      </w:r>
      <w:r w:rsidRPr="00273106">
        <w:t xml:space="preserve">reflektuje tyto objektivní a primárně-kauzální vztahy </w:t>
      </w:r>
      <w:r>
        <w:t xml:space="preserve">na úrovni </w:t>
      </w:r>
      <w:r w:rsidRPr="08EA3F0C">
        <w:rPr>
          <w:i/>
        </w:rPr>
        <w:t>vestigium</w:t>
      </w:r>
      <w:r>
        <w:t xml:space="preserve"> </w:t>
      </w:r>
      <w:r w:rsidRPr="00273106">
        <w:t xml:space="preserve">jako předmět </w:t>
      </w:r>
      <w:r>
        <w:t xml:space="preserve">jeho </w:t>
      </w:r>
      <w:r w:rsidRPr="00273106">
        <w:t>poznání (</w:t>
      </w:r>
      <w:r w:rsidRPr="00273106">
        <w:rPr>
          <w:i/>
          <w:color w:val="000000"/>
        </w:rPr>
        <w:t>potest quasi reflecti super istam relationem causatam</w:t>
      </w:r>
      <w:r w:rsidRPr="00273106">
        <w:t xml:space="preserve">). </w:t>
      </w:r>
      <w:r>
        <w:t xml:space="preserve">Boží reflexe jeho vlastní racionality ve stvoření je důležitá, protože zajišťuje znovuvzetí této racionality zpět do boží esence. Tato racionalita je dána v objektivním modu </w:t>
      </w:r>
      <w:r w:rsidR="000753AA">
        <w:t>(</w:t>
      </w:r>
      <w:r w:rsidR="000753AA">
        <w:rPr>
          <w:i/>
        </w:rPr>
        <w:t>vestigium</w:t>
      </w:r>
      <w:r w:rsidR="000753AA" w:rsidRPr="000753AA">
        <w:rPr>
          <w:sz w:val="26"/>
        </w:rPr>
        <w:t>)</w:t>
      </w:r>
      <w:r w:rsidR="001D688F">
        <w:rPr>
          <w:sz w:val="26"/>
        </w:rPr>
        <w:t>. D</w:t>
      </w:r>
      <w:r>
        <w:t>íky sebereflexi si bůh podržuje trvalou mentální kontrolu nad racionalitou danou na druhém patře, v němž jeho</w:t>
      </w:r>
      <w:r w:rsidR="00145DEA">
        <w:t xml:space="preserve"> racionalita opustila jeho intelekt</w:t>
      </w:r>
      <w:r>
        <w:t xml:space="preserve">. </w:t>
      </w:r>
      <w:r w:rsidRPr="00273106">
        <w:t xml:space="preserve">Tato </w:t>
      </w:r>
      <w:r>
        <w:t xml:space="preserve">druhá </w:t>
      </w:r>
      <w:r w:rsidRPr="00273106">
        <w:t>úr</w:t>
      </w:r>
      <w:r>
        <w:t xml:space="preserve">oveň objektivity odpovídá Gandavovu určení </w:t>
      </w:r>
      <w:r w:rsidR="004E7146">
        <w:t>„</w:t>
      </w:r>
      <w:r w:rsidRPr="00273106">
        <w:rPr>
          <w:i/>
        </w:rPr>
        <w:t>esse ad</w:t>
      </w:r>
      <w:r w:rsidR="004E7146">
        <w:t>“</w:t>
      </w:r>
      <w:r>
        <w:rPr>
          <w:i/>
        </w:rPr>
        <w:fldChar w:fldCharType="begin"/>
      </w:r>
      <w:r>
        <w:instrText xml:space="preserve"> XE "</w:instrText>
      </w:r>
      <w:r w:rsidRPr="008F3381">
        <w:rPr>
          <w:i/>
        </w:rPr>
        <w:instrText>esse ad:</w:instrText>
      </w:r>
      <w:r>
        <w:instrText xml:space="preserve">Scotus" </w:instrText>
      </w:r>
      <w:r>
        <w:rPr>
          <w:i/>
        </w:rPr>
        <w:fldChar w:fldCharType="end"/>
      </w:r>
      <w:r w:rsidR="004E7146">
        <w:t>. A</w:t>
      </w:r>
      <w:r>
        <w:t xml:space="preserve">le boží sebereflexivní poznání </w:t>
      </w:r>
      <w:r w:rsidR="004E7146">
        <w:t xml:space="preserve">běží ve </w:t>
      </w:r>
      <w:r>
        <w:t>Scot</w:t>
      </w:r>
      <w:r w:rsidR="004E7146">
        <w:t xml:space="preserve">ově metafyzice </w:t>
      </w:r>
      <w:r>
        <w:t xml:space="preserve">jen v intimitě boží esence. Výsledná boží reflexe do sebe zcela logicky zahrnuje i předešlou </w:t>
      </w:r>
      <w:r>
        <w:lastRenderedPageBreak/>
        <w:t xml:space="preserve">sféru boží vestiginální racionality danou </w:t>
      </w:r>
      <w:r w:rsidRPr="08597FDB">
        <w:rPr>
          <w:i/>
        </w:rPr>
        <w:t>ad extra</w:t>
      </w:r>
      <w:r>
        <w:t xml:space="preserve"> směrem do stvoření. Tuto poslední </w:t>
      </w:r>
      <w:r w:rsidR="00C908CC">
        <w:t xml:space="preserve">Scotovu </w:t>
      </w:r>
      <w:r>
        <w:t xml:space="preserve">sebereflexi má Descartes jako evidentní sféru sebepoznání v aktu </w:t>
      </w:r>
      <w:r w:rsidRPr="00366780">
        <w:rPr>
          <w:i/>
        </w:rPr>
        <w:t>cogito</w:t>
      </w:r>
      <w:r>
        <w:rPr>
          <w:i/>
        </w:rPr>
        <w:fldChar w:fldCharType="begin"/>
      </w:r>
      <w:r>
        <w:instrText xml:space="preserve"> XE "</w:instrText>
      </w:r>
      <w:r w:rsidRPr="003D2937">
        <w:rPr>
          <w:i/>
        </w:rPr>
        <w:instrText>cogito</w:instrText>
      </w:r>
      <w:r>
        <w:instrText xml:space="preserve">" </w:instrText>
      </w:r>
      <w:r>
        <w:rPr>
          <w:i/>
        </w:rPr>
        <w:fldChar w:fldCharType="end"/>
      </w:r>
      <w:r>
        <w:t>.</w:t>
      </w:r>
      <w:r w:rsidR="00BF23A5">
        <w:t xml:space="preserve"> Descartovo </w:t>
      </w:r>
      <w:r w:rsidR="00BF23A5" w:rsidRPr="00BF23A5">
        <w:rPr>
          <w:i/>
        </w:rPr>
        <w:t>cogito</w:t>
      </w:r>
      <w:r w:rsidR="00BF23A5">
        <w:t xml:space="preserve"> nahradilo druhé patro boží sebereflexe ve stvoření. Pouze člověk u Descarta </w:t>
      </w:r>
      <w:r>
        <w:t xml:space="preserve">kontroluje správný průběh převodu objektivního jsouna od boha k sobě a do stvoření. </w:t>
      </w:r>
      <w:r w:rsidR="00E42556">
        <w:t>Scotus ještě moderního boha potřeboval z naprosto zásadních důvodů, proto také tent</w:t>
      </w:r>
      <w:r w:rsidR="008C1314">
        <w:t>o filosofický koncept vytvořil.</w:t>
      </w:r>
    </w:p>
    <w:p w:rsidR="00F011AF" w:rsidRDefault="08163013" w:rsidP="00314D9B">
      <w:pPr>
        <w:ind w:firstLine="397"/>
      </w:pPr>
      <w:r>
        <w:t xml:space="preserve">Tím je zajištěna ve scotistickém </w:t>
      </w:r>
      <w:r w:rsidRPr="00273106">
        <w:t xml:space="preserve">bohu kompletní stavba reality </w:t>
      </w:r>
      <w:r>
        <w:t xml:space="preserve">na exemplárně-objektivní úrovni. Dedukce na úrovni </w:t>
      </w:r>
      <w:r w:rsidRPr="08B247A1">
        <w:rPr>
          <w:i/>
        </w:rPr>
        <w:t>imago</w:t>
      </w:r>
      <w:r>
        <w:t xml:space="preserve"> oddělila v bohu tyto roviny: </w:t>
      </w:r>
      <w:r w:rsidRPr="00273106">
        <w:t xml:space="preserve">absolutně bytující </w:t>
      </w:r>
      <w:r>
        <w:t>esence (</w:t>
      </w:r>
      <w:r w:rsidR="007A5C9C">
        <w:rPr>
          <w:i/>
        </w:rPr>
        <w:t>essentia D</w:t>
      </w:r>
      <w:r w:rsidRPr="08AA30C1">
        <w:rPr>
          <w:i/>
        </w:rPr>
        <w:t>ei</w:t>
      </w:r>
      <w:r>
        <w:t>);</w:t>
      </w:r>
      <w:r w:rsidRPr="00273106">
        <w:t xml:space="preserve"> </w:t>
      </w:r>
      <w:r>
        <w:t xml:space="preserve">racionální </w:t>
      </w:r>
      <w:r w:rsidRPr="00273106">
        <w:t xml:space="preserve">objektivní </w:t>
      </w:r>
      <w:r>
        <w:t>exemplarita (</w:t>
      </w:r>
      <w:r w:rsidRPr="08AA30C1">
        <w:rPr>
          <w:i/>
        </w:rPr>
        <w:t>exemplar</w:t>
      </w:r>
      <w:r>
        <w:t>); její vyzářená pravda a nutnost (</w:t>
      </w:r>
      <w:r>
        <w:rPr>
          <w:i/>
        </w:rPr>
        <w:t>relatio, ens obiective</w:t>
      </w:r>
      <w:r>
        <w:t xml:space="preserve">); </w:t>
      </w:r>
      <w:r w:rsidRPr="00273106">
        <w:t>potenciální kauzální stvořitelský vztah</w:t>
      </w:r>
      <w:r>
        <w:t xml:space="preserve"> (</w:t>
      </w:r>
      <w:r w:rsidRPr="00B376B0">
        <w:rPr>
          <w:i/>
        </w:rPr>
        <w:t>relatio</w:t>
      </w:r>
      <w:r>
        <w:rPr>
          <w:i/>
        </w:rPr>
        <w:t>, mensura, ratio</w:t>
      </w:r>
      <w:r>
        <w:rPr>
          <w:i/>
        </w:rPr>
        <w:fldChar w:fldCharType="begin"/>
      </w:r>
      <w:r>
        <w:instrText xml:space="preserve"> XE "</w:instrText>
      </w:r>
      <w:r w:rsidRPr="00887D55">
        <w:rPr>
          <w:i/>
        </w:rPr>
        <w:instrText>relatio</w:instrText>
      </w:r>
      <w:r>
        <w:instrText xml:space="preserve">" </w:instrText>
      </w:r>
      <w:r>
        <w:rPr>
          <w:i/>
        </w:rPr>
        <w:fldChar w:fldCharType="end"/>
      </w:r>
      <w:r>
        <w:t>);</w:t>
      </w:r>
      <w:r w:rsidRPr="00273106">
        <w:t xml:space="preserve"> reflexivita jeho </w:t>
      </w:r>
      <w:r>
        <w:t xml:space="preserve">objektivně daného </w:t>
      </w:r>
      <w:r w:rsidRPr="00273106">
        <w:t>díla (</w:t>
      </w:r>
      <w:r>
        <w:rPr>
          <w:i/>
        </w:rPr>
        <w:t xml:space="preserve">factibile, ponibile, </w:t>
      </w:r>
      <w:r>
        <w:t xml:space="preserve">objektivní </w:t>
      </w:r>
      <w:r w:rsidRPr="08316AA9">
        <w:rPr>
          <w:i/>
        </w:rPr>
        <w:t>ens ratum</w:t>
      </w:r>
      <w:r w:rsidRPr="00273106">
        <w:t>)</w:t>
      </w:r>
      <w:r>
        <w:t>; volitivní eficientní kauzální vztah Stvořitele (</w:t>
      </w:r>
      <w:r w:rsidRPr="08316AA9">
        <w:rPr>
          <w:i/>
        </w:rPr>
        <w:t>creatio</w:t>
      </w:r>
      <w:r>
        <w:t xml:space="preserve">, reálné </w:t>
      </w:r>
      <w:r w:rsidRPr="08316AA9">
        <w:rPr>
          <w:i/>
        </w:rPr>
        <w:t>ens ratum</w:t>
      </w:r>
      <w:r>
        <w:t>)</w:t>
      </w:r>
      <w:r w:rsidRPr="00273106">
        <w:t xml:space="preserve">. </w:t>
      </w:r>
      <w:r>
        <w:t xml:space="preserve">Pokud provádíme opačným směrem transcendentální dedukci objektivity směrem od stvoření k bohu, pak poznání začíná u </w:t>
      </w:r>
      <w:r w:rsidRPr="00273106">
        <w:t xml:space="preserve">smyslových věcí </w:t>
      </w:r>
      <w:r>
        <w:t xml:space="preserve">a jde </w:t>
      </w:r>
      <w:r w:rsidRPr="00273106">
        <w:t xml:space="preserve">přes </w:t>
      </w:r>
      <w:r>
        <w:t xml:space="preserve">aristotelskou </w:t>
      </w:r>
      <w:r w:rsidRPr="00273106">
        <w:t>abstrakci</w:t>
      </w:r>
      <w:r>
        <w:t xml:space="preserve">. Ale empirické poznání světa </w:t>
      </w:r>
      <w:r w:rsidRPr="00273106">
        <w:t>není pro Scota důležité</w:t>
      </w:r>
      <w:r>
        <w:t>, protože objektivní podoba věcí se nám dává v přímém náhledu, který poskytuje evidentní pravdu a jistotu</w:t>
      </w:r>
      <w:r w:rsidRPr="00273106">
        <w:t xml:space="preserve">. Například poznání plochy je v citované části traktátu </w:t>
      </w:r>
      <w:r w:rsidRPr="00273106">
        <w:rPr>
          <w:i/>
        </w:rPr>
        <w:t>De imagine</w:t>
      </w:r>
      <w:r w:rsidRPr="00273106">
        <w:t xml:space="preserve"> zcela moderně dáno jako inteligibilní </w:t>
      </w:r>
      <w:r w:rsidR="00962190">
        <w:rPr>
          <w:i/>
        </w:rPr>
        <w:t>species</w:t>
      </w:r>
      <w:r w:rsidRPr="00273106">
        <w:t xml:space="preserve"> v samotném intelektu, pro</w:t>
      </w:r>
      <w:r>
        <w:t>tože jde primárně od intelektu (</w:t>
      </w:r>
      <w:r w:rsidRPr="08143E1D">
        <w:rPr>
          <w:i/>
        </w:rPr>
        <w:t>Vat</w:t>
      </w:r>
      <w:r>
        <w:t>. II</w:t>
      </w:r>
      <w:r w:rsidRPr="00273106">
        <w:t>I</w:t>
      </w:r>
      <w:r>
        <w:t>, no. 398‒</w:t>
      </w:r>
      <w:r w:rsidRPr="00273106">
        <w:t>99</w:t>
      </w:r>
      <w:r>
        <w:t>, pp. 242‒44</w:t>
      </w:r>
      <w:r>
        <w:fldChar w:fldCharType="begin"/>
      </w:r>
      <w:r>
        <w:instrText xml:space="preserve"> XE "Scotus:</w:instrText>
      </w:r>
      <w:r w:rsidRPr="00DF5D31">
        <w:rPr>
          <w:i/>
        </w:rPr>
        <w:instrText>Ordinatio</w:instrText>
      </w:r>
      <w:r w:rsidRPr="00DF5D31">
        <w:instrText xml:space="preserve"> </w:instrText>
      </w:r>
      <w:r>
        <w:instrText xml:space="preserve">1.242‒44" </w:instrText>
      </w:r>
      <w:r>
        <w:fldChar w:fldCharType="end"/>
      </w:r>
      <w:r w:rsidRPr="00273106">
        <w:t>). Až ve druhém kroku se poznává smyslově vnímaná bílá barva na ploše. Objektivní statut akci</w:t>
      </w:r>
      <w:r>
        <w:t xml:space="preserve">dentu způsobil, že plocha jako </w:t>
      </w:r>
      <w:r w:rsidRPr="00273106">
        <w:rPr>
          <w:i/>
        </w:rPr>
        <w:t>obiectum</w:t>
      </w:r>
      <w:r w:rsidRPr="00273106">
        <w:t xml:space="preserve"> poznání je primárně dána přímo v intelektu a ne ve smyslech.</w:t>
      </w:r>
      <w:r>
        <w:t xml:space="preserve"> Postmoderní Husserl toto pojetí objektivního </w:t>
      </w:r>
      <w:r w:rsidRPr="00BC7CB0">
        <w:rPr>
          <w:i/>
        </w:rPr>
        <w:t>scibile</w:t>
      </w:r>
      <w:r>
        <w:rPr>
          <w:i/>
        </w:rPr>
        <w:fldChar w:fldCharType="begin"/>
      </w:r>
      <w:r>
        <w:instrText xml:space="preserve"> XE "</w:instrText>
      </w:r>
      <w:r w:rsidRPr="00AA4F67">
        <w:rPr>
          <w:i/>
        </w:rPr>
        <w:instrText>scibile</w:instrText>
      </w:r>
      <w:r>
        <w:instrText xml:space="preserve">:Husserl" </w:instrText>
      </w:r>
      <w:r>
        <w:rPr>
          <w:i/>
        </w:rPr>
        <w:fldChar w:fldCharType="end"/>
      </w:r>
      <w:r>
        <w:t xml:space="preserve"> bere za základ eidetické redukce a má podobný příklad univerzální danosti běloby.</w:t>
      </w:r>
      <w:r w:rsidRPr="00273106">
        <w:rPr>
          <w:rStyle w:val="Znakapoznpodarou"/>
        </w:rPr>
        <w:footnoteReference w:id="469"/>
      </w:r>
      <w:r w:rsidRPr="00273106">
        <w:t xml:space="preserve"> Rozum nakonec </w:t>
      </w:r>
      <w:r>
        <w:t>spojuje smyslovou a objektivně danou</w:t>
      </w:r>
      <w:r w:rsidRPr="00273106">
        <w:t xml:space="preserve"> </w:t>
      </w:r>
      <w:r w:rsidR="00962190" w:rsidRPr="003C27DB">
        <w:t>species</w:t>
      </w:r>
      <w:r w:rsidRPr="00273106">
        <w:t xml:space="preserve"> do jednoho celku.</w:t>
      </w:r>
      <w:r>
        <w:t xml:space="preserve"> Výsledkem je složené poznání </w:t>
      </w:r>
      <w:r w:rsidR="00962190">
        <w:rPr>
          <w:i/>
        </w:rPr>
        <w:t>species</w:t>
      </w:r>
      <w:r>
        <w:t xml:space="preserve"> dané</w:t>
      </w:r>
      <w:r w:rsidRPr="00273106">
        <w:t xml:space="preserve"> univerzálně</w:t>
      </w:r>
      <w:r>
        <w:t xml:space="preserve">. Ale v modu </w:t>
      </w:r>
      <w:r w:rsidRPr="00273106">
        <w:rPr>
          <w:i/>
        </w:rPr>
        <w:t>per prius</w:t>
      </w:r>
      <w:r>
        <w:t xml:space="preserve"> je toto poznání objektivní a ne empirické. </w:t>
      </w:r>
      <w:r w:rsidRPr="00273106">
        <w:t xml:space="preserve"> Viz předešlá kapitola oh</w:t>
      </w:r>
      <w:r>
        <w:t xml:space="preserve">ledně diference poznání v modu </w:t>
      </w:r>
      <w:r w:rsidR="00CE0DB1">
        <w:t>„</w:t>
      </w:r>
      <w:r w:rsidRPr="00273106">
        <w:rPr>
          <w:i/>
        </w:rPr>
        <w:t>confusum</w:t>
      </w:r>
      <w:r w:rsidRPr="00273106">
        <w:t>‒</w:t>
      </w:r>
      <w:r w:rsidRPr="00273106">
        <w:rPr>
          <w:i/>
        </w:rPr>
        <w:t>confuse</w:t>
      </w:r>
      <w:r w:rsidR="00CE0DB1">
        <w:t>“</w:t>
      </w:r>
      <w:r>
        <w:rPr>
          <w:i/>
        </w:rPr>
        <w:fldChar w:fldCharType="begin"/>
      </w:r>
      <w:r>
        <w:instrText xml:space="preserve"> XE "pravda:</w:instrText>
      </w:r>
      <w:r w:rsidRPr="008A7F0B">
        <w:rPr>
          <w:i/>
        </w:rPr>
        <w:instrText>confusum</w:instrText>
      </w:r>
      <w:r>
        <w:instrText>/</w:instrText>
      </w:r>
      <w:r w:rsidRPr="008A7F0B">
        <w:rPr>
          <w:i/>
        </w:rPr>
        <w:instrText>confuse</w:instrText>
      </w:r>
      <w:r>
        <w:instrText xml:space="preserve">" </w:instrText>
      </w:r>
      <w:r>
        <w:rPr>
          <w:i/>
        </w:rPr>
        <w:fldChar w:fldCharType="end"/>
      </w:r>
      <w:r w:rsidR="005D480D">
        <w:t xml:space="preserve"> (kap. 5</w:t>
      </w:r>
      <w:r>
        <w:t>.3.2)</w:t>
      </w:r>
      <w:r w:rsidRPr="00273106">
        <w:t>.</w:t>
      </w:r>
      <w:r>
        <w:t xml:space="preserve"> Traktát </w:t>
      </w:r>
      <w:r w:rsidRPr="00BD3591">
        <w:rPr>
          <w:i/>
        </w:rPr>
        <w:t>De imagine</w:t>
      </w:r>
      <w:r>
        <w:t xml:space="preserve"> </w:t>
      </w:r>
      <w:r w:rsidRPr="00273106">
        <w:t>nemusel dělat žádnou revoluci</w:t>
      </w:r>
      <w:r w:rsidRPr="08D055DF">
        <w:t xml:space="preserve"> </w:t>
      </w:r>
      <w:r>
        <w:t>v  otázce poznání. Nasvícení intelektu zezadu bylo dáno v předešlých dvou traktátech (</w:t>
      </w:r>
      <w:r w:rsidRPr="00273106">
        <w:rPr>
          <w:rStyle w:val="addmd"/>
          <w:i/>
        </w:rPr>
        <w:t>De cognoscibilitate Dei</w:t>
      </w:r>
      <w:r>
        <w:rPr>
          <w:rStyle w:val="addmd"/>
        </w:rPr>
        <w:t xml:space="preserve">, </w:t>
      </w:r>
      <w:r w:rsidRPr="000C5458">
        <w:rPr>
          <w:rStyle w:val="addmd"/>
          <w:i/>
        </w:rPr>
        <w:t>De vestigio</w:t>
      </w:r>
      <w:r>
        <w:t>). O</w:t>
      </w:r>
      <w:r w:rsidRPr="00273106">
        <w:t>bjektivita se primárně zjevuje v modu nasvícení zezadu</w:t>
      </w:r>
      <w:r>
        <w:t xml:space="preserve">, ale objektivní a aktuální </w:t>
      </w:r>
      <w:r w:rsidR="00962190" w:rsidRPr="003C27DB">
        <w:t>species</w:t>
      </w:r>
      <w:r>
        <w:t xml:space="preserve"> se poznává v modu </w:t>
      </w:r>
      <w:r>
        <w:lastRenderedPageBreak/>
        <w:t>prvního averroismu díky receptivnímu charakteru intelektu</w:t>
      </w:r>
      <w:r w:rsidRPr="00273106">
        <w:t>.</w:t>
      </w:r>
      <w:r>
        <w:t xml:space="preserve"> </w:t>
      </w:r>
      <w:r w:rsidRPr="00273106">
        <w:t>Trinitární determin</w:t>
      </w:r>
      <w:r>
        <w:t xml:space="preserve">ace jsoucna je daná </w:t>
      </w:r>
      <w:r w:rsidRPr="00273106">
        <w:t xml:space="preserve">v modu </w:t>
      </w:r>
      <w:r w:rsidRPr="00273106">
        <w:rPr>
          <w:i/>
        </w:rPr>
        <w:t>per prius</w:t>
      </w:r>
      <w:r>
        <w:t xml:space="preserve"> a my ji poznáváme v modu </w:t>
      </w:r>
      <w:r w:rsidRPr="00A16CC3">
        <w:rPr>
          <w:i/>
        </w:rPr>
        <w:t>per posterius</w:t>
      </w:r>
      <w:r>
        <w:t xml:space="preserve"> skrze aristotelskou abstrakci, která začíná na úrovni empiricky poznávaných prvních substancí. Ale moderní iluminát typu Scota, Descarta a Husserla ví, že objektivně vyzářená racionalita je pro vyvolené myslitele ve světě nahlédnutelná přímo. Zbytek méně osvíceného lidstva používá pouze Grossetesteho </w:t>
      </w:r>
      <w:r w:rsidRPr="08C6067D">
        <w:rPr>
          <w:i/>
        </w:rPr>
        <w:t>intellectus debilis</w:t>
      </w:r>
      <w:r>
        <w:rPr>
          <w:i/>
        </w:rPr>
        <w:fldChar w:fldCharType="begin"/>
      </w:r>
      <w:r>
        <w:instrText xml:space="preserve"> XE "</w:instrText>
      </w:r>
      <w:r w:rsidRPr="08111DDE">
        <w:rPr>
          <w:i/>
        </w:rPr>
        <w:instrText>intellectus debilis</w:instrText>
      </w:r>
      <w:r>
        <w:instrText xml:space="preserve">" </w:instrText>
      </w:r>
      <w:r>
        <w:rPr>
          <w:i/>
        </w:rPr>
        <w:fldChar w:fldCharType="end"/>
      </w:r>
      <w:r>
        <w:t xml:space="preserve"> (</w:t>
      </w:r>
      <w:r w:rsidR="00501E9E">
        <w:t>OBJ II, kap. 3</w:t>
      </w:r>
      <w:r>
        <w:t>.1.2)</w:t>
      </w:r>
      <w:r w:rsidR="00485448">
        <w:t xml:space="preserve">. Obecný lid </w:t>
      </w:r>
      <w:r w:rsidR="00B548CD">
        <w:t xml:space="preserve">vedený </w:t>
      </w:r>
      <w:r w:rsidR="00485448">
        <w:t xml:space="preserve">„debilním intelektem“ proto ochotně </w:t>
      </w:r>
      <w:r>
        <w:t xml:space="preserve">přijme objektivně nutné závěry </w:t>
      </w:r>
      <w:r w:rsidR="00485448">
        <w:t>moderních iluminátů. Jejich „radostná věda“</w:t>
      </w:r>
      <w:r w:rsidR="00485448" w:rsidRPr="00485448">
        <w:t xml:space="preserve"> je řízena</w:t>
      </w:r>
      <w:r w:rsidR="00485448">
        <w:t xml:space="preserve"> objektivně neexistujícími Fúriemi</w:t>
      </w:r>
      <w:r w:rsidR="00485448" w:rsidRPr="00485448">
        <w:t>. Stručně řečeno, opět se zde odehrává tragikomedie objektivity</w:t>
      </w:r>
      <w:r w:rsidR="00485448">
        <w:t xml:space="preserve"> daná jako další scénické </w:t>
      </w:r>
      <w:r w:rsidR="00485448" w:rsidRPr="00485448">
        <w:t>divadlo antické</w:t>
      </w:r>
      <w:r w:rsidR="00485448">
        <w:t>ho</w:t>
      </w:r>
      <w:r w:rsidR="00485448" w:rsidRPr="00485448">
        <w:t xml:space="preserve"> gnosticismu.</w:t>
      </w:r>
      <w:r w:rsidR="00314D9B">
        <w:t xml:space="preserve"> </w:t>
      </w:r>
      <w:r>
        <w:t xml:space="preserve">Dnes tuto objektivní </w:t>
      </w:r>
      <w:r w:rsidR="00DD0B8C">
        <w:t xml:space="preserve">nauku dostáváme </w:t>
      </w:r>
      <w:r>
        <w:t xml:space="preserve">v modu Hegelovy dějinné nutnosti, v níž </w:t>
      </w:r>
      <w:r w:rsidRPr="087A1E91">
        <w:rPr>
          <w:i/>
        </w:rPr>
        <w:t>vestigium</w:t>
      </w:r>
      <w:r>
        <w:t xml:space="preserve"> absolutního ducha opatrují noví ilumináti. </w:t>
      </w:r>
      <w:r w:rsidR="00366856">
        <w:t>Jejich o</w:t>
      </w:r>
      <w:r>
        <w:t xml:space="preserve">bjektivní </w:t>
      </w:r>
      <w:r w:rsidRPr="08CF5117">
        <w:rPr>
          <w:i/>
        </w:rPr>
        <w:t>religio</w:t>
      </w:r>
      <w:r>
        <w:t xml:space="preserve"> </w:t>
      </w:r>
      <w:r w:rsidR="00366856">
        <w:t>vytváří poslední spojení s racionalitou nyní již mrtvého moderního boha.</w:t>
      </w:r>
      <w:r w:rsidR="00410791">
        <w:t xml:space="preserve"> Proto nijak neudi</w:t>
      </w:r>
      <w:r w:rsidR="00366856">
        <w:t>vuje fr</w:t>
      </w:r>
      <w:r w:rsidR="00410791">
        <w:t xml:space="preserve">enetická činnost současné </w:t>
      </w:r>
      <w:r w:rsidR="00410791" w:rsidRPr="00410791">
        <w:rPr>
          <w:i/>
        </w:rPr>
        <w:t>inteli</w:t>
      </w:r>
      <w:r w:rsidR="00366856" w:rsidRPr="00410791">
        <w:rPr>
          <w:i/>
        </w:rPr>
        <w:t>gentia spiritualis</w:t>
      </w:r>
      <w:r w:rsidR="00366856">
        <w:t>, která skrze</w:t>
      </w:r>
      <w:r w:rsidR="00B872E8">
        <w:t xml:space="preserve"> </w:t>
      </w:r>
      <w:r w:rsidR="00366856">
        <w:t xml:space="preserve">udržuje naživu globální </w:t>
      </w:r>
      <w:r w:rsidR="00366856" w:rsidRPr="08B6006C">
        <w:rPr>
          <w:i/>
        </w:rPr>
        <w:t>image</w:t>
      </w:r>
      <w:r w:rsidR="00B872E8">
        <w:t xml:space="preserve"> tohoto simulákra </w:t>
      </w:r>
      <w:r w:rsidR="00366856">
        <w:t>pomocí akademických</w:t>
      </w:r>
      <w:r w:rsidR="00410791">
        <w:t xml:space="preserve"> ideologií</w:t>
      </w:r>
      <w:r w:rsidR="00366856">
        <w:t xml:space="preserve">, mediálních </w:t>
      </w:r>
      <w:r w:rsidR="00410791">
        <w:t xml:space="preserve">lží </w:t>
      </w:r>
      <w:r w:rsidR="00366856">
        <w:t>a finančních manipulací. A</w:t>
      </w:r>
      <w:r>
        <w:t xml:space="preserve">kademická a kulturní hegemonie prvních objektivních iluminátů typu Oliviho a Scota </w:t>
      </w:r>
      <w:r w:rsidR="00410791">
        <w:t xml:space="preserve">se </w:t>
      </w:r>
      <w:r>
        <w:t>změnila na instrumentální racional</w:t>
      </w:r>
      <w:r w:rsidR="00F011AF">
        <w:t>itu dnešní nihilistické epochy.</w:t>
      </w:r>
    </w:p>
    <w:p w:rsidR="00B872E8" w:rsidRDefault="00B872E8" w:rsidP="00B872E8"/>
    <w:p w:rsidR="00B872E8" w:rsidRDefault="00B872E8" w:rsidP="00B872E8">
      <w:pPr>
        <w:pStyle w:val="Nadpis3"/>
      </w:pPr>
      <w:r>
        <w:br w:type="page"/>
      </w:r>
      <w:bookmarkStart w:id="96" w:name="_Toc180231679"/>
      <w:r>
        <w:lastRenderedPageBreak/>
        <w:t>5.4.4 Smrt moderního boha a nástup postmoderny</w:t>
      </w:r>
      <w:bookmarkEnd w:id="96"/>
      <w:r>
        <w:t xml:space="preserve"> </w:t>
      </w:r>
    </w:p>
    <w:p w:rsidR="00DF04BF" w:rsidRDefault="08163013" w:rsidP="00B872E8">
      <w:r>
        <w:t>Scotus zavedl kulturní a akademickou hegemonii</w:t>
      </w:r>
      <w:r>
        <w:fldChar w:fldCharType="begin"/>
      </w:r>
      <w:r>
        <w:instrText xml:space="preserve"> XE "</w:instrText>
      </w:r>
      <w:r w:rsidRPr="08DB1190">
        <w:instrText>kulturní hegemonie</w:instrText>
      </w:r>
      <w:r>
        <w:instrText xml:space="preserve">" </w:instrText>
      </w:r>
      <w:r>
        <w:fldChar w:fldCharType="end"/>
      </w:r>
      <w:r>
        <w:t xml:space="preserve"> moderny tím, že mystické vidění objektivní racionality dané mimo reálný svět povýšil na úroveň metafyziky. </w:t>
      </w:r>
      <w:r w:rsidRPr="00273106">
        <w:t>Každá úroveň objektivity má svou vlastní konstituci</w:t>
      </w:r>
      <w:r>
        <w:t xml:space="preserve"> a také vlastní způsob poznání od boha nebo od člověka. </w:t>
      </w:r>
      <w:r w:rsidRPr="00273106">
        <w:t xml:space="preserve">Objektivní </w:t>
      </w:r>
      <w:r>
        <w:t xml:space="preserve">jsoucno </w:t>
      </w:r>
      <w:r w:rsidRPr="00273106">
        <w:t>vzniklo díky intencionalitě božího intelektu (</w:t>
      </w:r>
      <w:r w:rsidRPr="00273106">
        <w:rPr>
          <w:i/>
        </w:rPr>
        <w:t>relatio determinans</w:t>
      </w:r>
      <w:r w:rsidRPr="00273106">
        <w:t xml:space="preserve">), který produkuje </w:t>
      </w:r>
      <w:r>
        <w:t xml:space="preserve">esenciální </w:t>
      </w:r>
      <w:r w:rsidRPr="00273106">
        <w:t>obsah (</w:t>
      </w:r>
      <w:r w:rsidRPr="00273106">
        <w:rPr>
          <w:i/>
        </w:rPr>
        <w:t>ratio entis</w:t>
      </w:r>
      <w:r w:rsidRPr="00273106">
        <w:t>) determinovaný pouze objektivně danou jsoucnosti jako minimálním konceptem jsoucna (</w:t>
      </w:r>
      <w:r w:rsidR="00E845A7">
        <w:rPr>
          <w:i/>
        </w:rPr>
        <w:t>ens de</w:t>
      </w:r>
      <w:r w:rsidRPr="00273106">
        <w:rPr>
          <w:i/>
        </w:rPr>
        <w:t>minutum</w:t>
      </w:r>
      <w:r>
        <w:rPr>
          <w:i/>
        </w:rPr>
        <w:fldChar w:fldCharType="begin"/>
      </w:r>
      <w:r>
        <w:instrText xml:space="preserve"> XE "</w:instrText>
      </w:r>
      <w:r w:rsidRPr="003A21F2">
        <w:rPr>
          <w:i/>
        </w:rPr>
        <w:instrText>esse diminutum</w:instrText>
      </w:r>
      <w:r>
        <w:instrText xml:space="preserve">" </w:instrText>
      </w:r>
      <w:r>
        <w:rPr>
          <w:i/>
        </w:rPr>
        <w:fldChar w:fldCharType="end"/>
      </w:r>
      <w:r w:rsidRPr="00273106">
        <w:t xml:space="preserve">). Exemplar má jen potenciální </w:t>
      </w:r>
      <w:r>
        <w:t>a objektivní</w:t>
      </w:r>
      <w:r w:rsidRPr="00585111">
        <w:rPr>
          <w:i/>
        </w:rPr>
        <w:t xml:space="preserve"> haecceitas</w:t>
      </w:r>
      <w:r>
        <w:rPr>
          <w:i/>
        </w:rPr>
        <w:fldChar w:fldCharType="begin"/>
      </w:r>
      <w:r>
        <w:instrText xml:space="preserve"> XE "</w:instrText>
      </w:r>
      <w:r w:rsidRPr="00B566C1">
        <w:rPr>
          <w:i/>
        </w:rPr>
        <w:instrText>haecceitas</w:instrText>
      </w:r>
      <w:r>
        <w:instrText xml:space="preserve">" </w:instrText>
      </w:r>
      <w:r>
        <w:rPr>
          <w:i/>
        </w:rPr>
        <w:fldChar w:fldCharType="end"/>
      </w:r>
      <w:r>
        <w:t xml:space="preserve"> </w:t>
      </w:r>
      <w:r w:rsidRPr="00273106">
        <w:t xml:space="preserve">věci, na rozdíl od boží </w:t>
      </w:r>
      <w:r>
        <w:t xml:space="preserve">stvořitelské </w:t>
      </w:r>
      <w:r w:rsidRPr="00273106">
        <w:t>ideje</w:t>
      </w:r>
      <w:r>
        <w:t>. Demiurgická idea je daná v reálně tvořící vůli</w:t>
      </w:r>
      <w:r w:rsidRPr="00273106">
        <w:t xml:space="preserve">, která už </w:t>
      </w:r>
      <w:r>
        <w:t xml:space="preserve">produkuje </w:t>
      </w:r>
      <w:r w:rsidRPr="00273106">
        <w:t>a</w:t>
      </w:r>
      <w:r>
        <w:t>ktualitu stvořené věci. O</w:t>
      </w:r>
      <w:r w:rsidRPr="00273106">
        <w:t>bjektivní jsoucno (</w:t>
      </w:r>
      <w:r w:rsidRPr="00273106">
        <w:rPr>
          <w:i/>
        </w:rPr>
        <w:t>ens potentiale</w:t>
      </w:r>
      <w:r w:rsidRPr="00273106">
        <w:t xml:space="preserve">) </w:t>
      </w:r>
      <w:r>
        <w:t xml:space="preserve">se </w:t>
      </w:r>
      <w:r w:rsidRPr="00273106">
        <w:t>liší vzhledem ke stvořitelskému a efektivnímu bytí</w:t>
      </w:r>
      <w:r>
        <w:t xml:space="preserve"> boha, protože na úrovni objektivně </w:t>
      </w:r>
      <w:r w:rsidRPr="00273106">
        <w:t>determinovaného jsoucna není kauzální vztah (</w:t>
      </w:r>
      <w:r w:rsidRPr="00273106">
        <w:rPr>
          <w:i/>
        </w:rPr>
        <w:t>relatio actualis</w:t>
      </w:r>
      <w:r w:rsidRPr="00273106">
        <w:t xml:space="preserve">). Kámen </w:t>
      </w:r>
      <w:r>
        <w:t>jako první poznatelná substance na úrovni čistého jsoucna má pouze potenciální bytí</w:t>
      </w:r>
      <w:r w:rsidR="0098517C">
        <w:t>,</w:t>
      </w:r>
      <w:r>
        <w:t xml:space="preserve"> a z tohoto hlediska ne</w:t>
      </w:r>
      <w:r w:rsidR="0098517C">
        <w:t xml:space="preserve">ní </w:t>
      </w:r>
      <w:r w:rsidRPr="00273106">
        <w:t>reáln</w:t>
      </w:r>
      <w:r w:rsidR="0098517C">
        <w:t>ým</w:t>
      </w:r>
      <w:r w:rsidRPr="00273106">
        <w:t xml:space="preserve"> kamene</w:t>
      </w:r>
      <w:r w:rsidR="0098517C">
        <w:t>m</w:t>
      </w:r>
      <w:r w:rsidRPr="00273106">
        <w:t>. Pak platí, že objektivně ratifikované jsoucno (</w:t>
      </w:r>
      <w:r w:rsidRPr="00273106">
        <w:rPr>
          <w:i/>
        </w:rPr>
        <w:t>ens ratum</w:t>
      </w:r>
      <w:r>
        <w:rPr>
          <w:i/>
        </w:rPr>
        <w:fldChar w:fldCharType="begin"/>
      </w:r>
      <w:r>
        <w:instrText xml:space="preserve"> XE "</w:instrText>
      </w:r>
      <w:r w:rsidRPr="00B2798F">
        <w:rPr>
          <w:rStyle w:val="addmd"/>
          <w:i/>
        </w:rPr>
        <w:instrText>ens ratum:</w:instrText>
      </w:r>
      <w:r>
        <w:instrText xml:space="preserve">Scotus" </w:instrText>
      </w:r>
      <w:r>
        <w:rPr>
          <w:i/>
        </w:rPr>
        <w:fldChar w:fldCharType="end"/>
      </w:r>
      <w:r>
        <w:t>) „ex</w:t>
      </w:r>
      <w:r w:rsidRPr="00273106">
        <w:t xml:space="preserve">sistuje“ jen vzhledem k exemplární příčině a nemůže být </w:t>
      </w:r>
      <w:r>
        <w:t xml:space="preserve">dáno </w:t>
      </w:r>
      <w:r w:rsidRPr="00273106">
        <w:t xml:space="preserve">v systému efektivní stvořitelské kauzality. Příkladem může být podle Scota socha Cézara, která jej reprezentuje i mimo jeho reálnou existenci, tj. </w:t>
      </w:r>
      <w:r>
        <w:t xml:space="preserve">i </w:t>
      </w:r>
      <w:r w:rsidRPr="00273106">
        <w:t>po jeho vraždě. Nikdo neřekne, že je to umenšené bytí Cézara. Pro</w:t>
      </w:r>
      <w:r>
        <w:t>to</w:t>
      </w:r>
      <w:r w:rsidRPr="00273106">
        <w:t xml:space="preserve"> </w:t>
      </w:r>
      <w:r>
        <w:t xml:space="preserve">představuje </w:t>
      </w:r>
      <w:r w:rsidR="006F488A">
        <w:t xml:space="preserve">Scotovo </w:t>
      </w:r>
      <w:r w:rsidRPr="00273106">
        <w:rPr>
          <w:i/>
        </w:rPr>
        <w:t>esse diminutum</w:t>
      </w:r>
      <w:r>
        <w:rPr>
          <w:i/>
        </w:rPr>
        <w:fldChar w:fldCharType="begin"/>
      </w:r>
      <w:r>
        <w:instrText xml:space="preserve"> XE "</w:instrText>
      </w:r>
      <w:r w:rsidRPr="00782C1F">
        <w:rPr>
          <w:i/>
        </w:rPr>
        <w:instrText>esse diminutum</w:instrText>
      </w:r>
      <w:r>
        <w:instrText xml:space="preserve">" </w:instrText>
      </w:r>
      <w:r>
        <w:rPr>
          <w:i/>
        </w:rPr>
        <w:fldChar w:fldCharType="end"/>
      </w:r>
      <w:r w:rsidRPr="00273106">
        <w:t xml:space="preserve"> jiný druh repr</w:t>
      </w:r>
      <w:r>
        <w:t xml:space="preserve">ezentace věcí v boží mysli, která má </w:t>
      </w:r>
      <w:r w:rsidRPr="00273106">
        <w:t>čistě objektivní</w:t>
      </w:r>
      <w:r>
        <w:t xml:space="preserve"> charakter. Minimální </w:t>
      </w:r>
      <w:r w:rsidRPr="00273106">
        <w:t xml:space="preserve">objektivní </w:t>
      </w:r>
      <w:r>
        <w:t xml:space="preserve">jsoucno </w:t>
      </w:r>
      <w:r w:rsidRPr="00273106">
        <w:t>je fo</w:t>
      </w:r>
      <w:r>
        <w:t xml:space="preserve">rmálně vzato pouze v modu </w:t>
      </w:r>
      <w:r w:rsidRPr="00273106">
        <w:rPr>
          <w:i/>
        </w:rPr>
        <w:t>secundum quid simpliciter</w:t>
      </w:r>
      <w:r>
        <w:rPr>
          <w:i/>
        </w:rPr>
        <w:fldChar w:fldCharType="begin"/>
      </w:r>
      <w:r>
        <w:instrText xml:space="preserve"> XE "objektivita:</w:instrText>
      </w:r>
      <w:r w:rsidRPr="003A6072">
        <w:rPr>
          <w:i/>
        </w:rPr>
        <w:instrText>secundum quid simpliciter</w:instrText>
      </w:r>
      <w:r>
        <w:instrText xml:space="preserve">" </w:instrText>
      </w:r>
      <w:r>
        <w:rPr>
          <w:i/>
        </w:rPr>
        <w:fldChar w:fldCharType="end"/>
      </w:r>
      <w:r w:rsidRPr="00273106">
        <w:t>.</w:t>
      </w:r>
      <w:r w:rsidRPr="00273106">
        <w:rPr>
          <w:rStyle w:val="Znakapoznpodarou"/>
        </w:rPr>
        <w:footnoteReference w:id="470"/>
      </w:r>
      <w:r w:rsidRPr="00273106">
        <w:t xml:space="preserve"> V tomto určení je dáno  jádro objektivity, protože toto </w:t>
      </w:r>
      <w:r>
        <w:t xml:space="preserve">jsoucno </w:t>
      </w:r>
      <w:r w:rsidRPr="00273106">
        <w:t xml:space="preserve">je čistým objektem a čistým rozvrhem božího intelektu. Logickým vyloučením třetího je toto minimální </w:t>
      </w:r>
      <w:r>
        <w:t xml:space="preserve">jsoucno </w:t>
      </w:r>
      <w:r w:rsidRPr="00273106">
        <w:t xml:space="preserve">odlišeno pouze od nicoty a tak je dostatečně diferencováno od jiného jsoucna. Ale minimální jsoucnost </w:t>
      </w:r>
      <w:r>
        <w:t xml:space="preserve">definovaná jako substance </w:t>
      </w:r>
      <w:r w:rsidRPr="00273106">
        <w:t>zajistila, že Scotus odmítne analogii jsoucna danou v rámci matematické abstrakce</w:t>
      </w:r>
      <w:r>
        <w:fldChar w:fldCharType="begin"/>
      </w:r>
      <w:r>
        <w:instrText xml:space="preserve"> XE "</w:instrText>
      </w:r>
      <w:r w:rsidRPr="00A824F0">
        <w:instrText>abstrakce:matematická</w:instrText>
      </w:r>
      <w:r>
        <w:instrText xml:space="preserve">" </w:instrText>
      </w:r>
      <w:r>
        <w:fldChar w:fldCharType="end"/>
      </w:r>
      <w:r w:rsidRPr="00273106">
        <w:t xml:space="preserve"> a Euklidovy analogické ge</w:t>
      </w:r>
      <w:r>
        <w:t xml:space="preserve">ometrie. Metafyzická predikace </w:t>
      </w:r>
      <w:r w:rsidRPr="00273106">
        <w:rPr>
          <w:i/>
        </w:rPr>
        <w:t>ad unum</w:t>
      </w:r>
      <w:r w:rsidRPr="00273106">
        <w:t xml:space="preserve"> je vzata striktně kategoriálně, ale nikoliv v modu Aristotelových kategorií</w:t>
      </w:r>
      <w:r>
        <w:t xml:space="preserve">, protože jako </w:t>
      </w:r>
      <w:r>
        <w:lastRenderedPageBreak/>
        <w:t xml:space="preserve">základ predikace </w:t>
      </w:r>
      <w:r w:rsidR="006F488A">
        <w:t>slouží Avicennova esence (kap. 5</w:t>
      </w:r>
      <w:r>
        <w:t>.3.1)</w:t>
      </w:r>
      <w:r w:rsidRPr="00273106">
        <w:t xml:space="preserve">. Scotus predikuje objektivitu v modu </w:t>
      </w:r>
      <w:r w:rsidRPr="00273106">
        <w:rPr>
          <w:i/>
        </w:rPr>
        <w:t>per prius</w:t>
      </w:r>
      <w:r w:rsidRPr="00273106">
        <w:t xml:space="preserve"> </w:t>
      </w:r>
      <w:r>
        <w:t xml:space="preserve">u boha </w:t>
      </w:r>
      <w:r w:rsidRPr="00273106">
        <w:t xml:space="preserve">a </w:t>
      </w:r>
      <w:r w:rsidRPr="00273106">
        <w:rPr>
          <w:i/>
        </w:rPr>
        <w:t>per posterius</w:t>
      </w:r>
      <w:r>
        <w:rPr>
          <w:i/>
        </w:rPr>
        <w:t xml:space="preserve"> </w:t>
      </w:r>
      <w:r w:rsidRPr="00E87F1B">
        <w:t>ve stvoření</w:t>
      </w:r>
      <w:r w:rsidR="006F488A">
        <w:t>.</w:t>
      </w:r>
    </w:p>
    <w:p w:rsidR="0087391F" w:rsidRDefault="00DF04BF" w:rsidP="0087391F">
      <w:pPr>
        <w:ind w:firstLine="397"/>
      </w:pPr>
      <w:r>
        <w:t>Dedukce, čili vyvedení objektivity</w:t>
      </w:r>
      <w:r>
        <w:fldChar w:fldCharType="begin"/>
      </w:r>
      <w:r>
        <w:instrText xml:space="preserve"> XE "</w:instrText>
      </w:r>
      <w:r w:rsidRPr="002E1D9A">
        <w:instrText>objektivita:dedukce</w:instrText>
      </w:r>
      <w:r>
        <w:instrText xml:space="preserve">" </w:instrText>
      </w:r>
      <w:r>
        <w:fldChar w:fldCharType="end"/>
      </w:r>
      <w:r>
        <w:t xml:space="preserve"> od boha do stvoření je vysvětleno v traktátech </w:t>
      </w:r>
      <w:r w:rsidRPr="00852D77">
        <w:rPr>
          <w:i/>
        </w:rPr>
        <w:t>De vestigio</w:t>
      </w:r>
      <w:r>
        <w:t xml:space="preserve"> a </w:t>
      </w:r>
      <w:r w:rsidRPr="00852D77">
        <w:rPr>
          <w:i/>
        </w:rPr>
        <w:t>De imagine</w:t>
      </w:r>
      <w:r>
        <w:t>. Stopu (</w:t>
      </w:r>
      <w:r w:rsidR="00884743">
        <w:rPr>
          <w:i/>
        </w:rPr>
        <w:t>vestigium</w:t>
      </w:r>
      <w:r>
        <w:t xml:space="preserve">) boží racionality ve stvoření ukazují věčné objektivně dané boží pravdy vyzářené do světa v modu objektivně dedukovaného </w:t>
      </w:r>
      <w:r w:rsidRPr="00425686">
        <w:rPr>
          <w:i/>
        </w:rPr>
        <w:t>ens ratum</w:t>
      </w:r>
      <w:r>
        <w:rPr>
          <w:i/>
        </w:rPr>
        <w:fldChar w:fldCharType="begin"/>
      </w:r>
      <w:r>
        <w:instrText xml:space="preserve"> XE "</w:instrText>
      </w:r>
      <w:r w:rsidRPr="00B2798F">
        <w:rPr>
          <w:rStyle w:val="addmd"/>
          <w:i/>
        </w:rPr>
        <w:instrText>ens ratum:</w:instrText>
      </w:r>
      <w:r>
        <w:instrText xml:space="preserve">Scotus" </w:instrText>
      </w:r>
      <w:r>
        <w:rPr>
          <w:i/>
        </w:rPr>
        <w:fldChar w:fldCharType="end"/>
      </w:r>
      <w:r>
        <w:t xml:space="preserve">. </w:t>
      </w:r>
      <w:r w:rsidR="001A4CD8" w:rsidRPr="001A4CD8">
        <w:t xml:space="preserve">Přirozený lidský intelekt uvažuje o stopě božské objektivní racionality prostřednictvím dedukce nové metafyziky. </w:t>
      </w:r>
      <w:r>
        <w:t>Co produkuje boží nekonečný intelekt skrze deduktivní formu soudu (</w:t>
      </w:r>
      <w:r w:rsidRPr="00273106">
        <w:rPr>
          <w:i/>
        </w:rPr>
        <w:t>vestigium</w:t>
      </w:r>
      <w:r w:rsidR="006E1D45">
        <w:t xml:space="preserve">), </w:t>
      </w:r>
      <w:r>
        <w:t>to ve stejném typu dedukce přijímá konečný intelekt (</w:t>
      </w:r>
      <w:r w:rsidRPr="00273106">
        <w:rPr>
          <w:i/>
        </w:rPr>
        <w:t>imago</w:t>
      </w:r>
      <w:r>
        <w:t>). Naše myšlení poznává boží racionalitu ve formálně stejném modu objektivní a metafyzické nutnosti dané nekonečně a konečně</w:t>
      </w:r>
      <w:r w:rsidRPr="00273106">
        <w:t xml:space="preserve">. </w:t>
      </w:r>
      <w:r>
        <w:t xml:space="preserve">Racionalita vědeckého soudu zajišťuje objektivní </w:t>
      </w:r>
      <w:r w:rsidRPr="00273106">
        <w:t xml:space="preserve">shodu mezi boží a lidskou </w:t>
      </w:r>
      <w:r>
        <w:t>rac</w:t>
      </w:r>
      <w:r w:rsidRPr="00273106">
        <w:t>ionalitou oddělenou odlišným hab</w:t>
      </w:r>
      <w:r>
        <w:t>item nekonečné a konečné mysli. Produkce objektivity v modu formální kauzality (</w:t>
      </w:r>
      <w:r w:rsidRPr="00054304">
        <w:rPr>
          <w:i/>
        </w:rPr>
        <w:t>quo est</w:t>
      </w:r>
      <w:r>
        <w:rPr>
          <w:i/>
        </w:rPr>
        <w:fldChar w:fldCharType="begin"/>
      </w:r>
      <w:r>
        <w:instrText xml:space="preserve"> XE "</w:instrText>
      </w:r>
      <w:r w:rsidRPr="003C4F2E">
        <w:rPr>
          <w:i/>
        </w:rPr>
        <w:instrText>quo est</w:instrText>
      </w:r>
      <w:r>
        <w:instrText xml:space="preserve">" </w:instrText>
      </w:r>
      <w:r>
        <w:rPr>
          <w:i/>
        </w:rPr>
        <w:fldChar w:fldCharType="end"/>
      </w:r>
      <w:r>
        <w:t xml:space="preserve">) zrušila svět jsoucen třetího druhu a přitom založila pozitivní výměr jsoucna v modu </w:t>
      </w:r>
      <w:r w:rsidR="00644B09">
        <w:t>„</w:t>
      </w:r>
      <w:r w:rsidRPr="000E3248">
        <w:rPr>
          <w:i/>
        </w:rPr>
        <w:t>quod est</w:t>
      </w:r>
      <w:r w:rsidR="00644B09">
        <w:t>“</w:t>
      </w:r>
      <w:r w:rsidRPr="00273106">
        <w:t xml:space="preserve">. </w:t>
      </w:r>
      <w:r>
        <w:t xml:space="preserve">Avicennova </w:t>
      </w:r>
      <w:r w:rsidR="00644B09">
        <w:t>„</w:t>
      </w:r>
      <w:r w:rsidRPr="00273106">
        <w:rPr>
          <w:i/>
        </w:rPr>
        <w:t>humanitas tantum</w:t>
      </w:r>
      <w:r w:rsidR="00644B09">
        <w:t>“</w:t>
      </w:r>
      <w:r w:rsidRPr="00273106">
        <w:t xml:space="preserve"> dostala ve Scotově scén</w:t>
      </w:r>
      <w:r>
        <w:t>áři finální a formální kauzalitu</w:t>
      </w:r>
      <w:r w:rsidRPr="00273106">
        <w:t xml:space="preserve"> </w:t>
      </w:r>
      <w:r>
        <w:t xml:space="preserve">a </w:t>
      </w:r>
      <w:r w:rsidRPr="00273106">
        <w:t xml:space="preserve">potřebnou </w:t>
      </w:r>
      <w:r>
        <w:t>minimální jsoucnost</w:t>
      </w:r>
      <w:r>
        <w:rPr>
          <w:i/>
        </w:rPr>
        <w:fldChar w:fldCharType="begin"/>
      </w:r>
      <w:r>
        <w:instrText xml:space="preserve"> XE "</w:instrText>
      </w:r>
      <w:r w:rsidRPr="00420622">
        <w:rPr>
          <w:i/>
        </w:rPr>
        <w:instrText>humanitas:</w:instrText>
      </w:r>
      <w:r>
        <w:instrText xml:space="preserve">Scotus" </w:instrText>
      </w:r>
      <w:r>
        <w:rPr>
          <w:i/>
        </w:rPr>
        <w:fldChar w:fldCharType="end"/>
      </w:r>
      <w:r w:rsidR="002E03D3">
        <w:t xml:space="preserve">. </w:t>
      </w:r>
      <w:r w:rsidR="006F488A">
        <w:t xml:space="preserve">Scotus upravil </w:t>
      </w:r>
      <w:r w:rsidR="08163013">
        <w:t>Bonaventurovy stvořitelské a tvořitelské regule</w:t>
      </w:r>
      <w:r w:rsidR="006F488A">
        <w:t xml:space="preserve"> (</w:t>
      </w:r>
      <w:r w:rsidR="006F488A" w:rsidRPr="006F488A">
        <w:rPr>
          <w:i/>
        </w:rPr>
        <w:t>regula agentis in/creati</w:t>
      </w:r>
      <w:r w:rsidR="006F488A">
        <w:t xml:space="preserve">) do </w:t>
      </w:r>
      <w:r w:rsidR="08163013">
        <w:t>modelu Aristotelových kategorií</w:t>
      </w:r>
      <w:r w:rsidR="006F488A">
        <w:t xml:space="preserve">. Nová forma dvojí dedukce (Bonaventurova </w:t>
      </w:r>
      <w:r w:rsidR="006F488A" w:rsidRPr="006F488A">
        <w:rPr>
          <w:i/>
        </w:rPr>
        <w:t>resolutio semi/plena</w:t>
      </w:r>
      <w:r w:rsidR="006F488A">
        <w:t xml:space="preserve">) </w:t>
      </w:r>
      <w:r w:rsidR="08163013" w:rsidRPr="00273106">
        <w:t>vytvořil</w:t>
      </w:r>
      <w:r w:rsidR="08163013">
        <w:t>a</w:t>
      </w:r>
      <w:r w:rsidR="08163013" w:rsidRPr="00273106">
        <w:t xml:space="preserve"> jednotnou a </w:t>
      </w:r>
      <w:r w:rsidR="08163013">
        <w:t xml:space="preserve">strikně </w:t>
      </w:r>
      <w:r w:rsidR="08163013" w:rsidRPr="00273106">
        <w:t>deduktivní stavbu metafyziky</w:t>
      </w:r>
      <w:r w:rsidR="006F488A">
        <w:t xml:space="preserve">. Tato forma racionality </w:t>
      </w:r>
      <w:r w:rsidR="08163013">
        <w:t xml:space="preserve">platí dodnes skrze </w:t>
      </w:r>
      <w:r w:rsidR="08163013" w:rsidRPr="08FD118F">
        <w:rPr>
          <w:i/>
        </w:rPr>
        <w:t>Wirkungsgeschichte</w:t>
      </w:r>
      <w:r w:rsidR="08163013">
        <w:rPr>
          <w:i/>
        </w:rPr>
        <w:fldChar w:fldCharType="begin"/>
      </w:r>
      <w:r w:rsidR="08163013">
        <w:instrText xml:space="preserve"> XE "</w:instrText>
      </w:r>
      <w:r w:rsidR="08163013" w:rsidRPr="085F5A8C">
        <w:rPr>
          <w:i/>
        </w:rPr>
        <w:instrText>Wirkungsgeschichte</w:instrText>
      </w:r>
      <w:r w:rsidR="08163013">
        <w:instrText xml:space="preserve">" </w:instrText>
      </w:r>
      <w:r w:rsidR="08163013">
        <w:rPr>
          <w:i/>
        </w:rPr>
        <w:fldChar w:fldCharType="end"/>
      </w:r>
      <w:r w:rsidR="08163013">
        <w:t xml:space="preserve"> </w:t>
      </w:r>
      <w:r w:rsidR="006D1367">
        <w:t>různých verzí</w:t>
      </w:r>
      <w:r w:rsidR="00A36370">
        <w:t xml:space="preserve"> objektivity</w:t>
      </w:r>
      <w:r w:rsidR="08163013" w:rsidRPr="00273106">
        <w:t>.</w:t>
      </w:r>
      <w:r w:rsidR="002E03D3">
        <w:t xml:space="preserve"> </w:t>
      </w:r>
      <w:r w:rsidR="006E1D45">
        <w:t xml:space="preserve">Dedukce objektivity od neexistujícího boha </w:t>
      </w:r>
      <w:r w:rsidR="006E1D45" w:rsidRPr="08FB79A8">
        <w:rPr>
          <w:i/>
        </w:rPr>
        <w:t>Modernorum</w:t>
      </w:r>
      <w:r w:rsidR="006E1D45">
        <w:t xml:space="preserve"> je logicky naprosto bezchybná a zcela</w:t>
      </w:r>
      <w:r w:rsidR="00615240">
        <w:t xml:space="preserve"> paranoická. Pro zastánce prvního averroismu </w:t>
      </w:r>
      <w:r w:rsidR="006E1D45">
        <w:t xml:space="preserve">představoval podobný začátek metafyziky důkaz šíleného stavu mysli ve škole </w:t>
      </w:r>
      <w:r w:rsidR="006E1D45" w:rsidRPr="00D81463">
        <w:rPr>
          <w:i/>
        </w:rPr>
        <w:t>sophistae Latini</w:t>
      </w:r>
      <w:r w:rsidR="006E1D45">
        <w:t xml:space="preserve">. Scotus je první hegelián, protože náhledem do podstaty božího myšlení vytvořil první objektivní verzi absolutní logiky. Pod vedením objektivně založených Fúrií zanikla v nové formě </w:t>
      </w:r>
      <w:r w:rsidR="006E1D45" w:rsidRPr="00DF04BF">
        <w:rPr>
          <w:i/>
        </w:rPr>
        <w:t>dativus incommodi</w:t>
      </w:r>
      <w:r w:rsidR="006E1D45">
        <w:rPr>
          <w:i/>
        </w:rPr>
        <w:fldChar w:fldCharType="begin"/>
      </w:r>
      <w:r w:rsidR="006E1D45">
        <w:instrText xml:space="preserve"> XE "</w:instrText>
      </w:r>
      <w:r w:rsidR="006E1D45" w:rsidRPr="00934D18">
        <w:rPr>
          <w:i/>
        </w:rPr>
        <w:instrText>dativus incommodi</w:instrText>
      </w:r>
      <w:r w:rsidR="006E1D45">
        <w:instrText xml:space="preserve">" </w:instrText>
      </w:r>
      <w:r w:rsidR="006E1D45">
        <w:rPr>
          <w:i/>
        </w:rPr>
        <w:fldChar w:fldCharType="end"/>
      </w:r>
      <w:r w:rsidR="006E1D45" w:rsidRPr="00DF04BF">
        <w:rPr>
          <w:i/>
        </w:rPr>
        <w:t xml:space="preserve"> </w:t>
      </w:r>
      <w:r w:rsidR="006E1D45">
        <w:t>vize oxfordských iluminátů vedených Grossetestem (</w:t>
      </w:r>
      <w:r w:rsidR="006E1D45" w:rsidRPr="00A1703A">
        <w:rPr>
          <w:i/>
        </w:rPr>
        <w:t>immutabilitas praesentialis in mente et scientia divina</w:t>
      </w:r>
      <w:r w:rsidR="006E1D45">
        <w:t xml:space="preserve">; OBJ II, kap. 3.1.2). Nutnost daná ve stvoření jako racionální závěr v modu božího </w:t>
      </w:r>
      <w:r w:rsidR="006E1D45" w:rsidRPr="085D300C">
        <w:rPr>
          <w:i/>
        </w:rPr>
        <w:t>rectitudo</w:t>
      </w:r>
      <w:r w:rsidR="006E1D45">
        <w:t xml:space="preserve"> se stala jistou v mysli ilumináta podle Avicennova </w:t>
      </w:r>
      <w:r w:rsidR="006E1D45" w:rsidRPr="085D300C">
        <w:rPr>
          <w:i/>
        </w:rPr>
        <w:t>certitudo</w:t>
      </w:r>
      <w:r w:rsidR="006E1D45">
        <w:t xml:space="preserve">. Po logicky bezchybné dedukci iluminát „vidí“ objektivitu i ve stvoření. Po této mytologické konjunkci dvou typů jistoty v modu čisté esenciální dedukce je zakončena dějinná odyssea </w:t>
      </w:r>
      <w:r w:rsidR="006E1D45" w:rsidRPr="083B7618">
        <w:rPr>
          <w:i/>
        </w:rPr>
        <w:t>Oxfordian Fallacy</w:t>
      </w:r>
      <w:r w:rsidR="0087391F">
        <w:t xml:space="preserve">. </w:t>
      </w:r>
      <w:r w:rsidR="08163013">
        <w:t xml:space="preserve">Scotus je první moderní scholastik, protože stvořil objektivního boha jako nepochybný racionální základ nové metafyziky. Scotova </w:t>
      </w:r>
      <w:r w:rsidR="08163013">
        <w:lastRenderedPageBreak/>
        <w:t xml:space="preserve">objektivní forma teoretické kontemplace moderního boha (viz Platonova a Aristotelova </w:t>
      </w:r>
      <w:r w:rsidR="00ED4DDA" w:rsidRPr="00ED4DDA">
        <w:rPr>
          <w:i/>
        </w:rPr>
        <w:t>scholé</w:t>
      </w:r>
      <w:r w:rsidR="08163013">
        <w:t>) založila objektivní racionalitu a ustavila druhý počátek metafyziky na latinském Západě. Bůh se stal moderním scholastikem a moderní scholas</w:t>
      </w:r>
      <w:r w:rsidR="0087391F">
        <w:t>tik jej také nepochybně poznal.</w:t>
      </w:r>
    </w:p>
    <w:p w:rsidR="00DE56C5" w:rsidRPr="00414DDF" w:rsidRDefault="00FC1146" w:rsidP="00414DDF">
      <w:pPr>
        <w:ind w:firstLine="397"/>
        <w:rPr>
          <w:rStyle w:val="TextpoznpodarouChar"/>
        </w:rPr>
      </w:pPr>
      <w:r w:rsidRPr="00FC1146">
        <w:t>Hermeneutika musí najít definitivní odpověď na následující otázku:</w:t>
      </w:r>
      <w:r>
        <w:t xml:space="preserve"> Jak se objektivní jsoucno stalo</w:t>
      </w:r>
      <w:r w:rsidRPr="00FC1146">
        <w:t xml:space="preserve"> univerzální matematickou mírou všeho </w:t>
      </w:r>
      <w:r>
        <w:t>jsoucího</w:t>
      </w:r>
      <w:r w:rsidRPr="00FC1146">
        <w:t xml:space="preserve"> (</w:t>
      </w:r>
      <w:r w:rsidRPr="00FC1146">
        <w:rPr>
          <w:i/>
        </w:rPr>
        <w:t>dativus mensurae</w:t>
      </w:r>
      <w:r>
        <w:rPr>
          <w:i/>
          <w:iCs/>
        </w:rPr>
        <w:fldChar w:fldCharType="begin"/>
      </w:r>
      <w:r>
        <w:instrText xml:space="preserve"> XE "</w:instrText>
      </w:r>
      <w:r w:rsidRPr="002353D7">
        <w:rPr>
          <w:i/>
          <w:iCs/>
        </w:rPr>
        <w:instrText>dativus mensurae</w:instrText>
      </w:r>
      <w:r>
        <w:instrText xml:space="preserve">" </w:instrText>
      </w:r>
      <w:r>
        <w:rPr>
          <w:i/>
          <w:iCs/>
        </w:rPr>
        <w:fldChar w:fldCharType="end"/>
      </w:r>
      <w:r w:rsidRPr="00FC1146">
        <w:t>)? Nová metafyzika integruje funkci nekonečné božské racionality (</w:t>
      </w:r>
      <w:r w:rsidRPr="007853A9">
        <w:rPr>
          <w:i/>
        </w:rPr>
        <w:t>vestigium</w:t>
      </w:r>
      <w:r w:rsidRPr="00FC1146">
        <w:t>) do konečného světa, který je omezen vznikem a zánikem (</w:t>
      </w:r>
      <w:r w:rsidRPr="007853A9">
        <w:rPr>
          <w:i/>
        </w:rPr>
        <w:t>imago</w:t>
      </w:r>
      <w:r w:rsidRPr="00FC1146">
        <w:t>). Metafyzik postupuje dedukti</w:t>
      </w:r>
      <w:r w:rsidR="007853A9">
        <w:t>vně od stvoření k objektivnímu b</w:t>
      </w:r>
      <w:r w:rsidRPr="00FC1146">
        <w:t xml:space="preserve">ohu a naopak. Objektivní metafyzika vytváří </w:t>
      </w:r>
      <w:r w:rsidR="007853A9">
        <w:t xml:space="preserve">nové </w:t>
      </w:r>
      <w:r w:rsidRPr="007853A9">
        <w:rPr>
          <w:i/>
        </w:rPr>
        <w:t>tertium ens</w:t>
      </w:r>
      <w:r w:rsidRPr="00FC1146">
        <w:t>, které představuje objektivní imago božské racionality (</w:t>
      </w:r>
      <w:r w:rsidRPr="007853A9">
        <w:rPr>
          <w:i/>
        </w:rPr>
        <w:t>vestigium</w:t>
      </w:r>
      <w:r w:rsidRPr="00FC1146">
        <w:t>).</w:t>
      </w:r>
      <w:r w:rsidR="007853A9">
        <w:t xml:space="preserve"> Moderní subjekt přejímá božskou reguli </w:t>
      </w:r>
      <w:r w:rsidRPr="00FC1146">
        <w:t>a přetváří j</w:t>
      </w:r>
      <w:r w:rsidR="007853A9">
        <w:t>i</w:t>
      </w:r>
      <w:r w:rsidRPr="00FC1146">
        <w:t xml:space="preserve"> v objektivní skutečnost, která mu odpovídá (</w:t>
      </w:r>
      <w:r w:rsidRPr="007853A9">
        <w:rPr>
          <w:i/>
        </w:rPr>
        <w:t>concretum</w:t>
      </w:r>
      <w:r w:rsidRPr="00FC1146">
        <w:t>). Metafyzik zná formální racionalitu božské</w:t>
      </w:r>
      <w:r w:rsidR="007853A9">
        <w:t xml:space="preserve"> regule </w:t>
      </w:r>
      <w:r w:rsidRPr="00FC1146">
        <w:t xml:space="preserve">v každém okamžiku; skrze tuto racionalitu odvozuje fakta objektivně a kontingentně daná ve stvoření. Metafyzické odvození dané inovovanou formou neoplatónské katabáze směřuje od moderního </w:t>
      </w:r>
      <w:r w:rsidR="007853A9">
        <w:t>b</w:t>
      </w:r>
      <w:r w:rsidRPr="00FC1146">
        <w:t>oha k modernímu člověku (</w:t>
      </w:r>
      <w:r w:rsidRPr="007853A9">
        <w:rPr>
          <w:i/>
        </w:rPr>
        <w:t>vestigum→imago</w:t>
      </w:r>
      <w:r w:rsidRPr="00FC1146">
        <w:t>). Doplňuje ji objektivní integrace, která směřuje od</w:t>
      </w:r>
      <w:r w:rsidR="007853A9">
        <w:t xml:space="preserve"> moderního člověka k modernímu b</w:t>
      </w:r>
      <w:r w:rsidRPr="00FC1146">
        <w:t>ohu (</w:t>
      </w:r>
      <w:r w:rsidRPr="007853A9">
        <w:rPr>
          <w:i/>
        </w:rPr>
        <w:t>imago→vestigium</w:t>
      </w:r>
      <w:r w:rsidRPr="00FC1146">
        <w:t>). Proces metafyzické d</w:t>
      </w:r>
      <w:r w:rsidR="007853A9">
        <w:t>erivace objektivity směřuje od b</w:t>
      </w:r>
      <w:r w:rsidRPr="00FC1146">
        <w:t>oha k člověku, proces metafyzické integrace ob</w:t>
      </w:r>
      <w:r w:rsidR="007853A9">
        <w:t>jektivity směřuje od člověka k b</w:t>
      </w:r>
      <w:r w:rsidRPr="00FC1146">
        <w:t>ohu.</w:t>
      </w:r>
      <w:r w:rsidR="00A505AE">
        <w:t xml:space="preserve"> </w:t>
      </w:r>
      <w:r w:rsidR="007F7C73">
        <w:t xml:space="preserve">Koncept matematické funkce je určený jako </w:t>
      </w:r>
      <w:r w:rsidR="007F7C73" w:rsidRPr="0063730A">
        <w:rPr>
          <w:i/>
        </w:rPr>
        <w:t>regula agentis inc</w:t>
      </w:r>
      <w:r w:rsidR="007F7C73">
        <w:rPr>
          <w:i/>
        </w:rPr>
        <w:t>re</w:t>
      </w:r>
      <w:r w:rsidR="007F7C73" w:rsidRPr="0063730A">
        <w:rPr>
          <w:i/>
        </w:rPr>
        <w:t>ati</w:t>
      </w:r>
      <w:r w:rsidR="007F7C73">
        <w:t xml:space="preserve"> vzhledem k bodu X. </w:t>
      </w:r>
      <w:r w:rsidR="00A505AE" w:rsidRPr="00A505AE">
        <w:t>Metafyzik provádí matematické odvození božské racionality v bodě X. Zn</w:t>
      </w:r>
      <w:r w:rsidR="00A505AE">
        <w:t xml:space="preserve">á formální racionalitu božské regule </w:t>
      </w:r>
      <w:r w:rsidR="00A505AE" w:rsidRPr="00A505AE">
        <w:t>v libovolném okamžiku a na základě formální racionality božského pravidla pak odvozuje objektivně daná kon</w:t>
      </w:r>
      <w:r w:rsidR="002D5F12">
        <w:t>tingentní fakta. Scotův termín „</w:t>
      </w:r>
      <w:r w:rsidR="002D5F12" w:rsidRPr="002D5F12">
        <w:rPr>
          <w:i/>
        </w:rPr>
        <w:t>conceptus simpliciter simplex</w:t>
      </w:r>
      <w:r w:rsidR="002D5F12">
        <w:t>“</w:t>
      </w:r>
      <w:r w:rsidR="00A505AE" w:rsidRPr="00A505AE">
        <w:t xml:space="preserve"> tvoří styčný bod neboli bod dotyku m</w:t>
      </w:r>
      <w:r w:rsidR="002D5F12">
        <w:t xml:space="preserve">ezi nekonečným božským </w:t>
      </w:r>
      <w:r w:rsidR="002D5F12" w:rsidRPr="002D5F12">
        <w:rPr>
          <w:i/>
        </w:rPr>
        <w:t>vestigium</w:t>
      </w:r>
      <w:r w:rsidR="00A505AE" w:rsidRPr="00A505AE">
        <w:t xml:space="preserve"> a </w:t>
      </w:r>
      <w:r w:rsidR="002D5F12">
        <w:t xml:space="preserve">jeho konečným objektivním </w:t>
      </w:r>
      <w:r w:rsidR="002D5F12" w:rsidRPr="002D5F12">
        <w:rPr>
          <w:i/>
        </w:rPr>
        <w:t>imago</w:t>
      </w:r>
      <w:r w:rsidR="00A505AE" w:rsidRPr="00A505AE">
        <w:t xml:space="preserve">. Tato metafyzická tečna představuje novou formu mytologické kopulace nekonečného a konečného. Vytváří čistě metafyzický (později matematický) koncept, neboť zahrnuje formální definici minimálního jsoucna. </w:t>
      </w:r>
      <w:r w:rsidR="00DE56C5">
        <w:t xml:space="preserve">Tento typ objektivní racionality založil nový projekt </w:t>
      </w:r>
      <w:r w:rsidR="00DE56C5">
        <w:rPr>
          <w:i/>
        </w:rPr>
        <w:t>metaphysica</w:t>
      </w:r>
      <w:r w:rsidR="00DE56C5" w:rsidRPr="087F6781">
        <w:rPr>
          <w:i/>
        </w:rPr>
        <w:t xml:space="preserve"> generalis</w:t>
      </w:r>
      <w:r w:rsidR="00DE56C5">
        <w:t xml:space="preserve">. Scotus provedl důležitou inovaci porretánské matematiky dané jako derivace a integrace (OBJ II, kap. 1.6). Infinitezimální počet podle Scota navazujícího na školu </w:t>
      </w:r>
      <w:r w:rsidR="00DE56C5" w:rsidRPr="00E97EC2">
        <w:rPr>
          <w:i/>
        </w:rPr>
        <w:t>Nominales</w:t>
      </w:r>
      <w:r w:rsidR="00DE56C5">
        <w:t xml:space="preserve"> je dán v dialektice „</w:t>
      </w:r>
      <w:r w:rsidR="00DE56C5">
        <w:rPr>
          <w:i/>
        </w:rPr>
        <w:t>in</w:t>
      </w:r>
      <w:r w:rsidR="00DE56C5" w:rsidRPr="08856DDC">
        <w:rPr>
          <w:i/>
        </w:rPr>
        <w:t>finitum</w:t>
      </w:r>
      <w:r w:rsidR="00DE56C5">
        <w:rPr>
          <w:i/>
        </w:rPr>
        <w:t>–finitum</w:t>
      </w:r>
      <w:r w:rsidR="00DE56C5">
        <w:t>“. Správně derivovaná a integrovaná regule určuje v porretánském modu „</w:t>
      </w:r>
      <w:r w:rsidR="00DE56C5" w:rsidRPr="08335945">
        <w:rPr>
          <w:i/>
        </w:rPr>
        <w:t>semel</w:t>
      </w:r>
      <w:r w:rsidR="00DE56C5">
        <w:t>‒</w:t>
      </w:r>
      <w:r w:rsidR="00DE56C5" w:rsidRPr="08335945">
        <w:rPr>
          <w:i/>
        </w:rPr>
        <w:t>semper</w:t>
      </w:r>
      <w:r w:rsidR="00DE56C5">
        <w:t xml:space="preserve">“ každý kontigentní stav konkrétně dané racionality hypostázované v tom či onom objektivním </w:t>
      </w:r>
      <w:r w:rsidR="00DE56C5" w:rsidRPr="0061221D">
        <w:rPr>
          <w:i/>
        </w:rPr>
        <w:t>scibile</w:t>
      </w:r>
      <w:r w:rsidR="00DE56C5">
        <w:rPr>
          <w:i/>
        </w:rPr>
        <w:fldChar w:fldCharType="begin"/>
      </w:r>
      <w:r w:rsidR="00DE56C5">
        <w:instrText xml:space="preserve"> XE "</w:instrText>
      </w:r>
      <w:r w:rsidR="00DE56C5" w:rsidRPr="00AA4F67">
        <w:rPr>
          <w:i/>
        </w:rPr>
        <w:instrText>scibile</w:instrText>
      </w:r>
      <w:r w:rsidR="00DE56C5">
        <w:instrText xml:space="preserve">:Scotus" </w:instrText>
      </w:r>
      <w:r w:rsidR="00DE56C5">
        <w:rPr>
          <w:i/>
        </w:rPr>
        <w:fldChar w:fldCharType="end"/>
      </w:r>
      <w:r w:rsidR="00DE56C5">
        <w:t xml:space="preserve">. Spojením </w:t>
      </w:r>
      <w:r w:rsidR="00DE56C5">
        <w:lastRenderedPageBreak/>
        <w:t>metafyzické derivace a integrace založil Scotus univerzální objektivitu (</w:t>
      </w:r>
      <w:r w:rsidR="00DE56C5" w:rsidRPr="00FA51C4">
        <w:rPr>
          <w:i/>
        </w:rPr>
        <w:t>exemplar</w:t>
      </w:r>
      <w:r w:rsidR="00DE56C5">
        <w:t xml:space="preserve">, </w:t>
      </w:r>
      <w:r w:rsidR="00DE56C5" w:rsidRPr="00FA51C4">
        <w:rPr>
          <w:i/>
        </w:rPr>
        <w:t>vestigium</w:t>
      </w:r>
      <w:r w:rsidR="00DE56C5">
        <w:rPr>
          <w:i/>
        </w:rPr>
        <w:fldChar w:fldCharType="begin"/>
      </w:r>
      <w:r w:rsidR="00DE56C5">
        <w:instrText xml:space="preserve"> XE "</w:instrText>
      </w:r>
      <w:r w:rsidR="00DE56C5" w:rsidRPr="00757030">
        <w:rPr>
          <w:i/>
        </w:rPr>
        <w:instrText>vestigium</w:instrText>
      </w:r>
      <w:r w:rsidR="00DE56C5">
        <w:instrText xml:space="preserve">" </w:instrText>
      </w:r>
      <w:r w:rsidR="00DE56C5">
        <w:rPr>
          <w:i/>
        </w:rPr>
        <w:fldChar w:fldCharType="end"/>
      </w:r>
      <w:r w:rsidR="00DE56C5">
        <w:t xml:space="preserve">, </w:t>
      </w:r>
      <w:r w:rsidR="00DE56C5" w:rsidRPr="00FA51C4">
        <w:rPr>
          <w:i/>
        </w:rPr>
        <w:t>imago</w:t>
      </w:r>
      <w:r w:rsidR="00DE56C5">
        <w:t xml:space="preserve">). Přitom bylo zachováno rozlišení </w:t>
      </w:r>
      <w:r w:rsidR="00DE56C5" w:rsidRPr="00273106">
        <w:t>obou pojetí objektivity</w:t>
      </w:r>
      <w:r w:rsidR="00DE56C5">
        <w:t xml:space="preserve"> dané modem nekonečnosti a konečnosti</w:t>
      </w:r>
      <w:r w:rsidR="00DE56C5" w:rsidRPr="00273106">
        <w:t xml:space="preserve">. </w:t>
      </w:r>
      <w:r w:rsidR="00DE56C5">
        <w:t xml:space="preserve">Infinitezimální objektivita založila novou </w:t>
      </w:r>
      <w:r w:rsidR="00DE56C5" w:rsidRPr="08637F36">
        <w:rPr>
          <w:i/>
        </w:rPr>
        <w:t>mathesis universalis</w:t>
      </w:r>
      <w:r w:rsidR="00DE56C5">
        <w:rPr>
          <w:i/>
        </w:rPr>
        <w:fldChar w:fldCharType="begin"/>
      </w:r>
      <w:r w:rsidR="00DE56C5">
        <w:instrText xml:space="preserve"> XE "</w:instrText>
      </w:r>
      <w:r w:rsidR="00DE56C5" w:rsidRPr="08F751B6">
        <w:rPr>
          <w:i/>
        </w:rPr>
        <w:instrText>mathesis universalis</w:instrText>
      </w:r>
      <w:r w:rsidR="00DE56C5">
        <w:instrText xml:space="preserve">" </w:instrText>
      </w:r>
      <w:r w:rsidR="00DE56C5">
        <w:rPr>
          <w:i/>
        </w:rPr>
        <w:fldChar w:fldCharType="end"/>
      </w:r>
      <w:r w:rsidR="00DE56C5">
        <w:t xml:space="preserve"> nejprve v metafyzice a po smrti moderního boha už jen v matematice. Založení integrálního a diferenciálního počtu skrze novou formu ontoteologické objektivity obohacuje existenciály objektivního dativu o další člen v řadě epochálních určení (</w:t>
      </w:r>
      <w:r w:rsidR="00DE56C5" w:rsidRPr="00F5339A">
        <w:rPr>
          <w:i/>
        </w:rPr>
        <w:t>dativus mensurae</w:t>
      </w:r>
      <w:r w:rsidR="00DE56C5">
        <w:rPr>
          <w:i/>
        </w:rPr>
        <w:fldChar w:fldCharType="begin"/>
      </w:r>
      <w:r w:rsidR="00DE56C5">
        <w:instrText xml:space="preserve"> XE "</w:instrText>
      </w:r>
      <w:r w:rsidR="00DE56C5" w:rsidRPr="002353D7">
        <w:rPr>
          <w:i/>
          <w:iCs/>
        </w:rPr>
        <w:instrText>dativus mensurae</w:instrText>
      </w:r>
      <w:r w:rsidR="00DE56C5">
        <w:instrText xml:space="preserve">" </w:instrText>
      </w:r>
      <w:r w:rsidR="00DE56C5">
        <w:rPr>
          <w:i/>
        </w:rPr>
        <w:fldChar w:fldCharType="end"/>
      </w:r>
      <w:r w:rsidR="00DE56C5">
        <w:t xml:space="preserve">). Vznik unitární vědy ukazuje, jak se </w:t>
      </w:r>
      <w:r w:rsidR="00DE56C5">
        <w:rPr>
          <w:iCs/>
        </w:rPr>
        <w:t xml:space="preserve">stala objektivní esence daná pouze v mysli </w:t>
      </w:r>
      <w:r w:rsidR="00DE56C5" w:rsidRPr="00273106">
        <w:rPr>
          <w:iCs/>
        </w:rPr>
        <w:t>univerzální mírou všeho jsoucího</w:t>
      </w:r>
      <w:r w:rsidR="00DE56C5">
        <w:rPr>
          <w:iCs/>
        </w:rPr>
        <w:t xml:space="preserve">. </w:t>
      </w:r>
      <w:r w:rsidR="00DE56C5" w:rsidRPr="00273106">
        <w:t>Tímto krokem se naplnil osud druhého averroismu</w:t>
      </w:r>
      <w:r w:rsidR="00F51838">
        <w:t>. T</w:t>
      </w:r>
      <w:r w:rsidR="00DE56C5" w:rsidRPr="00273106">
        <w:t xml:space="preserve">eorie augustiniánské a avicennovské iluminace se stala </w:t>
      </w:r>
      <w:r w:rsidR="00DE56C5">
        <w:t xml:space="preserve">v metafyzické matematice zcela </w:t>
      </w:r>
      <w:r w:rsidR="00DE56C5" w:rsidRPr="00273106">
        <w:t xml:space="preserve">zbytečnou. </w:t>
      </w:r>
      <w:r w:rsidR="00DE56C5">
        <w:t>Scotova infinitezimální m</w:t>
      </w:r>
      <w:r w:rsidR="00DE56C5" w:rsidRPr="00273106">
        <w:t xml:space="preserve">etafyzika </w:t>
      </w:r>
      <w:r w:rsidR="00DE56C5">
        <w:t xml:space="preserve">odmítla </w:t>
      </w:r>
      <w:r w:rsidR="00DE56C5" w:rsidRPr="00273106">
        <w:t>nominální definici jsoucna</w:t>
      </w:r>
      <w:r w:rsidR="00DE56C5">
        <w:t>, protože nechce být pouhou logikou, ale první vědou o jsoucnu. O</w:t>
      </w:r>
      <w:r w:rsidR="00DE56C5" w:rsidRPr="00273106">
        <w:t xml:space="preserve">bjektivní </w:t>
      </w:r>
      <w:r w:rsidR="00DE56C5" w:rsidRPr="08911CD6">
        <w:rPr>
          <w:i/>
        </w:rPr>
        <w:t>ens</w:t>
      </w:r>
      <w:r w:rsidR="00DE56C5" w:rsidRPr="00273106">
        <w:t xml:space="preserve"> bylo pojato v rámci přirozeného poznání</w:t>
      </w:r>
      <w:r w:rsidR="00DE56C5">
        <w:t xml:space="preserve"> daného vzhledem čistému bytí jsoucna jako takového</w:t>
      </w:r>
      <w:r w:rsidR="00DE56C5" w:rsidRPr="00273106">
        <w:t>.</w:t>
      </w:r>
      <w:r w:rsidR="00DE56C5">
        <w:t xml:space="preserve"> </w:t>
      </w:r>
      <w:r w:rsidR="00DE56C5" w:rsidRPr="00273106">
        <w:rPr>
          <w:rStyle w:val="TextpoznpodarouChar"/>
        </w:rPr>
        <w:t>Ontote</w:t>
      </w:r>
      <w:r w:rsidR="00DE56C5">
        <w:rPr>
          <w:rStyle w:val="TextpoznpodarouChar"/>
        </w:rPr>
        <w:t>ologie se stala u Scota kritickou a</w:t>
      </w:r>
      <w:r w:rsidR="00DE56C5" w:rsidRPr="00273106">
        <w:rPr>
          <w:rStyle w:val="TextpoznpodarouChar"/>
        </w:rPr>
        <w:t xml:space="preserve"> minimalistickou</w:t>
      </w:r>
      <w:r w:rsidR="00DE56C5">
        <w:rPr>
          <w:rStyle w:val="TextpoznpodarouChar"/>
        </w:rPr>
        <w:t xml:space="preserve"> spekulací založenou čistě racionálně. Scotus boha moderny metafyzicky legitimoval v jeho objektivně stvořitelské roli tím, že jej integroval do první formy </w:t>
      </w:r>
      <w:r w:rsidR="00DE56C5" w:rsidRPr="08CD3613">
        <w:rPr>
          <w:rStyle w:val="TextpoznpodarouChar"/>
          <w:i/>
        </w:rPr>
        <w:t>metaphysica generalis</w:t>
      </w:r>
      <w:r w:rsidR="00DE56C5">
        <w:rPr>
          <w:rStyle w:val="TextpoznpodarouChar"/>
        </w:rPr>
        <w:t>. Moderní bůh daný v podobě simulákra je objektivně oddělený od své vlastní racionality. Tato modla moderny nutně zemřela na intelektuální atrofii vinou exemplárně nečinné esence (</w:t>
      </w:r>
      <w:r w:rsidR="00DE56C5" w:rsidRPr="009E70A1">
        <w:rPr>
          <w:rStyle w:val="TextpoznpodarouChar"/>
          <w:i/>
        </w:rPr>
        <w:t>deus otiosus</w:t>
      </w:r>
      <w:r w:rsidR="00DE56C5">
        <w:rPr>
          <w:rStyle w:val="TextpoznpodarouChar"/>
          <w:i/>
        </w:rPr>
        <w:fldChar w:fldCharType="begin"/>
      </w:r>
      <w:r w:rsidR="00DE56C5">
        <w:instrText xml:space="preserve"> XE "</w:instrText>
      </w:r>
      <w:r w:rsidR="00DE56C5" w:rsidRPr="00750864">
        <w:rPr>
          <w:rStyle w:val="TextpoznpodarouChar"/>
          <w:i/>
        </w:rPr>
        <w:instrText>deus otiosus</w:instrText>
      </w:r>
      <w:r w:rsidR="00DE56C5">
        <w:instrText xml:space="preserve">" </w:instrText>
      </w:r>
      <w:r w:rsidR="00DE56C5">
        <w:rPr>
          <w:rStyle w:val="TextpoznpodarouChar"/>
          <w:i/>
        </w:rPr>
        <w:fldChar w:fldCharType="end"/>
      </w:r>
      <w:r w:rsidR="00DE56C5">
        <w:rPr>
          <w:rStyle w:val="TextpoznpodarouChar"/>
        </w:rPr>
        <w:t xml:space="preserve">). Pozdější deismus toto moderní simulákrum zahubil tím, že Scotovu metafyzickou deifikaci změnil na postmoderní matematický a fyzikální deismus. Smrt boha </w:t>
      </w:r>
      <w:r w:rsidR="00DE56C5" w:rsidRPr="08921DD9">
        <w:rPr>
          <w:rStyle w:val="TextpoznpodarouChar"/>
          <w:i/>
        </w:rPr>
        <w:t>Modernorum</w:t>
      </w:r>
      <w:r w:rsidR="00DE56C5">
        <w:rPr>
          <w:rStyle w:val="TextpoznpodarouChar"/>
        </w:rPr>
        <w:t xml:space="preserve"> a deifikace vědy jako jeho posledního, ale zásadně nutného racionálního reliktu se stala nezbytn</w:t>
      </w:r>
      <w:r w:rsidR="00B71CA2">
        <w:rPr>
          <w:rStyle w:val="TextpoznpodarouChar"/>
        </w:rPr>
        <w:t xml:space="preserve">ým základem </w:t>
      </w:r>
      <w:r w:rsidR="00DE56C5">
        <w:rPr>
          <w:rStyle w:val="TextpoznpodarouChar"/>
        </w:rPr>
        <w:t>postmodern</w:t>
      </w:r>
      <w:r w:rsidR="00B71CA2">
        <w:rPr>
          <w:rStyle w:val="TextpoznpodarouChar"/>
        </w:rPr>
        <w:t>y</w:t>
      </w:r>
      <w:r w:rsidR="00DE56C5">
        <w:rPr>
          <w:rStyle w:val="TextpoznpodarouChar"/>
        </w:rPr>
        <w:t xml:space="preserve">. Objektivní věda je v akademických institucích Západu uchovávána po smrti moderního boha jako absolutně cenný relikviář zahalený mystickým závojem </w:t>
      </w:r>
      <w:r w:rsidR="00DE56C5">
        <w:rPr>
          <w:rStyle w:val="TextpoznpodarouChar"/>
          <w:i/>
        </w:rPr>
        <w:t xml:space="preserve">cloud </w:t>
      </w:r>
      <w:r w:rsidR="00DE56C5" w:rsidRPr="08FD2D8F">
        <w:rPr>
          <w:rStyle w:val="TextpoznpodarouChar"/>
          <w:i/>
        </w:rPr>
        <w:t>computing</w:t>
      </w:r>
      <w:r w:rsidR="00DE56C5">
        <w:rPr>
          <w:rStyle w:val="TextpoznpodarouChar"/>
          <w:i/>
        </w:rPr>
        <w:fldChar w:fldCharType="begin"/>
      </w:r>
      <w:r w:rsidR="00DE56C5">
        <w:instrText xml:space="preserve"> XE "</w:instrText>
      </w:r>
      <w:r w:rsidR="00DE56C5">
        <w:rPr>
          <w:rStyle w:val="TextpoznpodarouChar"/>
          <w:i/>
        </w:rPr>
        <w:instrText xml:space="preserve">cloud </w:instrText>
      </w:r>
      <w:r w:rsidR="00DE56C5" w:rsidRPr="08FF7813">
        <w:rPr>
          <w:rStyle w:val="TextpoznpodarouChar"/>
          <w:i/>
        </w:rPr>
        <w:instrText>computing</w:instrText>
      </w:r>
      <w:r w:rsidR="00DE56C5">
        <w:instrText xml:space="preserve">" </w:instrText>
      </w:r>
      <w:r w:rsidR="00DE56C5">
        <w:rPr>
          <w:rStyle w:val="TextpoznpodarouChar"/>
          <w:i/>
        </w:rPr>
        <w:fldChar w:fldCharType="end"/>
      </w:r>
      <w:r w:rsidR="00DE56C5">
        <w:rPr>
          <w:rStyle w:val="TextpoznpodarouChar"/>
        </w:rPr>
        <w:t>.</w:t>
      </w:r>
    </w:p>
    <w:p w:rsidR="00081857" w:rsidRDefault="08163013" w:rsidP="00DE56C5">
      <w:pPr>
        <w:ind w:firstLine="397"/>
      </w:pPr>
      <w:r>
        <w:t>Vraťme se ke klíčovému momentu objektivní dedukce, kdy si bůh podržuje trvalou mentální kontrolu nad racionalitou danou na druhém patře objektivně koncipovaného stvoření (</w:t>
      </w:r>
      <w:r w:rsidRPr="08B90860">
        <w:rPr>
          <w:i/>
        </w:rPr>
        <w:t>vestigi</w:t>
      </w:r>
      <w:r w:rsidR="00884743">
        <w:rPr>
          <w:i/>
        </w:rPr>
        <w:t>um</w:t>
      </w:r>
      <w:r>
        <w:t>). V tento kritický moment Scotovy objektivní my</w:t>
      </w:r>
      <w:r w:rsidR="00D8779C">
        <w:t xml:space="preserve">tologie </w:t>
      </w:r>
      <w:r>
        <w:fldChar w:fldCharType="begin"/>
      </w:r>
      <w:r>
        <w:instrText xml:space="preserve"> XE "</w:instrText>
      </w:r>
      <w:r w:rsidR="00884743">
        <w:instrText>m</w:instrText>
      </w:r>
      <w:r w:rsidR="008B175F">
        <w:instrText>ytologie</w:instrText>
      </w:r>
      <w:r>
        <w:instrText xml:space="preserve">" </w:instrText>
      </w:r>
      <w:r>
        <w:fldChar w:fldCharType="end"/>
      </w:r>
      <w:r>
        <w:t xml:space="preserve"> boží racionalita opustila</w:t>
      </w:r>
      <w:r w:rsidR="00DC31FC">
        <w:t xml:space="preserve"> </w:t>
      </w:r>
      <w:r w:rsidR="00D8779C">
        <w:t>boží exemplární říši a začala</w:t>
      </w:r>
      <w:r>
        <w:t xml:space="preserve"> působit ve světě v částečně odcizené podobě</w:t>
      </w:r>
      <w:r w:rsidR="00443192">
        <w:t xml:space="preserve">. Bůh jako bývalá </w:t>
      </w:r>
      <w:r w:rsidR="00443192" w:rsidRPr="00443192">
        <w:rPr>
          <w:i/>
        </w:rPr>
        <w:t>causa prima</w:t>
      </w:r>
      <w:r w:rsidR="00443192">
        <w:t xml:space="preserve"> se nyní změnil na sekundární racionalitu</w:t>
      </w:r>
      <w:r w:rsidR="00D8779C">
        <w:t>. Hermeneutika analyzovala toto odcizení moderního boha podle Oliviho pojetí intimně svobodné vůle kapitalisticky činné ve světě (</w:t>
      </w:r>
      <w:r w:rsidR="00D8779C" w:rsidRPr="088229DD">
        <w:rPr>
          <w:i/>
        </w:rPr>
        <w:t>alio et</w:t>
      </w:r>
      <w:r w:rsidR="00D8779C">
        <w:t xml:space="preserve"> </w:t>
      </w:r>
      <w:r w:rsidR="00D8779C" w:rsidRPr="00712AA3">
        <w:rPr>
          <w:i/>
        </w:rPr>
        <w:t>alio modo se habens</w:t>
      </w:r>
      <w:r w:rsidR="00D8779C">
        <w:rPr>
          <w:i/>
        </w:rPr>
        <w:t xml:space="preserve">, </w:t>
      </w:r>
      <w:r w:rsidR="00D8779C">
        <w:t xml:space="preserve">kap. 5.1.2). </w:t>
      </w:r>
      <w:r w:rsidR="0069762A">
        <w:t xml:space="preserve">Scotus založil novou formu </w:t>
      </w:r>
      <w:r w:rsidR="0069762A" w:rsidRPr="08FE3F5C">
        <w:rPr>
          <w:i/>
        </w:rPr>
        <w:t xml:space="preserve">dativus </w:t>
      </w:r>
      <w:r w:rsidR="0069762A">
        <w:rPr>
          <w:i/>
        </w:rPr>
        <w:t>incommodi</w:t>
      </w:r>
      <w:r w:rsidR="0069762A">
        <w:rPr>
          <w:i/>
        </w:rPr>
        <w:fldChar w:fldCharType="begin"/>
      </w:r>
      <w:r w:rsidR="0069762A">
        <w:instrText xml:space="preserve"> XE "</w:instrText>
      </w:r>
      <w:r w:rsidR="0069762A" w:rsidRPr="08C96AA5">
        <w:rPr>
          <w:i/>
        </w:rPr>
        <w:instrText xml:space="preserve">dativus </w:instrText>
      </w:r>
      <w:r w:rsidR="0069762A">
        <w:rPr>
          <w:i/>
        </w:rPr>
        <w:instrText>incommodi</w:instrText>
      </w:r>
      <w:r w:rsidR="0069762A">
        <w:instrText xml:space="preserve">" </w:instrText>
      </w:r>
      <w:r w:rsidR="0069762A">
        <w:rPr>
          <w:i/>
        </w:rPr>
        <w:fldChar w:fldCharType="end"/>
      </w:r>
      <w:r w:rsidR="0069762A">
        <w:t xml:space="preserve"> vztaženou k proměně </w:t>
      </w:r>
      <w:r w:rsidR="001B534D">
        <w:lastRenderedPageBreak/>
        <w:t xml:space="preserve">moderního boha. </w:t>
      </w:r>
      <w:r w:rsidR="00997C27">
        <w:t>Po odchodu voluntaristického a kapitalistického</w:t>
      </w:r>
      <w:r w:rsidR="00997C27">
        <w:fldChar w:fldCharType="begin"/>
      </w:r>
      <w:r w:rsidR="00997C27">
        <w:instrText xml:space="preserve"> XE "</w:instrText>
      </w:r>
      <w:r w:rsidR="00997C27" w:rsidRPr="000F3D9A">
        <w:instrText>kapitalismus</w:instrText>
      </w:r>
      <w:r w:rsidR="00997C27">
        <w:instrText xml:space="preserve">" </w:instrText>
      </w:r>
      <w:r w:rsidR="00997C27">
        <w:fldChar w:fldCharType="end"/>
      </w:r>
      <w:r w:rsidR="00997C27">
        <w:t xml:space="preserve"> božího demiurga vytvořeného </w:t>
      </w:r>
      <w:r w:rsidR="0069762A">
        <w:t>Scotov</w:t>
      </w:r>
      <w:r w:rsidR="00997C27">
        <w:t>ou dedukcí z</w:t>
      </w:r>
      <w:r w:rsidR="0069762A">
        <w:t xml:space="preserve">byla ve světě už jen objektivně daná racionalita. </w:t>
      </w:r>
      <w:r w:rsidR="00997C27" w:rsidRPr="00997C27">
        <w:t xml:space="preserve">Imperativ etické regulace byl dříve dán formou biblické ontoteologie. </w:t>
      </w:r>
      <w:r w:rsidR="0069762A">
        <w:t xml:space="preserve">V nové metafyzice stvoření zmizel ze začínajícího kapitalismu </w:t>
      </w:r>
      <w:r w:rsidR="0069762A" w:rsidRPr="088402E4">
        <w:rPr>
          <w:i/>
        </w:rPr>
        <w:t>Modernorum</w:t>
      </w:r>
      <w:r w:rsidR="0069762A">
        <w:t xml:space="preserve"> základní etický regulativ daný ve formě biblické ontoteologie, která tvořila jeho metafyzický základ v modu </w:t>
      </w:r>
      <w:r w:rsidR="0069762A" w:rsidRPr="082D2DC3">
        <w:rPr>
          <w:i/>
        </w:rPr>
        <w:t>dativus ethicus</w:t>
      </w:r>
      <w:r w:rsidR="0069762A">
        <w:rPr>
          <w:i/>
        </w:rPr>
        <w:fldChar w:fldCharType="begin"/>
      </w:r>
      <w:r w:rsidR="0069762A">
        <w:instrText xml:space="preserve"> XE "</w:instrText>
      </w:r>
      <w:r w:rsidR="0069762A" w:rsidRPr="08852216">
        <w:rPr>
          <w:i/>
        </w:rPr>
        <w:instrText>dativus ethicus</w:instrText>
      </w:r>
      <w:r w:rsidR="0069762A">
        <w:instrText xml:space="preserve">" </w:instrText>
      </w:r>
      <w:r w:rsidR="0069762A">
        <w:rPr>
          <w:i/>
        </w:rPr>
        <w:fldChar w:fldCharType="end"/>
      </w:r>
      <w:r w:rsidR="0069762A">
        <w:t xml:space="preserve">. Za rajských časů prvních </w:t>
      </w:r>
      <w:r w:rsidR="0069762A" w:rsidRPr="001D5B18">
        <w:rPr>
          <w:i/>
        </w:rPr>
        <w:t>Modernorum</w:t>
      </w:r>
      <w:r w:rsidR="0069762A">
        <w:t xml:space="preserve"> se antropomorfní bůh procházel za svěžího vánku po zahradě objektivního vědění obhospodařovaného ilumináty v Oxfordu, kterou ještě navštěvoval mystický Eliášův krkavec</w:t>
      </w:r>
      <w:r w:rsidR="0069762A">
        <w:fldChar w:fldCharType="begin"/>
      </w:r>
      <w:r w:rsidR="0069762A">
        <w:instrText xml:space="preserve"> XE "</w:instrText>
      </w:r>
      <w:r w:rsidR="0069762A" w:rsidRPr="08DF7D36">
        <w:instrText>Eliášův krkavec</w:instrText>
      </w:r>
      <w:r w:rsidR="0069762A">
        <w:instrText xml:space="preserve">" </w:instrText>
      </w:r>
      <w:r w:rsidR="0069762A">
        <w:fldChar w:fldCharType="end"/>
      </w:r>
      <w:r w:rsidR="00151FC7">
        <w:t>. Objektivní s</w:t>
      </w:r>
      <w:r w:rsidR="0069762A">
        <w:t>trom vědění a jedné pravdy byl úředně zasazen v akademickém ráji moderny Pařížským a Oxfordským odsouzením z roku 1277. Scotus vyhnal moderní avicennisty mečem sofistikované aristotelské metafyziky z ráje boží intimity a subjektivity hned po spchání prvotního hříchu emanace a komitace. Avicennovští karteziáni se tam marně pokoušeli vrátit skrze vrozenou ideu boha v nás.</w:t>
      </w:r>
      <w:r w:rsidR="00151FC7">
        <w:t xml:space="preserve"> </w:t>
      </w:r>
      <w:r w:rsidR="00151FC7" w:rsidRPr="00997C27">
        <w:t xml:space="preserve">V nové metafyzice stvoření </w:t>
      </w:r>
      <w:r w:rsidR="00151FC7">
        <w:t>se tento imperativ vytratil</w:t>
      </w:r>
      <w:r w:rsidR="00151FC7" w:rsidRPr="00997C27">
        <w:t xml:space="preserve"> z rodícího s</w:t>
      </w:r>
      <w:r w:rsidR="00151FC7">
        <w:t>e kapitalismu moderny, protože jej nahradila neosobní racionalita. První kapitalistický demiurg už nefunguje jako „</w:t>
      </w:r>
      <w:r w:rsidR="00151FC7" w:rsidRPr="00997C27">
        <w:rPr>
          <w:i/>
        </w:rPr>
        <w:t>causa remota</w:t>
      </w:r>
      <w:r w:rsidR="00151FC7">
        <w:t>“, aby zakládal logiku věcí podle „</w:t>
      </w:r>
      <w:r w:rsidR="00151FC7" w:rsidRPr="00997C27">
        <w:rPr>
          <w:i/>
        </w:rPr>
        <w:t>regula agenti</w:t>
      </w:r>
      <w:r w:rsidR="00151FC7">
        <w:rPr>
          <w:i/>
        </w:rPr>
        <w:t>s</w:t>
      </w:r>
      <w:r w:rsidR="00151FC7" w:rsidRPr="00997C27">
        <w:rPr>
          <w:i/>
        </w:rPr>
        <w:t xml:space="preserve"> increati</w:t>
      </w:r>
      <w:r w:rsidR="00151FC7">
        <w:t>“. Mytologie moderny absolutně nesnáší „</w:t>
      </w:r>
      <w:r w:rsidR="00151FC7" w:rsidRPr="00FD32F4">
        <w:rPr>
          <w:i/>
        </w:rPr>
        <w:t>horror vacui</w:t>
      </w:r>
      <w:r w:rsidR="00151FC7">
        <w:t xml:space="preserve">; tuto hrůzu z prázdna vzniklého po smrti prvního Kapitalisty šlo navíc velmi snadno odstranit. </w:t>
      </w:r>
      <w:r w:rsidR="0069762A">
        <w:t xml:space="preserve">Po transformaci boha na neutrální racionální médium se dobývání světa stalo křížovou válkou mocensky a ideologicky založeného kapitalismu. </w:t>
      </w:r>
      <w:r w:rsidR="00081857">
        <w:t xml:space="preserve">Bonaventurou povzbuzení mystičtí křižáci a učená </w:t>
      </w:r>
      <w:r w:rsidR="00081857" w:rsidRPr="08FE3F5C">
        <w:rPr>
          <w:i/>
        </w:rPr>
        <w:t>intelligentia spiritualis</w:t>
      </w:r>
      <w:r w:rsidR="00081857">
        <w:t xml:space="preserve"> oxfordských a pařížských iluminátů vyrazili n</w:t>
      </w:r>
      <w:r w:rsidR="0069762A">
        <w:t>a křížovou výprav</w:t>
      </w:r>
      <w:r w:rsidR="00C369D4">
        <w:t xml:space="preserve">u </w:t>
      </w:r>
      <w:r w:rsidR="00081857">
        <w:t xml:space="preserve">danou skrze </w:t>
      </w:r>
      <w:r w:rsidR="00081857" w:rsidRPr="00081857">
        <w:rPr>
          <w:i/>
        </w:rPr>
        <w:t>via Modernorum</w:t>
      </w:r>
      <w:r w:rsidR="00081857">
        <w:t xml:space="preserve">. Kruciáta Moderních nastolila nový </w:t>
      </w:r>
      <w:r w:rsidR="00081857" w:rsidRPr="00081857">
        <w:rPr>
          <w:i/>
        </w:rPr>
        <w:t>dativus ethicus</w:t>
      </w:r>
      <w:r w:rsidR="00081857">
        <w:t xml:space="preserve"> daný imperiálním</w:t>
      </w:r>
      <w:r w:rsidR="00C369D4">
        <w:t xml:space="preserve"> dobývání</w:t>
      </w:r>
      <w:r w:rsidR="00081857">
        <w:t>m</w:t>
      </w:r>
      <w:r w:rsidR="00C369D4">
        <w:t xml:space="preserve"> světa</w:t>
      </w:r>
      <w:r w:rsidR="0069762A">
        <w:t xml:space="preserve">. </w:t>
      </w:r>
      <w:r w:rsidR="00081857">
        <w:t xml:space="preserve">Je dobré vědět, že Čína vedená úplně jinou formou </w:t>
      </w:r>
      <w:r w:rsidR="00081857" w:rsidRPr="00081857">
        <w:rPr>
          <w:i/>
        </w:rPr>
        <w:t>dativus ethicus</w:t>
      </w:r>
      <w:r w:rsidR="00081857">
        <w:t xml:space="preserve"> se uzavřela ve stejné době do sebe a skončila epochu obchodních zámořských výprav datovaných mezi 15. až 18. stoletím.</w:t>
      </w:r>
    </w:p>
    <w:p w:rsidR="0009171D" w:rsidRDefault="0045593E" w:rsidP="004259E6">
      <w:pPr>
        <w:ind w:firstLine="397"/>
      </w:pPr>
      <w:r w:rsidRPr="00B62AA7">
        <w:rPr>
          <w:rStyle w:val="TextpoznpodarouChar"/>
          <w:rFonts w:eastAsia="Calibri"/>
        </w:rPr>
        <w:t xml:space="preserve">Zavedením </w:t>
      </w:r>
      <w:r>
        <w:t xml:space="preserve">objektivně daného jsoucna do systému první kompletní metafyziky </w:t>
      </w:r>
      <w:r>
        <w:rPr>
          <w:i/>
        </w:rPr>
        <w:t>Modernorum</w:t>
      </w:r>
      <w:r>
        <w:t xml:space="preserve"> vznikl základ k pozdější </w:t>
      </w:r>
      <w:r>
        <w:rPr>
          <w:i/>
        </w:rPr>
        <w:t>metaphysica generalis</w:t>
      </w:r>
      <w:r>
        <w:rPr>
          <w:i/>
        </w:rPr>
        <w:fldChar w:fldCharType="begin"/>
      </w:r>
      <w:r>
        <w:instrText xml:space="preserve"> XE "</w:instrText>
      </w:r>
      <w:r>
        <w:rPr>
          <w:i/>
        </w:rPr>
        <w:instrText>metaphysica generalis</w:instrText>
      </w:r>
      <w:r>
        <w:instrText xml:space="preserve">" </w:instrText>
      </w:r>
      <w:r>
        <w:rPr>
          <w:i/>
        </w:rPr>
        <w:fldChar w:fldCharType="end"/>
      </w:r>
      <w:r w:rsidRPr="0025046D">
        <w:t>(F. Suárez</w:t>
      </w:r>
      <w:r>
        <w:fldChar w:fldCharType="begin"/>
      </w:r>
      <w:r>
        <w:instrText xml:space="preserve"> XE "Suárez, F." </w:instrText>
      </w:r>
      <w:r>
        <w:fldChar w:fldCharType="end"/>
      </w:r>
      <w:r w:rsidRPr="0025046D">
        <w:t>). Ta se stala první vědou o jsoucnu a teologie</w:t>
      </w:r>
      <w:r>
        <w:t xml:space="preserve"> jako racionálně pojatá věda o b</w:t>
      </w:r>
      <w:r w:rsidRPr="0025046D">
        <w:t xml:space="preserve">ohu byla podřízena </w:t>
      </w:r>
      <w:r w:rsidRPr="0025046D">
        <w:rPr>
          <w:i/>
        </w:rPr>
        <w:t>metaphysica generalis</w:t>
      </w:r>
      <w:r w:rsidRPr="0025046D">
        <w:t>. Poslední zlom v pojetí metafyziky nastal po roce 1600, kdy ontologie Christiana Wolffa</w:t>
      </w:r>
      <w:r>
        <w:fldChar w:fldCharType="begin"/>
      </w:r>
      <w:r>
        <w:instrText xml:space="preserve"> XE "Wolff, Ch." </w:instrText>
      </w:r>
      <w:r>
        <w:fldChar w:fldCharType="end"/>
      </w:r>
      <w:r w:rsidRPr="0025046D">
        <w:t xml:space="preserve"> a Immanuela Kanta</w:t>
      </w:r>
      <w:r>
        <w:fldChar w:fldCharType="begin"/>
      </w:r>
      <w:r>
        <w:instrText xml:space="preserve"> XE "Kant, I." </w:instrText>
      </w:r>
      <w:r>
        <w:fldChar w:fldCharType="end"/>
      </w:r>
      <w:r>
        <w:t xml:space="preserve"> založila postmodernismus. </w:t>
      </w:r>
      <w:r w:rsidR="00D8779C">
        <w:t>Smrt scotistického boha</w:t>
      </w:r>
      <w:r w:rsidR="00D8779C">
        <w:fldChar w:fldCharType="begin"/>
      </w:r>
      <w:r w:rsidR="00D8779C">
        <w:instrText xml:space="preserve"> XE "</w:instrText>
      </w:r>
      <w:r w:rsidR="00D8779C" w:rsidRPr="08DC6AC7">
        <w:instrText>smrt boha</w:instrText>
      </w:r>
      <w:r w:rsidR="00D8779C">
        <w:instrText xml:space="preserve">" </w:instrText>
      </w:r>
      <w:r w:rsidR="00D8779C">
        <w:fldChar w:fldCharType="end"/>
      </w:r>
      <w:r w:rsidR="00D8779C">
        <w:t xml:space="preserve"> začala v momentu, kdy postmoderní metafyzika a matematika převzala kontrolní funkci na druhém </w:t>
      </w:r>
      <w:r w:rsidR="00D8779C">
        <w:lastRenderedPageBreak/>
        <w:t xml:space="preserve">patře objektivity, kterou předtím sebereflexivně vykonával moderní bůh. </w:t>
      </w:r>
      <w:r w:rsidR="00D8779C" w:rsidRPr="00D8779C">
        <w:t xml:space="preserve">Postmoderní </w:t>
      </w:r>
      <w:r w:rsidR="00D8779C">
        <w:t>metafyzika tím navázala na Simplikio</w:t>
      </w:r>
      <w:r w:rsidR="00D8779C" w:rsidRPr="00D8779C">
        <w:t>v</w:t>
      </w:r>
      <w:r w:rsidR="00D8779C">
        <w:t xml:space="preserve">o </w:t>
      </w:r>
      <w:r w:rsidR="00D8779C" w:rsidRPr="00D8779C">
        <w:rPr>
          <w:i/>
        </w:rPr>
        <w:t>translatio</w:t>
      </w:r>
      <w:r w:rsidR="00D8779C">
        <w:t xml:space="preserve"> </w:t>
      </w:r>
      <w:r w:rsidR="00D8779C" w:rsidRPr="00D8779C">
        <w:t xml:space="preserve">objektivity (μεταδίδωσι; OBJ I, kap. 1.3.1) v nové podobě </w:t>
      </w:r>
      <w:r w:rsidR="00D8779C" w:rsidRPr="00D8779C">
        <w:rPr>
          <w:i/>
        </w:rPr>
        <w:t>translatio entis</w:t>
      </w:r>
      <w:r w:rsidR="00D8779C" w:rsidRPr="00D8779C">
        <w:t xml:space="preserve">. </w:t>
      </w:r>
      <w:r w:rsidR="004259E6" w:rsidRPr="004259E6">
        <w:t xml:space="preserve">Autonomní dedukce objektivity prostřednictvím lidského subjektu odstartovala vývoj postmodernismu. </w:t>
      </w:r>
      <w:r w:rsidR="004259E6">
        <w:t xml:space="preserve">Lidský demiurg </w:t>
      </w:r>
      <w:r w:rsidR="004259E6" w:rsidRPr="004259E6">
        <w:t xml:space="preserve">se stal jediným producentem objektivity. Sféra konečného racionálního poznání byla oddělena od sféry nekonečné božské podstaty a exemplárního intelektu. </w:t>
      </w:r>
      <w:r w:rsidR="004259E6">
        <w:t xml:space="preserve">Disjunkce mezi oběma formami objektivity způsobila smrt boha </w:t>
      </w:r>
      <w:r w:rsidR="004259E6" w:rsidRPr="005903DD">
        <w:rPr>
          <w:i/>
        </w:rPr>
        <w:t>Modernorum</w:t>
      </w:r>
      <w:r w:rsidR="004259E6">
        <w:t xml:space="preserve"> v západní metafyzice</w:t>
      </w:r>
      <w:r w:rsidR="004259E6">
        <w:rPr>
          <w:color w:val="000000"/>
        </w:rPr>
        <w:fldChar w:fldCharType="begin"/>
      </w:r>
      <w:r w:rsidR="004259E6">
        <w:instrText xml:space="preserve"> XE "smrt boha" </w:instrText>
      </w:r>
      <w:r w:rsidR="004259E6">
        <w:rPr>
          <w:color w:val="000000"/>
        </w:rPr>
        <w:fldChar w:fldCharType="end"/>
      </w:r>
      <w:r w:rsidR="004259E6">
        <w:t>.</w:t>
      </w:r>
      <w:r w:rsidR="004259E6" w:rsidRPr="00227AFB">
        <w:t xml:space="preserve"> </w:t>
      </w:r>
      <w:r w:rsidR="000C5820" w:rsidRPr="0004707C">
        <w:t xml:space="preserve">Moderní Bůh byl zbaven své objektivní racionality a nakonec opustil </w:t>
      </w:r>
      <w:r w:rsidR="000C5820">
        <w:t xml:space="preserve">kontinuální </w:t>
      </w:r>
      <w:r w:rsidR="000C5820" w:rsidRPr="0004707C">
        <w:t xml:space="preserve">tvoření světa. Jeho </w:t>
      </w:r>
      <w:r w:rsidR="000C5820">
        <w:t xml:space="preserve">faktická </w:t>
      </w:r>
      <w:r w:rsidR="000C5820" w:rsidRPr="0004707C">
        <w:t xml:space="preserve">neschopnost řídit svět uvedla do pohybu proces sekularizace. Ta se stala základním znakem moderny prostřednictvím </w:t>
      </w:r>
      <w:r w:rsidR="000C5820">
        <w:t>známého hesla „</w:t>
      </w:r>
      <w:r w:rsidR="000C5820" w:rsidRPr="00273106">
        <w:rPr>
          <w:i/>
        </w:rPr>
        <w:t>etsi deus non daretur</w:t>
      </w:r>
      <w:r w:rsidR="000C5820">
        <w:t>“</w:t>
      </w:r>
      <w:r w:rsidR="000C5820">
        <w:rPr>
          <w:i/>
        </w:rPr>
        <w:fldChar w:fldCharType="begin"/>
      </w:r>
      <w:r w:rsidR="000C5820">
        <w:instrText xml:space="preserve"> XE "</w:instrText>
      </w:r>
      <w:r w:rsidR="000C5820" w:rsidRPr="004072B3">
        <w:rPr>
          <w:i/>
        </w:rPr>
        <w:instrText>etsi deus non daretur</w:instrText>
      </w:r>
      <w:r w:rsidR="000C5820">
        <w:instrText xml:space="preserve">" </w:instrText>
      </w:r>
      <w:r w:rsidR="000C5820">
        <w:rPr>
          <w:i/>
        </w:rPr>
        <w:fldChar w:fldCharType="end"/>
      </w:r>
      <w:r w:rsidR="0082090A">
        <w:t xml:space="preserve"> (kap. 5.4.2</w:t>
      </w:r>
      <w:r w:rsidR="000C5820">
        <w:t xml:space="preserve">). </w:t>
      </w:r>
      <w:r w:rsidR="00D8779C">
        <w:t>V epoše deistické postmoderny už nebylo jisté, že umírající bůh moderny zvládne toto absolutně důležité přeložení objektivního významu z intimní boží exemplarity do externího světa (</w:t>
      </w:r>
      <w:r w:rsidR="00D8779C" w:rsidRPr="08A01F89">
        <w:rPr>
          <w:i/>
        </w:rPr>
        <w:t>translatio studiorum</w:t>
      </w:r>
      <w:r w:rsidR="00D8779C">
        <w:rPr>
          <w:i/>
        </w:rPr>
        <w:fldChar w:fldCharType="begin"/>
      </w:r>
      <w:r w:rsidR="00D8779C">
        <w:instrText xml:space="preserve"> XE "</w:instrText>
      </w:r>
      <w:r w:rsidR="00D8779C" w:rsidRPr="08AA35B4">
        <w:rPr>
          <w:i/>
        </w:rPr>
        <w:instrText>translatio studiorum</w:instrText>
      </w:r>
      <w:r w:rsidR="00D8779C">
        <w:instrText xml:space="preserve">" </w:instrText>
      </w:r>
      <w:r w:rsidR="00D8779C">
        <w:rPr>
          <w:i/>
        </w:rPr>
        <w:fldChar w:fldCharType="end"/>
      </w:r>
      <w:r w:rsidR="00D8779C">
        <w:t xml:space="preserve">). </w:t>
      </w:r>
      <w:r w:rsidR="007B20D2">
        <w:t xml:space="preserve">Epocha osvícenství </w:t>
      </w:r>
      <w:r w:rsidR="08163013">
        <w:t>s</w:t>
      </w:r>
      <w:r w:rsidR="007B20D2">
        <w:t>právně pochopila</w:t>
      </w:r>
      <w:r w:rsidR="08163013">
        <w:t>, že umírající</w:t>
      </w:r>
      <w:r w:rsidR="007B20D2">
        <w:t xml:space="preserve"> bůh</w:t>
      </w:r>
      <w:r w:rsidR="08163013">
        <w:t xml:space="preserve"> </w:t>
      </w:r>
      <w:r w:rsidR="007B20D2">
        <w:t>potřebuje pomoc</w:t>
      </w:r>
      <w:r w:rsidR="08163013">
        <w:t xml:space="preserve">. </w:t>
      </w:r>
      <w:r w:rsidR="00A0756E">
        <w:t xml:space="preserve">Translace </w:t>
      </w:r>
      <w:r w:rsidR="00A0756E" w:rsidRPr="00A0756E">
        <w:t>objektivity vytvořil</w:t>
      </w:r>
      <w:r w:rsidR="00A0756E">
        <w:t xml:space="preserve">a </w:t>
      </w:r>
      <w:r w:rsidR="00A0756E" w:rsidRPr="00A0756E">
        <w:t>základ</w:t>
      </w:r>
      <w:r w:rsidR="00A0756E">
        <w:t xml:space="preserve"> moderní metafyziky</w:t>
      </w:r>
      <w:r w:rsidR="00A0756E" w:rsidRPr="00A0756E">
        <w:t xml:space="preserve">. Zhroucení tohoto procesu by postmodernismus připravilo o jeho </w:t>
      </w:r>
      <w:r w:rsidR="00A0756E">
        <w:t xml:space="preserve">hlavní </w:t>
      </w:r>
      <w:r w:rsidR="00A0756E" w:rsidRPr="00A0756E">
        <w:t>intelektuální kapitál</w:t>
      </w:r>
      <w:r w:rsidR="00A0756E">
        <w:fldChar w:fldCharType="begin"/>
      </w:r>
      <w:r w:rsidR="00A0756E">
        <w:instrText xml:space="preserve"> XE "</w:instrText>
      </w:r>
      <w:r w:rsidR="00A0756E" w:rsidRPr="000703DD">
        <w:instrText>kapitál</w:instrText>
      </w:r>
      <w:r w:rsidR="00A0756E">
        <w:instrText xml:space="preserve">" </w:instrText>
      </w:r>
      <w:r w:rsidR="00A0756E">
        <w:fldChar w:fldCharType="end"/>
      </w:r>
      <w:r w:rsidR="00A0756E">
        <w:t xml:space="preserve">. </w:t>
      </w:r>
      <w:r w:rsidR="08163013">
        <w:t>Scotův bůh mohl umřít, ale nikoliv základ objektivity, který tento demiurg pilně produkoval</w:t>
      </w:r>
      <w:r w:rsidR="08163013" w:rsidRPr="087F5349">
        <w:t xml:space="preserve"> </w:t>
      </w:r>
      <w:r w:rsidR="08163013">
        <w:t xml:space="preserve">ve svém myšlení. </w:t>
      </w:r>
      <w:r w:rsidR="00E36560">
        <w:t xml:space="preserve">Proto </w:t>
      </w:r>
      <w:r w:rsidR="00E36560">
        <w:rPr>
          <w:szCs w:val="19"/>
        </w:rPr>
        <w:t>Arendtová říká skrze citaci básníka René Chara</w:t>
      </w:r>
      <w:r w:rsidR="00E36560">
        <w:rPr>
          <w:szCs w:val="19"/>
        </w:rPr>
        <w:fldChar w:fldCharType="begin"/>
      </w:r>
      <w:r w:rsidR="00E36560">
        <w:instrText xml:space="preserve"> XE "</w:instrText>
      </w:r>
      <w:r w:rsidR="00E36560" w:rsidRPr="08472F15">
        <w:rPr>
          <w:szCs w:val="19"/>
        </w:rPr>
        <w:instrText>Char, R.</w:instrText>
      </w:r>
      <w:r w:rsidR="00E36560">
        <w:instrText xml:space="preserve">" </w:instrText>
      </w:r>
      <w:r w:rsidR="00E36560">
        <w:rPr>
          <w:szCs w:val="19"/>
        </w:rPr>
        <w:fldChar w:fldCharType="end"/>
      </w:r>
      <w:r w:rsidR="00E36560">
        <w:rPr>
          <w:szCs w:val="19"/>
        </w:rPr>
        <w:t xml:space="preserve">, že modernu nepředcházela žádná závěť </w:t>
      </w:r>
      <w:r w:rsidR="00676AC3">
        <w:rPr>
          <w:szCs w:val="19"/>
        </w:rPr>
        <w:t xml:space="preserve">z předešlých epoch </w:t>
      </w:r>
      <w:r w:rsidR="00E36560">
        <w:rPr>
          <w:szCs w:val="19"/>
        </w:rPr>
        <w:t xml:space="preserve">(kap. 4.4.3). </w:t>
      </w:r>
      <w:r w:rsidR="08163013">
        <w:t xml:space="preserve">Novým aktem translace smyslu jsoucna od umírajícího boha </w:t>
      </w:r>
      <w:r w:rsidR="08163013" w:rsidRPr="084D6978">
        <w:rPr>
          <w:i/>
        </w:rPr>
        <w:t>Modernorum</w:t>
      </w:r>
      <w:r w:rsidR="08163013">
        <w:t xml:space="preserve"> na jeho nihilistického nástupce začalo poslední kolo božské komedie. Múzy po odchodu objektivně neexistujících Fúrií inscenovaly vezdejší formu sekulárně-objektivního </w:t>
      </w:r>
      <w:r w:rsidR="08163013" w:rsidRPr="084A2B67">
        <w:rPr>
          <w:i/>
        </w:rPr>
        <w:t>religio</w:t>
      </w:r>
      <w:r w:rsidR="00254889">
        <w:t xml:space="preserve">, které nás </w:t>
      </w:r>
      <w:r w:rsidR="00647016">
        <w:t xml:space="preserve">stále znovu </w:t>
      </w:r>
      <w:r w:rsidR="00254889">
        <w:t xml:space="preserve">svazuje se ztraceným </w:t>
      </w:r>
      <w:r w:rsidR="08163013">
        <w:t>počátkem Scotovy metafyziky.</w:t>
      </w:r>
      <w:r w:rsidR="001F26B9">
        <w:t xml:space="preserve"> Smrt moderního boha klinicky konstatoval Nietzsche, ale z</w:t>
      </w:r>
      <w:r w:rsidR="00283428">
        <w:t>působila ji Leibnizova metafyzi</w:t>
      </w:r>
      <w:r w:rsidR="001F26B9">
        <w:t>k</w:t>
      </w:r>
      <w:r w:rsidR="00283428">
        <w:t>a</w:t>
      </w:r>
      <w:r w:rsidR="001F26B9">
        <w:t xml:space="preserve"> a Newtonův deismus.</w:t>
      </w:r>
      <w:r w:rsidR="001F26B9" w:rsidRPr="08450C31">
        <w:t xml:space="preserve"> </w:t>
      </w:r>
      <w:r w:rsidR="001F26B9">
        <w:t>Leibniz</w:t>
      </w:r>
      <w:r w:rsidR="001F26B9">
        <w:fldChar w:fldCharType="begin"/>
      </w:r>
      <w:r w:rsidR="001F26B9">
        <w:instrText xml:space="preserve"> XE "</w:instrText>
      </w:r>
      <w:r w:rsidR="001F26B9" w:rsidRPr="089B7BDC">
        <w:instrText>Leibniz, G. W.</w:instrText>
      </w:r>
      <w:r w:rsidR="001F26B9">
        <w:instrText xml:space="preserve">" </w:instrText>
      </w:r>
      <w:r w:rsidR="001F26B9">
        <w:fldChar w:fldCharType="end"/>
      </w:r>
      <w:r w:rsidR="001F26B9">
        <w:t xml:space="preserve"> a Newton</w:t>
      </w:r>
      <w:r w:rsidR="001F26B9">
        <w:fldChar w:fldCharType="begin"/>
      </w:r>
      <w:r w:rsidR="001F26B9">
        <w:instrText xml:space="preserve"> XE "</w:instrText>
      </w:r>
      <w:r w:rsidR="001F26B9" w:rsidRPr="083F2935">
        <w:instrText>Newton, I.</w:instrText>
      </w:r>
      <w:r w:rsidR="001F26B9">
        <w:instrText xml:space="preserve">" </w:instrText>
      </w:r>
      <w:r w:rsidR="001F26B9">
        <w:fldChar w:fldCharType="end"/>
      </w:r>
      <w:r w:rsidR="00283428">
        <w:t xml:space="preserve"> vytvořili</w:t>
      </w:r>
      <w:r w:rsidR="001F26B9">
        <w:t xml:space="preserve"> moderní matematiku a kosmologickou fyziku na základě Scotovy homogenn</w:t>
      </w:r>
      <w:r w:rsidR="00534EC0">
        <w:t>í objektivní racionality. Nové „</w:t>
      </w:r>
      <w:r w:rsidR="00534EC0" w:rsidRPr="00534EC0">
        <w:rPr>
          <w:rStyle w:val="expandableitem"/>
          <w:i/>
        </w:rPr>
        <w:t>communicatio idiomatum</w:t>
      </w:r>
      <w:r w:rsidR="00534EC0">
        <w:rPr>
          <w:rStyle w:val="expandableitem"/>
        </w:rPr>
        <w:t xml:space="preserve">“ </w:t>
      </w:r>
      <w:r w:rsidR="001F26B9">
        <w:t xml:space="preserve">s již mrtvým bohem moderny </w:t>
      </w:r>
      <w:r w:rsidR="00CC5605">
        <w:t xml:space="preserve">se </w:t>
      </w:r>
      <w:r w:rsidR="001F26B9">
        <w:t xml:space="preserve">provozuje </w:t>
      </w:r>
      <w:r w:rsidR="00CC5605">
        <w:t>skrze objektivní akademickou nekromancii</w:t>
      </w:r>
      <w:r w:rsidR="001F26B9">
        <w:t xml:space="preserve">. </w:t>
      </w:r>
      <w:r w:rsidR="00CA2D05">
        <w:t>Leibniz</w:t>
      </w:r>
      <w:r w:rsidR="00CA2D05">
        <w:fldChar w:fldCharType="begin"/>
      </w:r>
      <w:r w:rsidR="00CA2D05">
        <w:instrText xml:space="preserve"> XE "</w:instrText>
      </w:r>
      <w:r w:rsidR="00CA2D05" w:rsidRPr="08A63A66">
        <w:instrText>Leibniz, G.W.</w:instrText>
      </w:r>
      <w:r w:rsidR="00CA2D05">
        <w:instrText xml:space="preserve">" </w:instrText>
      </w:r>
      <w:r w:rsidR="00CA2D05">
        <w:fldChar w:fldCharType="end"/>
      </w:r>
      <w:r w:rsidR="00CA2D05">
        <w:t xml:space="preserve"> vytvořil p</w:t>
      </w:r>
      <w:r w:rsidR="001F26B9">
        <w:t>rvní křišťálovou kouli n</w:t>
      </w:r>
      <w:r w:rsidR="00CA2D05">
        <w:t>utnou pro tuto vědeckou činnost</w:t>
      </w:r>
      <w:r w:rsidR="001F26B9">
        <w:t xml:space="preserve">. Matematizoval v duchu teodiceje Scotovu </w:t>
      </w:r>
      <w:r w:rsidR="001F26B9" w:rsidRPr="00273106">
        <w:t>oblast věčných pravd (</w:t>
      </w:r>
      <w:r w:rsidR="001F26B9" w:rsidRPr="00273106">
        <w:rPr>
          <w:i/>
        </w:rPr>
        <w:t>c</w:t>
      </w:r>
      <w:r w:rsidR="001F26B9" w:rsidRPr="00273106">
        <w:rPr>
          <w:rFonts w:cs="Calibri"/>
          <w:i/>
        </w:rPr>
        <w:t>'</w:t>
      </w:r>
      <w:r w:rsidR="001F26B9" w:rsidRPr="00273106">
        <w:rPr>
          <w:i/>
        </w:rPr>
        <w:t>est la région des vérités éternelles</w:t>
      </w:r>
      <w:r w:rsidR="001F26B9">
        <w:t xml:space="preserve">), kterou dal místo reálné </w:t>
      </w:r>
      <w:r w:rsidR="001F26B9" w:rsidRPr="00273106">
        <w:t>materie (</w:t>
      </w:r>
      <w:r w:rsidR="001F26B9" w:rsidRPr="00273106">
        <w:rPr>
          <w:i/>
        </w:rPr>
        <w:t>qu</w:t>
      </w:r>
      <w:r w:rsidR="001F26B9" w:rsidRPr="00273106">
        <w:rPr>
          <w:rFonts w:cs="Calibri"/>
          <w:i/>
        </w:rPr>
        <w:t>'</w:t>
      </w:r>
      <w:r w:rsidR="001F26B9" w:rsidRPr="00273106">
        <w:rPr>
          <w:i/>
        </w:rPr>
        <w:t xml:space="preserve">il faut mettre </w:t>
      </w:r>
      <w:r w:rsidR="001F26B9" w:rsidRPr="00273106">
        <w:rPr>
          <w:rFonts w:cs="Calibri"/>
          <w:i/>
        </w:rPr>
        <w:t>à</w:t>
      </w:r>
      <w:r w:rsidR="001F26B9" w:rsidRPr="00273106">
        <w:rPr>
          <w:i/>
        </w:rPr>
        <w:t xml:space="preserve"> la place de la mati</w:t>
      </w:r>
      <w:r w:rsidR="001F26B9" w:rsidRPr="00273106">
        <w:rPr>
          <w:rFonts w:cs="Calibri"/>
          <w:i/>
        </w:rPr>
        <w:t>è</w:t>
      </w:r>
      <w:r w:rsidR="001F26B9" w:rsidRPr="00273106">
        <w:rPr>
          <w:i/>
        </w:rPr>
        <w:t>re</w:t>
      </w:r>
      <w:r w:rsidR="001F26B9">
        <w:t xml:space="preserve">) a zde hledal </w:t>
      </w:r>
      <w:r w:rsidR="001F26B9" w:rsidRPr="00273106">
        <w:t>zdroj věcí (</w:t>
      </w:r>
      <w:r w:rsidR="001F26B9" w:rsidRPr="00273106">
        <w:rPr>
          <w:i/>
        </w:rPr>
        <w:t>la source des choses</w:t>
      </w:r>
      <w:r w:rsidR="001F26B9">
        <w:rPr>
          <w:i/>
        </w:rPr>
        <w:t xml:space="preserve">, </w:t>
      </w:r>
      <w:r w:rsidR="001F26B9">
        <w:t>kap. 5.2.3</w:t>
      </w:r>
      <w:r w:rsidR="001F26B9" w:rsidRPr="00273106">
        <w:t>).</w:t>
      </w:r>
      <w:r w:rsidR="001F26B9">
        <w:t xml:space="preserve"> </w:t>
      </w:r>
      <w:r w:rsidR="001F26B9" w:rsidRPr="00273106">
        <w:t xml:space="preserve">Leibniz převede </w:t>
      </w:r>
      <w:r w:rsidR="001F26B9">
        <w:t xml:space="preserve">výše uvedenou Scotovu stavbu objektivní korelace a nutnosti </w:t>
      </w:r>
      <w:r w:rsidR="001F26B9" w:rsidRPr="00273106">
        <w:t xml:space="preserve">do matematiky </w:t>
      </w:r>
      <w:r w:rsidR="001F26B9" w:rsidRPr="00273106">
        <w:lastRenderedPageBreak/>
        <w:t xml:space="preserve">a </w:t>
      </w:r>
      <w:r w:rsidR="001F26B9">
        <w:t xml:space="preserve">z boží racionality </w:t>
      </w:r>
      <w:r w:rsidR="001F26B9" w:rsidRPr="00273106">
        <w:t>udělá absolutní stv</w:t>
      </w:r>
      <w:r w:rsidR="001F26B9">
        <w:t>ořitelský kalkul</w:t>
      </w:r>
      <w:r w:rsidR="001F26B9" w:rsidRPr="00273106">
        <w:t xml:space="preserve">. </w:t>
      </w:r>
      <w:r w:rsidR="001F26B9">
        <w:t>Leibnizův</w:t>
      </w:r>
      <w:r w:rsidR="001F26B9">
        <w:fldChar w:fldCharType="begin"/>
      </w:r>
      <w:r w:rsidR="001F26B9">
        <w:instrText xml:space="preserve"> XE "</w:instrText>
      </w:r>
      <w:r w:rsidR="001F26B9" w:rsidRPr="00583EE1">
        <w:instrText>Leibniz, G.</w:instrText>
      </w:r>
      <w:r w:rsidR="001F26B9">
        <w:instrText xml:space="preserve"> </w:instrText>
      </w:r>
      <w:r w:rsidR="001F26B9" w:rsidRPr="00583EE1">
        <w:instrText>W.</w:instrText>
      </w:r>
      <w:r w:rsidR="001F26B9">
        <w:instrText xml:space="preserve">" </w:instrText>
      </w:r>
      <w:r w:rsidR="001F26B9">
        <w:fldChar w:fldCharType="end"/>
      </w:r>
      <w:r w:rsidR="001F26B9">
        <w:t xml:space="preserve"> bůh daný podle teodiceje</w:t>
      </w:r>
      <w:r w:rsidR="001F26B9">
        <w:fldChar w:fldCharType="begin"/>
      </w:r>
      <w:r w:rsidR="001F26B9">
        <w:instrText xml:space="preserve"> XE "</w:instrText>
      </w:r>
      <w:r w:rsidR="001F26B9" w:rsidRPr="00687C46">
        <w:instrText>teodicea</w:instrText>
      </w:r>
      <w:r w:rsidR="001F26B9">
        <w:instrText xml:space="preserve">" </w:instrText>
      </w:r>
      <w:r w:rsidR="001F26B9">
        <w:fldChar w:fldCharType="end"/>
      </w:r>
      <w:r w:rsidR="001F26B9">
        <w:t xml:space="preserve"> se ještě musí zabývat alespoň matematikou, aby svět mohl existovat v rozumné míře dobra a zla (kap. 5.2.3). Objektivně rehabilitovaný bůh v Leibnizově filosofii přestal metafyzicky myslet a začal jen animálně kalkulovat v duchu vylepšené </w:t>
      </w:r>
      <w:r w:rsidR="001F26B9" w:rsidRPr="08A84CB8">
        <w:rPr>
          <w:i/>
        </w:rPr>
        <w:t>vis aestimativa</w:t>
      </w:r>
      <w:r w:rsidR="001F26B9">
        <w:rPr>
          <w:i/>
        </w:rPr>
        <w:fldChar w:fldCharType="begin"/>
      </w:r>
      <w:r w:rsidR="001F26B9">
        <w:instrText xml:space="preserve"> XE "</w:instrText>
      </w:r>
      <w:r w:rsidR="001F26B9" w:rsidRPr="08A9047A">
        <w:rPr>
          <w:i/>
        </w:rPr>
        <w:instrText>vis aestimativa</w:instrText>
      </w:r>
      <w:r w:rsidR="001F26B9">
        <w:instrText xml:space="preserve">" </w:instrText>
      </w:r>
      <w:r w:rsidR="001F26B9">
        <w:rPr>
          <w:i/>
        </w:rPr>
        <w:fldChar w:fldCharType="end"/>
      </w:r>
      <w:r w:rsidR="001F26B9">
        <w:t xml:space="preserve"> dané jako instrumentální rozum. Za doby Kanta přestal být moderní bůh v modu </w:t>
      </w:r>
      <w:r w:rsidR="001F26B9" w:rsidRPr="088D1715">
        <w:rPr>
          <w:i/>
        </w:rPr>
        <w:t>per se</w:t>
      </w:r>
      <w:r w:rsidR="001F26B9">
        <w:t xml:space="preserve"> dokonce i dobrý a religiózní, protože tyto dosti podstatné boží vlastnosti se dostaly pod kontrolu přirozeného rozumu (</w:t>
      </w:r>
      <w:r w:rsidR="001F26B9" w:rsidRPr="088846CA">
        <w:rPr>
          <w:i/>
        </w:rPr>
        <w:t>Die Religion innerhalb der Grenzen der bloßen Vernunft</w:t>
      </w:r>
      <w:r w:rsidR="001F26B9">
        <w:t xml:space="preserve">, 1794). Kant </w:t>
      </w:r>
      <w:r w:rsidR="001F26B9" w:rsidRPr="00273106">
        <w:t xml:space="preserve">změní </w:t>
      </w:r>
      <w:r w:rsidR="001F26B9">
        <w:t xml:space="preserve">Leibnizova </w:t>
      </w:r>
      <w:r w:rsidR="001F26B9" w:rsidRPr="00273106">
        <w:t>absolutního ka</w:t>
      </w:r>
      <w:r w:rsidR="001F26B9">
        <w:t>lkulátora na deisticky nečinnou substanci, která dostala za úkol udržování základních forem náboženství a morálky. Ale jejich meze apriorně určuje jen lidský rozum, takže na postmoderního boha nezbyla žádná rozumná práce.</w:t>
      </w:r>
    </w:p>
    <w:p w:rsidR="00545FBC" w:rsidRDefault="00D731C9" w:rsidP="00545FBC">
      <w:pPr>
        <w:ind w:firstLine="397"/>
      </w:pPr>
      <w:r w:rsidRPr="00B62AA7">
        <w:rPr>
          <w:rStyle w:val="TextpoznpodarouChar"/>
          <w:rFonts w:eastAsia="Calibri"/>
        </w:rPr>
        <w:t xml:space="preserve">Kant sehrál </w:t>
      </w:r>
      <w:r w:rsidR="00B82B54">
        <w:rPr>
          <w:rStyle w:val="TextpoznpodarouChar"/>
          <w:rFonts w:eastAsia="Calibri"/>
        </w:rPr>
        <w:t xml:space="preserve">při vzniku postmoderny </w:t>
      </w:r>
      <w:r w:rsidRPr="00B62AA7">
        <w:rPr>
          <w:rStyle w:val="TextpoznpodarouChar"/>
          <w:rFonts w:eastAsia="Calibri"/>
        </w:rPr>
        <w:t>rozporuplnou roli</w:t>
      </w:r>
      <w:r w:rsidR="00B82B54">
        <w:rPr>
          <w:rStyle w:val="TextpoznpodarouChar"/>
          <w:rFonts w:eastAsia="Calibri"/>
        </w:rPr>
        <w:t xml:space="preserve">. Jeho pojetí morálky pohřbilo moderního boha. Ale jeho dedukce objektivity následovala Scota a vytvořila </w:t>
      </w:r>
      <w:r w:rsidRPr="00B62AA7">
        <w:rPr>
          <w:rStyle w:val="TextpoznpodarouChar"/>
          <w:rFonts w:eastAsia="Calibri"/>
        </w:rPr>
        <w:t>objektivní</w:t>
      </w:r>
      <w:r w:rsidR="00794B49">
        <w:rPr>
          <w:rStyle w:val="TextpoznpodarouChar"/>
          <w:rFonts w:eastAsia="Calibri"/>
        </w:rPr>
        <w:t xml:space="preserve"> verzi prvního averroismu. </w:t>
      </w:r>
      <w:r w:rsidR="006576DD">
        <w:t xml:space="preserve">Kant znovu řešil dilema </w:t>
      </w:r>
      <w:r w:rsidR="006576DD">
        <w:rPr>
          <w:i/>
        </w:rPr>
        <w:t>Druhých analytik</w:t>
      </w:r>
      <w:r w:rsidR="006576DD">
        <w:t xml:space="preserve"> o spojení obou druhů poznání (</w:t>
      </w:r>
      <w:r w:rsidR="006576DD">
        <w:rPr>
          <w:i/>
        </w:rPr>
        <w:t>Anal. Post</w:t>
      </w:r>
      <w:r w:rsidR="006576DD">
        <w:t>. 84a11‒14</w:t>
      </w:r>
      <w:r w:rsidR="006576DD">
        <w:fldChar w:fldCharType="begin"/>
      </w:r>
      <w:r w:rsidR="006576DD">
        <w:instrText xml:space="preserve"> XE "Aristoteles:</w:instrText>
      </w:r>
      <w:r w:rsidR="006576DD">
        <w:rPr>
          <w:i/>
        </w:rPr>
        <w:instrText>Anal. Post.</w:instrText>
      </w:r>
      <w:r w:rsidR="006576DD">
        <w:instrText xml:space="preserve"> 84a11‒14" </w:instrText>
      </w:r>
      <w:r w:rsidR="006576DD">
        <w:fldChar w:fldCharType="end"/>
      </w:r>
      <w:r w:rsidR="006576DD">
        <w:t>; 87b28‒31</w:t>
      </w:r>
      <w:r w:rsidR="006576DD">
        <w:fldChar w:fldCharType="begin"/>
      </w:r>
      <w:r w:rsidR="006576DD">
        <w:instrText xml:space="preserve"> XE "Aristoteles:</w:instrText>
      </w:r>
      <w:r w:rsidR="006576DD">
        <w:rPr>
          <w:i/>
        </w:rPr>
        <w:instrText>Anal. Post.</w:instrText>
      </w:r>
      <w:r w:rsidR="006576DD">
        <w:instrText xml:space="preserve"> 87b28‒31" </w:instrText>
      </w:r>
      <w:r w:rsidR="006576DD">
        <w:fldChar w:fldCharType="end"/>
      </w:r>
      <w:r w:rsidR="006576DD">
        <w:t xml:space="preserve">). Objektivní vědecké myšlení nemůže existovat bez kauzálního vztahu k reálné věci. Astronomické zatmění slunce existuje v reálném modu </w:t>
      </w:r>
      <w:r w:rsidR="006576DD">
        <w:rPr>
          <w:i/>
        </w:rPr>
        <w:t>per prius</w:t>
      </w:r>
      <w:r w:rsidR="006576DD">
        <w:t xml:space="preserve"> proto, že existují skutečné planety</w:t>
      </w:r>
      <w:r w:rsidR="006576DD">
        <w:fldChar w:fldCharType="begin"/>
      </w:r>
      <w:r w:rsidR="006576DD">
        <w:instrText xml:space="preserve"> XE "zatmění</w:instrText>
      </w:r>
      <w:r w:rsidR="006576DD">
        <w:rPr>
          <w:i/>
        </w:rPr>
        <w:instrText>:Druhé analytiky</w:instrText>
      </w:r>
      <w:r w:rsidR="006576DD">
        <w:instrText xml:space="preserve">" </w:instrText>
      </w:r>
      <w:r w:rsidR="006576DD">
        <w:fldChar w:fldCharType="end"/>
      </w:r>
      <w:r w:rsidR="006576DD">
        <w:t xml:space="preserve">, které na sebe kauzálně působí. Žádná matematika nemůže tento jev nahradit. </w:t>
      </w:r>
      <w:r w:rsidR="006576DD">
        <w:rPr>
          <w:rStyle w:val="TextpoznpodarouChar"/>
          <w:rFonts w:eastAsia="Calibri"/>
        </w:rPr>
        <w:t xml:space="preserve">Kant jako </w:t>
      </w:r>
      <w:r w:rsidRPr="00B62AA7">
        <w:rPr>
          <w:rStyle w:val="TextpoznpodarouChar"/>
          <w:rFonts w:eastAsia="Calibri"/>
        </w:rPr>
        <w:t>a</w:t>
      </w:r>
      <w:r w:rsidR="000B0927">
        <w:t>stronom</w:t>
      </w:r>
      <w:r>
        <w:fldChar w:fldCharType="begin"/>
      </w:r>
      <w:r>
        <w:instrText xml:space="preserve"> XE "Kant, I." </w:instrText>
      </w:r>
      <w:r>
        <w:fldChar w:fldCharType="end"/>
      </w:r>
      <w:r w:rsidR="000B0927">
        <w:t xml:space="preserve"> </w:t>
      </w:r>
      <w:r>
        <w:t>dobře věděl, že v centrální části poznání je třeba nechat determinaci intelektu podle reality. Proto mají proti matematikovi Leibnizovi</w:t>
      </w:r>
      <w:r>
        <w:fldChar w:fldCharType="begin"/>
      </w:r>
      <w:r>
        <w:instrText xml:space="preserve"> XE "Leibniz, G. W." </w:instrText>
      </w:r>
      <w:r>
        <w:fldChar w:fldCharType="end"/>
      </w:r>
      <w:r>
        <w:t xml:space="preserve"> kus pravdy také objektivní empirikové jako Hume</w:t>
      </w:r>
      <w:r>
        <w:fldChar w:fldCharType="begin"/>
      </w:r>
      <w:r>
        <w:instrText xml:space="preserve"> XE "Hume, D." </w:instrText>
      </w:r>
      <w:r>
        <w:fldChar w:fldCharType="end"/>
      </w:r>
      <w:r>
        <w:t xml:space="preserve">. Nasvícení jsoucna u Kanta proto běží zepředu od reálně dané kauzality ve věcech, kterou nejprve a zásadně poznáváme smyslově. Přímé poznání na smyslové úrovni </w:t>
      </w:r>
      <w:r w:rsidR="0097305B">
        <w:t xml:space="preserve">proto vychází z </w:t>
      </w:r>
      <w:r>
        <w:t>princip</w:t>
      </w:r>
      <w:r w:rsidR="0097305B">
        <w:t>u</w:t>
      </w:r>
      <w:r>
        <w:t xml:space="preserve"> </w:t>
      </w:r>
      <w:r w:rsidR="0097305B">
        <w:t>„</w:t>
      </w:r>
      <w:r w:rsidR="0097305B" w:rsidRPr="0097305B">
        <w:rPr>
          <w:i/>
        </w:rPr>
        <w:t>ex inmediatis</w:t>
      </w:r>
      <w:r w:rsidR="0097305B">
        <w:t xml:space="preserve">“ </w:t>
      </w:r>
      <w:r>
        <w:t xml:space="preserve">jako v prvním averroismu. Jedinečné kauzální působení na úrovni prvních substancí je adekvátně vnímané smysly. Kant vytvořil nové </w:t>
      </w:r>
      <w:r>
        <w:rPr>
          <w:i/>
        </w:rPr>
        <w:t>medium</w:t>
      </w:r>
      <w:r>
        <w:t xml:space="preserve"> pro poznávající vědecký soud, v němž je střední člen soudu determinovaný od hyparchicky dané první substance. Reálně jsou dány první substance a jejich kauzální působení. První poznání proto musí být individuální a empirické, jinak není dána adekvace rozumu a věci (</w:t>
      </w:r>
      <w:r>
        <w:rPr>
          <w:i/>
        </w:rPr>
        <w:t>Erkenntnis der Objekte durch Wahrnehmungen</w:t>
      </w:r>
      <w:r>
        <w:t>).</w:t>
      </w:r>
      <w:r>
        <w:rPr>
          <w:rStyle w:val="Znakapoznpodarou"/>
        </w:rPr>
        <w:footnoteReference w:id="471"/>
      </w:r>
      <w:r>
        <w:t xml:space="preserve"> </w:t>
      </w:r>
      <w:r w:rsidR="007A6299">
        <w:lastRenderedPageBreak/>
        <w:t xml:space="preserve">Ale Kant se vrátil k avicennismu založenému na </w:t>
      </w:r>
      <w:r w:rsidR="007A6299" w:rsidRPr="007A6299">
        <w:rPr>
          <w:i/>
        </w:rPr>
        <w:t>Oxfordian Fallacy</w:t>
      </w:r>
      <w:r w:rsidR="007A6299">
        <w:t xml:space="preserve">, když tvořil </w:t>
      </w:r>
      <w:r>
        <w:t>koncept kauzality</w:t>
      </w:r>
      <w:r w:rsidR="007A6299">
        <w:t xml:space="preserve">. </w:t>
      </w:r>
      <w:r w:rsidR="00F009C1">
        <w:t xml:space="preserve">Kauzalita je založena na apriorně definovaném </w:t>
      </w:r>
      <w:r>
        <w:t>časové</w:t>
      </w:r>
      <w:r w:rsidR="00F009C1">
        <w:t>m</w:t>
      </w:r>
      <w:r>
        <w:t xml:space="preserve"> schéma</w:t>
      </w:r>
      <w:r w:rsidR="00F009C1">
        <w:t>tu</w:t>
      </w:r>
      <w:r>
        <w:t>, které má univ</w:t>
      </w:r>
      <w:r w:rsidR="00F009C1">
        <w:t xml:space="preserve">erzální a objektivní charakter. </w:t>
      </w:r>
      <w:r w:rsidR="00426A1A">
        <w:t xml:space="preserve">Reálná kauzalita prochází skrze universální </w:t>
      </w:r>
      <w:r w:rsidR="00426A1A" w:rsidRPr="00426A1A">
        <w:rPr>
          <w:i/>
        </w:rPr>
        <w:t>per prius</w:t>
      </w:r>
      <w:r w:rsidR="00426A1A">
        <w:t xml:space="preserve"> založenou strukturu, která je založena jako objektivní dedukce podle Scota. To znamená, že kauzalita dostala hypostatický a essenciální charakter</w:t>
      </w:r>
      <w:r w:rsidR="00A72568">
        <w:t xml:space="preserve"> určený </w:t>
      </w:r>
      <w:r w:rsidR="00A72568" w:rsidRPr="00A72568">
        <w:rPr>
          <w:i/>
        </w:rPr>
        <w:t>a priori</w:t>
      </w:r>
      <w:r w:rsidR="00426A1A">
        <w:t>, jinak by nemohla být objek</w:t>
      </w:r>
      <w:r w:rsidR="000D228B">
        <w:t xml:space="preserve">tivní. </w:t>
      </w:r>
      <w:r>
        <w:t xml:space="preserve">Toto hypostázované časové schéma je poznané v modu </w:t>
      </w:r>
      <w:r>
        <w:rPr>
          <w:i/>
        </w:rPr>
        <w:t>per posterius</w:t>
      </w:r>
      <w:r>
        <w:t xml:space="preserve"> skrze smysly a empirické vědomí, které vnímají kauzalitu reálného světa. Univerzální časové schéma je dáno </w:t>
      </w:r>
      <w:r>
        <w:rPr>
          <w:i/>
        </w:rPr>
        <w:t>per prius</w:t>
      </w:r>
      <w:r>
        <w:t xml:space="preserve"> jako a apriorní podmínka univerzální kauzality v Rufusově stylu </w:t>
      </w:r>
      <w:r>
        <w:rPr>
          <w:szCs w:val="24"/>
          <w:lang w:val="de-DE"/>
        </w:rPr>
        <w:t>(</w:t>
      </w:r>
      <w:r>
        <w:rPr>
          <w:i/>
          <w:szCs w:val="24"/>
          <w:lang w:val="de-DE"/>
        </w:rPr>
        <w:t>medium et causa idem</w:t>
      </w:r>
      <w:r>
        <w:rPr>
          <w:szCs w:val="24"/>
          <w:lang w:val="de-DE"/>
        </w:rPr>
        <w:t xml:space="preserve">; OBJ II, kap. 3.3.1). Hypostáziované časové schéma je pak </w:t>
      </w:r>
      <w:r>
        <w:rPr>
          <w:i/>
          <w:szCs w:val="24"/>
          <w:lang w:val="de-DE"/>
        </w:rPr>
        <w:t>per posterius</w:t>
      </w:r>
      <w:r>
        <w:rPr>
          <w:szCs w:val="24"/>
          <w:lang w:val="de-DE"/>
        </w:rPr>
        <w:t xml:space="preserve"> poznané empiricky, protože smysly vnímají kauzalitu reálného světa. </w:t>
      </w:r>
      <w:r>
        <w:t xml:space="preserve">Časové schéma zakládající univerzální koncept kauzality existuje v subjektu jako jeho vrozený habitus ve formě </w:t>
      </w:r>
      <w:r>
        <w:rPr>
          <w:i/>
        </w:rPr>
        <w:t>potentia substantialis</w:t>
      </w:r>
      <w:r>
        <w:t>. Postmoderní Kant toto schéma definuje jako porretánskou hypostázi. Kauzální působení je vyjádřeno pomocí Aristotelova časového schématu pro fyzikální pohyb těles v modu „předtím‒potom“ (</w:t>
      </w:r>
      <w:r>
        <w:rPr>
          <w:i/>
        </w:rPr>
        <w:t>ihre Verbindung in der Zeit überhaupt</w:t>
      </w:r>
      <w:r>
        <w:t>).</w:t>
      </w:r>
      <w:r>
        <w:rPr>
          <w:rStyle w:val="Znakapoznpodarou"/>
        </w:rPr>
        <w:footnoteReference w:id="472"/>
      </w:r>
      <w:r w:rsidR="000716E0">
        <w:t xml:space="preserve"> Čas dostal </w:t>
      </w:r>
      <w:r>
        <w:t>objektivní hypostázovaný charakter (</w:t>
      </w:r>
      <w:r>
        <w:rPr>
          <w:i/>
        </w:rPr>
        <w:t>die Zeit selbst</w:t>
      </w:r>
      <w:r>
        <w:t>). Toto formální schéma časové souslednosti je dáno trvale a univerzálně v lidské mysli (</w:t>
      </w:r>
      <w:r>
        <w:rPr>
          <w:i/>
        </w:rPr>
        <w:t>durch a priori verknüpfende Begriffe</w:t>
      </w:r>
      <w:r>
        <w:t xml:space="preserve">). Tím je zrušeno pojetí času v Aristotelově </w:t>
      </w:r>
      <w:r>
        <w:rPr>
          <w:i/>
        </w:rPr>
        <w:t>Fyzice</w:t>
      </w:r>
      <w:r>
        <w:t xml:space="preserve">, kde čas vzniká v duši pouze sekundárně a to skrze abstraktní poznání reálně pohyblivých těles (OBJ I, kap. 1.3.3). Objektivní formu Scotovy adekvace vyjadřuje koncept </w:t>
      </w:r>
      <w:r>
        <w:rPr>
          <w:i/>
        </w:rPr>
        <w:t>Analogien der Erfahrung</w:t>
      </w:r>
      <w:r>
        <w:rPr>
          <w:i/>
        </w:rPr>
        <w:fldChar w:fldCharType="begin"/>
      </w:r>
      <w:r>
        <w:instrText xml:space="preserve"> XE "</w:instrText>
      </w:r>
      <w:r>
        <w:rPr>
          <w:i/>
        </w:rPr>
        <w:instrText>Analogien der Efahrung</w:instrText>
      </w:r>
      <w:r>
        <w:instrText xml:space="preserve">" </w:instrText>
      </w:r>
      <w:r>
        <w:rPr>
          <w:i/>
        </w:rPr>
        <w:fldChar w:fldCharType="end"/>
      </w:r>
      <w:r>
        <w:t xml:space="preserve"> (KdRV, B 218‒64</w:t>
      </w:r>
      <w:r>
        <w:fldChar w:fldCharType="begin"/>
      </w:r>
      <w:r>
        <w:instrText xml:space="preserve"> XE "Kant:KdRV, B 218‒64" </w:instrText>
      </w:r>
      <w:r>
        <w:fldChar w:fldCharType="end"/>
      </w:r>
      <w:r>
        <w:t xml:space="preserve">). Kantovo časové schéma podané v rámci </w:t>
      </w:r>
      <w:r>
        <w:rPr>
          <w:i/>
        </w:rPr>
        <w:t>Analogien der Erfahrung</w:t>
      </w:r>
      <w:r>
        <w:t xml:space="preserve"> tvoří substanci třetího druhu. Kant bere transcendentální apercepci podle Descarta</w:t>
      </w:r>
      <w:r>
        <w:fldChar w:fldCharType="begin"/>
      </w:r>
      <w:r>
        <w:instrText xml:space="preserve"> XE "</w:instrText>
      </w:r>
      <w:r>
        <w:rPr>
          <w:rStyle w:val="addmd"/>
        </w:rPr>
        <w:instrText>Descartes, R.</w:instrText>
      </w:r>
      <w:r>
        <w:instrText xml:space="preserve">" </w:instrText>
      </w:r>
      <w:r>
        <w:fldChar w:fldCharType="end"/>
      </w:r>
      <w:r>
        <w:t xml:space="preserve"> a nechá první principy poznání v duši jako porretánské hypostáze. Přítomnost čistých smyslových forem (čas, prostor) a čistých kategorií v rámci </w:t>
      </w:r>
      <w:r>
        <w:rPr>
          <w:i/>
        </w:rPr>
        <w:t>Verstand</w:t>
      </w:r>
      <w:r>
        <w:t xml:space="preserve"> vytváří imanentní habitus myšlení </w:t>
      </w:r>
      <w:r>
        <w:rPr>
          <w:i/>
        </w:rPr>
        <w:t>a priori</w:t>
      </w:r>
      <w:r>
        <w:rPr>
          <w:i/>
        </w:rPr>
        <w:fldChar w:fldCharType="begin"/>
      </w:r>
      <w:r>
        <w:instrText xml:space="preserve"> XE "</w:instrText>
      </w:r>
      <w:r>
        <w:rPr>
          <w:i/>
        </w:rPr>
        <w:instrText>res cogitans</w:instrText>
      </w:r>
      <w:r>
        <w:instrText xml:space="preserve">" </w:instrText>
      </w:r>
      <w:r>
        <w:rPr>
          <w:i/>
        </w:rPr>
        <w:fldChar w:fldCharType="end"/>
      </w:r>
      <w:r>
        <w:t>. Postmoderní Kant tvrdí stejně jako Scotus, že apriorní sféra poznání a racional</w:t>
      </w:r>
      <w:r w:rsidR="007379FA">
        <w:t>ity je daná čistou transce</w:t>
      </w:r>
      <w:r w:rsidR="00252ECF">
        <w:t>n</w:t>
      </w:r>
      <w:r w:rsidR="007379FA">
        <w:t xml:space="preserve">dentální </w:t>
      </w:r>
      <w:r w:rsidR="000D228B">
        <w:t>dedukcí</w:t>
      </w:r>
      <w:r>
        <w:t xml:space="preserve">. </w:t>
      </w:r>
      <w:r w:rsidR="000D228B">
        <w:t xml:space="preserve">Tím vzniklo druhé patro apriorní objektivity určené dedukcí. Ta je definována ve formě hypostázovaného avicennovského </w:t>
      </w:r>
      <w:r w:rsidR="000D228B">
        <w:rPr>
          <w:i/>
        </w:rPr>
        <w:t>intel</w:t>
      </w:r>
      <w:r w:rsidR="000D228B" w:rsidRPr="000D228B">
        <w:rPr>
          <w:i/>
        </w:rPr>
        <w:t>lectus adeptus</w:t>
      </w:r>
      <w:r w:rsidR="000D228B">
        <w:t xml:space="preserve"> jako jsoucna </w:t>
      </w:r>
      <w:r w:rsidR="000D228B">
        <w:lastRenderedPageBreak/>
        <w:t xml:space="preserve">třetího druhu. </w:t>
      </w:r>
      <w:r>
        <w:t xml:space="preserve">Iluminát Kant stejně jako Scotus nakonec musí vidět apriorní esenciální schéma kauzality přímo, protože jinak by jej nemohl objektivně popsat a zdůvodnit. Kantovu formu </w:t>
      </w:r>
      <w:r>
        <w:rPr>
          <w:i/>
        </w:rPr>
        <w:t>Oxfordian Fallacy</w:t>
      </w:r>
      <w:r>
        <w:rPr>
          <w:i/>
        </w:rPr>
        <w:fldChar w:fldCharType="begin"/>
      </w:r>
      <w:r>
        <w:instrText xml:space="preserve"> XE "</w:instrText>
      </w:r>
      <w:r>
        <w:rPr>
          <w:i/>
        </w:rPr>
        <w:instrText>Oxfordian Fallacy</w:instrText>
      </w:r>
      <w:r>
        <w:instrText xml:space="preserve">:Kant" </w:instrText>
      </w:r>
      <w:r>
        <w:rPr>
          <w:i/>
        </w:rPr>
        <w:fldChar w:fldCharType="end"/>
      </w:r>
      <w:r>
        <w:rPr>
          <w:i/>
        </w:rPr>
        <w:t xml:space="preserve"> </w:t>
      </w:r>
      <w:r>
        <w:t>ukazuje citát popisující přímý náhled objektivní identity eidetických esencí (</w:t>
      </w:r>
      <w:r>
        <w:rPr>
          <w:i/>
        </w:rPr>
        <w:t>wenn es nicht vor Augen hätte</w:t>
      </w:r>
      <w:r>
        <w:t>).</w:t>
      </w:r>
      <w:r>
        <w:rPr>
          <w:rStyle w:val="Znakapoznpodarou"/>
        </w:rPr>
        <w:footnoteReference w:id="473"/>
      </w:r>
      <w:r>
        <w:t xml:space="preserve"> Kant po Scotovi a Arnauldovi objektivně </w:t>
      </w:r>
      <w:r w:rsidR="00CB715B">
        <w:t>„</w:t>
      </w:r>
      <w:r>
        <w:t>vidí</w:t>
      </w:r>
      <w:r w:rsidR="00CB715B">
        <w:t>“</w:t>
      </w:r>
      <w:r>
        <w:t xml:space="preserve"> věci jako jsoucna třetího druhu, která reálně neexistují. Pojetí </w:t>
      </w:r>
      <w:r w:rsidR="00162BEA">
        <w:t>rozumu (</w:t>
      </w:r>
      <w:r>
        <w:rPr>
          <w:i/>
        </w:rPr>
        <w:t>Verstand</w:t>
      </w:r>
      <w:r w:rsidR="00162BEA">
        <w:t xml:space="preserve">) </w:t>
      </w:r>
      <w:r>
        <w:t xml:space="preserve">je dáno pomocí avicennistického hypostázovaného intelektu skrze </w:t>
      </w:r>
      <w:r w:rsidR="00162BEA">
        <w:t>kategorie čistého rozumu (</w:t>
      </w:r>
      <w:r>
        <w:rPr>
          <w:i/>
        </w:rPr>
        <w:t>Kategorien der reinen Verstand</w:t>
      </w:r>
      <w:r w:rsidR="00162BEA">
        <w:t>), který</w:t>
      </w:r>
      <w:r>
        <w:t xml:space="preserve"> tvoří  </w:t>
      </w:r>
      <w:r w:rsidR="00162BEA">
        <w:t xml:space="preserve">formální a syntetický princip všech zkušeností </w:t>
      </w:r>
      <w:r>
        <w:t>(</w:t>
      </w:r>
      <w:r w:rsidR="00162BEA">
        <w:rPr>
          <w:i/>
        </w:rPr>
        <w:t>ein formales und synthetisches Prinzipium aller Erfahrungen</w:t>
      </w:r>
      <w:r w:rsidR="00162BEA" w:rsidRPr="00162BEA">
        <w:t xml:space="preserve">, </w:t>
      </w:r>
      <w:r>
        <w:t>KdRV, A 119</w:t>
      </w:r>
      <w:r>
        <w:fldChar w:fldCharType="begin"/>
      </w:r>
      <w:r>
        <w:instrText xml:space="preserve"> XE "Kant:KdRV, A 119" </w:instrText>
      </w:r>
      <w:r>
        <w:fldChar w:fldCharType="end"/>
      </w:r>
      <w:r>
        <w:t xml:space="preserve">). Tomu odpovídá v moderně Rufusův koncept </w:t>
      </w:r>
      <w:r w:rsidR="00934389">
        <w:t>„</w:t>
      </w:r>
      <w:r>
        <w:rPr>
          <w:i/>
        </w:rPr>
        <w:t>potentia substantialis</w:t>
      </w:r>
      <w:r w:rsidR="00934389">
        <w:t>“</w:t>
      </w:r>
      <w:r>
        <w:rPr>
          <w:i/>
        </w:rPr>
        <w:fldChar w:fldCharType="begin"/>
      </w:r>
      <w:r>
        <w:instrText xml:space="preserve"> XE "</w:instrText>
      </w:r>
      <w:r>
        <w:rPr>
          <w:i/>
        </w:rPr>
        <w:instrText>potentia substantialis</w:instrText>
      </w:r>
      <w:r>
        <w:instrText xml:space="preserve">" </w:instrText>
      </w:r>
      <w:r>
        <w:rPr>
          <w:i/>
        </w:rPr>
        <w:fldChar w:fldCharType="end"/>
      </w:r>
      <w:r>
        <w:t xml:space="preserve"> (OBJ II, kap. 3.3.1). To by škola prvního averroismu a také Ockham zásadně odmítli, protože duše je čistá </w:t>
      </w:r>
      <w:r>
        <w:rPr>
          <w:i/>
        </w:rPr>
        <w:t>tabula rasa</w:t>
      </w:r>
      <w:r>
        <w:rPr>
          <w:i/>
        </w:rPr>
        <w:fldChar w:fldCharType="begin"/>
      </w:r>
      <w:r>
        <w:instrText xml:space="preserve"> XE "</w:instrText>
      </w:r>
      <w:r>
        <w:rPr>
          <w:i/>
        </w:rPr>
        <w:instrText>tabula rasa</w:instrText>
      </w:r>
      <w:r>
        <w:instrText xml:space="preserve">" </w:instrText>
      </w:r>
      <w:r>
        <w:rPr>
          <w:i/>
        </w:rPr>
        <w:fldChar w:fldCharType="end"/>
      </w:r>
      <w:r>
        <w:t xml:space="preserve">. Kdyby duše nebyla čistou potencí, nemohla by univerzálně poznávat svět. Kant vytvořil novou formu objektivního habitu a zavedl hypostázovanou racionalitu apriorních forem přímo do subjektu. Toto pojetí hypostází v duši zásadně kritizoval první averroismus okolo roku 1235, kdy tyto porretánské hypostáze zavedl Grosseteste a Rufus do vědeckého soudu. Filosof z Královce dokonal revoluci zahájenou zakladatelem objektivity a zrušil poslední metafyzickou kompetenci boha </w:t>
      </w:r>
      <w:r>
        <w:rPr>
          <w:i/>
        </w:rPr>
        <w:t>Modernorum</w:t>
      </w:r>
      <w:r>
        <w:t>. Osvícenský subjekt skrze svůj objektivní habitus garantuje objektivitu stvoření. Člověk dostává u Kanta epochální úkol produkovat smysl bytí jen a pouze sám ze sebe (</w:t>
      </w:r>
      <w:r>
        <w:rPr>
          <w:i/>
          <w:iCs/>
        </w:rPr>
        <w:t xml:space="preserve">er sollte vielmehr alles aus sich selbst herausbringen, </w:t>
      </w:r>
      <w:r>
        <w:t xml:space="preserve">kap. 5.5). Zakládající roli první substance v klasickém modu </w:t>
      </w:r>
      <w:r>
        <w:rPr>
          <w:i/>
        </w:rPr>
        <w:t>dativus possessivus</w:t>
      </w:r>
      <w:r>
        <w:rPr>
          <w:i/>
        </w:rPr>
        <w:fldChar w:fldCharType="begin"/>
      </w:r>
      <w:r>
        <w:instrText xml:space="preserve"> XE "</w:instrText>
      </w:r>
      <w:r>
        <w:rPr>
          <w:i/>
        </w:rPr>
        <w:instrText>d</w:instrText>
      </w:r>
      <w:r>
        <w:rPr>
          <w:i/>
          <w:iCs/>
        </w:rPr>
        <w:instrText>ativus possessivus</w:instrText>
      </w:r>
      <w:r>
        <w:instrText xml:space="preserve">" </w:instrText>
      </w:r>
      <w:r>
        <w:rPr>
          <w:i/>
        </w:rPr>
        <w:fldChar w:fldCharType="end"/>
      </w:r>
      <w:r>
        <w:t xml:space="preserve"> nahradil epochálně nový subjekt. Jeho nová role ve formě </w:t>
      </w:r>
      <w:r w:rsidRPr="00B82B54">
        <w:rPr>
          <w:i/>
        </w:rPr>
        <w:t>dativus auctoris</w:t>
      </w:r>
      <w:r w:rsidR="00EE5F92">
        <w:rPr>
          <w:i/>
        </w:rPr>
        <w:fldChar w:fldCharType="begin"/>
      </w:r>
      <w:r w:rsidR="00EE5F92">
        <w:instrText xml:space="preserve"> XE "</w:instrText>
      </w:r>
      <w:r w:rsidR="00EE5F92" w:rsidRPr="00B52521">
        <w:rPr>
          <w:i/>
        </w:rPr>
        <w:instrText>dativus auctoris</w:instrText>
      </w:r>
      <w:r w:rsidR="00EE5F92">
        <w:instrText xml:space="preserve">" </w:instrText>
      </w:r>
      <w:r w:rsidR="00EE5F92">
        <w:rPr>
          <w:i/>
        </w:rPr>
        <w:fldChar w:fldCharType="end"/>
      </w:r>
      <w:r>
        <w:t xml:space="preserve"> vytvořila nového demiurga racionálních forem. </w:t>
      </w:r>
      <w:r w:rsidR="001F26B9">
        <w:t>Plně sekularizovaný filosof Kant</w:t>
      </w:r>
      <w:r w:rsidR="001F26B9">
        <w:fldChar w:fldCharType="begin"/>
      </w:r>
      <w:r w:rsidR="001F26B9">
        <w:instrText xml:space="preserve"> XE "</w:instrText>
      </w:r>
      <w:r w:rsidR="001F26B9" w:rsidRPr="08297DCF">
        <w:instrText>Kant, I.</w:instrText>
      </w:r>
      <w:r w:rsidR="001F26B9">
        <w:instrText xml:space="preserve">" </w:instrText>
      </w:r>
      <w:r w:rsidR="001F26B9">
        <w:fldChar w:fldCharType="end"/>
      </w:r>
      <w:r w:rsidR="001F26B9">
        <w:t xml:space="preserve"> už nepotřeboval myšlení boha k zajistění primární (tj. transcendentálně-formální) geneze objektivity. Kant odpojil od božího intelektu poslední formu intelligibilní činnosti zajišťující epochální </w:t>
      </w:r>
      <w:r w:rsidR="001F26B9" w:rsidRPr="0022000E">
        <w:rPr>
          <w:i/>
        </w:rPr>
        <w:t>Gründung</w:t>
      </w:r>
      <w:r w:rsidR="001F26B9">
        <w:t xml:space="preserve"> moderní metafyziky a dal ji do lidského subjektu ve formě apriorních forem racionality. </w:t>
      </w:r>
    </w:p>
    <w:p w:rsidR="00B62AA7" w:rsidRPr="00F435F8" w:rsidRDefault="0045593E" w:rsidP="00F435F8">
      <w:pPr>
        <w:ind w:firstLine="397"/>
      </w:pPr>
      <w:r>
        <w:t>Moderní bůh oddělený od svého myšlení musel nutně zemřít, protože byl postižen intelektuální atrofií</w:t>
      </w:r>
      <w:r>
        <w:fldChar w:fldCharType="begin"/>
      </w:r>
      <w:r>
        <w:instrText xml:space="preserve"> XE "</w:instrText>
      </w:r>
      <w:r w:rsidRPr="00635D36">
        <w:instrText>smrt boha</w:instrText>
      </w:r>
      <w:r>
        <w:instrText xml:space="preserve">" </w:instrText>
      </w:r>
      <w:r>
        <w:fldChar w:fldCharType="end"/>
      </w:r>
      <w:r>
        <w:t xml:space="preserve">. </w:t>
      </w:r>
      <w:r w:rsidR="001F26B9">
        <w:t xml:space="preserve">Umírající </w:t>
      </w:r>
      <w:r w:rsidR="001F26B9" w:rsidRPr="08CD6303">
        <w:rPr>
          <w:i/>
        </w:rPr>
        <w:t>deus otiosus</w:t>
      </w:r>
      <w:r w:rsidR="001F26B9">
        <w:rPr>
          <w:i/>
        </w:rPr>
        <w:fldChar w:fldCharType="begin"/>
      </w:r>
      <w:r w:rsidR="001F26B9">
        <w:instrText xml:space="preserve"> XE "</w:instrText>
      </w:r>
      <w:r w:rsidR="001F26B9" w:rsidRPr="080C7F47">
        <w:rPr>
          <w:i/>
        </w:rPr>
        <w:instrText>deus otiosus</w:instrText>
      </w:r>
      <w:r w:rsidR="001F26B9">
        <w:instrText xml:space="preserve">" </w:instrText>
      </w:r>
      <w:r w:rsidR="001F26B9">
        <w:rPr>
          <w:i/>
        </w:rPr>
        <w:fldChar w:fldCharType="end"/>
      </w:r>
      <w:r w:rsidR="001F26B9">
        <w:t xml:space="preserve"> moderny zahájené Scotem se dostal na začátku 19. století do fáze klinické smrti dokonané nihilismem </w:t>
      </w:r>
      <w:r w:rsidR="001F26B9">
        <w:lastRenderedPageBreak/>
        <w:t xml:space="preserve">Nietzscheho. Tento radikálně pravdivý myslitel jen objektivně konstatoval </w:t>
      </w:r>
      <w:r w:rsidR="00905ADC">
        <w:t xml:space="preserve">skrze </w:t>
      </w:r>
      <w:r w:rsidR="001F26B9">
        <w:t>pravd</w:t>
      </w:r>
      <w:r w:rsidR="00905ADC">
        <w:t>u jako Oliviho vůli</w:t>
      </w:r>
      <w:r w:rsidR="001F26B9">
        <w:t xml:space="preserve"> k moci, že tento produkt moderny nikdy reálně neexistoval, takže ani nemohl doopravdy umřít. Lidská vůle k moci vytvořila boha moderny a stejná vůle k moci toto nepotřebné simulákrum později zrušila. Bůh </w:t>
      </w:r>
      <w:r w:rsidR="001F26B9" w:rsidRPr="08A34191">
        <w:rPr>
          <w:i/>
        </w:rPr>
        <w:t>Modernorum</w:t>
      </w:r>
      <w:r w:rsidR="001F26B9">
        <w:t xml:space="preserve"> nikdy reálně neexistoval, stejně jako nikdy reálně neexistoval lidský demiurgický sub</w:t>
      </w:r>
      <w:r w:rsidR="00746CB7">
        <w:t>jekt. Ten tohoto zakládajícího G</w:t>
      </w:r>
      <w:r w:rsidR="001F26B9">
        <w:t>olema kapitalismu stvořil skrze mytologickou predikaci „</w:t>
      </w:r>
      <w:r w:rsidR="001F26B9" w:rsidRPr="08E000D6">
        <w:rPr>
          <w:i/>
        </w:rPr>
        <w:t>in artificialibus</w:t>
      </w:r>
      <w:r w:rsidR="001F26B9">
        <w:t>“</w:t>
      </w:r>
      <w:r w:rsidR="001F26B9">
        <w:rPr>
          <w:i/>
        </w:rPr>
        <w:fldChar w:fldCharType="begin"/>
      </w:r>
      <w:r w:rsidR="001F26B9">
        <w:instrText xml:space="preserve"> XE "</w:instrText>
      </w:r>
      <w:r w:rsidR="001F26B9" w:rsidRPr="08843638">
        <w:instrText>predikace:</w:instrText>
      </w:r>
      <w:r w:rsidR="001F26B9" w:rsidRPr="08843638">
        <w:rPr>
          <w:i/>
        </w:rPr>
        <w:instrText>in artificialibus</w:instrText>
      </w:r>
      <w:r w:rsidR="001F26B9">
        <w:instrText xml:space="preserve">" </w:instrText>
      </w:r>
      <w:r w:rsidR="001F26B9">
        <w:rPr>
          <w:i/>
        </w:rPr>
        <w:fldChar w:fldCharType="end"/>
      </w:r>
      <w:r w:rsidR="001F26B9">
        <w:t>. Nová božská komedie</w:t>
      </w:r>
      <w:r w:rsidR="001F26B9">
        <w:fldChar w:fldCharType="begin"/>
      </w:r>
      <w:r w:rsidR="001F26B9">
        <w:instrText xml:space="preserve"> XE "</w:instrText>
      </w:r>
      <w:r w:rsidR="001F26B9" w:rsidRPr="080B2ADE">
        <w:instrText>božská komedie</w:instrText>
      </w:r>
      <w:r w:rsidR="001F26B9">
        <w:instrText xml:space="preserve">" </w:instrText>
      </w:r>
      <w:r w:rsidR="001F26B9">
        <w:fldChar w:fldCharType="end"/>
      </w:r>
      <w:r w:rsidR="001F26B9">
        <w:t xml:space="preserve"> začala vystavením úmrtního listu boha </w:t>
      </w:r>
      <w:r w:rsidR="001F26B9" w:rsidRPr="08F66F6F">
        <w:rPr>
          <w:i/>
        </w:rPr>
        <w:t>Modernorum</w:t>
      </w:r>
      <w:r w:rsidR="001F26B9">
        <w:t>. Z</w:t>
      </w:r>
      <w:r w:rsidR="001F26B9" w:rsidRPr="00273106">
        <w:t xml:space="preserve">ahálčivého boha </w:t>
      </w:r>
      <w:r w:rsidR="001F26B9" w:rsidRPr="00273106">
        <w:rPr>
          <w:i/>
        </w:rPr>
        <w:t>Modernorum</w:t>
      </w:r>
      <w:r w:rsidR="001F26B9" w:rsidRPr="08230FF6">
        <w:t xml:space="preserve"> s </w:t>
      </w:r>
      <w:r w:rsidR="001F26B9">
        <w:t>atrofovaným</w:t>
      </w:r>
      <w:r w:rsidR="001F26B9" w:rsidRPr="08230FF6">
        <w:t xml:space="preserve"> m</w:t>
      </w:r>
      <w:r w:rsidR="001F26B9">
        <w:t xml:space="preserve">yšlením a religiozitou </w:t>
      </w:r>
      <w:r w:rsidR="001F26B9" w:rsidRPr="00273106">
        <w:t>Nietzsche prohlás</w:t>
      </w:r>
      <w:r w:rsidR="001F26B9">
        <w:t>il</w:t>
      </w:r>
      <w:r w:rsidR="001F26B9" w:rsidRPr="00273106">
        <w:t xml:space="preserve"> za mrtvého, protože se </w:t>
      </w:r>
      <w:r w:rsidR="001F26B9">
        <w:t>zadusil metafyzikou scholastických a metafyzických slabochů a snílků</w:t>
      </w:r>
      <w:r w:rsidR="001F26B9">
        <w:rPr>
          <w:color w:val="000000"/>
        </w:rPr>
        <w:fldChar w:fldCharType="begin"/>
      </w:r>
      <w:r w:rsidR="001F26B9">
        <w:instrText xml:space="preserve"> XE "smrt boha" </w:instrText>
      </w:r>
      <w:r w:rsidR="001F26B9">
        <w:rPr>
          <w:color w:val="000000"/>
        </w:rPr>
        <w:fldChar w:fldCharType="end"/>
      </w:r>
      <w:r w:rsidR="001F26B9">
        <w:t>.</w:t>
      </w:r>
      <w:r w:rsidR="001F26B9">
        <w:rPr>
          <w:rStyle w:val="Znakapoznpodarou"/>
        </w:rPr>
        <w:footnoteReference w:id="474"/>
      </w:r>
      <w:r w:rsidR="00FA0CB9">
        <w:t xml:space="preserve"> </w:t>
      </w:r>
      <w:r w:rsidR="001F26B9">
        <w:t>Éra postmoderních kruciát začala španělským katolickým, neboli všeobecným hladem po zlatě a byla završena v sofistikované kapitalistické verzi Kiplingova břímě bílého muže</w:t>
      </w:r>
      <w:r w:rsidR="001F26B9" w:rsidRPr="084F0F76">
        <w:t xml:space="preserve"> </w:t>
      </w:r>
      <w:r w:rsidR="001F26B9">
        <w:fldChar w:fldCharType="begin"/>
      </w:r>
      <w:r w:rsidR="001F26B9">
        <w:instrText xml:space="preserve"> XE "</w:instrText>
      </w:r>
      <w:r w:rsidR="001F26B9" w:rsidRPr="00F96DBF">
        <w:rPr>
          <w:i/>
        </w:rPr>
        <w:instrText>White Man's Burden</w:instrText>
      </w:r>
      <w:r w:rsidR="001F26B9">
        <w:instrText xml:space="preserve">" </w:instrText>
      </w:r>
      <w:r w:rsidR="001F26B9">
        <w:fldChar w:fldCharType="end"/>
      </w:r>
      <w:r w:rsidR="001F26B9">
        <w:t xml:space="preserve"> (kap. 5.5). </w:t>
      </w:r>
      <w:r w:rsidR="00643AEB">
        <w:t>Bílý muž se posadil n</w:t>
      </w:r>
      <w:r w:rsidR="001F26B9">
        <w:t>a uprázdněný trůn moderního boha a začal novou kruciátu imperialistického kapitalismu. Bohu zbyla pouze vykupitelská funkce, o kterou postmoderna příliš nestála</w:t>
      </w:r>
      <w:r w:rsidR="00DF60F0">
        <w:t xml:space="preserve">. </w:t>
      </w:r>
      <w:r w:rsidR="00611227">
        <w:t xml:space="preserve">Nihilista </w:t>
      </w:r>
      <w:r w:rsidR="005D48C0">
        <w:t xml:space="preserve">poslední </w:t>
      </w:r>
      <w:r w:rsidR="00611227">
        <w:t xml:space="preserve">epochy </w:t>
      </w:r>
      <w:r w:rsidR="005D48C0">
        <w:rPr>
          <w:szCs w:val="24"/>
        </w:rPr>
        <w:t>(</w:t>
      </w:r>
      <w:r w:rsidR="005D48C0" w:rsidRPr="000B3337">
        <w:rPr>
          <w:i/>
          <w:szCs w:val="24"/>
        </w:rPr>
        <w:t>novissimum</w:t>
      </w:r>
      <w:r w:rsidR="005D48C0">
        <w:rPr>
          <w:szCs w:val="24"/>
        </w:rPr>
        <w:t xml:space="preserve">) </w:t>
      </w:r>
      <w:r w:rsidR="00DF60F0">
        <w:t xml:space="preserve">se </w:t>
      </w:r>
      <w:r w:rsidR="00611227">
        <w:t xml:space="preserve">vykupuje na základě objektivních poznatků </w:t>
      </w:r>
      <w:r w:rsidR="001F26B9">
        <w:rPr>
          <w:i/>
        </w:rPr>
        <w:fldChar w:fldCharType="begin"/>
      </w:r>
      <w:r w:rsidR="001F26B9">
        <w:instrText xml:space="preserve"> XE "</w:instrText>
      </w:r>
      <w:r w:rsidR="001F26B9" w:rsidRPr="00AA4F67">
        <w:rPr>
          <w:i/>
        </w:rPr>
        <w:instrText>scibile</w:instrText>
      </w:r>
      <w:r w:rsidR="001F26B9">
        <w:rPr>
          <w:i/>
        </w:rPr>
        <w:instrText>:</w:instrText>
      </w:r>
      <w:r w:rsidR="001F26B9" w:rsidRPr="0079264E">
        <w:instrText>postmoderna</w:instrText>
      </w:r>
      <w:r w:rsidR="001F26B9">
        <w:instrText xml:space="preserve">" </w:instrText>
      </w:r>
      <w:r w:rsidR="001F26B9">
        <w:rPr>
          <w:i/>
        </w:rPr>
        <w:fldChar w:fldCharType="end"/>
      </w:r>
      <w:r w:rsidR="001F26B9">
        <w:t xml:space="preserve">. Místo boha nese vykupitelské břímě evropský a americký bílý muž oslavený </w:t>
      </w:r>
      <w:r w:rsidR="001F26B9">
        <w:rPr>
          <w:rStyle w:val="st"/>
        </w:rPr>
        <w:t xml:space="preserve">Rudyardem </w:t>
      </w:r>
      <w:r w:rsidR="00B12EF6">
        <w:t xml:space="preserve">Kiplingem. </w:t>
      </w:r>
      <w:r w:rsidR="001F26B9">
        <w:t xml:space="preserve">Moderní bůh zemřel na konci moderny na smetišti dějin ustaveném daleko od objektivně vítězných globálních center instrumentální racionality, která rozpoutala První světovou válku. </w:t>
      </w:r>
      <w:r w:rsidR="00126B71">
        <w:t>Postmoderna převedla boží racionalitu do imperialistického stádia kapitalismu, což exaktně konstatoval Lenin</w:t>
      </w:r>
      <w:r w:rsidR="00126B71">
        <w:fldChar w:fldCharType="begin"/>
      </w:r>
      <w:r w:rsidR="00126B71">
        <w:instrText xml:space="preserve"> XE "</w:instrText>
      </w:r>
      <w:r w:rsidR="00126B71" w:rsidRPr="08C911AC">
        <w:instrText>Lenin, V. I.</w:instrText>
      </w:r>
      <w:r w:rsidR="00126B71">
        <w:instrText xml:space="preserve">" </w:instrText>
      </w:r>
      <w:r w:rsidR="00126B71">
        <w:fldChar w:fldCharType="end"/>
      </w:r>
      <w:r w:rsidR="00126B71">
        <w:t xml:space="preserve"> v díle </w:t>
      </w:r>
      <w:r w:rsidR="00126B71" w:rsidRPr="089027D0">
        <w:rPr>
          <w:i/>
        </w:rPr>
        <w:t>Imperialismus jako nejvyšší stadium kapitalismu</w:t>
      </w:r>
      <w:r w:rsidR="00126B71">
        <w:t xml:space="preserve"> (1916). </w:t>
      </w:r>
      <w:r w:rsidR="001F26B9">
        <w:t>S</w:t>
      </w:r>
      <w:r w:rsidR="001F26B9" w:rsidRPr="00273106">
        <w:t xml:space="preserve">mrti </w:t>
      </w:r>
      <w:r w:rsidR="001F26B9">
        <w:t>postmoderního boha</w:t>
      </w:r>
      <w:r w:rsidR="001F26B9">
        <w:rPr>
          <w:color w:val="000000"/>
        </w:rPr>
        <w:fldChar w:fldCharType="begin"/>
      </w:r>
      <w:r w:rsidR="001F26B9">
        <w:instrText xml:space="preserve"> XE "smrt boha" </w:instrText>
      </w:r>
      <w:r w:rsidR="001F26B9">
        <w:rPr>
          <w:color w:val="000000"/>
        </w:rPr>
        <w:fldChar w:fldCharType="end"/>
      </w:r>
      <w:r w:rsidR="001F26B9">
        <w:t xml:space="preserve"> </w:t>
      </w:r>
      <w:r w:rsidR="001F26B9" w:rsidRPr="00273106">
        <w:t xml:space="preserve">si </w:t>
      </w:r>
      <w:r w:rsidR="001F26B9">
        <w:t xml:space="preserve">na začátku 20. století </w:t>
      </w:r>
      <w:r w:rsidR="001F26B9" w:rsidRPr="00273106">
        <w:t>všiml jen málokdo</w:t>
      </w:r>
      <w:r w:rsidR="001F26B9">
        <w:t>, protože jeho lidský nástupce měl hodně napilno. Metafyzický nihilismus imperiálních iluminátů</w:t>
      </w:r>
      <w:r w:rsidR="001F26B9">
        <w:fldChar w:fldCharType="begin"/>
      </w:r>
      <w:r w:rsidR="001F26B9">
        <w:instrText xml:space="preserve"> XE "</w:instrText>
      </w:r>
      <w:r w:rsidR="001F26B9" w:rsidRPr="00BD65D1">
        <w:instrText>ilumináti</w:instrText>
      </w:r>
      <w:r w:rsidR="001F26B9">
        <w:instrText xml:space="preserve">" </w:instrText>
      </w:r>
      <w:r w:rsidR="001F26B9">
        <w:fldChar w:fldCharType="end"/>
      </w:r>
      <w:r w:rsidR="001F26B9">
        <w:t xml:space="preserve"> prováděl rozdělení zeměkoule a krocením neposlušné materie všeho druhu pilně připravoval první a druhou světovou válku. V </w:t>
      </w:r>
      <w:r w:rsidR="001F26B9" w:rsidRPr="00273106">
        <w:t xml:space="preserve">dokonaném nihilismu metafyziky </w:t>
      </w:r>
      <w:r w:rsidR="001F26B9">
        <w:t xml:space="preserve">se antropomorfní bůh </w:t>
      </w:r>
      <w:r w:rsidR="001F26B9" w:rsidRPr="08A62794">
        <w:rPr>
          <w:i/>
        </w:rPr>
        <w:t>Modernorum</w:t>
      </w:r>
      <w:r w:rsidR="001F26B9">
        <w:t xml:space="preserve"> stal </w:t>
      </w:r>
      <w:r w:rsidR="001F26B9" w:rsidRPr="00273106">
        <w:t>zbytečnou</w:t>
      </w:r>
      <w:r w:rsidR="001F26B9">
        <w:t xml:space="preserve"> přítěží postmoderního rozumu. Nihilistickou racionalitu </w:t>
      </w:r>
      <w:r w:rsidR="001F26B9">
        <w:lastRenderedPageBreak/>
        <w:t>kapitalismu danou již plně sekulárně</w:t>
      </w:r>
      <w:r w:rsidR="007B47A1">
        <w:t xml:space="preserve"> řídí imperativ Rufusovy pravdy jako </w:t>
      </w:r>
      <w:r w:rsidR="001F26B9">
        <w:t xml:space="preserve">asimilace. Hermeneutika konstatuje, že základní příčina smrti tohoto simulákra v postmoderně byl nedostatek jakékoliv rozumné činnosti. Moderní bůh objektivně oddělený od své racionality a od své demiurgické vůle skončil s fatální nutností na hřbitově moderních </w:t>
      </w:r>
      <w:r w:rsidR="001F26B9" w:rsidRPr="08D03172">
        <w:rPr>
          <w:i/>
        </w:rPr>
        <w:t>scibile</w:t>
      </w:r>
      <w:r w:rsidR="001F26B9">
        <w:t>. Po smrti moderního boha se osamostatnila i Scotova racionální říše. Matematika vytvořila novou sféru čistě lidského „</w:t>
      </w:r>
      <w:r w:rsidR="001F26B9" w:rsidRPr="00DE185D">
        <w:rPr>
          <w:i/>
        </w:rPr>
        <w:t>esse intelligibile</w:t>
      </w:r>
      <w:r w:rsidR="001F26B9">
        <w:t xml:space="preserve">“, a tím se ustavila jako nová forma sekulárního náboženství. </w:t>
      </w:r>
      <w:r w:rsidR="007B0DF1" w:rsidRPr="00E0485B">
        <w:t>Svět se stal prostorem neutrální racionality, kterou do nihilistické podoby formuje pud sebezáchovy</w:t>
      </w:r>
      <w:r w:rsidR="007B0DF1">
        <w:t xml:space="preserve"> (</w:t>
      </w:r>
      <w:r w:rsidR="007B0DF1" w:rsidRPr="00203767">
        <w:rPr>
          <w:i/>
        </w:rPr>
        <w:t>conatus</w:t>
      </w:r>
      <w:r w:rsidR="007B0DF1">
        <w:t xml:space="preserve">) ustavený nyní vládnoucí instrumentální racionalitou. </w:t>
      </w:r>
      <w:r w:rsidR="001F26B9">
        <w:t>Banksteři</w:t>
      </w:r>
      <w:r w:rsidR="001F26B9">
        <w:fldChar w:fldCharType="begin"/>
      </w:r>
      <w:r w:rsidR="001F26B9">
        <w:instrText xml:space="preserve"> XE "</w:instrText>
      </w:r>
      <w:r w:rsidR="001F26B9" w:rsidRPr="084628B5">
        <w:rPr>
          <w:i/>
        </w:rPr>
        <w:instrText>banksters</w:instrText>
      </w:r>
      <w:r w:rsidR="001F26B9">
        <w:instrText xml:space="preserve">" </w:instrText>
      </w:r>
      <w:r w:rsidR="001F26B9">
        <w:fldChar w:fldCharType="end"/>
      </w:r>
      <w:r w:rsidR="001F26B9">
        <w:t xml:space="preserve"> konají boží dílo objektivní racionality a nihilistická technověda dobývá svět pro jedno promile vyvolených iluminátů řídících nadnárodní korporace</w:t>
      </w:r>
      <w:r w:rsidR="002A6862">
        <w:t xml:space="preserve"> skrze umělou inteligenci</w:t>
      </w:r>
      <w:r w:rsidR="001F26B9">
        <w:t>.</w:t>
      </w:r>
      <w:r w:rsidR="007B47A1">
        <w:t xml:space="preserve"> </w:t>
      </w:r>
      <w:r w:rsidR="00F435F8" w:rsidRPr="00F435F8">
        <w:t>Imperiální a plně kapitalistický habitus západních iluminátů se řídí moderním druhem nutnosti založe</w:t>
      </w:r>
      <w:r w:rsidR="00F435F8">
        <w:t>né na příchodu Antikrista, která</w:t>
      </w:r>
      <w:r w:rsidR="00F435F8" w:rsidRPr="00F435F8">
        <w:t xml:space="preserve"> vytváří peklo instrumentální racionality. </w:t>
      </w:r>
      <w:r w:rsidR="00F435F8">
        <w:t>Tato racionalita je determinována</w:t>
      </w:r>
      <w:r w:rsidR="007B47A1">
        <w:t xml:space="preserve"> pud</w:t>
      </w:r>
      <w:r w:rsidR="00F435F8">
        <w:t>em</w:t>
      </w:r>
      <w:r w:rsidR="007B47A1">
        <w:t xml:space="preserve"> sebezáchovy jednoho procenta globální el</w:t>
      </w:r>
      <w:r w:rsidR="00FA5F98">
        <w:t>i</w:t>
      </w:r>
      <w:r w:rsidR="007B47A1">
        <w:t>ty, která se snaží zotročit oněch 99 procent tak zvaných „lidských zdrojů“.</w:t>
      </w:r>
      <w:r w:rsidR="007B47A1" w:rsidRPr="08A62794">
        <w:t xml:space="preserve"> </w:t>
      </w:r>
      <w:r w:rsidR="00F17DF7">
        <w:t>Takto založená racionalita sebezáchovy založila t</w:t>
      </w:r>
      <w:r w:rsidR="00203767">
        <w:t xml:space="preserve">otální </w:t>
      </w:r>
      <w:r w:rsidR="00203767" w:rsidRPr="00203767">
        <w:rPr>
          <w:i/>
        </w:rPr>
        <w:t>Mobilmachung</w:t>
      </w:r>
      <w:r w:rsidR="00203767">
        <w:t xml:space="preserve"> provozované </w:t>
      </w:r>
      <w:r w:rsidR="00E0485B" w:rsidRPr="00E0485B">
        <w:t>n</w:t>
      </w:r>
      <w:r w:rsidR="00203767">
        <w:t>ovými a té</w:t>
      </w:r>
      <w:r w:rsidR="00E5217D">
        <w:t xml:space="preserve">měř </w:t>
      </w:r>
      <w:r w:rsidR="00E0485B">
        <w:t>paranoidní</w:t>
      </w:r>
      <w:r w:rsidR="00203767">
        <w:t>mi</w:t>
      </w:r>
      <w:r w:rsidR="00E0485B">
        <w:t xml:space="preserve"> </w:t>
      </w:r>
      <w:r w:rsidR="00DA4762">
        <w:t>globální</w:t>
      </w:r>
      <w:r w:rsidR="00203767">
        <w:t>mi demiurgy</w:t>
      </w:r>
      <w:r w:rsidR="00CF538E">
        <w:t xml:space="preserve">. </w:t>
      </w:r>
      <w:r w:rsidR="00B62AA7">
        <w:t>Tomu odpovídá nově utvořený název současné nihilistické epochy, která je objektivně pravdivě nazvána termínem „antropocén“</w:t>
      </w:r>
      <w:r w:rsidR="00B62AA7">
        <w:fldChar w:fldCharType="begin"/>
      </w:r>
      <w:r w:rsidR="00B62AA7">
        <w:instrText xml:space="preserve"> XE "antropocén" </w:instrText>
      </w:r>
      <w:r w:rsidR="00B62AA7">
        <w:fldChar w:fldCharType="end"/>
      </w:r>
      <w:r w:rsidR="00B62AA7">
        <w:t xml:space="preserve">. </w:t>
      </w:r>
    </w:p>
    <w:p w:rsidR="00B62AA7" w:rsidRDefault="00B62AA7" w:rsidP="00B62AA7"/>
    <w:p w:rsidR="00E36560" w:rsidRDefault="00E36560" w:rsidP="00E36560">
      <w:pPr>
        <w:ind w:firstLine="397"/>
      </w:pPr>
    </w:p>
    <w:p w:rsidR="00E36560" w:rsidRDefault="00E36560" w:rsidP="00E36560">
      <w:pPr>
        <w:ind w:firstLine="397"/>
      </w:pPr>
    </w:p>
    <w:p w:rsidR="08163013" w:rsidRPr="00273106" w:rsidRDefault="00E92F23" w:rsidP="08163013">
      <w:pPr>
        <w:pStyle w:val="Nadpis2"/>
      </w:pPr>
      <w:bookmarkStart w:id="97" w:name="_Toc36144167"/>
      <w:r>
        <w:rPr>
          <w:lang w:val="cs-CZ"/>
        </w:rPr>
        <w:br w:type="page"/>
      </w:r>
      <w:bookmarkStart w:id="98" w:name="_Toc180231680"/>
      <w:r w:rsidR="08163013">
        <w:rPr>
          <w:lang w:val="cs-CZ"/>
        </w:rPr>
        <w:lastRenderedPageBreak/>
        <w:t>5</w:t>
      </w:r>
      <w:r w:rsidR="08163013" w:rsidRPr="00273106">
        <w:t>.4 Don Quijote prvního averroismu (William Ockham)</w:t>
      </w:r>
      <w:bookmarkEnd w:id="97"/>
      <w:bookmarkEnd w:id="98"/>
    </w:p>
    <w:p w:rsidR="0052651E" w:rsidRDefault="00D42E9D" w:rsidP="001F26B9">
      <w:r w:rsidRPr="00273106">
        <w:rPr>
          <w:rStyle w:val="TextpoznpodarouChar"/>
        </w:rPr>
        <w:t xml:space="preserve">Pohřeb druhého averroismu </w:t>
      </w:r>
      <w:r>
        <w:rPr>
          <w:rStyle w:val="TextpoznpodarouChar"/>
        </w:rPr>
        <w:t xml:space="preserve">vystrojil </w:t>
      </w:r>
      <w:r w:rsidRPr="00273106">
        <w:rPr>
          <w:rStyle w:val="TextpoznpodarouChar"/>
        </w:rPr>
        <w:t>Duns Scotus hned v následující dekádě</w:t>
      </w:r>
      <w:r>
        <w:rPr>
          <w:rStyle w:val="TextpoznpodarouChar"/>
        </w:rPr>
        <w:t xml:space="preserve"> po Gandavovi</w:t>
      </w:r>
      <w:r w:rsidRPr="00273106">
        <w:rPr>
          <w:rStyle w:val="TextpoznpodarouChar"/>
        </w:rPr>
        <w:t>.</w:t>
      </w:r>
      <w:r>
        <w:t xml:space="preserve"> </w:t>
      </w:r>
      <w:r w:rsidRPr="00273106">
        <w:rPr>
          <w:rStyle w:val="addmd"/>
        </w:rPr>
        <w:t xml:space="preserve">Scotus </w:t>
      </w:r>
      <w:r w:rsidRPr="00273106">
        <w:t xml:space="preserve">předělal ontoteologické schéma podle </w:t>
      </w:r>
      <w:r>
        <w:t>neoplatonsk</w:t>
      </w:r>
      <w:r w:rsidRPr="00273106">
        <w:t xml:space="preserve">ého Simplikia na objektivně pojatou kategoriální predikaci podle Aristotela. </w:t>
      </w:r>
      <w:r w:rsidR="00DE7CD1" w:rsidRPr="00273106">
        <w:t>Druhý averroismus dostal definitivní podobu, která přivodila jeho konec.</w:t>
      </w:r>
      <w:r w:rsidR="00DE7CD1">
        <w:t xml:space="preserve"> </w:t>
      </w:r>
      <w:r>
        <w:rPr>
          <w:rStyle w:val="TextpoznpodarouChar"/>
        </w:rPr>
        <w:t xml:space="preserve">Bůh není objektivně-emanačně vtělen do světa skrze svou intencionalitu a vůli jako u Gandava. Scotův bůh objektivně bytuje ve světě pouze skrze neutrální racionalitu, kterou </w:t>
      </w:r>
      <w:r w:rsidR="00181CED">
        <w:rPr>
          <w:rStyle w:val="TextpoznpodarouChar"/>
        </w:rPr>
        <w:t xml:space="preserve">lze </w:t>
      </w:r>
      <w:r>
        <w:rPr>
          <w:rStyle w:val="TextpoznpodarouChar"/>
        </w:rPr>
        <w:t>vědecky pozn</w:t>
      </w:r>
      <w:r w:rsidR="00181CED">
        <w:rPr>
          <w:rStyle w:val="TextpoznpodarouChar"/>
        </w:rPr>
        <w:t>at</w:t>
      </w:r>
      <w:r>
        <w:rPr>
          <w:rStyle w:val="TextpoznpodarouChar"/>
        </w:rPr>
        <w:t xml:space="preserve"> (</w:t>
      </w:r>
      <w:r w:rsidRPr="00844082">
        <w:rPr>
          <w:rStyle w:val="TextpoznpodarouChar"/>
          <w:i/>
        </w:rPr>
        <w:t>imago</w:t>
      </w:r>
      <w:r>
        <w:rPr>
          <w:rStyle w:val="TextpoznpodarouChar"/>
        </w:rPr>
        <w:t xml:space="preserve">). Tento univoční, nutný a </w:t>
      </w:r>
      <w:r w:rsidR="00D87684">
        <w:rPr>
          <w:rStyle w:val="TextpoznpodarouChar"/>
        </w:rPr>
        <w:t xml:space="preserve">deduktivně </w:t>
      </w:r>
      <w:r>
        <w:rPr>
          <w:rStyle w:val="TextpoznpodarouChar"/>
        </w:rPr>
        <w:t xml:space="preserve">založený vztah nekonečné a konečné racionality oprášil Bonaventurovu formuli </w:t>
      </w:r>
      <w:r w:rsidRPr="084E6CC6">
        <w:rPr>
          <w:rStyle w:val="TextpoznpodarouChar"/>
          <w:i/>
        </w:rPr>
        <w:t>regula agentis in/creati</w:t>
      </w:r>
      <w:r>
        <w:rPr>
          <w:rStyle w:val="TextpoznpodarouChar"/>
        </w:rPr>
        <w:t xml:space="preserve"> a založil objektivní formu metafyzického </w:t>
      </w:r>
      <w:r w:rsidRPr="08FC02E6">
        <w:rPr>
          <w:rStyle w:val="TextpoznpodarouChar"/>
          <w:i/>
        </w:rPr>
        <w:t>share-holding</w:t>
      </w:r>
      <w:r>
        <w:rPr>
          <w:rStyle w:val="TextpoznpodarouChar"/>
        </w:rPr>
        <w:t xml:space="preserve">. </w:t>
      </w:r>
      <w:r w:rsidR="00F12E5D" w:rsidRPr="00F12E5D">
        <w:rPr>
          <w:rStyle w:val="TextpoznpodarouChar"/>
        </w:rPr>
        <w:t xml:space="preserve">Moderní ilumináti pochodující </w:t>
      </w:r>
      <w:r w:rsidR="00F12E5D" w:rsidRPr="00F12E5D">
        <w:rPr>
          <w:rStyle w:val="TextpoznpodarouChar"/>
          <w:i/>
        </w:rPr>
        <w:t>via Modernorum</w:t>
      </w:r>
      <w:r w:rsidR="00F12E5D" w:rsidRPr="00F12E5D">
        <w:rPr>
          <w:rStyle w:val="TextpoznpodarouChar"/>
        </w:rPr>
        <w:t xml:space="preserve"> se stali </w:t>
      </w:r>
      <w:r w:rsidR="00F12E5D">
        <w:rPr>
          <w:rStyle w:val="TextpoznpodarouChar"/>
        </w:rPr>
        <w:t xml:space="preserve">akcionáři </w:t>
      </w:r>
      <w:r w:rsidR="00F12E5D" w:rsidRPr="00F12E5D">
        <w:rPr>
          <w:rStyle w:val="TextpoznpodarouChar"/>
        </w:rPr>
        <w:t xml:space="preserve">božského a plně racionálního podniku, který neustále vytvářel </w:t>
      </w:r>
      <w:r w:rsidR="00F12E5D">
        <w:rPr>
          <w:rStyle w:val="TextpoznpodarouChar"/>
        </w:rPr>
        <w:t xml:space="preserve">nutnost danou skrze </w:t>
      </w:r>
      <w:r w:rsidR="00F12E5D" w:rsidRPr="00F12E5D">
        <w:rPr>
          <w:rStyle w:val="TextpoznpodarouChar"/>
        </w:rPr>
        <w:t>objektivní racional</w:t>
      </w:r>
      <w:r w:rsidR="00F12E5D">
        <w:rPr>
          <w:rStyle w:val="TextpoznpodarouChar"/>
        </w:rPr>
        <w:t>itu</w:t>
      </w:r>
      <w:r w:rsidR="00F12E5D" w:rsidRPr="00F12E5D">
        <w:rPr>
          <w:rStyle w:val="TextpoznpodarouChar"/>
        </w:rPr>
        <w:t xml:space="preserve">. </w:t>
      </w:r>
      <w:r>
        <w:rPr>
          <w:rStyle w:val="TextpoznpodarouChar"/>
        </w:rPr>
        <w:t xml:space="preserve">Po smrti </w:t>
      </w:r>
      <w:r w:rsidR="0094483C">
        <w:rPr>
          <w:rStyle w:val="TextpoznpodarouChar"/>
        </w:rPr>
        <w:t xml:space="preserve">božského </w:t>
      </w:r>
      <w:r>
        <w:rPr>
          <w:rStyle w:val="TextpoznpodarouChar"/>
        </w:rPr>
        <w:t>zakladetele si toto výnosné dílo kompletně zprivatizoval postmoderní subjek</w:t>
      </w:r>
      <w:r w:rsidR="0094483C">
        <w:rPr>
          <w:rStyle w:val="TextpoznpodarouChar"/>
        </w:rPr>
        <w:t>t</w:t>
      </w:r>
      <w:r>
        <w:rPr>
          <w:rStyle w:val="TextpoznpodarouChar"/>
        </w:rPr>
        <w:t xml:space="preserve"> tím, že nejprve vyplatil minoritní akcionáře. Objektivně zcela zbyteční zástupci prvního averroismu byli posláni do říše Zapomnění. </w:t>
      </w:r>
      <w:r w:rsidR="00EE109A" w:rsidRPr="00EE109A">
        <w:rPr>
          <w:rStyle w:val="TextpoznpodarouChar"/>
        </w:rPr>
        <w:t xml:space="preserve">Z dřívějšího </w:t>
      </w:r>
      <w:r w:rsidR="00EE109A">
        <w:rPr>
          <w:rStyle w:val="TextpoznpodarouChar"/>
        </w:rPr>
        <w:t>konceptu „</w:t>
      </w:r>
      <w:r w:rsidR="00EE109A" w:rsidRPr="00EE109A">
        <w:rPr>
          <w:rStyle w:val="TextpoznpodarouChar"/>
        </w:rPr>
        <w:t>člověk-</w:t>
      </w:r>
      <w:r w:rsidR="00EE109A">
        <w:rPr>
          <w:rStyle w:val="TextpoznpodarouChar"/>
        </w:rPr>
        <w:t xml:space="preserve">mrtvola“ </w:t>
      </w:r>
      <w:r w:rsidR="00EE109A" w:rsidRPr="00EE109A">
        <w:rPr>
          <w:rStyle w:val="TextpoznpodarouChar"/>
        </w:rPr>
        <w:t xml:space="preserve">se podle nové verze </w:t>
      </w:r>
      <w:r w:rsidR="00EE109A" w:rsidRPr="00EE109A">
        <w:rPr>
          <w:rStyle w:val="TextpoznpodarouChar"/>
          <w:i/>
        </w:rPr>
        <w:t>Písně písní</w:t>
      </w:r>
      <w:r w:rsidR="00EE109A" w:rsidRPr="00EE109A">
        <w:rPr>
          <w:rStyle w:val="TextpoznpodarouChar"/>
        </w:rPr>
        <w:t xml:space="preserve"> (kap. 4.1.2) stal </w:t>
      </w:r>
      <w:r w:rsidR="00EE109A">
        <w:rPr>
          <w:rStyle w:val="TextpoznpodarouChar"/>
        </w:rPr>
        <w:t>„</w:t>
      </w:r>
      <w:r w:rsidR="00EE109A" w:rsidRPr="00EE109A">
        <w:rPr>
          <w:rStyle w:val="TextpoznpodarouChar"/>
        </w:rPr>
        <w:t>lidský zdroj</w:t>
      </w:r>
      <w:r w:rsidR="00EE109A">
        <w:rPr>
          <w:rStyle w:val="TextpoznpodarouChar"/>
        </w:rPr>
        <w:t>“</w:t>
      </w:r>
      <w:r w:rsidR="00EE109A" w:rsidRPr="00EE109A">
        <w:rPr>
          <w:rStyle w:val="TextpoznpodarouChar"/>
        </w:rPr>
        <w:t xml:space="preserve">, který je třeba </w:t>
      </w:r>
      <w:r w:rsidR="00EE109A">
        <w:rPr>
          <w:rStyle w:val="TextpoznpodarouChar"/>
        </w:rPr>
        <w:t>manipulovat</w:t>
      </w:r>
      <w:r w:rsidR="00EE109A" w:rsidRPr="00EE109A">
        <w:rPr>
          <w:rStyle w:val="TextpoznpodarouChar"/>
        </w:rPr>
        <w:t xml:space="preserve">. Tento </w:t>
      </w:r>
      <w:r w:rsidR="00EE109A" w:rsidRPr="00EE109A">
        <w:rPr>
          <w:rStyle w:val="TextpoznpodarouChar"/>
          <w:i/>
        </w:rPr>
        <w:t>opus magnum</w:t>
      </w:r>
      <w:r w:rsidR="00EE109A" w:rsidRPr="00EE109A">
        <w:rPr>
          <w:rStyle w:val="TextpoznpodarouChar"/>
        </w:rPr>
        <w:t xml:space="preserve"> kapitalismu začal mytologickou kopulací dvou výše zmíněných iracionálních sil chtivosti (</w:t>
      </w:r>
      <w:r w:rsidR="00EE109A" w:rsidRPr="00EE109A">
        <w:rPr>
          <w:rStyle w:val="TextpoznpodarouChar"/>
          <w:i/>
        </w:rPr>
        <w:t>appetitus</w:t>
      </w:r>
      <w:r w:rsidR="00EE109A" w:rsidRPr="00EE109A">
        <w:rPr>
          <w:rStyle w:val="TextpoznpodarouChar"/>
        </w:rPr>
        <w:t xml:space="preserve">), </w:t>
      </w:r>
      <w:r w:rsidR="00EE109A">
        <w:rPr>
          <w:rStyle w:val="TextpoznpodarouChar"/>
        </w:rPr>
        <w:t>kdy vznikla původní mýtická kosmogonie</w:t>
      </w:r>
      <w:r w:rsidR="00EE109A" w:rsidRPr="00EE109A">
        <w:rPr>
          <w:rStyle w:val="TextpoznpodarouChar"/>
        </w:rPr>
        <w:t xml:space="preserve"> kapitalismu. </w:t>
      </w:r>
      <w:r w:rsidR="00FA7B4C">
        <w:rPr>
          <w:rStyle w:val="TextpoznpodarouChar"/>
        </w:rPr>
        <w:t>Zpracování všech druhů „</w:t>
      </w:r>
      <w:r w:rsidR="00FA7B4C" w:rsidRPr="00FA7B4C">
        <w:rPr>
          <w:rStyle w:val="TextpoznpodarouChar"/>
          <w:i/>
        </w:rPr>
        <w:t>inoboedientia materiae</w:t>
      </w:r>
      <w:r w:rsidR="00FA7B4C">
        <w:rPr>
          <w:rStyle w:val="TextpoznpodarouChar"/>
        </w:rPr>
        <w:t>“</w:t>
      </w:r>
      <w:r w:rsidR="00FA7B4C" w:rsidRPr="00FA7B4C">
        <w:rPr>
          <w:rStyle w:val="TextpoznpodarouChar"/>
        </w:rPr>
        <w:t xml:space="preserve"> </w:t>
      </w:r>
      <w:r w:rsidR="00FA7B4C">
        <w:rPr>
          <w:rStyle w:val="TextpoznpodarouChar"/>
        </w:rPr>
        <w:t xml:space="preserve">šlo skrze termín </w:t>
      </w:r>
      <w:r w:rsidR="00FA7B4C" w:rsidRPr="00FA7B4C">
        <w:rPr>
          <w:rStyle w:val="TextpoznpodarouChar"/>
        </w:rPr>
        <w:t>"</w:t>
      </w:r>
      <w:r w:rsidR="00FA7B4C" w:rsidRPr="00FA7B4C">
        <w:rPr>
          <w:rStyle w:val="TextpoznpodarouChar"/>
          <w:i/>
        </w:rPr>
        <w:t>informatio</w:t>
      </w:r>
      <w:r w:rsidR="00FA7B4C" w:rsidRPr="00FA7B4C">
        <w:rPr>
          <w:rStyle w:val="TextpoznpodarouChar"/>
        </w:rPr>
        <w:t xml:space="preserve">", který </w:t>
      </w:r>
      <w:r w:rsidR="00FA7B4C">
        <w:rPr>
          <w:rStyle w:val="TextpoznpodarouChar"/>
        </w:rPr>
        <w:t>Rufus zavedl do moderního</w:t>
      </w:r>
      <w:r w:rsidR="00FA7B4C" w:rsidRPr="00FA7B4C">
        <w:rPr>
          <w:rStyle w:val="TextpoznpodarouChar"/>
        </w:rPr>
        <w:t xml:space="preserve"> myšlení (OBJ II, kap. 3.3.2). </w:t>
      </w:r>
      <w:r w:rsidRPr="00273106">
        <w:t xml:space="preserve">Klíčový objev, který </w:t>
      </w:r>
      <w:r>
        <w:t xml:space="preserve">definitivně </w:t>
      </w:r>
      <w:r w:rsidRPr="00273106">
        <w:t xml:space="preserve">skoncoval se školou druhého averroismu, představuje </w:t>
      </w:r>
      <w:r>
        <w:t xml:space="preserve">Scotova </w:t>
      </w:r>
      <w:r w:rsidRPr="00273106">
        <w:t xml:space="preserve">aristotelská kauzalita </w:t>
      </w:r>
      <w:r>
        <w:t>a substance dosazená</w:t>
      </w:r>
      <w:r w:rsidRPr="00273106">
        <w:t xml:space="preserve"> do avicennovské metaf</w:t>
      </w:r>
      <w:r>
        <w:t>yziky. Zavedením esence do struktury kategoriální predikace d</w:t>
      </w:r>
      <w:r w:rsidRPr="00273106">
        <w:t xml:space="preserve">ochází k </w:t>
      </w:r>
      <w:r>
        <w:t xml:space="preserve">jistému a deduktivně danému poznání božích vlastností a </w:t>
      </w:r>
      <w:r w:rsidRPr="00273106">
        <w:t>kauzality světa</w:t>
      </w:r>
      <w:r>
        <w:t>. Skrze exemplá</w:t>
      </w:r>
      <w:r w:rsidRPr="00273106">
        <w:t>r</w:t>
      </w:r>
      <w:r>
        <w:t>ní boží racionalitu</w:t>
      </w:r>
      <w:r w:rsidRPr="00273106">
        <w:t xml:space="preserve"> </w:t>
      </w:r>
      <w:r>
        <w:t xml:space="preserve">vyzářenou do světa najde lidská mysl objektivní a nutnou reguli pro vlastní myšlení a jednání. Díky nové formě objektivní dedukce nemusí osvícená mysl jít </w:t>
      </w:r>
      <w:r w:rsidRPr="00273106">
        <w:t xml:space="preserve">kontigentní cestou </w:t>
      </w:r>
      <w:r>
        <w:t xml:space="preserve">poznání </w:t>
      </w:r>
      <w:r w:rsidRPr="00273106">
        <w:t xml:space="preserve">od </w:t>
      </w:r>
      <w:r>
        <w:t>reálné první substance</w:t>
      </w:r>
      <w:r w:rsidRPr="00273106">
        <w:t xml:space="preserve">. </w:t>
      </w:r>
      <w:r>
        <w:t xml:space="preserve">Scotus provádí </w:t>
      </w:r>
      <w:r w:rsidRPr="00273106">
        <w:t>dedukc</w:t>
      </w:r>
      <w:r>
        <w:t xml:space="preserve">i stvořitelské kauzality jen z logického </w:t>
      </w:r>
      <w:r w:rsidRPr="00273106">
        <w:t>způsobu božího myšlení</w:t>
      </w:r>
      <w:r>
        <w:t xml:space="preserve"> a koncipuje </w:t>
      </w:r>
      <w:r w:rsidR="00916B59" w:rsidRPr="083E0A94">
        <w:rPr>
          <w:i/>
        </w:rPr>
        <w:t>ex nihilo</w:t>
      </w:r>
      <w:r w:rsidR="00916B59">
        <w:rPr>
          <w:i/>
        </w:rPr>
        <w:t xml:space="preserve"> </w:t>
      </w:r>
      <w:r w:rsidRPr="00273106">
        <w:t>objektivně</w:t>
      </w:r>
      <w:r>
        <w:t xml:space="preserve"> a </w:t>
      </w:r>
      <w:r w:rsidR="00916B59">
        <w:t>minimálně danou jsoucnost</w:t>
      </w:r>
      <w:r w:rsidRPr="00273106">
        <w:t xml:space="preserve">. </w:t>
      </w:r>
      <w:r>
        <w:t>V novém schématu avicenn</w:t>
      </w:r>
      <w:r w:rsidR="00916B59">
        <w:t xml:space="preserve">ismu </w:t>
      </w:r>
      <w:r>
        <w:t xml:space="preserve">odpadl koncept iluminace, který sloužil jako </w:t>
      </w:r>
      <w:r w:rsidRPr="081D4708">
        <w:rPr>
          <w:i/>
        </w:rPr>
        <w:t>causa remota</w:t>
      </w:r>
      <w:r>
        <w:t xml:space="preserve"> pro poznání moderních iluminátů. </w:t>
      </w:r>
      <w:r w:rsidRPr="00273106">
        <w:t xml:space="preserve">Exemplar </w:t>
      </w:r>
      <w:r>
        <w:t xml:space="preserve">se stal </w:t>
      </w:r>
      <w:r w:rsidRPr="00273106">
        <w:t>součást</w:t>
      </w:r>
      <w:r>
        <w:t>í</w:t>
      </w:r>
      <w:r w:rsidRPr="00273106">
        <w:t xml:space="preserve"> boží esence</w:t>
      </w:r>
      <w:r>
        <w:t xml:space="preserve">. Jeho objektivní simulákrum dané ve formě deduktivního závěru difúzní boží racionality </w:t>
      </w:r>
      <w:r w:rsidRPr="00273106">
        <w:t>dostal</w:t>
      </w:r>
      <w:r>
        <w:t>o</w:t>
      </w:r>
      <w:r w:rsidRPr="00273106">
        <w:t xml:space="preserve"> </w:t>
      </w:r>
      <w:r>
        <w:t xml:space="preserve">objektivní </w:t>
      </w:r>
      <w:r w:rsidRPr="00273106">
        <w:t>formu</w:t>
      </w:r>
      <w:r>
        <w:t xml:space="preserve"> bytí (</w:t>
      </w:r>
      <w:r w:rsidRPr="00BF0364">
        <w:rPr>
          <w:i/>
        </w:rPr>
        <w:t>aliquitas</w:t>
      </w:r>
      <w:r>
        <w:rPr>
          <w:i/>
        </w:rPr>
        <w:fldChar w:fldCharType="begin"/>
      </w:r>
      <w:r>
        <w:instrText xml:space="preserve"> XE "</w:instrText>
      </w:r>
      <w:r w:rsidRPr="00D248E6">
        <w:rPr>
          <w:i/>
        </w:rPr>
        <w:instrText>aliquitas</w:instrText>
      </w:r>
      <w:r>
        <w:instrText xml:space="preserve">" </w:instrText>
      </w:r>
      <w:r>
        <w:rPr>
          <w:i/>
        </w:rPr>
        <w:fldChar w:fldCharType="end"/>
      </w:r>
      <w:r>
        <w:t>)</w:t>
      </w:r>
      <w:r w:rsidRPr="00273106">
        <w:t>, která je konečným způsobem reprezentována ve stvoření</w:t>
      </w:r>
      <w:r>
        <w:t xml:space="preserve"> </w:t>
      </w:r>
      <w:r>
        <w:lastRenderedPageBreak/>
        <w:t>(</w:t>
      </w:r>
      <w:r w:rsidRPr="008C06C2">
        <w:rPr>
          <w:i/>
        </w:rPr>
        <w:t>imago</w:t>
      </w:r>
      <w:r>
        <w:t>)</w:t>
      </w:r>
      <w:r w:rsidRPr="00273106">
        <w:t xml:space="preserve">. </w:t>
      </w:r>
      <w:r>
        <w:t xml:space="preserve">Tuto objektivovanou boží racionalitu moderní </w:t>
      </w:r>
      <w:r w:rsidRPr="00273106">
        <w:rPr>
          <w:i/>
        </w:rPr>
        <w:t>homo viator</w:t>
      </w:r>
      <w:r w:rsidRPr="00273106">
        <w:t xml:space="preserve"> poznává s plnou jistotou </w:t>
      </w:r>
      <w:r>
        <w:t>skrze objektivní výměr poznatelný i skrze reálné substance</w:t>
      </w:r>
      <w:r w:rsidRPr="00273106">
        <w:t>.</w:t>
      </w:r>
    </w:p>
    <w:p w:rsidR="00246721" w:rsidRDefault="00B6324F" w:rsidP="00246721">
      <w:pPr>
        <w:ind w:firstLine="397"/>
        <w:rPr>
          <w:lang w:eastAsia="en-US"/>
        </w:rPr>
      </w:pPr>
      <w:r>
        <w:t>Hermeneutika ukázala</w:t>
      </w:r>
      <w:r w:rsidRPr="00273106">
        <w:t>, jak první substance postupně dostala negativní charakter vůči jistotě osvíceného intelektu</w:t>
      </w:r>
      <w:r>
        <w:t xml:space="preserve"> moderních augustiniánů a avicennistů. Grossetestem nastolený výklad </w:t>
      </w:r>
      <w:r w:rsidRPr="088A2206">
        <w:rPr>
          <w:i/>
        </w:rPr>
        <w:t>Druhých analytik</w:t>
      </w:r>
      <w:r>
        <w:t xml:space="preserve"> podle principu </w:t>
      </w:r>
      <w:r w:rsidRPr="00467E67">
        <w:rPr>
          <w:i/>
        </w:rPr>
        <w:t>inmediate</w:t>
      </w:r>
      <w:r>
        <w:t xml:space="preserve"> vedl k zatmění první substance okolo roku 1230</w:t>
      </w:r>
      <w:r w:rsidRPr="00273106">
        <w:t xml:space="preserve">. </w:t>
      </w:r>
      <w:r w:rsidR="002A6FB3" w:rsidRPr="002A6FB3">
        <w:t xml:space="preserve">Nerespektování </w:t>
      </w:r>
      <w:r w:rsidR="002A6FB3">
        <w:t>principu „</w:t>
      </w:r>
      <w:r w:rsidR="002A6FB3" w:rsidRPr="089F300F">
        <w:rPr>
          <w:i/>
        </w:rPr>
        <w:t>ex</w:t>
      </w:r>
      <w:r w:rsidR="002A6FB3">
        <w:t xml:space="preserve"> </w:t>
      </w:r>
      <w:r w:rsidR="002A6FB3">
        <w:rPr>
          <w:i/>
        </w:rPr>
        <w:t>in</w:t>
      </w:r>
      <w:r w:rsidR="002A6FB3" w:rsidRPr="00273106">
        <w:rPr>
          <w:i/>
        </w:rPr>
        <w:t>mediat</w:t>
      </w:r>
      <w:r w:rsidR="002A6FB3">
        <w:rPr>
          <w:i/>
        </w:rPr>
        <w:t>is</w:t>
      </w:r>
      <w:r w:rsidR="002A6FB3">
        <w:t>“, který se týkal</w:t>
      </w:r>
      <w:r w:rsidR="002A6FB3" w:rsidRPr="002A6FB3">
        <w:t xml:space="preserve"> reálných substancí, bylo definitivně potvrzeno v první verzi </w:t>
      </w:r>
      <w:r w:rsidR="002A6FB3" w:rsidRPr="005D1467">
        <w:rPr>
          <w:i/>
        </w:rPr>
        <w:t>Oxfordian Fallacy</w:t>
      </w:r>
      <w:r w:rsidR="002A6FB3">
        <w:t>, která</w:t>
      </w:r>
      <w:r w:rsidR="002A6FB3" w:rsidRPr="002A6FB3">
        <w:t xml:space="preserve"> vznikl</w:t>
      </w:r>
      <w:r w:rsidR="002A6FB3">
        <w:t>a</w:t>
      </w:r>
      <w:r w:rsidR="002A6FB3" w:rsidRPr="002A6FB3">
        <w:t xml:space="preserve"> </w:t>
      </w:r>
      <w:r w:rsidR="002A6FB3">
        <w:t xml:space="preserve">okolo roku 1250. </w:t>
      </w:r>
      <w:r>
        <w:t xml:space="preserve">Rozhodujím mezníkem nástupu moderny byl rok 1256, kdy akademičtí mendikanté vybojovali první vítěznou bitvu nad sekulárními pařížskými magistry a dostali na Pařížské univerzitě vlastní katedru. </w:t>
      </w:r>
      <w:r w:rsidR="000F01DA" w:rsidRPr="000F01DA">
        <w:t xml:space="preserve">Vznik objektivity </w:t>
      </w:r>
      <w:r w:rsidR="000F01DA">
        <w:t xml:space="preserve">byl vázaný na </w:t>
      </w:r>
      <w:r w:rsidR="000F01DA" w:rsidRPr="000F01DA">
        <w:t>zrod</w:t>
      </w:r>
      <w:r w:rsidR="000F01DA">
        <w:t xml:space="preserve"> moderní teologie, kterou založil Bonaventura</w:t>
      </w:r>
      <w:r w:rsidR="000F01DA" w:rsidRPr="000F01DA">
        <w:t xml:space="preserve">. </w:t>
      </w:r>
      <w:r w:rsidR="000F01DA">
        <w:t>Teologie b</w:t>
      </w:r>
      <w:r>
        <w:t xml:space="preserve">yla ustavena jako ontoteologie, která mytologickým způsobem pohltila svět, boha a člověka v asimilačním modu pravdy dané jako Rufusovo </w:t>
      </w:r>
      <w:r w:rsidRPr="08672560">
        <w:rPr>
          <w:i/>
        </w:rPr>
        <w:t>coaequatio</w:t>
      </w:r>
      <w:r>
        <w:rPr>
          <w:i/>
        </w:rPr>
        <w:fldChar w:fldCharType="begin"/>
      </w:r>
      <w:r>
        <w:instrText xml:space="preserve"> XE "pravda:</w:instrText>
      </w:r>
      <w:r w:rsidRPr="08422F24">
        <w:rPr>
          <w:i/>
        </w:rPr>
        <w:instrText>coaequatio</w:instrText>
      </w:r>
      <w:r>
        <w:instrText xml:space="preserve">" </w:instrText>
      </w:r>
      <w:r>
        <w:rPr>
          <w:i/>
        </w:rPr>
        <w:fldChar w:fldCharType="end"/>
      </w:r>
      <w:r>
        <w:t xml:space="preserve">. </w:t>
      </w:r>
      <w:r w:rsidR="00740419">
        <w:t>Moderní b</w:t>
      </w:r>
      <w:r>
        <w:t xml:space="preserve">ůh </w:t>
      </w:r>
      <w:r w:rsidR="00740419">
        <w:t xml:space="preserve">se stal </w:t>
      </w:r>
      <w:r>
        <w:t>absolutní</w:t>
      </w:r>
      <w:r w:rsidR="00740419">
        <w:t>m</w:t>
      </w:r>
      <w:r>
        <w:t xml:space="preserve"> základ</w:t>
      </w:r>
      <w:r w:rsidR="00740419">
        <w:t>en</w:t>
      </w:r>
      <w:r>
        <w:t xml:space="preserve"> a nositele</w:t>
      </w:r>
      <w:r w:rsidR="00740419">
        <w:t>m</w:t>
      </w:r>
      <w:r>
        <w:t xml:space="preserve"> (</w:t>
      </w:r>
      <w:r w:rsidRPr="08FB4CBC">
        <w:rPr>
          <w:i/>
        </w:rPr>
        <w:t>subiectum</w:t>
      </w:r>
      <w:r>
        <w:t xml:space="preserve">) </w:t>
      </w:r>
      <w:r w:rsidRPr="08C750AB">
        <w:t>nové ontoteologie</w:t>
      </w:r>
      <w:r w:rsidR="002237A2">
        <w:t xml:space="preserve"> skrze antropology popsaný </w:t>
      </w:r>
      <w:r w:rsidR="002237A2" w:rsidRPr="002237A2">
        <w:rPr>
          <w:i/>
        </w:rPr>
        <w:t>Cargo cult</w:t>
      </w:r>
      <w:r w:rsidR="002237A2">
        <w:t xml:space="preserve">, který se tentokrát týkal modernizovaného avicennismu. </w:t>
      </w:r>
      <w:r w:rsidR="00E04CA9" w:rsidRPr="00730FD0">
        <w:t xml:space="preserve">Bůh </w:t>
      </w:r>
      <w:r w:rsidR="00E04CA9">
        <w:t xml:space="preserve">moderních </w:t>
      </w:r>
      <w:r w:rsidR="00435051">
        <w:t>se stal hlavní modlou a simulá</w:t>
      </w:r>
      <w:r w:rsidR="00E04CA9" w:rsidRPr="00730FD0">
        <w:t xml:space="preserve">krem </w:t>
      </w:r>
      <w:r w:rsidR="00E04CA9">
        <w:t>(</w:t>
      </w:r>
      <w:r w:rsidR="00E04CA9">
        <w:rPr>
          <w:rStyle w:val="st"/>
        </w:rPr>
        <w:t>εἰδώλων</w:t>
      </w:r>
      <w:r w:rsidR="00E04CA9" w:rsidRPr="08BE1FDF">
        <w:t>)</w:t>
      </w:r>
      <w:r w:rsidR="00E04CA9">
        <w:t xml:space="preserve"> zajímavého </w:t>
      </w:r>
      <w:r w:rsidR="00186C10">
        <w:t>kmene západních</w:t>
      </w:r>
      <w:r w:rsidR="00E04CA9" w:rsidRPr="00730FD0">
        <w:t xml:space="preserve"> i</w:t>
      </w:r>
      <w:r w:rsidR="00E04CA9">
        <w:t>luminátů, které Albert nazval „</w:t>
      </w:r>
      <w:r w:rsidR="00E04CA9" w:rsidRPr="00730FD0">
        <w:rPr>
          <w:i/>
        </w:rPr>
        <w:t>doctores Latini</w:t>
      </w:r>
      <w:r w:rsidR="00E04CA9">
        <w:t>“</w:t>
      </w:r>
      <w:r w:rsidR="00E04CA9" w:rsidRPr="00730FD0">
        <w:t xml:space="preserve">. </w:t>
      </w:r>
      <w:r w:rsidR="002237A2">
        <w:t>O</w:t>
      </w:r>
      <w:r>
        <w:t xml:space="preserve">bjektivní bůh </w:t>
      </w:r>
      <w:r w:rsidRPr="081465D9">
        <w:rPr>
          <w:i/>
        </w:rPr>
        <w:t>Modernorum</w:t>
      </w:r>
      <w:r>
        <w:t xml:space="preserve"> </w:t>
      </w:r>
      <w:r w:rsidR="002237A2">
        <w:t xml:space="preserve">pak fungoval několik </w:t>
      </w:r>
      <w:r>
        <w:t xml:space="preserve">století </w:t>
      </w:r>
      <w:r w:rsidR="002237A2">
        <w:t>jako hlavní</w:t>
      </w:r>
      <w:r>
        <w:t xml:space="preserve"> </w:t>
      </w:r>
      <w:r w:rsidR="002237A2">
        <w:t xml:space="preserve">akademický </w:t>
      </w:r>
      <w:r>
        <w:t>idol latinského Západu</w:t>
      </w:r>
      <w:r w:rsidR="00F75040">
        <w:t xml:space="preserve">. </w:t>
      </w:r>
      <w:r w:rsidR="00F75040" w:rsidRPr="00F75040">
        <w:t xml:space="preserve">Tuto modlu uctívali moderní gnostici z kmene zvaného </w:t>
      </w:r>
      <w:r w:rsidR="00F75040" w:rsidRPr="00F75040">
        <w:rPr>
          <w:i/>
        </w:rPr>
        <w:t>intelligentia spiritualis</w:t>
      </w:r>
      <w:r w:rsidR="00F75040" w:rsidRPr="00F75040">
        <w:t xml:space="preserve">. </w:t>
      </w:r>
      <w:r w:rsidR="00F75040">
        <w:t>Akademický kmen ilumin</w:t>
      </w:r>
      <w:r w:rsidR="00DA5739">
        <w:t>átů pak nast</w:t>
      </w:r>
      <w:r w:rsidR="00F75040">
        <w:t>ou</w:t>
      </w:r>
      <w:r w:rsidR="00DA5739">
        <w:t>pi</w:t>
      </w:r>
      <w:r w:rsidR="00F75040">
        <w:t>l na válečnou stezku současníků (</w:t>
      </w:r>
      <w:r w:rsidR="00F75040" w:rsidRPr="082004CB">
        <w:rPr>
          <w:i/>
        </w:rPr>
        <w:t>via Modernorum</w:t>
      </w:r>
      <w:r w:rsidR="00F75040">
        <w:t xml:space="preserve">) </w:t>
      </w:r>
      <w:r w:rsidR="00DA5739">
        <w:t xml:space="preserve">a </w:t>
      </w:r>
      <w:r>
        <w:t>o</w:t>
      </w:r>
      <w:r w:rsidR="00F75040">
        <w:t>d roku 1255</w:t>
      </w:r>
      <w:r w:rsidR="00DA5739">
        <w:t xml:space="preserve"> začal bojovat se školou prvního averroismu</w:t>
      </w:r>
      <w:r>
        <w:t>. Moderní bůh nesoucí celou stavbu křesťanské metafyziky zemřel</w:t>
      </w:r>
      <w:r>
        <w:fldChar w:fldCharType="begin"/>
      </w:r>
      <w:r>
        <w:instrText xml:space="preserve"> XE "</w:instrText>
      </w:r>
      <w:r w:rsidRPr="08FC1DAC">
        <w:instrText>smrt boha</w:instrText>
      </w:r>
      <w:r>
        <w:instrText xml:space="preserve">" </w:instrText>
      </w:r>
      <w:r>
        <w:fldChar w:fldCharType="end"/>
      </w:r>
      <w:r>
        <w:t xml:space="preserve"> v postmoderně na nedostatek jakékoliv rozumné činnosti. Jeho smrt byla dějinně nutná</w:t>
      </w:r>
      <w:r w:rsidR="00A13082">
        <w:t xml:space="preserve">; to </w:t>
      </w:r>
      <w:r w:rsidR="00907C84">
        <w:t>absolutně logick</w:t>
      </w:r>
      <w:r w:rsidR="00A13082">
        <w:t>y</w:t>
      </w:r>
      <w:r w:rsidR="00907C84">
        <w:t xml:space="preserve"> do</w:t>
      </w:r>
      <w:r>
        <w:t xml:space="preserve">kázal filosofický iluminát Hegel jako uctívaný akademický nositel posvátného grálu. Po smrti moderního boha držel německý idealismus na krátký čas </w:t>
      </w:r>
      <w:r w:rsidR="00567A42">
        <w:t xml:space="preserve">něco málo z </w:t>
      </w:r>
      <w:r>
        <w:t>absolutního ducha, než přišel Karel Marx</w:t>
      </w:r>
      <w:r>
        <w:fldChar w:fldCharType="begin"/>
      </w:r>
      <w:r>
        <w:instrText xml:space="preserve"> XE "</w:instrText>
      </w:r>
      <w:r w:rsidRPr="08C0390C">
        <w:instrText>Marx, K.</w:instrText>
      </w:r>
      <w:r>
        <w:instrText xml:space="preserve">" </w:instrText>
      </w:r>
      <w:r>
        <w:fldChar w:fldCharType="end"/>
      </w:r>
      <w:r>
        <w:t xml:space="preserve">. </w:t>
      </w:r>
      <w:r>
        <w:rPr>
          <w:rStyle w:val="Zkladntext158dkovn0pt"/>
          <w:color w:val="auto"/>
          <w:spacing w:val="0"/>
          <w:sz w:val="24"/>
          <w:lang w:val="cs-CZ"/>
        </w:rPr>
        <w:t xml:space="preserve">Moderna vytvořila nový kosmogonický mýtus zajišťující pod vedením subjektivně založených akademických Fúrií její intelektuální reprodukci. Přežití moderny je zajištěno skrze objektivní mytologii, která produkuje všechny možné varianty </w:t>
      </w:r>
      <w:r w:rsidRPr="00501E0A">
        <w:rPr>
          <w:rStyle w:val="Zkladntext158dkovn0pt"/>
          <w:i/>
          <w:color w:val="auto"/>
          <w:spacing w:val="0"/>
          <w:sz w:val="24"/>
          <w:lang w:val="cs-CZ"/>
        </w:rPr>
        <w:t>tertium ens</w:t>
      </w:r>
      <w:r>
        <w:rPr>
          <w:rStyle w:val="Zkladntext158dkovn0pt"/>
          <w:color w:val="auto"/>
          <w:spacing w:val="0"/>
          <w:sz w:val="24"/>
          <w:lang w:val="cs-CZ"/>
        </w:rPr>
        <w:t xml:space="preserve">. </w:t>
      </w:r>
      <w:r>
        <w:t>Lidský demiurg převzal veškeré metafyzické obligace, které předtím zajišťoval moderní bůh. Nietzsche zařídil pohřeb této modly</w:t>
      </w:r>
      <w:r w:rsidRPr="085C226D">
        <w:t xml:space="preserve"> </w:t>
      </w:r>
      <w:r>
        <w:t>ve věku p</w:t>
      </w:r>
      <w:r w:rsidR="00FA6484">
        <w:t>lného metafyzického nihilismu.</w:t>
      </w:r>
      <w:r w:rsidR="00246721">
        <w:t xml:space="preserve"> </w:t>
      </w:r>
      <w:r w:rsidR="00FA6484">
        <w:t>Scotova transformace Aristotela na</w:t>
      </w:r>
      <w:r w:rsidR="00FA6484" w:rsidRPr="00FA6484">
        <w:t xml:space="preserve"> objektivní </w:t>
      </w:r>
      <w:r w:rsidR="00FA6484">
        <w:t xml:space="preserve">podobu </w:t>
      </w:r>
      <w:r w:rsidR="00FA6484" w:rsidRPr="00FA6484">
        <w:t xml:space="preserve">radikálně reformovaného avicennismu vytvořila první filozofický krok k božskému pohřbu. Jeho </w:t>
      </w:r>
      <w:r w:rsidR="00FA6484" w:rsidRPr="00FA6484">
        <w:lastRenderedPageBreak/>
        <w:t>geniální verze Cargo kultu vytvořená z avicennismu vytvořila nový druh racionality, který připravil kone</w:t>
      </w:r>
      <w:r w:rsidR="00FA6484">
        <w:t xml:space="preserve">c prvního a druhého averroismu. </w:t>
      </w:r>
      <w:r w:rsidR="08163013" w:rsidRPr="00273106">
        <w:rPr>
          <w:lang w:eastAsia="en-US"/>
        </w:rPr>
        <w:t xml:space="preserve">Unitární ontoteologie moderny nastolila novou epochu, v níž si postupně přivlastnila svět, člověka i boha, aby je </w:t>
      </w:r>
      <w:r w:rsidR="08163013">
        <w:rPr>
          <w:lang w:eastAsia="en-US"/>
        </w:rPr>
        <w:t>proměnila v nihilistickou objektivitu. Ta je dnes dána strukturální diferencí čehokoliv od nicoty, či binárním rozdílem matematické jedničky od čisté nuly.</w:t>
      </w:r>
      <w:r w:rsidR="08163013" w:rsidRPr="08281C2B">
        <w:rPr>
          <w:lang w:eastAsia="en-US"/>
        </w:rPr>
        <w:t xml:space="preserve"> </w:t>
      </w:r>
      <w:r w:rsidR="002670DC">
        <w:rPr>
          <w:lang w:eastAsia="en-US"/>
        </w:rPr>
        <w:t xml:space="preserve">Objektivně </w:t>
      </w:r>
      <w:r w:rsidR="08163013" w:rsidRPr="00273106">
        <w:rPr>
          <w:lang w:eastAsia="en-US"/>
        </w:rPr>
        <w:t xml:space="preserve">pojaté </w:t>
      </w:r>
      <w:r w:rsidR="002670DC" w:rsidRPr="002670DC">
        <w:rPr>
          <w:i/>
          <w:lang w:eastAsia="en-US"/>
        </w:rPr>
        <w:t>tertium ens</w:t>
      </w:r>
      <w:r w:rsidR="002670DC">
        <w:rPr>
          <w:lang w:eastAsia="en-US"/>
        </w:rPr>
        <w:t xml:space="preserve"> </w:t>
      </w:r>
      <w:r w:rsidR="08163013" w:rsidRPr="00273106">
        <w:rPr>
          <w:lang w:eastAsia="en-US"/>
        </w:rPr>
        <w:t xml:space="preserve">vítězně vykročilo po </w:t>
      </w:r>
      <w:r w:rsidR="08163013" w:rsidRPr="00273106">
        <w:rPr>
          <w:i/>
          <w:lang w:eastAsia="en-US"/>
        </w:rPr>
        <w:t>via Modernorum</w:t>
      </w:r>
      <w:r w:rsidR="08163013">
        <w:rPr>
          <w:lang w:eastAsia="en-US"/>
        </w:rPr>
        <w:t xml:space="preserve"> </w:t>
      </w:r>
      <w:r w:rsidR="08163013" w:rsidRPr="08B47665">
        <w:rPr>
          <w:lang w:eastAsia="en-US"/>
        </w:rPr>
        <w:t>a</w:t>
      </w:r>
      <w:r w:rsidR="08163013" w:rsidRPr="08B47665">
        <w:rPr>
          <w:lang w:eastAsia="en-US"/>
        </w:rPr>
        <w:fldChar w:fldCharType="begin"/>
      </w:r>
      <w:r w:rsidR="08163013" w:rsidRPr="08B47665">
        <w:instrText xml:space="preserve"> XE "</w:instrText>
      </w:r>
      <w:r w:rsidR="08163013" w:rsidRPr="08A00561">
        <w:rPr>
          <w:i/>
        </w:rPr>
        <w:instrText>via Modernorum</w:instrText>
      </w:r>
      <w:r w:rsidR="08163013" w:rsidRPr="08B47665">
        <w:instrText xml:space="preserve">" </w:instrText>
      </w:r>
      <w:r w:rsidR="08163013" w:rsidRPr="08B47665">
        <w:rPr>
          <w:lang w:eastAsia="en-US"/>
        </w:rPr>
        <w:fldChar w:fldCharType="end"/>
      </w:r>
      <w:r w:rsidR="08163013">
        <w:rPr>
          <w:lang w:eastAsia="en-US"/>
        </w:rPr>
        <w:t xml:space="preserve"> p</w:t>
      </w:r>
      <w:r w:rsidR="08163013" w:rsidRPr="08B47665">
        <w:rPr>
          <w:lang w:eastAsia="en-US"/>
        </w:rPr>
        <w:t>ojetí</w:t>
      </w:r>
      <w:r w:rsidR="08163013" w:rsidRPr="00273106">
        <w:rPr>
          <w:lang w:eastAsia="en-US"/>
        </w:rPr>
        <w:t xml:space="preserve"> pravdy </w:t>
      </w:r>
      <w:r w:rsidR="08163013">
        <w:rPr>
          <w:lang w:eastAsia="en-US"/>
        </w:rPr>
        <w:t xml:space="preserve">jsoucna </w:t>
      </w:r>
      <w:r w:rsidR="08163013" w:rsidRPr="00273106">
        <w:rPr>
          <w:lang w:eastAsia="en-US"/>
        </w:rPr>
        <w:t xml:space="preserve">v prvním averroismu přešlo do epochální </w:t>
      </w:r>
      <w:r w:rsidR="00594E30" w:rsidRPr="00594E30">
        <w:rPr>
          <w:lang w:eastAsia="en-US"/>
        </w:rPr>
        <w:t>Léthé</w:t>
      </w:r>
      <w:r w:rsidR="08163013" w:rsidRPr="00273106">
        <w:rPr>
          <w:lang w:eastAsia="en-US"/>
        </w:rPr>
        <w:t xml:space="preserve">. </w:t>
      </w:r>
      <w:r w:rsidR="08163013">
        <w:rPr>
          <w:lang w:eastAsia="en-US"/>
        </w:rPr>
        <w:t xml:space="preserve">Scotem systematizovaný </w:t>
      </w:r>
      <w:r w:rsidR="08163013" w:rsidRPr="00F67B1B">
        <w:rPr>
          <w:i/>
          <w:lang w:eastAsia="en-US"/>
        </w:rPr>
        <w:t>Irrtum</w:t>
      </w:r>
      <w:r w:rsidR="08163013">
        <w:rPr>
          <w:lang w:eastAsia="en-US"/>
        </w:rPr>
        <w:t xml:space="preserve"> </w:t>
      </w:r>
      <w:r w:rsidR="08163013">
        <w:rPr>
          <w:i/>
        </w:rPr>
        <w:fldChar w:fldCharType="begin"/>
      </w:r>
      <w:r w:rsidR="08163013">
        <w:instrText xml:space="preserve"> XE "</w:instrText>
      </w:r>
      <w:r w:rsidR="08163013" w:rsidRPr="00A16315">
        <w:rPr>
          <w:i/>
        </w:rPr>
        <w:instrText>Irrtum:</w:instrText>
      </w:r>
      <w:r w:rsidR="08163013">
        <w:instrText xml:space="preserve">moderna" </w:instrText>
      </w:r>
      <w:r w:rsidR="08163013">
        <w:rPr>
          <w:i/>
        </w:rPr>
        <w:fldChar w:fldCharType="end"/>
      </w:r>
      <w:r w:rsidR="08163013">
        <w:rPr>
          <w:lang w:eastAsia="en-US"/>
        </w:rPr>
        <w:t>nové metafyziky se stal vládnoucím věděním.</w:t>
      </w:r>
      <w:r w:rsidR="08163013" w:rsidRPr="08562C7C">
        <w:rPr>
          <w:lang w:eastAsia="en-US"/>
        </w:rPr>
        <w:t xml:space="preserve"> </w:t>
      </w:r>
      <w:r w:rsidR="00007281" w:rsidRPr="00007281">
        <w:rPr>
          <w:lang w:eastAsia="en-US"/>
        </w:rPr>
        <w:t>Od té doby působí v dějinách Západu v</w:t>
      </w:r>
      <w:r w:rsidR="00007281">
        <w:rPr>
          <w:lang w:eastAsia="en-US"/>
        </w:rPr>
        <w:t xml:space="preserve"> destruktivním režimu epochálního </w:t>
      </w:r>
      <w:r w:rsidR="00007281" w:rsidRPr="00007281">
        <w:rPr>
          <w:lang w:eastAsia="en-US"/>
        </w:rPr>
        <w:t>šílenství (</w:t>
      </w:r>
      <w:r w:rsidR="00007281" w:rsidRPr="00007281">
        <w:rPr>
          <w:i/>
          <w:lang w:eastAsia="en-US"/>
        </w:rPr>
        <w:t>Irre</w:t>
      </w:r>
      <w:r w:rsidR="00007281">
        <w:rPr>
          <w:lang w:eastAsia="en-US"/>
        </w:rPr>
        <w:t>), které po smrti b</w:t>
      </w:r>
      <w:r w:rsidR="00007281" w:rsidRPr="00007281">
        <w:rPr>
          <w:lang w:eastAsia="en-US"/>
        </w:rPr>
        <w:t xml:space="preserve">oha </w:t>
      </w:r>
      <w:r w:rsidR="00783C29">
        <w:rPr>
          <w:lang w:eastAsia="en-US"/>
        </w:rPr>
        <w:t xml:space="preserve">uctívaného v kmeni </w:t>
      </w:r>
      <w:r w:rsidR="00007281">
        <w:rPr>
          <w:lang w:eastAsia="en-US"/>
        </w:rPr>
        <w:t xml:space="preserve">učených </w:t>
      </w:r>
      <w:r w:rsidR="00007281" w:rsidRPr="00007281">
        <w:rPr>
          <w:i/>
          <w:lang w:eastAsia="en-US"/>
        </w:rPr>
        <w:t>Latinorum</w:t>
      </w:r>
      <w:r w:rsidR="00007281" w:rsidRPr="00007281">
        <w:rPr>
          <w:lang w:eastAsia="en-US"/>
        </w:rPr>
        <w:t xml:space="preserve"> nastolilo epochu </w:t>
      </w:r>
      <w:r w:rsidR="00007281">
        <w:rPr>
          <w:lang w:eastAsia="en-US"/>
        </w:rPr>
        <w:t xml:space="preserve">současného nihilismu. </w:t>
      </w:r>
      <w:r w:rsidR="08163013">
        <w:rPr>
          <w:lang w:eastAsia="en-US"/>
        </w:rPr>
        <w:t>G</w:t>
      </w:r>
      <w:r w:rsidR="08163013" w:rsidRPr="00273106">
        <w:rPr>
          <w:lang w:eastAsia="en-US"/>
        </w:rPr>
        <w:t>enerace filosofů ovládan</w:t>
      </w:r>
      <w:r w:rsidR="08163013">
        <w:rPr>
          <w:lang w:eastAsia="en-US"/>
        </w:rPr>
        <w:t>á</w:t>
      </w:r>
      <w:r w:rsidR="08163013" w:rsidRPr="00273106">
        <w:rPr>
          <w:lang w:eastAsia="en-US"/>
        </w:rPr>
        <w:t xml:space="preserve"> myšlením </w:t>
      </w:r>
      <w:r w:rsidR="08163013" w:rsidRPr="00273106">
        <w:rPr>
          <w:i/>
          <w:lang w:eastAsia="en-US"/>
        </w:rPr>
        <w:t>Oxfordian Fallacy</w:t>
      </w:r>
      <w:r w:rsidR="08163013">
        <w:rPr>
          <w:i/>
          <w:lang w:eastAsia="en-US"/>
        </w:rPr>
        <w:fldChar w:fldCharType="begin"/>
      </w:r>
      <w:r w:rsidR="08163013">
        <w:instrText xml:space="preserve"> XE "</w:instrText>
      </w:r>
      <w:r w:rsidR="08163013" w:rsidRPr="0015798D">
        <w:rPr>
          <w:i/>
        </w:rPr>
        <w:instrText>Oxfordian Fallacy:</w:instrText>
      </w:r>
      <w:r w:rsidR="08163013" w:rsidRPr="0061510A">
        <w:instrText>kritika Ockhama</w:instrText>
      </w:r>
      <w:r w:rsidR="08163013">
        <w:instrText xml:space="preserve">" </w:instrText>
      </w:r>
      <w:r w:rsidR="08163013">
        <w:rPr>
          <w:i/>
          <w:lang w:eastAsia="en-US"/>
        </w:rPr>
        <w:fldChar w:fldCharType="end"/>
      </w:r>
      <w:r w:rsidR="08163013" w:rsidRPr="00273106">
        <w:rPr>
          <w:lang w:eastAsia="en-US"/>
        </w:rPr>
        <w:t xml:space="preserve"> </w:t>
      </w:r>
      <w:r w:rsidR="007E677E">
        <w:rPr>
          <w:lang w:eastAsia="en-US"/>
        </w:rPr>
        <w:t>přijala</w:t>
      </w:r>
      <w:r w:rsidR="007E677E" w:rsidRPr="00273106">
        <w:rPr>
          <w:lang w:eastAsia="en-US"/>
        </w:rPr>
        <w:t xml:space="preserve"> </w:t>
      </w:r>
      <w:r w:rsidR="08163013">
        <w:rPr>
          <w:lang w:eastAsia="en-US"/>
        </w:rPr>
        <w:t xml:space="preserve">kolem 1300 </w:t>
      </w:r>
      <w:r w:rsidR="08163013" w:rsidRPr="00273106">
        <w:rPr>
          <w:lang w:eastAsia="en-US"/>
        </w:rPr>
        <w:t>Scotovu doktrínu objektivity</w:t>
      </w:r>
      <w:r w:rsidR="00CE2AF8">
        <w:rPr>
          <w:lang w:eastAsia="en-US"/>
        </w:rPr>
        <w:t xml:space="preserve"> nejprve na Oxfordu</w:t>
      </w:r>
      <w:r w:rsidR="08163013" w:rsidRPr="00273106">
        <w:rPr>
          <w:lang w:eastAsia="en-US"/>
        </w:rPr>
        <w:t xml:space="preserve">. </w:t>
      </w:r>
      <w:r w:rsidR="000477CD">
        <w:rPr>
          <w:lang w:eastAsia="en-US"/>
        </w:rPr>
        <w:t>S</w:t>
      </w:r>
      <w:r w:rsidR="08163013" w:rsidRPr="00273106">
        <w:rPr>
          <w:lang w:eastAsia="en-US"/>
        </w:rPr>
        <w:t xml:space="preserve">cotismus </w:t>
      </w:r>
      <w:r w:rsidR="08163013">
        <w:rPr>
          <w:lang w:eastAsia="en-US"/>
        </w:rPr>
        <w:t xml:space="preserve">kombinovaný s objektivním tomismem </w:t>
      </w:r>
      <w:r w:rsidR="08163013" w:rsidRPr="00273106">
        <w:rPr>
          <w:lang w:eastAsia="en-US"/>
        </w:rPr>
        <w:t xml:space="preserve">ovlivnil </w:t>
      </w:r>
      <w:r w:rsidR="000477CD">
        <w:rPr>
          <w:lang w:eastAsia="en-US"/>
        </w:rPr>
        <w:t xml:space="preserve">modernity </w:t>
      </w:r>
      <w:r w:rsidR="08163013" w:rsidRPr="00273106">
        <w:rPr>
          <w:lang w:eastAsia="en-US"/>
        </w:rPr>
        <w:t xml:space="preserve">natolik, </w:t>
      </w:r>
      <w:r w:rsidR="000477CD">
        <w:rPr>
          <w:lang w:eastAsia="en-US"/>
        </w:rPr>
        <w:t xml:space="preserve">že </w:t>
      </w:r>
      <w:r w:rsidR="08163013" w:rsidRPr="00273106">
        <w:rPr>
          <w:lang w:eastAsia="en-US"/>
        </w:rPr>
        <w:t xml:space="preserve">obětovali klasický aristotelismus hlásaný v prvním averroismu. </w:t>
      </w:r>
      <w:r w:rsidR="08163013">
        <w:rPr>
          <w:lang w:eastAsia="en-US"/>
        </w:rPr>
        <w:t xml:space="preserve">Založení </w:t>
      </w:r>
      <w:r w:rsidR="08163013" w:rsidRPr="00273106">
        <w:rPr>
          <w:lang w:eastAsia="en-US"/>
        </w:rPr>
        <w:t xml:space="preserve">metafyziky </w:t>
      </w:r>
      <w:r w:rsidR="08163013" w:rsidRPr="00273106">
        <w:rPr>
          <w:i/>
          <w:lang w:eastAsia="en-US"/>
        </w:rPr>
        <w:t>Modernorum</w:t>
      </w:r>
      <w:r w:rsidR="000043F3">
        <w:rPr>
          <w:lang w:eastAsia="en-US"/>
        </w:rPr>
        <w:t xml:space="preserve"> potvrdilo</w:t>
      </w:r>
      <w:r w:rsidR="08163013" w:rsidRPr="00273106">
        <w:rPr>
          <w:lang w:eastAsia="en-US"/>
        </w:rPr>
        <w:t xml:space="preserve"> vítězství </w:t>
      </w:r>
      <w:r w:rsidR="08163013">
        <w:rPr>
          <w:lang w:eastAsia="en-US"/>
        </w:rPr>
        <w:t xml:space="preserve">metafyzického </w:t>
      </w:r>
      <w:r w:rsidR="08163013" w:rsidRPr="00273106">
        <w:rPr>
          <w:lang w:eastAsia="en-US"/>
        </w:rPr>
        <w:t xml:space="preserve">nihilismu </w:t>
      </w:r>
      <w:r w:rsidR="08163013">
        <w:rPr>
          <w:lang w:eastAsia="en-US"/>
        </w:rPr>
        <w:t>a antropo</w:t>
      </w:r>
      <w:r w:rsidR="00F4104E">
        <w:rPr>
          <w:lang w:eastAsia="en-US"/>
        </w:rPr>
        <w:t>centrické</w:t>
      </w:r>
      <w:r w:rsidR="08163013">
        <w:rPr>
          <w:lang w:eastAsia="en-US"/>
        </w:rPr>
        <w:t xml:space="preserve"> stavby myšlení </w:t>
      </w:r>
      <w:r w:rsidR="00246721">
        <w:rPr>
          <w:lang w:eastAsia="en-US"/>
        </w:rPr>
        <w:t>na začátku 14. století.</w:t>
      </w:r>
    </w:p>
    <w:p w:rsidR="08163013" w:rsidRDefault="08163013" w:rsidP="00621CA2">
      <w:pPr>
        <w:ind w:firstLine="397"/>
        <w:rPr>
          <w:lang w:eastAsia="en-US"/>
        </w:rPr>
      </w:pPr>
      <w:r>
        <w:rPr>
          <w:lang w:eastAsia="en-US"/>
        </w:rPr>
        <w:t xml:space="preserve">Hermeneutický výklad gigantomachie o substanci musí popsat finální spor mezi školou prvního a druhého averorismu. </w:t>
      </w:r>
      <w:r w:rsidRPr="00273106">
        <w:rPr>
          <w:lang w:eastAsia="en-US"/>
        </w:rPr>
        <w:t>William Ockham</w:t>
      </w:r>
      <w:r>
        <w:rPr>
          <w:lang w:eastAsia="en-US"/>
        </w:rPr>
        <w:t xml:space="preserve"> (†1347)</w:t>
      </w:r>
      <w:r w:rsidR="0074520D">
        <w:rPr>
          <w:lang w:eastAsia="en-US"/>
        </w:rPr>
        <w:t xml:space="preserve"> byl </w:t>
      </w:r>
      <w:r w:rsidRPr="00273106">
        <w:rPr>
          <w:lang w:eastAsia="en-US"/>
        </w:rPr>
        <w:t xml:space="preserve">další brilantní františkářský terciář na Oxfordu, </w:t>
      </w:r>
      <w:r w:rsidR="0074520D">
        <w:rPr>
          <w:lang w:eastAsia="en-US"/>
        </w:rPr>
        <w:t xml:space="preserve">který </w:t>
      </w:r>
      <w:r w:rsidRPr="00273106">
        <w:rPr>
          <w:lang w:eastAsia="en-US"/>
        </w:rPr>
        <w:t xml:space="preserve">rezolutně vystoupil proti nové metafyzice </w:t>
      </w:r>
      <w:r w:rsidRPr="00273106">
        <w:rPr>
          <w:i/>
          <w:lang w:eastAsia="en-US"/>
        </w:rPr>
        <w:t>Modernorum</w:t>
      </w:r>
      <w:r w:rsidR="00B03F12">
        <w:rPr>
          <w:lang w:eastAsia="en-US"/>
        </w:rPr>
        <w:t xml:space="preserve">. </w:t>
      </w:r>
      <w:r w:rsidR="00621CA2" w:rsidRPr="00273106">
        <w:t xml:space="preserve">Ockham </w:t>
      </w:r>
      <w:r w:rsidR="00621CA2">
        <w:t xml:space="preserve">byl posledním důsledným a radikálním kritikem </w:t>
      </w:r>
      <w:r w:rsidR="00621CA2" w:rsidRPr="00CA1810">
        <w:rPr>
          <w:i/>
        </w:rPr>
        <w:t>Oxfordian Fallacy</w:t>
      </w:r>
      <w:r w:rsidR="00621CA2">
        <w:rPr>
          <w:i/>
        </w:rPr>
        <w:fldChar w:fldCharType="begin"/>
      </w:r>
      <w:r w:rsidR="00621CA2">
        <w:instrText xml:space="preserve"> XE "</w:instrText>
      </w:r>
      <w:r w:rsidR="00621CA2" w:rsidRPr="0015798D">
        <w:rPr>
          <w:i/>
        </w:rPr>
        <w:instrText>Oxfordian Fallacy:</w:instrText>
      </w:r>
      <w:r w:rsidR="00621CA2">
        <w:instrText xml:space="preserve">kritika Ockhama" </w:instrText>
      </w:r>
      <w:r w:rsidR="00621CA2">
        <w:rPr>
          <w:i/>
        </w:rPr>
        <w:fldChar w:fldCharType="end"/>
      </w:r>
      <w:r w:rsidR="00621CA2">
        <w:t xml:space="preserve"> na Oxfordu, dokud jej jeho akademičtí kolegové ze scotistické školy nedonutili k odchodu z tamější univerzity. Proto mohl tento </w:t>
      </w:r>
      <w:r w:rsidR="00621CA2" w:rsidRPr="00C170EC">
        <w:rPr>
          <w:i/>
        </w:rPr>
        <w:t>Venerabilis Inceptor</w:t>
      </w:r>
      <w:r w:rsidR="00621CA2">
        <w:t xml:space="preserve"> na zdejší </w:t>
      </w:r>
      <w:r w:rsidR="00621CA2" w:rsidRPr="084F76F5">
        <w:rPr>
          <w:i/>
        </w:rPr>
        <w:t>alma mater</w:t>
      </w:r>
      <w:r w:rsidR="00621CA2">
        <w:t xml:space="preserve"> ovládané moderními logiky a metafyzickými scotisty vyučovat pouze logiku pro začátečníky. Ale pravdivá logika daná v </w:t>
      </w:r>
      <w:r w:rsidR="00621CA2" w:rsidRPr="08A4062D">
        <w:rPr>
          <w:i/>
        </w:rPr>
        <w:t>De intepretatione</w:t>
      </w:r>
      <w:r w:rsidR="00621CA2">
        <w:t xml:space="preserve"> předpokládá znalost abstrakce reálného světa podle aristotelské </w:t>
      </w:r>
      <w:r w:rsidR="00621CA2" w:rsidRPr="08A4062D">
        <w:rPr>
          <w:i/>
        </w:rPr>
        <w:t>Metafyziky</w:t>
      </w:r>
      <w:r w:rsidR="00621CA2">
        <w:t xml:space="preserve"> a ta potřebuje vědeckou teorii poznání podle </w:t>
      </w:r>
      <w:r w:rsidR="00621CA2" w:rsidRPr="08A4062D">
        <w:rPr>
          <w:i/>
        </w:rPr>
        <w:t>Druhých analytik</w:t>
      </w:r>
      <w:r w:rsidR="00621CA2">
        <w:t xml:space="preserve"> založenou na pravdivé adekvaci vyložené v </w:t>
      </w:r>
      <w:r w:rsidR="00621CA2" w:rsidRPr="08A4062D">
        <w:rPr>
          <w:i/>
        </w:rPr>
        <w:t>De anima</w:t>
      </w:r>
      <w:r w:rsidR="00621CA2">
        <w:t xml:space="preserve">. Proto byl tento kriticky myslící aristotelik skutečný a poslední </w:t>
      </w:r>
      <w:r w:rsidR="00621CA2" w:rsidRPr="00C170EC">
        <w:rPr>
          <w:i/>
        </w:rPr>
        <w:t>Venerabilis Inceptor</w:t>
      </w:r>
      <w:r w:rsidR="00621CA2">
        <w:t xml:space="preserve"> ve škole prvního averroismu. </w:t>
      </w:r>
      <w:r w:rsidR="00F24B9B">
        <w:rPr>
          <w:lang w:eastAsia="en-US"/>
        </w:rPr>
        <w:t xml:space="preserve">Je třeba </w:t>
      </w:r>
      <w:r w:rsidRPr="00273106">
        <w:rPr>
          <w:lang w:eastAsia="en-US"/>
        </w:rPr>
        <w:t xml:space="preserve">v krátkosti </w:t>
      </w:r>
      <w:r w:rsidR="00F24B9B">
        <w:rPr>
          <w:lang w:eastAsia="en-US"/>
        </w:rPr>
        <w:t xml:space="preserve">podat </w:t>
      </w:r>
      <w:r w:rsidRPr="00273106">
        <w:rPr>
          <w:lang w:eastAsia="en-US"/>
        </w:rPr>
        <w:t xml:space="preserve">celkový smysl </w:t>
      </w:r>
      <w:r>
        <w:rPr>
          <w:lang w:eastAsia="en-US"/>
        </w:rPr>
        <w:t xml:space="preserve">tohoto </w:t>
      </w:r>
      <w:r w:rsidRPr="00273106">
        <w:rPr>
          <w:lang w:eastAsia="en-US"/>
        </w:rPr>
        <w:t xml:space="preserve">posledního donkichotského zápasu proti nastupující moderně. Alespoň jeden myslitel </w:t>
      </w:r>
      <w:r>
        <w:rPr>
          <w:lang w:eastAsia="en-US"/>
        </w:rPr>
        <w:t xml:space="preserve">na Oxfordu po Rogeru Baconovi </w:t>
      </w:r>
      <w:r w:rsidRPr="00273106">
        <w:rPr>
          <w:lang w:eastAsia="en-US"/>
        </w:rPr>
        <w:t xml:space="preserve">bránil myšlení prvního averroismu proti výkladům tehdejších modernistů </w:t>
      </w:r>
      <w:r w:rsidR="00F65E45">
        <w:rPr>
          <w:lang w:eastAsia="en-US"/>
        </w:rPr>
        <w:t>a sc</w:t>
      </w:r>
      <w:r w:rsidR="00B03F12">
        <w:rPr>
          <w:lang w:eastAsia="en-US"/>
        </w:rPr>
        <w:t>otistů</w:t>
      </w:r>
      <w:r w:rsidRPr="00273106">
        <w:rPr>
          <w:lang w:eastAsia="en-US"/>
        </w:rPr>
        <w:t xml:space="preserve">, kteří transformovali nauku bývalých </w:t>
      </w:r>
      <w:r w:rsidRPr="00273106">
        <w:rPr>
          <w:i/>
          <w:lang w:eastAsia="en-US"/>
        </w:rPr>
        <w:t>Nominales</w:t>
      </w:r>
      <w:r w:rsidRPr="00273106">
        <w:rPr>
          <w:lang w:eastAsia="en-US"/>
        </w:rPr>
        <w:t xml:space="preserve"> do podoby objektivní</w:t>
      </w:r>
      <w:r>
        <w:rPr>
          <w:lang w:eastAsia="en-US"/>
        </w:rPr>
        <w:t xml:space="preserve"> metafyziky</w:t>
      </w:r>
      <w:r w:rsidRPr="00273106">
        <w:rPr>
          <w:lang w:eastAsia="en-US"/>
        </w:rPr>
        <w:t>.</w:t>
      </w:r>
      <w:r>
        <w:rPr>
          <w:lang w:eastAsia="en-US"/>
        </w:rPr>
        <w:t xml:space="preserve"> </w:t>
      </w:r>
      <w:r w:rsidRPr="00273106">
        <w:rPr>
          <w:lang w:eastAsia="en-US"/>
        </w:rPr>
        <w:t xml:space="preserve">Tento kritický myslitel se připojil </w:t>
      </w:r>
      <w:r>
        <w:rPr>
          <w:lang w:eastAsia="en-US"/>
        </w:rPr>
        <w:t xml:space="preserve">v další generaci </w:t>
      </w:r>
      <w:r w:rsidRPr="00273106">
        <w:rPr>
          <w:lang w:eastAsia="en-US"/>
        </w:rPr>
        <w:t>k úsilí zanikající škol</w:t>
      </w:r>
      <w:r w:rsidR="00F24B9B">
        <w:rPr>
          <w:lang w:eastAsia="en-US"/>
        </w:rPr>
        <w:t>y prvního averroismu</w:t>
      </w:r>
      <w:r w:rsidRPr="00273106">
        <w:rPr>
          <w:lang w:eastAsia="en-US"/>
        </w:rPr>
        <w:t xml:space="preserve">. Hermeneutika </w:t>
      </w:r>
      <w:r w:rsidRPr="00273106">
        <w:rPr>
          <w:lang w:eastAsia="en-US"/>
        </w:rPr>
        <w:lastRenderedPageBreak/>
        <w:t xml:space="preserve">považuje tohoto myslitele za filosofického pokračovatele Rogera Bacona a Sigera z Brabantu. </w:t>
      </w:r>
      <w:r>
        <w:rPr>
          <w:lang w:eastAsia="en-US"/>
        </w:rPr>
        <w:t>Moderna a postmoderna si tohoto autora připsala do vlastních řad, což představuje epochální ironii a objektivní ús</w:t>
      </w:r>
      <w:r w:rsidR="009F3051">
        <w:rPr>
          <w:lang w:eastAsia="en-US"/>
        </w:rPr>
        <w:t xml:space="preserve">pěch vítězného kmene </w:t>
      </w:r>
      <w:r w:rsidRPr="009F3051">
        <w:rPr>
          <w:i/>
          <w:lang w:eastAsia="en-US"/>
        </w:rPr>
        <w:t>so</w:t>
      </w:r>
      <w:r w:rsidR="009F3051" w:rsidRPr="009F3051">
        <w:rPr>
          <w:i/>
          <w:lang w:eastAsia="en-US"/>
        </w:rPr>
        <w:t>phistae Latini</w:t>
      </w:r>
      <w:r w:rsidR="009F3051">
        <w:rPr>
          <w:lang w:eastAsia="en-US"/>
        </w:rPr>
        <w:t xml:space="preserve"> </w:t>
      </w:r>
      <w:r>
        <w:rPr>
          <w:i/>
          <w:lang w:eastAsia="en-US"/>
        </w:rPr>
        <w:fldChar w:fldCharType="begin"/>
      </w:r>
      <w:r>
        <w:instrText xml:space="preserve"> XE "</w:instrText>
      </w:r>
      <w:r w:rsidRPr="0061510A">
        <w:rPr>
          <w:lang w:eastAsia="en-US"/>
        </w:rPr>
        <w:instrText>druhý averroismus</w:instrText>
      </w:r>
      <w:r>
        <w:rPr>
          <w:i/>
          <w:lang w:eastAsia="en-US"/>
        </w:rPr>
        <w:instrText>:sophistae Latini</w:instrText>
      </w:r>
      <w:r>
        <w:instrText xml:space="preserve">" </w:instrText>
      </w:r>
      <w:r>
        <w:rPr>
          <w:i/>
          <w:lang w:eastAsia="en-US"/>
        </w:rPr>
        <w:fldChar w:fldCharType="end"/>
      </w:r>
      <w:r>
        <w:rPr>
          <w:lang w:eastAsia="en-US"/>
        </w:rPr>
        <w:t xml:space="preserve">. Konverzí Ockhama na tzv. „nominalistu“ vznikly objektivní dějiny </w:t>
      </w:r>
      <w:r w:rsidR="009F3051">
        <w:rPr>
          <w:lang w:eastAsia="en-US"/>
        </w:rPr>
        <w:t xml:space="preserve">sofistické </w:t>
      </w:r>
      <w:r>
        <w:rPr>
          <w:lang w:eastAsia="en-US"/>
        </w:rPr>
        <w:t>filosofie</w:t>
      </w:r>
      <w:r w:rsidR="009F3051">
        <w:rPr>
          <w:lang w:eastAsia="en-US"/>
        </w:rPr>
        <w:t>. Ta kodifikovala</w:t>
      </w:r>
      <w:r>
        <w:rPr>
          <w:lang w:eastAsia="en-US"/>
        </w:rPr>
        <w:t xml:space="preserve"> novou </w:t>
      </w:r>
      <w:r w:rsidRPr="00AF22F8">
        <w:rPr>
          <w:i/>
          <w:lang w:eastAsia="en-US"/>
        </w:rPr>
        <w:t>Wirkunsgsgeschichte</w:t>
      </w:r>
      <w:r>
        <w:rPr>
          <w:i/>
          <w:lang w:eastAsia="en-US"/>
        </w:rPr>
        <w:fldChar w:fldCharType="begin"/>
      </w:r>
      <w:r>
        <w:instrText xml:space="preserve"> XE "</w:instrText>
      </w:r>
      <w:r>
        <w:rPr>
          <w:i/>
          <w:lang w:eastAsia="en-US"/>
        </w:rPr>
        <w:instrText>Wirkun</w:instrText>
      </w:r>
      <w:r w:rsidRPr="0066766B">
        <w:rPr>
          <w:i/>
          <w:lang w:eastAsia="en-US"/>
        </w:rPr>
        <w:instrText>gsgeschichte</w:instrText>
      </w:r>
      <w:r>
        <w:instrText xml:space="preserve">" </w:instrText>
      </w:r>
      <w:r>
        <w:rPr>
          <w:i/>
          <w:lang w:eastAsia="en-US"/>
        </w:rPr>
        <w:fldChar w:fldCharType="end"/>
      </w:r>
      <w:r>
        <w:rPr>
          <w:lang w:eastAsia="en-US"/>
        </w:rPr>
        <w:t xml:space="preserve"> objektivity</w:t>
      </w:r>
      <w:r w:rsidR="009F3051">
        <w:rPr>
          <w:lang w:eastAsia="en-US"/>
        </w:rPr>
        <w:t xml:space="preserve"> danou po zániku prvního a druhého averroismu</w:t>
      </w:r>
      <w:r w:rsidR="00547D84">
        <w:rPr>
          <w:lang w:eastAsia="en-US"/>
        </w:rPr>
        <w:t xml:space="preserve">. </w:t>
      </w:r>
      <w:r w:rsidRPr="00273106">
        <w:rPr>
          <w:lang w:eastAsia="en-US"/>
        </w:rPr>
        <w:t xml:space="preserve">Hermeneutika objektivity nachází u Scotova františkánského spolubratra </w:t>
      </w:r>
      <w:r>
        <w:rPr>
          <w:lang w:eastAsia="en-US"/>
        </w:rPr>
        <w:t xml:space="preserve">z Oxfordu </w:t>
      </w:r>
      <w:r w:rsidRPr="00273106">
        <w:rPr>
          <w:lang w:eastAsia="en-US"/>
        </w:rPr>
        <w:t xml:space="preserve">všechny hlavní teze prvního averroismu. Jde zejména o přesné vyložení </w:t>
      </w:r>
      <w:r w:rsidRPr="08DA712F">
        <w:rPr>
          <w:i/>
          <w:lang w:eastAsia="en-US"/>
        </w:rPr>
        <w:t>Kategorií</w:t>
      </w:r>
      <w:r w:rsidRPr="00273106">
        <w:rPr>
          <w:lang w:eastAsia="en-US"/>
        </w:rPr>
        <w:t xml:space="preserve"> podle primátu první substance a determinaci intelektuálního poznání z aktuální smyslově poznávané substance podle CMDA. </w:t>
      </w:r>
      <w:r>
        <w:rPr>
          <w:lang w:eastAsia="en-US"/>
        </w:rPr>
        <w:t xml:space="preserve">Ockhamovo </w:t>
      </w:r>
      <w:r w:rsidRPr="00273106">
        <w:rPr>
          <w:lang w:eastAsia="en-US"/>
        </w:rPr>
        <w:t>aristotelské pojetí impozice významu (</w:t>
      </w:r>
      <w:r w:rsidRPr="00273106">
        <w:rPr>
          <w:i/>
          <w:lang w:eastAsia="en-US"/>
        </w:rPr>
        <w:t>suppositio</w:t>
      </w:r>
      <w:r w:rsidRPr="00273106">
        <w:rPr>
          <w:lang w:eastAsia="en-US"/>
        </w:rPr>
        <w:t xml:space="preserve">) představuje zásadní obranu nasvícení smyslu jsoucna zepředu, která tvoří základ pro pravdivé poznání reality. Ockham </w:t>
      </w:r>
      <w:r w:rsidR="000F063D">
        <w:rPr>
          <w:lang w:eastAsia="en-US"/>
        </w:rPr>
        <w:t>nekompromisně bránil</w:t>
      </w:r>
      <w:r>
        <w:rPr>
          <w:lang w:eastAsia="en-US"/>
        </w:rPr>
        <w:t xml:space="preserve"> princip </w:t>
      </w:r>
      <w:r w:rsidR="000F063D">
        <w:rPr>
          <w:szCs w:val="24"/>
        </w:rPr>
        <w:t xml:space="preserve">„ex </w:t>
      </w:r>
      <w:r w:rsidR="000F063D" w:rsidRPr="00CF2092">
        <w:rPr>
          <w:i/>
          <w:szCs w:val="24"/>
        </w:rPr>
        <w:t>inmediat</w:t>
      </w:r>
      <w:r w:rsidR="000F063D">
        <w:rPr>
          <w:i/>
          <w:szCs w:val="24"/>
        </w:rPr>
        <w:t>is</w:t>
      </w:r>
      <w:r w:rsidR="000F063D" w:rsidRPr="00B16B29">
        <w:rPr>
          <w:szCs w:val="24"/>
        </w:rPr>
        <w:t>“</w:t>
      </w:r>
      <w:r w:rsidR="000F063D" w:rsidRPr="00CF2092">
        <w:rPr>
          <w:szCs w:val="24"/>
        </w:rPr>
        <w:t xml:space="preserve"> </w:t>
      </w:r>
      <w:r w:rsidRPr="00273106">
        <w:rPr>
          <w:lang w:eastAsia="en-US"/>
        </w:rPr>
        <w:t xml:space="preserve">podle </w:t>
      </w:r>
      <w:r>
        <w:rPr>
          <w:i/>
          <w:lang w:eastAsia="en-US"/>
        </w:rPr>
        <w:t>Druhých a</w:t>
      </w:r>
      <w:r w:rsidRPr="08DA712F">
        <w:rPr>
          <w:i/>
          <w:lang w:eastAsia="en-US"/>
        </w:rPr>
        <w:t>nalytik</w:t>
      </w:r>
      <w:r w:rsidRPr="00273106">
        <w:rPr>
          <w:lang w:eastAsia="en-US"/>
        </w:rPr>
        <w:t xml:space="preserve"> a odmítl </w:t>
      </w:r>
      <w:r w:rsidRPr="00273106">
        <w:rPr>
          <w:i/>
          <w:lang w:eastAsia="en-US"/>
        </w:rPr>
        <w:t>Oxfordian Fallacy</w:t>
      </w:r>
      <w:r w:rsidRPr="00273106">
        <w:rPr>
          <w:lang w:eastAsia="en-US"/>
        </w:rPr>
        <w:t xml:space="preserve"> bráněnou tehdejšími scotisty. </w:t>
      </w:r>
      <w:r w:rsidR="001F0796">
        <w:rPr>
          <w:lang w:eastAsia="en-US"/>
        </w:rPr>
        <w:t>Ockham odmítl</w:t>
      </w:r>
      <w:r>
        <w:rPr>
          <w:lang w:eastAsia="en-US"/>
        </w:rPr>
        <w:t xml:space="preserve"> Scotovu metafyziku </w:t>
      </w:r>
      <w:r w:rsidRPr="00273106">
        <w:rPr>
          <w:lang w:eastAsia="en-US"/>
        </w:rPr>
        <w:t>ve všech klíčovýc</w:t>
      </w:r>
      <w:r>
        <w:rPr>
          <w:lang w:eastAsia="en-US"/>
        </w:rPr>
        <w:t xml:space="preserve">h bodech </w:t>
      </w:r>
      <w:r w:rsidRPr="00273106">
        <w:rPr>
          <w:lang w:eastAsia="en-US"/>
        </w:rPr>
        <w:t xml:space="preserve">s poukazem na učení Aristotela a na výklad </w:t>
      </w:r>
      <w:r w:rsidR="006B33F0" w:rsidRPr="000C1654">
        <w:rPr>
          <w:i/>
        </w:rPr>
        <w:t>Corpus Aristotelicum</w:t>
      </w:r>
      <w:r w:rsidR="006B33F0">
        <w:rPr>
          <w:i/>
        </w:rPr>
        <w:t xml:space="preserve"> </w:t>
      </w:r>
      <w:r w:rsidRPr="00273106">
        <w:rPr>
          <w:lang w:eastAsia="en-US"/>
        </w:rPr>
        <w:t xml:space="preserve">podle </w:t>
      </w:r>
      <w:r>
        <w:rPr>
          <w:lang w:eastAsia="en-US"/>
        </w:rPr>
        <w:t>Averroes</w:t>
      </w:r>
      <w:r w:rsidRPr="00273106">
        <w:rPr>
          <w:lang w:eastAsia="en-US"/>
        </w:rPr>
        <w:t xml:space="preserve">e. Avicennův a Scotův koncept objektivních univerzálií </w:t>
      </w:r>
      <w:r w:rsidRPr="00273106">
        <w:rPr>
          <w:i/>
          <w:lang w:eastAsia="en-US"/>
        </w:rPr>
        <w:t>in re</w:t>
      </w:r>
      <w:r w:rsidRPr="00273106">
        <w:rPr>
          <w:lang w:eastAsia="en-US"/>
        </w:rPr>
        <w:t xml:space="preserve">, autonomních </w:t>
      </w:r>
      <w:r w:rsidR="00962190">
        <w:rPr>
          <w:i/>
          <w:lang w:eastAsia="en-US"/>
        </w:rPr>
        <w:t>species</w:t>
      </w:r>
      <w:r w:rsidRPr="00273106">
        <w:rPr>
          <w:lang w:eastAsia="en-US"/>
        </w:rPr>
        <w:t xml:space="preserve"> a všech druhů </w:t>
      </w:r>
      <w:r w:rsidRPr="00273106">
        <w:rPr>
          <w:i/>
          <w:lang w:eastAsia="en-US"/>
        </w:rPr>
        <w:t>tertium ens</w:t>
      </w:r>
      <w:r>
        <w:rPr>
          <w:i/>
          <w:lang w:eastAsia="en-US"/>
        </w:rPr>
        <w:fldChar w:fldCharType="begin"/>
      </w:r>
      <w:r>
        <w:instrText xml:space="preserve"> XE "</w:instrText>
      </w:r>
      <w:r w:rsidRPr="002F10B4">
        <w:rPr>
          <w:rStyle w:val="Zvraznn"/>
        </w:rPr>
        <w:instrText>tertium ens</w:instrText>
      </w:r>
      <w:r w:rsidRPr="0015798D">
        <w:rPr>
          <w:i/>
        </w:rPr>
        <w:instrText>:</w:instrText>
      </w:r>
      <w:r w:rsidRPr="0061510A">
        <w:instrText>kritika Ockhama</w:instrText>
      </w:r>
      <w:r>
        <w:instrText xml:space="preserve">" </w:instrText>
      </w:r>
      <w:r>
        <w:rPr>
          <w:i/>
          <w:lang w:eastAsia="en-US"/>
        </w:rPr>
        <w:fldChar w:fldCharType="end"/>
      </w:r>
      <w:r w:rsidRPr="00273106">
        <w:rPr>
          <w:lang w:eastAsia="en-US"/>
        </w:rPr>
        <w:t xml:space="preserve"> vystavených v panoptiku myšlení moderních </w:t>
      </w:r>
      <w:r w:rsidRPr="00273106">
        <w:rPr>
          <w:i/>
          <w:lang w:eastAsia="en-US"/>
        </w:rPr>
        <w:t>Nominales</w:t>
      </w:r>
      <w:r w:rsidRPr="00273106">
        <w:rPr>
          <w:lang w:eastAsia="en-US"/>
        </w:rPr>
        <w:t xml:space="preserve"> nemůže podle Ockhama vůbec existovat</w:t>
      </w:r>
      <w:r w:rsidR="004909E3">
        <w:rPr>
          <w:lang w:eastAsia="en-US"/>
        </w:rPr>
        <w:t xml:space="preserve">. Z </w:t>
      </w:r>
      <w:r w:rsidRPr="00273106">
        <w:rPr>
          <w:lang w:eastAsia="en-US"/>
        </w:rPr>
        <w:t xml:space="preserve">hlediska klasické metafyziky </w:t>
      </w:r>
      <w:r w:rsidR="004909E3">
        <w:rPr>
          <w:lang w:eastAsia="en-US"/>
        </w:rPr>
        <w:t xml:space="preserve">je to </w:t>
      </w:r>
      <w:r>
        <w:rPr>
          <w:lang w:eastAsia="en-US"/>
        </w:rPr>
        <w:t xml:space="preserve">zcela </w:t>
      </w:r>
      <w:r w:rsidRPr="00273106">
        <w:rPr>
          <w:lang w:eastAsia="en-US"/>
        </w:rPr>
        <w:t xml:space="preserve">absurdní. Ockham samostatně nekomentoval ani spis </w:t>
      </w:r>
      <w:r>
        <w:rPr>
          <w:i/>
          <w:lang w:eastAsia="en-US"/>
        </w:rPr>
        <w:t>De anima</w:t>
      </w:r>
      <w:r w:rsidRPr="00273106">
        <w:rPr>
          <w:lang w:eastAsia="en-US"/>
        </w:rPr>
        <w:t xml:space="preserve">, ani </w:t>
      </w:r>
      <w:r w:rsidRPr="08F62CD6">
        <w:rPr>
          <w:i/>
          <w:lang w:eastAsia="en-US"/>
        </w:rPr>
        <w:t>Druhé analytiky</w:t>
      </w:r>
      <w:r w:rsidRPr="00273106">
        <w:rPr>
          <w:lang w:eastAsia="en-US"/>
        </w:rPr>
        <w:t xml:space="preserve">, jejichž výklad determinuje příslušnost k jedné či ke druhé averroistické škole. Dalším generacím </w:t>
      </w:r>
      <w:r>
        <w:rPr>
          <w:lang w:eastAsia="en-US"/>
        </w:rPr>
        <w:t xml:space="preserve">proto </w:t>
      </w:r>
      <w:r w:rsidRPr="00273106">
        <w:rPr>
          <w:lang w:eastAsia="en-US"/>
        </w:rPr>
        <w:t xml:space="preserve">chyběl rozhodující interpretační prvek potřebný k zařazení Ockhamovy filosofie do školy prvního averroismu. Proto zůstal nepochopen i jeho filosofický zápas proti druhému averroismu, jež vedl zejména v první části pohnuté životní dráhy. Ta skončila v </w:t>
      </w:r>
      <w:r w:rsidRPr="00273106">
        <w:t xml:space="preserve">květnu 1328, kdy Ockham utekl během </w:t>
      </w:r>
      <w:r w:rsidRPr="00273106">
        <w:rPr>
          <w:lang w:eastAsia="en-US"/>
        </w:rPr>
        <w:t xml:space="preserve">inkvizičního šetření </w:t>
      </w:r>
      <w:r w:rsidRPr="00273106">
        <w:t>z</w:t>
      </w:r>
      <w:r w:rsidRPr="00273106">
        <w:rPr>
          <w:lang w:eastAsia="en-US"/>
        </w:rPr>
        <w:t xml:space="preserve"> papežského </w:t>
      </w:r>
      <w:r w:rsidRPr="00273106">
        <w:t>Avignonu k protipapežskému Ludvíku IV. Bavorskému, jehož politické nároky tento filosof poté brilantně hájil s ohledem na primární suverenitu lidu a z ní plynoucí politickou moc</w:t>
      </w:r>
      <w:r w:rsidRPr="00273106">
        <w:rPr>
          <w:lang w:eastAsia="en-US"/>
        </w:rPr>
        <w:t xml:space="preserve">. Stejně jako v případě Sigera z Brabantu </w:t>
      </w:r>
      <w:r>
        <w:rPr>
          <w:lang w:eastAsia="en-US"/>
        </w:rPr>
        <w:t xml:space="preserve">a Oliviho </w:t>
      </w:r>
      <w:r w:rsidRPr="00273106">
        <w:rPr>
          <w:lang w:eastAsia="en-US"/>
        </w:rPr>
        <w:t>nebylo učení tohoto františkána nikdy veřejně odsouzeno jako heretické. Církevní trest se týkal pouze jeho útěku z</w:t>
      </w:r>
      <w:r w:rsidR="00D05524">
        <w:rPr>
          <w:lang w:eastAsia="en-US"/>
        </w:rPr>
        <w:t> </w:t>
      </w:r>
      <w:r w:rsidRPr="00273106">
        <w:rPr>
          <w:lang w:eastAsia="en-US"/>
        </w:rPr>
        <w:t>Avignonu</w:t>
      </w:r>
      <w:r w:rsidR="00D05524">
        <w:rPr>
          <w:lang w:eastAsia="en-US"/>
        </w:rPr>
        <w:t>, kterým si asi zachránil život</w:t>
      </w:r>
      <w:r w:rsidRPr="00273106">
        <w:rPr>
          <w:lang w:eastAsia="en-US"/>
        </w:rPr>
        <w:t>. Hermeneutika musí naj</w:t>
      </w:r>
      <w:bookmarkStart w:id="99" w:name="intro"/>
      <w:r w:rsidR="0004474A">
        <w:rPr>
          <w:lang w:eastAsia="en-US"/>
        </w:rPr>
        <w:t>ít původní smysl známého výroku „</w:t>
      </w:r>
      <w:r w:rsidR="0004474A" w:rsidRPr="0004474A">
        <w:rPr>
          <w:i/>
          <w:lang w:eastAsia="en-US"/>
        </w:rPr>
        <w:t>e</w:t>
      </w:r>
      <w:r w:rsidRPr="0004474A">
        <w:rPr>
          <w:i/>
          <w:iCs/>
        </w:rPr>
        <w:t>ntia</w:t>
      </w:r>
      <w:r w:rsidRPr="00273106">
        <w:rPr>
          <w:i/>
          <w:iCs/>
        </w:rPr>
        <w:t xml:space="preserve"> non sunt multiplicanda praeter necessitatem</w:t>
      </w:r>
      <w:r w:rsidR="0004474A">
        <w:rPr>
          <w:iCs/>
        </w:rPr>
        <w:t>“. P</w:t>
      </w:r>
      <w:r w:rsidRPr="00273106">
        <w:rPr>
          <w:iCs/>
        </w:rPr>
        <w:t xml:space="preserve">ozdější scotisté jako </w:t>
      </w:r>
      <w:r w:rsidRPr="00273106">
        <w:t>John Ponce</w:t>
      </w:r>
      <w:r>
        <w:fldChar w:fldCharType="begin"/>
      </w:r>
      <w:r>
        <w:instrText xml:space="preserve"> XE "</w:instrText>
      </w:r>
      <w:r w:rsidRPr="007504AF">
        <w:instrText>Ponce, J.</w:instrText>
      </w:r>
      <w:r>
        <w:instrText xml:space="preserve">" </w:instrText>
      </w:r>
      <w:r>
        <w:fldChar w:fldCharType="end"/>
      </w:r>
      <w:r w:rsidRPr="00273106">
        <w:t xml:space="preserve"> </w:t>
      </w:r>
      <w:bookmarkEnd w:id="99"/>
      <w:r w:rsidR="0004474A">
        <w:t>okolo roku 1</w:t>
      </w:r>
      <w:r w:rsidRPr="00273106">
        <w:t xml:space="preserve">639 </w:t>
      </w:r>
      <w:r w:rsidR="0004474A">
        <w:t xml:space="preserve">pod tímto sloganem </w:t>
      </w:r>
      <w:r w:rsidRPr="00273106">
        <w:t xml:space="preserve">shrnuli </w:t>
      </w:r>
      <w:r>
        <w:t>Ockhamovo učení</w:t>
      </w:r>
      <w:r w:rsidR="0004474A">
        <w:t xml:space="preserve">, </w:t>
      </w:r>
      <w:r>
        <w:t xml:space="preserve">včetně slavné </w:t>
      </w:r>
      <w:r w:rsidR="0004474A">
        <w:t>„</w:t>
      </w:r>
      <w:r>
        <w:t>Ockhamovy břitvy</w:t>
      </w:r>
      <w:r w:rsidR="0004474A">
        <w:t>“</w:t>
      </w:r>
      <w:r w:rsidRPr="00273106">
        <w:t xml:space="preserve"> (</w:t>
      </w:r>
      <w:r w:rsidRPr="00273106">
        <w:rPr>
          <w:i/>
        </w:rPr>
        <w:t>Ockham's Razor</w:t>
      </w:r>
      <w:r>
        <w:fldChar w:fldCharType="begin"/>
      </w:r>
      <w:r>
        <w:instrText xml:space="preserve"> XE "</w:instrText>
      </w:r>
      <w:r w:rsidRPr="00A710E1">
        <w:instrText>Ockhamova břitva</w:instrText>
      </w:r>
      <w:r>
        <w:instrText xml:space="preserve">" </w:instrText>
      </w:r>
      <w:r>
        <w:fldChar w:fldCharType="end"/>
      </w:r>
      <w:r w:rsidRPr="00273106">
        <w:t xml:space="preserve">), kterou zavedl do filosofie </w:t>
      </w:r>
      <w:r w:rsidRPr="00273106">
        <w:lastRenderedPageBreak/>
        <w:t>William Hamilton</w:t>
      </w:r>
      <w:r>
        <w:fldChar w:fldCharType="begin"/>
      </w:r>
      <w:r>
        <w:instrText xml:space="preserve"> XE "</w:instrText>
      </w:r>
      <w:r w:rsidRPr="00A14943">
        <w:instrText>Hamilton, W.</w:instrText>
      </w:r>
      <w:r>
        <w:instrText xml:space="preserve">" </w:instrText>
      </w:r>
      <w:r>
        <w:fldChar w:fldCharType="end"/>
      </w:r>
      <w:r w:rsidRPr="00273106">
        <w:t xml:space="preserve"> </w:t>
      </w:r>
      <w:r>
        <w:t xml:space="preserve">okolo roku </w:t>
      </w:r>
      <w:r w:rsidRPr="00273106">
        <w:t xml:space="preserve">1852. Původní smysl těchto rčení postihuje </w:t>
      </w:r>
      <w:r w:rsidRPr="00273106">
        <w:rPr>
          <w:lang w:eastAsia="en-US"/>
        </w:rPr>
        <w:t xml:space="preserve">zásadní rysy </w:t>
      </w:r>
      <w:r>
        <w:rPr>
          <w:lang w:eastAsia="en-US"/>
        </w:rPr>
        <w:t>Ockhamovy aristotelské korekce Scota</w:t>
      </w:r>
      <w:r w:rsidRPr="00273106">
        <w:rPr>
          <w:lang w:eastAsia="en-US"/>
        </w:rPr>
        <w:t>.</w:t>
      </w:r>
      <w:r w:rsidRPr="08C73AB7">
        <w:rPr>
          <w:lang w:eastAsia="en-US"/>
        </w:rPr>
        <w:t xml:space="preserve"> </w:t>
      </w:r>
      <w:r w:rsidRPr="00273106">
        <w:rPr>
          <w:lang w:eastAsia="en-US"/>
        </w:rPr>
        <w:t>Ockham brilantně hájí učení prvního averroismu a nepřipouští pro klíčové koncepty reality a poznání žádnou formu jsoucna třetího druhu.</w:t>
      </w:r>
    </w:p>
    <w:p w:rsidR="004E7E7D" w:rsidRDefault="004E7E7D" w:rsidP="00621CA2">
      <w:pPr>
        <w:ind w:firstLine="397"/>
      </w:pPr>
      <w:r>
        <w:rPr>
          <w:lang w:eastAsia="en-US"/>
        </w:rPr>
        <w:tab/>
      </w:r>
      <w:r w:rsidRPr="00273106">
        <w:t xml:space="preserve">Oxfordská </w:t>
      </w:r>
      <w:r>
        <w:t xml:space="preserve">univerzita </w:t>
      </w:r>
      <w:r w:rsidRPr="00273106">
        <w:t xml:space="preserve">byla </w:t>
      </w:r>
      <w:r>
        <w:t xml:space="preserve">v době Ockhama </w:t>
      </w:r>
      <w:r w:rsidRPr="00273106">
        <w:t xml:space="preserve">plně ovládáná myšlením </w:t>
      </w:r>
      <w:r w:rsidRPr="00273106">
        <w:rPr>
          <w:i/>
        </w:rPr>
        <w:t>Oxfordian Fallacy</w:t>
      </w:r>
      <w:r>
        <w:t xml:space="preserve">, a navíc </w:t>
      </w:r>
      <w:r w:rsidR="005274CB">
        <w:t>byla</w:t>
      </w:r>
      <w:r w:rsidRPr="005B227A">
        <w:t xml:space="preserve"> rodištěm objektivistického skotismu.</w:t>
      </w:r>
      <w:r w:rsidRPr="00273106">
        <w:t xml:space="preserve"> Není divu, že Ockham se ocitl ve stejné situaci, jak</w:t>
      </w:r>
      <w:r>
        <w:t>o</w:t>
      </w:r>
      <w:r w:rsidRPr="00273106">
        <w:t xml:space="preserve"> byl předtím Roger Bacon polemizující proti Kilwardbyho </w:t>
      </w:r>
      <w:r>
        <w:t xml:space="preserve">a Pechamově </w:t>
      </w:r>
      <w:r w:rsidRPr="00273106">
        <w:t xml:space="preserve">škole. Scotisté tohoto aristotelika a znalce </w:t>
      </w:r>
      <w:r>
        <w:t>Averroes</w:t>
      </w:r>
      <w:r w:rsidRPr="00273106">
        <w:t xml:space="preserve">e akademicky odmítali </w:t>
      </w:r>
      <w:r>
        <w:t>a mocensky pronásledovali</w:t>
      </w:r>
      <w:r w:rsidRPr="00273106">
        <w:t xml:space="preserve"> stejně houževnatě, jako v předešlé generaci zastánci druhého averroismu odmítali a pronásledovali Rogera Bacona.</w:t>
      </w:r>
      <w:r>
        <w:t xml:space="preserve"> Nová</w:t>
      </w:r>
      <w:r w:rsidRPr="00273106">
        <w:t xml:space="preserve"> metafyzik</w:t>
      </w:r>
      <w:r>
        <w:t>a</w:t>
      </w:r>
      <w:r w:rsidRPr="00273106">
        <w:t xml:space="preserve"> </w:t>
      </w:r>
      <w:r>
        <w:t xml:space="preserve">zrušila odstraněním Ockhama a jeho převedením do školy tzv. „nominalismu“ poslední stopu oné </w:t>
      </w:r>
      <w:r w:rsidRPr="00273106">
        <w:rPr>
          <w:i/>
        </w:rPr>
        <w:t>obscurity</w:t>
      </w:r>
      <w:r>
        <w:rPr>
          <w:i/>
        </w:rPr>
        <w:fldChar w:fldCharType="begin"/>
      </w:r>
      <w:r>
        <w:instrText xml:space="preserve"> XE "</w:instrText>
      </w:r>
      <w:r w:rsidRPr="000E608A">
        <w:instrText>zatmění:substance</w:instrText>
      </w:r>
      <w:r>
        <w:instrText xml:space="preserve">" </w:instrText>
      </w:r>
      <w:r>
        <w:rPr>
          <w:i/>
        </w:rPr>
        <w:fldChar w:fldCharType="end"/>
      </w:r>
      <w:r w:rsidRPr="00273106">
        <w:t xml:space="preserve">, kterou </w:t>
      </w:r>
      <w:r>
        <w:t>Averroes</w:t>
      </w:r>
      <w:r w:rsidRPr="00273106">
        <w:t xml:space="preserve"> viděl v metafyzice Avicenny. Vytěsnění tohoto sporu</w:t>
      </w:r>
      <w:r>
        <w:t xml:space="preserve"> a všech následných konfliktů mezi prvním a druhým averroismem </w:t>
      </w:r>
      <w:r w:rsidRPr="00273106">
        <w:t>potvrdil</w:t>
      </w:r>
      <w:r>
        <w:t xml:space="preserve">o </w:t>
      </w:r>
      <w:r w:rsidRPr="00273106">
        <w:t xml:space="preserve">nástup nové epochy </w:t>
      </w:r>
      <w:r>
        <w:t>a definitivně určilo</w:t>
      </w:r>
      <w:r w:rsidRPr="00273106">
        <w:t xml:space="preserve"> nihilistické směřování moderní metafyziky. </w:t>
      </w:r>
      <w:r>
        <w:t>S</w:t>
      </w:r>
      <w:r w:rsidRPr="00273106">
        <w:t xml:space="preserve">por Ockhama s druhým averroismem </w:t>
      </w:r>
      <w:r>
        <w:t xml:space="preserve">daným jako oxfordský scotismus </w:t>
      </w:r>
      <w:r w:rsidRPr="00273106">
        <w:t xml:space="preserve">byl nevyhnutelný, protože se týkal </w:t>
      </w:r>
      <w:r>
        <w:t xml:space="preserve">posledního kola </w:t>
      </w:r>
      <w:r w:rsidRPr="00273106">
        <w:t>gigantomachie</w:t>
      </w:r>
      <w:r>
        <w:fldChar w:fldCharType="begin"/>
      </w:r>
      <w:r>
        <w:instrText xml:space="preserve"> XE "</w:instrText>
      </w:r>
      <w:r w:rsidRPr="00D66B03">
        <w:instrText>substance:gigantomachie</w:instrText>
      </w:r>
      <w:r>
        <w:instrText xml:space="preserve">" </w:instrText>
      </w:r>
      <w:r>
        <w:fldChar w:fldCharType="end"/>
      </w:r>
      <w:r w:rsidRPr="00273106">
        <w:t xml:space="preserve"> o substanci mezi oběma školami. A předtím podobným způsobem argumentoval aristotelský Abelard</w:t>
      </w:r>
      <w:r>
        <w:t xml:space="preserve"> proti platonikům typu Anselma</w:t>
      </w:r>
      <w:r w:rsidRPr="00273106">
        <w:t xml:space="preserve">.  A tento spor navazuje na předešlý spor ve falsafě mezi </w:t>
      </w:r>
      <w:r>
        <w:t>Averroes</w:t>
      </w:r>
      <w:r w:rsidRPr="00273106">
        <w:t xml:space="preserve">em a Avicennou. Předešlé matrice analyzovaly celou řadu různých </w:t>
      </w:r>
      <w:r>
        <w:t xml:space="preserve">forem zatmění první substance (Avicenna, Grosseteste, Rufus, Scotus). Dějinně působící </w:t>
      </w:r>
      <w:r w:rsidRPr="00B15B66">
        <w:rPr>
          <w:i/>
        </w:rPr>
        <w:t>Seinsvergessenheit</w:t>
      </w:r>
      <w:r>
        <w:rPr>
          <w:i/>
        </w:rPr>
        <w:fldChar w:fldCharType="begin"/>
      </w:r>
      <w:r>
        <w:instrText xml:space="preserve"> XE "</w:instrText>
      </w:r>
      <w:r w:rsidRPr="003B3CCF">
        <w:rPr>
          <w:i/>
        </w:rPr>
        <w:instrText>Seinsvergessenheit</w:instrText>
      </w:r>
      <w:r>
        <w:instrText xml:space="preserve">" </w:instrText>
      </w:r>
      <w:r>
        <w:rPr>
          <w:i/>
        </w:rPr>
        <w:fldChar w:fldCharType="end"/>
      </w:r>
      <w:r>
        <w:t xml:space="preserve"> spojená s objektivní manifestací bytí jsoucna v metafyzice </w:t>
      </w:r>
      <w:r w:rsidRPr="00D63A7C">
        <w:rPr>
          <w:i/>
        </w:rPr>
        <w:t>Latinorum</w:t>
      </w:r>
      <w:r>
        <w:t xml:space="preserve"> </w:t>
      </w:r>
      <w:r w:rsidRPr="00273106">
        <w:t xml:space="preserve">transformovala </w:t>
      </w:r>
      <w:r>
        <w:t xml:space="preserve">zatmění reality </w:t>
      </w:r>
      <w:r w:rsidRPr="00273106">
        <w:t>do moderní podoby pravdy jako shody osvíceného rozumu se sebou samým (</w:t>
      </w:r>
      <w:r w:rsidRPr="00273106">
        <w:rPr>
          <w:i/>
        </w:rPr>
        <w:t>rectitudo</w:t>
      </w:r>
      <w:r w:rsidRPr="00273106">
        <w:t xml:space="preserve">). </w:t>
      </w:r>
      <w:r>
        <w:t xml:space="preserve">Tím vznikl </w:t>
      </w:r>
      <w:r w:rsidRPr="00273106">
        <w:t>nihilistický charakter moderny, který souvisí se zánikem významu první substance pro vědecké poznání.</w:t>
      </w:r>
      <w:r>
        <w:t xml:space="preserve"> </w:t>
      </w:r>
      <w:r w:rsidRPr="00273106">
        <w:t xml:space="preserve">Skrze </w:t>
      </w:r>
      <w:r w:rsidRPr="00273106">
        <w:rPr>
          <w:i/>
        </w:rPr>
        <w:t>Oxfordian Fallacy</w:t>
      </w:r>
      <w:r>
        <w:t xml:space="preserve"> vzniklo</w:t>
      </w:r>
      <w:r w:rsidRPr="00273106">
        <w:t xml:space="preserve"> </w:t>
      </w:r>
      <w:r>
        <w:t>paranoické bloudění (</w:t>
      </w:r>
      <w:r w:rsidRPr="00834C90">
        <w:rPr>
          <w:i/>
        </w:rPr>
        <w:t>Irre</w:t>
      </w:r>
      <w:r>
        <w:rPr>
          <w:i/>
        </w:rPr>
        <w:fldChar w:fldCharType="begin"/>
      </w:r>
      <w:r>
        <w:instrText xml:space="preserve"> XE "</w:instrText>
      </w:r>
      <w:r w:rsidRPr="00DA7DEE">
        <w:rPr>
          <w:i/>
        </w:rPr>
        <w:instrText>Irre</w:instrText>
      </w:r>
      <w:r>
        <w:instrText xml:space="preserve">" </w:instrText>
      </w:r>
      <w:r>
        <w:rPr>
          <w:i/>
        </w:rPr>
        <w:fldChar w:fldCharType="end"/>
      </w:r>
      <w:r>
        <w:t xml:space="preserve">) západní filosofie, která se dala cestou Moderních. Celá cesta této moderní „vědy“ začala tím, že </w:t>
      </w:r>
      <w:r w:rsidRPr="00273106">
        <w:t xml:space="preserve">škola </w:t>
      </w:r>
      <w:r w:rsidRPr="00273106">
        <w:rPr>
          <w:i/>
        </w:rPr>
        <w:t>Modernorum</w:t>
      </w:r>
      <w:r w:rsidRPr="00273106">
        <w:t xml:space="preserve"> na Oxfordu </w:t>
      </w:r>
      <w:r>
        <w:t xml:space="preserve">a v Paříži desinterpretovala </w:t>
      </w:r>
      <w:r w:rsidRPr="00273106">
        <w:t xml:space="preserve">metafyzický a vědecký význam zatmění </w:t>
      </w:r>
      <w:r>
        <w:t>slunce</w:t>
      </w:r>
      <w:r w:rsidRPr="00273106">
        <w:t xml:space="preserve"> daný ve </w:t>
      </w:r>
      <w:r w:rsidRPr="08F3013F">
        <w:rPr>
          <w:i/>
        </w:rPr>
        <w:t>Druhých analytikách</w:t>
      </w:r>
      <w:r w:rsidRPr="00273106">
        <w:t xml:space="preserve"> (</w:t>
      </w:r>
      <w:r>
        <w:t>OBJ II, kap. 3</w:t>
      </w:r>
      <w:r w:rsidRPr="00273106">
        <w:t xml:space="preserve">.3.1). </w:t>
      </w:r>
      <w:r>
        <w:t>Připomeňme orákulum mystérií dané skrze Plutarcha</w:t>
      </w:r>
      <w:r>
        <w:fldChar w:fldCharType="begin"/>
      </w:r>
      <w:r>
        <w:instrText xml:space="preserve"> XE "</w:instrText>
      </w:r>
      <w:r w:rsidRPr="083F5AB0">
        <w:instrText>Plutarchos</w:instrText>
      </w:r>
      <w:r>
        <w:instrText xml:space="preserve">" </w:instrText>
      </w:r>
      <w:r>
        <w:fldChar w:fldCharType="end"/>
      </w:r>
      <w:r>
        <w:t>, které přikazovalo nové a již hodně zmatené filosofii, aby zachránila fenomény (OBJ I, kap. 1.3.3). Poslední analýza zat</w:t>
      </w:r>
      <w:r w:rsidRPr="00273106">
        <w:t>m</w:t>
      </w:r>
      <w:r>
        <w:t>ě</w:t>
      </w:r>
      <w:r w:rsidRPr="00273106">
        <w:t xml:space="preserve">ní smyslu jsoucna </w:t>
      </w:r>
      <w:r>
        <w:t>mezi Avicennou a Averro</w:t>
      </w:r>
      <w:r w:rsidRPr="00273106">
        <w:t>e</w:t>
      </w:r>
      <w:r>
        <w:t>se</w:t>
      </w:r>
      <w:r w:rsidRPr="00273106">
        <w:t>m (</w:t>
      </w:r>
      <w:r>
        <w:t xml:space="preserve">OBJ I, </w:t>
      </w:r>
      <w:r w:rsidRPr="00273106">
        <w:t>kap. 2.4.1) se nutně musí týkat konfliktu mezi Ockhamem a Scotem.</w:t>
      </w:r>
      <w:r>
        <w:t xml:space="preserve"> </w:t>
      </w:r>
      <w:r w:rsidRPr="00273106">
        <w:t xml:space="preserve">Základní teze </w:t>
      </w:r>
      <w:r w:rsidRPr="00273106">
        <w:lastRenderedPageBreak/>
        <w:t xml:space="preserve">druhého averroismu a scotismu vedou </w:t>
      </w:r>
      <w:r>
        <w:t xml:space="preserve">podle Ockhama </w:t>
      </w:r>
      <w:r w:rsidRPr="00273106">
        <w:t>k dualismu</w:t>
      </w:r>
      <w:r>
        <w:t xml:space="preserve"> mezi myšlením a realitou</w:t>
      </w:r>
      <w:r w:rsidRPr="00273106">
        <w:t xml:space="preserve">, který vytváří absurdní filosofii </w:t>
      </w:r>
      <w:r w:rsidRPr="00273106">
        <w:rPr>
          <w:i/>
        </w:rPr>
        <w:t>Modernorum</w:t>
      </w:r>
      <w:r w:rsidRPr="00273106">
        <w:t xml:space="preserve">. Předešlé matrice objektivity ukázaly, že </w:t>
      </w:r>
      <w:r>
        <w:t xml:space="preserve">podobně </w:t>
      </w:r>
      <w:r w:rsidRPr="00273106">
        <w:t>kritické stanovisko zastával Alvernus, Albert a Bacon</w:t>
      </w:r>
      <w:r>
        <w:t xml:space="preserve"> proti skupině zvané </w:t>
      </w:r>
      <w:r w:rsidRPr="00226C98">
        <w:rPr>
          <w:i/>
        </w:rPr>
        <w:t>sophistae Latini</w:t>
      </w:r>
      <w:r w:rsidRPr="00273106">
        <w:t xml:space="preserve">. V nové konstelaci gigantomachie o substanci dané vznikem scotistické metafyziky argumentuje </w:t>
      </w:r>
      <w:r>
        <w:t>poslední představitel prvního averroismu proti scotismu podobně jako jeho předchůdci proti prvním modernistům. Scotova</w:t>
      </w:r>
      <w:r w:rsidRPr="00273106">
        <w:t xml:space="preserve"> objektivní </w:t>
      </w:r>
      <w:r w:rsidRPr="00802A5B">
        <w:t>species</w:t>
      </w:r>
      <w:r w:rsidRPr="00273106">
        <w:t xml:space="preserve"> podle Ockhama </w:t>
      </w:r>
      <w:r>
        <w:t xml:space="preserve">za prvé neexistují a za druhé nemají žádný smysl ve správně koncipované metafyzice. </w:t>
      </w:r>
      <w:r w:rsidR="007F18FE">
        <w:t>Metafyzická o</w:t>
      </w:r>
      <w:r w:rsidR="00802A5B">
        <w:t xml:space="preserve">bjektivita </w:t>
      </w:r>
      <w:r w:rsidR="007F18FE">
        <w:t xml:space="preserve">proto </w:t>
      </w:r>
      <w:r w:rsidRPr="00273106">
        <w:t xml:space="preserve">představuje </w:t>
      </w:r>
      <w:r>
        <w:t xml:space="preserve">ukázkový </w:t>
      </w:r>
      <w:r w:rsidRPr="00273106">
        <w:t xml:space="preserve">případ zbytečného množení </w:t>
      </w:r>
      <w:r w:rsidRPr="00273106">
        <w:rPr>
          <w:i/>
        </w:rPr>
        <w:t>tertium ens</w:t>
      </w:r>
      <w:r>
        <w:rPr>
          <w:i/>
        </w:rPr>
        <w:fldChar w:fldCharType="begin"/>
      </w:r>
      <w:r>
        <w:instrText xml:space="preserve"> XE "</w:instrText>
      </w:r>
      <w:r w:rsidRPr="002F10B4">
        <w:rPr>
          <w:rStyle w:val="Zvraznn"/>
        </w:rPr>
        <w:instrText>tertium ens</w:instrText>
      </w:r>
      <w:r>
        <w:rPr>
          <w:rStyle w:val="Zvraznn"/>
          <w:i w:val="0"/>
        </w:rPr>
        <w:instrText>:kritika Ockhama</w:instrText>
      </w:r>
      <w:r>
        <w:instrText xml:space="preserve">" </w:instrText>
      </w:r>
      <w:r>
        <w:rPr>
          <w:i/>
        </w:rPr>
        <w:fldChar w:fldCharType="end"/>
      </w:r>
      <w:r w:rsidR="003E1BFB">
        <w:t>.</w:t>
      </w:r>
    </w:p>
    <w:p w:rsidR="003E1BFB" w:rsidRPr="00621CA2" w:rsidRDefault="00A36F4D" w:rsidP="00621CA2">
      <w:pPr>
        <w:ind w:firstLine="397"/>
        <w:rPr>
          <w:lang w:eastAsia="en-US"/>
        </w:rPr>
      </w:pPr>
      <w:r>
        <w:t xml:space="preserve">Ockham nezachránil metafyziku </w:t>
      </w:r>
      <w:r w:rsidRPr="00273106">
        <w:t>před její objektivistickou devalvací v začínajíc</w:t>
      </w:r>
      <w:r>
        <w:t xml:space="preserve">ím scotismu. </w:t>
      </w:r>
      <w:r w:rsidR="003E1BFB">
        <w:t xml:space="preserve">Dogma o antropomorfním bohu bylo ve Scotově metafyzice podáno tak brilantně, že zjevení této objektivní nutnosti v modu objektivní </w:t>
      </w:r>
      <w:r w:rsidR="003E1BFB" w:rsidRPr="08B70DBE">
        <w:rPr>
          <w:i/>
        </w:rPr>
        <w:t>veritas</w:t>
      </w:r>
      <w:r w:rsidR="003E1BFB">
        <w:t xml:space="preserve"> nemohly odolat následující generace modernistů, postmodernistů a současných filosofických nihilistů. </w:t>
      </w:r>
      <w:r w:rsidR="003E1BFB" w:rsidRPr="00273106">
        <w:t xml:space="preserve">William Ockham </w:t>
      </w:r>
      <w:r w:rsidR="003E1BFB">
        <w:t xml:space="preserve">sehrál nevděčnou donkichotskou roli posledního prvního averroisty na Oxfordu. Tento brilantní aristotelský myslitel a logik </w:t>
      </w:r>
      <w:r w:rsidR="003E1BFB" w:rsidRPr="00273106">
        <w:t xml:space="preserve">integrálně </w:t>
      </w:r>
      <w:r w:rsidR="003E1BFB">
        <w:t xml:space="preserve">bránil </w:t>
      </w:r>
      <w:r w:rsidR="003E1BFB" w:rsidRPr="00273106">
        <w:t>realitu první substance kauzálně působící</w:t>
      </w:r>
      <w:r w:rsidR="003E1BFB">
        <w:t xml:space="preserve"> na přirozeně dané poznání.  </w:t>
      </w:r>
      <w:r w:rsidR="003E1BFB" w:rsidRPr="00273106">
        <w:t>Signifikace je zásadně daná směrem od věci, tedy nasvícením mysli zepředu. Takto daná primární intence poznání (</w:t>
      </w:r>
      <w:r w:rsidR="003E1BFB" w:rsidRPr="00273106">
        <w:rPr>
          <w:i/>
        </w:rPr>
        <w:t>intentio prima</w:t>
      </w:r>
      <w:r w:rsidR="003E1BFB" w:rsidRPr="00273106">
        <w:t xml:space="preserve">) </w:t>
      </w:r>
      <w:r w:rsidR="003E1BFB">
        <w:t xml:space="preserve">je určena skrze </w:t>
      </w:r>
      <w:r w:rsidR="003E1BFB" w:rsidRPr="00273106">
        <w:t xml:space="preserve">primární impozici významu daného </w:t>
      </w:r>
      <w:r w:rsidR="003E1BFB" w:rsidRPr="00273106">
        <w:rPr>
          <w:i/>
        </w:rPr>
        <w:t>per prius</w:t>
      </w:r>
      <w:r w:rsidR="003E1BFB" w:rsidRPr="00273106">
        <w:t xml:space="preserve"> směrem od první substance</w:t>
      </w:r>
      <w:r w:rsidR="003E1BFB">
        <w:t xml:space="preserve"> </w:t>
      </w:r>
      <w:r w:rsidR="003E1BFB" w:rsidRPr="00273106">
        <w:t>(</w:t>
      </w:r>
      <w:r w:rsidR="003E1BFB" w:rsidRPr="00273106">
        <w:rPr>
          <w:i/>
        </w:rPr>
        <w:t>personaliter</w:t>
      </w:r>
      <w:r w:rsidR="003E1BFB" w:rsidRPr="00273106">
        <w:t xml:space="preserve">). </w:t>
      </w:r>
      <w:r w:rsidR="003E1BFB" w:rsidRPr="00BE276E">
        <w:t xml:space="preserve">Ockham hájil poznání podle CMDA a zachoval vztah mezi aktivní a receptivní částí intelektu. Ve své polemice proti skotismu hájil teorii poznání a pravdy, která syntetizovala smyslovou a intelektuální zkušenost. Byl to první averroismus Blundovy školy a Sigera a jeho následovníků. </w:t>
      </w:r>
      <w:r w:rsidR="003E1BFB" w:rsidRPr="00273106">
        <w:t xml:space="preserve">Proti Avicennově metafyzice bylo třeba postavit aktualizovanou verzi </w:t>
      </w:r>
      <w:r w:rsidR="003E1BFB">
        <w:t>Averroes</w:t>
      </w:r>
      <w:r w:rsidR="003E1BFB" w:rsidRPr="00273106">
        <w:t xml:space="preserve">ovy </w:t>
      </w:r>
      <w:r w:rsidR="003E1BFB">
        <w:t>„meta</w:t>
      </w:r>
      <w:r w:rsidR="003E1BFB">
        <w:noBreakHyphen/>
        <w:t xml:space="preserve">fyziky“ </w:t>
      </w:r>
      <w:r w:rsidR="003E1BFB" w:rsidRPr="00273106">
        <w:t xml:space="preserve">a znovu oživit </w:t>
      </w:r>
      <w:r w:rsidR="003E1BFB">
        <w:t xml:space="preserve">poznání první substance </w:t>
      </w:r>
      <w:r w:rsidR="003E1BFB" w:rsidRPr="00273106">
        <w:t xml:space="preserve">v nových dějinných </w:t>
      </w:r>
      <w:r w:rsidR="003E1BFB">
        <w:t>podmínkách. Tento úkol Ockham brilantně zvládl tím</w:t>
      </w:r>
      <w:r w:rsidR="003E1BFB" w:rsidRPr="00273106">
        <w:t xml:space="preserve">, </w:t>
      </w:r>
      <w:r w:rsidR="003E1BFB">
        <w:t xml:space="preserve">že se soustředil na kritiku scotismu. Františkánský </w:t>
      </w:r>
      <w:r w:rsidR="003E1BFB" w:rsidRPr="00273106">
        <w:t xml:space="preserve">terciář </w:t>
      </w:r>
      <w:r w:rsidR="003E1BFB">
        <w:t xml:space="preserve">postupoval v zájmu pravdy vůči Scotovi stejně důsledně jako Bacon vůči Rufusovi, Albert vůči Kilwardbymu a Akvinský proti Pechamovi. Ockham ukázal </w:t>
      </w:r>
      <w:r w:rsidR="003E1BFB" w:rsidRPr="00273106">
        <w:t xml:space="preserve">původní smysl </w:t>
      </w:r>
      <w:r w:rsidR="003E1BFB" w:rsidRPr="08CA2818">
        <w:rPr>
          <w:i/>
        </w:rPr>
        <w:t>Kategorií</w:t>
      </w:r>
      <w:r w:rsidR="003E1BFB" w:rsidRPr="00273106">
        <w:t xml:space="preserve"> a </w:t>
      </w:r>
      <w:r w:rsidR="003E1BFB" w:rsidRPr="00273106">
        <w:rPr>
          <w:i/>
        </w:rPr>
        <w:t>De Interpretione</w:t>
      </w:r>
      <w:r w:rsidR="003E1BFB">
        <w:t xml:space="preserve"> z aristotelské pozice. Pak v modu Sicilské školy</w:t>
      </w:r>
      <w:r w:rsidR="003E1BFB">
        <w:fldChar w:fldCharType="begin"/>
      </w:r>
      <w:r w:rsidR="003E1BFB">
        <w:instrText xml:space="preserve"> XE "</w:instrText>
      </w:r>
      <w:r w:rsidR="003E1BFB" w:rsidRPr="080E57C3">
        <w:instrText>Sicilská škola</w:instrText>
      </w:r>
      <w:r w:rsidR="003E1BFB">
        <w:instrText xml:space="preserve">" </w:instrText>
      </w:r>
      <w:r w:rsidR="003E1BFB">
        <w:fldChar w:fldCharType="end"/>
      </w:r>
      <w:r w:rsidR="003E1BFB">
        <w:t xml:space="preserve"> kriticky vyložil chybnou podstatu</w:t>
      </w:r>
      <w:r w:rsidR="003E1BFB" w:rsidRPr="00273106">
        <w:t xml:space="preserve"> Scotovy metafyziky. </w:t>
      </w:r>
      <w:r w:rsidR="003E1BFB">
        <w:t>P</w:t>
      </w:r>
      <w:r w:rsidR="003E1BFB" w:rsidRPr="00273106">
        <w:t xml:space="preserve">oslední </w:t>
      </w:r>
      <w:r w:rsidR="003E1BFB">
        <w:t xml:space="preserve">obránce </w:t>
      </w:r>
      <w:r w:rsidR="003E1BFB" w:rsidRPr="00273106">
        <w:t xml:space="preserve">prvního averroismu naposledy obhájil teorii pravdy jako skutečné adekvace. Mezi první a druhou substancí není žádný ontologický mezičlen, protože jedno je dáno </w:t>
      </w:r>
      <w:r w:rsidR="003E1BFB" w:rsidRPr="00273106">
        <w:rPr>
          <w:i/>
        </w:rPr>
        <w:t>simpliciter</w:t>
      </w:r>
      <w:r w:rsidR="003E1BFB" w:rsidRPr="00273106">
        <w:t xml:space="preserve"> v realitě a druhé </w:t>
      </w:r>
      <w:r w:rsidR="003E1BFB">
        <w:rPr>
          <w:i/>
        </w:rPr>
        <w:t>univers</w:t>
      </w:r>
      <w:r w:rsidR="003E1BFB" w:rsidRPr="00273106">
        <w:rPr>
          <w:i/>
        </w:rPr>
        <w:t>aliter</w:t>
      </w:r>
      <w:r w:rsidR="003E1BFB" w:rsidRPr="00273106">
        <w:t xml:space="preserve"> v lidské mysli. </w:t>
      </w:r>
      <w:r w:rsidR="003E1BFB">
        <w:t>Proto jsou všechna jsoucna třetího druhu zbytečná</w:t>
      </w:r>
      <w:r w:rsidR="003E1BFB">
        <w:fldChar w:fldCharType="begin"/>
      </w:r>
      <w:r w:rsidR="003E1BFB">
        <w:instrText xml:space="preserve"> XE </w:instrText>
      </w:r>
      <w:r w:rsidR="003E1BFB">
        <w:lastRenderedPageBreak/>
        <w:instrText xml:space="preserve">"spor o univerzália" </w:instrText>
      </w:r>
      <w:r w:rsidR="003E1BFB">
        <w:fldChar w:fldCharType="end"/>
      </w:r>
      <w:r w:rsidR="003E1BFB">
        <w:t xml:space="preserve">. K pravdivému poznání světa úplně stačí ta jsoucna, která existují reálně či v mysli. </w:t>
      </w:r>
      <w:r w:rsidR="003E1BFB" w:rsidRPr="00273106">
        <w:t xml:space="preserve">Pro logickou a sématickou kritiku modernistů </w:t>
      </w:r>
      <w:r w:rsidR="003E1BFB">
        <w:t>použil Averroesovy komentáře aristotelského Korpusu a plně obhájil v</w:t>
      </w:r>
      <w:r w:rsidR="003E1BFB" w:rsidRPr="00273106">
        <w:t xml:space="preserve">ýklad </w:t>
      </w:r>
      <w:r w:rsidR="003E1BFB">
        <w:t xml:space="preserve">poznání podle </w:t>
      </w:r>
      <w:r w:rsidR="003E1BFB" w:rsidRPr="00273106">
        <w:t xml:space="preserve">CMDA. Nadpis </w:t>
      </w:r>
      <w:r w:rsidR="003E1BFB">
        <w:t xml:space="preserve">kapitoly věnované jeho filosofii ukazuje, že šlo o donkichotský boj. Poslední mohykán </w:t>
      </w:r>
      <w:r w:rsidR="003E1BFB" w:rsidRPr="00273106">
        <w:t xml:space="preserve">prvního averroismu </w:t>
      </w:r>
      <w:r w:rsidR="003E1BFB">
        <w:t xml:space="preserve">nezastavil vítěznou ofenzívu latinských sofistů. </w:t>
      </w:r>
      <w:r w:rsidR="003E1BFB" w:rsidRPr="00273106">
        <w:t xml:space="preserve">Ockhamův boj proti Scotovu pojetí </w:t>
      </w:r>
      <w:r w:rsidR="003E1BFB" w:rsidRPr="00273106">
        <w:rPr>
          <w:i/>
        </w:rPr>
        <w:t>tertium ens</w:t>
      </w:r>
      <w:r w:rsidR="003E1BFB" w:rsidRPr="00273106">
        <w:t xml:space="preserve"> zůstal izolován a nepochopen, stejně jako Sigerova obrana </w:t>
      </w:r>
      <w:r w:rsidR="003E1BFB">
        <w:t>Averroes</w:t>
      </w:r>
      <w:r w:rsidR="003E1BFB" w:rsidRPr="00273106">
        <w:t>e</w:t>
      </w:r>
      <w:r w:rsidR="003E1BFB">
        <w:t xml:space="preserve"> v Paříži</w:t>
      </w:r>
      <w:r w:rsidR="003E1BFB" w:rsidRPr="00273106">
        <w:t xml:space="preserve">. Scotovo vítězné </w:t>
      </w:r>
      <w:r w:rsidR="003E1BFB" w:rsidRPr="00273106">
        <w:rPr>
          <w:i/>
        </w:rPr>
        <w:t>Aufhebung</w:t>
      </w:r>
      <w:r w:rsidR="003E1BFB">
        <w:rPr>
          <w:i/>
        </w:rPr>
        <w:fldChar w:fldCharType="begin"/>
      </w:r>
      <w:r w:rsidR="003E1BFB">
        <w:instrText xml:space="preserve"> XE "</w:instrText>
      </w:r>
      <w:r w:rsidR="003E1BFB" w:rsidRPr="00E57B11">
        <w:rPr>
          <w:i/>
        </w:rPr>
        <w:instrText>Aufhebung</w:instrText>
      </w:r>
      <w:r w:rsidR="003E1BFB">
        <w:instrText xml:space="preserve">" </w:instrText>
      </w:r>
      <w:r w:rsidR="003E1BFB">
        <w:rPr>
          <w:i/>
        </w:rPr>
        <w:fldChar w:fldCharType="end"/>
      </w:r>
      <w:r w:rsidR="003E1BFB" w:rsidRPr="00273106">
        <w:t xml:space="preserve"> prvního a druhého averroismu </w:t>
      </w:r>
      <w:r w:rsidR="003E1BFB">
        <w:t xml:space="preserve">dané skrze jeho žáky na Oxfordu </w:t>
      </w:r>
      <w:r w:rsidR="003E1BFB" w:rsidRPr="00273106">
        <w:t xml:space="preserve">již plně určovalo dějiny epochy skrze nově otevřenou </w:t>
      </w:r>
      <w:r w:rsidR="003E1BFB" w:rsidRPr="00273106">
        <w:rPr>
          <w:i/>
        </w:rPr>
        <w:t>via Modernorum</w:t>
      </w:r>
      <w:r w:rsidR="003E1BFB">
        <w:rPr>
          <w:i/>
        </w:rPr>
        <w:fldChar w:fldCharType="begin"/>
      </w:r>
      <w:r w:rsidR="003E1BFB">
        <w:instrText xml:space="preserve"> XE "</w:instrText>
      </w:r>
      <w:r w:rsidR="003E1BFB" w:rsidRPr="00ED0748">
        <w:rPr>
          <w:i/>
        </w:rPr>
        <w:instrText>via Modernorum</w:instrText>
      </w:r>
      <w:r w:rsidR="003E1BFB">
        <w:instrText xml:space="preserve">" </w:instrText>
      </w:r>
      <w:r w:rsidR="003E1BFB">
        <w:rPr>
          <w:i/>
        </w:rPr>
        <w:fldChar w:fldCharType="end"/>
      </w:r>
      <w:r w:rsidR="003E1BFB">
        <w:t xml:space="preserve">. Ockham dokončil studia nejspíš v Londýně, kde dostal titul </w:t>
      </w:r>
      <w:r w:rsidR="003E1BFB" w:rsidRPr="0819498B">
        <w:rPr>
          <w:i/>
        </w:rPr>
        <w:t>Doctor theologiae</w:t>
      </w:r>
      <w:r w:rsidR="003E1BFB">
        <w:t xml:space="preserve"> asi roku 1317. Je celkem pochopitelné, proč tento brilantní filosof nedostal vrcholný akademický titul v Oxfordu. T</w:t>
      </w:r>
      <w:r w:rsidR="003E1BFB">
        <w:rPr>
          <w:lang w:eastAsia="en-US"/>
        </w:rPr>
        <w:t xml:space="preserve">ento sentenciář byl akademicky napaden hlavními představiteli tamější moderny a někdy roku 1323 poslán do Avignonu k inkvizičnímu šetření. Oxfordský znalec </w:t>
      </w:r>
      <w:r w:rsidR="003E1BFB" w:rsidRPr="00273106">
        <w:rPr>
          <w:lang w:eastAsia="en-US"/>
        </w:rPr>
        <w:t xml:space="preserve">Aristotela a </w:t>
      </w:r>
      <w:r w:rsidR="003E1BFB">
        <w:rPr>
          <w:lang w:eastAsia="en-US"/>
        </w:rPr>
        <w:t>Averroes</w:t>
      </w:r>
      <w:r w:rsidR="003E1BFB" w:rsidRPr="00273106">
        <w:rPr>
          <w:lang w:eastAsia="en-US"/>
        </w:rPr>
        <w:t>e</w:t>
      </w:r>
      <w:r w:rsidR="003E1BFB">
        <w:rPr>
          <w:lang w:eastAsia="en-US"/>
        </w:rPr>
        <w:t xml:space="preserve"> a vy</w:t>
      </w:r>
      <w:r w:rsidR="003E1BFB" w:rsidRPr="00273106">
        <w:rPr>
          <w:lang w:eastAsia="en-US"/>
        </w:rPr>
        <w:t xml:space="preserve">nikající </w:t>
      </w:r>
      <w:r w:rsidR="003E1BFB">
        <w:rPr>
          <w:lang w:eastAsia="en-US"/>
        </w:rPr>
        <w:t xml:space="preserve">klasický </w:t>
      </w:r>
      <w:r w:rsidR="003E1BFB" w:rsidRPr="00273106">
        <w:rPr>
          <w:lang w:eastAsia="en-US"/>
        </w:rPr>
        <w:t>logik</w:t>
      </w:r>
      <w:r w:rsidR="003E1BFB">
        <w:rPr>
          <w:lang w:eastAsia="en-US"/>
        </w:rPr>
        <w:t xml:space="preserve"> dopadl ve své </w:t>
      </w:r>
      <w:r w:rsidR="003E1BFB" w:rsidRPr="00A009C9">
        <w:rPr>
          <w:i/>
          <w:lang w:eastAsia="en-US"/>
        </w:rPr>
        <w:t>alma mater</w:t>
      </w:r>
      <w:r w:rsidR="003E1BFB">
        <w:rPr>
          <w:lang w:eastAsia="en-US"/>
        </w:rPr>
        <w:t xml:space="preserve"> stejně tragicky, </w:t>
      </w:r>
      <w:r w:rsidR="003E1BFB" w:rsidRPr="00273106">
        <w:rPr>
          <w:lang w:eastAsia="en-US"/>
        </w:rPr>
        <w:t xml:space="preserve">jako jeho předchůdce </w:t>
      </w:r>
      <w:r w:rsidR="003E1BFB">
        <w:rPr>
          <w:lang w:eastAsia="en-US"/>
        </w:rPr>
        <w:t>Bacon o jednu generaci dříve.</w:t>
      </w:r>
    </w:p>
    <w:p w:rsidR="08163013" w:rsidRPr="00273106" w:rsidRDefault="003A6AF5" w:rsidP="08163013">
      <w:pPr>
        <w:pStyle w:val="Nadpis3"/>
      </w:pPr>
      <w:bookmarkStart w:id="100" w:name="_Toc36144168"/>
      <w:r>
        <w:br w:type="page"/>
      </w:r>
      <w:bookmarkStart w:id="101" w:name="_Toc180231681"/>
      <w:r w:rsidR="08163013">
        <w:lastRenderedPageBreak/>
        <w:t>5</w:t>
      </w:r>
      <w:r w:rsidR="08163013" w:rsidRPr="00273106">
        <w:t>.4.1 Obrana autentického aristotelismu</w:t>
      </w:r>
      <w:bookmarkEnd w:id="100"/>
      <w:bookmarkEnd w:id="101"/>
    </w:p>
    <w:p w:rsidR="08163013" w:rsidRDefault="08163013" w:rsidP="08163013">
      <w:r w:rsidRPr="00273106">
        <w:rPr>
          <w:lang w:eastAsia="en-US"/>
        </w:rPr>
        <w:t xml:space="preserve">Začneme pro hermeneutiku nejdůležitějším nálezem, což je nasvícení smyslu jsoucna zepředu, kdy je poznání aktualizováno směrem od aktuálního bytí první substance. </w:t>
      </w:r>
      <w:r w:rsidRPr="00273106">
        <w:t xml:space="preserve">Ockhamovo autorství spisu </w:t>
      </w:r>
      <w:r w:rsidRPr="00273106">
        <w:rPr>
          <w:i/>
        </w:rPr>
        <w:t>De intellectu possibili secundum Averroem</w:t>
      </w:r>
      <w:r w:rsidRPr="00273106">
        <w:t xml:space="preserve"> (OTh 8, </w:t>
      </w:r>
      <w:r>
        <w:t>237‒</w:t>
      </w:r>
      <w:r w:rsidRPr="00273106">
        <w:t xml:space="preserve">43) je považováno za sporné. Hermeneutika ukazuje, že pojetí </w:t>
      </w:r>
      <w:r w:rsidRPr="00273106">
        <w:rPr>
          <w:i/>
        </w:rPr>
        <w:t>intellectus possibilis</w:t>
      </w:r>
      <w:r>
        <w:rPr>
          <w:i/>
        </w:rPr>
        <w:fldChar w:fldCharType="begin"/>
      </w:r>
      <w:r>
        <w:instrText xml:space="preserve"> XE "</w:instrText>
      </w:r>
      <w:r w:rsidRPr="00770D02">
        <w:rPr>
          <w:i/>
        </w:rPr>
        <w:instrText>intellectus possibilis</w:instrText>
      </w:r>
      <w:r>
        <w:rPr>
          <w:i/>
        </w:rPr>
        <w:instrText>:</w:instrText>
      </w:r>
      <w:r w:rsidRPr="00AD3360">
        <w:instrText>Ockham</w:instrText>
      </w:r>
      <w:r>
        <w:instrText xml:space="preserve">" </w:instrText>
      </w:r>
      <w:r>
        <w:rPr>
          <w:i/>
        </w:rPr>
        <w:fldChar w:fldCharType="end"/>
      </w:r>
      <w:r w:rsidRPr="00273106">
        <w:t xml:space="preserve"> je v tomto traktátu vyloženo podle původní intence </w:t>
      </w:r>
      <w:r>
        <w:t>Averroes</w:t>
      </w:r>
      <w:r w:rsidRPr="00273106">
        <w:t>e (</w:t>
      </w:r>
      <w:r w:rsidR="003A6AF5">
        <w:t xml:space="preserve">OBJ I, </w:t>
      </w:r>
      <w:r w:rsidRPr="00273106">
        <w:t xml:space="preserve">kap. 2.4.3). Odmítnutí odděleného kosmického intelektu </w:t>
      </w:r>
      <w:r>
        <w:t>je provedeno výkladem dvou problémů (</w:t>
      </w:r>
      <w:r w:rsidRPr="00273106">
        <w:rPr>
          <w:i/>
        </w:rPr>
        <w:t>duae difficultates</w:t>
      </w:r>
      <w:r>
        <w:t>) v Averroes</w:t>
      </w:r>
      <w:r w:rsidRPr="00273106">
        <w:t>o</w:t>
      </w:r>
      <w:r>
        <w:t>vě</w:t>
      </w:r>
      <w:r w:rsidRPr="00273106">
        <w:t xml:space="preserve"> učení.</w:t>
      </w:r>
      <w:r>
        <w:t xml:space="preserve"> První </w:t>
      </w:r>
      <w:r w:rsidR="008C283F">
        <w:t xml:space="preserve">krok </w:t>
      </w:r>
      <w:r>
        <w:t xml:space="preserve">musí odstranit </w:t>
      </w:r>
      <w:r w:rsidR="006E7837">
        <w:t xml:space="preserve">avicennistický </w:t>
      </w:r>
      <w:r>
        <w:t xml:space="preserve">výklad Averroese, protože je mylný. </w:t>
      </w:r>
      <w:r w:rsidRPr="00273106">
        <w:t>Ockham odmítá pojetí kosmického intelektu působícího na naše poznání jako vnější hybatel, protože stojí v rozporu s křesťanskou vírou.</w:t>
      </w:r>
    </w:p>
    <w:p w:rsidR="08163013" w:rsidRDefault="08163013" w:rsidP="08163013">
      <w:pPr>
        <w:pStyle w:val="Citace"/>
        <w:rPr>
          <w:lang w:val="cs-CZ"/>
        </w:rPr>
      </w:pPr>
      <w:r w:rsidRPr="00273106">
        <w:rPr>
          <w:noProof/>
          <w:lang w:val="cs-CZ"/>
        </w:rPr>
        <w:t>„</w:t>
      </w:r>
      <w:r>
        <w:rPr>
          <w:noProof/>
          <w:lang w:val="cs-CZ"/>
        </w:rPr>
        <w:t xml:space="preserve">Pravím, že úmysl Komentátora v jeho třetí knize </w:t>
      </w:r>
      <w:r w:rsidRPr="08662ED7">
        <w:rPr>
          <w:i/>
          <w:noProof/>
          <w:lang w:val="cs-CZ"/>
        </w:rPr>
        <w:t>De anima</w:t>
      </w:r>
      <w:r w:rsidR="009F4990">
        <w:rPr>
          <w:noProof/>
          <w:lang w:val="cs-CZ"/>
        </w:rPr>
        <w:t xml:space="preserve">  je dán tak, že jsou dva </w:t>
      </w:r>
      <w:r>
        <w:rPr>
          <w:noProof/>
          <w:lang w:val="cs-CZ"/>
        </w:rPr>
        <w:t>intel</w:t>
      </w:r>
      <w:r w:rsidR="009F4990">
        <w:rPr>
          <w:noProof/>
          <w:lang w:val="cs-CZ"/>
        </w:rPr>
        <w:t xml:space="preserve">ekty </w:t>
      </w:r>
      <w:r w:rsidR="007838CA">
        <w:rPr>
          <w:noProof/>
          <w:lang w:val="cs-CZ"/>
        </w:rPr>
        <w:t>reálně (</w:t>
      </w:r>
      <w:r w:rsidR="007838CA" w:rsidRPr="08662ED7">
        <w:rPr>
          <w:i/>
          <w:noProof/>
          <w:lang w:val="cs-CZ"/>
        </w:rPr>
        <w:t>realiter</w:t>
      </w:r>
      <w:r w:rsidR="007838CA">
        <w:rPr>
          <w:noProof/>
          <w:lang w:val="cs-CZ"/>
        </w:rPr>
        <w:t>) odlišné jako substance</w:t>
      </w:r>
      <w:r w:rsidR="00DB7B74">
        <w:rPr>
          <w:noProof/>
          <w:lang w:val="cs-CZ"/>
        </w:rPr>
        <w:t xml:space="preserve">; </w:t>
      </w:r>
      <w:r>
        <w:rPr>
          <w:noProof/>
          <w:lang w:val="cs-CZ"/>
        </w:rPr>
        <w:t>nejsou dány v člověku jako jeho schopnosti (</w:t>
      </w:r>
      <w:r w:rsidRPr="08662ED7">
        <w:rPr>
          <w:rStyle w:val="TextpoznpodarouChar"/>
          <w:i/>
        </w:rPr>
        <w:t>non sunt in homine sicut perfectiones in perfectibili</w:t>
      </w:r>
      <w:r>
        <w:rPr>
          <w:noProof/>
          <w:lang w:val="cs-CZ"/>
        </w:rPr>
        <w:t xml:space="preserve">), ale působí na něj pouze zvnějšku jako hybatelé těla. Takto definoval kosmické inteligence spojené s nebeskou sférou jako hybatele zakládající pohyb sfér. Toto pojetí je nutné odmítnout z hlediska křesťanstí.“ </w:t>
      </w:r>
      <w:r w:rsidRPr="00273106">
        <w:rPr>
          <w:rStyle w:val="Znakapoznpodarou"/>
        </w:rPr>
        <w:footnoteReference w:id="475"/>
      </w:r>
    </w:p>
    <w:p w:rsidR="00B13688" w:rsidRDefault="08163013" w:rsidP="00B13688">
      <w:r>
        <w:t xml:space="preserve">Averroistický výklad univočně spojil dvě zcela odlišné formy intelektu do jednoho jsoucna třetího druhu, což je zásadní omyl. </w:t>
      </w:r>
      <w:r w:rsidRPr="00273106">
        <w:t xml:space="preserve">Výše uvedený traktát </w:t>
      </w:r>
      <w:r w:rsidRPr="00273106">
        <w:rPr>
          <w:i/>
        </w:rPr>
        <w:t>De intellectu possibili secundum Averroem</w:t>
      </w:r>
      <w:r w:rsidRPr="00273106">
        <w:t xml:space="preserve"> interpretuje postup poznání podle </w:t>
      </w:r>
      <w:r>
        <w:t xml:space="preserve">Averroese s odkazem na termín </w:t>
      </w:r>
      <w:r w:rsidRPr="00273106">
        <w:rPr>
          <w:i/>
        </w:rPr>
        <w:t>copulatio</w:t>
      </w:r>
      <w:r>
        <w:t xml:space="preserve"> a </w:t>
      </w:r>
      <w:r w:rsidRPr="00273106">
        <w:t>odkazuje na důležitou část CMDA otevírající otázku jednoty materiálního a spekulativního intelektu</w:t>
      </w:r>
      <w:r>
        <w:t xml:space="preserve"> (CMDA III.5, p. 392.158‒63</w:t>
      </w:r>
      <w:r>
        <w:fldChar w:fldCharType="begin"/>
      </w:r>
      <w:r>
        <w:instrText xml:space="preserve"> XE "Averroes:CMDA 392.158‒</w:instrText>
      </w:r>
      <w:r w:rsidRPr="004E7BCA">
        <w:instrText>63</w:instrText>
      </w:r>
      <w:r>
        <w:instrText xml:space="preserve">" </w:instrText>
      </w:r>
      <w:r>
        <w:fldChar w:fldCharType="end"/>
      </w:r>
      <w:r>
        <w:t>).</w:t>
      </w:r>
      <w:r w:rsidRPr="00273106">
        <w:t xml:space="preserve"> Ockham respektuje varování  Koment</w:t>
      </w:r>
      <w:r>
        <w:t xml:space="preserve">átora ohledně obtížnosti tématu a po vzoru biskupa Alverna a školy prvního averroismu jasně odlišuje dva fenomény, tj. kosmickou formu intelektu jako nemateriální aktuální substanci a lidskou schopnost intelektu danou existenciálním výkonem osoby. Tyto dvě formy se od sebe zásadně liší svým bytím. Pak je jasné, že v případě lidského poznání není možné predikovat kosmické substanční formy </w:t>
      </w:r>
      <w:r w:rsidRPr="08662ED7">
        <w:rPr>
          <w:i/>
        </w:rPr>
        <w:t>intellectus po</w:t>
      </w:r>
      <w:r>
        <w:rPr>
          <w:i/>
        </w:rPr>
        <w:t>ssi</w:t>
      </w:r>
      <w:r w:rsidRPr="08662ED7">
        <w:rPr>
          <w:i/>
        </w:rPr>
        <w:t>bilis</w:t>
      </w:r>
      <w:r>
        <w:t xml:space="preserve"> a </w:t>
      </w:r>
      <w:r w:rsidRPr="08662ED7">
        <w:rPr>
          <w:i/>
        </w:rPr>
        <w:t>agens</w:t>
      </w:r>
      <w:r>
        <w:t xml:space="preserve">, ale pouze výše uvedené schopnosti člověka. Po tomto základním rozlišení dvou pojetí intelektu je možné přistoupit k interpretaci schopnosti porozumění podle CMDA, což představuje </w:t>
      </w:r>
      <w:r>
        <w:lastRenderedPageBreak/>
        <w:t xml:space="preserve">druhou zásadní obtíž. </w:t>
      </w:r>
      <w:r w:rsidR="00B13688">
        <w:t xml:space="preserve">Je třeba </w:t>
      </w:r>
      <w:r w:rsidR="00E66C3B">
        <w:t xml:space="preserve">přesně </w:t>
      </w:r>
      <w:r w:rsidR="00B13688">
        <w:t xml:space="preserve">sledovat směr uvažování, který vychází z </w:t>
      </w:r>
      <w:r w:rsidR="00B13688" w:rsidRPr="00B13688">
        <w:rPr>
          <w:i/>
        </w:rPr>
        <w:t>intellectus possibilis</w:t>
      </w:r>
      <w:r w:rsidR="00B13688">
        <w:t xml:space="preserve"> jako </w:t>
      </w:r>
      <w:r w:rsidR="00B13688" w:rsidRPr="00B13688">
        <w:rPr>
          <w:i/>
        </w:rPr>
        <w:t>quartum genus</w:t>
      </w:r>
      <w:r w:rsidR="00B13688">
        <w:t xml:space="preserve"> a pak jde k tomuto intelektu jako </w:t>
      </w:r>
      <w:r w:rsidR="00B13688" w:rsidRPr="00B13688">
        <w:rPr>
          <w:i/>
        </w:rPr>
        <w:t>tertium genus</w:t>
      </w:r>
      <w:r w:rsidR="00B13688">
        <w:t>.</w:t>
      </w:r>
    </w:p>
    <w:p w:rsidR="08163013" w:rsidRDefault="00B13688" w:rsidP="08163013">
      <w:pPr>
        <w:pStyle w:val="Citace"/>
      </w:pPr>
      <w:r>
        <w:rPr>
          <w:lang w:val="cs-CZ"/>
        </w:rPr>
        <w:t>„</w:t>
      </w:r>
      <w:r>
        <w:t>Kdo chce následovat učení Komentátora, musí říci, že možný intelekt je první schopností, která plně náleží člověku (</w:t>
      </w:r>
      <w:r w:rsidRPr="00B13688">
        <w:rPr>
          <w:i/>
        </w:rPr>
        <w:t>intellectus possibilis est prima perfectio hominis</w:t>
      </w:r>
      <w:r>
        <w:t>). Činnost tohoto intelektu (</w:t>
      </w:r>
      <w:r w:rsidRPr="00B13688">
        <w:rPr>
          <w:i/>
        </w:rPr>
        <w:t>intellectio</w:t>
      </w:r>
      <w:r>
        <w:t xml:space="preserve">) je až druhá </w:t>
      </w:r>
      <w:r>
        <w:rPr>
          <w:lang w:val="cs-CZ"/>
        </w:rPr>
        <w:t xml:space="preserve">v pořadí </w:t>
      </w:r>
      <w:r>
        <w:t xml:space="preserve">a je dovršením této lidské schopnosti. Pak vidíme, že možný intelekt je v člověku dán zvláštním spojením či nabytím, které Komentátor nazývá termínem </w:t>
      </w:r>
      <w:r w:rsidRPr="00273106">
        <w:rPr>
          <w:noProof/>
        </w:rPr>
        <w:t>'</w:t>
      </w:r>
      <w:r>
        <w:rPr>
          <w:noProof/>
          <w:lang w:val="cs-CZ"/>
        </w:rPr>
        <w:t>skrze spojení</w:t>
      </w:r>
      <w:r w:rsidRPr="00273106">
        <w:rPr>
          <w:noProof/>
        </w:rPr>
        <w:t>'</w:t>
      </w:r>
      <w:r>
        <w:rPr>
          <w:noProof/>
          <w:lang w:val="cs-CZ"/>
        </w:rPr>
        <w:t xml:space="preserve"> </w:t>
      </w:r>
      <w:r>
        <w:t xml:space="preserve">(copulationem). Na základě tohoto spojení lze říci, že člověk je tvor obdařený </w:t>
      </w:r>
      <w:r>
        <w:rPr>
          <w:noProof/>
          <w:lang w:val="cs-CZ"/>
        </w:rPr>
        <w:t>porozuměním a racionalitou</w:t>
      </w:r>
      <w:r>
        <w:t>.</w:t>
      </w:r>
      <w:r>
        <w:rPr>
          <w:lang w:val="cs-CZ"/>
        </w:rPr>
        <w:t>“ </w:t>
      </w:r>
      <w:r w:rsidR="08163013">
        <w:rPr>
          <w:rStyle w:val="Znakapoznpodarou"/>
        </w:rPr>
        <w:footnoteReference w:id="476"/>
      </w:r>
    </w:p>
    <w:p w:rsidR="08163013" w:rsidRPr="00273106" w:rsidRDefault="08163013" w:rsidP="08163013">
      <w:r w:rsidRPr="00273106">
        <w:t>Receptivní část intelektu individualizuje poznání na úrovni první aktualizace rozumového poznání (</w:t>
      </w:r>
      <w:r w:rsidRPr="00273106">
        <w:rPr>
          <w:i/>
        </w:rPr>
        <w:t>intellectus possibilis est prima perfectio hominis</w:t>
      </w:r>
      <w:r w:rsidRPr="00273106">
        <w:t xml:space="preserve">). Možný intelekt </w:t>
      </w:r>
      <w:r w:rsidR="00BA199D">
        <w:t xml:space="preserve">v aktu </w:t>
      </w:r>
      <w:r w:rsidRPr="00273106">
        <w:t xml:space="preserve">zakládá celý proces porozumění v modu </w:t>
      </w:r>
      <w:r w:rsidRPr="00273106">
        <w:rPr>
          <w:i/>
        </w:rPr>
        <w:t>per prius</w:t>
      </w:r>
      <w:r w:rsidRPr="00273106">
        <w:t>. Aktivní složka pa</w:t>
      </w:r>
      <w:r>
        <w:t>k v završeném procesu abstrakce (</w:t>
      </w:r>
      <w:r w:rsidRPr="00273106">
        <w:rPr>
          <w:i/>
        </w:rPr>
        <w:t>ultima perfectio</w:t>
      </w:r>
      <w:r>
        <w:t xml:space="preserve">) </w:t>
      </w:r>
      <w:r w:rsidRPr="00273106">
        <w:t xml:space="preserve">vytváří v modu </w:t>
      </w:r>
      <w:r w:rsidRPr="00273106">
        <w:rPr>
          <w:i/>
        </w:rPr>
        <w:t>per posterius</w:t>
      </w:r>
      <w:r w:rsidRPr="00273106">
        <w:t xml:space="preserve"> univerzální obsahy (</w:t>
      </w:r>
      <w:r w:rsidRPr="00273106">
        <w:rPr>
          <w:i/>
        </w:rPr>
        <w:t>intellect</w:t>
      </w:r>
      <w:r>
        <w:rPr>
          <w:i/>
        </w:rPr>
        <w:t>io, quae est actus secundus</w:t>
      </w:r>
      <w:r w:rsidRPr="00273106">
        <w:t xml:space="preserve">). Vztah obou složek intelektu v duši </w:t>
      </w:r>
      <w:r>
        <w:t xml:space="preserve">Averroes nazývá termínem </w:t>
      </w:r>
      <w:r w:rsidRPr="00273106">
        <w:rPr>
          <w:i/>
        </w:rPr>
        <w:t>copulatio</w:t>
      </w:r>
      <w:r w:rsidRPr="00273106">
        <w:t xml:space="preserve">, které v CMDA nemá nic společného s odděleným intelektem neoplatoniků a Avicenny. </w:t>
      </w:r>
      <w:r>
        <w:t xml:space="preserve">Připomeňme podobná Sigerova tvrzení o složené lidské duši s definicí intelektu, který vzhledem ke smyslovým částem duše přichází zvnějšku. Ockham dobře ví, že možný intelekt se primárně spojuje s aktuálním smyslovým poznáním, a ne s odděleným aktivním intelektem. </w:t>
      </w:r>
      <w:r w:rsidRPr="00273106">
        <w:t xml:space="preserve">Potence intelektu je aktualizovaná tím, že </w:t>
      </w:r>
      <w:r>
        <w:t xml:space="preserve">nemateriální </w:t>
      </w:r>
      <w:r w:rsidRPr="00273106">
        <w:rPr>
          <w:i/>
        </w:rPr>
        <w:t>intellectus possibilis</w:t>
      </w:r>
      <w:r w:rsidRPr="00273106">
        <w:t xml:space="preserve"> </w:t>
      </w:r>
      <w:r>
        <w:t>je aktualizován od smyslových</w:t>
      </w:r>
      <w:r w:rsidRPr="00273106">
        <w:t xml:space="preserve"> </w:t>
      </w:r>
      <w:r w:rsidR="00962190">
        <w:rPr>
          <w:i/>
        </w:rPr>
        <w:t>species</w:t>
      </w:r>
      <w:r w:rsidRPr="00273106">
        <w:t xml:space="preserve"> a </w:t>
      </w:r>
      <w:r>
        <w:t>díky své nematerialitě je recipuje jako in</w:t>
      </w:r>
      <w:r w:rsidRPr="00273106">
        <w:t xml:space="preserve">teligibilní </w:t>
      </w:r>
      <w:r w:rsidR="00962190">
        <w:rPr>
          <w:i/>
        </w:rPr>
        <w:t>species</w:t>
      </w:r>
      <w:r>
        <w:t xml:space="preserve">. Ty </w:t>
      </w:r>
      <w:r w:rsidRPr="00273106">
        <w:t xml:space="preserve">pak </w:t>
      </w:r>
      <w:r w:rsidRPr="00273106">
        <w:rPr>
          <w:i/>
        </w:rPr>
        <w:t>intellectus agens</w:t>
      </w:r>
      <w:r>
        <w:rPr>
          <w:i/>
        </w:rPr>
        <w:fldChar w:fldCharType="begin"/>
      </w:r>
      <w:r>
        <w:instrText xml:space="preserve"> XE "</w:instrText>
      </w:r>
      <w:r w:rsidRPr="00490D32">
        <w:rPr>
          <w:i/>
        </w:rPr>
        <w:instrText>intellectus agens:</w:instrText>
      </w:r>
      <w:r>
        <w:instrText xml:space="preserve">Ockham" </w:instrText>
      </w:r>
      <w:r>
        <w:rPr>
          <w:i/>
        </w:rPr>
        <w:fldChar w:fldCharType="end"/>
      </w:r>
      <w:r w:rsidRPr="00273106">
        <w:t xml:space="preserve"> zpracuje v procesu abstrakce na univerzální obsahy poznání. Jednotu individuálního poznání daného univerzálně pro všechny lidi </w:t>
      </w:r>
      <w:r>
        <w:t>konstatuje poslední věta (</w:t>
      </w:r>
      <w:r w:rsidRPr="00C5175F">
        <w:rPr>
          <w:i/>
        </w:rPr>
        <w:t>homo sufficienter dici intelligens et rationalis</w:t>
      </w:r>
      <w:r>
        <w:t xml:space="preserve">). Tento výrok je třeba brát v Averroesově obecné definici intelektu jako univerzální </w:t>
      </w:r>
      <w:r w:rsidR="00962190">
        <w:rPr>
          <w:i/>
        </w:rPr>
        <w:t>species</w:t>
      </w:r>
      <w:r>
        <w:t xml:space="preserve">, která je vztažena v modu abstrakce k člověku jako stejně univerzální a abstraktně pojaté </w:t>
      </w:r>
      <w:r w:rsidR="00962190">
        <w:rPr>
          <w:i/>
        </w:rPr>
        <w:t>species</w:t>
      </w:r>
      <w:r>
        <w:t xml:space="preserve"> v Averroesově modu </w:t>
      </w:r>
      <w:r w:rsidRPr="08F92E14">
        <w:rPr>
          <w:i/>
        </w:rPr>
        <w:t xml:space="preserve">quartum </w:t>
      </w:r>
      <w:r w:rsidR="00962190">
        <w:rPr>
          <w:i/>
        </w:rPr>
        <w:t>genus</w:t>
      </w:r>
      <w:r>
        <w:t xml:space="preserve">. </w:t>
      </w:r>
      <w:r w:rsidRPr="00273106">
        <w:t>Připomeňme podobné pojetí</w:t>
      </w:r>
      <w:r>
        <w:t xml:space="preserve"> Sigera z Brabantu</w:t>
      </w:r>
      <w:r w:rsidRPr="00273106">
        <w:t>, který jasně upozorňuje na to, že CMDA tímto pojmem spojuje pasivní a aktivní složku individuálního intelektu</w:t>
      </w:r>
      <w:r>
        <w:t xml:space="preserve"> (</w:t>
      </w:r>
      <w:r w:rsidRPr="00A81859">
        <w:rPr>
          <w:i/>
          <w:lang w:eastAsia="de-DE"/>
        </w:rPr>
        <w:t xml:space="preserve">de </w:t>
      </w:r>
      <w:r w:rsidRPr="00A81859">
        <w:rPr>
          <w:i/>
          <w:lang w:eastAsia="en-US"/>
        </w:rPr>
        <w:t>natura sua solum est in potentia ut nobis copuletur</w:t>
      </w:r>
      <w:r>
        <w:rPr>
          <w:lang w:eastAsia="en-US"/>
        </w:rPr>
        <w:t xml:space="preserve">, </w:t>
      </w:r>
      <w:r w:rsidR="00A3009E">
        <w:t>kap. 4</w:t>
      </w:r>
      <w:r>
        <w:t>.4.3)</w:t>
      </w:r>
      <w:r w:rsidRPr="00273106">
        <w:t xml:space="preserve">. </w:t>
      </w:r>
      <w:r>
        <w:t>Spojení receptivního intelektu s „člověkem“ (</w:t>
      </w:r>
      <w:r w:rsidRPr="00C5175F">
        <w:rPr>
          <w:i/>
        </w:rPr>
        <w:t>homo</w:t>
      </w:r>
      <w:r>
        <w:t xml:space="preserve">) v objektivním modu </w:t>
      </w:r>
      <w:r w:rsidRPr="00C5175F">
        <w:rPr>
          <w:i/>
        </w:rPr>
        <w:t>copulatio</w:t>
      </w:r>
      <w:r w:rsidR="00F01A65">
        <w:t xml:space="preserve"> </w:t>
      </w:r>
      <w:r>
        <w:t xml:space="preserve">běží podle </w:t>
      </w:r>
      <w:r>
        <w:lastRenderedPageBreak/>
        <w:t xml:space="preserve">definice intelektu v CMDA jedině jako abstrakce, tedy v modu </w:t>
      </w:r>
      <w:r w:rsidRPr="00C5175F">
        <w:rPr>
          <w:i/>
        </w:rPr>
        <w:t xml:space="preserve">quartum </w:t>
      </w:r>
      <w:r w:rsidR="00962190">
        <w:rPr>
          <w:i/>
        </w:rPr>
        <w:t>genus</w:t>
      </w:r>
      <w:r>
        <w:rPr>
          <w:i/>
        </w:rPr>
        <w:fldChar w:fldCharType="begin"/>
      </w:r>
      <w:r>
        <w:instrText xml:space="preserve"> XE "</w:instrText>
      </w:r>
      <w:r w:rsidRPr="00191848">
        <w:rPr>
          <w:i/>
        </w:rPr>
        <w:instrText>quartum genus</w:instrText>
      </w:r>
      <w:r>
        <w:instrText xml:space="preserve">" </w:instrText>
      </w:r>
      <w:r>
        <w:rPr>
          <w:i/>
        </w:rPr>
        <w:fldChar w:fldCharType="end"/>
      </w:r>
      <w:r>
        <w:t>. N</w:t>
      </w:r>
      <w:r w:rsidRPr="00273106">
        <w:t>ásledující část traktátu</w:t>
      </w:r>
      <w:r>
        <w:t xml:space="preserve"> obhajuje individuální výkon intelektu podle CMDA v modu </w:t>
      </w:r>
      <w:r w:rsidRPr="00FF02A1">
        <w:rPr>
          <w:i/>
        </w:rPr>
        <w:t xml:space="preserve">tertium </w:t>
      </w:r>
      <w:r w:rsidR="00962190">
        <w:rPr>
          <w:i/>
        </w:rPr>
        <w:t>genus</w:t>
      </w:r>
      <w:r>
        <w:rPr>
          <w:i/>
        </w:rPr>
        <w:fldChar w:fldCharType="begin"/>
      </w:r>
      <w:r>
        <w:instrText xml:space="preserve"> XE "</w:instrText>
      </w:r>
      <w:r w:rsidRPr="00D80F84">
        <w:rPr>
          <w:i/>
        </w:rPr>
        <w:instrText>tertium genus</w:instrText>
      </w:r>
      <w:r>
        <w:instrText xml:space="preserve">" </w:instrText>
      </w:r>
      <w:r>
        <w:rPr>
          <w:i/>
        </w:rPr>
        <w:fldChar w:fldCharType="end"/>
      </w:r>
      <w:r>
        <w:t xml:space="preserve">. </w:t>
      </w:r>
      <w:r w:rsidRPr="00273106">
        <w:t>Citát o</w:t>
      </w:r>
      <w:r>
        <w:t xml:space="preserve">dděluje autentické pojetí intelektu u Averroese </w:t>
      </w:r>
      <w:r w:rsidRPr="00273106">
        <w:t>od averroistického výkladu</w:t>
      </w:r>
      <w:r w:rsidR="0003426D">
        <w:t xml:space="preserve"> modernistů</w:t>
      </w:r>
      <w:r w:rsidRPr="00273106">
        <w:t>.</w:t>
      </w:r>
    </w:p>
    <w:p w:rsidR="08163013" w:rsidRDefault="08163013" w:rsidP="08163013">
      <w:pPr>
        <w:pStyle w:val="Citace"/>
      </w:pPr>
      <w:r w:rsidRPr="00273106">
        <w:rPr>
          <w:noProof/>
          <w:lang w:val="cs-CZ"/>
        </w:rPr>
        <w:t>„</w:t>
      </w:r>
      <w:r>
        <w:rPr>
          <w:noProof/>
          <w:lang w:val="cs-CZ"/>
        </w:rPr>
        <w:t>Úmysl Komentátora je vidět v tom, že porozumění je efektivně způsobeno fantasmatem a je dáno skrze intelekt (</w:t>
      </w:r>
      <w:r w:rsidRPr="00105D59">
        <w:rPr>
          <w:i/>
          <w:noProof/>
        </w:rPr>
        <w:t>intellectio causatur a phantasmate effective et intellectu</w:t>
      </w:r>
      <w:r>
        <w:rPr>
          <w:noProof/>
          <w:lang w:val="cs-CZ"/>
        </w:rPr>
        <w:t>). Pak nutně platí, že jedna určitá smyslová představa je dána v jednom konkrétním člověku, a ne v jiném. Ten, kdo tuto představu nemá, tomu chybí část kauzality nutné k poznání, a proto nemá intelektuální poznání založené na fantasmatech.“ </w:t>
      </w:r>
      <w:r>
        <w:rPr>
          <w:rStyle w:val="Znakapoznpodarou"/>
        </w:rPr>
        <w:footnoteReference w:id="477"/>
      </w:r>
    </w:p>
    <w:p w:rsidR="08163013" w:rsidRDefault="08163013" w:rsidP="08163013">
      <w:r>
        <w:t xml:space="preserve">Citát </w:t>
      </w:r>
      <w:r w:rsidRPr="00273106">
        <w:t xml:space="preserve">obhajuje nasvícení zepředu, od aktuálních smyslových </w:t>
      </w:r>
      <w:r w:rsidR="00962190">
        <w:rPr>
          <w:i/>
        </w:rPr>
        <w:t>species</w:t>
      </w:r>
      <w:r w:rsidRPr="00273106">
        <w:t xml:space="preserve"> nutných pro proces </w:t>
      </w:r>
      <w:r w:rsidR="00D54480">
        <w:t xml:space="preserve">osobně </w:t>
      </w:r>
      <w:r w:rsidRPr="00273106">
        <w:t>pojaté abstrakce, a tím i jedinečného poznání (</w:t>
      </w:r>
      <w:r w:rsidRPr="00273106">
        <w:rPr>
          <w:i/>
        </w:rPr>
        <w:t>intellectio causatur a phantasmate effective</w:t>
      </w:r>
      <w:r w:rsidRPr="00273106">
        <w:t xml:space="preserve">). Protože smyslové vnímání je </w:t>
      </w:r>
      <w:r w:rsidR="00D54480">
        <w:t>personalizováno</w:t>
      </w:r>
      <w:r w:rsidRPr="00273106">
        <w:t>, pak i proces poznání daný aktualitou</w:t>
      </w:r>
      <w:r w:rsidR="00D54480">
        <w:t xml:space="preserve"> těchto fantasmat patří každé osobě </w:t>
      </w:r>
      <w:r w:rsidRPr="00273106">
        <w:t>zvlášť (</w:t>
      </w:r>
      <w:r w:rsidRPr="00273106">
        <w:rPr>
          <w:i/>
        </w:rPr>
        <w:t>unum phantasma potest esse in uno homine et non in alio</w:t>
      </w:r>
      <w:r w:rsidRPr="00273106">
        <w:t xml:space="preserve">). </w:t>
      </w:r>
      <w:r>
        <w:t>Z</w:t>
      </w:r>
      <w:r w:rsidRPr="00273106">
        <w:t>ávěr upozorňuje, že poznání bez fantasmat není kompletní (</w:t>
      </w:r>
      <w:r w:rsidRPr="00273106">
        <w:rPr>
          <w:i/>
        </w:rPr>
        <w:t>deficit causa partialis requisita ad intellectionem</w:t>
      </w:r>
      <w:r w:rsidRPr="00273106">
        <w:t xml:space="preserve">). </w:t>
      </w:r>
      <w:r>
        <w:t xml:space="preserve">Touto deficiencí se vyznačuje schéma poznání jak ve druhém averroismu tak u Scota. Jejich </w:t>
      </w:r>
      <w:r w:rsidRPr="00273106">
        <w:t>poznání nejde k reálné první substanci</w:t>
      </w:r>
      <w:r>
        <w:t xml:space="preserve"> </w:t>
      </w:r>
      <w:r w:rsidRPr="00273106">
        <w:t xml:space="preserve">a tím se první intence </w:t>
      </w:r>
      <w:r>
        <w:t xml:space="preserve">daná ve fantasmatu nikdy nestane efektivní kauzou druhé univerzální </w:t>
      </w:r>
      <w:r w:rsidRPr="00273106">
        <w:t xml:space="preserve">intence. </w:t>
      </w:r>
      <w:r w:rsidR="00EE0202">
        <w:t>Jasným důsledkem</w:t>
      </w:r>
      <w:r>
        <w:t xml:space="preserve"> tohoto pochybení moderny je neschopnost přijmout Aristotelovo pojetí pravdy jako adekvace podané v Komentátorově modu </w:t>
      </w:r>
      <w:r w:rsidRPr="08D860ED">
        <w:rPr>
          <w:i/>
        </w:rPr>
        <w:t>proportio</w:t>
      </w:r>
      <w:r>
        <w:t xml:space="preserve"> nebo </w:t>
      </w:r>
      <w:r w:rsidRPr="08D860ED">
        <w:rPr>
          <w:i/>
        </w:rPr>
        <w:t>similitudo</w:t>
      </w:r>
      <w:r>
        <w:t>. Obranu n</w:t>
      </w:r>
      <w:r w:rsidRPr="00273106">
        <w:t xml:space="preserve">asvícení zepředu podle prvního averroismu najdeme v krátké, ale myšlenkově hutné pasáži </w:t>
      </w:r>
      <w:r w:rsidRPr="00273106">
        <w:rPr>
          <w:i/>
        </w:rPr>
        <w:t>Quodlibet</w:t>
      </w:r>
      <w:r w:rsidRPr="00273106">
        <w:t xml:space="preserve"> I, q. 11</w:t>
      </w:r>
      <w:r>
        <w:fldChar w:fldCharType="begin"/>
      </w:r>
      <w:r>
        <w:instrText xml:space="preserve"> XE "</w:instrText>
      </w:r>
      <w:r w:rsidRPr="005869BF">
        <w:instrText>zjevování:nasvícení zepředu</w:instrText>
      </w:r>
      <w:r>
        <w:instrText xml:space="preserve">" </w:instrText>
      </w:r>
      <w:r>
        <w:fldChar w:fldCharType="end"/>
      </w:r>
      <w:r w:rsidRPr="00273106">
        <w:t xml:space="preserve">. Autor odmítl nejen pojetí numericky jednotného intelektu pro všechny lidi, ale i argumentaci druhého averroismu. Odpověď rozlišuje autentickou a neautentickou nauku CMDA </w:t>
      </w:r>
      <w:r>
        <w:t>v podobě dvou aporií, které je třeba řešit (</w:t>
      </w:r>
      <w:r w:rsidRPr="00273106">
        <w:rPr>
          <w:i/>
        </w:rPr>
        <w:t>duae difficultates</w:t>
      </w:r>
      <w:r>
        <w:t>)</w:t>
      </w:r>
      <w:r w:rsidRPr="00273106">
        <w:t>.</w:t>
      </w:r>
      <w:r>
        <w:t xml:space="preserve"> Intelektuální poznání v rámci prvního a druhého averroismu má dvě zcela odlišné perspektivy.</w:t>
      </w:r>
      <w:r w:rsidRPr="08AD4907">
        <w:t xml:space="preserve"> </w:t>
      </w:r>
      <w:r w:rsidRPr="00273106">
        <w:t xml:space="preserve">Rozlišení Ockhama je přesné </w:t>
      </w:r>
      <w:r>
        <w:t xml:space="preserve">a </w:t>
      </w:r>
      <w:r w:rsidRPr="00273106">
        <w:t>s hlubokou znalostí sporu</w:t>
      </w:r>
      <w:r>
        <w:t xml:space="preserve"> Akvinského a Sigera, který podala předešlá matrice</w:t>
      </w:r>
      <w:r w:rsidRPr="00273106">
        <w:t>.</w:t>
      </w:r>
      <w:r>
        <w:t xml:space="preserve"> Pod jednotou intelektu Ockham rozumí intelekt jako potenci, což představuje pouze abstraktní koncept intelektu v mysli daný jako </w:t>
      </w:r>
      <w:r w:rsidRPr="08AD4907">
        <w:rPr>
          <w:i/>
        </w:rPr>
        <w:lastRenderedPageBreak/>
        <w:t xml:space="preserve">quartum </w:t>
      </w:r>
      <w:r w:rsidR="00962190">
        <w:rPr>
          <w:i/>
        </w:rPr>
        <w:t>genus</w:t>
      </w:r>
      <w:r>
        <w:t xml:space="preserve"> v CMDA. Složitější otázka míří na poznání intelektu jako hybateli duše z hlediska </w:t>
      </w:r>
      <w:r w:rsidR="00065676">
        <w:t xml:space="preserve">reálného </w:t>
      </w:r>
      <w:r w:rsidR="00C13713">
        <w:t xml:space="preserve">procesu </w:t>
      </w:r>
      <w:r>
        <w:t>poznání (</w:t>
      </w:r>
      <w:r w:rsidRPr="08AD4907">
        <w:rPr>
          <w:i/>
        </w:rPr>
        <w:t xml:space="preserve">tertium </w:t>
      </w:r>
      <w:r w:rsidR="00962190">
        <w:rPr>
          <w:i/>
        </w:rPr>
        <w:t>genus</w:t>
      </w:r>
      <w:r>
        <w:t xml:space="preserve">). </w:t>
      </w:r>
    </w:p>
    <w:p w:rsidR="08163013" w:rsidRPr="007D315C" w:rsidRDefault="08163013" w:rsidP="08163013">
      <w:pPr>
        <w:pStyle w:val="Citace"/>
        <w:rPr>
          <w:noProof/>
        </w:rPr>
      </w:pPr>
      <w:r w:rsidRPr="00273106">
        <w:rPr>
          <w:noProof/>
        </w:rPr>
        <w:t>„</w:t>
      </w:r>
      <w:r>
        <w:rPr>
          <w:noProof/>
        </w:rPr>
        <w:t xml:space="preserve">Vzhledem ke druhému </w:t>
      </w:r>
      <w:r>
        <w:rPr>
          <w:noProof/>
          <w:lang w:val="cs-CZ"/>
        </w:rPr>
        <w:t xml:space="preserve">bodu </w:t>
      </w:r>
      <w:r>
        <w:rPr>
          <w:noProof/>
        </w:rPr>
        <w:t>je dvojí problém</w:t>
      </w:r>
      <w:r w:rsidR="00203FA6">
        <w:rPr>
          <w:noProof/>
          <w:lang w:val="cs-CZ"/>
        </w:rPr>
        <w:t xml:space="preserve"> </w:t>
      </w:r>
      <w:r w:rsidR="00203FA6">
        <w:t>(</w:t>
      </w:r>
      <w:r w:rsidR="00203FA6" w:rsidRPr="006F4054">
        <w:rPr>
          <w:i/>
          <w:noProof/>
        </w:rPr>
        <w:t>duae difficultates</w:t>
      </w:r>
      <w:r w:rsidR="00203FA6">
        <w:t>)</w:t>
      </w:r>
      <w:r>
        <w:rPr>
          <w:noProof/>
        </w:rPr>
        <w:t xml:space="preserve">. </w:t>
      </w:r>
      <w:r>
        <w:rPr>
          <w:noProof/>
          <w:lang w:val="cs-CZ"/>
        </w:rPr>
        <w:t xml:space="preserve">První </w:t>
      </w:r>
      <w:r>
        <w:rPr>
          <w:noProof/>
        </w:rPr>
        <w:t>je dán</w:t>
      </w:r>
      <w:r>
        <w:rPr>
          <w:noProof/>
          <w:lang w:val="cs-CZ"/>
        </w:rPr>
        <w:t xml:space="preserve"> tím</w:t>
      </w:r>
      <w:r>
        <w:rPr>
          <w:noProof/>
        </w:rPr>
        <w:t xml:space="preserve">, že rozumíme skrze intelekt </w:t>
      </w:r>
      <w:r>
        <w:rPr>
          <w:noProof/>
          <w:lang w:val="cs-CZ"/>
        </w:rPr>
        <w:t xml:space="preserve">daný </w:t>
      </w:r>
      <w:r>
        <w:rPr>
          <w:noProof/>
        </w:rPr>
        <w:t>jako form</w:t>
      </w:r>
      <w:r>
        <w:rPr>
          <w:noProof/>
          <w:lang w:val="cs-CZ"/>
        </w:rPr>
        <w:t>a</w:t>
      </w:r>
      <w:r>
        <w:rPr>
          <w:noProof/>
        </w:rPr>
        <w:t xml:space="preserve"> těla</w:t>
      </w:r>
      <w:r>
        <w:rPr>
          <w:noProof/>
          <w:lang w:val="cs-CZ"/>
        </w:rPr>
        <w:t xml:space="preserve">, čili </w:t>
      </w:r>
      <w:r>
        <w:rPr>
          <w:noProof/>
        </w:rPr>
        <w:t xml:space="preserve">skrze intelekt </w:t>
      </w:r>
      <w:r>
        <w:rPr>
          <w:noProof/>
          <w:lang w:val="cs-CZ"/>
        </w:rPr>
        <w:t xml:space="preserve">daný </w:t>
      </w:r>
      <w:r>
        <w:rPr>
          <w:noProof/>
        </w:rPr>
        <w:t xml:space="preserve">jako </w:t>
      </w:r>
      <w:r>
        <w:rPr>
          <w:noProof/>
          <w:lang w:val="cs-CZ"/>
        </w:rPr>
        <w:t>schopnost porozumění (</w:t>
      </w:r>
      <w:r w:rsidRPr="080633F2">
        <w:rPr>
          <w:i/>
          <w:noProof/>
        </w:rPr>
        <w:t>intellectu tamquam per formam corporis vel potentiam intellectivam</w:t>
      </w:r>
      <w:r>
        <w:rPr>
          <w:noProof/>
          <w:lang w:val="cs-CZ"/>
        </w:rPr>
        <w:t>)</w:t>
      </w:r>
      <w:r>
        <w:rPr>
          <w:noProof/>
        </w:rPr>
        <w:t xml:space="preserve">. </w:t>
      </w:r>
      <w:r>
        <w:rPr>
          <w:noProof/>
          <w:lang w:val="cs-CZ"/>
        </w:rPr>
        <w:t xml:space="preserve">Druhý </w:t>
      </w:r>
      <w:r w:rsidR="00283088">
        <w:rPr>
          <w:noProof/>
          <w:lang w:val="cs-CZ"/>
        </w:rPr>
        <w:t xml:space="preserve">problém </w:t>
      </w:r>
      <w:r>
        <w:rPr>
          <w:noProof/>
          <w:lang w:val="cs-CZ"/>
        </w:rPr>
        <w:t>je dán tím</w:t>
      </w:r>
      <w:r>
        <w:rPr>
          <w:noProof/>
        </w:rPr>
        <w:t>, že intelekt v nás působí jedině jako hybatel těla, nikoliv jako jeho forma</w:t>
      </w:r>
      <w:r>
        <w:rPr>
          <w:noProof/>
          <w:lang w:val="cs-CZ"/>
        </w:rPr>
        <w:t xml:space="preserve"> (</w:t>
      </w:r>
      <w:r w:rsidRPr="080633F2">
        <w:rPr>
          <w:i/>
          <w:noProof/>
        </w:rPr>
        <w:t>intellectus sit in nobis solum sicut motor corporis et non sicut forma</w:t>
      </w:r>
      <w:r>
        <w:rPr>
          <w:noProof/>
          <w:lang w:val="cs-CZ"/>
        </w:rPr>
        <w:t>)</w:t>
      </w:r>
      <w:r>
        <w:rPr>
          <w:noProof/>
        </w:rPr>
        <w:t>.“ </w:t>
      </w:r>
      <w:r>
        <w:rPr>
          <w:rStyle w:val="Znakapoznpodarou"/>
        </w:rPr>
        <w:footnoteReference w:id="478"/>
      </w:r>
    </w:p>
    <w:p w:rsidR="0019189B" w:rsidRDefault="00EE0202" w:rsidP="08163013">
      <w:r>
        <w:t xml:space="preserve">Ockham převzal </w:t>
      </w:r>
      <w:r w:rsidRPr="00273106">
        <w:t xml:space="preserve">Sigerův brilantní výklad jednoty intelektu </w:t>
      </w:r>
      <w:r>
        <w:t xml:space="preserve">jako poznávací schopnosti duše, která působí skrze duši jako </w:t>
      </w:r>
      <w:r w:rsidR="000B1C4C">
        <w:t xml:space="preserve">jediné </w:t>
      </w:r>
      <w:r>
        <w:t>formy těla. Tím odmítl semiaverroismus Akvinského, který měl intelekt jako hypostázovanou formu v duši</w:t>
      </w:r>
      <w:r w:rsidRPr="00273106">
        <w:t xml:space="preserve">. </w:t>
      </w:r>
      <w:r w:rsidR="08163013" w:rsidRPr="00273106">
        <w:t>Klíčové je dvojí pojetí supozice, tj. perspektivy náhledu na povahu intelektu, který je signifikován v soudu o jednotě intelektu (</w:t>
      </w:r>
      <w:r w:rsidR="08163013" w:rsidRPr="00273106">
        <w:rPr>
          <w:i/>
        </w:rPr>
        <w:t>supposito quod</w:t>
      </w:r>
      <w:r w:rsidR="08163013" w:rsidRPr="00273106">
        <w:t xml:space="preserve">). </w:t>
      </w:r>
      <w:r w:rsidR="000903D2">
        <w:t>Ockham přesně rozlišuje mezi existenciáním výkonem intelektu (</w:t>
      </w:r>
      <w:r w:rsidR="000903D2" w:rsidRPr="000903D2">
        <w:rPr>
          <w:i/>
        </w:rPr>
        <w:t xml:space="preserve">tertium </w:t>
      </w:r>
      <w:r w:rsidR="00962190">
        <w:rPr>
          <w:i/>
        </w:rPr>
        <w:t>genus</w:t>
      </w:r>
      <w:r w:rsidR="000903D2">
        <w:t>) a jeho univerzálním konceptem (</w:t>
      </w:r>
      <w:r w:rsidR="000903D2" w:rsidRPr="000903D2">
        <w:rPr>
          <w:i/>
        </w:rPr>
        <w:t xml:space="preserve">quartum </w:t>
      </w:r>
      <w:r w:rsidR="00962190">
        <w:rPr>
          <w:i/>
        </w:rPr>
        <w:t>genus</w:t>
      </w:r>
      <w:r w:rsidR="000903D2">
        <w:t xml:space="preserve">). </w:t>
      </w:r>
      <w:r w:rsidR="008D1189">
        <w:t>Termín „</w:t>
      </w:r>
      <w:r w:rsidR="008D1189" w:rsidRPr="008D1189">
        <w:rPr>
          <w:i/>
        </w:rPr>
        <w:t>s</w:t>
      </w:r>
      <w:r w:rsidR="08163013" w:rsidRPr="008D1189">
        <w:rPr>
          <w:i/>
        </w:rPr>
        <w:t>up</w:t>
      </w:r>
      <w:r w:rsidR="008D1189" w:rsidRPr="008D1189">
        <w:rPr>
          <w:i/>
        </w:rPr>
        <w:t>p</w:t>
      </w:r>
      <w:r w:rsidR="08163013" w:rsidRPr="008D1189">
        <w:rPr>
          <w:i/>
        </w:rPr>
        <w:t>o</w:t>
      </w:r>
      <w:r w:rsidR="00120339">
        <w:rPr>
          <w:i/>
        </w:rPr>
        <w:t>sit</w:t>
      </w:r>
      <w:r w:rsidR="008D1189" w:rsidRPr="008D1189">
        <w:rPr>
          <w:i/>
        </w:rPr>
        <w:t>o</w:t>
      </w:r>
      <w:r w:rsidR="008D1189">
        <w:t>“</w:t>
      </w:r>
      <w:r w:rsidR="08163013">
        <w:fldChar w:fldCharType="begin"/>
      </w:r>
      <w:r w:rsidR="08163013">
        <w:instrText xml:space="preserve"> XE "</w:instrText>
      </w:r>
      <w:r w:rsidR="08163013" w:rsidRPr="00765E1D">
        <w:instrText>supozice:Ockham</w:instrText>
      </w:r>
      <w:r w:rsidR="08163013">
        <w:instrText xml:space="preserve">" </w:instrText>
      </w:r>
      <w:r w:rsidR="08163013">
        <w:fldChar w:fldCharType="end"/>
      </w:r>
      <w:r w:rsidR="08163013" w:rsidRPr="00273106">
        <w:t xml:space="preserve"> nejprve zahrnuje autentick</w:t>
      </w:r>
      <w:r w:rsidR="00C35DDB">
        <w:t xml:space="preserve">ý </w:t>
      </w:r>
      <w:r w:rsidR="08163013" w:rsidRPr="00273106">
        <w:t xml:space="preserve">výklad </w:t>
      </w:r>
      <w:r w:rsidR="08163013">
        <w:t>Averroes</w:t>
      </w:r>
      <w:r w:rsidR="08163013" w:rsidRPr="00273106">
        <w:t>e</w:t>
      </w:r>
      <w:r w:rsidR="08163013">
        <w:t xml:space="preserve"> podan</w:t>
      </w:r>
      <w:r w:rsidR="00C35DDB">
        <w:t xml:space="preserve">ý </w:t>
      </w:r>
      <w:r w:rsidR="08163013">
        <w:t>podle Sigera</w:t>
      </w:r>
      <w:r w:rsidR="08163013" w:rsidRPr="00273106">
        <w:t>. Ockham dobř</w:t>
      </w:r>
      <w:r w:rsidR="08163013">
        <w:t>e ví, že ve škole prvního averroismu</w:t>
      </w:r>
      <w:r w:rsidR="08163013" w:rsidRPr="00273106">
        <w:t xml:space="preserve"> </w:t>
      </w:r>
      <w:r w:rsidR="08163013">
        <w:t xml:space="preserve">existuje dvojí </w:t>
      </w:r>
      <w:r w:rsidR="08163013" w:rsidRPr="00273106">
        <w:t>výklad CMDA</w:t>
      </w:r>
      <w:r w:rsidR="08163013">
        <w:t xml:space="preserve">. Siger hájil intelekt jako schopnost duše, která je formou těla, což je i stanovisko Ockhama. Jen tak je možné dosáhnout jednoty osoby podle Sigerova principu </w:t>
      </w:r>
      <w:r w:rsidR="0073422D">
        <w:t>„</w:t>
      </w:r>
      <w:r w:rsidR="08163013">
        <w:rPr>
          <w:i/>
        </w:rPr>
        <w:t>homo ipse intelligit</w:t>
      </w:r>
      <w:r w:rsidR="0073422D">
        <w:t>“</w:t>
      </w:r>
      <w:r w:rsidR="08163013">
        <w:rPr>
          <w:i/>
        </w:rPr>
        <w:fldChar w:fldCharType="begin"/>
      </w:r>
      <w:r w:rsidR="08163013">
        <w:instrText xml:space="preserve"> XE "</w:instrText>
      </w:r>
      <w:r w:rsidR="08163013" w:rsidRPr="00B935DC">
        <w:rPr>
          <w:rStyle w:val="Zkladntext350"/>
        </w:rPr>
        <w:instrText>osoba</w:instrText>
      </w:r>
      <w:r w:rsidR="08163013" w:rsidRPr="00B935DC">
        <w:rPr>
          <w:rStyle w:val="Zkladntext350"/>
          <w:i/>
        </w:rPr>
        <w:instrText>:</w:instrText>
      </w:r>
      <w:r w:rsidR="08163013">
        <w:rPr>
          <w:rStyle w:val="Zkladntext350"/>
          <w:i/>
        </w:rPr>
        <w:instrText>homo ipse intelligit</w:instrText>
      </w:r>
      <w:r w:rsidR="08163013">
        <w:instrText xml:space="preserve">" </w:instrText>
      </w:r>
      <w:r w:rsidR="08163013">
        <w:rPr>
          <w:i/>
        </w:rPr>
        <w:fldChar w:fldCharType="end"/>
      </w:r>
      <w:r w:rsidR="08163013">
        <w:t xml:space="preserve"> (kap. </w:t>
      </w:r>
      <w:r w:rsidR="000903D2">
        <w:t>4</w:t>
      </w:r>
      <w:r w:rsidR="08163013">
        <w:t xml:space="preserve">.4.4). Druhé pojetí </w:t>
      </w:r>
      <w:r w:rsidR="000903D2">
        <w:t xml:space="preserve">intelektu </w:t>
      </w:r>
      <w:r w:rsidR="08163013">
        <w:t xml:space="preserve">podle Akvinského hájí hypostázovaný </w:t>
      </w:r>
      <w:r w:rsidR="08163013" w:rsidRPr="00F47DF3">
        <w:rPr>
          <w:i/>
        </w:rPr>
        <w:t>intellectus possibilis</w:t>
      </w:r>
      <w:r w:rsidR="08163013">
        <w:t xml:space="preserve"> jako </w:t>
      </w:r>
      <w:r w:rsidR="00034BCA">
        <w:t xml:space="preserve">autonomní </w:t>
      </w:r>
      <w:r w:rsidR="08163013">
        <w:t>formu v duši (</w:t>
      </w:r>
      <w:r w:rsidR="08163013" w:rsidRPr="00702A1F">
        <w:rPr>
          <w:i/>
        </w:rPr>
        <w:t>qua</w:t>
      </w:r>
      <w:r w:rsidR="08163013" w:rsidRPr="00702A1F">
        <w:rPr>
          <w:i/>
          <w:vertAlign w:val="superscript"/>
        </w:rPr>
        <w:t>2</w:t>
      </w:r>
      <w:r w:rsidR="08163013" w:rsidRPr="006C7A0F">
        <w:rPr>
          <w:i/>
        </w:rPr>
        <w:fldChar w:fldCharType="begin"/>
      </w:r>
      <w:r w:rsidR="08163013" w:rsidRPr="006C7A0F">
        <w:instrText xml:space="preserve"> XE "intelekt:modus </w:instrText>
      </w:r>
      <w:r w:rsidR="08163013" w:rsidRPr="006C7A0F">
        <w:rPr>
          <w:i/>
        </w:rPr>
        <w:instrText>qua</w:instrText>
      </w:r>
      <w:r w:rsidR="08163013">
        <w:rPr>
          <w:i/>
          <w:vertAlign w:val="superscript"/>
        </w:rPr>
        <w:instrText>2</w:instrText>
      </w:r>
      <w:r w:rsidR="08163013" w:rsidRPr="006C7A0F">
        <w:instrText xml:space="preserve">" </w:instrText>
      </w:r>
      <w:r w:rsidR="08163013" w:rsidRPr="006C7A0F">
        <w:rPr>
          <w:i/>
        </w:rPr>
        <w:fldChar w:fldCharType="end"/>
      </w:r>
      <w:r w:rsidR="000903D2">
        <w:t>, kap. 4</w:t>
      </w:r>
      <w:r w:rsidR="08163013">
        <w:t>.5.3). Tomášovo pojetí jasně odmítá druhá věta. Intelekt nemůže působit jako samostatná forma vedle duše (</w:t>
      </w:r>
      <w:r w:rsidR="08163013" w:rsidRPr="00EA5E77">
        <w:rPr>
          <w:i/>
        </w:rPr>
        <w:t>non sicut forma</w:t>
      </w:r>
      <w:r w:rsidR="003F7F8E">
        <w:t>). L</w:t>
      </w:r>
      <w:r w:rsidR="08163013">
        <w:t xml:space="preserve">idský intelekt je ve své podstatě čistou poznávací potencí a nemá žádnou vlastní </w:t>
      </w:r>
      <w:r w:rsidR="00623436">
        <w:t>subsistenci danou jako aktuálně působící forma</w:t>
      </w:r>
      <w:r w:rsidR="08163013">
        <w:t xml:space="preserve">. </w:t>
      </w:r>
      <w:r w:rsidR="003D75B3">
        <w:t xml:space="preserve">Duše je jediná forma těla, a ne intelekt. </w:t>
      </w:r>
      <w:r w:rsidR="08163013">
        <w:t xml:space="preserve">Intelekt jako čistou potenci zdůraznil první princip. V této době bohužel tuto </w:t>
      </w:r>
      <w:r w:rsidR="0001003B">
        <w:t xml:space="preserve">zásadní diferenci </w:t>
      </w:r>
      <w:r w:rsidR="08163013">
        <w:t xml:space="preserve">ve výkladu prvního averroismu mezi Sigerem a Akvinským už </w:t>
      </w:r>
      <w:r w:rsidR="005E5107">
        <w:t>znal</w:t>
      </w:r>
      <w:r w:rsidR="08163013" w:rsidRPr="00273106">
        <w:t xml:space="preserve"> </w:t>
      </w:r>
      <w:r w:rsidR="08163013">
        <w:t xml:space="preserve">pravděpodobně </w:t>
      </w:r>
      <w:r w:rsidR="08163013" w:rsidRPr="00273106">
        <w:t xml:space="preserve">jen </w:t>
      </w:r>
      <w:r w:rsidR="08163013">
        <w:t>Ockham, protože byl poslední znalec výkladu CMDA podle Sicilské školy</w:t>
      </w:r>
      <w:r w:rsidR="08163013">
        <w:fldChar w:fldCharType="begin"/>
      </w:r>
      <w:r w:rsidR="08163013">
        <w:instrText xml:space="preserve"> XE "</w:instrText>
      </w:r>
      <w:r w:rsidR="08163013" w:rsidRPr="081663A7">
        <w:instrText>Sicilská škola</w:instrText>
      </w:r>
      <w:r w:rsidR="08163013">
        <w:instrText xml:space="preserve">" </w:instrText>
      </w:r>
      <w:r w:rsidR="08163013">
        <w:fldChar w:fldCharType="end"/>
      </w:r>
      <w:r w:rsidR="08163013">
        <w:t xml:space="preserve">. </w:t>
      </w:r>
      <w:r w:rsidR="08163013" w:rsidRPr="00273106">
        <w:t xml:space="preserve">Druhá část supozice </w:t>
      </w:r>
      <w:r w:rsidR="007449D3">
        <w:t xml:space="preserve">odmítá </w:t>
      </w:r>
      <w:r w:rsidR="00FC136B">
        <w:t xml:space="preserve">neoplatonské </w:t>
      </w:r>
      <w:r w:rsidR="08163013">
        <w:t xml:space="preserve">pojetí </w:t>
      </w:r>
      <w:r w:rsidR="08163013" w:rsidRPr="00273106">
        <w:rPr>
          <w:i/>
        </w:rPr>
        <w:t>copulatio</w:t>
      </w:r>
      <w:r w:rsidR="08163013" w:rsidRPr="00273106">
        <w:t xml:space="preserve"> dané působením vnějšího kosmického intelektu na náš intelekt</w:t>
      </w:r>
      <w:r w:rsidR="00D1746C">
        <w:t xml:space="preserve">. Pokud je intelekt definován jako </w:t>
      </w:r>
      <w:r w:rsidR="00D1746C" w:rsidRPr="00D1746C">
        <w:rPr>
          <w:i/>
        </w:rPr>
        <w:t>tertium genus</w:t>
      </w:r>
      <w:r w:rsidR="00D1746C">
        <w:t xml:space="preserve"> v souladu s CMDA, pak je dán v Sigerově modu „</w:t>
      </w:r>
      <w:r w:rsidR="00D1746C" w:rsidRPr="00310A3D">
        <w:rPr>
          <w:i/>
        </w:rPr>
        <w:t>inmixtus</w:t>
      </w:r>
      <w:r w:rsidR="00D1746C">
        <w:t>“ a „</w:t>
      </w:r>
      <w:r w:rsidR="00D1746C" w:rsidRPr="00310A3D">
        <w:rPr>
          <w:i/>
        </w:rPr>
        <w:t>ab extrinsece</w:t>
      </w:r>
      <w:r w:rsidR="00D1746C">
        <w:t>“ vzhledem tělu</w:t>
      </w:r>
      <w:r w:rsidR="00705298">
        <w:t xml:space="preserve"> jako jeho intelektuál</w:t>
      </w:r>
      <w:r w:rsidR="00D1746C">
        <w:t>ní hybatel</w:t>
      </w:r>
      <w:r w:rsidR="08163013" w:rsidRPr="00273106">
        <w:t xml:space="preserve"> (</w:t>
      </w:r>
      <w:r w:rsidR="08163013" w:rsidRPr="00273106">
        <w:rPr>
          <w:i/>
        </w:rPr>
        <w:t xml:space="preserve">intellectus sit in nobis solum </w:t>
      </w:r>
      <w:r w:rsidR="08163013" w:rsidRPr="00273106">
        <w:rPr>
          <w:i/>
        </w:rPr>
        <w:lastRenderedPageBreak/>
        <w:t>sicut motor corporis</w:t>
      </w:r>
      <w:r w:rsidR="08163013" w:rsidRPr="00273106">
        <w:t xml:space="preserve">). Jak jsme ukázali v předešlých částech, toto pojetí </w:t>
      </w:r>
      <w:r w:rsidR="00BD1AF7">
        <w:t xml:space="preserve">hypostázovaného a odděleného intelektu hájili </w:t>
      </w:r>
      <w:r w:rsidR="08163013" w:rsidRPr="00273106">
        <w:t xml:space="preserve">moderní </w:t>
      </w:r>
      <w:r w:rsidR="08163013">
        <w:t>alexandrovc</w:t>
      </w:r>
      <w:r w:rsidR="00BD1AF7">
        <w:t>i</w:t>
      </w:r>
      <w:r w:rsidR="08163013">
        <w:fldChar w:fldCharType="begin"/>
      </w:r>
      <w:r w:rsidR="08163013">
        <w:instrText xml:space="preserve"> XE "alexandrovci" </w:instrText>
      </w:r>
      <w:r w:rsidR="08163013">
        <w:fldChar w:fldCharType="end"/>
      </w:r>
      <w:r w:rsidR="00BD1AF7">
        <w:t>. Averroes jasně odmítl avicennismus jako zásadní omyl falsafy</w:t>
      </w:r>
      <w:r w:rsidR="08163013" w:rsidRPr="00273106">
        <w:t xml:space="preserve">. </w:t>
      </w:r>
      <w:r w:rsidR="00061F6B">
        <w:t xml:space="preserve">Po něm udělala totéž škola prvního averroismu postavená proti latinské moderně. </w:t>
      </w:r>
      <w:r w:rsidR="08163013">
        <w:t xml:space="preserve">Ockham nemá žádný problém s odmítnutím averroistického numericky jednotného </w:t>
      </w:r>
      <w:r w:rsidR="08163013" w:rsidRPr="083F3D46">
        <w:rPr>
          <w:i/>
        </w:rPr>
        <w:t>intellectutus possibilis</w:t>
      </w:r>
      <w:r w:rsidR="08163013">
        <w:t xml:space="preserve"> pro všechny lidi, protože to je vzhledem k poznání jasný nesmysl (</w:t>
      </w:r>
      <w:r w:rsidR="08163013" w:rsidRPr="083F3D46">
        <w:rPr>
          <w:i/>
        </w:rPr>
        <w:t>impossibile quod idem simul et semel sit sciens et ignorans</w:t>
      </w:r>
      <w:r w:rsidR="08163013">
        <w:t>, ibid, p. 67.25</w:t>
      </w:r>
      <w:r w:rsidR="08163013">
        <w:fldChar w:fldCharType="begin"/>
      </w:r>
      <w:r w:rsidR="08163013">
        <w:instrText xml:space="preserve"> XE "Ockham:</w:instrText>
      </w:r>
      <w:r w:rsidR="08163013" w:rsidRPr="00B75286">
        <w:rPr>
          <w:i/>
        </w:rPr>
        <w:instrText xml:space="preserve"> </w:instrText>
      </w:r>
      <w:r w:rsidR="08163013" w:rsidRPr="00273106">
        <w:rPr>
          <w:i/>
        </w:rPr>
        <w:instrText>Quodlibet</w:instrText>
      </w:r>
      <w:r w:rsidR="08163013">
        <w:instrText xml:space="preserve"> 1.67</w:instrText>
      </w:r>
      <w:r w:rsidR="08163013" w:rsidRPr="00273106">
        <w:instrText>.</w:instrText>
      </w:r>
      <w:r w:rsidR="08163013">
        <w:instrText xml:space="preserve">25 " </w:instrText>
      </w:r>
      <w:r w:rsidR="08163013">
        <w:fldChar w:fldCharType="end"/>
      </w:r>
      <w:r w:rsidR="08163013">
        <w:t xml:space="preserve">). </w:t>
      </w:r>
      <w:r w:rsidR="08163013" w:rsidRPr="00273106">
        <w:t xml:space="preserve">Ockhamova kritika </w:t>
      </w:r>
      <w:r w:rsidR="08163013">
        <w:t xml:space="preserve">zcela pochopitelně </w:t>
      </w:r>
      <w:r w:rsidR="08163013" w:rsidRPr="00273106">
        <w:t>odmít</w:t>
      </w:r>
      <w:r w:rsidR="08163013">
        <w:t xml:space="preserve">á primitivní </w:t>
      </w:r>
      <w:r w:rsidR="08163013" w:rsidRPr="00273106">
        <w:t>dualismu</w:t>
      </w:r>
      <w:r w:rsidR="08163013">
        <w:t>s</w:t>
      </w:r>
      <w:r w:rsidR="08163013" w:rsidRPr="00273106">
        <w:t xml:space="preserve"> duše a těla ja</w:t>
      </w:r>
      <w:r w:rsidR="08163013">
        <w:t>ko dvou samostatných substancí</w:t>
      </w:r>
      <w:r w:rsidR="08163013">
        <w:fldChar w:fldCharType="begin"/>
      </w:r>
      <w:r w:rsidR="08163013">
        <w:instrText xml:space="preserve"> XE "</w:instrText>
      </w:r>
      <w:r w:rsidR="08163013" w:rsidRPr="0089372F">
        <w:instrText>osoba:dualismus</w:instrText>
      </w:r>
      <w:r w:rsidR="08163013">
        <w:instrText xml:space="preserve">" </w:instrText>
      </w:r>
      <w:r w:rsidR="08163013">
        <w:fldChar w:fldCharType="end"/>
      </w:r>
      <w:r w:rsidR="08163013">
        <w:t xml:space="preserve">, protože představují typický averroismus </w:t>
      </w:r>
      <w:r w:rsidR="08163013" w:rsidRPr="007F292E">
        <w:rPr>
          <w:i/>
        </w:rPr>
        <w:t>Modernorum</w:t>
      </w:r>
      <w:r w:rsidR="08163013">
        <w:t xml:space="preserve">. </w:t>
      </w:r>
      <w:r w:rsidR="08163013" w:rsidRPr="00273106">
        <w:t xml:space="preserve">Pro hermeneutiku je klíčová obhajoba nasvícení intelektu od fantasmat, které zprostředkovávají aktualitu poznané reality a přinášejí intelektu smyslové obsahy pro </w:t>
      </w:r>
      <w:r w:rsidR="08163013">
        <w:t xml:space="preserve">intelektuální </w:t>
      </w:r>
      <w:r w:rsidR="08163013" w:rsidRPr="00273106">
        <w:t xml:space="preserve">abstrakci. Citát kritizuje zastánce druhého averroismu za to, že tuto aktualizační funkci poznání přidělili aktivnímu </w:t>
      </w:r>
      <w:r w:rsidR="08163013">
        <w:t xml:space="preserve">oddělenému </w:t>
      </w:r>
      <w:r w:rsidR="08163013" w:rsidRPr="00273106">
        <w:t xml:space="preserve">intelektu, který </w:t>
      </w:r>
      <w:r w:rsidR="08163013">
        <w:t xml:space="preserve">se spojuje </w:t>
      </w:r>
      <w:r w:rsidR="0019189B">
        <w:t>s poznávající duší.</w:t>
      </w:r>
    </w:p>
    <w:p w:rsidR="08163013" w:rsidRPr="00273106" w:rsidRDefault="0019189B" w:rsidP="08163013">
      <w:r>
        <w:tab/>
        <w:t xml:space="preserve">Ockham </w:t>
      </w:r>
      <w:r w:rsidRPr="0019189B">
        <w:t>zásadě od</w:t>
      </w:r>
      <w:r w:rsidR="0045717B">
        <w:t>mít</w:t>
      </w:r>
      <w:r w:rsidRPr="0019189B">
        <w:t>l všechna vysvětlení přirozeného poznání, která nejsou založena na tělesných fanta</w:t>
      </w:r>
      <w:r>
        <w:t>s</w:t>
      </w:r>
      <w:r w:rsidRPr="0019189B">
        <w:t xml:space="preserve">matech. </w:t>
      </w:r>
      <w:r w:rsidR="00975C78">
        <w:t>M</w:t>
      </w:r>
      <w:r w:rsidR="00975C78" w:rsidRPr="00273106">
        <w:t>odernisté</w:t>
      </w:r>
      <w:r w:rsidR="00975C78">
        <w:t xml:space="preserve"> mají a</w:t>
      </w:r>
      <w:r w:rsidR="08163013">
        <w:t xml:space="preserve">vicennovské pojetí </w:t>
      </w:r>
      <w:r w:rsidR="08163013" w:rsidRPr="00273106">
        <w:rPr>
          <w:i/>
        </w:rPr>
        <w:t>copulatio</w:t>
      </w:r>
      <w:r w:rsidR="08163013">
        <w:rPr>
          <w:i/>
        </w:rPr>
        <w:fldChar w:fldCharType="begin"/>
      </w:r>
      <w:r w:rsidR="08163013">
        <w:instrText xml:space="preserve"> XE "intelekt:</w:instrText>
      </w:r>
      <w:r w:rsidR="08163013" w:rsidRPr="008D1E19">
        <w:rPr>
          <w:i/>
        </w:rPr>
        <w:instrText>copulatio</w:instrText>
      </w:r>
      <w:r w:rsidR="08163013">
        <w:instrText xml:space="preserve">" </w:instrText>
      </w:r>
      <w:r w:rsidR="08163013">
        <w:rPr>
          <w:i/>
        </w:rPr>
        <w:fldChar w:fldCharType="end"/>
      </w:r>
      <w:r w:rsidR="00975C78">
        <w:t xml:space="preserve">, které </w:t>
      </w:r>
      <w:r w:rsidR="08163013" w:rsidRPr="00273106">
        <w:t xml:space="preserve">mylně chápou jako </w:t>
      </w:r>
      <w:r w:rsidR="08163013">
        <w:t>Averroes</w:t>
      </w:r>
      <w:r w:rsidR="08163013" w:rsidRPr="00273106">
        <w:t>ovu nauku. Viz výše uve</w:t>
      </w:r>
      <w:r w:rsidR="00975C78">
        <w:t>dené a odmítnuté</w:t>
      </w:r>
      <w:r w:rsidR="08163013">
        <w:t xml:space="preserve"> pojetí </w:t>
      </w:r>
      <w:r w:rsidR="08163013" w:rsidRPr="00273106">
        <w:rPr>
          <w:i/>
        </w:rPr>
        <w:t>copulatio</w:t>
      </w:r>
      <w:r w:rsidR="00975C78">
        <w:t xml:space="preserve"> navázané</w:t>
      </w:r>
      <w:r w:rsidR="08163013" w:rsidRPr="00273106">
        <w:t xml:space="preserve"> na </w:t>
      </w:r>
      <w:r w:rsidR="00975C78">
        <w:t xml:space="preserve">autonomní </w:t>
      </w:r>
      <w:r w:rsidR="08163013" w:rsidRPr="00273106">
        <w:rPr>
          <w:i/>
        </w:rPr>
        <w:t>intellectus agens</w:t>
      </w:r>
      <w:r w:rsidR="08163013">
        <w:rPr>
          <w:i/>
        </w:rPr>
        <w:fldChar w:fldCharType="begin"/>
      </w:r>
      <w:r w:rsidR="08163013">
        <w:instrText xml:space="preserve"> XE "</w:instrText>
      </w:r>
      <w:r w:rsidR="08163013" w:rsidRPr="00490D32">
        <w:rPr>
          <w:i/>
        </w:rPr>
        <w:instrText>intellectus agens:</w:instrText>
      </w:r>
      <w:r w:rsidR="08163013" w:rsidRPr="00461152">
        <w:instrText>Ockham</w:instrText>
      </w:r>
      <w:r w:rsidR="08163013">
        <w:instrText xml:space="preserve">" </w:instrText>
      </w:r>
      <w:r w:rsidR="08163013">
        <w:rPr>
          <w:i/>
        </w:rPr>
        <w:fldChar w:fldCharType="end"/>
      </w:r>
      <w:r w:rsidR="08163013" w:rsidRPr="00273106">
        <w:t xml:space="preserve">. </w:t>
      </w:r>
      <w:r w:rsidR="00602FA7">
        <w:t xml:space="preserve">Jiní </w:t>
      </w:r>
      <w:r w:rsidR="08163013" w:rsidRPr="00273106">
        <w:t xml:space="preserve">averroisté tvrdí, že aktualita </w:t>
      </w:r>
      <w:r w:rsidR="08163013" w:rsidRPr="00273106">
        <w:rPr>
          <w:i/>
        </w:rPr>
        <w:t>intel</w:t>
      </w:r>
      <w:r w:rsidR="08163013">
        <w:rPr>
          <w:i/>
        </w:rPr>
        <w:t>l</w:t>
      </w:r>
      <w:r w:rsidR="08163013" w:rsidRPr="00273106">
        <w:rPr>
          <w:i/>
        </w:rPr>
        <w:t>ectus agens</w:t>
      </w:r>
      <w:r w:rsidR="08163013" w:rsidRPr="00273106">
        <w:t xml:space="preserve"> způsobuje rozmanitost poznávaných obsahů tím, že </w:t>
      </w:r>
      <w:r w:rsidR="08163013">
        <w:t xml:space="preserve">nemateriální činný </w:t>
      </w:r>
      <w:r w:rsidR="08163013" w:rsidRPr="00273106">
        <w:t xml:space="preserve">intelekt </w:t>
      </w:r>
      <w:r w:rsidR="08163013">
        <w:t xml:space="preserve">se přímo spojuje </w:t>
      </w:r>
      <w:r w:rsidR="08163013" w:rsidRPr="00273106">
        <w:t xml:space="preserve">s </w:t>
      </w:r>
      <w:r w:rsidR="08163013">
        <w:t xml:space="preserve">individuálními </w:t>
      </w:r>
      <w:r w:rsidR="08163013" w:rsidRPr="00273106">
        <w:t xml:space="preserve">fantasmaty. </w:t>
      </w:r>
      <w:r w:rsidR="08163013">
        <w:t xml:space="preserve">Ockham upozorňuje modernisty, že v případě </w:t>
      </w:r>
      <w:r w:rsidR="00D070B6">
        <w:t xml:space="preserve">autonomního </w:t>
      </w:r>
      <w:r w:rsidR="08163013">
        <w:t xml:space="preserve">intelektu by toto individuální poznání nebylo možné. Oddělený </w:t>
      </w:r>
      <w:r w:rsidR="08163013" w:rsidRPr="088B7600">
        <w:rPr>
          <w:i/>
        </w:rPr>
        <w:t>intellectus agens</w:t>
      </w:r>
      <w:r w:rsidR="08163013">
        <w:t xml:space="preserve"> je aktuá</w:t>
      </w:r>
      <w:r w:rsidR="00D5164A">
        <w:t>lně daná nemateriální substance</w:t>
      </w:r>
      <w:r w:rsidR="08163013">
        <w:t xml:space="preserve"> a takto kauzálně působí v rámci </w:t>
      </w:r>
      <w:r w:rsidR="00D070B6">
        <w:t>teze „</w:t>
      </w:r>
      <w:r w:rsidR="08163013" w:rsidRPr="08CC2D6C">
        <w:rPr>
          <w:i/>
        </w:rPr>
        <w:t>operatio sequitur esse</w:t>
      </w:r>
      <w:r w:rsidR="00D070B6">
        <w:t>“</w:t>
      </w:r>
      <w:r w:rsidR="08163013">
        <w:t xml:space="preserve">. </w:t>
      </w:r>
      <w:r w:rsidR="00683670">
        <w:t xml:space="preserve">Podle jedinečného bytí substančního kosmického intelektu v modu </w:t>
      </w:r>
      <w:r w:rsidR="00D070B6">
        <w:t>„</w:t>
      </w:r>
      <w:r w:rsidR="00683670" w:rsidRPr="00273106">
        <w:rPr>
          <w:i/>
        </w:rPr>
        <w:t>hoc aliquid</w:t>
      </w:r>
      <w:r w:rsidR="00D070B6">
        <w:t>“</w:t>
      </w:r>
      <w:r w:rsidR="00683670">
        <w:t xml:space="preserve"> je dána i jeho kauzalita. </w:t>
      </w:r>
      <w:r w:rsidR="08163013">
        <w:t xml:space="preserve">Pak by se oddělený činný intelekt spojoval s myšlením pokaždé stejným způsobem daným na základě své jedinečné bytnosti. </w:t>
      </w:r>
      <w:r w:rsidR="00D070B6" w:rsidRPr="00D070B6">
        <w:t>V návaznosti na existenciální výklad CMDA a Sigera tvrdí</w:t>
      </w:r>
      <w:r w:rsidR="00D070B6">
        <w:t xml:space="preserve"> Ockham</w:t>
      </w:r>
      <w:r w:rsidR="00D070B6" w:rsidRPr="00D070B6">
        <w:t xml:space="preserve">, že intelektuální poznání je v naší moci. Autonomní </w:t>
      </w:r>
      <w:r w:rsidR="00D070B6" w:rsidRPr="00D070B6">
        <w:rPr>
          <w:i/>
        </w:rPr>
        <w:t>intellectus agens</w:t>
      </w:r>
      <w:r w:rsidR="00D070B6" w:rsidRPr="00D070B6">
        <w:t xml:space="preserve"> (</w:t>
      </w:r>
      <w:r w:rsidR="00D070B6">
        <w:t xml:space="preserve">i </w:t>
      </w:r>
      <w:r w:rsidR="00D070B6" w:rsidRPr="00D070B6">
        <w:t xml:space="preserve">v podobě Akvinského </w:t>
      </w:r>
      <w:r w:rsidR="00D070B6" w:rsidRPr="00D070B6">
        <w:rPr>
          <w:i/>
        </w:rPr>
        <w:t>qua</w:t>
      </w:r>
      <w:r w:rsidR="00D070B6" w:rsidRPr="00D070B6">
        <w:rPr>
          <w:i/>
          <w:vertAlign w:val="superscript"/>
        </w:rPr>
        <w:t>2</w:t>
      </w:r>
      <w:r w:rsidR="00D070B6" w:rsidRPr="00D070B6">
        <w:t xml:space="preserve">) nemůže </w:t>
      </w:r>
      <w:r w:rsidR="00EE0F97">
        <w:t xml:space="preserve">generovat </w:t>
      </w:r>
      <w:r w:rsidR="00D070B6" w:rsidRPr="00D070B6">
        <w:t xml:space="preserve">akty myšlení jako </w:t>
      </w:r>
      <w:r w:rsidR="00EE0F97">
        <w:t>jejich subjekt</w:t>
      </w:r>
      <w:r w:rsidR="00D070B6" w:rsidRPr="00D070B6">
        <w:t>, protože by kauzálně určoval akt inte</w:t>
      </w:r>
      <w:r w:rsidR="00EE0F97">
        <w:t xml:space="preserve">lektu jako svůj vlastní účinek. </w:t>
      </w:r>
      <w:r w:rsidR="08163013">
        <w:t xml:space="preserve">Ockham hájí linii Sigera v modu </w:t>
      </w:r>
      <w:r w:rsidR="00EE0F97">
        <w:t>„</w:t>
      </w:r>
      <w:r w:rsidR="08163013" w:rsidRPr="085D1726">
        <w:rPr>
          <w:i/>
        </w:rPr>
        <w:t>subiective</w:t>
      </w:r>
      <w:r w:rsidR="08163013">
        <w:t>‒</w:t>
      </w:r>
      <w:r w:rsidR="08163013" w:rsidRPr="085D1726">
        <w:rPr>
          <w:i/>
        </w:rPr>
        <w:t>obiective</w:t>
      </w:r>
      <w:r w:rsidR="00EE0F97">
        <w:t>“</w:t>
      </w:r>
      <w:r w:rsidR="08163013">
        <w:rPr>
          <w:i/>
        </w:rPr>
        <w:fldChar w:fldCharType="begin"/>
      </w:r>
      <w:r w:rsidR="08163013">
        <w:instrText xml:space="preserve"> XE "</w:instrText>
      </w:r>
      <w:r w:rsidR="08163013" w:rsidRPr="006841AD">
        <w:instrText>intelekt:</w:instrText>
      </w:r>
      <w:r w:rsidR="08163013" w:rsidRPr="00863D73">
        <w:rPr>
          <w:i/>
        </w:rPr>
        <w:instrText>subiective</w:instrText>
      </w:r>
      <w:r w:rsidR="08163013" w:rsidRPr="006841AD">
        <w:instrText>/</w:instrText>
      </w:r>
      <w:r w:rsidR="08163013" w:rsidRPr="00863D73">
        <w:rPr>
          <w:i/>
        </w:rPr>
        <w:instrText>obiective</w:instrText>
      </w:r>
      <w:r w:rsidR="08163013">
        <w:instrText xml:space="preserve">" </w:instrText>
      </w:r>
      <w:r w:rsidR="08163013">
        <w:rPr>
          <w:i/>
        </w:rPr>
        <w:fldChar w:fldCharType="end"/>
      </w:r>
      <w:r w:rsidR="08163013">
        <w:t xml:space="preserve">, protože jako jediný filosof po Averroesovi </w:t>
      </w:r>
      <w:r w:rsidR="005D77B9">
        <w:t xml:space="preserve">a Sigerovi </w:t>
      </w:r>
      <w:r w:rsidR="08163013">
        <w:t>plně zdůvodnil jednotu poznání v modu ipseity osoby. Intelektuální poznání je výkonem existující osoby.</w:t>
      </w:r>
    </w:p>
    <w:p w:rsidR="08163013" w:rsidRPr="00CD5FCF" w:rsidRDefault="08163013" w:rsidP="08163013">
      <w:pPr>
        <w:pStyle w:val="Citace"/>
        <w:rPr>
          <w:noProof/>
          <w:lang w:val="cs-CZ"/>
        </w:rPr>
      </w:pPr>
      <w:r w:rsidRPr="00273106">
        <w:rPr>
          <w:noProof/>
          <w:lang w:val="cs-CZ"/>
        </w:rPr>
        <w:lastRenderedPageBreak/>
        <w:t>„</w:t>
      </w:r>
      <w:r>
        <w:rPr>
          <w:noProof/>
          <w:lang w:val="cs-CZ"/>
        </w:rPr>
        <w:t xml:space="preserve">Jestliže tvrdíš, že </w:t>
      </w:r>
      <w:r w:rsidR="00C471B8">
        <w:rPr>
          <w:noProof/>
          <w:lang w:val="cs-CZ"/>
        </w:rPr>
        <w:t xml:space="preserve">individualizovaný </w:t>
      </w:r>
      <w:r>
        <w:rPr>
          <w:noProof/>
          <w:lang w:val="cs-CZ"/>
        </w:rPr>
        <w:t xml:space="preserve">úkon myšlení je možné držet </w:t>
      </w:r>
      <w:r w:rsidR="00FF4FE7">
        <w:rPr>
          <w:noProof/>
          <w:lang w:val="cs-CZ"/>
        </w:rPr>
        <w:t xml:space="preserve">odlišným </w:t>
      </w:r>
      <w:r>
        <w:rPr>
          <w:noProof/>
          <w:lang w:val="cs-CZ"/>
        </w:rPr>
        <w:t xml:space="preserve">aktem spojení intelektu s fantasmaty, je to mylné. </w:t>
      </w:r>
      <w:r w:rsidR="004E0F15" w:rsidRPr="004E0F15">
        <w:rPr>
          <w:noProof/>
          <w:lang w:val="cs-CZ"/>
        </w:rPr>
        <w:t>V případě různých spojení s intelektem by bylo nemožné, aby subjekt těchto spojení myslel opačně. Protože však jsou fantasmata účinnou příčinou poznání pro poznané obsahy v intelektu, jsou opačné akty myšlení obsaženy v intelektu subjektivním způsobem</w:t>
      </w:r>
      <w:r w:rsidR="00576951">
        <w:rPr>
          <w:noProof/>
          <w:lang w:val="cs-CZ"/>
        </w:rPr>
        <w:t xml:space="preserve"> (</w:t>
      </w:r>
      <w:r w:rsidR="00576951" w:rsidRPr="00576951">
        <w:rPr>
          <w:i/>
          <w:noProof/>
        </w:rPr>
        <w:t>sunt in intellectu subiective</w:t>
      </w:r>
      <w:r w:rsidR="00576951">
        <w:rPr>
          <w:noProof/>
          <w:lang w:val="cs-CZ"/>
        </w:rPr>
        <w:t>)</w:t>
      </w:r>
      <w:r>
        <w:rPr>
          <w:noProof/>
          <w:lang w:val="cs-CZ"/>
        </w:rPr>
        <w:t>.“ </w:t>
      </w:r>
      <w:r>
        <w:rPr>
          <w:rStyle w:val="Znakapoznpodarou"/>
        </w:rPr>
        <w:footnoteReference w:id="479"/>
      </w:r>
    </w:p>
    <w:p w:rsidR="00B569D2" w:rsidRDefault="08163013" w:rsidP="08163013">
      <w:r w:rsidRPr="00273106">
        <w:t xml:space="preserve">Citát upozorňuje moderní </w:t>
      </w:r>
      <w:r>
        <w:t>alexandrovc</w:t>
      </w:r>
      <w:r w:rsidRPr="00273106">
        <w:t>e typu Bonaventury, Kilwardbyho a Scota na jejich zásadní omyl</w:t>
      </w:r>
      <w:r>
        <w:t xml:space="preserve"> daný nasvícením poznání zezadu. Moderní intelekt jako substance </w:t>
      </w:r>
      <w:r w:rsidR="00A1107D">
        <w:t xml:space="preserve">nebo forma </w:t>
      </w:r>
      <w:r w:rsidRPr="00273106">
        <w:t xml:space="preserve">se spojuje ze své imanentní aktuality s fantasmaty </w:t>
      </w:r>
      <w:r>
        <w:t xml:space="preserve">individuální osoby </w:t>
      </w:r>
      <w:r w:rsidRPr="00273106">
        <w:t>(</w:t>
      </w:r>
      <w:r w:rsidRPr="00273106">
        <w:rPr>
          <w:i/>
        </w:rPr>
        <w:t>propter diversam copulationem intellectus cum phantasmatibus</w:t>
      </w:r>
      <w:r w:rsidRPr="00273106">
        <w:t xml:space="preserve">). </w:t>
      </w:r>
      <w:r>
        <w:t xml:space="preserve">Stejnou teorii Akvinský v modu </w:t>
      </w:r>
      <w:r w:rsidRPr="087D1495">
        <w:rPr>
          <w:i/>
        </w:rPr>
        <w:t>continuatio</w:t>
      </w:r>
      <w:r>
        <w:t xml:space="preserve"> přidal averroistickému oddělenému </w:t>
      </w:r>
      <w:r w:rsidRPr="087D1495">
        <w:rPr>
          <w:i/>
        </w:rPr>
        <w:t>intellectus possibilis</w:t>
      </w:r>
      <w:r>
        <w:t xml:space="preserve">. </w:t>
      </w:r>
      <w:r w:rsidRPr="00273106">
        <w:t xml:space="preserve">To je ovšem z hlediska aristotelismu jasný nesmysl. Intelekt není </w:t>
      </w:r>
      <w:r w:rsidRPr="00273106">
        <w:rPr>
          <w:i/>
        </w:rPr>
        <w:t>tertium ens</w:t>
      </w:r>
      <w:r>
        <w:rPr>
          <w:i/>
        </w:rPr>
        <w:fldChar w:fldCharType="begin"/>
      </w:r>
      <w:r>
        <w:instrText xml:space="preserve"> XE "</w:instrText>
      </w:r>
      <w:r w:rsidRPr="002F10B4">
        <w:rPr>
          <w:rStyle w:val="Zvraznn"/>
        </w:rPr>
        <w:instrText>tertium ens</w:instrText>
      </w:r>
      <w:r>
        <w:rPr>
          <w:rStyle w:val="Zvraznn"/>
          <w:i w:val="0"/>
        </w:rPr>
        <w:instrText>:kritika Ockhama</w:instrText>
      </w:r>
      <w:r>
        <w:instrText xml:space="preserve">" </w:instrText>
      </w:r>
      <w:r>
        <w:rPr>
          <w:i/>
        </w:rPr>
        <w:fldChar w:fldCharType="end"/>
      </w:r>
      <w:r w:rsidRPr="00273106">
        <w:t xml:space="preserve"> ve smyslu aktuální kvazi-substance (</w:t>
      </w:r>
      <w:r w:rsidRPr="00273106">
        <w:rPr>
          <w:i/>
        </w:rPr>
        <w:t>in eodem subiecto primo</w:t>
      </w:r>
      <w:r>
        <w:t xml:space="preserve">), který by sám od sebe způsoboval poznání tím, že iniciuje spojení s fantasmaty. Citát opět sleduje linii Sigera a jeho školy. Znalci Komentátora chápou výkon odděleného nemateriálního intelektu jako čisté potence v modu </w:t>
      </w:r>
      <w:r w:rsidRPr="08967A41">
        <w:rPr>
          <w:i/>
        </w:rPr>
        <w:t>subiective</w:t>
      </w:r>
      <w:r>
        <w:t xml:space="preserve"> a intelekt vládne tělem v modu </w:t>
      </w:r>
      <w:r w:rsidRPr="08DF5DC6">
        <w:rPr>
          <w:i/>
        </w:rPr>
        <w:t>obiective</w:t>
      </w:r>
      <w:r>
        <w:t>, pro</w:t>
      </w:r>
      <w:r w:rsidR="003D6555">
        <w:t>tože nemá smyslový orgán (kap. 4</w:t>
      </w:r>
      <w:r>
        <w:t xml:space="preserve">.4.2). </w:t>
      </w:r>
      <w:r w:rsidR="00D20F09" w:rsidRPr="00D20F09">
        <w:t xml:space="preserve">Smyslové představy vykonávají účinnou kauzalitu; hylemorfní osoba je jediným subjektem jako tělesný nositel intelektuálních schopností. </w:t>
      </w:r>
      <w:r>
        <w:t xml:space="preserve">Druhý averroimus a Akvinský v prvním averroismu mají jako subjekt poznání hypostázovaný intelekt, který tvoří ve druhém averroismu substanci třetího druhu a u Akvinského </w:t>
      </w:r>
      <w:r w:rsidR="00D5164A">
        <w:t xml:space="preserve">jde o </w:t>
      </w:r>
      <w:r>
        <w:t>formu třetího druhu</w:t>
      </w:r>
      <w:r w:rsidRPr="006C7A0F">
        <w:rPr>
          <w:i/>
        </w:rPr>
        <w:fldChar w:fldCharType="begin"/>
      </w:r>
      <w:r w:rsidRPr="006C7A0F">
        <w:instrText xml:space="preserve"> XE "intelekt:modus </w:instrText>
      </w:r>
      <w:r w:rsidRPr="006C7A0F">
        <w:rPr>
          <w:i/>
        </w:rPr>
        <w:instrText>qua</w:instrText>
      </w:r>
      <w:r>
        <w:rPr>
          <w:i/>
          <w:vertAlign w:val="superscript"/>
        </w:rPr>
        <w:instrText>2</w:instrText>
      </w:r>
      <w:r w:rsidRPr="006C7A0F">
        <w:instrText xml:space="preserve">" </w:instrText>
      </w:r>
      <w:r w:rsidRPr="006C7A0F">
        <w:rPr>
          <w:i/>
        </w:rPr>
        <w:fldChar w:fldCharType="end"/>
      </w:r>
      <w:r>
        <w:t xml:space="preserve">. Jedině Siger má intelekt jako pouhou potenci, proto je jeho akt poznání plně </w:t>
      </w:r>
      <w:r w:rsidR="006C554A">
        <w:t xml:space="preserve">personalizovaný </w:t>
      </w:r>
      <w:r>
        <w:t xml:space="preserve">a osoba </w:t>
      </w:r>
      <w:r w:rsidR="006C554A">
        <w:t xml:space="preserve">je </w:t>
      </w:r>
      <w:r>
        <w:t>plně jednotná. Ockham marně vysvět</w:t>
      </w:r>
      <w:r w:rsidR="00257D6E">
        <w:t xml:space="preserve">luje oxfordským semiaverroistům, </w:t>
      </w:r>
      <w:r w:rsidR="003D6555">
        <w:t xml:space="preserve">jako byli tomisté a scotisté, </w:t>
      </w:r>
      <w:r>
        <w:t>že substance třetího druhu by nesla poznání sama ze sebe</w:t>
      </w:r>
      <w:r w:rsidR="00257D6E">
        <w:t xml:space="preserve">. Pak by </w:t>
      </w:r>
      <w:r>
        <w:t>př</w:t>
      </w:r>
      <w:r w:rsidR="00257D6E">
        <w:t xml:space="preserve">estala </w:t>
      </w:r>
      <w:r>
        <w:t xml:space="preserve">platit Sigerova teze </w:t>
      </w:r>
      <w:r w:rsidR="006E3CCD">
        <w:t>„</w:t>
      </w:r>
      <w:r>
        <w:rPr>
          <w:i/>
        </w:rPr>
        <w:t>homo ipse intelligit</w:t>
      </w:r>
      <w:r w:rsidR="006E3CCD">
        <w:t>“</w:t>
      </w:r>
      <w:r>
        <w:rPr>
          <w:i/>
        </w:rPr>
        <w:fldChar w:fldCharType="begin"/>
      </w:r>
      <w:r>
        <w:instrText xml:space="preserve"> XE "</w:instrText>
      </w:r>
      <w:r w:rsidRPr="00B935DC">
        <w:rPr>
          <w:rStyle w:val="Zkladntext350"/>
        </w:rPr>
        <w:instrText>osoba</w:instrText>
      </w:r>
      <w:r w:rsidRPr="00B935DC">
        <w:rPr>
          <w:rStyle w:val="Zkladntext350"/>
          <w:i/>
        </w:rPr>
        <w:instrText>:</w:instrText>
      </w:r>
      <w:r>
        <w:rPr>
          <w:rStyle w:val="Zkladntext350"/>
          <w:i/>
        </w:rPr>
        <w:instrText>homo ipse intelligit</w:instrText>
      </w:r>
      <w:r>
        <w:instrText xml:space="preserve">" </w:instrText>
      </w:r>
      <w:r>
        <w:rPr>
          <w:i/>
        </w:rPr>
        <w:fldChar w:fldCharType="end"/>
      </w:r>
      <w:r>
        <w:t xml:space="preserve">. </w:t>
      </w:r>
      <w:r w:rsidR="009030C4">
        <w:t>Moderní d</w:t>
      </w:r>
      <w:r w:rsidRPr="00273106">
        <w:t xml:space="preserve">uše by nemohla být potenciálně vším podle </w:t>
      </w:r>
      <w:r>
        <w:rPr>
          <w:i/>
        </w:rPr>
        <w:t>De anima</w:t>
      </w:r>
      <w:r w:rsidR="009030C4">
        <w:t>. K</w:t>
      </w:r>
      <w:r w:rsidRPr="00273106">
        <w:t xml:space="preserve">aždá substance už má </w:t>
      </w:r>
      <w:r>
        <w:t xml:space="preserve">své aktuální určení tím, že je </w:t>
      </w:r>
      <w:r w:rsidR="006E3CCD">
        <w:t>„</w:t>
      </w:r>
      <w:r w:rsidRPr="00273106">
        <w:rPr>
          <w:i/>
        </w:rPr>
        <w:t>hoc aliquid</w:t>
      </w:r>
      <w:r w:rsidR="006E3CCD">
        <w:t>“</w:t>
      </w:r>
      <w:r w:rsidRPr="00273106">
        <w:t xml:space="preserve">. Další věta připomíná modernistům jejich základní omyl. Myšlení dané skrze </w:t>
      </w:r>
      <w:r w:rsidRPr="00273106">
        <w:rPr>
          <w:i/>
        </w:rPr>
        <w:t>intellectus possibilis</w:t>
      </w:r>
      <w:r>
        <w:rPr>
          <w:i/>
        </w:rPr>
        <w:fldChar w:fldCharType="begin"/>
      </w:r>
      <w:r>
        <w:instrText xml:space="preserve"> XE "</w:instrText>
      </w:r>
      <w:r w:rsidRPr="00770D02">
        <w:rPr>
          <w:i/>
        </w:rPr>
        <w:instrText>intellectus possibilis</w:instrText>
      </w:r>
      <w:r>
        <w:instrText xml:space="preserve">:Ockham" </w:instrText>
      </w:r>
      <w:r>
        <w:rPr>
          <w:i/>
        </w:rPr>
        <w:fldChar w:fldCharType="end"/>
      </w:r>
      <w:r w:rsidRPr="00273106">
        <w:t xml:space="preserve"> nemá potřebnou aktualitu k vlastní změně</w:t>
      </w:r>
      <w:r>
        <w:t xml:space="preserve">. Kauzální </w:t>
      </w:r>
      <w:r w:rsidRPr="00273106">
        <w:t xml:space="preserve">determinace </w:t>
      </w:r>
      <w:r>
        <w:t xml:space="preserve">intelektu </w:t>
      </w:r>
      <w:r w:rsidRPr="00273106">
        <w:t xml:space="preserve">jde </w:t>
      </w:r>
      <w:r>
        <w:t xml:space="preserve">pouze a jedině </w:t>
      </w:r>
      <w:r w:rsidRPr="00273106">
        <w:t>z fantasmat (</w:t>
      </w:r>
      <w:r w:rsidRPr="00273106">
        <w:rPr>
          <w:i/>
        </w:rPr>
        <w:t>phantasmata non se habent nisi effective ad illa quae recipiuntur in intellectu</w:t>
      </w:r>
      <w:r w:rsidRPr="00273106">
        <w:t xml:space="preserve">). </w:t>
      </w:r>
      <w:r>
        <w:t xml:space="preserve">Proto Averroes držel Themistiův pojem </w:t>
      </w:r>
      <w:r w:rsidRPr="082673A9">
        <w:rPr>
          <w:i/>
        </w:rPr>
        <w:lastRenderedPageBreak/>
        <w:t>intellectus materialis</w:t>
      </w:r>
      <w:r>
        <w:t xml:space="preserve"> jako receptivní složky vzhledem k již aktualizovaným smyslům, aby udržel individuální výkon poznání. Kdy byl intelekt daný jako substance, pak by podle </w:t>
      </w:r>
      <w:r w:rsidRPr="00273106">
        <w:t xml:space="preserve">Ockhama </w:t>
      </w:r>
      <w:r>
        <w:t>sám ze sebe nemohl</w:t>
      </w:r>
      <w:r w:rsidRPr="00273106">
        <w:t xml:space="preserve"> poznávat či nepoznávat, nebo změnit povahu poznaného ve smyslu střídání akcidentálních opozic (sedící, ležící Sokrates) na jednom substančním, a tím i aktuálním základě. </w:t>
      </w:r>
      <w:r>
        <w:t xml:space="preserve">Substance je dána </w:t>
      </w:r>
      <w:r w:rsidRPr="00233D16">
        <w:rPr>
          <w:i/>
        </w:rPr>
        <w:t>simpliciter</w:t>
      </w:r>
      <w:r>
        <w:t xml:space="preserve"> a </w:t>
      </w:r>
      <w:r w:rsidRPr="00233D16">
        <w:rPr>
          <w:i/>
        </w:rPr>
        <w:t>per se</w:t>
      </w:r>
      <w:r>
        <w:t xml:space="preserve">, proto je tím, čím je, a nemůže být sama od sebe něčím jiným. </w:t>
      </w:r>
      <w:r w:rsidR="0040658D">
        <w:t xml:space="preserve">Intelekt definovaný tímto modernistickým způsobem by byl čistý nesmysl. </w:t>
      </w:r>
      <w:r>
        <w:t xml:space="preserve">Změna v poznání se vždy děje skrze účinnou kauzalitu smyslových </w:t>
      </w:r>
      <w:r w:rsidR="00962190">
        <w:rPr>
          <w:i/>
        </w:rPr>
        <w:t>species</w:t>
      </w:r>
      <w:r>
        <w:t xml:space="preserve">. </w:t>
      </w:r>
      <w:r w:rsidR="00D64327" w:rsidRPr="00D64327">
        <w:t xml:space="preserve">Poznání měníme proto, že intelekt </w:t>
      </w:r>
      <w:r w:rsidR="00D64327">
        <w:t xml:space="preserve">je potence </w:t>
      </w:r>
      <w:r w:rsidR="00D64327" w:rsidRPr="00D64327">
        <w:t>duše</w:t>
      </w:r>
      <w:r w:rsidR="00D64327">
        <w:t>. J</w:t>
      </w:r>
      <w:r w:rsidR="00D64327" w:rsidRPr="00D64327">
        <w:t xml:space="preserve">e dán v modu </w:t>
      </w:r>
      <w:r w:rsidR="00D64327" w:rsidRPr="00D64327">
        <w:rPr>
          <w:i/>
        </w:rPr>
        <w:t>subiective</w:t>
      </w:r>
      <w:r w:rsidR="00D64327" w:rsidRPr="00D64327">
        <w:t xml:space="preserve">, pokud jde o vlastní akt nehmotného myšlení, a </w:t>
      </w:r>
      <w:r w:rsidR="00D64327" w:rsidRPr="00D64327">
        <w:rPr>
          <w:i/>
        </w:rPr>
        <w:t>obiective</w:t>
      </w:r>
      <w:r w:rsidR="00D64327" w:rsidRPr="00D64327">
        <w:t xml:space="preserve">, pokud jde o vnější (ale aktualizující) vztah k hmotnému tělu. </w:t>
      </w:r>
      <w:r w:rsidR="00D64327">
        <w:t xml:space="preserve">Tím je zajištěna pravda jako adekvace. Pak </w:t>
      </w:r>
      <w:r w:rsidR="00D64327" w:rsidRPr="00286C0A">
        <w:rPr>
          <w:i/>
        </w:rPr>
        <w:t xml:space="preserve">intellectus </w:t>
      </w:r>
      <w:r w:rsidR="00D64327">
        <w:rPr>
          <w:i/>
        </w:rPr>
        <w:t>possibilis</w:t>
      </w:r>
      <w:r w:rsidR="00D64327">
        <w:t xml:space="preserve"> přijímá a</w:t>
      </w:r>
      <w:r>
        <w:t xml:space="preserve">ktuální </w:t>
      </w:r>
      <w:r w:rsidR="00962190">
        <w:rPr>
          <w:i/>
        </w:rPr>
        <w:t>species</w:t>
      </w:r>
      <w:r w:rsidRPr="00286C0A">
        <w:rPr>
          <w:i/>
        </w:rPr>
        <w:t xml:space="preserve"> sensibilis</w:t>
      </w:r>
      <w:r>
        <w:rPr>
          <w:i/>
        </w:rPr>
        <w:fldChar w:fldCharType="begin"/>
      </w:r>
      <w:r>
        <w:instrText xml:space="preserve"> XE "</w:instrText>
      </w:r>
      <w:r w:rsidRPr="00374FA1">
        <w:rPr>
          <w:i/>
        </w:rPr>
        <w:instrText>species sensibilis</w:instrText>
      </w:r>
      <w:r>
        <w:instrText xml:space="preserve">" </w:instrText>
      </w:r>
      <w:r>
        <w:rPr>
          <w:i/>
        </w:rPr>
        <w:fldChar w:fldCharType="end"/>
      </w:r>
      <w:r>
        <w:t xml:space="preserve"> od smyslového poznání, které chápe ve složené duši v modu </w:t>
      </w:r>
      <w:r w:rsidR="00D64327">
        <w:t>„</w:t>
      </w:r>
      <w:r w:rsidRPr="08231E68">
        <w:rPr>
          <w:i/>
        </w:rPr>
        <w:t>inmixtus</w:t>
      </w:r>
      <w:r w:rsidR="00D64327">
        <w:t>“</w:t>
      </w:r>
      <w:r>
        <w:t xml:space="preserve"> a tedy </w:t>
      </w:r>
      <w:r w:rsidR="00D64327">
        <w:t>„</w:t>
      </w:r>
      <w:r w:rsidRPr="088556C4">
        <w:rPr>
          <w:i/>
        </w:rPr>
        <w:t>obiective</w:t>
      </w:r>
      <w:r w:rsidR="00D64327">
        <w:t>“</w:t>
      </w:r>
      <w:r>
        <w:t>. Pro plnost receptivity platí, že u</w:t>
      </w:r>
      <w:r w:rsidRPr="00273106">
        <w:t xml:space="preserve">niverzalita intelektu je dána pouze </w:t>
      </w:r>
      <w:r>
        <w:t>subjektivně-</w:t>
      </w:r>
      <w:r w:rsidRPr="00273106">
        <w:t>potenciálně</w:t>
      </w:r>
      <w:r>
        <w:t xml:space="preserve"> a pouze vzhledem k působení aktuálních fantasmat. P</w:t>
      </w:r>
      <w:r w:rsidRPr="00273106">
        <w:t xml:space="preserve">roto </w:t>
      </w:r>
      <w:r>
        <w:t xml:space="preserve">intelekt </w:t>
      </w:r>
      <w:r w:rsidRPr="00273106">
        <w:t xml:space="preserve">nemůže </w:t>
      </w:r>
      <w:r w:rsidRPr="08E13D2A">
        <w:rPr>
          <w:i/>
        </w:rPr>
        <w:t>per se</w:t>
      </w:r>
      <w:r>
        <w:t xml:space="preserve"> </w:t>
      </w:r>
      <w:r w:rsidRPr="00273106">
        <w:t>způsobit reálnou změnu sám v sobě. Pokud by platil opak, pak by nastoupila extrémní verze Anselmovy pravdy-</w:t>
      </w:r>
      <w:r w:rsidRPr="00273106">
        <w:rPr>
          <w:i/>
        </w:rPr>
        <w:t>rectitudo</w:t>
      </w:r>
      <w:r w:rsidRPr="00273106">
        <w:t xml:space="preserve">, kdy intelekt daný substančně (Descartova </w:t>
      </w:r>
      <w:r w:rsidRPr="00273106">
        <w:rPr>
          <w:i/>
        </w:rPr>
        <w:t>res cogitans</w:t>
      </w:r>
      <w:r>
        <w:rPr>
          <w:i/>
        </w:rPr>
        <w:fldChar w:fldCharType="begin"/>
      </w:r>
      <w:r>
        <w:instrText xml:space="preserve"> XE "</w:instrText>
      </w:r>
      <w:r w:rsidRPr="003F49D8">
        <w:rPr>
          <w:i/>
        </w:rPr>
        <w:instrText>res cogitans</w:instrText>
      </w:r>
      <w:r>
        <w:instrText xml:space="preserve">" </w:instrText>
      </w:r>
      <w:r>
        <w:rPr>
          <w:i/>
        </w:rPr>
        <w:fldChar w:fldCharType="end"/>
      </w:r>
      <w:r w:rsidRPr="00273106">
        <w:t xml:space="preserve">) porovnává vlastní či přijaté intelligibilní formy jako protikladná akcidentální určení své vlastní substance. Takový </w:t>
      </w:r>
      <w:r w:rsidR="00086377">
        <w:t>„</w:t>
      </w:r>
      <w:r w:rsidRPr="00273106">
        <w:t>intelekt</w:t>
      </w:r>
      <w:r w:rsidR="00086377">
        <w:t>–</w:t>
      </w:r>
      <w:r>
        <w:t>substance</w:t>
      </w:r>
      <w:r w:rsidR="00086377">
        <w:t>“</w:t>
      </w:r>
      <w:r w:rsidRPr="00273106">
        <w:t xml:space="preserve"> </w:t>
      </w:r>
      <w:r>
        <w:t xml:space="preserve">reálně </w:t>
      </w:r>
      <w:r w:rsidRPr="00273106">
        <w:t>neexistuje a představoval by nesmyslné a</w:t>
      </w:r>
      <w:r>
        <w:t xml:space="preserve"> zbytečné jsoucno třetího druhu, protože by nepoznával nic reálného. Myslíme každý sám v sobě, a ne proto, že se s námi spojuje nějaká intelektuální forma. </w:t>
      </w:r>
      <w:r w:rsidRPr="00273106">
        <w:t xml:space="preserve">Pravda jako adekvace je možná proto, že poznávající potence </w:t>
      </w:r>
      <w:r>
        <w:t xml:space="preserve">intelektu je </w:t>
      </w:r>
      <w:r w:rsidRPr="00273106">
        <w:t>aktualiz</w:t>
      </w:r>
      <w:r>
        <w:t>ována</w:t>
      </w:r>
      <w:r w:rsidRPr="00273106">
        <w:t xml:space="preserve"> od smyslových fantasmat (</w:t>
      </w:r>
      <w:r w:rsidRPr="00273106">
        <w:rPr>
          <w:i/>
        </w:rPr>
        <w:t>ad illa quae recipiuntur in intellectu</w:t>
      </w:r>
      <w:r w:rsidRPr="00273106">
        <w:t xml:space="preserve">). Aktualita z fantasmat primárně </w:t>
      </w:r>
      <w:r>
        <w:t xml:space="preserve">určuje </w:t>
      </w:r>
      <w:r w:rsidR="00D5164A">
        <w:t xml:space="preserve">čistě </w:t>
      </w:r>
      <w:r w:rsidR="00D5164A" w:rsidRPr="00273106">
        <w:t>pasivní složku intelektu</w:t>
      </w:r>
      <w:r w:rsidR="00D5164A">
        <w:t xml:space="preserve"> v modu nasvícení zepředu</w:t>
      </w:r>
      <w:r w:rsidRPr="00273106">
        <w:t>. Takto dané působení reality na intelekt (</w:t>
      </w:r>
      <w:r w:rsidRPr="00273106">
        <w:rPr>
          <w:i/>
        </w:rPr>
        <w:t>ad illa</w:t>
      </w:r>
      <w:r w:rsidRPr="00273106">
        <w:t>) má zásadní charakter kauzálně dané efektivity (</w:t>
      </w:r>
      <w:r w:rsidRPr="00273106">
        <w:rPr>
          <w:i/>
        </w:rPr>
        <w:t>phantasmata non se habent nisi effective</w:t>
      </w:r>
      <w:r w:rsidRPr="00273106">
        <w:t xml:space="preserve">). Jen za těchto podmínek je intelektuální složka duše podle </w:t>
      </w:r>
      <w:r>
        <w:rPr>
          <w:i/>
        </w:rPr>
        <w:t>De anima</w:t>
      </w:r>
      <w:r w:rsidRPr="00273106">
        <w:t xml:space="preserve"> potenciálně vším. Právě proto </w:t>
      </w:r>
      <w:r w:rsidRPr="009F4F9E">
        <w:rPr>
          <w:i/>
        </w:rPr>
        <w:t>intellectus possibilis</w:t>
      </w:r>
      <w:r>
        <w:t xml:space="preserve"> </w:t>
      </w:r>
      <w:r w:rsidRPr="00273106">
        <w:t>není a nemůže být substancí</w:t>
      </w:r>
      <w:r>
        <w:t xml:space="preserve"> či formou</w:t>
      </w:r>
      <w:r w:rsidRPr="00273106">
        <w:t>, jak mylně tvrdí modernisté až dodne</w:t>
      </w:r>
      <w:r w:rsidR="00B569D2">
        <w:t>s.</w:t>
      </w:r>
    </w:p>
    <w:p w:rsidR="08163013" w:rsidRPr="00273106" w:rsidRDefault="08163013" w:rsidP="00B569D2">
      <w:pPr>
        <w:ind w:firstLine="397"/>
      </w:pPr>
      <w:r w:rsidRPr="00273106">
        <w:t xml:space="preserve">Změnu </w:t>
      </w:r>
      <w:r w:rsidR="00962190">
        <w:rPr>
          <w:i/>
        </w:rPr>
        <w:t>species</w:t>
      </w:r>
      <w:r w:rsidRPr="00273106">
        <w:rPr>
          <w:i/>
        </w:rPr>
        <w:t xml:space="preserve"> sensibilis</w:t>
      </w:r>
      <w:r w:rsidRPr="00273106">
        <w:t xml:space="preserve"> a následně také </w:t>
      </w:r>
      <w:r w:rsidRPr="00273106">
        <w:rPr>
          <w:i/>
        </w:rPr>
        <w:t>intelligibilis</w:t>
      </w:r>
      <w:r w:rsidRPr="00273106">
        <w:t xml:space="preserve"> mohou </w:t>
      </w:r>
      <w:r>
        <w:t xml:space="preserve">kauzálně způsobit </w:t>
      </w:r>
      <w:r w:rsidRPr="00273106">
        <w:t>pouze aktuální věci, které na smysly působí. Díky poznávajícímu substrátu toho</w:t>
      </w:r>
      <w:r>
        <w:t>to oduševnělého těla</w:t>
      </w:r>
      <w:r w:rsidRPr="00273106">
        <w:t xml:space="preserve"> jako aktuální první substance jsme schopni přijímat opaky vjemů (tělo ‒ oko ‒ černé/bílé).  Protože poznáváme reálné věci tělesnými sm</w:t>
      </w:r>
      <w:r>
        <w:t xml:space="preserve">ysly, mění se naše tělo a v modu </w:t>
      </w:r>
      <w:r w:rsidRPr="088D3379">
        <w:rPr>
          <w:i/>
        </w:rPr>
        <w:t>proportio</w:t>
      </w:r>
      <w:r>
        <w:t xml:space="preserve"> také </w:t>
      </w:r>
      <w:r w:rsidRPr="00273106">
        <w:t xml:space="preserve">intelektuální poznání receptivní duše. Intelekt </w:t>
      </w:r>
      <w:r>
        <w:t xml:space="preserve">neprodukuje poznání sám ze </w:t>
      </w:r>
      <w:r>
        <w:lastRenderedPageBreak/>
        <w:t xml:space="preserve">sebe, protože poznává jen </w:t>
      </w:r>
      <w:r w:rsidRPr="00273106">
        <w:t>díky s</w:t>
      </w:r>
      <w:r>
        <w:t>vé receptivitě</w:t>
      </w:r>
      <w:r w:rsidRPr="00273106">
        <w:t xml:space="preserve">. Nejsme ani anděl s jeho aktuálním intelektem, natož všemohoucí boží intelekt. Kritiku nasvícení intelektu zezadu obsahuje další citát, který potvrzuje Ockhamovu příslušnost k prvnímu averroismu. Vztah pasivního a aktivního intelektu je definován v protikladu ke druhému averroismu. Klíčové je rozlišení mezi </w:t>
      </w:r>
      <w:r>
        <w:t xml:space="preserve">termíny </w:t>
      </w:r>
      <w:r w:rsidR="009A76D4">
        <w:t>„</w:t>
      </w:r>
      <w:r w:rsidRPr="00273106">
        <w:rPr>
          <w:i/>
        </w:rPr>
        <w:t>intelligibile in actu</w:t>
      </w:r>
      <w:r w:rsidR="009A76D4">
        <w:t>“</w:t>
      </w:r>
      <w:r>
        <w:t xml:space="preserve"> a </w:t>
      </w:r>
      <w:r w:rsidR="009A76D4">
        <w:t>„</w:t>
      </w:r>
      <w:r w:rsidRPr="00273106">
        <w:rPr>
          <w:i/>
        </w:rPr>
        <w:t>intellectum in actu</w:t>
      </w:r>
      <w:r w:rsidR="009A76D4">
        <w:t>“</w:t>
      </w:r>
      <w:r w:rsidRPr="00273106">
        <w:t xml:space="preserve">. </w:t>
      </w:r>
      <w:r>
        <w:t xml:space="preserve">Ockham zásadně odmítá teorii hypostázovaného </w:t>
      </w:r>
      <w:r w:rsidRPr="00915DF5">
        <w:rPr>
          <w:i/>
        </w:rPr>
        <w:t>scibile</w:t>
      </w:r>
      <w:r>
        <w:rPr>
          <w:i/>
        </w:rPr>
        <w:fldChar w:fldCharType="begin"/>
      </w:r>
      <w:r>
        <w:instrText xml:space="preserve"> XE "</w:instrText>
      </w:r>
      <w:r w:rsidRPr="00AA4F67">
        <w:rPr>
          <w:i/>
        </w:rPr>
        <w:instrText>scibile</w:instrText>
      </w:r>
      <w:r>
        <w:instrText xml:space="preserve">:kritika Ockhama" </w:instrText>
      </w:r>
      <w:r>
        <w:rPr>
          <w:i/>
        </w:rPr>
        <w:fldChar w:fldCharType="end"/>
      </w:r>
      <w:r>
        <w:t xml:space="preserve"> daného objektivně i v reálných věcech.</w:t>
      </w:r>
      <w:r w:rsidRPr="086B42C2">
        <w:t xml:space="preserve"> </w:t>
      </w:r>
      <w:r w:rsidRPr="00273106">
        <w:t xml:space="preserve">Tento moderní způsob poznání </w:t>
      </w:r>
      <w:r>
        <w:t xml:space="preserve">daný skrze denudaci univerzálních forem platí </w:t>
      </w:r>
      <w:r w:rsidRPr="00273106">
        <w:t>jako základní znak druhého averroismu.</w:t>
      </w:r>
      <w:r>
        <w:t xml:space="preserve"> Moderní schéma hypostázovaného činného intelektu nepotřebuje možný intelekt, protože si aktualizuje potenciální univerzální formy přímo z věcí. Ockham je zásadně proti, protože tento výklad není v souladu ani s argumenttací Aristotela ani s pojetím CMDA. </w:t>
      </w:r>
    </w:p>
    <w:p w:rsidR="08163013" w:rsidRPr="006F3DF5" w:rsidRDefault="08163013" w:rsidP="08163013">
      <w:pPr>
        <w:pStyle w:val="Citace"/>
        <w:rPr>
          <w:noProof/>
          <w:lang w:val="cs-CZ"/>
        </w:rPr>
      </w:pPr>
      <w:r w:rsidRPr="00273106">
        <w:rPr>
          <w:noProof/>
          <w:lang w:val="cs-CZ"/>
        </w:rPr>
        <w:t>„</w:t>
      </w:r>
      <w:r w:rsidR="005E1E02">
        <w:rPr>
          <w:noProof/>
          <w:lang w:val="cs-CZ"/>
        </w:rPr>
        <w:t>Pokud někdo</w:t>
      </w:r>
      <w:r w:rsidR="00104DAF">
        <w:rPr>
          <w:noProof/>
          <w:lang w:val="cs-CZ"/>
        </w:rPr>
        <w:t xml:space="preserve"> prohlašuje</w:t>
      </w:r>
      <w:r w:rsidR="005E1E02">
        <w:rPr>
          <w:noProof/>
          <w:lang w:val="cs-CZ"/>
        </w:rPr>
        <w:t>,</w:t>
      </w:r>
      <w:r w:rsidR="005E1E02" w:rsidRPr="005E1E02">
        <w:rPr>
          <w:noProof/>
          <w:lang w:val="cs-CZ"/>
        </w:rPr>
        <w:t xml:space="preserve"> že aktualizované poznání vzniká z potenciálního stavu </w:t>
      </w:r>
      <w:r w:rsidR="005E1E02">
        <w:rPr>
          <w:noProof/>
          <w:lang w:val="cs-CZ"/>
        </w:rPr>
        <w:t xml:space="preserve">daného </w:t>
      </w:r>
      <w:r w:rsidR="005E1E02" w:rsidRPr="005E1E02">
        <w:rPr>
          <w:noProof/>
          <w:lang w:val="cs-CZ"/>
        </w:rPr>
        <w:t>v poznatelných věcech (</w:t>
      </w:r>
      <w:r w:rsidR="005E1E02" w:rsidRPr="005E1E02">
        <w:rPr>
          <w:i/>
          <w:noProof/>
          <w:lang w:val="cs-CZ"/>
        </w:rPr>
        <w:t>de intelligibili in potentia intelligibile in actu</w:t>
      </w:r>
      <w:r w:rsidR="005E1E02" w:rsidRPr="005E1E02">
        <w:rPr>
          <w:noProof/>
          <w:lang w:val="cs-CZ"/>
        </w:rPr>
        <w:t xml:space="preserve">), </w:t>
      </w:r>
      <w:r w:rsidR="00104DAF">
        <w:rPr>
          <w:noProof/>
          <w:lang w:val="cs-CZ"/>
        </w:rPr>
        <w:t xml:space="preserve">pak </w:t>
      </w:r>
      <w:r w:rsidR="005E1E02" w:rsidRPr="005E1E02">
        <w:rPr>
          <w:noProof/>
          <w:lang w:val="cs-CZ"/>
        </w:rPr>
        <w:t xml:space="preserve">tvrdím, že ani </w:t>
      </w:r>
      <w:r w:rsidR="005E1E02">
        <w:rPr>
          <w:noProof/>
          <w:lang w:val="cs-CZ"/>
        </w:rPr>
        <w:t>Filosof, ani K</w:t>
      </w:r>
      <w:r w:rsidR="005E1E02" w:rsidRPr="005E1E02">
        <w:rPr>
          <w:noProof/>
          <w:lang w:val="cs-CZ"/>
        </w:rPr>
        <w:t xml:space="preserve">omentátor </w:t>
      </w:r>
      <w:r w:rsidR="005E1E02">
        <w:rPr>
          <w:noProof/>
          <w:lang w:val="cs-CZ"/>
        </w:rPr>
        <w:t>neargumentují tímto způsobem</w:t>
      </w:r>
      <w:r w:rsidR="005E1E02" w:rsidRPr="005E1E02">
        <w:rPr>
          <w:noProof/>
          <w:lang w:val="cs-CZ"/>
        </w:rPr>
        <w:t xml:space="preserve">. </w:t>
      </w:r>
      <w:r w:rsidR="005E1E02">
        <w:rPr>
          <w:noProof/>
          <w:lang w:val="cs-CZ"/>
        </w:rPr>
        <w:t>Oba tvrdí</w:t>
      </w:r>
      <w:r w:rsidR="00021E30">
        <w:rPr>
          <w:noProof/>
          <w:lang w:val="cs-CZ"/>
        </w:rPr>
        <w:t xml:space="preserve"> toto: </w:t>
      </w:r>
      <w:r>
        <w:rPr>
          <w:noProof/>
          <w:lang w:val="cs-CZ"/>
        </w:rPr>
        <w:t>činný intelekt vytváří (</w:t>
      </w:r>
      <w:r w:rsidRPr="005D13EF">
        <w:rPr>
          <w:i/>
          <w:noProof/>
          <w:lang w:val="cs-CZ"/>
        </w:rPr>
        <w:t>intellectus agens facit</w:t>
      </w:r>
      <w:r>
        <w:rPr>
          <w:noProof/>
          <w:lang w:val="cs-CZ"/>
        </w:rPr>
        <w:t xml:space="preserve">) z pasivního </w:t>
      </w:r>
      <w:r w:rsidR="00021E30">
        <w:rPr>
          <w:noProof/>
          <w:lang w:val="cs-CZ"/>
        </w:rPr>
        <w:t xml:space="preserve">intelektu jeho aktualizovanou formu </w:t>
      </w:r>
      <w:r>
        <w:rPr>
          <w:noProof/>
          <w:lang w:val="cs-CZ"/>
        </w:rPr>
        <w:t>(</w:t>
      </w:r>
      <w:r w:rsidRPr="005D13EF">
        <w:rPr>
          <w:i/>
          <w:noProof/>
          <w:lang w:val="cs-CZ"/>
        </w:rPr>
        <w:t>de intellecto in potentia intellectum in actu</w:t>
      </w:r>
      <w:r>
        <w:rPr>
          <w:noProof/>
          <w:lang w:val="cs-CZ"/>
        </w:rPr>
        <w:t xml:space="preserve">). A to je pravda, protože činný intelekt vytváří poznatek tak, že něco je dáno jako </w:t>
      </w:r>
      <w:r w:rsidR="00021E30">
        <w:rPr>
          <w:noProof/>
          <w:lang w:val="cs-CZ"/>
        </w:rPr>
        <w:t xml:space="preserve">aktuálně myšlený obsah </w:t>
      </w:r>
      <w:r>
        <w:rPr>
          <w:noProof/>
          <w:lang w:val="cs-CZ"/>
        </w:rPr>
        <w:t>(</w:t>
      </w:r>
      <w:r w:rsidRPr="08352AD1">
        <w:rPr>
          <w:i/>
          <w:noProof/>
        </w:rPr>
        <w:t>aliquid est in actu intellectum</w:t>
      </w:r>
      <w:r>
        <w:rPr>
          <w:noProof/>
          <w:lang w:val="cs-CZ"/>
        </w:rPr>
        <w:t xml:space="preserve">), </w:t>
      </w:r>
      <w:r w:rsidR="00021E30">
        <w:rPr>
          <w:noProof/>
          <w:lang w:val="cs-CZ"/>
        </w:rPr>
        <w:t xml:space="preserve">který byl </w:t>
      </w:r>
      <w:r>
        <w:rPr>
          <w:noProof/>
          <w:lang w:val="cs-CZ"/>
        </w:rPr>
        <w:t>předtím</w:t>
      </w:r>
      <w:r w:rsidR="00021E30">
        <w:rPr>
          <w:noProof/>
          <w:lang w:val="cs-CZ"/>
        </w:rPr>
        <w:t xml:space="preserve"> daný pouze potenciálně </w:t>
      </w:r>
      <w:r>
        <w:rPr>
          <w:noProof/>
          <w:lang w:val="cs-CZ"/>
        </w:rPr>
        <w:t>(</w:t>
      </w:r>
      <w:r w:rsidRPr="08352AD1">
        <w:rPr>
          <w:i/>
          <w:noProof/>
        </w:rPr>
        <w:t>prius fuit in potentia intellectum</w:t>
      </w:r>
      <w:r>
        <w:rPr>
          <w:noProof/>
          <w:lang w:val="cs-CZ"/>
        </w:rPr>
        <w:t>).“ </w:t>
      </w:r>
      <w:r>
        <w:rPr>
          <w:rStyle w:val="Znakapoznpodarou"/>
        </w:rPr>
        <w:footnoteReference w:id="480"/>
      </w:r>
    </w:p>
    <w:p w:rsidR="003342FB" w:rsidRDefault="08163013" w:rsidP="08163013">
      <w:r w:rsidRPr="00273106">
        <w:t>Úvodní věta zásadně odmítá možnost, ž</w:t>
      </w:r>
      <w:r>
        <w:t xml:space="preserve">e by poznání vzniklo tím, že </w:t>
      </w:r>
      <w:r w:rsidRPr="0062447D">
        <w:rPr>
          <w:i/>
        </w:rPr>
        <w:t>intellectus agens</w:t>
      </w:r>
      <w:r>
        <w:rPr>
          <w:i/>
        </w:rPr>
        <w:fldChar w:fldCharType="begin"/>
      </w:r>
      <w:r>
        <w:instrText xml:space="preserve"> XE "</w:instrText>
      </w:r>
      <w:r w:rsidRPr="00490D32">
        <w:rPr>
          <w:i/>
        </w:rPr>
        <w:instrText>intellectus agens:</w:instrText>
      </w:r>
      <w:r>
        <w:instrText xml:space="preserve">Ockham" </w:instrText>
      </w:r>
      <w:r>
        <w:rPr>
          <w:i/>
        </w:rPr>
        <w:fldChar w:fldCharType="end"/>
      </w:r>
      <w:r>
        <w:t xml:space="preserve"> převede </w:t>
      </w:r>
      <w:r w:rsidR="00962190">
        <w:rPr>
          <w:i/>
        </w:rPr>
        <w:t>species</w:t>
      </w:r>
      <w:r>
        <w:t xml:space="preserve"> třetího druhu jako potenciální univerzálii (</w:t>
      </w:r>
      <w:r w:rsidRPr="005D13EF">
        <w:rPr>
          <w:i/>
        </w:rPr>
        <w:t>intelligibili in potentia</w:t>
      </w:r>
      <w:r>
        <w:t>) do aktuální univerzální podoby (</w:t>
      </w:r>
      <w:r w:rsidRPr="005D13EF">
        <w:rPr>
          <w:i/>
        </w:rPr>
        <w:t>intelligibile in actu</w:t>
      </w:r>
      <w:r>
        <w:t>). Ockham připomíná tehdejším averroistům</w:t>
      </w:r>
      <w:r w:rsidR="00757B8C">
        <w:t xml:space="preserve"> a modernistům</w:t>
      </w:r>
      <w:r>
        <w:t>, že v</w:t>
      </w:r>
      <w:r w:rsidRPr="00273106">
        <w:t xml:space="preserve"> intelektu nedochází k aktualizaci předem daných </w:t>
      </w:r>
      <w:r>
        <w:t>potenciálních forem jsoucna třetího druhu</w:t>
      </w:r>
      <w:r w:rsidR="00690589">
        <w:t>. Takový převod hypostatické či objektivní universálie (</w:t>
      </w:r>
      <w:r w:rsidR="00690589" w:rsidRPr="00690589">
        <w:rPr>
          <w:i/>
        </w:rPr>
        <w:t>scibile, con</w:t>
      </w:r>
      <w:r w:rsidR="00690589">
        <w:rPr>
          <w:i/>
        </w:rPr>
        <w:t>c</w:t>
      </w:r>
      <w:r w:rsidR="00690589" w:rsidRPr="00690589">
        <w:rPr>
          <w:i/>
        </w:rPr>
        <w:t>retum</w:t>
      </w:r>
      <w:r w:rsidR="00690589">
        <w:t>) do a</w:t>
      </w:r>
      <w:r>
        <w:t xml:space="preserve">ktuality </w:t>
      </w:r>
      <w:r w:rsidR="00690589">
        <w:t xml:space="preserve">má mytologický charakter daný skrze aktuální a hypostázovaný intelekt </w:t>
      </w:r>
      <w:r>
        <w:t xml:space="preserve">akademických </w:t>
      </w:r>
      <w:r w:rsidRPr="00273106">
        <w:t>iluminátů</w:t>
      </w:r>
      <w:r>
        <w:fldChar w:fldCharType="begin"/>
      </w:r>
      <w:r>
        <w:instrText xml:space="preserve"> XE "</w:instrText>
      </w:r>
      <w:r w:rsidRPr="00BD65D1">
        <w:instrText>ilumináti</w:instrText>
      </w:r>
      <w:r>
        <w:instrText xml:space="preserve">" </w:instrText>
      </w:r>
      <w:r>
        <w:fldChar w:fldCharType="end"/>
      </w:r>
      <w:r w:rsidRPr="00273106">
        <w:t xml:space="preserve">. Opomenutí této základní pravdy založilo moderní </w:t>
      </w:r>
      <w:r w:rsidRPr="00273106">
        <w:rPr>
          <w:i/>
        </w:rPr>
        <w:t>Irrtum</w:t>
      </w:r>
      <w:r w:rsidRPr="00273106">
        <w:t xml:space="preserve"> západního myšlení, které </w:t>
      </w:r>
      <w:r>
        <w:t xml:space="preserve">od Avicenny </w:t>
      </w:r>
      <w:r w:rsidRPr="00273106">
        <w:t xml:space="preserve">začalo produkovat </w:t>
      </w:r>
      <w:r w:rsidR="00F7398E">
        <w:t xml:space="preserve">objektivní </w:t>
      </w:r>
      <w:r w:rsidRPr="00273106">
        <w:t>realitu samo ze sebe</w:t>
      </w:r>
      <w:r w:rsidR="004D7BF9">
        <w:t xml:space="preserve"> (</w:t>
      </w:r>
      <w:r w:rsidR="004D7BF9" w:rsidRPr="008C6BDC">
        <w:rPr>
          <w:i/>
        </w:rPr>
        <w:t>incepit quasi a se</w:t>
      </w:r>
      <w:r w:rsidR="004D7BF9" w:rsidRPr="00A9626C">
        <w:t xml:space="preserve">; OBJ I, </w:t>
      </w:r>
      <w:r w:rsidR="004D7BF9">
        <w:t>ch. </w:t>
      </w:r>
      <w:r w:rsidR="004D7BF9" w:rsidRPr="00A9626C">
        <w:t>2.5</w:t>
      </w:r>
      <w:r w:rsidR="004D7BF9">
        <w:t>)</w:t>
      </w:r>
      <w:r w:rsidRPr="00273106">
        <w:t xml:space="preserve">. </w:t>
      </w:r>
      <w:r>
        <w:t xml:space="preserve">Diference mezi </w:t>
      </w:r>
      <w:r w:rsidR="00F7398E">
        <w:t>hypostázovaným intelektem</w:t>
      </w:r>
      <w:r>
        <w:t xml:space="preserve"> moderny </w:t>
      </w:r>
      <w:r w:rsidR="00F7398E">
        <w:t xml:space="preserve">jako demiurgickým tvůrcem poznatků </w:t>
      </w:r>
      <w:r>
        <w:t xml:space="preserve">a mezi </w:t>
      </w:r>
      <w:r>
        <w:lastRenderedPageBreak/>
        <w:t xml:space="preserve">abstrahovaným </w:t>
      </w:r>
      <w:r w:rsidR="00131D09">
        <w:t>obsahem myšlení (</w:t>
      </w:r>
      <w:r w:rsidRPr="00273106">
        <w:rPr>
          <w:i/>
        </w:rPr>
        <w:t>intellectum</w:t>
      </w:r>
      <w:r w:rsidR="00131D09">
        <w:t xml:space="preserve">) </w:t>
      </w:r>
      <w:r w:rsidR="00D46F74">
        <w:t xml:space="preserve">přijímaným </w:t>
      </w:r>
      <w:r>
        <w:t xml:space="preserve">ze smyslových </w:t>
      </w:r>
      <w:r w:rsidR="00962190">
        <w:rPr>
          <w:i/>
        </w:rPr>
        <w:t>species</w:t>
      </w:r>
      <w:r>
        <w:t xml:space="preserve"> </w:t>
      </w:r>
      <w:r w:rsidRPr="00273106">
        <w:t>má zásadní charakter</w:t>
      </w:r>
      <w:r>
        <w:t xml:space="preserve">. Opět je jasně odlišena dvojí povaha </w:t>
      </w:r>
      <w:r w:rsidR="00962190">
        <w:rPr>
          <w:i/>
        </w:rPr>
        <w:t>species</w:t>
      </w:r>
      <w:r>
        <w:t xml:space="preserve"> v prvním a ve druhé averroismu. Jsoucno třetího druhu není totéž jako intencionální předmět přijímaný ve výkonu </w:t>
      </w:r>
      <w:r w:rsidRPr="08142173">
        <w:rPr>
          <w:i/>
        </w:rPr>
        <w:t>anima intellectiva</w:t>
      </w:r>
      <w:r>
        <w:t xml:space="preserve">. </w:t>
      </w:r>
      <w:r w:rsidRPr="00273106">
        <w:t xml:space="preserve">Intelekt </w:t>
      </w:r>
      <w:r>
        <w:t xml:space="preserve">podle CMDA </w:t>
      </w:r>
      <w:r w:rsidRPr="00273106">
        <w:t xml:space="preserve">přijímá aktualitu ze smyslových a z inteligibilních fantasmat, </w:t>
      </w:r>
      <w:r>
        <w:t xml:space="preserve">proto potřebuje intencionalitu a diafanum. Předešlé matrice ukázaly, jak a proč v moderně přestala existovat mediační funkce diafanum. </w:t>
      </w:r>
      <w:r w:rsidRPr="00273106">
        <w:t xml:space="preserve">Intelekt nevytváří </w:t>
      </w:r>
      <w:r>
        <w:t xml:space="preserve">sám v sobě </w:t>
      </w:r>
      <w:r w:rsidRPr="00273106">
        <w:t xml:space="preserve">inteligibilní </w:t>
      </w:r>
      <w:r w:rsidR="00962190">
        <w:rPr>
          <w:i/>
        </w:rPr>
        <w:t>species</w:t>
      </w:r>
      <w:r w:rsidRPr="00273106">
        <w:t xml:space="preserve">, ale abstrahuje je ze smyslových </w:t>
      </w:r>
      <w:r w:rsidR="00962190">
        <w:rPr>
          <w:i/>
        </w:rPr>
        <w:t>species</w:t>
      </w:r>
      <w:r>
        <w:t xml:space="preserve"> tím, že skrze formální mediaci </w:t>
      </w:r>
      <w:r w:rsidRPr="00273106">
        <w:t xml:space="preserve">přijímá </w:t>
      </w:r>
      <w:r>
        <w:t xml:space="preserve">inteligibilní obsahy. Aktivní syntézu poznatku dělá až </w:t>
      </w:r>
      <w:r w:rsidRPr="00273106">
        <w:rPr>
          <w:i/>
        </w:rPr>
        <w:t>intellectus agens</w:t>
      </w:r>
      <w:r w:rsidRPr="00273106">
        <w:t xml:space="preserve"> (</w:t>
      </w:r>
      <w:r w:rsidRPr="00273106">
        <w:rPr>
          <w:i/>
        </w:rPr>
        <w:t>facit de intellecto in potentia intellectum in actu</w:t>
      </w:r>
      <w:r>
        <w:t xml:space="preserve">). Moderna zaměnila </w:t>
      </w:r>
      <w:r w:rsidRPr="00273106">
        <w:rPr>
          <w:i/>
        </w:rPr>
        <w:t>intellectum</w:t>
      </w:r>
      <w:r w:rsidRPr="00273106">
        <w:t xml:space="preserve"> </w:t>
      </w:r>
      <w:r>
        <w:t xml:space="preserve">dané z reality za své vlastní simulákrum v podobě </w:t>
      </w:r>
      <w:r w:rsidRPr="00273106">
        <w:rPr>
          <w:i/>
        </w:rPr>
        <w:t>intelligibile</w:t>
      </w:r>
      <w:r>
        <w:t xml:space="preserve"> a vytvořila </w:t>
      </w:r>
      <w:r w:rsidRPr="00273106">
        <w:t xml:space="preserve">absurdní schéma </w:t>
      </w:r>
      <w:r w:rsidR="00A97BB8">
        <w:t xml:space="preserve">objektivního </w:t>
      </w:r>
      <w:r w:rsidRPr="00273106">
        <w:t>poznání</w:t>
      </w:r>
      <w:r>
        <w:t xml:space="preserve"> a pravdy</w:t>
      </w:r>
      <w:r w:rsidR="00A97BB8">
        <w:t>. Jejich pojetí stojí mimo p</w:t>
      </w:r>
      <w:r>
        <w:t xml:space="preserve">ravdu jako </w:t>
      </w:r>
      <w:r w:rsidR="00A97BB8">
        <w:t xml:space="preserve">aristotelskou </w:t>
      </w:r>
      <w:r>
        <w:t>adekvaci</w:t>
      </w:r>
      <w:r w:rsidR="00A97BB8">
        <w:t xml:space="preserve"> vnější reality a lidského intelektu</w:t>
      </w:r>
      <w:r w:rsidR="003342FB">
        <w:t>.</w:t>
      </w:r>
    </w:p>
    <w:p w:rsidR="08163013" w:rsidRPr="00273106" w:rsidRDefault="08163013" w:rsidP="00867B6A">
      <w:pPr>
        <w:ind w:firstLine="397"/>
      </w:pPr>
      <w:r w:rsidRPr="00273106">
        <w:t xml:space="preserve">Citát jasně říká </w:t>
      </w:r>
      <w:r>
        <w:t xml:space="preserve">modernistům v </w:t>
      </w:r>
      <w:r w:rsidRPr="00273106">
        <w:t xml:space="preserve">poslední historicky </w:t>
      </w:r>
      <w:r>
        <w:t>správné znalosti</w:t>
      </w:r>
      <w:r w:rsidRPr="00273106">
        <w:t xml:space="preserve"> </w:t>
      </w:r>
      <w:r>
        <w:t>Averroes</w:t>
      </w:r>
      <w:r w:rsidRPr="00273106">
        <w:t xml:space="preserve">e, že poznání je dáno jinak, než jak tvrdí vítězná </w:t>
      </w:r>
      <w:r w:rsidRPr="00273106">
        <w:rPr>
          <w:i/>
        </w:rPr>
        <w:t>via</w:t>
      </w:r>
      <w:r w:rsidRPr="00273106">
        <w:t xml:space="preserve"> </w:t>
      </w:r>
      <w:r w:rsidRPr="00273106">
        <w:rPr>
          <w:i/>
        </w:rPr>
        <w:t>Modernorum</w:t>
      </w:r>
      <w:r>
        <w:rPr>
          <w:i/>
        </w:rPr>
        <w:fldChar w:fldCharType="begin"/>
      </w:r>
      <w:r>
        <w:instrText xml:space="preserve"> XE "</w:instrText>
      </w:r>
      <w:r w:rsidRPr="00ED0748">
        <w:rPr>
          <w:i/>
        </w:rPr>
        <w:instrText>via Modernorum</w:instrText>
      </w:r>
      <w:r>
        <w:instrText xml:space="preserve">" </w:instrText>
      </w:r>
      <w:r>
        <w:rPr>
          <w:i/>
        </w:rPr>
        <w:fldChar w:fldCharType="end"/>
      </w:r>
      <w:r w:rsidRPr="00273106">
        <w:t xml:space="preserve">. </w:t>
      </w:r>
      <w:r>
        <w:t xml:space="preserve">Moderní </w:t>
      </w:r>
      <w:r w:rsidRPr="08FB36B5">
        <w:rPr>
          <w:i/>
        </w:rPr>
        <w:t>intelligibile</w:t>
      </w:r>
      <w:r>
        <w:t xml:space="preserve"> objektivistů není Komentátorovo </w:t>
      </w:r>
      <w:r w:rsidRPr="08FB36B5">
        <w:rPr>
          <w:i/>
        </w:rPr>
        <w:t>intellectum</w:t>
      </w:r>
      <w:r>
        <w:t xml:space="preserve">. Činný intelekt z </w:t>
      </w:r>
      <w:r w:rsidRPr="00273106">
        <w:t xml:space="preserve">vlastní aktuality dané mimo smyslovou zkušebnost nemůže </w:t>
      </w:r>
      <w:r>
        <w:t xml:space="preserve">sám ze sebe </w:t>
      </w:r>
      <w:r w:rsidRPr="00273106">
        <w:t xml:space="preserve">tvořit </w:t>
      </w:r>
      <w:r>
        <w:t>univerzální obsahy myšlení a pak je převádět</w:t>
      </w:r>
      <w:r w:rsidRPr="00273106">
        <w:t xml:space="preserve"> </w:t>
      </w:r>
      <w:r>
        <w:t>na aktuální poznatek</w:t>
      </w:r>
      <w:r w:rsidRPr="00273106">
        <w:t xml:space="preserve">. Bacon to prohlásil za </w:t>
      </w:r>
      <w:r>
        <w:t xml:space="preserve">nesmysl </w:t>
      </w:r>
      <w:r w:rsidRPr="00273106">
        <w:t xml:space="preserve">a jeho pokračovatel na Oxfordu tvrdí totéž. Duše je z hlediska poznání čistá </w:t>
      </w:r>
      <w:r w:rsidRPr="00273106">
        <w:rPr>
          <w:i/>
        </w:rPr>
        <w:t>tabula rasa</w:t>
      </w:r>
      <w:r>
        <w:rPr>
          <w:i/>
        </w:rPr>
        <w:fldChar w:fldCharType="begin"/>
      </w:r>
      <w:r>
        <w:instrText xml:space="preserve"> XE "</w:instrText>
      </w:r>
      <w:r w:rsidRPr="00CE6D17">
        <w:rPr>
          <w:i/>
        </w:rPr>
        <w:instrText>tabula rasa</w:instrText>
      </w:r>
      <w:r>
        <w:instrText xml:space="preserve">" </w:instrText>
      </w:r>
      <w:r>
        <w:rPr>
          <w:i/>
        </w:rPr>
        <w:fldChar w:fldCharType="end"/>
      </w:r>
      <w:r w:rsidRPr="00273106">
        <w:t xml:space="preserve"> </w:t>
      </w:r>
      <w:r>
        <w:t xml:space="preserve">lidský </w:t>
      </w:r>
      <w:r w:rsidRPr="00273106">
        <w:rPr>
          <w:i/>
        </w:rPr>
        <w:t>intellectus agens</w:t>
      </w:r>
      <w:r w:rsidRPr="00273106">
        <w:t xml:space="preserve"> </w:t>
      </w:r>
      <w:r>
        <w:t xml:space="preserve">daný jako pouhá schopnost duše </w:t>
      </w:r>
      <w:r w:rsidRPr="00273106">
        <w:t>ne</w:t>
      </w:r>
      <w:r>
        <w:t xml:space="preserve">má žádný vrozený obsah (viz augustiniánský </w:t>
      </w:r>
      <w:r w:rsidRPr="08F0561E">
        <w:rPr>
          <w:i/>
        </w:rPr>
        <w:t>locus specierum</w:t>
      </w:r>
      <w:r>
        <w:rPr>
          <w:i/>
        </w:rPr>
        <w:fldChar w:fldCharType="begin"/>
      </w:r>
      <w:r>
        <w:instrText xml:space="preserve"> XE "</w:instrText>
      </w:r>
      <w:r w:rsidRPr="08F04656">
        <w:rPr>
          <w:i/>
        </w:rPr>
        <w:instrText>locus specierum</w:instrText>
      </w:r>
      <w:r>
        <w:instrText xml:space="preserve">" </w:instrText>
      </w:r>
      <w:r>
        <w:rPr>
          <w:i/>
        </w:rPr>
        <w:fldChar w:fldCharType="end"/>
      </w:r>
      <w:r>
        <w:t xml:space="preserve">), který by mohl </w:t>
      </w:r>
      <w:r w:rsidRPr="00273106">
        <w:t>převádět do aktuality</w:t>
      </w:r>
      <w:r>
        <w:t>. Naznačenou roli</w:t>
      </w:r>
      <w:r w:rsidRPr="00273106">
        <w:t xml:space="preserve"> činného intelektu </w:t>
      </w:r>
      <w:r>
        <w:t xml:space="preserve">vzhledem k aktualizaci </w:t>
      </w:r>
      <w:r w:rsidR="00962190">
        <w:rPr>
          <w:i/>
        </w:rPr>
        <w:t>species</w:t>
      </w:r>
      <w:r>
        <w:t xml:space="preserve"> třetího druhu nebo boha jako Scotovy a Descartovy účinné příčiny myšlení nemá ani Aristoteles ani Averroes</w:t>
      </w:r>
      <w:r w:rsidRPr="00273106">
        <w:t>. Ockham považuje zakuklený platonismus moderních avicennistů za nesmysl. Podobná teze předpokládá pluralitu substancí v člověku</w:t>
      </w:r>
      <w:r>
        <w:t xml:space="preserve">. Tato pluralita nesmyslných jsoucen je </w:t>
      </w:r>
      <w:r w:rsidRPr="00273106">
        <w:t>navíc dublo</w:t>
      </w:r>
      <w:r>
        <w:t>vaná špatně pochopenou supozicí</w:t>
      </w:r>
      <w:r w:rsidRPr="00273106">
        <w:t xml:space="preserve"> vztaženou ke jsoucnu třetího druhu</w:t>
      </w:r>
      <w:r w:rsidR="00C46214">
        <w:t xml:space="preserve">. Toto nemožné jsoucno </w:t>
      </w:r>
      <w:r w:rsidRPr="00273106">
        <w:t>supluje první substanci</w:t>
      </w:r>
      <w:r>
        <w:t xml:space="preserve"> a její poznání</w:t>
      </w:r>
      <w:r w:rsidRPr="00273106">
        <w:t xml:space="preserve">. </w:t>
      </w:r>
      <w:r>
        <w:t xml:space="preserve">Předešlé matrice ukázaly, že toto schéma </w:t>
      </w:r>
      <w:r w:rsidRPr="00273106">
        <w:t>vznikl</w:t>
      </w:r>
      <w:r>
        <w:t>o</w:t>
      </w:r>
      <w:r w:rsidRPr="00273106">
        <w:t xml:space="preserve"> od 1230 v rámci </w:t>
      </w:r>
      <w:r w:rsidRPr="00273106">
        <w:rPr>
          <w:i/>
        </w:rPr>
        <w:t>Oxfordian Fallacy</w:t>
      </w:r>
      <w:r w:rsidRPr="00273106">
        <w:t xml:space="preserve">, kdy </w:t>
      </w:r>
      <w:r>
        <w:t xml:space="preserve">porretánské </w:t>
      </w:r>
      <w:r w:rsidRPr="00273106">
        <w:t xml:space="preserve">esence a </w:t>
      </w:r>
      <w:r w:rsidR="00962190">
        <w:rPr>
          <w:i/>
        </w:rPr>
        <w:t>species</w:t>
      </w:r>
      <w:r w:rsidRPr="00273106">
        <w:t xml:space="preserve"> začaly hrát roli první substance</w:t>
      </w:r>
      <w:r>
        <w:fldChar w:fldCharType="begin"/>
      </w:r>
      <w:r>
        <w:instrText xml:space="preserve"> XE "</w:instrText>
      </w:r>
      <w:r w:rsidRPr="00DE2A32">
        <w:instrText>substance</w:instrText>
      </w:r>
      <w:r>
        <w:instrText xml:space="preserve">:porretáni" </w:instrText>
      </w:r>
      <w:r>
        <w:fldChar w:fldCharType="end"/>
      </w:r>
      <w:r w:rsidRPr="00273106">
        <w:t xml:space="preserve">. Pravdivé poznání musí jít k samotným věcem v realitě, jak to celý život dělal </w:t>
      </w:r>
      <w:r>
        <w:t>Aristoteles a Komentátor</w:t>
      </w:r>
      <w:r w:rsidRPr="00273106">
        <w:t xml:space="preserve">. Proto nelze množit jsoucna třetího druhu na způsob neoplatoniků a moderních avicennistů, ale je nutno popsat </w:t>
      </w:r>
      <w:r>
        <w:t>aktualizaci</w:t>
      </w:r>
      <w:r w:rsidRPr="00273106">
        <w:t xml:space="preserve"> intelektu od samotných věcí. Ockhamova fenomenologie </w:t>
      </w:r>
      <w:r>
        <w:t xml:space="preserve">ve stylu Sigera </w:t>
      </w:r>
      <w:r w:rsidRPr="00273106">
        <w:t xml:space="preserve">jasně </w:t>
      </w:r>
      <w:r w:rsidRPr="00273106">
        <w:lastRenderedPageBreak/>
        <w:t>říká, že je třeba vidět výkon poznání činného intelektu (</w:t>
      </w:r>
      <w:r w:rsidRPr="00273106">
        <w:rPr>
          <w:i/>
        </w:rPr>
        <w:t>quod intellectus agens facit</w:t>
      </w:r>
      <w:r w:rsidRPr="00273106">
        <w:t xml:space="preserve">). Činnost intelektu se primárně nevztahuje k objektivně danému jsoucnu, </w:t>
      </w:r>
      <w:r>
        <w:t xml:space="preserve">protože to </w:t>
      </w:r>
      <w:r w:rsidRPr="00273106">
        <w:t>reálně neexistuje</w:t>
      </w:r>
      <w:r>
        <w:t xml:space="preserve">. Opak tvrdí projekty typu Rufusova </w:t>
      </w:r>
      <w:r w:rsidRPr="00273106">
        <w:rPr>
          <w:i/>
        </w:rPr>
        <w:t>scibile</w:t>
      </w:r>
      <w:r>
        <w:t xml:space="preserve">, Scotova </w:t>
      </w:r>
      <w:r w:rsidRPr="00273106">
        <w:rPr>
          <w:i/>
        </w:rPr>
        <w:t>intelligibile</w:t>
      </w:r>
      <w:r>
        <w:t xml:space="preserve"> nebo Husserlova </w:t>
      </w:r>
      <w:r w:rsidRPr="086E0A84">
        <w:rPr>
          <w:i/>
        </w:rPr>
        <w:t>eidos</w:t>
      </w:r>
      <w:r w:rsidRPr="00273106">
        <w:t xml:space="preserve">. Determinace intelektu je aktuální, protože běží v modu </w:t>
      </w:r>
      <w:r w:rsidRPr="00273106">
        <w:rPr>
          <w:i/>
        </w:rPr>
        <w:t>abstractio</w:t>
      </w:r>
      <w:r w:rsidRPr="00273106">
        <w:t xml:space="preserve">, nikoliv </w:t>
      </w:r>
      <w:r w:rsidRPr="00273106">
        <w:rPr>
          <w:i/>
        </w:rPr>
        <w:t>denudatio</w:t>
      </w:r>
      <w:r>
        <w:rPr>
          <w:i/>
        </w:rPr>
        <w:fldChar w:fldCharType="begin"/>
      </w:r>
      <w:r>
        <w:instrText xml:space="preserve"> XE "</w:instrText>
      </w:r>
      <w:r w:rsidRPr="00C23100">
        <w:rPr>
          <w:i/>
        </w:rPr>
        <w:instrText>denudatio</w:instrText>
      </w:r>
      <w:r>
        <w:instrText xml:space="preserve">:krika Ockhama" </w:instrText>
      </w:r>
      <w:r>
        <w:rPr>
          <w:i/>
        </w:rPr>
        <w:fldChar w:fldCharType="end"/>
      </w:r>
      <w:r w:rsidRPr="00273106">
        <w:t xml:space="preserve">. Neexistuje žádné jsoucno třetího druhu v podobě moderního </w:t>
      </w:r>
      <w:r w:rsidRPr="00273106">
        <w:rPr>
          <w:i/>
        </w:rPr>
        <w:t>intelligibile</w:t>
      </w:r>
      <w:r w:rsidRPr="00273106">
        <w:t>, které lze bezprostředně nazírat nějakým osvíceným intelektem. Citát říká, že intelekt přichází k obsahům poznání (</w:t>
      </w:r>
      <w:r w:rsidRPr="00273106">
        <w:rPr>
          <w:i/>
        </w:rPr>
        <w:t>intellectum</w:t>
      </w:r>
      <w:r w:rsidRPr="00273106">
        <w:t xml:space="preserve">) skrze </w:t>
      </w:r>
      <w:r w:rsidR="000218C3">
        <w:t xml:space="preserve">receptivní </w:t>
      </w:r>
      <w:r w:rsidR="00867B6A">
        <w:t xml:space="preserve">složku intelektu. </w:t>
      </w:r>
      <w:r w:rsidRPr="00273106">
        <w:t xml:space="preserve">Hermeneutika proto </w:t>
      </w:r>
      <w:r w:rsidR="0069057F">
        <w:t xml:space="preserve">bere </w:t>
      </w:r>
      <w:r w:rsidRPr="00273106">
        <w:t xml:space="preserve">jako Ockhamovu závěť </w:t>
      </w:r>
      <w:r w:rsidR="000D6762">
        <w:t xml:space="preserve">jeho </w:t>
      </w:r>
      <w:r w:rsidRPr="00273106">
        <w:t>známou obhajobu univerzálií daných pouze v mysli</w:t>
      </w:r>
      <w:r>
        <w:t>.</w:t>
      </w:r>
      <w:r w:rsidRPr="00273106">
        <w:rPr>
          <w:rStyle w:val="Znakapoznpodarou"/>
        </w:rPr>
        <w:footnoteReference w:id="481"/>
      </w:r>
      <w:r>
        <w:t xml:space="preserve"> </w:t>
      </w:r>
      <w:r w:rsidR="0069057F">
        <w:t xml:space="preserve">Samozřejmě, že univerzálie existují pouze v mysli, ale to neznamená, že vznikla </w:t>
      </w:r>
      <w:r w:rsidR="0069057F" w:rsidRPr="0069057F">
        <w:rPr>
          <w:i/>
        </w:rPr>
        <w:t>ex nihilo</w:t>
      </w:r>
      <w:r w:rsidR="0069057F">
        <w:t xml:space="preserve"> jako u modernistů.</w:t>
      </w:r>
      <w:r w:rsidR="00867B6A">
        <w:t xml:space="preserve"> </w:t>
      </w:r>
      <w:r>
        <w:t>Tuto hojně citovanou tzv. „nominalistickou“ závěť je třeba dát do předešlého kontextu poznání podle Sigerova výkladu Sicilské školy.</w:t>
      </w:r>
      <w:r w:rsidRPr="00273106">
        <w:t xml:space="preserve"> </w:t>
      </w:r>
      <w:r>
        <w:t xml:space="preserve">Univerzália jsou dána v souladu s obecným učením prvního averroismu v modu </w:t>
      </w:r>
      <w:r w:rsidRPr="006D4522">
        <w:rPr>
          <w:i/>
        </w:rPr>
        <w:t xml:space="preserve">quartum </w:t>
      </w:r>
      <w:r w:rsidR="00962190">
        <w:rPr>
          <w:i/>
        </w:rPr>
        <w:t>genus</w:t>
      </w:r>
      <w:r>
        <w:rPr>
          <w:i/>
        </w:rPr>
        <w:fldChar w:fldCharType="begin"/>
      </w:r>
      <w:r>
        <w:instrText xml:space="preserve"> XE "</w:instrText>
      </w:r>
      <w:r w:rsidRPr="00191848">
        <w:rPr>
          <w:i/>
        </w:rPr>
        <w:instrText>quartum genus</w:instrText>
      </w:r>
      <w:r>
        <w:instrText xml:space="preserve">" </w:instrText>
      </w:r>
      <w:r>
        <w:rPr>
          <w:i/>
        </w:rPr>
        <w:fldChar w:fldCharType="end"/>
      </w:r>
      <w:r>
        <w:t xml:space="preserve"> jako univerzální pojmy, proto mají bytí pouze v intelektu. Ale toto pojetí univerzálií převzal také Scotus z prvního averroismu, takže v tomto bodě není žádný rozdíl mezi jeho semiaverroismem a Ockhamem. </w:t>
      </w:r>
      <w:r w:rsidRPr="00273106">
        <w:t xml:space="preserve">Jádro </w:t>
      </w:r>
      <w:r>
        <w:t xml:space="preserve">Ockhamovy </w:t>
      </w:r>
      <w:r w:rsidRPr="00273106">
        <w:t>nauky tvoří obhajoba autentické jednoty intelektu podle CMDA, která je co do smyslu shodná s fundamentální fenomenologickou opcí zakládající ipseitu osoby u Sigera</w:t>
      </w:r>
      <w:r>
        <w:fldChar w:fldCharType="begin"/>
      </w:r>
      <w:r>
        <w:instrText xml:space="preserve"> XE "</w:instrText>
      </w:r>
      <w:r w:rsidRPr="001F1BAF">
        <w:instrText>osoba:ipseita</w:instrText>
      </w:r>
      <w:r>
        <w:instrText xml:space="preserve">" </w:instrText>
      </w:r>
      <w:r>
        <w:fldChar w:fldCharType="end"/>
      </w:r>
      <w:r w:rsidRPr="00273106">
        <w:t xml:space="preserve"> (</w:t>
      </w:r>
      <w:r w:rsidR="003A3634">
        <w:t>kap. 4</w:t>
      </w:r>
      <w:r>
        <w:t xml:space="preserve">.4.3). Klíčové je určení </w:t>
      </w:r>
      <w:r w:rsidR="00660653">
        <w:t>„</w:t>
      </w:r>
      <w:r w:rsidRPr="00273106">
        <w:rPr>
          <w:i/>
        </w:rPr>
        <w:t>ad omnem</w:t>
      </w:r>
      <w:r w:rsidR="00660653">
        <w:t>“</w:t>
      </w:r>
      <w:r w:rsidRPr="00273106">
        <w:t xml:space="preserve"> v následujícím citátu, které determinuje směr nasvícení smyslu jsoucna</w:t>
      </w:r>
      <w:r>
        <w:t xml:space="preserve"> podle Sigera</w:t>
      </w:r>
      <w:r w:rsidRPr="00273106">
        <w:t>.</w:t>
      </w:r>
    </w:p>
    <w:p w:rsidR="08163013" w:rsidRDefault="08163013" w:rsidP="08163013">
      <w:pPr>
        <w:pStyle w:val="Citace"/>
      </w:pPr>
      <w:r w:rsidRPr="00273106">
        <w:rPr>
          <w:noProof/>
          <w:lang w:val="cs-CZ"/>
        </w:rPr>
        <w:t>„</w:t>
      </w:r>
      <w:r>
        <w:rPr>
          <w:noProof/>
          <w:lang w:val="cs-CZ"/>
        </w:rPr>
        <w:t xml:space="preserve">Můžeme se </w:t>
      </w:r>
      <w:r w:rsidR="009452CC">
        <w:rPr>
          <w:noProof/>
          <w:lang w:val="cs-CZ"/>
        </w:rPr>
        <w:t xml:space="preserve">sami </w:t>
      </w:r>
      <w:r>
        <w:rPr>
          <w:noProof/>
          <w:lang w:val="cs-CZ"/>
        </w:rPr>
        <w:t>přesvědčit, že k jakémukoliv pohybu z jednoho místa na druhé či ke změně (</w:t>
      </w:r>
      <w:r w:rsidRPr="00276A50">
        <w:rPr>
          <w:i/>
          <w:noProof/>
        </w:rPr>
        <w:t>ad omnem motum localem et alterationem</w:t>
      </w:r>
      <w:r>
        <w:rPr>
          <w:noProof/>
          <w:lang w:val="cs-CZ"/>
        </w:rPr>
        <w:t>) stačí úkony těla a všeho, co v nás smyslově zakoušíme (</w:t>
      </w:r>
      <w:r w:rsidRPr="006F2FF2">
        <w:rPr>
          <w:i/>
          <w:noProof/>
          <w:lang w:val="cs-CZ"/>
        </w:rPr>
        <w:t>experimur in nobis</w:t>
      </w:r>
      <w:r>
        <w:rPr>
          <w:noProof/>
          <w:lang w:val="cs-CZ"/>
        </w:rPr>
        <w:t>), jak je zřejmé v případě poznání a chtění.“ </w:t>
      </w:r>
      <w:r>
        <w:rPr>
          <w:rStyle w:val="Znakapoznpodarou"/>
        </w:rPr>
        <w:footnoteReference w:id="482"/>
      </w:r>
    </w:p>
    <w:p w:rsidR="08163013" w:rsidRDefault="08163013" w:rsidP="08163013">
      <w:r w:rsidRPr="00273106">
        <w:t>Smyslové vnímání a intelektuální činnosti zakoušíme na tělesném substrátu zakládajícím naši ipseitu (</w:t>
      </w:r>
      <w:r w:rsidRPr="00273106">
        <w:rPr>
          <w:i/>
        </w:rPr>
        <w:t>dispositiones corporis</w:t>
      </w:r>
      <w:r w:rsidRPr="00273106">
        <w:t xml:space="preserve">). Oduševnělé tělo je díky své potenciální receptivitě a substanční aktualitě schopno přijmout jakákoliv protikladná určení, protože je aktuální první </w:t>
      </w:r>
      <w:r w:rsidRPr="00273106">
        <w:lastRenderedPageBreak/>
        <w:t xml:space="preserve">substancí a tvoří ipseitně dané </w:t>
      </w:r>
      <w:r w:rsidRPr="00273106">
        <w:rPr>
          <w:i/>
        </w:rPr>
        <w:t>subiectum</w:t>
      </w:r>
      <w:r>
        <w:rPr>
          <w:i/>
        </w:rPr>
        <w:fldChar w:fldCharType="begin"/>
      </w:r>
      <w:r>
        <w:instrText xml:space="preserve"> XE "</w:instrText>
      </w:r>
      <w:r w:rsidRPr="00360013">
        <w:rPr>
          <w:i/>
        </w:rPr>
        <w:instrText>subiectum:</w:instrText>
      </w:r>
      <w:r>
        <w:instrText xml:space="preserve">Ockham" </w:instrText>
      </w:r>
      <w:r>
        <w:rPr>
          <w:i/>
        </w:rPr>
        <w:fldChar w:fldCharType="end"/>
      </w:r>
      <w:r>
        <w:t xml:space="preserve"> </w:t>
      </w:r>
      <w:r w:rsidRPr="00273106">
        <w:t xml:space="preserve">poznání </w:t>
      </w:r>
      <w:r>
        <w:t xml:space="preserve">aktuální osoby </w:t>
      </w:r>
      <w:r w:rsidRPr="00273106">
        <w:t>(</w:t>
      </w:r>
      <w:r w:rsidRPr="00273106">
        <w:rPr>
          <w:i/>
        </w:rPr>
        <w:t>experimur in nobis</w:t>
      </w:r>
      <w:r>
        <w:rPr>
          <w:i/>
        </w:rPr>
        <w:fldChar w:fldCharType="begin"/>
      </w:r>
      <w:r>
        <w:instrText xml:space="preserve"> XE "intelekt:</w:instrText>
      </w:r>
      <w:r w:rsidRPr="00F21454">
        <w:rPr>
          <w:i/>
        </w:rPr>
        <w:instrText>experimur/conscii sumus</w:instrText>
      </w:r>
      <w:r>
        <w:instrText xml:space="preserve">" </w:instrText>
      </w:r>
      <w:r>
        <w:rPr>
          <w:i/>
        </w:rPr>
        <w:fldChar w:fldCharType="end"/>
      </w:r>
      <w:r w:rsidRPr="00273106">
        <w:t xml:space="preserve">). Ockham trvá na aktualizaci intelektu pouze ze smyslů a na oduševněném těle jako jediném substrátu. </w:t>
      </w:r>
      <w:r>
        <w:t xml:space="preserve">Jedině oduševněné tělo má schopnost podléhat změně, ať už dané materiálně, nebo nemateriálně v intelektu. </w:t>
      </w:r>
      <w:r w:rsidRPr="00273106">
        <w:t>Toto spojení smyslové a rozumové stránky duše jako jediné formy těla zak</w:t>
      </w:r>
      <w:r w:rsidR="004F1A43">
        <w:t xml:space="preserve">ládá fenomenologický způsob, </w:t>
      </w:r>
      <w:r>
        <w:t>j</w:t>
      </w:r>
      <w:r w:rsidRPr="00273106">
        <w:t>ak</w:t>
      </w:r>
      <w:r>
        <w:rPr>
          <w:i/>
        </w:rPr>
        <w:fldChar w:fldCharType="begin"/>
      </w:r>
      <w:r>
        <w:instrText xml:space="preserve"> XE "</w:instrText>
      </w:r>
      <w:r w:rsidRPr="00F21454">
        <w:instrText>hermene</w:instrText>
      </w:r>
      <w:r>
        <w:instrText>u</w:instrText>
      </w:r>
      <w:r w:rsidRPr="00F21454">
        <w:instrText>tické</w:instrText>
      </w:r>
      <w:r w:rsidRPr="00CB520A">
        <w:rPr>
          <w:i/>
        </w:rPr>
        <w:instrText xml:space="preserve"> Wie:</w:instrText>
      </w:r>
      <w:r w:rsidRPr="00F21454">
        <w:instrText>Ockham</w:instrText>
      </w:r>
      <w:r>
        <w:instrText xml:space="preserve">" </w:instrText>
      </w:r>
      <w:r>
        <w:rPr>
          <w:i/>
        </w:rPr>
        <w:fldChar w:fldCharType="end"/>
      </w:r>
      <w:r>
        <w:t xml:space="preserve"> </w:t>
      </w:r>
      <w:r w:rsidR="00280D22">
        <w:t xml:space="preserve">se </w:t>
      </w:r>
      <w:r w:rsidR="00A04D91">
        <w:t xml:space="preserve">skutečně </w:t>
      </w:r>
      <w:r w:rsidR="00280D22">
        <w:t xml:space="preserve">aktualizuje </w:t>
      </w:r>
      <w:r w:rsidRPr="00273106">
        <w:t>poznání. Zakoušení poznání v první osobě odpovídá Sigerovu pojetí ipseity</w:t>
      </w:r>
      <w:r>
        <w:fldChar w:fldCharType="begin"/>
      </w:r>
      <w:r>
        <w:instrText xml:space="preserve"> XE "</w:instrText>
      </w:r>
      <w:r w:rsidRPr="0098670A">
        <w:instrText>osoba:ipseita</w:instrText>
      </w:r>
      <w:r>
        <w:instrText xml:space="preserve">" </w:instrText>
      </w:r>
      <w:r>
        <w:fldChar w:fldCharType="end"/>
      </w:r>
      <w:r w:rsidR="004D66E8">
        <w:t xml:space="preserve"> (</w:t>
      </w:r>
      <w:r w:rsidR="004D66E8" w:rsidRPr="00196BE5">
        <w:rPr>
          <w:i/>
        </w:rPr>
        <w:t>experimur</w:t>
      </w:r>
      <w:r w:rsidR="004D66E8">
        <w:rPr>
          <w:rFonts w:cs="Calibri"/>
          <w:i/>
        </w:rPr>
        <w:t>–</w:t>
      </w:r>
      <w:r w:rsidR="004D66E8" w:rsidRPr="00196BE5">
        <w:rPr>
          <w:i/>
        </w:rPr>
        <w:t>conscii sumus</w:t>
      </w:r>
      <w:r w:rsidR="004D66E8">
        <w:t>)</w:t>
      </w:r>
      <w:r w:rsidRPr="00273106">
        <w:t>, které Brabantský magistr postavil proti „létajícímu muži“ Avicenny. Intelekt jako nemateriální potence duše je aktualizován směrem od smyslů</w:t>
      </w:r>
      <w:r>
        <w:t>. V</w:t>
      </w:r>
      <w:r w:rsidRPr="00273106">
        <w:t xml:space="preserve">šechny </w:t>
      </w:r>
      <w:r>
        <w:t xml:space="preserve">naše </w:t>
      </w:r>
      <w:r w:rsidRPr="00273106">
        <w:t xml:space="preserve">potence </w:t>
      </w:r>
      <w:r>
        <w:t xml:space="preserve">a schopnosti </w:t>
      </w:r>
      <w:r w:rsidRPr="00273106">
        <w:t>jsou dány v první substanci, jejíž jedinečnou formou je duše</w:t>
      </w:r>
      <w:r>
        <w:t xml:space="preserve"> </w:t>
      </w:r>
      <w:r w:rsidRPr="00273106">
        <w:t xml:space="preserve">subsistující </w:t>
      </w:r>
      <w:r>
        <w:t>v individuálním těle</w:t>
      </w:r>
      <w:r w:rsidRPr="00273106">
        <w:t>. Pak podle Sigera získáváme jak vědění od smyslů, tak i vědění našeho vědění (</w:t>
      </w:r>
      <w:r w:rsidRPr="00273106">
        <w:rPr>
          <w:i/>
        </w:rPr>
        <w:t>nos enim conscii sumus ex virtutibus corporis intellectum</w:t>
      </w:r>
      <w:r w:rsidR="009B3157">
        <w:t>, kap. 4</w:t>
      </w:r>
      <w:r w:rsidRPr="00273106">
        <w:t>.4.2). Jednotu intelektu shrnuje následující Ockhamův citát z</w:t>
      </w:r>
      <w:r w:rsidR="00443BFF">
        <w:t xml:space="preserve"> výše </w:t>
      </w:r>
      <w:r>
        <w:t xml:space="preserve">uvedené </w:t>
      </w:r>
      <w:r w:rsidRPr="00273106">
        <w:t xml:space="preserve">obrany </w:t>
      </w:r>
      <w:r>
        <w:t>Averroes</w:t>
      </w:r>
      <w:r w:rsidRPr="00273106">
        <w:t>e.</w:t>
      </w:r>
    </w:p>
    <w:p w:rsidR="08163013" w:rsidRDefault="08163013" w:rsidP="08163013">
      <w:pPr>
        <w:pStyle w:val="Citace"/>
        <w:rPr>
          <w:lang w:val="cs-CZ"/>
        </w:rPr>
      </w:pPr>
      <w:r w:rsidRPr="00273106">
        <w:rPr>
          <w:noProof/>
        </w:rPr>
        <w:t>„</w:t>
      </w:r>
      <w:r>
        <w:t>Člověk v aktuálním výkonu existence (</w:t>
      </w:r>
      <w:r w:rsidRPr="00F01023">
        <w:rPr>
          <w:i/>
        </w:rPr>
        <w:t>i</w:t>
      </w:r>
      <w:r w:rsidRPr="00F01023">
        <w:rPr>
          <w:i/>
          <w:noProof/>
        </w:rPr>
        <w:t>n primo instanti in quo est</w:t>
      </w:r>
      <w:r>
        <w:t>) nemá žádný intel</w:t>
      </w:r>
      <w:r>
        <w:rPr>
          <w:lang w:val="cs-CZ"/>
        </w:rPr>
        <w:t>e</w:t>
      </w:r>
      <w:r>
        <w:t>kt, který by byl přidaný zvnějšku a spojený s člověkem</w:t>
      </w:r>
      <w:r>
        <w:rPr>
          <w:lang w:val="cs-CZ"/>
        </w:rPr>
        <w:t xml:space="preserve"> (</w:t>
      </w:r>
      <w:r w:rsidRPr="00F01023">
        <w:rPr>
          <w:i/>
          <w:noProof/>
        </w:rPr>
        <w:t>intellectum sibi copulatum et unitum</w:t>
      </w:r>
      <w:r>
        <w:rPr>
          <w:lang w:val="cs-CZ"/>
        </w:rPr>
        <w:t>)</w:t>
      </w:r>
      <w:r>
        <w:t>. Pak by totiž k poznání nepotřeboval fantasmata</w:t>
      </w:r>
      <w:r w:rsidRPr="00273106">
        <w:rPr>
          <w:noProof/>
        </w:rPr>
        <w:t xml:space="preserve">, </w:t>
      </w:r>
      <w:r w:rsidR="00ED1D83">
        <w:rPr>
          <w:noProof/>
          <w:lang w:val="cs-CZ"/>
        </w:rPr>
        <w:t xml:space="preserve">skrze </w:t>
      </w:r>
      <w:r>
        <w:t xml:space="preserve">která </w:t>
      </w:r>
      <w:r w:rsidR="00ED1D83">
        <w:rPr>
          <w:lang w:val="cs-CZ"/>
        </w:rPr>
        <w:t xml:space="preserve">provádí </w:t>
      </w:r>
      <w:r>
        <w:t>abstra</w:t>
      </w:r>
      <w:r w:rsidR="00ED1D83">
        <w:rPr>
          <w:lang w:val="cs-CZ"/>
        </w:rPr>
        <w:t xml:space="preserve">kci </w:t>
      </w:r>
      <w:r>
        <w:t>od věcí.“</w:t>
      </w:r>
      <w:r>
        <w:rPr>
          <w:lang w:val="cs-CZ"/>
        </w:rPr>
        <w:t> </w:t>
      </w:r>
      <w:r>
        <w:rPr>
          <w:rStyle w:val="Znakapoznpodarou"/>
        </w:rPr>
        <w:footnoteReference w:id="483"/>
      </w:r>
    </w:p>
    <w:p w:rsidR="00AD6653" w:rsidRDefault="00FA66E0" w:rsidP="08163013">
      <w:r w:rsidRPr="00FA66E0">
        <w:t>Ockham há</w:t>
      </w:r>
      <w:r>
        <w:t>jí existenci osoby jako osobní</w:t>
      </w:r>
      <w:r w:rsidRPr="00FA66E0">
        <w:t xml:space="preserve"> </w:t>
      </w:r>
      <w:r w:rsidRPr="00FA66E0">
        <w:rPr>
          <w:i/>
        </w:rPr>
        <w:t>actus essendi</w:t>
      </w:r>
      <w:r w:rsidRPr="00FA66E0">
        <w:t>, který je jedinečný (</w:t>
      </w:r>
      <w:r w:rsidRPr="00FA66E0">
        <w:rPr>
          <w:i/>
        </w:rPr>
        <w:t>in quo est</w:t>
      </w:r>
      <w:r w:rsidRPr="00FA66E0">
        <w:t xml:space="preserve">). To se podařilo </w:t>
      </w:r>
      <w:r>
        <w:t xml:space="preserve">asi </w:t>
      </w:r>
      <w:r w:rsidRPr="00FA66E0">
        <w:t xml:space="preserve">naposledy v dějinách myšlení, než Heidegger </w:t>
      </w:r>
      <w:r w:rsidR="008E23BB">
        <w:t xml:space="preserve">založil </w:t>
      </w:r>
      <w:r w:rsidRPr="00FA66E0">
        <w:t xml:space="preserve">fenomenologii </w:t>
      </w:r>
      <w:r w:rsidRPr="00FA66E0">
        <w:rPr>
          <w:i/>
        </w:rPr>
        <w:t>Dasein</w:t>
      </w:r>
      <w:r>
        <w:t xml:space="preserve">. </w:t>
      </w:r>
      <w:r w:rsidR="08163013" w:rsidRPr="00273106">
        <w:t xml:space="preserve">Intelekt tvoří součást aktu </w:t>
      </w:r>
      <w:r w:rsidR="08163013">
        <w:t xml:space="preserve">této jedinečné </w:t>
      </w:r>
      <w:r w:rsidR="08163013" w:rsidRPr="00273106">
        <w:t>subsistence</w:t>
      </w:r>
      <w:r w:rsidR="08163013">
        <w:fldChar w:fldCharType="begin"/>
      </w:r>
      <w:r w:rsidR="08163013">
        <w:instrText xml:space="preserve"> XE "</w:instrText>
      </w:r>
      <w:r w:rsidR="08163013" w:rsidRPr="001D1E42">
        <w:instrText>subsistence</w:instrText>
      </w:r>
      <w:r w:rsidR="08163013">
        <w:instrText xml:space="preserve">:Ockham" </w:instrText>
      </w:r>
      <w:r w:rsidR="08163013">
        <w:fldChar w:fldCharType="end"/>
      </w:r>
      <w:r w:rsidR="08163013" w:rsidRPr="00273106">
        <w:t>, proto jej nelze nějak přidat zvnějšku (</w:t>
      </w:r>
      <w:r w:rsidR="08163013" w:rsidRPr="00273106">
        <w:rPr>
          <w:i/>
        </w:rPr>
        <w:t>non haberet intellectum sibi copulatum</w:t>
      </w:r>
      <w:r w:rsidR="08163013" w:rsidRPr="00273106">
        <w:t xml:space="preserve">). Intelekt není k člověku přidán vznějšku jako nějaká kvazi-substance </w:t>
      </w:r>
      <w:r w:rsidR="08163013">
        <w:t xml:space="preserve">nebo kvazi-forma </w:t>
      </w:r>
      <w:r w:rsidR="08163013" w:rsidRPr="00273106">
        <w:rPr>
          <w:i/>
        </w:rPr>
        <w:t>Modernorum</w:t>
      </w:r>
      <w:r w:rsidR="08163013" w:rsidRPr="00273106">
        <w:t xml:space="preserve">, která by měla aktualitu odlišnou od hylemorfické první substance. </w:t>
      </w:r>
      <w:r w:rsidR="08163013">
        <w:t>P</w:t>
      </w:r>
      <w:r w:rsidR="08163013" w:rsidRPr="00273106">
        <w:t xml:space="preserve">řidávání </w:t>
      </w:r>
      <w:r w:rsidR="006D46E3">
        <w:t>nějakého „</w:t>
      </w:r>
      <w:r w:rsidR="08163013">
        <w:t>jsoucna</w:t>
      </w:r>
      <w:r w:rsidR="006D46E3">
        <w:t>“</w:t>
      </w:r>
      <w:r w:rsidR="08163013">
        <w:t xml:space="preserve"> k existující osobě </w:t>
      </w:r>
      <w:r w:rsidR="08163013" w:rsidRPr="00273106">
        <w:t>je nesmysl, který je třeba odmítnout</w:t>
      </w:r>
      <w:r w:rsidR="08163013">
        <w:t>. Jedině osoba existuje jako první substance a k aktu její existence nelze zvnějšku nic substančního přidat. N</w:t>
      </w:r>
      <w:r w:rsidR="08163013" w:rsidRPr="00273106">
        <w:t xml:space="preserve">elze množit </w:t>
      </w:r>
      <w:r w:rsidR="08163013">
        <w:t xml:space="preserve">nesmyslná a zcela zbytečná </w:t>
      </w:r>
      <w:r w:rsidR="08163013" w:rsidRPr="00273106">
        <w:t>jsoucna třetího druhu</w:t>
      </w:r>
      <w:r w:rsidR="08163013">
        <w:t>, protože metafyzika není mytopoetický kabaret</w:t>
      </w:r>
      <w:r w:rsidR="008C08DE">
        <w:t xml:space="preserve"> moderny</w:t>
      </w:r>
      <w:r w:rsidR="08163013" w:rsidRPr="00273106">
        <w:t xml:space="preserve">. Citace navíc ukázaly, že </w:t>
      </w:r>
      <w:r w:rsidR="08163013">
        <w:t xml:space="preserve">hypostázovaný </w:t>
      </w:r>
      <w:r w:rsidR="08163013" w:rsidRPr="00273106">
        <w:t>intelekt moderny ne</w:t>
      </w:r>
      <w:r w:rsidR="08163013">
        <w:t xml:space="preserve">lze </w:t>
      </w:r>
      <w:r w:rsidR="08163013" w:rsidRPr="00273106">
        <w:t>aktualizovat</w:t>
      </w:r>
      <w:r w:rsidR="08163013">
        <w:t xml:space="preserve"> tak, aby měl přirozené smyslové poznání světa</w:t>
      </w:r>
      <w:r w:rsidR="001F757E">
        <w:t>. M</w:t>
      </w:r>
      <w:r w:rsidR="08163013">
        <w:t>ystické nazírání boha</w:t>
      </w:r>
      <w:r w:rsidR="001F757E">
        <w:t xml:space="preserve"> </w:t>
      </w:r>
      <w:r w:rsidR="00EC4D51">
        <w:t xml:space="preserve">a jeho racionality </w:t>
      </w:r>
      <w:r w:rsidR="001F757E">
        <w:t>nepatří do filosofie</w:t>
      </w:r>
      <w:r w:rsidR="08163013" w:rsidRPr="00273106">
        <w:t xml:space="preserve">. Jedině receptivní intelekt daný ve výkonu ipseitní existence subsistující na </w:t>
      </w:r>
      <w:r w:rsidR="08163013" w:rsidRPr="00273106">
        <w:lastRenderedPageBreak/>
        <w:t xml:space="preserve">smyslově-tělesném substrátu je schopen získávat aktuální poznání z fantasmat. Oddělený intelekt modernistů by </w:t>
      </w:r>
      <w:r w:rsidR="08163013">
        <w:t>vinou nemateriality</w:t>
      </w:r>
      <w:r w:rsidR="08163013" w:rsidRPr="00273106">
        <w:t xml:space="preserve"> a </w:t>
      </w:r>
      <w:r w:rsidR="08163013">
        <w:t>aktuality</w:t>
      </w:r>
      <w:r w:rsidR="08163013" w:rsidRPr="00273106">
        <w:t xml:space="preserve"> neměl jak přijmout další aktuální určení daná z fantasmat (</w:t>
      </w:r>
      <w:r w:rsidR="08163013" w:rsidRPr="00273106">
        <w:rPr>
          <w:i/>
        </w:rPr>
        <w:t>tunc non habet phantasma quod abstrahitur a rebus</w:t>
      </w:r>
      <w:r w:rsidR="08163013" w:rsidRPr="00273106">
        <w:t xml:space="preserve">). </w:t>
      </w:r>
      <w:r w:rsidR="08163013">
        <w:t>Výsledem podobných nesmys</w:t>
      </w:r>
      <w:r w:rsidR="08163013" w:rsidRPr="00273106">
        <w:t>lů je dichot</w:t>
      </w:r>
      <w:r w:rsidR="08163013">
        <w:t>omie poznání, člověka a reality, která určuje myšlenkový zmatek moderny a postmoderny. Buď vládne</w:t>
      </w:r>
      <w:r w:rsidR="08163013" w:rsidRPr="00273106">
        <w:t xml:space="preserve"> </w:t>
      </w:r>
      <w:r w:rsidR="08163013">
        <w:t>k</w:t>
      </w:r>
      <w:r w:rsidR="08163013" w:rsidRPr="00273106">
        <w:t xml:space="preserve">arteziánská </w:t>
      </w:r>
      <w:r w:rsidR="08163013" w:rsidRPr="00CE0194">
        <w:rPr>
          <w:i/>
        </w:rPr>
        <w:t>res cogitans</w:t>
      </w:r>
      <w:r w:rsidR="08163013">
        <w:rPr>
          <w:i/>
        </w:rPr>
        <w:fldChar w:fldCharType="begin"/>
      </w:r>
      <w:r w:rsidR="08163013">
        <w:instrText xml:space="preserve"> XE "</w:instrText>
      </w:r>
      <w:r w:rsidR="08163013" w:rsidRPr="003F49D8">
        <w:rPr>
          <w:i/>
        </w:rPr>
        <w:instrText>res cogitans</w:instrText>
      </w:r>
      <w:r w:rsidR="08163013">
        <w:instrText xml:space="preserve">" </w:instrText>
      </w:r>
      <w:r w:rsidR="08163013">
        <w:rPr>
          <w:i/>
        </w:rPr>
        <w:fldChar w:fldCharType="end"/>
      </w:r>
      <w:r w:rsidR="08163013" w:rsidRPr="00273106">
        <w:t xml:space="preserve"> v </w:t>
      </w:r>
      <w:r w:rsidR="08163013">
        <w:t xml:space="preserve">umělém </w:t>
      </w:r>
      <w:r w:rsidR="08163013" w:rsidRPr="00273106">
        <w:t>matrixu</w:t>
      </w:r>
      <w:r w:rsidR="00EC4D51">
        <w:t xml:space="preserve">, které představuje </w:t>
      </w:r>
      <w:r w:rsidR="08163013" w:rsidRPr="00273106">
        <w:t>simulákr</w:t>
      </w:r>
      <w:r w:rsidR="00EC4D51">
        <w:t>um</w:t>
      </w:r>
      <w:r w:rsidR="08163013">
        <w:fldChar w:fldCharType="begin"/>
      </w:r>
      <w:r w:rsidR="08163013">
        <w:instrText xml:space="preserve"> XE "</w:instrText>
      </w:r>
      <w:r w:rsidR="08163013" w:rsidRPr="00C2134D">
        <w:instrText>simulákrum</w:instrText>
      </w:r>
      <w:r w:rsidR="08163013">
        <w:instrText xml:space="preserve">" </w:instrText>
      </w:r>
      <w:r w:rsidR="08163013">
        <w:fldChar w:fldCharType="end"/>
      </w:r>
      <w:r w:rsidR="08163013" w:rsidRPr="00273106">
        <w:t xml:space="preserve"> r</w:t>
      </w:r>
      <w:r w:rsidR="08163013">
        <w:t>eality. Nebo postmoderní alexandrovc</w:t>
      </w:r>
      <w:r w:rsidR="08163013" w:rsidRPr="00273106">
        <w:t>i</w:t>
      </w:r>
      <w:r w:rsidR="08163013">
        <w:fldChar w:fldCharType="begin"/>
      </w:r>
      <w:r w:rsidR="08163013">
        <w:instrText xml:space="preserve"> XE "alexandrovci" </w:instrText>
      </w:r>
      <w:r w:rsidR="08163013">
        <w:fldChar w:fldCharType="end"/>
      </w:r>
      <w:r w:rsidR="08163013" w:rsidRPr="00273106">
        <w:t xml:space="preserve"> </w:t>
      </w:r>
      <w:r w:rsidR="08163013">
        <w:t xml:space="preserve">dají </w:t>
      </w:r>
      <w:r w:rsidR="08163013" w:rsidRPr="00273106">
        <w:t>lidský intel</w:t>
      </w:r>
      <w:r w:rsidR="08163013">
        <w:t>ekt</w:t>
      </w:r>
      <w:r w:rsidR="08163013" w:rsidRPr="00273106">
        <w:t xml:space="preserve"> na </w:t>
      </w:r>
      <w:r w:rsidR="08163013">
        <w:t xml:space="preserve">materiální úroveň </w:t>
      </w:r>
      <w:r w:rsidR="08163013" w:rsidRPr="00273106">
        <w:t xml:space="preserve">zvířecí schopnosti dané pouze smysly a mozkovými funkcemi. Obojí znamená degradaci člověka </w:t>
      </w:r>
      <w:r w:rsidR="08163013">
        <w:t xml:space="preserve">vrcholící v epoše </w:t>
      </w:r>
      <w:r w:rsidR="08163013" w:rsidRPr="00273106">
        <w:t>západní</w:t>
      </w:r>
      <w:r w:rsidR="08163013">
        <w:t>ho</w:t>
      </w:r>
      <w:r w:rsidR="08163013" w:rsidRPr="00273106">
        <w:t xml:space="preserve"> nihilismu metafyziky. </w:t>
      </w:r>
      <w:r w:rsidR="08163013">
        <w:t xml:space="preserve">První skupně sofistů zmizí vnější svět, druhé skupině zase jedinečnost člověka založená na specifickém způsobu jeho ipseitní existence </w:t>
      </w:r>
      <w:r w:rsidR="00AD6653">
        <w:t>a nemateriálního poznání světa.</w:t>
      </w:r>
    </w:p>
    <w:p w:rsidR="08163013" w:rsidRPr="00273106" w:rsidRDefault="08163013" w:rsidP="00AD6653">
      <w:pPr>
        <w:ind w:firstLine="397"/>
      </w:pPr>
      <w:r w:rsidRPr="00273106">
        <w:t>Ockham byl poslední zastánce prvního averroi</w:t>
      </w:r>
      <w:r>
        <w:t>sm</w:t>
      </w:r>
      <w:r w:rsidRPr="00273106">
        <w:t xml:space="preserve">u, který zásadně a fundovaně </w:t>
      </w:r>
      <w:r>
        <w:t xml:space="preserve">odmítl obě varianty moderní </w:t>
      </w:r>
      <w:r w:rsidRPr="00273106">
        <w:t xml:space="preserve">destrukce </w:t>
      </w:r>
      <w:r>
        <w:t xml:space="preserve">aristotelského </w:t>
      </w:r>
      <w:r w:rsidRPr="00273106">
        <w:t>rozumu</w:t>
      </w:r>
      <w:r>
        <w:t xml:space="preserve"> definovaného v Komentátorově výkladu </w:t>
      </w:r>
      <w:r w:rsidRPr="00B10D14">
        <w:rPr>
          <w:i/>
        </w:rPr>
        <w:t>De anima</w:t>
      </w:r>
      <w:r w:rsidRPr="00273106">
        <w:t xml:space="preserve">. </w:t>
      </w:r>
      <w:r>
        <w:t xml:space="preserve">Obhajoba skutečné povahy </w:t>
      </w:r>
      <w:r w:rsidRPr="00DC5ACA">
        <w:rPr>
          <w:i/>
        </w:rPr>
        <w:t>intellectus possib</w:t>
      </w:r>
      <w:r>
        <w:rPr>
          <w:i/>
        </w:rPr>
        <w:t>i</w:t>
      </w:r>
      <w:r w:rsidRPr="00DC5ACA">
        <w:rPr>
          <w:i/>
        </w:rPr>
        <w:t>lis</w:t>
      </w:r>
      <w:r>
        <w:rPr>
          <w:i/>
        </w:rPr>
        <w:fldChar w:fldCharType="begin"/>
      </w:r>
      <w:r>
        <w:instrText xml:space="preserve"> XE "</w:instrText>
      </w:r>
      <w:r w:rsidRPr="00770D02">
        <w:rPr>
          <w:i/>
        </w:rPr>
        <w:instrText>intellectus possibilis</w:instrText>
      </w:r>
      <w:r>
        <w:instrText xml:space="preserve">:Ockham" </w:instrText>
      </w:r>
      <w:r>
        <w:rPr>
          <w:i/>
        </w:rPr>
        <w:fldChar w:fldCharType="end"/>
      </w:r>
      <w:r w:rsidRPr="00DC5ACA">
        <w:rPr>
          <w:i/>
        </w:rPr>
        <w:t xml:space="preserve"> </w:t>
      </w:r>
      <w:r>
        <w:t xml:space="preserve">dává </w:t>
      </w:r>
      <w:r w:rsidRPr="00273106">
        <w:t xml:space="preserve">podle posledního západního znalce CMDA také </w:t>
      </w:r>
      <w:r>
        <w:t xml:space="preserve">zásadní </w:t>
      </w:r>
      <w:r w:rsidRPr="00273106">
        <w:t xml:space="preserve">důvod, proč </w:t>
      </w:r>
      <w:r>
        <w:t>Averroes</w:t>
      </w:r>
      <w:r w:rsidRPr="00273106">
        <w:t xml:space="preserve"> odmítá možnost, že by </w:t>
      </w:r>
      <w:r w:rsidRPr="00273106">
        <w:rPr>
          <w:i/>
        </w:rPr>
        <w:t>intellectus possibilis</w:t>
      </w:r>
      <w:r>
        <w:t xml:space="preserve"> byla jednotná substance daná zvnějšku pro všechny lidi. </w:t>
      </w:r>
      <w:r w:rsidRPr="00273106">
        <w:t xml:space="preserve">Spojení receptivity intelektu na smyslové obsahy řešilo CMDA rozlišením mezi </w:t>
      </w:r>
      <w:r w:rsidRPr="00273106">
        <w:rPr>
          <w:i/>
        </w:rPr>
        <w:t>tertium</w:t>
      </w:r>
      <w:r w:rsidRPr="00273106">
        <w:t xml:space="preserve"> a </w:t>
      </w:r>
      <w:r w:rsidRPr="00273106">
        <w:rPr>
          <w:i/>
        </w:rPr>
        <w:t xml:space="preserve">quartum </w:t>
      </w:r>
      <w:r w:rsidR="00962190">
        <w:rPr>
          <w:i/>
        </w:rPr>
        <w:t>genus</w:t>
      </w:r>
      <w:r>
        <w:rPr>
          <w:i/>
        </w:rPr>
        <w:fldChar w:fldCharType="begin"/>
      </w:r>
      <w:r>
        <w:instrText xml:space="preserve"> XE "</w:instrText>
      </w:r>
      <w:r w:rsidRPr="00191848">
        <w:rPr>
          <w:i/>
        </w:rPr>
        <w:instrText>quartum genus</w:instrText>
      </w:r>
      <w:r>
        <w:instrText xml:space="preserve">" </w:instrText>
      </w:r>
      <w:r>
        <w:rPr>
          <w:i/>
        </w:rPr>
        <w:fldChar w:fldCharType="end"/>
      </w:r>
      <w:r>
        <w:t xml:space="preserve">. </w:t>
      </w:r>
      <w:r w:rsidR="00B43550">
        <w:t xml:space="preserve">Poznání </w:t>
      </w:r>
      <w:r w:rsidRPr="00273106">
        <w:t>je co do schopnosti „být rece</w:t>
      </w:r>
      <w:r w:rsidR="00B43550">
        <w:t>ptivní“ společné</w:t>
      </w:r>
      <w:r w:rsidRPr="00273106">
        <w:t xml:space="preserve"> všem lidem</w:t>
      </w:r>
      <w:r w:rsidR="00B43550">
        <w:t>.</w:t>
      </w:r>
      <w:r w:rsidR="00AD6653">
        <w:t xml:space="preserve"> </w:t>
      </w:r>
      <w:r w:rsidR="00B43550">
        <w:t xml:space="preserve">Tuto základní schopnost všech lidí </w:t>
      </w:r>
      <w:r w:rsidRPr="00273106">
        <w:t xml:space="preserve">vyjadřuje </w:t>
      </w:r>
      <w:r>
        <w:t>Averroes</w:t>
      </w:r>
      <w:r w:rsidRPr="00273106">
        <w:t xml:space="preserve">ův pojem </w:t>
      </w:r>
      <w:r w:rsidRPr="00273106">
        <w:rPr>
          <w:i/>
        </w:rPr>
        <w:t xml:space="preserve">quartum </w:t>
      </w:r>
      <w:r w:rsidR="00962190">
        <w:rPr>
          <w:i/>
        </w:rPr>
        <w:t>genus</w:t>
      </w:r>
      <w:r w:rsidRPr="00273106">
        <w:t xml:space="preserve"> </w:t>
      </w:r>
      <w:r w:rsidR="00BE6620">
        <w:t xml:space="preserve">v CMDA </w:t>
      </w:r>
      <w:r w:rsidRPr="00273106">
        <w:t xml:space="preserve">a první část </w:t>
      </w:r>
      <w:r w:rsidR="00B43550">
        <w:t xml:space="preserve">Aristotelova </w:t>
      </w:r>
      <w:r w:rsidRPr="00273106">
        <w:t xml:space="preserve">citátu v </w:t>
      </w:r>
      <w:r w:rsidRPr="00273106">
        <w:rPr>
          <w:i/>
        </w:rPr>
        <w:t>De Interpretatione</w:t>
      </w:r>
      <w:r>
        <w:t xml:space="preserve"> (</w:t>
      </w:r>
      <w:r w:rsidR="00B43550">
        <w:t>OBJ II, kap. 1</w:t>
      </w:r>
      <w:r>
        <w:t>.1). P</w:t>
      </w:r>
      <w:r w:rsidRPr="00273106">
        <w:t>rimát receptivníh</w:t>
      </w:r>
      <w:r>
        <w:t xml:space="preserve">o intelektu jako fundamentální </w:t>
      </w:r>
      <w:r w:rsidRPr="00273106">
        <w:rPr>
          <w:i/>
        </w:rPr>
        <w:t>potentia substantialis</w:t>
      </w:r>
      <w:r w:rsidRPr="00273106">
        <w:t xml:space="preserve"> platí v univerzálním smyslu, protože definuje lidské poznání (</w:t>
      </w:r>
      <w:r w:rsidRPr="00273106">
        <w:rPr>
          <w:i/>
        </w:rPr>
        <w:t>intellectus possibilis sit prima perfectio hominis</w:t>
      </w:r>
      <w:r w:rsidRPr="00273106">
        <w:t xml:space="preserve">). </w:t>
      </w:r>
      <w:r>
        <w:t xml:space="preserve">Obecně daná schopnost intelekt jako potence vysvětluje, proč všichni lidé myslí formálně stejný obsah (Averroesův </w:t>
      </w:r>
      <w:r w:rsidRPr="08781562">
        <w:rPr>
          <w:i/>
        </w:rPr>
        <w:t xml:space="preserve">quartum </w:t>
      </w:r>
      <w:r w:rsidR="00962190">
        <w:rPr>
          <w:i/>
        </w:rPr>
        <w:t>genus</w:t>
      </w:r>
      <w:r>
        <w:t>). Primární aktualizace intelektu ze smyslů zase zajišťuje, že pojem nemyslí existenciálně stejným způsobem, protože výkon myšlení je už osobní schopnost (</w:t>
      </w:r>
      <w:r w:rsidRPr="08781562">
        <w:rPr>
          <w:i/>
        </w:rPr>
        <w:t xml:space="preserve">tertium </w:t>
      </w:r>
      <w:r w:rsidR="00962190">
        <w:rPr>
          <w:i/>
        </w:rPr>
        <w:t>genus</w:t>
      </w:r>
      <w:r>
        <w:rPr>
          <w:i/>
        </w:rPr>
        <w:fldChar w:fldCharType="begin"/>
      </w:r>
      <w:r>
        <w:instrText xml:space="preserve"> XE "</w:instrText>
      </w:r>
      <w:r w:rsidRPr="00D80F84">
        <w:rPr>
          <w:i/>
        </w:rPr>
        <w:instrText>tertium genus</w:instrText>
      </w:r>
      <w:r>
        <w:instrText xml:space="preserve">" </w:instrText>
      </w:r>
      <w:r>
        <w:rPr>
          <w:i/>
        </w:rPr>
        <w:fldChar w:fldCharType="end"/>
      </w:r>
      <w:r>
        <w:t xml:space="preserve">). Akt porozumění je </w:t>
      </w:r>
      <w:r w:rsidRPr="00273106">
        <w:t xml:space="preserve">reálný, a tudíž pouze </w:t>
      </w:r>
      <w:r>
        <w:t xml:space="preserve">osobní průběh poznání. Poznání probíhá skrze </w:t>
      </w:r>
      <w:r w:rsidRPr="00273106">
        <w:t>aktualizac</w:t>
      </w:r>
      <w:r>
        <w:t xml:space="preserve">i </w:t>
      </w:r>
      <w:r w:rsidRPr="00273106">
        <w:rPr>
          <w:i/>
        </w:rPr>
        <w:t xml:space="preserve">potentia </w:t>
      </w:r>
      <w:r>
        <w:rPr>
          <w:i/>
        </w:rPr>
        <w:t>accidentalis</w:t>
      </w:r>
      <w:r>
        <w:rPr>
          <w:i/>
        </w:rPr>
        <w:fldChar w:fldCharType="begin"/>
      </w:r>
      <w:r>
        <w:instrText xml:space="preserve"> XE "</w:instrText>
      </w:r>
      <w:r w:rsidRPr="007169BB">
        <w:rPr>
          <w:i/>
        </w:rPr>
        <w:instrText>potentia</w:instrText>
      </w:r>
      <w:r w:rsidRPr="007169BB">
        <w:instrText xml:space="preserve"> </w:instrText>
      </w:r>
      <w:r>
        <w:rPr>
          <w:i/>
        </w:rPr>
        <w:instrText>accidentalis</w:instrText>
      </w:r>
      <w:r>
        <w:instrText xml:space="preserve">" </w:instrText>
      </w:r>
      <w:r>
        <w:rPr>
          <w:i/>
        </w:rPr>
        <w:fldChar w:fldCharType="end"/>
      </w:r>
      <w:r w:rsidRPr="00273106">
        <w:t xml:space="preserve"> na úrovni </w:t>
      </w:r>
      <w:r>
        <w:t xml:space="preserve">receptivního intelektu </w:t>
      </w:r>
      <w:r w:rsidRPr="00273106">
        <w:t>jako prvního aktuálně realizovatelného stupně intelektuálního poznání (</w:t>
      </w:r>
      <w:r w:rsidRPr="00273106">
        <w:rPr>
          <w:i/>
        </w:rPr>
        <w:t>prima perfectio</w:t>
      </w:r>
      <w:r w:rsidRPr="00273106">
        <w:t xml:space="preserve">). Faktický průběh poznání v této potenciální podobě odpovídá </w:t>
      </w:r>
      <w:r>
        <w:t xml:space="preserve">termínu </w:t>
      </w:r>
      <w:r w:rsidRPr="00273106">
        <w:rPr>
          <w:i/>
        </w:rPr>
        <w:t xml:space="preserve">tertium </w:t>
      </w:r>
      <w:r w:rsidR="00962190">
        <w:rPr>
          <w:i/>
        </w:rPr>
        <w:t>genus</w:t>
      </w:r>
      <w:r>
        <w:rPr>
          <w:i/>
        </w:rPr>
        <w:fldChar w:fldCharType="begin"/>
      </w:r>
      <w:r>
        <w:instrText xml:space="preserve"> XE "</w:instrText>
      </w:r>
      <w:r w:rsidRPr="00314A63">
        <w:rPr>
          <w:i/>
        </w:rPr>
        <w:instrText>tertium genus</w:instrText>
      </w:r>
      <w:r>
        <w:instrText xml:space="preserve">" </w:instrText>
      </w:r>
      <w:r>
        <w:rPr>
          <w:i/>
        </w:rPr>
        <w:fldChar w:fldCharType="end"/>
      </w:r>
      <w:r w:rsidRPr="00273106">
        <w:t xml:space="preserve"> v CMDA. Ockham znovu vrací na scénu </w:t>
      </w:r>
      <w:r>
        <w:lastRenderedPageBreak/>
        <w:t>Averroes</w:t>
      </w:r>
      <w:r w:rsidRPr="00273106">
        <w:t xml:space="preserve">ovo adekvační pojetí pravdy bráněné prvním averroismem. Vztah substanciální a akcidenciální potence je </w:t>
      </w:r>
      <w:r>
        <w:t xml:space="preserve">výslovně dán podle CMDA v modu </w:t>
      </w:r>
      <w:r w:rsidRPr="00273106">
        <w:rPr>
          <w:i/>
        </w:rPr>
        <w:t>proportio</w:t>
      </w:r>
      <w:r>
        <w:rPr>
          <w:i/>
        </w:rPr>
        <w:fldChar w:fldCharType="begin"/>
      </w:r>
      <w:r>
        <w:instrText xml:space="preserve"> XE "pravda:</w:instrText>
      </w:r>
      <w:r w:rsidRPr="00661160">
        <w:rPr>
          <w:i/>
        </w:rPr>
        <w:instrText>proportio</w:instrText>
      </w:r>
      <w:r>
        <w:instrText xml:space="preserve">" </w:instrText>
      </w:r>
      <w:r>
        <w:rPr>
          <w:i/>
        </w:rPr>
        <w:fldChar w:fldCharType="end"/>
      </w:r>
      <w:r w:rsidRPr="00273106">
        <w:t>, aby vytvořil Aristotelem požadovanou adekvaci smyslového a intelektuálního poznání reálné externí věci</w:t>
      </w:r>
      <w:r>
        <w:t xml:space="preserve">. Toto poznání </w:t>
      </w:r>
      <w:r w:rsidRPr="00273106">
        <w:t xml:space="preserve">je co do způsobu </w:t>
      </w:r>
      <w:r w:rsidR="008E02A5">
        <w:t xml:space="preserve">receptivity </w:t>
      </w:r>
      <w:r w:rsidR="00797629">
        <w:t xml:space="preserve">objektu </w:t>
      </w:r>
      <w:r w:rsidRPr="00273106">
        <w:t>(ale nikoliv výkonu</w:t>
      </w:r>
      <w:r w:rsidR="008E02A5">
        <w:t xml:space="preserve"> </w:t>
      </w:r>
      <w:r w:rsidR="00797629">
        <w:t xml:space="preserve">subjektivní </w:t>
      </w:r>
      <w:r w:rsidR="008E02A5">
        <w:t>recepce</w:t>
      </w:r>
      <w:r w:rsidRPr="00273106">
        <w:t xml:space="preserve">) stejné pro všechny lidi. </w:t>
      </w:r>
      <w:r>
        <w:t xml:space="preserve">Rozdíl </w:t>
      </w:r>
      <w:r w:rsidRPr="00273106">
        <w:t xml:space="preserve">popisuje obě jevové stránky jednoho a téhož individuálního intelektu. Pro rozlišení obou určení Ockham využívá rozdíl mezi </w:t>
      </w:r>
      <w:r w:rsidRPr="00273106">
        <w:rPr>
          <w:i/>
        </w:rPr>
        <w:t>potentia substantialis</w:t>
      </w:r>
      <w:r>
        <w:rPr>
          <w:i/>
        </w:rPr>
        <w:fldChar w:fldCharType="begin"/>
      </w:r>
      <w:r>
        <w:instrText xml:space="preserve"> XE "</w:instrText>
      </w:r>
      <w:r w:rsidRPr="00263A8E">
        <w:rPr>
          <w:i/>
        </w:rPr>
        <w:instrText>potentia substantialis</w:instrText>
      </w:r>
      <w:r>
        <w:instrText xml:space="preserve">" </w:instrText>
      </w:r>
      <w:r>
        <w:rPr>
          <w:i/>
        </w:rPr>
        <w:fldChar w:fldCharType="end"/>
      </w:r>
      <w:r w:rsidRPr="00273106">
        <w:t xml:space="preserve"> a </w:t>
      </w:r>
      <w:r>
        <w:rPr>
          <w:i/>
        </w:rPr>
        <w:t>accidentalis</w:t>
      </w:r>
      <w:r w:rsidRPr="00273106">
        <w:t>, kterou ve františkánské škole rozvinul Rufus (</w:t>
      </w:r>
      <w:r w:rsidR="00684156">
        <w:t>OBJ II, kap. 3</w:t>
      </w:r>
      <w:r w:rsidRPr="00273106">
        <w:t>.3.1)</w:t>
      </w:r>
      <w:r>
        <w:t xml:space="preserve">. Termín </w:t>
      </w:r>
      <w:r w:rsidRPr="00273106">
        <w:rPr>
          <w:i/>
        </w:rPr>
        <w:t>potentia substantialis</w:t>
      </w:r>
      <w:r w:rsidRPr="00273106">
        <w:t xml:space="preserve"> dostal u Oliviho </w:t>
      </w:r>
      <w:r>
        <w:t xml:space="preserve">a Gandava </w:t>
      </w:r>
      <w:r w:rsidRPr="00273106">
        <w:t>nový status s ohledem na kategoriální predikaci vztahu na úrovni substance (</w:t>
      </w:r>
      <w:r w:rsidRPr="00273106">
        <w:rPr>
          <w:i/>
        </w:rPr>
        <w:t xml:space="preserve">relatio substantialis, </w:t>
      </w:r>
      <w:r w:rsidR="00684156">
        <w:t>kap. 5</w:t>
      </w:r>
      <w:r>
        <w:t>.3</w:t>
      </w:r>
      <w:r w:rsidRPr="00273106">
        <w:t xml:space="preserve">.3). Přeměnu potence na substanci třetího druhu Ockham odmítl, protože </w:t>
      </w:r>
      <w:r>
        <w:t xml:space="preserve">kritický </w:t>
      </w:r>
      <w:r w:rsidRPr="00273106">
        <w:t xml:space="preserve">aristotelik nemůže množit jsoucna třetího druhu. Citujme labutí píseň posledního autentického znalce </w:t>
      </w:r>
      <w:r>
        <w:t>Averroes</w:t>
      </w:r>
      <w:r w:rsidRPr="00273106">
        <w:t xml:space="preserve">e a posledního obránce </w:t>
      </w:r>
      <w:r w:rsidR="00B06175">
        <w:t>prvního averroismu</w:t>
      </w:r>
      <w:r w:rsidRPr="00273106">
        <w:t>.</w:t>
      </w:r>
    </w:p>
    <w:p w:rsidR="08163013" w:rsidRPr="00E11AA4" w:rsidRDefault="08163013" w:rsidP="08163013">
      <w:pPr>
        <w:pStyle w:val="Citace"/>
        <w:rPr>
          <w:noProof/>
          <w:lang w:val="cs-CZ"/>
        </w:rPr>
      </w:pPr>
      <w:r w:rsidRPr="00273106">
        <w:rPr>
          <w:noProof/>
          <w:lang w:val="cs-CZ"/>
        </w:rPr>
        <w:t>„</w:t>
      </w:r>
      <w:r>
        <w:rPr>
          <w:noProof/>
          <w:lang w:val="cs-CZ"/>
        </w:rPr>
        <w:t xml:space="preserve">To plyne z výkladu třetí knihy </w:t>
      </w:r>
      <w:r w:rsidRPr="00E11AA4">
        <w:rPr>
          <w:i/>
          <w:noProof/>
          <w:lang w:val="cs-CZ"/>
        </w:rPr>
        <w:t>De anima</w:t>
      </w:r>
      <w:r>
        <w:rPr>
          <w:noProof/>
          <w:lang w:val="cs-CZ"/>
        </w:rPr>
        <w:t>, kde se říká, že jinak je dán intelekt v potenci před tím, než se k němu něco přidá, nebo než začne poznávat, a jinak potom. Předtím je v čisté substanciální potenci (</w:t>
      </w:r>
      <w:r w:rsidRPr="08856824">
        <w:rPr>
          <w:i/>
          <w:noProof/>
        </w:rPr>
        <w:t>ante est in potentia essentiali</w:t>
      </w:r>
      <w:r>
        <w:rPr>
          <w:noProof/>
          <w:lang w:val="cs-CZ"/>
        </w:rPr>
        <w:t>) a potom, když skrze činnost opustí tento svůj stav, je v akcidentální potenci k aktu, který je mu podobný (</w:t>
      </w:r>
      <w:r w:rsidRPr="00C75C1C">
        <w:rPr>
          <w:i/>
          <w:noProof/>
        </w:rPr>
        <w:t>in potentia accidentali ad actum consimilem</w:t>
      </w:r>
      <w:r>
        <w:rPr>
          <w:noProof/>
          <w:lang w:val="cs-CZ"/>
        </w:rPr>
        <w:t>). Proto habituální stav intelektu je daný ve výkonu (</w:t>
      </w:r>
      <w:r w:rsidRPr="00CA6024">
        <w:rPr>
          <w:i/>
          <w:noProof/>
          <w:lang w:val="cs-CZ"/>
        </w:rPr>
        <w:t>intellectus per habitum generatum ex actu</w:t>
      </w:r>
      <w:r>
        <w:rPr>
          <w:noProof/>
          <w:lang w:val="cs-CZ"/>
        </w:rPr>
        <w:t>) a je v akcidentální potenci (</w:t>
      </w:r>
      <w:r w:rsidRPr="00F55993">
        <w:rPr>
          <w:i/>
          <w:noProof/>
          <w:lang w:val="cs-CZ"/>
        </w:rPr>
        <w:t>in</w:t>
      </w:r>
      <w:r>
        <w:rPr>
          <w:noProof/>
          <w:lang w:val="cs-CZ"/>
        </w:rPr>
        <w:t xml:space="preserve"> </w:t>
      </w:r>
      <w:r w:rsidRPr="00F55993">
        <w:rPr>
          <w:i/>
          <w:noProof/>
        </w:rPr>
        <w:t>potentia accidentali</w:t>
      </w:r>
      <w:r>
        <w:rPr>
          <w:noProof/>
          <w:lang w:val="cs-CZ"/>
        </w:rPr>
        <w:t>). Pak ale nelze zakoušet (</w:t>
      </w:r>
      <w:r w:rsidRPr="00DC0533">
        <w:rPr>
          <w:i/>
          <w:noProof/>
        </w:rPr>
        <w:t>nunquam experitur</w:t>
      </w:r>
      <w:r>
        <w:rPr>
          <w:noProof/>
          <w:lang w:val="cs-CZ"/>
        </w:rPr>
        <w:t xml:space="preserve">) něco v čisté akcidentální potenci vzhledem k poznání, protože to je dáno až po aktu porozumění.“ </w:t>
      </w:r>
      <w:r>
        <w:rPr>
          <w:rStyle w:val="Znakapoznpodarou"/>
        </w:rPr>
        <w:footnoteReference w:id="484"/>
      </w:r>
    </w:p>
    <w:p w:rsidR="0005375A" w:rsidRDefault="005C4A66" w:rsidP="08163013">
      <w:r w:rsidRPr="005C4A66">
        <w:t>Citát vymezuje dva mody receptivního intelektu: první modus je dán jako intelekt sám o sobě v podobě abstraktního druhu; druhý modus znamená aktualizované osobní poznání (</w:t>
      </w:r>
      <w:r w:rsidRPr="005C4A66">
        <w:rPr>
          <w:i/>
        </w:rPr>
        <w:t>aliter est intellectus in potentia ante addiscere vel invenire quam post</w:t>
      </w:r>
      <w:r w:rsidRPr="005C4A66">
        <w:t xml:space="preserve">). </w:t>
      </w:r>
      <w:r w:rsidR="08163013" w:rsidRPr="00273106">
        <w:t xml:space="preserve">Poznáváme pouze ze smyslů a receptivní intelekt je čistá </w:t>
      </w:r>
      <w:r w:rsidR="08163013" w:rsidRPr="00273106">
        <w:rPr>
          <w:i/>
        </w:rPr>
        <w:t>tabula rasa</w:t>
      </w:r>
      <w:r w:rsidR="08163013">
        <w:rPr>
          <w:i/>
        </w:rPr>
        <w:fldChar w:fldCharType="begin"/>
      </w:r>
      <w:r w:rsidR="08163013">
        <w:instrText xml:space="preserve"> XE "</w:instrText>
      </w:r>
      <w:r w:rsidR="08163013" w:rsidRPr="00CE6D17">
        <w:rPr>
          <w:i/>
        </w:rPr>
        <w:instrText>tabula rasa</w:instrText>
      </w:r>
      <w:r w:rsidR="08163013">
        <w:instrText xml:space="preserve">" </w:instrText>
      </w:r>
      <w:r w:rsidR="08163013">
        <w:rPr>
          <w:i/>
        </w:rPr>
        <w:fldChar w:fldCharType="end"/>
      </w:r>
      <w:r w:rsidR="08163013" w:rsidRPr="00273106">
        <w:t>.</w:t>
      </w:r>
      <w:r w:rsidR="08163013" w:rsidRPr="00273106">
        <w:rPr>
          <w:rStyle w:val="Znakapoznpodarou"/>
        </w:rPr>
        <w:footnoteReference w:id="485"/>
      </w:r>
      <w:r w:rsidR="08163013" w:rsidRPr="00273106">
        <w:t xml:space="preserve"> V </w:t>
      </w:r>
      <w:r w:rsidR="08163013">
        <w:t xml:space="preserve">této perspektivě </w:t>
      </w:r>
      <w:r w:rsidR="08163013" w:rsidRPr="00273106">
        <w:t xml:space="preserve">představuje </w:t>
      </w:r>
      <w:r w:rsidR="08163013" w:rsidRPr="00273106">
        <w:rPr>
          <w:i/>
        </w:rPr>
        <w:t>intellectus possibilis</w:t>
      </w:r>
      <w:r w:rsidR="08163013" w:rsidRPr="00273106">
        <w:t xml:space="preserve"> prázdný koncept </w:t>
      </w:r>
      <w:r w:rsidR="08163013">
        <w:t>Averroes</w:t>
      </w:r>
      <w:r w:rsidR="08163013" w:rsidRPr="00273106">
        <w:t xml:space="preserve">ova </w:t>
      </w:r>
      <w:r w:rsidR="08163013">
        <w:t>čtvrtého rodu</w:t>
      </w:r>
      <w:r w:rsidR="08163013" w:rsidRPr="00273106">
        <w:t>, který reálně neexistuje</w:t>
      </w:r>
      <w:r w:rsidR="08163013">
        <w:t>, protože potence neexistuje reálně, jen jako koncept v mysli</w:t>
      </w:r>
      <w:r w:rsidR="08163013" w:rsidRPr="00273106">
        <w:t xml:space="preserve">. </w:t>
      </w:r>
      <w:r w:rsidR="00062265">
        <w:t xml:space="preserve">Ockham rozumí pod termínem </w:t>
      </w:r>
      <w:r w:rsidR="00062265" w:rsidRPr="00062265">
        <w:rPr>
          <w:noProof/>
        </w:rPr>
        <w:t>„</w:t>
      </w:r>
      <w:r w:rsidR="00062265" w:rsidRPr="08856824">
        <w:rPr>
          <w:i/>
          <w:noProof/>
        </w:rPr>
        <w:t>potentia essentiali</w:t>
      </w:r>
      <w:r w:rsidR="00062265">
        <w:rPr>
          <w:noProof/>
        </w:rPr>
        <w:t xml:space="preserve">“ něco úplně jiného než Rufusovo a Scotovo pojetí </w:t>
      </w:r>
      <w:r w:rsidR="00062265">
        <w:rPr>
          <w:noProof/>
        </w:rPr>
        <w:lastRenderedPageBreak/>
        <w:t xml:space="preserve">hypostázovaného intelektu jako </w:t>
      </w:r>
      <w:r w:rsidR="00062265" w:rsidRPr="00062265">
        <w:rPr>
          <w:i/>
          <w:noProof/>
        </w:rPr>
        <w:t>tertium ens</w:t>
      </w:r>
      <w:r w:rsidR="00062265">
        <w:rPr>
          <w:noProof/>
        </w:rPr>
        <w:t xml:space="preserve">. Intelekt má essenciální povahu díky smyslově založenému poznání, které je vázáno na tělo jako jediněčnou substanci. </w:t>
      </w:r>
      <w:r w:rsidR="08163013">
        <w:t xml:space="preserve">Hermeneutika komentovala klíčovou pasáž o schopnosti intelektu </w:t>
      </w:r>
      <w:r w:rsidR="08163013" w:rsidRPr="0845544C">
        <w:t>všemu rozumět (</w:t>
      </w:r>
      <w:r w:rsidR="08163013" w:rsidRPr="0845544C">
        <w:rPr>
          <w:i/>
        </w:rPr>
        <w:t>De anima</w:t>
      </w:r>
      <w:r w:rsidR="08163013" w:rsidRPr="0845544C">
        <w:t xml:space="preserve"> 430a14–15)</w:t>
      </w:r>
      <w:r w:rsidR="08163013" w:rsidRPr="0845544C">
        <w:fldChar w:fldCharType="begin"/>
      </w:r>
      <w:r w:rsidR="08163013" w:rsidRPr="0845544C">
        <w:instrText xml:space="preserve"> XE "Aristoteles:De anima 430a14–15" </w:instrText>
      </w:r>
      <w:r w:rsidR="08163013" w:rsidRPr="0845544C">
        <w:fldChar w:fldCharType="end"/>
      </w:r>
      <w:r w:rsidR="08163013" w:rsidRPr="0845544C">
        <w:t xml:space="preserve">. </w:t>
      </w:r>
      <w:r w:rsidR="08163013">
        <w:t>Komentáror jas</w:t>
      </w:r>
      <w:r w:rsidR="08163013" w:rsidRPr="0845544C">
        <w:t>n</w:t>
      </w:r>
      <w:r w:rsidR="08163013">
        <w:t>ě ř</w:t>
      </w:r>
      <w:r w:rsidR="08163013" w:rsidRPr="0845544C">
        <w:t xml:space="preserve">íká </w:t>
      </w:r>
      <w:r w:rsidR="08163013">
        <w:t>v klíčové pasáži CMDA</w:t>
      </w:r>
      <w:r w:rsidR="08163013" w:rsidRPr="0845544C">
        <w:t xml:space="preserve">, </w:t>
      </w:r>
      <w:r w:rsidR="08163013">
        <w:t xml:space="preserve">že tento abstraktně pojatý intelekt jako potence se stává existenciální schopností ve výkonu duše </w:t>
      </w:r>
      <w:r w:rsidR="08163013" w:rsidRPr="0845544C">
        <w:t>(</w:t>
      </w:r>
      <w:r w:rsidR="08163013" w:rsidRPr="0845544C">
        <w:rPr>
          <w:i/>
        </w:rPr>
        <w:t>illud quod fit</w:t>
      </w:r>
      <w:r w:rsidR="00A70711">
        <w:rPr>
          <w:i/>
        </w:rPr>
        <w:t xml:space="preserve">; </w:t>
      </w:r>
      <w:r w:rsidR="00A70711" w:rsidRPr="00A70711">
        <w:t>OBJ I,</w:t>
      </w:r>
      <w:r w:rsidR="00A70711">
        <w:rPr>
          <w:i/>
        </w:rPr>
        <w:t xml:space="preserve"> </w:t>
      </w:r>
      <w:r w:rsidR="08163013">
        <w:t xml:space="preserve">kap. 2.4.3). Oxfordská </w:t>
      </w:r>
      <w:r w:rsidR="08163013">
        <w:rPr>
          <w:i/>
        </w:rPr>
        <w:t>potentia substant</w:t>
      </w:r>
      <w:r w:rsidR="08163013" w:rsidRPr="00A93487">
        <w:rPr>
          <w:i/>
        </w:rPr>
        <w:t>i</w:t>
      </w:r>
      <w:r w:rsidR="08163013">
        <w:rPr>
          <w:i/>
        </w:rPr>
        <w:t>a</w:t>
      </w:r>
      <w:r w:rsidR="08163013" w:rsidRPr="00A93487">
        <w:rPr>
          <w:i/>
        </w:rPr>
        <w:t>lis</w:t>
      </w:r>
      <w:r w:rsidR="08163013">
        <w:rPr>
          <w:i/>
        </w:rPr>
        <w:fldChar w:fldCharType="begin"/>
      </w:r>
      <w:r w:rsidR="08163013">
        <w:instrText xml:space="preserve"> XE "</w:instrText>
      </w:r>
      <w:r w:rsidR="08163013" w:rsidRPr="00263A8E">
        <w:rPr>
          <w:i/>
        </w:rPr>
        <w:instrText>potentia substantialis</w:instrText>
      </w:r>
      <w:r w:rsidR="08163013">
        <w:instrText xml:space="preserve">" </w:instrText>
      </w:r>
      <w:r w:rsidR="08163013">
        <w:rPr>
          <w:i/>
        </w:rPr>
        <w:fldChar w:fldCharType="end"/>
      </w:r>
      <w:r w:rsidR="08163013">
        <w:t xml:space="preserve"> daná jako mix pasivního a aktivního intelektu v modu jsoucna třetího druhu je pro Ockhama nepřijatelná. Univerzální a nemateriální podoba intelektu existuje pouze jako koncept v mysli, tedy v modu </w:t>
      </w:r>
      <w:r w:rsidR="08163013" w:rsidRPr="00A93487">
        <w:rPr>
          <w:i/>
        </w:rPr>
        <w:t xml:space="preserve">quartum </w:t>
      </w:r>
      <w:r w:rsidR="00962190">
        <w:rPr>
          <w:i/>
        </w:rPr>
        <w:t>genus</w:t>
      </w:r>
      <w:r w:rsidR="08163013">
        <w:rPr>
          <w:i/>
        </w:rPr>
        <w:fldChar w:fldCharType="begin"/>
      </w:r>
      <w:r w:rsidR="08163013">
        <w:instrText xml:space="preserve"> XE "</w:instrText>
      </w:r>
      <w:r w:rsidR="08163013" w:rsidRPr="00191848">
        <w:rPr>
          <w:i/>
        </w:rPr>
        <w:instrText>quartum genus</w:instrText>
      </w:r>
      <w:r w:rsidR="08163013">
        <w:instrText xml:space="preserve">" </w:instrText>
      </w:r>
      <w:r w:rsidR="08163013">
        <w:rPr>
          <w:i/>
        </w:rPr>
        <w:fldChar w:fldCharType="end"/>
      </w:r>
      <w:r w:rsidR="08163013">
        <w:t xml:space="preserve"> podle CMDA. Ockham zdůrazňuje stejně jako Siger, že lidský intelekt je sám o sobě pouhá duševní potence. Termín </w:t>
      </w:r>
      <w:r w:rsidR="08163013" w:rsidRPr="08856824">
        <w:rPr>
          <w:i/>
        </w:rPr>
        <w:t>potentia essentiali</w:t>
      </w:r>
      <w:r w:rsidR="08163013">
        <w:rPr>
          <w:i/>
        </w:rPr>
        <w:t xml:space="preserve">s </w:t>
      </w:r>
      <w:r w:rsidR="08163013" w:rsidRPr="08B13B56">
        <w:t xml:space="preserve">je </w:t>
      </w:r>
      <w:r w:rsidR="08163013">
        <w:t xml:space="preserve">třeba chápat nikoliv podle Rufuse jako porretánskou substanci, ale vzhledem k Sigerově pojetí intelektu jako nemateriální potence osoby dané jako první substance. Intelekt je potence daná </w:t>
      </w:r>
      <w:r w:rsidR="08163013" w:rsidRPr="08755B42">
        <w:rPr>
          <w:i/>
        </w:rPr>
        <w:t>inmixtus</w:t>
      </w:r>
      <w:r w:rsidR="08163013">
        <w:t xml:space="preserve"> vzhledem k tělu jako materiální substanci, protože intelekt nemá tělesný orgán. Proto nelze intelekt nijak hypostázovat, jako mylně dělají modernisté. </w:t>
      </w:r>
      <w:r w:rsidR="08163013" w:rsidRPr="00273106">
        <w:t xml:space="preserve">Možný intelekt prvního averroismu nemá sám o sobě žádnou substanciální možnost, „jak“ by mohl existovat. </w:t>
      </w:r>
      <w:r w:rsidR="08163013">
        <w:t>D</w:t>
      </w:r>
      <w:r w:rsidR="08163013" w:rsidRPr="00273106">
        <w:t xml:space="preserve">ruhý averroismus </w:t>
      </w:r>
      <w:r w:rsidR="08163013">
        <w:t>a tomistický</w:t>
      </w:r>
      <w:r w:rsidR="08163013">
        <w:fldChar w:fldCharType="begin"/>
      </w:r>
      <w:r w:rsidR="08163013">
        <w:instrText xml:space="preserve"> XE "</w:instrText>
      </w:r>
      <w:r w:rsidR="08163013" w:rsidRPr="08213BAC">
        <w:instrText>tomismus</w:instrText>
      </w:r>
      <w:r w:rsidR="08163013">
        <w:instrText xml:space="preserve">" </w:instrText>
      </w:r>
      <w:r w:rsidR="08163013">
        <w:fldChar w:fldCharType="end"/>
      </w:r>
      <w:r w:rsidR="08163013">
        <w:t xml:space="preserve"> semiaverroismus postul</w:t>
      </w:r>
      <w:r w:rsidR="08163013" w:rsidRPr="00273106">
        <w:t>uje z nez</w:t>
      </w:r>
      <w:r w:rsidR="08163013">
        <w:t xml:space="preserve">nalosti CMDA </w:t>
      </w:r>
      <w:r w:rsidR="08163013" w:rsidRPr="00273106">
        <w:t xml:space="preserve">averroisticky oddělený </w:t>
      </w:r>
      <w:r w:rsidR="08163013" w:rsidRPr="00273106">
        <w:rPr>
          <w:i/>
        </w:rPr>
        <w:t>intellectus possibilis</w:t>
      </w:r>
      <w:r w:rsidR="08163013" w:rsidRPr="00273106">
        <w:t xml:space="preserve"> jako nemateriální substanci</w:t>
      </w:r>
      <w:r w:rsidR="08163013">
        <w:t>-potenci</w:t>
      </w:r>
      <w:r w:rsidR="08163013" w:rsidRPr="00273106">
        <w:t xml:space="preserve"> numericky stejnou pro všechny lidi. Ockham na rozdíl od </w:t>
      </w:r>
      <w:r w:rsidR="08163013" w:rsidRPr="08F8259B">
        <w:t>sofistických modernistů četl CMDA stejně pečlivě jako Albert, Bacon nebo Siger. Esenciální defice možného intelektu výše citované pasáže CMDA 437.18–438.24</w:t>
      </w:r>
      <w:r w:rsidR="08163013" w:rsidRPr="08F8259B">
        <w:fldChar w:fldCharType="begin"/>
      </w:r>
      <w:r w:rsidR="08163013" w:rsidRPr="08F8259B">
        <w:instrText xml:space="preserve"> XE "Averroes:CMDA 437.18–438.24" </w:instrText>
      </w:r>
      <w:r w:rsidR="08163013" w:rsidRPr="08F8259B">
        <w:fldChar w:fldCharType="end"/>
      </w:r>
      <w:r w:rsidR="08163013" w:rsidRPr="08F8259B">
        <w:t xml:space="preserve"> ukazuje </w:t>
      </w:r>
      <w:r w:rsidR="08163013">
        <w:t xml:space="preserve">dvojí </w:t>
      </w:r>
      <w:r w:rsidR="08163013" w:rsidRPr="08F8259B">
        <w:t>ips</w:t>
      </w:r>
      <w:r w:rsidR="08163013">
        <w:t>e</w:t>
      </w:r>
      <w:r w:rsidR="08163013" w:rsidRPr="08F8259B">
        <w:t xml:space="preserve">itu intelektu </w:t>
      </w:r>
      <w:r w:rsidR="08163013">
        <w:t xml:space="preserve">vzhledem </w:t>
      </w:r>
      <w:r w:rsidR="08163013" w:rsidRPr="08F8259B">
        <w:t>k abstrakt</w:t>
      </w:r>
      <w:r w:rsidR="08163013">
        <w:t>n</w:t>
      </w:r>
      <w:r w:rsidR="08163013" w:rsidRPr="08F8259B">
        <w:t>ě definovanému intelektu (</w:t>
      </w:r>
      <w:r w:rsidR="08163013" w:rsidRPr="08F8259B">
        <w:rPr>
          <w:i/>
        </w:rPr>
        <w:t>hoc pronomen 'ipsum' potest referri ad intellectum materialem</w:t>
      </w:r>
      <w:r w:rsidR="08163013" w:rsidRPr="08F8259B">
        <w:t xml:space="preserve">) a </w:t>
      </w:r>
      <w:r w:rsidR="08163013">
        <w:t xml:space="preserve">vzhledem </w:t>
      </w:r>
      <w:r w:rsidR="08163013" w:rsidRPr="08F8259B">
        <w:t>k jednotlivci, který rozumí individuálně (</w:t>
      </w:r>
      <w:r w:rsidR="08163013" w:rsidRPr="08F8259B">
        <w:rPr>
          <w:i/>
        </w:rPr>
        <w:t>ad hominem intelligentem</w:t>
      </w:r>
      <w:r w:rsidR="08163013">
        <w:t xml:space="preserve">). Ockhamovo první pojetí intelektu jako abstrakce </w:t>
      </w:r>
      <w:r w:rsidR="08163013" w:rsidRPr="00273106">
        <w:t>(</w:t>
      </w:r>
      <w:r w:rsidR="08163013" w:rsidRPr="00273106">
        <w:rPr>
          <w:i/>
        </w:rPr>
        <w:t>ante est in potentia essentiali</w:t>
      </w:r>
      <w:r w:rsidR="08163013" w:rsidRPr="00273106">
        <w:t>)</w:t>
      </w:r>
      <w:r w:rsidR="08163013">
        <w:t xml:space="preserve"> </w:t>
      </w:r>
      <w:r w:rsidR="08163013" w:rsidRPr="00273106">
        <w:t xml:space="preserve">vyjadřuje </w:t>
      </w:r>
      <w:r w:rsidR="08163013">
        <w:t>stejnou definici jakou měl Siger (</w:t>
      </w:r>
      <w:r w:rsidR="08163013" w:rsidRPr="00A81859">
        <w:rPr>
          <w:i/>
          <w:lang w:eastAsia="de-DE"/>
        </w:rPr>
        <w:t xml:space="preserve">de </w:t>
      </w:r>
      <w:r w:rsidR="08163013" w:rsidRPr="00A81859">
        <w:rPr>
          <w:i/>
          <w:lang w:eastAsia="en-US"/>
        </w:rPr>
        <w:t>natura sua solum est in potentia ut nobis copuletur</w:t>
      </w:r>
      <w:r w:rsidR="08163013">
        <w:rPr>
          <w:lang w:eastAsia="en-US"/>
        </w:rPr>
        <w:t xml:space="preserve">, </w:t>
      </w:r>
      <w:r w:rsidR="00C87492">
        <w:t>kap. 4</w:t>
      </w:r>
      <w:r w:rsidR="08163013">
        <w:t>.4.3)</w:t>
      </w:r>
      <w:r w:rsidR="08163013" w:rsidRPr="00273106">
        <w:t>.</w:t>
      </w:r>
      <w:r w:rsidR="08163013">
        <w:t xml:space="preserve"> Žádná univerzálie nemůže poznávat v individuálním výkonu poznání, protože intelekt jako jsoucno třetího druhu reálně neexistuje. Něco jiného je existenciální forma </w:t>
      </w:r>
      <w:r w:rsidR="08163013" w:rsidRPr="00273106">
        <w:t xml:space="preserve">intelektu </w:t>
      </w:r>
      <w:r w:rsidR="08163013">
        <w:t>daného v poznání osoby</w:t>
      </w:r>
      <w:r w:rsidR="08163013" w:rsidRPr="00273106">
        <w:t xml:space="preserve">. </w:t>
      </w:r>
      <w:r w:rsidR="08163013">
        <w:t xml:space="preserve">Akt poznání zakoušíme v první osobě a kontingentně, tedy pouze skrze </w:t>
      </w:r>
      <w:r w:rsidR="08163013" w:rsidRPr="006D274D">
        <w:rPr>
          <w:i/>
        </w:rPr>
        <w:t xml:space="preserve">potentia </w:t>
      </w:r>
      <w:r w:rsidR="08163013">
        <w:rPr>
          <w:i/>
        </w:rPr>
        <w:t>accidentalis</w:t>
      </w:r>
      <w:r w:rsidR="08163013">
        <w:rPr>
          <w:i/>
        </w:rPr>
        <w:fldChar w:fldCharType="begin"/>
      </w:r>
      <w:r w:rsidR="08163013">
        <w:instrText xml:space="preserve"> XE "</w:instrText>
      </w:r>
      <w:r w:rsidR="08163013" w:rsidRPr="001E6440">
        <w:rPr>
          <w:i/>
        </w:rPr>
        <w:instrText xml:space="preserve">potentia </w:instrText>
      </w:r>
      <w:r w:rsidR="08163013">
        <w:rPr>
          <w:i/>
        </w:rPr>
        <w:instrText>accidentalis</w:instrText>
      </w:r>
      <w:r w:rsidR="08163013">
        <w:instrText xml:space="preserve">" </w:instrText>
      </w:r>
      <w:r w:rsidR="08163013">
        <w:rPr>
          <w:i/>
        </w:rPr>
        <w:fldChar w:fldCharType="end"/>
      </w:r>
      <w:r w:rsidR="08163013">
        <w:t xml:space="preserve">. Ta je skutečným habitem pasivní recepce ve smyslu Averroesova </w:t>
      </w:r>
      <w:r w:rsidR="08163013" w:rsidRPr="006D274D">
        <w:rPr>
          <w:i/>
        </w:rPr>
        <w:t xml:space="preserve">tertium </w:t>
      </w:r>
      <w:r w:rsidR="00962190">
        <w:rPr>
          <w:i/>
        </w:rPr>
        <w:t>genus</w:t>
      </w:r>
      <w:r w:rsidR="08163013">
        <w:rPr>
          <w:i/>
        </w:rPr>
        <w:fldChar w:fldCharType="begin"/>
      </w:r>
      <w:r w:rsidR="08163013">
        <w:instrText xml:space="preserve"> XE "</w:instrText>
      </w:r>
      <w:r w:rsidR="08163013" w:rsidRPr="00D80F84">
        <w:rPr>
          <w:i/>
        </w:rPr>
        <w:instrText>tertium genus</w:instrText>
      </w:r>
      <w:r w:rsidR="08163013">
        <w:instrText xml:space="preserve">" </w:instrText>
      </w:r>
      <w:r w:rsidR="08163013">
        <w:rPr>
          <w:i/>
        </w:rPr>
        <w:fldChar w:fldCharType="end"/>
      </w:r>
      <w:r w:rsidR="08163013">
        <w:t xml:space="preserve"> vázaného na individuální výkon tohoto intelektu (</w:t>
      </w:r>
      <w:r w:rsidR="08163013" w:rsidRPr="006D274D">
        <w:rPr>
          <w:i/>
        </w:rPr>
        <w:t>intellectus per habitum generatum ex actu</w:t>
      </w:r>
      <w:r w:rsidR="08163013">
        <w:t xml:space="preserve">). Tato pasáž navazuje na </w:t>
      </w:r>
      <w:r w:rsidR="08163013">
        <w:lastRenderedPageBreak/>
        <w:t>citovaný komentář CMDA, protože komentuje i následující větu CMDA vzhledem k habitu</w:t>
      </w:r>
      <w:r w:rsidR="08163013" w:rsidRPr="08E869E7">
        <w:t xml:space="preserve">. </w:t>
      </w:r>
      <w:r w:rsidR="08163013">
        <w:t>Averroesův i</w:t>
      </w:r>
      <w:r w:rsidR="08163013" w:rsidRPr="08E869E7">
        <w:t xml:space="preserve">ntelekt se stává intelektem </w:t>
      </w:r>
      <w:r w:rsidR="08163013">
        <w:t xml:space="preserve">až </w:t>
      </w:r>
      <w:r w:rsidR="08163013" w:rsidRPr="08E869E7">
        <w:t>ve výkonu poznání (</w:t>
      </w:r>
      <w:r w:rsidR="08163013" w:rsidRPr="08E869E7">
        <w:rPr>
          <w:i/>
        </w:rPr>
        <w:t>illud quod fit</w:t>
      </w:r>
      <w:r w:rsidR="08163013" w:rsidRPr="08E869E7">
        <w:t>) a tak dostává svůj habitus (</w:t>
      </w:r>
      <w:r w:rsidR="08163013" w:rsidRPr="08E869E7">
        <w:rPr>
          <w:i/>
        </w:rPr>
        <w:t>quod est in habitu</w:t>
      </w:r>
      <w:r w:rsidR="08163013" w:rsidRPr="08E869E7">
        <w:t>).</w:t>
      </w:r>
      <w:r w:rsidR="08163013">
        <w:t xml:space="preserve"> </w:t>
      </w:r>
      <w:r w:rsidR="08163013" w:rsidRPr="00273106">
        <w:t xml:space="preserve">Citát proti modernistům zdůrazňuje, že habitus </w:t>
      </w:r>
      <w:r w:rsidR="08163013">
        <w:t xml:space="preserve">receptivity </w:t>
      </w:r>
      <w:r w:rsidR="08163013" w:rsidRPr="00273106">
        <w:t xml:space="preserve">vzniká </w:t>
      </w:r>
      <w:r w:rsidR="08163013">
        <w:t xml:space="preserve">až </w:t>
      </w:r>
      <w:r w:rsidR="08163013" w:rsidRPr="00273106">
        <w:t>v</w:t>
      </w:r>
      <w:r w:rsidR="00CD1F10">
        <w:t xml:space="preserve"> osobním </w:t>
      </w:r>
      <w:r w:rsidR="08163013" w:rsidRPr="00273106">
        <w:t xml:space="preserve">výkonu poznání. </w:t>
      </w:r>
      <w:r w:rsidR="08163013">
        <w:t xml:space="preserve">Jinak to ani nemůže být, protože čistá potence nemá, jak by mohla existovat. </w:t>
      </w:r>
      <w:r w:rsidR="08163013" w:rsidRPr="00273106">
        <w:t>Z intelektu nelze udělat nějakou apriori danou kvazi-substanci. Opět by to znamenalo množení jsoucen třetího druhu, která jsou nesmyslná</w:t>
      </w:r>
      <w:r w:rsidR="08163013">
        <w:t xml:space="preserve"> z hlediska CMDA</w:t>
      </w:r>
      <w:r w:rsidR="00C87492">
        <w:t xml:space="preserve"> i Ockhama</w:t>
      </w:r>
      <w:r w:rsidR="08163013" w:rsidRPr="00273106">
        <w:t xml:space="preserve">. </w:t>
      </w:r>
      <w:r w:rsidR="08163013">
        <w:t xml:space="preserve">Scotisté a moderní porretáni hypostázovali habitus a tak vytvořili další jsoucno třetího druhu. Ockham scotistům připomíná, že tímto </w:t>
      </w:r>
      <w:r w:rsidR="00A87ADA">
        <w:t xml:space="preserve">osobním </w:t>
      </w:r>
      <w:r w:rsidR="08163013">
        <w:t>výkonem se možný intelekt stane aktuální receptivní schopností tělesně zakoušené duše (</w:t>
      </w:r>
      <w:r w:rsidR="08163013" w:rsidRPr="006D274D">
        <w:rPr>
          <w:i/>
        </w:rPr>
        <w:t>est in potentia accidentali</w:t>
      </w:r>
      <w:r w:rsidR="08163013">
        <w:t xml:space="preserve">). </w:t>
      </w:r>
      <w:r w:rsidR="08163013" w:rsidRPr="00273106">
        <w:t>Možný intelekt existuje pouze v</w:t>
      </w:r>
      <w:r w:rsidR="00A87ADA">
        <w:t xml:space="preserve"> personální </w:t>
      </w:r>
      <w:r w:rsidR="08163013" w:rsidRPr="00273106">
        <w:t xml:space="preserve">duši a </w:t>
      </w:r>
      <w:r w:rsidR="08163013">
        <w:t xml:space="preserve">v </w:t>
      </w:r>
      <w:r w:rsidR="08163013" w:rsidRPr="00273106">
        <w:t xml:space="preserve">těle, proto aktualita možného intelektu není vrozená ve smyslu </w:t>
      </w:r>
      <w:r w:rsidR="00A87ADA">
        <w:t xml:space="preserve">nějaké objektivní </w:t>
      </w:r>
      <w:r w:rsidR="08163013" w:rsidRPr="00273106">
        <w:t xml:space="preserve">potence </w:t>
      </w:r>
      <w:r w:rsidR="08163013">
        <w:t>dané v</w:t>
      </w:r>
      <w:r w:rsidR="00901A4D">
        <w:t xml:space="preserve"> mytologickém </w:t>
      </w:r>
      <w:r w:rsidR="08163013">
        <w:t xml:space="preserve">univerzálním a aktuálním </w:t>
      </w:r>
      <w:r w:rsidR="00A87ADA">
        <w:t>„intelektu–</w:t>
      </w:r>
      <w:r w:rsidR="08163013" w:rsidRPr="00273106">
        <w:t>subst</w:t>
      </w:r>
      <w:r w:rsidR="08163013">
        <w:t>anci</w:t>
      </w:r>
      <w:r w:rsidR="00A87ADA">
        <w:t>“</w:t>
      </w:r>
      <w:r w:rsidR="08163013" w:rsidRPr="00273106">
        <w:t xml:space="preserve"> (</w:t>
      </w:r>
      <w:r w:rsidR="08163013" w:rsidRPr="00273106">
        <w:rPr>
          <w:i/>
        </w:rPr>
        <w:t>potentia substantialis</w:t>
      </w:r>
      <w:r w:rsidR="08163013" w:rsidRPr="00273106">
        <w:t xml:space="preserve">). </w:t>
      </w:r>
      <w:r w:rsidR="08163013">
        <w:t xml:space="preserve">Protože receptivní habitus přijetí je v duši dán jako schopnost, pak můžeme poznávat univerzálně v modu adekvace </w:t>
      </w:r>
      <w:r w:rsidR="08163013" w:rsidRPr="00273106">
        <w:t>(</w:t>
      </w:r>
      <w:r w:rsidR="08163013" w:rsidRPr="004F328B">
        <w:rPr>
          <w:i/>
        </w:rPr>
        <w:t>ad</w:t>
      </w:r>
      <w:r w:rsidR="08163013" w:rsidRPr="00273106">
        <w:rPr>
          <w:i/>
        </w:rPr>
        <w:t xml:space="preserve"> actum consimilem</w:t>
      </w:r>
      <w:r w:rsidR="08163013" w:rsidRPr="00273106">
        <w:t xml:space="preserve">). </w:t>
      </w:r>
      <w:r w:rsidR="08163013">
        <w:t xml:space="preserve">Klíčové slovo </w:t>
      </w:r>
      <w:r w:rsidR="00DC4602">
        <w:t>„</w:t>
      </w:r>
      <w:r w:rsidR="08163013" w:rsidRPr="00273106">
        <w:rPr>
          <w:i/>
        </w:rPr>
        <w:t>consimile</w:t>
      </w:r>
      <w:r w:rsidR="00DC4602">
        <w:t>“</w:t>
      </w:r>
      <w:r w:rsidR="08163013">
        <w:rPr>
          <w:i/>
        </w:rPr>
        <w:t xml:space="preserve"> </w:t>
      </w:r>
      <w:r w:rsidR="08163013" w:rsidRPr="00273106">
        <w:t>výslovně odkazuje na cen</w:t>
      </w:r>
      <w:r w:rsidR="08163013">
        <w:t>trální část nauky CMDA 409.654–</w:t>
      </w:r>
      <w:r w:rsidR="08163013" w:rsidRPr="00273106">
        <w:t>62</w:t>
      </w:r>
      <w:r w:rsidR="08163013">
        <w:fldChar w:fldCharType="begin"/>
      </w:r>
      <w:r w:rsidR="08163013">
        <w:instrText xml:space="preserve"> XE "Averroes</w:instrText>
      </w:r>
      <w:r w:rsidR="08163013" w:rsidRPr="00CF7984">
        <w:instrText>:CMDA 409.654–662</w:instrText>
      </w:r>
      <w:r w:rsidR="08163013">
        <w:instrText xml:space="preserve">" </w:instrText>
      </w:r>
      <w:r w:rsidR="08163013">
        <w:fldChar w:fldCharType="end"/>
      </w:r>
      <w:r w:rsidR="08163013" w:rsidRPr="00273106">
        <w:t xml:space="preserve"> ohledně receptivního intektu jako čtvrtého rodu ve smyslu společné lidské schopnosti (</w:t>
      </w:r>
      <w:r w:rsidR="08163013" w:rsidRPr="00273106">
        <w:rPr>
          <w:i/>
        </w:rPr>
        <w:t>intelligibile esse oportet dividi in consimilia hiis duobus</w:t>
      </w:r>
      <w:r w:rsidR="00483EBA">
        <w:t xml:space="preserve">; OBJ I, </w:t>
      </w:r>
      <w:r w:rsidR="08163013" w:rsidRPr="00273106">
        <w:t xml:space="preserve">kap. 2.4.3). </w:t>
      </w:r>
      <w:r w:rsidR="08163013">
        <w:t>Ockham zásadně odmítl scénář poznání podle druhého averoismu, který má i Scotus. Modernisté hypostázují jakoukoliv schopnost nebo fenomén tím, že jej dají do avicennovské formy esence (</w:t>
      </w:r>
      <w:r w:rsidR="08163013">
        <w:rPr>
          <w:i/>
        </w:rPr>
        <w:t>potentia ess</w:t>
      </w:r>
      <w:r w:rsidR="08163013" w:rsidRPr="0017215F">
        <w:rPr>
          <w:i/>
        </w:rPr>
        <w:t>entialis</w:t>
      </w:r>
      <w:r w:rsidR="08163013">
        <w:rPr>
          <w:i/>
          <w:iCs/>
        </w:rPr>
        <w:fldChar w:fldCharType="begin"/>
      </w:r>
      <w:r w:rsidR="08163013">
        <w:instrText xml:space="preserve"> XE "</w:instrText>
      </w:r>
      <w:r w:rsidR="08163013" w:rsidRPr="003C711B">
        <w:rPr>
          <w:i/>
          <w:iCs/>
        </w:rPr>
        <w:instrText>potentia essentialis</w:instrText>
      </w:r>
      <w:r w:rsidR="08163013">
        <w:instrText xml:space="preserve">" </w:instrText>
      </w:r>
      <w:r w:rsidR="08163013">
        <w:rPr>
          <w:i/>
          <w:iCs/>
        </w:rPr>
        <w:fldChar w:fldCharType="end"/>
      </w:r>
      <w:r w:rsidR="08163013">
        <w:t>). Pak konstatují „exsistenci“ této kvazi-substance</w:t>
      </w:r>
      <w:r w:rsidR="08163013">
        <w:fldChar w:fldCharType="begin"/>
      </w:r>
      <w:r w:rsidR="08163013">
        <w:instrText xml:space="preserve"> XE "</w:instrText>
      </w:r>
      <w:r w:rsidR="08163013" w:rsidRPr="00DE2A32">
        <w:instrText>substance</w:instrText>
      </w:r>
      <w:r w:rsidR="08163013">
        <w:instrText xml:space="preserve">:intelekt" </w:instrText>
      </w:r>
      <w:r w:rsidR="08163013">
        <w:fldChar w:fldCharType="end"/>
      </w:r>
      <w:r w:rsidR="08163013">
        <w:t xml:space="preserve"> jako kontigentní výskyt této porretánské hypostáze v reálu (</w:t>
      </w:r>
      <w:r w:rsidR="08163013" w:rsidRPr="006D274D">
        <w:rPr>
          <w:i/>
        </w:rPr>
        <w:t xml:space="preserve">potentia </w:t>
      </w:r>
      <w:r w:rsidR="08163013">
        <w:rPr>
          <w:i/>
        </w:rPr>
        <w:t>accidentalis</w:t>
      </w:r>
      <w:r w:rsidR="08163013" w:rsidRPr="0017215F">
        <w:t>)</w:t>
      </w:r>
      <w:r w:rsidR="08163013">
        <w:t xml:space="preserve">. Ockham zrušil toto pojetí tím, že zrušil absurdní intelekt </w:t>
      </w:r>
      <w:r w:rsidR="08163013" w:rsidRPr="0017215F">
        <w:rPr>
          <w:i/>
        </w:rPr>
        <w:t>Modernorum</w:t>
      </w:r>
      <w:r w:rsidR="08163013">
        <w:t xml:space="preserve">, který tento omyl produkuje. </w:t>
      </w:r>
      <w:r w:rsidR="08163013" w:rsidRPr="00273106">
        <w:t>Druhý averroi</w:t>
      </w:r>
      <w:r w:rsidR="08163013">
        <w:t>s</w:t>
      </w:r>
      <w:r w:rsidR="08163013" w:rsidRPr="00273106">
        <w:t xml:space="preserve">mus a scotisté potřebují najít v intelektu ostrůvek aktuality konstituovaný skrze </w:t>
      </w:r>
      <w:r w:rsidR="08163013" w:rsidRPr="00273106">
        <w:rPr>
          <w:i/>
        </w:rPr>
        <w:t>a priori</w:t>
      </w:r>
      <w:r w:rsidR="08163013" w:rsidRPr="00273106">
        <w:t xml:space="preserve"> daný habitus daný substanciálně, tedy mimo akcidentální poznání ze smyslově daných vjemů</w:t>
      </w:r>
      <w:r w:rsidR="00E10E46">
        <w:t xml:space="preserve"> (kap. 5</w:t>
      </w:r>
      <w:r w:rsidR="08163013">
        <w:t>.3.2)</w:t>
      </w:r>
      <w:r w:rsidR="08163013" w:rsidRPr="00273106">
        <w:t xml:space="preserve">. </w:t>
      </w:r>
      <w:r w:rsidR="08163013">
        <w:t>Moderna od Pechama zavedla augustiniánskou paměť třetího druhu (</w:t>
      </w:r>
      <w:r w:rsidR="08163013" w:rsidRPr="00C4592A">
        <w:rPr>
          <w:i/>
        </w:rPr>
        <w:t>memoria</w:t>
      </w:r>
      <w:r w:rsidR="08163013">
        <w:rPr>
          <w:i/>
        </w:rPr>
        <w:fldChar w:fldCharType="begin"/>
      </w:r>
      <w:r w:rsidR="08163013">
        <w:instrText xml:space="preserve"> XE "</w:instrText>
      </w:r>
      <w:r w:rsidR="08163013" w:rsidRPr="00840D0F">
        <w:rPr>
          <w:i/>
        </w:rPr>
        <w:instrText>memoria:</w:instrText>
      </w:r>
      <w:r w:rsidR="08163013" w:rsidRPr="00840D0F">
        <w:instrText>druhý averroismus</w:instrText>
      </w:r>
      <w:r w:rsidR="08163013">
        <w:instrText xml:space="preserve">" </w:instrText>
      </w:r>
      <w:r w:rsidR="08163013">
        <w:rPr>
          <w:i/>
        </w:rPr>
        <w:fldChar w:fldCharType="end"/>
      </w:r>
      <w:r w:rsidR="08163013">
        <w:t xml:space="preserve">) </w:t>
      </w:r>
      <w:r w:rsidR="08163013" w:rsidRPr="00273106">
        <w:t xml:space="preserve">jako </w:t>
      </w:r>
      <w:r w:rsidR="00156897">
        <w:t>myt</w:t>
      </w:r>
      <w:r w:rsidR="008C3CE2">
        <w:t xml:space="preserve">ologické </w:t>
      </w:r>
      <w:r w:rsidR="08163013" w:rsidRPr="00273106">
        <w:t xml:space="preserve">místo aktuálních </w:t>
      </w:r>
      <w:r w:rsidR="00962190" w:rsidRPr="00156897">
        <w:t>species</w:t>
      </w:r>
      <w:r w:rsidR="08163013" w:rsidRPr="00273106">
        <w:t xml:space="preserve">, odkud si je </w:t>
      </w:r>
      <w:r w:rsidR="00C4400C" w:rsidRPr="00273106">
        <w:t>aktuální substanční intelekt</w:t>
      </w:r>
      <w:r w:rsidR="00C4400C">
        <w:t xml:space="preserve"> </w:t>
      </w:r>
      <w:r w:rsidR="08163013" w:rsidRPr="00273106">
        <w:t xml:space="preserve">vytahuje </w:t>
      </w:r>
      <w:r w:rsidR="00C4400C">
        <w:t xml:space="preserve">podle potřeby </w:t>
      </w:r>
      <w:r w:rsidR="08163013">
        <w:t>(</w:t>
      </w:r>
      <w:r w:rsidR="08163013" w:rsidRPr="00C4592A">
        <w:rPr>
          <w:i/>
        </w:rPr>
        <w:t>locus specierum</w:t>
      </w:r>
      <w:r w:rsidR="08163013">
        <w:rPr>
          <w:i/>
        </w:rPr>
        <w:fldChar w:fldCharType="begin"/>
      </w:r>
      <w:r w:rsidR="08163013">
        <w:instrText xml:space="preserve"> XE "</w:instrText>
      </w:r>
      <w:r w:rsidR="08163013" w:rsidRPr="009E5259">
        <w:rPr>
          <w:i/>
        </w:rPr>
        <w:instrText>locus specierum</w:instrText>
      </w:r>
      <w:r w:rsidR="08163013">
        <w:instrText xml:space="preserve">" </w:instrText>
      </w:r>
      <w:r w:rsidR="08163013">
        <w:rPr>
          <w:i/>
        </w:rPr>
        <w:fldChar w:fldCharType="end"/>
      </w:r>
      <w:r w:rsidR="08163013">
        <w:t xml:space="preserve">, </w:t>
      </w:r>
      <w:r w:rsidR="00E10E46">
        <w:t>kap. 4</w:t>
      </w:r>
      <w:r w:rsidR="08163013" w:rsidRPr="00273106">
        <w:t>.3.1</w:t>
      </w:r>
      <w:r w:rsidR="08163013">
        <w:t>)</w:t>
      </w:r>
      <w:r w:rsidR="08163013" w:rsidRPr="00273106">
        <w:t xml:space="preserve">. Tato </w:t>
      </w:r>
      <w:r w:rsidR="000F4BCD">
        <w:t xml:space="preserve">mytologická </w:t>
      </w:r>
      <w:r w:rsidR="08163013" w:rsidRPr="00273106">
        <w:t xml:space="preserve">aktualita </w:t>
      </w:r>
      <w:r w:rsidR="000F4BCD">
        <w:t xml:space="preserve">vztažená ke světu </w:t>
      </w:r>
      <w:r w:rsidR="000F4BCD" w:rsidRPr="000F4BCD">
        <w:rPr>
          <w:i/>
        </w:rPr>
        <w:t>tertium ens</w:t>
      </w:r>
      <w:r w:rsidR="000F4BCD">
        <w:t xml:space="preserve"> je pochopitelně daná pouze </w:t>
      </w:r>
      <w:r w:rsidR="08163013" w:rsidRPr="00273106">
        <w:t>imanentně</w:t>
      </w:r>
      <w:r w:rsidR="000F4BCD">
        <w:t>, protože nesmysly reálně neexistují. Akademické Fúrie pak zažehnou</w:t>
      </w:r>
      <w:r w:rsidR="08163013" w:rsidRPr="00273106">
        <w:t xml:space="preserve"> v osvíceném intelektu </w:t>
      </w:r>
      <w:r w:rsidR="08163013" w:rsidRPr="00273106">
        <w:rPr>
          <w:i/>
        </w:rPr>
        <w:t>Modernorum</w:t>
      </w:r>
      <w:r w:rsidR="08163013" w:rsidRPr="00273106">
        <w:t xml:space="preserve"> </w:t>
      </w:r>
      <w:r w:rsidR="000F4BCD">
        <w:t xml:space="preserve">tolik potřebné </w:t>
      </w:r>
      <w:r w:rsidR="08163013" w:rsidRPr="00273106">
        <w:t>světlo objektivní iluminace</w:t>
      </w:r>
      <w:r w:rsidR="000F4BCD">
        <w:t xml:space="preserve">, která </w:t>
      </w:r>
      <w:r w:rsidR="08163013" w:rsidRPr="00273106">
        <w:t>zajišťuj</w:t>
      </w:r>
      <w:r w:rsidR="000F4BCD">
        <w:t>e</w:t>
      </w:r>
      <w:r w:rsidR="08163013" w:rsidRPr="00273106">
        <w:t xml:space="preserve"> nasvícení </w:t>
      </w:r>
      <w:r w:rsidR="000F4BCD">
        <w:t xml:space="preserve">smyslu </w:t>
      </w:r>
      <w:r w:rsidR="0005375A">
        <w:t>jsoucna zezadu.</w:t>
      </w:r>
    </w:p>
    <w:p w:rsidR="08163013" w:rsidRPr="00273106" w:rsidRDefault="0005375A" w:rsidP="0005375A">
      <w:pPr>
        <w:ind w:firstLine="397"/>
      </w:pPr>
      <w:r>
        <w:lastRenderedPageBreak/>
        <w:t>Ockham toto bláznivé řešení „</w:t>
      </w:r>
      <w:r w:rsidRPr="0005375A">
        <w:t>přirozeného</w:t>
      </w:r>
      <w:r>
        <w:t>“</w:t>
      </w:r>
      <w:r w:rsidRPr="0005375A">
        <w:t xml:space="preserve"> (</w:t>
      </w:r>
      <w:r>
        <w:t xml:space="preserve">tedy </w:t>
      </w:r>
      <w:r w:rsidRPr="0005375A">
        <w:t xml:space="preserve">objektivního) poznání zásadně zpochybnil. Podívejme se na celou argumentaci věnovanou tomuto problému v traktátu </w:t>
      </w:r>
      <w:r w:rsidRPr="0005375A">
        <w:rPr>
          <w:i/>
        </w:rPr>
        <w:t>Reportatio II</w:t>
      </w:r>
      <w:r w:rsidRPr="0005375A">
        <w:t>, qq. 12</w:t>
      </w:r>
      <w:r>
        <w:t>–</w:t>
      </w:r>
      <w:r w:rsidRPr="0005375A">
        <w:t xml:space="preserve">13. </w:t>
      </w:r>
      <w:r w:rsidR="08163013" w:rsidRPr="00273106">
        <w:t xml:space="preserve">Habitus není dán ani od boha, ani od aktuality nazíraných vrozených idejí nebo prvních principů, ani od habituálně aktuální paměti dané jako augustiniánské </w:t>
      </w:r>
      <w:r w:rsidR="08163013" w:rsidRPr="00273106">
        <w:rPr>
          <w:i/>
        </w:rPr>
        <w:t>locus specierum</w:t>
      </w:r>
      <w:r w:rsidR="08163013" w:rsidRPr="00273106">
        <w:t>. Ockham všechny tyto možnosti předem dané aktualizace intele</w:t>
      </w:r>
      <w:r w:rsidR="08163013">
        <w:t>ktu zásadně odmítá. Moderna stojí a padá s nasvícením intelektu zezadu, protože své paranoické poznání oddělila od aktuality smyslových fantat.</w:t>
      </w:r>
      <w:r w:rsidR="08163013" w:rsidRPr="00273106">
        <w:t xml:space="preserve"> </w:t>
      </w:r>
      <w:r w:rsidR="08163013">
        <w:t>Ockam jasně říká, že jiné poznání pro člověka není možné (</w:t>
      </w:r>
      <w:r w:rsidR="08163013" w:rsidRPr="00273106">
        <w:rPr>
          <w:i/>
        </w:rPr>
        <w:t>intellectus possibilis nihil intelligit nisi per conversionem ad phantasmata</w:t>
      </w:r>
      <w:r w:rsidR="08163013">
        <w:t xml:space="preserve">; </w:t>
      </w:r>
      <w:r w:rsidR="08163013" w:rsidRPr="00273106">
        <w:t>OTh 7, 278.6‒7</w:t>
      </w:r>
      <w:r w:rsidR="08163013">
        <w:fldChar w:fldCharType="begin"/>
      </w:r>
      <w:r w:rsidR="08163013">
        <w:instrText xml:space="preserve"> XE "Ockham:</w:instrText>
      </w:r>
      <w:r w:rsidR="08163013" w:rsidRPr="00B55DBD">
        <w:rPr>
          <w:i/>
        </w:rPr>
        <w:instrText>Quest. in IV. Sent</w:instrText>
      </w:r>
      <w:r w:rsidR="08163013">
        <w:instrText xml:space="preserve">. </w:instrText>
      </w:r>
      <w:r w:rsidR="08163013" w:rsidRPr="00052DDB">
        <w:instrText>278.6‒7</w:instrText>
      </w:r>
      <w:r w:rsidR="08163013">
        <w:instrText xml:space="preserve">" </w:instrText>
      </w:r>
      <w:r w:rsidR="08163013">
        <w:fldChar w:fldCharType="end"/>
      </w:r>
      <w:r w:rsidR="08163013" w:rsidRPr="00273106">
        <w:t>)</w:t>
      </w:r>
      <w:r w:rsidR="08163013">
        <w:t xml:space="preserve">. </w:t>
      </w:r>
      <w:r w:rsidR="08163013" w:rsidRPr="00273106">
        <w:t xml:space="preserve">Přechod z čisté potenciality intelektu jako </w:t>
      </w:r>
      <w:r w:rsidR="08163013" w:rsidRPr="00273106">
        <w:rPr>
          <w:i/>
        </w:rPr>
        <w:t>tabula rasa</w:t>
      </w:r>
      <w:r w:rsidR="08163013">
        <w:rPr>
          <w:i/>
        </w:rPr>
        <w:fldChar w:fldCharType="begin"/>
      </w:r>
      <w:r w:rsidR="08163013">
        <w:instrText xml:space="preserve"> XE "</w:instrText>
      </w:r>
      <w:r w:rsidR="08163013" w:rsidRPr="00D05E45">
        <w:rPr>
          <w:i/>
        </w:rPr>
        <w:instrText>tabula rasa</w:instrText>
      </w:r>
      <w:r w:rsidR="08163013">
        <w:instrText xml:space="preserve">" </w:instrText>
      </w:r>
      <w:r w:rsidR="08163013">
        <w:rPr>
          <w:i/>
        </w:rPr>
        <w:fldChar w:fldCharType="end"/>
      </w:r>
      <w:r w:rsidR="08163013" w:rsidRPr="00273106">
        <w:t xml:space="preserve"> není možné uskutečnit nějakou imanentní cestou na způsob </w:t>
      </w:r>
      <w:r w:rsidR="00667A7A">
        <w:t>„</w:t>
      </w:r>
      <w:r w:rsidR="08163013" w:rsidRPr="00273106">
        <w:t>létajícího muže</w:t>
      </w:r>
      <w:r w:rsidR="00667A7A">
        <w:t>“</w:t>
      </w:r>
      <w:r w:rsidR="08163013">
        <w:fldChar w:fldCharType="begin"/>
      </w:r>
      <w:r w:rsidR="08163013">
        <w:instrText xml:space="preserve"> XE "</w:instrText>
      </w:r>
      <w:r w:rsidR="08163013" w:rsidRPr="00FC391D">
        <w:rPr>
          <w:rStyle w:val="FontStyle129"/>
          <w:sz w:val="24"/>
        </w:rPr>
        <w:instrText>létající muž</w:instrText>
      </w:r>
      <w:r w:rsidR="08163013">
        <w:instrText xml:space="preserve">" </w:instrText>
      </w:r>
      <w:r w:rsidR="08163013">
        <w:fldChar w:fldCharType="end"/>
      </w:r>
      <w:r w:rsidR="08163013" w:rsidRPr="00273106">
        <w:t xml:space="preserve"> Avicenny nebo Descarta</w:t>
      </w:r>
      <w:r w:rsidR="08163013">
        <w:fldChar w:fldCharType="begin"/>
      </w:r>
      <w:r w:rsidR="08163013">
        <w:instrText xml:space="preserve"> XE "</w:instrText>
      </w:r>
      <w:r w:rsidR="08163013" w:rsidRPr="004146C6">
        <w:rPr>
          <w:rStyle w:val="addmd"/>
        </w:rPr>
        <w:instrText>Descartes, R.</w:instrText>
      </w:r>
      <w:r w:rsidR="08163013">
        <w:instrText xml:space="preserve">" </w:instrText>
      </w:r>
      <w:r w:rsidR="08163013">
        <w:fldChar w:fldCharType="end"/>
      </w:r>
      <w:r w:rsidR="08163013" w:rsidRPr="00273106">
        <w:t xml:space="preserve"> </w:t>
      </w:r>
      <w:r w:rsidR="08163013">
        <w:t xml:space="preserve">a </w:t>
      </w:r>
      <w:r w:rsidR="08163013" w:rsidRPr="00273106">
        <w:t>Husserla</w:t>
      </w:r>
      <w:r w:rsidR="08163013">
        <w:fldChar w:fldCharType="begin"/>
      </w:r>
      <w:r w:rsidR="08163013">
        <w:instrText xml:space="preserve"> XE "</w:instrText>
      </w:r>
      <w:r w:rsidR="08163013" w:rsidRPr="000710C4">
        <w:instrText>Husserl, E.</w:instrText>
      </w:r>
      <w:r w:rsidR="08163013">
        <w:instrText xml:space="preserve">" </w:instrText>
      </w:r>
      <w:r w:rsidR="08163013">
        <w:fldChar w:fldCharType="end"/>
      </w:r>
      <w:r w:rsidR="08163013" w:rsidRPr="00273106">
        <w:t>.</w:t>
      </w:r>
      <w:r w:rsidR="08163013">
        <w:t xml:space="preserve"> Objektivně daný h</w:t>
      </w:r>
      <w:r w:rsidR="08163013" w:rsidRPr="00273106">
        <w:t>abitus</w:t>
      </w:r>
      <w:r w:rsidR="002105A6">
        <w:t xml:space="preserve"> jako </w:t>
      </w:r>
      <w:r w:rsidR="08163013">
        <w:t>hypostáze neexistuje</w:t>
      </w:r>
      <w:r w:rsidR="00DC17F3">
        <w:t xml:space="preserve">; </w:t>
      </w:r>
      <w:r w:rsidR="08163013">
        <w:t xml:space="preserve">habituální vlastnění poznatku </w:t>
      </w:r>
      <w:r w:rsidR="08163013" w:rsidRPr="00273106">
        <w:t xml:space="preserve">vzniká pouze na základě již naučených aktů poznání daných na úrovni akcidenciální a </w:t>
      </w:r>
      <w:r w:rsidR="08163013">
        <w:t>s</w:t>
      </w:r>
      <w:r w:rsidR="08163013" w:rsidRPr="00273106">
        <w:t xml:space="preserve">triktně </w:t>
      </w:r>
      <w:r w:rsidR="00541256">
        <w:t xml:space="preserve">personální </w:t>
      </w:r>
      <w:r w:rsidR="08163013" w:rsidRPr="00273106">
        <w:t xml:space="preserve">receptivity intelektu. Modernisté definují intelekt jako habitus vybavený vlastní imanentní aktualitou od přírody nebo od boha. Ockham takové řešení zásadně odmítá. </w:t>
      </w:r>
    </w:p>
    <w:p w:rsidR="08163013" w:rsidRDefault="08163013" w:rsidP="08163013">
      <w:pPr>
        <w:pStyle w:val="Citace"/>
      </w:pPr>
      <w:r w:rsidRPr="00273106">
        <w:rPr>
          <w:noProof/>
          <w:lang w:val="cs-CZ"/>
        </w:rPr>
        <w:t>„</w:t>
      </w:r>
      <w:r>
        <w:rPr>
          <w:noProof/>
          <w:lang w:val="cs-CZ"/>
        </w:rPr>
        <w:t>Habitus</w:t>
      </w:r>
      <w:r w:rsidRPr="00D62B4E">
        <w:rPr>
          <w:noProof/>
          <w:lang w:val="cs-CZ"/>
        </w:rPr>
        <w:t xml:space="preserve"> </w:t>
      </w:r>
      <w:r>
        <w:rPr>
          <w:noProof/>
          <w:lang w:val="cs-CZ"/>
        </w:rPr>
        <w:t>nemůže převádět intelekt z esenciální potence na akcidentální. Habitus předpokládá existenci již daného aktuálního poznání a nutně vychází z toho, že přechod z esenciální na akcidentální možnost je již realizován. Habitus je dán pouze vzhledem k poznání reálných věcí.“ </w:t>
      </w:r>
      <w:r>
        <w:rPr>
          <w:rStyle w:val="Znakapoznpodarou"/>
        </w:rPr>
        <w:footnoteReference w:id="486"/>
      </w:r>
    </w:p>
    <w:p w:rsidR="08163013" w:rsidRDefault="08163013" w:rsidP="08163013">
      <w:r w:rsidRPr="00273106">
        <w:t>In</w:t>
      </w:r>
      <w:r>
        <w:t xml:space="preserve">telekt je sám sobě </w:t>
      </w:r>
      <w:r w:rsidRPr="00273106">
        <w:t>jen čistá potence</w:t>
      </w:r>
      <w:r>
        <w:t xml:space="preserve"> daná v mysli</w:t>
      </w:r>
      <w:r>
        <w:rPr>
          <w:i/>
        </w:rPr>
        <w:fldChar w:fldCharType="begin"/>
      </w:r>
      <w:r>
        <w:instrText xml:space="preserve"> XE "</w:instrText>
      </w:r>
      <w:r w:rsidRPr="00191848">
        <w:rPr>
          <w:i/>
        </w:rPr>
        <w:instrText>quartum genus</w:instrText>
      </w:r>
      <w:r>
        <w:instrText xml:space="preserve">" </w:instrText>
      </w:r>
      <w:r>
        <w:rPr>
          <w:i/>
        </w:rPr>
        <w:fldChar w:fldCharType="end"/>
      </w:r>
      <w:r w:rsidRPr="00273106">
        <w:t>. Nic v něm samotném neexistuje aktuálně v nějaké formě habitu (</w:t>
      </w:r>
      <w:r w:rsidRPr="00273106">
        <w:rPr>
          <w:i/>
        </w:rPr>
        <w:t>non potest esse habitus</w:t>
      </w:r>
      <w:r w:rsidRPr="00273106">
        <w:t>). Citát</w:t>
      </w:r>
      <w:r>
        <w:t xml:space="preserve"> připomíná, že habitus jako klasický akcicent na druhé substanci je schopnost poznání, které</w:t>
      </w:r>
      <w:r w:rsidRPr="00273106">
        <w:t xml:space="preserve"> má původ </w:t>
      </w:r>
      <w:r>
        <w:t>ve vnějším aktu</w:t>
      </w:r>
      <w:r w:rsidRPr="00273106">
        <w:t xml:space="preserve"> (</w:t>
      </w:r>
      <w:r w:rsidRPr="00273106">
        <w:rPr>
          <w:i/>
        </w:rPr>
        <w:t>habitus praesupponit actum</w:t>
      </w:r>
      <w:r>
        <w:t xml:space="preserve">). Habitus předpokládá, že abstraktní intelekt jako čistá </w:t>
      </w:r>
      <w:r w:rsidRPr="00273106">
        <w:rPr>
          <w:i/>
        </w:rPr>
        <w:t>potentia essentialis</w:t>
      </w:r>
      <w:r w:rsidRPr="009E0339">
        <w:rPr>
          <w:i/>
          <w:iCs/>
        </w:rPr>
        <w:t xml:space="preserve"> </w:t>
      </w:r>
      <w:r>
        <w:rPr>
          <w:i/>
          <w:iCs/>
        </w:rPr>
        <w:fldChar w:fldCharType="begin"/>
      </w:r>
      <w:r>
        <w:instrText xml:space="preserve"> XE "</w:instrText>
      </w:r>
      <w:r w:rsidRPr="003C711B">
        <w:rPr>
          <w:i/>
          <w:iCs/>
        </w:rPr>
        <w:instrText>potentia essentialis</w:instrText>
      </w:r>
      <w:r>
        <w:instrText xml:space="preserve">" </w:instrText>
      </w:r>
      <w:r>
        <w:rPr>
          <w:i/>
          <w:iCs/>
        </w:rPr>
        <w:fldChar w:fldCharType="end"/>
      </w:r>
      <w:r>
        <w:t xml:space="preserve">je již aktualizovaná skrze výkon toho či onoho individuálního úkonu </w:t>
      </w:r>
      <w:r w:rsidRPr="00273106">
        <w:t>intelektu (</w:t>
      </w:r>
      <w:r w:rsidRPr="00273106">
        <w:rPr>
          <w:i/>
        </w:rPr>
        <w:t>praesupponit intellectum reductum de potentia essentiali</w:t>
      </w:r>
      <w:r w:rsidRPr="00273106">
        <w:t>). Proto je i habitus d</w:t>
      </w:r>
      <w:r>
        <w:t xml:space="preserve">eterminován z hlediska impozice významu </w:t>
      </w:r>
      <w:r w:rsidRPr="00273106">
        <w:t>od hylemorfické první substance</w:t>
      </w:r>
      <w:r>
        <w:fldChar w:fldCharType="begin"/>
      </w:r>
      <w:r>
        <w:instrText xml:space="preserve"> XE "habitus" </w:instrText>
      </w:r>
      <w:r>
        <w:fldChar w:fldCharType="end"/>
      </w:r>
      <w:r w:rsidRPr="00273106">
        <w:t xml:space="preserve"> (</w:t>
      </w:r>
      <w:r w:rsidRPr="00273106">
        <w:rPr>
          <w:i/>
        </w:rPr>
        <w:t>habitus non est nisi respectu complexorum</w:t>
      </w:r>
      <w:r w:rsidRPr="00273106">
        <w:t>). Náhled moderních iluminátů</w:t>
      </w:r>
      <w:r>
        <w:fldChar w:fldCharType="begin"/>
      </w:r>
      <w:r>
        <w:instrText xml:space="preserve"> XE "</w:instrText>
      </w:r>
      <w:r w:rsidRPr="00BD65D1">
        <w:instrText>ilumináti</w:instrText>
      </w:r>
      <w:r>
        <w:instrText xml:space="preserve">" </w:instrText>
      </w:r>
      <w:r>
        <w:fldChar w:fldCharType="end"/>
      </w:r>
      <w:r w:rsidRPr="00273106">
        <w:t xml:space="preserve"> existuje </w:t>
      </w:r>
      <w:r>
        <w:t>aktuálně-</w:t>
      </w:r>
      <w:r w:rsidRPr="00273106">
        <w:t xml:space="preserve">inchoativně před jakoukoliv </w:t>
      </w:r>
      <w:r w:rsidRPr="00273106">
        <w:lastRenderedPageBreak/>
        <w:t xml:space="preserve">smyslovou zkušeností. </w:t>
      </w:r>
      <w:r>
        <w:t xml:space="preserve">Z tohoto náhledu moderny vychází pochybné pojetí pravdy jako asimilace jsoucen třetího druhu do dogmatického systému jedné pravdy. </w:t>
      </w:r>
      <w:r w:rsidRPr="00273106">
        <w:t xml:space="preserve">Podle Ockhama všechny tyto možnosti popírají statut receptivního intelektu a ruší aristotelskou definici duše jako </w:t>
      </w:r>
      <w:r w:rsidRPr="00273106">
        <w:rPr>
          <w:i/>
        </w:rPr>
        <w:t>tabula rasa</w:t>
      </w:r>
      <w:r>
        <w:rPr>
          <w:i/>
        </w:rPr>
        <w:fldChar w:fldCharType="begin"/>
      </w:r>
      <w:r>
        <w:instrText xml:space="preserve"> XE "</w:instrText>
      </w:r>
      <w:r w:rsidRPr="00CE6D17">
        <w:rPr>
          <w:i/>
        </w:rPr>
        <w:instrText>tabula rasa</w:instrText>
      </w:r>
      <w:r>
        <w:instrText xml:space="preserve">" </w:instrText>
      </w:r>
      <w:r>
        <w:rPr>
          <w:i/>
        </w:rPr>
        <w:fldChar w:fldCharType="end"/>
      </w:r>
      <w:r w:rsidRPr="00273106">
        <w:t>. Ockham v citátu výslovně odm</w:t>
      </w:r>
      <w:r>
        <w:t xml:space="preserve">ítá Rufusův a Scotův vrozený habitus </w:t>
      </w:r>
      <w:r w:rsidRPr="00273106">
        <w:t>prvních principů</w:t>
      </w:r>
      <w:r>
        <w:t xml:space="preserve"> poznání</w:t>
      </w:r>
      <w:r w:rsidRPr="00273106">
        <w:t>, který přebral Descartes</w:t>
      </w:r>
      <w:r>
        <w:t xml:space="preserve">, Kant </w:t>
      </w:r>
      <w:r w:rsidRPr="00273106">
        <w:t xml:space="preserve">a Husserl. Radikálně potenciální intelekt nemůže mít předem daný aktuální habitus, protože ten vzniká díky poznání ze smyslů a z reálných substancí. </w:t>
      </w:r>
      <w:r>
        <w:t>Shrňme závěr celou argumentaci</w:t>
      </w:r>
      <w:r w:rsidRPr="00273106">
        <w:t xml:space="preserve"> v </w:t>
      </w:r>
      <w:r w:rsidR="008C2D4A" w:rsidRPr="008C2D4A">
        <w:rPr>
          <w:i/>
        </w:rPr>
        <w:t>Ordinatio I</w:t>
      </w:r>
      <w:r>
        <w:t>I, qq. 12‒</w:t>
      </w:r>
      <w:r w:rsidRPr="00273106">
        <w:t>13. Ockhamova břitva vyniká jednoduchostí a precizností</w:t>
      </w:r>
      <w:r>
        <w:t xml:space="preserve">, protože ruší Scotova objektivní </w:t>
      </w:r>
      <w:r w:rsidR="00962190">
        <w:rPr>
          <w:i/>
        </w:rPr>
        <w:t>species</w:t>
      </w:r>
      <w:r>
        <w:t xml:space="preserve"> poukazem na reálný průběh poznání</w:t>
      </w:r>
      <w:r w:rsidRPr="00273106">
        <w:t>.</w:t>
      </w:r>
      <w:r>
        <w:t xml:space="preserve"> Objektivně existující </w:t>
      </w:r>
      <w:r w:rsidR="00962190">
        <w:rPr>
          <w:i/>
        </w:rPr>
        <w:t>species</w:t>
      </w:r>
      <w:r>
        <w:t xml:space="preserve"> potřebovala hypostázovaný habitus jako apriorně aktualizovanou složku intelektu. Ockhamova břitva rušila obojí jsoucno jako nesmyslné.</w:t>
      </w:r>
    </w:p>
    <w:p w:rsidR="08163013" w:rsidRDefault="08163013" w:rsidP="08163013">
      <w:pPr>
        <w:pStyle w:val="Citace"/>
        <w:rPr>
          <w:lang w:val="cs-CZ"/>
        </w:rPr>
      </w:pPr>
      <w:r w:rsidRPr="00273106">
        <w:rPr>
          <w:noProof/>
        </w:rPr>
        <w:t>„</w:t>
      </w:r>
      <w:r>
        <w:rPr>
          <w:noProof/>
        </w:rPr>
        <w:t>Proto všechno</w:t>
      </w:r>
      <w:r>
        <w:rPr>
          <w:noProof/>
          <w:lang w:val="cs-CZ"/>
        </w:rPr>
        <w:t xml:space="preserve">, co </w:t>
      </w:r>
      <w:r>
        <w:rPr>
          <w:noProof/>
        </w:rPr>
        <w:t xml:space="preserve">je možno definovat skrze </w:t>
      </w:r>
      <w:r w:rsidR="003C4ED8">
        <w:rPr>
          <w:noProof/>
          <w:lang w:val="cs-CZ"/>
        </w:rPr>
        <w:t xml:space="preserve">objektivní </w:t>
      </w:r>
      <w:r w:rsidR="00962190" w:rsidRPr="003C4ED8">
        <w:rPr>
          <w:noProof/>
        </w:rPr>
        <w:t>species</w:t>
      </w:r>
      <w:r>
        <w:rPr>
          <w:noProof/>
        </w:rPr>
        <w:t xml:space="preserve">, je možné definovat skrze poznávací habitus. Pak habitus pro poznání </w:t>
      </w:r>
      <w:r w:rsidR="00157922">
        <w:rPr>
          <w:noProof/>
          <w:lang w:val="cs-CZ"/>
        </w:rPr>
        <w:t>do</w:t>
      </w:r>
      <w:r w:rsidR="00157922">
        <w:rPr>
          <w:noProof/>
        </w:rPr>
        <w:t>stač</w:t>
      </w:r>
      <w:r w:rsidR="00157922">
        <w:rPr>
          <w:noProof/>
          <w:lang w:val="cs-CZ"/>
        </w:rPr>
        <w:t>uje</w:t>
      </w:r>
      <w:r>
        <w:rPr>
          <w:noProof/>
        </w:rPr>
        <w:t xml:space="preserve"> a </w:t>
      </w:r>
      <w:r w:rsidR="007B407E">
        <w:rPr>
          <w:noProof/>
          <w:lang w:val="cs-CZ"/>
        </w:rPr>
        <w:t xml:space="preserve">všechna tato </w:t>
      </w:r>
      <w:r w:rsidR="00962190" w:rsidRPr="007B407E">
        <w:rPr>
          <w:noProof/>
        </w:rPr>
        <w:t>species</w:t>
      </w:r>
      <w:r w:rsidR="007B407E">
        <w:rPr>
          <w:noProof/>
        </w:rPr>
        <w:t xml:space="preserve"> j</w:t>
      </w:r>
      <w:r w:rsidR="007B407E">
        <w:rPr>
          <w:noProof/>
          <w:lang w:val="cs-CZ"/>
        </w:rPr>
        <w:t>sou</w:t>
      </w:r>
      <w:r>
        <w:rPr>
          <w:noProof/>
        </w:rPr>
        <w:t xml:space="preserve"> </w:t>
      </w:r>
      <w:r>
        <w:rPr>
          <w:noProof/>
          <w:lang w:val="cs-CZ"/>
        </w:rPr>
        <w:t>nad</w:t>
      </w:r>
      <w:r>
        <w:rPr>
          <w:noProof/>
        </w:rPr>
        <w:t>bytečn</w:t>
      </w:r>
      <w:r>
        <w:rPr>
          <w:noProof/>
          <w:lang w:val="cs-CZ"/>
        </w:rPr>
        <w:t>á</w:t>
      </w:r>
      <w:r>
        <w:rPr>
          <w:noProof/>
        </w:rPr>
        <w:t xml:space="preserve">.“ </w:t>
      </w:r>
      <w:r>
        <w:rPr>
          <w:rStyle w:val="Znakapoznpodarou"/>
        </w:rPr>
        <w:footnoteReference w:id="487"/>
      </w:r>
    </w:p>
    <w:p w:rsidR="00A0114D" w:rsidRDefault="004E3669" w:rsidP="08163013">
      <w:r>
        <w:t>Moderní mytologická</w:t>
      </w:r>
      <w:r w:rsidRPr="004E3669">
        <w:t xml:space="preserve"> </w:t>
      </w:r>
      <w:r>
        <w:t xml:space="preserve">species jsou zasazena </w:t>
      </w:r>
      <w:r w:rsidRPr="004E3669">
        <w:t xml:space="preserve">do diakosmu objektivní racionality mezi </w:t>
      </w:r>
      <w:r>
        <w:t>b</w:t>
      </w:r>
      <w:r w:rsidRPr="004E3669">
        <w:t xml:space="preserve">oha a člověka; Ockham je považuje za zbytečné. Jejich funkce zcela spolehlivě naplňuje aristotelský habitus daný </w:t>
      </w:r>
      <w:r w:rsidR="08163013" w:rsidRPr="00273106">
        <w:t xml:space="preserve">nasvícením </w:t>
      </w:r>
      <w:r>
        <w:t xml:space="preserve">smyslu jsoucna </w:t>
      </w:r>
      <w:r w:rsidR="08163013" w:rsidRPr="00273106">
        <w:t>zepředu.</w:t>
      </w:r>
      <w:r w:rsidR="08163013">
        <w:t xml:space="preserve"> Habitus daný opakovaným poznáním úplně stačí k</w:t>
      </w:r>
      <w:r w:rsidR="08163013" w:rsidRPr="00273106">
        <w:t xml:space="preserve"> </w:t>
      </w:r>
      <w:r w:rsidR="08163013">
        <w:t>vysvětlení autonomie</w:t>
      </w:r>
      <w:r w:rsidR="08163013" w:rsidRPr="00273106">
        <w:t xml:space="preserve"> intelektu</w:t>
      </w:r>
      <w:r w:rsidR="008002BD">
        <w:t xml:space="preserve"> jako kultivované schopnosti poznání</w:t>
      </w:r>
      <w:r w:rsidR="08163013">
        <w:t xml:space="preserve">. Je-li </w:t>
      </w:r>
      <w:r w:rsidR="007E3134">
        <w:t xml:space="preserve">habitus </w:t>
      </w:r>
      <w:r w:rsidR="08163013">
        <w:t>etablován skrze akt poznání daný nasvícením zepředu, pak g</w:t>
      </w:r>
      <w:r w:rsidR="08163013" w:rsidRPr="00273106">
        <w:t>eneruje poznání a reflexi prvních principů poznání (</w:t>
      </w:r>
      <w:r w:rsidR="08163013" w:rsidRPr="00273106">
        <w:rPr>
          <w:i/>
        </w:rPr>
        <w:t>omnia ... possunt salvari per habitum</w:t>
      </w:r>
      <w:r w:rsidR="08163013" w:rsidRPr="00273106">
        <w:t xml:space="preserve">). </w:t>
      </w:r>
      <w:r w:rsidR="08163013">
        <w:t>Pak není třeba žádná</w:t>
      </w:r>
      <w:r w:rsidR="08163013" w:rsidRPr="00273106">
        <w:t xml:space="preserve"> un</w:t>
      </w:r>
      <w:r w:rsidR="08163013">
        <w:t xml:space="preserve">ivoční objektivní </w:t>
      </w:r>
      <w:r w:rsidR="00962190" w:rsidRPr="002243A3">
        <w:t>species</w:t>
      </w:r>
      <w:r w:rsidR="08163013">
        <w:t xml:space="preserve">, která by založila </w:t>
      </w:r>
      <w:r w:rsidR="08163013" w:rsidRPr="00273106">
        <w:t xml:space="preserve">poznání </w:t>
      </w:r>
      <w:r w:rsidR="08163013">
        <w:t>simuláker</w:t>
      </w:r>
      <w:r w:rsidR="08163013">
        <w:fldChar w:fldCharType="begin"/>
      </w:r>
      <w:r w:rsidR="08163013">
        <w:instrText xml:space="preserve"> XE "simulákrum" </w:instrText>
      </w:r>
      <w:r w:rsidR="08163013">
        <w:fldChar w:fldCharType="end"/>
      </w:r>
      <w:r w:rsidR="08163013">
        <w:t xml:space="preserve"> daných mimo reánou věc </w:t>
      </w:r>
      <w:r w:rsidR="08163013" w:rsidRPr="00273106">
        <w:t>(</w:t>
      </w:r>
      <w:r w:rsidR="00962190">
        <w:rPr>
          <w:i/>
        </w:rPr>
        <w:t>species</w:t>
      </w:r>
      <w:r w:rsidR="08163013" w:rsidRPr="00273106">
        <w:rPr>
          <w:i/>
        </w:rPr>
        <w:t xml:space="preserve"> superfluit</w:t>
      </w:r>
      <w:r w:rsidR="08163013" w:rsidRPr="00273106">
        <w:t xml:space="preserve">). Takové poznání ani nemůže existovat, protože by zrušilo základní předpoklad </w:t>
      </w:r>
      <w:r w:rsidR="08163013" w:rsidRPr="00273106">
        <w:rPr>
          <w:i/>
        </w:rPr>
        <w:t>suppositio</w:t>
      </w:r>
      <w:r w:rsidR="08163013" w:rsidRPr="00273106">
        <w:t>, které jsme uváděli v podobě hyparchické predikace dané pro vztah první a druhé substance</w:t>
      </w:r>
      <w:r w:rsidR="08163013">
        <w:fldChar w:fldCharType="begin"/>
      </w:r>
      <w:r w:rsidR="08163013">
        <w:instrText xml:space="preserve"> XE "</w:instrText>
      </w:r>
      <w:r w:rsidR="08163013" w:rsidRPr="00DE2A32">
        <w:instrText>substance</w:instrText>
      </w:r>
      <w:r w:rsidR="08163013">
        <w:instrText xml:space="preserve">:první" </w:instrText>
      </w:r>
      <w:r w:rsidR="08163013">
        <w:fldChar w:fldCharType="end"/>
      </w:r>
      <w:r w:rsidR="08163013" w:rsidRPr="00273106">
        <w:t xml:space="preserve"> v úvodu </w:t>
      </w:r>
      <w:r w:rsidR="08163013" w:rsidRPr="088A5A56">
        <w:rPr>
          <w:i/>
        </w:rPr>
        <w:t>Kategorií</w:t>
      </w:r>
      <w:r w:rsidR="08163013" w:rsidRPr="00273106">
        <w:t xml:space="preserve"> (</w:t>
      </w:r>
      <w:r w:rsidR="00BF718E">
        <w:t xml:space="preserve">OBJ I, </w:t>
      </w:r>
      <w:r w:rsidR="08163013">
        <w:t>kap. 1.3</w:t>
      </w:r>
      <w:r w:rsidR="00A0114D">
        <w:t>).</w:t>
      </w:r>
    </w:p>
    <w:p w:rsidR="08163013" w:rsidRPr="00273106" w:rsidRDefault="08163013" w:rsidP="00A0114D">
      <w:pPr>
        <w:ind w:firstLine="397"/>
      </w:pPr>
      <w:r w:rsidRPr="00273106">
        <w:t xml:space="preserve">Ockham přesně ví, o čem mluví, když vysvětluje základní pravidla predikace a supozice </w:t>
      </w:r>
      <w:r>
        <w:t xml:space="preserve">podle Aristotela, </w:t>
      </w:r>
      <w:r w:rsidRPr="00273106">
        <w:t>Boethia</w:t>
      </w:r>
      <w:r>
        <w:t xml:space="preserve"> a Abelarda</w:t>
      </w:r>
      <w:r w:rsidRPr="00273106">
        <w:t>. Shrňme jeho pojetí supozice</w:t>
      </w:r>
      <w:r w:rsidR="000034B7">
        <w:t xml:space="preserve">. Je </w:t>
      </w:r>
      <w:r>
        <w:t>dané rozdílem mezi impozicí významu od první substance (</w:t>
      </w:r>
      <w:r w:rsidRPr="002F2BB6">
        <w:rPr>
          <w:i/>
        </w:rPr>
        <w:t>suppositio personalis</w:t>
      </w:r>
      <w:r>
        <w:rPr>
          <w:i/>
        </w:rPr>
        <w:fldChar w:fldCharType="begin"/>
      </w:r>
      <w:r>
        <w:instrText xml:space="preserve"> XE "impozice:</w:instrText>
      </w:r>
      <w:r w:rsidRPr="0072407E">
        <w:rPr>
          <w:i/>
        </w:rPr>
        <w:instrText>suppositio personalis</w:instrText>
      </w:r>
      <w:r>
        <w:instrText xml:space="preserve">" </w:instrText>
      </w:r>
      <w:r>
        <w:rPr>
          <w:i/>
        </w:rPr>
        <w:fldChar w:fldCharType="end"/>
      </w:r>
      <w:r>
        <w:t>) a logickou supozicí v modu ekvivocity (</w:t>
      </w:r>
      <w:r w:rsidRPr="003A1E9D">
        <w:rPr>
          <w:i/>
        </w:rPr>
        <w:t>intentio secunda</w:t>
      </w:r>
      <w:r>
        <w:t>).</w:t>
      </w:r>
    </w:p>
    <w:p w:rsidR="08163013" w:rsidRPr="008C01FD" w:rsidRDefault="08163013" w:rsidP="08163013">
      <w:pPr>
        <w:pStyle w:val="Citace"/>
        <w:rPr>
          <w:noProof/>
          <w:lang w:val="cs-CZ"/>
        </w:rPr>
      </w:pPr>
      <w:r w:rsidRPr="00273106">
        <w:rPr>
          <w:noProof/>
          <w:lang w:val="cs-CZ"/>
        </w:rPr>
        <w:lastRenderedPageBreak/>
        <w:t>„</w:t>
      </w:r>
      <w:r>
        <w:rPr>
          <w:noProof/>
          <w:lang w:val="cs-CZ"/>
        </w:rPr>
        <w:t>Pojmy signifikují v modu první intence (</w:t>
      </w:r>
      <w:r w:rsidRPr="0875391F">
        <w:rPr>
          <w:i/>
          <w:noProof/>
        </w:rPr>
        <w:t>nomina primae intentionis</w:t>
      </w:r>
      <w:r>
        <w:rPr>
          <w:noProof/>
          <w:lang w:val="cs-CZ"/>
        </w:rPr>
        <w:t>), pokud mají supozici významu danou vzhledem k reálným jsoucnům (</w:t>
      </w:r>
      <w:r w:rsidRPr="00387BF8">
        <w:rPr>
          <w:i/>
          <w:noProof/>
        </w:rPr>
        <w:t>supponunt personaliter</w:t>
      </w:r>
      <w:r>
        <w:rPr>
          <w:noProof/>
          <w:lang w:val="cs-CZ"/>
        </w:rPr>
        <w:t>). Proto se tyto pojmy predikují jen vzhledem k reálným věcem (</w:t>
      </w:r>
      <w:r w:rsidRPr="00963DE5">
        <w:rPr>
          <w:i/>
          <w:noProof/>
        </w:rPr>
        <w:t>supponunt tantum pro rebus</w:t>
      </w:r>
      <w:r>
        <w:rPr>
          <w:noProof/>
          <w:lang w:val="cs-CZ"/>
        </w:rPr>
        <w:t>). Pak jsou verifikovatelné pouze tím, že tyto pojmy mají supozici vztaženou k takto daným významům pojmu (</w:t>
      </w:r>
      <w:r w:rsidRPr="083136DF">
        <w:rPr>
          <w:i/>
          <w:noProof/>
        </w:rPr>
        <w:t>supponunt pro suis significatis</w:t>
      </w:r>
      <w:r>
        <w:rPr>
          <w:noProof/>
          <w:lang w:val="cs-CZ"/>
        </w:rPr>
        <w:t>). Proto nejsou tyto pojmy vztaženy ani samy k sobě (</w:t>
      </w:r>
      <w:r w:rsidRPr="08DD6D28">
        <w:rPr>
          <w:i/>
          <w:noProof/>
        </w:rPr>
        <w:t>non pro se ipsis</w:t>
      </w:r>
      <w:r>
        <w:rPr>
          <w:noProof/>
          <w:lang w:val="cs-CZ"/>
        </w:rPr>
        <w:t>), ani k jinému významu odvozenému pouze ze samotné signifikace (</w:t>
      </w:r>
      <w:r w:rsidRPr="08DD6D28">
        <w:rPr>
          <w:i/>
          <w:noProof/>
        </w:rPr>
        <w:t>nec pro aliis a suis significatis</w:t>
      </w:r>
      <w:r>
        <w:rPr>
          <w:noProof/>
          <w:lang w:val="cs-CZ"/>
        </w:rPr>
        <w:t>). Pak platí, že výrok 'člověk je jednotlivina'  daný v modu první intence</w:t>
      </w:r>
      <w:r w:rsidR="005E4489">
        <w:rPr>
          <w:noProof/>
          <w:lang w:val="cs-CZ"/>
        </w:rPr>
        <w:t xml:space="preserve"> se vztahuje pouze k aktuální osobě </w:t>
      </w:r>
      <w:r>
        <w:rPr>
          <w:noProof/>
          <w:lang w:val="cs-CZ"/>
        </w:rPr>
        <w:t>(</w:t>
      </w:r>
      <w:r w:rsidRPr="008C01FD">
        <w:rPr>
          <w:i/>
          <w:noProof/>
          <w:lang w:val="cs-CZ"/>
        </w:rPr>
        <w:t>pro re</w:t>
      </w:r>
      <w:r>
        <w:rPr>
          <w:noProof/>
          <w:lang w:val="cs-CZ"/>
        </w:rPr>
        <w:t>), a neplatí v rámci druhé intence (</w:t>
      </w:r>
      <w:r w:rsidRPr="085605E2">
        <w:rPr>
          <w:i/>
          <w:noProof/>
        </w:rPr>
        <w:t>non pro aliqua intentione secunda</w:t>
      </w:r>
      <w:r>
        <w:rPr>
          <w:noProof/>
          <w:lang w:val="cs-CZ"/>
        </w:rPr>
        <w:t>).“ </w:t>
      </w:r>
      <w:r>
        <w:rPr>
          <w:rStyle w:val="Znakapoznpodarou"/>
        </w:rPr>
        <w:footnoteReference w:id="488"/>
      </w:r>
    </w:p>
    <w:p w:rsidR="001C3DB8" w:rsidRDefault="08163013" w:rsidP="08163013">
      <w:r w:rsidRPr="00273106">
        <w:t>První supozice univerzálního významu jde z jedině a výhradně z reality (</w:t>
      </w:r>
      <w:r w:rsidRPr="00273106">
        <w:rPr>
          <w:i/>
        </w:rPr>
        <w:t>supponunt tantum pro rebus</w:t>
      </w:r>
      <w:r w:rsidRPr="00273106">
        <w:t>), a proto je také verifikovatelná jedině vzhledem k realitě (</w:t>
      </w:r>
      <w:r w:rsidRPr="00273106">
        <w:rPr>
          <w:i/>
        </w:rPr>
        <w:t>veri</w:t>
      </w:r>
      <w:r>
        <w:rPr>
          <w:i/>
        </w:rPr>
        <w:t>ficantur de nominibus rerum</w:t>
      </w:r>
      <w:r>
        <w:t>). Tato supozice je daná v plné míře jako impozice signifikující hyparchický význam z reality (</w:t>
      </w:r>
      <w:r w:rsidRPr="00273106">
        <w:rPr>
          <w:i/>
        </w:rPr>
        <w:t>illa nomina supponunt pro suis significatis</w:t>
      </w:r>
      <w:r w:rsidRPr="00273106">
        <w:t xml:space="preserve">). Citát brání </w:t>
      </w:r>
      <w:r>
        <w:t xml:space="preserve">linii fundamentálního principu </w:t>
      </w:r>
      <w:r w:rsidR="006A3DA4">
        <w:t>„</w:t>
      </w:r>
      <w:r w:rsidR="08A649EB" w:rsidRPr="08A649EB">
        <w:rPr>
          <w:i/>
        </w:rPr>
        <w:t>ex</w:t>
      </w:r>
      <w:r w:rsidR="08A649EB">
        <w:t xml:space="preserve"> </w:t>
      </w:r>
      <w:r w:rsidR="08A649EB">
        <w:rPr>
          <w:i/>
        </w:rPr>
        <w:t>inmediatis</w:t>
      </w:r>
      <w:r w:rsidR="006A3DA4">
        <w:t>“</w:t>
      </w:r>
      <w:r>
        <w:fldChar w:fldCharType="begin"/>
      </w:r>
      <w:r>
        <w:instrText xml:space="preserve"> XE "</w:instrText>
      </w:r>
      <w:r w:rsidRPr="00022D5F">
        <w:instrText xml:space="preserve">princip </w:instrText>
      </w:r>
      <w:r w:rsidR="08A649EB">
        <w:rPr>
          <w:i/>
        </w:rPr>
        <w:instrText>ex in</w:instrText>
      </w:r>
      <w:r w:rsidRPr="00BD6ECA">
        <w:rPr>
          <w:i/>
        </w:rPr>
        <w:instrText>mediatis</w:instrText>
      </w:r>
      <w:r>
        <w:instrText xml:space="preserve">" </w:instrText>
      </w:r>
      <w:r>
        <w:fldChar w:fldCharType="end"/>
      </w:r>
      <w:r w:rsidR="006A3DA4">
        <w:t xml:space="preserve"> </w:t>
      </w:r>
      <w:r w:rsidRPr="00273106">
        <w:t xml:space="preserve">z </w:t>
      </w:r>
      <w:r w:rsidRPr="08923184">
        <w:rPr>
          <w:i/>
        </w:rPr>
        <w:t>Druhých analytik</w:t>
      </w:r>
      <w:r w:rsidRPr="00273106">
        <w:t xml:space="preserve"> interpretovaných podle </w:t>
      </w:r>
      <w:r>
        <w:t xml:space="preserve">Abelarda a podle </w:t>
      </w:r>
      <w:r w:rsidRPr="00273106">
        <w:t xml:space="preserve">prvního averroismu. První </w:t>
      </w:r>
      <w:r>
        <w:t xml:space="preserve">supozice významu </w:t>
      </w:r>
      <w:r w:rsidRPr="00273106">
        <w:t>jde k prvním substancím (</w:t>
      </w:r>
      <w:r w:rsidRPr="00273106">
        <w:rPr>
          <w:i/>
        </w:rPr>
        <w:t>nomina primae intentionis</w:t>
      </w:r>
      <w:r>
        <w:t xml:space="preserve">) v modu </w:t>
      </w:r>
      <w:r w:rsidR="081942A4">
        <w:t xml:space="preserve">metafyzického </w:t>
      </w:r>
      <w:r>
        <w:t>dativu</w:t>
      </w:r>
      <w:r>
        <w:fldChar w:fldCharType="begin"/>
      </w:r>
      <w:r>
        <w:instrText xml:space="preserve"> XE "</w:instrText>
      </w:r>
      <w:r w:rsidR="081942A4">
        <w:rPr>
          <w:i/>
        </w:rPr>
        <w:instrText>dativus metaphysi</w:instrText>
      </w:r>
      <w:r w:rsidRPr="08C1049C">
        <w:rPr>
          <w:i/>
        </w:rPr>
        <w:instrText>cus</w:instrText>
      </w:r>
      <w:r>
        <w:instrText xml:space="preserve">" </w:instrText>
      </w:r>
      <w:r>
        <w:fldChar w:fldCharType="end"/>
      </w:r>
      <w:r>
        <w:t>. T</w:t>
      </w:r>
      <w:r w:rsidRPr="00273106">
        <w:t xml:space="preserve">ato supozice </w:t>
      </w:r>
      <w:r>
        <w:t xml:space="preserve">je daná jako impozice univočního významu od </w:t>
      </w:r>
      <w:r w:rsidRPr="00273106">
        <w:t>hyparchick</w:t>
      </w:r>
      <w:r>
        <w:t>é</w:t>
      </w:r>
      <w:r w:rsidRPr="00273106">
        <w:t xml:space="preserve"> </w:t>
      </w:r>
      <w:r>
        <w:t xml:space="preserve">reálné substance. Ockham dobře ví, že spis </w:t>
      </w:r>
      <w:r w:rsidRPr="08725CA2">
        <w:rPr>
          <w:i/>
        </w:rPr>
        <w:t>Kategorie</w:t>
      </w:r>
      <w:r>
        <w:t xml:space="preserve"> má úplně jiné poj</w:t>
      </w:r>
      <w:r w:rsidR="00D3335E">
        <w:t>etí impozice a supozice než měli</w:t>
      </w:r>
      <w:r>
        <w:t xml:space="preserve"> moderní porretáni, kteří na Oxfo</w:t>
      </w:r>
      <w:r w:rsidR="00D3335E">
        <w:t>r</w:t>
      </w:r>
      <w:r>
        <w:t xml:space="preserve">du už málem jedno století sofisticky mixovali metafyzický význam jedinečné první substance a univerzálně predikovaný význam druhé substance. </w:t>
      </w:r>
      <w:r w:rsidRPr="00273106">
        <w:t xml:space="preserve">Ockham tvrdí, že pojetí pravdy v rámci adekvace reálné věci a jejího vědeckého poznání nelze ničím nahradit, protože primární </w:t>
      </w:r>
      <w:r w:rsidR="00636076">
        <w:t xml:space="preserve">impozice </w:t>
      </w:r>
      <w:r w:rsidRPr="00273106">
        <w:t xml:space="preserve">významu </w:t>
      </w:r>
      <w:r>
        <w:t>(</w:t>
      </w:r>
      <w:r w:rsidRPr="002F2BB6">
        <w:rPr>
          <w:i/>
        </w:rPr>
        <w:t>suppositio personalis</w:t>
      </w:r>
      <w:r>
        <w:t xml:space="preserve">) </w:t>
      </w:r>
      <w:r w:rsidRPr="00273106">
        <w:t>je v řádu poznání kategoriálně a univočně oddělena od pouhého pojmenování a od analogické či jinak ekvivoční shody dané pouze v mysli (</w:t>
      </w:r>
      <w:r w:rsidRPr="00273106">
        <w:rPr>
          <w:i/>
        </w:rPr>
        <w:t>secunda intentio</w:t>
      </w:r>
      <w:r>
        <w:rPr>
          <w:i/>
        </w:rPr>
        <w:fldChar w:fldCharType="begin"/>
      </w:r>
      <w:r>
        <w:instrText xml:space="preserve"> XE "supozice:</w:instrText>
      </w:r>
      <w:r w:rsidRPr="00FA7861">
        <w:rPr>
          <w:i/>
        </w:rPr>
        <w:instrText>secunda intentio</w:instrText>
      </w:r>
      <w:r>
        <w:instrText xml:space="preserve">" </w:instrText>
      </w:r>
      <w:r>
        <w:rPr>
          <w:i/>
        </w:rPr>
        <w:fldChar w:fldCharType="end"/>
      </w:r>
      <w:r>
        <w:t>). Druhá substance nemůže být nahraz</w:t>
      </w:r>
      <w:r w:rsidRPr="00273106">
        <w:t xml:space="preserve">ena žádným jsoucnem třetího druhu ve smyslu Scotova objektivního </w:t>
      </w:r>
      <w:r w:rsidRPr="08923184">
        <w:rPr>
          <w:i/>
        </w:rPr>
        <w:t>ens</w:t>
      </w:r>
      <w:r w:rsidRPr="00273106">
        <w:t xml:space="preserve"> definujícího abstraktní jednot</w:t>
      </w:r>
      <w:r>
        <w:t>l</w:t>
      </w:r>
      <w:r w:rsidRPr="00273106">
        <w:t xml:space="preserve">ivinu univočně. Tím padla </w:t>
      </w:r>
      <w:r>
        <w:t>objektivní metafyzika vytvořená Scotem a jeho školou,</w:t>
      </w:r>
      <w:r w:rsidRPr="00273106">
        <w:t xml:space="preserve"> protože ta</w:t>
      </w:r>
      <w:r>
        <w:t xml:space="preserve"> postuluje objektivní supozici danou univerzálně (</w:t>
      </w:r>
      <w:r w:rsidRPr="08076B95">
        <w:rPr>
          <w:i/>
        </w:rPr>
        <w:t>conceptus simpliciter simplex</w:t>
      </w:r>
      <w:r>
        <w:rPr>
          <w:i/>
        </w:rPr>
        <w:t xml:space="preserve">, </w:t>
      </w:r>
      <w:r w:rsidR="00137CAE">
        <w:t>kap. 5</w:t>
      </w:r>
      <w:r w:rsidRPr="00273106">
        <w:t>.3.2</w:t>
      </w:r>
      <w:r>
        <w:t>)</w:t>
      </w:r>
      <w:r w:rsidRPr="00273106">
        <w:t>. Objektivn</w:t>
      </w:r>
      <w:r>
        <w:t xml:space="preserve">í signifikace jsoucna </w:t>
      </w:r>
      <w:r w:rsidRPr="00273106">
        <w:t>nemůže existovat</w:t>
      </w:r>
      <w:r w:rsidRPr="08E260FB">
        <w:t xml:space="preserve"> </w:t>
      </w:r>
      <w:r>
        <w:t xml:space="preserve">na úrovni </w:t>
      </w:r>
      <w:r w:rsidRPr="00273106">
        <w:t>hyparchické</w:t>
      </w:r>
      <w:r>
        <w:t xml:space="preserve"> první substance</w:t>
      </w:r>
      <w:r w:rsidRPr="00273106">
        <w:t xml:space="preserve">, protože </w:t>
      </w:r>
      <w:r>
        <w:t xml:space="preserve">ta existuje sama o sobě. </w:t>
      </w:r>
      <w:r w:rsidR="00A92045">
        <w:t xml:space="preserve">Proto </w:t>
      </w:r>
      <w:r w:rsidR="005D4839">
        <w:t>univocita</w:t>
      </w:r>
      <w:r w:rsidR="00EA750C">
        <w:t xml:space="preserve"> významu </w:t>
      </w:r>
      <w:r>
        <w:t>exist</w:t>
      </w:r>
      <w:r w:rsidR="00A92045">
        <w:t xml:space="preserve">uje </w:t>
      </w:r>
      <w:r>
        <w:t>na úrovni druhé substance, p</w:t>
      </w:r>
      <w:r w:rsidR="00A92045">
        <w:t xml:space="preserve">okus </w:t>
      </w:r>
      <w:r>
        <w:t>její výpověď signifikuje v modu první intence (</w:t>
      </w:r>
      <w:r w:rsidRPr="0875391F">
        <w:rPr>
          <w:i/>
        </w:rPr>
        <w:t>nomina primae intentionis</w:t>
      </w:r>
      <w:r>
        <w:t>)</w:t>
      </w:r>
      <w:r w:rsidR="00A92045">
        <w:t xml:space="preserve">. </w:t>
      </w:r>
      <w:r w:rsidR="00A92045">
        <w:lastRenderedPageBreak/>
        <w:t xml:space="preserve">Pak je </w:t>
      </w:r>
      <w:r w:rsidR="00165F42">
        <w:t>impo</w:t>
      </w:r>
      <w:r>
        <w:t xml:space="preserve">zice významu je dána vzhledem k reálné první substanci. A všechny ostatní formy predikace už patří do ekvivoční sféry </w:t>
      </w:r>
      <w:r w:rsidR="008010F7">
        <w:t xml:space="preserve">logického </w:t>
      </w:r>
      <w:r w:rsidRPr="00273106">
        <w:t>význam</w:t>
      </w:r>
      <w:r>
        <w:t>u</w:t>
      </w:r>
      <w:r w:rsidRPr="00273106">
        <w:t xml:space="preserve"> </w:t>
      </w:r>
      <w:r>
        <w:t xml:space="preserve">daného pouze </w:t>
      </w:r>
      <w:r w:rsidRPr="00273106">
        <w:t>v mysli (</w:t>
      </w:r>
      <w:r w:rsidRPr="00273106">
        <w:rPr>
          <w:i/>
        </w:rPr>
        <w:t>intentio secunda</w:t>
      </w:r>
      <w:r w:rsidRPr="00273106">
        <w:t xml:space="preserve">). Taková signifikace se vztahuje od jednoho konceptu ke druhému na úrovni čisté </w:t>
      </w:r>
      <w:r w:rsidR="000811EC">
        <w:t>homonymie, kdy se koncepty vztahují k sobě navzájem</w:t>
      </w:r>
      <w:r w:rsidRPr="00273106">
        <w:t xml:space="preserve"> (</w:t>
      </w:r>
      <w:r w:rsidRPr="00273106">
        <w:rPr>
          <w:i/>
        </w:rPr>
        <w:t>pro se ipsis nec pro aliis a suis significatis</w:t>
      </w:r>
      <w:r w:rsidRPr="00273106">
        <w:t xml:space="preserve">). </w:t>
      </w:r>
      <w:r>
        <w:t xml:space="preserve">Scotova objektivní predikace je podle Ockahama pouze ekvivoční logické cvičení a ne metafyzika. </w:t>
      </w:r>
      <w:r w:rsidRPr="00273106">
        <w:t>Ekvivoční signifikace nemůže nahradit první intenci danou v rámci kategoriální univoční predikace (</w:t>
      </w:r>
      <w:r w:rsidRPr="00273106">
        <w:rPr>
          <w:i/>
        </w:rPr>
        <w:t>enuntiatio</w:t>
      </w:r>
      <w:r>
        <w:rPr>
          <w:i/>
        </w:rPr>
        <w:fldChar w:fldCharType="begin"/>
      </w:r>
      <w:r>
        <w:instrText xml:space="preserve"> XE "</w:instrText>
      </w:r>
      <w:r w:rsidRPr="0038128E">
        <w:rPr>
          <w:i/>
        </w:rPr>
        <w:instrText>enuntiatio:</w:instrText>
      </w:r>
      <w:r>
        <w:instrText xml:space="preserve">Ockham" </w:instrText>
      </w:r>
      <w:r>
        <w:rPr>
          <w:i/>
        </w:rPr>
        <w:fldChar w:fldCharType="end"/>
      </w:r>
      <w:r w:rsidRPr="00273106">
        <w:t>)</w:t>
      </w:r>
      <w:r w:rsidR="00A66B44">
        <w:t xml:space="preserve">. Tento typ kategoriální predikace vztažné k realitě definují spisy </w:t>
      </w:r>
      <w:r>
        <w:rPr>
          <w:i/>
        </w:rPr>
        <w:t>De anima</w:t>
      </w:r>
      <w:r w:rsidR="00A66B44">
        <w:t>, úvod</w:t>
      </w:r>
      <w:r w:rsidRPr="00273106">
        <w:t xml:space="preserve"> </w:t>
      </w:r>
      <w:r w:rsidRPr="00273106">
        <w:rPr>
          <w:i/>
        </w:rPr>
        <w:t>De Interpretatione</w:t>
      </w:r>
      <w:r w:rsidRPr="00273106">
        <w:t xml:space="preserve"> </w:t>
      </w:r>
      <w:r w:rsidR="00A66B44">
        <w:t xml:space="preserve"> </w:t>
      </w:r>
      <w:r w:rsidRPr="00273106">
        <w:t xml:space="preserve">a postavení středního členu soudu ve </w:t>
      </w:r>
      <w:r w:rsidRPr="08923184">
        <w:rPr>
          <w:i/>
        </w:rPr>
        <w:t>Druhých analytikách</w:t>
      </w:r>
      <w:r w:rsidRPr="00273106">
        <w:t xml:space="preserve">. </w:t>
      </w:r>
      <w:r>
        <w:t>Ockham obhajuje stejnou pozici proti scotistům, kterou měl již Abelard</w:t>
      </w:r>
      <w:r w:rsidRPr="08E44761">
        <w:t xml:space="preserve"> </w:t>
      </w:r>
      <w:r>
        <w:t xml:space="preserve">proti porretánům. </w:t>
      </w:r>
      <w:r w:rsidRPr="00273106">
        <w:t>Opět platí, že jakékoliv dublování první intence skrze druhou intenci je nesmysl</w:t>
      </w:r>
      <w:r>
        <w:t>, protože vytvoří zbytečné a absurdní jsoucno třetího druhu</w:t>
      </w:r>
      <w:r w:rsidRPr="00273106">
        <w:t>. Univocita a ekvivocita mají jiný status vzhledem k vědeckému poznání (</w:t>
      </w:r>
      <w:r w:rsidRPr="00273106">
        <w:rPr>
          <w:i/>
        </w:rPr>
        <w:t>demonstratio</w:t>
      </w:r>
      <w:r>
        <w:rPr>
          <w:i/>
        </w:rPr>
        <w:fldChar w:fldCharType="begin"/>
      </w:r>
      <w:r>
        <w:instrText xml:space="preserve"> XE "</w:instrText>
      </w:r>
      <w:r w:rsidRPr="004E6075">
        <w:rPr>
          <w:i/>
        </w:rPr>
        <w:instrText>demonstratio:</w:instrText>
      </w:r>
      <w:r>
        <w:instrText xml:space="preserve">Ockham" </w:instrText>
      </w:r>
      <w:r>
        <w:rPr>
          <w:i/>
        </w:rPr>
        <w:fldChar w:fldCharType="end"/>
      </w:r>
      <w:r w:rsidRPr="00273106">
        <w:t xml:space="preserve">), protože se liší </w:t>
      </w:r>
      <w:r>
        <w:t xml:space="preserve">ve fundamentálním metafyzickém </w:t>
      </w:r>
      <w:r w:rsidR="00F915C4">
        <w:t xml:space="preserve">způsobu, </w:t>
      </w:r>
      <w:r>
        <w:t>jak</w:t>
      </w:r>
      <w:r w:rsidR="00F915C4">
        <w:t xml:space="preserve"> </w:t>
      </w:r>
      <w:r>
        <w:t xml:space="preserve">je </w:t>
      </w:r>
      <w:r w:rsidR="00E47317">
        <w:t xml:space="preserve">dána </w:t>
      </w:r>
      <w:r>
        <w:t xml:space="preserve">první </w:t>
      </w:r>
      <w:r w:rsidR="00E47317">
        <w:t xml:space="preserve">impozice </w:t>
      </w:r>
      <w:r>
        <w:t xml:space="preserve">nebo druhá </w:t>
      </w:r>
      <w:r w:rsidRPr="00273106">
        <w:t xml:space="preserve">supozice. Ockham jasně rozlišuje první a druhou intenci podle směru impozice významu, čili podle nasvícení smyslu jsoucna daného buď zepředu od věci nebo zezadu od intelektu. Jeho výklad </w:t>
      </w:r>
      <w:r w:rsidRPr="00273106">
        <w:rPr>
          <w:i/>
        </w:rPr>
        <w:t>De Interpretatione</w:t>
      </w:r>
      <w:r w:rsidRPr="00273106">
        <w:t xml:space="preserve"> přesně rozlišuje donaci významu podle </w:t>
      </w:r>
      <w:r>
        <w:t xml:space="preserve">fenomenologického </w:t>
      </w:r>
      <w:r w:rsidR="00F10875">
        <w:t xml:space="preserve">způsobu, </w:t>
      </w:r>
      <w:r>
        <w:t>j</w:t>
      </w:r>
      <w:r w:rsidRPr="00273106">
        <w:t>ak</w:t>
      </w:r>
      <w:r w:rsidR="00F10875">
        <w:t xml:space="preserve"> </w:t>
      </w:r>
      <w:r w:rsidRPr="00273106">
        <w:t>je signifikace dána.</w:t>
      </w:r>
      <w:r>
        <w:t xml:space="preserve"> Pravdivý výrok (</w:t>
      </w:r>
      <w:r w:rsidRPr="083E61E2">
        <w:rPr>
          <w:i/>
        </w:rPr>
        <w:t>enuntiatio</w:t>
      </w:r>
      <w:r>
        <w:rPr>
          <w:i/>
        </w:rPr>
        <w:t xml:space="preserve"> vera</w:t>
      </w:r>
      <w:r>
        <w:t>) je určen pouze supozicí</w:t>
      </w:r>
      <w:r>
        <w:fldChar w:fldCharType="begin"/>
      </w:r>
      <w:r>
        <w:instrText xml:space="preserve"> XE "</w:instrText>
      </w:r>
      <w:r w:rsidRPr="00B6721C">
        <w:instrText>supozice:Ockham</w:instrText>
      </w:r>
      <w:r>
        <w:instrText xml:space="preserve">" </w:instrText>
      </w:r>
      <w:r>
        <w:fldChar w:fldCharType="end"/>
      </w:r>
      <w:r>
        <w:t xml:space="preserve"> danou z externí věci (</w:t>
      </w:r>
      <w:r w:rsidRPr="083E61E2">
        <w:rPr>
          <w:i/>
        </w:rPr>
        <w:t>quando supponunt pro rebus supponunt significative et personaliter</w:t>
      </w:r>
      <w:r>
        <w:t>).</w:t>
      </w:r>
      <w:r w:rsidRPr="00273106">
        <w:rPr>
          <w:rStyle w:val="Znakapoznpodarou"/>
        </w:rPr>
        <w:footnoteReference w:id="489"/>
      </w:r>
      <w:r w:rsidRPr="00273106">
        <w:t xml:space="preserve"> Připomeňme Abelar</w:t>
      </w:r>
      <w:r>
        <w:t xml:space="preserve">dovo rozlišení pouhého </w:t>
      </w:r>
      <w:r w:rsidRPr="00273106">
        <w:rPr>
          <w:i/>
        </w:rPr>
        <w:t>significatio</w:t>
      </w:r>
      <w:r>
        <w:t xml:space="preserve"> a vědeckého </w:t>
      </w:r>
      <w:r w:rsidRPr="00273106">
        <w:rPr>
          <w:i/>
        </w:rPr>
        <w:t>enuntiatio</w:t>
      </w:r>
      <w:r>
        <w:rPr>
          <w:i/>
        </w:rPr>
        <w:fldChar w:fldCharType="begin"/>
      </w:r>
      <w:r>
        <w:instrText xml:space="preserve"> XE "</w:instrText>
      </w:r>
      <w:r w:rsidRPr="0038128E">
        <w:rPr>
          <w:i/>
        </w:rPr>
        <w:instrText>enuntiatio:</w:instrText>
      </w:r>
      <w:r w:rsidRPr="0038128E">
        <w:instrText>Abelard</w:instrText>
      </w:r>
      <w:r>
        <w:instrText xml:space="preserve">" </w:instrText>
      </w:r>
      <w:r>
        <w:rPr>
          <w:i/>
        </w:rPr>
        <w:fldChar w:fldCharType="end"/>
      </w:r>
      <w:r w:rsidRPr="00273106">
        <w:t xml:space="preserve"> </w:t>
      </w:r>
      <w:r>
        <w:t xml:space="preserve">pro demonstrativní dedukci vědeckého soudu </w:t>
      </w:r>
      <w:r w:rsidRPr="00273106">
        <w:t>(</w:t>
      </w:r>
      <w:r w:rsidR="002012A6">
        <w:t>OBJ II, kap. 1</w:t>
      </w:r>
      <w:r>
        <w:t>.3</w:t>
      </w:r>
      <w:r w:rsidRPr="00273106">
        <w:t xml:space="preserve">). Scotismus a druhý averroismus platí </w:t>
      </w:r>
      <w:r>
        <w:t xml:space="preserve">pro Ockama </w:t>
      </w:r>
      <w:r w:rsidRPr="00273106">
        <w:t>pouze v modu ekvivocity</w:t>
      </w:r>
      <w:r>
        <w:t>, tedy na úrovni druhé in</w:t>
      </w:r>
      <w:r w:rsidR="001C3DB8">
        <w:t>tence dané v logické abstrakci.</w:t>
      </w:r>
    </w:p>
    <w:p w:rsidR="00FF324D" w:rsidRDefault="08163013" w:rsidP="00A00109">
      <w:pPr>
        <w:ind w:firstLine="397"/>
      </w:pPr>
      <w:r>
        <w:t>Oddělení impozice od reálné první substance a supozice dané pouze v mysli bránil před Ockhamem v minulé generaci Bacon proti oxfordským analytikům z Kilwardbyho školy (</w:t>
      </w:r>
      <w:r w:rsidR="002012A6">
        <w:t>OBJ II, kap. 3</w:t>
      </w:r>
      <w:r>
        <w:t xml:space="preserve">.4.3). Toto klíčové rozdělení významu podle kanonického textu </w:t>
      </w:r>
      <w:r w:rsidRPr="00901C73">
        <w:rPr>
          <w:i/>
        </w:rPr>
        <w:t>Cat</w:t>
      </w:r>
      <w:r>
        <w:t>. 2a14‒16</w:t>
      </w:r>
      <w:r>
        <w:fldChar w:fldCharType="begin"/>
      </w:r>
      <w:r>
        <w:instrText xml:space="preserve"> XE "Aristoteles:</w:instrText>
      </w:r>
      <w:r w:rsidRPr="007D1546">
        <w:rPr>
          <w:i/>
        </w:rPr>
        <w:instrText>Cat</w:instrText>
      </w:r>
      <w:r w:rsidRPr="007D1546">
        <w:instrText>. 2a14‒16</w:instrText>
      </w:r>
      <w:r>
        <w:instrText xml:space="preserve">" </w:instrText>
      </w:r>
      <w:r>
        <w:fldChar w:fldCharType="end"/>
      </w:r>
      <w:r>
        <w:t xml:space="preserve"> </w:t>
      </w:r>
      <w:r w:rsidRPr="00273106">
        <w:t xml:space="preserve">vysvětluje </w:t>
      </w:r>
      <w:r>
        <w:t>sérii</w:t>
      </w:r>
      <w:r w:rsidRPr="00273106">
        <w:t xml:space="preserve"> </w:t>
      </w:r>
      <w:r>
        <w:t xml:space="preserve">tzv. „nominalistických“ </w:t>
      </w:r>
      <w:r w:rsidRPr="00273106">
        <w:t>tvrzení</w:t>
      </w:r>
      <w:r>
        <w:t xml:space="preserve"> Ockhama</w:t>
      </w:r>
      <w:r w:rsidRPr="00273106">
        <w:t xml:space="preserve">, které </w:t>
      </w:r>
      <w:r>
        <w:lastRenderedPageBreak/>
        <w:t xml:space="preserve">údajně </w:t>
      </w:r>
      <w:r w:rsidRPr="00273106">
        <w:t>souhlasí se Scotovou naukou</w:t>
      </w:r>
      <w:r>
        <w:t xml:space="preserve">. Hermeneutika tvrdí v souladu s předešlým výkladem, že tento souhlas platí </w:t>
      </w:r>
      <w:r w:rsidRPr="00273106">
        <w:t>pouze v modu druhé intence</w:t>
      </w:r>
      <w:r>
        <w:t>, což pro Ockhama zakládá význam pouze v modu logické ekvivocity</w:t>
      </w:r>
      <w:r w:rsidRPr="00273106">
        <w:t>. Viz nap</w:t>
      </w:r>
      <w:r>
        <w:t xml:space="preserve">ř. polemiku se Scotovým pojmem </w:t>
      </w:r>
      <w:r w:rsidR="00B17623">
        <w:t>„</w:t>
      </w:r>
      <w:r w:rsidRPr="00273106">
        <w:rPr>
          <w:i/>
        </w:rPr>
        <w:t>esse completive universale</w:t>
      </w:r>
      <w:r w:rsidR="00B17623">
        <w:t>“</w:t>
      </w:r>
      <w:r>
        <w:rPr>
          <w:i/>
        </w:rPr>
        <w:fldChar w:fldCharType="begin"/>
      </w:r>
      <w:r>
        <w:instrText xml:space="preserve"> XE "objekti</w:instrText>
      </w:r>
      <w:r w:rsidRPr="00D96AA4">
        <w:instrText>v</w:instrText>
      </w:r>
      <w:r>
        <w:instrText>i</w:instrText>
      </w:r>
      <w:r w:rsidRPr="00D96AA4">
        <w:instrText>ta:kri</w:instrText>
      </w:r>
      <w:r>
        <w:instrText>ti</w:instrText>
      </w:r>
      <w:r w:rsidRPr="00D96AA4">
        <w:instrText>ka Ockhama</w:instrText>
      </w:r>
      <w:r>
        <w:instrText xml:space="preserve">" </w:instrText>
      </w:r>
      <w:r>
        <w:rPr>
          <w:i/>
        </w:rPr>
        <w:fldChar w:fldCharType="end"/>
      </w:r>
      <w:r w:rsidR="00A00109">
        <w:t xml:space="preserve">. </w:t>
      </w:r>
      <w:r w:rsidR="00BE1787">
        <w:t xml:space="preserve">Scotův </w:t>
      </w:r>
      <w:r>
        <w:t xml:space="preserve">spis </w:t>
      </w:r>
      <w:r w:rsidR="00961A2D">
        <w:rPr>
          <w:i/>
        </w:rPr>
        <w:t>Ordinatio II</w:t>
      </w:r>
      <w:r>
        <w:t xml:space="preserve"> považuje </w:t>
      </w:r>
      <w:r w:rsidR="00A00109">
        <w:t xml:space="preserve">toto </w:t>
      </w:r>
      <w:r w:rsidRPr="00273106">
        <w:t>objektivní určení jsoucna platn</w:t>
      </w:r>
      <w:r>
        <w:t xml:space="preserve">é </w:t>
      </w:r>
      <w:r w:rsidRPr="00273106">
        <w:t>univočně i pro individua</w:t>
      </w:r>
      <w:r>
        <w:t xml:space="preserve"> (</w:t>
      </w:r>
      <w:r w:rsidRPr="08BF45D2">
        <w:rPr>
          <w:i/>
        </w:rPr>
        <w:t>ipsum idem aliqua identitate est praedicabile de quodlibet individuo</w:t>
      </w:r>
      <w:r>
        <w:t xml:space="preserve">; </w:t>
      </w:r>
      <w:r w:rsidR="008C2D4A" w:rsidRPr="008C2D4A">
        <w:rPr>
          <w:i/>
        </w:rPr>
        <w:t>Ordinatio</w:t>
      </w:r>
      <w:r w:rsidR="00961A2D">
        <w:rPr>
          <w:i/>
        </w:rPr>
        <w:t xml:space="preserve"> II</w:t>
      </w:r>
      <w:r>
        <w:t>, d. 3, q. 1, no. 38; ed. Vaticana VII, 407)</w:t>
      </w:r>
      <w:r w:rsidRPr="00273106">
        <w:t>.</w:t>
      </w:r>
      <w:r w:rsidR="00A00109">
        <w:t xml:space="preserve"> </w:t>
      </w:r>
      <w:r>
        <w:t xml:space="preserve">Scotus </w:t>
      </w:r>
      <w:r w:rsidR="00A00109">
        <w:t xml:space="preserve">smíchal supozici a impozici dohromady, protože jeho </w:t>
      </w:r>
      <w:r w:rsidR="00A00109" w:rsidRPr="00A00109">
        <w:rPr>
          <w:i/>
        </w:rPr>
        <w:t>individuum</w:t>
      </w:r>
      <w:r w:rsidR="00A00109">
        <w:t xml:space="preserve"> nahradilo aristotelskou druhou substanci. Pak platí, že </w:t>
      </w:r>
      <w:r>
        <w:t xml:space="preserve">toto objektivní určení </w:t>
      </w:r>
      <w:r w:rsidR="00A00109">
        <w:t xml:space="preserve">je univoční v rámci Scotovy metafyziky. Podle Ockhama je to zásadní omyl, protože logická plurivokace nemůže nahradit univoční kategoriální význam daný impozicí. Metafyzika není logika. </w:t>
      </w:r>
      <w:r w:rsidR="005141B7">
        <w:t>Pro klasickou metafyzikou impozici platí princip „</w:t>
      </w:r>
      <w:r w:rsidR="005141B7" w:rsidRPr="005141B7">
        <w:rPr>
          <w:i/>
        </w:rPr>
        <w:t>destructio primis</w:t>
      </w:r>
      <w:r w:rsidR="005141B7">
        <w:rPr>
          <w:i/>
        </w:rPr>
        <w:fldChar w:fldCharType="begin"/>
      </w:r>
      <w:r w:rsidR="005141B7">
        <w:instrText xml:space="preserve"> XE "</w:instrText>
      </w:r>
      <w:r w:rsidR="005141B7" w:rsidRPr="0046593E">
        <w:rPr>
          <w:i/>
        </w:rPr>
        <w:instrText>destructio primis</w:instrText>
      </w:r>
      <w:r w:rsidR="005141B7">
        <w:instrText xml:space="preserve">" </w:instrText>
      </w:r>
      <w:r w:rsidR="005141B7">
        <w:rPr>
          <w:i/>
        </w:rPr>
        <w:fldChar w:fldCharType="end"/>
      </w:r>
      <w:r w:rsidR="005141B7">
        <w:t xml:space="preserve">“, zatímco logická supozice si vystačí s metafyzikou chiméry. </w:t>
      </w:r>
      <w:r w:rsidR="00C00FE8">
        <w:t>O</w:t>
      </w:r>
      <w:r>
        <w:t xml:space="preserve">bjektivní identita je dána záporem od nicoty a modu minimálního jsoucna, a ne predikací vzhledem k první substanci. Ale svou minimální jsoucností třetího druhu tvoří univerzální substrát pro jakoukoliv predikaci individua a tím je objektivně unifikováno. Ockham kriticky konstatuje, že Scotův pojem </w:t>
      </w:r>
      <w:r w:rsidR="00B17623">
        <w:t>„</w:t>
      </w:r>
      <w:r w:rsidRPr="081F6A96">
        <w:rPr>
          <w:i/>
        </w:rPr>
        <w:t>esse completive universale</w:t>
      </w:r>
      <w:r w:rsidR="00B17623">
        <w:t>“</w:t>
      </w:r>
      <w:r>
        <w:t xml:space="preserve"> je pojat v modu sofistické impozice směrem k realitě. Univerzální bytí nemůže být pro Ockhama nikdy dáno v porretánském modu </w:t>
      </w:r>
      <w:r w:rsidR="001C3DB8">
        <w:t>„</w:t>
      </w:r>
      <w:r w:rsidRPr="007040E4">
        <w:rPr>
          <w:i/>
        </w:rPr>
        <w:t>exsistere</w:t>
      </w:r>
      <w:r w:rsidR="001C3DB8">
        <w:t>“</w:t>
      </w:r>
      <w:r>
        <w:rPr>
          <w:i/>
        </w:rPr>
        <w:fldChar w:fldCharType="begin"/>
      </w:r>
      <w:r>
        <w:instrText xml:space="preserve"> XE "</w:instrText>
      </w:r>
      <w:r w:rsidRPr="008E07A9">
        <w:rPr>
          <w:i/>
        </w:rPr>
        <w:instrText>exsistere</w:instrText>
      </w:r>
      <w:r>
        <w:instrText xml:space="preserve">" </w:instrText>
      </w:r>
      <w:r>
        <w:rPr>
          <w:i/>
        </w:rPr>
        <w:fldChar w:fldCharType="end"/>
      </w:r>
      <w:r>
        <w:t xml:space="preserve"> tím, že by objektivní modus </w:t>
      </w:r>
      <w:r w:rsidR="001C3DB8">
        <w:t>„</w:t>
      </w:r>
      <w:r w:rsidRPr="007040E4">
        <w:rPr>
          <w:i/>
        </w:rPr>
        <w:t>completive</w:t>
      </w:r>
      <w:r w:rsidR="001C3DB8">
        <w:t>“</w:t>
      </w:r>
      <w:r>
        <w:t xml:space="preserve"> nahradil impozici významu danou od hyparchicky existující první substance. Podle Ockhama není Scotova predikace univoční, proto není ani vědecká ani metafyzická. Scotovo </w:t>
      </w:r>
      <w:r w:rsidR="004711D9">
        <w:t xml:space="preserve">objektivní </w:t>
      </w:r>
      <w:r>
        <w:t xml:space="preserve">pojetí </w:t>
      </w:r>
      <w:r w:rsidR="00A03613">
        <w:t xml:space="preserve">pouze </w:t>
      </w:r>
      <w:r w:rsidR="004711D9">
        <w:t>imituje</w:t>
      </w:r>
      <w:r>
        <w:t xml:space="preserve"> impozici </w:t>
      </w:r>
      <w:r w:rsidR="00A03613">
        <w:t xml:space="preserve">významu </w:t>
      </w:r>
      <w:r>
        <w:t>od reálné první substance</w:t>
      </w:r>
      <w:r w:rsidR="004711D9">
        <w:t xml:space="preserve">. Tato imitace </w:t>
      </w:r>
      <w:r w:rsidR="00A03613">
        <w:t xml:space="preserve">kategoriální výpovědi </w:t>
      </w:r>
      <w:r w:rsidR="004711D9">
        <w:t>zrušila</w:t>
      </w:r>
      <w:r>
        <w:t xml:space="preserve"> podle Ockhama pravdu jako adekvaci a aristotelský pojem vědy podle principu </w:t>
      </w:r>
      <w:r w:rsidR="00C0662D">
        <w:t xml:space="preserve">„ex </w:t>
      </w:r>
      <w:r w:rsidR="004711D9">
        <w:rPr>
          <w:i/>
        </w:rPr>
        <w:t>in</w:t>
      </w:r>
      <w:r w:rsidRPr="00D87773">
        <w:rPr>
          <w:i/>
        </w:rPr>
        <w:t>medi</w:t>
      </w:r>
      <w:r w:rsidR="00C0662D">
        <w:rPr>
          <w:i/>
        </w:rPr>
        <w:t>atis</w:t>
      </w:r>
      <w:r w:rsidR="00C0662D">
        <w:t>“</w:t>
      </w:r>
      <w:r>
        <w:t xml:space="preserve"> ve </w:t>
      </w:r>
      <w:r w:rsidRPr="08021E88">
        <w:rPr>
          <w:i/>
        </w:rPr>
        <w:t>Druhých analytikách</w:t>
      </w:r>
      <w:r>
        <w:t xml:space="preserve">. </w:t>
      </w:r>
      <w:r w:rsidR="00C0662D">
        <w:t xml:space="preserve">Chybně určená </w:t>
      </w:r>
      <w:r>
        <w:t xml:space="preserve">signifikace představuje typický omyl v modu </w:t>
      </w:r>
      <w:r w:rsidR="00C0662D">
        <w:t>„</w:t>
      </w:r>
      <w:r w:rsidRPr="007040E4">
        <w:rPr>
          <w:i/>
        </w:rPr>
        <w:t>fallacia secundum quid et simpliciter</w:t>
      </w:r>
      <w:r w:rsidR="00C0662D">
        <w:t>“</w:t>
      </w:r>
      <w:r>
        <w:rPr>
          <w:i/>
        </w:rPr>
        <w:fldChar w:fldCharType="begin"/>
      </w:r>
      <w:r>
        <w:instrText xml:space="preserve"> XE "</w:instrText>
      </w:r>
      <w:r w:rsidRPr="00027DD3">
        <w:rPr>
          <w:i/>
        </w:rPr>
        <w:instrText>fallacia secundum quid et simpliciter</w:instrText>
      </w:r>
      <w:r>
        <w:instrText xml:space="preserve">" </w:instrText>
      </w:r>
      <w:r>
        <w:rPr>
          <w:i/>
        </w:rPr>
        <w:fldChar w:fldCharType="end"/>
      </w:r>
      <w:r>
        <w:t xml:space="preserve">, který založil </w:t>
      </w:r>
      <w:r w:rsidR="00811AB8">
        <w:t xml:space="preserve">základní </w:t>
      </w:r>
      <w:r w:rsidR="00212262">
        <w:t>bloudění (</w:t>
      </w:r>
      <w:r w:rsidRPr="007040E4">
        <w:rPr>
          <w:i/>
        </w:rPr>
        <w:t>Irrtum</w:t>
      </w:r>
      <w:r w:rsidR="00212262">
        <w:t xml:space="preserve">) </w:t>
      </w:r>
      <w:r>
        <w:t xml:space="preserve">moderny. Ockham scotistům vysvětluje, že jejich objektivní určení sofisticky vydávaná za kategoriální predikaci jsou pouze univerzálně-ekvivoční a existují jako pouhé druhé intence v mysli poznávajícího. To je dokázáno skrze princip </w:t>
      </w:r>
      <w:r w:rsidR="00396F02">
        <w:t>„</w:t>
      </w:r>
      <w:r w:rsidRPr="08CC23BF">
        <w:rPr>
          <w:i/>
        </w:rPr>
        <w:t>destructio primis</w:t>
      </w:r>
      <w:r w:rsidR="00396F02">
        <w:t>“</w:t>
      </w:r>
      <w:r>
        <w:rPr>
          <w:i/>
        </w:rPr>
        <w:fldChar w:fldCharType="begin"/>
      </w:r>
      <w:r>
        <w:instrText xml:space="preserve"> XE "</w:instrText>
      </w:r>
      <w:r w:rsidRPr="08CD5C63">
        <w:rPr>
          <w:i/>
        </w:rPr>
        <w:instrText>destructio primis</w:instrText>
      </w:r>
      <w:r>
        <w:instrText xml:space="preserve">" </w:instrText>
      </w:r>
      <w:r>
        <w:rPr>
          <w:i/>
        </w:rPr>
        <w:fldChar w:fldCharType="end"/>
      </w:r>
      <w:r>
        <w:t xml:space="preserve"> tím, že po zničení první reálné substance </w:t>
      </w:r>
      <w:r w:rsidR="00396F02">
        <w:t xml:space="preserve">jménem </w:t>
      </w:r>
      <w:r>
        <w:t xml:space="preserve">„Sortes“ zanikne </w:t>
      </w:r>
      <w:r w:rsidR="00396F02">
        <w:t xml:space="preserve">také </w:t>
      </w:r>
      <w:r>
        <w:t>impozice zakládající univerzální význam Sortese (</w:t>
      </w:r>
      <w:r w:rsidRPr="007040E4">
        <w:rPr>
          <w:i/>
        </w:rPr>
        <w:t>destructo Sorte destruatur quodlibet essentiale sibi, sequitur quod aliquod commune vere destruatur</w:t>
      </w:r>
      <w:r>
        <w:t>).</w:t>
      </w:r>
      <w:r w:rsidRPr="00273106">
        <w:rPr>
          <w:rStyle w:val="Znakapoznpodarou"/>
        </w:rPr>
        <w:footnoteReference w:id="490"/>
      </w:r>
      <w:r>
        <w:t xml:space="preserve"> Tím se zásadně liší </w:t>
      </w:r>
      <w:r>
        <w:lastRenderedPageBreak/>
        <w:t xml:space="preserve">impozice v modu </w:t>
      </w:r>
      <w:r w:rsidR="00B64C25">
        <w:t>„</w:t>
      </w:r>
      <w:r w:rsidRPr="002F2BB6">
        <w:rPr>
          <w:i/>
        </w:rPr>
        <w:t>suppositio personalis</w:t>
      </w:r>
      <w:r w:rsidR="00B64C25">
        <w:t>“</w:t>
      </w:r>
      <w:r>
        <w:rPr>
          <w:i/>
        </w:rPr>
        <w:fldChar w:fldCharType="begin"/>
      </w:r>
      <w:r>
        <w:instrText xml:space="preserve"> XE "impozice:</w:instrText>
      </w:r>
      <w:r w:rsidRPr="006B70AD">
        <w:rPr>
          <w:i/>
        </w:rPr>
        <w:instrText>suppositio personalis</w:instrText>
      </w:r>
      <w:r>
        <w:instrText xml:space="preserve">" </w:instrText>
      </w:r>
      <w:r>
        <w:rPr>
          <w:i/>
        </w:rPr>
        <w:fldChar w:fldCharType="end"/>
      </w:r>
      <w:r>
        <w:t xml:space="preserve"> od pouhého ekvivočního pojmu „Sortes“ </w:t>
      </w:r>
      <w:r w:rsidRPr="00273106">
        <w:t>dané</w:t>
      </w:r>
      <w:r>
        <w:t>ho</w:t>
      </w:r>
      <w:r w:rsidRPr="00273106">
        <w:t xml:space="preserve"> pouze v mysli (</w:t>
      </w:r>
      <w:r w:rsidRPr="00273106">
        <w:rPr>
          <w:i/>
        </w:rPr>
        <w:t>secunda intentio</w:t>
      </w:r>
      <w:r>
        <w:rPr>
          <w:i/>
        </w:rPr>
        <w:fldChar w:fldCharType="begin"/>
      </w:r>
      <w:r>
        <w:instrText xml:space="preserve"> XE "supozice:</w:instrText>
      </w:r>
      <w:r w:rsidRPr="0081722E">
        <w:rPr>
          <w:i/>
        </w:rPr>
        <w:instrText>secunda intentio</w:instrText>
      </w:r>
      <w:r>
        <w:instrText xml:space="preserve">" </w:instrText>
      </w:r>
      <w:r>
        <w:rPr>
          <w:i/>
        </w:rPr>
        <w:fldChar w:fldCharType="end"/>
      </w:r>
      <w:r w:rsidRPr="00273106">
        <w:t>).</w:t>
      </w:r>
      <w:r>
        <w:t xml:space="preserve"> Ale ekvivočně (tj. metaforicky, poeticky, logicky atd.) platí, že je toto individuum je člověkem, protože mu zbude nějaký minimální a dále nedělitelný význam (</w:t>
      </w:r>
      <w:r w:rsidRPr="08A31A04">
        <w:rPr>
          <w:i/>
          <w:szCs w:val="21"/>
        </w:rPr>
        <w:t xml:space="preserve">certum </w:t>
      </w:r>
      <w:r w:rsidRPr="08A31A04">
        <w:rPr>
          <w:i/>
          <w:szCs w:val="23"/>
        </w:rPr>
        <w:t>est quod remanet aliquod commune ex quo remanet individuum</w:t>
      </w:r>
      <w:r>
        <w:t xml:space="preserve">). </w:t>
      </w:r>
      <w:r w:rsidR="00FF324D">
        <w:t xml:space="preserve">Citát jasně ukazuje scotistům, že jejich individuum je jen ekvivoční termín a nemá nic společného s kategoriální signifikací druhé substance. Její význam po zmizení první substance zmizí, protože mrtvola není člověk. </w:t>
      </w:r>
    </w:p>
    <w:p w:rsidR="00C604E2" w:rsidRDefault="00C604E2" w:rsidP="00C604E2"/>
    <w:p w:rsidR="00C604E2" w:rsidRDefault="00C604E2" w:rsidP="00C604E2">
      <w:pPr>
        <w:pStyle w:val="Nadpis3"/>
      </w:pPr>
      <w:r>
        <w:br w:type="page"/>
      </w:r>
      <w:bookmarkStart w:id="102" w:name="_Toc180231682"/>
      <w:r>
        <w:lastRenderedPageBreak/>
        <w:t>5.4.2 Realita versus metafyzika</w:t>
      </w:r>
      <w:bookmarkEnd w:id="102"/>
    </w:p>
    <w:p w:rsidR="00953C9B" w:rsidRDefault="004746D9" w:rsidP="00C604E2">
      <w:r w:rsidRPr="00273106">
        <w:t xml:space="preserve">Druhá </w:t>
      </w:r>
      <w:r>
        <w:t xml:space="preserve">verze </w:t>
      </w:r>
      <w:r w:rsidRPr="00273106">
        <w:t xml:space="preserve">Ockhamovy břitvy ukazuje, k jaké nesmyslné situaci došlo v případě objektivního zdvojení </w:t>
      </w:r>
      <w:r>
        <w:t>reality</w:t>
      </w:r>
      <w:r w:rsidRPr="00273106">
        <w:t xml:space="preserve">. </w:t>
      </w:r>
      <w:r>
        <w:t xml:space="preserve">Ockham přesně napadl nejproblematičtější místo Scotovy objektivní dedukce kategorií. Tato fundamentální dedukce objektivity je označena termínem </w:t>
      </w:r>
      <w:r w:rsidRPr="08D77FC6">
        <w:rPr>
          <w:i/>
        </w:rPr>
        <w:t>dativus possessivus</w:t>
      </w:r>
      <w:r>
        <w:rPr>
          <w:i/>
        </w:rPr>
        <w:fldChar w:fldCharType="begin"/>
      </w:r>
      <w:r>
        <w:instrText xml:space="preserve"> XE "</w:instrText>
      </w:r>
      <w:r w:rsidRPr="08E337D2">
        <w:rPr>
          <w:i/>
        </w:rPr>
        <w:instrText>dativus possessivus</w:instrText>
      </w:r>
      <w:r>
        <w:instrText xml:space="preserve">" </w:instrText>
      </w:r>
      <w:r>
        <w:rPr>
          <w:i/>
        </w:rPr>
        <w:fldChar w:fldCharType="end"/>
      </w:r>
      <w:r>
        <w:t xml:space="preserve"> (kap. 5.3.1). </w:t>
      </w:r>
      <w:r w:rsidRPr="00592F9B">
        <w:t xml:space="preserve">Skupina </w:t>
      </w:r>
      <w:r>
        <w:t xml:space="preserve">iluminátů vzala </w:t>
      </w:r>
      <w:r w:rsidRPr="00592F9B">
        <w:t xml:space="preserve">Avicennovu minimální esenci </w:t>
      </w:r>
      <w:r>
        <w:t xml:space="preserve">jako </w:t>
      </w:r>
      <w:r w:rsidRPr="00592F9B">
        <w:t>nominální subjekt, který nahra</w:t>
      </w:r>
      <w:r>
        <w:t xml:space="preserve">dil aristotelskou druhou substanci. Logická supozice se tím vzala ve smyslu </w:t>
      </w:r>
      <w:r w:rsidRPr="0095437A">
        <w:rPr>
          <w:i/>
        </w:rPr>
        <w:t>absolute</w:t>
      </w:r>
      <w:r>
        <w:t xml:space="preserve"> a metafyzická impozice zmizela úplně. Tato absurdní operace zdvojila určení jsoucna na reálné a objektivní. </w:t>
      </w:r>
      <w:r w:rsidR="08163013">
        <w:t xml:space="preserve">Spor o výklad </w:t>
      </w:r>
      <w:r w:rsidR="001211B2">
        <w:t xml:space="preserve">principu </w:t>
      </w:r>
      <w:r w:rsidR="00747CDC">
        <w:t>„</w:t>
      </w:r>
      <w:r w:rsidR="08163013" w:rsidRPr="08021E88">
        <w:rPr>
          <w:i/>
        </w:rPr>
        <w:t>destructio primis</w:t>
      </w:r>
      <w:r w:rsidR="00747CDC">
        <w:t>“</w:t>
      </w:r>
      <w:r w:rsidR="08163013">
        <w:rPr>
          <w:i/>
        </w:rPr>
        <w:fldChar w:fldCharType="begin"/>
      </w:r>
      <w:r w:rsidR="08163013">
        <w:instrText xml:space="preserve"> XE "</w:instrText>
      </w:r>
      <w:r w:rsidR="08163013" w:rsidRPr="08514437">
        <w:rPr>
          <w:i/>
        </w:rPr>
        <w:instrText>destructio primis</w:instrText>
      </w:r>
      <w:r w:rsidR="08163013">
        <w:instrText xml:space="preserve">" </w:instrText>
      </w:r>
      <w:r w:rsidR="08163013">
        <w:rPr>
          <w:i/>
        </w:rPr>
        <w:fldChar w:fldCharType="end"/>
      </w:r>
      <w:r w:rsidR="00747CDC">
        <w:rPr>
          <w:i/>
        </w:rPr>
        <w:t xml:space="preserve"> </w:t>
      </w:r>
      <w:r w:rsidR="08163013">
        <w:t>(</w:t>
      </w:r>
      <w:r w:rsidR="00F37458">
        <w:t xml:space="preserve">OBJ I, </w:t>
      </w:r>
      <w:r w:rsidR="08163013">
        <w:t xml:space="preserve">kap. 1.3) ukazuje na zásadní rozdíl mezi modernou a Ockhamem. Scotus zhasl slunce a podržel jeho paprsek v modu objektivní </w:t>
      </w:r>
      <w:r w:rsidR="00962190">
        <w:rPr>
          <w:i/>
        </w:rPr>
        <w:t>species</w:t>
      </w:r>
      <w:r w:rsidR="00F37458">
        <w:t xml:space="preserve"> (kap. 5</w:t>
      </w:r>
      <w:r w:rsidR="08163013">
        <w:t xml:space="preserve">.3.2). Vraťme se ke Scotově pojetí, který </w:t>
      </w:r>
      <w:r w:rsidR="08163013" w:rsidRPr="00273106">
        <w:t xml:space="preserve">klíčovou </w:t>
      </w:r>
      <w:r w:rsidR="08163013">
        <w:t xml:space="preserve">tezi </w:t>
      </w:r>
      <w:r w:rsidR="08163013" w:rsidRPr="00273106">
        <w:t xml:space="preserve">spisu </w:t>
      </w:r>
      <w:r w:rsidR="08163013" w:rsidRPr="085845E2">
        <w:rPr>
          <w:i/>
        </w:rPr>
        <w:t>Kategorie</w:t>
      </w:r>
      <w:r w:rsidR="08163013">
        <w:t xml:space="preserve"> o primátu substance </w:t>
      </w:r>
      <w:r w:rsidR="003F1919">
        <w:t>(</w:t>
      </w:r>
      <w:r w:rsidR="08163013" w:rsidRPr="00B82C79">
        <w:rPr>
          <w:i/>
        </w:rPr>
        <w:t>Cat</w:t>
      </w:r>
      <w:r w:rsidR="08163013">
        <w:t>. 2b5‒6</w:t>
      </w:r>
      <w:r w:rsidR="08163013">
        <w:fldChar w:fldCharType="begin"/>
      </w:r>
      <w:r w:rsidR="08163013">
        <w:instrText xml:space="preserve"> XE "Aristoteles:</w:instrText>
      </w:r>
      <w:r w:rsidR="08163013" w:rsidRPr="003D0C91">
        <w:rPr>
          <w:i/>
        </w:rPr>
        <w:instrText>Cat</w:instrText>
      </w:r>
      <w:r w:rsidR="08163013" w:rsidRPr="003D0C91">
        <w:instrText>. 2b5‒6</w:instrText>
      </w:r>
      <w:r w:rsidR="08163013">
        <w:instrText xml:space="preserve">" </w:instrText>
      </w:r>
      <w:r w:rsidR="08163013">
        <w:fldChar w:fldCharType="end"/>
      </w:r>
      <w:r w:rsidR="003F1919">
        <w:t>)</w:t>
      </w:r>
      <w:r w:rsidR="08163013">
        <w:t xml:space="preserve"> </w:t>
      </w:r>
      <w:r w:rsidR="00F37458">
        <w:t xml:space="preserve">vyložil ve smyslu </w:t>
      </w:r>
      <w:r w:rsidR="004E722E">
        <w:t xml:space="preserve">avicennovské </w:t>
      </w:r>
      <w:r w:rsidR="00F37458">
        <w:t>esence (kap. 5</w:t>
      </w:r>
      <w:r w:rsidR="08163013">
        <w:t xml:space="preserve">.3.1). Ockham to považuje za fundamentální omyl </w:t>
      </w:r>
      <w:r w:rsidR="08163013" w:rsidRPr="08193BF8">
        <w:rPr>
          <w:i/>
        </w:rPr>
        <w:t>Modernorum</w:t>
      </w:r>
      <w:r w:rsidR="08163013">
        <w:t xml:space="preserve">. Univerzální pojem esence vzniká až v procesu </w:t>
      </w:r>
      <w:r w:rsidR="004E722E">
        <w:t xml:space="preserve">logické </w:t>
      </w:r>
      <w:r w:rsidR="08163013">
        <w:t>abstrakce, proto má jasný charakter druhé intence. Ale supozice významu obsažená ve druhé intenci nemůže nahradit impozici významu danou od reálné první substance. Supozice ve druhé intenci zakládá pouze ekvivoční pojetí pravdy</w:t>
      </w:r>
      <w:r w:rsidR="004C3477">
        <w:t>. Ten vývoj je v současné epoše intelektuální paranoie (</w:t>
      </w:r>
      <w:r w:rsidR="004C3477" w:rsidRPr="004C3477">
        <w:rPr>
          <w:i/>
        </w:rPr>
        <w:t>Irre</w:t>
      </w:r>
      <w:r w:rsidR="004C3477">
        <w:rPr>
          <w:i/>
        </w:rPr>
        <w:fldChar w:fldCharType="begin"/>
      </w:r>
      <w:r w:rsidR="004C3477">
        <w:instrText xml:space="preserve"> XE "</w:instrText>
      </w:r>
      <w:r w:rsidR="004C3477" w:rsidRPr="00CC6A62">
        <w:rPr>
          <w:i/>
        </w:rPr>
        <w:instrText>Irre</w:instrText>
      </w:r>
      <w:r w:rsidR="004C3477">
        <w:instrText xml:space="preserve">" </w:instrText>
      </w:r>
      <w:r w:rsidR="004C3477">
        <w:rPr>
          <w:i/>
        </w:rPr>
        <w:fldChar w:fldCharType="end"/>
      </w:r>
      <w:r w:rsidR="004C3477">
        <w:t>) dokonaný</w:t>
      </w:r>
      <w:r w:rsidR="08163013">
        <w:t xml:space="preserve"> na způsob Derridovy a Rortyho diferenciace a metaforizace</w:t>
      </w:r>
      <w:r w:rsidR="00BB76DA">
        <w:t xml:space="preserve"> skrze tzv. </w:t>
      </w:r>
      <w:r w:rsidR="00DB3296">
        <w:t>„</w:t>
      </w:r>
      <w:r w:rsidR="00BB76DA" w:rsidRPr="085F634C">
        <w:rPr>
          <w:i/>
        </w:rPr>
        <w:t>post-truth</w:t>
      </w:r>
      <w:r w:rsidR="00DB3296">
        <w:rPr>
          <w:i/>
        </w:rPr>
        <w:t>s</w:t>
      </w:r>
      <w:r w:rsidR="00DB3296">
        <w:t>“</w:t>
      </w:r>
      <w:r w:rsidR="08163013">
        <w:t>. Nebo je tat</w:t>
      </w:r>
      <w:r w:rsidR="003C114A">
        <w:t>o</w:t>
      </w:r>
      <w:r w:rsidR="08163013">
        <w:t xml:space="preserve"> supozice realizována skrze mediální lži a manipulace jednoho procenta iluminátů hájících své mocenské a finan</w:t>
      </w:r>
      <w:r w:rsidR="00803687">
        <w:t xml:space="preserve">ční zájmy </w:t>
      </w:r>
      <w:r w:rsidR="003C114A">
        <w:t>skrze cloudový oblak nevědění</w:t>
      </w:r>
      <w:r w:rsidR="08163013">
        <w:rPr>
          <w:i/>
        </w:rPr>
        <w:fldChar w:fldCharType="begin"/>
      </w:r>
      <w:r w:rsidR="08163013">
        <w:instrText xml:space="preserve"> XE "</w:instrText>
      </w:r>
      <w:r w:rsidR="08163013" w:rsidRPr="08741307">
        <w:rPr>
          <w:i/>
        </w:rPr>
        <w:instrText>post-truth</w:instrText>
      </w:r>
      <w:r w:rsidR="08163013">
        <w:instrText xml:space="preserve">" </w:instrText>
      </w:r>
      <w:r w:rsidR="08163013">
        <w:rPr>
          <w:i/>
        </w:rPr>
        <w:fldChar w:fldCharType="end"/>
      </w:r>
      <w:r w:rsidR="08163013">
        <w:t>. Ockham zásadně popírá ve shodě s celou školou prvního averroismu, že mrtvola je člověk ve smyslu objektivně existující osoby</w:t>
      </w:r>
      <w:r w:rsidR="08163013">
        <w:rPr>
          <w:i/>
        </w:rPr>
        <w:fldChar w:fldCharType="begin"/>
      </w:r>
      <w:r w:rsidR="08163013">
        <w:instrText xml:space="preserve"> XE "sofisma člověk-mrtvola" </w:instrText>
      </w:r>
      <w:r w:rsidR="08163013">
        <w:rPr>
          <w:i/>
        </w:rPr>
        <w:fldChar w:fldCharType="end"/>
      </w:r>
      <w:r w:rsidR="08163013">
        <w:t xml:space="preserve">, což předpokládá Scotova teze </w:t>
      </w:r>
      <w:r w:rsidR="00DD2983">
        <w:t>„</w:t>
      </w:r>
      <w:r w:rsidR="08163013" w:rsidRPr="007040E4">
        <w:rPr>
          <w:i/>
        </w:rPr>
        <w:t>esse completive universale</w:t>
      </w:r>
      <w:r w:rsidR="00DD2983">
        <w:t>“</w:t>
      </w:r>
      <w:r w:rsidR="08163013">
        <w:t>.</w:t>
      </w:r>
      <w:r w:rsidR="08163013" w:rsidRPr="00273106">
        <w:t xml:space="preserve"> </w:t>
      </w:r>
      <w:r w:rsidR="08163013">
        <w:t xml:space="preserve">Člověk objektivně neexistuje, protože objektivní „exsistenci“ má pouze jsoucno třetího druhu. </w:t>
      </w:r>
      <w:r w:rsidR="08163013" w:rsidRPr="00273106">
        <w:t>Ockham jasně říká, že podobná určení platí jen v řádu druhé intence a nevztahují se k reálné substanci a k supozitům v řádu první intence.</w:t>
      </w:r>
      <w:r w:rsidR="08163013">
        <w:t xml:space="preserve"> S</w:t>
      </w:r>
      <w:r w:rsidR="08163013" w:rsidRPr="00273106">
        <w:t>upozice v rámci druhé intence Ockhama příliš nezajímá, proto</w:t>
      </w:r>
      <w:r w:rsidR="08163013">
        <w:t>že nemá přímý vztah k realitě a má zcela ekvivoční charakter. T</w:t>
      </w:r>
      <w:r w:rsidR="08163013" w:rsidRPr="00273106">
        <w:t xml:space="preserve">ím pádem není založena na </w:t>
      </w:r>
      <w:r w:rsidR="00EC7752">
        <w:t xml:space="preserve">aristotelském </w:t>
      </w:r>
      <w:r w:rsidR="00E77947">
        <w:t>adekvačním pojetí pravdy nutné</w:t>
      </w:r>
      <w:r w:rsidR="08163013" w:rsidRPr="00273106">
        <w:t xml:space="preserve"> pro vědecké poznání reality</w:t>
      </w:r>
      <w:r w:rsidR="00EC7752">
        <w:t>. S</w:t>
      </w:r>
      <w:r w:rsidR="00EC7752" w:rsidRPr="00273106">
        <w:t xml:space="preserve">upozice v rámci druhé intence </w:t>
      </w:r>
      <w:r w:rsidR="08163013">
        <w:t>platí pouze v řádu obecné signifikace určené nominálním významem slova</w:t>
      </w:r>
      <w:r w:rsidR="08163013" w:rsidRPr="00273106">
        <w:t xml:space="preserve">. </w:t>
      </w:r>
      <w:r w:rsidR="08163013">
        <w:t>A</w:t>
      </w:r>
      <w:r w:rsidR="08163013" w:rsidRPr="00273106">
        <w:t xml:space="preserve">ntimodernistické stanovisko vyjádřilo Ockhamovo hlavní </w:t>
      </w:r>
      <w:r w:rsidR="08163013">
        <w:t xml:space="preserve">pedagogické </w:t>
      </w:r>
      <w:r w:rsidR="08163013" w:rsidRPr="00273106">
        <w:t xml:space="preserve">dílo </w:t>
      </w:r>
      <w:r w:rsidR="08163013" w:rsidRPr="00273106">
        <w:rPr>
          <w:i/>
        </w:rPr>
        <w:t>Summa logicae</w:t>
      </w:r>
      <w:r w:rsidR="08163013">
        <w:t xml:space="preserve"> </w:t>
      </w:r>
      <w:r w:rsidR="08163013" w:rsidRPr="00273106">
        <w:t xml:space="preserve">a </w:t>
      </w:r>
      <w:r w:rsidR="08163013">
        <w:t xml:space="preserve">zejména </w:t>
      </w:r>
      <w:r w:rsidR="08163013" w:rsidRPr="00273106">
        <w:t>jeho část věnovaná impozici významu směrem od reálně existující jednotliviny.</w:t>
      </w:r>
      <w:r w:rsidR="08163013">
        <w:t xml:space="preserve"> Následující citát odmítá fikci </w:t>
      </w:r>
      <w:r w:rsidR="08163013">
        <w:lastRenderedPageBreak/>
        <w:t xml:space="preserve">moderních porretánů vykládajících reálnou věc analytickým rozkladem na dvě hypostáze v modu </w:t>
      </w:r>
      <w:r w:rsidR="002F4AF6">
        <w:t>„</w:t>
      </w:r>
      <w:r w:rsidR="08163013" w:rsidRPr="00E0154D">
        <w:rPr>
          <w:i/>
        </w:rPr>
        <w:t>quo est</w:t>
      </w:r>
      <w:r w:rsidR="002F4AF6" w:rsidRPr="002F4AF6">
        <w:t>“</w:t>
      </w:r>
      <w:r w:rsidR="08163013">
        <w:rPr>
          <w:i/>
        </w:rPr>
        <w:fldChar w:fldCharType="begin"/>
      </w:r>
      <w:r w:rsidR="08163013">
        <w:instrText xml:space="preserve"> XE "</w:instrText>
      </w:r>
      <w:r w:rsidR="08163013" w:rsidRPr="003C4F2E">
        <w:rPr>
          <w:i/>
        </w:rPr>
        <w:instrText>quo est</w:instrText>
      </w:r>
      <w:r w:rsidR="08163013">
        <w:instrText xml:space="preserve">" </w:instrText>
      </w:r>
      <w:r w:rsidR="08163013">
        <w:rPr>
          <w:i/>
        </w:rPr>
        <w:fldChar w:fldCharType="end"/>
      </w:r>
      <w:r w:rsidR="08163013">
        <w:t xml:space="preserve"> a </w:t>
      </w:r>
      <w:r w:rsidR="002F4AF6">
        <w:t>„</w:t>
      </w:r>
      <w:r w:rsidR="08163013" w:rsidRPr="00E0154D">
        <w:rPr>
          <w:i/>
        </w:rPr>
        <w:t>quod est</w:t>
      </w:r>
      <w:r w:rsidR="002F4AF6">
        <w:t>“</w:t>
      </w:r>
      <w:r w:rsidR="08163013">
        <w:t xml:space="preserve">, které si sofisticky vypůjčili od Boethia </w:t>
      </w:r>
      <w:r w:rsidR="00953C9B">
        <w:t>jako výše uvedený Scotus (kap. 5</w:t>
      </w:r>
      <w:r w:rsidR="08163013">
        <w:t xml:space="preserve">.3.3). </w:t>
      </w:r>
    </w:p>
    <w:p w:rsidR="00953C9B" w:rsidRPr="006D0FEB" w:rsidRDefault="00953C9B" w:rsidP="00953C9B">
      <w:pPr>
        <w:pStyle w:val="Citace"/>
        <w:rPr>
          <w:noProof/>
        </w:rPr>
      </w:pPr>
      <w:r w:rsidRPr="00273106">
        <w:rPr>
          <w:noProof/>
        </w:rPr>
        <w:t>„</w:t>
      </w:r>
      <w:r>
        <w:rPr>
          <w:noProof/>
        </w:rPr>
        <w:t xml:space="preserve">Jestliže </w:t>
      </w:r>
      <w:r>
        <w:rPr>
          <w:noProof/>
          <w:lang w:val="cs-CZ"/>
        </w:rPr>
        <w:t xml:space="preserve">se </w:t>
      </w:r>
      <w:r>
        <w:rPr>
          <w:noProof/>
        </w:rPr>
        <w:t>tvrdí, že jednotlivec jménem Sortes znamená signifikaci vztaženou ke složenině esence a individuální diference a že tato složenina je schopna nést jeho podstatu, pak to neplatí. Jak bylo ukázáno výše, taková složenina je nesmysl.“ </w:t>
      </w:r>
      <w:r>
        <w:rPr>
          <w:rStyle w:val="Znakapoznpodarou"/>
        </w:rPr>
        <w:footnoteReference w:id="491"/>
      </w:r>
    </w:p>
    <w:p w:rsidR="00653E97" w:rsidRDefault="08163013" w:rsidP="00653E97">
      <w:r w:rsidRPr="00273106">
        <w:t>Averroisté druhé vlny už od R</w:t>
      </w:r>
      <w:r>
        <w:t xml:space="preserve">ufuse univočně spojili v pojmu </w:t>
      </w:r>
      <w:r w:rsidRPr="00273106">
        <w:rPr>
          <w:i/>
        </w:rPr>
        <w:t>scibile</w:t>
      </w:r>
      <w:r>
        <w:rPr>
          <w:i/>
        </w:rPr>
        <w:fldChar w:fldCharType="begin"/>
      </w:r>
      <w:r>
        <w:instrText xml:space="preserve"> XE "</w:instrText>
      </w:r>
      <w:r w:rsidRPr="00AA4F67">
        <w:rPr>
          <w:i/>
        </w:rPr>
        <w:instrText>scibile</w:instrText>
      </w:r>
      <w:r>
        <w:instrText xml:space="preserve">:moderna" </w:instrText>
      </w:r>
      <w:r>
        <w:rPr>
          <w:i/>
        </w:rPr>
        <w:fldChar w:fldCharType="end"/>
      </w:r>
      <w:r w:rsidRPr="00273106">
        <w:t xml:space="preserve"> dva druhy </w:t>
      </w:r>
      <w:r w:rsidR="00962190">
        <w:rPr>
          <w:i/>
        </w:rPr>
        <w:t>species</w:t>
      </w:r>
      <w:r w:rsidRPr="00273106">
        <w:t xml:space="preserve">. První </w:t>
      </w:r>
      <w:r w:rsidR="00962190">
        <w:rPr>
          <w:i/>
        </w:rPr>
        <w:t>species</w:t>
      </w:r>
      <w:r w:rsidRPr="00273106">
        <w:t xml:space="preserve"> je v mysli </w:t>
      </w:r>
      <w:r>
        <w:t>jako esence (</w:t>
      </w:r>
      <w:r w:rsidRPr="0051333D">
        <w:rPr>
          <w:i/>
        </w:rPr>
        <w:t>quod est</w:t>
      </w:r>
      <w:r>
        <w:t xml:space="preserve">) </w:t>
      </w:r>
      <w:r w:rsidRPr="00273106">
        <w:t xml:space="preserve">a </w:t>
      </w:r>
      <w:r>
        <w:t>druhá</w:t>
      </w:r>
      <w:r w:rsidRPr="00273106">
        <w:t xml:space="preserve"> </w:t>
      </w:r>
      <w:r w:rsidR="00962190">
        <w:rPr>
          <w:i/>
        </w:rPr>
        <w:t>species</w:t>
      </w:r>
      <w:r w:rsidRPr="00273106">
        <w:t xml:space="preserve"> je v procesu avicennovského </w:t>
      </w:r>
      <w:r w:rsidRPr="00273106">
        <w:rPr>
          <w:i/>
        </w:rPr>
        <w:t>denudatio</w:t>
      </w:r>
      <w:r>
        <w:rPr>
          <w:i/>
        </w:rPr>
        <w:fldChar w:fldCharType="begin"/>
      </w:r>
      <w:r>
        <w:instrText xml:space="preserve"> XE "</w:instrText>
      </w:r>
      <w:r w:rsidRPr="00C23100">
        <w:rPr>
          <w:i/>
        </w:rPr>
        <w:instrText>denudatio</w:instrText>
      </w:r>
      <w:r>
        <w:rPr>
          <w:i/>
        </w:rPr>
        <w:instrText>:</w:instrText>
      </w:r>
      <w:r w:rsidRPr="00527F2A">
        <w:instrText>moderna</w:instrText>
      </w:r>
      <w:r>
        <w:instrText xml:space="preserve">" </w:instrText>
      </w:r>
      <w:r>
        <w:rPr>
          <w:i/>
        </w:rPr>
        <w:fldChar w:fldCharType="end"/>
      </w:r>
      <w:r>
        <w:t xml:space="preserve"> nahlížena v reálných věcech (</w:t>
      </w:r>
      <w:r w:rsidRPr="0051333D">
        <w:rPr>
          <w:i/>
        </w:rPr>
        <w:t>quo est</w:t>
      </w:r>
      <w:r>
        <w:rPr>
          <w:i/>
        </w:rPr>
        <w:fldChar w:fldCharType="begin"/>
      </w:r>
      <w:r>
        <w:instrText xml:space="preserve"> XE "</w:instrText>
      </w:r>
      <w:r w:rsidRPr="003C4F2E">
        <w:rPr>
          <w:i/>
        </w:rPr>
        <w:instrText>quo est</w:instrText>
      </w:r>
      <w:r>
        <w:instrText xml:space="preserve">" </w:instrText>
      </w:r>
      <w:r>
        <w:rPr>
          <w:i/>
        </w:rPr>
        <w:fldChar w:fldCharType="end"/>
      </w:r>
      <w:r>
        <w:t>)</w:t>
      </w:r>
      <w:r w:rsidRPr="00273106">
        <w:t xml:space="preserve">. </w:t>
      </w:r>
      <w:r w:rsidR="002F4AF6">
        <w:t>Podle pojetí pravdy</w:t>
      </w:r>
      <w:r>
        <w:t xml:space="preserve"> v modelu Rufusova </w:t>
      </w:r>
      <w:r>
        <w:rPr>
          <w:i/>
        </w:rPr>
        <w:t>coaequa</w:t>
      </w:r>
      <w:r w:rsidRPr="0051333D">
        <w:rPr>
          <w:i/>
        </w:rPr>
        <w:t>t</w:t>
      </w:r>
      <w:r>
        <w:rPr>
          <w:i/>
        </w:rPr>
        <w:t>i</w:t>
      </w:r>
      <w:r w:rsidRPr="0051333D">
        <w:rPr>
          <w:i/>
        </w:rPr>
        <w:t>o</w:t>
      </w:r>
      <w:r>
        <w:rPr>
          <w:i/>
        </w:rPr>
        <w:fldChar w:fldCharType="begin"/>
      </w:r>
      <w:r>
        <w:instrText xml:space="preserve"> XE "pravda:</w:instrText>
      </w:r>
      <w:r w:rsidRPr="00E11E1F">
        <w:rPr>
          <w:i/>
        </w:rPr>
        <w:instrText>coaequatio</w:instrText>
      </w:r>
      <w:r>
        <w:instrText xml:space="preserve">" </w:instrText>
      </w:r>
      <w:r>
        <w:rPr>
          <w:i/>
        </w:rPr>
        <w:fldChar w:fldCharType="end"/>
      </w:r>
      <w:r>
        <w:t xml:space="preserve"> </w:t>
      </w:r>
      <w:r w:rsidR="002F4AF6">
        <w:t>pak obě hypostáze složili</w:t>
      </w:r>
      <w:r>
        <w:t xml:space="preserve"> dohromady a rámci univerzálního hylemorfismu</w:t>
      </w:r>
      <w:r>
        <w:fldChar w:fldCharType="begin"/>
      </w:r>
      <w:r>
        <w:instrText xml:space="preserve"> XE "</w:instrText>
      </w:r>
      <w:r w:rsidRPr="00423560">
        <w:instrText>univerzální hylemorfismus</w:instrText>
      </w:r>
      <w:r>
        <w:instrText xml:space="preserve">" </w:instrText>
      </w:r>
      <w:r>
        <w:fldChar w:fldCharType="end"/>
      </w:r>
      <w:r w:rsidR="002F4AF6">
        <w:t xml:space="preserve"> vytvořili</w:t>
      </w:r>
      <w:r>
        <w:t xml:space="preserve"> objektivní </w:t>
      </w:r>
      <w:r w:rsidR="002F4AF6">
        <w:t>„</w:t>
      </w:r>
      <w:r w:rsidRPr="08B53844">
        <w:rPr>
          <w:i/>
        </w:rPr>
        <w:t>res</w:t>
      </w:r>
      <w:r w:rsidR="002F4AF6">
        <w:t>“</w:t>
      </w:r>
      <w:r>
        <w:t xml:space="preserve">. </w:t>
      </w:r>
      <w:r w:rsidR="00376CF0">
        <w:t>Takto složené jsoucno třetího druhu je podle Ockhama nesmysl. V</w:t>
      </w:r>
      <w:r w:rsidRPr="00273106">
        <w:t xml:space="preserve">ěci jsou </w:t>
      </w:r>
      <w:r>
        <w:t xml:space="preserve">oddělené </w:t>
      </w:r>
      <w:r w:rsidRPr="00273106">
        <w:t xml:space="preserve">od našeho poznání a v realitě existují </w:t>
      </w:r>
      <w:r>
        <w:t xml:space="preserve">aktuálně </w:t>
      </w:r>
      <w:r w:rsidRPr="00273106">
        <w:rPr>
          <w:i/>
        </w:rPr>
        <w:t>simpliciter</w:t>
      </w:r>
      <w:r w:rsidR="0021371D">
        <w:rPr>
          <w:i/>
        </w:rPr>
        <w:t xml:space="preserve">, </w:t>
      </w:r>
      <w:r w:rsidRPr="008D12F7">
        <w:t>a ne</w:t>
      </w:r>
      <w:r>
        <w:rPr>
          <w:i/>
        </w:rPr>
        <w:t xml:space="preserve"> universaliter</w:t>
      </w:r>
      <w:r w:rsidRPr="00273106">
        <w:t>. Citát říká, že by vznikla supozice významu vzhledem k absurdní složenině (</w:t>
      </w:r>
      <w:r w:rsidRPr="00273106">
        <w:rPr>
          <w:i/>
        </w:rPr>
        <w:t>Sortes supponit pro uno composito</w:t>
      </w:r>
      <w:r w:rsidRPr="00273106">
        <w:t>)</w:t>
      </w:r>
      <w:r w:rsidR="00E77947">
        <w:t xml:space="preserve">. </w:t>
      </w:r>
      <w:r w:rsidR="00E77947" w:rsidRPr="00E77947">
        <w:t>Nominalisté a objektivisté vytvořili absurdní směs skutečných věcí (</w:t>
      </w:r>
      <w:r w:rsidR="00E77947" w:rsidRPr="00E77947">
        <w:rPr>
          <w:i/>
          <w:iCs/>
        </w:rPr>
        <w:t>ex natura</w:t>
      </w:r>
      <w:r w:rsidR="00E77947" w:rsidRPr="00E77947">
        <w:t xml:space="preserve">) a konečného rozdílu, který odděluje </w:t>
      </w:r>
      <w:r w:rsidR="00E77947" w:rsidRPr="00E77947">
        <w:rPr>
          <w:i/>
          <w:iCs/>
        </w:rPr>
        <w:t>species specialissima</w:t>
      </w:r>
      <w:r w:rsidR="00E77947">
        <w:rPr>
          <w:i/>
        </w:rPr>
        <w:fldChar w:fldCharType="begin"/>
      </w:r>
      <w:r w:rsidR="00E77947">
        <w:instrText xml:space="preserve"> XE "</w:instrText>
      </w:r>
      <w:r w:rsidR="00E77947" w:rsidRPr="00A94442">
        <w:rPr>
          <w:i/>
        </w:rPr>
        <w:instrText>species specialissima</w:instrText>
      </w:r>
      <w:r w:rsidR="00E77947">
        <w:instrText xml:space="preserve">" </w:instrText>
      </w:r>
      <w:r w:rsidR="00E77947">
        <w:rPr>
          <w:i/>
        </w:rPr>
        <w:fldChar w:fldCharType="end"/>
      </w:r>
      <w:r w:rsidR="00E77947" w:rsidRPr="00E77947">
        <w:t xml:space="preserve"> od smyslu, který nelze dále dělit (</w:t>
      </w:r>
      <w:r w:rsidR="00E77947" w:rsidRPr="00E77947">
        <w:rPr>
          <w:i/>
          <w:iCs/>
        </w:rPr>
        <w:t>ex differentia individuali</w:t>
      </w:r>
      <w:r w:rsidR="00E77947" w:rsidRPr="00E77947">
        <w:t xml:space="preserve">). Absurdnější už to být nemůže; význam </w:t>
      </w:r>
      <w:r w:rsidR="00A57D89">
        <w:t xml:space="preserve">nikdy </w:t>
      </w:r>
      <w:r w:rsidR="00E77947" w:rsidRPr="00E77947">
        <w:t xml:space="preserve">není </w:t>
      </w:r>
      <w:r w:rsidR="00A57D89">
        <w:t xml:space="preserve">přímo </w:t>
      </w:r>
      <w:r w:rsidR="00E77947" w:rsidRPr="00E77947">
        <w:t xml:space="preserve">spojen s reálnými věcmi a </w:t>
      </w:r>
      <w:r w:rsidR="00E77947" w:rsidRPr="00E77947">
        <w:rPr>
          <w:i/>
          <w:iCs/>
        </w:rPr>
        <w:t>individuum</w:t>
      </w:r>
      <w:r w:rsidR="00E77947" w:rsidRPr="00E77947">
        <w:t xml:space="preserve"> </w:t>
      </w:r>
      <w:r w:rsidR="00E77947">
        <w:t xml:space="preserve">nemá samo o sobě </w:t>
      </w:r>
      <w:r w:rsidR="00E77947" w:rsidRPr="00E77947">
        <w:t xml:space="preserve">prakticky žádný </w:t>
      </w:r>
      <w:r w:rsidR="00E77947">
        <w:t xml:space="preserve">vlastní </w:t>
      </w:r>
      <w:r w:rsidR="00E77947" w:rsidRPr="00E77947">
        <w:t xml:space="preserve">význam. Je to zrůdnost </w:t>
      </w:r>
      <w:r w:rsidR="00E77947">
        <w:t xml:space="preserve">na </w:t>
      </w:r>
      <w:r w:rsidR="00E77947" w:rsidRPr="00E77947">
        <w:t>druh</w:t>
      </w:r>
      <w:r w:rsidR="00E77947">
        <w:t>ou</w:t>
      </w:r>
      <w:r w:rsidR="00E77947" w:rsidRPr="00E77947">
        <w:t>.</w:t>
      </w:r>
      <w:r w:rsidR="00E77947">
        <w:t xml:space="preserve"> </w:t>
      </w:r>
      <w:r w:rsidRPr="00273106">
        <w:t xml:space="preserve">Objektivní supozice </w:t>
      </w:r>
      <w:r w:rsidRPr="00273106">
        <w:rPr>
          <w:i/>
        </w:rPr>
        <w:t>Nominales</w:t>
      </w:r>
      <w:r w:rsidR="001C2A32">
        <w:t xml:space="preserve"> jde </w:t>
      </w:r>
      <w:r w:rsidRPr="00273106">
        <w:t xml:space="preserve">po vzoru dělení univerzálních významů v rámci </w:t>
      </w:r>
      <w:r>
        <w:t>Porfyri</w:t>
      </w:r>
      <w:r w:rsidRPr="00273106">
        <w:t xml:space="preserve">ova stromu až na úroveň jednotliviny nebo k univočnímu pojetí </w:t>
      </w:r>
      <w:r w:rsidRPr="00273106">
        <w:rPr>
          <w:i/>
        </w:rPr>
        <w:t>ens inquantum ens</w:t>
      </w:r>
      <w:r>
        <w:rPr>
          <w:i/>
        </w:rPr>
        <w:fldChar w:fldCharType="begin"/>
      </w:r>
      <w:r>
        <w:instrText xml:space="preserve"> XE "</w:instrText>
      </w:r>
      <w:r w:rsidRPr="005424E2">
        <w:rPr>
          <w:i/>
        </w:rPr>
        <w:instrText>ens inquantum ens</w:instrText>
      </w:r>
      <w:r>
        <w:instrText xml:space="preserve">" </w:instrText>
      </w:r>
      <w:r>
        <w:rPr>
          <w:i/>
        </w:rPr>
        <w:fldChar w:fldCharType="end"/>
      </w:r>
      <w:r w:rsidR="001C2A32">
        <w:t xml:space="preserve">. Takové pojetí </w:t>
      </w:r>
      <w:r w:rsidRPr="00273106">
        <w:t xml:space="preserve">představuje pro Ockhama </w:t>
      </w:r>
      <w:r>
        <w:t xml:space="preserve">naprostý </w:t>
      </w:r>
      <w:r w:rsidRPr="00273106">
        <w:t>nesmysl</w:t>
      </w:r>
      <w:r>
        <w:t xml:space="preserve"> </w:t>
      </w:r>
      <w:r w:rsidRPr="00273106">
        <w:t>(</w:t>
      </w:r>
      <w:r w:rsidRPr="00273106">
        <w:rPr>
          <w:i/>
        </w:rPr>
        <w:t>hoc non valet</w:t>
      </w:r>
      <w:r w:rsidRPr="00273106">
        <w:t xml:space="preserve">). </w:t>
      </w:r>
      <w:r>
        <w:t xml:space="preserve">Do reálných věcí nelze umístit esenci nebo diferenci tak, aby vzniklo porretánské </w:t>
      </w:r>
      <w:r w:rsidRPr="009B17D5">
        <w:rPr>
          <w:i/>
        </w:rPr>
        <w:t>individuum</w:t>
      </w:r>
      <w:r w:rsidRPr="00273106">
        <w:t xml:space="preserve">. Primární supozice existuje jen vzhledem k externí </w:t>
      </w:r>
      <w:r>
        <w:t>a aktuální první substanci</w:t>
      </w:r>
      <w:r w:rsidRPr="00273106">
        <w:t xml:space="preserve">, viz předešlou poznámku </w:t>
      </w:r>
      <w:r>
        <w:t xml:space="preserve">z komentáře </w:t>
      </w:r>
      <w:r w:rsidRPr="083E61E2">
        <w:rPr>
          <w:i/>
        </w:rPr>
        <w:t xml:space="preserve">Peri hermeneias </w:t>
      </w:r>
      <w:r w:rsidRPr="00273106">
        <w:t>(</w:t>
      </w:r>
      <w:r w:rsidRPr="00273106">
        <w:rPr>
          <w:i/>
        </w:rPr>
        <w:t>quando supponunt pro rebus supponunt significative et personaliter</w:t>
      </w:r>
      <w:r w:rsidRPr="00273106">
        <w:t>). Pokud bychom jednoduchou první substanci zdvojili nějakou dodatečnou diferencí, pak by vznikl absurdní svět moderny na úrovni druhého stvoření světa</w:t>
      </w:r>
      <w:r>
        <w:t xml:space="preserve"> v nauce univerzálního hylemorfismu (</w:t>
      </w:r>
      <w:r w:rsidR="00CB509C">
        <w:t>OBJ II, kap. 3</w:t>
      </w:r>
      <w:r>
        <w:t xml:space="preserve">.2). </w:t>
      </w:r>
      <w:r w:rsidRPr="00273106">
        <w:t xml:space="preserve">Scotus předělal </w:t>
      </w:r>
      <w:r>
        <w:t xml:space="preserve">ontoteologii prvních modernistů </w:t>
      </w:r>
      <w:r w:rsidRPr="00273106">
        <w:t xml:space="preserve">na objektivní metafyziku. </w:t>
      </w:r>
      <w:r>
        <w:t xml:space="preserve">Kritika scotistické </w:t>
      </w:r>
      <w:r w:rsidR="00A104AD">
        <w:t xml:space="preserve">nauky </w:t>
      </w:r>
      <w:r>
        <w:t xml:space="preserve">ukazuje, že moderní </w:t>
      </w:r>
      <w:r>
        <w:lastRenderedPageBreak/>
        <w:t xml:space="preserve">metafyzika představuje vinou chybné kategoriální predikace jen sofistické cvičení na úrovni bývalých škol </w:t>
      </w:r>
      <w:r w:rsidRPr="08CC5F90">
        <w:rPr>
          <w:i/>
        </w:rPr>
        <w:t>Nominales</w:t>
      </w:r>
      <w:r>
        <w:t>.</w:t>
      </w:r>
      <w:r w:rsidR="00653E97">
        <w:t xml:space="preserve"> </w:t>
      </w:r>
      <w:r w:rsidRPr="00273106">
        <w:t xml:space="preserve">Scotisté a postmoderní objektivisté vytvářejí supozice třetího druhu </w:t>
      </w:r>
      <w:r>
        <w:t xml:space="preserve">objektivně nebo dokonce univočně </w:t>
      </w:r>
      <w:r w:rsidRPr="00273106">
        <w:t>platné pr</w:t>
      </w:r>
      <w:r w:rsidR="00653E97">
        <w:t>o reálně existující jednotliviny</w:t>
      </w:r>
      <w:r>
        <w:t xml:space="preserve"> v porretánském modu </w:t>
      </w:r>
      <w:r w:rsidR="0023475A">
        <w:t>„</w:t>
      </w:r>
      <w:r w:rsidRPr="002B19C4">
        <w:rPr>
          <w:i/>
        </w:rPr>
        <w:t>completive</w:t>
      </w:r>
      <w:r w:rsidR="0023475A">
        <w:t>“</w:t>
      </w:r>
      <w:r w:rsidRPr="00273106">
        <w:t>.</w:t>
      </w:r>
      <w:r>
        <w:t xml:space="preserve"> Tím</w:t>
      </w:r>
      <w:r w:rsidR="00653E97">
        <w:t xml:space="preserve">to způsobem </w:t>
      </w:r>
      <w:r>
        <w:t>v</w:t>
      </w:r>
      <w:r w:rsidRPr="00273106">
        <w:t>znikl</w:t>
      </w:r>
      <w:r w:rsidR="00653E97">
        <w:t>a nesmyslná</w:t>
      </w:r>
      <w:r w:rsidRPr="00273106">
        <w:t xml:space="preserve"> jso</w:t>
      </w:r>
      <w:r w:rsidR="00653E97">
        <w:t>ucna</w:t>
      </w:r>
      <w:r w:rsidRPr="00273106">
        <w:t xml:space="preserve"> třetího druhu</w:t>
      </w:r>
      <w:r w:rsidR="00653E97">
        <w:t xml:space="preserve"> (</w:t>
      </w:r>
      <w:r w:rsidR="00653E97" w:rsidRPr="001757AB">
        <w:rPr>
          <w:i/>
        </w:rPr>
        <w:t>individuum</w:t>
      </w:r>
      <w:r w:rsidR="00653E97">
        <w:t xml:space="preserve">, </w:t>
      </w:r>
      <w:r w:rsidR="00653E97" w:rsidRPr="001757AB">
        <w:rPr>
          <w:i/>
        </w:rPr>
        <w:t>concretum</w:t>
      </w:r>
      <w:r w:rsidR="00653E97">
        <w:rPr>
          <w:i/>
        </w:rPr>
        <w:fldChar w:fldCharType="begin"/>
      </w:r>
      <w:r w:rsidR="00653E97">
        <w:instrText xml:space="preserve"> XE "</w:instrText>
      </w:r>
      <w:r w:rsidR="00653E97" w:rsidRPr="00B759F5">
        <w:rPr>
          <w:i/>
        </w:rPr>
        <w:instrText>concretum</w:instrText>
      </w:r>
      <w:r w:rsidR="00653E97">
        <w:instrText xml:space="preserve">" </w:instrText>
      </w:r>
      <w:r w:rsidR="00653E97">
        <w:rPr>
          <w:i/>
        </w:rPr>
        <w:fldChar w:fldCharType="end"/>
      </w:r>
      <w:r w:rsidR="00653E97">
        <w:t xml:space="preserve">, </w:t>
      </w:r>
      <w:r w:rsidR="00653E97" w:rsidRPr="001757AB">
        <w:rPr>
          <w:i/>
        </w:rPr>
        <w:t>scibile</w:t>
      </w:r>
      <w:r w:rsidR="00653E97">
        <w:t>)</w:t>
      </w:r>
      <w:r>
        <w:t>, kter</w:t>
      </w:r>
      <w:r w:rsidR="00653E97">
        <w:t>á</w:t>
      </w:r>
      <w:r>
        <w:t xml:space="preserve"> vytvořil</w:t>
      </w:r>
      <w:r w:rsidR="00653E97">
        <w:t>a sofistické simulákrum reality</w:t>
      </w:r>
      <w:r>
        <w:t>. Podobné chimérické výtvory pilného akademického ducha jsou podle Ockhama dány pouze v lidské mysli, protože je nedeterminuje reálná první substance</w:t>
      </w:r>
      <w:r w:rsidRPr="00273106">
        <w:t xml:space="preserve">. K věci v realitě nelze nic přidat a její jsoucno </w:t>
      </w:r>
      <w:r>
        <w:t xml:space="preserve">pouze pravdivě predikujeme. Význam ani </w:t>
      </w:r>
      <w:r w:rsidRPr="00273106">
        <w:t>nevytváříme</w:t>
      </w:r>
      <w:r>
        <w:t xml:space="preserve"> </w:t>
      </w:r>
      <w:r w:rsidRPr="00A81387">
        <w:rPr>
          <w:i/>
        </w:rPr>
        <w:t>ex nihilo</w:t>
      </w:r>
      <w:r>
        <w:rPr>
          <w:i/>
        </w:rPr>
        <w:fldChar w:fldCharType="begin"/>
      </w:r>
      <w:r>
        <w:instrText xml:space="preserve"> XE "</w:instrText>
      </w:r>
      <w:r w:rsidRPr="001C3BC9">
        <w:rPr>
          <w:i/>
        </w:rPr>
        <w:instrText>creatio ex nihilo</w:instrText>
      </w:r>
      <w:r>
        <w:instrText xml:space="preserve">" </w:instrText>
      </w:r>
      <w:r>
        <w:rPr>
          <w:i/>
        </w:rPr>
        <w:fldChar w:fldCharType="end"/>
      </w:r>
      <w:r>
        <w:t xml:space="preserve"> v hypostázovaném karteziánském intelektu</w:t>
      </w:r>
      <w:r w:rsidRPr="00273106">
        <w:t xml:space="preserve">, ani </w:t>
      </w:r>
      <w:r>
        <w:t xml:space="preserve">jej objektivně </w:t>
      </w:r>
      <w:r w:rsidRPr="00273106">
        <w:t>ne</w:t>
      </w:r>
      <w:r>
        <w:t>zrcadlíme od boží racionality, jak to předpokládají scotističtí ilumináti</w:t>
      </w:r>
      <w:r w:rsidR="00653E97">
        <w:t>.</w:t>
      </w:r>
    </w:p>
    <w:p w:rsidR="08163013" w:rsidRPr="00273106" w:rsidRDefault="008D1257" w:rsidP="0095437A">
      <w:pPr>
        <w:ind w:firstLine="397"/>
      </w:pPr>
      <w:r>
        <w:t>Scotisté</w:t>
      </w:r>
      <w:r w:rsidR="08163013">
        <w:t xml:space="preserve"> zrušili původní smysl </w:t>
      </w:r>
      <w:r w:rsidR="081942A4">
        <w:t xml:space="preserve">metafyzického </w:t>
      </w:r>
      <w:r w:rsidR="08163013">
        <w:t>dativu</w:t>
      </w:r>
      <w:r w:rsidR="00815DF1">
        <w:t xml:space="preserve">. V něm platí, že </w:t>
      </w:r>
      <w:r w:rsidR="08163013">
        <w:t xml:space="preserve">druhá substance predikuje reálné bytí první substance. Ockham zásadně odmítá dvojení druhé substance na objektivní čistou jsoucnost a na kategoriální substanci. Metafyzika musí predikovat jednotu významu v modu </w:t>
      </w:r>
      <w:r w:rsidR="081942A4">
        <w:t xml:space="preserve">metafyzického </w:t>
      </w:r>
      <w:r>
        <w:t>dativu vzhledem k reálným</w:t>
      </w:r>
      <w:r w:rsidR="08163013">
        <w:t xml:space="preserve"> první</w:t>
      </w:r>
      <w:r>
        <w:t>m substancím</w:t>
      </w:r>
      <w:r w:rsidR="08163013" w:rsidRPr="00273106">
        <w:rPr>
          <w:i/>
        </w:rPr>
        <w:t xml:space="preserve"> </w:t>
      </w:r>
      <w:r w:rsidR="08163013" w:rsidRPr="00273106">
        <w:t>dan</w:t>
      </w:r>
      <w:r>
        <w:t>ým</w:t>
      </w:r>
      <w:r w:rsidR="08163013" w:rsidRPr="00273106">
        <w:rPr>
          <w:i/>
        </w:rPr>
        <w:t xml:space="preserve"> simpliciter</w:t>
      </w:r>
      <w:r>
        <w:t xml:space="preserve"> a </w:t>
      </w:r>
      <w:r w:rsidRPr="008D1257">
        <w:rPr>
          <w:i/>
        </w:rPr>
        <w:t>actualiter</w:t>
      </w:r>
      <w:r w:rsidR="08163013" w:rsidRPr="00273106">
        <w:t>.</w:t>
      </w:r>
      <w:r w:rsidR="08163013">
        <w:t xml:space="preserve"> Modernisté postupují ve své objektivní parousii mytopoetického významu přesně opačně a projektují </w:t>
      </w:r>
      <w:r w:rsidR="00BC5B7A">
        <w:t xml:space="preserve">své </w:t>
      </w:r>
      <w:r w:rsidR="00F03768">
        <w:t xml:space="preserve">gnoseologické fantazie </w:t>
      </w:r>
      <w:r w:rsidR="08163013">
        <w:t>do aktuální</w:t>
      </w:r>
      <w:r w:rsidR="00F03768">
        <w:t>ch</w:t>
      </w:r>
      <w:r w:rsidR="08163013">
        <w:t xml:space="preserve"> první</w:t>
      </w:r>
      <w:r w:rsidR="00F03768">
        <w:t>ch substancí</w:t>
      </w:r>
      <w:r w:rsidR="08163013">
        <w:t>.</w:t>
      </w:r>
    </w:p>
    <w:p w:rsidR="08163013" w:rsidRPr="0049260D" w:rsidRDefault="08163013" w:rsidP="08163013">
      <w:pPr>
        <w:pStyle w:val="Citace"/>
        <w:rPr>
          <w:noProof/>
          <w:lang w:val="cs-CZ"/>
        </w:rPr>
      </w:pPr>
      <w:r w:rsidRPr="00273106">
        <w:rPr>
          <w:noProof/>
          <w:lang w:val="cs-CZ"/>
        </w:rPr>
        <w:t>„</w:t>
      </w:r>
      <w:r>
        <w:rPr>
          <w:noProof/>
          <w:lang w:val="cs-CZ"/>
        </w:rPr>
        <w:t xml:space="preserve">Takto nelze pojmout </w:t>
      </w:r>
      <w:r w:rsidR="00C11FAB">
        <w:rPr>
          <w:noProof/>
          <w:lang w:val="cs-CZ"/>
        </w:rPr>
        <w:t xml:space="preserve">existující </w:t>
      </w:r>
      <w:r>
        <w:rPr>
          <w:noProof/>
          <w:lang w:val="cs-CZ"/>
        </w:rPr>
        <w:t xml:space="preserve">jednotlivinu, protože podle nich jakákoliv individuální esence zahrnuje i diferenci. Pak by </w:t>
      </w:r>
      <w:r w:rsidR="00C11FAB">
        <w:rPr>
          <w:noProof/>
          <w:lang w:val="cs-CZ"/>
        </w:rPr>
        <w:t xml:space="preserve">existující </w:t>
      </w:r>
      <w:r>
        <w:rPr>
          <w:noProof/>
          <w:lang w:val="cs-CZ"/>
        </w:rPr>
        <w:t xml:space="preserve">jednotlivina </w:t>
      </w:r>
      <w:r w:rsidR="001F7D63">
        <w:rPr>
          <w:noProof/>
          <w:lang w:val="cs-CZ"/>
        </w:rPr>
        <w:t xml:space="preserve">daná z hlediska </w:t>
      </w:r>
      <w:r>
        <w:rPr>
          <w:noProof/>
          <w:lang w:val="cs-CZ"/>
        </w:rPr>
        <w:t xml:space="preserve">vlastní esence a diference </w:t>
      </w:r>
      <w:r w:rsidR="001F7D63">
        <w:rPr>
          <w:noProof/>
          <w:lang w:val="cs-CZ"/>
        </w:rPr>
        <w:t xml:space="preserve">také </w:t>
      </w:r>
      <w:r>
        <w:rPr>
          <w:noProof/>
          <w:lang w:val="cs-CZ"/>
        </w:rPr>
        <w:t xml:space="preserve">zahrnovala </w:t>
      </w:r>
      <w:r w:rsidR="001F7D63">
        <w:rPr>
          <w:noProof/>
          <w:lang w:val="cs-CZ"/>
        </w:rPr>
        <w:t xml:space="preserve">i </w:t>
      </w:r>
      <w:r>
        <w:rPr>
          <w:noProof/>
          <w:lang w:val="cs-CZ"/>
        </w:rPr>
        <w:t xml:space="preserve">jinou </w:t>
      </w:r>
      <w:r w:rsidR="001F7D63">
        <w:rPr>
          <w:rFonts w:cs="Calibri"/>
          <w:noProof/>
          <w:lang w:val="cs-CZ"/>
        </w:rPr>
        <w:t>[</w:t>
      </w:r>
      <w:r w:rsidR="001F7D63">
        <w:rPr>
          <w:noProof/>
          <w:lang w:val="cs-CZ"/>
        </w:rPr>
        <w:t>objektivní</w:t>
      </w:r>
      <w:r w:rsidR="001F7D63">
        <w:rPr>
          <w:rFonts w:cs="Calibri"/>
          <w:noProof/>
          <w:lang w:val="cs-CZ"/>
        </w:rPr>
        <w:t>]</w:t>
      </w:r>
      <w:r w:rsidR="001F7D63">
        <w:rPr>
          <w:noProof/>
          <w:lang w:val="cs-CZ"/>
        </w:rPr>
        <w:t xml:space="preserve"> </w:t>
      </w:r>
      <w:r>
        <w:rPr>
          <w:noProof/>
          <w:lang w:val="cs-CZ"/>
        </w:rPr>
        <w:t>jednotlivinu složenou z individualizované esence a diference</w:t>
      </w:r>
      <w:r w:rsidR="00C11FAB">
        <w:rPr>
          <w:noProof/>
          <w:lang w:val="cs-CZ"/>
        </w:rPr>
        <w:t xml:space="preserve">; to </w:t>
      </w:r>
      <w:r>
        <w:rPr>
          <w:noProof/>
          <w:lang w:val="cs-CZ"/>
        </w:rPr>
        <w:t>je nesmysl.“ </w:t>
      </w:r>
      <w:r>
        <w:rPr>
          <w:rStyle w:val="Znakapoznpodarou"/>
        </w:rPr>
        <w:footnoteReference w:id="492"/>
      </w:r>
    </w:p>
    <w:p w:rsidR="004F4AAD" w:rsidRDefault="08163013" w:rsidP="004F4AAD">
      <w:r w:rsidRPr="00273106">
        <w:t xml:space="preserve">Supozice </w:t>
      </w:r>
      <w:r>
        <w:t xml:space="preserve">modernistů v modu </w:t>
      </w:r>
      <w:r w:rsidRPr="00A14D3B">
        <w:rPr>
          <w:i/>
        </w:rPr>
        <w:t>completive</w:t>
      </w:r>
      <w:r>
        <w:t xml:space="preserve"> </w:t>
      </w:r>
      <w:r w:rsidRPr="00273106">
        <w:t xml:space="preserve">vytváří absurdní složeninu </w:t>
      </w:r>
      <w:r>
        <w:t xml:space="preserve">objektivně dané přirozenosti té či oné věci, která je pak diferencovaná na úroveň atomárního individua </w:t>
      </w:r>
      <w:r w:rsidRPr="00273106">
        <w:t>(</w:t>
      </w:r>
      <w:r w:rsidRPr="00273106">
        <w:rPr>
          <w:i/>
        </w:rPr>
        <w:t>unum compositum ex natura et differentia individuali</w:t>
      </w:r>
      <w:r w:rsidRPr="00273106">
        <w:t>)</w:t>
      </w:r>
      <w:r>
        <w:t>. Tuto složeninu pak vydávají za druhou predikovatelnou substanci (</w:t>
      </w:r>
      <w:r w:rsidRPr="00A07DBC">
        <w:rPr>
          <w:i/>
        </w:rPr>
        <w:t>compositum</w:t>
      </w:r>
      <w:r>
        <w:t xml:space="preserve">), kterou </w:t>
      </w:r>
      <w:r w:rsidRPr="00273106">
        <w:t>univočně signifik</w:t>
      </w:r>
      <w:r>
        <w:t>ují v rámci numericky pojaté jednoty (</w:t>
      </w:r>
      <w:r w:rsidRPr="00A07DBC">
        <w:rPr>
          <w:i/>
        </w:rPr>
        <w:t>unum</w:t>
      </w:r>
      <w:r>
        <w:t>). Tato složenina reálné substance</w:t>
      </w:r>
      <w:r>
        <w:fldChar w:fldCharType="begin"/>
      </w:r>
      <w:r>
        <w:instrText xml:space="preserve"> XE "</w:instrText>
      </w:r>
      <w:r w:rsidRPr="00DE2A32">
        <w:instrText>substance</w:instrText>
      </w:r>
      <w:r>
        <w:instrText xml:space="preserve">:objektivní" </w:instrText>
      </w:r>
      <w:r>
        <w:fldChar w:fldCharType="end"/>
      </w:r>
      <w:r>
        <w:t xml:space="preserve"> a objektivního simulákra</w:t>
      </w:r>
      <w:r>
        <w:fldChar w:fldCharType="begin"/>
      </w:r>
      <w:r>
        <w:instrText xml:space="preserve"> XE "</w:instrText>
      </w:r>
      <w:r w:rsidRPr="00C2134D">
        <w:instrText>simulákrum</w:instrText>
      </w:r>
      <w:r>
        <w:instrText xml:space="preserve">" </w:instrText>
      </w:r>
      <w:r>
        <w:fldChar w:fldCharType="end"/>
      </w:r>
      <w:r>
        <w:t xml:space="preserve"> (</w:t>
      </w:r>
      <w:r w:rsidRPr="00042239">
        <w:rPr>
          <w:i/>
        </w:rPr>
        <w:t>unum compositum</w:t>
      </w:r>
      <w:r>
        <w:t xml:space="preserve">) </w:t>
      </w:r>
      <w:r w:rsidRPr="00273106">
        <w:t>neexistuje</w:t>
      </w:r>
      <w:r>
        <w:t xml:space="preserve"> ani </w:t>
      </w:r>
      <w:r w:rsidR="006F4305">
        <w:t>jako reálná věc</w:t>
      </w:r>
      <w:r>
        <w:t xml:space="preserve">, ani </w:t>
      </w:r>
      <w:r w:rsidR="006F4305">
        <w:t xml:space="preserve">jako intencionální obsah daný </w:t>
      </w:r>
      <w:r>
        <w:t xml:space="preserve">skrze </w:t>
      </w:r>
      <w:r w:rsidR="006F4305">
        <w:t xml:space="preserve">aristotelskou </w:t>
      </w:r>
      <w:r>
        <w:t xml:space="preserve">abstrakci. </w:t>
      </w:r>
      <w:r w:rsidR="002C67EA" w:rsidRPr="002C67EA">
        <w:t>Podle Ockhama je ta</w:t>
      </w:r>
      <w:r w:rsidR="002C67EA">
        <w:t xml:space="preserve">to </w:t>
      </w:r>
      <w:r w:rsidR="002C67EA" w:rsidRPr="002C67EA">
        <w:t>objek</w:t>
      </w:r>
      <w:r w:rsidR="002C67EA">
        <w:t>tivní pohádka vytvořená v modu „</w:t>
      </w:r>
      <w:r w:rsidR="002C67EA" w:rsidRPr="002C67EA">
        <w:rPr>
          <w:i/>
        </w:rPr>
        <w:t>completive</w:t>
      </w:r>
      <w:r w:rsidR="002C67EA">
        <w:t>“</w:t>
      </w:r>
      <w:r w:rsidR="002C67EA" w:rsidRPr="002C67EA">
        <w:t xml:space="preserve"> </w:t>
      </w:r>
      <w:r w:rsidR="002C67EA" w:rsidRPr="002C67EA">
        <w:lastRenderedPageBreak/>
        <w:t>metafyzickým nesmyslem (</w:t>
      </w:r>
      <w:r w:rsidR="002C67EA" w:rsidRPr="002C67EA">
        <w:rPr>
          <w:i/>
        </w:rPr>
        <w:t>quod est absurdum</w:t>
      </w:r>
      <w:r w:rsidR="002C67EA">
        <w:t xml:space="preserve">). </w:t>
      </w:r>
      <w:r w:rsidRPr="00273106">
        <w:t xml:space="preserve">Dělení v rámci pohybu diference v univerzálním </w:t>
      </w:r>
      <w:r>
        <w:rPr>
          <w:i/>
        </w:rPr>
        <w:t>Arbor Porphyriana</w:t>
      </w:r>
      <w:r>
        <w:rPr>
          <w:i/>
        </w:rPr>
        <w:fldChar w:fldCharType="begin"/>
      </w:r>
      <w:r>
        <w:instrText xml:space="preserve"> XE "</w:instrText>
      </w:r>
      <w:r w:rsidRPr="00227C7B">
        <w:rPr>
          <w:i/>
        </w:rPr>
        <w:instrText>Arbor Porphyriana</w:instrText>
      </w:r>
      <w:r>
        <w:instrText xml:space="preserve">" </w:instrText>
      </w:r>
      <w:r>
        <w:rPr>
          <w:i/>
        </w:rPr>
        <w:fldChar w:fldCharType="end"/>
      </w:r>
      <w:r w:rsidRPr="00273106">
        <w:t xml:space="preserve"> </w:t>
      </w:r>
      <w:r>
        <w:t>představu</w:t>
      </w:r>
      <w:r w:rsidRPr="00273106">
        <w:t xml:space="preserve">je pouhé ekvivoční </w:t>
      </w:r>
      <w:r>
        <w:t xml:space="preserve">či logické </w:t>
      </w:r>
      <w:r w:rsidRPr="00273106">
        <w:t>cvičení v mysli, které nemůže postihnout reálnou věc (</w:t>
      </w:r>
      <w:r w:rsidRPr="00273106">
        <w:rPr>
          <w:i/>
        </w:rPr>
        <w:t>nullam naturam individuam sustentat</w:t>
      </w:r>
      <w:r w:rsidRPr="00273106">
        <w:t xml:space="preserve">). Jde o falešnou supozici danou </w:t>
      </w:r>
      <w:r>
        <w:t>mimo první intenci. Taková ekvivo</w:t>
      </w:r>
      <w:r w:rsidRPr="00273106">
        <w:t xml:space="preserve">ční tvrzení platí jen při porovnávání významů v rámci druhé </w:t>
      </w:r>
      <w:r>
        <w:t xml:space="preserve">ekvivoční </w:t>
      </w:r>
      <w:r w:rsidRPr="00273106">
        <w:t xml:space="preserve">intence. </w:t>
      </w:r>
      <w:r>
        <w:t>V řádu logické a matematické abstrakce</w:t>
      </w:r>
      <w:r>
        <w:fldChar w:fldCharType="begin"/>
      </w:r>
      <w:r>
        <w:instrText xml:space="preserve"> XE "</w:instrText>
      </w:r>
      <w:r w:rsidRPr="00A824F0">
        <w:instrText>abstrakce:matematická</w:instrText>
      </w:r>
      <w:r>
        <w:instrText xml:space="preserve">" </w:instrText>
      </w:r>
      <w:r>
        <w:fldChar w:fldCharType="end"/>
      </w:r>
      <w:r>
        <w:t xml:space="preserve"> </w:t>
      </w:r>
      <w:r w:rsidRPr="00273106">
        <w:t xml:space="preserve">lze </w:t>
      </w:r>
      <w:r>
        <w:t xml:space="preserve">myslet </w:t>
      </w:r>
      <w:r w:rsidRPr="00273106">
        <w:t>všechno</w:t>
      </w:r>
      <w:r>
        <w:t xml:space="preserve"> a všemi způsoby, protože abstrakce od </w:t>
      </w:r>
      <w:r w:rsidR="005D6566">
        <w:t xml:space="preserve">logické </w:t>
      </w:r>
      <w:r>
        <w:t xml:space="preserve">impozice umožňuje </w:t>
      </w:r>
      <w:r w:rsidRPr="00273106">
        <w:t>čistou ekvivocitu konceptů daných univerzálně</w:t>
      </w:r>
      <w:r>
        <w:t xml:space="preserve">. </w:t>
      </w:r>
      <w:r w:rsidRPr="00273106">
        <w:t xml:space="preserve">V řádu </w:t>
      </w:r>
      <w:r>
        <w:t xml:space="preserve">logické </w:t>
      </w:r>
      <w:r w:rsidRPr="00273106">
        <w:t xml:space="preserve">abstrakce </w:t>
      </w:r>
      <w:r>
        <w:t xml:space="preserve">a druhé intence už </w:t>
      </w:r>
      <w:r w:rsidRPr="00273106">
        <w:t xml:space="preserve">lze </w:t>
      </w:r>
      <w:r>
        <w:t>projektovat cokoliv do čehokoliv, pokud je to logicky správně.</w:t>
      </w:r>
      <w:r w:rsidRPr="00273106">
        <w:t xml:space="preserve"> </w:t>
      </w:r>
      <w:r w:rsidR="00AD1314">
        <w:t xml:space="preserve">A metafyzika chiméry je logicky správná. </w:t>
      </w:r>
      <w:r>
        <w:t>Jenže logická správnost vůbec nezajišťuje metafyzickou pravdivost, protože ta je dána na základě adekvace významu kategoriálně predikovaného v rámci první intence. R</w:t>
      </w:r>
      <w:r w:rsidRPr="00273106">
        <w:t xml:space="preserve">ozdíl mezi první a druhou intencí způsobuje, že obě citované verze </w:t>
      </w:r>
      <w:r w:rsidR="0097556A">
        <w:t>„</w:t>
      </w:r>
      <w:r w:rsidRPr="00273106">
        <w:rPr>
          <w:i/>
        </w:rPr>
        <w:t>unum</w:t>
      </w:r>
      <w:r w:rsidRPr="00273106">
        <w:t xml:space="preserve"> </w:t>
      </w:r>
      <w:r w:rsidRPr="00273106">
        <w:rPr>
          <w:i/>
        </w:rPr>
        <w:t>compositum</w:t>
      </w:r>
      <w:r w:rsidR="0097556A">
        <w:t>“</w:t>
      </w:r>
      <w:r w:rsidRPr="00273106">
        <w:t xml:space="preserve"> nelze dát do adekvačního vztahu, jak to dělají modernisté na základě pomýlené nauky o univerzálním hylemorfismu a jeho scotistické objektivní variantě. Adekvace mentálně daných </w:t>
      </w:r>
      <w:r>
        <w:t xml:space="preserve">pojmů </w:t>
      </w:r>
      <w:r w:rsidRPr="00273106">
        <w:t>probíhá pouze k mysli moderních iluminátů</w:t>
      </w:r>
      <w:r>
        <w:fldChar w:fldCharType="begin"/>
      </w:r>
      <w:r>
        <w:instrText xml:space="preserve"> XE "</w:instrText>
      </w:r>
      <w:r w:rsidRPr="00BD65D1">
        <w:instrText>ilumináti</w:instrText>
      </w:r>
      <w:r>
        <w:instrText xml:space="preserve">" </w:instrText>
      </w:r>
      <w:r>
        <w:fldChar w:fldCharType="end"/>
      </w:r>
      <w:r w:rsidRPr="00273106">
        <w:t xml:space="preserve">, což je vzhledem k pravdivému poznání reality absurdní pozice. </w:t>
      </w:r>
      <w:r>
        <w:t xml:space="preserve">Ockham stejně jako Bacon </w:t>
      </w:r>
      <w:r w:rsidRPr="00273106">
        <w:t xml:space="preserve">požadoval návrat </w:t>
      </w:r>
      <w:r>
        <w:t xml:space="preserve">myšlení </w:t>
      </w:r>
      <w:r w:rsidRPr="00273106">
        <w:t xml:space="preserve">k první substanci a upozorňoval </w:t>
      </w:r>
      <w:r>
        <w:t xml:space="preserve">oxfordské </w:t>
      </w:r>
      <w:r w:rsidRPr="00273106">
        <w:t xml:space="preserve">modernisty na absurdní důsledky jejich </w:t>
      </w:r>
      <w:r>
        <w:t xml:space="preserve">paranoického </w:t>
      </w:r>
      <w:r w:rsidRPr="00273106">
        <w:t>postoje.</w:t>
      </w:r>
      <w:r w:rsidR="004F4AAD">
        <w:t xml:space="preserve"> </w:t>
      </w:r>
    </w:p>
    <w:p w:rsidR="08163013" w:rsidRPr="00273106" w:rsidRDefault="08163013" w:rsidP="004F4AAD">
      <w:pPr>
        <w:ind w:firstLine="397"/>
      </w:pPr>
      <w:r w:rsidRPr="00273106">
        <w:t>Ockhamova břitva</w:t>
      </w:r>
      <w:r>
        <w:fldChar w:fldCharType="begin"/>
      </w:r>
      <w:r>
        <w:instrText xml:space="preserve"> XE "</w:instrText>
      </w:r>
      <w:r w:rsidRPr="00A710E1">
        <w:instrText>Ockhamova břitva</w:instrText>
      </w:r>
      <w:r>
        <w:instrText xml:space="preserve">" </w:instrText>
      </w:r>
      <w:r>
        <w:fldChar w:fldCharType="end"/>
      </w:r>
      <w:r w:rsidRPr="00273106">
        <w:t xml:space="preserve"> se ukázala jako užitečný nástroj.</w:t>
      </w:r>
      <w:r>
        <w:t xml:space="preserve"> </w:t>
      </w:r>
      <w:r w:rsidRPr="00273106">
        <w:t xml:space="preserve">Moderní pojetí intelektu, poznání, pravdy a </w:t>
      </w:r>
      <w:r w:rsidR="00962190" w:rsidRPr="006E24BE">
        <w:t>species</w:t>
      </w:r>
      <w:r w:rsidRPr="00273106">
        <w:t xml:space="preserve"> vyprodukovalo nesmyslná jsoucna třetího druhu a </w:t>
      </w:r>
      <w:r>
        <w:t xml:space="preserve">tím </w:t>
      </w:r>
      <w:r w:rsidRPr="00273106">
        <w:t xml:space="preserve">diskvalifikovalo samo sebe. </w:t>
      </w:r>
      <w:r w:rsidR="009E1374" w:rsidRPr="00C93C34">
        <w:t xml:space="preserve">Člověk ve svém oživeném těle tvoří aktualizovaný substrát všech mentálních aktivit. Tím, že intelekt definujeme jako </w:t>
      </w:r>
      <w:r w:rsidR="009E1374" w:rsidRPr="00C93C34">
        <w:rPr>
          <w:i/>
          <w:iCs/>
        </w:rPr>
        <w:t>tertium genus</w:t>
      </w:r>
      <w:r w:rsidR="009E1374" w:rsidRPr="00C93C34">
        <w:t>, nevnímáme metafyzický dualismus à la Avicenna, Scotus nebo Descartes</w:t>
      </w:r>
      <w:r w:rsidR="009E1374">
        <w:fldChar w:fldCharType="begin"/>
      </w:r>
      <w:r w:rsidR="009E1374">
        <w:instrText xml:space="preserve"> XE "</w:instrText>
      </w:r>
      <w:r w:rsidR="009E1374" w:rsidRPr="004146C6">
        <w:rPr>
          <w:rStyle w:val="addmd"/>
        </w:rPr>
        <w:instrText>Descartes, R.</w:instrText>
      </w:r>
      <w:r w:rsidR="009E1374">
        <w:instrText xml:space="preserve">" </w:instrText>
      </w:r>
      <w:r w:rsidR="009E1374">
        <w:fldChar w:fldCharType="end"/>
      </w:r>
      <w:r w:rsidR="009E1374" w:rsidRPr="00C93C34">
        <w:t>. Ockham připomíná modernistům v Oxfordu, že existuje reálná lidská bytost jako první substance. Prav</w:t>
      </w:r>
      <w:r w:rsidR="009E1374">
        <w:t>div</w:t>
      </w:r>
      <w:r w:rsidR="009E1374" w:rsidRPr="00C93C34">
        <w:t xml:space="preserve">á filosofie musí tuto hyparchickou substanci respektovat, aby mohla odpovídajícím způsobem reprezentovat poznávací procesy a deduktivní kategorické výroky. Moderní paranoia může </w:t>
      </w:r>
      <w:r w:rsidR="009E1374">
        <w:t xml:space="preserve">postupovat opačně a </w:t>
      </w:r>
      <w:r w:rsidR="009E1374" w:rsidRPr="00C93C34">
        <w:t>rozložit člověka na dvě nebo více moderních substancí, aby tento nesmysl se</w:t>
      </w:r>
      <w:r w:rsidR="009E1374">
        <w:t xml:space="preserve">stavila jako objektivně daného </w:t>
      </w:r>
      <w:r w:rsidR="009E1374" w:rsidRPr="002D1949">
        <w:t xml:space="preserve">„člověka“. Protože receptivní intelekt tvoří schopnost duše jako formu nebo schopnost těla, </w:t>
      </w:r>
      <w:r w:rsidR="009E1374">
        <w:t xml:space="preserve">je </w:t>
      </w:r>
      <w:r w:rsidR="009E1374" w:rsidRPr="002D1949">
        <w:t xml:space="preserve">avicenistické schéma </w:t>
      </w:r>
      <w:r w:rsidR="009E1374" w:rsidRPr="002D1949">
        <w:rPr>
          <w:i/>
        </w:rPr>
        <w:t>Modernorum</w:t>
      </w:r>
      <w:r w:rsidR="009E1374">
        <w:t xml:space="preserve"> chybné</w:t>
      </w:r>
      <w:r w:rsidR="009E1374" w:rsidRPr="002D1949">
        <w:t xml:space="preserve">. </w:t>
      </w:r>
      <w:r w:rsidRPr="00273106">
        <w:t>Odmítnutí jsoucna třetího druhu je spojeno se zásadní krit</w:t>
      </w:r>
      <w:r>
        <w:t>ikou Scotova pojetí objektivní</w:t>
      </w:r>
      <w:r w:rsidRPr="00273106">
        <w:t xml:space="preserve"> </w:t>
      </w:r>
      <w:r w:rsidR="00962190" w:rsidRPr="00CD61D6">
        <w:t>species</w:t>
      </w:r>
      <w:r w:rsidRPr="00273106">
        <w:t xml:space="preserve">. Scotisté postulují poznání od autonomních inteligibilních </w:t>
      </w:r>
      <w:r w:rsidR="00962190">
        <w:rPr>
          <w:i/>
        </w:rPr>
        <w:t>species</w:t>
      </w:r>
      <w:r w:rsidRPr="00273106">
        <w:t xml:space="preserve"> daných jako objektivní jsoucno a mají </w:t>
      </w:r>
      <w:r w:rsidR="00962190" w:rsidRPr="00CD61D6">
        <w:t>species</w:t>
      </w:r>
      <w:r w:rsidRPr="00273106">
        <w:t xml:space="preserve"> pojaté objektivně-univočně ve </w:t>
      </w:r>
      <w:r w:rsidR="00F80B24">
        <w:t xml:space="preserve">věcech, v bohu i v mysli </w:t>
      </w:r>
      <w:r w:rsidR="00F80B24">
        <w:lastRenderedPageBreak/>
        <w:t>(kap. 5</w:t>
      </w:r>
      <w:r w:rsidRPr="00273106">
        <w:t xml:space="preserve">.3.3). A i kdyby </w:t>
      </w:r>
      <w:r>
        <w:t xml:space="preserve">objektivní supozice </w:t>
      </w:r>
      <w:r w:rsidRPr="00273106">
        <w:t>existoval</w:t>
      </w:r>
      <w:r>
        <w:t xml:space="preserve">a v modu </w:t>
      </w:r>
      <w:r w:rsidR="00CD61D6">
        <w:t>„</w:t>
      </w:r>
      <w:r w:rsidRPr="00273106">
        <w:rPr>
          <w:i/>
        </w:rPr>
        <w:t>esse completive universale</w:t>
      </w:r>
      <w:r w:rsidR="00CD61D6">
        <w:t>“</w:t>
      </w:r>
      <w:r w:rsidRPr="00273106">
        <w:t xml:space="preserve">, tak nemůže </w:t>
      </w:r>
      <w:r w:rsidR="00AE5AD5">
        <w:t xml:space="preserve">jako </w:t>
      </w:r>
      <w:r w:rsidR="00877467">
        <w:t>logické supozic</w:t>
      </w:r>
      <w:r w:rsidR="00AE5AD5">
        <w:t>e založit</w:t>
      </w:r>
      <w:r w:rsidRPr="00273106">
        <w:t xml:space="preserve"> </w:t>
      </w:r>
      <w:r w:rsidR="0054232A">
        <w:t>metafyzick</w:t>
      </w:r>
      <w:r w:rsidR="00AE5AD5">
        <w:t xml:space="preserve">é </w:t>
      </w:r>
      <w:r w:rsidRPr="00273106">
        <w:t xml:space="preserve">poznání. </w:t>
      </w:r>
      <w:r w:rsidR="00877467" w:rsidRPr="00877467">
        <w:t xml:space="preserve">Skutečné slunce </w:t>
      </w:r>
      <w:r w:rsidR="00877467">
        <w:t xml:space="preserve">na obloze </w:t>
      </w:r>
      <w:r w:rsidR="00877467" w:rsidRPr="00877467">
        <w:t xml:space="preserve">se ubírá jedním směrem; z toho vyplývá </w:t>
      </w:r>
      <w:r w:rsidR="00877467">
        <w:t xml:space="preserve">impozice </w:t>
      </w:r>
      <w:r w:rsidR="00877467" w:rsidRPr="00877467">
        <w:t xml:space="preserve">jako </w:t>
      </w:r>
      <w:r w:rsidR="00877467">
        <w:t xml:space="preserve">základ </w:t>
      </w:r>
      <w:r w:rsidR="00877467" w:rsidRPr="00877467">
        <w:t>deduktivní</w:t>
      </w:r>
      <w:r w:rsidR="00877467">
        <w:t>ho</w:t>
      </w:r>
      <w:r w:rsidR="00877467" w:rsidRPr="00877467">
        <w:t xml:space="preserve"> důkaz</w:t>
      </w:r>
      <w:r w:rsidR="00877467">
        <w:t>u</w:t>
      </w:r>
      <w:r w:rsidR="00877467" w:rsidRPr="00877467">
        <w:t xml:space="preserve">; teprve na konci je logická </w:t>
      </w:r>
      <w:r w:rsidR="00877467">
        <w:t>supozice a</w:t>
      </w:r>
      <w:r w:rsidR="00877467" w:rsidRPr="00877467">
        <w:t xml:space="preserve"> nihilistické myšlenkové experimenty dneška.</w:t>
      </w:r>
      <w:r w:rsidR="00877467">
        <w:t xml:space="preserve"> </w:t>
      </w:r>
      <w:r w:rsidR="0049612A">
        <w:t>Metafyzické (a ne logické nebo objektivní) p</w:t>
      </w:r>
      <w:r w:rsidR="00877467">
        <w:t>oznání z</w:t>
      </w:r>
      <w:r w:rsidR="0049612A">
        <w:t>akládá pouze aktualita reálných</w:t>
      </w:r>
      <w:r w:rsidRPr="00273106">
        <w:t xml:space="preserve"> první</w:t>
      </w:r>
      <w:r w:rsidR="0049612A">
        <w:t>ch substancí</w:t>
      </w:r>
      <w:r>
        <w:fldChar w:fldCharType="begin"/>
      </w:r>
      <w:r>
        <w:instrText xml:space="preserve"> XE "</w:instrText>
      </w:r>
      <w:r w:rsidRPr="00DE2A32">
        <w:instrText>substance</w:instrText>
      </w:r>
      <w:r>
        <w:instrText xml:space="preserve">:první" </w:instrText>
      </w:r>
      <w:r>
        <w:fldChar w:fldCharType="end"/>
      </w:r>
      <w:r w:rsidR="0049612A">
        <w:t xml:space="preserve">, které </w:t>
      </w:r>
      <w:r w:rsidRPr="00273106">
        <w:t xml:space="preserve">skrze smyslová </w:t>
      </w:r>
      <w:r w:rsidR="00962190" w:rsidRPr="00FF7A84">
        <w:t>species</w:t>
      </w:r>
      <w:r w:rsidRPr="00273106">
        <w:t xml:space="preserve"> determinují první impozici univerzálně daného smyslu. </w:t>
      </w:r>
      <w:r>
        <w:t xml:space="preserve"> Mrtvola není člověk, protože k predikaci člověka jako druhé substance chybí supozice z reality</w:t>
      </w:r>
      <w:r>
        <w:rPr>
          <w:i/>
        </w:rPr>
        <w:fldChar w:fldCharType="begin"/>
      </w:r>
      <w:r>
        <w:instrText xml:space="preserve"> XE "sofisma člověk-mrtvola" </w:instrText>
      </w:r>
      <w:r>
        <w:rPr>
          <w:i/>
        </w:rPr>
        <w:fldChar w:fldCharType="end"/>
      </w:r>
      <w:r>
        <w:t xml:space="preserve">. </w:t>
      </w:r>
      <w:r w:rsidR="00F0162D">
        <w:t xml:space="preserve">Aktualizace poznání skrze </w:t>
      </w:r>
      <w:r w:rsidRPr="00273106">
        <w:t xml:space="preserve">první substance má naprosto klíčovou funkci, kterou </w:t>
      </w:r>
      <w:r>
        <w:t xml:space="preserve">modernisté </w:t>
      </w:r>
      <w:r w:rsidRPr="00273106">
        <w:t>zničil</w:t>
      </w:r>
      <w:r>
        <w:t>i</w:t>
      </w:r>
      <w:r w:rsidR="00C7723F">
        <w:t xml:space="preserve"> několikerým způsobem:</w:t>
      </w:r>
      <w:r w:rsidRPr="00273106">
        <w:t xml:space="preserve"> devalvací reality</w:t>
      </w:r>
      <w:r>
        <w:t>, dichotomií smyslového a inteligibilního poznání, dualismem mezi dvěma substancemi v člověku, objektivní dedukcí poznání od boha místo z reality. Ockham ví, že jsoucna nelze množit, protože jsou dána reálně, což úplně stačí pro normální a kritické poznání.  Ockhamova kritika míří především na Scotovu boží kauzalitu přímo zakoušenou v naší duši, což zakládá objektivitu (</w:t>
      </w:r>
      <w:r w:rsidRPr="08852CE8">
        <w:rPr>
          <w:i/>
        </w:rPr>
        <w:t>experimur quod quando cognoscimus causam in universali</w:t>
      </w:r>
      <w:r w:rsidR="00DA65A5">
        <w:t>, kap. 5</w:t>
      </w:r>
      <w:r>
        <w:t>.3.2).</w:t>
      </w:r>
      <w:r w:rsidR="006D7D05">
        <w:t xml:space="preserve"> Protože modernisté mají špatně postavený</w:t>
      </w:r>
      <w:r w:rsidR="004047D8">
        <w:t xml:space="preserve"> směr poznání, pak musí trvat </w:t>
      </w:r>
      <w:r w:rsidR="006D7D05">
        <w:t>na oddělení intelektuálního poznání od smyslů.</w:t>
      </w:r>
      <w:r w:rsidR="00F86151">
        <w:t xml:space="preserve"> Pro poznání platí princip aktualizace dané pouze jedním směrem; reálné slunce jde po obloze a my jej vidíme. Objektivisté jako Scotus teoreticky dedukují svá species i po neexistenci slunce a pak mylně tvrdí, že tato species aktualizují poznání. </w:t>
      </w:r>
    </w:p>
    <w:p w:rsidR="08163013" w:rsidRPr="00D119CC" w:rsidRDefault="08163013" w:rsidP="08163013">
      <w:pPr>
        <w:pStyle w:val="Citace"/>
        <w:rPr>
          <w:noProof/>
          <w:lang w:val="cs-CZ"/>
        </w:rPr>
      </w:pPr>
      <w:r w:rsidRPr="00273106">
        <w:rPr>
          <w:noProof/>
          <w:lang w:val="cs-CZ"/>
        </w:rPr>
        <w:t>„</w:t>
      </w:r>
      <w:r>
        <w:rPr>
          <w:noProof/>
          <w:lang w:val="cs-CZ"/>
        </w:rPr>
        <w:t>Žádná univerzálie nemůže aktualizovat smyslové schopnosti, protože není dána ve věci, což bylo ukázáno výše. Smysly jsou vztaženy k</w:t>
      </w:r>
      <w:r w:rsidR="005C3DA0">
        <w:rPr>
          <w:noProof/>
          <w:lang w:val="cs-CZ"/>
        </w:rPr>
        <w:t xml:space="preserve"> realným </w:t>
      </w:r>
      <w:r>
        <w:rPr>
          <w:noProof/>
          <w:lang w:val="cs-CZ"/>
        </w:rPr>
        <w:t>jednotlivinám, a ne k univerzáliím.“ </w:t>
      </w:r>
      <w:r>
        <w:rPr>
          <w:rStyle w:val="Znakapoznpodarou"/>
        </w:rPr>
        <w:footnoteReference w:id="493"/>
      </w:r>
    </w:p>
    <w:p w:rsidR="08163013" w:rsidRDefault="08163013" w:rsidP="08163013">
      <w:r w:rsidRPr="00273106">
        <w:t>Univerzálie je pouze potenciální</w:t>
      </w:r>
      <w:r w:rsidR="002E31D7">
        <w:t xml:space="preserve"> entita a jako taková </w:t>
      </w:r>
      <w:r w:rsidRPr="00273106">
        <w:t>nikdy nemůže založit poznání aktuální jednotliviny (</w:t>
      </w:r>
      <w:r w:rsidRPr="00273106">
        <w:rPr>
          <w:i/>
        </w:rPr>
        <w:t>nullum tale commune movet potentiam sensitivam</w:t>
      </w:r>
      <w:r w:rsidRPr="00273106">
        <w:t xml:space="preserve">). Poznání se rozbíhá díky hyparchicky dané věci, která je </w:t>
      </w:r>
      <w:r w:rsidR="00196CCA">
        <w:t>s</w:t>
      </w:r>
      <w:r w:rsidRPr="00273106">
        <w:t xml:space="preserve">mysly poznaná jako individuální </w:t>
      </w:r>
      <w:r w:rsidR="00E87E12">
        <w:t xml:space="preserve">entita </w:t>
      </w:r>
      <w:r w:rsidRPr="00273106">
        <w:t>(</w:t>
      </w:r>
      <w:r w:rsidRPr="00273106">
        <w:rPr>
          <w:i/>
        </w:rPr>
        <w:t>sensus tantum est particularium</w:t>
      </w:r>
      <w:r w:rsidRPr="00273106">
        <w:t xml:space="preserve">). Nelze poznávat jinak, protože univerzália </w:t>
      </w:r>
      <w:r>
        <w:fldChar w:fldCharType="begin"/>
      </w:r>
      <w:r>
        <w:instrText xml:space="preserve"> XE "</w:instrText>
      </w:r>
      <w:r w:rsidRPr="00D21087">
        <w:instrText>spor o univerzália</w:instrText>
      </w:r>
      <w:r>
        <w:instrText xml:space="preserve">" </w:instrText>
      </w:r>
      <w:r>
        <w:fldChar w:fldCharType="end"/>
      </w:r>
      <w:r w:rsidRPr="00273106">
        <w:t>neexistují na úrovni reálné první substance (</w:t>
      </w:r>
      <w:r w:rsidRPr="00273106">
        <w:rPr>
          <w:i/>
        </w:rPr>
        <w:t>quia non est in re</w:t>
      </w:r>
      <w:r w:rsidRPr="00273106">
        <w:t xml:space="preserve">). </w:t>
      </w:r>
      <w:r>
        <w:t xml:space="preserve">Inteligibilní </w:t>
      </w:r>
      <w:r w:rsidR="00962190">
        <w:rPr>
          <w:i/>
        </w:rPr>
        <w:t>species</w:t>
      </w:r>
      <w:r w:rsidRPr="00273106">
        <w:t xml:space="preserve"> vzniká až díky receptivitě univerzálního intelektu ak</w:t>
      </w:r>
      <w:r>
        <w:t>tivovaného aktualitou smyslové</w:t>
      </w:r>
      <w:r w:rsidRPr="00273106">
        <w:t xml:space="preserve"> </w:t>
      </w:r>
      <w:r w:rsidR="00962190">
        <w:rPr>
          <w:i/>
        </w:rPr>
        <w:t>species</w:t>
      </w:r>
      <w:r w:rsidRPr="00273106">
        <w:t>. Nasvícení smyslu jsoucna</w:t>
      </w:r>
      <w:r w:rsidRPr="00E63267">
        <w:t xml:space="preserve"> </w:t>
      </w:r>
      <w:r w:rsidRPr="00273106">
        <w:t>běží z reality</w:t>
      </w:r>
      <w:r>
        <w:t>, a tím i determinace poznání</w:t>
      </w:r>
      <w:r w:rsidRPr="00273106">
        <w:t xml:space="preserve">. </w:t>
      </w:r>
      <w:r>
        <w:t xml:space="preserve">Protože osoba jako Sokrates a </w:t>
      </w:r>
      <w:r>
        <w:lastRenderedPageBreak/>
        <w:t xml:space="preserve">Sortes reálně existuje či existovala, pak dána i impozice významu slova „člověk“, vzhledem k jejich existenci. </w:t>
      </w:r>
      <w:r w:rsidR="00EC5CAD">
        <w:t>I</w:t>
      </w:r>
      <w:r w:rsidR="00EC5CAD" w:rsidRPr="00273106">
        <w:t xml:space="preserve">ndividuální a aktuální </w:t>
      </w:r>
      <w:r w:rsidR="00962190">
        <w:rPr>
          <w:i/>
        </w:rPr>
        <w:t>species</w:t>
      </w:r>
      <w:r w:rsidR="00EC5CAD">
        <w:t xml:space="preserve"> daná</w:t>
      </w:r>
      <w:r w:rsidR="00EC5CAD" w:rsidRPr="00273106">
        <w:t xml:space="preserve"> </w:t>
      </w:r>
      <w:r w:rsidR="00EC5CAD">
        <w:t xml:space="preserve">materiálním poznáním skrze </w:t>
      </w:r>
      <w:r w:rsidR="00EC5CAD" w:rsidRPr="00273106">
        <w:t>smysl</w:t>
      </w:r>
      <w:r w:rsidR="00EC5CAD">
        <w:t>y vytvářejí základ pro i</w:t>
      </w:r>
      <w:r>
        <w:t>mpozic</w:t>
      </w:r>
      <w:r w:rsidR="00EC5CAD">
        <w:t>i</w:t>
      </w:r>
      <w:r>
        <w:t xml:space="preserve"> </w:t>
      </w:r>
      <w:r w:rsidR="00EC5CAD">
        <w:t>potenciálního a univerzálního významu v intelektu</w:t>
      </w:r>
      <w:r>
        <w:t>.</w:t>
      </w:r>
    </w:p>
    <w:p w:rsidR="08163013" w:rsidRPr="00273106" w:rsidRDefault="08163013" w:rsidP="08163013">
      <w:r>
        <w:tab/>
        <w:t>O</w:t>
      </w:r>
      <w:r w:rsidRPr="00273106">
        <w:t xml:space="preserve">brana </w:t>
      </w:r>
      <w:r w:rsidR="007B7F40" w:rsidRPr="00273106">
        <w:t xml:space="preserve">pravdy </w:t>
      </w:r>
      <w:r w:rsidR="007B7F40">
        <w:t xml:space="preserve">jako aristotelské </w:t>
      </w:r>
      <w:r w:rsidRPr="00273106">
        <w:t>adekva</w:t>
      </w:r>
      <w:r w:rsidR="007B7F40">
        <w:t xml:space="preserve">ce </w:t>
      </w:r>
      <w:r w:rsidRPr="00273106">
        <w:t xml:space="preserve">pojetí vychází z rozdílu </w:t>
      </w:r>
      <w:r>
        <w:t>mezi univerzálním</w:t>
      </w:r>
      <w:r w:rsidRPr="00273106">
        <w:t xml:space="preserve"> poznání</w:t>
      </w:r>
      <w:r>
        <w:t>m intelektu a singulárním</w:t>
      </w:r>
      <w:r w:rsidRPr="00273106">
        <w:t xml:space="preserve"> poznání</w:t>
      </w:r>
      <w:r>
        <w:t>m smyslů. A</w:t>
      </w:r>
      <w:r w:rsidRPr="00273106">
        <w:t xml:space="preserve">le </w:t>
      </w:r>
      <w:r>
        <w:t xml:space="preserve">tento rozdíl není dán ve formě nepřekročitelného moderního dualismu, jak to </w:t>
      </w:r>
      <w:r w:rsidRPr="00273106">
        <w:t>měl druhý averroismus od Bona</w:t>
      </w:r>
      <w:r w:rsidR="004D28E1">
        <w:t>ventury a Aegidia Romana (kap. 4</w:t>
      </w:r>
      <w:r w:rsidRPr="00273106">
        <w:t xml:space="preserve">.3.2). Nasvícení jsoucna zezadu </w:t>
      </w:r>
      <w:r>
        <w:t xml:space="preserve">skrze avicennovské </w:t>
      </w:r>
      <w:r w:rsidRPr="00D16BB0">
        <w:rPr>
          <w:i/>
        </w:rPr>
        <w:t>denudatio</w:t>
      </w:r>
      <w:r>
        <w:rPr>
          <w:i/>
        </w:rPr>
        <w:fldChar w:fldCharType="begin"/>
      </w:r>
      <w:r>
        <w:instrText xml:space="preserve"> XE "</w:instrText>
      </w:r>
      <w:r w:rsidRPr="00D9245D">
        <w:instrText>abstrakce:Ockham</w:instrText>
      </w:r>
      <w:r>
        <w:instrText xml:space="preserve">" </w:instrText>
      </w:r>
      <w:r>
        <w:rPr>
          <w:i/>
        </w:rPr>
        <w:fldChar w:fldCharType="end"/>
      </w:r>
      <w:r>
        <w:t xml:space="preserve"> </w:t>
      </w:r>
      <w:r w:rsidRPr="00273106">
        <w:t xml:space="preserve">znemožňuje proces </w:t>
      </w:r>
      <w:r>
        <w:t>aristotelské abstrakce a ruší pojetí pravdy jako adekvace</w:t>
      </w:r>
      <w:r w:rsidRPr="00273106">
        <w:t xml:space="preserve">. Intelekt je pak pohybován vlastními výtvory. Oxfordský </w:t>
      </w:r>
      <w:r>
        <w:t xml:space="preserve">filosof </w:t>
      </w:r>
      <w:r w:rsidRPr="00273106">
        <w:t xml:space="preserve">vysvětluje </w:t>
      </w:r>
      <w:r>
        <w:t xml:space="preserve">tehdy vládnoucím sofistickým </w:t>
      </w:r>
      <w:r w:rsidRPr="00273106">
        <w:t>modernistům, že rozdíl mezi oběma druhy poznání není dán jako nepř</w:t>
      </w:r>
      <w:r>
        <w:t xml:space="preserve">ekročitelný dualismus, který moderna </w:t>
      </w:r>
      <w:r w:rsidRPr="00273106">
        <w:t xml:space="preserve">překonává zavedením jsoucen třetího druhu. Rozdíl mezi oběma mody poznání se týká aktuální danosti první substance a jejího akcidentálního a potenciálního poznání v řádu univerzality. </w:t>
      </w:r>
      <w:r>
        <w:t>Vraťme se k polemice ohledně poznání běloby podle Scotovy objektivity a Husserlovy noematické inexistence objektivního vý</w:t>
      </w:r>
      <w:r w:rsidR="004D28E1">
        <w:t>znamu „běloby“ ve vědomí (kap. 5</w:t>
      </w:r>
      <w:r>
        <w:t xml:space="preserve">.3.3). </w:t>
      </w:r>
      <w:r w:rsidRPr="00273106">
        <w:t xml:space="preserve">Ockham využívá rozdílu mezi </w:t>
      </w:r>
      <w:r w:rsidR="00962190">
        <w:rPr>
          <w:i/>
        </w:rPr>
        <w:t>species</w:t>
      </w:r>
      <w:r w:rsidRPr="00273106">
        <w:rPr>
          <w:i/>
        </w:rPr>
        <w:t xml:space="preserve"> sen</w:t>
      </w:r>
      <w:r>
        <w:rPr>
          <w:i/>
        </w:rPr>
        <w:t>si</w:t>
      </w:r>
      <w:r w:rsidRPr="00273106">
        <w:rPr>
          <w:i/>
        </w:rPr>
        <w:t>bilis</w:t>
      </w:r>
      <w:r>
        <w:rPr>
          <w:i/>
        </w:rPr>
        <w:fldChar w:fldCharType="begin"/>
      </w:r>
      <w:r>
        <w:instrText xml:space="preserve"> XE "</w:instrText>
      </w:r>
      <w:r w:rsidRPr="00374FA1">
        <w:rPr>
          <w:i/>
        </w:rPr>
        <w:instrText>species sensibilis</w:instrText>
      </w:r>
      <w:r>
        <w:instrText xml:space="preserve">" </w:instrText>
      </w:r>
      <w:r>
        <w:rPr>
          <w:i/>
        </w:rPr>
        <w:fldChar w:fldCharType="end"/>
      </w:r>
      <w:r w:rsidRPr="00273106">
        <w:t xml:space="preserve"> a </w:t>
      </w:r>
      <w:r w:rsidRPr="00273106">
        <w:rPr>
          <w:i/>
        </w:rPr>
        <w:t>intelligibilis</w:t>
      </w:r>
      <w:r w:rsidRPr="00273106">
        <w:t xml:space="preserve"> k tomu, aby ukázal nesmyslnost myšlení </w:t>
      </w:r>
      <w:r w:rsidRPr="00273106">
        <w:rPr>
          <w:i/>
        </w:rPr>
        <w:t>Modernorum</w:t>
      </w:r>
      <w:r w:rsidRPr="00273106">
        <w:t xml:space="preserve">. </w:t>
      </w:r>
      <w:r>
        <w:t xml:space="preserve">Esence běloby </w:t>
      </w:r>
      <w:r w:rsidRPr="00273106">
        <w:t xml:space="preserve">není </w:t>
      </w:r>
      <w:r>
        <w:t>„</w:t>
      </w:r>
      <w:r w:rsidRPr="00273106">
        <w:t>reálná</w:t>
      </w:r>
      <w:r>
        <w:t>“</w:t>
      </w:r>
      <w:r w:rsidRPr="00273106">
        <w:t xml:space="preserve"> </w:t>
      </w:r>
      <w:r>
        <w:t xml:space="preserve">či „objektivní“ </w:t>
      </w:r>
      <w:r w:rsidRPr="00273106">
        <w:t>přítomnost barvy na aktuálním substrátu („bílé auto“). Pro poznání plat</w:t>
      </w:r>
      <w:r>
        <w:t xml:space="preserve">í, že jen reálně </w:t>
      </w:r>
      <w:r w:rsidRPr="00273106">
        <w:t>daná první substance zakládá svou aktualitou poznání běloby. Nemůžeme poznávat opačně, tedy od potenciálně dané abstrakce v mysli („běloba</w:t>
      </w:r>
      <w:r>
        <w:fldChar w:fldCharType="begin"/>
      </w:r>
      <w:r>
        <w:instrText xml:space="preserve"> XE "</w:instrText>
      </w:r>
      <w:r w:rsidRPr="00C0177F">
        <w:instrText>predikace:běloba</w:instrText>
      </w:r>
      <w:r>
        <w:instrText xml:space="preserve">" </w:instrText>
      </w:r>
      <w:r>
        <w:fldChar w:fldCharType="end"/>
      </w:r>
      <w:r w:rsidRPr="00273106">
        <w:t>“) směrem k reálné věci („bílé auto“).</w:t>
      </w:r>
      <w:r>
        <w:t xml:space="preserve"> </w:t>
      </w:r>
      <w:r w:rsidRPr="00273106">
        <w:t>Ockham jednoznačně odmítl schéma nasvícení smyslu jsoucna zezadu</w:t>
      </w:r>
      <w:r>
        <w:t>, který hájili scotisté a moderní porretáni</w:t>
      </w:r>
      <w:r w:rsidRPr="00273106">
        <w:t>.</w:t>
      </w:r>
    </w:p>
    <w:p w:rsidR="08163013" w:rsidRPr="00AF517D" w:rsidRDefault="08163013" w:rsidP="08163013">
      <w:pPr>
        <w:pStyle w:val="Citace"/>
        <w:rPr>
          <w:noProof/>
          <w:lang w:val="cs-CZ"/>
        </w:rPr>
      </w:pPr>
      <w:r w:rsidRPr="00273106">
        <w:rPr>
          <w:noProof/>
          <w:lang w:val="cs-CZ"/>
        </w:rPr>
        <w:t>„</w:t>
      </w:r>
      <w:r>
        <w:rPr>
          <w:noProof/>
          <w:lang w:val="cs-CZ"/>
        </w:rPr>
        <w:t xml:space="preserve">Dále podle nich platí, že možný intelekt vede k poznání pouze a jedině inteligibilní </w:t>
      </w:r>
      <w:r w:rsidR="00962190">
        <w:rPr>
          <w:i/>
          <w:noProof/>
          <w:lang w:val="cs-CZ"/>
        </w:rPr>
        <w:t>species</w:t>
      </w:r>
      <w:r>
        <w:rPr>
          <w:noProof/>
          <w:lang w:val="cs-CZ"/>
        </w:rPr>
        <w:t xml:space="preserve"> a činný intelekt (</w:t>
      </w:r>
      <w:r w:rsidR="00962190">
        <w:rPr>
          <w:i/>
          <w:noProof/>
        </w:rPr>
        <w:t>species</w:t>
      </w:r>
      <w:r w:rsidRPr="003A4CFF">
        <w:rPr>
          <w:i/>
          <w:noProof/>
        </w:rPr>
        <w:t xml:space="preserve"> intelligibilis et intellectus agens</w:t>
      </w:r>
      <w:r w:rsidR="002D2E26">
        <w:rPr>
          <w:noProof/>
          <w:lang w:val="cs-CZ"/>
        </w:rPr>
        <w:t xml:space="preserve">). Ale tato </w:t>
      </w:r>
      <w:r w:rsidR="00962190">
        <w:rPr>
          <w:i/>
          <w:noProof/>
          <w:lang w:val="cs-CZ"/>
        </w:rPr>
        <w:t>species</w:t>
      </w:r>
      <w:r w:rsidR="002D2E26">
        <w:rPr>
          <w:noProof/>
          <w:lang w:val="cs-CZ"/>
        </w:rPr>
        <w:t xml:space="preserve"> </w:t>
      </w:r>
      <w:r>
        <w:rPr>
          <w:noProof/>
          <w:lang w:val="cs-CZ"/>
        </w:rPr>
        <w:t xml:space="preserve">nejsou ve vlastním slova smyslu předmětem poznání pro receptivní intelekt, protože jsou něčím jiným a </w:t>
      </w:r>
      <w:r w:rsidR="0086444C">
        <w:rPr>
          <w:noProof/>
          <w:lang w:val="cs-CZ"/>
        </w:rPr>
        <w:t xml:space="preserve">představují </w:t>
      </w:r>
      <w:r>
        <w:rPr>
          <w:noProof/>
          <w:lang w:val="cs-CZ"/>
        </w:rPr>
        <w:t>předmět poznání v jiném smyslu.“ </w:t>
      </w:r>
      <w:r>
        <w:rPr>
          <w:rStyle w:val="Znakapoznpodarou"/>
        </w:rPr>
        <w:footnoteReference w:id="494"/>
      </w:r>
    </w:p>
    <w:p w:rsidR="08163013" w:rsidRDefault="08163013" w:rsidP="08163013">
      <w:r w:rsidRPr="00273106">
        <w:t>Podle představitelů druhého averroismu (</w:t>
      </w:r>
      <w:r w:rsidRPr="00273106">
        <w:rPr>
          <w:i/>
        </w:rPr>
        <w:t>secundum istos</w:t>
      </w:r>
      <w:r w:rsidRPr="00273106">
        <w:t xml:space="preserve">) </w:t>
      </w:r>
      <w:r>
        <w:t>je intelekt aktualizován</w:t>
      </w:r>
      <w:r w:rsidRPr="00273106">
        <w:t xml:space="preserve"> </w:t>
      </w:r>
      <w:r>
        <w:t>mimo smyslově poznanou první substanci</w:t>
      </w:r>
      <w:r w:rsidRPr="00273106">
        <w:t xml:space="preserve">. Pak </w:t>
      </w:r>
      <w:r>
        <w:t xml:space="preserve">platí, že </w:t>
      </w:r>
      <w:r w:rsidRPr="00273106">
        <w:rPr>
          <w:i/>
        </w:rPr>
        <w:t>intellectus possibilis</w:t>
      </w:r>
      <w:r w:rsidRPr="00273106">
        <w:t xml:space="preserve"> není determinován smyslovými </w:t>
      </w:r>
      <w:r w:rsidR="00962190">
        <w:rPr>
          <w:i/>
        </w:rPr>
        <w:t>species</w:t>
      </w:r>
      <w:r w:rsidRPr="00273106">
        <w:t xml:space="preserve">, ale inteligibilními </w:t>
      </w:r>
      <w:r w:rsidR="00962190">
        <w:rPr>
          <w:i/>
        </w:rPr>
        <w:t>species</w:t>
      </w:r>
      <w:r w:rsidRPr="00273106">
        <w:t xml:space="preserve"> daným</w:t>
      </w:r>
      <w:r w:rsidR="00171525">
        <w:t>i směrem od aktivního intelektu</w:t>
      </w:r>
      <w:r w:rsidRPr="00273106">
        <w:t>.</w:t>
      </w:r>
      <w:r>
        <w:t xml:space="preserve"> Klíčová část kritiky se týká pojetí </w:t>
      </w:r>
      <w:r w:rsidR="005B1B6E">
        <w:t>„</w:t>
      </w:r>
      <w:r w:rsidR="00501A30">
        <w:rPr>
          <w:i/>
        </w:rPr>
        <w:t>in</w:t>
      </w:r>
      <w:r w:rsidRPr="08E83002">
        <w:rPr>
          <w:i/>
        </w:rPr>
        <w:t>mediate</w:t>
      </w:r>
      <w:r w:rsidR="005B1B6E">
        <w:t>“</w:t>
      </w:r>
      <w:r>
        <w:t xml:space="preserve">, protože oba prvky změnily aristotelské pojetí poznání </w:t>
      </w:r>
      <w:r>
        <w:lastRenderedPageBreak/>
        <w:t>(</w:t>
      </w:r>
      <w:r w:rsidRPr="00273106">
        <w:rPr>
          <w:i/>
        </w:rPr>
        <w:t>movet intellectum possibilem ad intellectionem immediate</w:t>
      </w:r>
      <w:r>
        <w:t xml:space="preserve">). Citát přesně vidí základní vědecký omyl </w:t>
      </w:r>
      <w:r w:rsidRPr="08AF3EA3">
        <w:rPr>
          <w:i/>
        </w:rPr>
        <w:t>Modernorum</w:t>
      </w:r>
      <w:r>
        <w:t xml:space="preserve"> daný v analytickém pojetí principu </w:t>
      </w:r>
      <w:r w:rsidR="00A34950">
        <w:t>„</w:t>
      </w:r>
      <w:r w:rsidR="00A34950">
        <w:rPr>
          <w:i/>
        </w:rPr>
        <w:t>in</w:t>
      </w:r>
      <w:r w:rsidRPr="08AF3EA3">
        <w:rPr>
          <w:i/>
        </w:rPr>
        <w:t>mediate</w:t>
      </w:r>
      <w:r w:rsidR="00A34950">
        <w:t>“</w:t>
      </w:r>
      <w:r>
        <w:t xml:space="preserve"> chápaného nasvícením ze</w:t>
      </w:r>
      <w:r w:rsidR="00DD489D">
        <w:t>zadu</w:t>
      </w:r>
      <w:r w:rsidR="00A34950">
        <w:t>,</w:t>
      </w:r>
      <w:r w:rsidR="00DD489D">
        <w:t xml:space="preserve"> od hypostázovaných</w:t>
      </w:r>
      <w:r>
        <w:t xml:space="preserve"> </w:t>
      </w:r>
      <w:r w:rsidR="00DD489D">
        <w:t>esencí</w:t>
      </w:r>
      <w:r>
        <w:t>. P</w:t>
      </w:r>
      <w:r w:rsidRPr="00273106">
        <w:t xml:space="preserve">oznání zakládá </w:t>
      </w:r>
      <w:r>
        <w:t>aktuální</w:t>
      </w:r>
      <w:r w:rsidRPr="00273106">
        <w:t xml:space="preserve"> </w:t>
      </w:r>
      <w:r w:rsidRPr="00273106">
        <w:rPr>
          <w:i/>
        </w:rPr>
        <w:t>intellectus agens</w:t>
      </w:r>
      <w:r w:rsidRPr="00273106">
        <w:t xml:space="preserve">, který disponuje a manipuluje s již danými </w:t>
      </w:r>
      <w:r w:rsidR="00962190" w:rsidRPr="00A34950">
        <w:t>species</w:t>
      </w:r>
      <w:r w:rsidRPr="00273106">
        <w:t xml:space="preserve">, které jsou buď „reálně“ či „objektivně“ ve věcech nebo habituálně uložené v </w:t>
      </w:r>
      <w:r>
        <w:t xml:space="preserve">moderní </w:t>
      </w:r>
      <w:r w:rsidRPr="00273106">
        <w:t>paměti</w:t>
      </w:r>
      <w:r>
        <w:t xml:space="preserve"> jako </w:t>
      </w:r>
      <w:r w:rsidRPr="084F30EF">
        <w:rPr>
          <w:i/>
        </w:rPr>
        <w:t>locus specierum</w:t>
      </w:r>
      <w:r w:rsidRPr="00273106">
        <w:t xml:space="preserve">. </w:t>
      </w:r>
      <w:r>
        <w:t xml:space="preserve">Poslední věta modernistům připomíná, že intendovaný a abstrahovaný </w:t>
      </w:r>
      <w:r w:rsidR="00962190">
        <w:rPr>
          <w:i/>
        </w:rPr>
        <w:t>species</w:t>
      </w:r>
      <w:r w:rsidRPr="00E17405">
        <w:rPr>
          <w:i/>
        </w:rPr>
        <w:t xml:space="preserve"> intelligibilis</w:t>
      </w:r>
      <w:r>
        <w:rPr>
          <w:i/>
        </w:rPr>
        <w:fldChar w:fldCharType="begin"/>
      </w:r>
      <w:r>
        <w:instrText xml:space="preserve"> XE "</w:instrText>
      </w:r>
      <w:r w:rsidRPr="00DD403C">
        <w:rPr>
          <w:i/>
        </w:rPr>
        <w:instrText>species intelligibilis:</w:instrText>
      </w:r>
      <w:r>
        <w:instrText xml:space="preserve">Ockham" </w:instrText>
      </w:r>
      <w:r>
        <w:rPr>
          <w:i/>
        </w:rPr>
        <w:fldChar w:fldCharType="end"/>
      </w:r>
      <w:r>
        <w:t xml:space="preserve"> a pochopitelně i příslušná aktivní složka intelektu patří do jiné části poznání, než jakou provádí </w:t>
      </w:r>
      <w:r w:rsidRPr="00E17405">
        <w:rPr>
          <w:i/>
        </w:rPr>
        <w:t>intell</w:t>
      </w:r>
      <w:r>
        <w:rPr>
          <w:i/>
        </w:rPr>
        <w:t>e</w:t>
      </w:r>
      <w:r w:rsidRPr="00E17405">
        <w:rPr>
          <w:i/>
        </w:rPr>
        <w:t>ctus possibilis</w:t>
      </w:r>
      <w:r>
        <w:t xml:space="preserve">. </w:t>
      </w:r>
      <w:r w:rsidR="00501A30">
        <w:t xml:space="preserve">Receptivní intelekt </w:t>
      </w:r>
      <w:r w:rsidR="00501A30" w:rsidRPr="00273106">
        <w:t>přij</w:t>
      </w:r>
      <w:r w:rsidR="00501A30">
        <w:t>ímá</w:t>
      </w:r>
      <w:r w:rsidR="00501A30" w:rsidRPr="00273106">
        <w:t xml:space="preserve"> smyslová </w:t>
      </w:r>
      <w:r w:rsidR="00962190" w:rsidRPr="00A34950">
        <w:t>species</w:t>
      </w:r>
      <w:r w:rsidR="00501A30" w:rsidRPr="00273106">
        <w:t xml:space="preserve"> v rámci první intence, zatímco aktivní intelekt pracuje </w:t>
      </w:r>
      <w:r w:rsidR="00501A30">
        <w:t xml:space="preserve">s </w:t>
      </w:r>
      <w:r w:rsidR="00501A30" w:rsidRPr="00273106">
        <w:t>abstrahovanými entitami, kte</w:t>
      </w:r>
      <w:r w:rsidR="00501A30">
        <w:t>ré mezi sebou porovnává jako předměty poznání</w:t>
      </w:r>
      <w:r w:rsidR="00501A30" w:rsidRPr="00273106">
        <w:t xml:space="preserve">. </w:t>
      </w:r>
      <w:r w:rsidRPr="00273106">
        <w:t>Moderní schéma poznání dané</w:t>
      </w:r>
      <w:r>
        <w:t xml:space="preserve"> nasvícením zezadu je nepravdivé, protože nemá recepci obsahu z</w:t>
      </w:r>
      <w:r w:rsidR="00C4591D">
        <w:t xml:space="preserve"> hyparchické </w:t>
      </w:r>
      <w:r>
        <w:t>reality</w:t>
      </w:r>
      <w:r w:rsidR="001B5BFA">
        <w:t xml:space="preserve">; </w:t>
      </w:r>
      <w:r>
        <w:t>proto nemá ani adekvaci intelektu a reality.</w:t>
      </w:r>
      <w:r w:rsidRPr="00273106">
        <w:t xml:space="preserve"> </w:t>
      </w:r>
      <w:r>
        <w:t>S</w:t>
      </w:r>
      <w:r w:rsidRPr="00273106">
        <w:t xml:space="preserve">chéma </w:t>
      </w:r>
      <w:r>
        <w:t xml:space="preserve">známé z Kilwardbyho modelu </w:t>
      </w:r>
      <w:r w:rsidR="001B5BFA">
        <w:t>„</w:t>
      </w:r>
      <w:r w:rsidRPr="00706F4C">
        <w:rPr>
          <w:i/>
        </w:rPr>
        <w:t>inmediate</w:t>
      </w:r>
      <w:r w:rsidR="001B5BFA">
        <w:t>“</w:t>
      </w:r>
      <w:r>
        <w:t xml:space="preserve"> </w:t>
      </w:r>
      <w:r w:rsidRPr="00273106">
        <w:t>by zrušilo princip kauzality, který na naše poznání působí skrze střední člen soudu</w:t>
      </w:r>
      <w:r w:rsidR="0060218F">
        <w:t xml:space="preserve"> (</w:t>
      </w:r>
      <w:r w:rsidR="0060218F" w:rsidRPr="0060218F">
        <w:rPr>
          <w:i/>
        </w:rPr>
        <w:t>medium</w:t>
      </w:r>
      <w:r w:rsidR="0060218F">
        <w:t>)</w:t>
      </w:r>
      <w:r w:rsidRPr="00273106">
        <w:t xml:space="preserve">. Proti nauce Rufuse a dalších modernistů o esenciálně pojatém </w:t>
      </w:r>
      <w:r w:rsidRPr="00273106">
        <w:rPr>
          <w:i/>
        </w:rPr>
        <w:t>medium</w:t>
      </w:r>
      <w:r>
        <w:rPr>
          <w:i/>
        </w:rPr>
        <w:fldChar w:fldCharType="begin"/>
      </w:r>
      <w:r>
        <w:instrText xml:space="preserve"> XE "</w:instrText>
      </w:r>
      <w:r w:rsidRPr="001618A5">
        <w:rPr>
          <w:i/>
        </w:rPr>
        <w:instrText>medium:</w:instrText>
      </w:r>
      <w:r>
        <w:instrText xml:space="preserve">Ockham" </w:instrText>
      </w:r>
      <w:r>
        <w:rPr>
          <w:i/>
        </w:rPr>
        <w:fldChar w:fldCharType="end"/>
      </w:r>
      <w:r w:rsidRPr="00273106">
        <w:t xml:space="preserve"> hájí Ockham pojetí</w:t>
      </w:r>
      <w:r>
        <w:t xml:space="preserve"> poznání v modu </w:t>
      </w:r>
      <w:r w:rsidR="0060218F">
        <w:t>„</w:t>
      </w:r>
      <w:r w:rsidR="08A649EB">
        <w:rPr>
          <w:i/>
        </w:rPr>
        <w:t>ex in</w:t>
      </w:r>
      <w:r w:rsidRPr="086972B8">
        <w:rPr>
          <w:i/>
        </w:rPr>
        <w:t>mediatis</w:t>
      </w:r>
      <w:r w:rsidR="0060218F">
        <w:t>“</w:t>
      </w:r>
      <w:r w:rsidRPr="00273106">
        <w:t>, které známe od Alberta (</w:t>
      </w:r>
      <w:r w:rsidR="00AC10FC">
        <w:t>OBJ II, kap. 2</w:t>
      </w:r>
      <w:r w:rsidRPr="00273106">
        <w:t>.4.1). Středn</w:t>
      </w:r>
      <w:r>
        <w:t xml:space="preserve">í člen soudu musí být v modu </w:t>
      </w:r>
      <w:r w:rsidR="00CB16D8">
        <w:t>„</w:t>
      </w:r>
      <w:r w:rsidR="00CB16D8">
        <w:rPr>
          <w:i/>
        </w:rPr>
        <w:t>ex in</w:t>
      </w:r>
      <w:r w:rsidR="00CB16D8" w:rsidRPr="086972B8">
        <w:rPr>
          <w:i/>
        </w:rPr>
        <w:t>mediatis</w:t>
      </w:r>
      <w:r w:rsidR="00CB16D8">
        <w:t>“</w:t>
      </w:r>
      <w:r>
        <w:rPr>
          <w:i/>
        </w:rPr>
        <w:fldChar w:fldCharType="begin"/>
      </w:r>
      <w:r>
        <w:instrText xml:space="preserve"> XE "</w:instrText>
      </w:r>
      <w:r w:rsidRPr="00D9245D">
        <w:instrText>princ</w:instrText>
      </w:r>
      <w:r>
        <w:instrText>ip</w:instrText>
      </w:r>
      <w:r w:rsidR="08A649EB">
        <w:rPr>
          <w:i/>
        </w:rPr>
        <w:instrText xml:space="preserve"> ex in</w:instrText>
      </w:r>
      <w:r w:rsidRPr="00D05B30">
        <w:rPr>
          <w:i/>
        </w:rPr>
        <w:instrText>mediatis</w:instrText>
      </w:r>
      <w:r>
        <w:instrText xml:space="preserve">" </w:instrText>
      </w:r>
      <w:r>
        <w:rPr>
          <w:i/>
        </w:rPr>
        <w:fldChar w:fldCharType="end"/>
      </w:r>
      <w:r w:rsidRPr="00273106">
        <w:t>, tedy ve vztahu k první</w:t>
      </w:r>
      <w:r w:rsidR="00FA34FD">
        <w:t>m substancím, které zakládají</w:t>
      </w:r>
      <w:r w:rsidRPr="00273106">
        <w:t xml:space="preserve"> působení věcí v reálu. Primát existence (εἰ ἔστι) stojí u Aristotela před esencí (τί ἐστιν) a takto daná existence reálné substance</w:t>
      </w:r>
      <w:r>
        <w:fldChar w:fldCharType="begin"/>
      </w:r>
      <w:r>
        <w:instrText xml:space="preserve"> XE "</w:instrText>
      </w:r>
      <w:r w:rsidRPr="00DE2A32">
        <w:instrText>substance</w:instrText>
      </w:r>
      <w:r>
        <w:instrText xml:space="preserve">:hylemorfická" </w:instrText>
      </w:r>
      <w:r>
        <w:fldChar w:fldCharType="end"/>
      </w:r>
      <w:r w:rsidRPr="00273106">
        <w:t xml:space="preserve"> určuje střední člen </w:t>
      </w:r>
      <w:r>
        <w:t xml:space="preserve">soudu skrze princip kauzality. </w:t>
      </w:r>
      <w:r w:rsidRPr="00273106">
        <w:t xml:space="preserve">Citát přesně obhahuje výše uvedené pořadí axiomů poznání podle </w:t>
      </w:r>
      <w:r w:rsidRPr="087D097F">
        <w:rPr>
          <w:i/>
        </w:rPr>
        <w:t>Druhých analytik</w:t>
      </w:r>
      <w:r w:rsidRPr="00273106">
        <w:t>, které poprvé zaměnil Grosseteste (</w:t>
      </w:r>
      <w:r w:rsidR="00AC10FC">
        <w:t>OBJ II, kap. 3</w:t>
      </w:r>
      <w:r w:rsidRPr="00273106">
        <w:t>.1.1). Působení reálných substancí (</w:t>
      </w:r>
      <w:r w:rsidRPr="00273106">
        <w:rPr>
          <w:i/>
        </w:rPr>
        <w:t>passio</w:t>
      </w:r>
      <w:r w:rsidRPr="00273106">
        <w:t>) nelze nahradit konceptem</w:t>
      </w:r>
      <w:r>
        <w:t xml:space="preserve">, protože se tím zruší princip </w:t>
      </w:r>
      <w:r w:rsidR="081942A4">
        <w:t xml:space="preserve">metafyzického </w:t>
      </w:r>
      <w:r>
        <w:t>dativu</w:t>
      </w:r>
      <w:r w:rsidRPr="00273106">
        <w:t xml:space="preserve">. </w:t>
      </w:r>
      <w:r>
        <w:t xml:space="preserve">Reálná substance je aktuální a jedinečná. Proto určuje pravdivou signifikaci, kde je první substance predikována v minulostním modu a proto univerzálně. </w:t>
      </w:r>
      <w:r w:rsidRPr="00273106">
        <w:t xml:space="preserve">Zatmění </w:t>
      </w:r>
      <w:r>
        <w:t xml:space="preserve">slunce je </w:t>
      </w:r>
      <w:r w:rsidRPr="00273106">
        <w:t xml:space="preserve">zatmění reálného </w:t>
      </w:r>
      <w:r>
        <w:t>slunce, a ne zatmění esence slunce</w:t>
      </w:r>
      <w:r w:rsidR="002D0843">
        <w:t>, jak to měl Rufus (OBJ II, kap. 3</w:t>
      </w:r>
      <w:r w:rsidRPr="00273106">
        <w:t>.3.1)</w:t>
      </w:r>
      <w:r>
        <w:t xml:space="preserve"> a po něm Kil</w:t>
      </w:r>
      <w:r w:rsidRPr="00273106">
        <w:t>wardby (</w:t>
      </w:r>
      <w:r w:rsidR="002D0843">
        <w:t>OBJ II, kap. 3</w:t>
      </w:r>
      <w:r w:rsidRPr="00273106">
        <w:t>.4.1)</w:t>
      </w:r>
      <w:r w:rsidR="002D0843">
        <w:t xml:space="preserve"> a Scotus (kap. 5</w:t>
      </w:r>
      <w:r>
        <w:t>.3.2)</w:t>
      </w:r>
      <w:r w:rsidRPr="00273106">
        <w:t xml:space="preserve">. </w:t>
      </w:r>
      <w:r>
        <w:t xml:space="preserve">Předešlé matrice objektivity ukázaly, že </w:t>
      </w:r>
      <w:r w:rsidRPr="00273106">
        <w:rPr>
          <w:i/>
        </w:rPr>
        <w:t>Oxfordian Fallacy</w:t>
      </w:r>
      <w:r>
        <w:t xml:space="preserve"> klíčový princip </w:t>
      </w:r>
      <w:r w:rsidR="002E18C6">
        <w:t>„</w:t>
      </w:r>
      <w:r w:rsidR="00E24CA6" w:rsidRPr="00FF0296">
        <w:rPr>
          <w:i/>
          <w:szCs w:val="24"/>
          <w:lang w:val="de-DE"/>
        </w:rPr>
        <w:t>ex inmediatis</w:t>
      </w:r>
      <w:r w:rsidR="002E18C6">
        <w:rPr>
          <w:szCs w:val="24"/>
          <w:lang w:val="de-DE"/>
        </w:rPr>
        <w:t>“</w:t>
      </w:r>
      <w:r w:rsidR="00E24CA6">
        <w:rPr>
          <w:i/>
          <w:szCs w:val="24"/>
          <w:lang w:val="de-DE"/>
        </w:rPr>
        <w:t xml:space="preserve"> </w:t>
      </w:r>
      <w:r w:rsidRPr="00273106">
        <w:t>nezahrnula do definice středního členu soudu</w:t>
      </w:r>
      <w:r w:rsidR="002E18C6">
        <w:t xml:space="preserve">. Modernisté </w:t>
      </w:r>
      <w:r w:rsidRPr="00273106">
        <w:t>nech</w:t>
      </w:r>
      <w:r w:rsidR="002E18C6">
        <w:t xml:space="preserve">ávají </w:t>
      </w:r>
      <w:r w:rsidRPr="00273106">
        <w:t>existenci první substance platit pouze formálně</w:t>
      </w:r>
      <w:r w:rsidR="002E18C6">
        <w:t>, na základě essencialistické definice</w:t>
      </w:r>
      <w:r w:rsidRPr="00273106">
        <w:t xml:space="preserve">. </w:t>
      </w:r>
      <w:r w:rsidR="002E18C6">
        <w:t xml:space="preserve">Takové určení </w:t>
      </w:r>
      <w:r w:rsidRPr="00273106">
        <w:t xml:space="preserve">středního členu </w:t>
      </w:r>
      <w:r w:rsidR="002E18C6">
        <w:t xml:space="preserve">syllogismu </w:t>
      </w:r>
      <w:r w:rsidRPr="00273106">
        <w:t>podle druhého averroismu (</w:t>
      </w:r>
      <w:r w:rsidRPr="00273106">
        <w:rPr>
          <w:i/>
        </w:rPr>
        <w:t>de qua iste loquitur</w:t>
      </w:r>
      <w:r w:rsidRPr="00273106">
        <w:t>) je nesmysl.</w:t>
      </w:r>
      <w:r>
        <w:t xml:space="preserve"> Následující citát vidí tento omyl ve Scotově metafyzice odvozené od Rufusovy </w:t>
      </w:r>
      <w:r w:rsidR="00A37DED">
        <w:lastRenderedPageBreak/>
        <w:t xml:space="preserve">metafyziky </w:t>
      </w:r>
      <w:r>
        <w:t>esence</w:t>
      </w:r>
      <w:r w:rsidR="00A37DED">
        <w:t xml:space="preserve">. Ta </w:t>
      </w:r>
      <w:r>
        <w:t>působí jako kauzální činitel ve střed</w:t>
      </w:r>
      <w:r w:rsidR="00A37DED">
        <w:t>ním členu demonstrativního důkazu</w:t>
      </w:r>
      <w:r>
        <w:t>.</w:t>
      </w:r>
    </w:p>
    <w:p w:rsidR="08163013" w:rsidRDefault="08163013" w:rsidP="08163013">
      <w:pPr>
        <w:pStyle w:val="Citace"/>
      </w:pPr>
      <w:r w:rsidRPr="00273106">
        <w:rPr>
          <w:noProof/>
          <w:lang w:val="cs-CZ"/>
        </w:rPr>
        <w:t>„</w:t>
      </w:r>
      <w:r>
        <w:t>Vzhledem k oddělené</w:t>
      </w:r>
      <w:r>
        <w:rPr>
          <w:lang w:val="cs-CZ"/>
        </w:rPr>
        <w:t xml:space="preserve"> </w:t>
      </w:r>
      <w:r>
        <w:t>věci při</w:t>
      </w:r>
      <w:r>
        <w:rPr>
          <w:lang w:val="cs-CZ"/>
        </w:rPr>
        <w:t>v</w:t>
      </w:r>
      <w:r>
        <w:t>e</w:t>
      </w:r>
      <w:r>
        <w:rPr>
          <w:lang w:val="cs-CZ"/>
        </w:rPr>
        <w:t>d</w:t>
      </w:r>
      <w:r>
        <w:t xml:space="preserve">ené </w:t>
      </w:r>
      <w:r>
        <w:rPr>
          <w:lang w:val="cs-CZ"/>
        </w:rPr>
        <w:t xml:space="preserve">skrze svůj reálný účinek </w:t>
      </w:r>
      <w:r>
        <w:t xml:space="preserve">do poznání </w:t>
      </w:r>
      <w:r>
        <w:rPr>
          <w:lang w:val="cs-CZ"/>
        </w:rPr>
        <w:t>(</w:t>
      </w:r>
      <w:r w:rsidRPr="00E81420">
        <w:rPr>
          <w:i/>
          <w:noProof/>
        </w:rPr>
        <w:t>rei absolutae importatae per passionem</w:t>
      </w:r>
      <w:r>
        <w:rPr>
          <w:lang w:val="cs-CZ"/>
        </w:rPr>
        <w:t xml:space="preserve">) </w:t>
      </w:r>
      <w:r>
        <w:t xml:space="preserve">neexistuje jiná reálná kauza než vnější, protože jen ta </w:t>
      </w:r>
      <w:r>
        <w:rPr>
          <w:lang w:val="cs-CZ"/>
        </w:rPr>
        <w:t xml:space="preserve">je </w:t>
      </w:r>
      <w:r>
        <w:t xml:space="preserve">dána v jednoduchém bytí </w:t>
      </w:r>
      <w:r>
        <w:rPr>
          <w:lang w:val="cs-CZ"/>
        </w:rPr>
        <w:t xml:space="preserve">reálné </w:t>
      </w:r>
      <w:r>
        <w:t xml:space="preserve">věci. </w:t>
      </w:r>
      <w:r>
        <w:rPr>
          <w:lang w:val="cs-CZ"/>
        </w:rPr>
        <w:t>V</w:t>
      </w:r>
      <w:r>
        <w:t>ědecké poznání založené na středním členu soudu je determinováno vnější příčinou. Proto nemůže být pouze formálním určením, jak tvrdí</w:t>
      </w:r>
      <w:r>
        <w:rPr>
          <w:lang w:val="cs-CZ"/>
        </w:rPr>
        <w:t xml:space="preserve"> Scotus</w:t>
      </w:r>
      <w:r w:rsidR="00236148">
        <w:rPr>
          <w:lang w:val="cs-CZ"/>
        </w:rPr>
        <w:t xml:space="preserve"> </w:t>
      </w:r>
      <w:r w:rsidR="00236148">
        <w:t>(</w:t>
      </w:r>
      <w:r w:rsidR="00236148" w:rsidRPr="002B2CA6">
        <w:rPr>
          <w:i/>
        </w:rPr>
        <w:t>iste</w:t>
      </w:r>
      <w:r w:rsidR="00236148">
        <w:t>)</w:t>
      </w:r>
      <w:r>
        <w:t>.“</w:t>
      </w:r>
      <w:r>
        <w:rPr>
          <w:lang w:val="cs-CZ"/>
        </w:rPr>
        <w:t> </w:t>
      </w:r>
      <w:r>
        <w:rPr>
          <w:rStyle w:val="Znakapoznpodarou"/>
        </w:rPr>
        <w:footnoteReference w:id="495"/>
      </w:r>
    </w:p>
    <w:p w:rsidR="00105ADC" w:rsidRDefault="08163013" w:rsidP="08163013">
      <w:r>
        <w:t>N</w:t>
      </w:r>
      <w:r w:rsidRPr="00273106">
        <w:t xml:space="preserve">a naše poznání působí </w:t>
      </w:r>
      <w:r>
        <w:t xml:space="preserve">skrze smyslovou zkušenost </w:t>
      </w:r>
      <w:r w:rsidRPr="00273106">
        <w:t>reálně a extrinsece daný účinek prvních substancí mezi sebou (</w:t>
      </w:r>
      <w:r w:rsidRPr="00273106">
        <w:rPr>
          <w:i/>
        </w:rPr>
        <w:t>non est alia causa realis nisi extrinseca</w:t>
      </w:r>
      <w:r w:rsidRPr="00273106">
        <w:t>)</w:t>
      </w:r>
      <w:r>
        <w:t xml:space="preserve">. Kauzalitu a její účinek na poznání </w:t>
      </w:r>
      <w:r w:rsidRPr="00273106">
        <w:t xml:space="preserve">nelze </w:t>
      </w:r>
      <w:r w:rsidR="002C326D">
        <w:t xml:space="preserve">nahradit </w:t>
      </w:r>
      <w:r>
        <w:t>žádným konceptem</w:t>
      </w:r>
      <w:r w:rsidRPr="00273106">
        <w:t>, protože první substance, a tím i její primární působení, existuje absolutně jednoduše (</w:t>
      </w:r>
      <w:r w:rsidRPr="00273106">
        <w:rPr>
          <w:i/>
        </w:rPr>
        <w:t>propter simplicitatem ipsius</w:t>
      </w:r>
      <w:r w:rsidRPr="00273106">
        <w:t>).</w:t>
      </w:r>
      <w:r w:rsidRPr="00130104">
        <w:t xml:space="preserve"> </w:t>
      </w:r>
      <w:r w:rsidR="005E5208">
        <w:t>S</w:t>
      </w:r>
      <w:r w:rsidRPr="00273106">
        <w:t xml:space="preserve">třední člen soudu </w:t>
      </w:r>
      <w:r w:rsidR="005E5208">
        <w:t xml:space="preserve">predikuje </w:t>
      </w:r>
      <w:r>
        <w:t>univerzální definici</w:t>
      </w:r>
      <w:r w:rsidRPr="00273106">
        <w:t xml:space="preserve"> kauzality </w:t>
      </w:r>
      <w:r>
        <w:t>(</w:t>
      </w:r>
      <w:r w:rsidRPr="00273106">
        <w:rPr>
          <w:i/>
        </w:rPr>
        <w:t>definitio, quae est medium</w:t>
      </w:r>
      <w:r>
        <w:rPr>
          <w:i/>
        </w:rPr>
        <w:fldChar w:fldCharType="begin"/>
      </w:r>
      <w:r>
        <w:instrText xml:space="preserve"> XE "</w:instrText>
      </w:r>
      <w:r w:rsidRPr="001618A5">
        <w:rPr>
          <w:i/>
        </w:rPr>
        <w:instrText>medium:</w:instrText>
      </w:r>
      <w:r>
        <w:instrText xml:space="preserve">Ockham" </w:instrText>
      </w:r>
      <w:r>
        <w:rPr>
          <w:i/>
        </w:rPr>
        <w:fldChar w:fldCharType="end"/>
      </w:r>
      <w:r>
        <w:t xml:space="preserve">) </w:t>
      </w:r>
      <w:r w:rsidR="005E5208">
        <w:t xml:space="preserve">proto, že je </w:t>
      </w:r>
      <w:r w:rsidRPr="00273106">
        <w:t>determinovaný reálným působením první substance (</w:t>
      </w:r>
      <w:r w:rsidRPr="00273106">
        <w:rPr>
          <w:i/>
        </w:rPr>
        <w:t>sumitur a causa extrinseca</w:t>
      </w:r>
      <w:r w:rsidRPr="00273106">
        <w:t xml:space="preserve">). Ockham připomíná </w:t>
      </w:r>
      <w:r>
        <w:t xml:space="preserve">vítězným </w:t>
      </w:r>
      <w:r w:rsidRPr="00273106">
        <w:t xml:space="preserve">představitelům </w:t>
      </w:r>
      <w:r w:rsidRPr="00273106">
        <w:rPr>
          <w:i/>
        </w:rPr>
        <w:t>Oxfordian Fallacy</w:t>
      </w:r>
      <w:r>
        <w:rPr>
          <w:i/>
        </w:rPr>
        <w:fldChar w:fldCharType="begin"/>
      </w:r>
      <w:r>
        <w:instrText xml:space="preserve"> XE "</w:instrText>
      </w:r>
      <w:r w:rsidRPr="0015798D">
        <w:rPr>
          <w:i/>
        </w:rPr>
        <w:instrText>Oxfordian Fallacy:</w:instrText>
      </w:r>
      <w:r>
        <w:instrText xml:space="preserve">kritika Ockhama" </w:instrText>
      </w:r>
      <w:r>
        <w:rPr>
          <w:i/>
        </w:rPr>
        <w:fldChar w:fldCharType="end"/>
      </w:r>
      <w:r w:rsidRPr="00273106">
        <w:t xml:space="preserve">, že jejich definice </w:t>
      </w:r>
      <w:r w:rsidRPr="00A44415">
        <w:rPr>
          <w:i/>
        </w:rPr>
        <w:t>medium</w:t>
      </w:r>
      <w:r w:rsidR="00FC23FF">
        <w:t xml:space="preserve"> </w:t>
      </w:r>
      <w:r w:rsidR="00AD105F">
        <w:t>ne</w:t>
      </w:r>
      <w:r>
        <w:t xml:space="preserve">zahrnuje </w:t>
      </w:r>
      <w:r w:rsidR="005E5208">
        <w:t xml:space="preserve">deduktivně-demonstrativní </w:t>
      </w:r>
      <w:r>
        <w:t>predikaci</w:t>
      </w:r>
      <w:r w:rsidR="00AD105F">
        <w:t xml:space="preserve">. Modernisté mají pouze logickou predikaci, do které pak zasadí soubor </w:t>
      </w:r>
      <w:r w:rsidR="00AD105F" w:rsidRPr="00AD105F">
        <w:rPr>
          <w:i/>
        </w:rPr>
        <w:t>tertium ens</w:t>
      </w:r>
      <w:r w:rsidR="00AD105F">
        <w:t>, které sofisticky suplují p</w:t>
      </w:r>
      <w:r w:rsidRPr="00273106">
        <w:t>ůsobení reáln</w:t>
      </w:r>
      <w:r w:rsidR="00FC23FF">
        <w:t>ých první substancí</w:t>
      </w:r>
      <w:r w:rsidRPr="00273106">
        <w:t xml:space="preserve">. </w:t>
      </w:r>
      <w:r>
        <w:t>Aristoteles</w:t>
      </w:r>
      <w:r w:rsidRPr="00273106">
        <w:t xml:space="preserve"> chápe </w:t>
      </w:r>
      <w:r w:rsidRPr="00273106">
        <w:rPr>
          <w:i/>
        </w:rPr>
        <w:t>demonstratio</w:t>
      </w:r>
      <w:r>
        <w:rPr>
          <w:i/>
        </w:rPr>
        <w:fldChar w:fldCharType="begin"/>
      </w:r>
      <w:r>
        <w:instrText xml:space="preserve"> XE "</w:instrText>
      </w:r>
      <w:r w:rsidRPr="004E6075">
        <w:rPr>
          <w:i/>
        </w:rPr>
        <w:instrText>demonstratio:</w:instrText>
      </w:r>
      <w:r>
        <w:instrText xml:space="preserve">Aristoteles" </w:instrText>
      </w:r>
      <w:r>
        <w:rPr>
          <w:i/>
        </w:rPr>
        <w:fldChar w:fldCharType="end"/>
      </w:r>
      <w:r w:rsidRPr="00273106">
        <w:t xml:space="preserve"> </w:t>
      </w:r>
      <w:r w:rsidR="00A951DF">
        <w:t>jako druh soudu, který</w:t>
      </w:r>
      <w:r w:rsidR="00A951DF" w:rsidRPr="00A951DF">
        <w:t xml:space="preserve"> se týká účinné příčiny </w:t>
      </w:r>
      <w:r w:rsidR="00A951DF">
        <w:t>dějů</w:t>
      </w:r>
      <w:r w:rsidR="00A951DF" w:rsidRPr="00A951DF">
        <w:t xml:space="preserve">. </w:t>
      </w:r>
      <w:r w:rsidR="00A951DF">
        <w:t>Jak jsou n</w:t>
      </w:r>
      <w:r w:rsidR="00A951DF" w:rsidRPr="00A951DF">
        <w:t>eodvolatelně učiněné jako zatmění Slunce</w:t>
      </w:r>
      <w:r w:rsidR="00A951DF">
        <w:t xml:space="preserve">, pak </w:t>
      </w:r>
      <w:r w:rsidR="00A951DF" w:rsidRPr="00A951DF">
        <w:t xml:space="preserve">působí </w:t>
      </w:r>
      <w:r w:rsidR="00A951DF">
        <w:t xml:space="preserve">skrze </w:t>
      </w:r>
      <w:r w:rsidR="00A951DF" w:rsidRPr="00A951DF">
        <w:t xml:space="preserve">reálnou nutnost, která vstupuje do demonstrativního důkazu. V takovém případě představují výroky stanovisko týkající se toho, co je věc jako </w:t>
      </w:r>
      <w:r w:rsidR="004B0382">
        <w:t xml:space="preserve">jsoucno dané </w:t>
      </w:r>
      <w:r w:rsidR="00A951DF" w:rsidRPr="00A951DF">
        <w:rPr>
          <w:i/>
        </w:rPr>
        <w:t>substantialiter</w:t>
      </w:r>
      <w:r w:rsidR="00A951DF">
        <w:t xml:space="preserve"> </w:t>
      </w:r>
      <w:r w:rsidR="00A951DF" w:rsidRPr="00A951DF">
        <w:t xml:space="preserve">a </w:t>
      </w:r>
      <w:r w:rsidR="00A951DF" w:rsidRPr="00A951DF">
        <w:rPr>
          <w:i/>
          <w:iCs/>
        </w:rPr>
        <w:t>simpliciter</w:t>
      </w:r>
      <w:r w:rsidR="00A951DF">
        <w:t xml:space="preserve"> </w:t>
      </w:r>
      <w:r w:rsidR="004B0382">
        <w:t>samo</w:t>
      </w:r>
      <w:r w:rsidR="00A951DF">
        <w:t xml:space="preserve"> o sobě </w:t>
      </w:r>
      <w:r w:rsidRPr="00273106">
        <w:t>(</w:t>
      </w:r>
      <w:r w:rsidRPr="00273106">
        <w:rPr>
          <w:i/>
        </w:rPr>
        <w:t>Anal. Post.</w:t>
      </w:r>
      <w:r w:rsidRPr="00273106">
        <w:t xml:space="preserve"> 90a10</w:t>
      </w:r>
      <w:r>
        <w:fldChar w:fldCharType="begin"/>
      </w:r>
      <w:r>
        <w:instrText xml:space="preserve"> XE "Aristoteles:</w:instrText>
      </w:r>
      <w:r w:rsidRPr="00034F7F">
        <w:rPr>
          <w:i/>
        </w:rPr>
        <w:instrText>Anal. Post.</w:instrText>
      </w:r>
      <w:r w:rsidRPr="00034F7F">
        <w:instrText xml:space="preserve"> 90a10</w:instrText>
      </w:r>
      <w:r>
        <w:instrText xml:space="preserve">" </w:instrText>
      </w:r>
      <w:r>
        <w:fldChar w:fldCharType="end"/>
      </w:r>
      <w:r w:rsidRPr="00273106">
        <w:t>). Formální definice středního členu soudu u modernistů (</w:t>
      </w:r>
      <w:r w:rsidRPr="00273106">
        <w:rPr>
          <w:i/>
        </w:rPr>
        <w:t>definitio formalis de qua iste loquitur</w:t>
      </w:r>
      <w:r w:rsidRPr="00273106">
        <w:t>)</w:t>
      </w:r>
      <w:r>
        <w:t xml:space="preserve"> </w:t>
      </w:r>
      <w:r w:rsidRPr="00273106">
        <w:t xml:space="preserve">neobsahuje </w:t>
      </w:r>
      <w:r w:rsidR="00F92F7D">
        <w:t>im</w:t>
      </w:r>
      <w:r w:rsidRPr="00273106">
        <w:t xml:space="preserve">pozici </w:t>
      </w:r>
      <w:r w:rsidR="0023005C">
        <w:t xml:space="preserve">významu </w:t>
      </w:r>
      <w:r w:rsidRPr="00273106">
        <w:t>směrem od první</w:t>
      </w:r>
      <w:r w:rsidR="00F92F7D">
        <w:t>ch</w:t>
      </w:r>
      <w:r w:rsidRPr="00273106">
        <w:t xml:space="preserve"> </w:t>
      </w:r>
      <w:r w:rsidR="00F92F7D">
        <w:t xml:space="preserve">substancí, které </w:t>
      </w:r>
      <w:r>
        <w:t xml:space="preserve">zakládají kauzalitu </w:t>
      </w:r>
      <w:r w:rsidRPr="00273106">
        <w:t xml:space="preserve">v reálu. </w:t>
      </w:r>
      <w:r>
        <w:t>Totéž vyjadřuje Ockhamův rozdíl mezi supozicí první substance a naprosto oddělenou existencí první substance (</w:t>
      </w:r>
      <w:r w:rsidRPr="08630A90">
        <w:rPr>
          <w:i/>
        </w:rPr>
        <w:t>ens completum</w:t>
      </w:r>
      <w:r>
        <w:rPr>
          <w:i/>
        </w:rPr>
        <w:fldChar w:fldCharType="begin"/>
      </w:r>
      <w:r>
        <w:instrText xml:space="preserve"> XE "substance:</w:instrText>
      </w:r>
      <w:r w:rsidRPr="00F12546">
        <w:rPr>
          <w:i/>
        </w:rPr>
        <w:instrText>ens completum</w:instrText>
      </w:r>
      <w:r>
        <w:instrText xml:space="preserve">" </w:instrText>
      </w:r>
      <w:r>
        <w:rPr>
          <w:i/>
        </w:rPr>
        <w:fldChar w:fldCharType="end"/>
      </w:r>
      <w:r>
        <w:t>), k níž nelze nic z intelektu přidat (</w:t>
      </w:r>
      <w:r w:rsidRPr="00807B63">
        <w:rPr>
          <w:i/>
        </w:rPr>
        <w:t>incommunicabile per identitatem, nulli natum inhaerere, et a nullo sustentatum</w:t>
      </w:r>
      <w:r>
        <w:t>).</w:t>
      </w:r>
      <w:r w:rsidRPr="00273106">
        <w:rPr>
          <w:rStyle w:val="Znakapoznpodarou"/>
        </w:rPr>
        <w:footnoteReference w:id="496"/>
      </w:r>
      <w:r w:rsidRPr="00273106">
        <w:t xml:space="preserve"> Ockham upozornil současníky </w:t>
      </w:r>
      <w:r>
        <w:lastRenderedPageBreak/>
        <w:t>n</w:t>
      </w:r>
      <w:r w:rsidRPr="00273106">
        <w:t>a jejich základní omyl</w:t>
      </w:r>
      <w:r>
        <w:t xml:space="preserve"> ohledně </w:t>
      </w:r>
      <w:r w:rsidRPr="08910720">
        <w:rPr>
          <w:i/>
        </w:rPr>
        <w:t>Druhých analytik</w:t>
      </w:r>
      <w:r>
        <w:t xml:space="preserve">. Obhajoba vědecké predikace podle </w:t>
      </w:r>
      <w:r w:rsidR="00672D4F">
        <w:t xml:space="preserve">sofistického </w:t>
      </w:r>
      <w:r>
        <w:t xml:space="preserve">principu </w:t>
      </w:r>
      <w:r w:rsidR="00B5184C">
        <w:t>„</w:t>
      </w:r>
      <w:r w:rsidRPr="08B21D09">
        <w:rPr>
          <w:i/>
        </w:rPr>
        <w:t>i</w:t>
      </w:r>
      <w:r w:rsidR="00165106">
        <w:rPr>
          <w:i/>
        </w:rPr>
        <w:t>m</w:t>
      </w:r>
      <w:r w:rsidRPr="08B21D09">
        <w:rPr>
          <w:i/>
        </w:rPr>
        <w:t>mediate</w:t>
      </w:r>
      <w:r w:rsidR="00B5184C">
        <w:t>“</w:t>
      </w:r>
      <w:r>
        <w:t xml:space="preserve"> zrušila základní princip metafyzického poznání</w:t>
      </w:r>
      <w:r w:rsidR="003A7ABD">
        <w:t>. Druhý</w:t>
      </w:r>
      <w:r w:rsidRPr="00273106">
        <w:t xml:space="preserve"> averroismu</w:t>
      </w:r>
      <w:r w:rsidR="003A7ABD">
        <w:t>s</w:t>
      </w:r>
      <w:r>
        <w:t xml:space="preserve"> a scotismu</w:t>
      </w:r>
      <w:r w:rsidR="003A7ABD">
        <w:t>s</w:t>
      </w:r>
      <w:r>
        <w:t xml:space="preserve"> </w:t>
      </w:r>
      <w:r w:rsidR="003A7ABD">
        <w:t xml:space="preserve">představují dvě velmi podobné formy </w:t>
      </w:r>
      <w:r w:rsidRPr="0815593E">
        <w:rPr>
          <w:i/>
        </w:rPr>
        <w:t>Oxfordian Fallacy</w:t>
      </w:r>
      <w:r w:rsidR="00105ADC">
        <w:t>.</w:t>
      </w:r>
    </w:p>
    <w:p w:rsidR="00D843DF" w:rsidRDefault="08163013" w:rsidP="00105ADC">
      <w:pPr>
        <w:ind w:firstLine="397"/>
      </w:pPr>
      <w:r>
        <w:t xml:space="preserve">Tato </w:t>
      </w:r>
      <w:r w:rsidRPr="00273106">
        <w:t xml:space="preserve">přesná argumentace </w:t>
      </w:r>
      <w:r w:rsidR="000E5E41">
        <w:t xml:space="preserve">zcela jistě pobouřila </w:t>
      </w:r>
      <w:r w:rsidRPr="00273106">
        <w:t>hlavní</w:t>
      </w:r>
      <w:r w:rsidR="000E5E41">
        <w:t xml:space="preserve"> akademiky</w:t>
      </w:r>
      <w:r w:rsidRPr="00273106">
        <w:t xml:space="preserve"> na Oxfordu</w:t>
      </w:r>
      <w:r w:rsidR="000E5E41">
        <w:t>.</w:t>
      </w:r>
      <w:r>
        <w:t xml:space="preserve"> Ockham stejně jako před ním Bacon argumentačně </w:t>
      </w:r>
      <w:r w:rsidRPr="00273106">
        <w:t>zničil modernistický pohled na svět</w:t>
      </w:r>
      <w:r>
        <w:t>, který zde vládl už půl století</w:t>
      </w:r>
      <w:r w:rsidRPr="00273106">
        <w:t xml:space="preserve">. A navíc </w:t>
      </w:r>
      <w:r>
        <w:t xml:space="preserve">zboural </w:t>
      </w:r>
      <w:r w:rsidRPr="00273106">
        <w:t xml:space="preserve">i pracně sestavený obraz křesťanské ontoteologie, který založil Bonaventura a </w:t>
      </w:r>
      <w:r>
        <w:t xml:space="preserve">který </w:t>
      </w:r>
      <w:r w:rsidRPr="00273106">
        <w:t>na Oxfordu opatroval</w:t>
      </w:r>
      <w:r>
        <w:t>i</w:t>
      </w:r>
      <w:r w:rsidRPr="00273106">
        <w:t xml:space="preserve"> regent</w:t>
      </w:r>
      <w:r>
        <w:t>i</w:t>
      </w:r>
      <w:r w:rsidRPr="00273106">
        <w:t xml:space="preserve"> Kilwardby</w:t>
      </w:r>
      <w:r>
        <w:t xml:space="preserve"> a Pecham</w:t>
      </w:r>
      <w:r w:rsidRPr="00273106">
        <w:t xml:space="preserve">, </w:t>
      </w:r>
      <w:r>
        <w:t xml:space="preserve">oba známí </w:t>
      </w:r>
      <w:r w:rsidRPr="00273106">
        <w:t>arcibiskup</w:t>
      </w:r>
      <w:r>
        <w:t>ové</w:t>
      </w:r>
      <w:r w:rsidRPr="00273106">
        <w:t xml:space="preserve"> v Canterbury. </w:t>
      </w:r>
      <w:r>
        <w:t>Odsouzení prvního averroismu z března 1277</w:t>
      </w:r>
      <w:r>
        <w:fldChar w:fldCharType="begin"/>
      </w:r>
      <w:r>
        <w:instrText xml:space="preserve"> XE "odsouzení </w:instrText>
      </w:r>
      <w:r w:rsidRPr="00EB2FDD">
        <w:instrText>1277</w:instrText>
      </w:r>
      <w:r>
        <w:instrText xml:space="preserve">" </w:instrText>
      </w:r>
      <w:r>
        <w:fldChar w:fldCharType="end"/>
      </w:r>
      <w:r>
        <w:t xml:space="preserve"> ukázalo, že k</w:t>
      </w:r>
      <w:r w:rsidRPr="00273106">
        <w:t xml:space="preserve">aždá akademická instituce se umí bránit i mocensky, když je </w:t>
      </w:r>
      <w:r w:rsidR="00C72331">
        <w:t>v sázce její sebezáchova</w:t>
      </w:r>
      <w:r w:rsidRPr="00273106">
        <w:t>.</w:t>
      </w:r>
      <w:r>
        <w:t xml:space="preserve"> </w:t>
      </w:r>
      <w:r w:rsidRPr="00273106">
        <w:t>Hlavním oponentem Ockhama byl scotista John z Readingu</w:t>
      </w:r>
      <w:r>
        <w:fldChar w:fldCharType="begin"/>
      </w:r>
      <w:r>
        <w:instrText xml:space="preserve"> XE "</w:instrText>
      </w:r>
      <w:r w:rsidRPr="009F5527">
        <w:instrText>John of Reading</w:instrText>
      </w:r>
      <w:r>
        <w:instrText xml:space="preserve">" </w:instrText>
      </w:r>
      <w:r>
        <w:fldChar w:fldCharType="end"/>
      </w:r>
      <w:r w:rsidRPr="00273106">
        <w:t xml:space="preserve">, františkánský </w:t>
      </w:r>
      <w:r w:rsidRPr="00273106">
        <w:rPr>
          <w:i/>
        </w:rPr>
        <w:t>sententiarius</w:t>
      </w:r>
      <w:r w:rsidRPr="00273106">
        <w:t xml:space="preserve"> na Oxfordu v letech 1315‒17, kterého jeho současníci označovali za Scotova nejlepšího nástupce. Jeho akademický útok na Ockhama </w:t>
      </w:r>
      <w:r>
        <w:t xml:space="preserve">vyvrcholil roku </w:t>
      </w:r>
      <w:r w:rsidRPr="00273106">
        <w:t xml:space="preserve">1320. Ke scotistům na Oxfordu patřil i editor Scotova díla </w:t>
      </w:r>
      <w:r w:rsidRPr="00273106">
        <w:rPr>
          <w:rFonts w:eastAsia="TrumpMediaeval-Roman"/>
        </w:rPr>
        <w:t>William z Alnwicku</w:t>
      </w:r>
      <w:r>
        <w:rPr>
          <w:rFonts w:eastAsia="TrumpMediaeval-Roman"/>
        </w:rPr>
        <w:fldChar w:fldCharType="begin"/>
      </w:r>
      <w:r>
        <w:instrText xml:space="preserve"> XE "</w:instrText>
      </w:r>
      <w:r w:rsidRPr="00C04717">
        <w:rPr>
          <w:rFonts w:eastAsia="TrumpMediaeval-Roman"/>
        </w:rPr>
        <w:instrText>William</w:instrText>
      </w:r>
      <w:r>
        <w:rPr>
          <w:rFonts w:eastAsia="TrumpMediaeval-Roman"/>
        </w:rPr>
        <w:instrText xml:space="preserve"> z </w:instrText>
      </w:r>
      <w:r w:rsidRPr="00C04717">
        <w:rPr>
          <w:rFonts w:eastAsia="TrumpMediaeval-Roman"/>
        </w:rPr>
        <w:instrText>Alnwick</w:instrText>
      </w:r>
      <w:r>
        <w:rPr>
          <w:rFonts w:eastAsia="TrumpMediaeval-Roman"/>
        </w:rPr>
        <w:instrText>u</w:instrText>
      </w:r>
      <w:r>
        <w:instrText xml:space="preserve">" </w:instrText>
      </w:r>
      <w:r>
        <w:rPr>
          <w:rFonts w:eastAsia="TrumpMediaeval-Roman"/>
        </w:rPr>
        <w:fldChar w:fldCharType="end"/>
      </w:r>
      <w:r w:rsidRPr="00273106">
        <w:rPr>
          <w:rFonts w:eastAsia="TrumpMediaeval-Roman"/>
        </w:rPr>
        <w:t xml:space="preserve">, který však brzy odjel na františkánskou misi do Itálie </w:t>
      </w:r>
      <w:r w:rsidRPr="00273106">
        <w:t>(Spade 1999, 22‒23).</w:t>
      </w:r>
      <w:r>
        <w:t xml:space="preserve"> </w:t>
      </w:r>
      <w:r w:rsidRPr="00273106">
        <w:t xml:space="preserve">Když se moderně ztratí z vědeckého poznání realita, tak se to prvních pár století </w:t>
      </w:r>
      <w:r>
        <w:t xml:space="preserve">ani </w:t>
      </w:r>
      <w:r w:rsidRPr="00273106">
        <w:t>nepozná. Ale pak celý spor musí vypuknout znovu, protože se najde originální myslitel</w:t>
      </w:r>
      <w:r>
        <w:t xml:space="preserve"> typu Heideggera</w:t>
      </w:r>
      <w:r w:rsidRPr="00273106">
        <w:t>, který tento zásadní nedostatek pravdivého poznání vidí jako zásadní problém filosofie. Modernisté typu Scota, Descarta</w:t>
      </w:r>
      <w:r>
        <w:fldChar w:fldCharType="begin"/>
      </w:r>
      <w:r>
        <w:instrText xml:space="preserve"> XE "</w:instrText>
      </w:r>
      <w:r w:rsidRPr="004146C6">
        <w:rPr>
          <w:rStyle w:val="addmd"/>
        </w:rPr>
        <w:instrText>Descartes, R.</w:instrText>
      </w:r>
      <w:r>
        <w:instrText xml:space="preserve">" </w:instrText>
      </w:r>
      <w:r>
        <w:fldChar w:fldCharType="end"/>
      </w:r>
      <w:r w:rsidRPr="00273106">
        <w:t xml:space="preserve"> a Leibnize obešli aktualitu první substance a zakládající schopnost poznání dali výlučně do intelektu. Viz výše uvedený citát z Ockhama shrnující fatální omyl moderny daný nasvícením jsoucna zezadu</w:t>
      </w:r>
      <w:r>
        <w:t>.</w:t>
      </w:r>
      <w:r w:rsidRPr="00273106">
        <w:t xml:space="preserve"> Františkánský aristotelik stejně jako jeho předchůdci z prvního averroismu nemůže připustit </w:t>
      </w:r>
      <w:r w:rsidR="00556483">
        <w:t xml:space="preserve">žádnou dominaci </w:t>
      </w:r>
      <w:r>
        <w:t xml:space="preserve">hypostázovaného </w:t>
      </w:r>
      <w:r w:rsidRPr="00273106">
        <w:t xml:space="preserve">rozumu nad aktuální realitu. Autodeterminace </w:t>
      </w:r>
      <w:r>
        <w:t xml:space="preserve">paranoického </w:t>
      </w:r>
      <w:r w:rsidRPr="00273106">
        <w:t xml:space="preserve">myšlení </w:t>
      </w:r>
      <w:r>
        <w:t xml:space="preserve">odděleného od těla a tím i od reality </w:t>
      </w:r>
      <w:r w:rsidRPr="00273106">
        <w:t>je pro modernu a postmodernu zcela charakteristická, stejně jako</w:t>
      </w:r>
      <w:r>
        <w:t xml:space="preserve"> schizofrenický vztah k osobě daný rozdělením člověka na dvě či více substancí</w:t>
      </w:r>
      <w:r w:rsidRPr="00273106">
        <w:t>.</w:t>
      </w:r>
      <w:r>
        <w:t xml:space="preserve"> M</w:t>
      </w:r>
      <w:r w:rsidRPr="00273106">
        <w:t>ezi Scotem a Ockhamem</w:t>
      </w:r>
      <w:r>
        <w:t xml:space="preserve"> musel z výše uvedených důvodů nutně vzniknout s</w:t>
      </w:r>
      <w:r w:rsidRPr="00273106">
        <w:t>por o zat</w:t>
      </w:r>
      <w:r>
        <w:t>mění rozumu spojený se zatměním první substance</w:t>
      </w:r>
      <w:r>
        <w:fldChar w:fldCharType="begin"/>
      </w:r>
      <w:r>
        <w:instrText xml:space="preserve"> XE "zatmění:</w:instrText>
      </w:r>
      <w:r w:rsidRPr="00DE2A32">
        <w:instrText>substance</w:instrText>
      </w:r>
      <w:r>
        <w:instrText xml:space="preserve">" </w:instrText>
      </w:r>
      <w:r>
        <w:fldChar w:fldCharType="end"/>
      </w:r>
      <w:r w:rsidRPr="00273106">
        <w:t xml:space="preserve">. Připomeňme Scotovu verzi uzávorkování </w:t>
      </w:r>
      <w:r>
        <w:t>slunce</w:t>
      </w:r>
      <w:r w:rsidRPr="00273106">
        <w:t xml:space="preserve"> danou v jeho schématu </w:t>
      </w:r>
      <w:r w:rsidR="00962190">
        <w:rPr>
          <w:i/>
        </w:rPr>
        <w:t>species</w:t>
      </w:r>
      <w:r w:rsidRPr="00273106">
        <w:t xml:space="preserve"> dedukovaných z logického modu </w:t>
      </w:r>
      <w:r w:rsidRPr="00273106">
        <w:rPr>
          <w:i/>
        </w:rPr>
        <w:t>per absurdum</w:t>
      </w:r>
      <w:r w:rsidRPr="00273106">
        <w:t xml:space="preserve">. </w:t>
      </w:r>
      <w:r>
        <w:t xml:space="preserve">Scotus </w:t>
      </w:r>
      <w:r w:rsidRPr="00273106">
        <w:t xml:space="preserve">připustil </w:t>
      </w:r>
      <w:r>
        <w:t xml:space="preserve">teoretickou </w:t>
      </w:r>
      <w:r w:rsidRPr="00273106">
        <w:t xml:space="preserve">možnost, že bůh by </w:t>
      </w:r>
      <w:r>
        <w:t>mohl zrušit</w:t>
      </w:r>
      <w:r w:rsidRPr="00273106">
        <w:t xml:space="preserve"> slunce jako substanci a ponechal by pouze sluneční paprsek</w:t>
      </w:r>
      <w:r>
        <w:t xml:space="preserve"> ve formě svého poznání </w:t>
      </w:r>
      <w:r w:rsidRPr="00273106">
        <w:t>(</w:t>
      </w:r>
      <w:r w:rsidRPr="00273106">
        <w:rPr>
          <w:i/>
        </w:rPr>
        <w:t>si</w:t>
      </w:r>
      <w:r w:rsidRPr="00273106">
        <w:t xml:space="preserve"> </w:t>
      </w:r>
      <w:r w:rsidRPr="00273106">
        <w:rPr>
          <w:i/>
        </w:rPr>
        <w:t>Deus destrueret solis substantiam et conservaret eius lumen</w:t>
      </w:r>
      <w:r>
        <w:t xml:space="preserve">, </w:t>
      </w:r>
      <w:r w:rsidRPr="00273106">
        <w:t xml:space="preserve">kap. </w:t>
      </w:r>
      <w:r w:rsidR="004F7998">
        <w:t>5</w:t>
      </w:r>
      <w:r w:rsidRPr="00273106">
        <w:t>.3.2</w:t>
      </w:r>
      <w:r>
        <w:t xml:space="preserve">). </w:t>
      </w:r>
      <w:r w:rsidRPr="00273106">
        <w:t xml:space="preserve">Scotus zavedl myšlenkový experiment podobný </w:t>
      </w:r>
      <w:r w:rsidRPr="00273106">
        <w:lastRenderedPageBreak/>
        <w:t xml:space="preserve">Avicennovu „létajícímu muži“, ale tentokrát navržený pro </w:t>
      </w:r>
      <w:r>
        <w:t xml:space="preserve">uzávorkování </w:t>
      </w:r>
      <w:r w:rsidRPr="00273106">
        <w:t xml:space="preserve">externí </w:t>
      </w:r>
      <w:r>
        <w:t>reality</w:t>
      </w:r>
      <w:r w:rsidRPr="00273106">
        <w:t xml:space="preserve"> první substance. </w:t>
      </w:r>
      <w:r>
        <w:t xml:space="preserve">Scotovi pro vědecký deduktivní soud stačí univerzální </w:t>
      </w:r>
      <w:r w:rsidR="00962190" w:rsidRPr="00F91CB5">
        <w:t>species</w:t>
      </w:r>
      <w:r w:rsidR="00F91CB5">
        <w:t xml:space="preserve"> daná</w:t>
      </w:r>
      <w:r>
        <w:t xml:space="preserve"> boží racionalitou a nepotřebuje reálnou existenci jsoucna. Z hlediska Scota, Descarta</w:t>
      </w:r>
      <w:r>
        <w:fldChar w:fldCharType="begin"/>
      </w:r>
      <w:r>
        <w:instrText xml:space="preserve"> XE "</w:instrText>
      </w:r>
      <w:r w:rsidRPr="004146C6">
        <w:rPr>
          <w:rStyle w:val="addmd"/>
        </w:rPr>
        <w:instrText>Descartes, R.</w:instrText>
      </w:r>
      <w:r>
        <w:instrText xml:space="preserve">" </w:instrText>
      </w:r>
      <w:r>
        <w:fldChar w:fldCharType="end"/>
      </w:r>
      <w:r>
        <w:t xml:space="preserve"> a Husserla</w:t>
      </w:r>
      <w:r>
        <w:fldChar w:fldCharType="begin"/>
      </w:r>
      <w:r>
        <w:instrText xml:space="preserve"> XE "</w:instrText>
      </w:r>
      <w:r w:rsidRPr="000710C4">
        <w:instrText>Husserl, E.</w:instrText>
      </w:r>
      <w:r>
        <w:instrText xml:space="preserve">" </w:instrText>
      </w:r>
      <w:r>
        <w:fldChar w:fldCharType="end"/>
      </w:r>
      <w:r>
        <w:t xml:space="preserve"> </w:t>
      </w:r>
      <w:r w:rsidRPr="00273106">
        <w:t>se po uzávorkování reality nic strašného nestalo</w:t>
      </w:r>
      <w:r>
        <w:t>, protože poznání iluminátů</w:t>
      </w:r>
      <w:r>
        <w:fldChar w:fldCharType="begin"/>
      </w:r>
      <w:r>
        <w:instrText xml:space="preserve"> XE "</w:instrText>
      </w:r>
      <w:r w:rsidRPr="00BD65D1">
        <w:instrText>ilumináti</w:instrText>
      </w:r>
      <w:r>
        <w:instrText xml:space="preserve">" </w:instrText>
      </w:r>
      <w:r>
        <w:fldChar w:fldCharType="end"/>
      </w:r>
      <w:r>
        <w:t xml:space="preserve"> nepotřebuje kontingentní svět. </w:t>
      </w:r>
      <w:r w:rsidR="009F31E9">
        <w:t>Oxfordská m</w:t>
      </w:r>
      <w:r>
        <w:t>oderna žije v neoplatonské jeskyni, kam podle Bacona donáší reálnou potravu mystický Eliášův krkavec</w:t>
      </w:r>
      <w:r>
        <w:fldChar w:fldCharType="begin"/>
      </w:r>
      <w:r>
        <w:instrText xml:space="preserve"> XE "</w:instrText>
      </w:r>
      <w:r w:rsidRPr="085F71A3">
        <w:instrText>Eliášův krkavec</w:instrText>
      </w:r>
      <w:r>
        <w:instrText xml:space="preserve">" </w:instrText>
      </w:r>
      <w:r>
        <w:fldChar w:fldCharType="end"/>
      </w:r>
      <w:r>
        <w:t xml:space="preserve"> </w:t>
      </w:r>
      <w:r w:rsidR="009F31E9">
        <w:t>(OBJ II, kap. 3</w:t>
      </w:r>
      <w:r>
        <w:t xml:space="preserve">.3.3). Tento důležitý tvor byl nezbytný až do působení Scota, který modernistům zrušil teorii iluminace. Pak roli </w:t>
      </w:r>
      <w:r w:rsidR="009F31E9">
        <w:t>Eliášova krkavce</w:t>
      </w:r>
      <w:r w:rsidR="009F31E9">
        <w:fldChar w:fldCharType="begin"/>
      </w:r>
      <w:r w:rsidR="009F31E9">
        <w:instrText xml:space="preserve"> XE "</w:instrText>
      </w:r>
      <w:r w:rsidR="009F31E9" w:rsidRPr="085F71A3">
        <w:instrText>Eliášův krkavec</w:instrText>
      </w:r>
      <w:r w:rsidR="009F31E9">
        <w:instrText xml:space="preserve">" </w:instrText>
      </w:r>
      <w:r w:rsidR="009F31E9">
        <w:fldChar w:fldCharType="end"/>
      </w:r>
      <w:r w:rsidR="009F31E9">
        <w:t xml:space="preserve"> </w:t>
      </w:r>
      <w:r>
        <w:t xml:space="preserve">nahradil </w:t>
      </w:r>
      <w:r w:rsidR="009F31E9">
        <w:t xml:space="preserve">objektivně myslící bůh. Tento mytopoetický idol moderny </w:t>
      </w:r>
      <w:r>
        <w:t>osvěcuj</w:t>
      </w:r>
      <w:r w:rsidR="009F31E9">
        <w:t>e</w:t>
      </w:r>
      <w:r>
        <w:t xml:space="preserve"> Scotovu a Kartéziovu mysl nepochybně správně tak, aby mohla dedukovat objektivní existenci vnějšího světa</w:t>
      </w:r>
      <w:r w:rsidR="00D843DF">
        <w:t>.</w:t>
      </w:r>
    </w:p>
    <w:p w:rsidR="08163013" w:rsidRPr="00273106" w:rsidRDefault="000500AC" w:rsidP="000500AC">
      <w:pPr>
        <w:ind w:firstLine="397"/>
      </w:pPr>
      <w:r w:rsidRPr="000500AC">
        <w:t xml:space="preserve">Obranný mechanismus proti Ockhamovi jako antimodernistovi a kritikovi skotismu byl vytvořen projekcí provedenou inverzí </w:t>
      </w:r>
      <w:r>
        <w:t xml:space="preserve">do opaku </w:t>
      </w:r>
      <w:r w:rsidRPr="000500AC">
        <w:t>(</w:t>
      </w:r>
      <w:r w:rsidRPr="000500AC">
        <w:rPr>
          <w:i/>
          <w:iCs/>
        </w:rPr>
        <w:t>Verkehrung ins Gegenteil</w:t>
      </w:r>
      <w:r>
        <w:rPr>
          <w:i/>
        </w:rPr>
        <w:fldChar w:fldCharType="begin"/>
      </w:r>
      <w:r>
        <w:instrText xml:space="preserve"> XE "</w:instrText>
      </w:r>
      <w:r w:rsidRPr="0839118E">
        <w:rPr>
          <w:i/>
        </w:rPr>
        <w:instrText>Verkehrung ins Gegenteil</w:instrText>
      </w:r>
      <w:r>
        <w:instrText xml:space="preserve">" </w:instrText>
      </w:r>
      <w:r>
        <w:rPr>
          <w:i/>
        </w:rPr>
        <w:fldChar w:fldCharType="end"/>
      </w:r>
      <w:r w:rsidRPr="000500AC">
        <w:t>). Fungovalo to velmi dobře, protože moderna pro</w:t>
      </w:r>
      <w:r>
        <w:t xml:space="preserve">hlásila Ockhama za nominalistu. </w:t>
      </w:r>
      <w:r w:rsidR="08163013">
        <w:t xml:space="preserve">Realista a kritický myslitel </w:t>
      </w:r>
      <w:r w:rsidR="08163013" w:rsidRPr="00273106">
        <w:t xml:space="preserve">Ockham </w:t>
      </w:r>
      <w:r w:rsidR="08163013">
        <w:t xml:space="preserve">připomíná akademickým iluminátům </w:t>
      </w:r>
      <w:r w:rsidR="08163013" w:rsidRPr="00273106">
        <w:t xml:space="preserve">základní princip poznání, kterým je účinná kauzalita prvních substancí v reálu. </w:t>
      </w:r>
      <w:r w:rsidR="08163013">
        <w:t xml:space="preserve">Reálnou </w:t>
      </w:r>
      <w:r w:rsidR="08163013" w:rsidRPr="00273106">
        <w:t>kauzalitu nelze nahradit formálním konceptem</w:t>
      </w:r>
      <w:r w:rsidR="08163013">
        <w:t xml:space="preserve"> esence. Objektivní myto</w:t>
      </w:r>
      <w:r w:rsidR="00CC5094">
        <w:t xml:space="preserve">logie </w:t>
      </w:r>
      <w:r w:rsidR="08163013">
        <w:t>není totéž co pravdivá věda o reálné první substanci</w:t>
      </w:r>
      <w:r w:rsidR="08163013" w:rsidRPr="00273106">
        <w:t>.</w:t>
      </w:r>
      <w:r w:rsidR="08163013">
        <w:t xml:space="preserve"> Scotův myšlenkový experiment daný jako </w:t>
      </w:r>
      <w:r w:rsidR="08163013" w:rsidRPr="001C0CAB">
        <w:rPr>
          <w:i/>
        </w:rPr>
        <w:t>epoché</w:t>
      </w:r>
      <w:r w:rsidR="08163013">
        <w:t xml:space="preserve"> slunce ve výše citovaném spise </w:t>
      </w:r>
      <w:r w:rsidR="008C2D4A" w:rsidRPr="008C2D4A">
        <w:rPr>
          <w:i/>
        </w:rPr>
        <w:t>Lectura I</w:t>
      </w:r>
      <w:r w:rsidR="08163013">
        <w:t xml:space="preserve"> je podle Ockhama nesmysl. </w:t>
      </w:r>
    </w:p>
    <w:p w:rsidR="08163013" w:rsidRPr="00816D93" w:rsidRDefault="08163013" w:rsidP="08163013">
      <w:pPr>
        <w:pStyle w:val="Citace"/>
        <w:rPr>
          <w:noProof/>
          <w:lang w:val="cs-CZ"/>
        </w:rPr>
      </w:pPr>
      <w:r w:rsidRPr="00273106">
        <w:rPr>
          <w:noProof/>
          <w:lang w:val="cs-CZ"/>
        </w:rPr>
        <w:t>„</w:t>
      </w:r>
      <w:r w:rsidR="00962190">
        <w:rPr>
          <w:i/>
          <w:noProof/>
          <w:lang w:val="cs-CZ"/>
        </w:rPr>
        <w:t>Species</w:t>
      </w:r>
      <w:r>
        <w:rPr>
          <w:noProof/>
          <w:lang w:val="cs-CZ"/>
        </w:rPr>
        <w:t xml:space="preserve"> je prý nutně dáno jako účinná příčina pro přímý náhled poznání, protože tato </w:t>
      </w:r>
      <w:r w:rsidR="00962190">
        <w:rPr>
          <w:i/>
          <w:noProof/>
          <w:lang w:val="cs-CZ"/>
        </w:rPr>
        <w:t>species</w:t>
      </w:r>
      <w:r>
        <w:rPr>
          <w:noProof/>
          <w:lang w:val="cs-CZ"/>
        </w:rPr>
        <w:t xml:space="preserve"> zůstává i v nepřítomnosti poznané věci. Proto prý může přirozeně způsobit poznání i v nepřítomnosti dané věci. To je omyl a je to proti lidské zkušenosti.“ </w:t>
      </w:r>
      <w:r>
        <w:rPr>
          <w:rStyle w:val="Znakapoznpodarou"/>
        </w:rPr>
        <w:footnoteReference w:id="497"/>
      </w:r>
    </w:p>
    <w:p w:rsidR="08163013" w:rsidRDefault="08163013" w:rsidP="08163013">
      <w:r>
        <w:t xml:space="preserve">Moderní </w:t>
      </w:r>
      <w:r w:rsidR="00962190">
        <w:rPr>
          <w:i/>
        </w:rPr>
        <w:t>species</w:t>
      </w:r>
      <w:r>
        <w:t xml:space="preserve"> definovaná skrze nasvícení poznání zezadu od objektivní dedukce nemůže suplovat </w:t>
      </w:r>
      <w:r w:rsidRPr="00273106">
        <w:t>kauzální spojení na úrovni reálných substancí</w:t>
      </w:r>
      <w:r>
        <w:t xml:space="preserve"> (</w:t>
      </w:r>
      <w:r w:rsidRPr="00161123">
        <w:rPr>
          <w:i/>
        </w:rPr>
        <w:t>non</w:t>
      </w:r>
      <w:r w:rsidRPr="00273106">
        <w:t xml:space="preserve"> </w:t>
      </w:r>
      <w:r w:rsidRPr="00273106">
        <w:rPr>
          <w:i/>
        </w:rPr>
        <w:t>posset causare naturaliter cognitionem intuitivam in absentia rei</w:t>
      </w:r>
      <w:r w:rsidRPr="00273106">
        <w:t xml:space="preserve">). </w:t>
      </w:r>
      <w:r w:rsidR="003B36AD">
        <w:t>Reálnou existenci nelze dedukovat z </w:t>
      </w:r>
      <w:r w:rsidRPr="00273106">
        <w:t>es</w:t>
      </w:r>
      <w:r>
        <w:t>ence</w:t>
      </w:r>
      <w:r w:rsidR="003B36AD">
        <w:t xml:space="preserve">. Opačně platí, že </w:t>
      </w:r>
      <w:r>
        <w:t xml:space="preserve">z reálné existence lze abstrahovat její univerzální esenci a pravdivě </w:t>
      </w:r>
      <w:r w:rsidR="003B36AD">
        <w:t>vytvořit d</w:t>
      </w:r>
      <w:r>
        <w:t>eduktivní úsudek (</w:t>
      </w:r>
      <w:r w:rsidRPr="005F62E1">
        <w:rPr>
          <w:i/>
        </w:rPr>
        <w:t>enuntiatio</w:t>
      </w:r>
      <w:r>
        <w:rPr>
          <w:i/>
        </w:rPr>
        <w:fldChar w:fldCharType="begin"/>
      </w:r>
      <w:r>
        <w:instrText xml:space="preserve"> XE "</w:instrText>
      </w:r>
      <w:r w:rsidRPr="0038128E">
        <w:rPr>
          <w:i/>
        </w:rPr>
        <w:instrText>enuntiatio:</w:instrText>
      </w:r>
      <w:r>
        <w:instrText xml:space="preserve">Ockham" </w:instrText>
      </w:r>
      <w:r>
        <w:rPr>
          <w:i/>
        </w:rPr>
        <w:fldChar w:fldCharType="end"/>
      </w:r>
      <w:r>
        <w:t xml:space="preserve">, </w:t>
      </w:r>
      <w:r w:rsidRPr="005F62E1">
        <w:rPr>
          <w:i/>
        </w:rPr>
        <w:t>demonstratio</w:t>
      </w:r>
      <w:r>
        <w:rPr>
          <w:i/>
        </w:rPr>
        <w:fldChar w:fldCharType="begin"/>
      </w:r>
      <w:r>
        <w:instrText xml:space="preserve"> XE "</w:instrText>
      </w:r>
      <w:r w:rsidRPr="004E6075">
        <w:rPr>
          <w:i/>
        </w:rPr>
        <w:instrText>demonstratio:</w:instrText>
      </w:r>
      <w:r>
        <w:instrText xml:space="preserve">Ockham" </w:instrText>
      </w:r>
      <w:r>
        <w:rPr>
          <w:i/>
        </w:rPr>
        <w:fldChar w:fldCharType="end"/>
      </w:r>
      <w:r>
        <w:t xml:space="preserve">). Jedině nasvícení jsoucna zepředu zakládá podle Ockhama </w:t>
      </w:r>
      <w:r>
        <w:lastRenderedPageBreak/>
        <w:t xml:space="preserve">správné pojetí vědy dané metafyzicky, a ne pouze logicky jako v matematice a v geometrii. </w:t>
      </w:r>
      <w:r w:rsidRPr="00273106">
        <w:t>Citát upozorňuje na reálné působení první substance (</w:t>
      </w:r>
      <w:r w:rsidRPr="00273106">
        <w:rPr>
          <w:i/>
        </w:rPr>
        <w:t>causa eius efficiens</w:t>
      </w:r>
      <w:r w:rsidRPr="00273106">
        <w:t xml:space="preserve">). Pokud je dána a </w:t>
      </w:r>
      <w:r w:rsidR="00C9486A">
        <w:t xml:space="preserve">demonstrativně </w:t>
      </w:r>
      <w:r w:rsidRPr="00273106">
        <w:t>poznána existence působící věci, pak můžeme následně ve schématu kauza</w:t>
      </w:r>
      <w:r w:rsidR="00144C7D">
        <w:t>lity dělat platné obecné závěry</w:t>
      </w:r>
      <w:r>
        <w:fldChar w:fldCharType="begin"/>
      </w:r>
      <w:r>
        <w:instrText xml:space="preserve"> XE "</w:instrText>
      </w:r>
      <w:r w:rsidRPr="00D47AD9">
        <w:instrText>kauzalita:Ockham</w:instrText>
      </w:r>
      <w:r>
        <w:instrText xml:space="preserve">" </w:instrText>
      </w:r>
      <w:r>
        <w:fldChar w:fldCharType="end"/>
      </w:r>
      <w:r w:rsidRPr="00273106">
        <w:t xml:space="preserve">.  </w:t>
      </w:r>
      <w:r>
        <w:t xml:space="preserve">Ockham hájí princip </w:t>
      </w:r>
      <w:r w:rsidR="081942A4">
        <w:t xml:space="preserve">metafyzického </w:t>
      </w:r>
      <w:r>
        <w:t>dativu</w:t>
      </w:r>
      <w:r>
        <w:fldChar w:fldCharType="begin"/>
      </w:r>
      <w:r>
        <w:instrText xml:space="preserve"> XE "</w:instrText>
      </w:r>
      <w:r w:rsidR="081942A4">
        <w:rPr>
          <w:i/>
        </w:rPr>
        <w:instrText>dativus metaphysi</w:instrText>
      </w:r>
      <w:r w:rsidRPr="0869282B">
        <w:rPr>
          <w:i/>
        </w:rPr>
        <w:instrText>cus</w:instrText>
      </w:r>
      <w:r>
        <w:instrText xml:space="preserve">" </w:instrText>
      </w:r>
      <w:r>
        <w:fldChar w:fldCharType="end"/>
      </w:r>
      <w:r>
        <w:t xml:space="preserve">, kterým hermeneutika definuje </w:t>
      </w:r>
      <w:r w:rsidR="00696CE1">
        <w:t>aristotelskou metafyziku</w:t>
      </w:r>
      <w:r>
        <w:t xml:space="preserve">. </w:t>
      </w:r>
      <w:r w:rsidRPr="00273106">
        <w:t>Ale opačně to neplatí (</w:t>
      </w:r>
      <w:r w:rsidRPr="00273106">
        <w:rPr>
          <w:i/>
        </w:rPr>
        <w:t>quod falsum est et contra experientiam</w:t>
      </w:r>
      <w:r>
        <w:t>), protože esence není v intelek</w:t>
      </w:r>
      <w:r w:rsidR="006C670E">
        <w:t xml:space="preserve">tu dána před reálnou existencí. </w:t>
      </w:r>
      <w:r w:rsidR="006C670E" w:rsidRPr="006C670E">
        <w:t>Připomeňme si správný postup deduktivního</w:t>
      </w:r>
      <w:r w:rsidR="006C670E">
        <w:t xml:space="preserve"> důkazu založeného na principu „</w:t>
      </w:r>
      <w:r w:rsidR="006C670E" w:rsidRPr="006C670E">
        <w:rPr>
          <w:i/>
          <w:iCs/>
        </w:rPr>
        <w:t>ex inmediatis</w:t>
      </w:r>
      <w:r w:rsidR="006C670E">
        <w:t>“</w:t>
      </w:r>
      <w:r w:rsidR="006C670E" w:rsidRPr="006C670E">
        <w:t>, který vychází z</w:t>
      </w:r>
      <w:r w:rsidR="006C670E">
        <w:t> </w:t>
      </w:r>
      <w:r w:rsidR="006C670E" w:rsidRPr="006C670E">
        <w:t>imp</w:t>
      </w:r>
      <w:r w:rsidR="006C670E">
        <w:t>ozice vázané na hyparchickou existenci</w:t>
      </w:r>
      <w:r w:rsidR="006C670E" w:rsidRPr="006C670E">
        <w:t xml:space="preserve"> vnějších věcí </w:t>
      </w:r>
      <w:r w:rsidR="006C670E" w:rsidRPr="00FF692C">
        <w:t>(</w:t>
      </w:r>
      <w:r w:rsidR="006C670E" w:rsidRPr="00FF692C">
        <w:rPr>
          <w:i/>
          <w:iCs/>
        </w:rPr>
        <w:t>Anal. Post</w:t>
      </w:r>
      <w:r w:rsidR="006C670E">
        <w:t>. 84a11–</w:t>
      </w:r>
      <w:r w:rsidR="006C670E" w:rsidRPr="00FF692C">
        <w:t>14</w:t>
      </w:r>
      <w:r w:rsidR="006C670E">
        <w:fldChar w:fldCharType="begin"/>
      </w:r>
      <w:r w:rsidR="006C670E">
        <w:instrText xml:space="preserve"> XE "</w:instrText>
      </w:r>
      <w:r w:rsidR="006C670E" w:rsidRPr="003B4853">
        <w:rPr>
          <w:iCs/>
        </w:rPr>
        <w:instrText>Aristotels:</w:instrText>
      </w:r>
      <w:r w:rsidR="006C670E" w:rsidRPr="003B4853">
        <w:rPr>
          <w:i/>
          <w:iCs/>
        </w:rPr>
        <w:instrText>Anal. Post</w:instrText>
      </w:r>
      <w:r w:rsidR="006C670E" w:rsidRPr="003B4853">
        <w:instrText>. 84a11–14</w:instrText>
      </w:r>
      <w:r w:rsidR="006C670E">
        <w:instrText xml:space="preserve">" </w:instrText>
      </w:r>
      <w:r w:rsidR="006C670E">
        <w:fldChar w:fldCharType="end"/>
      </w:r>
      <w:r w:rsidR="006C670E" w:rsidRPr="00FF692C">
        <w:t>).</w:t>
      </w:r>
      <w:r w:rsidR="006C670E">
        <w:t xml:space="preserve"> </w:t>
      </w:r>
      <w:r>
        <w:t xml:space="preserve">Tuto skutečnost zachycuje správně pochopený princip </w:t>
      </w:r>
      <w:r w:rsidR="08A649EB">
        <w:rPr>
          <w:i/>
        </w:rPr>
        <w:t>ex in</w:t>
      </w:r>
      <w:r w:rsidRPr="0048697F">
        <w:rPr>
          <w:i/>
        </w:rPr>
        <w:t>mediatis</w:t>
      </w:r>
      <w:r>
        <w:rPr>
          <w:i/>
        </w:rPr>
        <w:fldChar w:fldCharType="begin"/>
      </w:r>
      <w:r>
        <w:instrText xml:space="preserve"> XE "princip </w:instrText>
      </w:r>
      <w:r w:rsidR="08A649EB">
        <w:rPr>
          <w:i/>
        </w:rPr>
        <w:instrText>ex in</w:instrText>
      </w:r>
      <w:r w:rsidRPr="00C70BD9">
        <w:rPr>
          <w:i/>
        </w:rPr>
        <w:instrText>mediatis</w:instrText>
      </w:r>
      <w:r>
        <w:instrText xml:space="preserve">" </w:instrText>
      </w:r>
      <w:r>
        <w:rPr>
          <w:i/>
        </w:rPr>
        <w:fldChar w:fldCharType="end"/>
      </w:r>
      <w:r>
        <w:t xml:space="preserve"> daný ve </w:t>
      </w:r>
      <w:r w:rsidRPr="08526524">
        <w:rPr>
          <w:i/>
        </w:rPr>
        <w:t>Druhých analytikách</w:t>
      </w:r>
      <w:r>
        <w:t xml:space="preserve">. Odmítnutí spekulace o tom, že </w:t>
      </w:r>
      <w:r w:rsidR="00962190" w:rsidRPr="00AA4BFA">
        <w:t>species</w:t>
      </w:r>
      <w:r>
        <w:t xml:space="preserve"> je možné podržet i po zmizení reálné věci (</w:t>
      </w:r>
      <w:r w:rsidRPr="006703E9">
        <w:rPr>
          <w:i/>
        </w:rPr>
        <w:t xml:space="preserve">illa </w:t>
      </w:r>
      <w:r w:rsidR="00962190">
        <w:rPr>
          <w:i/>
        </w:rPr>
        <w:t>species</w:t>
      </w:r>
      <w:r w:rsidRPr="006703E9">
        <w:rPr>
          <w:i/>
        </w:rPr>
        <w:t xml:space="preserve"> possit conservari in absentia obiecti</w:t>
      </w:r>
      <w:r>
        <w:t>) je namířena proti S</w:t>
      </w:r>
      <w:r w:rsidR="00AA4BFA">
        <w:t xml:space="preserve">cotovu myšlenkovému experimentu. </w:t>
      </w:r>
      <w:r w:rsidR="00AA4BFA" w:rsidRPr="00AA4BFA">
        <w:t>Ten zrušil slunce, protože logická trvalost species je pro objekt</w:t>
      </w:r>
      <w:r w:rsidR="00AA4BFA">
        <w:t xml:space="preserve">ivní poznání zcela dostačující. </w:t>
      </w:r>
      <w:r>
        <w:t xml:space="preserve">Aristotelismus hájí opačnou pozici, než Scotova analytická věda operující v rámci logického důkazu </w:t>
      </w:r>
      <w:r w:rsidRPr="00E64329">
        <w:rPr>
          <w:i/>
        </w:rPr>
        <w:t>per absurdum</w:t>
      </w:r>
      <w:r>
        <w:t xml:space="preserve">. </w:t>
      </w:r>
      <w:r w:rsidR="00FA3C0C" w:rsidRPr="00273106">
        <w:t xml:space="preserve">Kauzalita zatmění </w:t>
      </w:r>
      <w:r w:rsidR="00FA3C0C">
        <w:t>slunce</w:t>
      </w:r>
      <w:r w:rsidR="00FA3C0C" w:rsidRPr="00273106">
        <w:t xml:space="preserve"> potřebuje existenci </w:t>
      </w:r>
      <w:r w:rsidR="00FA3C0C">
        <w:t xml:space="preserve">astronomických těles </w:t>
      </w:r>
      <w:r w:rsidR="00FA3C0C" w:rsidRPr="00273106">
        <w:t>v reálu</w:t>
      </w:r>
      <w:r w:rsidR="00FA3C0C">
        <w:fldChar w:fldCharType="begin"/>
      </w:r>
      <w:r w:rsidR="00FA3C0C">
        <w:instrText xml:space="preserve"> XE "</w:instrText>
      </w:r>
      <w:r w:rsidR="00FA3C0C" w:rsidRPr="00F40324">
        <w:instrText>zatmění</w:instrText>
      </w:r>
      <w:r w:rsidR="00FA3C0C" w:rsidRPr="082526E0">
        <w:rPr>
          <w:i/>
        </w:rPr>
        <w:instrText>:Druhé analytiky</w:instrText>
      </w:r>
      <w:r w:rsidR="00FA3C0C">
        <w:instrText xml:space="preserve">" </w:instrText>
      </w:r>
      <w:r w:rsidR="00FA3C0C">
        <w:fldChar w:fldCharType="end"/>
      </w:r>
      <w:r w:rsidR="00FA3C0C" w:rsidRPr="00273106">
        <w:t>. Naše poznání je kauzálně determinováno realitou, a ne pouhým univerzálním konceptem</w:t>
      </w:r>
      <w:r w:rsidR="00FA3C0C">
        <w:t xml:space="preserve">, který vzniká v poznání až </w:t>
      </w:r>
      <w:r w:rsidR="00FA3C0C" w:rsidRPr="08CC03EA">
        <w:rPr>
          <w:i/>
        </w:rPr>
        <w:t>ex post</w:t>
      </w:r>
      <w:r w:rsidR="00FA3C0C">
        <w:t xml:space="preserve">. </w:t>
      </w:r>
      <w:r>
        <w:t>Protože působení reálných první</w:t>
      </w:r>
      <w:r w:rsidR="008B40B2">
        <w:t>ch substancí skutečně existuje</w:t>
      </w:r>
      <w:r>
        <w:t xml:space="preserve">, pak hledáme v řádu univerzálního poznání i obecné příčiny </w:t>
      </w:r>
      <w:r w:rsidRPr="00273106">
        <w:t xml:space="preserve">(γνόντες δὲ ὅτι ἔστι, τί ἐστι ζητοῦμεν, </w:t>
      </w:r>
      <w:r w:rsidRPr="00273106">
        <w:rPr>
          <w:i/>
        </w:rPr>
        <w:t>Anal. Post</w:t>
      </w:r>
      <w:r>
        <w:t xml:space="preserve">. </w:t>
      </w:r>
      <w:r w:rsidRPr="00273106">
        <w:t>89b34</w:t>
      </w:r>
      <w:r>
        <w:fldChar w:fldCharType="begin"/>
      </w:r>
      <w:r>
        <w:instrText xml:space="preserve"> XE "Aristoteles:</w:instrText>
      </w:r>
      <w:r w:rsidRPr="00FB1813">
        <w:rPr>
          <w:i/>
        </w:rPr>
        <w:instrText>Anal. Post</w:instrText>
      </w:r>
      <w:r w:rsidRPr="00FB1813">
        <w:instrText>. 89b34</w:instrText>
      </w:r>
      <w:r>
        <w:instrText xml:space="preserve">" </w:instrText>
      </w:r>
      <w:r>
        <w:fldChar w:fldCharType="end"/>
      </w:r>
      <w:r w:rsidRPr="00273106">
        <w:t>)</w:t>
      </w:r>
      <w:r>
        <w:t xml:space="preserve">. Druhý averroismus </w:t>
      </w:r>
      <w:r w:rsidRPr="00273106">
        <w:t xml:space="preserve">nahradil </w:t>
      </w:r>
      <w:r>
        <w:t xml:space="preserve">reálnou </w:t>
      </w:r>
      <w:r w:rsidRPr="00273106">
        <w:t>existenci</w:t>
      </w:r>
      <w:r>
        <w:t xml:space="preserve"> skrze poznanou esenci</w:t>
      </w:r>
      <w:r w:rsidRPr="00273106">
        <w:t xml:space="preserve"> a upravil střední člen soudu do formální podoby. </w:t>
      </w:r>
      <w:r w:rsidR="007D18E7">
        <w:t>Scotova</w:t>
      </w:r>
      <w:r w:rsidR="007D18E7" w:rsidRPr="007D18E7">
        <w:t xml:space="preserve"> objektivní </w:t>
      </w:r>
      <w:r w:rsidR="007D18E7">
        <w:t xml:space="preserve">species </w:t>
      </w:r>
      <w:r w:rsidR="007D18E7" w:rsidRPr="007D18E7">
        <w:t>nemohou založi</w:t>
      </w:r>
      <w:r w:rsidR="007D18E7">
        <w:t xml:space="preserve">t pravdivé poznání skutečnosti; </w:t>
      </w:r>
      <w:r w:rsidR="007D18E7" w:rsidRPr="007D18E7">
        <w:t xml:space="preserve">neexistuje žádný druh Aristotelova </w:t>
      </w:r>
      <w:r w:rsidR="007D18E7" w:rsidRPr="007D18E7">
        <w:rPr>
          <w:i/>
        </w:rPr>
        <w:t>medium</w:t>
      </w:r>
      <w:r w:rsidR="007D18E7" w:rsidRPr="007D18E7">
        <w:t xml:space="preserve">, který by </w:t>
      </w:r>
      <w:r w:rsidR="007D18E7">
        <w:t xml:space="preserve">v deduktivním důkazu implikoval </w:t>
      </w:r>
      <w:r w:rsidR="007D18E7" w:rsidRPr="007D18E7">
        <w:t xml:space="preserve">kauzální </w:t>
      </w:r>
      <w:r w:rsidR="007D18E7">
        <w:t xml:space="preserve">působení </w:t>
      </w:r>
      <w:r w:rsidR="007D18E7" w:rsidRPr="007D18E7">
        <w:t xml:space="preserve">prvních substancí. </w:t>
      </w:r>
      <w:r>
        <w:t>Scotova</w:t>
      </w:r>
      <w:r w:rsidRPr="00273106">
        <w:t xml:space="preserve"> </w:t>
      </w:r>
      <w:r w:rsidR="00962190" w:rsidRPr="007D18E7">
        <w:t>species</w:t>
      </w:r>
      <w:r w:rsidRPr="00273106">
        <w:t xml:space="preserve"> </w:t>
      </w:r>
      <w:r w:rsidR="0005345E">
        <w:t xml:space="preserve">nemůže založit </w:t>
      </w:r>
      <w:r w:rsidRPr="00273106">
        <w:t>pravdivé poznání reality</w:t>
      </w:r>
      <w:r>
        <w:t xml:space="preserve">, protože nekonzervuje v modu Aristotelova </w:t>
      </w:r>
      <w:r w:rsidRPr="08D14765">
        <w:rPr>
          <w:i/>
        </w:rPr>
        <w:t>medium</w:t>
      </w:r>
      <w:r>
        <w:t xml:space="preserve"> kauzální aktualitu první substance. </w:t>
      </w:r>
      <w:r w:rsidRPr="00273106">
        <w:t xml:space="preserve">Protože existuje zatmění </w:t>
      </w:r>
      <w:r>
        <w:t>slunce</w:t>
      </w:r>
      <w:r w:rsidRPr="00273106">
        <w:t xml:space="preserve"> v reálu, pak je dána i deduktivní teorie o zatmění </w:t>
      </w:r>
      <w:r>
        <w:t>slunce</w:t>
      </w:r>
      <w:r w:rsidRPr="00273106">
        <w:t>, která zobecňuje v řádu vědeckého soudu (</w:t>
      </w:r>
      <w:r w:rsidRPr="00273106">
        <w:rPr>
          <w:i/>
        </w:rPr>
        <w:t>demonstratio</w:t>
      </w:r>
      <w:r>
        <w:rPr>
          <w:i/>
        </w:rPr>
        <w:fldChar w:fldCharType="begin"/>
      </w:r>
      <w:r>
        <w:instrText xml:space="preserve"> XE "</w:instrText>
      </w:r>
      <w:r w:rsidRPr="004E6075">
        <w:rPr>
          <w:i/>
        </w:rPr>
        <w:instrText>demonstratio:</w:instrText>
      </w:r>
      <w:r>
        <w:instrText xml:space="preserve">Averroes" </w:instrText>
      </w:r>
      <w:r>
        <w:rPr>
          <w:i/>
        </w:rPr>
        <w:fldChar w:fldCharType="end"/>
      </w:r>
      <w:r w:rsidRPr="00273106">
        <w:t xml:space="preserve">) reálné kauzální působení </w:t>
      </w:r>
      <w:r>
        <w:t>měsíc</w:t>
      </w:r>
      <w:r w:rsidRPr="00273106">
        <w:t xml:space="preserve">e a </w:t>
      </w:r>
      <w:r>
        <w:t>slunce</w:t>
      </w:r>
      <w:r w:rsidRPr="00273106">
        <w:t xml:space="preserve">. Zatmění </w:t>
      </w:r>
      <w:r>
        <w:t>slunce</w:t>
      </w:r>
      <w:r w:rsidRPr="00273106">
        <w:t xml:space="preserve"> existuje proto, že je dané </w:t>
      </w:r>
      <w:r>
        <w:t>slunce</w:t>
      </w:r>
      <w:r w:rsidRPr="00273106">
        <w:t xml:space="preserve">m a </w:t>
      </w:r>
      <w:r>
        <w:t>měsíc</w:t>
      </w:r>
      <w:r w:rsidRPr="00273106">
        <w:t xml:space="preserve">em jako prvními substancemi. Nelze dedukovat reálný případ zatmění </w:t>
      </w:r>
      <w:r>
        <w:t>slunce nebo měsíce</w:t>
      </w:r>
      <w:r w:rsidRPr="00273106">
        <w:t xml:space="preserve">, pokud by tento fakt nebyl v realitě pozorovatelný. </w:t>
      </w:r>
      <w:r>
        <w:t xml:space="preserve">Celý spor v objektivní konstelaci opakuje </w:t>
      </w:r>
      <w:r w:rsidR="004F2C51">
        <w:t xml:space="preserve">v momentu, kdy </w:t>
      </w:r>
      <w:r>
        <w:t>Popper</w:t>
      </w:r>
      <w:r>
        <w:fldChar w:fldCharType="begin"/>
      </w:r>
      <w:r>
        <w:instrText xml:space="preserve"> XE </w:instrText>
      </w:r>
      <w:r>
        <w:lastRenderedPageBreak/>
        <w:instrText>"</w:instrText>
      </w:r>
      <w:r w:rsidRPr="0067496C">
        <w:instrText>Popper</w:instrText>
      </w:r>
      <w:r>
        <w:instrText>,</w:instrText>
      </w:r>
      <w:r w:rsidRPr="0067496C">
        <w:instrText xml:space="preserve"> K. R.</w:instrText>
      </w:r>
      <w:r>
        <w:instrText xml:space="preserve">" </w:instrText>
      </w:r>
      <w:r>
        <w:fldChar w:fldCharType="end"/>
      </w:r>
      <w:r>
        <w:t xml:space="preserve"> </w:t>
      </w:r>
      <w:r w:rsidR="004F2C51">
        <w:t xml:space="preserve">napadl </w:t>
      </w:r>
      <w:r>
        <w:t>neopozitivismu</w:t>
      </w:r>
      <w:r w:rsidR="004F2C51">
        <w:t>s</w:t>
      </w:r>
      <w:r>
        <w:t xml:space="preserve"> Vídeňského kruhu (</w:t>
      </w:r>
      <w:r w:rsidR="008828AE">
        <w:t>OBJ II, kap. 3</w:t>
      </w:r>
      <w:r>
        <w:t xml:space="preserve">.3.2). </w:t>
      </w:r>
      <w:r w:rsidRPr="00273106">
        <w:t xml:space="preserve">Dedukce běží až po zobecnění empirické zkušenosti v univerzálním soudu. </w:t>
      </w:r>
      <w:r>
        <w:t xml:space="preserve">Esence je dána </w:t>
      </w:r>
      <w:r w:rsidRPr="00417D46">
        <w:rPr>
          <w:i/>
        </w:rPr>
        <w:t>simpliciter</w:t>
      </w:r>
      <w:r>
        <w:t xml:space="preserve"> potenciálně, ale věc existuje </w:t>
      </w:r>
      <w:r w:rsidRPr="00417D46">
        <w:rPr>
          <w:i/>
        </w:rPr>
        <w:t>simpliciter</w:t>
      </w:r>
      <w:r>
        <w:t xml:space="preserve"> reálně a aktuálně. </w:t>
      </w:r>
      <w:r w:rsidRPr="00273106">
        <w:t>Manifestace existence ve smyslu hermeneutické zjevnosti (</w:t>
      </w:r>
      <w:r w:rsidRPr="00273106">
        <w:rPr>
          <w:i/>
        </w:rPr>
        <w:t>alétheia</w:t>
      </w:r>
      <w:r w:rsidRPr="00273106">
        <w:t xml:space="preserve">) má </w:t>
      </w:r>
      <w:r>
        <w:t xml:space="preserve">u Ockhama </w:t>
      </w:r>
      <w:r w:rsidRPr="00273106">
        <w:t xml:space="preserve">opačný směr než u Rufuse. </w:t>
      </w:r>
      <w:r>
        <w:t xml:space="preserve">Analyticky pojatá </w:t>
      </w:r>
      <w:r w:rsidRPr="00273106">
        <w:t xml:space="preserve">existence </w:t>
      </w:r>
      <w:r>
        <w:t>v modu porretánů deduktivně vychází</w:t>
      </w:r>
      <w:r w:rsidRPr="00273106">
        <w:t xml:space="preserve"> (</w:t>
      </w:r>
      <w:r w:rsidRPr="00273106">
        <w:rPr>
          <w:i/>
        </w:rPr>
        <w:t>exsistit</w:t>
      </w:r>
      <w:r>
        <w:t>) z univerzálně dané</w:t>
      </w:r>
      <w:r w:rsidRPr="00273106">
        <w:t xml:space="preserve"> </w:t>
      </w:r>
      <w:r w:rsidR="00962190" w:rsidRPr="007D18E7">
        <w:t>species</w:t>
      </w:r>
      <w:r w:rsidRPr="00273106">
        <w:t xml:space="preserve"> do kontingentní</w:t>
      </w:r>
      <w:r w:rsidR="008828AE">
        <w:t xml:space="preserve"> materiální reality</w:t>
      </w:r>
      <w:r w:rsidRPr="00273106">
        <w:t xml:space="preserve">. </w:t>
      </w:r>
      <w:r>
        <w:t>E</w:t>
      </w:r>
      <w:r w:rsidRPr="00273106">
        <w:t>xistence externí první substance je moderně a v postmoderně typu Descarta</w:t>
      </w:r>
      <w:r>
        <w:fldChar w:fldCharType="begin"/>
      </w:r>
      <w:r>
        <w:instrText xml:space="preserve"> XE "</w:instrText>
      </w:r>
      <w:r w:rsidRPr="004146C6">
        <w:rPr>
          <w:rStyle w:val="addmd"/>
        </w:rPr>
        <w:instrText>Descartes, R.</w:instrText>
      </w:r>
      <w:r>
        <w:instrText xml:space="preserve">" </w:instrText>
      </w:r>
      <w:r>
        <w:fldChar w:fldCharType="end"/>
      </w:r>
      <w:r w:rsidRPr="00273106">
        <w:t xml:space="preserve"> a Husserla</w:t>
      </w:r>
      <w:r>
        <w:fldChar w:fldCharType="begin"/>
      </w:r>
      <w:r>
        <w:instrText xml:space="preserve"> XE "</w:instrText>
      </w:r>
      <w:r w:rsidRPr="000710C4">
        <w:instrText>Husserl, E.</w:instrText>
      </w:r>
      <w:r>
        <w:instrText xml:space="preserve">" </w:instrText>
      </w:r>
      <w:r>
        <w:fldChar w:fldCharType="end"/>
      </w:r>
      <w:r w:rsidRPr="00273106">
        <w:t xml:space="preserve"> dedukována, čili vyvedena z obecného konceptu esence</w:t>
      </w:r>
      <w:r>
        <w:fldChar w:fldCharType="begin"/>
      </w:r>
      <w:r>
        <w:instrText xml:space="preserve"> XE "</w:instrText>
      </w:r>
      <w:r w:rsidRPr="005A027B">
        <w:instrText>esence:objektivní</w:instrText>
      </w:r>
      <w:r>
        <w:instrText xml:space="preserve">" </w:instrText>
      </w:r>
      <w:r>
        <w:fldChar w:fldCharType="end"/>
      </w:r>
      <w:r w:rsidRPr="00273106">
        <w:t xml:space="preserve"> (</w:t>
      </w:r>
      <w:r w:rsidRPr="00273106">
        <w:rPr>
          <w:i/>
        </w:rPr>
        <w:t>idea innata</w:t>
      </w:r>
      <w:r w:rsidRPr="00273106">
        <w:t xml:space="preserve">, </w:t>
      </w:r>
      <w:r w:rsidRPr="00273106">
        <w:rPr>
          <w:i/>
        </w:rPr>
        <w:t>primum cognitum</w:t>
      </w:r>
      <w:r w:rsidRPr="00273106">
        <w:t xml:space="preserve">, </w:t>
      </w:r>
      <w:r w:rsidRPr="00273106">
        <w:rPr>
          <w:i/>
        </w:rPr>
        <w:t>scibile</w:t>
      </w:r>
      <w:r w:rsidRPr="00273106">
        <w:t xml:space="preserve">, </w:t>
      </w:r>
      <w:r w:rsidRPr="00273106">
        <w:rPr>
          <w:i/>
        </w:rPr>
        <w:t>eidos</w:t>
      </w:r>
      <w:r>
        <w:t>...</w:t>
      </w:r>
      <w:r w:rsidRPr="00273106">
        <w:t>).</w:t>
      </w:r>
      <w:r>
        <w:t xml:space="preserve"> Proto běží proces deduktivního vědeckého poznání podle </w:t>
      </w:r>
      <w:r w:rsidR="081942A4">
        <w:t xml:space="preserve">metafyzického </w:t>
      </w:r>
      <w:r>
        <w:t>dativu a podle Parmenidovy reálné dráhy slunce jen jedním směrem, tedy od reality k univerzalitě. Připomeňme orthotomické</w:t>
      </w:r>
      <w:r>
        <w:fldChar w:fldCharType="begin"/>
      </w:r>
      <w:r>
        <w:instrText xml:space="preserve"> XE "</w:instrText>
      </w:r>
      <w:r w:rsidRPr="08FE7DD1">
        <w:instrText>orthotomie</w:instrText>
      </w:r>
      <w:r>
        <w:instrText xml:space="preserve">" </w:instrText>
      </w:r>
      <w:r>
        <w:fldChar w:fldCharType="end"/>
      </w:r>
      <w:r>
        <w:t xml:space="preserve"> dělení jedním směrem v dialogu </w:t>
      </w:r>
      <w:r w:rsidRPr="08EB44A7">
        <w:rPr>
          <w:i/>
        </w:rPr>
        <w:t>Sofistes</w:t>
      </w:r>
      <w:r>
        <w:t xml:space="preserve"> (</w:t>
      </w:r>
      <w:r w:rsidR="008828AE">
        <w:t>OBJ II, kap. 1</w:t>
      </w:r>
      <w:r>
        <w:t xml:space="preserve">.4). Moderna pod vedením bohyní chaosu běhá po mystickém </w:t>
      </w:r>
      <w:r w:rsidR="00E46106">
        <w:t xml:space="preserve">Jakubově </w:t>
      </w:r>
      <w:r>
        <w:t>žebříku jako andělé nahoru a dolů, ale to lze provádět pouze v paranoické mysli iluminátů. Kauzalita ve středním členu soudu zajišťuje nasvícení jsoucna zepředu, protože poznáváme jen skrze fantasmata. Nasvícení poznání od reálné věci vedlo Ockhama k integrální obraně poznání podle Averroese. První averroismus podle CMDA ukázal, že poznání v modu pravdy jako adekvace</w:t>
      </w:r>
      <w:r>
        <w:fldChar w:fldCharType="begin"/>
      </w:r>
      <w:r>
        <w:instrText xml:space="preserve"> XE "</w:instrText>
      </w:r>
      <w:r w:rsidRPr="00F954E8">
        <w:instrText>pravda:</w:instrText>
      </w:r>
      <w:r w:rsidRPr="0031783B">
        <w:rPr>
          <w:i/>
        </w:rPr>
        <w:instrText>proportio</w:instrText>
      </w:r>
      <w:r>
        <w:instrText xml:space="preserve">" </w:instrText>
      </w:r>
      <w:r>
        <w:fldChar w:fldCharType="end"/>
      </w:r>
      <w:r>
        <w:t xml:space="preserve"> nemůže existovat bez příslušné mediace, protože singulární věc způsobuje vznik univerzálního významu pouze nepřímo skrze akcidentálně dané poznání.</w:t>
      </w:r>
    </w:p>
    <w:p w:rsidR="08163013" w:rsidRPr="00273106" w:rsidRDefault="08163013" w:rsidP="08163013">
      <w:r>
        <w:tab/>
        <w:t>Další spor mezi Ockhamem a scotisty se týkal postavení diafanum</w:t>
      </w:r>
      <w:r>
        <w:fldChar w:fldCharType="begin"/>
      </w:r>
      <w:r>
        <w:instrText xml:space="preserve"> XE "</w:instrText>
      </w:r>
      <w:r w:rsidRPr="006D07A4">
        <w:instrText>diafanum:Ockham</w:instrText>
      </w:r>
      <w:r>
        <w:instrText xml:space="preserve">" </w:instrText>
      </w:r>
      <w:r>
        <w:fldChar w:fldCharType="end"/>
      </w:r>
      <w:r>
        <w:t xml:space="preserve"> ve schématu poznání. </w:t>
      </w:r>
      <w:r w:rsidRPr="00273106">
        <w:t xml:space="preserve">Jeho pojetí sleduje linii prvního averroismu </w:t>
      </w:r>
      <w:r>
        <w:t xml:space="preserve">Blundovy školy </w:t>
      </w:r>
      <w:r w:rsidRPr="00273106">
        <w:t xml:space="preserve">a </w:t>
      </w:r>
      <w:r>
        <w:t xml:space="preserve">následného výkladu </w:t>
      </w:r>
      <w:r w:rsidRPr="00273106">
        <w:t>CMDA</w:t>
      </w:r>
      <w:r>
        <w:t xml:space="preserve"> podle Sicilské školy</w:t>
      </w:r>
      <w:r>
        <w:fldChar w:fldCharType="begin"/>
      </w:r>
      <w:r>
        <w:instrText xml:space="preserve"> XE "</w:instrText>
      </w:r>
      <w:r w:rsidRPr="08E15C8A">
        <w:instrText>Sicilská škola</w:instrText>
      </w:r>
      <w:r>
        <w:instrText xml:space="preserve">" </w:instrText>
      </w:r>
      <w:r>
        <w:fldChar w:fldCharType="end"/>
      </w:r>
      <w:r w:rsidRPr="00273106">
        <w:t>. Diafanum není v aktualitě vůči světlu, protože barva jej pohybuje pouze formálně</w:t>
      </w:r>
      <w:r>
        <w:t xml:space="preserve"> a </w:t>
      </w:r>
      <w:r w:rsidRPr="00273106">
        <w:t>ne materiálně</w:t>
      </w:r>
      <w:r>
        <w:t xml:space="preserve"> (</w:t>
      </w:r>
      <w:r w:rsidRPr="00815880">
        <w:rPr>
          <w:i/>
        </w:rPr>
        <w:t>secundum quod dat diaphano formam</w:t>
      </w:r>
      <w:r>
        <w:t>)</w:t>
      </w:r>
      <w:r w:rsidRPr="00273106">
        <w:t>.</w:t>
      </w:r>
      <w:r w:rsidRPr="00273106">
        <w:rPr>
          <w:rStyle w:val="Znakapoznpodarou"/>
        </w:rPr>
        <w:footnoteReference w:id="498"/>
      </w:r>
      <w:r w:rsidRPr="00273106">
        <w:t xml:space="preserve"> Díky </w:t>
      </w:r>
      <w:r>
        <w:t xml:space="preserve">tomuto receptivnímu </w:t>
      </w:r>
      <w:r w:rsidRPr="00273106">
        <w:t xml:space="preserve">charakteru diafanum </w:t>
      </w:r>
      <w:r>
        <w:t xml:space="preserve">hraje </w:t>
      </w:r>
      <w:r w:rsidRPr="00273106">
        <w:t>zprostředkující roli mezi smyslovým a intelektuálním poznáním.</w:t>
      </w:r>
      <w:r>
        <w:t xml:space="preserve"> </w:t>
      </w:r>
      <w:r w:rsidRPr="00273106">
        <w:t>Ockham přesně interpetuje všechn</w:t>
      </w:r>
      <w:r>
        <w:t xml:space="preserve">y důležité pasáže CMDA ohledně </w:t>
      </w:r>
      <w:r w:rsidRPr="00273106">
        <w:rPr>
          <w:i/>
        </w:rPr>
        <w:t>duplex esse</w:t>
      </w:r>
      <w:r w:rsidRPr="00273106">
        <w:t xml:space="preserve"> pro diafanum (OTh 6, </w:t>
      </w:r>
      <w:r>
        <w:t xml:space="preserve">pp. </w:t>
      </w:r>
      <w:r w:rsidRPr="00273106">
        <w:t>68‒78</w:t>
      </w:r>
      <w:r>
        <w:fldChar w:fldCharType="begin"/>
      </w:r>
      <w:r>
        <w:instrText xml:space="preserve"> XE "Ockham:</w:instrText>
      </w:r>
      <w:r w:rsidRPr="008F5AC5">
        <w:rPr>
          <w:i/>
        </w:rPr>
        <w:instrText>Quest. in III. Sent</w:instrText>
      </w:r>
      <w:r>
        <w:instrText>.</w:instrText>
      </w:r>
      <w:r w:rsidRPr="00947A12">
        <w:instrText xml:space="preserve"> 68‒78</w:instrText>
      </w:r>
      <w:r>
        <w:instrText xml:space="preserve">" </w:instrText>
      </w:r>
      <w:r>
        <w:fldChar w:fldCharType="end"/>
      </w:r>
      <w:r w:rsidRPr="00273106">
        <w:t>). Hlavní argument se týká odděleného bytí diafanum jako mater</w:t>
      </w:r>
      <w:r>
        <w:t>i</w:t>
      </w:r>
      <w:r w:rsidRPr="00273106">
        <w:t>á</w:t>
      </w:r>
      <w:r>
        <w:t>l</w:t>
      </w:r>
      <w:r w:rsidRPr="00273106">
        <w:t xml:space="preserve">ního </w:t>
      </w:r>
      <w:r>
        <w:t>nositel</w:t>
      </w:r>
      <w:r w:rsidRPr="00273106">
        <w:t xml:space="preserve">e světla a intencionální (tj. nemateriální) schopnosti </w:t>
      </w:r>
      <w:r>
        <w:t>duše, která skrze oko jako smyslový orgán</w:t>
      </w:r>
      <w:r w:rsidRPr="00273106">
        <w:t xml:space="preserve"> </w:t>
      </w:r>
      <w:r>
        <w:t xml:space="preserve">toto </w:t>
      </w:r>
      <w:r w:rsidRPr="00273106">
        <w:t xml:space="preserve">materiálně </w:t>
      </w:r>
      <w:r>
        <w:t xml:space="preserve">dané světlo poznává na </w:t>
      </w:r>
      <w:r w:rsidRPr="00273106">
        <w:lastRenderedPageBreak/>
        <w:t>nemateriá</w:t>
      </w:r>
      <w:r>
        <w:t>l</w:t>
      </w:r>
      <w:r w:rsidRPr="00273106">
        <w:t xml:space="preserve">ní způsob. Scotus může </w:t>
      </w:r>
      <w:r>
        <w:t>slunce</w:t>
      </w:r>
      <w:r w:rsidRPr="00273106">
        <w:t xml:space="preserve"> uzávorkovat proto, že </w:t>
      </w:r>
      <w:r w:rsidR="00962190" w:rsidRPr="007D18E7">
        <w:t>species</w:t>
      </w:r>
      <w:r>
        <w:t xml:space="preserve"> světla je trvalá</w:t>
      </w:r>
      <w:r w:rsidRPr="00273106">
        <w:t xml:space="preserve"> a je dán</w:t>
      </w:r>
      <w:r>
        <w:t>a</w:t>
      </w:r>
      <w:r w:rsidRPr="00273106">
        <w:t xml:space="preserve"> objektivně jak v paprsku, tak i v oku, které jej přijímá. Tuto teorii považuje Ockham s odkazem na CMDA za </w:t>
      </w:r>
      <w:r>
        <w:t xml:space="preserve">zásadně </w:t>
      </w:r>
      <w:r w:rsidRPr="00273106">
        <w:t>mylnou</w:t>
      </w:r>
      <w:r>
        <w:t xml:space="preserve">. Scotismus opět rozmnožil zbytečná </w:t>
      </w:r>
      <w:r w:rsidR="00962190" w:rsidRPr="007D18E7">
        <w:t>species</w:t>
      </w:r>
      <w:r>
        <w:t xml:space="preserve"> jako jsoucna třetího druhu</w:t>
      </w:r>
      <w:r w:rsidRPr="00273106">
        <w:t>. Ockham nemůže nechat uzávorkovat existenci vnějšího světa</w:t>
      </w:r>
      <w:r>
        <w:t>, protože po zatmění první substance</w:t>
      </w:r>
      <w:r>
        <w:fldChar w:fldCharType="begin"/>
      </w:r>
      <w:r>
        <w:instrText xml:space="preserve"> XE "zatmění:</w:instrText>
      </w:r>
      <w:r w:rsidRPr="00DE2A32">
        <w:instrText>substance</w:instrText>
      </w:r>
      <w:r>
        <w:instrText xml:space="preserve">" </w:instrText>
      </w:r>
      <w:r>
        <w:fldChar w:fldCharType="end"/>
      </w:r>
      <w:r>
        <w:t xml:space="preserve"> by nutně nastalo i zatmění rozumu</w:t>
      </w:r>
      <w:r w:rsidRPr="00273106">
        <w:t>.</w:t>
      </w:r>
      <w:r>
        <w:t xml:space="preserve"> Ockham po vzoru CMDA etabluje vazbu mezi materiálním přenosem světla a jeho smyslovým poznáním, které je už nemateriální schopností duše a ne samotného světla. Poznání barvy je výsledný poznatek daný na základě aktu individuální intencionality. Následuje klíčová část určující diafanum</w:t>
      </w:r>
      <w:r>
        <w:fldChar w:fldCharType="begin"/>
      </w:r>
      <w:r>
        <w:instrText xml:space="preserve"> XE "</w:instrText>
      </w:r>
      <w:r w:rsidRPr="006A621C">
        <w:instrText>diafanum:Ockham</w:instrText>
      </w:r>
      <w:r>
        <w:instrText xml:space="preserve">" </w:instrText>
      </w:r>
      <w:r>
        <w:fldChar w:fldCharType="end"/>
      </w:r>
      <w:r>
        <w:t xml:space="preserve"> podle intencionálního pojetí </w:t>
      </w:r>
      <w:r w:rsidRPr="00F16B56">
        <w:rPr>
          <w:i/>
        </w:rPr>
        <w:t>proportio</w:t>
      </w:r>
      <w:r>
        <w:t xml:space="preserve"> daném v CMDA (</w:t>
      </w:r>
      <w:r w:rsidR="00E46106">
        <w:t xml:space="preserve">OBJ I, </w:t>
      </w:r>
      <w:r>
        <w:t>kap. 2.4.4)</w:t>
      </w:r>
      <w:r w:rsidRPr="00273106">
        <w:t>.</w:t>
      </w:r>
      <w:r>
        <w:t xml:space="preserve"> </w:t>
      </w:r>
      <w:r w:rsidRPr="00273106">
        <w:t xml:space="preserve">Diafanum stejně jako </w:t>
      </w:r>
      <w:r w:rsidRPr="00273106">
        <w:rPr>
          <w:i/>
        </w:rPr>
        <w:t>intellectus possibilis</w:t>
      </w:r>
      <w:r w:rsidRPr="00273106">
        <w:t xml:space="preserve"> zprostředkov</w:t>
      </w:r>
      <w:r>
        <w:t>ává mezi oběma druhy poznání. Diafanum má klíčovou roli</w:t>
      </w:r>
      <w:r w:rsidR="007D18E7">
        <w:t>. U</w:t>
      </w:r>
      <w:r>
        <w:t xml:space="preserve">možňuje vznik obojího </w:t>
      </w:r>
      <w:r w:rsidR="00962190" w:rsidRPr="007D18E7">
        <w:t>species</w:t>
      </w:r>
      <w:r>
        <w:t xml:space="preserve"> </w:t>
      </w:r>
      <w:r w:rsidR="007D18E7">
        <w:t xml:space="preserve">daného existencí </w:t>
      </w:r>
      <w:r>
        <w:t>věci</w:t>
      </w:r>
      <w:r w:rsidR="00D31D6E">
        <w:t>,</w:t>
      </w:r>
      <w:r>
        <w:t xml:space="preserve"> </w:t>
      </w:r>
      <w:r w:rsidR="007D18E7">
        <w:t xml:space="preserve">a to na základě </w:t>
      </w:r>
      <w:r>
        <w:t>dvojí</w:t>
      </w:r>
      <w:r w:rsidR="007D18E7">
        <w:t>ho</w:t>
      </w:r>
      <w:r>
        <w:t xml:space="preserve"> aktu intencionality</w:t>
      </w:r>
      <w:r w:rsidR="00D31D6E">
        <w:t xml:space="preserve">: první druh </w:t>
      </w:r>
      <w:r w:rsidR="00D31D6E" w:rsidRPr="00D31D6E">
        <w:rPr>
          <w:i/>
        </w:rPr>
        <w:t>species sensibilis</w:t>
      </w:r>
      <w:r w:rsidR="00D31D6E">
        <w:t xml:space="preserve"> </w:t>
      </w:r>
      <w:r>
        <w:t xml:space="preserve">zajišťuje </w:t>
      </w:r>
      <w:r w:rsidRPr="08A929EC">
        <w:rPr>
          <w:i/>
        </w:rPr>
        <w:t>vis aestimativa</w:t>
      </w:r>
      <w:r>
        <w:t xml:space="preserve"> pro zvířata a </w:t>
      </w:r>
      <w:r w:rsidR="00F14CF6">
        <w:t xml:space="preserve">druhý druh </w:t>
      </w:r>
      <w:r w:rsidR="00D31D6E" w:rsidRPr="00D31D6E">
        <w:rPr>
          <w:i/>
        </w:rPr>
        <w:t>species</w:t>
      </w:r>
      <w:r w:rsidR="00D31D6E">
        <w:t xml:space="preserve"> </w:t>
      </w:r>
      <w:r w:rsidR="00D31D6E" w:rsidRPr="00F14CF6">
        <w:rPr>
          <w:i/>
        </w:rPr>
        <w:t>intelligibilis</w:t>
      </w:r>
      <w:r w:rsidR="00D31D6E">
        <w:t xml:space="preserve"> je dán skrze </w:t>
      </w:r>
      <w:r w:rsidRPr="08A929EC">
        <w:rPr>
          <w:i/>
        </w:rPr>
        <w:t>intellectus possibilis</w:t>
      </w:r>
      <w:r>
        <w:rPr>
          <w:i/>
        </w:rPr>
        <w:t xml:space="preserve"> </w:t>
      </w:r>
      <w:r>
        <w:t>pro</w:t>
      </w:r>
      <w:r w:rsidRPr="08C2584D">
        <w:t xml:space="preserve"> člověka</w:t>
      </w:r>
      <w:r>
        <w:t>.</w:t>
      </w:r>
    </w:p>
    <w:p w:rsidR="08163013" w:rsidRPr="00714457" w:rsidRDefault="08163013" w:rsidP="08163013">
      <w:pPr>
        <w:pStyle w:val="Citace"/>
        <w:rPr>
          <w:noProof/>
          <w:lang w:val="cs-CZ"/>
        </w:rPr>
      </w:pPr>
      <w:r w:rsidRPr="00273106">
        <w:rPr>
          <w:noProof/>
          <w:lang w:val="cs-CZ"/>
        </w:rPr>
        <w:t>„</w:t>
      </w:r>
      <w:r>
        <w:rPr>
          <w:noProof/>
          <w:lang w:val="cs-CZ"/>
        </w:rPr>
        <w:t>Barva existuje ve viditelném objektu čistě materiálně, v oku však vyvstává (</w:t>
      </w:r>
      <w:r w:rsidRPr="007A603B">
        <w:rPr>
          <w:i/>
          <w:noProof/>
          <w:lang w:val="cs-CZ"/>
        </w:rPr>
        <w:t>exsistit</w:t>
      </w:r>
      <w:r>
        <w:rPr>
          <w:noProof/>
          <w:lang w:val="cs-CZ"/>
        </w:rPr>
        <w:t>) nemateriálním způsobem. Ale barva vzniká ve středním členu poznávacího aktu (</w:t>
      </w:r>
      <w:r w:rsidRPr="00714457">
        <w:rPr>
          <w:i/>
          <w:noProof/>
          <w:lang w:val="cs-CZ"/>
        </w:rPr>
        <w:t>in medio</w:t>
      </w:r>
      <w:r w:rsidRPr="00A228AA">
        <w:rPr>
          <w:i/>
          <w:noProof/>
          <w:lang w:val="cs-CZ"/>
        </w:rPr>
        <w:t xml:space="preserve"> exsistit</w:t>
      </w:r>
      <w:r>
        <w:rPr>
          <w:noProof/>
          <w:lang w:val="cs-CZ"/>
        </w:rPr>
        <w:t>) určitým způsobem nemateriálně a spirituálně (</w:t>
      </w:r>
      <w:r w:rsidRPr="08733F1F">
        <w:rPr>
          <w:i/>
          <w:noProof/>
        </w:rPr>
        <w:t>aliquo modo immaterialiter et spiritualiter</w:t>
      </w:r>
      <w:r>
        <w:rPr>
          <w:noProof/>
          <w:lang w:val="cs-CZ"/>
        </w:rPr>
        <w:t>). Příroda postupuje skrze mediaci určenou materiálně, ale materie jako taková nemůže působit na nemateriální poznání (</w:t>
      </w:r>
      <w:r w:rsidRPr="084D7C02">
        <w:rPr>
          <w:i/>
          <w:noProof/>
        </w:rPr>
        <w:t>purum materiale non agit in immateriale</w:t>
      </w:r>
      <w:r>
        <w:rPr>
          <w:noProof/>
          <w:lang w:val="cs-CZ"/>
        </w:rPr>
        <w:t xml:space="preserve">). Proto smyslově poznaný objekt není kauzálně daný ve smyslech, ale vzniká skrze zprostředkující </w:t>
      </w:r>
      <w:r w:rsidR="00962190">
        <w:rPr>
          <w:i/>
          <w:noProof/>
          <w:lang w:val="cs-CZ"/>
        </w:rPr>
        <w:t>species</w:t>
      </w:r>
      <w:r>
        <w:rPr>
          <w:noProof/>
          <w:lang w:val="cs-CZ"/>
        </w:rPr>
        <w:t xml:space="preserve"> (</w:t>
      </w:r>
      <w:r w:rsidR="00962190">
        <w:rPr>
          <w:i/>
          <w:noProof/>
        </w:rPr>
        <w:t>species</w:t>
      </w:r>
      <w:r w:rsidRPr="00A228AA">
        <w:rPr>
          <w:i/>
          <w:noProof/>
        </w:rPr>
        <w:t xml:space="preserve"> in medio</w:t>
      </w:r>
      <w:r>
        <w:rPr>
          <w:noProof/>
          <w:lang w:val="cs-CZ"/>
        </w:rPr>
        <w:t xml:space="preserve">). Vidění </w:t>
      </w:r>
      <w:r w:rsidR="00DF042B">
        <w:rPr>
          <w:noProof/>
          <w:lang w:val="cs-CZ"/>
        </w:rPr>
        <w:t xml:space="preserve">jako </w:t>
      </w:r>
      <w:r>
        <w:rPr>
          <w:noProof/>
          <w:lang w:val="cs-CZ"/>
        </w:rPr>
        <w:t>duševní schopnost poznává nemateriálně</w:t>
      </w:r>
      <w:r w:rsidR="00DF042B">
        <w:rPr>
          <w:noProof/>
          <w:lang w:val="cs-CZ"/>
        </w:rPr>
        <w:t>;</w:t>
      </w:r>
      <w:r>
        <w:rPr>
          <w:noProof/>
          <w:lang w:val="cs-CZ"/>
        </w:rPr>
        <w:t xml:space="preserve"> proto tuto schopnost přímo nemůže ovlivnit nic materiálního.“ </w:t>
      </w:r>
      <w:r>
        <w:rPr>
          <w:rStyle w:val="Znakapoznpodarou"/>
        </w:rPr>
        <w:footnoteReference w:id="499"/>
      </w:r>
    </w:p>
    <w:p w:rsidR="08163013" w:rsidRPr="00273106" w:rsidRDefault="08163013" w:rsidP="08163013">
      <w:r>
        <w:t>B</w:t>
      </w:r>
      <w:r w:rsidRPr="00273106">
        <w:t>arva je daná na materiálním substrátu</w:t>
      </w:r>
      <w:r>
        <w:t>, který nese poznání, protože je to aktuální první substance. Tato aktuální existence bílé věci</w:t>
      </w:r>
      <w:r w:rsidRPr="00273106">
        <w:t xml:space="preserve"> dostane nový charakter v procesu poznání. </w:t>
      </w:r>
      <w:r>
        <w:t xml:space="preserve">Ockham odmítne porretánské a Scotovo pojetí </w:t>
      </w:r>
      <w:r w:rsidR="00190700">
        <w:t>objektivní ex</w:t>
      </w:r>
      <w:r>
        <w:t>istence</w:t>
      </w:r>
      <w:r w:rsidR="00190700">
        <w:t xml:space="preserve">, protože mytologie moderny nepatří do kritického myšlení. Ockham </w:t>
      </w:r>
      <w:r>
        <w:t>musí fenomeno</w:t>
      </w:r>
      <w:r w:rsidR="00190700">
        <w:t>logicky s Averroesem vysvětlit poznání v rámci hermeneutického „</w:t>
      </w:r>
      <w:r w:rsidR="00190700" w:rsidRPr="00273106">
        <w:rPr>
          <w:i/>
        </w:rPr>
        <w:t>Wie</w:t>
      </w:r>
      <w:r w:rsidR="00190700">
        <w:t>“</w:t>
      </w:r>
      <w:r w:rsidR="00190700">
        <w:rPr>
          <w:i/>
        </w:rPr>
        <w:fldChar w:fldCharType="begin"/>
      </w:r>
      <w:r w:rsidR="00190700">
        <w:instrText xml:space="preserve"> XE "hermeneutické </w:instrText>
      </w:r>
      <w:r w:rsidR="00190700" w:rsidRPr="004C00ED">
        <w:rPr>
          <w:i/>
        </w:rPr>
        <w:instrText>Wie</w:instrText>
      </w:r>
      <w:r w:rsidR="00190700">
        <w:instrText xml:space="preserve">:Olivi" </w:instrText>
      </w:r>
      <w:r w:rsidR="00190700">
        <w:rPr>
          <w:i/>
        </w:rPr>
        <w:fldChar w:fldCharType="end"/>
      </w:r>
      <w:r w:rsidR="00190700" w:rsidRPr="00273106">
        <w:t xml:space="preserve"> (πῶς, </w:t>
      </w:r>
      <w:r w:rsidR="00190700" w:rsidRPr="00273106">
        <w:rPr>
          <w:i/>
          <w:iCs/>
        </w:rPr>
        <w:t>quomodo</w:t>
      </w:r>
      <w:r w:rsidR="00190700" w:rsidRPr="00273106">
        <w:t xml:space="preserve">), které Siger podle </w:t>
      </w:r>
      <w:r w:rsidR="00190700">
        <w:rPr>
          <w:i/>
        </w:rPr>
        <w:t>De anima</w:t>
      </w:r>
      <w:r w:rsidR="00190700" w:rsidRPr="00273106">
        <w:t xml:space="preserve"> jednoznačně přiřadil k bytí reálné věci akcide</w:t>
      </w:r>
      <w:r w:rsidR="00190700">
        <w:t>ntálně poznávané v mysli (kap. 4</w:t>
      </w:r>
      <w:r w:rsidR="00190700" w:rsidRPr="00273106">
        <w:t xml:space="preserve">.4.2). </w:t>
      </w:r>
      <w:r>
        <w:t xml:space="preserve"> </w:t>
      </w:r>
      <w:r w:rsidR="00190700">
        <w:t xml:space="preserve">Pak je třeba přesně popsat způsob, jak </w:t>
      </w:r>
      <w:r>
        <w:t xml:space="preserve">se barva v procesu </w:t>
      </w:r>
      <w:r>
        <w:lastRenderedPageBreak/>
        <w:t xml:space="preserve">poznání skutečně manifestuje </w:t>
      </w:r>
      <w:r w:rsidRPr="00273106">
        <w:t>(</w:t>
      </w:r>
      <w:r w:rsidRPr="00273106">
        <w:rPr>
          <w:i/>
        </w:rPr>
        <w:t>color exsistit in obiecto visibili pure materialiter</w:t>
      </w:r>
      <w:r w:rsidRPr="00273106">
        <w:t>)</w:t>
      </w:r>
      <w:r>
        <w:t xml:space="preserve">. Smyslové poznání je dané jako schopnost animální či intelektuální duše, která je nemateriální forma těla. Poznání jako schopnost této nemateriální duše </w:t>
      </w:r>
      <w:r w:rsidRPr="00273106">
        <w:t xml:space="preserve">vnímá </w:t>
      </w:r>
      <w:r>
        <w:t xml:space="preserve">barvu </w:t>
      </w:r>
      <w:r w:rsidRPr="00273106">
        <w:t>již abstraktně a odděleně od materiální reality věci (</w:t>
      </w:r>
      <w:r w:rsidRPr="00273106">
        <w:rPr>
          <w:i/>
        </w:rPr>
        <w:t>in oculo autem exsistit immaterialiter</w:t>
      </w:r>
      <w:r w:rsidRPr="00273106">
        <w:t xml:space="preserve">). </w:t>
      </w:r>
      <w:r>
        <w:t xml:space="preserve">Termínem </w:t>
      </w:r>
      <w:r w:rsidRPr="00360E3A">
        <w:rPr>
          <w:i/>
        </w:rPr>
        <w:t>in oculo</w:t>
      </w:r>
      <w:r>
        <w:t xml:space="preserve"> se nemyslí daný smyslový a tedy materiální orgán, ale receptivní a syntetická poznávací schopnost animální či lidské duše daná již nemateriálně. Oko je materiálním nástrojem této nemateriální duševní schopnosti, která je zcela individuální ve svém výkonu jak u zvířete, tak u člověka. Proto lze proteticky nahradit oko, ale ne poznaný </w:t>
      </w:r>
      <w:r w:rsidR="00962190">
        <w:rPr>
          <w:i/>
        </w:rPr>
        <w:t>species</w:t>
      </w:r>
      <w:r>
        <w:t xml:space="preserve"> daný duševním výkonem zvířete nebo osoby. Proto musí diafanum nějakým způsobem</w:t>
      </w:r>
      <w:r w:rsidRPr="00273106">
        <w:t xml:space="preserve"> obsahovat</w:t>
      </w:r>
      <w:r>
        <w:t xml:space="preserve"> oba poznávací mody, protože v procesu intelektuální mediace vyvstane v receptivním intelektu nemateriální </w:t>
      </w:r>
      <w:r w:rsidR="00962190">
        <w:rPr>
          <w:i/>
        </w:rPr>
        <w:t>species</w:t>
      </w:r>
      <w:r>
        <w:t xml:space="preserve"> </w:t>
      </w:r>
      <w:r w:rsidRPr="00273106">
        <w:t>(</w:t>
      </w:r>
      <w:r w:rsidRPr="00273106">
        <w:rPr>
          <w:i/>
        </w:rPr>
        <w:t>in medio exsistit aliquo modo immaterialiter et spiritualiter</w:t>
      </w:r>
      <w:r w:rsidRPr="00273106">
        <w:t xml:space="preserve">). Citát </w:t>
      </w:r>
      <w:r>
        <w:t xml:space="preserve">koriguje </w:t>
      </w:r>
      <w:r w:rsidR="008925EA">
        <w:t xml:space="preserve">hlavní omyl </w:t>
      </w:r>
      <w:r w:rsidR="00753AD1">
        <w:t>druhého averroismu</w:t>
      </w:r>
      <w:r w:rsidR="008925EA">
        <w:t xml:space="preserve">. Ten </w:t>
      </w:r>
      <w:r w:rsidR="00753AD1">
        <w:t>zásadně oddělil</w:t>
      </w:r>
      <w:r w:rsidR="008925EA">
        <w:t xml:space="preserve"> smyslové a intelektuální poznání, protože zrušil kauzálně danou mediaci skrze diafranum</w:t>
      </w:r>
      <w:r w:rsidRPr="00273106">
        <w:t xml:space="preserve">. </w:t>
      </w:r>
      <w:r>
        <w:t>D</w:t>
      </w:r>
      <w:r w:rsidRPr="00273106">
        <w:t>r</w:t>
      </w:r>
      <w:r>
        <w:t>uhý averroismus odmítl Averroe</w:t>
      </w:r>
      <w:r w:rsidRPr="00273106">
        <w:t xml:space="preserve">sovo </w:t>
      </w:r>
      <w:r w:rsidRPr="00273106">
        <w:rPr>
          <w:i/>
        </w:rPr>
        <w:t>proportio</w:t>
      </w:r>
      <w:r>
        <w:t xml:space="preserve"> </w:t>
      </w:r>
      <w:r w:rsidRPr="00273106">
        <w:t xml:space="preserve">a tím </w:t>
      </w:r>
      <w:r>
        <w:t xml:space="preserve">zrušil </w:t>
      </w:r>
      <w:r w:rsidRPr="00273106">
        <w:t xml:space="preserve">adekvační teorii pravdy. </w:t>
      </w:r>
      <w:r>
        <w:t>P</w:t>
      </w:r>
      <w:r w:rsidRPr="00273106">
        <w:t>římé spojení materiálního a nemateriálního poznání</w:t>
      </w:r>
      <w:r>
        <w:t xml:space="preserve"> není možné (</w:t>
      </w:r>
      <w:r w:rsidRPr="00273106">
        <w:rPr>
          <w:i/>
        </w:rPr>
        <w:t>obiectum sensibile non immediate agit in sensum</w:t>
      </w:r>
      <w:r>
        <w:t xml:space="preserve">). Proto </w:t>
      </w:r>
      <w:r w:rsidRPr="00273106">
        <w:t xml:space="preserve">musí existovat proces mediace pomocí </w:t>
      </w:r>
      <w:r>
        <w:t xml:space="preserve">smyslových či inteligibilních </w:t>
      </w:r>
      <w:r w:rsidR="00962190">
        <w:rPr>
          <w:i/>
        </w:rPr>
        <w:t>species</w:t>
      </w:r>
      <w:r w:rsidRPr="00273106">
        <w:t>, který tuto adekvaci založí (</w:t>
      </w:r>
      <w:r w:rsidR="00962190">
        <w:rPr>
          <w:i/>
        </w:rPr>
        <w:t>species</w:t>
      </w:r>
      <w:r w:rsidRPr="00273106">
        <w:rPr>
          <w:i/>
        </w:rPr>
        <w:t xml:space="preserve"> in medio</w:t>
      </w:r>
      <w:r w:rsidRPr="00273106">
        <w:t xml:space="preserve">). </w:t>
      </w:r>
      <w:r>
        <w:t xml:space="preserve">Ockham dobře ví, že termín </w:t>
      </w:r>
      <w:r w:rsidRPr="00F16B56">
        <w:rPr>
          <w:i/>
        </w:rPr>
        <w:t>proportio</w:t>
      </w:r>
      <w:r>
        <w:rPr>
          <w:i/>
        </w:rPr>
        <w:fldChar w:fldCharType="begin"/>
      </w:r>
      <w:r>
        <w:instrText xml:space="preserve"> XE "pravda:</w:instrText>
      </w:r>
      <w:r w:rsidRPr="006A0555">
        <w:rPr>
          <w:i/>
        </w:rPr>
        <w:instrText>proportio</w:instrText>
      </w:r>
      <w:r>
        <w:instrText xml:space="preserve">" </w:instrText>
      </w:r>
      <w:r>
        <w:rPr>
          <w:i/>
        </w:rPr>
        <w:fldChar w:fldCharType="end"/>
      </w:r>
      <w:r>
        <w:t xml:space="preserve"> tvoří centrální argumentaci CMDA a doslovně cituje příslušnou část v jiné polemice se scotisty.</w:t>
      </w:r>
      <w:r w:rsidRPr="00273106">
        <w:rPr>
          <w:rStyle w:val="Znakapoznpodarou"/>
        </w:rPr>
        <w:footnoteReference w:id="500"/>
      </w:r>
      <w:r w:rsidRPr="00273106">
        <w:t xml:space="preserve"> </w:t>
      </w:r>
      <w:r>
        <w:t xml:space="preserve">Proto má abstrahovaná </w:t>
      </w:r>
      <w:r w:rsidR="00962190" w:rsidRPr="00307B6C">
        <w:t>species</w:t>
      </w:r>
      <w:r w:rsidRPr="00273106">
        <w:t xml:space="preserve"> </w:t>
      </w:r>
      <w:r>
        <w:t xml:space="preserve">jiný charakter </w:t>
      </w:r>
      <w:r w:rsidRPr="00273106">
        <w:t xml:space="preserve">než </w:t>
      </w:r>
      <w:r>
        <w:t xml:space="preserve">denudovaná </w:t>
      </w:r>
      <w:r w:rsidR="00962190">
        <w:rPr>
          <w:i/>
        </w:rPr>
        <w:t>species</w:t>
      </w:r>
      <w:r w:rsidRPr="00273106">
        <w:t xml:space="preserve"> druhého averroismu</w:t>
      </w:r>
      <w:r>
        <w:t>, která je jsoucnem třetího druhu</w:t>
      </w:r>
      <w:r w:rsidRPr="00273106">
        <w:t xml:space="preserve">. </w:t>
      </w:r>
      <w:r>
        <w:t xml:space="preserve">Ockhamovo citované </w:t>
      </w:r>
      <w:r w:rsidR="00962190">
        <w:rPr>
          <w:i/>
        </w:rPr>
        <w:t>species</w:t>
      </w:r>
      <w:r w:rsidRPr="00273106">
        <w:rPr>
          <w:i/>
        </w:rPr>
        <w:t xml:space="preserve"> in medio</w:t>
      </w:r>
      <w:r w:rsidRPr="00273106">
        <w:t xml:space="preserve"> není substance třetího druhu podle </w:t>
      </w:r>
      <w:r w:rsidRPr="00273106">
        <w:rPr>
          <w:i/>
        </w:rPr>
        <w:t>Nominales</w:t>
      </w:r>
      <w:r w:rsidRPr="00273106">
        <w:t>, nebo objektivní jsoucno podle Scota</w:t>
      </w:r>
      <w:r>
        <w:t xml:space="preserve"> v kategoriálním modu </w:t>
      </w:r>
      <w:r w:rsidR="00307B6C">
        <w:t>„</w:t>
      </w:r>
      <w:r w:rsidRPr="00273106">
        <w:rPr>
          <w:i/>
        </w:rPr>
        <w:t>resolutio in quid</w:t>
      </w:r>
      <w:r w:rsidR="00307B6C">
        <w:t>“</w:t>
      </w:r>
      <w:r>
        <w:rPr>
          <w:i/>
        </w:rPr>
        <w:fldChar w:fldCharType="begin"/>
      </w:r>
      <w:r>
        <w:instrText xml:space="preserve"> XE "</w:instrText>
      </w:r>
      <w:r w:rsidRPr="00111E9E">
        <w:rPr>
          <w:i/>
        </w:rPr>
        <w:instrText>resolutio</w:instrText>
      </w:r>
      <w:r>
        <w:rPr>
          <w:i/>
        </w:rPr>
        <w:instrText>:in quid</w:instrText>
      </w:r>
      <w:r>
        <w:instrText xml:space="preserve">" </w:instrText>
      </w:r>
      <w:r>
        <w:rPr>
          <w:i/>
        </w:rPr>
        <w:fldChar w:fldCharType="end"/>
      </w:r>
      <w:r w:rsidRPr="00273106">
        <w:t>, k</w:t>
      </w:r>
      <w:r>
        <w:t xml:space="preserve">terý je determinovaný náhledem </w:t>
      </w:r>
      <w:r w:rsidR="00307B6C">
        <w:t>skrze „</w:t>
      </w:r>
      <w:r w:rsidRPr="00273106">
        <w:rPr>
          <w:i/>
        </w:rPr>
        <w:t>conceptus simpliciter simplex</w:t>
      </w:r>
      <w:r w:rsidR="00307B6C">
        <w:t>“</w:t>
      </w:r>
      <w:r>
        <w:rPr>
          <w:i/>
        </w:rPr>
        <w:fldChar w:fldCharType="begin"/>
      </w:r>
      <w:r>
        <w:instrText xml:space="preserve"> XE "</w:instrText>
      </w:r>
      <w:r w:rsidRPr="00FF6A6C">
        <w:rPr>
          <w:i/>
        </w:rPr>
        <w:instrText>conceptus simpliciter simplex</w:instrText>
      </w:r>
      <w:r>
        <w:instrText xml:space="preserve">" </w:instrText>
      </w:r>
      <w:r>
        <w:rPr>
          <w:i/>
        </w:rPr>
        <w:fldChar w:fldCharType="end"/>
      </w:r>
      <w:r w:rsidR="00A2115D">
        <w:t xml:space="preserve"> (kap. 5</w:t>
      </w:r>
      <w:r>
        <w:t>.3.2). E</w:t>
      </w:r>
      <w:r w:rsidRPr="00273106">
        <w:t xml:space="preserve">xistence </w:t>
      </w:r>
      <w:r>
        <w:t xml:space="preserve">intencionální </w:t>
      </w:r>
      <w:r w:rsidR="00962190" w:rsidRPr="00307B6C">
        <w:t>species</w:t>
      </w:r>
      <w:r>
        <w:t xml:space="preserve"> </w:t>
      </w:r>
      <w:r w:rsidRPr="00273106">
        <w:t>je vázána na aktuální první substanci</w:t>
      </w:r>
      <w:r>
        <w:t>, která spouští nemateriální poznávací proces daný v lidské nebo zvířecí duši</w:t>
      </w:r>
      <w:r w:rsidRPr="00273106">
        <w:t xml:space="preserve">. </w:t>
      </w:r>
      <w:r>
        <w:t xml:space="preserve">Smyslová či inteligibilní </w:t>
      </w:r>
      <w:r w:rsidR="00962190" w:rsidRPr="00307B6C">
        <w:t>species</w:t>
      </w:r>
      <w:r>
        <w:t xml:space="preserve"> zajišťuje</w:t>
      </w:r>
      <w:r w:rsidRPr="00273106">
        <w:t xml:space="preserve"> mediaci mezi oběma druhy poznání. </w:t>
      </w:r>
      <w:r w:rsidR="00962190" w:rsidRPr="00307B6C">
        <w:t>Species</w:t>
      </w:r>
      <w:r w:rsidRPr="00273106">
        <w:t xml:space="preserve"> nemůže v první substanci existovat ve smyslu </w:t>
      </w:r>
      <w:r>
        <w:t xml:space="preserve">nějaké objektivní </w:t>
      </w:r>
      <w:r w:rsidRPr="00273106">
        <w:t xml:space="preserve">insistence, </w:t>
      </w:r>
      <w:r>
        <w:t xml:space="preserve">což měl Gandavův pojem </w:t>
      </w:r>
      <w:r w:rsidR="00307B6C">
        <w:t>„</w:t>
      </w:r>
      <w:r>
        <w:rPr>
          <w:i/>
        </w:rPr>
        <w:t>esse ad</w:t>
      </w:r>
      <w:r w:rsidR="00307B6C">
        <w:t>“</w:t>
      </w:r>
      <w:r w:rsidRPr="00273106">
        <w:t xml:space="preserve"> a jeho objekti</w:t>
      </w:r>
      <w:r w:rsidR="00A2115D">
        <w:t>vní transformace u Scota (kap. 5</w:t>
      </w:r>
      <w:r w:rsidRPr="00273106">
        <w:t>.3.3). První substance</w:t>
      </w:r>
      <w:r>
        <w:fldChar w:fldCharType="begin"/>
      </w:r>
      <w:r>
        <w:instrText xml:space="preserve"> XE "</w:instrText>
      </w:r>
      <w:r w:rsidRPr="00011594">
        <w:instrText>substance:první</w:instrText>
      </w:r>
      <w:r>
        <w:instrText xml:space="preserve">" </w:instrText>
      </w:r>
      <w:r>
        <w:fldChar w:fldCharType="end"/>
      </w:r>
      <w:r w:rsidRPr="00273106">
        <w:t xml:space="preserve"> je dána </w:t>
      </w:r>
      <w:r w:rsidRPr="00273106">
        <w:rPr>
          <w:i/>
        </w:rPr>
        <w:lastRenderedPageBreak/>
        <w:t>per se</w:t>
      </w:r>
      <w:r w:rsidRPr="00273106">
        <w:t xml:space="preserve"> a </w:t>
      </w:r>
      <w:r w:rsidRPr="00273106">
        <w:rPr>
          <w:i/>
        </w:rPr>
        <w:t>simpliciter</w:t>
      </w:r>
      <w:r w:rsidRPr="00273106">
        <w:t xml:space="preserve"> a naše poznání se jí vůbec nedotýká. </w:t>
      </w:r>
      <w:r>
        <w:t xml:space="preserve">Citát ukazuje podle CMDA brilantní rozlišení reality, její fyzikální mediace a následného individuálního poznání. </w:t>
      </w:r>
    </w:p>
    <w:p w:rsidR="08163013" w:rsidRPr="00137EA0" w:rsidRDefault="08163013" w:rsidP="08163013">
      <w:pPr>
        <w:pStyle w:val="Citace"/>
        <w:rPr>
          <w:noProof/>
          <w:lang w:val="cs-CZ"/>
        </w:rPr>
      </w:pPr>
      <w:r w:rsidRPr="00273106">
        <w:rPr>
          <w:noProof/>
        </w:rPr>
        <w:t>„</w:t>
      </w:r>
      <w:r>
        <w:rPr>
          <w:noProof/>
          <w:lang w:val="cs-CZ"/>
        </w:rPr>
        <w:t>Barva neexistuje materiálně v poznávací schopnosti vidění. Kdyby byla [v duši] přijímána</w:t>
      </w:r>
      <w:r w:rsidR="00991452">
        <w:rPr>
          <w:noProof/>
          <w:lang w:val="cs-CZ"/>
        </w:rPr>
        <w:t xml:space="preserve"> materiálně</w:t>
      </w:r>
      <w:r>
        <w:rPr>
          <w:noProof/>
          <w:lang w:val="cs-CZ"/>
        </w:rPr>
        <w:t>, byla by dána jako rozsažné materiální těleso. Stejně je tomu pro barvu danou skrze mediaci, protože ve [fyzikálním] diafanum barva vyvstává čistě materiálně jako v externím objektu (</w:t>
      </w:r>
      <w:r w:rsidRPr="0070472B">
        <w:rPr>
          <w:i/>
          <w:noProof/>
        </w:rPr>
        <w:t>ibi exsistit pure materialiter sicut in obiecto</w:t>
      </w:r>
      <w:r>
        <w:rPr>
          <w:noProof/>
          <w:lang w:val="cs-CZ"/>
        </w:rPr>
        <w:t>), a ne intencionálně nebo spirituálně (</w:t>
      </w:r>
      <w:r w:rsidRPr="0070472B">
        <w:rPr>
          <w:i/>
          <w:noProof/>
        </w:rPr>
        <w:t>non intentionaliter nec spiritualiter</w:t>
      </w:r>
      <w:r>
        <w:rPr>
          <w:noProof/>
          <w:lang w:val="cs-CZ"/>
        </w:rPr>
        <w:t>). Proto lze říci, že barva v poznávací schopnosti vzniká nemateriálně, protože forma přijetí do poznávající potence má jinou definici, než forma existující v materiálním objektu (</w:t>
      </w:r>
      <w:r w:rsidRPr="00F75F5B">
        <w:rPr>
          <w:i/>
          <w:noProof/>
        </w:rPr>
        <w:t>forma recepta in potentia est alterius rationis a forma exsistente in obiecto</w:t>
      </w:r>
      <w:r>
        <w:rPr>
          <w:noProof/>
          <w:lang w:val="cs-CZ"/>
        </w:rPr>
        <w:t>).“ </w:t>
      </w:r>
      <w:r>
        <w:rPr>
          <w:rStyle w:val="Znakapoznpodarou"/>
        </w:rPr>
        <w:footnoteReference w:id="501"/>
      </w:r>
    </w:p>
    <w:p w:rsidR="08163013" w:rsidRPr="00273106" w:rsidRDefault="08163013" w:rsidP="08163013">
      <w:r w:rsidRPr="00273106">
        <w:t>Diafanum</w:t>
      </w:r>
      <w:r>
        <w:fldChar w:fldCharType="begin"/>
      </w:r>
      <w:r>
        <w:instrText xml:space="preserve"> XE "</w:instrText>
      </w:r>
      <w:r w:rsidRPr="00F66E3C">
        <w:instrText>diafanum</w:instrText>
      </w:r>
      <w:r>
        <w:instrText>:Ock</w:instrText>
      </w:r>
      <w:r w:rsidRPr="00F66E3C">
        <w:instrText>ham</w:instrText>
      </w:r>
      <w:r>
        <w:instrText xml:space="preserve">" </w:instrText>
      </w:r>
      <w:r>
        <w:fldChar w:fldCharType="end"/>
      </w:r>
      <w:r w:rsidRPr="00273106">
        <w:t xml:space="preserve"> </w:t>
      </w:r>
      <w:r>
        <w:t xml:space="preserve">v modu fyzikálního </w:t>
      </w:r>
      <w:r w:rsidRPr="08AE2748">
        <w:rPr>
          <w:i/>
        </w:rPr>
        <w:t>perspicuum</w:t>
      </w:r>
      <w:r>
        <w:t xml:space="preserve"> </w:t>
      </w:r>
      <w:r w:rsidRPr="00273106">
        <w:t xml:space="preserve">tvoří </w:t>
      </w:r>
      <w:r>
        <w:t>materiálního nositele</w:t>
      </w:r>
      <w:r w:rsidRPr="00273106">
        <w:t xml:space="preserve"> světla, a tím mu dává potřebnou materiální extenzi </w:t>
      </w:r>
      <w:r>
        <w:t xml:space="preserve">na barevné ploše tělesa </w:t>
      </w:r>
      <w:r w:rsidRPr="00273106">
        <w:t>(</w:t>
      </w:r>
      <w:r w:rsidRPr="00273106">
        <w:rPr>
          <w:i/>
        </w:rPr>
        <w:t>ibi exsistit pure materialiter sicut in obiecto</w:t>
      </w:r>
      <w:r w:rsidRPr="00273106">
        <w:t xml:space="preserve">). </w:t>
      </w:r>
      <w:r>
        <w:t>Tato m</w:t>
      </w:r>
      <w:r w:rsidRPr="00273106">
        <w:t xml:space="preserve">ateriálně daná kauzalita </w:t>
      </w:r>
      <w:r>
        <w:t xml:space="preserve">zajištěná přenosem světla na plochu </w:t>
      </w:r>
      <w:r w:rsidRPr="00273106">
        <w:t xml:space="preserve">je </w:t>
      </w:r>
      <w:r>
        <w:t xml:space="preserve">přenášena do tělesných smyslů, které jsou na stejné rovni eficientního a materiálního diafanum. </w:t>
      </w:r>
      <w:r w:rsidRPr="00273106">
        <w:t>Vidění je založeno fyziologicky, tedy v materiálně daném tělesném orgánu. Smysly jsou materiální a působení věcí a světla na smysly je také přímé (</w:t>
      </w:r>
      <w:r w:rsidRPr="00273106">
        <w:rPr>
          <w:i/>
        </w:rPr>
        <w:t>color non exsistit in potentia visiva immaterialiter</w:t>
      </w:r>
      <w:r w:rsidRPr="00273106">
        <w:t xml:space="preserve">). </w:t>
      </w:r>
      <w:r>
        <w:t>Adekvace na úrovni oka je možná proto, že s</w:t>
      </w:r>
      <w:r w:rsidRPr="00273106">
        <w:t>větlo v prostředí diafanum existuje pouze materiálně (</w:t>
      </w:r>
      <w:r w:rsidRPr="00273106">
        <w:rPr>
          <w:i/>
        </w:rPr>
        <w:t>eodem modo est de colore in medio</w:t>
      </w:r>
      <w:r w:rsidRPr="00273106">
        <w:t>). Citát proti Scotovi zdůrazňuje, že existence světla v diafanum sama o so</w:t>
      </w:r>
      <w:r>
        <w:t xml:space="preserve">bě má pouze </w:t>
      </w:r>
      <w:r w:rsidRPr="00273106">
        <w:t xml:space="preserve">materiální charakter, </w:t>
      </w:r>
      <w:r>
        <w:t xml:space="preserve">protože </w:t>
      </w:r>
      <w:r w:rsidRPr="00273106">
        <w:t xml:space="preserve">neobsahuje </w:t>
      </w:r>
      <w:r>
        <w:t>žádná</w:t>
      </w:r>
      <w:r w:rsidRPr="00273106">
        <w:t xml:space="preserve"> inteligibilní </w:t>
      </w:r>
      <w:r w:rsidR="00962190">
        <w:rPr>
          <w:i/>
        </w:rPr>
        <w:t>species</w:t>
      </w:r>
      <w:r w:rsidRPr="00273106">
        <w:t xml:space="preserve"> (</w:t>
      </w:r>
      <w:r w:rsidRPr="00273106">
        <w:rPr>
          <w:i/>
        </w:rPr>
        <w:t>non intentionaliter nec spiritualiter</w:t>
      </w:r>
      <w:r w:rsidRPr="00273106">
        <w:t xml:space="preserve">). Nemateriální manifestace světla </w:t>
      </w:r>
      <w:r>
        <w:t xml:space="preserve">vzniká </w:t>
      </w:r>
      <w:r w:rsidRPr="00273106">
        <w:t>(</w:t>
      </w:r>
      <w:r w:rsidRPr="00273106">
        <w:rPr>
          <w:i/>
        </w:rPr>
        <w:t>exsistit immaterialiter</w:t>
      </w:r>
      <w:r w:rsidRPr="00273106">
        <w:t xml:space="preserve">) díky recepci ve smyslové či intelektuální </w:t>
      </w:r>
      <w:r>
        <w:t xml:space="preserve">schopnosti duše, která funguje jako další </w:t>
      </w:r>
      <w:r w:rsidRPr="00273106">
        <w:t>diafanum</w:t>
      </w:r>
      <w:r>
        <w:t xml:space="preserve"> pro duševní poznání. Tento individuální akt poznání skrze proces abstrakce nejprve vytváří individuální smyslovou</w:t>
      </w:r>
      <w:r w:rsidRPr="00273106">
        <w:t xml:space="preserve"> </w:t>
      </w:r>
      <w:r w:rsidR="00962190">
        <w:rPr>
          <w:i/>
        </w:rPr>
        <w:t>species</w:t>
      </w:r>
      <w:r w:rsidRPr="00273106">
        <w:t xml:space="preserve"> </w:t>
      </w:r>
      <w:r>
        <w:t>a syntetizuje</w:t>
      </w:r>
      <w:r w:rsidRPr="00273106">
        <w:t xml:space="preserve"> </w:t>
      </w:r>
      <w:r>
        <w:t xml:space="preserve">univerzální </w:t>
      </w:r>
      <w:r w:rsidRPr="00273106">
        <w:t xml:space="preserve">inteligibilní </w:t>
      </w:r>
      <w:r w:rsidR="00962190">
        <w:rPr>
          <w:i/>
        </w:rPr>
        <w:t>species</w:t>
      </w:r>
      <w:r w:rsidRPr="00273106">
        <w:t xml:space="preserve">. V procesu smyslové a rozumové abstrakce </w:t>
      </w:r>
      <w:r>
        <w:t>dané skrze duši jako formu těla vznik</w:t>
      </w:r>
      <w:r w:rsidRPr="00273106">
        <w:t xml:space="preserve">á </w:t>
      </w:r>
      <w:r>
        <w:t xml:space="preserve">zcela odlišný typ mediace </w:t>
      </w:r>
      <w:r w:rsidRPr="00273106">
        <w:t>(</w:t>
      </w:r>
      <w:r w:rsidRPr="00273106">
        <w:rPr>
          <w:i/>
        </w:rPr>
        <w:t>forma recepta in potentia est alterius rationis a forma exsistente in obiecto</w:t>
      </w:r>
      <w:r w:rsidRPr="00273106">
        <w:t>)</w:t>
      </w:r>
      <w:r>
        <w:t xml:space="preserve">. Proto se zásadně liší hyleformická forma v první substanci a poznaná forma v duši. </w:t>
      </w:r>
      <w:r w:rsidRPr="00273106">
        <w:t xml:space="preserve">Z uvedené citace je jasné, že nelze uzávorkovat existenci </w:t>
      </w:r>
      <w:r>
        <w:t>slunce</w:t>
      </w:r>
      <w:r w:rsidRPr="00273106">
        <w:t xml:space="preserve"> jako první substance, protože diafanum</w:t>
      </w:r>
      <w:r>
        <w:fldChar w:fldCharType="begin"/>
      </w:r>
      <w:r>
        <w:instrText xml:space="preserve"> XE "</w:instrText>
      </w:r>
      <w:r w:rsidRPr="001212C8">
        <w:instrText>diafanum:Ockham</w:instrText>
      </w:r>
      <w:r>
        <w:instrText xml:space="preserve">" </w:instrText>
      </w:r>
      <w:r>
        <w:fldChar w:fldCharType="end"/>
      </w:r>
      <w:r>
        <w:t xml:space="preserve"> samo o sobě neobsahuje</w:t>
      </w:r>
      <w:r w:rsidRPr="00273106">
        <w:t xml:space="preserve"> objektivní </w:t>
      </w:r>
      <w:r w:rsidR="00962190">
        <w:rPr>
          <w:i/>
        </w:rPr>
        <w:t>species</w:t>
      </w:r>
      <w:r w:rsidRPr="00273106">
        <w:t xml:space="preserve"> světla.</w:t>
      </w:r>
      <w:r>
        <w:t xml:space="preserve"> Diafanum-</w:t>
      </w:r>
      <w:r w:rsidRPr="08B92691">
        <w:rPr>
          <w:i/>
        </w:rPr>
        <w:lastRenderedPageBreak/>
        <w:t>perspicuum</w:t>
      </w:r>
      <w:r>
        <w:rPr>
          <w:i/>
        </w:rPr>
        <w:fldChar w:fldCharType="begin"/>
      </w:r>
      <w:r>
        <w:instrText xml:space="preserve"> XE "</w:instrText>
      </w:r>
      <w:r w:rsidRPr="087042DA">
        <w:rPr>
          <w:i/>
        </w:rPr>
        <w:instrText>perspicuum</w:instrText>
      </w:r>
      <w:r>
        <w:instrText xml:space="preserve">" </w:instrText>
      </w:r>
      <w:r>
        <w:rPr>
          <w:i/>
        </w:rPr>
        <w:fldChar w:fldCharType="end"/>
      </w:r>
      <w:r>
        <w:t xml:space="preserve"> přenáší světlo a barvu na materiální předměty, ale ty poznáváme v úplně jiném nemateriálním modu skrze schopnosti animální nebo lidské duše. Přenos je nutný a Ockham na rozdíl od moderny ví proč, protože potřebuje obhájit pojetí pravdy jako adekvace a v rámci jednoty osoby. Přesný popis fenomenologie vidění a poznání podle CMDA vyloučil jakékoliv </w:t>
      </w:r>
      <w:r w:rsidRPr="088738F9">
        <w:rPr>
          <w:i/>
        </w:rPr>
        <w:t>tertium ens</w:t>
      </w:r>
      <w:r>
        <w:t>, které by po zhasnutí slunce fungovalo jako Scotův objektivní nositel významu. P</w:t>
      </w:r>
      <w:r w:rsidRPr="00273106">
        <w:t xml:space="preserve">aprsek </w:t>
      </w:r>
      <w:r>
        <w:t xml:space="preserve">působí </w:t>
      </w:r>
      <w:r w:rsidRPr="00273106">
        <w:t xml:space="preserve">substančně-kauzálně a diafanum </w:t>
      </w:r>
      <w:r>
        <w:t xml:space="preserve">tuto kauzalitu světla </w:t>
      </w:r>
      <w:r w:rsidRPr="00273106">
        <w:t xml:space="preserve">přenáší </w:t>
      </w:r>
      <w:r>
        <w:t>v materiálním modu</w:t>
      </w:r>
      <w:r>
        <w:fldChar w:fldCharType="begin"/>
      </w:r>
      <w:r>
        <w:instrText xml:space="preserve"> XE "zatmění</w:instrText>
      </w:r>
      <w:r w:rsidRPr="082526E0">
        <w:rPr>
          <w:i/>
        </w:rPr>
        <w:instrText>:Druhé analytiky</w:instrText>
      </w:r>
      <w:r>
        <w:instrText xml:space="preserve">" </w:instrText>
      </w:r>
      <w:r>
        <w:fldChar w:fldCharType="end"/>
      </w:r>
      <w:r>
        <w:t>. Naše poznání recipuje různorodé formy diafanum, proto přímo závisí na existenci první substance. Nemateriální mediační formy, skrze které individuálně a osobně poznáváne (</w:t>
      </w:r>
      <w:r w:rsidR="00962190">
        <w:rPr>
          <w:i/>
        </w:rPr>
        <w:t>species</w:t>
      </w:r>
      <w:r>
        <w:t xml:space="preserve"> </w:t>
      </w:r>
      <w:r w:rsidRPr="08CA7C63">
        <w:rPr>
          <w:i/>
        </w:rPr>
        <w:t>sensibilis</w:t>
      </w:r>
      <w:r>
        <w:t xml:space="preserve">, </w:t>
      </w:r>
      <w:r w:rsidRPr="08CA7C63">
        <w:rPr>
          <w:i/>
        </w:rPr>
        <w:t>intelligibilis</w:t>
      </w:r>
      <w:r>
        <w:t xml:space="preserve">), </w:t>
      </w:r>
      <w:r w:rsidRPr="00273106">
        <w:t xml:space="preserve">nemají ideální nebo objektivní charakter, jak tvrdila škola </w:t>
      </w:r>
      <w:r w:rsidRPr="00273106">
        <w:rPr>
          <w:i/>
        </w:rPr>
        <w:t>Nominales</w:t>
      </w:r>
      <w:r w:rsidRPr="00273106">
        <w:t xml:space="preserve"> a po ní Scotus. </w:t>
      </w:r>
      <w:r>
        <w:t xml:space="preserve">Žádný ontologický mezistupeň </w:t>
      </w:r>
      <w:r w:rsidR="00FD7510">
        <w:t xml:space="preserve">ve smyslu nějaké hypostatické universálie moderny </w:t>
      </w:r>
      <w:r>
        <w:t>v tomto schématu poznání neexistuje</w:t>
      </w:r>
      <w:r w:rsidR="00FD7510">
        <w:t>. J</w:t>
      </w:r>
      <w:r>
        <w:t>ednak</w:t>
      </w:r>
      <w:r w:rsidR="00864861">
        <w:t xml:space="preserve"> by byl</w:t>
      </w:r>
      <w:r>
        <w:t xml:space="preserve"> nesmyslný a jednak by zrušil pravdivé poznání světa v modu </w:t>
      </w:r>
      <w:r w:rsidRPr="088738F9">
        <w:rPr>
          <w:i/>
        </w:rPr>
        <w:t>proportionaliter</w:t>
      </w:r>
      <w:r>
        <w:t xml:space="preserve">, jak to má CMDA. Chyběl by první článek materiální mediace nutné pro naše nemateriální poznání. </w:t>
      </w:r>
      <w:r w:rsidRPr="00273106">
        <w:t xml:space="preserve">Při uzávorkování slunce nemůže </w:t>
      </w:r>
      <w:r>
        <w:t xml:space="preserve">fyzikální </w:t>
      </w:r>
      <w:r w:rsidRPr="00273106">
        <w:t xml:space="preserve">diafanum </w:t>
      </w:r>
      <w:r>
        <w:t xml:space="preserve">nějak hypostaticky </w:t>
      </w:r>
      <w:r w:rsidR="00C044CF">
        <w:t xml:space="preserve">a hypopteticky </w:t>
      </w:r>
      <w:r>
        <w:t xml:space="preserve">držet </w:t>
      </w:r>
      <w:r w:rsidRPr="00273106">
        <w:t xml:space="preserve">světlo, protože </w:t>
      </w:r>
      <w:r>
        <w:t xml:space="preserve">v daném aktu mediace </w:t>
      </w:r>
      <w:r w:rsidRPr="00273106">
        <w:t xml:space="preserve">zprostředkovává </w:t>
      </w:r>
      <w:r>
        <w:t>reálné světlo a teplo. J</w:t>
      </w:r>
      <w:r w:rsidRPr="00273106">
        <w:t xml:space="preserve">eho původcem je </w:t>
      </w:r>
      <w:r>
        <w:t>slunce</w:t>
      </w:r>
      <w:r w:rsidRPr="00273106">
        <w:t xml:space="preserve"> jako autonomní první substance, která </w:t>
      </w:r>
      <w:r w:rsidR="000A4108" w:rsidRPr="00273106">
        <w:t>působí kauzálně</w:t>
      </w:r>
      <w:r w:rsidR="000A4108">
        <w:t xml:space="preserve"> </w:t>
      </w:r>
      <w:r w:rsidRPr="00273106">
        <w:t xml:space="preserve">na diafanum </w:t>
      </w:r>
      <w:r w:rsidR="000A4108">
        <w:t xml:space="preserve">jako fyzikální </w:t>
      </w:r>
      <w:r w:rsidR="000A4108" w:rsidRPr="00523BB3">
        <w:rPr>
          <w:i/>
        </w:rPr>
        <w:t>perspicuum</w:t>
      </w:r>
      <w:r w:rsidRPr="00273106">
        <w:t xml:space="preserve">. Pokud by bůh </w:t>
      </w:r>
      <w:r w:rsidR="000A4108">
        <w:t xml:space="preserve">zrušil </w:t>
      </w:r>
      <w:r w:rsidRPr="00273106">
        <w:t>slunce, jeho kauzální působení by skončilo, a tím i naše poznání světla.</w:t>
      </w:r>
      <w:r>
        <w:t xml:space="preserve"> Scotova konstrukce zajišťující objektivní poznání světa je proto zásadně mylná.</w:t>
      </w:r>
    </w:p>
    <w:p w:rsidR="08163013" w:rsidRDefault="08163013" w:rsidP="08163013">
      <w:pPr>
        <w:pStyle w:val="Citace"/>
      </w:pPr>
      <w:r w:rsidRPr="00273106">
        <w:rPr>
          <w:noProof/>
          <w:lang w:val="cs-CZ"/>
        </w:rPr>
        <w:t>„</w:t>
      </w:r>
      <w:r>
        <w:rPr>
          <w:noProof/>
          <w:lang w:val="cs-CZ"/>
        </w:rPr>
        <w:t>Jestliže by bůh zrušil působení slunce vzhledem ke světlu, pak by slunce nemohlo působit teplo, protože ho nemůže způsobit jinak než skrze mediaci danou světlem.“ </w:t>
      </w:r>
      <w:r>
        <w:rPr>
          <w:rStyle w:val="Znakapoznpodarou"/>
        </w:rPr>
        <w:footnoteReference w:id="502"/>
      </w:r>
    </w:p>
    <w:p w:rsidR="009F3B4B" w:rsidRDefault="08163013" w:rsidP="08163013">
      <w:r>
        <w:t>Série kauzálního působení od s</w:t>
      </w:r>
      <w:r w:rsidRPr="00273106">
        <w:t>lunce k ohřevu věci či k nasvícené barevné ploše je primárně dána v reálném působení prvních substancí (</w:t>
      </w:r>
      <w:r w:rsidRPr="00273106">
        <w:rPr>
          <w:i/>
        </w:rPr>
        <w:t>sol causare calorem</w:t>
      </w:r>
      <w:r w:rsidRPr="00273106">
        <w:t xml:space="preserve">). </w:t>
      </w:r>
      <w:r>
        <w:t>Řetěz kauzality daný s</w:t>
      </w:r>
      <w:r w:rsidRPr="00273106">
        <w:t xml:space="preserve">luncem a jím vysílanými paprky nemůže být nahražen v řádu objektivního </w:t>
      </w:r>
      <w:r w:rsidR="00962190">
        <w:rPr>
          <w:i/>
        </w:rPr>
        <w:t>species</w:t>
      </w:r>
      <w:r w:rsidRPr="00273106">
        <w:t>, protože pak by přestaly existovat mediační instance dané</w:t>
      </w:r>
      <w:r>
        <w:t xml:space="preserve"> materiálně a proto reálně a kauzálně</w:t>
      </w:r>
      <w:r w:rsidR="009F3B4B">
        <w:t>.</w:t>
      </w:r>
    </w:p>
    <w:p w:rsidR="08163013" w:rsidRPr="00273106" w:rsidRDefault="08163013" w:rsidP="009F3B4B">
      <w:pPr>
        <w:ind w:firstLine="397"/>
      </w:pPr>
      <w:r>
        <w:t>Spor o suspensi s</w:t>
      </w:r>
      <w:r w:rsidRPr="00273106">
        <w:t xml:space="preserve">lunce a následné poznání reality v rámci první moderní </w:t>
      </w:r>
      <w:r w:rsidRPr="08A24718">
        <w:rPr>
          <w:i/>
        </w:rPr>
        <w:t>epoché</w:t>
      </w:r>
      <w:r w:rsidRPr="08A24718">
        <w:rPr>
          <w:i/>
        </w:rPr>
        <w:fldChar w:fldCharType="begin"/>
      </w:r>
      <w:r w:rsidRPr="08A24718">
        <w:rPr>
          <w:i/>
        </w:rPr>
        <w:instrText xml:space="preserve"> XE "epoché" </w:instrText>
      </w:r>
      <w:r w:rsidRPr="08A24718">
        <w:rPr>
          <w:i/>
        </w:rPr>
        <w:fldChar w:fldCharType="end"/>
      </w:r>
      <w:r w:rsidRPr="00273106">
        <w:t xml:space="preserve"> má zásadní charakter. Ockham odmítá </w:t>
      </w:r>
      <w:r>
        <w:t xml:space="preserve">přímý </w:t>
      </w:r>
      <w:r w:rsidRPr="00273106">
        <w:t xml:space="preserve">náhled do prvních principů </w:t>
      </w:r>
      <w:r>
        <w:t xml:space="preserve">a existenci objektivních </w:t>
      </w:r>
      <w:r w:rsidR="00962190">
        <w:rPr>
          <w:i/>
        </w:rPr>
        <w:t>species</w:t>
      </w:r>
      <w:r>
        <w:t xml:space="preserve"> které v moderně vytěsnily kauzální</w:t>
      </w:r>
      <w:r w:rsidRPr="00273106">
        <w:t xml:space="preserve"> půs</w:t>
      </w:r>
      <w:r>
        <w:t>obení</w:t>
      </w:r>
      <w:r w:rsidRPr="00273106">
        <w:t xml:space="preserve"> věcí v realitě. </w:t>
      </w:r>
      <w:r w:rsidR="00F541F3">
        <w:lastRenderedPageBreak/>
        <w:t xml:space="preserve">Takový </w:t>
      </w:r>
      <w:r>
        <w:t xml:space="preserve">model </w:t>
      </w:r>
      <w:r w:rsidR="00F541F3">
        <w:t xml:space="preserve">„objektivní vědy“ </w:t>
      </w:r>
      <w:r>
        <w:t>je fundamentálně nepravdivý. Ve vědě p</w:t>
      </w:r>
      <w:r w:rsidRPr="00273106">
        <w:t xml:space="preserve">latí </w:t>
      </w:r>
      <w:r>
        <w:t xml:space="preserve">podle aristotelika Ockhama </w:t>
      </w:r>
      <w:r w:rsidRPr="00273106">
        <w:t>základní pořadí principů pozná</w:t>
      </w:r>
      <w:r>
        <w:t xml:space="preserve">ní podle </w:t>
      </w:r>
      <w:r w:rsidRPr="088721ED">
        <w:rPr>
          <w:i/>
        </w:rPr>
        <w:t>Druhých analytik</w:t>
      </w:r>
      <w:r>
        <w:t xml:space="preserve">, které vychází z kauzálního primátu první substance. Druhý averroismus a Scotus výslovně zrušili toto pořadí dané zdravým rozumem a na něm postavenými </w:t>
      </w:r>
      <w:r w:rsidRPr="084F7621">
        <w:rPr>
          <w:i/>
        </w:rPr>
        <w:t>Druhými analytikami</w:t>
      </w:r>
      <w:r>
        <w:t>. E</w:t>
      </w:r>
      <w:r w:rsidRPr="00273106">
        <w:t>xisten</w:t>
      </w:r>
      <w:r>
        <w:t xml:space="preserve">ce a kauzalita první substance podle Ockhama </w:t>
      </w:r>
      <w:r w:rsidRPr="00273106">
        <w:t>předchází esenci</w:t>
      </w:r>
      <w:r>
        <w:t xml:space="preserve">. Realita světa </w:t>
      </w:r>
      <w:r w:rsidRPr="00273106">
        <w:t xml:space="preserve">determinuje svou aktualitou </w:t>
      </w:r>
      <w:r>
        <w:t xml:space="preserve">lidské univerzální poznání, jehož konečným výsledkem je adekvátně pravdivá predikace v rámci univerzální </w:t>
      </w:r>
      <w:r w:rsidRPr="00273106">
        <w:t xml:space="preserve">esence. </w:t>
      </w:r>
      <w:r>
        <w:t xml:space="preserve">V modu vědecky pravdivé podobnosti vztažené k hyparchické predikaci </w:t>
      </w:r>
      <w:r w:rsidR="00821D10">
        <w:t>„</w:t>
      </w:r>
      <w:r w:rsidRPr="082031CB">
        <w:rPr>
          <w:i/>
        </w:rPr>
        <w:t>ex i</w:t>
      </w:r>
      <w:r w:rsidR="00821D10">
        <w:rPr>
          <w:i/>
        </w:rPr>
        <w:t>n</w:t>
      </w:r>
      <w:r w:rsidRPr="082031CB">
        <w:rPr>
          <w:i/>
        </w:rPr>
        <w:t>meditatis</w:t>
      </w:r>
      <w:r w:rsidR="00821D10">
        <w:t>“</w:t>
      </w:r>
      <w:r>
        <w:t xml:space="preserve"> můžeme pravdivě poznat jen ty věci, které jsou dány reálně aktuálně, protože jen takto dané první substance mohou působit na naše poznání. Předchozí kapitala ukázala, že konceptuální poznání bez impozice a tím i bez adekvace zakládá poznání jen na úrovni druhé intence (</w:t>
      </w:r>
      <w:r w:rsidRPr="085A03E8">
        <w:rPr>
          <w:i/>
        </w:rPr>
        <w:t>intentio secunda</w:t>
      </w:r>
      <w:r>
        <w:t xml:space="preserve">). Poznání reality dané pouze v mysli je proto jen ekvivoční. Analytičtí ilumináti </w:t>
      </w:r>
      <w:r w:rsidR="003370B7">
        <w:t xml:space="preserve">rozšířili </w:t>
      </w:r>
      <w:r>
        <w:t xml:space="preserve">v modu </w:t>
      </w:r>
      <w:r w:rsidRPr="08B45A1B">
        <w:rPr>
          <w:i/>
        </w:rPr>
        <w:t>Oxfordian Fallacy</w:t>
      </w:r>
      <w:r>
        <w:t xml:space="preserve"> rodovou determinaci</w:t>
      </w:r>
      <w:r w:rsidR="003370B7">
        <w:t xml:space="preserve"> matematiky danou pouze v mysli. Pak z </w:t>
      </w:r>
      <w:r>
        <w:t xml:space="preserve">této </w:t>
      </w:r>
      <w:r w:rsidR="008D7D83">
        <w:t xml:space="preserve">utopické </w:t>
      </w:r>
      <w:r>
        <w:t xml:space="preserve">pozice začali predikovat poznání o realitě. </w:t>
      </w:r>
      <w:r w:rsidRPr="00273106">
        <w:t xml:space="preserve">Ockham proti scotistům namítá, že </w:t>
      </w:r>
      <w:r>
        <w:t>poznání skrze přímý esenciální</w:t>
      </w:r>
      <w:r w:rsidRPr="00273106">
        <w:t xml:space="preserve"> </w:t>
      </w:r>
      <w:r>
        <w:t>náhled</w:t>
      </w:r>
      <w:r w:rsidRPr="00273106">
        <w:t xml:space="preserve"> je </w:t>
      </w:r>
      <w:r>
        <w:t xml:space="preserve">dáno </w:t>
      </w:r>
      <w:r w:rsidRPr="00273106">
        <w:t xml:space="preserve">pouze </w:t>
      </w:r>
      <w:r>
        <w:t xml:space="preserve">v modu </w:t>
      </w:r>
      <w:r w:rsidRPr="00273106">
        <w:t>formální</w:t>
      </w:r>
      <w:r>
        <w:t xml:space="preserve"> logiky a ne metafyziky</w:t>
      </w:r>
      <w:r w:rsidRPr="00273106">
        <w:t xml:space="preserve">. Vidění esencí ve formě Grossetestova či Bonaventurova exemplaru nepotřebuje ke svému výkonu existenci reálné věci. </w:t>
      </w:r>
      <w:r>
        <w:t xml:space="preserve">Moderní paranoia je podle brilantní definice Ockhama dána ve faktu, že k </w:t>
      </w:r>
      <w:r w:rsidRPr="00273106">
        <w:t xml:space="preserve">realizaci </w:t>
      </w:r>
      <w:r>
        <w:t xml:space="preserve">analytické, descartovské a husselovské verze iluminace </w:t>
      </w:r>
      <w:r w:rsidRPr="00273106">
        <w:t>stačí</w:t>
      </w:r>
      <w:r>
        <w:t xml:space="preserve"> pouze formální </w:t>
      </w:r>
      <w:r w:rsidR="008D7D83">
        <w:t>význam</w:t>
      </w:r>
      <w:r>
        <w:t xml:space="preserve">. Moderní a postmoderní iluminát poznává s nepochybnou jistotou, pokud </w:t>
      </w:r>
      <w:r w:rsidRPr="00273106">
        <w:t xml:space="preserve">akt vidění dospěje ke svému finálnímu předmětu </w:t>
      </w:r>
      <w:r w:rsidR="00C34737">
        <w:t xml:space="preserve">nazírání </w:t>
      </w:r>
      <w:r w:rsidRPr="00273106">
        <w:t>(</w:t>
      </w:r>
      <w:r w:rsidRPr="00273106">
        <w:rPr>
          <w:i/>
        </w:rPr>
        <w:t>possit actum intuitivum terminare</w:t>
      </w:r>
      <w:r w:rsidRPr="00273106">
        <w:t>).</w:t>
      </w:r>
      <w:r w:rsidRPr="00273106">
        <w:rPr>
          <w:rStyle w:val="Znakapoznpodarou"/>
        </w:rPr>
        <w:footnoteReference w:id="503"/>
      </w:r>
      <w:r w:rsidRPr="00273106">
        <w:t xml:space="preserve"> Zda tento předmět iluminace reálně existuje nebo ne, to už je úplně jiná otázka</w:t>
      </w:r>
      <w:r>
        <w:t>, pro moderní ilumináty bohužel zcela okrajová</w:t>
      </w:r>
      <w:r w:rsidRPr="00273106">
        <w:t xml:space="preserve">. </w:t>
      </w:r>
      <w:r>
        <w:t>Citát modernistům připomíná, že jejich poznání je pravdivé, i když věc vůbec neexistuje (</w:t>
      </w:r>
      <w:r w:rsidRPr="0079304C">
        <w:rPr>
          <w:i/>
        </w:rPr>
        <w:t>hoc stat quod obiectum sit nihil</w:t>
      </w:r>
      <w:r>
        <w:t>), nebo je vinou logické abstrakce maximálně vzdáleno od reálné věci (</w:t>
      </w:r>
      <w:r w:rsidRPr="0079304C">
        <w:rPr>
          <w:i/>
        </w:rPr>
        <w:t>quod sit distans per maximam distantiam</w:t>
      </w:r>
      <w:r>
        <w:t xml:space="preserve">). V rámci logické nebo matematické abstrakce se nedá dělat reálná věda, ani nelze dosáhnout pravdivého poznání světa. Ockham nepopírá, že </w:t>
      </w:r>
      <w:r w:rsidRPr="00273106">
        <w:t xml:space="preserve">intuitivní náhled do reality překračuje přirozené poznání determinované smyslově. Přítomnost či nepřítomnost božího působení, andělů atd. už není určena pomocí smyslové zkušenosti. </w:t>
      </w:r>
      <w:r>
        <w:t>Jenže tato o</w:t>
      </w:r>
      <w:r w:rsidRPr="00273106">
        <w:t>blast patří do nadpřirozeného modu poznání.</w:t>
      </w:r>
    </w:p>
    <w:p w:rsidR="08163013" w:rsidRPr="009A3975" w:rsidRDefault="08163013" w:rsidP="08163013">
      <w:pPr>
        <w:pStyle w:val="Citace"/>
        <w:rPr>
          <w:noProof/>
          <w:lang w:val="cs-CZ"/>
        </w:rPr>
      </w:pPr>
      <w:r w:rsidRPr="00273106">
        <w:rPr>
          <w:noProof/>
          <w:lang w:val="cs-CZ"/>
        </w:rPr>
        <w:lastRenderedPageBreak/>
        <w:t>„</w:t>
      </w:r>
      <w:r w:rsidR="00DF40FE">
        <w:rPr>
          <w:noProof/>
          <w:lang w:val="cs-CZ"/>
        </w:rPr>
        <w:t>Skrze přímý náhled mohu poznat, že věc neexistuje</w:t>
      </w:r>
      <w:r>
        <w:rPr>
          <w:noProof/>
          <w:lang w:val="cs-CZ"/>
        </w:rPr>
        <w:t>, když není</w:t>
      </w:r>
      <w:r w:rsidR="00DF40FE">
        <w:rPr>
          <w:noProof/>
          <w:lang w:val="cs-CZ"/>
        </w:rPr>
        <w:t xml:space="preserve"> dána přímo</w:t>
      </w:r>
      <w:r>
        <w:rPr>
          <w:noProof/>
          <w:lang w:val="cs-CZ"/>
        </w:rPr>
        <w:t>. Ale takové poznání nemůže být přirozené (</w:t>
      </w:r>
      <w:r w:rsidRPr="008E3C2F">
        <w:rPr>
          <w:i/>
          <w:noProof/>
        </w:rPr>
        <w:t>ista cognitio non potest esse naturalis</w:t>
      </w:r>
      <w:r>
        <w:rPr>
          <w:noProof/>
          <w:lang w:val="cs-CZ"/>
        </w:rPr>
        <w:t xml:space="preserve">). Pokud takové poznání existuje, pak v nás není </w:t>
      </w:r>
      <w:r w:rsidR="00DF40FE">
        <w:rPr>
          <w:noProof/>
          <w:lang w:val="cs-CZ"/>
        </w:rPr>
        <w:t xml:space="preserve">založeno </w:t>
      </w:r>
      <w:r>
        <w:rPr>
          <w:noProof/>
          <w:lang w:val="cs-CZ"/>
        </w:rPr>
        <w:t>přirozeným způsobem, který staví na přítomném a reálně existujícím předmětu poznání. A pokud tento předmět chybí, pak přirozené poznání neexistuje.“ </w:t>
      </w:r>
      <w:r>
        <w:rPr>
          <w:rStyle w:val="Znakapoznpodarou"/>
        </w:rPr>
        <w:footnoteReference w:id="504"/>
      </w:r>
    </w:p>
    <w:p w:rsidR="08163013" w:rsidRDefault="08163013" w:rsidP="08163013">
      <w:r w:rsidRPr="00273106">
        <w:t xml:space="preserve">Citát připomíná, že </w:t>
      </w:r>
      <w:r>
        <w:t xml:space="preserve">přímé poznání nemateriálních forem, podstat a objektivit </w:t>
      </w:r>
      <w:r w:rsidRPr="00273106">
        <w:t>nelze získat v přirozeném řádu, protože není determinováno žádným odpovídajícím aktuálním objektem (</w:t>
      </w:r>
      <w:r w:rsidRPr="00273106">
        <w:rPr>
          <w:i/>
        </w:rPr>
        <w:t>obiecto praesente et exsistente</w:t>
      </w:r>
      <w:r w:rsidRPr="00273106">
        <w:t>). V přirozeném řádu věcí by takové poznání</w:t>
      </w:r>
      <w:r>
        <w:t xml:space="preserve"> nevzniklo</w:t>
      </w:r>
      <w:r w:rsidRPr="00273106">
        <w:t xml:space="preserve">, protože </w:t>
      </w:r>
      <w:r>
        <w:t xml:space="preserve">nemá aktualizaci z hylemorfické reality </w:t>
      </w:r>
      <w:r w:rsidRPr="00273106">
        <w:t>(</w:t>
      </w:r>
      <w:r w:rsidRPr="0038486E">
        <w:rPr>
          <w:i/>
        </w:rPr>
        <w:t>ista</w:t>
      </w:r>
      <w:r w:rsidRPr="00273106">
        <w:t xml:space="preserve"> </w:t>
      </w:r>
      <w:r w:rsidRPr="00273106">
        <w:rPr>
          <w:i/>
        </w:rPr>
        <w:t>cognitio intuitiva naturalis corrumpitur per absentiam obiecti</w:t>
      </w:r>
      <w:r w:rsidRPr="00273106">
        <w:t xml:space="preserve">). Poznat přímým náhledem </w:t>
      </w:r>
      <w:r>
        <w:fldChar w:fldCharType="begin"/>
      </w:r>
      <w:r>
        <w:instrText xml:space="preserve"> XE "</w:instrText>
      </w:r>
      <w:r w:rsidRPr="00932B26">
        <w:instrText>vidění:eidetické</w:instrText>
      </w:r>
      <w:r>
        <w:instrText xml:space="preserve">" </w:instrText>
      </w:r>
      <w:r>
        <w:fldChar w:fldCharType="end"/>
      </w:r>
      <w:r w:rsidRPr="00273106">
        <w:t>existenci či neexistenci první substance je nadpřirozený výkon (</w:t>
      </w:r>
      <w:r w:rsidRPr="00273106">
        <w:rPr>
          <w:i/>
        </w:rPr>
        <w:t>ista cognitio non potest esse naturalis</w:t>
      </w:r>
      <w:r w:rsidRPr="00273106">
        <w:t xml:space="preserve">). </w:t>
      </w:r>
      <w:r w:rsidR="00EB3AAC">
        <w:t xml:space="preserve">Moderní </w:t>
      </w:r>
      <w:r w:rsidR="00EB3AAC" w:rsidRPr="00EB3AAC">
        <w:rPr>
          <w:i/>
        </w:rPr>
        <w:t>intelligentia spiritualis</w:t>
      </w:r>
      <w:r w:rsidR="00EB3AAC">
        <w:t xml:space="preserve"> si namýšlí, že má </w:t>
      </w:r>
      <w:r>
        <w:t xml:space="preserve">aktuální inteligibilní forma </w:t>
      </w:r>
      <w:r w:rsidR="00EB3AAC">
        <w:t xml:space="preserve">jako kosmické inteligence, jejichž </w:t>
      </w:r>
      <w:r w:rsidRPr="00273106">
        <w:t>poznání není determinováno přítomností materie. Náhled platný v řádu čistých forem a daný v aktu iluminace znamená zása</w:t>
      </w:r>
      <w:r>
        <w:t xml:space="preserve">dní překročení řádu poznání </w:t>
      </w:r>
      <w:r w:rsidRPr="00273106">
        <w:t>pro člověka</w:t>
      </w:r>
      <w:r>
        <w:t xml:space="preserve">, jehož poznání je omezené smysly. </w:t>
      </w:r>
      <w:r w:rsidRPr="00273106">
        <w:t>Objektivní poznání moderních iluminátů</w:t>
      </w:r>
      <w:r>
        <w:fldChar w:fldCharType="begin"/>
      </w:r>
      <w:r>
        <w:instrText xml:space="preserve"> XE "</w:instrText>
      </w:r>
      <w:r w:rsidRPr="00BD65D1">
        <w:instrText>ilumináti</w:instrText>
      </w:r>
      <w:r>
        <w:instrText xml:space="preserve">" </w:instrText>
      </w:r>
      <w:r>
        <w:fldChar w:fldCharType="end"/>
      </w:r>
      <w:r w:rsidRPr="00273106">
        <w:t xml:space="preserve"> je podle Ockhama nadpřirozený výkon. </w:t>
      </w:r>
      <w:r>
        <w:t xml:space="preserve">Přímý </w:t>
      </w:r>
      <w:r w:rsidRPr="00273106">
        <w:t xml:space="preserve">náhled moderních iluminátů do </w:t>
      </w:r>
      <w:r>
        <w:t xml:space="preserve">nemateriální čisté </w:t>
      </w:r>
      <w:r w:rsidRPr="00273106">
        <w:t xml:space="preserve">esence </w:t>
      </w:r>
      <w:r>
        <w:t xml:space="preserve">byl v jeho době inspirovaný mysticismem </w:t>
      </w:r>
      <w:r w:rsidRPr="00273106">
        <w:t>scholastik</w:t>
      </w:r>
      <w:r>
        <w:t xml:space="preserve">y, </w:t>
      </w:r>
      <w:r w:rsidRPr="00273106">
        <w:t>kabaly</w:t>
      </w:r>
      <w:r>
        <w:t xml:space="preserve"> a neoplatonskou falsafou</w:t>
      </w:r>
      <w:r w:rsidRPr="00273106">
        <w:t xml:space="preserve">. </w:t>
      </w:r>
      <w:r>
        <w:t>Mystické výstupy</w:t>
      </w:r>
      <w:r w:rsidRPr="00273106">
        <w:t xml:space="preserve"> mysli z těla </w:t>
      </w:r>
      <w:r>
        <w:t>najdeme v novozákonních Pavlových listech</w:t>
      </w:r>
      <w:r w:rsidRPr="00273106">
        <w:t xml:space="preserve"> (2 Kor 12:2</w:t>
      </w:r>
      <w:r>
        <w:fldChar w:fldCharType="begin"/>
      </w:r>
      <w:r>
        <w:instrText xml:space="preserve"> XE "Nový zákon:2 Kor 12.</w:instrText>
      </w:r>
      <w:r w:rsidRPr="008410D2">
        <w:instrText>2</w:instrText>
      </w:r>
      <w:r>
        <w:instrText xml:space="preserve">" </w:instrText>
      </w:r>
      <w:r>
        <w:fldChar w:fldCharType="end"/>
      </w:r>
      <w:r w:rsidRPr="00273106">
        <w:t>)</w:t>
      </w:r>
      <w:r>
        <w:t xml:space="preserve">, včetně </w:t>
      </w:r>
      <w:r w:rsidRPr="00273106">
        <w:t>jeho schopnosti prorockého vidění (Ef 1:18</w:t>
      </w:r>
      <w:r>
        <w:fldChar w:fldCharType="begin"/>
      </w:r>
      <w:r>
        <w:instrText xml:space="preserve"> XE "Nový zákon:Ef 1.</w:instrText>
      </w:r>
      <w:r w:rsidRPr="005F7996">
        <w:instrText>18</w:instrText>
      </w:r>
      <w:r>
        <w:instrText xml:space="preserve">" </w:instrText>
      </w:r>
      <w:r>
        <w:fldChar w:fldCharType="end"/>
      </w:r>
      <w:r w:rsidRPr="00273106">
        <w:t>; 3:9</w:t>
      </w:r>
      <w:r>
        <w:fldChar w:fldCharType="begin"/>
      </w:r>
      <w:r>
        <w:instrText xml:space="preserve"> XE "Nový zákon:Ef 3.</w:instrText>
      </w:r>
      <w:r w:rsidRPr="0070789D">
        <w:instrText>9</w:instrText>
      </w:r>
      <w:r>
        <w:instrText xml:space="preserve">" </w:instrText>
      </w:r>
      <w:r>
        <w:fldChar w:fldCharType="end"/>
      </w:r>
      <w:r w:rsidRPr="00273106">
        <w:t>). Stejnou tradici má súfismus pro Mohammeda</w:t>
      </w:r>
      <w:r>
        <w:fldChar w:fldCharType="begin"/>
      </w:r>
      <w:r>
        <w:instrText xml:space="preserve"> XE "</w:instrText>
      </w:r>
      <w:r w:rsidRPr="00293060">
        <w:instrText>Mohammed</w:instrText>
      </w:r>
      <w:r>
        <w:instrText xml:space="preserve">" </w:instrText>
      </w:r>
      <w:r>
        <w:fldChar w:fldCharType="end"/>
      </w:r>
      <w:r w:rsidRPr="00273106">
        <w:t xml:space="preserve"> (</w:t>
      </w:r>
      <w:r w:rsidRPr="00273106">
        <w:rPr>
          <w:bCs/>
          <w:i/>
        </w:rPr>
        <w:t>Kitab al Miraj</w:t>
      </w:r>
      <w:r w:rsidRPr="00273106">
        <w:rPr>
          <w:i/>
        </w:rPr>
        <w:t xml:space="preserve"> </w:t>
      </w:r>
      <w:r w:rsidRPr="00273106">
        <w:t>alias</w:t>
      </w:r>
      <w:r w:rsidRPr="00273106">
        <w:rPr>
          <w:i/>
        </w:rPr>
        <w:t xml:space="preserve"> Liber Scale Machometi</w:t>
      </w:r>
      <w:r w:rsidRPr="00273106">
        <w:t>) a totéž najdeme v židovské mystice</w:t>
      </w:r>
      <w:r>
        <w:fldChar w:fldCharType="begin"/>
      </w:r>
      <w:r>
        <w:instrText xml:space="preserve"> XE "</w:instrText>
      </w:r>
      <w:r w:rsidRPr="00D201A9">
        <w:instrText>mystika</w:instrText>
      </w:r>
      <w:r>
        <w:instrText xml:space="preserve">" </w:instrText>
      </w:r>
      <w:r>
        <w:fldChar w:fldCharType="end"/>
      </w:r>
      <w:r w:rsidRPr="00273106">
        <w:t xml:space="preserve"> Merkaby spekulující nad Eliášovým vozem v podobné symbolice, jako měl Mohamedův mystický skok koněm do nebe.</w:t>
      </w:r>
      <w:r>
        <w:t xml:space="preserve"> Ozvěnu těchto teorií v Ockhamově době najdeme u jeho současníka Danteho</w:t>
      </w:r>
      <w:r>
        <w:fldChar w:fldCharType="begin"/>
      </w:r>
      <w:r>
        <w:instrText xml:space="preserve"> XE "</w:instrText>
      </w:r>
      <w:r w:rsidRPr="00272F2D">
        <w:instrText>Dante, A.</w:instrText>
      </w:r>
      <w:r>
        <w:instrText xml:space="preserve">" </w:instrText>
      </w:r>
      <w:r>
        <w:fldChar w:fldCharType="end"/>
      </w:r>
      <w:r>
        <w:t>. Viz jeho důležitý dopis (</w:t>
      </w:r>
      <w:r>
        <w:rPr>
          <w:i/>
        </w:rPr>
        <w:t>Epist</w:t>
      </w:r>
      <w:r>
        <w:t xml:space="preserve">. 13) psaný vévodovi Can Grande do  Cremony (březen 1318), který vysvětluje plán a ideu </w:t>
      </w:r>
      <w:r w:rsidRPr="0802193D">
        <w:rPr>
          <w:i/>
        </w:rPr>
        <w:t>Božské komedie</w:t>
      </w:r>
      <w:r>
        <w:t>.</w:t>
      </w:r>
      <w:r w:rsidRPr="00273106">
        <w:t xml:space="preserve"> Filosofická moderna převzala tuto vizi v Avicennově konceptu </w:t>
      </w:r>
      <w:r w:rsidRPr="00273106">
        <w:rPr>
          <w:i/>
        </w:rPr>
        <w:t>intellectus sanctus</w:t>
      </w:r>
      <w:r>
        <w:rPr>
          <w:i/>
        </w:rPr>
        <w:fldChar w:fldCharType="begin"/>
      </w:r>
      <w:r>
        <w:instrText xml:space="preserve"> XE "</w:instrText>
      </w:r>
      <w:r w:rsidRPr="00473DEE">
        <w:rPr>
          <w:i/>
        </w:rPr>
        <w:instrText>intellectus sanctus</w:instrText>
      </w:r>
      <w:r>
        <w:instrText xml:space="preserve">" </w:instrText>
      </w:r>
      <w:r>
        <w:rPr>
          <w:i/>
        </w:rPr>
        <w:fldChar w:fldCharType="end"/>
      </w:r>
      <w:r w:rsidRPr="00273106">
        <w:t xml:space="preserve"> poznávající sebe, boha i svět skrze </w:t>
      </w:r>
      <w:r w:rsidRPr="00273106">
        <w:rPr>
          <w:i/>
        </w:rPr>
        <w:t>virtus sancta</w:t>
      </w:r>
      <w:r w:rsidRPr="00273106">
        <w:t xml:space="preserve"> a skrze </w:t>
      </w:r>
      <w:r w:rsidRPr="00273106">
        <w:rPr>
          <w:i/>
        </w:rPr>
        <w:t>modus prophetiae</w:t>
      </w:r>
      <w:r>
        <w:rPr>
          <w:i/>
        </w:rPr>
        <w:fldChar w:fldCharType="begin"/>
      </w:r>
      <w:r>
        <w:instrText xml:space="preserve"> XE "</w:instrText>
      </w:r>
      <w:r w:rsidRPr="004A0462">
        <w:instrText>predikace</w:instrText>
      </w:r>
      <w:r w:rsidRPr="004A0462">
        <w:rPr>
          <w:i/>
        </w:rPr>
        <w:instrText>:modus prophetiae</w:instrText>
      </w:r>
      <w:r>
        <w:instrText xml:space="preserve">" </w:instrText>
      </w:r>
      <w:r>
        <w:rPr>
          <w:i/>
        </w:rPr>
        <w:fldChar w:fldCharType="end"/>
      </w:r>
      <w:r w:rsidRPr="00273106">
        <w:t xml:space="preserve"> (</w:t>
      </w:r>
      <w:r w:rsidR="004C4264">
        <w:t xml:space="preserve">OBJ I, </w:t>
      </w:r>
      <w:r w:rsidRPr="00273106">
        <w:t xml:space="preserve">kap. 2.3.1). Prorocké vidění se v prostředí oxfordských mysticky zanícených modernistů </w:t>
      </w:r>
      <w:r>
        <w:t xml:space="preserve">stalo normální filosofií. Původní </w:t>
      </w:r>
      <w:r w:rsidRPr="00CA7EB5">
        <w:rPr>
          <w:i/>
        </w:rPr>
        <w:t>Lichtung</w:t>
      </w:r>
      <w:r>
        <w:t xml:space="preserve"> tohoto s</w:t>
      </w:r>
      <w:r w:rsidRPr="00273106">
        <w:t>por</w:t>
      </w:r>
      <w:r>
        <w:t>u</w:t>
      </w:r>
      <w:r w:rsidRPr="00273106">
        <w:t xml:space="preserve"> ohledně nového vidění světa jsme </w:t>
      </w:r>
      <w:r>
        <w:t xml:space="preserve">vyložili </w:t>
      </w:r>
      <w:r w:rsidRPr="00273106">
        <w:lastRenderedPageBreak/>
        <w:t>vzhledem ke konstrukci determinovaných kontingentních dějů v budoucnosti u Grossetesteho (</w:t>
      </w:r>
      <w:r w:rsidR="004C4264">
        <w:t>OBJ II, kap. 3</w:t>
      </w:r>
      <w:r w:rsidRPr="00273106">
        <w:t>.1.2).</w:t>
      </w:r>
      <w:r>
        <w:t xml:space="preserve"> To byl zásadní </w:t>
      </w:r>
      <w:r w:rsidRPr="00273106">
        <w:t xml:space="preserve">rozdíl od </w:t>
      </w:r>
      <w:r>
        <w:t xml:space="preserve">biskupa </w:t>
      </w:r>
      <w:r w:rsidRPr="00273106">
        <w:t>Alvern</w:t>
      </w:r>
      <w:r>
        <w:t xml:space="preserve">a a dalších představitelů prvního averroismu, kteří dbali na výuku kritické a pravdivé </w:t>
      </w:r>
      <w:r w:rsidRPr="00273106">
        <w:t>filo</w:t>
      </w:r>
      <w:r>
        <w:t>sofie</w:t>
      </w:r>
      <w:r w:rsidRPr="00273106">
        <w:t xml:space="preserve"> na Pařížské univerzitě</w:t>
      </w:r>
      <w:r>
        <w:t xml:space="preserve"> až do roku 1250</w:t>
      </w:r>
      <w:r w:rsidR="00E17239">
        <w:t xml:space="preserve">. </w:t>
      </w:r>
      <w:r w:rsidR="00E17239" w:rsidRPr="00E17239">
        <w:t>V</w:t>
      </w:r>
      <w:r w:rsidR="00E17239">
        <w:t xml:space="preserve"> této </w:t>
      </w:r>
      <w:r w:rsidR="00E17239" w:rsidRPr="00E17239">
        <w:rPr>
          <w:i/>
          <w:iCs/>
        </w:rPr>
        <w:t>alma mater</w:t>
      </w:r>
      <w:r w:rsidR="00E17239" w:rsidRPr="00E17239">
        <w:t xml:space="preserve"> prvního averroismu se spojily teorie italských a latinských s</w:t>
      </w:r>
      <w:r w:rsidR="00E17239">
        <w:t>ofistů s učením neoplatónských „</w:t>
      </w:r>
      <w:r w:rsidR="00E17239" w:rsidRPr="00E17239">
        <w:rPr>
          <w:i/>
          <w:iCs/>
        </w:rPr>
        <w:t>sequaces Aristotelis</w:t>
      </w:r>
      <w:r w:rsidR="00E17239">
        <w:rPr>
          <w:rFonts w:cs="Brill-Roman"/>
          <w:i/>
        </w:rPr>
        <w:fldChar w:fldCharType="begin"/>
      </w:r>
      <w:r w:rsidR="00E17239">
        <w:instrText xml:space="preserve"> XE "druhý averroismus:</w:instrText>
      </w:r>
      <w:r w:rsidR="00E17239" w:rsidRPr="00B81DDF">
        <w:rPr>
          <w:i/>
        </w:rPr>
        <w:instrText>sequaces Aristotelis</w:instrText>
      </w:r>
      <w:r w:rsidR="00E17239">
        <w:instrText xml:space="preserve">" </w:instrText>
      </w:r>
      <w:r w:rsidR="00E17239">
        <w:rPr>
          <w:rFonts w:cs="Brill-Roman"/>
          <w:i/>
        </w:rPr>
        <w:fldChar w:fldCharType="end"/>
      </w:r>
      <w:r w:rsidR="00E17239">
        <w:t>“</w:t>
      </w:r>
      <w:r w:rsidR="00E17239" w:rsidRPr="00E17239">
        <w:t xml:space="preserve"> (OBJ II, kap. 2.3.1); po smrti biskupa Al</w:t>
      </w:r>
      <w:r w:rsidR="00E17239">
        <w:t>verna začali veřejně působit v B</w:t>
      </w:r>
      <w:r w:rsidR="00E17239" w:rsidRPr="00E17239">
        <w:t>onaventur</w:t>
      </w:r>
      <w:r w:rsidR="00E17239">
        <w:t xml:space="preserve">ově </w:t>
      </w:r>
      <w:r w:rsidR="00E17239" w:rsidRPr="00E17239">
        <w:t xml:space="preserve">škole. </w:t>
      </w:r>
      <w:r>
        <w:t>Ockham je poslední představitel prvního averroismu, který viděl a kritizoval objektivní poznání scotistů a moderních iluminátů jako nekritický mysticismus.</w:t>
      </w:r>
    </w:p>
    <w:p w:rsidR="08163013" w:rsidRPr="00273106" w:rsidRDefault="08163013" w:rsidP="08163013">
      <w:r>
        <w:tab/>
        <w:t xml:space="preserve">Přímý náhled do mimočasové podstaty věcí uvádí poslední </w:t>
      </w:r>
      <w:r w:rsidRPr="00273106">
        <w:t>hermeneuticky zajímav</w:t>
      </w:r>
      <w:r>
        <w:t>ý spor</w:t>
      </w:r>
      <w:r w:rsidRPr="00273106">
        <w:t xml:space="preserve"> mezi Ockhamem a oxfordskými</w:t>
      </w:r>
      <w:r>
        <w:t xml:space="preserve"> učenci ze školy </w:t>
      </w:r>
      <w:r w:rsidRPr="00D23B4C">
        <w:rPr>
          <w:i/>
        </w:rPr>
        <w:t>Modernorum</w:t>
      </w:r>
      <w:r w:rsidRPr="00273106">
        <w:t>. Aristotelský logik arg</w:t>
      </w:r>
      <w:r>
        <w:t>umentuje proti Grossetestemu a o</w:t>
      </w:r>
      <w:r w:rsidRPr="00273106">
        <w:t>xfordské škole moderní logiky</w:t>
      </w:r>
      <w:r>
        <w:fldChar w:fldCharType="begin"/>
      </w:r>
      <w:r>
        <w:instrText xml:space="preserve"> XE "</w:instrText>
      </w:r>
      <w:r w:rsidRPr="009C5BB9">
        <w:rPr>
          <w:i/>
        </w:rPr>
        <w:instrText>logica Modernorum</w:instrText>
      </w:r>
      <w:r>
        <w:instrText xml:space="preserve">" </w:instrText>
      </w:r>
      <w:r>
        <w:fldChar w:fldCharType="end"/>
      </w:r>
      <w:r w:rsidRPr="00273106">
        <w:t xml:space="preserve"> </w:t>
      </w:r>
      <w:r>
        <w:t xml:space="preserve">z hlediska </w:t>
      </w:r>
      <w:r w:rsidRPr="00273106">
        <w:t xml:space="preserve">námořní bitvy v </w:t>
      </w:r>
      <w:r w:rsidRPr="00273106">
        <w:rPr>
          <w:i/>
        </w:rPr>
        <w:t>De Interpretatione</w:t>
      </w:r>
      <w:r w:rsidRPr="00273106">
        <w:t>. Opět se d</w:t>
      </w:r>
      <w:r>
        <w:t>rží striktně aristotelské linie, která hájí zásadní neurčitelnost</w:t>
      </w:r>
      <w:r w:rsidRPr="00273106">
        <w:t xml:space="preserve"> budoucích kontingentních událostí. </w:t>
      </w:r>
      <w:r>
        <w:t>A</w:t>
      </w:r>
      <w:r w:rsidRPr="00273106">
        <w:t xml:space="preserve">bsolutně čistá potencialita nemá žádný subsistentní charakter, </w:t>
      </w:r>
      <w:r>
        <w:t>proto není co</w:t>
      </w:r>
      <w:r w:rsidRPr="00273106">
        <w:t xml:space="preserve"> určovat v řádu logické výpovědi. </w:t>
      </w:r>
      <w:r>
        <w:t>Logika musí v řádu pravdy jako adekvace následovat metafyziku, protože metafyzická impozice</w:t>
      </w:r>
      <w:r>
        <w:fldChar w:fldCharType="begin"/>
      </w:r>
      <w:r>
        <w:instrText xml:space="preserve"> XE "impozice:</w:instrText>
      </w:r>
      <w:r w:rsidRPr="0076420B">
        <w:instrText>Ockham</w:instrText>
      </w:r>
      <w:r>
        <w:instrText xml:space="preserve">" </w:instrText>
      </w:r>
      <w:r>
        <w:fldChar w:fldCharType="end"/>
      </w:r>
      <w:r>
        <w:t xml:space="preserve"> z reality určuje logickou supozici. </w:t>
      </w:r>
      <w:r w:rsidRPr="00273106">
        <w:t xml:space="preserve">Ockham odmítá v traktátu </w:t>
      </w:r>
      <w:r w:rsidRPr="00273106">
        <w:rPr>
          <w:i/>
        </w:rPr>
        <w:t>Tractatus de praedestinatione et de praescientia divina</w:t>
      </w:r>
      <w:r w:rsidRPr="00273106">
        <w:t xml:space="preserve"> celou ontoteologickou</w:t>
      </w:r>
      <w:r>
        <w:fldChar w:fldCharType="begin"/>
      </w:r>
      <w:r>
        <w:instrText xml:space="preserve"> XE "</w:instrText>
      </w:r>
      <w:r w:rsidRPr="00982EE6">
        <w:instrText>ontoteologie:kritika Ockhama</w:instrText>
      </w:r>
      <w:r>
        <w:instrText xml:space="preserve">" </w:instrText>
      </w:r>
      <w:r>
        <w:fldChar w:fldCharType="end"/>
      </w:r>
      <w:r w:rsidRPr="00273106">
        <w:t xml:space="preserve"> konstrukci metafyziky </w:t>
      </w:r>
      <w:r w:rsidRPr="00273106">
        <w:rPr>
          <w:i/>
        </w:rPr>
        <w:t>Modernorum</w:t>
      </w:r>
      <w:r w:rsidRPr="00273106">
        <w:t>, která zakládá univerzální logický determinismus odkazem na boží prozřetelnost. Ockham oba mody nutnosti dané u boha a v realitě</w:t>
      </w:r>
      <w:r>
        <w:t xml:space="preserve"> nikdy</w:t>
      </w:r>
      <w:r w:rsidRPr="00273106">
        <w:t xml:space="preserve"> nespojuje. Naopak provádí metafyzicky založenou disjunkci obou modů nutnosti, kvůli zásadní nesouměřitelnosti obou řádů reality. </w:t>
      </w:r>
      <w:r>
        <w:t>Antimoderní logik o</w:t>
      </w:r>
      <w:r w:rsidRPr="00273106">
        <w:t xml:space="preserve">pět argumentuje důsledně podle Aristotela. Logika je pravdivá proto, že adekvátně poznáváme realitu a ne naopak, jak to tvrdí </w:t>
      </w:r>
      <w:r>
        <w:t>neoplatonš</w:t>
      </w:r>
      <w:r w:rsidRPr="00273106">
        <w:t>tí modernisté</w:t>
      </w:r>
      <w:r>
        <w:t xml:space="preserve"> od založení moderní logiky (kap. 5.1.2)</w:t>
      </w:r>
      <w:r w:rsidRPr="00273106">
        <w:t xml:space="preserve">. Tím padá celé ontoteologické schéma </w:t>
      </w:r>
      <w:r w:rsidRPr="00273106">
        <w:rPr>
          <w:i/>
        </w:rPr>
        <w:t>Modernorum</w:t>
      </w:r>
      <w:r w:rsidRPr="00273106">
        <w:t xml:space="preserve">, na kterém stojí moderní </w:t>
      </w:r>
      <w:r>
        <w:t xml:space="preserve">formální logika </w:t>
      </w:r>
      <w:r w:rsidRPr="00273106">
        <w:t xml:space="preserve">od </w:t>
      </w:r>
      <w:r>
        <w:t xml:space="preserve">Grossetesteho a od </w:t>
      </w:r>
      <w:r w:rsidRPr="00273106">
        <w:t xml:space="preserve">Leibnize. </w:t>
      </w:r>
      <w:r>
        <w:t xml:space="preserve">Ockham zásadně nesouhlasí se Scotovou univočně pojatou nutností, která zakládá jeho systém objektivní metafyzické dedukce v řádu </w:t>
      </w:r>
      <w:r w:rsidRPr="004F44BA">
        <w:rPr>
          <w:i/>
        </w:rPr>
        <w:t>exemplar</w:t>
      </w:r>
      <w:r>
        <w:t>‒</w:t>
      </w:r>
      <w:r w:rsidR="00884743">
        <w:rPr>
          <w:i/>
        </w:rPr>
        <w:t>vestigium</w:t>
      </w:r>
      <w:r>
        <w:rPr>
          <w:i/>
        </w:rPr>
        <w:fldChar w:fldCharType="begin"/>
      </w:r>
      <w:r>
        <w:instrText xml:space="preserve"> XE "pravda:</w:instrText>
      </w:r>
      <w:r w:rsidRPr="001C1350">
        <w:rPr>
          <w:i/>
        </w:rPr>
        <w:instrText>exemplar</w:instrText>
      </w:r>
      <w:r>
        <w:instrText>/</w:instrText>
      </w:r>
      <w:r w:rsidRPr="001C1350">
        <w:rPr>
          <w:i/>
        </w:rPr>
        <w:instrText>vestigi</w:instrText>
      </w:r>
      <w:r w:rsidR="00884743">
        <w:rPr>
          <w:i/>
        </w:rPr>
        <w:instrText>um</w:instrText>
      </w:r>
      <w:r>
        <w:instrText xml:space="preserve">" </w:instrText>
      </w:r>
      <w:r>
        <w:rPr>
          <w:i/>
        </w:rPr>
        <w:fldChar w:fldCharType="end"/>
      </w:r>
      <w:r>
        <w:t xml:space="preserve"> (kap. 7.3.2). Uvažování modernistů je mylné z naprosto zásadního důvodu. Ilumináti nejsou kritičtí realisté a jejich myšlení začalo vidět do boží mysli. </w:t>
      </w:r>
      <w:r w:rsidRPr="00273106">
        <w:t>Nejsme bůh a nevíme, zda by svět vznikl nebo ne.</w:t>
      </w:r>
    </w:p>
    <w:p w:rsidR="08163013" w:rsidRPr="00A57F97" w:rsidRDefault="08163013" w:rsidP="08163013">
      <w:pPr>
        <w:pStyle w:val="Citace"/>
        <w:rPr>
          <w:noProof/>
          <w:lang w:val="cs-CZ"/>
        </w:rPr>
      </w:pPr>
      <w:r w:rsidRPr="00273106">
        <w:rPr>
          <w:noProof/>
          <w:lang w:val="cs-CZ"/>
        </w:rPr>
        <w:lastRenderedPageBreak/>
        <w:t>„</w:t>
      </w:r>
      <w:r>
        <w:rPr>
          <w:noProof/>
          <w:lang w:val="cs-CZ"/>
        </w:rPr>
        <w:t>Výrok 'Bůh předurčil Petra</w:t>
      </w:r>
      <w:r w:rsidRPr="00273106">
        <w:rPr>
          <w:noProof/>
          <w:lang w:val="cs-CZ"/>
        </w:rPr>
        <w:t>'</w:t>
      </w:r>
      <w:r>
        <w:rPr>
          <w:noProof/>
          <w:lang w:val="cs-CZ"/>
        </w:rPr>
        <w:t xml:space="preserve"> byl a je (</w:t>
      </w:r>
      <w:r w:rsidRPr="08FB1706">
        <w:rPr>
          <w:i/>
          <w:noProof/>
          <w:lang w:val="cs-CZ"/>
        </w:rPr>
        <w:t>fuit</w:t>
      </w:r>
      <w:r>
        <w:rPr>
          <w:noProof/>
          <w:lang w:val="cs-CZ"/>
        </w:rPr>
        <w:t xml:space="preserve">) pravdivý od věčnosti, proto nemůže být mylný, a proto je prý také nutný. Tento závěr popírám.  Mnohé výroky dané na věčnosti jsou zde </w:t>
      </w:r>
      <w:r w:rsidR="005F7FC7">
        <w:rPr>
          <w:noProof/>
          <w:lang w:val="cs-CZ"/>
        </w:rPr>
        <w:t xml:space="preserve">a nyní </w:t>
      </w:r>
      <w:r>
        <w:rPr>
          <w:noProof/>
          <w:lang w:val="cs-CZ"/>
        </w:rPr>
        <w:t>správné, ale v jiném modu jsou mylné. Například na věčnosti byl a je zcela pravdivý výrok 'Svět neexistuje</w:t>
      </w:r>
      <w:r w:rsidRPr="00273106">
        <w:rPr>
          <w:noProof/>
          <w:lang w:val="cs-CZ"/>
        </w:rPr>
        <w:t>'</w:t>
      </w:r>
      <w:r>
        <w:rPr>
          <w:noProof/>
          <w:lang w:val="cs-CZ"/>
        </w:rPr>
        <w:t>, ale v jiném modu je to výrok mylný. Proto tvrdím, že i když výrok 'Bůh předurčil Petra</w:t>
      </w:r>
      <w:r w:rsidRPr="00273106">
        <w:rPr>
          <w:noProof/>
          <w:lang w:val="cs-CZ"/>
        </w:rPr>
        <w:t>'</w:t>
      </w:r>
      <w:r>
        <w:rPr>
          <w:noProof/>
          <w:lang w:val="cs-CZ"/>
        </w:rPr>
        <w:t xml:space="preserve"> byl a je pravdivý od věčnosti, přesto může být mylný, a nikdy nemusel být pravdivý (</w:t>
      </w:r>
      <w:r w:rsidRPr="009F561A">
        <w:rPr>
          <w:i/>
          <w:noProof/>
        </w:rPr>
        <w:t>potest esse falsa et potest numquam fuisse vera</w:t>
      </w:r>
      <w:r>
        <w:rPr>
          <w:noProof/>
          <w:lang w:val="cs-CZ"/>
        </w:rPr>
        <w:t>).“ </w:t>
      </w:r>
      <w:r>
        <w:rPr>
          <w:rStyle w:val="Znakapoznpodarou"/>
        </w:rPr>
        <w:footnoteReference w:id="505"/>
      </w:r>
    </w:p>
    <w:p w:rsidR="08163013" w:rsidRDefault="08163013" w:rsidP="08163013">
      <w:r w:rsidRPr="00273106">
        <w:t>Predestinace Petrova zapření a jmenování hlavou apoštolů není žádný problém v řádu boží nutnosti dané věčně a neodvolatelně (</w:t>
      </w:r>
      <w:r w:rsidRPr="00273106">
        <w:rPr>
          <w:i/>
        </w:rPr>
        <w:t>haec propositio fuit vera ab aeterno... est necessaria</w:t>
      </w:r>
      <w:r w:rsidRPr="00273106">
        <w:t xml:space="preserve">). Ale Ockham zásadně popírá univoční </w:t>
      </w:r>
      <w:r>
        <w:t xml:space="preserve">závěr </w:t>
      </w:r>
      <w:r>
        <w:rPr>
          <w:i/>
        </w:rPr>
        <w:t>semel</w:t>
      </w:r>
      <w:r>
        <w:rPr>
          <w:i/>
        </w:rPr>
        <w:fldChar w:fldCharType="begin"/>
      </w:r>
      <w:r>
        <w:instrText xml:space="preserve"> XE "</w:instrText>
      </w:r>
      <w:r w:rsidRPr="00420582">
        <w:rPr>
          <w:rStyle w:val="FontStyle129"/>
          <w:sz w:val="24"/>
        </w:rPr>
        <w:instrText>pravda</w:instrText>
      </w:r>
      <w:r w:rsidRPr="00814674">
        <w:rPr>
          <w:rStyle w:val="FontStyle129"/>
          <w:i/>
          <w:sz w:val="24"/>
        </w:rPr>
        <w:instrText>:</w:instrText>
      </w:r>
      <w:r w:rsidRPr="00420582">
        <w:rPr>
          <w:i/>
        </w:rPr>
        <w:instrText>semel‒semper</w:instrText>
      </w:r>
      <w:r>
        <w:instrText xml:space="preserve">" </w:instrText>
      </w:r>
      <w:r>
        <w:rPr>
          <w:i/>
        </w:rPr>
        <w:fldChar w:fldCharType="end"/>
      </w:r>
      <w:r w:rsidRPr="00273106">
        <w:rPr>
          <w:i/>
        </w:rPr>
        <w:t xml:space="preserve">‒semper </w:t>
      </w:r>
      <w:r w:rsidRPr="00273106">
        <w:t xml:space="preserve">daný ve škole </w:t>
      </w:r>
      <w:r w:rsidRPr="00273106">
        <w:rPr>
          <w:i/>
        </w:rPr>
        <w:t>Nominales</w:t>
      </w:r>
      <w:r w:rsidRPr="00273106">
        <w:t xml:space="preserve"> a převzaté jeho </w:t>
      </w:r>
      <w:r>
        <w:t xml:space="preserve">scotistickými </w:t>
      </w:r>
      <w:r w:rsidRPr="00273106">
        <w:t xml:space="preserve">současníky </w:t>
      </w:r>
      <w:r>
        <w:t>v řádu objektivní emanace boží racionality do světa</w:t>
      </w:r>
      <w:r w:rsidRPr="00273106">
        <w:t xml:space="preserve">. </w:t>
      </w:r>
      <w:r>
        <w:t xml:space="preserve">V rámci aristotelské metafyziky nemůže </w:t>
      </w:r>
      <w:r w:rsidRPr="00273106">
        <w:t>plat</w:t>
      </w:r>
      <w:r>
        <w:t>it z</w:t>
      </w:r>
      <w:r w:rsidRPr="00273106">
        <w:t xml:space="preserve">ávěr modernistů </w:t>
      </w:r>
      <w:r>
        <w:t xml:space="preserve">daný na základě univoční nutnosti v bohu a ve stvoření </w:t>
      </w:r>
      <w:r w:rsidRPr="00273106">
        <w:t>(</w:t>
      </w:r>
      <w:r w:rsidRPr="00273106">
        <w:rPr>
          <w:i/>
        </w:rPr>
        <w:t>nego consequentiam</w:t>
      </w:r>
      <w:r w:rsidRPr="00273106">
        <w:t xml:space="preserve">). </w:t>
      </w:r>
      <w:r>
        <w:t xml:space="preserve">Problém, který objektivisté už ani nevidí, spočívá </w:t>
      </w:r>
      <w:r w:rsidRPr="00273106">
        <w:t xml:space="preserve">v neexistující </w:t>
      </w:r>
      <w:r w:rsidR="001820D7">
        <w:t xml:space="preserve">impozici </w:t>
      </w:r>
      <w:r w:rsidRPr="00273106">
        <w:t>této nutnosti</w:t>
      </w:r>
      <w:r>
        <w:t xml:space="preserve">. </w:t>
      </w:r>
      <w:r w:rsidR="001820D7">
        <w:t xml:space="preserve">Impozice </w:t>
      </w:r>
      <w:r>
        <w:t>nutnosti vždy odpovídá</w:t>
      </w:r>
      <w:r w:rsidRPr="00273106">
        <w:t xml:space="preserve"> řádu lidského poznání, a ne božského</w:t>
      </w:r>
      <w:r>
        <w:t>. O božím poznání nic nevíme, nejsme bůh</w:t>
      </w:r>
      <w:r w:rsidRPr="00273106">
        <w:t xml:space="preserve">. </w:t>
      </w:r>
      <w:r>
        <w:t xml:space="preserve">Ockham zrušil klíčový prvek antropocentrické metafyziky moderny. </w:t>
      </w:r>
      <w:r w:rsidRPr="00273106">
        <w:t xml:space="preserve">Svět před stvořením nebyl, takže výpověď o jeho neexistenci </w:t>
      </w:r>
      <w:r>
        <w:t>byla pravdivá (</w:t>
      </w:r>
      <w:r w:rsidRPr="00273106">
        <w:rPr>
          <w:i/>
        </w:rPr>
        <w:t>ista fuit v</w:t>
      </w:r>
      <w:r>
        <w:rPr>
          <w:i/>
        </w:rPr>
        <w:t>era ab aeterno 'mundus non est'</w:t>
      </w:r>
      <w:r>
        <w:t xml:space="preserve">). A </w:t>
      </w:r>
      <w:r w:rsidRPr="00273106">
        <w:t>přec</w:t>
      </w:r>
      <w:r>
        <w:t>e je v našem modu poznání (</w:t>
      </w:r>
      <w:r w:rsidRPr="00BC1E1A">
        <w:rPr>
          <w:i/>
        </w:rPr>
        <w:t>tamen modo</w:t>
      </w:r>
      <w:r>
        <w:t>) poznána jako mylná (</w:t>
      </w:r>
      <w:r w:rsidRPr="00273106">
        <w:rPr>
          <w:i/>
        </w:rPr>
        <w:t>est falsa</w:t>
      </w:r>
      <w:r w:rsidRPr="00273106">
        <w:t xml:space="preserve">). </w:t>
      </w:r>
      <w:r>
        <w:t xml:space="preserve">Žádná nutnost nemůže spojit pravdivý a nepravdivý výrok. </w:t>
      </w:r>
      <w:r w:rsidRPr="00273106">
        <w:t>Vzhledem k Petrově zapření viděného z takto dané boží perspektivy pro nás platí zásadní indeterminace této kontingent</w:t>
      </w:r>
      <w:r>
        <w:t>n</w:t>
      </w:r>
      <w:r w:rsidRPr="00273106">
        <w:t>í budoucí události. Nejsme bůh, a pro</w:t>
      </w:r>
      <w:r>
        <w:t>to ani nemůžeme určit, zda Petr</w:t>
      </w:r>
      <w:r w:rsidRPr="00273106">
        <w:t xml:space="preserve"> zapře nebo nezapře Ježíše (</w:t>
      </w:r>
      <w:r w:rsidRPr="00273106">
        <w:rPr>
          <w:i/>
        </w:rPr>
        <w:t>tamen potest esse falsa</w:t>
      </w:r>
      <w:r w:rsidRPr="00273106">
        <w:t xml:space="preserve">). </w:t>
      </w:r>
      <w:r>
        <w:t xml:space="preserve"> </w:t>
      </w:r>
      <w:r w:rsidRPr="00273106">
        <w:t>Klíčová je druhá část z</w:t>
      </w:r>
      <w:r>
        <w:t>á</w:t>
      </w:r>
      <w:r w:rsidRPr="00273106">
        <w:t>věru.</w:t>
      </w:r>
      <w:r>
        <w:t xml:space="preserve"> Ockham výslovně prohlašuje díky pře</w:t>
      </w:r>
      <w:r w:rsidRPr="00273106">
        <w:t>dešlým příkladům indeterminace, že nikdy nemůže</w:t>
      </w:r>
      <w:r>
        <w:t>me</w:t>
      </w:r>
      <w:r w:rsidRPr="00273106">
        <w:t xml:space="preserve"> znát modus pravdivosti této události (</w:t>
      </w:r>
      <w:r w:rsidRPr="00273106">
        <w:rPr>
          <w:i/>
        </w:rPr>
        <w:t>potest numquam fuisse vera</w:t>
      </w:r>
      <w:r w:rsidRPr="00273106">
        <w:t>). Na rozdíl od Grossetest</w:t>
      </w:r>
      <w:r>
        <w:t>eho tvrdí, že budoucí udál</w:t>
      </w:r>
      <w:r w:rsidRPr="00273106">
        <w:t>o</w:t>
      </w:r>
      <w:r>
        <w:t>s</w:t>
      </w:r>
      <w:r w:rsidRPr="00273106">
        <w:t>ti typu Petrova zapření</w:t>
      </w:r>
      <w:r>
        <w:t xml:space="preserve">, Antikristova příchodu </w:t>
      </w:r>
      <w:r w:rsidRPr="00273106">
        <w:t xml:space="preserve">nebo </w:t>
      </w:r>
      <w:r>
        <w:t xml:space="preserve">budoucí </w:t>
      </w:r>
      <w:r w:rsidRPr="00273106">
        <w:t>námořní bitvy</w:t>
      </w:r>
      <w:r>
        <w:fldChar w:fldCharType="begin"/>
      </w:r>
      <w:r>
        <w:instrText xml:space="preserve"> XE "</w:instrText>
      </w:r>
      <w:r w:rsidRPr="00635DE4">
        <w:instrText>námořní bitva</w:instrText>
      </w:r>
      <w:r>
        <w:instrText xml:space="preserve">" </w:instrText>
      </w:r>
      <w:r>
        <w:fldChar w:fldCharType="end"/>
      </w:r>
      <w:r w:rsidRPr="00273106">
        <w:t xml:space="preserve"> jsou pro nás zásadně nepoznatelné </w:t>
      </w:r>
      <w:r>
        <w:t xml:space="preserve">z hlediska jejich pravdivosti, </w:t>
      </w:r>
      <w:r w:rsidRPr="00273106">
        <w:t xml:space="preserve">a tím  </w:t>
      </w:r>
      <w:r>
        <w:t xml:space="preserve">i logicky </w:t>
      </w:r>
      <w:r w:rsidRPr="00273106">
        <w:t>nedeterminovatelné. Převeďme to na příklad nutného příchodu Antikrista</w:t>
      </w:r>
      <w:r>
        <w:fldChar w:fldCharType="begin"/>
      </w:r>
      <w:r>
        <w:instrText xml:space="preserve"> XE "</w:instrText>
      </w:r>
      <w:r w:rsidRPr="0096335E">
        <w:instrText>Antikrist</w:instrText>
      </w:r>
      <w:r>
        <w:instrText xml:space="preserve">" </w:instrText>
      </w:r>
      <w:r>
        <w:fldChar w:fldCharType="end"/>
      </w:r>
      <w:r w:rsidRPr="00273106">
        <w:t>, který měl Grosseteste</w:t>
      </w:r>
      <w:r>
        <w:t xml:space="preserve"> (</w:t>
      </w:r>
      <w:r w:rsidR="00EC42B9">
        <w:t xml:space="preserve">OBJ II, </w:t>
      </w:r>
      <w:r>
        <w:t xml:space="preserve">kap. </w:t>
      </w:r>
      <w:r w:rsidR="00EC42B9">
        <w:t>3</w:t>
      </w:r>
      <w:r>
        <w:t>.1.2)</w:t>
      </w:r>
      <w:r w:rsidRPr="00273106">
        <w:t xml:space="preserve">. Tato nutnost je podle Ockhama dána u boha, ale ne vzhledem k nám, protože v řádu reality je afirmována pouze vírou, a nikoliv empirickým </w:t>
      </w:r>
      <w:r w:rsidRPr="00273106">
        <w:lastRenderedPageBreak/>
        <w:t xml:space="preserve">poznáním daným na základě působení reálných substancí. </w:t>
      </w:r>
      <w:r>
        <w:t>N</w:t>
      </w:r>
      <w:r w:rsidRPr="00273106">
        <w:t>utn</w:t>
      </w:r>
      <w:r>
        <w:t xml:space="preserve">ý </w:t>
      </w:r>
      <w:r w:rsidRPr="00273106">
        <w:t>příchod Antikrista</w:t>
      </w:r>
      <w:r>
        <w:fldChar w:fldCharType="begin"/>
      </w:r>
      <w:r>
        <w:instrText xml:space="preserve"> XE "</w:instrText>
      </w:r>
      <w:r w:rsidRPr="0096335E">
        <w:instrText>Antikrist</w:instrText>
      </w:r>
      <w:r>
        <w:instrText xml:space="preserve">" </w:instrText>
      </w:r>
      <w:r>
        <w:fldChar w:fldCharType="end"/>
      </w:r>
      <w:r>
        <w:t xml:space="preserve"> podle Ockhama nemá supozici danou od reálně působící první substance</w:t>
      </w:r>
      <w:r>
        <w:rPr>
          <w:i/>
        </w:rPr>
        <w:fldChar w:fldCharType="begin"/>
      </w:r>
      <w:r>
        <w:instrText xml:space="preserve"> XE "</w:instrText>
      </w:r>
      <w:r w:rsidRPr="00792D52">
        <w:rPr>
          <w:i/>
        </w:rPr>
        <w:instrText>future contigents</w:instrText>
      </w:r>
      <w:r>
        <w:instrText xml:space="preserve">" </w:instrText>
      </w:r>
      <w:r>
        <w:rPr>
          <w:i/>
        </w:rPr>
        <w:fldChar w:fldCharType="end"/>
      </w:r>
      <w:r>
        <w:t xml:space="preserve">. Z hlediska přirozeného poznání nemůžeme predikovat nic filosoficky a přirozeně vědecky  pravdivého o této zajímavé postavě, která svou reálnou neexistencí dogmaticky a mytopoeticky založila objektivní moderní logiku. V případě budoucího příchodu biblického Antikrista nebo Aristotelovy budoucí námořní bitvy chybí impozice významu od reálné první substance. A vzít Antikrista jako moderní </w:t>
      </w:r>
      <w:r w:rsidRPr="084B186A">
        <w:rPr>
          <w:i/>
        </w:rPr>
        <w:t>tertium ens</w:t>
      </w:r>
      <w:r>
        <w:t xml:space="preserve"> znamená pro Ockama porážku zdravého rozumu, protože filosofie a teologie jsou dvě rodově odlišné vědy. Opět se debata týká předešlého sporu o supozici Scotova</w:t>
      </w:r>
      <w:r w:rsidRPr="00273106">
        <w:t xml:space="preserve"> pojm</w:t>
      </w:r>
      <w:r>
        <w:t xml:space="preserve">u </w:t>
      </w:r>
      <w:r w:rsidR="001265F7">
        <w:t>„</w:t>
      </w:r>
      <w:r w:rsidRPr="00273106">
        <w:rPr>
          <w:i/>
        </w:rPr>
        <w:t>esse completive universale</w:t>
      </w:r>
      <w:r w:rsidR="001265F7">
        <w:t>“</w:t>
      </w:r>
      <w:r>
        <w:t xml:space="preserve">. </w:t>
      </w:r>
      <w:r w:rsidR="001265F7">
        <w:t>Zrušením u</w:t>
      </w:r>
      <w:r>
        <w:t xml:space="preserve">nivoční nutnosti zanikl základní princip výstavby jednotné </w:t>
      </w:r>
      <w:r w:rsidRPr="008912A3">
        <w:rPr>
          <w:i/>
        </w:rPr>
        <w:t>metaphysica generalis</w:t>
      </w:r>
      <w:r>
        <w:rPr>
          <w:i/>
        </w:rPr>
        <w:fldChar w:fldCharType="begin"/>
      </w:r>
      <w:r>
        <w:instrText xml:space="preserve"> XE "</w:instrText>
      </w:r>
      <w:r w:rsidRPr="007E3962">
        <w:rPr>
          <w:i/>
        </w:rPr>
        <w:instrText>metaphysica generalis</w:instrText>
      </w:r>
      <w:r>
        <w:instrText xml:space="preserve">" </w:instrText>
      </w:r>
      <w:r>
        <w:rPr>
          <w:i/>
        </w:rPr>
        <w:fldChar w:fldCharType="end"/>
      </w:r>
      <w:r>
        <w:t xml:space="preserve">, kterou Scotus </w:t>
      </w:r>
      <w:r w:rsidR="007D1711">
        <w:t xml:space="preserve">založil </w:t>
      </w:r>
      <w:r>
        <w:t xml:space="preserve">na spekulativní mystické logice oxfordských </w:t>
      </w:r>
      <w:r w:rsidRPr="003A0531">
        <w:rPr>
          <w:i/>
        </w:rPr>
        <w:t>Modernorum</w:t>
      </w:r>
      <w:r>
        <w:t xml:space="preserve">. Pravda teologie není pravda filosofie, i když s ní teologie není v rozporu. </w:t>
      </w:r>
      <w:r w:rsidRPr="00273106">
        <w:t>Připomeňme Sigerovu a Baconovu pozici</w:t>
      </w:r>
      <w:r>
        <w:t xml:space="preserve"> vyjádřenou prohlášením magistrů Pařížské univerzity z dubna 1272 </w:t>
      </w:r>
      <w:r>
        <w:rPr>
          <w:szCs w:val="24"/>
        </w:rPr>
        <w:fldChar w:fldCharType="begin"/>
      </w:r>
      <w:r>
        <w:instrText xml:space="preserve"> XE "</w:instrText>
      </w:r>
      <w:r w:rsidRPr="00FD37CA">
        <w:rPr>
          <w:szCs w:val="24"/>
        </w:rPr>
        <w:instrText>dekret artistů 1272</w:instrText>
      </w:r>
      <w:r>
        <w:instrText xml:space="preserve">" </w:instrText>
      </w:r>
      <w:r>
        <w:rPr>
          <w:szCs w:val="24"/>
        </w:rPr>
        <w:fldChar w:fldCharType="end"/>
      </w:r>
      <w:r w:rsidR="00EC42B9">
        <w:t xml:space="preserve"> (kap. 4</w:t>
      </w:r>
      <w:r>
        <w:t>.1.2). Ockham s</w:t>
      </w:r>
      <w:r w:rsidRPr="00273106">
        <w:t>tejně jako</w:t>
      </w:r>
      <w:r>
        <w:t xml:space="preserve"> Bacon hájí </w:t>
      </w:r>
      <w:r w:rsidR="002F1376">
        <w:t>dvojí metodu poznání</w:t>
      </w:r>
      <w:r w:rsidRPr="00273106">
        <w:t>, protože jak teologie</w:t>
      </w:r>
      <w:r>
        <w:fldChar w:fldCharType="begin"/>
      </w:r>
      <w:r>
        <w:instrText xml:space="preserve"> XE "</w:instrText>
      </w:r>
      <w:r w:rsidRPr="004A395B">
        <w:instrText>teorie dvojí pravdy</w:instrText>
      </w:r>
      <w:r>
        <w:instrText xml:space="preserve">" </w:instrText>
      </w:r>
      <w:r>
        <w:fldChar w:fldCharType="end"/>
      </w:r>
      <w:r w:rsidRPr="00273106">
        <w:t>, tak i filosofie má vlastní obor zkoumání (</w:t>
      </w:r>
      <w:r w:rsidRPr="00273106">
        <w:rPr>
          <w:i/>
        </w:rPr>
        <w:t>dignitatis philosophia</w:t>
      </w:r>
      <w:r w:rsidRPr="00273106">
        <w:t xml:space="preserve">). </w:t>
      </w:r>
      <w:r>
        <w:t xml:space="preserve">Teorie dvou rodově odlišných </w:t>
      </w:r>
      <w:r w:rsidRPr="00273106">
        <w:rPr>
          <w:i/>
        </w:rPr>
        <w:t>dignitates</w:t>
      </w:r>
      <w:r w:rsidRPr="00273106">
        <w:t xml:space="preserve"> znamená</w:t>
      </w:r>
      <w:r>
        <w:t xml:space="preserve"> podle Bacona</w:t>
      </w:r>
      <w:r w:rsidRPr="00273106">
        <w:t>, že žádný druh vědění nesmí metodologicky determinovat jiný druh vědy (</w:t>
      </w:r>
      <w:r w:rsidRPr="00273106">
        <w:rPr>
          <w:i/>
        </w:rPr>
        <w:t>nulla facultate extranea debet dominari</w:t>
      </w:r>
      <w:r w:rsidR="00BA6035">
        <w:t>; OBJ II, kap. 3</w:t>
      </w:r>
      <w:r w:rsidRPr="00273106">
        <w:t>.4.3). Nyní je ja</w:t>
      </w:r>
      <w:r>
        <w:t>sné, proč Ockham jako zastánce dvojí cesty poznání</w:t>
      </w:r>
      <w:r w:rsidRPr="00273106">
        <w:t xml:space="preserve"> na způsob </w:t>
      </w:r>
      <w:r w:rsidRPr="086A0EE1">
        <w:rPr>
          <w:i/>
        </w:rPr>
        <w:t>Druhých analytik</w:t>
      </w:r>
      <w:r>
        <w:t xml:space="preserve"> </w:t>
      </w:r>
      <w:r w:rsidRPr="00273106">
        <w:t xml:space="preserve">nemohl </w:t>
      </w:r>
      <w:r>
        <w:t xml:space="preserve">zůstat v oxfordské komunitě </w:t>
      </w:r>
      <w:r w:rsidRPr="00273106">
        <w:t xml:space="preserve"> </w:t>
      </w:r>
      <w:r>
        <w:t xml:space="preserve">objektivně </w:t>
      </w:r>
      <w:r w:rsidRPr="00273106">
        <w:t>myslících logiků, analytiků a scotistů</w:t>
      </w:r>
      <w:r>
        <w:t xml:space="preserve">, kteří pilně a vítězně kráčeli po jediné správné </w:t>
      </w:r>
      <w:r w:rsidRPr="00504395">
        <w:rPr>
          <w:i/>
        </w:rPr>
        <w:t>via Mo</w:t>
      </w:r>
      <w:r>
        <w:rPr>
          <w:i/>
        </w:rPr>
        <w:t>derno</w:t>
      </w:r>
      <w:r w:rsidRPr="00504395">
        <w:rPr>
          <w:i/>
        </w:rPr>
        <w:t>r</w:t>
      </w:r>
      <w:r>
        <w:rPr>
          <w:i/>
        </w:rPr>
        <w:t>u</w:t>
      </w:r>
      <w:r w:rsidRPr="00504395">
        <w:rPr>
          <w:i/>
        </w:rPr>
        <w:t>m</w:t>
      </w:r>
      <w:r>
        <w:rPr>
          <w:i/>
        </w:rPr>
        <w:fldChar w:fldCharType="begin"/>
      </w:r>
      <w:r>
        <w:instrText xml:space="preserve"> XE "</w:instrText>
      </w:r>
      <w:r w:rsidRPr="00ED0748">
        <w:rPr>
          <w:i/>
        </w:rPr>
        <w:instrText>via Modernorum</w:instrText>
      </w:r>
      <w:r>
        <w:instrText xml:space="preserve">" </w:instrText>
      </w:r>
      <w:r>
        <w:rPr>
          <w:i/>
        </w:rPr>
        <w:fldChar w:fldCharType="end"/>
      </w:r>
      <w:r>
        <w:t xml:space="preserve"> směrem k objektivnímu příchodu Antikrista, korporátního kapitalismu a finančních derivátů. </w:t>
      </w:r>
      <w:r w:rsidRPr="00273106">
        <w:t>Také u akademiků někdy platí, že kdo uteče, ten vyhraje. Ockham musel v životě utíkat dokonce dvakrát</w:t>
      </w:r>
      <w:r>
        <w:t xml:space="preserve"> a to nejprve z Oxfordu</w:t>
      </w:r>
      <w:r w:rsidRPr="00273106">
        <w:t xml:space="preserve">. </w:t>
      </w:r>
      <w:r>
        <w:t>A p</w:t>
      </w:r>
      <w:r w:rsidRPr="00273106">
        <w:t>o sebezáchovném útěku z papežského Avignonu zůstal na živu a mohl napsat novou intepretaci Aristotelových politických spisů</w:t>
      </w:r>
      <w:r>
        <w:t>, kterým</w:t>
      </w:r>
      <w:r w:rsidRPr="00273106">
        <w:t xml:space="preserve"> se věnuje poslední matrice.</w:t>
      </w:r>
    </w:p>
    <w:p w:rsidR="00F607C9" w:rsidRDefault="00F56896" w:rsidP="003E1BFB">
      <w:pPr>
        <w:ind w:firstLine="397"/>
        <w:rPr>
          <w:lang w:eastAsia="en-US"/>
        </w:rPr>
      </w:pPr>
      <w:r>
        <w:rPr>
          <w:lang w:eastAsia="en-US"/>
        </w:rPr>
        <w:t>Averroisté a semiaverroisté</w:t>
      </w:r>
      <w:r>
        <w:rPr>
          <w:lang w:eastAsia="en-US"/>
        </w:rPr>
        <w:fldChar w:fldCharType="begin"/>
      </w:r>
      <w:r>
        <w:instrText xml:space="preserve"> XE "</w:instrText>
      </w:r>
      <w:r w:rsidRPr="00504407">
        <w:rPr>
          <w:lang w:eastAsia="en-US"/>
        </w:rPr>
        <w:instrText>semiaverroismus</w:instrText>
      </w:r>
      <w:r>
        <w:instrText xml:space="preserve">" </w:instrText>
      </w:r>
      <w:r>
        <w:rPr>
          <w:lang w:eastAsia="en-US"/>
        </w:rPr>
        <w:fldChar w:fldCharType="end"/>
      </w:r>
      <w:r>
        <w:rPr>
          <w:lang w:eastAsia="en-US"/>
        </w:rPr>
        <w:t xml:space="preserve"> všeho druhu definitivně </w:t>
      </w:r>
      <w:r w:rsidRPr="00273106">
        <w:rPr>
          <w:lang w:eastAsia="en-US"/>
        </w:rPr>
        <w:t>ovládli akademické prostředí obou hlavních univerzit křesťanského Západu</w:t>
      </w:r>
      <w:r>
        <w:rPr>
          <w:lang w:eastAsia="en-US"/>
        </w:rPr>
        <w:t xml:space="preserve"> po roce 1277</w:t>
      </w:r>
      <w:r w:rsidRPr="00273106">
        <w:rPr>
          <w:lang w:eastAsia="en-US"/>
        </w:rPr>
        <w:t xml:space="preserve">. </w:t>
      </w:r>
      <w:r>
        <w:rPr>
          <w:lang w:eastAsia="en-US"/>
        </w:rPr>
        <w:t>Pronásledovaný a objektivně vytěsněný první averroismus už neměl na to, aby v nových podmínkách obhájil klasickou formu metafyziky. Ockham nově a zcela originálně rozvinul základní teze p</w:t>
      </w:r>
      <w:r w:rsidRPr="00273106">
        <w:rPr>
          <w:lang w:eastAsia="en-US"/>
        </w:rPr>
        <w:t>rvní filosofie</w:t>
      </w:r>
      <w:r>
        <w:rPr>
          <w:lang w:eastAsia="en-US"/>
        </w:rPr>
        <w:t xml:space="preserve"> podle Averroesovy a Sigerovy ipseity dané jako existenciální akt porozumění jedné osoby (</w:t>
      </w:r>
      <w:r>
        <w:rPr>
          <w:i/>
          <w:lang w:eastAsia="en-US"/>
        </w:rPr>
        <w:t>homo ipse intelligit</w:t>
      </w:r>
      <w:r>
        <w:rPr>
          <w:i/>
          <w:lang w:eastAsia="en-US"/>
        </w:rPr>
        <w:fldChar w:fldCharType="begin"/>
      </w:r>
      <w:r>
        <w:instrText xml:space="preserve"> XE "</w:instrText>
      </w:r>
      <w:r w:rsidRPr="00B935DC">
        <w:rPr>
          <w:rStyle w:val="Zkladntext350"/>
        </w:rPr>
        <w:instrText>osoba</w:instrText>
      </w:r>
      <w:r w:rsidRPr="00B935DC">
        <w:rPr>
          <w:rStyle w:val="Zkladntext350"/>
          <w:i/>
        </w:rPr>
        <w:instrText>:</w:instrText>
      </w:r>
      <w:r>
        <w:rPr>
          <w:rStyle w:val="Zkladntext350"/>
          <w:i/>
        </w:rPr>
        <w:instrText>homo ipse intelligit</w:instrText>
      </w:r>
      <w:r>
        <w:instrText xml:space="preserve">" </w:instrText>
      </w:r>
      <w:r>
        <w:rPr>
          <w:i/>
          <w:lang w:eastAsia="en-US"/>
        </w:rPr>
        <w:fldChar w:fldCharType="end"/>
      </w:r>
      <w:r>
        <w:rPr>
          <w:lang w:eastAsia="en-US"/>
        </w:rPr>
        <w:t>)</w:t>
      </w:r>
      <w:r w:rsidRPr="00273106">
        <w:rPr>
          <w:lang w:eastAsia="en-US"/>
        </w:rPr>
        <w:t xml:space="preserve">. Ockham </w:t>
      </w:r>
      <w:r w:rsidRPr="00273106">
        <w:rPr>
          <w:lang w:eastAsia="en-US"/>
        </w:rPr>
        <w:lastRenderedPageBreak/>
        <w:t>neuspěl</w:t>
      </w:r>
      <w:r>
        <w:rPr>
          <w:lang w:eastAsia="en-US"/>
        </w:rPr>
        <w:t xml:space="preserve"> proti </w:t>
      </w:r>
      <w:r w:rsidRPr="00273106">
        <w:rPr>
          <w:lang w:eastAsia="en-US"/>
        </w:rPr>
        <w:t xml:space="preserve">větrným mlýnům </w:t>
      </w:r>
      <w:r>
        <w:rPr>
          <w:lang w:eastAsia="en-US"/>
        </w:rPr>
        <w:t>sofistické moderny, které pilně mlely nová jsoucna třetího druhu už jedno století</w:t>
      </w:r>
      <w:r w:rsidRPr="00273106">
        <w:rPr>
          <w:lang w:eastAsia="en-US"/>
        </w:rPr>
        <w:t xml:space="preserve">. </w:t>
      </w:r>
      <w:r>
        <w:rPr>
          <w:lang w:eastAsia="en-US"/>
        </w:rPr>
        <w:t>Tento úkol dokončila v následujícím miléniu až Heideggerova hermeneutika fakticity</w:t>
      </w:r>
      <w:r>
        <w:rPr>
          <w:lang w:eastAsia="en-US"/>
        </w:rPr>
        <w:fldChar w:fldCharType="begin"/>
      </w:r>
      <w:r>
        <w:instrText xml:space="preserve"> XE "</w:instrText>
      </w:r>
      <w:r w:rsidRPr="00991E5A">
        <w:rPr>
          <w:lang w:eastAsia="en-US"/>
        </w:rPr>
        <w:instrText>hermeneutika:fakticity</w:instrText>
      </w:r>
      <w:r>
        <w:instrText xml:space="preserve">" </w:instrText>
      </w:r>
      <w:r>
        <w:rPr>
          <w:lang w:eastAsia="en-US"/>
        </w:rPr>
        <w:fldChar w:fldCharType="end"/>
      </w:r>
      <w:r>
        <w:rPr>
          <w:lang w:eastAsia="en-US"/>
        </w:rPr>
        <w:t xml:space="preserve">. Novou fundamentální ontologii danou na existenciálním výkladu Aristotela předložilo dílo </w:t>
      </w:r>
      <w:r w:rsidRPr="08C466ED">
        <w:rPr>
          <w:i/>
          <w:lang w:eastAsia="en-US"/>
        </w:rPr>
        <w:t>Bytí a čas</w:t>
      </w:r>
      <w:r>
        <w:rPr>
          <w:lang w:eastAsia="en-US"/>
        </w:rPr>
        <w:t xml:space="preserve"> (1927). </w:t>
      </w:r>
      <w:r w:rsidRPr="00273106">
        <w:rPr>
          <w:lang w:eastAsia="en-US"/>
        </w:rPr>
        <w:t>Další generace moderních avicennistů chápaly Ockhamovu kritiku Scot</w:t>
      </w:r>
      <w:r>
        <w:rPr>
          <w:lang w:eastAsia="en-US"/>
        </w:rPr>
        <w:t xml:space="preserve">a </w:t>
      </w:r>
      <w:r w:rsidRPr="00273106">
        <w:rPr>
          <w:lang w:eastAsia="en-US"/>
        </w:rPr>
        <w:t xml:space="preserve">v rámci </w:t>
      </w:r>
      <w:r>
        <w:rPr>
          <w:lang w:eastAsia="en-US"/>
        </w:rPr>
        <w:t xml:space="preserve">objektivně </w:t>
      </w:r>
      <w:r w:rsidRPr="00273106">
        <w:rPr>
          <w:lang w:eastAsia="en-US"/>
        </w:rPr>
        <w:t>ustavené metafyzické agendy</w:t>
      </w:r>
      <w:r>
        <w:rPr>
          <w:lang w:eastAsia="en-US"/>
        </w:rPr>
        <w:t>, která ovládla západní myšlení po roce 1300</w:t>
      </w:r>
      <w:r w:rsidRPr="00273106">
        <w:rPr>
          <w:lang w:eastAsia="en-US"/>
        </w:rPr>
        <w:t xml:space="preserve">. Ockham dostal </w:t>
      </w:r>
      <w:r>
        <w:rPr>
          <w:lang w:eastAsia="en-US"/>
        </w:rPr>
        <w:t xml:space="preserve">v postmoderně nálepku </w:t>
      </w:r>
      <w:r w:rsidRPr="00273106">
        <w:rPr>
          <w:lang w:eastAsia="en-US"/>
        </w:rPr>
        <w:t>nominalisty</w:t>
      </w:r>
      <w:r>
        <w:rPr>
          <w:lang w:eastAsia="en-US"/>
        </w:rPr>
        <w:t xml:space="preserve">, protože zásadně odmítl </w:t>
      </w:r>
      <w:r w:rsidRPr="00273106">
        <w:rPr>
          <w:lang w:eastAsia="en-US"/>
        </w:rPr>
        <w:t xml:space="preserve">jsoucna třetího druhu. </w:t>
      </w:r>
      <w:r>
        <w:rPr>
          <w:lang w:eastAsia="en-US"/>
        </w:rPr>
        <w:t xml:space="preserve">Simulákrum Ockhama-nominalisty vítězně zavedené do moderních dějin filosofie v modu </w:t>
      </w:r>
      <w:r w:rsidRPr="086A10E8">
        <w:rPr>
          <w:i/>
          <w:lang w:eastAsia="en-US"/>
        </w:rPr>
        <w:t>Verkehrung ins Gegenteil</w:t>
      </w:r>
      <w:r>
        <w:rPr>
          <w:i/>
          <w:lang w:eastAsia="en-US"/>
        </w:rPr>
        <w:fldChar w:fldCharType="begin"/>
      </w:r>
      <w:r>
        <w:instrText xml:space="preserve"> XE "</w:instrText>
      </w:r>
      <w:r w:rsidRPr="0886734C">
        <w:rPr>
          <w:i/>
          <w:lang w:eastAsia="en-US"/>
        </w:rPr>
        <w:instrText>Verkehrung ins Gegenteil</w:instrText>
      </w:r>
      <w:r>
        <w:instrText xml:space="preserve">" </w:instrText>
      </w:r>
      <w:r>
        <w:rPr>
          <w:i/>
          <w:lang w:eastAsia="en-US"/>
        </w:rPr>
        <w:fldChar w:fldCharType="end"/>
      </w:r>
      <w:r>
        <w:rPr>
          <w:lang w:eastAsia="en-US"/>
        </w:rPr>
        <w:t xml:space="preserve"> dokazuje fundamentální </w:t>
      </w:r>
      <w:r w:rsidRPr="002F4EFB">
        <w:rPr>
          <w:i/>
          <w:lang w:eastAsia="en-US"/>
        </w:rPr>
        <w:t>Irrtum</w:t>
      </w:r>
      <w:r>
        <w:rPr>
          <w:lang w:eastAsia="en-US"/>
        </w:rPr>
        <w:t xml:space="preserve"> moderny a postmoderny, stejně jako v případě „averroistů“ Averroese a Sigera. Ockhamova filosofie stojí na opačném pólu než učení avicennovských porretánů a </w:t>
      </w:r>
      <w:r w:rsidRPr="004B6875">
        <w:rPr>
          <w:i/>
          <w:lang w:eastAsia="en-US"/>
        </w:rPr>
        <w:t>Nominales</w:t>
      </w:r>
      <w:r>
        <w:rPr>
          <w:lang w:eastAsia="en-US"/>
        </w:rPr>
        <w:t xml:space="preserve">, z nichž naopak vycházel analytický aristotelik Scotus. Hermeneutika provedla rehabilitaci Ockhama ve stejném modu </w:t>
      </w:r>
      <w:r w:rsidRPr="087E2803">
        <w:rPr>
          <w:i/>
          <w:lang w:eastAsia="en-US"/>
        </w:rPr>
        <w:t>alétheia</w:t>
      </w:r>
      <w:r>
        <w:rPr>
          <w:lang w:eastAsia="en-US"/>
        </w:rPr>
        <w:t xml:space="preserve"> jako to udělala v případě Sigera. Oba tito brilantní, kritičtí a pravdiví myslitelé patří do proudu autentického prvního averroismu určeného komplexně správným výkladem CMDA, na rozdíl od semiaverroisty Akvinského. </w:t>
      </w:r>
      <w:r w:rsidRPr="00273106">
        <w:rPr>
          <w:lang w:eastAsia="en-US"/>
        </w:rPr>
        <w:t>Hermeneutika dostatečně objasnila, proč byl</w:t>
      </w:r>
      <w:r w:rsidR="00D958CA">
        <w:rPr>
          <w:lang w:eastAsia="en-US"/>
        </w:rPr>
        <w:t>i</w:t>
      </w:r>
      <w:r w:rsidR="006D24F9">
        <w:rPr>
          <w:lang w:eastAsia="en-US"/>
        </w:rPr>
        <w:t xml:space="preserve"> Siger a Ockham </w:t>
      </w:r>
      <w:r>
        <w:rPr>
          <w:lang w:eastAsia="en-US"/>
        </w:rPr>
        <w:t>objektivně potrestán</w:t>
      </w:r>
      <w:r w:rsidR="00D958CA">
        <w:rPr>
          <w:lang w:eastAsia="en-US"/>
        </w:rPr>
        <w:t>i</w:t>
      </w:r>
      <w:r w:rsidRPr="00273106">
        <w:rPr>
          <w:lang w:eastAsia="en-US"/>
        </w:rPr>
        <w:t xml:space="preserve"> skrze filosofick</w:t>
      </w:r>
      <w:r>
        <w:rPr>
          <w:lang w:eastAsia="en-US"/>
        </w:rPr>
        <w:t xml:space="preserve">é </w:t>
      </w:r>
      <w:r w:rsidRPr="00273106">
        <w:rPr>
          <w:i/>
          <w:lang w:eastAsia="en-US"/>
        </w:rPr>
        <w:t>damnatio memoriae</w:t>
      </w:r>
      <w:r>
        <w:rPr>
          <w:i/>
          <w:lang w:eastAsia="en-US"/>
        </w:rPr>
        <w:fldChar w:fldCharType="begin"/>
      </w:r>
      <w:r>
        <w:instrText xml:space="preserve"> XE "</w:instrText>
      </w:r>
      <w:r w:rsidRPr="00C65046">
        <w:rPr>
          <w:i/>
        </w:rPr>
        <w:instrText>damnatio memoriae</w:instrText>
      </w:r>
      <w:r>
        <w:instrText xml:space="preserve">" </w:instrText>
      </w:r>
      <w:r>
        <w:rPr>
          <w:i/>
          <w:lang w:eastAsia="en-US"/>
        </w:rPr>
        <w:fldChar w:fldCharType="end"/>
      </w:r>
      <w:r w:rsidRPr="00273106">
        <w:rPr>
          <w:lang w:eastAsia="en-US"/>
        </w:rPr>
        <w:t xml:space="preserve">. Po </w:t>
      </w:r>
      <w:r>
        <w:rPr>
          <w:lang w:eastAsia="en-US"/>
        </w:rPr>
        <w:t>útěku z Avignonu dne 26. května 1328, kde se měl Ockham</w:t>
      </w:r>
      <w:r w:rsidRPr="00273106">
        <w:rPr>
          <w:lang w:eastAsia="en-US"/>
        </w:rPr>
        <w:t xml:space="preserve"> </w:t>
      </w:r>
      <w:r>
        <w:rPr>
          <w:lang w:eastAsia="en-US"/>
        </w:rPr>
        <w:t xml:space="preserve">zodpovídat před inkvizicí ze své antimodernistické filosofie stejně jako před ním Siger, </w:t>
      </w:r>
      <w:r w:rsidRPr="00273106">
        <w:rPr>
          <w:lang w:eastAsia="en-US"/>
        </w:rPr>
        <w:t xml:space="preserve">se smysl celé debaty mezi oběma školami definitivně vytratil do dějinně působící </w:t>
      </w:r>
      <w:r w:rsidR="00594E30" w:rsidRPr="00594E30">
        <w:rPr>
          <w:lang w:eastAsia="en-US"/>
        </w:rPr>
        <w:t>Léthé</w:t>
      </w:r>
      <w:r w:rsidRPr="00273106">
        <w:rPr>
          <w:lang w:eastAsia="en-US"/>
        </w:rPr>
        <w:t xml:space="preserve">. </w:t>
      </w:r>
      <w:r>
        <w:rPr>
          <w:lang w:eastAsia="en-US"/>
        </w:rPr>
        <w:t>Z hlediska hermeneutické triády</w:t>
      </w:r>
      <w:r>
        <w:rPr>
          <w:lang w:eastAsia="en-US"/>
        </w:rPr>
        <w:fldChar w:fldCharType="begin"/>
      </w:r>
      <w:r>
        <w:instrText xml:space="preserve"> XE "</w:instrText>
      </w:r>
      <w:r w:rsidRPr="00075E5D">
        <w:rPr>
          <w:lang w:eastAsia="en-US"/>
        </w:rPr>
        <w:instrText>hermeneutická triáda</w:instrText>
      </w:r>
      <w:r>
        <w:instrText xml:space="preserve">" </w:instrText>
      </w:r>
      <w:r>
        <w:rPr>
          <w:lang w:eastAsia="en-US"/>
        </w:rPr>
        <w:fldChar w:fldCharType="end"/>
      </w:r>
      <w:r>
        <w:rPr>
          <w:lang w:eastAsia="en-US"/>
        </w:rPr>
        <w:t xml:space="preserve"> označuje den Ockhamova útěku z Avignonu historické datum vzniku moderny a historický začátek moderní teologie. Tímto datem skončila odkrytost dějin prvního a druhého averroismu v modu epochální </w:t>
      </w:r>
      <w:r w:rsidRPr="08326357">
        <w:rPr>
          <w:i/>
          <w:lang w:eastAsia="en-US"/>
        </w:rPr>
        <w:t>alétheia</w:t>
      </w:r>
      <w:r>
        <w:rPr>
          <w:lang w:eastAsia="en-US"/>
        </w:rPr>
        <w:t xml:space="preserve">. Oba směry přecházejí do dějinné skrytosti dané v podobě bytí pravdy jako </w:t>
      </w:r>
      <w:r w:rsidR="00594E30" w:rsidRPr="00594E30">
        <w:rPr>
          <w:lang w:eastAsia="en-US"/>
        </w:rPr>
        <w:t>Léthé</w:t>
      </w:r>
      <w:r>
        <w:rPr>
          <w:lang w:eastAsia="en-US"/>
        </w:rPr>
        <w:t>. Siger před inkvizici nastoupil a obstál, protože to bylo o půl století dříve. Jeho inkvizitoři byli vzdělaní, znali problémy moderny a přijali jeho argumentaci. Ockham utekl proto, že by asi neobstál před tribunálem již zcela moderních inkvizitorů. Moderní historie jako učitelka života v modu pravdy-</w:t>
      </w:r>
      <w:r w:rsidRPr="083267D2">
        <w:rPr>
          <w:i/>
          <w:lang w:eastAsia="en-US"/>
        </w:rPr>
        <w:t>veritas</w:t>
      </w:r>
      <w:r>
        <w:rPr>
          <w:lang w:eastAsia="en-US"/>
        </w:rPr>
        <w:t xml:space="preserve"> pak vytvořila dějiny objektivního simulákra zvaného „latinský averroismus“, které pochopitelně redigovala vítězná st</w:t>
      </w:r>
      <w:r w:rsidR="00F607C9">
        <w:rPr>
          <w:lang w:eastAsia="en-US"/>
        </w:rPr>
        <w:t>rana gigantomachie o substanci.</w:t>
      </w:r>
    </w:p>
    <w:p w:rsidR="00F56896" w:rsidRPr="00273106" w:rsidRDefault="00F607C9" w:rsidP="00AC68B0">
      <w:pPr>
        <w:ind w:firstLine="397"/>
        <w:rPr>
          <w:lang w:eastAsia="en-US"/>
        </w:rPr>
      </w:pPr>
      <w:r>
        <w:rPr>
          <w:lang w:eastAsia="en-US"/>
        </w:rPr>
        <w:t xml:space="preserve">Působení </w:t>
      </w:r>
      <w:r w:rsidR="00F56896" w:rsidRPr="00273106">
        <w:rPr>
          <w:lang w:eastAsia="en-US"/>
        </w:rPr>
        <w:t xml:space="preserve">objektivně dané pravdy vytlačilo poslední stopy původního </w:t>
      </w:r>
      <w:r w:rsidR="00F56896" w:rsidRPr="00273106">
        <w:rPr>
          <w:i/>
          <w:lang w:eastAsia="en-US"/>
        </w:rPr>
        <w:t>Lichtung</w:t>
      </w:r>
      <w:r w:rsidR="00F56896" w:rsidRPr="00273106">
        <w:rPr>
          <w:lang w:eastAsia="en-US"/>
        </w:rPr>
        <w:t>, v němž se dějinně manifestovalo původní bytí jsoucna</w:t>
      </w:r>
      <w:r w:rsidR="00F56896">
        <w:rPr>
          <w:lang w:eastAsia="en-US"/>
        </w:rPr>
        <w:t xml:space="preserve"> dané v aristotelské metafyzice</w:t>
      </w:r>
      <w:r w:rsidR="00F56896" w:rsidRPr="00273106">
        <w:rPr>
          <w:lang w:eastAsia="en-US"/>
        </w:rPr>
        <w:t xml:space="preserve">. </w:t>
      </w:r>
      <w:r w:rsidR="00F56896">
        <w:rPr>
          <w:lang w:eastAsia="en-US"/>
        </w:rPr>
        <w:t xml:space="preserve">Zatmění první </w:t>
      </w:r>
      <w:r w:rsidR="00F56896">
        <w:rPr>
          <w:lang w:eastAsia="en-US"/>
        </w:rPr>
        <w:lastRenderedPageBreak/>
        <w:t xml:space="preserve">substance uzávorkovalo epochální </w:t>
      </w:r>
      <w:r w:rsidR="00F56896" w:rsidRPr="00A4781A">
        <w:rPr>
          <w:i/>
          <w:lang w:eastAsia="en-US"/>
        </w:rPr>
        <w:t>Ereignis</w:t>
      </w:r>
      <w:r w:rsidR="00F56896">
        <w:rPr>
          <w:i/>
          <w:lang w:eastAsia="en-US"/>
        </w:rPr>
        <w:fldChar w:fldCharType="begin"/>
      </w:r>
      <w:r w:rsidR="00F56896">
        <w:instrText xml:space="preserve"> XE "</w:instrText>
      </w:r>
      <w:r w:rsidR="00F56896" w:rsidRPr="00120BB2">
        <w:rPr>
          <w:i/>
        </w:rPr>
        <w:instrText>Ereignis</w:instrText>
      </w:r>
      <w:r w:rsidR="00F56896">
        <w:instrText xml:space="preserve">" </w:instrText>
      </w:r>
      <w:r w:rsidR="00F56896">
        <w:rPr>
          <w:i/>
          <w:lang w:eastAsia="en-US"/>
        </w:rPr>
        <w:fldChar w:fldCharType="end"/>
      </w:r>
      <w:r w:rsidR="00F56896">
        <w:rPr>
          <w:lang w:eastAsia="en-US"/>
        </w:rPr>
        <w:t xml:space="preserve"> bytí jsoucího, které přestalo být pro metafyzické myšlení </w:t>
      </w:r>
      <w:r w:rsidR="00F56896" w:rsidRPr="003D2BBB">
        <w:rPr>
          <w:i/>
          <w:lang w:eastAsia="en-US"/>
        </w:rPr>
        <w:t>Modernorum</w:t>
      </w:r>
      <w:r w:rsidR="00F56896">
        <w:rPr>
          <w:lang w:eastAsia="en-US"/>
        </w:rPr>
        <w:t xml:space="preserve"> zjevné a pochopitelné. </w:t>
      </w:r>
      <w:r w:rsidR="00F56896" w:rsidRPr="00273106">
        <w:rPr>
          <w:lang w:eastAsia="en-US"/>
        </w:rPr>
        <w:t xml:space="preserve">Nihilismus západní metafyziky dokonal </w:t>
      </w:r>
      <w:r w:rsidR="00F56896">
        <w:rPr>
          <w:lang w:eastAsia="en-US"/>
        </w:rPr>
        <w:t xml:space="preserve">skrze </w:t>
      </w:r>
      <w:r w:rsidR="00F56896" w:rsidRPr="085D7F9D">
        <w:rPr>
          <w:i/>
          <w:lang w:eastAsia="en-US"/>
        </w:rPr>
        <w:t>dativus incommodi</w:t>
      </w:r>
      <w:r w:rsidR="00F56896">
        <w:rPr>
          <w:i/>
          <w:lang w:eastAsia="en-US"/>
        </w:rPr>
        <w:fldChar w:fldCharType="begin"/>
      </w:r>
      <w:r w:rsidR="00F56896">
        <w:instrText xml:space="preserve"> XE "</w:instrText>
      </w:r>
      <w:r w:rsidR="00F56896" w:rsidRPr="082E4086">
        <w:rPr>
          <w:i/>
          <w:lang w:eastAsia="en-US"/>
        </w:rPr>
        <w:instrText>dativus incommodi</w:instrText>
      </w:r>
      <w:r w:rsidR="00F56896">
        <w:instrText xml:space="preserve">" </w:instrText>
      </w:r>
      <w:r w:rsidR="00F56896">
        <w:rPr>
          <w:i/>
          <w:lang w:eastAsia="en-US"/>
        </w:rPr>
        <w:fldChar w:fldCharType="end"/>
      </w:r>
      <w:r w:rsidR="00F56896">
        <w:rPr>
          <w:lang w:eastAsia="en-US"/>
        </w:rPr>
        <w:t xml:space="preserve"> </w:t>
      </w:r>
      <w:r w:rsidR="00F56896" w:rsidRPr="00273106">
        <w:rPr>
          <w:iCs/>
        </w:rPr>
        <w:t>poslední výzvu dona</w:t>
      </w:r>
      <w:r w:rsidR="00F56896">
        <w:rPr>
          <w:iCs/>
        </w:rPr>
        <w:t xml:space="preserve">ce objektivity skrze kompletní sbírku existenciálů daných v rámci </w:t>
      </w:r>
      <w:r w:rsidR="00F56896" w:rsidRPr="00273106">
        <w:rPr>
          <w:i/>
          <w:iCs/>
        </w:rPr>
        <w:t xml:space="preserve">dativus </w:t>
      </w:r>
      <w:r w:rsidR="00F56896">
        <w:rPr>
          <w:i/>
          <w:iCs/>
        </w:rPr>
        <w:t>obiectivus</w:t>
      </w:r>
      <w:r w:rsidR="00F56896">
        <w:rPr>
          <w:i/>
          <w:iCs/>
        </w:rPr>
        <w:fldChar w:fldCharType="begin"/>
      </w:r>
      <w:r w:rsidR="00F56896">
        <w:instrText xml:space="preserve"> XE "</w:instrText>
      </w:r>
      <w:r w:rsidR="00F56896" w:rsidRPr="00343046">
        <w:rPr>
          <w:i/>
        </w:rPr>
        <w:instrText>d</w:instrText>
      </w:r>
      <w:r w:rsidR="00F56896" w:rsidRPr="00343046">
        <w:rPr>
          <w:i/>
          <w:iCs/>
        </w:rPr>
        <w:instrText>ativus obiectivus</w:instrText>
      </w:r>
      <w:r w:rsidR="00F56896">
        <w:instrText xml:space="preserve">" </w:instrText>
      </w:r>
      <w:r w:rsidR="00F56896">
        <w:rPr>
          <w:i/>
          <w:iCs/>
        </w:rPr>
        <w:fldChar w:fldCharType="end"/>
      </w:r>
      <w:r w:rsidR="00F56896">
        <w:rPr>
          <w:iCs/>
        </w:rPr>
        <w:t xml:space="preserve">. </w:t>
      </w:r>
      <w:r w:rsidR="00F56896" w:rsidRPr="00273106">
        <w:t xml:space="preserve">Scotovo první uzávorkování existence světa </w:t>
      </w:r>
      <w:r w:rsidR="00F56896">
        <w:t xml:space="preserve">v modu racionální </w:t>
      </w:r>
      <w:r w:rsidR="00F56896" w:rsidRPr="085E3EA7">
        <w:rPr>
          <w:i/>
        </w:rPr>
        <w:t>epoché</w:t>
      </w:r>
      <w:r w:rsidR="00F56896">
        <w:t xml:space="preserve"> </w:t>
      </w:r>
      <w:r w:rsidR="00F56896" w:rsidRPr="00273106">
        <w:t xml:space="preserve">zopakované Descartem </w:t>
      </w:r>
      <w:r w:rsidR="00112494">
        <w:t>spustilo</w:t>
      </w:r>
      <w:r w:rsidR="00F56896">
        <w:t xml:space="preserve"> </w:t>
      </w:r>
      <w:r w:rsidR="00112494">
        <w:t>proces sekularizace</w:t>
      </w:r>
      <w:r w:rsidR="00F56896">
        <w:t xml:space="preserve">. </w:t>
      </w:r>
      <w:r w:rsidR="00A556EE" w:rsidRPr="00A556EE">
        <w:t>Klasi</w:t>
      </w:r>
      <w:r w:rsidR="00A556EE">
        <w:t>cká definice sekularizace jako „</w:t>
      </w:r>
      <w:r w:rsidR="00A556EE" w:rsidRPr="00A556EE">
        <w:rPr>
          <w:i/>
        </w:rPr>
        <w:t>Entzauberung der Welt</w:t>
      </w:r>
      <w:r w:rsidR="00A556EE">
        <w:t>“</w:t>
      </w:r>
      <w:r w:rsidR="00A556EE" w:rsidRPr="00A556EE">
        <w:t xml:space="preserve"> (Max Weber</w:t>
      </w:r>
      <w:r w:rsidR="00A556EE">
        <w:fldChar w:fldCharType="begin"/>
      </w:r>
      <w:r w:rsidR="00A556EE">
        <w:instrText xml:space="preserve"> XE "</w:instrText>
      </w:r>
      <w:r w:rsidR="00A556EE" w:rsidRPr="00154F8F">
        <w:instrText>Weber, Max</w:instrText>
      </w:r>
      <w:r w:rsidR="00A556EE">
        <w:instrText xml:space="preserve">" </w:instrText>
      </w:r>
      <w:r w:rsidR="00A556EE">
        <w:fldChar w:fldCharType="end"/>
      </w:r>
      <w:r w:rsidR="00A556EE" w:rsidRPr="00A556EE">
        <w:t>) je sice objek</w:t>
      </w:r>
      <w:r w:rsidR="00A556EE">
        <w:t>tivně správná, ale hermeneuticky chybná</w:t>
      </w:r>
      <w:r w:rsidR="00A556EE" w:rsidRPr="00A556EE">
        <w:t>. Moderna skoncovala s první substancí a pos</w:t>
      </w:r>
      <w:r w:rsidR="00A556EE">
        <w:t>tmoderna skoncovala s moderním b</w:t>
      </w:r>
      <w:r w:rsidR="00A556EE" w:rsidRPr="00A556EE">
        <w:t xml:space="preserve">ohem. Skutečný Bůh a skutečný svět nemají nic společného s božskou komedií </w:t>
      </w:r>
      <w:r w:rsidR="00A556EE" w:rsidRPr="00A556EE">
        <w:rPr>
          <w:i/>
        </w:rPr>
        <w:t>Modernorum</w:t>
      </w:r>
      <w:r w:rsidR="00A556EE" w:rsidRPr="00A556EE">
        <w:t>.</w:t>
      </w:r>
      <w:r w:rsidR="00917330">
        <w:t xml:space="preserve"> </w:t>
      </w:r>
      <w:r w:rsidR="00F56896">
        <w:t xml:space="preserve">Proces postmoderní </w:t>
      </w:r>
      <w:r w:rsidR="00F56896" w:rsidRPr="00273106">
        <w:t>sekulariza</w:t>
      </w:r>
      <w:r w:rsidR="00F56896">
        <w:t>ce se rozbíhá</w:t>
      </w:r>
      <w:r w:rsidR="00F56896" w:rsidRPr="00273106">
        <w:t xml:space="preserve"> </w:t>
      </w:r>
      <w:r w:rsidR="00F56896">
        <w:t xml:space="preserve">v předmluvě </w:t>
      </w:r>
      <w:r w:rsidR="00F56896" w:rsidRPr="00273106">
        <w:t xml:space="preserve">díla </w:t>
      </w:r>
      <w:r w:rsidR="00F56896" w:rsidRPr="00273106">
        <w:rPr>
          <w:i/>
        </w:rPr>
        <w:t>De jure belli ac pacis</w:t>
      </w:r>
      <w:r w:rsidR="00F56896" w:rsidRPr="00273106">
        <w:t xml:space="preserve"> (1625). Reformační humanista </w:t>
      </w:r>
      <w:hyperlink r:id="rId10" w:tooltip="Hugo Grotius" w:history="1">
        <w:r w:rsidR="00F56896" w:rsidRPr="00273106">
          <w:t>Hugo Grotius</w:t>
        </w:r>
        <w:r w:rsidR="00F56896">
          <w:fldChar w:fldCharType="begin"/>
        </w:r>
        <w:r w:rsidR="00F56896">
          <w:instrText xml:space="preserve"> XE "</w:instrText>
        </w:r>
        <w:r w:rsidR="00F56896" w:rsidRPr="00B01026">
          <w:instrText>Grotius, H.</w:instrText>
        </w:r>
        <w:r w:rsidR="00F56896">
          <w:instrText xml:space="preserve">" </w:instrText>
        </w:r>
        <w:r w:rsidR="00F56896">
          <w:fldChar w:fldCharType="end"/>
        </w:r>
      </w:hyperlink>
      <w:r w:rsidR="00F56896">
        <w:t xml:space="preserve"> se </w:t>
      </w:r>
      <w:r w:rsidR="00F56896" w:rsidRPr="00273106">
        <w:t xml:space="preserve">snaží založit smysl práva </w:t>
      </w:r>
      <w:r w:rsidR="00F56896" w:rsidRPr="00273106">
        <w:rPr>
          <w:i/>
        </w:rPr>
        <w:t>ex nihilo</w:t>
      </w:r>
      <w:r w:rsidR="00F56896">
        <w:t>, tedy bez působení boha jako ultimativního zdroje a garanta práva.</w:t>
      </w:r>
      <w:r w:rsidR="00F56896" w:rsidRPr="00273106">
        <w:rPr>
          <w:rStyle w:val="Znakapoznpodarou"/>
        </w:rPr>
        <w:footnoteReference w:id="506"/>
      </w:r>
      <w:r w:rsidR="00F56896">
        <w:t xml:space="preserve"> I kdyby bůh nebyl (</w:t>
      </w:r>
      <w:r w:rsidR="00F56896" w:rsidRPr="00273106">
        <w:rPr>
          <w:i/>
        </w:rPr>
        <w:t>etsi deus non daretur</w:t>
      </w:r>
      <w:r w:rsidR="00F56896">
        <w:rPr>
          <w:i/>
        </w:rPr>
        <w:fldChar w:fldCharType="begin"/>
      </w:r>
      <w:r w:rsidR="00F56896">
        <w:instrText xml:space="preserve"> XE "</w:instrText>
      </w:r>
      <w:r w:rsidR="00F56896" w:rsidRPr="004072B3">
        <w:rPr>
          <w:i/>
        </w:rPr>
        <w:instrText>etsi deus non daretur</w:instrText>
      </w:r>
      <w:r w:rsidR="00F56896">
        <w:instrText xml:space="preserve">" </w:instrText>
      </w:r>
      <w:r w:rsidR="00F56896">
        <w:rPr>
          <w:i/>
        </w:rPr>
        <w:fldChar w:fldCharType="end"/>
      </w:r>
      <w:r w:rsidR="00F56896">
        <w:t xml:space="preserve">), musí zůstat trvalé </w:t>
      </w:r>
      <w:r w:rsidR="00F56896">
        <w:rPr>
          <w:i/>
        </w:rPr>
        <w:t>species</w:t>
      </w:r>
      <w:r w:rsidR="00F56896">
        <w:t xml:space="preserve"> práva v modu </w:t>
      </w:r>
      <w:r w:rsidR="003E1959">
        <w:t>„</w:t>
      </w:r>
      <w:r w:rsidR="00F56896" w:rsidRPr="08380853">
        <w:rPr>
          <w:i/>
        </w:rPr>
        <w:t>semel</w:t>
      </w:r>
      <w:r w:rsidR="00F56896">
        <w:t>‒</w:t>
      </w:r>
      <w:r w:rsidR="00F56896" w:rsidRPr="08380853">
        <w:rPr>
          <w:i/>
        </w:rPr>
        <w:t>semper</w:t>
      </w:r>
      <w:r w:rsidR="003E1959">
        <w:t>“</w:t>
      </w:r>
      <w:r w:rsidR="00F56896">
        <w:t xml:space="preserve">. </w:t>
      </w:r>
      <w:r w:rsidR="00740951">
        <w:t>Po agónii konfesijně schizofrenního boha ve Třicetileté válce, h</w:t>
      </w:r>
      <w:r w:rsidR="00F56896">
        <w:t xml:space="preserve">umanista Grotius </w:t>
      </w:r>
      <w:r w:rsidR="00740951">
        <w:t>odloučil na způsob „</w:t>
      </w:r>
      <w:r w:rsidR="00740951" w:rsidRPr="00740951">
        <w:rPr>
          <w:i/>
        </w:rPr>
        <w:t>causa remota</w:t>
      </w:r>
      <w:r w:rsidR="00740951">
        <w:t xml:space="preserve">“ boží </w:t>
      </w:r>
      <w:r w:rsidR="00F56896">
        <w:t xml:space="preserve">kauzalitu z postmoderního právního řádu. </w:t>
      </w:r>
      <w:r w:rsidR="00740951">
        <w:t>Ten musí být racionální na způsob Scotovy vazby „</w:t>
      </w:r>
      <w:r w:rsidR="00740951" w:rsidRPr="00740951">
        <w:rPr>
          <w:i/>
        </w:rPr>
        <w:t>vestigium</w:t>
      </w:r>
      <w:r w:rsidR="00740951" w:rsidRPr="00740951">
        <w:rPr>
          <w:rFonts w:cs="Calibri"/>
          <w:i/>
        </w:rPr>
        <w:t>–</w:t>
      </w:r>
      <w:r w:rsidR="00740951" w:rsidRPr="00740951">
        <w:rPr>
          <w:i/>
        </w:rPr>
        <w:t>imago</w:t>
      </w:r>
      <w:r w:rsidR="00740951">
        <w:t xml:space="preserve">“. </w:t>
      </w:r>
      <w:r w:rsidR="00F56896">
        <w:t>Moderní právní racionalita byla vybavena objektivní kauzalitou a racionalitou nutnou k sekulárnímu zajištění vlády práva</w:t>
      </w:r>
      <w:r w:rsidR="006D5551">
        <w:t>. R</w:t>
      </w:r>
      <w:r w:rsidR="00740951">
        <w:t xml:space="preserve">ealita </w:t>
      </w:r>
      <w:r w:rsidR="00F56896">
        <w:t>konfesijní Třicetileté války</w:t>
      </w:r>
      <w:r w:rsidR="006D5551">
        <w:t xml:space="preserve"> destruovala ideu křesťanského státu</w:t>
      </w:r>
      <w:r w:rsidR="00F56896">
        <w:t xml:space="preserve">. </w:t>
      </w:r>
      <w:r w:rsidR="00F56896" w:rsidRPr="00273106">
        <w:t>Objektivní pojetí</w:t>
      </w:r>
      <w:r w:rsidR="00F56896">
        <w:t xml:space="preserve"> přirozenosti založilo moderní </w:t>
      </w:r>
      <w:r w:rsidR="00F56896" w:rsidRPr="00273106">
        <w:rPr>
          <w:i/>
        </w:rPr>
        <w:t>scibile</w:t>
      </w:r>
      <w:r w:rsidR="00F56896">
        <w:rPr>
          <w:i/>
        </w:rPr>
        <w:fldChar w:fldCharType="begin"/>
      </w:r>
      <w:r w:rsidR="00F56896">
        <w:instrText xml:space="preserve"> XE "</w:instrText>
      </w:r>
      <w:r w:rsidR="00F56896" w:rsidRPr="00894A00">
        <w:rPr>
          <w:i/>
        </w:rPr>
        <w:instrText>scibile</w:instrText>
      </w:r>
      <w:r w:rsidR="00F56896">
        <w:instrText xml:space="preserve">:sekularizace" </w:instrText>
      </w:r>
      <w:r w:rsidR="00F56896">
        <w:rPr>
          <w:i/>
        </w:rPr>
        <w:fldChar w:fldCharType="end"/>
      </w:r>
      <w:r w:rsidR="00F56896" w:rsidRPr="00273106">
        <w:t xml:space="preserve"> nutné pro teorii přirozeného práva a </w:t>
      </w:r>
      <w:r w:rsidR="00F56896">
        <w:t xml:space="preserve">pro </w:t>
      </w:r>
      <w:r w:rsidR="00F56896" w:rsidRPr="00273106">
        <w:t xml:space="preserve">založení moderní politické vědy. </w:t>
      </w:r>
      <w:r w:rsidR="009E01F7">
        <w:t xml:space="preserve">Sekulrání species práva </w:t>
      </w:r>
      <w:r w:rsidR="00F56896">
        <w:t xml:space="preserve">dané v modu </w:t>
      </w:r>
      <w:r w:rsidR="009E01F7">
        <w:t>„</w:t>
      </w:r>
      <w:r w:rsidR="00F56896" w:rsidRPr="08945EFA">
        <w:rPr>
          <w:i/>
        </w:rPr>
        <w:t>semel</w:t>
      </w:r>
      <w:r w:rsidR="00F56896">
        <w:t>‒</w:t>
      </w:r>
      <w:r w:rsidR="00F56896" w:rsidRPr="08945EFA">
        <w:rPr>
          <w:i/>
        </w:rPr>
        <w:t>semper</w:t>
      </w:r>
      <w:r w:rsidR="009E01F7">
        <w:t>“</w:t>
      </w:r>
      <w:r w:rsidR="00F56896">
        <w:t xml:space="preserve"> obsahuje</w:t>
      </w:r>
      <w:r w:rsidR="00F56896" w:rsidRPr="00273106">
        <w:t xml:space="preserve"> </w:t>
      </w:r>
      <w:r w:rsidR="00F56896">
        <w:t xml:space="preserve">objektivně nutnou </w:t>
      </w:r>
      <w:r w:rsidR="00F56896" w:rsidRPr="00273106">
        <w:t>míru evidence</w:t>
      </w:r>
      <w:r w:rsidR="009E01F7">
        <w:t xml:space="preserve"> založenou subjektem</w:t>
      </w:r>
      <w:r w:rsidR="00F56896">
        <w:t>. Právo platí i v epoše</w:t>
      </w:r>
      <w:r w:rsidR="00F56896" w:rsidRPr="00273106">
        <w:t xml:space="preserve">, </w:t>
      </w:r>
      <w:r w:rsidR="00F56896">
        <w:t xml:space="preserve">kdy </w:t>
      </w:r>
      <w:r w:rsidR="00F56896" w:rsidRPr="00273106">
        <w:t xml:space="preserve">se deisticky pojatý bůh </w:t>
      </w:r>
      <w:r w:rsidR="00F56896">
        <w:t>postmoderny či konfesijně schizofrenický bůh katolíků a protestantů nestará</w:t>
      </w:r>
      <w:r w:rsidR="00F56896" w:rsidRPr="00273106">
        <w:t xml:space="preserve"> o lidské záležitosti. </w:t>
      </w:r>
      <w:r w:rsidR="00F56896">
        <w:t>Grotius n</w:t>
      </w:r>
      <w:r w:rsidR="00F56896" w:rsidRPr="00273106">
        <w:t xml:space="preserve">avrhuje v modu </w:t>
      </w:r>
      <w:r w:rsidR="00F56896" w:rsidRPr="00273106">
        <w:rPr>
          <w:i/>
        </w:rPr>
        <w:t>certitudo</w:t>
      </w:r>
      <w:r w:rsidR="00F56896" w:rsidRPr="00273106">
        <w:t xml:space="preserve"> subjektu nepochybný základ přirozeného práva daného jako objekt absolutního </w:t>
      </w:r>
      <w:r w:rsidR="00F56896" w:rsidRPr="00273106">
        <w:rPr>
          <w:i/>
        </w:rPr>
        <w:t>rectitudo</w:t>
      </w:r>
      <w:r w:rsidR="00F56896">
        <w:t xml:space="preserve">, které je </w:t>
      </w:r>
      <w:r w:rsidR="00F56896" w:rsidRPr="00273106">
        <w:t xml:space="preserve">odděleno od konfesijních sporů o obsah teologie a zjevení. </w:t>
      </w:r>
      <w:r w:rsidR="00F56896">
        <w:t xml:space="preserve">Na principu </w:t>
      </w:r>
      <w:r w:rsidR="00F56896" w:rsidRPr="00273106">
        <w:rPr>
          <w:i/>
        </w:rPr>
        <w:t>etsi deus non daretur</w:t>
      </w:r>
      <w:r w:rsidR="00F56896" w:rsidRPr="00273106">
        <w:t xml:space="preserve"> pak Hobbes a především Rousseau koncipují systém společenských smluv, v níž se dedukce společnosti </w:t>
      </w:r>
      <w:r w:rsidR="00F56896" w:rsidRPr="00273106">
        <w:rPr>
          <w:i/>
        </w:rPr>
        <w:t>ex nihilo</w:t>
      </w:r>
      <w:r w:rsidR="00F56896" w:rsidRPr="00273106">
        <w:t xml:space="preserve"> dává rozběhnutím </w:t>
      </w:r>
      <w:r w:rsidR="00AC6698">
        <w:t xml:space="preserve">mytologických </w:t>
      </w:r>
      <w:r w:rsidR="00F56896" w:rsidRPr="00273106">
        <w:t xml:space="preserve">dějin od </w:t>
      </w:r>
      <w:r w:rsidR="00F56896">
        <w:t xml:space="preserve">výše uvedeného </w:t>
      </w:r>
      <w:r w:rsidR="00F56896" w:rsidRPr="00273106">
        <w:t xml:space="preserve">„nulového bodu“ založeného jako čistý konstrukt </w:t>
      </w:r>
      <w:r w:rsidR="00F56896">
        <w:t xml:space="preserve">moderní lidské </w:t>
      </w:r>
      <w:r w:rsidR="00F56896" w:rsidRPr="00273106">
        <w:t>přirozeno</w:t>
      </w:r>
      <w:r w:rsidR="00F56896">
        <w:t>sti a jejích proměn</w:t>
      </w:r>
      <w:r w:rsidR="00B734B0">
        <w:t xml:space="preserve"> (ch. 5.3.2)</w:t>
      </w:r>
      <w:r w:rsidR="00F56896" w:rsidRPr="00273106">
        <w:t xml:space="preserve">. </w:t>
      </w:r>
      <w:r w:rsidR="00F56896">
        <w:t>Tragický o</w:t>
      </w:r>
      <w:r w:rsidR="00F56896" w:rsidRPr="00273106">
        <w:t xml:space="preserve">sud subjektivního </w:t>
      </w:r>
      <w:r w:rsidR="00F56896" w:rsidRPr="00273106">
        <w:lastRenderedPageBreak/>
        <w:t>boha moderny pak dokonal postmoderní deismus osvícenství.</w:t>
      </w:r>
      <w:r w:rsidR="00F56896">
        <w:t xml:space="preserve"> </w:t>
      </w:r>
      <w:r w:rsidR="00F56896" w:rsidRPr="00273106">
        <w:t>Spinoza</w:t>
      </w:r>
      <w:r w:rsidR="00F56896">
        <w:fldChar w:fldCharType="begin"/>
      </w:r>
      <w:r w:rsidR="00F56896">
        <w:instrText xml:space="preserve"> XE "</w:instrText>
      </w:r>
      <w:r w:rsidR="00F56896" w:rsidRPr="00DC7EC5">
        <w:instrText>Spinoza, B.</w:instrText>
      </w:r>
      <w:r w:rsidR="00F56896">
        <w:instrText xml:space="preserve">" </w:instrText>
      </w:r>
      <w:r w:rsidR="00F56896">
        <w:fldChar w:fldCharType="end"/>
      </w:r>
      <w:r w:rsidR="00F56896" w:rsidRPr="00273106">
        <w:t xml:space="preserve"> boží subjektivitu zrušil v</w:t>
      </w:r>
      <w:r w:rsidR="000A0EA7">
        <w:t> </w:t>
      </w:r>
      <w:r w:rsidR="00F56896" w:rsidRPr="00273106">
        <w:t>kosmick</w:t>
      </w:r>
      <w:r w:rsidR="000A0EA7">
        <w:t>é přírodě</w:t>
      </w:r>
      <w:r w:rsidR="00F56896" w:rsidRPr="00273106">
        <w:t xml:space="preserve"> (</w:t>
      </w:r>
      <w:r w:rsidR="00F56896" w:rsidRPr="00273106">
        <w:rPr>
          <w:rStyle w:val="st"/>
          <w:bCs/>
          <w:i/>
        </w:rPr>
        <w:t>Deus sive</w:t>
      </w:r>
      <w:r w:rsidR="00F56896" w:rsidRPr="00273106">
        <w:rPr>
          <w:rStyle w:val="st"/>
          <w:i/>
        </w:rPr>
        <w:t xml:space="preserve"> </w:t>
      </w:r>
      <w:r w:rsidR="00F56896" w:rsidRPr="00273106">
        <w:rPr>
          <w:rStyle w:val="st"/>
          <w:bCs/>
          <w:i/>
        </w:rPr>
        <w:t>Natura</w:t>
      </w:r>
      <w:r w:rsidR="00F56896" w:rsidRPr="00273106">
        <w:t xml:space="preserve">). Antropomorfní </w:t>
      </w:r>
      <w:r w:rsidR="00EA12A7">
        <w:t xml:space="preserve">božství </w:t>
      </w:r>
      <w:r w:rsidR="00F56896">
        <w:t xml:space="preserve">či Spinozova panteistická </w:t>
      </w:r>
      <w:r w:rsidR="00EA12A7">
        <w:t xml:space="preserve">naturální </w:t>
      </w:r>
      <w:r w:rsidR="00F56896">
        <w:t>přirozenost vydržely</w:t>
      </w:r>
      <w:r w:rsidR="00F56896" w:rsidRPr="00273106">
        <w:t xml:space="preserve"> bohu postmodernistů až do </w:t>
      </w:r>
      <w:r w:rsidR="00F56896">
        <w:t xml:space="preserve">filosofického </w:t>
      </w:r>
      <w:r w:rsidR="00F56896" w:rsidRPr="00273106">
        <w:t>ukřižování této modly rozumu</w:t>
      </w:r>
      <w:r w:rsidR="00F56896">
        <w:t xml:space="preserve"> </w:t>
      </w:r>
      <w:r w:rsidR="00F56896" w:rsidRPr="00273106">
        <w:t>v 19. století. O to se postarali na samém konc</w:t>
      </w:r>
      <w:r w:rsidR="00F56896">
        <w:t>i západní metafyziky tři známí mistři hermeneutiky podezření</w:t>
      </w:r>
      <w:r w:rsidR="00F56896" w:rsidRPr="00273106">
        <w:t xml:space="preserve"> (</w:t>
      </w:r>
      <w:r w:rsidR="00F56896" w:rsidRPr="00273106">
        <w:rPr>
          <w:i/>
        </w:rPr>
        <w:t>maîtres du soupçon</w:t>
      </w:r>
      <w:r w:rsidR="00F56896">
        <w:rPr>
          <w:i/>
        </w:rPr>
        <w:fldChar w:fldCharType="begin"/>
      </w:r>
      <w:r w:rsidR="00F56896">
        <w:instrText xml:space="preserve"> XE "</w:instrText>
      </w:r>
      <w:r w:rsidR="00F56896" w:rsidRPr="00FF5695">
        <w:rPr>
          <w:i/>
        </w:rPr>
        <w:instrText>maîtres du soupçon</w:instrText>
      </w:r>
      <w:r w:rsidR="00F56896">
        <w:instrText xml:space="preserve">" </w:instrText>
      </w:r>
      <w:r w:rsidR="00F56896">
        <w:rPr>
          <w:i/>
        </w:rPr>
        <w:fldChar w:fldCharType="end"/>
      </w:r>
      <w:r w:rsidR="00F56896" w:rsidRPr="00273106">
        <w:t>), tedy Nietzsche, Marx a Freud (Ricoeur</w:t>
      </w:r>
      <w:r w:rsidR="00F56896">
        <w:fldChar w:fldCharType="begin"/>
      </w:r>
      <w:r w:rsidR="00F56896">
        <w:instrText xml:space="preserve"> XE "</w:instrText>
      </w:r>
      <w:r w:rsidR="00F56896" w:rsidRPr="001B5CE9">
        <w:instrText>Ricoeur, P.</w:instrText>
      </w:r>
      <w:r w:rsidR="00F56896">
        <w:instrText xml:space="preserve">" </w:instrText>
      </w:r>
      <w:r w:rsidR="00F56896">
        <w:fldChar w:fldCharType="end"/>
      </w:r>
      <w:r w:rsidR="00F56896" w:rsidRPr="00273106">
        <w:t xml:space="preserve"> 1965, 43). Humanističtí vzdělanci se bez tohoto idolu obešli už dávno předtím, viz výše uvedený vývoj moderního práva a přirozeno-právních teorií státu. </w:t>
      </w:r>
      <w:r w:rsidR="00F56896">
        <w:t xml:space="preserve">A stejné heslo </w:t>
      </w:r>
      <w:r w:rsidR="00F56896" w:rsidRPr="00273106">
        <w:rPr>
          <w:i/>
        </w:rPr>
        <w:t>etsi deus non daretur</w:t>
      </w:r>
      <w:r w:rsidR="00F56896">
        <w:rPr>
          <w:i/>
        </w:rPr>
        <w:fldChar w:fldCharType="begin"/>
      </w:r>
      <w:r w:rsidR="00F56896">
        <w:instrText xml:space="preserve"> XE "</w:instrText>
      </w:r>
      <w:r w:rsidR="00F56896" w:rsidRPr="00342A49">
        <w:rPr>
          <w:i/>
        </w:rPr>
        <w:instrText>etsi deus non daretur</w:instrText>
      </w:r>
      <w:r w:rsidR="00F56896">
        <w:instrText xml:space="preserve">" </w:instrText>
      </w:r>
      <w:r w:rsidR="00F56896">
        <w:rPr>
          <w:i/>
        </w:rPr>
        <w:fldChar w:fldCharType="end"/>
      </w:r>
      <w:r w:rsidR="00F56896" w:rsidRPr="00273106">
        <w:t xml:space="preserve"> </w:t>
      </w:r>
      <w:r w:rsidR="00F56896">
        <w:t xml:space="preserve">nakonec promýšlí Bonhoeffer za časů historicky činného nihilismu před svou popravou dne </w:t>
      </w:r>
      <w:r w:rsidR="00F56896" w:rsidRPr="00EF05C8">
        <w:t>9. dubna</w:t>
      </w:r>
      <w:r w:rsidR="00F56896">
        <w:t xml:space="preserve"> </w:t>
      </w:r>
      <w:r w:rsidR="00F56896" w:rsidRPr="00EF05C8">
        <w:t>1945</w:t>
      </w:r>
      <w:r w:rsidR="00F56896">
        <w:t xml:space="preserve"> v koncentračním táboře </w:t>
      </w:r>
      <w:r w:rsidR="00F56896" w:rsidRPr="00007BAA">
        <w:t>Flossenbürg</w:t>
      </w:r>
      <w:r w:rsidR="00F56896">
        <w:t>. Evangelický pastor angažovaný v boji proti nacismu uvažuje ve vězení o bohu z pozice jeho moderní neexistence a navrhuje nenáboženskou interpretaci evangelia.</w:t>
      </w:r>
      <w:r w:rsidR="00F56896">
        <w:rPr>
          <w:rStyle w:val="Znakapoznpodarou"/>
        </w:rPr>
        <w:footnoteReference w:id="507"/>
      </w:r>
      <w:r w:rsidR="00F56896">
        <w:t xml:space="preserve"> Bonhoeffer</w:t>
      </w:r>
      <w:r w:rsidR="00F56896">
        <w:fldChar w:fldCharType="begin"/>
      </w:r>
      <w:r w:rsidR="00F56896">
        <w:instrText xml:space="preserve"> XE "</w:instrText>
      </w:r>
      <w:r w:rsidR="00F56896" w:rsidRPr="00486A32">
        <w:instrText>Bonhoeffer, D.</w:instrText>
      </w:r>
      <w:r w:rsidR="00F56896">
        <w:instrText xml:space="preserve">" </w:instrText>
      </w:r>
      <w:r w:rsidR="00F56896">
        <w:fldChar w:fldCharType="end"/>
      </w:r>
      <w:r w:rsidR="00F56896">
        <w:t xml:space="preserve"> byl první křesťanský myslitel v epoše reálného nihilismu a nových čarodějnických procesů nacismu, který vzal na vědomí dějinně-faktickou smrt boha</w:t>
      </w:r>
      <w:r w:rsidR="00F56896">
        <w:fldChar w:fldCharType="begin"/>
      </w:r>
      <w:r w:rsidR="00F56896">
        <w:instrText xml:space="preserve"> XE "</w:instrText>
      </w:r>
      <w:r w:rsidR="00F56896" w:rsidRPr="00153978">
        <w:instrText>smrt boha</w:instrText>
      </w:r>
      <w:r w:rsidR="00F56896">
        <w:instrText xml:space="preserve">" </w:instrText>
      </w:r>
      <w:r w:rsidR="00F56896">
        <w:fldChar w:fldCharType="end"/>
      </w:r>
      <w:r w:rsidR="00F56896">
        <w:t xml:space="preserve"> </w:t>
      </w:r>
      <w:r w:rsidR="00F56896" w:rsidRPr="0049096E">
        <w:rPr>
          <w:i/>
        </w:rPr>
        <w:t>Modernorum</w:t>
      </w:r>
      <w:r w:rsidR="00F56896">
        <w:t>. O dějinném osudu Západu přemýšlí ve stejné době, kdy na francouzské straně fronty René Char</w:t>
      </w:r>
      <w:r w:rsidR="00F56896">
        <w:fldChar w:fldCharType="begin"/>
      </w:r>
      <w:r w:rsidR="00F56896">
        <w:instrText xml:space="preserve"> XE "</w:instrText>
      </w:r>
      <w:r w:rsidR="00F56896" w:rsidRPr="086300E6">
        <w:instrText>Char, R.</w:instrText>
      </w:r>
      <w:r w:rsidR="00F56896">
        <w:instrText xml:space="preserve">" </w:instrText>
      </w:r>
      <w:r w:rsidR="00F56896">
        <w:fldChar w:fldCharType="end"/>
      </w:r>
      <w:r w:rsidR="00F56896">
        <w:t xml:space="preserve"> píše v </w:t>
      </w:r>
      <w:r w:rsidR="00F56896" w:rsidRPr="08463AE9">
        <w:rPr>
          <w:i/>
        </w:rPr>
        <w:t>Résistance</w:t>
      </w:r>
      <w:r w:rsidR="00F56896">
        <w:t xml:space="preserve"> svou slavnou větu o moderně, kterou nepředcházela žádná závěť (kap. 4.4.3). Objektivně koncipovaný bůh jako základní kapitál</w:t>
      </w:r>
      <w:r w:rsidR="00F56896">
        <w:fldChar w:fldCharType="begin"/>
      </w:r>
      <w:r w:rsidR="00F56896">
        <w:instrText xml:space="preserve"> XE "</w:instrText>
      </w:r>
      <w:r w:rsidR="00F56896" w:rsidRPr="000703DD">
        <w:instrText>kapitál</w:instrText>
      </w:r>
      <w:r w:rsidR="00F56896">
        <w:instrText xml:space="preserve">" </w:instrText>
      </w:r>
      <w:r w:rsidR="00F56896">
        <w:fldChar w:fldCharType="end"/>
      </w:r>
      <w:r w:rsidR="00F56896">
        <w:t xml:space="preserve"> moderny fungoval jako užitečný nástroj celá staletí v modu </w:t>
      </w:r>
      <w:r w:rsidR="00F56896" w:rsidRPr="00273106">
        <w:rPr>
          <w:i/>
          <w:iCs/>
        </w:rPr>
        <w:t>dativus instrumenti</w:t>
      </w:r>
      <w:r w:rsidR="00F56896">
        <w:rPr>
          <w:i/>
          <w:iCs/>
        </w:rPr>
        <w:fldChar w:fldCharType="begin"/>
      </w:r>
      <w:r w:rsidR="00F56896">
        <w:instrText xml:space="preserve"> XE "</w:instrText>
      </w:r>
      <w:r w:rsidR="00F56896" w:rsidRPr="00BD4DF9">
        <w:rPr>
          <w:i/>
          <w:iCs/>
        </w:rPr>
        <w:instrText>dativus instrumenti</w:instrText>
      </w:r>
      <w:r w:rsidR="00F56896">
        <w:instrText xml:space="preserve">" </w:instrText>
      </w:r>
      <w:r w:rsidR="00F56896">
        <w:rPr>
          <w:i/>
          <w:iCs/>
        </w:rPr>
        <w:fldChar w:fldCharType="end"/>
      </w:r>
      <w:r w:rsidR="00F56896">
        <w:rPr>
          <w:iCs/>
        </w:rPr>
        <w:t xml:space="preserve">. Po jeho smrti se jsoucno třetího druhu </w:t>
      </w:r>
      <w:r w:rsidR="00F56896" w:rsidRPr="00273106">
        <w:rPr>
          <w:iCs/>
        </w:rPr>
        <w:t xml:space="preserve">stalo nástrojem novověké vědo-techniky </w:t>
      </w:r>
      <w:r w:rsidR="00F56896">
        <w:rPr>
          <w:iCs/>
        </w:rPr>
        <w:t xml:space="preserve">a začalo ničit </w:t>
      </w:r>
      <w:r w:rsidR="00F56896" w:rsidRPr="00273106">
        <w:rPr>
          <w:iCs/>
        </w:rPr>
        <w:t>člověka ve světových válkách, skrze</w:t>
      </w:r>
      <w:r w:rsidR="00F56896">
        <w:rPr>
          <w:iCs/>
        </w:rPr>
        <w:t xml:space="preserve"> totalitarismus</w:t>
      </w:r>
      <w:r w:rsidR="00F56896">
        <w:rPr>
          <w:iCs/>
        </w:rPr>
        <w:fldChar w:fldCharType="begin"/>
      </w:r>
      <w:r w:rsidR="00F56896">
        <w:instrText xml:space="preserve"> XE "</w:instrText>
      </w:r>
      <w:r w:rsidR="00F56896" w:rsidRPr="00F631AD">
        <w:rPr>
          <w:iCs/>
        </w:rPr>
        <w:instrText>totalitarismus</w:instrText>
      </w:r>
      <w:r w:rsidR="00F56896">
        <w:instrText xml:space="preserve">" </w:instrText>
      </w:r>
      <w:r w:rsidR="00F56896">
        <w:rPr>
          <w:iCs/>
        </w:rPr>
        <w:fldChar w:fldCharType="end"/>
      </w:r>
      <w:r w:rsidR="00F56896">
        <w:rPr>
          <w:iCs/>
        </w:rPr>
        <w:t xml:space="preserve"> jedné ideologické pravdy</w:t>
      </w:r>
      <w:r w:rsidR="00F56896" w:rsidRPr="00273106">
        <w:rPr>
          <w:iCs/>
        </w:rPr>
        <w:t>, instrumentální racionalitu, nihilismus techniky a vulgární ekonomismus současného korporátního fašismu.</w:t>
      </w:r>
      <w:r w:rsidR="00F56896">
        <w:rPr>
          <w:iCs/>
        </w:rPr>
        <w:t xml:space="preserve"> </w:t>
      </w:r>
      <w:r w:rsidR="00F56896">
        <w:rPr>
          <w:lang w:eastAsia="en-US"/>
        </w:rPr>
        <w:t>Tento n</w:t>
      </w:r>
      <w:r w:rsidR="00F56896" w:rsidRPr="00273106">
        <w:rPr>
          <w:lang w:eastAsia="en-US"/>
        </w:rPr>
        <w:t>ihil</w:t>
      </w:r>
      <w:r w:rsidR="00F56896">
        <w:rPr>
          <w:lang w:eastAsia="en-US"/>
        </w:rPr>
        <w:t xml:space="preserve">istický </w:t>
      </w:r>
      <w:r w:rsidR="00F56896" w:rsidRPr="00273106">
        <w:rPr>
          <w:i/>
          <w:lang w:eastAsia="en-US"/>
        </w:rPr>
        <w:t>Ereignis</w:t>
      </w:r>
      <w:r w:rsidR="00F56896" w:rsidRPr="00273106">
        <w:rPr>
          <w:lang w:eastAsia="en-US"/>
        </w:rPr>
        <w:t xml:space="preserve"> </w:t>
      </w:r>
      <w:r w:rsidR="00F56896">
        <w:rPr>
          <w:lang w:eastAsia="en-US"/>
        </w:rPr>
        <w:t xml:space="preserve">ustavil po smrti boha moderny </w:t>
      </w:r>
      <w:r w:rsidR="00F56896" w:rsidRPr="00273106">
        <w:rPr>
          <w:lang w:eastAsia="en-US"/>
        </w:rPr>
        <w:t>epoch</w:t>
      </w:r>
      <w:r w:rsidR="00F56896">
        <w:rPr>
          <w:lang w:eastAsia="en-US"/>
        </w:rPr>
        <w:t>u</w:t>
      </w:r>
      <w:r w:rsidR="00F56896" w:rsidRPr="00273106">
        <w:rPr>
          <w:lang w:eastAsia="en-US"/>
        </w:rPr>
        <w:t xml:space="preserve"> plné </w:t>
      </w:r>
      <w:r w:rsidR="00F56896">
        <w:rPr>
          <w:lang w:eastAsia="en-US"/>
        </w:rPr>
        <w:t>zapomenutosti první substance (</w:t>
      </w:r>
      <w:r w:rsidR="00F56896" w:rsidRPr="00273106">
        <w:rPr>
          <w:i/>
          <w:lang w:eastAsia="en-US"/>
        </w:rPr>
        <w:t>Seinsvergessenheit</w:t>
      </w:r>
      <w:r w:rsidR="00F56896">
        <w:rPr>
          <w:i/>
          <w:lang w:eastAsia="en-US"/>
        </w:rPr>
        <w:fldChar w:fldCharType="begin"/>
      </w:r>
      <w:r w:rsidR="00F56896">
        <w:instrText xml:space="preserve"> XE "</w:instrText>
      </w:r>
      <w:r w:rsidR="00F56896" w:rsidRPr="003B3CCF">
        <w:rPr>
          <w:i/>
        </w:rPr>
        <w:instrText>Seinsvergessenheit</w:instrText>
      </w:r>
      <w:r w:rsidR="00F56896">
        <w:instrText xml:space="preserve">" </w:instrText>
      </w:r>
      <w:r w:rsidR="00F56896">
        <w:rPr>
          <w:i/>
          <w:lang w:eastAsia="en-US"/>
        </w:rPr>
        <w:fldChar w:fldCharType="end"/>
      </w:r>
      <w:r w:rsidR="00F56896">
        <w:rPr>
          <w:lang w:eastAsia="en-US"/>
        </w:rPr>
        <w:t>). Básník Jan Zahradníček</w:t>
      </w:r>
      <w:r w:rsidR="00F56896">
        <w:rPr>
          <w:lang w:eastAsia="en-US"/>
        </w:rPr>
        <w:fldChar w:fldCharType="begin"/>
      </w:r>
      <w:r w:rsidR="00F56896">
        <w:instrText xml:space="preserve"> XE "</w:instrText>
      </w:r>
      <w:r w:rsidR="00F56896" w:rsidRPr="08C708BC">
        <w:rPr>
          <w:lang w:eastAsia="en-US"/>
        </w:rPr>
        <w:instrText>Zahradníček, J.</w:instrText>
      </w:r>
      <w:r w:rsidR="00F56896">
        <w:instrText xml:space="preserve">" </w:instrText>
      </w:r>
      <w:r w:rsidR="00F56896">
        <w:rPr>
          <w:lang w:eastAsia="en-US"/>
        </w:rPr>
        <w:fldChar w:fldCharType="end"/>
      </w:r>
      <w:r w:rsidR="00F56896">
        <w:rPr>
          <w:lang w:eastAsia="en-US"/>
        </w:rPr>
        <w:t xml:space="preserve"> vězněný skoro 10 let za českého stalinismu již vidí tyto nové rysy současné epochy v poémě </w:t>
      </w:r>
      <w:r w:rsidR="00F56896" w:rsidRPr="08D907B7">
        <w:rPr>
          <w:i/>
          <w:lang w:eastAsia="en-US"/>
        </w:rPr>
        <w:t>Znamení moci</w:t>
      </w:r>
      <w:r w:rsidR="00F56896">
        <w:rPr>
          <w:lang w:eastAsia="en-US"/>
        </w:rPr>
        <w:t xml:space="preserve"> (</w:t>
      </w:r>
      <w:r w:rsidR="00F56896" w:rsidRPr="08D907B7">
        <w:t>1950</w:t>
      </w:r>
      <w:r w:rsidR="00F56896">
        <w:t>–</w:t>
      </w:r>
      <w:r w:rsidR="00F56896" w:rsidRPr="08D907B7">
        <w:t>51</w:t>
      </w:r>
      <w:r w:rsidR="00F56896">
        <w:rPr>
          <w:lang w:eastAsia="en-US"/>
        </w:rPr>
        <w:t xml:space="preserve">) popisující vládu totalitní abstrakce pod vládou </w:t>
      </w:r>
      <w:r w:rsidR="00F56896">
        <w:rPr>
          <w:lang w:eastAsia="en-US"/>
        </w:rPr>
        <w:lastRenderedPageBreak/>
        <w:t xml:space="preserve">eschatologické figury zvavé „pan Nikdo“. Hermeneutická archeologie ukázala, jak </w:t>
      </w:r>
      <w:r w:rsidR="00572753">
        <w:rPr>
          <w:lang w:eastAsia="en-US"/>
        </w:rPr>
        <w:t xml:space="preserve">objektivní </w:t>
      </w:r>
      <w:r w:rsidR="00F56896">
        <w:rPr>
          <w:lang w:eastAsia="en-US"/>
        </w:rPr>
        <w:t>p</w:t>
      </w:r>
      <w:r w:rsidR="00F56896" w:rsidRPr="00273106">
        <w:rPr>
          <w:lang w:eastAsia="en-US"/>
        </w:rPr>
        <w:t xml:space="preserve">ravda vítězné moderny </w:t>
      </w:r>
      <w:r w:rsidR="00572753">
        <w:rPr>
          <w:lang w:eastAsia="en-US"/>
        </w:rPr>
        <w:t xml:space="preserve">zlikvidovala původní smysl aristotelské metafyziky. Ve schématu metafyzicky pojaté </w:t>
      </w:r>
      <w:r w:rsidR="00572753">
        <w:rPr>
          <w:i/>
          <w:lang w:eastAsia="en-US"/>
        </w:rPr>
        <w:t>a</w:t>
      </w:r>
      <w:r w:rsidR="00F56896" w:rsidRPr="00273106">
        <w:rPr>
          <w:i/>
          <w:lang w:eastAsia="en-US"/>
        </w:rPr>
        <w:t>létheia</w:t>
      </w:r>
      <w:r w:rsidR="00F56896">
        <w:rPr>
          <w:i/>
          <w:lang w:eastAsia="en-US"/>
        </w:rPr>
        <w:fldChar w:fldCharType="begin"/>
      </w:r>
      <w:r w:rsidR="00F56896">
        <w:instrText xml:space="preserve"> XE "</w:instrText>
      </w:r>
      <w:r w:rsidR="00572753">
        <w:rPr>
          <w:i/>
          <w:lang w:eastAsia="en-US"/>
        </w:rPr>
        <w:instrText>a</w:instrText>
      </w:r>
      <w:r w:rsidR="00F56896" w:rsidRPr="08937E60">
        <w:rPr>
          <w:i/>
          <w:lang w:eastAsia="en-US"/>
        </w:rPr>
        <w:instrText>létheia</w:instrText>
      </w:r>
      <w:r w:rsidR="00F56896">
        <w:instrText xml:space="preserve">" </w:instrText>
      </w:r>
      <w:r w:rsidR="00F56896">
        <w:rPr>
          <w:i/>
          <w:lang w:eastAsia="en-US"/>
        </w:rPr>
        <w:fldChar w:fldCharType="end"/>
      </w:r>
      <w:r w:rsidR="00572753">
        <w:rPr>
          <w:lang w:eastAsia="en-US"/>
        </w:rPr>
        <w:t xml:space="preserve"> hraje p</w:t>
      </w:r>
      <w:r w:rsidR="00F56896">
        <w:rPr>
          <w:lang w:eastAsia="en-US"/>
        </w:rPr>
        <w:t xml:space="preserve">rvní averroismus </w:t>
      </w:r>
      <w:r w:rsidR="00572753">
        <w:rPr>
          <w:lang w:eastAsia="en-US"/>
        </w:rPr>
        <w:t>dějinnou roli původní události (</w:t>
      </w:r>
      <w:r w:rsidR="00F56896" w:rsidRPr="00855045">
        <w:rPr>
          <w:i/>
          <w:lang w:eastAsia="en-US"/>
        </w:rPr>
        <w:t>Ereignis</w:t>
      </w:r>
      <w:r w:rsidR="00572753">
        <w:rPr>
          <w:lang w:eastAsia="en-US"/>
        </w:rPr>
        <w:t xml:space="preserve">), která zjevila pravdu a nepravdu </w:t>
      </w:r>
      <w:r w:rsidR="0047173F">
        <w:rPr>
          <w:lang w:eastAsia="en-US"/>
        </w:rPr>
        <w:t xml:space="preserve">aristotelské substance. </w:t>
      </w:r>
      <w:r w:rsidR="00F56896">
        <w:rPr>
          <w:lang w:eastAsia="en-US"/>
        </w:rPr>
        <w:t>A počátek v řečtině znamená také vládu nad tím, co následuje, a co je tímto počátkem skrytě determinováno. Múzy nelze trvale umlčet, protože mluví i skrze nepravdu</w:t>
      </w:r>
      <w:r w:rsidR="00572753">
        <w:rPr>
          <w:lang w:eastAsia="en-US"/>
        </w:rPr>
        <w:t xml:space="preserve">. Bohužel, </w:t>
      </w:r>
      <w:r w:rsidR="00F56896">
        <w:rPr>
          <w:lang w:eastAsia="en-US"/>
        </w:rPr>
        <w:t xml:space="preserve">tuto mluva </w:t>
      </w:r>
      <w:r w:rsidR="00572753">
        <w:rPr>
          <w:lang w:eastAsia="en-US"/>
        </w:rPr>
        <w:t xml:space="preserve">pak </w:t>
      </w:r>
      <w:r w:rsidR="00F56896">
        <w:rPr>
          <w:lang w:eastAsia="en-US"/>
        </w:rPr>
        <w:t xml:space="preserve">má </w:t>
      </w:r>
      <w:r w:rsidR="00572753">
        <w:rPr>
          <w:lang w:eastAsia="en-US"/>
        </w:rPr>
        <w:t xml:space="preserve">zásadně </w:t>
      </w:r>
      <w:r w:rsidR="00F56896">
        <w:rPr>
          <w:lang w:eastAsia="en-US"/>
        </w:rPr>
        <w:t xml:space="preserve">tragický charakter. </w:t>
      </w:r>
      <w:r w:rsidR="00943D9B">
        <w:rPr>
          <w:lang w:eastAsia="en-US"/>
        </w:rPr>
        <w:t>H</w:t>
      </w:r>
      <w:r w:rsidR="00943D9B" w:rsidRPr="00273106">
        <w:rPr>
          <w:lang w:eastAsia="en-US"/>
        </w:rPr>
        <w:t>ermeneuti</w:t>
      </w:r>
      <w:r w:rsidR="00943D9B">
        <w:rPr>
          <w:lang w:eastAsia="en-US"/>
        </w:rPr>
        <w:t>cká a</w:t>
      </w:r>
      <w:r w:rsidR="00F56896">
        <w:rPr>
          <w:lang w:eastAsia="en-US"/>
        </w:rPr>
        <w:t>rcheologi</w:t>
      </w:r>
      <w:r w:rsidR="00943D9B">
        <w:rPr>
          <w:lang w:eastAsia="en-US"/>
        </w:rPr>
        <w:t>e</w:t>
      </w:r>
      <w:r w:rsidR="00F56896">
        <w:rPr>
          <w:lang w:eastAsia="en-US"/>
        </w:rPr>
        <w:t xml:space="preserve"> vyložila</w:t>
      </w:r>
      <w:r w:rsidR="00F56896" w:rsidRPr="00273106">
        <w:rPr>
          <w:lang w:eastAsia="en-US"/>
        </w:rPr>
        <w:t xml:space="preserve"> skrze jednotlivé matrice </w:t>
      </w:r>
      <w:r w:rsidR="00572753" w:rsidRPr="00572753">
        <w:rPr>
          <w:i/>
          <w:lang w:eastAsia="en-US"/>
        </w:rPr>
        <w:t>Lichtung</w:t>
      </w:r>
      <w:r w:rsidR="00572753">
        <w:rPr>
          <w:lang w:eastAsia="en-US"/>
        </w:rPr>
        <w:t xml:space="preserve"> pravdy a nepravdy objektivně pojatého js</w:t>
      </w:r>
      <w:r w:rsidR="00E653E1">
        <w:rPr>
          <w:lang w:eastAsia="en-US"/>
        </w:rPr>
        <w:t>oucna. Toto mytologické jsoucno</w:t>
      </w:r>
      <w:r w:rsidR="00572753">
        <w:rPr>
          <w:lang w:eastAsia="en-US"/>
        </w:rPr>
        <w:t xml:space="preserve"> dostal</w:t>
      </w:r>
      <w:r w:rsidR="00E653E1">
        <w:rPr>
          <w:lang w:eastAsia="en-US"/>
        </w:rPr>
        <w:t>o</w:t>
      </w:r>
      <w:r w:rsidR="00572753">
        <w:rPr>
          <w:lang w:eastAsia="en-US"/>
        </w:rPr>
        <w:t xml:space="preserve"> v příběhu zápa</w:t>
      </w:r>
      <w:r w:rsidR="00E468AA">
        <w:rPr>
          <w:lang w:eastAsia="en-US"/>
        </w:rPr>
        <w:t xml:space="preserve">dní iracionality </w:t>
      </w:r>
      <w:r w:rsidR="00572753">
        <w:rPr>
          <w:lang w:eastAsia="en-US"/>
        </w:rPr>
        <w:t>(</w:t>
      </w:r>
      <w:r w:rsidR="00572753" w:rsidRPr="00572753">
        <w:rPr>
          <w:i/>
          <w:lang w:eastAsia="en-US"/>
        </w:rPr>
        <w:t>Irre</w:t>
      </w:r>
      <w:r w:rsidR="00572753">
        <w:rPr>
          <w:lang w:eastAsia="en-US"/>
        </w:rPr>
        <w:t xml:space="preserve">) </w:t>
      </w:r>
      <w:r w:rsidR="00E468AA">
        <w:rPr>
          <w:lang w:eastAsia="en-US"/>
        </w:rPr>
        <w:t xml:space="preserve">nový </w:t>
      </w:r>
      <w:r w:rsidR="00572753">
        <w:rPr>
          <w:lang w:eastAsia="en-US"/>
        </w:rPr>
        <w:t xml:space="preserve">smysl skrze výše uvedené existenciály popsané v rámci </w:t>
      </w:r>
      <w:r w:rsidR="00572753" w:rsidRPr="00572753">
        <w:rPr>
          <w:i/>
          <w:lang w:eastAsia="en-US"/>
        </w:rPr>
        <w:t>dativus obiectivus</w:t>
      </w:r>
      <w:r w:rsidR="00572753">
        <w:rPr>
          <w:lang w:eastAsia="en-US"/>
        </w:rPr>
        <w:t>.</w:t>
      </w:r>
    </w:p>
    <w:p w:rsidR="08163013" w:rsidRPr="00273106" w:rsidRDefault="00D5346C" w:rsidP="08163013">
      <w:pPr>
        <w:pStyle w:val="Nadpis2"/>
      </w:pPr>
      <w:bookmarkStart w:id="103" w:name="_Toc36144170"/>
      <w:r>
        <w:rPr>
          <w:lang w:val="cs-CZ"/>
        </w:rPr>
        <w:br w:type="page"/>
      </w:r>
      <w:bookmarkStart w:id="104" w:name="_Toc180231683"/>
      <w:r w:rsidR="08163013">
        <w:rPr>
          <w:lang w:val="cs-CZ"/>
        </w:rPr>
        <w:lastRenderedPageBreak/>
        <w:t>5</w:t>
      </w:r>
      <w:r w:rsidR="08163013" w:rsidRPr="00273106">
        <w:t xml:space="preserve">.5 </w:t>
      </w:r>
      <w:r w:rsidR="08163013">
        <w:rPr>
          <w:lang w:val="cs-CZ"/>
        </w:rPr>
        <w:t xml:space="preserve">Objektivní </w:t>
      </w:r>
      <w:r w:rsidR="08163013">
        <w:t>věda a čarodějnické procesy</w:t>
      </w:r>
      <w:bookmarkEnd w:id="103"/>
      <w:bookmarkEnd w:id="104"/>
    </w:p>
    <w:p w:rsidR="00851979" w:rsidRDefault="005C38CE" w:rsidP="00D95B28">
      <w:pPr>
        <w:rPr>
          <w:rStyle w:val="Zkladntext158dkovn0pt"/>
          <w:color w:val="auto"/>
          <w:spacing w:val="0"/>
          <w:sz w:val="24"/>
          <w:lang w:val="cs-CZ"/>
        </w:rPr>
      </w:pPr>
      <w:r>
        <w:t xml:space="preserve">Filosofické </w:t>
      </w:r>
      <w:r w:rsidR="001B2AF3">
        <w:t xml:space="preserve">spory </w:t>
      </w:r>
      <w:r w:rsidR="001B2AF3" w:rsidRPr="00273106">
        <w:t xml:space="preserve">Alberta, Sigera a Akvinského proti </w:t>
      </w:r>
      <w:r>
        <w:t xml:space="preserve">chybnému myšlení </w:t>
      </w:r>
      <w:r w:rsidR="001B2AF3" w:rsidRPr="00273106">
        <w:t xml:space="preserve">jejich současníků zvaných </w:t>
      </w:r>
      <w:r w:rsidR="001B2AF3" w:rsidRPr="00273106">
        <w:rPr>
          <w:i/>
        </w:rPr>
        <w:t>Latini</w:t>
      </w:r>
      <w:r w:rsidR="001B2AF3" w:rsidRPr="00273106">
        <w:t xml:space="preserve"> </w:t>
      </w:r>
      <w:r w:rsidR="001B2AF3">
        <w:t xml:space="preserve">nebo </w:t>
      </w:r>
      <w:r w:rsidR="001B2AF3" w:rsidRPr="007F2C7E">
        <w:rPr>
          <w:i/>
        </w:rPr>
        <w:t>Moderni</w:t>
      </w:r>
      <w:r w:rsidR="001B2AF3">
        <w:rPr>
          <w:i/>
        </w:rPr>
        <w:fldChar w:fldCharType="begin"/>
      </w:r>
      <w:r w:rsidR="001B2AF3">
        <w:instrText xml:space="preserve"> XE "</w:instrText>
      </w:r>
      <w:r w:rsidR="001B2AF3" w:rsidRPr="00B46F32">
        <w:instrText>averroismus:</w:instrText>
      </w:r>
      <w:r w:rsidR="001B2AF3" w:rsidRPr="00A632FF">
        <w:rPr>
          <w:i/>
        </w:rPr>
        <w:instrText>Moderni</w:instrText>
      </w:r>
      <w:r w:rsidR="001B2AF3">
        <w:instrText xml:space="preserve">" </w:instrText>
      </w:r>
      <w:r w:rsidR="001B2AF3">
        <w:rPr>
          <w:i/>
        </w:rPr>
        <w:fldChar w:fldCharType="end"/>
      </w:r>
      <w:r w:rsidR="001B2AF3">
        <w:t xml:space="preserve"> manifestují </w:t>
      </w:r>
      <w:r w:rsidR="001B2AF3" w:rsidRPr="00273106">
        <w:rPr>
          <w:rStyle w:val="Zkladntext158dkovn0pt"/>
          <w:color w:val="auto"/>
          <w:spacing w:val="0"/>
          <w:sz w:val="24"/>
          <w:lang w:val="cs-CZ"/>
        </w:rPr>
        <w:t>postavu autonomního západního intelektuála</w:t>
      </w:r>
      <w:r w:rsidR="001B2AF3">
        <w:rPr>
          <w:rStyle w:val="Zkladntext158dkovn0pt"/>
          <w:color w:val="auto"/>
          <w:spacing w:val="0"/>
          <w:sz w:val="24"/>
          <w:lang w:val="cs-CZ"/>
        </w:rPr>
        <w:t xml:space="preserve"> ze školy prvního averroismu angažovaného </w:t>
      </w:r>
      <w:r w:rsidR="003F086F">
        <w:rPr>
          <w:rStyle w:val="Zkladntext158dkovn0pt"/>
          <w:color w:val="auto"/>
          <w:spacing w:val="0"/>
          <w:sz w:val="24"/>
          <w:lang w:val="cs-CZ"/>
        </w:rPr>
        <w:t xml:space="preserve">v gigantomachii </w:t>
      </w:r>
      <w:r w:rsidR="001B2AF3">
        <w:rPr>
          <w:rStyle w:val="Zkladntext158dkovn0pt"/>
          <w:color w:val="auto"/>
          <w:spacing w:val="0"/>
          <w:sz w:val="24"/>
          <w:lang w:val="cs-CZ"/>
        </w:rPr>
        <w:t xml:space="preserve">proti sofistům ze školy druhého averroismu. První </w:t>
      </w:r>
      <w:r w:rsidR="00F76CB4">
        <w:rPr>
          <w:rStyle w:val="Zkladntext158dkovn0pt"/>
          <w:color w:val="auto"/>
          <w:spacing w:val="0"/>
          <w:sz w:val="24"/>
          <w:lang w:val="cs-CZ"/>
        </w:rPr>
        <w:t>nezávislí intelektuálové Západu byli aristotelští myslitelé</w:t>
      </w:r>
      <w:r w:rsidR="001B2AF3">
        <w:rPr>
          <w:rStyle w:val="Zkladntext158dkovn0pt"/>
          <w:color w:val="auto"/>
          <w:spacing w:val="0"/>
          <w:sz w:val="24"/>
          <w:lang w:val="cs-CZ"/>
        </w:rPr>
        <w:t xml:space="preserve"> falsafy, což byl především Al-Fárábí, Al-Ghazálí a Averroes. Z</w:t>
      </w:r>
      <w:r w:rsidR="001B2AF3" w:rsidRPr="00273106">
        <w:rPr>
          <w:rStyle w:val="Zkladntext158dkovn0pt"/>
          <w:color w:val="auto"/>
          <w:spacing w:val="0"/>
          <w:sz w:val="24"/>
          <w:lang w:val="cs-CZ"/>
        </w:rPr>
        <w:t xml:space="preserve">rod </w:t>
      </w:r>
      <w:r w:rsidR="001B2AF3">
        <w:rPr>
          <w:rStyle w:val="Zkladntext158dkovn0pt"/>
          <w:color w:val="auto"/>
          <w:spacing w:val="0"/>
          <w:sz w:val="24"/>
          <w:lang w:val="cs-CZ"/>
        </w:rPr>
        <w:t xml:space="preserve">západního latinského intelektuála </w:t>
      </w:r>
      <w:r w:rsidR="001B2AF3" w:rsidRPr="00273106">
        <w:rPr>
          <w:rStyle w:val="Zkladntext158dkovn0pt"/>
          <w:color w:val="auto"/>
          <w:spacing w:val="0"/>
          <w:sz w:val="24"/>
          <w:lang w:val="cs-CZ"/>
        </w:rPr>
        <w:t xml:space="preserve">je napojený </w:t>
      </w:r>
      <w:r w:rsidR="001B2AF3">
        <w:rPr>
          <w:rStyle w:val="Zkladntext158dkovn0pt"/>
          <w:color w:val="auto"/>
          <w:spacing w:val="0"/>
          <w:sz w:val="24"/>
          <w:lang w:val="cs-CZ"/>
        </w:rPr>
        <w:t xml:space="preserve">na </w:t>
      </w:r>
      <w:r w:rsidR="001B2AF3" w:rsidRPr="00273106">
        <w:rPr>
          <w:rStyle w:val="Zkladntext158dkovn0pt"/>
          <w:color w:val="auto"/>
          <w:spacing w:val="0"/>
          <w:sz w:val="24"/>
          <w:lang w:val="cs-CZ"/>
        </w:rPr>
        <w:t>humanismus</w:t>
      </w:r>
      <w:r w:rsidR="001B2AF3">
        <w:rPr>
          <w:i/>
        </w:rPr>
        <w:fldChar w:fldCharType="begin"/>
      </w:r>
      <w:r w:rsidR="001B2AF3">
        <w:instrText xml:space="preserve"> XE "humanismus:aristotelský" </w:instrText>
      </w:r>
      <w:r w:rsidR="001B2AF3">
        <w:rPr>
          <w:i/>
        </w:rPr>
        <w:fldChar w:fldCharType="end"/>
      </w:r>
      <w:r w:rsidR="001B2AF3" w:rsidRPr="00273106">
        <w:rPr>
          <w:rStyle w:val="Zkladntext158dkovn0pt"/>
          <w:color w:val="auto"/>
          <w:spacing w:val="0"/>
          <w:sz w:val="24"/>
          <w:lang w:val="cs-CZ"/>
        </w:rPr>
        <w:t xml:space="preserve"> prvního averroismu</w:t>
      </w:r>
      <w:r w:rsidR="001B2AF3">
        <w:rPr>
          <w:rStyle w:val="Zkladntext158dkovn0pt"/>
          <w:color w:val="auto"/>
          <w:spacing w:val="0"/>
          <w:sz w:val="24"/>
          <w:lang w:val="cs-CZ"/>
        </w:rPr>
        <w:t xml:space="preserve"> daný v linii prvního evropského intelektuála </w:t>
      </w:r>
      <w:r w:rsidR="001B2AF3" w:rsidRPr="085104F2">
        <w:t>Al</w:t>
      </w:r>
      <w:r w:rsidR="001B2AF3" w:rsidRPr="085104F2">
        <w:noBreakHyphen/>
        <w:t>Fárábího (OBJ I, kap. 2.1.1).</w:t>
      </w:r>
      <w:r w:rsidR="001B2AF3">
        <w:rPr>
          <w:rStyle w:val="Zkladntext158dkovn0pt"/>
          <w:color w:val="auto"/>
          <w:spacing w:val="0"/>
          <w:sz w:val="24"/>
          <w:lang w:val="cs-CZ"/>
        </w:rPr>
        <w:t xml:space="preserve"> Tento humanismus se zásadně odlišuje od pojetí člověka ve školách inspirovaných augustiniánským neoplatonismem a Avicennou</w:t>
      </w:r>
      <w:r w:rsidR="001B2AF3" w:rsidRPr="00273106">
        <w:rPr>
          <w:rStyle w:val="Zkladntext158dkovn0pt"/>
          <w:color w:val="auto"/>
          <w:spacing w:val="0"/>
          <w:sz w:val="24"/>
          <w:lang w:val="cs-CZ"/>
        </w:rPr>
        <w:t xml:space="preserve">. </w:t>
      </w:r>
      <w:r w:rsidR="001B2AF3">
        <w:rPr>
          <w:rStyle w:val="Zkladntext158dkovn0pt"/>
          <w:color w:val="auto"/>
          <w:spacing w:val="0"/>
          <w:sz w:val="24"/>
          <w:lang w:val="cs-CZ"/>
        </w:rPr>
        <w:t xml:space="preserve">Nový typ myslitele usazený na Rue du Fouarre hájil podle </w:t>
      </w:r>
      <w:r w:rsidR="001B2AF3" w:rsidRPr="003548FF">
        <w:rPr>
          <w:rStyle w:val="Zkladntext158dkovn0pt"/>
          <w:i/>
          <w:color w:val="auto"/>
          <w:spacing w:val="0"/>
          <w:sz w:val="24"/>
          <w:lang w:val="cs-CZ"/>
        </w:rPr>
        <w:t>Druhých analytik</w:t>
      </w:r>
      <w:r w:rsidR="001B2AF3">
        <w:rPr>
          <w:rStyle w:val="Zkladntext158dkovn0pt"/>
          <w:color w:val="auto"/>
          <w:spacing w:val="0"/>
          <w:sz w:val="24"/>
          <w:lang w:val="cs-CZ"/>
        </w:rPr>
        <w:t xml:space="preserve"> generickou odlišnost filosofie a teologie proti univoční a synkretistické škole modernistů shromážděných v Bonaventurově škole v Paříži a v Kilwardbyho škole v Oxfordu.</w:t>
      </w:r>
      <w:r w:rsidR="001B2AF3">
        <w:rPr>
          <w:rStyle w:val="Zkladntext158dkovn0pt"/>
          <w:color w:val="auto"/>
          <w:spacing w:val="0"/>
          <w:sz w:val="24"/>
          <w:lang w:val="cs-CZ"/>
        </w:rPr>
        <w:fldChar w:fldCharType="begin"/>
      </w:r>
      <w:r w:rsidR="001B2AF3">
        <w:instrText xml:space="preserve"> XE "</w:instrText>
      </w:r>
      <w:r w:rsidR="001B2AF3" w:rsidRPr="00AB7DD5">
        <w:instrText>teorie dvojí pravdy</w:instrText>
      </w:r>
      <w:r w:rsidR="001B2AF3">
        <w:instrText xml:space="preserve">" </w:instrText>
      </w:r>
      <w:r w:rsidR="001B2AF3">
        <w:rPr>
          <w:rStyle w:val="Zkladntext158dkovn0pt"/>
          <w:color w:val="auto"/>
          <w:spacing w:val="0"/>
          <w:sz w:val="24"/>
          <w:lang w:val="cs-CZ"/>
        </w:rPr>
        <w:fldChar w:fldCharType="end"/>
      </w:r>
      <w:r w:rsidR="001B2AF3">
        <w:rPr>
          <w:rStyle w:val="Zkladntext158dkovn0pt"/>
          <w:color w:val="auto"/>
          <w:spacing w:val="0"/>
          <w:sz w:val="24"/>
          <w:lang w:val="cs-CZ"/>
        </w:rPr>
        <w:t xml:space="preserve"> A nakonec hájí pravdu vědy i proti tomistické verzi humanismu, v níž zvítězila dogmatická pravda teologie nad filosofií. V tomto zápase došlo objektivně nutně k tomu, že vítězná akademická strana modernistů zničila klasický aristotelismus v dějinné modifikaci logického pravidla </w:t>
      </w:r>
      <w:r w:rsidR="001B2AF3" w:rsidRPr="087C0572">
        <w:rPr>
          <w:rStyle w:val="Zkladntext158dkovn0pt"/>
          <w:i/>
          <w:color w:val="auto"/>
          <w:spacing w:val="0"/>
          <w:sz w:val="24"/>
          <w:lang w:val="cs-CZ"/>
        </w:rPr>
        <w:t>modus ponens</w:t>
      </w:r>
      <w:r w:rsidR="001B2AF3">
        <w:rPr>
          <w:rStyle w:val="Zkladntext158dkovn0pt"/>
          <w:i/>
          <w:color w:val="auto"/>
          <w:spacing w:val="0"/>
          <w:sz w:val="24"/>
          <w:lang w:val="cs-CZ"/>
        </w:rPr>
        <w:fldChar w:fldCharType="begin"/>
      </w:r>
      <w:r w:rsidR="001B2AF3">
        <w:instrText xml:space="preserve"> XE "</w:instrText>
      </w:r>
      <w:r w:rsidR="001B2AF3" w:rsidRPr="00635BD9">
        <w:rPr>
          <w:rStyle w:val="Zkladntext158dkovn0pt"/>
          <w:i/>
          <w:color w:val="auto"/>
          <w:spacing w:val="0"/>
          <w:sz w:val="24"/>
          <w:lang w:val="cs-CZ"/>
        </w:rPr>
        <w:instrText>modus ponens</w:instrText>
      </w:r>
      <w:r w:rsidR="001B2AF3">
        <w:instrText xml:space="preserve">" </w:instrText>
      </w:r>
      <w:r w:rsidR="001B2AF3">
        <w:rPr>
          <w:rStyle w:val="Zkladntext158dkovn0pt"/>
          <w:i/>
          <w:color w:val="auto"/>
          <w:spacing w:val="0"/>
          <w:sz w:val="24"/>
          <w:lang w:val="cs-CZ"/>
        </w:rPr>
        <w:fldChar w:fldCharType="end"/>
      </w:r>
      <w:r w:rsidR="001B2AF3">
        <w:rPr>
          <w:rStyle w:val="Zkladntext158dkovn0pt"/>
          <w:color w:val="auto"/>
          <w:spacing w:val="0"/>
          <w:sz w:val="24"/>
          <w:lang w:val="cs-CZ"/>
        </w:rPr>
        <w:t xml:space="preserve">. </w:t>
      </w:r>
    </w:p>
    <w:p w:rsidR="000F6D65" w:rsidRDefault="00851979" w:rsidP="007F738D">
      <w:r w:rsidRPr="00851979">
        <w:rPr>
          <w:rStyle w:val="Zkladntext158dkovn0pt"/>
          <w:color w:val="auto"/>
          <w:spacing w:val="0"/>
          <w:sz w:val="24"/>
          <w:lang w:val="cs-CZ"/>
        </w:rPr>
        <w:t xml:space="preserve">Vůle </w:t>
      </w:r>
      <w:r>
        <w:rPr>
          <w:rStyle w:val="Zkladntext158dkovn0pt"/>
          <w:color w:val="auto"/>
          <w:spacing w:val="0"/>
          <w:sz w:val="24"/>
          <w:lang w:val="cs-CZ"/>
        </w:rPr>
        <w:t xml:space="preserve">k </w:t>
      </w:r>
      <w:r w:rsidRPr="00851979">
        <w:rPr>
          <w:rStyle w:val="Zkladntext158dkovn0pt"/>
          <w:color w:val="auto"/>
          <w:spacing w:val="0"/>
          <w:sz w:val="24"/>
          <w:lang w:val="cs-CZ"/>
        </w:rPr>
        <w:t xml:space="preserve">moci, která formovala nový subjekt, přišla jako první, aby </w:t>
      </w:r>
      <w:r w:rsidR="009B451A">
        <w:rPr>
          <w:rStyle w:val="Zkladntext158dkovn0pt"/>
          <w:color w:val="auto"/>
          <w:spacing w:val="0"/>
          <w:sz w:val="24"/>
          <w:lang w:val="cs-CZ"/>
        </w:rPr>
        <w:t xml:space="preserve">zpravovala </w:t>
      </w:r>
      <w:r w:rsidRPr="00851979">
        <w:rPr>
          <w:rStyle w:val="Zkladntext158dkovn0pt"/>
          <w:color w:val="auto"/>
          <w:spacing w:val="0"/>
          <w:sz w:val="24"/>
          <w:lang w:val="cs-CZ"/>
        </w:rPr>
        <w:t xml:space="preserve">objektivně </w:t>
      </w:r>
      <w:r>
        <w:rPr>
          <w:rStyle w:val="Zkladntext158dkovn0pt"/>
          <w:color w:val="auto"/>
          <w:spacing w:val="0"/>
          <w:sz w:val="24"/>
          <w:lang w:val="cs-CZ"/>
        </w:rPr>
        <w:t>daný smysl jsoucna</w:t>
      </w:r>
      <w:r w:rsidR="009B451A">
        <w:rPr>
          <w:rStyle w:val="Zkladntext158dkovn0pt"/>
          <w:color w:val="auto"/>
          <w:spacing w:val="0"/>
          <w:sz w:val="24"/>
          <w:lang w:val="cs-CZ"/>
        </w:rPr>
        <w:t xml:space="preserve"> </w:t>
      </w:r>
      <w:r w:rsidR="009B451A">
        <w:t>(</w:t>
      </w:r>
      <w:r w:rsidR="009B451A">
        <w:rPr>
          <w:i/>
        </w:rPr>
        <w:t>Ge-Stell</w:t>
      </w:r>
      <w:r w:rsidR="009B451A">
        <w:rPr>
          <w:i/>
        </w:rPr>
        <w:fldChar w:fldCharType="begin"/>
      </w:r>
      <w:r w:rsidR="009B451A">
        <w:instrText xml:space="preserve"> XE "</w:instrText>
      </w:r>
      <w:r w:rsidR="009B451A" w:rsidRPr="00E46F11">
        <w:rPr>
          <w:i/>
        </w:rPr>
        <w:instrText>Ge-Stell</w:instrText>
      </w:r>
      <w:r w:rsidR="009B451A">
        <w:instrText xml:space="preserve">" </w:instrText>
      </w:r>
      <w:r w:rsidR="009B451A">
        <w:rPr>
          <w:i/>
        </w:rPr>
        <w:fldChar w:fldCharType="end"/>
      </w:r>
      <w:r w:rsidR="009B451A">
        <w:t>)</w:t>
      </w:r>
      <w:r w:rsidRPr="00851979">
        <w:rPr>
          <w:rStyle w:val="Zkladntext158dkovn0pt"/>
          <w:color w:val="auto"/>
          <w:spacing w:val="0"/>
          <w:sz w:val="24"/>
          <w:lang w:val="cs-CZ"/>
        </w:rPr>
        <w:t xml:space="preserve">. </w:t>
      </w:r>
      <w:r w:rsidR="00A16004">
        <w:rPr>
          <w:iCs/>
        </w:rPr>
        <w:t xml:space="preserve">Bytí jsoucna určuje svobodná demiurgická chtivost </w:t>
      </w:r>
      <w:r w:rsidR="00A16004" w:rsidRPr="00273106">
        <w:rPr>
          <w:iCs/>
        </w:rPr>
        <w:t>subjektu</w:t>
      </w:r>
      <w:r w:rsidR="00A16004">
        <w:rPr>
          <w:iCs/>
        </w:rPr>
        <w:t xml:space="preserve">, který vidí svět v modu analogické podobnosti skrze intimitu vůle. </w:t>
      </w:r>
      <w:r w:rsidR="001B2AF3" w:rsidRPr="009F3670">
        <w:rPr>
          <w:rStyle w:val="Zkladntext158dkovn0pt"/>
          <w:color w:val="auto"/>
          <w:spacing w:val="0"/>
          <w:sz w:val="24"/>
          <w:lang w:val="cs-CZ"/>
        </w:rPr>
        <w:t>Na latinském Západě, vedeném subjektivně</w:t>
      </w:r>
      <w:r w:rsidR="001B2AF3">
        <w:rPr>
          <w:rStyle w:val="Zkladntext158dkovn0pt"/>
          <w:color w:val="auto"/>
          <w:spacing w:val="0"/>
          <w:sz w:val="24"/>
          <w:lang w:val="cs-CZ"/>
        </w:rPr>
        <w:t xml:space="preserve"> </w:t>
      </w:r>
      <w:r>
        <w:rPr>
          <w:rStyle w:val="Zkladntext158dkovn0pt"/>
          <w:color w:val="auto"/>
          <w:spacing w:val="0"/>
          <w:sz w:val="24"/>
          <w:lang w:val="cs-CZ"/>
        </w:rPr>
        <w:t xml:space="preserve">mocnými </w:t>
      </w:r>
      <w:r w:rsidR="001B2AF3">
        <w:rPr>
          <w:rStyle w:val="Zkladntext158dkovn0pt"/>
          <w:color w:val="auto"/>
          <w:spacing w:val="0"/>
          <w:sz w:val="24"/>
          <w:lang w:val="cs-CZ"/>
        </w:rPr>
        <w:t>božstvy akademické P</w:t>
      </w:r>
      <w:r w:rsidR="001B2AF3" w:rsidRPr="009F3670">
        <w:rPr>
          <w:rStyle w:val="Zkladntext158dkovn0pt"/>
          <w:color w:val="auto"/>
          <w:spacing w:val="0"/>
          <w:sz w:val="24"/>
          <w:lang w:val="cs-CZ"/>
        </w:rPr>
        <w:t xml:space="preserve">omsty, funguje tato božská </w:t>
      </w:r>
      <w:r w:rsidR="001B2AF3" w:rsidRPr="009F3670">
        <w:rPr>
          <w:rStyle w:val="Zkladntext158dkovn0pt"/>
          <w:i/>
          <w:color w:val="auto"/>
          <w:spacing w:val="0"/>
          <w:sz w:val="24"/>
          <w:lang w:val="cs-CZ"/>
        </w:rPr>
        <w:t>alétheia</w:t>
      </w:r>
      <w:r w:rsidR="001B2AF3" w:rsidRPr="009F3670">
        <w:rPr>
          <w:rStyle w:val="Zkladntext158dkovn0pt"/>
          <w:color w:val="auto"/>
          <w:spacing w:val="0"/>
          <w:sz w:val="24"/>
          <w:lang w:val="cs-CZ"/>
        </w:rPr>
        <w:t xml:space="preserve"> </w:t>
      </w:r>
      <w:r w:rsidR="004C6786">
        <w:rPr>
          <w:rStyle w:val="Zkladntext158dkovn0pt"/>
          <w:color w:val="auto"/>
          <w:spacing w:val="0"/>
          <w:sz w:val="24"/>
          <w:lang w:val="cs-CZ"/>
        </w:rPr>
        <w:t xml:space="preserve">také skrze </w:t>
      </w:r>
      <w:r w:rsidR="001B2AF3" w:rsidRPr="009F3670">
        <w:rPr>
          <w:rStyle w:val="Zkladntext158dkovn0pt"/>
          <w:i/>
          <w:color w:val="auto"/>
          <w:spacing w:val="0"/>
          <w:sz w:val="24"/>
          <w:lang w:val="cs-CZ"/>
        </w:rPr>
        <w:t>modus tollens</w:t>
      </w:r>
      <w:r w:rsidR="001B2AF3">
        <w:rPr>
          <w:rStyle w:val="Zkladntext158dkovn0pt"/>
          <w:i/>
          <w:color w:val="auto"/>
          <w:spacing w:val="0"/>
          <w:sz w:val="24"/>
          <w:lang w:val="cs-CZ"/>
        </w:rPr>
        <w:fldChar w:fldCharType="begin"/>
      </w:r>
      <w:r w:rsidR="001B2AF3">
        <w:instrText xml:space="preserve"> XE "</w:instrText>
      </w:r>
      <w:r w:rsidR="001B2AF3" w:rsidRPr="0042713C">
        <w:rPr>
          <w:rStyle w:val="Zkladntext158dkovn0pt"/>
          <w:i/>
          <w:color w:val="auto"/>
          <w:spacing w:val="0"/>
          <w:sz w:val="24"/>
          <w:lang w:val="cs-CZ"/>
        </w:rPr>
        <w:instrText>modus tollens</w:instrText>
      </w:r>
      <w:r w:rsidR="001B2AF3">
        <w:instrText xml:space="preserve">" </w:instrText>
      </w:r>
      <w:r w:rsidR="001B2AF3">
        <w:rPr>
          <w:rStyle w:val="Zkladntext158dkovn0pt"/>
          <w:i/>
          <w:color w:val="auto"/>
          <w:spacing w:val="0"/>
          <w:sz w:val="24"/>
          <w:lang w:val="cs-CZ"/>
        </w:rPr>
        <w:fldChar w:fldCharType="end"/>
      </w:r>
      <w:r w:rsidR="001B2AF3" w:rsidRPr="009F3670">
        <w:rPr>
          <w:rStyle w:val="Zkladntext158dkovn0pt"/>
          <w:color w:val="auto"/>
          <w:spacing w:val="0"/>
          <w:sz w:val="24"/>
          <w:lang w:val="cs-CZ"/>
        </w:rPr>
        <w:t xml:space="preserve">. </w:t>
      </w:r>
      <w:r>
        <w:rPr>
          <w:rStyle w:val="Zkladntext158dkovn0pt"/>
          <w:color w:val="auto"/>
          <w:spacing w:val="0"/>
          <w:sz w:val="24"/>
          <w:lang w:val="cs-CZ"/>
        </w:rPr>
        <w:t xml:space="preserve">První substance zmizela z metafyziky a s ní i </w:t>
      </w:r>
      <w:r w:rsidR="001823A3">
        <w:rPr>
          <w:rStyle w:val="Zkladntext158dkovn0pt"/>
          <w:color w:val="auto"/>
          <w:spacing w:val="0"/>
          <w:sz w:val="24"/>
          <w:lang w:val="cs-CZ"/>
        </w:rPr>
        <w:t xml:space="preserve">pravdivý </w:t>
      </w:r>
      <w:r>
        <w:rPr>
          <w:rStyle w:val="Zkladntext158dkovn0pt"/>
          <w:color w:val="auto"/>
          <w:spacing w:val="0"/>
          <w:sz w:val="24"/>
          <w:lang w:val="cs-CZ"/>
        </w:rPr>
        <w:t xml:space="preserve">přístup k realitě. Ale skrze Danteho zůstala poodkryta celá </w:t>
      </w:r>
      <w:r w:rsidRPr="083F27D4">
        <w:rPr>
          <w:rStyle w:val="Zkladntext158dkovn0pt"/>
          <w:i/>
          <w:color w:val="auto"/>
          <w:spacing w:val="0"/>
          <w:sz w:val="24"/>
          <w:lang w:val="cs-CZ"/>
        </w:rPr>
        <w:t>alétheia</w:t>
      </w:r>
      <w:r>
        <w:rPr>
          <w:rStyle w:val="Zkladntext158dkovn0pt"/>
          <w:color w:val="auto"/>
          <w:spacing w:val="0"/>
          <w:sz w:val="24"/>
          <w:lang w:val="cs-CZ"/>
        </w:rPr>
        <w:t xml:space="preserve"> tohoto sporu. </w:t>
      </w:r>
      <w:r w:rsidR="001B2AF3">
        <w:rPr>
          <w:iCs/>
        </w:rPr>
        <w:t xml:space="preserve">Univerzum objektivního smyslu produkované ve světě odpovídá svou racionalitou vůli </w:t>
      </w:r>
      <w:r w:rsidR="001A5121">
        <w:rPr>
          <w:iCs/>
        </w:rPr>
        <w:t xml:space="preserve">božského </w:t>
      </w:r>
      <w:r w:rsidR="001B2AF3">
        <w:rPr>
          <w:iCs/>
        </w:rPr>
        <w:t>tvůrce, která je substančně intimní a svobodná.</w:t>
      </w:r>
      <w:r w:rsidR="00E57CE5">
        <w:rPr>
          <w:szCs w:val="27"/>
          <w:shd w:val="clear" w:color="auto" w:fill="FFFFFF"/>
        </w:rPr>
        <w:t xml:space="preserve"> </w:t>
      </w:r>
      <w:r w:rsidR="001B2AF3">
        <w:rPr>
          <w:szCs w:val="27"/>
          <w:shd w:val="clear" w:color="auto" w:fill="FFFFFF"/>
        </w:rPr>
        <w:t>Skrze moderní vůli jako iracionální jsoucno třetího druhu dostal nihilismus latinského Západu svou epochální fakticitu</w:t>
      </w:r>
      <w:r w:rsidR="00C212E1">
        <w:rPr>
          <w:szCs w:val="27"/>
          <w:shd w:val="clear" w:color="auto" w:fill="FFFFFF"/>
        </w:rPr>
        <w:t>. K</w:t>
      </w:r>
      <w:r w:rsidR="001B2AF3">
        <w:rPr>
          <w:szCs w:val="27"/>
          <w:shd w:val="clear" w:color="auto" w:fill="FFFFFF"/>
        </w:rPr>
        <w:t xml:space="preserve">apitalistický subjekt začal postmoderní kruciátu v modu </w:t>
      </w:r>
      <w:r w:rsidR="001B2AF3" w:rsidRPr="08D53FFC">
        <w:rPr>
          <w:i/>
          <w:szCs w:val="27"/>
          <w:shd w:val="clear" w:color="auto" w:fill="FFFFFF"/>
        </w:rPr>
        <w:t>dativus auctoris</w:t>
      </w:r>
      <w:r w:rsidR="001B2AF3">
        <w:rPr>
          <w:i/>
          <w:szCs w:val="27"/>
          <w:shd w:val="clear" w:color="auto" w:fill="FFFFFF"/>
        </w:rPr>
        <w:fldChar w:fldCharType="begin"/>
      </w:r>
      <w:r w:rsidR="001B2AF3">
        <w:instrText xml:space="preserve"> XE "</w:instrText>
      </w:r>
      <w:r w:rsidR="001B2AF3" w:rsidRPr="08E95825">
        <w:rPr>
          <w:i/>
          <w:szCs w:val="27"/>
          <w:shd w:val="clear" w:color="auto" w:fill="FFFFFF"/>
        </w:rPr>
        <w:instrText>dativus auctoris</w:instrText>
      </w:r>
      <w:r w:rsidR="001B2AF3">
        <w:instrText xml:space="preserve">" </w:instrText>
      </w:r>
      <w:r w:rsidR="001B2AF3">
        <w:rPr>
          <w:i/>
          <w:szCs w:val="27"/>
          <w:shd w:val="clear" w:color="auto" w:fill="FFFFFF"/>
        </w:rPr>
        <w:fldChar w:fldCharType="end"/>
      </w:r>
      <w:r w:rsidR="001B2AF3">
        <w:rPr>
          <w:szCs w:val="27"/>
          <w:shd w:val="clear" w:color="auto" w:fill="FFFFFF"/>
        </w:rPr>
        <w:t xml:space="preserve">. </w:t>
      </w:r>
      <w:r w:rsidR="00D020AE">
        <w:rPr>
          <w:iCs/>
        </w:rPr>
        <w:t>Smysl</w:t>
      </w:r>
      <w:r w:rsidR="001B2AF3" w:rsidRPr="00273106">
        <w:rPr>
          <w:iCs/>
        </w:rPr>
        <w:t xml:space="preserve"> jsoucna </w:t>
      </w:r>
      <w:r w:rsidR="00D020AE">
        <w:rPr>
          <w:iCs/>
        </w:rPr>
        <w:t xml:space="preserve">dostal význam v modu </w:t>
      </w:r>
      <w:r w:rsidR="001B2AF3" w:rsidRPr="00273106">
        <w:rPr>
          <w:i/>
          <w:iCs/>
        </w:rPr>
        <w:t>absolute</w:t>
      </w:r>
      <w:r w:rsidR="001B2AF3">
        <w:rPr>
          <w:i/>
          <w:iCs/>
        </w:rPr>
        <w:fldChar w:fldCharType="begin"/>
      </w:r>
      <w:r w:rsidR="001B2AF3">
        <w:instrText xml:space="preserve"> XE "</w:instrText>
      </w:r>
      <w:r w:rsidR="001B2AF3" w:rsidRPr="00203478">
        <w:rPr>
          <w:iCs/>
        </w:rPr>
        <w:instrText>predikace:modus</w:instrText>
      </w:r>
      <w:r w:rsidR="001B2AF3" w:rsidRPr="00C01482">
        <w:rPr>
          <w:i/>
          <w:iCs/>
        </w:rPr>
        <w:instrText xml:space="preserve"> absolute</w:instrText>
      </w:r>
      <w:r w:rsidR="001B2AF3">
        <w:instrText xml:space="preserve">" </w:instrText>
      </w:r>
      <w:r w:rsidR="001B2AF3">
        <w:rPr>
          <w:i/>
          <w:iCs/>
        </w:rPr>
        <w:fldChar w:fldCharType="end"/>
      </w:r>
      <w:r w:rsidR="00D020AE">
        <w:rPr>
          <w:iCs/>
        </w:rPr>
        <w:t xml:space="preserve">. Diference </w:t>
      </w:r>
      <w:r w:rsidR="00D020AE" w:rsidRPr="00D020AE">
        <w:t xml:space="preserve">mezi substancí vůle a její akcidentální vůlí pochází z intimity svobodné vůle, která je jako substance třetího druhu zcela oddělena od ostatního stvoření. </w:t>
      </w:r>
      <w:r w:rsidR="00291EB0" w:rsidRPr="00291EB0">
        <w:t xml:space="preserve">Tento druh moderní vůle založil kauzalitu založenou na svobodě, která generuje demiurgickou činnost </w:t>
      </w:r>
      <w:r w:rsidR="00291EB0" w:rsidRPr="00291EB0">
        <w:rPr>
          <w:i/>
          <w:iCs/>
        </w:rPr>
        <w:t>ex nihilo</w:t>
      </w:r>
      <w:r w:rsidR="00291EB0">
        <w:rPr>
          <w:i/>
        </w:rPr>
        <w:fldChar w:fldCharType="begin"/>
      </w:r>
      <w:r w:rsidR="00291EB0">
        <w:instrText xml:space="preserve"> XE "</w:instrText>
      </w:r>
      <w:r w:rsidR="00291EB0" w:rsidRPr="000A1482">
        <w:rPr>
          <w:i/>
        </w:rPr>
        <w:instrText>creatio ex nihilo</w:instrText>
      </w:r>
      <w:r w:rsidR="00291EB0">
        <w:instrText xml:space="preserve">" </w:instrText>
      </w:r>
      <w:r w:rsidR="00291EB0">
        <w:rPr>
          <w:i/>
        </w:rPr>
        <w:fldChar w:fldCharType="end"/>
      </w:r>
      <w:r w:rsidR="00291EB0" w:rsidRPr="00291EB0">
        <w:t xml:space="preserve">. </w:t>
      </w:r>
      <w:r w:rsidR="0005204C">
        <w:t>Modus „</w:t>
      </w:r>
      <w:r w:rsidR="0005204C" w:rsidRPr="0005204C">
        <w:rPr>
          <w:i/>
          <w:iCs/>
        </w:rPr>
        <w:t>ipse</w:t>
      </w:r>
      <w:r w:rsidR="0005204C">
        <w:t>“</w:t>
      </w:r>
      <w:r w:rsidR="0005204C" w:rsidRPr="0005204C">
        <w:t xml:space="preserve"> n</w:t>
      </w:r>
      <w:r w:rsidR="0005204C">
        <w:t>áleží hypostáz</w:t>
      </w:r>
      <w:r w:rsidR="0005204C" w:rsidRPr="0005204C">
        <w:t xml:space="preserve">ované vůli absolutním způsobem, </w:t>
      </w:r>
      <w:r w:rsidR="0005204C" w:rsidRPr="0005204C">
        <w:lastRenderedPageBreak/>
        <w:t xml:space="preserve">protože intimita svobody tvoří substanciální povahu vůle, která je umístěna mimo konkrétní akty </w:t>
      </w:r>
      <w:r w:rsidR="0005204C" w:rsidRPr="0005204C">
        <w:rPr>
          <w:i/>
          <w:iCs/>
        </w:rPr>
        <w:t>volitio</w:t>
      </w:r>
      <w:r w:rsidR="0005204C" w:rsidRPr="0005204C">
        <w:t xml:space="preserve">. </w:t>
      </w:r>
      <w:r w:rsidR="00B9652C">
        <w:t xml:space="preserve">Vůle se stala novou substancí třetího druhu v člověku a založila nihilistickou formu západního subjektu. </w:t>
      </w:r>
      <w:r w:rsidR="0005204C" w:rsidRPr="0005204C">
        <w:t xml:space="preserve">Tento druh moderní vůle zakládá kauzalitu založenou na svobodě, která generuje demiurgickou činnost </w:t>
      </w:r>
      <w:r w:rsidR="0005204C" w:rsidRPr="0005204C">
        <w:rPr>
          <w:i/>
          <w:iCs/>
        </w:rPr>
        <w:t>ex nihilo</w:t>
      </w:r>
      <w:r w:rsidR="0005204C" w:rsidRPr="0005204C">
        <w:t xml:space="preserve">. Moderna nalezla archimédovský bod, odkud začaly nové dějiny světa bez testamentu převzatého z předchozích epoch. </w:t>
      </w:r>
      <w:r w:rsidR="001B2AF3">
        <w:t>Nová metafyzika vůle</w:t>
      </w:r>
      <w:r w:rsidR="00397396">
        <w:t xml:space="preserve"> byla vyvázána z panství rozumu</w:t>
      </w:r>
      <w:r w:rsidR="00BC1AF5">
        <w:t xml:space="preserve"> a m</w:t>
      </w:r>
      <w:r w:rsidR="001B2AF3">
        <w:t>oderní demiurg se stal objektivně iracioná</w:t>
      </w:r>
      <w:r w:rsidR="007F738D">
        <w:t>lním schizofrenickým subjektem.</w:t>
      </w:r>
    </w:p>
    <w:p w:rsidR="00C879D2" w:rsidRDefault="001B2AF3" w:rsidP="00C879D2">
      <w:pPr>
        <w:ind w:firstLine="397"/>
        <w:rPr>
          <w:rStyle w:val="Zkladntext158dkovn0pt"/>
          <w:color w:val="auto"/>
          <w:spacing w:val="0"/>
          <w:sz w:val="24"/>
          <w:szCs w:val="20"/>
          <w:shd w:val="clear" w:color="auto" w:fill="auto"/>
          <w:lang w:val="cs-CZ"/>
        </w:rPr>
      </w:pPr>
      <w:r>
        <w:t xml:space="preserve">Na </w:t>
      </w:r>
      <w:r w:rsidR="00E57CE5">
        <w:t>Pařížské univerzitě</w:t>
      </w:r>
      <w:r>
        <w:t xml:space="preserve"> šlo hlásat podobné teorie až po roce 1250, protože pro myslitele typu Albert</w:t>
      </w:r>
      <w:r w:rsidR="007F738D">
        <w:t>a a Bacona představovaly nauky m</w:t>
      </w:r>
      <w:r>
        <w:t xml:space="preserve">oderních čisté šílenství. Ale objektivní paranoia </w:t>
      </w:r>
      <w:r w:rsidRPr="085944C0">
        <w:rPr>
          <w:i/>
        </w:rPr>
        <w:t>Modernorum</w:t>
      </w:r>
      <w:r>
        <w:t xml:space="preserve"> se stala pod vedením pilných Fúrií běžnou akademickou normou. </w:t>
      </w:r>
      <w:r w:rsidR="00AE77EE">
        <w:t>Olivi je prvním subjektivním modernistou, který odmítl definici vůle v modu praktického intelektu. Moderní vůle se stala jinou bytostí třetího druhu. Vůle se stala novou substancí a na nejvyšší úrovni, protože Oliviho primát vnitřní svobodné vůle nahradil primát aristotelského intelektu. V aristotelismu jde o kauzální extenzi univerzálního, a tedy pouze potenciálního praktického intelektu do reality, přičemž teoretický intelekt působí singulárně-kauzálně prostřednictvím vůle (</w:t>
      </w:r>
      <w:r w:rsidR="00AE77EE" w:rsidRPr="00AE77EE">
        <w:rPr>
          <w:i/>
        </w:rPr>
        <w:t>extensione practicus</w:t>
      </w:r>
      <w:r w:rsidR="00AE77EE">
        <w:t>). Olivi vz</w:t>
      </w:r>
      <w:r w:rsidR="00DB4D91">
        <w:t>táhl</w:t>
      </w:r>
      <w:r w:rsidR="00AE77EE">
        <w:t xml:space="preserve"> aristotelskou vůli určenou intelektem pouze k</w:t>
      </w:r>
      <w:r w:rsidR="00DB4D91">
        <w:t>e</w:t>
      </w:r>
      <w:r w:rsidR="00AE77EE">
        <w:t xml:space="preserve"> druhé fázi volby. Intelekt určuje vůli až sekundárně s ohledem na to či ono poznané dobro, které vůle považuje za předmět volby (</w:t>
      </w:r>
      <w:r w:rsidR="00AE77EE" w:rsidRPr="00DB4D91">
        <w:rPr>
          <w:i/>
        </w:rPr>
        <w:t>electio</w:t>
      </w:r>
      <w:r w:rsidR="00AE77EE">
        <w:t>). Olivi</w:t>
      </w:r>
      <w:r w:rsidR="00DB4D91">
        <w:t>ho</w:t>
      </w:r>
      <w:r w:rsidR="00AE77EE">
        <w:t xml:space="preserve"> vůle je absolutně iracionální v objektivním modu, který je dán oddělením </w:t>
      </w:r>
      <w:r w:rsidR="00DB4D91">
        <w:t xml:space="preserve">od </w:t>
      </w:r>
      <w:r w:rsidR="00AE77EE">
        <w:t xml:space="preserve">Aristotelova praktického intelektu. Praktický intelekt určuje vůli v metafyzickém modu </w:t>
      </w:r>
      <w:r w:rsidR="00AE77EE" w:rsidRPr="00DB4D91">
        <w:rPr>
          <w:i/>
        </w:rPr>
        <w:t>per prius</w:t>
      </w:r>
      <w:r w:rsidR="00AE77EE">
        <w:t xml:space="preserve">. Metafyzika vůle </w:t>
      </w:r>
      <w:r w:rsidR="00DB4D91">
        <w:t>začala vidět svět v</w:t>
      </w:r>
      <w:r w:rsidR="00AE77EE">
        <w:t xml:space="preserve"> rámci schizofrenního pojetí osoby daného </w:t>
      </w:r>
      <w:r w:rsidR="00A82DB6">
        <w:t xml:space="preserve">pluralitou substancí v člověku. Oliviho vůle se stala další substancí třetího druhu a podstatně rozmnožila podivuhodnou sbírku moderních hypostází zvanou „člověk“. </w:t>
      </w:r>
      <w:r w:rsidR="00A82DB6" w:rsidRPr="00AB7859">
        <w:t>Církevní instituce začaly toto rychlé množení substancí v sofistikovaně pojaté osobě</w:t>
      </w:r>
      <w:r w:rsidR="00A82DB6">
        <w:fldChar w:fldCharType="begin"/>
      </w:r>
      <w:r w:rsidR="00A82DB6">
        <w:instrText xml:space="preserve"> XE "</w:instrText>
      </w:r>
      <w:r w:rsidR="00A82DB6" w:rsidRPr="00D919A0">
        <w:instrText>osoba:pluralita substancí</w:instrText>
      </w:r>
      <w:r w:rsidR="00A82DB6">
        <w:instrText xml:space="preserve">" </w:instrText>
      </w:r>
      <w:r w:rsidR="00A82DB6">
        <w:fldChar w:fldCharType="end"/>
      </w:r>
      <w:r w:rsidR="00A82DB6" w:rsidRPr="00AB7859">
        <w:t xml:space="preserve"> a</w:t>
      </w:r>
      <w:r w:rsidR="00A82DB6">
        <w:t xml:space="preserve"> množení </w:t>
      </w:r>
      <w:r w:rsidR="00A82DB6" w:rsidRPr="00AB7859">
        <w:rPr>
          <w:i/>
          <w:iCs/>
        </w:rPr>
        <w:t>tertium ens</w:t>
      </w:r>
      <w:r w:rsidR="00A82DB6" w:rsidRPr="00AB7859">
        <w:t xml:space="preserve"> </w:t>
      </w:r>
      <w:r w:rsidR="00A82DB6">
        <w:t xml:space="preserve">ve světě </w:t>
      </w:r>
      <w:r w:rsidR="00A82DB6" w:rsidRPr="00AB7859">
        <w:t xml:space="preserve">přijímat s velkou nevolí. </w:t>
      </w:r>
      <w:r w:rsidR="00BA548E">
        <w:t xml:space="preserve">Františkán </w:t>
      </w:r>
      <w:r w:rsidR="00BA548E" w:rsidRPr="00273106">
        <w:t>Aquasparta</w:t>
      </w:r>
      <w:r w:rsidR="00BA548E">
        <w:fldChar w:fldCharType="begin"/>
      </w:r>
      <w:r w:rsidR="00BA548E">
        <w:instrText xml:space="preserve"> XE "</w:instrText>
      </w:r>
      <w:r w:rsidR="00BA548E" w:rsidRPr="003B1826">
        <w:instrText>Aquasparta, M.</w:instrText>
      </w:r>
      <w:r w:rsidR="00BA548E">
        <w:instrText xml:space="preserve">" </w:instrText>
      </w:r>
      <w:r w:rsidR="00BA548E">
        <w:fldChar w:fldCharType="end"/>
      </w:r>
      <w:r w:rsidR="00BA548E" w:rsidRPr="00273106">
        <w:t xml:space="preserve"> musel zatáhnout za brzdu </w:t>
      </w:r>
      <w:r w:rsidR="00BA548E">
        <w:t>od roku 1280, kdy se stal v Římě hlavním papežským teologiem po Pechamovi (</w:t>
      </w:r>
      <w:r w:rsidR="00BA548E">
        <w:rPr>
          <w:i/>
          <w:iCs/>
        </w:rPr>
        <w:t>Lector sacri Palatii apostolici</w:t>
      </w:r>
      <w:r w:rsidR="00BA548E">
        <w:t xml:space="preserve">). Tento modernista se snažil </w:t>
      </w:r>
      <w:r w:rsidR="00BA548E" w:rsidRPr="00273106">
        <w:t xml:space="preserve">vrátit </w:t>
      </w:r>
      <w:r w:rsidR="00BA548E">
        <w:t xml:space="preserve">akademické ilumináty </w:t>
      </w:r>
      <w:r w:rsidR="00BA548E" w:rsidRPr="00273106">
        <w:t>od fikcí „létajího muže</w:t>
      </w:r>
      <w:r w:rsidR="00BA548E">
        <w:fldChar w:fldCharType="begin"/>
      </w:r>
      <w:r w:rsidR="00BA548E">
        <w:instrText xml:space="preserve"> XE "</w:instrText>
      </w:r>
      <w:r w:rsidR="00BA548E" w:rsidRPr="00CB049B">
        <w:instrText>létající muž</w:instrText>
      </w:r>
      <w:r w:rsidR="00BA548E">
        <w:instrText xml:space="preserve">" </w:instrText>
      </w:r>
      <w:r w:rsidR="00BA548E">
        <w:fldChar w:fldCharType="end"/>
      </w:r>
      <w:r w:rsidR="00BA548E" w:rsidRPr="00273106">
        <w:t>“ zpět do reality první substance.</w:t>
      </w:r>
      <w:r w:rsidR="00BA548E">
        <w:t xml:space="preserve"> </w:t>
      </w:r>
      <w:r>
        <w:t xml:space="preserve">Oliviho napadli dokonce i františkáni z řad druhého averroismu a </w:t>
      </w:r>
      <w:r w:rsidRPr="00273106">
        <w:rPr>
          <w:iCs/>
        </w:rPr>
        <w:t xml:space="preserve">byl </w:t>
      </w:r>
      <w:r>
        <w:rPr>
          <w:iCs/>
        </w:rPr>
        <w:t xml:space="preserve">posmrtně </w:t>
      </w:r>
      <w:r w:rsidRPr="00273106">
        <w:rPr>
          <w:iCs/>
        </w:rPr>
        <w:t>odsouzen</w:t>
      </w:r>
      <w:r>
        <w:rPr>
          <w:iCs/>
        </w:rPr>
        <w:t>. J</w:t>
      </w:r>
      <w:r w:rsidRPr="00273106">
        <w:rPr>
          <w:iCs/>
        </w:rPr>
        <w:t xml:space="preserve">eho multiplikace substancí v člověku </w:t>
      </w:r>
      <w:r>
        <w:rPr>
          <w:iCs/>
        </w:rPr>
        <w:t>obohacená o substančně oddělenou</w:t>
      </w:r>
      <w:r w:rsidRPr="00273106">
        <w:rPr>
          <w:iCs/>
        </w:rPr>
        <w:t xml:space="preserve"> vůli nebyla přijata</w:t>
      </w:r>
      <w:r>
        <w:rPr>
          <w:iCs/>
        </w:rPr>
        <w:t xml:space="preserve"> oficiální teologií tomistických modern</w:t>
      </w:r>
      <w:r w:rsidR="007F738D">
        <w:rPr>
          <w:iCs/>
        </w:rPr>
        <w:t>istů vedených Aegidiem Romanem.</w:t>
      </w:r>
      <w:r w:rsidR="00D1308C">
        <w:rPr>
          <w:iCs/>
        </w:rPr>
        <w:t xml:space="preserve"> </w:t>
      </w:r>
      <w:r w:rsidR="00D1308C">
        <w:t xml:space="preserve">Oficiální církevní </w:t>
      </w:r>
      <w:r w:rsidR="00D1308C" w:rsidRPr="00273106">
        <w:lastRenderedPageBreak/>
        <w:t>l</w:t>
      </w:r>
      <w:r w:rsidR="00D1308C">
        <w:rPr>
          <w:iCs/>
        </w:rPr>
        <w:t xml:space="preserve">íbánky s </w:t>
      </w:r>
      <w:r w:rsidR="00D1308C" w:rsidRPr="00273106">
        <w:rPr>
          <w:iCs/>
        </w:rPr>
        <w:t xml:space="preserve">modernou </w:t>
      </w:r>
      <w:r w:rsidR="00D1308C">
        <w:rPr>
          <w:iCs/>
        </w:rPr>
        <w:t xml:space="preserve">dané od pařížského odsouzení 1277 </w:t>
      </w:r>
      <w:r w:rsidR="00D1308C" w:rsidRPr="00273106">
        <w:rPr>
          <w:iCs/>
        </w:rPr>
        <w:t xml:space="preserve">trvaly </w:t>
      </w:r>
      <w:r w:rsidR="00D1308C">
        <w:rPr>
          <w:iCs/>
        </w:rPr>
        <w:t xml:space="preserve">pouze </w:t>
      </w:r>
      <w:r w:rsidR="00D1308C" w:rsidRPr="00273106">
        <w:rPr>
          <w:iCs/>
        </w:rPr>
        <w:t>do V</w:t>
      </w:r>
      <w:r w:rsidR="00D1308C">
        <w:rPr>
          <w:iCs/>
        </w:rPr>
        <w:t xml:space="preserve">iennského </w:t>
      </w:r>
      <w:r w:rsidR="00D1308C" w:rsidRPr="00273106">
        <w:rPr>
          <w:iCs/>
        </w:rPr>
        <w:t>koncilu</w:t>
      </w:r>
      <w:r w:rsidR="00D1308C">
        <w:rPr>
          <w:iCs/>
        </w:rPr>
        <w:fldChar w:fldCharType="begin"/>
      </w:r>
      <w:r w:rsidR="00D1308C">
        <w:instrText xml:space="preserve"> XE "</w:instrText>
      </w:r>
      <w:r w:rsidR="00D1308C" w:rsidRPr="00D22E89">
        <w:rPr>
          <w:iCs/>
        </w:rPr>
        <w:instrText>koncil</w:instrText>
      </w:r>
      <w:r w:rsidR="00D1308C">
        <w:rPr>
          <w:iCs/>
        </w:rPr>
        <w:instrText>:</w:instrText>
      </w:r>
      <w:r w:rsidR="00D1308C" w:rsidRPr="00273106">
        <w:rPr>
          <w:iCs/>
        </w:rPr>
        <w:instrText>V</w:instrText>
      </w:r>
      <w:r w:rsidR="00D1308C">
        <w:rPr>
          <w:iCs/>
        </w:rPr>
        <w:instrText>iennský</w:instrText>
      </w:r>
      <w:r w:rsidR="00D1308C">
        <w:instrText xml:space="preserve">" </w:instrText>
      </w:r>
      <w:r w:rsidR="00D1308C">
        <w:rPr>
          <w:iCs/>
        </w:rPr>
        <w:fldChar w:fldCharType="end"/>
      </w:r>
      <w:r w:rsidR="00D1308C" w:rsidRPr="00273106">
        <w:rPr>
          <w:iCs/>
        </w:rPr>
        <w:t xml:space="preserve"> </w:t>
      </w:r>
      <w:r w:rsidR="00D1308C">
        <w:rPr>
          <w:iCs/>
        </w:rPr>
        <w:t>(</w:t>
      </w:r>
      <w:r w:rsidR="00D1308C" w:rsidRPr="00273106">
        <w:rPr>
          <w:iCs/>
        </w:rPr>
        <w:t>1312</w:t>
      </w:r>
      <w:r w:rsidR="00D1308C">
        <w:rPr>
          <w:iCs/>
        </w:rPr>
        <w:t xml:space="preserve">). Pak </w:t>
      </w:r>
      <w:r w:rsidR="00D1308C" w:rsidRPr="00273106">
        <w:rPr>
          <w:iCs/>
        </w:rPr>
        <w:t xml:space="preserve">byla pluralita substancí opětně konfrontována s principem duše jako entelechické formy zakládající jednotu osoby. </w:t>
      </w:r>
      <w:r w:rsidR="00D1308C">
        <w:rPr>
          <w:iCs/>
        </w:rPr>
        <w:t xml:space="preserve">Ale to již bylo poté, co první a druhý averroismus odešel do epochální </w:t>
      </w:r>
      <w:r w:rsidR="00594E30" w:rsidRPr="00594E30">
        <w:rPr>
          <w:iCs/>
        </w:rPr>
        <w:t>Léthé</w:t>
      </w:r>
      <w:r w:rsidR="00D1308C">
        <w:rPr>
          <w:iCs/>
        </w:rPr>
        <w:t xml:space="preserve"> a kdy moderna definitivně zvítězila skrze objektivní tomismus a scotismus. </w:t>
      </w:r>
      <w:r w:rsidR="00D95B28">
        <w:rPr>
          <w:rStyle w:val="Zkladntext158dkovn0pt"/>
          <w:color w:val="auto"/>
          <w:spacing w:val="0"/>
          <w:sz w:val="24"/>
          <w:lang w:val="cs-CZ"/>
        </w:rPr>
        <w:t xml:space="preserve">Nejprve zmizela osoba, pak bůh </w:t>
      </w:r>
      <w:r w:rsidR="00D95B28" w:rsidRPr="088709AC">
        <w:rPr>
          <w:rStyle w:val="Zkladntext158dkovn0pt"/>
          <w:i/>
          <w:color w:val="auto"/>
          <w:spacing w:val="0"/>
          <w:sz w:val="24"/>
          <w:lang w:val="cs-CZ"/>
        </w:rPr>
        <w:t>Modernorum</w:t>
      </w:r>
      <w:r w:rsidR="00D95B28">
        <w:rPr>
          <w:rStyle w:val="Zkladntext158dkovn0pt"/>
          <w:color w:val="auto"/>
          <w:spacing w:val="0"/>
          <w:sz w:val="24"/>
          <w:lang w:val="cs-CZ"/>
        </w:rPr>
        <w:t xml:space="preserve"> a nyní ve hře metafor zmizel i západní subjekt.</w:t>
      </w:r>
    </w:p>
    <w:p w:rsidR="009153AB" w:rsidRDefault="00275E49" w:rsidP="009153AB">
      <w:pPr>
        <w:ind w:firstLine="397"/>
      </w:pPr>
      <w:r>
        <w:rPr>
          <w:lang w:eastAsia="en-US"/>
        </w:rPr>
        <w:t xml:space="preserve">Trojúhelník dějinnosti, dějin a historie musí v závěru ukázat </w:t>
      </w:r>
      <w:r w:rsidRPr="08370CA0">
        <w:rPr>
          <w:i/>
          <w:lang w:eastAsia="en-US"/>
        </w:rPr>
        <w:t>dativus modi</w:t>
      </w:r>
      <w:r>
        <w:rPr>
          <w:i/>
          <w:lang w:eastAsia="en-US"/>
        </w:rPr>
        <w:fldChar w:fldCharType="begin"/>
      </w:r>
      <w:r>
        <w:instrText xml:space="preserve"> XE "</w:instrText>
      </w:r>
      <w:r w:rsidRPr="08AE7CF4">
        <w:rPr>
          <w:i/>
          <w:lang w:eastAsia="en-US"/>
        </w:rPr>
        <w:instrText>dativus modi</w:instrText>
      </w:r>
      <w:r>
        <w:instrText xml:space="preserve">" </w:instrText>
      </w:r>
      <w:r>
        <w:rPr>
          <w:i/>
          <w:lang w:eastAsia="en-US"/>
        </w:rPr>
        <w:fldChar w:fldCharType="end"/>
      </w:r>
      <w:r>
        <w:rPr>
          <w:lang w:eastAsia="en-US"/>
        </w:rPr>
        <w:t xml:space="preserve"> </w:t>
      </w:r>
      <w:r w:rsidR="00093D2E">
        <w:rPr>
          <w:lang w:eastAsia="en-US"/>
        </w:rPr>
        <w:t xml:space="preserve">vázaný na objektivní </w:t>
      </w:r>
      <w:r w:rsidR="00093D2E" w:rsidRPr="00093D2E">
        <w:rPr>
          <w:i/>
          <w:lang w:eastAsia="en-US"/>
        </w:rPr>
        <w:t>veritas</w:t>
      </w:r>
      <w:r w:rsidR="00093D2E">
        <w:rPr>
          <w:lang w:eastAsia="en-US"/>
        </w:rPr>
        <w:t xml:space="preserve"> </w:t>
      </w:r>
      <w:r>
        <w:rPr>
          <w:lang w:eastAsia="en-US"/>
        </w:rPr>
        <w:t xml:space="preserve">historických faktů. </w:t>
      </w:r>
      <w:r w:rsidR="00093D2E">
        <w:rPr>
          <w:lang w:eastAsia="en-US"/>
        </w:rPr>
        <w:t xml:space="preserve">Z hlediska </w:t>
      </w:r>
      <w:r w:rsidR="00093D2E" w:rsidRPr="00093D2E">
        <w:rPr>
          <w:i/>
          <w:lang w:eastAsia="en-US"/>
        </w:rPr>
        <w:t>alétheia</w:t>
      </w:r>
      <w:r w:rsidR="00093D2E">
        <w:rPr>
          <w:lang w:eastAsia="en-US"/>
        </w:rPr>
        <w:t xml:space="preserve"> jde o falešnou formu dějinnosti podanou skrze subjektivně pojatou vůli k moci, kterou manažují akademické Fúrie. </w:t>
      </w:r>
      <w:r w:rsidR="00BE1294">
        <w:rPr>
          <w:lang w:eastAsia="en-US"/>
        </w:rPr>
        <w:t xml:space="preserve">Dějiny filosofie </w:t>
      </w:r>
      <w:r w:rsidR="00093D2E">
        <w:rPr>
          <w:lang w:eastAsia="en-US"/>
        </w:rPr>
        <w:t>dostal</w:t>
      </w:r>
      <w:r w:rsidR="00BE1294">
        <w:rPr>
          <w:lang w:eastAsia="en-US"/>
        </w:rPr>
        <w:t>y</w:t>
      </w:r>
      <w:r w:rsidR="00093D2E">
        <w:rPr>
          <w:lang w:eastAsia="en-US"/>
        </w:rPr>
        <w:t xml:space="preserve"> </w:t>
      </w:r>
      <w:r w:rsidR="00BE1294">
        <w:rPr>
          <w:lang w:eastAsia="en-US"/>
        </w:rPr>
        <w:t>subjektivně pojaté simulákrum</w:t>
      </w:r>
      <w:r w:rsidR="00093D2E">
        <w:rPr>
          <w:lang w:eastAsia="en-US"/>
        </w:rPr>
        <w:t xml:space="preserve"> vytvořené skrze moderní </w:t>
      </w:r>
      <w:r w:rsidR="00093D2E" w:rsidRPr="00093D2E">
        <w:rPr>
          <w:i/>
          <w:lang w:eastAsia="en-US"/>
        </w:rPr>
        <w:t>Wirkungsgeschichte</w:t>
      </w:r>
      <w:r w:rsidR="00093D2E">
        <w:rPr>
          <w:lang w:eastAsia="en-US"/>
        </w:rPr>
        <w:t xml:space="preserve"> založené na působení </w:t>
      </w:r>
      <w:r w:rsidR="00093D2E" w:rsidRPr="00093D2E">
        <w:rPr>
          <w:i/>
          <w:lang w:eastAsia="en-US"/>
        </w:rPr>
        <w:t>Oxfordian Fallacy</w:t>
      </w:r>
      <w:r w:rsidR="00093D2E">
        <w:rPr>
          <w:lang w:eastAsia="en-US"/>
        </w:rPr>
        <w:t>.</w:t>
      </w:r>
      <w:r w:rsidR="006D3D11">
        <w:rPr>
          <w:lang w:eastAsia="en-US"/>
        </w:rPr>
        <w:t xml:space="preserve"> </w:t>
      </w:r>
      <w:r>
        <w:rPr>
          <w:rStyle w:val="Zkladntext158dkovn0pt"/>
          <w:color w:val="auto"/>
          <w:spacing w:val="0"/>
          <w:sz w:val="24"/>
          <w:lang w:val="cs-CZ"/>
        </w:rPr>
        <w:t>Vítězové sporu uzavřeného roku 1277 vytvořili v modu objektivní mytopoetiky</w:t>
      </w:r>
      <w:r>
        <w:rPr>
          <w:rStyle w:val="Zkladntext158dkovn0pt"/>
          <w:color w:val="auto"/>
          <w:spacing w:val="0"/>
          <w:sz w:val="24"/>
          <w:lang w:val="cs-CZ"/>
        </w:rPr>
        <w:fldChar w:fldCharType="begin"/>
      </w:r>
      <w:r>
        <w:instrText xml:space="preserve"> XE "</w:instrText>
      </w:r>
      <w:r w:rsidRPr="08C8576B">
        <w:rPr>
          <w:rStyle w:val="Zkladntext158dkovn0pt"/>
          <w:color w:val="auto"/>
          <w:spacing w:val="0"/>
          <w:sz w:val="24"/>
          <w:lang w:val="cs-CZ"/>
        </w:rPr>
        <w:instrText>mytopoesis</w:instrText>
      </w:r>
      <w:r>
        <w:instrText xml:space="preserve">" </w:instrText>
      </w:r>
      <w:r>
        <w:rPr>
          <w:rStyle w:val="Zkladntext158dkovn0pt"/>
          <w:color w:val="auto"/>
          <w:spacing w:val="0"/>
          <w:sz w:val="24"/>
          <w:lang w:val="cs-CZ"/>
        </w:rPr>
        <w:fldChar w:fldCharType="end"/>
      </w:r>
      <w:r>
        <w:rPr>
          <w:rStyle w:val="Zkladntext158dkovn0pt"/>
          <w:color w:val="auto"/>
          <w:spacing w:val="0"/>
          <w:sz w:val="24"/>
          <w:lang w:val="cs-CZ"/>
        </w:rPr>
        <w:t xml:space="preserve"> globálně tradovanou a akceptovanou historii svého sporu se sekulárními magistry z Rue du Fouarre. Modernisté uvalili na poraženou stranu </w:t>
      </w:r>
      <w:r w:rsidRPr="00F72C25">
        <w:rPr>
          <w:rStyle w:val="Zkladntext158dkovn0pt"/>
          <w:i/>
          <w:color w:val="auto"/>
          <w:spacing w:val="0"/>
          <w:sz w:val="24"/>
          <w:lang w:val="cs-CZ"/>
        </w:rPr>
        <w:t>damnatio memoriae</w:t>
      </w:r>
      <w:r>
        <w:rPr>
          <w:rStyle w:val="Zkladntext158dkovn0pt"/>
          <w:i/>
          <w:color w:val="auto"/>
          <w:spacing w:val="0"/>
          <w:sz w:val="24"/>
          <w:lang w:val="cs-CZ"/>
        </w:rPr>
        <w:fldChar w:fldCharType="begin"/>
      </w:r>
      <w:r>
        <w:instrText xml:space="preserve"> XE "</w:instrText>
      </w:r>
      <w:r w:rsidRPr="00B922A3">
        <w:rPr>
          <w:rStyle w:val="Zkladntext158dkovn0pt"/>
          <w:i/>
          <w:color w:val="auto"/>
          <w:spacing w:val="0"/>
          <w:sz w:val="24"/>
          <w:lang w:val="cs-CZ"/>
        </w:rPr>
        <w:instrText>damnatio memoriae</w:instrText>
      </w:r>
      <w:r>
        <w:instrText xml:space="preserve">" </w:instrText>
      </w:r>
      <w:r>
        <w:rPr>
          <w:rStyle w:val="Zkladntext158dkovn0pt"/>
          <w:i/>
          <w:color w:val="auto"/>
          <w:spacing w:val="0"/>
          <w:sz w:val="24"/>
          <w:lang w:val="cs-CZ"/>
        </w:rPr>
        <w:fldChar w:fldCharType="end"/>
      </w:r>
      <w:r>
        <w:rPr>
          <w:rStyle w:val="Zkladntext158dkovn0pt"/>
          <w:color w:val="auto"/>
          <w:spacing w:val="0"/>
          <w:sz w:val="24"/>
          <w:lang w:val="cs-CZ"/>
        </w:rPr>
        <w:t xml:space="preserve"> a v obranném modu </w:t>
      </w:r>
      <w:r w:rsidRPr="00F72C25">
        <w:rPr>
          <w:rStyle w:val="Zkladntext158dkovn0pt"/>
          <w:i/>
          <w:color w:val="auto"/>
          <w:spacing w:val="0"/>
          <w:sz w:val="24"/>
          <w:lang w:val="cs-CZ"/>
        </w:rPr>
        <w:t>Verkehrung ins Gege</w:t>
      </w:r>
      <w:r>
        <w:rPr>
          <w:rStyle w:val="Zkladntext158dkovn0pt"/>
          <w:i/>
          <w:color w:val="auto"/>
          <w:spacing w:val="0"/>
          <w:sz w:val="24"/>
          <w:lang w:val="cs-CZ"/>
        </w:rPr>
        <w:t>n</w:t>
      </w:r>
      <w:r w:rsidRPr="00F72C25">
        <w:rPr>
          <w:rStyle w:val="Zkladntext158dkovn0pt"/>
          <w:i/>
          <w:color w:val="auto"/>
          <w:spacing w:val="0"/>
          <w:sz w:val="24"/>
          <w:lang w:val="cs-CZ"/>
        </w:rPr>
        <w:t>teil</w:t>
      </w:r>
      <w:r>
        <w:rPr>
          <w:rStyle w:val="Zkladntext158dkovn0pt"/>
          <w:i/>
          <w:color w:val="auto"/>
          <w:spacing w:val="0"/>
          <w:sz w:val="24"/>
          <w:lang w:val="cs-CZ"/>
        </w:rPr>
        <w:fldChar w:fldCharType="begin"/>
      </w:r>
      <w:r>
        <w:instrText xml:space="preserve"> XE "</w:instrText>
      </w:r>
      <w:r w:rsidRPr="003D36F0">
        <w:rPr>
          <w:rStyle w:val="Zkladntext158dkovn0pt"/>
          <w:i/>
          <w:color w:val="auto"/>
          <w:spacing w:val="0"/>
          <w:sz w:val="24"/>
          <w:lang w:val="cs-CZ"/>
        </w:rPr>
        <w:instrText>Verkehrung ins Gegenteil</w:instrText>
      </w:r>
      <w:r>
        <w:instrText xml:space="preserve">" </w:instrText>
      </w:r>
      <w:r>
        <w:rPr>
          <w:rStyle w:val="Zkladntext158dkovn0pt"/>
          <w:i/>
          <w:color w:val="auto"/>
          <w:spacing w:val="0"/>
          <w:sz w:val="24"/>
          <w:lang w:val="cs-CZ"/>
        </w:rPr>
        <w:fldChar w:fldCharType="end"/>
      </w:r>
      <w:r>
        <w:rPr>
          <w:rStyle w:val="Zkladntext158dkovn0pt"/>
          <w:color w:val="auto"/>
          <w:spacing w:val="0"/>
          <w:sz w:val="24"/>
          <w:lang w:val="cs-CZ"/>
        </w:rPr>
        <w:t xml:space="preserve"> promítli svá epochální pochybení </w:t>
      </w:r>
      <w:r w:rsidR="006E6C60">
        <w:rPr>
          <w:rStyle w:val="Zkladntext158dkovn0pt"/>
          <w:color w:val="auto"/>
          <w:spacing w:val="0"/>
          <w:sz w:val="24"/>
          <w:lang w:val="cs-CZ"/>
        </w:rPr>
        <w:t xml:space="preserve">na konto </w:t>
      </w:r>
      <w:r>
        <w:rPr>
          <w:rStyle w:val="Zkladntext158dkovn0pt"/>
          <w:color w:val="auto"/>
          <w:spacing w:val="0"/>
          <w:sz w:val="24"/>
          <w:lang w:val="cs-CZ"/>
        </w:rPr>
        <w:t>poražené strany</w:t>
      </w:r>
      <w:r w:rsidR="009F32DD">
        <w:rPr>
          <w:rStyle w:val="Zkladntext158dkovn0pt"/>
          <w:color w:val="auto"/>
          <w:spacing w:val="0"/>
          <w:sz w:val="24"/>
          <w:lang w:val="cs-CZ"/>
        </w:rPr>
        <w:t xml:space="preserve">. </w:t>
      </w:r>
      <w:r w:rsidR="009F32DD" w:rsidRPr="009F32DD">
        <w:rPr>
          <w:rStyle w:val="Zkladntext158dkovn0pt"/>
          <w:color w:val="auto"/>
          <w:spacing w:val="0"/>
          <w:sz w:val="24"/>
          <w:lang w:val="cs-CZ"/>
        </w:rPr>
        <w:t>Modernisté proměnili korektní a kritické aristoteliky ve z</w:t>
      </w:r>
      <w:r w:rsidR="009F32DD">
        <w:rPr>
          <w:rStyle w:val="Zkladntext158dkovn0pt"/>
          <w:color w:val="auto"/>
          <w:spacing w:val="0"/>
          <w:sz w:val="24"/>
          <w:lang w:val="cs-CZ"/>
        </w:rPr>
        <w:t xml:space="preserve">lomyslné a ďábelské averroisty. </w:t>
      </w:r>
      <w:r w:rsidR="00746EF0" w:rsidRPr="00746EF0">
        <w:rPr>
          <w:rStyle w:val="Zkladntext158dkovn0pt"/>
          <w:color w:val="auto"/>
          <w:spacing w:val="0"/>
          <w:sz w:val="24"/>
          <w:lang w:val="cs-CZ"/>
        </w:rPr>
        <w:t>Gauthierova</w:t>
      </w:r>
      <w:r w:rsidR="002937AF">
        <w:fldChar w:fldCharType="begin"/>
      </w:r>
      <w:r w:rsidR="002937AF">
        <w:instrText xml:space="preserve"> XE "</w:instrText>
      </w:r>
      <w:r w:rsidR="002937AF" w:rsidRPr="00B030E6">
        <w:rPr>
          <w:lang w:eastAsia="en-US"/>
        </w:rPr>
        <w:instrText>Gauthier, A. R.</w:instrText>
      </w:r>
      <w:r w:rsidR="002937AF">
        <w:instrText xml:space="preserve">" </w:instrText>
      </w:r>
      <w:r w:rsidR="002937AF">
        <w:fldChar w:fldCharType="end"/>
      </w:r>
      <w:r w:rsidR="00746EF0" w:rsidRPr="00746EF0">
        <w:rPr>
          <w:rStyle w:val="Zkladntext158dkovn0pt"/>
          <w:color w:val="auto"/>
          <w:spacing w:val="0"/>
          <w:sz w:val="24"/>
          <w:lang w:val="cs-CZ"/>
        </w:rPr>
        <w:t xml:space="preserve"> důležitá studie se zabývá počátkem moderních čarodějnických procesů, které nutně dostaly objektivní </w:t>
      </w:r>
      <w:r w:rsidR="00746EF0">
        <w:rPr>
          <w:rStyle w:val="Zkladntext158dkovn0pt"/>
          <w:color w:val="auto"/>
          <w:spacing w:val="0"/>
          <w:sz w:val="24"/>
          <w:lang w:val="cs-CZ"/>
        </w:rPr>
        <w:t xml:space="preserve">a tudíž moderně-vědecký charakter. Gauthier </w:t>
      </w:r>
      <w:r w:rsidR="00746EF0" w:rsidRPr="00746EF0">
        <w:rPr>
          <w:rStyle w:val="Zkladntext158dkovn0pt"/>
          <w:color w:val="auto"/>
          <w:spacing w:val="0"/>
          <w:sz w:val="24"/>
          <w:lang w:val="cs-CZ"/>
        </w:rPr>
        <w:t xml:space="preserve">odhaluje postupnou démonizaci </w:t>
      </w:r>
      <w:r w:rsidR="00746EF0">
        <w:rPr>
          <w:rStyle w:val="Zkladntext158dkovn0pt"/>
          <w:color w:val="auto"/>
          <w:spacing w:val="0"/>
          <w:sz w:val="24"/>
          <w:lang w:val="cs-CZ"/>
        </w:rPr>
        <w:t>Sigera</w:t>
      </w:r>
      <w:r w:rsidR="00746EF0" w:rsidRPr="00746EF0">
        <w:rPr>
          <w:rStyle w:val="Zkladntext158dkovn0pt"/>
          <w:color w:val="auto"/>
          <w:spacing w:val="0"/>
          <w:sz w:val="24"/>
          <w:lang w:val="cs-CZ"/>
        </w:rPr>
        <w:t xml:space="preserve">, která začala bezprostředně po jeho smrti. </w:t>
      </w:r>
      <w:r w:rsidRPr="00273106">
        <w:t>Moderna vy</w:t>
      </w:r>
      <w:r>
        <w:t>užila k očerňování Sigera jako averroisty</w:t>
      </w:r>
      <w:r w:rsidRPr="00273106">
        <w:t xml:space="preserve"> běžné akademické spory o jmenování rektora na Pařížské univerzitě v letech 1271‒75 (Gauthier 1984, 20‒28). Udělat z </w:t>
      </w:r>
      <w:r>
        <w:t>nepochopeného světského kněze a filosofa Sigera averroistu</w:t>
      </w:r>
      <w:r w:rsidRPr="00273106">
        <w:t xml:space="preserve"> nebyl problém ani pro zastánce prvního averroismu</w:t>
      </w:r>
      <w:r>
        <w:t xml:space="preserve"> z řad dominikánů</w:t>
      </w:r>
      <w:r w:rsidR="00776BD2">
        <w:t xml:space="preserve">. Ti </w:t>
      </w:r>
      <w:r>
        <w:t xml:space="preserve">hned </w:t>
      </w:r>
      <w:r w:rsidRPr="00273106">
        <w:t xml:space="preserve">po smrti Akvinského začali boj za jeho </w:t>
      </w:r>
      <w:r>
        <w:t xml:space="preserve">akademickou </w:t>
      </w:r>
      <w:r w:rsidRPr="00273106">
        <w:t>rehabilitaci</w:t>
      </w:r>
      <w:r w:rsidR="00776BD2">
        <w:t xml:space="preserve">. Tomisté jako Aegidius potřebovali Sigera účelově očernit ve prospěch bezchybného Akvinského, z něhož se stal církevně uznaný </w:t>
      </w:r>
      <w:r w:rsidR="00776BD2" w:rsidRPr="00776BD2">
        <w:rPr>
          <w:i/>
        </w:rPr>
        <w:t>Expositor Novus</w:t>
      </w:r>
      <w:r w:rsidRPr="00273106">
        <w:t xml:space="preserve">. </w:t>
      </w:r>
      <w:r>
        <w:t xml:space="preserve">Sigerův tragický akademický </w:t>
      </w:r>
      <w:r w:rsidRPr="00273106">
        <w:t>osud do jisté míry sdílel jeho kolega Boethius</w:t>
      </w:r>
      <w:r>
        <w:fldChar w:fldCharType="begin"/>
      </w:r>
      <w:r>
        <w:instrText xml:space="preserve"> XE "</w:instrText>
      </w:r>
      <w:r w:rsidRPr="00521677">
        <w:rPr>
          <w:lang w:eastAsia="en-US"/>
        </w:rPr>
        <w:instrText>Boethius</w:instrText>
      </w:r>
      <w:r>
        <w:rPr>
          <w:lang w:eastAsia="en-US"/>
        </w:rPr>
        <w:instrText xml:space="preserve"> z Dácie</w:instrText>
      </w:r>
      <w:r>
        <w:instrText xml:space="preserve">" </w:instrText>
      </w:r>
      <w:r>
        <w:fldChar w:fldCharType="end"/>
      </w:r>
      <w:r w:rsidRPr="00273106">
        <w:t xml:space="preserve"> z Dácie, jehož komentář k </w:t>
      </w:r>
      <w:r>
        <w:rPr>
          <w:i/>
        </w:rPr>
        <w:t>De anima</w:t>
      </w:r>
      <w:r w:rsidRPr="00273106">
        <w:t xml:space="preserve"> se vůbec nedochoval. Je třeba jej znovu hledat v</w:t>
      </w:r>
      <w:r>
        <w:t xml:space="preserve"> </w:t>
      </w:r>
      <w:r w:rsidRPr="00273106">
        <w:t>anonymních spisech škol</w:t>
      </w:r>
      <w:r>
        <w:t xml:space="preserve">y prvního averroismu z let 1270, jako je </w:t>
      </w:r>
      <w:r w:rsidRPr="00273106">
        <w:t xml:space="preserve">například </w:t>
      </w:r>
      <w:r w:rsidRPr="00A73892">
        <w:rPr>
          <w:i/>
        </w:rPr>
        <w:t>Gieleho anonym</w:t>
      </w:r>
      <w:r>
        <w:t xml:space="preserve"> (kap. 4.3.1</w:t>
      </w:r>
      <w:r w:rsidRPr="00273106">
        <w:t>).</w:t>
      </w:r>
      <w:r>
        <w:t xml:space="preserve"> </w:t>
      </w:r>
      <w:r w:rsidR="00522DF7" w:rsidRPr="00522DF7">
        <w:t xml:space="preserve">V návaznosti na francouzské medievalisty jako Libera a Gauthier je třeba datovat vznik legendy o prokletém lékaři Faustovi bezprostředně po smrti Sigera jako hlavního představitele nepochopené filozofie </w:t>
      </w:r>
      <w:r w:rsidR="00522DF7">
        <w:lastRenderedPageBreak/>
        <w:t>jednotné osoby vysvětlované podle C</w:t>
      </w:r>
      <w:r w:rsidR="00522DF7" w:rsidRPr="00522DF7">
        <w:t xml:space="preserve">MDA. </w:t>
      </w:r>
      <w:r w:rsidR="00D94046">
        <w:t>Z let 1319−</w:t>
      </w:r>
      <w:r w:rsidR="00D94046" w:rsidRPr="004E723F">
        <w:t>22 máme doloženou legendu o rouhači a pyšném géniovi Sigerovi, který musel utéci z Paříže do Itálie. Tam ho prý zavraždil jeho vlastní tajemník, jenž se po činu zbláznil.</w:t>
      </w:r>
      <w:r w:rsidR="00D94046">
        <w:t xml:space="preserve"> </w:t>
      </w:r>
      <w:r w:rsidR="00D94046" w:rsidRPr="004E723F">
        <w:t xml:space="preserve">Jde o typickou faustovskou mytologii o filosofech, kteří reprezentovali první </w:t>
      </w:r>
      <w:r w:rsidR="00D94046">
        <w:t>figuru nezávislého intelektuála</w:t>
      </w:r>
      <w:r w:rsidR="00D94046" w:rsidRPr="004E723F">
        <w:t xml:space="preserve"> na lati</w:t>
      </w:r>
      <w:r w:rsidR="00D94046">
        <w:t>nském Západě (Libera 1991, 157−</w:t>
      </w:r>
      <w:r w:rsidR="00D94046" w:rsidRPr="004E723F">
        <w:t xml:space="preserve">67). Ve skutečnosti jel kanovník Siger do papežského Orvietta vyjednávat nějaký spor za </w:t>
      </w:r>
      <w:r w:rsidR="00D94046">
        <w:t>domovskou kapitulu v Liège</w:t>
      </w:r>
      <w:r w:rsidR="00D94046" w:rsidRPr="004E723F">
        <w:t xml:space="preserve"> </w:t>
      </w:r>
      <w:r w:rsidR="00D94046">
        <w:t xml:space="preserve">(Lüttich) </w:t>
      </w:r>
      <w:r w:rsidR="00D94046" w:rsidRPr="004E723F">
        <w:t xml:space="preserve">a za neznámých okolností zemřel </w:t>
      </w:r>
      <w:r w:rsidR="00D94046">
        <w:t>v Itálii o</w:t>
      </w:r>
      <w:r w:rsidR="00D94046" w:rsidRPr="004E723F">
        <w:t>kol</w:t>
      </w:r>
      <w:r w:rsidR="00D94046">
        <w:t>o</w:t>
      </w:r>
      <w:r w:rsidR="00D94046" w:rsidRPr="004E723F">
        <w:t xml:space="preserve"> </w:t>
      </w:r>
      <w:r w:rsidR="00D94046">
        <w:t xml:space="preserve">roku </w:t>
      </w:r>
      <w:r w:rsidR="00D94046" w:rsidRPr="004E723F">
        <w:t>1281.</w:t>
      </w:r>
      <w:r w:rsidR="00D94046" w:rsidRPr="006D3287">
        <w:t xml:space="preserve"> </w:t>
      </w:r>
      <w:r w:rsidR="00D94046">
        <w:t>Sigerův současník Dante</w:t>
      </w:r>
      <w:r w:rsidR="00D94046">
        <w:fldChar w:fldCharType="begin"/>
      </w:r>
      <w:r w:rsidR="00D94046">
        <w:instrText xml:space="preserve"> XE "</w:instrText>
      </w:r>
      <w:r w:rsidR="00D94046" w:rsidRPr="00E871B9">
        <w:instrText>Dante, A.</w:instrText>
      </w:r>
      <w:r w:rsidR="00D94046">
        <w:instrText xml:space="preserve">" </w:instrText>
      </w:r>
      <w:r w:rsidR="00D94046">
        <w:fldChar w:fldCharType="end"/>
      </w:r>
      <w:r w:rsidR="00D94046">
        <w:t xml:space="preserve"> tvrdí, že tento filosof umíral pomalou smrtí (</w:t>
      </w:r>
      <w:r w:rsidR="00D94046" w:rsidRPr="00A26965">
        <w:rPr>
          <w:i/>
        </w:rPr>
        <w:t>gravi a morir li parve venir tardo</w:t>
      </w:r>
      <w:r w:rsidR="00D94046">
        <w:t xml:space="preserve">; </w:t>
      </w:r>
      <w:r w:rsidR="00D94046" w:rsidRPr="006D3287">
        <w:rPr>
          <w:i/>
        </w:rPr>
        <w:t>Paradiso</w:t>
      </w:r>
      <w:r w:rsidR="00D94046">
        <w:t xml:space="preserve"> 10.135). Klíčoví představitelé prvního averorismu dostanou v moderně po 1300 legendární rysy napojené na magické schopnosti (Bacon, Albert), nebo na ďábelské síly (Siger). Mýtus o smrti „rouhače“ Sigera je doložený u Pechama v dopise z roku 1284, kde se </w:t>
      </w:r>
      <w:r w:rsidR="00D94046" w:rsidRPr="004E723F">
        <w:t xml:space="preserve">cituje mýtus o Sigerově smrti jako </w:t>
      </w:r>
      <w:r w:rsidR="00D94046">
        <w:t xml:space="preserve">historický </w:t>
      </w:r>
      <w:r w:rsidR="00D94046" w:rsidRPr="004E723F">
        <w:t>fakt. Stejný dopis prohlašuje, že jedna teze musí být za všech okolností zakázána, totiž ohavný omyl těch, kdo chápou člověka jako jednu substanční formu.</w:t>
      </w:r>
      <w:r w:rsidR="00D94046">
        <w:t xml:space="preserve"> Na Oxfordské univerzitě rektorované moderním sofistou Pechamem se staly ze Sigera a z prvních averroistů démonické bytosti ohlašující po prohraných kruciátách Západu konečný příchod Antikrista, jehož intelektuální dílo popisoval Bonaventura v pařížských postních kázáních v letech 1267‒73</w:t>
      </w:r>
      <w:r w:rsidR="00D94046">
        <w:fldChar w:fldCharType="begin"/>
      </w:r>
      <w:r w:rsidR="00D94046">
        <w:instrText xml:space="preserve"> XE "</w:instrText>
      </w:r>
      <w:r w:rsidR="00D94046" w:rsidRPr="0096335E">
        <w:instrText>Antikrist</w:instrText>
      </w:r>
      <w:r w:rsidR="00D94046">
        <w:instrText xml:space="preserve">" </w:instrText>
      </w:r>
      <w:r w:rsidR="00D94046">
        <w:fldChar w:fldCharType="end"/>
      </w:r>
      <w:r w:rsidR="00D94046">
        <w:t>. Citovali jsme příklad ďábelského působení jeho aristotelských současníků z jeho postního kázání v roce 1268 (</w:t>
      </w:r>
      <w:r w:rsidR="00D94046" w:rsidRPr="002A1DE5">
        <w:rPr>
          <w:i/>
        </w:rPr>
        <w:t>isti</w:t>
      </w:r>
      <w:r w:rsidR="00D94046" w:rsidRPr="00C259C5">
        <w:rPr>
          <w:i/>
        </w:rPr>
        <w:t xml:space="preserve"> errores significantur in Apocalypsi in numero nominis bestiae</w:t>
      </w:r>
      <w:r w:rsidR="00D94046">
        <w:t xml:space="preserve">). </w:t>
      </w:r>
      <w:r w:rsidR="00275472" w:rsidRPr="00275472">
        <w:t xml:space="preserve">Aktivita moderního intelektu a spánek zdravého rozumu vedly k nočním můrám, které velmi dobře popsal filozof Roger Bacon a po něm malíř Francisco Goya. </w:t>
      </w:r>
      <w:r w:rsidR="00D94046">
        <w:t xml:space="preserve">Předložený výklad vzniku averroistického Averroese a ďábelského Sigera slouží jako paradigma projekce prováděné skupinou </w:t>
      </w:r>
      <w:r w:rsidR="00D94046" w:rsidRPr="00715DD9">
        <w:rPr>
          <w:i/>
          <w:szCs w:val="24"/>
        </w:rPr>
        <w:t>sophistae Latini</w:t>
      </w:r>
      <w:r w:rsidR="00D94046">
        <w:rPr>
          <w:i/>
        </w:rPr>
        <w:fldChar w:fldCharType="begin"/>
      </w:r>
      <w:r w:rsidR="00D94046">
        <w:instrText xml:space="preserve"> XE "druhý averroismus:</w:instrText>
      </w:r>
      <w:r w:rsidR="00D94046">
        <w:rPr>
          <w:i/>
        </w:rPr>
        <w:instrText>sophistae Latini</w:instrText>
      </w:r>
      <w:r w:rsidR="00D94046">
        <w:instrText xml:space="preserve">" </w:instrText>
      </w:r>
      <w:r w:rsidR="00D94046">
        <w:rPr>
          <w:i/>
        </w:rPr>
        <w:fldChar w:fldCharType="end"/>
      </w:r>
      <w:r w:rsidR="00D94046">
        <w:t>. Spekulativní moderna projektovala do Averroese vlastní zmatený výklad jeho filosofie a pak tohoto učence preze</w:t>
      </w:r>
      <w:r w:rsidR="0066256E">
        <w:t>ntovala jako pohana a heretika.</w:t>
      </w:r>
      <w:r w:rsidR="009153AB">
        <w:t xml:space="preserve"> </w:t>
      </w:r>
      <w:r w:rsidR="00522DF7">
        <w:t xml:space="preserve">Moderna fatálně nutně změnila Sigera na Fausta, protože objektivita nemůže žít bez mytologických </w:t>
      </w:r>
      <w:r w:rsidR="00522DF7" w:rsidRPr="00522DF7">
        <w:rPr>
          <w:i/>
        </w:rPr>
        <w:t>scibile</w:t>
      </w:r>
      <w:r w:rsidR="00522DF7">
        <w:t>.</w:t>
      </w:r>
    </w:p>
    <w:p w:rsidR="00544E23" w:rsidRDefault="00CA2075" w:rsidP="00544E23">
      <w:pPr>
        <w:ind w:firstLine="397"/>
        <w:rPr>
          <w:szCs w:val="15"/>
        </w:rPr>
      </w:pPr>
      <w:r>
        <w:t xml:space="preserve">Moderna uvalila sofistikované a tudíž </w:t>
      </w:r>
      <w:r w:rsidR="00275E49">
        <w:t xml:space="preserve">akademické </w:t>
      </w:r>
      <w:r w:rsidR="00275E49" w:rsidRPr="003C1216">
        <w:rPr>
          <w:i/>
        </w:rPr>
        <w:t>damnatio memoriae</w:t>
      </w:r>
      <w:r w:rsidR="00275E49">
        <w:rPr>
          <w:i/>
        </w:rPr>
        <w:fldChar w:fldCharType="begin"/>
      </w:r>
      <w:r w:rsidR="00275E49">
        <w:instrText xml:space="preserve"> XE "</w:instrText>
      </w:r>
      <w:r w:rsidR="00275E49" w:rsidRPr="00C65046">
        <w:rPr>
          <w:i/>
        </w:rPr>
        <w:instrText>damnatio memoriae</w:instrText>
      </w:r>
      <w:r w:rsidR="00275E49">
        <w:instrText xml:space="preserve">" </w:instrText>
      </w:r>
      <w:r w:rsidR="00275E49">
        <w:rPr>
          <w:i/>
        </w:rPr>
        <w:fldChar w:fldCharType="end"/>
      </w:r>
      <w:r>
        <w:t xml:space="preserve"> </w:t>
      </w:r>
      <w:r w:rsidR="00275E49">
        <w:t>na všechny magistry z Rue du Fouarre, kteří kolem 1270‒75 hájili jednotu osoby v modu Averroesovy ipseity (</w:t>
      </w:r>
      <w:r w:rsidR="00275E49" w:rsidRPr="088571D5">
        <w:rPr>
          <w:i/>
        </w:rPr>
        <w:t>pars Sigeri</w:t>
      </w:r>
      <w:r w:rsidR="00E52177">
        <w:t xml:space="preserve">). </w:t>
      </w:r>
      <w:r w:rsidR="004B7166">
        <w:t>V epoše všeobecně schváleného O</w:t>
      </w:r>
      <w:r w:rsidR="004B7166" w:rsidRPr="004B7166">
        <w:t>xfordského bludu ztratila škola prvního averroismu, spjatá s ostrakizovaným Averroesem, možnost jakékoli f</w:t>
      </w:r>
      <w:r w:rsidR="004B7166">
        <w:t xml:space="preserve">ilosoficky relevantní obhajoby. </w:t>
      </w:r>
      <w:r w:rsidR="00275E49">
        <w:rPr>
          <w:rStyle w:val="Zkladntext158dkovn0pt"/>
          <w:color w:val="auto"/>
          <w:spacing w:val="0"/>
          <w:sz w:val="24"/>
          <w:lang w:val="cs-CZ"/>
        </w:rPr>
        <w:t xml:space="preserve">První kolo dobývání nejdůležitější akademické </w:t>
      </w:r>
      <w:r w:rsidR="00275E49">
        <w:rPr>
          <w:rStyle w:val="Zkladntext158dkovn0pt"/>
          <w:color w:val="auto"/>
          <w:spacing w:val="0"/>
          <w:sz w:val="24"/>
          <w:lang w:val="cs-CZ"/>
        </w:rPr>
        <w:lastRenderedPageBreak/>
        <w:t xml:space="preserve">pevnosti latinského Západu proběhlo na Pařížské univerzitě již v letech 1255‒56, což ukázaly předešlé matrice. Modernisté v něm zcela nevyhráli, pouze dobyli první akademickou baštu zřízením mendikantské artistické fakulty roku 1255. V letech 1272‒77 modernisté provedli po dvacetiletém obléhání Rue du Fouarre zásadní průlom hradeb. </w:t>
      </w:r>
      <w:r w:rsidR="00275E49" w:rsidRPr="00273106">
        <w:rPr>
          <w:rStyle w:val="Zkladntext158dkovn0pt"/>
          <w:color w:val="auto"/>
          <w:spacing w:val="0"/>
          <w:sz w:val="24"/>
          <w:lang w:val="cs-CZ"/>
        </w:rPr>
        <w:t xml:space="preserve">V první linii boje za autentický výklad Aristotela </w:t>
      </w:r>
      <w:r w:rsidR="00172668">
        <w:rPr>
          <w:rStyle w:val="Zkladntext158dkovn0pt"/>
          <w:color w:val="auto"/>
          <w:spacing w:val="0"/>
          <w:sz w:val="24"/>
          <w:lang w:val="cs-CZ"/>
        </w:rPr>
        <w:t>provedený „</w:t>
      </w:r>
      <w:r w:rsidR="00275E49" w:rsidRPr="08C273EE">
        <w:rPr>
          <w:rStyle w:val="Zkladntext158dkovn0pt"/>
          <w:i/>
          <w:color w:val="auto"/>
          <w:spacing w:val="0"/>
          <w:sz w:val="24"/>
          <w:lang w:val="cs-CZ"/>
        </w:rPr>
        <w:t>ad mentem Averrois</w:t>
      </w:r>
      <w:r w:rsidR="00172668">
        <w:rPr>
          <w:rStyle w:val="Zkladntext158dkovn0pt"/>
          <w:color w:val="auto"/>
          <w:spacing w:val="0"/>
          <w:sz w:val="24"/>
          <w:lang w:val="cs-CZ"/>
        </w:rPr>
        <w:t>“</w:t>
      </w:r>
      <w:r w:rsidR="00275E49">
        <w:rPr>
          <w:rStyle w:val="Zkladntext158dkovn0pt"/>
          <w:color w:val="auto"/>
          <w:spacing w:val="0"/>
          <w:sz w:val="24"/>
          <w:lang w:val="cs-CZ"/>
        </w:rPr>
        <w:t xml:space="preserve"> podle Sicilské školy </w:t>
      </w:r>
      <w:r w:rsidR="00275E49" w:rsidRPr="00273106">
        <w:rPr>
          <w:rStyle w:val="Zkladntext158dkovn0pt"/>
          <w:color w:val="auto"/>
          <w:spacing w:val="0"/>
          <w:sz w:val="24"/>
          <w:lang w:val="cs-CZ"/>
        </w:rPr>
        <w:t>najdeme diecézní kněze Sigera z Brabantu a Boethia z Dácie</w:t>
      </w:r>
      <w:r w:rsidR="00275E49">
        <w:rPr>
          <w:rStyle w:val="Zkladntext158dkovn0pt"/>
          <w:color w:val="auto"/>
          <w:spacing w:val="0"/>
          <w:sz w:val="24"/>
          <w:lang w:val="cs-CZ"/>
        </w:rPr>
        <w:fldChar w:fldCharType="begin"/>
      </w:r>
      <w:r w:rsidR="00275E49">
        <w:instrText xml:space="preserve"> XE "</w:instrText>
      </w:r>
      <w:r w:rsidR="00275E49" w:rsidRPr="08A8751A">
        <w:instrText>Boethius z Dácie</w:instrText>
      </w:r>
      <w:r w:rsidR="00275E49">
        <w:instrText xml:space="preserve">" </w:instrText>
      </w:r>
      <w:r w:rsidR="00275E49">
        <w:rPr>
          <w:rStyle w:val="Zkladntext158dkovn0pt"/>
          <w:color w:val="auto"/>
          <w:spacing w:val="0"/>
          <w:sz w:val="24"/>
          <w:lang w:val="cs-CZ"/>
        </w:rPr>
        <w:fldChar w:fldCharType="end"/>
      </w:r>
      <w:r w:rsidR="00275E49" w:rsidRPr="00273106">
        <w:rPr>
          <w:rStyle w:val="Zkladntext158dkovn0pt"/>
          <w:color w:val="auto"/>
          <w:spacing w:val="0"/>
          <w:sz w:val="24"/>
          <w:lang w:val="cs-CZ"/>
        </w:rPr>
        <w:t xml:space="preserve">. Tyto představitele prvního averroismu nepřímo proskriboval pařížský a oxfordský dekret z března 1277. K nim lze přiřadit </w:t>
      </w:r>
      <w:r w:rsidR="00275E49">
        <w:rPr>
          <w:rStyle w:val="Zkladntext158dkovn0pt"/>
          <w:color w:val="auto"/>
          <w:spacing w:val="0"/>
          <w:sz w:val="24"/>
          <w:lang w:val="cs-CZ"/>
        </w:rPr>
        <w:t xml:space="preserve">ze starých harcovníků prvního averroismu také </w:t>
      </w:r>
      <w:r w:rsidR="00275E49" w:rsidRPr="00273106">
        <w:rPr>
          <w:rStyle w:val="Zkladntext158dkovn0pt"/>
          <w:color w:val="auto"/>
          <w:spacing w:val="0"/>
          <w:sz w:val="24"/>
          <w:lang w:val="cs-CZ"/>
        </w:rPr>
        <w:t xml:space="preserve">Rogera Bacona, Alberta Velikého a </w:t>
      </w:r>
      <w:r w:rsidR="00275E49">
        <w:rPr>
          <w:rStyle w:val="Zkladntext158dkovn0pt"/>
          <w:color w:val="auto"/>
          <w:spacing w:val="0"/>
          <w:sz w:val="24"/>
          <w:lang w:val="cs-CZ"/>
        </w:rPr>
        <w:t xml:space="preserve">částečně i semiaverroistu </w:t>
      </w:r>
      <w:r w:rsidR="00275E49" w:rsidRPr="00273106">
        <w:rPr>
          <w:rStyle w:val="Zkladntext158dkovn0pt"/>
          <w:color w:val="auto"/>
          <w:spacing w:val="0"/>
          <w:sz w:val="24"/>
          <w:lang w:val="cs-CZ"/>
        </w:rPr>
        <w:t>Tomáše Akvinského, které chránil</w:t>
      </w:r>
      <w:r w:rsidR="00581D4F">
        <w:rPr>
          <w:rStyle w:val="Zkladntext158dkovn0pt"/>
          <w:color w:val="auto"/>
          <w:spacing w:val="0"/>
          <w:sz w:val="24"/>
          <w:lang w:val="cs-CZ"/>
        </w:rPr>
        <w:t xml:space="preserve">a autorita mendikantských řádů. </w:t>
      </w:r>
      <w:r w:rsidR="00581D4F" w:rsidRPr="00581D4F">
        <w:rPr>
          <w:rStyle w:val="Zkladntext158dkovn0pt"/>
          <w:color w:val="auto"/>
          <w:spacing w:val="0"/>
          <w:sz w:val="24"/>
          <w:lang w:val="cs-CZ"/>
        </w:rPr>
        <w:t>Laický filozof Dante Alighieri</w:t>
      </w:r>
      <w:r w:rsidR="00581D4F">
        <w:rPr>
          <w:rStyle w:val="Zkladntext158dkovn0pt"/>
          <w:color w:val="auto"/>
          <w:spacing w:val="0"/>
          <w:sz w:val="24"/>
          <w:lang w:val="cs-CZ"/>
        </w:rPr>
        <w:fldChar w:fldCharType="begin"/>
      </w:r>
      <w:r w:rsidR="00581D4F">
        <w:instrText xml:space="preserve"> XE "</w:instrText>
      </w:r>
      <w:r w:rsidR="00581D4F" w:rsidRPr="00E871B9">
        <w:instrText>Dante, A.</w:instrText>
      </w:r>
      <w:r w:rsidR="00581D4F">
        <w:instrText xml:space="preserve">" </w:instrText>
      </w:r>
      <w:r w:rsidR="00581D4F">
        <w:rPr>
          <w:rStyle w:val="Zkladntext158dkovn0pt"/>
          <w:color w:val="auto"/>
          <w:spacing w:val="0"/>
          <w:sz w:val="24"/>
          <w:lang w:val="cs-CZ"/>
        </w:rPr>
        <w:fldChar w:fldCharType="end"/>
      </w:r>
      <w:r w:rsidR="00581D4F" w:rsidRPr="00581D4F">
        <w:rPr>
          <w:rStyle w:val="Zkladntext158dkovn0pt"/>
          <w:color w:val="auto"/>
          <w:spacing w:val="0"/>
          <w:sz w:val="24"/>
          <w:lang w:val="cs-CZ"/>
        </w:rPr>
        <w:t xml:space="preserve"> napsal </w:t>
      </w:r>
      <w:r w:rsidR="00581D4F" w:rsidRPr="00581D4F">
        <w:rPr>
          <w:rStyle w:val="Zkladntext158dkovn0pt"/>
          <w:i/>
          <w:color w:val="auto"/>
          <w:spacing w:val="0"/>
          <w:sz w:val="24"/>
          <w:lang w:val="cs-CZ"/>
        </w:rPr>
        <w:t>Božskou komedii</w:t>
      </w:r>
      <w:r w:rsidR="00581D4F" w:rsidRPr="00581D4F">
        <w:rPr>
          <w:rStyle w:val="Zkladntext158dkovn0pt"/>
          <w:color w:val="auto"/>
          <w:spacing w:val="0"/>
          <w:sz w:val="24"/>
          <w:lang w:val="cs-CZ"/>
        </w:rPr>
        <w:t xml:space="preserve"> </w:t>
      </w:r>
      <w:r w:rsidR="00581D4F">
        <w:rPr>
          <w:rStyle w:val="Zkladntext158dkovn0pt"/>
          <w:color w:val="auto"/>
          <w:spacing w:val="0"/>
          <w:sz w:val="24"/>
          <w:lang w:val="cs-CZ"/>
        </w:rPr>
        <w:t xml:space="preserve">oslavující Sigera a tím se stal </w:t>
      </w:r>
      <w:r w:rsidR="00581D4F" w:rsidRPr="00581D4F">
        <w:rPr>
          <w:rStyle w:val="Zkladntext158dkovn0pt"/>
          <w:color w:val="auto"/>
          <w:spacing w:val="0"/>
          <w:sz w:val="24"/>
          <w:lang w:val="cs-CZ"/>
        </w:rPr>
        <w:t>nov</w:t>
      </w:r>
      <w:r w:rsidR="00581D4F">
        <w:rPr>
          <w:rStyle w:val="Zkladntext158dkovn0pt"/>
          <w:color w:val="auto"/>
          <w:spacing w:val="0"/>
          <w:sz w:val="24"/>
          <w:lang w:val="cs-CZ"/>
        </w:rPr>
        <w:t xml:space="preserve">ým </w:t>
      </w:r>
      <w:r w:rsidR="00581D4F" w:rsidRPr="00581D4F">
        <w:rPr>
          <w:rStyle w:val="Zkladntext158dkovn0pt"/>
          <w:color w:val="auto"/>
          <w:spacing w:val="0"/>
          <w:sz w:val="24"/>
          <w:lang w:val="cs-CZ"/>
        </w:rPr>
        <w:t>Homér</w:t>
      </w:r>
      <w:r w:rsidR="00581D4F">
        <w:rPr>
          <w:rStyle w:val="Zkladntext158dkovn0pt"/>
          <w:color w:val="auto"/>
          <w:spacing w:val="0"/>
          <w:sz w:val="24"/>
          <w:lang w:val="cs-CZ"/>
        </w:rPr>
        <w:t>em</w:t>
      </w:r>
      <w:r w:rsidR="00581D4F" w:rsidRPr="00581D4F">
        <w:rPr>
          <w:rStyle w:val="Zkladntext158dkovn0pt"/>
          <w:color w:val="auto"/>
          <w:spacing w:val="0"/>
          <w:sz w:val="24"/>
          <w:lang w:val="cs-CZ"/>
        </w:rPr>
        <w:t xml:space="preserve">, který </w:t>
      </w:r>
      <w:r w:rsidR="00581D4F">
        <w:rPr>
          <w:rStyle w:val="Zkladntext158dkovn0pt"/>
          <w:color w:val="auto"/>
          <w:spacing w:val="0"/>
          <w:sz w:val="24"/>
          <w:lang w:val="cs-CZ"/>
        </w:rPr>
        <w:t xml:space="preserve">v modu múzické (a tedy objektivně skryté) </w:t>
      </w:r>
      <w:r w:rsidR="00581D4F" w:rsidRPr="00581D4F">
        <w:rPr>
          <w:rStyle w:val="Zkladntext158dkovn0pt"/>
          <w:i/>
          <w:color w:val="auto"/>
          <w:spacing w:val="0"/>
          <w:sz w:val="24"/>
          <w:lang w:val="cs-CZ"/>
        </w:rPr>
        <w:t>alétheia</w:t>
      </w:r>
      <w:r w:rsidR="00581D4F">
        <w:rPr>
          <w:rStyle w:val="Zkladntext158dkovn0pt"/>
          <w:color w:val="auto"/>
          <w:spacing w:val="0"/>
          <w:sz w:val="24"/>
          <w:lang w:val="cs-CZ"/>
        </w:rPr>
        <w:t xml:space="preserve"> zaznamenal tuto </w:t>
      </w:r>
      <w:r w:rsidR="00581D4F" w:rsidRPr="00581D4F">
        <w:rPr>
          <w:rStyle w:val="Zkladntext158dkovn0pt"/>
          <w:color w:val="auto"/>
          <w:spacing w:val="0"/>
          <w:sz w:val="24"/>
          <w:lang w:val="cs-CZ"/>
        </w:rPr>
        <w:t xml:space="preserve">gigantomachii </w:t>
      </w:r>
      <w:r w:rsidR="00581D4F">
        <w:rPr>
          <w:rStyle w:val="Zkladntext158dkovn0pt"/>
          <w:color w:val="auto"/>
          <w:spacing w:val="0"/>
          <w:sz w:val="24"/>
          <w:lang w:val="cs-CZ"/>
        </w:rPr>
        <w:t xml:space="preserve">o substanci. </w:t>
      </w:r>
      <w:r w:rsidR="00F24159" w:rsidRPr="00F24159">
        <w:rPr>
          <w:rStyle w:val="Zkladntext158dkovn0pt"/>
          <w:color w:val="auto"/>
          <w:spacing w:val="0"/>
          <w:sz w:val="24"/>
          <w:lang w:val="cs-CZ"/>
        </w:rPr>
        <w:t xml:space="preserve">Archaická hermeneutika potvrzuje právo na slavnou nesmrtelnost těchto prvních evropských intelektuálních kněží; jejich modernističtí oponenti z řad druhého averroismu získali právo na neslavnou nesmrtelnost. </w:t>
      </w:r>
      <w:r w:rsidR="00F24159">
        <w:rPr>
          <w:rStyle w:val="Zkladntext158dkovn0pt"/>
          <w:color w:val="auto"/>
          <w:spacing w:val="0"/>
          <w:sz w:val="24"/>
          <w:lang w:val="cs-CZ"/>
        </w:rPr>
        <w:t xml:space="preserve">Vymazanání </w:t>
      </w:r>
      <w:r w:rsidR="00275E49">
        <w:t>školy první</w:t>
      </w:r>
      <w:r w:rsidR="00DC7441">
        <w:t>ho</w:t>
      </w:r>
      <w:r w:rsidR="00275E49">
        <w:t xml:space="preserve"> averroismu </w:t>
      </w:r>
      <w:r w:rsidR="00F24159">
        <w:t xml:space="preserve">z pozitivní historie myšlení </w:t>
      </w:r>
      <w:r w:rsidR="00275E49">
        <w:t xml:space="preserve">má plně objektivní charakter daný obranným mechanismem </w:t>
      </w:r>
      <w:r w:rsidR="00275E49" w:rsidRPr="00622D11">
        <w:rPr>
          <w:rStyle w:val="Zvraznn"/>
        </w:rPr>
        <w:t>Verkehrung ins Gegenteil</w:t>
      </w:r>
      <w:r w:rsidR="00275E49">
        <w:rPr>
          <w:rStyle w:val="Zvraznn"/>
        </w:rPr>
        <w:fldChar w:fldCharType="begin"/>
      </w:r>
      <w:r w:rsidR="00275E49">
        <w:instrText xml:space="preserve"> XE "</w:instrText>
      </w:r>
      <w:r w:rsidR="00275E49" w:rsidRPr="0089394E">
        <w:rPr>
          <w:rStyle w:val="Zvraznn"/>
        </w:rPr>
        <w:instrText>Verkehrung ins Gegenteil</w:instrText>
      </w:r>
      <w:r w:rsidR="00275E49">
        <w:instrText xml:space="preserve">" </w:instrText>
      </w:r>
      <w:r w:rsidR="00275E49">
        <w:rPr>
          <w:rStyle w:val="Zvraznn"/>
        </w:rPr>
        <w:fldChar w:fldCharType="end"/>
      </w:r>
      <w:r w:rsidR="005422E9">
        <w:rPr>
          <w:rStyle w:val="Zvraznn"/>
          <w:i w:val="0"/>
        </w:rPr>
        <w:t xml:space="preserve">. Modernisté naopak opěvují </w:t>
      </w:r>
      <w:r w:rsidR="004C5725">
        <w:rPr>
          <w:rStyle w:val="Zvraznn"/>
          <w:i w:val="0"/>
        </w:rPr>
        <w:t>z</w:t>
      </w:r>
      <w:r w:rsidR="00FD1D6E">
        <w:rPr>
          <w:rStyle w:val="Zvraznn"/>
          <w:i w:val="0"/>
        </w:rPr>
        <w:t xml:space="preserve">ačátek moderny a </w:t>
      </w:r>
      <w:r w:rsidR="00275E49">
        <w:t>vytvořili v řádových kronikách, dopisech a zápisech historické simulákrum</w:t>
      </w:r>
      <w:r w:rsidR="00275E49">
        <w:fldChar w:fldCharType="begin"/>
      </w:r>
      <w:r w:rsidR="00275E49">
        <w:instrText xml:space="preserve"> XE "</w:instrText>
      </w:r>
      <w:r w:rsidR="00275E49" w:rsidRPr="007A3043">
        <w:instrText>simulákrum</w:instrText>
      </w:r>
      <w:r w:rsidR="00275E49">
        <w:instrText xml:space="preserve">" </w:instrText>
      </w:r>
      <w:r w:rsidR="00275E49">
        <w:fldChar w:fldCharType="end"/>
      </w:r>
      <w:r w:rsidR="00832749">
        <w:t xml:space="preserve"> filosofických sporů v letech </w:t>
      </w:r>
      <w:r w:rsidR="00275E49">
        <w:t>1253‒77. Jejich podání je z mnoha důvodů jednostranně kritické vůči sekulárním magistrům na Rue du Fouarre</w:t>
      </w:r>
      <w:r w:rsidR="00AC6351">
        <w:t>. Ti n</w:t>
      </w:r>
      <w:r w:rsidR="009611B4">
        <w:t>e</w:t>
      </w:r>
      <w:r w:rsidR="00AC6351">
        <w:t>j</w:t>
      </w:r>
      <w:r w:rsidR="009611B4">
        <w:t>prve podporovali r</w:t>
      </w:r>
      <w:r w:rsidR="00275E49">
        <w:t>ektora Guillelma</w:t>
      </w:r>
      <w:r w:rsidR="00275E49" w:rsidRPr="00E735C5">
        <w:t xml:space="preserve"> de </w:t>
      </w:r>
      <w:r w:rsidR="00275E49" w:rsidRPr="00E735C5">
        <w:rPr>
          <w:szCs w:val="16"/>
        </w:rPr>
        <w:t xml:space="preserve">Sancto </w:t>
      </w:r>
      <w:r w:rsidR="00275E49" w:rsidRPr="00E735C5">
        <w:rPr>
          <w:szCs w:val="19"/>
        </w:rPr>
        <w:t>Amore</w:t>
      </w:r>
      <w:r w:rsidR="00275E49">
        <w:rPr>
          <w:szCs w:val="19"/>
        </w:rPr>
        <w:t xml:space="preserve"> a pak </w:t>
      </w:r>
      <w:r w:rsidR="00275E49">
        <w:rPr>
          <w:szCs w:val="19"/>
        </w:rPr>
        <w:fldChar w:fldCharType="begin"/>
      </w:r>
      <w:r w:rsidR="00275E49">
        <w:instrText xml:space="preserve"> XE "</w:instrText>
      </w:r>
      <w:r w:rsidR="00275E49" w:rsidRPr="003B256A">
        <w:instrText xml:space="preserve"> </w:instrText>
      </w:r>
      <w:r w:rsidR="00275E49">
        <w:instrText>Guillelmus</w:instrText>
      </w:r>
      <w:r w:rsidR="00275E49" w:rsidRPr="00E51395">
        <w:instrText xml:space="preserve"> de Sancto Amore</w:instrText>
      </w:r>
      <w:r w:rsidR="00275E49">
        <w:instrText xml:space="preserve">" </w:instrText>
      </w:r>
      <w:r w:rsidR="00275E49">
        <w:rPr>
          <w:szCs w:val="19"/>
        </w:rPr>
        <w:fldChar w:fldCharType="end"/>
      </w:r>
      <w:r w:rsidR="009611B4">
        <w:rPr>
          <w:szCs w:val="19"/>
        </w:rPr>
        <w:t xml:space="preserve"> a pak S</w:t>
      </w:r>
      <w:r w:rsidR="00275E49">
        <w:t>igera z Brabantu. Historikové vedení předsudkem objektivity by měli přestat číst dějiny tohoto období očima objektivních vítězů. Je na čase zkoumat toto období mimo objektivitu</w:t>
      </w:r>
      <w:r w:rsidR="007A330F">
        <w:t xml:space="preserve"> a</w:t>
      </w:r>
      <w:r w:rsidR="00275E49">
        <w:t xml:space="preserve"> v novém modelu pravdy jako </w:t>
      </w:r>
      <w:r w:rsidR="00275E49" w:rsidRPr="081B2DBF">
        <w:rPr>
          <w:i/>
        </w:rPr>
        <w:t>alétheia</w:t>
      </w:r>
      <w:r w:rsidR="00275E49">
        <w:t>. Dlužíme spravedlnost nevinným obětem tohoto sporu o charakter moderny a postmoderny. To je vážná věc daná dějinnou formou spravedlnosti jako</w:t>
      </w:r>
      <w:r w:rsidR="00604265">
        <w:t xml:space="preserve"> tragické múzické moudrosti. H</w:t>
      </w:r>
      <w:r w:rsidR="00275E49">
        <w:t xml:space="preserve">ledání skutečné moudrosti </w:t>
      </w:r>
      <w:r w:rsidR="00604265">
        <w:t xml:space="preserve">následuje </w:t>
      </w:r>
      <w:r w:rsidR="00275E49">
        <w:t>Aischyl</w:t>
      </w:r>
      <w:r w:rsidR="00604265">
        <w:t>ův</w:t>
      </w:r>
      <w:r w:rsidR="00275E49">
        <w:t xml:space="preserve"> výrok „utrpením k moudrosti“ (πάθει μάθος; </w:t>
      </w:r>
      <w:r w:rsidR="00275E49" w:rsidRPr="08F0513B">
        <w:rPr>
          <w:i/>
        </w:rPr>
        <w:t>Agamemnon</w:t>
      </w:r>
      <w:r w:rsidR="00275E49">
        <w:t>, v. 178</w:t>
      </w:r>
      <w:r w:rsidR="00275E49">
        <w:fldChar w:fldCharType="begin"/>
      </w:r>
      <w:r w:rsidR="00275E49">
        <w:instrText xml:space="preserve"> XE "Aischyles:</w:instrText>
      </w:r>
      <w:r w:rsidR="00275E49" w:rsidRPr="08685639">
        <w:rPr>
          <w:i/>
        </w:rPr>
        <w:instrText>Agamemnon</w:instrText>
      </w:r>
      <w:r w:rsidR="00275E49">
        <w:instrText xml:space="preserve"> </w:instrText>
      </w:r>
      <w:r w:rsidR="00275E49" w:rsidRPr="08685639">
        <w:instrText>178</w:instrText>
      </w:r>
      <w:r w:rsidR="00275E49">
        <w:instrText xml:space="preserve">" </w:instrText>
      </w:r>
      <w:r w:rsidR="00275E49">
        <w:fldChar w:fldCharType="end"/>
      </w:r>
      <w:r w:rsidR="00275E49">
        <w:t>)</w:t>
      </w:r>
      <w:r w:rsidR="00604265">
        <w:t xml:space="preserve">. Tím </w:t>
      </w:r>
      <w:r w:rsidR="00275E49">
        <w:t xml:space="preserve">se zásadně liší od akademického </w:t>
      </w:r>
      <w:r w:rsidR="00782D04">
        <w:t>běsu (</w:t>
      </w:r>
      <w:r w:rsidR="00275E49" w:rsidRPr="087717E1">
        <w:rPr>
          <w:i/>
        </w:rPr>
        <w:t>Irrtum</w:t>
      </w:r>
      <w:r w:rsidR="00782D04">
        <w:t xml:space="preserve">), který </w:t>
      </w:r>
      <w:r w:rsidR="00275E49">
        <w:t xml:space="preserve">freneticky </w:t>
      </w:r>
      <w:r w:rsidR="00782D04">
        <w:t xml:space="preserve">sleduje </w:t>
      </w:r>
      <w:r w:rsidR="00275E49">
        <w:t>obj</w:t>
      </w:r>
      <w:r w:rsidR="00782D04">
        <w:t>ektivní a proto historicky slepou</w:t>
      </w:r>
      <w:r w:rsidR="00275E49">
        <w:t xml:space="preserve"> </w:t>
      </w:r>
      <w:r w:rsidR="00782D04">
        <w:t xml:space="preserve">pravdu jako </w:t>
      </w:r>
      <w:r w:rsidR="00275E49" w:rsidRPr="08DE55B9">
        <w:rPr>
          <w:i/>
        </w:rPr>
        <w:t>veritas</w:t>
      </w:r>
      <w:r w:rsidR="00275E49">
        <w:t xml:space="preserve">. </w:t>
      </w:r>
      <w:r w:rsidR="00E3353B">
        <w:rPr>
          <w:szCs w:val="15"/>
        </w:rPr>
        <w:t xml:space="preserve">V objektivních dějinách filosofie manipulovaných vítězi zůstalo čisté simulákrum skutečných dějin. Vůle nevidět tvoří pod vedením dějinně </w:t>
      </w:r>
      <w:r w:rsidR="00E3353B">
        <w:rPr>
          <w:szCs w:val="15"/>
        </w:rPr>
        <w:lastRenderedPageBreak/>
        <w:t xml:space="preserve">působících sil pomsty iracionální součást moderní historie. Objektivní vítězové si ponechali z gigantomachie o substanci pouze pozitivní </w:t>
      </w:r>
      <w:r w:rsidR="00E3353B" w:rsidRPr="08645A2E">
        <w:rPr>
          <w:i/>
          <w:szCs w:val="15"/>
        </w:rPr>
        <w:t>veritas</w:t>
      </w:r>
      <w:r w:rsidR="00E3353B">
        <w:rPr>
          <w:szCs w:val="15"/>
        </w:rPr>
        <w:t xml:space="preserve"> danou ve formě moderních dějin filosofie.</w:t>
      </w:r>
    </w:p>
    <w:p w:rsidR="00ED0527" w:rsidRDefault="00BE0271" w:rsidP="00544E23">
      <w:pPr>
        <w:ind w:firstLine="397"/>
      </w:pPr>
      <w:r>
        <w:rPr>
          <w:lang w:eastAsia="en-US"/>
        </w:rPr>
        <w:t>Princip reality jako imperativu pravdivé</w:t>
      </w:r>
      <w:r w:rsidR="00544E23">
        <w:rPr>
          <w:lang w:eastAsia="en-US"/>
        </w:rPr>
        <w:t xml:space="preserve">ho myšlení </w:t>
      </w:r>
      <w:r>
        <w:rPr>
          <w:lang w:eastAsia="en-US"/>
        </w:rPr>
        <w:t xml:space="preserve">založil od Komentátora a Sigera </w:t>
      </w:r>
      <w:r w:rsidR="00171E81">
        <w:rPr>
          <w:lang w:eastAsia="en-US"/>
        </w:rPr>
        <w:t xml:space="preserve">trvalou existenci filosofie </w:t>
      </w:r>
      <w:r w:rsidRPr="00BE0271">
        <w:rPr>
          <w:lang w:eastAsia="en-US"/>
        </w:rPr>
        <w:t xml:space="preserve">jako </w:t>
      </w:r>
      <w:r>
        <w:rPr>
          <w:lang w:eastAsia="en-US"/>
        </w:rPr>
        <w:t xml:space="preserve">genericky jedinečné </w:t>
      </w:r>
      <w:r w:rsidRPr="00BE0271">
        <w:rPr>
          <w:lang w:eastAsia="en-US"/>
        </w:rPr>
        <w:t xml:space="preserve">vědy </w:t>
      </w:r>
      <w:r>
        <w:rPr>
          <w:lang w:eastAsia="en-US"/>
        </w:rPr>
        <w:t xml:space="preserve">v rámci </w:t>
      </w:r>
      <w:r w:rsidRPr="00BE0271">
        <w:rPr>
          <w:i/>
          <w:lang w:eastAsia="en-US"/>
        </w:rPr>
        <w:t>species humana</w:t>
      </w:r>
      <w:r w:rsidR="00D247C7">
        <w:rPr>
          <w:lang w:eastAsia="en-US"/>
        </w:rPr>
        <w:t xml:space="preserve"> dané ve formě </w:t>
      </w:r>
      <w:r w:rsidR="00D247C7" w:rsidRPr="00D247C7">
        <w:rPr>
          <w:i/>
        </w:rPr>
        <w:t>quartum</w:t>
      </w:r>
      <w:r w:rsidR="00D247C7" w:rsidRPr="00B130B5">
        <w:rPr>
          <w:i/>
        </w:rPr>
        <w:t xml:space="preserve"> genus</w:t>
      </w:r>
      <w:r w:rsidR="00D247C7">
        <w:t>.</w:t>
      </w:r>
      <w:r w:rsidR="00ED18CC">
        <w:rPr>
          <w:lang w:eastAsia="en-US"/>
        </w:rPr>
        <w:t xml:space="preserve"> Filosofie </w:t>
      </w:r>
      <w:r w:rsidRPr="00BE0271">
        <w:rPr>
          <w:lang w:eastAsia="en-US"/>
        </w:rPr>
        <w:t xml:space="preserve">vzniká </w:t>
      </w:r>
      <w:r>
        <w:rPr>
          <w:lang w:eastAsia="en-US"/>
        </w:rPr>
        <w:t xml:space="preserve">skrze existenci </w:t>
      </w:r>
      <w:r w:rsidRPr="00BE0271">
        <w:rPr>
          <w:lang w:eastAsia="en-US"/>
        </w:rPr>
        <w:t>moudrých lidí, kteří myslí správným způsobem</w:t>
      </w:r>
      <w:r w:rsidR="00D247C7">
        <w:rPr>
          <w:lang w:eastAsia="en-US"/>
        </w:rPr>
        <w:t xml:space="preserve"> </w:t>
      </w:r>
      <w:r w:rsidR="00D247C7">
        <w:t>(</w:t>
      </w:r>
      <w:r w:rsidR="00D247C7" w:rsidRPr="00B130B5">
        <w:rPr>
          <w:i/>
        </w:rPr>
        <w:t>tertium genus</w:t>
      </w:r>
      <w:r w:rsidR="00D247C7">
        <w:t>)</w:t>
      </w:r>
      <w:r w:rsidRPr="00BE0271">
        <w:rPr>
          <w:lang w:eastAsia="en-US"/>
        </w:rPr>
        <w:t xml:space="preserve">. </w:t>
      </w:r>
      <w:r w:rsidR="08163013">
        <w:rPr>
          <w:szCs w:val="15"/>
        </w:rPr>
        <w:t>Moderna vedená ideálem pravdy jako asimilace</w:t>
      </w:r>
      <w:r w:rsidR="003B539E">
        <w:rPr>
          <w:szCs w:val="15"/>
        </w:rPr>
        <w:t xml:space="preserve">, která </w:t>
      </w:r>
      <w:r w:rsidR="00E3353B">
        <w:rPr>
          <w:szCs w:val="15"/>
        </w:rPr>
        <w:t xml:space="preserve">je založena na </w:t>
      </w:r>
      <w:r w:rsidR="003B539E">
        <w:rPr>
          <w:szCs w:val="15"/>
        </w:rPr>
        <w:t>mytologické</w:t>
      </w:r>
      <w:r w:rsidR="00E3353B">
        <w:rPr>
          <w:szCs w:val="15"/>
        </w:rPr>
        <w:t>m</w:t>
      </w:r>
      <w:r w:rsidR="003B539E">
        <w:rPr>
          <w:szCs w:val="15"/>
        </w:rPr>
        <w:t xml:space="preserve"> subjektu </w:t>
      </w:r>
      <w:r w:rsidR="00E3353B">
        <w:rPr>
          <w:szCs w:val="15"/>
        </w:rPr>
        <w:t xml:space="preserve">složeného ze dvou nesmyslných substancí: </w:t>
      </w:r>
      <w:r w:rsidR="002A54EB">
        <w:rPr>
          <w:szCs w:val="15"/>
        </w:rPr>
        <w:t xml:space="preserve">demiurgické </w:t>
      </w:r>
      <w:r w:rsidR="003B539E">
        <w:rPr>
          <w:szCs w:val="15"/>
        </w:rPr>
        <w:t xml:space="preserve">vůle a </w:t>
      </w:r>
      <w:r w:rsidR="002A54EB">
        <w:rPr>
          <w:szCs w:val="15"/>
        </w:rPr>
        <w:t xml:space="preserve">instrumentálního slepého </w:t>
      </w:r>
      <w:r w:rsidR="003B539E">
        <w:rPr>
          <w:szCs w:val="15"/>
        </w:rPr>
        <w:t xml:space="preserve">rozumu. Vedená pravdou jako </w:t>
      </w:r>
      <w:r w:rsidR="003B539E" w:rsidRPr="003B539E">
        <w:rPr>
          <w:i/>
          <w:szCs w:val="15"/>
        </w:rPr>
        <w:t>certitudo</w:t>
      </w:r>
      <w:r w:rsidR="003B539E">
        <w:rPr>
          <w:szCs w:val="15"/>
        </w:rPr>
        <w:t xml:space="preserve"> a </w:t>
      </w:r>
      <w:r w:rsidR="003B539E" w:rsidRPr="003B539E">
        <w:rPr>
          <w:i/>
          <w:szCs w:val="15"/>
        </w:rPr>
        <w:t>rectitudo</w:t>
      </w:r>
      <w:r w:rsidR="003B539E">
        <w:rPr>
          <w:szCs w:val="15"/>
        </w:rPr>
        <w:t xml:space="preserve">, moderna </w:t>
      </w:r>
      <w:r w:rsidR="08163013">
        <w:rPr>
          <w:szCs w:val="15"/>
        </w:rPr>
        <w:t xml:space="preserve">vytěsnila </w:t>
      </w:r>
      <w:r w:rsidR="009C2E1F">
        <w:rPr>
          <w:szCs w:val="15"/>
        </w:rPr>
        <w:t xml:space="preserve">původní pravdu jako </w:t>
      </w:r>
      <w:r w:rsidR="08163013" w:rsidRPr="085613C8">
        <w:rPr>
          <w:i/>
          <w:szCs w:val="15"/>
        </w:rPr>
        <w:t>alétheia</w:t>
      </w:r>
      <w:r w:rsidR="08163013">
        <w:rPr>
          <w:szCs w:val="15"/>
        </w:rPr>
        <w:t xml:space="preserve"> sporu o averroismus v letech 1250‒77 ze svých oficiálních akademických dějin. </w:t>
      </w:r>
      <w:r w:rsidR="08163013">
        <w:t xml:space="preserve">Definice volitivně určené </w:t>
      </w:r>
      <w:r w:rsidR="08163013" w:rsidRPr="00273106">
        <w:t xml:space="preserve">pravdy u Anselma </w:t>
      </w:r>
      <w:r w:rsidR="08163013">
        <w:t xml:space="preserve">a </w:t>
      </w:r>
      <w:r w:rsidR="08163013" w:rsidRPr="00273106">
        <w:t>Gros</w:t>
      </w:r>
      <w:r w:rsidR="08163013">
        <w:t>setesteho ukázala</w:t>
      </w:r>
      <w:r w:rsidR="08163013" w:rsidRPr="00273106">
        <w:t>, že moderní subjekt dostal hned na začátku dru</w:t>
      </w:r>
      <w:r w:rsidR="009C4BE1">
        <w:t xml:space="preserve">hého averroismu epochálně nové </w:t>
      </w:r>
      <w:r w:rsidR="08163013">
        <w:t xml:space="preserve">demiurgické </w:t>
      </w:r>
      <w:r w:rsidR="08163013" w:rsidRPr="00273106">
        <w:t xml:space="preserve">právo </w:t>
      </w:r>
      <w:r w:rsidR="009C4BE1">
        <w:t>(</w:t>
      </w:r>
      <w:r w:rsidR="009C4BE1" w:rsidRPr="007C2B03">
        <w:rPr>
          <w:i/>
        </w:rPr>
        <w:t>rectitudo</w:t>
      </w:r>
      <w:r w:rsidR="009C4BE1">
        <w:t xml:space="preserve">) </w:t>
      </w:r>
      <w:r w:rsidR="08163013" w:rsidRPr="00273106">
        <w:t xml:space="preserve">na </w:t>
      </w:r>
      <w:r w:rsidR="009C4BE1">
        <w:t xml:space="preserve">určení </w:t>
      </w:r>
      <w:r w:rsidR="08163013" w:rsidRPr="00273106">
        <w:t>smysl</w:t>
      </w:r>
      <w:r w:rsidR="009C4BE1">
        <w:t>u</w:t>
      </w:r>
      <w:r w:rsidR="08163013" w:rsidRPr="00273106">
        <w:t xml:space="preserve"> jsoucna. </w:t>
      </w:r>
      <w:r w:rsidR="08163013">
        <w:t>Aristotelský kritický intelekt hrál v tomto scénáři až druhé housle. Pravda jako adekvace myšlení a reality přestala mít určující roli</w:t>
      </w:r>
      <w:r w:rsidR="00125029">
        <w:t xml:space="preserve"> pro moderní myšlení</w:t>
      </w:r>
      <w:r w:rsidR="08163013">
        <w:t xml:space="preserve">. </w:t>
      </w:r>
      <w:r w:rsidR="00D2659D">
        <w:rPr>
          <w:rStyle w:val="Zkladntext158dkovn0pt"/>
          <w:color w:val="auto"/>
          <w:spacing w:val="0"/>
          <w:sz w:val="24"/>
          <w:lang w:val="cs-CZ"/>
        </w:rPr>
        <w:t>Averroes a Siger bránili s</w:t>
      </w:r>
      <w:r w:rsidR="00D2659D">
        <w:rPr>
          <w:lang w:eastAsia="en-US"/>
        </w:rPr>
        <w:t xml:space="preserve">pecifický charakter receptivního intelektu skrze </w:t>
      </w:r>
      <w:r w:rsidR="00D2659D" w:rsidRPr="08BD7B85">
        <w:rPr>
          <w:i/>
          <w:lang w:eastAsia="en-US"/>
        </w:rPr>
        <w:t>modus tollens</w:t>
      </w:r>
      <w:r w:rsidR="00D2659D">
        <w:rPr>
          <w:i/>
        </w:rPr>
        <w:fldChar w:fldCharType="begin"/>
      </w:r>
      <w:r w:rsidR="00D2659D">
        <w:instrText xml:space="preserve"> XE "</w:instrText>
      </w:r>
      <w:r w:rsidR="00D2659D" w:rsidRPr="08643422">
        <w:rPr>
          <w:i/>
        </w:rPr>
        <w:instrText>modus tollens</w:instrText>
      </w:r>
      <w:r w:rsidR="00D2659D">
        <w:instrText xml:space="preserve">" </w:instrText>
      </w:r>
      <w:r w:rsidR="00D2659D">
        <w:rPr>
          <w:i/>
        </w:rPr>
        <w:fldChar w:fldCharType="end"/>
      </w:r>
      <w:r w:rsidR="00D2659D">
        <w:rPr>
          <w:lang w:eastAsia="en-US"/>
        </w:rPr>
        <w:t xml:space="preserve"> a kategoriální </w:t>
      </w:r>
      <w:r w:rsidR="00D2659D" w:rsidRPr="08BD7B85">
        <w:rPr>
          <w:i/>
          <w:lang w:eastAsia="en-US"/>
        </w:rPr>
        <w:t>destructio primis</w:t>
      </w:r>
      <w:r w:rsidR="00D2659D">
        <w:rPr>
          <w:i/>
          <w:lang w:eastAsia="en-US"/>
        </w:rPr>
        <w:fldChar w:fldCharType="begin"/>
      </w:r>
      <w:r w:rsidR="00D2659D">
        <w:instrText xml:space="preserve"> XE "</w:instrText>
      </w:r>
      <w:r w:rsidR="00D2659D" w:rsidRPr="08B54A1F">
        <w:rPr>
          <w:i/>
          <w:lang w:eastAsia="en-US"/>
        </w:rPr>
        <w:instrText>destructio primis</w:instrText>
      </w:r>
      <w:r w:rsidR="00D2659D">
        <w:instrText xml:space="preserve">" </w:instrText>
      </w:r>
      <w:r w:rsidR="00D2659D">
        <w:rPr>
          <w:i/>
          <w:lang w:eastAsia="en-US"/>
        </w:rPr>
        <w:fldChar w:fldCharType="end"/>
      </w:r>
      <w:r w:rsidR="00D2659D">
        <w:rPr>
          <w:lang w:eastAsia="en-US"/>
        </w:rPr>
        <w:t xml:space="preserve">. </w:t>
      </w:r>
      <w:r w:rsidR="00926C10">
        <w:rPr>
          <w:lang w:eastAsia="en-US"/>
        </w:rPr>
        <w:t>Moderní v</w:t>
      </w:r>
      <w:r w:rsidR="08163013">
        <w:t>ůle</w:t>
      </w:r>
      <w:r w:rsidR="00125029">
        <w:t xml:space="preserve"> a intelekt </w:t>
      </w:r>
      <w:r w:rsidR="08163013">
        <w:t xml:space="preserve">osvícená vlastní </w:t>
      </w:r>
      <w:r w:rsidR="00125029">
        <w:t xml:space="preserve">pravdou </w:t>
      </w:r>
      <w:r w:rsidR="00926C10">
        <w:t>nepotřebují</w:t>
      </w:r>
      <w:r w:rsidR="08163013">
        <w:t xml:space="preserve"> žádného prostředníka, kter</w:t>
      </w:r>
      <w:r w:rsidR="00125029">
        <w:t xml:space="preserve">ý by kriticky determinoval </w:t>
      </w:r>
      <w:r w:rsidR="08163013">
        <w:t>intimně danou svobodu</w:t>
      </w:r>
      <w:r w:rsidR="00A51757">
        <w:t xml:space="preserve"> m</w:t>
      </w:r>
      <w:r w:rsidR="00866DFA">
        <w:t>odern</w:t>
      </w:r>
      <w:r w:rsidR="00A51757">
        <w:t>y</w:t>
      </w:r>
      <w:r w:rsidR="08163013">
        <w:t xml:space="preserve">. </w:t>
      </w:r>
      <w:r w:rsidR="00BA548E" w:rsidRPr="00273106">
        <w:t xml:space="preserve">Suverénní a svobodná vůle postavená mimo aktualitu intelektu je </w:t>
      </w:r>
      <w:r w:rsidR="00BA548E">
        <w:t xml:space="preserve">plně </w:t>
      </w:r>
      <w:r w:rsidR="00BA548E" w:rsidRPr="00273106">
        <w:t xml:space="preserve">aktuální v intimní </w:t>
      </w:r>
      <w:r w:rsidR="00BA548E">
        <w:t>svobodě, která je substančně oddělena jak od intelektu, tak od konkrétních rozhodnutí vůle</w:t>
      </w:r>
      <w:r w:rsidR="00BA548E" w:rsidRPr="00273106">
        <w:t xml:space="preserve">. </w:t>
      </w:r>
      <w:r w:rsidR="00BA548E" w:rsidRPr="00F7121F">
        <w:t>Taková slepá objektivní vůle, maskovaná jako objektivní věda, se stala vedouc</w:t>
      </w:r>
      <w:r w:rsidR="00BA548E">
        <w:t xml:space="preserve">í silou čarodějnických procesů od začátku 14. století. </w:t>
      </w:r>
      <w:r w:rsidR="08163013" w:rsidRPr="00273106">
        <w:t xml:space="preserve">Svobodná </w:t>
      </w:r>
      <w:r w:rsidR="08163013">
        <w:t xml:space="preserve">a šílená </w:t>
      </w:r>
      <w:r w:rsidR="08163013" w:rsidRPr="00273106">
        <w:t xml:space="preserve">vůle </w:t>
      </w:r>
      <w:r w:rsidR="08163013" w:rsidRPr="08D53FFC">
        <w:rPr>
          <w:i/>
        </w:rPr>
        <w:t>Modernorum</w:t>
      </w:r>
      <w:r w:rsidR="08163013">
        <w:t xml:space="preserve"> </w:t>
      </w:r>
      <w:r w:rsidR="08163013" w:rsidRPr="00273106">
        <w:t>je vlastním počátkem</w:t>
      </w:r>
      <w:r w:rsidR="08163013">
        <w:t xml:space="preserve"> v demiurgickém modu </w:t>
      </w:r>
      <w:r w:rsidR="08163013" w:rsidRPr="00B257DD">
        <w:rPr>
          <w:i/>
        </w:rPr>
        <w:t>factum</w:t>
      </w:r>
      <w:r w:rsidR="08163013">
        <w:rPr>
          <w:i/>
        </w:rPr>
        <w:fldChar w:fldCharType="begin"/>
      </w:r>
      <w:r w:rsidR="08163013">
        <w:instrText xml:space="preserve"> XE "</w:instrText>
      </w:r>
      <w:r w:rsidR="08163013" w:rsidRPr="0012277B">
        <w:rPr>
          <w:i/>
        </w:rPr>
        <w:instrText>factum</w:instrText>
      </w:r>
      <w:r w:rsidR="08163013">
        <w:instrText xml:space="preserve">" </w:instrText>
      </w:r>
      <w:r w:rsidR="08163013">
        <w:rPr>
          <w:i/>
        </w:rPr>
        <w:fldChar w:fldCharType="end"/>
      </w:r>
      <w:r w:rsidR="08163013">
        <w:t xml:space="preserve">, protože si přivlastňuje svět v nové formě </w:t>
      </w:r>
      <w:r w:rsidR="08163013" w:rsidRPr="08D53FFC">
        <w:rPr>
          <w:i/>
          <w:szCs w:val="27"/>
          <w:shd w:val="clear" w:color="auto" w:fill="FFFFFF"/>
        </w:rPr>
        <w:t>dativus possessivus</w:t>
      </w:r>
      <w:r w:rsidR="08163013">
        <w:rPr>
          <w:i/>
          <w:szCs w:val="27"/>
          <w:shd w:val="clear" w:color="auto" w:fill="FFFFFF"/>
        </w:rPr>
        <w:fldChar w:fldCharType="begin"/>
      </w:r>
      <w:r w:rsidR="08163013">
        <w:instrText xml:space="preserve"> XE "</w:instrText>
      </w:r>
      <w:r w:rsidR="08163013" w:rsidRPr="08770B46">
        <w:rPr>
          <w:i/>
          <w:szCs w:val="27"/>
          <w:shd w:val="clear" w:color="auto" w:fill="FFFFFF"/>
        </w:rPr>
        <w:instrText>dativus possessivus</w:instrText>
      </w:r>
      <w:r w:rsidR="08163013">
        <w:instrText xml:space="preserve">" </w:instrText>
      </w:r>
      <w:r w:rsidR="08163013">
        <w:rPr>
          <w:i/>
          <w:szCs w:val="27"/>
          <w:shd w:val="clear" w:color="auto" w:fill="FFFFFF"/>
        </w:rPr>
        <w:fldChar w:fldCharType="end"/>
      </w:r>
      <w:r w:rsidR="08163013">
        <w:rPr>
          <w:szCs w:val="27"/>
          <w:shd w:val="clear" w:color="auto" w:fill="FFFFFF"/>
        </w:rPr>
        <w:t xml:space="preserve">. </w:t>
      </w:r>
      <w:r w:rsidR="004F4789" w:rsidRPr="004F4789">
        <w:rPr>
          <w:szCs w:val="27"/>
          <w:shd w:val="clear" w:color="auto" w:fill="FFFFFF"/>
        </w:rPr>
        <w:t xml:space="preserve">Tento druh posedlosti </w:t>
      </w:r>
      <w:r w:rsidR="004F4789">
        <w:rPr>
          <w:szCs w:val="27"/>
          <w:shd w:val="clear" w:color="auto" w:fill="FFFFFF"/>
        </w:rPr>
        <w:t>(</w:t>
      </w:r>
      <w:r w:rsidR="004F4789">
        <w:rPr>
          <w:i/>
          <w:szCs w:val="27"/>
          <w:shd w:val="clear" w:color="auto" w:fill="FFFFFF"/>
        </w:rPr>
        <w:t>possessio</w:t>
      </w:r>
      <w:r w:rsidR="004F4789">
        <w:rPr>
          <w:szCs w:val="27"/>
          <w:shd w:val="clear" w:color="auto" w:fill="FFFFFF"/>
        </w:rPr>
        <w:t xml:space="preserve">) má </w:t>
      </w:r>
      <w:r w:rsidR="004F4789" w:rsidRPr="004F4789">
        <w:rPr>
          <w:szCs w:val="27"/>
          <w:shd w:val="clear" w:color="auto" w:fill="FFFFFF"/>
        </w:rPr>
        <w:t>démonický charakter</w:t>
      </w:r>
      <w:r w:rsidR="004A2109">
        <w:rPr>
          <w:szCs w:val="27"/>
          <w:shd w:val="clear" w:color="auto" w:fill="FFFFFF"/>
        </w:rPr>
        <w:t xml:space="preserve"> </w:t>
      </w:r>
      <w:r w:rsidR="00E76102">
        <w:rPr>
          <w:szCs w:val="27"/>
          <w:shd w:val="clear" w:color="auto" w:fill="FFFFFF"/>
        </w:rPr>
        <w:t>určený iraciá</w:t>
      </w:r>
      <w:r w:rsidR="004A2109">
        <w:rPr>
          <w:szCs w:val="27"/>
          <w:shd w:val="clear" w:color="auto" w:fill="FFFFFF"/>
        </w:rPr>
        <w:t>l</w:t>
      </w:r>
      <w:r w:rsidR="00E76102">
        <w:rPr>
          <w:szCs w:val="27"/>
          <w:shd w:val="clear" w:color="auto" w:fill="FFFFFF"/>
        </w:rPr>
        <w:t>ními božstvy</w:t>
      </w:r>
      <w:r w:rsidR="004A2109">
        <w:rPr>
          <w:szCs w:val="27"/>
          <w:shd w:val="clear" w:color="auto" w:fill="FFFFFF"/>
        </w:rPr>
        <w:t xml:space="preserve"> akademické Pomsty. </w:t>
      </w:r>
      <w:r w:rsidR="00E76102">
        <w:rPr>
          <w:szCs w:val="27"/>
          <w:shd w:val="clear" w:color="auto" w:fill="FFFFFF"/>
        </w:rPr>
        <w:t>Sub</w:t>
      </w:r>
      <w:r w:rsidR="004A2109">
        <w:rPr>
          <w:szCs w:val="27"/>
          <w:shd w:val="clear" w:color="auto" w:fill="FFFFFF"/>
        </w:rPr>
        <w:t>j</w:t>
      </w:r>
      <w:r w:rsidR="00E76102">
        <w:rPr>
          <w:szCs w:val="27"/>
          <w:shd w:val="clear" w:color="auto" w:fill="FFFFFF"/>
        </w:rPr>
        <w:t>etivně založ</w:t>
      </w:r>
      <w:r w:rsidR="004A2109">
        <w:rPr>
          <w:szCs w:val="27"/>
          <w:shd w:val="clear" w:color="auto" w:fill="FFFFFF"/>
        </w:rPr>
        <w:t xml:space="preserve">ené Fúrie pracovaly v obranném mechanismu </w:t>
      </w:r>
      <w:r w:rsidR="004F4789" w:rsidRPr="004F4789">
        <w:rPr>
          <w:i/>
          <w:szCs w:val="27"/>
          <w:shd w:val="clear" w:color="auto" w:fill="FFFFFF"/>
        </w:rPr>
        <w:t>Verkehrung ins Gegenteil</w:t>
      </w:r>
      <w:r w:rsidR="004F4789" w:rsidRPr="004F4789">
        <w:rPr>
          <w:szCs w:val="27"/>
          <w:shd w:val="clear" w:color="auto" w:fill="FFFFFF"/>
        </w:rPr>
        <w:t xml:space="preserve"> </w:t>
      </w:r>
      <w:r w:rsidR="004A2109">
        <w:rPr>
          <w:szCs w:val="27"/>
          <w:shd w:val="clear" w:color="auto" w:fill="FFFFFF"/>
        </w:rPr>
        <w:t xml:space="preserve">a </w:t>
      </w:r>
      <w:r w:rsidR="004F4789" w:rsidRPr="004F4789">
        <w:rPr>
          <w:szCs w:val="27"/>
          <w:shd w:val="clear" w:color="auto" w:fill="FFFFFF"/>
        </w:rPr>
        <w:t>promítal</w:t>
      </w:r>
      <w:r w:rsidR="004A2109">
        <w:rPr>
          <w:szCs w:val="27"/>
          <w:shd w:val="clear" w:color="auto" w:fill="FFFFFF"/>
        </w:rPr>
        <w:t>y</w:t>
      </w:r>
      <w:r w:rsidR="004F4789" w:rsidRPr="004F4789">
        <w:rPr>
          <w:szCs w:val="27"/>
          <w:shd w:val="clear" w:color="auto" w:fill="FFFFFF"/>
        </w:rPr>
        <w:t xml:space="preserve"> </w:t>
      </w:r>
      <w:r w:rsidR="004A2109">
        <w:rPr>
          <w:szCs w:val="27"/>
          <w:shd w:val="clear" w:color="auto" w:fill="FFFFFF"/>
        </w:rPr>
        <w:t xml:space="preserve">své vlastní bludy </w:t>
      </w:r>
      <w:r w:rsidR="004F4789" w:rsidRPr="004F4789">
        <w:rPr>
          <w:szCs w:val="27"/>
          <w:shd w:val="clear" w:color="auto" w:fill="FFFFFF"/>
        </w:rPr>
        <w:t xml:space="preserve">do odsouzených </w:t>
      </w:r>
      <w:r w:rsidR="00190584">
        <w:rPr>
          <w:szCs w:val="27"/>
          <w:shd w:val="clear" w:color="auto" w:fill="FFFFFF"/>
        </w:rPr>
        <w:t>„</w:t>
      </w:r>
      <w:r w:rsidR="004F4789" w:rsidRPr="004F4789">
        <w:rPr>
          <w:szCs w:val="27"/>
          <w:shd w:val="clear" w:color="auto" w:fill="FFFFFF"/>
        </w:rPr>
        <w:t>čarodějnic</w:t>
      </w:r>
      <w:r w:rsidR="00190584">
        <w:rPr>
          <w:szCs w:val="27"/>
          <w:shd w:val="clear" w:color="auto" w:fill="FFFFFF"/>
        </w:rPr>
        <w:t>“</w:t>
      </w:r>
      <w:r w:rsidR="004F4789" w:rsidRPr="004F4789">
        <w:rPr>
          <w:szCs w:val="27"/>
          <w:shd w:val="clear" w:color="auto" w:fill="FFFFFF"/>
        </w:rPr>
        <w:t>.</w:t>
      </w:r>
      <w:r w:rsidR="00D33597">
        <w:rPr>
          <w:szCs w:val="27"/>
          <w:shd w:val="clear" w:color="auto" w:fill="FFFFFF"/>
        </w:rPr>
        <w:t xml:space="preserve"> </w:t>
      </w:r>
      <w:r w:rsidR="08163013">
        <w:t>Západní iluminát</w:t>
      </w:r>
      <w:r w:rsidR="00D33597">
        <w:t>i</w:t>
      </w:r>
      <w:r w:rsidR="08163013">
        <w:t xml:space="preserve"> </w:t>
      </w:r>
      <w:r w:rsidR="00D33597">
        <w:t>nosí pravdu sa</w:t>
      </w:r>
      <w:r w:rsidR="08163013">
        <w:t>m</w:t>
      </w:r>
      <w:r w:rsidR="000E69A4">
        <w:t>i v sobě, protože jsou osvíceni přímo svým slunečním intelektem (</w:t>
      </w:r>
      <w:r w:rsidR="000E69A4" w:rsidRPr="000E69A4">
        <w:rPr>
          <w:i/>
        </w:rPr>
        <w:t>certitudo</w:t>
      </w:r>
      <w:r w:rsidR="000E69A4">
        <w:t>). Kromě toho jsou spojeni se svým bohem vytvořeným spekulativně aktem augustiniánské paměti a vrozeným avicennistickým intelektem (</w:t>
      </w:r>
      <w:r w:rsidR="000E69A4" w:rsidRPr="000E69A4">
        <w:rPr>
          <w:i/>
        </w:rPr>
        <w:t>rectitudo</w:t>
      </w:r>
      <w:r w:rsidR="000E69A4">
        <w:t>). Na začátku 14. století byla modernistická cesta bludného myšlení (</w:t>
      </w:r>
      <w:r w:rsidR="000E69A4" w:rsidRPr="000E69A4">
        <w:rPr>
          <w:i/>
        </w:rPr>
        <w:t>Irre</w:t>
      </w:r>
      <w:r w:rsidR="000E69A4">
        <w:t xml:space="preserve">) dokonaným faktem. </w:t>
      </w:r>
      <w:r w:rsidR="00A51757">
        <w:t xml:space="preserve">Předešlé výklady ukázaly, že pohyb pravdy </w:t>
      </w:r>
      <w:r w:rsidR="000E69A4">
        <w:t>jako archaické</w:t>
      </w:r>
      <w:r w:rsidR="00A51757">
        <w:t xml:space="preserve"> </w:t>
      </w:r>
      <w:r w:rsidR="00A51757" w:rsidRPr="08B74709">
        <w:rPr>
          <w:i/>
        </w:rPr>
        <w:t>alétheia</w:t>
      </w:r>
      <w:r w:rsidR="00A51757">
        <w:t xml:space="preserve"> </w:t>
      </w:r>
      <w:r w:rsidR="000E69A4">
        <w:t xml:space="preserve">je </w:t>
      </w:r>
      <w:r w:rsidR="00A51757">
        <w:t>navázaný na cestu Slunce</w:t>
      </w:r>
      <w:r w:rsidR="000E69A4">
        <w:t>, což potvrdil i Dante v </w:t>
      </w:r>
      <w:r w:rsidR="000E69A4" w:rsidRPr="000E69A4">
        <w:rPr>
          <w:i/>
        </w:rPr>
        <w:t>Božské komedii</w:t>
      </w:r>
      <w:r w:rsidR="00A51757">
        <w:t xml:space="preserve">. </w:t>
      </w:r>
      <w:r w:rsidR="00A51757">
        <w:lastRenderedPageBreak/>
        <w:t xml:space="preserve">Podobnost moderny s Homérovou </w:t>
      </w:r>
      <w:r w:rsidR="00A51757" w:rsidRPr="08CB74AB">
        <w:rPr>
          <w:i/>
        </w:rPr>
        <w:t>Odysseou</w:t>
      </w:r>
      <w:r w:rsidR="00A51757">
        <w:t xml:space="preserve"> je mnohem větší než jen obyčejná básnická licence. </w:t>
      </w:r>
      <w:r w:rsidR="00677B56" w:rsidRPr="00677B56">
        <w:t xml:space="preserve">Hermeneutický výklad Homéra zpochybňuje závěry Adorna a Horkheimera, kteří napsali </w:t>
      </w:r>
      <w:r w:rsidR="00677B56">
        <w:t xml:space="preserve">spis </w:t>
      </w:r>
      <w:r w:rsidR="00677B56" w:rsidRPr="00677B56">
        <w:rPr>
          <w:i/>
        </w:rPr>
        <w:t>Dialektik der Aufklärung</w:t>
      </w:r>
      <w:r w:rsidR="00677B56" w:rsidRPr="00677B56">
        <w:t>.</w:t>
      </w:r>
      <w:r w:rsidR="00677B56">
        <w:rPr>
          <w:rStyle w:val="Znakapoznpodarou"/>
        </w:rPr>
        <w:footnoteReference w:id="508"/>
      </w:r>
      <w:r w:rsidR="00677B56">
        <w:rPr>
          <w:rFonts w:ascii="Times New Roman" w:hAnsi="Times New Roman"/>
          <w:szCs w:val="24"/>
        </w:rPr>
        <w:t xml:space="preserve"> </w:t>
      </w:r>
      <w:r w:rsidR="00677B56" w:rsidRPr="00677B56">
        <w:t>Odysseus ne</w:t>
      </w:r>
      <w:r w:rsidR="00C20477">
        <w:t>byl</w:t>
      </w:r>
      <w:r w:rsidR="00677B56" w:rsidRPr="00677B56">
        <w:t xml:space="preserve"> prvním modernistou v dějinách Západu, který se nechal vést </w:t>
      </w:r>
      <w:r w:rsidR="006D3E3E">
        <w:t xml:space="preserve">metaforickým </w:t>
      </w:r>
      <w:r w:rsidR="00677B56" w:rsidRPr="00677B56">
        <w:t>sluncem instrumentálního intelektu</w:t>
      </w:r>
      <w:r w:rsidR="00103194">
        <w:t xml:space="preserve"> (</w:t>
      </w:r>
      <w:r w:rsidR="00103194">
        <w:rPr>
          <w:i/>
        </w:rPr>
        <w:t>von der Sonne der kalkulierenden Vernunft</w:t>
      </w:r>
      <w:r w:rsidR="00103194">
        <w:t>)</w:t>
      </w:r>
      <w:r w:rsidR="00677B56" w:rsidRPr="00677B56">
        <w:t xml:space="preserve">.  </w:t>
      </w:r>
      <w:r w:rsidR="00A51757">
        <w:t xml:space="preserve">Strukturu Odysseova putování řídí nevratný pohyb slunce jeho kosmickou dráhou danou v egyptských a sumerských mýtech (West 1997, 154‒72). </w:t>
      </w:r>
      <w:r w:rsidR="002B5142">
        <w:t>Moderna a postmoderna provedla o</w:t>
      </w:r>
      <w:r w:rsidR="0066661B">
        <w:t xml:space="preserve">dlišnou </w:t>
      </w:r>
      <w:r w:rsidR="002B5142">
        <w:t>cestu metafyzického nihilismu</w:t>
      </w:r>
      <w:r w:rsidR="00A51757">
        <w:t xml:space="preserve">. </w:t>
      </w:r>
      <w:r w:rsidR="002B5142">
        <w:t xml:space="preserve">Tato </w:t>
      </w:r>
      <w:r w:rsidR="00A51757">
        <w:t>cesta je vedena myto</w:t>
      </w:r>
      <w:r w:rsidR="002E638C">
        <w:t xml:space="preserve">logickou </w:t>
      </w:r>
      <w:r w:rsidR="00A51757">
        <w:t>vládou moderního intelektu-slunce. Připomeňme, že Parmenidův filosofický epos je zahájen pod vedením Heliád, které vedou filosofa jen jedním směrem k bohyni Pravdy. Myto</w:t>
      </w:r>
      <w:r w:rsidR="002E638C">
        <w:t xml:space="preserve">logická </w:t>
      </w:r>
      <w:r w:rsidR="00A51757">
        <w:t xml:space="preserve">moderna si cestu k objektivní pravdě osvěcuje vlastním sluncem intelektu. Ilumináti vedení vlastní </w:t>
      </w:r>
      <w:r w:rsidR="00A51757" w:rsidRPr="08E81E04">
        <w:rPr>
          <w:i/>
        </w:rPr>
        <w:t>hýbris</w:t>
      </w:r>
      <w:r w:rsidR="00A51757">
        <w:t xml:space="preserve"> nerespektují cestu metafyzického dativu a proto nemají adekvaci myšlení k realitě a chodí si vlastními bludnými cestami.</w:t>
      </w:r>
      <w:r w:rsidR="004C4B5B">
        <w:t xml:space="preserve"> </w:t>
      </w:r>
      <w:r w:rsidR="08163013" w:rsidRPr="00273106">
        <w:t xml:space="preserve">Moderna dala </w:t>
      </w:r>
      <w:r w:rsidR="08163013">
        <w:t>jak vůli</w:t>
      </w:r>
      <w:r w:rsidR="00D33597">
        <w:t>,</w:t>
      </w:r>
      <w:r w:rsidR="08163013">
        <w:t xml:space="preserve"> tak pravdu </w:t>
      </w:r>
      <w:r w:rsidR="08163013" w:rsidRPr="00273106">
        <w:t xml:space="preserve">do imanentní sféry subjektu, který je osvícen zezadu od světa automních forem. Rufus postavil pojetí pravdy mimo adekvaci, protože intelekt má svou vlastní aktualitu danou mimo externí první substanci. Adekvace rozumu a věci skrze mediaci smyslů představuje pro dosažení plnosti pravdy zbytečnou </w:t>
      </w:r>
      <w:r w:rsidR="08163013">
        <w:t xml:space="preserve">záležitost vhodnou pouze pro </w:t>
      </w:r>
      <w:r w:rsidR="08163013" w:rsidRPr="00273106">
        <w:t>nižší stupeň rozumového poznání</w:t>
      </w:r>
      <w:r w:rsidR="08163013">
        <w:t xml:space="preserve"> daný na úrovni aristotelského </w:t>
      </w:r>
      <w:r w:rsidR="00544539">
        <w:t>„</w:t>
      </w:r>
      <w:r w:rsidR="08163013" w:rsidRPr="082F0252">
        <w:rPr>
          <w:i/>
        </w:rPr>
        <w:t>intellectus debilis</w:t>
      </w:r>
      <w:r w:rsidR="00544539">
        <w:t>“</w:t>
      </w:r>
      <w:r w:rsidR="08163013" w:rsidRPr="00273106">
        <w:t xml:space="preserve">. Hlavní složku poznání tvoří přímé osvícení intelektu </w:t>
      </w:r>
      <w:r w:rsidR="08163013">
        <w:t>skrze vyšší pravdu</w:t>
      </w:r>
      <w:r w:rsidR="08163013" w:rsidRPr="00273106">
        <w:t xml:space="preserve"> danou nejprve </w:t>
      </w:r>
      <w:r w:rsidR="08163013">
        <w:t xml:space="preserve">mysticky a později objektivně. </w:t>
      </w:r>
      <w:r w:rsidR="08163013" w:rsidRPr="08867AEE">
        <w:t xml:space="preserve">Gandavus dal intimitu svobodné vůle v modu </w:t>
      </w:r>
      <w:r w:rsidR="002E6C92">
        <w:t>„</w:t>
      </w:r>
      <w:r w:rsidR="08163013" w:rsidRPr="002E6C92">
        <w:rPr>
          <w:i/>
        </w:rPr>
        <w:t>esse ad</w:t>
      </w:r>
      <w:r w:rsidR="002E6C92">
        <w:t>“</w:t>
      </w:r>
      <w:r w:rsidR="08163013" w:rsidRPr="08867AEE">
        <w:t xml:space="preserve"> do božího svobodného intelektu a do jeho potenciální intencionality. </w:t>
      </w:r>
      <w:r w:rsidR="00E65935" w:rsidRPr="08867AEE">
        <w:t xml:space="preserve">Ilumináti </w:t>
      </w:r>
      <w:r w:rsidR="006F658D">
        <w:t>vložili</w:t>
      </w:r>
      <w:r w:rsidR="00E65935" w:rsidRPr="08867AEE">
        <w:t xml:space="preserve"> do moderního boha celou kolekci jsoucen třetího druhu. Psychologii a osvícenou mysl tohoto božského simulákra řídí princip antropomorfické projekce provozované akademickou </w:t>
      </w:r>
      <w:r w:rsidR="00E65935" w:rsidRPr="00E65935">
        <w:rPr>
          <w:i/>
        </w:rPr>
        <w:t>intelligentia spiritualis</w:t>
      </w:r>
      <w:r w:rsidR="00E65935" w:rsidRPr="08867AEE">
        <w:fldChar w:fldCharType="begin"/>
      </w:r>
      <w:r w:rsidR="00E65935" w:rsidRPr="08867AEE">
        <w:instrText xml:space="preserve"> XE "intelligentia spiritualis" </w:instrText>
      </w:r>
      <w:r w:rsidR="00E65935" w:rsidRPr="08867AEE">
        <w:fldChar w:fldCharType="end"/>
      </w:r>
      <w:r w:rsidR="00E65935" w:rsidRPr="08867AEE">
        <w:t xml:space="preserve">. </w:t>
      </w:r>
      <w:r w:rsidR="00534F93" w:rsidRPr="08867AEE">
        <w:t xml:space="preserve">Tuto vědeckou produkci kapitálově nejcennějšího idolu moderny analyzovali a ukončili Feuerbach a Nietzsche. Jejich </w:t>
      </w:r>
      <w:r w:rsidR="00534F93">
        <w:t>„</w:t>
      </w:r>
      <w:r w:rsidR="00534F93" w:rsidRPr="08867AEE">
        <w:t>hermeneutika podezření</w:t>
      </w:r>
      <w:r w:rsidR="00534F93">
        <w:t>“ (P. Ricoeur</w:t>
      </w:r>
      <w:r w:rsidR="00534F93">
        <w:fldChar w:fldCharType="begin"/>
      </w:r>
      <w:r w:rsidR="00534F93">
        <w:instrText xml:space="preserve"> XE "</w:instrText>
      </w:r>
      <w:r w:rsidR="00534F93" w:rsidRPr="000E7369">
        <w:instrText>Ricoeur, P.</w:instrText>
      </w:r>
      <w:r w:rsidR="00534F93">
        <w:instrText xml:space="preserve">" </w:instrText>
      </w:r>
      <w:r w:rsidR="00534F93">
        <w:fldChar w:fldCharType="end"/>
      </w:r>
      <w:r w:rsidR="00534F93">
        <w:t>)</w:t>
      </w:r>
      <w:r w:rsidR="00534F93" w:rsidRPr="08867AEE">
        <w:t xml:space="preserve"> ovšem nezrušila postmoderní výrobní linku těchto simuláker. Kulturní hegemonií a kreativitou Moderních danou v modu objektivní ontoteologie vznikla první struktura objektivní metafyziky v letech 1230‒50. Tato </w:t>
      </w:r>
      <w:r w:rsidR="00534F93" w:rsidRPr="08867AEE">
        <w:lastRenderedPageBreak/>
        <w:t xml:space="preserve">kreace byla tak šílená (Bacon) a směšná (Albert), že nemohla vstoupit do akademického salónu Pařížské univerzity. Do roku 1250 to byla eminentní papežská a křesťanská univerzita vedená Blundovými žáky. </w:t>
      </w:r>
      <w:r w:rsidR="08163013" w:rsidRPr="08867AEE">
        <w:t xml:space="preserve">V bohu modernistů se </w:t>
      </w:r>
      <w:r w:rsidR="007E0613">
        <w:t xml:space="preserve">nesmyslné </w:t>
      </w:r>
      <w:r w:rsidR="08163013" w:rsidRPr="08867AEE">
        <w:t>ro</w:t>
      </w:r>
      <w:r w:rsidR="00534F93">
        <w:t>zpory objektivně dobře snášejí. Moderní subjekt musel nejprve vytvořit takto absurdně založeného moderního boha, aby na jeho opačném pólu konstituoval objektivní svět moderních čarodejnic. Moderní b</w:t>
      </w:r>
      <w:r w:rsidR="00534F93" w:rsidRPr="00534F93">
        <w:t xml:space="preserve">ůh jako </w:t>
      </w:r>
      <w:r w:rsidR="00534F93">
        <w:t>simulá</w:t>
      </w:r>
      <w:r w:rsidR="00534F93" w:rsidRPr="00534F93">
        <w:t xml:space="preserve">krum je díky svému objektivnímu </w:t>
      </w:r>
      <w:r w:rsidR="00534F93" w:rsidRPr="00534F93">
        <w:rPr>
          <w:i/>
        </w:rPr>
        <w:t>actus essendi</w:t>
      </w:r>
      <w:r w:rsidR="00534F93" w:rsidRPr="00534F93">
        <w:t xml:space="preserve"> absolutně oddělen od stvoření. Čarodějnice jako </w:t>
      </w:r>
      <w:r w:rsidR="00534F93">
        <w:t xml:space="preserve">opačné </w:t>
      </w:r>
      <w:r w:rsidR="00534F93" w:rsidRPr="00534F93">
        <w:rPr>
          <w:i/>
        </w:rPr>
        <w:t>scibile</w:t>
      </w:r>
      <w:r w:rsidR="00534F93" w:rsidRPr="00534F93">
        <w:t xml:space="preserve"> není od</w:t>
      </w:r>
      <w:r w:rsidR="00C06901">
        <w:t xml:space="preserve"> světa zcela oddělena</w:t>
      </w:r>
      <w:r w:rsidR="00C06901" w:rsidRPr="00C06901">
        <w:t xml:space="preserve">, protože se </w:t>
      </w:r>
      <w:r w:rsidR="00C06901">
        <w:t xml:space="preserve">existuje </w:t>
      </w:r>
      <w:r w:rsidR="00C06901" w:rsidRPr="00C06901">
        <w:t xml:space="preserve">v konečné modalitě </w:t>
      </w:r>
      <w:r w:rsidR="000F4973">
        <w:t xml:space="preserve">a působí </w:t>
      </w:r>
      <w:r w:rsidR="00C06901">
        <w:t xml:space="preserve">skrze </w:t>
      </w:r>
      <w:r w:rsidR="00C06901" w:rsidRPr="00C06901">
        <w:rPr>
          <w:i/>
        </w:rPr>
        <w:t>causa remota</w:t>
      </w:r>
      <w:r w:rsidR="00C06901">
        <w:t xml:space="preserve"> démonických sil. </w:t>
      </w:r>
      <w:r w:rsidR="00534F93">
        <w:t>Moderní b</w:t>
      </w:r>
      <w:r w:rsidR="00534F93" w:rsidRPr="00534F93">
        <w:t xml:space="preserve">ůh a čarodějnice existují pouze v objektivním myšlení, protože </w:t>
      </w:r>
      <w:r w:rsidR="00534F93">
        <w:t xml:space="preserve">to </w:t>
      </w:r>
      <w:r w:rsidR="00534F93" w:rsidRPr="00534F93">
        <w:t xml:space="preserve">se neřídí principem reality. </w:t>
      </w:r>
      <w:r w:rsidR="00534F93">
        <w:t>Bůh m</w:t>
      </w:r>
      <w:r w:rsidR="08163013" w:rsidRPr="08867AEE">
        <w:t xml:space="preserve">oderních byl </w:t>
      </w:r>
      <w:r w:rsidR="00E77CF8">
        <w:t xml:space="preserve">až </w:t>
      </w:r>
      <w:r w:rsidR="08163013" w:rsidRPr="08867AEE">
        <w:t xml:space="preserve">do smrti biskupa Alverna dějinně účinný pouze na </w:t>
      </w:r>
      <w:r w:rsidR="00146928">
        <w:t>Oxfordské univerzitě</w:t>
      </w:r>
      <w:r w:rsidR="08163013" w:rsidRPr="08867AEE">
        <w:t>, kde objektivně koexistoval s Eliášovým krkavcem</w:t>
      </w:r>
      <w:r w:rsidR="08163013" w:rsidRPr="08867AEE">
        <w:fldChar w:fldCharType="begin"/>
      </w:r>
      <w:r w:rsidR="08163013" w:rsidRPr="08867AEE">
        <w:instrText xml:space="preserve"> XE "Eliášův krkavec" </w:instrText>
      </w:r>
      <w:r w:rsidR="08163013" w:rsidRPr="08867AEE">
        <w:fldChar w:fldCharType="end"/>
      </w:r>
      <w:r w:rsidR="08163013" w:rsidRPr="08867AEE">
        <w:t xml:space="preserve">. </w:t>
      </w:r>
      <w:r w:rsidR="08163013" w:rsidRPr="00273106">
        <w:t xml:space="preserve">V další fázi sporu </w:t>
      </w:r>
      <w:r w:rsidR="08163013">
        <w:t xml:space="preserve">vedené Bonaventurou </w:t>
      </w:r>
      <w:r w:rsidR="08163013" w:rsidRPr="00273106">
        <w:t xml:space="preserve">vznikla struktura </w:t>
      </w:r>
      <w:r w:rsidR="00E6368F">
        <w:t xml:space="preserve">nové </w:t>
      </w:r>
      <w:r w:rsidR="08163013">
        <w:t xml:space="preserve">první filosofie </w:t>
      </w:r>
      <w:r w:rsidR="08163013" w:rsidRPr="00273106">
        <w:t>daná ontoteologicky</w:t>
      </w:r>
      <w:r w:rsidR="08163013">
        <w:t xml:space="preserve"> i na Pařížské univerzitě</w:t>
      </w:r>
      <w:r w:rsidR="08163013">
        <w:fldChar w:fldCharType="begin"/>
      </w:r>
      <w:r w:rsidR="08163013">
        <w:instrText xml:space="preserve"> XE "</w:instrText>
      </w:r>
      <w:r w:rsidR="08163013" w:rsidRPr="004E532D">
        <w:instrText>subjekt:dějinnost</w:instrText>
      </w:r>
      <w:r w:rsidR="08163013">
        <w:instrText xml:space="preserve">" </w:instrText>
      </w:r>
      <w:r w:rsidR="08163013">
        <w:fldChar w:fldCharType="end"/>
      </w:r>
      <w:r w:rsidR="08163013" w:rsidRPr="00273106">
        <w:t>.</w:t>
      </w:r>
      <w:r w:rsidR="00777EC1">
        <w:t xml:space="preserve"> </w:t>
      </w:r>
      <w:r w:rsidR="006E7A09">
        <w:t>Moderní v</w:t>
      </w:r>
      <w:r w:rsidR="08163013" w:rsidRPr="00273106">
        <w:t xml:space="preserve">ědecký rozum </w:t>
      </w:r>
      <w:r w:rsidR="08163013">
        <w:t xml:space="preserve">je určený </w:t>
      </w:r>
      <w:r w:rsidR="08163013" w:rsidRPr="00273106">
        <w:t xml:space="preserve">definitivně od </w:t>
      </w:r>
      <w:r w:rsidR="08163013">
        <w:t>svého začátku a</w:t>
      </w:r>
      <w:r w:rsidR="006E7A09">
        <w:t>ž do</w:t>
      </w:r>
      <w:r w:rsidR="08163013">
        <w:t xml:space="preserve"> </w:t>
      </w:r>
      <w:r w:rsidR="08163013" w:rsidRPr="00273106">
        <w:t>konce</w:t>
      </w:r>
      <w:r w:rsidR="08163013">
        <w:t xml:space="preserve"> (</w:t>
      </w:r>
      <w:r w:rsidR="08163013" w:rsidRPr="087744EF">
        <w:rPr>
          <w:i/>
        </w:rPr>
        <w:t>de fine</w:t>
      </w:r>
      <w:r w:rsidR="08163013">
        <w:t xml:space="preserve">) skrze </w:t>
      </w:r>
      <w:r w:rsidR="08163013" w:rsidRPr="00273106">
        <w:rPr>
          <w:i/>
        </w:rPr>
        <w:t>Oxfordian Fallacy</w:t>
      </w:r>
      <w:r w:rsidR="006E7A09">
        <w:t xml:space="preserve">, které je dána </w:t>
      </w:r>
      <w:r w:rsidR="08163013">
        <w:t xml:space="preserve">přímo v moderním bohu. Tento základní ideový kapitál moderny se stal schizofrenickým stejně jako jeho tvůrce, protože oba trpěli pluralitou hypostázovaných potencí a dokonce i substancí. Moderní bůh se stal pouze objektivně paranoickým, zatímco moderní subjekt trpí </w:t>
      </w:r>
      <w:r w:rsidR="00511FAE">
        <w:t xml:space="preserve">navíc </w:t>
      </w:r>
      <w:r w:rsidR="08163013">
        <w:t xml:space="preserve">další dětskou nemocí moderny, což je rozdělení osoby na několik znesvářených substancí. </w:t>
      </w:r>
      <w:r w:rsidR="00777EC1">
        <w:t>Moderní bůh se stal objektivně vznešeným schizofrenikem</w:t>
      </w:r>
      <w:r w:rsidR="00533C52">
        <w:t xml:space="preserve"> </w:t>
      </w:r>
      <w:r w:rsidR="00511FAE">
        <w:t xml:space="preserve">moderní </w:t>
      </w:r>
      <w:r w:rsidR="00533C52">
        <w:t>teologie</w:t>
      </w:r>
      <w:r w:rsidR="00777EC1">
        <w:t>, zatímco čarodějnice se staly objekti</w:t>
      </w:r>
      <w:r w:rsidR="00533C52">
        <w:t>vně prokletými typy schizofrenické moderní vědy</w:t>
      </w:r>
      <w:r w:rsidR="00777EC1">
        <w:t>.</w:t>
      </w:r>
    </w:p>
    <w:p w:rsidR="005572F2" w:rsidRPr="00544E23" w:rsidRDefault="00E12055" w:rsidP="00544E23">
      <w:pPr>
        <w:ind w:firstLine="397"/>
        <w:rPr>
          <w:szCs w:val="15"/>
        </w:rPr>
      </w:pPr>
      <w:r>
        <w:t xml:space="preserve">Pobyt </w:t>
      </w:r>
      <w:r w:rsidRPr="00273106">
        <w:t xml:space="preserve">mezi </w:t>
      </w:r>
      <w:r>
        <w:t xml:space="preserve">poloslepými moderními </w:t>
      </w:r>
      <w:r w:rsidRPr="00273106">
        <w:t xml:space="preserve">troglodyty </w:t>
      </w:r>
      <w:r>
        <w:t>s</w:t>
      </w:r>
      <w:r w:rsidR="000376DF">
        <w:t xml:space="preserve"> akademickým </w:t>
      </w:r>
      <w:r>
        <w:t>diplomem zahrnuje riziko</w:t>
      </w:r>
      <w:r w:rsidRPr="00273106">
        <w:t xml:space="preserve"> pronásledování a </w:t>
      </w:r>
      <w:r>
        <w:t xml:space="preserve">dokonce </w:t>
      </w:r>
      <w:r w:rsidRPr="00273106">
        <w:t xml:space="preserve">smrti, </w:t>
      </w:r>
      <w:r>
        <w:t xml:space="preserve">což </w:t>
      </w:r>
      <w:r w:rsidRPr="00273106">
        <w:t xml:space="preserve">výslovně zmiňuje dialog </w:t>
      </w:r>
      <w:r w:rsidRPr="00273106">
        <w:rPr>
          <w:i/>
        </w:rPr>
        <w:t>Ústava</w:t>
      </w:r>
      <w:r w:rsidRPr="00273106">
        <w:t xml:space="preserve"> (</w:t>
      </w:r>
      <w:r w:rsidRPr="00707443">
        <w:rPr>
          <w:i/>
        </w:rPr>
        <w:t>Rep</w:t>
      </w:r>
      <w:r>
        <w:t xml:space="preserve">. </w:t>
      </w:r>
      <w:r w:rsidRPr="00273106">
        <w:t>517a5‒6</w:t>
      </w:r>
      <w:r>
        <w:fldChar w:fldCharType="begin"/>
      </w:r>
      <w:r>
        <w:instrText xml:space="preserve"> XE "Platon:</w:instrText>
      </w:r>
      <w:r w:rsidRPr="00B20288">
        <w:rPr>
          <w:i/>
        </w:rPr>
        <w:instrText>Rep</w:instrText>
      </w:r>
      <w:r w:rsidRPr="00B20288">
        <w:instrText>. 517a5‒6</w:instrText>
      </w:r>
      <w:r>
        <w:instrText xml:space="preserve">" </w:instrText>
      </w:r>
      <w:r>
        <w:fldChar w:fldCharType="end"/>
      </w:r>
      <w:r w:rsidRPr="00273106">
        <w:t>).</w:t>
      </w:r>
      <w:r>
        <w:t xml:space="preserve"> </w:t>
      </w:r>
      <w:r w:rsidR="00816AAA">
        <w:t xml:space="preserve">Ilumináti </w:t>
      </w:r>
      <w:r>
        <w:t>promítají simulákra reálného světa na zeď vlastního vědomí a v platonské jeskyni se shlížejí v zrcadlovém obrazu vlastního intelektu-slunce</w:t>
      </w:r>
      <w:r>
        <w:fldChar w:fldCharType="begin"/>
      </w:r>
      <w:r>
        <w:instrText xml:space="preserve"> XE "</w:instrText>
      </w:r>
      <w:r w:rsidRPr="008844E7">
        <w:instrText>intelekt-slunce</w:instrText>
      </w:r>
      <w:r>
        <w:instrText xml:space="preserve">" </w:instrText>
      </w:r>
      <w:r>
        <w:fldChar w:fldCharType="end"/>
      </w:r>
      <w:r>
        <w:t xml:space="preserve">. Dialog </w:t>
      </w:r>
      <w:r w:rsidRPr="08F51D2D">
        <w:rPr>
          <w:i/>
        </w:rPr>
        <w:t>Sofistes</w:t>
      </w:r>
      <w:r w:rsidRPr="00273106">
        <w:t xml:space="preserve"> jasně říká, že za metodologickou hranicí začíná sofistika a vláda simulákra, kde věci jsou a nejsou totéž. Víra a rozum mohou jít společnou cestou (ποιεῖσθαι τὴν μέθοδον</w:t>
      </w:r>
      <w:r w:rsidRPr="00273106">
        <w:rPr>
          <w:rStyle w:val="greek"/>
        </w:rPr>
        <w:t xml:space="preserve">, </w:t>
      </w:r>
      <w:r w:rsidRPr="00273106">
        <w:rPr>
          <w:rStyle w:val="greek"/>
          <w:i/>
        </w:rPr>
        <w:t>Soph</w:t>
      </w:r>
      <w:r>
        <w:rPr>
          <w:rStyle w:val="greek"/>
          <w:i/>
        </w:rPr>
        <w:t>.</w:t>
      </w:r>
      <w:r w:rsidRPr="00273106">
        <w:rPr>
          <w:rStyle w:val="greek"/>
        </w:rPr>
        <w:t xml:space="preserve"> 243d7</w:t>
      </w:r>
      <w:r>
        <w:rPr>
          <w:rStyle w:val="greek"/>
        </w:rPr>
        <w:fldChar w:fldCharType="begin"/>
      </w:r>
      <w:r>
        <w:instrText xml:space="preserve"> XE "Platon:</w:instrText>
      </w:r>
      <w:r w:rsidRPr="00DD0FB5">
        <w:rPr>
          <w:rStyle w:val="greek"/>
          <w:i/>
        </w:rPr>
        <w:instrText>Soph.</w:instrText>
      </w:r>
      <w:r w:rsidRPr="00DD0FB5">
        <w:rPr>
          <w:rStyle w:val="greek"/>
        </w:rPr>
        <w:instrText xml:space="preserve"> 243d7</w:instrText>
      </w:r>
      <w:r>
        <w:instrText xml:space="preserve">" </w:instrText>
      </w:r>
      <w:r>
        <w:rPr>
          <w:rStyle w:val="greek"/>
        </w:rPr>
        <w:fldChar w:fldCharType="end"/>
      </w:r>
      <w:r w:rsidRPr="00273106">
        <w:t>) j</w:t>
      </w:r>
      <w:r>
        <w:t xml:space="preserve">en do jisté míry. Albertovo prorocké slovo moderně jako cestě omylu, po níž kráčeli tehdejší Latiníci, se postupně naplnilo už za jeho života </w:t>
      </w:r>
      <w:r w:rsidRPr="00273106">
        <w:t>(</w:t>
      </w:r>
      <w:r>
        <w:t>OBJ II, kap. 2</w:t>
      </w:r>
      <w:r w:rsidRPr="00273106">
        <w:t>.4.3)</w:t>
      </w:r>
      <w:r>
        <w:t>. P</w:t>
      </w:r>
      <w:r w:rsidRPr="00273106">
        <w:t xml:space="preserve">o cestě Albertem a Baconem odsouzeného nerozumu nyní kráčí téměř celé západní myšlení. Anarchisté vědecké metody jako </w:t>
      </w:r>
      <w:r w:rsidRPr="00273106">
        <w:rPr>
          <w:rStyle w:val="st"/>
        </w:rPr>
        <w:t>Paul Feyerabend</w:t>
      </w:r>
      <w:r>
        <w:rPr>
          <w:rStyle w:val="st"/>
        </w:rPr>
        <w:fldChar w:fldCharType="begin"/>
      </w:r>
      <w:r>
        <w:instrText xml:space="preserve"> XE "</w:instrText>
      </w:r>
      <w:r w:rsidRPr="00E4416B">
        <w:rPr>
          <w:rStyle w:val="st"/>
        </w:rPr>
        <w:instrText>Feyerabend, P.</w:instrText>
      </w:r>
      <w:r>
        <w:rPr>
          <w:rStyle w:val="st"/>
        </w:rPr>
        <w:instrText xml:space="preserve"> K.</w:instrText>
      </w:r>
      <w:r>
        <w:instrText xml:space="preserve">" </w:instrText>
      </w:r>
      <w:r>
        <w:rPr>
          <w:rStyle w:val="st"/>
        </w:rPr>
        <w:fldChar w:fldCharType="end"/>
      </w:r>
      <w:r w:rsidRPr="00273106">
        <w:t xml:space="preserve"> dobře vědí, že pravda se ve vědě prosazuje i </w:t>
      </w:r>
      <w:r w:rsidRPr="00273106">
        <w:lastRenderedPageBreak/>
        <w:t>mocenským, mystickým, či jiným iracionálním způsobem.</w:t>
      </w:r>
      <w:r w:rsidRPr="00273106">
        <w:rPr>
          <w:rStyle w:val="Znakapoznpodarou"/>
        </w:rPr>
        <w:footnoteReference w:id="509"/>
      </w:r>
      <w:r>
        <w:t xml:space="preserve"> Hermeneutika musí najít první mechanismus diabolizace moderní vědy.</w:t>
      </w:r>
      <w:r>
        <w:rPr>
          <w:lang w:eastAsia="en-US"/>
        </w:rPr>
        <w:t xml:space="preserve"> </w:t>
      </w:r>
      <w:r w:rsidR="00080413" w:rsidRPr="00080413">
        <w:rPr>
          <w:lang w:eastAsia="en-US"/>
        </w:rPr>
        <w:t xml:space="preserve">Po zatmění první </w:t>
      </w:r>
      <w:r w:rsidR="00080413">
        <w:rPr>
          <w:lang w:eastAsia="en-US"/>
        </w:rPr>
        <w:t xml:space="preserve">substance </w:t>
      </w:r>
      <w:r w:rsidR="00080413" w:rsidRPr="00080413">
        <w:rPr>
          <w:lang w:eastAsia="en-US"/>
        </w:rPr>
        <w:t xml:space="preserve">a </w:t>
      </w:r>
      <w:r w:rsidR="00CE0F83">
        <w:rPr>
          <w:lang w:eastAsia="en-US"/>
        </w:rPr>
        <w:t xml:space="preserve">po </w:t>
      </w:r>
      <w:r w:rsidR="00080413" w:rsidRPr="00080413">
        <w:rPr>
          <w:lang w:eastAsia="en-US"/>
        </w:rPr>
        <w:t xml:space="preserve">vydání akademického </w:t>
      </w:r>
      <w:r w:rsidR="00080413" w:rsidRPr="00080413">
        <w:rPr>
          <w:i/>
          <w:lang w:eastAsia="en-US"/>
        </w:rPr>
        <w:t>damnatio memoriae</w:t>
      </w:r>
      <w:r w:rsidR="00080413" w:rsidRPr="00080413">
        <w:rPr>
          <w:lang w:eastAsia="en-US"/>
        </w:rPr>
        <w:t xml:space="preserve"> na Sigerovu školu se existence osoby stala nejasnou. Pod vedením Furií si osvícená </w:t>
      </w:r>
      <w:r w:rsidR="00080413" w:rsidRPr="00080413">
        <w:rPr>
          <w:i/>
          <w:lang w:eastAsia="en-US"/>
        </w:rPr>
        <w:t>intelligentia spiritualis</w:t>
      </w:r>
      <w:r w:rsidR="00080413" w:rsidRPr="00080413">
        <w:rPr>
          <w:lang w:eastAsia="en-US"/>
        </w:rPr>
        <w:t xml:space="preserve"> </w:t>
      </w:r>
      <w:r w:rsidR="00080413">
        <w:rPr>
          <w:lang w:eastAsia="en-US"/>
        </w:rPr>
        <w:t xml:space="preserve">podržela </w:t>
      </w:r>
      <w:r w:rsidR="00080413" w:rsidRPr="00080413">
        <w:rPr>
          <w:lang w:eastAsia="en-US"/>
        </w:rPr>
        <w:t xml:space="preserve">démonický charakter </w:t>
      </w:r>
      <w:r w:rsidR="00080413">
        <w:rPr>
          <w:lang w:eastAsia="en-US"/>
        </w:rPr>
        <w:t xml:space="preserve">utvářený božskými silami akademické Pomsty. </w:t>
      </w:r>
      <w:r w:rsidR="00453B73" w:rsidRPr="00AB2E96">
        <w:t xml:space="preserve">Démonická logika založená Grossetestem (OBJ II, kap. 3.1.3) poskytla základ </w:t>
      </w:r>
      <w:r w:rsidR="00180F9E">
        <w:t xml:space="preserve">moderní vědě </w:t>
      </w:r>
      <w:r w:rsidR="00453B73" w:rsidRPr="00AB2E96">
        <w:t xml:space="preserve">tím, že </w:t>
      </w:r>
      <w:r w:rsidR="00453B73">
        <w:t>vytvořila logické výroky</w:t>
      </w:r>
      <w:r w:rsidR="00453B73" w:rsidRPr="00AB2E96">
        <w:t>, k</w:t>
      </w:r>
      <w:r w:rsidR="00453B73">
        <w:t>teré</w:t>
      </w:r>
      <w:r w:rsidR="00453B73" w:rsidRPr="00AB2E96">
        <w:t xml:space="preserve"> s</w:t>
      </w:r>
      <w:r w:rsidR="00CC4162">
        <w:t xml:space="preserve">e týkaly </w:t>
      </w:r>
      <w:r w:rsidR="00453B73">
        <w:t>budoucího příchodu Antik</w:t>
      </w:r>
      <w:r w:rsidR="00453B73" w:rsidRPr="00AB2E96">
        <w:t xml:space="preserve">rista. </w:t>
      </w:r>
      <w:r w:rsidR="00453B73">
        <w:t>Nyní j</w:t>
      </w:r>
      <w:r w:rsidR="00453B73" w:rsidRPr="00AB2E96">
        <w:t>e třeba vysvětlit proměnu démonické log</w:t>
      </w:r>
      <w:r w:rsidR="00453B73">
        <w:t xml:space="preserve">iky v démonickou antropologii. </w:t>
      </w:r>
      <w:r>
        <w:rPr>
          <w:lang w:eastAsia="en-US"/>
        </w:rPr>
        <w:t>P</w:t>
      </w:r>
      <w:r w:rsidRPr="00D449F1">
        <w:rPr>
          <w:lang w:eastAsia="en-US"/>
        </w:rPr>
        <w:t xml:space="preserve">o zatmění první substance </w:t>
      </w:r>
      <w:r>
        <w:rPr>
          <w:lang w:eastAsia="en-US"/>
        </w:rPr>
        <w:t xml:space="preserve">dané </w:t>
      </w:r>
      <w:r w:rsidRPr="00D449F1">
        <w:rPr>
          <w:lang w:eastAsia="en-US"/>
        </w:rPr>
        <w:t>v</w:t>
      </w:r>
      <w:r>
        <w:rPr>
          <w:lang w:eastAsia="en-US"/>
        </w:rPr>
        <w:t xml:space="preserve"> dějinném </w:t>
      </w:r>
      <w:r w:rsidRPr="00D449F1">
        <w:rPr>
          <w:lang w:eastAsia="en-US"/>
        </w:rPr>
        <w:t xml:space="preserve">modu </w:t>
      </w:r>
      <w:r w:rsidRPr="00D449F1">
        <w:rPr>
          <w:i/>
          <w:lang w:eastAsia="en-US"/>
        </w:rPr>
        <w:t>dativus ethicus</w:t>
      </w:r>
      <w:r>
        <w:rPr>
          <w:i/>
        </w:rPr>
        <w:fldChar w:fldCharType="begin"/>
      </w:r>
      <w:r>
        <w:instrText xml:space="preserve"> XE "</w:instrText>
      </w:r>
      <w:r w:rsidRPr="00945F2F">
        <w:rPr>
          <w:i/>
          <w:iCs/>
        </w:rPr>
        <w:instrText>dativus ethicus</w:instrText>
      </w:r>
      <w:r>
        <w:instrText xml:space="preserve">" </w:instrText>
      </w:r>
      <w:r>
        <w:rPr>
          <w:i/>
        </w:rPr>
        <w:fldChar w:fldCharType="end"/>
      </w:r>
      <w:r w:rsidRPr="00D449F1">
        <w:rPr>
          <w:lang w:eastAsia="en-US"/>
        </w:rPr>
        <w:t xml:space="preserve"> </w:t>
      </w:r>
      <w:r>
        <w:rPr>
          <w:lang w:eastAsia="en-US"/>
        </w:rPr>
        <w:t>přišly na svět první pozitivní (tj.</w:t>
      </w:r>
      <w:r w:rsidRPr="00D449F1">
        <w:rPr>
          <w:lang w:eastAsia="en-US"/>
        </w:rPr>
        <w:t xml:space="preserve"> historické) účinky spekulativní moderní </w:t>
      </w:r>
      <w:r w:rsidRPr="00D449F1">
        <w:rPr>
          <w:i/>
          <w:lang w:eastAsia="en-US"/>
        </w:rPr>
        <w:t>scientia</w:t>
      </w:r>
      <w:r w:rsidRPr="00D449F1">
        <w:rPr>
          <w:lang w:eastAsia="en-US"/>
        </w:rPr>
        <w:t>.</w:t>
      </w:r>
      <w:r>
        <w:rPr>
          <w:lang w:eastAsia="en-US"/>
        </w:rPr>
        <w:t xml:space="preserve"> </w:t>
      </w:r>
      <w:r w:rsidR="005B76D9">
        <w:t>Proto je třeba najít mechanismus přenosu démonických vlastností z kosmické sféry do lidské sféry, který pak dále fungoval v modu objektivní vědy.</w:t>
      </w:r>
    </w:p>
    <w:p w:rsidR="00D94046" w:rsidRDefault="00E146F7" w:rsidP="004C117F">
      <w:pPr>
        <w:ind w:firstLine="397"/>
      </w:pPr>
      <w:r>
        <w:t>Z</w:t>
      </w:r>
      <w:r w:rsidR="005850AD">
        <w:t xml:space="preserve">akladatel moderny vytvořil základní ambivalenci v samotném principu poznání podle modelu </w:t>
      </w:r>
      <w:r w:rsidR="005850AD" w:rsidRPr="00C56AD3">
        <w:rPr>
          <w:i/>
        </w:rPr>
        <w:t>Verkehung ins Gege</w:t>
      </w:r>
      <w:r w:rsidR="005850AD">
        <w:rPr>
          <w:i/>
        </w:rPr>
        <w:t>n</w:t>
      </w:r>
      <w:r w:rsidR="005850AD" w:rsidRPr="00C56AD3">
        <w:rPr>
          <w:i/>
        </w:rPr>
        <w:t>teil</w:t>
      </w:r>
      <w:r w:rsidR="005850AD">
        <w:rPr>
          <w:i/>
        </w:rPr>
        <w:fldChar w:fldCharType="begin"/>
      </w:r>
      <w:r w:rsidR="005850AD">
        <w:instrText xml:space="preserve"> XE "</w:instrText>
      </w:r>
      <w:r w:rsidR="005850AD" w:rsidRPr="0091075E">
        <w:rPr>
          <w:i/>
        </w:rPr>
        <w:instrText>Verkehung ins Gegenteil</w:instrText>
      </w:r>
      <w:r w:rsidR="005850AD">
        <w:instrText xml:space="preserve">" </w:instrText>
      </w:r>
      <w:r w:rsidR="005850AD">
        <w:rPr>
          <w:i/>
        </w:rPr>
        <w:fldChar w:fldCharType="end"/>
      </w:r>
      <w:r w:rsidR="005850AD">
        <w:t xml:space="preserve">. </w:t>
      </w:r>
      <w:r w:rsidR="006F748B">
        <w:t xml:space="preserve">Rufus zásadně potřeboval mytický </w:t>
      </w:r>
      <w:r w:rsidR="006F748B" w:rsidRPr="00C56AD3">
        <w:rPr>
          <w:i/>
        </w:rPr>
        <w:t>intellectus possibilis</w:t>
      </w:r>
      <w:r w:rsidR="006F748B">
        <w:t xml:space="preserve"> Davida z Dinantu, protože byl nutný pro akt objektivní kopulace s lidským receptivním intelektem. </w:t>
      </w:r>
      <w:r w:rsidR="0095314B">
        <w:t xml:space="preserve">Rufus skrze simulákrum averroistického Averroese vložil Dinantovu herezi kosmického </w:t>
      </w:r>
      <w:r w:rsidR="0095314B" w:rsidRPr="08D93E3A">
        <w:rPr>
          <w:i/>
        </w:rPr>
        <w:t>intellectus possibilis</w:t>
      </w:r>
      <w:r w:rsidR="0095314B">
        <w:t xml:space="preserve"> přímo do moderního subjektu. Jedna část moderní </w:t>
      </w:r>
      <w:r w:rsidR="0095314B" w:rsidRPr="08D93E3A">
        <w:rPr>
          <w:i/>
        </w:rPr>
        <w:t>anima intellectiva</w:t>
      </w:r>
      <w:r w:rsidR="0095314B">
        <w:t xml:space="preserve"> je tedy heretická, šílená a iracionální, což platí dodnes skrze Freudův výklad nevědomí a podvědomí</w:t>
      </w:r>
      <w:r w:rsidR="0095314B">
        <w:fldChar w:fldCharType="begin"/>
      </w:r>
      <w:r w:rsidR="0095314B">
        <w:instrText xml:space="preserve"> XE "</w:instrText>
      </w:r>
      <w:r w:rsidR="0095314B" w:rsidRPr="08005486">
        <w:instrText>Freud, S.</w:instrText>
      </w:r>
      <w:r w:rsidR="0095314B">
        <w:instrText xml:space="preserve">" </w:instrText>
      </w:r>
      <w:r w:rsidR="0095314B">
        <w:fldChar w:fldCharType="end"/>
      </w:r>
      <w:r w:rsidR="0095314B">
        <w:t xml:space="preserve">. </w:t>
      </w:r>
      <w:r w:rsidR="0095314B" w:rsidRPr="00C4356A">
        <w:t>Tento démonický intelekt jako druh moderního subjektu byl přímo spojen s nebeskými či ďábelskými kosmickými inteligencemi.</w:t>
      </w:r>
      <w:r w:rsidR="0095314B">
        <w:t xml:space="preserve"> </w:t>
      </w:r>
      <w:r w:rsidR="08163013">
        <w:t xml:space="preserve">Rufusem založená moderna začala </w:t>
      </w:r>
      <w:r w:rsidR="00833231">
        <w:t xml:space="preserve">provádět </w:t>
      </w:r>
      <w:r w:rsidR="08163013">
        <w:t xml:space="preserve">objektivní intelektuální exorcismus </w:t>
      </w:r>
      <w:r w:rsidR="004B1706">
        <w:t>démonické</w:t>
      </w:r>
      <w:r w:rsidR="08163013">
        <w:t xml:space="preserve"> části receptivního kosmického intelektu daného podle Davida z Dinantu (</w:t>
      </w:r>
      <w:r w:rsidR="002F463E">
        <w:t>OBJ II, kap. 3</w:t>
      </w:r>
      <w:r w:rsidR="08163013">
        <w:t xml:space="preserve">.3.3). </w:t>
      </w:r>
      <w:r w:rsidR="000817D5">
        <w:t>E</w:t>
      </w:r>
      <w:r w:rsidR="00C56AD3">
        <w:t xml:space="preserve">xorcismus </w:t>
      </w:r>
      <w:r w:rsidR="00657FE3">
        <w:t xml:space="preserve">filosofické </w:t>
      </w:r>
      <w:r w:rsidR="00C56AD3">
        <w:t xml:space="preserve">moderny </w:t>
      </w:r>
      <w:r w:rsidR="00657FE3">
        <w:t>byl založen stritkně vědecky</w:t>
      </w:r>
      <w:r w:rsidR="009B2D00">
        <w:t>. Z hlediska herme</w:t>
      </w:r>
      <w:r w:rsidR="00657FE3">
        <w:t>neutik</w:t>
      </w:r>
      <w:r w:rsidR="009B2D00">
        <w:t xml:space="preserve">y proto platí, že tento exorcismus má </w:t>
      </w:r>
      <w:r w:rsidR="00657FE3">
        <w:t xml:space="preserve">zásadně odlišný charakter od předešlých epoch. Exorcismus kosmického </w:t>
      </w:r>
      <w:r w:rsidR="00657FE3" w:rsidRPr="08D93E3A">
        <w:rPr>
          <w:i/>
        </w:rPr>
        <w:t>intellectus possibilis</w:t>
      </w:r>
      <w:r w:rsidR="00657FE3">
        <w:t xml:space="preserve"> stál na filosoficky nesmyslných základech a byl čistým </w:t>
      </w:r>
      <w:r w:rsidR="00657FE3" w:rsidRPr="00657FE3">
        <w:rPr>
          <w:i/>
        </w:rPr>
        <w:t>contradictio in adiecto</w:t>
      </w:r>
      <w:r w:rsidR="00657FE3">
        <w:t>; mytologický charakter kosmického intelektu byl démonický a současně nutný pro fungování schizofrenické teorie poznání.</w:t>
      </w:r>
      <w:r w:rsidR="00E00507">
        <w:t xml:space="preserve"> </w:t>
      </w:r>
      <w:r w:rsidR="005F3336">
        <w:t xml:space="preserve">Božský panteistický receptivní intelekt se stal prokletím a současně požehnáním moderny. </w:t>
      </w:r>
      <w:r w:rsidR="00C56AD3">
        <w:t xml:space="preserve">Po exkomunikaci Davida z Dinatu </w:t>
      </w:r>
      <w:r w:rsidR="00C56AD3">
        <w:lastRenderedPageBreak/>
        <w:t xml:space="preserve">se </w:t>
      </w:r>
      <w:r w:rsidR="00EF6AD7">
        <w:t xml:space="preserve">modernisté </w:t>
      </w:r>
      <w:r w:rsidR="00C56AD3">
        <w:t>museli distancovat</w:t>
      </w:r>
      <w:r w:rsidR="00EF6AD7">
        <w:t xml:space="preserve"> od jeho filosofie</w:t>
      </w:r>
      <w:r w:rsidR="00C56AD3">
        <w:t>, a</w:t>
      </w:r>
      <w:r w:rsidR="00EF6AD7">
        <w:t xml:space="preserve">le přitom </w:t>
      </w:r>
      <w:r w:rsidR="00C56AD3">
        <w:t xml:space="preserve">zásadně potřebovali </w:t>
      </w:r>
      <w:r w:rsidR="00C8275F">
        <w:rPr>
          <w:szCs w:val="24"/>
        </w:rPr>
        <w:t xml:space="preserve">panteistický </w:t>
      </w:r>
      <w:r w:rsidR="00C8275F">
        <w:rPr>
          <w:i/>
          <w:szCs w:val="24"/>
        </w:rPr>
        <w:t>intellectus possibilis</w:t>
      </w:r>
      <w:r w:rsidR="00C8275F">
        <w:rPr>
          <w:szCs w:val="24"/>
        </w:rPr>
        <w:t xml:space="preserve"> </w:t>
      </w:r>
      <w:r w:rsidR="00C56AD3">
        <w:t xml:space="preserve">pro </w:t>
      </w:r>
      <w:r w:rsidR="00C8275F">
        <w:t xml:space="preserve">jejich </w:t>
      </w:r>
      <w:r w:rsidR="00C56AD3">
        <w:t xml:space="preserve">schizofrenické pojetí poznání. Obranný mechanismus přenosu pracoval tak, že tento panteistický intelekt se přenesl na Averroesovo pojetí </w:t>
      </w:r>
      <w:r w:rsidR="00C56AD3" w:rsidRPr="00C56AD3">
        <w:rPr>
          <w:i/>
        </w:rPr>
        <w:t>intellectus possib</w:t>
      </w:r>
      <w:r w:rsidR="00C56AD3">
        <w:rPr>
          <w:i/>
        </w:rPr>
        <w:t>i</w:t>
      </w:r>
      <w:r w:rsidR="00C56AD3" w:rsidRPr="00C56AD3">
        <w:rPr>
          <w:i/>
        </w:rPr>
        <w:t>lis</w:t>
      </w:r>
      <w:r w:rsidR="00EF109F">
        <w:t xml:space="preserve">, který byl definován jako </w:t>
      </w:r>
      <w:r w:rsidR="00C56AD3" w:rsidRPr="00C56AD3">
        <w:rPr>
          <w:i/>
        </w:rPr>
        <w:t>quartum genus</w:t>
      </w:r>
      <w:r w:rsidR="00C56AD3">
        <w:t xml:space="preserve"> v CMDA. Averroes se stal po tomto přenosu prvním </w:t>
      </w:r>
      <w:r w:rsidR="0054447E">
        <w:t xml:space="preserve">filosofickým </w:t>
      </w:r>
      <w:r w:rsidR="00C56AD3">
        <w:t>satanistou moderny</w:t>
      </w:r>
      <w:r w:rsidR="00B255DA">
        <w:t xml:space="preserve">. To </w:t>
      </w:r>
      <w:r w:rsidR="00C56AD3">
        <w:t xml:space="preserve">potvrdil první tomista Aegidius útokem na Komentátora. </w:t>
      </w:r>
      <w:r w:rsidR="00EF109F">
        <w:t xml:space="preserve">Následně byl proces diabolizace </w:t>
      </w:r>
      <w:r w:rsidR="006B3630">
        <w:t xml:space="preserve">znovu </w:t>
      </w:r>
      <w:r w:rsidR="00EF109F">
        <w:t xml:space="preserve">proveden v případě Sigera. Ten se stal od roku 1280 prvním doktorem Faustem a </w:t>
      </w:r>
      <w:r w:rsidR="00ED4F60">
        <w:t xml:space="preserve">podepsal </w:t>
      </w:r>
      <w:r w:rsidR="00A03B51">
        <w:t>Mefistofel</w:t>
      </w:r>
      <w:r w:rsidR="00ED4F60">
        <w:t xml:space="preserve">ovi </w:t>
      </w:r>
      <w:r w:rsidR="002C7E39">
        <w:t xml:space="preserve">(Averroes) </w:t>
      </w:r>
      <w:r w:rsidR="00A03B51">
        <w:t xml:space="preserve">první démonický </w:t>
      </w:r>
      <w:r w:rsidR="00ED4F60">
        <w:t xml:space="preserve">úpis </w:t>
      </w:r>
      <w:r w:rsidR="00EF109F">
        <w:t xml:space="preserve">o provádění </w:t>
      </w:r>
      <w:r w:rsidR="00ED4F60">
        <w:t xml:space="preserve">nestranně </w:t>
      </w:r>
      <w:r w:rsidR="00EF109F">
        <w:t xml:space="preserve">založené vědecké činnosti. </w:t>
      </w:r>
      <w:r w:rsidR="004C117F">
        <w:t xml:space="preserve">V tomto bodě </w:t>
      </w:r>
      <w:r w:rsidR="007C6288">
        <w:t xml:space="preserve">má </w:t>
      </w:r>
      <w:r w:rsidR="004C117F">
        <w:t xml:space="preserve">zakládající mýtus moderní západní vědy pravdivý základ; viz hermeneutické ocenění Sigera dané titulem </w:t>
      </w:r>
      <w:r w:rsidR="004C117F">
        <w:rPr>
          <w:i/>
        </w:rPr>
        <w:t>Doctor Invidiosus</w:t>
      </w:r>
      <w:r w:rsidR="004C117F">
        <w:t xml:space="preserve">. </w:t>
      </w:r>
      <w:r w:rsidR="08163013">
        <w:t xml:space="preserve">Pojetí moderního člověka napojeného na svět kosmického </w:t>
      </w:r>
      <w:r w:rsidR="08163013" w:rsidRPr="080C41D8">
        <w:rPr>
          <w:i/>
        </w:rPr>
        <w:t>intellectus agens</w:t>
      </w:r>
      <w:r w:rsidR="08163013" w:rsidRPr="085C353A">
        <w:t xml:space="preserve"> </w:t>
      </w:r>
      <w:r w:rsidR="08163013">
        <w:t>ukazuje objektivní démonologie a čarodějnické procesy. Inkviziční proces s Olivim (1283‒87) běží ve stejné době, kdy se rozbíhá první démonizace Sigera, Bacona a částečně i Alberta</w:t>
      </w:r>
      <w:r w:rsidR="00530FE5">
        <w:t xml:space="preserve"> Velikého</w:t>
      </w:r>
      <w:r w:rsidR="08163013">
        <w:t xml:space="preserve">. </w:t>
      </w:r>
    </w:p>
    <w:p w:rsidR="00DF4598" w:rsidRDefault="08163013" w:rsidP="000B4597">
      <w:pPr>
        <w:ind w:firstLine="397"/>
      </w:pPr>
      <w:r>
        <w:t xml:space="preserve">Diabolizace klíčových představitelů prvního averroismu vznikla tím, že moderna </w:t>
      </w:r>
      <w:r w:rsidR="00FA4EE2">
        <w:t xml:space="preserve">vedená božskými silami akademické Pomsty </w:t>
      </w:r>
      <w:r>
        <w:t xml:space="preserve">odmítla výplod vlastní mysli </w:t>
      </w:r>
      <w:r w:rsidR="00FA4EE2">
        <w:t>jako démonický. To bohužel byla jen jedna část pravdy, protože narcistní povaha moderního subjektu mu nedovolila odloučit se od vlastních intelektuálních bludů. Pak modernisté v</w:t>
      </w:r>
      <w:r>
        <w:t xml:space="preserve"> modu a</w:t>
      </w:r>
      <w:r w:rsidR="00FA4EE2">
        <w:t>kademické schizofrenie vytvořili</w:t>
      </w:r>
      <w:r>
        <w:t xml:space="preserve"> ďábelskou reprezentac</w:t>
      </w:r>
      <w:r w:rsidR="006763F6">
        <w:t>i Jiného</w:t>
      </w:r>
      <w:r w:rsidR="00FA4EE2">
        <w:t xml:space="preserve"> tím, že provedli </w:t>
      </w:r>
      <w:r>
        <w:t>paranoidní projekci vlastních omylů do objektivního simulákra</w:t>
      </w:r>
      <w:r w:rsidR="00FA4EE2">
        <w:t xml:space="preserve"> v modu obranného mechanismu </w:t>
      </w:r>
      <w:r w:rsidR="00FA4EE2" w:rsidRPr="00FA4EE2">
        <w:rPr>
          <w:i/>
        </w:rPr>
        <w:t>Verkehrung in Gegenteil</w:t>
      </w:r>
      <w:r w:rsidR="08D156D3">
        <w:t xml:space="preserve">. </w:t>
      </w:r>
      <w:r w:rsidR="00544E4A">
        <w:t>A</w:t>
      </w:r>
      <w:r w:rsidR="00535BFB">
        <w:t>kadem</w:t>
      </w:r>
      <w:r w:rsidR="000B7016">
        <w:t>ické Fúrie dostaly od začátku 14</w:t>
      </w:r>
      <w:r w:rsidR="00535BFB">
        <w:t>. století radikálně subjektivní charakter</w:t>
      </w:r>
      <w:r w:rsidR="00544E4A">
        <w:t>. P</w:t>
      </w:r>
      <w:r w:rsidR="00535BFB">
        <w:t xml:space="preserve">ak je jasné, že výsledek této projekce musel dostat stejnou podobu subjektivně pojaté démonické bytosti, která má intelektuální charakter. </w:t>
      </w:r>
      <w:r w:rsidR="00696F17">
        <w:t>Démonizací intelektuálů</w:t>
      </w:r>
      <w:r w:rsidR="003F27E1">
        <w:t xml:space="preserve"> ze školy prvního averroismu </w:t>
      </w:r>
      <w:r w:rsidR="00535BFB">
        <w:t>vznikla první verze stalinismu, maoismu a mcc</w:t>
      </w:r>
      <w:r w:rsidR="00535BFB" w:rsidRPr="00535BFB">
        <w:t>arthyism</w:t>
      </w:r>
      <w:r w:rsidR="00535BFB">
        <w:t xml:space="preserve">u, kterou západní kultura dodnes používá jako základní nástroj pro ideologické a politické </w:t>
      </w:r>
      <w:r w:rsidR="00535BFB" w:rsidRPr="00535BFB">
        <w:rPr>
          <w:i/>
        </w:rPr>
        <w:t>damnatio memoriae</w:t>
      </w:r>
      <w:r w:rsidR="00351C82">
        <w:t>. C</w:t>
      </w:r>
      <w:r w:rsidR="08D156D3">
        <w:t>itovaný Kip</w:t>
      </w:r>
      <w:r>
        <w:t>ling</w:t>
      </w:r>
      <w:r>
        <w:fldChar w:fldCharType="begin"/>
      </w:r>
      <w:r>
        <w:instrText xml:space="preserve"> XE "</w:instrText>
      </w:r>
      <w:r w:rsidR="08D156D3">
        <w:instrText>Ki</w:instrText>
      </w:r>
      <w:r w:rsidRPr="08291887">
        <w:instrText>pling, R.</w:instrText>
      </w:r>
      <w:r>
        <w:instrText xml:space="preserve">" </w:instrText>
      </w:r>
      <w:r>
        <w:fldChar w:fldCharType="end"/>
      </w:r>
      <w:r>
        <w:t xml:space="preserve"> už vidí ďábly a démonické bytosti v dobývaných koloních zcela běžně (</w:t>
      </w:r>
      <w:r w:rsidRPr="00701C5A">
        <w:rPr>
          <w:i/>
        </w:rPr>
        <w:t>half-devil and half-child</w:t>
      </w:r>
      <w:r w:rsidR="00C57AD5">
        <w:t>; OBJ II, kap. 3</w:t>
      </w:r>
      <w:r>
        <w:t xml:space="preserve">.5). Mechanismus démonologické projekce běžel nejprve na úrovni metafyziky při vzniku </w:t>
      </w:r>
      <w:r w:rsidR="009D54A8">
        <w:rPr>
          <w:i/>
          <w:szCs w:val="24"/>
        </w:rPr>
        <w:t>via Modernorum</w:t>
      </w:r>
      <w:r>
        <w:t xml:space="preserve">. Předešlé matrice tento proces popsaly pomocí Freudova obranného mechanismu </w:t>
      </w:r>
      <w:r>
        <w:rPr>
          <w:rStyle w:val="Zvraznn"/>
        </w:rPr>
        <w:t>Verkehrung ins Gegenteil</w:t>
      </w:r>
      <w:r>
        <w:rPr>
          <w:rStyle w:val="Zvraznn"/>
        </w:rPr>
        <w:fldChar w:fldCharType="begin"/>
      </w:r>
      <w:r>
        <w:instrText xml:space="preserve"> XE "</w:instrText>
      </w:r>
      <w:r w:rsidRPr="0089394E">
        <w:rPr>
          <w:rStyle w:val="Zvraznn"/>
        </w:rPr>
        <w:instrText>Verkehrung ins Gegenteil</w:instrText>
      </w:r>
      <w:r>
        <w:instrText xml:space="preserve">" </w:instrText>
      </w:r>
      <w:r>
        <w:rPr>
          <w:rStyle w:val="Zvraznn"/>
        </w:rPr>
        <w:fldChar w:fldCharType="end"/>
      </w:r>
      <w:r w:rsidRPr="003C54C3">
        <w:rPr>
          <w:rStyle w:val="Zvraznn"/>
          <w:i w:val="0"/>
        </w:rPr>
        <w:t>.</w:t>
      </w:r>
      <w:r>
        <w:rPr>
          <w:rStyle w:val="Zvraznn"/>
          <w:i w:val="0"/>
        </w:rPr>
        <w:t xml:space="preserve"> </w:t>
      </w:r>
      <w:r>
        <w:t xml:space="preserve">Působení Aristotela, Averroese a jeho eminentních obhájců jako Siger se démonizovalo skrze mentální projekci učených Latiníků. </w:t>
      </w:r>
      <w:r>
        <w:rPr>
          <w:rStyle w:val="Zvraznn"/>
          <w:i w:val="0"/>
        </w:rPr>
        <w:t xml:space="preserve">Diabolizace daná efektivním </w:t>
      </w:r>
      <w:r w:rsidRPr="003C54C3">
        <w:rPr>
          <w:rStyle w:val="Zvraznn"/>
        </w:rPr>
        <w:t>damnatio memori</w:t>
      </w:r>
      <w:r>
        <w:rPr>
          <w:rStyle w:val="Zvraznn"/>
        </w:rPr>
        <w:t>a</w:t>
      </w:r>
      <w:r w:rsidRPr="003C54C3">
        <w:rPr>
          <w:rStyle w:val="Zvraznn"/>
        </w:rPr>
        <w:t>e</w:t>
      </w:r>
      <w:r>
        <w:rPr>
          <w:rStyle w:val="Zvraznn"/>
        </w:rPr>
        <w:fldChar w:fldCharType="begin"/>
      </w:r>
      <w:r>
        <w:instrText xml:space="preserve"> XE "</w:instrText>
      </w:r>
      <w:r w:rsidRPr="007408B3">
        <w:rPr>
          <w:rStyle w:val="Zvraznn"/>
        </w:rPr>
        <w:instrText>damnatio memori</w:instrText>
      </w:r>
      <w:r>
        <w:rPr>
          <w:rStyle w:val="Zvraznn"/>
        </w:rPr>
        <w:instrText>a</w:instrText>
      </w:r>
      <w:r w:rsidRPr="007408B3">
        <w:rPr>
          <w:rStyle w:val="Zvraznn"/>
        </w:rPr>
        <w:instrText>e</w:instrText>
      </w:r>
      <w:r>
        <w:instrText xml:space="preserve">" </w:instrText>
      </w:r>
      <w:r>
        <w:rPr>
          <w:rStyle w:val="Zvraznn"/>
        </w:rPr>
        <w:fldChar w:fldCharType="end"/>
      </w:r>
      <w:r>
        <w:rPr>
          <w:rStyle w:val="Zvraznn"/>
          <w:i w:val="0"/>
        </w:rPr>
        <w:t xml:space="preserve"> představitelů prvního </w:t>
      </w:r>
      <w:r>
        <w:rPr>
          <w:rStyle w:val="Zvraznn"/>
          <w:i w:val="0"/>
        </w:rPr>
        <w:lastRenderedPageBreak/>
        <w:t xml:space="preserve">averroismu po odsouzení roku 1277 posunula spor o čarodějnictví do další fáze. </w:t>
      </w:r>
      <w:r>
        <w:t xml:space="preserve">Sofistické schéma obranného mechanismu dané skrze Freudovo </w:t>
      </w:r>
      <w:r w:rsidRPr="00622D11">
        <w:rPr>
          <w:rStyle w:val="Zvraznn"/>
        </w:rPr>
        <w:t>Verkehrung ins Gegenteil</w:t>
      </w:r>
      <w:r>
        <w:rPr>
          <w:rStyle w:val="Zvraznn"/>
        </w:rPr>
        <w:fldChar w:fldCharType="begin"/>
      </w:r>
      <w:r>
        <w:instrText xml:space="preserve"> XE "</w:instrText>
      </w:r>
      <w:r w:rsidRPr="0089394E">
        <w:rPr>
          <w:rStyle w:val="Zvraznn"/>
        </w:rPr>
        <w:instrText>Verkehrung ins Gegenteil</w:instrText>
      </w:r>
      <w:r>
        <w:instrText xml:space="preserve">" </w:instrText>
      </w:r>
      <w:r>
        <w:rPr>
          <w:rStyle w:val="Zvraznn"/>
        </w:rPr>
        <w:fldChar w:fldCharType="end"/>
      </w:r>
      <w:r>
        <w:rPr>
          <w:rStyle w:val="Zvraznn"/>
          <w:i w:val="0"/>
        </w:rPr>
        <w:t xml:space="preserve"> poprvé běželo </w:t>
      </w:r>
      <w:r>
        <w:t>při démonizaci Averroese a Sigera a pak se opakovalo ve schizofrenické postmoderně při klasifikaci čarodějnictví</w:t>
      </w:r>
      <w:r>
        <w:fldChar w:fldCharType="begin"/>
      </w:r>
      <w:r>
        <w:instrText xml:space="preserve"> XE "</w:instrText>
      </w:r>
      <w:r w:rsidRPr="008B5A46">
        <w:instrText>čarodějnictví</w:instrText>
      </w:r>
      <w:r>
        <w:instrText xml:space="preserve">" </w:instrText>
      </w:r>
      <w:r>
        <w:fldChar w:fldCharType="end"/>
      </w:r>
      <w:r>
        <w:t>. V katolickém Německu a především ve Španělsku byla většina inkvizičních procesů před rokem 1300 primárně zaměřena nikoliv proti čarodějnictví, ale proti teologickým herezím (kacíři, musli</w:t>
      </w:r>
      <w:r w:rsidR="007534BA">
        <w:t>mové, židé). Po roce 1300 začalo</w:t>
      </w:r>
      <w:r>
        <w:t xml:space="preserve"> působit nové </w:t>
      </w:r>
      <w:r w:rsidRPr="00DE2584">
        <w:rPr>
          <w:i/>
        </w:rPr>
        <w:t>scibile</w:t>
      </w:r>
      <w:r>
        <w:rPr>
          <w:i/>
        </w:rPr>
        <w:fldChar w:fldCharType="begin"/>
      </w:r>
      <w:r>
        <w:instrText xml:space="preserve"> XE "</w:instrText>
      </w:r>
      <w:r w:rsidRPr="00AA4F67">
        <w:rPr>
          <w:i/>
        </w:rPr>
        <w:instrText>scibile</w:instrText>
      </w:r>
      <w:r>
        <w:instrText xml:space="preserve">:čarodějnictví" </w:instrText>
      </w:r>
      <w:r>
        <w:rPr>
          <w:i/>
        </w:rPr>
        <w:fldChar w:fldCharType="end"/>
      </w:r>
      <w:r>
        <w:t xml:space="preserve"> moderny a vzniká objektivně dané čarodějnictví, které zkoumá vzdělaná moderna.</w:t>
      </w:r>
      <w:r>
        <w:rPr>
          <w:rStyle w:val="Znakapoznpodarou"/>
        </w:rPr>
        <w:footnoteReference w:id="510"/>
      </w:r>
      <w:r>
        <w:t xml:space="preserve"> Moderní a postmoderní subjekt představuje absurdní kolektu různých protikladných sil, hypostází a substancí</w:t>
      </w:r>
      <w:r>
        <w:rPr>
          <w:i/>
        </w:rPr>
        <w:fldChar w:fldCharType="begin"/>
      </w:r>
      <w:r>
        <w:instrText xml:space="preserve"> XE "osoba:čarodějnictví" </w:instrText>
      </w:r>
      <w:r>
        <w:rPr>
          <w:i/>
        </w:rPr>
        <w:fldChar w:fldCharType="end"/>
      </w:r>
      <w:r>
        <w:t xml:space="preserve">. Jednu a tutéž osobu </w:t>
      </w:r>
      <w:r w:rsidR="00BF3C29">
        <w:t xml:space="preserve">mohlo ovládat několik vnějších </w:t>
      </w:r>
      <w:r>
        <w:t xml:space="preserve">substancí </w:t>
      </w:r>
      <w:r w:rsidR="00BF3C29">
        <w:t xml:space="preserve">daných podle stylu </w:t>
      </w:r>
      <w:r>
        <w:t xml:space="preserve">odděleného </w:t>
      </w:r>
      <w:r w:rsidRPr="00B0595C">
        <w:rPr>
          <w:i/>
        </w:rPr>
        <w:t>intellectus agens</w:t>
      </w:r>
      <w:r>
        <w:rPr>
          <w:i/>
        </w:rPr>
        <w:t xml:space="preserve"> </w:t>
      </w:r>
      <w:r w:rsidRPr="00E46223">
        <w:t>či</w:t>
      </w:r>
      <w:r>
        <w:rPr>
          <w:i/>
        </w:rPr>
        <w:t xml:space="preserve"> </w:t>
      </w:r>
      <w:r>
        <w:t xml:space="preserve">oddělené vůle. Moderna neměla žádný problém s paranoickou produkcí čarodějnictví poznávaného v modu objektivního </w:t>
      </w:r>
      <w:r w:rsidRPr="00A966A2">
        <w:rPr>
          <w:i/>
        </w:rPr>
        <w:t>scibile</w:t>
      </w:r>
      <w:r>
        <w:rPr>
          <w:i/>
        </w:rPr>
        <w:fldChar w:fldCharType="begin"/>
      </w:r>
      <w:r>
        <w:instrText xml:space="preserve"> XE "</w:instrText>
      </w:r>
      <w:r w:rsidRPr="00F12334">
        <w:rPr>
          <w:i/>
        </w:rPr>
        <w:instrText>scibile</w:instrText>
      </w:r>
      <w:r>
        <w:rPr>
          <w:i/>
        </w:rPr>
        <w:instrText>:</w:instrText>
      </w:r>
      <w:r w:rsidRPr="002F4B60">
        <w:instrText>čarodějnictví</w:instrText>
      </w:r>
      <w:r>
        <w:instrText xml:space="preserve">" </w:instrText>
      </w:r>
      <w:r>
        <w:rPr>
          <w:i/>
        </w:rPr>
        <w:fldChar w:fldCharType="end"/>
      </w:r>
      <w:r>
        <w:t xml:space="preserve">. Démonizace vznikla v době zatmění první substance a v moderním pojetí pravdy jako </w:t>
      </w:r>
      <w:r w:rsidR="006763F6">
        <w:t xml:space="preserve">subjektivní </w:t>
      </w:r>
      <w:r w:rsidRPr="00F8092F">
        <w:rPr>
          <w:i/>
        </w:rPr>
        <w:t>certitudo</w:t>
      </w:r>
      <w:r>
        <w:t xml:space="preserve"> a </w:t>
      </w:r>
      <w:r w:rsidRPr="00F8092F">
        <w:rPr>
          <w:i/>
        </w:rPr>
        <w:t>rectitudo</w:t>
      </w:r>
      <w:r>
        <w:t>. Proto se citované moderní a postmoderní mytologie ohledně čarodějnictví a démonologie naplno rozbíhají až v době, kdy zanikl první averroismus.</w:t>
      </w:r>
      <w:r w:rsidR="00DF4598">
        <w:t xml:space="preserve"> Z</w:t>
      </w:r>
      <w:r w:rsidR="00DF4598" w:rsidRPr="00DF4598">
        <w:t xml:space="preserve">atmění první </w:t>
      </w:r>
      <w:r w:rsidR="00DF4598">
        <w:t>substance z</w:t>
      </w:r>
      <w:r w:rsidR="00DF4598" w:rsidRPr="00DF4598">
        <w:t>působilo zatmění kritického myšlení. Zničení prvního averroismu vedlo k opuštění kritického bádání o kauzalitě skutečných prvních substancí</w:t>
      </w:r>
      <w:r w:rsidR="00DF4598">
        <w:t>; a</w:t>
      </w:r>
      <w:r w:rsidR="00DF4598" w:rsidRPr="00DF4598">
        <w:t xml:space="preserve"> co víc, </w:t>
      </w:r>
      <w:r w:rsidR="00DF4598">
        <w:t xml:space="preserve">radostná </w:t>
      </w:r>
      <w:r w:rsidR="00DF4598" w:rsidRPr="00DF4598">
        <w:t xml:space="preserve">věda novověku se zbavila racionálně založené jednoty osoby. Čarodějnické procesy potvrzují spánek novověkého filosofického </w:t>
      </w:r>
      <w:r w:rsidR="00232B1A">
        <w:t>rozumu po roce 1300</w:t>
      </w:r>
      <w:r w:rsidR="00DF4598" w:rsidRPr="00DF4598">
        <w:t>, kdy naostro</w:t>
      </w:r>
      <w:r w:rsidR="00DF4598">
        <w:t xml:space="preserve"> začala </w:t>
      </w:r>
      <w:r w:rsidR="00DF4598" w:rsidRPr="00DF4598">
        <w:rPr>
          <w:i/>
        </w:rPr>
        <w:t>via Modernorum</w:t>
      </w:r>
      <w:r w:rsidR="00DF4598" w:rsidRPr="00DF4598">
        <w:t>.</w:t>
      </w:r>
    </w:p>
    <w:p w:rsidR="00986193" w:rsidRDefault="08163013" w:rsidP="00C61DC8">
      <w:pPr>
        <w:ind w:firstLine="397"/>
      </w:pPr>
      <w:r>
        <w:t>Čarodějnictví reprezentuje první vědecké zkoumání člověka v nově nastoleném mod</w:t>
      </w:r>
      <w:r w:rsidR="00B505F8">
        <w:t xml:space="preserve">u humanitní objektivní pravdy jako </w:t>
      </w:r>
      <w:r w:rsidRPr="00280A6C">
        <w:rPr>
          <w:i/>
        </w:rPr>
        <w:t>veritas</w:t>
      </w:r>
      <w:r>
        <w:t>. Schizofrenie moderny působila skrze iracionálně pojatý moderní subjekt rozdělený na několik nezávisle působících substancí</w:t>
      </w:r>
      <w:r>
        <w:fldChar w:fldCharType="begin"/>
      </w:r>
      <w:r>
        <w:instrText xml:space="preserve"> XE "</w:instrText>
      </w:r>
      <w:r w:rsidRPr="00090A1B">
        <w:instrText>osoba:pluralita substancí</w:instrText>
      </w:r>
      <w:r>
        <w:instrText xml:space="preserve">" </w:instrText>
      </w:r>
      <w:r>
        <w:fldChar w:fldCharType="end"/>
      </w:r>
      <w:r>
        <w:t xml:space="preserve">. </w:t>
      </w:r>
      <w:r w:rsidR="08F55581">
        <w:t xml:space="preserve">Jeden </w:t>
      </w:r>
      <w:r w:rsidR="08FE3BCE">
        <w:t xml:space="preserve">z nejdůležitějších „vědců“ zkoumajících čarodějnictví byl </w:t>
      </w:r>
      <w:r w:rsidR="08FE3BCE" w:rsidRPr="08FE3BCE">
        <w:t>Joseph Glanvill</w:t>
      </w:r>
      <w:r w:rsidR="00065E9C">
        <w:fldChar w:fldCharType="begin"/>
      </w:r>
      <w:r w:rsidR="00065E9C">
        <w:instrText xml:space="preserve"> XE "</w:instrText>
      </w:r>
      <w:r w:rsidR="00065E9C" w:rsidRPr="004228A3">
        <w:instrText>Glanvill, J.</w:instrText>
      </w:r>
      <w:r w:rsidR="00065E9C">
        <w:instrText xml:space="preserve">" </w:instrText>
      </w:r>
      <w:r w:rsidR="00065E9C">
        <w:fldChar w:fldCharType="end"/>
      </w:r>
      <w:r w:rsidR="08FE3BCE" w:rsidRPr="08FE3BCE">
        <w:t xml:space="preserve"> (†1680)</w:t>
      </w:r>
      <w:r w:rsidR="08FE3BCE">
        <w:t xml:space="preserve">, který získal bakalářský a magisterský titul na Oxfordu. Jeho posmrtně vydaná kniha </w:t>
      </w:r>
      <w:r w:rsidR="08FE3BCE" w:rsidRPr="08FE3BCE">
        <w:rPr>
          <w:i/>
        </w:rPr>
        <w:t xml:space="preserve">Saducismus Triumphatus </w:t>
      </w:r>
      <w:r w:rsidR="08FE3BCE" w:rsidRPr="08FE3BCE">
        <w:t>(1681)</w:t>
      </w:r>
      <w:r w:rsidR="08FE3BCE">
        <w:t xml:space="preserve"> měla </w:t>
      </w:r>
      <w:r w:rsidR="08B43F4F">
        <w:t xml:space="preserve">vliv </w:t>
      </w:r>
      <w:r w:rsidR="08620755">
        <w:t>i</w:t>
      </w:r>
      <w:r w:rsidR="08B43F4F">
        <w:t xml:space="preserve"> </w:t>
      </w:r>
      <w:r w:rsidR="08AF2742">
        <w:t>v Německu (Peter Goldschmidt</w:t>
      </w:r>
      <w:r w:rsidR="00065E9C">
        <w:fldChar w:fldCharType="begin"/>
      </w:r>
      <w:r w:rsidR="00065E9C">
        <w:instrText xml:space="preserve"> XE "</w:instrText>
      </w:r>
      <w:r w:rsidR="00065E9C" w:rsidRPr="00D1716A">
        <w:instrText>Goldschmidt, P.</w:instrText>
      </w:r>
      <w:r w:rsidR="00065E9C">
        <w:instrText xml:space="preserve">" </w:instrText>
      </w:r>
      <w:r w:rsidR="00065E9C">
        <w:fldChar w:fldCharType="end"/>
      </w:r>
      <w:r w:rsidR="08AF2742">
        <w:t xml:space="preserve">) </w:t>
      </w:r>
      <w:r w:rsidR="08FE3BCE">
        <w:t xml:space="preserve">a ovlivnila </w:t>
      </w:r>
      <w:r w:rsidR="08B43F4F">
        <w:t>čarodějnické procesy</w:t>
      </w:r>
      <w:r w:rsidR="08FE3BCE">
        <w:t xml:space="preserve"> </w:t>
      </w:r>
      <w:r w:rsidR="08B43F4F">
        <w:t xml:space="preserve">např. </w:t>
      </w:r>
      <w:r w:rsidR="08FE3BCE">
        <w:t xml:space="preserve">v Salemu </w:t>
      </w:r>
      <w:r w:rsidR="08742419">
        <w:lastRenderedPageBreak/>
        <w:t>(</w:t>
      </w:r>
      <w:r w:rsidR="08FE3BCE">
        <w:t>USA</w:t>
      </w:r>
      <w:r w:rsidR="08742419">
        <w:t>)</w:t>
      </w:r>
      <w:r w:rsidR="08FE3BCE">
        <w:t xml:space="preserve"> v letech 1692–93 (pověšeno 14 žen a </w:t>
      </w:r>
      <w:r w:rsidR="08FE3BCE" w:rsidRPr="08FE3BCE">
        <w:t xml:space="preserve">5 </w:t>
      </w:r>
      <w:r w:rsidR="08FE3BCE">
        <w:t xml:space="preserve">mužů). </w:t>
      </w:r>
      <w:r w:rsidR="084E569F">
        <w:t xml:space="preserve">Čarodějnictví se definuje na základě vědeckého poznání determinovaného paradigmatem </w:t>
      </w:r>
      <w:r w:rsidR="084E569F" w:rsidRPr="001E7CE8">
        <w:rPr>
          <w:i/>
        </w:rPr>
        <w:t>Oxfordian Fallacy</w:t>
      </w:r>
      <w:r w:rsidR="084E569F">
        <w:rPr>
          <w:i/>
        </w:rPr>
        <w:fldChar w:fldCharType="begin"/>
      </w:r>
      <w:r w:rsidR="084E569F">
        <w:instrText xml:space="preserve"> XE "</w:instrText>
      </w:r>
      <w:r w:rsidR="084E569F" w:rsidRPr="0015798D">
        <w:rPr>
          <w:i/>
        </w:rPr>
        <w:instrText>Oxfordian Fallacy:</w:instrText>
      </w:r>
      <w:r w:rsidR="084E569F" w:rsidRPr="002F4B60">
        <w:instrText>čarodějnictví</w:instrText>
      </w:r>
      <w:r w:rsidR="084E569F">
        <w:instrText xml:space="preserve">" </w:instrText>
      </w:r>
      <w:r w:rsidR="084E569F">
        <w:rPr>
          <w:i/>
        </w:rPr>
        <w:fldChar w:fldCharType="end"/>
      </w:r>
      <w:r w:rsidR="084E569F">
        <w:t xml:space="preserve">. </w:t>
      </w:r>
      <w:r>
        <w:t>Esence čarodějnictví ve středním členu soudu má vlastní účinnost v modu kauzality třetího druhu (</w:t>
      </w:r>
      <w:r w:rsidR="00A67572">
        <w:t>OBJ II, kap. 3</w:t>
      </w:r>
      <w:r>
        <w:t xml:space="preserve">.3.1). </w:t>
      </w:r>
      <w:r w:rsidR="006B4F95">
        <w:t xml:space="preserve">Pak platí, že toto objektivně určené </w:t>
      </w:r>
      <w:r w:rsidR="006B4F95" w:rsidRPr="006B4F95">
        <w:rPr>
          <w:i/>
        </w:rPr>
        <w:t>tertium ens</w:t>
      </w:r>
      <w:r w:rsidR="006B4F95">
        <w:t xml:space="preserve"> je další (</w:t>
      </w:r>
      <w:r>
        <w:t>ďábelskou</w:t>
      </w:r>
      <w:r w:rsidR="006B4F95">
        <w:t>)</w:t>
      </w:r>
      <w:r>
        <w:t xml:space="preserve"> substancí hypostázovanou v</w:t>
      </w:r>
      <w:r w:rsidR="006B4F95">
        <w:t> </w:t>
      </w:r>
      <w:r>
        <w:t>člověku</w:t>
      </w:r>
      <w:r w:rsidR="006B4F95">
        <w:t>; a tat</w:t>
      </w:r>
      <w:r w:rsidR="00F83030">
        <w:t>o démonická substance vybavená vlastní ob</w:t>
      </w:r>
      <w:r w:rsidR="006B4F95">
        <w:t>j</w:t>
      </w:r>
      <w:r w:rsidR="00F83030">
        <w:t>ek</w:t>
      </w:r>
      <w:r w:rsidR="006B4F95">
        <w:t>tivní kauzalitou je dokonce schopna řídit i ty ostatní mytologické substance, z nichž se sk</w:t>
      </w:r>
      <w:r w:rsidR="00494CE4">
        <w:t xml:space="preserve">ládá moderní osoba. </w:t>
      </w:r>
      <w:r w:rsidR="00C56F90">
        <w:t>P</w:t>
      </w:r>
      <w:r>
        <w:t xml:space="preserve">ak je třeba jednat v zájmu </w:t>
      </w:r>
      <w:r w:rsidR="00C56F90">
        <w:t xml:space="preserve">jiné </w:t>
      </w:r>
      <w:r>
        <w:t xml:space="preserve">ohrožené moderní esence zvané </w:t>
      </w:r>
      <w:r w:rsidRPr="08187A2D">
        <w:rPr>
          <w:i/>
        </w:rPr>
        <w:t>humanitas</w:t>
      </w:r>
      <w:r>
        <w:t xml:space="preserve">. Moderní humanismus </w:t>
      </w:r>
      <w:r>
        <w:rPr>
          <w:i/>
        </w:rPr>
        <w:fldChar w:fldCharType="begin"/>
      </w:r>
      <w:r>
        <w:instrText xml:space="preserve"> XE "humanismus:objektivní" </w:instrText>
      </w:r>
      <w:r>
        <w:rPr>
          <w:i/>
        </w:rPr>
        <w:fldChar w:fldCharType="end"/>
      </w:r>
      <w:r>
        <w:t>vzniká tím, že se provádí aktivní zkoumání čarodějnictví pomocí inkvizice a dokonce i mytických ordálových soudů.</w:t>
      </w:r>
      <w:r>
        <w:rPr>
          <w:rStyle w:val="Znakapoznpodarou"/>
        </w:rPr>
        <w:footnoteReference w:id="511"/>
      </w:r>
      <w:r>
        <w:t xml:space="preserve"> </w:t>
      </w:r>
      <w:r w:rsidR="00B310F9">
        <w:t xml:space="preserve">Moderna dělila </w:t>
      </w:r>
      <w:r>
        <w:t xml:space="preserve">čarodějnictví </w:t>
      </w:r>
      <w:r w:rsidR="00B310F9">
        <w:t xml:space="preserve">na správně určená </w:t>
      </w:r>
      <w:r w:rsidR="00B310F9" w:rsidRPr="00B310F9">
        <w:rPr>
          <w:i/>
        </w:rPr>
        <w:t>scibilia</w:t>
      </w:r>
      <w:r w:rsidR="00B310F9">
        <w:t xml:space="preserve"> definovaná v rámci </w:t>
      </w:r>
      <w:r w:rsidR="00B310F9" w:rsidRPr="00B310F9">
        <w:rPr>
          <w:i/>
        </w:rPr>
        <w:t>Arbor Porhyriana</w:t>
      </w:r>
      <w:r w:rsidR="00B310F9">
        <w:t xml:space="preserve">. Tím bylo založeno </w:t>
      </w:r>
      <w:r w:rsidR="00B310F9" w:rsidRPr="00B310F9">
        <w:rPr>
          <w:i/>
        </w:rPr>
        <w:t>rectitudo</w:t>
      </w:r>
      <w:r w:rsidR="00B310F9">
        <w:t xml:space="preserve"> první zcela samostatné speciální objektivní vědy na latinském Západě. Vědecky postupující inkvizitor vybavený stejně platným subjektivním </w:t>
      </w:r>
      <w:r w:rsidR="00B310F9" w:rsidRPr="00B310F9">
        <w:rPr>
          <w:i/>
        </w:rPr>
        <w:t>certitudo</w:t>
      </w:r>
      <w:r w:rsidR="00B310F9">
        <w:t xml:space="preserve"> pak </w:t>
      </w:r>
      <w:r>
        <w:t xml:space="preserve">mučením </w:t>
      </w:r>
      <w:r w:rsidR="00B310F9">
        <w:t xml:space="preserve">našel </w:t>
      </w:r>
      <w:r>
        <w:t>intimní zdroj vůle těchto individualizovaných sil a hypostázovaných su</w:t>
      </w:r>
      <w:r w:rsidR="00612BFE">
        <w:t xml:space="preserve">bstancí ve vyšetřovaném </w:t>
      </w:r>
      <w:r>
        <w:t>subjektu</w:t>
      </w:r>
      <w:r w:rsidR="00B310F9">
        <w:t xml:space="preserve">. Spojení obou pojetí pravdy pak asimilovalo čarodějnictví do nové soustavy vědy dané v rámci moderní </w:t>
      </w:r>
      <w:r w:rsidR="00B310F9" w:rsidRPr="00B310F9">
        <w:rPr>
          <w:i/>
        </w:rPr>
        <w:t>veritas</w:t>
      </w:r>
      <w:r w:rsidR="00B310F9">
        <w:t xml:space="preserve"> jako Rufusova </w:t>
      </w:r>
      <w:r w:rsidR="00B310F9" w:rsidRPr="00B310F9">
        <w:rPr>
          <w:i/>
        </w:rPr>
        <w:t>coaequatio</w:t>
      </w:r>
      <w:r w:rsidR="00B310F9">
        <w:t xml:space="preserve">. </w:t>
      </w:r>
      <w:r>
        <w:t xml:space="preserve">Moderní </w:t>
      </w:r>
      <w:r w:rsidRPr="00EA66E7">
        <w:t>individuum</w:t>
      </w:r>
      <w:r>
        <w:t xml:space="preserve"> zvané „čarodějník“ představuje jsoucno třetího druh</w:t>
      </w:r>
      <w:r w:rsidR="0062352E">
        <w:t xml:space="preserve">u vzniklé na konci řady diferenciací </w:t>
      </w:r>
      <w:r>
        <w:t>dan</w:t>
      </w:r>
      <w:r w:rsidR="0062352E">
        <w:t xml:space="preserve">ých </w:t>
      </w:r>
      <w:r>
        <w:t xml:space="preserve">v rámci moderní </w:t>
      </w:r>
      <w:r w:rsidRPr="005847DD">
        <w:rPr>
          <w:i/>
        </w:rPr>
        <w:t>epistémé</w:t>
      </w:r>
      <w:r>
        <w:rPr>
          <w:i/>
        </w:rPr>
        <w:fldChar w:fldCharType="begin"/>
      </w:r>
      <w:r>
        <w:instrText xml:space="preserve"> XE "</w:instrText>
      </w:r>
      <w:r w:rsidRPr="005B05F0">
        <w:rPr>
          <w:i/>
        </w:rPr>
        <w:instrText>epistémé</w:instrText>
      </w:r>
      <w:r>
        <w:instrText xml:space="preserve">" </w:instrText>
      </w:r>
      <w:r>
        <w:rPr>
          <w:i/>
        </w:rPr>
        <w:fldChar w:fldCharType="end"/>
      </w:r>
      <w:r w:rsidR="00C61DC8">
        <w:t xml:space="preserve">. </w:t>
      </w:r>
      <w:r w:rsidR="00C61DC8" w:rsidRPr="00C61DC8">
        <w:t xml:space="preserve">Tato objektivně konstruovaná </w:t>
      </w:r>
      <w:r w:rsidR="00C61DC8" w:rsidRPr="00C61DC8">
        <w:rPr>
          <w:i/>
        </w:rPr>
        <w:t>veritas</w:t>
      </w:r>
      <w:r w:rsidR="00C61DC8" w:rsidRPr="00C61DC8">
        <w:t xml:space="preserve"> </w:t>
      </w:r>
      <w:r w:rsidR="00C61DC8">
        <w:t xml:space="preserve">vědy o </w:t>
      </w:r>
      <w:r w:rsidR="00C61DC8" w:rsidRPr="00C61DC8">
        <w:t>čarodějnic</w:t>
      </w:r>
      <w:r w:rsidR="00C61DC8">
        <w:t xml:space="preserve">tví </w:t>
      </w:r>
      <w:r w:rsidR="00C61DC8" w:rsidRPr="00C61DC8">
        <w:t>potvrzuje pa</w:t>
      </w:r>
      <w:r w:rsidR="00C61DC8">
        <w:t xml:space="preserve">radox na úrovni múzické </w:t>
      </w:r>
      <w:r w:rsidR="00C61DC8" w:rsidRPr="00C61DC8">
        <w:rPr>
          <w:i/>
        </w:rPr>
        <w:t>alétheia</w:t>
      </w:r>
      <w:r w:rsidR="00C61DC8">
        <w:t>. Moderní věda nezabíjí „lidskou osobu“</w:t>
      </w:r>
      <w:r w:rsidR="00C61DC8" w:rsidRPr="00C61DC8">
        <w:t xml:space="preserve"> (</w:t>
      </w:r>
      <w:r w:rsidR="00C61DC8" w:rsidRPr="00C61DC8">
        <w:rPr>
          <w:i/>
        </w:rPr>
        <w:t>tertium genus</w:t>
      </w:r>
      <w:r w:rsidR="00C61DC8">
        <w:t>), ale objektivně konstruované „</w:t>
      </w:r>
      <w:r w:rsidR="00C61DC8" w:rsidRPr="00C61DC8">
        <w:rPr>
          <w:i/>
        </w:rPr>
        <w:t>individuum</w:t>
      </w:r>
      <w:r w:rsidR="00C61DC8">
        <w:t>“</w:t>
      </w:r>
      <w:r w:rsidR="00C61DC8" w:rsidRPr="00C61DC8">
        <w:t xml:space="preserve"> považované za </w:t>
      </w:r>
      <w:r w:rsidR="00C61DC8" w:rsidRPr="00C61DC8">
        <w:rPr>
          <w:i/>
        </w:rPr>
        <w:t>quartum genus</w:t>
      </w:r>
      <w:r w:rsidR="00C61DC8" w:rsidRPr="00C61DC8">
        <w:t>. To je důvod, proč si západní věda pěstuje vlastní mýtus spravedlnosti a nevinnosti.</w:t>
      </w:r>
      <w:r w:rsidR="00C61DC8">
        <w:t xml:space="preserve"> </w:t>
      </w:r>
      <w:r>
        <w:t>Ontoteologická konstrukce světa a boha daná v modu paranoického poznání a schizofrenního subjektu přímo vybízí k hledání moderního antropomor</w:t>
      </w:r>
      <w:r w:rsidR="00986193">
        <w:t>fního boha, ďábla a čarodějnic.</w:t>
      </w:r>
    </w:p>
    <w:p w:rsidR="00F458E6" w:rsidRDefault="08867AEE" w:rsidP="00AE130B">
      <w:pPr>
        <w:ind w:firstLine="397"/>
      </w:pPr>
      <w:r>
        <w:t xml:space="preserve">Francouzští historikové </w:t>
      </w:r>
      <w:r w:rsidR="008972BC">
        <w:t>zkoumali diabolizaci (Michel de Certeau</w:t>
      </w:r>
      <w:r w:rsidR="008972BC">
        <w:fldChar w:fldCharType="begin"/>
      </w:r>
      <w:r w:rsidR="008972BC">
        <w:instrText xml:space="preserve"> XE "</w:instrText>
      </w:r>
      <w:r w:rsidR="008972BC" w:rsidRPr="00DC66E9">
        <w:instrText>Certeau, M.</w:instrText>
      </w:r>
      <w:r w:rsidR="008972BC">
        <w:instrText xml:space="preserve">" </w:instrText>
      </w:r>
      <w:r w:rsidR="008972BC">
        <w:fldChar w:fldCharType="end"/>
      </w:r>
      <w:r w:rsidR="008972BC">
        <w:t>, Françoise Mallet-Joris</w:t>
      </w:r>
      <w:r w:rsidR="008972BC">
        <w:fldChar w:fldCharType="begin"/>
      </w:r>
      <w:r w:rsidR="008972BC">
        <w:instrText xml:space="preserve"> XE "</w:instrText>
      </w:r>
      <w:r w:rsidR="008972BC" w:rsidRPr="008606BC">
        <w:instrText>Mallet-Joris, F.</w:instrText>
      </w:r>
      <w:r w:rsidR="008972BC">
        <w:instrText xml:space="preserve">" </w:instrText>
      </w:r>
      <w:r w:rsidR="008972BC">
        <w:fldChar w:fldCharType="end"/>
      </w:r>
      <w:r w:rsidR="008972BC">
        <w:t xml:space="preserve">) a </w:t>
      </w:r>
      <w:r w:rsidR="00AA39D1">
        <w:t>vytěsné</w:t>
      </w:r>
      <w:r w:rsidR="008972BC">
        <w:t xml:space="preserve"> stránk</w:t>
      </w:r>
      <w:r w:rsidR="00AA39D1">
        <w:t>y</w:t>
      </w:r>
      <w:r w:rsidR="008972BC">
        <w:t xml:space="preserve"> osvícenství (Robert Mandrou</w:t>
      </w:r>
      <w:r w:rsidR="008972BC">
        <w:fldChar w:fldCharType="begin"/>
      </w:r>
      <w:r w:rsidR="008972BC">
        <w:instrText xml:space="preserve"> XE "</w:instrText>
      </w:r>
      <w:r w:rsidR="008972BC" w:rsidRPr="00BA4810">
        <w:instrText>Mandrou, R.</w:instrText>
      </w:r>
      <w:r w:rsidR="008972BC">
        <w:instrText xml:space="preserve">" </w:instrText>
      </w:r>
      <w:r w:rsidR="008972BC">
        <w:fldChar w:fldCharType="end"/>
      </w:r>
      <w:r w:rsidR="008972BC">
        <w:t xml:space="preserve">) </w:t>
      </w:r>
      <w:r w:rsidR="086E290F">
        <w:t xml:space="preserve">skrze </w:t>
      </w:r>
      <w:r w:rsidR="008972BC">
        <w:t>psychoanalýzu</w:t>
      </w:r>
      <w:r>
        <w:t xml:space="preserve"> a </w:t>
      </w:r>
      <w:r w:rsidR="00127008">
        <w:t>charakterizovali</w:t>
      </w:r>
      <w:r>
        <w:t xml:space="preserve"> čarodějnické procesy termínem „</w:t>
      </w:r>
      <w:r w:rsidRPr="08867AEE">
        <w:rPr>
          <w:i/>
        </w:rPr>
        <w:t>les âges de la nuit</w:t>
      </w:r>
      <w:r>
        <w:t xml:space="preserve">“ (Certeau 1973, 13). </w:t>
      </w:r>
      <w:r w:rsidR="00910901">
        <w:t>Nihilistická historie moderní vědy začala o</w:t>
      </w:r>
      <w:r w:rsidR="08163013">
        <w:t>bjevem a klasifikací čarodějnického</w:t>
      </w:r>
      <w:r w:rsidR="00910901">
        <w:t xml:space="preserve"> individua</w:t>
      </w:r>
      <w:r w:rsidR="08163013">
        <w:t xml:space="preserve">. </w:t>
      </w:r>
      <w:r w:rsidR="003157F8" w:rsidRPr="003157F8">
        <w:t xml:space="preserve">Svět byl rozdělen na nezávislé sféry, které </w:t>
      </w:r>
      <w:r w:rsidR="003157F8" w:rsidRPr="003157F8">
        <w:lastRenderedPageBreak/>
        <w:t>byly určovány činností různých mocností. Člověk byl rozdělen na nezávislé sféry poznání</w:t>
      </w:r>
      <w:r w:rsidR="00A65A1A">
        <w:t xml:space="preserve"> a byl </w:t>
      </w:r>
      <w:r w:rsidR="003157F8" w:rsidRPr="003157F8">
        <w:t xml:space="preserve">založen </w:t>
      </w:r>
      <w:r w:rsidR="00A65A1A">
        <w:t xml:space="preserve">dokonce </w:t>
      </w:r>
      <w:r w:rsidR="003157F8" w:rsidRPr="003157F8">
        <w:t xml:space="preserve">na několika </w:t>
      </w:r>
      <w:r w:rsidR="003157F8">
        <w:t xml:space="preserve">konfliktních </w:t>
      </w:r>
      <w:r w:rsidR="003157F8" w:rsidRPr="003157F8">
        <w:t xml:space="preserve">substancích, které </w:t>
      </w:r>
      <w:r w:rsidR="003157F8">
        <w:t xml:space="preserve">se staly </w:t>
      </w:r>
      <w:r w:rsidR="003157F8" w:rsidRPr="003157F8">
        <w:t>autonomní</w:t>
      </w:r>
      <w:r w:rsidR="003157F8">
        <w:t>mi nosiči (</w:t>
      </w:r>
      <w:r w:rsidR="003157F8" w:rsidRPr="003157F8">
        <w:rPr>
          <w:i/>
        </w:rPr>
        <w:t>subiectum</w:t>
      </w:r>
      <w:r w:rsidR="003157F8">
        <w:t xml:space="preserve">) </w:t>
      </w:r>
      <w:r w:rsidR="00A65A1A">
        <w:t xml:space="preserve">různých </w:t>
      </w:r>
      <w:r w:rsidR="003157F8">
        <w:t>aktivit</w:t>
      </w:r>
      <w:r w:rsidR="003157F8" w:rsidRPr="003157F8">
        <w:t xml:space="preserve">. </w:t>
      </w:r>
      <w:r w:rsidR="003157F8" w:rsidRPr="003157F8">
        <w:rPr>
          <w:i/>
        </w:rPr>
        <w:t>Divide et impera.</w:t>
      </w:r>
      <w:r w:rsidR="00816D67">
        <w:rPr>
          <w:i/>
        </w:rPr>
        <w:t xml:space="preserve"> </w:t>
      </w:r>
      <w:r w:rsidR="08163013">
        <w:t xml:space="preserve">Čarodějnické procesy moderny byly objektivně zdůvodněné z hlediska působení té či oné substance či hypostáze v člověku </w:t>
      </w:r>
      <w:r w:rsidR="00816D67">
        <w:t xml:space="preserve">definované podle </w:t>
      </w:r>
      <w:r w:rsidR="08163013">
        <w:t>schi</w:t>
      </w:r>
      <w:r w:rsidR="00484A10">
        <w:t>zofrenického intelektu moderny.</w:t>
      </w:r>
      <w:r w:rsidR="00F458E6">
        <w:t xml:space="preserve"> </w:t>
      </w:r>
      <w:r w:rsidR="08163013">
        <w:t xml:space="preserve">Nové </w:t>
      </w:r>
      <w:r w:rsidR="08163013" w:rsidRPr="00316247">
        <w:rPr>
          <w:i/>
        </w:rPr>
        <w:t>scibile</w:t>
      </w:r>
      <w:r w:rsidR="08163013">
        <w:t xml:space="preserve"> postmoderny je z hlediska předložené hermeneutiky dáno jako intimní substance (</w:t>
      </w:r>
      <w:r w:rsidR="08163013">
        <w:rPr>
          <w:i/>
        </w:rPr>
        <w:t>potentia substantialis</w:t>
      </w:r>
      <w:r w:rsidR="08163013">
        <w:rPr>
          <w:i/>
        </w:rPr>
        <w:fldChar w:fldCharType="begin"/>
      </w:r>
      <w:r w:rsidR="08163013">
        <w:instrText xml:space="preserve"> XE "</w:instrText>
      </w:r>
      <w:r w:rsidR="08163013" w:rsidRPr="00263A8E">
        <w:rPr>
          <w:i/>
        </w:rPr>
        <w:instrText>potentia substantialis</w:instrText>
      </w:r>
      <w:r w:rsidR="08163013">
        <w:instrText xml:space="preserve">" </w:instrText>
      </w:r>
      <w:r w:rsidR="08163013">
        <w:rPr>
          <w:i/>
        </w:rPr>
        <w:fldChar w:fldCharType="end"/>
      </w:r>
      <w:r w:rsidR="08163013">
        <w:t xml:space="preserve">), která se projevovala </w:t>
      </w:r>
      <w:r w:rsidR="08E85151">
        <w:t>magickým působením kontingentně manifestovaným</w:t>
      </w:r>
      <w:r w:rsidR="08163013">
        <w:t xml:space="preserve"> ve vnějším světě</w:t>
      </w:r>
      <w:r w:rsidR="08163013" w:rsidRPr="00EC79F1">
        <w:t xml:space="preserve"> </w:t>
      </w:r>
      <w:r w:rsidR="08163013">
        <w:t>(</w:t>
      </w:r>
      <w:r w:rsidR="08163013" w:rsidRPr="000D1DB2">
        <w:rPr>
          <w:i/>
        </w:rPr>
        <w:t xml:space="preserve">potentia </w:t>
      </w:r>
      <w:r w:rsidR="08163013">
        <w:rPr>
          <w:i/>
        </w:rPr>
        <w:t>accidentalis</w:t>
      </w:r>
      <w:r w:rsidR="08163013">
        <w:rPr>
          <w:i/>
        </w:rPr>
        <w:fldChar w:fldCharType="begin"/>
      </w:r>
      <w:r w:rsidR="08163013">
        <w:instrText xml:space="preserve"> XE "</w:instrText>
      </w:r>
      <w:r w:rsidR="08163013" w:rsidRPr="007169BB">
        <w:rPr>
          <w:i/>
        </w:rPr>
        <w:instrText>potentia</w:instrText>
      </w:r>
      <w:r w:rsidR="08163013" w:rsidRPr="007169BB">
        <w:instrText xml:space="preserve"> </w:instrText>
      </w:r>
      <w:r w:rsidR="08163013">
        <w:rPr>
          <w:i/>
        </w:rPr>
        <w:instrText>accidentalis</w:instrText>
      </w:r>
      <w:r w:rsidR="08163013">
        <w:instrText xml:space="preserve">" </w:instrText>
      </w:r>
      <w:r w:rsidR="08163013">
        <w:rPr>
          <w:i/>
        </w:rPr>
        <w:fldChar w:fldCharType="end"/>
      </w:r>
      <w:r w:rsidR="08163013">
        <w:t>).</w:t>
      </w:r>
      <w:r w:rsidR="08434C0C">
        <w:rPr>
          <w:rStyle w:val="Znakapoznpodarou"/>
        </w:rPr>
        <w:footnoteReference w:id="512"/>
      </w:r>
      <w:r w:rsidR="08163013">
        <w:t xml:space="preserve"> Hypostázovaná schopnost magie a satanská substance daná v objektivním v modu přesáhne (</w:t>
      </w:r>
      <w:r w:rsidR="08163013" w:rsidRPr="003E1CDD">
        <w:rPr>
          <w:i/>
        </w:rPr>
        <w:t>exsistit</w:t>
      </w:r>
      <w:r w:rsidR="08163013">
        <w:t xml:space="preserve">) z nitra osoby do kontingentní reality, například skrze zde a nyní provozovaný magický sabat či jiné magické úkony. Satanské působení dané v rámci hypostázovaného </w:t>
      </w:r>
      <w:r w:rsidR="08163013" w:rsidRPr="00AB33BE">
        <w:rPr>
          <w:i/>
        </w:rPr>
        <w:t>scibile</w:t>
      </w:r>
      <w:r w:rsidR="08163013">
        <w:t xml:space="preserve"> mohlo být zničeno jedině anihilací samotného substančního nositele</w:t>
      </w:r>
      <w:r w:rsidR="08163013">
        <w:fldChar w:fldCharType="begin"/>
      </w:r>
      <w:r w:rsidR="08163013">
        <w:instrText xml:space="preserve"> XE "</w:instrText>
      </w:r>
      <w:r w:rsidR="08163013" w:rsidRPr="008E213E">
        <w:instrText>osoba:</w:instrText>
      </w:r>
      <w:r w:rsidR="08163013" w:rsidRPr="002F4B60">
        <w:instrText>čarodějnictví</w:instrText>
      </w:r>
      <w:r w:rsidR="08163013">
        <w:instrText xml:space="preserve">" </w:instrText>
      </w:r>
      <w:r w:rsidR="08163013">
        <w:fldChar w:fldCharType="end"/>
      </w:r>
      <w:r w:rsidR="08163013">
        <w:t>. Působení psychologicky a humanitně založených moderních inkvizitorů objevilo a klasifikovalo tento čarodějnický subjekt</w:t>
      </w:r>
      <w:r w:rsidR="08163013" w:rsidRPr="00724897">
        <w:t xml:space="preserve"> </w:t>
      </w:r>
      <w:r w:rsidR="08163013">
        <w:t xml:space="preserve">zcela vědeckým a plně pozitivním způsobem. Čarodějnické individuum se stalo prvním objektem zkoumání moderní vědy a likvidace těchto satanských </w:t>
      </w:r>
      <w:r w:rsidR="08163013" w:rsidRPr="00012519">
        <w:rPr>
          <w:i/>
        </w:rPr>
        <w:t>scibile</w:t>
      </w:r>
      <w:r w:rsidR="08163013">
        <w:t xml:space="preserve"> byla prvním projevem nihilistického humanismu</w:t>
      </w:r>
      <w:r w:rsidR="08163013">
        <w:fldChar w:fldCharType="begin"/>
      </w:r>
      <w:r w:rsidR="08163013">
        <w:instrText xml:space="preserve"> XE "</w:instrText>
      </w:r>
      <w:r w:rsidR="08163013" w:rsidRPr="00AC3E57">
        <w:instrText>humanismus:</w:instrText>
      </w:r>
      <w:r w:rsidR="08163013" w:rsidRPr="002F4B60">
        <w:instrText>čarodějnictví</w:instrText>
      </w:r>
      <w:r w:rsidR="08163013">
        <w:instrText xml:space="preserve">" </w:instrText>
      </w:r>
      <w:r w:rsidR="08163013">
        <w:fldChar w:fldCharType="end"/>
      </w:r>
      <w:r w:rsidR="08163013">
        <w:t xml:space="preserve"> člověka</w:t>
      </w:r>
      <w:r w:rsidR="00A55E05">
        <w:t xml:space="preserve"> jako </w:t>
      </w:r>
      <w:r w:rsidR="08163013">
        <w:t xml:space="preserve">mrtvoly. Lutherova a Kalvínova reformace pokračovala ve spánku kritického rozumu </w:t>
      </w:r>
      <w:r w:rsidR="08163013" w:rsidRPr="08F12ED9">
        <w:rPr>
          <w:i/>
        </w:rPr>
        <w:t>Modernorum</w:t>
      </w:r>
      <w:r w:rsidR="08163013">
        <w:t>.</w:t>
      </w:r>
      <w:r w:rsidR="08163013">
        <w:rPr>
          <w:rStyle w:val="Znakapoznpodarou"/>
        </w:rPr>
        <w:footnoteReference w:id="513"/>
      </w:r>
      <w:r w:rsidR="08163013">
        <w:t xml:space="preserve"> Gandavus vytvořil absolutní boží psychologii </w:t>
      </w:r>
      <w:r w:rsidR="08163013" w:rsidRPr="00EE4A3C">
        <w:rPr>
          <w:i/>
        </w:rPr>
        <w:t>Modernorum</w:t>
      </w:r>
      <w:r w:rsidR="08163013">
        <w:t xml:space="preserve"> danou na  avicennistickém výkladu </w:t>
      </w:r>
      <w:r w:rsidR="08163013" w:rsidRPr="003B2B14">
        <w:rPr>
          <w:i/>
        </w:rPr>
        <w:t>De anima</w:t>
      </w:r>
      <w:r w:rsidR="003470B6">
        <w:t xml:space="preserve">; </w:t>
      </w:r>
      <w:r w:rsidR="08163013">
        <w:t>postmoderní Rudolf Gockel</w:t>
      </w:r>
      <w:r w:rsidR="003470B6">
        <w:fldChar w:fldCharType="begin"/>
      </w:r>
      <w:r w:rsidR="003470B6">
        <w:instrText xml:space="preserve"> XE "</w:instrText>
      </w:r>
      <w:r w:rsidR="003470B6" w:rsidRPr="002134A9">
        <w:instrText>Goclenius, R.</w:instrText>
      </w:r>
      <w:r w:rsidR="003470B6">
        <w:instrText xml:space="preserve">" </w:instrText>
      </w:r>
      <w:r w:rsidR="003470B6">
        <w:fldChar w:fldCharType="end"/>
      </w:r>
      <w:r w:rsidR="08163013">
        <w:t xml:space="preserve"> (Goclenius, †</w:t>
      </w:r>
      <w:r w:rsidR="08163013" w:rsidRPr="08664BF2">
        <w:t>1628</w:t>
      </w:r>
      <w:r w:rsidR="08163013">
        <w:t xml:space="preserve">) jako profesor filosofie, logiky, metafyziky a etiky na univerzitě </w:t>
      </w:r>
      <w:r w:rsidR="08163013" w:rsidRPr="08664BF2">
        <w:t>v Marburg</w:t>
      </w:r>
      <w:r w:rsidR="08163013">
        <w:t xml:space="preserve">u </w:t>
      </w:r>
      <w:r w:rsidR="003470B6">
        <w:t xml:space="preserve">vytvořil </w:t>
      </w:r>
      <w:r w:rsidR="08163013">
        <w:t>první formu moderní psychologie</w:t>
      </w:r>
      <w:r w:rsidR="08163013">
        <w:fldChar w:fldCharType="begin"/>
      </w:r>
      <w:r w:rsidR="08163013">
        <w:instrText xml:space="preserve"> XE "</w:instrText>
      </w:r>
      <w:r w:rsidR="08163013" w:rsidRPr="00B82455">
        <w:instrText>psyc</w:instrText>
      </w:r>
      <w:r w:rsidR="08163013">
        <w:instrText xml:space="preserve">hologie" </w:instrText>
      </w:r>
      <w:r w:rsidR="08163013">
        <w:fldChar w:fldCharType="end"/>
      </w:r>
      <w:r w:rsidR="08163013">
        <w:t xml:space="preserve">. Tento komentátor </w:t>
      </w:r>
      <w:r w:rsidR="08163013" w:rsidRPr="085D695F">
        <w:rPr>
          <w:i/>
        </w:rPr>
        <w:t>Isagoge</w:t>
      </w:r>
      <w:r w:rsidR="08163013">
        <w:t xml:space="preserve"> byl zakladatel filosofické disciplíny zvané „ontologie“ a byl evropsky známý teoretik objektivně daného čarodějnictví</w:t>
      </w:r>
      <w:r w:rsidR="08163013">
        <w:fldChar w:fldCharType="begin"/>
      </w:r>
      <w:r w:rsidR="08163013">
        <w:instrText xml:space="preserve"> XE "</w:instrText>
      </w:r>
      <w:r w:rsidR="08163013" w:rsidRPr="008B5A46">
        <w:instrText>čarodějnictví</w:instrText>
      </w:r>
      <w:r w:rsidR="08163013">
        <w:instrText xml:space="preserve">" </w:instrText>
      </w:r>
      <w:r w:rsidR="08163013">
        <w:fldChar w:fldCharType="end"/>
      </w:r>
      <w:r w:rsidR="08163013">
        <w:t xml:space="preserve"> tehdy klasifikovaného podle vědeckého manuálu </w:t>
      </w:r>
      <w:r w:rsidR="08163013" w:rsidRPr="003134FE">
        <w:rPr>
          <w:i/>
        </w:rPr>
        <w:t>Hexenhammer</w:t>
      </w:r>
      <w:r w:rsidR="08163013">
        <w:t xml:space="preserve"> (</w:t>
      </w:r>
      <w:r w:rsidR="08163013">
        <w:rPr>
          <w:i/>
          <w:iCs/>
        </w:rPr>
        <w:t>Malleus maleficarum</w:t>
      </w:r>
      <w:r w:rsidR="08163013">
        <w:rPr>
          <w:i/>
          <w:iCs/>
        </w:rPr>
        <w:fldChar w:fldCharType="begin"/>
      </w:r>
      <w:r w:rsidR="08163013">
        <w:instrText xml:space="preserve"> XE "</w:instrText>
      </w:r>
      <w:r w:rsidR="08163013" w:rsidRPr="00623028">
        <w:rPr>
          <w:i/>
          <w:iCs/>
        </w:rPr>
        <w:instrText>Malleus maleficarum</w:instrText>
      </w:r>
      <w:r w:rsidR="08163013">
        <w:instrText xml:space="preserve">" </w:instrText>
      </w:r>
      <w:r w:rsidR="08163013">
        <w:rPr>
          <w:i/>
          <w:iCs/>
        </w:rPr>
        <w:fldChar w:fldCharType="end"/>
      </w:r>
      <w:r w:rsidR="08163013" w:rsidRPr="003134FE">
        <w:rPr>
          <w:iCs/>
        </w:rPr>
        <w:t>, 1486</w:t>
      </w:r>
      <w:r w:rsidR="08163013">
        <w:t xml:space="preserve">). Z těchto důvodů mohl tento postmoderní evangelický humanista vytvořit v rámci nového třídění věd a tehdy </w:t>
      </w:r>
      <w:r w:rsidR="08163013">
        <w:lastRenderedPageBreak/>
        <w:t>zkoumané kauzality čarodějnictví i první moderní traktát o psychologii (</w:t>
      </w:r>
      <w:r w:rsidR="08163013">
        <w:rPr>
          <w:i/>
          <w:iCs/>
        </w:rPr>
        <w:t>Psychologia</w:t>
      </w:r>
      <w:r w:rsidR="08163013" w:rsidRPr="086B3EA7">
        <w:rPr>
          <w:iCs/>
        </w:rPr>
        <w:t xml:space="preserve">, </w:t>
      </w:r>
      <w:r w:rsidR="08163013">
        <w:t>1594). Osoba stává specifickou mrtvolou, zvíře se stává právně odpovědným subjektem a stejný paranoický status dostává i démonická síla zkoumaná v rámci moderní psychologie</w:t>
      </w:r>
      <w:r w:rsidR="08163013">
        <w:fldChar w:fldCharType="begin"/>
      </w:r>
      <w:r w:rsidR="08163013">
        <w:instrText xml:space="preserve"> XE "</w:instrText>
      </w:r>
      <w:r w:rsidR="08163013" w:rsidRPr="00C12E75">
        <w:instrText>sofisma člověk-mrtvola</w:instrText>
      </w:r>
      <w:r w:rsidR="08163013">
        <w:instrText xml:space="preserve">" </w:instrText>
      </w:r>
      <w:r w:rsidR="08163013">
        <w:fldChar w:fldCharType="end"/>
      </w:r>
      <w:r w:rsidR="08163013">
        <w:t>. Dvoupatrová stavba světa v modu přirozena a nadpřirozena nutně produkovala jak boží</w:t>
      </w:r>
      <w:r w:rsidR="08163013" w:rsidRPr="00696126">
        <w:t xml:space="preserve"> </w:t>
      </w:r>
      <w:r w:rsidR="08163013">
        <w:t>všemohoucnost, tak i ďábelskou moc postavenou mimo filosofickou racionalitu a mimo kauzalitu světa. Od 14. století vzniká první vědecky utříděné vědění o člověku jako objektivním simulákru. Filosofická a vědecká simulákra</w:t>
      </w:r>
      <w:r w:rsidR="08163013">
        <w:fldChar w:fldCharType="begin"/>
      </w:r>
      <w:r w:rsidR="08163013">
        <w:instrText xml:space="preserve"> XE "</w:instrText>
      </w:r>
      <w:r w:rsidR="08163013" w:rsidRPr="00C2134D">
        <w:instrText>simulákrum</w:instrText>
      </w:r>
      <w:r w:rsidR="08163013">
        <w:instrText xml:space="preserve">" </w:instrText>
      </w:r>
      <w:r w:rsidR="08163013">
        <w:fldChar w:fldCharType="end"/>
      </w:r>
      <w:r w:rsidR="08163013">
        <w:t xml:space="preserve"> začínají v moderně působit již plně pozitivně a představují mocenský a ideologický nástroj, protože přešla do mocenského diskurzu</w:t>
      </w:r>
      <w:r w:rsidR="00B967D2">
        <w:t xml:space="preserve"> moderní vědy</w:t>
      </w:r>
      <w:r w:rsidR="08163013">
        <w:t xml:space="preserve">. </w:t>
      </w:r>
      <w:r w:rsidR="00AE130B" w:rsidRPr="00AE130B">
        <w:t xml:space="preserve">Pak není </w:t>
      </w:r>
      <w:r w:rsidR="00AE130B">
        <w:t>divu, že každý mohl pozorovat ta</w:t>
      </w:r>
      <w:r w:rsidR="00AE130B" w:rsidRPr="00AE130B">
        <w:t xml:space="preserve">to neexistující </w:t>
      </w:r>
      <w:r w:rsidR="00AE130B" w:rsidRPr="00AE130B">
        <w:rPr>
          <w:i/>
        </w:rPr>
        <w:t>tertium ens</w:t>
      </w:r>
      <w:r w:rsidR="00AE130B">
        <w:t xml:space="preserve"> vytvořená</w:t>
      </w:r>
      <w:r w:rsidR="00AE130B" w:rsidRPr="00AE130B">
        <w:t xml:space="preserve"> tehdejšími akademickými ilumináty. Každý objektivně k</w:t>
      </w:r>
      <w:r w:rsidR="00AE130B">
        <w:t>auzální čarodějný efekt a jeho „</w:t>
      </w:r>
      <w:r w:rsidR="00AE130B" w:rsidRPr="00AE130B">
        <w:t>ex</w:t>
      </w:r>
      <w:r w:rsidR="00AE130B">
        <w:t>sistence“</w:t>
      </w:r>
      <w:r w:rsidR="00AE130B" w:rsidRPr="00AE130B">
        <w:t xml:space="preserve"> měl</w:t>
      </w:r>
      <w:r w:rsidR="00AE130B">
        <w:t>a</w:t>
      </w:r>
      <w:r w:rsidR="00AE130B" w:rsidRPr="00AE130B">
        <w:t xml:space="preserve"> být </w:t>
      </w:r>
      <w:r w:rsidR="00AE130B">
        <w:t>na</w:t>
      </w:r>
      <w:r w:rsidR="00AE130B" w:rsidRPr="00AE130B">
        <w:t>hlášen</w:t>
      </w:r>
      <w:r w:rsidR="00AE130B">
        <w:t>a</w:t>
      </w:r>
      <w:r w:rsidR="00AE130B" w:rsidRPr="00AE130B">
        <w:t xml:space="preserve"> </w:t>
      </w:r>
      <w:r w:rsidR="008D3C08">
        <w:t xml:space="preserve">příslušným </w:t>
      </w:r>
      <w:r w:rsidR="00AE130B">
        <w:t>úřadům</w:t>
      </w:r>
      <w:r w:rsidR="08163013">
        <w:t xml:space="preserve">. </w:t>
      </w:r>
    </w:p>
    <w:p w:rsidR="00B821ED" w:rsidRDefault="00F458E6" w:rsidP="00F458E6">
      <w:pPr>
        <w:ind w:firstLine="397"/>
      </w:pPr>
      <w:r w:rsidRPr="00C4356A">
        <w:t xml:space="preserve">Po nástupu mechanistických teorií v 17. století se </w:t>
      </w:r>
      <w:r w:rsidR="00E53BF1">
        <w:t xml:space="preserve">kosmický </w:t>
      </w:r>
      <w:r w:rsidRPr="00C4356A">
        <w:rPr>
          <w:i/>
        </w:rPr>
        <w:t xml:space="preserve">intellectus possibilis </w:t>
      </w:r>
      <w:r>
        <w:t xml:space="preserve">modernistů </w:t>
      </w:r>
      <w:r w:rsidRPr="00C4356A">
        <w:t xml:space="preserve">změnil v </w:t>
      </w:r>
      <w:r w:rsidRPr="00C4356A">
        <w:rPr>
          <w:i/>
        </w:rPr>
        <w:t>intellectus materialis</w:t>
      </w:r>
      <w:r>
        <w:t xml:space="preserve"> postmoderny. </w:t>
      </w:r>
      <w:r w:rsidRPr="00081834">
        <w:t>Schizofrenní člověk moderny v sobě přestal nosit démonický nebo kosmický substanciální intelekt</w:t>
      </w:r>
      <w:r>
        <w:t xml:space="preserve">, kterým </w:t>
      </w:r>
      <w:r w:rsidR="001C632A">
        <w:t xml:space="preserve">měl </w:t>
      </w:r>
      <w:r>
        <w:t xml:space="preserve">mytologicky a objektivně </w:t>
      </w:r>
      <w:r w:rsidR="001C632A">
        <w:t>kopulovat</w:t>
      </w:r>
      <w:r>
        <w:t xml:space="preserve"> ve schématu moderní radostné vědy</w:t>
      </w:r>
      <w:r w:rsidRPr="00081834">
        <w:t xml:space="preserve">. Dalším zvratem </w:t>
      </w:r>
      <w:r>
        <w:t xml:space="preserve">do </w:t>
      </w:r>
      <w:r w:rsidRPr="00081834">
        <w:t xml:space="preserve">opaku se člověk stal nositelem zvířecího materiálního intelektu. </w:t>
      </w:r>
      <w:r>
        <w:t>Lidé se stali podobnými zvířatům. P</w:t>
      </w:r>
      <w:r w:rsidRPr="00C4356A">
        <w:t>řestaly čarodějnické procesy a hned poté začaly objektivní procesy se zvířaty</w:t>
      </w:r>
      <w:r>
        <w:t>, které p</w:t>
      </w:r>
      <w:r w:rsidRPr="00C4356A">
        <w:t xml:space="preserve">robíhaly po celé Evropě </w:t>
      </w:r>
      <w:r>
        <w:t xml:space="preserve">až </w:t>
      </w:r>
      <w:r w:rsidRPr="00C4356A">
        <w:t>do 20. století.</w:t>
      </w:r>
      <w:r>
        <w:t xml:space="preserve"> Britští zoopsychologové</w:t>
      </w:r>
      <w:r>
        <w:fldChar w:fldCharType="begin"/>
      </w:r>
      <w:r>
        <w:instrText xml:space="preserve"> XE "</w:instrText>
      </w:r>
      <w:r w:rsidRPr="08E75E2B">
        <w:instrText>zoopsychologie</w:instrText>
      </w:r>
      <w:r>
        <w:instrText xml:space="preserve">" </w:instrText>
      </w:r>
      <w:r>
        <w:fldChar w:fldCharType="end"/>
      </w:r>
      <w:r>
        <w:t xml:space="preserve"> měli pro zvířecí násilí stejný popis motivace jako u lidí </w:t>
      </w:r>
      <w:r w:rsidRPr="083A4D85">
        <w:t>(Appleton</w:t>
      </w:r>
      <w:r>
        <w:t xml:space="preserve"> </w:t>
      </w:r>
      <w:r w:rsidRPr="083A4D85">
        <w:t>1898</w:t>
      </w:r>
      <w:r>
        <w:t xml:space="preserve">). Francouzský psycholog Alexandre </w:t>
      </w:r>
      <w:r w:rsidRPr="08C01963">
        <w:t>Lacassagne</w:t>
      </w:r>
      <w:r>
        <w:t xml:space="preserve"> na začátku 20. století dělil kriminální akty zvířat do šesti kategorií podle psychologických motivů společných pro lidi i pro zvířata (Evans 1906, 235). Dnešní evoluční biologie, behaviorismus a neuropsychologie dané jako první vědy o člověku vítězně pokračují v tomto modernou nastoupeném směru. Myšlení osoby je definováno skrze animální </w:t>
      </w:r>
      <w:r w:rsidRPr="088566FD">
        <w:rPr>
          <w:i/>
        </w:rPr>
        <w:t>intellectus materialis</w:t>
      </w:r>
      <w:r>
        <w:t xml:space="preserve">. Dalším příkladem redukce člověka na zvíře je dán ve vědeckém pojetí rasově daného humanismu. Teoretický a koloniálně daný rasismus </w:t>
      </w:r>
      <w:r w:rsidRPr="00273106">
        <w:t xml:space="preserve">nesla </w:t>
      </w:r>
      <w:r>
        <w:t xml:space="preserve">zpočátku </w:t>
      </w:r>
      <w:r w:rsidRPr="00273106">
        <w:t>především anglo-saská a francouzská eugenika</w:t>
      </w:r>
      <w:r w:rsidRPr="08113EBD">
        <w:t xml:space="preserve"> </w:t>
      </w:r>
      <w:r>
        <w:t xml:space="preserve">jako moderní antropologické </w:t>
      </w:r>
      <w:r w:rsidRPr="0064707C">
        <w:rPr>
          <w:i/>
        </w:rPr>
        <w:t>scibile</w:t>
      </w:r>
      <w:r w:rsidRPr="00273106">
        <w:t xml:space="preserve">. </w:t>
      </w:r>
      <w:r>
        <w:t xml:space="preserve">Za příklad poslouží </w:t>
      </w:r>
      <w:r w:rsidRPr="00273106">
        <w:t>místa konání prvních eugenických kongresů</w:t>
      </w:r>
      <w:r>
        <w:fldChar w:fldCharType="begin"/>
      </w:r>
      <w:r>
        <w:instrText xml:space="preserve"> XE "</w:instrText>
      </w:r>
      <w:r w:rsidRPr="003460A5">
        <w:instrText>eugenika</w:instrText>
      </w:r>
      <w:r>
        <w:instrText xml:space="preserve">" </w:instrText>
      </w:r>
      <w:r>
        <w:fldChar w:fldCharType="end"/>
      </w:r>
      <w:r w:rsidRPr="00273106">
        <w:t xml:space="preserve"> (</w:t>
      </w:r>
      <w:r w:rsidRPr="00273106">
        <w:rPr>
          <w:i/>
        </w:rPr>
        <w:t>International Eugenics Congress</w:t>
      </w:r>
      <w:r w:rsidRPr="00273106">
        <w:t>) v Londýně (1912) a New Yorku (1921, 1932)</w:t>
      </w:r>
      <w:r>
        <w:t xml:space="preserve"> a dále </w:t>
      </w:r>
      <w:r w:rsidRPr="00273106">
        <w:t>lidské zoologické zahrady</w:t>
      </w:r>
      <w:r>
        <w:fldChar w:fldCharType="begin"/>
      </w:r>
      <w:r>
        <w:instrText xml:space="preserve"> XE "</w:instrText>
      </w:r>
      <w:r w:rsidRPr="00D45D1B">
        <w:instrText>lidské zoologické zahrady</w:instrText>
      </w:r>
      <w:r>
        <w:instrText xml:space="preserve">" </w:instrText>
      </w:r>
      <w:r>
        <w:fldChar w:fldCharType="end"/>
      </w:r>
      <w:r w:rsidRPr="00273106">
        <w:t xml:space="preserve"> pořádané </w:t>
      </w:r>
      <w:r>
        <w:t>ve velkých evropských zemích v letech 1877‒1912</w:t>
      </w:r>
      <w:r w:rsidRPr="00273106">
        <w:t>.</w:t>
      </w:r>
      <w:r>
        <w:t xml:space="preserve"> Anglosaský vědecký rasismus a eugenika historicky a filosoficky </w:t>
      </w:r>
      <w:r>
        <w:lastRenderedPageBreak/>
        <w:t>předcházely a zakládaly nacistický rasismus. Nikoliv Hitler, ale němečtí lékaři a právníci žádali zavedení eutanasie a eugeniky, protože chtěli dohnat objektivní výzkum západních vědeckých velmocí v tehdy úspěšném oboru rasově dané vědy a šlechtění lidské rasy.</w:t>
      </w:r>
      <w:r w:rsidR="00C71E08">
        <w:t xml:space="preserve"> </w:t>
      </w:r>
      <w:r w:rsidR="00C71E08" w:rsidRPr="00C71E08">
        <w:t>Evoluční genetika a biologie, které definovaly molekuly DNA jako nositele kultury, v tomto směru úspěšně pokračují (kap. 5.1.1), stejně ja</w:t>
      </w:r>
      <w:r w:rsidR="00C71E08">
        <w:t>ko „liberální“</w:t>
      </w:r>
      <w:r w:rsidR="00C71E08" w:rsidRPr="00C71E08">
        <w:t xml:space="preserve"> zákony o eutanazii v západních zemích jako </w:t>
      </w:r>
      <w:r w:rsidR="00C71E08">
        <w:t xml:space="preserve">je </w:t>
      </w:r>
      <w:r w:rsidR="00C71E08" w:rsidRPr="00C71E08">
        <w:t xml:space="preserve">Kanada. </w:t>
      </w:r>
      <w:r>
        <w:t xml:space="preserve">Moderna má démonický charakter přímo ve své podstatě, protože její objektivně </w:t>
      </w:r>
      <w:r w:rsidR="0061372B">
        <w:t xml:space="preserve">založená </w:t>
      </w:r>
      <w:r>
        <w:t xml:space="preserve">věda má zásadně iracionální charakter. Pojetí humanitních věd ve věku metafyzického nihilismu završilo předešlou epochu čarodějnického humanismu moderny a postmoderny. Foucault na konci díla </w:t>
      </w:r>
      <w:r w:rsidRPr="00A34990">
        <w:rPr>
          <w:i/>
        </w:rPr>
        <w:t>Les mots et les choses</w:t>
      </w:r>
      <w:r>
        <w:t xml:space="preserve"> objektivně správně poznamenal, že hra diferencí může stvořit jakýkoliv typ </w:t>
      </w:r>
      <w:r w:rsidR="000B5B4F">
        <w:t>„</w:t>
      </w:r>
      <w:r>
        <w:t>humanitního</w:t>
      </w:r>
      <w:r w:rsidR="000B5B4F">
        <w:t>“</w:t>
      </w:r>
      <w:r>
        <w:t xml:space="preserve"> vědění. </w:t>
      </w:r>
      <w:r w:rsidR="08163013">
        <w:t xml:space="preserve">Hermeneutika ukázala, že vědecký proces třídění a klasifikace začal </w:t>
      </w:r>
      <w:r w:rsidR="08163013" w:rsidRPr="00E20D41">
        <w:t xml:space="preserve">ve škole </w:t>
      </w:r>
      <w:r w:rsidR="08163013" w:rsidRPr="00E20D41">
        <w:rPr>
          <w:i/>
        </w:rPr>
        <w:t>Nominales</w:t>
      </w:r>
      <w:r w:rsidR="08163013">
        <w:t xml:space="preserve"> už čtyři století před Foucaultovou post</w:t>
      </w:r>
      <w:r w:rsidR="08163013">
        <w:noBreakHyphen/>
        <w:t xml:space="preserve">strukturální </w:t>
      </w:r>
      <w:r w:rsidR="08163013" w:rsidRPr="00F74A45">
        <w:rPr>
          <w:i/>
        </w:rPr>
        <w:t>epistémé</w:t>
      </w:r>
      <w:r w:rsidR="08163013" w:rsidRPr="00E20D41">
        <w:t xml:space="preserve">. </w:t>
      </w:r>
      <w:r w:rsidR="08163013">
        <w:t>Z hlediska literární hermeneutiky</w:t>
      </w:r>
      <w:r w:rsidR="08163013">
        <w:fldChar w:fldCharType="begin"/>
      </w:r>
      <w:r w:rsidR="08163013">
        <w:instrText xml:space="preserve"> XE "</w:instrText>
      </w:r>
      <w:r w:rsidR="08163013" w:rsidRPr="00D56458">
        <w:instrText>hermen</w:instrText>
      </w:r>
      <w:r w:rsidR="08163013">
        <w:instrText>e</w:instrText>
      </w:r>
      <w:r w:rsidR="08163013" w:rsidRPr="00D56458">
        <w:instrText>utika:literární</w:instrText>
      </w:r>
      <w:r w:rsidR="08163013">
        <w:instrText xml:space="preserve">" </w:instrText>
      </w:r>
      <w:r w:rsidR="08163013">
        <w:fldChar w:fldCharType="end"/>
      </w:r>
      <w:r w:rsidR="08163013">
        <w:t xml:space="preserve"> je zajímavé, že nyní běží pravý opak moderního čarodějnictví. Do literárního </w:t>
      </w:r>
      <w:r w:rsidR="00973211">
        <w:t xml:space="preserve">imaginárního světa </w:t>
      </w:r>
      <w:r w:rsidR="08163013">
        <w:t>jsou umístěna pololidská jsoucna třetího druhu, která po završené dějové zápletce dosáhnou zatracení nebo vykoupení. Osud démonů, vampírů, čarodějnic postižených osudem, láskou či kletbou</w:t>
      </w:r>
      <w:r w:rsidR="00CC7C20">
        <w:t xml:space="preserve"> lidství a pololidství nahradil</w:t>
      </w:r>
      <w:r w:rsidR="08163013">
        <w:t xml:space="preserve"> </w:t>
      </w:r>
      <w:r w:rsidR="00801DF1">
        <w:t xml:space="preserve">nejasný </w:t>
      </w:r>
      <w:r w:rsidR="08163013">
        <w:t xml:space="preserve">smysl lidské existence. Postmoderní fikce typu </w:t>
      </w:r>
      <w:r w:rsidR="08163013" w:rsidRPr="007F1A53">
        <w:rPr>
          <w:i/>
        </w:rPr>
        <w:t>fantasy</w:t>
      </w:r>
      <w:r w:rsidR="08163013">
        <w:t xml:space="preserve"> a počítačových her zasazují démonické bytosti do reálného světa a do existenciálních vztahů. V epoše metafyzického nihilismu a humanismu vznikl další „třetí svět“ literárního či virtuálního diakosmu, který nepřímo dosvědčuje zánik člověka jako postmoderního subjektu</w:t>
      </w:r>
      <w:r w:rsidR="08163013">
        <w:fldChar w:fldCharType="begin"/>
      </w:r>
      <w:r w:rsidR="08163013">
        <w:instrText xml:space="preserve"> XE "</w:instrText>
      </w:r>
      <w:r w:rsidR="08163013" w:rsidRPr="005650EE">
        <w:instrText>osoba:třetího druhu</w:instrText>
      </w:r>
      <w:r w:rsidR="08163013">
        <w:instrText xml:space="preserve">" </w:instrText>
      </w:r>
      <w:r w:rsidR="08163013">
        <w:fldChar w:fldCharType="end"/>
      </w:r>
      <w:r w:rsidR="08163013">
        <w:t>. Zakódování kultury v molekule DNA ukazuje podobným způsobem objektivní formu humanismu</w:t>
      </w:r>
      <w:r w:rsidR="08163013" w:rsidRPr="08DE1B2A">
        <w:t xml:space="preserve"> </w:t>
      </w:r>
      <w:r w:rsidR="08163013">
        <w:t xml:space="preserve">jako akademické postmoderní </w:t>
      </w:r>
      <w:r w:rsidR="08163013" w:rsidRPr="08F24D49">
        <w:rPr>
          <w:i/>
        </w:rPr>
        <w:t>fantasy</w:t>
      </w:r>
      <w:r w:rsidR="08163013">
        <w:t>. Postmoderní humanisté udělali z člověka evolučně vylepšené zvíře vybavené pouze materiálním intelektem</w:t>
      </w:r>
      <w:r w:rsidR="08163013" w:rsidRPr="00273106">
        <w:t>.</w:t>
      </w:r>
      <w:r w:rsidR="08163013">
        <w:t xml:space="preserve"> V epoše současného metafyzického nihilismu převedli intelektuální schopnost dokonce na pouhé mozkové funkce. Takový úpadek kritického myšlení se pochopitelně nemohl vyskytnout ve škole prvního averroismu, která ještě znala základní charakteristiky lidského intelektu a měla plnou jednotu osoby spojenou adekvačním pojetím pravdy. Toto kritické vědění zmizelo v novém typu ideologického humanismu vládnoucího v nihilistické formě </w:t>
      </w:r>
      <w:r w:rsidR="08163013" w:rsidRPr="08D85921">
        <w:rPr>
          <w:i/>
        </w:rPr>
        <w:t>dativus incommodi</w:t>
      </w:r>
      <w:r w:rsidR="08163013">
        <w:t xml:space="preserve"> během totalitního a válečného 20. století. Postmoderní člověk se stal nejprve démonem, pak zvířetem a po smrti moderního boha už jen totalitně kalkulovanou a prů</w:t>
      </w:r>
      <w:r w:rsidR="00B821ED">
        <w:t xml:space="preserve">myslově produkovanou mrtvolou. </w:t>
      </w:r>
    </w:p>
    <w:p w:rsidR="08163013" w:rsidRDefault="00B821ED" w:rsidP="000C7215">
      <w:pPr>
        <w:ind w:firstLine="397"/>
      </w:pPr>
      <w:r w:rsidRPr="00B821ED">
        <w:lastRenderedPageBreak/>
        <w:t xml:space="preserve">V historické epoše zcela pozitivní a nihilistické vědy může hermeneutika dokončit své dílo. </w:t>
      </w:r>
      <w:r w:rsidRPr="00B821ED">
        <w:rPr>
          <w:i/>
        </w:rPr>
        <w:t>Dativus ethicus</w:t>
      </w:r>
      <w:r>
        <w:rPr>
          <w:i/>
        </w:rPr>
        <w:fldChar w:fldCharType="begin"/>
      </w:r>
      <w:r>
        <w:instrText xml:space="preserve"> XE "</w:instrText>
      </w:r>
      <w:r w:rsidRPr="08FC108C">
        <w:rPr>
          <w:i/>
        </w:rPr>
        <w:instrText>dativus ethicus</w:instrText>
      </w:r>
      <w:r>
        <w:instrText xml:space="preserve">" </w:instrText>
      </w:r>
      <w:r>
        <w:rPr>
          <w:i/>
        </w:rPr>
        <w:fldChar w:fldCharType="end"/>
      </w:r>
      <w:r w:rsidRPr="00B821ED">
        <w:t xml:space="preserve"> a </w:t>
      </w:r>
      <w:r w:rsidRPr="00B821ED">
        <w:rPr>
          <w:i/>
        </w:rPr>
        <w:t>dativus incommodi</w:t>
      </w:r>
      <w:r>
        <w:rPr>
          <w:i/>
        </w:rPr>
        <w:fldChar w:fldCharType="begin"/>
      </w:r>
      <w:r>
        <w:instrText xml:space="preserve"> XE "</w:instrText>
      </w:r>
      <w:r w:rsidRPr="08B40B76">
        <w:rPr>
          <w:i/>
        </w:rPr>
        <w:instrText>dativus incommodi</w:instrText>
      </w:r>
      <w:r>
        <w:instrText xml:space="preserve">" </w:instrText>
      </w:r>
      <w:r>
        <w:rPr>
          <w:i/>
        </w:rPr>
        <w:fldChar w:fldCharType="end"/>
      </w:r>
      <w:r w:rsidRPr="00B821ED">
        <w:t xml:space="preserve"> představují poslední </w:t>
      </w:r>
      <w:r>
        <w:t xml:space="preserve">dějinné </w:t>
      </w:r>
      <w:r w:rsidRPr="00B821ED">
        <w:t xml:space="preserve">existenciály objektivity ve zkoumaném hermeneutickém modu pravdy jako </w:t>
      </w:r>
      <w:r w:rsidRPr="00B821ED">
        <w:rPr>
          <w:i/>
        </w:rPr>
        <w:t>alétheia</w:t>
      </w:r>
      <w:r w:rsidRPr="00B821ED">
        <w:t xml:space="preserve">. </w:t>
      </w:r>
      <w:r>
        <w:t xml:space="preserve">Hermeneutická archeologie zkoumá </w:t>
      </w:r>
      <w:r w:rsidR="08163013" w:rsidRPr="00273106">
        <w:t xml:space="preserve">bytí </w:t>
      </w:r>
      <w:r>
        <w:t xml:space="preserve">objektivního </w:t>
      </w:r>
      <w:r w:rsidR="08163013" w:rsidRPr="00273106">
        <w:t xml:space="preserve">jsoucna v rámci </w:t>
      </w:r>
      <w:r w:rsidR="08163013" w:rsidRPr="00273106">
        <w:rPr>
          <w:i/>
        </w:rPr>
        <w:t>Lichtung</w:t>
      </w:r>
      <w:r>
        <w:t xml:space="preserve"> samotného bytí, které v rámci božských Múz múzicky odhaluje pravdu a nepravdu takto určené metafyziky. </w:t>
      </w:r>
      <w:r w:rsidR="00B81DE2">
        <w:t>Nihilismu</w:t>
      </w:r>
      <w:r w:rsidR="006008AE">
        <w:t>s</w:t>
      </w:r>
      <w:r w:rsidR="00B81DE2">
        <w:t xml:space="preserve"> už nemá ani objektivně určenou metafyziku, protože myšlení </w:t>
      </w:r>
      <w:r w:rsidR="006008AE">
        <w:t xml:space="preserve">dané </w:t>
      </w:r>
      <w:r w:rsidR="00B81DE2">
        <w:t>v </w:t>
      </w:r>
      <w:r w:rsidR="006008AE">
        <w:t>rám</w:t>
      </w:r>
      <w:r w:rsidR="00B81DE2">
        <w:t xml:space="preserve">ci </w:t>
      </w:r>
      <w:r w:rsidR="006008AE">
        <w:t>binárního pozitivismu jedničk</w:t>
      </w:r>
      <w:r w:rsidR="00B81DE2">
        <w:t xml:space="preserve">y a nuly už </w:t>
      </w:r>
      <w:r w:rsidR="006008AE">
        <w:t>nepotřebuje žádnou transcendenci</w:t>
      </w:r>
      <w:r w:rsidR="00B81DE2">
        <w:t>, dokonce ani tu falešnou</w:t>
      </w:r>
      <w:r w:rsidR="006008AE">
        <w:t xml:space="preserve"> ne</w:t>
      </w:r>
      <w:r w:rsidR="00B81DE2">
        <w:t xml:space="preserve">. </w:t>
      </w:r>
      <w:r>
        <w:t xml:space="preserve">Pak je objektivně jasné, že </w:t>
      </w:r>
      <w:r w:rsidR="00916204">
        <w:t xml:space="preserve">hermeneutický </w:t>
      </w:r>
      <w:r>
        <w:t>druh zkoumání nemá v</w:t>
      </w:r>
      <w:r w:rsidR="08163013">
        <w:t xml:space="preserve"> epoše </w:t>
      </w:r>
      <w:r w:rsidR="00916204">
        <w:t xml:space="preserve">nihilistické </w:t>
      </w:r>
      <w:r w:rsidR="08163013">
        <w:t xml:space="preserve">objektivity </w:t>
      </w:r>
      <w:r w:rsidR="08163013" w:rsidRPr="00273106">
        <w:t xml:space="preserve">žádný epochální fenomén </w:t>
      </w:r>
      <w:r w:rsidR="08163013" w:rsidRPr="00273106">
        <w:rPr>
          <w:i/>
        </w:rPr>
        <w:t>sui generis</w:t>
      </w:r>
      <w:r w:rsidR="08163013" w:rsidRPr="00273106">
        <w:t xml:space="preserve">, který by </w:t>
      </w:r>
      <w:r w:rsidR="00916204">
        <w:t xml:space="preserve">šlo </w:t>
      </w:r>
      <w:r w:rsidR="08163013" w:rsidRPr="00273106">
        <w:t>zkoumat</w:t>
      </w:r>
      <w:r w:rsidR="00916204">
        <w:t xml:space="preserve">. </w:t>
      </w:r>
      <w:r w:rsidR="003413E6">
        <w:t>Ale bylo potřeba zachránit původní fenomén daný jako a</w:t>
      </w:r>
      <w:r w:rsidR="08163013">
        <w:t xml:space="preserve">rchaický </w:t>
      </w:r>
      <w:r w:rsidR="08163013" w:rsidRPr="08936929">
        <w:rPr>
          <w:i/>
        </w:rPr>
        <w:t>Ereignis</w:t>
      </w:r>
      <w:r w:rsidR="003413E6">
        <w:t xml:space="preserve">, který </w:t>
      </w:r>
      <w:r w:rsidR="08163013">
        <w:t>ustavuj</w:t>
      </w:r>
      <w:r w:rsidR="003413E6">
        <w:t>e</w:t>
      </w:r>
      <w:r w:rsidR="08163013">
        <w:t xml:space="preserve"> skrytou </w:t>
      </w:r>
      <w:r w:rsidR="003413E6">
        <w:t xml:space="preserve">a tudíž objektivně neviditelnou </w:t>
      </w:r>
      <w:r w:rsidR="08163013">
        <w:t>dějinnost bytí</w:t>
      </w:r>
      <w:r w:rsidR="08163013" w:rsidRPr="00273106">
        <w:t xml:space="preserve">. </w:t>
      </w:r>
      <w:r w:rsidR="003413E6">
        <w:t xml:space="preserve">Neviditelné fenomény určují viditelné fenomény. </w:t>
      </w:r>
      <w:r w:rsidR="08163013" w:rsidRPr="00273106">
        <w:t xml:space="preserve">Dějiny objektivity </w:t>
      </w:r>
      <w:r w:rsidR="08163013">
        <w:t xml:space="preserve">utvořené </w:t>
      </w:r>
      <w:r w:rsidR="08163013" w:rsidRPr="00273106">
        <w:t xml:space="preserve">v rámci humanisticko-nihilistické </w:t>
      </w:r>
      <w:r w:rsidR="08163013" w:rsidRPr="00273106">
        <w:rPr>
          <w:i/>
        </w:rPr>
        <w:t>via Modernorum</w:t>
      </w:r>
      <w:r w:rsidR="08163013">
        <w:rPr>
          <w:i/>
        </w:rPr>
        <w:fldChar w:fldCharType="begin"/>
      </w:r>
      <w:r w:rsidR="08163013">
        <w:instrText xml:space="preserve"> XE "</w:instrText>
      </w:r>
      <w:r w:rsidR="08163013" w:rsidRPr="00ED0748">
        <w:rPr>
          <w:i/>
        </w:rPr>
        <w:instrText>via Modernorum</w:instrText>
      </w:r>
      <w:r w:rsidR="08163013">
        <w:instrText xml:space="preserve">" </w:instrText>
      </w:r>
      <w:r w:rsidR="08163013">
        <w:rPr>
          <w:i/>
        </w:rPr>
        <w:fldChar w:fldCharType="end"/>
      </w:r>
      <w:r w:rsidR="08163013" w:rsidRPr="00273106">
        <w:t xml:space="preserve"> jsou již určeny </w:t>
      </w:r>
      <w:r w:rsidR="08163013">
        <w:t xml:space="preserve">plně </w:t>
      </w:r>
      <w:r w:rsidR="08163013" w:rsidRPr="00273106">
        <w:t xml:space="preserve">pozitivisticky. </w:t>
      </w:r>
      <w:r w:rsidR="00C23719">
        <w:t xml:space="preserve">Objektivita jako samozřejmý předpoklad vědy </w:t>
      </w:r>
      <w:r w:rsidR="08163013" w:rsidRPr="00273106">
        <w:t>patří do kategorie zkoumání speciálních věd, historie myšle</w:t>
      </w:r>
      <w:r w:rsidR="08163013">
        <w:t xml:space="preserve">ní a objektivně dané filosofie. Tyto pozitivní vědy </w:t>
      </w:r>
      <w:r w:rsidR="08163013" w:rsidRPr="00273106">
        <w:t xml:space="preserve">prohlubují </w:t>
      </w:r>
      <w:r w:rsidR="08163013">
        <w:t xml:space="preserve">epochálně </w:t>
      </w:r>
      <w:r w:rsidR="08163013" w:rsidRPr="00273106">
        <w:t xml:space="preserve">manifestovanou </w:t>
      </w:r>
      <w:r w:rsidR="08163013" w:rsidRPr="00273106">
        <w:rPr>
          <w:i/>
        </w:rPr>
        <w:t>veritas</w:t>
      </w:r>
      <w:r w:rsidR="08163013" w:rsidRPr="00273106">
        <w:t xml:space="preserve"> objektivity</w:t>
      </w:r>
      <w:r w:rsidR="08163013">
        <w:t xml:space="preserve"> danou v původním hermeneutickém modu epochálního </w:t>
      </w:r>
      <w:r w:rsidR="08163013" w:rsidRPr="08E16145">
        <w:rPr>
          <w:i/>
        </w:rPr>
        <w:t>Irrtum</w:t>
      </w:r>
      <w:r w:rsidR="08163013" w:rsidRPr="00273106">
        <w:t xml:space="preserve">. Konec metafyziky </w:t>
      </w:r>
      <w:r w:rsidR="08163013">
        <w:t xml:space="preserve">v posledních časech </w:t>
      </w:r>
      <w:r w:rsidR="00354028">
        <w:t>západního neopozitivismu, neos</w:t>
      </w:r>
      <w:r w:rsidR="08163013" w:rsidRPr="00273106">
        <w:t xml:space="preserve">cientismu </w:t>
      </w:r>
      <w:r w:rsidR="00354028">
        <w:t xml:space="preserve">a neokolonialismu </w:t>
      </w:r>
      <w:r w:rsidR="08163013" w:rsidRPr="00273106">
        <w:t xml:space="preserve">dokazuje, že v poli plné odkrytosti objektivity je vše manifestováno pozitivně a </w:t>
      </w:r>
      <w:r w:rsidR="08163013">
        <w:t>nihilisticky</w:t>
      </w:r>
      <w:r w:rsidR="08163013" w:rsidRPr="00273106">
        <w:t xml:space="preserve">. </w:t>
      </w:r>
      <w:r w:rsidR="08163013">
        <w:t>Averroesova meta</w:t>
      </w:r>
      <w:r w:rsidR="08163013" w:rsidRPr="00273106">
        <w:t>fyzika</w:t>
      </w:r>
      <w:r w:rsidR="08163013">
        <w:fldChar w:fldCharType="begin"/>
      </w:r>
      <w:r w:rsidR="08163013">
        <w:instrText xml:space="preserve"> XE "</w:instrText>
      </w:r>
      <w:r w:rsidR="08163013" w:rsidRPr="006512C1">
        <w:instrText>metafyzika:</w:instrText>
      </w:r>
      <w:r w:rsidR="08163013">
        <w:instrText xml:space="preserve">Averroes" </w:instrText>
      </w:r>
      <w:r w:rsidR="08163013">
        <w:fldChar w:fldCharType="end"/>
      </w:r>
      <w:r w:rsidR="000C7215">
        <w:t xml:space="preserve"> přešla do plné skrytosti</w:t>
      </w:r>
      <w:r w:rsidR="000C7215" w:rsidRPr="000C7215">
        <w:t>, aby se moderní gnostické produkty mohly projevit v plné síle objektivního a nihilistického smyslu, na který neustále dohlíží globální společenství západních iluminátů</w:t>
      </w:r>
      <w:r w:rsidR="000C7215">
        <w:fldChar w:fldCharType="begin"/>
      </w:r>
      <w:r w:rsidR="000C7215">
        <w:instrText xml:space="preserve"> XE "</w:instrText>
      </w:r>
      <w:r w:rsidR="000C7215" w:rsidRPr="00BD65D1">
        <w:instrText>ilumináti</w:instrText>
      </w:r>
      <w:r w:rsidR="000C7215">
        <w:instrText xml:space="preserve">" </w:instrText>
      </w:r>
      <w:r w:rsidR="000C7215">
        <w:fldChar w:fldCharType="end"/>
      </w:r>
      <w:r w:rsidR="000C7215">
        <w:t xml:space="preserve">. </w:t>
      </w:r>
      <w:r w:rsidR="08163013">
        <w:t xml:space="preserve">Poslední matrice musí popsat přechod objektivních dějin myšlení na epochální historii, aby byl podaný kompletní výklad objektivity v duchu úvodní triády dějinnosti, dějin a historie. Metafyzika se </w:t>
      </w:r>
      <w:r w:rsidR="00F673F0">
        <w:t xml:space="preserve">stala politickým věděním, </w:t>
      </w:r>
      <w:r w:rsidR="08163013">
        <w:t xml:space="preserve">a to nejen z hlediska </w:t>
      </w:r>
      <w:r w:rsidR="08163013" w:rsidRPr="083C7EAC">
        <w:rPr>
          <w:i/>
        </w:rPr>
        <w:t>ad hoc</w:t>
      </w:r>
      <w:r w:rsidR="08163013">
        <w:t xml:space="preserve"> daných mocenských zásahů moderny. Komentáře Aristotelových politických spisů ve škole prvního a druhého averroismu vytvořily</w:t>
      </w:r>
      <w:r w:rsidR="08163013" w:rsidRPr="00273106">
        <w:t xml:space="preserve"> na latinském Západě</w:t>
      </w:r>
      <w:r w:rsidR="08163013">
        <w:t xml:space="preserve"> p</w:t>
      </w:r>
      <w:r w:rsidR="08163013" w:rsidRPr="00273106">
        <w:t xml:space="preserve">rvní </w:t>
      </w:r>
      <w:r w:rsidR="08163013">
        <w:t>teorii politické vědy</w:t>
      </w:r>
      <w:r w:rsidR="08163013" w:rsidRPr="00273106">
        <w:t xml:space="preserve">. </w:t>
      </w:r>
      <w:r w:rsidR="08163013">
        <w:t xml:space="preserve">Poslední </w:t>
      </w:r>
      <w:r w:rsidR="006C0F84">
        <w:t xml:space="preserve">šestá </w:t>
      </w:r>
      <w:r w:rsidR="08163013">
        <w:t>matrice popisuje kontroverzní založení politické filosofie, které zásadně určilo mnohé historické spory moderního Západu</w:t>
      </w:r>
      <w:r w:rsidR="08163013" w:rsidRPr="00273106">
        <w:t>.</w:t>
      </w:r>
    </w:p>
    <w:p w:rsidR="08163013" w:rsidRPr="00273106" w:rsidRDefault="08163013" w:rsidP="08163013"/>
    <w:p w:rsidR="08163013" w:rsidRPr="085F33A9" w:rsidRDefault="08163013" w:rsidP="08163013">
      <w:pPr>
        <w:pStyle w:val="Nadpis1"/>
        <w:rPr>
          <w:lang w:val="cs-CZ"/>
        </w:rPr>
      </w:pPr>
      <w:r>
        <w:br w:type="page"/>
      </w:r>
      <w:bookmarkStart w:id="105" w:name="_Toc36144171"/>
      <w:bookmarkStart w:id="106" w:name="_Toc180231684"/>
      <w:r>
        <w:rPr>
          <w:lang w:val="cs-CZ"/>
        </w:rPr>
        <w:lastRenderedPageBreak/>
        <w:t>6</w:t>
      </w:r>
      <w:r w:rsidRPr="00273106">
        <w:t xml:space="preserve">. </w:t>
      </w:r>
      <w:r w:rsidR="00165F3A">
        <w:rPr>
          <w:lang w:val="cs-CZ"/>
        </w:rPr>
        <w:t xml:space="preserve">Nástup </w:t>
      </w:r>
      <w:r w:rsidRPr="00273106">
        <w:t>politického averroismu</w:t>
      </w:r>
      <w:r>
        <w:rPr>
          <w:lang w:val="cs-CZ"/>
        </w:rPr>
        <w:t xml:space="preserve"> </w:t>
      </w:r>
      <w:r w:rsidRPr="00273106">
        <w:t>(Matrice V</w:t>
      </w:r>
      <w:r>
        <w:t>I</w:t>
      </w:r>
      <w:r w:rsidRPr="00273106">
        <w:t>)</w:t>
      </w:r>
      <w:bookmarkEnd w:id="105"/>
      <w:bookmarkEnd w:id="106"/>
    </w:p>
    <w:p w:rsidR="00777EC1" w:rsidRPr="00F31AC6" w:rsidRDefault="00BF00F2" w:rsidP="002326ED">
      <w:r>
        <w:t>Objektivní metafyzická slepota vůči realitě se proměnila v civilizační program Západu, realizovaný moderními náboženskými, technickými a politickými revolucemi. Olivi ustanovil subjekt vůle, Luther</w:t>
      </w:r>
      <w:r>
        <w:rPr>
          <w:rStyle w:val="Zkladntext158dkovn0pt"/>
          <w:color w:val="auto"/>
          <w:spacing w:val="0"/>
          <w:sz w:val="24"/>
          <w:lang w:val="cs-CZ"/>
        </w:rPr>
        <w:fldChar w:fldCharType="begin"/>
      </w:r>
      <w:r>
        <w:instrText xml:space="preserve"> XE "</w:instrText>
      </w:r>
      <w:r w:rsidRPr="00197058">
        <w:rPr>
          <w:rStyle w:val="Zkladntext158dkovn0pt"/>
          <w:color w:val="auto"/>
          <w:spacing w:val="0"/>
          <w:sz w:val="24"/>
          <w:lang w:val="cs-CZ"/>
        </w:rPr>
        <w:instrText>Luther, M.</w:instrText>
      </w:r>
      <w:r>
        <w:instrText xml:space="preserve">" </w:instrText>
      </w:r>
      <w:r>
        <w:rPr>
          <w:rStyle w:val="Zkladntext158dkovn0pt"/>
          <w:color w:val="auto"/>
          <w:spacing w:val="0"/>
          <w:sz w:val="24"/>
          <w:lang w:val="cs-CZ"/>
        </w:rPr>
        <w:fldChar w:fldCharType="end"/>
      </w:r>
      <w:r>
        <w:t xml:space="preserve"> reformní subjekt spásy. Následoval novověký subjekt nezcizitelných práv a Nietzscheho subjekt vůle k moci, který zrušil překonanou metafyziku a morálku. V epoše dovršeného nihilismu přišel subjekt instrumentální racionality, který nesl na svých ramenou průmyslovou revoluci, včetně imperialistické fáze kapitalismu. </w:t>
      </w:r>
      <w:r w:rsidR="00873CD7" w:rsidRPr="00873CD7">
        <w:t>Jüngerův</w:t>
      </w:r>
      <w:r w:rsidR="00873CD7">
        <w:rPr>
          <w:rStyle w:val="Zkladntext158dkovn0pt"/>
          <w:color w:val="auto"/>
          <w:spacing w:val="0"/>
          <w:sz w:val="24"/>
          <w:lang w:val="cs-CZ"/>
        </w:rPr>
        <w:fldChar w:fldCharType="begin"/>
      </w:r>
      <w:r w:rsidR="00873CD7">
        <w:instrText xml:space="preserve"> XE "</w:instrText>
      </w:r>
      <w:r w:rsidR="00873CD7" w:rsidRPr="006248EA">
        <w:rPr>
          <w:rStyle w:val="Zkladntext158dkovn0pt"/>
          <w:color w:val="auto"/>
          <w:spacing w:val="0"/>
          <w:sz w:val="24"/>
          <w:lang w:val="cs-CZ"/>
        </w:rPr>
        <w:instrText>Jünger, E.</w:instrText>
      </w:r>
      <w:r w:rsidR="00873CD7">
        <w:instrText xml:space="preserve">" </w:instrText>
      </w:r>
      <w:r w:rsidR="00873CD7">
        <w:rPr>
          <w:rStyle w:val="Zkladntext158dkovn0pt"/>
          <w:color w:val="auto"/>
          <w:spacing w:val="0"/>
          <w:sz w:val="24"/>
          <w:lang w:val="cs-CZ"/>
        </w:rPr>
        <w:fldChar w:fldCharType="end"/>
      </w:r>
      <w:r w:rsidR="00873CD7" w:rsidRPr="00873CD7">
        <w:t xml:space="preserve"> eschatologický </w:t>
      </w:r>
      <w:r w:rsidR="00873CD7" w:rsidRPr="00873CD7">
        <w:rPr>
          <w:i/>
          <w:iCs/>
        </w:rPr>
        <w:t>Arbeiter</w:t>
      </w:r>
      <w:r w:rsidR="00873CD7" w:rsidRPr="00873CD7">
        <w:t xml:space="preserve"> (1932) tento imperialismus realizoval během </w:t>
      </w:r>
      <w:r w:rsidR="00873CD7">
        <w:t>První a D</w:t>
      </w:r>
      <w:r w:rsidR="00873CD7" w:rsidRPr="00873CD7">
        <w:t>ruhé světové války.</w:t>
      </w:r>
      <w:r w:rsidR="00873CD7">
        <w:t xml:space="preserve"> Tato </w:t>
      </w:r>
      <w:r w:rsidR="00873CD7">
        <w:rPr>
          <w:rStyle w:val="Zkladntext158dkovn0pt"/>
          <w:color w:val="auto"/>
          <w:spacing w:val="0"/>
          <w:sz w:val="24"/>
          <w:lang w:val="cs-CZ"/>
        </w:rPr>
        <w:t xml:space="preserve">planetární kumulace energie a lidských mas v modu totálního </w:t>
      </w:r>
      <w:r w:rsidR="00873CD7" w:rsidRPr="0091419F">
        <w:rPr>
          <w:bCs/>
          <w:i/>
        </w:rPr>
        <w:t>Mobilmachung</w:t>
      </w:r>
      <w:r w:rsidR="00873CD7">
        <w:rPr>
          <w:bCs/>
          <w:i/>
        </w:rPr>
        <w:fldChar w:fldCharType="begin"/>
      </w:r>
      <w:r w:rsidR="00873CD7">
        <w:instrText xml:space="preserve"> XE "</w:instrText>
      </w:r>
      <w:r w:rsidR="00873CD7" w:rsidRPr="001C55FF">
        <w:rPr>
          <w:i/>
        </w:rPr>
        <w:instrText>Mobilmachung</w:instrText>
      </w:r>
      <w:r w:rsidR="00873CD7">
        <w:instrText xml:space="preserve">" </w:instrText>
      </w:r>
      <w:r w:rsidR="00873CD7">
        <w:rPr>
          <w:bCs/>
          <w:i/>
        </w:rPr>
        <w:fldChar w:fldCharType="end"/>
      </w:r>
      <w:r w:rsidR="00873CD7">
        <w:rPr>
          <w:bCs/>
          <w:i/>
        </w:rPr>
        <w:t xml:space="preserve"> </w:t>
      </w:r>
      <w:r w:rsidR="00873CD7">
        <w:t xml:space="preserve">naplnila </w:t>
      </w:r>
      <w:r w:rsidR="00873CD7">
        <w:rPr>
          <w:rStyle w:val="Zkladntext158dkovn0pt"/>
          <w:color w:val="auto"/>
          <w:spacing w:val="0"/>
          <w:sz w:val="24"/>
          <w:lang w:val="cs-CZ"/>
        </w:rPr>
        <w:t>znamení Bonaventurovy apokalyptické šelmy</w:t>
      </w:r>
      <w:r w:rsidR="00DC0F29">
        <w:rPr>
          <w:rStyle w:val="Zkladntext158dkovn0pt"/>
          <w:color w:val="auto"/>
          <w:spacing w:val="0"/>
          <w:sz w:val="24"/>
          <w:lang w:val="cs-CZ"/>
        </w:rPr>
        <w:t>. P</w:t>
      </w:r>
      <w:r w:rsidR="00777EC1">
        <w:rPr>
          <w:rStyle w:val="Zkladntext158dkovn0pt"/>
          <w:color w:val="auto"/>
          <w:spacing w:val="0"/>
          <w:sz w:val="24"/>
          <w:lang w:val="cs-CZ"/>
        </w:rPr>
        <w:t xml:space="preserve">o </w:t>
      </w:r>
      <w:r w:rsidR="00DC0F29">
        <w:rPr>
          <w:rStyle w:val="Zkladntext158dkovn0pt"/>
          <w:color w:val="auto"/>
          <w:spacing w:val="0"/>
          <w:sz w:val="24"/>
          <w:lang w:val="cs-CZ"/>
        </w:rPr>
        <w:t xml:space="preserve">planetárním dělníkovi Západu vyčerpaném dvěma totálními válkami </w:t>
      </w:r>
      <w:r w:rsidR="00777EC1">
        <w:rPr>
          <w:rStyle w:val="Zkladntext158dkovn0pt"/>
          <w:color w:val="auto"/>
          <w:spacing w:val="0"/>
          <w:sz w:val="24"/>
          <w:lang w:val="cs-CZ"/>
        </w:rPr>
        <w:t xml:space="preserve">nastoupil </w:t>
      </w:r>
      <w:r w:rsidR="00777EC1" w:rsidRPr="00273106">
        <w:rPr>
          <w:rStyle w:val="Zkladntext158dkovn0pt"/>
          <w:color w:val="auto"/>
          <w:spacing w:val="0"/>
          <w:sz w:val="24"/>
          <w:lang w:val="cs-CZ"/>
        </w:rPr>
        <w:t>Patočkův</w:t>
      </w:r>
      <w:r w:rsidR="00777EC1">
        <w:rPr>
          <w:rStyle w:val="Zkladntext158dkovn0pt"/>
          <w:color w:val="auto"/>
          <w:spacing w:val="0"/>
          <w:sz w:val="24"/>
          <w:lang w:val="cs-CZ"/>
        </w:rPr>
        <w:fldChar w:fldCharType="begin"/>
      </w:r>
      <w:r w:rsidR="00777EC1">
        <w:instrText xml:space="preserve"> XE "</w:instrText>
      </w:r>
      <w:r w:rsidR="00777EC1" w:rsidRPr="003C05B2">
        <w:rPr>
          <w:rStyle w:val="Zkladntext158dkovn0pt"/>
          <w:color w:val="auto"/>
          <w:spacing w:val="0"/>
          <w:sz w:val="24"/>
          <w:lang w:val="cs-CZ"/>
        </w:rPr>
        <w:instrText>Patočka, J.</w:instrText>
      </w:r>
      <w:r w:rsidR="00777EC1">
        <w:instrText xml:space="preserve">" </w:instrText>
      </w:r>
      <w:r w:rsidR="00777EC1">
        <w:rPr>
          <w:rStyle w:val="Zkladntext158dkovn0pt"/>
          <w:color w:val="auto"/>
          <w:spacing w:val="0"/>
          <w:sz w:val="24"/>
          <w:lang w:val="cs-CZ"/>
        </w:rPr>
        <w:fldChar w:fldCharType="end"/>
      </w:r>
      <w:r w:rsidR="00777EC1" w:rsidRPr="00273106">
        <w:rPr>
          <w:rStyle w:val="Zkladntext158dkovn0pt"/>
          <w:color w:val="auto"/>
          <w:spacing w:val="0"/>
          <w:sz w:val="24"/>
          <w:lang w:val="cs-CZ"/>
        </w:rPr>
        <w:t xml:space="preserve"> </w:t>
      </w:r>
      <w:r w:rsidR="0059762D">
        <w:rPr>
          <w:rStyle w:val="Zkladntext158dkovn0pt"/>
          <w:color w:val="auto"/>
          <w:spacing w:val="0"/>
          <w:sz w:val="24"/>
          <w:lang w:val="cs-CZ"/>
        </w:rPr>
        <w:t>disidentský subjekt sil Dne a N</w:t>
      </w:r>
      <w:r w:rsidR="00777EC1">
        <w:rPr>
          <w:rStyle w:val="Zkladntext158dkovn0pt"/>
          <w:color w:val="auto"/>
          <w:spacing w:val="0"/>
          <w:sz w:val="24"/>
          <w:lang w:val="cs-CZ"/>
        </w:rPr>
        <w:t xml:space="preserve">oci. </w:t>
      </w:r>
      <w:r w:rsidR="006A6A2B" w:rsidRPr="006A6A2B">
        <w:rPr>
          <w:rStyle w:val="Zkladntext158dkovn0pt"/>
          <w:color w:val="auto"/>
          <w:spacing w:val="0"/>
          <w:sz w:val="24"/>
          <w:lang w:val="cs-CZ"/>
        </w:rPr>
        <w:t xml:space="preserve">Dnešní hedgeové fondy vládnou </w:t>
      </w:r>
      <w:r w:rsidR="006A6A2B">
        <w:rPr>
          <w:rStyle w:val="Zkladntext158dkovn0pt"/>
          <w:color w:val="auto"/>
          <w:spacing w:val="0"/>
          <w:sz w:val="24"/>
          <w:lang w:val="cs-CZ"/>
        </w:rPr>
        <w:t>světu prostřednictvím simulákra</w:t>
      </w:r>
      <w:r w:rsidR="006A6A2B" w:rsidRPr="006A6A2B">
        <w:rPr>
          <w:rStyle w:val="Zkladntext158dkovn0pt"/>
          <w:color w:val="auto"/>
          <w:spacing w:val="0"/>
          <w:sz w:val="24"/>
          <w:lang w:val="cs-CZ"/>
        </w:rPr>
        <w:t xml:space="preserve"> objektivních finančních derivá</w:t>
      </w:r>
      <w:r w:rsidR="00CB1930">
        <w:rPr>
          <w:rStyle w:val="Zkladntext158dkovn0pt"/>
          <w:color w:val="auto"/>
          <w:spacing w:val="0"/>
          <w:sz w:val="24"/>
          <w:lang w:val="cs-CZ"/>
        </w:rPr>
        <w:t xml:space="preserve">tů řízených umělou inteligencí. </w:t>
      </w:r>
      <w:r w:rsidR="00CB1930" w:rsidRPr="00CB1930">
        <w:t xml:space="preserve">Tento typ dnešního apokalyptického intelektu představuje poslední vítězný subjekt Západu, </w:t>
      </w:r>
      <w:r w:rsidR="00CB1930">
        <w:rPr>
          <w:rStyle w:val="Zkladntext158dkovn0pt"/>
          <w:color w:val="auto"/>
          <w:spacing w:val="0"/>
          <w:sz w:val="24"/>
          <w:lang w:val="cs-CZ"/>
        </w:rPr>
        <w:t>který obsluhují současní dělníci s bílými límečky (</w:t>
      </w:r>
      <w:r w:rsidR="00CB1930" w:rsidRPr="00C23E9A">
        <w:rPr>
          <w:rStyle w:val="Zkladntext158dkovn0pt"/>
          <w:i/>
          <w:color w:val="auto"/>
          <w:spacing w:val="0"/>
          <w:sz w:val="24"/>
          <w:lang w:val="cs-CZ"/>
        </w:rPr>
        <w:t>white collars</w:t>
      </w:r>
      <w:r w:rsidR="00CB1930">
        <w:rPr>
          <w:rStyle w:val="Zkladntext158dkovn0pt"/>
          <w:color w:val="auto"/>
          <w:spacing w:val="0"/>
          <w:sz w:val="24"/>
          <w:lang w:val="cs-CZ"/>
        </w:rPr>
        <w:t xml:space="preserve">). Ti fungují </w:t>
      </w:r>
      <w:r w:rsidR="00CB1930" w:rsidRPr="00CB1930">
        <w:t>jako nový druh planetárních dělníků pro jedno procento korporátních s</w:t>
      </w:r>
      <w:r w:rsidR="00CB1930">
        <w:t xml:space="preserve">pekulantů, fašistů a banksterů, kteří </w:t>
      </w:r>
      <w:r w:rsidR="00CB1930" w:rsidRPr="00CB1930">
        <w:t>hromadí globální moc, která kdysi patřila západním impériím.</w:t>
      </w:r>
      <w:r w:rsidR="00CB1930">
        <w:rPr>
          <w:szCs w:val="27"/>
          <w:shd w:val="clear" w:color="auto" w:fill="FFFFFF"/>
        </w:rPr>
        <w:t xml:space="preserve"> </w:t>
      </w:r>
      <w:r w:rsidR="00777EC1">
        <w:rPr>
          <w:rStyle w:val="Zkladntext158dkovn0pt"/>
          <w:color w:val="auto"/>
          <w:spacing w:val="0"/>
          <w:sz w:val="24"/>
          <w:lang w:val="cs-CZ"/>
        </w:rPr>
        <w:t xml:space="preserve">Ze specifické mrtvoly </w:t>
      </w:r>
      <w:r w:rsidR="00777EC1" w:rsidRPr="00ED0458">
        <w:rPr>
          <w:rStyle w:val="Zkladntext158dkovn0pt"/>
          <w:i/>
          <w:color w:val="auto"/>
          <w:spacing w:val="0"/>
          <w:sz w:val="24"/>
          <w:lang w:val="cs-CZ"/>
        </w:rPr>
        <w:t>Modernorum</w:t>
      </w:r>
      <w:r w:rsidR="00777EC1">
        <w:rPr>
          <w:rStyle w:val="Zkladntext158dkovn0pt"/>
          <w:color w:val="auto"/>
          <w:spacing w:val="0"/>
          <w:sz w:val="24"/>
          <w:lang w:val="cs-CZ"/>
        </w:rPr>
        <w:t xml:space="preserve"> se stal neutrální zdroj demiurgické energie, která se v modu racionálně kalkulovatelného a manipulovatelného </w:t>
      </w:r>
      <w:r w:rsidR="00777EC1" w:rsidRPr="00485C6D">
        <w:rPr>
          <w:rStyle w:val="Zkladntext158dkovn0pt"/>
          <w:i/>
          <w:color w:val="auto"/>
          <w:spacing w:val="0"/>
          <w:sz w:val="24"/>
          <w:lang w:val="cs-CZ"/>
        </w:rPr>
        <w:t>scibile</w:t>
      </w:r>
      <w:r w:rsidR="00777EC1">
        <w:rPr>
          <w:rStyle w:val="Zkladntext158dkovn0pt"/>
          <w:i/>
          <w:color w:val="auto"/>
          <w:spacing w:val="0"/>
          <w:sz w:val="24"/>
          <w:lang w:val="cs-CZ"/>
        </w:rPr>
        <w:fldChar w:fldCharType="begin"/>
      </w:r>
      <w:r w:rsidR="00777EC1">
        <w:instrText xml:space="preserve"> XE "</w:instrText>
      </w:r>
      <w:r w:rsidR="00777EC1" w:rsidRPr="00AA4F67">
        <w:rPr>
          <w:i/>
        </w:rPr>
        <w:instrText>scibile</w:instrText>
      </w:r>
      <w:r w:rsidR="00777EC1">
        <w:rPr>
          <w:i/>
        </w:rPr>
        <w:instrText>:</w:instrText>
      </w:r>
      <w:r w:rsidR="00777EC1">
        <w:instrText>post</w:instrText>
      </w:r>
      <w:r w:rsidR="00777EC1" w:rsidRPr="0071562E">
        <w:instrText>moderna</w:instrText>
      </w:r>
      <w:r w:rsidR="00777EC1">
        <w:instrText xml:space="preserve">" </w:instrText>
      </w:r>
      <w:r w:rsidR="00777EC1">
        <w:rPr>
          <w:rStyle w:val="Zkladntext158dkovn0pt"/>
          <w:i/>
          <w:color w:val="auto"/>
          <w:spacing w:val="0"/>
          <w:sz w:val="24"/>
          <w:lang w:val="cs-CZ"/>
        </w:rPr>
        <w:fldChar w:fldCharType="end"/>
      </w:r>
      <w:r w:rsidR="00777EC1">
        <w:rPr>
          <w:rStyle w:val="Zkladntext158dkovn0pt"/>
          <w:color w:val="auto"/>
          <w:spacing w:val="0"/>
          <w:sz w:val="24"/>
          <w:lang w:val="cs-CZ"/>
        </w:rPr>
        <w:t xml:space="preserve"> nijak neliší od jiných jsoucen třetího druhu. </w:t>
      </w:r>
      <w:r w:rsidR="00387080">
        <w:rPr>
          <w:rStyle w:val="Zkladntext158dkovn0pt"/>
          <w:color w:val="auto"/>
          <w:spacing w:val="0"/>
          <w:sz w:val="24"/>
          <w:lang w:val="cs-CZ"/>
        </w:rPr>
        <w:t>I</w:t>
      </w:r>
      <w:r w:rsidR="00777EC1">
        <w:rPr>
          <w:rStyle w:val="Zkladntext158dkovn0pt"/>
          <w:color w:val="auto"/>
          <w:spacing w:val="0"/>
          <w:sz w:val="24"/>
          <w:lang w:val="cs-CZ"/>
        </w:rPr>
        <w:t xml:space="preserve">nstrumentální </w:t>
      </w:r>
      <w:r w:rsidR="00387080">
        <w:rPr>
          <w:rStyle w:val="Zkladntext158dkovn0pt"/>
          <w:color w:val="auto"/>
          <w:spacing w:val="0"/>
          <w:sz w:val="24"/>
          <w:lang w:val="cs-CZ"/>
        </w:rPr>
        <w:t xml:space="preserve">intelekt </w:t>
      </w:r>
      <w:r w:rsidR="00777EC1">
        <w:rPr>
          <w:iCs/>
        </w:rPr>
        <w:fldChar w:fldCharType="begin"/>
      </w:r>
      <w:r w:rsidR="00777EC1">
        <w:instrText xml:space="preserve"> XE "intelekt</w:instrText>
      </w:r>
      <w:r w:rsidR="00777EC1" w:rsidRPr="00345F13">
        <w:instrText>:instrumentální</w:instrText>
      </w:r>
      <w:r w:rsidR="00777EC1">
        <w:instrText xml:space="preserve">" </w:instrText>
      </w:r>
      <w:r w:rsidR="00777EC1">
        <w:rPr>
          <w:iCs/>
        </w:rPr>
        <w:fldChar w:fldCharType="end"/>
      </w:r>
      <w:r w:rsidR="00387080">
        <w:rPr>
          <w:rStyle w:val="Zkladntext158dkovn0pt"/>
          <w:color w:val="auto"/>
          <w:spacing w:val="0"/>
          <w:sz w:val="24"/>
          <w:lang w:val="cs-CZ"/>
        </w:rPr>
        <w:t xml:space="preserve"> objektivně produkovaný současnými </w:t>
      </w:r>
      <w:r w:rsidR="00777EC1">
        <w:rPr>
          <w:rStyle w:val="Zkladntext158dkovn0pt"/>
          <w:color w:val="auto"/>
          <w:spacing w:val="0"/>
          <w:sz w:val="24"/>
          <w:lang w:val="cs-CZ"/>
        </w:rPr>
        <w:t xml:space="preserve">Fúriemi dobře ví, že lidská demiurgická energie je kontingentní a smrtelná. </w:t>
      </w:r>
      <w:r w:rsidR="00374B74">
        <w:rPr>
          <w:rStyle w:val="Zkladntext158dkovn0pt"/>
          <w:color w:val="auto"/>
          <w:spacing w:val="0"/>
          <w:sz w:val="24"/>
          <w:lang w:val="cs-CZ"/>
        </w:rPr>
        <w:t xml:space="preserve">Taková sorta </w:t>
      </w:r>
      <w:r w:rsidR="00777EC1" w:rsidRPr="00ED0458">
        <w:rPr>
          <w:rStyle w:val="Zkladntext158dkovn0pt"/>
          <w:i/>
          <w:color w:val="auto"/>
          <w:spacing w:val="0"/>
          <w:sz w:val="24"/>
          <w:lang w:val="cs-CZ"/>
        </w:rPr>
        <w:t>potentia acc</w:t>
      </w:r>
      <w:r w:rsidR="00777EC1">
        <w:rPr>
          <w:rStyle w:val="Zkladntext158dkovn0pt"/>
          <w:i/>
          <w:color w:val="auto"/>
          <w:spacing w:val="0"/>
          <w:sz w:val="24"/>
          <w:lang w:val="cs-CZ"/>
        </w:rPr>
        <w:t>ident</w:t>
      </w:r>
      <w:r w:rsidR="00777EC1" w:rsidRPr="00ED0458">
        <w:rPr>
          <w:rStyle w:val="Zkladntext158dkovn0pt"/>
          <w:i/>
          <w:color w:val="auto"/>
          <w:spacing w:val="0"/>
          <w:sz w:val="24"/>
          <w:lang w:val="cs-CZ"/>
        </w:rPr>
        <w:t>alis</w:t>
      </w:r>
      <w:r w:rsidR="00777EC1">
        <w:rPr>
          <w:rStyle w:val="Zkladntext158dkovn0pt"/>
          <w:i/>
          <w:color w:val="auto"/>
          <w:spacing w:val="0"/>
          <w:sz w:val="24"/>
          <w:lang w:val="cs-CZ"/>
        </w:rPr>
        <w:fldChar w:fldCharType="begin"/>
      </w:r>
      <w:r w:rsidR="00777EC1">
        <w:instrText xml:space="preserve"> XE "</w:instrText>
      </w:r>
      <w:r w:rsidR="00777EC1" w:rsidRPr="007169BB">
        <w:rPr>
          <w:i/>
        </w:rPr>
        <w:instrText>potentia</w:instrText>
      </w:r>
      <w:r w:rsidR="00777EC1" w:rsidRPr="007169BB">
        <w:instrText xml:space="preserve"> </w:instrText>
      </w:r>
      <w:r w:rsidR="00777EC1">
        <w:rPr>
          <w:i/>
        </w:rPr>
        <w:instrText>accidentalis</w:instrText>
      </w:r>
      <w:r w:rsidR="00777EC1">
        <w:instrText xml:space="preserve">" </w:instrText>
      </w:r>
      <w:r w:rsidR="00777EC1">
        <w:rPr>
          <w:rStyle w:val="Zkladntext158dkovn0pt"/>
          <w:i/>
          <w:color w:val="auto"/>
          <w:spacing w:val="0"/>
          <w:sz w:val="24"/>
          <w:lang w:val="cs-CZ"/>
        </w:rPr>
        <w:fldChar w:fldCharType="end"/>
      </w:r>
      <w:r w:rsidR="00777EC1">
        <w:rPr>
          <w:rStyle w:val="Zkladntext158dkovn0pt"/>
          <w:color w:val="auto"/>
          <w:spacing w:val="0"/>
          <w:sz w:val="24"/>
          <w:lang w:val="cs-CZ"/>
        </w:rPr>
        <w:t xml:space="preserve"> </w:t>
      </w:r>
      <w:r w:rsidR="00374B74">
        <w:rPr>
          <w:rStyle w:val="Zkladntext158dkovn0pt"/>
          <w:color w:val="auto"/>
          <w:spacing w:val="0"/>
          <w:sz w:val="24"/>
          <w:lang w:val="cs-CZ"/>
        </w:rPr>
        <w:t xml:space="preserve">je </w:t>
      </w:r>
      <w:r w:rsidR="00777EC1">
        <w:rPr>
          <w:rStyle w:val="Zkladntext158dkovn0pt"/>
          <w:color w:val="auto"/>
          <w:spacing w:val="0"/>
          <w:sz w:val="24"/>
          <w:lang w:val="cs-CZ"/>
        </w:rPr>
        <w:t>velmi volatilní, málem jako světové burzy. Kvůli této specifické formě Rufusovy neposlušnosti materie</w:t>
      </w:r>
      <w:r w:rsidR="00777EC1">
        <w:rPr>
          <w:rStyle w:val="Zkladntext158dkovn0pt"/>
          <w:color w:val="auto"/>
          <w:spacing w:val="0"/>
          <w:sz w:val="24"/>
          <w:lang w:val="cs-CZ"/>
        </w:rPr>
        <w:fldChar w:fldCharType="begin"/>
      </w:r>
      <w:r w:rsidR="00777EC1">
        <w:instrText xml:space="preserve"> XE "</w:instrText>
      </w:r>
      <w:r w:rsidR="00777EC1" w:rsidRPr="00D44D09">
        <w:rPr>
          <w:rStyle w:val="Zkladntext158dkovn0pt"/>
          <w:color w:val="auto"/>
          <w:spacing w:val="0"/>
          <w:sz w:val="24"/>
          <w:lang w:val="cs-CZ"/>
        </w:rPr>
        <w:instrText>materie:neposlušnost</w:instrText>
      </w:r>
      <w:r w:rsidR="00777EC1">
        <w:instrText xml:space="preserve">" </w:instrText>
      </w:r>
      <w:r w:rsidR="00777EC1">
        <w:rPr>
          <w:rStyle w:val="Zkladntext158dkovn0pt"/>
          <w:color w:val="auto"/>
          <w:spacing w:val="0"/>
          <w:sz w:val="24"/>
          <w:lang w:val="cs-CZ"/>
        </w:rPr>
        <w:fldChar w:fldCharType="end"/>
      </w:r>
      <w:r w:rsidR="00777EC1">
        <w:rPr>
          <w:rStyle w:val="Zkladntext158dkovn0pt"/>
          <w:color w:val="auto"/>
          <w:spacing w:val="0"/>
          <w:sz w:val="24"/>
          <w:lang w:val="cs-CZ"/>
        </w:rPr>
        <w:t xml:space="preserve"> musí být lidské zdroje nesoucí tuto specifickou formu </w:t>
      </w:r>
      <w:r w:rsidR="00777EC1" w:rsidRPr="08EB5ADC">
        <w:rPr>
          <w:rStyle w:val="Zkladntext158dkovn0pt"/>
          <w:i/>
          <w:color w:val="auto"/>
          <w:spacing w:val="0"/>
          <w:sz w:val="24"/>
          <w:lang w:val="cs-CZ"/>
        </w:rPr>
        <w:t>materia spiritualis</w:t>
      </w:r>
      <w:r w:rsidR="00777EC1">
        <w:rPr>
          <w:rStyle w:val="Zkladntext158dkovn0pt"/>
          <w:color w:val="auto"/>
          <w:spacing w:val="0"/>
          <w:sz w:val="24"/>
          <w:lang w:val="cs-CZ"/>
        </w:rPr>
        <w:t xml:space="preserve"> intenzivněji manipulované a stále rychleji recyklované v demiurgickém procesu nihilistické přeměny čehokoliv na cokoliv. O tento postkapitalistický management globálních zdrojů se stará </w:t>
      </w:r>
      <w:r w:rsidR="00777EC1" w:rsidRPr="08DC36B6">
        <w:rPr>
          <w:rStyle w:val="Zkladntext158dkovn0pt"/>
          <w:i/>
          <w:color w:val="auto"/>
          <w:spacing w:val="0"/>
          <w:sz w:val="24"/>
          <w:lang w:val="cs-CZ"/>
        </w:rPr>
        <w:t>intelligentia spiritualis</w:t>
      </w:r>
      <w:r w:rsidR="00777EC1">
        <w:rPr>
          <w:rStyle w:val="Zkladntext158dkovn0pt"/>
          <w:i/>
          <w:color w:val="auto"/>
          <w:spacing w:val="0"/>
          <w:sz w:val="24"/>
          <w:lang w:val="cs-CZ"/>
        </w:rPr>
        <w:fldChar w:fldCharType="begin"/>
      </w:r>
      <w:r w:rsidR="00777EC1">
        <w:instrText xml:space="preserve"> XE "</w:instrText>
      </w:r>
      <w:r w:rsidR="00777EC1" w:rsidRPr="08FC0135">
        <w:rPr>
          <w:rStyle w:val="Zkladntext158dkovn0pt"/>
          <w:i/>
          <w:color w:val="auto"/>
          <w:spacing w:val="0"/>
          <w:sz w:val="24"/>
          <w:lang w:val="cs-CZ"/>
        </w:rPr>
        <w:instrText>intelligentia spiritualis</w:instrText>
      </w:r>
      <w:r w:rsidR="00777EC1">
        <w:instrText xml:space="preserve">" </w:instrText>
      </w:r>
      <w:r w:rsidR="00777EC1">
        <w:rPr>
          <w:rStyle w:val="Zkladntext158dkovn0pt"/>
          <w:i/>
          <w:color w:val="auto"/>
          <w:spacing w:val="0"/>
          <w:sz w:val="24"/>
          <w:lang w:val="cs-CZ"/>
        </w:rPr>
        <w:fldChar w:fldCharType="end"/>
      </w:r>
      <w:r w:rsidR="00777EC1">
        <w:rPr>
          <w:rStyle w:val="Zkladntext158dkovn0pt"/>
          <w:color w:val="auto"/>
          <w:spacing w:val="0"/>
          <w:sz w:val="24"/>
          <w:lang w:val="cs-CZ"/>
        </w:rPr>
        <w:t xml:space="preserve"> globálních iluminátů. </w:t>
      </w:r>
      <w:r w:rsidR="007A54C7" w:rsidRPr="007A54C7">
        <w:t xml:space="preserve">Jejich </w:t>
      </w:r>
      <w:r w:rsidR="007A54C7">
        <w:t xml:space="preserve">předchůdce tvořila </w:t>
      </w:r>
      <w:r w:rsidR="007A54C7" w:rsidRPr="007A54C7">
        <w:t xml:space="preserve">skupina </w:t>
      </w:r>
      <w:r w:rsidR="007A54C7">
        <w:rPr>
          <w:szCs w:val="24"/>
          <w:lang w:val="de-DE"/>
        </w:rPr>
        <w:t>„</w:t>
      </w:r>
      <w:r w:rsidR="007A54C7" w:rsidRPr="00426C2F">
        <w:rPr>
          <w:i/>
          <w:szCs w:val="24"/>
          <w:lang w:val="de-DE"/>
        </w:rPr>
        <w:t>so</w:t>
      </w:r>
      <w:r w:rsidR="007A54C7">
        <w:rPr>
          <w:i/>
          <w:szCs w:val="24"/>
          <w:lang w:val="de-DE"/>
        </w:rPr>
        <w:t>phista</w:t>
      </w:r>
      <w:r w:rsidR="007A54C7" w:rsidRPr="00426C2F">
        <w:rPr>
          <w:i/>
          <w:szCs w:val="24"/>
          <w:lang w:val="de-DE"/>
        </w:rPr>
        <w:t>e Latini</w:t>
      </w:r>
      <w:r w:rsidR="007A54C7">
        <w:rPr>
          <w:szCs w:val="24"/>
          <w:lang w:val="de-DE"/>
        </w:rPr>
        <w:t>“,</w:t>
      </w:r>
      <w:r w:rsidR="007A54C7" w:rsidRPr="007A54C7">
        <w:t xml:space="preserve"> kterým s</w:t>
      </w:r>
      <w:r w:rsidR="007A54C7">
        <w:t>e dostalo alespoň nějakého filos</w:t>
      </w:r>
      <w:r w:rsidR="007A54C7" w:rsidRPr="007A54C7">
        <w:t xml:space="preserve">ofického vzdělání. </w:t>
      </w:r>
      <w:r w:rsidR="00777EC1">
        <w:rPr>
          <w:rStyle w:val="Zkladntext158dkovn0pt"/>
          <w:color w:val="auto"/>
          <w:spacing w:val="0"/>
          <w:sz w:val="24"/>
          <w:lang w:val="cs-CZ"/>
        </w:rPr>
        <w:t>Objektivním d</w:t>
      </w:r>
      <w:r w:rsidR="00777EC1">
        <w:t>obytím světa a jeho asimilací na paranoické pojetí pravdy a racionality si západní demiurg podrobil neposlušnou materii všeho druhu a zavedl nové formy otroctví</w:t>
      </w:r>
      <w:r w:rsidR="00777EC1">
        <w:fldChar w:fldCharType="begin"/>
      </w:r>
      <w:r w:rsidR="00777EC1">
        <w:instrText xml:space="preserve"> XE "</w:instrText>
      </w:r>
      <w:r w:rsidR="00777EC1" w:rsidRPr="00D37653">
        <w:instrText>otroctví</w:instrText>
      </w:r>
      <w:r w:rsidR="00777EC1">
        <w:instrText xml:space="preserve">" </w:instrText>
      </w:r>
      <w:r w:rsidR="00777EC1">
        <w:fldChar w:fldCharType="end"/>
      </w:r>
      <w:r w:rsidR="00777EC1">
        <w:t xml:space="preserve">. Kapitalistická postmoderna znovu zavedla </w:t>
      </w:r>
      <w:r w:rsidR="00777EC1">
        <w:lastRenderedPageBreak/>
        <w:t>antické otroctví během průmyslové revoluce, protože potřebovala importovat specifické lidské síly z dobytých kolonií do nové civilizace Západu.</w:t>
      </w:r>
      <w:r w:rsidR="00777EC1">
        <w:rPr>
          <w:rStyle w:val="Znakapoznpodarou"/>
        </w:rPr>
        <w:footnoteReference w:id="514"/>
      </w:r>
      <w:r w:rsidR="00777EC1">
        <w:t xml:space="preserve"> </w:t>
      </w:r>
      <w:r w:rsidR="00F615BC" w:rsidRPr="00F615BC">
        <w:t>Modernismus a postmodernismus vytvořily podle svého paranoidního myšlení novou schizofrenní bytost. Moderní člověk se skládal z několika nepřátelských substancí a podle toho začal řídit svět.</w:t>
      </w:r>
      <w:r w:rsidR="00F615BC">
        <w:t xml:space="preserve"> </w:t>
      </w:r>
      <w:r w:rsidR="00777EC1">
        <w:rPr>
          <w:szCs w:val="15"/>
        </w:rPr>
        <w:t xml:space="preserve">Toto podivuhodné jsoucno třetího druhu je </w:t>
      </w:r>
      <w:r w:rsidR="00777EC1" w:rsidRPr="00273106">
        <w:rPr>
          <w:szCs w:val="15"/>
        </w:rPr>
        <w:t>pilné</w:t>
      </w:r>
      <w:r w:rsidR="00777EC1">
        <w:rPr>
          <w:szCs w:val="15"/>
        </w:rPr>
        <w:t xml:space="preserve"> a podnikavé</w:t>
      </w:r>
      <w:r w:rsidR="00F4274A">
        <w:rPr>
          <w:szCs w:val="15"/>
        </w:rPr>
        <w:t xml:space="preserve">; </w:t>
      </w:r>
      <w:r w:rsidR="00777EC1">
        <w:rPr>
          <w:szCs w:val="15"/>
        </w:rPr>
        <w:t xml:space="preserve">díky své objektivní schizofrenické přirozenosti dané karteziánsky má vrozený spekulativní </w:t>
      </w:r>
      <w:r w:rsidR="00777EC1" w:rsidRPr="00273106">
        <w:rPr>
          <w:szCs w:val="15"/>
        </w:rPr>
        <w:t>sklon</w:t>
      </w:r>
      <w:r w:rsidR="00777EC1">
        <w:rPr>
          <w:szCs w:val="15"/>
        </w:rPr>
        <w:t xml:space="preserve"> k narcistní sebereflexi. Objektivní pohled tohoto rozpolceného tvora fascinovaně zírá na </w:t>
      </w:r>
      <w:r w:rsidR="00E0091D">
        <w:rPr>
          <w:szCs w:val="15"/>
        </w:rPr>
        <w:t xml:space="preserve">své vlastní spekulativní simulákrum, které se odráží </w:t>
      </w:r>
      <w:r w:rsidR="00777EC1">
        <w:rPr>
          <w:szCs w:val="15"/>
        </w:rPr>
        <w:t xml:space="preserve">v zrcadle ideologií a objektivního vědění. Není divu, že tato paranoická sebereprezentace je provázena </w:t>
      </w:r>
      <w:r w:rsidR="00777EC1" w:rsidRPr="00273106">
        <w:rPr>
          <w:szCs w:val="15"/>
        </w:rPr>
        <w:t>zá</w:t>
      </w:r>
      <w:r w:rsidR="009B3E27">
        <w:rPr>
          <w:szCs w:val="15"/>
        </w:rPr>
        <w:t xml:space="preserve">chvaty planetární destruktivity, které se vybíjejí v trvalých </w:t>
      </w:r>
      <w:r w:rsidR="009B3E27" w:rsidRPr="009B3E27">
        <w:rPr>
          <w:i/>
          <w:szCs w:val="15"/>
        </w:rPr>
        <w:t>proxy-wars</w:t>
      </w:r>
      <w:r w:rsidR="00777EC1" w:rsidRPr="00273106">
        <w:rPr>
          <w:szCs w:val="15"/>
        </w:rPr>
        <w:t>.</w:t>
      </w:r>
      <w:r w:rsidR="00A35B0F">
        <w:rPr>
          <w:szCs w:val="15"/>
        </w:rPr>
        <w:t xml:space="preserve"> Západ hnaný svým moderním appetitem po krocení materie všeho druhu nemůže žít bez křižáckých tažení, které běží pokaždé pod novým bojovým praporem. </w:t>
      </w:r>
    </w:p>
    <w:p w:rsidR="00D973DF" w:rsidRDefault="08163013" w:rsidP="00777EC1">
      <w:pPr>
        <w:ind w:firstLine="397"/>
        <w:rPr>
          <w:rStyle w:val="addmd"/>
        </w:rPr>
      </w:pPr>
      <w:r w:rsidRPr="00273106">
        <w:t xml:space="preserve">Zásadní střet o povahu politického jednání </w:t>
      </w:r>
      <w:r>
        <w:t xml:space="preserve">a definici státu </w:t>
      </w:r>
      <w:r w:rsidRPr="00273106">
        <w:t xml:space="preserve">mezi </w:t>
      </w:r>
      <w:r>
        <w:t xml:space="preserve">školou prvního a druhého averroismu </w:t>
      </w:r>
      <w:r w:rsidRPr="00273106">
        <w:t xml:space="preserve">vznikl </w:t>
      </w:r>
      <w:r>
        <w:t xml:space="preserve">stejně </w:t>
      </w:r>
      <w:r w:rsidRPr="00273106">
        <w:t>nevyhnutelně</w:t>
      </w:r>
      <w:r>
        <w:t xml:space="preserve"> jako předešlé spory dané rozdílným pojetím metafyziky. </w:t>
      </w:r>
      <w:r w:rsidRPr="00273106">
        <w:t xml:space="preserve">Vliv Aristotelova korporusu na politické uspořádání středověké společnosti je dán především překlady </w:t>
      </w:r>
      <w:r w:rsidRPr="08E80388">
        <w:rPr>
          <w:i/>
        </w:rPr>
        <w:t>Etiky Nikomachovy</w:t>
      </w:r>
      <w:r w:rsidRPr="00273106">
        <w:t xml:space="preserve"> a </w:t>
      </w:r>
      <w:r w:rsidRPr="08E80388">
        <w:rPr>
          <w:i/>
        </w:rPr>
        <w:t>Politiky</w:t>
      </w:r>
      <w:r w:rsidRPr="00273106">
        <w:t xml:space="preserve">. První neúplné překlady </w:t>
      </w:r>
      <w:r w:rsidRPr="08E80388">
        <w:rPr>
          <w:i/>
        </w:rPr>
        <w:t>Etiky</w:t>
      </w:r>
      <w:r w:rsidRPr="00273106">
        <w:t xml:space="preserve"> známe z let 1150 (Burgundio z Pisy</w:t>
      </w:r>
      <w:r>
        <w:fldChar w:fldCharType="begin"/>
      </w:r>
      <w:r>
        <w:instrText xml:space="preserve"> XE "</w:instrText>
      </w:r>
      <w:r w:rsidRPr="00AB67EC">
        <w:instrText>Burgundio z Pisy</w:instrText>
      </w:r>
      <w:r>
        <w:instrText xml:space="preserve">" </w:instrText>
      </w:r>
      <w:r>
        <w:fldChar w:fldCharType="end"/>
      </w:r>
      <w:r w:rsidRPr="00273106">
        <w:t xml:space="preserve">). Artistická fakulta Pařížské univerzity </w:t>
      </w:r>
      <w:r w:rsidR="00DC42D1">
        <w:t xml:space="preserve">komentovala </w:t>
      </w:r>
      <w:r w:rsidR="00E43266">
        <w:t>Aristotelovy etické spisy hned od svého založení.</w:t>
      </w:r>
      <w:r w:rsidRPr="00273106">
        <w:t xml:space="preserve"> Grosseteste přeložil </w:t>
      </w:r>
      <w:r>
        <w:t xml:space="preserve">asi roku </w:t>
      </w:r>
      <w:r w:rsidRPr="00273106">
        <w:t xml:space="preserve">1240 kompilaci známou jako </w:t>
      </w:r>
      <w:r w:rsidR="00365E50">
        <w:rPr>
          <w:i/>
        </w:rPr>
        <w:t>Nicomachea C</w:t>
      </w:r>
      <w:r w:rsidRPr="00273106">
        <w:rPr>
          <w:i/>
        </w:rPr>
        <w:t>ommentaria</w:t>
      </w:r>
      <w:r w:rsidRPr="00273106">
        <w:t xml:space="preserve"> (knihy I a VI) z </w:t>
      </w:r>
      <w:r>
        <w:t>neoplatonsk</w:t>
      </w:r>
      <w:r w:rsidRPr="00273106">
        <w:t>ých zdrojů (Eustratius</w:t>
      </w:r>
      <w:r>
        <w:fldChar w:fldCharType="begin"/>
      </w:r>
      <w:r>
        <w:instrText xml:space="preserve"> XE "</w:instrText>
      </w:r>
      <w:r w:rsidRPr="008B52A9">
        <w:instrText>Eustratius</w:instrText>
      </w:r>
      <w:r>
        <w:instrText xml:space="preserve">" </w:instrText>
      </w:r>
      <w:r>
        <w:fldChar w:fldCharType="end"/>
      </w:r>
      <w:r w:rsidRPr="00273106">
        <w:t>, Michael z Efezu</w:t>
      </w:r>
      <w:r>
        <w:fldChar w:fldCharType="begin"/>
      </w:r>
      <w:r>
        <w:instrText xml:space="preserve"> XE "</w:instrText>
      </w:r>
      <w:r w:rsidRPr="00191009">
        <w:instrText>Michael z Efezu</w:instrText>
      </w:r>
      <w:r>
        <w:instrText xml:space="preserve">" </w:instrText>
      </w:r>
      <w:r>
        <w:fldChar w:fldCharType="end"/>
      </w:r>
      <w:r w:rsidRPr="00273106">
        <w:t xml:space="preserve">, anonymní autoři). Albert Veliký používá Grossetesteho překlad pro své dva komentáře </w:t>
      </w:r>
      <w:r w:rsidRPr="08E80388">
        <w:rPr>
          <w:i/>
        </w:rPr>
        <w:t>Etiky Nikomachovy</w:t>
      </w:r>
      <w:r>
        <w:t xml:space="preserve"> pod titulem </w:t>
      </w:r>
      <w:r w:rsidRPr="00273106">
        <w:rPr>
          <w:i/>
        </w:rPr>
        <w:t>Commentator Graecus</w:t>
      </w:r>
      <w:r w:rsidRPr="00273106">
        <w:t xml:space="preserve">. </w:t>
      </w:r>
      <w:r>
        <w:rPr>
          <w:rStyle w:val="addmd"/>
        </w:rPr>
        <w:t>Averroes</w:t>
      </w:r>
      <w:r w:rsidRPr="00273106">
        <w:rPr>
          <w:rStyle w:val="addmd"/>
        </w:rPr>
        <w:t xml:space="preserve">ův komentář </w:t>
      </w:r>
      <w:r w:rsidRPr="00273106">
        <w:rPr>
          <w:rStyle w:val="red"/>
          <w:i/>
        </w:rPr>
        <w:t>Ethica ad Nicomachum</w:t>
      </w:r>
      <w:r w:rsidRPr="00273106">
        <w:rPr>
          <w:rStyle w:val="red"/>
        </w:rPr>
        <w:t xml:space="preserve"> </w:t>
      </w:r>
      <w:r w:rsidRPr="00273106">
        <w:rPr>
          <w:rStyle w:val="addmd"/>
        </w:rPr>
        <w:t xml:space="preserve">představuje základní referenci pro výklad </w:t>
      </w:r>
      <w:r w:rsidRPr="08E80388">
        <w:rPr>
          <w:rStyle w:val="addmd"/>
          <w:i/>
        </w:rPr>
        <w:t>Etiky</w:t>
      </w:r>
      <w:r w:rsidRPr="00273106">
        <w:rPr>
          <w:rStyle w:val="addmd"/>
        </w:rPr>
        <w:t xml:space="preserve"> od </w:t>
      </w:r>
      <w:r>
        <w:rPr>
          <w:rStyle w:val="addmd"/>
        </w:rPr>
        <w:t xml:space="preserve">roku </w:t>
      </w:r>
      <w:r w:rsidRPr="00273106">
        <w:rPr>
          <w:rStyle w:val="addmd"/>
        </w:rPr>
        <w:t>1240</w:t>
      </w:r>
      <w:r w:rsidRPr="00273106">
        <w:t>.</w:t>
      </w:r>
      <w:r>
        <w:t xml:space="preserve"> </w:t>
      </w:r>
      <w:r w:rsidRPr="00273106">
        <w:t xml:space="preserve">V této době </w:t>
      </w:r>
      <w:r w:rsidRPr="00273106">
        <w:rPr>
          <w:rStyle w:val="addmd"/>
        </w:rPr>
        <w:t xml:space="preserve">vrcholila vlna překladů a </w:t>
      </w:r>
      <w:r>
        <w:rPr>
          <w:rStyle w:val="addmd"/>
        </w:rPr>
        <w:t>neoplatonsk</w:t>
      </w:r>
      <w:r w:rsidRPr="00273106">
        <w:rPr>
          <w:rStyle w:val="addmd"/>
        </w:rPr>
        <w:t xml:space="preserve">ých komentářů: </w:t>
      </w:r>
      <w:r w:rsidRPr="00273106">
        <w:rPr>
          <w:i/>
          <w:iCs/>
        </w:rPr>
        <w:t xml:space="preserve">Ethica Vetus </w:t>
      </w:r>
      <w:r w:rsidR="001558DE">
        <w:t>(knihy II–</w:t>
      </w:r>
      <w:r w:rsidRPr="00273106">
        <w:t xml:space="preserve">III), </w:t>
      </w:r>
      <w:r w:rsidRPr="00273106">
        <w:rPr>
          <w:i/>
          <w:iCs/>
        </w:rPr>
        <w:t xml:space="preserve">Ethica Nova </w:t>
      </w:r>
      <w:r w:rsidRPr="00273106">
        <w:t xml:space="preserve">(kniha I), </w:t>
      </w:r>
      <w:r w:rsidRPr="00273106">
        <w:rPr>
          <w:i/>
          <w:iCs/>
        </w:rPr>
        <w:t xml:space="preserve">Hoferiana </w:t>
      </w:r>
      <w:r w:rsidR="001558DE">
        <w:t>(části II–</w:t>
      </w:r>
      <w:r w:rsidRPr="00273106">
        <w:t xml:space="preserve">X), </w:t>
      </w:r>
      <w:r w:rsidRPr="00273106">
        <w:rPr>
          <w:i/>
          <w:iCs/>
        </w:rPr>
        <w:t xml:space="preserve">Borghesiana </w:t>
      </w:r>
      <w:r w:rsidR="001558DE">
        <w:t>(části VII a</w:t>
      </w:r>
      <w:r w:rsidRPr="00273106">
        <w:t xml:space="preserve"> VIII). </w:t>
      </w:r>
      <w:r>
        <w:t>Averroes</w:t>
      </w:r>
      <w:r w:rsidRPr="00273106">
        <w:t xml:space="preserve"> </w:t>
      </w:r>
      <w:r w:rsidRPr="00273106">
        <w:rPr>
          <w:rStyle w:val="addmd"/>
        </w:rPr>
        <w:t>je zdrojem nové etické a politické teorie Západu, protože vymanil etické a politické jednání z vlivu neoplatonismu</w:t>
      </w:r>
      <w:r>
        <w:fldChar w:fldCharType="begin"/>
      </w:r>
      <w:r>
        <w:instrText xml:space="preserve"> XE "</w:instrText>
      </w:r>
      <w:r w:rsidRPr="00AA4918">
        <w:instrText>první</w:instrText>
      </w:r>
      <w:r>
        <w:instrText xml:space="preserve"> averroism</w:instrText>
      </w:r>
      <w:r w:rsidRPr="00AA4918">
        <w:instrText>u</w:instrText>
      </w:r>
      <w:r>
        <w:instrText>s</w:instrText>
      </w:r>
      <w:r w:rsidRPr="00AA4918">
        <w:instrText>:polit</w:instrText>
      </w:r>
      <w:r>
        <w:instrText>ic</w:instrText>
      </w:r>
      <w:r w:rsidRPr="00AA4918">
        <w:instrText>ká filosofie</w:instrText>
      </w:r>
      <w:r>
        <w:instrText xml:space="preserve">" </w:instrText>
      </w:r>
      <w:r>
        <w:fldChar w:fldCharType="end"/>
      </w:r>
      <w:r w:rsidRPr="00273106">
        <w:rPr>
          <w:rStyle w:val="addmd"/>
        </w:rPr>
        <w:t xml:space="preserve">. Albert a Bacon </w:t>
      </w:r>
      <w:r>
        <w:rPr>
          <w:rStyle w:val="addmd"/>
        </w:rPr>
        <w:t xml:space="preserve">ze školy prvního averroismu </w:t>
      </w:r>
      <w:r w:rsidRPr="00273106">
        <w:rPr>
          <w:rStyle w:val="addmd"/>
        </w:rPr>
        <w:t xml:space="preserve">se postavili po </w:t>
      </w:r>
      <w:r>
        <w:rPr>
          <w:rStyle w:val="addmd"/>
        </w:rPr>
        <w:t xml:space="preserve">roce </w:t>
      </w:r>
      <w:r w:rsidRPr="00273106">
        <w:rPr>
          <w:rStyle w:val="addmd"/>
        </w:rPr>
        <w:t xml:space="preserve">1240 proti výkladu </w:t>
      </w:r>
      <w:r w:rsidRPr="08E80388">
        <w:rPr>
          <w:rStyle w:val="addmd"/>
          <w:i/>
        </w:rPr>
        <w:t>Etiky Nikomachovy</w:t>
      </w:r>
      <w:r w:rsidRPr="00273106">
        <w:rPr>
          <w:rStyle w:val="addmd"/>
        </w:rPr>
        <w:t xml:space="preserve"> dané ve škole druhého averroismu. Jeho první reprezentanti byli shromážděni kolem editace </w:t>
      </w:r>
      <w:r w:rsidRPr="00273106">
        <w:rPr>
          <w:rStyle w:val="addmd"/>
          <w:i/>
        </w:rPr>
        <w:t>Summa Halensis</w:t>
      </w:r>
      <w:r>
        <w:rPr>
          <w:rStyle w:val="addmd"/>
          <w:i/>
        </w:rPr>
        <w:fldChar w:fldCharType="begin"/>
      </w:r>
      <w:r>
        <w:instrText xml:space="preserve"> XE "</w:instrText>
      </w:r>
      <w:r w:rsidRPr="00F14A6F">
        <w:rPr>
          <w:i/>
        </w:rPr>
        <w:instrText>Summa Halensis</w:instrText>
      </w:r>
      <w:r>
        <w:instrText xml:space="preserve">" </w:instrText>
      </w:r>
      <w:r>
        <w:rPr>
          <w:rStyle w:val="addmd"/>
          <w:i/>
        </w:rPr>
        <w:fldChar w:fldCharType="end"/>
      </w:r>
      <w:r w:rsidRPr="00273106">
        <w:rPr>
          <w:rStyle w:val="addmd"/>
        </w:rPr>
        <w:t xml:space="preserve"> pod vedením Johanna Rupelly a mladého Bonaventury. </w:t>
      </w:r>
      <w:r w:rsidRPr="00273106">
        <w:t xml:space="preserve">Albert Veliký poprvé </w:t>
      </w:r>
      <w:r w:rsidRPr="00273106">
        <w:lastRenderedPageBreak/>
        <w:t xml:space="preserve">komentoval </w:t>
      </w:r>
      <w:r w:rsidRPr="08E80388">
        <w:rPr>
          <w:i/>
        </w:rPr>
        <w:t>Etiku Nikomachovu</w:t>
      </w:r>
      <w:r>
        <w:t xml:space="preserve"> v aristotelském smyslu </w:t>
      </w:r>
      <w:r w:rsidRPr="00273106">
        <w:t>díky jeho celoživotn</w:t>
      </w:r>
      <w:r>
        <w:t xml:space="preserve">í ofenzívě proti skupině zvané </w:t>
      </w:r>
      <w:r>
        <w:rPr>
          <w:i/>
        </w:rPr>
        <w:t>doctores</w:t>
      </w:r>
      <w:r w:rsidRPr="00273106">
        <w:rPr>
          <w:i/>
        </w:rPr>
        <w:t xml:space="preserve"> Latin</w:t>
      </w:r>
      <w:r>
        <w:rPr>
          <w:i/>
        </w:rPr>
        <w:t>i</w:t>
      </w:r>
      <w:r>
        <w:rPr>
          <w:i/>
        </w:rPr>
        <w:fldChar w:fldCharType="begin"/>
      </w:r>
      <w:r>
        <w:instrText xml:space="preserve"> XE "druhý averroismus:</w:instrText>
      </w:r>
      <w:r>
        <w:rPr>
          <w:i/>
        </w:rPr>
        <w:instrText>doctores Latini</w:instrText>
      </w:r>
      <w:r>
        <w:instrText xml:space="preserve">" </w:instrText>
      </w:r>
      <w:r>
        <w:rPr>
          <w:i/>
        </w:rPr>
        <w:fldChar w:fldCharType="end"/>
      </w:r>
      <w:r w:rsidRPr="00273106">
        <w:t xml:space="preserve"> (kap. 4.4.3). Jeho komentář představuje první aristotelskou interpretaci </w:t>
      </w:r>
      <w:r w:rsidRPr="08717067">
        <w:rPr>
          <w:i/>
        </w:rPr>
        <w:t>Etiky Nikomachovy</w:t>
      </w:r>
      <w:r w:rsidRPr="00273106">
        <w:t xml:space="preserve"> na latinském Západě </w:t>
      </w:r>
      <w:r>
        <w:t xml:space="preserve">podanou mimo vliv neoplatonismu </w:t>
      </w:r>
      <w:r w:rsidRPr="00273106">
        <w:t>(</w:t>
      </w:r>
      <w:r w:rsidRPr="00273106">
        <w:rPr>
          <w:i/>
        </w:rPr>
        <w:t>Super Ethica</w:t>
      </w:r>
      <w:r w:rsidRPr="00273106">
        <w:t>, 1250‒1252)</w:t>
      </w:r>
      <w:r w:rsidR="00441515">
        <w:t xml:space="preserve">. Výklad </w:t>
      </w:r>
      <w:r w:rsidR="00441515" w:rsidRPr="00441515">
        <w:rPr>
          <w:i/>
        </w:rPr>
        <w:t>Etiky</w:t>
      </w:r>
      <w:r w:rsidR="00441515">
        <w:t xml:space="preserve"> </w:t>
      </w:r>
      <w:r w:rsidR="00441515" w:rsidRPr="00273106">
        <w:t>prohloubil</w:t>
      </w:r>
      <w:r w:rsidR="00441515">
        <w:t xml:space="preserve"> v</w:t>
      </w:r>
      <w:r w:rsidRPr="00273106">
        <w:t xml:space="preserve"> následující dekádě druhým komentářem (</w:t>
      </w:r>
      <w:r w:rsidRPr="00273106">
        <w:rPr>
          <w:i/>
        </w:rPr>
        <w:t>Ethica,</w:t>
      </w:r>
      <w:r w:rsidRPr="00273106">
        <w:t xml:space="preserve"> 1262). </w:t>
      </w:r>
      <w:r>
        <w:t xml:space="preserve">Spor </w:t>
      </w:r>
      <w:r w:rsidR="004039F6">
        <w:t xml:space="preserve">mezi prvním a druhým averroismem o </w:t>
      </w:r>
      <w:r>
        <w:t xml:space="preserve">postavení </w:t>
      </w:r>
      <w:r w:rsidRPr="00273106">
        <w:rPr>
          <w:i/>
        </w:rPr>
        <w:t>intellectus practicus</w:t>
      </w:r>
      <w:r>
        <w:rPr>
          <w:i/>
        </w:rPr>
        <w:fldChar w:fldCharType="begin"/>
      </w:r>
      <w:r>
        <w:instrText xml:space="preserve"> XE "</w:instrText>
      </w:r>
      <w:r w:rsidRPr="001A1255">
        <w:rPr>
          <w:i/>
        </w:rPr>
        <w:instrText>intellectus practicus</w:instrText>
      </w:r>
      <w:r>
        <w:instrText xml:space="preserve">" </w:instrText>
      </w:r>
      <w:r>
        <w:rPr>
          <w:i/>
        </w:rPr>
        <w:fldChar w:fldCharType="end"/>
      </w:r>
      <w:r w:rsidRPr="00273106">
        <w:t xml:space="preserve"> nav</w:t>
      </w:r>
      <w:r>
        <w:t xml:space="preserve">azuje na podobný spor o statut </w:t>
      </w:r>
      <w:r w:rsidRPr="00273106">
        <w:rPr>
          <w:i/>
        </w:rPr>
        <w:t>intellectus possibilis</w:t>
      </w:r>
      <w:r w:rsidRPr="00273106">
        <w:t>, který analyzovaly předešlé matrice objektivity.</w:t>
      </w:r>
    </w:p>
    <w:p w:rsidR="00CF5C34" w:rsidRDefault="08163013" w:rsidP="006E3C2B">
      <w:pPr>
        <w:ind w:firstLine="397"/>
      </w:pPr>
      <w:r>
        <w:rPr>
          <w:rStyle w:val="addmd"/>
        </w:rPr>
        <w:t xml:space="preserve">Vraťme se k dějinnému působení </w:t>
      </w:r>
      <w:r w:rsidR="081942A4">
        <w:t xml:space="preserve">metafyzického </w:t>
      </w:r>
      <w:r>
        <w:t>dativu</w:t>
      </w:r>
      <w:r>
        <w:fldChar w:fldCharType="begin"/>
      </w:r>
      <w:r>
        <w:instrText xml:space="preserve"> XE "</w:instrText>
      </w:r>
      <w:r w:rsidRPr="08832981">
        <w:rPr>
          <w:i/>
        </w:rPr>
        <w:instrText>d</w:instrText>
      </w:r>
      <w:r w:rsidR="081942A4">
        <w:rPr>
          <w:i/>
        </w:rPr>
        <w:instrText>ativus metaphysi</w:instrText>
      </w:r>
      <w:r w:rsidRPr="08832981">
        <w:rPr>
          <w:i/>
        </w:rPr>
        <w:instrText>cus</w:instrText>
      </w:r>
      <w:r>
        <w:instrText xml:space="preserve">" </w:instrText>
      </w:r>
      <w:r>
        <w:fldChar w:fldCharType="end"/>
      </w:r>
      <w:r>
        <w:t xml:space="preserve"> determinujícího myšlení podle reálné kauzality první</w:t>
      </w:r>
      <w:r w:rsidR="008B697B">
        <w:t>ch substancí</w:t>
      </w:r>
      <w:r>
        <w:t xml:space="preserve">. </w:t>
      </w:r>
      <w:r w:rsidRPr="00273106">
        <w:t xml:space="preserve">V politické sféře jednání buď vzniká (první averroismus) nebo nevzniká (druhý averroismus) samostatná sféra oddělené </w:t>
      </w:r>
      <w:r>
        <w:t xml:space="preserve">etické a </w:t>
      </w:r>
      <w:r w:rsidRPr="00273106">
        <w:t xml:space="preserve">politické </w:t>
      </w:r>
      <w:r>
        <w:t xml:space="preserve">racionality </w:t>
      </w:r>
      <w:r w:rsidRPr="00273106">
        <w:t>det</w:t>
      </w:r>
      <w:r>
        <w:t xml:space="preserve">erminové praktickým intelektem. </w:t>
      </w:r>
      <w:r w:rsidR="007A331C">
        <w:t xml:space="preserve">Toto </w:t>
      </w:r>
      <w:r w:rsidR="007A331C" w:rsidRPr="007A331C">
        <w:rPr>
          <w:i/>
        </w:rPr>
        <w:t>Lichtung</w:t>
      </w:r>
      <w:r w:rsidR="007A331C">
        <w:t xml:space="preserve"> pravdy a nepravdy první politické teorie latinského Západu je určené v modu </w:t>
      </w:r>
      <w:r w:rsidR="007A331C">
        <w:rPr>
          <w:i/>
        </w:rPr>
        <w:t>a</w:t>
      </w:r>
      <w:r w:rsidR="007A331C" w:rsidRPr="08297B63">
        <w:rPr>
          <w:i/>
        </w:rPr>
        <w:t>létheia</w:t>
      </w:r>
      <w:r w:rsidR="007A331C">
        <w:t xml:space="preserve"> </w:t>
      </w:r>
      <w:r w:rsidR="00EC397B">
        <w:t xml:space="preserve">a vzniklo </w:t>
      </w:r>
      <w:r w:rsidR="00432474">
        <w:t xml:space="preserve">v letech </w:t>
      </w:r>
      <w:r w:rsidR="007A331C">
        <w:t>1240</w:t>
      </w:r>
      <w:r w:rsidR="00990808">
        <w:t>–6</w:t>
      </w:r>
      <w:r w:rsidR="00432474">
        <w:t>0</w:t>
      </w:r>
      <w:r w:rsidR="007A331C">
        <w:t>. P</w:t>
      </w:r>
      <w:r>
        <w:t xml:space="preserve">ravdivá podoba </w:t>
      </w:r>
      <w:r w:rsidR="007A331C">
        <w:t>politické teorie aristotelismu vznikla</w:t>
      </w:r>
      <w:r>
        <w:t xml:space="preserve"> na základě kauzálního etického působení osoby a politického působení občana. </w:t>
      </w:r>
      <w:r w:rsidR="007A331C">
        <w:t>Nepravdivá podoba politické teorie vznikla</w:t>
      </w:r>
      <w:r>
        <w:t xml:space="preserve"> </w:t>
      </w:r>
      <w:r w:rsidR="007A331C">
        <w:t xml:space="preserve">jako soubor </w:t>
      </w:r>
      <w:r>
        <w:t xml:space="preserve">eticko-politických forem </w:t>
      </w:r>
      <w:r w:rsidR="007A331C">
        <w:t xml:space="preserve">vytvořených podle </w:t>
      </w:r>
      <w:r w:rsidRPr="08DE4399">
        <w:rPr>
          <w:i/>
        </w:rPr>
        <w:t>Oxfordian Fallacy</w:t>
      </w:r>
      <w:r>
        <w:t xml:space="preserve">. </w:t>
      </w:r>
      <w:r w:rsidRPr="00273106">
        <w:t xml:space="preserve">V </w:t>
      </w:r>
      <w:r>
        <w:t>d</w:t>
      </w:r>
      <w:r w:rsidRPr="00273106">
        <w:t>alším kole se spor o definici praktického intelektu rozšířil i na ro</w:t>
      </w:r>
      <w:r w:rsidR="001A576F">
        <w:t>zumné jednání svobodných občanů</w:t>
      </w:r>
      <w:r w:rsidRPr="00273106">
        <w:t xml:space="preserve">. </w:t>
      </w:r>
      <w:r>
        <w:rPr>
          <w:rStyle w:val="addmd"/>
        </w:rPr>
        <w:t>V tomto</w:t>
      </w:r>
      <w:r w:rsidRPr="00273106">
        <w:rPr>
          <w:rStyle w:val="addmd"/>
        </w:rPr>
        <w:t xml:space="preserve"> druhém kole sporu </w:t>
      </w:r>
      <w:r>
        <w:rPr>
          <w:rStyle w:val="addmd"/>
        </w:rPr>
        <w:t xml:space="preserve">o </w:t>
      </w:r>
      <w:r w:rsidRPr="00273106">
        <w:rPr>
          <w:i/>
        </w:rPr>
        <w:t>intellectus practicus</w:t>
      </w:r>
      <w:r w:rsidRPr="00273106">
        <w:t xml:space="preserve"> vznikl </w:t>
      </w:r>
      <w:r>
        <w:t xml:space="preserve">nový </w:t>
      </w:r>
      <w:r w:rsidRPr="00273106">
        <w:t>střet mezi pr</w:t>
      </w:r>
      <w:r>
        <w:t>vním a druhým averroismem, který se týkal</w:t>
      </w:r>
      <w:r w:rsidRPr="00273106">
        <w:t xml:space="preserve"> politického jednání </w:t>
      </w:r>
      <w:r w:rsidR="000C0943">
        <w:t xml:space="preserve">určeného </w:t>
      </w:r>
      <w:r w:rsidRPr="00273106">
        <w:t xml:space="preserve">komentáři </w:t>
      </w:r>
      <w:r w:rsidR="00001E84">
        <w:t xml:space="preserve">Aristotelova </w:t>
      </w:r>
      <w:r w:rsidRPr="00273106">
        <w:t xml:space="preserve">spisu </w:t>
      </w:r>
      <w:r w:rsidRPr="08717067">
        <w:rPr>
          <w:i/>
        </w:rPr>
        <w:t>Politika</w:t>
      </w:r>
      <w:r w:rsidRPr="00273106">
        <w:t>. Guillelmus de Moerbeke</w:t>
      </w:r>
      <w:r>
        <w:fldChar w:fldCharType="begin"/>
      </w:r>
      <w:r>
        <w:instrText xml:space="preserve"> XE "</w:instrText>
      </w:r>
      <w:r w:rsidRPr="00753DEE">
        <w:instrText>Moerbeke, W.</w:instrText>
      </w:r>
      <w:r>
        <w:instrText xml:space="preserve">" </w:instrText>
      </w:r>
      <w:r>
        <w:fldChar w:fldCharType="end"/>
      </w:r>
      <w:r w:rsidRPr="00273106">
        <w:t xml:space="preserve"> dokončil překlad </w:t>
      </w:r>
      <w:r w:rsidRPr="08717067">
        <w:rPr>
          <w:i/>
        </w:rPr>
        <w:t>Politiky</w:t>
      </w:r>
      <w:r w:rsidR="001123C7">
        <w:t xml:space="preserve"> z řečtiny do latiny kolem 1260. A</w:t>
      </w:r>
      <w:r w:rsidRPr="00273106">
        <w:t xml:space="preserve">lbert jej </w:t>
      </w:r>
      <w:r>
        <w:t xml:space="preserve">poprvé vcelku </w:t>
      </w:r>
      <w:r w:rsidRPr="00273106">
        <w:t xml:space="preserve">komentoval v díle </w:t>
      </w:r>
      <w:r w:rsidRPr="00273106">
        <w:rPr>
          <w:i/>
        </w:rPr>
        <w:t xml:space="preserve">Politica </w:t>
      </w:r>
      <w:r w:rsidRPr="00273106">
        <w:t>(1264).</w:t>
      </w:r>
      <w:r>
        <w:t xml:space="preserve"> </w:t>
      </w:r>
      <w:r w:rsidRPr="00273106">
        <w:t>Prvn</w:t>
      </w:r>
      <w:r w:rsidR="00ED4853">
        <w:t>í averroismus interpretoval</w:t>
      </w:r>
      <w:r w:rsidRPr="00273106">
        <w:t xml:space="preserve"> spis </w:t>
      </w:r>
      <w:r w:rsidRPr="08717067">
        <w:rPr>
          <w:i/>
        </w:rPr>
        <w:t>Politika</w:t>
      </w:r>
      <w:r w:rsidRPr="00273106">
        <w:t xml:space="preserve"> v linii prohlubování autonomie lidského jednání daného v </w:t>
      </w:r>
      <w:r w:rsidRPr="08717067">
        <w:rPr>
          <w:i/>
        </w:rPr>
        <w:t>Etice</w:t>
      </w:r>
      <w:r w:rsidR="003243A4">
        <w:t xml:space="preserve"> a navázal</w:t>
      </w:r>
      <w:r>
        <w:t xml:space="preserve"> politické jednání </w:t>
      </w:r>
      <w:r w:rsidRPr="00273106">
        <w:t xml:space="preserve">na definici praktického intelektu podle </w:t>
      </w:r>
      <w:r>
        <w:rPr>
          <w:i/>
        </w:rPr>
        <w:t>De anima</w:t>
      </w:r>
      <w:r w:rsidRPr="00273106">
        <w:t xml:space="preserve">. Druhý averroismus se o </w:t>
      </w:r>
      <w:r>
        <w:t>Aristotel</w:t>
      </w:r>
      <w:r w:rsidR="006B3B6C">
        <w:t>o</w:t>
      </w:r>
      <w:r>
        <w:t>v</w:t>
      </w:r>
      <w:r w:rsidR="006B3B6C">
        <w:t>y</w:t>
      </w:r>
      <w:r>
        <w:t xml:space="preserve"> politick</w:t>
      </w:r>
      <w:r w:rsidR="006B3B6C">
        <w:t>é</w:t>
      </w:r>
      <w:r>
        <w:t xml:space="preserve"> </w:t>
      </w:r>
      <w:r w:rsidR="00DE016C">
        <w:t>spis</w:t>
      </w:r>
      <w:r w:rsidR="006B3B6C">
        <w:t>y</w:t>
      </w:r>
      <w:r w:rsidR="00DE016C">
        <w:t xml:space="preserve"> nezajímal</w:t>
      </w:r>
      <w:r w:rsidRPr="00273106">
        <w:t xml:space="preserve"> vůbec</w:t>
      </w:r>
      <w:r w:rsidR="00DE016C">
        <w:t xml:space="preserve">; </w:t>
      </w:r>
      <w:r w:rsidRPr="00273106">
        <w:t>nebo je</w:t>
      </w:r>
      <w:r w:rsidR="00DE016C">
        <w:t xml:space="preserve"> chápal</w:t>
      </w:r>
      <w:r w:rsidRPr="00273106">
        <w:t xml:space="preserve"> v linii </w:t>
      </w:r>
      <w:r>
        <w:t xml:space="preserve">politického augustinianimu založeného na jednání </w:t>
      </w:r>
      <w:r w:rsidRPr="00273106">
        <w:t xml:space="preserve">biblického Adama. Politický augustinianismus </w:t>
      </w:r>
      <w:r>
        <w:fldChar w:fldCharType="begin"/>
      </w:r>
      <w:r>
        <w:instrText xml:space="preserve"> XE "druhý averroism</w:instrText>
      </w:r>
      <w:r w:rsidRPr="00AA4918">
        <w:instrText>u</w:instrText>
      </w:r>
      <w:r>
        <w:instrText>s</w:instrText>
      </w:r>
      <w:r w:rsidRPr="00AA4918">
        <w:instrText>:polit</w:instrText>
      </w:r>
      <w:r>
        <w:instrText>ic</w:instrText>
      </w:r>
      <w:r w:rsidRPr="00AA4918">
        <w:instrText>ká filosofie</w:instrText>
      </w:r>
      <w:r>
        <w:instrText xml:space="preserve">" </w:instrText>
      </w:r>
      <w:r>
        <w:fldChar w:fldCharType="end"/>
      </w:r>
      <w:r w:rsidRPr="00273106">
        <w:t xml:space="preserve">chápal politickou moc jako nevyhnutelný </w:t>
      </w:r>
      <w:r>
        <w:t xml:space="preserve">a </w:t>
      </w:r>
      <w:r w:rsidRPr="00273106">
        <w:t>hořký lék (</w:t>
      </w:r>
      <w:r w:rsidRPr="00273106">
        <w:rPr>
          <w:i/>
        </w:rPr>
        <w:t>remedium peccatum</w:t>
      </w:r>
      <w:r w:rsidRPr="00273106">
        <w:t xml:space="preserve">) na první hřích a na pád do zla. Příklad </w:t>
      </w:r>
      <w:r>
        <w:t xml:space="preserve">této interpretace </w:t>
      </w:r>
      <w:r w:rsidRPr="00273106">
        <w:t>podávají tzv. „knížecí zrcadla“ (</w:t>
      </w:r>
      <w:r w:rsidRPr="00273106">
        <w:rPr>
          <w:i/>
          <w:iCs/>
        </w:rPr>
        <w:t>principum specula</w:t>
      </w:r>
      <w:r w:rsidR="002D7654">
        <w:t xml:space="preserve">). Byla napsána po vzoru </w:t>
      </w:r>
      <w:r w:rsidR="002D7654" w:rsidRPr="00273106">
        <w:t xml:space="preserve">Senecova díla </w:t>
      </w:r>
      <w:r w:rsidR="002D7654" w:rsidRPr="00273106">
        <w:rPr>
          <w:i/>
        </w:rPr>
        <w:t>De clementia</w:t>
      </w:r>
      <w:r w:rsidR="002D7654">
        <w:t xml:space="preserve"> a byla určena k výchově vládců</w:t>
      </w:r>
      <w:r w:rsidRPr="00273106">
        <w:t>. Dominikán Vincent de Beauvais</w:t>
      </w:r>
      <w:r>
        <w:fldChar w:fldCharType="begin"/>
      </w:r>
      <w:r>
        <w:instrText xml:space="preserve"> XE "</w:instrText>
      </w:r>
      <w:r w:rsidRPr="003D2357">
        <w:instrText>Vincent de Beauvais</w:instrText>
      </w:r>
      <w:r>
        <w:instrText xml:space="preserve">" </w:instrText>
      </w:r>
      <w:r>
        <w:fldChar w:fldCharType="end"/>
      </w:r>
      <w:r w:rsidRPr="00273106">
        <w:t xml:space="preserve"> (Vincentius Belvacensis) představuje klasického reprezentanta druhého averroismu, který kombinuje neoplatonismus s politickým augustinismem</w:t>
      </w:r>
      <w:r>
        <w:t xml:space="preserve"> v sumě</w:t>
      </w:r>
      <w:r w:rsidRPr="00273106">
        <w:t xml:space="preserve">  </w:t>
      </w:r>
      <w:r w:rsidRPr="00273106">
        <w:rPr>
          <w:i/>
        </w:rPr>
        <w:t>Speculum Maius</w:t>
      </w:r>
      <w:r w:rsidRPr="00273106">
        <w:t xml:space="preserve"> (1220‒46). </w:t>
      </w:r>
      <w:r>
        <w:t>Jeho pozdější z</w:t>
      </w:r>
      <w:r w:rsidRPr="00273106">
        <w:t xml:space="preserve">rcadlo vládců </w:t>
      </w:r>
      <w:r>
        <w:t xml:space="preserve">nazvané </w:t>
      </w:r>
      <w:r w:rsidRPr="00273106">
        <w:rPr>
          <w:i/>
        </w:rPr>
        <w:t xml:space="preserve">De morali principis </w:t>
      </w:r>
      <w:r w:rsidRPr="00273106">
        <w:rPr>
          <w:i/>
        </w:rPr>
        <w:lastRenderedPageBreak/>
        <w:t>institutione</w:t>
      </w:r>
      <w:r>
        <w:t xml:space="preserve"> psané</w:t>
      </w:r>
      <w:r w:rsidRPr="00273106">
        <w:t xml:space="preserve"> v Paříži </w:t>
      </w:r>
      <w:r>
        <w:t xml:space="preserve">v letech </w:t>
      </w:r>
      <w:r w:rsidRPr="00273106">
        <w:t xml:space="preserve">1260‒64 podává </w:t>
      </w:r>
      <w:r>
        <w:t xml:space="preserve">augustiniánský </w:t>
      </w:r>
      <w:r w:rsidRPr="00273106">
        <w:t xml:space="preserve">výklad </w:t>
      </w:r>
      <w:r>
        <w:t xml:space="preserve">politiky </w:t>
      </w:r>
      <w:r w:rsidRPr="00273106">
        <w:t xml:space="preserve">jako </w:t>
      </w:r>
      <w:r>
        <w:t>mocensky ordinovaného</w:t>
      </w:r>
      <w:r w:rsidRPr="00273106">
        <w:t xml:space="preserve"> léku </w:t>
      </w:r>
      <w:r>
        <w:t>potírajícího nákazu společenských následků</w:t>
      </w:r>
      <w:r w:rsidRPr="00273106">
        <w:t xml:space="preserve"> hříchu. Vladařská moc je potřebná k tomu, aby se lidé navzájem nezničili.</w:t>
      </w:r>
      <w:r w:rsidRPr="00273106">
        <w:rPr>
          <w:rStyle w:val="Znakapoznpodarou"/>
        </w:rPr>
        <w:footnoteReference w:id="515"/>
      </w:r>
      <w:r w:rsidRPr="00273106">
        <w:t xml:space="preserve"> </w:t>
      </w:r>
      <w:r w:rsidR="006E3C2B">
        <w:rPr>
          <w:rStyle w:val="ezkurwreuab5ozgtqnkl"/>
        </w:rPr>
        <w:t xml:space="preserve">Na základě tohoto uvažování předchází politická teorie </w:t>
      </w:r>
      <w:r w:rsidR="006E3C2B" w:rsidRPr="006E3C2B">
        <w:rPr>
          <w:rStyle w:val="ezkurwreuab5ozgtqnkl"/>
          <w:i/>
        </w:rPr>
        <w:t>Modernorum</w:t>
      </w:r>
      <w:r w:rsidR="006E3C2B">
        <w:rPr>
          <w:rStyle w:val="ezkurwreuab5ozgtqnkl"/>
        </w:rPr>
        <w:t xml:space="preserve"> postmoderní</w:t>
      </w:r>
      <w:r w:rsidR="006E3C2B">
        <w:t xml:space="preserve"> </w:t>
      </w:r>
      <w:r w:rsidR="006E3C2B">
        <w:rPr>
          <w:rStyle w:val="ezkurwreuab5ozgtqnkl"/>
        </w:rPr>
        <w:t>teorie</w:t>
      </w:r>
      <w:r w:rsidR="006E3C2B">
        <w:t xml:space="preserve"> </w:t>
      </w:r>
      <w:r w:rsidR="006E3C2B">
        <w:rPr>
          <w:rStyle w:val="ezkurwreuab5ozgtqnkl"/>
        </w:rPr>
        <w:t>individuální</w:t>
      </w:r>
      <w:r w:rsidR="006E3C2B">
        <w:t xml:space="preserve"> </w:t>
      </w:r>
      <w:r w:rsidR="006E3C2B">
        <w:rPr>
          <w:rStyle w:val="ezkurwreuab5ozgtqnkl"/>
        </w:rPr>
        <w:t>sebezáchovy</w:t>
      </w:r>
      <w:r w:rsidR="006E3C2B">
        <w:t>. Ty j</w:t>
      </w:r>
      <w:r w:rsidR="006E3C2B">
        <w:rPr>
          <w:rStyle w:val="ezkurwreuab5ozgtqnkl"/>
        </w:rPr>
        <w:t>sou shrnuty</w:t>
      </w:r>
      <w:r w:rsidR="006E3C2B">
        <w:t xml:space="preserve"> </w:t>
      </w:r>
      <w:r w:rsidR="006E3C2B">
        <w:rPr>
          <w:rStyle w:val="ezkurwreuab5ozgtqnkl"/>
        </w:rPr>
        <w:t>ve společenské</w:t>
      </w:r>
      <w:r w:rsidR="006E3C2B">
        <w:t xml:space="preserve"> </w:t>
      </w:r>
      <w:r w:rsidR="006E3C2B">
        <w:rPr>
          <w:rStyle w:val="ezkurwreuab5ozgtqnkl"/>
        </w:rPr>
        <w:t>smlouvě</w:t>
      </w:r>
      <w:r w:rsidR="006E3C2B">
        <w:t xml:space="preserve"> </w:t>
      </w:r>
      <w:r w:rsidR="006E3C2B">
        <w:rPr>
          <w:rStyle w:val="ezkurwreuab5ozgtqnkl"/>
        </w:rPr>
        <w:t>zkoumané</w:t>
      </w:r>
      <w:r w:rsidR="006E3C2B">
        <w:t xml:space="preserve"> Thomasem </w:t>
      </w:r>
      <w:r w:rsidR="006E3C2B">
        <w:rPr>
          <w:rStyle w:val="ezkurwreuab5ozgtqnkl"/>
        </w:rPr>
        <w:t>Hobbesem</w:t>
      </w:r>
      <w:r w:rsidR="006E3C2B">
        <w:fldChar w:fldCharType="begin"/>
      </w:r>
      <w:r w:rsidR="006E3C2B">
        <w:instrText xml:space="preserve"> XE "</w:instrText>
      </w:r>
      <w:r w:rsidR="006E3C2B" w:rsidRPr="007C389D">
        <w:instrText>Hobbes, T.</w:instrText>
      </w:r>
      <w:r w:rsidR="006E3C2B">
        <w:instrText xml:space="preserve">" </w:instrText>
      </w:r>
      <w:r w:rsidR="006E3C2B">
        <w:fldChar w:fldCharType="end"/>
      </w:r>
      <w:r w:rsidR="006E3C2B">
        <w:t xml:space="preserve"> </w:t>
      </w:r>
      <w:r w:rsidR="006E3C2B">
        <w:rPr>
          <w:rStyle w:val="ezkurwreuab5ozgtqnkl"/>
        </w:rPr>
        <w:t>(</w:t>
      </w:r>
      <w:r w:rsidR="006E3C2B" w:rsidRPr="00FC4208">
        <w:rPr>
          <w:rStyle w:val="ezkurwreuab5ozgtqnkl"/>
          <w:i/>
        </w:rPr>
        <w:t>Leviathan</w:t>
      </w:r>
      <w:r w:rsidR="006E3C2B">
        <w:rPr>
          <w:rStyle w:val="ezkurwreuab5ozgtqnkl"/>
        </w:rPr>
        <w:t>, 1651)</w:t>
      </w:r>
      <w:r w:rsidR="006E3C2B">
        <w:t xml:space="preserve">. </w:t>
      </w:r>
      <w:r w:rsidRPr="00273106">
        <w:t>Ve druhé polovině 13. stol</w:t>
      </w:r>
      <w:r>
        <w:t>etí</w:t>
      </w:r>
      <w:r w:rsidRPr="00273106">
        <w:t xml:space="preserve"> se politicky interpretovaný augustinianismus napojil na ontoteologickou stavbu metafyziky danou v Bonaventurově škole.</w:t>
      </w:r>
      <w:r>
        <w:t xml:space="preserve"> Tím vznikla v</w:t>
      </w:r>
      <w:r w:rsidRPr="00273106">
        <w:t xml:space="preserve"> </w:t>
      </w:r>
      <w:r>
        <w:t>metafyzice</w:t>
      </w:r>
      <w:r w:rsidRPr="00273106">
        <w:t xml:space="preserve"> </w:t>
      </w:r>
      <w:r w:rsidRPr="00273106">
        <w:rPr>
          <w:i/>
        </w:rPr>
        <w:t>Modernorum</w:t>
      </w:r>
      <w:r w:rsidRPr="00273106">
        <w:t xml:space="preserve"> unitární </w:t>
      </w:r>
      <w:r>
        <w:t>politická</w:t>
      </w:r>
      <w:r w:rsidRPr="00273106">
        <w:t xml:space="preserve"> teorie redukující světskou a církevní moc na jednu pravdu. Výsledkem byla unifikace světské a duchovní moci pod suverenitou</w:t>
      </w:r>
      <w:r>
        <w:t xml:space="preserve"> </w:t>
      </w:r>
      <w:r w:rsidRPr="00273106">
        <w:rPr>
          <w:i/>
        </w:rPr>
        <w:t>potestas ecclesiastica</w:t>
      </w:r>
      <w:r w:rsidRPr="00273106">
        <w:t xml:space="preserve">. Druhý averroismus vytvořil unifikovanou teorii politické moci, jejíž legitimace byla vysvětlena teologicky a biblicky. </w:t>
      </w:r>
      <w:r>
        <w:t xml:space="preserve">Novou ontoteologickou strukturu politické moci v rámci jedné pravdy vytvářeli teologičtí představitelé prvního i druhého averroismu. Akvinského zrcadlo vládců ve spise </w:t>
      </w:r>
      <w:r w:rsidRPr="007045FD">
        <w:rPr>
          <w:i/>
        </w:rPr>
        <w:t>De regno</w:t>
      </w:r>
      <w:r w:rsidRPr="007045FD">
        <w:t xml:space="preserve"> </w:t>
      </w:r>
      <w:r w:rsidRPr="00351C8F">
        <w:t xml:space="preserve">integrovalo aristotelské pojetí </w:t>
      </w:r>
      <w:r w:rsidRPr="007045FD">
        <w:t xml:space="preserve">politické moci do teokratické struktrury, později explicitně </w:t>
      </w:r>
      <w:r w:rsidR="00BD42AA">
        <w:t xml:space="preserve">potvrzené papežskou </w:t>
      </w:r>
      <w:r w:rsidRPr="007045FD">
        <w:t xml:space="preserve">bulou </w:t>
      </w:r>
      <w:r>
        <w:rPr>
          <w:i/>
        </w:rPr>
        <w:t>Unam Sanctam</w:t>
      </w:r>
      <w:r>
        <w:rPr>
          <w:i/>
        </w:rPr>
        <w:fldChar w:fldCharType="begin"/>
      </w:r>
      <w:r>
        <w:instrText xml:space="preserve"> XE "</w:instrText>
      </w:r>
      <w:r>
        <w:rPr>
          <w:i/>
        </w:rPr>
        <w:instrText>Unam Sanctam</w:instrText>
      </w:r>
      <w:r>
        <w:instrText xml:space="preserve">" </w:instrText>
      </w:r>
      <w:r>
        <w:rPr>
          <w:i/>
        </w:rPr>
        <w:fldChar w:fldCharType="end"/>
      </w:r>
      <w:r w:rsidR="00BD42AA">
        <w:t xml:space="preserve"> </w:t>
      </w:r>
      <w:r w:rsidR="00BD42AA">
        <w:rPr>
          <w:lang w:eastAsia="en-US"/>
        </w:rPr>
        <w:t xml:space="preserve">(1302). </w:t>
      </w:r>
      <w:r w:rsidRPr="007045FD">
        <w:t xml:space="preserve">Spis </w:t>
      </w:r>
      <w:r w:rsidR="00BD42AA" w:rsidRPr="007045FD">
        <w:rPr>
          <w:i/>
        </w:rPr>
        <w:t>De regno</w:t>
      </w:r>
      <w:r w:rsidR="00BD42AA" w:rsidRPr="007045FD">
        <w:t xml:space="preserve"> </w:t>
      </w:r>
      <w:r w:rsidRPr="007045FD">
        <w:t xml:space="preserve">vychází z </w:t>
      </w:r>
      <w:r>
        <w:t xml:space="preserve">aristotelské </w:t>
      </w:r>
      <w:r w:rsidRPr="007045FD">
        <w:t xml:space="preserve">přirozenosti člověka </w:t>
      </w:r>
      <w:r>
        <w:t xml:space="preserve">vedeného </w:t>
      </w:r>
      <w:r w:rsidRPr="007045FD">
        <w:t>přirozeným světlem rozumu (</w:t>
      </w:r>
      <w:r w:rsidRPr="007045FD">
        <w:rPr>
          <w:i/>
        </w:rPr>
        <w:t>naturaliter insitum rationis lumen</w:t>
      </w:r>
      <w:r>
        <w:t xml:space="preserve">), které </w:t>
      </w:r>
      <w:r w:rsidRPr="007045FD">
        <w:t>existuje v každém člověku (</w:t>
      </w:r>
      <w:r w:rsidRPr="007045FD">
        <w:rPr>
          <w:i/>
        </w:rPr>
        <w:t>est autem unicuique hominum</w:t>
      </w:r>
      <w:r>
        <w:t xml:space="preserve">) a dělá z něj </w:t>
      </w:r>
      <w:r w:rsidRPr="007045FD">
        <w:t>sociálního a politického tvora (</w:t>
      </w:r>
      <w:r w:rsidRPr="007045FD">
        <w:rPr>
          <w:i/>
        </w:rPr>
        <w:t>naturale autem est homini ut sit animal sociale et politicum</w:t>
      </w:r>
      <w:r w:rsidRPr="00CC6B40">
        <w:t>;</w:t>
      </w:r>
      <w:r>
        <w:rPr>
          <w:i/>
        </w:rPr>
        <w:t xml:space="preserve"> </w:t>
      </w:r>
      <w:r w:rsidRPr="007045FD">
        <w:rPr>
          <w:i/>
        </w:rPr>
        <w:t>De regno</w:t>
      </w:r>
      <w:r w:rsidRPr="007045FD">
        <w:t xml:space="preserve"> </w:t>
      </w:r>
      <w:bookmarkStart w:id="107" w:name="69921"/>
      <w:r w:rsidRPr="007045FD">
        <w:rPr>
          <w:rStyle w:val="ref"/>
        </w:rPr>
        <w:t>lib. 1, cap. 1</w:t>
      </w:r>
      <w:bookmarkEnd w:id="107"/>
      <w:r>
        <w:rPr>
          <w:rStyle w:val="ref"/>
        </w:rPr>
        <w:t>; ed. Leonina 42, 449.18‒26</w:t>
      </w:r>
      <w:r>
        <w:rPr>
          <w:i/>
        </w:rPr>
        <w:fldChar w:fldCharType="begin"/>
      </w:r>
      <w:r>
        <w:instrText xml:space="preserve"> XE "Akvinský:</w:instrText>
      </w:r>
      <w:r w:rsidRPr="0084096C">
        <w:rPr>
          <w:i/>
        </w:rPr>
        <w:instrText>De regno</w:instrText>
      </w:r>
      <w:r>
        <w:rPr>
          <w:i/>
        </w:rPr>
        <w:instrText xml:space="preserve"> </w:instrText>
      </w:r>
      <w:r>
        <w:rPr>
          <w:rStyle w:val="ref"/>
        </w:rPr>
        <w:instrText>449.18‒26</w:instrText>
      </w:r>
      <w:r>
        <w:instrText xml:space="preserve">" </w:instrText>
      </w:r>
      <w:r>
        <w:rPr>
          <w:i/>
        </w:rPr>
        <w:fldChar w:fldCharType="end"/>
      </w:r>
      <w:r w:rsidRPr="007045FD">
        <w:t xml:space="preserve">). </w:t>
      </w:r>
      <w:r>
        <w:t>Citované zrcadlo vládců podle Akvinského jednoznačně chápe politickou moc teokraticky (</w:t>
      </w:r>
      <w:r w:rsidRPr="08FB447C">
        <w:rPr>
          <w:i/>
        </w:rPr>
        <w:t>vicario Romano Pontifici, cui omnes reges populi Christiani oportet esse subiectos</w:t>
      </w:r>
      <w:r>
        <w:t>).</w:t>
      </w:r>
      <w:r>
        <w:rPr>
          <w:rStyle w:val="Znakapoznpodarou"/>
        </w:rPr>
        <w:footnoteReference w:id="516"/>
      </w:r>
      <w:r>
        <w:t xml:space="preserve"> </w:t>
      </w:r>
      <w:r w:rsidR="00EA445D" w:rsidRPr="00EA445D">
        <w:t xml:space="preserve">Papežský primát ve světském světě a politice se řídí postavením apoštola Petra v </w:t>
      </w:r>
      <w:r w:rsidR="00EA445D" w:rsidRPr="00EA445D">
        <w:rPr>
          <w:i/>
        </w:rPr>
        <w:t>Novém zákoně</w:t>
      </w:r>
      <w:r w:rsidR="00D11F39">
        <w:t xml:space="preserve"> (Mt 16:</w:t>
      </w:r>
      <w:r w:rsidR="00EA445D">
        <w:t>18</w:t>
      </w:r>
      <w:r w:rsidR="00EA445D">
        <w:fldChar w:fldCharType="begin"/>
      </w:r>
      <w:r w:rsidR="00EA445D">
        <w:instrText xml:space="preserve"> XE "</w:instrText>
      </w:r>
      <w:r w:rsidR="00EA445D" w:rsidRPr="00EA445D">
        <w:rPr>
          <w:i/>
        </w:rPr>
        <w:instrText>Nový zákon</w:instrText>
      </w:r>
      <w:r w:rsidR="00EA445D">
        <w:instrText xml:space="preserve">:Mt 16.18" </w:instrText>
      </w:r>
      <w:r w:rsidR="00EA445D">
        <w:fldChar w:fldCharType="end"/>
      </w:r>
      <w:r w:rsidR="00EA445D" w:rsidRPr="00EA445D">
        <w:t>), který byl chápán j</w:t>
      </w:r>
      <w:r w:rsidR="005C0FE4">
        <w:t xml:space="preserve">ako první římskokatolický papež. </w:t>
      </w:r>
      <w:r>
        <w:t>D</w:t>
      </w:r>
      <w:r w:rsidRPr="00273106">
        <w:t xml:space="preserve">ílo </w:t>
      </w:r>
      <w:r>
        <w:t xml:space="preserve">prvního tomisty Aegidia Romana obhajovalo </w:t>
      </w:r>
      <w:r w:rsidRPr="00273106">
        <w:t xml:space="preserve">v traktátu </w:t>
      </w:r>
      <w:r w:rsidRPr="00273106">
        <w:rPr>
          <w:i/>
        </w:rPr>
        <w:t>De ecclesiastica potestate</w:t>
      </w:r>
      <w:r w:rsidRPr="00273106">
        <w:t xml:space="preserve"> (1302) učení papežského pol</w:t>
      </w:r>
      <w:r w:rsidR="00DF6A0D">
        <w:t xml:space="preserve">itického a </w:t>
      </w:r>
      <w:r w:rsidR="00DF6A0D">
        <w:lastRenderedPageBreak/>
        <w:t>náboženského primátu, které inspirovalo bulu</w:t>
      </w:r>
      <w:r w:rsidRPr="00273106">
        <w:t xml:space="preserve"> </w:t>
      </w:r>
      <w:r w:rsidRPr="00273106">
        <w:rPr>
          <w:i/>
        </w:rPr>
        <w:t>Unam Sanctam</w:t>
      </w:r>
      <w:r w:rsidRPr="00273106">
        <w:t xml:space="preserve">. </w:t>
      </w:r>
      <w:r w:rsidR="00C37F9A">
        <w:t>Aegidiova r</w:t>
      </w:r>
      <w:r>
        <w:t xml:space="preserve">ole při vydání Tempierova dekretu 1277 zatím není příliš jasná, ale jeho vliv na vydání buly </w:t>
      </w:r>
      <w:r w:rsidRPr="08BF20D5">
        <w:rPr>
          <w:i/>
        </w:rPr>
        <w:t>Unam Sanctam</w:t>
      </w:r>
      <w:r>
        <w:t xml:space="preserve"> a jeho přítomnost na koncilu ve Vienne</w:t>
      </w:r>
      <w:r>
        <w:fldChar w:fldCharType="begin"/>
      </w:r>
      <w:r>
        <w:instrText xml:space="preserve"> XE "</w:instrText>
      </w:r>
      <w:r w:rsidRPr="08BD0C05">
        <w:instrText>koncil:Vienne</w:instrText>
      </w:r>
      <w:r>
        <w:instrText xml:space="preserve">" </w:instrText>
      </w:r>
      <w:r>
        <w:fldChar w:fldCharType="end"/>
      </w:r>
      <w:r w:rsidR="002B082D">
        <w:t xml:space="preserve"> </w:t>
      </w:r>
      <w:r w:rsidR="000B546D">
        <w:t xml:space="preserve">(1311–12) </w:t>
      </w:r>
      <w:r w:rsidR="000B546D" w:rsidRPr="00A9626C">
        <w:rPr>
          <w:lang w:eastAsia="en-US"/>
        </w:rPr>
        <w:t xml:space="preserve"> </w:t>
      </w:r>
      <w:r>
        <w:t>ukazují na jeho význam pro politick</w:t>
      </w:r>
      <w:r w:rsidR="00CF5C34">
        <w:t>é rozhodování církevních kruhů.</w:t>
      </w:r>
      <w:r w:rsidR="00E1150B">
        <w:t xml:space="preserve"> Teokratický nárok</w:t>
      </w:r>
      <w:r w:rsidR="00E1150B" w:rsidRPr="007045FD">
        <w:t xml:space="preserve"> </w:t>
      </w:r>
      <w:r w:rsidR="00E1150B">
        <w:t xml:space="preserve">papežství je explicitně </w:t>
      </w:r>
      <w:r w:rsidR="00E1150B" w:rsidRPr="007045FD">
        <w:t xml:space="preserve">daný v doktríně tzv. </w:t>
      </w:r>
      <w:r w:rsidR="00E1150B">
        <w:t>„</w:t>
      </w:r>
      <w:r w:rsidR="00E1150B" w:rsidRPr="007045FD">
        <w:t>dvou mečů</w:t>
      </w:r>
      <w:r w:rsidR="00E1150B">
        <w:t>“ (</w:t>
      </w:r>
      <w:r w:rsidR="00E1150B" w:rsidRPr="00A54229">
        <w:t>Lecler</w:t>
      </w:r>
      <w:r w:rsidR="00E1150B">
        <w:t xml:space="preserve"> 1931, 1932)</w:t>
      </w:r>
      <w:r w:rsidR="00E1150B" w:rsidRPr="007045FD">
        <w:t>.</w:t>
      </w:r>
      <w:r w:rsidR="00E1150B">
        <w:t xml:space="preserve"> Tato teorie</w:t>
      </w:r>
      <w:r w:rsidR="00E1150B" w:rsidRPr="00273106">
        <w:t xml:space="preserve"> </w:t>
      </w:r>
      <w:r w:rsidR="00E1150B">
        <w:t xml:space="preserve">spojení </w:t>
      </w:r>
      <w:r w:rsidR="00E1150B" w:rsidRPr="00273106">
        <w:t xml:space="preserve">duchovní a světské moci </w:t>
      </w:r>
      <w:r w:rsidR="00E1150B">
        <w:t>vycházela ze zmínky o dvou mečích</w:t>
      </w:r>
      <w:r w:rsidR="00E1150B" w:rsidRPr="00273106">
        <w:t xml:space="preserve"> </w:t>
      </w:r>
      <w:r w:rsidR="00E1150B">
        <w:t xml:space="preserve">z </w:t>
      </w:r>
      <w:r w:rsidR="00E1150B" w:rsidRPr="00273106">
        <w:t>předaných Petrovi k obraně Ježíše v Getsemanské zahradě (Lk 22:38</w:t>
      </w:r>
      <w:r w:rsidR="00E1150B">
        <w:fldChar w:fldCharType="begin"/>
      </w:r>
      <w:r w:rsidR="00E1150B">
        <w:instrText xml:space="preserve"> XE "Nový zákon:Lk 22.</w:instrText>
      </w:r>
      <w:r w:rsidR="00E1150B" w:rsidRPr="00660359">
        <w:instrText>38</w:instrText>
      </w:r>
      <w:r w:rsidR="00E1150B">
        <w:instrText xml:space="preserve">" </w:instrText>
      </w:r>
      <w:r w:rsidR="00E1150B">
        <w:fldChar w:fldCharType="end"/>
      </w:r>
      <w:r w:rsidR="00E1150B" w:rsidRPr="00273106">
        <w:t>).</w:t>
      </w:r>
      <w:r w:rsidR="00E1150B">
        <w:t xml:space="preserve"> </w:t>
      </w:r>
      <w:r w:rsidR="009B2A18">
        <w:t>Teorie jedné pravdy dostala plně politický charakter skrze odpovídající formu politického myšlení publikovaného v papežské bule</w:t>
      </w:r>
      <w:r w:rsidR="009B2A18" w:rsidRPr="00273106">
        <w:t xml:space="preserve"> </w:t>
      </w:r>
      <w:r w:rsidR="009B2A18">
        <w:rPr>
          <w:i/>
        </w:rPr>
        <w:t>Unam Sanctam</w:t>
      </w:r>
      <w:r w:rsidR="009B2A18" w:rsidRPr="00273106">
        <w:t xml:space="preserve"> </w:t>
      </w:r>
      <w:r w:rsidR="009B2A18">
        <w:t>(</w:t>
      </w:r>
      <w:r w:rsidR="009B2A18">
        <w:rPr>
          <w:rStyle w:val="st"/>
        </w:rPr>
        <w:t>1302</w:t>
      </w:r>
      <w:r w:rsidR="009B2A18">
        <w:t>)</w:t>
      </w:r>
      <w:r w:rsidR="009B2A18" w:rsidRPr="00273106">
        <w:t xml:space="preserve">. </w:t>
      </w:r>
      <w:r w:rsidR="0013626E" w:rsidRPr="00273106">
        <w:t>Oficiáln</w:t>
      </w:r>
      <w:r w:rsidR="0013626E">
        <w:t xml:space="preserve">í definici politické moci určoval </w:t>
      </w:r>
      <w:r w:rsidR="0013626E" w:rsidRPr="00273106">
        <w:t xml:space="preserve">politický </w:t>
      </w:r>
      <w:r w:rsidR="0013626E">
        <w:t>augustinianismus</w:t>
      </w:r>
      <w:r w:rsidR="0013626E">
        <w:fldChar w:fldCharType="begin"/>
      </w:r>
      <w:r w:rsidR="0013626E">
        <w:instrText xml:space="preserve"> XE "</w:instrText>
      </w:r>
      <w:r w:rsidR="0013626E" w:rsidRPr="008F5994">
        <w:instrText>politický augustinianismus</w:instrText>
      </w:r>
      <w:r w:rsidR="0013626E">
        <w:instrText xml:space="preserve">" </w:instrText>
      </w:r>
      <w:r w:rsidR="0013626E">
        <w:fldChar w:fldCharType="end"/>
      </w:r>
      <w:r w:rsidR="0013626E">
        <w:t xml:space="preserve"> </w:t>
      </w:r>
      <w:r w:rsidR="0013626E" w:rsidRPr="00273106">
        <w:t xml:space="preserve">vyjádřený v bulách </w:t>
      </w:r>
      <w:r w:rsidR="0013626E">
        <w:rPr>
          <w:i/>
        </w:rPr>
        <w:t>Unam Sanctam</w:t>
      </w:r>
      <w:r w:rsidR="0013626E">
        <w:rPr>
          <w:i/>
        </w:rPr>
        <w:fldChar w:fldCharType="begin"/>
      </w:r>
      <w:r w:rsidR="0013626E">
        <w:instrText xml:space="preserve"> XE "</w:instrText>
      </w:r>
      <w:r w:rsidR="0013626E">
        <w:rPr>
          <w:i/>
        </w:rPr>
        <w:instrText>Unam Sanctam</w:instrText>
      </w:r>
      <w:r w:rsidR="0013626E">
        <w:instrText xml:space="preserve">" </w:instrText>
      </w:r>
      <w:r w:rsidR="0013626E">
        <w:rPr>
          <w:i/>
        </w:rPr>
        <w:fldChar w:fldCharType="end"/>
      </w:r>
      <w:r w:rsidR="0013626E" w:rsidRPr="00273106">
        <w:rPr>
          <w:i/>
        </w:rPr>
        <w:t xml:space="preserve"> </w:t>
      </w:r>
      <w:r w:rsidR="0013626E">
        <w:t xml:space="preserve">(1302) </w:t>
      </w:r>
      <w:r w:rsidR="0013626E" w:rsidRPr="00273106">
        <w:t xml:space="preserve">a </w:t>
      </w:r>
      <w:r w:rsidR="0013626E" w:rsidRPr="00273106">
        <w:rPr>
          <w:i/>
        </w:rPr>
        <w:t>Patris Aeterni</w:t>
      </w:r>
      <w:r w:rsidR="0013626E">
        <w:t xml:space="preserve"> (1303) </w:t>
      </w:r>
      <w:r w:rsidR="0013626E">
        <w:rPr>
          <w:i/>
        </w:rPr>
        <w:fldChar w:fldCharType="begin"/>
      </w:r>
      <w:r w:rsidR="0013626E">
        <w:instrText xml:space="preserve"> XE "</w:instrText>
      </w:r>
      <w:r w:rsidR="0013626E" w:rsidRPr="00693299">
        <w:rPr>
          <w:i/>
        </w:rPr>
        <w:instrText>Patris Aeterni</w:instrText>
      </w:r>
      <w:r w:rsidR="0013626E">
        <w:instrText xml:space="preserve">" </w:instrText>
      </w:r>
      <w:r w:rsidR="0013626E">
        <w:rPr>
          <w:i/>
        </w:rPr>
        <w:fldChar w:fldCharType="end"/>
      </w:r>
      <w:r w:rsidR="0013626E" w:rsidRPr="00273106">
        <w:t>.</w:t>
      </w:r>
      <w:r w:rsidR="0013626E" w:rsidRPr="00273106">
        <w:rPr>
          <w:rStyle w:val="Znakapoznpodarou"/>
        </w:rPr>
        <w:footnoteReference w:id="517"/>
      </w:r>
      <w:r w:rsidR="0013626E" w:rsidRPr="00273106">
        <w:t xml:space="preserve"> </w:t>
      </w:r>
      <w:r w:rsidR="0013626E" w:rsidRPr="00952932">
        <w:t xml:space="preserve">Bula </w:t>
      </w:r>
      <w:r w:rsidR="0013626E" w:rsidRPr="00952932">
        <w:rPr>
          <w:i/>
          <w:iCs/>
        </w:rPr>
        <w:t>Patris Aeterni</w:t>
      </w:r>
      <w:r w:rsidR="0013626E" w:rsidRPr="00952932">
        <w:t xml:space="preserve"> používá stejné metafory jako východní césaropapismus a zobrazuje neoplatónský intelekt jako slunce. Po</w:t>
      </w:r>
      <w:r w:rsidR="0013626E">
        <w:t>stava císaře představuje měsíc, který o</w:t>
      </w:r>
      <w:r w:rsidR="0013626E" w:rsidRPr="00952932">
        <w:t xml:space="preserve">světluje polis svou mocí </w:t>
      </w:r>
      <w:r w:rsidR="0013626E">
        <w:t xml:space="preserve">skrze </w:t>
      </w:r>
      <w:r w:rsidR="0013626E" w:rsidRPr="00952932">
        <w:t xml:space="preserve">sluneční paprsky </w:t>
      </w:r>
      <w:r w:rsidR="0013626E">
        <w:t xml:space="preserve">svrchované </w:t>
      </w:r>
      <w:r w:rsidR="0013626E" w:rsidRPr="00952932">
        <w:t>moci udělené papežem. Tento model připomíná Eusebia z Cesareje, když kolem roku 337 psal chvalořeč na císaře Konstantina (</w:t>
      </w:r>
      <w:r w:rsidR="0013626E" w:rsidRPr="00952932">
        <w:rPr>
          <w:i/>
          <w:iCs/>
        </w:rPr>
        <w:t>Vita Constantii</w:t>
      </w:r>
      <w:r w:rsidR="0013626E" w:rsidRPr="00952932">
        <w:t>). Císař jako slunce byl nahrazen západní svrchovaností papeže.</w:t>
      </w:r>
      <w:r w:rsidR="006D406C">
        <w:t xml:space="preserve"> </w:t>
      </w:r>
      <w:r w:rsidR="009B2A18" w:rsidRPr="00273106">
        <w:t xml:space="preserve">Hermeneutika považuje vydání </w:t>
      </w:r>
      <w:r w:rsidR="009B2A18">
        <w:t>t</w:t>
      </w:r>
      <w:r w:rsidR="006D406C">
        <w:t xml:space="preserve">ěcht dvou </w:t>
      </w:r>
      <w:r w:rsidR="00787430">
        <w:t>dekretů z</w:t>
      </w:r>
      <w:r w:rsidR="009B2A18" w:rsidRPr="00273106">
        <w:t xml:space="preserve">a stejný mezník ve vývoji politické teorie jako bylo vydání </w:t>
      </w:r>
      <w:r w:rsidR="009B2A18">
        <w:t xml:space="preserve">odsuzujících </w:t>
      </w:r>
      <w:r w:rsidR="009B2A18" w:rsidRPr="00273106">
        <w:t xml:space="preserve">dekretů v </w:t>
      </w:r>
      <w:r w:rsidR="009B2A18">
        <w:t xml:space="preserve">březnu </w:t>
      </w:r>
      <w:r w:rsidR="009B2A18" w:rsidRPr="00273106">
        <w:t>1277</w:t>
      </w:r>
      <w:r w:rsidR="009B2A18">
        <w:fldChar w:fldCharType="begin"/>
      </w:r>
      <w:r w:rsidR="009B2A18">
        <w:instrText xml:space="preserve"> XE "</w:instrText>
      </w:r>
      <w:r w:rsidR="009B2A18" w:rsidRPr="00290137">
        <w:instrText>odsouzení 1277</w:instrText>
      </w:r>
      <w:r w:rsidR="009B2A18">
        <w:instrText xml:space="preserve">" </w:instrText>
      </w:r>
      <w:r w:rsidR="009B2A18">
        <w:fldChar w:fldCharType="end"/>
      </w:r>
      <w:r w:rsidR="009B2A18" w:rsidRPr="00273106">
        <w:t>.</w:t>
      </w:r>
    </w:p>
    <w:p w:rsidR="08163013" w:rsidRDefault="008F4275" w:rsidP="00BE5952">
      <w:pPr>
        <w:ind w:firstLine="397"/>
        <w:rPr>
          <w:rStyle w:val="addmd"/>
        </w:rPr>
      </w:pPr>
      <w:r>
        <w:t>A</w:t>
      </w:r>
      <w:r w:rsidRPr="007045FD">
        <w:t>utentick</w:t>
      </w:r>
      <w:r>
        <w:t>ý a</w:t>
      </w:r>
      <w:r w:rsidRPr="007045FD">
        <w:t>ristoteli</w:t>
      </w:r>
      <w:r>
        <w:t xml:space="preserve">smus obhajoval autonomii poznání podle rodově odlišných sfér vědění. Teologie není politická věda. </w:t>
      </w:r>
      <w:r w:rsidR="08163013">
        <w:t>P</w:t>
      </w:r>
      <w:r w:rsidR="08163013" w:rsidRPr="007045FD">
        <w:t xml:space="preserve">řirozené určení </w:t>
      </w:r>
      <w:r w:rsidR="08163013">
        <w:t xml:space="preserve">člověka jako politického tvora </w:t>
      </w:r>
      <w:r>
        <w:t>mělo v aristotelismu zásadně odlišné zdůvodnění, které muselo vycházet z přirozeného rozumu. Pak je jasné, že Akvinského argumentace o politickém primátu papeže šla ve stopách jeho semiaverroismu a spojila dvě rodově odlišné disciplíny: přirozené určení člověka jako politického tvora a teologický primát papeže.</w:t>
      </w:r>
      <w:r w:rsidR="00BE5952">
        <w:t xml:space="preserve"> </w:t>
      </w:r>
      <w:r w:rsidR="08163013" w:rsidRPr="00273106">
        <w:t xml:space="preserve">První averroismus nemohl souhlasit </w:t>
      </w:r>
      <w:r w:rsidR="08163013">
        <w:t xml:space="preserve">s unitárním pojetím teokratické politické teorie </w:t>
      </w:r>
      <w:r w:rsidR="08163013" w:rsidRPr="00273106">
        <w:t>z filosofických důvodů daných v Aristotelových morálních a politických spisech</w:t>
      </w:r>
      <w:r w:rsidR="08163013">
        <w:t xml:space="preserve">.  </w:t>
      </w:r>
      <w:r w:rsidR="08163013" w:rsidRPr="00273106">
        <w:t xml:space="preserve">Ideový boj obou škol ohledně statutu politické moci dosvědčují díla pařížských aristoteliků, kteří působili na zdejší </w:t>
      </w:r>
      <w:r w:rsidR="08163013" w:rsidRPr="00273106">
        <w:rPr>
          <w:i/>
        </w:rPr>
        <w:t>alma mater</w:t>
      </w:r>
      <w:r w:rsidR="08163013">
        <w:t xml:space="preserve"> v bouřlivých letech po roce 1277</w:t>
      </w:r>
      <w:r w:rsidR="08163013" w:rsidRPr="00273106">
        <w:t>. Pařížský magistr a dominikán Jan z Paříže (Johannes Quidort</w:t>
      </w:r>
      <w:r w:rsidR="08163013">
        <w:fldChar w:fldCharType="begin"/>
      </w:r>
      <w:r w:rsidR="08163013">
        <w:instrText xml:space="preserve"> XE "</w:instrText>
      </w:r>
      <w:r w:rsidR="08163013" w:rsidRPr="00C77D2E">
        <w:instrText>Johannes Quidort</w:instrText>
      </w:r>
      <w:r w:rsidR="08163013">
        <w:instrText xml:space="preserve">" </w:instrText>
      </w:r>
      <w:r w:rsidR="08163013">
        <w:fldChar w:fldCharType="end"/>
      </w:r>
      <w:r w:rsidR="08163013" w:rsidRPr="00273106">
        <w:t>) kritizoval Oliviho dualismus duše a těla</w:t>
      </w:r>
      <w:r w:rsidR="08163013">
        <w:t xml:space="preserve">. </w:t>
      </w:r>
      <w:r w:rsidR="08163013" w:rsidRPr="00273106">
        <w:t xml:space="preserve">Quidort jako jeden z prvních pařížských </w:t>
      </w:r>
      <w:r w:rsidR="08163013">
        <w:lastRenderedPageBreak/>
        <w:t xml:space="preserve">tomistů </w:t>
      </w:r>
      <w:r w:rsidR="08163013" w:rsidRPr="00273106">
        <w:t>napadl františkánská korektoria Akvinského</w:t>
      </w:r>
      <w:r w:rsidR="08163013">
        <w:t>, v</w:t>
      </w:r>
      <w:r w:rsidR="08163013" w:rsidRPr="00273106">
        <w:t xml:space="preserve">iz jeho dílo </w:t>
      </w:r>
      <w:r w:rsidR="08163013" w:rsidRPr="00273106">
        <w:rPr>
          <w:i/>
        </w:rPr>
        <w:t>Correctorium corruptorii „Circa“</w:t>
      </w:r>
      <w:r w:rsidR="08163013" w:rsidRPr="00273106">
        <w:t xml:space="preserve"> (1283). Magistr Quidort napsal politický </w:t>
      </w:r>
      <w:r w:rsidR="08163013">
        <w:t xml:space="preserve">spis </w:t>
      </w:r>
      <w:r w:rsidR="08163013" w:rsidRPr="00273106">
        <w:rPr>
          <w:i/>
        </w:rPr>
        <w:t>De regia potestae et papali</w:t>
      </w:r>
      <w:r w:rsidR="08163013" w:rsidRPr="00273106">
        <w:t xml:space="preserve"> (1302). </w:t>
      </w:r>
      <w:r w:rsidR="08163013">
        <w:t xml:space="preserve">Traktát </w:t>
      </w:r>
      <w:r w:rsidR="08163013" w:rsidRPr="00273106">
        <w:t xml:space="preserve">postavil Aristotela proti teorii jedné pravdy papežského primátu buly </w:t>
      </w:r>
      <w:r w:rsidR="08163013" w:rsidRPr="00273106">
        <w:rPr>
          <w:i/>
        </w:rPr>
        <w:t>Unam Sanctam</w:t>
      </w:r>
      <w:r w:rsidR="00B12367">
        <w:t>. H</w:t>
      </w:r>
      <w:r w:rsidR="08163013" w:rsidRPr="00273106">
        <w:t>ermeneutik</w:t>
      </w:r>
      <w:r w:rsidR="00B12367">
        <w:t xml:space="preserve">a sleduje </w:t>
      </w:r>
      <w:r w:rsidR="08163013" w:rsidRPr="00273106">
        <w:t xml:space="preserve">role </w:t>
      </w:r>
      <w:r w:rsidR="00B12367">
        <w:t xml:space="preserve">lidské </w:t>
      </w:r>
      <w:r w:rsidR="08163013" w:rsidRPr="00273106">
        <w:t xml:space="preserve">přirozenosti, která </w:t>
      </w:r>
      <w:r w:rsidR="08163013">
        <w:t xml:space="preserve">tvoří základ </w:t>
      </w:r>
      <w:r w:rsidR="08163013" w:rsidRPr="00273106">
        <w:t>autonomní</w:t>
      </w:r>
      <w:r w:rsidR="08163013">
        <w:t>ho</w:t>
      </w:r>
      <w:r w:rsidR="08163013" w:rsidRPr="00273106">
        <w:t xml:space="preserve"> politick</w:t>
      </w:r>
      <w:r w:rsidR="08163013">
        <w:t xml:space="preserve">ého </w:t>
      </w:r>
      <w:r w:rsidR="08163013" w:rsidRPr="00273106">
        <w:t>řád</w:t>
      </w:r>
      <w:r w:rsidR="08163013">
        <w:t xml:space="preserve">u </w:t>
      </w:r>
      <w:r w:rsidR="08163013" w:rsidRPr="00273106">
        <w:t>(</w:t>
      </w:r>
      <w:r w:rsidR="08163013" w:rsidRPr="00273106">
        <w:rPr>
          <w:i/>
        </w:rPr>
        <w:t>ex naturali instinctu, qui ex Deo est</w:t>
      </w:r>
      <w:r w:rsidR="08163013" w:rsidRPr="00273106">
        <w:t>).</w:t>
      </w:r>
      <w:r w:rsidR="08163013" w:rsidRPr="00273106">
        <w:rPr>
          <w:rStyle w:val="Znakapoznpodarou"/>
        </w:rPr>
        <w:footnoteReference w:id="518"/>
      </w:r>
      <w:r w:rsidR="08163013">
        <w:t xml:space="preserve"> </w:t>
      </w:r>
      <w:r w:rsidR="08163013" w:rsidRPr="00273106">
        <w:t xml:space="preserve">Quidort </w:t>
      </w:r>
      <w:r w:rsidR="08163013">
        <w:t>vykládá Aristotelovo pojetí politické přirozenosti člověka proti papežské unitární teokracii, kterou hájil Akvinský. Pověření k vládě není dáno ani historickými mocenskými nároky, ani papežským primátem, ale je skryto v přirozenosti člověka jako politického tvora.</w:t>
      </w:r>
      <w:r w:rsidR="08163013" w:rsidRPr="00273106">
        <w:t xml:space="preserve"> </w:t>
      </w:r>
      <w:r w:rsidR="08163013">
        <w:t xml:space="preserve">Pak je jasné, že francouzský král nevládne z unitární moci papeže, ale díky přirozené politické autoritě pocházející přímo od boha. Zásadní diference mezi Akvinským a </w:t>
      </w:r>
      <w:r w:rsidR="08163013" w:rsidRPr="00273106">
        <w:t>Quidort</w:t>
      </w:r>
      <w:r w:rsidR="08163013">
        <w:t xml:space="preserve">em ukazuje, že uvnitř prvního </w:t>
      </w:r>
      <w:r w:rsidR="00C032D9">
        <w:t xml:space="preserve">averroismu </w:t>
      </w:r>
      <w:r w:rsidR="08163013">
        <w:t xml:space="preserve">byly dvě školy, které chápaly výklad aristotelské politické teorie naprosto odlišně. </w:t>
      </w:r>
      <w:r w:rsidR="08163013" w:rsidRPr="00273106">
        <w:t>Dante</w:t>
      </w:r>
      <w:r w:rsidR="08163013">
        <w:fldChar w:fldCharType="begin"/>
      </w:r>
      <w:r w:rsidR="08163013">
        <w:instrText xml:space="preserve"> XE "</w:instrText>
      </w:r>
      <w:r w:rsidR="08163013" w:rsidRPr="00E871B9">
        <w:instrText>Dante, A.</w:instrText>
      </w:r>
      <w:r w:rsidR="08163013">
        <w:instrText xml:space="preserve">" </w:instrText>
      </w:r>
      <w:r w:rsidR="08163013">
        <w:fldChar w:fldCharType="end"/>
      </w:r>
      <w:r w:rsidR="08163013" w:rsidRPr="00273106">
        <w:t xml:space="preserve"> byl první filosof, který ve spise </w:t>
      </w:r>
      <w:r w:rsidR="08163013" w:rsidRPr="00273106">
        <w:rPr>
          <w:i/>
        </w:rPr>
        <w:t>Monarchia</w:t>
      </w:r>
      <w:r w:rsidR="08163013" w:rsidRPr="00273106">
        <w:t xml:space="preserve"> </w:t>
      </w:r>
      <w:r w:rsidR="08163013" w:rsidRPr="00273106">
        <w:rPr>
          <w:rStyle w:val="addmd"/>
        </w:rPr>
        <w:t xml:space="preserve">(asi 1318) </w:t>
      </w:r>
      <w:r w:rsidR="08163013" w:rsidRPr="00273106">
        <w:t xml:space="preserve">výslovným odkazem na </w:t>
      </w:r>
      <w:r w:rsidR="08163013">
        <w:t>Averroes</w:t>
      </w:r>
      <w:r w:rsidR="08163013" w:rsidRPr="00273106">
        <w:t xml:space="preserve">e spojil teoretické nazírání podané v </w:t>
      </w:r>
      <w:r w:rsidR="08163013" w:rsidRPr="08734752">
        <w:rPr>
          <w:i/>
        </w:rPr>
        <w:t>Etice Nikomachově</w:t>
      </w:r>
      <w:r w:rsidR="08163013" w:rsidRPr="00273106">
        <w:t xml:space="preserve"> a v </w:t>
      </w:r>
      <w:r w:rsidR="08163013">
        <w:rPr>
          <w:i/>
        </w:rPr>
        <w:t>De anima</w:t>
      </w:r>
      <w:r w:rsidR="08163013" w:rsidRPr="00273106">
        <w:t xml:space="preserve"> s projektem politické jednoty lidstva pod jedním světským vládcem</w:t>
      </w:r>
      <w:r w:rsidR="08163013">
        <w:rPr>
          <w:rStyle w:val="addmd"/>
          <w:i/>
        </w:rPr>
        <w:fldChar w:fldCharType="begin"/>
      </w:r>
      <w:r w:rsidR="08163013">
        <w:instrText xml:space="preserve"> XE "</w:instrText>
      </w:r>
      <w:r w:rsidR="08163013" w:rsidRPr="00E2134B">
        <w:rPr>
          <w:i/>
        </w:rPr>
        <w:instrText>intellectus speculativus:</w:instrText>
      </w:r>
      <w:r w:rsidR="08163013">
        <w:instrText xml:space="preserve">Dante" </w:instrText>
      </w:r>
      <w:r w:rsidR="08163013">
        <w:rPr>
          <w:rStyle w:val="addmd"/>
          <w:i/>
        </w:rPr>
        <w:fldChar w:fldCharType="end"/>
      </w:r>
      <w:r w:rsidR="08163013" w:rsidRPr="00273106">
        <w:t xml:space="preserve">. </w:t>
      </w:r>
      <w:r w:rsidR="08163013" w:rsidRPr="00273106">
        <w:rPr>
          <w:rStyle w:val="addmd"/>
        </w:rPr>
        <w:t>Dante považuje spojení filosof</w:t>
      </w:r>
      <w:r w:rsidR="08163013">
        <w:rPr>
          <w:rStyle w:val="addmd"/>
        </w:rPr>
        <w:t xml:space="preserve">ie a politické praxe </w:t>
      </w:r>
      <w:r w:rsidR="08163013" w:rsidRPr="00273106">
        <w:rPr>
          <w:rStyle w:val="addmd"/>
        </w:rPr>
        <w:t>za základní architektonický princip politické filosofie.</w:t>
      </w:r>
      <w:r w:rsidR="08163013">
        <w:rPr>
          <w:rStyle w:val="addmd"/>
        </w:rPr>
        <w:t xml:space="preserve"> </w:t>
      </w:r>
      <w:r w:rsidR="08163013">
        <w:t xml:space="preserve">Pojem </w:t>
      </w:r>
      <w:r w:rsidR="005D5815">
        <w:t>„</w:t>
      </w:r>
      <w:r w:rsidR="08163013" w:rsidRPr="00273106">
        <w:rPr>
          <w:i/>
        </w:rPr>
        <w:t>universitas humana</w:t>
      </w:r>
      <w:r w:rsidR="005D5815">
        <w:t>“</w:t>
      </w:r>
      <w:r w:rsidR="08163013">
        <w:rPr>
          <w:i/>
        </w:rPr>
        <w:fldChar w:fldCharType="begin"/>
      </w:r>
      <w:r w:rsidR="08163013">
        <w:instrText xml:space="preserve"> XE "</w:instrText>
      </w:r>
      <w:r w:rsidR="08163013" w:rsidRPr="00A16633">
        <w:rPr>
          <w:i/>
        </w:rPr>
        <w:instrText>universitas humana</w:instrText>
      </w:r>
      <w:r w:rsidR="08163013">
        <w:instrText xml:space="preserve">" </w:instrText>
      </w:r>
      <w:r w:rsidR="08163013">
        <w:rPr>
          <w:i/>
        </w:rPr>
        <w:fldChar w:fldCharType="end"/>
      </w:r>
      <w:r w:rsidR="08163013" w:rsidRPr="00273106">
        <w:t xml:space="preserve"> inspirovaný </w:t>
      </w:r>
      <w:r w:rsidR="08163013">
        <w:t xml:space="preserve">Averroesem a </w:t>
      </w:r>
      <w:r w:rsidR="08163013" w:rsidRPr="00273106">
        <w:t>Sigerem z Brabantu uchopil celek lidstva skrze ipseitu nábožensky, filosoficky a polit</w:t>
      </w:r>
      <w:r w:rsidR="009A33E1">
        <w:t>icky jednající osoby (kap. 4</w:t>
      </w:r>
      <w:r w:rsidR="08163013">
        <w:t>.4.3</w:t>
      </w:r>
      <w:r w:rsidR="08163013" w:rsidRPr="00273106">
        <w:t>).</w:t>
      </w:r>
      <w:r w:rsidR="08163013">
        <w:t xml:space="preserve"> Nová definice lidské pospolitosti </w:t>
      </w:r>
      <w:r w:rsidR="00600469">
        <w:t xml:space="preserve">je </w:t>
      </w:r>
      <w:r w:rsidR="08163013">
        <w:t xml:space="preserve">odvozená z Averroesova pojetí možného intelektu v modu </w:t>
      </w:r>
      <w:r w:rsidR="08163013" w:rsidRPr="000100ED">
        <w:rPr>
          <w:i/>
        </w:rPr>
        <w:t xml:space="preserve">quartum </w:t>
      </w:r>
      <w:r w:rsidR="00962190">
        <w:rPr>
          <w:i/>
        </w:rPr>
        <w:t>genus</w:t>
      </w:r>
      <w:r w:rsidR="08163013">
        <w:rPr>
          <w:i/>
        </w:rPr>
        <w:fldChar w:fldCharType="begin"/>
      </w:r>
      <w:r w:rsidR="08163013">
        <w:instrText xml:space="preserve"> XE "</w:instrText>
      </w:r>
      <w:r w:rsidR="08163013" w:rsidRPr="00191848">
        <w:rPr>
          <w:i/>
        </w:rPr>
        <w:instrText>quartum genus</w:instrText>
      </w:r>
      <w:r w:rsidR="08163013">
        <w:instrText xml:space="preserve">" </w:instrText>
      </w:r>
      <w:r w:rsidR="08163013">
        <w:rPr>
          <w:i/>
        </w:rPr>
        <w:fldChar w:fldCharType="end"/>
      </w:r>
      <w:r w:rsidR="00600469">
        <w:t xml:space="preserve">. Dante </w:t>
      </w:r>
      <w:r w:rsidR="08163013" w:rsidRPr="00273106">
        <w:rPr>
          <w:rStyle w:val="addmd"/>
        </w:rPr>
        <w:t>spojuje obecně pojatou moudrost filosofie a politické jednání celku lidstva.</w:t>
      </w:r>
      <w:r w:rsidR="08163013">
        <w:rPr>
          <w:rStyle w:val="addmd"/>
        </w:rPr>
        <w:t xml:space="preserve"> </w:t>
      </w:r>
      <w:r w:rsidR="08163013" w:rsidRPr="00273106">
        <w:rPr>
          <w:rStyle w:val="addmd"/>
        </w:rPr>
        <w:t xml:space="preserve">Dante </w:t>
      </w:r>
      <w:r w:rsidR="08163013" w:rsidRPr="00273106">
        <w:t>dal lid</w:t>
      </w:r>
      <w:r w:rsidR="08163013">
        <w:t xml:space="preserve">ské </w:t>
      </w:r>
      <w:r w:rsidR="00CB6C2E">
        <w:t>„</w:t>
      </w:r>
      <w:r w:rsidR="08163013" w:rsidRPr="00273106">
        <w:rPr>
          <w:i/>
        </w:rPr>
        <w:t>universitas</w:t>
      </w:r>
      <w:r w:rsidR="00CB6C2E">
        <w:t>“</w:t>
      </w:r>
      <w:r w:rsidR="08163013">
        <w:rPr>
          <w:i/>
        </w:rPr>
        <w:fldChar w:fldCharType="begin"/>
      </w:r>
      <w:r w:rsidR="08163013">
        <w:instrText xml:space="preserve"> XE "</w:instrText>
      </w:r>
      <w:r w:rsidR="08163013" w:rsidRPr="00A34BCD">
        <w:rPr>
          <w:i/>
        </w:rPr>
        <w:instrText>universitas humana</w:instrText>
      </w:r>
      <w:r w:rsidR="08163013">
        <w:instrText xml:space="preserve">" </w:instrText>
      </w:r>
      <w:r w:rsidR="08163013">
        <w:rPr>
          <w:i/>
        </w:rPr>
        <w:fldChar w:fldCharType="end"/>
      </w:r>
      <w:r w:rsidR="08163013" w:rsidRPr="00273106">
        <w:t xml:space="preserve"> politický rozměr podle Aristotela, čímž navázal na Albertův komentář Aristotelovy </w:t>
      </w:r>
      <w:r w:rsidR="08163013" w:rsidRPr="08991985">
        <w:rPr>
          <w:i/>
        </w:rPr>
        <w:t>Politiky</w:t>
      </w:r>
      <w:r w:rsidR="08163013" w:rsidRPr="00273106">
        <w:t xml:space="preserve"> a na nedochované přednášky Sigera z Brabantu o aristotelském pojetí politiky.</w:t>
      </w:r>
      <w:r w:rsidR="08163013">
        <w:t xml:space="preserve"> </w:t>
      </w:r>
      <w:r w:rsidR="08163013">
        <w:rPr>
          <w:rStyle w:val="addmd"/>
        </w:rPr>
        <w:t xml:space="preserve">Dante převzal z prvního averroismu základní způsob, jak </w:t>
      </w:r>
      <w:r w:rsidR="08163013">
        <w:t>se stává spekulativní intelekt praktickým skrze extenzi do reality (</w:t>
      </w:r>
      <w:r w:rsidR="08163013" w:rsidRPr="00C73485">
        <w:rPr>
          <w:rStyle w:val="addmd"/>
          <w:i/>
        </w:rPr>
        <w:t>intellectus</w:t>
      </w:r>
      <w:r w:rsidR="08163013">
        <w:rPr>
          <w:rStyle w:val="addmd"/>
        </w:rPr>
        <w:t xml:space="preserve"> </w:t>
      </w:r>
      <w:r w:rsidR="08163013" w:rsidRPr="00273106">
        <w:rPr>
          <w:rStyle w:val="addmd"/>
          <w:i/>
        </w:rPr>
        <w:t>speculativus per extensionem fit practicus</w:t>
      </w:r>
      <w:r w:rsidR="08163013">
        <w:rPr>
          <w:rStyle w:val="addmd"/>
          <w:i/>
        </w:rPr>
        <w:t>)</w:t>
      </w:r>
      <w:r w:rsidR="08163013" w:rsidRPr="08991985">
        <w:rPr>
          <w:rStyle w:val="addmd"/>
        </w:rPr>
        <w:t>.</w:t>
      </w:r>
      <w:r w:rsidR="08163013" w:rsidRPr="00273106">
        <w:rPr>
          <w:rStyle w:val="Znakapoznpodarou"/>
        </w:rPr>
        <w:footnoteReference w:id="519"/>
      </w:r>
      <w:r w:rsidR="08163013" w:rsidRPr="00273106">
        <w:rPr>
          <w:rStyle w:val="addmd"/>
        </w:rPr>
        <w:t xml:space="preserve"> Spojení teoretického a praktického intelektu vytvoří na zemi </w:t>
      </w:r>
      <w:r w:rsidR="08163013" w:rsidRPr="00273106">
        <w:rPr>
          <w:rStyle w:val="addmd"/>
        </w:rPr>
        <w:lastRenderedPageBreak/>
        <w:t xml:space="preserve">nový celek humanistického vědění a politické praxe, jehož definitivní završení je na </w:t>
      </w:r>
      <w:r w:rsidR="08163013">
        <w:rPr>
          <w:rStyle w:val="addmd"/>
        </w:rPr>
        <w:t>věčnosti v bohu.</w:t>
      </w:r>
    </w:p>
    <w:p w:rsidR="08163013" w:rsidRDefault="08163013" w:rsidP="08163013">
      <w:pPr>
        <w:rPr>
          <w:rStyle w:val="addmd"/>
        </w:rPr>
      </w:pPr>
      <w:r>
        <w:rPr>
          <w:rStyle w:val="addmd"/>
        </w:rPr>
        <w:tab/>
        <w:t xml:space="preserve">Spor prvního a druhého averroismu dostal politický charakter díky zavedení západního humanismu a díky definici nového pojetí vlády dané na základě moudrých zákonů. </w:t>
      </w:r>
      <w:r w:rsidR="00427EA8" w:rsidRPr="00427EA8">
        <w:t>Citované buly Bonifáce VIII. otevřely spor o povahu politické moci, který se týkal teorie jediné pravdy převedené do politiky. Na druhé straně stála skupina aristoteliků, která hájila autonomii politiky v rámci prvního averroismu</w:t>
      </w:r>
      <w:r w:rsidR="00427EA8">
        <w:fldChar w:fldCharType="begin"/>
      </w:r>
      <w:r w:rsidR="00427EA8">
        <w:instrText xml:space="preserve"> XE "</w:instrText>
      </w:r>
      <w:r w:rsidR="00427EA8" w:rsidRPr="009425BC">
        <w:instrText>teorie dvojí pravdy</w:instrText>
      </w:r>
      <w:r w:rsidR="00427EA8">
        <w:instrText xml:space="preserve">" </w:instrText>
      </w:r>
      <w:r w:rsidR="00427EA8">
        <w:fldChar w:fldCharType="end"/>
      </w:r>
      <w:r w:rsidR="00427EA8" w:rsidRPr="00427EA8">
        <w:t xml:space="preserve">. </w:t>
      </w:r>
      <w:r>
        <w:t xml:space="preserve">Tento spor mezi oběma školami o povahu politické racionality </w:t>
      </w:r>
      <w:r w:rsidRPr="00273106">
        <w:t xml:space="preserve">nazveme </w:t>
      </w:r>
      <w:r>
        <w:t xml:space="preserve">sporem o </w:t>
      </w:r>
      <w:r w:rsidR="00427EA8">
        <w:t>„</w:t>
      </w:r>
      <w:r>
        <w:t>politický averroismus</w:t>
      </w:r>
      <w:r w:rsidR="00427EA8">
        <w:t>“</w:t>
      </w:r>
      <w:r w:rsidRPr="00273106">
        <w:t>. Papežská moc se stala v </w:t>
      </w:r>
      <w:r>
        <w:t>neoplatonsk</w:t>
      </w:r>
      <w:r w:rsidRPr="00273106">
        <w:t>ém scénáři polit</w:t>
      </w:r>
      <w:r>
        <w:t xml:space="preserve">iky založené na ontoteologické </w:t>
      </w:r>
      <w:r w:rsidRPr="00273106">
        <w:rPr>
          <w:i/>
        </w:rPr>
        <w:t>unanimitas</w:t>
      </w:r>
      <w:r w:rsidRPr="00273106">
        <w:t xml:space="preserve"> novým jsoucnem třetího druhu. </w:t>
      </w:r>
      <w:r w:rsidR="0052136D">
        <w:t>Falešný u</w:t>
      </w:r>
      <w:r w:rsidRPr="00273106">
        <w:t xml:space="preserve">nitární charakter </w:t>
      </w:r>
      <w:r w:rsidR="00260BEE">
        <w:t xml:space="preserve">tohoto </w:t>
      </w:r>
      <w:r w:rsidRPr="00273106">
        <w:t xml:space="preserve">nábožensko-politického hybridu </w:t>
      </w:r>
      <w:r>
        <w:t xml:space="preserve">vytvořeného bulou </w:t>
      </w:r>
      <w:r>
        <w:rPr>
          <w:i/>
        </w:rPr>
        <w:t>Unam Sanctam</w:t>
      </w:r>
      <w:r>
        <w:t xml:space="preserve"> </w:t>
      </w:r>
      <w:r w:rsidRPr="00273106">
        <w:t xml:space="preserve">kritizovali </w:t>
      </w:r>
      <w:r>
        <w:t xml:space="preserve">mnozí </w:t>
      </w:r>
      <w:r w:rsidRPr="00273106">
        <w:t>filosofové prvního averroismu</w:t>
      </w:r>
      <w:r w:rsidR="0052136D">
        <w:t>. Viz argumenty Jana z Paříže</w:t>
      </w:r>
      <w:r w:rsidR="0052136D">
        <w:fldChar w:fldCharType="begin"/>
      </w:r>
      <w:r w:rsidR="0052136D">
        <w:instrText xml:space="preserve"> XE "</w:instrText>
      </w:r>
      <w:r w:rsidR="0052136D" w:rsidRPr="00C77D2E">
        <w:instrText>Johannes Quidort</w:instrText>
      </w:r>
      <w:r w:rsidR="0052136D">
        <w:instrText xml:space="preserve">" </w:instrText>
      </w:r>
      <w:r w:rsidR="0052136D">
        <w:fldChar w:fldCharType="end"/>
      </w:r>
      <w:r w:rsidR="0052136D">
        <w:t xml:space="preserve"> rozebrané </w:t>
      </w:r>
      <w:r w:rsidR="0052136D" w:rsidRPr="0052136D">
        <w:t xml:space="preserve">v následující kapitole. </w:t>
      </w:r>
      <w:r w:rsidR="0052136D">
        <w:t>K</w:t>
      </w:r>
      <w:r>
        <w:t xml:space="preserve"> těmto kritikům se </w:t>
      </w:r>
      <w:r w:rsidRPr="00273106">
        <w:t>připojili i znalci filosofie a práva z církevních kruhů. Opat Engelbert</w:t>
      </w:r>
      <w:r>
        <w:fldChar w:fldCharType="begin"/>
      </w:r>
      <w:r>
        <w:instrText xml:space="preserve"> XE "</w:instrText>
      </w:r>
      <w:r w:rsidRPr="08A62AE6">
        <w:rPr>
          <w:rFonts w:eastAsia="Arial"/>
        </w:rPr>
        <w:instrText>Engelbertus Admontensis</w:instrText>
      </w:r>
      <w:r>
        <w:instrText xml:space="preserve">" </w:instrText>
      </w:r>
      <w:r>
        <w:fldChar w:fldCharType="end"/>
      </w:r>
      <w:r w:rsidRPr="00273106">
        <w:t xml:space="preserve"> žil v benediktinském klášteře v Admontu (Rakousko) a napsal spis </w:t>
      </w:r>
      <w:r w:rsidRPr="00273106">
        <w:rPr>
          <w:i/>
        </w:rPr>
        <w:t>De ortu et fine Romani imperii</w:t>
      </w:r>
      <w:r w:rsidRPr="00273106">
        <w:t xml:space="preserve"> (asi 1310).</w:t>
      </w:r>
      <w:r w:rsidRPr="00273106">
        <w:rPr>
          <w:rStyle w:val="Znakapoznpodarou"/>
        </w:rPr>
        <w:footnoteReference w:id="520"/>
      </w:r>
      <w:r w:rsidRPr="00273106">
        <w:t xml:space="preserve"> Dílo ukazuje vliv Aristotelovy </w:t>
      </w:r>
      <w:r w:rsidRPr="08C3323F">
        <w:rPr>
          <w:i/>
        </w:rPr>
        <w:t>Etiky</w:t>
      </w:r>
      <w:r>
        <w:t xml:space="preserve"> a </w:t>
      </w:r>
      <w:r w:rsidRPr="086E4A38">
        <w:rPr>
          <w:i/>
        </w:rPr>
        <w:t>Politiky</w:t>
      </w:r>
      <w:r w:rsidRPr="00273106">
        <w:t xml:space="preserve"> v kruzích tehdejších církevních vzdělanců. Zdroj moci leží v morální kvalitě vládce (</w:t>
      </w:r>
      <w:r w:rsidRPr="00273106">
        <w:rPr>
          <w:i/>
        </w:rPr>
        <w:t>per electionem virtutis et probitatis promovebatur in reges</w:t>
      </w:r>
      <w:r w:rsidRPr="00273106">
        <w:t>, p. 20‒21</w:t>
      </w:r>
      <w:r>
        <w:fldChar w:fldCharType="begin"/>
      </w:r>
      <w:r>
        <w:instrText xml:space="preserve"> XE "</w:instrText>
      </w:r>
      <w:r w:rsidRPr="00845709">
        <w:instrText>Engelbertus:</w:instrText>
      </w:r>
      <w:r w:rsidRPr="00A6023D">
        <w:rPr>
          <w:i/>
        </w:rPr>
        <w:instrText>De ortu et fine Romani imperii liber</w:instrText>
      </w:r>
      <w:r w:rsidRPr="00845709">
        <w:instrText xml:space="preserve"> 20‒21</w:instrText>
      </w:r>
      <w:r>
        <w:instrText xml:space="preserve">" </w:instrText>
      </w:r>
      <w:r>
        <w:fldChar w:fldCharType="end"/>
      </w:r>
      <w:r w:rsidRPr="00273106">
        <w:t>) a navíc je zvolen svobodným rozhodnutím lidu (</w:t>
      </w:r>
      <w:r w:rsidRPr="00273106">
        <w:rPr>
          <w:i/>
        </w:rPr>
        <w:t>ex populorum libertate</w:t>
      </w:r>
      <w:r w:rsidRPr="00273106">
        <w:t>, p. 22</w:t>
      </w:r>
      <w:r>
        <w:fldChar w:fldCharType="begin"/>
      </w:r>
      <w:r>
        <w:instrText xml:space="preserve"> XE "</w:instrText>
      </w:r>
      <w:r w:rsidRPr="00845709">
        <w:instrText>Engelbertus:</w:instrText>
      </w:r>
      <w:r w:rsidRPr="00A6023D">
        <w:rPr>
          <w:i/>
        </w:rPr>
        <w:instrText>De ortu et fine Romani imperii liber</w:instrText>
      </w:r>
      <w:r>
        <w:instrText xml:space="preserve"> 22" </w:instrText>
      </w:r>
      <w:r>
        <w:fldChar w:fldCharType="end"/>
      </w:r>
      <w:r w:rsidRPr="00273106">
        <w:t xml:space="preserve">). Opat Engelbert navazuje na linii suverenity lidu podle </w:t>
      </w:r>
      <w:r>
        <w:t xml:space="preserve">dále uvedeného Albertova výkladu </w:t>
      </w:r>
      <w:r w:rsidRPr="00273106">
        <w:rPr>
          <w:i/>
        </w:rPr>
        <w:t>regnabile</w:t>
      </w:r>
      <w:r>
        <w:fldChar w:fldCharType="begin"/>
      </w:r>
      <w:r>
        <w:instrText xml:space="preserve"> XE "politická věda:</w:instrText>
      </w:r>
      <w:r w:rsidRPr="00655690">
        <w:rPr>
          <w:i/>
        </w:rPr>
        <w:instrText>regnabile</w:instrText>
      </w:r>
      <w:r>
        <w:instrText xml:space="preserve">" </w:instrText>
      </w:r>
      <w:r>
        <w:fldChar w:fldCharType="end"/>
      </w:r>
      <w:r w:rsidRPr="00273106">
        <w:t xml:space="preserve">, čímž se liší od Akvinského. Celá inspirace zdroje politické moci ve shromáždění sobě rovných, svobodných a ctnostných občanů je vzata z Aristotelovy </w:t>
      </w:r>
      <w:r w:rsidRPr="086E4A38">
        <w:rPr>
          <w:i/>
        </w:rPr>
        <w:t>Politiky</w:t>
      </w:r>
      <w:r w:rsidRPr="00273106">
        <w:t xml:space="preserve"> a z </w:t>
      </w:r>
      <w:r w:rsidRPr="086E4A38">
        <w:rPr>
          <w:i/>
        </w:rPr>
        <w:t>Etiky Nikomachovy</w:t>
      </w:r>
      <w:r w:rsidRPr="00273106">
        <w:t>. Filosoficky erudovaní právníci dobře znali Aristotelov</w:t>
      </w:r>
      <w:r>
        <w:t xml:space="preserve">u politickou filosofii ohledně </w:t>
      </w:r>
      <w:r w:rsidRPr="00273106">
        <w:rPr>
          <w:i/>
        </w:rPr>
        <w:t>animal sociale et politicum</w:t>
      </w:r>
      <w:r w:rsidRPr="00273106">
        <w:t xml:space="preserve"> a správně vyložili smysl jeho etických a politických spisů v souladu s vládou lidu podle </w:t>
      </w:r>
      <w:r w:rsidRPr="00273106">
        <w:rPr>
          <w:lang w:eastAsia="en-US"/>
        </w:rPr>
        <w:t>suverenity nejlepších občanů obce (</w:t>
      </w:r>
      <w:r w:rsidRPr="00273106">
        <w:rPr>
          <w:i/>
          <w:lang w:eastAsia="en-US"/>
        </w:rPr>
        <w:t>plenitudo potestatis</w:t>
      </w:r>
      <w:r w:rsidRPr="00273106">
        <w:rPr>
          <w:lang w:eastAsia="en-US"/>
        </w:rPr>
        <w:t xml:space="preserve">). K těmto znalcům Aristotela se </w:t>
      </w:r>
      <w:r w:rsidRPr="00273106">
        <w:t>připojili i někteří profesionální právníci papežské kurie (</w:t>
      </w:r>
      <w:r w:rsidRPr="00273106">
        <w:rPr>
          <w:i/>
        </w:rPr>
        <w:t>decretalistae</w:t>
      </w:r>
      <w:r>
        <w:rPr>
          <w:i/>
        </w:rPr>
        <w:fldChar w:fldCharType="begin"/>
      </w:r>
      <w:r>
        <w:instrText xml:space="preserve"> XE "D</w:instrText>
      </w:r>
      <w:r w:rsidRPr="00655690">
        <w:instrText>e</w:instrText>
      </w:r>
      <w:r>
        <w:instrText xml:space="preserve">kretalisté" </w:instrText>
      </w:r>
      <w:r>
        <w:rPr>
          <w:i/>
        </w:rPr>
        <w:fldChar w:fldCharType="end"/>
      </w:r>
      <w:r w:rsidRPr="00273106">
        <w:t>). Oldradus de Ponte</w:t>
      </w:r>
      <w:r>
        <w:fldChar w:fldCharType="begin"/>
      </w:r>
      <w:r>
        <w:instrText xml:space="preserve"> XE "</w:instrText>
      </w:r>
      <w:r w:rsidRPr="00CE4C8A">
        <w:instrText>Oldradus de Ponte</w:instrText>
      </w:r>
      <w:r>
        <w:instrText xml:space="preserve">" </w:instrText>
      </w:r>
      <w:r>
        <w:fldChar w:fldCharType="end"/>
      </w:r>
      <w:r w:rsidRPr="00273106">
        <w:t xml:space="preserve"> pracoval na papežské kurii v Římě od 1310 až do své smrti kolem 1337. Jeho filosofický komentář k zákonům (</w:t>
      </w:r>
      <w:r w:rsidRPr="00273106">
        <w:rPr>
          <w:i/>
        </w:rPr>
        <w:t>Consilia</w:t>
      </w:r>
      <w:r w:rsidRPr="00273106">
        <w:t xml:space="preserve">, asi 1321) ukazuje aristotelskou argumentaci </w:t>
      </w:r>
      <w:r w:rsidRPr="00273106">
        <w:lastRenderedPageBreak/>
        <w:t>ohledně původu a způsoby vlády.</w:t>
      </w:r>
      <w:r w:rsidRPr="00273106">
        <w:rPr>
          <w:rStyle w:val="Znakapoznpodarou"/>
        </w:rPr>
        <w:footnoteReference w:id="521"/>
      </w:r>
      <w:r w:rsidRPr="00273106">
        <w:t xml:space="preserve"> Kapitola 69 řeší otázku, zda světští panovníci mají být poddaní papeže. Oldradus v této kapitole nezmiňuje argumentaci buly </w:t>
      </w:r>
      <w:r>
        <w:rPr>
          <w:i/>
        </w:rPr>
        <w:t>Unam Sanctam</w:t>
      </w:r>
      <w:r w:rsidRPr="00273106">
        <w:t xml:space="preserve"> a jeho argumentace ohledně původu politické moci tomu</w:t>
      </w:r>
      <w:r w:rsidR="006C3C48">
        <w:t xml:space="preserve">to mlčení plně </w:t>
      </w:r>
      <w:r w:rsidRPr="00273106">
        <w:t>odpovídá. Oldr</w:t>
      </w:r>
      <w:r>
        <w:t xml:space="preserve">adus brání aristotelské pojetí </w:t>
      </w:r>
      <w:r w:rsidRPr="00273106">
        <w:rPr>
          <w:i/>
        </w:rPr>
        <w:t>ius naturale</w:t>
      </w:r>
      <w:r w:rsidRPr="00273106">
        <w:t xml:space="preserve"> podle prvního averroismu. Platnost přirozeného práva je dána čistě racionálně a zahrnuje všechny lidské bytosti a jejich sociální instituce, včetně manželství a rodiny. Francouzský král má vlastní suverenitu již po staletí, a proto nemá nad sebou žádného jiného monarchu (</w:t>
      </w:r>
      <w:r w:rsidRPr="00273106">
        <w:rPr>
          <w:i/>
        </w:rPr>
        <w:t>rex francie de facto non recognoscit superiorem</w:t>
      </w:r>
      <w:r>
        <w:t xml:space="preserve">; </w:t>
      </w:r>
      <w:r w:rsidRPr="083B70A8">
        <w:rPr>
          <w:i/>
        </w:rPr>
        <w:t>Concilia</w:t>
      </w:r>
      <w:r>
        <w:t xml:space="preserve">, p. </w:t>
      </w:r>
      <w:r w:rsidRPr="00273106">
        <w:t>101a</w:t>
      </w:r>
      <w:r>
        <w:fldChar w:fldCharType="begin"/>
      </w:r>
      <w:r>
        <w:instrText xml:space="preserve"> XE "</w:instrText>
      </w:r>
      <w:r w:rsidRPr="00CE4C8A">
        <w:instrText>Oldradus de Ponte</w:instrText>
      </w:r>
      <w:r>
        <w:instrText>:</w:instrText>
      </w:r>
      <w:r w:rsidRPr="00A6023D">
        <w:rPr>
          <w:i/>
        </w:rPr>
        <w:instrText>Consilia</w:instrText>
      </w:r>
      <w:r>
        <w:rPr>
          <w:i/>
        </w:rPr>
        <w:instrText xml:space="preserve"> </w:instrText>
      </w:r>
      <w:r w:rsidRPr="00A6023D">
        <w:instrText>101a</w:instrText>
      </w:r>
      <w:r>
        <w:instrText xml:space="preserve">" </w:instrText>
      </w:r>
      <w:r>
        <w:fldChar w:fldCharType="end"/>
      </w:r>
      <w:r w:rsidRPr="00273106">
        <w:t>). Navíc žádný papežský primát</w:t>
      </w:r>
      <w:r>
        <w:fldChar w:fldCharType="begin"/>
      </w:r>
      <w:r>
        <w:instrText xml:space="preserve"> XE "</w:instrText>
      </w:r>
      <w:r w:rsidRPr="00203639">
        <w:instrText>papežský primát</w:instrText>
      </w:r>
      <w:r>
        <w:instrText xml:space="preserve">" </w:instrText>
      </w:r>
      <w:r>
        <w:fldChar w:fldCharType="end"/>
      </w:r>
      <w:r w:rsidRPr="00273106">
        <w:t xml:space="preserve"> nemohl existovat před érou Nového zákona. Vládcové před Kristem </w:t>
      </w:r>
      <w:r>
        <w:t>reprezentovali živý zákoník</w:t>
      </w:r>
      <w:r w:rsidRPr="00273106">
        <w:t xml:space="preserve"> (</w:t>
      </w:r>
      <w:r w:rsidRPr="00273106">
        <w:rPr>
          <w:i/>
        </w:rPr>
        <w:t>lex animata</w:t>
      </w:r>
      <w:r w:rsidRPr="00273106">
        <w:t>) pro svůj lid. Jejich moc pocházela přímo od boha, protože měli za úkol dát lidem mravnější zákon (</w:t>
      </w:r>
      <w:r w:rsidRPr="00273106">
        <w:rPr>
          <w:i/>
        </w:rPr>
        <w:t>deus de celo imperium constituit ut difficilius legem imponat et generi humano distribuat</w:t>
      </w:r>
      <w:r>
        <w:t>;</w:t>
      </w:r>
      <w:r w:rsidRPr="00273106">
        <w:t xml:space="preserve"> ibid, </w:t>
      </w:r>
      <w:r>
        <w:t xml:space="preserve">p. </w:t>
      </w:r>
      <w:r w:rsidRPr="00273106">
        <w:t>101a</w:t>
      </w:r>
      <w:r>
        <w:fldChar w:fldCharType="begin"/>
      </w:r>
      <w:r>
        <w:instrText xml:space="preserve"> XE "</w:instrText>
      </w:r>
      <w:r w:rsidRPr="00CE4C8A">
        <w:instrText>Oldradus de Ponte</w:instrText>
      </w:r>
      <w:r>
        <w:instrText>:</w:instrText>
      </w:r>
      <w:r w:rsidRPr="00A6023D">
        <w:rPr>
          <w:i/>
        </w:rPr>
        <w:instrText>Consilia</w:instrText>
      </w:r>
      <w:r>
        <w:rPr>
          <w:i/>
        </w:rPr>
        <w:instrText xml:space="preserve"> </w:instrText>
      </w:r>
      <w:r w:rsidRPr="00A6023D">
        <w:instrText>101a</w:instrText>
      </w:r>
      <w:r>
        <w:instrText xml:space="preserve">" </w:instrText>
      </w:r>
      <w:r>
        <w:fldChar w:fldCharType="end"/>
      </w:r>
      <w:r w:rsidRPr="00273106">
        <w:t>). Monarchická vláda je tedy dána přirozeně, v souladu s přirozeným právem a královská moc je odvozena přímo od boha. Na rozdíl od Alberta a Danteho tento přemýšlivý právník tvrdí, že monarchie nemůže být produktem přirozeného práva, protože tato forma vlády je daná historicky a tudíž velmi omezeně (</w:t>
      </w:r>
      <w:r w:rsidRPr="00273106">
        <w:rPr>
          <w:i/>
        </w:rPr>
        <w:t>de iure naturali nec fuit regna nec imperium</w:t>
      </w:r>
      <w:r>
        <w:t>;</w:t>
      </w:r>
      <w:r w:rsidRPr="00273106">
        <w:t xml:space="preserve"> ibid, </w:t>
      </w:r>
      <w:r>
        <w:t>p. 1</w:t>
      </w:r>
      <w:r w:rsidRPr="00273106">
        <w:t>02b</w:t>
      </w:r>
      <w:r>
        <w:fldChar w:fldCharType="begin"/>
      </w:r>
      <w:r>
        <w:instrText xml:space="preserve"> XE "</w:instrText>
      </w:r>
      <w:r w:rsidRPr="00CE4C8A">
        <w:instrText>Oldradus de Ponte</w:instrText>
      </w:r>
      <w:r>
        <w:instrText>:</w:instrText>
      </w:r>
      <w:r w:rsidRPr="00A6023D">
        <w:rPr>
          <w:i/>
        </w:rPr>
        <w:instrText>Consilia</w:instrText>
      </w:r>
      <w:r>
        <w:rPr>
          <w:i/>
        </w:rPr>
        <w:instrText xml:space="preserve"> </w:instrText>
      </w:r>
      <w:r w:rsidRPr="00A6023D">
        <w:instrText>101</w:instrText>
      </w:r>
      <w:r>
        <w:instrText xml:space="preserve">b" </w:instrText>
      </w:r>
      <w:r>
        <w:fldChar w:fldCharType="end"/>
      </w:r>
      <w:r w:rsidRPr="00273106">
        <w:t xml:space="preserve">). Oba příklady ukazují, že spis </w:t>
      </w:r>
      <w:r w:rsidRPr="08370BB0">
        <w:rPr>
          <w:i/>
        </w:rPr>
        <w:t>Politika</w:t>
      </w:r>
      <w:r w:rsidRPr="00273106">
        <w:t xml:space="preserve"> byl interpetovaný podle aristotelské intence v různých prostředích, nejen uvnitř filosofické školy autentických aristoteliků z proudu prvního averroismu, jako byli Albert, Siger a Dante. </w:t>
      </w:r>
      <w:r>
        <w:t xml:space="preserve">Myšlenky </w:t>
      </w:r>
      <w:r w:rsidRPr="00273106">
        <w:t>těchto osvícených dekretalistů a právníků radikalizuje Marsilius z Padovy</w:t>
      </w:r>
      <w:r>
        <w:fldChar w:fldCharType="begin"/>
      </w:r>
      <w:r>
        <w:instrText xml:space="preserve"> XE "</w:instrText>
      </w:r>
      <w:r w:rsidRPr="001B1917">
        <w:instrText>Marsilius z Padovy</w:instrText>
      </w:r>
      <w:r>
        <w:instrText xml:space="preserve">" </w:instrText>
      </w:r>
      <w:r>
        <w:fldChar w:fldCharType="end"/>
      </w:r>
      <w:r w:rsidRPr="00273106">
        <w:t xml:space="preserve"> ve spise </w:t>
      </w:r>
      <w:r w:rsidRPr="00273106">
        <w:rPr>
          <w:i/>
          <w:iCs/>
        </w:rPr>
        <w:t>Defensor pacis</w:t>
      </w:r>
      <w:r w:rsidRPr="00273106">
        <w:rPr>
          <w:iCs/>
        </w:rPr>
        <w:t xml:space="preserve"> (1324</w:t>
      </w:r>
      <w:r w:rsidRPr="00273106">
        <w:t>) do extrémní podoby konciliarismu</w:t>
      </w:r>
      <w:r>
        <w:t xml:space="preserve">. </w:t>
      </w:r>
      <w:r w:rsidRPr="00273106">
        <w:rPr>
          <w:rStyle w:val="addmd"/>
        </w:rPr>
        <w:t xml:space="preserve">Ockhamovy politické komentáře </w:t>
      </w:r>
      <w:r w:rsidR="005C4CF1">
        <w:rPr>
          <w:rStyle w:val="addmd"/>
        </w:rPr>
        <w:t xml:space="preserve">reagovaly </w:t>
      </w:r>
      <w:r>
        <w:rPr>
          <w:rStyle w:val="addmd"/>
        </w:rPr>
        <w:t xml:space="preserve">v závěru jeho života i na </w:t>
      </w:r>
      <w:r w:rsidRPr="00273106">
        <w:rPr>
          <w:rStyle w:val="addmd"/>
        </w:rPr>
        <w:t>dílo Marsilia z</w:t>
      </w:r>
      <w:r w:rsidR="005C4CF1">
        <w:rPr>
          <w:rStyle w:val="addmd"/>
        </w:rPr>
        <w:t> </w:t>
      </w:r>
      <w:r w:rsidRPr="00273106">
        <w:rPr>
          <w:rStyle w:val="addmd"/>
        </w:rPr>
        <w:t>Padovy</w:t>
      </w:r>
      <w:r w:rsidR="005C4CF1">
        <w:rPr>
          <w:rStyle w:val="addmd"/>
        </w:rPr>
        <w:t xml:space="preserve">. Ockham </w:t>
      </w:r>
      <w:r w:rsidRPr="00273106">
        <w:rPr>
          <w:rStyle w:val="addmd"/>
        </w:rPr>
        <w:t xml:space="preserve">završil </w:t>
      </w:r>
      <w:r w:rsidR="005C4CF1">
        <w:rPr>
          <w:rStyle w:val="addmd"/>
        </w:rPr>
        <w:t xml:space="preserve">obranu </w:t>
      </w:r>
      <w:r w:rsidRPr="00273106">
        <w:rPr>
          <w:rStyle w:val="addmd"/>
        </w:rPr>
        <w:t xml:space="preserve">autonomní politické moci, který začal první averroismus </w:t>
      </w:r>
      <w:r w:rsidR="005C4CF1">
        <w:rPr>
          <w:rStyle w:val="addmd"/>
        </w:rPr>
        <w:t xml:space="preserve">skrze </w:t>
      </w:r>
      <w:r w:rsidRPr="00273106">
        <w:rPr>
          <w:rStyle w:val="addmd"/>
        </w:rPr>
        <w:t>komentář</w:t>
      </w:r>
      <w:r w:rsidR="005C4CF1">
        <w:rPr>
          <w:rStyle w:val="addmd"/>
        </w:rPr>
        <w:t>e</w:t>
      </w:r>
      <w:r w:rsidRPr="00273106">
        <w:rPr>
          <w:rStyle w:val="addmd"/>
        </w:rPr>
        <w:t xml:space="preserve"> </w:t>
      </w:r>
      <w:r w:rsidRPr="08370BB0">
        <w:rPr>
          <w:rStyle w:val="addmd"/>
          <w:i/>
        </w:rPr>
        <w:t>Etiky Nikomachovy</w:t>
      </w:r>
      <w:r>
        <w:rPr>
          <w:rStyle w:val="addmd"/>
        </w:rPr>
        <w:t xml:space="preserve"> </w:t>
      </w:r>
      <w:r w:rsidRPr="00273106">
        <w:rPr>
          <w:rStyle w:val="addmd"/>
        </w:rPr>
        <w:t xml:space="preserve">a </w:t>
      </w:r>
      <w:r>
        <w:rPr>
          <w:rStyle w:val="addmd"/>
          <w:i/>
        </w:rPr>
        <w:t>De anima</w:t>
      </w:r>
      <w:r>
        <w:rPr>
          <w:rStyle w:val="addmd"/>
        </w:rPr>
        <w:t xml:space="preserve"> kolem 1240.</w:t>
      </w:r>
    </w:p>
    <w:p w:rsidR="08163013" w:rsidRPr="00273106" w:rsidRDefault="0830339D" w:rsidP="08163013">
      <w:pPr>
        <w:pStyle w:val="Nadpis2"/>
      </w:pPr>
      <w:bookmarkStart w:id="108" w:name="_Toc36144172"/>
      <w:r>
        <w:rPr>
          <w:lang w:val="cs-CZ"/>
        </w:rPr>
        <w:br w:type="page"/>
      </w:r>
      <w:bookmarkStart w:id="109" w:name="_Toc180231685"/>
      <w:r w:rsidR="08163013">
        <w:rPr>
          <w:lang w:val="cs-CZ"/>
        </w:rPr>
        <w:lastRenderedPageBreak/>
        <w:t>6</w:t>
      </w:r>
      <w:r w:rsidR="08163013" w:rsidRPr="00273106">
        <w:t xml:space="preserve">.1 </w:t>
      </w:r>
      <w:r w:rsidR="08163013">
        <w:t xml:space="preserve">Dvojí </w:t>
      </w:r>
      <w:r w:rsidR="08163013" w:rsidRPr="00273106">
        <w:t xml:space="preserve">výklad </w:t>
      </w:r>
      <w:r w:rsidR="08163013" w:rsidRPr="08AC6EFE">
        <w:rPr>
          <w:i/>
        </w:rPr>
        <w:t>Etiky Nikomachovy</w:t>
      </w:r>
      <w:bookmarkEnd w:id="108"/>
      <w:bookmarkEnd w:id="109"/>
      <w:r w:rsidR="08163013" w:rsidRPr="00273106">
        <w:t xml:space="preserve"> </w:t>
      </w:r>
    </w:p>
    <w:p w:rsidR="08163013" w:rsidRDefault="08163013" w:rsidP="08163013">
      <w:r>
        <w:rPr>
          <w:rStyle w:val="addmd"/>
        </w:rPr>
        <w:t>S</w:t>
      </w:r>
      <w:r>
        <w:t>por o praktický intelekt</w:t>
      </w:r>
      <w:r w:rsidRPr="00273106">
        <w:t xml:space="preserve"> </w:t>
      </w:r>
      <w:r>
        <w:t xml:space="preserve">obsahuje </w:t>
      </w:r>
      <w:r w:rsidRPr="00273106">
        <w:t xml:space="preserve">podstatu sporu </w:t>
      </w:r>
      <w:r>
        <w:t>mezi prvním a druhým averroismem ohledně určení politické racionality. Význam věty „spekulativní intelekt se</w:t>
      </w:r>
      <w:r w:rsidR="00E2641D">
        <w:t xml:space="preserve"> stává praktickým skrze extenzi</w:t>
      </w:r>
      <w:r>
        <w:t>“ (</w:t>
      </w:r>
      <w:r w:rsidRPr="00A44457">
        <w:rPr>
          <w:i/>
        </w:rPr>
        <w:t>intellectus</w:t>
      </w:r>
      <w:r>
        <w:t xml:space="preserve"> </w:t>
      </w:r>
      <w:r w:rsidRPr="00273106">
        <w:rPr>
          <w:rStyle w:val="addmd"/>
          <w:i/>
        </w:rPr>
        <w:t>speculativus per extensionem fit practicus</w:t>
      </w:r>
      <w:r>
        <w:rPr>
          <w:rStyle w:val="addmd"/>
        </w:rPr>
        <w:t>)</w:t>
      </w:r>
      <w:r w:rsidRPr="00A44457">
        <w:rPr>
          <w:rStyle w:val="addmd"/>
        </w:rPr>
        <w:t xml:space="preserve"> </w:t>
      </w:r>
      <w:r>
        <w:rPr>
          <w:rStyle w:val="addmd"/>
        </w:rPr>
        <w:t xml:space="preserve">představuje pro ustavení autonomní etiky a politiky stejné epochální </w:t>
      </w:r>
      <w:r w:rsidRPr="00A44457">
        <w:rPr>
          <w:rStyle w:val="addmd"/>
          <w:i/>
        </w:rPr>
        <w:t>Lichtung</w:t>
      </w:r>
      <w:r>
        <w:rPr>
          <w:rStyle w:val="addmd"/>
          <w:i/>
        </w:rPr>
        <w:fldChar w:fldCharType="begin"/>
      </w:r>
      <w:r>
        <w:instrText xml:space="preserve"> XE "</w:instrText>
      </w:r>
      <w:r w:rsidRPr="00295A22">
        <w:rPr>
          <w:rStyle w:val="addmd"/>
          <w:i/>
        </w:rPr>
        <w:instrText>Lichtung:</w:instrText>
      </w:r>
      <w:r>
        <w:rPr>
          <w:rStyle w:val="addmd"/>
          <w:i/>
        </w:rPr>
        <w:instrText xml:space="preserve">intellectus </w:instrText>
      </w:r>
      <w:r w:rsidRPr="00295A22">
        <w:rPr>
          <w:rStyle w:val="addmd"/>
          <w:i/>
        </w:rPr>
        <w:instrText>p</w:instrText>
      </w:r>
      <w:r>
        <w:rPr>
          <w:rStyle w:val="addmd"/>
          <w:i/>
        </w:rPr>
        <w:instrText>racticus</w:instrText>
      </w:r>
      <w:r>
        <w:instrText xml:space="preserve">" </w:instrText>
      </w:r>
      <w:r>
        <w:rPr>
          <w:rStyle w:val="addmd"/>
          <w:i/>
        </w:rPr>
        <w:fldChar w:fldCharType="end"/>
      </w:r>
      <w:r>
        <w:rPr>
          <w:rStyle w:val="addmd"/>
        </w:rPr>
        <w:t xml:space="preserve"> </w:t>
      </w:r>
      <w:r w:rsidR="003A4FAF">
        <w:rPr>
          <w:rStyle w:val="addmd"/>
        </w:rPr>
        <w:t xml:space="preserve">jako představoval </w:t>
      </w:r>
      <w:r w:rsidRPr="00A44457">
        <w:rPr>
          <w:rStyle w:val="addmd"/>
          <w:i/>
        </w:rPr>
        <w:t>intellectus possib</w:t>
      </w:r>
      <w:r>
        <w:rPr>
          <w:rStyle w:val="addmd"/>
          <w:i/>
        </w:rPr>
        <w:t>i</w:t>
      </w:r>
      <w:r w:rsidRPr="00A44457">
        <w:rPr>
          <w:rStyle w:val="addmd"/>
          <w:i/>
        </w:rPr>
        <w:t>lis</w:t>
      </w:r>
      <w:r>
        <w:rPr>
          <w:rStyle w:val="addmd"/>
        </w:rPr>
        <w:t xml:space="preserve"> pro ustavení západní jednoty osoby a metafyziky. Ve sporu o st</w:t>
      </w:r>
      <w:r w:rsidR="0038540B">
        <w:rPr>
          <w:rStyle w:val="addmd"/>
        </w:rPr>
        <w:t>atut praktického intelektu hrál</w:t>
      </w:r>
      <w:r>
        <w:rPr>
          <w:rStyle w:val="addmd"/>
        </w:rPr>
        <w:t xml:space="preserve"> klíčovou roli výklad CMDA, tentokrát aplikovaný na Aristotelovy etické a politické spisy. Diferenci </w:t>
      </w:r>
      <w:r>
        <w:t xml:space="preserve">mezi prvním a druhým averroismem ohledně </w:t>
      </w:r>
      <w:r w:rsidRPr="00E62DBE">
        <w:rPr>
          <w:i/>
        </w:rPr>
        <w:t>intellectus practicus</w:t>
      </w:r>
      <w:r>
        <w:rPr>
          <w:i/>
        </w:rPr>
        <w:fldChar w:fldCharType="begin"/>
      </w:r>
      <w:r>
        <w:instrText xml:space="preserve"> XE "</w:instrText>
      </w:r>
      <w:r w:rsidRPr="001A1255">
        <w:rPr>
          <w:i/>
        </w:rPr>
        <w:instrText>intellectus practicus</w:instrText>
      </w:r>
      <w:r>
        <w:instrText xml:space="preserve">" </w:instrText>
      </w:r>
      <w:r>
        <w:rPr>
          <w:i/>
        </w:rPr>
        <w:fldChar w:fldCharType="end"/>
      </w:r>
      <w:r>
        <w:t xml:space="preserve"> lze shrnout do následujícího dilematu. </w:t>
      </w:r>
      <w:r w:rsidR="007B4D35" w:rsidRPr="007B4D35">
        <w:t xml:space="preserve">Druhý averroismus tvrdí, že politická sféra je pro ontoteologickou jednotu moderní teologie druhotná. Nejvyšší jednota lidstva je vyjádřena teorií jedné pravdy, která </w:t>
      </w:r>
      <w:r w:rsidR="007B4D35">
        <w:t xml:space="preserve">obsahuje </w:t>
      </w:r>
      <w:r w:rsidR="007B4D35" w:rsidRPr="007B4D35">
        <w:t xml:space="preserve">hierarchický řád. Na prvním místě je univerzální a absolutní papežský primát vyhlášený v bule </w:t>
      </w:r>
      <w:r w:rsidR="007B4D35" w:rsidRPr="007B4D35">
        <w:rPr>
          <w:i/>
          <w:iCs/>
        </w:rPr>
        <w:t>Unam Sanctam</w:t>
      </w:r>
      <w:r w:rsidR="007B4D35" w:rsidRPr="007B4D35">
        <w:t>, který určuje hodnoty v politické sféře.</w:t>
      </w:r>
      <w:r w:rsidR="00F05597">
        <w:t xml:space="preserve"> </w:t>
      </w:r>
      <w:r>
        <w:t xml:space="preserve">První averroismus tvrdí, že </w:t>
      </w:r>
      <w:r w:rsidRPr="00273106">
        <w:t xml:space="preserve">politické jednání spadá do autonomní jednoty </w:t>
      </w:r>
      <w:r w:rsidR="00F05597">
        <w:t>skrze prodlouženou</w:t>
      </w:r>
      <w:r w:rsidRPr="00273106">
        <w:t xml:space="preserve"> racionalit</w:t>
      </w:r>
      <w:r w:rsidR="00F05597">
        <w:t>u</w:t>
      </w:r>
      <w:r w:rsidRPr="00273106">
        <w:t xml:space="preserve"> spekulativního intelektu</w:t>
      </w:r>
      <w:r w:rsidR="00054F01">
        <w:t>. Ten se napojením na vůli stává praktickým, čili účinně jednajím intelektem v realitě. Pak je jasné, že povaha poznání a jednání je vázaná na různé</w:t>
      </w:r>
      <w:r>
        <w:t xml:space="preserve"> </w:t>
      </w:r>
      <w:r w:rsidR="00054F01">
        <w:t xml:space="preserve">činnosti </w:t>
      </w:r>
      <w:r w:rsidR="00054F01">
        <w:rPr>
          <w:i/>
        </w:rPr>
        <w:t>anima intel</w:t>
      </w:r>
      <w:r w:rsidR="00054F01" w:rsidRPr="00054F01">
        <w:rPr>
          <w:i/>
        </w:rPr>
        <w:t>l</w:t>
      </w:r>
      <w:r w:rsidR="00054F01">
        <w:rPr>
          <w:i/>
        </w:rPr>
        <w:t>e</w:t>
      </w:r>
      <w:r w:rsidR="00054F01" w:rsidRPr="00054F01">
        <w:rPr>
          <w:i/>
        </w:rPr>
        <w:t>ctiva</w:t>
      </w:r>
      <w:r w:rsidR="00054F01">
        <w:t xml:space="preserve"> dané v reálné </w:t>
      </w:r>
      <w:r>
        <w:t xml:space="preserve">osobě </w:t>
      </w:r>
      <w:r w:rsidRPr="00273106">
        <w:t xml:space="preserve">podle </w:t>
      </w:r>
      <w:r>
        <w:t>Averroes</w:t>
      </w:r>
      <w:r w:rsidRPr="00273106">
        <w:t xml:space="preserve">ova výkladu </w:t>
      </w:r>
      <w:r w:rsidR="00054F01">
        <w:t xml:space="preserve">podaného </w:t>
      </w:r>
      <w:r w:rsidRPr="00273106">
        <w:t xml:space="preserve">v CMDA. Pak politické jednání </w:t>
      </w:r>
      <w:r>
        <w:t>osoby (</w:t>
      </w:r>
      <w:r w:rsidRPr="00CD547A">
        <w:rPr>
          <w:i/>
        </w:rPr>
        <w:t xml:space="preserve">tertium </w:t>
      </w:r>
      <w:r w:rsidR="00962190">
        <w:rPr>
          <w:i/>
        </w:rPr>
        <w:t>genus</w:t>
      </w:r>
      <w:r>
        <w:rPr>
          <w:i/>
        </w:rPr>
        <w:fldChar w:fldCharType="begin"/>
      </w:r>
      <w:r>
        <w:instrText xml:space="preserve"> XE "</w:instrText>
      </w:r>
      <w:r w:rsidRPr="00D80F84">
        <w:rPr>
          <w:i/>
        </w:rPr>
        <w:instrText>tertium genus</w:instrText>
      </w:r>
      <w:r>
        <w:instrText xml:space="preserve">" </w:instrText>
      </w:r>
      <w:r>
        <w:rPr>
          <w:i/>
        </w:rPr>
        <w:fldChar w:fldCharType="end"/>
      </w:r>
      <w:r>
        <w:t xml:space="preserve">) </w:t>
      </w:r>
      <w:r w:rsidRPr="00273106">
        <w:t xml:space="preserve">představuje </w:t>
      </w:r>
      <w:r>
        <w:t xml:space="preserve">na univerzální rovině </w:t>
      </w:r>
      <w:r w:rsidRPr="00273106">
        <w:t>zvláštní formu kolektivní jednoty racionálně myslícího a eticky jednajícího lidstva</w:t>
      </w:r>
      <w:r>
        <w:t xml:space="preserve"> (</w:t>
      </w:r>
      <w:r w:rsidRPr="00CD547A">
        <w:rPr>
          <w:i/>
        </w:rPr>
        <w:t xml:space="preserve">quartum </w:t>
      </w:r>
      <w:r w:rsidR="00962190">
        <w:rPr>
          <w:i/>
        </w:rPr>
        <w:t>genus</w:t>
      </w:r>
      <w:r>
        <w:rPr>
          <w:i/>
        </w:rPr>
        <w:fldChar w:fldCharType="begin"/>
      </w:r>
      <w:r>
        <w:instrText xml:space="preserve"> XE "</w:instrText>
      </w:r>
      <w:r w:rsidRPr="00191848">
        <w:rPr>
          <w:i/>
        </w:rPr>
        <w:instrText>quartum genus</w:instrText>
      </w:r>
      <w:r>
        <w:instrText xml:space="preserve">" </w:instrText>
      </w:r>
      <w:r>
        <w:rPr>
          <w:i/>
        </w:rPr>
        <w:fldChar w:fldCharType="end"/>
      </w:r>
      <w:r>
        <w:t>)</w:t>
      </w:r>
      <w:r w:rsidRPr="00273106">
        <w:t xml:space="preserve">. </w:t>
      </w:r>
      <w:r>
        <w:t xml:space="preserve">Praktický intelekt dostal statut podobný Averroesově definici </w:t>
      </w:r>
      <w:r w:rsidRPr="00A82652">
        <w:rPr>
          <w:i/>
        </w:rPr>
        <w:t>intellectus possibilis</w:t>
      </w:r>
      <w:r>
        <w:t xml:space="preserve">, která určila jak </w:t>
      </w:r>
      <w:r w:rsidR="00A1189A">
        <w:t xml:space="preserve">personalizovaný </w:t>
      </w:r>
      <w:r w:rsidR="00933A8C">
        <w:t>výkon praktického poznání</w:t>
      </w:r>
      <w:r>
        <w:t xml:space="preserve">, tak univerzální </w:t>
      </w:r>
      <w:r w:rsidR="00962190" w:rsidRPr="00933A8C">
        <w:t>species</w:t>
      </w:r>
      <w:r>
        <w:t xml:space="preserve"> určující charakter člověka v politické komunitě. </w:t>
      </w:r>
      <w:r w:rsidR="00AF6054">
        <w:t xml:space="preserve">Danteho spis </w:t>
      </w:r>
      <w:r w:rsidR="00AF6054" w:rsidRPr="007E5648">
        <w:rPr>
          <w:i/>
        </w:rPr>
        <w:t>Monarchi</w:t>
      </w:r>
      <w:r w:rsidR="00AF6054">
        <w:rPr>
          <w:i/>
        </w:rPr>
        <w:t>a</w:t>
      </w:r>
      <w:r w:rsidR="00AF6054">
        <w:t xml:space="preserve"> hájí t</w:t>
      </w:r>
      <w:r>
        <w:t xml:space="preserve">oto syntetické pojetí v návaznosti teorii intelektu danou podle Sigerova výkladu Averroesovy metafyziky a teorie poznání. V tomto případě určení praktického intelektu a tím i politické racionality sleduje linii vědeckého poznání podle </w:t>
      </w:r>
      <w:r w:rsidRPr="08717067">
        <w:rPr>
          <w:i/>
        </w:rPr>
        <w:t>Druhých analytik</w:t>
      </w:r>
      <w:r>
        <w:fldChar w:fldCharType="begin"/>
      </w:r>
      <w:r>
        <w:instrText xml:space="preserve"> XE "</w:instrText>
      </w:r>
      <w:r w:rsidRPr="00FB5461">
        <w:instrText>etika:první averroismus</w:instrText>
      </w:r>
      <w:r>
        <w:instrText xml:space="preserve">" </w:instrText>
      </w:r>
      <w:r>
        <w:fldChar w:fldCharType="end"/>
      </w:r>
      <w:r>
        <w:t xml:space="preserve">. Politická filosofie podaná </w:t>
      </w:r>
      <w:r w:rsidR="00A67C5B">
        <w:t>„</w:t>
      </w:r>
      <w:r>
        <w:rPr>
          <w:i/>
        </w:rPr>
        <w:t>ad mentem Averrois</w:t>
      </w:r>
      <w:r w:rsidR="00A67C5B">
        <w:t>“</w:t>
      </w:r>
      <w:r>
        <w:rPr>
          <w:i/>
        </w:rPr>
        <w:fldChar w:fldCharType="begin"/>
      </w:r>
      <w:r>
        <w:instrText xml:space="preserve"> XE "</w:instrText>
      </w:r>
      <w:r>
        <w:rPr>
          <w:i/>
        </w:rPr>
        <w:instrText>ad mentem Averrois</w:instrText>
      </w:r>
      <w:r>
        <w:instrText xml:space="preserve">" </w:instrText>
      </w:r>
      <w:r>
        <w:rPr>
          <w:i/>
        </w:rPr>
        <w:fldChar w:fldCharType="end"/>
      </w:r>
      <w:r>
        <w:t xml:space="preserve"> musí určit reálné kauzální působení praktického intelektu. Teprve pak může pomocí vědeckého soudu podaného v rámci </w:t>
      </w:r>
      <w:r w:rsidRPr="00F64A05">
        <w:rPr>
          <w:i/>
        </w:rPr>
        <w:t>demonstratio</w:t>
      </w:r>
      <w:r>
        <w:rPr>
          <w:i/>
        </w:rPr>
        <w:fldChar w:fldCharType="begin"/>
      </w:r>
      <w:r>
        <w:instrText xml:space="preserve"> XE "</w:instrText>
      </w:r>
      <w:r w:rsidRPr="004E6075">
        <w:rPr>
          <w:i/>
        </w:rPr>
        <w:instrText>demonstratio:</w:instrText>
      </w:r>
      <w:r w:rsidRPr="005B4265">
        <w:instrText>politika</w:instrText>
      </w:r>
      <w:r>
        <w:instrText xml:space="preserve">" </w:instrText>
      </w:r>
      <w:r>
        <w:rPr>
          <w:i/>
        </w:rPr>
        <w:fldChar w:fldCharType="end"/>
      </w:r>
      <w:r>
        <w:t xml:space="preserve"> podle </w:t>
      </w:r>
      <w:r w:rsidRPr="08625E8F">
        <w:rPr>
          <w:i/>
        </w:rPr>
        <w:t>Druhých analytik</w:t>
      </w:r>
      <w:r>
        <w:t xml:space="preserve"> hledat vědeckou definici politické racionality. </w:t>
      </w:r>
      <w:r w:rsidRPr="00273106">
        <w:t xml:space="preserve">Přirozenost </w:t>
      </w:r>
      <w:r w:rsidR="004F19ED">
        <w:t xml:space="preserve">člověka </w:t>
      </w:r>
      <w:r w:rsidRPr="00273106">
        <w:t xml:space="preserve">daná politicky představuje </w:t>
      </w:r>
      <w:r>
        <w:t xml:space="preserve">pro filosofii stejně obtížný problém </w:t>
      </w:r>
      <w:r w:rsidRPr="00273106">
        <w:t xml:space="preserve">jako </w:t>
      </w:r>
      <w:r>
        <w:t>určení receptivní složky</w:t>
      </w:r>
      <w:r w:rsidRPr="00273106">
        <w:t xml:space="preserve"> intelektu, kt</w:t>
      </w:r>
      <w:r>
        <w:t>erý</w:t>
      </w:r>
      <w:r w:rsidRPr="00273106">
        <w:t xml:space="preserve"> je souč</w:t>
      </w:r>
      <w:r>
        <w:t xml:space="preserve">asně individuální a kolektivní. Hermeutika má vzhledem k </w:t>
      </w:r>
      <w:r>
        <w:lastRenderedPageBreak/>
        <w:t>praktickému intelektu danému sociálně a politicky trojí úkol. Musí určit vazbu praktického intelektu na teoretický intelekt. Druhý krok musí vymezit podstatu politického jednání v jednotlivci. Poslední krok určí celkovou politickou jednotu lidstva tvořenou abstraktní definicí praktického intelektu. Úspěšným splněním těchto tří úkolů vznikla v prvním averroismu podle Sicilské školy</w:t>
      </w:r>
      <w:r>
        <w:fldChar w:fldCharType="begin"/>
      </w:r>
      <w:r>
        <w:instrText xml:space="preserve"> XE "</w:instrText>
      </w:r>
      <w:r w:rsidRPr="087A44E4">
        <w:instrText>Sicilská škola</w:instrText>
      </w:r>
      <w:r>
        <w:instrText xml:space="preserve">" </w:instrText>
      </w:r>
      <w:r>
        <w:fldChar w:fldCharType="end"/>
      </w:r>
      <w:r>
        <w:t xml:space="preserve"> nová politická věda odlišná jak od biblického augustinianimu </w:t>
      </w:r>
      <w:r w:rsidRPr="005129B5">
        <w:rPr>
          <w:i/>
        </w:rPr>
        <w:t>Modernorum</w:t>
      </w:r>
      <w:r w:rsidRPr="007E781C">
        <w:t>, tak od</w:t>
      </w:r>
      <w:r w:rsidRPr="00D55CD3">
        <w:t xml:space="preserve"> teokratické </w:t>
      </w:r>
      <w:r>
        <w:t xml:space="preserve">politické </w:t>
      </w:r>
      <w:r w:rsidRPr="00D55CD3">
        <w:t xml:space="preserve">teorie </w:t>
      </w:r>
      <w:r>
        <w:t>aristotelských</w:t>
      </w:r>
      <w:r w:rsidRPr="00D55CD3">
        <w:t xml:space="preserve"> semiaverr</w:t>
      </w:r>
      <w:r>
        <w:t>o</w:t>
      </w:r>
      <w:r w:rsidRPr="00D55CD3">
        <w:t>istů jako Akvinský a Aegidius</w:t>
      </w:r>
      <w:r>
        <w:t>. Jejich teokratické pojetí politiky bylo inspirováno metafyzickým neoplatonismem Toledské školy</w:t>
      </w:r>
      <w:r>
        <w:fldChar w:fldCharType="begin"/>
      </w:r>
      <w:r>
        <w:instrText xml:space="preserve"> XE "</w:instrText>
      </w:r>
      <w:r w:rsidRPr="08F56FB6">
        <w:instrText>Toledská škola</w:instrText>
      </w:r>
      <w:r>
        <w:instrText xml:space="preserve">" </w:instrText>
      </w:r>
      <w:r>
        <w:fldChar w:fldCharType="end"/>
      </w:r>
      <w:r>
        <w:t>.</w:t>
      </w:r>
    </w:p>
    <w:p w:rsidR="08163013" w:rsidRPr="00273106" w:rsidRDefault="08163013" w:rsidP="08163013">
      <w:r>
        <w:tab/>
      </w:r>
      <w:r w:rsidRPr="00273106">
        <w:rPr>
          <w:rStyle w:val="addmd"/>
        </w:rPr>
        <w:t xml:space="preserve">Albert </w:t>
      </w:r>
      <w:r>
        <w:rPr>
          <w:rStyle w:val="addmd"/>
        </w:rPr>
        <w:t xml:space="preserve">je zakladatelem politické vědy v prvním averroismu, protože </w:t>
      </w:r>
      <w:r w:rsidRPr="00273106">
        <w:rPr>
          <w:rStyle w:val="addmd"/>
        </w:rPr>
        <w:t xml:space="preserve">kritizuje </w:t>
      </w:r>
      <w:r>
        <w:rPr>
          <w:rStyle w:val="addmd"/>
        </w:rPr>
        <w:t>neoplatonsk</w:t>
      </w:r>
      <w:r w:rsidRPr="00273106">
        <w:rPr>
          <w:rStyle w:val="addmd"/>
        </w:rPr>
        <w:t xml:space="preserve">é výklady </w:t>
      </w:r>
      <w:r w:rsidRPr="08552173">
        <w:rPr>
          <w:rStyle w:val="addmd"/>
          <w:i/>
        </w:rPr>
        <w:t>Etiky Nikomachovy</w:t>
      </w:r>
      <w:r w:rsidRPr="00273106">
        <w:rPr>
          <w:rStyle w:val="addmd"/>
        </w:rPr>
        <w:t xml:space="preserve"> a </w:t>
      </w:r>
      <w:r>
        <w:rPr>
          <w:rStyle w:val="addmd"/>
          <w:i/>
        </w:rPr>
        <w:t>De anima</w:t>
      </w:r>
      <w:r w:rsidRPr="00273106">
        <w:rPr>
          <w:rStyle w:val="addmd"/>
        </w:rPr>
        <w:t xml:space="preserve"> už během magi</w:t>
      </w:r>
      <w:r>
        <w:rPr>
          <w:rStyle w:val="addmd"/>
        </w:rPr>
        <w:t xml:space="preserve">sterských studií v Paříži v letech </w:t>
      </w:r>
      <w:r w:rsidRPr="00273106">
        <w:rPr>
          <w:rStyle w:val="addmd"/>
        </w:rPr>
        <w:t xml:space="preserve">1240‒45. </w:t>
      </w:r>
      <w:r w:rsidR="003E1241">
        <w:t>Ú</w:t>
      </w:r>
      <w:r w:rsidR="003E1241" w:rsidRPr="00273106">
        <w:t xml:space="preserve">vodní část </w:t>
      </w:r>
      <w:r w:rsidR="003E1241">
        <w:t xml:space="preserve">spisu </w:t>
      </w:r>
      <w:r w:rsidR="003E1241" w:rsidRPr="00273106">
        <w:rPr>
          <w:i/>
        </w:rPr>
        <w:t xml:space="preserve">De homine </w:t>
      </w:r>
      <w:r w:rsidR="003E1241">
        <w:t xml:space="preserve">dosvědčuje existenci </w:t>
      </w:r>
      <w:r w:rsidRPr="00273106">
        <w:t>zásadní</w:t>
      </w:r>
      <w:r w:rsidR="003E1241">
        <w:t>ho</w:t>
      </w:r>
      <w:r w:rsidRPr="00273106">
        <w:t xml:space="preserve"> spor</w:t>
      </w:r>
      <w:r w:rsidR="003E1241">
        <w:t>u</w:t>
      </w:r>
      <w:r w:rsidRPr="00273106">
        <w:t xml:space="preserve"> mezi prvním a druhým averroismem</w:t>
      </w:r>
      <w:r w:rsidR="003E1241">
        <w:t xml:space="preserve"> </w:t>
      </w:r>
      <w:r w:rsidRPr="00273106">
        <w:t>(</w:t>
      </w:r>
      <w:r w:rsidR="008B60CE" w:rsidRPr="003569A8">
        <w:rPr>
          <w:szCs w:val="24"/>
          <w:lang w:val="de-DE"/>
        </w:rPr>
        <w:t>OBJ II</w:t>
      </w:r>
      <w:r w:rsidR="008B60CE">
        <w:rPr>
          <w:szCs w:val="24"/>
          <w:lang w:val="de-DE"/>
        </w:rPr>
        <w:t xml:space="preserve">, </w:t>
      </w:r>
      <w:r w:rsidR="008B60CE">
        <w:t>kap. 2</w:t>
      </w:r>
      <w:r w:rsidRPr="00273106">
        <w:t>.4.1).</w:t>
      </w:r>
      <w:r w:rsidRPr="00824736">
        <w:rPr>
          <w:rStyle w:val="addmd"/>
        </w:rPr>
        <w:t xml:space="preserve"> </w:t>
      </w:r>
      <w:r w:rsidRPr="00273106">
        <w:rPr>
          <w:rStyle w:val="addmd"/>
        </w:rPr>
        <w:t xml:space="preserve">Spor o určení praktického intelektu se týkal klíčového citátu </w:t>
      </w:r>
      <w:r>
        <w:rPr>
          <w:rStyle w:val="addmd"/>
          <w:i/>
        </w:rPr>
        <w:t>De anima</w:t>
      </w:r>
      <w:r w:rsidRPr="00273106">
        <w:rPr>
          <w:rStyle w:val="addmd"/>
        </w:rPr>
        <w:t xml:space="preserve"> epochálně komentovaného </w:t>
      </w:r>
      <w:r>
        <w:rPr>
          <w:rStyle w:val="addmd"/>
        </w:rPr>
        <w:t>Averroes</w:t>
      </w:r>
      <w:r w:rsidRPr="00273106">
        <w:rPr>
          <w:rStyle w:val="addmd"/>
        </w:rPr>
        <w:t xml:space="preserve">em. </w:t>
      </w:r>
      <w:r>
        <w:t>Aristoteles</w:t>
      </w:r>
      <w:r w:rsidRPr="00273106">
        <w:t xml:space="preserve"> spojuje teoretickou složku uvažování s praktickou činností (νοῦς δὲ ὁ ἕνεκά του λογιζόμενος καὶ ὁ πρακτικός), ale rozlišuje obě složky </w:t>
      </w:r>
      <w:r>
        <w:t xml:space="preserve">vzhledem k odlišným </w:t>
      </w:r>
      <w:r w:rsidRPr="00273106">
        <w:t>cíl</w:t>
      </w:r>
      <w:r>
        <w:t>ům</w:t>
      </w:r>
      <w:r w:rsidRPr="00273106">
        <w:t xml:space="preserve"> jejich činnosti (διαφέρει δὲ τοῦ θεωρητικοῦ τῷ τέλει, </w:t>
      </w:r>
      <w:r>
        <w:rPr>
          <w:i/>
        </w:rPr>
        <w:t>De anima</w:t>
      </w:r>
      <w:r w:rsidRPr="00273106">
        <w:t xml:space="preserve"> 433a14‒15</w:t>
      </w:r>
      <w:r>
        <w:fldChar w:fldCharType="begin"/>
      </w:r>
      <w:r>
        <w:instrText xml:space="preserve"> XE "Aristoteles:</w:instrText>
      </w:r>
      <w:r w:rsidRPr="00263AB9">
        <w:rPr>
          <w:i/>
        </w:rPr>
        <w:instrText>De anima</w:instrText>
      </w:r>
      <w:r w:rsidRPr="00263AB9">
        <w:instrText xml:space="preserve"> 433a14‒15</w:instrText>
      </w:r>
      <w:r>
        <w:instrText xml:space="preserve">" </w:instrText>
      </w:r>
      <w:r>
        <w:fldChar w:fldCharType="end"/>
      </w:r>
      <w:r w:rsidRPr="00273106">
        <w:t xml:space="preserve">). </w:t>
      </w:r>
      <w:r>
        <w:rPr>
          <w:rStyle w:val="addmd"/>
        </w:rPr>
        <w:t>Z</w:t>
      </w:r>
      <w:r w:rsidRPr="00273106">
        <w:rPr>
          <w:rStyle w:val="addmd"/>
        </w:rPr>
        <w:t>avršením lidského života je podle Aristotela život podle teoretického intelektu</w:t>
      </w:r>
      <w:r w:rsidR="005231B8">
        <w:rPr>
          <w:rStyle w:val="addmd"/>
        </w:rPr>
        <w:t>,</w:t>
      </w:r>
      <w:r w:rsidRPr="00273106">
        <w:rPr>
          <w:rStyle w:val="addmd"/>
        </w:rPr>
        <w:t xml:space="preserve"> a ne podle praktického. </w:t>
      </w:r>
      <w:r>
        <w:rPr>
          <w:rStyle w:val="addmd"/>
        </w:rPr>
        <w:t xml:space="preserve">Mezi latinskými stoupenci Avicenny a Averroese </w:t>
      </w:r>
      <w:r w:rsidRPr="00273106">
        <w:rPr>
          <w:rStyle w:val="addmd"/>
        </w:rPr>
        <w:t xml:space="preserve">vznikl zásadní </w:t>
      </w:r>
      <w:r>
        <w:rPr>
          <w:rStyle w:val="addmd"/>
        </w:rPr>
        <w:t xml:space="preserve">problém. Má se chápat spojení </w:t>
      </w:r>
      <w:r w:rsidRPr="00273106">
        <w:rPr>
          <w:rStyle w:val="addmd"/>
        </w:rPr>
        <w:t xml:space="preserve">praktického intelektu s teoretickým v modu konjukce nebo disjunkce? A pokud trváme na </w:t>
      </w:r>
      <w:r>
        <w:rPr>
          <w:rStyle w:val="addmd"/>
        </w:rPr>
        <w:t xml:space="preserve">rozlišení, nebo dokonce </w:t>
      </w:r>
      <w:r w:rsidRPr="00273106">
        <w:rPr>
          <w:rStyle w:val="addmd"/>
        </w:rPr>
        <w:t xml:space="preserve">separaci </w:t>
      </w:r>
      <w:r>
        <w:rPr>
          <w:rStyle w:val="addmd"/>
        </w:rPr>
        <w:t xml:space="preserve">praktického </w:t>
      </w:r>
      <w:r w:rsidRPr="00273106">
        <w:rPr>
          <w:rStyle w:val="addmd"/>
        </w:rPr>
        <w:t>intelektu od teo</w:t>
      </w:r>
      <w:r>
        <w:rPr>
          <w:rStyle w:val="addmd"/>
        </w:rPr>
        <w:t xml:space="preserve">retického, jaký je </w:t>
      </w:r>
      <w:r w:rsidRPr="00273106">
        <w:rPr>
          <w:rStyle w:val="addmd"/>
        </w:rPr>
        <w:t>cíl činnosti</w:t>
      </w:r>
      <w:r>
        <w:rPr>
          <w:rStyle w:val="addmd"/>
        </w:rPr>
        <w:t xml:space="preserve"> </w:t>
      </w:r>
      <w:r w:rsidRPr="00273106">
        <w:rPr>
          <w:rStyle w:val="addmd"/>
        </w:rPr>
        <w:t xml:space="preserve">praktického intelektu?  Je tento cíl daný v rámci definice </w:t>
      </w:r>
      <w:r>
        <w:rPr>
          <w:rStyle w:val="addmd"/>
        </w:rPr>
        <w:t xml:space="preserve">praktického </w:t>
      </w:r>
      <w:r w:rsidRPr="00273106">
        <w:rPr>
          <w:rStyle w:val="addmd"/>
        </w:rPr>
        <w:t xml:space="preserve">dobra směrem od </w:t>
      </w:r>
      <w:r>
        <w:rPr>
          <w:rStyle w:val="addmd"/>
        </w:rPr>
        <w:t xml:space="preserve">praktického </w:t>
      </w:r>
      <w:r w:rsidRPr="00273106">
        <w:rPr>
          <w:rStyle w:val="addmd"/>
        </w:rPr>
        <w:t xml:space="preserve">intelektu, jak to předpokládá </w:t>
      </w:r>
      <w:r>
        <w:rPr>
          <w:rStyle w:val="addmd"/>
        </w:rPr>
        <w:t>Aristoteles</w:t>
      </w:r>
      <w:r w:rsidRPr="00273106">
        <w:rPr>
          <w:rStyle w:val="addmd"/>
        </w:rPr>
        <w:t xml:space="preserve"> a </w:t>
      </w:r>
      <w:r>
        <w:rPr>
          <w:rStyle w:val="addmd"/>
        </w:rPr>
        <w:t>Averroes</w:t>
      </w:r>
      <w:r w:rsidRPr="00273106">
        <w:rPr>
          <w:rStyle w:val="addmd"/>
        </w:rPr>
        <w:t xml:space="preserve">? Nebo je naopak cíl </w:t>
      </w:r>
      <w:r>
        <w:rPr>
          <w:rStyle w:val="addmd"/>
        </w:rPr>
        <w:t xml:space="preserve">praktického intelektu </w:t>
      </w:r>
      <w:r w:rsidRPr="00273106">
        <w:rPr>
          <w:rStyle w:val="addmd"/>
        </w:rPr>
        <w:t>daný vzhledem k</w:t>
      </w:r>
      <w:r>
        <w:rPr>
          <w:rStyle w:val="addmd"/>
        </w:rPr>
        <w:t xml:space="preserve"> teoretickému </w:t>
      </w:r>
      <w:r w:rsidRPr="00273106">
        <w:rPr>
          <w:rStyle w:val="addmd"/>
        </w:rPr>
        <w:t>nazírání a poznání odděleného dobra jako</w:t>
      </w:r>
      <w:r w:rsidR="005231B8">
        <w:rPr>
          <w:rStyle w:val="addmd"/>
        </w:rPr>
        <w:t xml:space="preserve"> substance třetího druhu? U</w:t>
      </w:r>
      <w:r>
        <w:rPr>
          <w:rStyle w:val="addmd"/>
        </w:rPr>
        <w:t>rčení praktického intelektu</w:t>
      </w:r>
      <w:r w:rsidR="005231B8">
        <w:rPr>
          <w:rStyle w:val="addmd"/>
        </w:rPr>
        <w:t xml:space="preserve"> tak </w:t>
      </w:r>
      <w:r w:rsidR="004C55F1">
        <w:rPr>
          <w:rStyle w:val="addmd"/>
        </w:rPr>
        <w:t xml:space="preserve">opět </w:t>
      </w:r>
      <w:r w:rsidR="005231B8">
        <w:rPr>
          <w:rStyle w:val="addmd"/>
        </w:rPr>
        <w:t xml:space="preserve">navázalo na </w:t>
      </w:r>
      <w:r>
        <w:rPr>
          <w:rStyle w:val="addmd"/>
        </w:rPr>
        <w:t>spor o aristotelský či neoplatonský výklad Korpusu. Moderní d</w:t>
      </w:r>
      <w:r w:rsidRPr="00273106">
        <w:rPr>
          <w:rStyle w:val="addmd"/>
        </w:rPr>
        <w:t>efinice praktického intelekt</w:t>
      </w:r>
      <w:r>
        <w:rPr>
          <w:rStyle w:val="addmd"/>
        </w:rPr>
        <w:t>u vzhledem k dobru jako trvalé</w:t>
      </w:r>
      <w:r w:rsidRPr="00273106">
        <w:rPr>
          <w:rStyle w:val="addmd"/>
        </w:rPr>
        <w:t xml:space="preserve"> </w:t>
      </w:r>
      <w:r w:rsidR="00962190">
        <w:rPr>
          <w:rStyle w:val="addmd"/>
          <w:i/>
        </w:rPr>
        <w:t>species</w:t>
      </w:r>
      <w:r w:rsidRPr="00273106">
        <w:rPr>
          <w:rStyle w:val="addmd"/>
        </w:rPr>
        <w:t xml:space="preserve"> znamená popření původního smyslu Aristotelovy definice podané </w:t>
      </w:r>
      <w:r>
        <w:rPr>
          <w:rStyle w:val="addmd"/>
        </w:rPr>
        <w:t>Averroes</w:t>
      </w:r>
      <w:r w:rsidRPr="00273106">
        <w:rPr>
          <w:rStyle w:val="addmd"/>
        </w:rPr>
        <w:t>em. Druhý averroismus trvá buď na dualismu obou intelektů, nebo je naopak nerozlišeně směšuje.</w:t>
      </w:r>
      <w:r>
        <w:rPr>
          <w:rStyle w:val="addmd"/>
        </w:rPr>
        <w:t xml:space="preserve"> S</w:t>
      </w:r>
      <w:r w:rsidRPr="00273106">
        <w:rPr>
          <w:rStyle w:val="addmd"/>
        </w:rPr>
        <w:t xml:space="preserve">por </w:t>
      </w:r>
      <w:r>
        <w:rPr>
          <w:rStyle w:val="addmd"/>
        </w:rPr>
        <w:t>o definici</w:t>
      </w:r>
      <w:r w:rsidRPr="00273106">
        <w:rPr>
          <w:rStyle w:val="addmd"/>
        </w:rPr>
        <w:t xml:space="preserve"> praktického intelektu</w:t>
      </w:r>
      <w:r>
        <w:rPr>
          <w:rStyle w:val="addmd"/>
        </w:rPr>
        <w:t xml:space="preserve"> podle citované části </w:t>
      </w:r>
      <w:r w:rsidRPr="00D47013">
        <w:rPr>
          <w:rStyle w:val="addmd"/>
          <w:i/>
        </w:rPr>
        <w:t>De anima</w:t>
      </w:r>
      <w:r>
        <w:rPr>
          <w:rStyle w:val="addmd"/>
        </w:rPr>
        <w:t xml:space="preserve"> </w:t>
      </w:r>
      <w:r w:rsidRPr="00273106">
        <w:rPr>
          <w:rStyle w:val="addmd"/>
        </w:rPr>
        <w:t>založil novou politickou te</w:t>
      </w:r>
      <w:r>
        <w:rPr>
          <w:rStyle w:val="addmd"/>
        </w:rPr>
        <w:t xml:space="preserve">orii Západu. </w:t>
      </w:r>
      <w:r>
        <w:t>Averroes</w:t>
      </w:r>
      <w:r w:rsidRPr="00273106">
        <w:t xml:space="preserve">ův </w:t>
      </w:r>
      <w:r w:rsidR="00831B97">
        <w:t xml:space="preserve">spis CMDA </w:t>
      </w:r>
      <w:r w:rsidR="002F72FC" w:rsidRPr="00273106">
        <w:t xml:space="preserve">podává </w:t>
      </w:r>
      <w:r w:rsidR="002F72FC">
        <w:t xml:space="preserve">spojení obou intelektů </w:t>
      </w:r>
      <w:r w:rsidRPr="00273106">
        <w:t>následovně.</w:t>
      </w:r>
    </w:p>
    <w:p w:rsidR="08163013" w:rsidRPr="00505D21" w:rsidRDefault="08163013" w:rsidP="08163013">
      <w:pPr>
        <w:pStyle w:val="Citace"/>
        <w:rPr>
          <w:rStyle w:val="addmd"/>
          <w:noProof/>
          <w:lang w:val="cs-CZ"/>
        </w:rPr>
      </w:pPr>
      <w:r w:rsidRPr="00273106">
        <w:rPr>
          <w:noProof/>
          <w:lang w:val="cs-CZ"/>
        </w:rPr>
        <w:lastRenderedPageBreak/>
        <w:t>„</w:t>
      </w:r>
      <w:r>
        <w:rPr>
          <w:noProof/>
          <w:lang w:val="cs-CZ"/>
        </w:rPr>
        <w:t>Intelekt, skrze něž probíhá jednání a který je prakticky přemýšlející, se liší od nazíravého intelektu z hlediska dokonalosti a cíle. Cíl nazíravého intelektu je pouze poznání, cíl praktického intelektu je jednání.“ </w:t>
      </w:r>
      <w:r>
        <w:rPr>
          <w:rStyle w:val="Znakapoznpodarou"/>
        </w:rPr>
        <w:footnoteReference w:id="522"/>
      </w:r>
    </w:p>
    <w:p w:rsidR="08163013" w:rsidRPr="00273106" w:rsidRDefault="08163013" w:rsidP="08163013">
      <w:pPr>
        <w:rPr>
          <w:rStyle w:val="addmd"/>
        </w:rPr>
      </w:pPr>
      <w:r>
        <w:rPr>
          <w:rStyle w:val="addmd"/>
        </w:rPr>
        <w:t>M</w:t>
      </w:r>
      <w:r w:rsidRPr="00273106">
        <w:rPr>
          <w:rStyle w:val="addmd"/>
        </w:rPr>
        <w:t>orál</w:t>
      </w:r>
      <w:r>
        <w:rPr>
          <w:rStyle w:val="addmd"/>
        </w:rPr>
        <w:t>ně a politicky činný intelekt</w:t>
      </w:r>
      <w:r w:rsidRPr="00273106">
        <w:rPr>
          <w:rStyle w:val="addmd"/>
        </w:rPr>
        <w:t xml:space="preserve"> </w:t>
      </w:r>
      <w:r w:rsidR="00A75C5F">
        <w:rPr>
          <w:rStyle w:val="addmd"/>
        </w:rPr>
        <w:t>je označen termínem „</w:t>
      </w:r>
      <w:r w:rsidRPr="00273106">
        <w:rPr>
          <w:i/>
        </w:rPr>
        <w:t>cogitativus operativus</w:t>
      </w:r>
      <w:r w:rsidR="00A75C5F">
        <w:t>“</w:t>
      </w:r>
      <w:r>
        <w:rPr>
          <w:i/>
        </w:rPr>
        <w:fldChar w:fldCharType="begin"/>
      </w:r>
      <w:r>
        <w:instrText xml:space="preserve"> XE "</w:instrText>
      </w:r>
      <w:r w:rsidRPr="00FD10E4">
        <w:rPr>
          <w:i/>
        </w:rPr>
        <w:instrText>intellectus</w:instrText>
      </w:r>
      <w:r>
        <w:instrText xml:space="preserve"> </w:instrText>
      </w:r>
      <w:r w:rsidRPr="00A90354">
        <w:rPr>
          <w:i/>
        </w:rPr>
        <w:instrText>cogitativus operativus</w:instrText>
      </w:r>
      <w:r>
        <w:instrText xml:space="preserve">" </w:instrText>
      </w:r>
      <w:r>
        <w:rPr>
          <w:i/>
        </w:rPr>
        <w:fldChar w:fldCharType="end"/>
      </w:r>
      <w:r>
        <w:rPr>
          <w:rStyle w:val="addmd"/>
        </w:rPr>
        <w:t xml:space="preserve">, což odpovídá řeckému originálu </w:t>
      </w:r>
      <w:r w:rsidRPr="00273106">
        <w:rPr>
          <w:rStyle w:val="addmd"/>
        </w:rPr>
        <w:t>(</w:t>
      </w:r>
      <w:r w:rsidRPr="00273106">
        <w:t>λογιζόμενος καὶ ὁ πρακτικός</w:t>
      </w:r>
      <w:r w:rsidRPr="00273106">
        <w:rPr>
          <w:rStyle w:val="addmd"/>
        </w:rPr>
        <w:t xml:space="preserve">). </w:t>
      </w:r>
      <w:r>
        <w:rPr>
          <w:rStyle w:val="addmd"/>
        </w:rPr>
        <w:t>Proto se o</w:t>
      </w:r>
      <w:r w:rsidRPr="00273106">
        <w:rPr>
          <w:rStyle w:val="addmd"/>
        </w:rPr>
        <w:t xml:space="preserve">bě schopnosti liší vzhledem k cíli činnosti, kterým </w:t>
      </w:r>
      <w:r>
        <w:rPr>
          <w:rStyle w:val="addmd"/>
        </w:rPr>
        <w:t xml:space="preserve">je v prvním případě teoretické </w:t>
      </w:r>
      <w:r w:rsidRPr="00273106">
        <w:rPr>
          <w:rStyle w:val="addmd"/>
        </w:rPr>
        <w:t>nazírání a spekulace</w:t>
      </w:r>
      <w:r w:rsidRPr="00273106">
        <w:t xml:space="preserve"> (</w:t>
      </w:r>
      <w:r w:rsidRPr="00273106">
        <w:rPr>
          <w:i/>
        </w:rPr>
        <w:t>finis enim speculativi est scire tantum</w:t>
      </w:r>
      <w:r w:rsidRPr="00273106">
        <w:t>)</w:t>
      </w:r>
      <w:r w:rsidRPr="00273106">
        <w:rPr>
          <w:rStyle w:val="addmd"/>
        </w:rPr>
        <w:t>, a</w:t>
      </w:r>
      <w:r>
        <w:rPr>
          <w:rStyle w:val="addmd"/>
        </w:rPr>
        <w:t xml:space="preserve"> ve druhém případě </w:t>
      </w:r>
      <w:r w:rsidRPr="00273106">
        <w:rPr>
          <w:rStyle w:val="addmd"/>
        </w:rPr>
        <w:t>praktické jednání (</w:t>
      </w:r>
      <w:r w:rsidRPr="00273106">
        <w:rPr>
          <w:i/>
        </w:rPr>
        <w:t>operativi autem operari</w:t>
      </w:r>
      <w:r w:rsidRPr="00273106">
        <w:rPr>
          <w:rStyle w:val="addmd"/>
        </w:rPr>
        <w:t xml:space="preserve">). </w:t>
      </w:r>
      <w:r w:rsidRPr="00273106">
        <w:t xml:space="preserve">Albertův spis </w:t>
      </w:r>
      <w:r w:rsidRPr="00273106">
        <w:rPr>
          <w:i/>
        </w:rPr>
        <w:t xml:space="preserve">De homine </w:t>
      </w:r>
      <w:r w:rsidRPr="00273106">
        <w:rPr>
          <w:rStyle w:val="addmd"/>
        </w:rPr>
        <w:t xml:space="preserve">zakládá argumentaci prvního averroismu vzhledem k morálnímu a politickému jednání </w:t>
      </w:r>
      <w:r>
        <w:rPr>
          <w:rStyle w:val="addmd"/>
        </w:rPr>
        <w:t xml:space="preserve">až poté, co jasně vymezil jednotlivé činnosti </w:t>
      </w:r>
      <w:r w:rsidRPr="00273106">
        <w:rPr>
          <w:rStyle w:val="addmd"/>
        </w:rPr>
        <w:t xml:space="preserve">intelektu </w:t>
      </w:r>
      <w:r>
        <w:rPr>
          <w:rStyle w:val="addmd"/>
        </w:rPr>
        <w:t xml:space="preserve">v rámci jedinečné osoby </w:t>
      </w:r>
      <w:r w:rsidRPr="00273106">
        <w:rPr>
          <w:rStyle w:val="addmd"/>
        </w:rPr>
        <w:t xml:space="preserve">(kap. 4.4.2). </w:t>
      </w:r>
      <w:r>
        <w:rPr>
          <w:rStyle w:val="addmd"/>
        </w:rPr>
        <w:t>S</w:t>
      </w:r>
      <w:r w:rsidRPr="00273106">
        <w:rPr>
          <w:rStyle w:val="addmd"/>
        </w:rPr>
        <w:t xml:space="preserve">pis </w:t>
      </w:r>
      <w:r w:rsidRPr="00273106">
        <w:rPr>
          <w:rStyle w:val="addmd"/>
          <w:i/>
        </w:rPr>
        <w:t>De homine</w:t>
      </w:r>
      <w:r w:rsidRPr="00273106">
        <w:rPr>
          <w:rStyle w:val="addmd"/>
        </w:rPr>
        <w:t xml:space="preserve"> obhájil aristotelský smysl extenze spekulativního intelektu proti druhému averroismu </w:t>
      </w:r>
      <w:r>
        <w:rPr>
          <w:rStyle w:val="addmd"/>
        </w:rPr>
        <w:t xml:space="preserve">tím, že trval na extenzi </w:t>
      </w:r>
      <w:r w:rsidRPr="00273106">
        <w:rPr>
          <w:rStyle w:val="addmd"/>
        </w:rPr>
        <w:t>(</w:t>
      </w:r>
      <w:r w:rsidRPr="00273106">
        <w:rPr>
          <w:rStyle w:val="addmd"/>
          <w:i/>
        </w:rPr>
        <w:t>speculativus per extensionem fit practicus</w:t>
      </w:r>
      <w:r>
        <w:rPr>
          <w:rStyle w:val="addmd"/>
          <w:i/>
        </w:rPr>
        <w:fldChar w:fldCharType="begin"/>
      </w:r>
      <w:r>
        <w:instrText xml:space="preserve"> XE "</w:instrText>
      </w:r>
      <w:r w:rsidRPr="00FD10E4">
        <w:rPr>
          <w:i/>
        </w:rPr>
        <w:instrText>intellectus</w:instrText>
      </w:r>
      <w:r>
        <w:instrText xml:space="preserve"> </w:instrText>
      </w:r>
      <w:r w:rsidRPr="001018DF">
        <w:rPr>
          <w:rStyle w:val="addmd"/>
          <w:i/>
        </w:rPr>
        <w:instrText>practicus</w:instrText>
      </w:r>
      <w:r>
        <w:instrText xml:space="preserve">" </w:instrText>
      </w:r>
      <w:r>
        <w:rPr>
          <w:rStyle w:val="addmd"/>
          <w:i/>
        </w:rPr>
        <w:fldChar w:fldCharType="end"/>
      </w:r>
      <w:r w:rsidRPr="00273106">
        <w:rPr>
          <w:rStyle w:val="addmd"/>
        </w:rPr>
        <w:t>).</w:t>
      </w:r>
      <w:r>
        <w:rPr>
          <w:rStyle w:val="addmd"/>
        </w:rPr>
        <w:t xml:space="preserve"> Tato d</w:t>
      </w:r>
      <w:r w:rsidRPr="00273106">
        <w:rPr>
          <w:rStyle w:val="addmd"/>
        </w:rPr>
        <w:t xml:space="preserve">efinice zakládající vztah praktického a teoretického intelektu není přímo obsažena v </w:t>
      </w:r>
      <w:r>
        <w:rPr>
          <w:rStyle w:val="addmd"/>
          <w:i/>
        </w:rPr>
        <w:t>De anima</w:t>
      </w:r>
      <w:r w:rsidRPr="00273106">
        <w:rPr>
          <w:rStyle w:val="addmd"/>
        </w:rPr>
        <w:t xml:space="preserve">, ale v parafrázi </w:t>
      </w:r>
      <w:r w:rsidRPr="003F7705">
        <w:rPr>
          <w:rStyle w:val="addmd"/>
          <w:i/>
        </w:rPr>
        <w:t>De anima</w:t>
      </w:r>
      <w:r>
        <w:rPr>
          <w:rStyle w:val="addmd"/>
        </w:rPr>
        <w:t xml:space="preserve"> </w:t>
      </w:r>
      <w:r w:rsidRPr="00273106">
        <w:rPr>
          <w:rStyle w:val="addmd"/>
        </w:rPr>
        <w:t xml:space="preserve">III.9, </w:t>
      </w:r>
      <w:r w:rsidRPr="00273106">
        <w:t>433a1‒3</w:t>
      </w:r>
      <w:r>
        <w:fldChar w:fldCharType="begin"/>
      </w:r>
      <w:r>
        <w:instrText xml:space="preserve"> XE "Aristoteles:</w:instrText>
      </w:r>
      <w:r w:rsidRPr="00542DCC">
        <w:rPr>
          <w:rStyle w:val="addmd"/>
          <w:i/>
        </w:rPr>
        <w:instrText>De anima</w:instrText>
      </w:r>
      <w:r w:rsidRPr="00542DCC">
        <w:rPr>
          <w:rStyle w:val="addmd"/>
        </w:rPr>
        <w:instrText xml:space="preserve"> </w:instrText>
      </w:r>
      <w:r w:rsidRPr="00542DCC">
        <w:instrText>433a1‒3</w:instrText>
      </w:r>
      <w:r>
        <w:instrText xml:space="preserve">" </w:instrText>
      </w:r>
      <w:r>
        <w:fldChar w:fldCharType="end"/>
      </w:r>
      <w:r>
        <w:t xml:space="preserve"> </w:t>
      </w:r>
      <w:r w:rsidRPr="00273106">
        <w:rPr>
          <w:rStyle w:val="addmd"/>
        </w:rPr>
        <w:t>od Jakuba z Benátek</w:t>
      </w:r>
      <w:r>
        <w:rPr>
          <w:rStyle w:val="addmd"/>
        </w:rPr>
        <w:t xml:space="preserve"> (</w:t>
      </w:r>
      <w:r w:rsidRPr="00273106">
        <w:rPr>
          <w:rStyle w:val="addmd"/>
          <w:i/>
        </w:rPr>
        <w:t>Translatio Vetus</w:t>
      </w:r>
      <w:r>
        <w:rPr>
          <w:rStyle w:val="addmd"/>
        </w:rPr>
        <w:t>)</w:t>
      </w:r>
      <w:r w:rsidRPr="00273106">
        <w:rPr>
          <w:rStyle w:val="addmd"/>
        </w:rPr>
        <w:t xml:space="preserve">. Dílo </w:t>
      </w:r>
      <w:r w:rsidRPr="00273106">
        <w:rPr>
          <w:rStyle w:val="addmd"/>
          <w:i/>
        </w:rPr>
        <w:t>De homine</w:t>
      </w:r>
      <w:r w:rsidRPr="00273106">
        <w:rPr>
          <w:rStyle w:val="addmd"/>
        </w:rPr>
        <w:t xml:space="preserve"> komentovalo tento překlad před zavedením Moerbekeho překladu </w:t>
      </w:r>
      <w:r>
        <w:rPr>
          <w:rStyle w:val="addmd"/>
          <w:i/>
        </w:rPr>
        <w:t>De anima</w:t>
      </w:r>
      <w:r w:rsidRPr="00273106">
        <w:rPr>
          <w:rStyle w:val="addmd"/>
        </w:rPr>
        <w:t xml:space="preserve"> z let 1261‒68, který už má jinou definici vztahu obou intelektů (Queneau 1954).</w:t>
      </w:r>
      <w:r w:rsidRPr="0046442A">
        <w:rPr>
          <w:rStyle w:val="addmd"/>
        </w:rPr>
        <w:t xml:space="preserve"> </w:t>
      </w:r>
      <w:r>
        <w:rPr>
          <w:rStyle w:val="addmd"/>
        </w:rPr>
        <w:t>Klíčový výklad extenze teoretického intelektu do praktického je ve škole prvního averorismu odvozen z pojetí jednoty intelektu podle CMDA.</w:t>
      </w:r>
      <w:r w:rsidRPr="00211095">
        <w:rPr>
          <w:rStyle w:val="addmd"/>
        </w:rPr>
        <w:t xml:space="preserve"> </w:t>
      </w:r>
      <w:r w:rsidRPr="00273106">
        <w:rPr>
          <w:rStyle w:val="addmd"/>
        </w:rPr>
        <w:t xml:space="preserve">Smysl </w:t>
      </w:r>
      <w:r>
        <w:rPr>
          <w:rStyle w:val="addmd"/>
        </w:rPr>
        <w:t>Averroes</w:t>
      </w:r>
      <w:r w:rsidRPr="00273106">
        <w:rPr>
          <w:rStyle w:val="addmd"/>
        </w:rPr>
        <w:t xml:space="preserve">ova výkladu a Albertovy parafráze </w:t>
      </w:r>
      <w:r>
        <w:rPr>
          <w:rStyle w:val="addmd"/>
        </w:rPr>
        <w:t xml:space="preserve">sleduje </w:t>
      </w:r>
      <w:r w:rsidRPr="00273106">
        <w:rPr>
          <w:rStyle w:val="addmd"/>
        </w:rPr>
        <w:t xml:space="preserve">původní </w:t>
      </w:r>
      <w:r>
        <w:rPr>
          <w:rStyle w:val="addmd"/>
        </w:rPr>
        <w:t xml:space="preserve">význam </w:t>
      </w:r>
      <w:r>
        <w:rPr>
          <w:rStyle w:val="addmd"/>
          <w:i/>
        </w:rPr>
        <w:t>De anima</w:t>
      </w:r>
      <w:r w:rsidRPr="00273106">
        <w:rPr>
          <w:rStyle w:val="addmd"/>
        </w:rPr>
        <w:t xml:space="preserve"> 433a1‒5</w:t>
      </w:r>
      <w:r>
        <w:rPr>
          <w:rStyle w:val="addmd"/>
        </w:rPr>
        <w:fldChar w:fldCharType="begin"/>
      </w:r>
      <w:r>
        <w:instrText xml:space="preserve"> XE "Aristoteles:</w:instrText>
      </w:r>
      <w:r w:rsidRPr="00623956">
        <w:rPr>
          <w:rStyle w:val="addmd"/>
          <w:i/>
        </w:rPr>
        <w:instrText>De anima</w:instrText>
      </w:r>
      <w:r w:rsidRPr="00623956">
        <w:rPr>
          <w:rStyle w:val="addmd"/>
        </w:rPr>
        <w:instrText xml:space="preserve"> 433a1‒5</w:instrText>
      </w:r>
      <w:r>
        <w:instrText xml:space="preserve">" </w:instrText>
      </w:r>
      <w:r>
        <w:rPr>
          <w:rStyle w:val="addmd"/>
        </w:rPr>
        <w:fldChar w:fldCharType="end"/>
      </w:r>
      <w:r w:rsidRPr="00273106">
        <w:rPr>
          <w:rStyle w:val="addmd"/>
        </w:rPr>
        <w:t>.</w:t>
      </w:r>
    </w:p>
    <w:p w:rsidR="08163013" w:rsidRPr="002B683E" w:rsidRDefault="08163013" w:rsidP="08163013">
      <w:pPr>
        <w:pStyle w:val="Citace"/>
        <w:rPr>
          <w:rStyle w:val="addmd"/>
          <w:noProof/>
          <w:lang w:val="cs-CZ"/>
        </w:rPr>
      </w:pPr>
      <w:r w:rsidRPr="00273106">
        <w:rPr>
          <w:rStyle w:val="addmd"/>
          <w:noProof/>
          <w:lang w:val="cs-CZ"/>
        </w:rPr>
        <w:t>„</w:t>
      </w:r>
      <w:r>
        <w:rPr>
          <w:rStyle w:val="addmd"/>
          <w:noProof/>
          <w:lang w:val="cs-CZ"/>
        </w:rPr>
        <w:t xml:space="preserve">Spekulativní intelekt </w:t>
      </w:r>
      <w:r w:rsidR="00CF55AE">
        <w:rPr>
          <w:rStyle w:val="addmd"/>
          <w:noProof/>
          <w:lang w:val="cs-CZ"/>
        </w:rPr>
        <w:t xml:space="preserve">se stane praktickým skrze svůj </w:t>
      </w:r>
      <w:r>
        <w:rPr>
          <w:rStyle w:val="addmd"/>
          <w:noProof/>
          <w:lang w:val="cs-CZ"/>
        </w:rPr>
        <w:t>pře</w:t>
      </w:r>
      <w:r w:rsidR="00144764">
        <w:rPr>
          <w:rStyle w:val="addmd"/>
          <w:noProof/>
          <w:lang w:val="cs-CZ"/>
        </w:rPr>
        <w:t xml:space="preserve">sah </w:t>
      </w:r>
      <w:r>
        <w:rPr>
          <w:rStyle w:val="addmd"/>
          <w:noProof/>
          <w:lang w:val="cs-CZ"/>
        </w:rPr>
        <w:t>(</w:t>
      </w:r>
      <w:r w:rsidRPr="002B683E">
        <w:rPr>
          <w:rStyle w:val="addmd"/>
          <w:i/>
          <w:noProof/>
          <w:lang w:val="cs-CZ"/>
        </w:rPr>
        <w:t>speculativus per extensionem fit practicus</w:t>
      </w:r>
      <w:r>
        <w:rPr>
          <w:rStyle w:val="addmd"/>
          <w:noProof/>
          <w:lang w:val="cs-CZ"/>
        </w:rPr>
        <w:t xml:space="preserve">), a to skrze Aristotelův výrok ve třetí knize </w:t>
      </w:r>
      <w:r w:rsidRPr="002B683E">
        <w:rPr>
          <w:rStyle w:val="addmd"/>
          <w:i/>
          <w:noProof/>
          <w:lang w:val="cs-CZ"/>
        </w:rPr>
        <w:t>De anima</w:t>
      </w:r>
      <w:r>
        <w:rPr>
          <w:rStyle w:val="addmd"/>
          <w:noProof/>
          <w:lang w:val="cs-CZ"/>
        </w:rPr>
        <w:t>, kde se říká: «K in</w:t>
      </w:r>
      <w:r w:rsidR="00C81DBA">
        <w:rPr>
          <w:rStyle w:val="addmd"/>
          <w:noProof/>
          <w:lang w:val="cs-CZ"/>
        </w:rPr>
        <w:t xml:space="preserve">telektu zásadně patří schopnost, že se poznaným věcem buď vyhýbá nebo je napodobuje; to </w:t>
      </w:r>
      <w:r>
        <w:rPr>
          <w:rStyle w:val="addmd"/>
          <w:noProof/>
          <w:lang w:val="cs-CZ"/>
        </w:rPr>
        <w:t xml:space="preserve">intelekt nezpůsobuje přímo, ale skrze předmět </w:t>
      </w:r>
      <w:r w:rsidR="00C81DBA">
        <w:rPr>
          <w:rStyle w:val="addmd"/>
          <w:noProof/>
          <w:lang w:val="cs-CZ"/>
        </w:rPr>
        <w:t xml:space="preserve">svého </w:t>
      </w:r>
      <w:r>
        <w:rPr>
          <w:rStyle w:val="addmd"/>
          <w:noProof/>
          <w:lang w:val="cs-CZ"/>
        </w:rPr>
        <w:t>chtění. Člověk pak jedná podle své touhy, například skrze nezdrženlivost.»“ </w:t>
      </w:r>
      <w:r>
        <w:rPr>
          <w:rStyle w:val="Znakapoznpodarou"/>
        </w:rPr>
        <w:footnoteReference w:id="523"/>
      </w:r>
    </w:p>
    <w:p w:rsidR="08163013" w:rsidRDefault="08163013" w:rsidP="08163013">
      <w:pPr>
        <w:rPr>
          <w:rStyle w:val="addmd"/>
        </w:rPr>
      </w:pPr>
      <w:r>
        <w:rPr>
          <w:rStyle w:val="addmd"/>
        </w:rPr>
        <w:t xml:space="preserve">Citovaný odkaz na třetí knihu </w:t>
      </w:r>
      <w:r w:rsidRPr="00F43C67">
        <w:rPr>
          <w:rStyle w:val="addmd"/>
          <w:i/>
        </w:rPr>
        <w:t>De anima</w:t>
      </w:r>
      <w:r w:rsidRPr="006E3002">
        <w:rPr>
          <w:rStyle w:val="addmd"/>
        </w:rPr>
        <w:t xml:space="preserve"> </w:t>
      </w:r>
      <w:r w:rsidRPr="00273106">
        <w:rPr>
          <w:rStyle w:val="addmd"/>
        </w:rPr>
        <w:t xml:space="preserve">není </w:t>
      </w:r>
      <w:r>
        <w:rPr>
          <w:rStyle w:val="addmd"/>
        </w:rPr>
        <w:t>v</w:t>
      </w:r>
      <w:r w:rsidRPr="00273106">
        <w:rPr>
          <w:rStyle w:val="addmd"/>
        </w:rPr>
        <w:t xml:space="preserve"> </w:t>
      </w:r>
      <w:r>
        <w:rPr>
          <w:rStyle w:val="addmd"/>
        </w:rPr>
        <w:t>originále</w:t>
      </w:r>
      <w:r w:rsidRPr="00273106">
        <w:rPr>
          <w:rStyle w:val="addmd"/>
        </w:rPr>
        <w:t xml:space="preserve">, ale </w:t>
      </w:r>
      <w:r>
        <w:rPr>
          <w:rStyle w:val="addmd"/>
        </w:rPr>
        <w:t xml:space="preserve">představuje </w:t>
      </w:r>
      <w:r w:rsidRPr="00273106">
        <w:rPr>
          <w:rStyle w:val="addmd"/>
        </w:rPr>
        <w:t xml:space="preserve">parafrázi </w:t>
      </w:r>
      <w:r>
        <w:rPr>
          <w:rStyle w:val="addmd"/>
        </w:rPr>
        <w:t>podle Averroese (</w:t>
      </w:r>
      <w:r>
        <w:t>CMDA III.47; 515.9‒12</w:t>
      </w:r>
      <w:r>
        <w:fldChar w:fldCharType="begin"/>
      </w:r>
      <w:r>
        <w:instrText xml:space="preserve"> XE "</w:instrText>
      </w:r>
      <w:r w:rsidRPr="086351FB">
        <w:rPr>
          <w:rStyle w:val="addmd"/>
        </w:rPr>
        <w:instrText>Averroes:</w:instrText>
      </w:r>
      <w:r w:rsidRPr="086351FB">
        <w:instrText>CMDA 515.9‒12</w:instrText>
      </w:r>
      <w:r>
        <w:instrText xml:space="preserve">" </w:instrText>
      </w:r>
      <w:r>
        <w:fldChar w:fldCharType="end"/>
      </w:r>
      <w:r>
        <w:t>)</w:t>
      </w:r>
      <w:r w:rsidRPr="00273106">
        <w:rPr>
          <w:rStyle w:val="addmd"/>
        </w:rPr>
        <w:t>.</w:t>
      </w:r>
      <w:r>
        <w:rPr>
          <w:rStyle w:val="addmd"/>
        </w:rPr>
        <w:t xml:space="preserve"> </w:t>
      </w:r>
      <w:r w:rsidRPr="00273106">
        <w:rPr>
          <w:rStyle w:val="addmd"/>
        </w:rPr>
        <w:t xml:space="preserve">Albert považuje </w:t>
      </w:r>
      <w:r>
        <w:rPr>
          <w:rStyle w:val="addmd"/>
        </w:rPr>
        <w:lastRenderedPageBreak/>
        <w:t>Averroesův</w:t>
      </w:r>
      <w:r w:rsidRPr="00273106">
        <w:rPr>
          <w:rStyle w:val="addmd"/>
        </w:rPr>
        <w:t xml:space="preserve"> komentář </w:t>
      </w:r>
      <w:r w:rsidR="0087600A">
        <w:rPr>
          <w:rStyle w:val="addmd"/>
        </w:rPr>
        <w:t xml:space="preserve">ke </w:t>
      </w:r>
      <w:r w:rsidRPr="00273106">
        <w:rPr>
          <w:rStyle w:val="addmd"/>
        </w:rPr>
        <w:t xml:space="preserve">spojení teoretického a praktického intelektu za autentický výklad </w:t>
      </w:r>
      <w:r>
        <w:rPr>
          <w:rStyle w:val="addmd"/>
          <w:i/>
        </w:rPr>
        <w:t>De anima</w:t>
      </w:r>
      <w:r w:rsidRPr="00273106">
        <w:rPr>
          <w:rStyle w:val="addmd"/>
        </w:rPr>
        <w:t>.</w:t>
      </w:r>
      <w:r>
        <w:rPr>
          <w:rStyle w:val="addmd"/>
        </w:rPr>
        <w:t xml:space="preserve"> </w:t>
      </w:r>
      <w:r w:rsidRPr="00273106">
        <w:rPr>
          <w:rStyle w:val="addmd"/>
        </w:rPr>
        <w:t>Působení praktického intelektu pokrývá celou oblast prospěšného a škodlivého jednání (</w:t>
      </w:r>
      <w:r w:rsidRPr="00273106">
        <w:rPr>
          <w:rStyle w:val="addmd"/>
          <w:i/>
        </w:rPr>
        <w:t>amplius extendente se intellectu et dicente intelligibilia fugere aut imitari</w:t>
      </w:r>
      <w:r w:rsidRPr="00273106">
        <w:rPr>
          <w:rStyle w:val="addmd"/>
        </w:rPr>
        <w:t>). Ale nezdrženlivý člověk (</w:t>
      </w:r>
      <w:r w:rsidRPr="00273106">
        <w:rPr>
          <w:rStyle w:val="addmd"/>
          <w:i/>
        </w:rPr>
        <w:t>ut inabstinens</w:t>
      </w:r>
      <w:r w:rsidRPr="00273106">
        <w:rPr>
          <w:rStyle w:val="addmd"/>
        </w:rPr>
        <w:t>) sleduje podobně jako zvířata pouze impulzy dané ze smyslové imaginace a žádostivosti (</w:t>
      </w:r>
      <w:r w:rsidRPr="00273106">
        <w:rPr>
          <w:rStyle w:val="addmd"/>
          <w:i/>
        </w:rPr>
        <w:t>secundum desiderium agit</w:t>
      </w:r>
      <w:r w:rsidRPr="00273106">
        <w:rPr>
          <w:rStyle w:val="addmd"/>
        </w:rPr>
        <w:t>). Citace potvrzuje, že existuje diference mezi teoretickým věděním (</w:t>
      </w:r>
      <w:r w:rsidRPr="00273106">
        <w:rPr>
          <w:rStyle w:val="addmd"/>
          <w:i/>
        </w:rPr>
        <w:t>intellectus speculativus</w:t>
      </w:r>
      <w:r>
        <w:rPr>
          <w:rStyle w:val="addmd"/>
          <w:i/>
        </w:rPr>
        <w:fldChar w:fldCharType="begin"/>
      </w:r>
      <w:r>
        <w:instrText xml:space="preserve"> XE "</w:instrText>
      </w:r>
      <w:r>
        <w:rPr>
          <w:i/>
        </w:rPr>
        <w:instrText>intellectus speculativus</w:instrText>
      </w:r>
      <w:r>
        <w:instrText xml:space="preserve">" </w:instrText>
      </w:r>
      <w:r>
        <w:rPr>
          <w:rStyle w:val="addmd"/>
          <w:i/>
        </w:rPr>
        <w:fldChar w:fldCharType="end"/>
      </w:r>
      <w:r w:rsidRPr="00273106">
        <w:rPr>
          <w:rStyle w:val="addmd"/>
        </w:rPr>
        <w:t>), rozumnou praxí (</w:t>
      </w:r>
      <w:r w:rsidRPr="00273106">
        <w:rPr>
          <w:rStyle w:val="addmd"/>
          <w:i/>
        </w:rPr>
        <w:t>intellectus practicus</w:t>
      </w:r>
      <w:r>
        <w:rPr>
          <w:rStyle w:val="addmd"/>
          <w:i/>
        </w:rPr>
        <w:fldChar w:fldCharType="begin"/>
      </w:r>
      <w:r>
        <w:instrText xml:space="preserve"> XE "</w:instrText>
      </w:r>
      <w:r w:rsidRPr="001A1255">
        <w:rPr>
          <w:i/>
        </w:rPr>
        <w:instrText>intellectus practicus</w:instrText>
      </w:r>
      <w:r>
        <w:instrText xml:space="preserve">" </w:instrText>
      </w:r>
      <w:r>
        <w:rPr>
          <w:rStyle w:val="addmd"/>
          <w:i/>
        </w:rPr>
        <w:fldChar w:fldCharType="end"/>
      </w:r>
      <w:r w:rsidRPr="00273106">
        <w:rPr>
          <w:rStyle w:val="addmd"/>
        </w:rPr>
        <w:t>) a animální žádostivostí (</w:t>
      </w:r>
      <w:r w:rsidRPr="00273106">
        <w:rPr>
          <w:rStyle w:val="addmd"/>
          <w:i/>
        </w:rPr>
        <w:t>appetitus</w:t>
      </w:r>
      <w:r>
        <w:rPr>
          <w:rStyle w:val="addmd"/>
          <w:i/>
        </w:rPr>
        <w:fldChar w:fldCharType="begin"/>
      </w:r>
      <w:r>
        <w:instrText xml:space="preserve"> XE "</w:instrText>
      </w:r>
      <w:r w:rsidRPr="007E6333">
        <w:rPr>
          <w:i/>
        </w:rPr>
        <w:instrText>appetitus</w:instrText>
      </w:r>
      <w:r>
        <w:instrText xml:space="preserve">" </w:instrText>
      </w:r>
      <w:r>
        <w:rPr>
          <w:rStyle w:val="addmd"/>
          <w:i/>
        </w:rPr>
        <w:fldChar w:fldCharType="end"/>
      </w:r>
      <w:r w:rsidRPr="00273106">
        <w:rPr>
          <w:rStyle w:val="addmd"/>
        </w:rPr>
        <w:t xml:space="preserve">). </w:t>
      </w:r>
      <w:r>
        <w:rPr>
          <w:rStyle w:val="addmd"/>
        </w:rPr>
        <w:t xml:space="preserve">Morální a etické jednání se odlišilo od zvířecího pudu sebezáchovy a od teoretického nazírání. </w:t>
      </w:r>
      <w:r w:rsidR="001D43EC">
        <w:rPr>
          <w:rStyle w:val="addmd"/>
        </w:rPr>
        <w:t>S</w:t>
      </w:r>
      <w:r w:rsidRPr="00273106">
        <w:rPr>
          <w:rStyle w:val="addmd"/>
        </w:rPr>
        <w:t xml:space="preserve">pis </w:t>
      </w:r>
      <w:r w:rsidRPr="00273106">
        <w:rPr>
          <w:rStyle w:val="addmd"/>
          <w:i/>
        </w:rPr>
        <w:t>De homine</w:t>
      </w:r>
      <w:r w:rsidRPr="00273106">
        <w:rPr>
          <w:rStyle w:val="addmd"/>
        </w:rPr>
        <w:t xml:space="preserve"> </w:t>
      </w:r>
      <w:r>
        <w:rPr>
          <w:rStyle w:val="addmd"/>
        </w:rPr>
        <w:t xml:space="preserve">proto </w:t>
      </w:r>
      <w:r w:rsidRPr="00273106">
        <w:rPr>
          <w:rStyle w:val="addmd"/>
        </w:rPr>
        <w:t>řadí pojednání o praktickém intelektu za výše uvedené rozbory spekulativního intelektu pojednané podle CMDA</w:t>
      </w:r>
      <w:r>
        <w:rPr>
          <w:rStyle w:val="addmd"/>
        </w:rPr>
        <w:t xml:space="preserve"> (kap. 4.4.2)</w:t>
      </w:r>
      <w:r w:rsidRPr="00273106">
        <w:rPr>
          <w:rStyle w:val="addmd"/>
        </w:rPr>
        <w:t xml:space="preserve">. </w:t>
      </w:r>
      <w:r w:rsidR="00667BB1" w:rsidRPr="00667BB1">
        <w:t>Albert</w:t>
      </w:r>
      <w:r w:rsidR="00667BB1">
        <w:rPr>
          <w:rStyle w:val="addmd"/>
        </w:rPr>
        <w:fldChar w:fldCharType="begin"/>
      </w:r>
      <w:r w:rsidR="00667BB1">
        <w:instrText xml:space="preserve"> XE "</w:instrText>
      </w:r>
      <w:r w:rsidR="00667BB1" w:rsidRPr="00BE4B2D">
        <w:instrText>etika:Albert</w:instrText>
      </w:r>
      <w:r w:rsidR="00667BB1">
        <w:instrText xml:space="preserve">" </w:instrText>
      </w:r>
      <w:r w:rsidR="00667BB1">
        <w:rPr>
          <w:rStyle w:val="addmd"/>
        </w:rPr>
        <w:fldChar w:fldCharType="end"/>
      </w:r>
      <w:r w:rsidR="00667BB1" w:rsidRPr="00667BB1">
        <w:t xml:space="preserve"> spojil Averroesovo </w:t>
      </w:r>
      <w:r w:rsidR="00667BB1">
        <w:t>na</w:t>
      </w:r>
      <w:r w:rsidR="00667BB1" w:rsidRPr="00667BB1">
        <w:t>pojení obou intelektů (</w:t>
      </w:r>
      <w:r w:rsidR="00667BB1" w:rsidRPr="00667BB1">
        <w:rPr>
          <w:i/>
          <w:iCs/>
        </w:rPr>
        <w:t>speculativus per extensionem fit practicus</w:t>
      </w:r>
      <w:r w:rsidR="00667BB1" w:rsidRPr="00667BB1">
        <w:t xml:space="preserve">) s výkladem </w:t>
      </w:r>
      <w:r w:rsidR="00667BB1" w:rsidRPr="00667BB1">
        <w:rPr>
          <w:i/>
          <w:iCs/>
        </w:rPr>
        <w:t>Ethica Vetus</w:t>
      </w:r>
      <w:r w:rsidR="00667BB1" w:rsidRPr="00667BB1">
        <w:t xml:space="preserve">; byl to významný krok pro racionální výklad </w:t>
      </w:r>
      <w:r w:rsidR="00667BB1" w:rsidRPr="00667BB1">
        <w:rPr>
          <w:i/>
          <w:iCs/>
        </w:rPr>
        <w:t>Etiky</w:t>
      </w:r>
      <w:r w:rsidR="00667BB1" w:rsidRPr="00667BB1">
        <w:t xml:space="preserve"> oddělený od neoplatónské mystické teologie</w:t>
      </w:r>
      <w:r w:rsidR="00667BB1">
        <w:t xml:space="preserve">. </w:t>
      </w:r>
      <w:r>
        <w:t xml:space="preserve">Teze </w:t>
      </w:r>
      <w:r w:rsidR="00667BB1">
        <w:t>„</w:t>
      </w:r>
      <w:r w:rsidRPr="00273106">
        <w:rPr>
          <w:rStyle w:val="addmd"/>
          <w:i/>
        </w:rPr>
        <w:t>speculativus per extensionem fit practicus</w:t>
      </w:r>
      <w:r w:rsidR="00667BB1">
        <w:rPr>
          <w:rStyle w:val="addmd"/>
        </w:rPr>
        <w:t>“</w:t>
      </w:r>
      <w:r w:rsidRPr="00273106">
        <w:rPr>
          <w:rStyle w:val="addmd"/>
        </w:rPr>
        <w:t xml:space="preserve"> </w:t>
      </w:r>
      <w:r w:rsidR="00667BB1">
        <w:rPr>
          <w:rStyle w:val="addmd"/>
        </w:rPr>
        <w:t xml:space="preserve">byla </w:t>
      </w:r>
      <w:r w:rsidRPr="00273106">
        <w:rPr>
          <w:rStyle w:val="addmd"/>
        </w:rPr>
        <w:t xml:space="preserve">v </w:t>
      </w:r>
      <w:r>
        <w:rPr>
          <w:rStyle w:val="addmd"/>
        </w:rPr>
        <w:t xml:space="preserve">neoplatonismu </w:t>
      </w:r>
      <w:r w:rsidR="00667BB1">
        <w:rPr>
          <w:rStyle w:val="addmd"/>
        </w:rPr>
        <w:t xml:space="preserve">vyložena </w:t>
      </w:r>
      <w:r>
        <w:rPr>
          <w:rStyle w:val="addmd"/>
        </w:rPr>
        <w:t>podle Avicennovy metafyziky určené nasvícením praktického intelektu zezadu</w:t>
      </w:r>
      <w:r w:rsidR="00D626B6">
        <w:rPr>
          <w:rStyle w:val="addmd"/>
        </w:rPr>
        <w:t>,</w:t>
      </w:r>
      <w:r>
        <w:rPr>
          <w:rStyle w:val="addmd"/>
        </w:rPr>
        <w:t xml:space="preserve"> od hypostázovaného dobra</w:t>
      </w:r>
      <w:r>
        <w:rPr>
          <w:rStyle w:val="addmd"/>
        </w:rPr>
        <w:fldChar w:fldCharType="begin"/>
      </w:r>
      <w:r>
        <w:instrText xml:space="preserve"> XE "</w:instrText>
      </w:r>
      <w:r w:rsidRPr="00B45D01">
        <w:instrText>zjevování:nasvícení zezadu</w:instrText>
      </w:r>
      <w:r>
        <w:instrText xml:space="preserve">" </w:instrText>
      </w:r>
      <w:r>
        <w:rPr>
          <w:rStyle w:val="addmd"/>
        </w:rPr>
        <w:fldChar w:fldCharType="end"/>
      </w:r>
      <w:r>
        <w:rPr>
          <w:rStyle w:val="addmd"/>
        </w:rPr>
        <w:t>. Z</w:t>
      </w:r>
      <w:r w:rsidRPr="00273106">
        <w:rPr>
          <w:rStyle w:val="addmd"/>
        </w:rPr>
        <w:t xml:space="preserve">důvodnění etiky začíná u mystické kontemplace, a pak jde do reality. </w:t>
      </w:r>
      <w:r w:rsidR="002334D4">
        <w:rPr>
          <w:rStyle w:val="addmd"/>
        </w:rPr>
        <w:t>P</w:t>
      </w:r>
      <w:r w:rsidR="002334D4" w:rsidRPr="00273106">
        <w:rPr>
          <w:rStyle w:val="addmd"/>
        </w:rPr>
        <w:t xml:space="preserve">okračování citátu </w:t>
      </w:r>
      <w:r w:rsidR="00F33B95">
        <w:rPr>
          <w:rStyle w:val="addmd"/>
        </w:rPr>
        <w:t xml:space="preserve">vzatého </w:t>
      </w:r>
      <w:r w:rsidR="002334D4" w:rsidRPr="00273106">
        <w:rPr>
          <w:rStyle w:val="addmd"/>
        </w:rPr>
        <w:t xml:space="preserve">z </w:t>
      </w:r>
      <w:proofErr w:type="gramStart"/>
      <w:r w:rsidR="002334D4" w:rsidRPr="00273106">
        <w:rPr>
          <w:rStyle w:val="addmd"/>
          <w:i/>
        </w:rPr>
        <w:t>De</w:t>
      </w:r>
      <w:proofErr w:type="gramEnd"/>
      <w:r w:rsidR="002334D4" w:rsidRPr="00273106">
        <w:rPr>
          <w:rStyle w:val="addmd"/>
          <w:i/>
        </w:rPr>
        <w:t xml:space="preserve"> homine</w:t>
      </w:r>
      <w:r w:rsidR="002334D4">
        <w:rPr>
          <w:rStyle w:val="addmd"/>
          <w:i/>
        </w:rPr>
        <w:t xml:space="preserve"> </w:t>
      </w:r>
      <w:r w:rsidR="002334D4">
        <w:rPr>
          <w:rStyle w:val="addmd"/>
        </w:rPr>
        <w:t>jasně dokazuje o</w:t>
      </w:r>
      <w:r>
        <w:rPr>
          <w:rStyle w:val="addmd"/>
        </w:rPr>
        <w:t>dmítnutí tohoto pojetí</w:t>
      </w:r>
      <w:r w:rsidR="002334D4">
        <w:rPr>
          <w:rStyle w:val="addmd"/>
        </w:rPr>
        <w:t xml:space="preserve">; Albert </w:t>
      </w:r>
      <w:r w:rsidRPr="00273106">
        <w:rPr>
          <w:rStyle w:val="addmd"/>
        </w:rPr>
        <w:t xml:space="preserve">nesouhlasí s filosofickou pozicí </w:t>
      </w:r>
      <w:r>
        <w:rPr>
          <w:rStyle w:val="addmd"/>
        </w:rPr>
        <w:t>druhého averroismu</w:t>
      </w:r>
      <w:r w:rsidRPr="00273106">
        <w:rPr>
          <w:rStyle w:val="addmd"/>
        </w:rPr>
        <w:t>.</w:t>
      </w:r>
    </w:p>
    <w:p w:rsidR="08163013" w:rsidRPr="00B63EF9" w:rsidRDefault="08163013" w:rsidP="08163013">
      <w:pPr>
        <w:pStyle w:val="Citace"/>
        <w:rPr>
          <w:noProof/>
        </w:rPr>
      </w:pPr>
      <w:r w:rsidRPr="00273106">
        <w:rPr>
          <w:rStyle w:val="addmd"/>
          <w:noProof/>
          <w:lang w:val="cs-CZ"/>
        </w:rPr>
        <w:t>„</w:t>
      </w:r>
      <w:r>
        <w:rPr>
          <w:rStyle w:val="addmd"/>
          <w:noProof/>
          <w:lang w:val="cs-CZ"/>
        </w:rPr>
        <w:t xml:space="preserve">Nyní si je třeba položit otázku: Odkud pochází toto rozšíření? Někteří říkají, že je dáno skrze pravdivou definici danou v definici dobra nebo zla. Odvolávají se na Filosofa, který řekl v </w:t>
      </w:r>
      <w:r w:rsidRPr="08CF74D3">
        <w:rPr>
          <w:rStyle w:val="addmd"/>
          <w:i/>
          <w:noProof/>
          <w:lang w:val="cs-CZ"/>
        </w:rPr>
        <w:t>Etice Nikomachově</w:t>
      </w:r>
      <w:r>
        <w:rPr>
          <w:rStyle w:val="addmd"/>
          <w:noProof/>
          <w:lang w:val="cs-CZ"/>
        </w:rPr>
        <w:t>, že morální jednání není v kontemplaci milosti, ale v tom, že se stáváme dobrými</w:t>
      </w:r>
      <w:r w:rsidR="00854CB1">
        <w:rPr>
          <w:rStyle w:val="addmd"/>
          <w:noProof/>
          <w:lang w:val="cs-CZ"/>
        </w:rPr>
        <w:t xml:space="preserve"> lidmi</w:t>
      </w:r>
      <w:r>
        <w:rPr>
          <w:rStyle w:val="addmd"/>
          <w:noProof/>
          <w:lang w:val="cs-CZ"/>
        </w:rPr>
        <w:t xml:space="preserve">.“ </w:t>
      </w:r>
      <w:r>
        <w:rPr>
          <w:rStyle w:val="Znakapoznpodarou"/>
        </w:rPr>
        <w:footnoteReference w:id="524"/>
      </w:r>
    </w:p>
    <w:p w:rsidR="003C7678" w:rsidRDefault="08163013" w:rsidP="003B7E16">
      <w:r>
        <w:t xml:space="preserve">Hermeneutika </w:t>
      </w:r>
      <w:r w:rsidRPr="00273106">
        <w:t xml:space="preserve">musí znovu položit </w:t>
      </w:r>
      <w:r>
        <w:t xml:space="preserve">Averroesovu a </w:t>
      </w:r>
      <w:r w:rsidRPr="00273106">
        <w:t>Albertovu otázku zkoumající povahu extenze teoretického intelektu směrem k praktickému (</w:t>
      </w:r>
      <w:r w:rsidRPr="00273106">
        <w:rPr>
          <w:rStyle w:val="addmd"/>
          <w:i/>
        </w:rPr>
        <w:t>quas sit ista extensio</w:t>
      </w:r>
      <w:r w:rsidRPr="00273106">
        <w:t xml:space="preserve">). </w:t>
      </w:r>
      <w:r w:rsidR="00C76169">
        <w:t>S</w:t>
      </w:r>
      <w:r w:rsidRPr="00273106">
        <w:t xml:space="preserve">pojení teoretické a praktické filosofie </w:t>
      </w:r>
      <w:r w:rsidR="00C76169">
        <w:t xml:space="preserve">představuje </w:t>
      </w:r>
      <w:r w:rsidRPr="00273106">
        <w:t>o zá</w:t>
      </w:r>
      <w:r w:rsidR="00C76169">
        <w:t xml:space="preserve">sadní </w:t>
      </w:r>
      <w:r w:rsidRPr="00273106">
        <w:t>problém</w:t>
      </w:r>
      <w:r>
        <w:t xml:space="preserve">. To jasně viděl postmoderní </w:t>
      </w:r>
      <w:r w:rsidRPr="00273106">
        <w:t xml:space="preserve">Kant v </w:t>
      </w:r>
      <w:r w:rsidRPr="08CF74D3">
        <w:rPr>
          <w:i/>
        </w:rPr>
        <w:t>Kritice praktického rozumu</w:t>
      </w:r>
      <w:r>
        <w:t xml:space="preserve"> a položil podobnou otázku jako Albert</w:t>
      </w:r>
      <w:r w:rsidRPr="00273106">
        <w:t>.</w:t>
      </w:r>
      <w:r w:rsidRPr="00273106">
        <w:rPr>
          <w:rStyle w:val="Znakapoznpodarou"/>
        </w:rPr>
        <w:footnoteReference w:id="525"/>
      </w:r>
      <w:r w:rsidRPr="00273106">
        <w:t xml:space="preserve"> </w:t>
      </w:r>
      <w:r>
        <w:t xml:space="preserve">Citát dvojím použitím </w:t>
      </w:r>
      <w:r w:rsidR="007B2254">
        <w:t>termínu „</w:t>
      </w:r>
      <w:r w:rsidRPr="082A02E0">
        <w:rPr>
          <w:i/>
        </w:rPr>
        <w:t>ratio</w:t>
      </w:r>
      <w:r w:rsidR="007B2254">
        <w:t>“</w:t>
      </w:r>
      <w:r>
        <w:t xml:space="preserve"> nazna</w:t>
      </w:r>
      <w:r w:rsidR="00C743ED">
        <w:t xml:space="preserve">čuje, že pravdivá definice etického dobra a zla je </w:t>
      </w:r>
      <w:r>
        <w:t xml:space="preserve">odlišná od teoretické definice </w:t>
      </w:r>
      <w:r w:rsidR="00C743ED">
        <w:t xml:space="preserve">pravdy </w:t>
      </w:r>
      <w:r>
        <w:t>(</w:t>
      </w:r>
      <w:r w:rsidRPr="082A02E0">
        <w:rPr>
          <w:rStyle w:val="addmd"/>
          <w:i/>
        </w:rPr>
        <w:t>a ratione veri in rationem boni vel mali</w:t>
      </w:r>
      <w:r>
        <w:t xml:space="preserve">). Neoplatonimus </w:t>
      </w:r>
      <w:r w:rsidRPr="00273106">
        <w:t>přev</w:t>
      </w:r>
      <w:r w:rsidR="00A13DC2">
        <w:t>edl</w:t>
      </w:r>
      <w:r w:rsidRPr="00273106">
        <w:t xml:space="preserve"> </w:t>
      </w:r>
      <w:r>
        <w:lastRenderedPageBreak/>
        <w:t xml:space="preserve">dobré jednání </w:t>
      </w:r>
      <w:r w:rsidRPr="00273106">
        <w:t xml:space="preserve">na </w:t>
      </w:r>
      <w:r>
        <w:t xml:space="preserve">mystickou </w:t>
      </w:r>
      <w:r w:rsidRPr="00273106">
        <w:t>kontemplaci božího dobra (</w:t>
      </w:r>
      <w:r w:rsidRPr="00273106">
        <w:rPr>
          <w:rStyle w:val="addmd"/>
          <w:i/>
        </w:rPr>
        <w:t>contemplandi gratia</w:t>
      </w:r>
      <w:r w:rsidRPr="00273106">
        <w:t>), místo aby řeši</w:t>
      </w:r>
      <w:r>
        <w:t>l</w:t>
      </w:r>
      <w:r w:rsidRPr="00273106">
        <w:t xml:space="preserve"> otázku politické a morální výtečnosti</w:t>
      </w:r>
      <w:r>
        <w:t xml:space="preserve"> ve výkonu </w:t>
      </w:r>
      <w:r w:rsidR="00497704">
        <w:t xml:space="preserve">osobní </w:t>
      </w:r>
      <w:r>
        <w:t>existence</w:t>
      </w:r>
      <w:r w:rsidRPr="00273106">
        <w:t xml:space="preserve">, jak to chce </w:t>
      </w:r>
      <w:r>
        <w:t>Aristoteles</w:t>
      </w:r>
      <w:r w:rsidRPr="00273106">
        <w:t xml:space="preserve"> (</w:t>
      </w:r>
      <w:r w:rsidRPr="00273106">
        <w:rPr>
          <w:rStyle w:val="addmd"/>
          <w:i/>
        </w:rPr>
        <w:t>boni fiamus</w:t>
      </w:r>
      <w:r w:rsidRPr="00273106">
        <w:t xml:space="preserve">). </w:t>
      </w:r>
      <w:r>
        <w:t xml:space="preserve">Albert zásadně </w:t>
      </w:r>
      <w:r w:rsidRPr="00273106">
        <w:t>nesouhlasí s interpretací</w:t>
      </w:r>
      <w:r>
        <w:t xml:space="preserve"> </w:t>
      </w:r>
      <w:r w:rsidRPr="08CF74D3">
        <w:rPr>
          <w:i/>
        </w:rPr>
        <w:t>Etiky</w:t>
      </w:r>
      <w:r>
        <w:t xml:space="preserve"> podle druhého averroismu. </w:t>
      </w:r>
      <w:r w:rsidRPr="00273106">
        <w:t xml:space="preserve">Kritizovaní myslitelé nejprve řeší teoretickou kontemplaci dobra </w:t>
      </w:r>
      <w:r>
        <w:t xml:space="preserve">a zla, z níž pak </w:t>
      </w:r>
      <w:r w:rsidRPr="00273106">
        <w:t xml:space="preserve">dedukují </w:t>
      </w:r>
      <w:r>
        <w:t xml:space="preserve">principy </w:t>
      </w:r>
      <w:r w:rsidRPr="00273106">
        <w:t>praktické</w:t>
      </w:r>
      <w:r>
        <w:t>ho</w:t>
      </w:r>
      <w:r w:rsidRPr="00273106">
        <w:t xml:space="preserve"> jednání. </w:t>
      </w:r>
      <w:r w:rsidRPr="00273106">
        <w:rPr>
          <w:rStyle w:val="addmd"/>
        </w:rPr>
        <w:t xml:space="preserve">Teoretické nazírání </w:t>
      </w:r>
      <w:r w:rsidR="00DC00BE">
        <w:rPr>
          <w:i/>
          <w:lang w:eastAsia="en-US"/>
        </w:rPr>
        <w:t>d</w:t>
      </w:r>
      <w:r w:rsidR="00DC00BE" w:rsidRPr="00D5311D">
        <w:rPr>
          <w:i/>
          <w:lang w:eastAsia="en-US"/>
        </w:rPr>
        <w:t>octores Latini</w:t>
      </w:r>
      <w:r w:rsidR="00DC00BE">
        <w:rPr>
          <w:i/>
          <w:lang w:eastAsia="en-US"/>
        </w:rPr>
        <w:t xml:space="preserve"> </w:t>
      </w:r>
      <w:r w:rsidRPr="00273106">
        <w:rPr>
          <w:rStyle w:val="addmd"/>
        </w:rPr>
        <w:t>završuje morální jednání a politickou praxi tím,</w:t>
      </w:r>
      <w:r>
        <w:rPr>
          <w:rStyle w:val="addmd"/>
        </w:rPr>
        <w:t xml:space="preserve"> že </w:t>
      </w:r>
      <w:r w:rsidRPr="00273106">
        <w:rPr>
          <w:rStyle w:val="addmd"/>
        </w:rPr>
        <w:t xml:space="preserve">determinuje </w:t>
      </w:r>
      <w:r w:rsidRPr="0042648F">
        <w:rPr>
          <w:rStyle w:val="addmd"/>
          <w:i/>
        </w:rPr>
        <w:t>intellectus practicus</w:t>
      </w:r>
      <w:r>
        <w:rPr>
          <w:rStyle w:val="addmd"/>
          <w:i/>
        </w:rPr>
        <w:fldChar w:fldCharType="begin"/>
      </w:r>
      <w:r>
        <w:instrText xml:space="preserve"> XE "</w:instrText>
      </w:r>
      <w:r w:rsidRPr="001A1255">
        <w:rPr>
          <w:i/>
        </w:rPr>
        <w:instrText>intellectus practicus</w:instrText>
      </w:r>
      <w:r>
        <w:instrText xml:space="preserve">" </w:instrText>
      </w:r>
      <w:r>
        <w:rPr>
          <w:rStyle w:val="addmd"/>
          <w:i/>
        </w:rPr>
        <w:fldChar w:fldCharType="end"/>
      </w:r>
      <w:r>
        <w:rPr>
          <w:rStyle w:val="addmd"/>
        </w:rPr>
        <w:t xml:space="preserve"> </w:t>
      </w:r>
      <w:r w:rsidRPr="00273106">
        <w:rPr>
          <w:rStyle w:val="addmd"/>
        </w:rPr>
        <w:t>podle nasvícení smyslu jsoucna zezadu</w:t>
      </w:r>
      <w:r>
        <w:rPr>
          <w:rStyle w:val="addmd"/>
        </w:rPr>
        <w:t xml:space="preserve"> a podle </w:t>
      </w:r>
      <w:r>
        <w:rPr>
          <w:rStyle w:val="addmd"/>
          <w:i/>
        </w:rPr>
        <w:t>Oxf</w:t>
      </w:r>
      <w:r w:rsidRPr="007233B3">
        <w:rPr>
          <w:rStyle w:val="addmd"/>
          <w:i/>
        </w:rPr>
        <w:t>ordian Fallacy</w:t>
      </w:r>
      <w:r>
        <w:rPr>
          <w:rStyle w:val="addmd"/>
          <w:i/>
        </w:rPr>
        <w:fldChar w:fldCharType="begin"/>
      </w:r>
      <w:r>
        <w:instrText xml:space="preserve"> XE "</w:instrText>
      </w:r>
      <w:r w:rsidRPr="0015798D">
        <w:rPr>
          <w:i/>
        </w:rPr>
        <w:instrText>Oxfordian Fallacy:</w:instrText>
      </w:r>
      <w:r w:rsidRPr="006D4D46">
        <w:instrText>politika</w:instrText>
      </w:r>
      <w:r>
        <w:instrText xml:space="preserve">" </w:instrText>
      </w:r>
      <w:r>
        <w:rPr>
          <w:rStyle w:val="addmd"/>
          <w:i/>
        </w:rPr>
        <w:fldChar w:fldCharType="end"/>
      </w:r>
      <w:r w:rsidRPr="00273106">
        <w:rPr>
          <w:rStyle w:val="addmd"/>
        </w:rPr>
        <w:t xml:space="preserve">. Jak již víme z předešlých matric, tento scénář zavedli do filosofie latinští </w:t>
      </w:r>
      <w:r w:rsidRPr="00273106">
        <w:rPr>
          <w:rStyle w:val="addmd"/>
          <w:i/>
        </w:rPr>
        <w:t>Moderni</w:t>
      </w:r>
      <w:r>
        <w:rPr>
          <w:rStyle w:val="addmd"/>
          <w:i/>
        </w:rPr>
        <w:fldChar w:fldCharType="begin"/>
      </w:r>
      <w:r>
        <w:instrText xml:space="preserve"> XE "</w:instrText>
      </w:r>
      <w:r w:rsidRPr="00B46F32">
        <w:instrText>averroismus:</w:instrText>
      </w:r>
      <w:r w:rsidRPr="006D4D46">
        <w:rPr>
          <w:i/>
        </w:rPr>
        <w:instrText>Moderni</w:instrText>
      </w:r>
      <w:r>
        <w:instrText xml:space="preserve">" </w:instrText>
      </w:r>
      <w:r>
        <w:rPr>
          <w:rStyle w:val="addmd"/>
          <w:i/>
        </w:rPr>
        <w:fldChar w:fldCharType="end"/>
      </w:r>
      <w:r w:rsidRPr="00273106">
        <w:rPr>
          <w:rStyle w:val="addmd"/>
        </w:rPr>
        <w:t xml:space="preserve"> podle Avicenny. </w:t>
      </w:r>
      <w:r>
        <w:rPr>
          <w:rStyle w:val="addmd"/>
        </w:rPr>
        <w:t>Aristoteles</w:t>
      </w:r>
      <w:r w:rsidRPr="00273106">
        <w:rPr>
          <w:rStyle w:val="addmd"/>
        </w:rPr>
        <w:t xml:space="preserve"> postupuje přesně opačně, viz příkladnou analýzu </w:t>
      </w:r>
      <w:r>
        <w:rPr>
          <w:rStyle w:val="addmd"/>
          <w:i/>
        </w:rPr>
        <w:t>De anima</w:t>
      </w:r>
      <w:r w:rsidR="00077D2B">
        <w:rPr>
          <w:rStyle w:val="addmd"/>
        </w:rPr>
        <w:t xml:space="preserve"> od Sigera (kap. 4</w:t>
      </w:r>
      <w:r w:rsidRPr="00273106">
        <w:rPr>
          <w:rStyle w:val="addmd"/>
        </w:rPr>
        <w:t xml:space="preserve">.4.1). </w:t>
      </w:r>
      <w:r w:rsidR="009E12C4">
        <w:rPr>
          <w:rStyle w:val="addmd"/>
        </w:rPr>
        <w:t xml:space="preserve">Aktuální existence </w:t>
      </w:r>
      <w:r w:rsidRPr="00273106">
        <w:rPr>
          <w:rStyle w:val="addmd"/>
        </w:rPr>
        <w:t xml:space="preserve">je dána tím, že </w:t>
      </w:r>
      <w:r w:rsidR="009E12C4">
        <w:rPr>
          <w:rStyle w:val="addmd"/>
        </w:rPr>
        <w:t>osoba e</w:t>
      </w:r>
      <w:r w:rsidRPr="00273106">
        <w:t>xistuje pouze v jedné substanci</w:t>
      </w:r>
      <w:r w:rsidR="009E12C4">
        <w:t xml:space="preserve">; Siger vyloučil dokonce i </w:t>
      </w:r>
      <w:r w:rsidRPr="00273106">
        <w:t xml:space="preserve">pluralita </w:t>
      </w:r>
      <w:r w:rsidR="009E12C4">
        <w:t xml:space="preserve">forem v člověku. </w:t>
      </w:r>
      <w:r w:rsidRPr="00273106">
        <w:t xml:space="preserve">Proto je třeba zkoumat zvláštní povahu intelektuálního aktu z výkonu ipseitně dané existence. Pak i pro etiku platí výše uvedený Aristotelův citát z díla </w:t>
      </w:r>
      <w:r w:rsidRPr="00273106">
        <w:rPr>
          <w:i/>
        </w:rPr>
        <w:t>De generatione animalium</w:t>
      </w:r>
      <w:r w:rsidRPr="00273106">
        <w:t xml:space="preserve"> </w:t>
      </w:r>
      <w:proofErr w:type="gramStart"/>
      <w:r w:rsidRPr="00273106">
        <w:t>II.3 (τῆς</w:t>
      </w:r>
      <w:proofErr w:type="gramEnd"/>
      <w:r w:rsidRPr="00273106">
        <w:t xml:space="preserve"> τοιαύτης ψυχῆς ἔργον</w:t>
      </w:r>
      <w:r>
        <w:fldChar w:fldCharType="begin"/>
      </w:r>
      <w:r>
        <w:instrText xml:space="preserve"> XE "Aristoteles:</w:instrText>
      </w:r>
      <w:r w:rsidRPr="00273106">
        <w:rPr>
          <w:i/>
        </w:rPr>
        <w:instrText>De generatione animalium</w:instrText>
      </w:r>
      <w:r w:rsidRPr="00273106">
        <w:instrText xml:space="preserve"> </w:instrText>
      </w:r>
      <w:r w:rsidRPr="00FE3B5D">
        <w:instrText>736b12</w:instrText>
      </w:r>
      <w:r>
        <w:instrText xml:space="preserve">" </w:instrText>
      </w:r>
      <w:r>
        <w:fldChar w:fldCharType="end"/>
      </w:r>
      <w:r w:rsidR="00954E21">
        <w:t>), který cituje Siger (kap. 4</w:t>
      </w:r>
      <w:r w:rsidRPr="00273106">
        <w:t xml:space="preserve">.4.2). Stejně tak Albert viděl skutečný smysl </w:t>
      </w:r>
      <w:r w:rsidRPr="08CF74D3">
        <w:rPr>
          <w:i/>
        </w:rPr>
        <w:t>Etiky Nikomachovy</w:t>
      </w:r>
      <w:r w:rsidRPr="00273106">
        <w:t xml:space="preserve"> v aktuálním výkonu ctnostného života </w:t>
      </w:r>
      <w:r w:rsidR="00F34FFA">
        <w:t>osoby</w:t>
      </w:r>
      <w:r w:rsidRPr="00273106">
        <w:t>. Extenze teoretického intele</w:t>
      </w:r>
      <w:r w:rsidR="006B229C">
        <w:t>ktu směrem k praktickému dostala</w:t>
      </w:r>
      <w:r w:rsidRPr="00273106">
        <w:t xml:space="preserve"> </w:t>
      </w:r>
      <w:r w:rsidR="006B229C">
        <w:t>ve škole prvního averroismu s</w:t>
      </w:r>
      <w:r>
        <w:t xml:space="preserve">icilské provenience </w:t>
      </w:r>
      <w:r w:rsidR="006B229C">
        <w:t xml:space="preserve">zásadně </w:t>
      </w:r>
      <w:r w:rsidRPr="00273106">
        <w:t xml:space="preserve">odlišný význam, než v neoplatonismu </w:t>
      </w:r>
      <w:r w:rsidRPr="006B229C">
        <w:rPr>
          <w:i/>
        </w:rPr>
        <w:t>Modernorum</w:t>
      </w:r>
      <w:r w:rsidR="006B229C">
        <w:t xml:space="preserve">. Ti </w:t>
      </w:r>
      <w:r w:rsidRPr="006B229C">
        <w:t>vykláda</w:t>
      </w:r>
      <w:r w:rsidR="006B229C">
        <w:t xml:space="preserve">li </w:t>
      </w:r>
      <w:r w:rsidRPr="08A5322F">
        <w:rPr>
          <w:i/>
        </w:rPr>
        <w:t>Etiku</w:t>
      </w:r>
      <w:r w:rsidRPr="08A5322F">
        <w:t xml:space="preserve"> podle dualism</w:t>
      </w:r>
      <w:r>
        <w:t xml:space="preserve">u </w:t>
      </w:r>
      <w:r w:rsidRPr="088E3E99">
        <w:t>Toledské školy.</w:t>
      </w:r>
      <w:r>
        <w:t xml:space="preserve"> Tento směr ve výkladu </w:t>
      </w:r>
      <w:r w:rsidRPr="08CF74D3">
        <w:rPr>
          <w:i/>
        </w:rPr>
        <w:t>Etiky</w:t>
      </w:r>
      <w:r>
        <w:t xml:space="preserve"> kraloval v do</w:t>
      </w:r>
      <w:r w:rsidR="003C7678">
        <w:t>bě Albertových studií v Paříži.</w:t>
      </w:r>
    </w:p>
    <w:p w:rsidR="003B7E16" w:rsidRPr="003B7E16" w:rsidRDefault="08163013" w:rsidP="003C7678">
      <w:pPr>
        <w:ind w:firstLine="397"/>
      </w:pPr>
      <w:r w:rsidRPr="00273106">
        <w:t xml:space="preserve">V době redakce </w:t>
      </w:r>
      <w:r w:rsidRPr="00273106">
        <w:rPr>
          <w:i/>
        </w:rPr>
        <w:t>De homine</w:t>
      </w:r>
      <w:r w:rsidRPr="00273106">
        <w:t xml:space="preserve"> mohl Albert číst tzv. </w:t>
      </w:r>
      <w:r w:rsidRPr="00273106">
        <w:rPr>
          <w:i/>
        </w:rPr>
        <w:t>Guide de l'étudiant parisien</w:t>
      </w:r>
      <w:r w:rsidRPr="00273106">
        <w:t xml:space="preserve"> (1230‒40), kde je smysl </w:t>
      </w:r>
      <w:r w:rsidRPr="08CF74D3">
        <w:rPr>
          <w:i/>
        </w:rPr>
        <w:t>Etiky</w:t>
      </w:r>
      <w:r w:rsidRPr="00273106">
        <w:t xml:space="preserve"> shrnut v teoretické kontemplaci.</w:t>
      </w:r>
      <w:r w:rsidRPr="00273106">
        <w:rPr>
          <w:rStyle w:val="Znakapoznpodarou"/>
        </w:rPr>
        <w:footnoteReference w:id="526"/>
      </w:r>
      <w:r w:rsidRPr="00273106">
        <w:t xml:space="preserve"> Podobný styl najdeme v komentáři </w:t>
      </w:r>
      <w:r w:rsidRPr="08CF74D3">
        <w:rPr>
          <w:i/>
        </w:rPr>
        <w:t>Etiky</w:t>
      </w:r>
      <w:r w:rsidRPr="00273106">
        <w:t xml:space="preserve"> od mistra Arnolda z Provence</w:t>
      </w:r>
      <w:r>
        <w:fldChar w:fldCharType="begin"/>
      </w:r>
      <w:r>
        <w:instrText xml:space="preserve"> XE "Arnold</w:instrText>
      </w:r>
      <w:r w:rsidRPr="00B41438">
        <w:instrText xml:space="preserve"> z Provence</w:instrText>
      </w:r>
      <w:r>
        <w:instrText xml:space="preserve">" </w:instrText>
      </w:r>
      <w:r>
        <w:fldChar w:fldCharType="end"/>
      </w:r>
      <w:r w:rsidRPr="00273106">
        <w:t xml:space="preserve">, kde má Aristotelova </w:t>
      </w:r>
      <w:r w:rsidRPr="00273106">
        <w:rPr>
          <w:i/>
        </w:rPr>
        <w:t>fronésis</w:t>
      </w:r>
      <w:r>
        <w:rPr>
          <w:i/>
        </w:rPr>
        <w:fldChar w:fldCharType="begin"/>
      </w:r>
      <w:r>
        <w:instrText xml:space="preserve"> XE "</w:instrText>
      </w:r>
      <w:r w:rsidRPr="00BD03F3">
        <w:rPr>
          <w:i/>
        </w:rPr>
        <w:instrText>fronésis</w:instrText>
      </w:r>
      <w:r>
        <w:instrText xml:space="preserve">" </w:instrText>
      </w:r>
      <w:r>
        <w:rPr>
          <w:i/>
        </w:rPr>
        <w:fldChar w:fldCharType="end"/>
      </w:r>
      <w:r w:rsidRPr="00273106">
        <w:t xml:space="preserve"> přímo mystický charakter (Gauthier</w:t>
      </w:r>
      <w:r>
        <w:fldChar w:fldCharType="begin"/>
      </w:r>
      <w:r>
        <w:instrText xml:space="preserve"> XE "</w:instrText>
      </w:r>
      <w:r w:rsidRPr="00B030E6">
        <w:rPr>
          <w:lang w:eastAsia="en-US"/>
        </w:rPr>
        <w:instrText>Gauthier, A. R.</w:instrText>
      </w:r>
      <w:r>
        <w:instrText xml:space="preserve">" </w:instrText>
      </w:r>
      <w:r>
        <w:fldChar w:fldCharType="end"/>
      </w:r>
      <w:r w:rsidRPr="00273106">
        <w:t xml:space="preserve"> 1963). Dále mohl Albert číst přednášky o </w:t>
      </w:r>
      <w:r w:rsidRPr="08CF74D3">
        <w:rPr>
          <w:i/>
        </w:rPr>
        <w:t>Etice</w:t>
      </w:r>
      <w:r w:rsidRPr="00273106">
        <w:t xml:space="preserve"> neznámého pařížského magistra, které známe pod názvem </w:t>
      </w:r>
      <w:r w:rsidRPr="00273106">
        <w:rPr>
          <w:i/>
        </w:rPr>
        <w:t>Commentaire de Paris</w:t>
      </w:r>
      <w:r w:rsidRPr="00273106">
        <w:t xml:space="preserve"> (asi 1235‒40), jehož část vydaná Gauthierem komentuje spis </w:t>
      </w:r>
      <w:r w:rsidRPr="00273106">
        <w:rPr>
          <w:i/>
        </w:rPr>
        <w:t>Ethica Vetus</w:t>
      </w:r>
      <w:r w:rsidRPr="00273106">
        <w:t>. Vyšší forma darovaného porozumění je daná mimo smysly (</w:t>
      </w:r>
      <w:r w:rsidRPr="00273106">
        <w:rPr>
          <w:i/>
        </w:rPr>
        <w:t>cognitio sine phantasmate</w:t>
      </w:r>
      <w:r w:rsidRPr="00273106">
        <w:t>) a umožnuje přímé spojení s bohem v aktu mystické kontemplace.</w:t>
      </w:r>
      <w:r w:rsidRPr="00273106">
        <w:rPr>
          <w:rStyle w:val="Znakapoznpodarou"/>
        </w:rPr>
        <w:footnoteReference w:id="527"/>
      </w:r>
      <w:r w:rsidRPr="00273106">
        <w:t xml:space="preserve"> Pro </w:t>
      </w:r>
      <w:r w:rsidRPr="00273106">
        <w:lastRenderedPageBreak/>
        <w:t xml:space="preserve">hermeneutiku je důležitá část tohoto komentáře k </w:t>
      </w:r>
      <w:r w:rsidRPr="00273106">
        <w:rPr>
          <w:i/>
        </w:rPr>
        <w:t>Ethica Nova</w:t>
      </w:r>
      <w:r w:rsidRPr="00273106">
        <w:t xml:space="preserve">, která jasně ukazuje dvojstupňovou stavbu intelektu vzhledem k </w:t>
      </w:r>
      <w:r>
        <w:t>neoplatonsk</w:t>
      </w:r>
      <w:r w:rsidRPr="00273106">
        <w:t>é a augustinovské kontemplaci dobra</w:t>
      </w:r>
      <w:r>
        <w:fldChar w:fldCharType="begin"/>
      </w:r>
      <w:r>
        <w:instrText xml:space="preserve"> XE "</w:instrText>
      </w:r>
      <w:r w:rsidRPr="00AD78AE">
        <w:instrText>etika:druhý averroismus</w:instrText>
      </w:r>
      <w:r>
        <w:instrText xml:space="preserve">" </w:instrText>
      </w:r>
      <w:r>
        <w:fldChar w:fldCharType="end"/>
      </w:r>
      <w:r w:rsidRPr="00273106">
        <w:t xml:space="preserve">. Teoretický intelekt má dvě složky odstupňované podle míry dokonalosti, tj. podle schopnosti poznání </w:t>
      </w:r>
      <w:r>
        <w:t xml:space="preserve">neoplatonské hierarchie forem. Tento averroismus daný špatným pochopením CMDA podle hierarchicky hypostázovaného </w:t>
      </w:r>
      <w:r w:rsidRPr="085305C2">
        <w:rPr>
          <w:i/>
        </w:rPr>
        <w:t>intellectus agens</w:t>
      </w:r>
      <w:r>
        <w:t xml:space="preserve"> a </w:t>
      </w:r>
      <w:r w:rsidRPr="085305C2">
        <w:rPr>
          <w:i/>
        </w:rPr>
        <w:t>possibilis</w:t>
      </w:r>
      <w:r>
        <w:t xml:space="preserve"> založila </w:t>
      </w:r>
      <w:r w:rsidRPr="085305C2">
        <w:rPr>
          <w:i/>
        </w:rPr>
        <w:t>Summa Duacensis</w:t>
      </w:r>
      <w:r>
        <w:rPr>
          <w:i/>
        </w:rPr>
        <w:fldChar w:fldCharType="begin"/>
      </w:r>
      <w:r>
        <w:instrText xml:space="preserve"> XE "</w:instrText>
      </w:r>
      <w:r w:rsidRPr="08DC6FCF">
        <w:rPr>
          <w:i/>
        </w:rPr>
        <w:instrText>Summa Duacensis</w:instrText>
      </w:r>
      <w:r>
        <w:instrText xml:space="preserve">" </w:instrText>
      </w:r>
      <w:r>
        <w:rPr>
          <w:i/>
        </w:rPr>
        <w:fldChar w:fldCharType="end"/>
      </w:r>
      <w:r>
        <w:t xml:space="preserve"> kolem avicennistické školy Filipa Kancléře (kap. 4.2.2). Hypostázovanému výkladu intelektu podanému podle hierachie kosmických forem v </w:t>
      </w:r>
      <w:r w:rsidRPr="0841364C">
        <w:rPr>
          <w:i/>
        </w:rPr>
        <w:t>Liber de causis</w:t>
      </w:r>
      <w:r>
        <w:t xml:space="preserve"> se přizpůsobil i výklad aristotelské </w:t>
      </w:r>
      <w:r w:rsidRPr="0841364C">
        <w:rPr>
          <w:i/>
        </w:rPr>
        <w:t>Etiky</w:t>
      </w:r>
      <w:r>
        <w:t xml:space="preserve">. Spis </w:t>
      </w:r>
      <w:r w:rsidRPr="08F94B82">
        <w:rPr>
          <w:i/>
        </w:rPr>
        <w:t>Commentaire de Paris</w:t>
      </w:r>
      <w:r>
        <w:t xml:space="preserve"> staví na nejvyšší úroveň </w:t>
      </w:r>
      <w:r w:rsidRPr="00273106">
        <w:rPr>
          <w:i/>
        </w:rPr>
        <w:t>intellectus agens</w:t>
      </w:r>
      <w:r w:rsidRPr="00273106">
        <w:t xml:space="preserve">, pak </w:t>
      </w:r>
      <w:r>
        <w:t xml:space="preserve">následuje </w:t>
      </w:r>
      <w:r w:rsidRPr="000651A7">
        <w:rPr>
          <w:i/>
        </w:rPr>
        <w:t>intellectus</w:t>
      </w:r>
      <w:r>
        <w:t xml:space="preserve"> </w:t>
      </w:r>
      <w:r w:rsidRPr="00273106">
        <w:rPr>
          <w:i/>
        </w:rPr>
        <w:t>possibilis</w:t>
      </w:r>
      <w:r w:rsidRPr="00273106">
        <w:t>.</w:t>
      </w:r>
      <w:r w:rsidRPr="00273106">
        <w:rPr>
          <w:rStyle w:val="Znakapoznpodarou"/>
        </w:rPr>
        <w:footnoteReference w:id="528"/>
      </w:r>
      <w:r w:rsidRPr="00273106">
        <w:t xml:space="preserve"> </w:t>
      </w:r>
      <w:r w:rsidR="00D85C60">
        <w:rPr>
          <w:iCs/>
        </w:rPr>
        <w:t xml:space="preserve">Pak platí, že </w:t>
      </w:r>
      <w:r w:rsidR="00D85C60">
        <w:rPr>
          <w:i/>
          <w:iCs/>
        </w:rPr>
        <w:t>an</w:t>
      </w:r>
      <w:r w:rsidR="00D85C60" w:rsidRPr="00D85C60">
        <w:rPr>
          <w:i/>
          <w:iCs/>
        </w:rPr>
        <w:t>ima intellectiva</w:t>
      </w:r>
      <w:r w:rsidR="00D85C60" w:rsidRPr="00D85C60">
        <w:t xml:space="preserve"> se skládá ze dvou hypostází intelektu, přičemž vyšší aktivní intelekt určuje nižší receptivní intelekt.</w:t>
      </w:r>
      <w:r w:rsidR="00D85C60">
        <w:t xml:space="preserve"> </w:t>
      </w:r>
      <w:r w:rsidRPr="00273106">
        <w:t xml:space="preserve">Tento spis a před ním tzv. </w:t>
      </w:r>
      <w:r w:rsidRPr="00273106">
        <w:rPr>
          <w:i/>
        </w:rPr>
        <w:t>Commentaire d'Avranches</w:t>
      </w:r>
      <w:r w:rsidRPr="00273106">
        <w:t xml:space="preserve"> (</w:t>
      </w:r>
      <w:r w:rsidRPr="00273106">
        <w:rPr>
          <w:i/>
        </w:rPr>
        <w:t>Commentarium Abrincense in Ethicam Veterem</w:t>
      </w:r>
      <w:r w:rsidRPr="00273106">
        <w:t xml:space="preserve">, asi 1235) integrovaly do výkladu </w:t>
      </w:r>
      <w:r w:rsidRPr="087843CC">
        <w:rPr>
          <w:i/>
        </w:rPr>
        <w:t>Etiky</w:t>
      </w:r>
      <w:r w:rsidRPr="00273106">
        <w:t xml:space="preserve"> </w:t>
      </w:r>
      <w:r>
        <w:t xml:space="preserve">také </w:t>
      </w:r>
      <w:r w:rsidRPr="00273106">
        <w:t>Avicennovu nauku o dvou tvářích duše</w:t>
      </w:r>
      <w:r>
        <w:fldChar w:fldCharType="begin"/>
      </w:r>
      <w:r>
        <w:instrText xml:space="preserve"> XE "</w:instrText>
      </w:r>
      <w:r w:rsidRPr="00E10F76">
        <w:instrText>osoba:dualismus</w:instrText>
      </w:r>
      <w:r>
        <w:instrText xml:space="preserve">" </w:instrText>
      </w:r>
      <w:r>
        <w:fldChar w:fldCharType="end"/>
      </w:r>
      <w:r w:rsidRPr="00273106">
        <w:t xml:space="preserve"> (kap. 2.3.1)</w:t>
      </w:r>
      <w:r>
        <w:t xml:space="preserve">, kterou </w:t>
      </w:r>
      <w:r w:rsidRPr="00273106">
        <w:t>jsme komentovali odkazem na Gundissalinův</w:t>
      </w:r>
      <w:r>
        <w:fldChar w:fldCharType="begin"/>
      </w:r>
      <w:r>
        <w:instrText xml:space="preserve"> XE "</w:instrText>
      </w:r>
      <w:r w:rsidRPr="00AB6F57">
        <w:instrText>Gundissalinus, D.</w:instrText>
      </w:r>
      <w:r>
        <w:instrText xml:space="preserve">" </w:instrText>
      </w:r>
      <w:r>
        <w:fldChar w:fldCharType="end"/>
      </w:r>
      <w:r w:rsidRPr="00273106">
        <w:t xml:space="preserve"> výklad </w:t>
      </w:r>
      <w:r>
        <w:rPr>
          <w:i/>
        </w:rPr>
        <w:t>De anima</w:t>
      </w:r>
      <w:r w:rsidRPr="00273106">
        <w:t xml:space="preserve"> (kap. 5.2). Albertova kritika se týká </w:t>
      </w:r>
      <w:r w:rsidR="003C4685">
        <w:t xml:space="preserve">důležité </w:t>
      </w:r>
      <w:r w:rsidRPr="00273106">
        <w:t xml:space="preserve">části </w:t>
      </w:r>
      <w:r w:rsidR="003C4685" w:rsidRPr="0034371C">
        <w:rPr>
          <w:i/>
          <w:lang w:eastAsia="en-US"/>
        </w:rPr>
        <w:t>Commentaire d'Avranches</w:t>
      </w:r>
      <w:r w:rsidR="003C4685">
        <w:rPr>
          <w:lang w:eastAsia="en-US"/>
        </w:rPr>
        <w:t xml:space="preserve">. Ten </w:t>
      </w:r>
      <w:r w:rsidRPr="00273106">
        <w:t>po vzoru Avicenny a křesťanské mystiky vidí smysl etiky jako nazíravé spojení s externí substancí (</w:t>
      </w:r>
      <w:r w:rsidRPr="00273106">
        <w:rPr>
          <w:i/>
        </w:rPr>
        <w:t>superiori essentie per intellectum tantum</w:t>
      </w:r>
      <w:r w:rsidRPr="00273106">
        <w:t>). Spojení s nejvyšším dobrem probíhá v aktu kontemplace a v prostředí mystického vytržení duše (</w:t>
      </w:r>
      <w:r w:rsidRPr="00273106">
        <w:rPr>
          <w:i/>
        </w:rPr>
        <w:t>contemplatione et affectu animi</w:t>
      </w:r>
      <w:r w:rsidRPr="00273106">
        <w:t>).</w:t>
      </w:r>
      <w:r w:rsidRPr="00273106">
        <w:rPr>
          <w:rStyle w:val="Znakapoznpodarou"/>
        </w:rPr>
        <w:footnoteReference w:id="529"/>
      </w:r>
      <w:r w:rsidRPr="00273106">
        <w:t xml:space="preserve"> </w:t>
      </w:r>
      <w:r w:rsidR="009A4A48" w:rsidRPr="00273106">
        <w:t xml:space="preserve">Albertovy protivníky </w:t>
      </w:r>
      <w:r w:rsidR="009A4A48">
        <w:t xml:space="preserve">lze spolehlivě určit podle důležitého </w:t>
      </w:r>
      <w:r w:rsidRPr="00273106">
        <w:t>komentář</w:t>
      </w:r>
      <w:r w:rsidR="009A4A48">
        <w:t>e</w:t>
      </w:r>
      <w:r w:rsidRPr="00273106">
        <w:t xml:space="preserve"> </w:t>
      </w:r>
      <w:r w:rsidRPr="08C42417">
        <w:rPr>
          <w:i/>
        </w:rPr>
        <w:t>Etiky</w:t>
      </w:r>
      <w:r w:rsidRPr="00273106">
        <w:t xml:space="preserve"> </w:t>
      </w:r>
      <w:r w:rsidR="009A4A48">
        <w:t>vzniklého kolem roku 1245 a nazvaného</w:t>
      </w:r>
      <w:r>
        <w:t xml:space="preserve"> </w:t>
      </w:r>
      <w:r w:rsidRPr="08C42417">
        <w:rPr>
          <w:i/>
        </w:rPr>
        <w:t>Pseudo</w:t>
      </w:r>
      <w:r w:rsidRPr="08C42417">
        <w:rPr>
          <w:i/>
        </w:rPr>
        <w:noBreakHyphen/>
        <w:t>Peckham</w:t>
      </w:r>
      <w:r w:rsidRPr="00273106">
        <w:t xml:space="preserve"> </w:t>
      </w:r>
      <w:r w:rsidRPr="00273106">
        <w:lastRenderedPageBreak/>
        <w:t>(</w:t>
      </w:r>
      <w:r w:rsidRPr="00273106">
        <w:rPr>
          <w:i/>
        </w:rPr>
        <w:t>Commentarium in Ethicam Nouam et Veterem</w:t>
      </w:r>
      <w:r w:rsidRPr="00273106">
        <w:t>). Tento komentář nejvíce odpovídá profilu Albertovy kritiky. Pojetí etiky odpovídá avicen</w:t>
      </w:r>
      <w:r>
        <w:t>n</w:t>
      </w:r>
      <w:r w:rsidRPr="00273106">
        <w:t xml:space="preserve">ovskému augustinianismu a </w:t>
      </w:r>
      <w:r>
        <w:t xml:space="preserve">spis </w:t>
      </w:r>
      <w:r w:rsidRPr="00273106">
        <w:t xml:space="preserve">pravděpodobně vznikl ve františkánské škole prvních </w:t>
      </w:r>
      <w:r w:rsidRPr="00273106">
        <w:rPr>
          <w:i/>
        </w:rPr>
        <w:t>Modernorum</w:t>
      </w:r>
      <w:r w:rsidRPr="00273106">
        <w:t xml:space="preserve"> sdružené kolem redakce </w:t>
      </w:r>
      <w:r w:rsidRPr="00273106">
        <w:rPr>
          <w:i/>
        </w:rPr>
        <w:t>Summa Halensis</w:t>
      </w:r>
      <w:r>
        <w:rPr>
          <w:i/>
        </w:rPr>
        <w:fldChar w:fldCharType="begin"/>
      </w:r>
      <w:r>
        <w:instrText xml:space="preserve"> XE "</w:instrText>
      </w:r>
      <w:r w:rsidRPr="00F14A6F">
        <w:rPr>
          <w:i/>
        </w:rPr>
        <w:instrText>Summa Halensis</w:instrText>
      </w:r>
      <w:r>
        <w:instrText xml:space="preserve">" </w:instrText>
      </w:r>
      <w:r>
        <w:rPr>
          <w:i/>
        </w:rPr>
        <w:fldChar w:fldCharType="end"/>
      </w:r>
      <w:r w:rsidRPr="00273106">
        <w:t xml:space="preserve">. </w:t>
      </w:r>
      <w:r>
        <w:t xml:space="preserve">Traktát </w:t>
      </w:r>
      <w:r w:rsidRPr="00273106">
        <w:t xml:space="preserve">připsaný </w:t>
      </w:r>
      <w:r>
        <w:t>Pecham</w:t>
      </w:r>
      <w:r w:rsidRPr="00273106">
        <w:t>ovi nesouhlasí s Aristotelovým výkladem ctností jako vý</w:t>
      </w:r>
      <w:r>
        <w:t xml:space="preserve">konu oduševnělého těla. Jeho autor </w:t>
      </w:r>
      <w:r w:rsidRPr="00273106">
        <w:t xml:space="preserve">vyznává dualismus duše a těla podle </w:t>
      </w:r>
      <w:r w:rsidRPr="00273106">
        <w:rPr>
          <w:i/>
        </w:rPr>
        <w:t>Modernorum</w:t>
      </w:r>
      <w:r w:rsidR="00F73224">
        <w:t>, p</w:t>
      </w:r>
      <w:r w:rsidRPr="00273106">
        <w:t xml:space="preserve">roto obviňuje Aristotela z mylného rozdělení etických ctností. Prý váže ctnosti pouze </w:t>
      </w:r>
      <w:r>
        <w:t xml:space="preserve">na </w:t>
      </w:r>
      <w:r w:rsidRPr="00273106">
        <w:t>výkon duše subsistující v těle (</w:t>
      </w:r>
      <w:r w:rsidRPr="00273106">
        <w:rPr>
          <w:i/>
        </w:rPr>
        <w:t>Aristotiles non ponit hic diuisionem uirtutis nisi secundum quod inest anime unite corpori</w:t>
      </w:r>
      <w:r w:rsidRPr="00273106">
        <w:t>).</w:t>
      </w:r>
      <w:r w:rsidRPr="00273106">
        <w:rPr>
          <w:rStyle w:val="Znakapoznpodarou"/>
        </w:rPr>
        <w:footnoteReference w:id="530"/>
      </w:r>
      <w:r w:rsidRPr="00273106">
        <w:t xml:space="preserve"> </w:t>
      </w:r>
      <w:r>
        <w:t xml:space="preserve">Dobro dostalo v pojetí latinských sofistů stejný statut jako jejich pojetí </w:t>
      </w:r>
      <w:r w:rsidRPr="00277996">
        <w:rPr>
          <w:i/>
        </w:rPr>
        <w:t>intellectus possibilis</w:t>
      </w:r>
      <w:r>
        <w:t xml:space="preserve"> nebo </w:t>
      </w:r>
      <w:r w:rsidRPr="00277996">
        <w:rPr>
          <w:i/>
        </w:rPr>
        <w:t>intellectus agens</w:t>
      </w:r>
      <w:r>
        <w:t>, z nichž se stala oddělená substance</w:t>
      </w:r>
      <w:r>
        <w:fldChar w:fldCharType="begin"/>
      </w:r>
      <w:r>
        <w:instrText xml:space="preserve"> XE "</w:instrText>
      </w:r>
      <w:r w:rsidRPr="00DE2A32">
        <w:instrText>substance</w:instrText>
      </w:r>
      <w:r>
        <w:instrText xml:space="preserve">:intelekt" </w:instrText>
      </w:r>
      <w:r>
        <w:fldChar w:fldCharType="end"/>
      </w:r>
      <w:r>
        <w:t>, která na člověka působí zvnějšku.</w:t>
      </w:r>
      <w:r w:rsidR="004B7F1C">
        <w:t xml:space="preserve"> Modernisté provedli stejný výklad </w:t>
      </w:r>
      <w:r w:rsidR="004B7F1C" w:rsidRPr="004B7F1C">
        <w:t xml:space="preserve">díla </w:t>
      </w:r>
      <w:r w:rsidR="004B7F1C" w:rsidRPr="004B7F1C">
        <w:rPr>
          <w:i/>
          <w:iCs/>
        </w:rPr>
        <w:t>Etika</w:t>
      </w:r>
      <w:r w:rsidR="004B7F1C" w:rsidRPr="004B7F1C">
        <w:t xml:space="preserve"> jako v případě spisu </w:t>
      </w:r>
      <w:r w:rsidR="004B7F1C" w:rsidRPr="004B7F1C">
        <w:rPr>
          <w:i/>
          <w:iCs/>
        </w:rPr>
        <w:t>De anima</w:t>
      </w:r>
      <w:r w:rsidR="003B7E16">
        <w:t xml:space="preserve">. </w:t>
      </w:r>
      <w:r w:rsidR="003B7E16" w:rsidRPr="003B7E16">
        <w:t>Proces osvícení dostal místo teoret</w:t>
      </w:r>
      <w:r w:rsidR="003B7E16">
        <w:t xml:space="preserve">ického poznání etický charakter. </w:t>
      </w:r>
      <w:r w:rsidR="003B7E16" w:rsidRPr="003B7E16">
        <w:t>Oddělený kosmický intelekt jako vnější zdroj osvícení byl nahrazen analogickým scénářem</w:t>
      </w:r>
      <w:r w:rsidR="00B73BC1">
        <w:t xml:space="preserve"> iluminace</w:t>
      </w:r>
      <w:r w:rsidR="003B7E16" w:rsidRPr="003B7E16">
        <w:t xml:space="preserve">. Praktický intelekt byl osvícen vnějším nejvyšším Dobrem, které vytvořilo další </w:t>
      </w:r>
      <w:r w:rsidR="003B7E16" w:rsidRPr="003B7E16">
        <w:rPr>
          <w:i/>
          <w:iCs/>
        </w:rPr>
        <w:t>tertium ens</w:t>
      </w:r>
      <w:r w:rsidR="003B7E16" w:rsidRPr="003B7E16">
        <w:t>, aby doplnilo etický výklad.</w:t>
      </w:r>
    </w:p>
    <w:p w:rsidR="08163013" w:rsidRPr="00273106" w:rsidRDefault="00CA1077" w:rsidP="00024DF8">
      <w:pPr>
        <w:ind w:firstLine="397"/>
      </w:pPr>
      <w:r>
        <w:t>K</w:t>
      </w:r>
      <w:r w:rsidRPr="00CA1077">
        <w:t xml:space="preserve">ancléř a biskup Alvernus zakázal </w:t>
      </w:r>
      <w:r>
        <w:t>na P</w:t>
      </w:r>
      <w:r w:rsidRPr="00CA1077">
        <w:t xml:space="preserve">ařížské univerzitě učení o odděleném </w:t>
      </w:r>
      <w:r w:rsidRPr="00CA1077">
        <w:rPr>
          <w:i/>
          <w:iCs/>
        </w:rPr>
        <w:t>intellectus agens</w:t>
      </w:r>
      <w:r w:rsidRPr="00CA1077">
        <w:t xml:space="preserve"> působícím přímo na lidskou duši (OBJ II, kap. 2.3). Tento interdikt měl zásadní vliv na etické teori</w:t>
      </w:r>
      <w:r>
        <w:t xml:space="preserve">e avicenistických augustiniánů. </w:t>
      </w:r>
      <w:r w:rsidR="08163013">
        <w:t xml:space="preserve">Po vydání tohoto zákazu dostaly jejich teorie latentně nebo otevřeně heretický charakter. </w:t>
      </w:r>
      <w:r w:rsidR="00A8153A" w:rsidRPr="00A8153A">
        <w:t xml:space="preserve">Albert v té době </w:t>
      </w:r>
      <w:r w:rsidR="00A8153A">
        <w:t xml:space="preserve">připravoval vydání </w:t>
      </w:r>
      <w:r w:rsidR="00A8153A" w:rsidRPr="00A8153A">
        <w:t xml:space="preserve">průkopnického díla </w:t>
      </w:r>
      <w:r w:rsidR="00A8153A" w:rsidRPr="00A8153A">
        <w:rPr>
          <w:i/>
          <w:iCs/>
        </w:rPr>
        <w:t>De homine</w:t>
      </w:r>
      <w:r w:rsidR="00A8153A" w:rsidRPr="00A8153A">
        <w:t xml:space="preserve">. </w:t>
      </w:r>
      <w:r w:rsidR="00AD10EC">
        <w:t>Jeho s</w:t>
      </w:r>
      <w:r w:rsidR="00A8153A" w:rsidRPr="00A8153A">
        <w:t xml:space="preserve">por </w:t>
      </w:r>
      <w:r w:rsidR="00AD10EC">
        <w:t>se</w:t>
      </w:r>
      <w:r w:rsidR="00A8153A" w:rsidRPr="00A8153A">
        <w:t xml:space="preserve"> školou druhého averr</w:t>
      </w:r>
      <w:r w:rsidR="00A8153A">
        <w:t xml:space="preserve">oismu </w:t>
      </w:r>
      <w:r w:rsidR="00AD10EC">
        <w:t xml:space="preserve">měl </w:t>
      </w:r>
      <w:r w:rsidR="00A8153A">
        <w:t xml:space="preserve">proto zásadní </w:t>
      </w:r>
      <w:r w:rsidR="00821B17">
        <w:t xml:space="preserve">význam pro založení </w:t>
      </w:r>
      <w:r w:rsidR="006B1E0B">
        <w:t xml:space="preserve">etiky jako </w:t>
      </w:r>
      <w:r w:rsidR="00821B17">
        <w:t xml:space="preserve">automní </w:t>
      </w:r>
      <w:r w:rsidR="006B1E0B">
        <w:t>vědy</w:t>
      </w:r>
      <w:r w:rsidR="00A8153A">
        <w:t>. Albert bránil</w:t>
      </w:r>
      <w:r w:rsidR="08163013">
        <w:t xml:space="preserve"> </w:t>
      </w:r>
      <w:r w:rsidR="08163013" w:rsidRPr="00273106">
        <w:t>defin</w:t>
      </w:r>
      <w:r w:rsidR="08163013">
        <w:t>ici</w:t>
      </w:r>
      <w:r w:rsidR="08163013" w:rsidRPr="00273106">
        <w:t xml:space="preserve"> </w:t>
      </w:r>
      <w:r w:rsidR="08163013" w:rsidRPr="00273106">
        <w:rPr>
          <w:rStyle w:val="addmd"/>
        </w:rPr>
        <w:t xml:space="preserve">praktického intelektu jako zvláštní druh extenze spekulativního intelektu definovaného podle výše uvedeného </w:t>
      </w:r>
      <w:r w:rsidR="08163013">
        <w:rPr>
          <w:rStyle w:val="addmd"/>
        </w:rPr>
        <w:t xml:space="preserve">Averroesova komentáře </w:t>
      </w:r>
      <w:r w:rsidR="08163013">
        <w:rPr>
          <w:rStyle w:val="addmd"/>
          <w:i/>
        </w:rPr>
        <w:t>De anima</w:t>
      </w:r>
      <w:r w:rsidR="08163013" w:rsidRPr="00273106">
        <w:rPr>
          <w:rStyle w:val="addmd"/>
        </w:rPr>
        <w:t xml:space="preserve"> </w:t>
      </w:r>
      <w:r w:rsidR="08163013" w:rsidRPr="00273106">
        <w:t>433a14‒15</w:t>
      </w:r>
      <w:r w:rsidR="08163013" w:rsidRPr="00273106">
        <w:rPr>
          <w:rStyle w:val="addmd"/>
        </w:rPr>
        <w:t xml:space="preserve"> (</w:t>
      </w:r>
      <w:r w:rsidR="08163013" w:rsidRPr="00273106">
        <w:rPr>
          <w:i/>
        </w:rPr>
        <w:t>est cogitativus operativus</w:t>
      </w:r>
      <w:r w:rsidR="08163013" w:rsidRPr="00273106">
        <w:rPr>
          <w:rStyle w:val="addmd"/>
        </w:rPr>
        <w:t>).</w:t>
      </w:r>
      <w:r w:rsidR="08163013">
        <w:t xml:space="preserve"> </w:t>
      </w:r>
      <w:r w:rsidR="002F5D0A">
        <w:rPr>
          <w:rStyle w:val="addmd"/>
        </w:rPr>
        <w:t xml:space="preserve">Modernisté bránili subsistentní </w:t>
      </w:r>
      <w:r w:rsidR="08163013" w:rsidRPr="00273106">
        <w:rPr>
          <w:rStyle w:val="addmd"/>
        </w:rPr>
        <w:t>dobr</w:t>
      </w:r>
      <w:r w:rsidR="002F5D0A">
        <w:rPr>
          <w:rStyle w:val="addmd"/>
        </w:rPr>
        <w:t>o</w:t>
      </w:r>
      <w:r w:rsidR="08163013" w:rsidRPr="00273106">
        <w:rPr>
          <w:rStyle w:val="addmd"/>
        </w:rPr>
        <w:t xml:space="preserve"> </w:t>
      </w:r>
      <w:r w:rsidR="08163013">
        <w:rPr>
          <w:rStyle w:val="addmd"/>
        </w:rPr>
        <w:t xml:space="preserve">sofistickým </w:t>
      </w:r>
      <w:r w:rsidR="08163013" w:rsidRPr="00273106">
        <w:rPr>
          <w:rStyle w:val="addmd"/>
        </w:rPr>
        <w:t xml:space="preserve">odvoláním na </w:t>
      </w:r>
      <w:r w:rsidR="08163013" w:rsidRPr="08C730E5">
        <w:rPr>
          <w:rStyle w:val="addmd"/>
          <w:i/>
        </w:rPr>
        <w:t>Etiku Nikomachovu</w:t>
      </w:r>
      <w:r w:rsidR="08163013" w:rsidRPr="00273106">
        <w:rPr>
          <w:rStyle w:val="addmd"/>
        </w:rPr>
        <w:t xml:space="preserve">, ale ve skutečnosti sledovali linii porretánů a </w:t>
      </w:r>
      <w:r w:rsidR="08163013" w:rsidRPr="00273106">
        <w:rPr>
          <w:rStyle w:val="addmd"/>
          <w:i/>
        </w:rPr>
        <w:t>Nominales</w:t>
      </w:r>
      <w:r w:rsidR="08163013" w:rsidRPr="00273106">
        <w:rPr>
          <w:rStyle w:val="addmd"/>
        </w:rPr>
        <w:t xml:space="preserve">. </w:t>
      </w:r>
      <w:r w:rsidR="08163013">
        <w:rPr>
          <w:rStyle w:val="addmd"/>
        </w:rPr>
        <w:t>Moderna z</w:t>
      </w:r>
      <w:r w:rsidR="08163013" w:rsidRPr="00273106">
        <w:rPr>
          <w:rStyle w:val="addmd"/>
        </w:rPr>
        <w:t xml:space="preserve">měnila postavení středního členu morálního soudu tak, že kvazi-substanční dobro </w:t>
      </w:r>
      <w:r w:rsidR="08163013">
        <w:rPr>
          <w:rStyle w:val="addmd"/>
        </w:rPr>
        <w:t xml:space="preserve">dostalo </w:t>
      </w:r>
      <w:r w:rsidR="08163013" w:rsidRPr="00273106">
        <w:rPr>
          <w:rStyle w:val="addmd"/>
        </w:rPr>
        <w:t>vlastní kauzalitu vázanou na nominálně definovanou esenci.</w:t>
      </w:r>
      <w:r w:rsidR="08163013">
        <w:t xml:space="preserve"> Tím se v definici dobra zavedl stejný systém výkladu podle </w:t>
      </w:r>
      <w:r w:rsidR="08163013" w:rsidRPr="08EB39EA">
        <w:rPr>
          <w:i/>
        </w:rPr>
        <w:t xml:space="preserve">Oxfordian </w:t>
      </w:r>
      <w:r w:rsidR="08163013" w:rsidRPr="08EB39EA">
        <w:rPr>
          <w:i/>
        </w:rPr>
        <w:lastRenderedPageBreak/>
        <w:t>Fallacy</w:t>
      </w:r>
      <w:r w:rsidR="08163013">
        <w:t xml:space="preserve"> jako v případě poznání. </w:t>
      </w:r>
      <w:r w:rsidR="08163013" w:rsidRPr="00273106">
        <w:t xml:space="preserve">Škola </w:t>
      </w:r>
      <w:r w:rsidR="00820C63">
        <w:t xml:space="preserve">vydávající spis </w:t>
      </w:r>
      <w:r w:rsidR="00894978" w:rsidRPr="00894978">
        <w:rPr>
          <w:i/>
        </w:rPr>
        <w:t>Summa</w:t>
      </w:r>
      <w:r w:rsidR="08163013" w:rsidRPr="00273106">
        <w:rPr>
          <w:i/>
        </w:rPr>
        <w:t xml:space="preserve"> Halensis</w:t>
      </w:r>
      <w:r w:rsidR="00894978">
        <w:t xml:space="preserve"> editovala také spis </w:t>
      </w:r>
      <w:r w:rsidR="00894978" w:rsidRPr="009A7457">
        <w:rPr>
          <w:i/>
          <w:iCs/>
        </w:rPr>
        <w:t>Pseudo-Peckham</w:t>
      </w:r>
      <w:r w:rsidR="00894978">
        <w:t xml:space="preserve">. Autoři pochopili </w:t>
      </w:r>
      <w:r w:rsidR="08163013" w:rsidRPr="00273106">
        <w:t xml:space="preserve">smysl </w:t>
      </w:r>
      <w:r w:rsidR="08163013" w:rsidRPr="08C730E5">
        <w:rPr>
          <w:i/>
        </w:rPr>
        <w:t>Etiky</w:t>
      </w:r>
      <w:r w:rsidR="08163013" w:rsidRPr="00273106">
        <w:t xml:space="preserve"> podle velmi specifického dělení věd. Druhý averroismus interpretoval spis </w:t>
      </w:r>
      <w:r w:rsidR="08163013">
        <w:rPr>
          <w:i/>
        </w:rPr>
        <w:t>De anima</w:t>
      </w:r>
      <w:r w:rsidR="08163013" w:rsidRPr="00273106">
        <w:t xml:space="preserve"> </w:t>
      </w:r>
      <w:r w:rsidR="08163013">
        <w:t>neoplatonsk</w:t>
      </w:r>
      <w:r w:rsidR="08163013" w:rsidRPr="00273106">
        <w:t xml:space="preserve">ým způsobem inspirovaným školou </w:t>
      </w:r>
      <w:r w:rsidR="08163013" w:rsidRPr="00273106">
        <w:rPr>
          <w:i/>
        </w:rPr>
        <w:t>Nominales</w:t>
      </w:r>
      <w:r w:rsidR="08163013" w:rsidRPr="00273106">
        <w:t xml:space="preserve">. </w:t>
      </w:r>
      <w:r w:rsidR="08163013">
        <w:t>Aristoteles</w:t>
      </w:r>
      <w:r w:rsidR="08163013" w:rsidRPr="00273106">
        <w:t xml:space="preserve"> píše, že poznání dáno buď inteligibilním nebo smyslovým poznáním zaměřeným k tomu či onomu reálnému předmětu.</w:t>
      </w:r>
      <w:r w:rsidR="08163013">
        <w:t xml:space="preserve"> Úsloví o dělení inteligibilního a smyslového poznání podle zkoumané věci (</w:t>
      </w:r>
      <w:r w:rsidR="08163013" w:rsidRPr="088D1D1C">
        <w:rPr>
          <w:i/>
        </w:rPr>
        <w:t>secantur igitur sciencia et sensus in res</w:t>
      </w:r>
      <w:r w:rsidR="08163013">
        <w:t xml:space="preserve">) existuje již v </w:t>
      </w:r>
      <w:r w:rsidR="08163013" w:rsidRPr="086B4EF9">
        <w:rPr>
          <w:i/>
        </w:rPr>
        <w:t>Ethica Vetus</w:t>
      </w:r>
      <w:r w:rsidR="08163013">
        <w:t xml:space="preserve"> a opakují ho různé komentáře </w:t>
      </w:r>
      <w:r w:rsidR="08163013" w:rsidRPr="08112113">
        <w:rPr>
          <w:i/>
        </w:rPr>
        <w:t>Etiky</w:t>
      </w:r>
      <w:r w:rsidR="08163013">
        <w:t xml:space="preserve"> po roce 1230. Formulace přesně podává originální text </w:t>
      </w:r>
      <w:r w:rsidR="08163013" w:rsidRPr="086B4EF9">
        <w:t>(</w:t>
      </w:r>
      <w:r w:rsidR="08163013" w:rsidRPr="087756DC">
        <w:t>τέμνεται οὖν ἡ ἐπιστήμη καὶ ἡ αἴσθησις εἰς τὰ πράγματα</w:t>
      </w:r>
      <w:r w:rsidR="08163013">
        <w:t xml:space="preserve">, </w:t>
      </w:r>
      <w:r w:rsidR="08163013">
        <w:rPr>
          <w:i/>
          <w:iCs/>
        </w:rPr>
        <w:t xml:space="preserve">De anima </w:t>
      </w:r>
      <w:r w:rsidR="08163013">
        <w:t>431b24‒</w:t>
      </w:r>
      <w:r w:rsidR="08163013" w:rsidRPr="087756DC">
        <w:t>25</w:t>
      </w:r>
      <w:r w:rsidR="08163013">
        <w:fldChar w:fldCharType="begin"/>
      </w:r>
      <w:r w:rsidR="08163013">
        <w:instrText xml:space="preserve"> XE "Aristoteles:</w:instrText>
      </w:r>
      <w:r w:rsidR="08163013" w:rsidRPr="00082630">
        <w:rPr>
          <w:i/>
          <w:iCs/>
        </w:rPr>
        <w:instrText xml:space="preserve">De anima </w:instrText>
      </w:r>
      <w:r w:rsidR="08163013" w:rsidRPr="00082630">
        <w:instrText>431b24‒25</w:instrText>
      </w:r>
      <w:r w:rsidR="08163013">
        <w:instrText xml:space="preserve">" </w:instrText>
      </w:r>
      <w:r w:rsidR="08163013">
        <w:fldChar w:fldCharType="end"/>
      </w:r>
      <w:r w:rsidR="08163013">
        <w:t>).</w:t>
      </w:r>
      <w:r w:rsidR="08163013" w:rsidRPr="00273106">
        <w:t xml:space="preserve"> Aristotelovo rozdělení věd podle </w:t>
      </w:r>
      <w:r w:rsidR="08163013">
        <w:rPr>
          <w:i/>
        </w:rPr>
        <w:t>De anima</w:t>
      </w:r>
      <w:r w:rsidR="08163013" w:rsidRPr="00273106">
        <w:t xml:space="preserve"> sleduje hyparchické postavení první substance, která svou aktualitou zakládá nejprve kauzalitu v</w:t>
      </w:r>
      <w:r w:rsidR="08163013">
        <w:t> </w:t>
      </w:r>
      <w:r w:rsidR="08163013" w:rsidRPr="00273106">
        <w:t>reálu</w:t>
      </w:r>
      <w:r w:rsidR="08163013">
        <w:t xml:space="preserve"> a pak v poznání</w:t>
      </w:r>
      <w:r w:rsidR="08163013" w:rsidRPr="082C0849">
        <w:t xml:space="preserve"> </w:t>
      </w:r>
      <w:r w:rsidR="08163013">
        <w:t xml:space="preserve">podle </w:t>
      </w:r>
      <w:r w:rsidR="081942A4">
        <w:t xml:space="preserve">metafyzického </w:t>
      </w:r>
      <w:r w:rsidR="08163013">
        <w:t>dativu</w:t>
      </w:r>
      <w:r w:rsidR="08163013">
        <w:fldChar w:fldCharType="begin"/>
      </w:r>
      <w:r w:rsidR="08163013">
        <w:instrText xml:space="preserve"> XE "</w:instrText>
      </w:r>
      <w:r w:rsidR="081942A4">
        <w:rPr>
          <w:i/>
        </w:rPr>
        <w:instrText>dativus metaphysi</w:instrText>
      </w:r>
      <w:r w:rsidR="08163013" w:rsidRPr="082C0849">
        <w:rPr>
          <w:i/>
        </w:rPr>
        <w:instrText>cus</w:instrText>
      </w:r>
      <w:r w:rsidR="08163013">
        <w:instrText xml:space="preserve">" </w:instrText>
      </w:r>
      <w:r w:rsidR="08163013">
        <w:fldChar w:fldCharType="end"/>
      </w:r>
      <w:r w:rsidR="08163013" w:rsidRPr="00273106">
        <w:t>. První averroismus interp</w:t>
      </w:r>
      <w:r w:rsidR="08163013">
        <w:t>r</w:t>
      </w:r>
      <w:r w:rsidR="08163013" w:rsidRPr="00273106">
        <w:t xml:space="preserve">etuje </w:t>
      </w:r>
      <w:r w:rsidR="08163013">
        <w:t xml:space="preserve">citovaný </w:t>
      </w:r>
      <w:r w:rsidR="08163013" w:rsidRPr="00273106">
        <w:t xml:space="preserve">výrok </w:t>
      </w:r>
      <w:r w:rsidR="08163013">
        <w:t xml:space="preserve">tak, že věda </w:t>
      </w:r>
      <w:r w:rsidR="08163013" w:rsidRPr="00273106">
        <w:t xml:space="preserve">následuje </w:t>
      </w:r>
      <w:r w:rsidR="08163013">
        <w:t xml:space="preserve">smyslové </w:t>
      </w:r>
      <w:r w:rsidR="08163013" w:rsidRPr="00273106">
        <w:t xml:space="preserve">poznání </w:t>
      </w:r>
      <w:r w:rsidR="08163013">
        <w:t xml:space="preserve">determinované kauzalitou reálné první substance. Toto jedinečné poznání se pak univerzalizuje </w:t>
      </w:r>
      <w:r w:rsidR="08163013" w:rsidRPr="00273106">
        <w:t>v rámci vědeckého důkazu</w:t>
      </w:r>
      <w:r w:rsidR="08163013">
        <w:t>, který zakládá rodově odlišné zkoumání různých věd</w:t>
      </w:r>
      <w:r w:rsidR="08163013" w:rsidRPr="00273106">
        <w:t xml:space="preserve">. Komentář prvních modernistů k </w:t>
      </w:r>
      <w:proofErr w:type="gramStart"/>
      <w:r w:rsidR="08163013">
        <w:rPr>
          <w:i/>
        </w:rPr>
        <w:t>De</w:t>
      </w:r>
      <w:proofErr w:type="gramEnd"/>
      <w:r w:rsidR="08163013">
        <w:rPr>
          <w:i/>
        </w:rPr>
        <w:t xml:space="preserve"> anima</w:t>
      </w:r>
      <w:r w:rsidR="08163013" w:rsidRPr="00273106">
        <w:t xml:space="preserve"> 431b24‒25 </w:t>
      </w:r>
      <w:r w:rsidR="08163013">
        <w:fldChar w:fldCharType="begin"/>
      </w:r>
      <w:r w:rsidR="08163013">
        <w:instrText xml:space="preserve"> XE "Aristoteles:</w:instrText>
      </w:r>
      <w:r w:rsidR="08163013" w:rsidRPr="00082630">
        <w:rPr>
          <w:i/>
          <w:iCs/>
        </w:rPr>
        <w:instrText xml:space="preserve">De anima </w:instrText>
      </w:r>
      <w:r w:rsidR="08163013" w:rsidRPr="00082630">
        <w:instrText>431b24‒25</w:instrText>
      </w:r>
      <w:r w:rsidR="08163013">
        <w:instrText xml:space="preserve">" </w:instrText>
      </w:r>
      <w:r w:rsidR="08163013">
        <w:fldChar w:fldCharType="end"/>
      </w:r>
      <w:r w:rsidR="08163013">
        <w:t>naopak chápe věc podle schématu druhého averroismu, čili jako jsoucno třetího druhu</w:t>
      </w:r>
      <w:r w:rsidR="08163013">
        <w:fldChar w:fldCharType="begin"/>
      </w:r>
      <w:r w:rsidR="08163013">
        <w:instrText xml:space="preserve"> XE "</w:instrText>
      </w:r>
      <w:r w:rsidR="08163013" w:rsidRPr="003C222F">
        <w:instrText>etika:druhý averroismus</w:instrText>
      </w:r>
      <w:r w:rsidR="08163013">
        <w:instrText xml:space="preserve">" </w:instrText>
      </w:r>
      <w:r w:rsidR="08163013">
        <w:fldChar w:fldCharType="end"/>
      </w:r>
      <w:r w:rsidR="08163013">
        <w:t xml:space="preserve">. </w:t>
      </w:r>
      <w:r w:rsidR="08163013" w:rsidRPr="00024DF8">
        <w:t>Proto může moderní věda tato jsoucna třetího druhu třídit přímo v</w:t>
      </w:r>
      <w:r w:rsidR="00024DF8" w:rsidRPr="00024DF8">
        <w:t> </w:t>
      </w:r>
      <w:r w:rsidR="08163013" w:rsidRPr="00024DF8">
        <w:t>realitě</w:t>
      </w:r>
      <w:r w:rsidR="00024DF8" w:rsidRPr="00024DF8">
        <w:t xml:space="preserve">, protože představují druh </w:t>
      </w:r>
      <w:r w:rsidR="00024DF8" w:rsidRPr="00024DF8">
        <w:rPr>
          <w:i/>
        </w:rPr>
        <w:t>tertium ens</w:t>
      </w:r>
      <w:r w:rsidR="00024DF8" w:rsidRPr="00024DF8">
        <w:t>, který vytvořil</w:t>
      </w:r>
      <w:r w:rsidR="00024DF8">
        <w:t>i</w:t>
      </w:r>
      <w:r w:rsidR="00024DF8" w:rsidRPr="00024DF8">
        <w:t xml:space="preserve"> </w:t>
      </w:r>
      <w:r w:rsidR="00024DF8">
        <w:t xml:space="preserve">porretáni a škola </w:t>
      </w:r>
      <w:r w:rsidR="00024DF8" w:rsidRPr="00024DF8">
        <w:rPr>
          <w:i/>
        </w:rPr>
        <w:t>Nominales</w:t>
      </w:r>
      <w:r w:rsidR="00024DF8" w:rsidRPr="00024DF8">
        <w:t xml:space="preserve">. </w:t>
      </w:r>
      <w:r w:rsidR="08163013">
        <w:t>To je i stanovisko první modernistické školy v Paříži okolo roku 1245, kterou zásadně kritizuje Albert. Pseudo</w:t>
      </w:r>
      <w:r w:rsidR="08163013">
        <w:noBreakHyphen/>
        <w:t>Peckhamův komentář uchopil dobro jako porretánskou hypostázi (</w:t>
      </w:r>
      <w:r w:rsidR="08163013" w:rsidRPr="081E7A8A">
        <w:rPr>
          <w:i/>
        </w:rPr>
        <w:t>res</w:t>
      </w:r>
      <w:r w:rsidR="08163013">
        <w:t xml:space="preserve">) </w:t>
      </w:r>
      <w:r w:rsidR="08163013" w:rsidRPr="00273106">
        <w:t xml:space="preserve">a udělal z ní </w:t>
      </w:r>
      <w:r w:rsidR="08163013">
        <w:t>neoplatonsk</w:t>
      </w:r>
      <w:r w:rsidR="08163013" w:rsidRPr="00273106">
        <w:t xml:space="preserve">ou substanci třetího druhu. </w:t>
      </w:r>
    </w:p>
    <w:p w:rsidR="08163013" w:rsidRPr="00C22F28" w:rsidRDefault="08163013" w:rsidP="08163013">
      <w:pPr>
        <w:pStyle w:val="Citace"/>
        <w:rPr>
          <w:noProof/>
          <w:lang w:val="cs-CZ"/>
        </w:rPr>
      </w:pPr>
      <w:r w:rsidRPr="00273106">
        <w:rPr>
          <w:noProof/>
          <w:lang w:val="cs-CZ"/>
        </w:rPr>
        <w:t>„</w:t>
      </w:r>
      <w:r>
        <w:rPr>
          <w:noProof/>
          <w:lang w:val="cs-CZ"/>
        </w:rPr>
        <w:t xml:space="preserve">Jiný způsob dělení může být podle výroku třetí knihy </w:t>
      </w:r>
      <w:r w:rsidRPr="08112113">
        <w:rPr>
          <w:i/>
          <w:noProof/>
          <w:lang w:val="cs-CZ"/>
        </w:rPr>
        <w:t>De anima</w:t>
      </w:r>
      <w:r>
        <w:rPr>
          <w:noProof/>
          <w:lang w:val="cs-CZ"/>
        </w:rPr>
        <w:t>: 'věc se dělí podle smyslů a podle poznání'. Podle třídění věcí je dáno třídění poznání (</w:t>
      </w:r>
      <w:r w:rsidRPr="008717B5">
        <w:rPr>
          <w:i/>
          <w:noProof/>
        </w:rPr>
        <w:t>secundum diuisionem rerum erit diuisio scientiarum</w:t>
      </w:r>
      <w:r>
        <w:rPr>
          <w:noProof/>
          <w:lang w:val="cs-CZ"/>
        </w:rPr>
        <w:t>).“ </w:t>
      </w:r>
      <w:r>
        <w:rPr>
          <w:rStyle w:val="Znakapoznpodarou"/>
        </w:rPr>
        <w:footnoteReference w:id="531"/>
      </w:r>
    </w:p>
    <w:p w:rsidR="08163013" w:rsidRPr="00273106" w:rsidRDefault="08163013" w:rsidP="08163013">
      <w:r w:rsidRPr="00273106">
        <w:t>D</w:t>
      </w:r>
      <w:r w:rsidRPr="00273106">
        <w:rPr>
          <w:rStyle w:val="addmd"/>
        </w:rPr>
        <w:t xml:space="preserve">obro dostalo statut substance třetího druhu </w:t>
      </w:r>
      <w:r>
        <w:rPr>
          <w:rStyle w:val="addmd"/>
        </w:rPr>
        <w:t xml:space="preserve">(res) </w:t>
      </w:r>
      <w:r w:rsidRPr="00273106">
        <w:rPr>
          <w:rStyle w:val="addmd"/>
        </w:rPr>
        <w:t>a</w:t>
      </w:r>
      <w:r>
        <w:rPr>
          <w:rStyle w:val="addmd"/>
        </w:rPr>
        <w:t xml:space="preserve"> </w:t>
      </w:r>
      <w:r w:rsidRPr="00273106">
        <w:rPr>
          <w:rStyle w:val="addmd"/>
        </w:rPr>
        <w:t xml:space="preserve">podle </w:t>
      </w:r>
      <w:r w:rsidRPr="00273106">
        <w:rPr>
          <w:rStyle w:val="addmd"/>
          <w:i/>
        </w:rPr>
        <w:t>Arbor Porphyriana</w:t>
      </w:r>
      <w:r>
        <w:rPr>
          <w:rStyle w:val="addmd"/>
          <w:i/>
        </w:rPr>
        <w:fldChar w:fldCharType="begin"/>
      </w:r>
      <w:r>
        <w:instrText xml:space="preserve"> XE "</w:instrText>
      </w:r>
      <w:r w:rsidRPr="00227C7B">
        <w:rPr>
          <w:i/>
        </w:rPr>
        <w:instrText>Arbor Porphyriana</w:instrText>
      </w:r>
      <w:r>
        <w:instrText xml:space="preserve">" </w:instrText>
      </w:r>
      <w:r>
        <w:rPr>
          <w:rStyle w:val="addmd"/>
          <w:i/>
        </w:rPr>
        <w:fldChar w:fldCharType="end"/>
      </w:r>
      <w:r w:rsidRPr="00273106">
        <w:rPr>
          <w:rStyle w:val="addmd"/>
          <w:i/>
        </w:rPr>
        <w:t xml:space="preserve"> </w:t>
      </w:r>
      <w:r w:rsidRPr="00273106">
        <w:rPr>
          <w:rStyle w:val="addmd"/>
        </w:rPr>
        <w:t>umožnilo moderní dělení a třídění etiky (</w:t>
      </w:r>
      <w:r w:rsidRPr="00273106">
        <w:rPr>
          <w:rStyle w:val="addmd"/>
          <w:i/>
        </w:rPr>
        <w:t>divisio boni</w:t>
      </w:r>
      <w:r w:rsidRPr="00273106">
        <w:rPr>
          <w:rStyle w:val="addmd"/>
        </w:rPr>
        <w:t>). Pohyb moderní diference (</w:t>
      </w:r>
      <w:r w:rsidRPr="00273106">
        <w:rPr>
          <w:rStyle w:val="addmd"/>
          <w:i/>
        </w:rPr>
        <w:t>sub ratione boni</w:t>
      </w:r>
      <w:r w:rsidRPr="00273106">
        <w:rPr>
          <w:rStyle w:val="addmd"/>
        </w:rPr>
        <w:t>) provedl rozdělení etiky od nejvyššího rodu (</w:t>
      </w:r>
      <w:r w:rsidRPr="00273106">
        <w:rPr>
          <w:rStyle w:val="addmd"/>
          <w:i/>
        </w:rPr>
        <w:t>bonum divinum</w:t>
      </w:r>
      <w:r w:rsidRPr="00273106">
        <w:rPr>
          <w:rStyle w:val="addmd"/>
        </w:rPr>
        <w:t xml:space="preserve">) až na úroveň </w:t>
      </w:r>
      <w:r w:rsidR="00962190">
        <w:rPr>
          <w:rStyle w:val="addmd"/>
          <w:i/>
        </w:rPr>
        <w:t>species</w:t>
      </w:r>
      <w:r w:rsidRPr="00273106">
        <w:rPr>
          <w:rStyle w:val="addmd"/>
          <w:i/>
        </w:rPr>
        <w:t xml:space="preserve"> specialissima</w:t>
      </w:r>
      <w:r>
        <w:rPr>
          <w:rStyle w:val="addmd"/>
          <w:i/>
        </w:rPr>
        <w:fldChar w:fldCharType="begin"/>
      </w:r>
      <w:r>
        <w:instrText xml:space="preserve"> XE "</w:instrText>
      </w:r>
      <w:r w:rsidRPr="00A94442">
        <w:rPr>
          <w:i/>
        </w:rPr>
        <w:instrText>species specialissima</w:instrText>
      </w:r>
      <w:r>
        <w:instrText xml:space="preserve">" </w:instrText>
      </w:r>
      <w:r>
        <w:rPr>
          <w:rStyle w:val="addmd"/>
          <w:i/>
        </w:rPr>
        <w:fldChar w:fldCharType="end"/>
      </w:r>
      <w:r w:rsidRPr="00273106">
        <w:rPr>
          <w:rStyle w:val="addmd"/>
        </w:rPr>
        <w:t>, což bylo dobro dané v každodenním morálním jednání (</w:t>
      </w:r>
      <w:r w:rsidRPr="00273106">
        <w:rPr>
          <w:rStyle w:val="addmd"/>
          <w:i/>
        </w:rPr>
        <w:t>bonum humanum</w:t>
      </w:r>
      <w:r>
        <w:rPr>
          <w:rStyle w:val="addmd"/>
          <w:i/>
        </w:rPr>
        <w:fldChar w:fldCharType="begin"/>
      </w:r>
      <w:r>
        <w:instrText xml:space="preserve"> XE "</w:instrText>
      </w:r>
      <w:r w:rsidRPr="004B010C">
        <w:rPr>
          <w:rStyle w:val="addmd"/>
          <w:i/>
        </w:rPr>
        <w:instrText>bonum humanum</w:instrText>
      </w:r>
      <w:r>
        <w:instrText xml:space="preserve">" </w:instrText>
      </w:r>
      <w:r>
        <w:rPr>
          <w:rStyle w:val="addmd"/>
          <w:i/>
        </w:rPr>
        <w:fldChar w:fldCharType="end"/>
      </w:r>
      <w:r w:rsidRPr="00273106">
        <w:rPr>
          <w:rStyle w:val="addmd"/>
        </w:rPr>
        <w:t xml:space="preserve">). </w:t>
      </w:r>
      <w:r w:rsidRPr="00273106">
        <w:t xml:space="preserve">Modernisté </w:t>
      </w:r>
      <w:r>
        <w:lastRenderedPageBreak/>
        <w:t xml:space="preserve">rozdělili etiku podle dobra jako porretánské hypostáze dané v modu </w:t>
      </w:r>
      <w:r w:rsidRPr="086F538A">
        <w:rPr>
          <w:i/>
        </w:rPr>
        <w:t>res</w:t>
      </w:r>
      <w:r>
        <w:t>. Tím zal</w:t>
      </w:r>
      <w:r w:rsidRPr="00273106">
        <w:t xml:space="preserve">ožili vlastní teorii </w:t>
      </w:r>
      <w:r>
        <w:t>jednání a s</w:t>
      </w:r>
      <w:r w:rsidRPr="00273106">
        <w:t xml:space="preserve">ofisticky </w:t>
      </w:r>
      <w:r>
        <w:t xml:space="preserve">se </w:t>
      </w:r>
      <w:r w:rsidRPr="00273106">
        <w:t xml:space="preserve">odvolali na Aristotela, jak bylo v této synkretistické škole zvykem. </w:t>
      </w:r>
      <w:r>
        <w:t xml:space="preserve">Citát chápe smysl </w:t>
      </w:r>
      <w:r w:rsidR="00D81F09">
        <w:t xml:space="preserve">aristotelského spisu </w:t>
      </w:r>
      <w:r w:rsidR="009A77A9" w:rsidRPr="009A77A9">
        <w:rPr>
          <w:i/>
        </w:rPr>
        <w:t>Etika</w:t>
      </w:r>
      <w:r w:rsidR="009A77A9">
        <w:t xml:space="preserve"> </w:t>
      </w:r>
      <w:r>
        <w:t>nasvícením zezadu, od subsistentního dobra jako hypostáze. Dobro jako objektivní hypostázi je pak</w:t>
      </w:r>
      <w:r w:rsidRPr="00273106">
        <w:t xml:space="preserve"> možno dělit podle jednotlivých věd (</w:t>
      </w:r>
      <w:r w:rsidRPr="00273106">
        <w:rPr>
          <w:i/>
        </w:rPr>
        <w:t>secundum diuisionem rerum erit diuisio scientiarum</w:t>
      </w:r>
      <w:r w:rsidRPr="00273106">
        <w:t xml:space="preserve">). </w:t>
      </w:r>
      <w:r>
        <w:t xml:space="preserve">Dobro je pro Aristotela v jednání, ale pro modernisty je dáno jako hypostáze v objektivním modu </w:t>
      </w:r>
      <w:r w:rsidRPr="08EE6D4C">
        <w:rPr>
          <w:i/>
        </w:rPr>
        <w:t>semel</w:t>
      </w:r>
      <w:r w:rsidRPr="00273106">
        <w:t>‒</w:t>
      </w:r>
      <w:r w:rsidRPr="08EE6D4C">
        <w:rPr>
          <w:i/>
        </w:rPr>
        <w:t>semper</w:t>
      </w:r>
      <w:r>
        <w:t xml:space="preserve">. Moderní etika zkoumá dobro jako objektivní </w:t>
      </w:r>
      <w:r w:rsidRPr="081E7A8A">
        <w:rPr>
          <w:i/>
        </w:rPr>
        <w:t>res</w:t>
      </w:r>
      <w:r>
        <w:t xml:space="preserve">, která funguje jako </w:t>
      </w:r>
      <w:r w:rsidRPr="00273106">
        <w:t>kvazi-substan</w:t>
      </w:r>
      <w:r>
        <w:t xml:space="preserve">ce na úrovni univerzálií dělených v rámci Porfýriova stromu. </w:t>
      </w:r>
      <w:r w:rsidRPr="00273106">
        <w:t xml:space="preserve">Z hlediska dalšího vývoje politické teorie je důležité rozdělení etiky podle </w:t>
      </w:r>
      <w:r>
        <w:t>neoplatonsk</w:t>
      </w:r>
      <w:r w:rsidRPr="00273106">
        <w:t xml:space="preserve">ého pojetí dobra chápaného v modu </w:t>
      </w:r>
      <w:r w:rsidRPr="00273106">
        <w:rPr>
          <w:i/>
        </w:rPr>
        <w:t>essentialiter</w:t>
      </w:r>
      <w:r>
        <w:t>, což má Pseudo</w:t>
      </w:r>
      <w:r>
        <w:noBreakHyphen/>
        <w:t>Peckhamův komentář.</w:t>
      </w:r>
    </w:p>
    <w:p w:rsidR="08163013" w:rsidRPr="005E5CA7" w:rsidRDefault="08163013" w:rsidP="08163013">
      <w:pPr>
        <w:pStyle w:val="Citace"/>
        <w:rPr>
          <w:noProof/>
          <w:lang w:val="cs-CZ"/>
        </w:rPr>
      </w:pPr>
      <w:r w:rsidRPr="00273106">
        <w:rPr>
          <w:noProof/>
          <w:lang w:val="cs-CZ"/>
        </w:rPr>
        <w:t>„</w:t>
      </w:r>
      <w:r>
        <w:rPr>
          <w:noProof/>
          <w:lang w:val="cs-CZ"/>
        </w:rPr>
        <w:t>Morální věda je v původním smyslu o dobru, ať už je dané ve věcech nebo v našem jednání. Protože věda provádí dělení podle substance dané v realitě (</w:t>
      </w:r>
      <w:r w:rsidRPr="00BB1704">
        <w:rPr>
          <w:i/>
          <w:noProof/>
          <w:lang w:val="cs-CZ"/>
        </w:rPr>
        <w:t>quo est</w:t>
      </w:r>
      <w:r>
        <w:rPr>
          <w:noProof/>
          <w:lang w:val="cs-CZ"/>
        </w:rPr>
        <w:t>), pak morální věda nebo filosofie jsou substančně děleny podle dělení dobra (</w:t>
      </w:r>
      <w:r w:rsidRPr="0833082F">
        <w:rPr>
          <w:i/>
          <w:noProof/>
        </w:rPr>
        <w:t>essentialiter secundum diuisionem boni</w:t>
      </w:r>
      <w:r>
        <w:rPr>
          <w:noProof/>
          <w:lang w:val="cs-CZ"/>
        </w:rPr>
        <w:t>).“ </w:t>
      </w:r>
      <w:r>
        <w:rPr>
          <w:rStyle w:val="Znakapoznpodarou"/>
        </w:rPr>
        <w:footnoteReference w:id="532"/>
      </w:r>
    </w:p>
    <w:p w:rsidR="08163013" w:rsidRDefault="08163013" w:rsidP="08163013">
      <w:pPr>
        <w:rPr>
          <w:rStyle w:val="addmd"/>
        </w:rPr>
      </w:pPr>
      <w:r w:rsidRPr="00273106">
        <w:rPr>
          <w:rStyle w:val="addmd"/>
        </w:rPr>
        <w:t>R</w:t>
      </w:r>
      <w:r w:rsidRPr="00273106">
        <w:t>o</w:t>
      </w:r>
      <w:r>
        <w:t>zdělení dobra jako pseudo-subst</w:t>
      </w:r>
      <w:r w:rsidRPr="00273106">
        <w:t>ance (</w:t>
      </w:r>
      <w:r w:rsidRPr="00273106">
        <w:rPr>
          <w:i/>
        </w:rPr>
        <w:t>secundum diuisionem boni</w:t>
      </w:r>
      <w:r w:rsidRPr="00273106">
        <w:t>) dovoluje rozdělení etiky na jednotlivé části a disciplíny (</w:t>
      </w:r>
      <w:r w:rsidRPr="00273106">
        <w:rPr>
          <w:i/>
        </w:rPr>
        <w:t>diuiditur moralis scientia uel philosophia essentialiter</w:t>
      </w:r>
      <w:r w:rsidRPr="00273106">
        <w:t xml:space="preserve">). </w:t>
      </w:r>
      <w:r>
        <w:t>D</w:t>
      </w:r>
      <w:r w:rsidRPr="00273106">
        <w:t xml:space="preserve">obro </w:t>
      </w:r>
      <w:r>
        <w:t xml:space="preserve">se </w:t>
      </w:r>
      <w:r w:rsidRPr="00273106">
        <w:t xml:space="preserve">stalo </w:t>
      </w:r>
      <w:r>
        <w:t xml:space="preserve">nejvyšší substancí </w:t>
      </w:r>
      <w:r w:rsidRPr="00273106">
        <w:t xml:space="preserve">a založilo abstraktně pojatou etiku, která dělí </w:t>
      </w:r>
      <w:r w:rsidR="00F94382">
        <w:t xml:space="preserve">generické </w:t>
      </w:r>
      <w:r w:rsidRPr="00273106">
        <w:t xml:space="preserve">dobro na různé </w:t>
      </w:r>
      <w:r w:rsidR="00F94382">
        <w:t xml:space="preserve">specifické </w:t>
      </w:r>
      <w:r w:rsidRPr="00273106">
        <w:t xml:space="preserve">části. </w:t>
      </w:r>
      <w:r>
        <w:rPr>
          <w:rStyle w:val="addmd"/>
        </w:rPr>
        <w:t>Dobro jako hypostázovaná substance</w:t>
      </w:r>
      <w:r>
        <w:rPr>
          <w:rStyle w:val="addmd"/>
        </w:rPr>
        <w:fldChar w:fldCharType="begin"/>
      </w:r>
      <w:r>
        <w:instrText xml:space="preserve"> XE "</w:instrText>
      </w:r>
      <w:r w:rsidRPr="00DE2A32">
        <w:instrText>substance</w:instrText>
      </w:r>
      <w:r>
        <w:instrText xml:space="preserve">:dobro" </w:instrText>
      </w:r>
      <w:r>
        <w:rPr>
          <w:rStyle w:val="addmd"/>
        </w:rPr>
        <w:fldChar w:fldCharType="end"/>
      </w:r>
      <w:r>
        <w:rPr>
          <w:rStyle w:val="addmd"/>
        </w:rPr>
        <w:t xml:space="preserve"> třetího druhu </w:t>
      </w:r>
      <w:r w:rsidRPr="00273106">
        <w:rPr>
          <w:rStyle w:val="addmd"/>
        </w:rPr>
        <w:t>se stalo eticky účinnou složkou lidské existence</w:t>
      </w:r>
      <w:r>
        <w:rPr>
          <w:rStyle w:val="addmd"/>
        </w:rPr>
        <w:t xml:space="preserve">. Toto analytické pojetí etiky vychází z argumentace </w:t>
      </w:r>
      <w:r w:rsidRPr="00273106">
        <w:rPr>
          <w:rStyle w:val="addmd"/>
          <w:i/>
        </w:rPr>
        <w:t>Oxfordian Fallacy</w:t>
      </w:r>
      <w:r>
        <w:rPr>
          <w:rStyle w:val="addmd"/>
          <w:i/>
        </w:rPr>
        <w:fldChar w:fldCharType="begin"/>
      </w:r>
      <w:r>
        <w:instrText xml:space="preserve"> XE "</w:instrText>
      </w:r>
      <w:r w:rsidRPr="0015798D">
        <w:rPr>
          <w:i/>
        </w:rPr>
        <w:instrText>Oxfordian Fallacy:</w:instrText>
      </w:r>
      <w:r w:rsidRPr="00B303F5">
        <w:instrText>politika</w:instrText>
      </w:r>
      <w:r>
        <w:instrText xml:space="preserve">" </w:instrText>
      </w:r>
      <w:r>
        <w:rPr>
          <w:rStyle w:val="addmd"/>
          <w:i/>
        </w:rPr>
        <w:fldChar w:fldCharType="end"/>
      </w:r>
      <w:r w:rsidRPr="00273106">
        <w:rPr>
          <w:rStyle w:val="addmd"/>
        </w:rPr>
        <w:t xml:space="preserve"> podle Rufuse. Modernisté dali dobru statut jsoucna třetíh</w:t>
      </w:r>
      <w:r>
        <w:rPr>
          <w:rStyle w:val="addmd"/>
        </w:rPr>
        <w:t>o druhu a vyrobili etickou verzi Porfyriova stromu</w:t>
      </w:r>
      <w:r w:rsidRPr="00273106">
        <w:rPr>
          <w:rStyle w:val="addmd"/>
        </w:rPr>
        <w:t xml:space="preserve">, v němž dělili </w:t>
      </w:r>
      <w:r>
        <w:rPr>
          <w:rStyle w:val="addmd"/>
        </w:rPr>
        <w:t xml:space="preserve">specifické </w:t>
      </w:r>
      <w:r w:rsidRPr="00273106">
        <w:rPr>
          <w:rStyle w:val="addmd"/>
        </w:rPr>
        <w:t xml:space="preserve">dobro </w:t>
      </w:r>
      <w:r>
        <w:rPr>
          <w:rStyle w:val="addmd"/>
        </w:rPr>
        <w:t xml:space="preserve">a příslušné formy jeho poznání a chtění </w:t>
      </w:r>
      <w:r w:rsidRPr="00273106">
        <w:rPr>
          <w:rStyle w:val="addmd"/>
        </w:rPr>
        <w:t>jako každou jinou</w:t>
      </w:r>
      <w:r>
        <w:rPr>
          <w:rStyle w:val="addmd"/>
        </w:rPr>
        <w:t xml:space="preserve"> univerzálii</w:t>
      </w:r>
      <w:r>
        <w:rPr>
          <w:rStyle w:val="addmd"/>
        </w:rPr>
        <w:fldChar w:fldCharType="begin"/>
      </w:r>
      <w:r>
        <w:instrText xml:space="preserve"> XE "etika:</w:instrText>
      </w:r>
      <w:r w:rsidRPr="003E5A2A">
        <w:instrText>druhý averroi</w:instrText>
      </w:r>
      <w:r>
        <w:instrText>sm</w:instrText>
      </w:r>
      <w:r w:rsidRPr="003E5A2A">
        <w:instrText>u</w:instrText>
      </w:r>
      <w:r>
        <w:instrText xml:space="preserve">s" </w:instrText>
      </w:r>
      <w:r>
        <w:rPr>
          <w:rStyle w:val="addmd"/>
        </w:rPr>
        <w:fldChar w:fldCharType="end"/>
      </w:r>
      <w:r w:rsidRPr="00273106">
        <w:rPr>
          <w:rStyle w:val="addmd"/>
        </w:rPr>
        <w:t xml:space="preserve">. </w:t>
      </w:r>
      <w:r>
        <w:rPr>
          <w:rStyle w:val="addmd"/>
        </w:rPr>
        <w:t>K</w:t>
      </w:r>
      <w:r w:rsidRPr="00273106">
        <w:rPr>
          <w:rStyle w:val="addmd"/>
        </w:rPr>
        <w:t>omentář Pseudo-</w:t>
      </w:r>
      <w:r>
        <w:rPr>
          <w:rStyle w:val="addmd"/>
        </w:rPr>
        <w:t>Pecham</w:t>
      </w:r>
      <w:r w:rsidRPr="00273106">
        <w:rPr>
          <w:rStyle w:val="addmd"/>
        </w:rPr>
        <w:t xml:space="preserve">a </w:t>
      </w:r>
      <w:r>
        <w:rPr>
          <w:rStyle w:val="addmd"/>
        </w:rPr>
        <w:t>univočně spojil</w:t>
      </w:r>
      <w:r w:rsidRPr="00273106">
        <w:rPr>
          <w:rStyle w:val="addmd"/>
        </w:rPr>
        <w:t xml:space="preserve"> finální a formáln</w:t>
      </w:r>
      <w:r>
        <w:rPr>
          <w:rStyle w:val="addmd"/>
        </w:rPr>
        <w:t>í kauzalitu dobra tím, že upravil</w:t>
      </w:r>
      <w:r w:rsidRPr="00273106">
        <w:rPr>
          <w:rStyle w:val="addmd"/>
        </w:rPr>
        <w:t xml:space="preserve"> predikaci obou kauzalit do vzájemné konvertibility.</w:t>
      </w:r>
      <w:r>
        <w:rPr>
          <w:rStyle w:val="addmd"/>
        </w:rPr>
        <w:t xml:space="preserve"> </w:t>
      </w:r>
      <w:r w:rsidRPr="00273106">
        <w:rPr>
          <w:rStyle w:val="addmd"/>
        </w:rPr>
        <w:t xml:space="preserve">Finalita formálně definovaného dobra </w:t>
      </w:r>
      <w:r>
        <w:rPr>
          <w:rStyle w:val="addmd"/>
        </w:rPr>
        <w:t>dostala</w:t>
      </w:r>
      <w:r w:rsidRPr="00273106">
        <w:rPr>
          <w:rStyle w:val="addmd"/>
        </w:rPr>
        <w:t xml:space="preserve"> kauzalitu </w:t>
      </w:r>
      <w:r>
        <w:rPr>
          <w:rStyle w:val="addmd"/>
        </w:rPr>
        <w:t>danou esenciálně</w:t>
      </w:r>
      <w:r w:rsidRPr="00273106">
        <w:rPr>
          <w:rStyle w:val="addmd"/>
        </w:rPr>
        <w:t>.</w:t>
      </w:r>
      <w:r w:rsidRPr="00273106">
        <w:rPr>
          <w:rStyle w:val="Znakapoznpodarou"/>
        </w:rPr>
        <w:footnoteReference w:id="533"/>
      </w:r>
      <w:r w:rsidRPr="00273106">
        <w:rPr>
          <w:rStyle w:val="addmd"/>
        </w:rPr>
        <w:t xml:space="preserve"> </w:t>
      </w:r>
      <w:r w:rsidRPr="00273106">
        <w:t>Etika jako pravdivé poznání dobra (</w:t>
      </w:r>
      <w:r w:rsidRPr="00273106">
        <w:rPr>
          <w:i/>
        </w:rPr>
        <w:t>moralis scientia</w:t>
      </w:r>
      <w:r w:rsidRPr="00273106">
        <w:t>) dostává určení od substančně pojatého dobra (</w:t>
      </w:r>
      <w:r w:rsidRPr="00273106">
        <w:rPr>
          <w:i/>
        </w:rPr>
        <w:t>proprie de bono</w:t>
      </w:r>
      <w:r>
        <w:t xml:space="preserve">), které je identifikovanáno s </w:t>
      </w:r>
      <w:r w:rsidRPr="00273106">
        <w:t>lidským jednáním (</w:t>
      </w:r>
      <w:r w:rsidRPr="00273106">
        <w:rPr>
          <w:i/>
        </w:rPr>
        <w:t>de rebus prout sunt ab opere nostro</w:t>
      </w:r>
      <w:r w:rsidRPr="00273106">
        <w:t xml:space="preserve">). </w:t>
      </w:r>
      <w:r>
        <w:lastRenderedPageBreak/>
        <w:t>Toto určení etiky je založeno na porretánské „exsistenci“</w:t>
      </w:r>
      <w:r w:rsidRPr="00273106">
        <w:t xml:space="preserve"> zkoumané </w:t>
      </w:r>
      <w:r w:rsidR="009F5916">
        <w:t>„</w:t>
      </w:r>
      <w:r w:rsidRPr="00273106">
        <w:t>věci</w:t>
      </w:r>
      <w:r w:rsidR="009F5916">
        <w:t>“</w:t>
      </w:r>
      <w:r w:rsidRPr="00273106">
        <w:t xml:space="preserve"> (</w:t>
      </w:r>
      <w:r w:rsidRPr="00273106">
        <w:rPr>
          <w:i/>
        </w:rPr>
        <w:t>de quo est</w:t>
      </w:r>
      <w:r>
        <w:rPr>
          <w:i/>
        </w:rPr>
        <w:fldChar w:fldCharType="begin"/>
      </w:r>
      <w:r>
        <w:instrText xml:space="preserve"> XE "</w:instrText>
      </w:r>
      <w:r w:rsidRPr="003C4F2E">
        <w:rPr>
          <w:i/>
        </w:rPr>
        <w:instrText>quo est</w:instrText>
      </w:r>
      <w:r>
        <w:instrText xml:space="preserve">" </w:instrText>
      </w:r>
      <w:r>
        <w:rPr>
          <w:i/>
        </w:rPr>
        <w:fldChar w:fldCharType="end"/>
      </w:r>
      <w:r w:rsidRPr="00273106">
        <w:t xml:space="preserve">). </w:t>
      </w:r>
      <w:r>
        <w:t xml:space="preserve">Definice etiky jako </w:t>
      </w:r>
      <w:r w:rsidRPr="00273106">
        <w:t xml:space="preserve">vědy se týká dobra daného substančně, tedy ve formě </w:t>
      </w:r>
      <w:r w:rsidR="00506A7A" w:rsidRPr="0032288B">
        <w:rPr>
          <w:i/>
          <w:lang w:eastAsia="en-US"/>
        </w:rPr>
        <w:t>tertium ens</w:t>
      </w:r>
      <w:r w:rsidRPr="00273106">
        <w:t xml:space="preserve"> vybavené</w:t>
      </w:r>
      <w:r>
        <w:t>ho</w:t>
      </w:r>
      <w:r w:rsidRPr="00273106">
        <w:t xml:space="preserve"> aktem subsistence</w:t>
      </w:r>
      <w:r>
        <w:fldChar w:fldCharType="begin"/>
      </w:r>
      <w:r>
        <w:instrText xml:space="preserve"> XE "</w:instrText>
      </w:r>
      <w:r w:rsidRPr="001D1E42">
        <w:instrText>subsistence</w:instrText>
      </w:r>
      <w:r>
        <w:instrText xml:space="preserve">:etika" </w:instrText>
      </w:r>
      <w:r>
        <w:fldChar w:fldCharType="end"/>
      </w:r>
      <w:r w:rsidRPr="00273106">
        <w:t xml:space="preserve"> </w:t>
      </w:r>
      <w:r>
        <w:t>a účinné kauzality</w:t>
      </w:r>
      <w:r w:rsidRPr="00273106">
        <w:t xml:space="preserve">. </w:t>
      </w:r>
      <w:r w:rsidRPr="00273106">
        <w:rPr>
          <w:rStyle w:val="addmd"/>
        </w:rPr>
        <w:t xml:space="preserve">Dobro jako </w:t>
      </w:r>
      <w:r w:rsidR="0003574C">
        <w:rPr>
          <w:rStyle w:val="addmd"/>
        </w:rPr>
        <w:t xml:space="preserve">nová mytologická </w:t>
      </w:r>
      <w:r w:rsidRPr="00273106">
        <w:rPr>
          <w:rStyle w:val="addmd"/>
        </w:rPr>
        <w:t>substance se st</w:t>
      </w:r>
      <w:r>
        <w:rPr>
          <w:rStyle w:val="addmd"/>
        </w:rPr>
        <w:t xml:space="preserve">alo nejvyšším rodem a zajistilo v nové kategoriální predikaci </w:t>
      </w:r>
      <w:r w:rsidRPr="00730A7D">
        <w:rPr>
          <w:rStyle w:val="addmd"/>
          <w:i/>
        </w:rPr>
        <w:t>Modernorum</w:t>
      </w:r>
      <w:r>
        <w:rPr>
          <w:rStyle w:val="addmd"/>
        </w:rPr>
        <w:t xml:space="preserve"> </w:t>
      </w:r>
      <w:r w:rsidRPr="00273106">
        <w:rPr>
          <w:rStyle w:val="addmd"/>
        </w:rPr>
        <w:t xml:space="preserve">dělení dobra na nižší druhy. Dobro predikované v modu </w:t>
      </w:r>
      <w:r w:rsidRPr="00273106">
        <w:rPr>
          <w:rStyle w:val="addmd"/>
          <w:i/>
        </w:rPr>
        <w:t>per prius</w:t>
      </w:r>
      <w:r w:rsidRPr="00273106">
        <w:rPr>
          <w:rStyle w:val="addmd"/>
        </w:rPr>
        <w:t xml:space="preserve"> </w:t>
      </w:r>
      <w:r w:rsidR="00F56C1D">
        <w:rPr>
          <w:rStyle w:val="addmd"/>
        </w:rPr>
        <w:t xml:space="preserve">dostalo </w:t>
      </w:r>
      <w:r>
        <w:rPr>
          <w:rStyle w:val="addmd"/>
        </w:rPr>
        <w:t>novou form</w:t>
      </w:r>
      <w:r w:rsidRPr="00273106">
        <w:rPr>
          <w:rStyle w:val="addmd"/>
        </w:rPr>
        <w:t>u eficientní kauzality</w:t>
      </w:r>
      <w:r>
        <w:rPr>
          <w:rStyle w:val="addmd"/>
        </w:rPr>
        <w:t xml:space="preserve"> podle Grossetestem, Rufusem a Kilwardbym zavedené verze </w:t>
      </w:r>
      <w:r w:rsidRPr="00273106">
        <w:rPr>
          <w:rStyle w:val="addmd"/>
          <w:i/>
        </w:rPr>
        <w:t>Oxfordian Fallacy</w:t>
      </w:r>
      <w:r>
        <w:rPr>
          <w:rStyle w:val="addmd"/>
        </w:rPr>
        <w:t>. Neoplatonské Jedno dané jako dobro a jako finální kauza získalo efektivní kauzalitu, která v konceptu moderní etiky nahradila lidské jednání (</w:t>
      </w:r>
      <w:r w:rsidRPr="00C7339E">
        <w:rPr>
          <w:rStyle w:val="TextpoznpodarouChar"/>
          <w:i/>
        </w:rPr>
        <w:t>finis dicitur causa causarum</w:t>
      </w:r>
      <w:r>
        <w:rPr>
          <w:rStyle w:val="TextpoznpodarouChar"/>
        </w:rPr>
        <w:t>...</w:t>
      </w:r>
      <w:r>
        <w:rPr>
          <w:rStyle w:val="TextpoznpodarouChar"/>
          <w:i/>
        </w:rPr>
        <w:t>in quantum mov</w:t>
      </w:r>
      <w:r w:rsidRPr="00C7339E">
        <w:rPr>
          <w:rStyle w:val="TextpoznpodarouChar"/>
          <w:i/>
        </w:rPr>
        <w:t>et suo modo</w:t>
      </w:r>
      <w:r>
        <w:rPr>
          <w:rStyle w:val="addmd"/>
        </w:rPr>
        <w:t>).</w:t>
      </w:r>
      <w:r w:rsidRPr="00273106">
        <w:rPr>
          <w:rStyle w:val="Znakapoznpodarou"/>
        </w:rPr>
        <w:footnoteReference w:id="534"/>
      </w:r>
      <w:r w:rsidRPr="00273106">
        <w:rPr>
          <w:rStyle w:val="addmd"/>
        </w:rPr>
        <w:t xml:space="preserve"> </w:t>
      </w:r>
      <w:r>
        <w:rPr>
          <w:rStyle w:val="addmd"/>
        </w:rPr>
        <w:t>A protože dobro je nejvyšší finální kauza, pak tento nadřazený rod do sebe zahrnuje i účinnou kauzalitu danou působením reálných substancí a jednajícího člověka.</w:t>
      </w:r>
      <w:r w:rsidRPr="00273106">
        <w:rPr>
          <w:rStyle w:val="addmd"/>
        </w:rPr>
        <w:t xml:space="preserve"> Založení </w:t>
      </w:r>
      <w:r>
        <w:rPr>
          <w:rStyle w:val="addmd"/>
        </w:rPr>
        <w:t>neoplatonsk</w:t>
      </w:r>
      <w:r w:rsidRPr="00273106">
        <w:rPr>
          <w:rStyle w:val="addmd"/>
        </w:rPr>
        <w:t xml:space="preserve">é etiky jako vědy </w:t>
      </w:r>
      <w:r>
        <w:rPr>
          <w:rStyle w:val="addmd"/>
        </w:rPr>
        <w:t>přeměnilo</w:t>
      </w:r>
      <w:r w:rsidRPr="00273106">
        <w:rPr>
          <w:rStyle w:val="addmd"/>
        </w:rPr>
        <w:t xml:space="preserve"> </w:t>
      </w:r>
      <w:r>
        <w:rPr>
          <w:rStyle w:val="addmd"/>
        </w:rPr>
        <w:t>jednání jedinečné osoby</w:t>
      </w:r>
      <w:r w:rsidRPr="00273106">
        <w:rPr>
          <w:rStyle w:val="addmd"/>
        </w:rPr>
        <w:t xml:space="preserve"> na moderní pseudo-substanci vybavenou účinnou kauzalitou</w:t>
      </w:r>
      <w:r>
        <w:rPr>
          <w:rStyle w:val="addmd"/>
        </w:rPr>
        <w:t xml:space="preserve"> třetího druhu</w:t>
      </w:r>
      <w:r w:rsidRPr="00273106">
        <w:rPr>
          <w:rStyle w:val="addmd"/>
        </w:rPr>
        <w:t>, která zdánlivě působí i v řádu prvních substancí.</w:t>
      </w:r>
      <w:r>
        <w:rPr>
          <w:rStyle w:val="addmd"/>
        </w:rPr>
        <w:t xml:space="preserve"> Humanismus člověka jako specifické mrtvoly vytvořil i specifickou etiku odpovídající novému simulákru </w:t>
      </w:r>
      <w:r w:rsidR="00FF5FDA">
        <w:rPr>
          <w:rStyle w:val="addmd"/>
        </w:rPr>
        <w:t>reality</w:t>
      </w:r>
      <w:r>
        <w:rPr>
          <w:rStyle w:val="addmd"/>
        </w:rPr>
        <w:fldChar w:fldCharType="begin"/>
      </w:r>
      <w:r>
        <w:instrText xml:space="preserve"> XE "etika:</w:instrText>
      </w:r>
      <w:r w:rsidRPr="003E5A2A">
        <w:instrText>druhý averroi</w:instrText>
      </w:r>
      <w:r>
        <w:instrText>sm</w:instrText>
      </w:r>
      <w:r w:rsidRPr="003E5A2A">
        <w:instrText>u</w:instrText>
      </w:r>
      <w:r>
        <w:instrText xml:space="preserve">s" </w:instrText>
      </w:r>
      <w:r>
        <w:rPr>
          <w:rStyle w:val="addmd"/>
        </w:rPr>
        <w:fldChar w:fldCharType="end"/>
      </w:r>
      <w:r>
        <w:rPr>
          <w:rStyle w:val="addmd"/>
        </w:rPr>
        <w:t xml:space="preserve">. </w:t>
      </w:r>
      <w:r w:rsidRPr="00273106">
        <w:rPr>
          <w:rStyle w:val="addmd"/>
        </w:rPr>
        <w:t>Ve škole druhého averroismu vznikla nová forma etického, a později i politického neoplatonismu</w:t>
      </w:r>
      <w:r w:rsidR="00F93242">
        <w:rPr>
          <w:rStyle w:val="addmd"/>
        </w:rPr>
        <w:t xml:space="preserve">. Tyto mytologie byla </w:t>
      </w:r>
      <w:r>
        <w:rPr>
          <w:rStyle w:val="addmd"/>
        </w:rPr>
        <w:t>nakonec potvrzen</w:t>
      </w:r>
      <w:r w:rsidR="00F93242">
        <w:rPr>
          <w:rStyle w:val="addmd"/>
        </w:rPr>
        <w:t>a</w:t>
      </w:r>
      <w:r>
        <w:rPr>
          <w:rStyle w:val="addmd"/>
        </w:rPr>
        <w:t xml:space="preserve"> </w:t>
      </w:r>
      <w:r w:rsidR="00F93242">
        <w:rPr>
          <w:rStyle w:val="addmd"/>
        </w:rPr>
        <w:t xml:space="preserve">i </w:t>
      </w:r>
      <w:r>
        <w:rPr>
          <w:rStyle w:val="addmd"/>
        </w:rPr>
        <w:t xml:space="preserve">mocensky skrze bulu </w:t>
      </w:r>
      <w:r>
        <w:rPr>
          <w:rStyle w:val="addmd"/>
          <w:i/>
        </w:rPr>
        <w:t>Unam Sanctam</w:t>
      </w:r>
      <w:r>
        <w:rPr>
          <w:rStyle w:val="addmd"/>
          <w:i/>
        </w:rPr>
        <w:fldChar w:fldCharType="begin"/>
      </w:r>
      <w:r>
        <w:instrText xml:space="preserve"> XE "</w:instrText>
      </w:r>
      <w:r>
        <w:rPr>
          <w:i/>
        </w:rPr>
        <w:instrText>Unam Sanctam</w:instrText>
      </w:r>
      <w:r>
        <w:instrText xml:space="preserve">" </w:instrText>
      </w:r>
      <w:r>
        <w:rPr>
          <w:rStyle w:val="addmd"/>
          <w:i/>
        </w:rPr>
        <w:fldChar w:fldCharType="end"/>
      </w:r>
      <w:r>
        <w:rPr>
          <w:rStyle w:val="addmd"/>
        </w:rPr>
        <w:t>.</w:t>
      </w:r>
    </w:p>
    <w:p w:rsidR="08163013" w:rsidRPr="00273106" w:rsidRDefault="08163013" w:rsidP="08163013">
      <w:pPr>
        <w:rPr>
          <w:rStyle w:val="addmd"/>
        </w:rPr>
      </w:pPr>
      <w:r>
        <w:rPr>
          <w:rStyle w:val="addmd"/>
        </w:rPr>
        <w:tab/>
        <w:t xml:space="preserve">Zdrojem analytické verze etiky byl Rufusův komentář třetí knihy </w:t>
      </w:r>
      <w:r w:rsidRPr="000340B2">
        <w:rPr>
          <w:rStyle w:val="addmd"/>
          <w:i/>
        </w:rPr>
        <w:t>De anima</w:t>
      </w:r>
      <w:r>
        <w:rPr>
          <w:rStyle w:val="addmd"/>
        </w:rPr>
        <w:t xml:space="preserve"> napsaný asi ještě v Oxfordu. </w:t>
      </w:r>
      <w:r w:rsidR="00C25588">
        <w:t>S</w:t>
      </w:r>
      <w:r w:rsidR="00C25588" w:rsidRPr="00C25588">
        <w:t xml:space="preserve">ofistická interpretace </w:t>
      </w:r>
      <w:r w:rsidR="00C25588" w:rsidRPr="00C25588">
        <w:rPr>
          <w:i/>
          <w:iCs/>
        </w:rPr>
        <w:t>intellectus practicus</w:t>
      </w:r>
      <w:r w:rsidR="00C25588" w:rsidRPr="00C25588">
        <w:t xml:space="preserve"> </w:t>
      </w:r>
      <w:r w:rsidR="00C25588">
        <w:t xml:space="preserve">podle </w:t>
      </w:r>
      <w:r w:rsidR="00C25588" w:rsidRPr="00C25588">
        <w:rPr>
          <w:i/>
          <w:iCs/>
        </w:rPr>
        <w:t>De anima III</w:t>
      </w:r>
      <w:r w:rsidR="00C25588" w:rsidRPr="00C25588">
        <w:t xml:space="preserve"> </w:t>
      </w:r>
      <w:r w:rsidR="00C25588">
        <w:t>p</w:t>
      </w:r>
      <w:r w:rsidR="00C25588" w:rsidRPr="00C25588">
        <w:t xml:space="preserve">rovedená prvním představitelem </w:t>
      </w:r>
      <w:r w:rsidR="00C25588" w:rsidRPr="00C25588">
        <w:rPr>
          <w:i/>
          <w:iCs/>
        </w:rPr>
        <w:t>Modernorum</w:t>
      </w:r>
      <w:r w:rsidR="00C25588">
        <w:rPr>
          <w:i/>
          <w:iCs/>
        </w:rPr>
        <w:t xml:space="preserve"> </w:t>
      </w:r>
      <w:r w:rsidR="00C25588">
        <w:rPr>
          <w:iCs/>
        </w:rPr>
        <w:t xml:space="preserve">způsobila </w:t>
      </w:r>
      <w:r w:rsidR="00C25588" w:rsidRPr="00C25588">
        <w:t xml:space="preserve">definitivní oddělení </w:t>
      </w:r>
      <w:r w:rsidR="00C25588">
        <w:t xml:space="preserve">školy </w:t>
      </w:r>
      <w:r w:rsidR="00C25588" w:rsidRPr="00C25588">
        <w:t xml:space="preserve">druhého averroismu od </w:t>
      </w:r>
      <w:r w:rsidR="00C25588">
        <w:t xml:space="preserve">školy </w:t>
      </w:r>
      <w:r w:rsidR="00C25588" w:rsidRPr="00C25588">
        <w:t>prvního averroismu. K tomuto oddělení došlo ve škole Filipa Kancléře a ve škole Halesových</w:t>
      </w:r>
      <w:r w:rsidR="00C25588">
        <w:t xml:space="preserve"> františkánských žáků v Paříži. </w:t>
      </w:r>
      <w:r w:rsidR="00C25588">
        <w:rPr>
          <w:rStyle w:val="addmd"/>
        </w:rPr>
        <w:t xml:space="preserve">Tento rozchod </w:t>
      </w:r>
      <w:r>
        <w:t>s prvním averroismem</w:t>
      </w:r>
      <w:r w:rsidR="00C25588">
        <w:t xml:space="preserve"> </w:t>
      </w:r>
      <w:r>
        <w:t xml:space="preserve">potvrdily citované výklady </w:t>
      </w:r>
      <w:r w:rsidRPr="08FD2899">
        <w:rPr>
          <w:i/>
        </w:rPr>
        <w:t>Etiky</w:t>
      </w:r>
      <w:r>
        <w:t xml:space="preserve"> </w:t>
      </w:r>
      <w:r w:rsidR="00520D5B">
        <w:t xml:space="preserve">psané v letech </w:t>
      </w:r>
      <w:r>
        <w:t>1240</w:t>
      </w:r>
      <w:r w:rsidR="00520D5B">
        <w:t>–50</w:t>
      </w:r>
      <w:r>
        <w:t xml:space="preserve">. </w:t>
      </w:r>
      <w:r w:rsidRPr="00273106">
        <w:rPr>
          <w:rStyle w:val="addmd"/>
        </w:rPr>
        <w:t xml:space="preserve">Rufus smísil pojetí dobra jako subsistentní </w:t>
      </w:r>
      <w:r w:rsidR="00962190">
        <w:rPr>
          <w:rStyle w:val="addmd"/>
          <w:i/>
        </w:rPr>
        <w:t>species</w:t>
      </w:r>
      <w:r w:rsidRPr="00273106">
        <w:rPr>
          <w:rStyle w:val="addmd"/>
        </w:rPr>
        <w:t xml:space="preserve"> podle zaniklých </w:t>
      </w:r>
      <w:r w:rsidRPr="00273106">
        <w:rPr>
          <w:rStyle w:val="addmd"/>
          <w:i/>
        </w:rPr>
        <w:t>Nominales</w:t>
      </w:r>
      <w:r w:rsidRPr="00273106">
        <w:rPr>
          <w:rStyle w:val="addmd"/>
        </w:rPr>
        <w:t xml:space="preserve"> s aristotelismem podle </w:t>
      </w:r>
      <w:r>
        <w:rPr>
          <w:rStyle w:val="addmd"/>
        </w:rPr>
        <w:t xml:space="preserve">Grossetestem založené </w:t>
      </w:r>
      <w:r w:rsidRPr="00273106">
        <w:rPr>
          <w:rStyle w:val="addmd"/>
          <w:i/>
        </w:rPr>
        <w:t>Oxfordian Fallacy</w:t>
      </w:r>
      <w:r>
        <w:rPr>
          <w:rStyle w:val="addmd"/>
        </w:rPr>
        <w:t xml:space="preserve"> </w:t>
      </w:r>
      <w:r w:rsidR="00283D84">
        <w:rPr>
          <w:rStyle w:val="addmd"/>
        </w:rPr>
        <w:t>(</w:t>
      </w:r>
      <w:r w:rsidR="00283D84" w:rsidRPr="00A9626C">
        <w:rPr>
          <w:lang w:eastAsia="en-US"/>
        </w:rPr>
        <w:t xml:space="preserve">OBJ II, </w:t>
      </w:r>
      <w:r w:rsidR="00283D84">
        <w:rPr>
          <w:lang w:eastAsia="en-US"/>
        </w:rPr>
        <w:t>ch.</w:t>
      </w:r>
      <w:r w:rsidR="00283D84" w:rsidRPr="00A9626C">
        <w:rPr>
          <w:lang w:eastAsia="en-US"/>
        </w:rPr>
        <w:t xml:space="preserve"> 3.3.1</w:t>
      </w:r>
      <w:r w:rsidR="00283D84">
        <w:rPr>
          <w:lang w:eastAsia="en-US"/>
        </w:rPr>
        <w:t>)</w:t>
      </w:r>
      <w:r w:rsidRPr="00273106">
        <w:rPr>
          <w:rStyle w:val="addmd"/>
        </w:rPr>
        <w:t xml:space="preserve">. </w:t>
      </w:r>
      <w:r>
        <w:t xml:space="preserve">Aristoteles predikuje účinnou aktualitu </w:t>
      </w:r>
      <w:r w:rsidRPr="00273106">
        <w:t xml:space="preserve">pouze </w:t>
      </w:r>
      <w:r>
        <w:t>vzhledem k</w:t>
      </w:r>
      <w:r w:rsidR="00283D84">
        <w:t> </w:t>
      </w:r>
      <w:r w:rsidRPr="00273106">
        <w:t>hyparchick</w:t>
      </w:r>
      <w:r w:rsidR="00283D84">
        <w:t>ým p</w:t>
      </w:r>
      <w:r w:rsidRPr="00273106">
        <w:t>rvní</w:t>
      </w:r>
      <w:r w:rsidR="00283D84">
        <w:t>m</w:t>
      </w:r>
      <w:r w:rsidRPr="00273106">
        <w:t xml:space="preserve"> substanc</w:t>
      </w:r>
      <w:r w:rsidR="00283D84">
        <w:t>ím</w:t>
      </w:r>
      <w:r>
        <w:t xml:space="preserve">, ale Rufus má jiný výklad </w:t>
      </w:r>
      <w:r w:rsidRPr="08AF72FA">
        <w:rPr>
          <w:i/>
        </w:rPr>
        <w:t>Druhých analytik</w:t>
      </w:r>
      <w:r w:rsidRPr="00273106">
        <w:t xml:space="preserve">. </w:t>
      </w:r>
      <w:r>
        <w:lastRenderedPageBreak/>
        <w:t>D</w:t>
      </w:r>
      <w:r w:rsidRPr="00273106">
        <w:t xml:space="preserve">efinice praktického intelektu </w:t>
      </w:r>
      <w:r w:rsidR="00C01356">
        <w:t xml:space="preserve">podle Rufuse </w:t>
      </w:r>
      <w:r>
        <w:t xml:space="preserve">je určena </w:t>
      </w:r>
      <w:r w:rsidRPr="00273106">
        <w:rPr>
          <w:rStyle w:val="addmd"/>
        </w:rPr>
        <w:t xml:space="preserve">vzhledem </w:t>
      </w:r>
      <w:r>
        <w:rPr>
          <w:rStyle w:val="addmd"/>
        </w:rPr>
        <w:t xml:space="preserve">k hypostázované </w:t>
      </w:r>
      <w:r w:rsidR="00962190">
        <w:rPr>
          <w:rStyle w:val="addmd"/>
          <w:i/>
        </w:rPr>
        <w:t>species</w:t>
      </w:r>
      <w:r>
        <w:rPr>
          <w:rStyle w:val="addmd"/>
        </w:rPr>
        <w:t xml:space="preserve"> dobra. </w:t>
      </w:r>
    </w:p>
    <w:p w:rsidR="08163013" w:rsidRPr="00B507BF" w:rsidRDefault="08163013" w:rsidP="08163013">
      <w:pPr>
        <w:pStyle w:val="Citace"/>
        <w:rPr>
          <w:noProof/>
          <w:lang w:val="cs-CZ"/>
        </w:rPr>
      </w:pPr>
      <w:r w:rsidRPr="00273106">
        <w:rPr>
          <w:rStyle w:val="addmd"/>
          <w:noProof/>
          <w:lang w:val="cs-CZ"/>
        </w:rPr>
        <w:t>„</w:t>
      </w:r>
      <w:r>
        <w:rPr>
          <w:rStyle w:val="addmd"/>
          <w:noProof/>
          <w:lang w:val="cs-CZ"/>
        </w:rPr>
        <w:t xml:space="preserve">Podobně vzhledem k intelektuálním schopnostem platí, že intelekt skrze stejnou schopnost nejprve přijme </w:t>
      </w:r>
      <w:r w:rsidR="00962190" w:rsidRPr="003522F5">
        <w:rPr>
          <w:rStyle w:val="addmd"/>
          <w:noProof/>
          <w:lang w:val="cs-CZ"/>
        </w:rPr>
        <w:t>species</w:t>
      </w:r>
      <w:r>
        <w:rPr>
          <w:rStyle w:val="addmd"/>
          <w:noProof/>
          <w:lang w:val="cs-CZ"/>
        </w:rPr>
        <w:t xml:space="preserve"> dobra natolik, nakolik je toto dobro dáno </w:t>
      </w:r>
      <w:r w:rsidR="00AD09D9">
        <w:rPr>
          <w:rStyle w:val="addmd"/>
          <w:noProof/>
          <w:lang w:val="cs-CZ"/>
        </w:rPr>
        <w:t>v aktua</w:t>
      </w:r>
      <w:r>
        <w:rPr>
          <w:rStyle w:val="addmd"/>
          <w:noProof/>
          <w:lang w:val="cs-CZ"/>
        </w:rPr>
        <w:t>l</w:t>
      </w:r>
      <w:r w:rsidR="00AD09D9">
        <w:rPr>
          <w:rStyle w:val="addmd"/>
          <w:noProof/>
          <w:lang w:val="cs-CZ"/>
        </w:rPr>
        <w:t>izovaném stavu.</w:t>
      </w:r>
      <w:r>
        <w:rPr>
          <w:rStyle w:val="addmd"/>
          <w:noProof/>
          <w:lang w:val="cs-CZ"/>
        </w:rPr>
        <w:t xml:space="preserve"> Intelekt přijme a pozná toto aktuální dobro a tak se z něj stane praktický intelekt.“ </w:t>
      </w:r>
      <w:r>
        <w:rPr>
          <w:rStyle w:val="Znakapoznpodarou"/>
        </w:rPr>
        <w:footnoteReference w:id="535"/>
      </w:r>
    </w:p>
    <w:p w:rsidR="08163013" w:rsidRPr="00273106" w:rsidRDefault="08163013" w:rsidP="08163013">
      <w:r>
        <w:t>I</w:t>
      </w:r>
      <w:r w:rsidRPr="00273106">
        <w:t xml:space="preserve">ntelekt poznává dobro v modu </w:t>
      </w:r>
      <w:r w:rsidRPr="00273106">
        <w:rPr>
          <w:i/>
        </w:rPr>
        <w:t>per prius</w:t>
      </w:r>
      <w:r>
        <w:t xml:space="preserve"> ve formě aktuální</w:t>
      </w:r>
      <w:r w:rsidRPr="00273106">
        <w:t xml:space="preserve"> </w:t>
      </w:r>
      <w:r w:rsidR="00962190" w:rsidRPr="00ED2F6C">
        <w:t>species</w:t>
      </w:r>
      <w:r w:rsidRPr="00273106">
        <w:t xml:space="preserve"> (</w:t>
      </w:r>
      <w:r w:rsidRPr="00273106">
        <w:rPr>
          <w:rStyle w:val="addmd"/>
          <w:i/>
        </w:rPr>
        <w:t>primo recipiendo speciem boni</w:t>
      </w:r>
      <w:r w:rsidRPr="00273106">
        <w:t xml:space="preserve">). </w:t>
      </w:r>
      <w:r>
        <w:t>P</w:t>
      </w:r>
      <w:r w:rsidRPr="00273106">
        <w:t>oznání dobra nejde z činnosti jednotlivce zaměřené k praktickému dobru, ale z kontemplace</w:t>
      </w:r>
      <w:r>
        <w:t xml:space="preserve"> hypos</w:t>
      </w:r>
      <w:r w:rsidR="00820349">
        <w:t>tázovaného dobra jako „</w:t>
      </w:r>
      <w:proofErr w:type="gramStart"/>
      <w:r w:rsidR="00820349">
        <w:t>substance</w:t>
      </w:r>
      <w:proofErr w:type="gramEnd"/>
      <w:r w:rsidR="00820349">
        <w:t>–</w:t>
      </w:r>
      <w:proofErr w:type="gramStart"/>
      <w:r w:rsidR="00962190" w:rsidRPr="00820349">
        <w:t>species</w:t>
      </w:r>
      <w:proofErr w:type="gramEnd"/>
      <w:r w:rsidR="00820349">
        <w:t>“</w:t>
      </w:r>
      <w:r w:rsidRPr="084B1325">
        <w:rPr>
          <w:i/>
        </w:rPr>
        <w:fldChar w:fldCharType="begin"/>
      </w:r>
      <w:r w:rsidRPr="084B1325">
        <w:rPr>
          <w:i/>
        </w:rPr>
        <w:instrText xml:space="preserve"> XE "substance:dobro" </w:instrText>
      </w:r>
      <w:r w:rsidRPr="084B1325">
        <w:rPr>
          <w:i/>
        </w:rPr>
        <w:fldChar w:fldCharType="end"/>
      </w:r>
      <w:r>
        <w:t xml:space="preserve"> třetího druhu</w:t>
      </w:r>
      <w:r w:rsidRPr="00273106">
        <w:t xml:space="preserve">. </w:t>
      </w:r>
      <w:r>
        <w:t>U</w:t>
      </w:r>
      <w:r w:rsidRPr="00273106">
        <w:t>niverzálně pozna</w:t>
      </w:r>
      <w:r>
        <w:t>ná</w:t>
      </w:r>
      <w:r w:rsidRPr="00273106">
        <w:t xml:space="preserve"> </w:t>
      </w:r>
      <w:r w:rsidR="00962190" w:rsidRPr="002618F4">
        <w:t>species</w:t>
      </w:r>
      <w:r w:rsidRPr="00273106">
        <w:t xml:space="preserve"> </w:t>
      </w:r>
      <w:r>
        <w:t>má sama</w:t>
      </w:r>
      <w:r w:rsidRPr="00273106">
        <w:t xml:space="preserve"> o sobě aktuální </w:t>
      </w:r>
      <w:r>
        <w:t xml:space="preserve">a kauzální </w:t>
      </w:r>
      <w:r w:rsidRPr="00273106">
        <w:t>charakter</w:t>
      </w:r>
      <w:r>
        <w:t xml:space="preserve"> (</w:t>
      </w:r>
      <w:r w:rsidRPr="00273106">
        <w:rPr>
          <w:rStyle w:val="addmd"/>
          <w:i/>
        </w:rPr>
        <w:t>inquantum bonum actuale est</w:t>
      </w:r>
      <w:r>
        <w:t xml:space="preserve">). Znovu je vidět působení kauzálně pojaté esence ve středním členu soudu, což je typický produkt oxfordského analytického výkladu </w:t>
      </w:r>
      <w:r w:rsidRPr="08CE5E85">
        <w:rPr>
          <w:i/>
        </w:rPr>
        <w:t>Druhých analytik</w:t>
      </w:r>
      <w:r>
        <w:t xml:space="preserve">. Rufusova etika nepotřebuje jedinečnou jednající osobu, protože teoreticky zkoumá dobro jako hypostázovanou </w:t>
      </w:r>
      <w:r w:rsidR="00962190">
        <w:rPr>
          <w:i/>
        </w:rPr>
        <w:t>species</w:t>
      </w:r>
      <w:r>
        <w:t xml:space="preserve">. Dobro ve formě kauzálně účinného a hypostázovaného </w:t>
      </w:r>
      <w:r w:rsidRPr="00273106">
        <w:rPr>
          <w:i/>
        </w:rPr>
        <w:t>tertium ens</w:t>
      </w:r>
      <w:r>
        <w:rPr>
          <w:i/>
        </w:rPr>
        <w:fldChar w:fldCharType="begin"/>
      </w:r>
      <w:r>
        <w:instrText xml:space="preserve"> XE "</w:instrText>
      </w:r>
      <w:r w:rsidRPr="002F10B4">
        <w:rPr>
          <w:rStyle w:val="Zvraznn"/>
        </w:rPr>
        <w:instrText>tertium ens</w:instrText>
      </w:r>
      <w:r>
        <w:rPr>
          <w:rStyle w:val="Zvraznn"/>
          <w:i w:val="0"/>
        </w:rPr>
        <w:instrText>:dobro</w:instrText>
      </w:r>
      <w:r>
        <w:instrText xml:space="preserve">" </w:instrText>
      </w:r>
      <w:r>
        <w:rPr>
          <w:i/>
        </w:rPr>
        <w:fldChar w:fldCharType="end"/>
      </w:r>
      <w:r w:rsidRPr="00273106">
        <w:t xml:space="preserve"> definuje </w:t>
      </w:r>
      <w:r>
        <w:t xml:space="preserve">stejně hypostázovaný </w:t>
      </w:r>
      <w:r w:rsidRPr="00273106">
        <w:t>praktický intelekt (</w:t>
      </w:r>
      <w:r w:rsidRPr="00273106">
        <w:rPr>
          <w:rStyle w:val="addmd"/>
          <w:i/>
        </w:rPr>
        <w:t>sic est intellectus practicus</w:t>
      </w:r>
      <w:r w:rsidRPr="00273106">
        <w:t xml:space="preserve">). Nasvícení smyslu etického jednání jde zezadu od </w:t>
      </w:r>
      <w:r w:rsidR="00962190">
        <w:rPr>
          <w:i/>
        </w:rPr>
        <w:t>species</w:t>
      </w:r>
      <w:r>
        <w:t xml:space="preserve"> třetího druhu definované</w:t>
      </w:r>
      <w:r w:rsidRPr="00273106">
        <w:t xml:space="preserve"> podle </w:t>
      </w:r>
      <w:r w:rsidRPr="00273106">
        <w:rPr>
          <w:i/>
        </w:rPr>
        <w:t>Nominales</w:t>
      </w:r>
      <w:r>
        <w:t>. D</w:t>
      </w:r>
      <w:r w:rsidRPr="00273106">
        <w:t>efinice etického jednání odvozena od neexistujícího jsoucna třetího druhu</w:t>
      </w:r>
      <w:r>
        <w:fldChar w:fldCharType="begin"/>
      </w:r>
      <w:r>
        <w:instrText xml:space="preserve"> XE "</w:instrText>
      </w:r>
      <w:r w:rsidRPr="002F22B9">
        <w:instrText>etika:nasvícení zezadu</w:instrText>
      </w:r>
      <w:r>
        <w:instrText xml:space="preserve">" </w:instrText>
      </w:r>
      <w:r>
        <w:fldChar w:fldCharType="end"/>
      </w:r>
      <w:r w:rsidRPr="00273106">
        <w:t xml:space="preserve">. </w:t>
      </w:r>
      <w:r w:rsidR="00981632" w:rsidRPr="00981632">
        <w:t xml:space="preserve">Vezmeme-li v úvahu </w:t>
      </w:r>
      <w:r w:rsidR="00981632">
        <w:t>species dobra jako takovou</w:t>
      </w:r>
      <w:r w:rsidR="00981632" w:rsidRPr="00981632">
        <w:t>, znamená to, že praktický intelekt má stejnou povahu jako teoretický</w:t>
      </w:r>
      <w:r w:rsidR="00981632">
        <w:t xml:space="preserve"> intelekt</w:t>
      </w:r>
      <w:r w:rsidR="00981632" w:rsidRPr="00981632">
        <w:t xml:space="preserve">. Je zřejmé, že v druhém averroismu neexistovala samostatná etika. Neexistuje žádný deduktivní sylogismus, který by mohl tvořit základ </w:t>
      </w:r>
      <w:r w:rsidR="00981632">
        <w:t xml:space="preserve">etiky jako </w:t>
      </w:r>
      <w:r w:rsidR="00981632" w:rsidRPr="00981632">
        <w:t>nezávislé vědy.</w:t>
      </w:r>
      <w:r w:rsidR="00BD68E7">
        <w:t xml:space="preserve"> </w:t>
      </w:r>
      <w:r>
        <w:t xml:space="preserve">A navíc je tento sofistický praktický intelekt </w:t>
      </w:r>
      <w:r w:rsidRPr="00273106">
        <w:t>zcela oddělen od imaginace</w:t>
      </w:r>
      <w:r w:rsidR="00337A94">
        <w:t xml:space="preserve"> a od smyslovéch chtění (</w:t>
      </w:r>
      <w:r w:rsidR="00337A94" w:rsidRPr="087A033E">
        <w:rPr>
          <w:i/>
        </w:rPr>
        <w:t>subiciet se ipsum et non subicietur ab imaginatione</w:t>
      </w:r>
      <w:r w:rsidR="00337A94">
        <w:t>)</w:t>
      </w:r>
      <w:r w:rsidRPr="00273106">
        <w:t>.</w:t>
      </w:r>
      <w:r w:rsidRPr="00273106">
        <w:rPr>
          <w:rStyle w:val="Znakapoznpodarou"/>
        </w:rPr>
        <w:footnoteReference w:id="536"/>
      </w:r>
      <w:r w:rsidRPr="00273106">
        <w:t xml:space="preserve"> </w:t>
      </w:r>
      <w:r>
        <w:t>Rufusův intelekt sám od sebe nazírá dobro v jeho specifické jednoduchosti (</w:t>
      </w:r>
      <w:r w:rsidRPr="00137D66">
        <w:rPr>
          <w:i/>
        </w:rPr>
        <w:t>bonum simpliciter</w:t>
      </w:r>
      <w:r>
        <w:t xml:space="preserve">) skrze etickou formu </w:t>
      </w:r>
      <w:r w:rsidRPr="00137D66">
        <w:rPr>
          <w:i/>
        </w:rPr>
        <w:t>potencia substantialis</w:t>
      </w:r>
      <w:r>
        <w:t>. Pak kontingentně realizuje toto dobro v jednání (</w:t>
      </w:r>
      <w:r w:rsidRPr="00137D66">
        <w:rPr>
          <w:i/>
        </w:rPr>
        <w:t>secundum quod in homine est afficitur bono nunc</w:t>
      </w:r>
      <w:r>
        <w:t>).</w:t>
      </w:r>
      <w:r w:rsidRPr="00273106">
        <w:t xml:space="preserve"> </w:t>
      </w:r>
      <w:r w:rsidR="00000C35" w:rsidRPr="00000C35">
        <w:t xml:space="preserve">Dobro je definováno podle avicenistického scénáře a určeno jako hypostatický druh v </w:t>
      </w:r>
      <w:r w:rsidR="00000C35" w:rsidRPr="00000C35">
        <w:lastRenderedPageBreak/>
        <w:t xml:space="preserve">aktu sebereflexe aktivního intelektu. Jako takové může být následně kontingentně rozpoznáno smysly. </w:t>
      </w:r>
      <w:r w:rsidRPr="00273106">
        <w:t xml:space="preserve">Rufus připustí ovlivnění imaginací jen v nižší části </w:t>
      </w:r>
      <w:r w:rsidR="00575738">
        <w:t xml:space="preserve">jednání </w:t>
      </w:r>
      <w:r w:rsidRPr="00273106">
        <w:t>dané</w:t>
      </w:r>
      <w:r w:rsidR="00575738">
        <w:t>ho</w:t>
      </w:r>
      <w:r w:rsidRPr="00273106">
        <w:t xml:space="preserve"> smyslově, což je typické schéma </w:t>
      </w:r>
      <w:r w:rsidR="00575738">
        <w:t xml:space="preserve">animální </w:t>
      </w:r>
      <w:r w:rsidRPr="004044EF">
        <w:rPr>
          <w:i/>
        </w:rPr>
        <w:t>vis aestimativa</w:t>
      </w:r>
      <w:r>
        <w:rPr>
          <w:i/>
        </w:rPr>
        <w:fldChar w:fldCharType="begin"/>
      </w:r>
      <w:r>
        <w:instrText xml:space="preserve"> XE "</w:instrText>
      </w:r>
      <w:r w:rsidRPr="00C34A1D">
        <w:rPr>
          <w:i/>
        </w:rPr>
        <w:instrText>vis aestimativa</w:instrText>
      </w:r>
      <w:r>
        <w:instrText xml:space="preserve">" </w:instrText>
      </w:r>
      <w:r>
        <w:rPr>
          <w:i/>
        </w:rPr>
        <w:fldChar w:fldCharType="end"/>
      </w:r>
      <w:r>
        <w:t xml:space="preserve"> </w:t>
      </w:r>
      <w:r w:rsidRPr="00273106">
        <w:t>podle Avicenny.</w:t>
      </w:r>
      <w:r>
        <w:t xml:space="preserve"> </w:t>
      </w:r>
      <w:r w:rsidRPr="00273106">
        <w:t xml:space="preserve">Praktický intelekt </w:t>
      </w:r>
      <w:r>
        <w:t xml:space="preserve">je spojený s teoretickým intelektem skrze porretánský rozdíl mezi kontingentní a trvalou </w:t>
      </w:r>
      <w:r w:rsidR="00962190">
        <w:rPr>
          <w:i/>
        </w:rPr>
        <w:t>species</w:t>
      </w:r>
      <w:r>
        <w:rPr>
          <w:i/>
        </w:rPr>
        <w:fldChar w:fldCharType="begin"/>
      </w:r>
      <w:r>
        <w:instrText xml:space="preserve"> XE "intelekt:</w:instrText>
      </w:r>
      <w:r w:rsidRPr="000614C2">
        <w:rPr>
          <w:i/>
        </w:rPr>
        <w:instrText>extensione fit practicus</w:instrText>
      </w:r>
      <w:r>
        <w:instrText xml:space="preserve">" </w:instrText>
      </w:r>
      <w:r>
        <w:rPr>
          <w:i/>
        </w:rPr>
        <w:fldChar w:fldCharType="end"/>
      </w:r>
      <w:r>
        <w:t xml:space="preserve">. Porretánský modus „exsistence“ ukazuje, že dobro jako trvalá </w:t>
      </w:r>
      <w:r w:rsidR="00962190">
        <w:rPr>
          <w:i/>
        </w:rPr>
        <w:t>species</w:t>
      </w:r>
      <w:r>
        <w:t xml:space="preserve"> je pomocí praktického intelektu realizováno v nahodilém jednání. Praktický i</w:t>
      </w:r>
      <w:r w:rsidRPr="00273106">
        <w:t xml:space="preserve">ntelekt </w:t>
      </w:r>
      <w:r>
        <w:t xml:space="preserve">tvoří složku teoretického intelektu a </w:t>
      </w:r>
      <w:r w:rsidRPr="00273106">
        <w:t>nepotřebuje styk se smyslovou realitou</w:t>
      </w:r>
      <w:r>
        <w:t>, protože dobro určuje aktem sebereflexe (</w:t>
      </w:r>
      <w:r w:rsidRPr="00146215">
        <w:rPr>
          <w:i/>
        </w:rPr>
        <w:t>ipse intellectus se subiciat</w:t>
      </w:r>
      <w:r>
        <w:t>)</w:t>
      </w:r>
      <w:r w:rsidRPr="00273106">
        <w:t>.</w:t>
      </w:r>
      <w:r w:rsidRPr="00273106">
        <w:rPr>
          <w:rStyle w:val="Znakapoznpodarou"/>
        </w:rPr>
        <w:footnoteReference w:id="537"/>
      </w:r>
      <w:r w:rsidRPr="00273106">
        <w:t xml:space="preserve"> Dobro nemá afektivní charakter daný ze žádostivosti a z imaginace, ale stalo se předmětem čisté intelektuální kontemplace teoretického intelektu. </w:t>
      </w:r>
      <w:r>
        <w:t>P</w:t>
      </w:r>
      <w:r w:rsidRPr="00273106">
        <w:t xml:space="preserve">raktický intelekt </w:t>
      </w:r>
      <w:r>
        <w:t>nasvícený</w:t>
      </w:r>
      <w:r w:rsidRPr="00273106">
        <w:t xml:space="preserve"> zezadu </w:t>
      </w:r>
      <w:r>
        <w:t xml:space="preserve">podle Gundissalinova dualistického výkladu </w:t>
      </w:r>
      <w:r w:rsidRPr="08F40168">
        <w:rPr>
          <w:i/>
        </w:rPr>
        <w:t>De anima</w:t>
      </w:r>
      <w:r>
        <w:t xml:space="preserve"> </w:t>
      </w:r>
      <w:r w:rsidRPr="00273106">
        <w:t>získal aktualitu kontemplací vyššího dobra</w:t>
      </w:r>
      <w:r>
        <w:fldChar w:fldCharType="begin"/>
      </w:r>
      <w:r>
        <w:instrText xml:space="preserve"> XE "</w:instrText>
      </w:r>
      <w:r w:rsidRPr="006A1FE9">
        <w:instrText>etika:nasvícení zezadu</w:instrText>
      </w:r>
      <w:r>
        <w:instrText xml:space="preserve">" </w:instrText>
      </w:r>
      <w:r>
        <w:fldChar w:fldCharType="end"/>
      </w:r>
      <w:r w:rsidRPr="00273106">
        <w:t xml:space="preserve">, které určuje nižší složky etického poznání a jednání </w:t>
      </w:r>
      <w:r>
        <w:t xml:space="preserve">dané na základě smyslové imaginace a žádostivosti </w:t>
      </w:r>
      <w:r w:rsidRPr="00273106">
        <w:t>(</w:t>
      </w:r>
      <w:r w:rsidRPr="00ED061A">
        <w:rPr>
          <w:i/>
        </w:rPr>
        <w:t>quod sibi unit imaginationem in appetendo</w:t>
      </w:r>
      <w:r w:rsidRPr="00273106">
        <w:t>).</w:t>
      </w:r>
      <w:r w:rsidRPr="00273106">
        <w:rPr>
          <w:rStyle w:val="Znakapoznpodarou"/>
        </w:rPr>
        <w:footnoteReference w:id="538"/>
      </w:r>
      <w:r w:rsidRPr="00273106">
        <w:t xml:space="preserve"> Praktický intelekt Rufuse </w:t>
      </w:r>
      <w:r>
        <w:t>je redukovaný na teoretický a skrze nasvícení</w:t>
      </w:r>
      <w:r w:rsidRPr="00273106">
        <w:t xml:space="preserve"> zezadu determinuje </w:t>
      </w:r>
      <w:r>
        <w:t xml:space="preserve">v aktu avicennistické sebereflexe jak </w:t>
      </w:r>
      <w:r w:rsidRPr="00273106">
        <w:t xml:space="preserve">smyslovou imaginaci a </w:t>
      </w:r>
      <w:r>
        <w:t>tak vůli. Rufus a po něm druhý averroismus má opačné schéma praktického rozumu, než měl klasický aristotelismus</w:t>
      </w:r>
      <w:r w:rsidRPr="00273106">
        <w:t xml:space="preserve">. </w:t>
      </w:r>
      <w:r>
        <w:t xml:space="preserve">Výklad etiky u prvního modernisty plně odpovídá analytickému </w:t>
      </w:r>
      <w:r w:rsidRPr="00273106">
        <w:t>schématu</w:t>
      </w:r>
      <w:r>
        <w:t xml:space="preserve"> poznání v rámci </w:t>
      </w:r>
      <w:r w:rsidRPr="00273106">
        <w:rPr>
          <w:i/>
        </w:rPr>
        <w:t>Oxfordian Fallacy</w:t>
      </w:r>
      <w:r>
        <w:rPr>
          <w:i/>
        </w:rPr>
        <w:fldChar w:fldCharType="begin"/>
      </w:r>
      <w:r>
        <w:instrText xml:space="preserve"> XE "</w:instrText>
      </w:r>
      <w:r w:rsidRPr="0015798D">
        <w:rPr>
          <w:i/>
        </w:rPr>
        <w:instrText>Oxfordian Fallacy:</w:instrText>
      </w:r>
      <w:r w:rsidRPr="001250B3">
        <w:instrText>etika</w:instrText>
      </w:r>
      <w:r>
        <w:instrText xml:space="preserve">" </w:instrText>
      </w:r>
      <w:r>
        <w:rPr>
          <w:i/>
        </w:rPr>
        <w:fldChar w:fldCharType="end"/>
      </w:r>
      <w:r>
        <w:t>. A</w:t>
      </w:r>
      <w:r w:rsidRPr="00273106">
        <w:t>k</w:t>
      </w:r>
      <w:r>
        <w:t xml:space="preserve">tualizace praktického intelektu běží v deduktivním schématu, v němž etické dobro jako specifické </w:t>
      </w:r>
      <w:r w:rsidRPr="0036005C">
        <w:rPr>
          <w:i/>
        </w:rPr>
        <w:t>scibile</w:t>
      </w:r>
      <w:r>
        <w:rPr>
          <w:i/>
        </w:rPr>
        <w:fldChar w:fldCharType="begin"/>
      </w:r>
      <w:r>
        <w:instrText xml:space="preserve"> XE "</w:instrText>
      </w:r>
      <w:r w:rsidRPr="00AA4F67">
        <w:rPr>
          <w:i/>
        </w:rPr>
        <w:instrText>scibile</w:instrText>
      </w:r>
      <w:r>
        <w:instrText xml:space="preserve">:etika" </w:instrText>
      </w:r>
      <w:r>
        <w:rPr>
          <w:i/>
        </w:rPr>
        <w:fldChar w:fldCharType="end"/>
      </w:r>
      <w:r>
        <w:t xml:space="preserve"> sestupuje z vyšší do nižší kontigentní formy podle scénáře </w:t>
      </w:r>
      <w:r w:rsidRPr="005077F9">
        <w:rPr>
          <w:i/>
        </w:rPr>
        <w:t>Liber de causis</w:t>
      </w:r>
      <w:r>
        <w:rPr>
          <w:i/>
        </w:rPr>
        <w:fldChar w:fldCharType="begin"/>
      </w:r>
      <w:r>
        <w:instrText xml:space="preserve"> XE "</w:instrText>
      </w:r>
      <w:r w:rsidRPr="00C46BD8">
        <w:rPr>
          <w:i/>
        </w:rPr>
        <w:instrText>Liber de causis</w:instrText>
      </w:r>
      <w:r>
        <w:instrText xml:space="preserve">" </w:instrText>
      </w:r>
      <w:r>
        <w:rPr>
          <w:i/>
        </w:rPr>
        <w:fldChar w:fldCharType="end"/>
      </w:r>
      <w:r w:rsidRPr="00273106">
        <w:t xml:space="preserve">. Z této dualistické definice dobra a jeho poznání Rufus vychází při určení </w:t>
      </w:r>
      <w:r>
        <w:t xml:space="preserve">Aristotelovy </w:t>
      </w:r>
      <w:r w:rsidRPr="081A79FD">
        <w:rPr>
          <w:i/>
        </w:rPr>
        <w:t>Etiky</w:t>
      </w:r>
      <w:r>
        <w:fldChar w:fldCharType="begin"/>
      </w:r>
      <w:r>
        <w:instrText xml:space="preserve"> XE "etika:Rufus" </w:instrText>
      </w:r>
      <w:r>
        <w:fldChar w:fldCharType="end"/>
      </w:r>
      <w:r w:rsidRPr="00273106">
        <w:t xml:space="preserve">. Připomeňme dvojstupňovou strukturu </w:t>
      </w:r>
      <w:r w:rsidR="00931C8F" w:rsidRPr="005871B3">
        <w:rPr>
          <w:i/>
          <w:lang w:eastAsia="en-US"/>
        </w:rPr>
        <w:t>Commentaire de Paris</w:t>
      </w:r>
      <w:r w:rsidR="00931C8F">
        <w:rPr>
          <w:lang w:eastAsia="en-US"/>
        </w:rPr>
        <w:t xml:space="preserve">, kterým komentoval spis </w:t>
      </w:r>
      <w:r w:rsidRPr="00273106">
        <w:rPr>
          <w:i/>
        </w:rPr>
        <w:t>Ethica Nova</w:t>
      </w:r>
      <w:r w:rsidR="00931C8F">
        <w:t xml:space="preserve"> citovaný</w:t>
      </w:r>
      <w:r w:rsidRPr="00273106">
        <w:t xml:space="preserve"> výše. Rufus </w:t>
      </w:r>
      <w:r>
        <w:t xml:space="preserve">je </w:t>
      </w:r>
      <w:r w:rsidRPr="00273106">
        <w:t xml:space="preserve">první známý autor </w:t>
      </w:r>
      <w:r>
        <w:t xml:space="preserve">nově vznikající školy </w:t>
      </w:r>
      <w:r w:rsidRPr="00273106">
        <w:rPr>
          <w:i/>
        </w:rPr>
        <w:t>Modernorum</w:t>
      </w:r>
      <w:r>
        <w:t xml:space="preserve">, který </w:t>
      </w:r>
      <w:r w:rsidRPr="00273106">
        <w:t xml:space="preserve">tuto dvoustupňovou strukturu vytvořil </w:t>
      </w:r>
      <w:r w:rsidR="00DF164A">
        <w:t xml:space="preserve">pro etiku </w:t>
      </w:r>
      <w:r>
        <w:t xml:space="preserve">před rokem </w:t>
      </w:r>
      <w:r w:rsidRPr="00273106">
        <w:t xml:space="preserve">1240. Z jeho definice jednání jasně vyplývá, že praktický intelekt nemá ani vlastní výkon, ani vlastní povahu. Praktický intelekt </w:t>
      </w:r>
      <w:r w:rsidRPr="00273106">
        <w:lastRenderedPageBreak/>
        <w:t xml:space="preserve">představuje pouze novou variaci teoretického nazírání na </w:t>
      </w:r>
      <w:r>
        <w:t xml:space="preserve">kontingentní </w:t>
      </w:r>
      <w:r w:rsidR="00962190">
        <w:rPr>
          <w:i/>
        </w:rPr>
        <w:t>species</w:t>
      </w:r>
      <w:r>
        <w:t xml:space="preserve"> dobra. Porretánské dobro „exsistuje“ jako substance a pak samo ze sebe působí v realitě.</w:t>
      </w:r>
    </w:p>
    <w:p w:rsidR="08163013" w:rsidRPr="004D301B" w:rsidRDefault="08163013" w:rsidP="08163013">
      <w:pPr>
        <w:pStyle w:val="Citace"/>
        <w:rPr>
          <w:noProof/>
          <w:lang w:val="cs-CZ"/>
        </w:rPr>
      </w:pPr>
      <w:r w:rsidRPr="00273106">
        <w:rPr>
          <w:noProof/>
          <w:lang w:val="cs-CZ"/>
        </w:rPr>
        <w:t>„</w:t>
      </w:r>
      <w:r>
        <w:rPr>
          <w:noProof/>
          <w:lang w:val="cs-CZ"/>
        </w:rPr>
        <w:t xml:space="preserve">Předmětem poznání praktického intelektu je forma věci nebo věc. Ale ne tak, jak sama existuje jako aktuální jsoucno, ale nakolik ji intelekt chápe jako </w:t>
      </w:r>
      <w:r w:rsidR="00962190" w:rsidRPr="008E4EAE">
        <w:rPr>
          <w:noProof/>
          <w:lang w:val="cs-CZ"/>
        </w:rPr>
        <w:t>species</w:t>
      </w:r>
      <w:r>
        <w:rPr>
          <w:noProof/>
          <w:lang w:val="cs-CZ"/>
        </w:rPr>
        <w:t xml:space="preserve">, která přesahuje skrze danou věc </w:t>
      </w:r>
      <w:r w:rsidR="008E4EAE">
        <w:rPr>
          <w:noProof/>
          <w:lang w:val="cs-CZ"/>
        </w:rPr>
        <w:t>vzhledem k její</w:t>
      </w:r>
      <w:r>
        <w:rPr>
          <w:noProof/>
          <w:lang w:val="cs-CZ"/>
        </w:rPr>
        <w:t xml:space="preserve"> činnosti (</w:t>
      </w:r>
      <w:r w:rsidRPr="009F0478">
        <w:rPr>
          <w:i/>
          <w:noProof/>
        </w:rPr>
        <w:t>res illa extendit se in operationem</w:t>
      </w:r>
      <w:r w:rsidR="002F1EF7">
        <w:rPr>
          <w:noProof/>
          <w:lang w:val="cs-CZ"/>
        </w:rPr>
        <w:t xml:space="preserve">). Vzhledem k této definici </w:t>
      </w:r>
      <w:r>
        <w:rPr>
          <w:noProof/>
          <w:lang w:val="cs-CZ"/>
        </w:rPr>
        <w:t>se věc predikuje jako dobro. Pak je dobro jako aktuální dobro také předmětem praktického intelektu.“ </w:t>
      </w:r>
      <w:r>
        <w:rPr>
          <w:rStyle w:val="Znakapoznpodarou"/>
        </w:rPr>
        <w:footnoteReference w:id="539"/>
      </w:r>
    </w:p>
    <w:p w:rsidR="005E1377" w:rsidRDefault="08163013" w:rsidP="005E1377">
      <w:r w:rsidRPr="00273106">
        <w:t xml:space="preserve">První věta obsahuje kompletní univoční scénář druhého averroismu, který sofisticky směšuje objekt teoretického poznání a praktického jednání. </w:t>
      </w:r>
      <w:r>
        <w:t xml:space="preserve">Klíčovým určením praktického intelektu se stává činnost teoretického intelektu, který v modu porretánského </w:t>
      </w:r>
      <w:r w:rsidRPr="00D468EF">
        <w:rPr>
          <w:i/>
        </w:rPr>
        <w:t>exsistere</w:t>
      </w:r>
      <w:r>
        <w:rPr>
          <w:i/>
        </w:rPr>
        <w:fldChar w:fldCharType="begin"/>
      </w:r>
      <w:r>
        <w:instrText xml:space="preserve"> XE "</w:instrText>
      </w:r>
      <w:r w:rsidRPr="008E07A9">
        <w:rPr>
          <w:i/>
        </w:rPr>
        <w:instrText>exsistere</w:instrText>
      </w:r>
      <w:r>
        <w:instrText xml:space="preserve">" </w:instrText>
      </w:r>
      <w:r>
        <w:rPr>
          <w:i/>
        </w:rPr>
        <w:fldChar w:fldCharType="end"/>
      </w:r>
      <w:r>
        <w:t xml:space="preserve"> přechází z trvalé </w:t>
      </w:r>
      <w:r w:rsidR="00962190">
        <w:rPr>
          <w:i/>
        </w:rPr>
        <w:t>species</w:t>
      </w:r>
      <w:r>
        <w:t xml:space="preserve"> na její kontigentní existenci (</w:t>
      </w:r>
      <w:r w:rsidRPr="00D468EF">
        <w:rPr>
          <w:i/>
        </w:rPr>
        <w:t>extendit se</w:t>
      </w:r>
      <w:r>
        <w:rPr>
          <w:i/>
        </w:rPr>
        <w:t xml:space="preserve"> </w:t>
      </w:r>
      <w:r w:rsidRPr="009F0478">
        <w:rPr>
          <w:i/>
        </w:rPr>
        <w:t>in operationem</w:t>
      </w:r>
      <w:r>
        <w:t xml:space="preserve">). Rufusova extenze teoretického intelektu do praktického nemá nic společného s aristotelským scénářem. Zakladatel moderny představuje neoplatonský přechod od objektivní </w:t>
      </w:r>
      <w:r w:rsidR="00962190">
        <w:rPr>
          <w:i/>
        </w:rPr>
        <w:t>species</w:t>
      </w:r>
      <w:r>
        <w:t xml:space="preserve"> dobra k jejímu kontigentnímu výskytu v reálném jednání. </w:t>
      </w:r>
      <w:r w:rsidRPr="00273106">
        <w:t>Objektem poznání je forma věci (</w:t>
      </w:r>
      <w:r w:rsidRPr="00273106">
        <w:rPr>
          <w:i/>
        </w:rPr>
        <w:t>forma rei</w:t>
      </w:r>
      <w:r w:rsidRPr="00273106">
        <w:t>), která není daná v realitě jako první substance (</w:t>
      </w:r>
      <w:r w:rsidRPr="00273106">
        <w:rPr>
          <w:i/>
        </w:rPr>
        <w:t>res non in se prout ens est</w:t>
      </w:r>
      <w:r w:rsidRPr="00273106">
        <w:t xml:space="preserve">). Praktický intelekt ji nazírá skrze aktuální </w:t>
      </w:r>
      <w:r w:rsidR="00962190" w:rsidRPr="00325397">
        <w:t>species</w:t>
      </w:r>
      <w:r w:rsidRPr="00273106">
        <w:t xml:space="preserve"> dobra (</w:t>
      </w:r>
      <w:r w:rsidRPr="00273106">
        <w:rPr>
          <w:i/>
        </w:rPr>
        <w:t>per speciem suam</w:t>
      </w:r>
      <w:r w:rsidRPr="00273106">
        <w:t xml:space="preserve">). </w:t>
      </w:r>
      <w:r>
        <w:t xml:space="preserve">Dobro jako </w:t>
      </w:r>
      <w:r w:rsidR="00962190" w:rsidRPr="00325397">
        <w:t>species</w:t>
      </w:r>
      <w:r>
        <w:t xml:space="preserve"> není vytvářeno </w:t>
      </w:r>
      <w:r w:rsidRPr="00273106">
        <w:t>v procesu poznání a chtění, ale existuje jako samostatná a svébytná forma, která přesahuje do reality</w:t>
      </w:r>
      <w:r>
        <w:t xml:space="preserve"> prvních substancí</w:t>
      </w:r>
      <w:r>
        <w:fldChar w:fldCharType="begin"/>
      </w:r>
      <w:r>
        <w:instrText xml:space="preserve"> XE "</w:instrText>
      </w:r>
      <w:r w:rsidRPr="006A1FE9">
        <w:instrText>etika:nasvícení zezadu</w:instrText>
      </w:r>
      <w:r>
        <w:instrText xml:space="preserve">" </w:instrText>
      </w:r>
      <w:r>
        <w:fldChar w:fldCharType="end"/>
      </w:r>
      <w:r w:rsidRPr="00273106">
        <w:t xml:space="preserve">. </w:t>
      </w:r>
      <w:r>
        <w:t xml:space="preserve">Rufus vzhledem k praktickému intelektu vytvořil hypostázovanou </w:t>
      </w:r>
      <w:r w:rsidR="00962190" w:rsidRPr="00325397">
        <w:t>species</w:t>
      </w:r>
      <w:r>
        <w:t xml:space="preserve"> dobra nazíranou teoretickým intelektem. Pokud tento intelekt určuje lidské jednání skrze </w:t>
      </w:r>
      <w:r w:rsidR="00962190" w:rsidRPr="00325397">
        <w:t>species</w:t>
      </w:r>
      <w:r>
        <w:t xml:space="preserve"> vztažené ke kontigentně danému dobru, pak je praktický. Toto nové jsoucno třetího druhu vzniká extenzí hypostázované</w:t>
      </w:r>
      <w:r w:rsidR="005E1377">
        <w:t xml:space="preserve">ho dobra do proměnlivé reality. </w:t>
      </w:r>
      <w:r w:rsidR="007A3271" w:rsidRPr="00273106">
        <w:t xml:space="preserve">Rufusovo pojetí </w:t>
      </w:r>
      <w:r w:rsidR="007A3271">
        <w:t>„</w:t>
      </w:r>
      <w:r w:rsidR="007A3271" w:rsidRPr="00273106">
        <w:rPr>
          <w:i/>
        </w:rPr>
        <w:t>exsistere</w:t>
      </w:r>
      <w:r w:rsidR="007A3271">
        <w:t>“</w:t>
      </w:r>
      <w:r w:rsidR="007A3271" w:rsidRPr="00273106">
        <w:t xml:space="preserve"> </w:t>
      </w:r>
      <w:r w:rsidR="007A3271" w:rsidRPr="003569A8">
        <w:rPr>
          <w:szCs w:val="24"/>
          <w:lang w:val="de-DE"/>
        </w:rPr>
        <w:t>(OBJ II, Kap. 3.3.2)</w:t>
      </w:r>
      <w:r w:rsidR="007A3271">
        <w:rPr>
          <w:szCs w:val="24"/>
          <w:lang w:val="de-DE"/>
        </w:rPr>
        <w:t xml:space="preserve"> tvoří z</w:t>
      </w:r>
      <w:r>
        <w:t>áklad moderní de</w:t>
      </w:r>
      <w:r w:rsidR="007A3271">
        <w:t>finice praktického intelektu</w:t>
      </w:r>
      <w:r>
        <w:t>. Specifické hypostázované dobro „</w:t>
      </w:r>
      <w:r w:rsidR="009B2DEE" w:rsidRPr="006157D5">
        <w:rPr>
          <w:i/>
          <w:lang w:eastAsia="en-US"/>
        </w:rPr>
        <w:t>exsistit</w:t>
      </w:r>
      <w:r>
        <w:t>“ jako mimo nás v reálném světě</w:t>
      </w:r>
      <w:r w:rsidR="00E36938">
        <w:t>. P</w:t>
      </w:r>
      <w:r>
        <w:t>raktick</w:t>
      </w:r>
      <w:r w:rsidR="00E36938">
        <w:t>ý intelekt</w:t>
      </w:r>
      <w:r>
        <w:t xml:space="preserve"> </w:t>
      </w:r>
      <w:r w:rsidR="00E36938">
        <w:t xml:space="preserve">je poznává přímo a tím </w:t>
      </w:r>
      <w:r>
        <w:t>určuje naše kontigentní etické jednání</w:t>
      </w:r>
      <w:r>
        <w:fldChar w:fldCharType="begin"/>
      </w:r>
      <w:r>
        <w:instrText xml:space="preserve"> XE "</w:instrText>
      </w:r>
      <w:r w:rsidRPr="004D4CDE">
        <w:instrText>etika:nasvícení zezadu</w:instrText>
      </w:r>
      <w:r>
        <w:instrText xml:space="preserve">" </w:instrText>
      </w:r>
      <w:r>
        <w:fldChar w:fldCharType="end"/>
      </w:r>
      <w:r w:rsidRPr="00273106">
        <w:t xml:space="preserve">. </w:t>
      </w:r>
      <w:r>
        <w:t xml:space="preserve">Rufusova </w:t>
      </w:r>
      <w:r w:rsidR="00962190" w:rsidRPr="00666B65">
        <w:t>species</w:t>
      </w:r>
      <w:r w:rsidRPr="00273106">
        <w:t xml:space="preserve"> jako účinná příčina </w:t>
      </w:r>
      <w:r>
        <w:t xml:space="preserve">vzhledem k uskutečnitelnému dobru přesáhne z reálné věci do intelektu, a tím </w:t>
      </w:r>
      <w:r w:rsidRPr="00273106">
        <w:t>vede praktický intelekt k jednání (</w:t>
      </w:r>
      <w:r w:rsidRPr="00273106">
        <w:rPr>
          <w:i/>
        </w:rPr>
        <w:t>res illa extendit se in operationem</w:t>
      </w:r>
      <w:r>
        <w:t>). Sofisticky aktualizovaná</w:t>
      </w:r>
      <w:r w:rsidRPr="00273106">
        <w:t xml:space="preserve"> </w:t>
      </w:r>
      <w:r w:rsidR="00962190" w:rsidRPr="00666B65">
        <w:t>species</w:t>
      </w:r>
      <w:r w:rsidRPr="00273106">
        <w:t xml:space="preserve"> dobra zakládá singulární působení v člověku</w:t>
      </w:r>
      <w:r>
        <w:t xml:space="preserve"> skrze objektivní univerzalitu</w:t>
      </w:r>
      <w:r w:rsidRPr="00273106">
        <w:t>. Toto spojení singulární k</w:t>
      </w:r>
      <w:r>
        <w:t>auzality a univerzality v jedné</w:t>
      </w:r>
      <w:r w:rsidRPr="00273106">
        <w:t xml:space="preserve"> </w:t>
      </w:r>
      <w:r>
        <w:t xml:space="preserve">aktuální </w:t>
      </w:r>
      <w:r w:rsidR="00962190" w:rsidRPr="00666B65">
        <w:t>species</w:t>
      </w:r>
      <w:r w:rsidRPr="00273106">
        <w:t xml:space="preserve"> </w:t>
      </w:r>
      <w:r>
        <w:t xml:space="preserve">jako aktuální </w:t>
      </w:r>
      <w:r>
        <w:lastRenderedPageBreak/>
        <w:t>pseudo</w:t>
      </w:r>
      <w:r>
        <w:noBreakHyphen/>
        <w:t xml:space="preserve">substanci </w:t>
      </w:r>
      <w:r w:rsidRPr="00273106">
        <w:t>tvoří objekt poznání praktického intelektu (</w:t>
      </w:r>
      <w:r w:rsidRPr="00273106">
        <w:rPr>
          <w:i/>
        </w:rPr>
        <w:t>inquantum bonum actuale est obiectum practici intellectus</w:t>
      </w:r>
      <w:r w:rsidRPr="00273106">
        <w:t>).</w:t>
      </w:r>
      <w:r>
        <w:t xml:space="preserve"> </w:t>
      </w:r>
      <w:r w:rsidRPr="00273106">
        <w:t xml:space="preserve">Výměr dobra podle </w:t>
      </w:r>
      <w:r>
        <w:t xml:space="preserve">školy </w:t>
      </w:r>
      <w:r w:rsidRPr="00273106">
        <w:rPr>
          <w:i/>
        </w:rPr>
        <w:t>Modernorum</w:t>
      </w:r>
      <w:r w:rsidRPr="00273106">
        <w:t xml:space="preserve"> </w:t>
      </w:r>
      <w:r>
        <w:t xml:space="preserve">v Rufusově schématu </w:t>
      </w:r>
      <w:r w:rsidRPr="00273106">
        <w:t>obsahuje jak univerzalitu pojmu, tak kauzalitu první substance (</w:t>
      </w:r>
      <w:r w:rsidRPr="00273106">
        <w:rPr>
          <w:i/>
        </w:rPr>
        <w:t>sub hac ratione dicitur res bona</w:t>
      </w:r>
      <w:r w:rsidRPr="00273106">
        <w:t>). Tím</w:t>
      </w:r>
      <w:r w:rsidR="00295C56">
        <w:t xml:space="preserve"> vznikl </w:t>
      </w:r>
      <w:r w:rsidRPr="00273106">
        <w:t>střední člen so</w:t>
      </w:r>
      <w:r w:rsidR="00295C56">
        <w:t>udu pro praktický sylogismus. E</w:t>
      </w:r>
      <w:r w:rsidRPr="00273106">
        <w:t xml:space="preserve">tika </w:t>
      </w:r>
      <w:r w:rsidRPr="00273106">
        <w:rPr>
          <w:i/>
        </w:rPr>
        <w:t>Modernorum</w:t>
      </w:r>
      <w:r w:rsidRPr="00273106">
        <w:t xml:space="preserve"> dostala </w:t>
      </w:r>
      <w:r>
        <w:t xml:space="preserve">specificky moderní </w:t>
      </w:r>
      <w:r w:rsidRPr="00273106">
        <w:t>výměr</w:t>
      </w:r>
      <w:r>
        <w:t xml:space="preserve"> postavený na dobru jako jsoucnu třetího druhu</w:t>
      </w:r>
      <w:r>
        <w:fldChar w:fldCharType="begin"/>
      </w:r>
      <w:r>
        <w:instrText xml:space="preserve"> XE "</w:instrText>
      </w:r>
      <w:r w:rsidRPr="00136D61">
        <w:rPr>
          <w:i/>
        </w:rPr>
        <w:instrText>medium</w:instrText>
      </w:r>
      <w:r>
        <w:instrText>:objek</w:instrText>
      </w:r>
      <w:r w:rsidRPr="0060332F">
        <w:instrText>tivní etika</w:instrText>
      </w:r>
      <w:r>
        <w:instrText xml:space="preserve">" </w:instrText>
      </w:r>
      <w:r>
        <w:fldChar w:fldCharType="end"/>
      </w:r>
      <w:r w:rsidRPr="00273106">
        <w:t xml:space="preserve">. </w:t>
      </w:r>
      <w:r>
        <w:t xml:space="preserve">Připomeňme, že toto pojetí dobra jako substance třetího druhu bylo navíc spojeno s naukou o univerzálním hylemorfismu, kterou Rufus donesl do Paříže </w:t>
      </w:r>
      <w:r w:rsidR="00A02C88" w:rsidRPr="003569A8">
        <w:rPr>
          <w:szCs w:val="24"/>
          <w:lang w:val="de-DE"/>
        </w:rPr>
        <w:t>(OBJ II, Kap. 3.2).</w:t>
      </w:r>
      <w:r w:rsidR="00A02C88">
        <w:rPr>
          <w:szCs w:val="24"/>
          <w:lang w:val="de-DE"/>
        </w:rPr>
        <w:t xml:space="preserve"> </w:t>
      </w:r>
      <w:r>
        <w:t xml:space="preserve">Sofistický aristotelik </w:t>
      </w:r>
      <w:r w:rsidRPr="00273106">
        <w:t xml:space="preserve">spojil </w:t>
      </w:r>
      <w:r>
        <w:t xml:space="preserve">dobro jako </w:t>
      </w:r>
      <w:r w:rsidRPr="00273106">
        <w:t>substanci třetího druhu s</w:t>
      </w:r>
      <w:r>
        <w:t xml:space="preserve"> účinnou </w:t>
      </w:r>
      <w:r w:rsidRPr="00273106">
        <w:t xml:space="preserve">kauzalitou, </w:t>
      </w:r>
      <w:r>
        <w:t>kterou postavil mimo etický výkon svobodně jednající osoby. D</w:t>
      </w:r>
      <w:r w:rsidRPr="00273106">
        <w:t>obro jako aktuální substa</w:t>
      </w:r>
      <w:r>
        <w:t xml:space="preserve">nce třetího druhu je vybaveno </w:t>
      </w:r>
      <w:r w:rsidR="005E1377">
        <w:t>vlastní efektivní kauzalitou.</w:t>
      </w:r>
    </w:p>
    <w:p w:rsidR="007931F5" w:rsidRDefault="08163013" w:rsidP="005E1377">
      <w:pPr>
        <w:ind w:firstLine="397"/>
      </w:pPr>
      <w:r w:rsidRPr="00273106">
        <w:t>Rufus se stal zakladatelem objektivní teorie poznání a jednání, kterou pr</w:t>
      </w:r>
      <w:r>
        <w:t xml:space="preserve">vní averroismus zásadně odmítl. Z předloženého výkladu </w:t>
      </w:r>
      <w:r w:rsidRPr="082E0BE1">
        <w:rPr>
          <w:i/>
        </w:rPr>
        <w:t>Etiky Nikomachovy</w:t>
      </w:r>
      <w:r>
        <w:t xml:space="preserve"> je zřejmé, že první základní s</w:t>
      </w:r>
      <w:r w:rsidRPr="00273106">
        <w:t>por o vznik autonomní etiky a polit</w:t>
      </w:r>
      <w:r w:rsidR="00E86B7C">
        <w:t xml:space="preserve">iky se odehrál </w:t>
      </w:r>
      <w:r>
        <w:t xml:space="preserve">v letech 1240‒45 na </w:t>
      </w:r>
      <w:r w:rsidRPr="00273106">
        <w:t>Pař</w:t>
      </w:r>
      <w:r>
        <w:t>ížské univerzitě</w:t>
      </w:r>
      <w:r w:rsidR="00D232B1">
        <w:t xml:space="preserve">. Rufus přišel z Oxfordu </w:t>
      </w:r>
      <w:r w:rsidR="00077C4F">
        <w:t xml:space="preserve">na studia do Paříže </w:t>
      </w:r>
      <w:r w:rsidR="00D232B1">
        <w:t xml:space="preserve">a jeho </w:t>
      </w:r>
      <w:r>
        <w:t xml:space="preserve">analytický výklad Korpusu ovlivnil </w:t>
      </w:r>
      <w:r w:rsidR="001D5371">
        <w:t>Bonaventurovu školu a dominikány jako Kilwardby</w:t>
      </w:r>
      <w:r w:rsidRPr="00273106">
        <w:t>.</w:t>
      </w:r>
      <w:r>
        <w:t xml:space="preserve"> </w:t>
      </w:r>
      <w:r w:rsidR="004E37CE">
        <w:t>V</w:t>
      </w:r>
      <w:r>
        <w:t xml:space="preserve">ýklad Rufuse rozdělil praktické jednání </w:t>
      </w:r>
      <w:r w:rsidRPr="00273106">
        <w:t xml:space="preserve">na </w:t>
      </w:r>
      <w:r>
        <w:t xml:space="preserve">animální </w:t>
      </w:r>
      <w:r w:rsidRPr="00273106">
        <w:t xml:space="preserve">chtění a na </w:t>
      </w:r>
      <w:r>
        <w:t>neoplatonsk</w:t>
      </w:r>
      <w:r w:rsidRPr="00273106">
        <w:t>ou mystiku</w:t>
      </w:r>
      <w:r>
        <w:t xml:space="preserve">. </w:t>
      </w:r>
      <w:r>
        <w:rPr>
          <w:rStyle w:val="addmd"/>
        </w:rPr>
        <w:t xml:space="preserve">Rufusův výklad etiky ovlivnil školu kolem editace </w:t>
      </w:r>
      <w:r w:rsidRPr="000340B2">
        <w:rPr>
          <w:rStyle w:val="addmd"/>
          <w:i/>
        </w:rPr>
        <w:t>Summa Halensis</w:t>
      </w:r>
      <w:r>
        <w:rPr>
          <w:rStyle w:val="addmd"/>
          <w:i/>
        </w:rPr>
        <w:fldChar w:fldCharType="begin"/>
      </w:r>
      <w:r>
        <w:instrText xml:space="preserve"> XE "</w:instrText>
      </w:r>
      <w:r w:rsidRPr="00F14A6F">
        <w:rPr>
          <w:i/>
        </w:rPr>
        <w:instrText>Summa Halensis</w:instrText>
      </w:r>
      <w:r>
        <w:instrText xml:space="preserve">" </w:instrText>
      </w:r>
      <w:r>
        <w:rPr>
          <w:rStyle w:val="addmd"/>
          <w:i/>
        </w:rPr>
        <w:fldChar w:fldCharType="end"/>
      </w:r>
      <w:r>
        <w:rPr>
          <w:rStyle w:val="addmd"/>
        </w:rPr>
        <w:t xml:space="preserve">, což dosvědčuje citovaný </w:t>
      </w:r>
      <w:r>
        <w:t>Pseudo</w:t>
      </w:r>
      <w:r>
        <w:noBreakHyphen/>
        <w:t>Pe</w:t>
      </w:r>
      <w:r w:rsidRPr="000340B2">
        <w:t>cha</w:t>
      </w:r>
      <w:r>
        <w:t>m</w:t>
      </w:r>
      <w:r w:rsidRPr="000340B2">
        <w:t>ův</w:t>
      </w:r>
      <w:r>
        <w:rPr>
          <w:i/>
        </w:rPr>
        <w:t xml:space="preserve"> </w:t>
      </w:r>
      <w:r>
        <w:t xml:space="preserve">traktát a Kilwardbyho komentář k </w:t>
      </w:r>
      <w:r w:rsidRPr="082E0BE1">
        <w:rPr>
          <w:i/>
        </w:rPr>
        <w:t>Etice</w:t>
      </w:r>
      <w:r>
        <w:t xml:space="preserve">, který </w:t>
      </w:r>
      <w:r w:rsidRPr="00273106">
        <w:t xml:space="preserve">vzniká za </w:t>
      </w:r>
      <w:r>
        <w:t xml:space="preserve">jeho studijního </w:t>
      </w:r>
      <w:r w:rsidRPr="00273106">
        <w:t>pobytu v Paříži (</w:t>
      </w:r>
      <w:r w:rsidRPr="00273106">
        <w:rPr>
          <w:i/>
        </w:rPr>
        <w:t>Expositio super Ethica Noua et Vetere</w:t>
      </w:r>
      <w:r w:rsidRPr="00273106">
        <w:t xml:space="preserve">, </w:t>
      </w:r>
      <w:r>
        <w:t xml:space="preserve">asi </w:t>
      </w:r>
      <w:r w:rsidRPr="00273106">
        <w:t>1245)</w:t>
      </w:r>
      <w:r>
        <w:t>. Komentář je</w:t>
      </w:r>
      <w:r w:rsidRPr="00273106">
        <w:t xml:space="preserve"> psaný ve stylu druhého averroismu podle Rufuse. </w:t>
      </w:r>
      <w:r>
        <w:t>Vydaná</w:t>
      </w:r>
      <w:r w:rsidRPr="00273106">
        <w:t xml:space="preserve"> </w:t>
      </w:r>
      <w:r>
        <w:t>část Kil</w:t>
      </w:r>
      <w:r w:rsidRPr="00273106">
        <w:t>wardbyho komentáře</w:t>
      </w:r>
      <w:r>
        <w:t xml:space="preserve"> obsahuje podobné dělení etiky, jako výše citovaný</w:t>
      </w:r>
      <w:r w:rsidRPr="00273106">
        <w:t xml:space="preserve"> Pařížsk</w:t>
      </w:r>
      <w:r>
        <w:t xml:space="preserve">ý </w:t>
      </w:r>
      <w:r w:rsidRPr="00273106">
        <w:t xml:space="preserve">komentář k </w:t>
      </w:r>
      <w:r w:rsidRPr="00273106">
        <w:rPr>
          <w:i/>
        </w:rPr>
        <w:t>Ethica Nova</w:t>
      </w:r>
      <w:r w:rsidRPr="00273106">
        <w:t xml:space="preserve">. Moudrost je pojata v </w:t>
      </w:r>
      <w:r>
        <w:t>neoplatonsk</w:t>
      </w:r>
      <w:r w:rsidRPr="00273106">
        <w:t>ém smyslu a tvoří nejvyšší patro etického nazírání boha jako nejvyššího dobra</w:t>
      </w:r>
      <w:r>
        <w:t xml:space="preserve"> (Buffon 2007, 421‒22)</w:t>
      </w:r>
      <w:r w:rsidRPr="00273106">
        <w:t xml:space="preserve">. </w:t>
      </w:r>
      <w:r>
        <w:t xml:space="preserve">Modernisté v tomto dělení dublovali Aristotelovu </w:t>
      </w:r>
      <w:r w:rsidRPr="00283AFB">
        <w:rPr>
          <w:i/>
        </w:rPr>
        <w:t>fronésis</w:t>
      </w:r>
      <w:r>
        <w:rPr>
          <w:i/>
        </w:rPr>
        <w:fldChar w:fldCharType="begin"/>
      </w:r>
      <w:r>
        <w:instrText xml:space="preserve"> XE "</w:instrText>
      </w:r>
      <w:r w:rsidRPr="00BD03F3">
        <w:rPr>
          <w:i/>
        </w:rPr>
        <w:instrText>fronésis</w:instrText>
      </w:r>
      <w:r>
        <w:instrText xml:space="preserve">" </w:instrText>
      </w:r>
      <w:r>
        <w:rPr>
          <w:i/>
        </w:rPr>
        <w:fldChar w:fldCharType="end"/>
      </w:r>
      <w:r>
        <w:t xml:space="preserve"> do dvou pater jednání. Filosoficko-mysticky se vztahovala k neoplatonské kontemplaci boha jako nejvyššího Dobra a prakticky se vztahovala k etickému poznání determinující praktické</w:t>
      </w:r>
      <w:r w:rsidRPr="00273106">
        <w:t xml:space="preserve"> jednání ve světě.</w:t>
      </w:r>
      <w:r>
        <w:t xml:space="preserve"> Toto neoplatonské pojetí bylo </w:t>
      </w:r>
      <w:r w:rsidR="005602BE">
        <w:t xml:space="preserve">naprosto nepřijatelné </w:t>
      </w:r>
      <w:r>
        <w:t xml:space="preserve">pro znalce </w:t>
      </w:r>
      <w:r w:rsidR="003F7CF8">
        <w:t xml:space="preserve">aristotelské </w:t>
      </w:r>
      <w:r w:rsidRPr="08BC77BE">
        <w:rPr>
          <w:i/>
        </w:rPr>
        <w:t>Etiky</w:t>
      </w:r>
      <w:r>
        <w:t xml:space="preserve"> podané </w:t>
      </w:r>
      <w:r w:rsidR="000B36DD">
        <w:t>„</w:t>
      </w:r>
      <w:r>
        <w:rPr>
          <w:i/>
        </w:rPr>
        <w:t>ad mentem Averrois</w:t>
      </w:r>
      <w:r w:rsidR="000B36DD">
        <w:t>“</w:t>
      </w:r>
      <w:r>
        <w:rPr>
          <w:i/>
        </w:rPr>
        <w:fldChar w:fldCharType="begin"/>
      </w:r>
      <w:r>
        <w:instrText xml:space="preserve"> XE "</w:instrText>
      </w:r>
      <w:r>
        <w:rPr>
          <w:i/>
        </w:rPr>
        <w:instrText>ad mentem Averrois</w:instrText>
      </w:r>
      <w:r>
        <w:instrText xml:space="preserve">" </w:instrText>
      </w:r>
      <w:r>
        <w:rPr>
          <w:i/>
        </w:rPr>
        <w:fldChar w:fldCharType="end"/>
      </w:r>
      <w:r>
        <w:t xml:space="preserve">. Sofistický výklad Aristotelova korpusu zrušil etickou odpovědnost osoby za její </w:t>
      </w:r>
      <w:r w:rsidR="008B70B0">
        <w:t xml:space="preserve">jednání </w:t>
      </w:r>
      <w:r>
        <w:t>a vedl k rozpadu substanciální jednoty osoby. Osoba jako jedna substance na Oxfordu přestala existovat zavedením univerzálního hylemorfismu</w:t>
      </w:r>
      <w:r>
        <w:fldChar w:fldCharType="begin"/>
      </w:r>
      <w:r>
        <w:instrText xml:space="preserve"> XE "</w:instrText>
      </w:r>
      <w:r w:rsidRPr="00423560">
        <w:instrText>univerzální hylemorfismus</w:instrText>
      </w:r>
      <w:r>
        <w:instrText xml:space="preserve">" </w:instrText>
      </w:r>
      <w:r>
        <w:fldChar w:fldCharType="end"/>
      </w:r>
      <w:r>
        <w:t xml:space="preserve"> (kap. 5.2), který se s příchodem Rufuse a Kilwardbyho rozšířil i do Paříže. Na Pařížské univerzitě tuto nauku přijala škola Gramatiků, </w:t>
      </w:r>
      <w:r>
        <w:lastRenderedPageBreak/>
        <w:t xml:space="preserve">což byli porretánští logikové zanikajících škol </w:t>
      </w:r>
      <w:r w:rsidRPr="08BC5F8B">
        <w:rPr>
          <w:i/>
        </w:rPr>
        <w:t>logica Modernorum</w:t>
      </w:r>
      <w:r>
        <w:t>. Kulturní hegemonie</w:t>
      </w:r>
      <w:r>
        <w:fldChar w:fldCharType="begin"/>
      </w:r>
      <w:r>
        <w:instrText xml:space="preserve"> XE "</w:instrText>
      </w:r>
      <w:r w:rsidRPr="0876303C">
        <w:instrText>kulturní hegemonie</w:instrText>
      </w:r>
      <w:r>
        <w:instrText xml:space="preserve">" </w:instrText>
      </w:r>
      <w:r>
        <w:fldChar w:fldCharType="end"/>
      </w:r>
      <w:r>
        <w:t xml:space="preserve"> Rufusem přineseného sofismu pomohla těmto magistrům poskočit o jeden akademický stupínek výše. Místo učení logických sofismat </w:t>
      </w:r>
      <w:r w:rsidRPr="00273106">
        <w:t xml:space="preserve">typu </w:t>
      </w:r>
      <w:r w:rsidRPr="00273106">
        <w:rPr>
          <w:i/>
          <w:iCs/>
        </w:rPr>
        <w:t>Insolubilia</w:t>
      </w:r>
      <w:r w:rsidRPr="00273106">
        <w:t xml:space="preserve"> </w:t>
      </w:r>
      <w:r>
        <w:t xml:space="preserve">a sémantických cvičení typu </w:t>
      </w:r>
      <w:r w:rsidRPr="00273106">
        <w:rPr>
          <w:i/>
        </w:rPr>
        <w:t>Obligationes</w:t>
      </w:r>
      <w:r>
        <w:rPr>
          <w:i/>
        </w:rPr>
        <w:t xml:space="preserve"> </w:t>
      </w:r>
      <w:r w:rsidRPr="08BC5F8B">
        <w:t xml:space="preserve">pro začínající bakaláře </w:t>
      </w:r>
      <w:r>
        <w:t xml:space="preserve">se z nich stali metafyzikové a etikové v modu analytické filosofie založené v Oxfordu. Tato skupina Gramatiků kritizovaných Alvernem (kap. 4.3.2) pak ve spojení s mendikanty Rufusem, Kilwardbym a Bonaventurou zakládá první fakultu moderní filosofie na Pařížské univerzitě roku 1255. Ale nyní se píše rok 1245, kdy Alvernus vydal rozbor </w:t>
      </w:r>
      <w:r w:rsidRPr="08BC5F8B">
        <w:rPr>
          <w:i/>
        </w:rPr>
        <w:t>De anima</w:t>
      </w:r>
      <w:r>
        <w:t xml:space="preserve"> a Albert publikoval v Paříži klíčové části spisu </w:t>
      </w:r>
      <w:r w:rsidRPr="08BC5F8B">
        <w:rPr>
          <w:i/>
        </w:rPr>
        <w:t>De homine</w:t>
      </w:r>
      <w:r>
        <w:t>, v nichž komentoval spis CMDA podle Sicilské školy</w:t>
      </w:r>
      <w:r>
        <w:fldChar w:fldCharType="begin"/>
      </w:r>
      <w:r>
        <w:instrText xml:space="preserve"> XE "</w:instrText>
      </w:r>
      <w:r w:rsidRPr="08F8159F">
        <w:instrText>Sicilská škola</w:instrText>
      </w:r>
      <w:r>
        <w:instrText xml:space="preserve">" </w:instrText>
      </w:r>
      <w:r>
        <w:fldChar w:fldCharType="end"/>
      </w:r>
      <w:r>
        <w:t xml:space="preserve">. Desinterpretace </w:t>
      </w:r>
      <w:r w:rsidRPr="083F4F4E">
        <w:rPr>
          <w:i/>
        </w:rPr>
        <w:t>Etiky</w:t>
      </w:r>
      <w:r w:rsidRPr="00273106">
        <w:t xml:space="preserve"> </w:t>
      </w:r>
      <w:r>
        <w:t xml:space="preserve">a praktického intelektu podle </w:t>
      </w:r>
      <w:r w:rsidRPr="007931F5">
        <w:rPr>
          <w:i/>
        </w:rPr>
        <w:t>D</w:t>
      </w:r>
      <w:r w:rsidR="007931F5" w:rsidRPr="007931F5">
        <w:rPr>
          <w:i/>
        </w:rPr>
        <w:t xml:space="preserve">e </w:t>
      </w:r>
      <w:r w:rsidRPr="007931F5">
        <w:rPr>
          <w:i/>
        </w:rPr>
        <w:t>A</w:t>
      </w:r>
      <w:r w:rsidR="007931F5" w:rsidRPr="007931F5">
        <w:rPr>
          <w:i/>
        </w:rPr>
        <w:t>nima</w:t>
      </w:r>
      <w:r>
        <w:t xml:space="preserve"> III představovala další </w:t>
      </w:r>
      <w:r w:rsidRPr="00273106">
        <w:t>důvod, proč Rufus musel opustit Pařížskou univerzitu ovládanou prvním averroismem</w:t>
      </w:r>
      <w:r>
        <w:t>. Neoplatonské porretánské schéma praktického intelektu</w:t>
      </w:r>
      <w:r w:rsidRPr="00273106">
        <w:t xml:space="preserve"> </w:t>
      </w:r>
      <w:r>
        <w:t xml:space="preserve">zavedené Rufusem na Oxfrodu po roce 1235 a převzaté někdy od roku 1240 Bonaventurovou školou druhého averroismu </w:t>
      </w:r>
      <w:r w:rsidRPr="00273106">
        <w:t xml:space="preserve">bylo pro znalce Aristotelovy </w:t>
      </w:r>
      <w:r w:rsidRPr="082E0BE1">
        <w:rPr>
          <w:i/>
        </w:rPr>
        <w:t>Etiky</w:t>
      </w:r>
      <w:r w:rsidRPr="00273106">
        <w:t xml:space="preserve"> </w:t>
      </w:r>
      <w:r>
        <w:t xml:space="preserve">jako Albert, Bacon a Alvernus </w:t>
      </w:r>
      <w:r w:rsidRPr="00273106">
        <w:t>naprosto nepřijatelné.</w:t>
      </w:r>
      <w:r>
        <w:t xml:space="preserve"> Modernismus exportovaný z analytického Oxfordu a navázaný na moderní predikaci </w:t>
      </w:r>
      <w:r w:rsidRPr="082F4417">
        <w:rPr>
          <w:i/>
        </w:rPr>
        <w:t>Katerorií</w:t>
      </w:r>
      <w:r>
        <w:t xml:space="preserve"> ukázal starým i mladým představitelům prvního averroismu v Paříži, že výklad </w:t>
      </w:r>
      <w:r>
        <w:rPr>
          <w:i/>
        </w:rPr>
        <w:t>E</w:t>
      </w:r>
      <w:r w:rsidRPr="082F4417">
        <w:rPr>
          <w:i/>
        </w:rPr>
        <w:t>tiky</w:t>
      </w:r>
      <w:r>
        <w:t xml:space="preserve"> a </w:t>
      </w:r>
      <w:r w:rsidRPr="003F1C1A">
        <w:rPr>
          <w:i/>
        </w:rPr>
        <w:t>De anima</w:t>
      </w:r>
      <w:r>
        <w:t xml:space="preserve"> podaný </w:t>
      </w:r>
      <w:r>
        <w:rPr>
          <w:i/>
        </w:rPr>
        <w:t>ad mentem Averrois</w:t>
      </w:r>
      <w:r>
        <w:t xml:space="preserve"> rozhoduje osud křesťanské teologie angažované proti </w:t>
      </w:r>
      <w:r w:rsidRPr="08FF16D1">
        <w:rPr>
          <w:i/>
        </w:rPr>
        <w:t>sequaces Aristotelis</w:t>
      </w:r>
      <w:r>
        <w:t xml:space="preserve"> ovlivněných neoplatonismem Toledské školy</w:t>
      </w:r>
      <w:r>
        <w:fldChar w:fldCharType="begin"/>
      </w:r>
      <w:r>
        <w:instrText xml:space="preserve"> XE "</w:instrText>
      </w:r>
      <w:r w:rsidRPr="08E84540">
        <w:instrText>Toledská škola</w:instrText>
      </w:r>
      <w:r>
        <w:instrText xml:space="preserve">" </w:instrText>
      </w:r>
      <w:r>
        <w:fldChar w:fldCharType="end"/>
      </w:r>
      <w:r>
        <w:t xml:space="preserve">. Před příchodem Rufuse představovala centrum tohoto výkladu škola kolem Filipa Kancléře, k níž tehdy patřili </w:t>
      </w:r>
      <w:r w:rsidR="007931F5">
        <w:t>i první františkánští magistři.</w:t>
      </w:r>
    </w:p>
    <w:p w:rsidR="08163013" w:rsidRDefault="08163013" w:rsidP="008B03ED">
      <w:pPr>
        <w:ind w:firstLine="397"/>
      </w:pPr>
      <w:r>
        <w:t xml:space="preserve">Alvernus, Albert a Bacon </w:t>
      </w:r>
      <w:r w:rsidR="00B9471A">
        <w:t>pochopili okolo roku 1240</w:t>
      </w:r>
      <w:r>
        <w:t>, že je třeba zásadně bránit nasvícení jsoucna od reálné substance poznávané smysly</w:t>
      </w:r>
      <w:r>
        <w:fldChar w:fldCharType="begin"/>
      </w:r>
      <w:r>
        <w:instrText xml:space="preserve"> XE "</w:instrText>
      </w:r>
      <w:r w:rsidRPr="0024212F">
        <w:instrText>etika:nasvícení zepředu</w:instrText>
      </w:r>
      <w:r>
        <w:instrText xml:space="preserve">" </w:instrText>
      </w:r>
      <w:r>
        <w:fldChar w:fldCharType="end"/>
      </w:r>
      <w:r>
        <w:t>. A to nejen kvůli ohrožené metafyzice, ale také kvůli ohrožené etice. V Rufusově sofistické dedukci zmizelo aristotelské pojetí e</w:t>
      </w:r>
      <w:r w:rsidRPr="00273106">
        <w:t>xtenze teoretického intelekt</w:t>
      </w:r>
      <w:r>
        <w:t>u do praktického</w:t>
      </w:r>
      <w:r w:rsidRPr="00273106">
        <w:t xml:space="preserve">. Tím </w:t>
      </w:r>
      <w:r>
        <w:t xml:space="preserve">padlo celé schéma poznání </w:t>
      </w:r>
      <w:r>
        <w:rPr>
          <w:i/>
        </w:rPr>
        <w:t>De anima</w:t>
      </w:r>
      <w:r w:rsidRPr="00273106">
        <w:t xml:space="preserve"> </w:t>
      </w:r>
      <w:r>
        <w:t xml:space="preserve">a s ním i aristotelská </w:t>
      </w:r>
      <w:r w:rsidRPr="00273106">
        <w:t xml:space="preserve">etická teorie jako správného jednání daného podle </w:t>
      </w:r>
      <w:r w:rsidRPr="08901103">
        <w:rPr>
          <w:i/>
        </w:rPr>
        <w:t>Etiky Nikomachovy</w:t>
      </w:r>
      <w:r w:rsidRPr="00273106">
        <w:t xml:space="preserve"> </w:t>
      </w:r>
      <w:r>
        <w:t xml:space="preserve">jako prakticky poznaný </w:t>
      </w:r>
      <w:r w:rsidRPr="00273106">
        <w:t>střed mezi oběma extrémy.</w:t>
      </w:r>
      <w:r>
        <w:t xml:space="preserve"> Bez správně pojaté etiky nebyla možná teologická koncepce spásy a zatracení. Rufusovo pojetí analytické etiky se začalo úspěšně šířit mezi </w:t>
      </w:r>
      <w:r w:rsidR="005C45C6">
        <w:t>málo v</w:t>
      </w:r>
      <w:r>
        <w:t xml:space="preserve">zdělanými artistickými </w:t>
      </w:r>
      <w:r w:rsidR="005C45C6">
        <w:t xml:space="preserve">studenty </w:t>
      </w:r>
      <w:r>
        <w:t xml:space="preserve">na Pařížské univerzitě skrze Bonaventurovu a Rufusovu školu vytvořenou okolo roku 1240 kolem editace </w:t>
      </w:r>
      <w:r w:rsidRPr="000D57F7">
        <w:rPr>
          <w:i/>
        </w:rPr>
        <w:t>Summa Halensis</w:t>
      </w:r>
      <w:r>
        <w:rPr>
          <w:i/>
        </w:rPr>
        <w:fldChar w:fldCharType="begin"/>
      </w:r>
      <w:r>
        <w:instrText xml:space="preserve"> XE "</w:instrText>
      </w:r>
      <w:r w:rsidRPr="00F14A6F">
        <w:rPr>
          <w:i/>
        </w:rPr>
        <w:instrText>Summa Halensis</w:instrText>
      </w:r>
      <w:r>
        <w:instrText xml:space="preserve">" </w:instrText>
      </w:r>
      <w:r>
        <w:rPr>
          <w:i/>
        </w:rPr>
        <w:fldChar w:fldCharType="end"/>
      </w:r>
      <w:r>
        <w:t xml:space="preserve">. </w:t>
      </w:r>
      <w:r w:rsidR="008B03ED" w:rsidRPr="008B03ED">
        <w:t xml:space="preserve">Absolventi škol </w:t>
      </w:r>
      <w:r w:rsidR="008B03ED">
        <w:rPr>
          <w:i/>
          <w:iCs/>
        </w:rPr>
        <w:t>logica M</w:t>
      </w:r>
      <w:r w:rsidR="008B03ED" w:rsidRPr="008B03ED">
        <w:rPr>
          <w:i/>
          <w:iCs/>
        </w:rPr>
        <w:t>odernorum</w:t>
      </w:r>
      <w:r w:rsidR="008B03ED" w:rsidRPr="008B03ED">
        <w:t xml:space="preserve"> měli za sebou pouze filosofickou formaci z porét</w:t>
      </w:r>
      <w:r w:rsidR="008B03ED">
        <w:t>áns</w:t>
      </w:r>
      <w:r w:rsidR="008B03ED" w:rsidRPr="008B03ED">
        <w:t xml:space="preserve">ké logiky a klasický aristotelismus již neznali. Bacon </w:t>
      </w:r>
      <w:r w:rsidR="008B03ED" w:rsidRPr="008B03ED">
        <w:lastRenderedPageBreak/>
        <w:t>dosvědčil Rufův úspěch u méně vzdělaných pařížských bakalářů, kteří ochotně přijali sofistickou a kulturní hegemonii moderny (</w:t>
      </w:r>
      <w:r w:rsidR="008B03ED" w:rsidRPr="008B03ED">
        <w:rPr>
          <w:i/>
          <w:iCs/>
        </w:rPr>
        <w:t>famosissimus apud stultam multitudinem</w:t>
      </w:r>
      <w:r w:rsidR="008B03ED">
        <w:t xml:space="preserve">; OBJ II, kap. 3.2). </w:t>
      </w:r>
      <w:r w:rsidRPr="00273106">
        <w:t xml:space="preserve">Na sofistický útok druhých averroistů desinterpretujících původní smysl </w:t>
      </w:r>
      <w:r w:rsidRPr="081F43F4">
        <w:rPr>
          <w:i/>
        </w:rPr>
        <w:t>Etiky</w:t>
      </w:r>
      <w:r w:rsidRPr="00273106">
        <w:t xml:space="preserve"> a </w:t>
      </w:r>
      <w:r>
        <w:rPr>
          <w:i/>
        </w:rPr>
        <w:t>De anima</w:t>
      </w:r>
      <w:r w:rsidRPr="00273106">
        <w:t xml:space="preserve"> museli </w:t>
      </w:r>
      <w:r>
        <w:t xml:space="preserve">Alvernus, </w:t>
      </w:r>
      <w:r w:rsidRPr="00273106">
        <w:t xml:space="preserve">Albert a Bacon reagovat, což popsaly předešlé matrice vzniku objektivity. </w:t>
      </w:r>
      <w:r>
        <w:t>Ú</w:t>
      </w:r>
      <w:r w:rsidRPr="00273106">
        <w:rPr>
          <w:rStyle w:val="addmd"/>
        </w:rPr>
        <w:t xml:space="preserve">vod spisu </w:t>
      </w:r>
      <w:r w:rsidRPr="00273106">
        <w:rPr>
          <w:rStyle w:val="addmd"/>
          <w:i/>
        </w:rPr>
        <w:t>De homine</w:t>
      </w:r>
      <w:r>
        <w:rPr>
          <w:rStyle w:val="addmd"/>
        </w:rPr>
        <w:t xml:space="preserve"> považoval pojetí vědy těchto </w:t>
      </w:r>
      <w:r>
        <w:rPr>
          <w:rStyle w:val="addmd"/>
          <w:i/>
        </w:rPr>
        <w:t>d</w:t>
      </w:r>
      <w:r w:rsidRPr="00273106">
        <w:rPr>
          <w:rStyle w:val="addmd"/>
          <w:i/>
        </w:rPr>
        <w:t>octores Latin</w:t>
      </w:r>
      <w:r>
        <w:rPr>
          <w:rStyle w:val="addmd"/>
          <w:i/>
        </w:rPr>
        <w:t>i</w:t>
      </w:r>
      <w:r>
        <w:rPr>
          <w:rStyle w:val="addmd"/>
          <w:i/>
        </w:rPr>
        <w:fldChar w:fldCharType="begin"/>
      </w:r>
      <w:r>
        <w:instrText xml:space="preserve"> XE "druhý averroismus:</w:instrText>
      </w:r>
      <w:r>
        <w:rPr>
          <w:i/>
        </w:rPr>
        <w:instrText>doctores Latini</w:instrText>
      </w:r>
      <w:r>
        <w:instrText xml:space="preserve">" </w:instrText>
      </w:r>
      <w:r>
        <w:rPr>
          <w:rStyle w:val="addmd"/>
          <w:i/>
        </w:rPr>
        <w:fldChar w:fldCharType="end"/>
      </w:r>
      <w:r w:rsidRPr="00273106">
        <w:rPr>
          <w:rStyle w:val="addmd"/>
        </w:rPr>
        <w:t xml:space="preserve"> za zásadní nepochopení smyslu </w:t>
      </w:r>
      <w:r w:rsidRPr="081F43F4">
        <w:rPr>
          <w:rStyle w:val="addmd"/>
          <w:i/>
        </w:rPr>
        <w:t>Druhých analytik</w:t>
      </w:r>
      <w:r w:rsidRPr="00273106">
        <w:rPr>
          <w:rStyle w:val="addmd"/>
        </w:rPr>
        <w:t xml:space="preserve"> </w:t>
      </w:r>
      <w:r>
        <w:rPr>
          <w:rStyle w:val="addmd"/>
        </w:rPr>
        <w:t xml:space="preserve">a spisu </w:t>
      </w:r>
      <w:r w:rsidRPr="00A220C7">
        <w:rPr>
          <w:rStyle w:val="addmd"/>
          <w:i/>
        </w:rPr>
        <w:t>De anima</w:t>
      </w:r>
      <w:r>
        <w:rPr>
          <w:rStyle w:val="addmd"/>
        </w:rPr>
        <w:t xml:space="preserve"> </w:t>
      </w:r>
      <w:r w:rsidRPr="00273106">
        <w:rPr>
          <w:rStyle w:val="addmd"/>
        </w:rPr>
        <w:t xml:space="preserve">(kap. 4.4.1). </w:t>
      </w:r>
      <w:r w:rsidRPr="00273106">
        <w:t xml:space="preserve">Albert jako prominentní představitel školy prvního averroismu v Paříži kolem 1245 považoval </w:t>
      </w:r>
      <w:r>
        <w:t xml:space="preserve">Rufusovo </w:t>
      </w:r>
      <w:r w:rsidRPr="00273106">
        <w:t xml:space="preserve">pojetí nepřijatelné, protože vyložilo </w:t>
      </w:r>
      <w:r w:rsidRPr="081F43F4">
        <w:rPr>
          <w:i/>
        </w:rPr>
        <w:t xml:space="preserve">Etiku </w:t>
      </w:r>
      <w:r w:rsidRPr="00273106">
        <w:t xml:space="preserve">a </w:t>
      </w:r>
      <w:r>
        <w:rPr>
          <w:i/>
        </w:rPr>
        <w:t>De anima</w:t>
      </w:r>
      <w:r w:rsidRPr="00273106">
        <w:t xml:space="preserve"> podle </w:t>
      </w:r>
      <w:r>
        <w:t>neoplatonsk</w:t>
      </w:r>
      <w:r w:rsidRPr="00273106">
        <w:t xml:space="preserve">ého paradigmatu. </w:t>
      </w:r>
      <w:r>
        <w:t xml:space="preserve">Albert v této době působil jako magistr regens Pařížské univerzity, což pro Rufuse znamenalo vážný problém. Popsali jsme jeho neúspěšnou apologii </w:t>
      </w:r>
      <w:r w:rsidRPr="08754986">
        <w:rPr>
          <w:i/>
        </w:rPr>
        <w:t>De anima</w:t>
      </w:r>
      <w:r>
        <w:t xml:space="preserve"> podanou ve spise </w:t>
      </w:r>
      <w:r w:rsidRPr="00273106">
        <w:rPr>
          <w:i/>
        </w:rPr>
        <w:t>Speculum animae</w:t>
      </w:r>
      <w:r w:rsidRPr="083829F0">
        <w:t>, po níž musel opus</w:t>
      </w:r>
      <w:r>
        <w:t>t</w:t>
      </w:r>
      <w:r w:rsidRPr="083829F0">
        <w:t xml:space="preserve">it Paříž a vrátil se zpět do Oxfordu (kap. 5.3.4). </w:t>
      </w:r>
      <w:r w:rsidRPr="00273106">
        <w:t xml:space="preserve">Vedle boje proti </w:t>
      </w:r>
      <w:r>
        <w:t xml:space="preserve">chybnému pojetí vědy v rámci </w:t>
      </w:r>
      <w:r w:rsidRPr="00273106">
        <w:rPr>
          <w:i/>
        </w:rPr>
        <w:t>Oxfordian Fallacy</w:t>
      </w:r>
      <w:r w:rsidRPr="00273106">
        <w:t xml:space="preserve"> </w:t>
      </w:r>
      <w:r>
        <w:t xml:space="preserve">tak </w:t>
      </w:r>
      <w:r w:rsidRPr="00273106">
        <w:t xml:space="preserve">vznikl další závažný důvod, proč se </w:t>
      </w:r>
      <w:r>
        <w:t xml:space="preserve">Albert </w:t>
      </w:r>
      <w:r w:rsidRPr="00273106">
        <w:t xml:space="preserve">rozhodl vytvořit komentář k celému aristotelskému korpusu (kap. 4.4.3). Oba Albertovy komentáře k </w:t>
      </w:r>
      <w:r w:rsidRPr="081F43F4">
        <w:rPr>
          <w:i/>
        </w:rPr>
        <w:t>Etice Nikomachově</w:t>
      </w:r>
      <w:r w:rsidRPr="00273106">
        <w:t xml:space="preserve"> mají centrální místo v jeho výkladu</w:t>
      </w:r>
      <w:r>
        <w:t xml:space="preserve"> Aristotela</w:t>
      </w:r>
      <w:r w:rsidRPr="00273106">
        <w:t xml:space="preserve">, protože prodlužují argumentaci díla </w:t>
      </w:r>
      <w:r w:rsidRPr="00273106">
        <w:rPr>
          <w:i/>
        </w:rPr>
        <w:t>De homine</w:t>
      </w:r>
      <w:r w:rsidRPr="00273106">
        <w:t xml:space="preserve"> pojednávající bytostné určení člověka </w:t>
      </w:r>
      <w:r>
        <w:t xml:space="preserve">na další stupeň zahrnující </w:t>
      </w:r>
      <w:r w:rsidRPr="00273106">
        <w:t xml:space="preserve">jeho </w:t>
      </w:r>
      <w:r>
        <w:t xml:space="preserve">racionální volbu a </w:t>
      </w:r>
      <w:r w:rsidRPr="00273106">
        <w:t>jednání.</w:t>
      </w:r>
    </w:p>
    <w:p w:rsidR="08163013" w:rsidRDefault="08163013" w:rsidP="00491E36">
      <w:r>
        <w:tab/>
      </w:r>
      <w:r w:rsidRPr="00273106">
        <w:t xml:space="preserve">Nyní je jasné, proč definice </w:t>
      </w:r>
      <w:r w:rsidRPr="00273106">
        <w:rPr>
          <w:rStyle w:val="addmd"/>
        </w:rPr>
        <w:t xml:space="preserve">praktického intelektu jako zvláštní extenze spekulativního intelektu hrála </w:t>
      </w:r>
      <w:r>
        <w:rPr>
          <w:rStyle w:val="addmd"/>
        </w:rPr>
        <w:t xml:space="preserve">od roku </w:t>
      </w:r>
      <w:r w:rsidRPr="00273106">
        <w:rPr>
          <w:rStyle w:val="addmd"/>
        </w:rPr>
        <w:t xml:space="preserve">1240 klíčovou roli v nové interpetaci Aristotelovy </w:t>
      </w:r>
      <w:r w:rsidRPr="081F43F4">
        <w:rPr>
          <w:rStyle w:val="addmd"/>
          <w:i/>
        </w:rPr>
        <w:t>Etiky</w:t>
      </w:r>
      <w:r w:rsidRPr="00273106">
        <w:rPr>
          <w:rStyle w:val="addmd"/>
        </w:rPr>
        <w:t xml:space="preserve"> a později i </w:t>
      </w:r>
      <w:r w:rsidR="00F82F5C">
        <w:rPr>
          <w:rStyle w:val="addmd"/>
        </w:rPr>
        <w:t xml:space="preserve">při výkladu spisu </w:t>
      </w:r>
      <w:r w:rsidR="00F82F5C">
        <w:rPr>
          <w:rStyle w:val="addmd"/>
          <w:i/>
        </w:rPr>
        <w:t>Politika</w:t>
      </w:r>
      <w:r>
        <w:fldChar w:fldCharType="begin"/>
      </w:r>
      <w:r>
        <w:instrText xml:space="preserve"> XE "etika:první</w:instrText>
      </w:r>
      <w:r w:rsidRPr="003C222F">
        <w:instrText xml:space="preserve"> averroismus</w:instrText>
      </w:r>
      <w:r>
        <w:instrText xml:space="preserve">" </w:instrText>
      </w:r>
      <w:r>
        <w:fldChar w:fldCharType="end"/>
      </w:r>
      <w:r w:rsidRPr="00273106">
        <w:rPr>
          <w:rStyle w:val="addmd"/>
        </w:rPr>
        <w:t xml:space="preserve">. </w:t>
      </w:r>
      <w:r w:rsidRPr="00273106">
        <w:t xml:space="preserve">Aristotelikové Albert, Bacon </w:t>
      </w:r>
      <w:r>
        <w:t xml:space="preserve">a o dekádu později i </w:t>
      </w:r>
      <w:r w:rsidRPr="00273106">
        <w:t>Akv</w:t>
      </w:r>
      <w:r>
        <w:t xml:space="preserve">inský </w:t>
      </w:r>
      <w:r w:rsidRPr="00273106">
        <w:t xml:space="preserve">museli obhájit proti moderním avicennistům správné pojetí extenze obou intelektů. To znamenalo vyložit vazbu mezi teoretickým a praktickým intelektem podle skutečného Aristotela magistrálně interpretovaného </w:t>
      </w:r>
      <w:r>
        <w:t>Averroes</w:t>
      </w:r>
      <w:r w:rsidRPr="00273106">
        <w:t>em</w:t>
      </w:r>
      <w:r>
        <w:t xml:space="preserve">. Nyní je jasné, proč pro Akvinského odmítajícího Komentátora jako averroistu vznikl specifický problém při interpretaci </w:t>
      </w:r>
      <w:r w:rsidRPr="08627CE9">
        <w:rPr>
          <w:i/>
        </w:rPr>
        <w:t>Etiky</w:t>
      </w:r>
      <w:r>
        <w:t xml:space="preserve"> a zejména </w:t>
      </w:r>
      <w:r w:rsidRPr="08627CE9">
        <w:rPr>
          <w:i/>
        </w:rPr>
        <w:t>Politiky</w:t>
      </w:r>
      <w:r>
        <w:t xml:space="preserve"> podané ve škole prvního averroismu </w:t>
      </w:r>
      <w:r>
        <w:rPr>
          <w:i/>
        </w:rPr>
        <w:t>ad mentem Averrois</w:t>
      </w:r>
      <w:r>
        <w:t xml:space="preserve">. </w:t>
      </w:r>
      <w:r w:rsidRPr="00273106">
        <w:t xml:space="preserve">První averroismus </w:t>
      </w:r>
      <w:r>
        <w:t>nově spojil</w:t>
      </w:r>
      <w:r w:rsidRPr="00273106">
        <w:t xml:space="preserve"> praxi jednotlivce a určení jednoty v rámci lidstva. Na rozdíl od tehdejších a dnešních modernistů znali představitelé první školy </w:t>
      </w:r>
      <w:r>
        <w:t xml:space="preserve">výklad </w:t>
      </w:r>
      <w:r w:rsidRPr="081F43F4">
        <w:rPr>
          <w:i/>
        </w:rPr>
        <w:t>Druhých analytik</w:t>
      </w:r>
      <w:r w:rsidRPr="00273106">
        <w:t xml:space="preserve"> autenticky </w:t>
      </w:r>
      <w:r>
        <w:t xml:space="preserve">komentovaných </w:t>
      </w:r>
      <w:r w:rsidRPr="00273106">
        <w:t>v Boethiově tradici</w:t>
      </w:r>
      <w:r>
        <w:t xml:space="preserve"> kategoriální predikace hájené Abelardovou školou. Blundova škola v Paříži uvedla k</w:t>
      </w:r>
      <w:r w:rsidR="004142C6">
        <w:t xml:space="preserve">ategoriální predikaci </w:t>
      </w:r>
      <w:r w:rsidR="0027762C">
        <w:t xml:space="preserve">do </w:t>
      </w:r>
      <w:r w:rsidR="004142C6">
        <w:t>soulad</w:t>
      </w:r>
      <w:r w:rsidR="0027762C">
        <w:t>u</w:t>
      </w:r>
      <w:r w:rsidR="005841C3">
        <w:t> s</w:t>
      </w:r>
      <w:r w:rsidR="005F428E">
        <w:t xml:space="preserve"> kritickým výkladem avicennismu </w:t>
      </w:r>
      <w:r>
        <w:t>v letech 1220‒25</w:t>
      </w:r>
      <w:r w:rsidR="00E80B9E">
        <w:t>. Kritiku moderního „</w:t>
      </w:r>
      <w:proofErr w:type="gramStart"/>
      <w:r w:rsidR="00E80B9E" w:rsidRPr="00E80B9E">
        <w:t>člověka</w:t>
      </w:r>
      <w:proofErr w:type="gramEnd"/>
      <w:r w:rsidR="00E80B9E">
        <w:t>–</w:t>
      </w:r>
      <w:proofErr w:type="gramStart"/>
      <w:r w:rsidR="00E80B9E">
        <w:t>mrtvoly</w:t>
      </w:r>
      <w:proofErr w:type="gramEnd"/>
      <w:r w:rsidR="00E80B9E">
        <w:t xml:space="preserve">“ </w:t>
      </w:r>
      <w:r w:rsidR="00E80B9E" w:rsidRPr="00E80B9E">
        <w:t xml:space="preserve">provedl </w:t>
      </w:r>
      <w:r w:rsidR="00E80B9E">
        <w:t>G</w:t>
      </w:r>
      <w:r w:rsidR="00E80B9E" w:rsidRPr="00E80B9E">
        <w:t xml:space="preserve">rosseteste ve spise </w:t>
      </w:r>
      <w:r w:rsidR="00E80B9E" w:rsidRPr="00E80B9E">
        <w:rPr>
          <w:i/>
          <w:iCs/>
        </w:rPr>
        <w:t>De anima et de potenciis eius</w:t>
      </w:r>
      <w:r w:rsidR="00E80B9E">
        <w:t xml:space="preserve"> (1225</w:t>
      </w:r>
      <w:r w:rsidR="00E80B9E" w:rsidRPr="00E80B9E">
        <w:rPr>
          <w:iCs/>
        </w:rPr>
        <w:t>)</w:t>
      </w:r>
      <w:r w:rsidR="00E80B9E" w:rsidRPr="00E80B9E">
        <w:t xml:space="preserve"> s prvním výslovným odkazem na Averro</w:t>
      </w:r>
      <w:r w:rsidR="00E80B9E">
        <w:t>es</w:t>
      </w:r>
      <w:r w:rsidR="00D903C6">
        <w:t xml:space="preserve">ův výklad. </w:t>
      </w:r>
      <w:r>
        <w:t xml:space="preserve">Alvernus upravil Grossetesteho interpretaci pro </w:t>
      </w:r>
      <w:r>
        <w:lastRenderedPageBreak/>
        <w:t>nový výklad CMDA podle Scotových přednášek v Paříži, které roku 1230 založily výklad Sicilské školy</w:t>
      </w:r>
      <w:r>
        <w:fldChar w:fldCharType="begin"/>
      </w:r>
      <w:r>
        <w:instrText xml:space="preserve"> XE "</w:instrText>
      </w:r>
      <w:r w:rsidRPr="081D3A09">
        <w:instrText>Sicilská škola</w:instrText>
      </w:r>
      <w:r>
        <w:instrText xml:space="preserve">" </w:instrText>
      </w:r>
      <w:r>
        <w:fldChar w:fldCharType="end"/>
      </w:r>
      <w:r>
        <w:t xml:space="preserve"> (</w:t>
      </w:r>
      <w:r w:rsidRPr="00273106">
        <w:rPr>
          <w:i/>
        </w:rPr>
        <w:t>De potenciis animae et obiectis</w:t>
      </w:r>
      <w:r>
        <w:t xml:space="preserve">, 1230). Tuto tradici správného výkladu Aristotela v Paříži i na Oxfordu brání Bacon v díle </w:t>
      </w:r>
      <w:r w:rsidRPr="00273106">
        <w:rPr>
          <w:i/>
        </w:rPr>
        <w:t xml:space="preserve">Distinccio tercia de anima </w:t>
      </w:r>
      <w:r>
        <w:t xml:space="preserve">(1255) a z této pozice také kritizuje oxfordské sofisty (kap. 5.2). </w:t>
      </w:r>
      <w:r w:rsidRPr="00273106">
        <w:t xml:space="preserve">Vědu </w:t>
      </w:r>
      <w:r w:rsidR="009A11EE">
        <w:t xml:space="preserve">o člověku </w:t>
      </w:r>
      <w:r w:rsidRPr="00273106">
        <w:t>za</w:t>
      </w:r>
      <w:r w:rsidR="009A11EE">
        <w:t xml:space="preserve">ložil </w:t>
      </w:r>
      <w:r w:rsidRPr="00273106">
        <w:t xml:space="preserve">správně utvořený soud v podobě vědeckého </w:t>
      </w:r>
      <w:r w:rsidRPr="00273106">
        <w:rPr>
          <w:i/>
        </w:rPr>
        <w:t>demonstratio</w:t>
      </w:r>
      <w:r w:rsidRPr="00273106">
        <w:t xml:space="preserve">. Skuteční aristotelikové věděli, že klíčem pro </w:t>
      </w:r>
      <w:r>
        <w:t xml:space="preserve">ustavení </w:t>
      </w:r>
      <w:r w:rsidRPr="00273106">
        <w:t xml:space="preserve">etiky jako autonomní vědy napojené na reálný svět a na reálné etické a politické jednání </w:t>
      </w:r>
      <w:r w:rsidR="00427E98">
        <w:t>osoby</w:t>
      </w:r>
      <w:r w:rsidRPr="00273106">
        <w:t xml:space="preserve"> </w:t>
      </w:r>
      <w:r>
        <w:t>je praktický</w:t>
      </w:r>
      <w:r w:rsidRPr="00273106">
        <w:t xml:space="preserve"> sylogismu</w:t>
      </w:r>
      <w:r>
        <w:t>s</w:t>
      </w:r>
      <w:r>
        <w:fldChar w:fldCharType="begin"/>
      </w:r>
      <w:r>
        <w:instrText xml:space="preserve"> XE "praktický sylogismus" </w:instrText>
      </w:r>
      <w:r>
        <w:fldChar w:fldCharType="end"/>
      </w:r>
      <w:r w:rsidRPr="00273106">
        <w:t xml:space="preserve"> </w:t>
      </w:r>
      <w:r>
        <w:t xml:space="preserve">v </w:t>
      </w:r>
      <w:r w:rsidRPr="081F43F4">
        <w:rPr>
          <w:i/>
        </w:rPr>
        <w:t xml:space="preserve">Etice </w:t>
      </w:r>
      <w:proofErr w:type="gramStart"/>
      <w:r w:rsidRPr="081F43F4">
        <w:rPr>
          <w:i/>
        </w:rPr>
        <w:t>Nikomachově</w:t>
      </w:r>
      <w:r>
        <w:t xml:space="preserve"> (E.N.</w:t>
      </w:r>
      <w:proofErr w:type="gramEnd"/>
      <w:r>
        <w:t xml:space="preserve"> </w:t>
      </w:r>
      <w:r w:rsidRPr="00273106">
        <w:t>1147a25–b5</w:t>
      </w:r>
      <w:r>
        <w:fldChar w:fldCharType="begin"/>
      </w:r>
      <w:r>
        <w:instrText xml:space="preserve"> XE "Aristoteles:</w:instrText>
      </w:r>
      <w:r w:rsidRPr="00530949">
        <w:instrText>E.N. 1147a25–b5</w:instrText>
      </w:r>
      <w:r>
        <w:instrText xml:space="preserve">" </w:instrText>
      </w:r>
      <w:r>
        <w:fldChar w:fldCharType="end"/>
      </w:r>
      <w:r w:rsidRPr="00273106">
        <w:t xml:space="preserve">). </w:t>
      </w:r>
      <w:r>
        <w:t>Aristoteles</w:t>
      </w:r>
      <w:r w:rsidRPr="00273106">
        <w:t xml:space="preserve"> jasně říká, </w:t>
      </w:r>
      <w:r>
        <w:t xml:space="preserve">že praktický soud </w:t>
      </w:r>
      <w:r w:rsidRPr="00273106">
        <w:t xml:space="preserve">a </w:t>
      </w:r>
      <w:r>
        <w:t>praktický intelekt určují</w:t>
      </w:r>
      <w:r w:rsidRPr="00273106">
        <w:t xml:space="preserve"> partikulární jednání (πρακτὰ γὰρ τὰ καθ' ἕ</w:t>
      </w:r>
      <w:r>
        <w:t>καστα, E.</w:t>
      </w:r>
      <w:r w:rsidRPr="00273106">
        <w:t>N. 1147a3‒4</w:t>
      </w:r>
      <w:r>
        <w:fldChar w:fldCharType="begin"/>
      </w:r>
      <w:r>
        <w:instrText xml:space="preserve"> XE "Aristoteles:</w:instrText>
      </w:r>
      <w:r w:rsidRPr="00530949">
        <w:instrText>E.N. 1147a</w:instrText>
      </w:r>
      <w:r>
        <w:instrText xml:space="preserve">3–4" </w:instrText>
      </w:r>
      <w:r>
        <w:fldChar w:fldCharType="end"/>
      </w:r>
      <w:r w:rsidRPr="00273106">
        <w:t xml:space="preserve">). Pokud má být etika pravdivě založena jako věda v rámci </w:t>
      </w:r>
      <w:r>
        <w:t xml:space="preserve">deduktivního </w:t>
      </w:r>
      <w:r w:rsidRPr="00273106">
        <w:rPr>
          <w:i/>
        </w:rPr>
        <w:t>demonstratio</w:t>
      </w:r>
      <w:r>
        <w:rPr>
          <w:i/>
        </w:rPr>
        <w:fldChar w:fldCharType="begin"/>
      </w:r>
      <w:r>
        <w:instrText xml:space="preserve"> XE "</w:instrText>
      </w:r>
      <w:r w:rsidRPr="004E6075">
        <w:rPr>
          <w:i/>
        </w:rPr>
        <w:instrText>demonstratio:</w:instrText>
      </w:r>
      <w:r>
        <w:instrText xml:space="preserve">etika" </w:instrText>
      </w:r>
      <w:r>
        <w:rPr>
          <w:i/>
        </w:rPr>
        <w:fldChar w:fldCharType="end"/>
      </w:r>
      <w:r w:rsidRPr="00273106">
        <w:t xml:space="preserve">, pak </w:t>
      </w:r>
      <w:r>
        <w:t xml:space="preserve">správný výměr etiky závisí </w:t>
      </w:r>
      <w:r w:rsidRPr="00273106">
        <w:t>na určení povahy středního členu soudu (</w:t>
      </w:r>
      <w:r w:rsidRPr="00273106">
        <w:rPr>
          <w:i/>
        </w:rPr>
        <w:t>medium</w:t>
      </w:r>
      <w:r>
        <w:rPr>
          <w:i/>
        </w:rPr>
        <w:fldChar w:fldCharType="begin"/>
      </w:r>
      <w:r>
        <w:instrText xml:space="preserve"> XE "</w:instrText>
      </w:r>
      <w:r w:rsidRPr="001618A5">
        <w:rPr>
          <w:i/>
        </w:rPr>
        <w:instrText>medium:</w:instrText>
      </w:r>
      <w:r>
        <w:instrText xml:space="preserve">Aristoteles" </w:instrText>
      </w:r>
      <w:r>
        <w:rPr>
          <w:i/>
        </w:rPr>
        <w:fldChar w:fldCharType="end"/>
      </w:r>
      <w:r w:rsidRPr="00273106">
        <w:t xml:space="preserve">). V něm se sbíhá singulární kauzalita na úrovni působení reálného světa a univerzální predikace této kauzality. </w:t>
      </w:r>
      <w:r>
        <w:t xml:space="preserve">Albertův spor o princip </w:t>
      </w:r>
      <w:r w:rsidR="08A649EB" w:rsidRPr="08A649EB">
        <w:rPr>
          <w:i/>
        </w:rPr>
        <w:t>ex</w:t>
      </w:r>
      <w:r w:rsidR="08A649EB">
        <w:t xml:space="preserve"> </w:t>
      </w:r>
      <w:r w:rsidR="08A649EB">
        <w:rPr>
          <w:i/>
        </w:rPr>
        <w:t>in</w:t>
      </w:r>
      <w:r w:rsidRPr="00273106">
        <w:rPr>
          <w:i/>
        </w:rPr>
        <w:t>media</w:t>
      </w:r>
      <w:r w:rsidR="08A649EB">
        <w:rPr>
          <w:i/>
        </w:rPr>
        <w:t>tis</w:t>
      </w:r>
      <w:r>
        <w:rPr>
          <w:i/>
        </w:rPr>
        <w:fldChar w:fldCharType="begin"/>
      </w:r>
      <w:r>
        <w:instrText xml:space="preserve"> XE "princip </w:instrText>
      </w:r>
      <w:r w:rsidR="08A649EB">
        <w:rPr>
          <w:i/>
        </w:rPr>
        <w:instrText>ex in</w:instrText>
      </w:r>
      <w:r w:rsidRPr="0034348F">
        <w:rPr>
          <w:i/>
        </w:rPr>
        <w:instrText>mediatis</w:instrText>
      </w:r>
      <w:r>
        <w:instrText xml:space="preserve">" </w:instrText>
      </w:r>
      <w:r>
        <w:rPr>
          <w:i/>
        </w:rPr>
        <w:fldChar w:fldCharType="end"/>
      </w:r>
      <w:r>
        <w:t xml:space="preserve"> s Kil</w:t>
      </w:r>
      <w:r w:rsidRPr="00273106">
        <w:t xml:space="preserve">wardbym </w:t>
      </w:r>
      <w:r>
        <w:t xml:space="preserve">v letech </w:t>
      </w:r>
      <w:r w:rsidRPr="00273106">
        <w:t>1240‒45</w:t>
      </w:r>
      <w:r>
        <w:t xml:space="preserve"> se týkal i správného výkladu </w:t>
      </w:r>
      <w:r w:rsidRPr="08DE2AA9">
        <w:rPr>
          <w:i/>
        </w:rPr>
        <w:t>Etiky</w:t>
      </w:r>
      <w:r>
        <w:t xml:space="preserve">, nejen výkladu spisů jako </w:t>
      </w:r>
      <w:r w:rsidRPr="08DE2AA9">
        <w:rPr>
          <w:i/>
        </w:rPr>
        <w:t>De anima</w:t>
      </w:r>
      <w:r>
        <w:rPr>
          <w:i/>
        </w:rPr>
        <w:t>, Kategorie</w:t>
      </w:r>
      <w:r>
        <w:t xml:space="preserve"> a </w:t>
      </w:r>
      <w:r>
        <w:rPr>
          <w:i/>
        </w:rPr>
        <w:t>Metafyzika</w:t>
      </w:r>
      <w:r>
        <w:t xml:space="preserve"> </w:t>
      </w:r>
      <w:r w:rsidRPr="00273106">
        <w:t xml:space="preserve">(kap. 4.4.1). </w:t>
      </w:r>
      <w:r>
        <w:t xml:space="preserve">Dobro dané v modu pro nás </w:t>
      </w:r>
      <w:r w:rsidRPr="00273106">
        <w:t>(πρὸς ἡμᾶς, E.N. 1107a1</w:t>
      </w:r>
      <w:r>
        <w:fldChar w:fldCharType="begin"/>
      </w:r>
      <w:r>
        <w:instrText xml:space="preserve"> XE "</w:instrText>
      </w:r>
      <w:proofErr w:type="gramStart"/>
      <w:r>
        <w:instrText>Aristoteles:</w:instrText>
      </w:r>
      <w:r w:rsidRPr="003A1F61">
        <w:instrText>E.N.</w:instrText>
      </w:r>
      <w:proofErr w:type="gramEnd"/>
      <w:r w:rsidRPr="003A1F61">
        <w:instrText xml:space="preserve"> 1107a1</w:instrText>
      </w:r>
      <w:r>
        <w:instrText xml:space="preserve">" </w:instrText>
      </w:r>
      <w:r>
        <w:fldChar w:fldCharType="end"/>
      </w:r>
      <w:r w:rsidRPr="00273106">
        <w:t>)</w:t>
      </w:r>
      <w:r>
        <w:t xml:space="preserve"> je teoreticky poznané a prakticky realizované</w:t>
      </w:r>
      <w:r w:rsidRPr="00273106">
        <w:t xml:space="preserve"> jako zde a nyní poznaný střed mezi škodlivými extrémy (τῷ ὀρθῷ λόγῳ, E.N. 1147b3</w:t>
      </w:r>
      <w:r>
        <w:fldChar w:fldCharType="begin"/>
      </w:r>
      <w:r>
        <w:instrText xml:space="preserve"> XE "Aristoteles:E.N. 1147b3" </w:instrText>
      </w:r>
      <w:r>
        <w:fldChar w:fldCharType="end"/>
      </w:r>
      <w:r w:rsidRPr="00273106">
        <w:t xml:space="preserve">). V případě etiky a politiky jde o jednání podle </w:t>
      </w:r>
      <w:r w:rsidRPr="08E931EF">
        <w:rPr>
          <w:i/>
        </w:rPr>
        <w:t>fronésis</w:t>
      </w:r>
      <w:r w:rsidRPr="00273106">
        <w:t xml:space="preserve">, kdy prozíravý člověk sleduje správnou míru </w:t>
      </w:r>
      <w:r>
        <w:t xml:space="preserve">v jednání </w:t>
      </w:r>
      <w:r w:rsidRPr="00273106">
        <w:t>(</w:t>
      </w:r>
      <w:r w:rsidRPr="00273106">
        <w:rPr>
          <w:i/>
        </w:rPr>
        <w:t>recta ratio</w:t>
      </w:r>
      <w:r>
        <w:rPr>
          <w:i/>
        </w:rPr>
        <w:fldChar w:fldCharType="begin"/>
      </w:r>
      <w:r>
        <w:instrText xml:space="preserve"> XE "etika:</w:instrText>
      </w:r>
      <w:r w:rsidRPr="0042222F">
        <w:rPr>
          <w:i/>
        </w:rPr>
        <w:instrText>recta ratio</w:instrText>
      </w:r>
      <w:r>
        <w:instrText xml:space="preserve">" </w:instrText>
      </w:r>
      <w:r>
        <w:rPr>
          <w:i/>
        </w:rPr>
        <w:fldChar w:fldCharType="end"/>
      </w:r>
      <w:r w:rsidRPr="00273106">
        <w:t xml:space="preserve">). Škola prvního averroismu </w:t>
      </w:r>
      <w:r>
        <w:t xml:space="preserve">na rozdíl od mystických výkladů </w:t>
      </w:r>
      <w:r w:rsidRPr="00273106">
        <w:rPr>
          <w:i/>
        </w:rPr>
        <w:t>fronésis</w:t>
      </w:r>
      <w:r>
        <w:rPr>
          <w:i/>
        </w:rPr>
        <w:fldChar w:fldCharType="begin"/>
      </w:r>
      <w:r>
        <w:instrText xml:space="preserve"> XE "</w:instrText>
      </w:r>
      <w:r w:rsidRPr="00BD03F3">
        <w:rPr>
          <w:i/>
        </w:rPr>
        <w:instrText>fronésis</w:instrText>
      </w:r>
      <w:r>
        <w:instrText xml:space="preserve">" </w:instrText>
      </w:r>
      <w:r>
        <w:rPr>
          <w:i/>
        </w:rPr>
        <w:fldChar w:fldCharType="end"/>
      </w:r>
      <w:r>
        <w:t xml:space="preserve"> jasně viděla, že první poznávací princip </w:t>
      </w:r>
      <w:r w:rsidR="08A649EB">
        <w:rPr>
          <w:i/>
        </w:rPr>
        <w:t>ex in</w:t>
      </w:r>
      <w:r w:rsidRPr="08991837">
        <w:rPr>
          <w:i/>
        </w:rPr>
        <w:t>mediatis</w:t>
      </w:r>
      <w:r>
        <w:t xml:space="preserve"> vzatý z reálné kauzality </w:t>
      </w:r>
      <w:r w:rsidRPr="00273106">
        <w:t xml:space="preserve">hraje v </w:t>
      </w:r>
      <w:r w:rsidRPr="08E22DD8">
        <w:rPr>
          <w:i/>
        </w:rPr>
        <w:t>Etice</w:t>
      </w:r>
      <w:r w:rsidRPr="00273106">
        <w:t xml:space="preserve"> centrální roli vzhlede</w:t>
      </w:r>
      <w:r w:rsidR="00B941B1">
        <w:t>m k reálnému jednání osoby</w:t>
      </w:r>
      <w:r w:rsidRPr="00273106">
        <w:t xml:space="preserve">. Teoretická moudrost je v otázce správného jednání výslovně postavena až na druhého místo vzhledem k praktické moudrosti. Teoretikové jako Anaxágorás a Thálés podle </w:t>
      </w:r>
      <w:r w:rsidRPr="08FF458D">
        <w:rPr>
          <w:i/>
        </w:rPr>
        <w:t>Etiky</w:t>
      </w:r>
      <w:r w:rsidRPr="00273106">
        <w:t xml:space="preserve"> nehledají primárně lidské dobro (οὐ τὰ ἀνθρώπινα ἀγαθὰ ζητοῦσιν, </w:t>
      </w:r>
      <w:r w:rsidRPr="00273106">
        <w:rPr>
          <w:i/>
          <w:iCs/>
        </w:rPr>
        <w:t>E.N.</w:t>
      </w:r>
      <w:r>
        <w:t xml:space="preserve"> 1141b3‒</w:t>
      </w:r>
      <w:r w:rsidRPr="00273106">
        <w:t>8</w:t>
      </w:r>
      <w:r>
        <w:fldChar w:fldCharType="begin"/>
      </w:r>
      <w:r>
        <w:instrText xml:space="preserve"> XE "Aristoteles:E.N. 1141b3‒8" </w:instrText>
      </w:r>
      <w:r>
        <w:fldChar w:fldCharType="end"/>
      </w:r>
      <w:r w:rsidRPr="00273106">
        <w:t xml:space="preserve">). Kdo </w:t>
      </w:r>
      <w:r>
        <w:t xml:space="preserve">četl </w:t>
      </w:r>
      <w:r w:rsidRPr="089B5D64">
        <w:rPr>
          <w:i/>
        </w:rPr>
        <w:t>E</w:t>
      </w:r>
      <w:r>
        <w:rPr>
          <w:i/>
        </w:rPr>
        <w:t xml:space="preserve">tiku Nikomachovu </w:t>
      </w:r>
      <w:r w:rsidRPr="089B5D64">
        <w:t>kriticky a pozorně,</w:t>
      </w:r>
      <w:r w:rsidRPr="00273106">
        <w:t xml:space="preserve"> </w:t>
      </w:r>
      <w:r>
        <w:t xml:space="preserve">ten </w:t>
      </w:r>
      <w:r w:rsidRPr="00273106">
        <w:t xml:space="preserve">nemohl tato fakta přehlédnout, zvláště po uvedení </w:t>
      </w:r>
      <w:r>
        <w:t>Averroesových komentářů na latinský Západ. Komentátor výslovně upozornil na to, že moderní avicennisté nečetli Aristotela, ale své vlastní sofistické fabulace (</w:t>
      </w:r>
      <w:r w:rsidRPr="08417D8E">
        <w:rPr>
          <w:i/>
        </w:rPr>
        <w:t>Moderni dimittunt libros Aristotelis</w:t>
      </w:r>
      <w:r>
        <w:t>, kap. 2.5</w:t>
      </w:r>
      <w:r w:rsidRPr="08417D8E">
        <w:t>)</w:t>
      </w:r>
      <w:r>
        <w:t xml:space="preserve">. Sicilská škola kritizovala v Paříži podobou modernistickou skupinu, která místo pravdivého </w:t>
      </w:r>
      <w:r w:rsidR="00AF37A6">
        <w:t xml:space="preserve">výkladu </w:t>
      </w:r>
      <w:r>
        <w:t>Aristotela dosadi</w:t>
      </w:r>
      <w:r w:rsidR="00491E36">
        <w:t xml:space="preserve">la vlastní sofistické fabulace. </w:t>
      </w:r>
      <w:r w:rsidRPr="00273106">
        <w:t xml:space="preserve">Spor mezi oběma školami </w:t>
      </w:r>
      <w:r>
        <w:lastRenderedPageBreak/>
        <w:t xml:space="preserve">ohledně interpretace </w:t>
      </w:r>
      <w:r w:rsidRPr="08FF458D">
        <w:rPr>
          <w:i/>
        </w:rPr>
        <w:t>Etiky Nikomachovy</w:t>
      </w:r>
      <w:r>
        <w:t xml:space="preserve"> </w:t>
      </w:r>
      <w:r w:rsidRPr="00273106">
        <w:t>byl nev</w:t>
      </w:r>
      <w:r>
        <w:t>yhnutelný a jeho první kolo běželo v letech 1240‒50. O</w:t>
      </w:r>
      <w:r w:rsidRPr="00273106">
        <w:t>pět se týkal sofistického výkladu Korpusu, který druhý averroismus převedl z oblasti metafyziky a noetiky i do oblasti etiky.</w:t>
      </w:r>
      <w:r>
        <w:t xml:space="preserve"> T</w:t>
      </w:r>
      <w:r w:rsidRPr="00273106">
        <w:rPr>
          <w:rStyle w:val="addmd"/>
        </w:rPr>
        <w:t xml:space="preserve">ím vznikl další důvod, proč biskup Alvernus nazval </w:t>
      </w:r>
      <w:r>
        <w:rPr>
          <w:rStyle w:val="addmd"/>
        </w:rPr>
        <w:t xml:space="preserve">příslušníky této školy titulem </w:t>
      </w:r>
      <w:r w:rsidRPr="00273106">
        <w:rPr>
          <w:rStyle w:val="addmd"/>
          <w:i/>
        </w:rPr>
        <w:t>sophistae Latini</w:t>
      </w:r>
      <w:r>
        <w:rPr>
          <w:rStyle w:val="addmd"/>
          <w:i/>
        </w:rPr>
        <w:fldChar w:fldCharType="begin"/>
      </w:r>
      <w:r>
        <w:instrText xml:space="preserve"> XE "druhý averroismus:</w:instrText>
      </w:r>
      <w:r w:rsidRPr="00EC0AF4">
        <w:rPr>
          <w:i/>
          <w:lang w:eastAsia="en-US"/>
        </w:rPr>
        <w:instrText>sophistae Latini</w:instrText>
      </w:r>
      <w:r>
        <w:instrText xml:space="preserve">" </w:instrText>
      </w:r>
      <w:r>
        <w:rPr>
          <w:rStyle w:val="addmd"/>
          <w:i/>
        </w:rPr>
        <w:fldChar w:fldCharType="end"/>
      </w:r>
      <w:r>
        <w:rPr>
          <w:rStyle w:val="addmd"/>
        </w:rPr>
        <w:t xml:space="preserve"> a proč Rufus musel odejít z Paříže. Z předešlého výkladu je zřejmé, že první modernista neúspěšně obhajoval také analytickou etiku </w:t>
      </w:r>
      <w:r w:rsidRPr="006111C8">
        <w:rPr>
          <w:rStyle w:val="addmd"/>
          <w:i/>
        </w:rPr>
        <w:t>Modernorum</w:t>
      </w:r>
      <w:r>
        <w:rPr>
          <w:rStyle w:val="addmd"/>
        </w:rPr>
        <w:t>, nejen analytickou metafyziku a teorii poznání.</w:t>
      </w:r>
      <w:r w:rsidRPr="00273106">
        <w:rPr>
          <w:rStyle w:val="addmd"/>
        </w:rPr>
        <w:t xml:space="preserve"> Modernisté vytvořili skrze dělení dobra třetího druhu </w:t>
      </w:r>
      <w:r>
        <w:rPr>
          <w:rStyle w:val="addmd"/>
        </w:rPr>
        <w:t xml:space="preserve">v rámci </w:t>
      </w:r>
      <w:r>
        <w:rPr>
          <w:rStyle w:val="addmd"/>
          <w:i/>
        </w:rPr>
        <w:t>Arbor Porp</w:t>
      </w:r>
      <w:r w:rsidRPr="00F728ED">
        <w:rPr>
          <w:rStyle w:val="addmd"/>
          <w:i/>
        </w:rPr>
        <w:t>hyriana</w:t>
      </w:r>
      <w:r>
        <w:rPr>
          <w:rStyle w:val="addmd"/>
        </w:rPr>
        <w:t xml:space="preserve"> první objektivní klasifikaci etiky. Foucaultův post</w:t>
      </w:r>
      <w:r>
        <w:rPr>
          <w:rStyle w:val="addmd"/>
        </w:rPr>
        <w:noBreakHyphen/>
        <w:t xml:space="preserve">strukturalistický výklad novověké </w:t>
      </w:r>
      <w:r w:rsidRPr="002E2A90">
        <w:rPr>
          <w:rStyle w:val="addmd"/>
          <w:i/>
        </w:rPr>
        <w:t>epistémé</w:t>
      </w:r>
      <w:r>
        <w:rPr>
          <w:rStyle w:val="addmd"/>
          <w:i/>
        </w:rPr>
        <w:fldChar w:fldCharType="begin"/>
      </w:r>
      <w:r>
        <w:instrText xml:space="preserve"> XE "</w:instrText>
      </w:r>
      <w:r w:rsidRPr="005B05F0">
        <w:rPr>
          <w:i/>
        </w:rPr>
        <w:instrText>epistémé</w:instrText>
      </w:r>
      <w:r>
        <w:instrText xml:space="preserve">" </w:instrText>
      </w:r>
      <w:r>
        <w:rPr>
          <w:rStyle w:val="addmd"/>
          <w:i/>
        </w:rPr>
        <w:fldChar w:fldCharType="end"/>
      </w:r>
      <w:r>
        <w:rPr>
          <w:rStyle w:val="addmd"/>
        </w:rPr>
        <w:t xml:space="preserve"> završil tento sofistický výklad humanitních věd ve věku nihilistického humanismu</w:t>
      </w:r>
      <w:r w:rsidRPr="00273106">
        <w:rPr>
          <w:rStyle w:val="addmd"/>
        </w:rPr>
        <w:t>.</w:t>
      </w:r>
      <w:r>
        <w:rPr>
          <w:rStyle w:val="addmd"/>
        </w:rPr>
        <w:t xml:space="preserve"> Porretánský </w:t>
      </w:r>
      <w:r>
        <w:t xml:space="preserve">člověk-mrtvola je definován v modu </w:t>
      </w:r>
      <w:r w:rsidRPr="00575215">
        <w:rPr>
          <w:i/>
        </w:rPr>
        <w:t>semel</w:t>
      </w:r>
      <w:r>
        <w:t>‒</w:t>
      </w:r>
      <w:r w:rsidRPr="00575215">
        <w:rPr>
          <w:i/>
        </w:rPr>
        <w:t>semper</w:t>
      </w:r>
      <w:r>
        <w:rPr>
          <w:i/>
        </w:rPr>
        <w:fldChar w:fldCharType="begin"/>
      </w:r>
      <w:r>
        <w:instrText xml:space="preserve"> XE "predikace:</w:instrText>
      </w:r>
      <w:r w:rsidRPr="00300A28">
        <w:rPr>
          <w:i/>
        </w:rPr>
        <w:instrText>semel</w:instrText>
      </w:r>
      <w:r w:rsidRPr="00300A28">
        <w:instrText>‒</w:instrText>
      </w:r>
      <w:r w:rsidRPr="00300A28">
        <w:rPr>
          <w:i/>
        </w:rPr>
        <w:instrText>semper</w:instrText>
      </w:r>
      <w:r>
        <w:instrText xml:space="preserve">" </w:instrText>
      </w:r>
      <w:r>
        <w:rPr>
          <w:i/>
        </w:rPr>
        <w:fldChar w:fldCharType="end"/>
      </w:r>
      <w:r>
        <w:t xml:space="preserve"> jako specifické individuum. K určení jednání pro toto neexistující jsoucno třetího druhu stačí svoboda jako specifický koncept, či </w:t>
      </w:r>
      <w:r w:rsidRPr="00575215">
        <w:rPr>
          <w:i/>
        </w:rPr>
        <w:t>scibile</w:t>
      </w:r>
      <w:r>
        <w:rPr>
          <w:i/>
        </w:rPr>
        <w:fldChar w:fldCharType="begin"/>
      </w:r>
      <w:r>
        <w:instrText xml:space="preserve"> XE "</w:instrText>
      </w:r>
      <w:r w:rsidRPr="00AA4F67">
        <w:rPr>
          <w:i/>
        </w:rPr>
        <w:instrText>scibile</w:instrText>
      </w:r>
      <w:r>
        <w:rPr>
          <w:i/>
        </w:rPr>
        <w:instrText>:</w:instrText>
      </w:r>
      <w:r w:rsidRPr="00C61BA2">
        <w:instrText>objektivní</w:instrText>
      </w:r>
      <w:r>
        <w:rPr>
          <w:i/>
        </w:rPr>
        <w:instrText xml:space="preserve"> </w:instrText>
      </w:r>
      <w:r w:rsidRPr="00C61BA2">
        <w:instrText>etika</w:instrText>
      </w:r>
      <w:r>
        <w:instrText xml:space="preserve">" </w:instrText>
      </w:r>
      <w:r>
        <w:rPr>
          <w:i/>
        </w:rPr>
        <w:fldChar w:fldCharType="end"/>
      </w:r>
      <w:r>
        <w:t xml:space="preserve"> dané apriori, například skrze hypostázovanou a ideologickou podobu lidských práv. Dělení a třídění toho či onoho etického </w:t>
      </w:r>
      <w:r w:rsidRPr="084929B4">
        <w:rPr>
          <w:i/>
        </w:rPr>
        <w:t>scibile</w:t>
      </w:r>
      <w:r>
        <w:t xml:space="preserve"> charakterizuje jak postmoderního hegeliánského akademika před Marxem tak teoretického ideologa v epoše současného nihilismu. Tento postmoderní omyl daný fundamentálním pochybením v otázce praktického intelektu zásadně kritizovala a rektifikovala Hana Arendtová. Aristotelská myslitelka oddělila řemeslné vyrábění od politické praxe a odmítla koncept liberální svobody jako specifického mýtu Západu. Postmoderní osvícenští liberálové vedeni vlastním intelektem-sluncem také nečetli Aristotela a místo politického jednání občana zavedli politickou liberální mytopoetiku založenou na svobodě individuální apolitické vůle. </w:t>
      </w:r>
    </w:p>
    <w:p w:rsidR="08163013" w:rsidRPr="00273106" w:rsidRDefault="08163013" w:rsidP="08163013">
      <w:r>
        <w:tab/>
      </w:r>
      <w:r w:rsidRPr="00273106">
        <w:t xml:space="preserve">Nyní se můžeme </w:t>
      </w:r>
      <w:r>
        <w:t xml:space="preserve">vrátit k citovanému dílu </w:t>
      </w:r>
      <w:r w:rsidRPr="00273106">
        <w:rPr>
          <w:i/>
        </w:rPr>
        <w:t>De homine</w:t>
      </w:r>
      <w:r>
        <w:t>, které</w:t>
      </w:r>
      <w:r w:rsidRPr="00273106">
        <w:t xml:space="preserve"> poprvé v dějinách latinského Západu integrálně obhajuje Aristotelovo a  </w:t>
      </w:r>
      <w:r>
        <w:t>Averroes</w:t>
      </w:r>
      <w:r w:rsidRPr="00273106">
        <w:t xml:space="preserve">ovo pojetí praktického intelektu. Albert zrušil scénář etiky podle druhého averroismu, který </w:t>
      </w:r>
      <w:r>
        <w:t xml:space="preserve">neúspěšně </w:t>
      </w:r>
      <w:r w:rsidRPr="00273106">
        <w:t xml:space="preserve">prezentovali Kilwardby </w:t>
      </w:r>
      <w:r>
        <w:t xml:space="preserve">a </w:t>
      </w:r>
      <w:r w:rsidRPr="00273106">
        <w:t>Rufus v Paříži</w:t>
      </w:r>
      <w:r>
        <w:t xml:space="preserve">. V roce 1245 se do Oxfordu vrátil akademicky poražený Kilwardby a v roce 1250 jej následoval Rufus. Albertovo pojetí etiky přijaté biskupem Alvernem jako základ křesťanké etiky </w:t>
      </w:r>
      <w:r w:rsidR="0048559D">
        <w:t>„</w:t>
      </w:r>
      <w:r>
        <w:rPr>
          <w:i/>
        </w:rPr>
        <w:t>ad mentem Averro</w:t>
      </w:r>
      <w:r w:rsidRPr="08553429">
        <w:rPr>
          <w:i/>
        </w:rPr>
        <w:t>is</w:t>
      </w:r>
      <w:r w:rsidR="0048559D">
        <w:t>“</w:t>
      </w:r>
      <w:r>
        <w:t xml:space="preserve"> bylo hlavní příčinou jejich odchodu z Paříže zpět do bašty modernismu</w:t>
      </w:r>
      <w:r w:rsidR="00324883">
        <w:t xml:space="preserve"> na Oxfordu</w:t>
      </w:r>
      <w:r>
        <w:t xml:space="preserve">. </w:t>
      </w:r>
      <w:r w:rsidR="0048559D">
        <w:t xml:space="preserve">Albert </w:t>
      </w:r>
      <w:r>
        <w:t>zakotvil</w:t>
      </w:r>
      <w:r w:rsidRPr="00273106">
        <w:t xml:space="preserve"> etiku v jednání a činnosti</w:t>
      </w:r>
      <w:r>
        <w:t xml:space="preserve"> jednotlivce. P</w:t>
      </w:r>
      <w:r w:rsidRPr="00273106">
        <w:t xml:space="preserve">roto </w:t>
      </w:r>
      <w:r>
        <w:t>odmítl</w:t>
      </w:r>
      <w:r w:rsidRPr="00273106">
        <w:t xml:space="preserve"> </w:t>
      </w:r>
      <w:r>
        <w:t xml:space="preserve">základní předpoklad Rufusovy hypostázované </w:t>
      </w:r>
      <w:r w:rsidR="00962190">
        <w:rPr>
          <w:i/>
        </w:rPr>
        <w:t>species</w:t>
      </w:r>
      <w:r w:rsidRPr="00273106">
        <w:t xml:space="preserve"> </w:t>
      </w:r>
      <w:r>
        <w:t>dobra, která v sobě obsahuje i kauzální působení dané reálně</w:t>
      </w:r>
      <w:r w:rsidRPr="00273106">
        <w:t>.</w:t>
      </w:r>
      <w:r>
        <w:t xml:space="preserve"> Tato kauzalita je podle Alberta nesmysl, protože definice </w:t>
      </w:r>
      <w:r w:rsidR="002F23EB">
        <w:t xml:space="preserve">praktického </w:t>
      </w:r>
      <w:r>
        <w:t xml:space="preserve">intelektu </w:t>
      </w:r>
      <w:r w:rsidR="002F23EB">
        <w:t xml:space="preserve">daná jako esence </w:t>
      </w:r>
      <w:r>
        <w:t xml:space="preserve">má z podstaty </w:t>
      </w:r>
      <w:r w:rsidR="002F23EB">
        <w:t xml:space="preserve">věci </w:t>
      </w:r>
      <w:r>
        <w:t>pouze potenciální charakter.</w:t>
      </w:r>
      <w:r w:rsidRPr="087C7BEC">
        <w:t xml:space="preserve"> </w:t>
      </w:r>
      <w:r>
        <w:lastRenderedPageBreak/>
        <w:t>Objektivní definice jednání podle Rufuse a Kilwardbyho zrušila samotnou možnost, jak intelekt může být praktický.</w:t>
      </w:r>
    </w:p>
    <w:p w:rsidR="08163013" w:rsidRPr="00873BA1" w:rsidRDefault="08163013" w:rsidP="08163013">
      <w:pPr>
        <w:pStyle w:val="Citace"/>
        <w:rPr>
          <w:noProof/>
          <w:lang w:val="cs-CZ"/>
        </w:rPr>
      </w:pPr>
      <w:r w:rsidRPr="00273106">
        <w:rPr>
          <w:noProof/>
          <w:lang w:val="cs-CZ"/>
        </w:rPr>
        <w:t>„</w:t>
      </w:r>
      <w:r>
        <w:rPr>
          <w:noProof/>
          <w:lang w:val="cs-CZ"/>
        </w:rPr>
        <w:t>Filosof praví, že motivem</w:t>
      </w:r>
      <w:r w:rsidR="008A4F03">
        <w:rPr>
          <w:noProof/>
          <w:lang w:val="cs-CZ"/>
        </w:rPr>
        <w:t xml:space="preserve"> jednání je pouze chtěné dobro. </w:t>
      </w:r>
      <w:r w:rsidR="008A4F03" w:rsidRPr="008A4F03">
        <w:rPr>
          <w:noProof/>
          <w:lang w:val="cs-CZ"/>
        </w:rPr>
        <w:t xml:space="preserve">Je-li zdrojem vůle praktický intelekt, pak racionální vymezení dobra v tomto intelektu nestačí k určení </w:t>
      </w:r>
      <w:r w:rsidR="00FA4F23">
        <w:rPr>
          <w:noProof/>
          <w:lang w:val="cs-CZ"/>
        </w:rPr>
        <w:t>reálného</w:t>
      </w:r>
      <w:r w:rsidR="00D6465A">
        <w:rPr>
          <w:noProof/>
          <w:lang w:val="cs-CZ"/>
        </w:rPr>
        <w:t xml:space="preserve"> jednán</w:t>
      </w:r>
      <w:r w:rsidR="00FA4F23">
        <w:rPr>
          <w:noProof/>
          <w:lang w:val="cs-CZ"/>
        </w:rPr>
        <w:t>í</w:t>
      </w:r>
      <w:r>
        <w:rPr>
          <w:noProof/>
          <w:lang w:val="cs-CZ"/>
        </w:rPr>
        <w:t>.“ </w:t>
      </w:r>
      <w:r>
        <w:rPr>
          <w:rStyle w:val="Znakapoznpodarou"/>
        </w:rPr>
        <w:footnoteReference w:id="540"/>
      </w:r>
    </w:p>
    <w:p w:rsidR="004807BB" w:rsidRDefault="002C1BF5" w:rsidP="08163013">
      <w:r w:rsidRPr="002C1BF5">
        <w:t xml:space="preserve">Scénář etického poznání se řídí </w:t>
      </w:r>
      <w:r>
        <w:t xml:space="preserve">schématem </w:t>
      </w:r>
      <w:r w:rsidRPr="002C1BF5">
        <w:t xml:space="preserve">prvního averroismu. Jednání je určováno ve vztahu ke skutečnému dobru, které chce reálně existující člověk. </w:t>
      </w:r>
      <w:r w:rsidR="08163013" w:rsidRPr="00273106">
        <w:t>Nasvícení poznání může jít jedině se smyslů</w:t>
      </w:r>
      <w:r w:rsidR="08163013">
        <w:t xml:space="preserve"> a </w:t>
      </w:r>
      <w:r w:rsidR="08163013" w:rsidRPr="00273106">
        <w:t xml:space="preserve">v případě </w:t>
      </w:r>
      <w:r w:rsidR="08163013">
        <w:t xml:space="preserve">praktického intelektu pouze </w:t>
      </w:r>
      <w:r w:rsidR="08163013" w:rsidRPr="00273106">
        <w:t>ze smyslové žádosti (</w:t>
      </w:r>
      <w:r w:rsidR="08163013" w:rsidRPr="00273106">
        <w:rPr>
          <w:i/>
        </w:rPr>
        <w:t>nihil movet nisi in quantum est appetitivum</w:t>
      </w:r>
      <w:r w:rsidR="08163013" w:rsidRPr="00273106">
        <w:t>). Pak</w:t>
      </w:r>
      <w:r w:rsidR="08163013">
        <w:t xml:space="preserve"> modernisté nemají pravdu v tom, že teoretický výměr </w:t>
      </w:r>
      <w:r w:rsidR="08163013" w:rsidRPr="00273106">
        <w:t>dobr</w:t>
      </w:r>
      <w:r w:rsidR="08163013">
        <w:t>a (</w:t>
      </w:r>
      <w:r w:rsidR="08163013" w:rsidRPr="00273106">
        <w:rPr>
          <w:i/>
        </w:rPr>
        <w:t>in rationem boni tantum</w:t>
      </w:r>
      <w:r w:rsidR="08163013">
        <w:t xml:space="preserve">) ustavuje </w:t>
      </w:r>
      <w:r w:rsidR="00004F4A">
        <w:t xml:space="preserve">sám od sebe </w:t>
      </w:r>
      <w:r w:rsidR="08163013" w:rsidRPr="00273106">
        <w:t>kauzální působení praktického intelektu (</w:t>
      </w:r>
      <w:r w:rsidR="08163013" w:rsidRPr="00273106">
        <w:rPr>
          <w:i/>
        </w:rPr>
        <w:t>non videbitur hoc sufficere</w:t>
      </w:r>
      <w:r w:rsidR="08163013" w:rsidRPr="00273106">
        <w:t xml:space="preserve">). Praktický intelekt </w:t>
      </w:r>
      <w:r w:rsidR="08163013">
        <w:rPr>
          <w:i/>
        </w:rPr>
        <w:fldChar w:fldCharType="begin"/>
      </w:r>
      <w:r w:rsidR="08163013">
        <w:instrText xml:space="preserve"> XE "</w:instrText>
      </w:r>
      <w:r w:rsidR="08163013" w:rsidRPr="001A1255">
        <w:rPr>
          <w:i/>
        </w:rPr>
        <w:instrText>intellectus practicus</w:instrText>
      </w:r>
      <w:r w:rsidR="08163013">
        <w:instrText xml:space="preserve">" </w:instrText>
      </w:r>
      <w:r w:rsidR="08163013">
        <w:rPr>
          <w:i/>
        </w:rPr>
        <w:fldChar w:fldCharType="end"/>
      </w:r>
      <w:r w:rsidR="08163013" w:rsidRPr="00273106">
        <w:t>integruje žád</w:t>
      </w:r>
      <w:r w:rsidR="08163013">
        <w:t xml:space="preserve">ostivost a vůli do svého pohybu, protože jedině tento pohyb </w:t>
      </w:r>
      <w:r w:rsidR="00CB3913">
        <w:t xml:space="preserve">v sobě </w:t>
      </w:r>
      <w:r w:rsidR="08163013">
        <w:t xml:space="preserve">nese aktualitu </w:t>
      </w:r>
      <w:r w:rsidR="08163013" w:rsidRPr="00273106">
        <w:t>(</w:t>
      </w:r>
      <w:r w:rsidR="08163013" w:rsidRPr="00273106">
        <w:rPr>
          <w:i/>
        </w:rPr>
        <w:t>intellectus practicus sit movens</w:t>
      </w:r>
      <w:r w:rsidR="08163013">
        <w:t>). Smyslová žádost aktualizující praktický intelekt jej vede k realizaci prakticky poznaného dobra</w:t>
      </w:r>
      <w:r w:rsidR="08163013" w:rsidRPr="00273106">
        <w:t xml:space="preserve">. </w:t>
      </w:r>
      <w:r w:rsidR="08163013">
        <w:t xml:space="preserve">Bez aktualizace ze smyslů by intelekt neměl praktické poznání, protože lidský intelekt je čistá </w:t>
      </w:r>
      <w:r w:rsidR="08163013" w:rsidRPr="008321E0">
        <w:rPr>
          <w:i/>
        </w:rPr>
        <w:t>tabula rasa</w:t>
      </w:r>
      <w:r w:rsidR="08163013">
        <w:rPr>
          <w:i/>
        </w:rPr>
        <w:fldChar w:fldCharType="begin"/>
      </w:r>
      <w:r w:rsidR="08163013">
        <w:instrText xml:space="preserve"> XE "</w:instrText>
      </w:r>
      <w:r w:rsidR="08163013" w:rsidRPr="00CE6D17">
        <w:rPr>
          <w:i/>
        </w:rPr>
        <w:instrText>tabula rasa</w:instrText>
      </w:r>
      <w:r w:rsidR="08163013">
        <w:instrText xml:space="preserve">" </w:instrText>
      </w:r>
      <w:r w:rsidR="08163013">
        <w:rPr>
          <w:i/>
        </w:rPr>
        <w:fldChar w:fldCharType="end"/>
      </w:r>
      <w:r w:rsidR="08163013">
        <w:t xml:space="preserve"> a jeho závěry jsou pouze univerzální a potenciální.</w:t>
      </w:r>
      <w:r w:rsidR="08163013" w:rsidRPr="00273106">
        <w:rPr>
          <w:rStyle w:val="Znakapoznpodarou"/>
        </w:rPr>
        <w:footnoteReference w:id="541"/>
      </w:r>
      <w:r w:rsidR="08163013">
        <w:t xml:space="preserve"> Albertovo pojetí </w:t>
      </w:r>
      <w:r w:rsidR="08163013" w:rsidRPr="00BB260F">
        <w:rPr>
          <w:i/>
        </w:rPr>
        <w:t>intellectus practicus</w:t>
      </w:r>
      <w:r w:rsidR="08163013">
        <w:t xml:space="preserve"> v </w:t>
      </w:r>
      <w:r w:rsidR="08163013" w:rsidRPr="00BB260F">
        <w:rPr>
          <w:i/>
        </w:rPr>
        <w:t>De homine</w:t>
      </w:r>
      <w:r w:rsidR="08163013">
        <w:t xml:space="preserve">, </w:t>
      </w:r>
      <w:r w:rsidR="08163013">
        <w:rPr>
          <w:rStyle w:val="addmd"/>
        </w:rPr>
        <w:t xml:space="preserve">q. 63 </w:t>
      </w:r>
      <w:r w:rsidR="008A2688">
        <w:rPr>
          <w:rStyle w:val="addmd"/>
        </w:rPr>
        <w:t xml:space="preserve">udělalo skutečné </w:t>
      </w:r>
      <w:r w:rsidR="008A2688" w:rsidRPr="008A2688">
        <w:rPr>
          <w:rStyle w:val="addmd"/>
          <w:i/>
        </w:rPr>
        <w:t>revolutio</w:t>
      </w:r>
      <w:r w:rsidR="008A2688">
        <w:rPr>
          <w:rStyle w:val="addmd"/>
        </w:rPr>
        <w:t xml:space="preserve"> zpět k Aristotelovi, a ne moderní a sofistikou </w:t>
      </w:r>
      <w:r w:rsidR="08163013">
        <w:t>revol</w:t>
      </w:r>
      <w:r w:rsidR="008A2688">
        <w:t xml:space="preserve">uci. Kritická exegeze </w:t>
      </w:r>
      <w:r w:rsidR="08163013">
        <w:t>Alberta vrátil</w:t>
      </w:r>
      <w:r w:rsidR="008A2688">
        <w:t>a</w:t>
      </w:r>
      <w:r w:rsidR="08163013">
        <w:t xml:space="preserve"> spekulace modernistů zpět ke skutečnému výkladu Aristotelova díla podle Komentátora. Modernistická dedukce zrušila praktick</w:t>
      </w:r>
      <w:r w:rsidR="00F471A6">
        <w:t>ý intelekt jako jedinečnou příčinu</w:t>
      </w:r>
      <w:r w:rsidR="08163013">
        <w:t xml:space="preserve">, která působí účinky v řádu prvních substancí. </w:t>
      </w:r>
      <w:r w:rsidR="08163013" w:rsidRPr="00273106">
        <w:t xml:space="preserve">Další dvě kritické otázky </w:t>
      </w:r>
      <w:r w:rsidR="08163013">
        <w:t xml:space="preserve">spisu </w:t>
      </w:r>
      <w:r w:rsidR="08163013" w:rsidRPr="00940E96">
        <w:rPr>
          <w:i/>
        </w:rPr>
        <w:t>De homine</w:t>
      </w:r>
      <w:r w:rsidR="08163013">
        <w:t xml:space="preserve"> </w:t>
      </w:r>
      <w:r w:rsidR="08163013" w:rsidRPr="00273106">
        <w:t xml:space="preserve">se týkají chybně postaveného etického intelektualismu, který pojednává praktický intelekt z </w:t>
      </w:r>
      <w:r w:rsidR="08163013">
        <w:t>neoplatonsk</w:t>
      </w:r>
      <w:r w:rsidR="08163013" w:rsidRPr="00273106">
        <w:t xml:space="preserve">é perspektivy </w:t>
      </w:r>
      <w:r w:rsidR="08163013">
        <w:t>Toledské školy</w:t>
      </w:r>
      <w:r w:rsidR="08163013">
        <w:fldChar w:fldCharType="begin"/>
      </w:r>
      <w:r w:rsidR="08163013">
        <w:instrText xml:space="preserve"> XE "</w:instrText>
      </w:r>
      <w:r w:rsidR="08163013" w:rsidRPr="08020F15">
        <w:instrText>Toledská škola</w:instrText>
      </w:r>
      <w:r w:rsidR="08163013">
        <w:instrText xml:space="preserve">" </w:instrText>
      </w:r>
      <w:r w:rsidR="08163013">
        <w:fldChar w:fldCharType="end"/>
      </w:r>
      <w:r w:rsidR="08163013">
        <w:t xml:space="preserve"> </w:t>
      </w:r>
      <w:r w:rsidR="08163013" w:rsidRPr="00273106">
        <w:t>a upřednostňuje teoretický pohled nad etickým.</w:t>
      </w:r>
      <w:r w:rsidR="08163013" w:rsidRPr="00273106">
        <w:rPr>
          <w:rStyle w:val="Znakapoznpodarou"/>
        </w:rPr>
        <w:footnoteReference w:id="542"/>
      </w:r>
      <w:r w:rsidR="08163013" w:rsidRPr="00273106">
        <w:t xml:space="preserve"> Albert odmítá oba postupy jako aporetické a zásadně je reviduje odkazem na </w:t>
      </w:r>
      <w:r w:rsidR="08163013">
        <w:t xml:space="preserve">Komentátorův výklad </w:t>
      </w:r>
      <w:r w:rsidR="08163013" w:rsidRPr="08CB09E1">
        <w:rPr>
          <w:i/>
        </w:rPr>
        <w:t>Etiky</w:t>
      </w:r>
      <w:r w:rsidR="08163013" w:rsidRPr="00273106">
        <w:t>. Praktický intelekt musí být nasvícen zepředu, od reálného jednání a od reálné žádostivosti dané nejprve smyslově. Jedině t</w:t>
      </w:r>
      <w:r w:rsidR="08163013">
        <w:t>ato determinace</w:t>
      </w:r>
      <w:r w:rsidR="08163013" w:rsidRPr="00273106">
        <w:t xml:space="preserve"> morálního jednání </w:t>
      </w:r>
      <w:r w:rsidR="08163013">
        <w:t xml:space="preserve">daná nasvícením </w:t>
      </w:r>
      <w:r w:rsidR="00FD5D01">
        <w:t xml:space="preserve">praktického intelektu </w:t>
      </w:r>
      <w:r w:rsidR="08163013">
        <w:t xml:space="preserve">zepředu </w:t>
      </w:r>
      <w:r w:rsidR="08163013" w:rsidRPr="00273106">
        <w:lastRenderedPageBreak/>
        <w:t>zajišťuje prakti</w:t>
      </w:r>
      <w:r w:rsidR="00AC6BF4">
        <w:t>cký</w:t>
      </w:r>
      <w:r w:rsidR="08163013">
        <w:t xml:space="preserve"> sylogismu</w:t>
      </w:r>
      <w:r w:rsidR="00AC6BF4">
        <w:t>s</w:t>
      </w:r>
      <w:r w:rsidR="08163013">
        <w:t xml:space="preserve"> podle principu </w:t>
      </w:r>
      <w:r w:rsidR="08A649EB">
        <w:t xml:space="preserve">ex </w:t>
      </w:r>
      <w:r w:rsidR="08A649EB">
        <w:rPr>
          <w:i/>
        </w:rPr>
        <w:t>inmediatis</w:t>
      </w:r>
      <w:r w:rsidR="08163013">
        <w:rPr>
          <w:i/>
        </w:rPr>
        <w:fldChar w:fldCharType="begin"/>
      </w:r>
      <w:r w:rsidR="08163013">
        <w:instrText xml:space="preserve"> XE "princip </w:instrText>
      </w:r>
      <w:r w:rsidR="08A649EB">
        <w:rPr>
          <w:i/>
        </w:rPr>
        <w:instrText>ex in</w:instrText>
      </w:r>
      <w:r w:rsidR="08163013" w:rsidRPr="00247148">
        <w:rPr>
          <w:i/>
        </w:rPr>
        <w:instrText>mediatis</w:instrText>
      </w:r>
      <w:r w:rsidR="08163013">
        <w:instrText xml:space="preserve">" </w:instrText>
      </w:r>
      <w:r w:rsidR="08163013">
        <w:rPr>
          <w:i/>
        </w:rPr>
        <w:fldChar w:fldCharType="end"/>
      </w:r>
      <w:r w:rsidR="08163013" w:rsidRPr="00273106">
        <w:t xml:space="preserve"> daného ve </w:t>
      </w:r>
      <w:r w:rsidR="08163013" w:rsidRPr="08CB09E1">
        <w:rPr>
          <w:i/>
        </w:rPr>
        <w:t>Druhých analytikách</w:t>
      </w:r>
      <w:r w:rsidR="08163013">
        <w:t xml:space="preserve"> (kap. 4.4.1)</w:t>
      </w:r>
      <w:r w:rsidR="08163013" w:rsidRPr="00273106">
        <w:t xml:space="preserve">. Albert se nyní může vrátit k původní definici praktického intelektu jako </w:t>
      </w:r>
      <w:r w:rsidR="004807BB">
        <w:t>extenzi teoretického intelektu.</w:t>
      </w:r>
    </w:p>
    <w:p w:rsidR="08163013" w:rsidRPr="00273106" w:rsidRDefault="08163013" w:rsidP="004807BB">
      <w:pPr>
        <w:ind w:firstLine="397"/>
      </w:pPr>
      <w:r w:rsidRPr="00273106">
        <w:t>Pro další v</w:t>
      </w:r>
      <w:r>
        <w:t xml:space="preserve">ývoj politické teorie je klíčový výklad </w:t>
      </w:r>
      <w:r w:rsidRPr="00273106">
        <w:t>dvojí</w:t>
      </w:r>
      <w:r>
        <w:t>ho typu poznání</w:t>
      </w:r>
      <w:r w:rsidRPr="00273106">
        <w:t xml:space="preserve"> </w:t>
      </w:r>
      <w:r w:rsidR="00740A06">
        <w:t xml:space="preserve">daného odděleně </w:t>
      </w:r>
      <w:r w:rsidRPr="00273106">
        <w:t>pro teor</w:t>
      </w:r>
      <w:r>
        <w:t>etický a pro praktický intelekt</w:t>
      </w:r>
      <w:r w:rsidR="00740A06">
        <w:t xml:space="preserve">. Albert </w:t>
      </w:r>
      <w:r w:rsidRPr="00273106">
        <w:t>brán</w:t>
      </w:r>
      <w:r w:rsidR="001A02DB">
        <w:t>il</w:t>
      </w:r>
      <w:r>
        <w:t xml:space="preserve"> autonomii obou typů intelektu </w:t>
      </w:r>
      <w:r w:rsidRPr="00273106">
        <w:t>v soulad</w:t>
      </w:r>
      <w:r>
        <w:t xml:space="preserve">u s výkladem </w:t>
      </w:r>
      <w:r w:rsidRPr="08CB09E1">
        <w:rPr>
          <w:i/>
        </w:rPr>
        <w:t>Etiky Nikomachovy</w:t>
      </w:r>
      <w:r w:rsidRPr="00273106">
        <w:t xml:space="preserve">. </w:t>
      </w:r>
      <w:r>
        <w:rPr>
          <w:rStyle w:val="addmd"/>
        </w:rPr>
        <w:t>Následný postmoderní spor o autonomii praktického rozumu najdeme v Kantově</w:t>
      </w:r>
      <w:r>
        <w:t xml:space="preserve"> </w:t>
      </w:r>
      <w:r w:rsidRPr="089A2BC7">
        <w:rPr>
          <w:i/>
        </w:rPr>
        <w:t>Kritice praktického rozumu</w:t>
      </w:r>
      <w:r>
        <w:rPr>
          <w:rStyle w:val="addmd"/>
        </w:rPr>
        <w:t>.</w:t>
      </w:r>
      <w:r w:rsidRPr="00273106">
        <w:rPr>
          <w:rStyle w:val="addmd"/>
        </w:rPr>
        <w:t xml:space="preserve"> </w:t>
      </w:r>
      <w:r>
        <w:t>A</w:t>
      </w:r>
      <w:r w:rsidRPr="00366F0E">
        <w:t>utodeterminace objektivně</w:t>
      </w:r>
      <w:r>
        <w:t xml:space="preserve"> dané vůle v Kantově druhé kritice </w:t>
      </w:r>
      <w:r w:rsidR="006566AC">
        <w:t xml:space="preserve">ale </w:t>
      </w:r>
      <w:r>
        <w:t>sled</w:t>
      </w:r>
      <w:r w:rsidR="00800254">
        <w:t>uje Oliviho ipseitu vůle (</w:t>
      </w:r>
      <w:proofErr w:type="gramStart"/>
      <w:r w:rsidR="00800254">
        <w:t xml:space="preserve">kap. </w:t>
      </w:r>
      <w:r>
        <w:t>.1.1</w:t>
      </w:r>
      <w:proofErr w:type="gramEnd"/>
      <w:r>
        <w:t xml:space="preserve">). Kantova odpověď na extenzi teoretického rozumu do praktického sleduje scénář </w:t>
      </w:r>
      <w:r w:rsidRPr="08574A8C">
        <w:rPr>
          <w:i/>
        </w:rPr>
        <w:t>Modernorum</w:t>
      </w:r>
      <w:r>
        <w:t xml:space="preserve"> (</w:t>
      </w:r>
      <w:r w:rsidRPr="008F14A2">
        <w:rPr>
          <w:i/>
        </w:rPr>
        <w:t>Satz a priori wodurch</w:t>
      </w:r>
      <w:r>
        <w:t xml:space="preserve">... </w:t>
      </w:r>
      <w:r w:rsidRPr="008F14A2">
        <w:rPr>
          <w:i/>
        </w:rPr>
        <w:t>Wille unmittelbar objectiv bestimmt wird</w:t>
      </w:r>
      <w:r>
        <w:t>).</w:t>
      </w:r>
      <w:r w:rsidRPr="00273106">
        <w:rPr>
          <w:rStyle w:val="Znakapoznpodarou"/>
        </w:rPr>
        <w:footnoteReference w:id="543"/>
      </w:r>
      <w:r>
        <w:t xml:space="preserve"> Kant odvodil schéma kauzality pro praktický rozum z teoretického intelektu, což první averroimus zásadně odmítl (</w:t>
      </w:r>
      <w:r w:rsidRPr="08E86FB6">
        <w:rPr>
          <w:i/>
        </w:rPr>
        <w:t>reine, an sich praktische Vernunft ist hier unmittelbar gesetzgebend</w:t>
      </w:r>
      <w:r w:rsidR="00800254">
        <w:t xml:space="preserve">). </w:t>
      </w:r>
      <w:r w:rsidR="004A6BD4">
        <w:t xml:space="preserve">Dílo </w:t>
      </w:r>
      <w:r w:rsidR="004A6BD4">
        <w:rPr>
          <w:i/>
        </w:rPr>
        <w:t>Kritika</w:t>
      </w:r>
      <w:r w:rsidR="004A6BD4" w:rsidRPr="089A2BC7">
        <w:rPr>
          <w:i/>
        </w:rPr>
        <w:t xml:space="preserve"> </w:t>
      </w:r>
      <w:r w:rsidR="004A6BD4">
        <w:rPr>
          <w:i/>
        </w:rPr>
        <w:t xml:space="preserve">praktického </w:t>
      </w:r>
      <w:r w:rsidR="004A6BD4" w:rsidRPr="089A2BC7">
        <w:rPr>
          <w:i/>
        </w:rPr>
        <w:t>rozumu</w:t>
      </w:r>
      <w:r w:rsidR="004A6BD4">
        <w:rPr>
          <w:i/>
        </w:rPr>
        <w:t xml:space="preserve"> </w:t>
      </w:r>
      <w:r w:rsidR="004A6BD4">
        <w:t xml:space="preserve">používá </w:t>
      </w:r>
      <w:r w:rsidR="00800254">
        <w:t xml:space="preserve">stejný model </w:t>
      </w:r>
      <w:r>
        <w:t xml:space="preserve">transcendentální dedukce </w:t>
      </w:r>
      <w:r w:rsidR="004A6BD4">
        <w:t xml:space="preserve">pro </w:t>
      </w:r>
      <w:r>
        <w:t>praktick</w:t>
      </w:r>
      <w:r w:rsidR="004A6BD4">
        <w:t xml:space="preserve">ý </w:t>
      </w:r>
      <w:proofErr w:type="gramStart"/>
      <w:r>
        <w:t>int</w:t>
      </w:r>
      <w:r w:rsidR="00800254">
        <w:t xml:space="preserve">elekt </w:t>
      </w:r>
      <w:r>
        <w:t>jako</w:t>
      </w:r>
      <w:proofErr w:type="gramEnd"/>
      <w:r>
        <w:t xml:space="preserve"> měla </w:t>
      </w:r>
      <w:r w:rsidR="00436D98">
        <w:rPr>
          <w:i/>
        </w:rPr>
        <w:t>Kritika</w:t>
      </w:r>
      <w:r w:rsidR="00436D98" w:rsidRPr="089A2BC7">
        <w:rPr>
          <w:i/>
        </w:rPr>
        <w:t xml:space="preserve"> </w:t>
      </w:r>
      <w:r w:rsidR="00436D98">
        <w:rPr>
          <w:i/>
        </w:rPr>
        <w:t xml:space="preserve">čistého </w:t>
      </w:r>
      <w:r w:rsidR="00436D98" w:rsidRPr="089A2BC7">
        <w:rPr>
          <w:i/>
        </w:rPr>
        <w:t>rozumu</w:t>
      </w:r>
      <w:r w:rsidR="00436D98">
        <w:rPr>
          <w:i/>
        </w:rPr>
        <w:t xml:space="preserve"> </w:t>
      </w:r>
      <w:r>
        <w:t>pro teoreti</w:t>
      </w:r>
      <w:r w:rsidR="00986419">
        <w:t>cký intelekt podle Scota (kap. 5</w:t>
      </w:r>
      <w:r w:rsidR="00800254">
        <w:t>.4.4</w:t>
      </w:r>
      <w:r>
        <w:t>). Podle prvního averroismu nemůž</w:t>
      </w:r>
      <w:r w:rsidR="00800254">
        <w:t xml:space="preserve">e být teoretický intelekt nikdy </w:t>
      </w:r>
      <w:r>
        <w:t>bezprostředně praktický, protože ne</w:t>
      </w:r>
      <w:r w:rsidR="00DB5DB2">
        <w:t xml:space="preserve">může </w:t>
      </w:r>
      <w:r w:rsidR="00F62F4B">
        <w:t xml:space="preserve">přímo </w:t>
      </w:r>
      <w:r>
        <w:t xml:space="preserve">působit v realitě. K výkonu přímé kauzality potřebuje potenciální teoretický intelekt příslušné mediační diafanum, což je praktický intelekt. </w:t>
      </w:r>
      <w:r w:rsidRPr="00273106">
        <w:t xml:space="preserve">Extenze teoretického poznání do praxe </w:t>
      </w:r>
      <w:r>
        <w:t xml:space="preserve">podle Alberta </w:t>
      </w:r>
      <w:r w:rsidRPr="00273106">
        <w:t xml:space="preserve">znamená, že teoretický a praktický intelekt není determinován stejným pojetím pravdy, protože nemá stejný předmět poznání. Opět je ve hře </w:t>
      </w:r>
      <w:r>
        <w:t>Averroes</w:t>
      </w:r>
      <w:r w:rsidRPr="00273106">
        <w:t xml:space="preserve">ovo pojetí pravdy jako </w:t>
      </w:r>
      <w:r w:rsidRPr="00273106">
        <w:rPr>
          <w:i/>
        </w:rPr>
        <w:t>proportio</w:t>
      </w:r>
      <w:r w:rsidRPr="00273106">
        <w:t xml:space="preserve">, čili adekvace intelektu vzhledem k </w:t>
      </w:r>
      <w:r>
        <w:t xml:space="preserve">rodově určenému </w:t>
      </w:r>
      <w:r w:rsidRPr="00273106">
        <w:t>objektu poznání. Cílem teoretického inte</w:t>
      </w:r>
      <w:r>
        <w:t>le</w:t>
      </w:r>
      <w:r w:rsidRPr="00273106">
        <w:t>ktu je poznání, ale praktický rozum směřuje k činnosti dané v hotovém skutku či díle</w:t>
      </w:r>
      <w:r>
        <w:t xml:space="preserve">, které je dáno reálně a </w:t>
      </w:r>
      <w:r w:rsidR="000D06FB">
        <w:t>personálně</w:t>
      </w:r>
      <w:r w:rsidRPr="00273106">
        <w:t xml:space="preserve">. </w:t>
      </w:r>
      <w:r>
        <w:t xml:space="preserve">Oba rody se od sebe zásadně liší a tím i činnost a pravda daná v obou druzích intelektu. </w:t>
      </w:r>
      <w:r w:rsidRPr="00273106">
        <w:t>Extenze teoretického intelektu do praktického jde směrem k</w:t>
      </w:r>
      <w:r w:rsidR="00D70FEE">
        <w:t xml:space="preserve"> reálnému </w:t>
      </w:r>
      <w:r w:rsidRPr="00273106">
        <w:t xml:space="preserve">jednání a </w:t>
      </w:r>
      <w:r w:rsidR="00D70FEE">
        <w:t xml:space="preserve">osobnímu </w:t>
      </w:r>
      <w:r w:rsidRPr="00273106">
        <w:t>chtění</w:t>
      </w:r>
      <w:r>
        <w:fldChar w:fldCharType="begin"/>
      </w:r>
      <w:r>
        <w:instrText xml:space="preserve"> XE "etika:Albert" </w:instrText>
      </w:r>
      <w:r>
        <w:fldChar w:fldCharType="end"/>
      </w:r>
      <w:r w:rsidRPr="00273106">
        <w:t xml:space="preserve">. Albert respektuje pořadí obou intelektů dané v tezi o primátu teoretického nazírání </w:t>
      </w:r>
      <w:r>
        <w:rPr>
          <w:i/>
        </w:rPr>
        <w:fldChar w:fldCharType="begin"/>
      </w:r>
      <w:r>
        <w:instrText xml:space="preserve"> XE "intelekt:</w:instrText>
      </w:r>
      <w:r w:rsidRPr="000614C2">
        <w:rPr>
          <w:i/>
        </w:rPr>
        <w:instrText>extensione fit practicus</w:instrText>
      </w:r>
      <w:r>
        <w:instrText xml:space="preserve">" </w:instrText>
      </w:r>
      <w:r>
        <w:rPr>
          <w:i/>
        </w:rPr>
        <w:fldChar w:fldCharType="end"/>
      </w:r>
      <w:r w:rsidRPr="00273106">
        <w:rPr>
          <w:rStyle w:val="addmd"/>
        </w:rPr>
        <w:t xml:space="preserve">podle Aristotela vykládaného </w:t>
      </w:r>
      <w:r>
        <w:rPr>
          <w:rStyle w:val="addmd"/>
        </w:rPr>
        <w:t>Averroes</w:t>
      </w:r>
      <w:r w:rsidRPr="00273106">
        <w:rPr>
          <w:rStyle w:val="addmd"/>
        </w:rPr>
        <w:t>em a ne Avicennou.</w:t>
      </w:r>
      <w:r>
        <w:rPr>
          <w:rStyle w:val="addmd"/>
        </w:rPr>
        <w:t xml:space="preserve"> </w:t>
      </w:r>
      <w:r w:rsidRPr="00273106">
        <w:t xml:space="preserve">Vyhlášení války moderním avicennistům </w:t>
      </w:r>
      <w:r>
        <w:t xml:space="preserve">kvůli jejich chybnému pojetí etiky </w:t>
      </w:r>
      <w:r w:rsidRPr="00273106">
        <w:t xml:space="preserve">vypadá následovně. </w:t>
      </w:r>
    </w:p>
    <w:p w:rsidR="08163013" w:rsidRPr="00FE7495" w:rsidRDefault="08163013" w:rsidP="08163013">
      <w:pPr>
        <w:pStyle w:val="Citace"/>
        <w:rPr>
          <w:noProof/>
          <w:lang w:val="cs-CZ"/>
        </w:rPr>
      </w:pPr>
      <w:r w:rsidRPr="00273106">
        <w:rPr>
          <w:noProof/>
          <w:lang w:val="cs-CZ"/>
        </w:rPr>
        <w:lastRenderedPageBreak/>
        <w:t>„</w:t>
      </w:r>
      <w:r>
        <w:rPr>
          <w:noProof/>
          <w:lang w:val="cs-CZ"/>
        </w:rPr>
        <w:t>K dalšímu je třeba říci, že dobro je v intelektu dáno až po pravdě</w:t>
      </w:r>
      <w:r w:rsidR="00BE2BCD">
        <w:rPr>
          <w:noProof/>
          <w:lang w:val="cs-CZ"/>
        </w:rPr>
        <w:t xml:space="preserve"> </w:t>
      </w:r>
      <w:r w:rsidR="00BE2BCD">
        <w:rPr>
          <w:lang w:val="de-DE"/>
        </w:rPr>
        <w:t>(</w:t>
      </w:r>
      <w:r w:rsidR="00BE2BCD" w:rsidRPr="00CF03E1">
        <w:rPr>
          <w:i/>
          <w:noProof/>
        </w:rPr>
        <w:t>bonum est post verum in intellectu</w:t>
      </w:r>
      <w:r w:rsidR="00BE2BCD">
        <w:rPr>
          <w:lang w:val="de-DE"/>
        </w:rPr>
        <w:t>)</w:t>
      </w:r>
      <w:r>
        <w:rPr>
          <w:noProof/>
          <w:lang w:val="cs-CZ"/>
        </w:rPr>
        <w:t xml:space="preserve">. Pravda je dána ve výměru univerzální </w:t>
      </w:r>
      <w:r w:rsidR="00962190" w:rsidRPr="00CE71DE">
        <w:rPr>
          <w:noProof/>
          <w:lang w:val="cs-CZ"/>
        </w:rPr>
        <w:t>species</w:t>
      </w:r>
      <w:r>
        <w:rPr>
          <w:noProof/>
          <w:lang w:val="cs-CZ"/>
        </w:rPr>
        <w:t xml:space="preserve">, dobro naopak v </w:t>
      </w:r>
      <w:r w:rsidR="004410BA">
        <w:rPr>
          <w:noProof/>
          <w:lang w:val="cs-CZ"/>
        </w:rPr>
        <w:t>osobním</w:t>
      </w:r>
      <w:r>
        <w:rPr>
          <w:noProof/>
          <w:lang w:val="cs-CZ"/>
        </w:rPr>
        <w:t xml:space="preserve"> jednání. Proto je třeba rozšířit působnost teoretického intelektu nad to, co je mu vlastní jako intelektu. Podstatou intelektu, nakolik je intelektem, je jeho zakotvení v univerzalitě. </w:t>
      </w:r>
      <w:r w:rsidR="00CE71DE">
        <w:rPr>
          <w:noProof/>
          <w:lang w:val="cs-CZ"/>
        </w:rPr>
        <w:t>P</w:t>
      </w:r>
      <w:r>
        <w:rPr>
          <w:noProof/>
          <w:lang w:val="cs-CZ"/>
        </w:rPr>
        <w:t>okud má být praktickým, pak musí rozšířit své působení až k</w:t>
      </w:r>
      <w:r w:rsidR="004410BA">
        <w:rPr>
          <w:noProof/>
          <w:lang w:val="cs-CZ"/>
        </w:rPr>
        <w:t xml:space="preserve"> osobnímu </w:t>
      </w:r>
      <w:r>
        <w:rPr>
          <w:noProof/>
          <w:lang w:val="cs-CZ"/>
        </w:rPr>
        <w:t>jednání, které zakládá praxi (</w:t>
      </w:r>
      <w:r w:rsidRPr="00397B19">
        <w:rPr>
          <w:i/>
          <w:noProof/>
        </w:rPr>
        <w:t>extendi ad particularia in quibus est ipsa praxis</w:t>
      </w:r>
      <w:r>
        <w:rPr>
          <w:noProof/>
          <w:lang w:val="cs-CZ"/>
        </w:rPr>
        <w:t>).“ </w:t>
      </w:r>
      <w:r>
        <w:rPr>
          <w:rStyle w:val="Znakapoznpodarou"/>
        </w:rPr>
        <w:footnoteReference w:id="544"/>
      </w:r>
    </w:p>
    <w:p w:rsidR="002861C3" w:rsidRPr="002861C3" w:rsidRDefault="08163013" w:rsidP="002861C3">
      <w:r w:rsidRPr="00273106">
        <w:t>První věta o primátu pravdy nad dobrem v lidském intelektu má rozhodující význam pro další utváření politické teorie (</w:t>
      </w:r>
      <w:r w:rsidRPr="00273106">
        <w:rPr>
          <w:i/>
        </w:rPr>
        <w:t>bonum est post verum in intellectu</w:t>
      </w:r>
      <w:r w:rsidRPr="00273106">
        <w:t xml:space="preserve">). </w:t>
      </w:r>
      <w:r>
        <w:t>Výklad dává správné pořadí praktického poznání podle Aristotela, a ne podle primátu dobra jako hypostázované</w:t>
      </w:r>
      <w:r w:rsidRPr="08C0676D">
        <w:rPr>
          <w:i/>
        </w:rPr>
        <w:t xml:space="preserve"> </w:t>
      </w:r>
      <w:r w:rsidR="00962190" w:rsidRPr="003554DD">
        <w:t>species</w:t>
      </w:r>
      <w:r>
        <w:t xml:space="preserve">. Primát pravdy sledovaný skrze teoretický intelekt musí určovat jakékoliv poznání. Ale to v žádném případě neznamená, že poznání samo o sobě produkuje čin, jak si mysleli a dodnes myslí akademičtí modernisté. </w:t>
      </w:r>
      <w:r w:rsidRPr="00273106">
        <w:t xml:space="preserve">Nový </w:t>
      </w:r>
      <w:r>
        <w:t xml:space="preserve">výklad etické racionality </w:t>
      </w:r>
      <w:r w:rsidRPr="00273106">
        <w:t>je postaven podle </w:t>
      </w:r>
      <w:r>
        <w:t xml:space="preserve">výkladu intelektu </w:t>
      </w:r>
      <w:r w:rsidRPr="00273106">
        <w:t xml:space="preserve">v CMDA. </w:t>
      </w:r>
      <w:r w:rsidRPr="00273106">
        <w:rPr>
          <w:rStyle w:val="addmd"/>
        </w:rPr>
        <w:t>Protože cíle obou intelektů nejsou stejné</w:t>
      </w:r>
      <w:r>
        <w:rPr>
          <w:rStyle w:val="addmd"/>
        </w:rPr>
        <w:t>, pak se zásadně liší povaha obou intelektů (</w:t>
      </w:r>
      <w:r w:rsidRPr="00782350">
        <w:rPr>
          <w:rStyle w:val="addmd"/>
          <w:i/>
        </w:rPr>
        <w:t>proprium</w:t>
      </w:r>
      <w:r>
        <w:rPr>
          <w:rStyle w:val="addmd"/>
        </w:rPr>
        <w:t xml:space="preserve">). </w:t>
      </w:r>
      <w:r w:rsidRPr="00273106">
        <w:rPr>
          <w:rStyle w:val="addmd"/>
        </w:rPr>
        <w:t xml:space="preserve">Primát teoretického intelektu je </w:t>
      </w:r>
      <w:r>
        <w:rPr>
          <w:rStyle w:val="addmd"/>
        </w:rPr>
        <w:t xml:space="preserve">dán </w:t>
      </w:r>
      <w:r w:rsidR="00CE2861">
        <w:rPr>
          <w:rStyle w:val="addmd"/>
        </w:rPr>
        <w:t xml:space="preserve">v universalitě </w:t>
      </w:r>
      <w:r>
        <w:rPr>
          <w:rStyle w:val="addmd"/>
        </w:rPr>
        <w:t xml:space="preserve">poznání produkované </w:t>
      </w:r>
      <w:r w:rsidRPr="00273106">
        <w:rPr>
          <w:rStyle w:val="addmd"/>
        </w:rPr>
        <w:t xml:space="preserve">skrze inteligibilní </w:t>
      </w:r>
      <w:r w:rsidR="00962190">
        <w:rPr>
          <w:rStyle w:val="addmd"/>
          <w:i/>
        </w:rPr>
        <w:t>species</w:t>
      </w:r>
      <w:r w:rsidRPr="00273106">
        <w:rPr>
          <w:rStyle w:val="addmd"/>
        </w:rPr>
        <w:t xml:space="preserve"> (</w:t>
      </w:r>
      <w:r w:rsidRPr="00273106">
        <w:rPr>
          <w:i/>
        </w:rPr>
        <w:t>verum enim est in ratione speciei universalis</w:t>
      </w:r>
      <w:r w:rsidRPr="00273106">
        <w:rPr>
          <w:rStyle w:val="addmd"/>
        </w:rPr>
        <w:t xml:space="preserve">). Naopak praktický intelekt směřuje k partikulárnímu jednání </w:t>
      </w:r>
      <w:r>
        <w:rPr>
          <w:rStyle w:val="addmd"/>
        </w:rPr>
        <w:t xml:space="preserve">a produkovaném skutku či díle </w:t>
      </w:r>
      <w:r w:rsidRPr="00273106">
        <w:rPr>
          <w:rStyle w:val="addmd"/>
        </w:rPr>
        <w:t>(</w:t>
      </w:r>
      <w:r w:rsidRPr="00273106">
        <w:rPr>
          <w:i/>
        </w:rPr>
        <w:t>bonum autem in particularibus operum</w:t>
      </w:r>
      <w:r w:rsidRPr="00273106">
        <w:rPr>
          <w:rStyle w:val="addmd"/>
        </w:rPr>
        <w:t xml:space="preserve">). </w:t>
      </w:r>
      <w:r>
        <w:rPr>
          <w:rStyle w:val="addmd"/>
        </w:rPr>
        <w:t xml:space="preserve">Pojetí </w:t>
      </w:r>
      <w:r w:rsidR="00962190" w:rsidRPr="00CE2861">
        <w:rPr>
          <w:rStyle w:val="addmd"/>
        </w:rPr>
        <w:t>species</w:t>
      </w:r>
      <w:r>
        <w:rPr>
          <w:rStyle w:val="addmd"/>
        </w:rPr>
        <w:t xml:space="preserve"> je dáno univerzálně a potenciálně</w:t>
      </w:r>
      <w:r w:rsidR="00A21163">
        <w:rPr>
          <w:rStyle w:val="addmd"/>
        </w:rPr>
        <w:t xml:space="preserve"> v mysli</w:t>
      </w:r>
      <w:r>
        <w:rPr>
          <w:rStyle w:val="addmd"/>
        </w:rPr>
        <w:t>, praktický čin je naopak dán partikulárně a aktuálně</w:t>
      </w:r>
      <w:r w:rsidR="00A21163">
        <w:rPr>
          <w:rStyle w:val="addmd"/>
        </w:rPr>
        <w:t xml:space="preserve"> v realitě</w:t>
      </w:r>
      <w:r>
        <w:rPr>
          <w:rStyle w:val="addmd"/>
        </w:rPr>
        <w:t xml:space="preserve">. </w:t>
      </w:r>
      <w:r w:rsidRPr="00273106">
        <w:rPr>
          <w:rStyle w:val="addmd"/>
        </w:rPr>
        <w:t xml:space="preserve">Albert jasně odlišil dvojí </w:t>
      </w:r>
      <w:r>
        <w:rPr>
          <w:rStyle w:val="addmd"/>
        </w:rPr>
        <w:t>cíl intelektu</w:t>
      </w:r>
      <w:r w:rsidRPr="00273106">
        <w:rPr>
          <w:rStyle w:val="addmd"/>
        </w:rPr>
        <w:t>. Nová architektura obou intelektů odpovídá na původní otázku po povaze této extenze uvedenou výše (</w:t>
      </w:r>
      <w:r w:rsidRPr="00273106">
        <w:rPr>
          <w:rStyle w:val="addmd"/>
          <w:i/>
        </w:rPr>
        <w:t>quas sit ista extensio</w:t>
      </w:r>
      <w:r w:rsidRPr="00273106">
        <w:rPr>
          <w:rStyle w:val="addmd"/>
        </w:rPr>
        <w:t>). Intelekt nemůže opustit oblast univerzálního myšlení, protože by přestal být sebou samým (</w:t>
      </w:r>
      <w:r w:rsidRPr="00273106">
        <w:rPr>
          <w:i/>
        </w:rPr>
        <w:t>proprium enim suum... est stare in universali</w:t>
      </w:r>
      <w:r w:rsidRPr="00273106">
        <w:rPr>
          <w:rStyle w:val="addmd"/>
        </w:rPr>
        <w:t xml:space="preserve">). </w:t>
      </w:r>
      <w:r>
        <w:rPr>
          <w:rStyle w:val="addmd"/>
        </w:rPr>
        <w:t>E</w:t>
      </w:r>
      <w:r w:rsidRPr="00273106">
        <w:rPr>
          <w:rStyle w:val="addmd"/>
        </w:rPr>
        <w:t xml:space="preserve">xtenze je nutná proto, aby </w:t>
      </w:r>
      <w:r>
        <w:rPr>
          <w:rStyle w:val="addmd"/>
        </w:rPr>
        <w:t xml:space="preserve">teoretický </w:t>
      </w:r>
      <w:r w:rsidRPr="00273106">
        <w:rPr>
          <w:rStyle w:val="addmd"/>
        </w:rPr>
        <w:t>intelekt mohl aktivně působit v oblasti partikulárního jednání, kam vinou univerzality nemůže dosáhnout (</w:t>
      </w:r>
      <w:r w:rsidRPr="00273106">
        <w:rPr>
          <w:i/>
        </w:rPr>
        <w:t>ultra id quod est intellectus proprium</w:t>
      </w:r>
      <w:r w:rsidRPr="00273106">
        <w:rPr>
          <w:rStyle w:val="addmd"/>
        </w:rPr>
        <w:t xml:space="preserve">). </w:t>
      </w:r>
      <w:r w:rsidR="00135E88">
        <w:rPr>
          <w:rStyle w:val="addmd"/>
        </w:rPr>
        <w:t xml:space="preserve">Albert věděl na rozdíl od tehdejší </w:t>
      </w:r>
      <w:r>
        <w:rPr>
          <w:rStyle w:val="addmd"/>
        </w:rPr>
        <w:t xml:space="preserve">moderny, k čemu slouží diafanum v CMDA (kap. 2.4.4). </w:t>
      </w:r>
      <w:r w:rsidR="00A572EE">
        <w:rPr>
          <w:rStyle w:val="addmd"/>
        </w:rPr>
        <w:t>Dvě g</w:t>
      </w:r>
      <w:r w:rsidR="00135E88">
        <w:rPr>
          <w:rStyle w:val="addmd"/>
        </w:rPr>
        <w:t xml:space="preserve">enericky </w:t>
      </w:r>
      <w:r w:rsidR="00135E88" w:rsidRPr="00135E88">
        <w:rPr>
          <w:rStyle w:val="addmd"/>
        </w:rPr>
        <w:t xml:space="preserve">odlišné </w:t>
      </w:r>
      <w:r w:rsidR="00A572EE">
        <w:rPr>
          <w:rStyle w:val="addmd"/>
        </w:rPr>
        <w:t>verse intelektu</w:t>
      </w:r>
      <w:r w:rsidR="00135E88" w:rsidRPr="00135E88">
        <w:rPr>
          <w:rStyle w:val="addmd"/>
        </w:rPr>
        <w:t xml:space="preserve"> musí být ve vzájemném vztahu, neboť teoreti</w:t>
      </w:r>
      <w:r w:rsidR="00135E88">
        <w:rPr>
          <w:rStyle w:val="addmd"/>
        </w:rPr>
        <w:t xml:space="preserve">cké vědy se liší od praktických. </w:t>
      </w:r>
      <w:r w:rsidRPr="00273106">
        <w:rPr>
          <w:rStyle w:val="addmd"/>
        </w:rPr>
        <w:t>Jestliže se má teoretický intelekt stát praktickým</w:t>
      </w:r>
      <w:r>
        <w:rPr>
          <w:rStyle w:val="addmd"/>
        </w:rPr>
        <w:t xml:space="preserve"> (</w:t>
      </w:r>
      <w:r w:rsidRPr="00273106">
        <w:rPr>
          <w:i/>
        </w:rPr>
        <w:t>si deberet esse practicus</w:t>
      </w:r>
      <w:r>
        <w:rPr>
          <w:rStyle w:val="addmd"/>
        </w:rPr>
        <w:t>)</w:t>
      </w:r>
      <w:r w:rsidRPr="00273106">
        <w:rPr>
          <w:rStyle w:val="addmd"/>
        </w:rPr>
        <w:t xml:space="preserve">, pak musí expandovat do </w:t>
      </w:r>
      <w:r>
        <w:rPr>
          <w:rStyle w:val="addmd"/>
        </w:rPr>
        <w:t xml:space="preserve">rodově odlišné </w:t>
      </w:r>
      <w:r w:rsidRPr="00273106">
        <w:rPr>
          <w:rStyle w:val="addmd"/>
        </w:rPr>
        <w:t>intelektuální formy, která determinuje morální a politicku praxi (</w:t>
      </w:r>
      <w:r w:rsidRPr="00273106">
        <w:rPr>
          <w:i/>
        </w:rPr>
        <w:t>necesse est extendi ad particularia in quibus est ipsa praxis</w:t>
      </w:r>
      <w:r w:rsidRPr="00273106">
        <w:rPr>
          <w:rStyle w:val="addmd"/>
        </w:rPr>
        <w:t xml:space="preserve">). Obě </w:t>
      </w:r>
      <w:r w:rsidRPr="00273106">
        <w:rPr>
          <w:rStyle w:val="addmd"/>
        </w:rPr>
        <w:lastRenderedPageBreak/>
        <w:t xml:space="preserve">složky jednoho a téhož intelektu </w:t>
      </w:r>
      <w:r>
        <w:rPr>
          <w:rStyle w:val="addmd"/>
        </w:rPr>
        <w:t xml:space="preserve">daného v jedinečné osobě </w:t>
      </w:r>
      <w:r w:rsidRPr="00273106">
        <w:rPr>
          <w:rStyle w:val="addmd"/>
        </w:rPr>
        <w:t>se v rámci extenze harmonicky doplňují a není mezi nimi žádný rozpor.</w:t>
      </w:r>
      <w:r>
        <w:rPr>
          <w:rStyle w:val="addmd"/>
        </w:rPr>
        <w:t xml:space="preserve"> R</w:t>
      </w:r>
      <w:r w:rsidRPr="00273106">
        <w:t xml:space="preserve">ozlišení obou intelektů </w:t>
      </w:r>
      <w:r>
        <w:t xml:space="preserve">sleduje </w:t>
      </w:r>
      <w:r w:rsidRPr="00273106">
        <w:t xml:space="preserve">rozbor </w:t>
      </w:r>
      <w:r w:rsidRPr="00273106">
        <w:rPr>
          <w:i/>
        </w:rPr>
        <w:t xml:space="preserve">tertium </w:t>
      </w:r>
      <w:r w:rsidRPr="00273106">
        <w:t xml:space="preserve">a </w:t>
      </w:r>
      <w:r w:rsidRPr="00273106">
        <w:rPr>
          <w:i/>
        </w:rPr>
        <w:t>quartum</w:t>
      </w:r>
      <w:r w:rsidRPr="00273106">
        <w:t xml:space="preserve"> </w:t>
      </w:r>
      <w:r w:rsidR="00962190">
        <w:rPr>
          <w:i/>
        </w:rPr>
        <w:t>genus</w:t>
      </w:r>
      <w:r>
        <w:rPr>
          <w:i/>
        </w:rPr>
        <w:fldChar w:fldCharType="begin"/>
      </w:r>
      <w:r>
        <w:instrText xml:space="preserve"> XE "</w:instrText>
      </w:r>
      <w:r w:rsidRPr="00191848">
        <w:rPr>
          <w:i/>
        </w:rPr>
        <w:instrText>quartum genus</w:instrText>
      </w:r>
      <w:r>
        <w:instrText xml:space="preserve">" </w:instrText>
      </w:r>
      <w:r>
        <w:rPr>
          <w:i/>
        </w:rPr>
        <w:fldChar w:fldCharType="end"/>
      </w:r>
      <w:r w:rsidRPr="00273106">
        <w:t xml:space="preserve"> v CMDA </w:t>
      </w:r>
      <w:r>
        <w:t xml:space="preserve">rozlišující </w:t>
      </w:r>
      <w:r w:rsidRPr="00273106">
        <w:t>i</w:t>
      </w:r>
      <w:r>
        <w:t>ndividuální a univerzální status</w:t>
      </w:r>
      <w:r w:rsidRPr="00273106">
        <w:t xml:space="preserve"> </w:t>
      </w:r>
      <w:r w:rsidRPr="00273106">
        <w:rPr>
          <w:i/>
        </w:rPr>
        <w:t>intellectus possibilis</w:t>
      </w:r>
      <w:r>
        <w:rPr>
          <w:i/>
        </w:rPr>
        <w:fldChar w:fldCharType="begin"/>
      </w:r>
      <w:r>
        <w:instrText xml:space="preserve"> XE "</w:instrText>
      </w:r>
      <w:r w:rsidRPr="00770D02">
        <w:rPr>
          <w:i/>
        </w:rPr>
        <w:instrText>intellectus possibilis</w:instrText>
      </w:r>
      <w:r>
        <w:instrText xml:space="preserve">:Albert" </w:instrText>
      </w:r>
      <w:r>
        <w:rPr>
          <w:i/>
        </w:rPr>
        <w:fldChar w:fldCharType="end"/>
      </w:r>
      <w:r w:rsidRPr="00273106">
        <w:t xml:space="preserve"> (kap. 2.4.3). </w:t>
      </w:r>
      <w:r w:rsidR="00A41BE5" w:rsidRPr="00A41BE5">
        <w:t xml:space="preserve">Za prvé, existuje </w:t>
      </w:r>
      <w:r w:rsidR="00A41BE5" w:rsidRPr="00A41BE5">
        <w:rPr>
          <w:i/>
        </w:rPr>
        <w:t>intellectus practicus</w:t>
      </w:r>
      <w:r w:rsidR="00A41BE5" w:rsidRPr="00A41BE5">
        <w:t xml:space="preserve"> jako </w:t>
      </w:r>
      <w:r w:rsidR="00A41BE5" w:rsidRPr="00A41BE5">
        <w:rPr>
          <w:i/>
        </w:rPr>
        <w:t>tertium genus</w:t>
      </w:r>
      <w:r w:rsidR="00A41BE5" w:rsidRPr="00A41BE5">
        <w:t>, který se zabývá osobní</w:t>
      </w:r>
      <w:r w:rsidR="00A41BE5">
        <w:t>mi činnostmi; tentýž intelekt</w:t>
      </w:r>
      <w:r w:rsidR="00A41BE5" w:rsidRPr="00A41BE5">
        <w:t xml:space="preserve"> lze chápat jako </w:t>
      </w:r>
      <w:r w:rsidR="00A41BE5" w:rsidRPr="00A41BE5">
        <w:rPr>
          <w:i/>
          <w:iCs/>
        </w:rPr>
        <w:t>quartum genus</w:t>
      </w:r>
      <w:r w:rsidR="00A41BE5" w:rsidRPr="00A41BE5">
        <w:t xml:space="preserve"> vzhledem k jeho obecné povaze v člověku. Co se týče činnosti praktického intelektu, zprostředkování prochází skrze primát poznání uskutečňovaný v teoretickém intelektu. Univerzální poznání dobra se musí uskutečnit jako první krok (</w:t>
      </w:r>
      <w:r w:rsidR="00A41BE5" w:rsidRPr="00A41BE5">
        <w:rPr>
          <w:i/>
          <w:iCs/>
        </w:rPr>
        <w:t>bonum est post verum in intellectu</w:t>
      </w:r>
      <w:r w:rsidR="00A41BE5" w:rsidRPr="00A41BE5">
        <w:t>), protož</w:t>
      </w:r>
      <w:r w:rsidR="00516822">
        <w:t>e racionalita daná univerzální</w:t>
      </w:r>
      <w:r w:rsidR="00F6430A">
        <w:t>mi</w:t>
      </w:r>
      <w:r w:rsidR="00516822">
        <w:t xml:space="preserve"> species </w:t>
      </w:r>
      <w:r w:rsidR="00A41BE5" w:rsidRPr="00A41BE5">
        <w:t>(</w:t>
      </w:r>
      <w:r w:rsidR="00A41BE5" w:rsidRPr="00A41BE5">
        <w:rPr>
          <w:i/>
          <w:iCs/>
        </w:rPr>
        <w:t>in ratione speciei universalis</w:t>
      </w:r>
      <w:r w:rsidR="00A41BE5" w:rsidRPr="00A41BE5">
        <w:t xml:space="preserve">) zprostředkovává činnost praktického intelektu </w:t>
      </w:r>
      <w:r w:rsidR="00516822">
        <w:t xml:space="preserve">vzhledem </w:t>
      </w:r>
      <w:r w:rsidR="00A41BE5" w:rsidRPr="00A41BE5">
        <w:t xml:space="preserve">k jeho cílům uskutečňovaným díky vůli </w:t>
      </w:r>
      <w:r w:rsidR="00516822">
        <w:t>dané v těle</w:t>
      </w:r>
      <w:r w:rsidR="00A41BE5" w:rsidRPr="00A41BE5">
        <w:t>.</w:t>
      </w:r>
      <w:r w:rsidR="002E213D">
        <w:t xml:space="preserve"> </w:t>
      </w:r>
      <w:r w:rsidR="00EC0049">
        <w:t>Utopie</w:t>
      </w:r>
      <w:r w:rsidR="002861C3">
        <w:rPr>
          <w:rStyle w:val="addmd"/>
        </w:rPr>
        <w:fldChar w:fldCharType="begin"/>
      </w:r>
      <w:r w:rsidR="002861C3">
        <w:instrText xml:space="preserve"> XE "</w:instrText>
      </w:r>
      <w:r w:rsidR="002861C3" w:rsidRPr="08CB1542">
        <w:rPr>
          <w:rStyle w:val="addmd"/>
        </w:rPr>
        <w:instrText>utopie</w:instrText>
      </w:r>
      <w:r w:rsidR="002861C3">
        <w:instrText xml:space="preserve">" </w:instrText>
      </w:r>
      <w:r w:rsidR="002861C3">
        <w:rPr>
          <w:rStyle w:val="addmd"/>
        </w:rPr>
        <w:fldChar w:fldCharType="end"/>
      </w:r>
      <w:r w:rsidR="00EC0049">
        <w:t xml:space="preserve"> a ideologie intelektuálů vznikají v teoretickém intelektu, dějinná praxe je dána pouze a jedině skrze nasazení praktického intelektu. Málokdo dokáže spojit oba intelekty do jednoty.</w:t>
      </w:r>
      <w:r w:rsidR="002861C3">
        <w:t xml:space="preserve"> </w:t>
      </w:r>
      <w:r w:rsidR="002861C3" w:rsidRPr="002861C3">
        <w:t>Karel Marx</w:t>
      </w:r>
      <w:r w:rsidR="002861C3">
        <w:rPr>
          <w:rStyle w:val="addmd"/>
        </w:rPr>
        <w:fldChar w:fldCharType="begin"/>
      </w:r>
      <w:r w:rsidR="002861C3">
        <w:instrText xml:space="preserve"> XE "</w:instrText>
      </w:r>
      <w:r w:rsidR="002861C3" w:rsidRPr="08906F82">
        <w:rPr>
          <w:rStyle w:val="addmd"/>
        </w:rPr>
        <w:instrText>Marx, K.</w:instrText>
      </w:r>
      <w:r w:rsidR="002861C3">
        <w:instrText xml:space="preserve">" </w:instrText>
      </w:r>
      <w:r w:rsidR="002861C3">
        <w:rPr>
          <w:rStyle w:val="addmd"/>
        </w:rPr>
        <w:fldChar w:fldCharType="end"/>
      </w:r>
      <w:r w:rsidR="002861C3" w:rsidRPr="002861C3">
        <w:t xml:space="preserve"> navázal na myšlení prvního averroismu, protože zakotvil práci v</w:t>
      </w:r>
      <w:r w:rsidR="002861C3">
        <w:t xml:space="preserve"> dějinně </w:t>
      </w:r>
      <w:r w:rsidR="002861C3" w:rsidRPr="002861C3">
        <w:t>situovaném těle. Dobře věděl, že hegel</w:t>
      </w:r>
      <w:r w:rsidR="002861C3">
        <w:t>iáns</w:t>
      </w:r>
      <w:r w:rsidR="002861C3" w:rsidRPr="002861C3">
        <w:t xml:space="preserve">ká univerzitní utopie a teoretický utilitarismus všeho druhu svět nezmění. Pro skutečnou změnu kapitalistického systému do lidštější podoby je třeba uplatnit praktický intelekt. </w:t>
      </w:r>
      <w:r w:rsidR="002861C3">
        <w:t>N</w:t>
      </w:r>
      <w:r w:rsidR="002861C3" w:rsidRPr="002861C3">
        <w:t xml:space="preserve">a základě známého provolání </w:t>
      </w:r>
      <w:r w:rsidR="002861C3" w:rsidRPr="002861C3">
        <w:rPr>
          <w:i/>
          <w:iCs/>
        </w:rPr>
        <w:t>Komunistický manifest</w:t>
      </w:r>
      <w:r w:rsidR="002861C3" w:rsidRPr="002861C3">
        <w:t xml:space="preserve"> (1848) založil </w:t>
      </w:r>
      <w:r w:rsidR="002861C3" w:rsidRPr="002215A0">
        <w:rPr>
          <w:i/>
        </w:rPr>
        <w:t>Komunistickou internacionálu</w:t>
      </w:r>
      <w:r w:rsidR="002861C3" w:rsidRPr="002861C3">
        <w:t xml:space="preserve">, která </w:t>
      </w:r>
      <w:r w:rsidR="002F487A">
        <w:t xml:space="preserve">politicky </w:t>
      </w:r>
      <w:r w:rsidR="002861C3" w:rsidRPr="002861C3">
        <w:t>sjednotila odboráře</w:t>
      </w:r>
      <w:r w:rsidR="002F487A">
        <w:t xml:space="preserve"> a aktivisty v různých zemích</w:t>
      </w:r>
      <w:r w:rsidR="002861C3" w:rsidRPr="002861C3">
        <w:t>.</w:t>
      </w:r>
    </w:p>
    <w:p w:rsidR="08163013" w:rsidRPr="00273106" w:rsidRDefault="08163013" w:rsidP="005B3C23">
      <w:pPr>
        <w:ind w:firstLine="397"/>
        <w:rPr>
          <w:rStyle w:val="addmd"/>
        </w:rPr>
      </w:pPr>
      <w:r>
        <w:rPr>
          <w:rStyle w:val="addmd"/>
        </w:rPr>
        <w:t>Albertův s</w:t>
      </w:r>
      <w:r>
        <w:t xml:space="preserve">pis </w:t>
      </w:r>
      <w:r w:rsidRPr="08055CAA">
        <w:rPr>
          <w:i/>
        </w:rPr>
        <w:t>De homine</w:t>
      </w:r>
      <w:r>
        <w:t xml:space="preserve"> postavil </w:t>
      </w:r>
      <w:r w:rsidRPr="00273106">
        <w:t xml:space="preserve">primát </w:t>
      </w:r>
      <w:r>
        <w:t>prakticky realizovaného činu nad hypostázovaným d</w:t>
      </w:r>
      <w:r w:rsidRPr="00273106">
        <w:t>obrem</w:t>
      </w:r>
      <w:r>
        <w:t xml:space="preserve"> a tím zrušil hlavní argumentaci </w:t>
      </w:r>
      <w:r w:rsidRPr="00273106">
        <w:t>teologick</w:t>
      </w:r>
      <w:r>
        <w:t xml:space="preserve">ého </w:t>
      </w:r>
      <w:r w:rsidRPr="00273106">
        <w:t>a politick</w:t>
      </w:r>
      <w:r>
        <w:t xml:space="preserve">ého </w:t>
      </w:r>
      <w:r w:rsidRPr="00273106">
        <w:t xml:space="preserve">augustinianismu. </w:t>
      </w:r>
      <w:r w:rsidR="0083056E" w:rsidRPr="0083056E">
        <w:t xml:space="preserve">Albert ukončil neoplatonistické výklady </w:t>
      </w:r>
      <w:r w:rsidR="0083056E" w:rsidRPr="0083056E">
        <w:rPr>
          <w:i/>
          <w:iCs/>
        </w:rPr>
        <w:t>Etiky Nikomachovy</w:t>
      </w:r>
      <w:r w:rsidR="0083056E" w:rsidRPr="0083056E">
        <w:t xml:space="preserve">. Nejvyšší dobro chápané prostřednictvím </w:t>
      </w:r>
      <w:r w:rsidR="0083056E" w:rsidRPr="0083056E">
        <w:rPr>
          <w:i/>
          <w:iCs/>
        </w:rPr>
        <w:t>intellectus agens</w:t>
      </w:r>
      <w:r w:rsidR="0083056E">
        <w:rPr>
          <w:i/>
        </w:rPr>
        <w:fldChar w:fldCharType="begin"/>
      </w:r>
      <w:r w:rsidR="0083056E">
        <w:instrText xml:space="preserve"> XE "</w:instrText>
      </w:r>
      <w:r w:rsidR="0083056E" w:rsidRPr="00490D32">
        <w:rPr>
          <w:i/>
        </w:rPr>
        <w:instrText>intellectus agens:</w:instrText>
      </w:r>
      <w:r w:rsidR="0083056E">
        <w:instrText xml:space="preserve">druhý averroismus" </w:instrText>
      </w:r>
      <w:r w:rsidR="0083056E">
        <w:rPr>
          <w:i/>
        </w:rPr>
        <w:fldChar w:fldCharType="end"/>
      </w:r>
      <w:r w:rsidR="0083056E" w:rsidRPr="0083056E">
        <w:rPr>
          <w:i/>
          <w:iCs/>
        </w:rPr>
        <w:t xml:space="preserve"> </w:t>
      </w:r>
      <w:r w:rsidR="0083056E" w:rsidRPr="0083056E">
        <w:t xml:space="preserve">přestalo být mobilem praktického intelektu. </w:t>
      </w:r>
      <w:r w:rsidR="0083056E">
        <w:t>Etická správnost moderny byla daná jako Anselmovo</w:t>
      </w:r>
      <w:r w:rsidRPr="00273106">
        <w:t xml:space="preserve"> </w:t>
      </w:r>
      <w:r w:rsidRPr="00273106">
        <w:rPr>
          <w:i/>
        </w:rPr>
        <w:t>rectitudo</w:t>
      </w:r>
      <w:r w:rsidR="0083056E">
        <w:t xml:space="preserve">, které se realizovalo skrze mysticky osvícenou </w:t>
      </w:r>
      <w:r>
        <w:t>v</w:t>
      </w:r>
      <w:r w:rsidR="0083056E">
        <w:t xml:space="preserve">ůli </w:t>
      </w:r>
      <w:r>
        <w:t>(</w:t>
      </w:r>
      <w:r w:rsidR="0083056E">
        <w:rPr>
          <w:szCs w:val="24"/>
          <w:lang w:val="de-DE"/>
        </w:rPr>
        <w:t>OBJ, kap. 1.2</w:t>
      </w:r>
      <w:r w:rsidRPr="00273106">
        <w:t xml:space="preserve">). </w:t>
      </w:r>
      <w:r w:rsidR="00FF7C6E" w:rsidRPr="00FF7C6E">
        <w:t>Aktivní forma intelektu (</w:t>
      </w:r>
      <w:r w:rsidR="00FF7C6E" w:rsidRPr="00FF7C6E">
        <w:rPr>
          <w:i/>
          <w:iCs/>
        </w:rPr>
        <w:t>intellectus practicus</w:t>
      </w:r>
      <w:r w:rsidR="00FF7C6E">
        <w:rPr>
          <w:i/>
        </w:rPr>
        <w:fldChar w:fldCharType="begin"/>
      </w:r>
      <w:r w:rsidR="00FF7C6E">
        <w:instrText xml:space="preserve"> XE "</w:instrText>
      </w:r>
      <w:r w:rsidR="00FF7C6E" w:rsidRPr="001A1255">
        <w:rPr>
          <w:i/>
        </w:rPr>
        <w:instrText>intellectus practicus</w:instrText>
      </w:r>
      <w:r w:rsidR="00FF7C6E">
        <w:instrText xml:space="preserve">" </w:instrText>
      </w:r>
      <w:r w:rsidR="00FF7C6E">
        <w:rPr>
          <w:i/>
        </w:rPr>
        <w:fldChar w:fldCharType="end"/>
      </w:r>
      <w:r w:rsidR="00FF7C6E" w:rsidRPr="00FF7C6E">
        <w:t xml:space="preserve">) poháněná lidskou vůlí a touhou </w:t>
      </w:r>
      <w:r w:rsidR="00FF7C6E">
        <w:t>byla aktualizována hypostáz</w:t>
      </w:r>
      <w:r w:rsidR="00FF7C6E" w:rsidRPr="00FF7C6E">
        <w:t xml:space="preserve">ovanými formami dobra, které </w:t>
      </w:r>
      <w:r w:rsidR="00FF7C6E">
        <w:t xml:space="preserve">reflektoval </w:t>
      </w:r>
      <w:r w:rsidR="00FF7C6E" w:rsidRPr="00FF7C6E">
        <w:t xml:space="preserve">kontemplativní intelekt. </w:t>
      </w:r>
      <w:r w:rsidRPr="00273106">
        <w:t xml:space="preserve">Albert obhájil původní význam </w:t>
      </w:r>
      <w:r>
        <w:t>Aristotelova dobra pro nás</w:t>
      </w:r>
      <w:r w:rsidRPr="00273106">
        <w:t xml:space="preserve">, které má etika a politika dosahovat podle výše uvedeného středního členu demonstrativního praktického </w:t>
      </w:r>
      <w:r w:rsidR="00BC1221">
        <w:t>sylogismu</w:t>
      </w:r>
      <w:r w:rsidRPr="00273106">
        <w:t xml:space="preserve">. </w:t>
      </w:r>
      <w:r w:rsidRPr="00273106">
        <w:rPr>
          <w:rStyle w:val="addmd"/>
        </w:rPr>
        <w:t xml:space="preserve">Praktický sylogismus predikuje ideální střed mezi extrémy díky </w:t>
      </w:r>
      <w:r w:rsidRPr="00273106">
        <w:rPr>
          <w:rStyle w:val="addmd"/>
        </w:rPr>
        <w:lastRenderedPageBreak/>
        <w:t>jednání založenému na prozíravém úsudku rozumn</w:t>
      </w:r>
      <w:r w:rsidR="007217C1">
        <w:rPr>
          <w:rStyle w:val="addmd"/>
        </w:rPr>
        <w:t>ých lidí</w:t>
      </w:r>
      <w:r w:rsidRPr="00273106">
        <w:rPr>
          <w:rStyle w:val="addmd"/>
        </w:rPr>
        <w:t>.</w:t>
      </w:r>
      <w:r w:rsidRPr="00273106">
        <w:rPr>
          <w:rStyle w:val="Znakapoznpodarou"/>
        </w:rPr>
        <w:footnoteReference w:id="545"/>
      </w:r>
      <w:r>
        <w:rPr>
          <w:rStyle w:val="addmd"/>
        </w:rPr>
        <w:t xml:space="preserve"> Novým středním členem (</w:t>
      </w:r>
      <w:r w:rsidRPr="0028582D">
        <w:rPr>
          <w:rStyle w:val="addmd"/>
          <w:i/>
        </w:rPr>
        <w:t>medium</w:t>
      </w:r>
      <w:r>
        <w:rPr>
          <w:rStyle w:val="addmd"/>
          <w:i/>
        </w:rPr>
        <w:fldChar w:fldCharType="begin"/>
      </w:r>
      <w:r>
        <w:instrText xml:space="preserve"> XE "</w:instrText>
      </w:r>
      <w:r w:rsidRPr="001618A5">
        <w:rPr>
          <w:i/>
        </w:rPr>
        <w:instrText>medium:</w:instrText>
      </w:r>
      <w:r>
        <w:instrText xml:space="preserve">praktický syllogismus" </w:instrText>
      </w:r>
      <w:r>
        <w:rPr>
          <w:rStyle w:val="addmd"/>
          <w:i/>
        </w:rPr>
        <w:fldChar w:fldCharType="end"/>
      </w:r>
      <w:r>
        <w:rPr>
          <w:rStyle w:val="addmd"/>
        </w:rPr>
        <w:t xml:space="preserve">) </w:t>
      </w:r>
      <w:r w:rsidRPr="00273106">
        <w:rPr>
          <w:rStyle w:val="addmd"/>
        </w:rPr>
        <w:t xml:space="preserve">praktického </w:t>
      </w:r>
      <w:r>
        <w:rPr>
          <w:rStyle w:val="addmd"/>
        </w:rPr>
        <w:t>sylo</w:t>
      </w:r>
      <w:r w:rsidRPr="00273106">
        <w:rPr>
          <w:rStyle w:val="addmd"/>
        </w:rPr>
        <w:t>gismu je moudrý člověk sám</w:t>
      </w:r>
      <w:r>
        <w:rPr>
          <w:rStyle w:val="addmd"/>
        </w:rPr>
        <w:t xml:space="preserve">, a ne nějaká </w:t>
      </w:r>
      <w:r w:rsidR="00962190">
        <w:rPr>
          <w:rStyle w:val="addmd"/>
          <w:i/>
        </w:rPr>
        <w:t>species</w:t>
      </w:r>
      <w:r>
        <w:rPr>
          <w:rStyle w:val="addmd"/>
        </w:rPr>
        <w:t xml:space="preserve"> dobra třetího druhu odvozená porretánským dělením univerzálií</w:t>
      </w:r>
      <w:r w:rsidRPr="00273106">
        <w:rPr>
          <w:rStyle w:val="addmd"/>
        </w:rPr>
        <w:t xml:space="preserve">. </w:t>
      </w:r>
      <w:r w:rsidRPr="00273106">
        <w:t xml:space="preserve">Albert otočil pořadí poznání </w:t>
      </w:r>
      <w:r>
        <w:t>v etice a tím ji založil jako praktickou vědu podle Averroesova výkladu.</w:t>
      </w:r>
      <w:r w:rsidRPr="084E4AFD">
        <w:rPr>
          <w:rStyle w:val="addmd"/>
        </w:rPr>
        <w:t xml:space="preserve"> </w:t>
      </w:r>
      <w:r w:rsidR="00FA07BC">
        <w:rPr>
          <w:rStyle w:val="addmd"/>
        </w:rPr>
        <w:t xml:space="preserve">Albertova </w:t>
      </w:r>
      <w:r w:rsidR="005B3C23" w:rsidRPr="005B3C23">
        <w:rPr>
          <w:rStyle w:val="addmd"/>
        </w:rPr>
        <w:t xml:space="preserve">definice praktického rozumu jako specifického druhu racionální činnosti založila na latinském Západě etiku a později i politiku jako samostatné vědy. </w:t>
      </w:r>
      <w:r>
        <w:t xml:space="preserve">První averorismus s odvoláním na prozíraného člověka daného jako střed praktického sylogismu v </w:t>
      </w:r>
      <w:r w:rsidRPr="08D901F6">
        <w:rPr>
          <w:i/>
        </w:rPr>
        <w:t>Etice</w:t>
      </w:r>
      <w:r>
        <w:t xml:space="preserve"> brání determinaci praktického intelektu z reálné kauzality svobodné osoby, a ne z</w:t>
      </w:r>
      <w:r w:rsidR="00FA07BC">
        <w:t xml:space="preserve"> teoretického </w:t>
      </w:r>
      <w:r>
        <w:t xml:space="preserve">principu poznání. </w:t>
      </w:r>
      <w:r w:rsidRPr="00273106">
        <w:rPr>
          <w:rStyle w:val="addmd"/>
        </w:rPr>
        <w:t xml:space="preserve">Albert s odvoláním na </w:t>
      </w:r>
      <w:r>
        <w:rPr>
          <w:rStyle w:val="addmd"/>
        </w:rPr>
        <w:t>Averroes</w:t>
      </w:r>
      <w:r w:rsidRPr="00273106">
        <w:rPr>
          <w:rStyle w:val="addmd"/>
        </w:rPr>
        <w:t xml:space="preserve">ův komentář k </w:t>
      </w:r>
      <w:r w:rsidRPr="08D901F6">
        <w:rPr>
          <w:rStyle w:val="addmd"/>
          <w:i/>
        </w:rPr>
        <w:t>Metafyzice</w:t>
      </w:r>
      <w:r w:rsidRPr="00273106">
        <w:rPr>
          <w:rStyle w:val="addmd"/>
        </w:rPr>
        <w:t xml:space="preserve"> vysv</w:t>
      </w:r>
      <w:r>
        <w:rPr>
          <w:rStyle w:val="addmd"/>
        </w:rPr>
        <w:t xml:space="preserve">ětluje, proč </w:t>
      </w:r>
      <w:r w:rsidRPr="00273106">
        <w:rPr>
          <w:rStyle w:val="addmd"/>
        </w:rPr>
        <w:t xml:space="preserve">etické a politické jednání </w:t>
      </w:r>
      <w:r w:rsidR="00A10D37">
        <w:rPr>
          <w:rStyle w:val="addmd"/>
        </w:rPr>
        <w:t xml:space="preserve">vzniká v </w:t>
      </w:r>
      <w:r w:rsidRPr="00273106">
        <w:rPr>
          <w:rStyle w:val="addmd"/>
        </w:rPr>
        <w:t xml:space="preserve">rámci </w:t>
      </w:r>
      <w:r w:rsidR="00A10D37">
        <w:rPr>
          <w:rStyle w:val="addmd"/>
        </w:rPr>
        <w:t xml:space="preserve">autonomní </w:t>
      </w:r>
      <w:r w:rsidRPr="00273106">
        <w:rPr>
          <w:rStyle w:val="addmd"/>
        </w:rPr>
        <w:t>racionální formy (</w:t>
      </w:r>
      <w:r w:rsidRPr="00273106">
        <w:rPr>
          <w:rStyle w:val="addmd"/>
          <w:i/>
        </w:rPr>
        <w:t>forma compositionis</w:t>
      </w:r>
      <w:r w:rsidRPr="00273106">
        <w:rPr>
          <w:rStyle w:val="addmd"/>
        </w:rPr>
        <w:t>).</w:t>
      </w:r>
      <w:r w:rsidRPr="00383C13">
        <w:rPr>
          <w:rStyle w:val="addmd"/>
        </w:rPr>
        <w:t xml:space="preserve"> </w:t>
      </w:r>
      <w:r w:rsidR="00A10D37">
        <w:rPr>
          <w:rStyle w:val="addmd"/>
        </w:rPr>
        <w:t>Založení etiky</w:t>
      </w:r>
      <w:r>
        <w:rPr>
          <w:rStyle w:val="addmd"/>
        </w:rPr>
        <w:fldChar w:fldCharType="begin"/>
      </w:r>
      <w:r>
        <w:instrText xml:space="preserve"> XE "</w:instrText>
      </w:r>
      <w:r w:rsidRPr="00175A99">
        <w:instrText>první averroismus:etika</w:instrText>
      </w:r>
      <w:r>
        <w:instrText xml:space="preserve">" </w:instrText>
      </w:r>
      <w:r>
        <w:rPr>
          <w:rStyle w:val="addmd"/>
        </w:rPr>
        <w:fldChar w:fldCharType="end"/>
      </w:r>
      <w:r w:rsidR="00A10D37">
        <w:rPr>
          <w:rStyle w:val="addmd"/>
        </w:rPr>
        <w:t xml:space="preserve"> </w:t>
      </w:r>
      <w:r w:rsidRPr="00273106">
        <w:rPr>
          <w:rStyle w:val="addmd"/>
        </w:rPr>
        <w:t>jako samostatné</w:t>
      </w:r>
      <w:r>
        <w:rPr>
          <w:rStyle w:val="addmd"/>
        </w:rPr>
        <w:t xml:space="preserve"> vědy ukazuje následující citát</w:t>
      </w:r>
      <w:r w:rsidR="00045460">
        <w:rPr>
          <w:rStyle w:val="addmd"/>
        </w:rPr>
        <w:t xml:space="preserve">. Albert </w:t>
      </w:r>
      <w:r w:rsidR="00045460" w:rsidRPr="00045460">
        <w:rPr>
          <w:rStyle w:val="addmd"/>
        </w:rPr>
        <w:t>Definuje aktivní povahu praktického intelektu, který se liší od abstrakce teoretického intelektu.</w:t>
      </w:r>
      <w:r>
        <w:rPr>
          <w:rStyle w:val="addmd"/>
        </w:rPr>
        <w:t xml:space="preserve"> </w:t>
      </w:r>
      <w:proofErr w:type="gramStart"/>
      <w:r>
        <w:rPr>
          <w:rStyle w:val="addmd"/>
        </w:rPr>
        <w:t>definující</w:t>
      </w:r>
      <w:proofErr w:type="gramEnd"/>
      <w:r>
        <w:rPr>
          <w:rStyle w:val="addmd"/>
        </w:rPr>
        <w:t xml:space="preserve"> správně podanou predikaci </w:t>
      </w:r>
      <w:r w:rsidRPr="08EF42D5">
        <w:rPr>
          <w:rStyle w:val="addmd"/>
          <w:i/>
        </w:rPr>
        <w:t>in artificialibus</w:t>
      </w:r>
      <w:r>
        <w:rPr>
          <w:rStyle w:val="addmd"/>
          <w:i/>
        </w:rPr>
        <w:fldChar w:fldCharType="begin"/>
      </w:r>
      <w:r>
        <w:instrText xml:space="preserve"> XE "</w:instrText>
      </w:r>
      <w:r w:rsidRPr="08982949">
        <w:rPr>
          <w:rStyle w:val="addmd"/>
        </w:rPr>
        <w:instrText>predikace:</w:instrText>
      </w:r>
      <w:r w:rsidRPr="08982949">
        <w:rPr>
          <w:rStyle w:val="addmd"/>
          <w:i/>
        </w:rPr>
        <w:instrText>in artificialibus</w:instrText>
      </w:r>
      <w:r>
        <w:instrText xml:space="preserve">" </w:instrText>
      </w:r>
      <w:r>
        <w:rPr>
          <w:rStyle w:val="addmd"/>
          <w:i/>
        </w:rPr>
        <w:fldChar w:fldCharType="end"/>
      </w:r>
      <w:r>
        <w:rPr>
          <w:rStyle w:val="addmd"/>
        </w:rPr>
        <w:t xml:space="preserve"> pro praktický intelekt, která se zásadně odlišuje od abstrakce skrze teoretický intelekt.</w:t>
      </w:r>
    </w:p>
    <w:p w:rsidR="08163013" w:rsidRPr="00273106" w:rsidRDefault="08163013" w:rsidP="08163013">
      <w:pPr>
        <w:pStyle w:val="Citace"/>
        <w:rPr>
          <w:rStyle w:val="addmd"/>
          <w:noProof/>
          <w:lang w:val="cs-CZ"/>
        </w:rPr>
      </w:pPr>
      <w:r w:rsidRPr="00273106">
        <w:rPr>
          <w:rStyle w:val="addmd"/>
          <w:noProof/>
          <w:lang w:val="cs-CZ"/>
        </w:rPr>
        <w:t>„</w:t>
      </w:r>
      <w:r>
        <w:rPr>
          <w:rStyle w:val="addmd"/>
          <w:noProof/>
          <w:lang w:val="cs-CZ"/>
        </w:rPr>
        <w:t>Dále platí, že praktický intelekt má formu vztaženou k jednání na úrovni věcí (</w:t>
      </w:r>
      <w:r w:rsidRPr="00075AD9">
        <w:rPr>
          <w:rStyle w:val="addmd"/>
          <w:i/>
          <w:noProof/>
          <w:lang w:val="cs-CZ"/>
        </w:rPr>
        <w:t>practicus intellectus habet formam operativam rei</w:t>
      </w:r>
      <w:r>
        <w:rPr>
          <w:rStyle w:val="addmd"/>
          <w:noProof/>
          <w:lang w:val="cs-CZ"/>
        </w:rPr>
        <w:t xml:space="preserve">) a skrze tuto formu </w:t>
      </w:r>
      <w:r w:rsidR="00927C38">
        <w:rPr>
          <w:rStyle w:val="addmd"/>
          <w:noProof/>
          <w:lang w:val="cs-CZ"/>
        </w:rPr>
        <w:t xml:space="preserve">se spojuje s reálnou </w:t>
      </w:r>
      <w:r>
        <w:rPr>
          <w:rStyle w:val="addmd"/>
          <w:noProof/>
          <w:lang w:val="cs-CZ"/>
        </w:rPr>
        <w:t>věcí (</w:t>
      </w:r>
      <w:r w:rsidRPr="00075AD9">
        <w:rPr>
          <w:rStyle w:val="addmd"/>
          <w:i/>
          <w:noProof/>
          <w:lang w:val="cs-CZ"/>
        </w:rPr>
        <w:t>componitur cum re operata</w:t>
      </w:r>
      <w:r>
        <w:rPr>
          <w:rStyle w:val="addmd"/>
          <w:noProof/>
          <w:lang w:val="cs-CZ"/>
        </w:rPr>
        <w:t xml:space="preserve">). Aristoteles říká v sedmé knize </w:t>
      </w:r>
      <w:r w:rsidRPr="08301CB9">
        <w:rPr>
          <w:rStyle w:val="addmd"/>
          <w:i/>
          <w:noProof/>
          <w:lang w:val="cs-CZ"/>
        </w:rPr>
        <w:t>Metafyziky</w:t>
      </w:r>
      <w:r>
        <w:rPr>
          <w:rStyle w:val="addmd"/>
          <w:noProof/>
          <w:lang w:val="cs-CZ"/>
        </w:rPr>
        <w:t>, že zdraví způsobené v nemocném člověku pochází z poznání zdraví, které je v duši lékaře a mluví o 'složené formě' (</w:t>
      </w:r>
      <w:r w:rsidRPr="00075AD9">
        <w:rPr>
          <w:rStyle w:val="addmd"/>
          <w:i/>
          <w:noProof/>
          <w:lang w:val="cs-CZ"/>
        </w:rPr>
        <w:t>forma compositionis</w:t>
      </w:r>
      <w:r w:rsidR="00833E7E">
        <w:rPr>
          <w:rStyle w:val="addmd"/>
          <w:noProof/>
          <w:lang w:val="cs-CZ"/>
        </w:rPr>
        <w:t xml:space="preserve">). </w:t>
      </w:r>
      <w:r w:rsidR="00833E7E" w:rsidRPr="00833E7E">
        <w:rPr>
          <w:rStyle w:val="addmd"/>
          <w:noProof/>
          <w:lang w:val="cs-CZ"/>
        </w:rPr>
        <w:t>Proto není forma ve spekulativním intelektu dána směrem k individuální věci, ale vztahuje se k této věci</w:t>
      </w:r>
      <w:r w:rsidR="00833E7E">
        <w:rPr>
          <w:rStyle w:val="addmd"/>
          <w:noProof/>
          <w:lang w:val="cs-CZ"/>
        </w:rPr>
        <w:t xml:space="preserve"> tak</w:t>
      </w:r>
      <w:r w:rsidR="00833E7E" w:rsidRPr="00833E7E">
        <w:rPr>
          <w:rStyle w:val="addmd"/>
          <w:noProof/>
          <w:lang w:val="cs-CZ"/>
        </w:rPr>
        <w:t>, jak je reprezent</w:t>
      </w:r>
      <w:r w:rsidR="00833E7E">
        <w:rPr>
          <w:rStyle w:val="addmd"/>
          <w:noProof/>
          <w:lang w:val="cs-CZ"/>
        </w:rPr>
        <w:t xml:space="preserve">ována prostřednictvím abstrakce </w:t>
      </w:r>
      <w:r>
        <w:rPr>
          <w:rStyle w:val="addmd"/>
          <w:noProof/>
          <w:lang w:val="cs-CZ"/>
        </w:rPr>
        <w:t>(</w:t>
      </w:r>
      <w:r w:rsidRPr="00861703">
        <w:rPr>
          <w:rStyle w:val="addmd"/>
          <w:i/>
          <w:noProof/>
          <w:lang w:val="cs-CZ"/>
        </w:rPr>
        <w:t>non est ad rem, sed a re per abstractionem</w:t>
      </w:r>
      <w:r>
        <w:rPr>
          <w:rStyle w:val="addmd"/>
          <w:noProof/>
          <w:lang w:val="cs-CZ"/>
        </w:rPr>
        <w:t>). Proto se nazývá 'abstrahovaná forma' (</w:t>
      </w:r>
      <w:r w:rsidRPr="00273106">
        <w:rPr>
          <w:rStyle w:val="addmd"/>
          <w:i/>
          <w:noProof/>
          <w:lang w:val="cs-CZ"/>
        </w:rPr>
        <w:t>forma abstractionis</w:t>
      </w:r>
      <w:r>
        <w:rPr>
          <w:rStyle w:val="addmd"/>
          <w:noProof/>
          <w:lang w:val="cs-CZ"/>
        </w:rPr>
        <w:t>).“ </w:t>
      </w:r>
      <w:r>
        <w:rPr>
          <w:rStyle w:val="Znakapoznpodarou"/>
          <w:lang w:val="cs-CZ"/>
        </w:rPr>
        <w:footnoteReference w:id="546"/>
      </w:r>
    </w:p>
    <w:p w:rsidR="00070154" w:rsidRPr="00070154" w:rsidRDefault="001C25E2" w:rsidP="00070154">
      <w:r>
        <w:t>R</w:t>
      </w:r>
      <w:r w:rsidR="08163013">
        <w:t>ozlišení mezi teoretickým a praktickým intelektem je dáno přesahem do reality, kde praktický intelekt působí kauzálně tím, že se přímo spojí s věcí. Reálné působení je dáno skrze účinnou formu praktického rozum</w:t>
      </w:r>
      <w:r w:rsidR="00D770A1">
        <w:t>u</w:t>
      </w:r>
      <w:r w:rsidR="08163013">
        <w:t xml:space="preserve"> (</w:t>
      </w:r>
      <w:r w:rsidR="08163013" w:rsidRPr="00075AD9">
        <w:rPr>
          <w:rStyle w:val="addmd"/>
          <w:i/>
        </w:rPr>
        <w:t>formam operativam rei</w:t>
      </w:r>
      <w:r w:rsidR="08163013">
        <w:t xml:space="preserve">). </w:t>
      </w:r>
      <w:r w:rsidR="0035371D" w:rsidRPr="0035371D">
        <w:t xml:space="preserve">Tento typ jednání zakládá praktické poznání jako druh aktivní </w:t>
      </w:r>
      <w:r w:rsidR="0035371D">
        <w:t>formy</w:t>
      </w:r>
      <w:r w:rsidR="00D770A1">
        <w:t xml:space="preserve"> </w:t>
      </w:r>
      <w:r w:rsidR="00D770A1">
        <w:rPr>
          <w:szCs w:val="24"/>
          <w:lang w:val="de-DE"/>
        </w:rPr>
        <w:t>(</w:t>
      </w:r>
      <w:r w:rsidR="00D770A1" w:rsidRPr="00317449">
        <w:rPr>
          <w:i/>
          <w:szCs w:val="24"/>
          <w:lang w:val="de-DE"/>
        </w:rPr>
        <w:t>ad rem</w:t>
      </w:r>
      <w:r w:rsidR="00D770A1">
        <w:rPr>
          <w:szCs w:val="24"/>
          <w:lang w:val="de-DE"/>
        </w:rPr>
        <w:t>)</w:t>
      </w:r>
      <w:r w:rsidR="0035371D">
        <w:t xml:space="preserve">, která vytváří jednotu s reálnou </w:t>
      </w:r>
      <w:r w:rsidR="0035371D" w:rsidRPr="0035371D">
        <w:lastRenderedPageBreak/>
        <w:t>věcí</w:t>
      </w:r>
      <w:r w:rsidR="0035371D">
        <w:t xml:space="preserve"> </w:t>
      </w:r>
      <w:r w:rsidR="08163013">
        <w:t>(</w:t>
      </w:r>
      <w:r w:rsidR="08163013" w:rsidRPr="00075AD9">
        <w:rPr>
          <w:rStyle w:val="addmd"/>
          <w:i/>
        </w:rPr>
        <w:t>forma compositionis</w:t>
      </w:r>
      <w:r w:rsidR="08163013">
        <w:rPr>
          <w:rStyle w:val="addmd"/>
        </w:rPr>
        <w:t>).</w:t>
      </w:r>
      <w:r w:rsidR="08163013">
        <w:t xml:space="preserve"> Teoretický intelekt naopak přijímá v procesu abstrakce poznání od reálné věci (</w:t>
      </w:r>
      <w:r w:rsidR="08163013" w:rsidRPr="000C0750">
        <w:rPr>
          <w:i/>
        </w:rPr>
        <w:t>a re</w:t>
      </w:r>
      <w:r w:rsidR="08163013">
        <w:t xml:space="preserve">). </w:t>
      </w:r>
      <w:r w:rsidR="009F3DAC">
        <w:t>Generický rozdíl daný termíny „</w:t>
      </w:r>
      <w:r w:rsidR="009B60FC">
        <w:rPr>
          <w:i/>
          <w:iCs/>
        </w:rPr>
        <w:t xml:space="preserve">ad </w:t>
      </w:r>
      <w:proofErr w:type="gramStart"/>
      <w:r w:rsidR="009B60FC">
        <w:rPr>
          <w:i/>
          <w:iCs/>
        </w:rPr>
        <w:t>rem–</w:t>
      </w:r>
      <w:r w:rsidR="009F3DAC" w:rsidRPr="009F3DAC">
        <w:rPr>
          <w:i/>
          <w:iCs/>
        </w:rPr>
        <w:t>a re</w:t>
      </w:r>
      <w:proofErr w:type="gramEnd"/>
      <w:r w:rsidR="009F3DAC">
        <w:t xml:space="preserve">“ má zásadní charakter. </w:t>
      </w:r>
      <w:r w:rsidR="08163013">
        <w:t xml:space="preserve">Kompozice </w:t>
      </w:r>
      <w:r w:rsidR="009F3DAC">
        <w:t>praktického intelektu daná kauz</w:t>
      </w:r>
      <w:r w:rsidR="08163013">
        <w:t>álním spojením s reálnou věcí se tím zásadně liší od procesu abstrakce. Tím dostaneme dvojí typ poznané formy, který určuje dvojí rodově odlišný typ poznání. Abstraktní forma (</w:t>
      </w:r>
      <w:r w:rsidR="08163013" w:rsidRPr="00273106">
        <w:rPr>
          <w:rStyle w:val="addmd"/>
          <w:i/>
        </w:rPr>
        <w:t>forma abstractionis</w:t>
      </w:r>
      <w:r w:rsidR="08163013">
        <w:t xml:space="preserve">) </w:t>
      </w:r>
      <w:r w:rsidR="00280F36">
        <w:t xml:space="preserve">je </w:t>
      </w:r>
      <w:r w:rsidR="08163013">
        <w:t>daná „od“ věci směrem k univerzální a pouze potenciální predikaci</w:t>
      </w:r>
      <w:r w:rsidR="00280F36">
        <w:t xml:space="preserve">. Tím se </w:t>
      </w:r>
      <w:r w:rsidR="08163013">
        <w:t xml:space="preserve">zásadně </w:t>
      </w:r>
      <w:r w:rsidR="00280F36">
        <w:t xml:space="preserve">liší </w:t>
      </w:r>
      <w:r w:rsidR="08163013">
        <w:t xml:space="preserve">od kompoziční formy přímo spojené „s“ </w:t>
      </w:r>
      <w:r w:rsidR="00280F36">
        <w:t xml:space="preserve">danou </w:t>
      </w:r>
      <w:r w:rsidR="08163013">
        <w:t>věcí skrze operativní jednání v realitě (</w:t>
      </w:r>
      <w:r w:rsidR="08163013" w:rsidRPr="00075AD9">
        <w:rPr>
          <w:rStyle w:val="addmd"/>
          <w:i/>
        </w:rPr>
        <w:t>forma compositionis</w:t>
      </w:r>
      <w:r w:rsidR="08163013">
        <w:rPr>
          <w:rStyle w:val="addmd"/>
        </w:rPr>
        <w:t>)</w:t>
      </w:r>
      <w:r w:rsidR="08163013">
        <w:t>. Vztahem k první substanci jako kauzálně působícímu jsoucnu se zásadně odlišily dvě rodově odlišné operace intelektu</w:t>
      </w:r>
      <w:r w:rsidR="00327272">
        <w:t xml:space="preserve"> dané teoreticky a prakticky</w:t>
      </w:r>
      <w:r w:rsidR="08163013">
        <w:t>. Teoretický intelekt abstrahuje od reálné věci, praktický intelekt komponuje reálnou věc. D</w:t>
      </w:r>
      <w:r w:rsidR="08163013" w:rsidRPr="00273106">
        <w:t xml:space="preserve">efinice jednání </w:t>
      </w:r>
      <w:r w:rsidR="08163013">
        <w:t xml:space="preserve">se výslovně týká </w:t>
      </w:r>
      <w:r w:rsidR="08163013" w:rsidRPr="00273106">
        <w:t>praktického intelektu</w:t>
      </w:r>
      <w:r w:rsidR="08163013">
        <w:t xml:space="preserve">, jehož forma </w:t>
      </w:r>
      <w:r w:rsidR="001B709D">
        <w:t xml:space="preserve">umožňuje aktivní manipulaci věcí </w:t>
      </w:r>
      <w:r w:rsidR="08163013" w:rsidRPr="00273106">
        <w:t>(</w:t>
      </w:r>
      <w:r w:rsidR="08163013" w:rsidRPr="00273106">
        <w:rPr>
          <w:rStyle w:val="addmd"/>
          <w:i/>
        </w:rPr>
        <w:t>practicus intellectus habet formam operativam rei</w:t>
      </w:r>
      <w:r w:rsidR="08163013" w:rsidRPr="00273106">
        <w:t xml:space="preserve">). Operativní forma je dílo, které intelekt vytváří svou činností, v níž jeho záměr a prováděné dílo </w:t>
      </w:r>
      <w:r w:rsidR="08163013">
        <w:t xml:space="preserve">přímo zasahuje danou jedinečnou věc v realitě </w:t>
      </w:r>
      <w:r w:rsidR="08163013" w:rsidRPr="00273106">
        <w:t>(</w:t>
      </w:r>
      <w:r w:rsidR="08163013" w:rsidRPr="00273106">
        <w:rPr>
          <w:rStyle w:val="addmd"/>
          <w:i/>
        </w:rPr>
        <w:t>hoc componitur cum re operata</w:t>
      </w:r>
      <w:r w:rsidR="08163013" w:rsidRPr="00273106">
        <w:t xml:space="preserve">). </w:t>
      </w:r>
      <w:r w:rsidR="00D16E52" w:rsidRPr="00D16E52">
        <w:t xml:space="preserve">Takový druh praktického </w:t>
      </w:r>
      <w:r w:rsidR="00D16E52">
        <w:t>sylogismu se nazýval predikace „</w:t>
      </w:r>
      <w:r w:rsidR="00D16E52" w:rsidRPr="00D16E52">
        <w:rPr>
          <w:i/>
          <w:iCs/>
        </w:rPr>
        <w:t>in artificialibus</w:t>
      </w:r>
      <w:r w:rsidR="00D16E52">
        <w:rPr>
          <w:rStyle w:val="addmd"/>
          <w:i/>
        </w:rPr>
        <w:fldChar w:fldCharType="begin"/>
      </w:r>
      <w:r w:rsidR="00D16E52">
        <w:instrText xml:space="preserve"> XE "</w:instrText>
      </w:r>
      <w:r w:rsidR="00D16E52" w:rsidRPr="08982949">
        <w:rPr>
          <w:rStyle w:val="addmd"/>
        </w:rPr>
        <w:instrText>predikace:</w:instrText>
      </w:r>
      <w:r w:rsidR="00D16E52" w:rsidRPr="08982949">
        <w:rPr>
          <w:rStyle w:val="addmd"/>
          <w:i/>
        </w:rPr>
        <w:instrText>in artificialibus</w:instrText>
      </w:r>
      <w:r w:rsidR="00D16E52">
        <w:instrText xml:space="preserve">" </w:instrText>
      </w:r>
      <w:r w:rsidR="00D16E52">
        <w:rPr>
          <w:rStyle w:val="addmd"/>
          <w:i/>
        </w:rPr>
        <w:fldChar w:fldCharType="end"/>
      </w:r>
      <w:r w:rsidR="00D16E52" w:rsidRPr="00D16E52">
        <w:t xml:space="preserve">, protože </w:t>
      </w:r>
      <w:r w:rsidR="00D16E52">
        <w:t xml:space="preserve">řemeslná </w:t>
      </w:r>
      <w:r w:rsidR="00D16E52" w:rsidRPr="00D16E52">
        <w:t>tvorb</w:t>
      </w:r>
      <w:r w:rsidR="00D16E52">
        <w:t>a (</w:t>
      </w:r>
      <w:r w:rsidR="00D16E52" w:rsidRPr="00D16E52">
        <w:rPr>
          <w:i/>
        </w:rPr>
        <w:t>ars</w:t>
      </w:r>
      <w:r w:rsidR="00D16E52">
        <w:t xml:space="preserve">) </w:t>
      </w:r>
      <w:r w:rsidR="00D16E52" w:rsidRPr="00D16E52">
        <w:t>vytváří jednotu se skutečnou věcí.</w:t>
      </w:r>
      <w:r w:rsidR="00C87706">
        <w:t xml:space="preserve"> </w:t>
      </w:r>
      <w:r w:rsidR="08163013" w:rsidRPr="00273106">
        <w:t xml:space="preserve">Albertův příklad pro tuto formu </w:t>
      </w:r>
      <w:r w:rsidR="08163013">
        <w:t xml:space="preserve">praktické </w:t>
      </w:r>
      <w:r w:rsidR="08163013" w:rsidRPr="00273106">
        <w:t xml:space="preserve">kompozice </w:t>
      </w:r>
      <w:r w:rsidR="08163013">
        <w:t xml:space="preserve">intelektu a věci </w:t>
      </w:r>
      <w:r w:rsidR="08163013" w:rsidRPr="00273106">
        <w:t>je vzatý podle Aristotela. Zdraví je praktický záměr a cíl činnosti nejprve daný v mysli lékaře (</w:t>
      </w:r>
      <w:r w:rsidR="08163013" w:rsidRPr="00273106">
        <w:rPr>
          <w:rStyle w:val="addmd"/>
          <w:i/>
        </w:rPr>
        <w:t>quae est in anima medici</w:t>
      </w:r>
      <w:r w:rsidR="08163013" w:rsidRPr="00273106">
        <w:t xml:space="preserve">). </w:t>
      </w:r>
      <w:r w:rsidR="08163013">
        <w:t>S</w:t>
      </w:r>
      <w:r w:rsidR="08163013" w:rsidRPr="00273106">
        <w:t xml:space="preserve">krze jeho činnost se praktická idea stává reálnou </w:t>
      </w:r>
      <w:r w:rsidR="08163013">
        <w:t xml:space="preserve">formou </w:t>
      </w:r>
      <w:r w:rsidR="08163013" w:rsidRPr="00273106">
        <w:t>v těle pacienta (</w:t>
      </w:r>
      <w:r w:rsidR="08163013" w:rsidRPr="00273106">
        <w:rPr>
          <w:rStyle w:val="addmd"/>
          <w:i/>
        </w:rPr>
        <w:t>sanitas quae inducitur in aegro</w:t>
      </w:r>
      <w:r w:rsidR="08163013" w:rsidRPr="00273106">
        <w:t xml:space="preserve">). </w:t>
      </w:r>
      <w:r w:rsidR="08163013">
        <w:t xml:space="preserve">Kompozicí je tato činnost proto, že forma zdraví původně daná v lékaři je nyní převedena skrze </w:t>
      </w:r>
      <w:r w:rsidR="08163013" w:rsidRPr="00B90C1B">
        <w:rPr>
          <w:i/>
        </w:rPr>
        <w:t>intell</w:t>
      </w:r>
      <w:r w:rsidR="08163013">
        <w:rPr>
          <w:i/>
        </w:rPr>
        <w:t>e</w:t>
      </w:r>
      <w:r w:rsidR="08163013" w:rsidRPr="00B90C1B">
        <w:rPr>
          <w:i/>
        </w:rPr>
        <w:t>ctus practicus</w:t>
      </w:r>
      <w:r w:rsidR="08163013">
        <w:rPr>
          <w:i/>
        </w:rPr>
        <w:fldChar w:fldCharType="begin"/>
      </w:r>
      <w:r w:rsidR="08163013">
        <w:instrText xml:space="preserve"> XE "</w:instrText>
      </w:r>
      <w:r w:rsidR="08163013" w:rsidRPr="001A1255">
        <w:rPr>
          <w:i/>
        </w:rPr>
        <w:instrText>intellectus practicus</w:instrText>
      </w:r>
      <w:r w:rsidR="08163013">
        <w:instrText xml:space="preserve">" </w:instrText>
      </w:r>
      <w:r w:rsidR="08163013">
        <w:rPr>
          <w:i/>
        </w:rPr>
        <w:fldChar w:fldCharType="end"/>
      </w:r>
      <w:r w:rsidR="08163013">
        <w:t xml:space="preserve"> do h</w:t>
      </w:r>
      <w:r w:rsidR="00227C85">
        <w:t>ylemorfické substance pacienta.</w:t>
      </w:r>
      <w:r w:rsidR="00070154">
        <w:t xml:space="preserve"> </w:t>
      </w:r>
      <w:r w:rsidR="00070154" w:rsidRPr="00070154">
        <w:t xml:space="preserve">Hermeneutika zdůrazňuje, že tato teze vytváří jiný druh </w:t>
      </w:r>
      <w:r w:rsidR="00070154" w:rsidRPr="00070154">
        <w:rPr>
          <w:i/>
        </w:rPr>
        <w:t>dativus auctoris</w:t>
      </w:r>
      <w:r w:rsidR="00070154" w:rsidRPr="00070154">
        <w:t>, který se zásad</w:t>
      </w:r>
      <w:r w:rsidR="00070154">
        <w:t>ně liší od moderního dativu. P</w:t>
      </w:r>
      <w:r w:rsidR="00070154" w:rsidRPr="00070154">
        <w:t xml:space="preserve">rvní averroismus </w:t>
      </w:r>
      <w:r w:rsidR="00070154">
        <w:t xml:space="preserve">postavil </w:t>
      </w:r>
      <w:r w:rsidR="00070154" w:rsidRPr="00070154">
        <w:t>osob</w:t>
      </w:r>
      <w:r w:rsidR="00070154">
        <w:t>u jako subjekt vzhledem k jednání jako jsoucna, které přichází do prostoru dějinnné manifestace bytí (</w:t>
      </w:r>
      <w:r w:rsidR="00070154" w:rsidRPr="00070154">
        <w:rPr>
          <w:i/>
        </w:rPr>
        <w:t>Ge-S</w:t>
      </w:r>
      <w:r w:rsidR="00070154">
        <w:rPr>
          <w:i/>
        </w:rPr>
        <w:t>tell</w:t>
      </w:r>
      <w:r w:rsidR="00070154">
        <w:t>)</w:t>
      </w:r>
      <w:r w:rsidR="00070154" w:rsidRPr="00070154">
        <w:t xml:space="preserve">. </w:t>
      </w:r>
      <w:r w:rsidR="00070154">
        <w:t>Osoba p</w:t>
      </w:r>
      <w:r w:rsidR="00070154" w:rsidRPr="00070154">
        <w:t>ředstavuje hlavního aktéra</w:t>
      </w:r>
      <w:r w:rsidR="00070154">
        <w:t xml:space="preserve"> dějinně určené praxe (viz Marx)</w:t>
      </w:r>
      <w:r w:rsidR="00070154" w:rsidRPr="00070154">
        <w:t xml:space="preserve">, a to díky praktickému intelektu jako </w:t>
      </w:r>
      <w:r w:rsidR="00070154" w:rsidRPr="00070154">
        <w:rPr>
          <w:i/>
        </w:rPr>
        <w:t>tertium genus</w:t>
      </w:r>
      <w:r w:rsidR="00070154">
        <w:t xml:space="preserve"> (Albert). Moderna provádí zcela falešnou projekci </w:t>
      </w:r>
      <w:r w:rsidR="00070154" w:rsidRPr="00070154">
        <w:rPr>
          <w:i/>
        </w:rPr>
        <w:t>tertium ens</w:t>
      </w:r>
      <w:r w:rsidR="00070154" w:rsidRPr="00070154">
        <w:t xml:space="preserve">, </w:t>
      </w:r>
      <w:r w:rsidR="00070154">
        <w:t xml:space="preserve">které ustavuje v prostoru mytologicky uchopené praxe. Nejprve ustavila denudaci osoby jako moderní </w:t>
      </w:r>
      <w:r w:rsidR="00070154" w:rsidRPr="00070154">
        <w:rPr>
          <w:i/>
        </w:rPr>
        <w:t>individuum</w:t>
      </w:r>
      <w:r w:rsidR="00070154">
        <w:t xml:space="preserve">, které je chybně dána v modu </w:t>
      </w:r>
      <w:r w:rsidR="00070154" w:rsidRPr="00FB045F">
        <w:rPr>
          <w:i/>
        </w:rPr>
        <w:t>Oxfordian Fallacy</w:t>
      </w:r>
      <w:r w:rsidR="00070154">
        <w:t xml:space="preserve"> jako </w:t>
      </w:r>
      <w:r w:rsidR="00070154" w:rsidRPr="00070154">
        <w:rPr>
          <w:i/>
        </w:rPr>
        <w:t>quartum genus</w:t>
      </w:r>
      <w:r w:rsidR="00070154">
        <w:t xml:space="preserve">. Pak před toto individuum postavila další </w:t>
      </w:r>
      <w:r w:rsidR="00070154" w:rsidRPr="00070154">
        <w:t>mytologickou denudaci reálného jednání</w:t>
      </w:r>
      <w:r w:rsidR="00070154">
        <w:t xml:space="preserve">, které stojí na denudaci objektivního </w:t>
      </w:r>
      <w:r w:rsidR="00070154" w:rsidRPr="00070154">
        <w:t xml:space="preserve">dobra jako </w:t>
      </w:r>
      <w:r w:rsidR="00070154" w:rsidRPr="00070154">
        <w:rPr>
          <w:i/>
        </w:rPr>
        <w:t>tertium ens</w:t>
      </w:r>
      <w:r w:rsidR="00FB045F">
        <w:t xml:space="preserve"> působícího jako reálná </w:t>
      </w:r>
      <w:r w:rsidR="00FB045F">
        <w:rPr>
          <w:i/>
        </w:rPr>
        <w:t>causa</w:t>
      </w:r>
      <w:r w:rsidR="00FB045F" w:rsidRPr="00FB045F">
        <w:rPr>
          <w:i/>
        </w:rPr>
        <w:t xml:space="preserve"> efficiens</w:t>
      </w:r>
      <w:r w:rsidR="00FB045F">
        <w:t xml:space="preserve"> daná hyparchicky. </w:t>
      </w:r>
      <w:r w:rsidR="00070154" w:rsidRPr="00070154">
        <w:t xml:space="preserve">Založení moderny ve vztahu ke skutečnosti vytváří metafyzickou paranoiu. Neexistuje ani realita, ani skutečný </w:t>
      </w:r>
      <w:r w:rsidR="00070154" w:rsidRPr="00070154">
        <w:lastRenderedPageBreak/>
        <w:t>původce činností. Jedna abstrakce nahrazuje druhou.</w:t>
      </w:r>
      <w:r w:rsidR="00FB045F">
        <w:t xml:space="preserve"> </w:t>
      </w:r>
      <w:r w:rsidR="007D0DB6">
        <w:t xml:space="preserve">Bohužel, </w:t>
      </w:r>
      <w:r w:rsidR="00FB045F" w:rsidRPr="00FB045F">
        <w:t xml:space="preserve">tento </w:t>
      </w:r>
      <w:r w:rsidR="007D0DB6">
        <w:t xml:space="preserve">vyšinutý </w:t>
      </w:r>
      <w:r w:rsidR="00FB045F" w:rsidRPr="00FB045F">
        <w:t xml:space="preserve">jedinec a </w:t>
      </w:r>
      <w:r w:rsidR="00FB045F">
        <w:t xml:space="preserve">jeho </w:t>
      </w:r>
      <w:r w:rsidR="00FA2208">
        <w:t xml:space="preserve">mytologická </w:t>
      </w:r>
      <w:r w:rsidR="00FB045F">
        <w:t xml:space="preserve">praxe následně </w:t>
      </w:r>
      <w:r w:rsidR="00FB045F" w:rsidRPr="00FB045F">
        <w:t>představuje postmoderní subjekt společenských smluv a lidských práv.</w:t>
      </w:r>
    </w:p>
    <w:p w:rsidR="08163013" w:rsidRPr="00F44F21" w:rsidRDefault="08163013" w:rsidP="00F44F21">
      <w:pPr>
        <w:ind w:firstLine="397"/>
        <w:rPr>
          <w:snapToGrid w:val="0"/>
        </w:rPr>
      </w:pPr>
      <w:r w:rsidRPr="00273106">
        <w:t xml:space="preserve">Albert jasně vidí, že praktický intelekt dosahuje až do reálu, kde působí </w:t>
      </w:r>
      <w:r w:rsidR="00382477">
        <w:t xml:space="preserve">jako osoba </w:t>
      </w:r>
      <w:proofErr w:type="gramStart"/>
      <w:r w:rsidR="00382477">
        <w:t xml:space="preserve">také </w:t>
      </w:r>
      <w:r w:rsidRPr="00273106">
        <w:t xml:space="preserve"> kauzálně</w:t>
      </w:r>
      <w:proofErr w:type="gramEnd"/>
      <w:r w:rsidR="0028014F">
        <w:t xml:space="preserve">, protože kompozice se týká přímo i </w:t>
      </w:r>
      <w:r w:rsidR="001730D1">
        <w:t xml:space="preserve">přetvářené </w:t>
      </w:r>
      <w:r>
        <w:t>materie. Praktický intelekt neprodukuje univerzální formu danou pouze v mysli</w:t>
      </w:r>
      <w:r w:rsidRPr="00273106">
        <w:t>. Specifický objekt praktické činnosti je reálně uskutečněné dílo, v tomto případě uzdravený pacient</w:t>
      </w:r>
      <w:r>
        <w:t xml:space="preserve">. V etice je to dobrý nebo špatný skutek. Ale tyto činnosti jsou jedinečné aktuální činy a díla, a ne univerzální pojmy. </w:t>
      </w:r>
      <w:r w:rsidR="002177FE" w:rsidRPr="002177FE">
        <w:t>Díky této původní činnosti intelektu v realitě se poznávající subjekt a poznávaný objekt spojují ve spe</w:t>
      </w:r>
      <w:r w:rsidR="002177FE">
        <w:t xml:space="preserve">cifické </w:t>
      </w:r>
      <w:r w:rsidR="002177FE" w:rsidRPr="002177FE">
        <w:t>činnosti, která manifestuje aktualizovaný předmět činnosti (</w:t>
      </w:r>
      <w:r w:rsidR="002177FE" w:rsidRPr="002177FE">
        <w:rPr>
          <w:i/>
          <w:iCs/>
        </w:rPr>
        <w:t>res operata</w:t>
      </w:r>
      <w:r w:rsidR="002177FE">
        <w:t xml:space="preserve">). </w:t>
      </w:r>
      <w:r>
        <w:t>T</w:t>
      </w:r>
      <w:r w:rsidRPr="00273106">
        <w:t>eoretický intelekt není schopen tohoto druhu individuální kompozice, protože má jiný druh formálního objektu poznání (</w:t>
      </w:r>
      <w:r w:rsidRPr="00273106">
        <w:rPr>
          <w:rStyle w:val="addmd"/>
          <w:i/>
        </w:rPr>
        <w:t>forma vero quae est in intellectu speculativo</w:t>
      </w:r>
      <w:r w:rsidRPr="00273106">
        <w:t xml:space="preserve">). </w:t>
      </w:r>
      <w:r w:rsidR="003C3497">
        <w:t>Povaha predikace zvaná „</w:t>
      </w:r>
      <w:r w:rsidR="00931CFB" w:rsidRPr="00931CFB">
        <w:rPr>
          <w:i/>
          <w:iCs/>
        </w:rPr>
        <w:t>in artificialibus</w:t>
      </w:r>
      <w:r w:rsidR="003C3497">
        <w:t>“</w:t>
      </w:r>
      <w:r w:rsidR="00931CFB" w:rsidRPr="00931CFB">
        <w:t xml:space="preserve"> tvořila </w:t>
      </w:r>
      <w:r w:rsidR="00931CFB" w:rsidRPr="00931CFB">
        <w:rPr>
          <w:i/>
          <w:iCs/>
        </w:rPr>
        <w:t>Lichtung</w:t>
      </w:r>
      <w:r w:rsidR="00931CFB">
        <w:t xml:space="preserve"> pravdy a nepravdy, která</w:t>
      </w:r>
      <w:r w:rsidR="00931CFB" w:rsidRPr="00931CFB">
        <w:t xml:space="preserve"> kolem roku 1240 oddělil</w:t>
      </w:r>
      <w:r w:rsidR="00931CFB">
        <w:t>a</w:t>
      </w:r>
      <w:r w:rsidR="00931CFB" w:rsidRPr="00931CFB">
        <w:t xml:space="preserve"> školu prvního a druhého averroismu. </w:t>
      </w:r>
      <w:r w:rsidRPr="08FB707C">
        <w:t xml:space="preserve">Albert </w:t>
      </w:r>
      <w:r w:rsidR="007F70DB">
        <w:t xml:space="preserve">se </w:t>
      </w:r>
      <w:r>
        <w:t xml:space="preserve">definitivně </w:t>
      </w:r>
      <w:r w:rsidRPr="08FB707C">
        <w:t xml:space="preserve">rozešel </w:t>
      </w:r>
      <w:r>
        <w:t xml:space="preserve">okolo roku 1240 </w:t>
      </w:r>
      <w:r w:rsidRPr="08FB707C">
        <w:t xml:space="preserve">se školou </w:t>
      </w:r>
      <w:r w:rsidRPr="08FB707C">
        <w:rPr>
          <w:i/>
        </w:rPr>
        <w:t>Modernorum</w:t>
      </w:r>
      <w:r w:rsidRPr="08FB707C">
        <w:t xml:space="preserve"> kol</w:t>
      </w:r>
      <w:r>
        <w:t>em Rufuse</w:t>
      </w:r>
      <w:r w:rsidR="00931CFB">
        <w:t xml:space="preserve">, Bonaventury </w:t>
      </w:r>
      <w:r>
        <w:t>a Kilwardbyho</w:t>
      </w:r>
      <w:r w:rsidRPr="08FB707C">
        <w:t xml:space="preserve">. </w:t>
      </w:r>
      <w:r w:rsidRPr="00273106">
        <w:t>Forma vzniklá v procesu abstrakce nejde k věci jako u praktického intelektu</w:t>
      </w:r>
      <w:r>
        <w:t xml:space="preserve"> (</w:t>
      </w:r>
      <w:r w:rsidRPr="00273106">
        <w:rPr>
          <w:rStyle w:val="addmd"/>
          <w:i/>
        </w:rPr>
        <w:t>non est ad rem</w:t>
      </w:r>
      <w:r>
        <w:t>)</w:t>
      </w:r>
      <w:r w:rsidRPr="00273106">
        <w:t>, ale pohybuje se pouze v oblasti univerzální abstrakce (</w:t>
      </w:r>
      <w:r w:rsidRPr="00273106">
        <w:rPr>
          <w:rStyle w:val="addmd"/>
          <w:i/>
        </w:rPr>
        <w:t>a re per abstractionem</w:t>
      </w:r>
      <w:r w:rsidRPr="00273106">
        <w:t>). První averroismus dobře věděl</w:t>
      </w:r>
      <w:r>
        <w:t xml:space="preserve"> na rozdíl od moderny</w:t>
      </w:r>
      <w:r w:rsidRPr="00273106">
        <w:t xml:space="preserve">, že </w:t>
      </w:r>
      <w:r w:rsidR="00CE6824">
        <w:t xml:space="preserve">spis </w:t>
      </w:r>
      <w:r w:rsidRPr="08884CDB">
        <w:rPr>
          <w:i/>
        </w:rPr>
        <w:t>Etika</w:t>
      </w:r>
      <w:r w:rsidRPr="00273106">
        <w:t xml:space="preserve"> definuje </w:t>
      </w:r>
      <w:r>
        <w:t xml:space="preserve">zcela specifickou </w:t>
      </w:r>
      <w:r w:rsidRPr="00273106">
        <w:rPr>
          <w:snapToGrid w:val="0"/>
        </w:rPr>
        <w:t>podobu pravdy pro praktický intelekt (</w:t>
      </w:r>
      <w:r w:rsidRPr="00273106">
        <w:t xml:space="preserve">ἀλήθεια πρακτική, </w:t>
      </w:r>
      <w:r w:rsidRPr="007E146C">
        <w:rPr>
          <w:iCs/>
        </w:rPr>
        <w:t>E.N</w:t>
      </w:r>
      <w:r w:rsidRPr="007E146C">
        <w:t>.</w:t>
      </w:r>
      <w:r w:rsidRPr="00273106">
        <w:t xml:space="preserve"> 1139</w:t>
      </w:r>
      <w:r>
        <w:t>a</w:t>
      </w:r>
      <w:r w:rsidRPr="00273106">
        <w:t>26</w:t>
      </w:r>
      <w:r>
        <w:fldChar w:fldCharType="begin"/>
      </w:r>
      <w:r>
        <w:instrText xml:space="preserve"> XE "</w:instrText>
      </w:r>
      <w:proofErr w:type="gramStart"/>
      <w:r>
        <w:instrText>Aristoteles:</w:instrText>
      </w:r>
      <w:r w:rsidRPr="007E146C">
        <w:rPr>
          <w:iCs/>
        </w:rPr>
        <w:instrText>E.N</w:instrText>
      </w:r>
      <w:r w:rsidRPr="007E146C">
        <w:instrText>.</w:instrText>
      </w:r>
      <w:proofErr w:type="gramEnd"/>
      <w:r w:rsidRPr="00F2216C">
        <w:instrText xml:space="preserve"> 1139</w:instrText>
      </w:r>
      <w:r w:rsidRPr="00F2216C">
        <w:rPr>
          <w:vertAlign w:val="superscript"/>
        </w:rPr>
        <w:instrText>a</w:instrText>
      </w:r>
      <w:r w:rsidRPr="00F2216C">
        <w:instrText>26</w:instrText>
      </w:r>
      <w:r>
        <w:instrText xml:space="preserve">" </w:instrText>
      </w:r>
      <w:r>
        <w:fldChar w:fldCharType="end"/>
      </w:r>
      <w:r w:rsidRPr="00273106">
        <w:rPr>
          <w:snapToGrid w:val="0"/>
        </w:rPr>
        <w:t xml:space="preserve">). </w:t>
      </w:r>
      <w:r>
        <w:rPr>
          <w:snapToGrid w:val="0"/>
        </w:rPr>
        <w:t>Poznání praktického intelektu je adekvací vzhledem k prováděnému dílu a ne vzhl</w:t>
      </w:r>
      <w:r w:rsidR="00F44F21">
        <w:rPr>
          <w:snapToGrid w:val="0"/>
        </w:rPr>
        <w:t xml:space="preserve">edem k teoreticky poznané věci. </w:t>
      </w:r>
      <w:r w:rsidR="00F44F21" w:rsidRPr="00F44F21">
        <w:rPr>
          <w:snapToGrid w:val="0"/>
        </w:rPr>
        <w:t>Díky obhajobě praktického rozumu a pravdy je politika a etika možná jako samostatná forma lidského jednání. Jsou spojeny s osobním jednáním, které Aris</w:t>
      </w:r>
      <w:r w:rsidR="00F44F21">
        <w:rPr>
          <w:snapToGrid w:val="0"/>
        </w:rPr>
        <w:t>toteles původně definoval jako „</w:t>
      </w:r>
      <w:r w:rsidR="00F44F21" w:rsidRPr="00F44F21">
        <w:rPr>
          <w:snapToGrid w:val="0"/>
        </w:rPr>
        <w:t xml:space="preserve">lidskou </w:t>
      </w:r>
      <w:r w:rsidR="00F44F21">
        <w:rPr>
          <w:snapToGrid w:val="0"/>
        </w:rPr>
        <w:t xml:space="preserve">výtečnost“ </w:t>
      </w:r>
      <w:r w:rsidR="00F44F21" w:rsidRPr="00F44F21">
        <w:rPr>
          <w:snapToGrid w:val="0"/>
        </w:rPr>
        <w:t>(ἀρήτη).</w:t>
      </w:r>
      <w:r w:rsidR="00F44F21">
        <w:rPr>
          <w:snapToGrid w:val="0"/>
        </w:rPr>
        <w:t xml:space="preserve"> </w:t>
      </w:r>
      <w:r>
        <w:t xml:space="preserve">Tuto politickou schopnost </w:t>
      </w:r>
      <w:r w:rsidR="003D3727">
        <w:t xml:space="preserve">nově </w:t>
      </w:r>
      <w:r>
        <w:t xml:space="preserve">ocenila Arendtová v brilantních </w:t>
      </w:r>
      <w:r w:rsidRPr="00273106">
        <w:t xml:space="preserve">analýzách politické praxe a svobody. Spis </w:t>
      </w:r>
      <w:r w:rsidRPr="00273106">
        <w:rPr>
          <w:i/>
        </w:rPr>
        <w:t>De homine</w:t>
      </w:r>
      <w:r>
        <w:t xml:space="preserve"> </w:t>
      </w:r>
      <w:r w:rsidRPr="00273106">
        <w:t>položil základy pro samostatnou etiku a politiku</w:t>
      </w:r>
      <w:r>
        <w:t xml:space="preserve"> v rámci vědecké definice praktického intelektu pojatého podle </w:t>
      </w:r>
      <w:r w:rsidRPr="08D57EBB">
        <w:rPr>
          <w:i/>
        </w:rPr>
        <w:t>Druhých analytik</w:t>
      </w:r>
      <w:r w:rsidRPr="00273106">
        <w:t xml:space="preserve">. Albert </w:t>
      </w:r>
      <w:r w:rsidR="00926740">
        <w:t xml:space="preserve">inspirovaný Averroesem </w:t>
      </w:r>
      <w:r w:rsidRPr="00273106">
        <w:t xml:space="preserve">vytvořil </w:t>
      </w:r>
      <w:r>
        <w:t xml:space="preserve">na latinském Západě po první teorii </w:t>
      </w:r>
      <w:r w:rsidRPr="00273106">
        <w:t xml:space="preserve">dvou složek intelektu, z nichž každá má svou pravdu, svou formu a svůj obor poznání. </w:t>
      </w:r>
      <w:r>
        <w:t xml:space="preserve">Tento </w:t>
      </w:r>
      <w:r w:rsidRPr="00273106">
        <w:rPr>
          <w:rStyle w:val="addmd"/>
        </w:rPr>
        <w:t xml:space="preserve">výklad </w:t>
      </w:r>
      <w:r>
        <w:rPr>
          <w:rStyle w:val="addmd"/>
        </w:rPr>
        <w:t xml:space="preserve">převzal </w:t>
      </w:r>
      <w:r w:rsidRPr="00273106">
        <w:rPr>
          <w:rStyle w:val="addmd"/>
        </w:rPr>
        <w:t>zakladatel humanismu Dante</w:t>
      </w:r>
      <w:r>
        <w:rPr>
          <w:rStyle w:val="addmd"/>
        </w:rPr>
        <w:fldChar w:fldCharType="begin"/>
      </w:r>
      <w:r>
        <w:instrText xml:space="preserve"> XE "</w:instrText>
      </w:r>
      <w:r w:rsidRPr="00E871B9">
        <w:instrText>Dante, A.</w:instrText>
      </w:r>
      <w:r>
        <w:instrText xml:space="preserve">" </w:instrText>
      </w:r>
      <w:r>
        <w:rPr>
          <w:rStyle w:val="addmd"/>
        </w:rPr>
        <w:fldChar w:fldCharType="end"/>
      </w:r>
      <w:r w:rsidRPr="00273106">
        <w:rPr>
          <w:rStyle w:val="addmd"/>
        </w:rPr>
        <w:t xml:space="preserve"> ve výše uvedeném díle </w:t>
      </w:r>
      <w:r w:rsidRPr="00273106">
        <w:rPr>
          <w:rStyle w:val="addmd"/>
          <w:i/>
        </w:rPr>
        <w:t>Monarchia</w:t>
      </w:r>
      <w:r w:rsidRPr="00273106">
        <w:rPr>
          <w:rStyle w:val="addmd"/>
        </w:rPr>
        <w:t>, které předkládá první humanistickou formu extenze teoretického rozumu do praktického. Politická a duchovní jednota lidstva postupně uskutečněná v rámci křesťanského kosmopolitismu</w:t>
      </w:r>
      <w:r>
        <w:rPr>
          <w:rStyle w:val="addmd"/>
        </w:rPr>
        <w:t xml:space="preserve"> se stává epochálně novou </w:t>
      </w:r>
      <w:r w:rsidR="0024784D">
        <w:rPr>
          <w:rStyle w:val="addmd"/>
        </w:rPr>
        <w:t>„</w:t>
      </w:r>
      <w:r w:rsidRPr="00273106">
        <w:rPr>
          <w:rStyle w:val="addmd"/>
          <w:i/>
        </w:rPr>
        <w:t>forma compositionis</w:t>
      </w:r>
      <w:r w:rsidR="0024784D">
        <w:rPr>
          <w:rStyle w:val="addmd"/>
        </w:rPr>
        <w:t>“</w:t>
      </w:r>
      <w:r>
        <w:rPr>
          <w:rStyle w:val="addmd"/>
          <w:i/>
        </w:rPr>
        <w:fldChar w:fldCharType="begin"/>
      </w:r>
      <w:r>
        <w:instrText xml:space="preserve"> XE </w:instrText>
      </w:r>
      <w:r>
        <w:lastRenderedPageBreak/>
        <w:instrText xml:space="preserve">"humanismus:aristotelský" </w:instrText>
      </w:r>
      <w:r>
        <w:rPr>
          <w:rStyle w:val="addmd"/>
          <w:i/>
        </w:rPr>
        <w:fldChar w:fldCharType="end"/>
      </w:r>
      <w:r w:rsidRPr="00273106">
        <w:rPr>
          <w:rStyle w:val="addmd"/>
        </w:rPr>
        <w:t>.</w:t>
      </w:r>
      <w:r>
        <w:rPr>
          <w:rStyle w:val="addmd"/>
        </w:rPr>
        <w:t xml:space="preserve"> Zapomenutý první averroimus Alberta, Sigera, Bacona a Danteho (a nikoliv teokratického teologa Akvinského) představuje základ evropského humanismu a autonomní politické vědy. Z předchozího výkladu extenze teoretického intelektu do praktického je jasné, že sofistická moderna neměla na to, aby vědecky obhájila autonomii lidského jednání v rámci jedinečné svobodné osoby. </w:t>
      </w:r>
    </w:p>
    <w:p w:rsidR="08163013" w:rsidRPr="00273106" w:rsidRDefault="00EB3A0B" w:rsidP="08163013">
      <w:pPr>
        <w:ind w:firstLine="397"/>
        <w:rPr>
          <w:rStyle w:val="addmd"/>
        </w:rPr>
      </w:pPr>
      <w:r>
        <w:rPr>
          <w:rStyle w:val="addmd"/>
        </w:rPr>
        <w:t>Bacon podal</w:t>
      </w:r>
      <w:r w:rsidR="08163013" w:rsidRPr="00273106">
        <w:rPr>
          <w:rStyle w:val="addmd"/>
        </w:rPr>
        <w:t xml:space="preserve"> pod</w:t>
      </w:r>
      <w:r w:rsidR="08163013">
        <w:rPr>
          <w:rStyle w:val="addmd"/>
        </w:rPr>
        <w:t xml:space="preserve">obný výklad termínu </w:t>
      </w:r>
      <w:r>
        <w:rPr>
          <w:rStyle w:val="addmd"/>
        </w:rPr>
        <w:t>„</w:t>
      </w:r>
      <w:r w:rsidR="08163013" w:rsidRPr="00273106">
        <w:rPr>
          <w:rStyle w:val="addmd"/>
          <w:i/>
        </w:rPr>
        <w:t>extensione fit practicus</w:t>
      </w:r>
      <w:r>
        <w:rPr>
          <w:rStyle w:val="addmd"/>
        </w:rPr>
        <w:t>“</w:t>
      </w:r>
      <w:r w:rsidR="08163013" w:rsidRPr="087E05A1">
        <w:rPr>
          <w:rStyle w:val="addmd"/>
        </w:rPr>
        <w:t xml:space="preserve"> </w:t>
      </w:r>
      <w:r w:rsidR="08163013">
        <w:rPr>
          <w:rStyle w:val="addmd"/>
        </w:rPr>
        <w:t>okolo roku 1245</w:t>
      </w:r>
      <w:r w:rsidR="08163013">
        <w:rPr>
          <w:i/>
        </w:rPr>
        <w:fldChar w:fldCharType="begin"/>
      </w:r>
      <w:r w:rsidR="08163013">
        <w:instrText xml:space="preserve"> XE "intelekt:</w:instrText>
      </w:r>
      <w:r w:rsidR="08163013" w:rsidRPr="000614C2">
        <w:rPr>
          <w:i/>
        </w:rPr>
        <w:instrText>extensione fit practicus</w:instrText>
      </w:r>
      <w:r w:rsidR="08163013">
        <w:instrText xml:space="preserve">" </w:instrText>
      </w:r>
      <w:r w:rsidR="08163013">
        <w:rPr>
          <w:i/>
        </w:rPr>
        <w:fldChar w:fldCharType="end"/>
      </w:r>
      <w:r w:rsidR="08163013" w:rsidRPr="00273106">
        <w:rPr>
          <w:rStyle w:val="addmd"/>
        </w:rPr>
        <w:t xml:space="preserve">, kdy </w:t>
      </w:r>
      <w:r w:rsidR="08163013">
        <w:rPr>
          <w:rStyle w:val="addmd"/>
        </w:rPr>
        <w:t xml:space="preserve">prováděl </w:t>
      </w:r>
      <w:r w:rsidR="08163013" w:rsidRPr="00273106">
        <w:rPr>
          <w:rStyle w:val="addmd"/>
        </w:rPr>
        <w:t xml:space="preserve">první </w:t>
      </w:r>
      <w:r w:rsidR="08163013">
        <w:rPr>
          <w:rStyle w:val="addmd"/>
        </w:rPr>
        <w:t>kritiku</w:t>
      </w:r>
      <w:r w:rsidR="08163013" w:rsidRPr="00273106">
        <w:rPr>
          <w:rStyle w:val="addmd"/>
        </w:rPr>
        <w:t xml:space="preserve"> druhé</w:t>
      </w:r>
      <w:r w:rsidR="08163013">
        <w:rPr>
          <w:rStyle w:val="addmd"/>
        </w:rPr>
        <w:t>ho averroismu</w:t>
      </w:r>
      <w:r w:rsidR="08163013" w:rsidRPr="00273106">
        <w:rPr>
          <w:rStyle w:val="addmd"/>
        </w:rPr>
        <w:t xml:space="preserve">. Jeho komentáře Aristotelovy </w:t>
      </w:r>
      <w:r w:rsidR="08163013">
        <w:rPr>
          <w:rStyle w:val="addmd"/>
        </w:rPr>
        <w:t xml:space="preserve">praktické </w:t>
      </w:r>
      <w:r w:rsidR="08163013" w:rsidRPr="00273106">
        <w:rPr>
          <w:rStyle w:val="addmd"/>
        </w:rPr>
        <w:t xml:space="preserve">filosofie jsou ovlivněny </w:t>
      </w:r>
      <w:r w:rsidR="08163013">
        <w:rPr>
          <w:rStyle w:val="addmd"/>
        </w:rPr>
        <w:t>Averroes</w:t>
      </w:r>
      <w:r w:rsidR="08163013" w:rsidRPr="00273106">
        <w:rPr>
          <w:rStyle w:val="addmd"/>
        </w:rPr>
        <w:t xml:space="preserve">ovým komentářem k </w:t>
      </w:r>
      <w:r w:rsidR="08163013" w:rsidRPr="08AD2120">
        <w:rPr>
          <w:rStyle w:val="addmd"/>
          <w:i/>
        </w:rPr>
        <w:t>Metafyzice</w:t>
      </w:r>
      <w:r w:rsidR="08163013">
        <w:rPr>
          <w:rStyle w:val="addmd"/>
        </w:rPr>
        <w:t xml:space="preserve">, proto se liší od Albertova výkladu </w:t>
      </w:r>
      <w:r w:rsidR="08163013" w:rsidRPr="085F312B">
        <w:rPr>
          <w:rStyle w:val="addmd"/>
          <w:i/>
        </w:rPr>
        <w:t>De homine</w:t>
      </w:r>
      <w:r w:rsidR="08163013">
        <w:rPr>
          <w:rStyle w:val="addmd"/>
        </w:rPr>
        <w:t xml:space="preserve"> ovlivněného výkladem CMDA</w:t>
      </w:r>
      <w:r w:rsidR="08163013" w:rsidRPr="00273106">
        <w:rPr>
          <w:rStyle w:val="addmd"/>
        </w:rPr>
        <w:t xml:space="preserve">. </w:t>
      </w:r>
      <w:r w:rsidR="001832B2" w:rsidRPr="001832B2">
        <w:rPr>
          <w:rStyle w:val="addmd"/>
        </w:rPr>
        <w:t>Definice praktického intelektu je podána s ohledem na sebereflexi spekulativního intelektu, která se uskutečňuje prostřednictvím přímé kontemplace pravdy. Tím se spekulativní intelekt liší od praktického intelektu</w:t>
      </w:r>
      <w:r w:rsidR="001832B2">
        <w:rPr>
          <w:rStyle w:val="addmd"/>
        </w:rPr>
        <w:t xml:space="preserve">. Ten </w:t>
      </w:r>
      <w:r w:rsidR="001832B2" w:rsidRPr="001832B2">
        <w:rPr>
          <w:rStyle w:val="addmd"/>
        </w:rPr>
        <w:t xml:space="preserve">se aktualizuje </w:t>
      </w:r>
      <w:r w:rsidR="001832B2">
        <w:rPr>
          <w:rStyle w:val="addmd"/>
        </w:rPr>
        <w:t xml:space="preserve">mediací, která </w:t>
      </w:r>
      <w:r w:rsidR="001832B2" w:rsidRPr="001832B2">
        <w:rPr>
          <w:rStyle w:val="addmd"/>
        </w:rPr>
        <w:t xml:space="preserve">získává </w:t>
      </w:r>
      <w:r w:rsidR="001832B2">
        <w:rPr>
          <w:rStyle w:val="addmd"/>
        </w:rPr>
        <w:t xml:space="preserve">požadované </w:t>
      </w:r>
      <w:r w:rsidR="001832B2" w:rsidRPr="001832B2">
        <w:rPr>
          <w:rStyle w:val="addmd"/>
        </w:rPr>
        <w:t>dobro.</w:t>
      </w:r>
      <w:r w:rsidR="08163013">
        <w:rPr>
          <w:rStyle w:val="addmd"/>
        </w:rPr>
        <w:t xml:space="preserve"> </w:t>
      </w:r>
    </w:p>
    <w:p w:rsidR="08163013" w:rsidRDefault="08163013" w:rsidP="08163013">
      <w:pPr>
        <w:pStyle w:val="Citace"/>
        <w:rPr>
          <w:rStyle w:val="addmd"/>
        </w:rPr>
      </w:pPr>
      <w:r w:rsidRPr="00273106">
        <w:rPr>
          <w:rStyle w:val="addmd"/>
          <w:noProof/>
          <w:lang w:val="cs-CZ"/>
        </w:rPr>
        <w:t>„</w:t>
      </w:r>
      <w:r>
        <w:rPr>
          <w:rStyle w:val="addmd"/>
          <w:noProof/>
          <w:lang w:val="cs-CZ"/>
        </w:rPr>
        <w:t>Jakmile intelekt vidí a poznává onu pravdu, kterou sám ze sebe předává, pak se spekulativní intelekt tímto rozšířením stává praktickým (</w:t>
      </w:r>
      <w:r w:rsidRPr="008B4591">
        <w:rPr>
          <w:rStyle w:val="addmd"/>
          <w:i/>
          <w:noProof/>
          <w:lang w:val="cs-CZ"/>
        </w:rPr>
        <w:t>intellectus speculativus extensione fit practicus</w:t>
      </w:r>
      <w:r>
        <w:rPr>
          <w:rStyle w:val="addmd"/>
          <w:noProof/>
          <w:lang w:val="cs-CZ"/>
        </w:rPr>
        <w:t>). Bez další mediace (</w:t>
      </w:r>
      <w:r w:rsidRPr="008B4591">
        <w:rPr>
          <w:rStyle w:val="addmd"/>
          <w:i/>
          <w:noProof/>
          <w:lang w:val="cs-CZ"/>
        </w:rPr>
        <w:t>sine medio</w:t>
      </w:r>
      <w:r w:rsidR="00A14CFA">
        <w:rPr>
          <w:rStyle w:val="addmd"/>
          <w:noProof/>
          <w:lang w:val="cs-CZ"/>
        </w:rPr>
        <w:t xml:space="preserve">) touží po této pravdě </w:t>
      </w:r>
      <w:r>
        <w:rPr>
          <w:rStyle w:val="addmd"/>
          <w:noProof/>
          <w:lang w:val="cs-CZ"/>
        </w:rPr>
        <w:t>(</w:t>
      </w:r>
      <w:r w:rsidRPr="009445F0">
        <w:rPr>
          <w:rStyle w:val="addmd"/>
          <w:i/>
          <w:noProof/>
          <w:lang w:val="cs-CZ"/>
        </w:rPr>
        <w:t>ad diligendum ipsum</w:t>
      </w:r>
      <w:r>
        <w:rPr>
          <w:rStyle w:val="addmd"/>
          <w:noProof/>
          <w:lang w:val="cs-CZ"/>
        </w:rPr>
        <w:t>). Spekulativní intelekt k tomu nepotřebuje žádného prostředníka, protože tuto touhu má dostatečně danou sám v sobě (</w:t>
      </w:r>
      <w:r w:rsidRPr="00461310">
        <w:rPr>
          <w:rStyle w:val="addmd"/>
          <w:i/>
          <w:noProof/>
          <w:lang w:val="cs-CZ"/>
        </w:rPr>
        <w:t>sufficienter sine medio diligitur</w:t>
      </w:r>
      <w:r>
        <w:rPr>
          <w:rStyle w:val="addmd"/>
          <w:noProof/>
          <w:lang w:val="cs-CZ"/>
        </w:rPr>
        <w:t>) a tak se stává totožný s praktickým intelektem (</w:t>
      </w:r>
      <w:r w:rsidRPr="009445F0">
        <w:rPr>
          <w:rStyle w:val="addmd"/>
          <w:i/>
          <w:noProof/>
          <w:lang w:val="cs-CZ"/>
        </w:rPr>
        <w:t>speculatur ille idem practicus per medium</w:t>
      </w:r>
      <w:r>
        <w:rPr>
          <w:rStyle w:val="addmd"/>
          <w:noProof/>
          <w:lang w:val="cs-CZ"/>
        </w:rPr>
        <w:t>). Z toho vyplývá, praktický intelekt zprostředkovává jednání dané chtěním (</w:t>
      </w:r>
      <w:r w:rsidRPr="009445F0">
        <w:rPr>
          <w:i/>
          <w:noProof/>
          <w:szCs w:val="19"/>
          <w:lang w:val="cs-CZ"/>
        </w:rPr>
        <w:t xml:space="preserve">medium </w:t>
      </w:r>
      <w:r w:rsidRPr="009445F0">
        <w:rPr>
          <w:i/>
          <w:noProof/>
          <w:szCs w:val="13"/>
          <w:lang w:val="cs-CZ"/>
        </w:rPr>
        <w:t xml:space="preserve">in </w:t>
      </w:r>
      <w:r w:rsidRPr="009445F0">
        <w:rPr>
          <w:i/>
          <w:noProof/>
          <w:szCs w:val="15"/>
          <w:lang w:val="cs-CZ"/>
        </w:rPr>
        <w:t xml:space="preserve">via </w:t>
      </w:r>
      <w:r w:rsidRPr="009445F0">
        <w:rPr>
          <w:i/>
          <w:noProof/>
          <w:szCs w:val="14"/>
          <w:lang w:val="cs-CZ"/>
        </w:rPr>
        <w:t>diligendi</w:t>
      </w:r>
      <w:r>
        <w:rPr>
          <w:rStyle w:val="addmd"/>
          <w:noProof/>
          <w:lang w:val="cs-CZ"/>
        </w:rPr>
        <w:t>) a spekulativní intelekt zprostředkovává jednání dané kontemplací (</w:t>
      </w:r>
      <w:r w:rsidRPr="009445F0">
        <w:rPr>
          <w:i/>
          <w:noProof/>
          <w:szCs w:val="19"/>
          <w:lang w:val="cs-CZ"/>
        </w:rPr>
        <w:t xml:space="preserve">medium </w:t>
      </w:r>
      <w:r w:rsidRPr="009445F0">
        <w:rPr>
          <w:i/>
          <w:noProof/>
          <w:szCs w:val="13"/>
          <w:lang w:val="cs-CZ"/>
        </w:rPr>
        <w:t xml:space="preserve">in </w:t>
      </w:r>
      <w:r w:rsidRPr="009445F0">
        <w:rPr>
          <w:i/>
          <w:noProof/>
          <w:szCs w:val="15"/>
          <w:lang w:val="cs-CZ"/>
        </w:rPr>
        <w:t>via speculandi</w:t>
      </w:r>
      <w:r>
        <w:rPr>
          <w:noProof/>
          <w:szCs w:val="15"/>
          <w:lang w:val="cs-CZ"/>
        </w:rPr>
        <w:t>). </w:t>
      </w:r>
      <w:r>
        <w:rPr>
          <w:rStyle w:val="Znakapoznpodarou"/>
        </w:rPr>
        <w:footnoteReference w:id="547"/>
      </w:r>
    </w:p>
    <w:p w:rsidR="006C3218" w:rsidRDefault="08163013" w:rsidP="00031196">
      <w:pPr>
        <w:rPr>
          <w:rStyle w:val="addmd"/>
        </w:rPr>
      </w:pPr>
      <w:r>
        <w:rPr>
          <w:rStyle w:val="addmd"/>
        </w:rPr>
        <w:t>P</w:t>
      </w:r>
      <w:r w:rsidRPr="00273106">
        <w:rPr>
          <w:rStyle w:val="addmd"/>
        </w:rPr>
        <w:t>ravda je ze své podstaty účinná v realitě</w:t>
      </w:r>
      <w:r>
        <w:rPr>
          <w:rStyle w:val="addmd"/>
        </w:rPr>
        <w:t xml:space="preserve"> </w:t>
      </w:r>
      <w:r w:rsidRPr="00273106">
        <w:rPr>
          <w:rStyle w:val="addmd"/>
        </w:rPr>
        <w:t>(</w:t>
      </w:r>
      <w:r w:rsidRPr="00273106">
        <w:rPr>
          <w:rStyle w:val="addmd"/>
          <w:i/>
        </w:rPr>
        <w:t>verum quod suiipsius est communicativum</w:t>
      </w:r>
      <w:r w:rsidRPr="00273106">
        <w:rPr>
          <w:rStyle w:val="addmd"/>
        </w:rPr>
        <w:t xml:space="preserve">), </w:t>
      </w:r>
      <w:r>
        <w:rPr>
          <w:rStyle w:val="addmd"/>
        </w:rPr>
        <w:t xml:space="preserve">ale praktickou pravdu lze </w:t>
      </w:r>
      <w:r w:rsidRPr="00273106">
        <w:rPr>
          <w:rStyle w:val="addmd"/>
        </w:rPr>
        <w:t>šířit j</w:t>
      </w:r>
      <w:r>
        <w:rPr>
          <w:rStyle w:val="addmd"/>
        </w:rPr>
        <w:t xml:space="preserve">edině </w:t>
      </w:r>
      <w:r w:rsidRPr="00273106">
        <w:rPr>
          <w:rStyle w:val="addmd"/>
        </w:rPr>
        <w:t xml:space="preserve">skutkem. Proto teoretický intelekt </w:t>
      </w:r>
      <w:r>
        <w:rPr>
          <w:rStyle w:val="addmd"/>
        </w:rPr>
        <w:t xml:space="preserve">je daný nazíravou praxí pravdy, ale ta má pouze spekulativní charakter. Teoretický intelekt </w:t>
      </w:r>
      <w:r w:rsidRPr="00273106">
        <w:rPr>
          <w:rStyle w:val="addmd"/>
        </w:rPr>
        <w:t xml:space="preserve">expanduje </w:t>
      </w:r>
      <w:r>
        <w:rPr>
          <w:rStyle w:val="addmd"/>
        </w:rPr>
        <w:t xml:space="preserve">při poznání dobra </w:t>
      </w:r>
      <w:r w:rsidRPr="00273106">
        <w:rPr>
          <w:rStyle w:val="addmd"/>
        </w:rPr>
        <w:t>do své praktické formy (</w:t>
      </w:r>
      <w:r w:rsidRPr="00273106">
        <w:rPr>
          <w:rStyle w:val="addmd"/>
          <w:i/>
        </w:rPr>
        <w:t>speculativus extensione fit practicus</w:t>
      </w:r>
      <w:r>
        <w:rPr>
          <w:i/>
        </w:rPr>
        <w:fldChar w:fldCharType="begin"/>
      </w:r>
      <w:r>
        <w:instrText xml:space="preserve"> XE "intelekt:</w:instrText>
      </w:r>
      <w:r w:rsidRPr="000614C2">
        <w:rPr>
          <w:i/>
        </w:rPr>
        <w:instrText>extensione fit practicus</w:instrText>
      </w:r>
      <w:r>
        <w:instrText xml:space="preserve">" </w:instrText>
      </w:r>
      <w:r>
        <w:rPr>
          <w:i/>
        </w:rPr>
        <w:fldChar w:fldCharType="end"/>
      </w:r>
      <w:r w:rsidRPr="00273106">
        <w:rPr>
          <w:rStyle w:val="addmd"/>
        </w:rPr>
        <w:t>). Sebereflexe takto rozšířeného intelektu je výkonem vůle a lásky, proto nemůže být čistou intelektuální kontemplací univerzálních významů, kterou vykonává teoretický intelekt (</w:t>
      </w:r>
      <w:r w:rsidRPr="00273106">
        <w:rPr>
          <w:rStyle w:val="addmd"/>
          <w:i/>
        </w:rPr>
        <w:t>speculatur ille idem practicus per medium</w:t>
      </w:r>
      <w:r>
        <w:rPr>
          <w:rStyle w:val="addmd"/>
          <w:i/>
        </w:rPr>
        <w:fldChar w:fldCharType="begin"/>
      </w:r>
      <w:r>
        <w:instrText xml:space="preserve"> XE "</w:instrText>
      </w:r>
      <w:r w:rsidRPr="001618A5">
        <w:rPr>
          <w:i/>
        </w:rPr>
        <w:instrText>medium:</w:instrText>
      </w:r>
      <w:r w:rsidRPr="00CD3BC8">
        <w:instrText>Bacon</w:instrText>
      </w:r>
      <w:r>
        <w:instrText xml:space="preserve">" </w:instrText>
      </w:r>
      <w:r>
        <w:rPr>
          <w:rStyle w:val="addmd"/>
          <w:i/>
        </w:rPr>
        <w:fldChar w:fldCharType="end"/>
      </w:r>
      <w:r w:rsidRPr="00273106">
        <w:rPr>
          <w:rStyle w:val="addmd"/>
        </w:rPr>
        <w:t xml:space="preserve">). </w:t>
      </w:r>
      <w:r w:rsidRPr="00273106">
        <w:rPr>
          <w:rStyle w:val="addmd"/>
        </w:rPr>
        <w:lastRenderedPageBreak/>
        <w:t>Extenze teoretického intelektu do praktického zajišťuje potřebný střední člen soudu</w:t>
      </w:r>
      <w:r>
        <w:rPr>
          <w:rStyle w:val="addmd"/>
        </w:rPr>
        <w:t xml:space="preserve"> daný kauzálně i univerzálně (</w:t>
      </w:r>
      <w:r w:rsidRPr="00273106">
        <w:rPr>
          <w:i/>
          <w:szCs w:val="16"/>
        </w:rPr>
        <w:t xml:space="preserve">per </w:t>
      </w:r>
      <w:r w:rsidRPr="00273106">
        <w:rPr>
          <w:i/>
          <w:szCs w:val="19"/>
        </w:rPr>
        <w:t xml:space="preserve">medium </w:t>
      </w:r>
      <w:r w:rsidRPr="00273106">
        <w:rPr>
          <w:i/>
          <w:szCs w:val="13"/>
        </w:rPr>
        <w:t xml:space="preserve">in </w:t>
      </w:r>
      <w:r w:rsidRPr="00273106">
        <w:rPr>
          <w:i/>
          <w:szCs w:val="15"/>
        </w:rPr>
        <w:t>via speculandi</w:t>
      </w:r>
      <w:r>
        <w:rPr>
          <w:rStyle w:val="addmd"/>
        </w:rPr>
        <w:t xml:space="preserve">). Střední člen praktického jednání </w:t>
      </w:r>
      <w:r w:rsidRPr="00273106">
        <w:rPr>
          <w:rStyle w:val="addmd"/>
        </w:rPr>
        <w:t>v sob</w:t>
      </w:r>
      <w:r>
        <w:rPr>
          <w:rStyle w:val="addmd"/>
        </w:rPr>
        <w:t>ě obsahuje aktuální a indivi</w:t>
      </w:r>
      <w:r w:rsidRPr="00273106">
        <w:rPr>
          <w:rStyle w:val="addmd"/>
        </w:rPr>
        <w:t xml:space="preserve">duální poznání </w:t>
      </w:r>
      <w:r>
        <w:rPr>
          <w:rStyle w:val="addmd"/>
        </w:rPr>
        <w:t xml:space="preserve">dané kauzálním chtěním </w:t>
      </w:r>
      <w:r w:rsidRPr="00273106">
        <w:rPr>
          <w:rStyle w:val="addmd"/>
        </w:rPr>
        <w:t>(</w:t>
      </w:r>
      <w:r w:rsidRPr="00273106">
        <w:rPr>
          <w:i/>
          <w:szCs w:val="14"/>
        </w:rPr>
        <w:t xml:space="preserve">est </w:t>
      </w:r>
      <w:r w:rsidRPr="00273106">
        <w:rPr>
          <w:i/>
          <w:szCs w:val="19"/>
        </w:rPr>
        <w:t xml:space="preserve">medium </w:t>
      </w:r>
      <w:r w:rsidRPr="00273106">
        <w:rPr>
          <w:i/>
          <w:szCs w:val="13"/>
        </w:rPr>
        <w:t xml:space="preserve">in </w:t>
      </w:r>
      <w:r w:rsidRPr="00273106">
        <w:rPr>
          <w:i/>
          <w:szCs w:val="15"/>
        </w:rPr>
        <w:t xml:space="preserve">via </w:t>
      </w:r>
      <w:r w:rsidRPr="00273106">
        <w:rPr>
          <w:i/>
          <w:szCs w:val="14"/>
        </w:rPr>
        <w:t>diligendi</w:t>
      </w:r>
      <w:r w:rsidRPr="00273106">
        <w:rPr>
          <w:rStyle w:val="addmd"/>
        </w:rPr>
        <w:t xml:space="preserve">). </w:t>
      </w:r>
      <w:r w:rsidR="002431BF" w:rsidRPr="002431BF">
        <w:t>Na rozdíl od kritizovaných modernistů, jako byl Rufus, Bacon přesně definuje racionalitu podle kauzality středního článku sylogismu (</w:t>
      </w:r>
      <w:r w:rsidR="002431BF" w:rsidRPr="002431BF">
        <w:rPr>
          <w:i/>
          <w:iCs/>
        </w:rPr>
        <w:t>medium</w:t>
      </w:r>
      <w:r w:rsidR="002431BF" w:rsidRPr="002431BF">
        <w:t xml:space="preserve">), který zajišťuje vědecké poznání podle </w:t>
      </w:r>
      <w:r w:rsidR="002431BF" w:rsidRPr="002431BF">
        <w:rPr>
          <w:i/>
        </w:rPr>
        <w:t>Druhých analytik</w:t>
      </w:r>
      <w:r w:rsidR="002431BF" w:rsidRPr="002431BF">
        <w:t>. Teoreticky uvažovaná pravda a prakticky chtěné dobro představují dvě různé formy poznání, které nelze spojit do jednoho vědeckého sylogismu, protože nemají stejný způsob uvažování (</w:t>
      </w:r>
      <w:r w:rsidR="002431BF" w:rsidRPr="002431BF">
        <w:rPr>
          <w:i/>
          <w:iCs/>
        </w:rPr>
        <w:t xml:space="preserve">in via </w:t>
      </w:r>
      <w:proofErr w:type="gramStart"/>
      <w:r w:rsidR="002431BF" w:rsidRPr="002431BF">
        <w:rPr>
          <w:i/>
          <w:iCs/>
        </w:rPr>
        <w:t>diligendi... in</w:t>
      </w:r>
      <w:proofErr w:type="gramEnd"/>
      <w:r w:rsidR="002431BF" w:rsidRPr="002431BF">
        <w:rPr>
          <w:i/>
          <w:iCs/>
        </w:rPr>
        <w:t xml:space="preserve"> via speculandi</w:t>
      </w:r>
      <w:r w:rsidR="002431BF" w:rsidRPr="002431BF">
        <w:t>). Pro teoretický intelekt je pak střední článek důkazu zajištěn extenzí, protože praktický intelekt může vytvořit druh etického sylogismu.</w:t>
      </w:r>
      <w:r w:rsidR="002431BF">
        <w:t xml:space="preserve"> </w:t>
      </w:r>
      <w:r>
        <w:rPr>
          <w:rStyle w:val="addmd"/>
        </w:rPr>
        <w:t xml:space="preserve">Proto Bacon tvrdí, že teoretický intelekt nepotřebuje Rufusovu </w:t>
      </w:r>
      <w:r w:rsidR="00962190">
        <w:rPr>
          <w:rStyle w:val="addmd"/>
          <w:i/>
        </w:rPr>
        <w:t>species</w:t>
      </w:r>
      <w:r>
        <w:rPr>
          <w:rStyle w:val="addmd"/>
        </w:rPr>
        <w:t xml:space="preserve"> dobra nebo jinou porretánskou hypostázi pro ustavení středního členu praktického sylogismu </w:t>
      </w:r>
      <w:r w:rsidRPr="00273106">
        <w:rPr>
          <w:rStyle w:val="addmd"/>
        </w:rPr>
        <w:t>(</w:t>
      </w:r>
      <w:r w:rsidRPr="00273106">
        <w:rPr>
          <w:rStyle w:val="addmd"/>
          <w:i/>
        </w:rPr>
        <w:t>movetur tunc sine medio ad diligendum ipsum</w:t>
      </w:r>
      <w:r w:rsidRPr="00273106">
        <w:rPr>
          <w:rStyle w:val="addmd"/>
        </w:rPr>
        <w:t xml:space="preserve">). </w:t>
      </w:r>
      <w:r>
        <w:rPr>
          <w:rStyle w:val="addmd"/>
        </w:rPr>
        <w:t xml:space="preserve">Protože milujeme osobu či chceme nějakou věc, pak vzniká v intelektu praktické zaměření dané aktuálně, které se genericky liší od intelektuálního poznání. Tím je aktualizovaný teoretický intelekt, protože tuto aktualizaci chtění přijímá od prakticky dané inteligibilní formy a její kauzalitou je individuální vůle. Zavedení reálné kauzality od praktického chtění do teoretického intektu zavedlo schéma nasvícení zepředu, od reálně chtěné věci. Bacon stejně jako Albert odmítl Rufusovu teorii dobra jako hypostázované </w:t>
      </w:r>
      <w:r w:rsidR="00962190">
        <w:rPr>
          <w:rStyle w:val="addmd"/>
          <w:i/>
        </w:rPr>
        <w:t>species</w:t>
      </w:r>
      <w:r>
        <w:rPr>
          <w:rStyle w:val="addmd"/>
        </w:rPr>
        <w:t xml:space="preserve">, která působí současně univerzálně a kauzálně. Podle Bacona teoretický intelekt nemůže </w:t>
      </w:r>
      <w:r w:rsidRPr="00273106">
        <w:rPr>
          <w:rStyle w:val="addmd"/>
        </w:rPr>
        <w:t>eticky</w:t>
      </w:r>
      <w:r>
        <w:rPr>
          <w:rStyle w:val="addmd"/>
        </w:rPr>
        <w:t>-prakticky</w:t>
      </w:r>
      <w:r w:rsidRPr="00273106">
        <w:rPr>
          <w:rStyle w:val="addmd"/>
        </w:rPr>
        <w:t xml:space="preserve"> </w:t>
      </w:r>
      <w:r>
        <w:rPr>
          <w:rStyle w:val="addmd"/>
        </w:rPr>
        <w:t>jednat</w:t>
      </w:r>
      <w:r w:rsidRPr="00273106">
        <w:rPr>
          <w:rStyle w:val="addmd"/>
        </w:rPr>
        <w:t xml:space="preserve">, protože </w:t>
      </w:r>
      <w:r>
        <w:rPr>
          <w:rStyle w:val="addmd"/>
        </w:rPr>
        <w:t xml:space="preserve">nemůže </w:t>
      </w:r>
      <w:r w:rsidRPr="00273106">
        <w:rPr>
          <w:rStyle w:val="addmd"/>
        </w:rPr>
        <w:t>vytvořit praktický sylogismus</w:t>
      </w:r>
      <w:r>
        <w:fldChar w:fldCharType="begin"/>
      </w:r>
      <w:r>
        <w:instrText xml:space="preserve"> XE "praktický sylogismus" </w:instrText>
      </w:r>
      <w:r>
        <w:fldChar w:fldCharType="end"/>
      </w:r>
      <w:r w:rsidRPr="00FE7837">
        <w:rPr>
          <w:rStyle w:val="addmd"/>
        </w:rPr>
        <w:t xml:space="preserve"> </w:t>
      </w:r>
      <w:r w:rsidRPr="00273106">
        <w:rPr>
          <w:rStyle w:val="addmd"/>
        </w:rPr>
        <w:t xml:space="preserve">sám ze sebe. </w:t>
      </w:r>
      <w:r>
        <w:rPr>
          <w:rStyle w:val="addmd"/>
        </w:rPr>
        <w:t xml:space="preserve">Singulární chtění dané ve středním členu praktického soudu se rodově liší od univerzální abstrakce. </w:t>
      </w:r>
      <w:r w:rsidRPr="00273106">
        <w:rPr>
          <w:rStyle w:val="addmd"/>
        </w:rPr>
        <w:t>Extenze teoretického intelektu do praktického pracuje podle Bacona na obě strany. Aby teoretický intelekt mohl být činný, musí se stát praktickým. Aby praktický intelekt byl etickým poznáním, a ne pouze slepou žádostivostí</w:t>
      </w:r>
      <w:r>
        <w:rPr>
          <w:rStyle w:val="addmd"/>
        </w:rPr>
        <w:t xml:space="preserve"> na způsob Oliviho moderní vůle</w:t>
      </w:r>
      <w:r w:rsidRPr="00273106">
        <w:rPr>
          <w:rStyle w:val="addmd"/>
        </w:rPr>
        <w:t xml:space="preserve">, </w:t>
      </w:r>
      <w:r>
        <w:rPr>
          <w:rStyle w:val="addmd"/>
        </w:rPr>
        <w:t xml:space="preserve">pak </w:t>
      </w:r>
      <w:r w:rsidRPr="00273106">
        <w:rPr>
          <w:rStyle w:val="addmd"/>
        </w:rPr>
        <w:t>musí být prodloužením</w:t>
      </w:r>
      <w:r>
        <w:rPr>
          <w:rStyle w:val="addmd"/>
        </w:rPr>
        <w:t xml:space="preserve"> </w:t>
      </w:r>
      <w:r w:rsidRPr="00273106">
        <w:rPr>
          <w:rStyle w:val="addmd"/>
        </w:rPr>
        <w:t xml:space="preserve">teoretického intelektu. </w:t>
      </w:r>
      <w:r>
        <w:rPr>
          <w:rStyle w:val="addmd"/>
        </w:rPr>
        <w:t>Řešení extenze teoretického rozumu do praktického opřené o Averroesovo pojetí metafyziky odpovídá Albertovu spojení ob</w:t>
      </w:r>
      <w:r w:rsidR="006C3218">
        <w:rPr>
          <w:rStyle w:val="addmd"/>
        </w:rPr>
        <w:t>ou složek intelektu podle CMDA.</w:t>
      </w:r>
    </w:p>
    <w:p w:rsidR="08163013" w:rsidRDefault="006C3218" w:rsidP="00415DDE">
      <w:pPr>
        <w:ind w:firstLine="397"/>
      </w:pPr>
      <w:r>
        <w:rPr>
          <w:rStyle w:val="addmd"/>
        </w:rPr>
        <w:t xml:space="preserve">Tomáš </w:t>
      </w:r>
      <w:r>
        <w:t>Akvinský bránil a</w:t>
      </w:r>
      <w:r w:rsidR="08163013" w:rsidRPr="00273106">
        <w:t>uto</w:t>
      </w:r>
      <w:r w:rsidR="00D23F9C">
        <w:t>nomní etiku v</w:t>
      </w:r>
      <w:r w:rsidR="08163013" w:rsidRPr="00273106">
        <w:t xml:space="preserve"> </w:t>
      </w:r>
      <w:r w:rsidR="00154A3D">
        <w:t xml:space="preserve">komentáři k </w:t>
      </w:r>
      <w:r w:rsidR="08163013" w:rsidRPr="00273106">
        <w:t>Sentencí</w:t>
      </w:r>
      <w:r w:rsidR="00154A3D">
        <w:t>m</w:t>
      </w:r>
      <w:r w:rsidR="08163013" w:rsidRPr="00273106">
        <w:t xml:space="preserve"> (1252‒56)</w:t>
      </w:r>
      <w:r w:rsidR="08163013">
        <w:t>, ale nikoliv autonomní politické jednání</w:t>
      </w:r>
      <w:r w:rsidR="08163013" w:rsidRPr="00273106">
        <w:t xml:space="preserve">. Jeho kritika </w:t>
      </w:r>
      <w:r w:rsidR="08163013">
        <w:t>etického avicennismu se odvolává</w:t>
      </w:r>
      <w:r w:rsidR="08163013" w:rsidRPr="00273106">
        <w:t xml:space="preserve"> na </w:t>
      </w:r>
      <w:r w:rsidR="08163013" w:rsidRPr="08516BD6">
        <w:rPr>
          <w:i/>
        </w:rPr>
        <w:t>První list Timotejovi</w:t>
      </w:r>
      <w:r w:rsidR="08163013">
        <w:t xml:space="preserve"> </w:t>
      </w:r>
      <w:r w:rsidR="08163013" w:rsidRPr="00273106">
        <w:t>(„zákon není určen pro spravedlivého, nýb</w:t>
      </w:r>
      <w:r w:rsidR="08163013">
        <w:t xml:space="preserve">rž pro lidi zlé a neposlušné“) a toto </w:t>
      </w:r>
      <w:r w:rsidR="08163013">
        <w:lastRenderedPageBreak/>
        <w:t>místo vykládá podle Aristotelovy</w:t>
      </w:r>
      <w:r w:rsidR="08163013" w:rsidRPr="00273106">
        <w:t xml:space="preserve"> </w:t>
      </w:r>
      <w:r w:rsidR="08163013">
        <w:rPr>
          <w:i/>
        </w:rPr>
        <w:t>Etiky</w:t>
      </w:r>
      <w:r w:rsidR="08163013" w:rsidRPr="00273106">
        <w:t>.</w:t>
      </w:r>
      <w:r w:rsidR="08163013" w:rsidRPr="00273106">
        <w:rPr>
          <w:rStyle w:val="Znakapoznpodarou"/>
        </w:rPr>
        <w:footnoteReference w:id="548"/>
      </w:r>
      <w:r w:rsidR="08163013" w:rsidRPr="00273106">
        <w:t xml:space="preserve"> </w:t>
      </w:r>
      <w:r w:rsidR="08163013">
        <w:t>Aristoteles</w:t>
      </w:r>
      <w:r w:rsidR="08163013" w:rsidRPr="00273106">
        <w:t xml:space="preserve"> říká, že správné morální jednání je založeno na svobodě a na lidské excelenci, proto nestačí distance od zlých činů založená pouze na strachu z trestu (E.N. 1179b12</w:t>
      </w:r>
      <w:r w:rsidR="08163013">
        <w:fldChar w:fldCharType="begin"/>
      </w:r>
      <w:r w:rsidR="08163013">
        <w:instrText xml:space="preserve"> XE "Aristoteles:</w:instrText>
      </w:r>
      <w:r w:rsidR="08163013" w:rsidRPr="00D150B7">
        <w:instrText>E.N. 1179b12</w:instrText>
      </w:r>
      <w:r w:rsidR="08163013">
        <w:instrText xml:space="preserve">" </w:instrText>
      </w:r>
      <w:r w:rsidR="08163013">
        <w:fldChar w:fldCharType="end"/>
      </w:r>
      <w:r w:rsidR="08163013" w:rsidRPr="00273106">
        <w:t xml:space="preserve">). Akvinský kombinuje Aristotelovu </w:t>
      </w:r>
      <w:r w:rsidR="08163013" w:rsidRPr="088C08BA">
        <w:rPr>
          <w:i/>
        </w:rPr>
        <w:t>Etiku</w:t>
      </w:r>
      <w:r w:rsidR="08163013" w:rsidRPr="00273106">
        <w:t xml:space="preserve"> s citovaným biblickým místem proto, aby vyzdvihl význam autonomní mravnosti dané již před pádem do hříchu. Klíčový je nový důraz na zákon, který reprezentuje jak spravedlivý jedno</w:t>
      </w:r>
      <w:r w:rsidR="08163013">
        <w:t>t</w:t>
      </w:r>
      <w:r w:rsidR="08163013" w:rsidRPr="00273106">
        <w:t>livec, tak i politická komunita. Obrana přirozeného zákona založená na jednání spravedlivého člověka jako nejvyšší formy pozitivního práva</w:t>
      </w:r>
      <w:r w:rsidR="08163013">
        <w:t xml:space="preserve"> je založena na stejném principu jako Albertův výklad </w:t>
      </w:r>
      <w:r w:rsidR="08163013" w:rsidRPr="089711A5">
        <w:rPr>
          <w:i/>
        </w:rPr>
        <w:t>Etiky</w:t>
      </w:r>
      <w:r w:rsidR="08163013" w:rsidRPr="00273106">
        <w:t xml:space="preserve">. </w:t>
      </w:r>
      <w:r w:rsidR="08163013">
        <w:rPr>
          <w:rStyle w:val="addmd"/>
        </w:rPr>
        <w:t xml:space="preserve">Tomášovo pojetí extenze teoretického intelektu do praktického sleduje Albertovu a Baconovu linii výkladu </w:t>
      </w:r>
      <w:r w:rsidR="08163013" w:rsidRPr="08153620">
        <w:rPr>
          <w:rStyle w:val="addmd"/>
          <w:i/>
        </w:rPr>
        <w:t xml:space="preserve">Etiky </w:t>
      </w:r>
      <w:r w:rsidR="08163013">
        <w:rPr>
          <w:rStyle w:val="addmd"/>
        </w:rPr>
        <w:t>uvedenou výše. Ale jeho výklad etické racionality pouze rektifikoval teologický augustinianismus.</w:t>
      </w:r>
      <w:r w:rsidR="00F13D97" w:rsidRPr="00273106">
        <w:rPr>
          <w:rStyle w:val="Znakapoznpodarou"/>
        </w:rPr>
        <w:footnoteReference w:id="549"/>
      </w:r>
      <w:r w:rsidR="08163013">
        <w:rPr>
          <w:rStyle w:val="addmd"/>
        </w:rPr>
        <w:t xml:space="preserve"> </w:t>
      </w:r>
      <w:r w:rsidR="08163013" w:rsidRPr="00273106">
        <w:t xml:space="preserve">Akvinský </w:t>
      </w:r>
      <w:r w:rsidR="00F13D97">
        <w:t xml:space="preserve">potřebuje </w:t>
      </w:r>
      <w:r w:rsidR="00F13D97">
        <w:rPr>
          <w:rStyle w:val="addmd"/>
        </w:rPr>
        <w:t>zdůvodnit</w:t>
      </w:r>
      <w:r w:rsidR="08163013" w:rsidRPr="00273106">
        <w:rPr>
          <w:rStyle w:val="addmd"/>
        </w:rPr>
        <w:t xml:space="preserve"> spojení víry </w:t>
      </w:r>
      <w:r w:rsidR="08163013">
        <w:rPr>
          <w:rStyle w:val="addmd"/>
        </w:rPr>
        <w:t xml:space="preserve">podle Augustina </w:t>
      </w:r>
      <w:r w:rsidR="08163013" w:rsidRPr="00273106">
        <w:rPr>
          <w:rStyle w:val="addmd"/>
        </w:rPr>
        <w:t>s</w:t>
      </w:r>
      <w:r w:rsidR="00F13D97">
        <w:rPr>
          <w:rStyle w:val="addmd"/>
        </w:rPr>
        <w:t xml:space="preserve"> praktickým </w:t>
      </w:r>
      <w:r w:rsidR="08163013" w:rsidRPr="00273106">
        <w:rPr>
          <w:rStyle w:val="addmd"/>
        </w:rPr>
        <w:t>intelektem</w:t>
      </w:r>
      <w:r w:rsidR="00F13D97">
        <w:rPr>
          <w:rStyle w:val="addmd"/>
        </w:rPr>
        <w:t xml:space="preserve"> Aristotela</w:t>
      </w:r>
      <w:r w:rsidR="08163013">
        <w:rPr>
          <w:rStyle w:val="addmd"/>
        </w:rPr>
        <w:t xml:space="preserve">. </w:t>
      </w:r>
      <w:r w:rsidR="008E13AB">
        <w:rPr>
          <w:rStyle w:val="addmd"/>
        </w:rPr>
        <w:t xml:space="preserve">Akvinský </w:t>
      </w:r>
      <w:r w:rsidR="08163013">
        <w:rPr>
          <w:rStyle w:val="addmd"/>
        </w:rPr>
        <w:t xml:space="preserve">používá termín </w:t>
      </w:r>
      <w:r w:rsidR="008E13AB">
        <w:rPr>
          <w:rStyle w:val="addmd"/>
        </w:rPr>
        <w:t>„</w:t>
      </w:r>
      <w:r w:rsidR="08163013" w:rsidRPr="000E6873">
        <w:rPr>
          <w:i/>
        </w:rPr>
        <w:t>per dilectionem operatur</w:t>
      </w:r>
      <w:r w:rsidR="008E13AB">
        <w:t>“</w:t>
      </w:r>
      <w:r w:rsidR="08163013">
        <w:rPr>
          <w:rStyle w:val="addmd"/>
        </w:rPr>
        <w:t xml:space="preserve"> nikoliv jako modernisté, ale ve schématu praktického intelektu podle prvního averroismu. Akvinský odmítl kauzalitu hypostázovaného dobra danou skrze </w:t>
      </w:r>
      <w:r w:rsidR="00716B41">
        <w:rPr>
          <w:rStyle w:val="addmd"/>
        </w:rPr>
        <w:t>kontemplaci porretánských</w:t>
      </w:r>
      <w:r w:rsidR="08163013">
        <w:rPr>
          <w:rStyle w:val="addmd"/>
        </w:rPr>
        <w:t xml:space="preserve"> </w:t>
      </w:r>
      <w:r w:rsidR="00962190" w:rsidRPr="00716B41">
        <w:rPr>
          <w:rStyle w:val="addmd"/>
        </w:rPr>
        <w:t>species</w:t>
      </w:r>
      <w:r w:rsidR="08163013">
        <w:rPr>
          <w:rStyle w:val="addmd"/>
        </w:rPr>
        <w:t xml:space="preserve">. Etika je osobním výkonem jednající osoby definovaná podle Aristotelova rozumného chtění daného jako intelektuální předmět praktického intelektu pro vůli. Bacon a Albert už vůbec nepotřebovali Augustinovu a biblickou argumentaci ke zdůvodnění dobrého jednání. Aristotelova </w:t>
      </w:r>
      <w:r w:rsidR="08163013" w:rsidRPr="08083775">
        <w:rPr>
          <w:rStyle w:val="addmd"/>
          <w:i/>
        </w:rPr>
        <w:t>Etika</w:t>
      </w:r>
      <w:r w:rsidR="08163013">
        <w:rPr>
          <w:rStyle w:val="addmd"/>
        </w:rPr>
        <w:t xml:space="preserve"> musí být vyložena pouze na základě př</w:t>
      </w:r>
      <w:r w:rsidR="00031196">
        <w:rPr>
          <w:rStyle w:val="addmd"/>
        </w:rPr>
        <w:t>irozeného rozumu a argumentace.</w:t>
      </w:r>
      <w:r w:rsidR="00415DDE">
        <w:rPr>
          <w:rStyle w:val="addmd"/>
        </w:rPr>
        <w:t xml:space="preserve"> </w:t>
      </w:r>
      <w:r w:rsidR="006F6066" w:rsidRPr="006F6066">
        <w:t xml:space="preserve">Akvinského exegeze vznikla kolem roku 1255 v duchu prvního averroismu. Použití Augustina a Bible však ukazuje, že existovaly dvě různé teorie </w:t>
      </w:r>
      <w:r w:rsidR="006F6066" w:rsidRPr="00273106">
        <w:t>ohledně vlády spravedlnosti a přirozené excelence spravedlivého člověka</w:t>
      </w:r>
      <w:r w:rsidR="006F6066">
        <w:t xml:space="preserve">, </w:t>
      </w:r>
      <w:r w:rsidR="006F6066" w:rsidRPr="00273106">
        <w:t xml:space="preserve">které vycházely z </w:t>
      </w:r>
      <w:r w:rsidR="006F6066" w:rsidRPr="089C0C00">
        <w:rPr>
          <w:i/>
        </w:rPr>
        <w:t>Etiky Nikomachovy</w:t>
      </w:r>
      <w:r w:rsidR="006F6066">
        <w:fldChar w:fldCharType="begin"/>
      </w:r>
      <w:r w:rsidR="006F6066">
        <w:instrText xml:space="preserve"> XE "</w:instrText>
      </w:r>
      <w:r w:rsidR="006F6066" w:rsidRPr="003506C5">
        <w:instrText>etika:dvojí pojetí</w:instrText>
      </w:r>
      <w:r w:rsidR="006F6066">
        <w:instrText xml:space="preserve">" </w:instrText>
      </w:r>
      <w:r w:rsidR="006F6066">
        <w:fldChar w:fldCharType="end"/>
      </w:r>
      <w:r w:rsidR="006F6066" w:rsidRPr="006F6066">
        <w:t xml:space="preserve">. </w:t>
      </w:r>
      <w:r w:rsidR="08163013">
        <w:t>E</w:t>
      </w:r>
      <w:r w:rsidR="08163013">
        <w:rPr>
          <w:rStyle w:val="addmd"/>
        </w:rPr>
        <w:t xml:space="preserve">tický </w:t>
      </w:r>
      <w:r w:rsidR="08163013" w:rsidRPr="088736F2">
        <w:rPr>
          <w:rStyle w:val="addmd"/>
        </w:rPr>
        <w:t>teolog</w:t>
      </w:r>
      <w:r w:rsidR="08163013">
        <w:rPr>
          <w:rStyle w:val="addmd"/>
        </w:rPr>
        <w:t xml:space="preserve"> Akvinský sled</w:t>
      </w:r>
      <w:r w:rsidR="006F6066">
        <w:rPr>
          <w:rStyle w:val="addmd"/>
        </w:rPr>
        <w:t xml:space="preserve">oval </w:t>
      </w:r>
      <w:r w:rsidR="08163013">
        <w:rPr>
          <w:rStyle w:val="addmd"/>
        </w:rPr>
        <w:t>opravenou linii avicenni</w:t>
      </w:r>
      <w:r w:rsidR="00714E31">
        <w:rPr>
          <w:rStyle w:val="addmd"/>
        </w:rPr>
        <w:t>smu podle Toledské školy (kap. 4</w:t>
      </w:r>
      <w:r w:rsidR="08163013">
        <w:rPr>
          <w:rStyle w:val="addmd"/>
        </w:rPr>
        <w:t>.5.1)</w:t>
      </w:r>
      <w:r w:rsidR="00714E31">
        <w:rPr>
          <w:rStyle w:val="addmd"/>
        </w:rPr>
        <w:t xml:space="preserve">. Tím </w:t>
      </w:r>
      <w:r w:rsidR="08163013">
        <w:rPr>
          <w:rStyle w:val="addmd"/>
        </w:rPr>
        <w:t xml:space="preserve">se lišil od etických </w:t>
      </w:r>
      <w:r w:rsidR="08163013" w:rsidRPr="088736F2">
        <w:rPr>
          <w:rStyle w:val="addmd"/>
        </w:rPr>
        <w:t>filosofů</w:t>
      </w:r>
      <w:r w:rsidR="08163013">
        <w:rPr>
          <w:rStyle w:val="addmd"/>
        </w:rPr>
        <w:t xml:space="preserve"> Sicilské školy, kteří vyložili specifický charakter praktického intelektu </w:t>
      </w:r>
      <w:r w:rsidR="00714E31">
        <w:rPr>
          <w:rStyle w:val="addmd"/>
        </w:rPr>
        <w:t>„</w:t>
      </w:r>
      <w:r w:rsidR="08163013">
        <w:rPr>
          <w:rStyle w:val="addmd"/>
          <w:i/>
        </w:rPr>
        <w:t>ad mentem Averrois</w:t>
      </w:r>
      <w:r w:rsidR="00714E31">
        <w:rPr>
          <w:rStyle w:val="addmd"/>
        </w:rPr>
        <w:t>“</w:t>
      </w:r>
      <w:r w:rsidR="08163013">
        <w:rPr>
          <w:rStyle w:val="addmd"/>
        </w:rPr>
        <w:t xml:space="preserve"> podle CMDA (Albert, Siger) a podle </w:t>
      </w:r>
      <w:r w:rsidR="08163013">
        <w:rPr>
          <w:rStyle w:val="addmd"/>
        </w:rPr>
        <w:lastRenderedPageBreak/>
        <w:t xml:space="preserve">Komentátorova výkladu </w:t>
      </w:r>
      <w:r w:rsidR="08163013" w:rsidRPr="089711A5">
        <w:rPr>
          <w:rStyle w:val="addmd"/>
          <w:i/>
        </w:rPr>
        <w:t>Metafyziky</w:t>
      </w:r>
      <w:r w:rsidR="0022076F">
        <w:rPr>
          <w:rStyle w:val="addmd"/>
        </w:rPr>
        <w:t xml:space="preserve"> (Bacon). O</w:t>
      </w:r>
      <w:r w:rsidR="08163013">
        <w:rPr>
          <w:rStyle w:val="addmd"/>
        </w:rPr>
        <w:t xml:space="preserve">bě větve prvního averroismu ale </w:t>
      </w:r>
      <w:r w:rsidR="0022076F">
        <w:rPr>
          <w:rStyle w:val="addmd"/>
        </w:rPr>
        <w:t xml:space="preserve">potvrdily, </w:t>
      </w:r>
      <w:r w:rsidR="08163013">
        <w:rPr>
          <w:rStyle w:val="addmd"/>
        </w:rPr>
        <w:t>že e</w:t>
      </w:r>
      <w:r w:rsidR="08163013" w:rsidRPr="00273106">
        <w:t xml:space="preserve">tické jednání a činná víra </w:t>
      </w:r>
      <w:r w:rsidR="0022076F">
        <w:t xml:space="preserve">mají </w:t>
      </w:r>
      <w:r w:rsidR="08163013" w:rsidRPr="00273106">
        <w:t>autonomii opřenou o novou formu praktického intelektu</w:t>
      </w:r>
      <w:r w:rsidR="0022076F">
        <w:t xml:space="preserve">. Ten se </w:t>
      </w:r>
      <w:r w:rsidR="08163013">
        <w:t xml:space="preserve">odlišil od teoretického intelektu díky autonomnímu výkonu a cíli </w:t>
      </w:r>
      <w:r w:rsidR="0022076F">
        <w:t xml:space="preserve">praktického </w:t>
      </w:r>
      <w:r w:rsidR="08163013">
        <w:t>poznání</w:t>
      </w:r>
      <w:r w:rsidR="08163013">
        <w:fldChar w:fldCharType="begin"/>
      </w:r>
      <w:r w:rsidR="08163013">
        <w:instrText xml:space="preserve"> XE "etika:první</w:instrText>
      </w:r>
      <w:r w:rsidR="08163013" w:rsidRPr="003C222F">
        <w:instrText xml:space="preserve"> averroismus</w:instrText>
      </w:r>
      <w:r w:rsidR="08163013">
        <w:instrText xml:space="preserve">" </w:instrText>
      </w:r>
      <w:r w:rsidR="08163013">
        <w:fldChar w:fldCharType="end"/>
      </w:r>
      <w:r w:rsidR="08163013" w:rsidRPr="00273106">
        <w:t xml:space="preserve">. </w:t>
      </w:r>
      <w:r w:rsidR="08163013">
        <w:rPr>
          <w:rStyle w:val="addmd"/>
        </w:rPr>
        <w:t xml:space="preserve">Pro všechny tři hlavní představitele prvního averroismu </w:t>
      </w:r>
      <w:r w:rsidR="008B26FB">
        <w:rPr>
          <w:rStyle w:val="addmd"/>
        </w:rPr>
        <w:t xml:space="preserve">dále </w:t>
      </w:r>
      <w:r w:rsidR="08163013">
        <w:rPr>
          <w:rStyle w:val="addmd"/>
        </w:rPr>
        <w:t>platí, že p</w:t>
      </w:r>
      <w:r w:rsidR="08163013" w:rsidRPr="00273106">
        <w:t>raxe dostala vědecký statut a výměr (</w:t>
      </w:r>
      <w:r w:rsidR="08163013" w:rsidRPr="00273106">
        <w:rPr>
          <w:i/>
        </w:rPr>
        <w:t>ratio</w:t>
      </w:r>
      <w:r w:rsidR="08163013" w:rsidRPr="00273106">
        <w:t>) nikoliv od nejvyššího dobra, ale od dobra prakticky poznaného a chtěného vzhledem k nám (λόγου πρακτικὴν περὶ τὰ ἀνθρώπῳ ἀγαθὰ, E.N. 1140b5</w:t>
      </w:r>
      <w:r w:rsidR="08163013">
        <w:fldChar w:fldCharType="begin"/>
      </w:r>
      <w:r w:rsidR="08163013">
        <w:instrText xml:space="preserve"> XE "</w:instrText>
      </w:r>
      <w:proofErr w:type="gramStart"/>
      <w:r w:rsidR="08163013">
        <w:instrText>Aristoteles:</w:instrText>
      </w:r>
      <w:r w:rsidR="08163013" w:rsidRPr="00994EEE">
        <w:instrText>E.N.</w:instrText>
      </w:r>
      <w:proofErr w:type="gramEnd"/>
      <w:r w:rsidR="08163013" w:rsidRPr="00994EEE">
        <w:instrText xml:space="preserve"> 1140b5</w:instrText>
      </w:r>
      <w:r w:rsidR="08163013">
        <w:instrText xml:space="preserve">" </w:instrText>
      </w:r>
      <w:r w:rsidR="08163013">
        <w:fldChar w:fldCharType="end"/>
      </w:r>
      <w:r w:rsidR="08163013" w:rsidRPr="00273106">
        <w:t xml:space="preserve">). Nové </w:t>
      </w:r>
      <w:r w:rsidR="08163013" w:rsidRPr="088317F3">
        <w:rPr>
          <w:i/>
        </w:rPr>
        <w:t>medium</w:t>
      </w:r>
      <w:r w:rsidR="08163013" w:rsidRPr="088317F3">
        <w:rPr>
          <w:i/>
        </w:rPr>
        <w:fldChar w:fldCharType="begin"/>
      </w:r>
      <w:r w:rsidR="08163013" w:rsidRPr="088317F3">
        <w:rPr>
          <w:i/>
        </w:rPr>
        <w:instrText xml:space="preserve"> XE "medium:Albert" </w:instrText>
      </w:r>
      <w:r w:rsidR="08163013" w:rsidRPr="088317F3">
        <w:rPr>
          <w:i/>
        </w:rPr>
        <w:fldChar w:fldCharType="end"/>
      </w:r>
      <w:r w:rsidR="08163013" w:rsidRPr="00273106">
        <w:t xml:space="preserve"> etiky představuje podle Alberta </w:t>
      </w:r>
      <w:r w:rsidR="08163013">
        <w:t>jedině konkrétní jednání sledující to či ono individuálně dané dobro pro nás</w:t>
      </w:r>
      <w:r w:rsidR="08163013" w:rsidRPr="00273106">
        <w:t>.</w:t>
      </w:r>
      <w:r w:rsidR="08163013" w:rsidRPr="08347319">
        <w:t xml:space="preserve"> </w:t>
      </w:r>
      <w:r w:rsidR="08163013" w:rsidRPr="00273106">
        <w:t>Tím vzniklo nové východisko k vědeckému pojednání etiky podle skutečného záměru Aristotela, které zásadně odmítlo abstraktní dělení dobra</w:t>
      </w:r>
      <w:r w:rsidR="0082054D">
        <w:t xml:space="preserve"> jako </w:t>
      </w:r>
      <w:r w:rsidR="0082054D" w:rsidRPr="0082054D">
        <w:rPr>
          <w:i/>
        </w:rPr>
        <w:t>tertium ens</w:t>
      </w:r>
      <w:r w:rsidR="08163013" w:rsidRPr="00273106">
        <w:t>.</w:t>
      </w:r>
      <w:r w:rsidR="08163013">
        <w:t xml:space="preserve"> Okolo roku 1255 do</w:t>
      </w:r>
      <w:r w:rsidR="001E3D9F">
        <w:t xml:space="preserve">šlo </w:t>
      </w:r>
      <w:r w:rsidR="08163013">
        <w:t>k</w:t>
      </w:r>
      <w:r w:rsidR="001E3D9F">
        <w:t xml:space="preserve"> </w:t>
      </w:r>
      <w:r w:rsidR="08163013">
        <w:t xml:space="preserve">rozchodu obou škol v otázce etiky, protože se zásadně rozlišil výklad </w:t>
      </w:r>
      <w:r w:rsidR="08163013" w:rsidRPr="088E04D4">
        <w:rPr>
          <w:i/>
        </w:rPr>
        <w:t>Etiky Nikomachovy</w:t>
      </w:r>
      <w:r w:rsidR="08163013">
        <w:t>.</w:t>
      </w:r>
    </w:p>
    <w:p w:rsidR="08163013" w:rsidRDefault="08163013" w:rsidP="08163013">
      <w:pPr>
        <w:pStyle w:val="Citace"/>
      </w:pPr>
      <w:r>
        <w:t>„Po</w:t>
      </w:r>
      <w:r w:rsidR="0055356A">
        <w:t>dstata etiky je dána ve střed</w:t>
      </w:r>
      <w:r w:rsidR="0055356A">
        <w:rPr>
          <w:lang w:val="cs-CZ"/>
        </w:rPr>
        <w:t xml:space="preserve">ní návěsti deduktivního </w:t>
      </w:r>
      <w:r w:rsidR="00117D3D">
        <w:rPr>
          <w:lang w:val="cs-CZ"/>
        </w:rPr>
        <w:t>úsudku</w:t>
      </w:r>
      <w:r>
        <w:t>. Střed ctnosti je ale určen směrem k nám, a n</w:t>
      </w:r>
      <w:r w:rsidR="004A4FDB">
        <w:rPr>
          <w:lang w:val="cs-CZ"/>
        </w:rPr>
        <w:t xml:space="preserve">ení </w:t>
      </w:r>
      <w:r>
        <w:t xml:space="preserve">jednoduše </w:t>
      </w:r>
      <w:r w:rsidR="004A4FDB">
        <w:rPr>
          <w:lang w:val="cs-CZ"/>
        </w:rPr>
        <w:t xml:space="preserve">dán </w:t>
      </w:r>
      <w:r w:rsidR="0055356A">
        <w:rPr>
          <w:lang w:val="cs-CZ"/>
        </w:rPr>
        <w:t xml:space="preserve">sám o sobě </w:t>
      </w:r>
      <w:r>
        <w:t>(</w:t>
      </w:r>
      <w:r w:rsidRPr="00CE0FA7">
        <w:rPr>
          <w:i/>
        </w:rPr>
        <w:t>quoad nos et non simpliciter</w:t>
      </w:r>
      <w:r>
        <w:t xml:space="preserve">). Proto </w:t>
      </w:r>
      <w:r w:rsidR="0055356A">
        <w:rPr>
          <w:lang w:val="cs-CZ"/>
        </w:rPr>
        <w:t xml:space="preserve">neexistuje </w:t>
      </w:r>
      <w:r w:rsidR="00055B8E">
        <w:t>univerzáln</w:t>
      </w:r>
      <w:r w:rsidR="00055B8E">
        <w:rPr>
          <w:lang w:val="cs-CZ"/>
        </w:rPr>
        <w:t>ě</w:t>
      </w:r>
      <w:r>
        <w:t xml:space="preserve"> </w:t>
      </w:r>
      <w:r w:rsidR="0055356A">
        <w:rPr>
          <w:lang w:val="cs-CZ"/>
        </w:rPr>
        <w:t xml:space="preserve">daná středová návěst </w:t>
      </w:r>
      <w:r w:rsidR="00117D3D">
        <w:rPr>
          <w:lang w:val="cs-CZ"/>
        </w:rPr>
        <w:t>etického úsudku</w:t>
      </w:r>
      <w:r>
        <w:t>.“ </w:t>
      </w:r>
      <w:r w:rsidRPr="00273106">
        <w:rPr>
          <w:rStyle w:val="Znakapoznpodarou"/>
        </w:rPr>
        <w:footnoteReference w:id="550"/>
      </w:r>
    </w:p>
    <w:p w:rsidR="00D00F2D" w:rsidRDefault="08163013" w:rsidP="08163013">
      <w:r>
        <w:t xml:space="preserve">Citát obsahuje zásadní kritiku objektivistické etiky </w:t>
      </w:r>
      <w:r w:rsidRPr="08053180">
        <w:rPr>
          <w:i/>
        </w:rPr>
        <w:t>Modernorum</w:t>
      </w:r>
      <w:r>
        <w:t>. Argument jasně říká, že neexistuje objektivní a univerzální výměr dobra působící jako kauza v reálném jednání, protože praktický intelekt má jinou strukturu než teoretický (</w:t>
      </w:r>
      <w:r w:rsidRPr="08053180">
        <w:rPr>
          <w:i/>
        </w:rPr>
        <w:t>universalis propositio de medio virtutis accipi non potest</w:t>
      </w:r>
      <w:r>
        <w:t xml:space="preserve">). </w:t>
      </w:r>
      <w:r w:rsidR="00E44525" w:rsidRPr="00273106">
        <w:t xml:space="preserve">Tomášovy </w:t>
      </w:r>
      <w:r w:rsidR="00E44525">
        <w:t xml:space="preserve">přednášky </w:t>
      </w:r>
      <w:r w:rsidR="00604453">
        <w:t xml:space="preserve">z let </w:t>
      </w:r>
      <w:r w:rsidR="00E44525" w:rsidRPr="00273106">
        <w:t xml:space="preserve">1270‒71 </w:t>
      </w:r>
      <w:r w:rsidR="00E44525">
        <w:t>(</w:t>
      </w:r>
      <w:r w:rsidR="00E44525" w:rsidRPr="00273106">
        <w:rPr>
          <w:i/>
        </w:rPr>
        <w:t>Quaestiones disputatae de malo</w:t>
      </w:r>
      <w:r w:rsidR="00E44525">
        <w:t xml:space="preserve">) sledují Albertův výklad aristotelské </w:t>
      </w:r>
      <w:r w:rsidRPr="088C5296">
        <w:rPr>
          <w:i/>
        </w:rPr>
        <w:t>Etiky</w:t>
      </w:r>
      <w:r w:rsidRPr="00273106">
        <w:t>.</w:t>
      </w:r>
      <w:r>
        <w:t xml:space="preserve"> P</w:t>
      </w:r>
      <w:r w:rsidRPr="00273106">
        <w:t xml:space="preserve">ařížské </w:t>
      </w:r>
      <w:r>
        <w:t>disputace vykládají etický sylogismus</w:t>
      </w:r>
      <w:r>
        <w:fldChar w:fldCharType="begin"/>
      </w:r>
      <w:r>
        <w:instrText xml:space="preserve"> XE "praktický sylogismus" </w:instrText>
      </w:r>
      <w:r>
        <w:fldChar w:fldCharType="end"/>
      </w:r>
      <w:r>
        <w:t xml:space="preserve"> podle </w:t>
      </w:r>
      <w:r w:rsidRPr="088C5296">
        <w:rPr>
          <w:i/>
        </w:rPr>
        <w:t>Etiky Nikomachovy</w:t>
      </w:r>
      <w:r>
        <w:t xml:space="preserve"> a obhajují racionální strukturu morálního jednání (</w:t>
      </w:r>
      <w:r w:rsidRPr="00BD50BA">
        <w:rPr>
          <w:i/>
        </w:rPr>
        <w:t>movetur tantum secundum iudicium rationis</w:t>
      </w:r>
      <w:r>
        <w:t>).</w:t>
      </w:r>
      <w:r w:rsidRPr="00273106">
        <w:rPr>
          <w:rStyle w:val="Znakapoznpodarou"/>
        </w:rPr>
        <w:footnoteReference w:id="551"/>
      </w:r>
      <w:r>
        <w:t xml:space="preserve"> Tomášovy termíny </w:t>
      </w:r>
      <w:r w:rsidR="00604453">
        <w:t>„</w:t>
      </w:r>
      <w:r w:rsidRPr="087B0D87">
        <w:rPr>
          <w:i/>
        </w:rPr>
        <w:t>electio</w:t>
      </w:r>
      <w:r w:rsidR="00604453">
        <w:t>“</w:t>
      </w:r>
      <w:r>
        <w:t xml:space="preserve"> a </w:t>
      </w:r>
      <w:r w:rsidR="00604453">
        <w:t>„</w:t>
      </w:r>
      <w:r w:rsidRPr="087B0D87">
        <w:rPr>
          <w:i/>
        </w:rPr>
        <w:t>iudicio</w:t>
      </w:r>
      <w:r w:rsidR="00604453">
        <w:t>“</w:t>
      </w:r>
      <w:r>
        <w:t xml:space="preserve"> jsou vzaty podle </w:t>
      </w:r>
      <w:r w:rsidRPr="087B0D87">
        <w:rPr>
          <w:i/>
        </w:rPr>
        <w:t>Etiky Nikomachovy</w:t>
      </w:r>
      <w:r>
        <w:t xml:space="preserve"> vykládané </w:t>
      </w:r>
      <w:r w:rsidR="00AF70F2">
        <w:t xml:space="preserve">podle </w:t>
      </w:r>
      <w:r>
        <w:t xml:space="preserve">prvního averroismu. </w:t>
      </w:r>
      <w:r w:rsidR="00D80B2A">
        <w:t>Etika se definuje</w:t>
      </w:r>
      <w:r w:rsidRPr="00273106">
        <w:t xml:space="preserve"> vzhledem k blaženosti reálného jednání </w:t>
      </w:r>
      <w:r>
        <w:t>existující osoby, která dosahuje blaženost</w:t>
      </w:r>
      <w:r w:rsidR="00D00F2D">
        <w:t>i racionálně a různými cestami.</w:t>
      </w:r>
    </w:p>
    <w:p w:rsidR="00D631D1" w:rsidRPr="00D631D1" w:rsidRDefault="08163013" w:rsidP="00D631D1">
      <w:pPr>
        <w:ind w:firstLine="397"/>
      </w:pPr>
      <w:r>
        <w:lastRenderedPageBreak/>
        <w:t>Traktát</w:t>
      </w:r>
      <w:r w:rsidR="00D00F2D">
        <w:t xml:space="preserve">y obhajující racionální výklad </w:t>
      </w:r>
      <w:r w:rsidR="00D00F2D" w:rsidRPr="00D00F2D">
        <w:rPr>
          <w:i/>
        </w:rPr>
        <w:t>E</w:t>
      </w:r>
      <w:r w:rsidRPr="00D00F2D">
        <w:rPr>
          <w:i/>
        </w:rPr>
        <w:t>tiky</w:t>
      </w:r>
      <w:r>
        <w:t xml:space="preserve"> </w:t>
      </w:r>
      <w:r w:rsidR="00D00F2D">
        <w:t>podané „</w:t>
      </w:r>
      <w:r>
        <w:rPr>
          <w:i/>
        </w:rPr>
        <w:t>ad mentem Averrois</w:t>
      </w:r>
      <w:r w:rsidR="00D00F2D">
        <w:t>“</w:t>
      </w:r>
      <w:r>
        <w:t xml:space="preserve"> podle Sicilské školy byly namířené především proti etickým objektivistům ze školy </w:t>
      </w:r>
      <w:r w:rsidRPr="08113D52">
        <w:rPr>
          <w:i/>
        </w:rPr>
        <w:t>Modernorum</w:t>
      </w:r>
      <w:r>
        <w:t xml:space="preserve">. Brilantní esejistické dílo </w:t>
      </w:r>
      <w:r>
        <w:rPr>
          <w:i/>
          <w:iCs/>
        </w:rPr>
        <w:t xml:space="preserve">De </w:t>
      </w:r>
      <w:proofErr w:type="gramStart"/>
      <w:r>
        <w:rPr>
          <w:i/>
          <w:iCs/>
        </w:rPr>
        <w:t>summo</w:t>
      </w:r>
      <w:proofErr w:type="gramEnd"/>
      <w:r>
        <w:rPr>
          <w:i/>
          <w:iCs/>
        </w:rPr>
        <w:t xml:space="preserve"> bono sive De vita philosophi</w:t>
      </w:r>
      <w:r>
        <w:t xml:space="preserve"> (1270) od Boethia z Dácie</w:t>
      </w:r>
      <w:r>
        <w:fldChar w:fldCharType="begin"/>
      </w:r>
      <w:r>
        <w:instrText xml:space="preserve"> XE "</w:instrText>
      </w:r>
      <w:r w:rsidRPr="08A8751A">
        <w:instrText>Boethius z Dácie</w:instrText>
      </w:r>
      <w:r>
        <w:instrText xml:space="preserve">" </w:instrText>
      </w:r>
      <w:r>
        <w:fldChar w:fldCharType="end"/>
      </w:r>
      <w:r>
        <w:t xml:space="preserve"> a jemu podobné výklady nutně zadělaly na zásadní konflikt s objektivními avicennisty, jejichž mystika jedné pravdy kontemplující hypostázovanou </w:t>
      </w:r>
      <w:r w:rsidR="00962190">
        <w:rPr>
          <w:i/>
        </w:rPr>
        <w:t>species</w:t>
      </w:r>
      <w:r>
        <w:t xml:space="preserve"> dobra nemohla z principu uznat princip etické autonomie</w:t>
      </w:r>
      <w:r w:rsidR="00FE4F06">
        <w:t>. Ten byl</w:t>
      </w:r>
      <w:r>
        <w:t xml:space="preserve"> založený na existenci osoby</w:t>
      </w:r>
      <w:r w:rsidR="00FE4F06">
        <w:t xml:space="preserve"> v modu „</w:t>
      </w:r>
      <w:r w:rsidR="00FE4F06" w:rsidRPr="00FE4F06">
        <w:rPr>
          <w:i/>
        </w:rPr>
        <w:t>ipse</w:t>
      </w:r>
      <w:r w:rsidR="00FE4F06">
        <w:t>“</w:t>
      </w:r>
      <w:r>
        <w:t xml:space="preserve">. Hermeneutický rozbor </w:t>
      </w:r>
      <w:r w:rsidRPr="082D7564">
        <w:rPr>
          <w:i/>
        </w:rPr>
        <w:t>Etiky</w:t>
      </w:r>
      <w:r>
        <w:t xml:space="preserve"> ukázal na další zásadní důvod Tempierova modernistického dekretu z března 1277</w:t>
      </w:r>
      <w:r>
        <w:fldChar w:fldCharType="begin"/>
      </w:r>
      <w:r>
        <w:instrText xml:space="preserve"> XE "</w:instrText>
      </w:r>
      <w:r w:rsidRPr="085C160F">
        <w:instrText>odsouzení 1277</w:instrText>
      </w:r>
      <w:r>
        <w:instrText xml:space="preserve">" </w:instrText>
      </w:r>
      <w:r>
        <w:fldChar w:fldCharType="end"/>
      </w:r>
      <w:r>
        <w:t>, který útočil v článcích 167−83 na nové pojetí etiky, vztahu přirozených a nadpřirozených ctností, posledního cíle lidského života a sexuální morálky. Současné výklady dekretu předložily první koherentní interpretaci výše uvedených článků skrze systém autonomně pojaté sexuality (</w:t>
      </w:r>
      <w:r>
        <w:rPr>
          <w:i/>
          <w:iCs/>
        </w:rPr>
        <w:t xml:space="preserve">système du </w:t>
      </w:r>
      <w:r w:rsidRPr="082D7564">
        <w:rPr>
          <w:i/>
          <w:iCs/>
        </w:rPr>
        <w:t>sexe</w:t>
      </w:r>
      <w:r>
        <w:rPr>
          <w:iCs/>
        </w:rPr>
        <w:t xml:space="preserve">; </w:t>
      </w:r>
      <w:r w:rsidRPr="082D7564">
        <w:t>Libera</w:t>
      </w:r>
      <w:r>
        <w:fldChar w:fldCharType="begin"/>
      </w:r>
      <w:r>
        <w:instrText xml:space="preserve"> XE "</w:instrText>
      </w:r>
      <w:r w:rsidRPr="08550130">
        <w:instrText>Libera, A.</w:instrText>
      </w:r>
      <w:r>
        <w:instrText xml:space="preserve">" </w:instrText>
      </w:r>
      <w:r>
        <w:fldChar w:fldCharType="end"/>
      </w:r>
      <w:r>
        <w:t xml:space="preserve"> 1991, 194). Hermeneutika ukazuje, že tento výklad je třeba doplnit o zásadní konflikt prvního a druhého averroismu ohledně aristotelské definice autonomní etiky a etické racionality.</w:t>
      </w:r>
      <w:r w:rsidRPr="082E335E">
        <w:t xml:space="preserve"> </w:t>
      </w:r>
      <w:r w:rsidRPr="00273106">
        <w:t xml:space="preserve">Rozdíl mezi oběma školami při výkladu autonomní </w:t>
      </w:r>
      <w:r>
        <w:t xml:space="preserve">etické a </w:t>
      </w:r>
      <w:r w:rsidRPr="00273106">
        <w:t>politické racionality ukazuje na dosud neprobádané téma „politického averroismu</w:t>
      </w:r>
      <w:r w:rsidR="00271687">
        <w:t>.</w:t>
      </w:r>
      <w:r w:rsidRPr="00273106">
        <w:t>“</w:t>
      </w:r>
      <w:r w:rsidR="00271687">
        <w:t xml:space="preserve"> Jeho zkoumání dané v hermeneutické</w:t>
      </w:r>
      <w:r>
        <w:t xml:space="preserve"> a</w:t>
      </w:r>
      <w:r w:rsidR="00271687">
        <w:t>rcheologii</w:t>
      </w:r>
      <w:r>
        <w:t xml:space="preserve"> uzavírá vznik</w:t>
      </w:r>
      <w:r w:rsidRPr="00273106">
        <w:t xml:space="preserve"> a etablování objektivity</w:t>
      </w:r>
      <w:r>
        <w:t xml:space="preserve"> na latinském Západě</w:t>
      </w:r>
      <w:r w:rsidRPr="00273106">
        <w:t>.</w:t>
      </w:r>
      <w:r>
        <w:t xml:space="preserve"> </w:t>
      </w:r>
      <w:r w:rsidR="00862C17" w:rsidRPr="00862C17">
        <w:t xml:space="preserve">Aristotelovo řešení rozšíření teoretického intelektu do praxe umožnilo přechod filozofické etiky do nově definované politické vědy. </w:t>
      </w:r>
      <w:r w:rsidR="00D631D1" w:rsidRPr="00D631D1">
        <w:t>Autonomní poli</w:t>
      </w:r>
      <w:r w:rsidR="00D631D1">
        <w:t xml:space="preserve">tická racionalita se zrodila jedině </w:t>
      </w:r>
      <w:r w:rsidR="00D631D1" w:rsidRPr="00D631D1">
        <w:t xml:space="preserve">v prvním averroismu sicilské školy, která interpretovala spis </w:t>
      </w:r>
      <w:r w:rsidR="00D631D1" w:rsidRPr="00D631D1">
        <w:rPr>
          <w:i/>
          <w:iCs/>
        </w:rPr>
        <w:t>Etika</w:t>
      </w:r>
      <w:r w:rsidR="00D631D1" w:rsidRPr="00D631D1">
        <w:t xml:space="preserve"> a </w:t>
      </w:r>
      <w:r w:rsidR="00D631D1" w:rsidRPr="00D631D1">
        <w:rPr>
          <w:i/>
          <w:iCs/>
        </w:rPr>
        <w:t>politika</w:t>
      </w:r>
      <w:r w:rsidR="00D631D1" w:rsidRPr="00D631D1">
        <w:t xml:space="preserve"> </w:t>
      </w:r>
      <w:r w:rsidR="00D631D1">
        <w:t>podle Averroesova pojetí „</w:t>
      </w:r>
      <w:r w:rsidR="00D631D1" w:rsidRPr="00D631D1">
        <w:t>meta</w:t>
      </w:r>
      <w:r w:rsidR="00D631D1">
        <w:t>-fyziky“</w:t>
      </w:r>
      <w:r w:rsidR="00D631D1" w:rsidRPr="00D631D1">
        <w:t xml:space="preserve">. Nové pojetí </w:t>
      </w:r>
      <w:r w:rsidR="00D631D1">
        <w:t xml:space="preserve">politické racionality využilo </w:t>
      </w:r>
      <w:r w:rsidR="00D631D1" w:rsidRPr="00D631D1">
        <w:t xml:space="preserve">rozšíření teoretického intelektu do praxe. Po překladu Aristotelova spisu </w:t>
      </w:r>
      <w:r w:rsidR="00D631D1" w:rsidRPr="00D631D1">
        <w:rPr>
          <w:i/>
          <w:iCs/>
        </w:rPr>
        <w:t>Politika</w:t>
      </w:r>
      <w:r w:rsidR="00D631D1" w:rsidRPr="00D631D1">
        <w:t xml:space="preserve">, </w:t>
      </w:r>
      <w:r w:rsidR="00D631D1">
        <w:t xml:space="preserve">první averroismus </w:t>
      </w:r>
      <w:r w:rsidR="00D631D1" w:rsidRPr="00D631D1">
        <w:t xml:space="preserve">integroval jednotu politického těla do jednoty božského řádu. Politika nabyla nového významu s ohledem na poslední </w:t>
      </w:r>
      <w:r w:rsidR="00D631D1">
        <w:t xml:space="preserve">určení člověka, které </w:t>
      </w:r>
      <w:r w:rsidR="00D631D1" w:rsidRPr="00D631D1">
        <w:t>vznikl</w:t>
      </w:r>
      <w:r w:rsidR="00D631D1">
        <w:t>o v letech 1268–</w:t>
      </w:r>
      <w:r w:rsidR="00D631D1" w:rsidRPr="00D631D1">
        <w:t>75 v debatách republikánské Florencie, papežské Itálie a filosofické Paříže. Hermeneutika nakonec zkoum</w:t>
      </w:r>
      <w:r w:rsidR="000253C8">
        <w:t>á</w:t>
      </w:r>
      <w:r w:rsidR="00D631D1" w:rsidRPr="00D631D1">
        <w:t xml:space="preserve"> vznik nové politické rac</w:t>
      </w:r>
      <w:r w:rsidR="000253C8">
        <w:t xml:space="preserve">ionality v souvislosti s různými </w:t>
      </w:r>
      <w:r w:rsidR="00D631D1" w:rsidRPr="00D631D1">
        <w:t>projekty aristotelské metafyziky. Obhajoba etického jednání, která byl</w:t>
      </w:r>
      <w:r w:rsidR="000253C8">
        <w:t>a předložena v sicilské škole „</w:t>
      </w:r>
      <w:r w:rsidR="00D631D1" w:rsidRPr="00D631D1">
        <w:rPr>
          <w:i/>
          <w:iCs/>
        </w:rPr>
        <w:t>ad mentem Averrois</w:t>
      </w:r>
      <w:r w:rsidR="000253C8">
        <w:rPr>
          <w:iCs/>
        </w:rPr>
        <w:t>“,</w:t>
      </w:r>
      <w:r w:rsidR="00D631D1" w:rsidRPr="00D631D1">
        <w:t xml:space="preserve"> </w:t>
      </w:r>
      <w:r w:rsidR="000253C8">
        <w:t>vy</w:t>
      </w:r>
      <w:r w:rsidR="00D631D1" w:rsidRPr="00D631D1">
        <w:t xml:space="preserve">tvořila základ </w:t>
      </w:r>
      <w:r w:rsidR="000253C8">
        <w:t xml:space="preserve">pro politickou vědu </w:t>
      </w:r>
      <w:r w:rsidR="00D631D1" w:rsidRPr="00D631D1">
        <w:t>latinského Západu. Záp</w:t>
      </w:r>
      <w:r w:rsidR="000253C8">
        <w:t>ad v tomto bodě překonal Falsafu</w:t>
      </w:r>
      <w:r w:rsidR="00D631D1" w:rsidRPr="00D631D1">
        <w:t xml:space="preserve"> tím, že vytvořil nezávislou politickou racionalitu založenou na suverenitě lidu.</w:t>
      </w:r>
    </w:p>
    <w:p w:rsidR="00D631D1" w:rsidRPr="00D631D1" w:rsidRDefault="00D631D1" w:rsidP="00D631D1">
      <w:pPr>
        <w:spacing w:line="240" w:lineRule="auto"/>
        <w:jc w:val="left"/>
        <w:rPr>
          <w:rFonts w:ascii="Times New Roman" w:eastAsia="Times New Roman" w:hAnsi="Times New Roman"/>
          <w:szCs w:val="24"/>
        </w:rPr>
      </w:pPr>
    </w:p>
    <w:p w:rsidR="00D631D1" w:rsidRDefault="00D631D1" w:rsidP="00D631D1"/>
    <w:p w:rsidR="08163013" w:rsidRPr="00273106" w:rsidRDefault="00EB764B" w:rsidP="00D93859">
      <w:pPr>
        <w:pStyle w:val="Nadpis2"/>
        <w:rPr>
          <w:rStyle w:val="addmd"/>
        </w:rPr>
      </w:pPr>
      <w:r>
        <w:br w:type="page"/>
      </w:r>
      <w:bookmarkStart w:id="110" w:name="_Toc36144173"/>
      <w:bookmarkStart w:id="111" w:name="_Toc180231686"/>
      <w:r w:rsidR="08163013">
        <w:rPr>
          <w:rStyle w:val="addmd"/>
          <w:lang w:val="cs-CZ"/>
        </w:rPr>
        <w:lastRenderedPageBreak/>
        <w:t>6</w:t>
      </w:r>
      <w:r w:rsidR="08163013" w:rsidRPr="00273106">
        <w:rPr>
          <w:rStyle w:val="addmd"/>
        </w:rPr>
        <w:t xml:space="preserve">.2 </w:t>
      </w:r>
      <w:r w:rsidR="08163013">
        <w:rPr>
          <w:rStyle w:val="addmd"/>
        </w:rPr>
        <w:t>Vznik autonomní politické vědy</w:t>
      </w:r>
      <w:bookmarkEnd w:id="110"/>
      <w:bookmarkEnd w:id="111"/>
      <w:r w:rsidR="08163013">
        <w:rPr>
          <w:rStyle w:val="addmd"/>
        </w:rPr>
        <w:t xml:space="preserve"> </w:t>
      </w:r>
      <w:r w:rsidR="08163013" w:rsidRPr="00273106">
        <w:rPr>
          <w:rStyle w:val="addmd"/>
        </w:rPr>
        <w:t xml:space="preserve"> </w:t>
      </w:r>
    </w:p>
    <w:p w:rsidR="00F12EE2" w:rsidRDefault="00E1064F" w:rsidP="00A11548">
      <w:r w:rsidRPr="00E1064F">
        <w:t>Humanisté prvního averroismu</w:t>
      </w:r>
      <w:r w:rsidR="00EA3B32">
        <w:t xml:space="preserve"> za</w:t>
      </w:r>
      <w:r w:rsidRPr="00E1064F">
        <w:t xml:space="preserve">vedli </w:t>
      </w:r>
      <w:r w:rsidR="00EA3B32">
        <w:t xml:space="preserve">nový výklad </w:t>
      </w:r>
      <w:r w:rsidRPr="08924608">
        <w:rPr>
          <w:i/>
        </w:rPr>
        <w:t>Etiky Nikomachovy</w:t>
      </w:r>
      <w:r w:rsidR="00207988">
        <w:t>, který dal etice auto</w:t>
      </w:r>
      <w:r w:rsidR="00910B82">
        <w:t>no</w:t>
      </w:r>
      <w:r w:rsidR="00207988">
        <w:t xml:space="preserve">mní racionalitu a založil ji jako samostatnou vědu. </w:t>
      </w:r>
      <w:r w:rsidR="00ED7856">
        <w:t>Aristotelikové m</w:t>
      </w:r>
      <w:r w:rsidR="00D54EB8">
        <w:t>arně vysvětlovali škole prvních</w:t>
      </w:r>
      <w:r w:rsidRPr="00E1064F">
        <w:t xml:space="preserve"> </w:t>
      </w:r>
      <w:r w:rsidRPr="00E1064F">
        <w:rPr>
          <w:i/>
          <w:iCs/>
        </w:rPr>
        <w:t>Modernoru</w:t>
      </w:r>
      <w:r w:rsidR="00D54EB8">
        <w:rPr>
          <w:i/>
          <w:iCs/>
        </w:rPr>
        <w:t>m</w:t>
      </w:r>
      <w:r w:rsidRPr="00E1064F">
        <w:t>, že praktický intelekt sleduje druh pravdy da</w:t>
      </w:r>
      <w:r>
        <w:t>ný v singulárních činech osoby</w:t>
      </w:r>
      <w:r w:rsidRPr="00E1064F">
        <w:t xml:space="preserve">. </w:t>
      </w:r>
      <w:r w:rsidR="08163013">
        <w:t xml:space="preserve">Tímto přesahem do reality </w:t>
      </w:r>
      <w:r w:rsidR="08163013" w:rsidRPr="00273106">
        <w:t xml:space="preserve">se praktický intelekt </w:t>
      </w:r>
      <w:r w:rsidR="08163013">
        <w:t xml:space="preserve">genericky </w:t>
      </w:r>
      <w:r w:rsidR="08163013" w:rsidRPr="00273106">
        <w:t>odlišuje od hledání blaženos</w:t>
      </w:r>
      <w:r w:rsidR="08163013">
        <w:t xml:space="preserve">ti podle teoretického intelektu, které je </w:t>
      </w:r>
      <w:r w:rsidR="08163013" w:rsidRPr="00273106">
        <w:t>zaměřen</w:t>
      </w:r>
      <w:r w:rsidR="08163013">
        <w:t xml:space="preserve">o pouze kontemplativně a </w:t>
      </w:r>
      <w:r w:rsidR="08163013" w:rsidRPr="00273106">
        <w:t xml:space="preserve">univerzálně. </w:t>
      </w:r>
      <w:r w:rsidR="00B320E3" w:rsidRPr="00B320E3">
        <w:t>Tím, že je praktický intelekt v přímém kontaktu s reálnými věcmi, se odlišuje od hledání blaženosti podle teoretického intelektu, který je zaměřen pouz</w:t>
      </w:r>
      <w:r w:rsidR="00B320E3">
        <w:t xml:space="preserve">e kontemplativně a univerzálně. </w:t>
      </w:r>
      <w:r w:rsidR="08163013">
        <w:t xml:space="preserve">Díky existenci praktického sylogismu predikujícího reálné účinky dané kauzalitou praktického intelektu se stala etika samostatnou vědou postavenou mimo teoretickou filosofii. </w:t>
      </w:r>
      <w:r w:rsidR="00E138A7" w:rsidRPr="00273106">
        <w:t xml:space="preserve">V prvním kole sporu mezi oběma školami </w:t>
      </w:r>
      <w:r w:rsidR="00E138A7">
        <w:t xml:space="preserve">v letech 1240‒50 </w:t>
      </w:r>
      <w:r w:rsidR="00E138A7" w:rsidRPr="00273106">
        <w:t xml:space="preserve">nebylo politické jednání zkoumáno jako samostaná etická disciplína. Situaci zásadně změnil překlad Aristotelovy </w:t>
      </w:r>
      <w:r w:rsidR="00E138A7" w:rsidRPr="08924608">
        <w:rPr>
          <w:i/>
        </w:rPr>
        <w:t>Politiky</w:t>
      </w:r>
      <w:r w:rsidR="00E138A7" w:rsidRPr="00273106">
        <w:t>, který Guillelmus Moerbeke</w:t>
      </w:r>
      <w:r w:rsidR="00E138A7">
        <w:fldChar w:fldCharType="begin"/>
      </w:r>
      <w:r w:rsidR="00E138A7">
        <w:instrText xml:space="preserve"> XE "</w:instrText>
      </w:r>
      <w:r w:rsidR="00E138A7" w:rsidRPr="00753DEE">
        <w:instrText>Moerbeke, W.</w:instrText>
      </w:r>
      <w:r w:rsidR="00E138A7">
        <w:instrText xml:space="preserve">" </w:instrText>
      </w:r>
      <w:r w:rsidR="00E138A7">
        <w:fldChar w:fldCharType="end"/>
      </w:r>
      <w:r w:rsidR="00E138A7" w:rsidRPr="00273106">
        <w:t xml:space="preserve"> odevzdal latinskému Západu </w:t>
      </w:r>
      <w:r w:rsidR="00E138A7">
        <w:t xml:space="preserve">roku </w:t>
      </w:r>
      <w:r w:rsidR="00E138A7" w:rsidRPr="00273106">
        <w:t xml:space="preserve">1260. </w:t>
      </w:r>
      <w:r w:rsidR="00E138A7">
        <w:t xml:space="preserve">Předešlý anonymní překlad zpracoval pouze první dvě knihy z tohoto spisu a měl na politickou teorii tehdejší doby jen malý vliv (Martin 1951, 29). </w:t>
      </w:r>
      <w:r w:rsidR="08163013" w:rsidRPr="00273106">
        <w:t>Spor o autonomii morálního jednání vypukl znovu a s mnohem větší intenzitou po překladu Aristotelova díla o politice.</w:t>
      </w:r>
      <w:r w:rsidR="08163013">
        <w:t xml:space="preserve"> </w:t>
      </w:r>
      <w:r w:rsidR="08163013" w:rsidRPr="00273106">
        <w:t xml:space="preserve">Po recepci Aristotelovy </w:t>
      </w:r>
      <w:r w:rsidR="08163013" w:rsidRPr="088C5296">
        <w:rPr>
          <w:i/>
        </w:rPr>
        <w:t>Politiky</w:t>
      </w:r>
      <w:r w:rsidR="08163013" w:rsidRPr="00273106">
        <w:t xml:space="preserve"> bylo </w:t>
      </w:r>
      <w:r w:rsidR="08163013">
        <w:t xml:space="preserve">etické </w:t>
      </w:r>
      <w:r w:rsidR="08163013" w:rsidRPr="00273106">
        <w:t>určení praktického intelektu dané v prvním averroismu rozšířeno i na politickou praxi.</w:t>
      </w:r>
      <w:r w:rsidR="08163013">
        <w:t xml:space="preserve"> </w:t>
      </w:r>
      <w:r w:rsidR="08163013" w:rsidRPr="00273106">
        <w:t>Spor politických aristoteliků s představite</w:t>
      </w:r>
      <w:r w:rsidR="08163013">
        <w:t xml:space="preserve">li druhého averroismu </w:t>
      </w:r>
      <w:r w:rsidR="002A652D">
        <w:t xml:space="preserve">se rozšířil i do </w:t>
      </w:r>
      <w:r w:rsidR="00552A94">
        <w:t>oblasti politických teorií.</w:t>
      </w:r>
      <w:r w:rsidR="00A11548">
        <w:t xml:space="preserve"> </w:t>
      </w:r>
      <w:r w:rsidR="00CF3B5A">
        <w:t xml:space="preserve">Působení </w:t>
      </w:r>
      <w:r w:rsidR="00552A94">
        <w:t xml:space="preserve">politicky činného </w:t>
      </w:r>
      <w:r w:rsidR="00CF3B5A">
        <w:t>p</w:t>
      </w:r>
      <w:r w:rsidR="08163013" w:rsidRPr="00273106">
        <w:t xml:space="preserve">rvního averroismu odkazuje na téma zatím nenalezených přednášek o Aristotelově </w:t>
      </w:r>
      <w:r w:rsidR="08163013" w:rsidRPr="08924608">
        <w:rPr>
          <w:i/>
        </w:rPr>
        <w:t>Politice</w:t>
      </w:r>
      <w:r w:rsidR="08163013" w:rsidRPr="00273106">
        <w:t xml:space="preserve"> od Sigera z</w:t>
      </w:r>
      <w:r w:rsidR="00673534">
        <w:t> </w:t>
      </w:r>
      <w:r w:rsidR="08163013" w:rsidRPr="00273106">
        <w:t>Brabantu</w:t>
      </w:r>
      <w:r w:rsidR="00673534">
        <w:t>. M</w:t>
      </w:r>
      <w:r w:rsidR="08163013" w:rsidRPr="00273106">
        <w:t xml:space="preserve">andonnet </w:t>
      </w:r>
      <w:r w:rsidR="00673534">
        <w:t xml:space="preserve">je citoval </w:t>
      </w:r>
      <w:r w:rsidR="08163013" w:rsidRPr="00273106">
        <w:t>odkazem na Petra de Bosco.</w:t>
      </w:r>
      <w:r w:rsidR="08163013" w:rsidRPr="00273106">
        <w:rPr>
          <w:rStyle w:val="Znakapoznpodarou"/>
        </w:rPr>
        <w:footnoteReference w:id="552"/>
      </w:r>
      <w:r w:rsidR="08163013" w:rsidRPr="00273106">
        <w:t xml:space="preserve"> Je prý mnohem lépe, když stát řídí spravedlivé zákony než jen čestní lidé</w:t>
      </w:r>
      <w:r w:rsidR="08163013">
        <w:t xml:space="preserve"> (</w:t>
      </w:r>
      <w:r w:rsidR="08163013" w:rsidRPr="08CD6C6F">
        <w:rPr>
          <w:i/>
        </w:rPr>
        <w:t>longe melius est civitatem re</w:t>
      </w:r>
      <w:r w:rsidR="08163013">
        <w:rPr>
          <w:i/>
        </w:rPr>
        <w:t>gi legibus rect</w:t>
      </w:r>
      <w:r w:rsidR="08163013" w:rsidRPr="08CD6C6F">
        <w:rPr>
          <w:i/>
        </w:rPr>
        <w:t>is quam probis viris</w:t>
      </w:r>
      <w:r w:rsidR="08163013">
        <w:t>)</w:t>
      </w:r>
      <w:r w:rsidR="08163013" w:rsidRPr="00273106">
        <w:t>.</w:t>
      </w:r>
      <w:r w:rsidR="08163013">
        <w:t xml:space="preserve"> S</w:t>
      </w:r>
      <w:r w:rsidR="08163013" w:rsidRPr="00273106">
        <w:t xml:space="preserve">tát </w:t>
      </w:r>
      <w:r w:rsidR="08163013">
        <w:t xml:space="preserve">mají </w:t>
      </w:r>
      <w:r w:rsidR="08163013" w:rsidRPr="00273106">
        <w:t>říd</w:t>
      </w:r>
      <w:r w:rsidR="08163013">
        <w:t>it</w:t>
      </w:r>
      <w:r w:rsidR="08163013" w:rsidRPr="00273106">
        <w:t xml:space="preserve"> spravedlivé zákony, </w:t>
      </w:r>
      <w:r w:rsidR="08163013">
        <w:t xml:space="preserve">protože vláda univerzálního práva postaveného na politické verzi praktického intelektu je víc, než jen vláda založená na osobní </w:t>
      </w:r>
      <w:r w:rsidR="08163013" w:rsidRPr="083B0933">
        <w:rPr>
          <w:i/>
        </w:rPr>
        <w:t>fronésis</w:t>
      </w:r>
      <w:r w:rsidR="08163013" w:rsidRPr="00273106">
        <w:t xml:space="preserve">. </w:t>
      </w:r>
      <w:r w:rsidR="00933E20" w:rsidRPr="00933E20">
        <w:t xml:space="preserve">První averroismus přinesl </w:t>
      </w:r>
      <w:r w:rsidR="00933E20">
        <w:t>první autonomní politickou filos</w:t>
      </w:r>
      <w:r w:rsidR="00933E20" w:rsidRPr="00933E20">
        <w:t xml:space="preserve">ofii podle Aristotela, protože politická teorie byla </w:t>
      </w:r>
      <w:r w:rsidR="00933E20">
        <w:t>oddělena od etiky i metafyziky.</w:t>
      </w:r>
      <w:r w:rsidR="00F12EE2">
        <w:t xml:space="preserve"> </w:t>
      </w:r>
      <w:r w:rsidR="00933E20">
        <w:t>Falsafa nevytvořila autonomní politickou teorii</w:t>
      </w:r>
      <w:r w:rsidR="08163013">
        <w:t xml:space="preserve">. Jejím vrcholem byl vznik harmonického státu podle </w:t>
      </w:r>
      <w:r w:rsidR="08163013" w:rsidRPr="083A1CC6">
        <w:rPr>
          <w:i/>
        </w:rPr>
        <w:t>Etiky Nikomachovy</w:t>
      </w:r>
      <w:r w:rsidR="00933E20">
        <w:t xml:space="preserve">, který vytvořil </w:t>
      </w:r>
      <w:r w:rsidR="00933E20">
        <w:rPr>
          <w:rStyle w:val="Zkladntext158dkovn0pt"/>
          <w:color w:val="auto"/>
          <w:spacing w:val="0"/>
          <w:sz w:val="24"/>
          <w:lang w:val="cs-CZ"/>
        </w:rPr>
        <w:t>Al</w:t>
      </w:r>
      <w:r w:rsidR="00933E20">
        <w:rPr>
          <w:rStyle w:val="Zkladntext158dkovn0pt"/>
          <w:color w:val="auto"/>
          <w:spacing w:val="0"/>
          <w:sz w:val="24"/>
          <w:lang w:val="cs-CZ"/>
        </w:rPr>
        <w:noBreakHyphen/>
        <w:t xml:space="preserve">Fárábí jako </w:t>
      </w:r>
      <w:r w:rsidR="08163013">
        <w:rPr>
          <w:rStyle w:val="Zkladntext158dkovn0pt"/>
          <w:color w:val="auto"/>
          <w:spacing w:val="0"/>
          <w:sz w:val="24"/>
          <w:lang w:val="cs-CZ"/>
        </w:rPr>
        <w:t>první evropsk</w:t>
      </w:r>
      <w:r w:rsidR="00933E20">
        <w:rPr>
          <w:rStyle w:val="Zkladntext158dkovn0pt"/>
          <w:color w:val="auto"/>
          <w:spacing w:val="0"/>
          <w:sz w:val="24"/>
          <w:lang w:val="cs-CZ"/>
        </w:rPr>
        <w:t xml:space="preserve">ý </w:t>
      </w:r>
      <w:r w:rsidR="08163013">
        <w:rPr>
          <w:rStyle w:val="Zkladntext158dkovn0pt"/>
          <w:color w:val="auto"/>
          <w:spacing w:val="0"/>
          <w:sz w:val="24"/>
          <w:lang w:val="cs-CZ"/>
        </w:rPr>
        <w:lastRenderedPageBreak/>
        <w:t xml:space="preserve">intelektuál </w:t>
      </w:r>
      <w:r w:rsidR="00933E20" w:rsidRPr="00A9626C">
        <w:rPr>
          <w:lang w:eastAsia="en-US"/>
        </w:rPr>
        <w:t xml:space="preserve">(OBJ I, </w:t>
      </w:r>
      <w:r w:rsidR="00933E20">
        <w:rPr>
          <w:lang w:eastAsia="en-US"/>
        </w:rPr>
        <w:t>ch.</w:t>
      </w:r>
      <w:r w:rsidR="00933E20" w:rsidRPr="00A9626C">
        <w:rPr>
          <w:lang w:eastAsia="en-US"/>
        </w:rPr>
        <w:t xml:space="preserve"> 2.1.1). </w:t>
      </w:r>
      <w:r w:rsidR="00A77AE8" w:rsidRPr="00A77AE8">
        <w:t>Falsafa vytvořil</w:t>
      </w:r>
      <w:r w:rsidR="00A77AE8">
        <w:t>a</w:t>
      </w:r>
      <w:r w:rsidR="00A77AE8" w:rsidRPr="00A77AE8">
        <w:t xml:space="preserve"> politickou te</w:t>
      </w:r>
      <w:r w:rsidR="00A77AE8">
        <w:t xml:space="preserve">orii založenou na Aristotelově </w:t>
      </w:r>
      <w:r w:rsidR="00A77AE8" w:rsidRPr="00A77AE8">
        <w:rPr>
          <w:i/>
        </w:rPr>
        <w:t>Etice</w:t>
      </w:r>
      <w:r w:rsidR="00A77AE8" w:rsidRPr="00A77AE8">
        <w:t xml:space="preserve">. </w:t>
      </w:r>
      <w:r w:rsidR="00041D11" w:rsidRPr="00041D11">
        <w:t xml:space="preserve">Tato definice politiky, která vznikla asi tři století před </w:t>
      </w:r>
      <w:r w:rsidR="00041D11">
        <w:t xml:space="preserve">latinským </w:t>
      </w:r>
      <w:r w:rsidR="00041D11" w:rsidRPr="00041D11">
        <w:t>Západem, odpovídá uspořádání společnosti založené na příbuzenství, které se řídí etickými imperativy převzatými z Koránu.</w:t>
      </w:r>
      <w:r w:rsidR="00041D11">
        <w:rPr>
          <w:rStyle w:val="Znakapoznpodarou"/>
        </w:rPr>
        <w:footnoteReference w:id="553"/>
      </w:r>
      <w:r w:rsidR="00041D11">
        <w:t xml:space="preserve"> </w:t>
      </w:r>
      <w:r w:rsidR="00041D11" w:rsidRPr="00041D11">
        <w:t>Tato vize spravedlivé společnosti a státu odpovídá Akvinského ap</w:t>
      </w:r>
      <w:r w:rsidR="00041D11">
        <w:t>olitické definici člověka jako „</w:t>
      </w:r>
      <w:r w:rsidR="00041D11" w:rsidRPr="00041D11">
        <w:rPr>
          <w:i/>
          <w:iCs/>
        </w:rPr>
        <w:t>animal sociale</w:t>
      </w:r>
      <w:r w:rsidR="00041D11">
        <w:t>“</w:t>
      </w:r>
      <w:r w:rsidR="00041D11" w:rsidRPr="00041D11">
        <w:t>, který je determinován snahou o</w:t>
      </w:r>
      <w:r w:rsidR="00041D11">
        <w:t xml:space="preserve"> dosažení „</w:t>
      </w:r>
      <w:r w:rsidR="00041D11" w:rsidRPr="00041D11">
        <w:rPr>
          <w:i/>
          <w:iCs/>
        </w:rPr>
        <w:t>bonum commune</w:t>
      </w:r>
      <w:r w:rsidR="00041D11">
        <w:t xml:space="preserve">“. </w:t>
      </w:r>
      <w:r w:rsidR="08163013">
        <w:t xml:space="preserve">Etická definice sociality ale nestačí na založení rodově odlišné politické racionality na úrovni </w:t>
      </w:r>
      <w:r w:rsidR="00F12EE2">
        <w:t>„</w:t>
      </w:r>
      <w:r w:rsidR="08163013" w:rsidRPr="083A1CC6">
        <w:rPr>
          <w:i/>
        </w:rPr>
        <w:t>bonum politicum</w:t>
      </w:r>
      <w:r w:rsidR="00F12EE2">
        <w:t>“</w:t>
      </w:r>
      <w:r w:rsidR="08163013">
        <w:t xml:space="preserve">. </w:t>
      </w:r>
    </w:p>
    <w:p w:rsidR="008E381D" w:rsidRDefault="08163013" w:rsidP="00AD712F">
      <w:pPr>
        <w:ind w:firstLine="397"/>
      </w:pPr>
      <w:r>
        <w:t xml:space="preserve">Latinští modernisté </w:t>
      </w:r>
      <w:r w:rsidR="00E3454C">
        <w:t xml:space="preserve">nevytvořili </w:t>
      </w:r>
      <w:r w:rsidR="005B19F0">
        <w:t>ani autonomní sociální teorii společnosti danou</w:t>
      </w:r>
      <w:r>
        <w:t xml:space="preserve"> na úrovni </w:t>
      </w:r>
      <w:r w:rsidR="0035492D">
        <w:t>aristotelské etiky</w:t>
      </w:r>
      <w:r>
        <w:t>. Škola iluminátů</w:t>
      </w:r>
      <w:r>
        <w:fldChar w:fldCharType="begin"/>
      </w:r>
      <w:r>
        <w:instrText xml:space="preserve"> XE "</w:instrText>
      </w:r>
      <w:r w:rsidRPr="00BD65D1">
        <w:instrText>ilumináti</w:instrText>
      </w:r>
      <w:r>
        <w:instrText xml:space="preserve">" </w:instrText>
      </w:r>
      <w:r>
        <w:fldChar w:fldCharType="end"/>
      </w:r>
      <w:r>
        <w:t xml:space="preserve"> byla ovládaná</w:t>
      </w:r>
      <w:r w:rsidRPr="00273106">
        <w:t xml:space="preserve"> </w:t>
      </w:r>
      <w:r>
        <w:t>teorií jedné pravdy opřené o politický augustinianismus, biblickou univoční ontoteologii</w:t>
      </w:r>
      <w:r>
        <w:fldChar w:fldCharType="begin"/>
      </w:r>
      <w:r>
        <w:instrText xml:space="preserve"> XE "</w:instrText>
      </w:r>
      <w:r w:rsidRPr="00A45678">
        <w:rPr>
          <w:rStyle w:val="addmd"/>
        </w:rPr>
        <w:instrText>ontoteologie:</w:instrText>
      </w:r>
      <w:r>
        <w:rPr>
          <w:rStyle w:val="addmd"/>
        </w:rPr>
        <w:instrText>druhý averroismus</w:instrText>
      </w:r>
      <w:r>
        <w:instrText xml:space="preserve">" </w:instrText>
      </w:r>
      <w:r>
        <w:fldChar w:fldCharType="end"/>
      </w:r>
      <w:r>
        <w:t xml:space="preserve"> a </w:t>
      </w:r>
      <w:r w:rsidRPr="00273106">
        <w:t>papežský primát</w:t>
      </w:r>
      <w:r>
        <w:fldChar w:fldCharType="begin"/>
      </w:r>
      <w:r>
        <w:instrText xml:space="preserve"> XE "</w:instrText>
      </w:r>
      <w:r w:rsidRPr="00203639">
        <w:instrText>papežský primát</w:instrText>
      </w:r>
      <w:r>
        <w:instrText xml:space="preserve">" </w:instrText>
      </w:r>
      <w:r>
        <w:fldChar w:fldCharType="end"/>
      </w:r>
      <w:r>
        <w:t>. Jejich sofistická metafyzika a t</w:t>
      </w:r>
      <w:r w:rsidR="00101D27">
        <w:t>eorie poznání byly plné rozporů. M</w:t>
      </w:r>
      <w:r>
        <w:t xml:space="preserve">oderna až do Scota nevytvořila ucelený a koherentní systém myšlení. V takovém myšlenkovém světě nemohla vzniknout etika jako automnomní věda univočně definující jednání, natož autonomní politická racionalita. </w:t>
      </w:r>
      <w:r w:rsidRPr="00273106">
        <w:t xml:space="preserve">Výklad politického jednání ve škole </w:t>
      </w:r>
      <w:r w:rsidRPr="00273106">
        <w:rPr>
          <w:i/>
        </w:rPr>
        <w:t>Modernorum</w:t>
      </w:r>
      <w:r w:rsidRPr="00273106">
        <w:t xml:space="preserve"> byl dán </w:t>
      </w:r>
      <w:r>
        <w:t xml:space="preserve">neoplatonským </w:t>
      </w:r>
      <w:r w:rsidRPr="00273106">
        <w:t xml:space="preserve">výkladem </w:t>
      </w:r>
      <w:r w:rsidRPr="08227E6D">
        <w:rPr>
          <w:i/>
        </w:rPr>
        <w:t>Etiky Nikomachovy</w:t>
      </w:r>
      <w:r>
        <w:t xml:space="preserve">, který vyložila předešlá kapitola. </w:t>
      </w:r>
      <w:r w:rsidRPr="00273106">
        <w:t xml:space="preserve">Vymezení politické racionality sledovalo </w:t>
      </w:r>
      <w:r>
        <w:t xml:space="preserve">avicennovské </w:t>
      </w:r>
      <w:r w:rsidRPr="00273106">
        <w:t xml:space="preserve">pojetí dobra jako nejvyššího rodu, které jednotlivec primárně neaktualizuje v jednání, ale skrze kontemplaci. </w:t>
      </w:r>
      <w:r>
        <w:t xml:space="preserve">Teorie jedné pravdy daná odsouzením 1277 a pak bulou </w:t>
      </w:r>
      <w:r w:rsidRPr="08B718B5">
        <w:rPr>
          <w:i/>
        </w:rPr>
        <w:t>Unam Sanctam</w:t>
      </w:r>
      <w:r>
        <w:t xml:space="preserve"> vedla k objektivnímu náhledu na politickou moc, kterou šlo odvodit skrze různé formy univoční dedukce, dělení a třídění porretánských </w:t>
      </w:r>
      <w:r w:rsidR="00962190" w:rsidRPr="00CB2069">
        <w:t>species</w:t>
      </w:r>
      <w:r>
        <w:t xml:space="preserve">. </w:t>
      </w:r>
      <w:r w:rsidR="00C042B0" w:rsidRPr="00273106">
        <w:t xml:space="preserve">Moderní </w:t>
      </w:r>
      <w:r w:rsidR="00C042B0" w:rsidRPr="00273106">
        <w:rPr>
          <w:i/>
        </w:rPr>
        <w:t>Nominales</w:t>
      </w:r>
      <w:r w:rsidR="00C042B0" w:rsidRPr="00273106">
        <w:t xml:space="preserve"> vytvořili podle </w:t>
      </w:r>
      <w:r w:rsidR="00170327">
        <w:t>Porfý</w:t>
      </w:r>
      <w:r w:rsidR="00C042B0">
        <w:t>ri</w:t>
      </w:r>
      <w:r w:rsidR="00C042B0" w:rsidRPr="00273106">
        <w:t>ova stromu jsoucno třet</w:t>
      </w:r>
      <w:r w:rsidR="00C042B0">
        <w:t>ího druhu v podobě různorodého sociálního těla</w:t>
      </w:r>
      <w:r w:rsidR="00C042B0" w:rsidRPr="00273106">
        <w:t xml:space="preserve"> a jemu odpovídajícímu cíle</w:t>
      </w:r>
      <w:r w:rsidR="00C042B0">
        <w:t xml:space="preserve"> v podobě specifického dobra</w:t>
      </w:r>
      <w:r w:rsidR="00C042B0" w:rsidRPr="00273106">
        <w:t xml:space="preserve">, které je možno teoreticky nazírat přes odpovídající formu habitu. </w:t>
      </w:r>
      <w:r w:rsidRPr="00273106">
        <w:t>Politický augustinianismus děli</w:t>
      </w:r>
      <w:r>
        <w:t>l</w:t>
      </w:r>
      <w:r w:rsidRPr="00273106">
        <w:t xml:space="preserve"> abstraktní lid jako </w:t>
      </w:r>
      <w:r>
        <w:t xml:space="preserve">specifický </w:t>
      </w:r>
      <w:r w:rsidR="00CB2069">
        <w:t>„</w:t>
      </w:r>
      <w:r w:rsidRPr="00273106">
        <w:rPr>
          <w:i/>
        </w:rPr>
        <w:t>corpus</w:t>
      </w:r>
      <w:r w:rsidR="00CB2069">
        <w:t>“</w:t>
      </w:r>
      <w:r w:rsidRPr="00273106">
        <w:t xml:space="preserve"> na různé části (</w:t>
      </w:r>
      <w:r w:rsidRPr="00273106">
        <w:rPr>
          <w:i/>
        </w:rPr>
        <w:t>corpus morale</w:t>
      </w:r>
      <w:r w:rsidRPr="00273106">
        <w:t xml:space="preserve">, </w:t>
      </w:r>
      <w:r w:rsidRPr="00273106">
        <w:rPr>
          <w:i/>
        </w:rPr>
        <w:t>politicum,</w:t>
      </w:r>
      <w:r w:rsidRPr="00273106">
        <w:t xml:space="preserve"> </w:t>
      </w:r>
      <w:r w:rsidRPr="00273106">
        <w:rPr>
          <w:i/>
        </w:rPr>
        <w:t>naturale</w:t>
      </w:r>
      <w:r w:rsidRPr="00273106">
        <w:t xml:space="preserve">, </w:t>
      </w:r>
      <w:r w:rsidRPr="00273106">
        <w:rPr>
          <w:i/>
        </w:rPr>
        <w:t>mysticum</w:t>
      </w:r>
      <w:r>
        <w:t xml:space="preserve">). Toto dělení vycházelo </w:t>
      </w:r>
      <w:r w:rsidRPr="00273106">
        <w:t>z jednoho rodového zdroje moci a racionality, kterým byl boží zákon (</w:t>
      </w:r>
      <w:r w:rsidRPr="00273106">
        <w:rPr>
          <w:i/>
        </w:rPr>
        <w:t>lex aeterna</w:t>
      </w:r>
      <w:r w:rsidRPr="00273106">
        <w:t>)</w:t>
      </w:r>
      <w:r>
        <w:t xml:space="preserve"> dělený na podsložky dané teologicky, filosoficky a eticky</w:t>
      </w:r>
      <w:r w:rsidRPr="00273106">
        <w:t xml:space="preserve">. Unitární </w:t>
      </w:r>
      <w:r>
        <w:t xml:space="preserve">politická </w:t>
      </w:r>
      <w:r w:rsidRPr="00273106">
        <w:t>teorie</w:t>
      </w:r>
      <w:r>
        <w:fldChar w:fldCharType="begin"/>
      </w:r>
      <w:r>
        <w:instrText xml:space="preserve"> XE "</w:instrText>
      </w:r>
      <w:r w:rsidRPr="009B15FB">
        <w:instrText>dedukce:politická teorie</w:instrText>
      </w:r>
      <w:r>
        <w:instrText xml:space="preserve">" </w:instrText>
      </w:r>
      <w:r>
        <w:fldChar w:fldCharType="end"/>
      </w:r>
      <w:r w:rsidRPr="00273106">
        <w:t xml:space="preserve"> od Augustina</w:t>
      </w:r>
      <w:r>
        <w:t>, přes Akvinského</w:t>
      </w:r>
      <w:r w:rsidRPr="00273106">
        <w:t xml:space="preserve"> k  Aquaspartovi ví, že jednota </w:t>
      </w:r>
      <w:r w:rsidRPr="00273106">
        <w:lastRenderedPageBreak/>
        <w:t>vychází od boha jako dárce moci a forem a k bohu je potřeba tuto jednotu zase přivést.</w:t>
      </w:r>
      <w:r w:rsidRPr="00273106">
        <w:rPr>
          <w:rStyle w:val="Znakapoznpodarou"/>
        </w:rPr>
        <w:footnoteReference w:id="554"/>
      </w:r>
      <w:r>
        <w:t xml:space="preserve"> </w:t>
      </w:r>
      <w:r w:rsidRPr="00273106">
        <w:t xml:space="preserve">Druhý averroismus </w:t>
      </w:r>
      <w:r>
        <w:t xml:space="preserve">a semiaverroismus Akvinského a Aegidia Romana </w:t>
      </w:r>
      <w:r w:rsidRPr="00273106">
        <w:t>vzal teorii o plné harmonii církve a státu (</w:t>
      </w:r>
      <w:r w:rsidRPr="00273106">
        <w:rPr>
          <w:i/>
        </w:rPr>
        <w:t>unanimitas</w:t>
      </w:r>
      <w:r w:rsidRPr="00273106">
        <w:t>) známou již od karolinských právníků (Jonas z Orleansu</w:t>
      </w:r>
      <w:r>
        <w:fldChar w:fldCharType="begin"/>
      </w:r>
      <w:r>
        <w:instrText xml:space="preserve"> XE "</w:instrText>
      </w:r>
      <w:r w:rsidRPr="00121421">
        <w:instrText>Jonas z Orleansu</w:instrText>
      </w:r>
      <w:r>
        <w:instrText xml:space="preserve">" </w:instrText>
      </w:r>
      <w:r>
        <w:fldChar w:fldCharType="end"/>
      </w:r>
      <w:r w:rsidRPr="00273106">
        <w:t>, asi †843). Teoretikové prvního averroismu jako výše citovaný Jan z Paříže</w:t>
      </w:r>
      <w:r>
        <w:fldChar w:fldCharType="begin"/>
      </w:r>
      <w:r>
        <w:instrText xml:space="preserve"> XE "</w:instrText>
      </w:r>
      <w:r w:rsidRPr="00C77D2E">
        <w:instrText>Johannes Quidort</w:instrText>
      </w:r>
      <w:r>
        <w:instrText xml:space="preserve">" </w:instrText>
      </w:r>
      <w:r>
        <w:fldChar w:fldCharType="end"/>
      </w:r>
      <w:r w:rsidR="00E6738D">
        <w:t xml:space="preserve"> (kap. 6</w:t>
      </w:r>
      <w:r>
        <w:t xml:space="preserve">.1) </w:t>
      </w:r>
      <w:r w:rsidR="00B960D1">
        <w:t xml:space="preserve">postavili proti pojetí teokratické </w:t>
      </w:r>
      <w:r w:rsidR="00B960D1" w:rsidRPr="00273106">
        <w:rPr>
          <w:i/>
        </w:rPr>
        <w:t>unanimitas</w:t>
      </w:r>
      <w:r w:rsidR="00B960D1" w:rsidRPr="00273106">
        <w:t xml:space="preserve"> </w:t>
      </w:r>
      <w:r w:rsidR="00B960D1">
        <w:t xml:space="preserve">filosofické přirozenoprávní teorie, které jasně oddělily </w:t>
      </w:r>
      <w:r w:rsidR="00B960D1" w:rsidRPr="00B960D1">
        <w:rPr>
          <w:i/>
        </w:rPr>
        <w:t>lex divina</w:t>
      </w:r>
      <w:r w:rsidR="000E1864">
        <w:rPr>
          <w:i/>
        </w:rPr>
        <w:fldChar w:fldCharType="begin"/>
      </w:r>
      <w:r w:rsidR="000E1864">
        <w:instrText xml:space="preserve"> XE "</w:instrText>
      </w:r>
      <w:r w:rsidR="000E1864" w:rsidRPr="00E56F0E">
        <w:rPr>
          <w:i/>
        </w:rPr>
        <w:instrText>lex divina</w:instrText>
      </w:r>
      <w:r w:rsidR="000E1864">
        <w:instrText xml:space="preserve">" </w:instrText>
      </w:r>
      <w:r w:rsidR="000E1864">
        <w:rPr>
          <w:i/>
        </w:rPr>
        <w:fldChar w:fldCharType="end"/>
      </w:r>
      <w:r w:rsidR="00B960D1">
        <w:t xml:space="preserve"> a </w:t>
      </w:r>
      <w:r w:rsidR="00B960D1" w:rsidRPr="00B960D1">
        <w:rPr>
          <w:i/>
        </w:rPr>
        <w:t>ius naturale</w:t>
      </w:r>
      <w:r>
        <w:t>.</w:t>
      </w:r>
      <w:r w:rsidRPr="00273106">
        <w:rPr>
          <w:rStyle w:val="Znakapoznpodarou"/>
        </w:rPr>
        <w:footnoteReference w:id="555"/>
      </w:r>
      <w:r>
        <w:t xml:space="preserve"> Politickou jednotu bylo třeba definovat </w:t>
      </w:r>
      <w:r w:rsidRPr="00273106">
        <w:t xml:space="preserve">v </w:t>
      </w:r>
      <w:r>
        <w:t>její rodové a</w:t>
      </w:r>
      <w:r w:rsidRPr="00273106">
        <w:t>utonomii</w:t>
      </w:r>
      <w:r w:rsidR="00B960D1">
        <w:t>. Ta je daná</w:t>
      </w:r>
      <w:r w:rsidRPr="00273106">
        <w:t xml:space="preserve"> formou </w:t>
      </w:r>
      <w:r>
        <w:t xml:space="preserve">kolektivního politického dobra a praktické politické racionality, která se </w:t>
      </w:r>
      <w:r w:rsidR="00B960D1">
        <w:t>rodově liší od etického jednání</w:t>
      </w:r>
      <w:r w:rsidRPr="00273106">
        <w:t xml:space="preserve">. První averroismus </w:t>
      </w:r>
      <w:r>
        <w:t xml:space="preserve">vědeckým </w:t>
      </w:r>
      <w:r w:rsidRPr="00273106">
        <w:t xml:space="preserve">rozlišením politiky, etiky, filosofie a teologie přinesl nové řešení </w:t>
      </w:r>
      <w:r>
        <w:t xml:space="preserve">sofistického sporu o tzv. „dvojí pravdu“. </w:t>
      </w:r>
      <w:r w:rsidR="00AD712F" w:rsidRPr="00AD712F">
        <w:t>Mistři Pařížské univerzity ve svém prohlášení z dubna 1272</w:t>
      </w:r>
      <w:r w:rsidR="00AD712F">
        <w:rPr>
          <w:szCs w:val="24"/>
        </w:rPr>
        <w:fldChar w:fldCharType="begin"/>
      </w:r>
      <w:r w:rsidR="00AD712F">
        <w:instrText xml:space="preserve"> XE "</w:instrText>
      </w:r>
      <w:r w:rsidR="00AD712F" w:rsidRPr="00FD37CA">
        <w:rPr>
          <w:szCs w:val="24"/>
        </w:rPr>
        <w:instrText>dekret artistů 1272</w:instrText>
      </w:r>
      <w:r w:rsidR="00AD712F">
        <w:instrText xml:space="preserve">" </w:instrText>
      </w:r>
      <w:r w:rsidR="00AD712F">
        <w:rPr>
          <w:szCs w:val="24"/>
        </w:rPr>
        <w:fldChar w:fldCharType="end"/>
      </w:r>
      <w:r w:rsidR="00AD712F" w:rsidRPr="00AD712F">
        <w:t xml:space="preserve"> odmítli takový druh pravdy odkazem na filozofické a vědecké pojetí pravdy </w:t>
      </w:r>
      <w:r w:rsidR="00AD712F">
        <w:t xml:space="preserve">dané ve spise </w:t>
      </w:r>
      <w:r w:rsidR="00AD712F">
        <w:rPr>
          <w:i/>
        </w:rPr>
        <w:t>Druhé</w:t>
      </w:r>
      <w:r w:rsidR="00AD712F" w:rsidRPr="086271F7">
        <w:rPr>
          <w:i/>
        </w:rPr>
        <w:t xml:space="preserve"> analytiky</w:t>
      </w:r>
      <w:r w:rsidR="00AD712F">
        <w:t>. Existuje jedna skutečná osoba</w:t>
      </w:r>
      <w:r w:rsidR="00AD712F" w:rsidRPr="00AD712F">
        <w:t xml:space="preserve"> a </w:t>
      </w:r>
      <w:r w:rsidR="00AD712F">
        <w:t xml:space="preserve">ta </w:t>
      </w:r>
      <w:r w:rsidR="00AD712F" w:rsidRPr="00AD712F">
        <w:t>jde za blažeností jako jedinečným cílem života různými zp</w:t>
      </w:r>
      <w:r w:rsidR="00AD712F">
        <w:t xml:space="preserve">ůsoby jednání, myšlení a volby. </w:t>
      </w:r>
      <w:r>
        <w:t xml:space="preserve">Magistři z Rue du Fouarre tímto prohlášením založili autonomii politické vědy v rámci přesně určeného rodového poznání politiky a jí odpovídající reálné kauzality a racionality. Vzhledem k politice a věčné blaženosti tuto dvojí cestu k jednomu cíli ukázal </w:t>
      </w:r>
      <w:r w:rsidRPr="08D72D3C">
        <w:t xml:space="preserve">Dante ve spise </w:t>
      </w:r>
      <w:r w:rsidRPr="085F7A10">
        <w:rPr>
          <w:i/>
        </w:rPr>
        <w:t>Monarchia</w:t>
      </w:r>
      <w:r w:rsidRPr="08D72D3C">
        <w:t xml:space="preserve">. Jeho aristotelským vzorem byl </w:t>
      </w:r>
      <w:r>
        <w:t>přívrženec Guelfů a floren</w:t>
      </w:r>
      <w:r w:rsidRPr="08D72D3C">
        <w:t>t</w:t>
      </w:r>
      <w:r>
        <w:t>ský filosof Brunetto Latini</w:t>
      </w:r>
      <w:r>
        <w:fldChar w:fldCharType="begin"/>
      </w:r>
      <w:r>
        <w:instrText xml:space="preserve"> XE "</w:instrText>
      </w:r>
      <w:r w:rsidRPr="080B3626">
        <w:instrText>Latini, B.</w:instrText>
      </w:r>
      <w:r>
        <w:instrText xml:space="preserve">" </w:instrText>
      </w:r>
      <w:r>
        <w:fldChar w:fldCharType="end"/>
      </w:r>
      <w:r w:rsidR="009069EE">
        <w:t xml:space="preserve">. Jeho </w:t>
      </w:r>
      <w:r w:rsidRPr="08D72D3C">
        <w:t>kni</w:t>
      </w:r>
      <w:r w:rsidR="009069EE">
        <w:t xml:space="preserve">ha </w:t>
      </w:r>
      <w:r w:rsidRPr="08D72D3C">
        <w:rPr>
          <w:i/>
        </w:rPr>
        <w:t>Li Livres dou Tresor</w:t>
      </w:r>
      <w:r w:rsidRPr="08D72D3C">
        <w:t xml:space="preserve"> </w:t>
      </w:r>
      <w:r>
        <w:t xml:space="preserve">psané ve francouzském exilu (1261‒70) </w:t>
      </w:r>
      <w:r w:rsidR="00B558AE">
        <w:t>defi</w:t>
      </w:r>
      <w:r w:rsidR="009069EE">
        <w:t xml:space="preserve">novala </w:t>
      </w:r>
      <w:r w:rsidRPr="08D72D3C">
        <w:t>l</w:t>
      </w:r>
      <w:r>
        <w:t>id jako zdroj politické moci</w:t>
      </w:r>
      <w:r w:rsidR="00BE3F00">
        <w:t xml:space="preserve"> a </w:t>
      </w:r>
      <w:r>
        <w:t>omezil</w:t>
      </w:r>
      <w:r w:rsidR="00BE3F00">
        <w:t>a</w:t>
      </w:r>
      <w:r w:rsidRPr="08D72D3C">
        <w:t xml:space="preserve"> moc v</w:t>
      </w:r>
      <w:r w:rsidR="00B558AE">
        <w:t>ládce</w:t>
      </w:r>
      <w:r>
        <w:t>.</w:t>
      </w:r>
      <w:r>
        <w:rPr>
          <w:rStyle w:val="Znakapoznpodarou"/>
        </w:rPr>
        <w:footnoteReference w:id="556"/>
      </w:r>
      <w:r>
        <w:t xml:space="preserve"> Exulant Brunetto znal spis </w:t>
      </w:r>
      <w:r w:rsidRPr="088B54CA">
        <w:rPr>
          <w:i/>
        </w:rPr>
        <w:t>Politika</w:t>
      </w:r>
      <w:r>
        <w:t xml:space="preserve"> a díky pobytu v Paříži patří k důležitým svědkům komentáře tohoto spisu v linii Sigera. Hermeneutika upozornila na klíčovou roli Sigera ve sporu o autonomii filosofie a humanitních věd, protože předložil nejúplnější </w:t>
      </w:r>
      <w:r>
        <w:lastRenderedPageBreak/>
        <w:t xml:space="preserve">obhajovu poznání a jednoty osoby podle CMDA již kolem 1265. A spis </w:t>
      </w:r>
      <w:r w:rsidRPr="08264C6C">
        <w:rPr>
          <w:i/>
        </w:rPr>
        <w:t>Politika</w:t>
      </w:r>
      <w:r>
        <w:t xml:space="preserve"> byl přeložen v téže době a Siger jej komentoval ve svých přednáškách věnovaným výkladu </w:t>
      </w:r>
      <w:r w:rsidRPr="08CA31C9">
        <w:rPr>
          <w:i/>
        </w:rPr>
        <w:t>Corpus Aristotelicum</w:t>
      </w:r>
      <w:r>
        <w:t>. Jeho výklad zásadně ocenil politický filosof a básník Dante</w:t>
      </w:r>
      <w:r>
        <w:fldChar w:fldCharType="begin"/>
      </w:r>
      <w:r>
        <w:instrText xml:space="preserve"> XE "</w:instrText>
      </w:r>
      <w:r w:rsidRPr="00E871B9">
        <w:instrText>Dante, A.</w:instrText>
      </w:r>
      <w:r>
        <w:instrText xml:space="preserve">" </w:instrText>
      </w:r>
      <w:r>
        <w:fldChar w:fldCharType="end"/>
      </w:r>
      <w:r>
        <w:t xml:space="preserve"> v </w:t>
      </w:r>
      <w:r w:rsidRPr="08C00A69">
        <w:rPr>
          <w:i/>
        </w:rPr>
        <w:t>Božské komedii</w:t>
      </w:r>
      <w:r>
        <w:t xml:space="preserve"> a </w:t>
      </w:r>
      <w:r w:rsidR="004E629B">
        <w:t>prohlásil Sigera za n</w:t>
      </w:r>
      <w:r>
        <w:t>ejlepšíh</w:t>
      </w:r>
      <w:r w:rsidR="004E629B">
        <w:t>o filosofa</w:t>
      </w:r>
      <w:r>
        <w:t xml:space="preserve"> jeho doby. Proto je pro ustavení automní politické vědy zásadní škoda, že moderna postihla svým </w:t>
      </w:r>
      <w:r w:rsidRPr="08C00A69">
        <w:rPr>
          <w:i/>
        </w:rPr>
        <w:t>damnatio memoriae</w:t>
      </w:r>
      <w:r>
        <w:rPr>
          <w:i/>
        </w:rPr>
        <w:fldChar w:fldCharType="begin"/>
      </w:r>
      <w:r>
        <w:instrText xml:space="preserve"> XE "</w:instrText>
      </w:r>
      <w:r w:rsidRPr="08C72F4A">
        <w:rPr>
          <w:i/>
        </w:rPr>
        <w:instrText>damnatio memoriae</w:instrText>
      </w:r>
      <w:r>
        <w:instrText xml:space="preserve">" </w:instrText>
      </w:r>
      <w:r>
        <w:rPr>
          <w:i/>
        </w:rPr>
        <w:fldChar w:fldCharType="end"/>
      </w:r>
      <w:r>
        <w:t xml:space="preserve"> tuto důležitou část Sigerova myšlení. Jeho komentáře </w:t>
      </w:r>
      <w:r>
        <w:rPr>
          <w:i/>
        </w:rPr>
        <w:t>Etiky</w:t>
      </w:r>
      <w:r>
        <w:t xml:space="preserve"> a </w:t>
      </w:r>
      <w:r w:rsidRPr="08C00A69">
        <w:rPr>
          <w:i/>
        </w:rPr>
        <w:t>Politiky</w:t>
      </w:r>
      <w:r>
        <w:t xml:space="preserve"> jistě kolovaly jako </w:t>
      </w:r>
      <w:r w:rsidRPr="08CB7A5B">
        <w:rPr>
          <w:i/>
        </w:rPr>
        <w:t>reportatio</w:t>
      </w:r>
      <w:r>
        <w:t xml:space="preserve"> studentů, ale nedochovaly se mimo jiné i vinou zániku školy prvního averroismu a nás</w:t>
      </w:r>
      <w:r w:rsidR="00C2186E">
        <w:t>lednou démonizací Sigera (kap. 5</w:t>
      </w:r>
      <w:r>
        <w:t xml:space="preserve">.5). Dante a Ockham představují z hlediska politické teorie Sigerovy žáky. Objektivně manifestovanou podobu politického myšlení ukazují historické spory ohledně buly </w:t>
      </w:r>
      <w:r>
        <w:rPr>
          <w:i/>
        </w:rPr>
        <w:t>Unam Sanctam</w:t>
      </w:r>
      <w:r>
        <w:rPr>
          <w:i/>
        </w:rPr>
        <w:fldChar w:fldCharType="begin"/>
      </w:r>
      <w:r>
        <w:instrText xml:space="preserve"> XE "</w:instrText>
      </w:r>
      <w:r>
        <w:rPr>
          <w:i/>
        </w:rPr>
        <w:instrText>Unam Sanctam</w:instrText>
      </w:r>
      <w:r>
        <w:instrText xml:space="preserve">" </w:instrText>
      </w:r>
      <w:r>
        <w:rPr>
          <w:i/>
        </w:rPr>
        <w:fldChar w:fldCharType="end"/>
      </w:r>
      <w:r>
        <w:t xml:space="preserve"> a spor</w:t>
      </w:r>
      <w:r w:rsidRPr="00273106">
        <w:t xml:space="preserve"> avignonského papeže Jana XXII. a odbojného císaře Ludvíka IV. Bavorského</w:t>
      </w:r>
      <w:r>
        <w:t xml:space="preserve">. </w:t>
      </w:r>
      <w:r w:rsidRPr="00273106">
        <w:t xml:space="preserve">V tomto období píše Ockham svá politická díla, zejména </w:t>
      </w:r>
      <w:r>
        <w:t xml:space="preserve">traktát </w:t>
      </w:r>
      <w:r w:rsidRPr="00273106">
        <w:rPr>
          <w:i/>
        </w:rPr>
        <w:t>Dialogus</w:t>
      </w:r>
      <w:r w:rsidRPr="00273106">
        <w:t xml:space="preserve"> psaný mezi léty 1333 až do jeho smrti (1348).</w:t>
      </w:r>
    </w:p>
    <w:p w:rsidR="08163013" w:rsidRDefault="08163013" w:rsidP="08163013">
      <w:r>
        <w:tab/>
      </w:r>
      <w:r w:rsidR="001D1FBE" w:rsidRPr="001D1FBE">
        <w:t>Albertův komentář k</w:t>
      </w:r>
      <w:r w:rsidR="001D1FBE">
        <w:t xml:space="preserve">e spisu </w:t>
      </w:r>
      <w:r w:rsidR="001D1FBE">
        <w:rPr>
          <w:i/>
          <w:iCs/>
        </w:rPr>
        <w:t>Politika</w:t>
      </w:r>
      <w:r w:rsidR="001D1FBE" w:rsidRPr="001D1FBE">
        <w:t xml:space="preserve"> (</w:t>
      </w:r>
      <w:r w:rsidR="001D1FBE" w:rsidRPr="001D1FBE">
        <w:rPr>
          <w:i/>
          <w:iCs/>
        </w:rPr>
        <w:t>Politica</w:t>
      </w:r>
      <w:r w:rsidR="001D1FBE" w:rsidRPr="001D1FBE">
        <w:t xml:space="preserve">, 1264) je vynikajícím příkladem </w:t>
      </w:r>
      <w:r w:rsidR="001D1FBE">
        <w:t xml:space="preserve">dedukce </w:t>
      </w:r>
      <w:r w:rsidR="001D1FBE" w:rsidRPr="001D1FBE">
        <w:t xml:space="preserve">politické racionality, která </w:t>
      </w:r>
      <w:r w:rsidR="001D1FBE">
        <w:t xml:space="preserve">navazuje na </w:t>
      </w:r>
      <w:r w:rsidR="001D1FBE" w:rsidRPr="001D1FBE">
        <w:t xml:space="preserve">jeho druhý komentář k </w:t>
      </w:r>
      <w:r w:rsidR="001D1FBE" w:rsidRPr="001D1FBE">
        <w:rPr>
          <w:i/>
          <w:iCs/>
        </w:rPr>
        <w:t>Etice Nikomachově</w:t>
      </w:r>
      <w:r w:rsidR="001D1FBE" w:rsidRPr="001D1FBE">
        <w:t xml:space="preserve"> (</w:t>
      </w:r>
      <w:r w:rsidR="001D1FBE" w:rsidRPr="001D1FBE">
        <w:rPr>
          <w:i/>
          <w:iCs/>
        </w:rPr>
        <w:t>Ethica</w:t>
      </w:r>
      <w:r w:rsidR="001D1FBE" w:rsidRPr="001D1FBE">
        <w:t xml:space="preserve">, 1262). Albert řešil základní otázku ve stejné době jako Siger: Proč je pro stát lepší, když mu vládnou spravedlivé zákony než čestní lidé? </w:t>
      </w:r>
      <w:r w:rsidRPr="00273106">
        <w:t xml:space="preserve">Albert předkládá první kompletní výklad </w:t>
      </w:r>
      <w:r>
        <w:t xml:space="preserve">spisu </w:t>
      </w:r>
      <w:r>
        <w:rPr>
          <w:i/>
        </w:rPr>
        <w:t>Politika</w:t>
      </w:r>
      <w:r w:rsidRPr="00273106">
        <w:t xml:space="preserve"> v původní intenci Aristotela</w:t>
      </w:r>
      <w:r>
        <w:t xml:space="preserve">, stejně jako to předtím udělal pro </w:t>
      </w:r>
      <w:r w:rsidRPr="08DF358A">
        <w:rPr>
          <w:i/>
        </w:rPr>
        <w:t>Etiku</w:t>
      </w:r>
      <w:r w:rsidRPr="00273106">
        <w:t xml:space="preserve">. </w:t>
      </w:r>
      <w:r>
        <w:t xml:space="preserve">Sigerovy traktáty podávající výklad </w:t>
      </w:r>
      <w:r w:rsidRPr="08DF358A">
        <w:rPr>
          <w:i/>
        </w:rPr>
        <w:t>Etiky Nikomachovy</w:t>
      </w:r>
      <w:r>
        <w:t xml:space="preserve"> a </w:t>
      </w:r>
      <w:r w:rsidRPr="08C0682A">
        <w:rPr>
          <w:i/>
        </w:rPr>
        <w:t>Politiky</w:t>
      </w:r>
      <w:r>
        <w:t xml:space="preserve"> zatím neznáme. </w:t>
      </w:r>
      <w:r w:rsidR="006D5BB2">
        <w:t>V případě Aristotelových etických spisů</w:t>
      </w:r>
      <w:r w:rsidR="006D5BB2" w:rsidRPr="006D5BB2">
        <w:t xml:space="preserve"> jsme však sledovali Sigerův vliv na spis </w:t>
      </w:r>
      <w:r w:rsidR="006D5BB2" w:rsidRPr="006D5BB2">
        <w:rPr>
          <w:i/>
          <w:iCs/>
        </w:rPr>
        <w:t>Anonymus Giele</w:t>
      </w:r>
      <w:r w:rsidR="006D5BB2" w:rsidRPr="006D5BB2">
        <w:t xml:space="preserve"> (kap. 4.3.1).</w:t>
      </w:r>
      <w:r w:rsidR="006D5BB2">
        <w:t xml:space="preserve"> Jeho předpokládaným autorem je</w:t>
      </w:r>
      <w:r w:rsidR="006D5BB2" w:rsidRPr="006D5BB2">
        <w:t xml:space="preserve"> Boethius z Dácie</w:t>
      </w:r>
      <w:r w:rsidR="000B02D8">
        <w:fldChar w:fldCharType="begin"/>
      </w:r>
      <w:r w:rsidR="000B02D8">
        <w:instrText xml:space="preserve"> XE "</w:instrText>
      </w:r>
      <w:r w:rsidR="000B02D8" w:rsidRPr="00521677">
        <w:rPr>
          <w:lang w:eastAsia="en-US"/>
        </w:rPr>
        <w:instrText>Boethius</w:instrText>
      </w:r>
      <w:r w:rsidR="000B02D8">
        <w:rPr>
          <w:lang w:eastAsia="en-US"/>
        </w:rPr>
        <w:instrText xml:space="preserve"> z Dácie</w:instrText>
      </w:r>
      <w:r w:rsidR="000B02D8">
        <w:instrText xml:space="preserve">" </w:instrText>
      </w:r>
      <w:r w:rsidR="000B02D8">
        <w:fldChar w:fldCharType="end"/>
      </w:r>
      <w:r w:rsidR="006D5BB2" w:rsidRPr="006D5BB2">
        <w:t xml:space="preserve">, který byl známým komentátorem </w:t>
      </w:r>
      <w:r w:rsidR="006D5BB2">
        <w:rPr>
          <w:i/>
          <w:iCs/>
        </w:rPr>
        <w:t>E</w:t>
      </w:r>
      <w:r w:rsidR="006D5BB2" w:rsidRPr="006D5BB2">
        <w:rPr>
          <w:i/>
          <w:iCs/>
        </w:rPr>
        <w:t>tiky</w:t>
      </w:r>
      <w:r w:rsidR="006D5BB2" w:rsidRPr="006D5BB2">
        <w:t xml:space="preserve"> v Sigerově linii.</w:t>
      </w:r>
      <w:r w:rsidR="000B02D8">
        <w:t xml:space="preserve"> </w:t>
      </w:r>
      <w:r>
        <w:t xml:space="preserve">Pokud vezmeme Sigerův výklad </w:t>
      </w:r>
      <w:r w:rsidRPr="08DF358A">
        <w:rPr>
          <w:i/>
        </w:rPr>
        <w:t>Metafyziky</w:t>
      </w:r>
      <w:r>
        <w:t xml:space="preserve"> a zejména </w:t>
      </w:r>
      <w:r w:rsidRPr="007536A6">
        <w:rPr>
          <w:i/>
        </w:rPr>
        <w:t>De anima</w:t>
      </w:r>
      <w:r>
        <w:t xml:space="preserve">, pak lze právem předpokládat, že tento brilantní aristotelik komentoval </w:t>
      </w:r>
      <w:r w:rsidRPr="08DF358A">
        <w:rPr>
          <w:i/>
        </w:rPr>
        <w:t>Politiku</w:t>
      </w:r>
      <w:r>
        <w:t xml:space="preserve"> v podobném duchu jako Albert. To ukazuje výše uvedený smysl Sigerových přednášek zaměřených na klíčové postavení politicky daného zákona nad etickou či politickou excelencí jednotlivce. Albertovo d</w:t>
      </w:r>
      <w:r w:rsidRPr="00273106">
        <w:t xml:space="preserve">ílo mělo klíčový význam pro utváření pouta mezi praktickým intelektem a jemu odpovídající formou vlády. </w:t>
      </w:r>
      <w:r>
        <w:t>Albertův k</w:t>
      </w:r>
      <w:r w:rsidRPr="00273106">
        <w:t xml:space="preserve">omentář </w:t>
      </w:r>
      <w:r w:rsidRPr="08DF358A">
        <w:rPr>
          <w:i/>
        </w:rPr>
        <w:t>Politiky</w:t>
      </w:r>
      <w:r>
        <w:t xml:space="preserve"> </w:t>
      </w:r>
      <w:r w:rsidR="00714312">
        <w:t xml:space="preserve">byl první v řadě a </w:t>
      </w:r>
      <w:r w:rsidRPr="00273106">
        <w:t xml:space="preserve">díky </w:t>
      </w:r>
      <w:r w:rsidR="00714312">
        <w:t xml:space="preserve">své </w:t>
      </w:r>
      <w:r w:rsidRPr="00273106">
        <w:t xml:space="preserve">kvalitě dal základ </w:t>
      </w:r>
      <w:r w:rsidR="00714312">
        <w:t xml:space="preserve">následujícím </w:t>
      </w:r>
      <w:r w:rsidRPr="00273106">
        <w:t xml:space="preserve">politickým teoriím latinského Západu. Sofistické výklady druhého averroismu hrály při výkladu Aristotelovy </w:t>
      </w:r>
      <w:r w:rsidRPr="08FD1D62">
        <w:rPr>
          <w:i/>
        </w:rPr>
        <w:t>Politiky</w:t>
      </w:r>
      <w:r w:rsidRPr="00273106">
        <w:t xml:space="preserve"> </w:t>
      </w:r>
      <w:r>
        <w:t xml:space="preserve">už </w:t>
      </w:r>
      <w:r w:rsidRPr="00273106">
        <w:t xml:space="preserve">jen druhé housle. </w:t>
      </w:r>
      <w:r>
        <w:t>V</w:t>
      </w:r>
      <w:r w:rsidRPr="00273106">
        <w:t xml:space="preserve">ýklad </w:t>
      </w:r>
      <w:r>
        <w:rPr>
          <w:i/>
        </w:rPr>
        <w:t>Etiky</w:t>
      </w:r>
      <w:r>
        <w:t xml:space="preserve"> podle </w:t>
      </w:r>
      <w:r w:rsidRPr="00273106">
        <w:t>druhého averroismu měl dominantní charakter</w:t>
      </w:r>
      <w:r>
        <w:t xml:space="preserve"> daný prvotní recepcí tohoto díla v prostředí Avicennovy metafyziky</w:t>
      </w:r>
      <w:r w:rsidRPr="00273106">
        <w:t>.</w:t>
      </w:r>
      <w:r>
        <w:t xml:space="preserve"> Recepce politických spisů </w:t>
      </w:r>
      <w:r w:rsidRPr="00273106">
        <w:t xml:space="preserve">Aristotela </w:t>
      </w:r>
      <w:r w:rsidRPr="00273106">
        <w:lastRenderedPageBreak/>
        <w:t xml:space="preserve">se díky </w:t>
      </w:r>
      <w:r>
        <w:t xml:space="preserve">včasnému výkladu </w:t>
      </w:r>
      <w:r w:rsidRPr="00273106">
        <w:t>Albert</w:t>
      </w:r>
      <w:r>
        <w:t>a</w:t>
      </w:r>
      <w:r w:rsidRPr="00273106">
        <w:t xml:space="preserve"> odlišila </w:t>
      </w:r>
      <w:r>
        <w:t xml:space="preserve">od moderních porretánských </w:t>
      </w:r>
      <w:r w:rsidRPr="00273106">
        <w:t>k</w:t>
      </w:r>
      <w:r>
        <w:t xml:space="preserve">omentářů </w:t>
      </w:r>
      <w:r w:rsidRPr="084A35A4">
        <w:rPr>
          <w:i/>
        </w:rPr>
        <w:t>Politiky</w:t>
      </w:r>
      <w:r>
        <w:t xml:space="preserve">, které do roku 1277 ani nevznikly. Hermeneutika považuje </w:t>
      </w:r>
      <w:r w:rsidR="00904F14">
        <w:t>polemické</w:t>
      </w:r>
      <w:r w:rsidR="00153112">
        <w:t xml:space="preserve"> spisy proti Dantovi </w:t>
      </w:r>
      <w:r>
        <w:t xml:space="preserve">za </w:t>
      </w:r>
      <w:r w:rsidR="00153112">
        <w:t xml:space="preserve">jedny z prvních </w:t>
      </w:r>
      <w:r>
        <w:t>modernistický</w:t>
      </w:r>
      <w:r w:rsidR="00153112">
        <w:t>ch</w:t>
      </w:r>
      <w:r>
        <w:t xml:space="preserve"> výklad</w:t>
      </w:r>
      <w:r w:rsidR="00153112">
        <w:t>ů</w:t>
      </w:r>
      <w:r>
        <w:t xml:space="preserve"> </w:t>
      </w:r>
      <w:r w:rsidRPr="08282BBE">
        <w:rPr>
          <w:i/>
        </w:rPr>
        <w:t>Politiky</w:t>
      </w:r>
      <w:r>
        <w:t xml:space="preserve">. </w:t>
      </w:r>
      <w:r w:rsidRPr="00273106">
        <w:t>Dominikán Guido Vernani</w:t>
      </w:r>
      <w:r>
        <w:fldChar w:fldCharType="begin"/>
      </w:r>
      <w:r>
        <w:instrText xml:space="preserve"> XE "</w:instrText>
      </w:r>
      <w:r w:rsidRPr="00C25C23">
        <w:instrText>Guido Vernani</w:instrText>
      </w:r>
      <w:r>
        <w:instrText xml:space="preserve">" </w:instrText>
      </w:r>
      <w:r>
        <w:fldChar w:fldCharType="end"/>
      </w:r>
      <w:r w:rsidRPr="00273106">
        <w:t xml:space="preserve"> ve spise </w:t>
      </w:r>
      <w:r w:rsidRPr="00273106">
        <w:rPr>
          <w:i/>
        </w:rPr>
        <w:t>Contro Dante</w:t>
      </w:r>
      <w:r w:rsidRPr="00273106">
        <w:t xml:space="preserve"> (1329) považoval Danteho dílo </w:t>
      </w:r>
      <w:r w:rsidRPr="00273106">
        <w:rPr>
          <w:i/>
        </w:rPr>
        <w:t>Monarchia</w:t>
      </w:r>
      <w:r>
        <w:t xml:space="preserve"> postavené</w:t>
      </w:r>
      <w:r w:rsidRPr="00273106">
        <w:t xml:space="preserve"> na Albertově komentáři </w:t>
      </w:r>
      <w:r w:rsidRPr="08227E6D">
        <w:rPr>
          <w:i/>
        </w:rPr>
        <w:t>Etiky</w:t>
      </w:r>
      <w:r w:rsidRPr="00273106">
        <w:t xml:space="preserve"> a </w:t>
      </w:r>
      <w:r w:rsidRPr="08227E6D">
        <w:rPr>
          <w:i/>
        </w:rPr>
        <w:t>Politiky</w:t>
      </w:r>
      <w:r w:rsidRPr="00273106">
        <w:t xml:space="preserve"> za averroistický spis.</w:t>
      </w:r>
      <w:r>
        <w:t xml:space="preserve"> </w:t>
      </w:r>
      <w:r w:rsidRPr="00273106">
        <w:t xml:space="preserve">Základní směr Albertovy interpretace </w:t>
      </w:r>
      <w:r w:rsidRPr="084005C2">
        <w:rPr>
          <w:i/>
        </w:rPr>
        <w:t>Politiky</w:t>
      </w:r>
      <w:r w:rsidRPr="00273106">
        <w:t xml:space="preserve"> je dán Aristotelovými odkazy na </w:t>
      </w:r>
      <w:r w:rsidRPr="084005C2">
        <w:rPr>
          <w:i/>
        </w:rPr>
        <w:t>Etiku Nikomachovu</w:t>
      </w:r>
      <w:r w:rsidRPr="00273106">
        <w:t xml:space="preserve">, která určuje výklad </w:t>
      </w:r>
      <w:r w:rsidRPr="084005C2">
        <w:rPr>
          <w:i/>
        </w:rPr>
        <w:t>Politiky</w:t>
      </w:r>
      <w:r w:rsidRPr="00273106">
        <w:t xml:space="preserve"> orientací na cíl blaženého života. </w:t>
      </w:r>
      <w:r>
        <w:t>Rozdíl mezi politikem a filosofem v otázce blaženosti je následující.</w:t>
      </w:r>
    </w:p>
    <w:p w:rsidR="08163013" w:rsidRDefault="08163013" w:rsidP="08163013">
      <w:pPr>
        <w:pStyle w:val="Citace"/>
      </w:pPr>
      <w:r w:rsidRPr="00273106">
        <w:rPr>
          <w:noProof/>
          <w:lang w:val="cs-CZ"/>
        </w:rPr>
        <w:t>„</w:t>
      </w:r>
      <w:r>
        <w:t>Úkolem politika je dosáhnout dokonalosti v oblasti etiky a šťastného života v poli</w:t>
      </w:r>
      <w:r>
        <w:rPr>
          <w:lang w:val="cs-CZ"/>
        </w:rPr>
        <w:t>t</w:t>
      </w:r>
      <w:r>
        <w:t>ické komunitě</w:t>
      </w:r>
      <w:r>
        <w:rPr>
          <w:lang w:val="cs-CZ"/>
        </w:rPr>
        <w:t xml:space="preserve"> (</w:t>
      </w:r>
      <w:r w:rsidRPr="00D163ED">
        <w:rPr>
          <w:i/>
          <w:noProof/>
        </w:rPr>
        <w:t>perfectionem virtutis moralis et felicitatem civilem</w:t>
      </w:r>
      <w:r>
        <w:rPr>
          <w:lang w:val="cs-CZ"/>
        </w:rPr>
        <w:t>)</w:t>
      </w:r>
      <w:r>
        <w:t>. Úkolem filosofa je dosáhnout dokonalosti v oblasti ro</w:t>
      </w:r>
      <w:r>
        <w:rPr>
          <w:lang w:val="cs-CZ"/>
        </w:rPr>
        <w:t>z</w:t>
      </w:r>
      <w:r>
        <w:t>umového poznání a</w:t>
      </w:r>
      <w:r>
        <w:rPr>
          <w:lang w:val="cs-CZ"/>
        </w:rPr>
        <w:t xml:space="preserve"> intelektuální či kontemplativní blaženosti.</w:t>
      </w:r>
      <w:r>
        <w:t>“ </w:t>
      </w:r>
      <w:r>
        <w:rPr>
          <w:rStyle w:val="Znakapoznpodarou"/>
        </w:rPr>
        <w:footnoteReference w:id="557"/>
      </w:r>
    </w:p>
    <w:p w:rsidR="00434D19" w:rsidRDefault="08163013" w:rsidP="08163013">
      <w:pPr>
        <w:rPr>
          <w:snapToGrid w:val="0"/>
        </w:rPr>
      </w:pPr>
      <w:r w:rsidRPr="00273106">
        <w:t>Blaženost dosažená aktualizací společného dobra v rámci politické komunity (</w:t>
      </w:r>
      <w:r w:rsidRPr="00273106">
        <w:rPr>
          <w:i/>
        </w:rPr>
        <w:t>felicitatem civilem</w:t>
      </w:r>
      <w:r w:rsidRPr="00273106">
        <w:t>) nemá stejný charakter jako individuální nazíravý život filosofa (</w:t>
      </w:r>
      <w:r w:rsidRPr="00273106">
        <w:rPr>
          <w:i/>
        </w:rPr>
        <w:t>felicitatem contemplativam</w:t>
      </w:r>
      <w:r w:rsidRPr="00273106">
        <w:t xml:space="preserve">). První averroismus se vrátil k původní vizi </w:t>
      </w:r>
      <w:r w:rsidRPr="08EB0DF8">
        <w:rPr>
          <w:i/>
        </w:rPr>
        <w:t>Etiky</w:t>
      </w:r>
      <w:r w:rsidRPr="00273106">
        <w:t xml:space="preserve"> a </w:t>
      </w:r>
      <w:r w:rsidRPr="08EB0DF8">
        <w:rPr>
          <w:i/>
        </w:rPr>
        <w:t>Politiky</w:t>
      </w:r>
      <w:r w:rsidRPr="00273106">
        <w:t xml:space="preserve"> tematizující plnost existence po všech stránkách, včetně přízně bohů a šťastné hry osudu (εὐδαιμονία). Blaženost představuje </w:t>
      </w:r>
      <w:r>
        <w:t xml:space="preserve">jeden společný </w:t>
      </w:r>
      <w:r w:rsidRPr="00273106">
        <w:t xml:space="preserve">cíl pro </w:t>
      </w:r>
      <w:r>
        <w:t xml:space="preserve">teoretické </w:t>
      </w:r>
      <w:r w:rsidRPr="00273106">
        <w:t xml:space="preserve">a politické jednání a vytváří </w:t>
      </w:r>
      <w:r>
        <w:t xml:space="preserve">poslední </w:t>
      </w:r>
      <w:r w:rsidRPr="00273106">
        <w:t>jednotu myšlení a praxe. Výměr (</w:t>
      </w:r>
      <w:r w:rsidRPr="00273106">
        <w:rPr>
          <w:i/>
        </w:rPr>
        <w:t>ratio</w:t>
      </w:r>
      <w:r w:rsidRPr="00273106">
        <w:t xml:space="preserve">) </w:t>
      </w:r>
      <w:r>
        <w:t xml:space="preserve">politického </w:t>
      </w:r>
      <w:r w:rsidRPr="00273106">
        <w:t xml:space="preserve">jednání a </w:t>
      </w:r>
      <w:r>
        <w:t xml:space="preserve">teoretické </w:t>
      </w:r>
      <w:r w:rsidRPr="00273106">
        <w:t xml:space="preserve">kontemplace </w:t>
      </w:r>
      <w:r>
        <w:t xml:space="preserve">proto nemůže být </w:t>
      </w:r>
      <w:r w:rsidRPr="00273106">
        <w:t>stejný, díky dvěma odlišným formám intelektu</w:t>
      </w:r>
      <w:r>
        <w:fldChar w:fldCharType="begin"/>
      </w:r>
      <w:r>
        <w:instrText xml:space="preserve"> XE "politická věda:Albert" </w:instrText>
      </w:r>
      <w:r>
        <w:fldChar w:fldCharType="end"/>
      </w:r>
      <w:r w:rsidRPr="00273106">
        <w:t xml:space="preserve">. </w:t>
      </w:r>
      <w:r w:rsidR="00C977EF" w:rsidRPr="00C977EF">
        <w:t xml:space="preserve">Z filosofického hlediska existuje </w:t>
      </w:r>
      <w:r w:rsidR="000C5E01">
        <w:t xml:space="preserve">jen </w:t>
      </w:r>
      <w:r w:rsidR="00C977EF" w:rsidRPr="00C977EF">
        <w:t xml:space="preserve">jeden </w:t>
      </w:r>
      <w:r w:rsidR="000C5E01">
        <w:t xml:space="preserve">finální cíl </w:t>
      </w:r>
      <w:r w:rsidR="009A3974">
        <w:t xml:space="preserve">v životě člověka </w:t>
      </w:r>
      <w:r w:rsidR="00C977EF" w:rsidRPr="00C977EF">
        <w:t>(</w:t>
      </w:r>
      <w:r w:rsidR="00C977EF" w:rsidRPr="00C977EF">
        <w:rPr>
          <w:i/>
          <w:iCs/>
        </w:rPr>
        <w:t>eadem est felicitas hominis et civitatis</w:t>
      </w:r>
      <w:r w:rsidR="00C977EF">
        <w:t>)</w:t>
      </w:r>
      <w:r w:rsidRPr="00273106">
        <w:t>.</w:t>
      </w:r>
      <w:r>
        <w:rPr>
          <w:rStyle w:val="Znakapoznpodarou"/>
        </w:rPr>
        <w:footnoteReference w:id="558"/>
      </w:r>
      <w:r w:rsidRPr="00273106">
        <w:t xml:space="preserve"> </w:t>
      </w:r>
      <w:r w:rsidR="009A3974">
        <w:t>A</w:t>
      </w:r>
      <w:r w:rsidR="009A3974" w:rsidRPr="00C977EF">
        <w:t xml:space="preserve">le existují dvě různé cesty k dosažení naplnění </w:t>
      </w:r>
      <w:r w:rsidR="009A3974">
        <w:t xml:space="preserve">blaženosti v osobním a politickém životě. </w:t>
      </w:r>
      <w:r w:rsidRPr="00273106">
        <w:t xml:space="preserve">Proto musí výklad </w:t>
      </w:r>
      <w:r w:rsidRPr="0897269B">
        <w:rPr>
          <w:i/>
        </w:rPr>
        <w:t>Politiky</w:t>
      </w:r>
      <w:r w:rsidRPr="00273106">
        <w:t xml:space="preserve"> sledovat výklad </w:t>
      </w:r>
      <w:r w:rsidRPr="0897269B">
        <w:rPr>
          <w:i/>
        </w:rPr>
        <w:t>Etiky</w:t>
      </w:r>
      <w:r w:rsidRPr="00273106">
        <w:t xml:space="preserve"> a musí pojednávat obě cesty k blaženosti </w:t>
      </w:r>
      <w:r w:rsidR="00411C98">
        <w:t xml:space="preserve">individuálním způsosobem </w:t>
      </w:r>
      <w:r w:rsidRPr="00273106">
        <w:t>(</w:t>
      </w:r>
      <w:r w:rsidRPr="00273106">
        <w:rPr>
          <w:i/>
        </w:rPr>
        <w:t>de duobus sit inquirendum</w:t>
      </w:r>
      <w:r w:rsidRPr="00273106">
        <w:t xml:space="preserve">). </w:t>
      </w:r>
      <w:r>
        <w:t xml:space="preserve">Rozlišení </w:t>
      </w:r>
      <w:r w:rsidRPr="00273106">
        <w:t xml:space="preserve">sfér </w:t>
      </w:r>
      <w:r>
        <w:t>politiky, etiky a filosofie v rámci blaženosti je dané existenciálním výkonem osoby jako reálné první substance, která realizuje osobní cestu za štěstím různými způsoby. E</w:t>
      </w:r>
      <w:r w:rsidRPr="00273106">
        <w:t>tické jednání jednotlivce se liší od politického rozhodování v polis, kde má ctnost jiný charakter. Tuto politicky určenou ctnost (</w:t>
      </w:r>
      <w:r w:rsidRPr="002B50B5">
        <w:rPr>
          <w:i/>
        </w:rPr>
        <w:t>fronésis</w:t>
      </w:r>
      <w:r>
        <w:rPr>
          <w:i/>
        </w:rPr>
        <w:fldChar w:fldCharType="begin"/>
      </w:r>
      <w:r>
        <w:instrText xml:space="preserve"> XE "</w:instrText>
      </w:r>
      <w:r w:rsidRPr="00BD03F3">
        <w:rPr>
          <w:i/>
        </w:rPr>
        <w:instrText>fronésis</w:instrText>
      </w:r>
      <w:r>
        <w:instrText xml:space="preserve">" </w:instrText>
      </w:r>
      <w:r>
        <w:rPr>
          <w:i/>
        </w:rPr>
        <w:fldChar w:fldCharType="end"/>
      </w:r>
      <w:r w:rsidRPr="00273106">
        <w:t xml:space="preserve">) </w:t>
      </w:r>
      <w:r>
        <w:t xml:space="preserve">zkoumal </w:t>
      </w:r>
      <w:r w:rsidRPr="00273106">
        <w:t>již Hérakleitos z Efezu</w:t>
      </w:r>
      <w:r>
        <w:fldChar w:fldCharType="begin"/>
      </w:r>
      <w:r>
        <w:instrText xml:space="preserve"> XE "</w:instrText>
      </w:r>
      <w:r w:rsidRPr="00C1576B">
        <w:instrText>Hérakleitos z Efezu</w:instrText>
      </w:r>
      <w:r>
        <w:instrText xml:space="preserve">" </w:instrText>
      </w:r>
      <w:r>
        <w:fldChar w:fldCharType="end"/>
      </w:r>
      <w:r w:rsidRPr="00273106">
        <w:t xml:space="preserve">. </w:t>
      </w:r>
      <w:r w:rsidR="003C01DA" w:rsidRPr="003C01DA">
        <w:t xml:space="preserve">Tento první politický filozof spojil jednotu vesmíru založenou na </w:t>
      </w:r>
      <w:r w:rsidR="003C01DA" w:rsidRPr="003C01DA">
        <w:lastRenderedPageBreak/>
        <w:t>kosmickém logu s jednotou obce</w:t>
      </w:r>
      <w:r w:rsidR="00FE6F5D">
        <w:t xml:space="preserve"> založenou na zákonu</w:t>
      </w:r>
      <w:r w:rsidR="003C01DA" w:rsidRPr="003C01DA">
        <w:t xml:space="preserve">. </w:t>
      </w:r>
      <w:r w:rsidR="00FE6F5D">
        <w:t>S</w:t>
      </w:r>
      <w:r w:rsidR="003C01DA">
        <w:t>polečný zákon</w:t>
      </w:r>
      <w:r w:rsidR="00FE6F5D">
        <w:t xml:space="preserve"> si občané vytvářejí</w:t>
      </w:r>
      <w:r w:rsidR="003C01DA" w:rsidRPr="003C01DA">
        <w:t xml:space="preserve"> s ohledem na božský zákon jako nejvyšší zdroj </w:t>
      </w:r>
      <w:r w:rsidR="003C01DA">
        <w:t xml:space="preserve">moudrosti </w:t>
      </w:r>
      <w:r w:rsidRPr="00273106">
        <w:rPr>
          <w:snapToGrid w:val="0"/>
        </w:rPr>
        <w:t>(</w:t>
      </w:r>
      <w:r w:rsidR="000919DB">
        <w:rPr>
          <w:snapToGrid w:val="0"/>
        </w:rPr>
        <w:t xml:space="preserve">DK 22, </w:t>
      </w:r>
      <w:r w:rsidRPr="00273106">
        <w:rPr>
          <w:snapToGrid w:val="0"/>
        </w:rPr>
        <w:t>B 114</w:t>
      </w:r>
      <w:r>
        <w:fldChar w:fldCharType="begin"/>
      </w:r>
      <w:r>
        <w:instrText xml:space="preserve"> XE "</w:instrText>
      </w:r>
      <w:r w:rsidRPr="00E97F17">
        <w:instrText>Hérakleitos z Efezu:</w:instrText>
      </w:r>
      <w:r>
        <w:instrText xml:space="preserve">B 114" </w:instrText>
      </w:r>
      <w:r>
        <w:fldChar w:fldCharType="end"/>
      </w:r>
      <w:r w:rsidRPr="00273106">
        <w:rPr>
          <w:snapToGrid w:val="0"/>
        </w:rPr>
        <w:t xml:space="preserve">). </w:t>
      </w:r>
      <w:r w:rsidR="008E0E5C" w:rsidRPr="008E0E5C">
        <w:rPr>
          <w:snapToGrid w:val="0"/>
        </w:rPr>
        <w:t xml:space="preserve">Takový </w:t>
      </w:r>
      <w:r w:rsidR="008E0E5C">
        <w:rPr>
          <w:snapToGrid w:val="0"/>
        </w:rPr>
        <w:t>téměř božský zákon mohou vytvořit jen ti nejlepší občané obdaření</w:t>
      </w:r>
      <w:r w:rsidR="008E0E5C" w:rsidRPr="008E0E5C">
        <w:rPr>
          <w:snapToGrid w:val="0"/>
        </w:rPr>
        <w:t xml:space="preserve"> politickou ctností. Ti jsou zákonem sami pro sebe, protože jsou nejlepší v</w:t>
      </w:r>
      <w:r w:rsidR="008E0E5C">
        <w:rPr>
          <w:snapToGrid w:val="0"/>
        </w:rPr>
        <w:t> </w:t>
      </w:r>
      <w:r w:rsidR="008E0E5C" w:rsidRPr="008E0E5C">
        <w:rPr>
          <w:snapToGrid w:val="0"/>
        </w:rPr>
        <w:t>polis</w:t>
      </w:r>
      <w:r w:rsidR="008E0E5C">
        <w:rPr>
          <w:snapToGrid w:val="0"/>
        </w:rPr>
        <w:t xml:space="preserve"> </w:t>
      </w:r>
      <w:r w:rsidRPr="00273106">
        <w:rPr>
          <w:snapToGrid w:val="0"/>
        </w:rPr>
        <w:t>(B 33</w:t>
      </w:r>
      <w:r>
        <w:fldChar w:fldCharType="begin"/>
      </w:r>
      <w:r>
        <w:instrText xml:space="preserve"> XE "</w:instrText>
      </w:r>
      <w:r w:rsidRPr="00E97F17">
        <w:instrText>Hérakleitos z Efezu:</w:instrText>
      </w:r>
      <w:r>
        <w:instrText xml:space="preserve">B 33" </w:instrText>
      </w:r>
      <w:r>
        <w:fldChar w:fldCharType="end"/>
      </w:r>
      <w:r w:rsidRPr="00273106">
        <w:rPr>
          <w:snapToGrid w:val="0"/>
        </w:rPr>
        <w:t>, B 49</w:t>
      </w:r>
      <w:r>
        <w:fldChar w:fldCharType="begin"/>
      </w:r>
      <w:r>
        <w:instrText xml:space="preserve"> XE "</w:instrText>
      </w:r>
      <w:r w:rsidRPr="00E97F17">
        <w:instrText>Hérakleitos z Efezu:</w:instrText>
      </w:r>
      <w:r>
        <w:instrText xml:space="preserve">B 49" </w:instrText>
      </w:r>
      <w:r>
        <w:fldChar w:fldCharType="end"/>
      </w:r>
      <w:r w:rsidRPr="00273106">
        <w:rPr>
          <w:snapToGrid w:val="0"/>
        </w:rPr>
        <w:t>)</w:t>
      </w:r>
      <w:r>
        <w:rPr>
          <w:snapToGrid w:val="0"/>
        </w:rPr>
        <w:t xml:space="preserve">. </w:t>
      </w:r>
      <w:r w:rsidR="0066304D">
        <w:rPr>
          <w:snapToGrid w:val="0"/>
        </w:rPr>
        <w:t xml:space="preserve">Tito občané poznávají to, </w:t>
      </w:r>
      <w:r w:rsidRPr="00273106">
        <w:rPr>
          <w:snapToGrid w:val="0"/>
        </w:rPr>
        <w:t>co je všem společné a brání zákon stejně udatně jako městskou hradbu (B 44</w:t>
      </w:r>
      <w:r>
        <w:fldChar w:fldCharType="begin"/>
      </w:r>
      <w:r>
        <w:instrText xml:space="preserve"> XE "</w:instrText>
      </w:r>
      <w:r w:rsidRPr="00E97F17">
        <w:instrText>Hérakleitos z Efezu:</w:instrText>
      </w:r>
      <w:r>
        <w:instrText xml:space="preserve">B 44" </w:instrText>
      </w:r>
      <w:r>
        <w:fldChar w:fldCharType="end"/>
      </w:r>
      <w:r w:rsidRPr="00273106">
        <w:rPr>
          <w:snapToGrid w:val="0"/>
        </w:rPr>
        <w:t xml:space="preserve">). </w:t>
      </w:r>
      <w:r w:rsidRPr="00273106">
        <w:t xml:space="preserve">Hérakleitos </w:t>
      </w:r>
      <w:r w:rsidR="007563FF">
        <w:rPr>
          <w:snapToGrid w:val="0"/>
        </w:rPr>
        <w:t>nahlížel</w:t>
      </w:r>
      <w:r w:rsidRPr="00273106">
        <w:rPr>
          <w:snapToGrid w:val="0"/>
        </w:rPr>
        <w:t xml:space="preserve"> univerzálně vládnoucí logos mysticky, teoreticky a prakticky. Aristotelova </w:t>
      </w:r>
      <w:r w:rsidRPr="08A7735B">
        <w:rPr>
          <w:i/>
          <w:snapToGrid w:val="0"/>
        </w:rPr>
        <w:t>Politika</w:t>
      </w:r>
      <w:r w:rsidRPr="00273106">
        <w:rPr>
          <w:snapToGrid w:val="0"/>
        </w:rPr>
        <w:t xml:space="preserve"> rozpracovává a systematizuje </w:t>
      </w:r>
      <w:r>
        <w:t xml:space="preserve">Hérakleitovu </w:t>
      </w:r>
      <w:r w:rsidRPr="00273106">
        <w:rPr>
          <w:snapToGrid w:val="0"/>
        </w:rPr>
        <w:t>nauku o polemickém charakteru</w:t>
      </w:r>
      <w:r w:rsidR="00434D19">
        <w:rPr>
          <w:snapToGrid w:val="0"/>
        </w:rPr>
        <w:t xml:space="preserve"> polis a o skryté jednotě logu.</w:t>
      </w:r>
    </w:p>
    <w:p w:rsidR="00933AF3" w:rsidRDefault="00434D19" w:rsidP="0050006A">
      <w:pPr>
        <w:ind w:firstLine="397"/>
      </w:pPr>
      <w:r w:rsidRPr="00434D19">
        <w:rPr>
          <w:snapToGrid w:val="0"/>
        </w:rPr>
        <w:t>Definice politiky prov</w:t>
      </w:r>
      <w:r>
        <w:rPr>
          <w:snapToGrid w:val="0"/>
        </w:rPr>
        <w:t xml:space="preserve">áděné </w:t>
      </w:r>
      <w:r w:rsidRPr="00434D19">
        <w:rPr>
          <w:snapToGrid w:val="0"/>
        </w:rPr>
        <w:t>v realitě musí najít praktický sylogismus, který zahrnuje specifickou kauzalitu politického jednání. Takové teoretické zkoumání definuje nejvyšší s</w:t>
      </w:r>
      <w:r>
        <w:rPr>
          <w:snapToGrid w:val="0"/>
        </w:rPr>
        <w:t>tupeň pozemské blaženosti. Plato</w:t>
      </w:r>
      <w:r w:rsidRPr="00434D19">
        <w:rPr>
          <w:snapToGrid w:val="0"/>
        </w:rPr>
        <w:t>n a Aristoteles potvrzují, že život v politickém společenství svobodných občanů tvoří nezbytnou podmínku k dosažení nejlepšího teoretického života filosofa.</w:t>
      </w:r>
      <w:r>
        <w:rPr>
          <w:snapToGrid w:val="0"/>
        </w:rPr>
        <w:t xml:space="preserve"> </w:t>
      </w:r>
      <w:r w:rsidR="08163013" w:rsidRPr="00273106">
        <w:rPr>
          <w:snapToGrid w:val="0"/>
        </w:rPr>
        <w:t xml:space="preserve">Albertův </w:t>
      </w:r>
      <w:r w:rsidR="08163013">
        <w:rPr>
          <w:snapToGrid w:val="0"/>
        </w:rPr>
        <w:t xml:space="preserve">a jistě i Sigerův </w:t>
      </w:r>
      <w:r w:rsidR="08163013" w:rsidRPr="00273106">
        <w:rPr>
          <w:snapToGrid w:val="0"/>
        </w:rPr>
        <w:t>k</w:t>
      </w:r>
      <w:r w:rsidR="08163013" w:rsidRPr="00273106">
        <w:t xml:space="preserve">omentář </w:t>
      </w:r>
      <w:r w:rsidR="08163013" w:rsidRPr="081803C7">
        <w:rPr>
          <w:i/>
        </w:rPr>
        <w:t>Politiky</w:t>
      </w:r>
      <w:r w:rsidR="08163013" w:rsidRPr="00273106">
        <w:t xml:space="preserve"> tematizuje formu </w:t>
      </w:r>
      <w:r w:rsidR="08163013">
        <w:t xml:space="preserve">existenciální </w:t>
      </w:r>
      <w:r w:rsidR="08163013" w:rsidRPr="00273106">
        <w:t>blaženosti danou ve společenství svobodných a rovnoprávných občanů sdružených pod vládou zákona. Spravedlivý člověk je zákonem sám pro sebe i pro ostatní</w:t>
      </w:r>
      <w:r w:rsidR="08163013">
        <w:t xml:space="preserve">, což potvrdil předešlý Akvinského výklad </w:t>
      </w:r>
      <w:r w:rsidR="08163013" w:rsidRPr="081803C7">
        <w:rPr>
          <w:i/>
        </w:rPr>
        <w:t>Etiky</w:t>
      </w:r>
      <w:r w:rsidR="08163013" w:rsidRPr="00273106">
        <w:t xml:space="preserve"> opřené o Aristotela i o </w:t>
      </w:r>
      <w:r w:rsidR="08163013" w:rsidRPr="08CB776B">
        <w:rPr>
          <w:i/>
        </w:rPr>
        <w:t>Nový zákon</w:t>
      </w:r>
      <w:r w:rsidR="08163013">
        <w:t>. Z</w:t>
      </w:r>
      <w:r w:rsidR="08163013" w:rsidRPr="00273106">
        <w:t>ákon není určen pro spravedlivého, n</w:t>
      </w:r>
      <w:r w:rsidR="08163013">
        <w:t>ýbrž pro lidi zlé a neposlušné (</w:t>
      </w:r>
      <w:r w:rsidR="08163013" w:rsidRPr="088509F5">
        <w:rPr>
          <w:i/>
        </w:rPr>
        <w:t>1 Tim</w:t>
      </w:r>
      <w:r w:rsidR="08163013" w:rsidRPr="00273106">
        <w:t xml:space="preserve"> 1:9</w:t>
      </w:r>
      <w:r w:rsidR="08163013">
        <w:fldChar w:fldCharType="begin"/>
      </w:r>
      <w:r w:rsidR="08163013">
        <w:instrText xml:space="preserve"> XE "Nový zákon:</w:instrText>
      </w:r>
      <w:r w:rsidR="08163013" w:rsidRPr="00E52C95">
        <w:instrText>1 Tim</w:instrText>
      </w:r>
      <w:r w:rsidR="08163013">
        <w:instrText xml:space="preserve"> 1.</w:instrText>
      </w:r>
      <w:r w:rsidR="08163013" w:rsidRPr="009B6777">
        <w:instrText>9</w:instrText>
      </w:r>
      <w:r w:rsidR="08163013">
        <w:instrText xml:space="preserve">" </w:instrText>
      </w:r>
      <w:r w:rsidR="08163013">
        <w:fldChar w:fldCharType="end"/>
      </w:r>
      <w:r w:rsidR="08163013">
        <w:t>)</w:t>
      </w:r>
      <w:r w:rsidR="08163013" w:rsidRPr="00273106">
        <w:t xml:space="preserve">. Stejně tak spis </w:t>
      </w:r>
      <w:r w:rsidR="08163013" w:rsidRPr="081803C7">
        <w:rPr>
          <w:i/>
        </w:rPr>
        <w:t>Politika</w:t>
      </w:r>
      <w:r w:rsidR="08163013" w:rsidRPr="00273106">
        <w:t xml:space="preserve"> tvrdí, že občané </w:t>
      </w:r>
      <w:r w:rsidR="08163013">
        <w:t xml:space="preserve">vybavení politickou a morální </w:t>
      </w:r>
      <w:r w:rsidR="08163013" w:rsidRPr="00273106">
        <w:t xml:space="preserve">excelencí žádný zákon nepotřebují. Plně ctnostní a moudří občané jsou sami sobě zákonem (αὐτοὶ γάρ εἰσι νόμος, </w:t>
      </w:r>
      <w:r w:rsidR="08163013" w:rsidRPr="007A204E">
        <w:rPr>
          <w:i/>
        </w:rPr>
        <w:t>Pol</w:t>
      </w:r>
      <w:r w:rsidR="08163013" w:rsidRPr="00E52C95">
        <w:t>.</w:t>
      </w:r>
      <w:r w:rsidR="08163013" w:rsidRPr="00273106">
        <w:t xml:space="preserve"> 1284a15</w:t>
      </w:r>
      <w:r w:rsidR="08163013">
        <w:fldChar w:fldCharType="begin"/>
      </w:r>
      <w:r w:rsidR="08163013">
        <w:instrText xml:space="preserve"> XE "Aristoteles:</w:instrText>
      </w:r>
      <w:r w:rsidR="08163013" w:rsidRPr="00187453">
        <w:instrText>Pol. 1284a15</w:instrText>
      </w:r>
      <w:r w:rsidR="08163013">
        <w:instrText xml:space="preserve">" </w:instrText>
      </w:r>
      <w:r w:rsidR="08163013">
        <w:fldChar w:fldCharType="end"/>
      </w:r>
      <w:r w:rsidR="08163013" w:rsidRPr="00273106">
        <w:t xml:space="preserve">). Jejich absolutní ctnost a politická prozíravost zajišťuje obci mnohem lepší vodítko, než může nabídnout vláda obecného práva. </w:t>
      </w:r>
      <w:r w:rsidR="00AC487F" w:rsidRPr="00AC487F">
        <w:t>Bylo by směšné vnucovat jim ně</w:t>
      </w:r>
      <w:r w:rsidR="00AC487F">
        <w:t xml:space="preserve">jaký zákon přicházející zvenčí. </w:t>
      </w:r>
      <w:r w:rsidR="08163013" w:rsidRPr="00273106">
        <w:t xml:space="preserve">Státník typu Solóna nebo Lykurga </w:t>
      </w:r>
      <w:r w:rsidR="08163013">
        <w:t xml:space="preserve">je </w:t>
      </w:r>
      <w:r w:rsidR="08163013" w:rsidRPr="00273106">
        <w:t xml:space="preserve">podobný bohu (ὥσπερ γὰρ θεὸν ἐν ἀνθρώποις εἰκὸς εἶναι, </w:t>
      </w:r>
      <w:r w:rsidR="08163013" w:rsidRPr="007A204E">
        <w:rPr>
          <w:i/>
        </w:rPr>
        <w:t>Pol</w:t>
      </w:r>
      <w:r w:rsidR="08163013" w:rsidRPr="00273106">
        <w:t>. 1284a10‒11</w:t>
      </w:r>
      <w:r w:rsidR="08163013">
        <w:fldChar w:fldCharType="begin"/>
      </w:r>
      <w:r w:rsidR="08163013">
        <w:instrText xml:space="preserve"> XE "Aristoteles:</w:instrText>
      </w:r>
      <w:r w:rsidR="08163013" w:rsidRPr="007A204E">
        <w:rPr>
          <w:i/>
        </w:rPr>
        <w:instrText>Pol</w:instrText>
      </w:r>
      <w:r w:rsidR="08163013" w:rsidRPr="00187453">
        <w:instrText>.</w:instrText>
      </w:r>
      <w:r w:rsidR="08163013">
        <w:instrText xml:space="preserve"> 1284a10‒11" </w:instrText>
      </w:r>
      <w:r w:rsidR="08163013">
        <w:fldChar w:fldCharType="end"/>
      </w:r>
      <w:r w:rsidR="08163013" w:rsidRPr="00273106">
        <w:t xml:space="preserve">). </w:t>
      </w:r>
      <w:r w:rsidR="0050006A">
        <w:t xml:space="preserve">Taková osobnost </w:t>
      </w:r>
      <w:r w:rsidR="0050006A" w:rsidRPr="0050006A">
        <w:t>by měl</w:t>
      </w:r>
      <w:r w:rsidR="0050006A">
        <w:t>a</w:t>
      </w:r>
      <w:r w:rsidR="0050006A" w:rsidRPr="0050006A">
        <w:t xml:space="preserve"> řídit polis svobodných a rovnoprávných lidí z titulu své morální politické a filozofické nadřazenosti. Autonomie a určování práva na základě svobody zohledňuje výjimečné případy legendárních zákonodárců. Kant jako apolitický filosof však tuto výjimku v oblasti politické praxe univerzalizoval pro určení čistě individuální etiky, oddělené od politické praxe. </w:t>
      </w:r>
      <w:r w:rsidR="08163013">
        <w:t xml:space="preserve">Pojem </w:t>
      </w:r>
      <w:r w:rsidR="000276B2">
        <w:t>„</w:t>
      </w:r>
      <w:r w:rsidR="08163013">
        <w:rPr>
          <w:i/>
        </w:rPr>
        <w:t>Fak</w:t>
      </w:r>
      <w:r w:rsidR="08163013" w:rsidRPr="08371BCD">
        <w:rPr>
          <w:i/>
        </w:rPr>
        <w:t>tum der Vernunft</w:t>
      </w:r>
      <w:r w:rsidR="000276B2">
        <w:t>“</w:t>
      </w:r>
      <w:r w:rsidR="08163013">
        <w:rPr>
          <w:i/>
        </w:rPr>
        <w:fldChar w:fldCharType="begin"/>
      </w:r>
      <w:r w:rsidR="08163013">
        <w:instrText xml:space="preserve"> XE "</w:instrText>
      </w:r>
      <w:r w:rsidR="08163013" w:rsidRPr="007A204E">
        <w:instrText>vůle</w:instrText>
      </w:r>
      <w:r w:rsidR="08163013" w:rsidRPr="002F5B8E">
        <w:rPr>
          <w:i/>
        </w:rPr>
        <w:instrText xml:space="preserve">:Faktum der </w:instrText>
      </w:r>
      <w:r w:rsidR="08163013" w:rsidRPr="002F5B8E">
        <w:rPr>
          <w:i/>
        </w:rPr>
        <w:lastRenderedPageBreak/>
        <w:instrText>Vernunft</w:instrText>
      </w:r>
      <w:r w:rsidR="08163013">
        <w:instrText xml:space="preserve">" </w:instrText>
      </w:r>
      <w:r w:rsidR="08163013">
        <w:rPr>
          <w:i/>
        </w:rPr>
        <w:fldChar w:fldCharType="end"/>
      </w:r>
      <w:r w:rsidR="08163013">
        <w:t xml:space="preserve"> staví zákon primárně do autodeterminace individuální vůle.</w:t>
      </w:r>
      <w:r w:rsidR="08163013" w:rsidRPr="00273106">
        <w:rPr>
          <w:rStyle w:val="Znakapoznpodarou"/>
        </w:rPr>
        <w:footnoteReference w:id="559"/>
      </w:r>
      <w:r w:rsidR="08163013" w:rsidRPr="00273106">
        <w:t xml:space="preserve"> </w:t>
      </w:r>
      <w:r w:rsidR="08163013">
        <w:t>Pro Kantovo</w:t>
      </w:r>
      <w:r w:rsidR="08163013" w:rsidRPr="00273106">
        <w:t xml:space="preserve"> spojení zák</w:t>
      </w:r>
      <w:r w:rsidR="08163013">
        <w:t xml:space="preserve">ona a determinující vůle skrze </w:t>
      </w:r>
      <w:r w:rsidR="0048485A">
        <w:t>„</w:t>
      </w:r>
      <w:r w:rsidR="08163013" w:rsidRPr="00273106">
        <w:rPr>
          <w:i/>
        </w:rPr>
        <w:t>Faktum der Vernuft</w:t>
      </w:r>
      <w:r w:rsidR="0048485A">
        <w:t>“</w:t>
      </w:r>
      <w:r w:rsidR="08163013" w:rsidRPr="00273106">
        <w:t xml:space="preserve"> </w:t>
      </w:r>
      <w:r w:rsidR="08163013">
        <w:t xml:space="preserve">plně </w:t>
      </w:r>
      <w:r w:rsidR="08163013" w:rsidRPr="00273106">
        <w:t>platí kritika Arendtové vůči politickému liberalismu moderny, který zredukoval politickou svobodu antiky (ἐλευθερία) na svobodu individuální vůle (</w:t>
      </w:r>
      <w:r w:rsidR="08163013" w:rsidRPr="00273106">
        <w:rPr>
          <w:i/>
        </w:rPr>
        <w:t>liberum arbitrium</w:t>
      </w:r>
      <w:r w:rsidR="08163013">
        <w:rPr>
          <w:i/>
        </w:rPr>
        <w:fldChar w:fldCharType="begin"/>
      </w:r>
      <w:r w:rsidR="08163013">
        <w:instrText xml:space="preserve"> XE "</w:instrText>
      </w:r>
      <w:r w:rsidR="08163013" w:rsidRPr="00CB7353">
        <w:instrText>vůle:</w:instrText>
      </w:r>
      <w:r w:rsidR="08163013" w:rsidRPr="007A204E">
        <w:rPr>
          <w:i/>
        </w:rPr>
        <w:instrText>liberum arbitr</w:instrText>
      </w:r>
      <w:r w:rsidR="08163013" w:rsidRPr="00CB7353">
        <w:instrText>ium</w:instrText>
      </w:r>
      <w:r w:rsidR="08163013">
        <w:instrText xml:space="preserve">" </w:instrText>
      </w:r>
      <w:r w:rsidR="08163013">
        <w:rPr>
          <w:i/>
        </w:rPr>
        <w:fldChar w:fldCharType="end"/>
      </w:r>
      <w:r w:rsidR="08163013" w:rsidRPr="00273106">
        <w:t xml:space="preserve">). </w:t>
      </w:r>
      <w:r w:rsidR="08163013">
        <w:t>Aristoteles</w:t>
      </w:r>
      <w:r w:rsidR="08163013" w:rsidRPr="00273106">
        <w:t xml:space="preserve"> zná pouze politickou svobodu vázanou na polis, nikoliv</w:t>
      </w:r>
      <w:r w:rsidR="08163013">
        <w:t xml:space="preserve"> individuální svobodnou vůli, která vznikla </w:t>
      </w:r>
      <w:r w:rsidR="08163013" w:rsidRPr="00273106">
        <w:t>až u apolitických stoiků</w:t>
      </w:r>
      <w:r w:rsidR="08163013">
        <w:t xml:space="preserve"> žijících po rozpadu řecké polis</w:t>
      </w:r>
      <w:r w:rsidR="08163013" w:rsidRPr="00273106">
        <w:t>. Proti citovanému Kantovi je Aristotelova kauzalita ze svobody dána komunitně a politicky.</w:t>
      </w:r>
      <w:r w:rsidR="08163013">
        <w:t xml:space="preserve"> Aristoteles</w:t>
      </w:r>
      <w:r w:rsidR="08163013" w:rsidRPr="00273106">
        <w:t xml:space="preserve"> téměř vylučuje možnost, že by jednotlivec měl takovou míru politické ctnosti, že by se postavil mi</w:t>
      </w:r>
      <w:r w:rsidR="00933AF3">
        <w:t>mo normální společenství polis.</w:t>
      </w:r>
    </w:p>
    <w:p w:rsidR="08163013" w:rsidRPr="00AC487F" w:rsidRDefault="08163013" w:rsidP="00AF32DD">
      <w:pPr>
        <w:ind w:firstLine="397"/>
      </w:pPr>
      <w:r w:rsidRPr="00273106">
        <w:t xml:space="preserve">Pro další vývoj politické vědy je </w:t>
      </w:r>
      <w:r>
        <w:t xml:space="preserve">proto </w:t>
      </w:r>
      <w:r w:rsidRPr="00273106">
        <w:t>důležité druhé řešení</w:t>
      </w:r>
      <w:r w:rsidR="00933AF3">
        <w:t>, které h</w:t>
      </w:r>
      <w:r w:rsidR="00933AF3" w:rsidRPr="00933AF3">
        <w:t xml:space="preserve">ledá politickou excelenci </w:t>
      </w:r>
      <w:r w:rsidR="00933AF3">
        <w:t>mimo rámec excelence legendárních</w:t>
      </w:r>
      <w:r w:rsidR="00933AF3" w:rsidRPr="00933AF3">
        <w:t xml:space="preserve"> státníků.</w:t>
      </w:r>
      <w:r w:rsidR="00933AF3">
        <w:t xml:space="preserve"> </w:t>
      </w:r>
      <w:r w:rsidRPr="00273106">
        <w:t xml:space="preserve">Polis </w:t>
      </w:r>
      <w:r>
        <w:t xml:space="preserve">svobodných občanů reálně </w:t>
      </w:r>
      <w:r w:rsidRPr="00273106">
        <w:t>existuje, i když zde nejsou občané typu Solóna vynikající téměř božskou politickou ctností. Pokud mezi sebou nemáme legendární politiky minulosti, tak komunita sobě rovných a svobodných občanů musí vládnout sama sobě skrze obecný zákon. Princip isonomie</w:t>
      </w:r>
      <w:r>
        <w:fldChar w:fldCharType="begin"/>
      </w:r>
      <w:r>
        <w:instrText xml:space="preserve"> XE "</w:instrText>
      </w:r>
      <w:r w:rsidRPr="000C4EAC">
        <w:instrText>isonomie</w:instrText>
      </w:r>
      <w:r>
        <w:instrText xml:space="preserve">" </w:instrText>
      </w:r>
      <w:r>
        <w:fldChar w:fldCharType="end"/>
      </w:r>
      <w:r w:rsidRPr="00273106">
        <w:t xml:space="preserve"> tvoří podle Aristotela základ každé spravedlivé a legitimní vlády. </w:t>
      </w:r>
      <w:r w:rsidR="00D62C36">
        <w:t>Rovný p</w:t>
      </w:r>
      <w:r w:rsidRPr="00273106">
        <w:t>odíl na politické moci patří svobodným lidem z titulu občanů</w:t>
      </w:r>
      <w:r w:rsidR="00E17E21">
        <w:t xml:space="preserve">. Díky isonomii </w:t>
      </w:r>
      <w:r w:rsidRPr="00273106">
        <w:t>mají právo vládnout v každém</w:t>
      </w:r>
      <w:r>
        <w:t xml:space="preserve"> ze spravedlivých režimů vlády. </w:t>
      </w:r>
      <w:r w:rsidRPr="00273106">
        <w:t xml:space="preserve">Albertův komentář </w:t>
      </w:r>
      <w:r w:rsidRPr="08AA566E">
        <w:rPr>
          <w:i/>
        </w:rPr>
        <w:t>Politiky</w:t>
      </w:r>
      <w:r>
        <w:t xml:space="preserve"> </w:t>
      </w:r>
      <w:r w:rsidRPr="00273106">
        <w:t xml:space="preserve">podává </w:t>
      </w:r>
      <w:r>
        <w:t xml:space="preserve">tento </w:t>
      </w:r>
      <w:r w:rsidRPr="00273106">
        <w:t>filo</w:t>
      </w:r>
      <w:r>
        <w:t xml:space="preserve">sofický výměr politiky v pojmu </w:t>
      </w:r>
      <w:r w:rsidRPr="00273106">
        <w:rPr>
          <w:i/>
        </w:rPr>
        <w:t>regnabile</w:t>
      </w:r>
      <w:r w:rsidRPr="00273106">
        <w:t>. Termín „schopni vládnout“ (</w:t>
      </w:r>
      <w:r w:rsidRPr="00273106">
        <w:rPr>
          <w:i/>
        </w:rPr>
        <w:t>regnabile</w:t>
      </w:r>
      <w:r w:rsidRPr="00273106">
        <w:t xml:space="preserve">) vystihuje v originále </w:t>
      </w:r>
      <w:r w:rsidRPr="08AA566E">
        <w:rPr>
          <w:i/>
        </w:rPr>
        <w:t>Politiky</w:t>
      </w:r>
      <w:r w:rsidR="08113E38">
        <w:t xml:space="preserve"> </w:t>
      </w:r>
      <w:proofErr w:type="gramStart"/>
      <w:r w:rsidR="08113E38">
        <w:t>I</w:t>
      </w:r>
      <w:r w:rsidRPr="00273106">
        <w:t>II.13</w:t>
      </w:r>
      <w:proofErr w:type="gramEnd"/>
      <w:r w:rsidRPr="00273106">
        <w:t xml:space="preserve"> obtížnou pasáž, která řeší právo všech občanů účastnit se výkonu politické moci (</w:t>
      </w:r>
      <w:r w:rsidRPr="007A204E">
        <w:rPr>
          <w:i/>
        </w:rPr>
        <w:t>Pol</w:t>
      </w:r>
      <w:r w:rsidRPr="00273106">
        <w:t>. 1283a37‒b15</w:t>
      </w:r>
      <w:r>
        <w:fldChar w:fldCharType="begin"/>
      </w:r>
      <w:r>
        <w:instrText xml:space="preserve"> XE "Aristoteles:</w:instrText>
      </w:r>
      <w:r w:rsidRPr="007A204E">
        <w:rPr>
          <w:i/>
        </w:rPr>
        <w:instrText>Pol</w:instrText>
      </w:r>
      <w:r w:rsidRPr="00D21929">
        <w:instrText>. 1283a37‒b15</w:instrText>
      </w:r>
      <w:r>
        <w:instrText xml:space="preserve">" </w:instrText>
      </w:r>
      <w:r>
        <w:fldChar w:fldCharType="end"/>
      </w:r>
      <w:r w:rsidRPr="00273106">
        <w:t xml:space="preserve">). </w:t>
      </w:r>
      <w:r>
        <w:t xml:space="preserve">Základní a neodstranitelný problém reálných politických formací spočívá podle Aristotela v tom, že </w:t>
      </w:r>
      <w:r w:rsidRPr="00273106">
        <w:t xml:space="preserve">žádný ze tří zkoumaných režimů </w:t>
      </w:r>
      <w:r>
        <w:t xml:space="preserve">reálně existující politické vlády </w:t>
      </w:r>
      <w:r w:rsidRPr="00273106">
        <w:t>(monarchie, timokracie, demokracie) nedosahuje ideální isonomie.</w:t>
      </w:r>
      <w:r w:rsidRPr="00273106">
        <w:rPr>
          <w:rStyle w:val="Znakapoznpodarou"/>
        </w:rPr>
        <w:footnoteReference w:id="560"/>
      </w:r>
      <w:r w:rsidRPr="00273106">
        <w:t xml:space="preserve"> Kvůli </w:t>
      </w:r>
      <w:r w:rsidR="00A05790">
        <w:t>nedokonalostem</w:t>
      </w:r>
      <w:r w:rsidRPr="00273106">
        <w:t xml:space="preserve"> každého </w:t>
      </w:r>
      <w:r>
        <w:t xml:space="preserve">zkoumaného </w:t>
      </w:r>
      <w:r w:rsidRPr="00273106">
        <w:t xml:space="preserve">spravedlivého způsobu vlády </w:t>
      </w:r>
      <w:r>
        <w:t>(</w:t>
      </w:r>
      <w:r w:rsidRPr="08304060">
        <w:t>ἔστι δὲ ἀπορία τις</w:t>
      </w:r>
      <w:r>
        <w:t>) musí platit</w:t>
      </w:r>
      <w:r w:rsidRPr="00273106">
        <w:t xml:space="preserve"> základní princip, že nikdo z občanů nemůže být vyloučen z podílu na politické moci. Debatovaná řada námitek proti spravedlivé vládě jednoho, několika nebo všech potvrzuje </w:t>
      </w:r>
      <w:r w:rsidR="00C55254">
        <w:t xml:space="preserve">právo </w:t>
      </w:r>
      <w:r w:rsidRPr="00273106">
        <w:t xml:space="preserve">všech občanů polis, kteří tak či onak požadují </w:t>
      </w:r>
      <w:r w:rsidRPr="00273106">
        <w:lastRenderedPageBreak/>
        <w:t>podíl na vládě v každém ze tří zkoumaných režimů.</w:t>
      </w:r>
      <w:r w:rsidRPr="00273106">
        <w:rPr>
          <w:rStyle w:val="Znakapoznpodarou"/>
        </w:rPr>
        <w:footnoteReference w:id="561"/>
      </w:r>
      <w:r w:rsidRPr="00273106">
        <w:t xml:space="preserve"> </w:t>
      </w:r>
      <w:r>
        <w:t xml:space="preserve">Protože ideální není ani jedna forma vlády ze tří zkoumaných režimů, pak musí </w:t>
      </w:r>
      <w:r w:rsidR="00AA658F">
        <w:t xml:space="preserve">striktně </w:t>
      </w:r>
      <w:r>
        <w:t xml:space="preserve">platit isonomie pro všechny občany, aby si zde a nyní svobodně vytvořili vlastní vládu, kterou považují za nejlepší možnou a uskutečnitelnou. Primárním zdrojem moci není pro Aristotela a jeho vykladačku Arendtovou formálně a esenciálně definovaný politický režim, ale svobodně jednající občan, jehož politická svoboda je dána jako </w:t>
      </w:r>
      <w:r w:rsidRPr="009D39D7">
        <w:rPr>
          <w:i/>
        </w:rPr>
        <w:t>causa sui</w:t>
      </w:r>
      <w:r>
        <w:t>. Jedině osobní výkon politické svobody n</w:t>
      </w:r>
      <w:r w:rsidR="00C60078">
        <w:t>eobsahuje žádnou aporii: buď jsou občané svobodní tím, že svobodně jednají, nebo svobodní</w:t>
      </w:r>
      <w:r>
        <w:t xml:space="preserve"> ne</w:t>
      </w:r>
      <w:r w:rsidR="00C60078">
        <w:t>jsou</w:t>
      </w:r>
      <w:r>
        <w:t>.</w:t>
      </w:r>
      <w:r w:rsidRPr="00273106">
        <w:rPr>
          <w:rStyle w:val="Znakapoznpodarou"/>
        </w:rPr>
        <w:footnoteReference w:id="562"/>
      </w:r>
      <w:r w:rsidR="00AF32DD">
        <w:t xml:space="preserve"> </w:t>
      </w:r>
      <w:r w:rsidR="00AF32DD" w:rsidRPr="00AF32DD">
        <w:t xml:space="preserve">Pro vědecké určení politiky musí Aristoteles zachovat kauzalitu svobodného politického jednání. Její plný význam bez jakéhokoli formálního omezení lze nalézt pouze na úrovni člověka žijícího v politickém společenství svobodných občanů. </w:t>
      </w:r>
      <w:r>
        <w:t xml:space="preserve">Albert </w:t>
      </w:r>
      <w:r w:rsidRPr="00273106">
        <w:t xml:space="preserve">vykládá </w:t>
      </w:r>
      <w:r>
        <w:t xml:space="preserve">citované místo </w:t>
      </w:r>
      <w:r w:rsidRPr="08B57DE2">
        <w:rPr>
          <w:i/>
        </w:rPr>
        <w:t>Politiky</w:t>
      </w:r>
      <w:r w:rsidR="08D4762A">
        <w:t xml:space="preserve"> </w:t>
      </w:r>
      <w:proofErr w:type="gramStart"/>
      <w:r w:rsidR="08D4762A">
        <w:t>I</w:t>
      </w:r>
      <w:r w:rsidRPr="00273106">
        <w:t>II.13</w:t>
      </w:r>
      <w:proofErr w:type="gramEnd"/>
      <w:r w:rsidRPr="00273106">
        <w:t xml:space="preserve"> podle úmyslu Aristotela</w:t>
      </w:r>
      <w:r>
        <w:t>. J</w:t>
      </w:r>
      <w:r w:rsidRPr="00273106">
        <w:t xml:space="preserve">eho komentář představuje původní </w:t>
      </w:r>
      <w:r w:rsidRPr="00273106">
        <w:rPr>
          <w:i/>
        </w:rPr>
        <w:t>Lichtung</w:t>
      </w:r>
      <w:r w:rsidRPr="00273106">
        <w:t xml:space="preserve"> právního státu</w:t>
      </w:r>
      <w:r>
        <w:t xml:space="preserve"> postaveného na univerzální rovnosti svobodných občanů</w:t>
      </w:r>
      <w:r>
        <w:fldChar w:fldCharType="begin"/>
      </w:r>
      <w:r>
        <w:instrText xml:space="preserve"> XE "politická věda:Albert" </w:instrText>
      </w:r>
      <w:r>
        <w:fldChar w:fldCharType="end"/>
      </w:r>
      <w:r w:rsidRPr="00273106">
        <w:t>.</w:t>
      </w:r>
    </w:p>
    <w:p w:rsidR="08163013" w:rsidRPr="005B2D7C" w:rsidRDefault="08163013" w:rsidP="08163013">
      <w:pPr>
        <w:pStyle w:val="Citace"/>
        <w:rPr>
          <w:noProof/>
          <w:lang w:val="cs-CZ"/>
        </w:rPr>
      </w:pPr>
      <w:r w:rsidRPr="00273106">
        <w:rPr>
          <w:noProof/>
          <w:lang w:val="cs-CZ"/>
        </w:rPr>
        <w:t>„</w:t>
      </w:r>
      <w:r w:rsidR="00215D17">
        <w:rPr>
          <w:noProof/>
          <w:lang w:val="cs-CZ"/>
        </w:rPr>
        <w:t>Aristoteles u</w:t>
      </w:r>
      <w:r>
        <w:rPr>
          <w:noProof/>
          <w:lang w:val="cs-CZ"/>
        </w:rPr>
        <w:t>kázal smysl otázky, aby bylo lépe rozumět tomu, co míní, těmito slovy: 'Schopnost vládnout patří těm občanům (</w:t>
      </w:r>
      <w:r w:rsidRPr="00D51E7A">
        <w:rPr>
          <w:i/>
          <w:noProof/>
          <w:lang w:val="cs-CZ"/>
        </w:rPr>
        <w:t>r</w:t>
      </w:r>
      <w:r w:rsidRPr="00D51E7A">
        <w:rPr>
          <w:i/>
          <w:noProof/>
        </w:rPr>
        <w:t>egnabile quidem igitur est talis multitudo</w:t>
      </w:r>
      <w:r>
        <w:rPr>
          <w:noProof/>
          <w:lang w:val="cs-CZ"/>
        </w:rPr>
        <w:t>), kteří jsou narozeni k tomu (</w:t>
      </w:r>
      <w:r w:rsidRPr="00D51E7A">
        <w:rPr>
          <w:i/>
          <w:noProof/>
          <w:lang w:val="cs-CZ"/>
        </w:rPr>
        <w:t>nata est</w:t>
      </w:r>
      <w:r>
        <w:rPr>
          <w:noProof/>
          <w:lang w:val="cs-CZ"/>
        </w:rPr>
        <w:t xml:space="preserve">), aby tvořili </w:t>
      </w:r>
      <w:r w:rsidR="00D17EC9">
        <w:rPr>
          <w:noProof/>
          <w:lang w:val="cs-CZ"/>
        </w:rPr>
        <w:t>nejlepší společenství, které vyniká</w:t>
      </w:r>
      <w:r w:rsidR="0067267C">
        <w:rPr>
          <w:noProof/>
          <w:lang w:val="cs-CZ"/>
        </w:rPr>
        <w:t xml:space="preserve"> </w:t>
      </w:r>
      <w:r w:rsidR="00D17EC9">
        <w:rPr>
          <w:noProof/>
          <w:lang w:val="cs-CZ"/>
        </w:rPr>
        <w:t xml:space="preserve">schopností </w:t>
      </w:r>
      <w:r>
        <w:rPr>
          <w:noProof/>
          <w:lang w:val="cs-CZ"/>
        </w:rPr>
        <w:t>pol</w:t>
      </w:r>
      <w:r w:rsidR="00D17EC9">
        <w:rPr>
          <w:noProof/>
          <w:lang w:val="cs-CZ"/>
        </w:rPr>
        <w:t>itické moci</w:t>
      </w:r>
      <w:r>
        <w:rPr>
          <w:noProof/>
          <w:lang w:val="cs-CZ"/>
        </w:rPr>
        <w:t xml:space="preserve">.' Tato schopnost není </w:t>
      </w:r>
      <w:r w:rsidR="0011196D">
        <w:rPr>
          <w:noProof/>
          <w:lang w:val="cs-CZ"/>
        </w:rPr>
        <w:t>dána v osobě</w:t>
      </w:r>
      <w:r>
        <w:rPr>
          <w:noProof/>
          <w:lang w:val="cs-CZ"/>
        </w:rPr>
        <w:t xml:space="preserve"> krále, ale </w:t>
      </w:r>
      <w:r w:rsidR="0011196D">
        <w:rPr>
          <w:noProof/>
          <w:lang w:val="cs-CZ"/>
        </w:rPr>
        <w:t xml:space="preserve">skrze politickou moc jako takovou </w:t>
      </w:r>
      <w:r>
        <w:rPr>
          <w:noProof/>
          <w:lang w:val="cs-CZ"/>
        </w:rPr>
        <w:t xml:space="preserve"> (</w:t>
      </w:r>
      <w:r w:rsidRPr="005B2D7C">
        <w:rPr>
          <w:i/>
          <w:noProof/>
          <w:lang w:val="cs-CZ"/>
        </w:rPr>
        <w:t>regnabile non a rege, sed regno</w:t>
      </w:r>
      <w:r>
        <w:rPr>
          <w:noProof/>
          <w:lang w:val="cs-CZ"/>
        </w:rPr>
        <w:t xml:space="preserve">). Král vládne, ale </w:t>
      </w:r>
      <w:r w:rsidR="00C65F53">
        <w:rPr>
          <w:noProof/>
          <w:lang w:val="cs-CZ"/>
        </w:rPr>
        <w:t xml:space="preserve">mandát k </w:t>
      </w:r>
      <w:r>
        <w:rPr>
          <w:noProof/>
          <w:lang w:val="cs-CZ"/>
        </w:rPr>
        <w:t>vlád</w:t>
      </w:r>
      <w:r w:rsidR="00C65F53">
        <w:rPr>
          <w:noProof/>
          <w:lang w:val="cs-CZ"/>
        </w:rPr>
        <w:t>ě</w:t>
      </w:r>
      <w:r>
        <w:rPr>
          <w:noProof/>
          <w:lang w:val="cs-CZ"/>
        </w:rPr>
        <w:t xml:space="preserve"> nemá </w:t>
      </w:r>
      <w:r w:rsidR="0011196D">
        <w:rPr>
          <w:noProof/>
          <w:lang w:val="cs-CZ"/>
        </w:rPr>
        <w:t xml:space="preserve">sám </w:t>
      </w:r>
      <w:r>
        <w:rPr>
          <w:noProof/>
          <w:lang w:val="cs-CZ"/>
        </w:rPr>
        <w:t>ze sebe (</w:t>
      </w:r>
      <w:r w:rsidRPr="005B2D7C">
        <w:rPr>
          <w:i/>
          <w:noProof/>
          <w:lang w:val="cs-CZ"/>
        </w:rPr>
        <w:t>rex enim regnativus est, non regnabilis</w:t>
      </w:r>
      <w:r>
        <w:rPr>
          <w:noProof/>
          <w:lang w:val="cs-CZ"/>
        </w:rPr>
        <w:t xml:space="preserve">).“ </w:t>
      </w:r>
      <w:r>
        <w:rPr>
          <w:rStyle w:val="Znakapoznpodarou"/>
        </w:rPr>
        <w:footnoteReference w:id="563"/>
      </w:r>
    </w:p>
    <w:p w:rsidR="00513E1A" w:rsidRPr="00513E1A" w:rsidRDefault="08163013" w:rsidP="00513E1A">
      <w:r w:rsidRPr="00273106">
        <w:t>Všichni občané (</w:t>
      </w:r>
      <w:r w:rsidRPr="00273106">
        <w:rPr>
          <w:i/>
        </w:rPr>
        <w:t>talis multitudo</w:t>
      </w:r>
      <w:r w:rsidRPr="00273106">
        <w:t>) jsou svobodní díky faktu narození ze svobodných rodičů (</w:t>
      </w:r>
      <w:r w:rsidRPr="00273106">
        <w:rPr>
          <w:i/>
        </w:rPr>
        <w:t>quae nata est</w:t>
      </w:r>
      <w:r w:rsidRPr="00273106">
        <w:t xml:space="preserve">). Jejich </w:t>
      </w:r>
      <w:r>
        <w:t xml:space="preserve">politická a nikoliv jen morální </w:t>
      </w:r>
      <w:r w:rsidRPr="00273106">
        <w:t>ctnost (</w:t>
      </w:r>
      <w:r w:rsidR="00962190">
        <w:rPr>
          <w:i/>
        </w:rPr>
        <w:t>genus</w:t>
      </w:r>
      <w:r w:rsidRPr="00273106">
        <w:rPr>
          <w:i/>
        </w:rPr>
        <w:t xml:space="preserve"> superexcellens secundum virtutem</w:t>
      </w:r>
      <w:r w:rsidRPr="00273106">
        <w:t xml:space="preserve">) je disponuje k tomu, aby nesli odpovědnost za </w:t>
      </w:r>
      <w:r>
        <w:t xml:space="preserve">politicky danou moc </w:t>
      </w:r>
      <w:r w:rsidRPr="00273106">
        <w:t>(</w:t>
      </w:r>
      <w:r w:rsidRPr="00273106">
        <w:rPr>
          <w:i/>
        </w:rPr>
        <w:t>ad praesulatum politicum</w:t>
      </w:r>
      <w:r w:rsidRPr="00273106">
        <w:t xml:space="preserve">). Tím je </w:t>
      </w:r>
      <w:r>
        <w:t xml:space="preserve">poprvé na latinském Západě </w:t>
      </w:r>
      <w:r w:rsidRPr="00273106">
        <w:t>legiti</w:t>
      </w:r>
      <w:r w:rsidR="009D63DB">
        <w:t>mována politická svoboda občanů</w:t>
      </w:r>
      <w:r>
        <w:t xml:space="preserve">. </w:t>
      </w:r>
      <w:r w:rsidRPr="00273106">
        <w:t>Politická moc v jakémkoliv politickém režimu vlády (</w:t>
      </w:r>
      <w:r>
        <w:t xml:space="preserve">Albert zde </w:t>
      </w:r>
      <w:r w:rsidRPr="00273106">
        <w:t>mín</w:t>
      </w:r>
      <w:r>
        <w:t>í</w:t>
      </w:r>
      <w:r w:rsidRPr="00273106">
        <w:t xml:space="preserve"> mon</w:t>
      </w:r>
      <w:r>
        <w:t>archii</w:t>
      </w:r>
      <w:r w:rsidRPr="00273106">
        <w:t>) je odvozena od původní formy moci celého politického společenství aktivně užívajícího politickou svobodu faktem narození (</w:t>
      </w:r>
      <w:r w:rsidRPr="00273106">
        <w:rPr>
          <w:i/>
        </w:rPr>
        <w:t>talis multitudo, quae nata est... ad praesulatum politicum</w:t>
      </w:r>
      <w:r w:rsidRPr="00273106">
        <w:t xml:space="preserve">). </w:t>
      </w:r>
      <w:r>
        <w:t xml:space="preserve">Politická práva jsou dána v modu </w:t>
      </w:r>
      <w:r w:rsidRPr="080B521D">
        <w:rPr>
          <w:i/>
        </w:rPr>
        <w:t>per prius</w:t>
      </w:r>
      <w:r>
        <w:t xml:space="preserve"> narozením do politické komunity, </w:t>
      </w:r>
      <w:r>
        <w:lastRenderedPageBreak/>
        <w:t xml:space="preserve">nikoliv morálním výkonem politické ctnosti, který je dán až v modu </w:t>
      </w:r>
      <w:r w:rsidRPr="080B521D">
        <w:rPr>
          <w:i/>
        </w:rPr>
        <w:t>per posterius</w:t>
      </w:r>
      <w:r>
        <w:t xml:space="preserve">. </w:t>
      </w:r>
      <w:r w:rsidRPr="00273106">
        <w:t xml:space="preserve">Za doby Aristotela byla svoboda daná narozením ze svobodných občanů a dnes ji zakládá </w:t>
      </w:r>
      <w:r>
        <w:t xml:space="preserve">univerzální </w:t>
      </w:r>
      <w:r w:rsidRPr="00273106">
        <w:t xml:space="preserve">fakt lidských práv nezadatelně daných faktem narození. Pak následuje klíčová věta nové politické filosofie. Albert shrnuje smysl citované pasáže </w:t>
      </w:r>
      <w:r w:rsidRPr="08BA50F2">
        <w:rPr>
          <w:i/>
        </w:rPr>
        <w:t>Politiky</w:t>
      </w:r>
      <w:r w:rsidRPr="00273106">
        <w:t xml:space="preserve"> odkazem na předešlou část komentující politický režim monarchie jako nejlepší formu vlády. Isonomický podíl na vládě (</w:t>
      </w:r>
      <w:r w:rsidRPr="00273106">
        <w:rPr>
          <w:i/>
        </w:rPr>
        <w:t>regnabile</w:t>
      </w:r>
      <w:r w:rsidRPr="00273106">
        <w:t>) není dán skrze vládce (</w:t>
      </w:r>
      <w:r w:rsidRPr="00273106">
        <w:rPr>
          <w:i/>
        </w:rPr>
        <w:t>regnabile non a rege</w:t>
      </w:r>
      <w:r w:rsidRPr="00273106">
        <w:t xml:space="preserve">), </w:t>
      </w:r>
      <w:r>
        <w:t>protože ten pouze vykonává danou vládu (</w:t>
      </w:r>
      <w:r w:rsidRPr="00413131">
        <w:rPr>
          <w:i/>
        </w:rPr>
        <w:t xml:space="preserve">rex </w:t>
      </w:r>
      <w:r>
        <w:rPr>
          <w:i/>
        </w:rPr>
        <w:t xml:space="preserve">enim </w:t>
      </w:r>
      <w:r w:rsidRPr="00413131">
        <w:rPr>
          <w:i/>
        </w:rPr>
        <w:t>regnativus est</w:t>
      </w:r>
      <w:r>
        <w:t xml:space="preserve">). </w:t>
      </w:r>
      <w:r w:rsidR="00237043">
        <w:t>Panovník jako „</w:t>
      </w:r>
      <w:r w:rsidR="00237043" w:rsidRPr="00237043">
        <w:rPr>
          <w:i/>
        </w:rPr>
        <w:t>regnativus</w:t>
      </w:r>
      <w:r w:rsidR="00237043">
        <w:t>“</w:t>
      </w:r>
      <w:r w:rsidR="00237043" w:rsidRPr="00237043">
        <w:t xml:space="preserve"> odkazuje </w:t>
      </w:r>
      <w:r w:rsidR="00237043">
        <w:t>p</w:t>
      </w:r>
      <w:r w:rsidR="00237043" w:rsidRPr="00237043">
        <w:t xml:space="preserve">asivně </w:t>
      </w:r>
      <w:r w:rsidR="00237043">
        <w:t>na pověření k vládě, které dostává</w:t>
      </w:r>
      <w:r w:rsidR="00237043" w:rsidRPr="00237043">
        <w:rPr>
          <w:rFonts w:ascii="Times New Roman" w:eastAsia="Times New Roman" w:hAnsi="Times New Roman"/>
          <w:szCs w:val="24"/>
        </w:rPr>
        <w:t xml:space="preserve">. </w:t>
      </w:r>
      <w:r w:rsidR="00237043">
        <w:rPr>
          <w:rFonts w:ascii="Times New Roman" w:eastAsia="Times New Roman" w:hAnsi="Times New Roman"/>
          <w:szCs w:val="24"/>
        </w:rPr>
        <w:t>Z</w:t>
      </w:r>
      <w:r>
        <w:t>droj aktivní politické moci (</w:t>
      </w:r>
      <w:r w:rsidRPr="00AB20B9">
        <w:rPr>
          <w:i/>
        </w:rPr>
        <w:t>regnabile</w:t>
      </w:r>
      <w:r>
        <w:fldChar w:fldCharType="begin"/>
      </w:r>
      <w:r>
        <w:instrText xml:space="preserve"> XE "politická věda:</w:instrText>
      </w:r>
      <w:r w:rsidRPr="00655690">
        <w:rPr>
          <w:i/>
        </w:rPr>
        <w:instrText>regnabile</w:instrText>
      </w:r>
      <w:r>
        <w:instrText xml:space="preserve">" </w:instrText>
      </w:r>
      <w:r>
        <w:fldChar w:fldCharType="end"/>
      </w:r>
      <w:r>
        <w:t xml:space="preserve">) vychází z politické komunity </w:t>
      </w:r>
      <w:r w:rsidRPr="00273106">
        <w:t>skrze svobodné občany sdružené v </w:t>
      </w:r>
      <w:r>
        <w:t>politickém společenství</w:t>
      </w:r>
      <w:r w:rsidRPr="00273106">
        <w:t xml:space="preserve">. </w:t>
      </w:r>
      <w:r>
        <w:t xml:space="preserve">Král vzhledem ke své moci není </w:t>
      </w:r>
      <w:r w:rsidRPr="08DC2F7A">
        <w:rPr>
          <w:i/>
        </w:rPr>
        <w:t>causa sui</w:t>
      </w:r>
      <w:r>
        <w:t>, protože tuto kauzalitu má pouze svobodný občan. Zmocněn</w:t>
      </w:r>
      <w:r w:rsidR="00A927E1">
        <w:t>í k vládě nemá monarcha ze sebe, například skrze nějakou porretánskou</w:t>
      </w:r>
      <w:r>
        <w:t xml:space="preserve"> hypostáz</w:t>
      </w:r>
      <w:r w:rsidR="00A927E1">
        <w:t>i</w:t>
      </w:r>
      <w:r>
        <w:t xml:space="preserve"> nebo habitu</w:t>
      </w:r>
      <w:r w:rsidR="00A927E1">
        <w:t>s</w:t>
      </w:r>
      <w:r>
        <w:t xml:space="preserve"> </w:t>
      </w:r>
      <w:r w:rsidRPr="00273106">
        <w:t>(</w:t>
      </w:r>
      <w:r w:rsidRPr="005B2D7C">
        <w:rPr>
          <w:i/>
        </w:rPr>
        <w:t>non regnabilis</w:t>
      </w:r>
      <w:r w:rsidRPr="00273106">
        <w:t>)</w:t>
      </w:r>
      <w:r>
        <w:t xml:space="preserve">. </w:t>
      </w:r>
      <w:r w:rsidRPr="00273106">
        <w:t>Pravomoc takto dané politické vlády pak král vykonává jménem těch, kteří politickou moc mají faktem narození do politického tělesa</w:t>
      </w:r>
      <w:r>
        <w:t xml:space="preserve"> (</w:t>
      </w:r>
      <w:r w:rsidRPr="007D720D">
        <w:rPr>
          <w:i/>
        </w:rPr>
        <w:t>regnabile est talis multitudo</w:t>
      </w:r>
      <w:r>
        <w:t>)</w:t>
      </w:r>
      <w:r w:rsidRPr="00273106">
        <w:t xml:space="preserve">. </w:t>
      </w:r>
      <w:r w:rsidR="007B3DF6">
        <w:t>Ori</w:t>
      </w:r>
      <w:r w:rsidR="000D1CE8">
        <w:t>ginální v</w:t>
      </w:r>
      <w:r w:rsidRPr="00273106">
        <w:t xml:space="preserve">ýklad </w:t>
      </w:r>
      <w:r w:rsidRPr="08BA50F2">
        <w:rPr>
          <w:i/>
        </w:rPr>
        <w:t>Politiky</w:t>
      </w:r>
      <w:r w:rsidRPr="00273106">
        <w:t xml:space="preserve"> </w:t>
      </w:r>
      <w:r w:rsidR="000D1CE8">
        <w:t>potvrzuje</w:t>
      </w:r>
      <w:r w:rsidRPr="00273106">
        <w:t>, že právo na vládu (</w:t>
      </w:r>
      <w:r w:rsidRPr="00273106">
        <w:rPr>
          <w:i/>
        </w:rPr>
        <w:t>regnabile</w:t>
      </w:r>
      <w:r w:rsidRPr="00273106">
        <w:t>) nemůže být svobodným občanům vzato, protože isonomie</w:t>
      </w:r>
      <w:r>
        <w:fldChar w:fldCharType="begin"/>
      </w:r>
      <w:r>
        <w:instrText xml:space="preserve"> XE "</w:instrText>
      </w:r>
      <w:r w:rsidRPr="000C4EAC">
        <w:instrText>isonomie</w:instrText>
      </w:r>
      <w:r>
        <w:instrText xml:space="preserve">" </w:instrText>
      </w:r>
      <w:r>
        <w:fldChar w:fldCharType="end"/>
      </w:r>
      <w:r w:rsidRPr="00273106">
        <w:t xml:space="preserve"> zakládá jejich občanskou a politickou svobodu. </w:t>
      </w:r>
      <w:r>
        <w:t xml:space="preserve">Jedině tato isonomie zajišťuje plnou kauzalitu politické moci v tom, co je jí bytostně vlastní. </w:t>
      </w:r>
      <w:r w:rsidR="00D147E8">
        <w:t>Politická s</w:t>
      </w:r>
      <w:r>
        <w:t xml:space="preserve">voboda </w:t>
      </w:r>
      <w:r w:rsidR="00D147E8">
        <w:t xml:space="preserve">daná na úrovni osoby </w:t>
      </w:r>
      <w:r>
        <w:t>neobsahuje výše uvedené aporie dané na úrovni politických režimů. Isonomie podle Aristotela a Alberta zaji</w:t>
      </w:r>
      <w:r w:rsidR="007B3DF6">
        <w:t>šťuje, že politická kauzalita vzniklá z </w:t>
      </w:r>
      <w:r w:rsidR="00524692">
        <w:t>indivi</w:t>
      </w:r>
      <w:r w:rsidR="007B3DF6">
        <w:t xml:space="preserve">duálních </w:t>
      </w:r>
      <w:r>
        <w:t>občansk</w:t>
      </w:r>
      <w:r w:rsidR="007B3DF6">
        <w:t xml:space="preserve">ých svobod </w:t>
      </w:r>
      <w:r>
        <w:t xml:space="preserve">zůstane zachována za všech spravedlivých režimů vlády. Albert potvrzuje původní Aristotelův výklad. Král nevládne z </w:t>
      </w:r>
      <w:r w:rsidRPr="00273106">
        <w:t xml:space="preserve">vlastní </w:t>
      </w:r>
      <w:r>
        <w:t xml:space="preserve">habituálně dané </w:t>
      </w:r>
      <w:r w:rsidRPr="00273106">
        <w:t>autority (</w:t>
      </w:r>
      <w:r w:rsidRPr="00273106">
        <w:rPr>
          <w:i/>
        </w:rPr>
        <w:t>non regnabilis</w:t>
      </w:r>
      <w:r w:rsidRPr="00273106">
        <w:t>)</w:t>
      </w:r>
      <w:r>
        <w:t xml:space="preserve">, ale </w:t>
      </w:r>
      <w:r w:rsidRPr="00273106">
        <w:t>z moci práva primárně daného ve svobodném lidu</w:t>
      </w:r>
      <w:r>
        <w:t xml:space="preserve"> (</w:t>
      </w:r>
      <w:r w:rsidRPr="00BF35EF">
        <w:rPr>
          <w:i/>
        </w:rPr>
        <w:t>a regno</w:t>
      </w:r>
      <w:r>
        <w:t>)</w:t>
      </w:r>
      <w:r w:rsidRPr="00273106">
        <w:t xml:space="preserve">, který si </w:t>
      </w:r>
      <w:r>
        <w:t xml:space="preserve">svobodně </w:t>
      </w:r>
      <w:r w:rsidRPr="00273106">
        <w:t>zvolil monarchii jako nejlepší formu vlády. Albertův komentář k </w:t>
      </w:r>
      <w:r w:rsidRPr="08FF5E0D">
        <w:rPr>
          <w:i/>
        </w:rPr>
        <w:t>Politice</w:t>
      </w:r>
      <w:r w:rsidRPr="00273106">
        <w:t xml:space="preserve"> tuto svobodnou a suverénní schopnost občanů vládnout podává </w:t>
      </w:r>
      <w:r>
        <w:t xml:space="preserve">skrze výklad pojmu </w:t>
      </w:r>
      <w:r w:rsidR="00157699">
        <w:t>„</w:t>
      </w:r>
      <w:r w:rsidRPr="00273106">
        <w:rPr>
          <w:i/>
        </w:rPr>
        <w:t>regnabile</w:t>
      </w:r>
      <w:r w:rsidR="00157699">
        <w:t>“</w:t>
      </w:r>
      <w:r w:rsidRPr="00273106">
        <w:t xml:space="preserve">. </w:t>
      </w:r>
      <w:r>
        <w:t>Citát ukazuje zásadní rozdíl mezi dvěma pojmy. Politická moc je determinována přirozeně, tedy faktem narození jako svobodný člověk, a proto patří celé politické komunitě (</w:t>
      </w:r>
      <w:r w:rsidR="00157699">
        <w:rPr>
          <w:i/>
        </w:rPr>
        <w:t>regnabile</w:t>
      </w:r>
      <w:r>
        <w:t>). Něco jiného je faktický výkon vlády v tom či onom politickém režimu (</w:t>
      </w:r>
      <w:r w:rsidRPr="00273106">
        <w:rPr>
          <w:i/>
        </w:rPr>
        <w:t>regnativus</w:t>
      </w:r>
      <w:r>
        <w:t xml:space="preserve">), čili ve trojím známém režimu vlády popsaném v díle </w:t>
      </w:r>
      <w:r w:rsidRPr="08FF5E0D">
        <w:rPr>
          <w:i/>
        </w:rPr>
        <w:t>Politika</w:t>
      </w:r>
      <w:r>
        <w:t xml:space="preserve">. Rozdíl mezi </w:t>
      </w:r>
      <w:r w:rsidR="008078B4">
        <w:t>termíny „</w:t>
      </w:r>
      <w:r w:rsidRPr="00A5253C">
        <w:rPr>
          <w:i/>
        </w:rPr>
        <w:t>regnabilis</w:t>
      </w:r>
      <w:r w:rsidR="008078B4">
        <w:t>“</w:t>
      </w:r>
      <w:r>
        <w:t xml:space="preserve"> a </w:t>
      </w:r>
      <w:r w:rsidR="008078B4">
        <w:t>„</w:t>
      </w:r>
      <w:r w:rsidRPr="00A5253C">
        <w:rPr>
          <w:i/>
        </w:rPr>
        <w:t>regnativus</w:t>
      </w:r>
      <w:r w:rsidR="008078B4">
        <w:t>“</w:t>
      </w:r>
      <w:r>
        <w:t xml:space="preserve"> </w:t>
      </w:r>
      <w:r w:rsidRPr="00273106">
        <w:t>zakládá novou politickou teorii latinského Západu</w:t>
      </w:r>
      <w:r>
        <w:fldChar w:fldCharType="begin"/>
      </w:r>
      <w:r>
        <w:instrText xml:space="preserve"> XE "politická věda:</w:instrText>
      </w:r>
      <w:r>
        <w:rPr>
          <w:i/>
        </w:rPr>
        <w:instrText>regnabilis/regnativus</w:instrText>
      </w:r>
      <w:r>
        <w:instrText xml:space="preserve">" </w:instrText>
      </w:r>
      <w:r>
        <w:fldChar w:fldCharType="end"/>
      </w:r>
      <w:r w:rsidRPr="00273106">
        <w:t xml:space="preserve">. Znalec Aristotela vytvořil </w:t>
      </w:r>
      <w:r>
        <w:t>touto diferencí teoretický základ</w:t>
      </w:r>
      <w:r w:rsidRPr="00273106">
        <w:t xml:space="preserve"> přenosu politické moci z lidu na panovníka. </w:t>
      </w:r>
      <w:r>
        <w:t xml:space="preserve">Albert vykonával tuto demokratickou nauku také prakticky. V občanských sporech v Kolíně vedl </w:t>
      </w:r>
      <w:r>
        <w:lastRenderedPageBreak/>
        <w:t>opakovaně tamějšího biskupa k tomu, aby uznal oprávněné nároky měšťanů (</w:t>
      </w:r>
      <w:r>
        <w:rPr>
          <w:i/>
          <w:iCs/>
        </w:rPr>
        <w:t xml:space="preserve">Kleiner </w:t>
      </w:r>
      <w:r>
        <w:t xml:space="preserve">a </w:t>
      </w:r>
      <w:r>
        <w:rPr>
          <w:i/>
          <w:iCs/>
        </w:rPr>
        <w:t>Großer Schied</w:t>
      </w:r>
      <w:r>
        <w:t xml:space="preserve"> z let 1252 a 1258). </w:t>
      </w:r>
      <w:r w:rsidR="001312FB">
        <w:t xml:space="preserve">Protestantští monarchomachové definovali </w:t>
      </w:r>
      <w:r w:rsidRPr="00273106">
        <w:t xml:space="preserve">tuto formu delegace moci odkazem </w:t>
      </w:r>
      <w:r w:rsidR="001312FB">
        <w:t xml:space="preserve">na starozákonní smlouvy: </w:t>
      </w:r>
      <w:r w:rsidRPr="00273106">
        <w:t>Jozueho smlouvu s lidem v Sichemu (</w:t>
      </w:r>
      <w:r w:rsidRPr="00A21D56">
        <w:rPr>
          <w:i/>
        </w:rPr>
        <w:t>Jos</w:t>
      </w:r>
      <w:r w:rsidRPr="00273106">
        <w:t xml:space="preserve"> 24:19‒25</w:t>
      </w:r>
      <w:r>
        <w:fldChar w:fldCharType="begin"/>
      </w:r>
      <w:r>
        <w:instrText xml:space="preserve"> XE "Starý zákon:</w:instrText>
      </w:r>
      <w:r w:rsidRPr="08A9706A">
        <w:rPr>
          <w:i/>
        </w:rPr>
        <w:instrText>Jos</w:instrText>
      </w:r>
      <w:r>
        <w:instrText xml:space="preserve"> 24.</w:instrText>
      </w:r>
      <w:r w:rsidRPr="00173150">
        <w:instrText>19‒25</w:instrText>
      </w:r>
      <w:r>
        <w:instrText xml:space="preserve">" </w:instrText>
      </w:r>
      <w:r>
        <w:fldChar w:fldCharType="end"/>
      </w:r>
      <w:r w:rsidRPr="00273106">
        <w:t>) nebo žádost izraelského lidu o pomazání krále (</w:t>
      </w:r>
      <w:r w:rsidRPr="00A21D56">
        <w:rPr>
          <w:i/>
        </w:rPr>
        <w:t>1 Sam</w:t>
      </w:r>
      <w:r w:rsidRPr="00273106">
        <w:t xml:space="preserve"> 12:1</w:t>
      </w:r>
      <w:r>
        <w:fldChar w:fldCharType="begin"/>
      </w:r>
      <w:r>
        <w:instrText xml:space="preserve"> XE "Starý zákon:</w:instrText>
      </w:r>
      <w:r w:rsidRPr="0046213D">
        <w:instrText xml:space="preserve">1 </w:instrText>
      </w:r>
      <w:r w:rsidRPr="08A9706A">
        <w:rPr>
          <w:i/>
        </w:rPr>
        <w:instrText>Sam</w:instrText>
      </w:r>
      <w:r>
        <w:instrText xml:space="preserve"> 12.</w:instrText>
      </w:r>
      <w:r w:rsidRPr="001C6B1C">
        <w:instrText>1</w:instrText>
      </w:r>
      <w:r>
        <w:instrText xml:space="preserve">" </w:instrText>
      </w:r>
      <w:r>
        <w:fldChar w:fldCharType="end"/>
      </w:r>
      <w:r w:rsidRPr="00273106">
        <w:t>).</w:t>
      </w:r>
      <w:r w:rsidR="001312FB">
        <w:t xml:space="preserve"> </w:t>
      </w:r>
      <w:r w:rsidR="001312FB" w:rsidRPr="00273106">
        <w:t>Kalvínský právník Johannes Althusius</w:t>
      </w:r>
      <w:r w:rsidR="001312FB">
        <w:fldChar w:fldCharType="begin"/>
      </w:r>
      <w:r w:rsidR="001312FB">
        <w:instrText xml:space="preserve"> XE "</w:instrText>
      </w:r>
      <w:r w:rsidR="001312FB" w:rsidRPr="009A4B90">
        <w:instrText>Johannes Althusius</w:instrText>
      </w:r>
      <w:r w:rsidR="001312FB">
        <w:instrText xml:space="preserve">" </w:instrText>
      </w:r>
      <w:r w:rsidR="001312FB">
        <w:fldChar w:fldCharType="end"/>
      </w:r>
      <w:r w:rsidR="001B51C3">
        <w:t xml:space="preserve"> </w:t>
      </w:r>
      <w:r w:rsidR="001B51C3" w:rsidRPr="00A9626C">
        <w:rPr>
          <w:lang w:eastAsia="en-US"/>
        </w:rPr>
        <w:t>(†1638)</w:t>
      </w:r>
      <w:r w:rsidR="001B51C3">
        <w:rPr>
          <w:lang w:eastAsia="en-US"/>
        </w:rPr>
        <w:t xml:space="preserve"> </w:t>
      </w:r>
      <w:r w:rsidRPr="00273106">
        <w:t xml:space="preserve">přesunul důraz od Albertem ustaveného státu práva k zastupitelské demokracii. Klíčová pasáž díla </w:t>
      </w:r>
      <w:r w:rsidRPr="00273106">
        <w:rPr>
          <w:i/>
        </w:rPr>
        <w:t>Politica methodice digesta</w:t>
      </w:r>
      <w:r w:rsidRPr="00273106">
        <w:t xml:space="preserve"> (1603) mluví o vládci jako o pouhém administrátorovi a reprezentantu politické moci.</w:t>
      </w:r>
      <w:r w:rsidRPr="00273106">
        <w:rPr>
          <w:rStyle w:val="Znakapoznpodarou"/>
        </w:rPr>
        <w:footnoteReference w:id="564"/>
      </w:r>
      <w:r w:rsidRPr="00273106">
        <w:t xml:space="preserve"> Althusius přesunul důraz z  monarchistické</w:t>
      </w:r>
      <w:r>
        <w:t>ho</w:t>
      </w:r>
      <w:r w:rsidRPr="00273106">
        <w:t xml:space="preserve"> výkonu moci preferované</w:t>
      </w:r>
      <w:r>
        <w:t>ho</w:t>
      </w:r>
      <w:r w:rsidRPr="00273106">
        <w:t xml:space="preserve"> Albertem a dalšími představiteli prvního averroismu na </w:t>
      </w:r>
      <w:r>
        <w:t xml:space="preserve">úřednickou </w:t>
      </w:r>
      <w:r w:rsidRPr="00273106">
        <w:t xml:space="preserve">formu vlády, kdy je </w:t>
      </w:r>
      <w:r>
        <w:t xml:space="preserve">magistát </w:t>
      </w:r>
      <w:r w:rsidRPr="00273106">
        <w:t>mocí dočasně pověřen</w:t>
      </w:r>
      <w:r>
        <w:t xml:space="preserve"> (</w:t>
      </w:r>
      <w:r w:rsidRPr="0093295A">
        <w:rPr>
          <w:i/>
        </w:rPr>
        <w:t>regni administratores et rectores universalis consociationis corpus</w:t>
      </w:r>
      <w:r>
        <w:t>)</w:t>
      </w:r>
      <w:r w:rsidRPr="00273106">
        <w:t xml:space="preserve">. </w:t>
      </w:r>
      <w:r>
        <w:t>Althusiův s</w:t>
      </w:r>
      <w:r w:rsidRPr="00273106">
        <w:t xml:space="preserve">pis </w:t>
      </w:r>
      <w:r>
        <w:t xml:space="preserve">rozšířil </w:t>
      </w:r>
      <w:r w:rsidRPr="00273106">
        <w:t xml:space="preserve">základní princip přenesení moci z lidu na panovníka, čímž </w:t>
      </w:r>
      <w:r>
        <w:t xml:space="preserve">v nové konstelaci politiky potvrdil Albertův pojem </w:t>
      </w:r>
      <w:r w:rsidR="00B47D34">
        <w:t>„</w:t>
      </w:r>
      <w:r w:rsidRPr="00273106">
        <w:rPr>
          <w:i/>
        </w:rPr>
        <w:t>regnabile</w:t>
      </w:r>
      <w:r w:rsidR="00B47D34">
        <w:t>“</w:t>
      </w:r>
      <w:r>
        <w:fldChar w:fldCharType="begin"/>
      </w:r>
      <w:r>
        <w:instrText xml:space="preserve"> XE "politická věda:Althusius" </w:instrText>
      </w:r>
      <w:r>
        <w:fldChar w:fldCharType="end"/>
      </w:r>
      <w:r w:rsidR="00B47D34">
        <w:t>.</w:t>
      </w:r>
      <w:r w:rsidRPr="00273106">
        <w:t xml:space="preserve"> Albertův výklad </w:t>
      </w:r>
      <w:r w:rsidRPr="08192F13">
        <w:rPr>
          <w:i/>
        </w:rPr>
        <w:t>Politiky</w:t>
      </w:r>
      <w:r w:rsidRPr="00273106">
        <w:t xml:space="preserve"> daný v linii prvního averroismu založil tradici </w:t>
      </w:r>
      <w:r>
        <w:t>moderního právního státu vládnoucího z moci občanů</w:t>
      </w:r>
      <w:r w:rsidRPr="00273106">
        <w:t>. Přenesení moci dané delegací a pouhým propůjčením původní suverenity lidu založilo moderní demokracii kombinovanou s vládou univerálně pojatého práva. Zdroj církevní autority, její právo a moc, je dáno z božího zákona (</w:t>
      </w:r>
      <w:r w:rsidRPr="00273106">
        <w:rPr>
          <w:i/>
        </w:rPr>
        <w:t>lex divina</w:t>
      </w:r>
      <w:r w:rsidR="000E1864">
        <w:rPr>
          <w:i/>
        </w:rPr>
        <w:fldChar w:fldCharType="begin"/>
      </w:r>
      <w:r w:rsidR="000E1864">
        <w:instrText xml:space="preserve"> XE "</w:instrText>
      </w:r>
      <w:r w:rsidR="000E1864" w:rsidRPr="00BA4A0B">
        <w:rPr>
          <w:i/>
        </w:rPr>
        <w:instrText>lex divina</w:instrText>
      </w:r>
      <w:r w:rsidR="000E1864">
        <w:instrText xml:space="preserve">" </w:instrText>
      </w:r>
      <w:r w:rsidR="000E1864">
        <w:rPr>
          <w:i/>
        </w:rPr>
        <w:fldChar w:fldCharType="end"/>
      </w:r>
      <w:r w:rsidRPr="00273106">
        <w:t xml:space="preserve">) </w:t>
      </w:r>
      <w:r>
        <w:t xml:space="preserve">daného </w:t>
      </w:r>
      <w:r w:rsidRPr="00273106">
        <w:t xml:space="preserve">mimo politickou komunitu. </w:t>
      </w:r>
      <w:r w:rsidR="00513E1A" w:rsidRPr="00513E1A">
        <w:t xml:space="preserve">Toto vysvětlení vedlo k oddělení duchovní a světské moci v prvním averroismu. Teokratická skupina druhého averroismu a tomismu toto vysvětlení napadla a </w:t>
      </w:r>
      <w:r w:rsidR="00513E1A" w:rsidRPr="00513E1A">
        <w:rPr>
          <w:i/>
        </w:rPr>
        <w:t>de facto</w:t>
      </w:r>
      <w:r w:rsidR="00513E1A" w:rsidRPr="00513E1A">
        <w:t xml:space="preserve"> zrušila bulou </w:t>
      </w:r>
      <w:r w:rsidR="00513E1A" w:rsidRPr="00513E1A">
        <w:rPr>
          <w:i/>
          <w:iCs/>
        </w:rPr>
        <w:t>Unam Sanctam</w:t>
      </w:r>
      <w:r w:rsidR="00513E1A" w:rsidRPr="00513E1A">
        <w:t>.</w:t>
      </w:r>
    </w:p>
    <w:p w:rsidR="08163013" w:rsidRDefault="08163013" w:rsidP="08163013">
      <w:r w:rsidRPr="00273106">
        <w:tab/>
      </w:r>
      <w:r>
        <w:t xml:space="preserve">Další důležitou otázkou je kauzalita politického jednání, která se musí lišit od individuální etiky. </w:t>
      </w:r>
      <w:r w:rsidRPr="00273106">
        <w:t xml:space="preserve">Hermeneutika morálního jednání podle </w:t>
      </w:r>
      <w:r w:rsidRPr="08BD4F3E">
        <w:rPr>
          <w:i/>
        </w:rPr>
        <w:t>Etiky Nikomachovy</w:t>
      </w:r>
      <w:r>
        <w:t xml:space="preserve"> ukázala, že etická praxe jedinečně jednající osoby zakládá kauzalitu středního členu soudu nutného pro ustavení </w:t>
      </w:r>
      <w:r w:rsidRPr="00273106">
        <w:t>praktického sylogismu. Praktický sylogismus</w:t>
      </w:r>
      <w:r>
        <w:fldChar w:fldCharType="begin"/>
      </w:r>
      <w:r>
        <w:instrText xml:space="preserve"> XE "praktický sylogismus" </w:instrText>
      </w:r>
      <w:r>
        <w:fldChar w:fldCharType="end"/>
      </w:r>
      <w:r w:rsidRPr="00273106">
        <w:t xml:space="preserve"> pro etiku navržený Albertem </w:t>
      </w:r>
      <w:r>
        <w:t xml:space="preserve">a Akvinským </w:t>
      </w:r>
      <w:r w:rsidRPr="00273106">
        <w:t>spojuje v modu operativní form</w:t>
      </w:r>
      <w:r>
        <w:t>y</w:t>
      </w:r>
      <w:r w:rsidR="00411BD9">
        <w:t xml:space="preserve"> (</w:t>
      </w:r>
      <w:r w:rsidR="00411BD9">
        <w:rPr>
          <w:i/>
        </w:rPr>
        <w:t>forma compositionis</w:t>
      </w:r>
      <w:r w:rsidR="00411BD9">
        <w:t>)</w:t>
      </w:r>
      <w:r>
        <w:t xml:space="preserve"> jak univerzalitu dobra, tak </w:t>
      </w:r>
      <w:r w:rsidRPr="00273106">
        <w:t>jeho individuální aktualizaci v realitě, kdy se sjednocuje záměr a prováděné dílo (ka</w:t>
      </w:r>
      <w:r w:rsidR="0033717C">
        <w:t>p. 6</w:t>
      </w:r>
      <w:r w:rsidRPr="00273106">
        <w:t>.1).</w:t>
      </w:r>
      <w:r>
        <w:t xml:space="preserve"> </w:t>
      </w:r>
      <w:r w:rsidR="0033717C">
        <w:t>V</w:t>
      </w:r>
      <w:r w:rsidR="0033717C" w:rsidRPr="00273106">
        <w:t>ědeck</w:t>
      </w:r>
      <w:r w:rsidR="0033717C">
        <w:t>ý p</w:t>
      </w:r>
      <w:r w:rsidRPr="00273106">
        <w:t xml:space="preserve">ostup </w:t>
      </w:r>
      <w:r w:rsidR="0033717C">
        <w:rPr>
          <w:i/>
        </w:rPr>
        <w:t>Druhých analytik</w:t>
      </w:r>
      <w:r w:rsidRPr="00273106">
        <w:t xml:space="preserve"> vyžaduje, aby se našel </w:t>
      </w:r>
      <w:r>
        <w:t xml:space="preserve">pro politiku také </w:t>
      </w:r>
      <w:r w:rsidRPr="00273106">
        <w:t>věd</w:t>
      </w:r>
      <w:r>
        <w:t xml:space="preserve">ecký výměr politického jednání v modu </w:t>
      </w:r>
      <w:r w:rsidRPr="00273106">
        <w:rPr>
          <w:i/>
        </w:rPr>
        <w:t>demonstratio</w:t>
      </w:r>
      <w:r w:rsidR="00205592">
        <w:fldChar w:fldCharType="begin"/>
      </w:r>
      <w:r w:rsidR="00205592">
        <w:instrText xml:space="preserve"> XE "politická věda:</w:instrText>
      </w:r>
      <w:r w:rsidR="00205592" w:rsidRPr="00101F93">
        <w:rPr>
          <w:i/>
        </w:rPr>
        <w:instrText>demonstratio</w:instrText>
      </w:r>
      <w:r w:rsidR="00205592">
        <w:instrText xml:space="preserve">" </w:instrText>
      </w:r>
      <w:r w:rsidR="00205592">
        <w:fldChar w:fldCharType="end"/>
      </w:r>
      <w:r w:rsidRPr="00273106">
        <w:t xml:space="preserve">. </w:t>
      </w:r>
      <w:r w:rsidR="00205592" w:rsidRPr="00205592">
        <w:t xml:space="preserve">Jinak by politika nebyla vědní disciplínou </w:t>
      </w:r>
      <w:r w:rsidR="00205592">
        <w:t xml:space="preserve">genericky </w:t>
      </w:r>
      <w:r w:rsidR="00205592" w:rsidRPr="00205592">
        <w:t xml:space="preserve">odlišnou od etiky. </w:t>
      </w:r>
      <w:r w:rsidR="00205592" w:rsidRPr="00205592">
        <w:lastRenderedPageBreak/>
        <w:t>Politika musí dostat vlastní definici založenou na účinné kauzalitě i</w:t>
      </w:r>
      <w:r w:rsidR="00205592">
        <w:t>s</w:t>
      </w:r>
      <w:r w:rsidR="00205592" w:rsidRPr="00205592">
        <w:t xml:space="preserve">onomicky jednajícího občana. </w:t>
      </w:r>
      <w:r>
        <w:t>Vraťme se k výše uvedeném citátu spojujícímu všechny členy politického vědeckého sylogismu (</w:t>
      </w:r>
      <w:r>
        <w:rPr>
          <w:i/>
        </w:rPr>
        <w:t>r</w:t>
      </w:r>
      <w:r w:rsidRPr="08471E48">
        <w:rPr>
          <w:i/>
        </w:rPr>
        <w:t xml:space="preserve">egnabile </w:t>
      </w:r>
      <w:r>
        <w:rPr>
          <w:i/>
        </w:rPr>
        <w:t>...</w:t>
      </w:r>
      <w:r w:rsidRPr="08471E48">
        <w:rPr>
          <w:i/>
        </w:rPr>
        <w:t xml:space="preserve">talis </w:t>
      </w:r>
      <w:proofErr w:type="gramStart"/>
      <w:r w:rsidRPr="08471E48">
        <w:rPr>
          <w:i/>
        </w:rPr>
        <w:t>multitudo</w:t>
      </w:r>
      <w:r>
        <w:rPr>
          <w:i/>
        </w:rPr>
        <w:t xml:space="preserve">.. </w:t>
      </w:r>
      <w:r w:rsidRPr="08471E48">
        <w:rPr>
          <w:i/>
        </w:rPr>
        <w:t>nata</w:t>
      </w:r>
      <w:proofErr w:type="gramEnd"/>
      <w:r w:rsidRPr="08471E48">
        <w:rPr>
          <w:i/>
        </w:rPr>
        <w:t xml:space="preserve"> est</w:t>
      </w:r>
      <w:r>
        <w:rPr>
          <w:i/>
        </w:rPr>
        <w:t>...</w:t>
      </w:r>
      <w:r w:rsidRPr="08471E48">
        <w:rPr>
          <w:i/>
        </w:rPr>
        <w:t xml:space="preserve"> </w:t>
      </w:r>
      <w:r w:rsidR="00962190">
        <w:rPr>
          <w:i/>
        </w:rPr>
        <w:t>genus</w:t>
      </w:r>
      <w:r>
        <w:rPr>
          <w:i/>
        </w:rPr>
        <w:t>...</w:t>
      </w:r>
      <w:r w:rsidRPr="08471E48">
        <w:rPr>
          <w:i/>
        </w:rPr>
        <w:t>ad praesulatum politicum</w:t>
      </w:r>
      <w:r>
        <w:t xml:space="preserve">). Generické působení politické racionality je možné proto, že existuje svobodný občan jako </w:t>
      </w:r>
      <w:r w:rsidRPr="086D3985">
        <w:rPr>
          <w:i/>
        </w:rPr>
        <w:t>causa sui</w:t>
      </w:r>
      <w:r>
        <w:t xml:space="preserve">. Kauzalita </w:t>
      </w:r>
      <w:r w:rsidR="00C816A1">
        <w:t xml:space="preserve">politicky </w:t>
      </w:r>
      <w:r>
        <w:t xml:space="preserve">jednající osoby jako svobodně narozeného občana se kombinuje s kauzalitou danou v politickém společenství jako celku.  Proto je třeba hledat výměr singulární a univerzální kauzality svobodného občana, který zakládá </w:t>
      </w:r>
      <w:r w:rsidRPr="08424D29">
        <w:rPr>
          <w:i/>
        </w:rPr>
        <w:t>medium</w:t>
      </w:r>
      <w:r>
        <w:t xml:space="preserve"> politického sylogismu. </w:t>
      </w:r>
      <w:r w:rsidRPr="00273106">
        <w:t>První averroismus rozšířil praktický sylogismus</w:t>
      </w:r>
      <w:r>
        <w:fldChar w:fldCharType="begin"/>
      </w:r>
      <w:r>
        <w:instrText xml:space="preserve"> XE "praktický sylogismus" </w:instrText>
      </w:r>
      <w:r>
        <w:fldChar w:fldCharType="end"/>
      </w:r>
      <w:r w:rsidRPr="00273106">
        <w:t xml:space="preserve"> daný v </w:t>
      </w:r>
      <w:r w:rsidRPr="080C3B4D">
        <w:rPr>
          <w:i/>
        </w:rPr>
        <w:t>Etice</w:t>
      </w:r>
      <w:r w:rsidRPr="00273106">
        <w:t xml:space="preserve"> do výkladu </w:t>
      </w:r>
      <w:r w:rsidRPr="080C3B4D">
        <w:rPr>
          <w:i/>
        </w:rPr>
        <w:t>Politiky</w:t>
      </w:r>
      <w:r>
        <w:t>, což dokazuje téma Sigerových nedochovaných přednášek o univerzální platnosti zákona v politické komunitě</w:t>
      </w:r>
      <w:r w:rsidRPr="00273106">
        <w:t xml:space="preserve">. </w:t>
      </w:r>
      <w:r>
        <w:t xml:space="preserve">Politika jako věda musí rozlišit ctnostné jednání osoby pojednané v </w:t>
      </w:r>
      <w:r w:rsidRPr="080C3B4D">
        <w:rPr>
          <w:i/>
        </w:rPr>
        <w:t>Etice</w:t>
      </w:r>
      <w:r>
        <w:t xml:space="preserve"> od ctnostného jednání občana pojednané v </w:t>
      </w:r>
      <w:r w:rsidRPr="080C3B4D">
        <w:rPr>
          <w:i/>
        </w:rPr>
        <w:t>Politice</w:t>
      </w:r>
      <w:r>
        <w:t xml:space="preserve">. Obojí </w:t>
      </w:r>
      <w:r w:rsidR="00A2494A">
        <w:t xml:space="preserve">druh </w:t>
      </w:r>
      <w:r>
        <w:t>j</w:t>
      </w:r>
      <w:r w:rsidRPr="00273106">
        <w:t xml:space="preserve">ednání </w:t>
      </w:r>
      <w:r w:rsidR="00A2494A">
        <w:t xml:space="preserve">lze shrnout skrze </w:t>
      </w:r>
      <w:r w:rsidRPr="00273106">
        <w:t>univerzální principy</w:t>
      </w:r>
      <w:r w:rsidR="00A2494A">
        <w:t>. A</w:t>
      </w:r>
      <w:r w:rsidRPr="00273106">
        <w:t xml:space="preserve">le na rozdíl od obecné </w:t>
      </w:r>
      <w:r>
        <w:t xml:space="preserve">filosofické </w:t>
      </w:r>
      <w:r w:rsidRPr="00273106">
        <w:t xml:space="preserve">kontemplace je </w:t>
      </w:r>
      <w:r>
        <w:t xml:space="preserve">praktický intelekt zaměřen v jednání </w:t>
      </w:r>
      <w:r w:rsidRPr="00273106">
        <w:t xml:space="preserve">k </w:t>
      </w:r>
      <w:r>
        <w:t xml:space="preserve">dosahování reálných cílů, etických a politických. Osoba je angažována v politické komunitě jako občan, který nese v modu politického </w:t>
      </w:r>
      <w:r w:rsidRPr="080C0B65">
        <w:rPr>
          <w:i/>
        </w:rPr>
        <w:t>subiectum</w:t>
      </w:r>
      <w:r>
        <w:t xml:space="preserve"> politickou racionalitu typu </w:t>
      </w:r>
      <w:r w:rsidRPr="080C0B65">
        <w:rPr>
          <w:i/>
        </w:rPr>
        <w:t>regnabile</w:t>
      </w:r>
      <w:r w:rsidRPr="00273106">
        <w:t xml:space="preserve">. </w:t>
      </w:r>
      <w:r>
        <w:t xml:space="preserve">Tím se politický subjekt liší od etického subjektu. </w:t>
      </w:r>
      <w:r w:rsidRPr="00273106">
        <w:t>Proto je třeba najít praktický sylogismus</w:t>
      </w:r>
      <w:r>
        <w:fldChar w:fldCharType="begin"/>
      </w:r>
      <w:r>
        <w:instrText xml:space="preserve"> XE "praktický sylogismus" </w:instrText>
      </w:r>
      <w:r>
        <w:fldChar w:fldCharType="end"/>
      </w:r>
      <w:r w:rsidRPr="00273106">
        <w:t xml:space="preserve"> pro politiku, který zajistí filosoficky zdůvodněnou racionalitu politického jednání. S výměrem politického jednání stojí a padá autonomie politiky jako specifického druhu etického jednání poznaného vědecky. </w:t>
      </w:r>
      <w:r>
        <w:t xml:space="preserve">Albertův </w:t>
      </w:r>
      <w:r w:rsidRPr="00273106">
        <w:t xml:space="preserve">komentář k </w:t>
      </w:r>
      <w:r w:rsidRPr="085F3AFF">
        <w:rPr>
          <w:i/>
        </w:rPr>
        <w:t>Etice</w:t>
      </w:r>
      <w:r w:rsidRPr="00273106">
        <w:t xml:space="preserve"> ukázal</w:t>
      </w:r>
      <w:r>
        <w:t xml:space="preserve"> proti modernistům</w:t>
      </w:r>
      <w:r w:rsidRPr="00273106">
        <w:t>, že středová pozice ctnosti může být dána pouze ve vztahu k nám (</w:t>
      </w:r>
      <w:r w:rsidRPr="00273106">
        <w:rPr>
          <w:i/>
        </w:rPr>
        <w:t xml:space="preserve">quoad nos et non simpliciter, </w:t>
      </w:r>
      <w:r w:rsidR="00075539">
        <w:t>kap. 6</w:t>
      </w:r>
      <w:r w:rsidRPr="00273106">
        <w:t>.1). Střední člen praktického soudu musí spojit univerzalitu danou racionálním výměrem a partikularitu danou kauzální účinností reálné první substance</w:t>
      </w:r>
      <w:r>
        <w:fldChar w:fldCharType="begin"/>
      </w:r>
      <w:r>
        <w:instrText xml:space="preserve"> XE "</w:instrText>
      </w:r>
      <w:r w:rsidRPr="00DE2A32">
        <w:instrText>substance</w:instrText>
      </w:r>
      <w:r>
        <w:instrText xml:space="preserve">:občan polis" </w:instrText>
      </w:r>
      <w:r>
        <w:fldChar w:fldCharType="end"/>
      </w:r>
      <w:r w:rsidRPr="00273106">
        <w:t xml:space="preserve">, kterou představuje </w:t>
      </w:r>
      <w:r>
        <w:t xml:space="preserve">morálně </w:t>
      </w:r>
      <w:r w:rsidRPr="00273106">
        <w:t>jednající jednotlivec. Totéž platí i pro určení středové pozice politické praxe vzhledem k nám. Racionálně určená povaha politické moci musí správně definovat střední člen politického sylogismu (</w:t>
      </w:r>
      <w:r w:rsidRPr="00273106">
        <w:rPr>
          <w:i/>
        </w:rPr>
        <w:t>medium</w:t>
      </w:r>
      <w:r>
        <w:rPr>
          <w:i/>
        </w:rPr>
        <w:fldChar w:fldCharType="begin"/>
      </w:r>
      <w:r>
        <w:instrText xml:space="preserve"> XE "</w:instrText>
      </w:r>
      <w:r w:rsidRPr="001618A5">
        <w:rPr>
          <w:i/>
        </w:rPr>
        <w:instrText>medium:</w:instrText>
      </w:r>
      <w:r>
        <w:instrText xml:space="preserve">politická věda" </w:instrText>
      </w:r>
      <w:r>
        <w:rPr>
          <w:i/>
        </w:rPr>
        <w:fldChar w:fldCharType="end"/>
      </w:r>
      <w:r w:rsidRPr="00273106">
        <w:t>)</w:t>
      </w:r>
      <w:r>
        <w:t xml:space="preserve"> podle hyparchicky dané kauzality vykonávané v realitě polis </w:t>
      </w:r>
      <w:r w:rsidRPr="00273106">
        <w:t>(</w:t>
      </w:r>
      <w:r w:rsidRPr="08722B7D">
        <w:rPr>
          <w:i/>
        </w:rPr>
        <w:t>regnabile</w:t>
      </w:r>
      <w:r>
        <w:rPr>
          <w:i/>
        </w:rPr>
        <w:fldChar w:fldCharType="begin"/>
      </w:r>
      <w:r>
        <w:instrText xml:space="preserve"> XE "</w:instrText>
      </w:r>
      <w:r w:rsidRPr="001618A5">
        <w:rPr>
          <w:i/>
        </w:rPr>
        <w:instrText>medium:</w:instrText>
      </w:r>
      <w:r>
        <w:instrText xml:space="preserve">politická věda" </w:instrText>
      </w:r>
      <w:r>
        <w:rPr>
          <w:i/>
        </w:rPr>
        <w:fldChar w:fldCharType="end"/>
      </w:r>
      <w:r w:rsidRPr="00273106">
        <w:t xml:space="preserve">). Albertův komentář </w:t>
      </w:r>
      <w:r w:rsidRPr="085F3AFF">
        <w:rPr>
          <w:i/>
        </w:rPr>
        <w:t>Politiky</w:t>
      </w:r>
      <w:r w:rsidRPr="00273106">
        <w:t xml:space="preserve"> na tomto místě výslovně odkazuje na </w:t>
      </w:r>
      <w:r w:rsidRPr="085F3AFF">
        <w:rPr>
          <w:i/>
        </w:rPr>
        <w:t>Etiku Nikomachovu</w:t>
      </w:r>
      <w:r w:rsidRPr="00273106">
        <w:t xml:space="preserve"> </w:t>
      </w:r>
      <w:r>
        <w:t xml:space="preserve">opakovaně </w:t>
      </w:r>
      <w:r w:rsidRPr="00273106">
        <w:t>zmiňující obtížné hledání středu ctnosti vinou našich vášní (</w:t>
      </w:r>
      <w:r w:rsidRPr="00273106">
        <w:rPr>
          <w:i/>
        </w:rPr>
        <w:t>medium invenire difficilimum est</w:t>
      </w:r>
      <w:r w:rsidRPr="00273106">
        <w:t>).</w:t>
      </w:r>
      <w:r w:rsidRPr="00273106">
        <w:rPr>
          <w:rStyle w:val="Znakapoznpodarou"/>
        </w:rPr>
        <w:footnoteReference w:id="565"/>
      </w:r>
      <w:r w:rsidRPr="00273106">
        <w:t xml:space="preserve"> Středovou pozici sylogismu určujícího politické jednání zaujímá zákon a </w:t>
      </w:r>
      <w:r w:rsidRPr="00273106">
        <w:lastRenderedPageBreak/>
        <w:t>individuální praxe. Albert po vzoru Aristotela rozšířil etický zákon o univerzální politický náhled do toho, co je spravedlivé pro v</w:t>
      </w:r>
      <w:r w:rsidR="000E6B90">
        <w:t>šechny svobodné a moudré občany</w:t>
      </w:r>
      <w:r w:rsidRPr="00273106">
        <w:t xml:space="preserve">. </w:t>
      </w:r>
      <w:r>
        <w:t xml:space="preserve">Připomeňme klíčovou větu z Albertova výkladu </w:t>
      </w:r>
      <w:r w:rsidRPr="08A714C6">
        <w:rPr>
          <w:i/>
        </w:rPr>
        <w:t>Etiky</w:t>
      </w:r>
      <w:r>
        <w:t>, která řídí tuto společnou kompozici praktického intelektu (</w:t>
      </w:r>
      <w:r w:rsidRPr="00166188">
        <w:rPr>
          <w:rStyle w:val="addmd"/>
          <w:i/>
        </w:rPr>
        <w:t>practicus intellectus habet formam operativam rei, et per hoc componitur cum re operat</w:t>
      </w:r>
      <w:r w:rsidR="00363AD3">
        <w:rPr>
          <w:rStyle w:val="addmd"/>
          <w:i/>
        </w:rPr>
        <w:t>a</w:t>
      </w:r>
      <w:r w:rsidR="00237F73">
        <w:rPr>
          <w:rStyle w:val="addmd"/>
          <w:i/>
        </w:rPr>
        <w:t xml:space="preserve">, </w:t>
      </w:r>
      <w:r w:rsidR="00237F73" w:rsidRPr="009C5E44">
        <w:rPr>
          <w:rStyle w:val="addmd"/>
        </w:rPr>
        <w:t>kap.</w:t>
      </w:r>
      <w:r w:rsidR="009C5E44">
        <w:rPr>
          <w:rStyle w:val="addmd"/>
        </w:rPr>
        <w:t xml:space="preserve"> 6</w:t>
      </w:r>
      <w:r w:rsidRPr="009C5E44">
        <w:rPr>
          <w:rStyle w:val="addmd"/>
        </w:rPr>
        <w:t>.1</w:t>
      </w:r>
      <w:r>
        <w:t>). Společně komponovaný z</w:t>
      </w:r>
      <w:r w:rsidRPr="00273106">
        <w:t>ákon obce</w:t>
      </w:r>
      <w:r>
        <w:t xml:space="preserve"> je dán jako nová </w:t>
      </w:r>
      <w:r w:rsidR="00F30C3B">
        <w:t>„</w:t>
      </w:r>
      <w:r w:rsidRPr="00766859">
        <w:rPr>
          <w:i/>
        </w:rPr>
        <w:t>res operata</w:t>
      </w:r>
      <w:r w:rsidR="00F30C3B">
        <w:t>“</w:t>
      </w:r>
      <w:r>
        <w:t>. Tato kompozice ukazuje výkon politické racionality</w:t>
      </w:r>
      <w:r w:rsidR="00E327B5">
        <w:t xml:space="preserve">. Ta je ustavena </w:t>
      </w:r>
      <w:r>
        <w:t xml:space="preserve">v rámci kolektivně vykonávaného praktického intelektu skrze </w:t>
      </w:r>
      <w:r w:rsidR="00E327B5">
        <w:t xml:space="preserve">politickou </w:t>
      </w:r>
      <w:r>
        <w:t>praxi svobodných občanů</w:t>
      </w:r>
      <w:r w:rsidRPr="00273106">
        <w:t>.</w:t>
      </w:r>
    </w:p>
    <w:p w:rsidR="08163013" w:rsidRPr="004C35B6" w:rsidRDefault="08163013" w:rsidP="08163013">
      <w:pPr>
        <w:pStyle w:val="Citace"/>
        <w:rPr>
          <w:noProof/>
        </w:rPr>
      </w:pPr>
      <w:r w:rsidRPr="00273106">
        <w:rPr>
          <w:noProof/>
        </w:rPr>
        <w:t>„</w:t>
      </w:r>
      <w:r>
        <w:rPr>
          <w:noProof/>
        </w:rPr>
        <w:t xml:space="preserve">Z toho </w:t>
      </w:r>
      <w:r w:rsidR="00843484">
        <w:rPr>
          <w:noProof/>
          <w:lang w:val="cs-CZ"/>
        </w:rPr>
        <w:t>Aristotel</w:t>
      </w:r>
      <w:r w:rsidR="00E17629">
        <w:rPr>
          <w:noProof/>
          <w:lang w:val="cs-CZ"/>
        </w:rPr>
        <w:t>e</w:t>
      </w:r>
      <w:r w:rsidR="00843484">
        <w:rPr>
          <w:noProof/>
          <w:lang w:val="cs-CZ"/>
        </w:rPr>
        <w:t xml:space="preserve">s </w:t>
      </w:r>
      <w:r>
        <w:rPr>
          <w:noProof/>
        </w:rPr>
        <w:t>vyvodil</w:t>
      </w:r>
      <w:r w:rsidR="00A233E9">
        <w:rPr>
          <w:noProof/>
          <w:lang w:val="cs-CZ"/>
        </w:rPr>
        <w:t xml:space="preserve"> následující výrok</w:t>
      </w:r>
      <w:r>
        <w:rPr>
          <w:noProof/>
        </w:rPr>
        <w:t xml:space="preserve">: 'Je zřejmé, že pokud občané hledají spravedlnost, hledají středovou pozici'. Jak je řečeno v </w:t>
      </w:r>
      <w:r w:rsidRPr="08A714C6">
        <w:rPr>
          <w:i/>
          <w:noProof/>
        </w:rPr>
        <w:t>Etice Nikomachově</w:t>
      </w:r>
      <w:r>
        <w:rPr>
          <w:noProof/>
        </w:rPr>
        <w:t xml:space="preserve">: 'Najít středovou pozici je to nejtěžší, a naopak je nejsnadnější se od ní odchýlit.' Stejně to platí o uchopení zákona. Proto říká, že zákon je oním středem, když praví: 'Zákon je tento střed.' Pokud se určí, co je spravedlivé, pak je nalezena i středová pozice. A spravedlnost existuje ve středu jednání, jak praví pátá kniha </w:t>
      </w:r>
      <w:r w:rsidRPr="08A714C6">
        <w:rPr>
          <w:i/>
          <w:noProof/>
        </w:rPr>
        <w:t>Etiky Nikomachovy</w:t>
      </w:r>
      <w:r>
        <w:rPr>
          <w:noProof/>
        </w:rPr>
        <w:t>.“ </w:t>
      </w:r>
      <w:r>
        <w:rPr>
          <w:rStyle w:val="Znakapoznpodarou"/>
        </w:rPr>
        <w:footnoteReference w:id="566"/>
      </w:r>
    </w:p>
    <w:p w:rsidR="00E1133A" w:rsidRDefault="08163013" w:rsidP="08163013">
      <w:r w:rsidRPr="00273106">
        <w:t>Univerzálním středem politického života je společně hledaná spravedlnost (</w:t>
      </w:r>
      <w:r w:rsidRPr="00273106">
        <w:rPr>
          <w:i/>
        </w:rPr>
        <w:t>justum quaerentes</w:t>
      </w:r>
      <w:r w:rsidRPr="00273106">
        <w:t xml:space="preserve">). </w:t>
      </w:r>
      <w:r>
        <w:t xml:space="preserve">Zavedením pojmu </w:t>
      </w:r>
      <w:r w:rsidR="00F175BB">
        <w:t>„</w:t>
      </w:r>
      <w:r w:rsidRPr="08CC52B0">
        <w:rPr>
          <w:i/>
        </w:rPr>
        <w:t>justum</w:t>
      </w:r>
      <w:r w:rsidR="00F175BB">
        <w:t>“</w:t>
      </w:r>
      <w:r>
        <w:t xml:space="preserve"> se změnil předmět politiky od rodově odlišné</w:t>
      </w:r>
      <w:r w:rsidR="00F175BB">
        <w:t xml:space="preserve"> </w:t>
      </w:r>
      <w:r>
        <w:t>etiky</w:t>
      </w:r>
      <w:r w:rsidR="00F175BB">
        <w:t xml:space="preserve"> založené na </w:t>
      </w:r>
      <w:r>
        <w:t xml:space="preserve">pojmu </w:t>
      </w:r>
      <w:r w:rsidR="00F175BB">
        <w:t>„</w:t>
      </w:r>
      <w:r w:rsidRPr="08CC52B0">
        <w:rPr>
          <w:i/>
        </w:rPr>
        <w:t>bonum</w:t>
      </w:r>
      <w:r w:rsidR="00F175BB">
        <w:t>“</w:t>
      </w:r>
      <w:r>
        <w:t xml:space="preserve">. </w:t>
      </w:r>
      <w:r w:rsidRPr="00273106">
        <w:t>Spravedlnost ve smyslu hledaného středu politického jednání jsou schopni vykonávat ti, kteří znají zákony (</w:t>
      </w:r>
      <w:r w:rsidRPr="00273106">
        <w:rPr>
          <w:i/>
        </w:rPr>
        <w:t>scientem leges</w:t>
      </w:r>
      <w:r w:rsidRPr="00273106">
        <w:t xml:space="preserve">). </w:t>
      </w:r>
      <w:r w:rsidR="00371C79">
        <w:t>Z</w:t>
      </w:r>
      <w:r w:rsidRPr="00273106">
        <w:t xml:space="preserve">ákon </w:t>
      </w:r>
      <w:r w:rsidR="00371C79">
        <w:t>určuje spravedlnost p</w:t>
      </w:r>
      <w:r w:rsidRPr="00273106">
        <w:t>ro všechny občany</w:t>
      </w:r>
      <w:r w:rsidR="00371C79">
        <w:t>,</w:t>
      </w:r>
      <w:r w:rsidRPr="00273106">
        <w:t xml:space="preserve"> </w:t>
      </w:r>
      <w:r w:rsidR="00371C79">
        <w:t xml:space="preserve">a tím </w:t>
      </w:r>
      <w:r w:rsidRPr="00273106">
        <w:t>tvoří politický střed jednání (</w:t>
      </w:r>
      <w:r w:rsidRPr="00273106">
        <w:rPr>
          <w:i/>
        </w:rPr>
        <w:t>determinando enim justum, determinat et medium</w:t>
      </w:r>
      <w:r>
        <w:rPr>
          <w:i/>
        </w:rPr>
        <w:fldChar w:fldCharType="begin"/>
      </w:r>
      <w:r>
        <w:instrText xml:space="preserve"> XE "</w:instrText>
      </w:r>
      <w:r w:rsidRPr="001618A5">
        <w:rPr>
          <w:i/>
        </w:rPr>
        <w:instrText>medium:</w:instrText>
      </w:r>
      <w:r w:rsidRPr="00B77E3A">
        <w:instrText>zákon obce</w:instrText>
      </w:r>
      <w:r>
        <w:instrText xml:space="preserve">" </w:instrText>
      </w:r>
      <w:r>
        <w:rPr>
          <w:i/>
        </w:rPr>
        <w:fldChar w:fldCharType="end"/>
      </w:r>
      <w:r w:rsidRPr="00273106">
        <w:t xml:space="preserve">). Citát výslovně poznamenává odkazem na originální text </w:t>
      </w:r>
      <w:r w:rsidRPr="08BE47FB">
        <w:rPr>
          <w:i/>
        </w:rPr>
        <w:t>Politiky</w:t>
      </w:r>
      <w:r w:rsidRPr="00273106">
        <w:t xml:space="preserve">, že </w:t>
      </w:r>
      <w:r w:rsidR="00EA0AC6" w:rsidRPr="00273106">
        <w:t xml:space="preserve">zákon </w:t>
      </w:r>
      <w:r w:rsidR="00EA0AC6">
        <w:t xml:space="preserve">je </w:t>
      </w:r>
      <w:r w:rsidRPr="00273106">
        <w:t>střed hledání spravedlnosti na univerzální rovině (</w:t>
      </w:r>
      <w:r w:rsidRPr="00273106">
        <w:rPr>
          <w:i/>
        </w:rPr>
        <w:t>lex enim ipsum medium</w:t>
      </w:r>
      <w:r w:rsidRPr="00273106">
        <w:t xml:space="preserve">). </w:t>
      </w:r>
      <w:r w:rsidR="00EA0AC6" w:rsidRPr="00EA0AC6">
        <w:t>Zákon politického těl</w:t>
      </w:r>
      <w:r w:rsidR="00EA0AC6">
        <w:t>es</w:t>
      </w:r>
      <w:r w:rsidR="00EA0AC6" w:rsidRPr="00EA0AC6">
        <w:t xml:space="preserve">a se liší od praktického etického sylogismu, protože jeho středem je jednající osoba. </w:t>
      </w:r>
      <w:r w:rsidR="00E1076A">
        <w:t>Svobodní občan</w:t>
      </w:r>
      <w:r>
        <w:t>é jsou si sami sobě zákonem jen tehdy, pokud tento zákon obce tvoří jako společné dílo politické komunity. Pak jsou vázáni svou vlastní kolektivně a svobodně danou racionalitou, která tvoří politický</w:t>
      </w:r>
      <w:r w:rsidRPr="08043E1E">
        <w:t xml:space="preserve"> </w:t>
      </w:r>
      <w:r>
        <w:t xml:space="preserve">střed jejich občanského jednání, a ne pouze etický střed jejich osobního jednání. </w:t>
      </w:r>
      <w:r w:rsidRPr="00273106">
        <w:t>Toto určen</w:t>
      </w:r>
      <w:r>
        <w:t xml:space="preserve">í politického zákona založilo </w:t>
      </w:r>
      <w:r w:rsidRPr="00273106">
        <w:t>novou extenzi teoretického intelektu do praktického determinující nikoliv morálku jednotlivce, ale politické jednání celé obce a státu</w:t>
      </w:r>
      <w:r>
        <w:rPr>
          <w:snapToGrid w:val="0"/>
        </w:rPr>
        <w:t xml:space="preserve">. </w:t>
      </w:r>
      <w:r w:rsidR="00E1076A" w:rsidRPr="00E1076A">
        <w:t>Sigerův teoretický intelekt (</w:t>
      </w:r>
      <w:r w:rsidR="00E1076A" w:rsidRPr="00E1076A">
        <w:rPr>
          <w:i/>
        </w:rPr>
        <w:t>homo ipse intelligit</w:t>
      </w:r>
      <w:r w:rsidR="00E1076A" w:rsidRPr="00E1076A">
        <w:t xml:space="preserve">), který byl vázán na osobu, přešel nejprve do etické činnosti </w:t>
      </w:r>
      <w:r w:rsidR="00E1076A">
        <w:t xml:space="preserve">osoby </w:t>
      </w:r>
      <w:r w:rsidR="00E1076A" w:rsidRPr="00E1076A">
        <w:t xml:space="preserve">a poté do </w:t>
      </w:r>
      <w:r w:rsidR="00E1076A" w:rsidRPr="00E1076A">
        <w:lastRenderedPageBreak/>
        <w:t>politické činnosti zákonodárných a zákony dodržujících občanů. N</w:t>
      </w:r>
      <w:r w:rsidRPr="00E1076A">
        <w:t>yní je tato</w:t>
      </w:r>
      <w:r>
        <w:rPr>
          <w:snapToGrid w:val="0"/>
        </w:rPr>
        <w:t xml:space="preserve"> racionalita kauzálně </w:t>
      </w:r>
      <w:r w:rsidR="00E1076A">
        <w:rPr>
          <w:snapToGrid w:val="0"/>
        </w:rPr>
        <w:t>vykonávána skrze zákon jako střed</w:t>
      </w:r>
      <w:r>
        <w:rPr>
          <w:snapToGrid w:val="0"/>
        </w:rPr>
        <w:t xml:space="preserve"> obce </w:t>
      </w:r>
      <w:r w:rsidRPr="00273106">
        <w:t>(</w:t>
      </w:r>
      <w:r w:rsidRPr="00273106">
        <w:rPr>
          <w:i/>
        </w:rPr>
        <w:t>lex enim ipsum medium</w:t>
      </w:r>
      <w:r w:rsidRPr="00273106">
        <w:t>)</w:t>
      </w:r>
      <w:r>
        <w:rPr>
          <w:snapToGrid w:val="0"/>
        </w:rPr>
        <w:t xml:space="preserve">. Zákon je v politické komunitě účinný tím, že jej politicky tvoří, brání a prosazují spravedliví občané. </w:t>
      </w:r>
      <w:r>
        <w:t>Albert netvrdí jako Claude Lefort</w:t>
      </w:r>
      <w:r w:rsidR="00196CFB">
        <w:fldChar w:fldCharType="begin"/>
      </w:r>
      <w:r w:rsidR="00196CFB">
        <w:instrText xml:space="preserve"> XE "</w:instrText>
      </w:r>
      <w:r w:rsidR="00196CFB" w:rsidRPr="00AA6FE8">
        <w:instrText>Lefort, C.</w:instrText>
      </w:r>
      <w:r w:rsidR="00196CFB">
        <w:instrText xml:space="preserve">" </w:instrText>
      </w:r>
      <w:r w:rsidR="00196CFB">
        <w:fldChar w:fldCharType="end"/>
      </w:r>
      <w:r>
        <w:t xml:space="preserve"> ve věku metafyzického nihilismu, že střed moci je prázdný.</w:t>
      </w:r>
      <w:r w:rsidRPr="00273106">
        <w:rPr>
          <w:rStyle w:val="Znakapoznpodarou"/>
        </w:rPr>
        <w:footnoteReference w:id="567"/>
      </w:r>
      <w:r>
        <w:t xml:space="preserve"> Modernista Lefort absolutizoval aporii </w:t>
      </w:r>
      <w:r w:rsidRPr="089C4AE2">
        <w:rPr>
          <w:i/>
        </w:rPr>
        <w:t>Politiky</w:t>
      </w:r>
      <w:r>
        <w:t xml:space="preserve"> ohledně </w:t>
      </w:r>
      <w:r w:rsidRPr="00273106">
        <w:t xml:space="preserve">politické moci </w:t>
      </w:r>
      <w:r>
        <w:t xml:space="preserve">dané způsobem vlády </w:t>
      </w:r>
      <w:r w:rsidRPr="00273106">
        <w:t>(</w:t>
      </w:r>
      <w:r w:rsidRPr="08304060">
        <w:t>ἔστι δὲ ἀπορία τις</w:t>
      </w:r>
      <w:r>
        <w:rPr>
          <w:i/>
        </w:rPr>
        <w:t xml:space="preserve">, </w:t>
      </w:r>
      <w:r w:rsidRPr="007A204E">
        <w:rPr>
          <w:i/>
        </w:rPr>
        <w:t>Pol</w:t>
      </w:r>
      <w:r w:rsidRPr="00273106">
        <w:t xml:space="preserve">. </w:t>
      </w:r>
      <w:r>
        <w:t>1283b13</w:t>
      </w:r>
      <w:r>
        <w:fldChar w:fldCharType="begin"/>
      </w:r>
      <w:r>
        <w:instrText xml:space="preserve"> XE "Aristoteles:</w:instrText>
      </w:r>
      <w:r w:rsidRPr="007A204E">
        <w:rPr>
          <w:i/>
        </w:rPr>
        <w:instrText>Pol</w:instrText>
      </w:r>
      <w:r>
        <w:instrText xml:space="preserve">. 1283b13" </w:instrText>
      </w:r>
      <w:r>
        <w:fldChar w:fldCharType="end"/>
      </w:r>
      <w:r>
        <w:t xml:space="preserve">) a zapomněl kriticky zkoumat její zakládající kauzalitu, což naopak provedla aristotelička Arendová. Albert by namítl, že Lefortovo pojetí </w:t>
      </w:r>
      <w:r w:rsidR="0030314C">
        <w:t xml:space="preserve">chybně </w:t>
      </w:r>
      <w:r>
        <w:t>zkoumá smysl politické racionality jako takové</w:t>
      </w:r>
      <w:r w:rsidR="00EA5343">
        <w:t xml:space="preserve"> (</w:t>
      </w:r>
      <w:r w:rsidR="00EA5343" w:rsidRPr="00EA5343">
        <w:rPr>
          <w:i/>
        </w:rPr>
        <w:t>regnabile</w:t>
      </w:r>
      <w:r w:rsidR="00EA5343">
        <w:t>)</w:t>
      </w:r>
      <w:r>
        <w:t xml:space="preserve">, </w:t>
      </w:r>
      <w:r w:rsidR="00343286">
        <w:t xml:space="preserve">protože </w:t>
      </w:r>
      <w:r>
        <w:t xml:space="preserve">vidí pouze </w:t>
      </w:r>
      <w:r w:rsidR="00EA5343">
        <w:t xml:space="preserve">externí reprezentaci moci </w:t>
      </w:r>
      <w:r>
        <w:t>(</w:t>
      </w:r>
      <w:r w:rsidRPr="00213519">
        <w:rPr>
          <w:i/>
        </w:rPr>
        <w:t>r</w:t>
      </w:r>
      <w:r w:rsidR="00EA5343">
        <w:rPr>
          <w:i/>
        </w:rPr>
        <w:t>egnativus</w:t>
      </w:r>
      <w:r>
        <w:t xml:space="preserve">). Střed politické moci v prvním averroismu existuje v modu </w:t>
      </w:r>
      <w:r w:rsidR="00233D52">
        <w:t xml:space="preserve">autonomní </w:t>
      </w:r>
      <w:r>
        <w:t>kau</w:t>
      </w:r>
      <w:r w:rsidR="00233D52">
        <w:t>zality, která naven působí skrze p</w:t>
      </w:r>
      <w:r>
        <w:t xml:space="preserve">olitickou racionalitu. Vědecká politická filosofie musí tento střed definovat proto, že existuje reálná politická kauzalita </w:t>
      </w:r>
      <w:r w:rsidR="00E1133A">
        <w:t>založená na reálné svobodě občanů</w:t>
      </w:r>
      <w:r>
        <w:t>. Filosofické myšlení musí pravdivě a vědecky přesně definovat všechny významné lidské záležitosti, protože jsou dány na úrovni osob j</w:t>
      </w:r>
      <w:r w:rsidR="00E1133A">
        <w:t>ako reálných prvních substancí.</w:t>
      </w:r>
    </w:p>
    <w:p w:rsidR="08163013" w:rsidRPr="009B4716" w:rsidRDefault="00E1133A" w:rsidP="00BC0585">
      <w:pPr>
        <w:ind w:firstLine="397"/>
      </w:pPr>
      <w:r>
        <w:t>P</w:t>
      </w:r>
      <w:r w:rsidR="08163013">
        <w:t>rvní averroismus Sicilské školy vytvořil okolo roku 1265 politickou filosofii jako kriticky založenou vědu zkoumající politickou formu praktického intelektu</w:t>
      </w:r>
      <w:r>
        <w:t xml:space="preserve">. </w:t>
      </w:r>
      <w:r w:rsidR="08163013">
        <w:t>Toledská škola reprezentovaná Akvinským</w:t>
      </w:r>
      <w:r w:rsidR="008E03EA">
        <w:t xml:space="preserve"> nebyla </w:t>
      </w:r>
      <w:r>
        <w:t>schopna tento úkol provést</w:t>
      </w:r>
      <w:r w:rsidR="08163013">
        <w:t>. Střed moci má svou vlastní racionalitu danou skrze politicky vykonávaný praktický intelekt (</w:t>
      </w:r>
      <w:r w:rsidR="08163013" w:rsidRPr="00213519">
        <w:rPr>
          <w:i/>
        </w:rPr>
        <w:t>regnabile</w:t>
      </w:r>
      <w:r w:rsidR="08163013">
        <w:fldChar w:fldCharType="begin"/>
      </w:r>
      <w:r w:rsidR="08163013">
        <w:instrText xml:space="preserve"> XE "politická věda:</w:instrText>
      </w:r>
      <w:r w:rsidR="08163013" w:rsidRPr="009D5AFF">
        <w:rPr>
          <w:i/>
        </w:rPr>
        <w:instrText>regnabile</w:instrText>
      </w:r>
      <w:r w:rsidR="08163013">
        <w:instrText xml:space="preserve">" </w:instrText>
      </w:r>
      <w:r w:rsidR="08163013">
        <w:fldChar w:fldCharType="end"/>
      </w:r>
      <w:r w:rsidR="08163013">
        <w:t>).</w:t>
      </w:r>
      <w:r w:rsidR="08163013" w:rsidRPr="00273106">
        <w:t xml:space="preserve"> </w:t>
      </w:r>
      <w:r w:rsidR="009B4716" w:rsidRPr="009B4716">
        <w:t>Politické režimy se mohou měnit, protože sekundární účinky této zák</w:t>
      </w:r>
      <w:r w:rsidR="009B4716">
        <w:t>ladní kauzality jsou na úrovni „</w:t>
      </w:r>
      <w:r w:rsidR="009B4716">
        <w:rPr>
          <w:i/>
          <w:iCs/>
        </w:rPr>
        <w:t>regnativum</w:t>
      </w:r>
      <w:r w:rsidR="009B4716">
        <w:rPr>
          <w:iCs/>
        </w:rPr>
        <w:t>“</w:t>
      </w:r>
      <w:r w:rsidR="009B4716" w:rsidRPr="009B4716">
        <w:t>.</w:t>
      </w:r>
      <w:r w:rsidR="009B4716">
        <w:t xml:space="preserve"> </w:t>
      </w:r>
      <w:r w:rsidR="08163013" w:rsidRPr="00273106">
        <w:t xml:space="preserve">Nyní je třeba najít střední člen soudu </w:t>
      </w:r>
      <w:r w:rsidR="08163013">
        <w:t>v politickém</w:t>
      </w:r>
      <w:r w:rsidR="08163013" w:rsidRPr="00273106">
        <w:t xml:space="preserve"> sylogismu, jenž kategoriálně predikuje singulární kauzalitu </w:t>
      </w:r>
      <w:r w:rsidR="00FF1F1F">
        <w:t xml:space="preserve">občanů jako </w:t>
      </w:r>
      <w:r w:rsidR="08163013" w:rsidRPr="00273106">
        <w:t>první</w:t>
      </w:r>
      <w:r w:rsidR="00FF1F1F">
        <w:t>ch substancí</w:t>
      </w:r>
      <w:r w:rsidR="08163013" w:rsidRPr="00273106">
        <w:t xml:space="preserve">. </w:t>
      </w:r>
      <w:r w:rsidR="00F70A13" w:rsidRPr="00F70A13">
        <w:t>Univerzální hlavní premisa je dána jako zákon obce; ale v platném deduktivním důkazu je střední premisa nejdůležitější, protož</w:t>
      </w:r>
      <w:r w:rsidR="00F70A13">
        <w:t xml:space="preserve">e přináší do </w:t>
      </w:r>
      <w:r w:rsidR="00F70A13" w:rsidRPr="00F70A13">
        <w:t>důkazu</w:t>
      </w:r>
      <w:r w:rsidR="00F70A13">
        <w:t xml:space="preserve"> reálnou kauzalitu</w:t>
      </w:r>
      <w:r w:rsidR="00F70A13" w:rsidRPr="00F70A13">
        <w:t>.</w:t>
      </w:r>
      <w:r w:rsidR="00F70A13">
        <w:t xml:space="preserve"> </w:t>
      </w:r>
      <w:r w:rsidR="08163013" w:rsidRPr="00273106">
        <w:t>Pouze praktický intelekt má vlastní kauzalitu danou ze svobodné vůle (</w:t>
      </w:r>
      <w:r w:rsidR="08163013" w:rsidRPr="00273106">
        <w:rPr>
          <w:i/>
        </w:rPr>
        <w:t>liber est et causa sui</w:t>
      </w:r>
      <w:r w:rsidR="08163013" w:rsidRPr="00273106">
        <w:t>).</w:t>
      </w:r>
      <w:r w:rsidR="08163013" w:rsidRPr="00273106">
        <w:rPr>
          <w:rStyle w:val="Znakapoznpodarou"/>
        </w:rPr>
        <w:footnoteReference w:id="568"/>
      </w:r>
      <w:r w:rsidR="08163013" w:rsidRPr="00273106">
        <w:t xml:space="preserve"> </w:t>
      </w:r>
      <w:r w:rsidR="00BC0585" w:rsidRPr="00BC0585">
        <w:t xml:space="preserve">Komentář k </w:t>
      </w:r>
      <w:r w:rsidR="00BC0585">
        <w:rPr>
          <w:i/>
          <w:iCs/>
        </w:rPr>
        <w:lastRenderedPageBreak/>
        <w:t>P</w:t>
      </w:r>
      <w:r w:rsidR="00BC0585" w:rsidRPr="00BC0585">
        <w:rPr>
          <w:i/>
          <w:iCs/>
        </w:rPr>
        <w:t>olitice</w:t>
      </w:r>
      <w:r w:rsidR="00BC0585" w:rsidRPr="00BC0585">
        <w:t xml:space="preserve"> navazuje na předchozí komentář k </w:t>
      </w:r>
      <w:r w:rsidR="00BC0585">
        <w:rPr>
          <w:i/>
          <w:iCs/>
        </w:rPr>
        <w:t>E</w:t>
      </w:r>
      <w:r w:rsidR="00BC0585" w:rsidRPr="00BC0585">
        <w:rPr>
          <w:i/>
          <w:iCs/>
        </w:rPr>
        <w:t>tice</w:t>
      </w:r>
      <w:r w:rsidR="00BC0585" w:rsidRPr="00BC0585">
        <w:t xml:space="preserve"> a obhajuje praktický intelekt. Prostřední článek etického sylogismu je určen kauzalitou, kterou uplatňuj</w:t>
      </w:r>
      <w:r w:rsidR="00BC0585">
        <w:t xml:space="preserve">e praktický intelekt. </w:t>
      </w:r>
      <w:r w:rsidR="08163013" w:rsidRPr="00273106">
        <w:t xml:space="preserve">Svobodný člověk </w:t>
      </w:r>
      <w:r w:rsidR="08163013">
        <w:t xml:space="preserve">jako politicky jednající občan </w:t>
      </w:r>
      <w:r w:rsidR="08163013" w:rsidRPr="00273106">
        <w:t>není nikomu poddaný ve smyslu instrumentální závislosti na cizím rozhodování, a proto je suverénním zdrojem vlastního jednání (</w:t>
      </w:r>
      <w:r w:rsidR="08163013" w:rsidRPr="00273106">
        <w:rPr>
          <w:i/>
        </w:rPr>
        <w:t>causa sui</w:t>
      </w:r>
      <w:r w:rsidR="08163013">
        <w:rPr>
          <w:i/>
        </w:rPr>
        <w:fldChar w:fldCharType="begin"/>
      </w:r>
      <w:r w:rsidR="08163013">
        <w:instrText xml:space="preserve"> XE "osoba:</w:instrText>
      </w:r>
      <w:r w:rsidR="08163013" w:rsidRPr="003D49E2">
        <w:rPr>
          <w:i/>
        </w:rPr>
        <w:instrText>causa sui</w:instrText>
      </w:r>
      <w:r w:rsidR="08163013">
        <w:instrText xml:space="preserve">" </w:instrText>
      </w:r>
      <w:r w:rsidR="08163013">
        <w:rPr>
          <w:i/>
        </w:rPr>
        <w:fldChar w:fldCharType="end"/>
      </w:r>
      <w:r w:rsidR="08163013" w:rsidRPr="00273106">
        <w:t xml:space="preserve">). </w:t>
      </w:r>
      <w:r w:rsidR="00E56C7E" w:rsidRPr="00273106">
        <w:t>Albert ví z </w:t>
      </w:r>
      <w:r w:rsidR="00E56C7E" w:rsidRPr="08450EF8">
        <w:rPr>
          <w:i/>
        </w:rPr>
        <w:t>Metafyziky</w:t>
      </w:r>
      <w:r w:rsidR="00E56C7E" w:rsidRPr="00273106">
        <w:t xml:space="preserve"> a z </w:t>
      </w:r>
      <w:r w:rsidR="00E56C7E" w:rsidRPr="08450EF8">
        <w:rPr>
          <w:i/>
        </w:rPr>
        <w:t>Etiky</w:t>
      </w:r>
      <w:r w:rsidR="00E56C7E" w:rsidRPr="00273106">
        <w:t xml:space="preserve">, že pouze </w:t>
      </w:r>
      <w:r w:rsidR="00E56C7E">
        <w:t xml:space="preserve">politicky </w:t>
      </w:r>
      <w:r w:rsidR="00E56C7E" w:rsidRPr="00273106">
        <w:t xml:space="preserve">svobodný člověk je </w:t>
      </w:r>
      <w:r w:rsidR="00E56C7E" w:rsidRPr="00273106">
        <w:rPr>
          <w:i/>
        </w:rPr>
        <w:t>causa sui</w:t>
      </w:r>
      <w:r w:rsidR="00E56C7E" w:rsidRPr="00273106">
        <w:t xml:space="preserve"> (ἐλεύθερος ὁ αὑτοῦ ἕνεκα, </w:t>
      </w:r>
      <w:r w:rsidR="00E56C7E" w:rsidRPr="00273106">
        <w:rPr>
          <w:i/>
        </w:rPr>
        <w:t>Met</w:t>
      </w:r>
      <w:r w:rsidR="00E56C7E" w:rsidRPr="00273106">
        <w:t>. 982b26</w:t>
      </w:r>
      <w:r w:rsidR="00E56C7E">
        <w:fldChar w:fldCharType="begin"/>
      </w:r>
      <w:r w:rsidR="00E56C7E">
        <w:instrText xml:space="preserve"> XE "Aristoteles:</w:instrText>
      </w:r>
      <w:r w:rsidR="00E56C7E" w:rsidRPr="00741779">
        <w:rPr>
          <w:i/>
        </w:rPr>
        <w:instrText>Met</w:instrText>
      </w:r>
      <w:r w:rsidR="00E56C7E" w:rsidRPr="00741779">
        <w:instrText>. 982b26</w:instrText>
      </w:r>
      <w:r w:rsidR="00E56C7E">
        <w:instrText xml:space="preserve">" </w:instrText>
      </w:r>
      <w:r w:rsidR="00E56C7E">
        <w:fldChar w:fldCharType="end"/>
      </w:r>
      <w:r w:rsidR="00E56C7E" w:rsidRPr="00273106">
        <w:t xml:space="preserve">). </w:t>
      </w:r>
      <w:r w:rsidR="08163013">
        <w:t xml:space="preserve">Komentář </w:t>
      </w:r>
      <w:r w:rsidR="08163013" w:rsidRPr="08CC3E26">
        <w:rPr>
          <w:i/>
        </w:rPr>
        <w:t>Politiky</w:t>
      </w:r>
      <w:r w:rsidR="08163013">
        <w:t xml:space="preserve"> </w:t>
      </w:r>
      <w:r w:rsidR="08163013" w:rsidRPr="00273106">
        <w:t xml:space="preserve">rozšiřuje kauzalitu praktického intelektu </w:t>
      </w:r>
      <w:r w:rsidR="08163013">
        <w:t xml:space="preserve">daného v </w:t>
      </w:r>
      <w:r w:rsidR="08163013" w:rsidRPr="08CE0972">
        <w:rPr>
          <w:i/>
        </w:rPr>
        <w:t>Etice</w:t>
      </w:r>
      <w:r w:rsidR="08163013">
        <w:t xml:space="preserve"> </w:t>
      </w:r>
      <w:r w:rsidR="08163013" w:rsidRPr="00273106">
        <w:t>na politické jednání svobodných občanů.</w:t>
      </w:r>
      <w:r w:rsidR="08163013" w:rsidRPr="00F6431D">
        <w:t xml:space="preserve"> </w:t>
      </w:r>
      <w:r w:rsidR="08163013">
        <w:t xml:space="preserve">Aristoteles a po něm Albert dává nejvyšší prioritu svobodné existenci občanů dané jejich politickou aktivitou. Občanské společenství založené </w:t>
      </w:r>
      <w:r w:rsidR="00D84E06">
        <w:t xml:space="preserve">na </w:t>
      </w:r>
      <w:r w:rsidR="08163013">
        <w:t xml:space="preserve">spravedlnosti překračuje etické určení </w:t>
      </w:r>
      <w:r w:rsidR="00D84E06">
        <w:t xml:space="preserve">osoby díky racionalitě vytvořené na základě </w:t>
      </w:r>
      <w:r w:rsidR="08163013">
        <w:t>společně realizované svobody.</w:t>
      </w:r>
    </w:p>
    <w:p w:rsidR="08163013" w:rsidRDefault="08163013" w:rsidP="08163013">
      <w:pPr>
        <w:pStyle w:val="Citace"/>
        <w:rPr>
          <w:noProof/>
          <w:lang w:val="cs-CZ"/>
        </w:rPr>
      </w:pPr>
      <w:r w:rsidRPr="00273106">
        <w:rPr>
          <w:noProof/>
          <w:lang w:val="cs-CZ"/>
        </w:rPr>
        <w:t>„</w:t>
      </w:r>
      <w:r>
        <w:rPr>
          <w:noProof/>
          <w:lang w:val="cs-CZ"/>
        </w:rPr>
        <w:t xml:space="preserve">Aristoteles to zdůvodňuje tím, že </w:t>
      </w:r>
      <w:r w:rsidR="00D84E06">
        <w:rPr>
          <w:rFonts w:cs="Calibri"/>
          <w:noProof/>
          <w:lang w:val="cs-CZ"/>
        </w:rPr>
        <w:t>«</w:t>
      </w:r>
      <w:r w:rsidR="00D84E06" w:rsidRPr="00D84E06">
        <w:rPr>
          <w:noProof/>
          <w:lang w:val="cs-CZ"/>
        </w:rPr>
        <w:t>občané považují existenci svobodných lidí založenou na politice za n</w:t>
      </w:r>
      <w:r w:rsidR="00D84E06">
        <w:rPr>
          <w:noProof/>
          <w:lang w:val="cs-CZ"/>
        </w:rPr>
        <w:t>ejlepší volbu ze všech možností</w:t>
      </w:r>
      <w:r w:rsidR="00D84E06">
        <w:rPr>
          <w:rFonts w:cs="Calibri"/>
          <w:noProof/>
          <w:lang w:val="cs-CZ"/>
        </w:rPr>
        <w:t>»</w:t>
      </w:r>
      <w:r>
        <w:rPr>
          <w:noProof/>
          <w:lang w:val="cs-CZ"/>
        </w:rPr>
        <w:t xml:space="preserve"> (</w:t>
      </w:r>
      <w:r w:rsidRPr="00273106">
        <w:rPr>
          <w:i/>
          <w:noProof/>
        </w:rPr>
        <w:t>alteram quamdam esse a politica, et omnium esse eligibilissimam</w:t>
      </w:r>
      <w:r>
        <w:rPr>
          <w:noProof/>
          <w:lang w:val="cs-CZ"/>
        </w:rPr>
        <w:t>). To znamená, že považují existenci</w:t>
      </w:r>
      <w:r w:rsidR="00537D46">
        <w:rPr>
          <w:noProof/>
          <w:lang w:val="cs-CZ"/>
        </w:rPr>
        <w:t xml:space="preserve"> svobodných občanů</w:t>
      </w:r>
      <w:r w:rsidR="000F02CF">
        <w:rPr>
          <w:noProof/>
          <w:lang w:val="cs-CZ"/>
        </w:rPr>
        <w:t xml:space="preserve"> za </w:t>
      </w:r>
      <w:r w:rsidR="00A004BC">
        <w:rPr>
          <w:noProof/>
          <w:lang w:val="cs-CZ"/>
        </w:rPr>
        <w:t xml:space="preserve">nejlepší </w:t>
      </w:r>
      <w:r w:rsidR="000F02CF">
        <w:rPr>
          <w:noProof/>
          <w:lang w:val="cs-CZ"/>
        </w:rPr>
        <w:t>způsob života. S</w:t>
      </w:r>
      <w:r w:rsidR="00A004BC">
        <w:rPr>
          <w:noProof/>
          <w:lang w:val="cs-CZ"/>
        </w:rPr>
        <w:t>vobodn</w:t>
      </w:r>
      <w:r w:rsidR="000F02CF">
        <w:rPr>
          <w:noProof/>
          <w:lang w:val="cs-CZ"/>
        </w:rPr>
        <w:t xml:space="preserve">ý </w:t>
      </w:r>
      <w:r w:rsidR="00A004BC">
        <w:rPr>
          <w:noProof/>
          <w:lang w:val="cs-CZ"/>
        </w:rPr>
        <w:t xml:space="preserve">člověk </w:t>
      </w:r>
      <w:r>
        <w:rPr>
          <w:noProof/>
          <w:lang w:val="cs-CZ"/>
        </w:rPr>
        <w:t>není nikomu podřízen a je příčinou svého vlastního jednání (</w:t>
      </w:r>
      <w:r w:rsidR="004177F2" w:rsidRPr="00BA541E">
        <w:rPr>
          <w:i/>
          <w:noProof/>
          <w:lang w:val="cs-CZ"/>
        </w:rPr>
        <w:t>est</w:t>
      </w:r>
      <w:r w:rsidR="004177F2">
        <w:rPr>
          <w:i/>
          <w:noProof/>
          <w:lang w:val="cs-CZ"/>
        </w:rPr>
        <w:t xml:space="preserve"> causa sui</w:t>
      </w:r>
      <w:r>
        <w:rPr>
          <w:noProof/>
          <w:lang w:val="cs-CZ"/>
        </w:rPr>
        <w:t>). Proto Aristoteles praví, že ti, kdo takto ch</w:t>
      </w:r>
      <w:r w:rsidR="009E52E2">
        <w:rPr>
          <w:noProof/>
          <w:lang w:val="cs-CZ"/>
        </w:rPr>
        <w:t>arakterizují politiku</w:t>
      </w:r>
      <w:r>
        <w:rPr>
          <w:noProof/>
          <w:lang w:val="cs-CZ"/>
        </w:rPr>
        <w:t xml:space="preserve">, </w:t>
      </w:r>
      <w:r w:rsidR="009E52E2">
        <w:rPr>
          <w:noProof/>
          <w:lang w:val="cs-CZ"/>
        </w:rPr>
        <w:t xml:space="preserve">to dělají </w:t>
      </w:r>
      <w:r>
        <w:rPr>
          <w:noProof/>
          <w:lang w:val="cs-CZ"/>
        </w:rPr>
        <w:t>nejlepší</w:t>
      </w:r>
      <w:r w:rsidR="009E52E2">
        <w:rPr>
          <w:noProof/>
          <w:lang w:val="cs-CZ"/>
        </w:rPr>
        <w:t>m způsobem</w:t>
      </w:r>
      <w:r>
        <w:rPr>
          <w:noProof/>
          <w:lang w:val="cs-CZ"/>
        </w:rPr>
        <w:t>.“ </w:t>
      </w:r>
      <w:r>
        <w:rPr>
          <w:rStyle w:val="Znakapoznpodarou"/>
        </w:rPr>
        <w:footnoteReference w:id="569"/>
      </w:r>
    </w:p>
    <w:p w:rsidR="08163013" w:rsidRDefault="08163013" w:rsidP="08163013">
      <w:r>
        <w:t xml:space="preserve">Život svobodných lidí v </w:t>
      </w:r>
      <w:r w:rsidRPr="00273106">
        <w:t xml:space="preserve">nejvyšším stupni </w:t>
      </w:r>
      <w:r>
        <w:t xml:space="preserve">svobody </w:t>
      </w:r>
      <w:r w:rsidRPr="00273106">
        <w:t xml:space="preserve">je </w:t>
      </w:r>
      <w:r w:rsidR="006976D9">
        <w:t>dán v politické komunitě</w:t>
      </w:r>
      <w:r>
        <w:t xml:space="preserve"> </w:t>
      </w:r>
      <w:r w:rsidRPr="00273106">
        <w:t>(</w:t>
      </w:r>
      <w:r w:rsidRPr="00273106">
        <w:rPr>
          <w:i/>
        </w:rPr>
        <w:t>vitam liberi esse a politica</w:t>
      </w:r>
      <w:r w:rsidRPr="00273106">
        <w:t xml:space="preserve">). </w:t>
      </w:r>
      <w:r w:rsidR="00D81752">
        <w:t>S</w:t>
      </w:r>
      <w:r w:rsidR="00D81752" w:rsidRPr="00D81752">
        <w:t>polečenství založené na spravedlivých zákonech aktualizuje svobodu v maximální míře, proto si politicky svobodný ži</w:t>
      </w:r>
      <w:r w:rsidR="00D81752">
        <w:t xml:space="preserve">vot zachovává nejvyšší hodnotu </w:t>
      </w:r>
      <w:r w:rsidRPr="00273106">
        <w:t>(</w:t>
      </w:r>
      <w:r w:rsidRPr="00273106">
        <w:rPr>
          <w:i/>
        </w:rPr>
        <w:t>vita hominis liberi sit omnium eligibilissima</w:t>
      </w:r>
      <w:r w:rsidR="00790B79">
        <w:t xml:space="preserve">). </w:t>
      </w:r>
      <w:r w:rsidR="00790B79" w:rsidRPr="00790B79">
        <w:t>Svobodná kauzalita založená praxí rovnoprávných občanů představuje nejvyšší ú</w:t>
      </w:r>
      <w:r w:rsidR="00790B79">
        <w:t xml:space="preserve">roveň politického společenství </w:t>
      </w:r>
      <w:r w:rsidRPr="00273106">
        <w:t>(</w:t>
      </w:r>
      <w:r w:rsidRPr="00273106">
        <w:rPr>
          <w:i/>
        </w:rPr>
        <w:t>hanc scilicet politicam, opti</w:t>
      </w:r>
      <w:r w:rsidRPr="00273106">
        <w:rPr>
          <w:i/>
        </w:rPr>
        <w:softHyphen/>
        <w:t>mam esse dicunt</w:t>
      </w:r>
      <w:r w:rsidRPr="00273106">
        <w:t xml:space="preserve">). Albert přesně viděl specifikum Aristotelovy </w:t>
      </w:r>
      <w:r w:rsidRPr="08AC062C">
        <w:rPr>
          <w:i/>
        </w:rPr>
        <w:t>Politiky</w:t>
      </w:r>
      <w:r w:rsidRPr="00273106">
        <w:t xml:space="preserve"> a její rozdílnost od </w:t>
      </w:r>
      <w:r w:rsidRPr="08AC062C">
        <w:rPr>
          <w:i/>
        </w:rPr>
        <w:t>Etiky</w:t>
      </w:r>
      <w:r>
        <w:fldChar w:fldCharType="begin"/>
      </w:r>
      <w:r>
        <w:instrText xml:space="preserve"> XE "politická věda:autonomie" </w:instrText>
      </w:r>
      <w:r>
        <w:fldChar w:fldCharType="end"/>
      </w:r>
      <w:r w:rsidRPr="00273106">
        <w:t>. Interpretuje člověka jako politického tvora, a ne pouze sociálního</w:t>
      </w:r>
      <w:r>
        <w:t>, jako to má apolitický teolog Akvinský</w:t>
      </w:r>
      <w:r w:rsidRPr="00273106">
        <w:t>. Poslední míru politického jednání představuje svobodný občan polis, kterého ale neřídí pouze jeho vlastní vášně (ani ty dobré), ale společně hledaná spravedlnost, která je vyjádřena univerzálním, racionálně nalezeným a svobodně přijatým zákonem</w:t>
      </w:r>
      <w:r>
        <w:t xml:space="preserve"> politicky jednající obce </w:t>
      </w:r>
      <w:r w:rsidRPr="00273106">
        <w:t>(</w:t>
      </w:r>
      <w:r w:rsidRPr="00273106">
        <w:rPr>
          <w:i/>
        </w:rPr>
        <w:t>lex enim ipsum medium</w:t>
      </w:r>
      <w:r w:rsidRPr="00273106">
        <w:t>)</w:t>
      </w:r>
      <w:r>
        <w:fldChar w:fldCharType="begin"/>
      </w:r>
      <w:r>
        <w:instrText xml:space="preserve"> XE "</w:instrText>
      </w:r>
      <w:r w:rsidRPr="00BA152D">
        <w:rPr>
          <w:i/>
        </w:rPr>
        <w:instrText>medium</w:instrText>
      </w:r>
      <w:r w:rsidRPr="00DE00FB">
        <w:instrText>:politická věda</w:instrText>
      </w:r>
      <w:r>
        <w:instrText xml:space="preserve">" </w:instrText>
      </w:r>
      <w:r>
        <w:fldChar w:fldCharType="end"/>
      </w:r>
      <w:r w:rsidRPr="00273106">
        <w:t xml:space="preserve">. </w:t>
      </w:r>
      <w:r w:rsidR="005F1301" w:rsidRPr="005F1301">
        <w:t xml:space="preserve">Prostředním článkem důkazu vybaveným vlastní aktualizovanou kauzalitou je svobodný člověk jako občan. </w:t>
      </w:r>
      <w:r w:rsidR="005F1301">
        <w:t xml:space="preserve">Tím je dán kompletní </w:t>
      </w:r>
      <w:r w:rsidR="005F1301" w:rsidRPr="005F1301">
        <w:t>sylogismus</w:t>
      </w:r>
      <w:r w:rsidR="005F1301">
        <w:fldChar w:fldCharType="begin"/>
      </w:r>
      <w:r w:rsidR="005F1301">
        <w:instrText xml:space="preserve"> XE "praktický </w:instrText>
      </w:r>
      <w:r w:rsidR="005F1301">
        <w:lastRenderedPageBreak/>
        <w:instrText xml:space="preserve">sylogismus" </w:instrText>
      </w:r>
      <w:r w:rsidR="005F1301">
        <w:fldChar w:fldCharType="end"/>
      </w:r>
      <w:r w:rsidR="006B3BD0">
        <w:t>, který vytvořil politi</w:t>
      </w:r>
      <w:r w:rsidR="005F1301">
        <w:t xml:space="preserve">ku jako </w:t>
      </w:r>
      <w:r w:rsidR="00850EBE">
        <w:t xml:space="preserve">pravdivě </w:t>
      </w:r>
      <w:r w:rsidR="006B3BD0">
        <w:t xml:space="preserve">založenou </w:t>
      </w:r>
      <w:r w:rsidR="005F1301">
        <w:t>vědu</w:t>
      </w:r>
      <w:r w:rsidR="005F1301" w:rsidRPr="005F1301">
        <w:t xml:space="preserve">. </w:t>
      </w:r>
      <w:r w:rsidR="002B4E44" w:rsidRPr="002B4E44">
        <w:t>Obecné zákony (</w:t>
      </w:r>
      <w:r w:rsidR="002B4E44" w:rsidRPr="002B4E44">
        <w:rPr>
          <w:i/>
        </w:rPr>
        <w:t>maior</w:t>
      </w:r>
      <w:r w:rsidR="002B4E44" w:rsidRPr="002B4E44">
        <w:t>) jsou způsobeny politickou svobodou (</w:t>
      </w:r>
      <w:r w:rsidR="002B4E44" w:rsidRPr="002B4E44">
        <w:rPr>
          <w:i/>
        </w:rPr>
        <w:t>medium</w:t>
      </w:r>
      <w:r w:rsidR="002B4E44" w:rsidRPr="002B4E44">
        <w:t>) a jejich spojení vytváří účinnou kauzalitu zvanou politické společenství (</w:t>
      </w:r>
      <w:r w:rsidR="002B4E44" w:rsidRPr="002B4E44">
        <w:rPr>
          <w:i/>
        </w:rPr>
        <w:t>ergo</w:t>
      </w:r>
      <w:r w:rsidR="002B4E44" w:rsidRPr="002B4E44">
        <w:t xml:space="preserve">). </w:t>
      </w:r>
      <w:r w:rsidR="00D40239" w:rsidRPr="00D40239">
        <w:t xml:space="preserve">Politický zákon státu se tedy </w:t>
      </w:r>
      <w:r w:rsidR="00D40239">
        <w:t xml:space="preserve">rodově </w:t>
      </w:r>
      <w:r w:rsidR="00D40239" w:rsidRPr="00D40239">
        <w:t>l</w:t>
      </w:r>
      <w:r w:rsidR="00D40239">
        <w:t>iší od morálního zákona daného b</w:t>
      </w:r>
      <w:r w:rsidR="00D40239" w:rsidRPr="00D40239">
        <w:t>ohem a přirozeným rozumem. Etika je dána na úrov</w:t>
      </w:r>
      <w:r w:rsidR="00D40239">
        <w:t xml:space="preserve">ni praktického sylogismu osoby. </w:t>
      </w:r>
      <w:r w:rsidR="000E105C" w:rsidRPr="000E105C">
        <w:t xml:space="preserve">Politický život představuje nejvyšší stupeň pozemské praktické ctnosti. Politika si zachovává vlastní kauzalitu, která je dána svobodným jednáním občanů jako </w:t>
      </w:r>
      <w:r w:rsidR="000E105C" w:rsidRPr="000E105C">
        <w:rPr>
          <w:i/>
        </w:rPr>
        <w:t>causa sui</w:t>
      </w:r>
      <w:r w:rsidR="000E105C" w:rsidRPr="000E105C">
        <w:t xml:space="preserve"> (</w:t>
      </w:r>
      <w:r w:rsidR="000E105C" w:rsidRPr="000E105C">
        <w:rPr>
          <w:i/>
        </w:rPr>
        <w:t>tertium genus</w:t>
      </w:r>
      <w:r w:rsidR="000E105C" w:rsidRPr="000E105C">
        <w:t>). Na úrovni politiky jako univerzálního pojmu (</w:t>
      </w:r>
      <w:r w:rsidR="000E105C" w:rsidRPr="000E105C">
        <w:rPr>
          <w:i/>
        </w:rPr>
        <w:t>quartum genus</w:t>
      </w:r>
      <w:r w:rsidR="000E105C" w:rsidRPr="000E105C">
        <w:t>) existuje genericky jedinečná politická racionalita, která spojuje v</w:t>
      </w:r>
      <w:r w:rsidR="000E105C">
        <w:t>šechny lidské bytosti (Dantova „</w:t>
      </w:r>
      <w:r w:rsidR="000E105C" w:rsidRPr="000E105C">
        <w:rPr>
          <w:i/>
        </w:rPr>
        <w:t>universitas humana</w:t>
      </w:r>
      <w:r w:rsidR="000E105C">
        <w:t>“</w:t>
      </w:r>
      <w:r w:rsidR="000E105C" w:rsidRPr="000E105C">
        <w:t xml:space="preserve">). </w:t>
      </w:r>
      <w:r w:rsidRPr="00273106">
        <w:t xml:space="preserve">Albertův komentář </w:t>
      </w:r>
      <w:r w:rsidRPr="088817F9">
        <w:rPr>
          <w:i/>
        </w:rPr>
        <w:t>Politiky</w:t>
      </w:r>
      <w:r w:rsidR="000E105C">
        <w:t xml:space="preserve"> našel </w:t>
      </w:r>
      <w:r>
        <w:t>politick</w:t>
      </w:r>
      <w:r w:rsidR="000E105C">
        <w:t>ou</w:t>
      </w:r>
      <w:r>
        <w:t xml:space="preserve"> u</w:t>
      </w:r>
      <w:r w:rsidR="000E105C">
        <w:t>niverzalitu</w:t>
      </w:r>
      <w:r w:rsidRPr="00273106">
        <w:t xml:space="preserve"> </w:t>
      </w:r>
      <w:r w:rsidR="000E105C">
        <w:t xml:space="preserve">realizovanou skrze </w:t>
      </w:r>
      <w:r w:rsidRPr="00273106">
        <w:t>zákon</w:t>
      </w:r>
      <w:r w:rsidR="000E105C">
        <w:t xml:space="preserve"> obce. Tato univerzalita </w:t>
      </w:r>
      <w:r w:rsidRPr="00273106">
        <w:t xml:space="preserve">představuje lepšího </w:t>
      </w:r>
      <w:r w:rsidR="000E105C" w:rsidRPr="00273106">
        <w:t>průvodce, než</w:t>
      </w:r>
      <w:r w:rsidRPr="00273106">
        <w:t xml:space="preserve"> jen </w:t>
      </w:r>
      <w:r w:rsidR="000E105C">
        <w:t>spravedlivá osoba jednají podle etiky</w:t>
      </w:r>
      <w:r>
        <w:t>. S</w:t>
      </w:r>
      <w:r w:rsidRPr="00273106">
        <w:t xml:space="preserve">polečně tvořený a uznaný zákon </w:t>
      </w:r>
      <w:r>
        <w:t xml:space="preserve">obce </w:t>
      </w:r>
      <w:r w:rsidRPr="00273106">
        <w:t>není ovlivněn vášněmi</w:t>
      </w:r>
      <w:r>
        <w:t xml:space="preserve">, které má ten či onen jednotlivec. A spravedlivý člověk se </w:t>
      </w:r>
      <w:r w:rsidRPr="00273106">
        <w:t xml:space="preserve">může </w:t>
      </w:r>
      <w:r>
        <w:t xml:space="preserve">o politicky daný zákon </w:t>
      </w:r>
      <w:r w:rsidRPr="00273106">
        <w:t>opřít tím, že jej v singulární situaci spravedlivě interpretuje.</w:t>
      </w:r>
      <w:r w:rsidRPr="00273106">
        <w:rPr>
          <w:rStyle w:val="Znakapoznpodarou"/>
        </w:rPr>
        <w:footnoteReference w:id="570"/>
      </w:r>
      <w:r w:rsidRPr="00273106">
        <w:t xml:space="preserve"> </w:t>
      </w:r>
      <w:r w:rsidR="001947BE">
        <w:t xml:space="preserve">Stejnou pozici měl i </w:t>
      </w:r>
      <w:r>
        <w:t xml:space="preserve">Siger, protože podle dochovaného svědectví hájil stejně pojatou </w:t>
      </w:r>
      <w:r w:rsidR="001947BE">
        <w:t xml:space="preserve">nadřazenost </w:t>
      </w:r>
      <w:r>
        <w:t xml:space="preserve">politického zákona nad etickým jednáním </w:t>
      </w:r>
      <w:r w:rsidR="002E46F7">
        <w:t>osoby</w:t>
      </w:r>
      <w:r>
        <w:t xml:space="preserve"> (</w:t>
      </w:r>
      <w:r w:rsidRPr="08CD6C6F">
        <w:rPr>
          <w:i/>
        </w:rPr>
        <w:t>longe melius est civitatem re</w:t>
      </w:r>
      <w:r>
        <w:rPr>
          <w:i/>
        </w:rPr>
        <w:t>gi legibus rect</w:t>
      </w:r>
      <w:r w:rsidRPr="08CD6C6F">
        <w:rPr>
          <w:i/>
        </w:rPr>
        <w:t>is</w:t>
      </w:r>
      <w:r>
        <w:t xml:space="preserve">). </w:t>
      </w:r>
      <w:r w:rsidRPr="00273106">
        <w:t>Zákon jako hledaný střed politické racionality má hierarchickou strukturu opře</w:t>
      </w:r>
      <w:r>
        <w:t xml:space="preserve">nou o individuální kauzalitu z politické </w:t>
      </w:r>
      <w:r w:rsidRPr="00273106">
        <w:t>svobody</w:t>
      </w:r>
      <w:r>
        <w:t xml:space="preserve"> dané narozením</w:t>
      </w:r>
      <w:r w:rsidRPr="00273106">
        <w:t xml:space="preserve">. </w:t>
      </w:r>
      <w:r w:rsidR="00171C3C" w:rsidRPr="00171C3C">
        <w:t xml:space="preserve">V souladu se spisem </w:t>
      </w:r>
      <w:r w:rsidR="00171C3C" w:rsidRPr="00171C3C">
        <w:rPr>
          <w:i/>
        </w:rPr>
        <w:t>Politika</w:t>
      </w:r>
      <w:r w:rsidR="00171C3C" w:rsidRPr="00171C3C">
        <w:t xml:space="preserve"> Albert potvrzuje, že je možné dosáhnout téměř božské univerzality, která začíná u </w:t>
      </w:r>
      <w:r w:rsidR="002D2C42">
        <w:t xml:space="preserve">svobodného </w:t>
      </w:r>
      <w:r w:rsidR="00171C3C" w:rsidRPr="00171C3C">
        <w:t>občana, přechází k</w:t>
      </w:r>
      <w:r w:rsidR="00171C3C">
        <w:t xml:space="preserve"> politické komunitě a </w:t>
      </w:r>
      <w:r w:rsidR="00FC3C92">
        <w:t>nakonec k celému lidstvu</w:t>
      </w:r>
      <w:r w:rsidRPr="00273106">
        <w:t>.</w:t>
      </w:r>
    </w:p>
    <w:p w:rsidR="08163013" w:rsidRDefault="08163013" w:rsidP="08163013">
      <w:pPr>
        <w:pStyle w:val="Citace"/>
      </w:pPr>
      <w:r w:rsidRPr="00273106">
        <w:rPr>
          <w:noProof/>
          <w:lang w:val="cs-CZ"/>
        </w:rPr>
        <w:t>„</w:t>
      </w:r>
      <w:r>
        <w:t xml:space="preserve">Tento argument je založen na tom, co je řečeno v </w:t>
      </w:r>
      <w:r w:rsidRPr="088817F9">
        <w:rPr>
          <w:i/>
        </w:rPr>
        <w:t>Etice Nikomachově</w:t>
      </w:r>
      <w:r>
        <w:t>: božské je to, co je vlastní člověku</w:t>
      </w:r>
      <w:r>
        <w:rPr>
          <w:lang w:val="cs-CZ"/>
        </w:rPr>
        <w:t xml:space="preserve">; </w:t>
      </w:r>
      <w:r>
        <w:t>božštější je to, co je dáno v obci</w:t>
      </w:r>
      <w:r>
        <w:rPr>
          <w:lang w:val="cs-CZ"/>
        </w:rPr>
        <w:t>;</w:t>
      </w:r>
      <w:r>
        <w:t xml:space="preserve"> nej</w:t>
      </w:r>
      <w:r>
        <w:rPr>
          <w:lang w:val="cs-CZ"/>
        </w:rPr>
        <w:t xml:space="preserve">více </w:t>
      </w:r>
      <w:r>
        <w:t>bož</w:t>
      </w:r>
      <w:r>
        <w:rPr>
          <w:lang w:val="cs-CZ"/>
        </w:rPr>
        <w:t>ské</w:t>
      </w:r>
      <w:r>
        <w:t xml:space="preserve"> </w:t>
      </w:r>
      <w:r>
        <w:rPr>
          <w:lang w:val="cs-CZ"/>
        </w:rPr>
        <w:t xml:space="preserve">to, </w:t>
      </w:r>
      <w:r>
        <w:t xml:space="preserve">co </w:t>
      </w:r>
      <w:r>
        <w:rPr>
          <w:lang w:val="cs-CZ"/>
        </w:rPr>
        <w:t xml:space="preserve">je </w:t>
      </w:r>
      <w:r>
        <w:t>dáno lidskému rodu.“ </w:t>
      </w:r>
      <w:r>
        <w:rPr>
          <w:rStyle w:val="Znakapoznpodarou"/>
        </w:rPr>
        <w:footnoteReference w:id="571"/>
      </w:r>
    </w:p>
    <w:p w:rsidR="00532B5B" w:rsidRDefault="08163013" w:rsidP="08163013">
      <w:r w:rsidRPr="00273106">
        <w:t xml:space="preserve">Božskou hodnotu zákona realizuje nejprve </w:t>
      </w:r>
      <w:r w:rsidR="00C3152C">
        <w:t xml:space="preserve">osoba </w:t>
      </w:r>
      <w:proofErr w:type="gramStart"/>
      <w:r w:rsidRPr="00273106">
        <w:t>ve</w:t>
      </w:r>
      <w:proofErr w:type="gramEnd"/>
      <w:r w:rsidRPr="00273106">
        <w:t xml:space="preserve"> morálním jednání (</w:t>
      </w:r>
      <w:r w:rsidRPr="00273106">
        <w:rPr>
          <w:i/>
        </w:rPr>
        <w:t>divinum,  quod est hominis</w:t>
      </w:r>
      <w:r w:rsidRPr="00273106">
        <w:t>). Mnohem více je vidět univerzální síla zákona v polis, kde tvoří střed praxe svobodných občanů (</w:t>
      </w:r>
      <w:r w:rsidRPr="00273106">
        <w:rPr>
          <w:i/>
        </w:rPr>
        <w:t>divinius quod est civitatis</w:t>
      </w:r>
      <w:r w:rsidRPr="00273106">
        <w:t xml:space="preserve">). Nakonec je síla rozumného zákona poznaná v celém lidstvu, i když prozatím jen jako přirozený zákon, který zatím nemá politickou sílu </w:t>
      </w:r>
      <w:r>
        <w:t xml:space="preserve">občanského </w:t>
      </w:r>
      <w:r w:rsidRPr="00273106">
        <w:t>práva (</w:t>
      </w:r>
      <w:r w:rsidRPr="00273106">
        <w:rPr>
          <w:i/>
        </w:rPr>
        <w:t>divinissimum autem quod est gentis</w:t>
      </w:r>
      <w:r w:rsidRPr="00273106">
        <w:t xml:space="preserve">). </w:t>
      </w:r>
      <w:r w:rsidR="00FD0327" w:rsidRPr="00FD0327">
        <w:t>Tehdejší teoretici</w:t>
      </w:r>
      <w:r w:rsidR="00FD0327">
        <w:t xml:space="preserve"> práva definovali „</w:t>
      </w:r>
      <w:r w:rsidR="00FD0327" w:rsidRPr="00FD0327">
        <w:rPr>
          <w:i/>
        </w:rPr>
        <w:t>ius gentium</w:t>
      </w:r>
      <w:r w:rsidR="00FD0327">
        <w:t>“</w:t>
      </w:r>
      <w:r w:rsidR="00FD0327" w:rsidRPr="00FD0327">
        <w:t xml:space="preserve"> ve smyslu univerzálního práva pouze na úrovni přirozeného práva, které ještě </w:t>
      </w:r>
      <w:r w:rsidR="00FD0327" w:rsidRPr="00FD0327">
        <w:lastRenderedPageBreak/>
        <w:t>nemělo politickou sílu pozitivního práva.</w:t>
      </w:r>
      <w:r w:rsidR="00FD0327">
        <w:t xml:space="preserve"> Proto byl tak důležitý Danteho pokus vytvořit kosmopolitickou komunitu i na úrovni společně sdílené vlády.</w:t>
      </w:r>
      <w:r w:rsidR="006F0DBB">
        <w:t xml:space="preserve"> </w:t>
      </w:r>
      <w:r w:rsidRPr="00273106">
        <w:t xml:space="preserve">Univerzalita zákona </w:t>
      </w:r>
      <w:r w:rsidR="008B0508" w:rsidRPr="00273106">
        <w:t xml:space="preserve">roste </w:t>
      </w:r>
      <w:r w:rsidRPr="00273106">
        <w:t xml:space="preserve">díky praxi moudrých lidí a polis tím participuje na božském řádu kosmu, jak </w:t>
      </w:r>
      <w:r w:rsidR="008B0508">
        <w:t xml:space="preserve">to potvrdil </w:t>
      </w:r>
      <w:r w:rsidRPr="00273106">
        <w:t xml:space="preserve">Hérakleitos z Efezu. Citovaná pasáž </w:t>
      </w:r>
      <w:r>
        <w:t xml:space="preserve">Albertova výkladu </w:t>
      </w:r>
      <w:r w:rsidRPr="080B5623">
        <w:rPr>
          <w:i/>
        </w:rPr>
        <w:t>Politiky</w:t>
      </w:r>
      <w:r>
        <w:t xml:space="preserve"> </w:t>
      </w:r>
      <w:r w:rsidRPr="00273106">
        <w:t>inspirovala Danteho termín</w:t>
      </w:r>
      <w:r>
        <w:t xml:space="preserve"> </w:t>
      </w:r>
      <w:r w:rsidR="0079555D">
        <w:t>„</w:t>
      </w:r>
      <w:r w:rsidRPr="00273106">
        <w:rPr>
          <w:i/>
        </w:rPr>
        <w:t>universitas humana</w:t>
      </w:r>
      <w:r w:rsidR="0079555D">
        <w:t>“</w:t>
      </w:r>
      <w:r>
        <w:rPr>
          <w:i/>
        </w:rPr>
        <w:fldChar w:fldCharType="begin"/>
      </w:r>
      <w:r>
        <w:instrText xml:space="preserve"> XE "</w:instrText>
      </w:r>
      <w:r w:rsidRPr="00A16633">
        <w:rPr>
          <w:i/>
        </w:rPr>
        <w:instrText>universitas humana</w:instrText>
      </w:r>
      <w:r>
        <w:instrText xml:space="preserve">" </w:instrText>
      </w:r>
      <w:r>
        <w:rPr>
          <w:i/>
        </w:rPr>
        <w:fldChar w:fldCharType="end"/>
      </w:r>
      <w:r w:rsidRPr="00273106">
        <w:t>, včetně nadřazeného postavení monarchie a vlády jednoho univerzálního panovníka.</w:t>
      </w:r>
      <w:r w:rsidRPr="00273106">
        <w:rPr>
          <w:rStyle w:val="Znakapoznpodarou"/>
        </w:rPr>
        <w:footnoteReference w:id="572"/>
      </w:r>
      <w:r w:rsidRPr="00273106">
        <w:t xml:space="preserve"> Připomeňme pořadí argumentace, která začíná u svobodné kauzality občana jako reálné první substance</w:t>
      </w:r>
      <w:r>
        <w:fldChar w:fldCharType="begin"/>
      </w:r>
      <w:r>
        <w:instrText xml:space="preserve"> XE "osoba:politicky jednající" </w:instrText>
      </w:r>
      <w:r>
        <w:fldChar w:fldCharType="end"/>
      </w:r>
      <w:r w:rsidRPr="00273106">
        <w:t xml:space="preserve">, a postupuje k univerzální monarchii. </w:t>
      </w:r>
      <w:r w:rsidR="004C57A0">
        <w:t>V</w:t>
      </w:r>
      <w:r>
        <w:t>ýkon morálního porozumění jde od jednotlivce (</w:t>
      </w:r>
      <w:r w:rsidRPr="00E438AE">
        <w:rPr>
          <w:i/>
        </w:rPr>
        <w:t xml:space="preserve">tertium </w:t>
      </w:r>
      <w:r w:rsidR="00962190">
        <w:rPr>
          <w:i/>
        </w:rPr>
        <w:t>genus</w:t>
      </w:r>
      <w:r>
        <w:rPr>
          <w:i/>
        </w:rPr>
        <w:fldChar w:fldCharType="begin"/>
      </w:r>
      <w:r>
        <w:instrText xml:space="preserve"> XE "</w:instrText>
      </w:r>
      <w:r w:rsidRPr="00D80F84">
        <w:rPr>
          <w:i/>
        </w:rPr>
        <w:instrText>tertium genus</w:instrText>
      </w:r>
      <w:r>
        <w:instrText xml:space="preserve">" </w:instrText>
      </w:r>
      <w:r>
        <w:rPr>
          <w:i/>
        </w:rPr>
        <w:fldChar w:fldCharType="end"/>
      </w:r>
      <w:r>
        <w:t>) k celku určenému v modu abstraktního species (</w:t>
      </w:r>
      <w:r w:rsidRPr="00E438AE">
        <w:rPr>
          <w:i/>
        </w:rPr>
        <w:t xml:space="preserve">quartum </w:t>
      </w:r>
      <w:r w:rsidR="00962190">
        <w:rPr>
          <w:i/>
        </w:rPr>
        <w:t>genus</w:t>
      </w:r>
      <w:r>
        <w:rPr>
          <w:i/>
        </w:rPr>
        <w:fldChar w:fldCharType="begin"/>
      </w:r>
      <w:r>
        <w:instrText xml:space="preserve"> XE "</w:instrText>
      </w:r>
      <w:r w:rsidRPr="00191848">
        <w:rPr>
          <w:i/>
        </w:rPr>
        <w:instrText>quartum genus</w:instrText>
      </w:r>
      <w:r>
        <w:instrText xml:space="preserve">" </w:instrText>
      </w:r>
      <w:r>
        <w:rPr>
          <w:i/>
        </w:rPr>
        <w:fldChar w:fldCharType="end"/>
      </w:r>
      <w:r>
        <w:t xml:space="preserve">). </w:t>
      </w:r>
      <w:r w:rsidRPr="00273106">
        <w:t xml:space="preserve">Etické jednání </w:t>
      </w:r>
      <w:r w:rsidR="00F40505">
        <w:t xml:space="preserve">osoby </w:t>
      </w:r>
      <w:r w:rsidRPr="00273106">
        <w:t xml:space="preserve">přechází skrze zákon do politické praxe a nakonec do univerzální monarchie. </w:t>
      </w:r>
      <w:r>
        <w:t xml:space="preserve">Teoretický rozum se rozšířením skrze svobodnou a zákonodárnou iniciativu občanů stal praktickým intelektem na druhou. Jeho politická působnost determinuje racionální a etické jednání celé politické komunity, nejen morální jednání jednotlivce. Albert se liší od Aristotela v tom, že </w:t>
      </w:r>
      <w:r w:rsidRPr="00273106">
        <w:t xml:space="preserve">dosadil do výkladu </w:t>
      </w:r>
      <w:r w:rsidRPr="08135763">
        <w:rPr>
          <w:i/>
        </w:rPr>
        <w:t>Politiky</w:t>
      </w:r>
      <w:r w:rsidRPr="00273106">
        <w:t xml:space="preserve"> </w:t>
      </w:r>
      <w:r>
        <w:t>u</w:t>
      </w:r>
      <w:r w:rsidRPr="00273106">
        <w:t xml:space="preserve">niverzální význam monarchie </w:t>
      </w:r>
      <w:r>
        <w:t xml:space="preserve">daný v jeho předešlém </w:t>
      </w:r>
      <w:r w:rsidRPr="00273106">
        <w:t xml:space="preserve">výkladu </w:t>
      </w:r>
      <w:r w:rsidRPr="08C133BB">
        <w:rPr>
          <w:i/>
        </w:rPr>
        <w:t>Etiky</w:t>
      </w:r>
      <w:r w:rsidRPr="00273106">
        <w:t>.</w:t>
      </w:r>
      <w:r w:rsidRPr="00273106">
        <w:rPr>
          <w:rStyle w:val="Znakapoznpodarou"/>
        </w:rPr>
        <w:footnoteReference w:id="573"/>
      </w:r>
      <w:r w:rsidRPr="00273106">
        <w:t xml:space="preserve"> Figura krále se nakonec ztotožnila s legendárními zákonodárci antiky, což </w:t>
      </w:r>
      <w:r>
        <w:t xml:space="preserve">rozhodně </w:t>
      </w:r>
      <w:r w:rsidRPr="00273106">
        <w:t>nebyla původní Aristotelova pozice.</w:t>
      </w:r>
      <w:r w:rsidRPr="00273106">
        <w:rPr>
          <w:rStyle w:val="Znakapoznpodarou"/>
        </w:rPr>
        <w:footnoteReference w:id="574"/>
      </w:r>
      <w:r w:rsidRPr="00273106">
        <w:t xml:space="preserve"> Stagiritovy politické spisy při hledání spravedlivých ústav jasně oddělily univerzalitu isonomie</w:t>
      </w:r>
      <w:r>
        <w:fldChar w:fldCharType="begin"/>
      </w:r>
      <w:r>
        <w:instrText xml:space="preserve"> XE "</w:instrText>
      </w:r>
      <w:r w:rsidRPr="000C4EAC">
        <w:instrText>isonomie</w:instrText>
      </w:r>
      <w:r>
        <w:instrText xml:space="preserve">" </w:instrText>
      </w:r>
      <w:r>
        <w:fldChar w:fldCharType="end"/>
      </w:r>
      <w:r w:rsidRPr="00273106">
        <w:t xml:space="preserve"> od plurality politických režimů připůsobených různým tradicím a zvyklostem</w:t>
      </w:r>
      <w:r>
        <w:t xml:space="preserve"> řeckých politických komunit roztroušených v ohromném středomořském prostoru </w:t>
      </w:r>
      <w:r w:rsidRPr="08D64202">
        <w:rPr>
          <w:i/>
        </w:rPr>
        <w:t>Magna Graec</w:t>
      </w:r>
      <w:r>
        <w:rPr>
          <w:i/>
        </w:rPr>
        <w:t>i</w:t>
      </w:r>
      <w:r w:rsidRPr="08D64202">
        <w:rPr>
          <w:i/>
        </w:rPr>
        <w:t>a</w:t>
      </w:r>
      <w:r w:rsidRPr="00273106">
        <w:t>.</w:t>
      </w:r>
    </w:p>
    <w:p w:rsidR="00A8251E" w:rsidRDefault="08163013" w:rsidP="00DB7197">
      <w:pPr>
        <w:ind w:firstLine="397"/>
      </w:pPr>
      <w:r w:rsidRPr="00273106">
        <w:t xml:space="preserve">Výše uvedené pasáže sedmé knihy </w:t>
      </w:r>
      <w:r w:rsidRPr="0815217B">
        <w:rPr>
          <w:i/>
        </w:rPr>
        <w:t>Politiky</w:t>
      </w:r>
      <w:r w:rsidRPr="00273106">
        <w:t xml:space="preserve"> chybí v Tomášově výkladu, ale Akvinský stihnul osobně dokončit pouze komentář prvních třech knih. </w:t>
      </w:r>
      <w:r>
        <w:t xml:space="preserve">Přesto je vidět zásadní rozdíl ve výkladu politické racionality mezi Albertem a jeho žákem. </w:t>
      </w:r>
      <w:r w:rsidRPr="00273106">
        <w:t>Akvinský nedefin</w:t>
      </w:r>
      <w:r w:rsidR="0035065E">
        <w:t>oval</w:t>
      </w:r>
      <w:r>
        <w:t xml:space="preserve"> politickou svobodu v pojmu </w:t>
      </w:r>
      <w:r w:rsidR="0035065E">
        <w:t>„</w:t>
      </w:r>
      <w:r w:rsidRPr="00273106">
        <w:rPr>
          <w:i/>
        </w:rPr>
        <w:t>regnabile</w:t>
      </w:r>
      <w:r w:rsidR="0035065E">
        <w:t>“</w:t>
      </w:r>
      <w:r>
        <w:t xml:space="preserve"> jako Albert. V jeho </w:t>
      </w:r>
      <w:r w:rsidRPr="00273106">
        <w:t xml:space="preserve">výkladu </w:t>
      </w:r>
      <w:r w:rsidRPr="0815217B">
        <w:rPr>
          <w:i/>
        </w:rPr>
        <w:t>Politiky</w:t>
      </w:r>
      <w:r w:rsidRPr="00273106">
        <w:t xml:space="preserve"> neexistuje autonomie </w:t>
      </w:r>
      <w:r w:rsidRPr="00273106">
        <w:lastRenderedPageBreak/>
        <w:t xml:space="preserve">politického jednání, na rozdíl od Alberta a Danteho. Tomáš bere z </w:t>
      </w:r>
      <w:r w:rsidRPr="0815217B">
        <w:rPr>
          <w:i/>
        </w:rPr>
        <w:t>Etiky</w:t>
      </w:r>
      <w:r w:rsidRPr="00273106">
        <w:t xml:space="preserve"> </w:t>
      </w:r>
      <w:r>
        <w:t xml:space="preserve">pouze </w:t>
      </w:r>
      <w:r w:rsidRPr="00273106">
        <w:t>prozíravost občana (</w:t>
      </w:r>
      <w:r w:rsidRPr="00273106">
        <w:rPr>
          <w:i/>
        </w:rPr>
        <w:t>prudentia</w:t>
      </w:r>
      <w:r w:rsidRPr="00273106">
        <w:t xml:space="preserve">) zaměřenou ke komunitní formě dobra a spravedlnosti, a pak ji </w:t>
      </w:r>
      <w:r w:rsidR="00DB414B">
        <w:t xml:space="preserve">ve stejném smyslu </w:t>
      </w:r>
      <w:r w:rsidRPr="00273106">
        <w:t xml:space="preserve">aplikuje na výklad </w:t>
      </w:r>
      <w:r w:rsidRPr="0815217B">
        <w:rPr>
          <w:i/>
        </w:rPr>
        <w:t>Politiky</w:t>
      </w:r>
      <w:r>
        <w:fldChar w:fldCharType="begin"/>
      </w:r>
      <w:r>
        <w:instrText xml:space="preserve"> XE "</w:instrText>
      </w:r>
      <w:r w:rsidRPr="00434BC9">
        <w:instrText>politická racionalita:Akvinský</w:instrText>
      </w:r>
      <w:r>
        <w:instrText xml:space="preserve">" </w:instrText>
      </w:r>
      <w:r>
        <w:fldChar w:fldCharType="end"/>
      </w:r>
      <w:r w:rsidRPr="00273106">
        <w:t>. Svoboda občanů je v Akvinského výkladu nahrazena pouhou socialitou vázanou na uspojení pudu sebezáchovy</w:t>
      </w:r>
      <w:r>
        <w:t xml:space="preserve"> (</w:t>
      </w:r>
      <w:r w:rsidRPr="005D0B2B">
        <w:rPr>
          <w:i/>
        </w:rPr>
        <w:t>bene vivere, maxime est finis civitatis vel politiae</w:t>
      </w:r>
      <w:r>
        <w:t>)</w:t>
      </w:r>
      <w:r w:rsidRPr="00273106">
        <w:t>.</w:t>
      </w:r>
      <w:r w:rsidRPr="00273106">
        <w:rPr>
          <w:rStyle w:val="Znakapoznpodarou"/>
        </w:rPr>
        <w:footnoteReference w:id="575"/>
      </w:r>
      <w:r w:rsidRPr="00273106">
        <w:t xml:space="preserve"> </w:t>
      </w:r>
      <w:r w:rsidR="003979B7" w:rsidRPr="003979B7">
        <w:t>Akvinský na rozdíl od Alberta nenašel nový druh politického praktického sylogismu, který by politickou excelenci účinně odlišoval od morální spravedlnosti. Akvinský nezavedl do politiky autonomní kauzalitu a racionalitu odvozenou od politické svobody občanů. Proto je zakladatelem postmoderních ideologií, jako je politický liberalismus založený na představě státu jako tvůrce obecného blahobytu (</w:t>
      </w:r>
      <w:r w:rsidR="003979B7" w:rsidRPr="003979B7">
        <w:rPr>
          <w:i/>
        </w:rPr>
        <w:t>welfare state</w:t>
      </w:r>
      <w:r w:rsidR="003979B7" w:rsidRPr="003979B7">
        <w:t>). Tento druh politické teorie je založen na individualizovaném pudu sebezáchovy, nikoli na politické aktivitě svobodných občanů. Akvinského pol</w:t>
      </w:r>
      <w:r w:rsidR="00281747">
        <w:t xml:space="preserve">itické </w:t>
      </w:r>
      <w:r w:rsidR="00281747" w:rsidRPr="00281747">
        <w:rPr>
          <w:i/>
        </w:rPr>
        <w:t>individuum</w:t>
      </w:r>
      <w:r w:rsidR="00281747">
        <w:t xml:space="preserve"> definované jako „</w:t>
      </w:r>
      <w:r w:rsidR="00281747" w:rsidRPr="00281747">
        <w:rPr>
          <w:i/>
        </w:rPr>
        <w:t>animal sociale</w:t>
      </w:r>
      <w:r w:rsidR="00281747">
        <w:t>“</w:t>
      </w:r>
      <w:r w:rsidR="003979B7" w:rsidRPr="003979B7">
        <w:t xml:space="preserve"> nen</w:t>
      </w:r>
      <w:r w:rsidR="00281747">
        <w:t>í politicky aktivní osoba jako „</w:t>
      </w:r>
      <w:r w:rsidR="003979B7" w:rsidRPr="00281747">
        <w:rPr>
          <w:i/>
        </w:rPr>
        <w:t>animal pol</w:t>
      </w:r>
      <w:r w:rsidR="00281747" w:rsidRPr="00281747">
        <w:rPr>
          <w:i/>
        </w:rPr>
        <w:t>iticum</w:t>
      </w:r>
      <w:r w:rsidR="00281747">
        <w:t>“</w:t>
      </w:r>
      <w:r w:rsidR="003979B7" w:rsidRPr="003979B7">
        <w:t xml:space="preserve"> uvedené v prvním averroismu sicilské školy podle Aristotela (ὁ ἄνθρωπος φύσει πολιτικὸν ζῷον, </w:t>
      </w:r>
      <w:r w:rsidR="003979B7" w:rsidRPr="00281747">
        <w:rPr>
          <w:i/>
        </w:rPr>
        <w:t>Pol</w:t>
      </w:r>
      <w:r w:rsidR="003979B7" w:rsidRPr="003979B7">
        <w:t>. 1253a2</w:t>
      </w:r>
      <w:r w:rsidR="00CA62BF">
        <w:fldChar w:fldCharType="begin"/>
      </w:r>
      <w:r w:rsidR="00CA62BF">
        <w:instrText xml:space="preserve"> XE "Aristoteles:</w:instrText>
      </w:r>
      <w:r w:rsidR="00CA62BF" w:rsidRPr="00281747">
        <w:rPr>
          <w:i/>
        </w:rPr>
        <w:instrText>Pol</w:instrText>
      </w:r>
      <w:r w:rsidR="00CA62BF" w:rsidRPr="003979B7">
        <w:instrText>. 1253a2</w:instrText>
      </w:r>
      <w:r w:rsidR="00CA62BF">
        <w:instrText xml:space="preserve">" </w:instrText>
      </w:r>
      <w:r w:rsidR="00CA62BF">
        <w:fldChar w:fldCharType="end"/>
      </w:r>
      <w:r w:rsidR="003979B7" w:rsidRPr="003979B7">
        <w:t xml:space="preserve">). Lidská přirozenost se podle Aristotela odlišuje od zvířecí </w:t>
      </w:r>
      <w:r w:rsidR="00281747">
        <w:t>sociality</w:t>
      </w:r>
      <w:r w:rsidR="003979B7" w:rsidRPr="003979B7">
        <w:t>, protože pouze člověk zakládá politické společenství svobodných občanů.</w:t>
      </w:r>
      <w:r w:rsidR="00CC7892">
        <w:t xml:space="preserve"> </w:t>
      </w:r>
      <w:r w:rsidR="00CC7892" w:rsidRPr="00CC7892">
        <w:t>Akvinský skončil u eticky daného společenství (</w:t>
      </w:r>
      <w:r w:rsidR="00CC7892" w:rsidRPr="00CC7892">
        <w:rPr>
          <w:i/>
        </w:rPr>
        <w:t>bene vivere</w:t>
      </w:r>
      <w:r w:rsidR="00CC7892" w:rsidRPr="00CC7892">
        <w:t>), a proto nemohl vidět autonomii politi</w:t>
      </w:r>
      <w:r w:rsidR="00CC7892">
        <w:t xml:space="preserve">cké racionality dané v díle </w:t>
      </w:r>
      <w:r w:rsidR="00CC7892" w:rsidRPr="00CC7892">
        <w:rPr>
          <w:i/>
        </w:rPr>
        <w:t>Politika</w:t>
      </w:r>
      <w:r w:rsidR="00CC7892" w:rsidRPr="00CC7892">
        <w:t xml:space="preserve">. Tento názor je vázán pouze na </w:t>
      </w:r>
      <w:r w:rsidR="00CC7892" w:rsidRPr="00CC7892">
        <w:rPr>
          <w:i/>
        </w:rPr>
        <w:t>Etiku</w:t>
      </w:r>
      <w:r w:rsidR="00CC7892">
        <w:t xml:space="preserve"> a plně odpovídá úrovni falsafy, která podle </w:t>
      </w:r>
      <w:r w:rsidR="00CC7892" w:rsidRPr="00CC7892">
        <w:rPr>
          <w:i/>
        </w:rPr>
        <w:t>Etiky</w:t>
      </w:r>
      <w:r w:rsidR="00CC7892" w:rsidRPr="00CC7892">
        <w:t xml:space="preserve"> </w:t>
      </w:r>
      <w:r w:rsidR="00CC7892">
        <w:t xml:space="preserve">vytvořila ideu </w:t>
      </w:r>
      <w:r w:rsidR="00CC7892" w:rsidRPr="00CC7892">
        <w:t xml:space="preserve">spravedlivého státu </w:t>
      </w:r>
      <w:r w:rsidR="00CC7892">
        <w:t xml:space="preserve">v učení </w:t>
      </w:r>
      <w:r w:rsidR="006754B1">
        <w:t>Alfarabí</w:t>
      </w:r>
      <w:r w:rsidR="0004716D">
        <w:t xml:space="preserve">ho. Následujíc Akvinského, </w:t>
      </w:r>
      <w:r w:rsidR="00CC7892" w:rsidRPr="00CC7892">
        <w:t xml:space="preserve">pozdější tomismus </w:t>
      </w:r>
      <w:r w:rsidR="0004716D">
        <w:t xml:space="preserve">zůstal stejně </w:t>
      </w:r>
      <w:r w:rsidR="00CC7892" w:rsidRPr="00CC7892">
        <w:t xml:space="preserve">slepý ke specifické povaze politického jednání a teorie. Ve 20. století tomismus rozvinul teorii křesťanského sociálního státu, nikoli však teorii svobodného politického jednání, jak to učinila aristotelská </w:t>
      </w:r>
      <w:r w:rsidR="0070793E">
        <w:t xml:space="preserve">myslitelka </w:t>
      </w:r>
      <w:r w:rsidR="00CC7892" w:rsidRPr="00CC7892">
        <w:t xml:space="preserve">Arendtová. </w:t>
      </w:r>
      <w:r w:rsidR="00D76A67" w:rsidRPr="00D76A67">
        <w:t xml:space="preserve">Její kritika solipsistické ideologie se týká </w:t>
      </w:r>
      <w:r w:rsidR="00764BFB">
        <w:t xml:space="preserve">ideologie </w:t>
      </w:r>
      <w:r w:rsidR="00D76A67" w:rsidRPr="00D76A67">
        <w:t>liberalismu</w:t>
      </w:r>
      <w:r w:rsidR="00764BFB">
        <w:fldChar w:fldCharType="begin"/>
      </w:r>
      <w:r w:rsidR="00764BFB">
        <w:instrText xml:space="preserve"> XE "</w:instrText>
      </w:r>
      <w:r w:rsidR="00764BFB" w:rsidRPr="088A1F37">
        <w:instrText>ideologie</w:instrText>
      </w:r>
      <w:r w:rsidR="00764BFB">
        <w:instrText xml:space="preserve">" </w:instrText>
      </w:r>
      <w:r w:rsidR="00764BFB">
        <w:fldChar w:fldCharType="end"/>
      </w:r>
      <w:r w:rsidR="00D76A67" w:rsidRPr="00D76A67">
        <w:t>, který falešně konstruuje politickou teorii. V návaznosti na sicilskou školu Arendtová opustila definici politiky shrnutou jako soukromou existenci, která nedůvěřuje politické moci kvůli svému pudu sebezáchovy a soukromé svobodné vůli.</w:t>
      </w:r>
      <w:r w:rsidR="00D76A67">
        <w:rPr>
          <w:rStyle w:val="Znakapoznpodarou"/>
        </w:rPr>
        <w:footnoteReference w:id="576"/>
      </w:r>
      <w:r w:rsidR="00D76A67">
        <w:t xml:space="preserve"> </w:t>
      </w:r>
      <w:r w:rsidR="00D76A67" w:rsidRPr="00D76A67">
        <w:lastRenderedPageBreak/>
        <w:t xml:space="preserve">Politický postmoderní liberalismus je </w:t>
      </w:r>
      <w:r w:rsidR="00D76A67" w:rsidRPr="00D76A67">
        <w:rPr>
          <w:i/>
          <w:iCs/>
        </w:rPr>
        <w:t>contradictio in adiecto</w:t>
      </w:r>
      <w:r w:rsidR="00D76A67" w:rsidRPr="00D76A67">
        <w:t xml:space="preserve">. Kritika Arendtové se tedy vztahuje na politiku definovanou Tomášem Akvinským, ale nikoli na aristotelskou politickou filozofii, kterou rozpracovali Siger a Albert. </w:t>
      </w:r>
      <w:r w:rsidR="006754B1" w:rsidRPr="006754B1">
        <w:t>Akvinský neza</w:t>
      </w:r>
      <w:r w:rsidR="00DB7197">
        <w:t xml:space="preserve">ložil </w:t>
      </w:r>
      <w:r w:rsidR="006754B1" w:rsidRPr="006754B1">
        <w:t xml:space="preserve">hermeneutiku politické racionality ve vědecké exegezi politické praxe, jak to učinili Albert, Siger a Dante ve škole prvního averroismu. Tomášův praktický sylogismus má pouze etický, nikoli politický charakter. </w:t>
      </w:r>
      <w:r>
        <w:t>Albert a jistě i Siger z prvního averroismu Sicilské školy</w:t>
      </w:r>
      <w:r>
        <w:fldChar w:fldCharType="begin"/>
      </w:r>
      <w:r>
        <w:instrText xml:space="preserve"> XE "</w:instrText>
      </w:r>
      <w:r w:rsidRPr="08C87B28">
        <w:instrText>Sicilská škola</w:instrText>
      </w:r>
      <w:r>
        <w:instrText xml:space="preserve">" </w:instrText>
      </w:r>
      <w:r>
        <w:fldChar w:fldCharType="end"/>
      </w:r>
      <w:r>
        <w:t xml:space="preserve"> přesně definovali kauzalitu z politické svobody občanů v polis. Tomistický politický diskurz je navíc daný teorií jedné teologické pravdy opět dané podle Toledské školy. Tento výklad je zcela zřejmý v Akvinského díle </w:t>
      </w:r>
      <w:r w:rsidRPr="00AE6128">
        <w:rPr>
          <w:i/>
        </w:rPr>
        <w:t>De regno</w:t>
      </w:r>
      <w:r>
        <w:t xml:space="preserve">, které brání teokratickou </w:t>
      </w:r>
      <w:r w:rsidRPr="00273106">
        <w:t xml:space="preserve">linii </w:t>
      </w:r>
      <w:r>
        <w:t>jedné moci. Toto linii politického averroismu kanonizovala pod vlivem prvního tomisty Aegidia papežská bula</w:t>
      </w:r>
      <w:r w:rsidRPr="00273106">
        <w:t xml:space="preserve"> </w:t>
      </w:r>
      <w:r>
        <w:rPr>
          <w:i/>
        </w:rPr>
        <w:t>Unam Sanctam</w:t>
      </w:r>
      <w:r>
        <w:rPr>
          <w:i/>
        </w:rPr>
        <w:fldChar w:fldCharType="begin"/>
      </w:r>
      <w:r>
        <w:instrText xml:space="preserve"> XE "</w:instrText>
      </w:r>
      <w:r>
        <w:rPr>
          <w:i/>
        </w:rPr>
        <w:instrText>Unam Sanctam</w:instrText>
      </w:r>
      <w:r>
        <w:instrText xml:space="preserve">" </w:instrText>
      </w:r>
      <w:r>
        <w:rPr>
          <w:i/>
        </w:rPr>
        <w:fldChar w:fldCharType="end"/>
      </w:r>
      <w:r>
        <w:t xml:space="preserve">. Tomistické </w:t>
      </w:r>
      <w:r w:rsidR="00B1287C">
        <w:t>pojetí unifikované „</w:t>
      </w:r>
      <w:r w:rsidRPr="081F4AAC">
        <w:rPr>
          <w:i/>
        </w:rPr>
        <w:t>potestas directa</w:t>
      </w:r>
      <w:r w:rsidR="00B1287C">
        <w:t>“</w:t>
      </w:r>
      <w:r>
        <w:t xml:space="preserve"> </w:t>
      </w:r>
      <w:r w:rsidR="00B1287C">
        <w:t xml:space="preserve">má efektivní politickou kauzalitu v osobě papeže </w:t>
      </w:r>
      <w:r>
        <w:t xml:space="preserve">jako </w:t>
      </w:r>
      <w:r w:rsidR="00B1287C">
        <w:t>„</w:t>
      </w:r>
      <w:r>
        <w:rPr>
          <w:i/>
        </w:rPr>
        <w:t>rex et sacerdos</w:t>
      </w:r>
      <w:r w:rsidR="00B1287C">
        <w:t xml:space="preserve">“. Tuto teorii hájil </w:t>
      </w:r>
      <w:r w:rsidRPr="08121F51">
        <w:t xml:space="preserve">Akvinského žák Tolomeo </w:t>
      </w:r>
      <w:r>
        <w:t xml:space="preserve">da </w:t>
      </w:r>
      <w:r w:rsidRPr="08121F51">
        <w:t>Lucca</w:t>
      </w:r>
      <w:r>
        <w:fldChar w:fldCharType="begin"/>
      </w:r>
      <w:r>
        <w:instrText xml:space="preserve"> XE "</w:instrText>
      </w:r>
      <w:r w:rsidRPr="08B0769B">
        <w:instrText>Tolomeo da Lucca</w:instrText>
      </w:r>
      <w:r>
        <w:instrText xml:space="preserve">" </w:instrText>
      </w:r>
      <w:r>
        <w:fldChar w:fldCharType="end"/>
      </w:r>
      <w:r>
        <w:t xml:space="preserve"> (†1327), který </w:t>
      </w:r>
      <w:r w:rsidR="00B1287C">
        <w:t xml:space="preserve">dokončil </w:t>
      </w:r>
      <w:r>
        <w:t xml:space="preserve">Akvinského komentář k </w:t>
      </w:r>
      <w:r w:rsidRPr="08AB74E1">
        <w:rPr>
          <w:i/>
        </w:rPr>
        <w:t>Politice</w:t>
      </w:r>
      <w:r>
        <w:t xml:space="preserve"> (</w:t>
      </w:r>
      <w:r>
        <w:rPr>
          <w:i/>
          <w:iCs/>
        </w:rPr>
        <w:t>De regimine principum</w:t>
      </w:r>
      <w:r>
        <w:t>)</w:t>
      </w:r>
      <w:r w:rsidRPr="08121F51">
        <w:t>.</w:t>
      </w:r>
      <w:r>
        <w:t xml:space="preserve"> </w:t>
      </w:r>
      <w:r w:rsidRPr="00273106">
        <w:t>Politický semiaverroismus</w:t>
      </w:r>
      <w:r>
        <w:fldChar w:fldCharType="begin"/>
      </w:r>
      <w:r>
        <w:instrText xml:space="preserve"> XE "</w:instrText>
      </w:r>
      <w:r w:rsidRPr="00A01908">
        <w:instrText>semiaverroismus</w:instrText>
      </w:r>
      <w:r>
        <w:instrText xml:space="preserve">" </w:instrText>
      </w:r>
      <w:r>
        <w:fldChar w:fldCharType="end"/>
      </w:r>
      <w:r w:rsidRPr="00273106">
        <w:t xml:space="preserve"> Akvinského v oblasti politické racionality </w:t>
      </w:r>
      <w:r>
        <w:t xml:space="preserve">završuje </w:t>
      </w:r>
      <w:r w:rsidRPr="00273106">
        <w:t xml:space="preserve">jeho </w:t>
      </w:r>
      <w:r>
        <w:t xml:space="preserve">semiaverroismus podaný </w:t>
      </w:r>
      <w:r w:rsidRPr="00273106">
        <w:t xml:space="preserve">v nauce o </w:t>
      </w:r>
      <w:r>
        <w:t>intelektu jako autonomní formě v duši</w:t>
      </w:r>
      <w:r w:rsidR="00A8251E">
        <w:t>.</w:t>
      </w:r>
    </w:p>
    <w:p w:rsidR="08163013" w:rsidRDefault="08163013" w:rsidP="00DB7197">
      <w:pPr>
        <w:ind w:firstLine="397"/>
      </w:pPr>
      <w:r>
        <w:t xml:space="preserve">Albert </w:t>
      </w:r>
      <w:r w:rsidR="00A8251E">
        <w:t xml:space="preserve">potvrdil </w:t>
      </w:r>
      <w:r>
        <w:t>stejně jako Siger, že s</w:t>
      </w:r>
      <w:r w:rsidRPr="00273106">
        <w:t xml:space="preserve">vobodný člověk </w:t>
      </w:r>
      <w:r>
        <w:t xml:space="preserve">je nedělitelná substance a je vybaven svobodou v aristotelském smyslu </w:t>
      </w:r>
      <w:r w:rsidRPr="00273106">
        <w:rPr>
          <w:i/>
        </w:rPr>
        <w:t xml:space="preserve">causa </w:t>
      </w:r>
      <w:proofErr w:type="gramStart"/>
      <w:r w:rsidRPr="00273106">
        <w:rPr>
          <w:i/>
        </w:rPr>
        <w:t>sui</w:t>
      </w:r>
      <w:proofErr w:type="gramEnd"/>
      <w:r>
        <w:t xml:space="preserve">. Aristotelské pojetí </w:t>
      </w:r>
      <w:r w:rsidRPr="00D91B80">
        <w:rPr>
          <w:i/>
        </w:rPr>
        <w:t>causa sui</w:t>
      </w:r>
      <w:r>
        <w:t xml:space="preserve"> vázané na reálnou existenci první substance determinuje politickou svobodu </w:t>
      </w:r>
      <w:r w:rsidR="000A6615">
        <w:t>občana v rámci isonomie</w:t>
      </w:r>
      <w:r>
        <w:fldChar w:fldCharType="begin"/>
      </w:r>
      <w:r>
        <w:instrText xml:space="preserve"> XE "</w:instrText>
      </w:r>
      <w:r w:rsidRPr="000C4EAC">
        <w:instrText>isonomie</w:instrText>
      </w:r>
      <w:r>
        <w:instrText xml:space="preserve">" </w:instrText>
      </w:r>
      <w:r>
        <w:fldChar w:fldCharType="end"/>
      </w:r>
      <w:r>
        <w:t>. K</w:t>
      </w:r>
      <w:r w:rsidRPr="00273106">
        <w:t xml:space="preserve">auzalitu z politicky dané svobody univerzalizuje spravedlivý zákon polis. </w:t>
      </w:r>
      <w:r>
        <w:t xml:space="preserve">To je důvod, proč se zásadně liší kauzalita ze svobody od neoplatonské </w:t>
      </w:r>
      <w:r w:rsidRPr="00F963E1">
        <w:rPr>
          <w:i/>
        </w:rPr>
        <w:t>causa sui</w:t>
      </w:r>
      <w:r>
        <w:t xml:space="preserve"> u Plotína, kde vyjadřuje naprosto oddělenou autarkii Jednoho (αἴτιον ἑαυτοῦ, </w:t>
      </w:r>
      <w:r w:rsidRPr="0092371D">
        <w:rPr>
          <w:i/>
        </w:rPr>
        <w:t>Enn</w:t>
      </w:r>
      <w:r>
        <w:t xml:space="preserve">. </w:t>
      </w:r>
      <w:r w:rsidRPr="00D14076">
        <w:rPr>
          <w:color w:val="000000"/>
        </w:rPr>
        <w:t>VI.8.14.41</w:t>
      </w:r>
      <w:r>
        <w:rPr>
          <w:color w:val="000000"/>
        </w:rPr>
        <w:fldChar w:fldCharType="begin"/>
      </w:r>
      <w:r>
        <w:instrText xml:space="preserve"> XE "Plotinos</w:instrText>
      </w:r>
      <w:r w:rsidRPr="00A66F74">
        <w:rPr>
          <w:i/>
        </w:rPr>
        <w:instrText>:Enn</w:instrText>
      </w:r>
      <w:r w:rsidRPr="00A66F74">
        <w:instrText xml:space="preserve">. </w:instrText>
      </w:r>
      <w:r>
        <w:rPr>
          <w:color w:val="000000"/>
        </w:rPr>
        <w:instrText>6</w:instrText>
      </w:r>
      <w:r w:rsidRPr="00A66F74">
        <w:rPr>
          <w:color w:val="000000"/>
        </w:rPr>
        <w:instrText>.8.14.41</w:instrText>
      </w:r>
      <w:r>
        <w:instrText xml:space="preserve">" </w:instrText>
      </w:r>
      <w:r>
        <w:rPr>
          <w:color w:val="000000"/>
        </w:rPr>
        <w:fldChar w:fldCharType="end"/>
      </w:r>
      <w:r>
        <w:t xml:space="preserve">). Neomezená kauzalita jednoho je pro Aristotela definice tyranie, která znamená úplný zánik společného politického prostoru. </w:t>
      </w:r>
      <w:r w:rsidRPr="00273106">
        <w:t>Opět platí klíčové hermeneutické</w:t>
      </w:r>
      <w:r>
        <w:t xml:space="preserve"> „j</w:t>
      </w:r>
      <w:r w:rsidRPr="00273106">
        <w:t>ak“ (</w:t>
      </w:r>
      <w:r w:rsidRPr="00273106">
        <w:rPr>
          <w:i/>
        </w:rPr>
        <w:t>Wie</w:t>
      </w:r>
      <w:r>
        <w:rPr>
          <w:i/>
        </w:rPr>
        <w:fldChar w:fldCharType="begin"/>
      </w:r>
      <w:r>
        <w:instrText xml:space="preserve"> XE "hermeneutické </w:instrText>
      </w:r>
      <w:r w:rsidRPr="00DE4CC9">
        <w:rPr>
          <w:i/>
        </w:rPr>
        <w:instrText>Wie</w:instrText>
      </w:r>
      <w:r>
        <w:instrText xml:space="preserve">:autonomie politiky" </w:instrText>
      </w:r>
      <w:r>
        <w:rPr>
          <w:i/>
        </w:rPr>
        <w:fldChar w:fldCharType="end"/>
      </w:r>
      <w:r w:rsidRPr="00273106">
        <w:t xml:space="preserve">) je dána suverenita lidu a autonomie politiky. Nasvícení smyslu politiky jde </w:t>
      </w:r>
      <w:r>
        <w:t xml:space="preserve">u Alberta </w:t>
      </w:r>
      <w:r w:rsidRPr="00273106">
        <w:t>zepředu</w:t>
      </w:r>
      <w:r>
        <w:fldChar w:fldCharType="begin"/>
      </w:r>
      <w:r>
        <w:instrText xml:space="preserve"> XE "</w:instrText>
      </w:r>
      <w:r w:rsidRPr="001A12EF">
        <w:instrText>politika:nasvícení zepředu</w:instrText>
      </w:r>
      <w:r>
        <w:instrText xml:space="preserve">" </w:instrText>
      </w:r>
      <w:r>
        <w:fldChar w:fldCharType="end"/>
      </w:r>
      <w:r w:rsidRPr="00273106">
        <w:t xml:space="preserve">, od reálné první substance, kterou představuje politicky moudrý </w:t>
      </w:r>
      <w:r>
        <w:t xml:space="preserve">občan </w:t>
      </w:r>
      <w:r w:rsidRPr="00273106">
        <w:t xml:space="preserve">formulující </w:t>
      </w:r>
      <w:r>
        <w:t>společný zákon</w:t>
      </w:r>
      <w:r w:rsidRPr="00273106">
        <w:t xml:space="preserve">. </w:t>
      </w:r>
      <w:r>
        <w:t xml:space="preserve">Důsledná obrana autonomie politické racionality </w:t>
      </w:r>
      <w:r>
        <w:lastRenderedPageBreak/>
        <w:t xml:space="preserve">zásadně odlišuje Alberta od Akvinského, protože jeho výklad </w:t>
      </w:r>
      <w:r w:rsidRPr="0842171B">
        <w:rPr>
          <w:i/>
        </w:rPr>
        <w:t>Politiky</w:t>
      </w:r>
      <w:r>
        <w:t xml:space="preserve"> nehledal autonomní politickou racionalitu. Akvinskému stačila socialita blaženého a ctnostného života podle </w:t>
      </w:r>
      <w:r w:rsidRPr="0842171B">
        <w:rPr>
          <w:i/>
        </w:rPr>
        <w:t>Etiky</w:t>
      </w:r>
      <w:r>
        <w:t xml:space="preserve"> </w:t>
      </w:r>
      <w:r w:rsidRPr="0842171B">
        <w:rPr>
          <w:i/>
        </w:rPr>
        <w:t>Nikomachovy</w:t>
      </w:r>
      <w:r>
        <w:t xml:space="preserve">, kterou integroval do unitárního pojetí duchovní a světské moci. Tento politický tomismus hájila pozdější bula </w:t>
      </w:r>
      <w:r w:rsidRPr="00847C3F">
        <w:rPr>
          <w:i/>
        </w:rPr>
        <w:t>Unam Sanctam</w:t>
      </w:r>
      <w:r>
        <w:t>. V postmoderně 19. století navázaly na politický tomismus známé a sporné sylaby a encykliky papežů Pia IX. a Pia X. proti modernismu a liberalismu, které úspěšně pokračovaly v modernistické linii zmateného Tempierova odsouzení aristotelismu z roku 1277. V pojetí božské komedie</w:t>
      </w:r>
      <w:r>
        <w:fldChar w:fldCharType="begin"/>
      </w:r>
      <w:r>
        <w:instrText xml:space="preserve"> XE "</w:instrText>
      </w:r>
      <w:r w:rsidRPr="08D34BDA">
        <w:instrText>božská komedie</w:instrText>
      </w:r>
      <w:r>
        <w:instrText xml:space="preserve">" </w:instrText>
      </w:r>
      <w:r>
        <w:fldChar w:fldCharType="end"/>
      </w:r>
      <w:r>
        <w:t xml:space="preserve"> inscenované Múzami je zřejmé, že tyto encykliky ve skutečnosti odsoudily moderní liberální teorie politiky založené na sociálně pojatém pudu sebezáchovy a pouze sociálním pojetí státu, které měl Akvinský a ne Albert. </w:t>
      </w:r>
    </w:p>
    <w:p w:rsidR="002E2974" w:rsidRDefault="08163013" w:rsidP="08163013">
      <w:r>
        <w:tab/>
        <w:t xml:space="preserve">Dvojí výklad </w:t>
      </w:r>
      <w:r w:rsidRPr="08237EF1">
        <w:rPr>
          <w:i/>
        </w:rPr>
        <w:t>Politiky</w:t>
      </w:r>
      <w:r>
        <w:t xml:space="preserve"> ukázal, že uvnitř prvního averroismu došlo k zásadnímu rozdělení pozic ohledně politické filosofie, které oddělují teokratickou a apolitickou pozici Akvinského od politické aristotelské pozice Alberta a Sigera. Podle těchto znalců Aristotela podaného </w:t>
      </w:r>
      <w:r w:rsidR="00484AF9">
        <w:t>„</w:t>
      </w:r>
      <w:r>
        <w:rPr>
          <w:i/>
        </w:rPr>
        <w:t>ad mentem Averrois</w:t>
      </w:r>
      <w:r w:rsidR="00484AF9">
        <w:t>“</w:t>
      </w:r>
      <w:r>
        <w:t xml:space="preserve"> existují dva d</w:t>
      </w:r>
      <w:r w:rsidRPr="00273106">
        <w:t xml:space="preserve">ůvody </w:t>
      </w:r>
      <w:r>
        <w:t xml:space="preserve">zakládající rodovou </w:t>
      </w:r>
      <w:r w:rsidRPr="00273106">
        <w:t xml:space="preserve">odlišnost </w:t>
      </w:r>
      <w:r>
        <w:t>politiky a etiky. O</w:t>
      </w:r>
      <w:r w:rsidRPr="00273106">
        <w:t xml:space="preserve">ba </w:t>
      </w:r>
      <w:r>
        <w:t xml:space="preserve">argumenty </w:t>
      </w:r>
      <w:r w:rsidRPr="00273106">
        <w:t>mají zásadní charakter</w:t>
      </w:r>
      <w:r>
        <w:t xml:space="preserve"> daný podle principu </w:t>
      </w:r>
      <w:r w:rsidR="00484AF9">
        <w:t>„</w:t>
      </w:r>
      <w:r w:rsidR="08A649EB" w:rsidRPr="00484AF9">
        <w:rPr>
          <w:i/>
        </w:rPr>
        <w:t>ex</w:t>
      </w:r>
      <w:r w:rsidR="08A649EB">
        <w:t xml:space="preserve"> </w:t>
      </w:r>
      <w:r w:rsidR="08A649EB">
        <w:rPr>
          <w:i/>
        </w:rPr>
        <w:t>inmediatis</w:t>
      </w:r>
      <w:r w:rsidR="00484AF9">
        <w:t>“</w:t>
      </w:r>
      <w:r>
        <w:rPr>
          <w:i/>
        </w:rPr>
        <w:fldChar w:fldCharType="begin"/>
      </w:r>
      <w:r>
        <w:instrText xml:space="preserve"> XE "princip </w:instrText>
      </w:r>
      <w:r w:rsidR="08A649EB">
        <w:rPr>
          <w:i/>
        </w:rPr>
        <w:instrText>ex in</w:instrText>
      </w:r>
      <w:r w:rsidRPr="00E62938">
        <w:rPr>
          <w:i/>
        </w:rPr>
        <w:instrText>mediatis</w:instrText>
      </w:r>
      <w:r>
        <w:instrText xml:space="preserve">" </w:instrText>
      </w:r>
      <w:r>
        <w:rPr>
          <w:i/>
        </w:rPr>
        <w:fldChar w:fldCharType="end"/>
      </w:r>
      <w:r>
        <w:t xml:space="preserve"> </w:t>
      </w:r>
      <w:r w:rsidR="00484AF9">
        <w:t xml:space="preserve">z </w:t>
      </w:r>
      <w:r w:rsidRPr="08D746D1">
        <w:rPr>
          <w:i/>
        </w:rPr>
        <w:t>Druhých analytik</w:t>
      </w:r>
      <w:r w:rsidRPr="00273106">
        <w:t xml:space="preserve">. Zákon obce se liší od mravního zákona díky jiné formě extenze teoretického intelektu do praktického. </w:t>
      </w:r>
      <w:r>
        <w:t xml:space="preserve">Praktický intelekt daný eticky je dán individuálně a zákonem rozumu, Desaterem nebo Ježíšovým přikázáním lásky k bližnímu. Praktický intelekt daný politicky je dán komunitně díky společnému spravedlivému zákonu </w:t>
      </w:r>
      <w:r w:rsidRPr="08400A65">
        <w:rPr>
          <w:i/>
        </w:rPr>
        <w:t>respublica</w:t>
      </w:r>
      <w:r>
        <w:t xml:space="preserve"> vypracovaným a dodržovaným svobodnými občany. Svobodná a mravní osoba praktikující osobní dobro není totéž co svobodný a prozíravý občan praktikující spravedlnost. Predikace politického jednání se rodově liší tím, že extenze teoretického intelektu do praktického má jiný charakter než u etiky. </w:t>
      </w:r>
      <w:r w:rsidRPr="00273106">
        <w:t xml:space="preserve">Druhá odlišnost postihuje kauzální střední člen politického soudu. </w:t>
      </w:r>
      <w:r>
        <w:t xml:space="preserve">Politický praktický intelekt jednotlivce není totéž, jako jeho etický praktický intelekt, protože střední člen </w:t>
      </w:r>
      <w:r w:rsidRPr="00D66B54">
        <w:rPr>
          <w:i/>
        </w:rPr>
        <w:t>demonstratio</w:t>
      </w:r>
      <w:r w:rsidRPr="006C7A0F">
        <w:rPr>
          <w:i/>
        </w:rPr>
        <w:fldChar w:fldCharType="begin"/>
      </w:r>
      <w:r w:rsidRPr="006C7A0F">
        <w:instrText xml:space="preserve"> XE "</w:instrText>
      </w:r>
      <w:r>
        <w:instrText>politická racionalita:</w:instrText>
      </w:r>
      <w:r w:rsidRPr="00673CD9">
        <w:rPr>
          <w:i/>
        </w:rPr>
        <w:instrText>demonstratio</w:instrText>
      </w:r>
      <w:r w:rsidRPr="006C7A0F">
        <w:instrText xml:space="preserve">" </w:instrText>
      </w:r>
      <w:r w:rsidRPr="006C7A0F">
        <w:rPr>
          <w:i/>
        </w:rPr>
        <w:fldChar w:fldCharType="end"/>
      </w:r>
      <w:r>
        <w:t xml:space="preserve"> se zásadně liší ve výkonu praktického intelektu. </w:t>
      </w:r>
      <w:r w:rsidRPr="00273106">
        <w:t xml:space="preserve">Politické jednání svobodného občana má formu </w:t>
      </w:r>
      <w:r>
        <w:t xml:space="preserve">isonomické </w:t>
      </w:r>
      <w:r w:rsidRPr="00273106">
        <w:t>kauzality založené ve společně vykonávané svobodě</w:t>
      </w:r>
      <w:r>
        <w:t xml:space="preserve"> dané zákonem obce </w:t>
      </w:r>
      <w:r w:rsidRPr="00273106">
        <w:t>(</w:t>
      </w:r>
      <w:r w:rsidRPr="00273106">
        <w:rPr>
          <w:i/>
        </w:rPr>
        <w:t>lex enim ipsum medium</w:t>
      </w:r>
      <w:r w:rsidRPr="00273106">
        <w:t xml:space="preserve">). </w:t>
      </w:r>
      <w:r>
        <w:t xml:space="preserve">Svobodné jednání sobě rovných občanů proto v závěru soudu </w:t>
      </w:r>
      <w:r w:rsidRPr="00273106">
        <w:t>zakládá jiný druh kauzality</w:t>
      </w:r>
      <w:r>
        <w:t xml:space="preserve"> opřené o společně tvořenou r</w:t>
      </w:r>
      <w:r w:rsidR="00EF1B92">
        <w:t>acionalitu spravedlivého zákona</w:t>
      </w:r>
      <w:r>
        <w:t xml:space="preserve">. Jednání z politicky dané svobody občana má jinou praktickou kauzalitu </w:t>
      </w:r>
      <w:r w:rsidRPr="00273106">
        <w:t xml:space="preserve">než morální jednání jednotlivce vybaveného svobodou </w:t>
      </w:r>
      <w:r>
        <w:t xml:space="preserve">osobní </w:t>
      </w:r>
      <w:r w:rsidRPr="00273106">
        <w:t xml:space="preserve">vůle. Politika a etika jsou </w:t>
      </w:r>
      <w:r>
        <w:t xml:space="preserve">dvě </w:t>
      </w:r>
      <w:r w:rsidRPr="00273106">
        <w:t>genericky odlišné</w:t>
      </w:r>
      <w:r>
        <w:t xml:space="preserve"> </w:t>
      </w:r>
      <w:r>
        <w:lastRenderedPageBreak/>
        <w:t>činnosti</w:t>
      </w:r>
      <w:r w:rsidRPr="00273106">
        <w:t>, proto vyžadují specifický způsob výkladu ve dvou odlišných knihách Aristotela.</w:t>
      </w:r>
      <w:r>
        <w:t xml:space="preserve"> </w:t>
      </w:r>
      <w:r w:rsidRPr="00273106">
        <w:t>Ale cíl obou jedn</w:t>
      </w:r>
      <w:r>
        <w:t>ání je st</w:t>
      </w:r>
      <w:r w:rsidR="00C6562B">
        <w:t>ejný, totiž blaženost svobodné</w:t>
      </w:r>
      <w:r>
        <w:t xml:space="preserve"> </w:t>
      </w:r>
      <w:r w:rsidR="00C6562B">
        <w:t xml:space="preserve">osoby jednající </w:t>
      </w:r>
      <w:r>
        <w:t>morálně a poli</w:t>
      </w:r>
      <w:r w:rsidR="00C6562B">
        <w:t>ti</w:t>
      </w:r>
      <w:r>
        <w:t>cky</w:t>
      </w:r>
      <w:r w:rsidRPr="006C7A0F">
        <w:rPr>
          <w:i/>
        </w:rPr>
        <w:fldChar w:fldCharType="begin"/>
      </w:r>
      <w:r w:rsidRPr="006C7A0F">
        <w:instrText xml:space="preserve"> XE "</w:instrText>
      </w:r>
      <w:r>
        <w:instrText>politická racionalita:</w:instrText>
      </w:r>
      <w:r w:rsidRPr="00673CD9">
        <w:instrText>polit</w:instrText>
      </w:r>
      <w:r>
        <w:instrText>i</w:instrText>
      </w:r>
      <w:r w:rsidRPr="00673CD9">
        <w:instrText>ka/etika</w:instrText>
      </w:r>
      <w:r w:rsidRPr="006C7A0F">
        <w:instrText xml:space="preserve">" </w:instrText>
      </w:r>
      <w:r w:rsidRPr="006C7A0F">
        <w:rPr>
          <w:i/>
        </w:rPr>
        <w:fldChar w:fldCharType="end"/>
      </w:r>
      <w:r>
        <w:t xml:space="preserve">. </w:t>
      </w:r>
      <w:r w:rsidRPr="00273106">
        <w:t xml:space="preserve">První averroismus interpretoval politické a morální učení Aristotela tak, aby zdůraznil rozlišení obou sfér, církevní a světské. </w:t>
      </w:r>
      <w:r>
        <w:t xml:space="preserve">Podobným způsobem argumentovali </w:t>
      </w:r>
      <w:r w:rsidRPr="00273106">
        <w:t xml:space="preserve">magistři Pařížské univerzity v </w:t>
      </w:r>
      <w:r>
        <w:t xml:space="preserve">dubnu </w:t>
      </w:r>
      <w:r w:rsidRPr="00273106">
        <w:t>1272</w:t>
      </w:r>
      <w:r>
        <w:rPr>
          <w:szCs w:val="24"/>
        </w:rPr>
        <w:fldChar w:fldCharType="begin"/>
      </w:r>
      <w:r>
        <w:instrText xml:space="preserve"> XE "</w:instrText>
      </w:r>
      <w:r w:rsidRPr="00FD37CA">
        <w:rPr>
          <w:szCs w:val="24"/>
        </w:rPr>
        <w:instrText>dekret artistů 1272</w:instrText>
      </w:r>
      <w:r>
        <w:instrText xml:space="preserve">" </w:instrText>
      </w:r>
      <w:r>
        <w:rPr>
          <w:szCs w:val="24"/>
        </w:rPr>
        <w:fldChar w:fldCharType="end"/>
      </w:r>
      <w:r w:rsidRPr="00273106">
        <w:t xml:space="preserve"> vzhledem k autonomii filosofie a teo</w:t>
      </w:r>
      <w:r w:rsidR="00602914">
        <w:t>logie</w:t>
      </w:r>
      <w:r w:rsidRPr="00273106">
        <w:t xml:space="preserve">. </w:t>
      </w:r>
      <w:r>
        <w:t xml:space="preserve">Jejich </w:t>
      </w:r>
      <w:r w:rsidR="00C1520D">
        <w:t xml:space="preserve">kritické myšlení </w:t>
      </w:r>
      <w:r w:rsidR="00602914">
        <w:t xml:space="preserve">v téže době </w:t>
      </w:r>
      <w:r>
        <w:t xml:space="preserve">oddělilo etiku od politiky a založilo moderní autonommi politické vědy. Poražený Akvinský odchází z Pařížské univerzity hned po vydání tohoto dekretu. </w:t>
      </w:r>
      <w:r w:rsidR="00C0232F">
        <w:t xml:space="preserve">Akvinský </w:t>
      </w:r>
      <w:r w:rsidR="00C0232F" w:rsidRPr="00C0232F">
        <w:t>prohrál</w:t>
      </w:r>
      <w:r w:rsidR="00C0232F">
        <w:t xml:space="preserve"> dvakrát</w:t>
      </w:r>
      <w:r w:rsidR="00C0232F" w:rsidRPr="00C0232F">
        <w:t>, protože jeho teokratické a čistě sociální pojetí politiky založené v</w:t>
      </w:r>
      <w:r w:rsidR="00C0232F">
        <w:t>ýhradně na sebezáchově nezacho</w:t>
      </w:r>
      <w:r w:rsidR="00C0232F" w:rsidRPr="00C0232F">
        <w:t>valo povahu politické vědy.</w:t>
      </w:r>
      <w:r w:rsidR="00C0232F">
        <w:t xml:space="preserve"> Is</w:t>
      </w:r>
      <w:r w:rsidR="00C0232F" w:rsidRPr="00C0232F">
        <w:t xml:space="preserve">onomické jednání občanů je </w:t>
      </w:r>
      <w:r w:rsidR="00C0232F">
        <w:t xml:space="preserve">odděleno </w:t>
      </w:r>
      <w:r w:rsidR="00C0232F" w:rsidRPr="00C0232F">
        <w:t>od</w:t>
      </w:r>
      <w:r w:rsidR="00C0232F">
        <w:t xml:space="preserve"> nutnosti dané prací a výrobou. </w:t>
      </w:r>
      <w:r w:rsidR="00C0232F" w:rsidRPr="00C0232F">
        <w:t>Arendtová</w:t>
      </w:r>
      <w:r w:rsidR="00C0232F">
        <w:t xml:space="preserve"> ve věku metafyzického nihilismu znovu objevila autentickou povahu politické praxe podle Aristotela. </w:t>
      </w:r>
      <w:r>
        <w:t xml:space="preserve">Republikánská politická škola prvního averroismu </w:t>
      </w:r>
      <w:r w:rsidRPr="00273106">
        <w:t xml:space="preserve">z racionálních důvodů odmítla politické nároky buly </w:t>
      </w:r>
      <w:r w:rsidRPr="00273106">
        <w:rPr>
          <w:i/>
        </w:rPr>
        <w:t>Unam Sanctam</w:t>
      </w:r>
      <w:r>
        <w:t xml:space="preserve"> a trvala na autonomii politické moci panovníka, například francouzského krále nebo německého císaře. Politický averroismus byl inspirován</w:t>
      </w:r>
      <w:r w:rsidRPr="00273106">
        <w:t xml:space="preserve"> univoční ontoteologií druhého averroismu a politického tomismu</w:t>
      </w:r>
      <w:r>
        <w:t>, který reprezentoval Aegidius Romanus</w:t>
      </w:r>
      <w:r w:rsidRPr="08DB1218">
        <w:t xml:space="preserve"> </w:t>
      </w:r>
      <w:r>
        <w:t xml:space="preserve">okolo roku 1300. Tento semiaverroista vzešlý ze školy prvního averroismu byl historicky prvním tomistou a teokratem. To dokazuje jak jeho sofistika ohledně výkladu </w:t>
      </w:r>
      <w:r w:rsidRPr="009F2FA8">
        <w:rPr>
          <w:i/>
        </w:rPr>
        <w:t>De anima</w:t>
      </w:r>
      <w:r>
        <w:t xml:space="preserve">, tak jeho útok na Averroese a teoretická koncepce buly </w:t>
      </w:r>
      <w:r>
        <w:rPr>
          <w:i/>
        </w:rPr>
        <w:t>Unam Sanctam</w:t>
      </w:r>
      <w:r>
        <w:t xml:space="preserve"> daná v jeho díle </w:t>
      </w:r>
      <w:r w:rsidRPr="00C801BA">
        <w:rPr>
          <w:i/>
        </w:rPr>
        <w:t>De Ecclesiastica potestate</w:t>
      </w:r>
      <w:r>
        <w:rPr>
          <w:rStyle w:val="st"/>
        </w:rPr>
        <w:t xml:space="preserve"> (1301). Na druhé straně stále výše uvedená skupina aristoteliků všeho druhu, která sahala až ke svobodomyslným dekretalistům v papežské konzistoři jako byl výše citovaný Oldradus de </w:t>
      </w:r>
      <w:proofErr w:type="gramStart"/>
      <w:r>
        <w:rPr>
          <w:rStyle w:val="st"/>
        </w:rPr>
        <w:t>Ponte</w:t>
      </w:r>
      <w:proofErr w:type="gramEnd"/>
      <w:r>
        <w:rPr>
          <w:rStyle w:val="st"/>
        </w:rPr>
        <w:t xml:space="preserve"> (kap. </w:t>
      </w:r>
      <w:r w:rsidR="00075539">
        <w:rPr>
          <w:rStyle w:val="st"/>
        </w:rPr>
        <w:t>6</w:t>
      </w:r>
      <w:r>
        <w:rPr>
          <w:rStyle w:val="st"/>
        </w:rPr>
        <w:t xml:space="preserve">). </w:t>
      </w:r>
      <w:r w:rsidRPr="00273106">
        <w:t>Dante</w:t>
      </w:r>
      <w:r>
        <w:fldChar w:fldCharType="begin"/>
      </w:r>
      <w:r>
        <w:instrText xml:space="preserve"> XE "</w:instrText>
      </w:r>
      <w:r w:rsidRPr="00E871B9">
        <w:instrText>Dante, A.</w:instrText>
      </w:r>
      <w:r>
        <w:instrText xml:space="preserve">" </w:instrText>
      </w:r>
      <w:r>
        <w:fldChar w:fldCharType="end"/>
      </w:r>
      <w:r w:rsidR="005361D1">
        <w:t xml:space="preserve"> argumentoval</w:t>
      </w:r>
      <w:r w:rsidRPr="00273106">
        <w:t xml:space="preserve"> proti redukci obou mocí na monarchickou vládu papeže</w:t>
      </w:r>
      <w:r w:rsidR="006F302E">
        <w:t xml:space="preserve"> a inspiroval se autonomií </w:t>
      </w:r>
      <w:r w:rsidR="006F302E" w:rsidRPr="00273106">
        <w:t>politiky</w:t>
      </w:r>
      <w:r w:rsidR="006F302E">
        <w:t xml:space="preserve">, kterou založil </w:t>
      </w:r>
      <w:r>
        <w:t>Albert a Siger</w:t>
      </w:r>
      <w:r w:rsidRPr="00273106">
        <w:t xml:space="preserve">. </w:t>
      </w:r>
      <w:r>
        <w:t>Dantova r</w:t>
      </w:r>
      <w:r w:rsidRPr="00273106">
        <w:t xml:space="preserve">acionální formulace podstaty politiky podle Aristotelovy </w:t>
      </w:r>
      <w:r w:rsidRPr="080238A4">
        <w:rPr>
          <w:i/>
        </w:rPr>
        <w:t>Etiky</w:t>
      </w:r>
      <w:r w:rsidRPr="00273106">
        <w:t xml:space="preserve"> a </w:t>
      </w:r>
      <w:r w:rsidRPr="080238A4">
        <w:rPr>
          <w:i/>
        </w:rPr>
        <w:t>Politiky</w:t>
      </w:r>
      <w:r w:rsidRPr="00273106">
        <w:t xml:space="preserve"> se zásadně odlišuje od biblických a teologických spekulací druhého averroismu</w:t>
      </w:r>
      <w:r>
        <w:t xml:space="preserve"> a také od teokratického semiaverroismu Akvinského a Aegidia</w:t>
      </w:r>
      <w:r w:rsidRPr="00273106">
        <w:t xml:space="preserve">. Danteho spis </w:t>
      </w:r>
      <w:r w:rsidRPr="00273106">
        <w:rPr>
          <w:i/>
        </w:rPr>
        <w:t>Monarchia</w:t>
      </w:r>
      <w:r w:rsidRPr="00273106">
        <w:t xml:space="preserve"> inspirovaly výše uvedené monarchistické a universalistické pasáže z Albertova výkladu </w:t>
      </w:r>
      <w:r w:rsidRPr="087D1A75">
        <w:rPr>
          <w:i/>
        </w:rPr>
        <w:t>Etiky</w:t>
      </w:r>
      <w:r w:rsidRPr="00273106">
        <w:t xml:space="preserve"> ve spojení s uvedeným výkladem </w:t>
      </w:r>
      <w:r w:rsidRPr="087D1A75">
        <w:rPr>
          <w:i/>
        </w:rPr>
        <w:t>Politiky</w:t>
      </w:r>
      <w:r w:rsidRPr="00273106">
        <w:t xml:space="preserve">. Básník a myslitel vyhnaný ze svého rodného města za politickou činnost hájící zájmy Florencie proti papeži Bonifáci VIII. </w:t>
      </w:r>
      <w:r>
        <w:t xml:space="preserve">jako autorovi buly </w:t>
      </w:r>
      <w:r>
        <w:rPr>
          <w:i/>
        </w:rPr>
        <w:t>Unam Sanctam</w:t>
      </w:r>
      <w:r>
        <w:t xml:space="preserve"> </w:t>
      </w:r>
      <w:r w:rsidRPr="00273106">
        <w:t>vyvodil z filosofie Alberta a Sigera správné závěry. Lidstvo dosáhne svůj pozemský cíl skrze poznání inspirované filosoficky (</w:t>
      </w:r>
      <w:r w:rsidRPr="00273106">
        <w:rPr>
          <w:i/>
        </w:rPr>
        <w:t>ab humana ratione que per phylosophos tota nobis innotuit;</w:t>
      </w:r>
      <w:r w:rsidRPr="00273106">
        <w:t xml:space="preserve"> </w:t>
      </w:r>
      <w:r w:rsidRPr="00273106">
        <w:rPr>
          <w:i/>
        </w:rPr>
        <w:t>Mon</w:t>
      </w:r>
      <w:r w:rsidRPr="00273106">
        <w:t xml:space="preserve">. </w:t>
      </w:r>
      <w:r w:rsidRPr="00273106">
        <w:lastRenderedPageBreak/>
        <w:t>3.15.9</w:t>
      </w:r>
      <w:r>
        <w:fldChar w:fldCharType="begin"/>
      </w:r>
      <w:r>
        <w:instrText xml:space="preserve"> XE "Dante:</w:instrText>
      </w:r>
      <w:r w:rsidRPr="000B4C78">
        <w:rPr>
          <w:i/>
        </w:rPr>
        <w:instrText>Mon</w:instrText>
      </w:r>
      <w:r>
        <w:rPr>
          <w:i/>
        </w:rPr>
        <w:instrText>archia</w:instrText>
      </w:r>
      <w:r w:rsidRPr="000B4C78">
        <w:instrText xml:space="preserve"> 3.15.9</w:instrText>
      </w:r>
      <w:r>
        <w:instrText xml:space="preserve">" </w:instrText>
      </w:r>
      <w:r>
        <w:fldChar w:fldCharType="end"/>
      </w:r>
      <w:r w:rsidRPr="00273106">
        <w:t>). Tento cíl člověka a lidstva aktualizujeme skrze morální a intelektuální ctnosti (</w:t>
      </w:r>
      <w:r w:rsidRPr="00273106">
        <w:rPr>
          <w:i/>
        </w:rPr>
        <w:t>illa sequamur secundum virtutes morales et intellectuales operando;</w:t>
      </w:r>
      <w:r w:rsidRPr="00273106">
        <w:t xml:space="preserve"> </w:t>
      </w:r>
      <w:r w:rsidRPr="00273106">
        <w:rPr>
          <w:i/>
        </w:rPr>
        <w:t>Mon</w:t>
      </w:r>
      <w:r w:rsidRPr="00273106">
        <w:t>. 3.15.8</w:t>
      </w:r>
      <w:r>
        <w:fldChar w:fldCharType="begin"/>
      </w:r>
      <w:r>
        <w:instrText xml:space="preserve"> XE "Dante:</w:instrText>
      </w:r>
      <w:r w:rsidRPr="000B4C78">
        <w:rPr>
          <w:i/>
        </w:rPr>
        <w:instrText>Mon</w:instrText>
      </w:r>
      <w:r>
        <w:rPr>
          <w:i/>
        </w:rPr>
        <w:instrText>archia</w:instrText>
      </w:r>
      <w:r>
        <w:instrText xml:space="preserve"> 3.15.8" </w:instrText>
      </w:r>
      <w:r>
        <w:fldChar w:fldCharType="end"/>
      </w:r>
      <w:r w:rsidRPr="00273106">
        <w:t>). Navíc se blaženosti dosahuje dvěma různými styly života (</w:t>
      </w:r>
      <w:r w:rsidRPr="00273106">
        <w:rPr>
          <w:i/>
        </w:rPr>
        <w:t>vita activa</w:t>
      </w:r>
      <w:r w:rsidRPr="00273106">
        <w:t xml:space="preserve">, </w:t>
      </w:r>
      <w:r w:rsidRPr="00273106">
        <w:rPr>
          <w:i/>
        </w:rPr>
        <w:t>contemplativa</w:t>
      </w:r>
      <w:r w:rsidRPr="00273106">
        <w:t>). Římský papež vede lidstvo k věčnému životu v souladu se zjevenou pravdou (</w:t>
      </w:r>
      <w:r w:rsidRPr="00273106">
        <w:rPr>
          <w:i/>
        </w:rPr>
        <w:t xml:space="preserve">secundum revelata humanum </w:t>
      </w:r>
      <w:r w:rsidR="00962190">
        <w:rPr>
          <w:i/>
        </w:rPr>
        <w:t>genus</w:t>
      </w:r>
      <w:r w:rsidRPr="00273106">
        <w:rPr>
          <w:i/>
        </w:rPr>
        <w:t xml:space="preserve"> perduceret ad vitam ecternam</w:t>
      </w:r>
      <w:r w:rsidRPr="00273106">
        <w:t xml:space="preserve">; </w:t>
      </w:r>
      <w:r w:rsidRPr="00273106">
        <w:rPr>
          <w:i/>
        </w:rPr>
        <w:t>Mon</w:t>
      </w:r>
      <w:r w:rsidRPr="00273106">
        <w:t>. 3.15.10</w:t>
      </w:r>
      <w:r>
        <w:fldChar w:fldCharType="begin"/>
      </w:r>
      <w:r>
        <w:instrText xml:space="preserve"> XE "Dante:</w:instrText>
      </w:r>
      <w:r w:rsidRPr="000B4C78">
        <w:rPr>
          <w:i/>
        </w:rPr>
        <w:instrText>Mon</w:instrText>
      </w:r>
      <w:r>
        <w:rPr>
          <w:i/>
        </w:rPr>
        <w:instrText>archia</w:instrText>
      </w:r>
      <w:r>
        <w:instrText xml:space="preserve"> 3.15.10" </w:instrText>
      </w:r>
      <w:r>
        <w:fldChar w:fldCharType="end"/>
      </w:r>
      <w:r w:rsidRPr="00273106">
        <w:t xml:space="preserve">). </w:t>
      </w:r>
      <w:r>
        <w:t xml:space="preserve">Univerzální </w:t>
      </w:r>
      <w:r w:rsidRPr="00273106">
        <w:t>monarcha vede lidstvo k pozemské blaženosti v souladu s učením filosofie (</w:t>
      </w:r>
      <w:r w:rsidRPr="00273106">
        <w:rPr>
          <w:i/>
        </w:rPr>
        <w:t xml:space="preserve">secundum phylosophica documenta </w:t>
      </w:r>
      <w:r w:rsidR="00962190">
        <w:rPr>
          <w:i/>
        </w:rPr>
        <w:t>genus</w:t>
      </w:r>
      <w:r w:rsidRPr="00273106">
        <w:rPr>
          <w:i/>
        </w:rPr>
        <w:t xml:space="preserve"> humanum ad temporalem felicitatem dirigeret;</w:t>
      </w:r>
      <w:r w:rsidRPr="00273106">
        <w:t xml:space="preserve"> </w:t>
      </w:r>
      <w:r w:rsidRPr="00273106">
        <w:rPr>
          <w:i/>
        </w:rPr>
        <w:t>Mon</w:t>
      </w:r>
      <w:r w:rsidRPr="00273106">
        <w:t>. 3.15.10). Poslední jednota obou cest k blaženému životu vzhledem k určení člověka v bohu (</w:t>
      </w:r>
      <w:r w:rsidRPr="00273106">
        <w:rPr>
          <w:i/>
        </w:rPr>
        <w:t>mortalis ista felicitas quodammodo ad inmortalem felicitatem ordinetur;</w:t>
      </w:r>
      <w:r w:rsidRPr="00273106">
        <w:t xml:space="preserve"> </w:t>
      </w:r>
      <w:r w:rsidRPr="00273106">
        <w:rPr>
          <w:i/>
        </w:rPr>
        <w:t>Mon</w:t>
      </w:r>
      <w:r w:rsidRPr="00273106">
        <w:t>. 3.15.17</w:t>
      </w:r>
      <w:r>
        <w:fldChar w:fldCharType="begin"/>
      </w:r>
      <w:r>
        <w:instrText xml:space="preserve"> XE "Dante:</w:instrText>
      </w:r>
      <w:r w:rsidRPr="000B4C78">
        <w:rPr>
          <w:i/>
        </w:rPr>
        <w:instrText>Mon</w:instrText>
      </w:r>
      <w:r>
        <w:rPr>
          <w:i/>
        </w:rPr>
        <w:instrText>archia</w:instrText>
      </w:r>
      <w:r>
        <w:instrText xml:space="preserve"> 3.15.17" </w:instrText>
      </w:r>
      <w:r>
        <w:fldChar w:fldCharType="end"/>
      </w:r>
      <w:r w:rsidRPr="00273106">
        <w:t>). Až poslední u</w:t>
      </w:r>
      <w:r>
        <w:t>r</w:t>
      </w:r>
      <w:r w:rsidRPr="00273106">
        <w:t>čení člověka vzhledem k bohu zavržuje dualismus obou cest, politicko-etické a náboženské</w:t>
      </w:r>
      <w:r>
        <w:fldChar w:fldCharType="begin"/>
      </w:r>
      <w:r>
        <w:instrText xml:space="preserve"> XE "</w:instrText>
      </w:r>
      <w:r w:rsidRPr="000459CB">
        <w:instrText>politická racionalita:Dante</w:instrText>
      </w:r>
      <w:r>
        <w:instrText xml:space="preserve">" </w:instrText>
      </w:r>
      <w:r>
        <w:fldChar w:fldCharType="end"/>
      </w:r>
      <w:r w:rsidRPr="00273106">
        <w:t>. Dante</w:t>
      </w:r>
      <w:r>
        <w:t xml:space="preserve">ho politický spis </w:t>
      </w:r>
      <w:r w:rsidRPr="00273106">
        <w:t>argumentuje ve stylu prvního averroismu</w:t>
      </w:r>
      <w:r>
        <w:t xml:space="preserve"> a je přímo </w:t>
      </w:r>
      <w:r w:rsidRPr="00273106">
        <w:t xml:space="preserve">inspirovaný Albertovým výkladem </w:t>
      </w:r>
      <w:r w:rsidRPr="088B22EA">
        <w:rPr>
          <w:i/>
        </w:rPr>
        <w:t>Etiky Nikomachovy</w:t>
      </w:r>
      <w:r w:rsidRPr="00273106">
        <w:t xml:space="preserve"> a </w:t>
      </w:r>
      <w:r w:rsidRPr="088B22EA">
        <w:rPr>
          <w:i/>
        </w:rPr>
        <w:t>Politiky</w:t>
      </w:r>
      <w:r w:rsidRPr="00273106">
        <w:t xml:space="preserve">. </w:t>
      </w:r>
      <w:r>
        <w:t>Podobnou lini měl okolo roku 1270 také Siger a florenťan Latini</w:t>
      </w:r>
      <w:r>
        <w:fldChar w:fldCharType="begin"/>
      </w:r>
      <w:r>
        <w:instrText xml:space="preserve"> XE "</w:instrText>
      </w:r>
      <w:r w:rsidRPr="080B3626">
        <w:instrText>Latini, B.</w:instrText>
      </w:r>
      <w:r>
        <w:instrText xml:space="preserve">" </w:instrText>
      </w:r>
      <w:r>
        <w:fldChar w:fldCharType="end"/>
      </w:r>
      <w:r>
        <w:t xml:space="preserve">, ale to nevíme s jistotou. Danteho </w:t>
      </w:r>
      <w:r w:rsidRPr="00273106">
        <w:t>politická teorie staví na extenzi teoretického intelektu do prak</w:t>
      </w:r>
      <w:r>
        <w:t>tického podle Averroesovy meta</w:t>
      </w:r>
      <w:r w:rsidRPr="00273106">
        <w:t>fyziky aktuální první substance, kterou Albert vzal za základ pro aristotelské pojetí první vědy (kap. 4.4.3).</w:t>
      </w:r>
      <w:r>
        <w:t xml:space="preserve"> </w:t>
      </w:r>
      <w:r w:rsidRPr="00273106">
        <w:t>Nyní je jasné, proč Guido Vernani</w:t>
      </w:r>
      <w:r>
        <w:fldChar w:fldCharType="begin"/>
      </w:r>
      <w:r>
        <w:instrText xml:space="preserve"> XE "</w:instrText>
      </w:r>
      <w:r w:rsidRPr="001F3FBE">
        <w:instrText>Guido Vernani</w:instrText>
      </w:r>
      <w:r>
        <w:instrText xml:space="preserve">" </w:instrText>
      </w:r>
      <w:r>
        <w:fldChar w:fldCharType="end"/>
      </w:r>
      <w:r w:rsidRPr="00273106">
        <w:t xml:space="preserve"> ve spise </w:t>
      </w:r>
      <w:r w:rsidRPr="00273106">
        <w:rPr>
          <w:i/>
        </w:rPr>
        <w:t>Contro Dante</w:t>
      </w:r>
      <w:r w:rsidRPr="00273106">
        <w:t xml:space="preserve"> (1329) považoval Danteho dílo </w:t>
      </w:r>
      <w:r w:rsidRPr="00273106">
        <w:rPr>
          <w:i/>
        </w:rPr>
        <w:t>Monarchia</w:t>
      </w:r>
      <w:r>
        <w:t xml:space="preserve"> za </w:t>
      </w:r>
      <w:r w:rsidRPr="00273106">
        <w:t>averroi</w:t>
      </w:r>
      <w:r>
        <w:t>stický</w:t>
      </w:r>
      <w:r w:rsidRPr="00273106">
        <w:t xml:space="preserve"> spis. </w:t>
      </w:r>
      <w:r>
        <w:t xml:space="preserve">Správně viděl vliv Averroesovy filosofe v Dantově díle, ale mylně ji chápal v modernistickém smyslu tehdejšího druhého averroismu. </w:t>
      </w:r>
      <w:r w:rsidRPr="00273106">
        <w:t xml:space="preserve">Tento </w:t>
      </w:r>
      <w:r>
        <w:t>zcela modern</w:t>
      </w:r>
      <w:r w:rsidR="006F302E">
        <w:t xml:space="preserve">istický </w:t>
      </w:r>
      <w:r w:rsidR="001A002E">
        <w:t>dominikán chápal</w:t>
      </w:r>
      <w:r w:rsidRPr="00273106">
        <w:t xml:space="preserve"> Aristotelovu </w:t>
      </w:r>
      <w:r w:rsidRPr="088B22EA">
        <w:rPr>
          <w:i/>
        </w:rPr>
        <w:t>Politiku</w:t>
      </w:r>
      <w:r w:rsidRPr="00273106">
        <w:t xml:space="preserve"> v abstraktním univočním pojetí </w:t>
      </w:r>
      <w:r>
        <w:t xml:space="preserve">hypostázovaného </w:t>
      </w:r>
      <w:r w:rsidRPr="00273106">
        <w:t>dobra.</w:t>
      </w:r>
      <w:r w:rsidRPr="00273106">
        <w:rPr>
          <w:rStyle w:val="Znakapoznpodarou"/>
        </w:rPr>
        <w:footnoteReference w:id="577"/>
      </w:r>
      <w:r w:rsidRPr="00273106">
        <w:t xml:space="preserve"> Vernani vyčítá Dantemu dualismus založený na dvou pojetích blaženosti a hájí univoční pojetí </w:t>
      </w:r>
      <w:r>
        <w:t>vlády v rámci jedné univerzální</w:t>
      </w:r>
      <w:r w:rsidRPr="00273106">
        <w:t xml:space="preserve"> </w:t>
      </w:r>
      <w:r w:rsidR="00962190">
        <w:rPr>
          <w:i/>
        </w:rPr>
        <w:t>species</w:t>
      </w:r>
      <w:r w:rsidRPr="00273106">
        <w:t xml:space="preserve"> moci a vlády (</w:t>
      </w:r>
      <w:r w:rsidRPr="00273106">
        <w:rPr>
          <w:i/>
        </w:rPr>
        <w:t>regimen universale</w:t>
      </w:r>
      <w:r w:rsidRPr="00273106">
        <w:t>), které lze dělit na různé podskupiny (</w:t>
      </w:r>
      <w:r w:rsidRPr="00273106">
        <w:rPr>
          <w:i/>
        </w:rPr>
        <w:t>regimen</w:t>
      </w:r>
      <w:r w:rsidRPr="00273106">
        <w:t xml:space="preserve"> </w:t>
      </w:r>
      <w:r w:rsidRPr="00273106">
        <w:rPr>
          <w:i/>
        </w:rPr>
        <w:t>ecclesiasticum</w:t>
      </w:r>
      <w:r w:rsidRPr="00273106">
        <w:t xml:space="preserve">, </w:t>
      </w:r>
      <w:r w:rsidRPr="00273106">
        <w:rPr>
          <w:i/>
        </w:rPr>
        <w:t>civile</w:t>
      </w:r>
      <w:r w:rsidRPr="00273106">
        <w:t xml:space="preserve">). </w:t>
      </w:r>
      <w:r w:rsidR="00187D92">
        <w:t xml:space="preserve">Jeho dělení odpovídá předešlým interpretacím </w:t>
      </w:r>
      <w:r w:rsidR="00187D92" w:rsidRPr="00187D92">
        <w:rPr>
          <w:i/>
        </w:rPr>
        <w:t>Etiky Nikomachovy</w:t>
      </w:r>
      <w:r w:rsidR="00187D92">
        <w:t xml:space="preserve"> podle druhého averroismu (kap. 6.1). </w:t>
      </w:r>
      <w:r w:rsidRPr="00273106">
        <w:t xml:space="preserve">V ontoteologickém scénáři druhého averroismu nemůže politická praxe </w:t>
      </w:r>
      <w:r>
        <w:t xml:space="preserve">a racionalita </w:t>
      </w:r>
      <w:r w:rsidR="00187D92">
        <w:t>mít samostatnou definici</w:t>
      </w:r>
      <w:r>
        <w:fldChar w:fldCharType="begin"/>
      </w:r>
      <w:r>
        <w:instrText xml:space="preserve"> XE "</w:instrText>
      </w:r>
      <w:r w:rsidRPr="009D76C1">
        <w:instrText>politická racionalita:druhý averroismus</w:instrText>
      </w:r>
      <w:r>
        <w:instrText xml:space="preserve">" </w:instrText>
      </w:r>
      <w:r>
        <w:fldChar w:fldCharType="end"/>
      </w:r>
      <w:r>
        <w:t xml:space="preserve">. </w:t>
      </w:r>
      <w:r w:rsidR="00187D92">
        <w:t>A navíc platí, že z perspektivy chybně vytvořené „</w:t>
      </w:r>
      <w:r w:rsidR="00187D92">
        <w:rPr>
          <w:i/>
        </w:rPr>
        <w:t>Unified Scie</w:t>
      </w:r>
      <w:r w:rsidR="00187D92" w:rsidRPr="00187D92">
        <w:rPr>
          <w:i/>
        </w:rPr>
        <w:t>nce</w:t>
      </w:r>
      <w:r w:rsidR="00277FDA">
        <w:rPr>
          <w:i/>
        </w:rPr>
        <w:fldChar w:fldCharType="begin"/>
      </w:r>
      <w:r w:rsidR="00277FDA">
        <w:instrText xml:space="preserve"> XE "</w:instrText>
      </w:r>
      <w:r w:rsidR="00277FDA" w:rsidRPr="007145AF">
        <w:rPr>
          <w:i/>
        </w:rPr>
        <w:instrText>Unified Science</w:instrText>
      </w:r>
      <w:r w:rsidR="00277FDA">
        <w:instrText xml:space="preserve">" </w:instrText>
      </w:r>
      <w:r w:rsidR="00277FDA">
        <w:rPr>
          <w:i/>
        </w:rPr>
        <w:fldChar w:fldCharType="end"/>
      </w:r>
      <w:r w:rsidR="00187D92">
        <w:t xml:space="preserve">“ </w:t>
      </w:r>
      <w:r w:rsidR="00187D92">
        <w:lastRenderedPageBreak/>
        <w:t>moderny jsou sprvně vytvořené dedukce tak zvaně „averroi</w:t>
      </w:r>
      <w:r w:rsidR="00044230">
        <w:t>s</w:t>
      </w:r>
      <w:r w:rsidR="00187D92">
        <w:t>tické“</w:t>
      </w:r>
      <w:r w:rsidR="00044230">
        <w:t>, protož</w:t>
      </w:r>
      <w:r w:rsidR="00187D92">
        <w:t xml:space="preserve">e trvají </w:t>
      </w:r>
      <w:r w:rsidR="00044230">
        <w:t>n</w:t>
      </w:r>
      <w:r w:rsidR="00187D92">
        <w:t>a generi</w:t>
      </w:r>
      <w:r w:rsidR="00044230">
        <w:t>c</w:t>
      </w:r>
      <w:r w:rsidR="00187D92">
        <w:t xml:space="preserve">kém rozlišení věd podle správně provedené dedukce. </w:t>
      </w:r>
      <w:r w:rsidRPr="00273106">
        <w:t>To tvrdil po Albertovi i Dante</w:t>
      </w:r>
      <w:r>
        <w:fldChar w:fldCharType="begin"/>
      </w:r>
      <w:r>
        <w:instrText xml:space="preserve"> XE "</w:instrText>
      </w:r>
      <w:r w:rsidRPr="00E871B9">
        <w:instrText>Dante, A.</w:instrText>
      </w:r>
      <w:r>
        <w:instrText xml:space="preserve">" </w:instrText>
      </w:r>
      <w:r>
        <w:fldChar w:fldCharType="end"/>
      </w:r>
      <w:r w:rsidRPr="00273106">
        <w:t xml:space="preserve">, a tím položil další stavební kámen k základům budoucího humanismu v návaznosti na již vyložené jednání jednotlivce podle Sigera </w:t>
      </w:r>
      <w:r w:rsidR="00B1327F">
        <w:t>(kap. 4</w:t>
      </w:r>
      <w:r>
        <w:t>.4.3</w:t>
      </w:r>
      <w:r w:rsidRPr="00273106">
        <w:t xml:space="preserve">). </w:t>
      </w:r>
      <w:r>
        <w:t>Kosmopolitní Kant pak tuto linii potvrdil i pro postmodernu, ale bohužel mimo autonomní politickou racionalitu. Kant skončil u kritiky praktického rozumu daného pouze eticky a nenapsal žád</w:t>
      </w:r>
      <w:r w:rsidR="002E2974">
        <w:t>nou kritiku politického rozumu.</w:t>
      </w:r>
    </w:p>
    <w:p w:rsidR="00216D5F" w:rsidRDefault="08163013" w:rsidP="002E2974">
      <w:pPr>
        <w:ind w:firstLine="397"/>
      </w:pPr>
      <w:r>
        <w:t xml:space="preserve">Arentová řešila klíčovou otázku filosofického zdůvodnění politické racionality, tedy extenzi teoretického intelektu do praktického, odkazem nikoliv na politického racionalistu Aristotela a Alberta, ale na postmoderního Kanta. Jeho termín </w:t>
      </w:r>
      <w:r w:rsidR="008140E9">
        <w:t>„</w:t>
      </w:r>
      <w:r w:rsidRPr="08CE05E7">
        <w:rPr>
          <w:i/>
        </w:rPr>
        <w:t>erweiterte Denkungsart</w:t>
      </w:r>
      <w:r w:rsidR="008140E9">
        <w:t>“</w:t>
      </w:r>
      <w:r w:rsidR="00256E9A">
        <w:t xml:space="preserve"> patří ke třem maximám, které </w:t>
      </w:r>
      <w:r>
        <w:t xml:space="preserve">v </w:t>
      </w:r>
      <w:r w:rsidRPr="08CE05E7">
        <w:rPr>
          <w:i/>
        </w:rPr>
        <w:t>Kritice soudnosti</w:t>
      </w:r>
      <w:r>
        <w:t xml:space="preserve"> </w:t>
      </w:r>
      <w:r w:rsidR="00256E9A">
        <w:t xml:space="preserve">definují univerzalizaci </w:t>
      </w:r>
      <w:r>
        <w:t>maxim</w:t>
      </w:r>
      <w:r w:rsidR="00256E9A">
        <w:t>,</w:t>
      </w:r>
      <w:r>
        <w:t xml:space="preserve"> </w:t>
      </w:r>
      <w:r w:rsidR="00256E9A">
        <w:t xml:space="preserve">a tím i </w:t>
      </w:r>
      <w:r>
        <w:t xml:space="preserve">Kantovo </w:t>
      </w:r>
      <w:r>
        <w:rPr>
          <w:iCs/>
        </w:rPr>
        <w:t xml:space="preserve">pojetí </w:t>
      </w:r>
      <w:r>
        <w:rPr>
          <w:i/>
          <w:iCs/>
        </w:rPr>
        <w:t>sensus communis</w:t>
      </w:r>
      <w:r>
        <w:rPr>
          <w:i/>
          <w:iCs/>
        </w:rPr>
        <w:fldChar w:fldCharType="begin"/>
      </w:r>
      <w:r>
        <w:instrText xml:space="preserve"> XE "</w:instrText>
      </w:r>
      <w:r>
        <w:rPr>
          <w:i/>
          <w:iCs/>
        </w:rPr>
        <w:instrText>sensus communis</w:instrText>
      </w:r>
      <w:r>
        <w:instrText xml:space="preserve">" </w:instrText>
      </w:r>
      <w:r>
        <w:rPr>
          <w:i/>
          <w:iCs/>
        </w:rPr>
        <w:fldChar w:fldCharType="end"/>
      </w:r>
      <w:r>
        <w:t>.</w:t>
      </w:r>
      <w:r>
        <w:rPr>
          <w:rStyle w:val="Znakapoznpodarou"/>
          <w:color w:val="000000"/>
        </w:rPr>
        <w:footnoteReference w:id="578"/>
      </w:r>
      <w:r>
        <w:t xml:space="preserve"> Arentová vzala rozšiřující způsob myšlení jako základ pro politické pojetí svobody ve smyslu antické </w:t>
      </w:r>
      <w:r w:rsidRPr="085E2438">
        <w:rPr>
          <w:i/>
        </w:rPr>
        <w:t>scholé</w:t>
      </w:r>
      <w:r>
        <w:t xml:space="preserve">. Tuto činnost určující svobodnou osobu v modu </w:t>
      </w:r>
      <w:r w:rsidR="00256E9A">
        <w:t>„</w:t>
      </w:r>
      <w:r w:rsidRPr="085E2438">
        <w:rPr>
          <w:i/>
        </w:rPr>
        <w:t>free for world</w:t>
      </w:r>
      <w:r w:rsidR="00256E9A">
        <w:t>“</w:t>
      </w:r>
      <w:r>
        <w:t xml:space="preserve"> chápe jako nezaujatou schopnost svobodných lidí poznávat svět ve společenství jiných svobodných lidí podle Kantova pojmu </w:t>
      </w:r>
      <w:r w:rsidRPr="088F5D81">
        <w:rPr>
          <w:i/>
        </w:rPr>
        <w:t>uninteressierte</w:t>
      </w:r>
      <w:r>
        <w:rPr>
          <w:i/>
        </w:rPr>
        <w:t>s</w:t>
      </w:r>
      <w:r w:rsidRPr="088F5D81">
        <w:rPr>
          <w:i/>
        </w:rPr>
        <w:t xml:space="preserve"> Wohlgefallen</w:t>
      </w:r>
      <w:r>
        <w:t xml:space="preserve"> (</w:t>
      </w:r>
      <w:r w:rsidRPr="085E2438">
        <w:t>Arendt</w:t>
      </w:r>
      <w:r>
        <w:t xml:space="preserve"> 1961, 210). Takto získaná kritická schopnost vidí svět očima</w:t>
      </w:r>
      <w:r w:rsidRPr="08E74FD3">
        <w:t xml:space="preserve"> </w:t>
      </w:r>
      <w:r>
        <w:t>druhých lidí, proto může založit společný svět</w:t>
      </w:r>
      <w:r w:rsidRPr="088667F7">
        <w:t xml:space="preserve"> </w:t>
      </w:r>
      <w:r>
        <w:t xml:space="preserve">svobodných občanů. Arendtová se pokusila odvodit z Kantovy </w:t>
      </w:r>
      <w:r w:rsidRPr="080A1195">
        <w:rPr>
          <w:i/>
        </w:rPr>
        <w:t>Kritiky soudnosti</w:t>
      </w:r>
      <w:r>
        <w:t xml:space="preserve"> novou formu politické racionality, ale z podstaty věci nemohla uspět. Kant není aristotelik, ale postmodernista. Výsledkem postmoderního </w:t>
      </w:r>
      <w:r w:rsidRPr="085E2438">
        <w:rPr>
          <w:i/>
        </w:rPr>
        <w:t>Irrtum</w:t>
      </w:r>
      <w:r>
        <w:t xml:space="preserve"> politické racionality definované podle Kantovy transcendentální filosofie soudnosti je podceněná role politického zákona jako </w:t>
      </w:r>
      <w:r w:rsidRPr="085E2438">
        <w:rPr>
          <w:i/>
        </w:rPr>
        <w:t>medium</w:t>
      </w:r>
      <w:r>
        <w:t xml:space="preserve"> nezbytného pro racionální definici občanské praxe. Aristoteles a republikánský prvním averroismus našel a definoval autonomní racionalitu obce danou společným zákonem. Arendtová</w:t>
      </w:r>
      <w:r>
        <w:fldChar w:fldCharType="begin"/>
      </w:r>
      <w:r>
        <w:instrText xml:space="preserve"> XE "</w:instrText>
      </w:r>
      <w:r w:rsidRPr="08C5644A">
        <w:instrText>Arendt, H.</w:instrText>
      </w:r>
      <w:r>
        <w:instrText xml:space="preserve">" </w:instrText>
      </w:r>
      <w:r>
        <w:fldChar w:fldCharType="end"/>
      </w:r>
      <w:r>
        <w:t xml:space="preserve"> odkazem na extenzi praktického intelektu podle Kanta redukovala politický </w:t>
      </w:r>
      <w:r w:rsidRPr="084B459F">
        <w:rPr>
          <w:i/>
        </w:rPr>
        <w:t>intellectus practicus</w:t>
      </w:r>
      <w:r>
        <w:t xml:space="preserve"> na novou formu teoretického intelektu a ze svobody udělala novou formu porretánského </w:t>
      </w:r>
      <w:r w:rsidRPr="08E770F7">
        <w:rPr>
          <w:i/>
        </w:rPr>
        <w:t>scibile</w:t>
      </w:r>
      <w:r>
        <w:t xml:space="preserve">. Na druhé straně </w:t>
      </w:r>
      <w:r w:rsidR="00591DFE">
        <w:t xml:space="preserve">ale bránila </w:t>
      </w:r>
      <w:r>
        <w:t>kauzalit</w:t>
      </w:r>
      <w:r w:rsidR="00591DFE">
        <w:t>u</w:t>
      </w:r>
      <w:r>
        <w:t xml:space="preserve"> svobodně jednajícího občana podle politické svobody dané u Aristotela. Jenže tuto politickou svobodu občana brilantně bráněnou proti postmodernímu </w:t>
      </w:r>
      <w:r>
        <w:lastRenderedPageBreak/>
        <w:t>liberalismu už Arendtová nebyla schopna spojit do jednoty politického sylogismu daného jako společný zákon obce. Přitom v kritice totalitarismu Arendtová jasně viděla a konstatovala selhání abstraktního pojetí lidských práv postaveného myto</w:t>
      </w:r>
      <w:r w:rsidR="001B4273">
        <w:t xml:space="preserve">logicky </w:t>
      </w:r>
      <w:r>
        <w:t xml:space="preserve">jako moderní hypostázovaná </w:t>
      </w:r>
      <w:r w:rsidR="00962190">
        <w:rPr>
          <w:i/>
        </w:rPr>
        <w:t>species</w:t>
      </w:r>
      <w:r>
        <w:t>. Jakmile běžence</w:t>
      </w:r>
      <w:r w:rsidR="001B4273">
        <w:t xml:space="preserve"> v Evropě </w:t>
      </w:r>
      <w:r>
        <w:t xml:space="preserve">a </w:t>
      </w:r>
      <w:r w:rsidR="001B4273">
        <w:t xml:space="preserve">lidi </w:t>
      </w:r>
      <w:r>
        <w:t>v koloniích přestal chránit reálný zákon státu, tak skončili v detenčních koncentrácích jako uprchlíci z dnešních zhroucených států (</w:t>
      </w:r>
      <w:r w:rsidRPr="0835717B">
        <w:rPr>
          <w:i/>
        </w:rPr>
        <w:t>failed states</w:t>
      </w:r>
      <w:r>
        <w:t xml:space="preserve">). Ve 20. století pak tito </w:t>
      </w:r>
      <w:r w:rsidR="00982AB1">
        <w:t xml:space="preserve">lidé </w:t>
      </w:r>
      <w:r>
        <w:t>bez práv nakonec sko</w:t>
      </w:r>
      <w:r w:rsidR="00663424">
        <w:t>nčili ve vyhlazovacích táborech</w:t>
      </w:r>
      <w:r>
        <w:t xml:space="preserve">. Proto je Albertovo a jistě i Sigerovo řešení politické racionality zatím nejlépe zdůvodněný argument pro automní politickou vědu. </w:t>
      </w:r>
      <w:r w:rsidR="00FD02C2" w:rsidRPr="00FD02C2">
        <w:t xml:space="preserve">Naproti tomu politika dostala v augustinovské politické teorii teokratické moderny od samého počátku represivní a negativní charakter. </w:t>
      </w:r>
      <w:r w:rsidRPr="00273106">
        <w:t>Ve druhém averroismu nemá centrální postavení zákon daný aktivitou svobodného a prozíravého občana, ale hřích Adama zakládající dějiny spásy. Politika redukovaná na sociální spravedlnost podává lék na společenské následky hříchu v podobě spravedlivé represe a trestu (</w:t>
      </w:r>
      <w:r w:rsidRPr="00273106">
        <w:rPr>
          <w:i/>
        </w:rPr>
        <w:t>remedium peccatum</w:t>
      </w:r>
      <w:r w:rsidRPr="00273106">
        <w:t xml:space="preserve">). </w:t>
      </w:r>
      <w:r>
        <w:t xml:space="preserve">Excelence politicky svobodného člověka nemá v systému politického augustinianismu žádné autonomní postavení, ani osobitou hodnotu. </w:t>
      </w:r>
      <w:r w:rsidRPr="00273106">
        <w:t xml:space="preserve">Škola </w:t>
      </w:r>
      <w:r w:rsidRPr="00273106">
        <w:rPr>
          <w:i/>
        </w:rPr>
        <w:t>Modernorum</w:t>
      </w:r>
      <w:r w:rsidRPr="00273106">
        <w:t xml:space="preserve"> navíc </w:t>
      </w:r>
      <w:r>
        <w:t xml:space="preserve">neoplatonsky </w:t>
      </w:r>
      <w:r w:rsidRPr="00273106">
        <w:t xml:space="preserve">sestupovala na žebříku obecnosti od ideje či </w:t>
      </w:r>
      <w:r w:rsidR="00962190">
        <w:rPr>
          <w:i/>
        </w:rPr>
        <w:t>species</w:t>
      </w:r>
      <w:r w:rsidRPr="00273106">
        <w:t xml:space="preserve"> dobra univočně směrem dolů, až na úroveň dobra daného v politickém jednání specificky </w:t>
      </w:r>
      <w:r>
        <w:t xml:space="preserve">definovaného sociálního tělesa. Smísení teoretického a praktického intelektu představuje typický omyl moderny a postmoderny determinované myšlením </w:t>
      </w:r>
      <w:r w:rsidRPr="08631984">
        <w:rPr>
          <w:i/>
        </w:rPr>
        <w:t>Oxfordi</w:t>
      </w:r>
      <w:r>
        <w:rPr>
          <w:i/>
        </w:rPr>
        <w:t>an</w:t>
      </w:r>
      <w:r w:rsidRPr="08631984">
        <w:rPr>
          <w:i/>
        </w:rPr>
        <w:t xml:space="preserve"> Fallacy</w:t>
      </w:r>
      <w:r w:rsidR="00216D5F">
        <w:t>.</w:t>
      </w:r>
    </w:p>
    <w:p w:rsidR="08163013" w:rsidRPr="00273106" w:rsidRDefault="08163013" w:rsidP="00216D5F">
      <w:pPr>
        <w:ind w:firstLine="397"/>
      </w:pPr>
      <w:r>
        <w:t>Po zatmění první substance</w:t>
      </w:r>
      <w:r>
        <w:fldChar w:fldCharType="begin"/>
      </w:r>
      <w:r>
        <w:instrText xml:space="preserve"> XE "</w:instrText>
      </w:r>
      <w:r w:rsidRPr="00C27681">
        <w:instrText>zatmění</w:instrText>
      </w:r>
      <w:r>
        <w:instrText xml:space="preserve">:politiky" </w:instrText>
      </w:r>
      <w:r>
        <w:fldChar w:fldCharType="end"/>
      </w:r>
      <w:r>
        <w:t xml:space="preserve"> násle</w:t>
      </w:r>
      <w:r w:rsidR="00F638E8">
        <w:t>dovalo zatmění svobodné politické praxe</w:t>
      </w:r>
      <w:r>
        <w:t xml:space="preserve">. Zavedením dobra jako specifického </w:t>
      </w:r>
      <w:r w:rsidRPr="007D3ED0">
        <w:rPr>
          <w:i/>
        </w:rPr>
        <w:t>scibile</w:t>
      </w:r>
      <w:r>
        <w:rPr>
          <w:i/>
        </w:rPr>
        <w:fldChar w:fldCharType="begin"/>
      </w:r>
      <w:r>
        <w:instrText xml:space="preserve"> XE "</w:instrText>
      </w:r>
      <w:r w:rsidRPr="00AA4F67">
        <w:rPr>
          <w:i/>
        </w:rPr>
        <w:instrText>scibile</w:instrText>
      </w:r>
      <w:r>
        <w:rPr>
          <w:i/>
        </w:rPr>
        <w:instrText>:</w:instrText>
      </w:r>
      <w:r w:rsidRPr="00323DCD">
        <w:instrText>politické dobro</w:instrText>
      </w:r>
      <w:r>
        <w:instrText xml:space="preserve">" </w:instrText>
      </w:r>
      <w:r>
        <w:rPr>
          <w:i/>
        </w:rPr>
        <w:fldChar w:fldCharType="end"/>
      </w:r>
      <w:r>
        <w:t xml:space="preserve"> pro etiku a politiku zmizela excelence jedinečného svobodného jednání a praxe, která tvoří základ Aristotelovy </w:t>
      </w:r>
      <w:r w:rsidRPr="08240E78">
        <w:rPr>
          <w:i/>
        </w:rPr>
        <w:t>Etiky</w:t>
      </w:r>
      <w:r>
        <w:t xml:space="preserve"> a </w:t>
      </w:r>
      <w:r w:rsidRPr="08240E78">
        <w:rPr>
          <w:i/>
        </w:rPr>
        <w:t>Politiky</w:t>
      </w:r>
      <w:r>
        <w:t xml:space="preserve">. Abstrakce etického a politického jednání vytěsnila jedinečnou kauzalitu středního členu politického sylogismu nutnou pro vědecké </w:t>
      </w:r>
      <w:r w:rsidRPr="007D3ED0">
        <w:rPr>
          <w:i/>
        </w:rPr>
        <w:t>demonstratio</w:t>
      </w:r>
      <w:r>
        <w:t xml:space="preserve"> etiky a politiky</w:t>
      </w:r>
      <w:r>
        <w:fldChar w:fldCharType="begin"/>
      </w:r>
      <w:r>
        <w:instrText xml:space="preserve"> XE "politická racionalita:</w:instrText>
      </w:r>
      <w:r w:rsidRPr="00066EBC">
        <w:instrText>etik</w:instrText>
      </w:r>
      <w:r>
        <w:instrText xml:space="preserve">a/politika" </w:instrText>
      </w:r>
      <w:r>
        <w:fldChar w:fldCharType="end"/>
      </w:r>
      <w:r>
        <w:t xml:space="preserve">. </w:t>
      </w:r>
      <w:r w:rsidRPr="00273106">
        <w:t xml:space="preserve">Akvinský obohatil augustinianismus o význam zákona podle Aristotelovy </w:t>
      </w:r>
      <w:r w:rsidRPr="087E5AC0">
        <w:rPr>
          <w:i/>
        </w:rPr>
        <w:t>Etiky</w:t>
      </w:r>
      <w:r w:rsidRPr="00273106">
        <w:t xml:space="preserve"> a jako Albert odmítl pojetí </w:t>
      </w:r>
      <w:r w:rsidR="008725C2">
        <w:t xml:space="preserve">hypostázovaného </w:t>
      </w:r>
      <w:r w:rsidRPr="00273106">
        <w:t>d</w:t>
      </w:r>
      <w:r>
        <w:t xml:space="preserve">obra podle druhého averroismu. Tomáš ale </w:t>
      </w:r>
      <w:r w:rsidRPr="00273106">
        <w:t xml:space="preserve">nepochopil autonomní význam </w:t>
      </w:r>
      <w:r w:rsidRPr="087E5AC0">
        <w:rPr>
          <w:i/>
        </w:rPr>
        <w:t>Politiky</w:t>
      </w:r>
      <w:r w:rsidRPr="00273106">
        <w:t xml:space="preserve"> do stejné hloubky jako Albert</w:t>
      </w:r>
      <w:r>
        <w:t xml:space="preserve"> a jako Siger</w:t>
      </w:r>
      <w:r w:rsidRPr="00273106">
        <w:t>. Tento semiaverroista</w:t>
      </w:r>
      <w:r>
        <w:fldChar w:fldCharType="begin"/>
      </w:r>
      <w:r>
        <w:instrText xml:space="preserve"> XE "</w:instrText>
      </w:r>
      <w:r w:rsidRPr="002C24AC">
        <w:instrText>semiaverroismus</w:instrText>
      </w:r>
      <w:r>
        <w:instrText xml:space="preserve">" </w:instrText>
      </w:r>
      <w:r>
        <w:fldChar w:fldCharType="end"/>
      </w:r>
      <w:r w:rsidRPr="00273106">
        <w:t xml:space="preserve"> kritizovaný Sigerem zůstal při výkladu extenze teoretického intelektu do praktického na půl cesty, stejně jako při výkladu </w:t>
      </w:r>
      <w:r w:rsidRPr="00273106">
        <w:rPr>
          <w:i/>
        </w:rPr>
        <w:t>intellectus possibilis</w:t>
      </w:r>
      <w:r w:rsidRPr="00273106">
        <w:t xml:space="preserve"> podle CMDA. V pojetí </w:t>
      </w:r>
      <w:r w:rsidR="00F01666">
        <w:t xml:space="preserve">prvního </w:t>
      </w:r>
      <w:r w:rsidRPr="00273106">
        <w:t xml:space="preserve">averroismu a politického semiaverroismu Akvinského a Aegidia nemůže vzniknout </w:t>
      </w:r>
      <w:r>
        <w:lastRenderedPageBreak/>
        <w:t xml:space="preserve">ani specifický </w:t>
      </w:r>
      <w:r w:rsidRPr="00273106">
        <w:t>politický sylogismus</w:t>
      </w:r>
      <w:r>
        <w:fldChar w:fldCharType="begin"/>
      </w:r>
      <w:r>
        <w:instrText xml:space="preserve"> XE "praktický sylogismus" </w:instrText>
      </w:r>
      <w:r>
        <w:fldChar w:fldCharType="end"/>
      </w:r>
      <w:r w:rsidRPr="00273106">
        <w:t xml:space="preserve">, ani autonomní extenze intelektu, ani teorie přenosu moci v podobě </w:t>
      </w:r>
      <w:r w:rsidR="00831F94">
        <w:t>„</w:t>
      </w:r>
      <w:r w:rsidRPr="00273106">
        <w:rPr>
          <w:i/>
        </w:rPr>
        <w:t>regnabile</w:t>
      </w:r>
      <w:r w:rsidR="00831F94">
        <w:t xml:space="preserve">“. To všechno měl </w:t>
      </w:r>
      <w:r w:rsidRPr="00273106">
        <w:t>první averroismus v podání Alberta</w:t>
      </w:r>
      <w:r>
        <w:t xml:space="preserve">, </w:t>
      </w:r>
      <w:r w:rsidRPr="00273106">
        <w:t xml:space="preserve">Danteho </w:t>
      </w:r>
      <w:r>
        <w:t xml:space="preserve">a </w:t>
      </w:r>
      <w:r w:rsidR="00831F94">
        <w:t>Sigera</w:t>
      </w:r>
      <w:r>
        <w:fldChar w:fldCharType="begin"/>
      </w:r>
      <w:r>
        <w:instrText xml:space="preserve"> XE "politická racionalita:Akvinský" </w:instrText>
      </w:r>
      <w:r>
        <w:fldChar w:fldCharType="end"/>
      </w:r>
      <w:r w:rsidRPr="00273106">
        <w:t xml:space="preserve">. </w:t>
      </w:r>
      <w:r>
        <w:t>Morálka urč</w:t>
      </w:r>
      <w:r w:rsidR="00D907D4">
        <w:t xml:space="preserve">ovala </w:t>
      </w:r>
      <w:r>
        <w:t>politiku také v pozdějším tomismu</w:t>
      </w:r>
      <w:r w:rsidR="007E6762">
        <w:t>. P</w:t>
      </w:r>
      <w:r>
        <w:t>olitická věda nem</w:t>
      </w:r>
      <w:r w:rsidR="007E6762">
        <w:t>ěla</w:t>
      </w:r>
      <w:r>
        <w:t xml:space="preserve"> kauzálně daný střední člen deduktivního soudu, který by zajistil vědeckou definici politického jednání a racionality. Semiaverroisté ze školy prvního averroismu zredukovali politickou praxi na pouhou socialitu, přesně podle Senecovy a Akvinského definice člověka </w:t>
      </w:r>
      <w:r w:rsidR="00797CD4">
        <w:t>jako „</w:t>
      </w:r>
      <w:r w:rsidRPr="00502326">
        <w:rPr>
          <w:i/>
        </w:rPr>
        <w:t>animal sociale</w:t>
      </w:r>
      <w:r w:rsidR="00307DEC">
        <w:rPr>
          <w:i/>
        </w:rPr>
        <w:t xml:space="preserve"> et politicum</w:t>
      </w:r>
      <w:r w:rsidR="00797CD4">
        <w:t>“</w:t>
      </w:r>
      <w:r>
        <w:t>. Hermeneutika připomíná zásadní význam onoho „</w:t>
      </w:r>
      <w:r w:rsidRPr="00502326">
        <w:rPr>
          <w:i/>
        </w:rPr>
        <w:t>et</w:t>
      </w:r>
      <w:r>
        <w:t>“ v</w:t>
      </w:r>
      <w:r w:rsidR="00307DEC">
        <w:t xml:space="preserve"> modu skrytosti </w:t>
      </w:r>
      <w:r>
        <w:t>(</w:t>
      </w:r>
      <w:r w:rsidR="00307DEC">
        <w:rPr>
          <w:i/>
        </w:rPr>
        <w:t>a</w:t>
      </w:r>
      <w:r w:rsidR="00604FB2">
        <w:rPr>
          <w:i/>
        </w:rPr>
        <w:t>/</w:t>
      </w:r>
      <w:r w:rsidRPr="00502326">
        <w:rPr>
          <w:i/>
        </w:rPr>
        <w:t>létheia</w:t>
      </w:r>
      <w:r>
        <w:fldChar w:fldCharType="begin"/>
      </w:r>
      <w:r>
        <w:instrText xml:space="preserve"> XE "</w:instrText>
      </w:r>
      <w:r w:rsidR="00307DEC">
        <w:rPr>
          <w:i/>
        </w:rPr>
        <w:instrText>a</w:instrText>
      </w:r>
      <w:r w:rsidRPr="00502326">
        <w:rPr>
          <w:i/>
        </w:rPr>
        <w:instrText>létheia</w:instrText>
      </w:r>
      <w:r>
        <w:instrText xml:space="preserve">:politická racionalita" </w:instrText>
      </w:r>
      <w:r>
        <w:fldChar w:fldCharType="end"/>
      </w:r>
      <w:r>
        <w:t xml:space="preserve">politické racionality u Akvinského. Vinou nedomyšlené konjunkce mezi politikou a socialitou pomohla jeho filosofie založit epochální </w:t>
      </w:r>
      <w:r w:rsidRPr="00F650ED">
        <w:rPr>
          <w:i/>
        </w:rPr>
        <w:t>Irrtum</w:t>
      </w:r>
      <w:r>
        <w:t xml:space="preserve"> následné epochy politického liberalismu</w:t>
      </w:r>
      <w:r>
        <w:fldChar w:fldCharType="begin"/>
      </w:r>
      <w:r>
        <w:instrText xml:space="preserve"> XE "</w:instrText>
      </w:r>
      <w:r w:rsidRPr="008027C4">
        <w:instrText>liberalismus</w:instrText>
      </w:r>
      <w:r>
        <w:instrText xml:space="preserve">" </w:instrText>
      </w:r>
      <w:r>
        <w:fldChar w:fldCharType="end"/>
      </w:r>
      <w:r>
        <w:t>, který odhalila a kritizovala Hana Arendtová</w:t>
      </w:r>
      <w:r>
        <w:fldChar w:fldCharType="begin"/>
      </w:r>
      <w:r>
        <w:instrText xml:space="preserve"> XE "</w:instrText>
      </w:r>
      <w:r w:rsidRPr="006E6FFA">
        <w:instrText>Arendt, H.</w:instrText>
      </w:r>
      <w:r>
        <w:instrText xml:space="preserve">" </w:instrText>
      </w:r>
      <w:r>
        <w:fldChar w:fldCharType="end"/>
      </w:r>
      <w:r>
        <w:t xml:space="preserve"> odkazem na skutečnou Aristotelovu politickou filosofii. Ale její brilantní analýzy aristotelského a raně-římského pojetí politiky a autority už neměly šířku znalosti celého Korpusu daného </w:t>
      </w:r>
      <w:r>
        <w:rPr>
          <w:i/>
        </w:rPr>
        <w:t>ad</w:t>
      </w:r>
      <w:r w:rsidRPr="080F2443">
        <w:rPr>
          <w:i/>
        </w:rPr>
        <w:t xml:space="preserve"> mentem Averrois</w:t>
      </w:r>
      <w:r>
        <w:t xml:space="preserve">, především </w:t>
      </w:r>
      <w:r w:rsidRPr="08B97B2A">
        <w:rPr>
          <w:i/>
        </w:rPr>
        <w:t>Druhých analytik</w:t>
      </w:r>
      <w:r>
        <w:t xml:space="preserve"> zakládajících společně s </w:t>
      </w:r>
      <w:r w:rsidRPr="080B21AE">
        <w:rPr>
          <w:i/>
        </w:rPr>
        <w:t>Etikou</w:t>
      </w:r>
      <w:r>
        <w:t xml:space="preserve"> </w:t>
      </w:r>
      <w:r w:rsidRPr="080B21AE">
        <w:rPr>
          <w:i/>
        </w:rPr>
        <w:t>Nikomachovou</w:t>
      </w:r>
      <w:r>
        <w:t xml:space="preserve"> a </w:t>
      </w:r>
      <w:r w:rsidRPr="080B21AE">
        <w:rPr>
          <w:i/>
        </w:rPr>
        <w:t>Politikou</w:t>
      </w:r>
      <w:r>
        <w:t xml:space="preserve"> nový druh politické racionality.  </w:t>
      </w:r>
      <w:r w:rsidRPr="00273106">
        <w:t xml:space="preserve">Stručný přehled </w:t>
      </w:r>
      <w:r>
        <w:t>Albertova</w:t>
      </w:r>
      <w:r w:rsidRPr="00273106">
        <w:t xml:space="preserve"> výkladu </w:t>
      </w:r>
      <w:r w:rsidRPr="08B97B2A">
        <w:rPr>
          <w:i/>
        </w:rPr>
        <w:t>Politiky</w:t>
      </w:r>
      <w:r w:rsidRPr="00273106">
        <w:t xml:space="preserve"> a Dantova spisu </w:t>
      </w:r>
      <w:r w:rsidRPr="00111391">
        <w:rPr>
          <w:i/>
        </w:rPr>
        <w:t>Mona</w:t>
      </w:r>
      <w:r>
        <w:rPr>
          <w:i/>
        </w:rPr>
        <w:t>r</w:t>
      </w:r>
      <w:r w:rsidRPr="00111391">
        <w:rPr>
          <w:i/>
        </w:rPr>
        <w:t>chia</w:t>
      </w:r>
      <w:r>
        <w:t xml:space="preserve"> </w:t>
      </w:r>
      <w:r w:rsidRPr="00273106">
        <w:t xml:space="preserve">jasně ukázal, v čem se zásadně liší </w:t>
      </w:r>
      <w:r>
        <w:t>definice politického jednání v prvním</w:t>
      </w:r>
      <w:r w:rsidRPr="00273106">
        <w:t xml:space="preserve"> a </w:t>
      </w:r>
      <w:r>
        <w:t>ve druhém</w:t>
      </w:r>
      <w:r w:rsidRPr="00273106">
        <w:t xml:space="preserve"> averroismu</w:t>
      </w:r>
      <w:r>
        <w:t xml:space="preserve">, popřípadě v Akvinského etickém </w:t>
      </w:r>
      <w:r w:rsidRPr="00273106">
        <w:t xml:space="preserve">semiaverroismu. A hermeneutika </w:t>
      </w:r>
      <w:r>
        <w:t xml:space="preserve">pomocí těchto diferencí </w:t>
      </w:r>
      <w:r w:rsidRPr="00273106">
        <w:t>také</w:t>
      </w:r>
      <w:r>
        <w:t xml:space="preserve"> zdůvodnila</w:t>
      </w:r>
      <w:r w:rsidRPr="00273106">
        <w:t>, proč je Dante</w:t>
      </w:r>
      <w:r>
        <w:fldChar w:fldCharType="begin"/>
      </w:r>
      <w:r>
        <w:instrText xml:space="preserve"> XE "</w:instrText>
      </w:r>
      <w:r w:rsidRPr="00E871B9">
        <w:instrText>Dante, A.</w:instrText>
      </w:r>
      <w:r>
        <w:instrText xml:space="preserve">" </w:instrText>
      </w:r>
      <w:r>
        <w:fldChar w:fldCharType="end"/>
      </w:r>
      <w:r w:rsidRPr="00273106">
        <w:t xml:space="preserve"> v politické vědě žákem Alberta a Sigera, a nikoliv Akvinského.</w:t>
      </w:r>
    </w:p>
    <w:p w:rsidR="08163013" w:rsidRPr="00273106" w:rsidRDefault="0069699B" w:rsidP="08163013">
      <w:pPr>
        <w:pStyle w:val="Nadpis2"/>
      </w:pPr>
      <w:bookmarkStart w:id="113" w:name="_Toc36144174"/>
      <w:r>
        <w:rPr>
          <w:lang w:val="cs-CZ"/>
        </w:rPr>
        <w:br w:type="page"/>
      </w:r>
      <w:bookmarkStart w:id="114" w:name="_Toc180231687"/>
      <w:r w:rsidR="08163013">
        <w:rPr>
          <w:lang w:val="cs-CZ"/>
        </w:rPr>
        <w:lastRenderedPageBreak/>
        <w:t>6</w:t>
      </w:r>
      <w:r w:rsidR="08163013" w:rsidRPr="00273106">
        <w:t xml:space="preserve">.3 </w:t>
      </w:r>
      <w:r w:rsidR="08163013">
        <w:t>Zatmění etické a politické praxe</w:t>
      </w:r>
      <w:bookmarkEnd w:id="113"/>
      <w:bookmarkEnd w:id="114"/>
    </w:p>
    <w:p w:rsidR="08163013" w:rsidRDefault="08163013" w:rsidP="08163013">
      <w:r w:rsidRPr="00273106">
        <w:t xml:space="preserve">Výklad Ockhamovy praktické a politické filosofie uzavírá </w:t>
      </w:r>
      <w:r w:rsidR="00FA73FD">
        <w:t>vznik</w:t>
      </w:r>
      <w:r>
        <w:t xml:space="preserve"> objektivity. Krátká kapitola nemůže postihnout celek </w:t>
      </w:r>
      <w:r w:rsidRPr="00273106">
        <w:t>Ockhamova politického myšlení</w:t>
      </w:r>
      <w:r>
        <w:t xml:space="preserve">, které bylo </w:t>
      </w:r>
      <w:r w:rsidRPr="00273106">
        <w:t>utvářeno složitými řádovými, církevními a politickými poměry</w:t>
      </w:r>
      <w:r>
        <w:t xml:space="preserve"> </w:t>
      </w:r>
      <w:r w:rsidRPr="00273106">
        <w:t xml:space="preserve">danými v rámci sporu avignonského papeže Jana XXII. a odbojného císaře Ludvíka IV. Bavorského. Proto se pokusíme </w:t>
      </w:r>
      <w:r>
        <w:t xml:space="preserve">v závěru </w:t>
      </w:r>
      <w:r w:rsidRPr="00273106">
        <w:t xml:space="preserve">odpovědět na jedinou otázku. Jak patří Ockhamova </w:t>
      </w:r>
      <w:r>
        <w:t xml:space="preserve">obrana etické a politické praxe </w:t>
      </w:r>
      <w:r w:rsidRPr="00273106">
        <w:t xml:space="preserve">do předloženého </w:t>
      </w:r>
      <w:r>
        <w:t xml:space="preserve">schématu </w:t>
      </w:r>
      <w:r w:rsidRPr="00273106">
        <w:t xml:space="preserve">prvního averroismu </w:t>
      </w:r>
      <w:r w:rsidR="009C3680">
        <w:t>A</w:t>
      </w:r>
      <w:r w:rsidRPr="00273106">
        <w:t>lbert</w:t>
      </w:r>
      <w:r>
        <w:t>a</w:t>
      </w:r>
      <w:r w:rsidRPr="00273106">
        <w:t>, Siger</w:t>
      </w:r>
      <w:r>
        <w:t>a</w:t>
      </w:r>
      <w:r w:rsidRPr="00273106">
        <w:t xml:space="preserve"> a Dante</w:t>
      </w:r>
      <w:r>
        <w:t>ho</w:t>
      </w:r>
      <w:r w:rsidRPr="00273106">
        <w:t xml:space="preserve">? Nejprve je nutno zjistit, jak Ockham řeší extenzi teoretického intelektu do jeho praktické formy. Poslední představitel prvního averroismu </w:t>
      </w:r>
      <w:r w:rsidR="000F2D61">
        <w:t>bránil praktický</w:t>
      </w:r>
      <w:r w:rsidRPr="00273106">
        <w:t xml:space="preserve"> sylogismu</w:t>
      </w:r>
      <w:r w:rsidR="000F2D61">
        <w:t xml:space="preserve">s před </w:t>
      </w:r>
      <w:r w:rsidRPr="00273106">
        <w:t>oxfordsk</w:t>
      </w:r>
      <w:r w:rsidR="000F2D61">
        <w:t>ými scotisty. P</w:t>
      </w:r>
      <w:r w:rsidRPr="00273106">
        <w:t>raktick</w:t>
      </w:r>
      <w:r w:rsidR="000F2D61">
        <w:t>ý</w:t>
      </w:r>
      <w:r w:rsidRPr="00273106">
        <w:t xml:space="preserve"> intelekt</w:t>
      </w:r>
      <w:r w:rsidR="000F2D61">
        <w:t xml:space="preserve"> </w:t>
      </w:r>
      <w:r w:rsidRPr="00273106">
        <w:t xml:space="preserve">nesmí být subsumován pod teoretický intelekt, což provedl druhý averroismus. Ockhamova obrana racionálního autonomního jednání je zajímavá zejména tím, že je postavena na aktivně bráněné </w:t>
      </w:r>
      <w:r w:rsidR="00630E3E">
        <w:t xml:space="preserve">politické </w:t>
      </w:r>
      <w:r w:rsidRPr="00273106">
        <w:t>svobodě</w:t>
      </w:r>
      <w:r>
        <w:fldChar w:fldCharType="begin"/>
      </w:r>
      <w:r>
        <w:instrText xml:space="preserve"> XE "</w:instrText>
      </w:r>
      <w:r w:rsidRPr="00A27C15">
        <w:instrText>politická racionalita:Ockham</w:instrText>
      </w:r>
      <w:r>
        <w:instrText xml:space="preserve">" </w:instrText>
      </w:r>
      <w:r>
        <w:fldChar w:fldCharType="end"/>
      </w:r>
      <w:r w:rsidRPr="00273106">
        <w:t xml:space="preserve">. Oxfordský františkán hájil autentickou nauku </w:t>
      </w:r>
      <w:r w:rsidRPr="08B41192">
        <w:rPr>
          <w:i/>
        </w:rPr>
        <w:t>Etiky</w:t>
      </w:r>
      <w:r w:rsidRPr="00273106">
        <w:t xml:space="preserve"> ohledně jednoho životního cíle, ale dvou cest vedoucích k blaženosti</w:t>
      </w:r>
      <w:r>
        <w:fldChar w:fldCharType="begin"/>
      </w:r>
      <w:r>
        <w:instrText xml:space="preserve"> XE "etika:Ockham" </w:instrText>
      </w:r>
      <w:r>
        <w:fldChar w:fldCharType="end"/>
      </w:r>
      <w:r w:rsidRPr="00273106">
        <w:t>.</w:t>
      </w:r>
    </w:p>
    <w:p w:rsidR="08163013" w:rsidRPr="00611263" w:rsidRDefault="08163013" w:rsidP="08163013">
      <w:pPr>
        <w:pStyle w:val="Citace"/>
        <w:rPr>
          <w:noProof/>
        </w:rPr>
      </w:pPr>
      <w:r w:rsidRPr="00273106">
        <w:rPr>
          <w:noProof/>
        </w:rPr>
        <w:t>„</w:t>
      </w:r>
      <w:r>
        <w:rPr>
          <w:noProof/>
        </w:rPr>
        <w:t xml:space="preserve">Proti tomuto názoru ukáži, že praktický intelekt se neodlišuje od spekulativního vzhledem k cíli, tedy skrze finální příčinu tak, že by měl jinou finální příčinu než má spekulativní intelekt. Finální kauza je u obou intelektů stejná a je dána </w:t>
      </w:r>
      <w:r w:rsidRPr="00611263">
        <w:rPr>
          <w:i/>
          <w:noProof/>
        </w:rPr>
        <w:t>simpliciter</w:t>
      </w:r>
      <w:r>
        <w:rPr>
          <w:noProof/>
        </w:rPr>
        <w:t>.“ </w:t>
      </w:r>
      <w:r>
        <w:rPr>
          <w:rStyle w:val="Znakapoznpodarou"/>
        </w:rPr>
        <w:footnoteReference w:id="579"/>
      </w:r>
    </w:p>
    <w:p w:rsidR="08163013" w:rsidRPr="00273106" w:rsidRDefault="08163013" w:rsidP="08163013">
      <w:r w:rsidRPr="00273106">
        <w:t>Cíl pro teoretický a praktický intelekt je totožný, protože finální kauzalita praktického intelektu se nijak neodlišuje od teoretického</w:t>
      </w:r>
      <w:r>
        <w:t xml:space="preserve"> </w:t>
      </w:r>
      <w:r w:rsidRPr="00273106">
        <w:t>(</w:t>
      </w:r>
      <w:r w:rsidRPr="00273106">
        <w:rPr>
          <w:i/>
        </w:rPr>
        <w:t>practica non distinguitur a speculativa fine</w:t>
      </w:r>
      <w:r w:rsidRPr="00273106">
        <w:t xml:space="preserve">). Citát ale zdůrazňuje, že totožnost finální kauzality pro obě stránky intelektu platí pouze v modu </w:t>
      </w:r>
      <w:r w:rsidRPr="00273106">
        <w:rPr>
          <w:i/>
        </w:rPr>
        <w:t>simpliciter</w:t>
      </w:r>
      <w:r w:rsidRPr="00273106">
        <w:t xml:space="preserve">. </w:t>
      </w:r>
      <w:r>
        <w:t xml:space="preserve">Jde o typický příklad metodického přístupu k intelektu v Averroesově modu </w:t>
      </w:r>
      <w:r w:rsidRPr="00611263">
        <w:rPr>
          <w:i/>
        </w:rPr>
        <w:t xml:space="preserve">quartum </w:t>
      </w:r>
      <w:r w:rsidR="00962190">
        <w:rPr>
          <w:i/>
        </w:rPr>
        <w:t>genus</w:t>
      </w:r>
      <w:r>
        <w:rPr>
          <w:i/>
        </w:rPr>
        <w:fldChar w:fldCharType="begin"/>
      </w:r>
      <w:r>
        <w:instrText xml:space="preserve"> XE "</w:instrText>
      </w:r>
      <w:r w:rsidRPr="00191848">
        <w:rPr>
          <w:i/>
        </w:rPr>
        <w:instrText>quartum genus</w:instrText>
      </w:r>
      <w:r>
        <w:instrText xml:space="preserve">" </w:instrText>
      </w:r>
      <w:r>
        <w:rPr>
          <w:i/>
        </w:rPr>
        <w:fldChar w:fldCharType="end"/>
      </w:r>
      <w:r>
        <w:t xml:space="preserve">. </w:t>
      </w:r>
      <w:r w:rsidRPr="00273106">
        <w:t xml:space="preserve">V reálném výkonu porozumění totiž platí, že praktické jednání sleduje jiný objekt poznání, než teoretický rozum. Proti univočnímu objektivismu </w:t>
      </w:r>
      <w:r w:rsidRPr="00273106">
        <w:rPr>
          <w:i/>
        </w:rPr>
        <w:t>Modernorum</w:t>
      </w:r>
      <w:r w:rsidRPr="00273106">
        <w:t xml:space="preserve"> je třeba nejprv</w:t>
      </w:r>
      <w:r>
        <w:t>e zajistit předmět praktické racionality</w:t>
      </w:r>
      <w:r w:rsidR="005E47DA">
        <w:t xml:space="preserve">. </w:t>
      </w:r>
      <w:r w:rsidRPr="00273106">
        <w:t xml:space="preserve">Definice </w:t>
      </w:r>
      <w:r w:rsidR="007471FF">
        <w:t xml:space="preserve">správného </w:t>
      </w:r>
      <w:r w:rsidRPr="00273106">
        <w:t>morálního úsudku (</w:t>
      </w:r>
      <w:r w:rsidRPr="00273106">
        <w:rPr>
          <w:i/>
        </w:rPr>
        <w:t>recta ratio</w:t>
      </w:r>
      <w:r>
        <w:rPr>
          <w:i/>
        </w:rPr>
        <w:fldChar w:fldCharType="begin"/>
      </w:r>
      <w:r>
        <w:instrText xml:space="preserve"> XE "etika</w:instrText>
      </w:r>
      <w:r w:rsidRPr="007527B9">
        <w:rPr>
          <w:i/>
        </w:rPr>
        <w:instrText>:recta ratio</w:instrText>
      </w:r>
      <w:r>
        <w:instrText xml:space="preserve">" </w:instrText>
      </w:r>
      <w:r>
        <w:rPr>
          <w:i/>
        </w:rPr>
        <w:fldChar w:fldCharType="end"/>
      </w:r>
      <w:r w:rsidRPr="00273106">
        <w:t xml:space="preserve">) odpovídá předešlému aristotelskému výkladu </w:t>
      </w:r>
      <w:r w:rsidRPr="08DD43B4">
        <w:rPr>
          <w:i/>
        </w:rPr>
        <w:t>Etiky</w:t>
      </w:r>
      <w:r w:rsidR="0058678E">
        <w:t xml:space="preserve"> (kap. 6</w:t>
      </w:r>
      <w:r w:rsidRPr="00273106">
        <w:t xml:space="preserve">.1). </w:t>
      </w:r>
      <w:r>
        <w:t xml:space="preserve">Ockhamova </w:t>
      </w:r>
      <w:r w:rsidRPr="00273106">
        <w:t>definice obsahuje všechny základní atributy výkladu podle prvního averroismu: aktualitu jednající osoby, zaměření na reálné dílo, eficientní kauzalitu.</w:t>
      </w:r>
    </w:p>
    <w:p w:rsidR="08163013" w:rsidRPr="00DE2121" w:rsidRDefault="08163013" w:rsidP="00DE2121">
      <w:pPr>
        <w:pStyle w:val="Citace"/>
        <w:rPr>
          <w:lang w:val="cs-CZ"/>
        </w:rPr>
      </w:pPr>
      <w:r w:rsidRPr="00273106">
        <w:rPr>
          <w:noProof/>
        </w:rPr>
        <w:lastRenderedPageBreak/>
        <w:t>„</w:t>
      </w:r>
      <w:r w:rsidR="00DE2121" w:rsidRPr="00DE2121">
        <w:t>Správné jednání je dáno vzhledem ke středu jednání (</w:t>
      </w:r>
      <w:r w:rsidR="00DE2121" w:rsidRPr="00DE2121">
        <w:rPr>
          <w:i/>
          <w:iCs/>
        </w:rPr>
        <w:t>recta ratio</w:t>
      </w:r>
      <w:r w:rsidR="00DE2121" w:rsidRPr="00DE2121">
        <w:t xml:space="preserve">), který tvoří předmět </w:t>
      </w:r>
      <w:r w:rsidR="00DE2121">
        <w:rPr>
          <w:lang w:val="cs-CZ"/>
        </w:rPr>
        <w:t xml:space="preserve">etického </w:t>
      </w:r>
      <w:r w:rsidR="00DE2121" w:rsidRPr="00DE2121">
        <w:t xml:space="preserve">jednání. Jelikož se mravní jednání vztahuje pouze ke skutečným cílům, </w:t>
      </w:r>
      <w:r w:rsidR="00DE2121">
        <w:rPr>
          <w:lang w:val="cs-CZ"/>
        </w:rPr>
        <w:t xml:space="preserve">pak </w:t>
      </w:r>
      <w:r w:rsidR="00DE2121" w:rsidRPr="00DE2121">
        <w:t xml:space="preserve">platí, že správně dané jednání </w:t>
      </w:r>
      <w:r w:rsidR="00DE2121">
        <w:rPr>
          <w:lang w:val="cs-CZ"/>
        </w:rPr>
        <w:t xml:space="preserve">vykonává </w:t>
      </w:r>
      <w:r w:rsidR="00DE2121" w:rsidRPr="00DE2121">
        <w:t>účinnou kauzalitu vzhledem ke ctnostnému jednání.</w:t>
      </w:r>
      <w:r>
        <w:rPr>
          <w:noProof/>
          <w:lang w:val="cs-CZ"/>
        </w:rPr>
        <w:t>“ </w:t>
      </w:r>
      <w:r>
        <w:rPr>
          <w:rStyle w:val="Znakapoznpodarou"/>
        </w:rPr>
        <w:footnoteReference w:id="580"/>
      </w:r>
    </w:p>
    <w:p w:rsidR="00084553" w:rsidRDefault="006334DB" w:rsidP="08163013">
      <w:r>
        <w:t>V</w:t>
      </w:r>
      <w:r w:rsidRPr="00273106">
        <w:t>ýkon</w:t>
      </w:r>
      <w:r>
        <w:t xml:space="preserve"> osoby určuje v daných jedinečných situacích moudrý střed mezi extrémy (</w:t>
      </w:r>
      <w:r>
        <w:rPr>
          <w:i/>
        </w:rPr>
        <w:t>recta ratio</w:t>
      </w:r>
      <w:r>
        <w:t>). Prakticky určený střed pak z hlediska teoretické úvahy tvoří p</w:t>
      </w:r>
      <w:r w:rsidR="08163013" w:rsidRPr="00273106">
        <w:t>ředmět praktického jednání (</w:t>
      </w:r>
      <w:r w:rsidR="08163013" w:rsidRPr="00273106">
        <w:rPr>
          <w:i/>
        </w:rPr>
        <w:t>recta ratio est obiectum actus virtuosi</w:t>
      </w:r>
      <w:r w:rsidR="0058678E">
        <w:t xml:space="preserve">). Hermeneutické tázání po způsobu, jak </w:t>
      </w:r>
      <w:r w:rsidR="08163013" w:rsidRPr="00273106">
        <w:t>se dobro v jednání zjevuje, je určeno nasvícením etiky zepředu</w:t>
      </w:r>
      <w:r w:rsidR="08163013">
        <w:t>, od výkonu reálně jednající osoby</w:t>
      </w:r>
      <w:r w:rsidR="08163013" w:rsidRPr="00273106">
        <w:t>. Aktuální výkon dobra je dán díky jednotlivci svobodně jednajícím v reálných poměrech, kde jeho jednání vytváří nový stav světa (</w:t>
      </w:r>
      <w:r w:rsidR="08163013" w:rsidRPr="00273106">
        <w:rPr>
          <w:i/>
        </w:rPr>
        <w:t>obiectum in esse reali</w:t>
      </w:r>
      <w:r w:rsidR="08163013" w:rsidRPr="00273106">
        <w:t xml:space="preserve">). </w:t>
      </w:r>
      <w:r w:rsidR="08163013">
        <w:t>Jednání nesměřuje k teoretickému konceptu, ale k eticky správnému dílu danému jako jednotlivina (</w:t>
      </w:r>
      <w:r w:rsidR="08163013" w:rsidRPr="00273106">
        <w:rPr>
          <w:i/>
        </w:rPr>
        <w:t>ad actum virtuosum</w:t>
      </w:r>
      <w:r w:rsidR="08163013">
        <w:t>).</w:t>
      </w:r>
      <w:r w:rsidR="08163013" w:rsidRPr="00273106">
        <w:t xml:space="preserve"> </w:t>
      </w:r>
      <w:r w:rsidR="08163013">
        <w:t xml:space="preserve">Jde o typickou predikaci </w:t>
      </w:r>
      <w:r w:rsidR="001C504C">
        <w:t>„</w:t>
      </w:r>
      <w:r w:rsidR="08163013" w:rsidRPr="08C0060F">
        <w:rPr>
          <w:i/>
        </w:rPr>
        <w:t>in artificialibus</w:t>
      </w:r>
      <w:r w:rsidR="001C504C">
        <w:t>“</w:t>
      </w:r>
      <w:r w:rsidR="08163013">
        <w:rPr>
          <w:i/>
        </w:rPr>
        <w:fldChar w:fldCharType="begin"/>
      </w:r>
      <w:r w:rsidR="08163013">
        <w:instrText xml:space="preserve"> XE "</w:instrText>
      </w:r>
      <w:r w:rsidR="08163013" w:rsidRPr="088E38AD">
        <w:instrText>predikace:</w:instrText>
      </w:r>
      <w:r w:rsidR="08163013" w:rsidRPr="088E38AD">
        <w:rPr>
          <w:i/>
        </w:rPr>
        <w:instrText>in artificialibus</w:instrText>
      </w:r>
      <w:r w:rsidR="08163013">
        <w:instrText xml:space="preserve">" </w:instrText>
      </w:r>
      <w:r w:rsidR="08163013">
        <w:rPr>
          <w:i/>
        </w:rPr>
        <w:fldChar w:fldCharType="end"/>
      </w:r>
      <w:r w:rsidR="08163013">
        <w:t>, kterou měl Albert v činnosti praktického intelektu</w:t>
      </w:r>
      <w:r w:rsidR="006E7F89">
        <w:t xml:space="preserve">. </w:t>
      </w:r>
      <w:r w:rsidR="00653E6C">
        <w:t xml:space="preserve">Ten je </w:t>
      </w:r>
      <w:r w:rsidR="08163013">
        <w:t>schop</w:t>
      </w:r>
      <w:r w:rsidR="00653E6C">
        <w:t>en</w:t>
      </w:r>
      <w:r w:rsidR="08163013">
        <w:t xml:space="preserve"> kauzálně působit na reálný stav věcí ve světě</w:t>
      </w:r>
      <w:r w:rsidR="08163013">
        <w:rPr>
          <w:rStyle w:val="addmd"/>
        </w:rPr>
        <w:t xml:space="preserve"> (</w:t>
      </w:r>
      <w:r w:rsidR="08163013" w:rsidRPr="00075AD9">
        <w:rPr>
          <w:rStyle w:val="addmd"/>
          <w:i/>
        </w:rPr>
        <w:t>componitur cum re operat</w:t>
      </w:r>
      <w:r w:rsidR="00E31587">
        <w:rPr>
          <w:rStyle w:val="addmd"/>
          <w:i/>
        </w:rPr>
        <w:t>o</w:t>
      </w:r>
      <w:r w:rsidR="00237F73">
        <w:rPr>
          <w:rStyle w:val="addmd"/>
          <w:i/>
        </w:rPr>
        <w:t xml:space="preserve">, </w:t>
      </w:r>
      <w:r w:rsidR="00237F73" w:rsidRPr="0070528B">
        <w:rPr>
          <w:rStyle w:val="addmd"/>
        </w:rPr>
        <w:t>kap.</w:t>
      </w:r>
      <w:r w:rsidR="00653E6C">
        <w:rPr>
          <w:rStyle w:val="addmd"/>
        </w:rPr>
        <w:t xml:space="preserve"> 6</w:t>
      </w:r>
      <w:r w:rsidR="08163013" w:rsidRPr="08C0060F">
        <w:rPr>
          <w:rStyle w:val="addmd"/>
        </w:rPr>
        <w:t>.1</w:t>
      </w:r>
      <w:r w:rsidR="08163013">
        <w:rPr>
          <w:rStyle w:val="addmd"/>
        </w:rPr>
        <w:t xml:space="preserve">). </w:t>
      </w:r>
      <w:r w:rsidR="08163013" w:rsidRPr="00273106">
        <w:t xml:space="preserve">Etika nemůže být </w:t>
      </w:r>
      <w:r w:rsidR="00A537B2">
        <w:t>univočně objektivní</w:t>
      </w:r>
      <w:r w:rsidR="08163013" w:rsidRPr="00273106">
        <w:t xml:space="preserve">, protože má vlastní objekt </w:t>
      </w:r>
      <w:r w:rsidR="08163013">
        <w:t xml:space="preserve">poznání a vlastní typ kauzality </w:t>
      </w:r>
      <w:r w:rsidR="08163013" w:rsidRPr="00273106">
        <w:t>odlišný od teoretické aktivity</w:t>
      </w:r>
      <w:r w:rsidR="08163013">
        <w:t xml:space="preserve"> intelektu</w:t>
      </w:r>
      <w:r w:rsidR="08163013" w:rsidRPr="00273106">
        <w:t xml:space="preserve">. </w:t>
      </w:r>
      <w:r w:rsidR="001F07D6">
        <w:t xml:space="preserve">Další část citátu </w:t>
      </w:r>
      <w:r w:rsidR="08163013" w:rsidRPr="00273106">
        <w:t xml:space="preserve">výslovně odmítá argumentaci </w:t>
      </w:r>
      <w:r w:rsidR="08163013" w:rsidRPr="00273106">
        <w:rPr>
          <w:i/>
        </w:rPr>
        <w:t>Oxfordian Fallacy</w:t>
      </w:r>
      <w:r w:rsidR="08163013">
        <w:rPr>
          <w:i/>
        </w:rPr>
        <w:fldChar w:fldCharType="begin"/>
      </w:r>
      <w:r w:rsidR="08163013">
        <w:instrText xml:space="preserve"> XE "</w:instrText>
      </w:r>
      <w:r w:rsidR="08163013" w:rsidRPr="0015798D">
        <w:rPr>
          <w:i/>
        </w:rPr>
        <w:instrText>Oxfordian Fallacy:</w:instrText>
      </w:r>
      <w:r w:rsidR="08163013" w:rsidRPr="007633AA">
        <w:instrText>kritika Ockhama</w:instrText>
      </w:r>
      <w:r w:rsidR="08163013">
        <w:instrText xml:space="preserve">" </w:instrText>
      </w:r>
      <w:r w:rsidR="08163013">
        <w:rPr>
          <w:i/>
        </w:rPr>
        <w:fldChar w:fldCharType="end"/>
      </w:r>
      <w:r w:rsidR="08163013" w:rsidRPr="00273106">
        <w:t xml:space="preserve"> pro etický soud. Ockham nemůže připustit pro střední člen soudu kauzalitu z</w:t>
      </w:r>
      <w:r w:rsidR="00F525E0">
        <w:t> </w:t>
      </w:r>
      <w:r w:rsidR="08163013">
        <w:t xml:space="preserve">neoplatonského </w:t>
      </w:r>
      <w:r w:rsidR="08163013" w:rsidRPr="00273106">
        <w:t xml:space="preserve">dobra, které subsistuje </w:t>
      </w:r>
      <w:r w:rsidR="00F525E0">
        <w:t xml:space="preserve">jako </w:t>
      </w:r>
      <w:r w:rsidR="00F525E0">
        <w:rPr>
          <w:i/>
          <w:lang w:eastAsia="en-US"/>
        </w:rPr>
        <w:t xml:space="preserve">tertium ens </w:t>
      </w:r>
      <w:r w:rsidR="00F525E0" w:rsidRPr="00F525E0">
        <w:rPr>
          <w:lang w:eastAsia="en-US"/>
        </w:rPr>
        <w:t>d</w:t>
      </w:r>
      <w:r w:rsidR="08163013" w:rsidRPr="00F525E0">
        <w:t>aného</w:t>
      </w:r>
      <w:r w:rsidR="08163013">
        <w:t xml:space="preserve"> jako habitus, specifické </w:t>
      </w:r>
      <w:r w:rsidR="08163013" w:rsidRPr="00A62A16">
        <w:rPr>
          <w:i/>
        </w:rPr>
        <w:t>scibile</w:t>
      </w:r>
      <w:r w:rsidR="08163013">
        <w:rPr>
          <w:i/>
        </w:rPr>
        <w:fldChar w:fldCharType="begin"/>
      </w:r>
      <w:r w:rsidR="08163013">
        <w:instrText xml:space="preserve"> XE "</w:instrText>
      </w:r>
      <w:r w:rsidR="08163013" w:rsidRPr="00AA4F67">
        <w:rPr>
          <w:i/>
        </w:rPr>
        <w:instrText>scibile</w:instrText>
      </w:r>
      <w:r w:rsidR="08163013">
        <w:instrText xml:space="preserve">" </w:instrText>
      </w:r>
      <w:r w:rsidR="08163013">
        <w:rPr>
          <w:i/>
        </w:rPr>
        <w:fldChar w:fldCharType="end"/>
      </w:r>
      <w:r w:rsidR="08163013">
        <w:t>, či jiná hypostáze v člověku</w:t>
      </w:r>
      <w:r w:rsidR="08163013" w:rsidRPr="00273106">
        <w:t xml:space="preserve">. </w:t>
      </w:r>
      <w:r w:rsidR="08163013">
        <w:t xml:space="preserve">Jsoucna nelze množit podle proměnlivých potřeb moderních a postmoderních sofistů. </w:t>
      </w:r>
      <w:r w:rsidR="08163013" w:rsidRPr="00273106">
        <w:t xml:space="preserve">Svobodně jednající člověk zakládá účinnou kauzalitu morální excelencí </w:t>
      </w:r>
      <w:r w:rsidR="08163013">
        <w:t xml:space="preserve">projevenou skutkem </w:t>
      </w:r>
      <w:r w:rsidR="08163013" w:rsidRPr="00273106">
        <w:t>(</w:t>
      </w:r>
      <w:r w:rsidR="08163013" w:rsidRPr="00273106">
        <w:rPr>
          <w:i/>
        </w:rPr>
        <w:t>habet causalitatem effectivam respectu actus virtuosi</w:t>
      </w:r>
      <w:r w:rsidR="08163013" w:rsidRPr="00273106">
        <w:t xml:space="preserve">). Ockham potvrdil základní linii </w:t>
      </w:r>
      <w:r w:rsidR="08163013" w:rsidRPr="082D64DA">
        <w:rPr>
          <w:i/>
        </w:rPr>
        <w:t>Etiky Nikomachovy</w:t>
      </w:r>
      <w:r w:rsidR="08163013" w:rsidRPr="00273106">
        <w:t xml:space="preserve">, která zakládá autonomní racionalitu jednání. </w:t>
      </w:r>
      <w:r w:rsidR="08163013">
        <w:t xml:space="preserve">Zdrojem pravdivého mravního jednání se stal </w:t>
      </w:r>
      <w:r w:rsidR="08163013" w:rsidRPr="00273106">
        <w:t xml:space="preserve">prozíravý člověk s jeho vlastní </w:t>
      </w:r>
      <w:r w:rsidR="08163013" w:rsidRPr="08E931EF">
        <w:rPr>
          <w:i/>
        </w:rPr>
        <w:t>fronésis</w:t>
      </w:r>
      <w:r w:rsidR="08163013">
        <w:fldChar w:fldCharType="begin"/>
      </w:r>
      <w:r w:rsidR="08163013">
        <w:instrText xml:space="preserve"> XE "</w:instrText>
      </w:r>
      <w:r w:rsidR="08163013" w:rsidRPr="00BD03F3">
        <w:rPr>
          <w:i/>
        </w:rPr>
        <w:instrText>fronésis</w:instrText>
      </w:r>
      <w:r w:rsidR="08163013">
        <w:instrText xml:space="preserve">" </w:instrText>
      </w:r>
      <w:r w:rsidR="08163013">
        <w:fldChar w:fldCharType="end"/>
      </w:r>
      <w:r w:rsidR="004D4612">
        <w:t>, která spolehlivě určuje</w:t>
      </w:r>
      <w:r w:rsidR="08163013" w:rsidRPr="00273106">
        <w:t xml:space="preserve"> proměnlivou </w:t>
      </w:r>
      <w:r w:rsidR="004D4612">
        <w:t>středovou pozici ctnosti (kap. 6</w:t>
      </w:r>
      <w:r w:rsidR="00084553">
        <w:t>.1).</w:t>
      </w:r>
    </w:p>
    <w:p w:rsidR="08163013" w:rsidRPr="00273106" w:rsidRDefault="08163013" w:rsidP="00084553">
      <w:pPr>
        <w:ind w:firstLine="397"/>
      </w:pPr>
      <w:r>
        <w:t xml:space="preserve">Ockham nyní může </w:t>
      </w:r>
      <w:r w:rsidRPr="00273106">
        <w:t>kvalifikovaně odmítnout Scotovu intelektualistickou a objektivistickou etiku. Moderní a postmoderní objektivisté nevidí rozdíl mezi</w:t>
      </w:r>
      <w:r>
        <w:t xml:space="preserve"> oběma </w:t>
      </w:r>
      <w:r w:rsidR="00797125">
        <w:t>způsoby intelektu</w:t>
      </w:r>
      <w:r>
        <w:t>.</w:t>
      </w:r>
      <w:r w:rsidR="00797125">
        <w:t xml:space="preserve"> </w:t>
      </w:r>
      <w:r w:rsidR="002E0990">
        <w:t xml:space="preserve">Objektivní intelekt iluminátů nemůže správně definovat extenzi teoretického intelektu do reality, protože v rámci </w:t>
      </w:r>
      <w:r w:rsidR="002E0990" w:rsidRPr="08CA679F">
        <w:rPr>
          <w:i/>
        </w:rPr>
        <w:t>Oxfordian Fallacy</w:t>
      </w:r>
      <w:r w:rsidR="002E0990">
        <w:t xml:space="preserve"> pojal kauzalitu pro oba intelekty univočně. </w:t>
      </w:r>
      <w:r w:rsidRPr="00273106">
        <w:t>Prozíravý člověk je moudrý jiným způsobem, než filosof či teoretik vědy</w:t>
      </w:r>
      <w:r>
        <w:t xml:space="preserve">, protože je </w:t>
      </w:r>
      <w:r>
        <w:lastRenderedPageBreak/>
        <w:t xml:space="preserve">pravdivý skrze morálně či politicky dobrý čin daný svobodně a osobně. Opět platí zásadní rozdíl obou intelektů určený v modu </w:t>
      </w:r>
      <w:r w:rsidR="00CC4E0D">
        <w:t>„</w:t>
      </w:r>
      <w:r w:rsidRPr="0097520D">
        <w:rPr>
          <w:i/>
        </w:rPr>
        <w:t>extensione fit practicus</w:t>
      </w:r>
      <w:r w:rsidR="00CC4E0D">
        <w:t>“</w:t>
      </w:r>
      <w:r>
        <w:rPr>
          <w:i/>
        </w:rPr>
        <w:fldChar w:fldCharType="begin"/>
      </w:r>
      <w:r>
        <w:instrText xml:space="preserve"> XE "intelekt:</w:instrText>
      </w:r>
      <w:r w:rsidRPr="000614C2">
        <w:rPr>
          <w:i/>
        </w:rPr>
        <w:instrText>extensione fit practicus</w:instrText>
      </w:r>
      <w:r>
        <w:instrText xml:space="preserve">" </w:instrText>
      </w:r>
      <w:r>
        <w:rPr>
          <w:i/>
        </w:rPr>
        <w:fldChar w:fldCharType="end"/>
      </w:r>
      <w:r>
        <w:t xml:space="preserve">. Ockham </w:t>
      </w:r>
      <w:r w:rsidRPr="00273106">
        <w:t xml:space="preserve">přesně </w:t>
      </w:r>
      <w:r w:rsidR="00A07295">
        <w:t xml:space="preserve">určil </w:t>
      </w:r>
      <w:r w:rsidRPr="00273106">
        <w:t xml:space="preserve">základní problém </w:t>
      </w:r>
      <w:r>
        <w:t xml:space="preserve">aristotelského </w:t>
      </w:r>
      <w:r w:rsidRPr="00273106">
        <w:t>avicennis</w:t>
      </w:r>
      <w:r>
        <w:t>mu</w:t>
      </w:r>
      <w:r w:rsidRPr="00273106">
        <w:t xml:space="preserve">. </w:t>
      </w:r>
      <w:r>
        <w:t xml:space="preserve">Moderna </w:t>
      </w:r>
      <w:r w:rsidRPr="00273106">
        <w:t>zrušil</w:t>
      </w:r>
      <w:r>
        <w:t>a</w:t>
      </w:r>
      <w:r w:rsidRPr="00273106">
        <w:t xml:space="preserve"> autonomní extenzi praktického intelektu do singulárního jednání daného v realitě. Hlavní problém </w:t>
      </w:r>
      <w:r w:rsidRPr="003E0665">
        <w:rPr>
          <w:i/>
        </w:rPr>
        <w:t>Modernorum</w:t>
      </w:r>
      <w:r>
        <w:t xml:space="preserve"> v oblasti </w:t>
      </w:r>
      <w:r w:rsidR="00AA7A57">
        <w:t xml:space="preserve">etické a </w:t>
      </w:r>
      <w:r>
        <w:t xml:space="preserve">politické racionality </w:t>
      </w:r>
      <w:r w:rsidRPr="00273106">
        <w:t xml:space="preserve">spočívá v chybně definovaném pojmu habitu, který tvoří po vzoru </w:t>
      </w:r>
      <w:r w:rsidRPr="00273106">
        <w:rPr>
          <w:i/>
        </w:rPr>
        <w:t>Nominales</w:t>
      </w:r>
      <w:r w:rsidRPr="00273106">
        <w:t xml:space="preserve"> </w:t>
      </w:r>
      <w:r>
        <w:t>sofistickou</w:t>
      </w:r>
      <w:r w:rsidRPr="00273106">
        <w:t xml:space="preserve"> </w:t>
      </w:r>
      <w:r w:rsidR="00962190" w:rsidRPr="00FC3F9B">
        <w:t>species</w:t>
      </w:r>
      <w:r w:rsidRPr="00273106">
        <w:t xml:space="preserve"> třetího druhu. </w:t>
      </w:r>
      <w:r w:rsidR="0087088D">
        <w:t xml:space="preserve">Hypostázovaný habitus jako objektivní </w:t>
      </w:r>
      <w:r w:rsidR="0087088D" w:rsidRPr="00A852D5">
        <w:t>species</w:t>
      </w:r>
      <w:r w:rsidR="0087088D">
        <w:t xml:space="preserve"> je univočně integrován do p</w:t>
      </w:r>
      <w:r w:rsidRPr="00273106">
        <w:t>raktick</w:t>
      </w:r>
      <w:r w:rsidR="0087088D">
        <w:t xml:space="preserve">ého sylogismu, a tím zakládá </w:t>
      </w:r>
      <w:r w:rsidRPr="00BC71B3">
        <w:rPr>
          <w:i/>
        </w:rPr>
        <w:t>medium</w:t>
      </w:r>
      <w:r>
        <w:rPr>
          <w:i/>
        </w:rPr>
        <w:fldChar w:fldCharType="begin"/>
      </w:r>
      <w:r>
        <w:instrText xml:space="preserve"> XE "</w:instrText>
      </w:r>
      <w:r w:rsidRPr="001618A5">
        <w:rPr>
          <w:i/>
        </w:rPr>
        <w:instrText>medium:</w:instrText>
      </w:r>
      <w:r>
        <w:instrText xml:space="preserve">Ockham" </w:instrText>
      </w:r>
      <w:r>
        <w:rPr>
          <w:i/>
        </w:rPr>
        <w:fldChar w:fldCharType="end"/>
      </w:r>
      <w:r w:rsidRPr="00273106">
        <w:t xml:space="preserve"> demonstrativního deduktivního soudu. </w:t>
      </w:r>
      <w:r>
        <w:t xml:space="preserve">Střední člen praktického soudu vinou esenciálně a kauzálně pojatého habitu obsahuje objektivně založenou kauzalitu. Predikace praktického nebo politického sylogismu stojí nad </w:t>
      </w:r>
      <w:r w:rsidRPr="00273106">
        <w:t>reáln</w:t>
      </w:r>
      <w:r>
        <w:t>ým</w:t>
      </w:r>
      <w:r w:rsidRPr="00273106">
        <w:t xml:space="preserve"> jednání</w:t>
      </w:r>
      <w:r>
        <w:t>m</w:t>
      </w:r>
      <w:r w:rsidRPr="00273106">
        <w:t xml:space="preserve"> jednotlivce</w:t>
      </w:r>
      <w:r>
        <w:t xml:space="preserve"> v modu </w:t>
      </w:r>
      <w:r w:rsidR="00CB256C">
        <w:t xml:space="preserve">hypotázované </w:t>
      </w:r>
      <w:r>
        <w:t xml:space="preserve">objektivity. Zavedením habitu do praktického sylogismu vznikla nová verze </w:t>
      </w:r>
      <w:r w:rsidRPr="00273106">
        <w:rPr>
          <w:i/>
        </w:rPr>
        <w:t>Oxfordian Fallacy</w:t>
      </w:r>
      <w:r>
        <w:rPr>
          <w:i/>
        </w:rPr>
        <w:fldChar w:fldCharType="begin"/>
      </w:r>
      <w:r>
        <w:instrText xml:space="preserve"> XE "</w:instrText>
      </w:r>
      <w:r w:rsidRPr="0015798D">
        <w:rPr>
          <w:i/>
        </w:rPr>
        <w:instrText>Oxfordian Fallacy:</w:instrText>
      </w:r>
      <w:r>
        <w:instrText xml:space="preserve">etika" </w:instrText>
      </w:r>
      <w:r>
        <w:rPr>
          <w:i/>
        </w:rPr>
        <w:fldChar w:fldCharType="end"/>
      </w:r>
      <w:r>
        <w:t>, která objektivizovala etiku a politiku</w:t>
      </w:r>
      <w:r>
        <w:fldChar w:fldCharType="begin"/>
      </w:r>
      <w:r>
        <w:instrText xml:space="preserve"> XE "</w:instrText>
      </w:r>
      <w:r w:rsidRPr="088A1F37">
        <w:instrText>ideologie</w:instrText>
      </w:r>
      <w:r>
        <w:instrText xml:space="preserve">" </w:instrText>
      </w:r>
      <w:r>
        <w:fldChar w:fldCharType="end"/>
      </w:r>
      <w:r>
        <w:t xml:space="preserve">. </w:t>
      </w:r>
      <w:r w:rsidRPr="00273106">
        <w:t xml:space="preserve">Ockham </w:t>
      </w:r>
      <w:r>
        <w:t xml:space="preserve">dlouze </w:t>
      </w:r>
      <w:r w:rsidRPr="00273106">
        <w:t xml:space="preserve">cituje Scotův úvod spisu </w:t>
      </w:r>
      <w:r w:rsidR="008C2D4A" w:rsidRPr="008C2D4A">
        <w:rPr>
          <w:i/>
        </w:rPr>
        <w:t>Ordinatio I</w:t>
      </w:r>
      <w:r w:rsidRPr="00273106">
        <w:t xml:space="preserve"> (</w:t>
      </w:r>
      <w:r>
        <w:t xml:space="preserve">ed. </w:t>
      </w:r>
      <w:r w:rsidRPr="00273106">
        <w:t xml:space="preserve">Vaticana I, </w:t>
      </w:r>
      <w:r>
        <w:t xml:space="preserve">p. </w:t>
      </w:r>
      <w:r w:rsidRPr="00273106">
        <w:t>228) a provádí zásadní kritiku jeho etiky</w:t>
      </w:r>
      <w:r>
        <w:fldChar w:fldCharType="begin"/>
      </w:r>
      <w:r>
        <w:instrText xml:space="preserve"> XE "</w:instrText>
      </w:r>
      <w:r w:rsidRPr="00D24832">
        <w:instrText>etika:Ockham</w:instrText>
      </w:r>
      <w:r>
        <w:instrText xml:space="preserve">" </w:instrText>
      </w:r>
      <w:r>
        <w:fldChar w:fldCharType="end"/>
      </w:r>
      <w:r w:rsidRPr="00273106">
        <w:t>. Ockham zaměřil kritiku především proti Scotov</w:t>
      </w:r>
      <w:r>
        <w:t xml:space="preserve">u </w:t>
      </w:r>
      <w:r w:rsidRPr="00273106">
        <w:t>pojetí habitu</w:t>
      </w:r>
      <w:r>
        <w:fldChar w:fldCharType="begin"/>
      </w:r>
      <w:r>
        <w:instrText xml:space="preserve"> XE "etika:</w:instrText>
      </w:r>
      <w:r w:rsidRPr="000220BB">
        <w:instrText>habitus</w:instrText>
      </w:r>
      <w:r>
        <w:instrText xml:space="preserve">" </w:instrText>
      </w:r>
      <w:r>
        <w:fldChar w:fldCharType="end"/>
      </w:r>
      <w:r>
        <w:t>, které</w:t>
      </w:r>
      <w:r w:rsidRPr="00273106">
        <w:t xml:space="preserve"> </w:t>
      </w:r>
      <w:r>
        <w:t xml:space="preserve">zásadně </w:t>
      </w:r>
      <w:r w:rsidRPr="00273106">
        <w:t>deformovalo aristotelské pojetí praktického sylogismu.</w:t>
      </w:r>
      <w:r>
        <w:t xml:space="preserve"> Slepota k působení první substance je nyní vystřídána slepotou k morálnímu a politickému jednání osoby</w:t>
      </w:r>
      <w:r w:rsidR="00527484">
        <w:t xml:space="preserve"> jako první substance existující </w:t>
      </w:r>
      <w:r w:rsidR="00527484" w:rsidRPr="08C327D9">
        <w:rPr>
          <w:i/>
        </w:rPr>
        <w:t>per se</w:t>
      </w:r>
      <w:r w:rsidR="00527484">
        <w:t xml:space="preserve">. </w:t>
      </w:r>
      <w:r>
        <w:t>Scotova č</w:t>
      </w:r>
      <w:r w:rsidRPr="00273106">
        <w:t xml:space="preserve">etba Aristotela </w:t>
      </w:r>
      <w:r>
        <w:t xml:space="preserve">je zásadně mylná </w:t>
      </w:r>
      <w:r w:rsidRPr="00273106">
        <w:t>v momentu, kdy je třeba determinovat habitus vzhledem ke skutečné extenzi teoretického intelektu do praktického.</w:t>
      </w:r>
      <w:r>
        <w:t xml:space="preserve"> Scotus definuje etiku na základě definice esence, což je v rozporu se skutečným praktickým sylogismem </w:t>
      </w:r>
      <w:r w:rsidRPr="08B34053">
        <w:rPr>
          <w:i/>
        </w:rPr>
        <w:t>Etiky</w:t>
      </w:r>
      <w:r>
        <w:t xml:space="preserve"> a </w:t>
      </w:r>
      <w:r w:rsidRPr="08B34053">
        <w:rPr>
          <w:i/>
        </w:rPr>
        <w:t>Politiky</w:t>
      </w:r>
      <w:r>
        <w:t>. Ockham</w:t>
      </w:r>
      <w:r w:rsidRPr="08AC7E1E">
        <w:t xml:space="preserve"> </w:t>
      </w:r>
      <w:r>
        <w:t xml:space="preserve">v traktátu </w:t>
      </w:r>
      <w:r w:rsidRPr="08314C5F">
        <w:rPr>
          <w:i/>
        </w:rPr>
        <w:t>De distintione inter notitiam speculativam et practicam</w:t>
      </w:r>
      <w:r>
        <w:t xml:space="preserve"> cituje Scotovo </w:t>
      </w:r>
      <w:r w:rsidR="008C2D4A" w:rsidRPr="008C2D4A">
        <w:rPr>
          <w:i/>
        </w:rPr>
        <w:t>Ordinatio I</w:t>
      </w:r>
      <w:r w:rsidRPr="00273106">
        <w:t>, libe</w:t>
      </w:r>
      <w:r>
        <w:t>r I, prologus, q. 11</w:t>
      </w:r>
      <w:r w:rsidR="00395715">
        <w:t>. Tuto citaci ze Scota je třeba uvést jako první, aby byla jasná Ockhamova kritika.</w:t>
      </w:r>
      <w:r>
        <w:t xml:space="preserve"> </w:t>
      </w:r>
    </w:p>
    <w:p w:rsidR="08163013" w:rsidRPr="002B4A34" w:rsidRDefault="08163013" w:rsidP="08163013">
      <w:pPr>
        <w:pStyle w:val="Citace"/>
        <w:rPr>
          <w:noProof/>
          <w:lang w:val="cs-CZ"/>
        </w:rPr>
      </w:pPr>
      <w:r w:rsidRPr="00273106">
        <w:rPr>
          <w:noProof/>
          <w:lang w:val="cs-CZ"/>
        </w:rPr>
        <w:t>„</w:t>
      </w:r>
      <w:r>
        <w:rPr>
          <w:noProof/>
          <w:lang w:val="cs-CZ"/>
        </w:rPr>
        <w:t>Scotus tvrdí, že «definici prozíravosti je třeba odvodit z habitu, který je nejblíže dané aktivitě, nakolik je tento habitus odvozený z konkrétních činností. Umění je dané vzhledem k proveditelnosti (</w:t>
      </w:r>
      <w:r w:rsidRPr="00BD7619">
        <w:rPr>
          <w:i/>
          <w:noProof/>
        </w:rPr>
        <w:t>ars se habet circa factibilia</w:t>
      </w:r>
      <w:r>
        <w:rPr>
          <w:noProof/>
          <w:lang w:val="cs-CZ"/>
        </w:rPr>
        <w:t>), proto je určeno podle habitu zkušenosti (</w:t>
      </w:r>
      <w:r w:rsidRPr="00BD7619">
        <w:rPr>
          <w:i/>
          <w:noProof/>
        </w:rPr>
        <w:t>ad habitum experimenti</w:t>
      </w:r>
      <w:r>
        <w:rPr>
          <w:noProof/>
          <w:lang w:val="cs-CZ"/>
        </w:rPr>
        <w:t>). Jednání je dané vzhledem k možnému činu (</w:t>
      </w:r>
      <w:r w:rsidRPr="00BD7619">
        <w:rPr>
          <w:i/>
          <w:noProof/>
        </w:rPr>
        <w:t>circa agibilia</w:t>
      </w:r>
      <w:r>
        <w:rPr>
          <w:noProof/>
          <w:lang w:val="cs-CZ"/>
        </w:rPr>
        <w:t>), proto je morální věda určena vzhledem k habitu prozíravosti (</w:t>
      </w:r>
      <w:r w:rsidRPr="00BD7619">
        <w:rPr>
          <w:i/>
          <w:noProof/>
        </w:rPr>
        <w:t>ad habitum prudentiae</w:t>
      </w:r>
      <w:r>
        <w:rPr>
          <w:noProof/>
          <w:lang w:val="cs-CZ"/>
        </w:rPr>
        <w:t>). Habitus umění a etického poznání je vzdálen od determinace jednání, protože je univerzální».“ </w:t>
      </w:r>
      <w:r>
        <w:rPr>
          <w:rStyle w:val="Znakapoznpodarou"/>
        </w:rPr>
        <w:footnoteReference w:id="581"/>
      </w:r>
    </w:p>
    <w:p w:rsidR="00B11AAC" w:rsidRDefault="08163013" w:rsidP="00212B44">
      <w:r w:rsidRPr="00273106">
        <w:lastRenderedPageBreak/>
        <w:t>Prozíravost vychází ze získané sumy zkušeností uložených habituálně (</w:t>
      </w:r>
      <w:r w:rsidRPr="00273106">
        <w:rPr>
          <w:i/>
        </w:rPr>
        <w:t>de habitu activo proximo</w:t>
      </w:r>
      <w:r w:rsidRPr="00273106">
        <w:t>), a tím je u</w:t>
      </w:r>
      <w:r>
        <w:t>rčená z aktivního jednání jedno</w:t>
      </w:r>
      <w:r w:rsidRPr="00273106">
        <w:t>t</w:t>
      </w:r>
      <w:r>
        <w:t>l</w:t>
      </w:r>
      <w:r w:rsidRPr="00273106">
        <w:t>ivce (</w:t>
      </w:r>
      <w:r w:rsidRPr="00273106">
        <w:rPr>
          <w:i/>
        </w:rPr>
        <w:t>adquisitus ex actibus</w:t>
      </w:r>
      <w:r w:rsidRPr="00273106">
        <w:t xml:space="preserve">). </w:t>
      </w:r>
      <w:r>
        <w:t xml:space="preserve">První část definice praktického intelektu směřuje k individuálnímu jednání, což zdánlivě představuje aristotelský scénář. </w:t>
      </w:r>
      <w:r w:rsidRPr="00273106">
        <w:t>Prak</w:t>
      </w:r>
      <w:r>
        <w:t xml:space="preserve">tický intelekt </w:t>
      </w:r>
      <w:r w:rsidR="003D425B">
        <w:t xml:space="preserve">zdánlivě provádí </w:t>
      </w:r>
      <w:r>
        <w:t xml:space="preserve">poznání </w:t>
      </w:r>
      <w:r w:rsidRPr="00273106">
        <w:t xml:space="preserve">v </w:t>
      </w:r>
      <w:r>
        <w:t xml:space="preserve">singulárním modu </w:t>
      </w:r>
      <w:r w:rsidR="00E512B0">
        <w:t>„</w:t>
      </w:r>
      <w:r w:rsidRPr="00273106">
        <w:rPr>
          <w:i/>
        </w:rPr>
        <w:t>secundum quid</w:t>
      </w:r>
      <w:r w:rsidR="00E512B0">
        <w:t>“</w:t>
      </w:r>
      <w:r w:rsidRPr="00273106">
        <w:t xml:space="preserve">, vychází ze zkušenosti a je orientovaný na reálné jednání. </w:t>
      </w:r>
      <w:r>
        <w:t xml:space="preserve">Ale praktický sylogismus </w:t>
      </w:r>
      <w:r w:rsidR="00E512B0">
        <w:t xml:space="preserve">je zasazen do teoretického intelektu, a ne do praktického, </w:t>
      </w:r>
      <w:r>
        <w:t xml:space="preserve">jak to má </w:t>
      </w:r>
      <w:r w:rsidRPr="08345E47">
        <w:rPr>
          <w:i/>
        </w:rPr>
        <w:t>Etika Nikomachova</w:t>
      </w:r>
      <w:r w:rsidR="00E512B0">
        <w:t>. To v</w:t>
      </w:r>
      <w:r w:rsidR="00E512B0" w:rsidRPr="00E512B0">
        <w:t>ytváří zcela odlišný výklad rozšíření, díky němuž se teoret</w:t>
      </w:r>
      <w:r w:rsidR="00E512B0">
        <w:t xml:space="preserve">ický intelekt mění v praktický. </w:t>
      </w:r>
      <w:r w:rsidR="00F67685">
        <w:t>Scotus vytvořil</w:t>
      </w:r>
      <w:r w:rsidRPr="00273106">
        <w:t xml:space="preserve"> esenciální definici praxe, která sleduje dělení dobra podle </w:t>
      </w:r>
      <w:r w:rsidRPr="00273106">
        <w:rPr>
          <w:i/>
        </w:rPr>
        <w:t>Nominales</w:t>
      </w:r>
      <w:r w:rsidR="00B31FFC">
        <w:t xml:space="preserve"> a porretánů. </w:t>
      </w:r>
      <w:r>
        <w:t xml:space="preserve">Jeho predikace v modu </w:t>
      </w:r>
      <w:r w:rsidRPr="08B477C0">
        <w:rPr>
          <w:i/>
        </w:rPr>
        <w:t>per prius</w:t>
      </w:r>
      <w:r>
        <w:t xml:space="preserve"> není určena </w:t>
      </w:r>
      <w:r w:rsidRPr="00273106">
        <w:t>skutečný</w:t>
      </w:r>
      <w:r>
        <w:t>m</w:t>
      </w:r>
      <w:r w:rsidRPr="00273106">
        <w:t xml:space="preserve"> průběh</w:t>
      </w:r>
      <w:r>
        <w:t>em</w:t>
      </w:r>
      <w:r w:rsidRPr="00273106">
        <w:t xml:space="preserve"> jednání</w:t>
      </w:r>
      <w:r>
        <w:t>. Habitus vzniká na základě reálné praxe</w:t>
      </w:r>
      <w:r w:rsidRPr="00273106">
        <w:t xml:space="preserve"> jednotlivce</w:t>
      </w:r>
      <w:r>
        <w:t xml:space="preserve"> a ne naopak, což ukázala předchozí Oc</w:t>
      </w:r>
      <w:r w:rsidR="00822633">
        <w:t>khamova kritika scotismu (kap. 5</w:t>
      </w:r>
      <w:r>
        <w:t>.4.1)</w:t>
      </w:r>
      <w:r w:rsidRPr="00273106">
        <w:t xml:space="preserve">. </w:t>
      </w:r>
      <w:r>
        <w:t xml:space="preserve">Citované </w:t>
      </w:r>
      <w:r w:rsidR="008C2D4A" w:rsidRPr="008C2D4A">
        <w:rPr>
          <w:i/>
        </w:rPr>
        <w:t>Ordinatio I</w:t>
      </w:r>
      <w:r>
        <w:t xml:space="preserve"> esencializuje a objektivizuje potenci té či oné aktivity (</w:t>
      </w:r>
      <w:r w:rsidRPr="009A339F">
        <w:rPr>
          <w:i/>
        </w:rPr>
        <w:t>factibilia</w:t>
      </w:r>
      <w:r>
        <w:t xml:space="preserve">, </w:t>
      </w:r>
      <w:r w:rsidRPr="009A339F">
        <w:rPr>
          <w:i/>
        </w:rPr>
        <w:t>agibilia</w:t>
      </w:r>
      <w:r>
        <w:t>). Scotus provádí teoretickou dedukci prozíravosti tím, že od obecného pojmu habitu dedukuje konkrétní jednání v realitě. To je podle Ockhama zásadně chybný postup v případě praktického sylogismu, protože Scotus nechá teoretickou dedukci řídit individuální jednání v realitě (</w:t>
      </w:r>
      <w:r w:rsidRPr="08523DC3">
        <w:rPr>
          <w:i/>
        </w:rPr>
        <w:t>aequaliter diriget habitus universalis</w:t>
      </w:r>
      <w:r>
        <w:t xml:space="preserve">; </w:t>
      </w:r>
      <w:r w:rsidR="00CC5DA1">
        <w:t xml:space="preserve">OTh 1, </w:t>
      </w:r>
      <w:r>
        <w:t>318.13</w:t>
      </w:r>
      <w:r>
        <w:fldChar w:fldCharType="begin"/>
      </w:r>
      <w:r>
        <w:instrText xml:space="preserve"> XE "Ockham:</w:instrText>
      </w:r>
      <w:r w:rsidRPr="00F239D6">
        <w:rPr>
          <w:i/>
        </w:rPr>
        <w:instrText>Ordinatio</w:instrText>
      </w:r>
      <w:r w:rsidRPr="00F239D6">
        <w:instrText xml:space="preserve"> </w:instrText>
      </w:r>
      <w:r>
        <w:instrText>1.318</w:instrText>
      </w:r>
      <w:r w:rsidRPr="00F239D6">
        <w:instrText>.1</w:instrText>
      </w:r>
      <w:r>
        <w:instrText xml:space="preserve">3" </w:instrText>
      </w:r>
      <w:r>
        <w:fldChar w:fldCharType="end"/>
      </w:r>
      <w:r>
        <w:t>). Ve skutečnosti vzniká habitus a pojem prozíravosti na základě opako</w:t>
      </w:r>
      <w:r w:rsidR="00F45328">
        <w:t>vaného správného jednání prozír</w:t>
      </w:r>
      <w:r>
        <w:t>a</w:t>
      </w:r>
      <w:r w:rsidR="00F45328">
        <w:t>v</w:t>
      </w:r>
      <w:r>
        <w:t xml:space="preserve">ého člověka. Tuto </w:t>
      </w:r>
      <w:r w:rsidR="00F45328">
        <w:t>singulární kauzalitu danou reál</w:t>
      </w:r>
      <w:r>
        <w:t>ně nelze nahradit žádnou teoretickou dedukcí a pojmem, protože praktická racionalita představuj</w:t>
      </w:r>
      <w:r w:rsidR="00F45328">
        <w:t>e rodově odlišný deduktivní úsudek</w:t>
      </w:r>
      <w:r>
        <w:t xml:space="preserve">. Scotus vytvořil etickou verzi </w:t>
      </w:r>
      <w:r w:rsidRPr="00786C77">
        <w:rPr>
          <w:i/>
        </w:rPr>
        <w:t>Oxfordian Fallacy</w:t>
      </w:r>
      <w:r>
        <w:rPr>
          <w:i/>
        </w:rPr>
        <w:fldChar w:fldCharType="begin"/>
      </w:r>
      <w:r>
        <w:instrText xml:space="preserve"> XE "</w:instrText>
      </w:r>
      <w:r w:rsidRPr="0015798D">
        <w:rPr>
          <w:i/>
        </w:rPr>
        <w:instrText>Oxfordian Fallacy:</w:instrText>
      </w:r>
      <w:r>
        <w:instrText xml:space="preserve">etika" </w:instrText>
      </w:r>
      <w:r>
        <w:rPr>
          <w:i/>
        </w:rPr>
        <w:fldChar w:fldCharType="end"/>
      </w:r>
      <w:r>
        <w:t xml:space="preserve"> pro praktický intelekt, která dopl</w:t>
      </w:r>
      <w:r w:rsidR="009D2505">
        <w:t>nila Rufusovu verzi objektivní etiky</w:t>
      </w:r>
      <w:r>
        <w:t xml:space="preserve">. Klíčovou roli v poznávacím schématu hraje objektivní pojetí habitu, které nahradilo bývalou porretánskou </w:t>
      </w:r>
      <w:r w:rsidR="00962190" w:rsidRPr="00F45328">
        <w:t>species</w:t>
      </w:r>
      <w:r>
        <w:t xml:space="preserve"> třetího druhu. </w:t>
      </w:r>
      <w:r w:rsidRPr="00273106">
        <w:t>Vezměm</w:t>
      </w:r>
      <w:r>
        <w:t xml:space="preserve">e první část Scotovy definice vytvářející novou verzi </w:t>
      </w:r>
      <w:r w:rsidRPr="08EF16A7">
        <w:rPr>
          <w:i/>
        </w:rPr>
        <w:t>Oxfordian Fallacy</w:t>
      </w:r>
      <w:r>
        <w:t xml:space="preserve"> pro praktický sylogismus</w:t>
      </w:r>
      <w:r>
        <w:fldChar w:fldCharType="begin"/>
      </w:r>
      <w:r>
        <w:instrText xml:space="preserve"> XE "praktický sylogismus" </w:instrText>
      </w:r>
      <w:r>
        <w:fldChar w:fldCharType="end"/>
      </w:r>
      <w:r>
        <w:t xml:space="preserve"> (</w:t>
      </w:r>
      <w:r w:rsidRPr="00273106">
        <w:rPr>
          <w:i/>
        </w:rPr>
        <w:t>ars se habet circa factibilia ad habitum experimenti</w:t>
      </w:r>
      <w:r>
        <w:t>)</w:t>
      </w:r>
      <w:r w:rsidRPr="00273106">
        <w:t xml:space="preserve">. </w:t>
      </w:r>
      <w:r>
        <w:t xml:space="preserve">Podstata </w:t>
      </w:r>
      <w:r w:rsidRPr="00273106">
        <w:t>dané činnosti (</w:t>
      </w:r>
      <w:r w:rsidRPr="00273106">
        <w:rPr>
          <w:i/>
        </w:rPr>
        <w:t>ars</w:t>
      </w:r>
      <w:r w:rsidRPr="00273106">
        <w:t xml:space="preserve">) </w:t>
      </w:r>
      <w:r>
        <w:t>je určena</w:t>
      </w:r>
      <w:r w:rsidRPr="00273106">
        <w:t xml:space="preserve"> esenciálním výměrem </w:t>
      </w:r>
      <w:r>
        <w:t>činnosti (</w:t>
      </w:r>
      <w:r w:rsidRPr="00273106">
        <w:rPr>
          <w:i/>
        </w:rPr>
        <w:t>factibilia</w:t>
      </w:r>
      <w:r>
        <w:t>) určené nikoliv konkrétním jednáním osoby, ale hypostázovaným habitem</w:t>
      </w:r>
      <w:r w:rsidRPr="00273106">
        <w:t xml:space="preserve"> zkušenosti (</w:t>
      </w:r>
      <w:r w:rsidRPr="00273106">
        <w:rPr>
          <w:i/>
        </w:rPr>
        <w:t>habitum experimenti</w:t>
      </w:r>
      <w:r w:rsidRPr="00273106">
        <w:t xml:space="preserve">). </w:t>
      </w:r>
      <w:r>
        <w:t xml:space="preserve">Objektivního Scota nezajímá reálné jednání </w:t>
      </w:r>
      <w:r w:rsidR="009D2505">
        <w:t>osoby</w:t>
      </w:r>
      <w:r>
        <w:t xml:space="preserve">, protože konkrétní jednání je zahrnuto v esenciální kauzalitě. Proto je možné převést praktický sylogismus na teoretický </w:t>
      </w:r>
      <w:r w:rsidR="00D37721">
        <w:t xml:space="preserve">model </w:t>
      </w:r>
      <w:r>
        <w:t>pozná</w:t>
      </w:r>
      <w:r w:rsidR="00D37721">
        <w:t>ní</w:t>
      </w:r>
      <w:r>
        <w:t xml:space="preserve">. Scotus utvořil etickou dedukci z univerzální formy dané objektivně </w:t>
      </w:r>
      <w:r>
        <w:lastRenderedPageBreak/>
        <w:t xml:space="preserve">habituálně. Ockham správně vidí, že omyl Scota se týká středního členu </w:t>
      </w:r>
      <w:r w:rsidR="00386DF0">
        <w:t xml:space="preserve">praktického </w:t>
      </w:r>
      <w:r w:rsidR="003C5C80">
        <w:t>syllogismu</w:t>
      </w:r>
      <w:r>
        <w:t xml:space="preserve">. </w:t>
      </w:r>
      <w:r w:rsidR="00164688">
        <w:t xml:space="preserve">Objektivní extenze teoretického soudu do praktického je chybná, protože nevychází z reálné kauzality eticky jednající osoby. </w:t>
      </w:r>
      <w:r>
        <w:t>H</w:t>
      </w:r>
      <w:r w:rsidRPr="00273106">
        <w:t xml:space="preserve">abitus determinuje </w:t>
      </w:r>
      <w:r>
        <w:t xml:space="preserve">v modu teoretického intelektu univerzální, a proto pouze </w:t>
      </w:r>
      <w:r w:rsidRPr="00273106">
        <w:t>potenc</w:t>
      </w:r>
      <w:r w:rsidR="00144A5C">
        <w:t xml:space="preserve">iální rozsah dané aktivity </w:t>
      </w:r>
      <w:r w:rsidRPr="00273106">
        <w:t xml:space="preserve">toho, </w:t>
      </w:r>
      <w:r w:rsidR="00756FF5">
        <w:t xml:space="preserve">co může být objektivně vyrobeno, </w:t>
      </w:r>
      <w:r>
        <w:t xml:space="preserve">nebo vykonáno </w:t>
      </w:r>
      <w:r w:rsidRPr="00273106">
        <w:t>(</w:t>
      </w:r>
      <w:r w:rsidRPr="00273106">
        <w:rPr>
          <w:i/>
        </w:rPr>
        <w:t>factibilia</w:t>
      </w:r>
      <w:r>
        <w:rPr>
          <w:i/>
        </w:rPr>
        <w:t>, agibilia</w:t>
      </w:r>
      <w:r w:rsidRPr="00273106">
        <w:t xml:space="preserve">). </w:t>
      </w:r>
      <w:r>
        <w:t xml:space="preserve">Citovaná </w:t>
      </w:r>
      <w:r w:rsidRPr="00273106">
        <w:t xml:space="preserve">definice </w:t>
      </w:r>
      <w:r>
        <w:t xml:space="preserve">uměleckého a etického jednání </w:t>
      </w:r>
      <w:r w:rsidRPr="00273106">
        <w:t xml:space="preserve">vychází od </w:t>
      </w:r>
      <w:r>
        <w:t xml:space="preserve">univerzální </w:t>
      </w:r>
      <w:r w:rsidR="00962190">
        <w:rPr>
          <w:i/>
        </w:rPr>
        <w:t>species</w:t>
      </w:r>
      <w:r w:rsidRPr="00273106">
        <w:t xml:space="preserve"> </w:t>
      </w:r>
      <w:r>
        <w:t xml:space="preserve">daného vědění </w:t>
      </w:r>
      <w:r w:rsidRPr="00273106">
        <w:t>(</w:t>
      </w:r>
      <w:r w:rsidRPr="00273106">
        <w:rPr>
          <w:i/>
        </w:rPr>
        <w:t>ars</w:t>
      </w:r>
      <w:r w:rsidRPr="00273106">
        <w:t xml:space="preserve">, </w:t>
      </w:r>
      <w:r w:rsidRPr="00273106">
        <w:rPr>
          <w:i/>
        </w:rPr>
        <w:t>scientia moralis</w:t>
      </w:r>
      <w:r w:rsidRPr="00273106">
        <w:t>)</w:t>
      </w:r>
      <w:r>
        <w:t xml:space="preserve">. Tento objektivní rod pak </w:t>
      </w:r>
      <w:r w:rsidRPr="00273106">
        <w:t xml:space="preserve">zakládá význam dané třídy jednání </w:t>
      </w:r>
      <w:proofErr w:type="gramStart"/>
      <w:r>
        <w:t>daném</w:t>
      </w:r>
      <w:proofErr w:type="gramEnd"/>
      <w:r>
        <w:t xml:space="preserve"> v objektivně def</w:t>
      </w:r>
      <w:r w:rsidR="00742076">
        <w:t>inovaném řádu řemeslné práce</w:t>
      </w:r>
      <w:r>
        <w:t xml:space="preserve"> (</w:t>
      </w:r>
      <w:r w:rsidRPr="00273106">
        <w:rPr>
          <w:i/>
        </w:rPr>
        <w:t>factibilia</w:t>
      </w:r>
      <w:r>
        <w:t xml:space="preserve">), nebo mravního či politického jednání </w:t>
      </w:r>
      <w:r w:rsidRPr="00273106">
        <w:t>(</w:t>
      </w:r>
      <w:r w:rsidRPr="00273106">
        <w:rPr>
          <w:i/>
        </w:rPr>
        <w:t>agibilia</w:t>
      </w:r>
      <w:r w:rsidRPr="00273106">
        <w:t>).</w:t>
      </w:r>
      <w:r>
        <w:t xml:space="preserve"> A toto objektivní </w:t>
      </w:r>
      <w:r w:rsidR="00962190">
        <w:rPr>
          <w:i/>
        </w:rPr>
        <w:t>species</w:t>
      </w:r>
      <w:r>
        <w:t xml:space="preserve"> není </w:t>
      </w:r>
      <w:r w:rsidR="00482476">
        <w:t xml:space="preserve">založeno na </w:t>
      </w:r>
      <w:r>
        <w:t xml:space="preserve">reálné kauzalitě jednající osoby, ale </w:t>
      </w:r>
      <w:r w:rsidR="00482476">
        <w:t xml:space="preserve">představuje </w:t>
      </w:r>
      <w:r>
        <w:t>hypostázovan</w:t>
      </w:r>
      <w:r w:rsidR="00482476">
        <w:t>ý h</w:t>
      </w:r>
      <w:r>
        <w:t>abitu</w:t>
      </w:r>
      <w:r w:rsidR="00482476">
        <w:t>s</w:t>
      </w:r>
      <w:r>
        <w:t xml:space="preserve">. </w:t>
      </w:r>
      <w:r w:rsidRPr="00273106">
        <w:t xml:space="preserve">Scotus </w:t>
      </w:r>
      <w:r w:rsidR="00615B98">
        <w:t xml:space="preserve">vytvořil logickou dedukci </w:t>
      </w:r>
      <w:r w:rsidR="00871D2D">
        <w:t>praktického sylogismu</w:t>
      </w:r>
      <w:r>
        <w:t>. Nejprve je dán</w:t>
      </w:r>
      <w:r w:rsidR="00E52741">
        <w:t>a</w:t>
      </w:r>
      <w:r>
        <w:t xml:space="preserve"> potenciální </w:t>
      </w:r>
      <w:r w:rsidR="00E52741">
        <w:t xml:space="preserve">definice </w:t>
      </w:r>
      <w:r>
        <w:t>objektivní činosti (</w:t>
      </w:r>
      <w:r w:rsidRPr="00273106">
        <w:rPr>
          <w:i/>
        </w:rPr>
        <w:t>scientia moralis</w:t>
      </w:r>
      <w:r>
        <w:t>) a toto o</w:t>
      </w:r>
      <w:r w:rsidRPr="00273106">
        <w:t xml:space="preserve">bjektivně-specifické určení etiky </w:t>
      </w:r>
      <w:r>
        <w:t xml:space="preserve">determinuje </w:t>
      </w:r>
      <w:r w:rsidRPr="00273106">
        <w:t xml:space="preserve">potenciální </w:t>
      </w:r>
      <w:r w:rsidR="00914513">
        <w:t xml:space="preserve">kategorii </w:t>
      </w:r>
      <w:r w:rsidRPr="00273106">
        <w:t>lidského jednání (</w:t>
      </w:r>
      <w:r w:rsidRPr="00273106">
        <w:rPr>
          <w:i/>
        </w:rPr>
        <w:t>agibilia</w:t>
      </w:r>
      <w:r>
        <w:rPr>
          <w:i/>
        </w:rPr>
        <w:fldChar w:fldCharType="begin"/>
      </w:r>
      <w:r>
        <w:instrText xml:space="preserve"> XE "</w:instrText>
      </w:r>
      <w:r w:rsidRPr="00C353E5">
        <w:instrText>etika</w:instrText>
      </w:r>
      <w:r w:rsidRPr="0078684F">
        <w:rPr>
          <w:i/>
        </w:rPr>
        <w:instrText>:</w:instrText>
      </w:r>
      <w:r w:rsidRPr="00C353E5">
        <w:instrText>objektivní</w:instrText>
      </w:r>
      <w:r>
        <w:instrText xml:space="preserve">" </w:instrText>
      </w:r>
      <w:r>
        <w:rPr>
          <w:i/>
        </w:rPr>
        <w:fldChar w:fldCharType="end"/>
      </w:r>
      <w:r w:rsidRPr="00273106">
        <w:t xml:space="preserve">). </w:t>
      </w:r>
      <w:r>
        <w:t>Výsledná definice etiky je dána skrze teoretický intelekt, a navíc skrze nasvícení zezadu od hypostázované esence. Scotus začíná u objektivně vymezené oblasti jednání (</w:t>
      </w:r>
      <w:r w:rsidRPr="00273106">
        <w:rPr>
          <w:i/>
        </w:rPr>
        <w:t>circa</w:t>
      </w:r>
      <w:r w:rsidRPr="00273106">
        <w:t xml:space="preserve"> </w:t>
      </w:r>
      <w:r w:rsidRPr="00273106">
        <w:rPr>
          <w:i/>
        </w:rPr>
        <w:t>agibilia</w:t>
      </w:r>
      <w:r>
        <w:t xml:space="preserve">), která je napojena ve středním členu soudu na habitus jako kauzálně účinnou </w:t>
      </w:r>
      <w:r w:rsidR="00962190" w:rsidRPr="00E52741">
        <w:t>species</w:t>
      </w:r>
      <w:r>
        <w:t xml:space="preserve"> (</w:t>
      </w:r>
      <w:r w:rsidRPr="00273106">
        <w:rPr>
          <w:i/>
        </w:rPr>
        <w:t>ad habitum prudentiae</w:t>
      </w:r>
      <w:r>
        <w:t xml:space="preserve">). Spojením těchto dvou abstraktních vymezení je pak založen </w:t>
      </w:r>
      <w:r w:rsidR="0095791A">
        <w:t xml:space="preserve">objektivní </w:t>
      </w:r>
      <w:r>
        <w:t>výměr etiky (</w:t>
      </w:r>
      <w:r w:rsidRPr="00273106">
        <w:rPr>
          <w:i/>
        </w:rPr>
        <w:t>circa</w:t>
      </w:r>
      <w:r w:rsidRPr="00273106">
        <w:t xml:space="preserve"> </w:t>
      </w:r>
      <w:r w:rsidRPr="00273106">
        <w:rPr>
          <w:i/>
        </w:rPr>
        <w:t>agibilia se habet scientia moralis ad habitum prudentiae</w:t>
      </w:r>
      <w:r>
        <w:t>)</w:t>
      </w:r>
      <w:r w:rsidRPr="00273106">
        <w:t xml:space="preserve">. </w:t>
      </w:r>
      <w:r w:rsidR="0095791A">
        <w:t xml:space="preserve">Substanciálně </w:t>
      </w:r>
      <w:r w:rsidRPr="00273106">
        <w:t>determinovaný habitus prozíravosti představuje singulárně-univerzální medium</w:t>
      </w:r>
      <w:r>
        <w:fldChar w:fldCharType="begin"/>
      </w:r>
      <w:r>
        <w:instrText xml:space="preserve"> XE "</w:instrText>
      </w:r>
      <w:r w:rsidRPr="001618A5">
        <w:rPr>
          <w:i/>
        </w:rPr>
        <w:instrText>medium:</w:instrText>
      </w:r>
      <w:r w:rsidRPr="00C353E5">
        <w:instrText>Scotus</w:instrText>
      </w:r>
      <w:r>
        <w:instrText xml:space="preserve">" </w:instrText>
      </w:r>
      <w:r>
        <w:fldChar w:fldCharType="end"/>
      </w:r>
      <w:r w:rsidRPr="00273106">
        <w:t xml:space="preserve"> spojující oba univerzální pojmy</w:t>
      </w:r>
      <w:r>
        <w:t xml:space="preserve"> (</w:t>
      </w:r>
      <w:r w:rsidRPr="00273106">
        <w:rPr>
          <w:i/>
        </w:rPr>
        <w:t>scientia moralis</w:t>
      </w:r>
      <w:r>
        <w:rPr>
          <w:i/>
        </w:rPr>
        <w:t>, agibilia</w:t>
      </w:r>
      <w:r>
        <w:t>)</w:t>
      </w:r>
      <w:r w:rsidRPr="00273106">
        <w:t>. Toto pojetí habitu najdeme p</w:t>
      </w:r>
      <w:r>
        <w:t xml:space="preserve">oprvé u Simplikia, jehož verzi </w:t>
      </w:r>
      <w:r w:rsidR="00586A6A">
        <w:t>„</w:t>
      </w:r>
      <w:r w:rsidRPr="00273106">
        <w:rPr>
          <w:i/>
        </w:rPr>
        <w:t>esse ad</w:t>
      </w:r>
      <w:r w:rsidR="00586A6A">
        <w:t>“</w:t>
      </w:r>
      <w:r>
        <w:rPr>
          <w:i/>
        </w:rPr>
        <w:fldChar w:fldCharType="begin"/>
      </w:r>
      <w:r>
        <w:instrText xml:space="preserve"> XE "</w:instrText>
      </w:r>
      <w:r w:rsidRPr="008F3381">
        <w:rPr>
          <w:i/>
        </w:rPr>
        <w:instrText xml:space="preserve">esse </w:instrText>
      </w:r>
      <w:proofErr w:type="gramStart"/>
      <w:r w:rsidRPr="008F3381">
        <w:rPr>
          <w:i/>
        </w:rPr>
        <w:instrText>ad</w:instrText>
      </w:r>
      <w:proofErr w:type="gramEnd"/>
      <w:r w:rsidRPr="008F3381">
        <w:rPr>
          <w:i/>
        </w:rPr>
        <w:instrText>:</w:instrText>
      </w:r>
      <w:r>
        <w:instrText xml:space="preserve">Gandavus" </w:instrText>
      </w:r>
      <w:r>
        <w:rPr>
          <w:i/>
        </w:rPr>
        <w:fldChar w:fldCharType="end"/>
      </w:r>
      <w:r w:rsidRPr="00273106">
        <w:t xml:space="preserve"> Gandavus použil k </w:t>
      </w:r>
      <w:r>
        <w:t xml:space="preserve">definici objektivního </w:t>
      </w:r>
      <w:r w:rsidRPr="00273106">
        <w:rPr>
          <w:i/>
        </w:rPr>
        <w:t>habitudo</w:t>
      </w:r>
      <w:r w:rsidR="0095791A">
        <w:t xml:space="preserve"> (kap. 5</w:t>
      </w:r>
      <w:r w:rsidRPr="00273106">
        <w:t xml:space="preserve">.2.3). </w:t>
      </w:r>
      <w:r>
        <w:t xml:space="preserve">Scotovo objektivní určení morálky a politiky je dané nasvícením zezadu, od neexistujícího jsoucna třetího druhu. </w:t>
      </w:r>
      <w:r w:rsidR="00D22A2C">
        <w:t xml:space="preserve">Opět vznikl zásadní konflikt mezi objektivním </w:t>
      </w:r>
      <w:r w:rsidR="00DB4A2C">
        <w:t>a aristo</w:t>
      </w:r>
      <w:r w:rsidR="00D22A2C">
        <w:t>telským pojetím etiky</w:t>
      </w:r>
      <w:r w:rsidR="00B11AAC">
        <w:t>. Zavedením analytické a objektivní varianty principu „</w:t>
      </w:r>
      <w:r w:rsidR="00B11AAC" w:rsidRPr="004E20A0">
        <w:rPr>
          <w:i/>
        </w:rPr>
        <w:t>ex</w:t>
      </w:r>
      <w:r w:rsidR="00B11AAC">
        <w:t xml:space="preserve"> </w:t>
      </w:r>
      <w:r w:rsidR="00B11AAC">
        <w:rPr>
          <w:i/>
        </w:rPr>
        <w:t>inmediatis</w:t>
      </w:r>
      <w:r w:rsidR="00B11AAC">
        <w:t>“</w:t>
      </w:r>
      <w:r w:rsidR="00B11AAC">
        <w:rPr>
          <w:i/>
        </w:rPr>
        <w:fldChar w:fldCharType="begin"/>
      </w:r>
      <w:r w:rsidR="00B11AAC">
        <w:instrText xml:space="preserve"> XE "</w:instrText>
      </w:r>
      <w:r w:rsidR="00B11AAC" w:rsidRPr="001E1D76">
        <w:instrText xml:space="preserve">princip ex </w:instrText>
      </w:r>
      <w:r w:rsidR="00B11AAC" w:rsidRPr="001E1D76">
        <w:rPr>
          <w:i/>
        </w:rPr>
        <w:instrText>inmediatis</w:instrText>
      </w:r>
      <w:r w:rsidR="00B11AAC">
        <w:instrText xml:space="preserve">" </w:instrText>
      </w:r>
      <w:r w:rsidR="00B11AAC">
        <w:rPr>
          <w:i/>
        </w:rPr>
        <w:fldChar w:fldCharType="end"/>
      </w:r>
      <w:r w:rsidR="00B11AAC">
        <w:t xml:space="preserve"> do praktického sylogismu vznikla v praktické verzi </w:t>
      </w:r>
      <w:r w:rsidR="00B11AAC" w:rsidRPr="00AC56BE">
        <w:rPr>
          <w:i/>
        </w:rPr>
        <w:t>Oxfordian Fall</w:t>
      </w:r>
      <w:r w:rsidR="00B11AAC">
        <w:rPr>
          <w:i/>
        </w:rPr>
        <w:t>a</w:t>
      </w:r>
      <w:r w:rsidR="00B11AAC" w:rsidRPr="00AC56BE">
        <w:rPr>
          <w:i/>
        </w:rPr>
        <w:t>cy</w:t>
      </w:r>
      <w:r w:rsidR="00B11AAC">
        <w:rPr>
          <w:i/>
        </w:rPr>
        <w:fldChar w:fldCharType="begin"/>
      </w:r>
      <w:r w:rsidR="00B11AAC">
        <w:instrText xml:space="preserve"> XE "</w:instrText>
      </w:r>
      <w:r w:rsidR="00B11AAC" w:rsidRPr="0015798D">
        <w:rPr>
          <w:i/>
        </w:rPr>
        <w:instrText>Oxfordian Fallacy:</w:instrText>
      </w:r>
      <w:r w:rsidR="00B11AAC">
        <w:instrText xml:space="preserve">etika" </w:instrText>
      </w:r>
      <w:r w:rsidR="00B11AAC">
        <w:rPr>
          <w:i/>
        </w:rPr>
        <w:fldChar w:fldCharType="end"/>
      </w:r>
      <w:r w:rsidR="00B11AAC">
        <w:t xml:space="preserve"> neexistující kauzalita objektivního </w:t>
      </w:r>
      <w:r w:rsidR="00B11AAC" w:rsidRPr="00273106">
        <w:rPr>
          <w:i/>
        </w:rPr>
        <w:t>scibile</w:t>
      </w:r>
      <w:r w:rsidR="00B11AAC">
        <w:rPr>
          <w:i/>
        </w:rPr>
        <w:fldChar w:fldCharType="begin"/>
      </w:r>
      <w:r w:rsidR="00B11AAC">
        <w:instrText xml:space="preserve"> XE "</w:instrText>
      </w:r>
      <w:r w:rsidR="00B11AAC" w:rsidRPr="00AA4F67">
        <w:rPr>
          <w:i/>
        </w:rPr>
        <w:instrText>scibile</w:instrText>
      </w:r>
      <w:r w:rsidR="00B11AAC">
        <w:instrText xml:space="preserve">:etika" </w:instrText>
      </w:r>
      <w:r w:rsidR="00B11AAC">
        <w:rPr>
          <w:i/>
        </w:rPr>
        <w:fldChar w:fldCharType="end"/>
      </w:r>
      <w:r w:rsidR="00B11AAC">
        <w:t>, které nahradilo svobodné</w:t>
      </w:r>
      <w:r w:rsidR="00B11AAC" w:rsidRPr="00273106">
        <w:t xml:space="preserve"> jednání</w:t>
      </w:r>
      <w:r w:rsidR="00B11AAC">
        <w:t xml:space="preserve"> osoby</w:t>
      </w:r>
      <w:r w:rsidR="00B11AAC" w:rsidRPr="00273106">
        <w:t xml:space="preserve">. </w:t>
      </w:r>
    </w:p>
    <w:p w:rsidR="08163013" w:rsidRPr="00273106" w:rsidRDefault="00927526" w:rsidP="00431849">
      <w:pPr>
        <w:ind w:firstLine="397"/>
      </w:pPr>
      <w:r w:rsidRPr="00927526">
        <w:t>Scotismus konstruoval etiku zásadně chybným a sofistickým způsobem</w:t>
      </w:r>
      <w:r w:rsidR="0033107A">
        <w:t>. Za prvé, d</w:t>
      </w:r>
      <w:r w:rsidR="004218F7">
        <w:t xml:space="preserve">eduktivní vědecký důkaz </w:t>
      </w:r>
      <w:r w:rsidR="0033107A">
        <w:t xml:space="preserve">nemá kauzalitu danou jednáním osoby jako reálné hyparchické substance. Za druhé, dedukce je vytvořena </w:t>
      </w:r>
      <w:r w:rsidR="004218F7">
        <w:t>na zákla</w:t>
      </w:r>
      <w:r w:rsidR="0033107A">
        <w:t>dě logické abstrace</w:t>
      </w:r>
      <w:r w:rsidR="002A4258">
        <w:t xml:space="preserve">. Ta </w:t>
      </w:r>
      <w:r w:rsidR="0033107A">
        <w:t xml:space="preserve">zakládá teoretickou vědu genericky odlišnou od </w:t>
      </w:r>
      <w:r w:rsidR="002A4258">
        <w:t xml:space="preserve">aristotelské </w:t>
      </w:r>
      <w:r w:rsidR="0033107A">
        <w:t>etiky</w:t>
      </w:r>
      <w:r>
        <w:t xml:space="preserve">. </w:t>
      </w:r>
      <w:r w:rsidR="00D22A2C">
        <w:t>O</w:t>
      </w:r>
      <w:r w:rsidR="08163013" w:rsidRPr="00273106">
        <w:t xml:space="preserve">ckham tvrdí </w:t>
      </w:r>
      <w:r w:rsidR="08163013">
        <w:t>p</w:t>
      </w:r>
      <w:r w:rsidR="08163013" w:rsidRPr="00273106">
        <w:t xml:space="preserve">roti </w:t>
      </w:r>
      <w:r w:rsidR="08163013">
        <w:t xml:space="preserve">etickému </w:t>
      </w:r>
      <w:r w:rsidR="08163013">
        <w:lastRenderedPageBreak/>
        <w:t>objektivismu, že máme jed</w:t>
      </w:r>
      <w:r w:rsidR="08163013" w:rsidRPr="00273106">
        <w:t>n</w:t>
      </w:r>
      <w:r w:rsidR="08163013">
        <w:t>u osobu</w:t>
      </w:r>
      <w:r w:rsidR="08163013" w:rsidRPr="00273106">
        <w:t xml:space="preserve">, ale dva rodově odlišné </w:t>
      </w:r>
      <w:r w:rsidR="08163013">
        <w:t>akty</w:t>
      </w:r>
      <w:r w:rsidR="08163013" w:rsidRPr="00241DC0">
        <w:t xml:space="preserve"> </w:t>
      </w:r>
      <w:r w:rsidR="08163013" w:rsidRPr="00273106">
        <w:t>poznání</w:t>
      </w:r>
      <w:r w:rsidR="08163013">
        <w:t xml:space="preserve"> (teoretický, činný intelekt). Oběma druhům intelektu nutně odpovídají dva rodově odlišné objekty poznání: teoretický pojem daný univerzálně-potenciálně a praktický čin daný singulárně-reálně</w:t>
      </w:r>
      <w:r w:rsidR="08163013" w:rsidRPr="00273106">
        <w:t xml:space="preserve">. Objektivistické určení jednání a tvorby </w:t>
      </w:r>
      <w:r w:rsidR="08163013">
        <w:t xml:space="preserve">v rámci jedné univoční pravdy </w:t>
      </w:r>
      <w:r w:rsidR="08163013" w:rsidRPr="00273106">
        <w:t xml:space="preserve">zrušilo </w:t>
      </w:r>
      <w:r w:rsidR="08163013">
        <w:t xml:space="preserve">aristotelskou existenciální </w:t>
      </w:r>
      <w:r w:rsidR="08163013" w:rsidRPr="00273106">
        <w:t xml:space="preserve">jednotu dvou </w:t>
      </w:r>
      <w:r w:rsidR="08163013">
        <w:t xml:space="preserve">rodově odlišných způsobů poznání </w:t>
      </w:r>
      <w:r w:rsidR="08163013" w:rsidRPr="00273106">
        <w:t>a dvou specifických objektů pro obě intelektuální aktivity jedn</w:t>
      </w:r>
      <w:r w:rsidR="08163013">
        <w:t xml:space="preserve">é </w:t>
      </w:r>
      <w:r w:rsidR="08163013" w:rsidRPr="00273106">
        <w:t>a té</w:t>
      </w:r>
      <w:r w:rsidR="08163013">
        <w:t>že osoby</w:t>
      </w:r>
      <w:r w:rsidR="08163013" w:rsidRPr="00273106">
        <w:t xml:space="preserve">. Unifikace </w:t>
      </w:r>
      <w:r w:rsidR="08163013">
        <w:t xml:space="preserve">praktického </w:t>
      </w:r>
      <w:r w:rsidR="08163013" w:rsidRPr="00273106">
        <w:t xml:space="preserve">intelektu pod jeho teoretickou složku </w:t>
      </w:r>
      <w:r w:rsidR="08163013">
        <w:t xml:space="preserve">v rámci Scotovy objektivní univocity </w:t>
      </w:r>
      <w:r w:rsidR="08163013" w:rsidRPr="00273106">
        <w:t>je pr</w:t>
      </w:r>
      <w:r w:rsidR="08163013">
        <w:t>o Ockhama nepřijatelná. Scotistická etik</w:t>
      </w:r>
      <w:r w:rsidR="00885CFE">
        <w:t>a</w:t>
      </w:r>
      <w:r w:rsidR="08163013">
        <w:t xml:space="preserve"> zrušila jedinečné jednání zakládající v modu reálné kauzality praktický sylogismus (</w:t>
      </w:r>
      <w:r w:rsidR="08163013" w:rsidRPr="085963E6">
        <w:rPr>
          <w:i/>
        </w:rPr>
        <w:t>non potest haberi sine experientia singularium</w:t>
      </w:r>
      <w:r w:rsidR="08163013">
        <w:t xml:space="preserve">; </w:t>
      </w:r>
      <w:r w:rsidR="00CC5DA1">
        <w:t xml:space="preserve">OTh 1, </w:t>
      </w:r>
      <w:r w:rsidR="08163013">
        <w:t>318.21</w:t>
      </w:r>
      <w:r w:rsidR="08163013">
        <w:fldChar w:fldCharType="begin"/>
      </w:r>
      <w:r w:rsidR="08163013">
        <w:instrText xml:space="preserve"> XE "Ockham:</w:instrText>
      </w:r>
      <w:r w:rsidR="08163013" w:rsidRPr="00F239D6">
        <w:rPr>
          <w:i/>
        </w:rPr>
        <w:instrText>Ordinatio</w:instrText>
      </w:r>
      <w:r w:rsidR="08163013" w:rsidRPr="00F239D6">
        <w:instrText xml:space="preserve"> </w:instrText>
      </w:r>
      <w:r w:rsidR="08163013">
        <w:instrText xml:space="preserve">1.318.21" </w:instrText>
      </w:r>
      <w:r w:rsidR="08163013">
        <w:fldChar w:fldCharType="end"/>
      </w:r>
      <w:r w:rsidR="08163013">
        <w:t>). Sofistická extenze teoretického intelektu do praktického zničila autonomii</w:t>
      </w:r>
      <w:r w:rsidR="08163013" w:rsidRPr="00273106">
        <w:t xml:space="preserve"> etiky a politiky</w:t>
      </w:r>
      <w:r w:rsidR="08163013">
        <w:t xml:space="preserve">. Moderna zrušila princip extenze teoretického intelektu do praktického a tím zrušila praktickou predikaci </w:t>
      </w:r>
      <w:r w:rsidR="00667434">
        <w:t>„</w:t>
      </w:r>
      <w:r w:rsidR="08163013" w:rsidRPr="082B63B8">
        <w:rPr>
          <w:i/>
        </w:rPr>
        <w:t>in artificialibus</w:t>
      </w:r>
      <w:r w:rsidR="00667434">
        <w:t>“</w:t>
      </w:r>
      <w:r w:rsidR="08163013">
        <w:rPr>
          <w:i/>
        </w:rPr>
        <w:fldChar w:fldCharType="begin"/>
      </w:r>
      <w:r w:rsidR="08163013">
        <w:instrText xml:space="preserve"> XE "</w:instrText>
      </w:r>
      <w:r w:rsidR="08163013" w:rsidRPr="08296C43">
        <w:instrText>predikace:</w:instrText>
      </w:r>
      <w:r w:rsidR="08163013" w:rsidRPr="08296C43">
        <w:rPr>
          <w:i/>
        </w:rPr>
        <w:instrText>in artificialibus</w:instrText>
      </w:r>
      <w:r w:rsidR="08163013">
        <w:instrText xml:space="preserve">" </w:instrText>
      </w:r>
      <w:r w:rsidR="08163013">
        <w:rPr>
          <w:i/>
        </w:rPr>
        <w:fldChar w:fldCharType="end"/>
      </w:r>
      <w:r w:rsidR="08163013">
        <w:t xml:space="preserve">, </w:t>
      </w:r>
      <w:r w:rsidR="00667434">
        <w:t>které od sebe oddělovala oba způsoby poznání</w:t>
      </w:r>
      <w:r w:rsidR="08163013">
        <w:t xml:space="preserve">. Albertův rozbor </w:t>
      </w:r>
      <w:r w:rsidR="08163013" w:rsidRPr="088968A2">
        <w:rPr>
          <w:i/>
        </w:rPr>
        <w:t>Etiky</w:t>
      </w:r>
      <w:r w:rsidR="08163013">
        <w:t xml:space="preserve"> ukázal, že </w:t>
      </w:r>
      <w:r w:rsidR="08163013" w:rsidRPr="00273106">
        <w:t xml:space="preserve">jednání </w:t>
      </w:r>
      <w:r w:rsidR="08163013">
        <w:t xml:space="preserve">determinované praktickým </w:t>
      </w:r>
      <w:r w:rsidR="08163013" w:rsidRPr="00273106">
        <w:t>intelekt</w:t>
      </w:r>
      <w:r w:rsidR="08163013">
        <w:t xml:space="preserve">em provádí aktivní </w:t>
      </w:r>
      <w:r w:rsidR="08163013" w:rsidRPr="00273106">
        <w:t>pozná</w:t>
      </w:r>
      <w:r w:rsidR="08163013">
        <w:t xml:space="preserve">ní </w:t>
      </w:r>
      <w:r w:rsidR="08163013" w:rsidRPr="00273106">
        <w:t>jednotlivin (</w:t>
      </w:r>
      <w:r w:rsidR="08163013" w:rsidRPr="00273106">
        <w:rPr>
          <w:rStyle w:val="addmd"/>
          <w:i/>
        </w:rPr>
        <w:t>practicus intellectus habet formam operativam rei</w:t>
      </w:r>
      <w:r w:rsidR="08163013">
        <w:t xml:space="preserve">), kdy je </w:t>
      </w:r>
      <w:r w:rsidR="08163013" w:rsidRPr="00273106">
        <w:t xml:space="preserve">intelekt svou </w:t>
      </w:r>
      <w:r w:rsidR="08163013">
        <w:t xml:space="preserve">kauzální </w:t>
      </w:r>
      <w:r w:rsidR="08163013" w:rsidRPr="00273106">
        <w:t xml:space="preserve">činností </w:t>
      </w:r>
      <w:r w:rsidR="08163013">
        <w:t>přímo spojen s p</w:t>
      </w:r>
      <w:r w:rsidR="08163013" w:rsidRPr="00273106">
        <w:t>rováděn</w:t>
      </w:r>
      <w:r w:rsidR="08163013">
        <w:t>ým dílem</w:t>
      </w:r>
      <w:r w:rsidR="08163013" w:rsidRPr="00273106">
        <w:t xml:space="preserve"> </w:t>
      </w:r>
      <w:r w:rsidR="08163013">
        <w:t xml:space="preserve">v realitě </w:t>
      </w:r>
      <w:r w:rsidR="08163013" w:rsidRPr="00273106">
        <w:t>(</w:t>
      </w:r>
      <w:r w:rsidR="08163013" w:rsidRPr="00273106">
        <w:rPr>
          <w:rStyle w:val="addmd"/>
          <w:i/>
        </w:rPr>
        <w:t>hoc componitur cum re operat</w:t>
      </w:r>
      <w:r w:rsidR="00A7667B">
        <w:rPr>
          <w:rStyle w:val="addmd"/>
          <w:i/>
        </w:rPr>
        <w:t>o</w:t>
      </w:r>
      <w:r w:rsidR="00237F73" w:rsidRPr="00A7667B">
        <w:rPr>
          <w:rStyle w:val="addmd"/>
        </w:rPr>
        <w:t>, kap.</w:t>
      </w:r>
      <w:r w:rsidR="00341DC6">
        <w:rPr>
          <w:rStyle w:val="addmd"/>
        </w:rPr>
        <w:t xml:space="preserve"> 6</w:t>
      </w:r>
      <w:r w:rsidR="08163013" w:rsidRPr="088968A2">
        <w:rPr>
          <w:rStyle w:val="addmd"/>
        </w:rPr>
        <w:t>.1</w:t>
      </w:r>
      <w:r w:rsidR="08163013" w:rsidRPr="00273106">
        <w:t>).</w:t>
      </w:r>
      <w:r w:rsidR="08163013">
        <w:t xml:space="preserve"> Totéž stanovisko drží Ockham </w:t>
      </w:r>
      <w:r w:rsidR="00AD0CD7">
        <w:t xml:space="preserve">a </w:t>
      </w:r>
      <w:r w:rsidR="08163013" w:rsidRPr="00273106">
        <w:t xml:space="preserve">přesně rozlišuje </w:t>
      </w:r>
      <w:r w:rsidR="08163013">
        <w:t xml:space="preserve">etický a </w:t>
      </w:r>
      <w:r w:rsidR="00AD0CD7">
        <w:t xml:space="preserve">teoretický </w:t>
      </w:r>
      <w:r w:rsidR="08163013">
        <w:t>sylogismus</w:t>
      </w:r>
      <w:r w:rsidR="08163013">
        <w:fldChar w:fldCharType="begin"/>
      </w:r>
      <w:r w:rsidR="08163013">
        <w:instrText xml:space="preserve"> XE "praktický sylogismus" </w:instrText>
      </w:r>
      <w:r w:rsidR="08163013">
        <w:fldChar w:fldCharType="end"/>
      </w:r>
      <w:r w:rsidR="08163013">
        <w:t xml:space="preserve">. Scotova praktická verze </w:t>
      </w:r>
      <w:r w:rsidR="08163013" w:rsidRPr="00E01595">
        <w:rPr>
          <w:i/>
        </w:rPr>
        <w:t>Oxfordian Fallacy</w:t>
      </w:r>
      <w:r w:rsidR="08163013">
        <w:t xml:space="preserve"> naopak je</w:t>
      </w:r>
      <w:r w:rsidR="00C7541C">
        <w:t>dnání a myšlení smetla</w:t>
      </w:r>
      <w:r w:rsidR="08163013">
        <w:t xml:space="preserve"> na jednu hromadu. </w:t>
      </w:r>
      <w:r w:rsidR="08163013" w:rsidRPr="00273106">
        <w:t>Po formální stránce Scotus neudělal žádnou chybu</w:t>
      </w:r>
      <w:r w:rsidR="08163013">
        <w:t xml:space="preserve"> při objektivním určení praktického sylogismu.</w:t>
      </w:r>
      <w:r w:rsidR="08163013" w:rsidRPr="004B4F5C">
        <w:t xml:space="preserve"> </w:t>
      </w:r>
      <w:r w:rsidR="00431849" w:rsidRPr="00431849">
        <w:t xml:space="preserve">Analytičtí filosofové </w:t>
      </w:r>
      <w:r w:rsidR="00431849">
        <w:t>u</w:t>
      </w:r>
      <w:r w:rsidR="00431849" w:rsidRPr="00431849">
        <w:t xml:space="preserve">chopili </w:t>
      </w:r>
      <w:r w:rsidR="00431849">
        <w:t>„</w:t>
      </w:r>
      <w:r w:rsidR="00431849" w:rsidRPr="00431849">
        <w:t>intelektu</w:t>
      </w:r>
      <w:r w:rsidR="00431849">
        <w:t>“</w:t>
      </w:r>
      <w:r w:rsidR="00431849" w:rsidRPr="00431849">
        <w:t xml:space="preserve"> objektivně správně a stejným sofistickým způsobem provedli </w:t>
      </w:r>
      <w:r w:rsidR="00431849">
        <w:t>jeho praktickou „</w:t>
      </w:r>
      <w:r w:rsidR="00431849">
        <w:rPr>
          <w:i/>
          <w:iCs/>
        </w:rPr>
        <w:t>extenzi</w:t>
      </w:r>
      <w:r w:rsidR="00431849">
        <w:rPr>
          <w:iCs/>
        </w:rPr>
        <w:t>“</w:t>
      </w:r>
      <w:r w:rsidR="00431849" w:rsidRPr="00431849">
        <w:t>. Pokud jde o objektivistickou etiku, metafyziku a politiku, jsou všechny kočky černé.</w:t>
      </w:r>
      <w:r w:rsidR="00431849">
        <w:t xml:space="preserve"> </w:t>
      </w:r>
      <w:r w:rsidR="00212B44" w:rsidRPr="00212B44">
        <w:t>Objektivní pohled je však dán způsobem logické abstrakce (</w:t>
      </w:r>
      <w:r w:rsidR="00212B44" w:rsidRPr="00212B44">
        <w:rPr>
          <w:i/>
        </w:rPr>
        <w:t>suppositio</w:t>
      </w:r>
      <w:r w:rsidR="00141A90">
        <w:t xml:space="preserve"> logiky); to ale není případ reálného etického jednání </w:t>
      </w:r>
      <w:r w:rsidR="00212B44" w:rsidRPr="00212B44">
        <w:t>osoby (</w:t>
      </w:r>
      <w:r w:rsidR="00212B44" w:rsidRPr="00212B44">
        <w:rPr>
          <w:i/>
        </w:rPr>
        <w:t>impositio</w:t>
      </w:r>
      <w:r w:rsidR="00212B44" w:rsidRPr="00212B44">
        <w:t xml:space="preserve"> metafyziky). </w:t>
      </w:r>
      <w:r w:rsidR="08163013" w:rsidRPr="00273106">
        <w:t xml:space="preserve">Ockham nejprve souhlasí se scotisty. </w:t>
      </w:r>
      <w:r w:rsidR="08163013">
        <w:t xml:space="preserve">V predikaci dané </w:t>
      </w:r>
      <w:r w:rsidR="08163013" w:rsidRPr="00273106">
        <w:rPr>
          <w:i/>
        </w:rPr>
        <w:t>simpliciter</w:t>
      </w:r>
      <w:r w:rsidR="08163013" w:rsidRPr="00273106">
        <w:t xml:space="preserve"> </w:t>
      </w:r>
      <w:r w:rsidR="08163013">
        <w:t>je f</w:t>
      </w:r>
      <w:r w:rsidR="08163013" w:rsidRPr="00273106">
        <w:t>inální kauzalita je pro obě formy intelektu s</w:t>
      </w:r>
      <w:r w:rsidR="08163013">
        <w:t>tejná. Logicky-formálně lze predikovat</w:t>
      </w:r>
      <w:r w:rsidR="08163013" w:rsidRPr="00273106">
        <w:t xml:space="preserve">, že habitus určuje jednání, protože obě formy poznání jsou založeny v intelektu. Ale extenzi teoretického intelektu do praktického nelze </w:t>
      </w:r>
      <w:r w:rsidR="08163013">
        <w:t xml:space="preserve">zredukovat na objektivní náhled, teoretický determinismus, </w:t>
      </w:r>
      <w:r w:rsidR="08163013" w:rsidRPr="00273106">
        <w:t xml:space="preserve">či schéma jednání dané </w:t>
      </w:r>
      <w:r w:rsidR="08163013" w:rsidRPr="00273106">
        <w:rPr>
          <w:i/>
        </w:rPr>
        <w:t>ex post</w:t>
      </w:r>
      <w:r w:rsidR="08163013" w:rsidRPr="00273106">
        <w:t>. Následující citát ukazuje zdroj Scotova omylu.</w:t>
      </w:r>
    </w:p>
    <w:p w:rsidR="08163013" w:rsidRPr="00985F19" w:rsidRDefault="08163013" w:rsidP="08163013">
      <w:pPr>
        <w:pStyle w:val="Citace"/>
        <w:rPr>
          <w:noProof/>
          <w:lang w:val="cs-CZ"/>
        </w:rPr>
      </w:pPr>
      <w:r w:rsidRPr="00273106">
        <w:rPr>
          <w:noProof/>
          <w:lang w:val="cs-CZ"/>
        </w:rPr>
        <w:t>„</w:t>
      </w:r>
      <w:r>
        <w:rPr>
          <w:noProof/>
          <w:lang w:val="cs-CZ"/>
        </w:rPr>
        <w:t>Univerzálně pojatý habitus řídí jednání bezprostředně</w:t>
      </w:r>
      <w:r w:rsidR="00F92C8E">
        <w:rPr>
          <w:noProof/>
          <w:lang w:val="cs-CZ"/>
        </w:rPr>
        <w:t xml:space="preserve"> </w:t>
      </w:r>
      <w:r w:rsidR="00F92C8E">
        <w:t>(</w:t>
      </w:r>
      <w:r w:rsidR="00F92C8E">
        <w:rPr>
          <w:i/>
          <w:noProof/>
        </w:rPr>
        <w:t>immediate dirigit</w:t>
      </w:r>
      <w:r w:rsidR="00F92C8E">
        <w:t>)</w:t>
      </w:r>
      <w:r>
        <w:rPr>
          <w:noProof/>
          <w:lang w:val="cs-CZ"/>
        </w:rPr>
        <w:t>, ale nikoliv celostně, jen částečně (</w:t>
      </w:r>
      <w:r w:rsidRPr="0091349D">
        <w:rPr>
          <w:i/>
          <w:noProof/>
        </w:rPr>
        <w:t>partialiter tantum</w:t>
      </w:r>
      <w:r>
        <w:rPr>
          <w:noProof/>
          <w:lang w:val="cs-CZ"/>
        </w:rPr>
        <w:t xml:space="preserve">).  Mimo univerzálně pojatý habitus je totiž pro jednání nutno poznat </w:t>
      </w:r>
      <w:r>
        <w:rPr>
          <w:noProof/>
          <w:lang w:val="cs-CZ"/>
        </w:rPr>
        <w:lastRenderedPageBreak/>
        <w:t>jednotlivou věc v reálu (</w:t>
      </w:r>
      <w:r w:rsidRPr="0091349D">
        <w:rPr>
          <w:i/>
          <w:noProof/>
        </w:rPr>
        <w:t>notitia rei singularis</w:t>
      </w:r>
      <w:r>
        <w:rPr>
          <w:noProof/>
          <w:lang w:val="cs-CZ"/>
        </w:rPr>
        <w:t>), která určuje konkrétní jednání, nebo na kterou se zaměřuje určitá schopnost jednání.“ </w:t>
      </w:r>
      <w:r>
        <w:rPr>
          <w:rStyle w:val="Znakapoznpodarou"/>
        </w:rPr>
        <w:footnoteReference w:id="582"/>
      </w:r>
    </w:p>
    <w:p w:rsidR="008A68C0" w:rsidRDefault="007E3384" w:rsidP="08163013">
      <w:r w:rsidRPr="007E3384">
        <w:t xml:space="preserve">Analytická </w:t>
      </w:r>
      <w:r>
        <w:t>dedukce etiky vychází z essence</w:t>
      </w:r>
      <w:r w:rsidRPr="007E3384">
        <w:t>, která působí kauzálně. Tento omyl předpokládá, že habitus v praktickém sylogismu přímo a účinně určuje skutečné jednání směřující k praktickému cíli (</w:t>
      </w:r>
      <w:r w:rsidRPr="007E3384">
        <w:rPr>
          <w:i/>
          <w:iCs/>
        </w:rPr>
        <w:t>habitus practicus immediate dirigit circa opus</w:t>
      </w:r>
      <w:r w:rsidRPr="007E3384">
        <w:t xml:space="preserve">). </w:t>
      </w:r>
      <w:r w:rsidR="00925538" w:rsidRPr="00925538">
        <w:t>Kauzalita působená habit</w:t>
      </w:r>
      <w:r w:rsidR="00925538">
        <w:t>e</w:t>
      </w:r>
      <w:r w:rsidR="00925538" w:rsidRPr="00925538">
        <w:t>m může být přímá, ale protože je dílčí, nezakládá první, a tedy nejdůležitější příčinu jednání.</w:t>
      </w:r>
      <w:r w:rsidR="00B11AAC">
        <w:t xml:space="preserve"> </w:t>
      </w:r>
      <w:r w:rsidR="00A9058C" w:rsidRPr="00A9058C">
        <w:t xml:space="preserve">Kauzalita, kterou působí habitus, může být přímá, ale jako částečná </w:t>
      </w:r>
      <w:r w:rsidR="00A9058C">
        <w:t xml:space="preserve">kauza </w:t>
      </w:r>
      <w:r w:rsidR="00A9058C" w:rsidRPr="00A9058C">
        <w:t>nezakládá první, a tedy nejdůležitější příčinu jednání. Ne</w:t>
      </w:r>
      <w:r w:rsidR="00A9058C">
        <w:t xml:space="preserve">jprve je třeba provést skutečnou impozici </w:t>
      </w:r>
      <w:r w:rsidR="00A9058C" w:rsidRPr="00A9058C">
        <w:t xml:space="preserve">kauzality na úrovni </w:t>
      </w:r>
      <w:r w:rsidR="00A9058C">
        <w:t xml:space="preserve">reálných </w:t>
      </w:r>
      <w:r w:rsidR="00A9058C" w:rsidRPr="00A9058C">
        <w:t>prvních substancí. Habitus není první substance, ale pouze abstrahovaný pojem v my</w:t>
      </w:r>
      <w:r w:rsidR="00ED5639">
        <w:t>sli. Jeho kauzalita se provádí „</w:t>
      </w:r>
      <w:r w:rsidR="00ED5639" w:rsidRPr="00ED5639">
        <w:rPr>
          <w:i/>
        </w:rPr>
        <w:t>immediate</w:t>
      </w:r>
      <w:r w:rsidR="00ED5639">
        <w:t>“</w:t>
      </w:r>
      <w:r w:rsidR="00A9058C" w:rsidRPr="00A9058C">
        <w:t xml:space="preserve"> pouze v logické a esencialistické verzi dedukce založené na logické supozici. Etika jako kritická věda musí být postavena na kauzalitě osoby, která </w:t>
      </w:r>
      <w:r w:rsidR="00ED5639" w:rsidRPr="00ED5639">
        <w:rPr>
          <w:i/>
        </w:rPr>
        <w:t>immediate</w:t>
      </w:r>
      <w:r w:rsidR="00ED5639">
        <w:t>“</w:t>
      </w:r>
      <w:r w:rsidR="00ED5639" w:rsidRPr="00A9058C">
        <w:t xml:space="preserve"> </w:t>
      </w:r>
      <w:r w:rsidR="00A9058C" w:rsidRPr="00A9058C">
        <w:t>produkuje činnosti jako jejich první příčinu</w:t>
      </w:r>
      <w:r w:rsidR="00A96F63">
        <w:t>. To je jediná forma impozice</w:t>
      </w:r>
      <w:r w:rsidR="00A9058C" w:rsidRPr="00A9058C">
        <w:t xml:space="preserve">, která zachovává </w:t>
      </w:r>
      <w:r w:rsidR="00A96F63">
        <w:t xml:space="preserve">kompletní </w:t>
      </w:r>
      <w:r w:rsidR="00D445F1">
        <w:t>(</w:t>
      </w:r>
      <w:r w:rsidR="00D445F1" w:rsidRPr="00ED5639">
        <w:rPr>
          <w:i/>
        </w:rPr>
        <w:t>totaliter</w:t>
      </w:r>
      <w:r w:rsidR="00D445F1">
        <w:t xml:space="preserve">) </w:t>
      </w:r>
      <w:r w:rsidR="00A9058C" w:rsidRPr="00A9058C">
        <w:t>metafyzickou povahu</w:t>
      </w:r>
      <w:r w:rsidR="00ED5639">
        <w:t xml:space="preserve"> </w:t>
      </w:r>
      <w:r w:rsidR="00A96F63">
        <w:t xml:space="preserve">kauzality </w:t>
      </w:r>
      <w:r w:rsidR="00D445F1">
        <w:t>nutné pro praktický syllogismus</w:t>
      </w:r>
      <w:r w:rsidR="00A9058C" w:rsidRPr="00A9058C">
        <w:t>.</w:t>
      </w:r>
      <w:r w:rsidR="0050529E">
        <w:t xml:space="preserve"> </w:t>
      </w:r>
      <w:r w:rsidR="08163013">
        <w:t xml:space="preserve">Ockham hájí princip </w:t>
      </w:r>
      <w:r w:rsidR="0050529E">
        <w:t>„</w:t>
      </w:r>
      <w:r w:rsidR="0813035E" w:rsidRPr="0813035E">
        <w:rPr>
          <w:i/>
        </w:rPr>
        <w:t>ex</w:t>
      </w:r>
      <w:r w:rsidR="0813035E">
        <w:t xml:space="preserve"> </w:t>
      </w:r>
      <w:r w:rsidR="08027AC2">
        <w:rPr>
          <w:i/>
        </w:rPr>
        <w:t>in</w:t>
      </w:r>
      <w:r w:rsidR="0813035E">
        <w:rPr>
          <w:i/>
        </w:rPr>
        <w:t>mediatis</w:t>
      </w:r>
      <w:r w:rsidR="0050529E">
        <w:t>“</w:t>
      </w:r>
      <w:r w:rsidR="08163013">
        <w:t xml:space="preserve"> podle prvního averroismu a podle </w:t>
      </w:r>
      <w:r w:rsidR="08163013" w:rsidRPr="08E971D2">
        <w:rPr>
          <w:i/>
        </w:rPr>
        <w:t>Druhých analytik</w:t>
      </w:r>
      <w:r w:rsidR="08163013">
        <w:rPr>
          <w:i/>
        </w:rPr>
        <w:fldChar w:fldCharType="begin"/>
      </w:r>
      <w:r w:rsidR="08163013">
        <w:instrText xml:space="preserve"> XE "princip </w:instrText>
      </w:r>
      <w:r w:rsidR="08A649EB">
        <w:rPr>
          <w:i/>
        </w:rPr>
        <w:instrText>ex in</w:instrText>
      </w:r>
      <w:r w:rsidR="08163013" w:rsidRPr="003156E6">
        <w:rPr>
          <w:i/>
        </w:rPr>
        <w:instrText>mediatis</w:instrText>
      </w:r>
      <w:r w:rsidR="08163013">
        <w:instrText xml:space="preserve">" </w:instrText>
      </w:r>
      <w:r w:rsidR="08163013">
        <w:rPr>
          <w:i/>
        </w:rPr>
        <w:fldChar w:fldCharType="end"/>
      </w:r>
      <w:r w:rsidR="08163013">
        <w:t xml:space="preserve">. </w:t>
      </w:r>
      <w:r w:rsidR="08163013" w:rsidRPr="00273106">
        <w:t xml:space="preserve">Habitus pojatý objektivně nemá sám o sobě plnou </w:t>
      </w:r>
      <w:r w:rsidR="00DB3235">
        <w:t>kauzalitu k tomu, aby řídil</w:t>
      </w:r>
      <w:r w:rsidR="08163013" w:rsidRPr="00273106">
        <w:t xml:space="preserve"> konkrétní jednání</w:t>
      </w:r>
      <w:r w:rsidR="00DB3235">
        <w:t xml:space="preserve">. Abstraktně daný pojem </w:t>
      </w:r>
      <w:r w:rsidR="08163013" w:rsidRPr="00273106">
        <w:t>tvoří jen část celkové kauzality jednající osoby (</w:t>
      </w:r>
      <w:r w:rsidR="08163013" w:rsidRPr="00273106">
        <w:rPr>
          <w:i/>
        </w:rPr>
        <w:t>partialiter tantum</w:t>
      </w:r>
      <w:r w:rsidR="08163013" w:rsidRPr="00273106">
        <w:t xml:space="preserve">). </w:t>
      </w:r>
      <w:r w:rsidR="08163013">
        <w:t>U</w:t>
      </w:r>
      <w:r w:rsidR="08163013" w:rsidRPr="00273106">
        <w:t xml:space="preserve">niverzálně pojatý habitus vzniká </w:t>
      </w:r>
      <w:r w:rsidR="08163013">
        <w:t xml:space="preserve">pouze a jedině </w:t>
      </w:r>
      <w:r w:rsidR="08163013" w:rsidRPr="00273106">
        <w:t>díky individuálnímu jednání vztaženého k tomu či onomu reálně danému cíli (</w:t>
      </w:r>
      <w:r w:rsidR="08163013" w:rsidRPr="00273106">
        <w:rPr>
          <w:i/>
        </w:rPr>
        <w:t>habitus universales requiritur notitia rei singularis quae debet dirigi</w:t>
      </w:r>
      <w:r w:rsidR="08163013" w:rsidRPr="00273106">
        <w:t>).</w:t>
      </w:r>
      <w:r w:rsidR="08163013">
        <w:t xml:space="preserve"> Aktualita praktického jednání v modu </w:t>
      </w:r>
      <w:r w:rsidR="08163013" w:rsidRPr="088618A3">
        <w:rPr>
          <w:i/>
        </w:rPr>
        <w:t xml:space="preserve">tertium </w:t>
      </w:r>
      <w:r w:rsidR="00962190">
        <w:rPr>
          <w:i/>
        </w:rPr>
        <w:t>genus</w:t>
      </w:r>
      <w:r w:rsidR="00F37EB6">
        <w:t xml:space="preserve"> existuje pouze díky reálné osobě</w:t>
      </w:r>
      <w:r w:rsidR="00E7586F">
        <w:t xml:space="preserve">. </w:t>
      </w:r>
      <w:r w:rsidR="0020130D">
        <w:t xml:space="preserve">Její </w:t>
      </w:r>
      <w:r w:rsidR="00E7586F">
        <w:t>jednání</w:t>
      </w:r>
      <w:r w:rsidR="0020130D">
        <w:t xml:space="preserve"> </w:t>
      </w:r>
      <w:r w:rsidR="00E7586F">
        <w:t xml:space="preserve">představuje </w:t>
      </w:r>
      <w:r w:rsidR="08163013">
        <w:t>jediný zdroj hyparchické kauzality</w:t>
      </w:r>
      <w:r w:rsidR="00E7586F">
        <w:t>, která zajišťuje v</w:t>
      </w:r>
      <w:r w:rsidR="08163013">
        <w:t xml:space="preserve">ědeckou defici etiky a politiky. </w:t>
      </w:r>
      <w:r w:rsidR="00A84174">
        <w:t xml:space="preserve">Pravdivá aristotelská etika musí při vypracování praktické </w:t>
      </w:r>
      <w:r w:rsidR="00A84174" w:rsidRPr="00A84174">
        <w:rPr>
          <w:i/>
        </w:rPr>
        <w:t>quidditas</w:t>
      </w:r>
      <w:r w:rsidR="00A84174">
        <w:rPr>
          <w:i/>
        </w:rPr>
        <w:fldChar w:fldCharType="begin"/>
      </w:r>
      <w:r w:rsidR="00A84174">
        <w:instrText xml:space="preserve"> XE "</w:instrText>
      </w:r>
      <w:r w:rsidR="00A84174" w:rsidRPr="001369D0">
        <w:rPr>
          <w:i/>
        </w:rPr>
        <w:instrText>quidditas</w:instrText>
      </w:r>
      <w:r w:rsidR="00A84174">
        <w:instrText xml:space="preserve">" </w:instrText>
      </w:r>
      <w:r w:rsidR="00A84174">
        <w:rPr>
          <w:i/>
        </w:rPr>
        <w:fldChar w:fldCharType="end"/>
      </w:r>
      <w:r w:rsidR="00A84174">
        <w:t xml:space="preserve"> jít cestou </w:t>
      </w:r>
      <w:r w:rsidR="00A84174">
        <w:rPr>
          <w:szCs w:val="24"/>
          <w:lang w:val="de-DE"/>
        </w:rPr>
        <w:t>metafyzického dativu</w:t>
      </w:r>
      <w:r w:rsidR="00A84174">
        <w:rPr>
          <w:szCs w:val="24"/>
          <w:lang w:val="de-DE"/>
        </w:rPr>
        <w:fldChar w:fldCharType="begin"/>
      </w:r>
      <w:r w:rsidR="00A84174">
        <w:instrText xml:space="preserve"> XE "</w:instrText>
      </w:r>
      <w:r w:rsidR="00A84174" w:rsidRPr="00066999">
        <w:rPr>
          <w:i/>
        </w:rPr>
        <w:instrText>dativus metaphysicus</w:instrText>
      </w:r>
      <w:r w:rsidR="00A84174">
        <w:instrText xml:space="preserve">" </w:instrText>
      </w:r>
      <w:r w:rsidR="00A84174">
        <w:rPr>
          <w:szCs w:val="24"/>
          <w:lang w:val="de-DE"/>
        </w:rPr>
        <w:fldChar w:fldCharType="end"/>
      </w:r>
      <w:r w:rsidR="00B83337">
        <w:rPr>
          <w:szCs w:val="24"/>
          <w:lang w:val="de-DE"/>
        </w:rPr>
        <w:t xml:space="preserve">. </w:t>
      </w:r>
      <w:r w:rsidR="00B83337" w:rsidRPr="00B83337">
        <w:t>Vědecká demonstrace nemůže být založena na objektivním druhu tertium ens v modu</w:t>
      </w:r>
      <w:r w:rsidR="00B83337">
        <w:t xml:space="preserve"> moderní pravdy jako mytologické</w:t>
      </w:r>
      <w:r w:rsidR="00B83337" w:rsidRPr="00B83337">
        <w:t xml:space="preserve"> asimilace (</w:t>
      </w:r>
      <w:r w:rsidR="00B83337" w:rsidRPr="00B83337">
        <w:rPr>
          <w:i/>
          <w:iCs/>
        </w:rPr>
        <w:t>coaequatio</w:t>
      </w:r>
      <w:r w:rsidR="00B83337" w:rsidRPr="00B83337">
        <w:t xml:space="preserve">; OBJ II, kap. 3.3.2). </w:t>
      </w:r>
      <w:r w:rsidR="08163013">
        <w:t>O</w:t>
      </w:r>
      <w:r w:rsidR="00891234">
        <w:t xml:space="preserve">ckham postavil deduktivní praktický soud na opačném principu, </w:t>
      </w:r>
      <w:r w:rsidR="08163013">
        <w:t xml:space="preserve">než má Scotus. </w:t>
      </w:r>
      <w:r w:rsidR="00E06617">
        <w:t xml:space="preserve">Reálné </w:t>
      </w:r>
      <w:r w:rsidR="00E06617" w:rsidRPr="00273106">
        <w:t xml:space="preserve">jednání </w:t>
      </w:r>
      <w:r w:rsidR="00E06617">
        <w:t xml:space="preserve">je dané v hyparchickém modu </w:t>
      </w:r>
      <w:r w:rsidR="00E06617" w:rsidRPr="084547D6">
        <w:rPr>
          <w:i/>
        </w:rPr>
        <w:t>per prius</w:t>
      </w:r>
      <w:r w:rsidR="00E06617">
        <w:t xml:space="preserve"> a tím zakládá v kategoriální predikaci </w:t>
      </w:r>
      <w:r w:rsidR="00FF2697">
        <w:t xml:space="preserve">akcidentální </w:t>
      </w:r>
      <w:r w:rsidR="00E06617">
        <w:t>habitus v</w:t>
      </w:r>
      <w:r w:rsidR="00FF2697">
        <w:t xml:space="preserve"> univerzálním </w:t>
      </w:r>
      <w:r w:rsidR="00E06617">
        <w:t xml:space="preserve">modu </w:t>
      </w:r>
      <w:r w:rsidR="00E06617" w:rsidRPr="084547D6">
        <w:rPr>
          <w:i/>
        </w:rPr>
        <w:t>per posterius</w:t>
      </w:r>
      <w:r w:rsidR="00E06617">
        <w:t xml:space="preserve">. </w:t>
      </w:r>
      <w:r w:rsidR="006D02E4">
        <w:t xml:space="preserve">Objektivní habitus je </w:t>
      </w:r>
      <w:r w:rsidR="00651761">
        <w:t xml:space="preserve">pouze </w:t>
      </w:r>
      <w:r w:rsidR="006D02E4">
        <w:t xml:space="preserve">logická abstrakce, která </w:t>
      </w:r>
      <w:r w:rsidR="00E06617">
        <w:t xml:space="preserve">nemůže existovat před aktuálním jednáním. </w:t>
      </w:r>
      <w:r w:rsidR="08163013">
        <w:t xml:space="preserve">Tím se liší aristotelská </w:t>
      </w:r>
      <w:r w:rsidR="00F72B8F">
        <w:t xml:space="preserve">definice </w:t>
      </w:r>
      <w:r w:rsidR="08163013">
        <w:t xml:space="preserve">habitu od </w:t>
      </w:r>
      <w:r w:rsidR="00F72B8F">
        <w:t xml:space="preserve">jeho </w:t>
      </w:r>
      <w:r w:rsidR="008A68C0">
        <w:t>esenciální „exsistence“.</w:t>
      </w:r>
    </w:p>
    <w:p w:rsidR="08163013" w:rsidRPr="00B83337" w:rsidRDefault="08163013" w:rsidP="008A68C0">
      <w:pPr>
        <w:ind w:firstLine="397"/>
        <w:rPr>
          <w:szCs w:val="24"/>
          <w:lang w:val="de-DE"/>
        </w:rPr>
      </w:pPr>
      <w:r>
        <w:lastRenderedPageBreak/>
        <w:t xml:space="preserve">Výše uvedená kritika Scotovy definice habitu je nyní rozšířena i na oblast etického jednání. </w:t>
      </w:r>
      <w:r w:rsidRPr="00273106">
        <w:t xml:space="preserve">Ockham proti scotistům argumentuje, že praktické jednání </w:t>
      </w:r>
      <w:r w:rsidR="007965DF" w:rsidRPr="00273106">
        <w:t xml:space="preserve">vychází </w:t>
      </w:r>
      <w:r w:rsidRPr="00273106">
        <w:t xml:space="preserve">od </w:t>
      </w:r>
      <w:r w:rsidR="007965DF">
        <w:t>osoby</w:t>
      </w:r>
      <w:r w:rsidRPr="00273106">
        <w:t xml:space="preserve">. Habitus nemůže tvořit </w:t>
      </w:r>
      <w:r>
        <w:t xml:space="preserve">univerzální </w:t>
      </w:r>
      <w:r w:rsidRPr="00273106">
        <w:t xml:space="preserve">jsoucno třetího druhu vybavené vlastní kauzální účinností typu </w:t>
      </w:r>
      <w:r>
        <w:t xml:space="preserve">porretánské </w:t>
      </w:r>
      <w:r w:rsidR="00962190" w:rsidRPr="008D17A2">
        <w:t>species</w:t>
      </w:r>
      <w:r>
        <w:t xml:space="preserve"> nebo Rufusova </w:t>
      </w:r>
      <w:r w:rsidRPr="00273106">
        <w:rPr>
          <w:i/>
        </w:rPr>
        <w:t>scibile</w:t>
      </w:r>
      <w:r w:rsidRPr="00273106">
        <w:t xml:space="preserve">. Proti </w:t>
      </w:r>
      <w:r w:rsidR="007124DF">
        <w:t xml:space="preserve">sofistickým </w:t>
      </w:r>
      <w:r w:rsidRPr="00273106">
        <w:t xml:space="preserve">intelektualistům Ockham zdůrazňuje zásadní tezi </w:t>
      </w:r>
      <w:r w:rsidRPr="086232B2">
        <w:rPr>
          <w:i/>
        </w:rPr>
        <w:t>Etiky Nikomachovy</w:t>
      </w:r>
      <w:r w:rsidRPr="00273106">
        <w:t xml:space="preserve">, že </w:t>
      </w:r>
      <w:r>
        <w:t xml:space="preserve">výkon </w:t>
      </w:r>
      <w:r w:rsidRPr="00273106">
        <w:t xml:space="preserve">etického jednání </w:t>
      </w:r>
      <w:r>
        <w:t>(</w:t>
      </w:r>
      <w:r w:rsidRPr="00E15024">
        <w:rPr>
          <w:i/>
        </w:rPr>
        <w:t>praxim virtuosam et vitiosam</w:t>
      </w:r>
      <w:r>
        <w:t xml:space="preserve">) </w:t>
      </w:r>
      <w:r w:rsidRPr="00273106">
        <w:t>musí být v naší moci</w:t>
      </w:r>
      <w:r>
        <w:t xml:space="preserve"> (</w:t>
      </w:r>
      <w:r w:rsidRPr="00E15024">
        <w:rPr>
          <w:i/>
        </w:rPr>
        <w:t>in potestate nostra</w:t>
      </w:r>
      <w:r>
        <w:t>)</w:t>
      </w:r>
      <w:r w:rsidRPr="00273106">
        <w:t>.</w:t>
      </w:r>
      <w:r w:rsidRPr="00273106">
        <w:rPr>
          <w:rStyle w:val="Znakapoznpodarou"/>
        </w:rPr>
        <w:footnoteReference w:id="583"/>
      </w:r>
      <w:r w:rsidRPr="00273106">
        <w:t xml:space="preserve"> Znovu jsme u dvojího pojetí</w:t>
      </w:r>
      <w:r>
        <w:t xml:space="preserve"> poznání</w:t>
      </w:r>
      <w:r w:rsidRPr="00273106">
        <w:t>, které obhajuje první averroismus</w:t>
      </w:r>
      <w:r>
        <w:t xml:space="preserve"> proti univoční teorii jedné </w:t>
      </w:r>
      <w:r w:rsidR="004F7301">
        <w:t>objektivní pravdy</w:t>
      </w:r>
      <w:r w:rsidRPr="00273106">
        <w:t>. Extenze teoretického intelektu do praktického p</w:t>
      </w:r>
      <w:r>
        <w:t>ředpokládá jiný druh pravdivé adekvace praktického intelektu a člověkem vytvořené reality</w:t>
      </w:r>
      <w:r w:rsidRPr="00273106">
        <w:t xml:space="preserve">, než </w:t>
      </w:r>
      <w:r>
        <w:t xml:space="preserve">má </w:t>
      </w:r>
      <w:r w:rsidRPr="00273106">
        <w:t>univoční a nutně daná teoretická abstrakce.</w:t>
      </w:r>
      <w:r w:rsidRPr="00E15024">
        <w:t xml:space="preserve"> </w:t>
      </w:r>
      <w:r w:rsidRPr="00273106">
        <w:t xml:space="preserve">Ockhamovo vlastnoručně korektované </w:t>
      </w:r>
      <w:r w:rsidR="008C2D4A" w:rsidRPr="008C2D4A">
        <w:rPr>
          <w:i/>
        </w:rPr>
        <w:t>Ordinatio I</w:t>
      </w:r>
      <w:r w:rsidRPr="00273106">
        <w:t xml:space="preserve"> brání linii prvního averroi</w:t>
      </w:r>
      <w:r>
        <w:t>s</w:t>
      </w:r>
      <w:r w:rsidRPr="00273106">
        <w:t>mu danou skrze dvojí pojetí pravdy jak teoretického, tak i praktického intelektu</w:t>
      </w:r>
      <w:r>
        <w:fldChar w:fldCharType="begin"/>
      </w:r>
      <w:r>
        <w:instrText xml:space="preserve"> XE "</w:instrText>
      </w:r>
      <w:r w:rsidRPr="00E2432E">
        <w:instrText>etika:Ockham</w:instrText>
      </w:r>
      <w:r>
        <w:instrText xml:space="preserve">" </w:instrText>
      </w:r>
      <w:r>
        <w:fldChar w:fldCharType="end"/>
      </w:r>
      <w:r w:rsidRPr="00273106">
        <w:t>.</w:t>
      </w:r>
      <w:r>
        <w:t xml:space="preserve"> </w:t>
      </w:r>
      <w:r w:rsidRPr="00273106">
        <w:t xml:space="preserve">Extenze teoretického intelektu do reality zásadně mění </w:t>
      </w:r>
      <w:r w:rsidR="000B7304">
        <w:t xml:space="preserve">povahu </w:t>
      </w:r>
      <w:r w:rsidRPr="00273106">
        <w:t xml:space="preserve">pravdy, což potvrdila Aristotelova </w:t>
      </w:r>
      <w:r w:rsidRPr="086232B2">
        <w:rPr>
          <w:i/>
        </w:rPr>
        <w:t>Etika</w:t>
      </w:r>
      <w:r w:rsidRPr="00273106">
        <w:t xml:space="preserve">. Oba intelekty jsou zaměřeny k </w:t>
      </w:r>
      <w:r>
        <w:t xml:space="preserve">blaženosti </w:t>
      </w:r>
      <w:r w:rsidRPr="00273106">
        <w:t xml:space="preserve">jako poslednímu cíli, ale </w:t>
      </w:r>
      <w:r>
        <w:t xml:space="preserve">nedosahují tento </w:t>
      </w:r>
      <w:r w:rsidRPr="00273106">
        <w:t>objekt stejný</w:t>
      </w:r>
      <w:r>
        <w:t>m způsobem</w:t>
      </w:r>
      <w:r w:rsidRPr="00273106">
        <w:t>.</w:t>
      </w:r>
    </w:p>
    <w:p w:rsidR="08163013" w:rsidRDefault="08163013" w:rsidP="08163013">
      <w:pPr>
        <w:pStyle w:val="Citace"/>
      </w:pPr>
      <w:r w:rsidRPr="00273106">
        <w:rPr>
          <w:noProof/>
        </w:rPr>
        <w:t xml:space="preserve"> „</w:t>
      </w:r>
      <w:r>
        <w:rPr>
          <w:noProof/>
        </w:rPr>
        <w:t xml:space="preserve">Podle úmyslu Filosofa je třeba vědět, že </w:t>
      </w:r>
      <w:r>
        <w:rPr>
          <w:noProof/>
          <w:lang w:val="cs-CZ"/>
        </w:rPr>
        <w:t xml:space="preserve">cíl </w:t>
      </w:r>
      <w:r w:rsidR="00B368B1">
        <w:rPr>
          <w:noProof/>
        </w:rPr>
        <w:t>praktické</w:t>
      </w:r>
      <w:r w:rsidR="00B368B1">
        <w:rPr>
          <w:noProof/>
          <w:lang w:val="cs-CZ"/>
        </w:rPr>
        <w:t>ho</w:t>
      </w:r>
      <w:r w:rsidR="00B368B1">
        <w:rPr>
          <w:noProof/>
        </w:rPr>
        <w:t xml:space="preserve"> věd</w:t>
      </w:r>
      <w:r w:rsidR="00B368B1">
        <w:rPr>
          <w:noProof/>
          <w:lang w:val="cs-CZ"/>
        </w:rPr>
        <w:t>ění</w:t>
      </w:r>
      <w:r w:rsidR="00B368B1">
        <w:rPr>
          <w:lang w:val="cs-CZ"/>
        </w:rPr>
        <w:t xml:space="preserve"> je pravdivý, a </w:t>
      </w:r>
      <w:r>
        <w:rPr>
          <w:noProof/>
          <w:lang w:val="cs-CZ"/>
        </w:rPr>
        <w:t>ten je t</w:t>
      </w:r>
      <w:r>
        <w:rPr>
          <w:noProof/>
        </w:rPr>
        <w:t xml:space="preserve">řeba </w:t>
      </w:r>
      <w:r>
        <w:rPr>
          <w:noProof/>
          <w:lang w:val="cs-CZ"/>
        </w:rPr>
        <w:t xml:space="preserve">sledovat </w:t>
      </w:r>
      <w:r>
        <w:rPr>
          <w:noProof/>
        </w:rPr>
        <w:t>ve správně založeném jednání</w:t>
      </w:r>
      <w:r>
        <w:rPr>
          <w:noProof/>
          <w:lang w:val="cs-CZ"/>
        </w:rPr>
        <w:t xml:space="preserve"> </w:t>
      </w:r>
      <w:r w:rsidRPr="00273106">
        <w:t>(</w:t>
      </w:r>
      <w:r w:rsidRPr="008C2F04">
        <w:rPr>
          <w:i/>
          <w:noProof/>
        </w:rPr>
        <w:t>secundum rectam rationem</w:t>
      </w:r>
      <w:r>
        <w:rPr>
          <w:i/>
          <w:noProof/>
          <w:lang w:val="cs-CZ"/>
        </w:rPr>
        <w:t xml:space="preserve"> intendi</w:t>
      </w:r>
      <w:r w:rsidRPr="00273106">
        <w:t>)</w:t>
      </w:r>
      <w:r w:rsidR="00B368B1">
        <w:rPr>
          <w:lang w:val="cs-CZ"/>
        </w:rPr>
        <w:t>. S</w:t>
      </w:r>
      <w:r>
        <w:rPr>
          <w:lang w:val="cs-CZ"/>
        </w:rPr>
        <w:t xml:space="preserve">tejně </w:t>
      </w:r>
      <w:r w:rsidR="00B368B1">
        <w:rPr>
          <w:lang w:val="cs-CZ"/>
        </w:rPr>
        <w:t xml:space="preserve">tak je </w:t>
      </w:r>
      <w:r>
        <w:rPr>
          <w:lang w:val="cs-CZ"/>
        </w:rPr>
        <w:t xml:space="preserve">pravdivý i cíl </w:t>
      </w:r>
      <w:r>
        <w:rPr>
          <w:noProof/>
        </w:rPr>
        <w:t>teoretick</w:t>
      </w:r>
      <w:r>
        <w:rPr>
          <w:noProof/>
          <w:lang w:val="cs-CZ"/>
        </w:rPr>
        <w:t>é</w:t>
      </w:r>
      <w:r>
        <w:rPr>
          <w:noProof/>
        </w:rPr>
        <w:t xml:space="preserve"> věd</w:t>
      </w:r>
      <w:r>
        <w:rPr>
          <w:noProof/>
          <w:lang w:val="cs-CZ"/>
        </w:rPr>
        <w:t>y</w:t>
      </w:r>
      <w:r>
        <w:rPr>
          <w:noProof/>
        </w:rPr>
        <w:t>. Ale poslední cíl spekulativní vědy je pravda, zatímco poslední cíl praktické</w:t>
      </w:r>
      <w:r>
        <w:rPr>
          <w:noProof/>
          <w:lang w:val="cs-CZ"/>
        </w:rPr>
        <w:t>ho</w:t>
      </w:r>
      <w:r>
        <w:rPr>
          <w:noProof/>
        </w:rPr>
        <w:t xml:space="preserve"> věd</w:t>
      </w:r>
      <w:r>
        <w:rPr>
          <w:noProof/>
          <w:lang w:val="cs-CZ"/>
        </w:rPr>
        <w:t>ění</w:t>
      </w:r>
      <w:r>
        <w:rPr>
          <w:noProof/>
        </w:rPr>
        <w:t xml:space="preserve"> není pravda, ale dílo</w:t>
      </w:r>
      <w:r>
        <w:rPr>
          <w:noProof/>
          <w:lang w:val="cs-CZ"/>
        </w:rPr>
        <w:t xml:space="preserve"> (</w:t>
      </w:r>
      <w:r w:rsidRPr="08C562E9">
        <w:rPr>
          <w:i/>
          <w:noProof/>
        </w:rPr>
        <w:t>finis autem ultimus scientiae practicae non est veritas sed opus</w:t>
      </w:r>
      <w:r>
        <w:rPr>
          <w:noProof/>
          <w:lang w:val="cs-CZ"/>
        </w:rPr>
        <w:t>)</w:t>
      </w:r>
      <w:r>
        <w:rPr>
          <w:noProof/>
        </w:rPr>
        <w:t>.“ </w:t>
      </w:r>
      <w:r>
        <w:rPr>
          <w:rStyle w:val="Znakapoznpodarou"/>
        </w:rPr>
        <w:footnoteReference w:id="584"/>
      </w:r>
    </w:p>
    <w:p w:rsidR="00EA51A0" w:rsidRDefault="08163013" w:rsidP="08163013">
      <w:r w:rsidRPr="00273106">
        <w:t>Činný život je zaměřený k reálnému dílu</w:t>
      </w:r>
      <w:r>
        <w:t xml:space="preserve"> dané zde a nyní v jeho ak</w:t>
      </w:r>
      <w:r w:rsidR="00646EB9">
        <w:t>tualitě slova, činu nebo díla</w:t>
      </w:r>
      <w:r w:rsidRPr="00273106">
        <w:t>. Takto daný objekt nelze pojmout v modu čisté spekulace, protože je pravdivý pouze v praktické predikaci</w:t>
      </w:r>
      <w:r w:rsidR="0084538C">
        <w:t xml:space="preserve"> </w:t>
      </w:r>
      <w:r w:rsidR="004C1FC2">
        <w:t>„</w:t>
      </w:r>
      <w:r w:rsidR="0084538C" w:rsidRPr="001D6999">
        <w:rPr>
          <w:i/>
          <w:szCs w:val="24"/>
          <w:lang w:val="de-DE"/>
        </w:rPr>
        <w:t>in artificialibus</w:t>
      </w:r>
      <w:r w:rsidR="004C1FC2">
        <w:rPr>
          <w:szCs w:val="24"/>
          <w:lang w:val="de-DE"/>
        </w:rPr>
        <w:t>“</w:t>
      </w:r>
      <w:r w:rsidR="0084538C">
        <w:rPr>
          <w:i/>
          <w:szCs w:val="24"/>
          <w:lang w:val="de-DE"/>
        </w:rPr>
        <w:fldChar w:fldCharType="begin"/>
      </w:r>
      <w:r w:rsidR="0084538C">
        <w:instrText xml:space="preserve"> XE "predikace</w:instrText>
      </w:r>
      <w:r w:rsidR="0084538C" w:rsidRPr="001E62EA">
        <w:rPr>
          <w:szCs w:val="24"/>
          <w:lang w:val="de-DE"/>
        </w:rPr>
        <w:instrText>:</w:instrText>
      </w:r>
      <w:r w:rsidR="0084538C" w:rsidRPr="001E62EA">
        <w:rPr>
          <w:i/>
          <w:szCs w:val="24"/>
          <w:lang w:val="de-DE"/>
        </w:rPr>
        <w:instrText>in artificialibus</w:instrText>
      </w:r>
      <w:r w:rsidR="0084538C">
        <w:instrText xml:space="preserve">" </w:instrText>
      </w:r>
      <w:r w:rsidR="0084538C">
        <w:rPr>
          <w:i/>
          <w:szCs w:val="24"/>
          <w:lang w:val="de-DE"/>
        </w:rPr>
        <w:fldChar w:fldCharType="end"/>
      </w:r>
      <w:r w:rsidRPr="00273106">
        <w:t xml:space="preserve"> vztažené k reálné činnosti </w:t>
      </w:r>
      <w:r w:rsidR="00DE3DC7">
        <w:t xml:space="preserve">osob </w:t>
      </w:r>
      <w:r>
        <w:t>(</w:t>
      </w:r>
      <w:r w:rsidRPr="08092BCC">
        <w:rPr>
          <w:i/>
        </w:rPr>
        <w:t>opus</w:t>
      </w:r>
      <w:r>
        <w:t>)</w:t>
      </w:r>
      <w:r w:rsidRPr="00273106">
        <w:t>. Pravda svobodného jednání sleduje linii správného etického úsudku (</w:t>
      </w:r>
      <w:r w:rsidRPr="00273106">
        <w:rPr>
          <w:i/>
        </w:rPr>
        <w:t>recta ratio</w:t>
      </w:r>
      <w:r>
        <w:rPr>
          <w:i/>
        </w:rPr>
        <w:fldChar w:fldCharType="begin"/>
      </w:r>
      <w:r>
        <w:instrText xml:space="preserve"> XE "etika:</w:instrText>
      </w:r>
      <w:r w:rsidRPr="00BF18FC">
        <w:rPr>
          <w:i/>
        </w:rPr>
        <w:instrText>recta ratio</w:instrText>
      </w:r>
      <w:r>
        <w:instrText xml:space="preserve">" </w:instrText>
      </w:r>
      <w:r>
        <w:rPr>
          <w:i/>
        </w:rPr>
        <w:fldChar w:fldCharType="end"/>
      </w:r>
      <w:r w:rsidRPr="00273106">
        <w:t>). Jednání v proměnlivých jedinečných okolnostech se zásadně liší od univerzální</w:t>
      </w:r>
      <w:r w:rsidR="007064E7">
        <w:t xml:space="preserve"> pravdy. </w:t>
      </w:r>
      <w:r>
        <w:t xml:space="preserve">Teoretický intelekt determinuje univerzální pravdu, ale nikoliv singulární dílo. </w:t>
      </w:r>
      <w:r w:rsidR="007064E7">
        <w:t>Svobodná praxe vytváří kauzální nexus, který nelze nahradit abstrakcí scotistického objektivního habitu. Proto platí, že o</w:t>
      </w:r>
      <w:r w:rsidRPr="00273106">
        <w:t>bjektivní pohled n</w:t>
      </w:r>
      <w:r>
        <w:t xml:space="preserve">a etiku není </w:t>
      </w:r>
      <w:r w:rsidR="007064E7">
        <w:t>aristotelsky-</w:t>
      </w:r>
      <w:r>
        <w:lastRenderedPageBreak/>
        <w:t>adekvátně pravdivý. Scotismus nasvítil jednání o</w:t>
      </w:r>
      <w:r w:rsidR="00AF477A">
        <w:t>soby zezadu od obecných definic. S</w:t>
      </w:r>
      <w:r>
        <w:t xml:space="preserve">třední člen praktického sylogismu </w:t>
      </w:r>
      <w:r w:rsidR="00AF477A">
        <w:t xml:space="preserve">stojí </w:t>
      </w:r>
      <w:r>
        <w:t>mimo reálnou kauzalitu danou v jednání osoby. Ockham scotistům připomíná, že s</w:t>
      </w:r>
      <w:r w:rsidRPr="00273106">
        <w:t>kutečným cílem praktického jednání není teoretic</w:t>
      </w:r>
      <w:r>
        <w:t>ké nazírání, ale čin nebo dílo</w:t>
      </w:r>
      <w:r w:rsidRPr="00273106">
        <w:t>. Dílo a jednání prozíravého člověka se navíc vyznačuje t</w:t>
      </w:r>
      <w:r w:rsidR="00EA51A0">
        <w:t>ím, že dosvědčuje jeho svobodu.</w:t>
      </w:r>
    </w:p>
    <w:p w:rsidR="08163013" w:rsidRPr="00273106" w:rsidRDefault="08163013" w:rsidP="00EA51A0">
      <w:pPr>
        <w:ind w:firstLine="397"/>
      </w:pPr>
      <w:r w:rsidRPr="00273106">
        <w:t xml:space="preserve">Tuto svobodu Ockham odděluje jak od nutné produkce následků v přírodě, tak od teoretické dedukce svobody z habituálně určeného jednání. Moderní pojetí svobody vázané na </w:t>
      </w:r>
      <w:r w:rsidR="002876FA">
        <w:rPr>
          <w:i/>
          <w:lang w:eastAsia="en-US"/>
        </w:rPr>
        <w:t>tertium ens</w:t>
      </w:r>
      <w:r w:rsidRPr="00273106">
        <w:t xml:space="preserve"> poprvé zavedl </w:t>
      </w:r>
      <w:r>
        <w:t xml:space="preserve">Rufus v konceptu </w:t>
      </w:r>
      <w:r w:rsidR="00DF0A92">
        <w:t>„</w:t>
      </w:r>
      <w:r w:rsidRPr="00273106">
        <w:rPr>
          <w:i/>
        </w:rPr>
        <w:t>potentia essentialis</w:t>
      </w:r>
      <w:r w:rsidR="00DF0A92">
        <w:t>“</w:t>
      </w:r>
      <w:r>
        <w:rPr>
          <w:i/>
          <w:iCs/>
        </w:rPr>
        <w:fldChar w:fldCharType="begin"/>
      </w:r>
      <w:r>
        <w:instrText xml:space="preserve"> XE "</w:instrText>
      </w:r>
      <w:r w:rsidRPr="003C711B">
        <w:rPr>
          <w:i/>
          <w:iCs/>
        </w:rPr>
        <w:instrText>potentia essentialis</w:instrText>
      </w:r>
      <w:r>
        <w:instrText xml:space="preserve">" </w:instrText>
      </w:r>
      <w:r>
        <w:rPr>
          <w:i/>
          <w:iCs/>
        </w:rPr>
        <w:fldChar w:fldCharType="end"/>
      </w:r>
      <w:r w:rsidRPr="00273106">
        <w:t xml:space="preserve">, který Olivi aplikoval na koncept svobodné vůle jako jsoucna třetího druhu. Aristotelský termín </w:t>
      </w:r>
      <w:r w:rsidR="00DF0A92">
        <w:t>„</w:t>
      </w:r>
      <w:r w:rsidRPr="00273106">
        <w:rPr>
          <w:i/>
        </w:rPr>
        <w:t>potentia substantialis</w:t>
      </w:r>
      <w:r w:rsidR="00DF0A92">
        <w:t>“</w:t>
      </w:r>
      <w:r>
        <w:rPr>
          <w:i/>
        </w:rPr>
        <w:fldChar w:fldCharType="begin"/>
      </w:r>
      <w:r>
        <w:instrText xml:space="preserve"> XE "</w:instrText>
      </w:r>
      <w:r w:rsidRPr="00263A8E">
        <w:rPr>
          <w:i/>
        </w:rPr>
        <w:instrText>potentia substantialis</w:instrText>
      </w:r>
      <w:r>
        <w:instrText xml:space="preserve">" </w:instrText>
      </w:r>
      <w:r>
        <w:rPr>
          <w:i/>
        </w:rPr>
        <w:fldChar w:fldCharType="end"/>
      </w:r>
      <w:r w:rsidRPr="00273106">
        <w:t xml:space="preserve"> </w:t>
      </w:r>
      <w:r>
        <w:t xml:space="preserve">vázaný na účinky první substance se přeměnil na moderní termín </w:t>
      </w:r>
      <w:r w:rsidR="00DF0A92">
        <w:t>„</w:t>
      </w:r>
      <w:r w:rsidRPr="00273106">
        <w:rPr>
          <w:i/>
        </w:rPr>
        <w:t>potentia essentialis</w:t>
      </w:r>
      <w:r w:rsidR="00DF0A92">
        <w:t>“</w:t>
      </w:r>
      <w:r>
        <w:rPr>
          <w:i/>
          <w:iCs/>
        </w:rPr>
        <w:fldChar w:fldCharType="begin"/>
      </w:r>
      <w:r>
        <w:instrText xml:space="preserve"> XE "</w:instrText>
      </w:r>
      <w:r w:rsidRPr="003C711B">
        <w:rPr>
          <w:i/>
          <w:iCs/>
        </w:rPr>
        <w:instrText>potentia essentialis</w:instrText>
      </w:r>
      <w:r>
        <w:instrText xml:space="preserve">" </w:instrText>
      </w:r>
      <w:r>
        <w:rPr>
          <w:i/>
          <w:iCs/>
        </w:rPr>
        <w:fldChar w:fldCharType="end"/>
      </w:r>
      <w:r>
        <w:t xml:space="preserve">, který </w:t>
      </w:r>
      <w:r w:rsidRPr="00273106">
        <w:t xml:space="preserve">dostal u </w:t>
      </w:r>
      <w:r>
        <w:t xml:space="preserve">Gandava hypostázovaný </w:t>
      </w:r>
      <w:r w:rsidRPr="00273106">
        <w:t>status na úrovni substance (</w:t>
      </w:r>
      <w:r w:rsidRPr="00273106">
        <w:rPr>
          <w:i/>
        </w:rPr>
        <w:t xml:space="preserve">relatio substantialis, </w:t>
      </w:r>
      <w:r w:rsidR="0067635A">
        <w:t>kap. 5</w:t>
      </w:r>
      <w:r>
        <w:t>.3</w:t>
      </w:r>
      <w:r w:rsidRPr="00273106">
        <w:t xml:space="preserve">.3). </w:t>
      </w:r>
      <w:r>
        <w:t xml:space="preserve">Scotisté </w:t>
      </w:r>
      <w:r w:rsidR="00486AF4">
        <w:t xml:space="preserve">rozšířili </w:t>
      </w:r>
      <w:r w:rsidR="004F2069">
        <w:t xml:space="preserve">zatmění první substance v moderní metafyzice </w:t>
      </w:r>
      <w:r w:rsidR="00126851">
        <w:t xml:space="preserve">až </w:t>
      </w:r>
      <w:r w:rsidR="004F2069">
        <w:t xml:space="preserve">do moderní etiky jako </w:t>
      </w:r>
      <w:r>
        <w:t>zatmění osoby</w:t>
      </w:r>
      <w:r w:rsidR="004F2069">
        <w:t xml:space="preserve">. Tato </w:t>
      </w:r>
      <w:r w:rsidR="008E0EBF">
        <w:t>svobodná první substance se přeměnila</w:t>
      </w:r>
      <w:r>
        <w:t xml:space="preserve"> na analyticky pojatou kauzální esenci a na habitus vztažený k abstraktní množině činností </w:t>
      </w:r>
      <w:r w:rsidRPr="00273106">
        <w:t>(</w:t>
      </w:r>
      <w:r w:rsidRPr="00273106">
        <w:rPr>
          <w:i/>
        </w:rPr>
        <w:t>factibilia</w:t>
      </w:r>
      <w:r w:rsidRPr="081322C1">
        <w:t>,</w:t>
      </w:r>
      <w:r w:rsidRPr="00273106">
        <w:rPr>
          <w:i/>
        </w:rPr>
        <w:t xml:space="preserve"> agibilia</w:t>
      </w:r>
      <w:r>
        <w:t xml:space="preserve">). </w:t>
      </w:r>
      <w:r w:rsidRPr="00273106">
        <w:t xml:space="preserve">Ockham odmítá tezi, že svobodu </w:t>
      </w:r>
      <w:r w:rsidR="00DF0A92">
        <w:t xml:space="preserve">osobního </w:t>
      </w:r>
      <w:r w:rsidRPr="00273106">
        <w:t xml:space="preserve">jednání lze redukovat na nějakou formu jsoucna třetího druhu. </w:t>
      </w:r>
      <w:r>
        <w:t>K</w:t>
      </w:r>
      <w:r w:rsidRPr="00273106">
        <w:t xml:space="preserve">ritika chybně pojaté svobody míří </w:t>
      </w:r>
      <w:r>
        <w:t xml:space="preserve">jak na Scota, tak </w:t>
      </w:r>
      <w:r w:rsidRPr="00273106">
        <w:t>na Oliviho</w:t>
      </w:r>
      <w:r>
        <w:t>.</w:t>
      </w:r>
      <w:r w:rsidRPr="00273106">
        <w:t xml:space="preserve"> </w:t>
      </w:r>
      <w:r>
        <w:t xml:space="preserve">Následující text určuje základní </w:t>
      </w:r>
      <w:r w:rsidR="00195B0A">
        <w:t xml:space="preserve">Heideggerův </w:t>
      </w:r>
      <w:r w:rsidRPr="007C03FA">
        <w:rPr>
          <w:i/>
        </w:rPr>
        <w:t>Irrtum</w:t>
      </w:r>
      <w:r>
        <w:t xml:space="preserve"> </w:t>
      </w:r>
      <w:r>
        <w:rPr>
          <w:i/>
        </w:rPr>
        <w:fldChar w:fldCharType="begin"/>
      </w:r>
      <w:r>
        <w:instrText xml:space="preserve"> XE "</w:instrText>
      </w:r>
      <w:r w:rsidRPr="00A16315">
        <w:rPr>
          <w:i/>
        </w:rPr>
        <w:instrText>Irrtum:</w:instrText>
      </w:r>
      <w:r>
        <w:instrText xml:space="preserve">politická věda" </w:instrText>
      </w:r>
      <w:r>
        <w:rPr>
          <w:i/>
        </w:rPr>
        <w:fldChar w:fldCharType="end"/>
      </w:r>
      <w:r w:rsidR="00233CA6">
        <w:rPr>
          <w:i/>
        </w:rPr>
        <w:t xml:space="preserve"> </w:t>
      </w:r>
      <w:r w:rsidR="00233CA6">
        <w:t xml:space="preserve">(OBJ I, kap. 1.2) </w:t>
      </w:r>
      <w:r>
        <w:t xml:space="preserve">objektivně pojaté </w:t>
      </w:r>
      <w:r w:rsidRPr="00273106">
        <w:t>politick</w:t>
      </w:r>
      <w:r>
        <w:t>é a morální praxe moderny</w:t>
      </w:r>
      <w:r w:rsidRPr="00273106">
        <w:t>.</w:t>
      </w:r>
    </w:p>
    <w:p w:rsidR="08163013" w:rsidRPr="00EF50C8" w:rsidRDefault="08163013" w:rsidP="08163013">
      <w:pPr>
        <w:pStyle w:val="Citace"/>
        <w:rPr>
          <w:noProof/>
          <w:lang w:val="cs-CZ"/>
        </w:rPr>
      </w:pPr>
      <w:r w:rsidRPr="00273106">
        <w:rPr>
          <w:noProof/>
          <w:lang w:val="cs-CZ"/>
        </w:rPr>
        <w:t>„</w:t>
      </w:r>
      <w:r>
        <w:rPr>
          <w:noProof/>
          <w:lang w:val="cs-CZ"/>
        </w:rPr>
        <w:t>Proti výše uvedenému názoru argumentuji tím, že podle klasických aut</w:t>
      </w:r>
      <w:r w:rsidR="002116D2">
        <w:rPr>
          <w:noProof/>
          <w:lang w:val="cs-CZ"/>
        </w:rPr>
        <w:t xml:space="preserve">orů odlišuji svobodu od principu </w:t>
      </w:r>
      <w:r>
        <w:rPr>
          <w:noProof/>
          <w:lang w:val="cs-CZ"/>
        </w:rPr>
        <w:t>přirozeně pojaté aktivity, a určuji ji jako nějakou nahodilost a nezávislost (</w:t>
      </w:r>
      <w:r w:rsidRPr="008F68F8">
        <w:rPr>
          <w:i/>
          <w:noProof/>
        </w:rPr>
        <w:t>quaedam contingentia vel indifferentia</w:t>
      </w:r>
      <w:r w:rsidR="00401AFC">
        <w:rPr>
          <w:noProof/>
          <w:lang w:val="cs-CZ"/>
        </w:rPr>
        <w:t xml:space="preserve">). </w:t>
      </w:r>
      <w:r>
        <w:rPr>
          <w:noProof/>
          <w:lang w:val="cs-CZ"/>
        </w:rPr>
        <w:t>Z toho vyplývá, že svoboda není slučitelná s nutno</w:t>
      </w:r>
      <w:r w:rsidR="006157E2">
        <w:rPr>
          <w:noProof/>
          <w:lang w:val="cs-CZ"/>
        </w:rPr>
        <w:t xml:space="preserve">stí. Za druhé argumentuji proti </w:t>
      </w:r>
      <w:r w:rsidR="006157E2" w:rsidRPr="006157E2">
        <w:rPr>
          <w:noProof/>
          <w:lang w:val="cs-CZ"/>
        </w:rPr>
        <w:t xml:space="preserve">snaze definovat svobodu </w:t>
      </w:r>
      <w:r w:rsidR="006157E2">
        <w:rPr>
          <w:noProof/>
          <w:lang w:val="cs-CZ"/>
        </w:rPr>
        <w:t xml:space="preserve">skrze </w:t>
      </w:r>
      <w:r w:rsidR="006157E2" w:rsidRPr="006157E2">
        <w:rPr>
          <w:noProof/>
          <w:lang w:val="cs-CZ"/>
        </w:rPr>
        <w:t>vů</w:t>
      </w:r>
      <w:r w:rsidR="00C652CA">
        <w:rPr>
          <w:noProof/>
          <w:lang w:val="cs-CZ"/>
        </w:rPr>
        <w:t>li</w:t>
      </w:r>
      <w:r w:rsidR="006157E2">
        <w:rPr>
          <w:noProof/>
          <w:lang w:val="cs-CZ"/>
        </w:rPr>
        <w:t xml:space="preserve"> jako nutný a aktivní princip</w:t>
      </w:r>
      <w:r>
        <w:rPr>
          <w:noProof/>
          <w:lang w:val="cs-CZ"/>
        </w:rPr>
        <w:t>.“ </w:t>
      </w:r>
      <w:r>
        <w:rPr>
          <w:rStyle w:val="Znakapoznpodarou"/>
        </w:rPr>
        <w:footnoteReference w:id="585"/>
      </w:r>
    </w:p>
    <w:p w:rsidR="003C73CD" w:rsidRDefault="08163013" w:rsidP="08163013">
      <w:r w:rsidRPr="00273106">
        <w:t xml:space="preserve">Lidské jednání je svobodné </w:t>
      </w:r>
      <w:r>
        <w:t>tím, že n</w:t>
      </w:r>
      <w:r w:rsidRPr="00273106">
        <w:t>a rozdíl od nutně daných přírodních dějů (</w:t>
      </w:r>
      <w:r w:rsidRPr="00273106">
        <w:rPr>
          <w:i/>
        </w:rPr>
        <w:t>principium naturale activum</w:t>
      </w:r>
      <w:r w:rsidRPr="00273106">
        <w:t>) má svobodný člověk možnost</w:t>
      </w:r>
      <w:r w:rsidR="008018DB">
        <w:fldChar w:fldCharType="begin"/>
      </w:r>
      <w:r w:rsidR="008018DB">
        <w:instrText xml:space="preserve"> XE "</w:instrText>
      </w:r>
      <w:r w:rsidR="008018DB" w:rsidRPr="0010075C">
        <w:instrText>vůle:Ockham</w:instrText>
      </w:r>
      <w:r w:rsidR="008018DB">
        <w:instrText xml:space="preserve">" </w:instrText>
      </w:r>
      <w:r w:rsidR="008018DB">
        <w:fldChar w:fldCharType="end"/>
      </w:r>
      <w:r w:rsidRPr="00273106">
        <w:t xml:space="preserve"> jednat a nejednat (</w:t>
      </w:r>
      <w:r w:rsidRPr="00273106">
        <w:rPr>
          <w:i/>
        </w:rPr>
        <w:t>quaedam contingentia vel indifferentia</w:t>
      </w:r>
      <w:r w:rsidRPr="00273106">
        <w:t xml:space="preserve">). </w:t>
      </w:r>
      <w:r w:rsidR="00B7494D">
        <w:t xml:space="preserve">Možnost jednat ze svobody není vázána na </w:t>
      </w:r>
      <w:r w:rsidRPr="00273106">
        <w:t>nutnost</w:t>
      </w:r>
      <w:r w:rsidR="00B7494D">
        <w:t xml:space="preserve"> přírodních dějů a logiky, kde platí jiná forma determinismu </w:t>
      </w:r>
      <w:r w:rsidR="00B7494D" w:rsidRPr="00273106">
        <w:t>(</w:t>
      </w:r>
      <w:r w:rsidR="00B7494D" w:rsidRPr="00273106">
        <w:rPr>
          <w:i/>
        </w:rPr>
        <w:t>libertas non stat cum necessitate</w:t>
      </w:r>
      <w:r w:rsidR="00B7494D" w:rsidRPr="00273106">
        <w:t xml:space="preserve">). </w:t>
      </w:r>
      <w:r>
        <w:t xml:space="preserve">Tento problém otevřel Olivi a po něm Kantova </w:t>
      </w:r>
      <w:r w:rsidRPr="088419C2">
        <w:rPr>
          <w:i/>
        </w:rPr>
        <w:t>Kritika čistého rozumu</w:t>
      </w:r>
      <w:r>
        <w:t xml:space="preserve"> </w:t>
      </w:r>
      <w:r w:rsidRPr="00273106">
        <w:t xml:space="preserve">(kap. </w:t>
      </w:r>
      <w:r w:rsidR="004818BB">
        <w:lastRenderedPageBreak/>
        <w:t>5</w:t>
      </w:r>
      <w:r w:rsidRPr="00273106">
        <w:t>.1.2)</w:t>
      </w:r>
      <w:r>
        <w:t xml:space="preserve">. </w:t>
      </w:r>
      <w:r w:rsidR="00B7494D" w:rsidRPr="00B7494D">
        <w:t xml:space="preserve">Ve třetí antinomii se Kant zabývá paradoxem lidské svobody, kterou nelze objektivně </w:t>
      </w:r>
      <w:r w:rsidR="00B7494D">
        <w:t xml:space="preserve">najít </w:t>
      </w:r>
      <w:r w:rsidR="00B7494D" w:rsidRPr="00B7494D">
        <w:t xml:space="preserve">v kauzálním řádu přírody. Nakonec v </w:t>
      </w:r>
      <w:r w:rsidR="00B7494D" w:rsidRPr="00B7494D">
        <w:rPr>
          <w:i/>
          <w:iCs/>
        </w:rPr>
        <w:t xml:space="preserve">Kritice praktického rozumu </w:t>
      </w:r>
      <w:r w:rsidR="00B7494D" w:rsidRPr="00B7494D">
        <w:t xml:space="preserve">nachází nový druh kauzality ve svobodném subjektu. Kant podřizuje praktický rozum teoretické dedukci kauzality založené na morálním zákonu jako </w:t>
      </w:r>
      <w:r w:rsidR="00B7494D" w:rsidRPr="00B7494D">
        <w:rPr>
          <w:i/>
          <w:iCs/>
        </w:rPr>
        <w:t xml:space="preserve">causa </w:t>
      </w:r>
      <w:proofErr w:type="gramStart"/>
      <w:r w:rsidR="00B7494D" w:rsidRPr="00B7494D">
        <w:rPr>
          <w:i/>
          <w:iCs/>
        </w:rPr>
        <w:t>sui</w:t>
      </w:r>
      <w:proofErr w:type="gramEnd"/>
      <w:r w:rsidR="00B7494D" w:rsidRPr="00B7494D">
        <w:t xml:space="preserve">. </w:t>
      </w:r>
      <w:r w:rsidR="00D82B28">
        <w:t xml:space="preserve">Mnohem důležitější kritika se vztahuje na problém hypostatické moderní vůle. </w:t>
      </w:r>
      <w:r w:rsidR="00D82B28" w:rsidRPr="00D82B28">
        <w:t xml:space="preserve">Oliviho vůle se stala další </w:t>
      </w:r>
      <w:r w:rsidR="00D82B28">
        <w:t xml:space="preserve">substancí </w:t>
      </w:r>
      <w:r w:rsidR="00D82B28" w:rsidRPr="00D82B28">
        <w:t>třetího druhu v člověku.</w:t>
      </w:r>
      <w:r w:rsidR="00D82B28">
        <w:t xml:space="preserve"> Mix</w:t>
      </w:r>
      <w:r w:rsidR="00D82B28" w:rsidRPr="00D82B28">
        <w:t xml:space="preserve"> </w:t>
      </w:r>
      <w:r w:rsidR="00D82B28" w:rsidRPr="00D82B28">
        <w:rPr>
          <w:i/>
          <w:iCs/>
        </w:rPr>
        <w:t xml:space="preserve">potentia substantialis </w:t>
      </w:r>
      <w:r w:rsidR="00D82B28" w:rsidRPr="00D82B28">
        <w:t>a</w:t>
      </w:r>
      <w:r w:rsidR="00D82B28" w:rsidRPr="00D82B28">
        <w:rPr>
          <w:i/>
          <w:iCs/>
        </w:rPr>
        <w:t xml:space="preserve"> accidentialis</w:t>
      </w:r>
      <w:r w:rsidR="00D82B28" w:rsidRPr="00D82B28">
        <w:t xml:space="preserve"> v moderní vůli jako </w:t>
      </w:r>
      <w:r w:rsidR="00D82B28" w:rsidRPr="00D82B28">
        <w:rPr>
          <w:i/>
          <w:iCs/>
        </w:rPr>
        <w:t>tertium ens</w:t>
      </w:r>
      <w:r w:rsidR="00D82B28">
        <w:t xml:space="preserve"> přinesl</w:t>
      </w:r>
      <w:r w:rsidR="00D82B28" w:rsidRPr="00D82B28">
        <w:t xml:space="preserve"> nový teoretický princip</w:t>
      </w:r>
      <w:r w:rsidR="006A0194">
        <w:t xml:space="preserve">. Ten </w:t>
      </w:r>
      <w:r w:rsidR="00D82B28" w:rsidRPr="00D82B28">
        <w:t xml:space="preserve">nahrazuje základní roli osobní aktivity, </w:t>
      </w:r>
      <w:r w:rsidR="00D82B28">
        <w:t xml:space="preserve">která je </w:t>
      </w:r>
      <w:r w:rsidR="00D82B28" w:rsidRPr="00D82B28">
        <w:t>hlavní příčin</w:t>
      </w:r>
      <w:r w:rsidR="00D82B28">
        <w:t>o</w:t>
      </w:r>
      <w:r w:rsidR="00D82B28" w:rsidRPr="00D82B28">
        <w:t>u svobodného jednání v prvním averroismu.</w:t>
      </w:r>
      <w:r w:rsidR="00BF018B">
        <w:t xml:space="preserve"> </w:t>
      </w:r>
      <w:r w:rsidR="001A5245" w:rsidRPr="001A5245">
        <w:t xml:space="preserve">Ockham si </w:t>
      </w:r>
      <w:r w:rsidR="001A5245">
        <w:t xml:space="preserve">dobře </w:t>
      </w:r>
      <w:r w:rsidR="001A5245" w:rsidRPr="001A5245">
        <w:t>všiml základního omylu moderní a současné etiky</w:t>
      </w:r>
      <w:r w:rsidR="001A5245">
        <w:t xml:space="preserve">. Ta </w:t>
      </w:r>
      <w:r w:rsidR="001A5245" w:rsidRPr="001A5245">
        <w:t xml:space="preserve">založila praktický sylogismus na démonické logice, kterou </w:t>
      </w:r>
      <w:r w:rsidR="001A5245">
        <w:t xml:space="preserve">vytvořila </w:t>
      </w:r>
      <w:r w:rsidR="00B60F95">
        <w:t xml:space="preserve">skrze zavedení </w:t>
      </w:r>
      <w:r w:rsidR="001A5245" w:rsidRPr="001A5245">
        <w:rPr>
          <w:i/>
        </w:rPr>
        <w:t>Oxfordian Fallacy</w:t>
      </w:r>
      <w:r w:rsidR="001A5245" w:rsidRPr="001A5245">
        <w:t>. Grosseteste založil démonickou logiku nutného příchodu Antikrista tím, že zpochybn</w:t>
      </w:r>
      <w:r w:rsidR="001A5245">
        <w:t xml:space="preserve">il primát aristotelské nutnosti. Ta </w:t>
      </w:r>
      <w:r w:rsidR="001A5245" w:rsidRPr="001A5245">
        <w:t>vycház</w:t>
      </w:r>
      <w:r w:rsidR="001A5245">
        <w:t xml:space="preserve">í z reality kauzálně působích prvních substancí a pak je reflektována v metafyzické nutnosti určené impozicí </w:t>
      </w:r>
      <w:r w:rsidR="001A5245" w:rsidRPr="001A5245">
        <w:t>(OBJ II, kap. 3.1.2). Novověká logika</w:t>
      </w:r>
      <w:r w:rsidR="00CC1860">
        <w:t xml:space="preserve"> vytvořená v subjektivním modu „</w:t>
      </w:r>
      <w:proofErr w:type="gramStart"/>
      <w:r w:rsidR="000D07BB">
        <w:rPr>
          <w:i/>
          <w:iCs/>
        </w:rPr>
        <w:t>semel</w:t>
      </w:r>
      <w:proofErr w:type="gramEnd"/>
      <w:r w:rsidR="000D07BB">
        <w:rPr>
          <w:i/>
          <w:iCs/>
        </w:rPr>
        <w:t>–</w:t>
      </w:r>
      <w:proofErr w:type="gramStart"/>
      <w:r w:rsidR="001A5245" w:rsidRPr="001A5245">
        <w:rPr>
          <w:i/>
          <w:iCs/>
        </w:rPr>
        <w:t>semper</w:t>
      </w:r>
      <w:proofErr w:type="gramEnd"/>
      <w:r w:rsidR="00CC1860">
        <w:t>“</w:t>
      </w:r>
      <w:r w:rsidR="001A5245" w:rsidRPr="001A5245">
        <w:t xml:space="preserve"> byla umístěna do </w:t>
      </w:r>
      <w:r w:rsidR="000D07BB">
        <w:t>moderního b</w:t>
      </w:r>
      <w:r w:rsidR="001A5245" w:rsidRPr="001A5245">
        <w:t>oha</w:t>
      </w:r>
      <w:r w:rsidR="00CC1860">
        <w:t xml:space="preserve"> jako nejvyššího subjektu</w:t>
      </w:r>
      <w:r w:rsidR="001A5245" w:rsidRPr="001A5245">
        <w:t>. Stejně tak byla realita svobodného jednání vycházející ze skutečné osoby nahrazena neosobní logickou abstrakcí. Věk nihilismu začal</w:t>
      </w:r>
      <w:r w:rsidR="000D07BB">
        <w:t xml:space="preserve"> v momentu</w:t>
      </w:r>
      <w:r w:rsidR="001A5245" w:rsidRPr="001A5245">
        <w:t xml:space="preserve">, kdy svoboda </w:t>
      </w:r>
      <w:r w:rsidR="00A41D20">
        <w:t>abstraktního „</w:t>
      </w:r>
      <w:proofErr w:type="gramStart"/>
      <w:r w:rsidR="00A41D20">
        <w:t>člověka</w:t>
      </w:r>
      <w:proofErr w:type="gramEnd"/>
      <w:r w:rsidR="00A41D20">
        <w:t>–</w:t>
      </w:r>
      <w:proofErr w:type="gramStart"/>
      <w:r w:rsidR="000D07BB">
        <w:t>mrtvoly</w:t>
      </w:r>
      <w:proofErr w:type="gramEnd"/>
      <w:r w:rsidR="00A41D20">
        <w:t>“</w:t>
      </w:r>
      <w:r w:rsidR="000D07BB">
        <w:t xml:space="preserve"> </w:t>
      </w:r>
      <w:r w:rsidR="001A5245" w:rsidRPr="001A5245">
        <w:t xml:space="preserve">nahradila svobodu </w:t>
      </w:r>
      <w:r w:rsidR="00A41D20">
        <w:t xml:space="preserve">reálné </w:t>
      </w:r>
      <w:r w:rsidR="001A5245" w:rsidRPr="001A5245">
        <w:t>osoby</w:t>
      </w:r>
      <w:r w:rsidR="000D07BB">
        <w:t>. M</w:t>
      </w:r>
      <w:r w:rsidR="001A5245" w:rsidRPr="001A5245">
        <w:t xml:space="preserve">oderna vytvořila nový </w:t>
      </w:r>
      <w:r w:rsidR="001A5245" w:rsidRPr="001A5245">
        <w:rPr>
          <w:i/>
          <w:iCs/>
        </w:rPr>
        <w:t>dativus auctoris</w:t>
      </w:r>
      <w:r w:rsidR="00B64291">
        <w:rPr>
          <w:i/>
          <w:iCs/>
        </w:rPr>
        <w:fldChar w:fldCharType="begin"/>
      </w:r>
      <w:r w:rsidR="00B64291">
        <w:instrText xml:space="preserve"> XE "</w:instrText>
      </w:r>
      <w:r w:rsidR="00B64291" w:rsidRPr="00E24EA1">
        <w:rPr>
          <w:i/>
          <w:iCs/>
        </w:rPr>
        <w:instrText>dativus auctoris</w:instrText>
      </w:r>
      <w:r w:rsidR="00B64291">
        <w:instrText xml:space="preserve">" </w:instrText>
      </w:r>
      <w:r w:rsidR="00B64291">
        <w:rPr>
          <w:i/>
          <w:iCs/>
        </w:rPr>
        <w:fldChar w:fldCharType="end"/>
      </w:r>
      <w:r w:rsidR="001A5245" w:rsidRPr="001A5245">
        <w:t xml:space="preserve"> pro svobodné jednání</w:t>
      </w:r>
      <w:r w:rsidR="000D07BB">
        <w:t xml:space="preserve"> skrze vládu abstrakce. Ockham tento </w:t>
      </w:r>
      <w:r w:rsidR="001A5245" w:rsidRPr="001A5245">
        <w:t xml:space="preserve">druh nihistické </w:t>
      </w:r>
      <w:r w:rsidR="000D07BB">
        <w:t xml:space="preserve">substituce </w:t>
      </w:r>
      <w:r w:rsidR="0066484C">
        <w:t xml:space="preserve">reálné </w:t>
      </w:r>
      <w:r w:rsidR="000D07BB">
        <w:t xml:space="preserve">osoby za </w:t>
      </w:r>
      <w:r w:rsidR="0066484C">
        <w:t xml:space="preserve">moderní </w:t>
      </w:r>
      <w:r w:rsidR="000D07BB">
        <w:t xml:space="preserve">abstrakci </w:t>
      </w:r>
      <w:r w:rsidR="001A5245" w:rsidRPr="001A5245">
        <w:t>(</w:t>
      </w:r>
      <w:r w:rsidR="001A5245" w:rsidRPr="001A5245">
        <w:rPr>
          <w:i/>
          <w:iCs/>
        </w:rPr>
        <w:t>Ge-Stell</w:t>
      </w:r>
      <w:r w:rsidR="00B64291">
        <w:rPr>
          <w:i/>
          <w:iCs/>
        </w:rPr>
        <w:fldChar w:fldCharType="begin"/>
      </w:r>
      <w:r w:rsidR="00B64291">
        <w:instrText xml:space="preserve"> XE "</w:instrText>
      </w:r>
      <w:r w:rsidR="00B64291" w:rsidRPr="00863810">
        <w:rPr>
          <w:i/>
          <w:iCs/>
        </w:rPr>
        <w:instrText>Ge-Stell</w:instrText>
      </w:r>
      <w:r w:rsidR="00B64291">
        <w:instrText xml:space="preserve">" </w:instrText>
      </w:r>
      <w:r w:rsidR="00B64291">
        <w:rPr>
          <w:i/>
          <w:iCs/>
        </w:rPr>
        <w:fldChar w:fldCharType="end"/>
      </w:r>
      <w:r w:rsidR="001A5245" w:rsidRPr="001A5245">
        <w:t xml:space="preserve">) </w:t>
      </w:r>
      <w:r w:rsidR="0066484C">
        <w:t>provedené</w:t>
      </w:r>
      <w:r w:rsidR="000D07BB">
        <w:t xml:space="preserve"> v rámci logické supozice scotismu konstatova</w:t>
      </w:r>
      <w:r w:rsidR="00C01990">
        <w:t>l</w:t>
      </w:r>
      <w:r w:rsidR="000D07BB">
        <w:t xml:space="preserve"> a odsoudil </w:t>
      </w:r>
      <w:r w:rsidR="001A5245" w:rsidRPr="001A5245">
        <w:t>jako poslední aristotelik své doby.</w:t>
      </w:r>
      <w:r w:rsidR="00BF018B">
        <w:t xml:space="preserve"> Scotovo pojetí svobody je odmítnuto proto, že vytvořil nov</w:t>
      </w:r>
      <w:r w:rsidR="005725D6">
        <w:t xml:space="preserve">ý </w:t>
      </w:r>
      <w:r w:rsidR="00BF018B">
        <w:t>praktick</w:t>
      </w:r>
      <w:r w:rsidR="005725D6">
        <w:t xml:space="preserve">ý </w:t>
      </w:r>
      <w:r w:rsidR="00BF018B">
        <w:t>sylogismu</w:t>
      </w:r>
      <w:r w:rsidR="005725D6">
        <w:t>s</w:t>
      </w:r>
      <w:r w:rsidR="00BF018B">
        <w:t xml:space="preserve"> dan</w:t>
      </w:r>
      <w:r w:rsidR="005725D6">
        <w:t xml:space="preserve">ý na základě </w:t>
      </w:r>
      <w:r w:rsidR="00BF018B">
        <w:t>falešné nutnosti (</w:t>
      </w:r>
      <w:r w:rsidR="00BF018B" w:rsidRPr="00273106">
        <w:rPr>
          <w:i/>
        </w:rPr>
        <w:t>in alio principio necessario activo</w:t>
      </w:r>
      <w:r w:rsidR="000000C9">
        <w:t xml:space="preserve">). </w:t>
      </w:r>
      <w:r w:rsidRPr="00273106">
        <w:t xml:space="preserve">Ockham argumentuje proti Oliviho a Scotově redukci praktické svobody </w:t>
      </w:r>
      <w:r>
        <w:t xml:space="preserve">jak </w:t>
      </w:r>
      <w:r w:rsidRPr="00273106">
        <w:t xml:space="preserve">na </w:t>
      </w:r>
      <w:r>
        <w:t xml:space="preserve">voluntaristickou iracionální intimitu, tak na </w:t>
      </w:r>
      <w:r w:rsidRPr="00273106">
        <w:t>objektivní nutnost</w:t>
      </w:r>
      <w:r w:rsidRPr="00214E4D">
        <w:t xml:space="preserve"> </w:t>
      </w:r>
      <w:r>
        <w:t>určenou teoretickým intelektem</w:t>
      </w:r>
      <w:r w:rsidR="0040253C">
        <w:t xml:space="preserve"> </w:t>
      </w:r>
      <w:r w:rsidR="0040253C" w:rsidRPr="00273106">
        <w:t>(</w:t>
      </w:r>
      <w:r w:rsidR="0040253C" w:rsidRPr="00273106">
        <w:rPr>
          <w:i/>
        </w:rPr>
        <w:t>salvandi aliter libertatem in voluntate</w:t>
      </w:r>
      <w:r w:rsidR="0040253C" w:rsidRPr="00273106">
        <w:t>)</w:t>
      </w:r>
      <w:r w:rsidRPr="00273106">
        <w:t xml:space="preserve">. </w:t>
      </w:r>
      <w:r>
        <w:t>Oliviho v</w:t>
      </w:r>
      <w:r w:rsidRPr="00273106">
        <w:t xml:space="preserve">ůle </w:t>
      </w:r>
      <w:r>
        <w:t xml:space="preserve">se stala </w:t>
      </w:r>
      <w:r w:rsidRPr="00273106">
        <w:t>jsoucn</w:t>
      </w:r>
      <w:r>
        <w:t>em</w:t>
      </w:r>
      <w:r w:rsidRPr="00273106">
        <w:t xml:space="preserve"> třetího druhu</w:t>
      </w:r>
      <w:r>
        <w:t xml:space="preserve">, v níž subsistuje současně </w:t>
      </w:r>
      <w:r w:rsidR="0040253C">
        <w:t>potence a aktualita pro jednání</w:t>
      </w:r>
      <w:r>
        <w:t xml:space="preserve">. </w:t>
      </w:r>
      <w:r w:rsidRPr="00273106">
        <w:t xml:space="preserve">Oba vrcholní představitelé druhého averroismu </w:t>
      </w:r>
      <w:r>
        <w:t xml:space="preserve">a po nich i postmoderní Kant </w:t>
      </w:r>
      <w:r w:rsidRPr="00273106">
        <w:t xml:space="preserve">vytvořili koncept svobody </w:t>
      </w:r>
      <w:r>
        <w:t xml:space="preserve">vůle </w:t>
      </w:r>
      <w:r w:rsidRPr="00273106">
        <w:t>dané v</w:t>
      </w:r>
      <w:r>
        <w:t xml:space="preserve"> přímém </w:t>
      </w:r>
      <w:r w:rsidRPr="00273106">
        <w:t xml:space="preserve">náhledu teoretického intelektu </w:t>
      </w:r>
      <w:r>
        <w:t xml:space="preserve">do tak či onak hypostázované </w:t>
      </w:r>
      <w:r w:rsidRPr="009537D6">
        <w:rPr>
          <w:i/>
        </w:rPr>
        <w:t>pote</w:t>
      </w:r>
      <w:r>
        <w:rPr>
          <w:i/>
        </w:rPr>
        <w:t>n</w:t>
      </w:r>
      <w:r w:rsidRPr="009537D6">
        <w:rPr>
          <w:i/>
        </w:rPr>
        <w:t>tia esentialis</w:t>
      </w:r>
      <w:r w:rsidR="003B2621">
        <w:t>. M</w:t>
      </w:r>
      <w:r>
        <w:t>oderní ilumináti od Rufuse přes Kanta až po Hegela</w:t>
      </w:r>
      <w:r>
        <w:fldChar w:fldCharType="begin"/>
      </w:r>
      <w:r>
        <w:instrText xml:space="preserve"> XE "</w:instrText>
      </w:r>
      <w:r w:rsidRPr="00710C16">
        <w:instrText>Hegel, G. W.</w:instrText>
      </w:r>
      <w:r>
        <w:instrText xml:space="preserve">" </w:instrText>
      </w:r>
      <w:r>
        <w:fldChar w:fldCharType="end"/>
      </w:r>
      <w:r>
        <w:t xml:space="preserve"> </w:t>
      </w:r>
      <w:r w:rsidR="00C73A8E">
        <w:t xml:space="preserve">použili </w:t>
      </w:r>
      <w:r>
        <w:t>tento koncept</w:t>
      </w:r>
      <w:r w:rsidR="00C73A8E">
        <w:t xml:space="preserve">, aby vymazali </w:t>
      </w:r>
      <w:r w:rsidRPr="00273106">
        <w:t>reálnou svobodu</w:t>
      </w:r>
      <w:r>
        <w:t xml:space="preserve"> reálné osoby</w:t>
      </w:r>
      <w:r w:rsidRPr="00273106">
        <w:t xml:space="preserve">. </w:t>
      </w:r>
      <w:r>
        <w:t>Ockham jasně vidí, že m</w:t>
      </w:r>
      <w:r w:rsidRPr="00273106">
        <w:t xml:space="preserve">oderna určila </w:t>
      </w:r>
      <w:r>
        <w:t xml:space="preserve">pouze simulákrum svobody, protože z ní vynechala reálnou kauzalitu svobodně jednajícího člověka. Svobodné jednání osoby už nelze převést na žádnou </w:t>
      </w:r>
      <w:r>
        <w:lastRenderedPageBreak/>
        <w:t xml:space="preserve">teoretickou hypostázi, protože osoba jako celek je </w:t>
      </w:r>
      <w:r w:rsidRPr="082D52F4">
        <w:rPr>
          <w:i/>
        </w:rPr>
        <w:t>causa sui</w:t>
      </w:r>
      <w:r>
        <w:rPr>
          <w:i/>
        </w:rPr>
        <w:fldChar w:fldCharType="begin"/>
      </w:r>
      <w:r>
        <w:instrText xml:space="preserve"> XE "</w:instrText>
      </w:r>
      <w:r w:rsidRPr="088A3E9F">
        <w:rPr>
          <w:i/>
        </w:rPr>
        <w:instrText>causa sui</w:instrText>
      </w:r>
      <w:r>
        <w:instrText xml:space="preserve">" </w:instrText>
      </w:r>
      <w:r>
        <w:rPr>
          <w:i/>
        </w:rPr>
        <w:fldChar w:fldCharType="end"/>
      </w:r>
      <w:r w:rsidR="00CA5650">
        <w:t xml:space="preserve"> v etice a politice.</w:t>
      </w:r>
      <w:r>
        <w:t xml:space="preserve"> U Oliviho je agentem substančně daná intimní vůle</w:t>
      </w:r>
      <w:r w:rsidR="00980CF2">
        <w:t xml:space="preserve">; </w:t>
      </w:r>
      <w:r>
        <w:t>u Scota je to hypostázovaný objektivní habitus. Kant má přím</w:t>
      </w:r>
      <w:r w:rsidR="005819B3">
        <w:t xml:space="preserve">ý objektivní náhled do apriorně dané </w:t>
      </w:r>
      <w:r w:rsidR="003876E3">
        <w:t xml:space="preserve">zákonodárné </w:t>
      </w:r>
      <w:r>
        <w:t>formy svobodné vůle. Všechny tyto variance avicennistické a porretánské esence definují pouze objektivní formu praktického sylogismu</w:t>
      </w:r>
      <w:r w:rsidRPr="00273106">
        <w:t xml:space="preserve">, </w:t>
      </w:r>
      <w:r>
        <w:t xml:space="preserve">která nemá ve středním členu soudu </w:t>
      </w:r>
      <w:r w:rsidRPr="00273106">
        <w:t xml:space="preserve">skutečnou </w:t>
      </w:r>
      <w:r>
        <w:t xml:space="preserve">kauzalitu ze </w:t>
      </w:r>
      <w:r w:rsidRPr="00273106">
        <w:t>svobod</w:t>
      </w:r>
      <w:r>
        <w:t xml:space="preserve">y reálné </w:t>
      </w:r>
      <w:r w:rsidR="00A513B0">
        <w:t xml:space="preserve">eticky jednající </w:t>
      </w:r>
      <w:r>
        <w:t xml:space="preserve">osoby a reálného </w:t>
      </w:r>
      <w:r w:rsidR="00A513B0">
        <w:t xml:space="preserve">politicky jednajícího </w:t>
      </w:r>
      <w:r>
        <w:t xml:space="preserve">občana. Skutečná kauzalita existuje pouze na úrovni jednající svobodné osoby, která je </w:t>
      </w:r>
      <w:r w:rsidRPr="00DB2DAD">
        <w:rPr>
          <w:i/>
        </w:rPr>
        <w:t>causa sui</w:t>
      </w:r>
      <w:r>
        <w:t xml:space="preserve"> podle </w:t>
      </w:r>
      <w:r w:rsidRPr="08FB0B96">
        <w:rPr>
          <w:i/>
        </w:rPr>
        <w:t>Metafyziky</w:t>
      </w:r>
      <w:r w:rsidRPr="00273106">
        <w:t xml:space="preserve">. </w:t>
      </w:r>
      <w:r>
        <w:t xml:space="preserve">Tuto kauzalitu danou skrze </w:t>
      </w:r>
      <w:r w:rsidRPr="08336033">
        <w:rPr>
          <w:i/>
        </w:rPr>
        <w:t>opus</w:t>
      </w:r>
      <w:r>
        <w:t xml:space="preserve"> jako reálnou první substanci nemůže nahradit žádná moderní nebo postmoderní esence. Pak vznikne objektivní intelektualistická etika a politika, ale ne vědecky založená racionální etika </w:t>
      </w:r>
      <w:r w:rsidR="00474921">
        <w:t xml:space="preserve">a </w:t>
      </w:r>
      <w:r w:rsidR="003C73CD">
        <w:t>politika.</w:t>
      </w:r>
    </w:p>
    <w:p w:rsidR="008C2F6B" w:rsidRDefault="08163013" w:rsidP="008C2F6B">
      <w:pPr>
        <w:ind w:firstLine="397"/>
      </w:pPr>
      <w:r w:rsidRPr="00273106">
        <w:t xml:space="preserve">Problém objektivistické dedukce etiky </w:t>
      </w:r>
      <w:r w:rsidR="003C73CD">
        <w:t xml:space="preserve">z </w:t>
      </w:r>
      <w:r w:rsidRPr="00EC06B7">
        <w:rPr>
          <w:i/>
        </w:rPr>
        <w:t>intellectus speculativus</w:t>
      </w:r>
      <w:r>
        <w:rPr>
          <w:i/>
        </w:rPr>
        <w:fldChar w:fldCharType="begin"/>
      </w:r>
      <w:r>
        <w:instrText xml:space="preserve"> XE "</w:instrText>
      </w:r>
      <w:r w:rsidRPr="00E2134B">
        <w:rPr>
          <w:i/>
        </w:rPr>
        <w:instrText>intellectus speculativus:</w:instrText>
      </w:r>
      <w:r>
        <w:instrText xml:space="preserve">Scotus" </w:instrText>
      </w:r>
      <w:r>
        <w:rPr>
          <w:i/>
        </w:rPr>
        <w:fldChar w:fldCharType="end"/>
      </w:r>
      <w:r>
        <w:t xml:space="preserve"> </w:t>
      </w:r>
      <w:r w:rsidR="003C73CD">
        <w:t xml:space="preserve">spočívá ve </w:t>
      </w:r>
      <w:r w:rsidRPr="00273106">
        <w:t>falešné jasnosti</w:t>
      </w:r>
      <w:r w:rsidR="003C73CD">
        <w:t xml:space="preserve"> této dedukce</w:t>
      </w:r>
      <w:r w:rsidRPr="00273106">
        <w:t xml:space="preserve">. </w:t>
      </w:r>
      <w:r w:rsidR="00D664B1" w:rsidRPr="00D664B1">
        <w:t xml:space="preserve">Akademický </w:t>
      </w:r>
      <w:r w:rsidR="00D664B1">
        <w:t>iluminát</w:t>
      </w:r>
      <w:r w:rsidR="00D664B1" w:rsidRPr="00D664B1">
        <w:t xml:space="preserve"> vedený subjektivními </w:t>
      </w:r>
      <w:r w:rsidR="00D664B1">
        <w:t xml:space="preserve">Fúriemi </w:t>
      </w:r>
      <w:r w:rsidR="00D664B1" w:rsidRPr="00D664B1">
        <w:t>považuje svůj teoret</w:t>
      </w:r>
      <w:r w:rsidR="00D664B1">
        <w:t xml:space="preserve">ický intelekt za základ jednání. </w:t>
      </w:r>
      <w:r w:rsidRPr="00273106">
        <w:t xml:space="preserve">Jevy v přírodě </w:t>
      </w:r>
      <w:r>
        <w:t xml:space="preserve">jsou dány nutně </w:t>
      </w:r>
      <w:r w:rsidRPr="00273106">
        <w:t xml:space="preserve">a poznatky </w:t>
      </w:r>
      <w:r>
        <w:t xml:space="preserve">v </w:t>
      </w:r>
      <w:r w:rsidRPr="00273106">
        <w:t>teoretickém p</w:t>
      </w:r>
      <w:r>
        <w:t>oznání mají pouze obecný charakter</w:t>
      </w:r>
      <w:r w:rsidRPr="00273106">
        <w:t xml:space="preserve">. </w:t>
      </w:r>
      <w:r>
        <w:t xml:space="preserve">Naopak </w:t>
      </w:r>
      <w:r w:rsidRPr="00551D6E">
        <w:rPr>
          <w:i/>
        </w:rPr>
        <w:t>intellectus practicus</w:t>
      </w:r>
      <w:r>
        <w:rPr>
          <w:i/>
        </w:rPr>
        <w:fldChar w:fldCharType="begin"/>
      </w:r>
      <w:r>
        <w:instrText xml:space="preserve"> XE "</w:instrText>
      </w:r>
      <w:r w:rsidRPr="001A1255">
        <w:rPr>
          <w:i/>
        </w:rPr>
        <w:instrText>intellectus practicus</w:instrText>
      </w:r>
      <w:r>
        <w:instrText xml:space="preserve">" </w:instrText>
      </w:r>
      <w:r>
        <w:rPr>
          <w:i/>
        </w:rPr>
        <w:fldChar w:fldCharType="end"/>
      </w:r>
      <w:r>
        <w:t xml:space="preserve"> je podle Alberta, Ockhama a jistě i ztraceného Sigerova komentáře k Aristotelově </w:t>
      </w:r>
      <w:r w:rsidRPr="080B4F96">
        <w:rPr>
          <w:i/>
        </w:rPr>
        <w:t>Politice</w:t>
      </w:r>
      <w:r>
        <w:t xml:space="preserve"> napojený na etické jednání a na politickou praxi svobodného jednotlivce</w:t>
      </w:r>
      <w:r>
        <w:fldChar w:fldCharType="begin"/>
      </w:r>
      <w:r>
        <w:instrText xml:space="preserve"> XE "pol</w:instrText>
      </w:r>
      <w:r w:rsidRPr="00A61FD5">
        <w:instrText>i</w:instrText>
      </w:r>
      <w:r>
        <w:instrText>t</w:instrText>
      </w:r>
      <w:r w:rsidRPr="00A61FD5">
        <w:instrText>ická racionalita:Ockham</w:instrText>
      </w:r>
      <w:r>
        <w:instrText xml:space="preserve">" </w:instrText>
      </w:r>
      <w:r>
        <w:fldChar w:fldCharType="end"/>
      </w:r>
      <w:r>
        <w:t xml:space="preserve">. Reálná osoba je v etice a v politice daná jako </w:t>
      </w:r>
      <w:r w:rsidRPr="08CC4934">
        <w:rPr>
          <w:i/>
        </w:rPr>
        <w:t>causa sui</w:t>
      </w:r>
      <w:r w:rsidR="009677E5">
        <w:t xml:space="preserve">. Podle zákona o </w:t>
      </w:r>
      <w:proofErr w:type="gramStart"/>
      <w:r w:rsidR="009677E5">
        <w:t>vyloučením</w:t>
      </w:r>
      <w:proofErr w:type="gramEnd"/>
      <w:r w:rsidR="009677E5">
        <w:t xml:space="preserve"> třetím nemůže existovat </w:t>
      </w:r>
      <w:r>
        <w:t xml:space="preserve">jiná </w:t>
      </w:r>
      <w:r w:rsidR="009677E5" w:rsidRPr="009677E5">
        <w:rPr>
          <w:i/>
        </w:rPr>
        <w:t>causa effic</w:t>
      </w:r>
      <w:r w:rsidR="00E403BA">
        <w:rPr>
          <w:i/>
        </w:rPr>
        <w:t>i</w:t>
      </w:r>
      <w:r w:rsidR="009677E5" w:rsidRPr="009677E5">
        <w:rPr>
          <w:i/>
        </w:rPr>
        <w:t>ens</w:t>
      </w:r>
      <w:r w:rsidR="009677E5">
        <w:t xml:space="preserve"> </w:t>
      </w:r>
      <w:r>
        <w:t xml:space="preserve">ve stejném modu. </w:t>
      </w:r>
      <w:r w:rsidR="006732B4" w:rsidRPr="006732B4">
        <w:t>První averroismus hledá jedinečně dané lidské dobro, které existuje zde a nyní v dokončeném díle, neboť toto dílo manifestuje kauzalitu existenciálně daného rozšíření praktického intelektu. Etická či politická činnost se odehrává v realitě, kde tvoří jednotu s osobním činitelem jako první substancí (</w:t>
      </w:r>
      <w:r w:rsidR="006732B4" w:rsidRPr="006732B4">
        <w:rPr>
          <w:i/>
          <w:iCs/>
        </w:rPr>
        <w:t>tertium genus</w:t>
      </w:r>
      <w:r w:rsidR="006732B4">
        <w:t xml:space="preserve">). </w:t>
      </w:r>
      <w:r>
        <w:t xml:space="preserve">Z takto dané hyparchické danosti lidského jednání odvozuje autentický aristotelismus praktickou formu predikace v rámci morálního a politického sylogismu. V něm vznikne teoretický náhled určující podstatu praktického intelektu v modu </w:t>
      </w:r>
      <w:r w:rsidRPr="08131BCC">
        <w:rPr>
          <w:i/>
        </w:rPr>
        <w:t xml:space="preserve">quartum </w:t>
      </w:r>
      <w:r w:rsidR="00962190">
        <w:rPr>
          <w:i/>
        </w:rPr>
        <w:t>genus</w:t>
      </w:r>
      <w:r>
        <w:t xml:space="preserve"> podle CMDA. Olivi má podle Ockhama svobodnou vůli bez kritického rozumu</w:t>
      </w:r>
      <w:r w:rsidR="00D76743">
        <w:t xml:space="preserve">; </w:t>
      </w:r>
      <w:r>
        <w:t xml:space="preserve">Scotus má logicky správný rozum bez reálné svobody osoby. </w:t>
      </w:r>
      <w:r w:rsidR="00DC1892" w:rsidRPr="00DC1892">
        <w:t>Tito dva modernisté žili ve věku zatmění první substance a toto zatmění naplnili v etice a politice. Aristotelismus potvrzuje, že všechny oblasti lidského poznání a jednání jsou spojeny s působení</w:t>
      </w:r>
      <w:r w:rsidR="00DC1892">
        <w:t xml:space="preserve">m osoby jako prvotní substance. </w:t>
      </w:r>
      <w:r>
        <w:t xml:space="preserve">Ockham byl poslední aristotelik ze školy prvního averroismu, který toto fundamentální pochybení </w:t>
      </w:r>
      <w:r w:rsidRPr="082D117C">
        <w:rPr>
          <w:i/>
        </w:rPr>
        <w:t>Modernorum</w:t>
      </w:r>
      <w:r>
        <w:t xml:space="preserve"> viděl a správně </w:t>
      </w:r>
      <w:r w:rsidR="00484932">
        <w:t>popsal</w:t>
      </w:r>
      <w:r>
        <w:t xml:space="preserve">. Teoretik prvního averroismu </w:t>
      </w:r>
      <w:r w:rsidR="00A324B0">
        <w:t xml:space="preserve">jako </w:t>
      </w:r>
      <w:r>
        <w:t xml:space="preserve">Albert, </w:t>
      </w:r>
      <w:r>
        <w:lastRenderedPageBreak/>
        <w:t xml:space="preserve">Siger, Dante a Ockhama má před sebou nejprve jednání konkrétního svobodného člověka, a pak teprve může </w:t>
      </w:r>
      <w:r w:rsidR="00A324B0">
        <w:t xml:space="preserve">tvořit </w:t>
      </w:r>
      <w:r>
        <w:t>teoreti</w:t>
      </w:r>
      <w:r w:rsidR="00A324B0">
        <w:t>ckou vědu</w:t>
      </w:r>
      <w:r>
        <w:t xml:space="preserve">. Svobodné jednání </w:t>
      </w:r>
      <w:r w:rsidR="00383915">
        <w:t>osoby</w:t>
      </w:r>
      <w:r>
        <w:t xml:space="preserve"> nahrazuje ve správně utvořeném praktickém sylogismu hyparchickou funkci první substance</w:t>
      </w:r>
      <w:r>
        <w:fldChar w:fldCharType="begin"/>
      </w:r>
      <w:r>
        <w:instrText xml:space="preserve"> XE "</w:instrText>
      </w:r>
      <w:r w:rsidRPr="00355622">
        <w:instrText>osoba:svobodné jednání</w:instrText>
      </w:r>
      <w:r>
        <w:instrText xml:space="preserve">" </w:instrText>
      </w:r>
      <w:r>
        <w:fldChar w:fldCharType="end"/>
      </w:r>
      <w:r>
        <w:t xml:space="preserve">. Proto má kauzalita svobodně jednající osoby primární charakter. Racionalita daná ve výkonu morálního či politického </w:t>
      </w:r>
      <w:r w:rsidR="00A8793B">
        <w:t>„</w:t>
      </w:r>
      <w:r w:rsidRPr="0040217F">
        <w:rPr>
          <w:i/>
        </w:rPr>
        <w:t>recta ratio</w:t>
      </w:r>
      <w:r w:rsidR="00A8793B">
        <w:t>“</w:t>
      </w:r>
      <w:r w:rsidR="00175AF8">
        <w:t xml:space="preserve"> </w:t>
      </w:r>
      <w:r>
        <w:t xml:space="preserve">hraje roli druhé substance, od níž se odvíjí univerzálně daná predikace. Moderna toto pořadí </w:t>
      </w:r>
      <w:r w:rsidR="00747199">
        <w:t xml:space="preserve">otočila, jak bylo a je pro </w:t>
      </w:r>
      <w:r w:rsidR="0099038F">
        <w:rPr>
          <w:i/>
          <w:lang w:eastAsia="en-US"/>
        </w:rPr>
        <w:t>sophistae Latini</w:t>
      </w:r>
      <w:r w:rsidR="0099038F">
        <w:rPr>
          <w:lang w:eastAsia="en-US"/>
        </w:rPr>
        <w:t xml:space="preserve"> </w:t>
      </w:r>
      <w:r>
        <w:t xml:space="preserve">dobrým zvykem od analytického výkladu </w:t>
      </w:r>
      <w:r w:rsidRPr="08867799">
        <w:rPr>
          <w:i/>
        </w:rPr>
        <w:t>Druhých analytik</w:t>
      </w:r>
      <w:r>
        <w:t xml:space="preserve">. Podobnou kritiku jako měl Ockham proti scotismu zopakovala v epoše nihilistické metafyziky mladohegeliánská levice typu Rugeho, Bauera a Marxe proti Hegelově spisu </w:t>
      </w:r>
      <w:r w:rsidRPr="004D0BFA">
        <w:rPr>
          <w:i/>
        </w:rPr>
        <w:t>Grundlinien der Philosophie des</w:t>
      </w:r>
      <w:r>
        <w:rPr>
          <w:i/>
        </w:rPr>
        <w:t xml:space="preserve"> </w:t>
      </w:r>
      <w:r w:rsidRPr="004D0BFA">
        <w:rPr>
          <w:i/>
        </w:rPr>
        <w:t>Recht</w:t>
      </w:r>
      <w:r>
        <w:rPr>
          <w:i/>
        </w:rPr>
        <w:t xml:space="preserve">s </w:t>
      </w:r>
      <w:r>
        <w:t>(1821). Postmodernisté vyšlí z absolutně objektivního Hegela</w:t>
      </w:r>
      <w:r>
        <w:fldChar w:fldCharType="begin"/>
      </w:r>
      <w:r>
        <w:instrText xml:space="preserve"> XE "</w:instrText>
      </w:r>
      <w:r w:rsidRPr="00710C16">
        <w:instrText>Hegel, G. W.</w:instrText>
      </w:r>
      <w:r>
        <w:instrText xml:space="preserve">" </w:instrText>
      </w:r>
      <w:r>
        <w:fldChar w:fldCharType="end"/>
      </w:r>
      <w:r>
        <w:t xml:space="preserve"> </w:t>
      </w:r>
      <w:r w:rsidRPr="00273106">
        <w:t xml:space="preserve">dokázali intelektuální ekvilibristikou to, co je v praxi absolutně nemožné. </w:t>
      </w:r>
      <w:r>
        <w:t>Akademičtí hegeliáni začali pouhým myšlením prakticky přetvářet svět, což kritizoval Marx</w:t>
      </w:r>
      <w:r>
        <w:fldChar w:fldCharType="begin"/>
      </w:r>
      <w:r>
        <w:instrText xml:space="preserve"> XE "</w:instrText>
      </w:r>
      <w:r w:rsidRPr="000B3F01">
        <w:instrText>Marx</w:instrText>
      </w:r>
      <w:r>
        <w:instrText>,</w:instrText>
      </w:r>
      <w:r w:rsidRPr="000B3F01">
        <w:instrText xml:space="preserve"> K.</w:instrText>
      </w:r>
      <w:r>
        <w:instrText xml:space="preserve">" </w:instrText>
      </w:r>
      <w:r>
        <w:fldChar w:fldCharType="end"/>
      </w:r>
      <w:r>
        <w:t xml:space="preserve"> </w:t>
      </w:r>
      <w:r w:rsidR="006308E2">
        <w:t xml:space="preserve">ve spise </w:t>
      </w:r>
      <w:r w:rsidR="006308E2">
        <w:rPr>
          <w:i/>
        </w:rPr>
        <w:t xml:space="preserve">Zur Kritik der Hegelschen Rechtsphilosophie </w:t>
      </w:r>
      <w:r w:rsidR="006308E2">
        <w:t xml:space="preserve">(1844) </w:t>
      </w:r>
      <w:r>
        <w:t>jako hlavní úchylku německé idealistické filosofie degene</w:t>
      </w:r>
      <w:r w:rsidR="00071E55">
        <w:t>rované na ideologii</w:t>
      </w:r>
      <w:r>
        <w:t>.</w:t>
      </w:r>
      <w:r w:rsidR="006308E2">
        <w:rPr>
          <w:rStyle w:val="Znakapoznpodarou"/>
        </w:rPr>
        <w:footnoteReference w:id="586"/>
      </w:r>
      <w:r>
        <w:t xml:space="preserve"> N</w:t>
      </w:r>
      <w:r>
        <w:rPr>
          <w:bCs/>
        </w:rPr>
        <w:t xml:space="preserve">ěmecký idealismus zrušil politickou praxi Hegelovým avicennismem, který absolutizoval dějinný pohyb absolutního ducha do naddějinné esence a dal této esenci dějinnou kauzalitu v nihilistické verzi </w:t>
      </w:r>
      <w:r w:rsidRPr="0878529B">
        <w:rPr>
          <w:bCs/>
          <w:i/>
        </w:rPr>
        <w:t>Oxfordian Fallacy</w:t>
      </w:r>
      <w:r>
        <w:rPr>
          <w:bCs/>
        </w:rPr>
        <w:t xml:space="preserve">. </w:t>
      </w:r>
      <w:r w:rsidR="005369AA">
        <w:t>Marx zopakoval</w:t>
      </w:r>
      <w:r>
        <w:t xml:space="preserve"> v epoše metafyzického nihilismu kritick</w:t>
      </w:r>
      <w:r w:rsidR="00000669">
        <w:t>ou pozici Ockhama proti moderně</w:t>
      </w:r>
      <w:r w:rsidR="00FC25CE">
        <w:t xml:space="preserve">. </w:t>
      </w:r>
      <w:r w:rsidR="00175AF8">
        <w:t xml:space="preserve">Marx obnovil </w:t>
      </w:r>
      <w:r>
        <w:t xml:space="preserve">nasvícení morálního a politického jednání </w:t>
      </w:r>
      <w:r w:rsidR="005369AA">
        <w:t>zepředu, od svobodně jednajících osob</w:t>
      </w:r>
      <w:r>
        <w:fldChar w:fldCharType="begin"/>
      </w:r>
      <w:r>
        <w:instrText xml:space="preserve"> XE "</w:instrText>
      </w:r>
      <w:r w:rsidRPr="005D59EF">
        <w:instrText>politika:nasvícení zepředu</w:instrText>
      </w:r>
      <w:r>
        <w:instrText xml:space="preserve">" </w:instrText>
      </w:r>
      <w:r>
        <w:fldChar w:fldCharType="end"/>
      </w:r>
      <w:r>
        <w:t xml:space="preserve">. </w:t>
      </w:r>
      <w:r w:rsidR="00542E46" w:rsidRPr="00542E46">
        <w:t xml:space="preserve">Ve skotismu se morální a politické jednání stalo </w:t>
      </w:r>
      <w:r w:rsidR="00542E46" w:rsidRPr="00542E46">
        <w:rPr>
          <w:i/>
          <w:iCs/>
        </w:rPr>
        <w:t>tertium ens</w:t>
      </w:r>
      <w:r w:rsidR="00542E46" w:rsidRPr="00542E46">
        <w:t xml:space="preserve">, neboť </w:t>
      </w:r>
      <w:r w:rsidR="00542E46">
        <w:t>po</w:t>
      </w:r>
      <w:r w:rsidR="00542E46" w:rsidRPr="00542E46">
        <w:t>znání praxe přišlo dí</w:t>
      </w:r>
      <w:r w:rsidR="00542E46">
        <w:t>ky osvícení provedenému zezadu. P</w:t>
      </w:r>
      <w:r>
        <w:t xml:space="preserve">redikace </w:t>
      </w:r>
      <w:r w:rsidRPr="00057B07">
        <w:rPr>
          <w:i/>
        </w:rPr>
        <w:t>per prius</w:t>
      </w:r>
      <w:r>
        <w:t xml:space="preserve"> začíná od sofistického simulákra</w:t>
      </w:r>
      <w:r>
        <w:fldChar w:fldCharType="begin"/>
      </w:r>
      <w:r>
        <w:instrText xml:space="preserve"> XE "</w:instrText>
      </w:r>
      <w:r w:rsidRPr="00C2134D">
        <w:instrText>simulákrum</w:instrText>
      </w:r>
      <w:r>
        <w:instrText xml:space="preserve">" </w:instrText>
      </w:r>
      <w:r>
        <w:fldChar w:fldCharType="end"/>
      </w:r>
      <w:r>
        <w:t xml:space="preserve"> reality a postupuje logickou dedukcí podle Rufusova a Kilwardbyho kauzálního principu </w:t>
      </w:r>
      <w:r w:rsidR="005369AA">
        <w:t>„</w:t>
      </w:r>
      <w:r w:rsidR="00C1471D" w:rsidRPr="00C1471D">
        <w:rPr>
          <w:i/>
        </w:rPr>
        <w:t>ex</w:t>
      </w:r>
      <w:r w:rsidR="00C1471D">
        <w:t xml:space="preserve"> </w:t>
      </w:r>
      <w:r w:rsidR="00C1471D">
        <w:rPr>
          <w:i/>
        </w:rPr>
        <w:t>inmediatis</w:t>
      </w:r>
      <w:r w:rsidR="005369AA">
        <w:t>“</w:t>
      </w:r>
      <w:r w:rsidR="00C1471D">
        <w:rPr>
          <w:i/>
          <w:szCs w:val="24"/>
          <w:lang w:val="de-DE"/>
        </w:rPr>
        <w:fldChar w:fldCharType="begin"/>
      </w:r>
      <w:r w:rsidR="00C1471D">
        <w:instrText xml:space="preserve"> XE "</w:instrText>
      </w:r>
      <w:r w:rsidR="00C1471D">
        <w:rPr>
          <w:szCs w:val="24"/>
          <w:lang w:val="de-DE"/>
        </w:rPr>
        <w:instrText>p</w:instrText>
      </w:r>
      <w:r w:rsidR="00C1471D" w:rsidRPr="004B557D">
        <w:rPr>
          <w:szCs w:val="24"/>
          <w:lang w:val="de-DE"/>
        </w:rPr>
        <w:instrText xml:space="preserve">rinzip </w:instrText>
      </w:r>
      <w:r w:rsidR="00C1471D" w:rsidRPr="004B557D">
        <w:rPr>
          <w:i/>
          <w:szCs w:val="24"/>
          <w:lang w:val="de-DE"/>
        </w:rPr>
        <w:instrText>ex inmediatis</w:instrText>
      </w:r>
      <w:r w:rsidR="00C1471D">
        <w:instrText xml:space="preserve">" </w:instrText>
      </w:r>
      <w:r w:rsidR="00C1471D">
        <w:rPr>
          <w:i/>
          <w:szCs w:val="24"/>
          <w:lang w:val="de-DE"/>
        </w:rPr>
        <w:fldChar w:fldCharType="end"/>
      </w:r>
      <w:r>
        <w:t xml:space="preserve">. </w:t>
      </w:r>
      <w:r w:rsidR="00782BFF">
        <w:t>Scotus změnil reálné</w:t>
      </w:r>
      <w:r w:rsidR="00782BFF" w:rsidRPr="00782BFF">
        <w:t xml:space="preserve"> jednání na teoretické pojmy (</w:t>
      </w:r>
      <w:r w:rsidR="00782BFF" w:rsidRPr="00782BFF">
        <w:rPr>
          <w:i/>
          <w:iCs/>
        </w:rPr>
        <w:t>factibilia, agibilia</w:t>
      </w:r>
      <w:r w:rsidR="00782BFF">
        <w:rPr>
          <w:i/>
        </w:rPr>
        <w:fldChar w:fldCharType="begin"/>
      </w:r>
      <w:r w:rsidR="00782BFF">
        <w:instrText xml:space="preserve"> XE "</w:instrText>
      </w:r>
      <w:r w:rsidR="00782BFF" w:rsidRPr="000E2881">
        <w:instrText>etika:objektivní</w:instrText>
      </w:r>
      <w:r w:rsidR="00782BFF">
        <w:instrText xml:space="preserve">" </w:instrText>
      </w:r>
      <w:r w:rsidR="00782BFF">
        <w:rPr>
          <w:i/>
        </w:rPr>
        <w:fldChar w:fldCharType="end"/>
      </w:r>
      <w:r w:rsidR="00782BFF" w:rsidRPr="00782BFF">
        <w:t>) a ty pak převzal do praktického sylogismu jako kauzalitu reálných substancí.</w:t>
      </w:r>
      <w:r w:rsidR="000B43FE">
        <w:t xml:space="preserve"> Moderní habitus svobodného jednání se stal hypostází na úrovni „</w:t>
      </w:r>
      <w:r w:rsidR="000B43FE" w:rsidRPr="000B43FE">
        <w:rPr>
          <w:i/>
        </w:rPr>
        <w:t>potentia substantialis</w:t>
      </w:r>
      <w:r w:rsidR="000B43FE">
        <w:t xml:space="preserve">“. Toto </w:t>
      </w:r>
      <w:r w:rsidR="000B43FE" w:rsidRPr="000B43FE">
        <w:rPr>
          <w:i/>
        </w:rPr>
        <w:t>tertium ens</w:t>
      </w:r>
      <w:r w:rsidR="000B43FE">
        <w:t xml:space="preserve"> je nezbytné k nahrazení svobodného jednání osoby moderní vládou abstrakce provedenou v modu nového </w:t>
      </w:r>
      <w:r w:rsidR="000B43FE" w:rsidRPr="000B43FE">
        <w:rPr>
          <w:i/>
        </w:rPr>
        <w:t>dativus auctoris</w:t>
      </w:r>
      <w:r w:rsidR="000B43FE">
        <w:t>. Ockham tuto paranoiu teoretického rozumu (</w:t>
      </w:r>
      <w:r w:rsidR="000B43FE" w:rsidRPr="00A32973">
        <w:rPr>
          <w:i/>
        </w:rPr>
        <w:t>Irre</w:t>
      </w:r>
      <w:r w:rsidR="000B43FE">
        <w:t xml:space="preserve">) diagnostikoval správně; jeho kritika však již nedokázala zastavit rozjetý vlak moderního </w:t>
      </w:r>
      <w:r w:rsidR="000B43FE">
        <w:lastRenderedPageBreak/>
        <w:t xml:space="preserve">pokroku řízený panem Nikým. Skutečná svoboda se z myšlení na </w:t>
      </w:r>
      <w:proofErr w:type="gramStart"/>
      <w:r w:rsidR="000B43FE" w:rsidRPr="000B43FE">
        <w:rPr>
          <w:i/>
        </w:rPr>
        <w:t>via</w:t>
      </w:r>
      <w:proofErr w:type="gramEnd"/>
      <w:r w:rsidR="000B43FE" w:rsidRPr="000B43FE">
        <w:rPr>
          <w:i/>
        </w:rPr>
        <w:t xml:space="preserve"> Modernorum</w:t>
      </w:r>
      <w:r w:rsidR="000B43FE">
        <w:t xml:space="preserve"> vytratila a byla nahrazena mytologickým pojmem svobody. Na rozdíl od absolutně svobodného osobního jednání působí svoboda jako moderní habitus naprosto nutně, v modu „</w:t>
      </w:r>
      <w:proofErr w:type="gramStart"/>
      <w:r w:rsidR="000B43FE" w:rsidRPr="000B43FE">
        <w:rPr>
          <w:i/>
        </w:rPr>
        <w:t>semel</w:t>
      </w:r>
      <w:proofErr w:type="gramEnd"/>
      <w:r w:rsidR="000B43FE" w:rsidRPr="000B43FE">
        <w:rPr>
          <w:i/>
        </w:rPr>
        <w:t>–</w:t>
      </w:r>
      <w:proofErr w:type="gramStart"/>
      <w:r w:rsidR="000B43FE" w:rsidRPr="000B43FE">
        <w:rPr>
          <w:i/>
        </w:rPr>
        <w:t>semper</w:t>
      </w:r>
      <w:proofErr w:type="gramEnd"/>
      <w:r w:rsidR="000B43FE">
        <w:t xml:space="preserve">“. </w:t>
      </w:r>
      <w:r>
        <w:t xml:space="preserve">Kauzálně jednající osoba se nahradila skrze teoreticky danou extenzi, která funguje v praktickém soudu jako objektivní </w:t>
      </w:r>
      <w:r w:rsidRPr="00B568EA">
        <w:rPr>
          <w:i/>
        </w:rPr>
        <w:t>scibile</w:t>
      </w:r>
      <w:r>
        <w:rPr>
          <w:i/>
        </w:rPr>
        <w:fldChar w:fldCharType="begin"/>
      </w:r>
      <w:r>
        <w:instrText xml:space="preserve"> XE "</w:instrText>
      </w:r>
      <w:r w:rsidRPr="00AA4F67">
        <w:rPr>
          <w:i/>
        </w:rPr>
        <w:instrText>scibile</w:instrText>
      </w:r>
      <w:r>
        <w:rPr>
          <w:i/>
        </w:rPr>
        <w:instrText>:</w:instrText>
      </w:r>
      <w:r w:rsidRPr="00B77DAD">
        <w:instrText>etika</w:instrText>
      </w:r>
      <w:r>
        <w:instrText xml:space="preserve">" </w:instrText>
      </w:r>
      <w:r>
        <w:rPr>
          <w:i/>
        </w:rPr>
        <w:fldChar w:fldCharType="end"/>
      </w:r>
      <w:r>
        <w:t xml:space="preserve">. </w:t>
      </w:r>
      <w:r w:rsidR="006E4817" w:rsidRPr="006E4817">
        <w:t>Scotus vytvořil pr</w:t>
      </w:r>
      <w:r w:rsidR="006E4817">
        <w:t>aktickou podobu Rufova termínu „</w:t>
      </w:r>
      <w:r w:rsidR="006E4817" w:rsidRPr="006E4817">
        <w:rPr>
          <w:i/>
        </w:rPr>
        <w:t>concretum</w:t>
      </w:r>
      <w:r w:rsidR="006E4817">
        <w:rPr>
          <w:i/>
        </w:rPr>
        <w:fldChar w:fldCharType="begin"/>
      </w:r>
      <w:r w:rsidR="006E4817">
        <w:instrText xml:space="preserve"> XE "</w:instrText>
      </w:r>
      <w:r w:rsidR="006E4817" w:rsidRPr="08956ECE">
        <w:rPr>
          <w:i/>
        </w:rPr>
        <w:instrText>concretum</w:instrText>
      </w:r>
      <w:r w:rsidR="006E4817">
        <w:instrText xml:space="preserve">" </w:instrText>
      </w:r>
      <w:r w:rsidR="006E4817">
        <w:rPr>
          <w:i/>
        </w:rPr>
        <w:fldChar w:fldCharType="end"/>
      </w:r>
      <w:r w:rsidR="006E4817">
        <w:t>“</w:t>
      </w:r>
      <w:r w:rsidR="006E4817" w:rsidRPr="006E4817">
        <w:t xml:space="preserve">, aby nahradil </w:t>
      </w:r>
      <w:r w:rsidR="006E4817">
        <w:t xml:space="preserve">reálnou osobu </w:t>
      </w:r>
      <w:r w:rsidR="006E4817" w:rsidRPr="006E4817">
        <w:t xml:space="preserve">jako původce svobodných činů. Vytvořil </w:t>
      </w:r>
      <w:r w:rsidR="006E4817">
        <w:t>sofistikovanou v</w:t>
      </w:r>
      <w:r w:rsidR="006E4817" w:rsidRPr="006E4817">
        <w:t>erzi objektivního praktického sylogismu (</w:t>
      </w:r>
      <w:r w:rsidR="006E4817" w:rsidRPr="006E4817">
        <w:rPr>
          <w:i/>
        </w:rPr>
        <w:t>per modum concretum</w:t>
      </w:r>
      <w:r w:rsidR="006E4817" w:rsidRPr="006E4817">
        <w:t xml:space="preserve">; OBJ II, kap. 3.3.2). </w:t>
      </w:r>
      <w:r w:rsidR="00EB7DD2">
        <w:t xml:space="preserve">Postup </w:t>
      </w:r>
      <w:r w:rsidRPr="008410FC">
        <w:rPr>
          <w:i/>
        </w:rPr>
        <w:t>Modernorum</w:t>
      </w:r>
      <w:r>
        <w:t xml:space="preserve"> zrušil extenzi teoretického intelektu do praktického a tím zrušil i autonomii pr</w:t>
      </w:r>
      <w:r w:rsidR="002D77A2">
        <w:t>aktického a politického ro</w:t>
      </w:r>
      <w:r w:rsidR="008C2F6B">
        <w:t xml:space="preserve">zumu. </w:t>
      </w:r>
      <w:r>
        <w:t xml:space="preserve">Scotus </w:t>
      </w:r>
      <w:r w:rsidR="0082582B">
        <w:t>v případě praktického</w:t>
      </w:r>
      <w:r>
        <w:t xml:space="preserve"> sylogismu zopakoval scénář epochálního zatmění slunce, v němž účinnou kauzalitu nahradila teoretická </w:t>
      </w:r>
      <w:r w:rsidR="00962190">
        <w:rPr>
          <w:i/>
        </w:rPr>
        <w:t>species</w:t>
      </w:r>
      <w:r w:rsidR="00155243">
        <w:t xml:space="preserve"> (kap. 5</w:t>
      </w:r>
      <w:r>
        <w:t>.3.2). Moderna převedla zatmění první substance dané v moderní metafyzice</w:t>
      </w:r>
      <w:r w:rsidRPr="00CC448C">
        <w:t xml:space="preserve"> </w:t>
      </w:r>
      <w:r>
        <w:t xml:space="preserve">i na úroveň etického a politického jednání. </w:t>
      </w:r>
      <w:r w:rsidR="00E33CB5" w:rsidRPr="00E33CB5">
        <w:t xml:space="preserve">Hermeneutika osoby zpochybňuje analytickou </w:t>
      </w:r>
      <w:r w:rsidR="00E33CB5">
        <w:t>teorii praxe (Ricoeur 1990, 109–</w:t>
      </w:r>
      <w:r w:rsidR="00E33CB5" w:rsidRPr="00E33CB5">
        <w:t>66) a chopila se stejné p</w:t>
      </w:r>
      <w:r w:rsidR="00E33CB5">
        <w:t xml:space="preserve">roblematiky v kritice současné verze </w:t>
      </w:r>
      <w:r w:rsidR="00E33CB5" w:rsidRPr="08472CF9">
        <w:rPr>
          <w:i/>
        </w:rPr>
        <w:t>Oxfordian Fallacy</w:t>
      </w:r>
      <w:r w:rsidR="00E33CB5">
        <w:t xml:space="preserve"> (Danto, Anscombe, Davidson, Parfit), která</w:t>
      </w:r>
      <w:r w:rsidR="00E33CB5" w:rsidRPr="00E33CB5">
        <w:t xml:space="preserve"> charakterizuje epochu doko</w:t>
      </w:r>
      <w:r w:rsidR="0025311F">
        <w:t xml:space="preserve">naného metafyzického nihilismu. </w:t>
      </w:r>
      <w:r w:rsidRPr="00273106">
        <w:t xml:space="preserve">Po vyloučení </w:t>
      </w:r>
      <w:r w:rsidR="00430736">
        <w:t xml:space="preserve">osobní formy </w:t>
      </w:r>
      <w:r w:rsidRPr="00273106">
        <w:t xml:space="preserve">praktického intelektu </w:t>
      </w:r>
      <w:r w:rsidR="00430736">
        <w:t>z</w:t>
      </w:r>
      <w:r>
        <w:t xml:space="preserve">byla </w:t>
      </w:r>
      <w:r w:rsidR="00CB4882">
        <w:t xml:space="preserve">pouze </w:t>
      </w:r>
      <w:r w:rsidR="00430736">
        <w:t>„</w:t>
      </w:r>
      <w:r w:rsidR="00CB4882">
        <w:t xml:space="preserve">objektivní </w:t>
      </w:r>
      <w:r w:rsidRPr="00273106">
        <w:t>svoboda</w:t>
      </w:r>
      <w:r w:rsidR="00430736">
        <w:t>“</w:t>
      </w:r>
      <w:r w:rsidRPr="00273106">
        <w:t xml:space="preserve"> </w:t>
      </w:r>
      <w:r>
        <w:t>d</w:t>
      </w:r>
      <w:r w:rsidRPr="00273106">
        <w:t xml:space="preserve">aná jako </w:t>
      </w:r>
      <w:r>
        <w:t xml:space="preserve">Hegelova spekulativně poznaná nutnost nebo </w:t>
      </w:r>
      <w:r w:rsidR="00F3766A">
        <w:t xml:space="preserve">jako </w:t>
      </w:r>
      <w:r>
        <w:t>univoční</w:t>
      </w:r>
      <w:r w:rsidR="00F3766A">
        <w:t xml:space="preserve"> kauzalita analytické filosofie</w:t>
      </w:r>
      <w:r>
        <w:t xml:space="preserve">. </w:t>
      </w:r>
    </w:p>
    <w:p w:rsidR="08163013" w:rsidRDefault="08163013" w:rsidP="004774F7">
      <w:pPr>
        <w:ind w:firstLine="397"/>
      </w:pPr>
      <w:r>
        <w:t>Ockham jako poslední představitel kritického aristotelismu Sicilské školy</w:t>
      </w:r>
      <w:r>
        <w:fldChar w:fldCharType="begin"/>
      </w:r>
      <w:r>
        <w:instrText xml:space="preserve"> XE "</w:instrText>
      </w:r>
      <w:r w:rsidRPr="0886401A">
        <w:instrText>Sicilská škola</w:instrText>
      </w:r>
      <w:r>
        <w:instrText xml:space="preserve">" </w:instrText>
      </w:r>
      <w:r>
        <w:fldChar w:fldCharType="end"/>
      </w:r>
      <w:r>
        <w:t xml:space="preserve"> přesně vidí zásadní problém mo</w:t>
      </w:r>
      <w:r w:rsidR="00C803A6">
        <w:t xml:space="preserve">derny </w:t>
      </w:r>
      <w:r>
        <w:t>dan</w:t>
      </w:r>
      <w:r w:rsidR="00C803A6">
        <w:t>ý</w:t>
      </w:r>
      <w:r>
        <w:t xml:space="preserve"> v modu </w:t>
      </w:r>
      <w:r w:rsidRPr="08D65769">
        <w:rPr>
          <w:i/>
        </w:rPr>
        <w:t>dativus incommodi</w:t>
      </w:r>
      <w:r>
        <w:rPr>
          <w:i/>
        </w:rPr>
        <w:fldChar w:fldCharType="begin"/>
      </w:r>
      <w:r>
        <w:instrText xml:space="preserve"> XE "</w:instrText>
      </w:r>
      <w:r w:rsidRPr="087511DE">
        <w:rPr>
          <w:i/>
        </w:rPr>
        <w:instrText>dativus incommodi</w:instrText>
      </w:r>
      <w:r>
        <w:instrText xml:space="preserve">" </w:instrText>
      </w:r>
      <w:r>
        <w:rPr>
          <w:i/>
        </w:rPr>
        <w:fldChar w:fldCharType="end"/>
      </w:r>
      <w:r>
        <w:t xml:space="preserve">. </w:t>
      </w:r>
      <w:r w:rsidR="00C803A6">
        <w:t xml:space="preserve">Jeho analytičtí současníci na Oxfordu definovali svobodu </w:t>
      </w:r>
      <w:r w:rsidR="00C2732B">
        <w:t xml:space="preserve">skrze </w:t>
      </w:r>
      <w:r w:rsidR="00C803A6">
        <w:t xml:space="preserve">univerzální koncept objektivního individua jako </w:t>
      </w:r>
      <w:r w:rsidR="00C803A6" w:rsidRPr="00F81B0E">
        <w:rPr>
          <w:i/>
        </w:rPr>
        <w:t>tertium ens</w:t>
      </w:r>
      <w:r w:rsidR="00C2732B">
        <w:t xml:space="preserve">. Tím ale </w:t>
      </w:r>
      <w:r w:rsidR="00C803A6">
        <w:t xml:space="preserve">zrušili aktuální </w:t>
      </w:r>
      <w:r w:rsidR="00C803A6" w:rsidRPr="00273106">
        <w:t>svobodu jednaj</w:t>
      </w:r>
      <w:r w:rsidR="00C803A6">
        <w:t xml:space="preserve">ící osoby. </w:t>
      </w:r>
      <w:r>
        <w:t>Svob</w:t>
      </w:r>
      <w:r w:rsidRPr="00273106">
        <w:t xml:space="preserve">oda </w:t>
      </w:r>
      <w:r>
        <w:t xml:space="preserve">osoby jako aktuální první substance přestala pro vědu a filosofii </w:t>
      </w:r>
      <w:r w:rsidRPr="00273106">
        <w:t xml:space="preserve">reálně </w:t>
      </w:r>
      <w:r>
        <w:t>existovat</w:t>
      </w:r>
      <w:r w:rsidRPr="00273106">
        <w:t xml:space="preserve">, </w:t>
      </w:r>
      <w:r>
        <w:t>protože ji nahradila objektivní definice pouze potenciální činnosti a habitu</w:t>
      </w:r>
      <w:r w:rsidRPr="00273106">
        <w:t xml:space="preserve">. </w:t>
      </w:r>
      <w:r>
        <w:t>Jenže tím zmizel fenomén reálné kauzality dané ve světě pouze z osobně účinné svobody</w:t>
      </w:r>
      <w:r w:rsidR="00DA6402">
        <w:t xml:space="preserve"> </w:t>
      </w:r>
      <w:r w:rsidR="00DA6402">
        <w:rPr>
          <w:szCs w:val="24"/>
          <w:lang w:val="de-DE"/>
        </w:rPr>
        <w:t>(</w:t>
      </w:r>
      <w:r w:rsidR="00DA6402" w:rsidRPr="005926CF">
        <w:rPr>
          <w:i/>
          <w:szCs w:val="24"/>
          <w:lang w:val="de-DE"/>
        </w:rPr>
        <w:t>causa sui</w:t>
      </w:r>
      <w:r w:rsidR="00DA6402">
        <w:rPr>
          <w:i/>
          <w:szCs w:val="24"/>
          <w:lang w:val="de-DE"/>
        </w:rPr>
        <w:fldChar w:fldCharType="begin"/>
      </w:r>
      <w:r w:rsidR="00DA6402">
        <w:instrText xml:space="preserve"> XE "</w:instrText>
      </w:r>
      <w:r w:rsidR="00DA6402" w:rsidRPr="0075557B">
        <w:rPr>
          <w:i/>
          <w:szCs w:val="24"/>
          <w:lang w:val="de-DE"/>
        </w:rPr>
        <w:instrText>causa sui</w:instrText>
      </w:r>
      <w:r w:rsidR="00DA6402">
        <w:instrText xml:space="preserve">" </w:instrText>
      </w:r>
      <w:r w:rsidR="00DA6402">
        <w:rPr>
          <w:i/>
          <w:szCs w:val="24"/>
          <w:lang w:val="de-DE"/>
        </w:rPr>
        <w:fldChar w:fldCharType="end"/>
      </w:r>
      <w:r w:rsidR="00DA6402">
        <w:rPr>
          <w:szCs w:val="24"/>
          <w:lang w:val="de-DE"/>
        </w:rPr>
        <w:t>)</w:t>
      </w:r>
      <w:r w:rsidR="00BD220D">
        <w:rPr>
          <w:szCs w:val="24"/>
          <w:lang w:val="de-DE"/>
        </w:rPr>
        <w:t xml:space="preserve">. Tato </w:t>
      </w:r>
      <w:r w:rsidR="00E13070">
        <w:rPr>
          <w:szCs w:val="24"/>
          <w:lang w:val="de-DE"/>
        </w:rPr>
        <w:t xml:space="preserve">reálná </w:t>
      </w:r>
      <w:r w:rsidR="00BD220D">
        <w:rPr>
          <w:szCs w:val="24"/>
          <w:lang w:val="de-DE"/>
        </w:rPr>
        <w:t xml:space="preserve">svoboda </w:t>
      </w:r>
      <w:r w:rsidR="00244F33">
        <w:rPr>
          <w:szCs w:val="24"/>
          <w:lang w:val="de-DE"/>
        </w:rPr>
        <w:t xml:space="preserve">jednat </w:t>
      </w:r>
      <w:r w:rsidR="00BD220D">
        <w:rPr>
          <w:szCs w:val="24"/>
          <w:lang w:val="de-DE"/>
        </w:rPr>
        <w:t xml:space="preserve">je </w:t>
      </w:r>
      <w:r w:rsidR="00BD220D">
        <w:t>založena</w:t>
      </w:r>
      <w:r>
        <w:t xml:space="preserve"> na extenzi teoretického intelektu do reality, kde pak singulárně působí jako praktický intekt. </w:t>
      </w:r>
      <w:r w:rsidR="00244F33">
        <w:t>Moderna je „prakticky“ p</w:t>
      </w:r>
      <w:r>
        <w:t>aranoická</w:t>
      </w:r>
      <w:r w:rsidR="00413656">
        <w:t>. Nemá et</w:t>
      </w:r>
      <w:r w:rsidR="00E91DF8">
        <w:t xml:space="preserve">ickou a politickou pravdu </w:t>
      </w:r>
      <w:r>
        <w:t xml:space="preserve">jako adekvaci </w:t>
      </w:r>
      <w:r w:rsidR="00E91DF8">
        <w:t xml:space="preserve">v modu </w:t>
      </w:r>
      <w:r w:rsidR="004774F7">
        <w:t>„</w:t>
      </w:r>
      <w:r w:rsidR="00E91DF8" w:rsidRPr="00E91DF8">
        <w:rPr>
          <w:i/>
        </w:rPr>
        <w:t>in artificialibus</w:t>
      </w:r>
      <w:r w:rsidR="004774F7">
        <w:t>“</w:t>
      </w:r>
      <w:r w:rsidR="00E91DF8">
        <w:rPr>
          <w:i/>
        </w:rPr>
        <w:fldChar w:fldCharType="begin"/>
      </w:r>
      <w:r w:rsidR="00E91DF8">
        <w:instrText xml:space="preserve"> XE "</w:instrText>
      </w:r>
      <w:r w:rsidR="00E91DF8" w:rsidRPr="00E91DF8">
        <w:instrText>predikace</w:instrText>
      </w:r>
      <w:r w:rsidR="00E91DF8" w:rsidRPr="00480BB1">
        <w:rPr>
          <w:i/>
        </w:rPr>
        <w:instrText>:in artificialibus</w:instrText>
      </w:r>
      <w:r w:rsidR="00E91DF8">
        <w:instrText xml:space="preserve">" </w:instrText>
      </w:r>
      <w:r w:rsidR="00E91DF8">
        <w:rPr>
          <w:i/>
        </w:rPr>
        <w:fldChar w:fldCharType="end"/>
      </w:r>
      <w:r w:rsidR="00E91DF8">
        <w:t xml:space="preserve"> </w:t>
      </w:r>
      <w:r>
        <w:t xml:space="preserve">a </w:t>
      </w:r>
      <w:r w:rsidR="005C2621">
        <w:t>vinou objek</w:t>
      </w:r>
      <w:r w:rsidR="00E91DF8">
        <w:t xml:space="preserve">tivně chybné dedukce </w:t>
      </w:r>
      <w:r>
        <w:t xml:space="preserve">zrušila </w:t>
      </w:r>
      <w:r w:rsidR="00413656">
        <w:t xml:space="preserve">aristotelský </w:t>
      </w:r>
      <w:r>
        <w:t xml:space="preserve">praktický intelekt. Tím zničila vědecké pojetí praxe podle </w:t>
      </w:r>
      <w:r w:rsidRPr="08FD6693">
        <w:rPr>
          <w:i/>
        </w:rPr>
        <w:t>Druhých analytik</w:t>
      </w:r>
      <w:r>
        <w:t xml:space="preserve"> a nahradila je sofistickými simulákry produkovanými skrze analytickou filosofii praxe podle </w:t>
      </w:r>
      <w:r>
        <w:rPr>
          <w:i/>
        </w:rPr>
        <w:t>Oxf</w:t>
      </w:r>
      <w:r w:rsidRPr="08354284">
        <w:rPr>
          <w:i/>
        </w:rPr>
        <w:t>o</w:t>
      </w:r>
      <w:r>
        <w:rPr>
          <w:i/>
        </w:rPr>
        <w:t>r</w:t>
      </w:r>
      <w:r w:rsidRPr="08354284">
        <w:rPr>
          <w:i/>
        </w:rPr>
        <w:t>dian Fallacy</w:t>
      </w:r>
      <w:r>
        <w:t xml:space="preserve">. </w:t>
      </w:r>
      <w:r w:rsidRPr="00273106">
        <w:t xml:space="preserve">Ockham není moderní, ale pravdivý. Ani teoretický intelekt, ani kauzálně založená příroda nemohou </w:t>
      </w:r>
      <w:r w:rsidRPr="00273106">
        <w:lastRenderedPageBreak/>
        <w:t xml:space="preserve">jednat indiferentně vzhledem k nutnosti správně </w:t>
      </w:r>
      <w:r>
        <w:t>daného teoretického úsudku</w:t>
      </w:r>
      <w:r w:rsidRPr="00273106">
        <w:t xml:space="preserve">, či vzhledem k efektivně působící kauze. </w:t>
      </w:r>
      <w:r w:rsidR="004774F7" w:rsidRPr="004774F7">
        <w:t xml:space="preserve">Nutnost je v teoretickém myšlení určena logickou a metafyzickou formou teoretického intelektu a v přírodě skutečnou kauzalitou prvních fyzikálních substancí. Obě formy nutnosti tvoří </w:t>
      </w:r>
      <w:r w:rsidR="004774F7">
        <w:t xml:space="preserve">efektivní </w:t>
      </w:r>
      <w:r w:rsidR="004774F7" w:rsidRPr="004774F7">
        <w:t>příčinu ve správně daném teoretickém důkaz</w:t>
      </w:r>
      <w:r w:rsidR="004774F7">
        <w:t>u nebo jako účinně danou kauzalitu v přírodě</w:t>
      </w:r>
      <w:r w:rsidR="004774F7" w:rsidRPr="004774F7">
        <w:t xml:space="preserve">. </w:t>
      </w:r>
      <w:r>
        <w:t>Osoba vedená p</w:t>
      </w:r>
      <w:r w:rsidRPr="00273106">
        <w:t>raktický</w:t>
      </w:r>
      <w:r>
        <w:t>m</w:t>
      </w:r>
      <w:r w:rsidRPr="00273106">
        <w:t xml:space="preserve"> intelekt</w:t>
      </w:r>
      <w:r>
        <w:t>em</w:t>
      </w:r>
      <w:r w:rsidRPr="00273106">
        <w:t xml:space="preserve"> svobodně jednat může</w:t>
      </w:r>
      <w:r>
        <w:t xml:space="preserve"> a činí tak skrze singulární působení v realitě. J</w:t>
      </w:r>
      <w:r w:rsidRPr="00273106">
        <w:t>e</w:t>
      </w:r>
      <w:r>
        <w:t xml:space="preserve">jí </w:t>
      </w:r>
      <w:r w:rsidR="000170AC">
        <w:t xml:space="preserve">etická a politická </w:t>
      </w:r>
      <w:r>
        <w:t>racionalita (</w:t>
      </w:r>
      <w:r w:rsidRPr="00BF4AFC">
        <w:rPr>
          <w:i/>
        </w:rPr>
        <w:t>recta ratio</w:t>
      </w:r>
      <w:r>
        <w:rPr>
          <w:i/>
        </w:rPr>
        <w:fldChar w:fldCharType="begin"/>
      </w:r>
      <w:r>
        <w:instrText xml:space="preserve"> XE "etika:</w:instrText>
      </w:r>
      <w:r w:rsidRPr="00363948">
        <w:rPr>
          <w:i/>
        </w:rPr>
        <w:instrText>recta ratio</w:instrText>
      </w:r>
      <w:r>
        <w:instrText xml:space="preserve">" </w:instrText>
      </w:r>
      <w:r>
        <w:rPr>
          <w:i/>
        </w:rPr>
        <w:fldChar w:fldCharType="end"/>
      </w:r>
      <w:r>
        <w:t>) určující zde a nyní správné jednání</w:t>
      </w:r>
      <w:r w:rsidR="00E019FA">
        <w:t>. Osoba j</w:t>
      </w:r>
      <w:r>
        <w:t xml:space="preserve">e </w:t>
      </w:r>
      <w:r w:rsidRPr="00273106">
        <w:t>extenzí</w:t>
      </w:r>
      <w:r>
        <w:t xml:space="preserve"> teoretického intelektu do </w:t>
      </w:r>
      <w:r w:rsidR="00E019FA">
        <w:t>reality</w:t>
      </w:r>
      <w:r w:rsidRPr="00273106">
        <w:t>, kde jedná autonomně</w:t>
      </w:r>
      <w:r>
        <w:t>, tedy kontigentně a nezávisle (</w:t>
      </w:r>
      <w:r w:rsidRPr="008F68F8">
        <w:rPr>
          <w:i/>
        </w:rPr>
        <w:t>contingentia vel indifferentia</w:t>
      </w:r>
      <w:r>
        <w:t>)</w:t>
      </w:r>
      <w:r w:rsidRPr="00273106">
        <w:t xml:space="preserve">. </w:t>
      </w:r>
      <w:r>
        <w:t>P</w:t>
      </w:r>
      <w:r w:rsidRPr="00273106">
        <w:t xml:space="preserve">ravdou </w:t>
      </w:r>
      <w:r>
        <w:t xml:space="preserve">etiky a politiky </w:t>
      </w:r>
      <w:r w:rsidRPr="00273106">
        <w:t xml:space="preserve">je </w:t>
      </w:r>
      <w:r>
        <w:t>svobodný čin (</w:t>
      </w:r>
      <w:r w:rsidRPr="00B87108">
        <w:rPr>
          <w:i/>
        </w:rPr>
        <w:t>opus</w:t>
      </w:r>
      <w:r>
        <w:t xml:space="preserve">) založený na </w:t>
      </w:r>
      <w:r w:rsidRPr="00273106">
        <w:t>správné</w:t>
      </w:r>
      <w:r>
        <w:t>m</w:t>
      </w:r>
      <w:r w:rsidR="00B15FEA">
        <w:t xml:space="preserve"> jednání prozíravé osoby a občana </w:t>
      </w:r>
      <w:r>
        <w:t>(</w:t>
      </w:r>
      <w:r w:rsidRPr="00B92D64">
        <w:rPr>
          <w:i/>
        </w:rPr>
        <w:t>intellectus practicus</w:t>
      </w:r>
      <w:r>
        <w:t>)</w:t>
      </w:r>
      <w:r w:rsidRPr="00273106">
        <w:t>.</w:t>
      </w:r>
      <w:r>
        <w:t xml:space="preserve"> Ockham naposledy a marně připomíná Scotovi a celé moderně, že teoretický intelekt nemá žádnou možnost, jak by mohl v partikulárních situacích jednat sám ze sebe. Teoretický intelekt myslí pouze univerzálně a v řádu logické či metafyzické nutnosti a nemůže v realitě vytvořit žádné </w:t>
      </w:r>
      <w:r w:rsidRPr="08504DF6">
        <w:rPr>
          <w:i/>
        </w:rPr>
        <w:t>opus</w:t>
      </w:r>
      <w:r>
        <w:t>. V kontingentním reálu působí pouze skrze svou extenzi v rámci praktického intelektu</w:t>
      </w:r>
      <w:r w:rsidR="00950EE5">
        <w:t xml:space="preserve">. Teoretický intelekt nemůže </w:t>
      </w:r>
      <w:r w:rsidR="00DC5203">
        <w:t xml:space="preserve">sám ze sebe </w:t>
      </w:r>
      <w:r w:rsidR="00950EE5">
        <w:t xml:space="preserve">vytvořit </w:t>
      </w:r>
      <w:r>
        <w:t>reálnou účinnou kauzalitu</w:t>
      </w:r>
      <w:r w:rsidR="00DC5203">
        <w:t xml:space="preserve">, protože ta je dána </w:t>
      </w:r>
      <w:r>
        <w:t xml:space="preserve">skrze svobodnou </w:t>
      </w:r>
      <w:r w:rsidR="00DC5203">
        <w:t xml:space="preserve">osobu, tj. skrze její vůli, </w:t>
      </w:r>
      <w:r>
        <w:t>chtění a jednání. Tato extenze zakládá rodově odlišnou schopnost poznání</w:t>
      </w:r>
      <w:r w:rsidR="00226116">
        <w:t xml:space="preserve"> a adekvace. Predikace </w:t>
      </w:r>
      <w:r w:rsidR="00226116" w:rsidRPr="00226116">
        <w:rPr>
          <w:i/>
        </w:rPr>
        <w:t>in artificialibus</w:t>
      </w:r>
      <w:r w:rsidR="00226116">
        <w:rPr>
          <w:i/>
        </w:rPr>
        <w:fldChar w:fldCharType="begin"/>
      </w:r>
      <w:r w:rsidR="00226116">
        <w:instrText xml:space="preserve"> XE "</w:instrText>
      </w:r>
      <w:r w:rsidR="00226116" w:rsidRPr="00BC4667">
        <w:instrText>predikace:</w:instrText>
      </w:r>
      <w:r w:rsidR="00226116" w:rsidRPr="00BC4667">
        <w:rPr>
          <w:i/>
        </w:rPr>
        <w:instrText>in artificialibus</w:instrText>
      </w:r>
      <w:r w:rsidR="00226116">
        <w:instrText xml:space="preserve">" </w:instrText>
      </w:r>
      <w:r w:rsidR="00226116">
        <w:rPr>
          <w:i/>
        </w:rPr>
        <w:fldChar w:fldCharType="end"/>
      </w:r>
      <w:r w:rsidR="00226116">
        <w:t xml:space="preserve"> určuje kategoriální genus etické a politické racionality. </w:t>
      </w:r>
      <w:r w:rsidR="003079D9">
        <w:t>Oba</w:t>
      </w:r>
      <w:r w:rsidR="002978B9">
        <w:t xml:space="preserve"> druhy praktického sylogismu mají </w:t>
      </w:r>
      <w:r>
        <w:t xml:space="preserve">vlastní pole působení a vlastní </w:t>
      </w:r>
      <w:r w:rsidR="00FD07D5">
        <w:t xml:space="preserve">způsob, jak </w:t>
      </w:r>
      <w:r>
        <w:t>hled</w:t>
      </w:r>
      <w:r w:rsidR="00FD07D5">
        <w:t>at střed</w:t>
      </w:r>
      <w:r>
        <w:t xml:space="preserve"> mezi </w:t>
      </w:r>
      <w:r w:rsidRPr="004C4FC1">
        <w:rPr>
          <w:i/>
        </w:rPr>
        <w:t>ad hoc</w:t>
      </w:r>
      <w:r>
        <w:t xml:space="preserve"> danými extrémy (</w:t>
      </w:r>
      <w:r w:rsidRPr="00B92704">
        <w:rPr>
          <w:i/>
        </w:rPr>
        <w:t>recta ratio</w:t>
      </w:r>
      <w:r>
        <w:t xml:space="preserve">). </w:t>
      </w:r>
      <w:r w:rsidRPr="00273106">
        <w:t xml:space="preserve">Hermeneutika již několikrát ukázala, jak </w:t>
      </w:r>
      <w:r>
        <w:t xml:space="preserve">spekulativní </w:t>
      </w:r>
      <w:r w:rsidRPr="00273106">
        <w:t>intelekt moderny, o</w:t>
      </w:r>
      <w:r>
        <w:t>d Rufuse počínaje, narcisticky na</w:t>
      </w:r>
      <w:r w:rsidRPr="00273106">
        <w:t xml:space="preserve">hlíží smysl jsoucna </w:t>
      </w:r>
      <w:r>
        <w:t xml:space="preserve">sám v sobě </w:t>
      </w:r>
      <w:r w:rsidRPr="00273106">
        <w:t xml:space="preserve">jako v zrcadle, či v médiu vlastní originální produkce. První averroismus správně viděl, že teoretický intelekt zasáhne do praxe jedině tím, že rezignuje na svůj základní atribut nutnosti a všeobecnosti dané teoreticky. </w:t>
      </w:r>
      <w:r w:rsidR="00A62231">
        <w:t xml:space="preserve">Etické a politické jednání představuje právě z tohoto důvodu „krásné riziko“, jak by řekl Aristoteles. </w:t>
      </w:r>
      <w:r>
        <w:t>Teoretické zkoumání etiky a politiky je možné až ve druhém kroku daném pojmovou abstrakcí (</w:t>
      </w:r>
      <w:r w:rsidRPr="081E2ED7">
        <w:rPr>
          <w:i/>
        </w:rPr>
        <w:t xml:space="preserve">quartum </w:t>
      </w:r>
      <w:r w:rsidR="00962190">
        <w:rPr>
          <w:i/>
        </w:rPr>
        <w:t>genus</w:t>
      </w:r>
      <w:r>
        <w:t>) intendující reálné jednání existující osoby jako první substance (</w:t>
      </w:r>
      <w:r>
        <w:rPr>
          <w:i/>
        </w:rPr>
        <w:t>terti</w:t>
      </w:r>
      <w:r w:rsidRPr="081E2ED7">
        <w:rPr>
          <w:i/>
        </w:rPr>
        <w:t xml:space="preserve">um </w:t>
      </w:r>
      <w:r w:rsidR="00962190">
        <w:rPr>
          <w:i/>
        </w:rPr>
        <w:t>genus</w:t>
      </w:r>
      <w:r>
        <w:t>). Ockhamovo pojetí</w:t>
      </w:r>
      <w:r w:rsidRPr="00273106">
        <w:t xml:space="preserve"> svobody nemá nic společného s</w:t>
      </w:r>
      <w:r>
        <w:t xml:space="preserve"> Oliviho a Scotovou svobodou jako neoplatonským habitem třetího druhu, natož s postmoderní nihilistickou svobodou definovanou jako teoretická</w:t>
      </w:r>
      <w:r w:rsidRPr="00273106">
        <w:t>, ideo</w:t>
      </w:r>
      <w:r>
        <w:t>logická, evoluční, re</w:t>
      </w:r>
      <w:r w:rsidR="006D13E7">
        <w:t>voluční, přírodní či kapita</w:t>
      </w:r>
      <w:r w:rsidR="0061374E">
        <w:t>lis</w:t>
      </w:r>
      <w:r w:rsidR="006D13E7">
        <w:t xml:space="preserve">tická </w:t>
      </w:r>
      <w:r>
        <w:t>nutnost.</w:t>
      </w:r>
    </w:p>
    <w:p w:rsidR="0087075F" w:rsidRDefault="08163013" w:rsidP="08163013">
      <w:r>
        <w:lastRenderedPageBreak/>
        <w:tab/>
      </w:r>
      <w:r w:rsidRPr="00273106">
        <w:t>Redukce praktického sylogismu na teoretickou d</w:t>
      </w:r>
      <w:r>
        <w:t xml:space="preserve">edukci </w:t>
      </w:r>
      <w:r w:rsidR="009D5F5D">
        <w:t xml:space="preserve">měla </w:t>
      </w:r>
      <w:r>
        <w:t>v dějinách latinského Západu fatální následky</w:t>
      </w:r>
      <w:r w:rsidR="00166D0F">
        <w:t>. M</w:t>
      </w:r>
      <w:r w:rsidRPr="00273106">
        <w:t xml:space="preserve">oderna </w:t>
      </w:r>
      <w:r>
        <w:t xml:space="preserve">a postmoderna </w:t>
      </w:r>
      <w:r w:rsidRPr="00273106">
        <w:t xml:space="preserve">zapomněla na </w:t>
      </w:r>
      <w:r w:rsidR="00372EDD">
        <w:t xml:space="preserve">pravdivou </w:t>
      </w:r>
      <w:r w:rsidRPr="00273106">
        <w:t>extenzi teoreti</w:t>
      </w:r>
      <w:r>
        <w:t>ckého intelektu do praktického. Objektivní etická a politická spekulace moderny</w:t>
      </w:r>
      <w:r w:rsidR="000B5964">
        <w:t xml:space="preserve"> </w:t>
      </w:r>
      <w:r w:rsidR="00D22A94">
        <w:t xml:space="preserve">je postavena </w:t>
      </w:r>
      <w:r>
        <w:t>mimo autonomní charakter praktického intelektu</w:t>
      </w:r>
      <w:r w:rsidR="000B5964">
        <w:t xml:space="preserve">. Proto se </w:t>
      </w:r>
      <w:r>
        <w:t xml:space="preserve">stala </w:t>
      </w:r>
      <w:r w:rsidR="000B5964">
        <w:t xml:space="preserve">částí </w:t>
      </w:r>
      <w:r w:rsidRPr="00273106">
        <w:t>teor</w:t>
      </w:r>
      <w:r>
        <w:t>et</w:t>
      </w:r>
      <w:r w:rsidRPr="00273106">
        <w:t>i</w:t>
      </w:r>
      <w:r>
        <w:t>ckého myšlen</w:t>
      </w:r>
      <w:r w:rsidR="00DD3BC2">
        <w:t>í. Hana Arendtová</w:t>
      </w:r>
      <w:r w:rsidR="00DD3BC2">
        <w:fldChar w:fldCharType="begin"/>
      </w:r>
      <w:r w:rsidR="00DD3BC2">
        <w:instrText xml:space="preserve"> XE "</w:instrText>
      </w:r>
      <w:r w:rsidR="00DD3BC2" w:rsidRPr="008A116C">
        <w:instrText>Arendt, H.</w:instrText>
      </w:r>
      <w:r w:rsidR="00DD3BC2">
        <w:instrText xml:space="preserve">" </w:instrText>
      </w:r>
      <w:r w:rsidR="00DD3BC2">
        <w:fldChar w:fldCharType="end"/>
      </w:r>
      <w:r w:rsidR="00DD3BC2">
        <w:t xml:space="preserve"> kritizovala jako základní omyl moderny tuto d</w:t>
      </w:r>
      <w:r w:rsidR="00781DC3">
        <w:t xml:space="preserve">eformaci politiky předělanou </w:t>
      </w:r>
      <w:r>
        <w:t xml:space="preserve">na </w:t>
      </w:r>
      <w:r w:rsidR="00DD3BC2">
        <w:t xml:space="preserve">ekonomickou </w:t>
      </w:r>
      <w:r>
        <w:t>spekulaci</w:t>
      </w:r>
      <w:r w:rsidR="00DD3BC2">
        <w:t xml:space="preserve"> v zájmu pudu sebezáchovy </w:t>
      </w:r>
      <w:r>
        <w:t xml:space="preserve">či </w:t>
      </w:r>
      <w:r w:rsidR="00DD3BC2">
        <w:t xml:space="preserve">zredukovanou </w:t>
      </w:r>
      <w:r>
        <w:t xml:space="preserve">na intimní charakter </w:t>
      </w:r>
      <w:r w:rsidRPr="008B47D6">
        <w:rPr>
          <w:i/>
        </w:rPr>
        <w:t>liberum arbitrium</w:t>
      </w:r>
      <w:r>
        <w:rPr>
          <w:i/>
        </w:rPr>
        <w:fldChar w:fldCharType="begin"/>
      </w:r>
      <w:r>
        <w:instrText xml:space="preserve"> XE "</w:instrText>
      </w:r>
      <w:r w:rsidRPr="00CB7353">
        <w:instrText>vůle:</w:instrText>
      </w:r>
      <w:r w:rsidRPr="00B77DAD">
        <w:rPr>
          <w:i/>
        </w:rPr>
        <w:instrText>liberum arbitrium</w:instrText>
      </w:r>
      <w:r>
        <w:instrText xml:space="preserve">" </w:instrText>
      </w:r>
      <w:r>
        <w:rPr>
          <w:i/>
        </w:rPr>
        <w:fldChar w:fldCharType="end"/>
      </w:r>
      <w:r>
        <w:t xml:space="preserve">. Hermeneutika ukázala, že </w:t>
      </w:r>
      <w:r w:rsidR="00D22A94">
        <w:t>kritiční myslitelé odmítli etickou</w:t>
      </w:r>
      <w:r>
        <w:t xml:space="preserve"> form</w:t>
      </w:r>
      <w:r w:rsidR="00D22A94">
        <w:t>u</w:t>
      </w:r>
      <w:r>
        <w:t xml:space="preserve"> </w:t>
      </w:r>
      <w:r w:rsidRPr="008B47D6">
        <w:rPr>
          <w:i/>
        </w:rPr>
        <w:t>Oxfordian Fallacy</w:t>
      </w:r>
      <w:r w:rsidR="00D22A94">
        <w:t>. V objektivní metafyzice</w:t>
      </w:r>
      <w:r>
        <w:t xml:space="preserve"> Oliviho a Scota </w:t>
      </w:r>
      <w:r w:rsidR="00D22A94">
        <w:t xml:space="preserve">ztratila osoba reálnou svobodu, protože přestala být první reálnou substancí. </w:t>
      </w:r>
      <w:r>
        <w:t>Po zatmění první substance dostalo moderní individuum objektivní simulákrum svobody jako intelektuální náhražku za původní reálnou svobodu</w:t>
      </w:r>
      <w:r>
        <w:rPr>
          <w:i/>
        </w:rPr>
        <w:fldChar w:fldCharType="begin"/>
      </w:r>
      <w:r>
        <w:instrText xml:space="preserve"> XE "</w:instrText>
      </w:r>
      <w:r w:rsidRPr="00A16315">
        <w:rPr>
          <w:i/>
        </w:rPr>
        <w:instrText>Irrtum:</w:instrText>
      </w:r>
      <w:r>
        <w:instrText xml:space="preserve">politická věda" </w:instrText>
      </w:r>
      <w:r>
        <w:rPr>
          <w:i/>
        </w:rPr>
        <w:fldChar w:fldCharType="end"/>
      </w:r>
      <w:r>
        <w:t xml:space="preserve">. Cesta </w:t>
      </w:r>
      <w:r w:rsidRPr="08A84CC2">
        <w:rPr>
          <w:i/>
        </w:rPr>
        <w:t>Modernorum</w:t>
      </w:r>
      <w:r>
        <w:t xml:space="preserve"> vedla od scotismu k </w:t>
      </w:r>
      <w:r w:rsidR="009F663E">
        <w:t>post</w:t>
      </w:r>
      <w:r>
        <w:t>moderní ideologii liberalismu</w:t>
      </w:r>
      <w:r w:rsidR="004719C3">
        <w:t xml:space="preserve"> ve dvou krocích</w:t>
      </w:r>
      <w:r>
        <w:t xml:space="preserve">. První </w:t>
      </w:r>
      <w:r w:rsidR="00D22A94">
        <w:t xml:space="preserve">krok </w:t>
      </w:r>
      <w:r>
        <w:t>založil romantickou intimitu osobní svobodné vůle jako substan</w:t>
      </w:r>
      <w:r w:rsidR="00D22A94">
        <w:t xml:space="preserve">ce třetího druhu (Olivi). Druhý krok </w:t>
      </w:r>
      <w:r>
        <w:t xml:space="preserve">vedla k deterministické koncepci dějin jako nihilistického pohybu různých forem </w:t>
      </w:r>
      <w:r w:rsidRPr="009409A7">
        <w:rPr>
          <w:i/>
        </w:rPr>
        <w:t>scibile</w:t>
      </w:r>
      <w:r>
        <w:t xml:space="preserve"> (Scotus). Ockhamova obrana etické a politické praxe podržela Albertovo a Sigerovo pojetí extenze teoretického intelektu do praktického, kterou hájil Dante</w:t>
      </w:r>
      <w:r>
        <w:fldChar w:fldCharType="begin"/>
      </w:r>
      <w:r>
        <w:instrText xml:space="preserve"> XE "</w:instrText>
      </w:r>
      <w:r w:rsidRPr="00E871B9">
        <w:instrText>Dante, A.</w:instrText>
      </w:r>
      <w:r>
        <w:instrText xml:space="preserve">" </w:instrText>
      </w:r>
      <w:r>
        <w:fldChar w:fldCharType="end"/>
      </w:r>
      <w:r>
        <w:t xml:space="preserve"> ve spisu </w:t>
      </w:r>
      <w:r w:rsidRPr="006A04DD">
        <w:rPr>
          <w:i/>
        </w:rPr>
        <w:t>Monarchia</w:t>
      </w:r>
      <w:r>
        <w:t xml:space="preserve">. </w:t>
      </w:r>
      <w:r w:rsidR="000A4794">
        <w:t>Reálná s</w:t>
      </w:r>
      <w:r>
        <w:t xml:space="preserve">voboda </w:t>
      </w:r>
      <w:r w:rsidR="000A4794">
        <w:t xml:space="preserve">v Averroesově modu </w:t>
      </w:r>
      <w:r w:rsidR="000A4794" w:rsidRPr="000A4794">
        <w:rPr>
          <w:i/>
        </w:rPr>
        <w:t xml:space="preserve">tertium </w:t>
      </w:r>
      <w:r w:rsidR="00962190">
        <w:rPr>
          <w:i/>
        </w:rPr>
        <w:t>genus</w:t>
      </w:r>
      <w:r w:rsidR="000A4794">
        <w:t xml:space="preserve"> </w:t>
      </w:r>
      <w:r>
        <w:t xml:space="preserve">není </w:t>
      </w:r>
      <w:r w:rsidRPr="00273106">
        <w:t>teoretický koncept nazíraný moderně-objektivně či postmoderně-ideologicky v totalitních koncepcích toho či onoho završení dějin.</w:t>
      </w:r>
      <w:r w:rsidRPr="00A97BDE">
        <w:t xml:space="preserve"> </w:t>
      </w:r>
      <w:r>
        <w:t xml:space="preserve">Praktická </w:t>
      </w:r>
      <w:r w:rsidRPr="00273106">
        <w:t xml:space="preserve">verze </w:t>
      </w:r>
      <w:r w:rsidRPr="00273106">
        <w:rPr>
          <w:i/>
        </w:rPr>
        <w:t>Oxfordian Fallacy</w:t>
      </w:r>
      <w:r>
        <w:rPr>
          <w:i/>
        </w:rPr>
        <w:fldChar w:fldCharType="begin"/>
      </w:r>
      <w:r>
        <w:instrText xml:space="preserve"> XE "</w:instrText>
      </w:r>
      <w:r w:rsidRPr="0015798D">
        <w:rPr>
          <w:i/>
        </w:rPr>
        <w:instrText>Oxfordian Fallacy:</w:instrText>
      </w:r>
      <w:r>
        <w:instrText xml:space="preserve">etika" </w:instrText>
      </w:r>
      <w:r>
        <w:rPr>
          <w:i/>
        </w:rPr>
        <w:fldChar w:fldCharType="end"/>
      </w:r>
      <w:r w:rsidRPr="00273106">
        <w:t xml:space="preserve"> </w:t>
      </w:r>
      <w:r>
        <w:t xml:space="preserve">daná modernisty </w:t>
      </w:r>
      <w:r w:rsidRPr="00273106">
        <w:t>připravila cestu totalitní</w:t>
      </w:r>
      <w:r w:rsidR="00594EB7">
        <w:t>m politickým ideologiím</w:t>
      </w:r>
      <w:r w:rsidRPr="00273106">
        <w:t>.</w:t>
      </w:r>
      <w:r>
        <w:t xml:space="preserve"> Po zatmění praktického intelektu nahlíží t</w:t>
      </w:r>
      <w:r w:rsidRPr="00273106">
        <w:t xml:space="preserve">eoretický intelekt </w:t>
      </w:r>
      <w:r w:rsidRPr="00273106">
        <w:rPr>
          <w:i/>
        </w:rPr>
        <w:t>Modernorum</w:t>
      </w:r>
      <w:r w:rsidRPr="00273106">
        <w:t xml:space="preserve"> </w:t>
      </w:r>
      <w:r w:rsidR="00B12437">
        <w:t>lidské</w:t>
      </w:r>
      <w:r w:rsidRPr="00273106">
        <w:t xml:space="preserve"> jednání skrze autonomní </w:t>
      </w:r>
      <w:r w:rsidRPr="00273106">
        <w:rPr>
          <w:i/>
        </w:rPr>
        <w:t>intellectus agens</w:t>
      </w:r>
      <w:r>
        <w:rPr>
          <w:i/>
        </w:rPr>
        <w:fldChar w:fldCharType="begin"/>
      </w:r>
      <w:r>
        <w:instrText xml:space="preserve"> XE "</w:instrText>
      </w:r>
      <w:r w:rsidRPr="00490D32">
        <w:rPr>
          <w:i/>
        </w:rPr>
        <w:instrText>intellectus agens:</w:instrText>
      </w:r>
      <w:r>
        <w:instrText xml:space="preserve">moderna" </w:instrText>
      </w:r>
      <w:r>
        <w:rPr>
          <w:i/>
        </w:rPr>
        <w:fldChar w:fldCharType="end"/>
      </w:r>
      <w:r>
        <w:t xml:space="preserve">. Jeho </w:t>
      </w:r>
      <w:r w:rsidRPr="00273106">
        <w:t xml:space="preserve">domnělou superioritu </w:t>
      </w:r>
      <w:r>
        <w:t xml:space="preserve">v praxi </w:t>
      </w:r>
      <w:r w:rsidRPr="00273106">
        <w:t xml:space="preserve">postavil tím, že přidal </w:t>
      </w:r>
      <w:r>
        <w:t xml:space="preserve">teoretickému intelektu </w:t>
      </w:r>
      <w:r w:rsidRPr="00273106">
        <w:t xml:space="preserve">kauzální účinnost skrze </w:t>
      </w:r>
      <w:r>
        <w:t xml:space="preserve">objektivně pojatý habitus nebo nějakou formu ideologie. Kant podržel primát </w:t>
      </w:r>
      <w:r w:rsidRPr="00273106">
        <w:t xml:space="preserve">teoretické vědy </w:t>
      </w:r>
      <w:r>
        <w:t xml:space="preserve">nad praktickým rozumem skrze kategorický imperativ a univerzalizaci maxim. Tím </w:t>
      </w:r>
      <w:r w:rsidRPr="00273106">
        <w:t xml:space="preserve">založil </w:t>
      </w:r>
      <w:r>
        <w:t>objektivní etiku</w:t>
      </w:r>
      <w:r w:rsidRPr="002E524F">
        <w:t xml:space="preserve"> </w:t>
      </w:r>
      <w:r>
        <w:t>v osvícenské postmoderně</w:t>
      </w:r>
      <w:r w:rsidRPr="00273106">
        <w:t>.</w:t>
      </w:r>
      <w:r>
        <w:t xml:space="preserve"> Kantovi </w:t>
      </w:r>
      <w:r w:rsidR="008E66A1">
        <w:t xml:space="preserve">oponenti </w:t>
      </w:r>
      <w:r>
        <w:t xml:space="preserve">namítali, že princip univerzalizace a formalizace daný v rámci kategorického imperativu může vést v konkrétním případě k nemorálnímu a k nespravedlivému jednání. Hegel kritizoval Kantovu </w:t>
      </w:r>
      <w:r w:rsidR="00811DF2">
        <w:t>„</w:t>
      </w:r>
      <w:r>
        <w:t>etickou tautologii</w:t>
      </w:r>
      <w:r w:rsidR="00811DF2">
        <w:t>“</w:t>
      </w:r>
      <w:r>
        <w:t xml:space="preserve"> ve studii </w:t>
      </w:r>
      <w:r w:rsidRPr="00825665">
        <w:t>z roku 1803.</w:t>
      </w:r>
      <w:r>
        <w:rPr>
          <w:rStyle w:val="Znakapoznpodarou"/>
        </w:rPr>
        <w:footnoteReference w:id="587"/>
      </w:r>
      <w:r>
        <w:t xml:space="preserve"> </w:t>
      </w:r>
      <w:r w:rsidR="00811DF2">
        <w:t xml:space="preserve">Hegel </w:t>
      </w:r>
      <w:r w:rsidR="00EF3DF1">
        <w:t>změnil Kantovu</w:t>
      </w:r>
      <w:r w:rsidR="00811DF2">
        <w:t xml:space="preserve"> </w:t>
      </w:r>
      <w:r w:rsidR="00811DF2">
        <w:lastRenderedPageBreak/>
        <w:t xml:space="preserve">objektivní </w:t>
      </w:r>
      <w:r w:rsidR="00EF3DF1">
        <w:t xml:space="preserve">etiku </w:t>
      </w:r>
      <w:r w:rsidR="00811DF2">
        <w:t>na dějiny absolutního myšlení. Marx</w:t>
      </w:r>
      <w:r w:rsidR="00811DF2">
        <w:fldChar w:fldCharType="begin"/>
      </w:r>
      <w:r w:rsidR="00811DF2">
        <w:instrText xml:space="preserve"> XE "</w:instrText>
      </w:r>
      <w:r w:rsidR="00811DF2" w:rsidRPr="005E648A">
        <w:instrText>Marx, K.</w:instrText>
      </w:r>
      <w:r w:rsidR="00811DF2">
        <w:instrText xml:space="preserve">" </w:instrText>
      </w:r>
      <w:r w:rsidR="00811DF2">
        <w:fldChar w:fldCharType="end"/>
      </w:r>
      <w:r w:rsidR="00811DF2">
        <w:t xml:space="preserve"> krit</w:t>
      </w:r>
      <w:r w:rsidR="0004132B">
        <w:t>i</w:t>
      </w:r>
      <w:r w:rsidR="00811DF2">
        <w:t xml:space="preserve">zoval </w:t>
      </w:r>
      <w:r>
        <w:t>zcest</w:t>
      </w:r>
      <w:r w:rsidR="00811DF2">
        <w:t xml:space="preserve">né myšlení německého idealismu v díle </w:t>
      </w:r>
      <w:r w:rsidRPr="004319BD">
        <w:rPr>
          <w:i/>
        </w:rPr>
        <w:t>Die deutsche Ideologie</w:t>
      </w:r>
      <w:r w:rsidR="00811DF2" w:rsidRPr="00811DF2">
        <w:t xml:space="preserve"> (1836</w:t>
      </w:r>
      <w:r w:rsidRPr="00811DF2">
        <w:t>)</w:t>
      </w:r>
      <w:r w:rsidRPr="00273106">
        <w:t xml:space="preserve">. </w:t>
      </w:r>
      <w:r>
        <w:t xml:space="preserve">Moderna od Scota až po </w:t>
      </w:r>
      <w:r w:rsidRPr="00273106">
        <w:t>diale</w:t>
      </w:r>
      <w:r>
        <w:t>k</w:t>
      </w:r>
      <w:r w:rsidRPr="00273106">
        <w:t>tick</w:t>
      </w:r>
      <w:r>
        <w:t>ého Hegela</w:t>
      </w:r>
      <w:r>
        <w:fldChar w:fldCharType="begin"/>
      </w:r>
      <w:r>
        <w:instrText xml:space="preserve"> XE "</w:instrText>
      </w:r>
      <w:r w:rsidRPr="00710C16">
        <w:instrText>Hegel, G. W.</w:instrText>
      </w:r>
      <w:r>
        <w:instrText xml:space="preserve">" </w:instrText>
      </w:r>
      <w:r>
        <w:fldChar w:fldCharType="end"/>
      </w:r>
      <w:r>
        <w:t xml:space="preserve"> více či méně zapomněla</w:t>
      </w:r>
      <w:r w:rsidRPr="00273106">
        <w:t xml:space="preserve">, že skutečná svoboda je dána pouze v reálném jednání jednotlivce. </w:t>
      </w:r>
      <w:r>
        <w:t xml:space="preserve">Myšlení metafyzického nihilismu </w:t>
      </w:r>
      <w:r w:rsidR="0007678A">
        <w:t xml:space="preserve">ve 20. a 21. století </w:t>
      </w:r>
      <w:r>
        <w:t>se narcisticky</w:t>
      </w:r>
      <w:r w:rsidR="0007678A">
        <w:t xml:space="preserve"> kontempluje v zrcadle vlastních</w:t>
      </w:r>
      <w:r>
        <w:t xml:space="preserve"> </w:t>
      </w:r>
      <w:r w:rsidR="0007678A">
        <w:rPr>
          <w:i/>
        </w:rPr>
        <w:t>scibilia</w:t>
      </w:r>
      <w:r>
        <w:t xml:space="preserve">. Vyhlazovací tábory technicky-efektivně ukázaly, že v absolutním pohybu ideje hnané instrumentální racionalitou pudu sebezáchovy se objektivně pojaté </w:t>
      </w:r>
      <w:r w:rsidR="00F31CA9">
        <w:t>„</w:t>
      </w:r>
      <w:r>
        <w:t>konkrétní individuum</w:t>
      </w:r>
      <w:r w:rsidR="00F31CA9">
        <w:t>“</w:t>
      </w:r>
      <w:r>
        <w:t xml:space="preserve"> nakonec stane úplně nadbytečným. V sebezáchovné logice třídně daného zájmu a ideologicky zdůvoděného pohybu dějin k imanentně určenému cíli je potřeba tuto neposlušnou materii zničit. Epocha praktického nihilismu zařídila po smrti moderního boha i smrt postmoderního subjektu. </w:t>
      </w:r>
    </w:p>
    <w:p w:rsidR="08163013" w:rsidRPr="08C44F73" w:rsidRDefault="0087075F" w:rsidP="08163013">
      <w:r w:rsidRPr="0087075F">
        <w:t xml:space="preserve">Ockhamova kritika moderní etiky nastínila moderní verzi </w:t>
      </w:r>
      <w:r w:rsidRPr="0087075F">
        <w:rPr>
          <w:i/>
        </w:rPr>
        <w:t>dativus incommodi</w:t>
      </w:r>
      <w:r w:rsidRPr="0087075F">
        <w:t>, která se týkala zastínění svobodných osob. Aristoteles by řekl, že po z</w:t>
      </w:r>
      <w:r>
        <w:t>trátě svobody není rozdíl mezi „</w:t>
      </w:r>
      <w:r w:rsidRPr="0087075F">
        <w:rPr>
          <w:i/>
        </w:rPr>
        <w:t>animal sociale</w:t>
      </w:r>
      <w:r>
        <w:t>“</w:t>
      </w:r>
      <w:r w:rsidRPr="0087075F">
        <w:t xml:space="preserve"> člověka a zvířat.</w:t>
      </w:r>
      <w:r>
        <w:t xml:space="preserve"> Proto postmoderna měla jedno společné procesní právo pro obě </w:t>
      </w:r>
      <w:r w:rsidR="002A3AAE">
        <w:t xml:space="preserve">formy „zvířat“ </w:t>
      </w:r>
      <w:r>
        <w:t xml:space="preserve">(kap. 5.5). </w:t>
      </w:r>
      <w:r w:rsidRPr="0087075F">
        <w:t xml:space="preserve">Dvě světové války a totalita nahradily </w:t>
      </w:r>
      <w:r>
        <w:t xml:space="preserve">„člověka“ jako </w:t>
      </w:r>
      <w:r w:rsidRPr="0087075F">
        <w:t>teo</w:t>
      </w:r>
      <w:r>
        <w:t>reticky postulované</w:t>
      </w:r>
      <w:r w:rsidRPr="0087075F">
        <w:t xml:space="preserve"> a objektivn</w:t>
      </w:r>
      <w:r>
        <w:t xml:space="preserve">í </w:t>
      </w:r>
      <w:r w:rsidRPr="0087075F">
        <w:rPr>
          <w:i/>
        </w:rPr>
        <w:t>scibile</w:t>
      </w:r>
      <w:r w:rsidRPr="0087075F">
        <w:t xml:space="preserve"> ideálně správnou logickou praxí, která aktualizovala dřívější druhy </w:t>
      </w:r>
      <w:r w:rsidRPr="088C6F09">
        <w:rPr>
          <w:i/>
        </w:rPr>
        <w:t>Oxfordian Fallacy</w:t>
      </w:r>
      <w:r w:rsidRPr="0087075F">
        <w:t>. Arendtová</w:t>
      </w:r>
      <w:r>
        <w:fldChar w:fldCharType="begin"/>
      </w:r>
      <w:r>
        <w:instrText xml:space="preserve"> XE "</w:instrText>
      </w:r>
      <w:r w:rsidRPr="00456983">
        <w:instrText>Arendt, H.</w:instrText>
      </w:r>
      <w:r>
        <w:instrText xml:space="preserve">" </w:instrText>
      </w:r>
      <w:r>
        <w:fldChar w:fldCharType="end"/>
      </w:r>
      <w:r w:rsidRPr="0087075F">
        <w:t xml:space="preserve"> znovu nalezla autonomii politické racionality podle Aristotela. Tato odvážná politická aktivistka a brilantní myslitelka navázala v Aristotelově pojetí povahy politiky na kritické myslitele reálné praxe (např. Niccolò Machiavelliho</w:t>
      </w:r>
      <w:r>
        <w:fldChar w:fldCharType="begin"/>
      </w:r>
      <w:r>
        <w:instrText xml:space="preserve"> XE "</w:instrText>
      </w:r>
      <w:r w:rsidRPr="008B1D34">
        <w:instrText>Machiavelli, N.</w:instrText>
      </w:r>
      <w:r>
        <w:instrText xml:space="preserve">" </w:instrText>
      </w:r>
      <w:r>
        <w:fldChar w:fldCharType="end"/>
      </w:r>
      <w:r w:rsidRPr="0087075F">
        <w:t xml:space="preserve"> a Alexise de Tocquevilla</w:t>
      </w:r>
      <w:r>
        <w:fldChar w:fldCharType="begin"/>
      </w:r>
      <w:r>
        <w:instrText xml:space="preserve"> XE "</w:instrText>
      </w:r>
      <w:r w:rsidRPr="00127067">
        <w:instrText>Tocqueville, A.</w:instrText>
      </w:r>
      <w:r>
        <w:instrText xml:space="preserve">" </w:instrText>
      </w:r>
      <w:r>
        <w:fldChar w:fldCharType="end"/>
      </w:r>
      <w:r w:rsidRPr="0087075F">
        <w:t>), aby podpořila politický odkaz prvního averroismu.</w:t>
      </w:r>
    </w:p>
    <w:p w:rsidR="00593F3F" w:rsidRDefault="08163013" w:rsidP="08163013">
      <w:r>
        <w:tab/>
        <w:t xml:space="preserve">Obnovený </w:t>
      </w:r>
      <w:r w:rsidRPr="00273106">
        <w:t xml:space="preserve">výklad Aristotelovy </w:t>
      </w:r>
      <w:r w:rsidRPr="08EF77EB">
        <w:rPr>
          <w:i/>
        </w:rPr>
        <w:t>Etiky</w:t>
      </w:r>
      <w:r w:rsidRPr="00273106">
        <w:t xml:space="preserve"> </w:t>
      </w:r>
      <w:r>
        <w:t xml:space="preserve">v duchu prvního averroismu určil také </w:t>
      </w:r>
      <w:r w:rsidRPr="00273106">
        <w:t>Ockhamův výklad politické praxe</w:t>
      </w:r>
      <w:r>
        <w:t xml:space="preserve"> nutně poznamenané konfliktním děním jeho doby. </w:t>
      </w:r>
      <w:r w:rsidR="00E94B28">
        <w:t xml:space="preserve">Jeho </w:t>
      </w:r>
      <w:r w:rsidR="00E94B28" w:rsidRPr="00273106">
        <w:t>politické díl</w:t>
      </w:r>
      <w:r w:rsidR="00E94B28">
        <w:t>o</w:t>
      </w:r>
      <w:r w:rsidR="00E94B28" w:rsidRPr="00273106">
        <w:t xml:space="preserve"> </w:t>
      </w:r>
      <w:r w:rsidR="00E94B28">
        <w:t xml:space="preserve">se vytvářelo </w:t>
      </w:r>
      <w:r w:rsidR="00E94B28" w:rsidRPr="00273106">
        <w:t>v situaci boje mezi papežskou a světskou mocí</w:t>
      </w:r>
      <w:r w:rsidR="00E94B28">
        <w:t>. Zredukujeme tuto s</w:t>
      </w:r>
      <w:r w:rsidRPr="00273106">
        <w:t xml:space="preserve">ložitou problematiku na hledání </w:t>
      </w:r>
      <w:r>
        <w:t xml:space="preserve">základní </w:t>
      </w:r>
      <w:r w:rsidRPr="00273106">
        <w:t>formy politické</w:t>
      </w:r>
      <w:r>
        <w:t xml:space="preserve"> racionality. Předešlá kritika scotismu exponovala pouze obranu praktické racionality v etickém jednání</w:t>
      </w:r>
      <w:r w:rsidRPr="00273106">
        <w:t xml:space="preserve">. Politická racionalita </w:t>
      </w:r>
      <w:r>
        <w:t xml:space="preserve">ale </w:t>
      </w:r>
      <w:r w:rsidRPr="00273106">
        <w:t>musí obsahovat</w:t>
      </w:r>
      <w:r w:rsidR="00A0419A">
        <w:t xml:space="preserve"> jak </w:t>
      </w:r>
      <w:r w:rsidR="00A8404A">
        <w:t xml:space="preserve">tvorbu </w:t>
      </w:r>
      <w:r w:rsidR="00A0419A">
        <w:t>spole</w:t>
      </w:r>
      <w:r w:rsidR="00A8404A">
        <w:t>čných</w:t>
      </w:r>
      <w:r w:rsidR="00A0419A">
        <w:t xml:space="preserve"> zákon</w:t>
      </w:r>
      <w:r w:rsidR="00A8404A">
        <w:t>ů</w:t>
      </w:r>
      <w:r w:rsidRPr="00273106">
        <w:t xml:space="preserve">, tak i nový střed praktického sylogismu daný skrze politickou praxi </w:t>
      </w:r>
      <w:r w:rsidR="00A0419A">
        <w:t>občanů</w:t>
      </w:r>
      <w:r w:rsidRPr="00273106">
        <w:t>. Hermeneutika hledá v politickém díle Ockh</w:t>
      </w:r>
      <w:r>
        <w:t xml:space="preserve">ama paralelu k Albertově pojmu </w:t>
      </w:r>
      <w:r w:rsidR="003F6E12">
        <w:t>„</w:t>
      </w:r>
      <w:r w:rsidRPr="00273106">
        <w:rPr>
          <w:i/>
        </w:rPr>
        <w:t>regnabile</w:t>
      </w:r>
      <w:r w:rsidR="003F6E12">
        <w:t>“</w:t>
      </w:r>
      <w:r>
        <w:rPr>
          <w:i/>
        </w:rPr>
        <w:fldChar w:fldCharType="begin"/>
      </w:r>
      <w:r>
        <w:instrText xml:space="preserve"> XE "politická racionalita:</w:instrText>
      </w:r>
      <w:r w:rsidRPr="00A74B76">
        <w:rPr>
          <w:i/>
        </w:rPr>
        <w:instrText>regnabile</w:instrText>
      </w:r>
      <w:r>
        <w:instrText xml:space="preserve">" </w:instrText>
      </w:r>
      <w:r>
        <w:rPr>
          <w:i/>
        </w:rPr>
        <w:fldChar w:fldCharType="end"/>
      </w:r>
      <w:r w:rsidR="000747C6">
        <w:t xml:space="preserve"> (kap. 6</w:t>
      </w:r>
      <w:r w:rsidRPr="00273106">
        <w:t>.2). Tento pojem založil moderní f</w:t>
      </w:r>
      <w:r w:rsidR="00D24898">
        <w:t>ormu právního státu s mocí lidu</w:t>
      </w:r>
      <w:r w:rsidR="00D24898" w:rsidRPr="00D24898">
        <w:t>, která je oddělena jak od politic</w:t>
      </w:r>
      <w:r w:rsidR="00D24898">
        <w:t xml:space="preserve">kých režimů </w:t>
      </w:r>
      <w:r w:rsidR="00D24898">
        <w:lastRenderedPageBreak/>
        <w:t>vytvořených formou „</w:t>
      </w:r>
      <w:r w:rsidR="00D24898" w:rsidRPr="00D24898">
        <w:rPr>
          <w:i/>
        </w:rPr>
        <w:t>regnativus</w:t>
      </w:r>
      <w:r w:rsidR="00D24898">
        <w:t>“</w:t>
      </w:r>
      <w:r w:rsidR="00D24898" w:rsidRPr="00D24898">
        <w:t xml:space="preserve">, tak od církevní </w:t>
      </w:r>
      <w:r w:rsidR="00D24898">
        <w:t xml:space="preserve">autority </w:t>
      </w:r>
      <w:r w:rsidR="00D24898" w:rsidRPr="00D24898">
        <w:t xml:space="preserve">určené božím zákonem. </w:t>
      </w:r>
      <w:r w:rsidRPr="00273106">
        <w:t xml:space="preserve">Základním průvodcem bude dílo </w:t>
      </w:r>
      <w:r w:rsidRPr="00273106">
        <w:rPr>
          <w:i/>
        </w:rPr>
        <w:t>Dialogus</w:t>
      </w:r>
      <w:r w:rsidRPr="00273106">
        <w:t xml:space="preserve"> psané zhruba od </w:t>
      </w:r>
      <w:r>
        <w:t xml:space="preserve">roku </w:t>
      </w:r>
      <w:r w:rsidRPr="00273106">
        <w:t>1333 až do mistrovy smrti (1348).</w:t>
      </w:r>
      <w:r w:rsidRPr="00273106">
        <w:rPr>
          <w:rStyle w:val="Znakapoznpodarou"/>
        </w:rPr>
        <w:footnoteReference w:id="588"/>
      </w:r>
      <w:r w:rsidRPr="00273106">
        <w:t xml:space="preserve"> Ockham </w:t>
      </w:r>
      <w:r>
        <w:t xml:space="preserve">hledá pravdivý střed církevní a světské moci </w:t>
      </w:r>
      <w:r w:rsidRPr="00273106">
        <w:t xml:space="preserve">v situaci </w:t>
      </w:r>
      <w:r>
        <w:t xml:space="preserve">mocenského a ideologického zápasu </w:t>
      </w:r>
      <w:r w:rsidRPr="00273106">
        <w:t>mezi papež</w:t>
      </w:r>
      <w:r>
        <w:t xml:space="preserve">em Janem XXII. a králem Ludvíkem IV. Bavorským. Po úspěšném útěku z Avignonu má Ockham znovu na stole </w:t>
      </w:r>
      <w:r w:rsidRPr="00273106">
        <w:t xml:space="preserve">výše uvedenou Albertovu a Sigerovu otázku, která založila automní politickou filosofii postavenou mimo sofismata </w:t>
      </w:r>
      <w:r w:rsidRPr="00273106">
        <w:rPr>
          <w:i/>
        </w:rPr>
        <w:t>Modernorum</w:t>
      </w:r>
      <w:r w:rsidRPr="00273106">
        <w:t xml:space="preserve">. Stát mají řídit spravedlivé zákony, a ne </w:t>
      </w:r>
      <w:r>
        <w:t>pouze správný úsudek čestných a spravedlivých občanů (</w:t>
      </w:r>
      <w:r w:rsidRPr="00093675">
        <w:rPr>
          <w:i/>
        </w:rPr>
        <w:t>recta ratio</w:t>
      </w:r>
      <w:r>
        <w:t>)</w:t>
      </w:r>
      <w:r w:rsidRPr="00273106">
        <w:t xml:space="preserve">. </w:t>
      </w:r>
      <w:r>
        <w:t>Proto je vyloučeno, aby za základní míru vztahu církevní a světské moci byla vzata osobní rozhodnutí politiků a papežů. Natož problematických</w:t>
      </w:r>
      <w:r w:rsidRPr="00273106">
        <w:t xml:space="preserve"> </w:t>
      </w:r>
      <w:r>
        <w:t>avignonských</w:t>
      </w:r>
      <w:r w:rsidRPr="00273106">
        <w:t xml:space="preserve"> </w:t>
      </w:r>
      <w:r>
        <w:t>papežů</w:t>
      </w:r>
      <w:r w:rsidRPr="00273106">
        <w:t xml:space="preserve"> jako Jan XXII., kterého považovala </w:t>
      </w:r>
      <w:r>
        <w:t xml:space="preserve">velká </w:t>
      </w:r>
      <w:r w:rsidRPr="00273106">
        <w:t>část latinských křesťanů</w:t>
      </w:r>
      <w:r w:rsidRPr="08000D49">
        <w:t xml:space="preserve"> </w:t>
      </w:r>
      <w:r w:rsidRPr="00273106">
        <w:t>za heretika</w:t>
      </w:r>
      <w:r>
        <w:t xml:space="preserve">. </w:t>
      </w:r>
      <w:r w:rsidRPr="00273106">
        <w:t xml:space="preserve">Ockham sleduje v časech politických a církevních zápasů </w:t>
      </w:r>
      <w:r>
        <w:t xml:space="preserve">daných po vydání buly </w:t>
      </w:r>
      <w:r>
        <w:rPr>
          <w:i/>
        </w:rPr>
        <w:t>Unam Sanctam</w:t>
      </w:r>
      <w:r>
        <w:rPr>
          <w:i/>
        </w:rPr>
        <w:fldChar w:fldCharType="begin"/>
      </w:r>
      <w:r>
        <w:instrText xml:space="preserve"> XE "</w:instrText>
      </w:r>
      <w:r>
        <w:rPr>
          <w:i/>
        </w:rPr>
        <w:instrText>Unam Sanctam</w:instrText>
      </w:r>
      <w:r>
        <w:instrText xml:space="preserve">" </w:instrText>
      </w:r>
      <w:r>
        <w:rPr>
          <w:i/>
        </w:rPr>
        <w:fldChar w:fldCharType="end"/>
      </w:r>
      <w:r>
        <w:t xml:space="preserve"> </w:t>
      </w:r>
      <w:r w:rsidRPr="00273106">
        <w:t>jinou problematiku, než jakou měl před sebou Albert nebo Siger</w:t>
      </w:r>
      <w:r w:rsidRPr="00983142">
        <w:t xml:space="preserve"> </w:t>
      </w:r>
      <w:r w:rsidRPr="00273106">
        <w:t>v minulé generaci. Františkánský magistr se ptá, odkud se bere světská a církevní moc a jak je předává</w:t>
      </w:r>
      <w:r>
        <w:t xml:space="preserve">na. </w:t>
      </w:r>
      <w:r w:rsidR="00C93230">
        <w:t>Translaci</w:t>
      </w:r>
      <w:r>
        <w:t xml:space="preserve"> duchovní a světské moci </w:t>
      </w:r>
      <w:r w:rsidR="00C93230">
        <w:t xml:space="preserve">dané </w:t>
      </w:r>
      <w:r>
        <w:t xml:space="preserve">v rámci </w:t>
      </w:r>
      <w:r w:rsidRPr="007A082B">
        <w:rPr>
          <w:i/>
        </w:rPr>
        <w:t>Imperiu</w:t>
      </w:r>
      <w:r>
        <w:rPr>
          <w:i/>
        </w:rPr>
        <w:t>m Roman</w:t>
      </w:r>
      <w:r w:rsidRPr="007A082B">
        <w:rPr>
          <w:i/>
        </w:rPr>
        <w:t>um</w:t>
      </w:r>
      <w:r>
        <w:t xml:space="preserve"> je možné filosoficky vyřešit jen tím, že se objasní funda</w:t>
      </w:r>
      <w:r w:rsidR="00593F3F">
        <w:t>mentální povaha politické moci.</w:t>
      </w:r>
    </w:p>
    <w:p w:rsidR="08163013" w:rsidRDefault="00593F3F" w:rsidP="00593F3F">
      <w:pPr>
        <w:ind w:firstLine="397"/>
      </w:pPr>
      <w:r>
        <w:t>První p</w:t>
      </w:r>
      <w:r w:rsidR="08163013" w:rsidRPr="00273106">
        <w:t>ředání politické moci vychází od boha k člověku formou pov</w:t>
      </w:r>
      <w:r>
        <w:t xml:space="preserve">ěření k vládě a je dáno hned při </w:t>
      </w:r>
      <w:r w:rsidR="08163013" w:rsidRPr="00273106">
        <w:t>stvoření</w:t>
      </w:r>
      <w:r>
        <w:t xml:space="preserve"> světa</w:t>
      </w:r>
      <w:r w:rsidR="08163013" w:rsidRPr="00273106">
        <w:t>: „Naplňte zemi a podmaňte ji a panujte nad mořskými rybami, nad nebeským ptactvem, nade vším živým, co se na zemi hýbe.“ (</w:t>
      </w:r>
      <w:r w:rsidR="00984096" w:rsidRPr="00984096">
        <w:rPr>
          <w:i/>
        </w:rPr>
        <w:t>Genesis</w:t>
      </w:r>
      <w:r w:rsidR="08163013" w:rsidRPr="00273106">
        <w:t xml:space="preserve"> 1:28</w:t>
      </w:r>
      <w:r w:rsidR="08163013">
        <w:fldChar w:fldCharType="begin"/>
      </w:r>
      <w:r w:rsidR="08163013">
        <w:instrText xml:space="preserve"> XE "Starý zákon:</w:instrText>
      </w:r>
      <w:r w:rsidR="08163013" w:rsidRPr="087B358B">
        <w:instrText>Gn</w:instrText>
      </w:r>
      <w:r w:rsidR="08163013">
        <w:instrText xml:space="preserve"> 1.</w:instrText>
      </w:r>
      <w:r w:rsidR="08163013" w:rsidRPr="008F5667">
        <w:instrText>28</w:instrText>
      </w:r>
      <w:r w:rsidR="08163013">
        <w:instrText xml:space="preserve">" </w:instrText>
      </w:r>
      <w:r w:rsidR="08163013">
        <w:fldChar w:fldCharType="end"/>
      </w:r>
      <w:r w:rsidR="08163013" w:rsidRPr="00273106">
        <w:t>). Ockham jasně říká, že toto boží pověření k vládě (</w:t>
      </w:r>
      <w:r w:rsidR="08163013" w:rsidRPr="00273106">
        <w:rPr>
          <w:i/>
        </w:rPr>
        <w:t>imperium</w:t>
      </w:r>
      <w:r w:rsidR="08163013" w:rsidRPr="00273106">
        <w:t xml:space="preserve">) patří lidstvu jako celku a bez souhlasu </w:t>
      </w:r>
      <w:r w:rsidR="005868FC">
        <w:t xml:space="preserve">všech lidí </w:t>
      </w:r>
      <w:r w:rsidR="08163013" w:rsidRPr="00273106">
        <w:t xml:space="preserve">je nelze vzít. </w:t>
      </w:r>
      <w:r w:rsidR="08163013">
        <w:t xml:space="preserve">Podívejme se na novou formu </w:t>
      </w:r>
      <w:r w:rsidR="081942A4">
        <w:t xml:space="preserve">metafyzického </w:t>
      </w:r>
      <w:r w:rsidR="08163013">
        <w:t>dativu</w:t>
      </w:r>
      <w:r w:rsidR="08163013">
        <w:fldChar w:fldCharType="begin"/>
      </w:r>
      <w:r w:rsidR="08163013">
        <w:instrText xml:space="preserve"> XE "</w:instrText>
      </w:r>
      <w:r w:rsidR="081942A4">
        <w:rPr>
          <w:i/>
        </w:rPr>
        <w:instrText>dativus metaphysicus</w:instrText>
      </w:r>
      <w:r w:rsidR="08163013">
        <w:instrText xml:space="preserve">" </w:instrText>
      </w:r>
      <w:r w:rsidR="08163013">
        <w:fldChar w:fldCharType="end"/>
      </w:r>
      <w:r w:rsidR="08163013">
        <w:t xml:space="preserve"> zakládajícího translaci politické moci z boha na člověka.</w:t>
      </w:r>
    </w:p>
    <w:p w:rsidR="08163013" w:rsidRPr="001727CF" w:rsidRDefault="08163013" w:rsidP="08163013">
      <w:pPr>
        <w:pStyle w:val="Citace"/>
        <w:rPr>
          <w:noProof/>
          <w:lang w:val="cs-CZ"/>
        </w:rPr>
      </w:pPr>
      <w:r w:rsidRPr="00273106">
        <w:rPr>
          <w:noProof/>
          <w:lang w:val="cs-CZ"/>
        </w:rPr>
        <w:t>„</w:t>
      </w:r>
      <w:r>
        <w:rPr>
          <w:noProof/>
          <w:lang w:val="cs-CZ"/>
        </w:rPr>
        <w:t xml:space="preserve">Pro celé lidské společenství platí, co řekl bůh prvním lidem: </w:t>
      </w:r>
      <w:r w:rsidRPr="00273106">
        <w:rPr>
          <w:noProof/>
          <w:lang w:val="cs-CZ"/>
        </w:rPr>
        <w:t>'</w:t>
      </w:r>
      <w:r>
        <w:rPr>
          <w:noProof/>
          <w:lang w:val="cs-CZ"/>
        </w:rPr>
        <w:t>Zaplňte zemi, podrobte si ji a panujte nad mořskými rybami.</w:t>
      </w:r>
      <w:r w:rsidRPr="00273106">
        <w:rPr>
          <w:noProof/>
          <w:lang w:val="cs-CZ"/>
        </w:rPr>
        <w:t>'</w:t>
      </w:r>
      <w:r>
        <w:rPr>
          <w:noProof/>
          <w:lang w:val="cs-CZ"/>
        </w:rPr>
        <w:t xml:space="preserve"> Proto lidské společenství na zemi nesmí být připraveno o právo na vládu bez svého výslovného souhlasu.“ </w:t>
      </w:r>
      <w:r>
        <w:rPr>
          <w:rStyle w:val="Znakapoznpodarou"/>
        </w:rPr>
        <w:footnoteReference w:id="589"/>
      </w:r>
    </w:p>
    <w:p w:rsidR="00BC42D8" w:rsidRDefault="08163013" w:rsidP="00B935E3">
      <w:r w:rsidRPr="00273106">
        <w:lastRenderedPageBreak/>
        <w:t>Citát mluví o celku lidstva (</w:t>
      </w:r>
      <w:r w:rsidRPr="00273106">
        <w:rPr>
          <w:i/>
        </w:rPr>
        <w:t>pro tota communitate mortalium</w:t>
      </w:r>
      <w:r w:rsidRPr="00273106">
        <w:t>), které dostává pověření k vládě. Nezadatelné právo (</w:t>
      </w:r>
      <w:r w:rsidRPr="00273106">
        <w:rPr>
          <w:i/>
        </w:rPr>
        <w:t>non debet privari iure suo</w:t>
      </w:r>
      <w:r w:rsidRPr="00273106">
        <w:t>) k politické moci (</w:t>
      </w:r>
      <w:r w:rsidRPr="00273106">
        <w:rPr>
          <w:i/>
        </w:rPr>
        <w:t>super imperium</w:t>
      </w:r>
      <w:r w:rsidRPr="00273106">
        <w:t xml:space="preserve">) patří všem lidem z titulu přirozených schopností daných skrze akt stvoření. </w:t>
      </w:r>
      <w:r>
        <w:t xml:space="preserve">Tato dedukce přirozeného práva k vládě je postavena podle argumentu </w:t>
      </w:r>
      <w:r w:rsidR="00DB4B13">
        <w:t>„</w:t>
      </w:r>
      <w:r w:rsidRPr="085B1C02">
        <w:rPr>
          <w:i/>
        </w:rPr>
        <w:t>destructio primis</w:t>
      </w:r>
      <w:r w:rsidR="00DB4B13">
        <w:t>“</w:t>
      </w:r>
      <w:r>
        <w:rPr>
          <w:i/>
        </w:rPr>
        <w:fldChar w:fldCharType="begin"/>
      </w:r>
      <w:r>
        <w:instrText xml:space="preserve"> XE "</w:instrText>
      </w:r>
      <w:r w:rsidRPr="081B785F">
        <w:rPr>
          <w:i/>
        </w:rPr>
        <w:instrText>destructio primis</w:instrText>
      </w:r>
      <w:r>
        <w:instrText xml:space="preserve">" </w:instrText>
      </w:r>
      <w:r>
        <w:rPr>
          <w:i/>
        </w:rPr>
        <w:fldChar w:fldCharType="end"/>
      </w:r>
      <w:r>
        <w:t xml:space="preserve"> (</w:t>
      </w:r>
      <w:r w:rsidR="00D4263E">
        <w:t xml:space="preserve">OBJ I, </w:t>
      </w:r>
      <w:r>
        <w:t xml:space="preserve">kap. 1.3). K odmítnutí tyranie by stačil jediný svobodný člověk z celého lidstva, aby svým nesouhlasem potvrdil přirozené právo k politické vládě. </w:t>
      </w:r>
      <w:r w:rsidR="00E50AC6">
        <w:t xml:space="preserve">Připomeňme pdobný argument </w:t>
      </w:r>
      <w:r w:rsidR="00E50AC6" w:rsidRPr="00E50AC6">
        <w:t>CMDA</w:t>
      </w:r>
      <w:r w:rsidR="005B33F9">
        <w:t xml:space="preserve"> (OBJ I, kap. 2.4.3)</w:t>
      </w:r>
      <w:r w:rsidR="00E50AC6" w:rsidRPr="00E50AC6">
        <w:t>.</w:t>
      </w:r>
      <w:r w:rsidR="00E50AC6">
        <w:t xml:space="preserve"> K</w:t>
      </w:r>
      <w:r>
        <w:t xml:space="preserve"> ustavení racionality v lidském </w:t>
      </w:r>
      <w:r w:rsidR="007660DB">
        <w:t>„</w:t>
      </w:r>
      <w:r w:rsidR="00962190">
        <w:rPr>
          <w:i/>
        </w:rPr>
        <w:t>species</w:t>
      </w:r>
      <w:r w:rsidRPr="085B1C02">
        <w:rPr>
          <w:i/>
        </w:rPr>
        <w:t xml:space="preserve"> humana</w:t>
      </w:r>
      <w:r w:rsidR="007660DB">
        <w:t>“</w:t>
      </w:r>
      <w:r>
        <w:t xml:space="preserve"> </w:t>
      </w:r>
      <w:r w:rsidR="00E50AC6">
        <w:t xml:space="preserve">stačí </w:t>
      </w:r>
      <w:r>
        <w:t>jediný člověk reálně schopný kriticky a filosoficky myslet. Doufe</w:t>
      </w:r>
      <w:r w:rsidR="00B935E3">
        <w:t xml:space="preserve">jme, že tomu tak bude i nadále. </w:t>
      </w:r>
      <w:r>
        <w:t>Ockham jako poslední představitel prvního ave</w:t>
      </w:r>
      <w:r w:rsidR="00B935E3">
        <w:t xml:space="preserve">rroismu je s Albertem, Sigerem </w:t>
      </w:r>
      <w:r>
        <w:t xml:space="preserve">a Dantem dalším autorem křesťansky založené ideje univerzálního a nezadatelného práva člověka na politickou moc. Právo vládnout máme od boha a toto nezvratné rozhodnutí dané na začátku stvoření nelze nijak změnit. </w:t>
      </w:r>
      <w:r w:rsidRPr="00273106">
        <w:t>Tímto způsobem pochází veškerá politická moc přímo od boha, ale je vázaná na přirozené schopnosti člověka</w:t>
      </w:r>
      <w:r>
        <w:t xml:space="preserve"> dané v rámci praktického jednání vůči stvoření</w:t>
      </w:r>
      <w:r w:rsidRPr="00273106">
        <w:t xml:space="preserve">. </w:t>
      </w:r>
      <w:r>
        <w:t xml:space="preserve">Ockham našel první instanci univerzálně pojatého pověření k vládě, kterou v sobě nese každý jednotlivě. Tato univerzální </w:t>
      </w:r>
      <w:r w:rsidR="00962190" w:rsidRPr="008B7CD1">
        <w:t>species</w:t>
      </w:r>
      <w:r>
        <w:t xml:space="preserve"> vytváří v modu abstrakce univoční jednotu politické racionality v rámci lidstva jako rodu, kterou měl Dante</w:t>
      </w:r>
      <w:r>
        <w:fldChar w:fldCharType="begin"/>
      </w:r>
      <w:r>
        <w:instrText xml:space="preserve"> XE "</w:instrText>
      </w:r>
      <w:r w:rsidRPr="00E871B9">
        <w:instrText>Dante, A.</w:instrText>
      </w:r>
      <w:r>
        <w:instrText xml:space="preserve">" </w:instrText>
      </w:r>
      <w:r>
        <w:fldChar w:fldCharType="end"/>
      </w:r>
      <w:r>
        <w:t xml:space="preserve"> v pojmu </w:t>
      </w:r>
      <w:r w:rsidR="00F64B0C">
        <w:t>„</w:t>
      </w:r>
      <w:r w:rsidRPr="00273106">
        <w:rPr>
          <w:rStyle w:val="addmd"/>
          <w:i/>
        </w:rPr>
        <w:t>universitas humana</w:t>
      </w:r>
      <w:r w:rsidR="00F64B0C">
        <w:rPr>
          <w:rStyle w:val="addmd"/>
        </w:rPr>
        <w:t>“</w:t>
      </w:r>
      <w:r>
        <w:rPr>
          <w:rStyle w:val="addmd"/>
          <w:i/>
        </w:rPr>
        <w:fldChar w:fldCharType="begin"/>
      </w:r>
      <w:r>
        <w:instrText xml:space="preserve"> XE "</w:instrText>
      </w:r>
      <w:r w:rsidRPr="00A16633">
        <w:rPr>
          <w:i/>
        </w:rPr>
        <w:instrText>universitas humana</w:instrText>
      </w:r>
      <w:r>
        <w:instrText xml:space="preserve">" </w:instrText>
      </w:r>
      <w:r>
        <w:rPr>
          <w:rStyle w:val="addmd"/>
          <w:i/>
        </w:rPr>
        <w:fldChar w:fldCharType="end"/>
      </w:r>
      <w:r>
        <w:rPr>
          <w:rStyle w:val="addmd"/>
        </w:rPr>
        <w:t xml:space="preserve"> (</w:t>
      </w:r>
      <w:r w:rsidR="00E64F4F">
        <w:t>kap. 4</w:t>
      </w:r>
      <w:r>
        <w:t xml:space="preserve">.4.3). Politická jednota lidstva je </w:t>
      </w:r>
      <w:r w:rsidR="00ED1D59">
        <w:t>dána z původního božího příkazu</w:t>
      </w:r>
      <w:r>
        <w:t xml:space="preserve">. Toto </w:t>
      </w:r>
      <w:r w:rsidRPr="00417983">
        <w:rPr>
          <w:i/>
        </w:rPr>
        <w:t>primum mobile</w:t>
      </w:r>
      <w:r>
        <w:t xml:space="preserve"> praktického intelektu kauzálně aktivovaného z biblického příkazu </w:t>
      </w:r>
      <w:r w:rsidR="008B7CD1">
        <w:t xml:space="preserve">starat se o </w:t>
      </w:r>
      <w:r>
        <w:t xml:space="preserve">zemi představuje původní místo činnosti praktického intelektu. Jeho univerzální definice je dána v modu Averroesova </w:t>
      </w:r>
      <w:r w:rsidRPr="00B82824">
        <w:rPr>
          <w:i/>
        </w:rPr>
        <w:t xml:space="preserve">quartum </w:t>
      </w:r>
      <w:r w:rsidR="00962190">
        <w:rPr>
          <w:i/>
        </w:rPr>
        <w:t>genus</w:t>
      </w:r>
      <w:r>
        <w:rPr>
          <w:i/>
        </w:rPr>
        <w:fldChar w:fldCharType="begin"/>
      </w:r>
      <w:r>
        <w:instrText xml:space="preserve"> XE "</w:instrText>
      </w:r>
      <w:r w:rsidRPr="00191848">
        <w:rPr>
          <w:i/>
        </w:rPr>
        <w:instrText>quartum genus</w:instrText>
      </w:r>
      <w:r>
        <w:instrText xml:space="preserve">" </w:instrText>
      </w:r>
      <w:r>
        <w:rPr>
          <w:i/>
        </w:rPr>
        <w:fldChar w:fldCharType="end"/>
      </w:r>
      <w:r>
        <w:t xml:space="preserve">, tedy v modelu rodové jednoty lidstva dané v rámci specifického </w:t>
      </w:r>
      <w:r w:rsidRPr="00B82824">
        <w:rPr>
          <w:i/>
        </w:rPr>
        <w:t>intellectus p</w:t>
      </w:r>
      <w:r>
        <w:rPr>
          <w:i/>
        </w:rPr>
        <w:t>ra</w:t>
      </w:r>
      <w:r w:rsidRPr="00B82824">
        <w:rPr>
          <w:i/>
        </w:rPr>
        <w:t>ct</w:t>
      </w:r>
      <w:r>
        <w:rPr>
          <w:i/>
        </w:rPr>
        <w:t>ic</w:t>
      </w:r>
      <w:r w:rsidRPr="00B82824">
        <w:rPr>
          <w:i/>
        </w:rPr>
        <w:t>us</w:t>
      </w:r>
      <w:r>
        <w:rPr>
          <w:i/>
        </w:rPr>
        <w:fldChar w:fldCharType="begin"/>
      </w:r>
      <w:r>
        <w:instrText xml:space="preserve"> XE "</w:instrText>
      </w:r>
      <w:r w:rsidRPr="001A1255">
        <w:rPr>
          <w:i/>
        </w:rPr>
        <w:instrText>intellectus practicus</w:instrText>
      </w:r>
      <w:r>
        <w:instrText xml:space="preserve">" </w:instrText>
      </w:r>
      <w:r>
        <w:rPr>
          <w:i/>
        </w:rPr>
        <w:fldChar w:fldCharType="end"/>
      </w:r>
      <w:r w:rsidR="00BC42D8">
        <w:t>.</w:t>
      </w:r>
    </w:p>
    <w:p w:rsidR="08163013" w:rsidRPr="00273106" w:rsidRDefault="00BC42D8" w:rsidP="00B935E3">
      <w:r>
        <w:tab/>
      </w:r>
      <w:r w:rsidR="00DD2D29" w:rsidRPr="00DD2D29">
        <w:t xml:space="preserve">Ockham našel zdroj moci, z něhož </w:t>
      </w:r>
      <w:r w:rsidR="00DD2D29">
        <w:t>se odvozuje univerzální predikace</w:t>
      </w:r>
      <w:r w:rsidR="00DD2D29" w:rsidRPr="00DD2D29">
        <w:t xml:space="preserve"> politické racionality. Politika byla iniciována božským mandátem, který ustanovil původní přirozenou formu vlády. Existuje svrchovanost celého lidstva, které vykonává primární moc nad stvořením. </w:t>
      </w:r>
      <w:r w:rsidR="00FF1175">
        <w:t xml:space="preserve">Předávání moci </w:t>
      </w:r>
      <w:r w:rsidR="00DD2D29" w:rsidRPr="00DD2D29">
        <w:t xml:space="preserve">pak vychází ze středověké verze </w:t>
      </w:r>
      <w:r w:rsidR="00DD2D29" w:rsidRPr="00DD2D29">
        <w:rPr>
          <w:i/>
        </w:rPr>
        <w:t>translatio imperii</w:t>
      </w:r>
      <w:r w:rsidR="00DD2D29" w:rsidRPr="00DD2D29">
        <w:t xml:space="preserve">. </w:t>
      </w:r>
      <w:r w:rsidR="00420BEB" w:rsidRPr="00420BEB">
        <w:t>V t</w:t>
      </w:r>
      <w:r w:rsidR="00420BEB">
        <w:t xml:space="preserve">omto schématu není žádná církev, ani nějaké </w:t>
      </w:r>
      <w:r w:rsidR="00420BEB" w:rsidRPr="00420BEB">
        <w:t xml:space="preserve">náboženství, což zcela zpochybnilo argumentaci podle buly </w:t>
      </w:r>
      <w:r w:rsidR="00420BEB" w:rsidRPr="00420BEB">
        <w:rPr>
          <w:i/>
        </w:rPr>
        <w:t>Unam Sanctam</w:t>
      </w:r>
      <w:r w:rsidR="00E645D3">
        <w:rPr>
          <w:i/>
        </w:rPr>
        <w:fldChar w:fldCharType="begin"/>
      </w:r>
      <w:r w:rsidR="00E645D3">
        <w:instrText xml:space="preserve"> XE "</w:instrText>
      </w:r>
      <w:r w:rsidR="00E645D3">
        <w:rPr>
          <w:i/>
        </w:rPr>
        <w:instrText>Unam Sanctam</w:instrText>
      </w:r>
      <w:r w:rsidR="00E645D3">
        <w:instrText xml:space="preserve">" </w:instrText>
      </w:r>
      <w:r w:rsidR="00E645D3">
        <w:rPr>
          <w:i/>
        </w:rPr>
        <w:fldChar w:fldCharType="end"/>
      </w:r>
      <w:r w:rsidR="00420BEB" w:rsidRPr="00420BEB">
        <w:t xml:space="preserve">. </w:t>
      </w:r>
      <w:r w:rsidR="08163013" w:rsidRPr="00273106">
        <w:t>Připomeňme podobné pojetí aristotelika Jana z Paříže, který buduje autonomní politický řád z přirozenosti dané od boha (</w:t>
      </w:r>
      <w:r w:rsidR="08163013" w:rsidRPr="00273106">
        <w:rPr>
          <w:i/>
        </w:rPr>
        <w:t>ex naturali instinctu, qui ex Deo est</w:t>
      </w:r>
      <w:r w:rsidR="00E640EB">
        <w:t>, kap. 6</w:t>
      </w:r>
      <w:r w:rsidR="08163013" w:rsidRPr="00273106">
        <w:t xml:space="preserve">.1). </w:t>
      </w:r>
      <w:r w:rsidR="08163013">
        <w:t xml:space="preserve">Pojetí přirozenosti v pojmu </w:t>
      </w:r>
      <w:r w:rsidR="08163013" w:rsidRPr="00B258A7">
        <w:rPr>
          <w:i/>
        </w:rPr>
        <w:t>ex naturali instinctu</w:t>
      </w:r>
      <w:r w:rsidR="08163013">
        <w:t xml:space="preserve"> ale není stejné jako u Hobbese</w:t>
      </w:r>
      <w:r w:rsidR="08163013">
        <w:fldChar w:fldCharType="begin"/>
      </w:r>
      <w:r w:rsidR="08163013">
        <w:instrText xml:space="preserve"> XE "</w:instrText>
      </w:r>
      <w:r w:rsidR="08163013" w:rsidRPr="007C389D">
        <w:instrText>Hobbes, T.</w:instrText>
      </w:r>
      <w:r w:rsidR="08163013">
        <w:instrText xml:space="preserve">" </w:instrText>
      </w:r>
      <w:r w:rsidR="08163013">
        <w:fldChar w:fldCharType="end"/>
      </w:r>
      <w:r w:rsidR="00E645D3">
        <w:t xml:space="preserve"> za časů politického nihilismu. </w:t>
      </w:r>
      <w:r w:rsidR="00E645D3" w:rsidRPr="00E645D3">
        <w:t xml:space="preserve">Hobbes vytváří teorii státu </w:t>
      </w:r>
      <w:r w:rsidR="00E645D3">
        <w:t xml:space="preserve">na </w:t>
      </w:r>
      <w:r w:rsidR="00E645D3">
        <w:lastRenderedPageBreak/>
        <w:t xml:space="preserve">základě </w:t>
      </w:r>
      <w:r w:rsidR="00E645D3" w:rsidRPr="00E645D3">
        <w:t>z pudu sebezáchovy. Tato iracionální moc, vytvořená v modu neosobní</w:t>
      </w:r>
      <w:r w:rsidR="00E645D3">
        <w:t>ho</w:t>
      </w:r>
      <w:r w:rsidR="00E645D3" w:rsidRPr="00E645D3">
        <w:t xml:space="preserve"> </w:t>
      </w:r>
      <w:r w:rsidR="00E645D3" w:rsidRPr="00E645D3">
        <w:rPr>
          <w:i/>
        </w:rPr>
        <w:t>scibile</w:t>
      </w:r>
      <w:r w:rsidR="00E645D3" w:rsidRPr="00E645D3">
        <w:t xml:space="preserve">, tvoří základní předmět všech postmoderních politických teorií. </w:t>
      </w:r>
      <w:r w:rsidR="08163013">
        <w:t>Jan</w:t>
      </w:r>
      <w:r w:rsidR="08163013" w:rsidRPr="00273106">
        <w:t xml:space="preserve"> z Paříže</w:t>
      </w:r>
      <w:r w:rsidR="08163013">
        <w:t xml:space="preserve"> a Ockham by řekli proti Hobbesově absolutizaci biologického pudu sebezáchovy, že vláda v politické komunitě je dána extenzí teoretického rozumu do svobodné praxe. Osoba není </w:t>
      </w:r>
      <w:r w:rsidR="00A16848">
        <w:t>post</w:t>
      </w:r>
      <w:r w:rsidR="08163013">
        <w:t>moderní ustrašené zvíře řízené pudem sebezáchovy. Člověk zakládá politické společenství skrze jedinečnou extenzi teoretického intelektu do praktického. P</w:t>
      </w:r>
      <w:r w:rsidR="08163013" w:rsidRPr="00273106">
        <w:t xml:space="preserve">řirozeně dané pověření k vládě </w:t>
      </w:r>
      <w:r w:rsidR="08163013">
        <w:t xml:space="preserve">určuje </w:t>
      </w:r>
      <w:r w:rsidR="08163013" w:rsidRPr="00273106">
        <w:t xml:space="preserve">moc </w:t>
      </w:r>
      <w:r w:rsidR="08163013">
        <w:t xml:space="preserve">v jejím </w:t>
      </w:r>
      <w:r w:rsidR="08163013" w:rsidRPr="00273106">
        <w:t>autonomní</w:t>
      </w:r>
      <w:r w:rsidR="08163013">
        <w:t>m</w:t>
      </w:r>
      <w:r w:rsidR="08163013" w:rsidRPr="00273106">
        <w:t xml:space="preserve"> charakter</w:t>
      </w:r>
      <w:r w:rsidR="08163013">
        <w:t xml:space="preserve">u, který je </w:t>
      </w:r>
      <w:r w:rsidR="08163013" w:rsidRPr="00273106">
        <w:t xml:space="preserve">vázaný na lidskou komunitu jako celek. </w:t>
      </w:r>
      <w:r w:rsidR="08163013">
        <w:t>P</w:t>
      </w:r>
      <w:r w:rsidR="08163013" w:rsidRPr="00273106">
        <w:t>řenos moci daný souhlasem lidstva zakládá stát jako politickou instituci</w:t>
      </w:r>
      <w:r w:rsidR="08163013">
        <w:t xml:space="preserve">, protože všichni vládci </w:t>
      </w:r>
      <w:r w:rsidR="08163013" w:rsidRPr="00273106">
        <w:t xml:space="preserve">odvozují svou moc od rozhodnutí </w:t>
      </w:r>
      <w:r w:rsidR="08163013">
        <w:t xml:space="preserve">lidské </w:t>
      </w:r>
      <w:r w:rsidR="08163013" w:rsidRPr="00273106">
        <w:t>komunity</w:t>
      </w:r>
      <w:r w:rsidR="08163013">
        <w:t xml:space="preserve">. Ta má původní pověření k vládě od boha a sekundárně je přenáší na jiné politické subjekty. </w:t>
      </w:r>
      <w:r w:rsidR="08163013" w:rsidRPr="00273106">
        <w:t>Primární přenos moci běží od lidu k vládci,</w:t>
      </w:r>
      <w:r w:rsidR="08163013">
        <w:t xml:space="preserve"> což odpovídá Albertovu pojetí </w:t>
      </w:r>
      <w:r w:rsidR="08163013" w:rsidRPr="00273106">
        <w:rPr>
          <w:i/>
        </w:rPr>
        <w:t>regnabile</w:t>
      </w:r>
      <w:r w:rsidR="08163013">
        <w:rPr>
          <w:i/>
        </w:rPr>
        <w:fldChar w:fldCharType="begin"/>
      </w:r>
      <w:r w:rsidR="08163013">
        <w:instrText xml:space="preserve"> XE "politická racionalita:</w:instrText>
      </w:r>
      <w:r w:rsidR="08163013" w:rsidRPr="005F0685">
        <w:rPr>
          <w:i/>
        </w:rPr>
        <w:instrText>regnabile</w:instrText>
      </w:r>
      <w:r w:rsidR="08163013">
        <w:instrText xml:space="preserve">" </w:instrText>
      </w:r>
      <w:r w:rsidR="08163013">
        <w:rPr>
          <w:i/>
        </w:rPr>
        <w:fldChar w:fldCharType="end"/>
      </w:r>
      <w:r w:rsidR="00C83D77">
        <w:t xml:space="preserve"> (kap. 6</w:t>
      </w:r>
      <w:r w:rsidR="08163013" w:rsidRPr="00273106">
        <w:t>.2). Magistr řeší žákovu otázku, jak je možné přenést moc z jednoho impéria na druhé.</w:t>
      </w:r>
    </w:p>
    <w:p w:rsidR="08163013" w:rsidRPr="00D43B52" w:rsidRDefault="08163013" w:rsidP="08163013">
      <w:pPr>
        <w:pStyle w:val="Citace"/>
        <w:rPr>
          <w:noProof/>
          <w:lang w:val="cs-CZ"/>
        </w:rPr>
      </w:pPr>
      <w:r w:rsidRPr="00273106">
        <w:rPr>
          <w:noProof/>
          <w:lang w:val="cs-CZ"/>
        </w:rPr>
        <w:t>„</w:t>
      </w:r>
      <w:r w:rsidR="007B05AF" w:rsidRPr="007B05AF">
        <w:rPr>
          <w:noProof/>
          <w:lang w:val="cs-CZ"/>
        </w:rPr>
        <w:t xml:space="preserve">Odpovídám, že </w:t>
      </w:r>
      <w:r w:rsidR="007B05AF">
        <w:rPr>
          <w:noProof/>
          <w:lang w:val="cs-CZ"/>
        </w:rPr>
        <w:t xml:space="preserve">politickou </w:t>
      </w:r>
      <w:r w:rsidR="007B05AF" w:rsidRPr="007B05AF">
        <w:rPr>
          <w:noProof/>
          <w:lang w:val="cs-CZ"/>
        </w:rPr>
        <w:t>moc (</w:t>
      </w:r>
      <w:r w:rsidR="007B05AF" w:rsidRPr="007B05AF">
        <w:rPr>
          <w:i/>
          <w:noProof/>
          <w:lang w:val="cs-CZ"/>
        </w:rPr>
        <w:t>potestas</w:t>
      </w:r>
      <w:r w:rsidR="007B05AF" w:rsidRPr="007B05AF">
        <w:rPr>
          <w:noProof/>
          <w:lang w:val="cs-CZ"/>
        </w:rPr>
        <w:t xml:space="preserve">) </w:t>
      </w:r>
      <w:r w:rsidR="007B05AF">
        <w:rPr>
          <w:noProof/>
          <w:lang w:val="cs-CZ"/>
        </w:rPr>
        <w:t xml:space="preserve">k přenesení </w:t>
      </w:r>
      <w:r w:rsidR="007B05AF" w:rsidRPr="007B05AF">
        <w:rPr>
          <w:noProof/>
          <w:lang w:val="cs-CZ"/>
        </w:rPr>
        <w:t>ř</w:t>
      </w:r>
      <w:r w:rsidR="007B05AF">
        <w:rPr>
          <w:noProof/>
          <w:lang w:val="cs-CZ"/>
        </w:rPr>
        <w:t xml:space="preserve">íše má v zásadě tak či onak celé lidské společenství </w:t>
      </w:r>
      <w:r w:rsidR="007B05AF" w:rsidRPr="007B05AF">
        <w:rPr>
          <w:noProof/>
          <w:lang w:val="cs-CZ"/>
        </w:rPr>
        <w:t>(</w:t>
      </w:r>
      <w:r w:rsidR="007B05AF" w:rsidRPr="007B05AF">
        <w:rPr>
          <w:i/>
          <w:noProof/>
          <w:lang w:val="cs-CZ"/>
        </w:rPr>
        <w:t>est apud universitatem mortalium</w:t>
      </w:r>
      <w:r w:rsidR="007B05AF" w:rsidRPr="007B05AF">
        <w:rPr>
          <w:noProof/>
          <w:lang w:val="cs-CZ"/>
        </w:rPr>
        <w:t xml:space="preserve">); pouze </w:t>
      </w:r>
      <w:r w:rsidR="007B05AF">
        <w:rPr>
          <w:noProof/>
          <w:lang w:val="cs-CZ"/>
        </w:rPr>
        <w:t xml:space="preserve">lidé </w:t>
      </w:r>
      <w:r w:rsidR="007B05AF" w:rsidRPr="007B05AF">
        <w:rPr>
          <w:noProof/>
          <w:lang w:val="cs-CZ"/>
        </w:rPr>
        <w:t>obdrželi moc zřídit stát (</w:t>
      </w:r>
      <w:r w:rsidR="007B05AF" w:rsidRPr="007B05AF">
        <w:rPr>
          <w:i/>
          <w:noProof/>
          <w:lang w:val="cs-CZ"/>
        </w:rPr>
        <w:t>potestas constituendi imperium</w:t>
      </w:r>
      <w:r w:rsidR="007B05AF">
        <w:rPr>
          <w:noProof/>
          <w:lang w:val="cs-CZ"/>
        </w:rPr>
        <w:t xml:space="preserve">), a to </w:t>
      </w:r>
      <w:r w:rsidR="007B05AF" w:rsidRPr="007B05AF">
        <w:rPr>
          <w:noProof/>
          <w:lang w:val="cs-CZ"/>
        </w:rPr>
        <w:t>ab</w:t>
      </w:r>
      <w:r w:rsidR="007B05AF">
        <w:rPr>
          <w:noProof/>
          <w:lang w:val="cs-CZ"/>
        </w:rPr>
        <w:t>s</w:t>
      </w:r>
      <w:r w:rsidR="007B05AF" w:rsidRPr="007B05AF">
        <w:rPr>
          <w:noProof/>
          <w:lang w:val="cs-CZ"/>
        </w:rPr>
        <w:t>olutně suverénním způsobem (</w:t>
      </w:r>
      <w:r w:rsidR="007B05AF" w:rsidRPr="007B05AF">
        <w:rPr>
          <w:i/>
          <w:noProof/>
          <w:lang w:val="cs-CZ"/>
        </w:rPr>
        <w:t>principalissimum</w:t>
      </w:r>
      <w:r w:rsidR="007B05AF" w:rsidRPr="007B05AF">
        <w:rPr>
          <w:noProof/>
          <w:lang w:val="cs-CZ"/>
        </w:rPr>
        <w:t xml:space="preserve">). Pokud </w:t>
      </w:r>
      <w:r w:rsidR="007B05AF">
        <w:rPr>
          <w:noProof/>
          <w:lang w:val="cs-CZ"/>
        </w:rPr>
        <w:t xml:space="preserve">to </w:t>
      </w:r>
      <w:r w:rsidR="007B05AF" w:rsidRPr="007B05AF">
        <w:rPr>
          <w:noProof/>
          <w:lang w:val="cs-CZ"/>
        </w:rPr>
        <w:t xml:space="preserve">tedy politické společenství chce, </w:t>
      </w:r>
      <w:r w:rsidR="007B05AF">
        <w:rPr>
          <w:noProof/>
          <w:lang w:val="cs-CZ"/>
        </w:rPr>
        <w:t>pak může Ř</w:t>
      </w:r>
      <w:r w:rsidR="007B05AF" w:rsidRPr="007B05AF">
        <w:rPr>
          <w:noProof/>
          <w:lang w:val="cs-CZ"/>
        </w:rPr>
        <w:t>ímskou říši přenést z jednoho národa na druhý.</w:t>
      </w:r>
      <w:r>
        <w:rPr>
          <w:noProof/>
          <w:lang w:val="cs-CZ"/>
        </w:rPr>
        <w:t>“ </w:t>
      </w:r>
      <w:r>
        <w:rPr>
          <w:rStyle w:val="Znakapoznpodarou"/>
        </w:rPr>
        <w:footnoteReference w:id="590"/>
      </w:r>
    </w:p>
    <w:p w:rsidR="08163013" w:rsidRPr="00273106" w:rsidRDefault="08163013" w:rsidP="08163013">
      <w:r w:rsidRPr="00273106">
        <w:t>Schopnost ustavovat politické celky a říše (</w:t>
      </w:r>
      <w:r w:rsidRPr="00273106">
        <w:rPr>
          <w:i/>
        </w:rPr>
        <w:t>potestas transferendi imperium</w:t>
      </w:r>
      <w:r>
        <w:rPr>
          <w:i/>
        </w:rPr>
        <w:fldChar w:fldCharType="begin"/>
      </w:r>
      <w:r>
        <w:instrText xml:space="preserve"> XE "</w:instrText>
      </w:r>
      <w:r w:rsidRPr="00277CE9">
        <w:rPr>
          <w:i/>
        </w:rPr>
        <w:instrText>potestas transferendi imperium</w:instrText>
      </w:r>
      <w:r>
        <w:instrText xml:space="preserve">" </w:instrText>
      </w:r>
      <w:r>
        <w:rPr>
          <w:i/>
        </w:rPr>
        <w:fldChar w:fldCharType="end"/>
      </w:r>
      <w:r w:rsidRPr="00273106">
        <w:t>) leží primárně v lidstvu jako celku (</w:t>
      </w:r>
      <w:r w:rsidRPr="00273106">
        <w:rPr>
          <w:i/>
        </w:rPr>
        <w:t>principalissime est apud universitatem mortalium</w:t>
      </w:r>
      <w:r w:rsidRPr="00273106">
        <w:t>)</w:t>
      </w:r>
      <w:r>
        <w:t xml:space="preserve"> a </w:t>
      </w:r>
      <w:r w:rsidRPr="00273106">
        <w:t>je tedy daná přirozeně. Lid jako suverén aktem své zákonodárné vůle přenáší moc bývalé Římské říše na jiné subjekty (</w:t>
      </w:r>
      <w:r w:rsidR="00056053">
        <w:rPr>
          <w:i/>
        </w:rPr>
        <w:t>potestas transferendi imperium</w:t>
      </w:r>
      <w:r w:rsidRPr="00273106">
        <w:t>). Text výslovně říká, že pokud tak lid chce učinit, tak to může suverénně provést (</w:t>
      </w:r>
      <w:r w:rsidRPr="00273106">
        <w:rPr>
          <w:i/>
        </w:rPr>
        <w:t>vellet posset</w:t>
      </w:r>
      <w:r w:rsidRPr="00273106">
        <w:t xml:space="preserve">). </w:t>
      </w:r>
      <w:r w:rsidR="00547B87" w:rsidRPr="00547B87">
        <w:t xml:space="preserve">K vytvoření politické společnosti není nutná jiná podmínka než vůle občanů, kteří se řídí svým svobodným jednáním. </w:t>
      </w:r>
      <w:r w:rsidRPr="00273106">
        <w:t>Totéž platí i pro transfer moci z bývalé Římské říše na další státní subjekty středověku. Například římský lid jako suverén může klidně přenést politickou moc i na papeže</w:t>
      </w:r>
      <w:r>
        <w:t xml:space="preserve"> (</w:t>
      </w:r>
      <w:r w:rsidRPr="00E33586">
        <w:rPr>
          <w:i/>
        </w:rPr>
        <w:t>potestatem suam transferre  possunt in papam</w:t>
      </w:r>
      <w:r>
        <w:t>)</w:t>
      </w:r>
      <w:r w:rsidRPr="00273106">
        <w:t>.</w:t>
      </w:r>
      <w:r w:rsidRPr="00273106">
        <w:rPr>
          <w:rStyle w:val="Znakapoznpodarou"/>
        </w:rPr>
        <w:footnoteReference w:id="591"/>
      </w:r>
      <w:r w:rsidRPr="00273106">
        <w:t xml:space="preserve">  A</w:t>
      </w:r>
      <w:r>
        <w:t xml:space="preserve">le v tomto případě je moc papeži dána </w:t>
      </w:r>
      <w:r w:rsidRPr="00273106">
        <w:t xml:space="preserve">politicky, tedy nikoliv z papežské moci, ale z pověření </w:t>
      </w:r>
      <w:r>
        <w:t xml:space="preserve">Římského </w:t>
      </w:r>
      <w:r w:rsidRPr="00273106">
        <w:t>lidu</w:t>
      </w:r>
      <w:r>
        <w:t xml:space="preserve"> nebo jím </w:t>
      </w:r>
      <w:r>
        <w:lastRenderedPageBreak/>
        <w:t>zvolených zástupců (</w:t>
      </w:r>
      <w:r w:rsidRPr="002F1F71">
        <w:rPr>
          <w:i/>
        </w:rPr>
        <w:t>auctoritate Romanorum vel electorum</w:t>
      </w:r>
      <w:r>
        <w:t>)</w:t>
      </w:r>
      <w:r w:rsidRPr="00273106">
        <w:t>. Proto lid může papeži moc zase vzít a předat ji komukoliv jinému nebo vládnout přímo. Navíc platí, že římské politické instituce a úřady, které si lid přímo ustanovil, zů</w:t>
      </w:r>
      <w:r>
        <w:t xml:space="preserve">stávají mimo takto delegovanou </w:t>
      </w:r>
      <w:r w:rsidRPr="00273106">
        <w:t>papežskou politickou moc.</w:t>
      </w:r>
      <w:r w:rsidRPr="00273106">
        <w:rPr>
          <w:rStyle w:val="Znakapoznpodarou"/>
        </w:rPr>
        <w:footnoteReference w:id="592"/>
      </w:r>
      <w:r w:rsidRPr="00273106">
        <w:t xml:space="preserve"> </w:t>
      </w:r>
      <w:r>
        <w:t>Stejně tak platí, že p</w:t>
      </w:r>
      <w:r w:rsidRPr="00273106">
        <w:t xml:space="preserve">okud papež sesazoval panovníky z trůnu, tak to činil z titulu předané politické moci od lidu, ale nikoliv ze své </w:t>
      </w:r>
      <w:r>
        <w:t xml:space="preserve">církevní </w:t>
      </w:r>
      <w:r w:rsidRPr="00273106">
        <w:t>moci.</w:t>
      </w:r>
      <w:r w:rsidRPr="00273106">
        <w:rPr>
          <w:rStyle w:val="Znakapoznpodarou"/>
        </w:rPr>
        <w:footnoteReference w:id="593"/>
      </w:r>
      <w:r w:rsidRPr="00273106">
        <w:t xml:space="preserve"> Pověření k vládě dané lidské komunitě od stvoření světa také odpovídá na otázku, zda vládci patří vláda faktem pouhého získání moci. Ockham musí řešit Albertovu otázku, zda</w:t>
      </w:r>
      <w:r w:rsidR="00F36CF1">
        <w:t xml:space="preserve"> je monarcha</w:t>
      </w:r>
      <w:r>
        <w:fldChar w:fldCharType="begin"/>
      </w:r>
      <w:r>
        <w:instrText xml:space="preserve"> XE "politická racionalita:</w:instrText>
      </w:r>
      <w:r w:rsidRPr="00774BA2">
        <w:rPr>
          <w:i/>
        </w:rPr>
        <w:instrText>regnabilis</w:instrText>
      </w:r>
      <w:r>
        <w:rPr>
          <w:i/>
        </w:rPr>
        <w:instrText>/regnativus</w:instrText>
      </w:r>
      <w:r>
        <w:instrText xml:space="preserve">" </w:instrText>
      </w:r>
      <w:r>
        <w:fldChar w:fldCharType="end"/>
      </w:r>
      <w:r w:rsidR="00F36CF1">
        <w:t xml:space="preserve"> „</w:t>
      </w:r>
      <w:r w:rsidRPr="00273106">
        <w:rPr>
          <w:i/>
        </w:rPr>
        <w:t>regnativus</w:t>
      </w:r>
      <w:r w:rsidR="00F36CF1">
        <w:t>“</w:t>
      </w:r>
      <w:r>
        <w:t xml:space="preserve"> nebo </w:t>
      </w:r>
      <w:r w:rsidR="00F36CF1">
        <w:t>„</w:t>
      </w:r>
      <w:r w:rsidRPr="00273106">
        <w:rPr>
          <w:i/>
        </w:rPr>
        <w:t>regnabilis</w:t>
      </w:r>
      <w:r w:rsidR="00F36CF1">
        <w:t>“</w:t>
      </w:r>
      <w:r w:rsidR="00075539">
        <w:t xml:space="preserve"> (kap. 6</w:t>
      </w:r>
      <w:r w:rsidRPr="00273106">
        <w:t xml:space="preserve">.2). Pokud by pouhé užívání moci dávalo její plnou legitimaci, pak by král vládl sám od sebe nebo z božího pověření. Tuto variantu magistr </w:t>
      </w:r>
      <w:r>
        <w:t xml:space="preserve">v dialogu </w:t>
      </w:r>
      <w:r w:rsidRPr="00273106">
        <w:t xml:space="preserve">zásadně odmítá poukazem na přirozené </w:t>
      </w:r>
      <w:r w:rsidR="00BE12E6">
        <w:t xml:space="preserve">právo </w:t>
      </w:r>
      <w:r w:rsidRPr="00273106">
        <w:t xml:space="preserve">k vládě, které patří všem lidem. Například </w:t>
      </w:r>
      <w:r>
        <w:t>v případě ř</w:t>
      </w:r>
      <w:r w:rsidRPr="00273106">
        <w:t>ímské říše patří tato původní moc římskému lidu.</w:t>
      </w:r>
    </w:p>
    <w:p w:rsidR="08163013" w:rsidRPr="00D43805" w:rsidRDefault="08163013" w:rsidP="08163013">
      <w:pPr>
        <w:pStyle w:val="Citace"/>
        <w:rPr>
          <w:noProof/>
          <w:lang w:val="cs-CZ"/>
        </w:rPr>
      </w:pPr>
      <w:r w:rsidRPr="00273106">
        <w:rPr>
          <w:noProof/>
          <w:lang w:val="cs-CZ"/>
        </w:rPr>
        <w:t>„</w:t>
      </w:r>
      <w:r>
        <w:rPr>
          <w:noProof/>
          <w:lang w:val="cs-CZ"/>
        </w:rPr>
        <w:t>Výkon moci ustanovuje vládce pouze se souhlasem římského lidu (</w:t>
      </w:r>
      <w:r w:rsidRPr="008632FE">
        <w:rPr>
          <w:i/>
          <w:noProof/>
        </w:rPr>
        <w:t>auctoritate populi Romani</w:t>
      </w:r>
      <w:r>
        <w:rPr>
          <w:noProof/>
          <w:lang w:val="cs-CZ"/>
        </w:rPr>
        <w:t xml:space="preserve">). (...) Proto stát nepochází od papežské moci. </w:t>
      </w:r>
      <w:r w:rsidRPr="008E1792">
        <w:rPr>
          <w:i/>
          <w:noProof/>
          <w:lang w:val="cs-CZ"/>
        </w:rPr>
        <w:t>Student</w:t>
      </w:r>
      <w:r>
        <w:rPr>
          <w:noProof/>
          <w:lang w:val="cs-CZ"/>
        </w:rPr>
        <w:t xml:space="preserve">.  Ale oni tvrdí, že římská říše není dána z vůle římského lidu, ale díky vládcovu výkonu moci. </w:t>
      </w:r>
      <w:r w:rsidRPr="008E1792">
        <w:rPr>
          <w:i/>
          <w:noProof/>
          <w:lang w:val="cs-CZ"/>
        </w:rPr>
        <w:t>Magistr</w:t>
      </w:r>
      <w:r>
        <w:rPr>
          <w:noProof/>
          <w:lang w:val="cs-CZ"/>
        </w:rPr>
        <w:t>. Pak je třeba říci, že výkon moci ustanovuje vládce pouze se souhlasem římského lidu (</w:t>
      </w:r>
      <w:r w:rsidRPr="000740D2">
        <w:rPr>
          <w:i/>
          <w:noProof/>
        </w:rPr>
        <w:t>exercitus non facit imperatorem nisi auctoritate populi Romani</w:t>
      </w:r>
      <w:r>
        <w:rPr>
          <w:noProof/>
          <w:lang w:val="cs-CZ"/>
        </w:rPr>
        <w:t>).“ </w:t>
      </w:r>
      <w:r>
        <w:rPr>
          <w:rStyle w:val="Znakapoznpodarou"/>
        </w:rPr>
        <w:footnoteReference w:id="594"/>
      </w:r>
    </w:p>
    <w:p w:rsidR="00EA7B37" w:rsidRDefault="08163013" w:rsidP="08163013">
      <w:r>
        <w:t xml:space="preserve">Legitimita vládce není odvozena z pouhého výkonu </w:t>
      </w:r>
      <w:r w:rsidRPr="00273106">
        <w:t>moci (</w:t>
      </w:r>
      <w:r w:rsidRPr="00273106">
        <w:rPr>
          <w:i/>
        </w:rPr>
        <w:t>exercitus non facit imperatorem</w:t>
      </w:r>
      <w:r w:rsidRPr="00273106">
        <w:t xml:space="preserve">). </w:t>
      </w:r>
      <w:r>
        <w:t xml:space="preserve">Exemplární příklad římské </w:t>
      </w:r>
      <w:r>
        <w:rPr>
          <w:i/>
        </w:rPr>
        <w:t>res</w:t>
      </w:r>
      <w:r w:rsidRPr="005E65E4">
        <w:rPr>
          <w:i/>
        </w:rPr>
        <w:t>publica</w:t>
      </w:r>
      <w:r>
        <w:rPr>
          <w:i/>
        </w:rPr>
        <w:t xml:space="preserve"> </w:t>
      </w:r>
      <w:r w:rsidRPr="08F9353A">
        <w:t>ukazuje</w:t>
      </w:r>
      <w:r>
        <w:t>, že d</w:t>
      </w:r>
      <w:r w:rsidRPr="00273106">
        <w:t xml:space="preserve">elegace moci a pověření k výkonu vlády jde k </w:t>
      </w:r>
      <w:r>
        <w:t xml:space="preserve">vládci </w:t>
      </w:r>
      <w:r w:rsidRPr="00273106">
        <w:t>pouze a jedině  skrze římský lid (</w:t>
      </w:r>
      <w:r w:rsidRPr="00273106">
        <w:rPr>
          <w:i/>
        </w:rPr>
        <w:t>auctoritate populi Romani</w:t>
      </w:r>
      <w:r w:rsidRPr="00273106">
        <w:t xml:space="preserve">). </w:t>
      </w:r>
      <w:r>
        <w:t>S</w:t>
      </w:r>
      <w:r w:rsidRPr="00273106">
        <w:t>větská moc ne</w:t>
      </w:r>
      <w:r w:rsidR="00056053">
        <w:t xml:space="preserve">pochází </w:t>
      </w:r>
      <w:r w:rsidRPr="00273106">
        <w:t>od papeže, jehož autorita je založena jiným způsobem (</w:t>
      </w:r>
      <w:r w:rsidRPr="00273106">
        <w:rPr>
          <w:i/>
        </w:rPr>
        <w:t>imperium non est a papa</w:t>
      </w:r>
      <w:r w:rsidRPr="00273106">
        <w:t xml:space="preserve">). Žák se marně snaží zvrátit toto rozhodnutí poukazem na různé historické okolnosti a na papežské dekrety, včetně </w:t>
      </w:r>
      <w:r w:rsidRPr="00F36CF1">
        <w:rPr>
          <w:i/>
        </w:rPr>
        <w:t>Konsta</w:t>
      </w:r>
      <w:r w:rsidR="00C76012">
        <w:rPr>
          <w:i/>
        </w:rPr>
        <w:t>n</w:t>
      </w:r>
      <w:r w:rsidRPr="00F36CF1">
        <w:rPr>
          <w:i/>
        </w:rPr>
        <w:t>tinovy donace</w:t>
      </w:r>
      <w:r>
        <w:t>,</w:t>
      </w:r>
      <w:r w:rsidRPr="00273106">
        <w:t xml:space="preserve"> tehdy považované za pravou. Magistrova odpověď je jasná. </w:t>
      </w:r>
      <w:r>
        <w:t>Ani v</w:t>
      </w:r>
      <w:r w:rsidRPr="00273106">
        <w:t xml:space="preserve">ládce </w:t>
      </w:r>
      <w:r>
        <w:t xml:space="preserve">ani papež nemohou </w:t>
      </w:r>
      <w:r w:rsidRPr="00273106">
        <w:t>dávat</w:t>
      </w:r>
      <w:r>
        <w:t xml:space="preserve"> to</w:t>
      </w:r>
      <w:r w:rsidRPr="00273106">
        <w:t xml:space="preserve">, co </w:t>
      </w:r>
      <w:r>
        <w:t xml:space="preserve">jim </w:t>
      </w:r>
      <w:r w:rsidRPr="00273106">
        <w:t>nepa</w:t>
      </w:r>
      <w:r>
        <w:t xml:space="preserve">tří, protože </w:t>
      </w:r>
      <w:r w:rsidRPr="00273106">
        <w:t xml:space="preserve">k výkonu </w:t>
      </w:r>
      <w:r w:rsidRPr="00273106">
        <w:lastRenderedPageBreak/>
        <w:t>vlády uschopňuje autorita lidu. Závěr celé úvahy o zdroji politické moci je naprosto jednoznačný: „</w:t>
      </w:r>
      <w:r w:rsidRPr="00273106">
        <w:rPr>
          <w:i/>
        </w:rPr>
        <w:t>Ergo a populo est imperium</w:t>
      </w:r>
      <w:r w:rsidRPr="00273106">
        <w:t>.“ (</w:t>
      </w:r>
      <w:r w:rsidRPr="08CE6E79">
        <w:rPr>
          <w:i/>
        </w:rPr>
        <w:t>Dialogus</w:t>
      </w:r>
      <w:r>
        <w:t xml:space="preserve"> 3.2, lib. 2</w:t>
      </w:r>
      <w:r w:rsidRPr="00273106">
        <w:t>, cap. 27; p. 106.9</w:t>
      </w:r>
      <w:r>
        <w:fldChar w:fldCharType="begin"/>
      </w:r>
      <w:r>
        <w:instrText xml:space="preserve"> XE "Ockham:</w:instrText>
      </w:r>
      <w:r w:rsidRPr="005D5E36">
        <w:rPr>
          <w:i/>
        </w:rPr>
        <w:instrText>Dialogus</w:instrText>
      </w:r>
      <w:r w:rsidRPr="005D5E36">
        <w:instrText xml:space="preserve"> 3.2</w:instrText>
      </w:r>
      <w:r>
        <w:instrText>.</w:instrText>
      </w:r>
      <w:r w:rsidRPr="00534B3C">
        <w:instrText>106.9</w:instrText>
      </w:r>
      <w:r>
        <w:instrText xml:space="preserve">" </w:instrText>
      </w:r>
      <w:r>
        <w:fldChar w:fldCharType="end"/>
      </w:r>
      <w:r w:rsidRPr="00273106">
        <w:t xml:space="preserve">) </w:t>
      </w:r>
      <w:r>
        <w:t>Ockham p</w:t>
      </w:r>
      <w:r w:rsidRPr="00273106">
        <w:t xml:space="preserve">roti zastáncům papežského primátu tvrdí, že panovníci dostávají moc </w:t>
      </w:r>
      <w:r>
        <w:t xml:space="preserve">jedině a pouze </w:t>
      </w:r>
      <w:r w:rsidRPr="00273106">
        <w:t>z lidu</w:t>
      </w:r>
      <w:r>
        <w:t>, protože ten má přirozené právo k politické moci a nikdo jiný</w:t>
      </w:r>
      <w:r>
        <w:fldChar w:fldCharType="begin"/>
      </w:r>
      <w:r>
        <w:instrText xml:space="preserve"> XE "</w:instrText>
      </w:r>
      <w:r w:rsidRPr="00CB4A73">
        <w:instrText>pol</w:instrText>
      </w:r>
      <w:r>
        <w:instrText>it</w:instrText>
      </w:r>
      <w:r w:rsidRPr="00CB4A73">
        <w:instrText>ická racionalita:Ockham</w:instrText>
      </w:r>
      <w:r>
        <w:instrText xml:space="preserve">" </w:instrText>
      </w:r>
      <w:r>
        <w:fldChar w:fldCharType="end"/>
      </w:r>
      <w:r w:rsidRPr="00273106">
        <w:t>. K aktu svrchovaného předání politické moci dané aktem platného zvolení panovníka nemůže papežská korunovace či pomazání panovníka nic přidat</w:t>
      </w:r>
      <w:r>
        <w:t xml:space="preserve"> a </w:t>
      </w:r>
      <w:r w:rsidRPr="00273106">
        <w:t xml:space="preserve">nemůže </w:t>
      </w:r>
      <w:r>
        <w:t xml:space="preserve">ho ani </w:t>
      </w:r>
      <w:r w:rsidRPr="00273106">
        <w:t>anulovat.</w:t>
      </w:r>
      <w:r w:rsidRPr="00273106">
        <w:rPr>
          <w:rStyle w:val="Znakapoznpodarou"/>
        </w:rPr>
        <w:footnoteReference w:id="595"/>
      </w:r>
      <w:r w:rsidRPr="00273106">
        <w:t xml:space="preserve"> Popření unitárních nároků buly </w:t>
      </w:r>
      <w:r>
        <w:rPr>
          <w:i/>
        </w:rPr>
        <w:t>Unam Sanctam</w:t>
      </w:r>
      <w:r>
        <w:rPr>
          <w:i/>
        </w:rPr>
        <w:fldChar w:fldCharType="begin"/>
      </w:r>
      <w:r>
        <w:instrText xml:space="preserve"> XE "</w:instrText>
      </w:r>
      <w:r>
        <w:rPr>
          <w:i/>
        </w:rPr>
        <w:instrText>Unam Sanctam</w:instrText>
      </w:r>
      <w:r>
        <w:instrText xml:space="preserve">" </w:instrText>
      </w:r>
      <w:r>
        <w:rPr>
          <w:i/>
        </w:rPr>
        <w:fldChar w:fldCharType="end"/>
      </w:r>
      <w:r>
        <w:t xml:space="preserve"> či zbožných mnišských falz</w:t>
      </w:r>
      <w:r w:rsidR="004E43A6">
        <w:t>ifikátů</w:t>
      </w:r>
      <w:r>
        <w:t xml:space="preserve"> jako byla </w:t>
      </w:r>
      <w:r w:rsidRPr="00C76012">
        <w:rPr>
          <w:i/>
        </w:rPr>
        <w:t>Konstantinova donace</w:t>
      </w:r>
      <w:r>
        <w:t xml:space="preserve"> </w:t>
      </w:r>
      <w:r w:rsidRPr="00273106">
        <w:t>je založeno na politické suverenitě lidu, která je nezadatelná a tvoří přir</w:t>
      </w:r>
      <w:r w:rsidR="00EA7B37">
        <w:t>ozené právo člověka dané bohem.</w:t>
      </w:r>
    </w:p>
    <w:p w:rsidR="00405437" w:rsidRDefault="08163013" w:rsidP="00FE5E89">
      <w:pPr>
        <w:ind w:firstLine="397"/>
      </w:pPr>
      <w:r w:rsidRPr="00273106">
        <w:t xml:space="preserve">Ockham ve stejné době jako Dantův spis </w:t>
      </w:r>
      <w:r w:rsidRPr="00273106">
        <w:rPr>
          <w:i/>
        </w:rPr>
        <w:t>Monarchia</w:t>
      </w:r>
      <w:r w:rsidR="00EC087A">
        <w:t xml:space="preserve"> odmítl</w:t>
      </w:r>
      <w:r w:rsidRPr="00273106">
        <w:t xml:space="preserve"> všechny klasické biblické exegeze podporující papežský nárok na politickou moc. Například metaforu o panovníkovi, který </w:t>
      </w:r>
      <w:r>
        <w:t>jako m</w:t>
      </w:r>
      <w:r w:rsidRPr="00273106">
        <w:t xml:space="preserve">ěsíc svítí odraženým světlem od papeže jako </w:t>
      </w:r>
      <w:r>
        <w:t>s</w:t>
      </w:r>
      <w:r w:rsidRPr="00273106">
        <w:t>lunce</w:t>
      </w:r>
      <w:r>
        <w:t>, n</w:t>
      </w:r>
      <w:r w:rsidRPr="00273106">
        <w:t xml:space="preserve">ebo teorii dvou mečů </w:t>
      </w:r>
      <w:r>
        <w:t xml:space="preserve">legitimující nadvládu </w:t>
      </w:r>
      <w:r w:rsidRPr="00273106">
        <w:t xml:space="preserve">duchovní </w:t>
      </w:r>
      <w:r>
        <w:t xml:space="preserve">nad </w:t>
      </w:r>
      <w:r w:rsidRPr="00273106">
        <w:t>světsk</w:t>
      </w:r>
      <w:r>
        <w:t>ou</w:t>
      </w:r>
      <w:r w:rsidRPr="00273106">
        <w:t xml:space="preserve">. Translace politické moci z císaře na papeže nemůže proběhnout, protože světská a duchovní moc se od sebe liší naprosto zásadním způsobem. </w:t>
      </w:r>
      <w:r>
        <w:t xml:space="preserve">A pokud papež v nějaké době vládne jako světský panovník, tak pouze z pověření lidu. Duchovní </w:t>
      </w:r>
      <w:r w:rsidRPr="089076A2">
        <w:rPr>
          <w:i/>
        </w:rPr>
        <w:t>auctoritas</w:t>
      </w:r>
      <w:r>
        <w:t xml:space="preserve"> a světská </w:t>
      </w:r>
      <w:r w:rsidRPr="089076A2">
        <w:rPr>
          <w:i/>
        </w:rPr>
        <w:t>potestas</w:t>
      </w:r>
      <w:r>
        <w:t xml:space="preserve"> jsou rodově odlišné formy moci, protože jejich racionalita a kauzalita má odlišný základ. Ockham rozlišuje </w:t>
      </w:r>
      <w:r w:rsidRPr="00273106">
        <w:t>dv</w:t>
      </w:r>
      <w:r>
        <w:t>a mody</w:t>
      </w:r>
      <w:r w:rsidRPr="00273106">
        <w:t xml:space="preserve"> poznání</w:t>
      </w:r>
      <w:r>
        <w:t xml:space="preserve"> dané dvojí extenzí teoretického intelektu do praxe</w:t>
      </w:r>
      <w:r w:rsidR="00FE5E89">
        <w:t xml:space="preserve">. </w:t>
      </w:r>
      <w:r w:rsidR="00FE5E89" w:rsidRPr="00FE5E89">
        <w:t xml:space="preserve">Podle </w:t>
      </w:r>
      <w:r w:rsidR="00FE5E89" w:rsidRPr="0820224D">
        <w:rPr>
          <w:i/>
        </w:rPr>
        <w:t>Druhých analytik</w:t>
      </w:r>
      <w:r w:rsidR="00FE5E89" w:rsidRPr="00273106">
        <w:t xml:space="preserve"> </w:t>
      </w:r>
      <w:r w:rsidR="00FE5E89" w:rsidRPr="00FE5E89">
        <w:t>nelze dedukci založenou na specifické kauzalitě př</w:t>
      </w:r>
      <w:r w:rsidR="00FE5E89">
        <w:t xml:space="preserve">enášet z jednoho rodu na druhý. </w:t>
      </w:r>
      <w:r w:rsidR="00045997">
        <w:t xml:space="preserve">Ockham založil </w:t>
      </w:r>
      <w:r>
        <w:t>moc</w:t>
      </w:r>
      <w:r w:rsidR="00045997">
        <w:t xml:space="preserve"> na suverenitě lidu a proto odmítl každý přenos politické moci, která má jiný genus. Papež nemůže přenést na panovníka moc, kterou sám nemá. A důvod je dokonce dvojí, protože tuto moc nemá ani panovník sám od sebe, ale díky mandátu k vládě, který dostal od suvernního lidu. Ockham tím teoreticky vyřešil </w:t>
      </w:r>
      <w:r w:rsidRPr="00273106">
        <w:t>všechny případy sporů papeže se světskými vládci, například s panovníkem Francie.</w:t>
      </w:r>
      <w:r w:rsidRPr="00273106">
        <w:rPr>
          <w:rStyle w:val="Znakapoznpodarou"/>
        </w:rPr>
        <w:footnoteReference w:id="596"/>
      </w:r>
      <w:r w:rsidRPr="00273106">
        <w:t xml:space="preserve"> </w:t>
      </w:r>
      <w:r w:rsidR="00045997">
        <w:t>S</w:t>
      </w:r>
      <w:r w:rsidR="00045997" w:rsidRPr="00273106">
        <w:t xml:space="preserve">tát existoval </w:t>
      </w:r>
      <w:r w:rsidR="00045997">
        <w:t>dávno před érou Nového zákona a b</w:t>
      </w:r>
      <w:r w:rsidR="00045997" w:rsidRPr="00273106">
        <w:t>ůh nepředal politickou mo</w:t>
      </w:r>
      <w:r w:rsidR="00045997">
        <w:t xml:space="preserve">c Petrovi ani jeho nástupcům. </w:t>
      </w:r>
      <w:r w:rsidRPr="00273106">
        <w:t xml:space="preserve">Ockham realisticky konstatuje, že římské </w:t>
      </w:r>
      <w:r w:rsidRPr="00273106">
        <w:lastRenderedPageBreak/>
        <w:t xml:space="preserve">impérium vzniklo </w:t>
      </w:r>
      <w:r>
        <w:t>silou meče</w:t>
      </w:r>
      <w:r w:rsidRPr="00273106">
        <w:t>, ostatní národy si podrobilo násilím, a proto může stejným násilím zaniknout.</w:t>
      </w:r>
      <w:r w:rsidRPr="00273106">
        <w:rPr>
          <w:rStyle w:val="Znakapoznpodarou"/>
        </w:rPr>
        <w:footnoteReference w:id="597"/>
      </w:r>
      <w:r w:rsidRPr="00273106">
        <w:t xml:space="preserve"> Otázka násilí dokazuje, že impérum a papežství nemají stejnou formu moci. Ani teokracie není v křesťan</w:t>
      </w:r>
      <w:r>
        <w:t>s</w:t>
      </w:r>
      <w:r w:rsidRPr="00273106">
        <w:t xml:space="preserve">tví možná. Moc církve byla dána na bohem vyvolené kněžstvo Nového zákona, které není dědičné, jako tomu bylo u Áronova kněžství ve Starém zákoně. Papežská moc nemá donucovací </w:t>
      </w:r>
      <w:r>
        <w:t xml:space="preserve">politickou </w:t>
      </w:r>
      <w:r w:rsidRPr="00273106">
        <w:t xml:space="preserve">moc </w:t>
      </w:r>
      <w:r>
        <w:t xml:space="preserve">ani </w:t>
      </w:r>
      <w:r w:rsidRPr="00273106">
        <w:t>sama ze sebe</w:t>
      </w:r>
      <w:r>
        <w:t xml:space="preserve"> ani z koncilu, prot</w:t>
      </w:r>
      <w:r w:rsidR="00405437">
        <w:t>ože forma její moci je odlišná.</w:t>
      </w:r>
    </w:p>
    <w:p w:rsidR="08163013" w:rsidRDefault="08163013" w:rsidP="00E81A45">
      <w:pPr>
        <w:ind w:firstLine="397"/>
      </w:pPr>
      <w:r>
        <w:t xml:space="preserve">Proto </w:t>
      </w:r>
      <w:r w:rsidRPr="00273106">
        <w:t xml:space="preserve">Ockham hájí </w:t>
      </w:r>
      <w:r>
        <w:t>nárok</w:t>
      </w:r>
      <w:r w:rsidRPr="00273106">
        <w:t xml:space="preserve"> papeže, který má z božského pověření absolutní a svrchovanou autoritu nad křesťanským lidem z titulu ochránce víry. Toto pověření bylo Petrovi a jeho nástupcům předáno přímo a tvoří součást jejich nezadatelné duchovní autority nad celým křesťanským lidem.</w:t>
      </w:r>
      <w:r w:rsidRPr="00273106">
        <w:rPr>
          <w:rStyle w:val="Znakapoznpodarou"/>
        </w:rPr>
        <w:footnoteReference w:id="598"/>
      </w:r>
      <w:r w:rsidRPr="00273106">
        <w:t xml:space="preserve"> Petr a jeho nástupci tvoří onu skálu, na níž je </w:t>
      </w:r>
      <w:r>
        <w:t xml:space="preserve">podle </w:t>
      </w:r>
      <w:r w:rsidRPr="0836526A">
        <w:rPr>
          <w:i/>
        </w:rPr>
        <w:t>Matoušova evangelia</w:t>
      </w:r>
      <w:r>
        <w:t xml:space="preserve"> </w:t>
      </w:r>
      <w:r w:rsidRPr="00273106">
        <w:t>vybudována autorita církve (</w:t>
      </w:r>
      <w:r w:rsidRPr="00273106">
        <w:rPr>
          <w:rStyle w:val="st"/>
        </w:rPr>
        <w:t>M</w:t>
      </w:r>
      <w:r>
        <w:rPr>
          <w:rStyle w:val="st"/>
        </w:rPr>
        <w:t>t</w:t>
      </w:r>
      <w:r w:rsidRPr="00273106">
        <w:rPr>
          <w:rStyle w:val="st"/>
        </w:rPr>
        <w:t xml:space="preserve"> 16:18</w:t>
      </w:r>
      <w:r>
        <w:rPr>
          <w:rStyle w:val="st"/>
        </w:rPr>
        <w:fldChar w:fldCharType="begin"/>
      </w:r>
      <w:r>
        <w:instrText xml:space="preserve"> XE "Nový zákon:</w:instrText>
      </w:r>
      <w:r>
        <w:rPr>
          <w:rStyle w:val="st"/>
        </w:rPr>
        <w:instrText>Mt 16.</w:instrText>
      </w:r>
      <w:r w:rsidRPr="002167D2">
        <w:rPr>
          <w:rStyle w:val="st"/>
        </w:rPr>
        <w:instrText>18</w:instrText>
      </w:r>
      <w:r>
        <w:instrText xml:space="preserve">" </w:instrText>
      </w:r>
      <w:r>
        <w:rPr>
          <w:rStyle w:val="st"/>
        </w:rPr>
        <w:fldChar w:fldCharType="end"/>
      </w:r>
      <w:r w:rsidRPr="00273106">
        <w:t xml:space="preserve">). </w:t>
      </w:r>
      <w:r>
        <w:t>Církevní k</w:t>
      </w:r>
      <w:r w:rsidRPr="00273106">
        <w:t xml:space="preserve">oncil </w:t>
      </w:r>
      <w:r>
        <w:t xml:space="preserve">celého </w:t>
      </w:r>
      <w:r w:rsidRPr="00273106">
        <w:t>křesťanského lidu takovou autoritu nemá</w:t>
      </w:r>
      <w:r>
        <w:t xml:space="preserve">, protože </w:t>
      </w:r>
      <w:r w:rsidRPr="00273106">
        <w:t xml:space="preserve">Petr dostal od boha pověření k vedení církve přímo, bez delegace koncilu či společenství apoštolů. Papeže heretika může křesťanský lid skrze koncil odvolat, nebo to může udělat křesťanský panovník jménem křesťanského lidu. </w:t>
      </w:r>
      <w:r>
        <w:t xml:space="preserve">Marsilius uchopil autoritu papeže v modelu politického pověření k vládě a dal </w:t>
      </w:r>
      <w:r w:rsidRPr="00273106">
        <w:t>suverenit</w:t>
      </w:r>
      <w:r>
        <w:t>u</w:t>
      </w:r>
      <w:r w:rsidRPr="00273106">
        <w:t xml:space="preserve"> donucovací moci (</w:t>
      </w:r>
      <w:r w:rsidRPr="00273106">
        <w:rPr>
          <w:i/>
        </w:rPr>
        <w:t>vis coactiva</w:t>
      </w:r>
      <w:r w:rsidRPr="00273106">
        <w:t>) křesťanském</w:t>
      </w:r>
      <w:r>
        <w:t>u</w:t>
      </w:r>
      <w:r w:rsidRPr="00273106">
        <w:t xml:space="preserve"> lidu </w:t>
      </w:r>
      <w:r>
        <w:t xml:space="preserve">a </w:t>
      </w:r>
      <w:r w:rsidRPr="00273106">
        <w:t>církevním</w:t>
      </w:r>
      <w:r>
        <w:t>u</w:t>
      </w:r>
      <w:r w:rsidRPr="00273106">
        <w:t xml:space="preserve"> koncilu.</w:t>
      </w:r>
      <w:r>
        <w:t xml:space="preserve"> </w:t>
      </w:r>
      <w:r w:rsidRPr="00273106">
        <w:t xml:space="preserve">Ockham </w:t>
      </w:r>
      <w:r>
        <w:t xml:space="preserve">dal církevní </w:t>
      </w:r>
      <w:r w:rsidRPr="00273106">
        <w:rPr>
          <w:i/>
        </w:rPr>
        <w:t>plenitudo potestatis</w:t>
      </w:r>
      <w:r w:rsidRPr="00273106">
        <w:t xml:space="preserve"> </w:t>
      </w:r>
      <w:r>
        <w:t xml:space="preserve">pouze a přímo papeži, proto </w:t>
      </w:r>
      <w:r w:rsidRPr="00273106">
        <w:t xml:space="preserve">odmítá </w:t>
      </w:r>
      <w:r>
        <w:t>Marsiliův konciliarismus</w:t>
      </w:r>
      <w:r>
        <w:fldChar w:fldCharType="begin"/>
      </w:r>
      <w:r>
        <w:instrText xml:space="preserve"> XE "</w:instrText>
      </w:r>
      <w:r w:rsidRPr="003407E6">
        <w:instrText>konciliarismus</w:instrText>
      </w:r>
      <w:r>
        <w:instrText xml:space="preserve">" </w:instrText>
      </w:r>
      <w:r>
        <w:fldChar w:fldCharType="end"/>
      </w:r>
      <w:r>
        <w:t xml:space="preserve">. </w:t>
      </w:r>
      <w:r w:rsidR="00A3652A" w:rsidRPr="00A3652A">
        <w:t>Ockham argumentuje proti Marsiliovi ve prospěch přímého předání moci Petro</w:t>
      </w:r>
      <w:r w:rsidR="00A3652A">
        <w:t>vi a jeho následovníkům. Důvod j</w:t>
      </w:r>
      <w:r w:rsidR="00A3652A" w:rsidRPr="00A3652A">
        <w:t xml:space="preserve">e opět </w:t>
      </w:r>
      <w:r w:rsidR="00A3652A">
        <w:t xml:space="preserve">založen na </w:t>
      </w:r>
      <w:r w:rsidR="00A3652A" w:rsidRPr="00A3652A">
        <w:rPr>
          <w:i/>
        </w:rPr>
        <w:t>Druhých analytikách</w:t>
      </w:r>
      <w:r w:rsidR="00A3652A" w:rsidRPr="00A3652A">
        <w:t xml:space="preserve">. Marsilius se dopustil chyby v obecné definici praktické racionality, kterou chybně aplikoval na zcela odlišnou povahu papežské moci. </w:t>
      </w:r>
      <w:r w:rsidR="00C261C3" w:rsidRPr="00C261C3">
        <w:t xml:space="preserve">Mandát, který Bůh papeži udělil a který mu umožnil jednat, má ve skutečnosti </w:t>
      </w:r>
      <w:r w:rsidR="00C261C3">
        <w:t xml:space="preserve">stejnou povahu </w:t>
      </w:r>
      <w:r w:rsidR="004E305C">
        <w:rPr>
          <w:i/>
          <w:szCs w:val="24"/>
          <w:lang w:val="de-DE"/>
        </w:rPr>
        <w:t>lex divina</w:t>
      </w:r>
      <w:r w:rsidR="004E305C">
        <w:rPr>
          <w:i/>
          <w:szCs w:val="24"/>
          <w:lang w:val="de-DE"/>
        </w:rPr>
        <w:fldChar w:fldCharType="begin"/>
      </w:r>
      <w:r w:rsidR="004E305C">
        <w:instrText xml:space="preserve"> XE "</w:instrText>
      </w:r>
      <w:r w:rsidR="004E305C" w:rsidRPr="000F73E4">
        <w:rPr>
          <w:i/>
          <w:szCs w:val="24"/>
          <w:lang w:val="de-DE"/>
        </w:rPr>
        <w:instrText>lex divina</w:instrText>
      </w:r>
      <w:r w:rsidR="004E305C">
        <w:instrText xml:space="preserve">" </w:instrText>
      </w:r>
      <w:r w:rsidR="004E305C">
        <w:rPr>
          <w:i/>
          <w:szCs w:val="24"/>
          <w:lang w:val="de-DE"/>
        </w:rPr>
        <w:fldChar w:fldCharType="end"/>
      </w:r>
      <w:r w:rsidR="004E305C">
        <w:rPr>
          <w:i/>
          <w:szCs w:val="24"/>
          <w:lang w:val="de-DE"/>
        </w:rPr>
        <w:t xml:space="preserve"> </w:t>
      </w:r>
      <w:r w:rsidR="00C261C3">
        <w:t>(nikoli</w:t>
      </w:r>
      <w:r w:rsidR="00601DC2">
        <w:t>v</w:t>
      </w:r>
      <w:r w:rsidR="00C261C3">
        <w:t xml:space="preserve"> však </w:t>
      </w:r>
      <w:r w:rsidR="00601DC2">
        <w:t xml:space="preserve">stejný </w:t>
      </w:r>
      <w:r w:rsidR="00C261C3">
        <w:t>rod) jako mandát, který b</w:t>
      </w:r>
      <w:r w:rsidR="00C261C3" w:rsidRPr="00C261C3">
        <w:t xml:space="preserve">ůh udělil celému lidstvu a který mu dal právo vládnout Zemi. </w:t>
      </w:r>
      <w:r>
        <w:t xml:space="preserve">Kauzalita papežské moci je dána předáním moci od boha k papeži, a ne od boha ke koncilu a pak k papeži. </w:t>
      </w:r>
      <w:r w:rsidRPr="00273106">
        <w:t xml:space="preserve">Nyní je jasné, proč Ockham zásadně a jednoznačně odmítl </w:t>
      </w:r>
      <w:r>
        <w:t>podobu</w:t>
      </w:r>
      <w:r w:rsidRPr="00273106">
        <w:t xml:space="preserve"> konciliarismu, </w:t>
      </w:r>
      <w:r>
        <w:t xml:space="preserve">kterou reprezentovalo </w:t>
      </w:r>
      <w:r w:rsidRPr="00273106">
        <w:t>Marsiliovo</w:t>
      </w:r>
      <w:r>
        <w:fldChar w:fldCharType="begin"/>
      </w:r>
      <w:r>
        <w:instrText xml:space="preserve"> XE "</w:instrText>
      </w:r>
      <w:r w:rsidRPr="00030AE2">
        <w:instrText>Marsilius z Padovy</w:instrText>
      </w:r>
      <w:r>
        <w:instrText xml:space="preserve">" </w:instrText>
      </w:r>
      <w:r>
        <w:fldChar w:fldCharType="end"/>
      </w:r>
      <w:r w:rsidRPr="00273106">
        <w:t xml:space="preserve"> dílo</w:t>
      </w:r>
      <w:r w:rsidRPr="00273106">
        <w:rPr>
          <w:i/>
          <w:iCs/>
        </w:rPr>
        <w:t xml:space="preserve"> Defensor pacis</w:t>
      </w:r>
      <w:r w:rsidRPr="00273106">
        <w:rPr>
          <w:iCs/>
        </w:rPr>
        <w:t xml:space="preserve"> (1324</w:t>
      </w:r>
      <w:r w:rsidR="00081DAB">
        <w:t>). M</w:t>
      </w:r>
      <w:r w:rsidRPr="00273106">
        <w:t xml:space="preserve">oc </w:t>
      </w:r>
      <w:r>
        <w:t xml:space="preserve">křesťanského </w:t>
      </w:r>
      <w:r w:rsidRPr="00273106">
        <w:t xml:space="preserve">lidu je podle Ockhama podřízena papežské </w:t>
      </w:r>
      <w:r w:rsidRPr="00273106">
        <w:lastRenderedPageBreak/>
        <w:t>suverenitě d</w:t>
      </w:r>
      <w:r>
        <w:t>ané od boha (Lagarde 1937, 431‒</w:t>
      </w:r>
      <w:r w:rsidRPr="00273106">
        <w:t>43). Důvod odmítnutí konciliarismu je jasný</w:t>
      </w:r>
      <w:r>
        <w:fldChar w:fldCharType="begin"/>
      </w:r>
      <w:r>
        <w:instrText xml:space="preserve"> XE "</w:instrText>
      </w:r>
      <w:r w:rsidRPr="003407E6">
        <w:instrText>konciliarismus</w:instrText>
      </w:r>
      <w:r>
        <w:instrText xml:space="preserve">" </w:instrText>
      </w:r>
      <w:r>
        <w:fldChar w:fldCharType="end"/>
      </w:r>
      <w:r>
        <w:t xml:space="preserve">. Tato teorie patří do generické sféry politické racionality, kdy společenství svobodných občanů jako suverénní </w:t>
      </w:r>
      <w:r w:rsidRPr="08AF6189">
        <w:rPr>
          <w:i/>
        </w:rPr>
        <w:t>causa sui</w:t>
      </w:r>
      <w:r>
        <w:t xml:space="preserve"> pověřuje panovníka k výkonu moci. Politická </w:t>
      </w:r>
      <w:r w:rsidRPr="00273106">
        <w:t xml:space="preserve">moc přechází od boha </w:t>
      </w:r>
      <w:r>
        <w:t xml:space="preserve">přirozeně </w:t>
      </w:r>
      <w:r w:rsidRPr="00273106">
        <w:t xml:space="preserve">na </w:t>
      </w:r>
      <w:r>
        <w:t xml:space="preserve">celé </w:t>
      </w:r>
      <w:r w:rsidRPr="00273106">
        <w:t xml:space="preserve">lidstvo a dále na konkrétní lid. Politická komunita předává </w:t>
      </w:r>
      <w:r>
        <w:t xml:space="preserve">svou </w:t>
      </w:r>
      <w:r w:rsidRPr="00273106">
        <w:t>nezadatelnou moc panovníkovi podle svého suverénního rozhodnutí</w:t>
      </w:r>
      <w:r>
        <w:t>, nebo si ji může ponechat a může vládnout jakýmkoliv jiným způsobem.</w:t>
      </w:r>
      <w:r w:rsidRPr="00273106">
        <w:t xml:space="preserve"> V politice platí konciliaristické pojetí, protože zd</w:t>
      </w:r>
      <w:r>
        <w:t>rojem moci je shromáždění samotného lidu</w:t>
      </w:r>
      <w:r>
        <w:fldChar w:fldCharType="begin"/>
      </w:r>
      <w:r>
        <w:instrText xml:space="preserve"> XE "politická racionalita:</w:instrText>
      </w:r>
      <w:r w:rsidRPr="00AE2895">
        <w:instrText>teorie dvou mečů</w:instrText>
      </w:r>
      <w:r>
        <w:instrText xml:space="preserve">" </w:instrText>
      </w:r>
      <w:r>
        <w:fldChar w:fldCharType="end"/>
      </w:r>
      <w:r>
        <w:t xml:space="preserve">. Pověření moci papeže patří do genericky odlišné oblasti moci církevní autority, kdy model </w:t>
      </w:r>
      <w:r w:rsidRPr="08AF6189">
        <w:rPr>
          <w:i/>
        </w:rPr>
        <w:t xml:space="preserve">causa </w:t>
      </w:r>
      <w:proofErr w:type="gramStart"/>
      <w:r w:rsidRPr="08AF6189">
        <w:rPr>
          <w:i/>
        </w:rPr>
        <w:t>sui</w:t>
      </w:r>
      <w:r>
        <w:t xml:space="preserve"> patří</w:t>
      </w:r>
      <w:proofErr w:type="gramEnd"/>
      <w:r>
        <w:t xml:space="preserve"> bohu a pak přímo papeži</w:t>
      </w:r>
      <w:r w:rsidRPr="00273106">
        <w:t>.</w:t>
      </w:r>
      <w:r>
        <w:t xml:space="preserve"> </w:t>
      </w:r>
      <w:r w:rsidR="00D802BD" w:rsidRPr="00D802BD">
        <w:t xml:space="preserve">Vzhledem k odlišné povaze papežské </w:t>
      </w:r>
      <w:r w:rsidR="00D802BD" w:rsidRPr="00D802BD">
        <w:rPr>
          <w:i/>
        </w:rPr>
        <w:t xml:space="preserve">causa </w:t>
      </w:r>
      <w:proofErr w:type="gramStart"/>
      <w:r w:rsidR="00D802BD" w:rsidRPr="00D802BD">
        <w:rPr>
          <w:i/>
        </w:rPr>
        <w:t>sui</w:t>
      </w:r>
      <w:r w:rsidR="00D802BD" w:rsidRPr="00D802BD">
        <w:t xml:space="preserve"> je</w:t>
      </w:r>
      <w:proofErr w:type="gramEnd"/>
      <w:r w:rsidR="00D802BD" w:rsidRPr="00D802BD">
        <w:t xml:space="preserve"> na druhou stranu zřejmé, že politická moc z</w:t>
      </w:r>
      <w:r w:rsidR="00D802BD">
        <w:t xml:space="preserve"> povahy věci papežství nepatří. </w:t>
      </w:r>
      <w:r w:rsidRPr="00273106">
        <w:t xml:space="preserve">Petr </w:t>
      </w:r>
      <w:r>
        <w:t xml:space="preserve">politickou moc </w:t>
      </w:r>
      <w:r w:rsidRPr="00273106">
        <w:t>od Krista nedostal, mimo jiné i proto, že Ježíš se zřekl výkonu donucovací politické moci ve svém pozemském životě.</w:t>
      </w:r>
      <w:r w:rsidRPr="00273106">
        <w:rPr>
          <w:rStyle w:val="Znakapoznpodarou"/>
        </w:rPr>
        <w:footnoteReference w:id="599"/>
      </w:r>
      <w:r w:rsidRPr="00273106">
        <w:t xml:space="preserve"> </w:t>
      </w:r>
      <w:r>
        <w:t>Papež nemá př</w:t>
      </w:r>
      <w:r w:rsidR="00FA7EC0">
        <w:t xml:space="preserve">ímý politický nárok na moc. </w:t>
      </w:r>
      <w:r w:rsidR="00C545F3" w:rsidRPr="00C545F3">
        <w:t xml:space="preserve">Marsilius tvrdil totéž, ale jeho teorie byla založena na falešných základech, pokud jde o rod obou typů moci. Jeho teorie jednoty církevní a světské moci byla ve skutečnosti stejného druhu jako bula </w:t>
      </w:r>
      <w:r w:rsidR="00C545F3" w:rsidRPr="00C545F3">
        <w:rPr>
          <w:i/>
        </w:rPr>
        <w:t>Unam Sanctam</w:t>
      </w:r>
      <w:r w:rsidR="00C545F3" w:rsidRPr="00C545F3">
        <w:t>, jen pořadí bylo obrácené.</w:t>
      </w:r>
      <w:r w:rsidR="00C545F3">
        <w:t xml:space="preserve"> Ockham </w:t>
      </w:r>
      <w:r w:rsidR="00F55086">
        <w:t xml:space="preserve">jasně vysvětlil, </w:t>
      </w:r>
      <w:r w:rsidR="00C545F3">
        <w:t xml:space="preserve">že </w:t>
      </w:r>
      <w:r w:rsidR="00F55086">
        <w:t xml:space="preserve">křesťanský </w:t>
      </w:r>
      <w:r>
        <w:t xml:space="preserve">lid nemá právo na </w:t>
      </w:r>
      <w:r w:rsidR="00B242F8">
        <w:t xml:space="preserve">nejvyšší </w:t>
      </w:r>
      <w:r>
        <w:t>duchovní moc</w:t>
      </w:r>
      <w:r w:rsidR="00F55086">
        <w:t xml:space="preserve">, protože její </w:t>
      </w:r>
      <w:r w:rsidR="00F55086" w:rsidRPr="008A2594">
        <w:rPr>
          <w:i/>
        </w:rPr>
        <w:t>causa sui</w:t>
      </w:r>
      <w:r w:rsidR="00F55086">
        <w:t xml:space="preserve"> je daná papeži jako jako </w:t>
      </w:r>
      <w:r>
        <w:t>církevní autoritě přímo od boha</w:t>
      </w:r>
      <w:r w:rsidR="009308B7">
        <w:t>,</w:t>
      </w:r>
      <w:r w:rsidR="00F55086">
        <w:t xml:space="preserve"> a to v rámci </w:t>
      </w:r>
      <w:r w:rsidR="00F55086" w:rsidRPr="00F55086">
        <w:rPr>
          <w:i/>
        </w:rPr>
        <w:t>lex divina</w:t>
      </w:r>
      <w:r>
        <w:t>. Protože oba typy moci jsou z hlediska kauzality rodově odlišné, pak koncil nemá církevní moc nad papežem a papež nemá politickou moc nad panovníky</w:t>
      </w:r>
      <w:r>
        <w:fldChar w:fldCharType="begin"/>
      </w:r>
      <w:r>
        <w:instrText xml:space="preserve"> XE "</w:instrText>
      </w:r>
      <w:r w:rsidRPr="00986DED">
        <w:instrText>pol</w:instrText>
      </w:r>
      <w:r>
        <w:instrText>i</w:instrText>
      </w:r>
      <w:r w:rsidRPr="00986DED">
        <w:instrText>tická racionalita:</w:instrText>
      </w:r>
      <w:r w:rsidRPr="000D5175">
        <w:rPr>
          <w:i/>
        </w:rPr>
        <w:instrText>auctoritas/potestas</w:instrText>
      </w:r>
      <w:r>
        <w:instrText xml:space="preserve">" </w:instrText>
      </w:r>
      <w:r>
        <w:fldChar w:fldCharType="end"/>
      </w:r>
      <w:r>
        <w:t xml:space="preserve">. Církevní společenství nemá moc založenu na stejném principu jako politická komunita. Zdroj moci papežských klíčů </w:t>
      </w:r>
      <w:r w:rsidRPr="00273106">
        <w:t>svazovat a</w:t>
      </w:r>
      <w:r>
        <w:t xml:space="preserve"> rozvazovat</w:t>
      </w:r>
      <w:r w:rsidRPr="00273106">
        <w:t xml:space="preserve"> leží přímo u boha a předání této moci se děje svátostným způsobem</w:t>
      </w:r>
      <w:r>
        <w:t xml:space="preserve"> na Petra a na jeho nástupce</w:t>
      </w:r>
      <w:r w:rsidRPr="00273106">
        <w:t xml:space="preserve">. Žádné společenství křesťanů či koncil nemůže </w:t>
      </w:r>
      <w:r>
        <w:t xml:space="preserve">toto boží pověření </w:t>
      </w:r>
      <w:r w:rsidRPr="00273106">
        <w:t>papeži ani delegovat, ani odebrat</w:t>
      </w:r>
      <w:r>
        <w:t>. S</w:t>
      </w:r>
      <w:r w:rsidRPr="00273106">
        <w:t xml:space="preserve">polečenství křesťanů </w:t>
      </w:r>
      <w:r>
        <w:t xml:space="preserve">podle Ockhama nevlastní papežskou </w:t>
      </w:r>
      <w:r w:rsidRPr="00273106">
        <w:t>moc</w:t>
      </w:r>
      <w:r>
        <w:t xml:space="preserve">, protože křesťanský lid ani koncil není </w:t>
      </w:r>
      <w:r w:rsidRPr="089800E6">
        <w:rPr>
          <w:i/>
        </w:rPr>
        <w:t>causa sui</w:t>
      </w:r>
      <w:r>
        <w:t xml:space="preserve"> vzhledem k papežství</w:t>
      </w:r>
      <w:r>
        <w:fldChar w:fldCharType="begin"/>
      </w:r>
      <w:r>
        <w:instrText xml:space="preserve"> XE "</w:instrText>
      </w:r>
      <w:r w:rsidRPr="003407E6">
        <w:instrText>konciliarismus</w:instrText>
      </w:r>
      <w:r>
        <w:instrText xml:space="preserve">" </w:instrText>
      </w:r>
      <w:r>
        <w:fldChar w:fldCharType="end"/>
      </w:r>
      <w:r w:rsidR="003669C1">
        <w:t xml:space="preserve">. </w:t>
      </w:r>
      <w:r w:rsidRPr="00273106">
        <w:t xml:space="preserve">Výslovnou kritiku Marsiliova díla </w:t>
      </w:r>
      <w:r w:rsidRPr="00273106">
        <w:rPr>
          <w:i/>
        </w:rPr>
        <w:t>Defensor Pacis</w:t>
      </w:r>
      <w:r w:rsidRPr="00273106">
        <w:t xml:space="preserve"> najdeme ve třetí části spisu </w:t>
      </w:r>
      <w:r w:rsidRPr="00273106">
        <w:rPr>
          <w:i/>
        </w:rPr>
        <w:t>Dialogus</w:t>
      </w:r>
      <w:r w:rsidRPr="00273106">
        <w:t xml:space="preserve"> psanou po </w:t>
      </w:r>
      <w:r w:rsidR="00AA5597">
        <w:t xml:space="preserve">roce </w:t>
      </w:r>
      <w:r w:rsidRPr="00273106">
        <w:t>1338. Teol</w:t>
      </w:r>
      <w:r w:rsidR="0016633B">
        <w:t xml:space="preserve">ogická část Ockhamovy kritiky Marsilia provádí rozbor </w:t>
      </w:r>
      <w:r w:rsidRPr="00273106">
        <w:t xml:space="preserve">papežského primátu a </w:t>
      </w:r>
      <w:r w:rsidR="0016633B">
        <w:t xml:space="preserve">odmítá argumenty o </w:t>
      </w:r>
      <w:r w:rsidRPr="00273106">
        <w:t>superiorit</w:t>
      </w:r>
      <w:r w:rsidR="0016633B">
        <w:t>ě</w:t>
      </w:r>
      <w:r w:rsidRPr="00273106">
        <w:t xml:space="preserve"> a neomylnosti všeobecného koncilu. Donucovací moc ve věcech víry a mravů je Petrovi a jeho </w:t>
      </w:r>
      <w:r w:rsidRPr="00273106">
        <w:lastRenderedPageBreak/>
        <w:t>nástupcům svěřena přímo od boha a mimo pravomoc koncilu</w:t>
      </w:r>
      <w:r>
        <w:t xml:space="preserve">. </w:t>
      </w:r>
      <w:r w:rsidRPr="00273106">
        <w:t>Marsilius z Padovy</w:t>
      </w:r>
      <w:r>
        <w:fldChar w:fldCharType="begin"/>
      </w:r>
      <w:r>
        <w:instrText xml:space="preserve"> XE "</w:instrText>
      </w:r>
      <w:r w:rsidRPr="001B1917">
        <w:instrText>Marsilius z Padovy</w:instrText>
      </w:r>
      <w:r>
        <w:instrText xml:space="preserve">" </w:instrText>
      </w:r>
      <w:r>
        <w:fldChar w:fldCharType="end"/>
      </w:r>
      <w:r w:rsidRPr="00273106">
        <w:t xml:space="preserve"> v</w:t>
      </w:r>
      <w:r>
        <w:t xml:space="preserve">ytvořil unitární teorii a </w:t>
      </w:r>
      <w:r w:rsidRPr="00273106">
        <w:t>dal veškerou moc c</w:t>
      </w:r>
      <w:r>
        <w:t>írkevnímu a obecnému lidu</w:t>
      </w:r>
      <w:r>
        <w:fldChar w:fldCharType="begin"/>
      </w:r>
      <w:r>
        <w:instrText xml:space="preserve"> XE "</w:instrText>
      </w:r>
      <w:r w:rsidRPr="003407E6">
        <w:instrText>konciliarismus</w:instrText>
      </w:r>
      <w:r>
        <w:instrText xml:space="preserve">" </w:instrText>
      </w:r>
      <w:r>
        <w:fldChar w:fldCharType="end"/>
      </w:r>
      <w:r>
        <w:t xml:space="preserve">. Tím podle Ockhama </w:t>
      </w:r>
      <w:r w:rsidRPr="00273106">
        <w:t>zrušil autonomii duchovní sféry dané přímo od boha</w:t>
      </w:r>
      <w:r>
        <w:t xml:space="preserve"> jako původní kauzality pro moc papeže</w:t>
      </w:r>
      <w:r w:rsidRPr="00273106">
        <w:t>. Ockham považuje translaci papežovy autority na církevní koncil či opačný proces za herezi. Boží lid či koncil Petrovu moc klíčů nikdy neměl</w:t>
      </w:r>
      <w:r>
        <w:t xml:space="preserve">, takže ji ani nemůže </w:t>
      </w:r>
      <w:r w:rsidRPr="00273106">
        <w:t>předávat.</w:t>
      </w:r>
      <w:r>
        <w:t xml:space="preserve"> Stejně tak panovník neměl a nemá moc sám ze sebe, protože přirozené právo k vládě patří lidu. Konciliaristická teorie chybně staví na politické extenzi praktického intelektu, protože papežská moc patří do teologické extenze praktického intelektu. Oba výkony praxe jsou rodově odlišné, protože se liší z hlediska zakládající kauzality dané jako původní pověření k vládě. </w:t>
      </w:r>
      <w:r w:rsidR="00E81A45" w:rsidRPr="00E81A45">
        <w:t xml:space="preserve">Brilantní Ockhamova kritika odmítla jak duchovní nárok politicky založeného konciliarismu, tak církevní nárok na politickou moc </w:t>
      </w:r>
      <w:r w:rsidR="00E81A45">
        <w:t xml:space="preserve">chybně podaný </w:t>
      </w:r>
      <w:r w:rsidR="00E81A45" w:rsidRPr="00E81A45">
        <w:t xml:space="preserve">v bule </w:t>
      </w:r>
      <w:r w:rsidR="00E81A45" w:rsidRPr="00E81A45">
        <w:rPr>
          <w:i/>
        </w:rPr>
        <w:t>Unam Sanctam</w:t>
      </w:r>
      <w:r w:rsidR="0042194D">
        <w:rPr>
          <w:i/>
        </w:rPr>
        <w:fldChar w:fldCharType="begin"/>
      </w:r>
      <w:r w:rsidR="0042194D">
        <w:instrText xml:space="preserve"> XE "</w:instrText>
      </w:r>
      <w:r w:rsidR="0042194D" w:rsidRPr="0054604A">
        <w:rPr>
          <w:i/>
        </w:rPr>
        <w:instrText>Unam Sanctam</w:instrText>
      </w:r>
      <w:r w:rsidR="0042194D">
        <w:instrText xml:space="preserve">" </w:instrText>
      </w:r>
      <w:r w:rsidR="0042194D">
        <w:rPr>
          <w:i/>
        </w:rPr>
        <w:fldChar w:fldCharType="end"/>
      </w:r>
      <w:r>
        <w:t>.</w:t>
      </w:r>
    </w:p>
    <w:p w:rsidR="004157FA" w:rsidRDefault="08163013" w:rsidP="08E90044">
      <w:r>
        <w:tab/>
      </w:r>
      <w:r w:rsidRPr="00273106">
        <w:t xml:space="preserve">Krátký exkurz do povahy politické </w:t>
      </w:r>
      <w:r>
        <w:t xml:space="preserve">a papežské </w:t>
      </w:r>
      <w:r w:rsidRPr="00273106">
        <w:t xml:space="preserve">moci ukázal, že Ockham </w:t>
      </w:r>
      <w:r>
        <w:t xml:space="preserve">v díle </w:t>
      </w:r>
      <w:r w:rsidRPr="086D6ACB">
        <w:rPr>
          <w:i/>
        </w:rPr>
        <w:t>Dialogus</w:t>
      </w:r>
      <w:r>
        <w:t xml:space="preserve"> </w:t>
      </w:r>
      <w:r w:rsidRPr="00273106">
        <w:t xml:space="preserve">plně obhájil základní linii Albertova a Sigerova výkladu Aristotelovy </w:t>
      </w:r>
      <w:r w:rsidRPr="084F47E9">
        <w:rPr>
          <w:i/>
        </w:rPr>
        <w:t>Politiky</w:t>
      </w:r>
      <w:r w:rsidRPr="00273106">
        <w:t xml:space="preserve">. </w:t>
      </w:r>
      <w:r>
        <w:t xml:space="preserve">Ockham </w:t>
      </w:r>
      <w:r w:rsidRPr="00273106">
        <w:t xml:space="preserve">sleduje </w:t>
      </w:r>
      <w:r>
        <w:t xml:space="preserve">stejné </w:t>
      </w:r>
      <w:r w:rsidRPr="00273106">
        <w:rPr>
          <w:i/>
        </w:rPr>
        <w:t>ratio</w:t>
      </w:r>
      <w:r w:rsidRPr="00273106">
        <w:t xml:space="preserve"> politické teorie, které zavedl Albertův výklad Aristotelovy </w:t>
      </w:r>
      <w:r w:rsidRPr="084F47E9">
        <w:rPr>
          <w:i/>
        </w:rPr>
        <w:t>Politiky</w:t>
      </w:r>
      <w:r w:rsidRPr="00273106">
        <w:t xml:space="preserve"> </w:t>
      </w:r>
      <w:r>
        <w:t xml:space="preserve">zásadním rozdílem mezi termíny </w:t>
      </w:r>
      <w:r w:rsidRPr="00273106">
        <w:rPr>
          <w:i/>
        </w:rPr>
        <w:t>regnabil</w:t>
      </w:r>
      <w:r>
        <w:rPr>
          <w:i/>
        </w:rPr>
        <w:t>is</w:t>
      </w:r>
      <w:r>
        <w:t xml:space="preserve"> a </w:t>
      </w:r>
      <w:r w:rsidRPr="00273106">
        <w:rPr>
          <w:i/>
        </w:rPr>
        <w:t>regnativus</w:t>
      </w:r>
      <w:r>
        <w:rPr>
          <w:i/>
        </w:rPr>
        <w:fldChar w:fldCharType="begin"/>
      </w:r>
      <w:r>
        <w:instrText xml:space="preserve"> XE "politická racionalita:</w:instrText>
      </w:r>
      <w:r>
        <w:rPr>
          <w:i/>
        </w:rPr>
        <w:instrText>regnabilis/</w:instrText>
      </w:r>
      <w:r w:rsidRPr="00A47616">
        <w:rPr>
          <w:i/>
        </w:rPr>
        <w:instrText>regnativus</w:instrText>
      </w:r>
      <w:r>
        <w:instrText xml:space="preserve">" </w:instrText>
      </w:r>
      <w:r>
        <w:rPr>
          <w:i/>
        </w:rPr>
        <w:fldChar w:fldCharType="end"/>
      </w:r>
      <w:r w:rsidRPr="00273106">
        <w:t xml:space="preserve">. </w:t>
      </w:r>
      <w:r w:rsidR="00164847">
        <w:t>Autonomie politické praxe</w:t>
      </w:r>
      <w:r>
        <w:t xml:space="preserve"> </w:t>
      </w:r>
      <w:r w:rsidRPr="00273106">
        <w:t xml:space="preserve">je dána </w:t>
      </w:r>
      <w:r>
        <w:t xml:space="preserve">generickým </w:t>
      </w:r>
      <w:r w:rsidRPr="00273106">
        <w:t>rozlišením církevní a světské moci</w:t>
      </w:r>
      <w:r w:rsidR="00164847">
        <w:t xml:space="preserve"> vzhledem k rodově odlišné </w:t>
      </w:r>
      <w:r>
        <w:t>účinné kauzalitě</w:t>
      </w:r>
      <w:r w:rsidRPr="00273106">
        <w:t xml:space="preserve">. Každá z nich má vlastní racionalitu a zdůvodnění, ale obě pocházejí od boha jako posledního zdroje vší moci. </w:t>
      </w:r>
      <w:r w:rsidR="00812513">
        <w:t xml:space="preserve">Podle </w:t>
      </w:r>
      <w:r w:rsidR="00812513" w:rsidRPr="00812513">
        <w:t>Albert</w:t>
      </w:r>
      <w:r w:rsidR="00812513">
        <w:t>ovy politické teorie platí, že p</w:t>
      </w:r>
      <w:r w:rsidR="00812513" w:rsidRPr="00812513">
        <w:t>okud papež vykonává politickou moc ja</w:t>
      </w:r>
      <w:r w:rsidR="00812513">
        <w:t>ko výkonný orgán pod označením „</w:t>
      </w:r>
      <w:r w:rsidR="00812513" w:rsidRPr="00812513">
        <w:rPr>
          <w:i/>
        </w:rPr>
        <w:t>regnativus</w:t>
      </w:r>
      <w:r w:rsidR="00812513">
        <w:t>“, pak dostává mandát daný skrze pojem „</w:t>
      </w:r>
      <w:r w:rsidR="00812513" w:rsidRPr="00812513">
        <w:rPr>
          <w:i/>
        </w:rPr>
        <w:t>regnabile</w:t>
      </w:r>
      <w:r w:rsidR="00812513">
        <w:t>“</w:t>
      </w:r>
      <w:r w:rsidR="00812513" w:rsidRPr="00812513">
        <w:t xml:space="preserve">. Konečný zdroj </w:t>
      </w:r>
      <w:r w:rsidR="00812513">
        <w:t xml:space="preserve">této </w:t>
      </w:r>
      <w:r w:rsidR="00812513" w:rsidRPr="00812513">
        <w:t xml:space="preserve">moci je plně </w:t>
      </w:r>
      <w:r w:rsidR="00812513">
        <w:t xml:space="preserve">v rukou </w:t>
      </w:r>
      <w:r w:rsidR="00812513" w:rsidRPr="00812513">
        <w:t xml:space="preserve">lidu. </w:t>
      </w:r>
      <w:r w:rsidR="008C0D20" w:rsidRPr="008C0D20">
        <w:t>Ockham tento rozdíl brilantně specifikoval</w:t>
      </w:r>
      <w:r w:rsidR="008C0D20">
        <w:t xml:space="preserve"> tím, že </w:t>
      </w:r>
      <w:r w:rsidR="008C0D20" w:rsidRPr="008C0D20">
        <w:t xml:space="preserve">vytvořil tři vrstvy hierarchicky uspořádané architektury uvažování: typ kauzality, která generuje tu či onu moc; právní mandát, který dává právo vykonávat tento typ moci; legitimita jednající osoby, která tento mandát získala prostřednictvím </w:t>
      </w:r>
      <w:r w:rsidR="008C0D20" w:rsidRPr="008C0D20">
        <w:rPr>
          <w:i/>
        </w:rPr>
        <w:t>translatio imperii</w:t>
      </w:r>
      <w:r w:rsidR="008C0D20" w:rsidRPr="008C0D20">
        <w:t xml:space="preserve">. </w:t>
      </w:r>
      <w:r w:rsidRPr="00273106">
        <w:t xml:space="preserve">Za prvé je dán </w:t>
      </w:r>
      <w:r w:rsidR="00B01E36" w:rsidRPr="00273106">
        <w:t xml:space="preserve">původní zdroj vlády </w:t>
      </w:r>
      <w:r w:rsidR="0078463A">
        <w:t xml:space="preserve">od </w:t>
      </w:r>
      <w:r w:rsidR="00B01E36" w:rsidRPr="00273106">
        <w:t xml:space="preserve">boha </w:t>
      </w:r>
      <w:r w:rsidRPr="00273106">
        <w:t>a z něj plynoucí defin</w:t>
      </w:r>
      <w:r>
        <w:t xml:space="preserve">ice </w:t>
      </w:r>
      <w:r w:rsidR="00B01E36">
        <w:t xml:space="preserve">speciúfické povahy </w:t>
      </w:r>
      <w:r>
        <w:t>duchovní nebo světské moci</w:t>
      </w:r>
      <w:r w:rsidRPr="00273106">
        <w:t xml:space="preserve">. Za druhé je popsán </w:t>
      </w:r>
      <w:r>
        <w:t xml:space="preserve">v modu legitimního pověření k vládě </w:t>
      </w:r>
      <w:r w:rsidRPr="00273106">
        <w:t xml:space="preserve">akt platného či neplatného držení této moci dané od boha papeži </w:t>
      </w:r>
      <w:r>
        <w:t xml:space="preserve">v případě duchovní moci, </w:t>
      </w:r>
      <w:r w:rsidRPr="00273106">
        <w:t xml:space="preserve">nebo přirozeně delegované na celek lidstva </w:t>
      </w:r>
      <w:r>
        <w:t>v případě politické vlády</w:t>
      </w:r>
      <w:r w:rsidRPr="00273106">
        <w:t xml:space="preserve">. Za třetí je analyzován legitimní či nelegitimní výkon takto předané moci v rámci té či oné konkrétní osoby </w:t>
      </w:r>
      <w:r>
        <w:t>papeže nebo panovníka</w:t>
      </w:r>
      <w:r w:rsidRPr="00273106">
        <w:t xml:space="preserve">. </w:t>
      </w:r>
      <w:r>
        <w:t xml:space="preserve">Exekutivní výkon moci má vlastní donucovací pramovoc </w:t>
      </w:r>
      <w:r w:rsidRPr="00273106">
        <w:t>(</w:t>
      </w:r>
      <w:r w:rsidRPr="00273106">
        <w:rPr>
          <w:i/>
        </w:rPr>
        <w:t xml:space="preserve">vis </w:t>
      </w:r>
      <w:r w:rsidRPr="00273106">
        <w:rPr>
          <w:i/>
        </w:rPr>
        <w:lastRenderedPageBreak/>
        <w:t>coactiva</w:t>
      </w:r>
      <w:r>
        <w:rPr>
          <w:i/>
        </w:rPr>
        <w:fldChar w:fldCharType="begin"/>
      </w:r>
      <w:r>
        <w:instrText xml:space="preserve"> XE "</w:instrText>
      </w:r>
      <w:r w:rsidRPr="00426989">
        <w:rPr>
          <w:i/>
        </w:rPr>
        <w:instrText>vis coactiva</w:instrText>
      </w:r>
      <w:r>
        <w:instrText xml:space="preserve">" </w:instrText>
      </w:r>
      <w:r>
        <w:rPr>
          <w:i/>
        </w:rPr>
        <w:fldChar w:fldCharType="end"/>
      </w:r>
      <w:r w:rsidRPr="00273106">
        <w:t>)</w:t>
      </w:r>
      <w:r>
        <w:t xml:space="preserve">, kterou může vykonávat lid politicky a papež duchovně. </w:t>
      </w:r>
      <w:r w:rsidRPr="00273106">
        <w:t xml:space="preserve">Vláda božího a lidského zákona je </w:t>
      </w:r>
      <w:r>
        <w:t xml:space="preserve">také </w:t>
      </w:r>
      <w:r w:rsidRPr="00273106">
        <w:t xml:space="preserve">dána </w:t>
      </w:r>
      <w:r>
        <w:t xml:space="preserve">pokaždé jiným </w:t>
      </w:r>
      <w:r w:rsidRPr="00273106">
        <w:t>způsobem. V případě politické moci jde toto pověření od boha k lidské komunitě jako přirozené právo nebo jako plnost moci, které lid delegací předává na panovníka. Vláda božího zákona je naopak zcela oddělena od politické moci, protože její delegace jde od boha k papeži</w:t>
      </w:r>
      <w:r>
        <w:t xml:space="preserve"> přímo</w:t>
      </w:r>
      <w:r w:rsidRPr="00273106">
        <w:t xml:space="preserve">. Posledním zdrojem </w:t>
      </w:r>
      <w:r>
        <w:t xml:space="preserve">duchovního a světského </w:t>
      </w:r>
      <w:r w:rsidRPr="00273106">
        <w:t xml:space="preserve">zákona je bůh jako finální kauza. </w:t>
      </w:r>
      <w:r>
        <w:t xml:space="preserve">Z této perspektivy jsou posuzovány </w:t>
      </w:r>
      <w:r w:rsidRPr="00273106">
        <w:t>případy pravověrného versus heretického papeže, nebo usurpátorského diktátora versus spravedlivého vládce.</w:t>
      </w:r>
      <w:r>
        <w:t xml:space="preserve"> V případě heretického papeže přebírá donucovací funkci všeobecný koncil, křesťanský lid či křesťanský panovník jednající jménem křesťanského lidu. </w:t>
      </w:r>
      <w:r w:rsidR="005B7555" w:rsidRPr="005B7555">
        <w:t xml:space="preserve">Důvod pro to však musí být naprosto pádný, když je výkon úřadu znemožněn kvůli osobě dotyčného papeže. Ten je </w:t>
      </w:r>
      <w:r w:rsidR="005B7555" w:rsidRPr="005B7555">
        <w:rPr>
          <w:i/>
        </w:rPr>
        <w:t>causa sui</w:t>
      </w:r>
      <w:r w:rsidR="005B7555" w:rsidRPr="005B7555">
        <w:t xml:space="preserve"> jako papež, a nikoliv křesťanský lid. Lid může světského panovníka kdykoli sesadit, protože panovník dostal moc od lidu. </w:t>
      </w:r>
      <w:r>
        <w:t xml:space="preserve">Celá teorie politické a církevní praxe má jasně daný aristotelský charakter odvozený z praktického sylogismu pro politickou racionalitu. </w:t>
      </w:r>
      <w:r w:rsidRPr="00273106">
        <w:t xml:space="preserve">Obecný zákon je univerzální, ale střední člen praktického soudu nikoliv. </w:t>
      </w:r>
      <w:r>
        <w:t>E</w:t>
      </w:r>
      <w:r w:rsidRPr="00273106">
        <w:t xml:space="preserve">fektivní kauza </w:t>
      </w:r>
      <w:r>
        <w:t xml:space="preserve">je </w:t>
      </w:r>
      <w:r w:rsidRPr="00273106">
        <w:t>vázaná na konkrétního a jednajícího člověka</w:t>
      </w:r>
      <w:r>
        <w:t xml:space="preserve"> v modu </w:t>
      </w:r>
      <w:r w:rsidRPr="08A32165">
        <w:rPr>
          <w:i/>
        </w:rPr>
        <w:t xml:space="preserve">tertium </w:t>
      </w:r>
      <w:r w:rsidR="00962190">
        <w:rPr>
          <w:i/>
        </w:rPr>
        <w:t>genus</w:t>
      </w:r>
      <w:r>
        <w:t xml:space="preserve">, což je historicky daný </w:t>
      </w:r>
      <w:r w:rsidRPr="00273106">
        <w:t>panovn</w:t>
      </w:r>
      <w:r>
        <w:t xml:space="preserve">ík a papež. Pokud je určení moci dáno abstraktně, pak nastupují specifické univerzální instance v modu </w:t>
      </w:r>
      <w:r w:rsidRPr="08A32165">
        <w:rPr>
          <w:i/>
        </w:rPr>
        <w:t xml:space="preserve">quartum </w:t>
      </w:r>
      <w:r w:rsidR="00962190">
        <w:rPr>
          <w:i/>
        </w:rPr>
        <w:t>genus</w:t>
      </w:r>
      <w:r>
        <w:t xml:space="preserve"> (lidstvo, římský lid, království, papežství). Výkon světské či papežské moci je dán </w:t>
      </w:r>
      <w:r w:rsidRPr="00273106">
        <w:t>dvojím</w:t>
      </w:r>
      <w:r>
        <w:t xml:space="preserve"> z</w:t>
      </w:r>
      <w:r w:rsidRPr="00273106">
        <w:t>působem</w:t>
      </w:r>
      <w:r>
        <w:t xml:space="preserve"> a jeho autonomii zakládá příslušná rodově daná racionalita praktické extenze</w:t>
      </w:r>
      <w:r w:rsidRPr="00273106">
        <w:t xml:space="preserve">. Proto máme dva odlišné typy praktického sylogismu </w:t>
      </w:r>
      <w:r>
        <w:t xml:space="preserve">opřené o kauzalitu singulárního jednání toho či onoho </w:t>
      </w:r>
      <w:r w:rsidRPr="00273106">
        <w:t>papež</w:t>
      </w:r>
      <w:r>
        <w:t xml:space="preserve">e a císaře v existenciálním modu </w:t>
      </w:r>
      <w:r w:rsidRPr="085926AF">
        <w:rPr>
          <w:i/>
        </w:rPr>
        <w:t xml:space="preserve">tertium </w:t>
      </w:r>
      <w:r w:rsidR="00962190">
        <w:rPr>
          <w:i/>
        </w:rPr>
        <w:t>genus</w:t>
      </w:r>
      <w:r>
        <w:t xml:space="preserve">. Oba nositelé genericky odlišného typu moci jsou omylní, hříšní, a mohou být </w:t>
      </w:r>
      <w:r w:rsidRPr="00703C4C">
        <w:rPr>
          <w:i/>
        </w:rPr>
        <w:t>in extremis</w:t>
      </w:r>
      <w:r>
        <w:t xml:space="preserve"> ze svých činů souzeni a sesazeni z trůnu buď koncilem nebo politickou komunitou</w:t>
      </w:r>
      <w:r>
        <w:fldChar w:fldCharType="begin"/>
      </w:r>
      <w:r>
        <w:instrText xml:space="preserve"> XE "</w:instrText>
      </w:r>
      <w:r w:rsidRPr="003407E6">
        <w:instrText>konciliarismus</w:instrText>
      </w:r>
      <w:r>
        <w:instrText xml:space="preserve">" </w:instrText>
      </w:r>
      <w:r>
        <w:fldChar w:fldCharType="end"/>
      </w:r>
      <w:r>
        <w:t xml:space="preserve">. </w:t>
      </w:r>
      <w:r w:rsidR="00E0182C">
        <w:t>R</w:t>
      </w:r>
      <w:r>
        <w:t xml:space="preserve">acionalita daná v modu </w:t>
      </w:r>
      <w:r w:rsidRPr="085926AF">
        <w:rPr>
          <w:i/>
        </w:rPr>
        <w:t xml:space="preserve">quartum </w:t>
      </w:r>
      <w:r w:rsidR="00962190">
        <w:rPr>
          <w:i/>
        </w:rPr>
        <w:t>genus</w:t>
      </w:r>
      <w:r>
        <w:t xml:space="preserve"> </w:t>
      </w:r>
      <w:r w:rsidRPr="00273106">
        <w:t>determinuje obecnou církevní moc tohoto singulárního papež</w:t>
      </w:r>
      <w:r>
        <w:t xml:space="preserve">e a druhá zase </w:t>
      </w:r>
      <w:r w:rsidRPr="00273106">
        <w:t xml:space="preserve">obecnou světskou moc tohoto singulárního panovníka. Tím je praktický sylogismus kompletní, protože má jak univerzální </w:t>
      </w:r>
      <w:r w:rsidRPr="00273106">
        <w:rPr>
          <w:i/>
        </w:rPr>
        <w:t>maior</w:t>
      </w:r>
      <w:r w:rsidRPr="00273106">
        <w:t xml:space="preserve">, tak i partikulární </w:t>
      </w:r>
      <w:r w:rsidRPr="00273106">
        <w:rPr>
          <w:i/>
        </w:rPr>
        <w:t>minor</w:t>
      </w:r>
      <w:r w:rsidRPr="00273106">
        <w:t xml:space="preserve"> pro správný praktický závěr ve věcech politiky, víry a mravů. Toto brilantní rozlišení posledního představitele prvního averroismu </w:t>
      </w:r>
      <w:r>
        <w:t>o</w:t>
      </w:r>
      <w:r w:rsidR="00947FBB">
        <w:t xml:space="preserve">dmítli oba druhy moderních objektivistů. </w:t>
      </w:r>
      <w:r w:rsidR="00947FBB" w:rsidRPr="00947FBB">
        <w:t xml:space="preserve">Radikální teokrat Aegidius hájil zájmy </w:t>
      </w:r>
      <w:r w:rsidR="00947FBB">
        <w:t xml:space="preserve">unifikované </w:t>
      </w:r>
      <w:r w:rsidR="00947FBB" w:rsidRPr="00947FBB">
        <w:t xml:space="preserve">papežské moci; radikální konciliarista Marsilius hájil zájmy </w:t>
      </w:r>
      <w:r w:rsidR="00947FBB">
        <w:t xml:space="preserve">unifikované </w:t>
      </w:r>
      <w:r w:rsidR="00947FBB" w:rsidRPr="00947FBB">
        <w:t>moci lidu</w:t>
      </w:r>
      <w:r w:rsidR="00947FBB">
        <w:fldChar w:fldCharType="begin"/>
      </w:r>
      <w:r w:rsidR="00947FBB">
        <w:instrText xml:space="preserve"> XE "</w:instrText>
      </w:r>
      <w:r w:rsidR="00947FBB" w:rsidRPr="003407E6">
        <w:instrText>konciliarismus</w:instrText>
      </w:r>
      <w:r w:rsidR="00947FBB">
        <w:instrText xml:space="preserve">" </w:instrText>
      </w:r>
      <w:r w:rsidR="00947FBB">
        <w:fldChar w:fldCharType="end"/>
      </w:r>
      <w:r w:rsidR="00947FBB">
        <w:t xml:space="preserve">. </w:t>
      </w:r>
      <w:r w:rsidRPr="00273106">
        <w:t xml:space="preserve">Obojí horlivci pro </w:t>
      </w:r>
      <w:r>
        <w:t xml:space="preserve">objektivistický model jednání v modu jedné univoční pravdy </w:t>
      </w:r>
      <w:r w:rsidRPr="00273106">
        <w:t>udělali tu chybu, že zrušili ve středním členu praktického sylogism</w:t>
      </w:r>
      <w:r w:rsidR="00FC2B45">
        <w:t>u kauzalitu svobodně jednající</w:t>
      </w:r>
      <w:r w:rsidRPr="00273106">
        <w:t xml:space="preserve"> </w:t>
      </w:r>
      <w:r w:rsidR="00FC2B45">
        <w:t xml:space="preserve">osoby </w:t>
      </w:r>
      <w:r w:rsidR="00FC2B45">
        <w:lastRenderedPageBreak/>
        <w:t>dané</w:t>
      </w:r>
      <w:r>
        <w:t xml:space="preserve"> jinak vzhledem k </w:t>
      </w:r>
      <w:r w:rsidRPr="00BC15EF">
        <w:rPr>
          <w:i/>
        </w:rPr>
        <w:t>recta ratio</w:t>
      </w:r>
      <w:r>
        <w:t xml:space="preserve"> duchovní autority a jinak vzhledem k </w:t>
      </w:r>
      <w:proofErr w:type="gramStart"/>
      <w:r w:rsidRPr="00BC15EF">
        <w:rPr>
          <w:i/>
        </w:rPr>
        <w:t>recta</w:t>
      </w:r>
      <w:proofErr w:type="gramEnd"/>
      <w:r w:rsidRPr="00BC15EF">
        <w:rPr>
          <w:i/>
        </w:rPr>
        <w:t xml:space="preserve"> ratio</w:t>
      </w:r>
      <w:r>
        <w:t xml:space="preserve"> světské moci</w:t>
      </w:r>
      <w:r w:rsidRPr="00273106">
        <w:t>. Oc</w:t>
      </w:r>
      <w:r w:rsidR="000D5A55">
        <w:t>kham velmi dobře ví, že svobodná osoba</w:t>
      </w:r>
      <w:r w:rsidRPr="00273106">
        <w:t xml:space="preserve"> je svrchovaná </w:t>
      </w:r>
      <w:r w:rsidRPr="00273106">
        <w:rPr>
          <w:i/>
        </w:rPr>
        <w:t>causa sui</w:t>
      </w:r>
      <w:r>
        <w:t xml:space="preserve">. I </w:t>
      </w:r>
      <w:r w:rsidRPr="00273106">
        <w:t>papež se může stát heretikem</w:t>
      </w:r>
      <w:r>
        <w:t xml:space="preserve">, což pro něj asi byl papež Jan XXII. Ale papežství nebo impérium je univerzální pojem, jehož </w:t>
      </w:r>
      <w:r w:rsidRPr="000A2A9C">
        <w:rPr>
          <w:i/>
        </w:rPr>
        <w:t>ratio</w:t>
      </w:r>
      <w:r>
        <w:t xml:space="preserve"> je dáno mimo jednajícího jednotlivce. </w:t>
      </w:r>
      <w:r w:rsidR="004157FA" w:rsidRPr="004157FA">
        <w:t xml:space="preserve">Toto rozlišení v modu </w:t>
      </w:r>
      <w:r w:rsidR="004157FA" w:rsidRPr="00050C03">
        <w:rPr>
          <w:i/>
        </w:rPr>
        <w:t>tertium</w:t>
      </w:r>
      <w:r w:rsidR="004157FA">
        <w:t xml:space="preserve"> a </w:t>
      </w:r>
      <w:r w:rsidR="004157FA" w:rsidRPr="00050C03">
        <w:rPr>
          <w:i/>
        </w:rPr>
        <w:t xml:space="preserve">quartum </w:t>
      </w:r>
      <w:r w:rsidR="004157FA">
        <w:rPr>
          <w:i/>
        </w:rPr>
        <w:t>genus</w:t>
      </w:r>
      <w:r w:rsidR="004157FA">
        <w:rPr>
          <w:i/>
        </w:rPr>
        <w:fldChar w:fldCharType="begin"/>
      </w:r>
      <w:r w:rsidR="004157FA">
        <w:instrText xml:space="preserve"> XE "</w:instrText>
      </w:r>
      <w:r w:rsidR="004157FA" w:rsidRPr="00191848">
        <w:rPr>
          <w:i/>
        </w:rPr>
        <w:instrText>quartum genus</w:instrText>
      </w:r>
      <w:r w:rsidR="004157FA">
        <w:instrText xml:space="preserve">" </w:instrText>
      </w:r>
      <w:r w:rsidR="004157FA">
        <w:rPr>
          <w:i/>
        </w:rPr>
        <w:fldChar w:fldCharType="end"/>
      </w:r>
      <w:r w:rsidR="004157FA" w:rsidRPr="004157FA">
        <w:t xml:space="preserve"> zavedl Averroes, aby odlišil osobní akty od obecných definic.</w:t>
      </w:r>
    </w:p>
    <w:p w:rsidR="08163013" w:rsidRDefault="08163013" w:rsidP="006302B9">
      <w:pPr>
        <w:ind w:firstLine="397"/>
      </w:pPr>
      <w:r w:rsidRPr="00273106">
        <w:t xml:space="preserve">Hermeneutika politické teorie ukázala, že i v tomto bodě Ockham představuje autentického představitele prvního averroismu, navíc vybaveného skutečnou prozíravostí. </w:t>
      </w:r>
      <w:r w:rsidR="005F3429">
        <w:t>J</w:t>
      </w:r>
      <w:r w:rsidRPr="00273106">
        <w:t xml:space="preserve">eho soudní exkomunikace upadla v zapomnění, díky jeho univerzálnímu mistrovství a diplomacii prováděné ve prospěch </w:t>
      </w:r>
      <w:r>
        <w:t xml:space="preserve">německého císaře a </w:t>
      </w:r>
      <w:r w:rsidRPr="00273106">
        <w:t xml:space="preserve">zdejšího </w:t>
      </w:r>
      <w:r>
        <w:t xml:space="preserve">církevního </w:t>
      </w:r>
      <w:r w:rsidRPr="00273106">
        <w:t xml:space="preserve">kléru. Jeho </w:t>
      </w:r>
      <w:r>
        <w:t xml:space="preserve">brilantní </w:t>
      </w:r>
      <w:r w:rsidRPr="00273106">
        <w:t xml:space="preserve">polemika s vítěznou školou </w:t>
      </w:r>
      <w:r w:rsidRPr="00273106">
        <w:rPr>
          <w:i/>
        </w:rPr>
        <w:t>Modernorum</w:t>
      </w:r>
      <w:r>
        <w:t xml:space="preserve"> se </w:t>
      </w:r>
      <w:r w:rsidRPr="00273106">
        <w:t>postav</w:t>
      </w:r>
      <w:r>
        <w:t xml:space="preserve">ila jak </w:t>
      </w:r>
      <w:r w:rsidRPr="00273106">
        <w:t>prot</w:t>
      </w:r>
      <w:r w:rsidR="00320F85">
        <w:t xml:space="preserve">i papežskému nároku omnipotence, </w:t>
      </w:r>
      <w:r>
        <w:t>tak p</w:t>
      </w:r>
      <w:r w:rsidRPr="00273106">
        <w:t>roti Marsiliovu konciliarismu</w:t>
      </w:r>
      <w:r>
        <w:t xml:space="preserve">. V aktu moderní </w:t>
      </w:r>
      <w:r w:rsidRPr="08974D0C">
        <w:rPr>
          <w:i/>
        </w:rPr>
        <w:t>damnatio memoriae</w:t>
      </w:r>
      <w:r>
        <w:t xml:space="preserve"> dostal t</w:t>
      </w:r>
      <w:r w:rsidRPr="00273106">
        <w:t>ento poslední reprezentant prvního averroismu</w:t>
      </w:r>
      <w:r>
        <w:t xml:space="preserve"> objektivní nálepku tzv. „nominalisty“. Tento filosofický </w:t>
      </w:r>
      <w:r w:rsidRPr="00816008">
        <w:rPr>
          <w:i/>
        </w:rPr>
        <w:t>Irrtum</w:t>
      </w:r>
      <w:r>
        <w:rPr>
          <w:i/>
        </w:rPr>
        <w:fldChar w:fldCharType="begin"/>
      </w:r>
      <w:r>
        <w:instrText xml:space="preserve"> XE "</w:instrText>
      </w:r>
      <w:r w:rsidRPr="00A16315">
        <w:rPr>
          <w:i/>
        </w:rPr>
        <w:instrText>Irrtum:</w:instrText>
      </w:r>
      <w:r w:rsidRPr="00A16315">
        <w:instrText>hermeneutika</w:instrText>
      </w:r>
      <w:r>
        <w:instrText xml:space="preserve">" </w:instrText>
      </w:r>
      <w:r>
        <w:rPr>
          <w:i/>
        </w:rPr>
        <w:fldChar w:fldCharType="end"/>
      </w:r>
      <w:r>
        <w:t xml:space="preserve"> </w:t>
      </w:r>
      <w:r w:rsidRPr="00273106">
        <w:t>definitivně odkrývá dějinný smysl objekt</w:t>
      </w:r>
      <w:r>
        <w:t>ivity v její pravdě a nepravdě. V</w:t>
      </w:r>
      <w:r w:rsidRPr="00273106">
        <w:t>ětrné mlýny akademické a církevní moderny se pilně toči</w:t>
      </w:r>
      <w:r>
        <w:t xml:space="preserve">ly již celé století století a </w:t>
      </w:r>
      <w:r w:rsidR="000639BA">
        <w:t xml:space="preserve">vytvořily </w:t>
      </w:r>
      <w:r w:rsidRPr="00273106">
        <w:t>tolik sofismat, že je nemohl nezastavit ani donkichotský útok posledního zástupce prvního averroismu. Po Ockhamově smrt</w:t>
      </w:r>
      <w:r w:rsidR="00B5639B">
        <w:t xml:space="preserve">i přechází smysl výše popsané gigantomachie </w:t>
      </w:r>
      <w:r w:rsidRPr="00273106">
        <w:t xml:space="preserve">mezi prvním a druhým averroismem do objektivně dané </w:t>
      </w:r>
      <w:r w:rsidR="00594E30" w:rsidRPr="00594E30">
        <w:t>Léthé</w:t>
      </w:r>
      <w:r w:rsidRPr="00273106">
        <w:t xml:space="preserve">. </w:t>
      </w:r>
      <w:r>
        <w:t>Dějinnost prvního a druhého averroismu se nejprve stala nejasnými dějinami filosofie</w:t>
      </w:r>
      <w:r w:rsidR="00FA714A">
        <w:t xml:space="preserve"> a </w:t>
      </w:r>
      <w:r>
        <w:t>nakonec</w:t>
      </w:r>
      <w:r w:rsidR="00FA714A">
        <w:t xml:space="preserve"> skončila jako pozitivistická historie</w:t>
      </w:r>
      <w:r w:rsidR="004C197D">
        <w:t xml:space="preserve"> objektivního myšlení</w:t>
      </w:r>
      <w:r w:rsidR="00FA714A">
        <w:t xml:space="preserve">. </w:t>
      </w:r>
      <w:r w:rsidR="004C197D">
        <w:t>Historie</w:t>
      </w:r>
      <w:r w:rsidR="00FA714A">
        <w:t xml:space="preserve"> </w:t>
      </w:r>
      <w:r w:rsidR="00523C86">
        <w:t xml:space="preserve">vedená akademickými Fúriemi </w:t>
      </w:r>
      <w:r w:rsidR="00FA714A">
        <w:t xml:space="preserve">freneticky oslavuje </w:t>
      </w:r>
      <w:r>
        <w:t>vítězný typ instrumentální racionality Západu</w:t>
      </w:r>
      <w:r w:rsidR="00FA714A">
        <w:t>, která je plně založena na filosofických omylech a na animálním p</w:t>
      </w:r>
      <w:r>
        <w:t>udu sebezáchovy</w:t>
      </w:r>
      <w:r w:rsidR="00FA714A">
        <w:t xml:space="preserve"> vítězných elit</w:t>
      </w:r>
      <w:r>
        <w:t>.</w:t>
      </w:r>
      <w:r w:rsidR="008A432E">
        <w:t xml:space="preserve"> </w:t>
      </w:r>
      <w:r>
        <w:t xml:space="preserve">Gigantomachie o substanci vyložená podle </w:t>
      </w:r>
      <w:r w:rsidRPr="00273106">
        <w:t xml:space="preserve">Heideggerovy </w:t>
      </w:r>
      <w:r w:rsidRPr="00273106">
        <w:rPr>
          <w:i/>
        </w:rPr>
        <w:t>a/létheia</w:t>
      </w:r>
      <w:r>
        <w:rPr>
          <w:i/>
        </w:rPr>
        <w:fldChar w:fldCharType="begin"/>
      </w:r>
      <w:r>
        <w:instrText xml:space="preserve"> XE "</w:instrText>
      </w:r>
      <w:r w:rsidRPr="08937E60">
        <w:rPr>
          <w:i/>
          <w:lang w:eastAsia="en-US"/>
        </w:rPr>
        <w:instrText>a/létheia</w:instrText>
      </w:r>
      <w:r>
        <w:instrText xml:space="preserve">" </w:instrText>
      </w:r>
      <w:r>
        <w:rPr>
          <w:i/>
        </w:rPr>
        <w:fldChar w:fldCharType="end"/>
      </w:r>
      <w:r w:rsidRPr="00273106">
        <w:t xml:space="preserve"> </w:t>
      </w:r>
      <w:r>
        <w:t xml:space="preserve">je nyní definitivně podaná </w:t>
      </w:r>
      <w:r w:rsidRPr="00273106">
        <w:t xml:space="preserve">od konce </w:t>
      </w:r>
      <w:r>
        <w:t>filosofického příběhu prvního a druhého averroismu</w:t>
      </w:r>
      <w:r w:rsidR="00B3288D">
        <w:t xml:space="preserve">. Hermeneutická archeologie odkryla </w:t>
      </w:r>
      <w:r>
        <w:t xml:space="preserve">jeho dějinný smysl v modu </w:t>
      </w:r>
      <w:r w:rsidRPr="00273106">
        <w:rPr>
          <w:i/>
        </w:rPr>
        <w:t>de fine</w:t>
      </w:r>
      <w:r>
        <w:t>.</w:t>
      </w:r>
      <w:r w:rsidR="08E90044">
        <w:t xml:space="preserve"> </w:t>
      </w:r>
      <w:r w:rsidR="00B3288D">
        <w:t>M</w:t>
      </w:r>
      <w:r>
        <w:t xml:space="preserve">yšlení </w:t>
      </w:r>
      <w:r w:rsidR="00B3288D">
        <w:t xml:space="preserve">určené jako </w:t>
      </w:r>
      <w:r w:rsidRPr="00273106">
        <w:rPr>
          <w:i/>
        </w:rPr>
        <w:t>via Modernorum</w:t>
      </w:r>
      <w:r>
        <w:rPr>
          <w:i/>
        </w:rPr>
        <w:fldChar w:fldCharType="begin"/>
      </w:r>
      <w:r>
        <w:instrText xml:space="preserve"> XE "</w:instrText>
      </w:r>
      <w:r w:rsidRPr="00ED0748">
        <w:rPr>
          <w:i/>
        </w:rPr>
        <w:instrText>via Modernorum</w:instrText>
      </w:r>
      <w:r>
        <w:instrText xml:space="preserve">" </w:instrText>
      </w:r>
      <w:r>
        <w:rPr>
          <w:i/>
        </w:rPr>
        <w:fldChar w:fldCharType="end"/>
      </w:r>
      <w:r w:rsidRPr="00273106">
        <w:t xml:space="preserve"> </w:t>
      </w:r>
      <w:r w:rsidR="00B3288D">
        <w:t xml:space="preserve">je podáno skrze </w:t>
      </w:r>
      <w:r w:rsidRPr="00273106">
        <w:t>všech</w:t>
      </w:r>
      <w:r w:rsidR="00B3288D">
        <w:t>ny</w:t>
      </w:r>
      <w:r w:rsidRPr="00273106">
        <w:t xml:space="preserve"> zkouman</w:t>
      </w:r>
      <w:r w:rsidR="00B3288D">
        <w:t xml:space="preserve">é </w:t>
      </w:r>
      <w:r w:rsidRPr="00273106">
        <w:t>matric</w:t>
      </w:r>
      <w:r w:rsidR="00B3288D">
        <w:t>e</w:t>
      </w:r>
      <w:r w:rsidRPr="00273106">
        <w:t xml:space="preserve"> objektivity.</w:t>
      </w:r>
      <w:r>
        <w:t xml:space="preserve"> </w:t>
      </w:r>
      <w:r w:rsidR="006302B9" w:rsidRPr="006302B9">
        <w:t xml:space="preserve">Zkoumání </w:t>
      </w:r>
      <w:r w:rsidR="006302B9">
        <w:t>nově vytvořené metafyziky, kterou</w:t>
      </w:r>
      <w:r w:rsidR="006302B9" w:rsidRPr="006302B9">
        <w:t xml:space="preserve"> </w:t>
      </w:r>
      <w:r w:rsidR="006302B9">
        <w:t>založil Scotus a kterou</w:t>
      </w:r>
      <w:r w:rsidR="006302B9" w:rsidRPr="006302B9">
        <w:t xml:space="preserve"> zpochybnil Ockham, uzavírá </w:t>
      </w:r>
      <w:r w:rsidR="006302B9">
        <w:t xml:space="preserve">donaci </w:t>
      </w:r>
      <w:r w:rsidR="006302B9" w:rsidRPr="006302B9">
        <w:t xml:space="preserve">objektivity. </w:t>
      </w:r>
      <w:r w:rsidR="006302B9">
        <w:rPr>
          <w:iCs/>
        </w:rPr>
        <w:t xml:space="preserve">Její </w:t>
      </w:r>
      <w:r>
        <w:rPr>
          <w:iCs/>
        </w:rPr>
        <w:t xml:space="preserve">dějiny </w:t>
      </w:r>
      <w:r w:rsidR="00442D51">
        <w:rPr>
          <w:iCs/>
        </w:rPr>
        <w:t xml:space="preserve">jdou </w:t>
      </w:r>
      <w:r>
        <w:rPr>
          <w:iCs/>
        </w:rPr>
        <w:t xml:space="preserve">od pozdní antiky přes falsafu až na latinský Západ. Dějinnost této donace určovaly existenciály vyložené skrze formy </w:t>
      </w:r>
      <w:r w:rsidRPr="084C3255">
        <w:rPr>
          <w:i/>
          <w:iCs/>
        </w:rPr>
        <w:t>dativu</w:t>
      </w:r>
      <w:r>
        <w:rPr>
          <w:i/>
          <w:iCs/>
        </w:rPr>
        <w:t>s</w:t>
      </w:r>
      <w:r w:rsidRPr="084C3255">
        <w:rPr>
          <w:i/>
          <w:iCs/>
        </w:rPr>
        <w:t xml:space="preserve"> obiectivus</w:t>
      </w:r>
      <w:r>
        <w:rPr>
          <w:iCs/>
        </w:rPr>
        <w:t xml:space="preserve">. </w:t>
      </w:r>
      <w:r>
        <w:t xml:space="preserve">Objektivně zajisté platí, že historii píší vítězové z jejich ideologické nebo mocenské pozice. </w:t>
      </w:r>
      <w:r w:rsidRPr="00273106">
        <w:rPr>
          <w:iCs/>
        </w:rPr>
        <w:t xml:space="preserve">Nová forma metafyziky vyřešila či anulovala spory předešlé generace skrze </w:t>
      </w:r>
      <w:r w:rsidRPr="00273106">
        <w:rPr>
          <w:iCs/>
        </w:rPr>
        <w:lastRenderedPageBreak/>
        <w:t>e</w:t>
      </w:r>
      <w:r w:rsidRPr="00273106">
        <w:t xml:space="preserve">pochální </w:t>
      </w:r>
      <w:r w:rsidRPr="00273106">
        <w:rPr>
          <w:i/>
        </w:rPr>
        <w:t>Aufhebung</w:t>
      </w:r>
      <w:r>
        <w:rPr>
          <w:i/>
        </w:rPr>
        <w:fldChar w:fldCharType="begin"/>
      </w:r>
      <w:r>
        <w:instrText xml:space="preserve"> XE "</w:instrText>
      </w:r>
      <w:r w:rsidRPr="00E57B11">
        <w:rPr>
          <w:i/>
        </w:rPr>
        <w:instrText>Aufhebung</w:instrText>
      </w:r>
      <w:r>
        <w:instrText xml:space="preserve">" </w:instrText>
      </w:r>
      <w:r>
        <w:rPr>
          <w:i/>
        </w:rPr>
        <w:fldChar w:fldCharType="end"/>
      </w:r>
      <w:r w:rsidRPr="00273106">
        <w:t xml:space="preserve"> obou škol </w:t>
      </w:r>
      <w:r>
        <w:t xml:space="preserve">obhajujících </w:t>
      </w:r>
      <w:r w:rsidRPr="00273106">
        <w:t xml:space="preserve">filosofické dědictví </w:t>
      </w:r>
      <w:r>
        <w:t>Averroes</w:t>
      </w:r>
      <w:r w:rsidRPr="00273106">
        <w:t xml:space="preserve">e. Po jejich zániku </w:t>
      </w:r>
      <w:r w:rsidR="009477F9">
        <w:t xml:space="preserve">obou </w:t>
      </w:r>
      <w:r>
        <w:t xml:space="preserve">škol </w:t>
      </w:r>
      <w:r w:rsidR="00C87BD1">
        <w:t xml:space="preserve">byl </w:t>
      </w:r>
      <w:r w:rsidR="009477F9">
        <w:t xml:space="preserve">už </w:t>
      </w:r>
      <w:r w:rsidRPr="00273106">
        <w:t>spor o tzv. „averroismus“</w:t>
      </w:r>
      <w:r w:rsidR="00C87BD1">
        <w:t xml:space="preserve"> nesmyslný</w:t>
      </w:r>
      <w:r w:rsidRPr="00273106">
        <w:t xml:space="preserve">. Dějinnost tohoto zápasu byla podána z hlediska proměn Heideggerovy </w:t>
      </w:r>
      <w:r w:rsidR="001457B0">
        <w:rPr>
          <w:i/>
        </w:rPr>
        <w:t>a</w:t>
      </w:r>
      <w:r w:rsidRPr="00273106">
        <w:rPr>
          <w:i/>
        </w:rPr>
        <w:t>létheia</w:t>
      </w:r>
      <w:r>
        <w:rPr>
          <w:i/>
        </w:rPr>
        <w:fldChar w:fldCharType="begin"/>
      </w:r>
      <w:r>
        <w:instrText xml:space="preserve"> XE "</w:instrText>
      </w:r>
      <w:r w:rsidRPr="08937E60">
        <w:rPr>
          <w:i/>
          <w:lang w:eastAsia="en-US"/>
        </w:rPr>
        <w:instrText>alétheia</w:instrText>
      </w:r>
      <w:r>
        <w:instrText xml:space="preserve">" </w:instrText>
      </w:r>
      <w:r>
        <w:rPr>
          <w:i/>
        </w:rPr>
        <w:fldChar w:fldCharType="end"/>
      </w:r>
      <w:r w:rsidRPr="00273106">
        <w:t xml:space="preserve">, </w:t>
      </w:r>
      <w:r>
        <w:t xml:space="preserve">která postupně zjevovala </w:t>
      </w:r>
      <w:r w:rsidRPr="00273106">
        <w:t xml:space="preserve">epochální </w:t>
      </w:r>
      <w:r w:rsidRPr="00273106">
        <w:rPr>
          <w:i/>
        </w:rPr>
        <w:t>Irrtum</w:t>
      </w:r>
      <w:r w:rsidRPr="00273106">
        <w:t xml:space="preserve"> </w:t>
      </w:r>
      <w:r>
        <w:t>moderny vázaný na zatmění první substance v metafyzice. Pak došlo k zatmění svobodně jednajícího jednotlivce v etice a v politice. N</w:t>
      </w:r>
      <w:r w:rsidRPr="00273106">
        <w:t>ihilistické směřování metafyziky</w:t>
      </w:r>
      <w:r>
        <w:t xml:space="preserve"> bylo vyloženo jako </w:t>
      </w:r>
      <w:r w:rsidRPr="00273106">
        <w:t>skryté dění samotného bytí</w:t>
      </w:r>
      <w:r>
        <w:t xml:space="preserve"> dávajícího dějinný smysl vyloženým epochám a matricím myšlení skrze myslitelsky modifikované podoby jsoucna. Osudový obrat </w:t>
      </w:r>
      <w:r w:rsidR="0016135C">
        <w:t>aristotelského jsoucna</w:t>
      </w:r>
      <w:r>
        <w:t xml:space="preserve">, jehož smysl byl kompletně zapomenut skrze zatmění první substance </w:t>
      </w:r>
      <w:r w:rsidRPr="00273106">
        <w:t>(</w:t>
      </w:r>
      <w:r w:rsidRPr="08BE3B3A">
        <w:rPr>
          <w:rStyle w:val="greek"/>
          <w:bCs/>
        </w:rPr>
        <w:t>ἐποχή</w:t>
      </w:r>
      <w:r>
        <w:rPr>
          <w:i/>
        </w:rPr>
        <w:fldChar w:fldCharType="begin"/>
      </w:r>
      <w:r>
        <w:instrText xml:space="preserve"> XE "</w:instrText>
      </w:r>
      <w:r w:rsidRPr="00120BB2">
        <w:rPr>
          <w:i/>
        </w:rPr>
        <w:instrText>Ereignis</w:instrText>
      </w:r>
      <w:r>
        <w:instrText xml:space="preserve">" </w:instrText>
      </w:r>
      <w:r>
        <w:rPr>
          <w:i/>
        </w:rPr>
        <w:fldChar w:fldCharType="end"/>
      </w:r>
      <w:r>
        <w:t xml:space="preserve">), je </w:t>
      </w:r>
      <w:r w:rsidRPr="00273106">
        <w:t>dán obrat</w:t>
      </w:r>
      <w:r>
        <w:t>em</w:t>
      </w:r>
      <w:r w:rsidRPr="00273106">
        <w:t xml:space="preserve"> metafyziky k objektivní formě jsoucna</w:t>
      </w:r>
      <w:r>
        <w:t xml:space="preserve"> (</w:t>
      </w:r>
      <w:r w:rsidRPr="00273106">
        <w:rPr>
          <w:i/>
        </w:rPr>
        <w:t>Ereignis</w:t>
      </w:r>
      <w:r w:rsidR="0021663A">
        <w:rPr>
          <w:i/>
        </w:rPr>
        <w:fldChar w:fldCharType="begin"/>
      </w:r>
      <w:r w:rsidR="0021663A">
        <w:instrText xml:space="preserve"> XE "</w:instrText>
      </w:r>
      <w:r w:rsidR="0021663A" w:rsidRPr="00E702DB">
        <w:rPr>
          <w:i/>
        </w:rPr>
        <w:instrText>Ereignis</w:instrText>
      </w:r>
      <w:r w:rsidR="0021663A">
        <w:instrText xml:space="preserve">" </w:instrText>
      </w:r>
      <w:r w:rsidR="0021663A">
        <w:rPr>
          <w:i/>
        </w:rPr>
        <w:fldChar w:fldCharType="end"/>
      </w:r>
      <w:r>
        <w:t>)</w:t>
      </w:r>
      <w:r w:rsidRPr="00273106">
        <w:t xml:space="preserve">. Objektivní bloudění </w:t>
      </w:r>
      <w:r>
        <w:t>následných</w:t>
      </w:r>
      <w:r w:rsidRPr="00273106">
        <w:t xml:space="preserve"> epoch moderny </w:t>
      </w:r>
      <w:r>
        <w:t xml:space="preserve">a postmoderny </w:t>
      </w:r>
      <w:r w:rsidRPr="00273106">
        <w:t xml:space="preserve">vytváří novou formu dějin myšlení vázaného na </w:t>
      </w:r>
      <w:r w:rsidR="00873B70">
        <w:t xml:space="preserve">gigantomachii </w:t>
      </w:r>
      <w:r w:rsidRPr="00273106">
        <w:t xml:space="preserve">prvního a druhého averroismu </w:t>
      </w:r>
      <w:r>
        <w:t xml:space="preserve">pouze </w:t>
      </w:r>
      <w:r w:rsidRPr="00273106">
        <w:t>nihilistickým způsobem</w:t>
      </w:r>
      <w:r>
        <w:t xml:space="preserve"> (</w:t>
      </w:r>
      <w:r w:rsidRPr="08E72537">
        <w:rPr>
          <w:i/>
        </w:rPr>
        <w:t>Irre</w:t>
      </w:r>
      <w:r>
        <w:t>)</w:t>
      </w:r>
      <w:r w:rsidRPr="00273106">
        <w:t xml:space="preserve">. </w:t>
      </w:r>
      <w:r>
        <w:t>Po h</w:t>
      </w:r>
      <w:r w:rsidRPr="00273106">
        <w:t xml:space="preserve">istoricky </w:t>
      </w:r>
      <w:r>
        <w:t>vítězném</w:t>
      </w:r>
      <w:r w:rsidRPr="00273106">
        <w:t xml:space="preserve"> nástup</w:t>
      </w:r>
      <w:r>
        <w:t>u</w:t>
      </w:r>
      <w:r w:rsidRPr="00273106">
        <w:t xml:space="preserve"> moderny </w:t>
      </w:r>
      <w:r>
        <w:t>d</w:t>
      </w:r>
      <w:r w:rsidR="00BF7B2C">
        <w:t xml:space="preserve">o epochálně účinné objektivity </w:t>
      </w:r>
      <w:r w:rsidRPr="00273106">
        <w:t xml:space="preserve">již mohou </w:t>
      </w:r>
      <w:r>
        <w:t xml:space="preserve">takto ustavené </w:t>
      </w:r>
      <w:r w:rsidRPr="08720FF5">
        <w:rPr>
          <w:i/>
        </w:rPr>
        <w:t>tertium ens</w:t>
      </w:r>
      <w:r>
        <w:t xml:space="preserve"> </w:t>
      </w:r>
      <w:r w:rsidRPr="00273106">
        <w:t>zkoumat jakékoliv speciální vědy</w:t>
      </w:r>
      <w:r>
        <w:t>. Objektivní pravdu o člověku a světu manifestovanou v modu subjektivní jistoty a evidence lze hledat skrze analytickou filosofii, kognitivně pojaté neurovědy či mimeticky-kulturně daný evoluční potenciál DNA</w:t>
      </w:r>
      <w:r w:rsidRPr="00273106">
        <w:t xml:space="preserve">. O bytostném určení objektivity nemusí speciální vědy už </w:t>
      </w:r>
      <w:r>
        <w:t xml:space="preserve">nic </w:t>
      </w:r>
      <w:r w:rsidRPr="00273106">
        <w:t>(</w:t>
      </w:r>
      <w:r w:rsidRPr="00273106">
        <w:rPr>
          <w:i/>
        </w:rPr>
        <w:t>nihil</w:t>
      </w:r>
      <w:r w:rsidRPr="00273106">
        <w:t xml:space="preserve">) vědět, protože se pohybují v objektivním určení jsoucna stejně zdatně </w:t>
      </w:r>
      <w:r w:rsidR="003A19E0">
        <w:t>jako ryba ve vodě.</w:t>
      </w:r>
    </w:p>
    <w:p w:rsidR="00875922" w:rsidRDefault="003A19E0" w:rsidP="00875922">
      <w:pPr>
        <w:ind w:firstLine="397"/>
      </w:pPr>
      <w:r>
        <w:t xml:space="preserve">Františkánské </w:t>
      </w:r>
      <w:r w:rsidRPr="00273106">
        <w:rPr>
          <w:rStyle w:val="Zkladntext158dkovn0pt"/>
          <w:color w:val="auto"/>
          <w:spacing w:val="0"/>
          <w:sz w:val="24"/>
          <w:lang w:val="cs-CZ"/>
        </w:rPr>
        <w:t>p</w:t>
      </w:r>
      <w:r w:rsidRPr="00273106">
        <w:t xml:space="preserve">ojetí svrchovaně intimní a demiurgické vůle zahájilo sekularizaci Západu a stalo se duchovním </w:t>
      </w:r>
      <w:r>
        <w:t xml:space="preserve">základem </w:t>
      </w:r>
      <w:r w:rsidRPr="00273106">
        <w:t xml:space="preserve">kalvínského kapitalismu. </w:t>
      </w:r>
      <w:r>
        <w:t xml:space="preserve">Bonaventurův mysticko-erotický </w:t>
      </w:r>
      <w:r w:rsidRPr="000D43A8">
        <w:rPr>
          <w:i/>
        </w:rPr>
        <w:t>appetitus</w:t>
      </w:r>
      <w:r>
        <w:rPr>
          <w:i/>
        </w:rPr>
        <w:fldChar w:fldCharType="begin"/>
      </w:r>
      <w:r>
        <w:instrText xml:space="preserve"> XE "</w:instrText>
      </w:r>
      <w:r w:rsidRPr="007E6333">
        <w:rPr>
          <w:i/>
        </w:rPr>
        <w:instrText>appetitus</w:instrText>
      </w:r>
      <w:r>
        <w:instrText xml:space="preserve">" </w:instrText>
      </w:r>
      <w:r>
        <w:rPr>
          <w:i/>
        </w:rPr>
        <w:fldChar w:fldCharType="end"/>
      </w:r>
      <w:r>
        <w:t xml:space="preserve"> materie potkal hypostázovaný apetit Oliviho intimní demiurgické vůle. Objektivizace </w:t>
      </w:r>
      <w:r w:rsidRPr="0804081B">
        <w:rPr>
          <w:i/>
        </w:rPr>
        <w:t>Písně Písní</w:t>
      </w:r>
      <w:r>
        <w:t xml:space="preserve"> v kapitalistické mytopoetice měla velký úspěch, protože vytvořila ideologii nové kruciáty. </w:t>
      </w:r>
      <w:r w:rsidR="00C5107E" w:rsidRPr="00C5107E">
        <w:t xml:space="preserve">Olivi se stal jednou z prvních intelektuálních obětí z řad </w:t>
      </w:r>
      <w:r w:rsidR="00C5107E" w:rsidRPr="00C5107E">
        <w:rPr>
          <w:i/>
        </w:rPr>
        <w:t>Modernorum</w:t>
      </w:r>
      <w:r w:rsidR="00C5107E" w:rsidRPr="00C5107E">
        <w:t>. Byl obětován na oltář modernismu, čímž následoval osud antimodernisty Sigera Brabantského, který byl jeho skutečným učitelem. Františkáni v roce 1318 zničili Oliviho hojně navštěvovaný hrob v Narbonne. Pod vlivem nábožensky posedlých Furií zdevastovali hrob zakladatele západního nihilismu, aniž by věděli, co vlastně dělají. Olivi byl právem uctíván jako mecenáš a mystik a v tomto dvojím duchu křesťanské mystiky a filozofického nihilismu také založil kapitalismus. Z novověkého nositele (</w:t>
      </w:r>
      <w:r w:rsidR="00C5107E" w:rsidRPr="00C5107E">
        <w:rPr>
          <w:i/>
        </w:rPr>
        <w:t>subiectum</w:t>
      </w:r>
      <w:r w:rsidR="00C5107E" w:rsidRPr="00C5107E">
        <w:t>) abso</w:t>
      </w:r>
      <w:r w:rsidR="00A92908">
        <w:t xml:space="preserve">lutně dané vůle vznikl reformační </w:t>
      </w:r>
      <w:r w:rsidR="00C5107E" w:rsidRPr="00C5107E">
        <w:t xml:space="preserve">subjekt vykoupení a odsouzení a následně také světský subjekt kapitalismu. </w:t>
      </w:r>
      <w:r w:rsidR="00A92908">
        <w:t xml:space="preserve">V tomto dějinném vývoji se skrývá závěrečná odpověď na otázku </w:t>
      </w:r>
      <w:r w:rsidR="00A92908">
        <w:lastRenderedPageBreak/>
        <w:t xml:space="preserve">po hledané formě </w:t>
      </w:r>
      <w:r w:rsidR="00A92908" w:rsidRPr="00273106">
        <w:rPr>
          <w:i/>
          <w:iCs/>
        </w:rPr>
        <w:t>dativus finalis</w:t>
      </w:r>
      <w:r w:rsidR="00A92908">
        <w:rPr>
          <w:i/>
          <w:iCs/>
        </w:rPr>
        <w:fldChar w:fldCharType="begin"/>
      </w:r>
      <w:r w:rsidR="00A92908">
        <w:instrText xml:space="preserve"> XE "</w:instrText>
      </w:r>
      <w:r w:rsidR="00A92908" w:rsidRPr="00376056">
        <w:rPr>
          <w:i/>
          <w:iCs/>
        </w:rPr>
        <w:instrText>dativus finalis</w:instrText>
      </w:r>
      <w:r w:rsidR="00A92908">
        <w:instrText xml:space="preserve">" </w:instrText>
      </w:r>
      <w:r w:rsidR="00A92908">
        <w:rPr>
          <w:i/>
          <w:iCs/>
        </w:rPr>
        <w:fldChar w:fldCharType="end"/>
      </w:r>
      <w:r w:rsidR="00A92908">
        <w:t xml:space="preserve">. </w:t>
      </w:r>
      <w:r w:rsidR="00CC6F23">
        <w:t xml:space="preserve">Avicennovský moderní bůh jako </w:t>
      </w:r>
      <w:r w:rsidR="00CC6F23" w:rsidRPr="00CC6F23">
        <w:rPr>
          <w:i/>
        </w:rPr>
        <w:t>Dator formarum</w:t>
      </w:r>
      <w:r w:rsidR="00CC6F23">
        <w:t xml:space="preserve"> </w:t>
      </w:r>
      <w:r w:rsidR="00260851">
        <w:t>f</w:t>
      </w:r>
      <w:r w:rsidR="00CC6F23">
        <w:t xml:space="preserve">akticky </w:t>
      </w:r>
      <w:proofErr w:type="gramStart"/>
      <w:r w:rsidR="00CC6F23">
        <w:t>zemřel</w:t>
      </w:r>
      <w:proofErr w:type="gramEnd"/>
      <w:r w:rsidR="00CC6F23">
        <w:t xml:space="preserve"> ve filosofii </w:t>
      </w:r>
      <w:proofErr w:type="gramStart"/>
      <w:r w:rsidR="000C5340">
        <w:t>Dunse</w:t>
      </w:r>
      <w:proofErr w:type="gramEnd"/>
      <w:r w:rsidR="000C5340">
        <w:t xml:space="preserve"> </w:t>
      </w:r>
      <w:r w:rsidR="00CC6F23">
        <w:t>Scota a zanechal po sobě racionální o</w:t>
      </w:r>
      <w:r w:rsidR="00CC6F23">
        <w:rPr>
          <w:iCs/>
        </w:rPr>
        <w:t xml:space="preserve">ntoteologickou strukturu. Smysl jsoucna je po smrti moderního boha daný vzhledem k postmodernímu individuu jako novému dárci forem. </w:t>
      </w:r>
      <w:r w:rsidR="00CC6F23">
        <w:t>Moderní vůle napojená na pojetí pravdy-</w:t>
      </w:r>
      <w:r w:rsidR="00CC6F23" w:rsidRPr="081A606A">
        <w:rPr>
          <w:i/>
        </w:rPr>
        <w:t>rectitudo</w:t>
      </w:r>
      <w:r w:rsidR="00CC6F23">
        <w:t xml:space="preserve"> </w:t>
      </w:r>
      <w:r w:rsidR="007A5A1A">
        <w:t xml:space="preserve">dostala vykupitelský charakter. </w:t>
      </w:r>
      <w:r w:rsidR="00CC6F23" w:rsidRPr="00273106">
        <w:t xml:space="preserve">Augustiniánský </w:t>
      </w:r>
      <w:r w:rsidR="00CC6F23">
        <w:t xml:space="preserve">mnich </w:t>
      </w:r>
      <w:r w:rsidR="00CC6F23" w:rsidRPr="00273106">
        <w:t>Martin Luther</w:t>
      </w:r>
      <w:r w:rsidR="00CC6F23">
        <w:fldChar w:fldCharType="begin"/>
      </w:r>
      <w:r w:rsidR="00CC6F23">
        <w:instrText xml:space="preserve"> XE "</w:instrText>
      </w:r>
      <w:r w:rsidR="00CC6F23" w:rsidRPr="003A4350">
        <w:instrText>Luther, M.</w:instrText>
      </w:r>
      <w:r w:rsidR="00CC6F23">
        <w:instrText xml:space="preserve">" </w:instrText>
      </w:r>
      <w:r w:rsidR="00CC6F23">
        <w:fldChar w:fldCharType="end"/>
      </w:r>
      <w:r w:rsidR="00CC6F23" w:rsidRPr="00273106">
        <w:t xml:space="preserve"> přenesl do </w:t>
      </w:r>
      <w:r w:rsidR="00CC6F23">
        <w:t xml:space="preserve">postmoderní </w:t>
      </w:r>
      <w:r w:rsidR="00CC6F23" w:rsidRPr="00273106">
        <w:t>teologie</w:t>
      </w:r>
      <w:r w:rsidR="00CC6F23">
        <w:t xml:space="preserve"> </w:t>
      </w:r>
      <w:r w:rsidR="006C0E94">
        <w:t xml:space="preserve">základní </w:t>
      </w:r>
      <w:r w:rsidR="00CC6F23">
        <w:t xml:space="preserve">témata modernistů: </w:t>
      </w:r>
      <w:r w:rsidR="006C0E94">
        <w:t>substančně rozdělený</w:t>
      </w:r>
      <w:r w:rsidR="00CC6F23" w:rsidRPr="00273106">
        <w:t xml:space="preserve"> čl</w:t>
      </w:r>
      <w:r w:rsidR="00CC6F23">
        <w:t>ověk</w:t>
      </w:r>
      <w:r w:rsidR="006C0E94">
        <w:t xml:space="preserve"> je spojen do jednoty skrze vůli a skrze externí formu vykoupení. </w:t>
      </w:r>
      <w:r w:rsidR="00CC6F23" w:rsidRPr="00273106">
        <w:t xml:space="preserve">Luther </w:t>
      </w:r>
      <w:r w:rsidR="00CC6F23" w:rsidRPr="00273106">
        <w:rPr>
          <w:rStyle w:val="Zkladntext158dkovn0pt"/>
          <w:color w:val="auto"/>
          <w:spacing w:val="0"/>
          <w:sz w:val="24"/>
          <w:lang w:val="cs-CZ"/>
        </w:rPr>
        <w:t xml:space="preserve">spojil oba klíčové problémy </w:t>
      </w:r>
      <w:r w:rsidR="00CC6F23" w:rsidRPr="00273106">
        <w:rPr>
          <w:rStyle w:val="Zkladntext158dkovn0pt"/>
          <w:i/>
          <w:color w:val="auto"/>
          <w:spacing w:val="0"/>
          <w:sz w:val="24"/>
          <w:lang w:val="cs-CZ"/>
        </w:rPr>
        <w:t>Modernorum</w:t>
      </w:r>
      <w:r w:rsidR="00CC6F23">
        <w:rPr>
          <w:rStyle w:val="Zkladntext158dkovn0pt"/>
          <w:color w:val="auto"/>
          <w:spacing w:val="0"/>
          <w:sz w:val="24"/>
          <w:lang w:val="cs-CZ"/>
        </w:rPr>
        <w:t xml:space="preserve">, tj. jistotu a plnost pravdy </w:t>
      </w:r>
      <w:r w:rsidR="00CC6F23" w:rsidRPr="00273106">
        <w:rPr>
          <w:rStyle w:val="Zkladntext158dkovn0pt"/>
          <w:color w:val="auto"/>
          <w:spacing w:val="0"/>
          <w:sz w:val="24"/>
          <w:lang w:val="cs-CZ"/>
        </w:rPr>
        <w:t>tím, že založil n</w:t>
      </w:r>
      <w:r w:rsidR="00CC6F23">
        <w:rPr>
          <w:rStyle w:val="Zkladntext158dkovn0pt"/>
          <w:color w:val="auto"/>
          <w:spacing w:val="0"/>
          <w:sz w:val="24"/>
          <w:lang w:val="cs-CZ"/>
        </w:rPr>
        <w:t>ový teologický subjekt Západu</w:t>
      </w:r>
      <w:r w:rsidR="00CC6F23">
        <w:rPr>
          <w:rStyle w:val="Zkladntext158dkovn0pt"/>
          <w:color w:val="auto"/>
          <w:spacing w:val="0"/>
          <w:sz w:val="24"/>
          <w:lang w:val="cs-CZ"/>
        </w:rPr>
        <w:fldChar w:fldCharType="begin"/>
      </w:r>
      <w:r w:rsidR="00CC6F23">
        <w:instrText xml:space="preserve"> XE "</w:instrText>
      </w:r>
      <w:r w:rsidR="00CC6F23" w:rsidRPr="00270CD6">
        <w:rPr>
          <w:i/>
        </w:rPr>
        <w:instrText>subiectum</w:instrText>
      </w:r>
      <w:r w:rsidR="00CC6F23" w:rsidRPr="006F7042">
        <w:instrText>:Luther</w:instrText>
      </w:r>
      <w:r w:rsidR="00CC6F23">
        <w:instrText xml:space="preserve">" </w:instrText>
      </w:r>
      <w:r w:rsidR="00CC6F23">
        <w:rPr>
          <w:rStyle w:val="Zkladntext158dkovn0pt"/>
          <w:color w:val="auto"/>
          <w:spacing w:val="0"/>
          <w:sz w:val="24"/>
          <w:lang w:val="cs-CZ"/>
        </w:rPr>
        <w:fldChar w:fldCharType="end"/>
      </w:r>
      <w:r w:rsidR="00CC6F23">
        <w:rPr>
          <w:rStyle w:val="Zkladntext158dkovn0pt"/>
          <w:color w:val="auto"/>
          <w:spacing w:val="0"/>
          <w:sz w:val="24"/>
          <w:lang w:val="cs-CZ"/>
        </w:rPr>
        <w:t xml:space="preserve">. </w:t>
      </w:r>
      <w:r w:rsidR="006C0E94">
        <w:rPr>
          <w:rStyle w:val="Zkladntext158dkovn0pt"/>
          <w:color w:val="auto"/>
          <w:spacing w:val="0"/>
          <w:sz w:val="24"/>
          <w:lang w:val="cs-CZ"/>
        </w:rPr>
        <w:t xml:space="preserve">Boží </w:t>
      </w:r>
      <w:r w:rsidR="006C0E94" w:rsidRPr="00273106">
        <w:rPr>
          <w:rStyle w:val="Zkladntext158dkovn0pt"/>
          <w:i/>
          <w:color w:val="auto"/>
          <w:spacing w:val="0"/>
          <w:sz w:val="24"/>
          <w:lang w:val="cs-CZ"/>
        </w:rPr>
        <w:t>rectitudo</w:t>
      </w:r>
      <w:r w:rsidR="006C0E94">
        <w:rPr>
          <w:rStyle w:val="Zkladntext158dkovn0pt"/>
          <w:color w:val="auto"/>
          <w:spacing w:val="0"/>
          <w:sz w:val="24"/>
          <w:lang w:val="cs-CZ"/>
        </w:rPr>
        <w:t xml:space="preserve"> spásy potkává lidské </w:t>
      </w:r>
      <w:r w:rsidR="006C0E94" w:rsidRPr="00273106">
        <w:rPr>
          <w:rStyle w:val="Zkladntext158dkovn0pt"/>
          <w:i/>
          <w:color w:val="auto"/>
          <w:spacing w:val="0"/>
          <w:sz w:val="24"/>
          <w:lang w:val="cs-CZ"/>
        </w:rPr>
        <w:t>certitudo</w:t>
      </w:r>
      <w:r w:rsidR="006C0E94">
        <w:rPr>
          <w:rStyle w:val="Zkladntext158dkovn0pt"/>
          <w:color w:val="auto"/>
          <w:spacing w:val="0"/>
          <w:sz w:val="24"/>
          <w:lang w:val="cs-CZ"/>
        </w:rPr>
        <w:t xml:space="preserve"> hříchu; jejich spojení je dáno skrze </w:t>
      </w:r>
      <w:r w:rsidR="00B60A8D">
        <w:rPr>
          <w:rStyle w:val="Zkladntext158dkovn0pt"/>
          <w:color w:val="auto"/>
          <w:spacing w:val="0"/>
          <w:sz w:val="24"/>
          <w:lang w:val="cs-CZ"/>
        </w:rPr>
        <w:t xml:space="preserve">osobní </w:t>
      </w:r>
      <w:r w:rsidR="006C0E94">
        <w:rPr>
          <w:rStyle w:val="Zkladntext158dkovn0pt"/>
          <w:color w:val="auto"/>
          <w:spacing w:val="0"/>
          <w:sz w:val="24"/>
          <w:lang w:val="cs-CZ"/>
        </w:rPr>
        <w:t>akt</w:t>
      </w:r>
      <w:r w:rsidR="006C0E94" w:rsidRPr="00273106">
        <w:rPr>
          <w:rStyle w:val="Zkladntext158dkovn0pt"/>
          <w:color w:val="auto"/>
          <w:spacing w:val="0"/>
          <w:sz w:val="24"/>
          <w:lang w:val="cs-CZ"/>
        </w:rPr>
        <w:t xml:space="preserve"> víry</w:t>
      </w:r>
      <w:r w:rsidR="006C0E94">
        <w:rPr>
          <w:rStyle w:val="Zkladntext158dkovn0pt"/>
          <w:color w:val="auto"/>
          <w:spacing w:val="0"/>
          <w:sz w:val="24"/>
          <w:lang w:val="cs-CZ"/>
        </w:rPr>
        <w:t xml:space="preserve"> založené na bohem osvícené vůli hříšníka. </w:t>
      </w:r>
      <w:r w:rsidR="00CC6F23" w:rsidRPr="00273106">
        <w:t>Ospravedlnění běží díky svrchovanému aktu božího vyvolení (</w:t>
      </w:r>
      <w:r w:rsidR="00CC6F23" w:rsidRPr="00273106">
        <w:rPr>
          <w:i/>
        </w:rPr>
        <w:t>sola gratia</w:t>
      </w:r>
      <w:r w:rsidR="00CC6F23" w:rsidRPr="00273106">
        <w:t xml:space="preserve">) a </w:t>
      </w:r>
      <w:r w:rsidR="00CC6F23">
        <w:t>je přijímáno díky a</w:t>
      </w:r>
      <w:r w:rsidR="00CC6F23" w:rsidRPr="00273106">
        <w:t xml:space="preserve">ktu osobní vůle a víry </w:t>
      </w:r>
      <w:r w:rsidR="00CC6F23">
        <w:t xml:space="preserve">hříšníka </w:t>
      </w:r>
      <w:r w:rsidR="00CC6F23" w:rsidRPr="00273106">
        <w:t>(</w:t>
      </w:r>
      <w:r w:rsidR="00CC6F23" w:rsidRPr="00273106">
        <w:rPr>
          <w:i/>
        </w:rPr>
        <w:t>sola fide</w:t>
      </w:r>
      <w:r w:rsidR="00CC6F23">
        <w:t xml:space="preserve">). </w:t>
      </w:r>
      <w:r w:rsidR="00CC6F23" w:rsidRPr="00273106">
        <w:t xml:space="preserve">Tajemství vykoupení interpretoval </w:t>
      </w:r>
      <w:r w:rsidR="00CC6F23">
        <w:t xml:space="preserve">Luther </w:t>
      </w:r>
      <w:r w:rsidR="00CC6F23" w:rsidRPr="00273106">
        <w:t xml:space="preserve">podle </w:t>
      </w:r>
      <w:r w:rsidR="00CC6F23" w:rsidRPr="00273106">
        <w:rPr>
          <w:i/>
        </w:rPr>
        <w:t>Listu Římanům</w:t>
      </w:r>
      <w:r w:rsidR="00CC6F23" w:rsidRPr="00273106">
        <w:t xml:space="preserve"> (</w:t>
      </w:r>
      <w:r w:rsidR="00CC6F23" w:rsidRPr="00273106">
        <w:rPr>
          <w:i/>
        </w:rPr>
        <w:t>iustus ex fide vivit</w:t>
      </w:r>
      <w:r w:rsidR="00CC6F23" w:rsidRPr="00273106">
        <w:t>, Rm</w:t>
      </w:r>
      <w:r w:rsidR="00CC6F23" w:rsidRPr="00273106">
        <w:rPr>
          <w:i/>
        </w:rPr>
        <w:t xml:space="preserve"> </w:t>
      </w:r>
      <w:r w:rsidR="00CC6F23" w:rsidRPr="00273106">
        <w:t>1:17</w:t>
      </w:r>
      <w:r w:rsidR="00CC6F23">
        <w:fldChar w:fldCharType="begin"/>
      </w:r>
      <w:r w:rsidR="00CC6F23">
        <w:instrText xml:space="preserve"> XE "Nový zákon:</w:instrText>
      </w:r>
      <w:r w:rsidR="00CC6F23" w:rsidRPr="00203478">
        <w:instrText xml:space="preserve"> </w:instrText>
      </w:r>
      <w:r w:rsidR="00CC6F23">
        <w:instrText>Rm</w:instrText>
      </w:r>
      <w:r w:rsidR="00CC6F23" w:rsidRPr="00167BB7">
        <w:rPr>
          <w:i/>
        </w:rPr>
        <w:instrText xml:space="preserve"> </w:instrText>
      </w:r>
      <w:r w:rsidR="00CC6F23">
        <w:instrText>1.</w:instrText>
      </w:r>
      <w:r w:rsidR="00CC6F23" w:rsidRPr="00167BB7">
        <w:instrText>17</w:instrText>
      </w:r>
      <w:r w:rsidR="00CC6F23">
        <w:instrText xml:space="preserve">" </w:instrText>
      </w:r>
      <w:r w:rsidR="00CC6F23">
        <w:fldChar w:fldCharType="end"/>
      </w:r>
      <w:r w:rsidR="00CC6F23">
        <w:t xml:space="preserve">). </w:t>
      </w:r>
      <w:r w:rsidR="00F06470">
        <w:rPr>
          <w:rStyle w:val="Zkladntext158dkovn0pt"/>
          <w:color w:val="auto"/>
          <w:spacing w:val="0"/>
          <w:sz w:val="24"/>
          <w:lang w:val="cs-CZ"/>
        </w:rPr>
        <w:t xml:space="preserve">Iluminace hříšníka přichází vnějšku, </w:t>
      </w:r>
      <w:r w:rsidR="00F06470" w:rsidRPr="00273106">
        <w:rPr>
          <w:rStyle w:val="Zkladntext158dkovn0pt"/>
          <w:color w:val="auto"/>
          <w:spacing w:val="0"/>
          <w:sz w:val="24"/>
          <w:lang w:val="cs-CZ"/>
        </w:rPr>
        <w:t xml:space="preserve">skrze </w:t>
      </w:r>
      <w:r w:rsidR="00F06470">
        <w:rPr>
          <w:rStyle w:val="Zkladntext158dkovn0pt"/>
          <w:color w:val="auto"/>
          <w:spacing w:val="0"/>
          <w:sz w:val="24"/>
          <w:lang w:val="cs-CZ"/>
        </w:rPr>
        <w:t xml:space="preserve">nezaslouženou </w:t>
      </w:r>
      <w:r w:rsidR="00F06470" w:rsidRPr="00273106">
        <w:rPr>
          <w:rStyle w:val="Zkladntext158dkovn0pt"/>
          <w:color w:val="auto"/>
          <w:spacing w:val="0"/>
          <w:sz w:val="24"/>
          <w:lang w:val="cs-CZ"/>
        </w:rPr>
        <w:t>boží milost.</w:t>
      </w:r>
      <w:r w:rsidR="00F06470" w:rsidRPr="00273106">
        <w:t xml:space="preserve"> </w:t>
      </w:r>
      <w:r w:rsidR="005133B8">
        <w:t xml:space="preserve">Mezi hříšníkem a bohem není žádný prostředník. </w:t>
      </w:r>
      <w:r w:rsidR="009B4E6E">
        <w:rPr>
          <w:rStyle w:val="Zkladntext158dkovn0pt"/>
          <w:color w:val="auto"/>
          <w:spacing w:val="0"/>
          <w:sz w:val="24"/>
          <w:lang w:val="cs-CZ"/>
        </w:rPr>
        <w:t xml:space="preserve">Potřebné </w:t>
      </w:r>
      <w:r w:rsidR="009B4E6E" w:rsidRPr="00932B6E">
        <w:rPr>
          <w:rStyle w:val="Zkladntext158dkovn0pt"/>
          <w:i/>
          <w:color w:val="auto"/>
          <w:spacing w:val="0"/>
          <w:sz w:val="24"/>
          <w:lang w:val="cs-CZ"/>
        </w:rPr>
        <w:t>certitudo</w:t>
      </w:r>
      <w:r w:rsidR="009B4E6E">
        <w:rPr>
          <w:rStyle w:val="Zkladntext158dkovn0pt"/>
          <w:color w:val="auto"/>
          <w:spacing w:val="0"/>
          <w:sz w:val="24"/>
          <w:lang w:val="cs-CZ"/>
        </w:rPr>
        <w:t xml:space="preserve"> boží spásy zajistí hříšníkovi přechod </w:t>
      </w:r>
      <w:r w:rsidR="009B4E6E" w:rsidRPr="00273106">
        <w:rPr>
          <w:rStyle w:val="Zkladntext158dkovn0pt"/>
          <w:color w:val="auto"/>
          <w:spacing w:val="0"/>
          <w:sz w:val="24"/>
          <w:lang w:val="cs-CZ"/>
        </w:rPr>
        <w:t xml:space="preserve">ze světského patra </w:t>
      </w:r>
      <w:r w:rsidR="009B4E6E">
        <w:rPr>
          <w:rStyle w:val="Zkladntext158dkovn0pt"/>
          <w:color w:val="auto"/>
          <w:spacing w:val="0"/>
          <w:sz w:val="24"/>
          <w:lang w:val="cs-CZ"/>
        </w:rPr>
        <w:t xml:space="preserve">zavržené </w:t>
      </w:r>
      <w:r w:rsidR="009B4E6E" w:rsidRPr="00273106">
        <w:rPr>
          <w:rStyle w:val="Zkladntext158dkovn0pt"/>
          <w:color w:val="auto"/>
          <w:spacing w:val="0"/>
          <w:sz w:val="24"/>
          <w:lang w:val="cs-CZ"/>
        </w:rPr>
        <w:t xml:space="preserve">existence do </w:t>
      </w:r>
      <w:r w:rsidR="009B4E6E">
        <w:rPr>
          <w:rStyle w:val="Zkladntext158dkovn0pt"/>
          <w:color w:val="auto"/>
          <w:spacing w:val="0"/>
          <w:sz w:val="24"/>
          <w:lang w:val="cs-CZ"/>
        </w:rPr>
        <w:t xml:space="preserve">vykoupené </w:t>
      </w:r>
      <w:r w:rsidR="009B4E6E" w:rsidRPr="00273106">
        <w:rPr>
          <w:rStyle w:val="Zkladntext158dkovn0pt"/>
          <w:color w:val="auto"/>
          <w:spacing w:val="0"/>
          <w:sz w:val="24"/>
          <w:lang w:val="cs-CZ"/>
        </w:rPr>
        <w:t xml:space="preserve">roviny božího působení. </w:t>
      </w:r>
      <w:r w:rsidR="00CC6F23">
        <w:rPr>
          <w:rStyle w:val="Zkladntext158dkovn0pt"/>
          <w:color w:val="auto"/>
          <w:spacing w:val="0"/>
          <w:sz w:val="24"/>
          <w:lang w:val="cs-CZ"/>
        </w:rPr>
        <w:t>Právo na tento existenční přechod mu zajišťuje Kristova vykupitelská obě</w:t>
      </w:r>
      <w:r w:rsidR="00572094">
        <w:rPr>
          <w:rStyle w:val="Zkladntext158dkovn0pt"/>
          <w:color w:val="auto"/>
          <w:spacing w:val="0"/>
          <w:sz w:val="24"/>
          <w:lang w:val="cs-CZ"/>
        </w:rPr>
        <w:t xml:space="preserve">ť. </w:t>
      </w:r>
      <w:r w:rsidR="009660A1" w:rsidRPr="00273106">
        <w:t xml:space="preserve">Reformace postavila osobní akt víry mimo mediaci </w:t>
      </w:r>
      <w:r w:rsidR="009660A1">
        <w:t xml:space="preserve">katolické </w:t>
      </w:r>
      <w:r w:rsidR="009660A1" w:rsidRPr="00273106">
        <w:t>církve</w:t>
      </w:r>
      <w:r w:rsidR="009660A1">
        <w:t>, což je zcela moderní gesto. D</w:t>
      </w:r>
      <w:r w:rsidR="009660A1" w:rsidRPr="00273106">
        <w:t xml:space="preserve">ruhý averroismus dal poznání mimo adekvaci smyslů a mimo </w:t>
      </w:r>
      <w:r w:rsidR="009660A1">
        <w:t>Averroes</w:t>
      </w:r>
      <w:r w:rsidR="009660A1" w:rsidRPr="00273106">
        <w:t xml:space="preserve">ův </w:t>
      </w:r>
      <w:r w:rsidR="009660A1" w:rsidRPr="00273106">
        <w:rPr>
          <w:i/>
        </w:rPr>
        <w:t>intellectus possibilis</w:t>
      </w:r>
      <w:r w:rsidR="009660A1">
        <w:t xml:space="preserve"> a Olivi dal svobodnou substanční vůli mimo praktický intelekt. </w:t>
      </w:r>
      <w:r w:rsidR="00BB5A33">
        <w:t>Tím je dána finální odpověď na otázku, j</w:t>
      </w:r>
      <w:r w:rsidR="00BB5A33" w:rsidRPr="00273106">
        <w:rPr>
          <w:iCs/>
        </w:rPr>
        <w:t xml:space="preserve">ak </w:t>
      </w:r>
      <w:r w:rsidR="00BB5A33">
        <w:rPr>
          <w:iCs/>
        </w:rPr>
        <w:t xml:space="preserve">demiurgická vůle </w:t>
      </w:r>
      <w:r w:rsidR="00BB5A33" w:rsidRPr="00273106">
        <w:rPr>
          <w:iCs/>
        </w:rPr>
        <w:t>vytvořil</w:t>
      </w:r>
      <w:r w:rsidR="00BB5A33">
        <w:rPr>
          <w:iCs/>
        </w:rPr>
        <w:t>a</w:t>
      </w:r>
      <w:r w:rsidR="00BB5A33" w:rsidRPr="00273106">
        <w:rPr>
          <w:iCs/>
        </w:rPr>
        <w:t xml:space="preserve"> </w:t>
      </w:r>
      <w:r w:rsidR="00BB5A33" w:rsidRPr="00273106">
        <w:rPr>
          <w:i/>
          <w:iCs/>
        </w:rPr>
        <w:t>Weltanschauung</w:t>
      </w:r>
      <w:r w:rsidR="00BB5A33" w:rsidRPr="00273106">
        <w:rPr>
          <w:iCs/>
        </w:rPr>
        <w:t xml:space="preserve"> </w:t>
      </w:r>
      <w:r w:rsidR="00BB5A33">
        <w:rPr>
          <w:iCs/>
        </w:rPr>
        <w:t>post</w:t>
      </w:r>
      <w:r w:rsidR="00BB5A33" w:rsidRPr="00273106">
        <w:rPr>
          <w:iCs/>
        </w:rPr>
        <w:t xml:space="preserve">moderny v rámci </w:t>
      </w:r>
      <w:r w:rsidR="00BB5A33">
        <w:rPr>
          <w:iCs/>
        </w:rPr>
        <w:t xml:space="preserve">reformovaného teologického </w:t>
      </w:r>
      <w:r w:rsidR="00BB5A33" w:rsidRPr="00273106">
        <w:rPr>
          <w:iCs/>
        </w:rPr>
        <w:t>náhledu na celek jsoucna</w:t>
      </w:r>
      <w:r w:rsidR="00BB5A33">
        <w:rPr>
          <w:iCs/>
        </w:rPr>
        <w:t xml:space="preserve"> </w:t>
      </w:r>
      <w:r w:rsidR="00BB5A33" w:rsidRPr="00273106">
        <w:rPr>
          <w:iCs/>
        </w:rPr>
        <w:t>(</w:t>
      </w:r>
      <w:r w:rsidR="00BB5A33" w:rsidRPr="00273106">
        <w:rPr>
          <w:i/>
          <w:iCs/>
        </w:rPr>
        <w:t>dativus modi</w:t>
      </w:r>
      <w:r w:rsidR="00BB5A33">
        <w:rPr>
          <w:i/>
          <w:iCs/>
        </w:rPr>
        <w:fldChar w:fldCharType="begin"/>
      </w:r>
      <w:r w:rsidR="00BB5A33">
        <w:instrText xml:space="preserve"> XE "</w:instrText>
      </w:r>
      <w:r w:rsidR="00BB5A33" w:rsidRPr="00AC18E0">
        <w:rPr>
          <w:i/>
          <w:iCs/>
        </w:rPr>
        <w:instrText>dativus modi</w:instrText>
      </w:r>
      <w:r w:rsidR="00BB5A33">
        <w:instrText xml:space="preserve">" </w:instrText>
      </w:r>
      <w:r w:rsidR="00BB5A33">
        <w:rPr>
          <w:i/>
          <w:iCs/>
        </w:rPr>
        <w:fldChar w:fldCharType="end"/>
      </w:r>
      <w:r w:rsidR="00BB5A33" w:rsidRPr="00273106">
        <w:rPr>
          <w:iCs/>
        </w:rPr>
        <w:t>)</w:t>
      </w:r>
      <w:r w:rsidR="00BB5A33">
        <w:rPr>
          <w:iCs/>
        </w:rPr>
        <w:t xml:space="preserve">. </w:t>
      </w:r>
      <w:r w:rsidR="006C6C9F">
        <w:rPr>
          <w:iCs/>
        </w:rPr>
        <w:t xml:space="preserve">Reformační subjekt </w:t>
      </w:r>
      <w:r w:rsidR="00BB5A33">
        <w:rPr>
          <w:iCs/>
        </w:rPr>
        <w:t xml:space="preserve">vzniklý v epoše postmoderny </w:t>
      </w:r>
      <w:r w:rsidR="006C6C9F">
        <w:rPr>
          <w:iCs/>
        </w:rPr>
        <w:t xml:space="preserve">nahradil původní katolický </w:t>
      </w:r>
      <w:r w:rsidR="00BB5A33">
        <w:rPr>
          <w:iCs/>
        </w:rPr>
        <w:t>subjekt určený skrze a</w:t>
      </w:r>
      <w:r w:rsidR="006C6C9F">
        <w:t>vicennismu</w:t>
      </w:r>
      <w:r w:rsidR="00BB5A33">
        <w:t>s moderny. V reformaci platí teze „</w:t>
      </w:r>
      <w:r w:rsidR="00BB5A33" w:rsidRPr="00273106">
        <w:rPr>
          <w:i/>
        </w:rPr>
        <w:t>operatio sequitur esse</w:t>
      </w:r>
      <w:r w:rsidR="00BB5A33">
        <w:t>“</w:t>
      </w:r>
      <w:r w:rsidR="00BB5A33" w:rsidRPr="00273106">
        <w:t xml:space="preserve"> vzhledem k ospravedlněné existenci.</w:t>
      </w:r>
      <w:r w:rsidR="00BB5A33">
        <w:t xml:space="preserve"> P</w:t>
      </w:r>
      <w:r w:rsidR="00BB5A33" w:rsidRPr="00273106">
        <w:t>rotestantismus završil metafyzický nihilismus druhého averroismu tím, že mu dal vykupitelský charakter.</w:t>
      </w:r>
      <w:r w:rsidR="00E209E0">
        <w:t xml:space="preserve"> </w:t>
      </w:r>
      <w:r>
        <w:t xml:space="preserve">Kapitalistické </w:t>
      </w:r>
      <w:r w:rsidRPr="00273106">
        <w:rPr>
          <w:i/>
        </w:rPr>
        <w:t>operatio</w:t>
      </w:r>
      <w:r w:rsidRPr="00273106">
        <w:t xml:space="preserve"> následuje po aktu božího vykoupení, které radikálně mění </w:t>
      </w:r>
      <w:r>
        <w:t xml:space="preserve">vezdejší život a existenci bývalého hříšníka. </w:t>
      </w:r>
      <w:r w:rsidR="00D30CB8" w:rsidRPr="00D30CB8">
        <w:t>Aktivita kapitalistického subjektu nutně vede k subjektivní jistotě spásy (</w:t>
      </w:r>
      <w:r w:rsidR="00D30CB8" w:rsidRPr="00D30CB8">
        <w:rPr>
          <w:i/>
        </w:rPr>
        <w:t>certitudo</w:t>
      </w:r>
      <w:r w:rsidR="00D30CB8" w:rsidRPr="00D30CB8">
        <w:t>) na konci života. Svrchovaný Bůh uděluje spásu svou vykupitelskou spravedlností (</w:t>
      </w:r>
      <w:r w:rsidR="00D30CB8" w:rsidRPr="00D30CB8">
        <w:rPr>
          <w:i/>
        </w:rPr>
        <w:t>rectitudo</w:t>
      </w:r>
      <w:r w:rsidR="00D30CB8">
        <w:t xml:space="preserve">). </w:t>
      </w:r>
      <w:r>
        <w:rPr>
          <w:rStyle w:val="Zkladntext158dkovn0pt"/>
          <w:color w:val="auto"/>
          <w:spacing w:val="0"/>
          <w:sz w:val="24"/>
          <w:lang w:val="cs-CZ"/>
        </w:rPr>
        <w:t>Morální akumulace bohatství v</w:t>
      </w:r>
      <w:r w:rsidR="004A258D">
        <w:rPr>
          <w:rStyle w:val="Zkladntext158dkovn0pt"/>
          <w:color w:val="auto"/>
          <w:spacing w:val="0"/>
          <w:sz w:val="24"/>
          <w:lang w:val="cs-CZ"/>
        </w:rPr>
        <w:t xml:space="preserve">ytváří kapitálově silnou pravdu jako </w:t>
      </w:r>
      <w:r w:rsidRPr="002C0CFB">
        <w:rPr>
          <w:rStyle w:val="Zkladntext158dkovn0pt"/>
          <w:i/>
          <w:color w:val="auto"/>
          <w:spacing w:val="0"/>
          <w:sz w:val="24"/>
          <w:lang w:val="cs-CZ"/>
        </w:rPr>
        <w:t>certitudo</w:t>
      </w:r>
      <w:r>
        <w:rPr>
          <w:rStyle w:val="Zkladntext158dkovn0pt"/>
          <w:color w:val="auto"/>
          <w:spacing w:val="0"/>
          <w:sz w:val="24"/>
          <w:lang w:val="cs-CZ"/>
        </w:rPr>
        <w:t>. Subjek</w:t>
      </w:r>
      <w:r w:rsidR="00E01045">
        <w:rPr>
          <w:rStyle w:val="Zkladntext158dkovn0pt"/>
          <w:color w:val="auto"/>
          <w:spacing w:val="0"/>
          <w:sz w:val="24"/>
          <w:lang w:val="cs-CZ"/>
        </w:rPr>
        <w:t xml:space="preserve">tivní víra podepřená kapitálem a </w:t>
      </w:r>
      <w:r>
        <w:rPr>
          <w:rStyle w:val="Zkladntext158dkovn0pt"/>
          <w:color w:val="auto"/>
          <w:spacing w:val="0"/>
          <w:sz w:val="24"/>
          <w:lang w:val="cs-CZ"/>
        </w:rPr>
        <w:t xml:space="preserve">skutky spoléhá na vykupitelské boží </w:t>
      </w:r>
      <w:r w:rsidRPr="002C0CFB">
        <w:rPr>
          <w:rStyle w:val="Zkladntext158dkovn0pt"/>
          <w:i/>
          <w:color w:val="auto"/>
          <w:spacing w:val="0"/>
          <w:sz w:val="24"/>
          <w:lang w:val="cs-CZ"/>
        </w:rPr>
        <w:t>rectitudo</w:t>
      </w:r>
      <w:r w:rsidRPr="080D1235">
        <w:rPr>
          <w:rStyle w:val="Zkladntext158dkovn0pt"/>
          <w:color w:val="auto"/>
          <w:spacing w:val="0"/>
          <w:sz w:val="24"/>
          <w:lang w:val="cs-CZ"/>
        </w:rPr>
        <w:t xml:space="preserve"> </w:t>
      </w:r>
      <w:r>
        <w:rPr>
          <w:rStyle w:val="Zkladntext158dkovn0pt"/>
          <w:color w:val="auto"/>
          <w:spacing w:val="0"/>
          <w:sz w:val="24"/>
          <w:lang w:val="cs-CZ"/>
        </w:rPr>
        <w:t xml:space="preserve">plným subjektivním </w:t>
      </w:r>
      <w:r>
        <w:rPr>
          <w:rStyle w:val="Zkladntext158dkovn0pt"/>
          <w:color w:val="auto"/>
          <w:spacing w:val="0"/>
          <w:sz w:val="24"/>
          <w:lang w:val="cs-CZ"/>
        </w:rPr>
        <w:lastRenderedPageBreak/>
        <w:t xml:space="preserve">právem takto reformované moderny. </w:t>
      </w:r>
      <w:r w:rsidR="00DB29F2">
        <w:rPr>
          <w:rStyle w:val="Zkladntext158dkovn0pt"/>
          <w:color w:val="auto"/>
          <w:spacing w:val="0"/>
          <w:sz w:val="24"/>
          <w:lang w:val="cs-CZ"/>
        </w:rPr>
        <w:t xml:space="preserve">Postmoderní subjekt tím </w:t>
      </w:r>
      <w:r>
        <w:rPr>
          <w:rStyle w:val="Zkladntext158dkovn0pt"/>
          <w:color w:val="auto"/>
          <w:spacing w:val="0"/>
          <w:sz w:val="24"/>
          <w:lang w:val="cs-CZ"/>
        </w:rPr>
        <w:t>zajistil</w:t>
      </w:r>
      <w:r w:rsidRPr="00273106">
        <w:rPr>
          <w:rStyle w:val="Zkladntext158dkovn0pt"/>
          <w:color w:val="auto"/>
          <w:spacing w:val="0"/>
          <w:sz w:val="24"/>
          <w:lang w:val="cs-CZ"/>
        </w:rPr>
        <w:t xml:space="preserve"> </w:t>
      </w:r>
      <w:r>
        <w:rPr>
          <w:rStyle w:val="Zkladntext158dkovn0pt"/>
          <w:color w:val="auto"/>
          <w:spacing w:val="0"/>
          <w:sz w:val="24"/>
          <w:lang w:val="cs-CZ"/>
        </w:rPr>
        <w:t xml:space="preserve">lidsky možné právo na boží </w:t>
      </w:r>
      <w:r w:rsidRPr="00273106">
        <w:rPr>
          <w:rStyle w:val="Zkladntext158dkovn0pt"/>
          <w:color w:val="auto"/>
          <w:spacing w:val="0"/>
          <w:sz w:val="24"/>
          <w:lang w:val="cs-CZ"/>
        </w:rPr>
        <w:t>ospravedln</w:t>
      </w:r>
      <w:r>
        <w:rPr>
          <w:rStyle w:val="Zkladntext158dkovn0pt"/>
          <w:color w:val="auto"/>
          <w:spacing w:val="0"/>
          <w:sz w:val="24"/>
          <w:lang w:val="cs-CZ"/>
        </w:rPr>
        <w:t>ění</w:t>
      </w:r>
      <w:r w:rsidRPr="084E6090">
        <w:rPr>
          <w:rStyle w:val="Zkladntext158dkovn0pt"/>
          <w:color w:val="auto"/>
          <w:spacing w:val="0"/>
          <w:sz w:val="24"/>
          <w:lang w:val="cs-CZ"/>
        </w:rPr>
        <w:t xml:space="preserve"> </w:t>
      </w:r>
      <w:r>
        <w:rPr>
          <w:rStyle w:val="Zkladntext158dkovn0pt"/>
          <w:color w:val="auto"/>
          <w:spacing w:val="0"/>
          <w:sz w:val="24"/>
          <w:lang w:val="cs-CZ"/>
        </w:rPr>
        <w:t>podle etiky raného kapitalismu</w:t>
      </w:r>
      <w:r>
        <w:rPr>
          <w:rStyle w:val="Zkladntext158dkovn0pt"/>
          <w:color w:val="auto"/>
          <w:spacing w:val="0"/>
          <w:sz w:val="24"/>
          <w:lang w:val="cs-CZ"/>
        </w:rPr>
        <w:fldChar w:fldCharType="begin"/>
      </w:r>
      <w:r>
        <w:instrText xml:space="preserve"> XE "</w:instrText>
      </w:r>
      <w:r w:rsidRPr="006204E9">
        <w:rPr>
          <w:rStyle w:val="Zkladntext158dkovn0pt"/>
          <w:color w:val="auto"/>
          <w:spacing w:val="0"/>
          <w:sz w:val="24"/>
          <w:lang w:val="cs-CZ"/>
        </w:rPr>
        <w:instrText>ospravedlnění</w:instrText>
      </w:r>
      <w:r>
        <w:instrText xml:space="preserve">" </w:instrText>
      </w:r>
      <w:r>
        <w:rPr>
          <w:rStyle w:val="Zkladntext158dkovn0pt"/>
          <w:color w:val="auto"/>
          <w:spacing w:val="0"/>
          <w:sz w:val="24"/>
          <w:lang w:val="cs-CZ"/>
        </w:rPr>
        <w:fldChar w:fldCharType="end"/>
      </w:r>
      <w:r>
        <w:rPr>
          <w:rStyle w:val="Zkladntext158dkovn0pt"/>
          <w:color w:val="auto"/>
          <w:spacing w:val="0"/>
          <w:sz w:val="24"/>
          <w:lang w:val="cs-CZ"/>
        </w:rPr>
        <w:t xml:space="preserve">. </w:t>
      </w:r>
      <w:r w:rsidR="00DB29F2" w:rsidRPr="00DB29F2">
        <w:rPr>
          <w:rStyle w:val="Zkladntext158dkovn0pt"/>
          <w:color w:val="auto"/>
          <w:spacing w:val="0"/>
          <w:sz w:val="24"/>
          <w:lang w:val="cs-CZ"/>
        </w:rPr>
        <w:t xml:space="preserve">Tímto historicky </w:t>
      </w:r>
      <w:r w:rsidR="00DB29F2">
        <w:rPr>
          <w:rStyle w:val="Zkladntext158dkovn0pt"/>
          <w:color w:val="auto"/>
          <w:spacing w:val="0"/>
          <w:sz w:val="24"/>
          <w:lang w:val="cs-CZ"/>
        </w:rPr>
        <w:t xml:space="preserve">plně daným </w:t>
      </w:r>
      <w:r w:rsidR="00DB29F2" w:rsidRPr="00DB29F2">
        <w:rPr>
          <w:rStyle w:val="Zkladntext158dkovn0pt"/>
          <w:color w:val="auto"/>
          <w:spacing w:val="0"/>
          <w:sz w:val="24"/>
          <w:lang w:val="cs-CZ"/>
        </w:rPr>
        <w:t>kapitalis</w:t>
      </w:r>
      <w:r w:rsidR="00DB29F2">
        <w:rPr>
          <w:rStyle w:val="Zkladntext158dkovn0pt"/>
          <w:color w:val="auto"/>
          <w:spacing w:val="0"/>
          <w:sz w:val="24"/>
          <w:lang w:val="cs-CZ"/>
        </w:rPr>
        <w:t xml:space="preserve">mem </w:t>
      </w:r>
      <w:r w:rsidR="00DB29F2" w:rsidRPr="00DB29F2">
        <w:rPr>
          <w:rStyle w:val="Zkladntext158dkovn0pt"/>
          <w:color w:val="auto"/>
          <w:spacing w:val="0"/>
          <w:sz w:val="24"/>
          <w:lang w:val="cs-CZ"/>
        </w:rPr>
        <w:t xml:space="preserve">postmodernismus dokončil </w:t>
      </w:r>
      <w:r w:rsidR="00DB29F2">
        <w:rPr>
          <w:rStyle w:val="Zkladntext158dkovn0pt"/>
          <w:color w:val="auto"/>
          <w:spacing w:val="0"/>
          <w:sz w:val="24"/>
          <w:lang w:val="cs-CZ"/>
        </w:rPr>
        <w:t xml:space="preserve">dějinně určenou </w:t>
      </w:r>
      <w:r w:rsidR="00DB29F2" w:rsidRPr="00DB29F2">
        <w:rPr>
          <w:rStyle w:val="Zkladntext158dkovn0pt"/>
          <w:color w:val="auto"/>
          <w:spacing w:val="0"/>
          <w:sz w:val="24"/>
          <w:lang w:val="cs-CZ"/>
        </w:rPr>
        <w:t>cestu modernity. Na počátku modernity vznikla podobným způsobem idea očistce, aby zajistila právo na věčné sebezachování kupců (OBJ II, kapitola 1.6).</w:t>
      </w:r>
      <w:r w:rsidR="00ED7B2B">
        <w:rPr>
          <w:rStyle w:val="Zkladntext158dkovn0pt"/>
          <w:color w:val="auto"/>
          <w:spacing w:val="0"/>
          <w:sz w:val="24"/>
          <w:lang w:val="cs-CZ"/>
        </w:rPr>
        <w:t xml:space="preserve"> </w:t>
      </w:r>
      <w:r>
        <w:t xml:space="preserve">Tím je dána poslední odpověď na další existenciální dativ určující, jak </w:t>
      </w:r>
      <w:r w:rsidRPr="00273106">
        <w:rPr>
          <w:iCs/>
        </w:rPr>
        <w:t xml:space="preserve">se </w:t>
      </w:r>
      <w:r>
        <w:rPr>
          <w:iCs/>
        </w:rPr>
        <w:t xml:space="preserve">objektivně definované jsoucno </w:t>
      </w:r>
      <w:r w:rsidRPr="00273106">
        <w:rPr>
          <w:iCs/>
        </w:rPr>
        <w:t>stalo nástrojem novověké vědo-techniky (</w:t>
      </w:r>
      <w:r w:rsidRPr="00273106">
        <w:rPr>
          <w:i/>
          <w:iCs/>
        </w:rPr>
        <w:t>dativus instrumenti</w:t>
      </w:r>
      <w:r>
        <w:rPr>
          <w:i/>
          <w:iCs/>
        </w:rPr>
        <w:fldChar w:fldCharType="begin"/>
      </w:r>
      <w:r>
        <w:instrText xml:space="preserve"> XE "</w:instrText>
      </w:r>
      <w:r w:rsidRPr="00BD4DF9">
        <w:rPr>
          <w:i/>
          <w:iCs/>
        </w:rPr>
        <w:instrText>dativus instrumenti</w:instrText>
      </w:r>
      <w:r>
        <w:instrText xml:space="preserve">" </w:instrText>
      </w:r>
      <w:r>
        <w:rPr>
          <w:i/>
          <w:iCs/>
        </w:rPr>
        <w:fldChar w:fldCharType="end"/>
      </w:r>
      <w:r w:rsidRPr="00273106">
        <w:rPr>
          <w:iCs/>
        </w:rPr>
        <w:t>)</w:t>
      </w:r>
      <w:r>
        <w:rPr>
          <w:iCs/>
        </w:rPr>
        <w:t xml:space="preserve">. Vědecko-technická instrumentální racionalita se stala po smrti boha </w:t>
      </w:r>
      <w:r w:rsidRPr="08111240">
        <w:rPr>
          <w:i/>
          <w:iCs/>
        </w:rPr>
        <w:t>Modernorum</w:t>
      </w:r>
      <w:r>
        <w:rPr>
          <w:iCs/>
        </w:rPr>
        <w:t xml:space="preserve"> jediným sekulárním nástrojem spásy. </w:t>
      </w:r>
      <w:r>
        <w:rPr>
          <w:rStyle w:val="Zkladntext158dkovn0pt"/>
          <w:color w:val="auto"/>
          <w:spacing w:val="0"/>
          <w:sz w:val="24"/>
          <w:lang w:val="cs-CZ"/>
        </w:rPr>
        <w:t xml:space="preserve">Lutherova </w:t>
      </w:r>
      <w:r>
        <w:t xml:space="preserve">reformace završila Bonaventurovo spirituální cestu v díle </w:t>
      </w:r>
      <w:r w:rsidRPr="081A354E">
        <w:rPr>
          <w:i/>
        </w:rPr>
        <w:t>Itinerarium mentis in Deum</w:t>
      </w:r>
      <w:r w:rsidR="00CD72B4">
        <w:t xml:space="preserve">. </w:t>
      </w:r>
      <w:r w:rsidR="00522158">
        <w:t xml:space="preserve">Plně kapitalistický </w:t>
      </w:r>
      <w:r w:rsidR="00107748">
        <w:t xml:space="preserve">subjekt </w:t>
      </w:r>
      <w:r w:rsidR="00522158">
        <w:t xml:space="preserve">založený </w:t>
      </w:r>
      <w:r w:rsidR="00107748" w:rsidRPr="00273106">
        <w:rPr>
          <w:rStyle w:val="Zkladntext158dkovn0pt"/>
          <w:color w:val="auto"/>
          <w:spacing w:val="0"/>
          <w:sz w:val="24"/>
          <w:lang w:val="cs-CZ"/>
        </w:rPr>
        <w:t>Kalvín</w:t>
      </w:r>
      <w:r w:rsidR="00522158">
        <w:rPr>
          <w:rStyle w:val="Zkladntext158dkovn0pt"/>
          <w:color w:val="auto"/>
          <w:spacing w:val="0"/>
          <w:sz w:val="24"/>
          <w:lang w:val="cs-CZ"/>
        </w:rPr>
        <w:t>em</w:t>
      </w:r>
      <w:r w:rsidR="00107748">
        <w:rPr>
          <w:rStyle w:val="Zkladntext158dkovn0pt"/>
          <w:color w:val="auto"/>
          <w:spacing w:val="0"/>
          <w:sz w:val="24"/>
          <w:lang w:val="cs-CZ"/>
        </w:rPr>
        <w:fldChar w:fldCharType="begin"/>
      </w:r>
      <w:r w:rsidR="00107748">
        <w:instrText xml:space="preserve"> XE "</w:instrText>
      </w:r>
      <w:r w:rsidR="00107748" w:rsidRPr="009E07B2">
        <w:rPr>
          <w:rStyle w:val="Zkladntext158dkovn0pt"/>
          <w:color w:val="auto"/>
          <w:spacing w:val="0"/>
          <w:sz w:val="24"/>
          <w:lang w:val="cs-CZ"/>
        </w:rPr>
        <w:instrText>Kalvín, J.</w:instrText>
      </w:r>
      <w:r w:rsidR="00107748">
        <w:instrText xml:space="preserve">" </w:instrText>
      </w:r>
      <w:r w:rsidR="00107748">
        <w:rPr>
          <w:rStyle w:val="Zkladntext158dkovn0pt"/>
          <w:color w:val="auto"/>
          <w:spacing w:val="0"/>
          <w:sz w:val="24"/>
          <w:lang w:val="cs-CZ"/>
        </w:rPr>
        <w:fldChar w:fldCharType="end"/>
      </w:r>
      <w:r w:rsidR="00107748" w:rsidRPr="00273106">
        <w:rPr>
          <w:rStyle w:val="Zkladntext158dkovn0pt"/>
          <w:color w:val="auto"/>
          <w:spacing w:val="0"/>
          <w:sz w:val="24"/>
          <w:lang w:val="cs-CZ"/>
        </w:rPr>
        <w:t xml:space="preserve"> </w:t>
      </w:r>
      <w:r w:rsidR="00107748">
        <w:rPr>
          <w:rStyle w:val="Zkladntext158dkovn0pt"/>
          <w:color w:val="auto"/>
          <w:spacing w:val="0"/>
          <w:sz w:val="24"/>
          <w:lang w:val="cs-CZ"/>
        </w:rPr>
        <w:t xml:space="preserve">získal </w:t>
      </w:r>
      <w:r w:rsidR="00107748" w:rsidRPr="00273106">
        <w:rPr>
          <w:rStyle w:val="Zkladntext158dkovn0pt"/>
          <w:color w:val="auto"/>
          <w:spacing w:val="0"/>
          <w:sz w:val="24"/>
          <w:lang w:val="cs-CZ"/>
        </w:rPr>
        <w:t xml:space="preserve">definitivní jistotu </w:t>
      </w:r>
      <w:r w:rsidR="00107748">
        <w:rPr>
          <w:rStyle w:val="Zkladntext158dkovn0pt"/>
          <w:color w:val="auto"/>
          <w:spacing w:val="0"/>
          <w:sz w:val="24"/>
          <w:lang w:val="cs-CZ"/>
        </w:rPr>
        <w:t xml:space="preserve">spasení tím, že spojil </w:t>
      </w:r>
      <w:r w:rsidR="00107748" w:rsidRPr="00273106">
        <w:rPr>
          <w:rStyle w:val="Zkladntext158dkovn0pt"/>
          <w:color w:val="auto"/>
          <w:spacing w:val="0"/>
          <w:sz w:val="24"/>
          <w:lang w:val="cs-CZ"/>
        </w:rPr>
        <w:t xml:space="preserve">obě patra Bonaventurových regulí ve světské rovině. </w:t>
      </w:r>
      <w:r w:rsidR="00107748" w:rsidRPr="00273106">
        <w:t>Svobodný subjekt Západu zakládající podle Webera</w:t>
      </w:r>
      <w:r w:rsidR="00107748">
        <w:fldChar w:fldCharType="begin"/>
      </w:r>
      <w:r w:rsidR="00107748">
        <w:instrText xml:space="preserve"> XE "</w:instrText>
      </w:r>
      <w:r w:rsidR="00107748" w:rsidRPr="00CE7A81">
        <w:instrText>Weber, M.</w:instrText>
      </w:r>
      <w:r w:rsidR="00107748">
        <w:instrText xml:space="preserve">" </w:instrText>
      </w:r>
      <w:r w:rsidR="00107748">
        <w:fldChar w:fldCharType="end"/>
      </w:r>
      <w:r w:rsidR="00107748" w:rsidRPr="00273106">
        <w:t xml:space="preserve"> kalvínský kapitalismus aktualizoval původní </w:t>
      </w:r>
      <w:r w:rsidR="00107748">
        <w:t xml:space="preserve">vizi </w:t>
      </w:r>
      <w:r w:rsidR="00107748" w:rsidRPr="00273106">
        <w:t xml:space="preserve">druhého averroismu, ale </w:t>
      </w:r>
      <w:r w:rsidR="00107748">
        <w:t xml:space="preserve">už </w:t>
      </w:r>
      <w:r w:rsidR="00107748" w:rsidRPr="00273106">
        <w:t xml:space="preserve">v </w:t>
      </w:r>
      <w:r w:rsidR="00107748">
        <w:t xml:space="preserve">epoše metafyzického </w:t>
      </w:r>
      <w:r w:rsidR="00107748" w:rsidRPr="00273106">
        <w:t>nihilismu.</w:t>
      </w:r>
      <w:r w:rsidR="00107748">
        <w:t xml:space="preserve"> </w:t>
      </w:r>
      <w:r w:rsidR="00875922" w:rsidRPr="00875922">
        <w:t>Plně kapitalistický subjekt založený Kalvínem dosáhl konečné jistoty spásy spo</w:t>
      </w:r>
      <w:r w:rsidR="00875922">
        <w:t>jením dvou rovin Bonaventurovy „</w:t>
      </w:r>
      <w:r w:rsidR="00875922" w:rsidRPr="00875922">
        <w:rPr>
          <w:i/>
        </w:rPr>
        <w:t>regula agentis in/creati</w:t>
      </w:r>
      <w:r w:rsidR="00875922">
        <w:t>“</w:t>
      </w:r>
      <w:r w:rsidR="00875922" w:rsidRPr="00875922">
        <w:t xml:space="preserve"> na světské úrovni. Weber popsal svobodný subjekt Západu, který založil kalvínský kapitalismus. Tento subjekt aktualizoval původní vizi druhého averroismu v éře metafyzického nihilismu. Postmodernismus dostal novou cestu vykoupení založenou na všech druzích kapitálu.</w:t>
      </w:r>
    </w:p>
    <w:p w:rsidR="003A19E0" w:rsidRPr="00417AFD" w:rsidRDefault="00F44172" w:rsidP="00417AFD">
      <w:pPr>
        <w:ind w:firstLine="397"/>
      </w:pPr>
      <w:r w:rsidRPr="00F44172">
        <w:t xml:space="preserve">Po Marxově </w:t>
      </w:r>
      <w:r>
        <w:t>průkopnickém díle se „</w:t>
      </w:r>
      <w:r w:rsidRPr="00F44172">
        <w:rPr>
          <w:i/>
        </w:rPr>
        <w:t>das Kapital</w:t>
      </w:r>
      <w:r>
        <w:t>“ stal novým bohem, protože moderní b</w:t>
      </w:r>
      <w:r w:rsidRPr="00F44172">
        <w:t>ůh byl již mrtvý. Proto všechny cesty postmoderny už neved</w:t>
      </w:r>
      <w:r w:rsidR="005D133C">
        <w:t xml:space="preserve">ou do Říma, ale na Wall Street. Vtipné Múzy inscenovaly nové kolo božské komedie. Schizofrenický bílý muž se stal novým spasitelem lidstva a vytrvale táhne </w:t>
      </w:r>
      <w:r w:rsidR="0040594B">
        <w:t xml:space="preserve">své imperialistické břímě </w:t>
      </w:r>
      <w:r w:rsidR="005D133C">
        <w:t xml:space="preserve">na Golgotu zvanou </w:t>
      </w:r>
      <w:r w:rsidR="005D133C" w:rsidRPr="08945C66">
        <w:rPr>
          <w:i/>
        </w:rPr>
        <w:t xml:space="preserve">City of </w:t>
      </w:r>
      <w:proofErr w:type="gramStart"/>
      <w:r w:rsidR="005D133C" w:rsidRPr="08945C66">
        <w:rPr>
          <w:i/>
        </w:rPr>
        <w:t>London</w:t>
      </w:r>
      <w:proofErr w:type="gramEnd"/>
      <w:r w:rsidR="005D133C">
        <w:t>. Tohoto nového mesiáše objektivně vítězně oslavil Kipling jako postmoderní Homér anglo-saského imperialismu (</w:t>
      </w:r>
      <w:r w:rsidR="005D133C">
        <w:rPr>
          <w:i/>
        </w:rPr>
        <w:t>T</w:t>
      </w:r>
      <w:r w:rsidR="005D133C" w:rsidRPr="0804081B">
        <w:rPr>
          <w:i/>
        </w:rPr>
        <w:t>ake up the White Man's burden</w:t>
      </w:r>
      <w:r w:rsidR="005D133C">
        <w:t xml:space="preserve">; OBJ II, kap. 3.5). Poetická spravedlnost imperialistického kapitalismu </w:t>
      </w:r>
      <w:r w:rsidR="0067583F">
        <w:t xml:space="preserve">je </w:t>
      </w:r>
      <w:r w:rsidR="005D133C">
        <w:t>vedená démonickými Fúriemi schovanými pod objektivní ideologickou maskou</w:t>
      </w:r>
      <w:r w:rsidR="00AB5266">
        <w:t xml:space="preserve"> (πρόσωπον, </w:t>
      </w:r>
      <w:r w:rsidR="00AB5266" w:rsidRPr="08CB1C84">
        <w:rPr>
          <w:i/>
        </w:rPr>
        <w:t>persona</w:t>
      </w:r>
      <w:r w:rsidR="00AB5266">
        <w:t>) „</w:t>
      </w:r>
      <w:proofErr w:type="gramStart"/>
      <w:r w:rsidR="00AB5266">
        <w:t>člověka</w:t>
      </w:r>
      <w:proofErr w:type="gramEnd"/>
      <w:r w:rsidR="00AB5266">
        <w:t>–</w:t>
      </w:r>
      <w:proofErr w:type="gramStart"/>
      <w:r w:rsidR="005D133C">
        <w:t>mrtvoly</w:t>
      </w:r>
      <w:proofErr w:type="gramEnd"/>
      <w:r w:rsidR="00AB5266">
        <w:t>“</w:t>
      </w:r>
      <w:r w:rsidR="005D133C">
        <w:t xml:space="preserve"> podává tragickou odpověď na otázku, j</w:t>
      </w:r>
      <w:r w:rsidR="005D133C" w:rsidRPr="00273106">
        <w:rPr>
          <w:iCs/>
        </w:rPr>
        <w:t xml:space="preserve">ak se </w:t>
      </w:r>
      <w:r w:rsidR="005D133C">
        <w:rPr>
          <w:iCs/>
        </w:rPr>
        <w:t xml:space="preserve">objektivně definované jsoucno </w:t>
      </w:r>
      <w:r w:rsidR="005D133C" w:rsidRPr="00273106">
        <w:rPr>
          <w:iCs/>
        </w:rPr>
        <w:t>stalo nástrojem novověké vědo-techniky (</w:t>
      </w:r>
      <w:r w:rsidR="005D133C" w:rsidRPr="00273106">
        <w:rPr>
          <w:i/>
          <w:iCs/>
        </w:rPr>
        <w:t>dativus instrumenti</w:t>
      </w:r>
      <w:r w:rsidR="005D133C">
        <w:rPr>
          <w:i/>
          <w:iCs/>
        </w:rPr>
        <w:fldChar w:fldCharType="begin"/>
      </w:r>
      <w:r w:rsidR="005D133C">
        <w:instrText xml:space="preserve"> XE "</w:instrText>
      </w:r>
      <w:r w:rsidR="005D133C" w:rsidRPr="00BD4DF9">
        <w:rPr>
          <w:i/>
          <w:iCs/>
        </w:rPr>
        <w:instrText>dativus instrumenti</w:instrText>
      </w:r>
      <w:r w:rsidR="005D133C">
        <w:instrText xml:space="preserve">" </w:instrText>
      </w:r>
      <w:r w:rsidR="005D133C">
        <w:rPr>
          <w:i/>
          <w:iCs/>
        </w:rPr>
        <w:fldChar w:fldCharType="end"/>
      </w:r>
      <w:r w:rsidR="005D133C" w:rsidRPr="00273106">
        <w:rPr>
          <w:iCs/>
        </w:rPr>
        <w:t>)</w:t>
      </w:r>
      <w:r w:rsidR="005D133C">
        <w:rPr>
          <w:iCs/>
        </w:rPr>
        <w:t xml:space="preserve">. </w:t>
      </w:r>
      <w:r w:rsidR="005D133C">
        <w:t>I</w:t>
      </w:r>
      <w:r w:rsidR="005D133C">
        <w:rPr>
          <w:szCs w:val="27"/>
          <w:shd w:val="clear" w:color="auto" w:fill="FFFFFF"/>
        </w:rPr>
        <w:t>ntimně svobodná a iracionálně c</w:t>
      </w:r>
      <w:r w:rsidR="005D133C">
        <w:t xml:space="preserve">htějící vůle je nyní plně angažovaná v modu kapitalistické produkce a imperialistického dobývání světa, protože svět tvoří sekundární a akcidentální aspekt svobodné vůle dnes dané téměř globálně. Olivi vytvořil kapitalistickou verzi objektivně určeného „třetího světa“, z níž </w:t>
      </w:r>
      <w:r w:rsidR="005D133C">
        <w:lastRenderedPageBreak/>
        <w:t>vznikl dnešní Třetí svět. Tato verze neoplatonského simulákra byla původně daná v Jamblichově diakosmu</w:t>
      </w:r>
      <w:r w:rsidR="005D133C">
        <w:fldChar w:fldCharType="begin"/>
      </w:r>
      <w:r w:rsidR="005D133C">
        <w:instrText xml:space="preserve"> XE "</w:instrText>
      </w:r>
      <w:r w:rsidR="005D133C" w:rsidRPr="001D4DD4">
        <w:instrText>diakosmos</w:instrText>
      </w:r>
      <w:r w:rsidR="005D133C">
        <w:instrText xml:space="preserve">" </w:instrText>
      </w:r>
      <w:r w:rsidR="005D133C">
        <w:fldChar w:fldCharType="end"/>
      </w:r>
      <w:r w:rsidR="005D133C">
        <w:t xml:space="preserve"> a v islámské falsafě. Křesťanský očistec se v epoše postmoderny stal ekonomickým pojmem. Třetí svět symbolizuje veškerou bídu myšlení a činů západní objektivity v pracovních táborech od 19. až do 21. století. Jeho poslední transformace ve věku nihilismu završuje moderní definici člověka jako specifické mrtvoly chápané v modu instrumentální racionality, která se stala novým „</w:t>
      </w:r>
      <w:r w:rsidR="005D133C" w:rsidRPr="0049159C">
        <w:rPr>
          <w:i/>
        </w:rPr>
        <w:t>totum virtuale</w:t>
      </w:r>
      <w:r w:rsidR="005D133C">
        <w:t>“</w:t>
      </w:r>
      <w:r w:rsidR="005D133C">
        <w:rPr>
          <w:i/>
        </w:rPr>
        <w:fldChar w:fldCharType="begin"/>
      </w:r>
      <w:r w:rsidR="005D133C">
        <w:instrText xml:space="preserve"> XE "</w:instrText>
      </w:r>
      <w:r w:rsidR="005D133C" w:rsidRPr="006F6A5F">
        <w:instrText>osoba</w:instrText>
      </w:r>
      <w:r w:rsidR="005D133C" w:rsidRPr="00A10A92">
        <w:rPr>
          <w:i/>
        </w:rPr>
        <w:instrText>:totum virtuale</w:instrText>
      </w:r>
      <w:r w:rsidR="005D133C">
        <w:instrText xml:space="preserve">" </w:instrText>
      </w:r>
      <w:r w:rsidR="005D133C">
        <w:rPr>
          <w:i/>
        </w:rPr>
        <w:fldChar w:fldCharType="end"/>
      </w:r>
      <w:r w:rsidR="005D133C">
        <w:t xml:space="preserve">. Nový subjekt je určen formální definicí potence dané </w:t>
      </w:r>
      <w:r w:rsidR="005D133C" w:rsidRPr="086C0DBB">
        <w:rPr>
          <w:i/>
        </w:rPr>
        <w:t>ex nihilo</w:t>
      </w:r>
      <w:r w:rsidR="005D133C">
        <w:t xml:space="preserve">, protože představuje jsoucno třetího druhu definované jako porretánské konkrétní individuum. Tato podivuhodná kolekta objektivních substancí drží pohromadě pouze sebezáchovnou silou demiurgické vůle danou jako Spinozův </w:t>
      </w:r>
      <w:r w:rsidR="00296DBD">
        <w:t>„</w:t>
      </w:r>
      <w:r w:rsidR="005D133C" w:rsidRPr="080248B7">
        <w:rPr>
          <w:i/>
        </w:rPr>
        <w:t>conatus</w:t>
      </w:r>
      <w:r w:rsidR="00296DBD">
        <w:t>“</w:t>
      </w:r>
      <w:r w:rsidR="005D133C">
        <w:rPr>
          <w:i/>
        </w:rPr>
        <w:fldChar w:fldCharType="begin"/>
      </w:r>
      <w:r w:rsidR="005D133C">
        <w:instrText xml:space="preserve"> XE "</w:instrText>
      </w:r>
      <w:r w:rsidR="005D133C" w:rsidRPr="08527700">
        <w:rPr>
          <w:i/>
        </w:rPr>
        <w:instrText>conatus</w:instrText>
      </w:r>
      <w:r w:rsidR="005D133C">
        <w:instrText xml:space="preserve">" </w:instrText>
      </w:r>
      <w:r w:rsidR="005D133C">
        <w:rPr>
          <w:i/>
        </w:rPr>
        <w:fldChar w:fldCharType="end"/>
      </w:r>
      <w:r w:rsidR="005D133C">
        <w:t>.</w:t>
      </w:r>
      <w:r w:rsidR="007868A7">
        <w:t xml:space="preserve"> </w:t>
      </w:r>
      <w:r w:rsidR="003A19E0">
        <w:t xml:space="preserve">Současné neoliberální kolo tohoto vykupitelského nihilismu spustila </w:t>
      </w:r>
      <w:r w:rsidR="003A19E0" w:rsidRPr="00273106">
        <w:t>jednostranná interprepretace Friedricha Hayeka</w:t>
      </w:r>
      <w:r w:rsidR="003A19E0">
        <w:fldChar w:fldCharType="begin"/>
      </w:r>
      <w:r w:rsidR="003A19E0">
        <w:instrText xml:space="preserve"> XE "</w:instrText>
      </w:r>
      <w:r w:rsidR="003A19E0" w:rsidRPr="00913401">
        <w:instrText>Hayek, F.</w:instrText>
      </w:r>
      <w:r w:rsidR="003A19E0">
        <w:instrText xml:space="preserve">" </w:instrText>
      </w:r>
      <w:r w:rsidR="003A19E0">
        <w:fldChar w:fldCharType="end"/>
      </w:r>
      <w:r w:rsidR="003A19E0">
        <w:t xml:space="preserve"> ohledně </w:t>
      </w:r>
      <w:r w:rsidR="0084550C">
        <w:t>„</w:t>
      </w:r>
      <w:r w:rsidR="003A19E0" w:rsidRPr="00273106">
        <w:rPr>
          <w:i/>
        </w:rPr>
        <w:t>invisible hand</w:t>
      </w:r>
      <w:r w:rsidR="0084550C">
        <w:t>“</w:t>
      </w:r>
      <w:r w:rsidR="003A19E0" w:rsidRPr="00273106">
        <w:t xml:space="preserve"> </w:t>
      </w:r>
      <w:r w:rsidR="003A19E0">
        <w:t xml:space="preserve">dané v jediné zmínce u </w:t>
      </w:r>
      <w:r w:rsidR="003A19E0" w:rsidRPr="00273106">
        <w:t>Adama Smitha</w:t>
      </w:r>
      <w:r w:rsidR="003A19E0">
        <w:fldChar w:fldCharType="begin"/>
      </w:r>
      <w:r w:rsidR="003A19E0">
        <w:instrText xml:space="preserve"> XE "</w:instrText>
      </w:r>
      <w:r w:rsidR="003A19E0" w:rsidRPr="00F65D79">
        <w:instrText>Smith, A.</w:instrText>
      </w:r>
      <w:r w:rsidR="003A19E0">
        <w:instrText xml:space="preserve">" </w:instrText>
      </w:r>
      <w:r w:rsidR="003A19E0">
        <w:fldChar w:fldCharType="end"/>
      </w:r>
      <w:r w:rsidR="003A19E0" w:rsidRPr="00273106">
        <w:t xml:space="preserve">. Tento </w:t>
      </w:r>
      <w:r w:rsidR="003A19E0">
        <w:t xml:space="preserve">ekonomický moralista a prakticky myslící </w:t>
      </w:r>
      <w:r w:rsidR="003A19E0" w:rsidRPr="00273106">
        <w:t xml:space="preserve">Skot tematizoval ekonomický </w:t>
      </w:r>
      <w:r w:rsidR="003A19E0" w:rsidRPr="00273106">
        <w:rPr>
          <w:i/>
        </w:rPr>
        <w:t>appetitus</w:t>
      </w:r>
      <w:r w:rsidR="003A19E0" w:rsidRPr="00273106">
        <w:t xml:space="preserve"> kapitalistického subjektu </w:t>
      </w:r>
      <w:r w:rsidR="003A19E0">
        <w:t xml:space="preserve">v rámci morální filosofie </w:t>
      </w:r>
      <w:r w:rsidR="003A19E0" w:rsidRPr="00273106">
        <w:t>(</w:t>
      </w:r>
      <w:r w:rsidR="003A19E0" w:rsidRPr="00273106">
        <w:rPr>
          <w:bCs/>
          <w:i/>
          <w:iCs/>
        </w:rPr>
        <w:t>The Wealth of Nations</w:t>
      </w:r>
      <w:r w:rsidR="003A19E0" w:rsidRPr="00273106">
        <w:rPr>
          <w:bCs/>
          <w:iCs/>
        </w:rPr>
        <w:t>, 1776</w:t>
      </w:r>
      <w:r w:rsidR="003A19E0" w:rsidRPr="00273106">
        <w:t>)</w:t>
      </w:r>
      <w:r w:rsidR="003A19E0">
        <w:t>. Ekonomickou morálku Adama Smitha budující kapitalismus nahradily v epoše dokonaného neoliberalismu finanční deriváty ovládající fiktivní dluh exponenciálně rostoucí skrze  složený úrok. Tím je dána i odpověď na otázku, j</w:t>
      </w:r>
      <w:r w:rsidR="003A19E0" w:rsidRPr="00273106">
        <w:rPr>
          <w:iCs/>
        </w:rPr>
        <w:t xml:space="preserve">ak </w:t>
      </w:r>
      <w:r w:rsidR="003A19E0">
        <w:rPr>
          <w:iCs/>
        </w:rPr>
        <w:t xml:space="preserve">objektivně pojaté vědění </w:t>
      </w:r>
      <w:r w:rsidR="003A19E0" w:rsidRPr="00273106">
        <w:rPr>
          <w:iCs/>
        </w:rPr>
        <w:t>ničí člověka ve světových válkách skrze objektivismus, instrumentální racionalitu, nihilismus techniky a vulgární ekonomismus současného korporátního fašismu (</w:t>
      </w:r>
      <w:r w:rsidR="003A19E0" w:rsidRPr="00273106">
        <w:rPr>
          <w:i/>
          <w:iCs/>
        </w:rPr>
        <w:t>dativus ethicus</w:t>
      </w:r>
      <w:r w:rsidR="003A19E0">
        <w:rPr>
          <w:i/>
          <w:iCs/>
        </w:rPr>
        <w:fldChar w:fldCharType="begin"/>
      </w:r>
      <w:r w:rsidR="003A19E0">
        <w:instrText xml:space="preserve"> XE "</w:instrText>
      </w:r>
      <w:r w:rsidR="003A19E0" w:rsidRPr="00945F2F">
        <w:rPr>
          <w:i/>
          <w:iCs/>
        </w:rPr>
        <w:instrText>dativus ethicus</w:instrText>
      </w:r>
      <w:r w:rsidR="003A19E0">
        <w:instrText xml:space="preserve">" </w:instrText>
      </w:r>
      <w:r w:rsidR="003A19E0">
        <w:rPr>
          <w:i/>
          <w:iCs/>
        </w:rPr>
        <w:fldChar w:fldCharType="end"/>
      </w:r>
      <w:r w:rsidR="003A19E0">
        <w:rPr>
          <w:iCs/>
        </w:rPr>
        <w:t xml:space="preserve">). </w:t>
      </w:r>
      <w:r w:rsidR="003A19E0" w:rsidRPr="00273106">
        <w:t xml:space="preserve">Metafyzika substanční vůle </w:t>
      </w:r>
      <w:r w:rsidR="003A19E0">
        <w:t xml:space="preserve">založená Bonaventurou a Olivim </w:t>
      </w:r>
      <w:r w:rsidR="003A19E0" w:rsidRPr="00273106">
        <w:t xml:space="preserve">zásadně nasměrovala myšlení na cestu západního </w:t>
      </w:r>
      <w:r w:rsidR="003A19E0">
        <w:t xml:space="preserve">metafyzického </w:t>
      </w:r>
      <w:r w:rsidR="003A19E0" w:rsidRPr="00273106">
        <w:t>nihilismu.</w:t>
      </w:r>
      <w:r w:rsidR="003A19E0">
        <w:t xml:space="preserve"> E</w:t>
      </w:r>
      <w:r w:rsidR="003A19E0" w:rsidRPr="00273106">
        <w:t>po</w:t>
      </w:r>
      <w:r w:rsidR="003A19E0">
        <w:t xml:space="preserve">cha </w:t>
      </w:r>
      <w:r w:rsidR="003A19E0" w:rsidRPr="00273106">
        <w:t xml:space="preserve">současné techno-vědy završuje </w:t>
      </w:r>
      <w:r w:rsidR="003A19E0">
        <w:t xml:space="preserve">paranoickou </w:t>
      </w:r>
      <w:r w:rsidR="003A19E0" w:rsidRPr="00273106">
        <w:t xml:space="preserve">chtivost </w:t>
      </w:r>
      <w:r w:rsidR="00D64B48">
        <w:t>křížových výprav, které vedli první modernisté</w:t>
      </w:r>
      <w:r w:rsidR="003A19E0">
        <w:t xml:space="preserve">. Její současná etapa je řízena </w:t>
      </w:r>
      <w:r w:rsidR="003A19E0" w:rsidRPr="00273106">
        <w:t xml:space="preserve">globálními korporacemi </w:t>
      </w:r>
      <w:r w:rsidR="003A19E0">
        <w:t xml:space="preserve">a idelogií vulgárního </w:t>
      </w:r>
      <w:r w:rsidR="003A19E0" w:rsidRPr="00273106">
        <w:t>neoliberalismu</w:t>
      </w:r>
      <w:r w:rsidR="003A19E0">
        <w:t xml:space="preserve">. Tento nový nihilistický produkt se stal podle Marxova aforismu novým opiem kulturně pokleslé střední třídy. Dělnická třída už skončila jako </w:t>
      </w:r>
      <w:r w:rsidR="00F743A7">
        <w:t>„</w:t>
      </w:r>
      <w:r w:rsidR="003A19E0" w:rsidRPr="081767FD">
        <w:rPr>
          <w:i/>
        </w:rPr>
        <w:t>animal laborans</w:t>
      </w:r>
      <w:r w:rsidR="00F743A7">
        <w:t>“</w:t>
      </w:r>
      <w:r w:rsidR="003A19E0">
        <w:rPr>
          <w:i/>
        </w:rPr>
        <w:fldChar w:fldCharType="begin"/>
      </w:r>
      <w:r w:rsidR="003A19E0">
        <w:instrText xml:space="preserve"> XE "</w:instrText>
      </w:r>
      <w:r w:rsidR="003A19E0" w:rsidRPr="087A620F">
        <w:rPr>
          <w:i/>
        </w:rPr>
        <w:instrText>animal laborans</w:instrText>
      </w:r>
      <w:r w:rsidR="003A19E0">
        <w:instrText xml:space="preserve">" </w:instrText>
      </w:r>
      <w:r w:rsidR="003A19E0">
        <w:rPr>
          <w:i/>
        </w:rPr>
        <w:fldChar w:fldCharType="end"/>
      </w:r>
      <w:r w:rsidR="003A19E0">
        <w:t xml:space="preserve"> popsaný Arendtovou, kterou v dalším kole postkapitalistické produkce nahr</w:t>
      </w:r>
      <w:r w:rsidR="00FD1C31">
        <w:t xml:space="preserve">adí roboti a umělá inteligence. </w:t>
      </w:r>
      <w:r w:rsidR="00DD3035">
        <w:t>Tato nihilistická „</w:t>
      </w:r>
      <w:r w:rsidR="00DD3035" w:rsidRPr="00DD3035">
        <w:rPr>
          <w:i/>
        </w:rPr>
        <w:t>universitas humana</w:t>
      </w:r>
      <w:r w:rsidR="00DD3035">
        <w:t>“</w:t>
      </w:r>
      <w:r w:rsidR="00FD1C31">
        <w:rPr>
          <w:rStyle w:val="addmd"/>
          <w:i/>
        </w:rPr>
        <w:fldChar w:fldCharType="begin"/>
      </w:r>
      <w:r w:rsidR="00FD1C31">
        <w:instrText xml:space="preserve"> XE "</w:instrText>
      </w:r>
      <w:r w:rsidR="00FD1C31" w:rsidRPr="00A16633">
        <w:rPr>
          <w:i/>
        </w:rPr>
        <w:instrText>universitas humana</w:instrText>
      </w:r>
      <w:r w:rsidR="00FD1C31">
        <w:instrText xml:space="preserve">" </w:instrText>
      </w:r>
      <w:r w:rsidR="00FD1C31">
        <w:rPr>
          <w:rStyle w:val="addmd"/>
          <w:i/>
        </w:rPr>
        <w:fldChar w:fldCharType="end"/>
      </w:r>
      <w:r w:rsidR="00DD3035">
        <w:t xml:space="preserve"> směřuje do </w:t>
      </w:r>
      <w:r w:rsidR="003A19E0">
        <w:t>další globální války</w:t>
      </w:r>
      <w:r w:rsidR="00DD3035">
        <w:t xml:space="preserve">. </w:t>
      </w:r>
      <w:r w:rsidR="00076B06">
        <w:t>Vládnoucí tří</w:t>
      </w:r>
      <w:r w:rsidR="00DD3035">
        <w:t xml:space="preserve">da nových </w:t>
      </w:r>
      <w:r w:rsidR="003A19E0">
        <w:t>iluminátů p</w:t>
      </w:r>
      <w:r w:rsidR="00DD3035">
        <w:t xml:space="preserve">oužívá kolektivně danou </w:t>
      </w:r>
      <w:r w:rsidR="003A19E0">
        <w:t>instrumentální racionalit</w:t>
      </w:r>
      <w:r w:rsidR="00DD3035">
        <w:t>u</w:t>
      </w:r>
      <w:r w:rsidR="003A19E0">
        <w:t xml:space="preserve"> jako základní </w:t>
      </w:r>
      <w:r w:rsidR="00DD3035">
        <w:t>nástroj (</w:t>
      </w:r>
      <w:r w:rsidR="00DD3035" w:rsidRPr="00DD3035">
        <w:rPr>
          <w:i/>
        </w:rPr>
        <w:t>dativus instrumenti</w:t>
      </w:r>
      <w:r w:rsidR="00076B06">
        <w:rPr>
          <w:i/>
        </w:rPr>
        <w:fldChar w:fldCharType="begin"/>
      </w:r>
      <w:r w:rsidR="00076B06">
        <w:instrText xml:space="preserve"> XE "</w:instrText>
      </w:r>
      <w:r w:rsidR="00076B06" w:rsidRPr="00F54198">
        <w:rPr>
          <w:i/>
        </w:rPr>
        <w:instrText>dativus instrumenti</w:instrText>
      </w:r>
      <w:r w:rsidR="00076B06">
        <w:instrText xml:space="preserve">" </w:instrText>
      </w:r>
      <w:r w:rsidR="00076B06">
        <w:rPr>
          <w:i/>
        </w:rPr>
        <w:fldChar w:fldCharType="end"/>
      </w:r>
      <w:r w:rsidR="00DD3035">
        <w:t xml:space="preserve">). </w:t>
      </w:r>
      <w:r w:rsidR="003A19E0">
        <w:t xml:space="preserve">Pak se bude v aktu objektivního a globálního </w:t>
      </w:r>
      <w:r w:rsidR="003A19E0" w:rsidRPr="08BD52AA">
        <w:rPr>
          <w:i/>
        </w:rPr>
        <w:t>Mobilmachung</w:t>
      </w:r>
      <w:r w:rsidR="003A19E0">
        <w:t xml:space="preserve"> vyžadovat po „lidských zdrojích“ oběť života ve jménu budoucího</w:t>
      </w:r>
      <w:r w:rsidR="00F638FE">
        <w:t>,</w:t>
      </w:r>
      <w:r w:rsidR="003A19E0">
        <w:t xml:space="preserve"> a proto dosud </w:t>
      </w:r>
      <w:r w:rsidR="00F638FE">
        <w:t xml:space="preserve">reálně </w:t>
      </w:r>
      <w:r w:rsidR="003A19E0">
        <w:t xml:space="preserve">neexistujícího </w:t>
      </w:r>
      <w:r w:rsidR="003A19E0">
        <w:lastRenderedPageBreak/>
        <w:t>míru. A budoucí mír musí po nasazení správných technických prostředků přijít na dobytou zem se stejnou logickou nutností jako budoucí Antikrist za doby Grossetesteho.</w:t>
      </w:r>
    </w:p>
    <w:p w:rsidR="00572094" w:rsidRDefault="00572094" w:rsidP="08163013">
      <w:pPr>
        <w:pStyle w:val="Nadpis1"/>
        <w:rPr>
          <w:lang w:val="cs-CZ"/>
        </w:rPr>
      </w:pPr>
    </w:p>
    <w:p w:rsidR="00572094" w:rsidRDefault="00572094" w:rsidP="08163013">
      <w:pPr>
        <w:pStyle w:val="Nadpis1"/>
        <w:rPr>
          <w:lang w:val="cs-CZ"/>
        </w:rPr>
      </w:pPr>
    </w:p>
    <w:p w:rsidR="00572094" w:rsidRDefault="00572094" w:rsidP="00572094">
      <w:r>
        <w:t xml:space="preserve"> </w:t>
      </w:r>
    </w:p>
    <w:p w:rsidR="08163013" w:rsidRPr="00273106" w:rsidRDefault="08163013" w:rsidP="08163013">
      <w:pPr>
        <w:pStyle w:val="Nadpis1"/>
      </w:pPr>
      <w:r>
        <w:br w:type="page"/>
      </w:r>
      <w:bookmarkStart w:id="115" w:name="_Toc36144175"/>
      <w:bookmarkStart w:id="116" w:name="_Toc180231688"/>
      <w:r>
        <w:rPr>
          <w:lang w:val="cs-CZ"/>
        </w:rPr>
        <w:lastRenderedPageBreak/>
        <w:t>7</w:t>
      </w:r>
      <w:r>
        <w:t xml:space="preserve">. </w:t>
      </w:r>
      <w:r w:rsidRPr="00273106">
        <w:t xml:space="preserve">Oidipův </w:t>
      </w:r>
      <w:r>
        <w:t>objektivní</w:t>
      </w:r>
      <w:r w:rsidRPr="00273106">
        <w:t xml:space="preserve"> komplex</w:t>
      </w:r>
      <w:bookmarkEnd w:id="115"/>
      <w:bookmarkEnd w:id="116"/>
      <w:r w:rsidRPr="00273106">
        <w:t xml:space="preserve"> </w:t>
      </w:r>
    </w:p>
    <w:p w:rsidR="00C87AAC" w:rsidRDefault="08163013" w:rsidP="00C87AAC">
      <w:r>
        <w:t xml:space="preserve">Tisíciletý spor metafyziky determinované Platonem nebo Aristotelem lze ilustrovat </w:t>
      </w:r>
      <w:r w:rsidR="00EC175A">
        <w:t xml:space="preserve">zajímavým </w:t>
      </w:r>
      <w:r>
        <w:t>příkladem. Geologické formace Aleutských a Havajských ostrovů či oblasti Yellowstone kolem Snake River vznikly tím, že pod zemskou kůrou o průměrné tlou</w:t>
      </w:r>
      <w:r w:rsidR="08C80F3A">
        <w:t xml:space="preserve">šťce kolem 100 km (litosféra) </w:t>
      </w:r>
      <w:r>
        <w:t>leží v hloubkách kolem 400 km magmatický krb napájený teplem z vnějšího zemského jádra (</w:t>
      </w:r>
      <w:r w:rsidR="08357FE5">
        <w:t xml:space="preserve">tzv. </w:t>
      </w:r>
      <w:r w:rsidRPr="00E31047">
        <w:rPr>
          <w:i/>
        </w:rPr>
        <w:t>hotspot</w:t>
      </w:r>
      <w:r>
        <w:rPr>
          <w:i/>
        </w:rPr>
        <w:fldChar w:fldCharType="begin"/>
      </w:r>
      <w:r>
        <w:instrText xml:space="preserve"> XE "</w:instrText>
      </w:r>
      <w:r w:rsidRPr="0076556A">
        <w:rPr>
          <w:i/>
        </w:rPr>
        <w:instrText>hotspot</w:instrText>
      </w:r>
      <w:r>
        <w:instrText xml:space="preserve">" </w:instrText>
      </w:r>
      <w:r>
        <w:rPr>
          <w:i/>
        </w:rPr>
        <w:fldChar w:fldCharType="end"/>
      </w:r>
      <w:r>
        <w:t>). Magmatický krb nemění po milióny let svou pozici, pouze se posunuje horní zemská kra, například Pacifická nebo Severoamerická</w:t>
      </w:r>
      <w:r w:rsidRPr="00D9502E">
        <w:t xml:space="preserve"> </w:t>
      </w:r>
      <w:r>
        <w:t xml:space="preserve">litosférická deska. Stabilní magmatický krb v zemském jádru taví na stále novém místě pohyblivou zemskou desku, kde vytváří horní kalderu umístěnou jen několik kilometrů pod povrchem. Horní komora supervulkánu přetlakem dolního krbu po stovkách tisíců let pravidelně vybuchuje a vytváří buď nové ostrovy nebo obrovský kráter jako v oblasti Yellowstone. Hermeneutika nezkoumá geologické vrstvy supervulkánu, ale </w:t>
      </w:r>
      <w:r w:rsidR="00FC7D67">
        <w:t>dějinnost f</w:t>
      </w:r>
      <w:r>
        <w:t xml:space="preserve">ilosofického myšlení, jehož výsledným produktem je objektivní náhled na svět a vědecké poznání. </w:t>
      </w:r>
      <w:r w:rsidR="08CE4E06">
        <w:t>Matrice objektivity ukázaly</w:t>
      </w:r>
      <w:r>
        <w:t xml:space="preserve">, že skrytá gigantomachie mezi Platonem a Aristotelem se stále znovu opakuje v průběhu tisíciletí. Původní </w:t>
      </w:r>
      <w:r w:rsidRPr="005465E1">
        <w:rPr>
          <w:i/>
        </w:rPr>
        <w:t>Ereignis</w:t>
      </w:r>
      <w:r>
        <w:rPr>
          <w:i/>
        </w:rPr>
        <w:fldChar w:fldCharType="begin"/>
      </w:r>
      <w:r>
        <w:instrText xml:space="preserve"> XE "</w:instrText>
      </w:r>
      <w:r w:rsidRPr="00120BB2">
        <w:rPr>
          <w:i/>
        </w:rPr>
        <w:instrText>Ereignis</w:instrText>
      </w:r>
      <w:r>
        <w:instrText xml:space="preserve">" </w:instrText>
      </w:r>
      <w:r>
        <w:rPr>
          <w:i/>
        </w:rPr>
        <w:fldChar w:fldCharType="end"/>
      </w:r>
      <w:r>
        <w:t xml:space="preserve"> Platonovy a Aristotelovy gigantomachie o substanci žhne hluboko v </w:t>
      </w:r>
      <w:r w:rsidR="00594E30" w:rsidRPr="00594E30">
        <w:t>Léthé</w:t>
      </w:r>
      <w:r>
        <w:t xml:space="preserve"> samotného bytí a odtud dává vyrůstat stále novým konfiguracím smyslu jsoucna. </w:t>
      </w:r>
      <w:r w:rsidR="00281B11" w:rsidRPr="00281B11">
        <w:t>Uplynuly generace a staletí, géniové založili nové myšlenkové erupce, které formují západní metaf</w:t>
      </w:r>
      <w:r w:rsidR="00281B11">
        <w:t>yziku a její dynamickou krajinu</w:t>
      </w:r>
      <w:r w:rsidR="000D07E6">
        <w:t>.</w:t>
      </w:r>
      <w:r w:rsidR="00A165DC">
        <w:t xml:space="preserve"> Archaický dativ mystérií se změnil na principiální dativ první filosofie, pak na metafyzický dativ a nakonec na objektivní dativ. Archeologie apollinské a múzické pravdy jako po-odkrytosti </w:t>
      </w:r>
      <w:r w:rsidR="00A165DC">
        <w:rPr>
          <w:szCs w:val="24"/>
          <w:lang w:val="de-DE"/>
        </w:rPr>
        <w:t>(</w:t>
      </w:r>
      <w:r w:rsidR="00A165DC" w:rsidRPr="006810F7">
        <w:rPr>
          <w:i/>
          <w:szCs w:val="24"/>
          <w:lang w:val="de-DE"/>
        </w:rPr>
        <w:t>a/létheia</w:t>
      </w:r>
      <w:r w:rsidR="00A165DC">
        <w:rPr>
          <w:szCs w:val="24"/>
          <w:lang w:val="de-DE"/>
        </w:rPr>
        <w:t xml:space="preserve">) </w:t>
      </w:r>
      <w:r w:rsidR="00A165DC">
        <w:t xml:space="preserve">ukazuje, jak myšlení </w:t>
      </w:r>
      <w:r w:rsidR="00307019">
        <w:t xml:space="preserve">v metafyzice </w:t>
      </w:r>
      <w:r w:rsidR="00A165DC">
        <w:t xml:space="preserve">odpovědělo na výzvu </w:t>
      </w:r>
      <w:r w:rsidR="00307019">
        <w:t xml:space="preserve">danou skrze </w:t>
      </w:r>
      <w:r w:rsidR="00A165DC">
        <w:t>bytí substance.</w:t>
      </w:r>
      <w:r w:rsidR="00C87AAC">
        <w:t xml:space="preserve"> </w:t>
      </w:r>
      <w:r w:rsidR="000D07E6">
        <w:t>První g</w:t>
      </w:r>
      <w:r>
        <w:t xml:space="preserve">igantomachie o </w:t>
      </w:r>
      <w:r w:rsidR="00281B11">
        <w:t>s</w:t>
      </w:r>
      <w:r>
        <w:t xml:space="preserve">ubstanci </w:t>
      </w:r>
      <w:r w:rsidR="00FC7D67">
        <w:t xml:space="preserve">mezi Akademií a Lyceem </w:t>
      </w:r>
      <w:r>
        <w:t xml:space="preserve">se </w:t>
      </w:r>
      <w:r w:rsidR="000D07E6">
        <w:t xml:space="preserve">konala v pozdní </w:t>
      </w:r>
      <w:r>
        <w:t>anti</w:t>
      </w:r>
      <w:r w:rsidR="000D07E6">
        <w:t xml:space="preserve">ce; pak přešla do falsafy a nakonec </w:t>
      </w:r>
      <w:r>
        <w:t>do rané scholastiky. Poslední série filosofických sporů o určení substance</w:t>
      </w:r>
      <w:r>
        <w:fldChar w:fldCharType="begin"/>
      </w:r>
      <w:r>
        <w:instrText xml:space="preserve"> XE "</w:instrText>
      </w:r>
      <w:r w:rsidRPr="00DE2A32">
        <w:instrText>substance</w:instrText>
      </w:r>
      <w:r>
        <w:instrText xml:space="preserve">:gigantomachie" </w:instrText>
      </w:r>
      <w:r>
        <w:fldChar w:fldCharType="end"/>
      </w:r>
      <w:r>
        <w:t xml:space="preserve"> vznikla ve třináctém století a vytvo</w:t>
      </w:r>
      <w:r w:rsidR="00C87AAC">
        <w:t>řila dnešní podobu objektivity.</w:t>
      </w:r>
    </w:p>
    <w:p w:rsidR="083E6EC8" w:rsidRPr="00281B11" w:rsidRDefault="080D22BD" w:rsidP="002878C1">
      <w:pPr>
        <w:ind w:firstLine="397"/>
      </w:pPr>
      <w:r>
        <w:t>Výklad šesti matric postupně našel místa dávných výbuchů v triádě dějinnosti, dějin a historie</w:t>
      </w:r>
      <w:r>
        <w:fldChar w:fldCharType="begin"/>
      </w:r>
      <w:r>
        <w:instrText xml:space="preserve"> XE "</w:instrText>
      </w:r>
      <w:r w:rsidRPr="00DF5E14">
        <w:instrText>hermen</w:instrText>
      </w:r>
      <w:r>
        <w:instrText>eu</w:instrText>
      </w:r>
      <w:r w:rsidRPr="00DF5E14">
        <w:instrText>tická triáda</w:instrText>
      </w:r>
      <w:r>
        <w:instrText xml:space="preserve">" </w:instrText>
      </w:r>
      <w:r>
        <w:fldChar w:fldCharType="end"/>
      </w:r>
      <w:r>
        <w:t xml:space="preserve">. </w:t>
      </w:r>
      <w:r w:rsidR="00DF0FD5">
        <w:t xml:space="preserve">Pokaždé došlo k nové donaci </w:t>
      </w:r>
      <w:r w:rsidR="008C0525">
        <w:t xml:space="preserve">metafyzického </w:t>
      </w:r>
      <w:r w:rsidR="00DF0FD5">
        <w:t xml:space="preserve">jsoucna, až k dnešní epoše metafyzického nihilismu. </w:t>
      </w:r>
      <w:r w:rsidR="08163013">
        <w:t>Úvodní věta zamyšlení</w:t>
      </w:r>
      <w:r w:rsidR="081C402E">
        <w:t xml:space="preserve"> tvrdila</w:t>
      </w:r>
      <w:r w:rsidR="08163013">
        <w:t xml:space="preserve">, že hermeneutické zkoumání objektivity nesmí být objektivní, ale pravdivé, protože jen tak je moudré. Předložená práce si vzala za úkol provést nestranné zkoumání velkých činů dosud neznámé gigantomachie o substanci, kterou vedli zastánci prvního a druhého averroismu. Matrice </w:t>
      </w:r>
      <w:r w:rsidR="08163013">
        <w:lastRenderedPageBreak/>
        <w:t>objektivity popsaly jednotlivé bitvy a jejich aktéry</w:t>
      </w:r>
      <w:r w:rsidR="00B95E05">
        <w:t xml:space="preserve"> a podle inspirace Hérodotovým</w:t>
      </w:r>
      <w:r w:rsidR="08163013">
        <w:t xml:space="preserve"> díl</w:t>
      </w:r>
      <w:r w:rsidR="00B95E05">
        <w:t xml:space="preserve">em </w:t>
      </w:r>
      <w:r w:rsidR="08163013" w:rsidRPr="08305361">
        <w:rPr>
          <w:i/>
        </w:rPr>
        <w:t>Historie</w:t>
      </w:r>
      <w:r w:rsidR="08163013">
        <w:t xml:space="preserve">. Smysl objektivity byl </w:t>
      </w:r>
      <w:r w:rsidR="08447B67">
        <w:t>podán v modu archaického zkoumání (</w:t>
      </w:r>
      <w:r w:rsidR="08447B67" w:rsidRPr="08447B67">
        <w:t>ἱστορία</w:t>
      </w:r>
      <w:r w:rsidR="08447B67">
        <w:t>)</w:t>
      </w:r>
      <w:r w:rsidR="00916B54">
        <w:t xml:space="preserve">. Hérodot a hermeneutika sledovaly </w:t>
      </w:r>
      <w:r w:rsidR="08447B67">
        <w:t xml:space="preserve">znamení daná </w:t>
      </w:r>
      <w:r w:rsidR="00916B54">
        <w:t xml:space="preserve">apolinskou </w:t>
      </w:r>
      <w:r w:rsidR="08447B67">
        <w:t>sémantikou Delf</w:t>
      </w:r>
      <w:r w:rsidR="00916B54">
        <w:t xml:space="preserve"> a provedly jejich výklad</w:t>
      </w:r>
      <w:r w:rsidR="08447B67">
        <w:t xml:space="preserve">. Stejným způsobem </w:t>
      </w:r>
      <w:r w:rsidR="08163013">
        <w:t xml:space="preserve">Hérodotos vytvořil </w:t>
      </w:r>
      <w:r w:rsidR="08BE685C">
        <w:t>první historii a Sokrates lásku k moudro</w:t>
      </w:r>
      <w:r w:rsidR="08041BA7">
        <w:t>s</w:t>
      </w:r>
      <w:r w:rsidR="08BE685C">
        <w:t>ti</w:t>
      </w:r>
      <w:r w:rsidR="08163013">
        <w:t xml:space="preserve">. </w:t>
      </w:r>
      <w:r w:rsidR="08DE447A">
        <w:t xml:space="preserve">Hermeneutika objektivity vytvořila celek vědění v modu Hérodotova archaického </w:t>
      </w:r>
      <w:r w:rsidR="08DE447A">
        <w:rPr>
          <w:i/>
        </w:rPr>
        <w:t>demo</w:t>
      </w:r>
      <w:r w:rsidR="08DE447A" w:rsidRPr="08F145B7">
        <w:rPr>
          <w:i/>
        </w:rPr>
        <w:t>n</w:t>
      </w:r>
      <w:r w:rsidR="08DE447A">
        <w:rPr>
          <w:i/>
        </w:rPr>
        <w:t>s</w:t>
      </w:r>
      <w:r w:rsidR="08DE447A" w:rsidRPr="08F145B7">
        <w:rPr>
          <w:i/>
        </w:rPr>
        <w:t>tratio</w:t>
      </w:r>
      <w:r w:rsidR="08DE447A">
        <w:t xml:space="preserve"> (ἱστορίης ἀπόδεξις, </w:t>
      </w:r>
      <w:proofErr w:type="gramStart"/>
      <w:r w:rsidR="08DE447A" w:rsidRPr="088C233F">
        <w:rPr>
          <w:i/>
        </w:rPr>
        <w:t>Hist</w:t>
      </w:r>
      <w:r w:rsidR="08DE447A">
        <w:t>. 1.p.</w:t>
      </w:r>
      <w:proofErr w:type="gramEnd"/>
      <w:r w:rsidR="08DE447A">
        <w:t>1</w:t>
      </w:r>
      <w:r w:rsidR="08DE447A">
        <w:fldChar w:fldCharType="begin"/>
      </w:r>
      <w:r w:rsidR="08DE447A">
        <w:instrText xml:space="preserve"> XE "Hérodotos</w:instrText>
      </w:r>
      <w:r w:rsidR="08DE447A" w:rsidRPr="08D560A7">
        <w:instrText>:</w:instrText>
      </w:r>
      <w:r w:rsidR="08DE447A" w:rsidRPr="081F7F33">
        <w:rPr>
          <w:i/>
        </w:rPr>
        <w:instrText>Historiae</w:instrText>
      </w:r>
      <w:r w:rsidR="08DE447A">
        <w:instrText xml:space="preserve"> 1.p.1" </w:instrText>
      </w:r>
      <w:r w:rsidR="08DE447A">
        <w:fldChar w:fldCharType="end"/>
      </w:r>
      <w:r w:rsidR="08DE447A">
        <w:t xml:space="preserve">). </w:t>
      </w:r>
      <w:r w:rsidR="08442DD0">
        <w:t xml:space="preserve">Otec historie </w:t>
      </w:r>
      <w:r w:rsidR="08DE447A">
        <w:t>předal obhájcům apodiktického výklad</w:t>
      </w:r>
      <w:r w:rsidR="001216C1">
        <w:t xml:space="preserve">u minulosti jeden zásadní úkol. </w:t>
      </w:r>
      <w:r w:rsidR="004C464B">
        <w:t>H</w:t>
      </w:r>
      <w:r w:rsidR="004C464B" w:rsidRPr="001216C1">
        <w:t>ermeneutick</w:t>
      </w:r>
      <w:r w:rsidR="004C464B">
        <w:t xml:space="preserve">ý </w:t>
      </w:r>
      <w:r w:rsidR="004C464B" w:rsidRPr="001216C1">
        <w:t>trojúhelník</w:t>
      </w:r>
      <w:r w:rsidR="004C464B">
        <w:t xml:space="preserve"> odkryl s</w:t>
      </w:r>
      <w:r w:rsidR="001216C1" w:rsidRPr="001216C1">
        <w:t>mysl lidských činů</w:t>
      </w:r>
      <w:r w:rsidR="004C464B">
        <w:t xml:space="preserve">, které tvořily celé epochy </w:t>
      </w:r>
      <w:r w:rsidR="001216C1" w:rsidRPr="001216C1">
        <w:t xml:space="preserve">(τὰ γενόμενα ἐξ ἀνθρώπων). Úkol apodiktického zkoumání je zřejmý, neboť je dvojí: vidět, co se skutečně stalo, a posoudit to podle </w:t>
      </w:r>
      <w:r w:rsidR="001216C1" w:rsidRPr="001216C1">
        <w:rPr>
          <w:i/>
          <w:iCs/>
        </w:rPr>
        <w:t>alétheia</w:t>
      </w:r>
      <w:r w:rsidR="001216C1" w:rsidRPr="001216C1">
        <w:t xml:space="preserve"> </w:t>
      </w:r>
      <w:r w:rsidR="001216C1">
        <w:t xml:space="preserve">určené </w:t>
      </w:r>
      <w:r w:rsidR="001216C1" w:rsidRPr="001216C1">
        <w:t>Múz</w:t>
      </w:r>
      <w:r w:rsidR="001216C1">
        <w:t xml:space="preserve">ami. Za prvé; </w:t>
      </w:r>
      <w:r w:rsidR="001216C1" w:rsidRPr="001216C1">
        <w:t>ten</w:t>
      </w:r>
      <w:r w:rsidR="001216C1">
        <w:t>to</w:t>
      </w:r>
      <w:r w:rsidR="001216C1" w:rsidRPr="001216C1">
        <w:t xml:space="preserve"> nejdůležitější smysl lidské </w:t>
      </w:r>
      <w:r w:rsidR="001216C1">
        <w:t xml:space="preserve">dějinnosti a dějin </w:t>
      </w:r>
      <w:r w:rsidR="001216C1" w:rsidRPr="001216C1">
        <w:t xml:space="preserve">nesmí být pohřben plynutím času chronos (τῷ χρόνῳ ἐξίτηλα γένηται, </w:t>
      </w:r>
      <w:r w:rsidR="001216C1">
        <w:t>ibid</w:t>
      </w:r>
      <w:r w:rsidR="001216C1" w:rsidRPr="001216C1">
        <w:t xml:space="preserve">). Za druhé, že </w:t>
      </w:r>
      <w:r w:rsidR="001216C1">
        <w:t xml:space="preserve">aktéři těchto událostí nesmí být připraveni o spravedlivý díl nepomíjející slávy </w:t>
      </w:r>
      <w:r w:rsidR="001216C1" w:rsidRPr="001216C1">
        <w:t xml:space="preserve">smrtelníků </w:t>
      </w:r>
      <w:r w:rsidR="001216C1">
        <w:t>(</w:t>
      </w:r>
      <w:r w:rsidR="001216C1" w:rsidRPr="08D744BE">
        <w:t>ἀκλεᾶ</w:t>
      </w:r>
      <w:r w:rsidR="001216C1">
        <w:t xml:space="preserve"> </w:t>
      </w:r>
      <w:r w:rsidR="001216C1" w:rsidRPr="08D744BE">
        <w:t>γένηται</w:t>
      </w:r>
      <w:r w:rsidR="001216C1">
        <w:t xml:space="preserve">, </w:t>
      </w:r>
      <w:proofErr w:type="gramStart"/>
      <w:r w:rsidR="001216C1" w:rsidRPr="080C4F72">
        <w:rPr>
          <w:i/>
        </w:rPr>
        <w:t>Hist</w:t>
      </w:r>
      <w:r w:rsidR="001216C1">
        <w:t>. 1.p.</w:t>
      </w:r>
      <w:proofErr w:type="gramEnd"/>
      <w:r w:rsidR="001216C1">
        <w:t>4</w:t>
      </w:r>
      <w:r w:rsidR="001216C1">
        <w:fldChar w:fldCharType="begin"/>
      </w:r>
      <w:r w:rsidR="001216C1">
        <w:instrText xml:space="preserve"> XE "Hérodotos</w:instrText>
      </w:r>
      <w:r w:rsidR="001216C1" w:rsidRPr="08D560A7">
        <w:instrText>:</w:instrText>
      </w:r>
      <w:r w:rsidR="001216C1" w:rsidRPr="081F7F33">
        <w:rPr>
          <w:i/>
        </w:rPr>
        <w:instrText>Historiae</w:instrText>
      </w:r>
      <w:r w:rsidR="001216C1">
        <w:instrText xml:space="preserve"> 1.p.4" </w:instrText>
      </w:r>
      <w:r w:rsidR="001216C1">
        <w:fldChar w:fldCharType="end"/>
      </w:r>
      <w:r w:rsidR="001216C1">
        <w:t>). A</w:t>
      </w:r>
      <w:r w:rsidR="080B5EB6">
        <w:t xml:space="preserve">podiktické zkoumání po vzoru </w:t>
      </w:r>
      <w:r w:rsidR="08163013">
        <w:t>Hérodot</w:t>
      </w:r>
      <w:r w:rsidR="080B5EB6">
        <w:t>a</w:t>
      </w:r>
      <w:r w:rsidR="08163013">
        <w:fldChar w:fldCharType="begin"/>
      </w:r>
      <w:r w:rsidR="08163013">
        <w:instrText xml:space="preserve"> XE "</w:instrText>
      </w:r>
      <w:r w:rsidR="08163013" w:rsidRPr="00356A77">
        <w:instrText>Hérodotos</w:instrText>
      </w:r>
      <w:r w:rsidR="08163013">
        <w:instrText xml:space="preserve">" </w:instrText>
      </w:r>
      <w:r w:rsidR="08163013">
        <w:fldChar w:fldCharType="end"/>
      </w:r>
      <w:r w:rsidR="080B5EB6">
        <w:t xml:space="preserve"> popsalo nesmrtelné činy platoniků a aristoteliků, aby </w:t>
      </w:r>
      <w:r w:rsidR="08163013">
        <w:t xml:space="preserve">nikdo z nich nepřišel o zasloužený díl nesmrtelné slávy. </w:t>
      </w:r>
      <w:r w:rsidR="00FC2A99">
        <w:t>Hérodotos sledoval v archaickém schématu tragické viny (</w:t>
      </w:r>
      <w:r w:rsidR="00FC2A99" w:rsidRPr="00373556">
        <w:rPr>
          <w:i/>
        </w:rPr>
        <w:t>manía</w:t>
      </w:r>
      <w:r w:rsidR="00FC2A99">
        <w:t xml:space="preserve">) sílu </w:t>
      </w:r>
      <w:r w:rsidR="00FC2A99" w:rsidRPr="08E05191">
        <w:rPr>
          <w:i/>
        </w:rPr>
        <w:t>hýbris</w:t>
      </w:r>
      <w:r w:rsidR="00FC2A99">
        <w:t xml:space="preserve"> a pleonexie, které stály na samém začátku Řecko-perských válek. Jeho spis apodikticky vyložil po vzoru pythických orákulí archaický spor Médů a Peršanů, který měl rozhodující dějinný vliv na histori</w:t>
      </w:r>
      <w:r w:rsidR="00FC2A99">
        <w:t xml:space="preserve">i řecko-perských válek. </w:t>
      </w:r>
      <w:r w:rsidR="00CF4338">
        <w:t xml:space="preserve">Hermeneutika s pomocí Múz a usmířených Fúrií (Aischylovy </w:t>
      </w:r>
      <w:r w:rsidR="00CF4338" w:rsidRPr="004F783F">
        <w:rPr>
          <w:i/>
        </w:rPr>
        <w:t>Eumenidae</w:t>
      </w:r>
      <w:r w:rsidR="00CF4338">
        <w:t>) zajistila nesmrtelnost odkrytých činů myšlení (</w:t>
      </w:r>
      <w:r w:rsidR="00CF4338" w:rsidRPr="08616484">
        <w:t>κλέος</w:t>
      </w:r>
      <w:r w:rsidR="00CF4338">
        <w:t xml:space="preserve">, </w:t>
      </w:r>
      <w:r w:rsidR="00CF4338" w:rsidRPr="08616484">
        <w:rPr>
          <w:i/>
        </w:rPr>
        <w:t>gloria</w:t>
      </w:r>
      <w:r w:rsidR="00CF4338">
        <w:t>). Obžaloba (</w:t>
      </w:r>
      <w:r w:rsidR="00CF4338" w:rsidRPr="00CF4338">
        <w:rPr>
          <w:i/>
        </w:rPr>
        <w:t>kategoría</w:t>
      </w:r>
      <w:r w:rsidR="00CF4338">
        <w:t>) z filosofické gigantomachie a kategoriální odkrytost tohoto zápasu (</w:t>
      </w:r>
      <w:r w:rsidR="00CF4338" w:rsidRPr="00CF4338">
        <w:rPr>
          <w:i/>
        </w:rPr>
        <w:t>alétheia</w:t>
      </w:r>
      <w:r w:rsidR="00CF4338">
        <w:t>) byla provedena ve shromáždění moudrých smrtelníků shromážděných na hermeneu</w:t>
      </w:r>
      <w:r w:rsidR="00B2026F">
        <w:t xml:space="preserve">tické agoře. </w:t>
      </w:r>
      <w:r w:rsidR="002878C1">
        <w:t>M</w:t>
      </w:r>
      <w:r w:rsidR="08B13A1C">
        <w:t xml:space="preserve">ilovníci moudrosti </w:t>
      </w:r>
      <w:r w:rsidR="002878C1">
        <w:t>Zápa</w:t>
      </w:r>
      <w:r w:rsidR="002878C1">
        <w:t xml:space="preserve">du </w:t>
      </w:r>
      <w:r w:rsidR="08B13A1C">
        <w:t>sledují c</w:t>
      </w:r>
      <w:r w:rsidR="088C233F">
        <w:t xml:space="preserve">estu </w:t>
      </w:r>
      <w:r w:rsidR="08A25D23">
        <w:t>první filosofie ukončené tragiky a S</w:t>
      </w:r>
      <w:r w:rsidR="08095A17">
        <w:t>okrat</w:t>
      </w:r>
      <w:r w:rsidR="08A25D23">
        <w:t>ovým</w:t>
      </w:r>
      <w:r w:rsidR="08095A17">
        <w:t xml:space="preserve"> hledání</w:t>
      </w:r>
      <w:r w:rsidR="08A25D23">
        <w:t>m</w:t>
      </w:r>
      <w:r w:rsidR="08095A17">
        <w:t xml:space="preserve"> apollinské pravdy</w:t>
      </w:r>
      <w:r w:rsidR="081B3018">
        <w:t xml:space="preserve">. </w:t>
      </w:r>
      <w:r w:rsidR="0830612B">
        <w:t xml:space="preserve">Koncept moudrého a proto tragického zkoumání dědičně předávané viny zvané „objektivita“ dosud neexistoval v dramatickém celku. </w:t>
      </w:r>
      <w:r w:rsidR="00FC2A99">
        <w:t>H</w:t>
      </w:r>
      <w:r w:rsidR="00FC2A99">
        <w:t xml:space="preserve">ermeneutika vyložila </w:t>
      </w:r>
      <w:r w:rsidR="087C58B9">
        <w:t xml:space="preserve">apodiktickým způsobem v úvodu prvního dílu původní </w:t>
      </w:r>
      <w:r w:rsidR="087C58B9" w:rsidRPr="08E739B9">
        <w:rPr>
          <w:i/>
        </w:rPr>
        <w:t>hýbris</w:t>
      </w:r>
      <w:r w:rsidR="087C58B9">
        <w:t xml:space="preserve"> první moderny. Platonovo podobenství o jeskyni rozebrané v úvodu práce vytvoř</w:t>
      </w:r>
      <w:r w:rsidR="0094528C">
        <w:t>ilo tragickou formu viny</w:t>
      </w:r>
      <w:r w:rsidR="087C58B9">
        <w:t xml:space="preserve">, která se formě </w:t>
      </w:r>
      <w:r w:rsidR="0094528C">
        <w:t xml:space="preserve">ideálního šílenství rozumu </w:t>
      </w:r>
      <w:r w:rsidR="087C58B9">
        <w:t xml:space="preserve">předává z jedné generace akademiků na druhou. </w:t>
      </w:r>
      <w:r w:rsidR="00140680">
        <w:t>V epoše p</w:t>
      </w:r>
      <w:r w:rsidR="00FA6385">
        <w:t xml:space="preserve">o Platonovi </w:t>
      </w:r>
      <w:r w:rsidR="00B5198C" w:rsidRPr="00B5198C">
        <w:t>mohou akademici žít v jeskyni bez reality, ale rozhodně ne bez idejí.</w:t>
      </w:r>
      <w:r w:rsidR="00B5198C">
        <w:t xml:space="preserve"> </w:t>
      </w:r>
      <w:r w:rsidR="00DB1F9A">
        <w:t xml:space="preserve">Gigantomachie začala na aristotelském Lyceu, když byl platonský ideový svět odmítnut jako neexistující zásvětí akademicky pomateného ducha. </w:t>
      </w:r>
      <w:r w:rsidR="0830612B">
        <w:t xml:space="preserve">Zkoumání </w:t>
      </w:r>
      <w:r w:rsidR="081F6162">
        <w:t xml:space="preserve">filosofické </w:t>
      </w:r>
      <w:r w:rsidR="081F6162">
        <w:lastRenderedPageBreak/>
        <w:t xml:space="preserve">tragédie </w:t>
      </w:r>
      <w:r w:rsidR="009545D9">
        <w:t xml:space="preserve">a později i tragikomedie </w:t>
      </w:r>
      <w:r w:rsidR="0034488B">
        <w:t>našlo původní formu</w:t>
      </w:r>
      <w:r w:rsidR="0830612B">
        <w:t xml:space="preserve"> archaického a metafyzického </w:t>
      </w:r>
      <w:r w:rsidR="0830612B" w:rsidRPr="087462B1">
        <w:rPr>
          <w:i/>
        </w:rPr>
        <w:t>Lichtung</w:t>
      </w:r>
      <w:r w:rsidR="0830612B" w:rsidRPr="0830612B">
        <w:t>, odku</w:t>
      </w:r>
      <w:r w:rsidR="0830612B">
        <w:t>d</w:t>
      </w:r>
      <w:r w:rsidR="0830612B" w:rsidRPr="0830612B">
        <w:t xml:space="preserve"> </w:t>
      </w:r>
      <w:r w:rsidR="00BE2CCD">
        <w:t xml:space="preserve">odkrytost objektivity </w:t>
      </w:r>
      <w:r w:rsidR="0830612B" w:rsidRPr="0830612B">
        <w:t xml:space="preserve">vyšla do </w:t>
      </w:r>
      <w:r w:rsidR="00BE2CCD">
        <w:t xml:space="preserve">západních </w:t>
      </w:r>
      <w:r w:rsidR="0830612B" w:rsidRPr="0830612B">
        <w:t xml:space="preserve">dějin myšlení </w:t>
      </w:r>
      <w:r w:rsidR="00BE2CCD">
        <w:t>skrze gigantomachii</w:t>
      </w:r>
      <w:r w:rsidR="0830612B">
        <w:rPr>
          <w:i/>
        </w:rPr>
        <w:t xml:space="preserve"> </w:t>
      </w:r>
      <w:r w:rsidR="08163013" w:rsidRPr="08565E4C">
        <w:t>prvního a druhého</w:t>
      </w:r>
      <w:r w:rsidR="08163013">
        <w:t xml:space="preserve"> averroismu. </w:t>
      </w:r>
      <w:r w:rsidR="089A4BF8">
        <w:t>V tomto zápase o substanci podobném Trojské válce vznikl</w:t>
      </w:r>
      <w:r w:rsidR="00F749F7">
        <w:t xml:space="preserve">a dějinná podstata </w:t>
      </w:r>
      <w:r w:rsidR="08163013">
        <w:t xml:space="preserve">obou </w:t>
      </w:r>
      <w:r w:rsidR="089A4BF8">
        <w:t xml:space="preserve">dnes zaniklých </w:t>
      </w:r>
      <w:r w:rsidR="08163013">
        <w:t>ško</w:t>
      </w:r>
      <w:r w:rsidR="00F749F7">
        <w:t>l a také předložený příběh (</w:t>
      </w:r>
      <w:r w:rsidR="00124015" w:rsidRPr="001E4274">
        <w:t>μῦθος</w:t>
      </w:r>
      <w:r w:rsidR="00124015">
        <w:t xml:space="preserve">) o jejich zápasu. </w:t>
      </w:r>
      <w:proofErr w:type="gramStart"/>
      <w:r w:rsidR="00124015">
        <w:t>Následujíc</w:t>
      </w:r>
      <w:proofErr w:type="gramEnd"/>
      <w:r w:rsidR="00124015">
        <w:t xml:space="preserve"> Hérodota </w:t>
      </w:r>
      <w:r w:rsidR="00124015" w:rsidRPr="00124015">
        <w:t>jsme museli najít složitý systém skryté kauzality, která způsobila tento druh gigantomachie. Základní příčinou byly nesmiřitelné figury pravdy a nepravdy metafyziky, kvůli ni</w:t>
      </w:r>
      <w:r w:rsidR="00124015">
        <w:t xml:space="preserve">mž </w:t>
      </w:r>
      <w:r w:rsidR="08163013">
        <w:t>představitelé aristotelismu a moderny bojovali jeden proti druhému (</w:t>
      </w:r>
      <w:r w:rsidR="08163013" w:rsidRPr="087119D4">
        <w:t>δι᾽</w:t>
      </w:r>
      <w:r w:rsidR="08163013">
        <w:t xml:space="preserve"> </w:t>
      </w:r>
      <w:r w:rsidR="08163013" w:rsidRPr="087119D4">
        <w:t>ἣν</w:t>
      </w:r>
      <w:r w:rsidR="08163013">
        <w:t xml:space="preserve"> </w:t>
      </w:r>
      <w:r w:rsidR="08163013" w:rsidRPr="087119D4">
        <w:t>αἰτίην</w:t>
      </w:r>
      <w:r w:rsidR="08163013">
        <w:t xml:space="preserve"> </w:t>
      </w:r>
      <w:r w:rsidR="08163013" w:rsidRPr="087119D4">
        <w:t>ἐπολέμησαν</w:t>
      </w:r>
      <w:r w:rsidR="08163013">
        <w:t xml:space="preserve"> </w:t>
      </w:r>
      <w:r w:rsidR="08163013" w:rsidRPr="087119D4">
        <w:t>ἀλλήλοισι</w:t>
      </w:r>
      <w:r w:rsidR="08A85E67">
        <w:t xml:space="preserve">, </w:t>
      </w:r>
      <w:proofErr w:type="gramStart"/>
      <w:r w:rsidR="08A85E67" w:rsidRPr="080C4F72">
        <w:rPr>
          <w:i/>
        </w:rPr>
        <w:t>Hist</w:t>
      </w:r>
      <w:r w:rsidR="08A85E67">
        <w:t>. 1.p.</w:t>
      </w:r>
      <w:proofErr w:type="gramEnd"/>
      <w:r w:rsidR="08A85E67">
        <w:t>5</w:t>
      </w:r>
      <w:r w:rsidR="08A85E67">
        <w:fldChar w:fldCharType="begin"/>
      </w:r>
      <w:r w:rsidR="08A85E67">
        <w:instrText xml:space="preserve"> XE "Hérodotos</w:instrText>
      </w:r>
      <w:r w:rsidR="08A85E67" w:rsidRPr="08D560A7">
        <w:instrText>:</w:instrText>
      </w:r>
      <w:r w:rsidR="08A85E67" w:rsidRPr="081F7F33">
        <w:rPr>
          <w:i/>
        </w:rPr>
        <w:instrText>Historiae</w:instrText>
      </w:r>
      <w:r w:rsidR="08A85E67">
        <w:instrText xml:space="preserve"> 1.p.5" </w:instrText>
      </w:r>
      <w:r w:rsidR="08A85E67">
        <w:fldChar w:fldCharType="end"/>
      </w:r>
      <w:r w:rsidR="08A85E67">
        <w:t>)</w:t>
      </w:r>
      <w:r w:rsidR="08163013">
        <w:t xml:space="preserve">. </w:t>
      </w:r>
      <w:r w:rsidR="000209B0">
        <w:t>Kauzalita aristotel</w:t>
      </w:r>
      <w:r w:rsidR="00D50A4B">
        <w:t>i</w:t>
      </w:r>
      <w:r w:rsidR="000209B0">
        <w:t>s</w:t>
      </w:r>
      <w:r w:rsidR="00D50A4B">
        <w:t>mu je zásadně odlišná od kauzality moderny</w:t>
      </w:r>
      <w:r w:rsidR="000209B0">
        <w:t xml:space="preserve">; to byla </w:t>
      </w:r>
      <w:r w:rsidR="00D50A4B">
        <w:t xml:space="preserve">hlavní příčina </w:t>
      </w:r>
      <w:r w:rsidR="002425BE">
        <w:t xml:space="preserve">zatím </w:t>
      </w:r>
      <w:r w:rsidR="00C45E75">
        <w:t>poslední gigant</w:t>
      </w:r>
      <w:r w:rsidR="00D50A4B">
        <w:t xml:space="preserve">omachie o substanci. </w:t>
      </w:r>
      <w:r w:rsidR="00115DEA">
        <w:t xml:space="preserve">Rapsódická </w:t>
      </w:r>
      <w:r w:rsidR="08FC178B">
        <w:t xml:space="preserve">nesmrtelnost </w:t>
      </w:r>
      <w:r w:rsidR="00115DEA">
        <w:t xml:space="preserve">daná v </w:t>
      </w:r>
      <w:r w:rsidR="08163013">
        <w:t>dějin</w:t>
      </w:r>
      <w:r w:rsidR="00115DEA">
        <w:t>ách</w:t>
      </w:r>
      <w:r w:rsidR="08163013">
        <w:t xml:space="preserve"> myšlení požaduje</w:t>
      </w:r>
      <w:r w:rsidR="08E17D88">
        <w:t xml:space="preserve"> už od Homérových dob</w:t>
      </w:r>
      <w:r w:rsidR="08163013">
        <w:t xml:space="preserve">, aby každý účastník </w:t>
      </w:r>
      <w:r w:rsidR="08031A49">
        <w:t xml:space="preserve">Trojské války </w:t>
      </w:r>
      <w:r w:rsidR="08163013">
        <w:t>o substanci</w:t>
      </w:r>
      <w:r w:rsidR="08163013">
        <w:rPr>
          <w:i/>
        </w:rPr>
        <w:fldChar w:fldCharType="begin"/>
      </w:r>
      <w:r w:rsidR="08163013">
        <w:instrText xml:space="preserve"> XE "metafyzika:gigantomachie" </w:instrText>
      </w:r>
      <w:r w:rsidR="08163013">
        <w:rPr>
          <w:i/>
        </w:rPr>
        <w:fldChar w:fldCharType="end"/>
      </w:r>
      <w:r w:rsidR="08163013">
        <w:t xml:space="preserve"> dostal zasloužený díl nesmrtelné slávy</w:t>
      </w:r>
      <w:r w:rsidR="08E17D88">
        <w:t>. Rozlišení podílu nesmrtelnosti dané zlými i dobrými skutky (</w:t>
      </w:r>
      <w:r w:rsidR="08E17D88" w:rsidRPr="08E17D88">
        <w:t>κρίσις</w:t>
      </w:r>
      <w:r w:rsidR="08E17D88">
        <w:t xml:space="preserve">) je </w:t>
      </w:r>
      <w:r w:rsidR="08163013">
        <w:t xml:space="preserve">určené </w:t>
      </w:r>
      <w:r w:rsidR="08E17D88">
        <w:t xml:space="preserve">žijící filosofickou komunitou. Její moudří představitelé </w:t>
      </w:r>
      <w:r w:rsidR="08507542">
        <w:t>konzervuj</w:t>
      </w:r>
      <w:r w:rsidR="08163013">
        <w:t xml:space="preserve">í </w:t>
      </w:r>
      <w:r w:rsidR="08507542">
        <w:t>ve svo</w:t>
      </w:r>
      <w:r w:rsidR="08940677">
        <w:t>bodně prová</w:t>
      </w:r>
      <w:r w:rsidR="08507542">
        <w:t xml:space="preserve">děné </w:t>
      </w:r>
      <w:r w:rsidR="08507542" w:rsidRPr="08507542">
        <w:rPr>
          <w:i/>
        </w:rPr>
        <w:t>scholé</w:t>
      </w:r>
      <w:r w:rsidR="08507542">
        <w:t xml:space="preserve"> </w:t>
      </w:r>
      <w:r w:rsidR="08163013">
        <w:t>smysl</w:t>
      </w:r>
      <w:r w:rsidR="00ED5FA3">
        <w:t xml:space="preserve"> této gigantomachie pro dnešek. </w:t>
      </w:r>
      <w:r w:rsidR="08163013">
        <w:t xml:space="preserve">Počátek hermeneutiky daný v mystériích </w:t>
      </w:r>
      <w:r w:rsidR="002425BE">
        <w:t>(</w:t>
      </w:r>
      <w:r w:rsidR="002425BE" w:rsidRPr="002425BE">
        <w:rPr>
          <w:i/>
        </w:rPr>
        <w:t>Anfang</w:t>
      </w:r>
      <w:r w:rsidR="00ED5FA3">
        <w:rPr>
          <w:i/>
        </w:rPr>
        <w:fldChar w:fldCharType="begin"/>
      </w:r>
      <w:r w:rsidR="00ED5FA3">
        <w:instrText xml:space="preserve"> XE "</w:instrText>
      </w:r>
      <w:r w:rsidR="00ED5FA3" w:rsidRPr="00A964AA">
        <w:rPr>
          <w:i/>
        </w:rPr>
        <w:instrText>Anfang/Beginn</w:instrText>
      </w:r>
      <w:r w:rsidR="00ED5FA3">
        <w:instrText xml:space="preserve">" </w:instrText>
      </w:r>
      <w:r w:rsidR="00ED5FA3">
        <w:rPr>
          <w:i/>
        </w:rPr>
        <w:fldChar w:fldCharType="end"/>
      </w:r>
      <w:r w:rsidR="00ED5FA3">
        <w:t xml:space="preserve">) </w:t>
      </w:r>
      <w:r w:rsidR="000209B0">
        <w:t xml:space="preserve">umožňuje zkoumat </w:t>
      </w:r>
      <w:r w:rsidR="002425BE">
        <w:t>začátek metafyziky (</w:t>
      </w:r>
      <w:r w:rsidR="002425BE" w:rsidRPr="002425BE">
        <w:rPr>
          <w:i/>
        </w:rPr>
        <w:t>Beginn</w:t>
      </w:r>
      <w:r w:rsidR="00ED5FA3">
        <w:t xml:space="preserve">). Tato dvojí vláda </w:t>
      </w:r>
      <w:r w:rsidR="00ED4B12">
        <w:rPr>
          <w:szCs w:val="24"/>
          <w:lang w:val="de-DE"/>
        </w:rPr>
        <w:t>(</w:t>
      </w:r>
      <w:r w:rsidR="00ED4B12" w:rsidRPr="00717CF3">
        <w:t>ἀρχή</w:t>
      </w:r>
      <w:r w:rsidR="00ED4B12">
        <w:rPr>
          <w:szCs w:val="24"/>
          <w:lang w:val="de-DE"/>
        </w:rPr>
        <w:t xml:space="preserve">) archaického myšlení </w:t>
      </w:r>
      <w:r w:rsidR="00ED5FA3">
        <w:rPr>
          <w:szCs w:val="24"/>
          <w:lang w:val="de-DE"/>
        </w:rPr>
        <w:t xml:space="preserve">zavazuje předloženou archeologii objektivity k tomu, aby se angažovala ve sporu obou forem metafyziky. </w:t>
      </w:r>
      <w:r w:rsidR="08163013">
        <w:t xml:space="preserve">Zápas o dějinnou podobu pravdy znamená, že vstřícné myšlení </w:t>
      </w:r>
      <w:r w:rsidR="00800B35">
        <w:t>hermeneutiky (</w:t>
      </w:r>
      <w:r w:rsidR="000209B0">
        <w:t>Heideggerovo „</w:t>
      </w:r>
      <w:r w:rsidR="00800B35" w:rsidRPr="00800B35">
        <w:rPr>
          <w:i/>
        </w:rPr>
        <w:t>Andenken</w:t>
      </w:r>
      <w:r w:rsidR="000209B0">
        <w:t>“</w:t>
      </w:r>
      <w:r w:rsidR="00800B35">
        <w:t xml:space="preserve">) </w:t>
      </w:r>
      <w:r w:rsidR="08163013">
        <w:t xml:space="preserve">zůstává </w:t>
      </w:r>
      <w:r w:rsidR="00531973">
        <w:t xml:space="preserve">bdělé ke smyslu </w:t>
      </w:r>
      <w:r w:rsidR="08163013">
        <w:t xml:space="preserve">bytí jsoucna. </w:t>
      </w:r>
      <w:r w:rsidR="08B31C1B">
        <w:t xml:space="preserve">Moudrý člověk hledá, o co v dějinách myšlení </w:t>
      </w:r>
      <w:r w:rsidR="085F2DB3">
        <w:t xml:space="preserve">jde </w:t>
      </w:r>
      <w:r w:rsidR="08B31C1B">
        <w:t xml:space="preserve">doopravdy </w:t>
      </w:r>
      <w:r w:rsidR="085F2DB3">
        <w:t xml:space="preserve">a co je pouhá </w:t>
      </w:r>
      <w:r w:rsidR="08B31C1B">
        <w:t>hra simuláker vedených</w:t>
      </w:r>
      <w:r w:rsidR="000209B0">
        <w:t xml:space="preserve"> </w:t>
      </w:r>
      <w:r w:rsidR="009B096C">
        <w:t xml:space="preserve">akademicky vzdělanými Fúriemi. </w:t>
      </w:r>
      <w:r w:rsidR="00101A9A" w:rsidRPr="00101A9A">
        <w:t xml:space="preserve">Díky této kritické exegezi původní podoby filosofie se hermeneutická archeologie stala součástí nadčasové </w:t>
      </w:r>
      <w:r w:rsidR="00101A9A">
        <w:t>gigantomachie o bytostné určení pravdy</w:t>
      </w:r>
      <w:r w:rsidR="00101A9A" w:rsidRPr="00101A9A">
        <w:t xml:space="preserve">. </w:t>
      </w:r>
      <w:r w:rsidR="08605692">
        <w:t xml:space="preserve">Jednou z těchto bitev filosofické Trojské války je </w:t>
      </w:r>
      <w:r w:rsidR="00D51D9D">
        <w:t xml:space="preserve">také </w:t>
      </w:r>
      <w:r w:rsidR="08605692">
        <w:t xml:space="preserve">klamný </w:t>
      </w:r>
      <w:r w:rsidR="00D51D9D">
        <w:t xml:space="preserve">manévr </w:t>
      </w:r>
      <w:r w:rsidR="08605692">
        <w:t xml:space="preserve">metafyziky založené Platonem, který smysl celé války o pravdu shrnul do gigantomachie o </w:t>
      </w:r>
      <w:r w:rsidR="00C8738C">
        <w:t xml:space="preserve">ideální </w:t>
      </w:r>
      <w:r w:rsidR="08605692">
        <w:t xml:space="preserve">substanci. Tuto nepravdivou synekdochu v modu </w:t>
      </w:r>
      <w:r w:rsidR="08605692" w:rsidRPr="08605692">
        <w:rPr>
          <w:i/>
        </w:rPr>
        <w:t>pars pro toto</w:t>
      </w:r>
      <w:r w:rsidR="08605692">
        <w:t xml:space="preserve"> jsme analyzovali ve falešně daném </w:t>
      </w:r>
      <w:r w:rsidR="08605692" w:rsidRPr="08605692">
        <w:rPr>
          <w:i/>
        </w:rPr>
        <w:t>modus ponens</w:t>
      </w:r>
      <w:r w:rsidR="08605692">
        <w:rPr>
          <w:i/>
        </w:rPr>
        <w:fldChar w:fldCharType="begin"/>
      </w:r>
      <w:r w:rsidR="08605692">
        <w:instrText xml:space="preserve"> XE "</w:instrText>
      </w:r>
      <w:r w:rsidR="08605692" w:rsidRPr="08427337">
        <w:rPr>
          <w:i/>
        </w:rPr>
        <w:instrText>modus ponens</w:instrText>
      </w:r>
      <w:r w:rsidR="08605692">
        <w:instrText xml:space="preserve">" </w:instrText>
      </w:r>
      <w:r w:rsidR="08605692">
        <w:rPr>
          <w:i/>
        </w:rPr>
        <w:fldChar w:fldCharType="end"/>
      </w:r>
      <w:r w:rsidR="08605692">
        <w:t xml:space="preserve"> moderní logiky a objektivity. </w:t>
      </w:r>
      <w:r w:rsidR="08163013">
        <w:t xml:space="preserve">Výklad </w:t>
      </w:r>
      <w:r w:rsidR="08BE7370">
        <w:t xml:space="preserve">sledující skryté působení apollinské sémantiky </w:t>
      </w:r>
      <w:r w:rsidR="08163013">
        <w:t xml:space="preserve">bojoval po boku těch pravdivých myslitelů, </w:t>
      </w:r>
      <w:r w:rsidR="00995AD7" w:rsidRPr="00995AD7">
        <w:t xml:space="preserve">kteří gigantomachii prohráli. </w:t>
      </w:r>
      <w:r w:rsidR="00995AD7">
        <w:t xml:space="preserve">Podle soudu </w:t>
      </w:r>
      <w:r w:rsidR="00995AD7" w:rsidRPr="00995AD7">
        <w:t xml:space="preserve">pozitivní historie </w:t>
      </w:r>
      <w:r w:rsidR="00764F60">
        <w:t xml:space="preserve">vedené skrze </w:t>
      </w:r>
      <w:r w:rsidR="00995AD7" w:rsidRPr="00995AD7">
        <w:rPr>
          <w:i/>
          <w:iCs/>
        </w:rPr>
        <w:t>dativus obiectivus</w:t>
      </w:r>
      <w:r w:rsidR="00995AD7" w:rsidRPr="00995AD7">
        <w:t xml:space="preserve">, zvítězila objektivní forma substance. </w:t>
      </w:r>
      <w:r w:rsidR="083454C0">
        <w:t xml:space="preserve">Ale </w:t>
      </w:r>
      <w:r w:rsidR="08163013">
        <w:t>z hlediska původní podoby pravdy</w:t>
      </w:r>
      <w:r w:rsidR="083454C0">
        <w:t xml:space="preserve"> mají </w:t>
      </w:r>
      <w:r w:rsidR="007038A8">
        <w:t xml:space="preserve">skuteční vítězové </w:t>
      </w:r>
      <w:r w:rsidR="080B421C">
        <w:t xml:space="preserve">právo na plnou míru </w:t>
      </w:r>
      <w:r w:rsidR="080F19D0">
        <w:t xml:space="preserve">lidsky možné nesmrtelnosti. </w:t>
      </w:r>
      <w:r w:rsidR="080F19D0">
        <w:lastRenderedPageBreak/>
        <w:t>Jejich prohra uka</w:t>
      </w:r>
      <w:r w:rsidR="08BF2987">
        <w:t xml:space="preserve">zuje v tragickém modu </w:t>
      </w:r>
      <w:r w:rsidR="08BF2987" w:rsidRPr="08BF2987">
        <w:rPr>
          <w:i/>
        </w:rPr>
        <w:t>Verkehrung ins Gege</w:t>
      </w:r>
      <w:r w:rsidR="08BF2987">
        <w:rPr>
          <w:i/>
        </w:rPr>
        <w:t>n</w:t>
      </w:r>
      <w:r w:rsidR="08BF2987" w:rsidRPr="08BF2987">
        <w:rPr>
          <w:i/>
        </w:rPr>
        <w:t>teil</w:t>
      </w:r>
      <w:r w:rsidR="08BF2987">
        <w:t xml:space="preserve"> skutečný zápas filosofie o apollinskou</w:t>
      </w:r>
      <w:r w:rsidR="00FF127E">
        <w:t xml:space="preserve"> a sokratovskou </w:t>
      </w:r>
      <w:r w:rsidR="08BF2987">
        <w:t>podobu pravdy</w:t>
      </w:r>
      <w:r w:rsidR="083E6EC8">
        <w:t>.</w:t>
      </w:r>
    </w:p>
    <w:p w:rsidR="007D7A52" w:rsidRDefault="08163013" w:rsidP="006A1D4B">
      <w:pPr>
        <w:ind w:firstLine="397"/>
      </w:pPr>
      <w:r>
        <w:t>Předložená verze apodiktického zkoumání se metodicky inspiruje vztahem k minulosti, který razil francouzský historik Michel de Certeau</w:t>
      </w:r>
      <w:r>
        <w:fldChar w:fldCharType="begin"/>
      </w:r>
      <w:r>
        <w:instrText xml:space="preserve"> XE "</w:instrText>
      </w:r>
      <w:r w:rsidRPr="0045788F">
        <w:instrText>Certeau. M.</w:instrText>
      </w:r>
      <w:r>
        <w:instrText xml:space="preserve">" </w:instrText>
      </w:r>
      <w:r>
        <w:fldChar w:fldCharType="end"/>
      </w:r>
      <w:r>
        <w:t xml:space="preserve">. </w:t>
      </w:r>
      <w:r w:rsidR="082F0B27">
        <w:t>Francouzský historik Jules Michelet</w:t>
      </w:r>
      <w:r w:rsidR="082F0B27">
        <w:fldChar w:fldCharType="begin"/>
      </w:r>
      <w:r w:rsidR="082F0B27">
        <w:instrText xml:space="preserve"> XE "</w:instrText>
      </w:r>
      <w:r w:rsidR="082F0B27" w:rsidRPr="00D5373A">
        <w:instrText>Michelet. J.</w:instrText>
      </w:r>
      <w:r w:rsidR="082F0B27">
        <w:instrText xml:space="preserve">" </w:instrText>
      </w:r>
      <w:r w:rsidR="082F0B27">
        <w:fldChar w:fldCharType="end"/>
      </w:r>
      <w:r w:rsidR="082F0B27">
        <w:t xml:space="preserve"> (†1874) napsal v úvodu díla  </w:t>
      </w:r>
      <w:r w:rsidR="00BB234D" w:rsidRPr="00CA34F7">
        <w:rPr>
          <w:i/>
        </w:rPr>
        <w:t>Histoire de France</w:t>
      </w:r>
      <w:r w:rsidR="082F0B27">
        <w:t xml:space="preserve">, že mrtví, které vzkřísil k historické existenci, se navracejí do svých hrobů méně smutní. </w:t>
      </w:r>
      <w:r>
        <w:t xml:space="preserve">Historik provádí na rozdíl od Pýthie, věštců a nekromantů zvláštní druh </w:t>
      </w:r>
      <w:r w:rsidR="006402BC">
        <w:t>nekromancie</w:t>
      </w:r>
      <w:r>
        <w:t>, v němž vyvolá k životu mrtvé aktéry dávných sporů a také abstrak</w:t>
      </w:r>
      <w:r w:rsidR="080F19D0">
        <w:t>ce jako „Francie“ nebo „lid“. Tyto abstrakce a mrtvé osoby n</w:t>
      </w:r>
      <w:r>
        <w:t xml:space="preserve">echává </w:t>
      </w:r>
      <w:r w:rsidR="080F19D0">
        <w:t xml:space="preserve">promlouvat skrze historii a tak jim dává konceptuální podobu existence ve světě živých </w:t>
      </w:r>
      <w:r>
        <w:t>(Cert</w:t>
      </w:r>
      <w:r w:rsidR="085408AC">
        <w:t xml:space="preserve">eau 1975, 47‒53). </w:t>
      </w:r>
      <w:r w:rsidR="006402BC">
        <w:t xml:space="preserve">Hermeneutická nekromacie </w:t>
      </w:r>
      <w:r>
        <w:t>vyložil</w:t>
      </w:r>
      <w:r w:rsidR="006402BC">
        <w:t>a</w:t>
      </w:r>
      <w:r>
        <w:t xml:space="preserve"> zápasy prvního a druhého averroismu tak, aby </w:t>
      </w:r>
      <w:r w:rsidR="0062072D">
        <w:t xml:space="preserve">povolal </w:t>
      </w:r>
      <w:r w:rsidR="0091455D">
        <w:t xml:space="preserve">do dějinné přítomnosti </w:t>
      </w:r>
      <w:r w:rsidR="0062072D">
        <w:t xml:space="preserve">z říše Zapomnění </w:t>
      </w:r>
      <w:r>
        <w:t>více či méně oslavené aktéry dávných spo</w:t>
      </w:r>
      <w:r w:rsidR="080B24A1">
        <w:t xml:space="preserve">rů o metafyzický smysl jsoucna. </w:t>
      </w:r>
      <w:r w:rsidR="080B24A1" w:rsidRPr="00273106">
        <w:t xml:space="preserve">Hermeneutika objektivity vytvořila </w:t>
      </w:r>
      <w:r w:rsidR="080B24A1">
        <w:t xml:space="preserve">múzické dějiny </w:t>
      </w:r>
      <w:r w:rsidR="080B24A1" w:rsidRPr="00273106">
        <w:t xml:space="preserve">moderny tím, že zaměnila pořadí vítězů a poražených podle biblického hesla o </w:t>
      </w:r>
      <w:r w:rsidR="080B24A1">
        <w:t>posledních, kteří budou prvními:</w:t>
      </w:r>
      <w:r w:rsidR="080B24A1" w:rsidRPr="00B51C14">
        <w:rPr>
          <w:rStyle w:val="Znakapoznpodarou"/>
        </w:rPr>
        <w:t xml:space="preserve"> </w:t>
      </w:r>
      <w:r w:rsidR="080B24A1" w:rsidRPr="00B51C14">
        <w:rPr>
          <w:rStyle w:val="st"/>
        </w:rPr>
        <w:t xml:space="preserve">Muhammad </w:t>
      </w:r>
      <w:r w:rsidR="080B24A1" w:rsidRPr="00B51C14">
        <w:rPr>
          <w:rStyle w:val="st"/>
          <w:bCs/>
        </w:rPr>
        <w:t>ibn Rušd</w:t>
      </w:r>
      <w:r w:rsidR="080B24A1">
        <w:t xml:space="preserve">, Pierre Abelard, William z Auvergne, Siger z Brabantu, Boethius z Dácie, Dante Alighieri, William Ockham. Základní pravdivost a spravedlnost ve smyslu filosofické </w:t>
      </w:r>
      <w:r w:rsidR="080B24A1" w:rsidRPr="000805E2">
        <w:rPr>
          <w:i/>
        </w:rPr>
        <w:t>alétheia</w:t>
      </w:r>
      <w:r w:rsidR="080B24A1">
        <w:t xml:space="preserve"> dlužíme především Averroesovi a jeho autentickým nástupcům ze školy prvního averroismu. Jejich dílo bylo odkryto v nové podobě. </w:t>
      </w:r>
      <w:r w:rsidR="080C3D79">
        <w:t>Tímto exorcismem nechala archa</w:t>
      </w:r>
      <w:r w:rsidR="085408AC">
        <w:t>ic</w:t>
      </w:r>
      <w:r w:rsidR="080C3D79">
        <w:t>ká hermeneutika mluvit v naší přítomnosti původní nadčasovou sílu dějinné Paměti (</w:t>
      </w:r>
      <w:r w:rsidR="080C3D79" w:rsidRPr="080C3D79">
        <w:rPr>
          <w:i/>
        </w:rPr>
        <w:t>Mn</w:t>
      </w:r>
      <w:r w:rsidR="080C3D79">
        <w:rPr>
          <w:i/>
        </w:rPr>
        <w:t>é</w:t>
      </w:r>
      <w:r w:rsidR="080C3D79" w:rsidRPr="080C3D79">
        <w:rPr>
          <w:i/>
        </w:rPr>
        <w:t>mo</w:t>
      </w:r>
      <w:r w:rsidR="080C3D79">
        <w:rPr>
          <w:i/>
        </w:rPr>
        <w:t>sy</w:t>
      </w:r>
      <w:r w:rsidR="080C3D79" w:rsidRPr="080C3D79">
        <w:rPr>
          <w:i/>
        </w:rPr>
        <w:t>né</w:t>
      </w:r>
      <w:r w:rsidR="08B86689">
        <w:t xml:space="preserve">). </w:t>
      </w:r>
      <w:r w:rsidR="082A46E6" w:rsidRPr="00273106">
        <w:t xml:space="preserve">Exegeze matric v rámci hermeneutického </w:t>
      </w:r>
      <w:r w:rsidR="082A46E6">
        <w:t xml:space="preserve">výkladu </w:t>
      </w:r>
      <w:r w:rsidR="082A46E6" w:rsidRPr="00273106">
        <w:t>ukázala</w:t>
      </w:r>
      <w:r w:rsidR="082A46E6">
        <w:t xml:space="preserve"> různé způsoby</w:t>
      </w:r>
      <w:r w:rsidR="082A46E6" w:rsidRPr="00273106">
        <w:t xml:space="preserve">, jak smysl jsoucna přichází do </w:t>
      </w:r>
      <w:r w:rsidR="082A46E6">
        <w:t>dějin myšlení skrze filosofické spory spojené s gigantomachií o substanci</w:t>
      </w:r>
      <w:r w:rsidR="082A46E6" w:rsidRPr="00273106">
        <w:t xml:space="preserve">. </w:t>
      </w:r>
      <w:r w:rsidR="082A46E6">
        <w:t>Opět platí úvodní teze, že hermeneutický pohled na minulost není objektivní, ale apollinsky pravdivý</w:t>
      </w:r>
      <w:r w:rsidR="082A46E6">
        <w:fldChar w:fldCharType="begin"/>
      </w:r>
      <w:r w:rsidR="082A46E6">
        <w:instrText xml:space="preserve"> XE "</w:instrText>
      </w:r>
      <w:r w:rsidR="082A46E6" w:rsidRPr="009E50C8">
        <w:instrText>hermeneutika:dějinnosti</w:instrText>
      </w:r>
      <w:r w:rsidR="082A46E6">
        <w:instrText xml:space="preserve">" </w:instrText>
      </w:r>
      <w:r w:rsidR="082A46E6">
        <w:fldChar w:fldCharType="end"/>
      </w:r>
      <w:r w:rsidR="082A46E6">
        <w:t xml:space="preserve">. </w:t>
      </w:r>
      <w:r w:rsidR="08B86689">
        <w:t>Věštci a šamani znali při cestách do říše minulosti, přítomnosti a budoucnosti j</w:t>
      </w:r>
      <w:r w:rsidR="080C3D79">
        <w:t xml:space="preserve">ejí účinky </w:t>
      </w:r>
      <w:r w:rsidR="08B86689">
        <w:t>a přinášeli séma</w:t>
      </w:r>
      <w:r w:rsidR="08335706">
        <w:t>n</w:t>
      </w:r>
      <w:r w:rsidR="08B86689">
        <w:t xml:space="preserve">tiku </w:t>
      </w:r>
      <w:r w:rsidR="084E5EE8">
        <w:t xml:space="preserve">síly Paměti moudrým i nemoudrým současníkům </w:t>
      </w:r>
      <w:r w:rsidR="080C3D79">
        <w:t>(</w:t>
      </w:r>
      <w:r w:rsidR="080C3D79" w:rsidRPr="080C3D79">
        <w:rPr>
          <w:i/>
        </w:rPr>
        <w:t>Ilias</w:t>
      </w:r>
      <w:r w:rsidR="080C3D79">
        <w:t xml:space="preserve"> 1.70</w:t>
      </w:r>
      <w:r w:rsidR="080C3D79">
        <w:fldChar w:fldCharType="begin"/>
      </w:r>
      <w:r w:rsidR="080C3D79">
        <w:instrText xml:space="preserve"> XE "Homer:</w:instrText>
      </w:r>
      <w:r w:rsidR="080C3D79" w:rsidRPr="08194D3F">
        <w:rPr>
          <w:i/>
        </w:rPr>
        <w:instrText>Ilias</w:instrText>
      </w:r>
      <w:r w:rsidR="080C3D79" w:rsidRPr="08194D3F">
        <w:instrText xml:space="preserve"> 1.70</w:instrText>
      </w:r>
      <w:r w:rsidR="080C3D79">
        <w:instrText xml:space="preserve">" </w:instrText>
      </w:r>
      <w:r w:rsidR="080C3D79">
        <w:fldChar w:fldCharType="end"/>
      </w:r>
      <w:r w:rsidR="080C3D79">
        <w:t>)</w:t>
      </w:r>
      <w:r w:rsidR="085408AC">
        <w:t xml:space="preserve">. Archaická hermenutika sestoupila </w:t>
      </w:r>
      <w:r w:rsidR="08BD56BC">
        <w:t xml:space="preserve">do říše mrtvých a tam sledovala parmenidovská znamení na cestě apollinsky </w:t>
      </w:r>
      <w:r w:rsidR="00D637CA">
        <w:t xml:space="preserve">dvojznačného </w:t>
      </w:r>
      <w:r w:rsidR="08BD56BC">
        <w:t>porozumění (πλακτὸ</w:t>
      </w:r>
      <w:r w:rsidR="00DE5EC0">
        <w:t>ν νόον;</w:t>
      </w:r>
      <w:r w:rsidR="08BD56BC">
        <w:t xml:space="preserve"> </w:t>
      </w:r>
      <w:r w:rsidR="00DE5EC0">
        <w:t xml:space="preserve">DK 28, </w:t>
      </w:r>
      <w:r w:rsidR="08BD56BC">
        <w:t>B 6.13</w:t>
      </w:r>
      <w:r w:rsidR="08BD56BC">
        <w:fldChar w:fldCharType="begin"/>
      </w:r>
      <w:r w:rsidR="08BD56BC">
        <w:instrText xml:space="preserve"> XE "</w:instrText>
      </w:r>
      <w:r w:rsidR="08BD56BC" w:rsidRPr="08FD6C44">
        <w:instrText>Parm</w:instrText>
      </w:r>
      <w:r w:rsidR="08BD56BC">
        <w:instrText>enides:</w:instrText>
      </w:r>
      <w:r w:rsidR="08BD56BC" w:rsidRPr="08FD6C44">
        <w:instrText>B 6.13</w:instrText>
      </w:r>
      <w:r w:rsidR="08BD56BC">
        <w:instrText xml:space="preserve">" </w:instrText>
      </w:r>
      <w:r w:rsidR="08BD56BC">
        <w:fldChar w:fldCharType="end"/>
      </w:r>
      <w:r w:rsidR="08A679DF">
        <w:t xml:space="preserve">). </w:t>
      </w:r>
      <w:r w:rsidR="007B7A86">
        <w:t>P</w:t>
      </w:r>
      <w:r w:rsidR="00234A32">
        <w:t xml:space="preserve">ravda </w:t>
      </w:r>
      <w:r w:rsidR="007B7A86">
        <w:t xml:space="preserve">Múz </w:t>
      </w:r>
      <w:r w:rsidR="00234A32">
        <w:t xml:space="preserve">se skrývá ve dvojznačných znameních, </w:t>
      </w:r>
      <w:r w:rsidR="00F668FC">
        <w:t xml:space="preserve">které moudří myslitelé </w:t>
      </w:r>
      <w:r w:rsidR="00234A32">
        <w:t>musí vyložit</w:t>
      </w:r>
      <w:r w:rsidR="00F668FC">
        <w:t>, když se pohybují</w:t>
      </w:r>
      <w:r w:rsidR="00234A32">
        <w:t xml:space="preserve"> v říši lidských dvoj</w:t>
      </w:r>
      <w:r w:rsidR="08A679DF">
        <w:t>hlavc</w:t>
      </w:r>
      <w:r w:rsidR="00234A32">
        <w:t>ů</w:t>
      </w:r>
      <w:r w:rsidR="08A679DF">
        <w:t xml:space="preserve"> (δίκρανοι</w:t>
      </w:r>
      <w:r w:rsidR="082E6518">
        <w:t xml:space="preserve">, </w:t>
      </w:r>
      <w:r w:rsidR="08A679DF">
        <w:t>B 6.12</w:t>
      </w:r>
      <w:r w:rsidR="08A679DF">
        <w:fldChar w:fldCharType="begin"/>
      </w:r>
      <w:r w:rsidR="08A679DF">
        <w:instrText xml:space="preserve"> XE "</w:instrText>
      </w:r>
      <w:r w:rsidR="08A679DF" w:rsidRPr="08FD6C44">
        <w:instrText>Parm</w:instrText>
      </w:r>
      <w:r w:rsidR="08A679DF">
        <w:instrText>enides:</w:instrText>
      </w:r>
      <w:r w:rsidR="08A679DF" w:rsidRPr="08FD6C44">
        <w:instrText>B 6.</w:instrText>
      </w:r>
      <w:r w:rsidR="08A679DF">
        <w:instrText xml:space="preserve">12" </w:instrText>
      </w:r>
      <w:r w:rsidR="08A679DF">
        <w:fldChar w:fldCharType="end"/>
      </w:r>
      <w:r w:rsidR="08A679DF">
        <w:t>)</w:t>
      </w:r>
      <w:r w:rsidR="00234A32">
        <w:t xml:space="preserve">. Pak se může </w:t>
      </w:r>
      <w:r w:rsidR="08A679DF">
        <w:t xml:space="preserve">výklad opět </w:t>
      </w:r>
      <w:r w:rsidR="00234A32">
        <w:t>vrátit</w:t>
      </w:r>
      <w:r w:rsidR="08BD56BC">
        <w:t xml:space="preserve"> sluneční branou Dne a Noci (B 1.34</w:t>
      </w:r>
      <w:r w:rsidR="08BD56BC">
        <w:fldChar w:fldCharType="begin"/>
      </w:r>
      <w:r w:rsidR="08BD56BC">
        <w:instrText xml:space="preserve"> XE "</w:instrText>
      </w:r>
      <w:r w:rsidR="08BD56BC" w:rsidRPr="08FD6C44">
        <w:instrText>Parm</w:instrText>
      </w:r>
      <w:r w:rsidR="08BD56BC">
        <w:instrText>enides:</w:instrText>
      </w:r>
      <w:r w:rsidR="08BD56BC" w:rsidRPr="08FD6C44">
        <w:instrText>B</w:instrText>
      </w:r>
      <w:r w:rsidR="08BD56BC">
        <w:instrText xml:space="preserve"> 1</w:instrText>
      </w:r>
      <w:r w:rsidR="08BD56BC" w:rsidRPr="08FD6C44">
        <w:instrText>.</w:instrText>
      </w:r>
      <w:r w:rsidR="08BD56BC">
        <w:instrText xml:space="preserve">34" </w:instrText>
      </w:r>
      <w:r w:rsidR="08BD56BC">
        <w:fldChar w:fldCharType="end"/>
      </w:r>
      <w:r w:rsidR="08BD56BC">
        <w:t xml:space="preserve">) </w:t>
      </w:r>
      <w:r w:rsidR="085E1949">
        <w:t xml:space="preserve">do </w:t>
      </w:r>
      <w:r w:rsidR="00234A32">
        <w:t>filosofické reality</w:t>
      </w:r>
      <w:r w:rsidR="08BD56BC">
        <w:t xml:space="preserve">. </w:t>
      </w:r>
      <w:r w:rsidR="00C13017">
        <w:t xml:space="preserve">Odysseus, </w:t>
      </w:r>
      <w:r w:rsidR="003A3518">
        <w:t xml:space="preserve">Parmenides </w:t>
      </w:r>
      <w:r w:rsidR="00C13017">
        <w:t>a dokonce i metafyzický Arist</w:t>
      </w:r>
      <w:r w:rsidR="00B34263">
        <w:t>ot</w:t>
      </w:r>
      <w:r w:rsidR="00C13017">
        <w:t xml:space="preserve">eles </w:t>
      </w:r>
      <w:r w:rsidR="003A3518">
        <w:t>šli cestou reál</w:t>
      </w:r>
      <w:r w:rsidR="00C13017">
        <w:t xml:space="preserve">ného </w:t>
      </w:r>
      <w:r w:rsidR="00C13017">
        <w:lastRenderedPageBreak/>
        <w:t>astronomického S</w:t>
      </w:r>
      <w:r w:rsidR="003A3518">
        <w:t xml:space="preserve">lunce. </w:t>
      </w:r>
      <w:r w:rsidR="00D73A8C">
        <w:t>Po ukončené</w:t>
      </w:r>
      <w:r w:rsidR="004F7D17">
        <w:t xml:space="preserve"> cestě skrze říši stínů danou </w:t>
      </w:r>
      <w:r w:rsidR="00BA36CA">
        <w:t xml:space="preserve">na základě </w:t>
      </w:r>
      <w:r w:rsidR="00D73A8C">
        <w:t>objektivit</w:t>
      </w:r>
      <w:r w:rsidR="00BA36CA">
        <w:t>y</w:t>
      </w:r>
      <w:r w:rsidR="00D73A8C">
        <w:t xml:space="preserve"> </w:t>
      </w:r>
      <w:r w:rsidR="089B06BE">
        <w:t xml:space="preserve">může </w:t>
      </w:r>
      <w:r w:rsidR="081F4204">
        <w:t xml:space="preserve">hermeneutika </w:t>
      </w:r>
      <w:r w:rsidR="082E0D73">
        <w:t xml:space="preserve">vyprávět celé dějiny </w:t>
      </w:r>
      <w:r w:rsidR="00A97B3F">
        <w:t xml:space="preserve">gigantomachie </w:t>
      </w:r>
      <w:r w:rsidR="0086190F">
        <w:t xml:space="preserve">podle </w:t>
      </w:r>
      <w:r w:rsidR="08334C23" w:rsidRPr="08334C23">
        <w:rPr>
          <w:i/>
        </w:rPr>
        <w:t>alétheia</w:t>
      </w:r>
      <w:r w:rsidR="0048308F">
        <w:t xml:space="preserve"> dané Múzami.</w:t>
      </w:r>
      <w:r w:rsidR="089B06BE">
        <w:t xml:space="preserve"> </w:t>
      </w:r>
      <w:r w:rsidR="08F914AE">
        <w:t xml:space="preserve">Je k tomu </w:t>
      </w:r>
      <w:r w:rsidR="08B61477">
        <w:t>zavázaná pod trestem b</w:t>
      </w:r>
      <w:r w:rsidR="08F914AE">
        <w:t>ohyně Díké</w:t>
      </w:r>
      <w:r w:rsidR="08A93604">
        <w:t xml:space="preserve">. Tato vynalézavě trestající božská síla </w:t>
      </w:r>
      <w:r w:rsidR="087B5ECE">
        <w:t>(Δίκη πολύποινος</w:t>
      </w:r>
      <w:r w:rsidR="08C804D3">
        <w:t xml:space="preserve">, </w:t>
      </w:r>
      <w:r w:rsidR="087B5ECE">
        <w:t>B 1.37</w:t>
      </w:r>
      <w:r w:rsidR="087B5ECE">
        <w:fldChar w:fldCharType="begin"/>
      </w:r>
      <w:r w:rsidR="087B5ECE">
        <w:instrText xml:space="preserve"> XE "</w:instrText>
      </w:r>
      <w:r w:rsidR="087B5ECE" w:rsidRPr="08FD6C44">
        <w:instrText>Parm</w:instrText>
      </w:r>
      <w:r w:rsidR="087B5ECE">
        <w:instrText>enides:</w:instrText>
      </w:r>
      <w:r w:rsidR="087B5ECE" w:rsidRPr="08FD6C44">
        <w:instrText>B</w:instrText>
      </w:r>
      <w:r w:rsidR="087B5ECE">
        <w:instrText xml:space="preserve"> 1</w:instrText>
      </w:r>
      <w:r w:rsidR="087B5ECE" w:rsidRPr="08FD6C44">
        <w:instrText>.</w:instrText>
      </w:r>
      <w:r w:rsidR="087B5ECE">
        <w:instrText xml:space="preserve">37" </w:instrText>
      </w:r>
      <w:r w:rsidR="087B5ECE">
        <w:fldChar w:fldCharType="end"/>
      </w:r>
      <w:r w:rsidR="087B5ECE">
        <w:t xml:space="preserve">) </w:t>
      </w:r>
      <w:r w:rsidR="08A93604">
        <w:t xml:space="preserve">střeží </w:t>
      </w:r>
      <w:r w:rsidR="08F914AE">
        <w:t xml:space="preserve">skrze brány Dne a Noci pravdu kosmu a jeho věčný řád. </w:t>
      </w:r>
      <w:r w:rsidR="00A97B3F">
        <w:t>Slunce jde jen jedním směrem</w:t>
      </w:r>
      <w:r w:rsidR="009D4C3E">
        <w:t>; taková je forma božské s</w:t>
      </w:r>
      <w:r w:rsidR="007D7A52">
        <w:t>pravedlnosti.</w:t>
      </w:r>
    </w:p>
    <w:p w:rsidR="08163013" w:rsidRPr="006A1D4B" w:rsidRDefault="080B24A1" w:rsidP="006A1D4B">
      <w:pPr>
        <w:ind w:firstLine="397"/>
        <w:rPr>
          <w:iCs/>
        </w:rPr>
      </w:pPr>
      <w:r>
        <w:t xml:space="preserve">Výklad </w:t>
      </w:r>
      <w:r w:rsidRPr="00273106">
        <w:rPr>
          <w:iCs/>
        </w:rPr>
        <w:t>ukázal, jak rostla slepota v</w:t>
      </w:r>
      <w:r>
        <w:rPr>
          <w:iCs/>
        </w:rPr>
        <w:t>ůči bytí první a druhé substance: od primární opuštěnosti bytí v první metafyzice (</w:t>
      </w:r>
      <w:r w:rsidRPr="08A61E95">
        <w:rPr>
          <w:i/>
          <w:iCs/>
        </w:rPr>
        <w:t>Seinsverlassenheit</w:t>
      </w:r>
      <w:r>
        <w:rPr>
          <w:iCs/>
        </w:rPr>
        <w:t>) až po zapomenutí reálné substance v moderní metafyzice (</w:t>
      </w:r>
      <w:r w:rsidRPr="08A61E95">
        <w:rPr>
          <w:i/>
          <w:iCs/>
        </w:rPr>
        <w:t>Seinsvergessenheit</w:t>
      </w:r>
      <w:r>
        <w:rPr>
          <w:iCs/>
        </w:rPr>
        <w:t>). S</w:t>
      </w:r>
      <w:r>
        <w:t xml:space="preserve">ubstance </w:t>
      </w:r>
      <w:r w:rsidRPr="00273106">
        <w:t>už není predikována v pů</w:t>
      </w:r>
      <w:r>
        <w:t xml:space="preserve">vodním hyparchickém modu </w:t>
      </w:r>
      <w:r w:rsidRPr="08957546">
        <w:rPr>
          <w:i/>
        </w:rPr>
        <w:t>per prius</w:t>
      </w:r>
      <w:r>
        <w:t xml:space="preserve"> daném ve spisech </w:t>
      </w:r>
      <w:r w:rsidRPr="08BC7577">
        <w:rPr>
          <w:i/>
        </w:rPr>
        <w:t>Kategori</w:t>
      </w:r>
      <w:r>
        <w:rPr>
          <w:i/>
        </w:rPr>
        <w:t>e</w:t>
      </w:r>
      <w:r>
        <w:t xml:space="preserve"> a </w:t>
      </w:r>
      <w:r>
        <w:rPr>
          <w:i/>
        </w:rPr>
        <w:t>Druhé</w:t>
      </w:r>
      <w:r w:rsidRPr="08BC7577">
        <w:rPr>
          <w:i/>
        </w:rPr>
        <w:t xml:space="preserve"> analytik</w:t>
      </w:r>
      <w:r>
        <w:rPr>
          <w:i/>
        </w:rPr>
        <w:t>y</w:t>
      </w:r>
      <w:r w:rsidRPr="00273106">
        <w:t xml:space="preserve">. </w:t>
      </w:r>
      <w:r w:rsidR="00122FD6">
        <w:t>Aristoteles</w:t>
      </w:r>
      <w:r>
        <w:t xml:space="preserve"> </w:t>
      </w:r>
      <w:r w:rsidR="00122FD6">
        <w:t xml:space="preserve">vzal </w:t>
      </w:r>
      <w:r w:rsidR="00555D67">
        <w:t xml:space="preserve">smyslové vnímání </w:t>
      </w:r>
      <w:r>
        <w:t>reálné</w:t>
      </w:r>
      <w:r w:rsidR="00555D67">
        <w:t xml:space="preserve"> </w:t>
      </w:r>
      <w:r>
        <w:t xml:space="preserve">substance </w:t>
      </w:r>
      <w:r w:rsidR="00122FD6">
        <w:t>jako zakládající událost bytí jsoucna (</w:t>
      </w:r>
      <w:r w:rsidR="00122FD6" w:rsidRPr="08364F97">
        <w:t>τό τί ἦν εἶναι</w:t>
      </w:r>
      <w:r w:rsidR="00122FD6">
        <w:fldChar w:fldCharType="begin"/>
      </w:r>
      <w:r w:rsidR="00122FD6">
        <w:instrText xml:space="preserve"> XE "</w:instrText>
      </w:r>
      <w:r w:rsidR="00122FD6" w:rsidRPr="08D57ABC">
        <w:instrText>τό τί ἦν εἶναι</w:instrText>
      </w:r>
      <w:r w:rsidR="00122FD6">
        <w:instrText xml:space="preserve">" </w:instrText>
      </w:r>
      <w:r w:rsidR="00122FD6">
        <w:fldChar w:fldCharType="end"/>
      </w:r>
      <w:r w:rsidR="00122FD6">
        <w:t>) a vytvořil první verzi metafyzického dativu</w:t>
      </w:r>
      <w:r w:rsidR="00122FD6">
        <w:fldChar w:fldCharType="begin"/>
      </w:r>
      <w:r w:rsidR="00122FD6">
        <w:instrText xml:space="preserve"> XE "</w:instrText>
      </w:r>
      <w:r w:rsidR="00122FD6">
        <w:rPr>
          <w:i/>
        </w:rPr>
        <w:instrText>dativus metaphysi</w:instrText>
      </w:r>
      <w:r w:rsidR="00122FD6" w:rsidRPr="08BA734A">
        <w:rPr>
          <w:i/>
        </w:rPr>
        <w:instrText>cus</w:instrText>
      </w:r>
      <w:r w:rsidR="00122FD6">
        <w:instrText xml:space="preserve">" </w:instrText>
      </w:r>
      <w:r w:rsidR="00122FD6">
        <w:fldChar w:fldCharType="end"/>
      </w:r>
      <w:r>
        <w:t xml:space="preserve">. </w:t>
      </w:r>
      <w:r w:rsidR="00D0225C">
        <w:t xml:space="preserve">Kategoriálně </w:t>
      </w:r>
      <w:r w:rsidR="005A1FD0">
        <w:t>predikov</w:t>
      </w:r>
      <w:r w:rsidR="00F55414">
        <w:t>á d</w:t>
      </w:r>
      <w:r w:rsidR="005A1FD0">
        <w:t>ruh</w:t>
      </w:r>
      <w:r w:rsidR="00F55414">
        <w:t>á</w:t>
      </w:r>
      <w:r w:rsidR="005A1FD0">
        <w:t xml:space="preserve"> </w:t>
      </w:r>
      <w:r w:rsidR="00D0225C">
        <w:t xml:space="preserve">substance </w:t>
      </w:r>
      <w:r>
        <w:t xml:space="preserve">zakládá smysl jsoucna vzhledem k reálné existenci zde a nyní jsoucí </w:t>
      </w:r>
      <w:r w:rsidR="005A1FD0">
        <w:t xml:space="preserve">první </w:t>
      </w:r>
      <w:r>
        <w:t>substanci (</w:t>
      </w:r>
      <w:r w:rsidRPr="00273106">
        <w:t>τόδε τι</w:t>
      </w:r>
      <w:r>
        <w:t xml:space="preserve">). </w:t>
      </w:r>
      <w:r w:rsidR="00D4548F">
        <w:t xml:space="preserve">První substance vlastní bytí z hlediska původního </w:t>
      </w:r>
      <w:r w:rsidR="00D4548F" w:rsidRPr="08364F97">
        <w:rPr>
          <w:i/>
        </w:rPr>
        <w:t>dativus possessivus</w:t>
      </w:r>
      <w:r w:rsidR="00D4548F">
        <w:rPr>
          <w:i/>
        </w:rPr>
        <w:fldChar w:fldCharType="begin"/>
      </w:r>
      <w:r w:rsidR="00D4548F">
        <w:instrText xml:space="preserve"> XE "</w:instrText>
      </w:r>
      <w:r w:rsidR="00D4548F" w:rsidRPr="08912A75">
        <w:rPr>
          <w:i/>
        </w:rPr>
        <w:instrText>dativus possessivus</w:instrText>
      </w:r>
      <w:r w:rsidR="00D4548F">
        <w:instrText xml:space="preserve">" </w:instrText>
      </w:r>
      <w:r w:rsidR="00D4548F">
        <w:rPr>
          <w:i/>
        </w:rPr>
        <w:fldChar w:fldCharType="end"/>
      </w:r>
      <w:r w:rsidR="00D4548F">
        <w:t xml:space="preserve">. </w:t>
      </w:r>
      <w:r>
        <w:t xml:space="preserve">Kauzalita první substance působí ve vědeckém soudu skrze princip </w:t>
      </w:r>
      <w:r w:rsidR="0005787F">
        <w:t>„</w:t>
      </w:r>
      <w:r>
        <w:rPr>
          <w:i/>
        </w:rPr>
        <w:t>ex in</w:t>
      </w:r>
      <w:r w:rsidRPr="08A7297C">
        <w:rPr>
          <w:i/>
        </w:rPr>
        <w:t>mediatis</w:t>
      </w:r>
      <w:r w:rsidR="0005787F">
        <w:t>“</w:t>
      </w:r>
      <w:r>
        <w:rPr>
          <w:i/>
        </w:rPr>
        <w:fldChar w:fldCharType="begin"/>
      </w:r>
      <w:r>
        <w:instrText xml:space="preserve"> XE "princip </w:instrText>
      </w:r>
      <w:r w:rsidRPr="003156E6">
        <w:rPr>
          <w:i/>
        </w:rPr>
        <w:instrText xml:space="preserve">ex </w:instrText>
      </w:r>
      <w:r>
        <w:rPr>
          <w:i/>
        </w:rPr>
        <w:instrText>in</w:instrText>
      </w:r>
      <w:r w:rsidRPr="003156E6">
        <w:rPr>
          <w:i/>
        </w:rPr>
        <w:instrText>mediatis</w:instrText>
      </w:r>
      <w:r>
        <w:instrText xml:space="preserve">" </w:instrText>
      </w:r>
      <w:r>
        <w:rPr>
          <w:i/>
        </w:rPr>
        <w:fldChar w:fldCharType="end"/>
      </w:r>
      <w:r w:rsidR="004473C9">
        <w:t xml:space="preserve">. Důkaz </w:t>
      </w:r>
      <w:r>
        <w:t xml:space="preserve">vědecky zakládá sekundární poznání této jsoucnosti dané v univerzálním modu a proto pouze v mysli. Moderna změnila aristotelský </w:t>
      </w:r>
      <w:r w:rsidRPr="08364F97">
        <w:rPr>
          <w:i/>
        </w:rPr>
        <w:t>dativus possessivus</w:t>
      </w:r>
      <w:r>
        <w:rPr>
          <w:i/>
        </w:rPr>
        <w:t xml:space="preserve"> </w:t>
      </w:r>
      <w:r>
        <w:t>první substance daný v</w:t>
      </w:r>
      <w:r w:rsidR="008C2785">
        <w:t xml:space="preserve"> hyparchickém </w:t>
      </w:r>
      <w:r>
        <w:t xml:space="preserve">modu </w:t>
      </w:r>
      <w:r w:rsidRPr="08F7460A">
        <w:t xml:space="preserve">na </w:t>
      </w:r>
      <w:r>
        <w:t xml:space="preserve">subjektivní </w:t>
      </w:r>
      <w:r w:rsidR="000E4223" w:rsidRPr="000E4223">
        <w:rPr>
          <w:i/>
        </w:rPr>
        <w:t>dativus</w:t>
      </w:r>
      <w:r w:rsidR="000E4223">
        <w:t xml:space="preserve"> </w:t>
      </w:r>
      <w:r w:rsidR="000E4223">
        <w:rPr>
          <w:i/>
          <w:szCs w:val="24"/>
          <w:lang w:val="de-DE"/>
        </w:rPr>
        <w:t>possessivus</w:t>
      </w:r>
      <w:r w:rsidR="000E4223">
        <w:rPr>
          <w:i/>
          <w:szCs w:val="24"/>
          <w:lang w:val="de-DE"/>
        </w:rPr>
        <w:t xml:space="preserve"> </w:t>
      </w:r>
      <w:r w:rsidR="000E4223">
        <w:t xml:space="preserve">daný v absolutním modu. Subjekt </w:t>
      </w:r>
      <w:r>
        <w:t xml:space="preserve">nahradil </w:t>
      </w:r>
      <w:r w:rsidR="00F9128F">
        <w:t>smysl jsoucna přicházejí</w:t>
      </w:r>
      <w:r w:rsidR="00C14805">
        <w:t>cí</w:t>
      </w:r>
      <w:r w:rsidR="00F9128F">
        <w:t xml:space="preserve"> od první substance </w:t>
      </w:r>
      <w:r>
        <w:t>svou vlastní autoritou</w:t>
      </w:r>
      <w:r w:rsidR="000E4223">
        <w:t xml:space="preserve"> (</w:t>
      </w:r>
      <w:r w:rsidR="000E4223">
        <w:rPr>
          <w:i/>
        </w:rPr>
        <w:t xml:space="preserve">dativus </w:t>
      </w:r>
      <w:r w:rsidR="000E4223" w:rsidRPr="08F7460A">
        <w:rPr>
          <w:i/>
        </w:rPr>
        <w:t>auctoris</w:t>
      </w:r>
      <w:r w:rsidR="000E4223">
        <w:t>)</w:t>
      </w:r>
      <w:r w:rsidR="00F9128F">
        <w:t xml:space="preserve">. </w:t>
      </w:r>
      <w:r w:rsidR="00A93B44">
        <w:t>Platon a jeho žáci se stali zakladateli (</w:t>
      </w:r>
      <w:r w:rsidR="00A93B44" w:rsidRPr="081E3373">
        <w:rPr>
          <w:i/>
        </w:rPr>
        <w:t>auctores</w:t>
      </w:r>
      <w:r w:rsidR="00A93B44">
        <w:t xml:space="preserve">) akademické mytopoetiky dané skrze ideové vidění světa. </w:t>
      </w:r>
      <w:r w:rsidR="00761853">
        <w:t>N</w:t>
      </w:r>
      <w:r w:rsidR="00761853">
        <w:t xml:space="preserve">eoplatonské </w:t>
      </w:r>
      <w:r w:rsidR="00761853">
        <w:t>v</w:t>
      </w:r>
      <w:r w:rsidR="00A93B44">
        <w:t xml:space="preserve">idění světa </w:t>
      </w:r>
      <w:r w:rsidR="00761853">
        <w:t xml:space="preserve">vzešlé </w:t>
      </w:r>
      <w:r w:rsidR="00A93B44">
        <w:t>z</w:t>
      </w:r>
      <w:r w:rsidR="00761853">
        <w:t xml:space="preserve"> platonské </w:t>
      </w:r>
      <w:r w:rsidR="00A93B44">
        <w:t xml:space="preserve">jeskyně nahradilo klasický aristotelismus. </w:t>
      </w:r>
      <w:r>
        <w:t xml:space="preserve">Moderna vytvořila pod vedením </w:t>
      </w:r>
      <w:r w:rsidR="000C647A">
        <w:t xml:space="preserve">akademicky vzdělaných </w:t>
      </w:r>
      <w:r>
        <w:t xml:space="preserve">Fúrií novou formu parousie, kde se ukazuje smysl jsoucna mimo </w:t>
      </w:r>
      <w:r w:rsidR="006F4E11">
        <w:t xml:space="preserve">první sustanci. </w:t>
      </w:r>
      <w:r>
        <w:t>Autoritářská m</w:t>
      </w:r>
      <w:r w:rsidRPr="08F7460A">
        <w:t>oderna</w:t>
      </w:r>
      <w:r w:rsidRPr="00273106">
        <w:t xml:space="preserve"> </w:t>
      </w:r>
      <w:r>
        <w:t>se po založení akademick</w:t>
      </w:r>
      <w:r w:rsidR="0098484E">
        <w:t xml:space="preserve">ého Říma daného vraždou Sokrata jako </w:t>
      </w:r>
      <w:r>
        <w:t xml:space="preserve">Remula už </w:t>
      </w:r>
      <w:r w:rsidRPr="00273106">
        <w:t xml:space="preserve">nemusí </w:t>
      </w:r>
      <w:r>
        <w:t xml:space="preserve">starat o </w:t>
      </w:r>
      <w:r w:rsidRPr="00273106">
        <w:t>reálnou první substanci</w:t>
      </w:r>
      <w:r>
        <w:t xml:space="preserve">. Každý akademik mocensky správně argumentuje jako Romulus tím, že pravda daná dvanácti ptáky je objektivně pravdivější, než Remulovo původní a první vidění pouze šesti ptáků. </w:t>
      </w:r>
      <w:r w:rsidR="00216B3B" w:rsidRPr="00216B3B">
        <w:t>Pokrok</w:t>
      </w:r>
      <w:r w:rsidR="00216B3B">
        <w:t xml:space="preserve"> daný na základě </w:t>
      </w:r>
      <w:r w:rsidR="00216B3B" w:rsidRPr="00216B3B">
        <w:t>dvanáct</w:t>
      </w:r>
      <w:r w:rsidR="00216B3B">
        <w:t>i</w:t>
      </w:r>
      <w:r w:rsidR="00216B3B" w:rsidRPr="00216B3B">
        <w:t xml:space="preserve"> ptáků </w:t>
      </w:r>
      <w:r w:rsidR="00216B3B">
        <w:t xml:space="preserve">je nepopiratelné lidské </w:t>
      </w:r>
      <w:r w:rsidR="00216B3B" w:rsidRPr="00216B3B">
        <w:rPr>
          <w:i/>
        </w:rPr>
        <w:t>factum</w:t>
      </w:r>
      <w:r w:rsidR="00216B3B">
        <w:t>; to vymazalo božské znamení dané pouhými šesti ptáky.</w:t>
      </w:r>
      <w:r w:rsidR="00216B3B" w:rsidRPr="00216B3B">
        <w:t xml:space="preserve"> </w:t>
      </w:r>
      <w:r>
        <w:t xml:space="preserve">Sokratovo hledání pythické pravdy </w:t>
      </w:r>
      <w:r w:rsidR="00CD086A">
        <w:t>bylo zapomenuto</w:t>
      </w:r>
      <w:r>
        <w:t xml:space="preserve">. Po </w:t>
      </w:r>
      <w:r w:rsidR="00CA5B37">
        <w:t xml:space="preserve">zmizení </w:t>
      </w:r>
      <w:r>
        <w:t xml:space="preserve">archaické moudrosti stačí moderním akademikům pouze </w:t>
      </w:r>
      <w:r w:rsidRPr="00273106">
        <w:t>objektivní věděn</w:t>
      </w:r>
      <w:r>
        <w:t>í o es</w:t>
      </w:r>
      <w:r w:rsidRPr="00273106">
        <w:t>enci</w:t>
      </w:r>
      <w:r w:rsidR="00D21D0E">
        <w:t xml:space="preserve"> definované subjektivním „vi</w:t>
      </w:r>
      <w:r>
        <w:t>děním</w:t>
      </w:r>
      <w:r w:rsidR="00D21D0E">
        <w:t>“</w:t>
      </w:r>
      <w:r w:rsidR="00CE111E">
        <w:t xml:space="preserve">. </w:t>
      </w:r>
      <w:r w:rsidR="00B63C89">
        <w:t>H</w:t>
      </w:r>
      <w:r>
        <w:t xml:space="preserve">ermenutika sleduje </w:t>
      </w:r>
      <w:r w:rsidR="00BC1113">
        <w:t>eschalogický charakter zkoumání</w:t>
      </w:r>
      <w:r w:rsidR="00E168F7">
        <w:t xml:space="preserve"> daný </w:t>
      </w:r>
      <w:r w:rsidR="00E168F7" w:rsidRPr="00E168F7">
        <w:rPr>
          <w:i/>
        </w:rPr>
        <w:t>de fine</w:t>
      </w:r>
      <w:r w:rsidR="00FC47A1">
        <w:t xml:space="preserve">, ale skrze kruhovou cestu Slunce. </w:t>
      </w:r>
      <w:r w:rsidR="00BC1113">
        <w:t>Na</w:t>
      </w:r>
      <w:r>
        <w:t xml:space="preserve"> </w:t>
      </w:r>
      <w:r w:rsidR="00E168F7">
        <w:t>„</w:t>
      </w:r>
      <w:r>
        <w:t>vítěznou</w:t>
      </w:r>
      <w:r w:rsidR="00E168F7">
        <w:t>“</w:t>
      </w:r>
      <w:r>
        <w:t xml:space="preserve"> pravdu </w:t>
      </w:r>
      <w:r w:rsidR="006D5A97">
        <w:t xml:space="preserve">dnes </w:t>
      </w:r>
      <w:r>
        <w:t xml:space="preserve">zničeného antického Říma a </w:t>
      </w:r>
      <w:r w:rsidR="007F7105">
        <w:t xml:space="preserve">na deficit </w:t>
      </w:r>
      <w:r>
        <w:t>současného myšlení se dívá</w:t>
      </w:r>
      <w:r w:rsidR="00B63C89">
        <w:t>me</w:t>
      </w:r>
      <w:r>
        <w:t xml:space="preserve"> směrem od skryté</w:t>
      </w:r>
      <w:r w:rsidR="0051769A">
        <w:t xml:space="preserve">ho archaického </w:t>
      </w:r>
      <w:r>
        <w:t>počátku. Proto se h</w:t>
      </w:r>
      <w:r w:rsidR="08F914AE">
        <w:t xml:space="preserve">ermeneutika </w:t>
      </w:r>
      <w:r>
        <w:t xml:space="preserve">stejně jako chytrý Odysseus </w:t>
      </w:r>
      <w:r w:rsidR="08F914AE">
        <w:t xml:space="preserve">nedala na </w:t>
      </w:r>
      <w:r w:rsidR="082C7288">
        <w:t xml:space="preserve">sluneční </w:t>
      </w:r>
      <w:r w:rsidR="08F914AE">
        <w:t xml:space="preserve">cestě zmást zpěvem </w:t>
      </w:r>
      <w:r w:rsidR="0051769A">
        <w:lastRenderedPageBreak/>
        <w:t xml:space="preserve">Sirén </w:t>
      </w:r>
      <w:r w:rsidR="08F914AE">
        <w:t xml:space="preserve">a falešnými znameními </w:t>
      </w:r>
      <w:r>
        <w:t xml:space="preserve">trestajících akademických </w:t>
      </w:r>
      <w:r w:rsidR="08F914AE">
        <w:t xml:space="preserve">Fúrií, které </w:t>
      </w:r>
      <w:r w:rsidR="00D351B0">
        <w:t xml:space="preserve">tak jako tak </w:t>
      </w:r>
      <w:r w:rsidR="08F914AE">
        <w:t xml:space="preserve">stojí pod vládou Díké. </w:t>
      </w:r>
      <w:r w:rsidR="00A05F13">
        <w:t xml:space="preserve">Falešný </w:t>
      </w:r>
      <w:r w:rsidR="08A26C19">
        <w:t xml:space="preserve">výklad </w:t>
      </w:r>
      <w:r w:rsidR="00A05F13">
        <w:t>zůstává</w:t>
      </w:r>
      <w:r w:rsidR="08A26C19">
        <w:t xml:space="preserve"> v říši mrtvých simuláker a chod</w:t>
      </w:r>
      <w:r w:rsidR="00A05F13">
        <w:t xml:space="preserve">í </w:t>
      </w:r>
      <w:r w:rsidR="08A26C19">
        <w:t>bezcílně tam i zpět (παλίντροπός ἐστι κέλευθος</w:t>
      </w:r>
      <w:r w:rsidR="08C804D3">
        <w:t xml:space="preserve">, </w:t>
      </w:r>
      <w:r w:rsidR="08A26C19" w:rsidRPr="08BD56BC">
        <w:rPr>
          <w:i/>
        </w:rPr>
        <w:t>Parm</w:t>
      </w:r>
      <w:r w:rsidR="08A26C19">
        <w:t>. B 1.16</w:t>
      </w:r>
      <w:r w:rsidR="08A26C19">
        <w:fldChar w:fldCharType="begin"/>
      </w:r>
      <w:r w:rsidR="08A26C19">
        <w:instrText xml:space="preserve"> XE "</w:instrText>
      </w:r>
      <w:r w:rsidR="08A26C19" w:rsidRPr="08FD6C44">
        <w:instrText>Parm</w:instrText>
      </w:r>
      <w:r w:rsidR="08A26C19">
        <w:instrText>enides:</w:instrText>
      </w:r>
      <w:r w:rsidR="08A26C19" w:rsidRPr="08FD6C44">
        <w:instrText>B</w:instrText>
      </w:r>
      <w:r w:rsidR="08A26C19">
        <w:instrText xml:space="preserve"> 1</w:instrText>
      </w:r>
      <w:r w:rsidR="08A26C19" w:rsidRPr="08FD6C44">
        <w:instrText>.</w:instrText>
      </w:r>
      <w:r w:rsidR="08A26C19">
        <w:instrText xml:space="preserve">16" </w:instrText>
      </w:r>
      <w:r w:rsidR="08A26C19">
        <w:fldChar w:fldCharType="end"/>
      </w:r>
      <w:r w:rsidR="082A46E6">
        <w:t xml:space="preserve">). </w:t>
      </w:r>
      <w:r w:rsidR="08163013">
        <w:rPr>
          <w:iCs/>
        </w:rPr>
        <w:t xml:space="preserve">Postmoderní troglodyté už neopouštějí jeskyni, ve které </w:t>
      </w:r>
      <w:r w:rsidR="083628BF">
        <w:rPr>
          <w:iCs/>
        </w:rPr>
        <w:t xml:space="preserve">plně </w:t>
      </w:r>
      <w:r w:rsidR="08163013">
        <w:rPr>
          <w:iCs/>
        </w:rPr>
        <w:t xml:space="preserve">zdomácněli. </w:t>
      </w:r>
      <w:r w:rsidR="08D54460">
        <w:rPr>
          <w:iCs/>
        </w:rPr>
        <w:t xml:space="preserve">Důvěrně známé prostředí jeskyně plné digitálních pokladů určených matematicky si troglodyté vyzdobili umělým světlem metaforického rozumu podpořeného počítačovými simulacemi. </w:t>
      </w:r>
      <w:r w:rsidR="006A1D4B">
        <w:rPr>
          <w:iCs/>
        </w:rPr>
        <w:t xml:space="preserve">Manická filosofie postavená na metafyzickém nihilismu se stala služkou digitálního vědění. </w:t>
      </w:r>
      <w:r w:rsidR="08163013">
        <w:rPr>
          <w:iCs/>
        </w:rPr>
        <w:t xml:space="preserve">Objektivní mytopoetika vedená intelektem-sluncem zajišťuje moderně virtuální odysseu myšlení v rámci absolutní spekulace či </w:t>
      </w:r>
      <w:r w:rsidR="08163013" w:rsidRPr="00040520">
        <w:rPr>
          <w:i/>
          <w:iCs/>
        </w:rPr>
        <w:t>ad hoc</w:t>
      </w:r>
      <w:r w:rsidR="08163013">
        <w:rPr>
          <w:iCs/>
        </w:rPr>
        <w:t xml:space="preserve"> navržených myšlenkových experimentů. Postmoderní ilumináti proměnili gigantomachii o substanci nejprve v božskou komedii </w:t>
      </w:r>
      <w:r w:rsidR="00EF0928">
        <w:rPr>
          <w:iCs/>
        </w:rPr>
        <w:t xml:space="preserve">moderny </w:t>
      </w:r>
      <w:r w:rsidR="08163013">
        <w:rPr>
          <w:iCs/>
        </w:rPr>
        <w:t xml:space="preserve">a dnes už jen v postmoderní dadaistický kabaret. V prvním dadaistickém kabaretu </w:t>
      </w:r>
      <w:r w:rsidR="08163013" w:rsidRPr="084D7E4B">
        <w:rPr>
          <w:i/>
        </w:rPr>
        <w:t>Voltaire</w:t>
      </w:r>
      <w:r w:rsidR="08163013">
        <w:t xml:space="preserve"> </w:t>
      </w:r>
      <w:r w:rsidR="08163013">
        <w:rPr>
          <w:iCs/>
        </w:rPr>
        <w:t xml:space="preserve">založeném roku </w:t>
      </w:r>
      <w:r w:rsidR="08163013">
        <w:t xml:space="preserve">1916 v </w:t>
      </w:r>
      <w:r w:rsidR="08163013" w:rsidRPr="08330498">
        <w:t>Curychu</w:t>
      </w:r>
      <w:r w:rsidR="08163013">
        <w:t xml:space="preserve"> daly Múzy dohromady básníky </w:t>
      </w:r>
      <w:r w:rsidR="00A759EA">
        <w:t>jako Tristan Tzara</w:t>
      </w:r>
      <w:r w:rsidR="08163013">
        <w:fldChar w:fldCharType="begin"/>
      </w:r>
      <w:r w:rsidR="08163013">
        <w:instrText xml:space="preserve"> XE "</w:instrText>
      </w:r>
      <w:r w:rsidR="08163013" w:rsidRPr="085A33D4">
        <w:instrText>Tzara, T.</w:instrText>
      </w:r>
      <w:r w:rsidR="08163013">
        <w:instrText xml:space="preserve">" </w:instrText>
      </w:r>
      <w:r w:rsidR="08163013">
        <w:fldChar w:fldCharType="end"/>
      </w:r>
      <w:r w:rsidR="083A47AD">
        <w:t xml:space="preserve"> a </w:t>
      </w:r>
      <w:r w:rsidR="003D55CA">
        <w:t xml:space="preserve">revolucionáře </w:t>
      </w:r>
      <w:r w:rsidR="00CD2BD9">
        <w:t xml:space="preserve">jako byl </w:t>
      </w:r>
      <w:r w:rsidR="083A47AD">
        <w:t>Vladimí</w:t>
      </w:r>
      <w:r w:rsidR="003D55CA">
        <w:t>r</w:t>
      </w:r>
      <w:r w:rsidR="08163013">
        <w:t xml:space="preserve"> Iljič</w:t>
      </w:r>
      <w:r w:rsidR="003D55CA">
        <w:t xml:space="preserve"> Lenin</w:t>
      </w:r>
      <w:r w:rsidR="08163013">
        <w:fldChar w:fldCharType="begin"/>
      </w:r>
      <w:r w:rsidR="08163013">
        <w:instrText xml:space="preserve"> XE "</w:instrText>
      </w:r>
      <w:r w:rsidR="08163013" w:rsidRPr="083264AA">
        <w:instrText>Lenin, V. I.</w:instrText>
      </w:r>
      <w:r w:rsidR="08163013">
        <w:instrText xml:space="preserve">" </w:instrText>
      </w:r>
      <w:r w:rsidR="08163013">
        <w:fldChar w:fldCharType="end"/>
      </w:r>
      <w:r w:rsidR="085136B5">
        <w:t xml:space="preserve">. Tento ruský marxista a vizionář dějin </w:t>
      </w:r>
      <w:r w:rsidR="08163013">
        <w:t>redig</w:t>
      </w:r>
      <w:r w:rsidR="085136B5">
        <w:t>oval</w:t>
      </w:r>
      <w:r w:rsidR="0005787F">
        <w:t xml:space="preserve"> ve zdejší knihovně (viz bývalé </w:t>
      </w:r>
      <w:r w:rsidR="0005787F" w:rsidRPr="0005787F">
        <w:rPr>
          <w:i/>
        </w:rPr>
        <w:t>Musaion</w:t>
      </w:r>
      <w:r w:rsidR="0005787F">
        <w:t xml:space="preserve"> v Alexandrii) </w:t>
      </w:r>
      <w:r w:rsidR="085079C2">
        <w:t xml:space="preserve">své </w:t>
      </w:r>
      <w:r w:rsidR="08163013">
        <w:t xml:space="preserve">hlavní dílo </w:t>
      </w:r>
      <w:r w:rsidR="08163013" w:rsidRPr="089027D0">
        <w:rPr>
          <w:i/>
        </w:rPr>
        <w:t>Imperialismus jako nejvyšší stadium kapitalismu</w:t>
      </w:r>
      <w:r w:rsidR="08163013">
        <w:t xml:space="preserve"> (1916).</w:t>
      </w:r>
      <w:r w:rsidR="08D506F7">
        <w:t xml:space="preserve"> </w:t>
      </w:r>
      <w:r w:rsidR="08CB2C11">
        <w:t xml:space="preserve">Spojení dadaismu, revolučního marxismu a První světové války není náhodné. </w:t>
      </w:r>
      <w:r w:rsidR="00C2182D">
        <w:t>Spojení</w:t>
      </w:r>
      <w:r w:rsidR="08163013">
        <w:t xml:space="preserve"> </w:t>
      </w:r>
      <w:r w:rsidR="00A73421">
        <w:t>poetiky a revoluce</w:t>
      </w:r>
      <w:r w:rsidR="08163013">
        <w:t xml:space="preserve"> </w:t>
      </w:r>
      <w:r w:rsidR="00C2182D">
        <w:t xml:space="preserve">odstartovalo </w:t>
      </w:r>
      <w:r w:rsidR="087E031D">
        <w:t>pod vedení</w:t>
      </w:r>
      <w:r w:rsidR="08BD3A5A">
        <w:t xml:space="preserve">m </w:t>
      </w:r>
      <w:r w:rsidR="003D55CA">
        <w:t xml:space="preserve">válečně </w:t>
      </w:r>
      <w:r w:rsidR="087E031D">
        <w:t xml:space="preserve">založených Fúrií </w:t>
      </w:r>
      <w:r w:rsidR="08163013">
        <w:t>poslední kolo tragi</w:t>
      </w:r>
      <w:r w:rsidR="087E031D">
        <w:t>kom</w:t>
      </w:r>
      <w:r w:rsidR="00A31CE9">
        <w:t>edie</w:t>
      </w:r>
      <w:r w:rsidR="08163013">
        <w:t xml:space="preserve"> 20. a 21. století.</w:t>
      </w:r>
    </w:p>
    <w:p w:rsidR="00D443D7" w:rsidRDefault="08521FA4" w:rsidP="08163013">
      <w:r>
        <w:tab/>
        <w:t>Hermeneutické zkoumání objektivity spočívá v</w:t>
      </w:r>
      <w:r w:rsidR="00DF2D5B">
        <w:t xml:space="preserve"> múzické </w:t>
      </w:r>
      <w:r>
        <w:t>ambivalenci</w:t>
      </w:r>
      <w:r w:rsidRPr="00273106">
        <w:t xml:space="preserve"> </w:t>
      </w:r>
      <w:r>
        <w:t>řeckého slovesa „vidět“ a „vědět“</w:t>
      </w:r>
      <w:r>
        <w:fldChar w:fldCharType="begin"/>
      </w:r>
      <w:r>
        <w:instrText xml:space="preserve"> XE "</w:instrText>
      </w:r>
      <w:r w:rsidRPr="00F2038B">
        <w:instrText>hermeneutika:vidět/vědět</w:instrText>
      </w:r>
      <w:r>
        <w:instrText xml:space="preserve">" </w:instrText>
      </w:r>
      <w:r>
        <w:fldChar w:fldCharType="end"/>
      </w:r>
      <w:r>
        <w:t xml:space="preserve">. </w:t>
      </w:r>
      <w:r w:rsidR="00893114" w:rsidRPr="00893114">
        <w:t xml:space="preserve">Moudří lidé </w:t>
      </w:r>
      <w:r w:rsidR="00893114">
        <w:t xml:space="preserve">pravdivě </w:t>
      </w:r>
      <w:r w:rsidR="00893114" w:rsidRPr="00893114">
        <w:t>poznávají je</w:t>
      </w:r>
      <w:r w:rsidR="00893114">
        <w:t xml:space="preserve">vy, které se objevují v jejich </w:t>
      </w:r>
      <w:r w:rsidR="00893114" w:rsidRPr="00893114">
        <w:t>pravé podobě. Spisovatelé řecké tragédie působili ještě před vznikem metafyziky, znali myst</w:t>
      </w:r>
      <w:r w:rsidR="00893114">
        <w:t xml:space="preserve">éria a respektovali sílu orákula. </w:t>
      </w:r>
      <w:r w:rsidR="007E5B22" w:rsidRPr="007E5B22">
        <w:t>Před jejich očima se</w:t>
      </w:r>
      <w:r w:rsidR="007E5B22">
        <w:t xml:space="preserve"> zrodila první forma modernity. Tragikové </w:t>
      </w:r>
      <w:r w:rsidR="007E5B22" w:rsidRPr="007E5B22">
        <w:t xml:space="preserve">byli zděšeni hloupostí, která se stala </w:t>
      </w:r>
      <w:r w:rsidR="00B83E1D">
        <w:t xml:space="preserve">dominantní </w:t>
      </w:r>
      <w:r w:rsidR="00B83E1D" w:rsidRPr="007E5B22">
        <w:t>charakteristikou</w:t>
      </w:r>
      <w:r w:rsidR="007E5B22" w:rsidRPr="007E5B22">
        <w:t xml:space="preserve"> této nové tyranské třídy. </w:t>
      </w:r>
      <w:r w:rsidR="00B83E1D" w:rsidRPr="00B83E1D">
        <w:t>Sofoklova</w:t>
      </w:r>
      <w:r w:rsidR="00B83E1D">
        <w:fldChar w:fldCharType="begin"/>
      </w:r>
      <w:r w:rsidR="00B83E1D">
        <w:instrText xml:space="preserve"> XE "Sofokle</w:instrText>
      </w:r>
      <w:r w:rsidR="00B83E1D" w:rsidRPr="001874E8">
        <w:instrText>s</w:instrText>
      </w:r>
      <w:r w:rsidR="00B83E1D">
        <w:instrText xml:space="preserve">" </w:instrText>
      </w:r>
      <w:r w:rsidR="00B83E1D">
        <w:fldChar w:fldCharType="end"/>
      </w:r>
      <w:r w:rsidR="00B83E1D" w:rsidRPr="00B83E1D">
        <w:t xml:space="preserve"> tragédie </w:t>
      </w:r>
      <w:r w:rsidR="00B83E1D" w:rsidRPr="00B83E1D">
        <w:rPr>
          <w:i/>
          <w:iCs/>
        </w:rPr>
        <w:t>Oidipus Tyrannus</w:t>
      </w:r>
      <w:r w:rsidR="00B83E1D" w:rsidRPr="00B83E1D">
        <w:t xml:space="preserve"> byla </w:t>
      </w:r>
      <w:r w:rsidR="00B83E1D">
        <w:t xml:space="preserve">poprvé uvedena na scénu </w:t>
      </w:r>
      <w:r w:rsidR="00B83E1D" w:rsidRPr="00B83E1D">
        <w:t xml:space="preserve">kolem roku 430 př. n. l. Vyvrcholením tragédie je setkání Oidipa a </w:t>
      </w:r>
      <w:r w:rsidR="00B83E1D" w:rsidRPr="00273106">
        <w:t>Teirésiáse</w:t>
      </w:r>
      <w:r w:rsidR="00B83E1D" w:rsidRPr="00B83E1D">
        <w:t xml:space="preserve"> v královském paláci. </w:t>
      </w:r>
      <w:r w:rsidRPr="00273106">
        <w:t>Teirésiás</w:t>
      </w:r>
      <w:r>
        <w:fldChar w:fldCharType="begin"/>
      </w:r>
      <w:r>
        <w:instrText xml:space="preserve"> XE "</w:instrText>
      </w:r>
      <w:r w:rsidRPr="00A93BA7">
        <w:instrText>Teirésiás</w:instrText>
      </w:r>
      <w:r>
        <w:instrText xml:space="preserve">" </w:instrText>
      </w:r>
      <w:r>
        <w:fldChar w:fldCharType="end"/>
      </w:r>
      <w:r w:rsidRPr="00273106">
        <w:t xml:space="preserve"> upozorňuje Oidipa</w:t>
      </w:r>
      <w:r>
        <w:fldChar w:fldCharType="begin"/>
      </w:r>
      <w:r>
        <w:instrText xml:space="preserve"> XE "</w:instrText>
      </w:r>
      <w:r w:rsidRPr="0071161E">
        <w:instrText>Oidipus</w:instrText>
      </w:r>
      <w:r>
        <w:instrText xml:space="preserve">" </w:instrText>
      </w:r>
      <w:r>
        <w:fldChar w:fldCharType="end"/>
      </w:r>
      <w:r w:rsidRPr="00273106">
        <w:t>, že Láiosova vraha nemusí hledat daleko, stačí se setkat sám se sebou (v. 362</w:t>
      </w:r>
      <w:r>
        <w:fldChar w:fldCharType="begin"/>
      </w:r>
      <w:r>
        <w:instrText xml:space="preserve"> XE "Sofokles:</w:instrText>
      </w:r>
      <w:r>
        <w:rPr>
          <w:i/>
        </w:rPr>
        <w:instrText>Oedipus tyrannus</w:instrText>
      </w:r>
      <w:r>
        <w:instrText xml:space="preserve"> 362" </w:instrText>
      </w:r>
      <w:r>
        <w:fldChar w:fldCharType="end"/>
      </w:r>
      <w:r w:rsidRPr="00273106">
        <w:t xml:space="preserve">). Tento verš obsahuje </w:t>
      </w:r>
      <w:r w:rsidRPr="00952AEF">
        <w:rPr>
          <w:i/>
        </w:rPr>
        <w:t>in nuce</w:t>
      </w:r>
      <w:r>
        <w:t xml:space="preserve"> </w:t>
      </w:r>
      <w:r w:rsidRPr="00273106">
        <w:t xml:space="preserve">tragiku </w:t>
      </w:r>
      <w:r>
        <w:t>moderny</w:t>
      </w:r>
      <w:r w:rsidR="0037436D">
        <w:t xml:space="preserve">; </w:t>
      </w:r>
      <w:r>
        <w:t xml:space="preserve">slepí současníci </w:t>
      </w:r>
      <w:r w:rsidR="00D744EB">
        <w:t xml:space="preserve">nejsou schopni najít smysl </w:t>
      </w:r>
      <w:r>
        <w:t>objektivní</w:t>
      </w:r>
      <w:r w:rsidR="00D744EB">
        <w:t xml:space="preserve">ho </w:t>
      </w:r>
      <w:r>
        <w:t>vědění</w:t>
      </w:r>
      <w:r w:rsidRPr="00273106">
        <w:t xml:space="preserve">. </w:t>
      </w:r>
      <w:r>
        <w:t>Objektivně v</w:t>
      </w:r>
      <w:r w:rsidRPr="00273106">
        <w:t xml:space="preserve">ševědoucí </w:t>
      </w:r>
      <w:r>
        <w:t xml:space="preserve">tyran </w:t>
      </w:r>
      <w:r w:rsidRPr="00273106">
        <w:t xml:space="preserve">vyhodí </w:t>
      </w:r>
      <w:r>
        <w:t>slepého</w:t>
      </w:r>
      <w:r w:rsidR="0001351D">
        <w:t xml:space="preserve"> </w:t>
      </w:r>
      <w:r>
        <w:t xml:space="preserve">věštce </w:t>
      </w:r>
      <w:r w:rsidRPr="00273106">
        <w:t>z thébského pal</w:t>
      </w:r>
      <w:r w:rsidR="006627D3">
        <w:t>áce. Tím rozhodl</w:t>
      </w:r>
      <w:r w:rsidRPr="00273106">
        <w:t xml:space="preserve"> </w:t>
      </w:r>
      <w:r>
        <w:t>svůj osud</w:t>
      </w:r>
      <w:r w:rsidR="006627D3">
        <w:t>, a také osud moderny</w:t>
      </w:r>
      <w:r w:rsidRPr="00273106">
        <w:t>.</w:t>
      </w:r>
      <w:r>
        <w:t xml:space="preserve"> </w:t>
      </w:r>
      <w:r w:rsidR="00C04476">
        <w:t xml:space="preserve">Tyran všechno </w:t>
      </w:r>
      <w:r w:rsidR="00B0716E">
        <w:t xml:space="preserve">objektivně </w:t>
      </w:r>
      <w:r w:rsidR="00C04476">
        <w:t xml:space="preserve">vidí, ale nic důležitého neví; věštec nic nevidí, ale všechno podstatné ví. </w:t>
      </w:r>
      <w:r>
        <w:t>V</w:t>
      </w:r>
      <w:r w:rsidRPr="00273106">
        <w:t xml:space="preserve">ynalézavý a odvážný tyran </w:t>
      </w:r>
      <w:r>
        <w:t xml:space="preserve">jedná </w:t>
      </w:r>
      <w:r w:rsidRPr="00273106">
        <w:t xml:space="preserve">jménem </w:t>
      </w:r>
      <w:r>
        <w:t xml:space="preserve">svého </w:t>
      </w:r>
      <w:r w:rsidRPr="00273106">
        <w:t>nadřazeného vědění a šikovnosti (τέχνη τέχνης ὑ</w:t>
      </w:r>
      <w:r>
        <w:t>περφέρουσα, v. 380‒</w:t>
      </w:r>
      <w:r w:rsidRPr="00273106">
        <w:t>81</w:t>
      </w:r>
      <w:r>
        <w:fldChar w:fldCharType="begin"/>
      </w:r>
      <w:r>
        <w:instrText xml:space="preserve"> XE </w:instrText>
      </w:r>
      <w:r>
        <w:lastRenderedPageBreak/>
        <w:instrText>"Sofokles:</w:instrText>
      </w:r>
      <w:r>
        <w:rPr>
          <w:i/>
        </w:rPr>
        <w:instrText>Oedipus tyrannus</w:instrText>
      </w:r>
      <w:r>
        <w:instrText xml:space="preserve"> 380‒</w:instrText>
      </w:r>
      <w:r w:rsidRPr="002E0E6A">
        <w:instrText>81</w:instrText>
      </w:r>
      <w:r>
        <w:instrText xml:space="preserve">" </w:instrText>
      </w:r>
      <w:r>
        <w:fldChar w:fldCharType="end"/>
      </w:r>
      <w:r>
        <w:t xml:space="preserve">). </w:t>
      </w:r>
      <w:r w:rsidRPr="00273106">
        <w:t xml:space="preserve">Tragédie dobře ví, že jednání </w:t>
      </w:r>
      <w:r>
        <w:t xml:space="preserve">tohoto zaslepeného objektivisty a prvního moderního technokrata </w:t>
      </w:r>
      <w:r w:rsidRPr="00273106">
        <w:t xml:space="preserve">je jeho vlastní, že </w:t>
      </w:r>
      <w:r>
        <w:t xml:space="preserve">tento tyran je strůjcem vlastního osudu. </w:t>
      </w:r>
      <w:r w:rsidRPr="081F7F33">
        <w:t xml:space="preserve">Když se Oidipus ze žalu oslepuje, chór jasně říká, že všechno zlo spáchal ze sebe a nikoliv mimo sebe (κακὰ ἑκόντα κοὐκ ἄκοντα) a za způsobené zlo může vlastním přičiněním </w:t>
      </w:r>
      <w:r>
        <w:t xml:space="preserve">a důmyslem </w:t>
      </w:r>
      <w:r w:rsidRPr="081F7F33">
        <w:t>(αὐθαίρετοι</w:t>
      </w:r>
      <w:r>
        <w:t>, vv. 1229‒</w:t>
      </w:r>
      <w:r w:rsidRPr="081F7F33">
        <w:t>31</w:t>
      </w:r>
      <w:r>
        <w:fldChar w:fldCharType="begin"/>
      </w:r>
      <w:r>
        <w:instrText xml:space="preserve"> XE "</w:instrText>
      </w:r>
      <w:r w:rsidRPr="08D560A7">
        <w:instrText>Sofokles:</w:instrText>
      </w:r>
      <w:r w:rsidRPr="08A9706A">
        <w:rPr>
          <w:i/>
        </w:rPr>
        <w:instrText>Oedipus tyrannus</w:instrText>
      </w:r>
      <w:r>
        <w:instrText xml:space="preserve"> 1229‒</w:instrText>
      </w:r>
      <w:r w:rsidRPr="081F7F33">
        <w:instrText>31</w:instrText>
      </w:r>
      <w:r>
        <w:instrText xml:space="preserve">" </w:instrText>
      </w:r>
      <w:r>
        <w:fldChar w:fldCharType="end"/>
      </w:r>
      <w:r w:rsidRPr="081F7F33">
        <w:t>).</w:t>
      </w:r>
      <w:r>
        <w:t xml:space="preserve"> Oidipus jako archetyp tragického modernisty </w:t>
      </w:r>
      <w:r w:rsidRPr="00273106">
        <w:t xml:space="preserve">odmítá varování </w:t>
      </w:r>
      <w:r>
        <w:t xml:space="preserve">slepého </w:t>
      </w:r>
      <w:r w:rsidRPr="00273106">
        <w:t xml:space="preserve">věštce Teirésiáse, který vidí do jeho osudu. </w:t>
      </w:r>
      <w:r w:rsidR="08B26B5A">
        <w:t>Znalci této tragédie si dobře všimli, že hlavní téma spočívá v neschopnosti Oidipa poznat sám sebe a ta</w:t>
      </w:r>
      <w:r w:rsidR="00C04476">
        <w:t xml:space="preserve">k naplnit hlavní přikázání Delf: „Poznej sám sebe!“ </w:t>
      </w:r>
      <w:r w:rsidR="08B26B5A">
        <w:t>(</w:t>
      </w:r>
      <w:r w:rsidR="08B26B5A" w:rsidRPr="08B26B5A">
        <w:t>Lefèvre</w:t>
      </w:r>
      <w:r w:rsidR="08B26B5A">
        <w:t xml:space="preserve"> 1987, Sch</w:t>
      </w:r>
      <w:r w:rsidR="0002389D">
        <w:t xml:space="preserve">mitt 1988). </w:t>
      </w:r>
      <w:r w:rsidR="08B26B5A">
        <w:t xml:space="preserve">Oidipova tragédie má pro hermeneutiku </w:t>
      </w:r>
      <w:r w:rsidR="002C3FB7">
        <w:t xml:space="preserve">zásadní </w:t>
      </w:r>
      <w:r w:rsidR="08B26B5A">
        <w:t>dějinný smysl</w:t>
      </w:r>
      <w:r w:rsidR="002C3FB7">
        <w:t>. A</w:t>
      </w:r>
      <w:r w:rsidR="007C5846">
        <w:t>rchaick</w:t>
      </w:r>
      <w:r w:rsidR="002C3FB7">
        <w:t>é Fúrie</w:t>
      </w:r>
      <w:r w:rsidR="007C5846">
        <w:t xml:space="preserve"> poprvé v dějinách dostaly</w:t>
      </w:r>
      <w:r w:rsidR="08B26B5A">
        <w:t xml:space="preserve"> akademické vzdělání. </w:t>
      </w:r>
      <w:r>
        <w:t>V této době začíná v Athénách působit škola mladých platonských modernistů</w:t>
      </w:r>
      <w:r w:rsidR="00EC24F3">
        <w:t xml:space="preserve">. Tito sofisté se šikovně schovali za </w:t>
      </w:r>
      <w:r>
        <w:t xml:space="preserve">Sokratovo hledání moudrosti. Moderní Oidipus </w:t>
      </w:r>
      <w:r w:rsidR="00006DD8">
        <w:t xml:space="preserve">byl technik moci a viděl svět srze brýle </w:t>
      </w:r>
      <w:r>
        <w:t xml:space="preserve">metafyziky. Ale to, co měl vidět, </w:t>
      </w:r>
      <w:r w:rsidR="00332AA8">
        <w:t xml:space="preserve">to </w:t>
      </w:r>
      <w:r>
        <w:t xml:space="preserve">byla </w:t>
      </w:r>
      <w:r w:rsidR="00006DD8">
        <w:t xml:space="preserve">znamení daná božskými řády. </w:t>
      </w:r>
      <w:r>
        <w:t xml:space="preserve">V této objektivní slepotě dané věděním thébského technokrata se skrývá smysl moderní tragické existence. </w:t>
      </w:r>
      <w:r w:rsidRPr="00273106">
        <w:t xml:space="preserve">Po rozřešení hádanky sfingy král Théb </w:t>
      </w:r>
      <w:r>
        <w:t xml:space="preserve">objektivně ví, co je člověk; </w:t>
      </w:r>
      <w:r w:rsidRPr="00273106">
        <w:t xml:space="preserve">ale nevidí, jak osobně žije. </w:t>
      </w:r>
      <w:r>
        <w:rPr>
          <w:iCs/>
        </w:rPr>
        <w:t xml:space="preserve">Kvůli Oidipově gigantické porci nerozumu a kvůli jeho </w:t>
      </w:r>
      <w:r w:rsidRPr="087C63FF">
        <w:rPr>
          <w:i/>
          <w:iCs/>
        </w:rPr>
        <w:t>hýbris</w:t>
      </w:r>
      <w:r>
        <w:rPr>
          <w:i/>
          <w:iCs/>
        </w:rPr>
        <w:fldChar w:fldCharType="begin"/>
      </w:r>
      <w:r>
        <w:instrText xml:space="preserve"> XE "</w:instrText>
      </w:r>
      <w:r w:rsidRPr="085E5567">
        <w:rPr>
          <w:i/>
        </w:rPr>
        <w:instrText>hýbris</w:instrText>
      </w:r>
      <w:r>
        <w:instrText xml:space="preserve">" </w:instrText>
      </w:r>
      <w:r>
        <w:rPr>
          <w:i/>
          <w:iCs/>
        </w:rPr>
        <w:fldChar w:fldCharType="end"/>
      </w:r>
      <w:r w:rsidR="00B80576">
        <w:rPr>
          <w:iCs/>
        </w:rPr>
        <w:t xml:space="preserve"> vypukl mor v Thébách, </w:t>
      </w:r>
      <w:r>
        <w:rPr>
          <w:iCs/>
        </w:rPr>
        <w:t xml:space="preserve">dnes nahrazený globálním </w:t>
      </w:r>
      <w:r w:rsidR="00A35CAC">
        <w:rPr>
          <w:iCs/>
        </w:rPr>
        <w:t xml:space="preserve">ničením biosféry. </w:t>
      </w:r>
      <w:r w:rsidR="00836C7E" w:rsidRPr="00836C7E">
        <w:rPr>
          <w:iCs/>
        </w:rPr>
        <w:t xml:space="preserve">Ironii Múz lze spatřovat ve změně názvu dramatu, neboť soudobí sofisté změnili </w:t>
      </w:r>
      <w:r w:rsidR="00836C7E">
        <w:rPr>
          <w:iCs/>
        </w:rPr>
        <w:t>název „tyran“ na „král</w:t>
      </w:r>
      <w:r w:rsidR="00C5435D">
        <w:rPr>
          <w:iCs/>
        </w:rPr>
        <w:t>e</w:t>
      </w:r>
      <w:r w:rsidR="00836C7E">
        <w:rPr>
          <w:iCs/>
        </w:rPr>
        <w:t>“</w:t>
      </w:r>
      <w:r w:rsidR="00836C7E" w:rsidRPr="00836C7E">
        <w:rPr>
          <w:iCs/>
        </w:rPr>
        <w:t xml:space="preserve">. Tak </w:t>
      </w:r>
      <w:r w:rsidR="00836C7E">
        <w:rPr>
          <w:iCs/>
        </w:rPr>
        <w:t xml:space="preserve">se </w:t>
      </w:r>
      <w:r w:rsidR="00836C7E" w:rsidRPr="00836C7E">
        <w:rPr>
          <w:iCs/>
        </w:rPr>
        <w:t>tyran stal králem moderní doby.</w:t>
      </w:r>
      <w:r w:rsidR="00836C7E">
        <w:rPr>
          <w:iCs/>
        </w:rPr>
        <w:t xml:space="preserve"> </w:t>
      </w:r>
      <w:r w:rsidR="009015BD">
        <w:rPr>
          <w:iCs/>
        </w:rPr>
        <w:t xml:space="preserve">Od </w:t>
      </w:r>
      <w:r>
        <w:t>Sofokl</w:t>
      </w:r>
      <w:r w:rsidR="009015BD">
        <w:t>a</w:t>
      </w:r>
      <w:r>
        <w:t xml:space="preserve"> a</w:t>
      </w:r>
      <w:r w:rsidR="009015BD">
        <w:t xml:space="preserve">ž po </w:t>
      </w:r>
      <w:r>
        <w:t>Euripid</w:t>
      </w:r>
      <w:r w:rsidR="009015BD">
        <w:t xml:space="preserve">a dramatikové </w:t>
      </w:r>
      <w:r>
        <w:t>viděli a správně diagnostikovali tragi</w:t>
      </w:r>
      <w:r w:rsidR="00FD4624">
        <w:t xml:space="preserve">ckou slepotu oligarchických </w:t>
      </w:r>
      <w:r>
        <w:t>současníků</w:t>
      </w:r>
      <w:r w:rsidR="00FD4624">
        <w:t xml:space="preserve">, </w:t>
      </w:r>
      <w:r w:rsidR="00A35CAC">
        <w:t xml:space="preserve">prvních </w:t>
      </w:r>
      <w:r>
        <w:t>sofistů a školy mladého Platona. Vyhození věštce z paláce p</w:t>
      </w:r>
      <w:r w:rsidR="009C1387">
        <w:t xml:space="preserve">rovedené brilantním a téměř </w:t>
      </w:r>
      <w:r>
        <w:t xml:space="preserve">božským technikem moci a vědění ukazuje zakládající událost moderní kastrace archaické pravdy </w:t>
      </w:r>
      <w:r>
        <w:fldChar w:fldCharType="begin"/>
      </w:r>
      <w:r>
        <w:instrText xml:space="preserve"> XE "</w:instrText>
      </w:r>
      <w:r w:rsidRPr="082B4B53">
        <w:instrText>kastrace pravdy</w:instrText>
      </w:r>
      <w:r>
        <w:instrText xml:space="preserve">" </w:instrText>
      </w:r>
      <w:r>
        <w:fldChar w:fldCharType="end"/>
      </w:r>
      <w:r w:rsidR="007E76B6">
        <w:t xml:space="preserve">. </w:t>
      </w:r>
      <w:r>
        <w:t xml:space="preserve">Platon </w:t>
      </w:r>
      <w:r w:rsidR="007E76B6">
        <w:t xml:space="preserve">byl </w:t>
      </w:r>
      <w:r>
        <w:t>první metafyzik</w:t>
      </w:r>
      <w:r w:rsidR="007E76B6">
        <w:t>, který spustil tento proces</w:t>
      </w:r>
      <w:r>
        <w:t>. Moderní anti-hrdina Oidipus hraje v dramatu moderny podobnou roli jako Gilgameš</w:t>
      </w:r>
      <w:r>
        <w:fldChar w:fldCharType="begin"/>
      </w:r>
      <w:r>
        <w:instrText xml:space="preserve"> XE "</w:instrText>
      </w:r>
      <w:r w:rsidRPr="08913E6B">
        <w:instrText>Gilgameš</w:instrText>
      </w:r>
      <w:r>
        <w:instrText xml:space="preserve">" </w:instrText>
      </w:r>
      <w:r>
        <w:fldChar w:fldCharType="end"/>
      </w:r>
      <w:r>
        <w:t xml:space="preserve"> v původním moudrém mýtu komentujícím pravdivé postavení smrtelníka. Ale na rozdíl od Gilgamše není moderní člověk schopen </w:t>
      </w:r>
      <w:r w:rsidR="006F7160">
        <w:t xml:space="preserve">najít </w:t>
      </w:r>
      <w:r>
        <w:t xml:space="preserve">pravdu vlastní smrtelné existence. Oslepený Oidipus zmoudřel a poznal tragickou pravdu svého bloudění. </w:t>
      </w:r>
      <w:r w:rsidRPr="00273106">
        <w:t xml:space="preserve">V okamžiku, kdy tyran zná celou pravdu o </w:t>
      </w:r>
      <w:r>
        <w:t>svém životě, sám sebe oslepuje</w:t>
      </w:r>
      <w:r w:rsidRPr="00273106">
        <w:t xml:space="preserve">. Všechno podstatné o svém osudu už </w:t>
      </w:r>
      <w:r>
        <w:t xml:space="preserve">Oidipus </w:t>
      </w:r>
      <w:r w:rsidRPr="00273106">
        <w:t xml:space="preserve">ví </w:t>
      </w:r>
      <w:r w:rsidR="00D443D7">
        <w:t>a nic jiného vidět nepotřebuje.</w:t>
      </w:r>
    </w:p>
    <w:p w:rsidR="009C3D9E" w:rsidRDefault="009C3D9E" w:rsidP="08163013">
      <w:r>
        <w:tab/>
      </w:r>
      <w:r>
        <w:rPr>
          <w:iCs/>
        </w:rPr>
        <w:t>Poslední dramatikové tragégie v Athénách správně viděli a identifikovali místo současného vědění (</w:t>
      </w:r>
      <w:r w:rsidRPr="085F740A">
        <w:rPr>
          <w:i/>
          <w:iCs/>
        </w:rPr>
        <w:t>ortus scientiarum</w:t>
      </w:r>
      <w:r>
        <w:rPr>
          <w:iCs/>
        </w:rPr>
        <w:t>) v tehdy vznikající metafyzice Platona a jeho školy. A pravdivě popsali tyranské a tragické rysy této technické formy „první filosofie“. V</w:t>
      </w:r>
      <w:r>
        <w:t>ýklad západní gigantomachie o substanci</w:t>
      </w:r>
      <w:r>
        <w:rPr>
          <w:i/>
        </w:rPr>
        <w:fldChar w:fldCharType="begin"/>
      </w:r>
      <w:r>
        <w:instrText xml:space="preserve"> XE "metafyzika:gigantomachie" </w:instrText>
      </w:r>
      <w:r>
        <w:rPr>
          <w:i/>
        </w:rPr>
        <w:fldChar w:fldCharType="end"/>
      </w:r>
      <w:r>
        <w:t xml:space="preserve"> stojí na pythické četbě tohoto Oidipo</w:t>
      </w:r>
      <w:r w:rsidRPr="00273106">
        <w:t>v</w:t>
      </w:r>
      <w:r>
        <w:t>a</w:t>
      </w:r>
      <w:r w:rsidRPr="00273106">
        <w:t xml:space="preserve"> </w:t>
      </w:r>
      <w:r>
        <w:t>objektivního</w:t>
      </w:r>
      <w:r w:rsidRPr="00273106">
        <w:t xml:space="preserve"> komplex</w:t>
      </w:r>
      <w:r>
        <w:t>u. Hérakleitos z Efezu</w:t>
      </w:r>
      <w:r>
        <w:fldChar w:fldCharType="begin"/>
      </w:r>
      <w:r>
        <w:instrText xml:space="preserve"> XE "</w:instrText>
      </w:r>
      <w:r w:rsidRPr="001B45E8">
        <w:instrText>Hérakleitos z Efezu</w:instrText>
      </w:r>
      <w:r>
        <w:instrText xml:space="preserve">" </w:instrText>
      </w:r>
      <w:r>
        <w:fldChar w:fldCharType="end"/>
      </w:r>
      <w:r>
        <w:t xml:space="preserve"> by k tragické slepotě moderny jistě citoval výrok vyložený v úvodu studie: </w:t>
      </w:r>
      <w:r w:rsidRPr="001E257B">
        <w:t>„</w:t>
      </w:r>
      <w:r>
        <w:t xml:space="preserve">Charakter </w:t>
      </w:r>
      <w:r>
        <w:rPr>
          <w:rFonts w:cs="Calibri"/>
        </w:rPr>
        <w:t>—</w:t>
      </w:r>
      <w:r>
        <w:t xml:space="preserve"> </w:t>
      </w:r>
      <w:r w:rsidRPr="001E257B">
        <w:t xml:space="preserve">člověku </w:t>
      </w:r>
      <w:r>
        <w:rPr>
          <w:rFonts w:cs="Calibri"/>
        </w:rPr>
        <w:t>—</w:t>
      </w:r>
      <w:r>
        <w:t xml:space="preserve"> </w:t>
      </w:r>
      <w:r w:rsidRPr="001E257B">
        <w:t>démon“ (ἦθος ἀνθρώπῳ δαίμων</w:t>
      </w:r>
      <w:r>
        <w:t xml:space="preserve">; DK </w:t>
      </w:r>
      <w:proofErr w:type="gramStart"/>
      <w:r>
        <w:t>22,  B 119</w:t>
      </w:r>
      <w:proofErr w:type="gramEnd"/>
      <w:r>
        <w:fldChar w:fldCharType="begin"/>
      </w:r>
      <w:r>
        <w:instrText xml:space="preserve"> XE "</w:instrText>
      </w:r>
      <w:r w:rsidRPr="00E97F17">
        <w:instrText>Hérakleitos z Efezu:B 119</w:instrText>
      </w:r>
      <w:r>
        <w:instrText xml:space="preserve">" </w:instrText>
      </w:r>
      <w:r>
        <w:fldChar w:fldCharType="end"/>
      </w:r>
      <w:r>
        <w:t xml:space="preserve">). Tento výrok vztažený ke vzniku moderny je třeba číst z obou stran, tedy stejně pravdivě jako Apollónovy výroky dané skrze orákulum Delfské věštírny. </w:t>
      </w:r>
      <w:r w:rsidRPr="00FF2907">
        <w:t>Hermeneutika vztahuje Hérakleitův výrok k démonickému charakteru bytí, které určuje objektivn</w:t>
      </w:r>
      <w:r>
        <w:t>í avicenistické</w:t>
      </w:r>
      <w:r>
        <w:rPr>
          <w:i/>
        </w:rPr>
        <w:fldChar w:fldCharType="begin"/>
      </w:r>
      <w:r>
        <w:instrText xml:space="preserve"> XE "</w:instrText>
      </w:r>
      <w:r w:rsidRPr="003D2937">
        <w:rPr>
          <w:i/>
        </w:rPr>
        <w:instrText>cogito</w:instrText>
      </w:r>
      <w:r>
        <w:instrText xml:space="preserve">" </w:instrText>
      </w:r>
      <w:r>
        <w:rPr>
          <w:i/>
        </w:rPr>
        <w:fldChar w:fldCharType="end"/>
      </w:r>
      <w:r>
        <w:t xml:space="preserve"> a karteziánské „</w:t>
      </w:r>
      <w:r w:rsidRPr="00FF2907">
        <w:rPr>
          <w:i/>
        </w:rPr>
        <w:t>cogito ergo sum</w:t>
      </w:r>
      <w:r>
        <w:t>“</w:t>
      </w:r>
      <w:r w:rsidRPr="00FF2907">
        <w:t xml:space="preserve">. Tragédii modernismu je třeba brát </w:t>
      </w:r>
      <w:r w:rsidRPr="00FF2907">
        <w:rPr>
          <w:i/>
        </w:rPr>
        <w:t>de fine</w:t>
      </w:r>
      <w:r w:rsidRPr="00FF2907">
        <w:t xml:space="preserve">. Postmoderní zaslepení skutečnosti je definitivně dáno </w:t>
      </w:r>
      <w:r>
        <w:t>v </w:t>
      </w:r>
      <w:r w:rsidRPr="00FF2907">
        <w:t>kartezi</w:t>
      </w:r>
      <w:r>
        <w:t xml:space="preserve">animu </w:t>
      </w:r>
      <w:r w:rsidRPr="00FF2907">
        <w:t>a lze j</w:t>
      </w:r>
      <w:r>
        <w:t>e shrnout do následující věty: „</w:t>
      </w:r>
      <w:r w:rsidRPr="00FF2907">
        <w:rPr>
          <w:i/>
        </w:rPr>
        <w:t>cogito ergo aspecto</w:t>
      </w:r>
      <w:r>
        <w:rPr>
          <w:i/>
        </w:rPr>
        <w:fldChar w:fldCharType="begin"/>
      </w:r>
      <w:r>
        <w:instrText xml:space="preserve"> XE "</w:instrText>
      </w:r>
      <w:r w:rsidRPr="00B72835">
        <w:rPr>
          <w:i/>
        </w:rPr>
        <w:instrText>cogito ergo aspecto</w:instrText>
      </w:r>
      <w:r>
        <w:instrText xml:space="preserve">" </w:instrText>
      </w:r>
      <w:r>
        <w:rPr>
          <w:i/>
        </w:rPr>
        <w:fldChar w:fldCharType="end"/>
      </w:r>
      <w:r>
        <w:t>“</w:t>
      </w:r>
      <w:r w:rsidRPr="00FF2907">
        <w:t xml:space="preserve">. </w:t>
      </w:r>
      <w:r>
        <w:t xml:space="preserve">Tento výrok shrnuje smysl celé studie a představuje orákulum dané v rámci múzické podoby pravdy jako </w:t>
      </w:r>
      <w:r w:rsidRPr="007452B5">
        <w:rPr>
          <w:i/>
          <w:szCs w:val="24"/>
          <w:lang w:val="de-DE"/>
        </w:rPr>
        <w:t>a/létheia</w:t>
      </w:r>
      <w:r>
        <w:rPr>
          <w:i/>
          <w:szCs w:val="24"/>
          <w:lang w:val="de-DE"/>
        </w:rPr>
        <w:fldChar w:fldCharType="begin"/>
      </w:r>
      <w:r>
        <w:instrText xml:space="preserve"> XE "</w:instrText>
      </w:r>
      <w:r w:rsidRPr="00162AC7">
        <w:rPr>
          <w:i/>
          <w:szCs w:val="24"/>
          <w:lang w:val="de-DE"/>
        </w:rPr>
        <w:instrText>a/létheia</w:instrText>
      </w:r>
      <w:r>
        <w:instrText xml:space="preserve">" </w:instrText>
      </w:r>
      <w:r>
        <w:rPr>
          <w:i/>
          <w:szCs w:val="24"/>
          <w:lang w:val="de-DE"/>
        </w:rPr>
        <w:fldChar w:fldCharType="end"/>
      </w:r>
      <w:r>
        <w:t xml:space="preserve">. Proto jej musíme číst podle archaické </w:t>
      </w:r>
      <w:r w:rsidRPr="00273106">
        <w:t>hermeneutiky, tedy z obou stran</w:t>
      </w:r>
      <w:r>
        <w:t xml:space="preserve">. Tragická </w:t>
      </w:r>
      <w:r w:rsidRPr="008B0C37">
        <w:t>č</w:t>
      </w:r>
      <w:r>
        <w:t xml:space="preserve">etba </w:t>
      </w:r>
      <w:r w:rsidRPr="008B0C37">
        <w:t>je moderní</w:t>
      </w:r>
      <w:r>
        <w:t xml:space="preserve"> a je založena na nasvícení smyslu jsoucna zezadu. Myšlení nesměřuje k realitě </w:t>
      </w:r>
      <w:r w:rsidRPr="008B0C37">
        <w:t>prvních substancí, ale k intuici objektivního významu, který existuje pouze v myšlení a v demiurgické vůli (Olivi</w:t>
      </w:r>
      <w:r>
        <w:t xml:space="preserve">ho </w:t>
      </w:r>
      <w:r w:rsidRPr="008B0C37">
        <w:rPr>
          <w:i/>
        </w:rPr>
        <w:t>aspectus</w:t>
      </w:r>
      <w:r>
        <w:t xml:space="preserve">). Tento aspekt jsoucna je vzatý dogmaticky a autoritativně (Rufusovo </w:t>
      </w:r>
      <w:r w:rsidRPr="081B20A8">
        <w:rPr>
          <w:i/>
        </w:rPr>
        <w:t>scibile</w:t>
      </w:r>
      <w:r>
        <w:t xml:space="preserve">) a zakládá slepé vidění moderny. </w:t>
      </w:r>
      <w:r w:rsidRPr="008B0C37">
        <w:t xml:space="preserve"> </w:t>
      </w:r>
      <w:r w:rsidRPr="00273106">
        <w:t xml:space="preserve">Místo první substance </w:t>
      </w:r>
      <w:r>
        <w:t xml:space="preserve">přímo </w:t>
      </w:r>
      <w:r w:rsidRPr="00273106">
        <w:t xml:space="preserve">viděné v prvním averroismu postavila moderna objektivní jsoucno třetího </w:t>
      </w:r>
      <w:r>
        <w:t>druhu jako vítěznou ideu Západu</w:t>
      </w:r>
      <w:r w:rsidRPr="00273106">
        <w:t xml:space="preserve">. Sofistický výklad </w:t>
      </w:r>
      <w:r w:rsidRPr="085340E9">
        <w:rPr>
          <w:i/>
        </w:rPr>
        <w:t>Druhých analytik</w:t>
      </w:r>
      <w:r w:rsidRPr="00273106">
        <w:t xml:space="preserve"> zahájil zatmění první substance</w:t>
      </w:r>
      <w:r>
        <w:fldChar w:fldCharType="begin"/>
      </w:r>
      <w:r>
        <w:instrText xml:space="preserve"> XE "</w:instrText>
      </w:r>
      <w:r w:rsidRPr="00C27681">
        <w:instrText>zatmění</w:instrText>
      </w:r>
      <w:r>
        <w:instrText>:</w:instrText>
      </w:r>
      <w:r w:rsidRPr="00C27681">
        <w:instrText>substance</w:instrText>
      </w:r>
      <w:r>
        <w:instrText xml:space="preserve">" </w:instrText>
      </w:r>
      <w:r>
        <w:fldChar w:fldCharType="end"/>
      </w:r>
      <w:r>
        <w:t xml:space="preserve">. Metafyzická </w:t>
      </w:r>
      <w:r w:rsidRPr="00273106">
        <w:t xml:space="preserve">diference mezi </w:t>
      </w:r>
      <w:r>
        <w:t xml:space="preserve">prézentním </w:t>
      </w:r>
      <w:r w:rsidRPr="00273106">
        <w:t xml:space="preserve">„vidět“ a perfektním „vědět“ </w:t>
      </w:r>
      <w:r>
        <w:t>se změnila v temnou propast (</w:t>
      </w:r>
      <w:r w:rsidRPr="085340E9">
        <w:t>χάος</w:t>
      </w:r>
      <w:r>
        <w:t xml:space="preserve">) slepého akademického pseudovědění </w:t>
      </w:r>
      <w:r w:rsidRPr="003465BF">
        <w:rPr>
          <w:szCs w:val="24"/>
          <w:lang w:val="de-DE"/>
        </w:rPr>
        <w:t xml:space="preserve">(ἀπαιδευσία, </w:t>
      </w:r>
      <w:r w:rsidR="005B056F">
        <w:rPr>
          <w:i/>
          <w:szCs w:val="24"/>
          <w:lang w:val="de-DE"/>
        </w:rPr>
        <w:t>docta i</w:t>
      </w:r>
      <w:r w:rsidRPr="003465BF">
        <w:rPr>
          <w:i/>
          <w:szCs w:val="24"/>
          <w:lang w:val="de-DE"/>
        </w:rPr>
        <w:t>gnorantia</w:t>
      </w:r>
      <w:r>
        <w:rPr>
          <w:szCs w:val="24"/>
          <w:lang w:val="de-DE"/>
        </w:rPr>
        <w:t>)</w:t>
      </w:r>
      <w:r>
        <w:t xml:space="preserve">. Autoři řecké tragédie toto vědění </w:t>
      </w:r>
      <w:r w:rsidRPr="008B0C37">
        <w:t>právem považovali za démonický druh porozumění.</w:t>
      </w:r>
      <w:r>
        <w:t xml:space="preserve"> V této původní temnotě počátku dlí společně Apollon, Díké a Fúrie. Nekritické myšlení moderny propadlé Oidipovu objektivnímu komplexu nedbá na apollinská znamení a nesleduje cestu skrytého slunce, které putuje i v říši mrtvých pouze jedním směrem. Zmatená cesta moderních dvojhlavců bloudících v ideologické a mytopoetické říši moderních idolů tam i zpět způsobila tragickou a později i tragikomickou </w:t>
      </w:r>
      <w:r w:rsidRPr="00273106">
        <w:t>slepot</w:t>
      </w:r>
      <w:r>
        <w:t>u</w:t>
      </w:r>
      <w:r w:rsidRPr="00273106">
        <w:t xml:space="preserve"> </w:t>
      </w:r>
      <w:r>
        <w:t>myšlení</w:t>
      </w:r>
      <w:r w:rsidRPr="00273106">
        <w:t>.</w:t>
      </w:r>
      <w:r>
        <w:t xml:space="preserve"> O poslední jmenované dějství božské komedie se postarala scholastická a postmoderní verze Oidipova objektivního komplexu daná v modu neurotického komplexu popsaného Freudem (</w:t>
      </w:r>
      <w:r w:rsidRPr="085256D4">
        <w:rPr>
          <w:i/>
        </w:rPr>
        <w:t>Verkehrung ins Gegenteil</w:t>
      </w:r>
      <w:r>
        <w:rPr>
          <w:i/>
        </w:rPr>
        <w:fldChar w:fldCharType="begin"/>
      </w:r>
      <w:r>
        <w:instrText xml:space="preserve"> XE "</w:instrText>
      </w:r>
      <w:r w:rsidRPr="08811C8A">
        <w:rPr>
          <w:i/>
        </w:rPr>
        <w:instrText>Verkehrung ins Gegenteil</w:instrText>
      </w:r>
      <w:r>
        <w:instrText xml:space="preserve">" </w:instrText>
      </w:r>
      <w:r>
        <w:rPr>
          <w:i/>
        </w:rPr>
        <w:fldChar w:fldCharType="end"/>
      </w:r>
      <w:r>
        <w:t xml:space="preserve">). Chaotické </w:t>
      </w:r>
      <w:r w:rsidRPr="00273106">
        <w:t xml:space="preserve">poznání </w:t>
      </w:r>
      <w:r>
        <w:t xml:space="preserve">současné metafyziky a dekonstrukce </w:t>
      </w:r>
      <w:r w:rsidRPr="00273106">
        <w:t>nasvěcuje smysl jsoucna zezadu od potenciálních intelektuálních forem a nikoliv od aktuální první substance.</w:t>
      </w:r>
      <w:r>
        <w:t xml:space="preserve"> </w:t>
      </w:r>
      <w:r w:rsidRPr="004B5EC9">
        <w:t xml:space="preserve">Objektivita </w:t>
      </w:r>
      <w:r>
        <w:t>se usadila v</w:t>
      </w:r>
      <w:r w:rsidRPr="004B5EC9">
        <w:t xml:space="preserve"> tomto perverzním způsobu myšlení (παλίντροπός κέλευθος, </w:t>
      </w:r>
      <w:r w:rsidRPr="00F15523">
        <w:rPr>
          <w:i/>
        </w:rPr>
        <w:t>perversio</w:t>
      </w:r>
      <w:r w:rsidRPr="004B5EC9">
        <w:t>). Myšlení reaguje na skrytou historicitu odhalenou Defiovými věštbami tragickým, tedy démonickým způsobem.</w:t>
      </w:r>
      <w:r>
        <w:t xml:space="preserve"> Tím vznikla epocha zatmění první substance daná v linii Platona, Avicenny a Rufuse. </w:t>
      </w:r>
      <w:r w:rsidRPr="00273106">
        <w:t>Oidipův komplex produkovaný objektivní formou metafyziky nevidí ani identitu první substance, ani ipseitu osoby</w:t>
      </w:r>
      <w:r>
        <w:t>, ani správnou cestu k bohu</w:t>
      </w:r>
      <w:r w:rsidRPr="00273106">
        <w:t>.</w:t>
      </w:r>
      <w:r>
        <w:t xml:space="preserve"> Paranoia současného intelektu je v tom, že je absolutně logický a tím i absolutně správný. Tento slepý intelekt není objektivně schopen rozlišovat smysl jsoucna v metafyzické abstrakci, která dává pojetí nezastřenosti jsoucna jako pravdivé akdekvace moudrého myšlení a reálné věci. Moderní paranoia nás přivedla do posledních časů (</w:t>
      </w:r>
      <w:r w:rsidRPr="001E304C">
        <w:rPr>
          <w:i/>
        </w:rPr>
        <w:t>no</w:t>
      </w:r>
      <w:r>
        <w:rPr>
          <w:i/>
        </w:rPr>
        <w:t>viss</w:t>
      </w:r>
      <w:r w:rsidRPr="001E304C">
        <w:rPr>
          <w:i/>
        </w:rPr>
        <w:t>imum</w:t>
      </w:r>
      <w:r>
        <w:t xml:space="preserve">) </w:t>
      </w:r>
      <w:r w:rsidRPr="00F15523">
        <w:t>slepých akademických všeználků</w:t>
      </w:r>
      <w:r>
        <w:t>. Moderní ilumináti jsou oslepeni světlem jejich vlastního vědění. Toto světlo si vytvářejí sami p</w:t>
      </w:r>
      <w:r w:rsidRPr="00E8113A">
        <w:t xml:space="preserve">rostřednictvím objektivních forem, které </w:t>
      </w:r>
      <w:r>
        <w:t xml:space="preserve">tvoří </w:t>
      </w:r>
      <w:r w:rsidRPr="00E8113A">
        <w:t xml:space="preserve">znamení na chaotické cestě jejich slunečního intelektu. </w:t>
      </w:r>
      <w:r w:rsidRPr="00B02FC4">
        <w:t>Hermeneutická archeologie proto hledá skrytý původ těchto objektivních a spekulativních simulaker, který určuje nihilistickou přítomnost v modu skrytého počátku</w:t>
      </w:r>
      <w:r>
        <w:t xml:space="preserve"> </w:t>
      </w:r>
      <w:r>
        <w:rPr>
          <w:lang w:eastAsia="en-US"/>
        </w:rPr>
        <w:t>(</w:t>
      </w:r>
      <w:r>
        <w:rPr>
          <w:rStyle w:val="greek"/>
        </w:rPr>
        <w:t>ἀρχή</w:t>
      </w:r>
      <w:r>
        <w:rPr>
          <w:lang w:eastAsia="en-US"/>
        </w:rPr>
        <w:t>)</w:t>
      </w:r>
      <w:r>
        <w:t xml:space="preserve">. Ideologická tyranie </w:t>
      </w:r>
      <w:r w:rsidRPr="00273106">
        <w:t xml:space="preserve">moderny a postmoderny </w:t>
      </w:r>
      <w:r>
        <w:t xml:space="preserve">daná objektivní verzí Oidipova komplexu; proto </w:t>
      </w:r>
      <w:r w:rsidRPr="00273106">
        <w:t xml:space="preserve">symbolizuje skrytost </w:t>
      </w:r>
      <w:r>
        <w:t xml:space="preserve">bytí </w:t>
      </w:r>
      <w:r w:rsidRPr="00273106">
        <w:t xml:space="preserve">jsoucna </w:t>
      </w:r>
      <w:r>
        <w:t xml:space="preserve">pouze logicky, tedy plně </w:t>
      </w:r>
      <w:r w:rsidRPr="00273106">
        <w:t>tragi</w:t>
      </w:r>
      <w:r>
        <w:t>komickým</w:t>
      </w:r>
      <w:r w:rsidRPr="00273106">
        <w:t xml:space="preserve"> způsobem.</w:t>
      </w:r>
      <w:r>
        <w:t xml:space="preserve"> Veritativní a pozitivní vědění </w:t>
      </w:r>
      <w:r w:rsidRPr="00273106">
        <w:t xml:space="preserve">si </w:t>
      </w:r>
      <w:r>
        <w:t xml:space="preserve">je </w:t>
      </w:r>
      <w:r w:rsidRPr="00273106">
        <w:t>tak jisté samo sebou</w:t>
      </w:r>
      <w:r>
        <w:t xml:space="preserve"> v aktu narcistního a spekulativního sebekladení</w:t>
      </w:r>
      <w:r w:rsidRPr="00273106">
        <w:t>, že ne</w:t>
      </w:r>
      <w:r>
        <w:t>potřebuje vidět, jak se pro myšlení adekvátně zjevuje reálná první substance a reálná osoba</w:t>
      </w:r>
      <w:r>
        <w:t>.</w:t>
      </w:r>
    </w:p>
    <w:p w:rsidR="08E17EB8" w:rsidRPr="08B26B5A" w:rsidRDefault="08521FA4" w:rsidP="00D91B8D">
      <w:pPr>
        <w:ind w:firstLine="397"/>
      </w:pPr>
      <w:r>
        <w:t xml:space="preserve">Slepá objektivita Západu se po vzoru oslepého tyrana z Théb vydala na </w:t>
      </w:r>
      <w:r w:rsidRPr="00273106">
        <w:t xml:space="preserve">cestu myšlení </w:t>
      </w:r>
      <w:r>
        <w:t xml:space="preserve">zvanou </w:t>
      </w:r>
      <w:r w:rsidRPr="00273106">
        <w:rPr>
          <w:i/>
        </w:rPr>
        <w:t>via Modernorum</w:t>
      </w:r>
      <w:r>
        <w:rPr>
          <w:i/>
        </w:rPr>
        <w:fldChar w:fldCharType="begin"/>
      </w:r>
      <w:r>
        <w:instrText xml:space="preserve"> XE "</w:instrText>
      </w:r>
      <w:r w:rsidRPr="00ED0748">
        <w:rPr>
          <w:i/>
        </w:rPr>
        <w:instrText>via Modernorum</w:instrText>
      </w:r>
      <w:r>
        <w:instrText xml:space="preserve">" </w:instrText>
      </w:r>
      <w:r>
        <w:rPr>
          <w:i/>
        </w:rPr>
        <w:fldChar w:fldCharType="end"/>
      </w:r>
      <w:r w:rsidRPr="00273106">
        <w:t>.</w:t>
      </w:r>
      <w:r>
        <w:t xml:space="preserve"> </w:t>
      </w:r>
      <w:r w:rsidR="00B0503A" w:rsidRPr="00B0503A">
        <w:t>Moudrý slepec se stal vědoucím, opustil Théby a vydal se na cestu epochálního putování. Moderní věk ho následoval, byl také slepý a bohužel nemoudrý, protože se vydal cestou metafyzického šílenství</w:t>
      </w:r>
      <w:r w:rsidR="00B0503A">
        <w:t xml:space="preserve"> (</w:t>
      </w:r>
      <w:r w:rsidR="00B0503A" w:rsidRPr="00B0503A">
        <w:rPr>
          <w:i/>
        </w:rPr>
        <w:t>Irre</w:t>
      </w:r>
      <w:r w:rsidR="00B0503A">
        <w:t xml:space="preserve">). </w:t>
      </w:r>
      <w:r w:rsidR="007443F0">
        <w:t xml:space="preserve">Moudrý člověk po vzoru Homérova archaického svědka </w:t>
      </w:r>
      <w:r w:rsidR="007443F0" w:rsidRPr="007C69F0">
        <w:rPr>
          <w:lang w:val="de-LU"/>
        </w:rPr>
        <w:t>(ἴστωρ)</w:t>
      </w:r>
      <w:r w:rsidR="007443F0" w:rsidRPr="007C69F0">
        <w:rPr>
          <w:szCs w:val="24"/>
          <w:lang w:val="de-LU"/>
        </w:rPr>
        <w:t xml:space="preserve"> </w:t>
      </w:r>
      <w:r w:rsidR="007443F0">
        <w:t>nejprve viděl důležité děje a pak „historicky“ dosvědčil to, co předtím viděl (</w:t>
      </w:r>
      <w:r w:rsidR="007443F0" w:rsidRPr="087247FD">
        <w:rPr>
          <w:i/>
        </w:rPr>
        <w:t>Ilias</w:t>
      </w:r>
      <w:r w:rsidR="007443F0">
        <w:t xml:space="preserve"> 23.486–87</w:t>
      </w:r>
      <w:r w:rsidR="007443F0">
        <w:fldChar w:fldCharType="begin"/>
      </w:r>
      <w:r w:rsidR="007443F0">
        <w:instrText xml:space="preserve"> XE "Homer:</w:instrText>
      </w:r>
      <w:r w:rsidR="007443F0" w:rsidRPr="087247FD">
        <w:rPr>
          <w:i/>
        </w:rPr>
        <w:instrText>Ilias</w:instrText>
      </w:r>
      <w:r w:rsidR="007443F0" w:rsidRPr="082E5040">
        <w:instrText xml:space="preserve"> 23.486-87</w:instrText>
      </w:r>
      <w:r w:rsidR="007443F0">
        <w:instrText xml:space="preserve">" </w:instrText>
      </w:r>
      <w:r w:rsidR="007443F0">
        <w:fldChar w:fldCharType="end"/>
      </w:r>
      <w:r w:rsidR="007443F0">
        <w:t>). Hlupák a sofista to dělají opačně. Pak si tragicky namlouvají, že to, co falešně vědí, také vidí v r</w:t>
      </w:r>
      <w:r w:rsidR="007443F0">
        <w:t xml:space="preserve">ealitě. </w:t>
      </w:r>
      <w:r w:rsidRPr="00273106">
        <w:t xml:space="preserve">Změna </w:t>
      </w:r>
      <w:r>
        <w:t>v dějinnosti, čili v diferenci „vidění‒</w:t>
      </w:r>
      <w:r w:rsidRPr="00273106">
        <w:t>vědění</w:t>
      </w:r>
      <w:r>
        <w:t>“</w:t>
      </w:r>
      <w:r>
        <w:rPr>
          <w:i/>
        </w:rPr>
        <w:fldChar w:fldCharType="begin"/>
      </w:r>
      <w:r>
        <w:instrText xml:space="preserve"> XE "vidění:vidění/vědění" </w:instrText>
      </w:r>
      <w:r>
        <w:rPr>
          <w:i/>
        </w:rPr>
        <w:fldChar w:fldCharType="end"/>
      </w:r>
      <w:r w:rsidRPr="00273106">
        <w:t xml:space="preserve"> vyprodukovala objektivní dějiny </w:t>
      </w:r>
      <w:r w:rsidRPr="00273106">
        <w:lastRenderedPageBreak/>
        <w:t>Západu vytvořené novým subjektem.</w:t>
      </w:r>
      <w:r w:rsidRPr="08A64CF2">
        <w:t xml:space="preserve"> </w:t>
      </w:r>
      <w:r w:rsidR="00F777D7">
        <w:t xml:space="preserve">Ten si vzal za vlastní </w:t>
      </w:r>
      <w:r w:rsidR="00F777D7" w:rsidRPr="00F777D7">
        <w:t>Oidipův komplex, ale ne Oidipovu moudrost.</w:t>
      </w:r>
      <w:r w:rsidR="00F777D7">
        <w:t xml:space="preserve"> </w:t>
      </w:r>
      <w:r w:rsidRPr="00273106">
        <w:t xml:space="preserve">Po exkomunikaci prvního averroismu </w:t>
      </w:r>
      <w:r>
        <w:t xml:space="preserve">si </w:t>
      </w:r>
      <w:r w:rsidRPr="00273106">
        <w:t>myšlení vystač</w:t>
      </w:r>
      <w:r>
        <w:t xml:space="preserve">í </w:t>
      </w:r>
      <w:r w:rsidRPr="00273106">
        <w:t>s pouhým věděním</w:t>
      </w:r>
      <w:r>
        <w:t xml:space="preserve"> a přestalo vidět realitu v její původní hloubce bytí</w:t>
      </w:r>
      <w:r w:rsidRPr="00273106">
        <w:t xml:space="preserve">. </w:t>
      </w:r>
      <w:r>
        <w:t xml:space="preserve">Archaické myšlení a po něm Sokrates jako nejmoudřejší ze všech lidí tvrdí, že </w:t>
      </w:r>
      <w:r w:rsidR="00DF34F8">
        <w:t xml:space="preserve">vědení </w:t>
      </w:r>
      <w:r w:rsidRPr="00273106">
        <w:t xml:space="preserve">člověka spočívá v plnosti správného vidění, nikoliv v technokratickém vědění. </w:t>
      </w:r>
      <w:r w:rsidR="00954C84">
        <w:t>Hérodotos exaktně věděl j</w:t>
      </w:r>
      <w:r>
        <w:t>ednotu dění danou ve st</w:t>
      </w:r>
      <w:r w:rsidR="00954C84">
        <w:t>aletém konfliktu Řeků a Peršanů. V tomto bodě následoval vidění Pýthií</w:t>
      </w:r>
      <w:r>
        <w:t xml:space="preserve"> v Delfách. Hérodotos věděl, že apolinské mystérium v Delfách synopticky vidí jednotu skrytých dějů v modu pythické po</w:t>
      </w:r>
      <w:r>
        <w:noBreakHyphen/>
        <w:t>odhalenosti (</w:t>
      </w:r>
      <w:r w:rsidRPr="00086F63">
        <w:rPr>
          <w:i/>
        </w:rPr>
        <w:t>a/létheia</w:t>
      </w:r>
      <w:r>
        <w:rPr>
          <w:i/>
        </w:rPr>
        <w:fldChar w:fldCharType="begin"/>
      </w:r>
      <w:r>
        <w:instrText xml:space="preserve"> XE "</w:instrText>
      </w:r>
      <w:r w:rsidRPr="00343F8A">
        <w:rPr>
          <w:i/>
        </w:rPr>
        <w:instrText>a/létheia</w:instrText>
      </w:r>
      <w:r>
        <w:instrText xml:space="preserve">:archaická" </w:instrText>
      </w:r>
      <w:r>
        <w:rPr>
          <w:i/>
        </w:rPr>
        <w:fldChar w:fldCharType="end"/>
      </w:r>
      <w:r w:rsidR="00D91B8D">
        <w:t xml:space="preserve">). </w:t>
      </w:r>
      <w:r w:rsidR="008F2F0B" w:rsidRPr="008F2F0B">
        <w:t>První historik potvrdil splněná delfská proroctví jako historický důkaz</w:t>
      </w:r>
      <w:r w:rsidR="008F2F0B">
        <w:t xml:space="preserve"> pravdy v modu </w:t>
      </w:r>
      <w:r w:rsidR="008F2F0B">
        <w:rPr>
          <w:i/>
          <w:iCs/>
        </w:rPr>
        <w:t>alétheia</w:t>
      </w:r>
      <w:r w:rsidR="008F2F0B" w:rsidRPr="008F2F0B">
        <w:t xml:space="preserve">. </w:t>
      </w:r>
      <w:r w:rsidR="008F2F0B">
        <w:t>Ale n</w:t>
      </w:r>
      <w:r w:rsidR="008F2F0B" w:rsidRPr="008F2F0B">
        <w:t>yní se jednalo o novou formu poznání zvanou "historie", která tato proroctví apodikticky ověřovala. Totéž učinil Sókratés během svého veřejného působení v</w:t>
      </w:r>
      <w:r w:rsidR="008F2F0B">
        <w:t> </w:t>
      </w:r>
      <w:r w:rsidR="008F2F0B" w:rsidRPr="008F2F0B">
        <w:t>Athénách</w:t>
      </w:r>
      <w:r w:rsidR="008F2F0B">
        <w:t xml:space="preserve"> s ohledem na slavné orákulum Pýthie, které oznámilo pravdu jako božskou </w:t>
      </w:r>
      <w:r w:rsidR="008F2F0B" w:rsidRPr="008F2F0B">
        <w:rPr>
          <w:i/>
        </w:rPr>
        <w:t>aléth</w:t>
      </w:r>
      <w:r w:rsidR="008F2F0B">
        <w:rPr>
          <w:i/>
        </w:rPr>
        <w:t>e</w:t>
      </w:r>
      <w:r w:rsidR="008F2F0B" w:rsidRPr="008F2F0B">
        <w:rPr>
          <w:i/>
        </w:rPr>
        <w:t>ia</w:t>
      </w:r>
      <w:r w:rsidR="008F2F0B">
        <w:t xml:space="preserve"> ohledně jeho osoby. </w:t>
      </w:r>
      <w:r w:rsidRPr="00273106">
        <w:t xml:space="preserve">Tragika </w:t>
      </w:r>
      <w:r>
        <w:t>a</w:t>
      </w:r>
      <w:r w:rsidR="00A93430">
        <w:t>nti-</w:t>
      </w:r>
      <w:r>
        <w:t xml:space="preserve">historické </w:t>
      </w:r>
      <w:r w:rsidRPr="00273106">
        <w:t xml:space="preserve">moderny spočívá v tom, že objektivní vědění </w:t>
      </w:r>
      <w:r w:rsidR="003E696A">
        <w:t xml:space="preserve">nechce </w:t>
      </w:r>
      <w:r w:rsidR="003E696A" w:rsidRPr="00273106">
        <w:t>vidět</w:t>
      </w:r>
      <w:r w:rsidR="003E696A">
        <w:t xml:space="preserve"> </w:t>
      </w:r>
      <w:r w:rsidRPr="00273106">
        <w:t xml:space="preserve">nic </w:t>
      </w:r>
      <w:r w:rsidR="003E696A">
        <w:t xml:space="preserve">z </w:t>
      </w:r>
      <w:r w:rsidR="08E17EB8">
        <w:t>původní archaické pravdy</w:t>
      </w:r>
      <w:r w:rsidRPr="00273106">
        <w:t xml:space="preserve">. </w:t>
      </w:r>
      <w:r>
        <w:t>Moderna nastolená archaickým tyranem Oidipem se nechce potkat sama se sebou a s epochální odhaleností vlastního osudu</w:t>
      </w:r>
      <w:r w:rsidRPr="00273106">
        <w:t>.</w:t>
      </w:r>
      <w:r>
        <w:t xml:space="preserve"> Múzická pravda o současné epoše proto má tragický a tragikomický charakter. Věštecké synoptické vidění Kalcháse popsané Homérem v modu toho, co bylo, co je a co bude se změnilo na moderní vidění esence, která je stále přítomná ve své objektivní parousii. Moderní myšlení neodpovídá </w:t>
      </w:r>
      <w:r w:rsidR="00471D99">
        <w:t>na skrytou výzvu</w:t>
      </w:r>
      <w:r>
        <w:t xml:space="preserve"> bytí, ale upravuje si </w:t>
      </w:r>
      <w:r w:rsidR="00471D99">
        <w:t xml:space="preserve">objektivní jsoucno </w:t>
      </w:r>
      <w:r>
        <w:t>ke svému paranoickému a tragickému obrazu. A osud slepých hlupáků vždy běží nejprve v modu zapom</w:t>
      </w:r>
      <w:r w:rsidRPr="00273106">
        <w:t>nění a vytěsnění</w:t>
      </w:r>
      <w:r>
        <w:t xml:space="preserve">, dokud nepřijde tragédie a katarze. </w:t>
      </w:r>
      <w:r w:rsidR="08656CFA" w:rsidRPr="00273106">
        <w:t xml:space="preserve">Slepotu </w:t>
      </w:r>
      <w:r w:rsidR="08656CFA">
        <w:t xml:space="preserve">myšlení </w:t>
      </w:r>
      <w:r w:rsidR="08656CFA" w:rsidRPr="00273106">
        <w:t xml:space="preserve">danou skrze dějinnou </w:t>
      </w:r>
      <w:r w:rsidR="00594E30" w:rsidRPr="00594E30">
        <w:t>Léthé</w:t>
      </w:r>
      <w:r w:rsidR="00EB5FD8">
        <w:t xml:space="preserve"> prvního averroismu vystřídalo </w:t>
      </w:r>
      <w:r w:rsidR="00FA13AD">
        <w:t xml:space="preserve">subjektivní </w:t>
      </w:r>
      <w:r w:rsidR="08656CFA" w:rsidRPr="00273106">
        <w:t>vědění</w:t>
      </w:r>
      <w:r w:rsidR="00956990">
        <w:t xml:space="preserve">. Moderna sleduje vlastní znamení </w:t>
      </w:r>
      <w:r w:rsidR="08656CFA" w:rsidRPr="00273106">
        <w:t>daná objektivním pojetím smyslu jsoucího</w:t>
      </w:r>
      <w:r w:rsidR="08656CFA">
        <w:t xml:space="preserve"> v modu </w:t>
      </w:r>
      <w:r w:rsidR="08656CFA" w:rsidRPr="00B427EE">
        <w:rPr>
          <w:i/>
        </w:rPr>
        <w:t>rectitudo</w:t>
      </w:r>
      <w:r w:rsidR="08656CFA">
        <w:t xml:space="preserve"> a </w:t>
      </w:r>
      <w:r w:rsidR="08656CFA" w:rsidRPr="00B427EE">
        <w:rPr>
          <w:i/>
        </w:rPr>
        <w:t>certitudo</w:t>
      </w:r>
      <w:r w:rsidR="08656CFA" w:rsidRPr="00273106">
        <w:t xml:space="preserve">. </w:t>
      </w:r>
      <w:r w:rsidR="08656CFA">
        <w:t>T</w:t>
      </w:r>
      <w:r w:rsidR="08656CFA" w:rsidRPr="00273106">
        <w:t xml:space="preserve">ato </w:t>
      </w:r>
      <w:r w:rsidR="08656CFA">
        <w:t xml:space="preserve">objektivní </w:t>
      </w:r>
      <w:r w:rsidR="08656CFA" w:rsidRPr="00273106">
        <w:t>pravda založila dějiny moderní filosofie.</w:t>
      </w:r>
      <w:r w:rsidR="08656CFA">
        <w:t xml:space="preserve"> </w:t>
      </w:r>
      <w:r w:rsidR="00092E15" w:rsidRPr="00092E15">
        <w:t xml:space="preserve">Západní myšlení se sjednotilo s modernismem v averroistickém modu </w:t>
      </w:r>
      <w:r w:rsidR="00092E15" w:rsidRPr="00092E15">
        <w:rPr>
          <w:i/>
        </w:rPr>
        <w:t>copulatio</w:t>
      </w:r>
      <w:r w:rsidR="00092E15" w:rsidRPr="00092E15">
        <w:t xml:space="preserve">; </w:t>
      </w:r>
      <w:r w:rsidR="003A2D64" w:rsidRPr="003A2D64">
        <w:t>takto oplodněná modernita zrodi</w:t>
      </w:r>
      <w:r w:rsidR="003A2D64">
        <w:t>la a následně zabila moderního b</w:t>
      </w:r>
      <w:r w:rsidR="003A2D64" w:rsidRPr="003A2D64">
        <w:t xml:space="preserve">oha. </w:t>
      </w:r>
      <w:r w:rsidR="00092E15">
        <w:t>Po objektivní vraždě b</w:t>
      </w:r>
      <w:r w:rsidR="00092E15" w:rsidRPr="00092E15">
        <w:t>oha žijeme v epoše vlády objektivně slepého Oidipa, který svůj napoleonský komplex kapitalizuje globálně a neoliberálně.</w:t>
      </w:r>
      <w:r w:rsidR="08A7085C">
        <w:rPr>
          <w:iCs/>
        </w:rPr>
        <w:t xml:space="preserve"> </w:t>
      </w:r>
    </w:p>
    <w:p w:rsidR="00554956" w:rsidRDefault="00544079" w:rsidP="0098685E">
      <w:pPr>
        <w:ind w:firstLine="397"/>
        <w:rPr>
          <w:iCs/>
        </w:rPr>
      </w:pPr>
      <w:r w:rsidRPr="00273106">
        <w:t xml:space="preserve">Transformace </w:t>
      </w:r>
      <w:r>
        <w:t xml:space="preserve">archaického </w:t>
      </w:r>
      <w:r w:rsidRPr="00273106">
        <w:t xml:space="preserve">vidění na </w:t>
      </w:r>
      <w:r>
        <w:t xml:space="preserve">metafyzické </w:t>
      </w:r>
      <w:r w:rsidRPr="00273106">
        <w:t xml:space="preserve">vědění </w:t>
      </w:r>
      <w:r w:rsidRPr="00544079">
        <w:t>založila specifický druh metafyzického šílenství Západu (</w:t>
      </w:r>
      <w:r w:rsidRPr="00544079">
        <w:rPr>
          <w:i/>
        </w:rPr>
        <w:t>Irre</w:t>
      </w:r>
      <w:r w:rsidRPr="00544079">
        <w:t xml:space="preserve">). </w:t>
      </w:r>
      <w:r w:rsidR="00DF089C">
        <w:rPr>
          <w:iCs/>
        </w:rPr>
        <w:t xml:space="preserve">Přechod z principiálního dativu první filosofie na metafyzický dativ způsobil, že kompletně zmizelo vidění celku </w:t>
      </w:r>
      <w:r w:rsidR="00DF089C" w:rsidRPr="006E5386">
        <w:rPr>
          <w:i/>
          <w:iCs/>
        </w:rPr>
        <w:t>fýsis</w:t>
      </w:r>
      <w:r w:rsidR="00DF089C">
        <w:rPr>
          <w:iCs/>
        </w:rPr>
        <w:t xml:space="preserve"> a zůstalo pouze vědění izolované ideje nebo substance. Další epochální změna způsobila, že v objektivním dativu nakonec zmizela také aristotelská první substance. Vidění celku světa dostalo pouze subjekt-objektivní charakter, protože po zmizení archaické </w:t>
      </w:r>
      <w:r w:rsidR="00DF089C" w:rsidRPr="006E5386">
        <w:rPr>
          <w:i/>
          <w:iCs/>
        </w:rPr>
        <w:t>fýsis</w:t>
      </w:r>
      <w:r w:rsidR="00DF089C">
        <w:rPr>
          <w:iCs/>
        </w:rPr>
        <w:t xml:space="preserve"> zmizel z moderní filosofie metafyzický primát první substance. </w:t>
      </w:r>
      <w:r w:rsidR="00F66EF1" w:rsidRPr="00544079">
        <w:t xml:space="preserve">Heidegger spojil založení západní vědy a techniky s </w:t>
      </w:r>
      <w:r w:rsidR="00F66EF1" w:rsidRPr="00544079">
        <w:lastRenderedPageBreak/>
        <w:t xml:space="preserve">nihilistickou formou metafyziky. </w:t>
      </w:r>
      <w:r w:rsidR="08055EE8" w:rsidRPr="00273106">
        <w:t>Hermeneuti</w:t>
      </w:r>
      <w:r w:rsidR="00335079">
        <w:t>ka po vzoru Heideggera ukazuje</w:t>
      </w:r>
      <w:r w:rsidR="00335079" w:rsidRPr="00335079">
        <w:t>, že metafyzika objektivního Oidipova komplexu pozor</w:t>
      </w:r>
      <w:r w:rsidR="00335079">
        <w:t>uje svět stejně špatně, jako ho otroci objektivity reflektují ve svém myšlení</w:t>
      </w:r>
      <w:r w:rsidR="00335079" w:rsidRPr="00335079">
        <w:t xml:space="preserve">. </w:t>
      </w:r>
      <w:r w:rsidR="00335079">
        <w:t xml:space="preserve">Výklad </w:t>
      </w:r>
      <w:r w:rsidR="00335079" w:rsidRPr="08E1213A">
        <w:rPr>
          <w:i/>
        </w:rPr>
        <w:t>Druhých analytik</w:t>
      </w:r>
      <w:r w:rsidR="00335079">
        <w:t xml:space="preserve"> ukázal, že </w:t>
      </w:r>
      <w:r w:rsidR="00335079" w:rsidRPr="00335079">
        <w:t xml:space="preserve">specifická zaslepenost modernismu a postmodernismu </w:t>
      </w:r>
      <w:r w:rsidR="00972B4F">
        <w:t xml:space="preserve">vytvořila </w:t>
      </w:r>
      <w:r w:rsidR="005F452B">
        <w:t>chybnou reprezentaci</w:t>
      </w:r>
      <w:r w:rsidR="00335079" w:rsidRPr="00335079">
        <w:t xml:space="preserve"> světa. Aristotelská pravda jako korespondence se změnila v mytologickou reprezentaci objektivní pravdy. </w:t>
      </w:r>
      <w:r w:rsidR="08055EE8">
        <w:t>Nová podoba pravdy se manifestuje v mysli subjektu jako evidence jeho vlastní jistoty a správnosti. O</w:t>
      </w:r>
      <w:r w:rsidR="08055EE8" w:rsidRPr="00273106">
        <w:rPr>
          <w:iCs/>
        </w:rPr>
        <w:t xml:space="preserve">bjektivní </w:t>
      </w:r>
      <w:r w:rsidR="08055EE8">
        <w:rPr>
          <w:iCs/>
        </w:rPr>
        <w:t xml:space="preserve">významy nejsou primárně </w:t>
      </w:r>
      <w:r w:rsidR="08055EE8" w:rsidRPr="00273106">
        <w:rPr>
          <w:iCs/>
        </w:rPr>
        <w:t>určené vztahem k realitě, ale vztahem k</w:t>
      </w:r>
      <w:r w:rsidR="08055EE8">
        <w:rPr>
          <w:iCs/>
        </w:rPr>
        <w:t xml:space="preserve"> modernímu subjektu poznání. Supozice objektivního vědění v modu správnosti a jistoty nahradila původní impozici významu od reálné první substance predikované skrze </w:t>
      </w:r>
      <w:r w:rsidR="081942A4">
        <w:t xml:space="preserve">metafyzický </w:t>
      </w:r>
      <w:r w:rsidR="08055EE8">
        <w:rPr>
          <w:iCs/>
        </w:rPr>
        <w:t xml:space="preserve">dativ. </w:t>
      </w:r>
      <w:r w:rsidR="08521FA4">
        <w:rPr>
          <w:iCs/>
        </w:rPr>
        <w:t>Moderna vidí jen to, co dobývá a manip</w:t>
      </w:r>
      <w:r w:rsidR="000B2587">
        <w:rPr>
          <w:iCs/>
        </w:rPr>
        <w:t xml:space="preserve">uluje skrze instrumentální rozum. Tento druh slepého vědění je založen na oidipovském komplexu objektivity, která generuje moderní a zcela tragickou formu </w:t>
      </w:r>
      <w:r w:rsidR="08521FA4">
        <w:rPr>
          <w:iCs/>
        </w:rPr>
        <w:t>moc</w:t>
      </w:r>
      <w:r w:rsidR="000B2587">
        <w:rPr>
          <w:iCs/>
        </w:rPr>
        <w:t xml:space="preserve">i. </w:t>
      </w:r>
      <w:r w:rsidR="08055EE8">
        <w:rPr>
          <w:iCs/>
        </w:rPr>
        <w:t xml:space="preserve">Deontologie objektivní pravdy je dána před tragický slepý subjekt v modu </w:t>
      </w:r>
      <w:r w:rsidR="08055EE8" w:rsidRPr="085F740A">
        <w:rPr>
          <w:i/>
          <w:iCs/>
        </w:rPr>
        <w:t>Ge-Stell</w:t>
      </w:r>
      <w:r w:rsidR="08055EE8">
        <w:rPr>
          <w:i/>
          <w:iCs/>
        </w:rPr>
        <w:fldChar w:fldCharType="begin"/>
      </w:r>
      <w:r w:rsidR="08055EE8">
        <w:instrText xml:space="preserve"> XE "</w:instrText>
      </w:r>
      <w:r w:rsidR="08055EE8" w:rsidRPr="0831301B">
        <w:rPr>
          <w:i/>
          <w:iCs/>
        </w:rPr>
        <w:instrText>Ge-Stell</w:instrText>
      </w:r>
      <w:r w:rsidR="08055EE8">
        <w:instrText xml:space="preserve">" </w:instrText>
      </w:r>
      <w:r w:rsidR="08055EE8">
        <w:rPr>
          <w:i/>
          <w:iCs/>
        </w:rPr>
        <w:fldChar w:fldCharType="end"/>
      </w:r>
      <w:r w:rsidR="08055EE8">
        <w:rPr>
          <w:iCs/>
        </w:rPr>
        <w:t xml:space="preserve">. </w:t>
      </w:r>
      <w:r w:rsidR="00BC4BE0" w:rsidRPr="00BC4BE0">
        <w:t xml:space="preserve">Tragédii </w:t>
      </w:r>
      <w:r w:rsidR="00BC4BE0" w:rsidRPr="00BC4BE0">
        <w:rPr>
          <w:i/>
          <w:iCs/>
        </w:rPr>
        <w:t>Modernorum</w:t>
      </w:r>
      <w:r w:rsidR="00BC4BE0" w:rsidRPr="00BC4BE0">
        <w:t xml:space="preserve"> uvádí do pohybu instrumentální racionalita, která je ze své podstaty slepá a vychází z objektivního </w:t>
      </w:r>
      <w:r w:rsidR="00BC4BE0" w:rsidRPr="00BC4BE0">
        <w:t>Oidip</w:t>
      </w:r>
      <w:r w:rsidR="00BC4BE0">
        <w:t>ov</w:t>
      </w:r>
      <w:r w:rsidR="00BC4BE0" w:rsidRPr="00BC4BE0">
        <w:t>a</w:t>
      </w:r>
      <w:r w:rsidR="00BC4BE0">
        <w:t xml:space="preserve"> komplexu</w:t>
      </w:r>
      <w:r w:rsidR="00BC4BE0" w:rsidRPr="00BC4BE0">
        <w:t xml:space="preserve">. </w:t>
      </w:r>
      <w:r w:rsidR="00BC4BE0">
        <w:t>V epoše nazvané „</w:t>
      </w:r>
      <w:r w:rsidR="00BC4BE0" w:rsidRPr="00BC4BE0">
        <w:rPr>
          <w:i/>
          <w:iCs/>
        </w:rPr>
        <w:t>novissimum</w:t>
      </w:r>
      <w:r w:rsidR="00BC4BE0">
        <w:t xml:space="preserve">“ dostaly </w:t>
      </w:r>
      <w:r w:rsidR="00BC4BE0">
        <w:t>Eríny</w:t>
      </w:r>
      <w:r w:rsidR="00BC4BE0">
        <w:t>je</w:t>
      </w:r>
      <w:r w:rsidR="00BC4BE0">
        <w:t xml:space="preserve"> </w:t>
      </w:r>
      <w:r w:rsidR="00BC4BE0">
        <w:t xml:space="preserve">vyslané trestající bohyní Diké </w:t>
      </w:r>
      <w:r w:rsidR="00BC4BE0" w:rsidRPr="00BC4BE0">
        <w:t>su</w:t>
      </w:r>
      <w:r w:rsidR="00BC4BE0">
        <w:t>bjektivní a nihilistický charakter</w:t>
      </w:r>
      <w:r w:rsidR="00BC4BE0" w:rsidRPr="00BC4BE0">
        <w:t xml:space="preserve">. </w:t>
      </w:r>
      <w:r w:rsidR="00BC4BE0">
        <w:t>A</w:t>
      </w:r>
      <w:r w:rsidR="00346370">
        <w:t>ristotelský smysl reálného jsoucna hledaný</w:t>
      </w:r>
      <w:r w:rsidR="08163013">
        <w:t xml:space="preserve"> v první vědě </w:t>
      </w:r>
      <w:r w:rsidR="08163013" w:rsidRPr="00273106">
        <w:t xml:space="preserve">se změnil na </w:t>
      </w:r>
      <w:r w:rsidR="08163013">
        <w:t xml:space="preserve">subjektivní </w:t>
      </w:r>
      <w:r w:rsidR="08163013" w:rsidRPr="00273106">
        <w:t>d</w:t>
      </w:r>
      <w:r w:rsidR="08163013">
        <w:t>ění pravdy jako správnosti. S</w:t>
      </w:r>
      <w:r w:rsidR="08163013" w:rsidRPr="00273106">
        <w:t xml:space="preserve">mysl jsoucna je dán od </w:t>
      </w:r>
      <w:r w:rsidR="08163013">
        <w:t xml:space="preserve">demiurgického stvořitele a </w:t>
      </w:r>
      <w:r w:rsidR="08163013" w:rsidRPr="00273106">
        <w:t xml:space="preserve">v postmoderní fázi </w:t>
      </w:r>
      <w:r w:rsidR="08163013">
        <w:t xml:space="preserve">metafyzického nihilismu </w:t>
      </w:r>
      <w:r w:rsidR="08163013" w:rsidRPr="00273106">
        <w:t xml:space="preserve">už </w:t>
      </w:r>
      <w:r w:rsidR="08163013">
        <w:t xml:space="preserve">jen </w:t>
      </w:r>
      <w:r w:rsidR="08163013" w:rsidRPr="00273106">
        <w:t xml:space="preserve">od </w:t>
      </w:r>
      <w:r w:rsidR="08163013">
        <w:t xml:space="preserve">smrtelného </w:t>
      </w:r>
      <w:r w:rsidR="08163013" w:rsidRPr="00273106">
        <w:t xml:space="preserve">tvůrce. </w:t>
      </w:r>
      <w:r w:rsidR="08163013">
        <w:t xml:space="preserve">Neposlušná realita se stala čistou nahodilostí postavenou mimo věčnou a trvalou objektivní racionalitu. </w:t>
      </w:r>
      <w:r w:rsidR="00EA4BE6">
        <w:t xml:space="preserve">Proto je třeba první substanci asimilovat </w:t>
      </w:r>
      <w:r w:rsidR="00EA4BE6" w:rsidRPr="00EA4BE6">
        <w:t>v kognitivní a voluntaristické trajektorii porozumění (</w:t>
      </w:r>
      <w:r w:rsidR="00EA4BE6" w:rsidRPr="00EA4BE6">
        <w:rPr>
          <w:i/>
        </w:rPr>
        <w:t>aspectus</w:t>
      </w:r>
      <w:r w:rsidR="00EA4BE6">
        <w:t>), které vytváří moderní subjekt.</w:t>
      </w:r>
      <w:r w:rsidR="00CA7431">
        <w:t xml:space="preserve"> </w:t>
      </w:r>
      <w:r w:rsidR="08163013" w:rsidRPr="00273106">
        <w:t xml:space="preserve">Smysl jsoucna třetího druhu </w:t>
      </w:r>
      <w:r w:rsidR="08163013">
        <w:t xml:space="preserve">bytuje </w:t>
      </w:r>
      <w:r w:rsidR="08163013" w:rsidRPr="00273106">
        <w:rPr>
          <w:i/>
        </w:rPr>
        <w:t>ex nihilo</w:t>
      </w:r>
      <w:r w:rsidR="08163013">
        <w:rPr>
          <w:i/>
        </w:rPr>
        <w:fldChar w:fldCharType="begin"/>
      </w:r>
      <w:r w:rsidR="08163013">
        <w:instrText xml:space="preserve"> XE "</w:instrText>
      </w:r>
      <w:r w:rsidR="08163013" w:rsidRPr="00C72715">
        <w:rPr>
          <w:i/>
        </w:rPr>
        <w:instrText>creatio ex nihilo</w:instrText>
      </w:r>
      <w:r w:rsidR="08163013">
        <w:instrText xml:space="preserve">" </w:instrText>
      </w:r>
      <w:r w:rsidR="08163013">
        <w:rPr>
          <w:i/>
        </w:rPr>
        <w:fldChar w:fldCharType="end"/>
      </w:r>
      <w:r w:rsidR="08163013">
        <w:t xml:space="preserve">, protože má počátek pouze v neexistujícím bohu </w:t>
      </w:r>
      <w:r w:rsidR="08163013" w:rsidRPr="0899694A">
        <w:rPr>
          <w:i/>
        </w:rPr>
        <w:t>Modernorum</w:t>
      </w:r>
      <w:r w:rsidR="08163013" w:rsidRPr="00273106">
        <w:t xml:space="preserve">. Po smrti </w:t>
      </w:r>
      <w:r w:rsidR="08163013">
        <w:t xml:space="preserve">moderního </w:t>
      </w:r>
      <w:r w:rsidR="08163013" w:rsidRPr="00273106">
        <w:t>boha</w:t>
      </w:r>
      <w:r w:rsidR="08163013">
        <w:rPr>
          <w:color w:val="000000"/>
        </w:rPr>
        <w:fldChar w:fldCharType="begin"/>
      </w:r>
      <w:r w:rsidR="08163013">
        <w:instrText xml:space="preserve"> XE "smrt boha" </w:instrText>
      </w:r>
      <w:r w:rsidR="08163013">
        <w:rPr>
          <w:color w:val="000000"/>
        </w:rPr>
        <w:fldChar w:fldCharType="end"/>
      </w:r>
      <w:r w:rsidR="08163013" w:rsidRPr="00273106">
        <w:t xml:space="preserve"> v nihilistickém stádiu metafyziky </w:t>
      </w:r>
      <w:r w:rsidR="08163013">
        <w:t xml:space="preserve">garantuje </w:t>
      </w:r>
      <w:r w:rsidR="08163013" w:rsidRPr="00273106">
        <w:t>objektivní smysl jsoucna</w:t>
      </w:r>
      <w:r w:rsidR="00CA7431">
        <w:t xml:space="preserve"> po</w:t>
      </w:r>
      <w:r w:rsidR="006E1F93">
        <w:t>uze smrtelný lidský subjekt</w:t>
      </w:r>
      <w:r w:rsidR="00CA7431">
        <w:t>.</w:t>
      </w:r>
      <w:r w:rsidR="00AC656A">
        <w:t xml:space="preserve"> </w:t>
      </w:r>
      <w:r w:rsidR="00AC656A" w:rsidRPr="00AC656A">
        <w:t xml:space="preserve">Osoba již </w:t>
      </w:r>
      <w:r w:rsidR="00AC656A">
        <w:t xml:space="preserve">objektivně </w:t>
      </w:r>
      <w:r w:rsidR="00AC656A" w:rsidRPr="00AC656A">
        <w:t xml:space="preserve">neexistuje; jako první substance také zmizela, aby uvolnila místo bizarním sbírkám </w:t>
      </w:r>
      <w:r w:rsidR="00AC656A" w:rsidRPr="00AC656A">
        <w:rPr>
          <w:i/>
        </w:rPr>
        <w:t>tertium ens</w:t>
      </w:r>
      <w:r w:rsidR="00AC656A" w:rsidRPr="00AC656A">
        <w:t>.</w:t>
      </w:r>
      <w:r w:rsidR="0098685E">
        <w:rPr>
          <w:iCs/>
        </w:rPr>
        <w:t xml:space="preserve"> </w:t>
      </w:r>
      <w:r w:rsidR="002643A4" w:rsidRPr="002643A4">
        <w:t xml:space="preserve">Hermeneutika objektivity prostřednictvím analýzy moderní gigantomachie vysvětlila, proč myšlení </w:t>
      </w:r>
      <w:r w:rsidR="002643A4" w:rsidRPr="002643A4">
        <w:rPr>
          <w:i/>
        </w:rPr>
        <w:t>Modernorum</w:t>
      </w:r>
      <w:r w:rsidR="002643A4" w:rsidRPr="002643A4">
        <w:t xml:space="preserve"> otevřelo epochu m</w:t>
      </w:r>
      <w:r w:rsidR="002643A4">
        <w:t xml:space="preserve">etafyzického nihilismu. Došlo ke slepotě vůči </w:t>
      </w:r>
      <w:r w:rsidR="002643A4" w:rsidRPr="002643A4">
        <w:t xml:space="preserve">první a také </w:t>
      </w:r>
      <w:r w:rsidR="002643A4">
        <w:t xml:space="preserve">vůči </w:t>
      </w:r>
      <w:r w:rsidR="002643A4" w:rsidRPr="002643A4">
        <w:t>druhé</w:t>
      </w:r>
      <w:r w:rsidR="002643A4">
        <w:t xml:space="preserve"> substanci</w:t>
      </w:r>
      <w:r w:rsidR="002643A4" w:rsidRPr="002643A4">
        <w:t xml:space="preserve">. Ty jsou dnes dány v binární podobě. Nihilistická etapa postmodernismu začala po roce 1300, kdy došlo k rozhodujícímu zatmění klasické </w:t>
      </w:r>
      <w:r w:rsidR="002643A4" w:rsidRPr="002643A4">
        <w:lastRenderedPageBreak/>
        <w:t xml:space="preserve">metafyziky. Latinští osvícenci propadli intelektuálnímu kouzlu neoplatonismu a přijali Avicennovu metafyziku, kterou Averroes odmítl jako zásadní omyl. </w:t>
      </w:r>
      <w:r w:rsidR="00B87979" w:rsidRPr="00B87979">
        <w:t xml:space="preserve">Komentátor se </w:t>
      </w:r>
      <w:r w:rsidR="00B87979">
        <w:t>stal dvojnásobným heretikem ve f</w:t>
      </w:r>
      <w:r w:rsidR="00B87979" w:rsidRPr="00B87979">
        <w:t xml:space="preserve">alsafě a také ve scholastice. Důsledky této </w:t>
      </w:r>
      <w:r w:rsidR="00B87979" w:rsidRPr="00B87979">
        <w:rPr>
          <w:i/>
        </w:rPr>
        <w:t>fuga mundi</w:t>
      </w:r>
      <w:r w:rsidR="00B87979">
        <w:t xml:space="preserve"> byly tragické. </w:t>
      </w:r>
      <w:r w:rsidR="080277A2">
        <w:rPr>
          <w:iCs/>
        </w:rPr>
        <w:t xml:space="preserve">Filosofie přišla o pravdu jako adekvaci intelektu a reality a začala vytvářet novou formu </w:t>
      </w:r>
      <w:r w:rsidR="087E2677">
        <w:rPr>
          <w:iCs/>
        </w:rPr>
        <w:t xml:space="preserve">akademické </w:t>
      </w:r>
      <w:r w:rsidR="00CD32B7">
        <w:rPr>
          <w:iCs/>
        </w:rPr>
        <w:t>mytologie</w:t>
      </w:r>
      <w:r w:rsidR="080277A2">
        <w:rPr>
          <w:iCs/>
        </w:rPr>
        <w:t xml:space="preserve">. </w:t>
      </w:r>
      <w:r w:rsidR="004D13BF" w:rsidRPr="004D13BF">
        <w:rPr>
          <w:iCs/>
        </w:rPr>
        <w:t xml:space="preserve">Ontologické chápání moderny (Vor-blickbahn) směřuje od subjektu k jeho vlastnímu objektu, </w:t>
      </w:r>
      <w:r w:rsidR="004D13BF">
        <w:rPr>
          <w:iCs/>
        </w:rPr>
        <w:t xml:space="preserve">což </w:t>
      </w:r>
      <w:r w:rsidR="004D13BF" w:rsidRPr="004D13BF">
        <w:rPr>
          <w:iCs/>
        </w:rPr>
        <w:t xml:space="preserve">představuje moderní druh </w:t>
      </w:r>
      <w:r w:rsidR="004D13BF" w:rsidRPr="004D13BF">
        <w:rPr>
          <w:i/>
          <w:iCs/>
        </w:rPr>
        <w:t>Ge-Stell</w:t>
      </w:r>
      <w:r w:rsidR="00554956">
        <w:rPr>
          <w:iCs/>
        </w:rPr>
        <w:t>.</w:t>
      </w:r>
    </w:p>
    <w:p w:rsidR="00A95DCC" w:rsidRDefault="00593B19" w:rsidP="0098685E">
      <w:pPr>
        <w:ind w:firstLine="397"/>
        <w:rPr>
          <w:iCs/>
        </w:rPr>
      </w:pPr>
      <w:r>
        <w:rPr>
          <w:iCs/>
        </w:rPr>
        <w:t xml:space="preserve">Filosofická gigantomachie </w:t>
      </w:r>
      <w:r w:rsidR="08163013" w:rsidRPr="00273106">
        <w:rPr>
          <w:iCs/>
        </w:rPr>
        <w:t xml:space="preserve">mezi Avicennou a </w:t>
      </w:r>
      <w:r w:rsidR="08163013">
        <w:rPr>
          <w:iCs/>
        </w:rPr>
        <w:t xml:space="preserve">Averroesem o osud </w:t>
      </w:r>
      <w:r w:rsidR="08EF4308">
        <w:rPr>
          <w:iCs/>
        </w:rPr>
        <w:t xml:space="preserve">pravdivého myšlení </w:t>
      </w:r>
      <w:r>
        <w:rPr>
          <w:iCs/>
        </w:rPr>
        <w:t xml:space="preserve">zásadně poznamenala </w:t>
      </w:r>
      <w:r w:rsidR="00A705DD">
        <w:rPr>
          <w:iCs/>
        </w:rPr>
        <w:t xml:space="preserve">teologické </w:t>
      </w:r>
      <w:r>
        <w:rPr>
          <w:iCs/>
        </w:rPr>
        <w:t xml:space="preserve">dějiny </w:t>
      </w:r>
      <w:r w:rsidR="00104028">
        <w:rPr>
          <w:iCs/>
        </w:rPr>
        <w:t xml:space="preserve">křesťanského a islámského Západu. </w:t>
      </w:r>
      <w:r>
        <w:rPr>
          <w:iCs/>
        </w:rPr>
        <w:t xml:space="preserve">Reakce na vznik </w:t>
      </w:r>
      <w:r w:rsidR="08E54A91">
        <w:rPr>
          <w:iCs/>
        </w:rPr>
        <w:t>objektivity</w:t>
      </w:r>
      <w:r w:rsidR="08B72379">
        <w:rPr>
          <w:iCs/>
        </w:rPr>
        <w:t xml:space="preserve"> </w:t>
      </w:r>
      <w:r>
        <w:rPr>
          <w:iCs/>
        </w:rPr>
        <w:t xml:space="preserve">předané skrze neoplatónskou antiku byla dána v teologii skrze </w:t>
      </w:r>
      <w:r w:rsidR="08B72379">
        <w:rPr>
          <w:iCs/>
        </w:rPr>
        <w:t xml:space="preserve">dva zcela rozdílné způsoby. </w:t>
      </w:r>
      <w:r w:rsidR="08163013">
        <w:rPr>
          <w:iCs/>
        </w:rPr>
        <w:t>Islámští učenci 11. a 12. století považovali smrt boha za horší zlo než nástup avicennistické moderny</w:t>
      </w:r>
      <w:r w:rsidR="00266652">
        <w:rPr>
          <w:iCs/>
        </w:rPr>
        <w:t xml:space="preserve">; </w:t>
      </w:r>
      <w:r w:rsidR="08163013">
        <w:rPr>
          <w:iCs/>
        </w:rPr>
        <w:t>proto zničili falsafu</w:t>
      </w:r>
      <w:r>
        <w:rPr>
          <w:iCs/>
        </w:rPr>
        <w:t xml:space="preserve"> </w:t>
      </w:r>
      <w:r>
        <w:rPr>
          <w:iCs/>
        </w:rPr>
        <w:lastRenderedPageBreak/>
        <w:t>jako samostatný způsob myšlení</w:t>
      </w:r>
      <w:r w:rsidR="08163013">
        <w:rPr>
          <w:iCs/>
        </w:rPr>
        <w:t xml:space="preserve">. Jejich nekritické rozlišování nevidělo myslitelskou cestu Ibn Rušda, který nabídl minimalistické ale pravdivé myšlení boha jako aristotelské první příčiny. </w:t>
      </w:r>
      <w:r w:rsidR="08F86F53">
        <w:rPr>
          <w:iCs/>
        </w:rPr>
        <w:t>Latinský Západ nezničil filosofii, ale přeměnil ji na myto</w:t>
      </w:r>
      <w:r w:rsidR="00DB1993">
        <w:rPr>
          <w:iCs/>
        </w:rPr>
        <w:t xml:space="preserve">logickou </w:t>
      </w:r>
      <w:r w:rsidR="08F86F53">
        <w:rPr>
          <w:iCs/>
        </w:rPr>
        <w:t>spekulaci</w:t>
      </w:r>
      <w:r w:rsidR="007A3A35">
        <w:rPr>
          <w:iCs/>
        </w:rPr>
        <w:t xml:space="preserve"> </w:t>
      </w:r>
      <w:r w:rsidR="0031431A">
        <w:rPr>
          <w:iCs/>
        </w:rPr>
        <w:t xml:space="preserve">danou na základech </w:t>
      </w:r>
      <w:r w:rsidR="007A3A35">
        <w:rPr>
          <w:iCs/>
        </w:rPr>
        <w:t>moderní ontoteologie</w:t>
      </w:r>
      <w:r w:rsidR="08F86F53">
        <w:rPr>
          <w:iCs/>
        </w:rPr>
        <w:t xml:space="preserve">. </w:t>
      </w:r>
      <w:r w:rsidR="00385736">
        <w:rPr>
          <w:iCs/>
        </w:rPr>
        <w:t xml:space="preserve">Škola </w:t>
      </w:r>
      <w:r w:rsidR="00385736" w:rsidRPr="00385736">
        <w:rPr>
          <w:i/>
          <w:iCs/>
        </w:rPr>
        <w:t>sophistae Latini</w:t>
      </w:r>
      <w:r w:rsidR="00385736" w:rsidRPr="00385736">
        <w:rPr>
          <w:iCs/>
        </w:rPr>
        <w:t xml:space="preserve"> </w:t>
      </w:r>
      <w:r w:rsidR="00385736">
        <w:rPr>
          <w:iCs/>
        </w:rPr>
        <w:t xml:space="preserve">vzala prapor mytologie a zahájila </w:t>
      </w:r>
      <w:r w:rsidR="08032C3A">
        <w:rPr>
          <w:iCs/>
        </w:rPr>
        <w:t>objektivní kruciátu</w:t>
      </w:r>
      <w:r w:rsidR="00385736">
        <w:rPr>
          <w:iCs/>
        </w:rPr>
        <w:t>, aby zničila p</w:t>
      </w:r>
      <w:r w:rsidR="08032C3A">
        <w:rPr>
          <w:iCs/>
        </w:rPr>
        <w:t xml:space="preserve">ravdu Filosofa a Komentátora. </w:t>
      </w:r>
      <w:r w:rsidR="00387149" w:rsidRPr="00387149">
        <w:rPr>
          <w:iCs/>
        </w:rPr>
        <w:t>Latinští modernisté zvítězili nad prvním averroismem o dvě století později, avšak mnohem tragičtějším z</w:t>
      </w:r>
      <w:r w:rsidR="00387149">
        <w:rPr>
          <w:iCs/>
        </w:rPr>
        <w:t xml:space="preserve">působem než islámští teologové. </w:t>
      </w:r>
      <w:r w:rsidR="08163013">
        <w:rPr>
          <w:iCs/>
        </w:rPr>
        <w:t xml:space="preserve">Bůh latinských </w:t>
      </w:r>
      <w:r w:rsidR="08163013" w:rsidRPr="0818514C">
        <w:rPr>
          <w:i/>
          <w:iCs/>
        </w:rPr>
        <w:t>Modernorum</w:t>
      </w:r>
      <w:r w:rsidR="08163013">
        <w:rPr>
          <w:iCs/>
        </w:rPr>
        <w:t xml:space="preserve"> skončil jako antropologická modla, </w:t>
      </w:r>
      <w:r w:rsidR="00A95DCC">
        <w:rPr>
          <w:iCs/>
        </w:rPr>
        <w:t xml:space="preserve">která postupně přišla o všechny důvody své objektivní akademické existence. </w:t>
      </w:r>
      <w:r w:rsidR="00A95DCC">
        <w:t>Hegelova logika dějin</w:t>
      </w:r>
      <w:r w:rsidR="00A95DCC">
        <w:fldChar w:fldCharType="begin"/>
      </w:r>
      <w:r w:rsidR="00A95DCC">
        <w:instrText xml:space="preserve"> XE "</w:instrText>
      </w:r>
      <w:r w:rsidR="00A95DCC" w:rsidRPr="005851AA">
        <w:instrText>dějinnost:Hegel</w:instrText>
      </w:r>
      <w:r w:rsidR="00A95DCC">
        <w:instrText xml:space="preserve">" </w:instrText>
      </w:r>
      <w:r w:rsidR="00A95DCC">
        <w:fldChar w:fldCharType="end"/>
      </w:r>
      <w:r w:rsidR="00A95DCC">
        <w:t xml:space="preserve"> vznikla jako reakce na fatálně nemožného moderního boha a založila o</w:t>
      </w:r>
      <w:r w:rsidR="00A95DCC" w:rsidRPr="00273106">
        <w:t xml:space="preserve">bjektivní </w:t>
      </w:r>
      <w:r w:rsidR="00A95DCC">
        <w:t xml:space="preserve">vědení </w:t>
      </w:r>
      <w:r w:rsidR="00A95DCC" w:rsidRPr="00273106">
        <w:t>absolutním způsobem</w:t>
      </w:r>
      <w:r w:rsidR="00A95DCC">
        <w:t xml:space="preserve">. </w:t>
      </w:r>
      <w:r w:rsidR="08C0626C">
        <w:t xml:space="preserve">Nový druh absolutní spekulativní logiky začal stvořením pojmu </w:t>
      </w:r>
      <w:r w:rsidR="08C0626C" w:rsidRPr="08C0626C">
        <w:rPr>
          <w:i/>
        </w:rPr>
        <w:t>ex nihilo</w:t>
      </w:r>
      <w:r w:rsidR="08C0626C">
        <w:t xml:space="preserve"> a skončil u </w:t>
      </w:r>
      <w:r w:rsidR="00A7005C">
        <w:t xml:space="preserve">pojmového </w:t>
      </w:r>
      <w:r w:rsidR="08C0626C">
        <w:t xml:space="preserve">simulákra </w:t>
      </w:r>
      <w:r w:rsidR="0059393D">
        <w:t xml:space="preserve">dějin, které apokalypticky manifestují </w:t>
      </w:r>
      <w:r w:rsidR="08BB04FB">
        <w:t xml:space="preserve">na konci gnostického příběhu o </w:t>
      </w:r>
      <w:r w:rsidR="087A433F">
        <w:t xml:space="preserve">začátku a </w:t>
      </w:r>
      <w:r w:rsidR="08BB04FB">
        <w:t xml:space="preserve">konci </w:t>
      </w:r>
      <w:r w:rsidR="087A433F">
        <w:t>myšlení</w:t>
      </w:r>
      <w:r w:rsidR="08C0626C">
        <w:t xml:space="preserve">. </w:t>
      </w:r>
      <w:r w:rsidR="08163013">
        <w:t>Osvícení skrze dějinně završenou reflexi</w:t>
      </w:r>
      <w:r w:rsidR="08163013" w:rsidRPr="00273106">
        <w:t xml:space="preserve"> </w:t>
      </w:r>
      <w:r w:rsidR="08163013">
        <w:t>absolutního subjektu završuje proces tvorby smyslu</w:t>
      </w:r>
      <w:r w:rsidR="00FA2BFA">
        <w:t xml:space="preserve"> jsoucího a moderního boha</w:t>
      </w:r>
      <w:r w:rsidR="08163013">
        <w:t xml:space="preserve">, jehož </w:t>
      </w:r>
      <w:r w:rsidR="08163013" w:rsidRPr="00706C01">
        <w:rPr>
          <w:i/>
        </w:rPr>
        <w:t>logos</w:t>
      </w:r>
      <w:r w:rsidR="08163013">
        <w:t xml:space="preserve"> je daný ontologickým pohybem absolutního ducha</w:t>
      </w:r>
      <w:r w:rsidR="08163013" w:rsidRPr="00273106">
        <w:t>.</w:t>
      </w:r>
      <w:r w:rsidR="08163013">
        <w:t xml:space="preserve"> </w:t>
      </w:r>
      <w:r w:rsidR="00A95DCC">
        <w:rPr>
          <w:iCs/>
        </w:rPr>
        <w:t xml:space="preserve">Nietzsche a hegeliánská levice pak poslali Hegelem upraveného moderního boha na zasloužený odpočinek do metafyzické </w:t>
      </w:r>
      <w:r w:rsidR="00A95DCC" w:rsidRPr="00594E30">
        <w:rPr>
          <w:iCs/>
        </w:rPr>
        <w:t>Léthé</w:t>
      </w:r>
      <w:r w:rsidR="00A95DCC">
        <w:rPr>
          <w:iCs/>
        </w:rPr>
        <w:t>.</w:t>
      </w:r>
    </w:p>
    <w:p w:rsidR="00FA1F44" w:rsidRDefault="00F532E9" w:rsidP="0035052F">
      <w:pPr>
        <w:ind w:firstLine="397"/>
      </w:pPr>
      <w:r>
        <w:t>Po smrti moderního D</w:t>
      </w:r>
      <w:r w:rsidRPr="00F532E9">
        <w:t xml:space="preserve">emiurga musel být vytvořen nový druh </w:t>
      </w:r>
      <w:r w:rsidRPr="00F532E9">
        <w:rPr>
          <w:i/>
        </w:rPr>
        <w:t>Ge-Stell</w:t>
      </w:r>
      <w:r w:rsidRPr="00F532E9">
        <w:t>, aby byl zachován n</w:t>
      </w:r>
      <w:r>
        <w:t>ihilistický smysl jsoucna</w:t>
      </w:r>
      <w:r w:rsidRPr="00F532E9">
        <w:t xml:space="preserve">. Moderní </w:t>
      </w:r>
      <w:r>
        <w:t xml:space="preserve">individuum </w:t>
      </w:r>
      <w:r w:rsidRPr="00F532E9">
        <w:t>začal</w:t>
      </w:r>
      <w:r>
        <w:t>o</w:t>
      </w:r>
      <w:r w:rsidRPr="00F532E9">
        <w:t xml:space="preserve"> aktualizovat smysl dějin objektivně absolutním způsobem, aby nahradil</w:t>
      </w:r>
      <w:r>
        <w:t>o</w:t>
      </w:r>
      <w:r w:rsidRPr="00F532E9">
        <w:t xml:space="preserve"> </w:t>
      </w:r>
      <w:r w:rsidRPr="00F532E9">
        <w:rPr>
          <w:i/>
        </w:rPr>
        <w:t>horror vacui</w:t>
      </w:r>
      <w:r w:rsidRPr="00F532E9">
        <w:t xml:space="preserve"> mrtvé metafyziky novou verzí demiurgické aktivity. Teoretický intelekt byl mrtvý a jeho místo zaujala aktivní vůle k moci. </w:t>
      </w:r>
      <w:r>
        <w:t xml:space="preserve">Imperiální </w:t>
      </w:r>
      <w:r w:rsidRPr="00F532E9">
        <w:rPr>
          <w:i/>
        </w:rPr>
        <w:t>apppetitus</w:t>
      </w:r>
      <w:r>
        <w:t xml:space="preserve"> bílého muže zahájil novou etapu imperiálních válek světového charakteru, které anonymní subjekty vedou </w:t>
      </w:r>
      <w:r w:rsidRPr="00F532E9">
        <w:t>pod praporem totalitních ideologií 20. a 21. století.</w:t>
      </w:r>
      <w:r w:rsidR="005A060E">
        <w:t xml:space="preserve"> </w:t>
      </w:r>
      <w:r w:rsidR="009226E5" w:rsidRPr="009226E5">
        <w:t>V</w:t>
      </w:r>
      <w:r w:rsidR="009226E5">
        <w:t> </w:t>
      </w:r>
      <w:r w:rsidR="009226E5" w:rsidRPr="009226E5">
        <w:t>poslední</w:t>
      </w:r>
      <w:r w:rsidR="009226E5">
        <w:t xml:space="preserve">ch časech </w:t>
      </w:r>
      <w:r w:rsidR="009226E5" w:rsidRPr="009226E5">
        <w:t>se smrt objektivní filozofie stala neodvratným faktem. Je to naprogramováno v pokroku umělé inteligence. Na konci modernity tento druh inteligence vítězně pokračuje bez svého slepého a méně inteligentního tvůrce. Vytvořil objektivní třetí svět, v němž nakonec p</w:t>
      </w:r>
      <w:r w:rsidR="009226E5">
        <w:t xml:space="preserve">rohraje. V dnešní době začali Fúrie </w:t>
      </w:r>
      <w:r w:rsidR="009226E5" w:rsidRPr="009226E5">
        <w:t>ovládat uměl</w:t>
      </w:r>
      <w:r w:rsidR="009226E5">
        <w:t>ou inteligenci, aby si podmanily</w:t>
      </w:r>
      <w:r w:rsidR="009226E5" w:rsidRPr="009226E5">
        <w:t xml:space="preserve"> moderní jedince, kteří jsou svou povahou </w:t>
      </w:r>
      <w:r w:rsidR="009226E5">
        <w:t xml:space="preserve">poněkud </w:t>
      </w:r>
      <w:r w:rsidR="009226E5" w:rsidRPr="009226E5">
        <w:t xml:space="preserve">slabomyslní. Svobodní jedinci nemohou být nikdy poraženi, ale v nihilistickém počítačovém mozku již neexistují. Svoboda nemá logiku, </w:t>
      </w:r>
      <w:r w:rsidR="009226E5">
        <w:t xml:space="preserve">zatímco </w:t>
      </w:r>
      <w:r w:rsidR="009226E5" w:rsidRPr="009226E5">
        <w:t xml:space="preserve">algoritmy mají pouze logiku Antikrista. </w:t>
      </w:r>
      <w:r w:rsidR="00516C72">
        <w:t>Cesta od chybné filos</w:t>
      </w:r>
      <w:r w:rsidR="00516C72" w:rsidRPr="00516C72">
        <w:t>ofie k vítě</w:t>
      </w:r>
      <w:r w:rsidR="00DE30CA">
        <w:t xml:space="preserve">zné technologii je objektivně </w:t>
      </w:r>
      <w:r w:rsidR="00516C72" w:rsidRPr="00516C72">
        <w:t xml:space="preserve">správně </w:t>
      </w:r>
      <w:r w:rsidR="00DE30CA">
        <w:t xml:space="preserve">zahrnuta do strategie </w:t>
      </w:r>
      <w:r w:rsidR="00516C72">
        <w:t xml:space="preserve">pokroku na </w:t>
      </w:r>
      <w:proofErr w:type="gramStart"/>
      <w:r w:rsidR="00516C72" w:rsidRPr="00516C72">
        <w:rPr>
          <w:i/>
        </w:rPr>
        <w:t>via</w:t>
      </w:r>
      <w:proofErr w:type="gramEnd"/>
      <w:r w:rsidR="00516C72" w:rsidRPr="00516C72">
        <w:rPr>
          <w:i/>
        </w:rPr>
        <w:t xml:space="preserve"> Modernorum</w:t>
      </w:r>
      <w:r w:rsidR="00516C72" w:rsidRPr="00516C72">
        <w:t xml:space="preserve">. </w:t>
      </w:r>
      <w:r w:rsidR="00DE30CA" w:rsidRPr="00DE30CA">
        <w:t xml:space="preserve">Cesta technických iluminátů v převleku nihilistického neurohumanisty a technika umělé inteligence je vedena v </w:t>
      </w:r>
      <w:r w:rsidR="00DE30CA" w:rsidRPr="00DE30CA">
        <w:lastRenderedPageBreak/>
        <w:t>neurotickém módu potlačování jak</w:t>
      </w:r>
      <w:r w:rsidR="00DE30CA">
        <w:t>ékoli formy moudrosti tím, že ji</w:t>
      </w:r>
      <w:r w:rsidR="00DE30CA" w:rsidRPr="00DE30CA">
        <w:t xml:space="preserve"> mění v její opak. </w:t>
      </w:r>
      <w:r w:rsidR="008A00D5">
        <w:t xml:space="preserve">Proto je třeba v modu vítězné platonské ironie společně s Fúriemi </w:t>
      </w:r>
      <w:r w:rsidR="08DD09FF">
        <w:t xml:space="preserve">pochválit </w:t>
      </w:r>
      <w:r w:rsidR="084075D2">
        <w:t xml:space="preserve">současné vítězné formy nihilistické metafyziky za </w:t>
      </w:r>
      <w:r w:rsidR="08DD09FF">
        <w:t xml:space="preserve">tento rozhodný metodologický </w:t>
      </w:r>
      <w:r w:rsidR="08E007EC">
        <w:t xml:space="preserve">a pozitivně-vědecký </w:t>
      </w:r>
      <w:r w:rsidR="08DD09FF">
        <w:t>krok do propasti.</w:t>
      </w:r>
      <w:r w:rsidR="082E3081">
        <w:t xml:space="preserve"> </w:t>
      </w:r>
      <w:r w:rsidR="00DA66F0">
        <w:t>Pravdivé v</w:t>
      </w:r>
      <w:r w:rsidR="082E3081">
        <w:t xml:space="preserve">idění </w:t>
      </w:r>
      <w:r w:rsidR="00DA66F0">
        <w:t xml:space="preserve">světa </w:t>
      </w:r>
      <w:r w:rsidR="082E3081">
        <w:t xml:space="preserve">nelze nahradit </w:t>
      </w:r>
      <w:r w:rsidR="00DA66F0">
        <w:t xml:space="preserve">objektivním </w:t>
      </w:r>
      <w:r w:rsidR="082E3081">
        <w:t xml:space="preserve">věděním, protože poznání dané mimo realitu je samo o sobě slepé. </w:t>
      </w:r>
      <w:r w:rsidR="082E3081" w:rsidRPr="00273106">
        <w:t>Moderna s</w:t>
      </w:r>
      <w:r w:rsidR="082E3081">
        <w:t>oučasného Západu ví s jistotou karteziánského slepce, co</w:t>
      </w:r>
      <w:r w:rsidR="082E3081" w:rsidRPr="00273106">
        <w:t xml:space="preserve"> je </w:t>
      </w:r>
      <w:r w:rsidR="082E3081">
        <w:t xml:space="preserve">objektivní </w:t>
      </w:r>
      <w:r w:rsidR="082E3081" w:rsidRPr="00273106">
        <w:t xml:space="preserve">jsoucno. </w:t>
      </w:r>
      <w:r w:rsidR="082E3081">
        <w:t xml:space="preserve">Vinou Oidipova metafyzického komplexu nepotřebují současníci </w:t>
      </w:r>
      <w:r w:rsidR="082E3081" w:rsidRPr="00273106">
        <w:t>v</w:t>
      </w:r>
      <w:r w:rsidR="082E3081">
        <w:t xml:space="preserve">idět, jak se jsoucno dějinně </w:t>
      </w:r>
      <w:r w:rsidR="082E3081" w:rsidRPr="00273106">
        <w:t>zjevuje</w:t>
      </w:r>
      <w:r w:rsidR="082E3081">
        <w:t xml:space="preserve"> ve svém reálném bytí. Božská komedie </w:t>
      </w:r>
      <w:r w:rsidR="003F0DB1">
        <w:t xml:space="preserve">konečného </w:t>
      </w:r>
      <w:r w:rsidR="082E3081">
        <w:t xml:space="preserve">Oidipova putování </w:t>
      </w:r>
      <w:r w:rsidR="003F0DB1">
        <w:t xml:space="preserve">v závěru dramatu </w:t>
      </w:r>
      <w:r w:rsidR="082E3081">
        <w:t>je dána tím, že objektivně sl</w:t>
      </w:r>
      <w:r w:rsidR="00FA1F44">
        <w:t xml:space="preserve">epý akademický iluminát </w:t>
      </w:r>
      <w:r w:rsidR="082E3081">
        <w:t xml:space="preserve">vede </w:t>
      </w:r>
      <w:r w:rsidR="00FA1F44">
        <w:t xml:space="preserve">totálně slepého </w:t>
      </w:r>
      <w:r w:rsidR="082E3081">
        <w:t>technokrata</w:t>
      </w:r>
      <w:r w:rsidR="00BF6734">
        <w:t xml:space="preserve">. </w:t>
      </w:r>
    </w:p>
    <w:p w:rsidR="009B2064" w:rsidRDefault="00BF6734" w:rsidP="0035052F">
      <w:pPr>
        <w:ind w:firstLine="397"/>
        <w:rPr>
          <w:iCs/>
        </w:rPr>
      </w:pPr>
      <w:r>
        <w:rPr>
          <w:szCs w:val="14"/>
        </w:rPr>
        <w:t>F</w:t>
      </w:r>
      <w:r w:rsidR="08E90044">
        <w:rPr>
          <w:szCs w:val="14"/>
        </w:rPr>
        <w:t xml:space="preserve">ilosofie </w:t>
      </w:r>
      <w:r>
        <w:rPr>
          <w:szCs w:val="14"/>
        </w:rPr>
        <w:t xml:space="preserve">substančně pojaté </w:t>
      </w:r>
      <w:r w:rsidR="08E90044">
        <w:rPr>
          <w:szCs w:val="14"/>
        </w:rPr>
        <w:t xml:space="preserve">vůle </w:t>
      </w:r>
      <w:r>
        <w:rPr>
          <w:szCs w:val="14"/>
        </w:rPr>
        <w:t xml:space="preserve">poslala mystický </w:t>
      </w:r>
      <w:r w:rsidRPr="00BF6734">
        <w:rPr>
          <w:i/>
          <w:szCs w:val="14"/>
        </w:rPr>
        <w:t>appetitus</w:t>
      </w:r>
      <w:r>
        <w:rPr>
          <w:szCs w:val="14"/>
        </w:rPr>
        <w:t xml:space="preserve"> </w:t>
      </w:r>
      <w:r w:rsidR="08E90044">
        <w:rPr>
          <w:szCs w:val="14"/>
        </w:rPr>
        <w:t xml:space="preserve">latinského Západu </w:t>
      </w:r>
      <w:r w:rsidR="006A03E3">
        <w:rPr>
          <w:szCs w:val="14"/>
        </w:rPr>
        <w:t>na cestu Moderních zvanou</w:t>
      </w:r>
      <w:r w:rsidR="08E90044">
        <w:rPr>
          <w:szCs w:val="14"/>
        </w:rPr>
        <w:t xml:space="preserve"> </w:t>
      </w:r>
      <w:r>
        <w:rPr>
          <w:szCs w:val="14"/>
        </w:rPr>
        <w:t>„</w:t>
      </w:r>
      <w:r w:rsidR="08E90044">
        <w:rPr>
          <w:szCs w:val="14"/>
        </w:rPr>
        <w:t>kapitalismus</w:t>
      </w:r>
      <w:r>
        <w:rPr>
          <w:szCs w:val="14"/>
        </w:rPr>
        <w:t>“</w:t>
      </w:r>
      <w:r w:rsidR="08E90044">
        <w:rPr>
          <w:szCs w:val="14"/>
        </w:rPr>
        <w:t xml:space="preserve">. </w:t>
      </w:r>
      <w:r w:rsidRPr="00BF6734">
        <w:rPr>
          <w:szCs w:val="14"/>
        </w:rPr>
        <w:t>Je</w:t>
      </w:r>
      <w:r>
        <w:rPr>
          <w:szCs w:val="14"/>
        </w:rPr>
        <w:t xml:space="preserve">ho subjekt </w:t>
      </w:r>
      <w:r w:rsidRPr="00BF6734">
        <w:rPr>
          <w:szCs w:val="14"/>
        </w:rPr>
        <w:t>charakterizuje Olivi</w:t>
      </w:r>
      <w:r>
        <w:rPr>
          <w:szCs w:val="14"/>
        </w:rPr>
        <w:t>ho</w:t>
      </w:r>
      <w:r w:rsidRPr="00BF6734">
        <w:rPr>
          <w:szCs w:val="14"/>
        </w:rPr>
        <w:t xml:space="preserve"> reálné rozlišení </w:t>
      </w:r>
      <w:r w:rsidR="006A03E3">
        <w:rPr>
          <w:szCs w:val="14"/>
        </w:rPr>
        <w:t xml:space="preserve">intimní </w:t>
      </w:r>
      <w:r w:rsidRPr="00BF6734">
        <w:rPr>
          <w:szCs w:val="14"/>
        </w:rPr>
        <w:t xml:space="preserve">vůle a </w:t>
      </w:r>
      <w:r w:rsidR="00037E8F">
        <w:rPr>
          <w:szCs w:val="14"/>
        </w:rPr>
        <w:t xml:space="preserve">externího </w:t>
      </w:r>
      <w:r w:rsidRPr="00BF6734">
        <w:rPr>
          <w:szCs w:val="14"/>
        </w:rPr>
        <w:t xml:space="preserve">světa; </w:t>
      </w:r>
      <w:r w:rsidR="00037E8F">
        <w:rPr>
          <w:szCs w:val="14"/>
        </w:rPr>
        <w:t xml:space="preserve">takto určená vůle k moci </w:t>
      </w:r>
      <w:r w:rsidRPr="00BF6734">
        <w:rPr>
          <w:szCs w:val="14"/>
        </w:rPr>
        <w:t xml:space="preserve">se </w:t>
      </w:r>
      <w:r w:rsidR="00037E8F">
        <w:rPr>
          <w:szCs w:val="14"/>
        </w:rPr>
        <w:t xml:space="preserve">stala </w:t>
      </w:r>
      <w:r w:rsidRPr="00BF6734">
        <w:rPr>
          <w:szCs w:val="14"/>
        </w:rPr>
        <w:t xml:space="preserve">absolutním a intimním demiurgem objektivního bytí. Nejde o žádné rozšíření teoretického intelektu na praktický, ale o </w:t>
      </w:r>
      <w:r w:rsidR="00037E8F">
        <w:rPr>
          <w:szCs w:val="14"/>
        </w:rPr>
        <w:t xml:space="preserve">novou </w:t>
      </w:r>
      <w:r w:rsidRPr="00037E8F">
        <w:rPr>
          <w:i/>
          <w:szCs w:val="14"/>
        </w:rPr>
        <w:t>unio mystica</w:t>
      </w:r>
      <w:r w:rsidRPr="00BF6734">
        <w:rPr>
          <w:szCs w:val="14"/>
        </w:rPr>
        <w:t xml:space="preserve"> vůle </w:t>
      </w:r>
      <w:r w:rsidR="00037E8F">
        <w:rPr>
          <w:szCs w:val="14"/>
        </w:rPr>
        <w:t>k moci s </w:t>
      </w:r>
      <w:r w:rsidRPr="00BF6734">
        <w:rPr>
          <w:szCs w:val="14"/>
        </w:rPr>
        <w:t>její</w:t>
      </w:r>
      <w:r w:rsidR="00037E8F">
        <w:rPr>
          <w:szCs w:val="14"/>
        </w:rPr>
        <w:t xml:space="preserve">m </w:t>
      </w:r>
      <w:r w:rsidRPr="00BF6734">
        <w:rPr>
          <w:szCs w:val="14"/>
        </w:rPr>
        <w:t>vnitřní</w:t>
      </w:r>
      <w:r w:rsidR="00037E8F">
        <w:rPr>
          <w:szCs w:val="14"/>
        </w:rPr>
        <w:t>m</w:t>
      </w:r>
      <w:r w:rsidRPr="00BF6734">
        <w:rPr>
          <w:szCs w:val="14"/>
        </w:rPr>
        <w:t xml:space="preserve"> </w:t>
      </w:r>
      <w:r w:rsidR="00037E8F">
        <w:rPr>
          <w:szCs w:val="14"/>
        </w:rPr>
        <w:t xml:space="preserve">předmětem daným jako </w:t>
      </w:r>
      <w:r w:rsidRPr="00037E8F">
        <w:rPr>
          <w:i/>
          <w:szCs w:val="14"/>
        </w:rPr>
        <w:t xml:space="preserve">scibile, factum </w:t>
      </w:r>
      <w:r w:rsidRPr="00037E8F">
        <w:rPr>
          <w:szCs w:val="14"/>
        </w:rPr>
        <w:t>a</w:t>
      </w:r>
      <w:r w:rsidRPr="00037E8F">
        <w:rPr>
          <w:i/>
          <w:szCs w:val="14"/>
        </w:rPr>
        <w:t xml:space="preserve"> concretum</w:t>
      </w:r>
      <w:r w:rsidRPr="00BF6734">
        <w:rPr>
          <w:szCs w:val="14"/>
        </w:rPr>
        <w:t>.</w:t>
      </w:r>
      <w:r w:rsidR="00600D60">
        <w:rPr>
          <w:szCs w:val="14"/>
        </w:rPr>
        <w:t xml:space="preserve"> </w:t>
      </w:r>
      <w:r w:rsidR="00600D60" w:rsidRPr="00600D60">
        <w:rPr>
          <w:szCs w:val="14"/>
        </w:rPr>
        <w:t xml:space="preserve">Rozšíření umožnilo </w:t>
      </w:r>
      <w:r w:rsidR="00D65D5F">
        <w:rPr>
          <w:szCs w:val="14"/>
        </w:rPr>
        <w:t xml:space="preserve">teoretickému </w:t>
      </w:r>
      <w:r w:rsidR="00600D60" w:rsidRPr="00600D60">
        <w:rPr>
          <w:szCs w:val="14"/>
        </w:rPr>
        <w:t>intelektu působit v reálném světě</w:t>
      </w:r>
      <w:r w:rsidR="00D65D5F">
        <w:rPr>
          <w:szCs w:val="14"/>
        </w:rPr>
        <w:t xml:space="preserve"> jako praktický</w:t>
      </w:r>
      <w:bookmarkStart w:id="117" w:name="_GoBack"/>
      <w:bookmarkEnd w:id="117"/>
      <w:r w:rsidR="00D65D5F">
        <w:rPr>
          <w:szCs w:val="14"/>
        </w:rPr>
        <w:t xml:space="preserve"> intelekt. O</w:t>
      </w:r>
      <w:r w:rsidR="00600D60" w:rsidRPr="00600D60">
        <w:rPr>
          <w:szCs w:val="14"/>
        </w:rPr>
        <w:t>ddělení provedené novým druhem demiurgické vůle vede k vytvoření třetího světa</w:t>
      </w:r>
      <w:r w:rsidR="00600D60">
        <w:rPr>
          <w:szCs w:val="14"/>
        </w:rPr>
        <w:t xml:space="preserve"> iluzí</w:t>
      </w:r>
      <w:r w:rsidR="0012007B">
        <w:rPr>
          <w:szCs w:val="14"/>
        </w:rPr>
        <w:t xml:space="preserve">. </w:t>
      </w:r>
      <w:r w:rsidR="009221F3">
        <w:rPr>
          <w:iCs/>
        </w:rPr>
        <w:t xml:space="preserve">Z tohoto intimního </w:t>
      </w:r>
      <w:r w:rsidR="08E90044">
        <w:rPr>
          <w:iCs/>
        </w:rPr>
        <w:t>světa subjektu pobývajícího v platonské jeskyni s digitálním Eliášovým krkavcem</w:t>
      </w:r>
      <w:r w:rsidR="08E90044">
        <w:rPr>
          <w:iCs/>
        </w:rPr>
        <w:fldChar w:fldCharType="begin"/>
      </w:r>
      <w:r w:rsidR="08E90044">
        <w:instrText xml:space="preserve"> XE "</w:instrText>
      </w:r>
      <w:r w:rsidR="08E90044" w:rsidRPr="084863C7">
        <w:rPr>
          <w:iCs/>
        </w:rPr>
        <w:instrText>Eliášův krkavec</w:instrText>
      </w:r>
      <w:r w:rsidR="08E90044">
        <w:instrText xml:space="preserve">" </w:instrText>
      </w:r>
      <w:r w:rsidR="08E90044">
        <w:rPr>
          <w:iCs/>
        </w:rPr>
        <w:fldChar w:fldCharType="end"/>
      </w:r>
      <w:r w:rsidR="08E90044">
        <w:rPr>
          <w:iCs/>
        </w:rPr>
        <w:t xml:space="preserve"> se rozbíhá postmoderní nihilistický </w:t>
      </w:r>
      <w:r w:rsidR="08E90044" w:rsidRPr="00273106">
        <w:rPr>
          <w:iCs/>
        </w:rPr>
        <w:t>proces osmysl</w:t>
      </w:r>
      <w:r w:rsidR="08E90044">
        <w:rPr>
          <w:iCs/>
        </w:rPr>
        <w:t xml:space="preserve">nění </w:t>
      </w:r>
      <w:r w:rsidR="000605A9">
        <w:rPr>
          <w:iCs/>
        </w:rPr>
        <w:t xml:space="preserve">objektivního </w:t>
      </w:r>
      <w:r w:rsidR="08E90044">
        <w:rPr>
          <w:iCs/>
        </w:rPr>
        <w:t>jsoucna</w:t>
      </w:r>
      <w:r w:rsidR="08E90044" w:rsidRPr="082F71AC">
        <w:rPr>
          <w:iCs/>
        </w:rPr>
        <w:t xml:space="preserve"> </w:t>
      </w:r>
      <w:r w:rsidR="08E90044">
        <w:rPr>
          <w:iCs/>
        </w:rPr>
        <w:t>v reálném světě. Poslední epocha tragikomicky daná ve znamení Bonaventurovy numerické bestie (</w:t>
      </w:r>
      <w:r w:rsidR="08E90044" w:rsidRPr="001D3302">
        <w:rPr>
          <w:i/>
        </w:rPr>
        <w:t>in numero nominis bestiae</w:t>
      </w:r>
      <w:r w:rsidR="08E90044">
        <w:rPr>
          <w:iCs/>
        </w:rPr>
        <w:t xml:space="preserve">) provádí osmyslnění skrze asimilaci objektivních významů v modu digitálního </w:t>
      </w:r>
      <w:r w:rsidR="08E90044" w:rsidRPr="08931456">
        <w:rPr>
          <w:i/>
          <w:iCs/>
        </w:rPr>
        <w:t>coaequatio</w:t>
      </w:r>
      <w:r w:rsidR="08E90044">
        <w:rPr>
          <w:iCs/>
        </w:rPr>
        <w:t>. Celek jsoucna je tomuto subjektu p</w:t>
      </w:r>
      <w:r w:rsidR="00000B69">
        <w:rPr>
          <w:iCs/>
        </w:rPr>
        <w:t xml:space="preserve">řivlastněn v </w:t>
      </w:r>
      <w:r w:rsidR="08E90044">
        <w:rPr>
          <w:iCs/>
        </w:rPr>
        <w:t xml:space="preserve">modu objektivity dané skrze </w:t>
      </w:r>
      <w:r w:rsidR="08E90044" w:rsidRPr="00BD007B">
        <w:rPr>
          <w:i/>
          <w:iCs/>
        </w:rPr>
        <w:t>dativus possessivus</w:t>
      </w:r>
      <w:r w:rsidR="08E90044">
        <w:rPr>
          <w:i/>
          <w:iCs/>
        </w:rPr>
        <w:fldChar w:fldCharType="begin"/>
      </w:r>
      <w:r w:rsidR="08E90044">
        <w:instrText xml:space="preserve"> XE "</w:instrText>
      </w:r>
      <w:r w:rsidR="08E90044" w:rsidRPr="005F4358">
        <w:rPr>
          <w:i/>
          <w:iCs/>
        </w:rPr>
        <w:instrText>dativus possessivus</w:instrText>
      </w:r>
      <w:r w:rsidR="08E90044">
        <w:instrText xml:space="preserve">" </w:instrText>
      </w:r>
      <w:r w:rsidR="08E90044">
        <w:rPr>
          <w:i/>
          <w:iCs/>
        </w:rPr>
        <w:fldChar w:fldCharType="end"/>
      </w:r>
      <w:r w:rsidR="08E90044">
        <w:rPr>
          <w:iCs/>
        </w:rPr>
        <w:t xml:space="preserve"> a </w:t>
      </w:r>
      <w:r w:rsidR="08E90044" w:rsidRPr="00BD007B">
        <w:rPr>
          <w:i/>
          <w:iCs/>
        </w:rPr>
        <w:t>dativus auctoris</w:t>
      </w:r>
      <w:r w:rsidR="08E90044">
        <w:rPr>
          <w:i/>
          <w:iCs/>
        </w:rPr>
        <w:fldChar w:fldCharType="begin"/>
      </w:r>
      <w:r w:rsidR="08E90044">
        <w:instrText xml:space="preserve"> XE "</w:instrText>
      </w:r>
      <w:r w:rsidR="08E90044" w:rsidRPr="00B12EDD">
        <w:rPr>
          <w:i/>
          <w:iCs/>
        </w:rPr>
        <w:instrText>dativus auctoris</w:instrText>
      </w:r>
      <w:r w:rsidR="08E90044">
        <w:instrText xml:space="preserve">" </w:instrText>
      </w:r>
      <w:r w:rsidR="08E90044">
        <w:rPr>
          <w:i/>
          <w:iCs/>
        </w:rPr>
        <w:fldChar w:fldCharType="end"/>
      </w:r>
      <w:r w:rsidR="00412248">
        <w:rPr>
          <w:iCs/>
        </w:rPr>
        <w:t xml:space="preserve">. </w:t>
      </w:r>
      <w:r w:rsidR="00F4108E">
        <w:rPr>
          <w:iCs/>
        </w:rPr>
        <w:t>Jsoucno je k demiurgovi přisunuto (</w:t>
      </w:r>
      <w:r w:rsidR="00F4108E" w:rsidRPr="00F4108E">
        <w:rPr>
          <w:i/>
          <w:iCs/>
        </w:rPr>
        <w:t>Ge-Stell</w:t>
      </w:r>
      <w:r w:rsidR="00F4108E">
        <w:rPr>
          <w:iCs/>
        </w:rPr>
        <w:t xml:space="preserve">) jako </w:t>
      </w:r>
      <w:r w:rsidR="00F4108E" w:rsidRPr="00F4108E">
        <w:rPr>
          <w:i/>
          <w:iCs/>
        </w:rPr>
        <w:t>a</w:t>
      </w:r>
      <w:r w:rsidR="00F4108E" w:rsidRPr="00F4108E">
        <w:rPr>
          <w:i/>
          <w:szCs w:val="24"/>
          <w:lang w:val="de-DE"/>
        </w:rPr>
        <w:t>spectus</w:t>
      </w:r>
      <w:r w:rsidR="00F4108E">
        <w:rPr>
          <w:szCs w:val="24"/>
          <w:lang w:val="de-DE"/>
        </w:rPr>
        <w:t xml:space="preserve"> individuálně (a nikoliv osobně) svobodné vůle </w:t>
      </w:r>
      <w:r w:rsidR="00F4108E">
        <w:rPr>
          <w:iCs/>
        </w:rPr>
        <w:t>(</w:t>
      </w:r>
      <w:r w:rsidR="00F4108E" w:rsidRPr="00BD007B">
        <w:rPr>
          <w:i/>
          <w:iCs/>
        </w:rPr>
        <w:t>dativus possessivus</w:t>
      </w:r>
      <w:r w:rsidR="00F4108E">
        <w:rPr>
          <w:i/>
          <w:iCs/>
        </w:rPr>
        <w:fldChar w:fldCharType="begin"/>
      </w:r>
      <w:r w:rsidR="00F4108E">
        <w:instrText xml:space="preserve"> XE "</w:instrText>
      </w:r>
      <w:r w:rsidR="00F4108E" w:rsidRPr="005F4358">
        <w:rPr>
          <w:i/>
          <w:iCs/>
        </w:rPr>
        <w:instrText>dativus possessivus</w:instrText>
      </w:r>
      <w:r w:rsidR="00F4108E">
        <w:instrText xml:space="preserve">" </w:instrText>
      </w:r>
      <w:r w:rsidR="00F4108E">
        <w:rPr>
          <w:i/>
          <w:iCs/>
        </w:rPr>
        <w:fldChar w:fldCharType="end"/>
      </w:r>
      <w:r w:rsidR="00F4108E">
        <w:rPr>
          <w:iCs/>
        </w:rPr>
        <w:t>)</w:t>
      </w:r>
      <w:r w:rsidR="00F4108E">
        <w:rPr>
          <w:szCs w:val="24"/>
          <w:lang w:val="de-DE"/>
        </w:rPr>
        <w:t xml:space="preserve">. Tato moderní kapitalistická vůle je daná v modu </w:t>
      </w:r>
      <w:r w:rsidR="00F4108E" w:rsidRPr="00F4108E">
        <w:rPr>
          <w:i/>
          <w:szCs w:val="24"/>
          <w:lang w:val="de-DE"/>
        </w:rPr>
        <w:t>absolute</w:t>
      </w:r>
      <w:r w:rsidR="00F4108E">
        <w:rPr>
          <w:szCs w:val="24"/>
          <w:lang w:val="de-DE"/>
        </w:rPr>
        <w:t>, tedy odděleně od reálného světa (</w:t>
      </w:r>
      <w:r w:rsidR="00F4108E" w:rsidRPr="00F4108E">
        <w:rPr>
          <w:i/>
          <w:szCs w:val="24"/>
          <w:lang w:val="de-DE"/>
        </w:rPr>
        <w:t>dativus auctoris</w:t>
      </w:r>
      <w:r w:rsidR="00F4108E">
        <w:rPr>
          <w:szCs w:val="24"/>
          <w:lang w:val="de-DE"/>
        </w:rPr>
        <w:t xml:space="preserve">). Oba dativy jasně dokazují, že objektivní smysl světa je určen z </w:t>
      </w:r>
      <w:r w:rsidR="00592EA1">
        <w:rPr>
          <w:szCs w:val="24"/>
          <w:lang w:val="de-DE"/>
        </w:rPr>
        <w:t xml:space="preserve">excentrické </w:t>
      </w:r>
      <w:r w:rsidR="00F4108E">
        <w:rPr>
          <w:szCs w:val="24"/>
          <w:lang w:val="de-DE"/>
        </w:rPr>
        <w:t xml:space="preserve">pozice </w:t>
      </w:r>
      <w:r w:rsidR="00412248">
        <w:rPr>
          <w:szCs w:val="24"/>
          <w:lang w:val="de-DE"/>
        </w:rPr>
        <w:t>mo</w:t>
      </w:r>
      <w:r w:rsidR="00F4108E">
        <w:rPr>
          <w:szCs w:val="24"/>
          <w:lang w:val="de-DE"/>
        </w:rPr>
        <w:t>derního subjektu daného mimo hyparchickou kauzalitu prvních substancí</w:t>
      </w:r>
      <w:r w:rsidR="00795370">
        <w:rPr>
          <w:szCs w:val="24"/>
          <w:lang w:val="de-DE"/>
        </w:rPr>
        <w:t xml:space="preserve">. </w:t>
      </w:r>
      <w:r w:rsidR="08E90044">
        <w:rPr>
          <w:iCs/>
        </w:rPr>
        <w:t xml:space="preserve">Přivlastnění </w:t>
      </w:r>
      <w:r w:rsidR="00795370">
        <w:rPr>
          <w:iCs/>
        </w:rPr>
        <w:t xml:space="preserve">objektivního </w:t>
      </w:r>
      <w:r w:rsidR="08E90044">
        <w:rPr>
          <w:iCs/>
        </w:rPr>
        <w:t>jsoucna v tomto nihilistickém modu se děje tím, že j</w:t>
      </w:r>
      <w:r w:rsidR="08E90044" w:rsidRPr="00273106">
        <w:rPr>
          <w:iCs/>
        </w:rPr>
        <w:t xml:space="preserve">soucno </w:t>
      </w:r>
      <w:r w:rsidR="08E90044">
        <w:rPr>
          <w:iCs/>
        </w:rPr>
        <w:t>v epoše plného zatmění první substance</w:t>
      </w:r>
      <w:r w:rsidR="08E90044">
        <w:rPr>
          <w:iCs/>
        </w:rPr>
        <w:fldChar w:fldCharType="begin"/>
      </w:r>
      <w:r w:rsidR="08E90044">
        <w:instrText xml:space="preserve"> XE "</w:instrText>
      </w:r>
      <w:r w:rsidR="08E90044" w:rsidRPr="00C27681">
        <w:instrText>zatmění</w:instrText>
      </w:r>
      <w:r w:rsidR="08E90044">
        <w:instrText>:</w:instrText>
      </w:r>
      <w:r w:rsidR="08E90044" w:rsidRPr="00C27681">
        <w:instrText>substance</w:instrText>
      </w:r>
      <w:r w:rsidR="08E90044">
        <w:instrText xml:space="preserve">" </w:instrText>
      </w:r>
      <w:r w:rsidR="08E90044">
        <w:rPr>
          <w:iCs/>
        </w:rPr>
        <w:fldChar w:fldCharType="end"/>
      </w:r>
      <w:r w:rsidR="08E90044">
        <w:rPr>
          <w:iCs/>
        </w:rPr>
        <w:t xml:space="preserve"> </w:t>
      </w:r>
      <w:r w:rsidR="08E90044" w:rsidRPr="00273106">
        <w:rPr>
          <w:iCs/>
        </w:rPr>
        <w:t xml:space="preserve">je vtaženo do prostoru </w:t>
      </w:r>
      <w:r w:rsidR="08E90044">
        <w:rPr>
          <w:iCs/>
        </w:rPr>
        <w:t xml:space="preserve">voluntaristické manifestace jsoucna, které se stalo intimním vlastnictvím moderního subjektu. </w:t>
      </w:r>
      <w:r w:rsidR="005F4956">
        <w:rPr>
          <w:iCs/>
        </w:rPr>
        <w:t>D</w:t>
      </w:r>
      <w:r w:rsidR="08E90044">
        <w:rPr>
          <w:iCs/>
        </w:rPr>
        <w:t>íky globální</w:t>
      </w:r>
      <w:r w:rsidR="005F4956">
        <w:rPr>
          <w:iCs/>
        </w:rPr>
        <w:t xml:space="preserve"> formě </w:t>
      </w:r>
      <w:r w:rsidR="08E90044">
        <w:rPr>
          <w:iCs/>
        </w:rPr>
        <w:t xml:space="preserve"> </w:t>
      </w:r>
      <w:r w:rsidR="005F4956" w:rsidRPr="001C55FF">
        <w:rPr>
          <w:i/>
        </w:rPr>
        <w:t>Mobilmachung</w:t>
      </w:r>
      <w:r w:rsidR="00C528C5">
        <w:rPr>
          <w:i/>
          <w:iCs/>
        </w:rPr>
        <w:fldChar w:fldCharType="begin"/>
      </w:r>
      <w:r w:rsidR="00C528C5">
        <w:instrText xml:space="preserve"> XE "</w:instrText>
      </w:r>
      <w:r w:rsidR="00C528C5" w:rsidRPr="001C55FF">
        <w:rPr>
          <w:i/>
        </w:rPr>
        <w:instrText>Mobilmachung</w:instrText>
      </w:r>
      <w:r w:rsidR="00C528C5">
        <w:instrText xml:space="preserve">" </w:instrText>
      </w:r>
      <w:r w:rsidR="00C528C5">
        <w:rPr>
          <w:i/>
          <w:iCs/>
        </w:rPr>
        <w:fldChar w:fldCharType="end"/>
      </w:r>
      <w:r w:rsidR="08E90044">
        <w:rPr>
          <w:iCs/>
        </w:rPr>
        <w:t xml:space="preserve"> objektivních </w:t>
      </w:r>
      <w:r w:rsidR="08E90044">
        <w:rPr>
          <w:iCs/>
        </w:rPr>
        <w:lastRenderedPageBreak/>
        <w:t xml:space="preserve">materiálních a lidských zdrojů </w:t>
      </w:r>
      <w:r w:rsidR="005F4956">
        <w:rPr>
          <w:iCs/>
        </w:rPr>
        <w:t>může kapitalistický demiurg produkovat</w:t>
      </w:r>
      <w:r w:rsidR="08E90044">
        <w:rPr>
          <w:iCs/>
        </w:rPr>
        <w:t xml:space="preserve"> </w:t>
      </w:r>
      <w:r w:rsidR="003A4432">
        <w:rPr>
          <w:iCs/>
        </w:rPr>
        <w:t xml:space="preserve">objektivní </w:t>
      </w:r>
      <w:r w:rsidR="08E90044" w:rsidRPr="001106FE">
        <w:rPr>
          <w:i/>
          <w:iCs/>
        </w:rPr>
        <w:t>scibil</w:t>
      </w:r>
      <w:r w:rsidR="003A4432">
        <w:rPr>
          <w:i/>
          <w:iCs/>
        </w:rPr>
        <w:t>ia</w:t>
      </w:r>
      <w:r w:rsidR="08E90044">
        <w:rPr>
          <w:iCs/>
        </w:rPr>
        <w:t xml:space="preserve"> v neustále nové podobě. </w:t>
      </w:r>
      <w:r w:rsidR="00E34307">
        <w:rPr>
          <w:iCs/>
        </w:rPr>
        <w:t xml:space="preserve">Tato produkce </w:t>
      </w:r>
      <w:r w:rsidR="00E34307" w:rsidRPr="00E34307">
        <w:rPr>
          <w:i/>
          <w:iCs/>
        </w:rPr>
        <w:t>tertium ens</w:t>
      </w:r>
      <w:r w:rsidR="00E34307">
        <w:rPr>
          <w:iCs/>
        </w:rPr>
        <w:t xml:space="preserve"> dala </w:t>
      </w:r>
      <w:r w:rsidR="08E90044">
        <w:rPr>
          <w:iCs/>
        </w:rPr>
        <w:t xml:space="preserve">kapitalismu </w:t>
      </w:r>
      <w:r w:rsidR="0013191F">
        <w:rPr>
          <w:iCs/>
        </w:rPr>
        <w:t xml:space="preserve">současný </w:t>
      </w:r>
      <w:r w:rsidR="00096453">
        <w:rPr>
          <w:iCs/>
        </w:rPr>
        <w:t xml:space="preserve">excentrický </w:t>
      </w:r>
      <w:r w:rsidR="08E90044">
        <w:rPr>
          <w:iCs/>
        </w:rPr>
        <w:t xml:space="preserve">charakter </w:t>
      </w:r>
      <w:r w:rsidR="0013191F">
        <w:rPr>
          <w:iCs/>
        </w:rPr>
        <w:t xml:space="preserve">založený na </w:t>
      </w:r>
      <w:r w:rsidR="08E90044">
        <w:rPr>
          <w:iCs/>
        </w:rPr>
        <w:t>fetišistické</w:t>
      </w:r>
      <w:r w:rsidR="0013191F">
        <w:rPr>
          <w:iCs/>
        </w:rPr>
        <w:t xml:space="preserve">m charakteru zboží a kapitálu </w:t>
      </w:r>
      <w:r w:rsidR="003234D7">
        <w:rPr>
          <w:iCs/>
        </w:rPr>
        <w:t>(K. Marx</w:t>
      </w:r>
      <w:r w:rsidR="0013191F">
        <w:rPr>
          <w:szCs w:val="24"/>
          <w:lang w:val="de-DE"/>
        </w:rPr>
        <w:fldChar w:fldCharType="begin"/>
      </w:r>
      <w:r w:rsidR="0013191F">
        <w:instrText xml:space="preserve"> XE "</w:instrText>
      </w:r>
      <w:r w:rsidR="0013191F" w:rsidRPr="00D63FFD">
        <w:rPr>
          <w:szCs w:val="24"/>
          <w:lang w:val="de-DE"/>
        </w:rPr>
        <w:instrText>Marx, K.</w:instrText>
      </w:r>
      <w:r w:rsidR="0013191F">
        <w:instrText xml:space="preserve">" </w:instrText>
      </w:r>
      <w:r w:rsidR="0013191F">
        <w:rPr>
          <w:szCs w:val="24"/>
          <w:lang w:val="de-DE"/>
        </w:rPr>
        <w:fldChar w:fldCharType="end"/>
      </w:r>
      <w:r w:rsidR="003234D7">
        <w:rPr>
          <w:iCs/>
        </w:rPr>
        <w:t>)</w:t>
      </w:r>
      <w:r w:rsidR="00C010FE">
        <w:rPr>
          <w:iCs/>
        </w:rPr>
        <w:t xml:space="preserve">. </w:t>
      </w:r>
      <w:r w:rsidR="08E90044">
        <w:t>Metafyzika k</w:t>
      </w:r>
      <w:r w:rsidR="0020681B">
        <w:t>apitalismu ukázala hermeneutický způsob,</w:t>
      </w:r>
      <w:r w:rsidR="08E90044">
        <w:t xml:space="preserve"> „jak“ (</w:t>
      </w:r>
      <w:r w:rsidR="08E90044" w:rsidRPr="00265581">
        <w:rPr>
          <w:i/>
        </w:rPr>
        <w:t>Wie</w:t>
      </w:r>
      <w:r w:rsidR="08E90044">
        <w:rPr>
          <w:i/>
        </w:rPr>
        <w:fldChar w:fldCharType="begin"/>
      </w:r>
      <w:r w:rsidR="08E90044">
        <w:instrText xml:space="preserve"> XE "hermeneutické </w:instrText>
      </w:r>
      <w:r w:rsidR="08E90044" w:rsidRPr="00E47430">
        <w:rPr>
          <w:i/>
        </w:rPr>
        <w:instrText>Wie</w:instrText>
      </w:r>
      <w:r w:rsidR="08E90044" w:rsidRPr="00265581">
        <w:instrText>:kapitalismus</w:instrText>
      </w:r>
      <w:r w:rsidR="08E90044">
        <w:instrText xml:space="preserve">" </w:instrText>
      </w:r>
      <w:r w:rsidR="08E90044">
        <w:rPr>
          <w:i/>
        </w:rPr>
        <w:fldChar w:fldCharType="end"/>
      </w:r>
      <w:r w:rsidR="08E90044">
        <w:t>) demiurgická vůle a její sekulární akt vyvolení (</w:t>
      </w:r>
      <w:r w:rsidR="08E90044" w:rsidRPr="00892D72">
        <w:rPr>
          <w:i/>
        </w:rPr>
        <w:t>electio</w:t>
      </w:r>
      <w:r w:rsidR="08E90044">
        <w:t xml:space="preserve">) vytvořil epochu </w:t>
      </w:r>
      <w:r w:rsidR="08E90044">
        <w:rPr>
          <w:iCs/>
        </w:rPr>
        <w:t xml:space="preserve">novověké vědecko-technické produkce dané v kapitalismu </w:t>
      </w:r>
      <w:r w:rsidR="08E90044" w:rsidRPr="00273106">
        <w:rPr>
          <w:iCs/>
        </w:rPr>
        <w:t>(</w:t>
      </w:r>
      <w:r w:rsidR="08E90044" w:rsidRPr="00273106">
        <w:rPr>
          <w:i/>
          <w:iCs/>
        </w:rPr>
        <w:t>dativus instrumenti</w:t>
      </w:r>
      <w:r w:rsidR="08E90044">
        <w:rPr>
          <w:i/>
          <w:iCs/>
        </w:rPr>
        <w:fldChar w:fldCharType="begin"/>
      </w:r>
      <w:r w:rsidR="08E90044">
        <w:instrText xml:space="preserve"> XE "</w:instrText>
      </w:r>
      <w:r w:rsidR="08E90044" w:rsidRPr="00BD4DF9">
        <w:rPr>
          <w:i/>
          <w:iCs/>
        </w:rPr>
        <w:instrText>dativus instrumenti</w:instrText>
      </w:r>
      <w:r w:rsidR="08E90044">
        <w:instrText xml:space="preserve">" </w:instrText>
      </w:r>
      <w:r w:rsidR="08E90044">
        <w:rPr>
          <w:i/>
          <w:iCs/>
        </w:rPr>
        <w:fldChar w:fldCharType="end"/>
      </w:r>
      <w:r w:rsidR="08E90044" w:rsidRPr="00273106">
        <w:rPr>
          <w:iCs/>
        </w:rPr>
        <w:t>)</w:t>
      </w:r>
      <w:r w:rsidR="0035052F">
        <w:rPr>
          <w:iCs/>
        </w:rPr>
        <w:t xml:space="preserve">. </w:t>
      </w:r>
      <w:r w:rsidR="0035052F">
        <w:t xml:space="preserve">Nihilistická forma </w:t>
      </w:r>
      <w:r w:rsidR="08E90044">
        <w:t xml:space="preserve">vůle </w:t>
      </w:r>
      <w:r w:rsidR="0035052F">
        <w:t xml:space="preserve">je spojena se </w:t>
      </w:r>
      <w:r w:rsidR="08E90044">
        <w:t>zatmění</w:t>
      </w:r>
      <w:r w:rsidR="0035052F">
        <w:t xml:space="preserve">m první </w:t>
      </w:r>
      <w:r w:rsidR="08E90044">
        <w:t>substance</w:t>
      </w:r>
      <w:r w:rsidR="0035052F">
        <w:t>. Tato událost vázaná na stav samotného bytí (</w:t>
      </w:r>
      <w:r w:rsidR="0035052F" w:rsidRPr="0035052F">
        <w:rPr>
          <w:i/>
        </w:rPr>
        <w:t>Ereignis</w:t>
      </w:r>
      <w:r w:rsidR="0035052F">
        <w:t xml:space="preserve">) </w:t>
      </w:r>
      <w:r w:rsidR="08E90044">
        <w:t>vedl</w:t>
      </w:r>
      <w:r w:rsidR="0035052F">
        <w:t>a</w:t>
      </w:r>
      <w:r w:rsidR="08E90044">
        <w:t xml:space="preserve"> k vytvoření systému, který </w:t>
      </w:r>
      <w:r w:rsidR="08E90044" w:rsidRPr="00273106">
        <w:rPr>
          <w:iCs/>
        </w:rPr>
        <w:t>ničí člověka ve světových válkách</w:t>
      </w:r>
      <w:r w:rsidR="008768F5">
        <w:rPr>
          <w:iCs/>
        </w:rPr>
        <w:t>:</w:t>
      </w:r>
      <w:r w:rsidR="08E90044" w:rsidRPr="00273106">
        <w:rPr>
          <w:iCs/>
        </w:rPr>
        <w:t xml:space="preserve"> skrze objektivismus, instrumentální racionalitu, nihilismus techniky a vulgární ekonomismus současného korporátního fašismu (</w:t>
      </w:r>
      <w:r w:rsidR="08E90044" w:rsidRPr="00273106">
        <w:rPr>
          <w:i/>
          <w:iCs/>
        </w:rPr>
        <w:t>dativus ethicus</w:t>
      </w:r>
      <w:r w:rsidR="08E90044">
        <w:rPr>
          <w:i/>
          <w:iCs/>
        </w:rPr>
        <w:fldChar w:fldCharType="begin"/>
      </w:r>
      <w:r w:rsidR="08E90044">
        <w:instrText xml:space="preserve"> XE "</w:instrText>
      </w:r>
      <w:r w:rsidR="08E90044" w:rsidRPr="00945F2F">
        <w:rPr>
          <w:i/>
          <w:iCs/>
        </w:rPr>
        <w:instrText>dativus ethicus</w:instrText>
      </w:r>
      <w:r w:rsidR="08E90044">
        <w:instrText xml:space="preserve">" </w:instrText>
      </w:r>
      <w:r w:rsidR="08E90044">
        <w:rPr>
          <w:i/>
          <w:iCs/>
        </w:rPr>
        <w:fldChar w:fldCharType="end"/>
      </w:r>
      <w:r w:rsidR="08E90044" w:rsidRPr="00273106">
        <w:rPr>
          <w:iCs/>
        </w:rPr>
        <w:t>).</w:t>
      </w:r>
    </w:p>
    <w:p w:rsidR="001C72B2" w:rsidRDefault="009B2064" w:rsidP="001C72B2">
      <w:pPr>
        <w:ind w:firstLine="397"/>
        <w:rPr>
          <w:iCs/>
        </w:rPr>
      </w:pPr>
      <w:r w:rsidRPr="009B2064">
        <w:rPr>
          <w:iCs/>
        </w:rPr>
        <w:t xml:space="preserve">Archaická hermeneutika se řídí pythickým čtením moderního orákula ukrytého v cloudových databázích. </w:t>
      </w:r>
      <w:r>
        <w:rPr>
          <w:iCs/>
        </w:rPr>
        <w:t>Ty o</w:t>
      </w:r>
      <w:r w:rsidRPr="009B2064">
        <w:rPr>
          <w:iCs/>
        </w:rPr>
        <w:t>dhalují tragickou, a proto božskou souvislost s počátkem modernit</w:t>
      </w:r>
      <w:r>
        <w:rPr>
          <w:iCs/>
        </w:rPr>
        <w:t xml:space="preserve">y. Od 12. století si akademické Fúrie </w:t>
      </w:r>
      <w:r w:rsidRPr="009B2064">
        <w:rPr>
          <w:iCs/>
        </w:rPr>
        <w:t>osvojil</w:t>
      </w:r>
      <w:r>
        <w:rPr>
          <w:iCs/>
        </w:rPr>
        <w:t>y</w:t>
      </w:r>
      <w:r w:rsidRPr="009B2064">
        <w:rPr>
          <w:iCs/>
        </w:rPr>
        <w:t xml:space="preserve"> informatiku založenou na prvních verzích</w:t>
      </w:r>
      <w:r>
        <w:rPr>
          <w:iCs/>
        </w:rPr>
        <w:t xml:space="preserve"> </w:t>
      </w:r>
      <w:r w:rsidRPr="009B2064">
        <w:rPr>
          <w:i/>
          <w:iCs/>
        </w:rPr>
        <w:t>Oxfordian Fall</w:t>
      </w:r>
      <w:r>
        <w:rPr>
          <w:i/>
          <w:iCs/>
        </w:rPr>
        <w:t>a</w:t>
      </w:r>
      <w:r w:rsidRPr="009B2064">
        <w:rPr>
          <w:i/>
          <w:iCs/>
        </w:rPr>
        <w:t>cy</w:t>
      </w:r>
      <w:r w:rsidRPr="009B2064">
        <w:rPr>
          <w:iCs/>
        </w:rPr>
        <w:t>, kter</w:t>
      </w:r>
      <w:r>
        <w:rPr>
          <w:iCs/>
        </w:rPr>
        <w:t xml:space="preserve">ou vytvořily školy porretánů a </w:t>
      </w:r>
      <w:r w:rsidRPr="009B2064">
        <w:rPr>
          <w:i/>
          <w:iCs/>
        </w:rPr>
        <w:t>Nominales</w:t>
      </w:r>
      <w:r>
        <w:rPr>
          <w:iCs/>
        </w:rPr>
        <w:t xml:space="preserve">. </w:t>
      </w:r>
      <w:r w:rsidR="08E90044">
        <w:rPr>
          <w:iCs/>
        </w:rPr>
        <w:t xml:space="preserve">Popsané aspekty demiurgické vůle a chtivosti vytvářejí sekulární </w:t>
      </w:r>
      <w:r w:rsidR="08E90044" w:rsidRPr="00923786">
        <w:rPr>
          <w:i/>
          <w:iCs/>
        </w:rPr>
        <w:t>religio</w:t>
      </w:r>
      <w:r w:rsidR="08E90044">
        <w:rPr>
          <w:i/>
          <w:iCs/>
        </w:rPr>
        <w:fldChar w:fldCharType="begin"/>
      </w:r>
      <w:r w:rsidR="08E90044">
        <w:instrText xml:space="preserve"> XE "objektivita:</w:instrText>
      </w:r>
      <w:r w:rsidR="08E90044" w:rsidRPr="005413C9">
        <w:rPr>
          <w:i/>
          <w:iCs/>
        </w:rPr>
        <w:instrText>religio</w:instrText>
      </w:r>
      <w:r w:rsidR="08E90044">
        <w:instrText xml:space="preserve">" </w:instrText>
      </w:r>
      <w:r w:rsidR="08E90044">
        <w:rPr>
          <w:i/>
          <w:iCs/>
        </w:rPr>
        <w:fldChar w:fldCharType="end"/>
      </w:r>
      <w:r w:rsidR="08E90044">
        <w:rPr>
          <w:iCs/>
        </w:rPr>
        <w:t xml:space="preserve"> současné epochy. Skrze objektivní působení dějin moderny nás spojují s jejím počátkem u moderního Bonaventury a Oliviho (</w:t>
      </w:r>
      <w:r w:rsidR="08E90044" w:rsidRPr="006B2807">
        <w:rPr>
          <w:i/>
          <w:iCs/>
        </w:rPr>
        <w:t>religare</w:t>
      </w:r>
      <w:r w:rsidR="08E90044">
        <w:rPr>
          <w:iCs/>
        </w:rPr>
        <w:t xml:space="preserve">). Odkrytí múzické podoby </w:t>
      </w:r>
      <w:r w:rsidR="08E90044" w:rsidRPr="08C137EC">
        <w:rPr>
          <w:i/>
          <w:iCs/>
        </w:rPr>
        <w:t>alétheia</w:t>
      </w:r>
      <w:r w:rsidR="08E90044">
        <w:rPr>
          <w:iCs/>
        </w:rPr>
        <w:t xml:space="preserve">  umožňuje kritickou a hermeneutickou četbu moderny (</w:t>
      </w:r>
      <w:r w:rsidR="08E90044" w:rsidRPr="006B2807">
        <w:rPr>
          <w:i/>
          <w:iCs/>
        </w:rPr>
        <w:t>relegere</w:t>
      </w:r>
      <w:r w:rsidR="08E90044">
        <w:rPr>
          <w:iCs/>
        </w:rPr>
        <w:t>).</w:t>
      </w:r>
      <w:r w:rsidR="08E90044" w:rsidRPr="08D86A26">
        <w:rPr>
          <w:iCs/>
        </w:rPr>
        <w:t xml:space="preserve"> </w:t>
      </w:r>
      <w:r w:rsidR="08E90044">
        <w:rPr>
          <w:iCs/>
        </w:rPr>
        <w:t xml:space="preserve">Podívejme se </w:t>
      </w:r>
      <w:r w:rsidR="005B0D8D">
        <w:rPr>
          <w:iCs/>
        </w:rPr>
        <w:t xml:space="preserve">ještě jednou </w:t>
      </w:r>
      <w:r w:rsidR="08E90044">
        <w:rPr>
          <w:iCs/>
        </w:rPr>
        <w:t>na hlavní mody postkapitalistické produkce smyslu jsoucna ve věku metafyzického nihilismu</w:t>
      </w:r>
      <w:r w:rsidR="08E90044">
        <w:rPr>
          <w:iCs/>
        </w:rPr>
        <w:fldChar w:fldCharType="begin"/>
      </w:r>
      <w:r w:rsidR="08E90044">
        <w:instrText xml:space="preserve"> XE "</w:instrText>
      </w:r>
      <w:r w:rsidR="08E90044" w:rsidRPr="00A35E95">
        <w:instrText>objektivita:kapitalismus</w:instrText>
      </w:r>
      <w:r w:rsidR="08E90044">
        <w:instrText xml:space="preserve">" </w:instrText>
      </w:r>
      <w:r w:rsidR="08E90044">
        <w:rPr>
          <w:iCs/>
        </w:rPr>
        <w:fldChar w:fldCharType="end"/>
      </w:r>
      <w:r w:rsidR="08E90044">
        <w:rPr>
          <w:iCs/>
        </w:rPr>
        <w:t>.</w:t>
      </w:r>
    </w:p>
    <w:p w:rsidR="001C72B2" w:rsidRDefault="00BA214C" w:rsidP="001C72B2">
      <w:pPr>
        <w:numPr>
          <w:ilvl w:val="0"/>
          <w:numId w:val="14"/>
        </w:numPr>
        <w:rPr>
          <w:iCs/>
        </w:rPr>
      </w:pPr>
      <w:r>
        <w:rPr>
          <w:iCs/>
        </w:rPr>
        <w:t>Produkce se děje v režimu porretánského „</w:t>
      </w:r>
      <w:r w:rsidRPr="00BA214C">
        <w:rPr>
          <w:i/>
          <w:iCs/>
        </w:rPr>
        <w:t>exsistere</w:t>
      </w:r>
      <w:r>
        <w:rPr>
          <w:iCs/>
        </w:rPr>
        <w:t xml:space="preserve">“; tím </w:t>
      </w:r>
      <w:r w:rsidRPr="00BA214C">
        <w:rPr>
          <w:iCs/>
        </w:rPr>
        <w:t xml:space="preserve">dává kapitálu primární mýtickou autoritu založenou na </w:t>
      </w:r>
      <w:r>
        <w:rPr>
          <w:iCs/>
        </w:rPr>
        <w:t xml:space="preserve">ideologii permanentního </w:t>
      </w:r>
      <w:r w:rsidRPr="00BA214C">
        <w:rPr>
          <w:iCs/>
        </w:rPr>
        <w:t>růstu (</w:t>
      </w:r>
      <w:r w:rsidRPr="00BA214C">
        <w:rPr>
          <w:i/>
          <w:iCs/>
        </w:rPr>
        <w:t>augere</w:t>
      </w:r>
      <w:r w:rsidRPr="00BA214C">
        <w:rPr>
          <w:iCs/>
        </w:rPr>
        <w:t xml:space="preserve">). Kapitál </w:t>
      </w:r>
      <w:r w:rsidR="001C72B2">
        <w:rPr>
          <w:iCs/>
        </w:rPr>
        <w:t>jako nový druh druhé kategoriální</w:t>
      </w:r>
      <w:r w:rsidRPr="00BA214C">
        <w:rPr>
          <w:iCs/>
        </w:rPr>
        <w:t xml:space="preserve"> substance se stal nejvíce expandujícím </w:t>
      </w:r>
      <w:r w:rsidRPr="001C72B2">
        <w:rPr>
          <w:i/>
          <w:iCs/>
        </w:rPr>
        <w:t>tertium ens</w:t>
      </w:r>
      <w:r w:rsidRPr="00BA214C">
        <w:rPr>
          <w:iCs/>
        </w:rPr>
        <w:t xml:space="preserve">; proto kapitál působí jako základ imperialistické verze </w:t>
      </w:r>
      <w:r w:rsidRPr="001C72B2">
        <w:rPr>
          <w:i/>
          <w:iCs/>
        </w:rPr>
        <w:t>dativus possessivus</w:t>
      </w:r>
      <w:r w:rsidRPr="00BA214C">
        <w:rPr>
          <w:iCs/>
        </w:rPr>
        <w:t>.</w:t>
      </w:r>
    </w:p>
    <w:p w:rsidR="000D0945" w:rsidRDefault="00BA214C" w:rsidP="000D0945">
      <w:pPr>
        <w:numPr>
          <w:ilvl w:val="0"/>
          <w:numId w:val="14"/>
        </w:numPr>
        <w:rPr>
          <w:iCs/>
        </w:rPr>
      </w:pPr>
      <w:r w:rsidRPr="001C72B2">
        <w:rPr>
          <w:iCs/>
        </w:rPr>
        <w:t xml:space="preserve">Mytologický základ kapitálu je maskován objektivní povahou vědeckého poznání vytvořeného v rámci </w:t>
      </w:r>
      <w:r w:rsidRPr="001C72B2">
        <w:rPr>
          <w:i/>
          <w:iCs/>
        </w:rPr>
        <w:t>Oxfordian Fallacy</w:t>
      </w:r>
      <w:r w:rsidRPr="001C72B2">
        <w:rPr>
          <w:iCs/>
        </w:rPr>
        <w:t xml:space="preserve">. Objektivní věda založená na moderní logice Antikrista vytváří objektivní </w:t>
      </w:r>
      <w:r w:rsidR="000D0945">
        <w:rPr>
          <w:iCs/>
        </w:rPr>
        <w:t>diakosmos</w:t>
      </w:r>
      <w:r w:rsidRPr="001C72B2">
        <w:rPr>
          <w:iCs/>
        </w:rPr>
        <w:t>, který umožňuje expanzi kapitálu. Proto se kapitál maskovaný jako techno-věda stal vlastním subjektem nihilistického kapitalismu (</w:t>
      </w:r>
      <w:r w:rsidRPr="000D0945">
        <w:rPr>
          <w:i/>
          <w:iCs/>
        </w:rPr>
        <w:t>dativus auctoris</w:t>
      </w:r>
      <w:r w:rsidR="000D0945">
        <w:rPr>
          <w:iCs/>
        </w:rPr>
        <w:t>).</w:t>
      </w:r>
    </w:p>
    <w:p w:rsidR="000D0945" w:rsidRDefault="00BA214C" w:rsidP="000D0945">
      <w:pPr>
        <w:numPr>
          <w:ilvl w:val="0"/>
          <w:numId w:val="14"/>
        </w:numPr>
        <w:rPr>
          <w:iCs/>
        </w:rPr>
      </w:pPr>
      <w:r w:rsidRPr="000D0945">
        <w:rPr>
          <w:iCs/>
        </w:rPr>
        <w:lastRenderedPageBreak/>
        <w:t>Moderní vědění se stalo mocí; zdroj této moci není v objektivním vědění samém, nýbrž v kapitálu jako příčině a subjektu vědy. Matematicky aplikovaná věda zajišťuje logickou neomylnost nihilistické produkce virtuálních dluhů. Tato produkce digitalizo</w:t>
      </w:r>
      <w:r w:rsidR="000D0945">
        <w:rPr>
          <w:iCs/>
        </w:rPr>
        <w:t>vané nicoty zajišťuje základní „</w:t>
      </w:r>
      <w:r w:rsidR="000D0945" w:rsidRPr="000D0945">
        <w:rPr>
          <w:i/>
          <w:iCs/>
        </w:rPr>
        <w:t>ortus scientiarum</w:t>
      </w:r>
      <w:r w:rsidR="000D0945">
        <w:rPr>
          <w:iCs/>
        </w:rPr>
        <w:t>“</w:t>
      </w:r>
      <w:r w:rsidRPr="000D0945">
        <w:rPr>
          <w:iCs/>
        </w:rPr>
        <w:t xml:space="preserve"> ekonomického neoliberalismu, který kontrol</w:t>
      </w:r>
      <w:r w:rsidR="000D0945">
        <w:rPr>
          <w:iCs/>
        </w:rPr>
        <w:t>uje a manipuluje objektivní věd</w:t>
      </w:r>
      <w:r w:rsidRPr="000D0945">
        <w:rPr>
          <w:iCs/>
        </w:rPr>
        <w:t>u (</w:t>
      </w:r>
      <w:r w:rsidR="000D0945">
        <w:rPr>
          <w:i/>
          <w:iCs/>
        </w:rPr>
        <w:t>dativus instrumen</w:t>
      </w:r>
      <w:r w:rsidRPr="000D0945">
        <w:rPr>
          <w:i/>
          <w:iCs/>
        </w:rPr>
        <w:t>ti</w:t>
      </w:r>
      <w:r w:rsidRPr="000D0945">
        <w:rPr>
          <w:iCs/>
        </w:rPr>
        <w:t xml:space="preserve">). </w:t>
      </w:r>
    </w:p>
    <w:p w:rsidR="00366AC8" w:rsidRPr="000F7D8B" w:rsidRDefault="00BA214C" w:rsidP="000F7D8B">
      <w:pPr>
        <w:numPr>
          <w:ilvl w:val="0"/>
          <w:numId w:val="14"/>
        </w:numPr>
        <w:rPr>
          <w:iCs/>
        </w:rPr>
      </w:pPr>
      <w:r w:rsidRPr="000D0945">
        <w:rPr>
          <w:iCs/>
        </w:rPr>
        <w:t xml:space="preserve">Množení, rozdělení a klasifikace virtuálního kapitálu v rámci globálních bank a korporací vytváří sekulární kapitálovou </w:t>
      </w:r>
      <w:r w:rsidR="00FB2AAF">
        <w:rPr>
          <w:iCs/>
        </w:rPr>
        <w:t xml:space="preserve">nadstavbu </w:t>
      </w:r>
      <w:r w:rsidRPr="000D0945">
        <w:rPr>
          <w:iCs/>
        </w:rPr>
        <w:t xml:space="preserve">jako </w:t>
      </w:r>
      <w:r w:rsidR="00FB2AAF">
        <w:rPr>
          <w:iCs/>
        </w:rPr>
        <w:t xml:space="preserve">ideologickou formu </w:t>
      </w:r>
      <w:r w:rsidRPr="004256E6">
        <w:rPr>
          <w:i/>
          <w:iCs/>
        </w:rPr>
        <w:t>tertium ens</w:t>
      </w:r>
      <w:r w:rsidR="004256E6">
        <w:rPr>
          <w:iCs/>
        </w:rPr>
        <w:t>. Ž</w:t>
      </w:r>
      <w:r w:rsidRPr="000D0945">
        <w:rPr>
          <w:iCs/>
        </w:rPr>
        <w:t xml:space="preserve">iví </w:t>
      </w:r>
      <w:r w:rsidR="004256E6">
        <w:rPr>
          <w:iCs/>
        </w:rPr>
        <w:t>nihilističtí b</w:t>
      </w:r>
      <w:r w:rsidRPr="000D0945">
        <w:rPr>
          <w:iCs/>
        </w:rPr>
        <w:t>ankste</w:t>
      </w:r>
      <w:r w:rsidR="004256E6">
        <w:rPr>
          <w:iCs/>
        </w:rPr>
        <w:t>ři nahradili mrtvého moderního b</w:t>
      </w:r>
      <w:r w:rsidR="000F7D8B">
        <w:rPr>
          <w:iCs/>
        </w:rPr>
        <w:t xml:space="preserve">oha. Bankteři jako </w:t>
      </w:r>
      <w:r w:rsidR="000F7D8B" w:rsidRPr="000F7D8B">
        <w:rPr>
          <w:iCs/>
        </w:rPr>
        <w:t>objek</w:t>
      </w:r>
      <w:r w:rsidR="000F7D8B">
        <w:rPr>
          <w:iCs/>
        </w:rPr>
        <w:t xml:space="preserve">tivní </w:t>
      </w:r>
      <w:r w:rsidR="000F7D8B" w:rsidRPr="000F7D8B">
        <w:rPr>
          <w:iCs/>
        </w:rPr>
        <w:t xml:space="preserve">božské bytosti </w:t>
      </w:r>
      <w:r w:rsidR="000F7D8B">
        <w:rPr>
          <w:iCs/>
        </w:rPr>
        <w:t xml:space="preserve">stojí </w:t>
      </w:r>
      <w:r w:rsidR="000F7D8B" w:rsidRPr="000F7D8B">
        <w:rPr>
          <w:iCs/>
        </w:rPr>
        <w:t>mimo dobro a zlo</w:t>
      </w:r>
      <w:r w:rsidR="000F7D8B">
        <w:rPr>
          <w:iCs/>
        </w:rPr>
        <w:t>. D</w:t>
      </w:r>
      <w:r w:rsidR="000F7D8B" w:rsidRPr="000F7D8B">
        <w:rPr>
          <w:iCs/>
        </w:rPr>
        <w:t xml:space="preserve">nes tvoří dominující božskou třídu Fúrií, která charakterizuje tento typ </w:t>
      </w:r>
      <w:r w:rsidR="000F7D8B" w:rsidRPr="000F7D8B">
        <w:rPr>
          <w:i/>
          <w:iCs/>
        </w:rPr>
        <w:t>New Age</w:t>
      </w:r>
      <w:r w:rsidR="000F7D8B">
        <w:rPr>
          <w:iCs/>
        </w:rPr>
        <w:t xml:space="preserve">. </w:t>
      </w:r>
      <w:r w:rsidR="00D91356" w:rsidRPr="000F7D8B">
        <w:rPr>
          <w:iCs/>
        </w:rPr>
        <w:t>Bank</w:t>
      </w:r>
      <w:r w:rsidR="000F7D8B" w:rsidRPr="000F7D8B">
        <w:rPr>
          <w:iCs/>
        </w:rPr>
        <w:t>s</w:t>
      </w:r>
      <w:r w:rsidR="00D91356" w:rsidRPr="000F7D8B">
        <w:rPr>
          <w:iCs/>
        </w:rPr>
        <w:t>teři a jimi koupená střední třída polit</w:t>
      </w:r>
      <w:r w:rsidR="003B0FE5" w:rsidRPr="000F7D8B">
        <w:rPr>
          <w:iCs/>
        </w:rPr>
        <w:t>i</w:t>
      </w:r>
      <w:r w:rsidR="00D91356" w:rsidRPr="000F7D8B">
        <w:rPr>
          <w:iCs/>
        </w:rPr>
        <w:t>ků</w:t>
      </w:r>
      <w:r w:rsidR="000C0277" w:rsidRPr="000F7D8B">
        <w:rPr>
          <w:iCs/>
        </w:rPr>
        <w:t xml:space="preserve">, </w:t>
      </w:r>
      <w:r w:rsidR="00D91356" w:rsidRPr="000F7D8B">
        <w:rPr>
          <w:iCs/>
        </w:rPr>
        <w:t>vědců</w:t>
      </w:r>
      <w:r w:rsidR="000C0277" w:rsidRPr="000F7D8B">
        <w:rPr>
          <w:iCs/>
        </w:rPr>
        <w:t>, učitel</w:t>
      </w:r>
      <w:r w:rsidR="00D91356" w:rsidRPr="000F7D8B">
        <w:rPr>
          <w:iCs/>
        </w:rPr>
        <w:t>ů, byrokratů</w:t>
      </w:r>
      <w:r w:rsidR="000C0277" w:rsidRPr="000F7D8B">
        <w:rPr>
          <w:iCs/>
        </w:rPr>
        <w:t xml:space="preserve"> atd. </w:t>
      </w:r>
      <w:r w:rsidR="000F7D8B" w:rsidRPr="000F7D8B">
        <w:rPr>
          <w:iCs/>
        </w:rPr>
        <w:t xml:space="preserve">společně </w:t>
      </w:r>
      <w:r w:rsidR="004256E6" w:rsidRPr="000F7D8B">
        <w:rPr>
          <w:iCs/>
        </w:rPr>
        <w:t>o</w:t>
      </w:r>
      <w:r w:rsidR="000F7D8B" w:rsidRPr="000F7D8B">
        <w:rPr>
          <w:iCs/>
        </w:rPr>
        <w:t>rganizují</w:t>
      </w:r>
      <w:r w:rsidRPr="000F7D8B">
        <w:rPr>
          <w:iCs/>
        </w:rPr>
        <w:t xml:space="preserve"> ideologické oslavy </w:t>
      </w:r>
      <w:r w:rsidR="000F7D8B" w:rsidRPr="000F7D8B">
        <w:rPr>
          <w:iCs/>
        </w:rPr>
        <w:t>spásonosného kapitálu (</w:t>
      </w:r>
      <w:r w:rsidR="000F7D8B" w:rsidRPr="000F7D8B">
        <w:rPr>
          <w:i/>
          <w:iCs/>
        </w:rPr>
        <w:t>mysterium salutis</w:t>
      </w:r>
      <w:r w:rsidR="000F7D8B" w:rsidRPr="000F7D8B">
        <w:rPr>
          <w:iCs/>
        </w:rPr>
        <w:t>), který společně produkují (</w:t>
      </w:r>
      <w:r w:rsidR="000F7D8B" w:rsidRPr="000F7D8B">
        <w:rPr>
          <w:i/>
          <w:iCs/>
        </w:rPr>
        <w:t>dativus finalis</w:t>
      </w:r>
      <w:r w:rsidR="000F7D8B" w:rsidRPr="000F7D8B">
        <w:rPr>
          <w:iCs/>
        </w:rPr>
        <w:t>).</w:t>
      </w:r>
    </w:p>
    <w:p w:rsidR="003B1D36" w:rsidRDefault="00BA214C" w:rsidP="003B1D36">
      <w:pPr>
        <w:numPr>
          <w:ilvl w:val="0"/>
          <w:numId w:val="14"/>
        </w:numPr>
        <w:rPr>
          <w:iCs/>
        </w:rPr>
      </w:pPr>
      <w:r w:rsidRPr="00366AC8">
        <w:rPr>
          <w:iCs/>
        </w:rPr>
        <w:t>Posledním,</w:t>
      </w:r>
      <w:r w:rsidR="002A4046">
        <w:rPr>
          <w:iCs/>
        </w:rPr>
        <w:t xml:space="preserve"> již nedělitelným nositelem těchto</w:t>
      </w:r>
      <w:r w:rsidRPr="00366AC8">
        <w:rPr>
          <w:iCs/>
        </w:rPr>
        <w:t xml:space="preserve"> univerzální</w:t>
      </w:r>
      <w:r w:rsidR="002A4046">
        <w:rPr>
          <w:iCs/>
        </w:rPr>
        <w:t xml:space="preserve">cj </w:t>
      </w:r>
      <w:r w:rsidR="002A4046" w:rsidRPr="002A4046">
        <w:rPr>
          <w:i/>
          <w:iCs/>
        </w:rPr>
        <w:t>scibilia</w:t>
      </w:r>
      <w:r w:rsidR="002A4046">
        <w:rPr>
          <w:iCs/>
        </w:rPr>
        <w:t xml:space="preserve"> je kapitalistický nositel </w:t>
      </w:r>
      <w:r w:rsidRPr="00366AC8">
        <w:rPr>
          <w:iCs/>
        </w:rPr>
        <w:t>výroby, spotřeby</w:t>
      </w:r>
      <w:r w:rsidR="002A4046">
        <w:rPr>
          <w:iCs/>
        </w:rPr>
        <w:t xml:space="preserve"> a vlastní reprodukce (</w:t>
      </w:r>
      <w:r w:rsidR="002A4046" w:rsidRPr="002A4046">
        <w:rPr>
          <w:i/>
          <w:iCs/>
        </w:rPr>
        <w:t>individuum</w:t>
      </w:r>
      <w:r w:rsidRPr="00366AC8">
        <w:rPr>
          <w:iCs/>
        </w:rPr>
        <w:t xml:space="preserve">). </w:t>
      </w:r>
      <w:r w:rsidR="00181E6D">
        <w:rPr>
          <w:iCs/>
        </w:rPr>
        <w:t xml:space="preserve">Mobilizace </w:t>
      </w:r>
      <w:r w:rsidRPr="00366AC8">
        <w:rPr>
          <w:iCs/>
        </w:rPr>
        <w:t xml:space="preserve">těchto individuálních lidských zdrojů v éře </w:t>
      </w:r>
      <w:r w:rsidR="008D3530">
        <w:rPr>
          <w:iCs/>
        </w:rPr>
        <w:t xml:space="preserve">dokonaného </w:t>
      </w:r>
      <w:r w:rsidRPr="00366AC8">
        <w:rPr>
          <w:iCs/>
        </w:rPr>
        <w:t>nihilismu je obtížný</w:t>
      </w:r>
      <w:r w:rsidR="0001705B">
        <w:rPr>
          <w:iCs/>
        </w:rPr>
        <w:t xml:space="preserve">m úkolem kapitalismu. Chaotická individua </w:t>
      </w:r>
      <w:r w:rsidRPr="00366AC8">
        <w:rPr>
          <w:iCs/>
        </w:rPr>
        <w:t xml:space="preserve">musí být </w:t>
      </w:r>
      <w:r w:rsidR="0001705B">
        <w:rPr>
          <w:iCs/>
        </w:rPr>
        <w:t xml:space="preserve">plánovitě spotřebovávána a </w:t>
      </w:r>
      <w:r w:rsidRPr="00366AC8">
        <w:rPr>
          <w:iCs/>
        </w:rPr>
        <w:t>trvale nahraz</w:t>
      </w:r>
      <w:r w:rsidR="0001705B">
        <w:rPr>
          <w:iCs/>
        </w:rPr>
        <w:t xml:space="preserve">ována </w:t>
      </w:r>
      <w:r w:rsidRPr="00366AC8">
        <w:rPr>
          <w:iCs/>
        </w:rPr>
        <w:t>novými výrobními a reprodukčními jednotkami (</w:t>
      </w:r>
      <w:r w:rsidRPr="008D3530">
        <w:rPr>
          <w:i/>
          <w:iCs/>
        </w:rPr>
        <w:t>dativus incommodi</w:t>
      </w:r>
      <w:r w:rsidRPr="00366AC8">
        <w:rPr>
          <w:iCs/>
        </w:rPr>
        <w:t>).</w:t>
      </w:r>
    </w:p>
    <w:p w:rsidR="00081872" w:rsidRDefault="00F0749F" w:rsidP="00081872">
      <w:pPr>
        <w:numPr>
          <w:ilvl w:val="0"/>
          <w:numId w:val="14"/>
        </w:numPr>
        <w:rPr>
          <w:iCs/>
        </w:rPr>
      </w:pPr>
      <w:r>
        <w:rPr>
          <w:i/>
          <w:iCs/>
        </w:rPr>
        <w:t>Arbor Porph</w:t>
      </w:r>
      <w:r w:rsidR="00BA214C" w:rsidRPr="003B1D36">
        <w:rPr>
          <w:i/>
          <w:iCs/>
        </w:rPr>
        <w:t>yriana</w:t>
      </w:r>
      <w:r w:rsidR="00BA214C" w:rsidRPr="003B1D36">
        <w:rPr>
          <w:iCs/>
        </w:rPr>
        <w:t xml:space="preserve"> </w:t>
      </w:r>
      <w:r w:rsidR="003B1D36">
        <w:rPr>
          <w:iCs/>
        </w:rPr>
        <w:t xml:space="preserve">jako základní struktura </w:t>
      </w:r>
      <w:r w:rsidR="003B1D36" w:rsidRPr="003B1D36">
        <w:rPr>
          <w:i/>
          <w:lang w:eastAsia="en-US"/>
        </w:rPr>
        <w:t>New Word Order</w:t>
      </w:r>
      <w:r w:rsidR="003B1D36">
        <w:rPr>
          <w:lang w:eastAsia="en-US"/>
        </w:rPr>
        <w:t xml:space="preserve"> </w:t>
      </w:r>
      <w:r w:rsidR="003B1D36">
        <w:rPr>
          <w:iCs/>
        </w:rPr>
        <w:t>je postaven na základě moderního</w:t>
      </w:r>
      <w:r w:rsidR="00BA214C" w:rsidRPr="003B1D36">
        <w:rPr>
          <w:iCs/>
        </w:rPr>
        <w:t xml:space="preserve"> </w:t>
      </w:r>
      <w:r w:rsidR="00BA214C" w:rsidRPr="003B1D36">
        <w:rPr>
          <w:i/>
          <w:iCs/>
        </w:rPr>
        <w:t>volitio</w:t>
      </w:r>
      <w:r w:rsidR="00BA214C" w:rsidRPr="003B1D36">
        <w:rPr>
          <w:iCs/>
        </w:rPr>
        <w:t xml:space="preserve"> a </w:t>
      </w:r>
      <w:r w:rsidR="00BA214C" w:rsidRPr="003B1D36">
        <w:rPr>
          <w:i/>
          <w:iCs/>
        </w:rPr>
        <w:t>electio</w:t>
      </w:r>
      <w:r w:rsidR="00BA214C" w:rsidRPr="003B1D36">
        <w:rPr>
          <w:iCs/>
        </w:rPr>
        <w:t xml:space="preserve">. </w:t>
      </w:r>
      <w:r w:rsidR="00181E6D">
        <w:rPr>
          <w:iCs/>
        </w:rPr>
        <w:t xml:space="preserve">Chtivost </w:t>
      </w:r>
      <w:r w:rsidR="00181E6D" w:rsidRPr="00181E6D">
        <w:rPr>
          <w:i/>
          <w:iCs/>
        </w:rPr>
        <w:t>v</w:t>
      </w:r>
      <w:r w:rsidR="00BA214C" w:rsidRPr="00181E6D">
        <w:rPr>
          <w:i/>
          <w:iCs/>
        </w:rPr>
        <w:t>olitio</w:t>
      </w:r>
      <w:r w:rsidR="00BA214C" w:rsidRPr="003B1D36">
        <w:rPr>
          <w:iCs/>
        </w:rPr>
        <w:t xml:space="preserve"> míří do světa, aby </w:t>
      </w:r>
      <w:r w:rsidR="00181E6D">
        <w:rPr>
          <w:iCs/>
        </w:rPr>
        <w:t xml:space="preserve">prováděla </w:t>
      </w:r>
      <w:r w:rsidR="00BA214C" w:rsidRPr="003B1D36">
        <w:rPr>
          <w:iCs/>
        </w:rPr>
        <w:t>aku</w:t>
      </w:r>
      <w:r w:rsidR="00181E6D">
        <w:rPr>
          <w:iCs/>
        </w:rPr>
        <w:t xml:space="preserve">mulaci kapitálu. Mystika </w:t>
      </w:r>
      <w:r w:rsidR="00181E6D" w:rsidRPr="00181E6D">
        <w:rPr>
          <w:i/>
          <w:iCs/>
        </w:rPr>
        <w:t>electio</w:t>
      </w:r>
      <w:r w:rsidR="00BA214C" w:rsidRPr="003B1D36">
        <w:rPr>
          <w:iCs/>
        </w:rPr>
        <w:t xml:space="preserve"> </w:t>
      </w:r>
      <w:r w:rsidR="00181E6D">
        <w:rPr>
          <w:iCs/>
        </w:rPr>
        <w:t xml:space="preserve">mobilizuje </w:t>
      </w:r>
      <w:r w:rsidR="00BA214C" w:rsidRPr="003B1D36">
        <w:rPr>
          <w:iCs/>
        </w:rPr>
        <w:t xml:space="preserve">instrumentální racionalitu </w:t>
      </w:r>
      <w:r w:rsidR="00C33029">
        <w:rPr>
          <w:iCs/>
        </w:rPr>
        <w:t xml:space="preserve">jako novou aktivitu </w:t>
      </w:r>
      <w:r w:rsidR="00BA214C" w:rsidRPr="003B1D36">
        <w:rPr>
          <w:iCs/>
        </w:rPr>
        <w:t xml:space="preserve">Fúrií. Oba druhy kapitalistického habitu jsou ustaveny v rámci </w:t>
      </w:r>
      <w:r w:rsidR="00181E6D">
        <w:rPr>
          <w:iCs/>
        </w:rPr>
        <w:t>„</w:t>
      </w:r>
      <w:r w:rsidR="00181E6D" w:rsidRPr="00F6220D">
        <w:rPr>
          <w:i/>
          <w:iCs/>
        </w:rPr>
        <w:t>totale</w:t>
      </w:r>
      <w:r w:rsidR="00FF2D70">
        <w:rPr>
          <w:i/>
          <w:iCs/>
        </w:rPr>
        <w:t>r</w:t>
      </w:r>
      <w:r w:rsidR="00181E6D" w:rsidRPr="00F6220D">
        <w:rPr>
          <w:i/>
          <w:iCs/>
        </w:rPr>
        <w:t xml:space="preserve"> Mobilmachung</w:t>
      </w:r>
      <w:r w:rsidR="00181E6D">
        <w:rPr>
          <w:i/>
          <w:iCs/>
        </w:rPr>
        <w:fldChar w:fldCharType="begin"/>
      </w:r>
      <w:r w:rsidR="00181E6D">
        <w:instrText xml:space="preserve"> XE "</w:instrText>
      </w:r>
      <w:r w:rsidR="00181E6D" w:rsidRPr="002F347A">
        <w:rPr>
          <w:i/>
          <w:iCs/>
        </w:rPr>
        <w:instrText>totale Mobilmachung</w:instrText>
      </w:r>
      <w:r w:rsidR="00181E6D">
        <w:instrText xml:space="preserve">" </w:instrText>
      </w:r>
      <w:r w:rsidR="00181E6D">
        <w:rPr>
          <w:i/>
          <w:iCs/>
        </w:rPr>
        <w:fldChar w:fldCharType="end"/>
      </w:r>
      <w:r w:rsidR="00181E6D">
        <w:rPr>
          <w:iCs/>
        </w:rPr>
        <w:t>“ (E. J</w:t>
      </w:r>
      <w:r w:rsidR="00181E6D">
        <w:rPr>
          <w:rFonts w:cs="Calibri"/>
          <w:iCs/>
        </w:rPr>
        <w:t>ü</w:t>
      </w:r>
      <w:r w:rsidR="00181E6D">
        <w:rPr>
          <w:iCs/>
        </w:rPr>
        <w:t>nger</w:t>
      </w:r>
      <w:r w:rsidR="00181E6D">
        <w:rPr>
          <w:iCs/>
        </w:rPr>
        <w:fldChar w:fldCharType="begin"/>
      </w:r>
      <w:r w:rsidR="00181E6D">
        <w:instrText xml:space="preserve"> XE "</w:instrText>
      </w:r>
      <w:r w:rsidR="00181E6D" w:rsidRPr="00583CCE">
        <w:rPr>
          <w:iCs/>
        </w:rPr>
        <w:instrText>J</w:instrText>
      </w:r>
      <w:r w:rsidR="00181E6D" w:rsidRPr="00583CCE">
        <w:rPr>
          <w:rFonts w:cs="Calibri"/>
          <w:iCs/>
        </w:rPr>
        <w:instrText>ü</w:instrText>
      </w:r>
      <w:r w:rsidR="00181E6D" w:rsidRPr="00583CCE">
        <w:rPr>
          <w:iCs/>
        </w:rPr>
        <w:instrText>nger, E.</w:instrText>
      </w:r>
      <w:r w:rsidR="00181E6D">
        <w:instrText xml:space="preserve">" </w:instrText>
      </w:r>
      <w:r w:rsidR="00181E6D">
        <w:rPr>
          <w:iCs/>
        </w:rPr>
        <w:fldChar w:fldCharType="end"/>
      </w:r>
      <w:r w:rsidR="00181E6D">
        <w:rPr>
          <w:iCs/>
        </w:rPr>
        <w:t xml:space="preserve">) </w:t>
      </w:r>
      <w:r w:rsidR="00BA214C" w:rsidRPr="003B1D36">
        <w:rPr>
          <w:iCs/>
        </w:rPr>
        <w:t xml:space="preserve">kapitalizovaných lidských zdrojů. Jedinci, kteří </w:t>
      </w:r>
      <w:r w:rsidR="00B66EC6">
        <w:rPr>
          <w:iCs/>
        </w:rPr>
        <w:t>nejsou vybráni v rámci iracionální pleonexie jednoho procenta</w:t>
      </w:r>
      <w:r w:rsidR="00434C7C">
        <w:rPr>
          <w:iCs/>
        </w:rPr>
        <w:t xml:space="preserve">, aby oslavovali </w:t>
      </w:r>
      <w:r w:rsidR="00B66EC6">
        <w:rPr>
          <w:iCs/>
        </w:rPr>
        <w:t>globálně prováděn</w:t>
      </w:r>
      <w:r w:rsidR="00434C7C">
        <w:rPr>
          <w:iCs/>
        </w:rPr>
        <w:t>ou</w:t>
      </w:r>
      <w:r w:rsidR="00B66EC6">
        <w:rPr>
          <w:iCs/>
        </w:rPr>
        <w:t xml:space="preserve"> konjunkci kapitálu (</w:t>
      </w:r>
      <w:r w:rsidR="00B66EC6">
        <w:rPr>
          <w:rStyle w:val="ky2igmncmogjharherah"/>
        </w:rPr>
        <w:t xml:space="preserve">ὄργια, </w:t>
      </w:r>
      <w:r w:rsidR="00B66EC6" w:rsidRPr="00B66EC6">
        <w:rPr>
          <w:i/>
          <w:iCs/>
        </w:rPr>
        <w:t>conferentia</w:t>
      </w:r>
      <w:r w:rsidR="00B66EC6">
        <w:rPr>
          <w:iCs/>
        </w:rPr>
        <w:t>)</w:t>
      </w:r>
      <w:r w:rsidR="00BA214C" w:rsidRPr="003B1D36">
        <w:rPr>
          <w:iCs/>
        </w:rPr>
        <w:t xml:space="preserve">, </w:t>
      </w:r>
      <w:r w:rsidR="00434C7C">
        <w:rPr>
          <w:iCs/>
        </w:rPr>
        <w:t xml:space="preserve">ti </w:t>
      </w:r>
      <w:r w:rsidR="00BA214C" w:rsidRPr="003B1D36">
        <w:rPr>
          <w:iCs/>
        </w:rPr>
        <w:t>mají být zničeni jako neposlušná hmota (</w:t>
      </w:r>
      <w:r w:rsidR="00BA214C" w:rsidRPr="00E67962">
        <w:rPr>
          <w:i/>
          <w:iCs/>
        </w:rPr>
        <w:t>dativus ethicus</w:t>
      </w:r>
      <w:r w:rsidR="00BA214C" w:rsidRPr="003B1D36">
        <w:rPr>
          <w:iCs/>
        </w:rPr>
        <w:t>).</w:t>
      </w:r>
    </w:p>
    <w:p w:rsidR="00081872" w:rsidRDefault="00BA214C" w:rsidP="00081872">
      <w:pPr>
        <w:numPr>
          <w:ilvl w:val="0"/>
          <w:numId w:val="14"/>
        </w:numPr>
        <w:rPr>
          <w:iCs/>
        </w:rPr>
      </w:pPr>
      <w:r w:rsidRPr="00081872">
        <w:rPr>
          <w:iCs/>
        </w:rPr>
        <w:t xml:space="preserve">Globální mobilizace jednotlivců zajišťuje </w:t>
      </w:r>
      <w:r w:rsidR="00081872" w:rsidRPr="00081872">
        <w:rPr>
          <w:iCs/>
        </w:rPr>
        <w:t xml:space="preserve">jako primární úkol </w:t>
      </w:r>
      <w:r w:rsidRPr="00081872">
        <w:rPr>
          <w:iCs/>
        </w:rPr>
        <w:t xml:space="preserve">objektivní rozpoznání veškeré </w:t>
      </w:r>
      <w:r w:rsidR="00081872" w:rsidRPr="00081872">
        <w:rPr>
          <w:iCs/>
        </w:rPr>
        <w:t xml:space="preserve">manipulovatelné materie </w:t>
      </w:r>
      <w:r w:rsidRPr="00081872">
        <w:rPr>
          <w:iCs/>
        </w:rPr>
        <w:t>převedené do digitalizované podoby (</w:t>
      </w:r>
      <w:r w:rsidRPr="00081872">
        <w:rPr>
          <w:i/>
          <w:iCs/>
        </w:rPr>
        <w:t>totum virtuale</w:t>
      </w:r>
      <w:r w:rsidRPr="00081872">
        <w:rPr>
          <w:iCs/>
        </w:rPr>
        <w:t xml:space="preserve">). </w:t>
      </w:r>
      <w:r w:rsidR="00081872" w:rsidRPr="00081872">
        <w:rPr>
          <w:iCs/>
        </w:rPr>
        <w:t>Biopolitika je založena na biometrice</w:t>
      </w:r>
      <w:r w:rsidR="00081872">
        <w:rPr>
          <w:iCs/>
        </w:rPr>
        <w:t xml:space="preserve"> </w:t>
      </w:r>
      <w:r w:rsidR="00081872" w:rsidRPr="00081872">
        <w:rPr>
          <w:iCs/>
        </w:rPr>
        <w:t>(biometrické měření, testy DNA, psychologické testy, skenování všeho druhu, odposlechy, počítačové simulace chování, manipulac</w:t>
      </w:r>
      <w:r w:rsidR="00081872">
        <w:rPr>
          <w:iCs/>
        </w:rPr>
        <w:t>e s masami umělou inteligencí)</w:t>
      </w:r>
      <w:r w:rsidR="00081872" w:rsidRPr="00081872">
        <w:rPr>
          <w:iCs/>
        </w:rPr>
        <w:t xml:space="preserve">. Finální </w:t>
      </w:r>
      <w:r w:rsidR="00081872">
        <w:rPr>
          <w:iCs/>
        </w:rPr>
        <w:t>„</w:t>
      </w:r>
      <w:r w:rsidR="00081872">
        <w:rPr>
          <w:i/>
          <w:iCs/>
        </w:rPr>
        <w:t>voodoo c</w:t>
      </w:r>
      <w:r w:rsidRPr="00081872">
        <w:rPr>
          <w:i/>
          <w:iCs/>
        </w:rPr>
        <w:t>apitalism</w:t>
      </w:r>
      <w:r w:rsidR="00081872">
        <w:rPr>
          <w:iCs/>
        </w:rPr>
        <w:t>“</w:t>
      </w:r>
      <w:r w:rsidRPr="00081872">
        <w:rPr>
          <w:iCs/>
        </w:rPr>
        <w:t xml:space="preserve"> si </w:t>
      </w:r>
      <w:r w:rsidR="00081872" w:rsidRPr="00081872">
        <w:rPr>
          <w:iCs/>
        </w:rPr>
        <w:t xml:space="preserve">vytváří </w:t>
      </w:r>
      <w:r w:rsidR="00081872">
        <w:rPr>
          <w:iCs/>
        </w:rPr>
        <w:t xml:space="preserve">skrze biometriku </w:t>
      </w:r>
      <w:r w:rsidRPr="00081872">
        <w:rPr>
          <w:iCs/>
        </w:rPr>
        <w:t xml:space="preserve">konkrétní znamení, aby </w:t>
      </w:r>
      <w:r w:rsidR="00081872">
        <w:rPr>
          <w:iCs/>
        </w:rPr>
        <w:t xml:space="preserve">všechna poslušná individua kráčela </w:t>
      </w:r>
      <w:r w:rsidR="00081872">
        <w:rPr>
          <w:iCs/>
        </w:rPr>
        <w:lastRenderedPageBreak/>
        <w:t xml:space="preserve">po </w:t>
      </w:r>
      <w:proofErr w:type="gramStart"/>
      <w:r w:rsidR="00081872" w:rsidRPr="00081872">
        <w:rPr>
          <w:i/>
          <w:iCs/>
        </w:rPr>
        <w:t>via</w:t>
      </w:r>
      <w:proofErr w:type="gramEnd"/>
      <w:r w:rsidR="00081872" w:rsidRPr="00081872">
        <w:rPr>
          <w:i/>
          <w:iCs/>
        </w:rPr>
        <w:t xml:space="preserve"> Modernorum</w:t>
      </w:r>
      <w:r w:rsidR="00081872">
        <w:rPr>
          <w:iCs/>
        </w:rPr>
        <w:t xml:space="preserve"> k směrem finálnímu </w:t>
      </w:r>
      <w:r w:rsidRPr="00081872">
        <w:rPr>
          <w:iCs/>
        </w:rPr>
        <w:t>nihilismu</w:t>
      </w:r>
      <w:r w:rsidR="00081872">
        <w:rPr>
          <w:iCs/>
        </w:rPr>
        <w:t>.</w:t>
      </w:r>
      <w:r w:rsidRPr="00081872">
        <w:rPr>
          <w:iCs/>
        </w:rPr>
        <w:t xml:space="preserve"> </w:t>
      </w:r>
      <w:r w:rsidR="00081872">
        <w:rPr>
          <w:iCs/>
        </w:rPr>
        <w:t xml:space="preserve">Biometrická </w:t>
      </w:r>
      <w:r w:rsidRPr="00081872">
        <w:rPr>
          <w:iCs/>
        </w:rPr>
        <w:t xml:space="preserve">znamení </w:t>
      </w:r>
      <w:r w:rsidR="00081872">
        <w:rPr>
          <w:iCs/>
        </w:rPr>
        <w:t xml:space="preserve">nové biopolitiky </w:t>
      </w:r>
      <w:r w:rsidRPr="00081872">
        <w:rPr>
          <w:iCs/>
        </w:rPr>
        <w:t>jsou měřítkem vítězného pokroku (</w:t>
      </w:r>
      <w:r w:rsidRPr="00081872">
        <w:rPr>
          <w:i/>
          <w:iCs/>
        </w:rPr>
        <w:t>dativus mensurae</w:t>
      </w:r>
      <w:r w:rsidRPr="00081872">
        <w:rPr>
          <w:iCs/>
        </w:rPr>
        <w:t>).</w:t>
      </w:r>
    </w:p>
    <w:p w:rsidR="00BA214C" w:rsidRPr="006A6FFC" w:rsidRDefault="00BA214C" w:rsidP="00081872">
      <w:pPr>
        <w:pStyle w:val="Odstavecseseznamem"/>
        <w:numPr>
          <w:ilvl w:val="0"/>
          <w:numId w:val="14"/>
        </w:numPr>
        <w:spacing w:after="200"/>
        <w:rPr>
          <w:iCs/>
        </w:rPr>
      </w:pPr>
      <w:r w:rsidRPr="006A6FFC">
        <w:rPr>
          <w:iCs/>
        </w:rPr>
        <w:t xml:space="preserve">Kořeny globálního </w:t>
      </w:r>
      <w:r w:rsidR="00081872" w:rsidRPr="006A6FFC">
        <w:rPr>
          <w:iCs/>
        </w:rPr>
        <w:t xml:space="preserve">Porfýriova </w:t>
      </w:r>
      <w:r w:rsidRPr="006A6FFC">
        <w:rPr>
          <w:iCs/>
        </w:rPr>
        <w:t xml:space="preserve">stromu jsou </w:t>
      </w:r>
      <w:r w:rsidR="00971E82" w:rsidRPr="006A6FFC">
        <w:rPr>
          <w:iCs/>
        </w:rPr>
        <w:t>živeny lidským kapitálem tzv. „Třetího světa“</w:t>
      </w:r>
      <w:r w:rsidR="00081872" w:rsidRPr="006A6FFC">
        <w:rPr>
          <w:iCs/>
        </w:rPr>
        <w:t xml:space="preserve">. </w:t>
      </w:r>
      <w:r w:rsidR="00971E82" w:rsidRPr="006A6FFC">
        <w:rPr>
          <w:iCs/>
        </w:rPr>
        <w:t xml:space="preserve">To je základní způsob, jak jde pokrok nihilismu. v epoše metafyzického nihilismu. Uprchlické a pracovní tábory, </w:t>
      </w:r>
      <w:r w:rsidR="006A6FFC" w:rsidRPr="006A6FFC">
        <w:rPr>
          <w:i/>
          <w:iCs/>
        </w:rPr>
        <w:t>s</w:t>
      </w:r>
      <w:r w:rsidR="00971E82" w:rsidRPr="006A6FFC">
        <w:rPr>
          <w:i/>
          <w:iCs/>
        </w:rPr>
        <w:t xml:space="preserve">weatshops </w:t>
      </w:r>
      <w:r w:rsidR="00971E82" w:rsidRPr="006A6FFC">
        <w:rPr>
          <w:iCs/>
        </w:rPr>
        <w:t xml:space="preserve"> a </w:t>
      </w:r>
      <w:r w:rsidR="006A6FFC" w:rsidRPr="006A6FFC">
        <w:rPr>
          <w:iCs/>
        </w:rPr>
        <w:t>hybridní</w:t>
      </w:r>
      <w:r w:rsidR="006A6FFC" w:rsidRPr="006A6FFC">
        <w:rPr>
          <w:iCs/>
        </w:rPr>
        <w:t xml:space="preserve"> válk</w:t>
      </w:r>
      <w:r w:rsidR="006A6FFC" w:rsidRPr="006A6FFC">
        <w:rPr>
          <w:iCs/>
        </w:rPr>
        <w:t xml:space="preserve">y </w:t>
      </w:r>
      <w:r w:rsidRPr="006A6FFC">
        <w:rPr>
          <w:iCs/>
        </w:rPr>
        <w:t>nahradil</w:t>
      </w:r>
      <w:r w:rsidR="006A6FFC">
        <w:rPr>
          <w:iCs/>
        </w:rPr>
        <w:t>y</w:t>
      </w:r>
      <w:r w:rsidRPr="006A6FFC">
        <w:rPr>
          <w:iCs/>
        </w:rPr>
        <w:t xml:space="preserve"> </w:t>
      </w:r>
      <w:r w:rsidR="00081872" w:rsidRPr="006A6FFC">
        <w:rPr>
          <w:iCs/>
        </w:rPr>
        <w:t xml:space="preserve">Jamblichův </w:t>
      </w:r>
      <w:r w:rsidRPr="006A6FFC">
        <w:rPr>
          <w:iCs/>
        </w:rPr>
        <w:t xml:space="preserve">diakosmos a poté </w:t>
      </w:r>
      <w:r w:rsidR="00081872" w:rsidRPr="006A6FFC">
        <w:rPr>
          <w:i/>
          <w:iCs/>
          <w:szCs w:val="24"/>
          <w:lang w:val="de-DE"/>
        </w:rPr>
        <w:t>'ālam al-mithāl</w:t>
      </w:r>
      <w:r w:rsidR="00081872" w:rsidRPr="006A6FFC">
        <w:rPr>
          <w:szCs w:val="24"/>
          <w:lang w:val="de-DE"/>
        </w:rPr>
        <w:t xml:space="preserve"> islámské falsafy und křesťanský očistec (</w:t>
      </w:r>
      <w:r w:rsidR="00081872" w:rsidRPr="006A6FFC">
        <w:rPr>
          <w:i/>
          <w:szCs w:val="24"/>
          <w:lang w:val="de-DE"/>
        </w:rPr>
        <w:t>dativus modi</w:t>
      </w:r>
      <w:r w:rsidR="00081872" w:rsidRPr="006A6FFC">
        <w:rPr>
          <w:szCs w:val="24"/>
          <w:lang w:val="de-DE"/>
        </w:rPr>
        <w:t>).</w:t>
      </w:r>
    </w:p>
    <w:p w:rsidR="003B3170" w:rsidRPr="00091B61" w:rsidRDefault="003E3042" w:rsidP="003B3170">
      <w:r>
        <w:rPr>
          <w:iCs/>
        </w:rPr>
        <w:t xml:space="preserve">Bonaventurovo </w:t>
      </w:r>
      <w:r w:rsidR="003C3FF5">
        <w:rPr>
          <w:iCs/>
        </w:rPr>
        <w:t>„</w:t>
      </w:r>
      <w:r w:rsidRPr="003E3042">
        <w:rPr>
          <w:i/>
          <w:iCs/>
        </w:rPr>
        <w:t>itinerarium mentis</w:t>
      </w:r>
      <w:r w:rsidR="003C3FF5">
        <w:rPr>
          <w:iCs/>
        </w:rPr>
        <w:t>“</w:t>
      </w:r>
      <w:r>
        <w:rPr>
          <w:iCs/>
        </w:rPr>
        <w:t xml:space="preserve"> je nyní </w:t>
      </w:r>
      <w:r w:rsidR="00E6751F">
        <w:rPr>
          <w:iCs/>
        </w:rPr>
        <w:t>dá</w:t>
      </w:r>
      <w:r>
        <w:rPr>
          <w:iCs/>
        </w:rPr>
        <w:t xml:space="preserve">no jako </w:t>
      </w:r>
      <w:r w:rsidR="00E6751F">
        <w:rPr>
          <w:iCs/>
        </w:rPr>
        <w:t>iraci</w:t>
      </w:r>
      <w:r w:rsidR="00D6200B">
        <w:rPr>
          <w:iCs/>
        </w:rPr>
        <w:t>on</w:t>
      </w:r>
      <w:r w:rsidR="00E6751F">
        <w:rPr>
          <w:iCs/>
        </w:rPr>
        <w:t xml:space="preserve">ální </w:t>
      </w:r>
      <w:r>
        <w:rPr>
          <w:iCs/>
        </w:rPr>
        <w:t>putování kapitálu</w:t>
      </w:r>
      <w:r w:rsidR="00E6751F">
        <w:rPr>
          <w:iCs/>
        </w:rPr>
        <w:t xml:space="preserve"> (</w:t>
      </w:r>
      <w:r w:rsidR="00E6751F" w:rsidRPr="00E6751F">
        <w:rPr>
          <w:i/>
          <w:iCs/>
        </w:rPr>
        <w:t>Irre</w:t>
      </w:r>
      <w:r w:rsidR="00E6751F">
        <w:rPr>
          <w:iCs/>
        </w:rPr>
        <w:t>)</w:t>
      </w:r>
      <w:r w:rsidR="00D6200B">
        <w:rPr>
          <w:iCs/>
        </w:rPr>
        <w:t>. P</w:t>
      </w:r>
      <w:r w:rsidR="00D6200B">
        <w:rPr>
          <w:iCs/>
        </w:rPr>
        <w:t>o zatím nenaplněném příchodu Antikrista</w:t>
      </w:r>
      <w:r w:rsidR="00D6200B">
        <w:rPr>
          <w:iCs/>
        </w:rPr>
        <w:t xml:space="preserve"> tvoří kapitál </w:t>
      </w:r>
      <w:r>
        <w:rPr>
          <w:iCs/>
        </w:rPr>
        <w:t>h</w:t>
      </w:r>
      <w:r w:rsidR="00D6200B">
        <w:rPr>
          <w:iCs/>
        </w:rPr>
        <w:t xml:space="preserve">ybnou sílu současné objektivity. </w:t>
      </w:r>
      <w:r w:rsidR="00E6751F">
        <w:rPr>
          <w:iCs/>
        </w:rPr>
        <w:t xml:space="preserve">Produkce objektivity skrze kapitál se děje </w:t>
      </w:r>
      <w:r>
        <w:rPr>
          <w:iCs/>
        </w:rPr>
        <w:t xml:space="preserve">skrze základní mody </w:t>
      </w:r>
      <w:r w:rsidRPr="003E3042">
        <w:rPr>
          <w:i/>
          <w:iCs/>
        </w:rPr>
        <w:t>dativus obiectivus</w:t>
      </w:r>
      <w:r>
        <w:rPr>
          <w:iCs/>
        </w:rPr>
        <w:t xml:space="preserve"> a má jasně dané </w:t>
      </w:r>
      <w:r w:rsidR="00E6751F">
        <w:rPr>
          <w:iCs/>
        </w:rPr>
        <w:t xml:space="preserve">historické </w:t>
      </w:r>
      <w:r>
        <w:rPr>
          <w:iCs/>
        </w:rPr>
        <w:t>etapy.</w:t>
      </w:r>
      <w:r w:rsidR="00D23490">
        <w:rPr>
          <w:iCs/>
        </w:rPr>
        <w:t xml:space="preserve"> </w:t>
      </w:r>
      <w:r w:rsidR="009D2A11">
        <w:rPr>
          <w:rStyle w:val="ezkurwreuab5ozgtqnkl"/>
        </w:rPr>
        <w:t xml:space="preserve">Za prvé, v Oxfordu </w:t>
      </w:r>
      <w:r w:rsidR="00D23490">
        <w:rPr>
          <w:rStyle w:val="ezkurwreuab5ozgtqnkl"/>
        </w:rPr>
        <w:t xml:space="preserve">vznikla nová </w:t>
      </w:r>
      <w:r w:rsidR="009D2A11">
        <w:rPr>
          <w:rStyle w:val="ezkurwreuab5ozgtqnkl"/>
        </w:rPr>
        <w:t xml:space="preserve">třída </w:t>
      </w:r>
      <w:r w:rsidR="009D2A11" w:rsidRPr="00D23490">
        <w:rPr>
          <w:rStyle w:val="ezkurwreuab5ozgtqnkl"/>
          <w:i/>
        </w:rPr>
        <w:t>intelligentia spiritualis</w:t>
      </w:r>
      <w:r w:rsidR="009D2A11">
        <w:rPr>
          <w:rStyle w:val="ezkurwreuab5ozgtqnkl"/>
        </w:rPr>
        <w:t xml:space="preserve">, která nyní </w:t>
      </w:r>
      <w:r w:rsidR="00D23490">
        <w:rPr>
          <w:rStyle w:val="ezkurwreuab5ozgtqnkl"/>
        </w:rPr>
        <w:t>stojí na vrcholu neoliberálního Jaku</w:t>
      </w:r>
      <w:r w:rsidR="009D2A11">
        <w:rPr>
          <w:rStyle w:val="ezkurwreuab5ozgtqnkl"/>
        </w:rPr>
        <w:t>bova žebříku.</w:t>
      </w:r>
      <w:r w:rsidR="009D2A11">
        <w:t xml:space="preserve"> </w:t>
      </w:r>
      <w:r w:rsidR="00AB4464">
        <w:t xml:space="preserve">Akademičtí ilumináti středověku vytvořili </w:t>
      </w:r>
      <w:r w:rsidR="00AB4464">
        <w:t>„</w:t>
      </w:r>
      <w:r w:rsidR="00AB4464">
        <w:rPr>
          <w:i/>
        </w:rPr>
        <w:t>brave new world</w:t>
      </w:r>
      <w:r w:rsidR="00AB4464">
        <w:t xml:space="preserve">“ </w:t>
      </w:r>
      <w:r w:rsidR="00AB4464">
        <w:t>moderny. T</w:t>
      </w:r>
      <w:r w:rsidR="00091B61">
        <w:t>u na svých bedrech nese nový dem</w:t>
      </w:r>
      <w:r w:rsidR="00AB4464">
        <w:t>iurg</w:t>
      </w:r>
      <w:r w:rsidR="00091B61">
        <w:t>ic</w:t>
      </w:r>
      <w:r w:rsidR="00AB4464">
        <w:t xml:space="preserve">ký sujekt, který </w:t>
      </w:r>
      <w:r w:rsidR="00091B61">
        <w:t>byl stvo</w:t>
      </w:r>
      <w:r w:rsidR="00AB4464">
        <w:t>řen jako mod</w:t>
      </w:r>
      <w:r w:rsidR="00091B61">
        <w:t xml:space="preserve">erní bůh a moderní individuum. </w:t>
      </w:r>
      <w:r w:rsidR="009D2A11">
        <w:rPr>
          <w:rStyle w:val="ezkurwreuab5ozgtqnkl"/>
        </w:rPr>
        <w:t>Výroba</w:t>
      </w:r>
      <w:r w:rsidR="009D2A11">
        <w:t xml:space="preserve"> </w:t>
      </w:r>
      <w:r w:rsidR="009D2A11">
        <w:rPr>
          <w:rStyle w:val="ezkurwreuab5ozgtqnkl"/>
        </w:rPr>
        <w:t>spásonosného kapitálu</w:t>
      </w:r>
      <w:r w:rsidR="009D2A11">
        <w:t xml:space="preserve"> </w:t>
      </w:r>
      <w:r w:rsidR="009D2A11">
        <w:rPr>
          <w:rStyle w:val="ezkurwreuab5ozgtqnkl"/>
        </w:rPr>
        <w:t>se</w:t>
      </w:r>
      <w:r w:rsidR="009D2A11">
        <w:t xml:space="preserve"> </w:t>
      </w:r>
      <w:r w:rsidR="009D2A11">
        <w:rPr>
          <w:rStyle w:val="ezkurwreuab5ozgtqnkl"/>
        </w:rPr>
        <w:t>stala konečným ontoteologickým určením moderního lidstva.</w:t>
      </w:r>
      <w:r w:rsidR="009D2A11">
        <w:t xml:space="preserve"> </w:t>
      </w:r>
      <w:r w:rsidR="009D2A11">
        <w:rPr>
          <w:rStyle w:val="ezkurwreuab5ozgtqnkl"/>
        </w:rPr>
        <w:t>Tato spása</w:t>
      </w:r>
      <w:r w:rsidR="009D2A11">
        <w:t xml:space="preserve"> </w:t>
      </w:r>
      <w:r w:rsidR="009D2A11">
        <w:rPr>
          <w:rStyle w:val="ezkurwreuab5ozgtqnkl"/>
        </w:rPr>
        <w:t>byla</w:t>
      </w:r>
      <w:r w:rsidR="009D2A11">
        <w:t xml:space="preserve"> </w:t>
      </w:r>
      <w:r w:rsidR="00953EF9">
        <w:rPr>
          <w:rStyle w:val="ezkurwreuab5ozgtqnkl"/>
        </w:rPr>
        <w:t>dříve známá jako Lutherova „</w:t>
      </w:r>
      <w:r w:rsidR="00953EF9" w:rsidRPr="00953EF9">
        <w:rPr>
          <w:rStyle w:val="ezkurwreuab5ozgtqnkl"/>
          <w:i/>
        </w:rPr>
        <w:t>sola fide</w:t>
      </w:r>
      <w:r w:rsidR="00953EF9">
        <w:rPr>
          <w:rStyle w:val="ezkurwreuab5ozgtqnkl"/>
        </w:rPr>
        <w:t>“</w:t>
      </w:r>
      <w:r w:rsidR="009D2A11">
        <w:rPr>
          <w:rStyle w:val="ezkurwreuab5ozgtqnkl"/>
        </w:rPr>
        <w:t xml:space="preserve"> v rámci reformy.</w:t>
      </w:r>
      <w:r w:rsidR="00953EF9">
        <w:rPr>
          <w:rStyle w:val="ezkurwreuab5ozgtqnkl"/>
        </w:rPr>
        <w:t xml:space="preserve"> Po smrti moderního Boha je spása</w:t>
      </w:r>
      <w:r w:rsidR="00953EF9">
        <w:t xml:space="preserve"> </w:t>
      </w:r>
      <w:r w:rsidR="00953EF9">
        <w:rPr>
          <w:rStyle w:val="ezkurwreuab5ozgtqnkl"/>
        </w:rPr>
        <w:t>kapitalistického</w:t>
      </w:r>
      <w:r w:rsidR="00953EF9">
        <w:t xml:space="preserve"> </w:t>
      </w:r>
      <w:r w:rsidR="00953EF9">
        <w:rPr>
          <w:rStyle w:val="ezkurwreuab5ozgtqnkl"/>
        </w:rPr>
        <w:t>subjektu</w:t>
      </w:r>
      <w:r w:rsidR="00953EF9">
        <w:t xml:space="preserve"> zajišťována </w:t>
      </w:r>
      <w:r w:rsidR="00953EF9">
        <w:rPr>
          <w:rStyle w:val="ezkurwreuab5ozgtqnkl"/>
        </w:rPr>
        <w:t>v režimu finančního nihilismu skrze bankstery</w:t>
      </w:r>
      <w:r w:rsidR="00953EF9">
        <w:t>. Ti v</w:t>
      </w:r>
      <w:r w:rsidR="00953EF9">
        <w:rPr>
          <w:rStyle w:val="ezkurwreuab5ozgtqnkl"/>
        </w:rPr>
        <w:t>ykonávají</w:t>
      </w:r>
      <w:r w:rsidR="00953EF9">
        <w:t xml:space="preserve"> b</w:t>
      </w:r>
      <w:r w:rsidR="00953EF9">
        <w:rPr>
          <w:rStyle w:val="ezkurwreuab5ozgtqnkl"/>
        </w:rPr>
        <w:t>oží dílo</w:t>
      </w:r>
      <w:r w:rsidR="00E63491">
        <w:rPr>
          <w:rStyle w:val="ezkurwreuab5ozgtqnkl"/>
        </w:rPr>
        <w:t>,</w:t>
      </w:r>
      <w:r w:rsidR="00953EF9">
        <w:rPr>
          <w:rStyle w:val="ezkurwreuab5ozgtqnkl"/>
        </w:rPr>
        <w:t xml:space="preserve"> a protože jsou novým božstvem, tak nemohou být nikdy potrestáni světskou mocí.</w:t>
      </w:r>
      <w:r w:rsidR="00953EF9">
        <w:t xml:space="preserve"> </w:t>
      </w:r>
      <w:r w:rsidR="00953EF9">
        <w:rPr>
          <w:rStyle w:val="ezkurwreuab5ozgtqnkl"/>
        </w:rPr>
        <w:t>Banksteři</w:t>
      </w:r>
      <w:r w:rsidR="00953EF9">
        <w:t xml:space="preserve"> </w:t>
      </w:r>
      <w:r w:rsidR="00953EF9">
        <w:rPr>
          <w:rStyle w:val="ezkurwreuab5ozgtqnkl"/>
        </w:rPr>
        <w:t>produkují</w:t>
      </w:r>
      <w:r w:rsidR="00953EF9">
        <w:t xml:space="preserve"> </w:t>
      </w:r>
      <w:r w:rsidR="00953EF9">
        <w:rPr>
          <w:rStyle w:val="ezkurwreuab5ozgtqnkl"/>
        </w:rPr>
        <w:t>digitální</w:t>
      </w:r>
      <w:r w:rsidR="00953EF9">
        <w:t xml:space="preserve"> </w:t>
      </w:r>
      <w:r w:rsidR="00E63491">
        <w:t xml:space="preserve">svět </w:t>
      </w:r>
      <w:r w:rsidR="00953EF9">
        <w:rPr>
          <w:rStyle w:val="ezkurwreuab5ozgtqnkl"/>
        </w:rPr>
        <w:t>dluhů</w:t>
      </w:r>
      <w:r w:rsidR="00953EF9">
        <w:t xml:space="preserve"> </w:t>
      </w:r>
      <w:r w:rsidR="00953EF9">
        <w:rPr>
          <w:rStyle w:val="ezkurwreuab5ozgtqnkl"/>
        </w:rPr>
        <w:t>a spekulativní</w:t>
      </w:r>
      <w:r w:rsidR="00E63491">
        <w:rPr>
          <w:rStyle w:val="ezkurwreuab5ozgtqnkl"/>
        </w:rPr>
        <w:t>ch</w:t>
      </w:r>
      <w:r w:rsidR="00953EF9">
        <w:rPr>
          <w:rStyle w:val="ezkurwreuab5ozgtqnkl"/>
        </w:rPr>
        <w:t xml:space="preserve"> sáz</w:t>
      </w:r>
      <w:r w:rsidR="00E63491">
        <w:rPr>
          <w:rStyle w:val="ezkurwreuab5ozgtqnkl"/>
        </w:rPr>
        <w:t>ek</w:t>
      </w:r>
      <w:r w:rsidR="00953EF9">
        <w:rPr>
          <w:rStyle w:val="ezkurwreuab5ozgtqnkl"/>
        </w:rPr>
        <w:t xml:space="preserve"> na </w:t>
      </w:r>
      <w:r w:rsidR="00E63491">
        <w:rPr>
          <w:rStyle w:val="ezkurwreuab5ozgtqnkl"/>
        </w:rPr>
        <w:t xml:space="preserve">reálně </w:t>
      </w:r>
      <w:r w:rsidR="00953EF9">
        <w:rPr>
          <w:rStyle w:val="ezkurwreuab5ozgtqnkl"/>
        </w:rPr>
        <w:t>neexistující budoucnost</w:t>
      </w:r>
      <w:r w:rsidR="00E63491">
        <w:rPr>
          <w:rStyle w:val="ezkurwreuab5ozgtqnkl"/>
        </w:rPr>
        <w:t xml:space="preserve">. Jejich božské dílo plodí </w:t>
      </w:r>
      <w:r w:rsidR="00953EF9">
        <w:rPr>
          <w:rStyle w:val="ezkurwreuab5ozgtqnkl"/>
        </w:rPr>
        <w:t>místní války, hybridní konflikty a ničení planety.</w:t>
      </w:r>
      <w:r w:rsidR="00E63491">
        <w:rPr>
          <w:iCs/>
        </w:rPr>
        <w:t xml:space="preserve"> </w:t>
      </w:r>
      <w:r w:rsidR="08E90044">
        <w:rPr>
          <w:iCs/>
        </w:rPr>
        <w:t>Kapitál je n</w:t>
      </w:r>
      <w:r w:rsidR="08E90044" w:rsidRPr="00273106">
        <w:rPr>
          <w:iCs/>
        </w:rPr>
        <w:t xml:space="preserve">ejprve </w:t>
      </w:r>
      <w:r w:rsidR="08E90044">
        <w:rPr>
          <w:iCs/>
        </w:rPr>
        <w:t xml:space="preserve">dán </w:t>
      </w:r>
      <w:r w:rsidR="08E90044" w:rsidRPr="00273106">
        <w:rPr>
          <w:iCs/>
        </w:rPr>
        <w:t>metafyzi</w:t>
      </w:r>
      <w:r w:rsidR="08E90044">
        <w:rPr>
          <w:iCs/>
        </w:rPr>
        <w:t>cko-eticky (Olivi), pak spásonosně</w:t>
      </w:r>
      <w:r w:rsidR="08E90044" w:rsidRPr="00273106">
        <w:rPr>
          <w:iCs/>
        </w:rPr>
        <w:t xml:space="preserve"> (Kalv</w:t>
      </w:r>
      <w:r w:rsidR="08E90044">
        <w:rPr>
          <w:iCs/>
        </w:rPr>
        <w:t>ín), pak ekonomicko-ideologicky (Marx), pak sociálně</w:t>
      </w:r>
      <w:r w:rsidR="08E90044" w:rsidRPr="00273106">
        <w:rPr>
          <w:iCs/>
        </w:rPr>
        <w:t xml:space="preserve"> (Bourdieu), </w:t>
      </w:r>
      <w:r w:rsidR="08E90044">
        <w:rPr>
          <w:iCs/>
        </w:rPr>
        <w:t>pak ve formě virtuálního dluhu (finanční deriváty</w:t>
      </w:r>
      <w:r w:rsidR="08E90044">
        <w:fldChar w:fldCharType="begin"/>
      </w:r>
      <w:r w:rsidR="08E90044">
        <w:instrText xml:space="preserve"> XE "</w:instrText>
      </w:r>
      <w:r w:rsidR="08E90044" w:rsidRPr="089E7504">
        <w:instrText>finanční deriváty</w:instrText>
      </w:r>
      <w:r w:rsidR="08E90044">
        <w:instrText xml:space="preserve">" </w:instrText>
      </w:r>
      <w:r w:rsidR="08E90044">
        <w:fldChar w:fldCharType="end"/>
      </w:r>
      <w:r w:rsidR="08E90044">
        <w:rPr>
          <w:iCs/>
        </w:rPr>
        <w:t xml:space="preserve">, kvantitativní uvolňování), </w:t>
      </w:r>
      <w:r w:rsidR="08E90044" w:rsidRPr="00273106">
        <w:rPr>
          <w:iCs/>
        </w:rPr>
        <w:t xml:space="preserve">a nakonec je </w:t>
      </w:r>
      <w:r w:rsidR="08E90044">
        <w:rPr>
          <w:iCs/>
        </w:rPr>
        <w:t xml:space="preserve">mysticky-evolučně </w:t>
      </w:r>
      <w:r w:rsidR="08E90044" w:rsidRPr="00273106">
        <w:rPr>
          <w:iCs/>
        </w:rPr>
        <w:t>zakódán v DNA jako kulturní mimetikum (Dawkins</w:t>
      </w:r>
      <w:r w:rsidR="08E90044">
        <w:fldChar w:fldCharType="begin"/>
      </w:r>
      <w:r w:rsidR="08E90044">
        <w:instrText xml:space="preserve"> XE "</w:instrText>
      </w:r>
      <w:r w:rsidR="08E90044" w:rsidRPr="00CF7F83">
        <w:instrText>Dawkins, R.</w:instrText>
      </w:r>
      <w:r w:rsidR="08E90044">
        <w:instrText xml:space="preserve">" </w:instrText>
      </w:r>
      <w:r w:rsidR="08E90044">
        <w:fldChar w:fldCharType="end"/>
      </w:r>
      <w:r w:rsidR="003B3170">
        <w:rPr>
          <w:iCs/>
        </w:rPr>
        <w:t xml:space="preserve">). </w:t>
      </w:r>
      <w:r w:rsidR="003B3170">
        <w:rPr>
          <w:rStyle w:val="addmd"/>
        </w:rPr>
        <w:t xml:space="preserve">Moderní člověk jako digitalizované </w:t>
      </w:r>
      <w:r w:rsidR="003B3170" w:rsidRPr="08C35280">
        <w:rPr>
          <w:rStyle w:val="addmd"/>
          <w:i/>
        </w:rPr>
        <w:t>concretum</w:t>
      </w:r>
      <w:r w:rsidR="003B3170">
        <w:rPr>
          <w:rStyle w:val="addmd"/>
        </w:rPr>
        <w:t xml:space="preserve"> a </w:t>
      </w:r>
      <w:r w:rsidR="003B3170" w:rsidRPr="08C35280">
        <w:rPr>
          <w:rStyle w:val="addmd"/>
          <w:i/>
        </w:rPr>
        <w:t>factibile</w:t>
      </w:r>
      <w:r w:rsidR="003B3170">
        <w:rPr>
          <w:rStyle w:val="addmd"/>
        </w:rPr>
        <w:t xml:space="preserve"> je definován jako individuální subjekt nesoucí v modu moderního </w:t>
      </w:r>
      <w:r w:rsidR="003B3170" w:rsidRPr="08642B3D">
        <w:rPr>
          <w:rStyle w:val="addmd"/>
          <w:i/>
        </w:rPr>
        <w:t>har</w:t>
      </w:r>
      <w:r w:rsidR="003B3170">
        <w:rPr>
          <w:rStyle w:val="addmd"/>
          <w:i/>
        </w:rPr>
        <w:t>d</w:t>
      </w:r>
      <w:r w:rsidR="003B3170" w:rsidRPr="08642B3D">
        <w:rPr>
          <w:rStyle w:val="addmd"/>
          <w:i/>
        </w:rPr>
        <w:t>ware</w:t>
      </w:r>
      <w:r w:rsidR="003B3170">
        <w:rPr>
          <w:rStyle w:val="addmd"/>
        </w:rPr>
        <w:t xml:space="preserve"> specifickou kombinaci DNA jako svůj individuální a specifický </w:t>
      </w:r>
      <w:r w:rsidR="003B3170" w:rsidRPr="08642B3D">
        <w:rPr>
          <w:rStyle w:val="addmd"/>
          <w:i/>
        </w:rPr>
        <w:t>software</w:t>
      </w:r>
      <w:r w:rsidR="003B3170">
        <w:rPr>
          <w:i/>
        </w:rPr>
        <w:fldChar w:fldCharType="begin"/>
      </w:r>
      <w:r w:rsidR="003B3170">
        <w:instrText xml:space="preserve"> XE "sofisma člověk-mrtvola" </w:instrText>
      </w:r>
      <w:r w:rsidR="003B3170">
        <w:rPr>
          <w:i/>
        </w:rPr>
        <w:fldChar w:fldCharType="end"/>
      </w:r>
      <w:r w:rsidR="003B3170">
        <w:rPr>
          <w:rStyle w:val="addmd"/>
        </w:rPr>
        <w:t xml:space="preserve">. Digitalizované individuum se stalo </w:t>
      </w:r>
      <w:r w:rsidR="003B3170">
        <w:rPr>
          <w:iCs/>
        </w:rPr>
        <w:t xml:space="preserve">v epoše korporátního fašismu novým subjektem, který </w:t>
      </w:r>
      <w:r w:rsidR="08E90044">
        <w:rPr>
          <w:iCs/>
        </w:rPr>
        <w:t xml:space="preserve">determinuje současnou epochu finančního a globálního nihilismu.  </w:t>
      </w:r>
    </w:p>
    <w:p w:rsidR="08163013" w:rsidRPr="00724FA7" w:rsidRDefault="08E90044" w:rsidP="00724FA7">
      <w:pPr>
        <w:ind w:firstLine="397"/>
        <w:rPr>
          <w:rFonts w:cs="Brill-Roman"/>
        </w:rPr>
      </w:pPr>
      <w:r>
        <w:rPr>
          <w:iCs/>
        </w:rPr>
        <w:t xml:space="preserve">Náboženství moderny </w:t>
      </w:r>
      <w:r w:rsidR="009242DC" w:rsidRPr="009242DC">
        <w:rPr>
          <w:iCs/>
        </w:rPr>
        <w:t>našlo své základní potvrzení her</w:t>
      </w:r>
      <w:r w:rsidR="009242DC">
        <w:rPr>
          <w:iCs/>
        </w:rPr>
        <w:t>meneutickým začarovaným kruhem „</w:t>
      </w:r>
      <w:r w:rsidR="009242DC" w:rsidRPr="009242DC">
        <w:rPr>
          <w:i/>
          <w:iCs/>
        </w:rPr>
        <w:t>religio</w:t>
      </w:r>
      <w:r w:rsidR="009242DC">
        <w:rPr>
          <w:iCs/>
        </w:rPr>
        <w:t>“</w:t>
      </w:r>
      <w:r w:rsidR="009242DC" w:rsidRPr="009242DC">
        <w:rPr>
          <w:iCs/>
        </w:rPr>
        <w:t>. Odhalili jsme spojení s původním počátkem, z něhož vyrůstá autorita a vláda moderny nad světem.</w:t>
      </w:r>
      <w:r w:rsidR="00D61E6C">
        <w:rPr>
          <w:iCs/>
        </w:rPr>
        <w:t xml:space="preserve"> </w:t>
      </w:r>
      <w:r>
        <w:rPr>
          <w:iCs/>
        </w:rPr>
        <w:t>Nový objektivní dativ zakládá současnou dějinnou podobu objektivity přiléhavě nazvané termínem „antropocén</w:t>
      </w:r>
      <w:r>
        <w:rPr>
          <w:iCs/>
        </w:rPr>
        <w:fldChar w:fldCharType="begin"/>
      </w:r>
      <w:r>
        <w:instrText xml:space="preserve"> XE "</w:instrText>
      </w:r>
      <w:r w:rsidRPr="00C32BD4">
        <w:rPr>
          <w:iCs/>
        </w:rPr>
        <w:instrText>antropocén</w:instrText>
      </w:r>
      <w:r>
        <w:instrText xml:space="preserve">" </w:instrText>
      </w:r>
      <w:r>
        <w:rPr>
          <w:iCs/>
        </w:rPr>
        <w:fldChar w:fldCharType="end"/>
      </w:r>
      <w:r>
        <w:rPr>
          <w:iCs/>
        </w:rPr>
        <w:t>“</w:t>
      </w:r>
      <w:r w:rsidRPr="00273106">
        <w:rPr>
          <w:iCs/>
        </w:rPr>
        <w:t>.</w:t>
      </w:r>
      <w:r w:rsidR="00CD4696">
        <w:rPr>
          <w:iCs/>
        </w:rPr>
        <w:t xml:space="preserve"> Celá planeta Země </w:t>
      </w:r>
      <w:r w:rsidR="00CD4696">
        <w:rPr>
          <w:iCs/>
        </w:rPr>
        <w:lastRenderedPageBreak/>
        <w:t xml:space="preserve">se postupně mění na nihilistické </w:t>
      </w:r>
      <w:r w:rsidR="00CD4696" w:rsidRPr="00CD4696">
        <w:rPr>
          <w:i/>
          <w:iCs/>
        </w:rPr>
        <w:t>tertium ens</w:t>
      </w:r>
      <w:r w:rsidR="00CD4696">
        <w:rPr>
          <w:iCs/>
        </w:rPr>
        <w:t xml:space="preserve">. </w:t>
      </w:r>
      <w:r w:rsidR="00EF364C">
        <w:t>Skrze metafyzické vytěsnění reálného jsoucna (</w:t>
      </w:r>
      <w:r w:rsidR="00EF364C" w:rsidRPr="08F2477F">
        <w:rPr>
          <w:i/>
        </w:rPr>
        <w:t>Seinsvergessenheit</w:t>
      </w:r>
      <w:r w:rsidR="00EF364C">
        <w:t>) rozpoutal z</w:t>
      </w:r>
      <w:r w:rsidR="08163013">
        <w:t>ápadní subje</w:t>
      </w:r>
      <w:r w:rsidR="000E03E8">
        <w:t xml:space="preserve">kt </w:t>
      </w:r>
      <w:r w:rsidR="08163013">
        <w:t>objektivní tragédii, která se odehrává před našima očima. Nejprve byla z metafyzického myšlení vytěsněna první substance a pak jednání svobodného člověka</w:t>
      </w:r>
      <w:r w:rsidR="08163013" w:rsidRPr="00273106">
        <w:t xml:space="preserve">. </w:t>
      </w:r>
      <w:r w:rsidR="08163013">
        <w:t xml:space="preserve">Dějiny </w:t>
      </w:r>
      <w:r w:rsidR="08163013" w:rsidRPr="00273106">
        <w:t xml:space="preserve"> fašistické, totalitní, korporátní a narcistní postmoderny potvrdil</w:t>
      </w:r>
      <w:r w:rsidR="08163013">
        <w:t>y</w:t>
      </w:r>
      <w:r w:rsidR="08163013" w:rsidRPr="00273106">
        <w:t xml:space="preserve"> skrze </w:t>
      </w:r>
      <w:r w:rsidR="08163013">
        <w:t xml:space="preserve">pozitivistická </w:t>
      </w:r>
      <w:r w:rsidR="08163013" w:rsidRPr="00273106">
        <w:t xml:space="preserve">fakta </w:t>
      </w:r>
      <w:r w:rsidR="08163013">
        <w:t xml:space="preserve">historie dějinně daný </w:t>
      </w:r>
      <w:r w:rsidR="08163013" w:rsidRPr="00273106">
        <w:t xml:space="preserve">nihilismus metafyziky </w:t>
      </w:r>
      <w:r w:rsidR="08163013">
        <w:t xml:space="preserve">objektivně </w:t>
      </w:r>
      <w:r w:rsidR="08163013" w:rsidRPr="00273106">
        <w:t>postavené podle Oidipova tragického příběhu.</w:t>
      </w:r>
      <w:r w:rsidR="08163013">
        <w:t xml:space="preserve"> </w:t>
      </w:r>
      <w:r w:rsidR="08163013">
        <w:rPr>
          <w:iCs/>
        </w:rPr>
        <w:t xml:space="preserve">Instrumentální rozum </w:t>
      </w:r>
      <w:r w:rsidR="08163013">
        <w:rPr>
          <w:iCs/>
        </w:rPr>
        <w:fldChar w:fldCharType="begin"/>
      </w:r>
      <w:r w:rsidR="08163013">
        <w:instrText xml:space="preserve"> XE "intelekt</w:instrText>
      </w:r>
      <w:r w:rsidR="08163013" w:rsidRPr="00345F13">
        <w:instrText>:instrumentální</w:instrText>
      </w:r>
      <w:r w:rsidR="08163013">
        <w:instrText xml:space="preserve">" </w:instrText>
      </w:r>
      <w:r w:rsidR="08163013">
        <w:rPr>
          <w:iCs/>
        </w:rPr>
        <w:fldChar w:fldCharType="end"/>
      </w:r>
      <w:r w:rsidR="00DD3E5C">
        <w:rPr>
          <w:iCs/>
        </w:rPr>
        <w:t xml:space="preserve"> </w:t>
      </w:r>
      <w:r w:rsidR="08163013" w:rsidRPr="00273106">
        <w:rPr>
          <w:iCs/>
        </w:rPr>
        <w:t xml:space="preserve">převedl celek jsoucna na vědecko-technickou jednotu danou v rámci pouhé </w:t>
      </w:r>
      <w:r w:rsidR="08163013">
        <w:rPr>
          <w:iCs/>
        </w:rPr>
        <w:t>matematické abstrakce</w:t>
      </w:r>
      <w:r w:rsidR="08163013">
        <w:rPr>
          <w:iCs/>
        </w:rPr>
        <w:fldChar w:fldCharType="begin"/>
      </w:r>
      <w:r w:rsidR="08163013">
        <w:instrText xml:space="preserve"> XE "</w:instrText>
      </w:r>
      <w:r w:rsidR="08163013" w:rsidRPr="00A824F0">
        <w:instrText>abstrakce:matematická</w:instrText>
      </w:r>
      <w:r w:rsidR="08163013">
        <w:instrText xml:space="preserve">" </w:instrText>
      </w:r>
      <w:r w:rsidR="08163013">
        <w:rPr>
          <w:iCs/>
        </w:rPr>
        <w:fldChar w:fldCharType="end"/>
      </w:r>
      <w:r w:rsidR="08163013">
        <w:rPr>
          <w:iCs/>
        </w:rPr>
        <w:t xml:space="preserve"> či digitální diference mezi objektivně danou jedničkou a </w:t>
      </w:r>
      <w:r w:rsidR="00DD3E5C">
        <w:rPr>
          <w:iCs/>
        </w:rPr>
        <w:t>nulou</w:t>
      </w:r>
      <w:r w:rsidR="08163013">
        <w:rPr>
          <w:iCs/>
        </w:rPr>
        <w:t>. Postmoderní</w:t>
      </w:r>
      <w:r w:rsidR="08163013" w:rsidRPr="00273106">
        <w:rPr>
          <w:iCs/>
        </w:rPr>
        <w:t xml:space="preserve"> </w:t>
      </w:r>
      <w:r w:rsidR="08163013">
        <w:rPr>
          <w:iCs/>
        </w:rPr>
        <w:t>neopozitivistické a lingvistické paradigma</w:t>
      </w:r>
      <w:r w:rsidR="08163013" w:rsidRPr="00273106">
        <w:rPr>
          <w:iCs/>
        </w:rPr>
        <w:t xml:space="preserve"> </w:t>
      </w:r>
      <w:r w:rsidR="08163013">
        <w:rPr>
          <w:iCs/>
        </w:rPr>
        <w:t xml:space="preserve">nakonec zrušilo i samotnou metafyziku. Binární diference zakládající současný oblak nevědění v rámci </w:t>
      </w:r>
      <w:r w:rsidR="08163013" w:rsidRPr="005B1591">
        <w:rPr>
          <w:i/>
          <w:iCs/>
        </w:rPr>
        <w:t>cloud computing</w:t>
      </w:r>
      <w:r w:rsidR="08163013">
        <w:rPr>
          <w:i/>
          <w:iCs/>
        </w:rPr>
        <w:fldChar w:fldCharType="begin"/>
      </w:r>
      <w:r w:rsidR="08163013">
        <w:instrText xml:space="preserve"> XE "</w:instrText>
      </w:r>
      <w:r w:rsidR="08163013" w:rsidRPr="00E1232A">
        <w:rPr>
          <w:i/>
        </w:rPr>
        <w:instrText>cloud computing</w:instrText>
      </w:r>
      <w:r w:rsidR="08163013">
        <w:instrText xml:space="preserve">" </w:instrText>
      </w:r>
      <w:r w:rsidR="08163013">
        <w:rPr>
          <w:i/>
          <w:iCs/>
        </w:rPr>
        <w:fldChar w:fldCharType="end"/>
      </w:r>
      <w:r w:rsidR="08163013">
        <w:rPr>
          <w:iCs/>
        </w:rPr>
        <w:t xml:space="preserve"> ukazuje konečné stádium neexistující </w:t>
      </w:r>
      <w:r w:rsidR="08163013">
        <w:t xml:space="preserve">metafyziky, jež tvoří základní </w:t>
      </w:r>
      <w:r w:rsidR="0834580B">
        <w:t xml:space="preserve">démonický </w:t>
      </w:r>
      <w:r w:rsidR="004437A1">
        <w:t xml:space="preserve">étos </w:t>
      </w:r>
      <w:r w:rsidR="08163013">
        <w:t xml:space="preserve">dnešních </w:t>
      </w:r>
      <w:r w:rsidR="08163013" w:rsidRPr="00F051A2">
        <w:rPr>
          <w:i/>
        </w:rPr>
        <w:t>Modernorum</w:t>
      </w:r>
      <w:r w:rsidR="08163013">
        <w:t xml:space="preserve">. </w:t>
      </w:r>
      <w:r w:rsidR="0834580B">
        <w:t>Tato s</w:t>
      </w:r>
      <w:r w:rsidR="08163013">
        <w:t xml:space="preserve">ofistikovaná slepota Západu </w:t>
      </w:r>
      <w:r w:rsidR="00B44ACE">
        <w:t xml:space="preserve">hermeneuticky </w:t>
      </w:r>
      <w:r w:rsidR="08163013">
        <w:t>vysvětluje, proč technický a poli</w:t>
      </w:r>
      <w:r w:rsidR="0834580B">
        <w:t xml:space="preserve">tický nihilismus vytvořil </w:t>
      </w:r>
      <w:r w:rsidR="08163013">
        <w:t xml:space="preserve">epochu </w:t>
      </w:r>
      <w:r w:rsidR="0834580B">
        <w:t>dvou světových</w:t>
      </w:r>
      <w:r w:rsidR="08163013">
        <w:t xml:space="preserve"> vál</w:t>
      </w:r>
      <w:r w:rsidR="0834580B">
        <w:t>ek</w:t>
      </w:r>
      <w:r w:rsidR="08163013">
        <w:t>, totalitaristická hnutí a globální ničení Země v epoše zvané antropocén</w:t>
      </w:r>
      <w:r w:rsidR="08163013">
        <w:fldChar w:fldCharType="begin"/>
      </w:r>
      <w:r w:rsidR="08163013">
        <w:instrText xml:space="preserve"> XE "</w:instrText>
      </w:r>
      <w:r w:rsidR="08163013" w:rsidRPr="08692CCC">
        <w:instrText>antropocén</w:instrText>
      </w:r>
      <w:r w:rsidR="08163013">
        <w:instrText xml:space="preserve">" </w:instrText>
      </w:r>
      <w:r w:rsidR="08163013">
        <w:fldChar w:fldCharType="end"/>
      </w:r>
      <w:r w:rsidR="08163013">
        <w:t xml:space="preserve">. </w:t>
      </w:r>
      <w:r w:rsidR="08163013" w:rsidRPr="00273106">
        <w:t xml:space="preserve">Hermeneutika objektivity datuje tuto epochální změnu dějin myšlení do druhé poloviny 13. století, kdy vzniká moderní </w:t>
      </w:r>
      <w:r w:rsidR="08163013">
        <w:t xml:space="preserve">historie Západu. </w:t>
      </w:r>
      <w:r w:rsidR="00E17B48">
        <w:rPr>
          <w:rStyle w:val="ezkurwreuab5ozgtqnkl"/>
        </w:rPr>
        <w:t>Archeologie</w:t>
      </w:r>
      <w:r w:rsidR="00E17B48">
        <w:t xml:space="preserve"> </w:t>
      </w:r>
      <w:r w:rsidR="00E17B48">
        <w:rPr>
          <w:rStyle w:val="ezkurwreuab5ozgtqnkl"/>
        </w:rPr>
        <w:t>objektivity</w:t>
      </w:r>
      <w:r w:rsidR="00E17B48">
        <w:t xml:space="preserve"> </w:t>
      </w:r>
      <w:r w:rsidR="00E17B48">
        <w:rPr>
          <w:rStyle w:val="ezkurwreuab5ozgtqnkl"/>
        </w:rPr>
        <w:t>určila, kdo byl člověk</w:t>
      </w:r>
      <w:r w:rsidR="00E17B48">
        <w:t xml:space="preserve"> </w:t>
      </w:r>
      <w:r w:rsidR="00E17B48">
        <w:rPr>
          <w:rStyle w:val="ezkurwreuab5ozgtqnkl"/>
        </w:rPr>
        <w:t xml:space="preserve">a kým se stal v epochálním </w:t>
      </w:r>
      <w:r w:rsidR="00E17B48" w:rsidRPr="00E17B48">
        <w:rPr>
          <w:rStyle w:val="ezkurwreuab5ozgtqnkl"/>
          <w:i/>
        </w:rPr>
        <w:t>Lichtung</w:t>
      </w:r>
      <w:r w:rsidR="00E17B48">
        <w:rPr>
          <w:rStyle w:val="ezkurwreuab5ozgtqnkl"/>
        </w:rPr>
        <w:t xml:space="preserve"> nepravdy.</w:t>
      </w:r>
      <w:r w:rsidR="00E17B48">
        <w:t xml:space="preserve"> </w:t>
      </w:r>
      <w:r w:rsidR="00E17B48">
        <w:rPr>
          <w:rStyle w:val="ezkurwreuab5ozgtqnkl"/>
        </w:rPr>
        <w:t>Protože</w:t>
      </w:r>
      <w:r w:rsidR="00E17B48">
        <w:t xml:space="preserve"> </w:t>
      </w:r>
      <w:r w:rsidR="00E17B48" w:rsidRPr="00E17B48">
        <w:rPr>
          <w:rStyle w:val="ezkurwreuab5ozgtqnkl"/>
          <w:i/>
        </w:rPr>
        <w:t>Lichtung</w:t>
      </w:r>
      <w:r w:rsidR="00E17B48">
        <w:rPr>
          <w:rStyle w:val="ezkurwreuab5ozgtqnkl"/>
        </w:rPr>
        <w:t xml:space="preserve"> bytí</w:t>
      </w:r>
      <w:r w:rsidR="00E17B48">
        <w:t xml:space="preserve"> </w:t>
      </w:r>
      <w:r w:rsidR="00E17B48">
        <w:rPr>
          <w:rStyle w:val="ezkurwreuab5ozgtqnkl"/>
        </w:rPr>
        <w:t>také odhaluje</w:t>
      </w:r>
      <w:r w:rsidR="00E17B48">
        <w:t xml:space="preserve"> </w:t>
      </w:r>
      <w:r w:rsidR="00E17B48">
        <w:rPr>
          <w:rStyle w:val="ezkurwreuab5ozgtqnkl"/>
        </w:rPr>
        <w:t>pravdu</w:t>
      </w:r>
      <w:r w:rsidR="00E17B48">
        <w:t xml:space="preserve">, </w:t>
      </w:r>
      <w:r w:rsidR="00E17B48">
        <w:rPr>
          <w:rStyle w:val="ezkurwreuab5ozgtqnkl"/>
        </w:rPr>
        <w:t>můžeme se probudit</w:t>
      </w:r>
      <w:r w:rsidR="00E17B48">
        <w:t xml:space="preserve"> </w:t>
      </w:r>
      <w:r w:rsidR="00E17B48">
        <w:rPr>
          <w:rStyle w:val="ezkurwreuab5ozgtqnkl"/>
        </w:rPr>
        <w:t>z objektivního</w:t>
      </w:r>
      <w:r w:rsidR="00E17B48">
        <w:t xml:space="preserve"> </w:t>
      </w:r>
      <w:r w:rsidR="00E17B48">
        <w:rPr>
          <w:rStyle w:val="ezkurwreuab5ozgtqnkl"/>
        </w:rPr>
        <w:t>spánku</w:t>
      </w:r>
      <w:r w:rsidR="00E17B48">
        <w:t xml:space="preserve"> </w:t>
      </w:r>
      <w:r w:rsidR="00E17B48">
        <w:rPr>
          <w:rStyle w:val="ezkurwreuab5ozgtqnkl"/>
        </w:rPr>
        <w:t>nihilistického</w:t>
      </w:r>
      <w:r w:rsidR="00E17B48">
        <w:t xml:space="preserve"> </w:t>
      </w:r>
      <w:r w:rsidR="00E17B48">
        <w:rPr>
          <w:rStyle w:val="ezkurwreuab5ozgtqnkl"/>
        </w:rPr>
        <w:t>rozumu</w:t>
      </w:r>
      <w:r w:rsidR="00E17B48">
        <w:t>.</w:t>
      </w:r>
      <w:r w:rsidR="0095442D">
        <w:t xml:space="preserve"> A možná, že </w:t>
      </w:r>
      <w:r w:rsidR="0834580B">
        <w:t xml:space="preserve">jednou </w:t>
      </w:r>
      <w:r w:rsidR="0095442D">
        <w:t xml:space="preserve">najdeme i </w:t>
      </w:r>
      <w:r w:rsidR="0834580B">
        <w:t xml:space="preserve">původní způsob, jak v modu apollinské archegetické sémantiky kolem nás přecházel i samotný bůh. Pak můžeme jít po </w:t>
      </w:r>
      <w:r>
        <w:t xml:space="preserve">božích </w:t>
      </w:r>
      <w:r w:rsidR="0834580B">
        <w:t xml:space="preserve">stopách a </w:t>
      </w:r>
      <w:r>
        <w:t xml:space="preserve">tak </w:t>
      </w:r>
      <w:r w:rsidR="0834580B">
        <w:t xml:space="preserve">budovat novou globální komunitu </w:t>
      </w:r>
      <w:r w:rsidR="0834580B" w:rsidRPr="085740BA">
        <w:rPr>
          <w:i/>
        </w:rPr>
        <w:t>Magna Graecia</w:t>
      </w:r>
      <w:r>
        <w:t xml:space="preserve">. </w:t>
      </w:r>
      <w:r w:rsidR="00E230AA">
        <w:rPr>
          <w:rStyle w:val="ezkurwreuab5ozgtqnkl"/>
        </w:rPr>
        <w:t>Po zmizení</w:t>
      </w:r>
      <w:r w:rsidR="00E230AA">
        <w:t xml:space="preserve"> </w:t>
      </w:r>
      <w:r w:rsidR="00E230AA">
        <w:rPr>
          <w:rStyle w:val="ezkurwreuab5ozgtqnkl"/>
        </w:rPr>
        <w:t>simulákra</w:t>
      </w:r>
      <w:r w:rsidR="00E230AA">
        <w:t xml:space="preserve"> </w:t>
      </w:r>
      <w:r w:rsidR="00E230AA">
        <w:rPr>
          <w:rStyle w:val="ezkurwreuab5ozgtqnkl"/>
        </w:rPr>
        <w:t>nazvaného</w:t>
      </w:r>
      <w:r w:rsidR="00E230AA">
        <w:t xml:space="preserve"> </w:t>
      </w:r>
      <w:r w:rsidR="00E230AA">
        <w:rPr>
          <w:rStyle w:val="ezkurwreuab5ozgtqnkl"/>
        </w:rPr>
        <w:t>„bůh</w:t>
      </w:r>
      <w:r w:rsidR="00E230AA">
        <w:t xml:space="preserve"> </w:t>
      </w:r>
      <w:r w:rsidR="00E230AA" w:rsidRPr="00E230AA">
        <w:rPr>
          <w:rStyle w:val="ezkurwreuab5ozgtqnkl"/>
          <w:i/>
        </w:rPr>
        <w:t>Modernorum</w:t>
      </w:r>
      <w:r w:rsidR="00E230AA">
        <w:rPr>
          <w:rStyle w:val="ezkurwreuab5ozgtqnkl"/>
        </w:rPr>
        <w:t>“</w:t>
      </w:r>
      <w:r w:rsidR="00E230AA">
        <w:t xml:space="preserve"> </w:t>
      </w:r>
      <w:r w:rsidR="00E230AA">
        <w:rPr>
          <w:rStyle w:val="ezkurwreuab5ozgtqnkl"/>
        </w:rPr>
        <w:t>toto moderní</w:t>
      </w:r>
      <w:r w:rsidR="00E230AA">
        <w:t xml:space="preserve"> </w:t>
      </w:r>
      <w:r w:rsidR="00E230AA" w:rsidRPr="00E230AA">
        <w:rPr>
          <w:rStyle w:val="ezkurwreuab5ozgtqnkl"/>
          <w:i/>
        </w:rPr>
        <w:t>tertium</w:t>
      </w:r>
      <w:r w:rsidR="00E230AA" w:rsidRPr="00E230AA">
        <w:rPr>
          <w:i/>
        </w:rPr>
        <w:t xml:space="preserve"> </w:t>
      </w:r>
      <w:r w:rsidR="00E230AA" w:rsidRPr="00E230AA">
        <w:rPr>
          <w:rStyle w:val="ezkurwreuab5ozgtqnkl"/>
          <w:i/>
        </w:rPr>
        <w:t>ens</w:t>
      </w:r>
      <w:r w:rsidR="00E230AA">
        <w:t xml:space="preserve"> </w:t>
      </w:r>
      <w:r w:rsidR="00E230AA">
        <w:rPr>
          <w:rStyle w:val="ezkurwreuab5ozgtqnkl"/>
        </w:rPr>
        <w:t>definitivně</w:t>
      </w:r>
      <w:r w:rsidR="00E230AA">
        <w:t xml:space="preserve"> </w:t>
      </w:r>
      <w:r w:rsidR="00E230AA">
        <w:rPr>
          <w:rStyle w:val="ezkurwreuab5ozgtqnkl"/>
        </w:rPr>
        <w:t>přešlo do světa mrtvých.</w:t>
      </w:r>
      <w:r w:rsidR="00E230AA">
        <w:t xml:space="preserve"> </w:t>
      </w:r>
      <w:r w:rsidR="00E230AA">
        <w:rPr>
          <w:rStyle w:val="ezkurwreuab5ozgtqnkl"/>
        </w:rPr>
        <w:t>Kult</w:t>
      </w:r>
      <w:r w:rsidR="00E230AA">
        <w:t xml:space="preserve"> </w:t>
      </w:r>
      <w:r w:rsidR="00E230AA">
        <w:rPr>
          <w:rStyle w:val="ezkurwreuab5ozgtqnkl"/>
        </w:rPr>
        <w:t>mrtvého</w:t>
      </w:r>
      <w:r w:rsidR="00E230AA">
        <w:t xml:space="preserve"> </w:t>
      </w:r>
      <w:r w:rsidR="00E230AA">
        <w:rPr>
          <w:rStyle w:val="ezkurwreuab5ozgtqnkl"/>
        </w:rPr>
        <w:t>moderního</w:t>
      </w:r>
      <w:r w:rsidR="00E230AA">
        <w:t xml:space="preserve"> </w:t>
      </w:r>
      <w:r w:rsidR="00E230AA">
        <w:rPr>
          <w:rStyle w:val="ezkurwreuab5ozgtqnkl"/>
        </w:rPr>
        <w:t>boha</w:t>
      </w:r>
      <w:r w:rsidR="00E230AA">
        <w:t xml:space="preserve"> </w:t>
      </w:r>
      <w:r w:rsidR="00E230AA">
        <w:rPr>
          <w:rStyle w:val="ezkurwreuab5ozgtqnkl"/>
        </w:rPr>
        <w:t>je nyní uměle</w:t>
      </w:r>
      <w:r w:rsidR="00E230AA">
        <w:t xml:space="preserve"> </w:t>
      </w:r>
      <w:r w:rsidR="00E230AA">
        <w:rPr>
          <w:rStyle w:val="ezkurwreuab5ozgtqnkl"/>
        </w:rPr>
        <w:t>udržován postmoderní ideologií, objektivistickou teologií a mystickou pseudometafyzikou.</w:t>
      </w:r>
      <w:r w:rsidR="00E230AA">
        <w:t xml:space="preserve"> </w:t>
      </w:r>
      <w:r w:rsidR="08163013">
        <w:t xml:space="preserve">Proto se musí archaická hermeneutika vrátit ke skrytému </w:t>
      </w:r>
      <w:r w:rsidR="000643C8">
        <w:t>theo</w:t>
      </w:r>
      <w:r w:rsidR="08B2428B">
        <w:t xml:space="preserve">logickému </w:t>
      </w:r>
      <w:r w:rsidR="08163013">
        <w:t xml:space="preserve">působení Múz, které odešly do dějinně konfigurované </w:t>
      </w:r>
      <w:r w:rsidR="00594E30" w:rsidRPr="00594E30">
        <w:t>Léthé</w:t>
      </w:r>
      <w:r w:rsidR="08163013">
        <w:t>. Milovník</w:t>
      </w:r>
      <w:r w:rsidR="082570AA">
        <w:t xml:space="preserve"> moudrosti musí být tam, kde po-</w:t>
      </w:r>
      <w:r w:rsidR="08163013">
        <w:t xml:space="preserve">odkrytě působí moudrost. </w:t>
      </w:r>
      <w:r>
        <w:t>V dějinně daném součtveří bohů</w:t>
      </w:r>
      <w:r w:rsidR="00E30FC5">
        <w:t xml:space="preserve"> a smrtelníků, nebe a země stále působí </w:t>
      </w:r>
      <w:r>
        <w:t>pravd</w:t>
      </w:r>
      <w:r w:rsidR="00E30FC5">
        <w:t>a</w:t>
      </w:r>
      <w:r>
        <w:t xml:space="preserve"> </w:t>
      </w:r>
      <w:r w:rsidR="004F2A83">
        <w:t xml:space="preserve">Múz </w:t>
      </w:r>
      <w:r>
        <w:t>v</w:t>
      </w:r>
      <w:r w:rsidR="00E30FC5">
        <w:t xml:space="preserve"> původní božské verzi </w:t>
      </w:r>
      <w:r w:rsidR="00E30FC5" w:rsidRPr="00E30FC5">
        <w:rPr>
          <w:i/>
        </w:rPr>
        <w:t xml:space="preserve">dativus </w:t>
      </w:r>
      <w:r w:rsidR="007D09CE" w:rsidRPr="00E30FC5">
        <w:rPr>
          <w:i/>
        </w:rPr>
        <w:t>archaic</w:t>
      </w:r>
      <w:r w:rsidR="00E30FC5" w:rsidRPr="00E30FC5">
        <w:rPr>
          <w:i/>
        </w:rPr>
        <w:t>us</w:t>
      </w:r>
      <w:r w:rsidR="00476F7B">
        <w:rPr>
          <w:i/>
        </w:rPr>
        <w:fldChar w:fldCharType="begin"/>
      </w:r>
      <w:r w:rsidR="00476F7B">
        <w:instrText xml:space="preserve"> XE "</w:instrText>
      </w:r>
      <w:r w:rsidR="00476F7B" w:rsidRPr="007617D4">
        <w:rPr>
          <w:i/>
        </w:rPr>
        <w:instrText>dativus archaicus</w:instrText>
      </w:r>
      <w:r w:rsidR="00476F7B">
        <w:instrText xml:space="preserve">" </w:instrText>
      </w:r>
      <w:r w:rsidR="00476F7B">
        <w:rPr>
          <w:i/>
        </w:rPr>
        <w:fldChar w:fldCharType="end"/>
      </w:r>
      <w:r w:rsidR="00E30FC5" w:rsidRPr="00E30FC5">
        <w:rPr>
          <w:i/>
        </w:rPr>
        <w:t xml:space="preserve"> </w:t>
      </w:r>
      <w:r w:rsidR="00E30FC5" w:rsidRPr="00E30FC5">
        <w:t>a následné verzi</w:t>
      </w:r>
      <w:r w:rsidR="00E30FC5">
        <w:rPr>
          <w:i/>
        </w:rPr>
        <w:t xml:space="preserve"> dativus </w:t>
      </w:r>
      <w:r w:rsidR="00E30FC5" w:rsidRPr="00E30FC5">
        <w:rPr>
          <w:i/>
        </w:rPr>
        <w:t>principali</w:t>
      </w:r>
      <w:r w:rsidR="00476F7B">
        <w:rPr>
          <w:i/>
        </w:rPr>
        <w:t>s</w:t>
      </w:r>
      <w:r w:rsidR="00476F7B">
        <w:rPr>
          <w:i/>
        </w:rPr>
        <w:fldChar w:fldCharType="begin"/>
      </w:r>
      <w:r w:rsidR="00476F7B">
        <w:instrText xml:space="preserve"> XE "</w:instrText>
      </w:r>
      <w:r w:rsidR="00476F7B" w:rsidRPr="00DF1261">
        <w:rPr>
          <w:i/>
        </w:rPr>
        <w:instrText>dativus principali</w:instrText>
      </w:r>
      <w:r w:rsidR="00C1465D">
        <w:rPr>
          <w:i/>
        </w:rPr>
        <w:instrText>s</w:instrText>
      </w:r>
      <w:r w:rsidR="00476F7B">
        <w:instrText xml:space="preserve">" </w:instrText>
      </w:r>
      <w:r w:rsidR="00476F7B">
        <w:rPr>
          <w:i/>
        </w:rPr>
        <w:fldChar w:fldCharType="end"/>
      </w:r>
      <w:r w:rsidR="007D09CE">
        <w:t xml:space="preserve"> </w:t>
      </w:r>
      <w:r w:rsidR="00E30FC5">
        <w:t xml:space="preserve">první </w:t>
      </w:r>
      <w:r w:rsidR="001C70C6">
        <w:t>filosofie</w:t>
      </w:r>
      <w:r w:rsidR="00E30FC5">
        <w:t>.</w:t>
      </w:r>
      <w:r w:rsidR="00C1465D">
        <w:t xml:space="preserve"> Z tohoto důvodu také pořád platí i</w:t>
      </w:r>
      <w:r>
        <w:t xml:space="preserve"> aristotelská definice humanismu v</w:t>
      </w:r>
      <w:r w:rsidR="081942A4">
        <w:t xml:space="preserve"> metafyzickém </w:t>
      </w:r>
      <w:r>
        <w:t xml:space="preserve">dativu. </w:t>
      </w:r>
      <w:r w:rsidR="001D354C">
        <w:t>P</w:t>
      </w:r>
      <w:r>
        <w:t xml:space="preserve">ouze jediná </w:t>
      </w:r>
      <w:r w:rsidR="00F875BE">
        <w:t xml:space="preserve">moudrá </w:t>
      </w:r>
      <w:r w:rsidR="001D354C">
        <w:t xml:space="preserve">a žijící osoba stočí k tomu, aby </w:t>
      </w:r>
      <w:r>
        <w:t>zal</w:t>
      </w:r>
      <w:r w:rsidR="001D354C">
        <w:t xml:space="preserve">ožila </w:t>
      </w:r>
      <w:r>
        <w:t xml:space="preserve">univerzální </w:t>
      </w:r>
      <w:r w:rsidR="00962190" w:rsidRPr="001D354C">
        <w:t>species</w:t>
      </w:r>
      <w:r>
        <w:t xml:space="preserve"> zvanou </w:t>
      </w:r>
      <w:r w:rsidRPr="08F723A5">
        <w:rPr>
          <w:i/>
        </w:rPr>
        <w:t>homo sapiens</w:t>
      </w:r>
      <w:r>
        <w:t xml:space="preserve">. </w:t>
      </w:r>
      <w:r w:rsidRPr="00273106">
        <w:rPr>
          <w:rFonts w:cs="Brill-Roman"/>
        </w:rPr>
        <w:t xml:space="preserve">Kritická </w:t>
      </w:r>
      <w:r>
        <w:rPr>
          <w:rFonts w:cs="Brill-Roman"/>
        </w:rPr>
        <w:t xml:space="preserve">hermeneutika </w:t>
      </w:r>
      <w:r>
        <w:t xml:space="preserve">západní cesty k objektivitě stojí </w:t>
      </w:r>
      <w:r w:rsidRPr="00273106">
        <w:t xml:space="preserve">mimo </w:t>
      </w:r>
      <w:r>
        <w:t xml:space="preserve">nazírání světa určené objektivitou, jenž globálně a fatálně </w:t>
      </w:r>
      <w:r w:rsidRPr="00273106">
        <w:t>určuj</w:t>
      </w:r>
      <w:r>
        <w:t xml:space="preserve">e současné dějiny myšlení. </w:t>
      </w:r>
      <w:r w:rsidR="00E07A34">
        <w:t>Proto bylo třeba najít vý</w:t>
      </w:r>
      <w:r w:rsidRPr="00273106">
        <w:rPr>
          <w:rFonts w:cs="Brill-Roman"/>
        </w:rPr>
        <w:t xml:space="preserve">klad </w:t>
      </w:r>
      <w:r>
        <w:rPr>
          <w:rFonts w:cs="Brill-Roman"/>
        </w:rPr>
        <w:t xml:space="preserve">objektivity </w:t>
      </w:r>
      <w:r w:rsidR="00E07A34">
        <w:rPr>
          <w:rFonts w:cs="Brill-Roman"/>
        </w:rPr>
        <w:t xml:space="preserve">postavený </w:t>
      </w:r>
      <w:r w:rsidR="002318C0">
        <w:rPr>
          <w:rFonts w:cs="Brill-Roman"/>
        </w:rPr>
        <w:t xml:space="preserve">mimo rámec </w:t>
      </w:r>
      <w:r w:rsidR="00E07A34">
        <w:rPr>
          <w:rFonts w:cs="Brill-Roman"/>
        </w:rPr>
        <w:t xml:space="preserve">současné </w:t>
      </w:r>
      <w:r w:rsidR="00E07A34" w:rsidRPr="00E07A34">
        <w:rPr>
          <w:rFonts w:cs="Brill-Roman"/>
          <w:i/>
        </w:rPr>
        <w:t>intelligentia spiritualis</w:t>
      </w:r>
      <w:r w:rsidR="00E07A34">
        <w:rPr>
          <w:rFonts w:cs="Brill-Roman"/>
        </w:rPr>
        <w:t xml:space="preserve">, která je vtělena do objektivního vědění současných </w:t>
      </w:r>
      <w:r w:rsidRPr="00273106">
        <w:rPr>
          <w:rFonts w:cs="Brill-Roman"/>
        </w:rPr>
        <w:t>osvícen</w:t>
      </w:r>
      <w:r w:rsidR="00E07A34">
        <w:rPr>
          <w:rFonts w:cs="Brill-Roman"/>
        </w:rPr>
        <w:t>ců a mediavelistů</w:t>
      </w:r>
      <w:r w:rsidRPr="00273106">
        <w:rPr>
          <w:rFonts w:cs="Brill-Roman"/>
        </w:rPr>
        <w:t>.</w:t>
      </w:r>
      <w:r>
        <w:rPr>
          <w:rFonts w:cs="Brill-Roman"/>
        </w:rPr>
        <w:t xml:space="preserve"> </w:t>
      </w:r>
      <w:r w:rsidR="009C0A7A">
        <w:rPr>
          <w:rStyle w:val="ezkurwreuab5ozgtqnkl"/>
        </w:rPr>
        <w:t>Poslední poděkování</w:t>
      </w:r>
      <w:r w:rsidR="009C0A7A">
        <w:t xml:space="preserve"> </w:t>
      </w:r>
      <w:r w:rsidR="009C0A7A">
        <w:rPr>
          <w:rStyle w:val="ezkurwreuab5ozgtqnkl"/>
        </w:rPr>
        <w:t>patří</w:t>
      </w:r>
      <w:r w:rsidR="009C0A7A">
        <w:t xml:space="preserve"> </w:t>
      </w:r>
      <w:r w:rsidR="009C0A7A">
        <w:rPr>
          <w:rStyle w:val="ezkurwreuab5ozgtqnkl"/>
        </w:rPr>
        <w:t>všem přátelům, kteří se na vzniku tohoto díla podíleli.</w:t>
      </w:r>
      <w:r w:rsidR="009C0A7A">
        <w:t xml:space="preserve"> </w:t>
      </w:r>
      <w:r w:rsidR="009C0A7A">
        <w:rPr>
          <w:rStyle w:val="ezkurwreuab5ozgtqnkl"/>
        </w:rPr>
        <w:t>Byl</w:t>
      </w:r>
      <w:r w:rsidR="009C0A7A">
        <w:t xml:space="preserve"> </w:t>
      </w:r>
      <w:r w:rsidR="009C0A7A">
        <w:rPr>
          <w:rStyle w:val="ezkurwreuab5ozgtqnkl"/>
        </w:rPr>
        <w:t>publikován</w:t>
      </w:r>
      <w:r w:rsidR="009C0A7A">
        <w:t xml:space="preserve"> </w:t>
      </w:r>
      <w:r w:rsidR="009C0A7A">
        <w:rPr>
          <w:rStyle w:val="ezkurwreuab5ozgtqnkl"/>
        </w:rPr>
        <w:t xml:space="preserve">v soukromém nakladatelství, skrze kolektivně řízený nakladatelský projekt našeho malého </w:t>
      </w:r>
      <w:r w:rsidR="009C0A7A" w:rsidRPr="009C0A7A">
        <w:rPr>
          <w:rStyle w:val="ezkurwreuab5ozgtqnkl"/>
          <w:i/>
        </w:rPr>
        <w:t>Musaion</w:t>
      </w:r>
      <w:r w:rsidR="009C0A7A">
        <w:t xml:space="preserve">. </w:t>
      </w:r>
      <w:r w:rsidR="009C0A7A">
        <w:rPr>
          <w:rStyle w:val="ezkurwreuab5ozgtqnkl"/>
        </w:rPr>
        <w:t>Z hlediska předložených argumentů platí, že jakékoli jiné vydání této knihy, které by obešlo archaickou pravdu určenou Múzami,</w:t>
      </w:r>
      <w:r w:rsidR="009C0A7A">
        <w:t xml:space="preserve"> by </w:t>
      </w:r>
      <w:r w:rsidR="009C0A7A">
        <w:rPr>
          <w:rStyle w:val="ezkurwreuab5ozgtqnkl"/>
        </w:rPr>
        <w:t>bylo</w:t>
      </w:r>
      <w:r w:rsidR="009C0A7A">
        <w:t xml:space="preserve"> </w:t>
      </w:r>
      <w:r w:rsidR="009C0A7A" w:rsidRPr="009C0A7A">
        <w:rPr>
          <w:rStyle w:val="ezkurwreuab5ozgtqnkl"/>
          <w:i/>
        </w:rPr>
        <w:t>contradictio</w:t>
      </w:r>
      <w:r w:rsidR="009C0A7A" w:rsidRPr="009C0A7A">
        <w:rPr>
          <w:i/>
        </w:rPr>
        <w:t xml:space="preserve"> </w:t>
      </w:r>
      <w:r w:rsidR="009C0A7A" w:rsidRPr="009C0A7A">
        <w:rPr>
          <w:rStyle w:val="ezkurwreuab5ozgtqnkl"/>
          <w:i/>
        </w:rPr>
        <w:t>in</w:t>
      </w:r>
      <w:r w:rsidR="009C0A7A" w:rsidRPr="009C0A7A">
        <w:rPr>
          <w:i/>
        </w:rPr>
        <w:t xml:space="preserve"> </w:t>
      </w:r>
      <w:r w:rsidR="009C0A7A" w:rsidRPr="009C0A7A">
        <w:rPr>
          <w:rStyle w:val="ezkurwreuab5ozgtqnkl"/>
          <w:i/>
        </w:rPr>
        <w:t>adiecto</w:t>
      </w:r>
      <w:r w:rsidR="009C0A7A">
        <w:t>.</w:t>
      </w:r>
    </w:p>
    <w:p w:rsidR="086B78D0" w:rsidRPr="00273106" w:rsidRDefault="086B78D0" w:rsidP="086B78D0">
      <w:pPr>
        <w:pStyle w:val="Nadpis3"/>
      </w:pPr>
      <w:r>
        <w:br w:type="page"/>
      </w:r>
      <w:bookmarkStart w:id="118" w:name="_Toc36144176"/>
      <w:bookmarkStart w:id="119" w:name="_Toc180231689"/>
      <w:r w:rsidRPr="00273106">
        <w:lastRenderedPageBreak/>
        <w:t>Použité zkratky</w:t>
      </w:r>
      <w:bookmarkEnd w:id="118"/>
      <w:bookmarkEnd w:id="119"/>
    </w:p>
    <w:p w:rsidR="086B78D0" w:rsidRPr="00273106" w:rsidRDefault="086B78D0" w:rsidP="086B78D0">
      <w:pPr>
        <w:pStyle w:val="Literatura"/>
      </w:pPr>
      <w:r>
        <w:rPr>
          <w:lang w:eastAsia="en-US"/>
        </w:rPr>
        <w:t xml:space="preserve">Citace řeckých textů </w:t>
      </w:r>
      <w:r w:rsidRPr="00273106">
        <w:rPr>
          <w:lang w:eastAsia="en-US"/>
        </w:rPr>
        <w:t>bez výslovného uvedení kritického vydání jsou převzaty z digitální edice</w:t>
      </w:r>
      <w:r w:rsidRPr="00273106">
        <w:rPr>
          <w:b/>
          <w:lang w:eastAsia="en-US"/>
        </w:rPr>
        <w:t xml:space="preserve"> </w:t>
      </w:r>
      <w:r w:rsidRPr="00273106">
        <w:rPr>
          <w:rStyle w:val="Zvraznn"/>
        </w:rPr>
        <w:t>Thesaurus Linguae Graecae</w:t>
      </w:r>
      <w:r w:rsidRPr="00273106">
        <w:t xml:space="preserve">, the Packard Humanities Institute, </w:t>
      </w:r>
      <w:r w:rsidRPr="00273106">
        <w:rPr>
          <w:i/>
        </w:rPr>
        <w:t>The Perseus Project and others</w:t>
      </w:r>
      <w:r w:rsidRPr="00273106">
        <w:t>, 1999–2007.</w:t>
      </w:r>
    </w:p>
    <w:p w:rsidR="086B78D0" w:rsidRPr="00273106" w:rsidRDefault="086B78D0" w:rsidP="086B78D0">
      <w:pPr>
        <w:pStyle w:val="Literatura"/>
        <w:rPr>
          <w:b/>
          <w:lang w:eastAsia="en-US"/>
        </w:rPr>
      </w:pPr>
    </w:p>
    <w:p w:rsidR="000F701E" w:rsidRPr="00273106" w:rsidRDefault="000F701E" w:rsidP="000F701E">
      <w:pPr>
        <w:pStyle w:val="Literatura"/>
        <w:rPr>
          <w:b/>
          <w:lang w:eastAsia="en-US"/>
        </w:rPr>
      </w:pPr>
      <w:r w:rsidRPr="00273106">
        <w:rPr>
          <w:b/>
        </w:rPr>
        <w:t>ABMA</w:t>
      </w:r>
      <w:r w:rsidRPr="00273106">
        <w:t xml:space="preserve"> </w:t>
      </w:r>
      <w:r w:rsidRPr="00273106">
        <w:tab/>
      </w:r>
      <w:r w:rsidRPr="00273106">
        <w:tab/>
      </w:r>
      <w:r w:rsidRPr="00273106">
        <w:rPr>
          <w:i/>
        </w:rPr>
        <w:t xml:space="preserve">William of Ockham: Dialogus. Latin Text and English Translation. Edited by John Kilcullen, John </w:t>
      </w:r>
      <w:r w:rsidRPr="00273106">
        <w:rPr>
          <w:i/>
        </w:rPr>
        <w:tab/>
      </w:r>
      <w:r w:rsidRPr="00273106">
        <w:rPr>
          <w:i/>
        </w:rPr>
        <w:tab/>
      </w:r>
      <w:r w:rsidRPr="00273106">
        <w:rPr>
          <w:i/>
        </w:rPr>
        <w:tab/>
        <w:t>Scott, George Knysh, Volker Leppin, Jan Ballweg, Karl Ubl, Semih Heinen</w:t>
      </w:r>
      <w:r w:rsidRPr="00273106">
        <w:t xml:space="preserve">. Dílo </w:t>
      </w:r>
      <w:r w:rsidRPr="00273106">
        <w:rPr>
          <w:i/>
        </w:rPr>
        <w:t>Dialogus</w:t>
      </w:r>
      <w:r w:rsidRPr="00273106">
        <w:t xml:space="preserve"> citujeme </w:t>
      </w:r>
      <w:r w:rsidRPr="00273106">
        <w:tab/>
      </w:r>
      <w:r w:rsidRPr="00273106">
        <w:tab/>
      </w:r>
      <w:r w:rsidRPr="00273106">
        <w:tab/>
        <w:t xml:space="preserve">podle kritické edice </w:t>
      </w:r>
      <w:r w:rsidRPr="00273106">
        <w:rPr>
          <w:i/>
        </w:rPr>
        <w:t xml:space="preserve">Auctores Britannici Medii Aevi </w:t>
      </w:r>
      <w:r w:rsidRPr="00273106">
        <w:t xml:space="preserve">průběžně vydávané v digitální formě </w:t>
      </w:r>
      <w:r w:rsidRPr="00273106">
        <w:tab/>
      </w:r>
      <w:r w:rsidRPr="00273106">
        <w:tab/>
      </w:r>
      <w:r w:rsidRPr="00273106">
        <w:tab/>
      </w:r>
      <w:r w:rsidRPr="00273106">
        <w:tab/>
      </w:r>
      <w:r w:rsidRPr="00273106">
        <w:tab/>
        <w:t>(www.britac.ac.uk/pubs/dialogus/).</w:t>
      </w:r>
    </w:p>
    <w:p w:rsidR="000F701E" w:rsidRDefault="000F701E" w:rsidP="000F701E">
      <w:pPr>
        <w:pStyle w:val="Literatura"/>
        <w:rPr>
          <w:b/>
          <w:lang w:eastAsia="en-US"/>
        </w:rPr>
      </w:pPr>
      <w:r>
        <w:rPr>
          <w:b/>
          <w:lang w:eastAsia="en-US"/>
        </w:rPr>
        <w:t>CCSL</w:t>
      </w:r>
      <w:r>
        <w:rPr>
          <w:b/>
          <w:lang w:eastAsia="en-US"/>
        </w:rPr>
        <w:tab/>
      </w:r>
      <w:r>
        <w:rPr>
          <w:b/>
          <w:lang w:eastAsia="en-US"/>
        </w:rPr>
        <w:tab/>
      </w:r>
      <w:r>
        <w:rPr>
          <w:b/>
          <w:lang w:eastAsia="en-US"/>
        </w:rPr>
        <w:tab/>
      </w:r>
      <w:r w:rsidRPr="00726DE1">
        <w:rPr>
          <w:i/>
        </w:rPr>
        <w:t>Corpus Christianorum Series Latina</w:t>
      </w:r>
      <w:r w:rsidRPr="080C3BA1">
        <w:t>, ed. Brepols, 1953‒.</w:t>
      </w:r>
    </w:p>
    <w:p w:rsidR="000F701E" w:rsidRDefault="000F701E" w:rsidP="000F701E">
      <w:pPr>
        <w:pStyle w:val="Literatura"/>
      </w:pPr>
      <w:r w:rsidRPr="00273106">
        <w:rPr>
          <w:b/>
          <w:lang w:eastAsia="en-US"/>
        </w:rPr>
        <w:t>CMDA</w:t>
      </w:r>
      <w:r w:rsidRPr="00273106">
        <w:rPr>
          <w:lang w:eastAsia="en-US"/>
        </w:rPr>
        <w:tab/>
      </w:r>
      <w:r w:rsidRPr="00273106">
        <w:rPr>
          <w:lang w:eastAsia="en-US"/>
        </w:rPr>
        <w:tab/>
      </w:r>
      <w:r w:rsidRPr="00273106">
        <w:rPr>
          <w:i/>
        </w:rPr>
        <w:t xml:space="preserve">Averrois Cordubensis Commentarium Magnum in Aristotelis </w:t>
      </w:r>
      <w:r>
        <w:rPr>
          <w:i/>
        </w:rPr>
        <w:t>De anima</w:t>
      </w:r>
      <w:r w:rsidRPr="00273106">
        <w:rPr>
          <w:i/>
        </w:rPr>
        <w:t xml:space="preserve"> Libros</w:t>
      </w:r>
      <w:r w:rsidRPr="00273106">
        <w:t xml:space="preserve">. F. Stuart Crawford </w:t>
      </w:r>
      <w:r w:rsidRPr="00273106">
        <w:tab/>
      </w:r>
      <w:r w:rsidRPr="00273106">
        <w:tab/>
      </w:r>
      <w:r w:rsidRPr="00273106">
        <w:tab/>
        <w:t>(ed.)., Cambridge: Mediaeval Academy of America, 1953.</w:t>
      </w:r>
    </w:p>
    <w:p w:rsidR="000919DB" w:rsidRDefault="000919DB" w:rsidP="000919DB">
      <w:pPr>
        <w:pStyle w:val="Literatura"/>
        <w:ind w:left="1185" w:hanging="1185"/>
      </w:pPr>
      <w:r w:rsidRPr="00581485">
        <w:rPr>
          <w:b/>
        </w:rPr>
        <w:t>DK</w:t>
      </w:r>
      <w:r>
        <w:tab/>
      </w:r>
      <w:r>
        <w:tab/>
      </w:r>
      <w:r>
        <w:rPr>
          <w:i/>
          <w:iCs/>
        </w:rPr>
        <w:t>Die Fragmente der Vorsokratiker</w:t>
      </w:r>
      <w:r>
        <w:t xml:space="preserve"> </w:t>
      </w:r>
      <w:r w:rsidRPr="08635380">
        <w:rPr>
          <w:i/>
        </w:rPr>
        <w:t>I</w:t>
      </w:r>
      <w:r w:rsidRPr="08635380">
        <w:rPr>
          <w:rFonts w:cs="Calibri"/>
          <w:i/>
        </w:rPr>
        <w:t>−</w:t>
      </w:r>
      <w:r w:rsidRPr="08635380">
        <w:rPr>
          <w:i/>
        </w:rPr>
        <w:t>III</w:t>
      </w:r>
      <w:r>
        <w:t>. Herausgegeben von Hermann Diels und Walter Kranz. Curych: Weidmann 1952.</w:t>
      </w:r>
    </w:p>
    <w:p w:rsidR="000F701E" w:rsidRPr="00273106" w:rsidRDefault="000F701E" w:rsidP="000F701E">
      <w:pPr>
        <w:pStyle w:val="Literatura"/>
      </w:pPr>
      <w:r w:rsidRPr="00273106">
        <w:rPr>
          <w:b/>
          <w:bCs/>
        </w:rPr>
        <w:t>GA</w:t>
      </w:r>
      <w:r w:rsidRPr="00273106">
        <w:tab/>
      </w:r>
      <w:r w:rsidRPr="00273106">
        <w:tab/>
      </w:r>
      <w:r w:rsidRPr="00273106">
        <w:tab/>
        <w:t>Martin Heidegger</w:t>
      </w:r>
      <w:r w:rsidRPr="00273106">
        <w:rPr>
          <w:smallCaps/>
        </w:rPr>
        <w:t xml:space="preserve">. </w:t>
      </w:r>
      <w:r w:rsidRPr="00273106">
        <w:rPr>
          <w:i/>
          <w:iCs/>
        </w:rPr>
        <w:t>Gesamtausgabe</w:t>
      </w:r>
      <w:r w:rsidRPr="00273106">
        <w:t>, Vittorio Klostermann, Frankfurt am Main (1975‒).</w:t>
      </w:r>
    </w:p>
    <w:p w:rsidR="000F701E" w:rsidRDefault="000F701E" w:rsidP="000F701E">
      <w:pPr>
        <w:pStyle w:val="Literatura"/>
      </w:pPr>
      <w:r w:rsidRPr="00273106">
        <w:rPr>
          <w:b/>
          <w:bCs/>
        </w:rPr>
        <w:t>Hegel</w:t>
      </w:r>
      <w:r w:rsidRPr="00273106">
        <w:tab/>
      </w:r>
      <w:r w:rsidRPr="00273106">
        <w:tab/>
        <w:t xml:space="preserve">Hegel, Georg Wilhelm Friedrich. </w:t>
      </w:r>
      <w:r w:rsidRPr="00273106">
        <w:rPr>
          <w:i/>
          <w:iCs/>
        </w:rPr>
        <w:t>Werke in zwanzig Bänden</w:t>
      </w:r>
      <w:r w:rsidRPr="00273106">
        <w:t>, Frankfurt am Main: Suhrkamp, 1969-</w:t>
      </w:r>
      <w:r w:rsidRPr="00273106">
        <w:tab/>
      </w:r>
      <w:r w:rsidRPr="00273106">
        <w:tab/>
      </w:r>
      <w:r w:rsidRPr="00273106">
        <w:tab/>
        <w:t>1971 (Theorie-Werkausgabe).</w:t>
      </w:r>
    </w:p>
    <w:p w:rsidR="000F701E" w:rsidRPr="08E20145" w:rsidRDefault="000F701E" w:rsidP="000F701E">
      <w:pPr>
        <w:pStyle w:val="Literatura"/>
        <w:ind w:left="794" w:firstLine="397"/>
      </w:pPr>
      <w:r>
        <w:t xml:space="preserve">– Band 3: </w:t>
      </w:r>
      <w:r w:rsidRPr="08E20145">
        <w:rPr>
          <w:i/>
        </w:rPr>
        <w:t>Phänomenologie des Geistes</w:t>
      </w:r>
      <w:r>
        <w:t>, 1986.</w:t>
      </w:r>
    </w:p>
    <w:p w:rsidR="000F701E" w:rsidRPr="00273106" w:rsidRDefault="000F701E" w:rsidP="000F701E">
      <w:pPr>
        <w:pStyle w:val="Literatura"/>
      </w:pPr>
      <w:r w:rsidRPr="00273106">
        <w:rPr>
          <w:b/>
        </w:rPr>
        <w:t>KdRV</w:t>
      </w:r>
      <w:r w:rsidRPr="00273106">
        <w:tab/>
      </w:r>
      <w:r w:rsidRPr="00273106">
        <w:tab/>
        <w:t xml:space="preserve">Kant, Immanuel. </w:t>
      </w:r>
      <w:r w:rsidRPr="00273106">
        <w:rPr>
          <w:i/>
          <w:iCs/>
        </w:rPr>
        <w:t>Kritik der reinen Vernunft</w:t>
      </w:r>
      <w:r w:rsidRPr="00273106">
        <w:t xml:space="preserve"> podle prvního vydání 1781 (Berlin: Akademieausgabe, </w:t>
      </w:r>
      <w:r w:rsidRPr="00273106">
        <w:tab/>
      </w:r>
      <w:r w:rsidRPr="00273106">
        <w:tab/>
      </w:r>
      <w:r w:rsidRPr="00273106">
        <w:tab/>
        <w:t xml:space="preserve">1904, Band IV.) citováno pod značkou „A“. Druhé vydání 1787 (Berlin: Akademieausgabe, 1911, </w:t>
      </w:r>
      <w:r w:rsidRPr="00273106">
        <w:tab/>
      </w:r>
      <w:r w:rsidRPr="00273106">
        <w:tab/>
      </w:r>
      <w:r w:rsidRPr="00273106">
        <w:tab/>
        <w:t>Band III) je citováno pod značkou „B“.</w:t>
      </w:r>
    </w:p>
    <w:p w:rsidR="000F701E" w:rsidRPr="00273106" w:rsidRDefault="000F701E" w:rsidP="000F701E">
      <w:pPr>
        <w:pStyle w:val="Literatura"/>
      </w:pPr>
      <w:r w:rsidRPr="00273106">
        <w:rPr>
          <w:b/>
        </w:rPr>
        <w:t>KdPV</w:t>
      </w:r>
      <w:r w:rsidRPr="00273106">
        <w:rPr>
          <w:b/>
        </w:rPr>
        <w:tab/>
      </w:r>
      <w:r w:rsidRPr="00273106">
        <w:rPr>
          <w:b/>
        </w:rPr>
        <w:tab/>
      </w:r>
      <w:r w:rsidRPr="00273106">
        <w:t xml:space="preserve">Kant, Immanuel. </w:t>
      </w:r>
      <w:r w:rsidRPr="00273106">
        <w:rPr>
          <w:i/>
          <w:iCs/>
        </w:rPr>
        <w:t>Kritik der praktischen Vernunft</w:t>
      </w:r>
      <w:r w:rsidRPr="00273106">
        <w:rPr>
          <w:iCs/>
        </w:rPr>
        <w:t xml:space="preserve">. Berlin: </w:t>
      </w:r>
      <w:r w:rsidRPr="00273106">
        <w:t>Akademieausgabe 1913, Band V, 1–163.</w:t>
      </w:r>
    </w:p>
    <w:p w:rsidR="000F701E" w:rsidRPr="00273106" w:rsidRDefault="000F701E" w:rsidP="000F701E">
      <w:pPr>
        <w:pStyle w:val="Literatura"/>
        <w:rPr>
          <w:b/>
        </w:rPr>
      </w:pPr>
      <w:r w:rsidRPr="00273106">
        <w:rPr>
          <w:b/>
        </w:rPr>
        <w:t>KdU</w:t>
      </w:r>
      <w:r w:rsidRPr="00273106">
        <w:tab/>
      </w:r>
      <w:r w:rsidRPr="00273106">
        <w:tab/>
      </w:r>
      <w:r w:rsidRPr="00273106">
        <w:tab/>
        <w:t xml:space="preserve">Kant, Immanuel. </w:t>
      </w:r>
      <w:r w:rsidRPr="00273106">
        <w:rPr>
          <w:i/>
          <w:iCs/>
        </w:rPr>
        <w:t>Kritik der Urteilskraft</w:t>
      </w:r>
      <w:r w:rsidRPr="00273106">
        <w:rPr>
          <w:iCs/>
        </w:rPr>
        <w:t xml:space="preserve">. Berlin: </w:t>
      </w:r>
      <w:r w:rsidRPr="00273106">
        <w:t>Akademieausgabe 1913, Band V, 165–485.</w:t>
      </w:r>
    </w:p>
    <w:p w:rsidR="000F701E" w:rsidRDefault="000F701E" w:rsidP="000F701E">
      <w:pPr>
        <w:pStyle w:val="Literatura"/>
      </w:pPr>
      <w:r w:rsidRPr="00273106">
        <w:rPr>
          <w:b/>
        </w:rPr>
        <w:t>KSA</w:t>
      </w:r>
      <w:r w:rsidRPr="00273106">
        <w:tab/>
      </w:r>
      <w:r w:rsidRPr="00273106">
        <w:tab/>
      </w:r>
      <w:r w:rsidRPr="00273106">
        <w:tab/>
        <w:t>Nietzsche, Friedrich</w:t>
      </w:r>
      <w:r w:rsidRPr="00273106">
        <w:rPr>
          <w:i/>
          <w:iCs/>
        </w:rPr>
        <w:t xml:space="preserve">. </w:t>
      </w:r>
      <w:r w:rsidRPr="007E6441">
        <w:rPr>
          <w:i/>
        </w:rPr>
        <w:t>Sämtliche Werke. Kritische Studienausgabe in 15 Bänden</w:t>
      </w:r>
      <w:r>
        <w:t xml:space="preserve">. Hg. von Giorgio </w:t>
      </w:r>
      <w:r>
        <w:tab/>
      </w:r>
      <w:r>
        <w:tab/>
      </w:r>
      <w:r>
        <w:tab/>
        <w:t>Colli und Mazzino Montinari. München und New York 1980.</w:t>
      </w:r>
    </w:p>
    <w:p w:rsidR="000F701E" w:rsidRPr="00273106" w:rsidRDefault="000F701E" w:rsidP="000F701E">
      <w:pPr>
        <w:pStyle w:val="Literatura"/>
        <w:rPr>
          <w:b/>
        </w:rPr>
      </w:pPr>
      <w:r w:rsidRPr="00273106">
        <w:rPr>
          <w:b/>
        </w:rPr>
        <w:t>LCDA</w:t>
      </w:r>
      <w:r w:rsidRPr="00273106">
        <w:rPr>
          <w:b/>
        </w:rPr>
        <w:tab/>
      </w:r>
      <w:r w:rsidRPr="00273106">
        <w:rPr>
          <w:b/>
        </w:rPr>
        <w:tab/>
      </w:r>
      <w:r w:rsidRPr="00273106">
        <w:t xml:space="preserve">Averroes (Ibn Rushd) of Cordoba. </w:t>
      </w:r>
      <w:r w:rsidRPr="00273106">
        <w:rPr>
          <w:i/>
        </w:rPr>
        <w:t xml:space="preserve">Long Commentary on the </w:t>
      </w:r>
      <w:r>
        <w:rPr>
          <w:i/>
        </w:rPr>
        <w:t>De anima</w:t>
      </w:r>
      <w:r w:rsidRPr="00273106">
        <w:rPr>
          <w:i/>
        </w:rPr>
        <w:t xml:space="preserve"> of Aristotle. Translated </w:t>
      </w:r>
      <w:r w:rsidRPr="00273106">
        <w:rPr>
          <w:i/>
        </w:rPr>
        <w:tab/>
      </w:r>
      <w:r w:rsidRPr="00273106">
        <w:rPr>
          <w:i/>
        </w:rPr>
        <w:tab/>
      </w:r>
      <w:r w:rsidRPr="00273106">
        <w:rPr>
          <w:i/>
        </w:rPr>
        <w:tab/>
        <w:t>and with introduction and notes by Richard C. Taylor with Therese-Anne Druart, subeditor</w:t>
      </w:r>
      <w:r w:rsidRPr="00273106">
        <w:t xml:space="preserve">. New </w:t>
      </w:r>
      <w:r w:rsidRPr="00273106">
        <w:tab/>
      </w:r>
      <w:r w:rsidRPr="00273106">
        <w:tab/>
      </w:r>
      <w:r w:rsidRPr="00273106">
        <w:tab/>
        <w:t>Haven &amp; London: Yale University Press, 2009.</w:t>
      </w:r>
    </w:p>
    <w:p w:rsidR="000F701E" w:rsidRPr="08E13DAE" w:rsidRDefault="000F701E" w:rsidP="000F701E">
      <w:pPr>
        <w:pStyle w:val="Literatura"/>
        <w:rPr>
          <w:b/>
        </w:rPr>
      </w:pPr>
      <w:r w:rsidRPr="08E13DAE">
        <w:rPr>
          <w:b/>
        </w:rPr>
        <w:t>OBJ</w:t>
      </w:r>
      <w:r>
        <w:rPr>
          <w:b/>
        </w:rPr>
        <w:tab/>
      </w:r>
      <w:r>
        <w:rPr>
          <w:b/>
        </w:rPr>
        <w:tab/>
      </w:r>
      <w:r>
        <w:rPr>
          <w:b/>
        </w:rPr>
        <w:tab/>
      </w:r>
      <w:r w:rsidRPr="08E13DAE">
        <w:rPr>
          <w:i/>
        </w:rPr>
        <w:t>Hermeneutika objektivity</w:t>
      </w:r>
      <w:r>
        <w:rPr>
          <w:i/>
        </w:rPr>
        <w:t xml:space="preserve"> I, </w:t>
      </w:r>
      <w:r w:rsidRPr="08E13DAE">
        <w:rPr>
          <w:i/>
        </w:rPr>
        <w:t>II</w:t>
      </w:r>
      <w:r>
        <w:rPr>
          <w:i/>
        </w:rPr>
        <w:t>, III</w:t>
      </w:r>
      <w:r w:rsidRPr="08E13DAE">
        <w:t>. V textu je citován příslušný díl a kapitola.</w:t>
      </w:r>
    </w:p>
    <w:p w:rsidR="000F701E" w:rsidRPr="00273106" w:rsidRDefault="000F701E" w:rsidP="000F701E">
      <w:pPr>
        <w:pStyle w:val="Literatura"/>
      </w:pPr>
      <w:r w:rsidRPr="00273106">
        <w:rPr>
          <w:b/>
          <w:bCs/>
        </w:rPr>
        <w:t>PL</w:t>
      </w:r>
      <w:r w:rsidRPr="00273106">
        <w:tab/>
      </w:r>
      <w:r w:rsidRPr="00273106">
        <w:tab/>
      </w:r>
      <w:r w:rsidRPr="00273106">
        <w:tab/>
      </w:r>
      <w:r w:rsidRPr="00273106">
        <w:rPr>
          <w:i/>
          <w:iCs/>
        </w:rPr>
        <w:t>Patrologiae latinae cursus completus</w:t>
      </w:r>
      <w:r w:rsidRPr="00273106">
        <w:t>, ed. Migne, 1844‒1864.</w:t>
      </w:r>
    </w:p>
    <w:p w:rsidR="000F701E" w:rsidRPr="00273106" w:rsidRDefault="000F701E" w:rsidP="000F701E">
      <w:pPr>
        <w:pStyle w:val="Literatura"/>
        <w:rPr>
          <w:rStyle w:val="TextpoznpodarouChar"/>
        </w:rPr>
      </w:pPr>
      <w:r w:rsidRPr="00273106">
        <w:rPr>
          <w:b/>
          <w:bCs/>
        </w:rPr>
        <w:t>RRP</w:t>
      </w:r>
      <w:r w:rsidRPr="00273106">
        <w:rPr>
          <w:b/>
          <w:bCs/>
        </w:rPr>
        <w:tab/>
      </w:r>
      <w:r w:rsidRPr="00273106">
        <w:rPr>
          <w:b/>
          <w:bCs/>
        </w:rPr>
        <w:tab/>
      </w:r>
      <w:r w:rsidRPr="00273106">
        <w:rPr>
          <w:b/>
          <w:bCs/>
        </w:rPr>
        <w:tab/>
      </w:r>
      <w:r w:rsidRPr="00273106">
        <w:rPr>
          <w:rStyle w:val="TextpoznpodarouChar"/>
        </w:rPr>
        <w:t xml:space="preserve">Edice </w:t>
      </w:r>
      <w:r w:rsidRPr="00273106">
        <w:rPr>
          <w:rStyle w:val="TextpoznpodarouChar"/>
          <w:i/>
        </w:rPr>
        <w:t>The Richard Rufus of Cornwall Project</w:t>
      </w:r>
      <w:r w:rsidRPr="00273106">
        <w:rPr>
          <w:rStyle w:val="TextpoznpodarouChar"/>
        </w:rPr>
        <w:t>,</w:t>
      </w:r>
      <w:r>
        <w:rPr>
          <w:rStyle w:val="TextpoznpodarouChar"/>
        </w:rPr>
        <w:t xml:space="preserve"> University of Stanford </w:t>
      </w:r>
      <w:r w:rsidRPr="00273106">
        <w:rPr>
          <w:rStyle w:val="TextpoznpodarouChar"/>
        </w:rPr>
        <w:t xml:space="preserve">(http://rrp.stanford.edu). </w:t>
      </w:r>
      <w:r w:rsidRPr="00273106">
        <w:rPr>
          <w:rStyle w:val="TextpoznpodarouChar"/>
        </w:rPr>
        <w:tab/>
      </w:r>
      <w:r w:rsidRPr="00273106">
        <w:rPr>
          <w:rStyle w:val="TextpoznpodarouChar"/>
        </w:rPr>
        <w:tab/>
      </w:r>
      <w:r w:rsidRPr="00273106">
        <w:rPr>
          <w:rStyle w:val="TextpoznpodarouChar"/>
        </w:rPr>
        <w:tab/>
      </w:r>
      <w:r w:rsidRPr="00273106">
        <w:rPr>
          <w:bCs/>
        </w:rPr>
        <w:t>Richard Rufus of Cornwall.</w:t>
      </w:r>
      <w:r w:rsidRPr="00273106">
        <w:rPr>
          <w:b/>
          <w:bCs/>
        </w:rPr>
        <w:t xml:space="preserve"> </w:t>
      </w:r>
      <w:r w:rsidRPr="00273106">
        <w:rPr>
          <w:rStyle w:val="TextpoznpodarouChar"/>
          <w:i/>
        </w:rPr>
        <w:t>In Aristoteli Analytica posteriora</w:t>
      </w:r>
      <w:r w:rsidRPr="00273106">
        <w:rPr>
          <w:rStyle w:val="TextpoznpodarouChar"/>
        </w:rPr>
        <w:t xml:space="preserve"> (ed. Rega Wood); </w:t>
      </w:r>
      <w:r w:rsidRPr="00273106">
        <w:rPr>
          <w:rStyle w:val="TextpoznpodarouChar"/>
          <w:i/>
        </w:rPr>
        <w:t xml:space="preserve">Memoriale in </w:t>
      </w:r>
      <w:r w:rsidRPr="00273106">
        <w:rPr>
          <w:rStyle w:val="TextpoznpodarouChar"/>
          <w:i/>
        </w:rPr>
        <w:tab/>
      </w:r>
      <w:r w:rsidRPr="00273106">
        <w:rPr>
          <w:rStyle w:val="TextpoznpodarouChar"/>
          <w:i/>
        </w:rPr>
        <w:tab/>
      </w:r>
      <w:r w:rsidRPr="00273106">
        <w:rPr>
          <w:rStyle w:val="TextpoznpodarouChar"/>
          <w:i/>
        </w:rPr>
        <w:tab/>
      </w:r>
      <w:r w:rsidRPr="00273106">
        <w:rPr>
          <w:rStyle w:val="TextpoznpodarouChar"/>
          <w:i/>
        </w:rPr>
        <w:tab/>
        <w:t>Metaphysicam Aristotelis</w:t>
      </w:r>
      <w:r w:rsidRPr="00273106">
        <w:rPr>
          <w:rStyle w:val="TextpoznpodarouChar"/>
        </w:rPr>
        <w:t xml:space="preserve"> (eds. Rega Wood &amp; Neil Lewis, 2013); </w:t>
      </w:r>
      <w:r w:rsidRPr="00273106">
        <w:rPr>
          <w:rStyle w:val="TextpoznpodarouChar"/>
          <w:i/>
        </w:rPr>
        <w:t xml:space="preserve">In Aristotelis De anima. Redactio </w:t>
      </w:r>
      <w:r w:rsidRPr="00273106">
        <w:rPr>
          <w:rStyle w:val="TextpoznpodarouChar"/>
          <w:i/>
        </w:rPr>
        <w:tab/>
      </w:r>
      <w:r w:rsidRPr="00273106">
        <w:rPr>
          <w:rStyle w:val="TextpoznpodarouChar"/>
          <w:i/>
        </w:rPr>
        <w:tab/>
      </w:r>
      <w:r w:rsidRPr="00273106">
        <w:rPr>
          <w:rStyle w:val="TextpoznpodarouChar"/>
          <w:i/>
        </w:rPr>
        <w:tab/>
        <w:t>brevior. Liber 1–3</w:t>
      </w:r>
      <w:r w:rsidRPr="00273106">
        <w:rPr>
          <w:rStyle w:val="TextpoznpodarouChar"/>
        </w:rPr>
        <w:t xml:space="preserve">. (Eds. Christopher J. Martin, Neil Lewis, Rega Wood 2007). </w:t>
      </w:r>
    </w:p>
    <w:p w:rsidR="000F701E" w:rsidRPr="00273106" w:rsidRDefault="000F701E" w:rsidP="000F701E">
      <w:pPr>
        <w:pStyle w:val="Literatura"/>
        <w:ind w:left="705" w:hanging="705"/>
      </w:pPr>
      <w:r w:rsidRPr="00273106">
        <w:rPr>
          <w:b/>
          <w:bCs/>
        </w:rPr>
        <w:t>SZ</w:t>
      </w:r>
      <w:r w:rsidRPr="00273106">
        <w:tab/>
      </w:r>
      <w:r w:rsidRPr="00273106">
        <w:tab/>
      </w:r>
      <w:r w:rsidRPr="00273106">
        <w:tab/>
        <w:t xml:space="preserve">Heidegger, Martin. </w:t>
      </w:r>
      <w:r w:rsidRPr="00273106">
        <w:rPr>
          <w:i/>
          <w:iCs/>
        </w:rPr>
        <w:t>Sein und Zeit</w:t>
      </w:r>
      <w:r w:rsidRPr="00273106">
        <w:t xml:space="preserve">. Tübingen: Max Niemeyer Verlag, </w:t>
      </w:r>
      <w:r w:rsidRPr="00273106">
        <w:rPr>
          <w:vertAlign w:val="superscript"/>
        </w:rPr>
        <w:t>17</w:t>
      </w:r>
      <w:r w:rsidRPr="00273106">
        <w:t>1993.</w:t>
      </w:r>
    </w:p>
    <w:p w:rsidR="000F701E" w:rsidRPr="00273106" w:rsidRDefault="000F701E" w:rsidP="000F701E">
      <w:pPr>
        <w:pStyle w:val="Literatura"/>
      </w:pPr>
      <w:r w:rsidRPr="00273106">
        <w:rPr>
          <w:b/>
        </w:rPr>
        <w:t>WA</w:t>
      </w:r>
      <w:r w:rsidRPr="00273106">
        <w:rPr>
          <w:b/>
        </w:rPr>
        <w:tab/>
      </w:r>
      <w:r w:rsidRPr="00273106">
        <w:tab/>
      </w:r>
      <w:r w:rsidRPr="00273106">
        <w:tab/>
      </w:r>
      <w:r w:rsidRPr="00273106">
        <w:rPr>
          <w:rStyle w:val="st"/>
          <w:i/>
        </w:rPr>
        <w:t>The Works of Aristotle I-XII</w:t>
      </w:r>
      <w:r w:rsidRPr="00273106">
        <w:rPr>
          <w:rStyle w:val="st"/>
        </w:rPr>
        <w:t xml:space="preserve">, ed. W. D. Ross. </w:t>
      </w:r>
      <w:r w:rsidRPr="00273106">
        <w:t>Oxford, 1908‒52.</w:t>
      </w:r>
    </w:p>
    <w:p w:rsidR="086B78D0" w:rsidRPr="00273106" w:rsidRDefault="086B78D0" w:rsidP="086B78D0">
      <w:pPr>
        <w:pStyle w:val="Literatura"/>
      </w:pPr>
    </w:p>
    <w:p w:rsidR="086B78D0" w:rsidRPr="00273106" w:rsidRDefault="086B78D0" w:rsidP="086B78D0">
      <w:pPr>
        <w:pStyle w:val="Literatura"/>
      </w:pPr>
    </w:p>
    <w:p w:rsidR="086B78D0" w:rsidRPr="00273106" w:rsidRDefault="086B78D0" w:rsidP="086B78D0">
      <w:pPr>
        <w:pStyle w:val="Literatura"/>
        <w:ind w:left="705" w:hanging="705"/>
      </w:pPr>
    </w:p>
    <w:p w:rsidR="086B78D0" w:rsidRPr="00273106" w:rsidRDefault="086B78D0" w:rsidP="086B78D0">
      <w:pPr>
        <w:pStyle w:val="Literatura"/>
        <w:ind w:left="705" w:hanging="705"/>
      </w:pPr>
    </w:p>
    <w:p w:rsidR="086B78D0" w:rsidRPr="00273106" w:rsidRDefault="086B78D0" w:rsidP="086B78D0">
      <w:pPr>
        <w:pStyle w:val="Literatura"/>
      </w:pPr>
    </w:p>
    <w:p w:rsidR="086B78D0" w:rsidRPr="00273106" w:rsidRDefault="086B78D0" w:rsidP="086B78D0">
      <w:pPr>
        <w:pStyle w:val="Literatura"/>
      </w:pPr>
    </w:p>
    <w:p w:rsidR="086B78D0" w:rsidRPr="00273106" w:rsidRDefault="086B78D0" w:rsidP="086B78D0">
      <w:pPr>
        <w:pStyle w:val="Literatura"/>
      </w:pPr>
    </w:p>
    <w:p w:rsidR="00AD7907" w:rsidRPr="08742C0C" w:rsidRDefault="086B78D0" w:rsidP="00AD7907">
      <w:pPr>
        <w:pStyle w:val="Nadpis3"/>
        <w:rPr>
          <w:lang w:val="en-US"/>
        </w:rPr>
      </w:pPr>
      <w:r w:rsidRPr="00273106">
        <w:br w:type="page"/>
      </w:r>
      <w:bookmarkStart w:id="120" w:name="_Toc180231690"/>
      <w:bookmarkStart w:id="121" w:name="_Toc510890787"/>
      <w:bookmarkStart w:id="122" w:name="_Toc12804036"/>
      <w:bookmarkStart w:id="123" w:name="_Toc52310690"/>
      <w:bookmarkStart w:id="124" w:name="_Toc36144177"/>
      <w:r w:rsidR="00AD7907" w:rsidRPr="08742C0C">
        <w:rPr>
          <w:lang w:val="en-US"/>
        </w:rPr>
        <w:lastRenderedPageBreak/>
        <w:t>Index locorum</w:t>
      </w:r>
      <w:bookmarkEnd w:id="120"/>
    </w:p>
    <w:p w:rsidR="00AD7907" w:rsidRDefault="00AD7907" w:rsidP="00AD7907">
      <w:pPr>
        <w:pStyle w:val="Literatura"/>
      </w:pPr>
      <w:r>
        <w:t>Citováno je dílo (popř. svazek díla a kvestie), stránka, řádka kritického vydání, které je uvedeno v bibliografii.</w:t>
      </w:r>
    </w:p>
    <w:p w:rsidR="00AD7907" w:rsidRDefault="00AD7907" w:rsidP="00AD7907">
      <w:pPr>
        <w:rPr>
          <w:lang w:eastAsia="en-US"/>
        </w:rPr>
      </w:pPr>
    </w:p>
    <w:p w:rsidR="00AD7907" w:rsidRDefault="00AD7907" w:rsidP="00AD7907">
      <w:pPr>
        <w:rPr>
          <w:b/>
          <w:lang w:eastAsia="en-US"/>
        </w:rPr>
        <w:sectPr w:rsidR="00AD7907" w:rsidSect="00AD7907">
          <w:footerReference w:type="default" r:id="rId11"/>
          <w:type w:val="continuous"/>
          <w:pgSz w:w="11905" w:h="16837"/>
          <w:pgMar w:top="1417" w:right="1417" w:bottom="1417" w:left="1417" w:header="708" w:footer="720" w:gutter="0"/>
          <w:cols w:space="708"/>
          <w:docGrid w:linePitch="360"/>
        </w:sectPr>
      </w:pPr>
    </w:p>
    <w:p w:rsidR="00AD7907" w:rsidRPr="08FF0C4E" w:rsidRDefault="00AD7907" w:rsidP="00AD7907">
      <w:pPr>
        <w:pStyle w:val="Rejstk2"/>
        <w:tabs>
          <w:tab w:val="right" w:leader="dot" w:pos="4171"/>
        </w:tabs>
        <w:spacing w:line="240" w:lineRule="auto"/>
        <w:ind w:left="238"/>
        <w:rPr>
          <w:b/>
          <w:sz w:val="20"/>
          <w:szCs w:val="20"/>
          <w:lang w:val="en-US"/>
        </w:rPr>
      </w:pPr>
      <w:r w:rsidRPr="08FF0C4E">
        <w:rPr>
          <w:b/>
          <w:sz w:val="20"/>
          <w:szCs w:val="20"/>
          <w:lang w:val="en-US"/>
        </w:rPr>
        <w:lastRenderedPageBreak/>
        <w:t>Abelard</w:t>
      </w:r>
    </w:p>
    <w:p w:rsidR="00AD7907" w:rsidRDefault="00AD7907" w:rsidP="00AD7907">
      <w:pPr>
        <w:pStyle w:val="Rejstk2"/>
        <w:tabs>
          <w:tab w:val="right" w:pos="4171"/>
        </w:tabs>
        <w:spacing w:line="240" w:lineRule="auto"/>
        <w:ind w:left="0" w:firstLine="0"/>
        <w:rPr>
          <w:lang w:val="de-LU"/>
        </w:rPr>
      </w:pPr>
      <w:r w:rsidRPr="009F3353">
        <w:rPr>
          <w:i/>
          <w:lang w:val="de-LU"/>
        </w:rPr>
        <w:t xml:space="preserve">Glossae super Peri ermeneias </w:t>
      </w:r>
      <w:r>
        <w:rPr>
          <w:lang w:val="de-LU"/>
        </w:rPr>
        <w:t xml:space="preserve"> 419, 9–13.....................93</w:t>
      </w:r>
    </w:p>
    <w:p w:rsidR="00AD7907" w:rsidRDefault="00AD7907" w:rsidP="00AD7907">
      <w:pPr>
        <w:pStyle w:val="Rejstk2"/>
        <w:tabs>
          <w:tab w:val="right" w:pos="4171"/>
        </w:tabs>
        <w:spacing w:line="240" w:lineRule="auto"/>
        <w:ind w:left="0" w:firstLine="0"/>
        <w:rPr>
          <w:lang w:val="de-LU"/>
        </w:rPr>
      </w:pPr>
    </w:p>
    <w:p w:rsidR="00AD7907" w:rsidRPr="00FA2000" w:rsidRDefault="00AD7907" w:rsidP="00AD7907">
      <w:pPr>
        <w:pStyle w:val="Rejstk2"/>
        <w:tabs>
          <w:tab w:val="right" w:pos="4171"/>
        </w:tabs>
        <w:spacing w:line="240" w:lineRule="auto"/>
        <w:ind w:left="0" w:firstLine="0"/>
        <w:rPr>
          <w:b/>
          <w:lang w:val="de-LU"/>
        </w:rPr>
      </w:pPr>
      <w:r w:rsidRPr="00FA2000">
        <w:rPr>
          <w:b/>
          <w:lang w:val="de-LU"/>
        </w:rPr>
        <w:t>Aegidius Romanus</w:t>
      </w:r>
    </w:p>
    <w:p w:rsidR="00AD7907" w:rsidRDefault="00AD7907" w:rsidP="00AD7907">
      <w:pPr>
        <w:pStyle w:val="Rejstk2"/>
        <w:tabs>
          <w:tab w:val="right" w:leader="dot" w:pos="4171"/>
        </w:tabs>
        <w:spacing w:line="240" w:lineRule="auto"/>
        <w:ind w:left="242"/>
      </w:pPr>
      <w:r w:rsidRPr="004B4DFF">
        <w:rPr>
          <w:i/>
        </w:rPr>
        <w:t>De erroribus Philosophorum</w:t>
      </w:r>
      <w:r>
        <w:t xml:space="preserve"> </w:t>
      </w:r>
      <w:r w:rsidRPr="004B4DFF">
        <w:rPr>
          <w:rFonts w:eastAsia="Code2000"/>
        </w:rPr>
        <w:t>11.15</w:t>
      </w:r>
      <w:r>
        <w:tab/>
        <w:t>209</w:t>
      </w:r>
    </w:p>
    <w:p w:rsidR="00AD7907" w:rsidRDefault="00AD7907" w:rsidP="00AD7907">
      <w:pPr>
        <w:pStyle w:val="Rejstk2"/>
        <w:tabs>
          <w:tab w:val="right" w:leader="dot" w:pos="4171"/>
        </w:tabs>
        <w:spacing w:line="240" w:lineRule="auto"/>
        <w:ind w:left="242"/>
      </w:pPr>
      <w:r w:rsidRPr="004B4DFF">
        <w:rPr>
          <w:i/>
        </w:rPr>
        <w:t>De plurificatione possibilis intellectus</w:t>
      </w:r>
      <w:r>
        <w:t xml:space="preserve"> 113.153‒56</w:t>
      </w:r>
      <w:r>
        <w:tab/>
        <w:t>200</w:t>
      </w:r>
    </w:p>
    <w:p w:rsidR="00AD7907" w:rsidRDefault="00AD7907" w:rsidP="00AD7907">
      <w:pPr>
        <w:pStyle w:val="Rejstk2"/>
        <w:tabs>
          <w:tab w:val="right" w:leader="dot" w:pos="4171"/>
        </w:tabs>
        <w:spacing w:line="240" w:lineRule="auto"/>
        <w:ind w:left="242"/>
      </w:pPr>
      <w:r w:rsidRPr="004B4DFF">
        <w:rPr>
          <w:i/>
        </w:rPr>
        <w:t>De plurificatione possibilis intellectus</w:t>
      </w:r>
      <w:r>
        <w:t xml:space="preserve"> 122.379‒85</w:t>
      </w:r>
      <w:r>
        <w:tab/>
        <w:t>211</w:t>
      </w:r>
    </w:p>
    <w:p w:rsidR="00AD7907" w:rsidRDefault="00AD7907" w:rsidP="00AD7907">
      <w:pPr>
        <w:pStyle w:val="Rejstk2"/>
        <w:tabs>
          <w:tab w:val="right" w:leader="dot" w:pos="4171"/>
        </w:tabs>
        <w:spacing w:line="240" w:lineRule="auto"/>
        <w:ind w:left="242"/>
      </w:pPr>
      <w:r w:rsidRPr="004B4DFF">
        <w:rPr>
          <w:i/>
        </w:rPr>
        <w:t>De plurificatione possibilis intellectus</w:t>
      </w:r>
      <w:r>
        <w:t xml:space="preserve"> 127.506‒509</w:t>
      </w:r>
      <w:r>
        <w:tab/>
        <w:t>336</w:t>
      </w:r>
    </w:p>
    <w:p w:rsidR="00AD7907" w:rsidRDefault="00AD7907" w:rsidP="00AD7907">
      <w:pPr>
        <w:pStyle w:val="Rejstk2"/>
        <w:tabs>
          <w:tab w:val="right" w:leader="dot" w:pos="4171"/>
        </w:tabs>
        <w:spacing w:line="240" w:lineRule="auto"/>
        <w:ind w:left="242"/>
      </w:pPr>
      <w:r>
        <w:t>De plurificatione possibilis intellectus 128.523‒29</w:t>
      </w:r>
      <w:r>
        <w:tab/>
        <w:t>213</w:t>
      </w:r>
    </w:p>
    <w:p w:rsidR="00AD7907" w:rsidRDefault="00AD7907" w:rsidP="00AD7907">
      <w:pPr>
        <w:pStyle w:val="Rejstk2"/>
        <w:tabs>
          <w:tab w:val="right" w:leader="dot" w:pos="4171"/>
        </w:tabs>
        <w:spacing w:line="240" w:lineRule="auto"/>
        <w:ind w:left="242"/>
      </w:pPr>
      <w:r w:rsidRPr="004B4DFF">
        <w:rPr>
          <w:i/>
        </w:rPr>
        <w:t>De plurificatione possibilis intellectus</w:t>
      </w:r>
      <w:r>
        <w:t xml:space="preserve"> 135.675‒78</w:t>
      </w:r>
      <w:r>
        <w:tab/>
        <w:t>220</w:t>
      </w:r>
    </w:p>
    <w:p w:rsidR="00AD7907" w:rsidRDefault="00AD7907" w:rsidP="00AD7907">
      <w:pPr>
        <w:pStyle w:val="Rejstk2"/>
        <w:tabs>
          <w:tab w:val="right" w:leader="dot" w:pos="4171"/>
        </w:tabs>
        <w:spacing w:line="240" w:lineRule="auto"/>
        <w:ind w:left="242"/>
      </w:pPr>
      <w:r w:rsidRPr="004B4DFF">
        <w:rPr>
          <w:i/>
        </w:rPr>
        <w:t>De plurificatione possibilis intellectus</w:t>
      </w:r>
      <w:r>
        <w:t xml:space="preserve"> 156.1199-1207</w:t>
      </w:r>
      <w:r>
        <w:tab/>
        <w:t>198</w:t>
      </w:r>
    </w:p>
    <w:p w:rsidR="00AD7907" w:rsidRDefault="00AD7907" w:rsidP="00AD7907">
      <w:pPr>
        <w:pStyle w:val="Rejstk2"/>
        <w:tabs>
          <w:tab w:val="right" w:leader="dot" w:pos="4171"/>
        </w:tabs>
        <w:spacing w:line="240" w:lineRule="auto"/>
        <w:ind w:left="242"/>
      </w:pPr>
      <w:r w:rsidRPr="004B4DFF">
        <w:rPr>
          <w:i/>
        </w:rPr>
        <w:t xml:space="preserve">Expositio </w:t>
      </w:r>
      <w:r w:rsidRPr="004B4DFF">
        <w:rPr>
          <w:i/>
          <w:lang w:val="fr-FR"/>
        </w:rPr>
        <w:t xml:space="preserve">super </w:t>
      </w:r>
      <w:r w:rsidRPr="004B4DFF">
        <w:rPr>
          <w:i/>
        </w:rPr>
        <w:t xml:space="preserve">libros De anima </w:t>
      </w:r>
      <w:r w:rsidRPr="004B4DFF">
        <w:rPr>
          <w:lang w:val="fr-FR"/>
        </w:rPr>
        <w:t xml:space="preserve">f. </w:t>
      </w:r>
      <w:r>
        <w:t>75rа</w:t>
      </w:r>
      <w:r>
        <w:tab/>
        <w:t>224</w:t>
      </w:r>
    </w:p>
    <w:p w:rsidR="00AD7907" w:rsidRDefault="00AD7907" w:rsidP="00AD7907">
      <w:pPr>
        <w:pStyle w:val="Rejstk2"/>
        <w:tabs>
          <w:tab w:val="right" w:leader="dot" w:pos="4171"/>
        </w:tabs>
        <w:spacing w:line="240" w:lineRule="auto"/>
        <w:ind w:left="242"/>
      </w:pPr>
      <w:r w:rsidRPr="004B4DFF">
        <w:rPr>
          <w:i/>
        </w:rPr>
        <w:t>Quodlibet</w:t>
      </w:r>
      <w:r>
        <w:t xml:space="preserve"> II 62b‒63a</w:t>
      </w:r>
      <w:r>
        <w:tab/>
        <w:t>237</w:t>
      </w:r>
    </w:p>
    <w:p w:rsidR="00AD7907" w:rsidRDefault="00AD7907" w:rsidP="00AD7907">
      <w:pPr>
        <w:pStyle w:val="Rejstk2"/>
        <w:tabs>
          <w:tab w:val="right" w:leader="dot" w:pos="4171"/>
        </w:tabs>
        <w:ind w:left="242"/>
      </w:pPr>
    </w:p>
    <w:p w:rsidR="00AD7907" w:rsidRPr="00724866" w:rsidRDefault="00AD7907" w:rsidP="00AD7907">
      <w:pPr>
        <w:pStyle w:val="Rejstk1"/>
        <w:tabs>
          <w:tab w:val="right" w:leader="dot" w:pos="4171"/>
        </w:tabs>
        <w:spacing w:line="240" w:lineRule="auto"/>
        <w:rPr>
          <w:b/>
        </w:rPr>
      </w:pPr>
      <w:r w:rsidRPr="00724866">
        <w:rPr>
          <w:b/>
        </w:rPr>
        <w:t>Aischyles</w:t>
      </w:r>
    </w:p>
    <w:p w:rsidR="00AD7907" w:rsidRDefault="00AD7907" w:rsidP="00AD7907">
      <w:pPr>
        <w:pStyle w:val="Rejstk2"/>
        <w:tabs>
          <w:tab w:val="right" w:leader="dot" w:pos="4171"/>
        </w:tabs>
        <w:ind w:left="0" w:firstLine="0"/>
      </w:pPr>
      <w:r w:rsidRPr="004B4DFF">
        <w:rPr>
          <w:i/>
        </w:rPr>
        <w:t>Agamemnon</w:t>
      </w:r>
      <w:r>
        <w:t xml:space="preserve"> 178</w:t>
      </w:r>
      <w:r>
        <w:tab/>
        <w:t>473</w:t>
      </w:r>
    </w:p>
    <w:p w:rsidR="00AD7907" w:rsidRDefault="00AD7907" w:rsidP="00AD7907">
      <w:pPr>
        <w:pStyle w:val="Rejstk2"/>
        <w:tabs>
          <w:tab w:val="right" w:leader="dot" w:pos="4171"/>
        </w:tabs>
        <w:ind w:left="0" w:firstLine="0"/>
      </w:pPr>
    </w:p>
    <w:p w:rsidR="00AD7907" w:rsidRPr="00724866" w:rsidRDefault="00AD7907" w:rsidP="00AD7907">
      <w:pPr>
        <w:pStyle w:val="Rejstk2"/>
        <w:tabs>
          <w:tab w:val="right" w:leader="dot" w:pos="4171"/>
        </w:tabs>
        <w:ind w:left="0" w:firstLine="0"/>
        <w:rPr>
          <w:b/>
        </w:rPr>
      </w:pPr>
      <w:r w:rsidRPr="00724866">
        <w:rPr>
          <w:b/>
        </w:rPr>
        <w:t>Tomáš Akvinský</w:t>
      </w:r>
    </w:p>
    <w:p w:rsidR="00AD7907" w:rsidRDefault="00AD7907" w:rsidP="00AD7907">
      <w:pPr>
        <w:pStyle w:val="Rejstk2"/>
        <w:tabs>
          <w:tab w:val="right" w:leader="dot" w:pos="4171"/>
        </w:tabs>
        <w:spacing w:line="240" w:lineRule="auto"/>
        <w:ind w:left="242"/>
      </w:pPr>
      <w:r w:rsidRPr="004B4DFF">
        <w:rPr>
          <w:i/>
        </w:rPr>
        <w:t xml:space="preserve">De ente et essentia </w:t>
      </w:r>
      <w:r>
        <w:t>374.3‒13</w:t>
      </w:r>
      <w:r>
        <w:tab/>
        <w:t>372</w:t>
      </w:r>
    </w:p>
    <w:p w:rsidR="00AD7907" w:rsidRDefault="00AD7907" w:rsidP="00AD7907">
      <w:pPr>
        <w:pStyle w:val="Rejstk2"/>
        <w:tabs>
          <w:tab w:val="right" w:leader="dot" w:pos="4171"/>
        </w:tabs>
        <w:spacing w:line="240" w:lineRule="auto"/>
        <w:ind w:left="242"/>
      </w:pPr>
      <w:r w:rsidRPr="004B4DFF">
        <w:rPr>
          <w:i/>
        </w:rPr>
        <w:t xml:space="preserve">De ente et essentia </w:t>
      </w:r>
      <w:r>
        <w:t>375.90‒102</w:t>
      </w:r>
      <w:r>
        <w:tab/>
        <w:t>370</w:t>
      </w:r>
    </w:p>
    <w:p w:rsidR="00AD7907" w:rsidRDefault="00AD7907" w:rsidP="00AD7907">
      <w:pPr>
        <w:pStyle w:val="Rejstk2"/>
        <w:tabs>
          <w:tab w:val="right" w:leader="dot" w:pos="4171"/>
        </w:tabs>
        <w:spacing w:line="240" w:lineRule="auto"/>
        <w:ind w:left="242"/>
      </w:pPr>
      <w:r w:rsidRPr="004B4DFF">
        <w:rPr>
          <w:i/>
        </w:rPr>
        <w:t xml:space="preserve">De ente et essentia </w:t>
      </w:r>
      <w:r>
        <w:t>377.170‒77</w:t>
      </w:r>
      <w:r>
        <w:tab/>
        <w:t>376</w:t>
      </w:r>
    </w:p>
    <w:p w:rsidR="00AD7907" w:rsidRDefault="00AD7907" w:rsidP="00AD7907">
      <w:pPr>
        <w:pStyle w:val="Rejstk2"/>
        <w:tabs>
          <w:tab w:val="right" w:leader="dot" w:pos="4171"/>
        </w:tabs>
        <w:spacing w:line="240" w:lineRule="auto"/>
        <w:ind w:left="242"/>
      </w:pPr>
      <w:r w:rsidRPr="004B4DFF">
        <w:rPr>
          <w:i/>
        </w:rPr>
        <w:t xml:space="preserve">De ente et essentia </w:t>
      </w:r>
      <w:r>
        <w:t>377.178‒92</w:t>
      </w:r>
      <w:r>
        <w:tab/>
        <w:t>378</w:t>
      </w:r>
    </w:p>
    <w:p w:rsidR="00AD7907" w:rsidRDefault="00AD7907" w:rsidP="00AD7907">
      <w:pPr>
        <w:pStyle w:val="Rejstk2"/>
        <w:tabs>
          <w:tab w:val="right" w:leader="dot" w:pos="4171"/>
        </w:tabs>
        <w:spacing w:line="240" w:lineRule="auto"/>
        <w:ind w:left="242"/>
      </w:pPr>
      <w:r w:rsidRPr="004B4DFF">
        <w:rPr>
          <w:i/>
        </w:rPr>
        <w:t xml:space="preserve">De ente et essentia </w:t>
      </w:r>
      <w:r>
        <w:t>378.47‒59</w:t>
      </w:r>
      <w:r>
        <w:tab/>
        <w:t>375</w:t>
      </w:r>
    </w:p>
    <w:p w:rsidR="00AD7907" w:rsidRDefault="00AD7907" w:rsidP="00AD7907">
      <w:pPr>
        <w:pStyle w:val="Rejstk2"/>
        <w:tabs>
          <w:tab w:val="right" w:leader="dot" w:pos="4171"/>
        </w:tabs>
        <w:spacing w:line="240" w:lineRule="auto"/>
        <w:ind w:left="242"/>
      </w:pPr>
      <w:r w:rsidRPr="004B4DFF">
        <w:rPr>
          <w:i/>
        </w:rPr>
        <w:t>De malo</w:t>
      </w:r>
      <w:r>
        <w:tab/>
        <w:t>882</w:t>
      </w:r>
    </w:p>
    <w:p w:rsidR="00AD7907" w:rsidRDefault="00AD7907" w:rsidP="00AD7907">
      <w:pPr>
        <w:pStyle w:val="Rejstk2"/>
        <w:tabs>
          <w:tab w:val="right" w:leader="dot" w:pos="4171"/>
        </w:tabs>
        <w:spacing w:line="240" w:lineRule="auto"/>
        <w:ind w:left="242"/>
      </w:pPr>
      <w:r w:rsidRPr="004B4DFF">
        <w:rPr>
          <w:i/>
          <w:iCs/>
        </w:rPr>
        <w:t>De potentia</w:t>
      </w:r>
      <w:r w:rsidRPr="004B4DFF">
        <w:rPr>
          <w:iCs/>
        </w:rPr>
        <w:t xml:space="preserve"> 43</w:t>
      </w:r>
      <w:r>
        <w:tab/>
        <w:t>399</w:t>
      </w:r>
    </w:p>
    <w:p w:rsidR="00AD7907" w:rsidRDefault="00AD7907" w:rsidP="00AD7907">
      <w:pPr>
        <w:pStyle w:val="Rejstk2"/>
        <w:tabs>
          <w:tab w:val="right" w:leader="dot" w:pos="4171"/>
        </w:tabs>
        <w:spacing w:line="240" w:lineRule="auto"/>
        <w:ind w:left="242"/>
      </w:pPr>
      <w:r w:rsidRPr="004B4DFF">
        <w:rPr>
          <w:i/>
        </w:rPr>
        <w:t xml:space="preserve">De regno </w:t>
      </w:r>
      <w:r>
        <w:t>449.18‒26</w:t>
      </w:r>
      <w:r>
        <w:tab/>
        <w:t>849</w:t>
      </w:r>
    </w:p>
    <w:p w:rsidR="00AD7907" w:rsidRDefault="00AD7907" w:rsidP="00AD7907">
      <w:pPr>
        <w:pStyle w:val="Rejstk2"/>
        <w:tabs>
          <w:tab w:val="right" w:leader="dot" w:pos="4171"/>
        </w:tabs>
        <w:spacing w:line="240" w:lineRule="auto"/>
        <w:ind w:left="242"/>
      </w:pPr>
      <w:r w:rsidRPr="004B4DFF">
        <w:rPr>
          <w:i/>
        </w:rPr>
        <w:t>De regno</w:t>
      </w:r>
      <w:r>
        <w:t xml:space="preserve"> 466.110‒19</w:t>
      </w:r>
      <w:r>
        <w:tab/>
        <w:t>849</w:t>
      </w:r>
    </w:p>
    <w:p w:rsidR="00AD7907" w:rsidRDefault="00AD7907" w:rsidP="00AD7907">
      <w:pPr>
        <w:pStyle w:val="Rejstk2"/>
        <w:tabs>
          <w:tab w:val="right" w:leader="dot" w:pos="4171"/>
        </w:tabs>
        <w:spacing w:line="240" w:lineRule="auto"/>
        <w:ind w:left="242"/>
      </w:pPr>
      <w:r w:rsidRPr="004B4DFF">
        <w:rPr>
          <w:i/>
        </w:rPr>
        <w:t xml:space="preserve">De spiritualibus creaturis </w:t>
      </w:r>
      <w:r>
        <w:t>375</w:t>
      </w:r>
      <w:r>
        <w:tab/>
        <w:t>446, 448</w:t>
      </w:r>
    </w:p>
    <w:p w:rsidR="00AD7907" w:rsidRDefault="00AD7907" w:rsidP="00AD7907">
      <w:pPr>
        <w:pStyle w:val="Rejstk2"/>
        <w:tabs>
          <w:tab w:val="right" w:leader="dot" w:pos="4171"/>
        </w:tabs>
        <w:spacing w:line="240" w:lineRule="auto"/>
        <w:ind w:left="242"/>
      </w:pPr>
      <w:r w:rsidRPr="004B4DFF">
        <w:rPr>
          <w:i/>
        </w:rPr>
        <w:t>De spiritualibus creaturis</w:t>
      </w:r>
      <w:r>
        <w:t xml:space="preserve"> 75</w:t>
      </w:r>
      <w:r>
        <w:tab/>
        <w:t>451</w:t>
      </w:r>
    </w:p>
    <w:p w:rsidR="00AD7907" w:rsidRDefault="00AD7907" w:rsidP="00AD7907">
      <w:pPr>
        <w:pStyle w:val="Rejstk2"/>
        <w:tabs>
          <w:tab w:val="right" w:leader="dot" w:pos="4171"/>
        </w:tabs>
        <w:spacing w:line="240" w:lineRule="auto"/>
        <w:ind w:left="242"/>
      </w:pPr>
      <w:r w:rsidRPr="004B4DFF">
        <w:rPr>
          <w:i/>
        </w:rPr>
        <w:t xml:space="preserve">De unitate intellectus </w:t>
      </w:r>
      <w:r>
        <w:t>2.49</w:t>
      </w:r>
      <w:r>
        <w:tab/>
        <w:t>75</w:t>
      </w:r>
    </w:p>
    <w:p w:rsidR="00AD7907" w:rsidRDefault="00AD7907" w:rsidP="00AD7907">
      <w:pPr>
        <w:pStyle w:val="Rejstk2"/>
        <w:tabs>
          <w:tab w:val="right" w:leader="dot" w:pos="4171"/>
        </w:tabs>
        <w:spacing w:line="240" w:lineRule="auto"/>
        <w:ind w:left="242"/>
      </w:pPr>
      <w:r w:rsidRPr="004B4DFF">
        <w:rPr>
          <w:i/>
        </w:rPr>
        <w:t>De unitate intellectus</w:t>
      </w:r>
      <w:r>
        <w:t xml:space="preserve"> 293.212‒17</w:t>
      </w:r>
      <w:r>
        <w:tab/>
        <w:t>458</w:t>
      </w:r>
    </w:p>
    <w:p w:rsidR="00AD7907" w:rsidRDefault="00AD7907" w:rsidP="00AD7907">
      <w:pPr>
        <w:pStyle w:val="Rejstk2"/>
        <w:tabs>
          <w:tab w:val="right" w:leader="dot" w:pos="4171"/>
        </w:tabs>
        <w:spacing w:line="240" w:lineRule="auto"/>
        <w:ind w:left="242"/>
      </w:pPr>
      <w:r w:rsidRPr="004B4DFF">
        <w:rPr>
          <w:i/>
        </w:rPr>
        <w:t>De unitate intellectus</w:t>
      </w:r>
      <w:r>
        <w:t xml:space="preserve"> 303.41‒44</w:t>
      </w:r>
      <w:r>
        <w:tab/>
        <w:t>460</w:t>
      </w:r>
    </w:p>
    <w:p w:rsidR="00AD7907" w:rsidRDefault="00AD7907" w:rsidP="00AD7907">
      <w:pPr>
        <w:pStyle w:val="Rejstk2"/>
        <w:tabs>
          <w:tab w:val="right" w:leader="dot" w:pos="4171"/>
        </w:tabs>
        <w:spacing w:line="240" w:lineRule="auto"/>
        <w:ind w:left="242"/>
      </w:pPr>
      <w:r w:rsidRPr="004B4DFF">
        <w:rPr>
          <w:i/>
        </w:rPr>
        <w:t>De unitate intellectus</w:t>
      </w:r>
      <w:r>
        <w:t xml:space="preserve"> 303.46‒53</w:t>
      </w:r>
      <w:r>
        <w:tab/>
        <w:t>461</w:t>
      </w:r>
    </w:p>
    <w:p w:rsidR="00AD7907" w:rsidRDefault="00AD7907" w:rsidP="00AD7907">
      <w:pPr>
        <w:pStyle w:val="Rejstk2"/>
        <w:tabs>
          <w:tab w:val="right" w:leader="dot" w:pos="4171"/>
        </w:tabs>
        <w:spacing w:line="240" w:lineRule="auto"/>
        <w:ind w:left="242"/>
      </w:pPr>
      <w:r w:rsidRPr="004B4DFF">
        <w:rPr>
          <w:i/>
        </w:rPr>
        <w:t>De unitate intellectus</w:t>
      </w:r>
      <w:r>
        <w:t xml:space="preserve"> 304.190‒96</w:t>
      </w:r>
      <w:r>
        <w:tab/>
        <w:t>344</w:t>
      </w:r>
    </w:p>
    <w:p w:rsidR="00AD7907" w:rsidRDefault="00AD7907" w:rsidP="00AD7907">
      <w:pPr>
        <w:pStyle w:val="Rejstk2"/>
        <w:tabs>
          <w:tab w:val="right" w:leader="dot" w:pos="4171"/>
        </w:tabs>
        <w:spacing w:line="240" w:lineRule="auto"/>
        <w:ind w:left="242"/>
      </w:pPr>
      <w:r w:rsidRPr="004B4DFF">
        <w:rPr>
          <w:i/>
        </w:rPr>
        <w:t>De unitate intellectus</w:t>
      </w:r>
      <w:r>
        <w:t xml:space="preserve"> 307.378‒86</w:t>
      </w:r>
      <w:r>
        <w:tab/>
        <w:t>429</w:t>
      </w:r>
    </w:p>
    <w:p w:rsidR="00AD7907" w:rsidRDefault="00AD7907" w:rsidP="00AD7907">
      <w:pPr>
        <w:pStyle w:val="Rejstk2"/>
        <w:tabs>
          <w:tab w:val="right" w:leader="dot" w:pos="4171"/>
        </w:tabs>
        <w:spacing w:line="240" w:lineRule="auto"/>
        <w:ind w:left="242"/>
      </w:pPr>
      <w:r w:rsidRPr="004B4DFF">
        <w:rPr>
          <w:i/>
        </w:rPr>
        <w:t xml:space="preserve">De unitate intellectus </w:t>
      </w:r>
      <w:r>
        <w:t>307.387‒401</w:t>
      </w:r>
      <w:r>
        <w:tab/>
        <w:t>430</w:t>
      </w:r>
    </w:p>
    <w:p w:rsidR="00AD7907" w:rsidRDefault="00AD7907" w:rsidP="00AD7907">
      <w:pPr>
        <w:pStyle w:val="Rejstk2"/>
        <w:tabs>
          <w:tab w:val="right" w:leader="dot" w:pos="4171"/>
        </w:tabs>
        <w:spacing w:line="240" w:lineRule="auto"/>
        <w:ind w:left="242"/>
      </w:pPr>
      <w:r w:rsidRPr="004B4DFF">
        <w:rPr>
          <w:i/>
        </w:rPr>
        <w:t>De unitate intellectus</w:t>
      </w:r>
      <w:r>
        <w:t xml:space="preserve"> 314.389‒91</w:t>
      </w:r>
      <w:r>
        <w:tab/>
        <w:t>458</w:t>
      </w:r>
    </w:p>
    <w:p w:rsidR="00AD7907" w:rsidRDefault="00AD7907" w:rsidP="00AD7907">
      <w:pPr>
        <w:pStyle w:val="Rejstk2"/>
        <w:tabs>
          <w:tab w:val="right" w:leader="dot" w:pos="4171"/>
        </w:tabs>
        <w:spacing w:line="240" w:lineRule="auto"/>
        <w:ind w:left="242"/>
      </w:pPr>
      <w:r w:rsidRPr="004B4DFF">
        <w:rPr>
          <w:i/>
        </w:rPr>
        <w:t>De unitate intellectus</w:t>
      </w:r>
      <w:r>
        <w:t xml:space="preserve"> 314.389‒96</w:t>
      </w:r>
      <w:r>
        <w:tab/>
        <w:t>456</w:t>
      </w:r>
    </w:p>
    <w:p w:rsidR="00AD7907" w:rsidRDefault="00AD7907" w:rsidP="00AD7907">
      <w:pPr>
        <w:pStyle w:val="Rejstk2"/>
        <w:tabs>
          <w:tab w:val="right" w:leader="dot" w:pos="4171"/>
        </w:tabs>
        <w:spacing w:line="240" w:lineRule="auto"/>
        <w:ind w:left="242"/>
      </w:pPr>
      <w:r w:rsidRPr="004B4DFF">
        <w:rPr>
          <w:i/>
        </w:rPr>
        <w:t>De unitate intellectus</w:t>
      </w:r>
      <w:r>
        <w:t xml:space="preserve"> 314.394</w:t>
      </w:r>
      <w:r>
        <w:tab/>
        <w:t>459</w:t>
      </w:r>
    </w:p>
    <w:p w:rsidR="005C2DBB" w:rsidRDefault="00AD7907" w:rsidP="005C2DBB">
      <w:pPr>
        <w:pStyle w:val="Rejstk2"/>
        <w:tabs>
          <w:tab w:val="right" w:leader="dot" w:pos="4171"/>
        </w:tabs>
        <w:spacing w:line="240" w:lineRule="auto"/>
        <w:ind w:left="242"/>
      </w:pPr>
      <w:r w:rsidRPr="004B4DFF">
        <w:rPr>
          <w:i/>
        </w:rPr>
        <w:t xml:space="preserve">De unitate intellectus </w:t>
      </w:r>
      <w:r w:rsidR="005C2DBB">
        <w:t>314.431‒41</w:t>
      </w:r>
      <w:r w:rsidR="005C2DBB">
        <w:tab/>
        <w:t>385</w:t>
      </w:r>
    </w:p>
    <w:p w:rsidR="005C2DBB" w:rsidRDefault="005C2DBB" w:rsidP="005C2DBB">
      <w:pPr>
        <w:pStyle w:val="Rejstk2"/>
        <w:tabs>
          <w:tab w:val="right" w:leader="dot" w:pos="4171"/>
        </w:tabs>
        <w:spacing w:line="240" w:lineRule="auto"/>
        <w:ind w:left="242"/>
        <w:rPr>
          <w:noProof/>
        </w:rPr>
      </w:pPr>
      <w:r w:rsidRPr="001D243F">
        <w:rPr>
          <w:i/>
          <w:noProof/>
        </w:rPr>
        <w:t>De unitate intellectus</w:t>
      </w:r>
      <w:r>
        <w:rPr>
          <w:noProof/>
        </w:rPr>
        <w:t xml:space="preserve"> 300.837</w:t>
      </w:r>
      <w:r>
        <w:rPr>
          <w:noProof/>
        </w:rPr>
        <w:tab/>
        <w:t>512</w:t>
      </w:r>
    </w:p>
    <w:p w:rsidR="005C2DBB" w:rsidRDefault="005C2DBB" w:rsidP="005C2DBB">
      <w:pPr>
        <w:pStyle w:val="Rejstk2"/>
        <w:tabs>
          <w:tab w:val="right" w:leader="dot" w:pos="4171"/>
        </w:tabs>
        <w:spacing w:line="240" w:lineRule="auto"/>
        <w:ind w:left="242"/>
      </w:pPr>
      <w:r w:rsidRPr="001D243F">
        <w:rPr>
          <w:i/>
          <w:noProof/>
        </w:rPr>
        <w:t>De unitate intellectus</w:t>
      </w:r>
      <w:r>
        <w:rPr>
          <w:noProof/>
        </w:rPr>
        <w:t xml:space="preserve"> 300.819‒21</w:t>
      </w:r>
      <w:r>
        <w:rPr>
          <w:noProof/>
        </w:rPr>
        <w:tab/>
        <w:t>512</w:t>
      </w:r>
    </w:p>
    <w:p w:rsidR="00AD7907" w:rsidRDefault="00AD7907" w:rsidP="00AD7907">
      <w:pPr>
        <w:pStyle w:val="Rejstk2"/>
        <w:tabs>
          <w:tab w:val="right" w:leader="dot" w:pos="4171"/>
        </w:tabs>
        <w:spacing w:line="240" w:lineRule="auto"/>
        <w:ind w:left="242"/>
      </w:pPr>
      <w:r w:rsidRPr="004B4DFF">
        <w:rPr>
          <w:i/>
        </w:rPr>
        <w:t>De veritate</w:t>
      </w:r>
      <w:r>
        <w:t>, q. 10, a. 5</w:t>
      </w:r>
      <w:r>
        <w:tab/>
        <w:t>505</w:t>
      </w:r>
    </w:p>
    <w:p w:rsidR="00174482" w:rsidRDefault="00174482" w:rsidP="00174482">
      <w:pPr>
        <w:pStyle w:val="Rejstk2"/>
        <w:tabs>
          <w:tab w:val="right" w:leader="dot" w:pos="4171"/>
        </w:tabs>
        <w:spacing w:line="240" w:lineRule="auto"/>
        <w:ind w:left="242"/>
        <w:rPr>
          <w:i/>
        </w:rPr>
      </w:pPr>
      <w:r w:rsidRPr="004A109B">
        <w:rPr>
          <w:i/>
          <w:szCs w:val="24"/>
        </w:rPr>
        <w:t>De virtutibus</w:t>
      </w:r>
      <w:r w:rsidRPr="004A109B">
        <w:rPr>
          <w:szCs w:val="24"/>
        </w:rPr>
        <w:t>, q. 1, a. 2, arg. 15</w:t>
      </w:r>
      <w:r>
        <w:rPr>
          <w:szCs w:val="24"/>
        </w:rPr>
        <w:tab/>
        <w:t>410</w:t>
      </w:r>
    </w:p>
    <w:p w:rsidR="00AD7907" w:rsidRDefault="00AD7907" w:rsidP="00AD7907">
      <w:pPr>
        <w:pStyle w:val="Rejstk2"/>
        <w:tabs>
          <w:tab w:val="right" w:leader="dot" w:pos="4171"/>
        </w:tabs>
        <w:spacing w:line="240" w:lineRule="auto"/>
        <w:ind w:left="242"/>
      </w:pPr>
      <w:r w:rsidRPr="004B4DFF">
        <w:rPr>
          <w:i/>
        </w:rPr>
        <w:t>Expositio De ebdomadibus</w:t>
      </w:r>
      <w:r w:rsidRPr="004B4DFF">
        <w:t xml:space="preserve"> </w:t>
      </w:r>
      <w:r>
        <w:t>270.36‒39</w:t>
      </w:r>
      <w:r>
        <w:tab/>
        <w:t>390</w:t>
      </w:r>
    </w:p>
    <w:p w:rsidR="00AD7907" w:rsidRDefault="00AD7907" w:rsidP="00AD7907">
      <w:pPr>
        <w:pStyle w:val="Rejstk2"/>
        <w:tabs>
          <w:tab w:val="right" w:leader="dot" w:pos="4171"/>
        </w:tabs>
        <w:spacing w:line="240" w:lineRule="auto"/>
        <w:ind w:left="242"/>
      </w:pPr>
      <w:r w:rsidRPr="004B4DFF">
        <w:rPr>
          <w:i/>
        </w:rPr>
        <w:t>Expositio Posteriorum Analyticorum</w:t>
      </w:r>
      <w:r>
        <w:tab/>
        <w:t>390</w:t>
      </w:r>
    </w:p>
    <w:p w:rsidR="00AD7907" w:rsidRDefault="00AD7907" w:rsidP="00AD7907">
      <w:pPr>
        <w:pStyle w:val="Rejstk2"/>
        <w:tabs>
          <w:tab w:val="right" w:leader="dot" w:pos="4171"/>
        </w:tabs>
        <w:spacing w:line="240" w:lineRule="auto"/>
        <w:ind w:left="242"/>
      </w:pPr>
      <w:r w:rsidRPr="004B4DFF">
        <w:rPr>
          <w:i/>
        </w:rPr>
        <w:t>Expositio Posteriorum Analyticorum</w:t>
      </w:r>
      <w:r>
        <w:t xml:space="preserve"> 1.152</w:t>
      </w:r>
      <w:r>
        <w:tab/>
        <w:t>390</w:t>
      </w:r>
    </w:p>
    <w:p w:rsidR="00AD7907" w:rsidRDefault="00AD7907" w:rsidP="00AD7907">
      <w:pPr>
        <w:pStyle w:val="Rejstk2"/>
        <w:tabs>
          <w:tab w:val="right" w:leader="dot" w:pos="4171"/>
        </w:tabs>
        <w:spacing w:line="240" w:lineRule="auto"/>
        <w:ind w:left="242"/>
      </w:pPr>
      <w:r w:rsidRPr="004B4DFF">
        <w:rPr>
          <w:i/>
        </w:rPr>
        <w:t xml:space="preserve">Expositio super librum Boethii De trinitate </w:t>
      </w:r>
      <w:r>
        <w:t>143.109‒17</w:t>
      </w:r>
      <w:r>
        <w:tab/>
        <w:t>391</w:t>
      </w:r>
    </w:p>
    <w:p w:rsidR="00AD7907" w:rsidRDefault="00AD7907" w:rsidP="00AD7907">
      <w:pPr>
        <w:pStyle w:val="Rejstk2"/>
        <w:tabs>
          <w:tab w:val="right" w:leader="dot" w:pos="4171"/>
        </w:tabs>
        <w:spacing w:line="240" w:lineRule="auto"/>
        <w:ind w:left="242"/>
      </w:pPr>
      <w:r w:rsidRPr="004B4DFF">
        <w:rPr>
          <w:i/>
        </w:rPr>
        <w:t>Expositio super librum Boethii De trinitate</w:t>
      </w:r>
      <w:r>
        <w:t xml:space="preserve"> 143.122‒25</w:t>
      </w:r>
      <w:r>
        <w:tab/>
        <w:t>394</w:t>
      </w:r>
    </w:p>
    <w:p w:rsidR="00AD7907" w:rsidRDefault="00AD7907" w:rsidP="00AD7907">
      <w:pPr>
        <w:pStyle w:val="Rejstk2"/>
        <w:tabs>
          <w:tab w:val="right" w:leader="dot" w:pos="4171"/>
        </w:tabs>
        <w:spacing w:line="240" w:lineRule="auto"/>
        <w:ind w:left="242"/>
      </w:pPr>
      <w:r w:rsidRPr="004B4DFF">
        <w:rPr>
          <w:i/>
        </w:rPr>
        <w:t xml:space="preserve">Expositio super librum Boethii De trinitate </w:t>
      </w:r>
      <w:r w:rsidRPr="004B4DFF">
        <w:t>143.126‒144.133</w:t>
      </w:r>
      <w:r>
        <w:tab/>
        <w:t>396</w:t>
      </w:r>
    </w:p>
    <w:p w:rsidR="00AD7907" w:rsidRDefault="00AD7907" w:rsidP="00AD7907">
      <w:pPr>
        <w:pStyle w:val="Rejstk2"/>
        <w:tabs>
          <w:tab w:val="right" w:leader="dot" w:pos="4171"/>
        </w:tabs>
        <w:spacing w:line="240" w:lineRule="auto"/>
        <w:ind w:left="242"/>
      </w:pPr>
      <w:r w:rsidRPr="004B4DFF">
        <w:rPr>
          <w:i/>
        </w:rPr>
        <w:t xml:space="preserve">In Libros Politicorum Aristotelis Expositio </w:t>
      </w:r>
      <w:r>
        <w:t>137</w:t>
      </w:r>
      <w:r>
        <w:tab/>
        <w:t>899</w:t>
      </w:r>
    </w:p>
    <w:p w:rsidR="00AD7907" w:rsidRDefault="00AD7907" w:rsidP="00AD7907">
      <w:pPr>
        <w:pStyle w:val="Rejstk2"/>
        <w:tabs>
          <w:tab w:val="right" w:leader="dot" w:pos="4171"/>
        </w:tabs>
        <w:spacing w:line="240" w:lineRule="auto"/>
        <w:ind w:left="242"/>
      </w:pPr>
      <w:r w:rsidRPr="004B4DFF">
        <w:rPr>
          <w:i/>
        </w:rPr>
        <w:lastRenderedPageBreak/>
        <w:t>intellectus formalis</w:t>
      </w:r>
      <w:r>
        <w:tab/>
        <w:t>453</w:t>
      </w:r>
    </w:p>
    <w:p w:rsidR="00AD7907" w:rsidRDefault="00AD7907" w:rsidP="00AD7907">
      <w:pPr>
        <w:pStyle w:val="Rejstk2"/>
        <w:tabs>
          <w:tab w:val="right" w:leader="dot" w:pos="4171"/>
        </w:tabs>
        <w:spacing w:line="240" w:lineRule="auto"/>
        <w:ind w:left="242"/>
      </w:pPr>
      <w:r w:rsidRPr="004B4DFF">
        <w:rPr>
          <w:i/>
        </w:rPr>
        <w:t>Quaestiones disputatae De  anima</w:t>
      </w:r>
      <w:r>
        <w:t>, q. 8</w:t>
      </w:r>
      <w:r>
        <w:tab/>
        <w:t>75</w:t>
      </w:r>
    </w:p>
    <w:p w:rsidR="00AD7907" w:rsidRDefault="00AD7907" w:rsidP="00AD7907">
      <w:pPr>
        <w:pStyle w:val="Rejstk2"/>
        <w:tabs>
          <w:tab w:val="right" w:leader="dot" w:pos="4171"/>
        </w:tabs>
        <w:spacing w:line="240" w:lineRule="auto"/>
        <w:ind w:left="242"/>
      </w:pPr>
      <w:r w:rsidRPr="004B4DFF">
        <w:rPr>
          <w:i/>
        </w:rPr>
        <w:t xml:space="preserve">Quaestiones disputatae De anima </w:t>
      </w:r>
      <w:r w:rsidRPr="004B4DFF">
        <w:t>286</w:t>
      </w:r>
      <w:r>
        <w:tab/>
        <w:t>427</w:t>
      </w:r>
    </w:p>
    <w:p w:rsidR="00AD7907" w:rsidRDefault="00AD7907" w:rsidP="00AD7907">
      <w:pPr>
        <w:pStyle w:val="Rejstk2"/>
        <w:tabs>
          <w:tab w:val="right" w:leader="dot" w:pos="4171"/>
        </w:tabs>
        <w:spacing w:line="240" w:lineRule="auto"/>
        <w:ind w:left="242"/>
      </w:pPr>
      <w:r w:rsidRPr="004B4DFF">
        <w:rPr>
          <w:i/>
        </w:rPr>
        <w:t xml:space="preserve">Quaestiones disputatae de anima </w:t>
      </w:r>
      <w:r w:rsidRPr="004B4DFF">
        <w:t>287</w:t>
      </w:r>
      <w:r>
        <w:tab/>
        <w:t>468</w:t>
      </w:r>
    </w:p>
    <w:p w:rsidR="00AD7907" w:rsidRDefault="00AD7907" w:rsidP="00AD7907">
      <w:pPr>
        <w:pStyle w:val="Rejstk2"/>
        <w:tabs>
          <w:tab w:val="right" w:leader="dot" w:pos="4171"/>
        </w:tabs>
        <w:spacing w:line="240" w:lineRule="auto"/>
        <w:ind w:left="242"/>
      </w:pPr>
      <w:r w:rsidRPr="004B4DFF">
        <w:rPr>
          <w:i/>
        </w:rPr>
        <w:t>Quaestiones disputatae de anima</w:t>
      </w:r>
      <w:r>
        <w:t xml:space="preserve"> 296b</w:t>
      </w:r>
      <w:r>
        <w:tab/>
        <w:t>210</w:t>
      </w:r>
    </w:p>
    <w:p w:rsidR="00AD7907" w:rsidRDefault="00995DF0" w:rsidP="00AD7907">
      <w:pPr>
        <w:pStyle w:val="Rejstk2"/>
        <w:tabs>
          <w:tab w:val="right" w:leader="dot" w:pos="4171"/>
        </w:tabs>
        <w:spacing w:line="240" w:lineRule="auto"/>
        <w:ind w:left="242"/>
      </w:pPr>
      <w:r w:rsidRPr="00995DF0">
        <w:rPr>
          <w:i/>
        </w:rPr>
        <w:t>Quaestiones disputatae De potentia</w:t>
      </w:r>
      <w:r w:rsidR="00AD7907" w:rsidRPr="004B4DFF">
        <w:rPr>
          <w:i/>
        </w:rPr>
        <w:t xml:space="preserve"> </w:t>
      </w:r>
      <w:r w:rsidR="00AD7907">
        <w:t>214</w:t>
      </w:r>
      <w:r w:rsidR="00AD7907">
        <w:tab/>
        <w:t>400, 401</w:t>
      </w:r>
    </w:p>
    <w:p w:rsidR="000A6258" w:rsidRDefault="00995DF0" w:rsidP="000A6258">
      <w:pPr>
        <w:pStyle w:val="Rejstk2"/>
        <w:tabs>
          <w:tab w:val="right" w:leader="dot" w:pos="4171"/>
        </w:tabs>
        <w:spacing w:line="240" w:lineRule="auto"/>
        <w:ind w:left="242"/>
      </w:pPr>
      <w:r w:rsidRPr="00995DF0">
        <w:rPr>
          <w:i/>
        </w:rPr>
        <w:t>Quaestiones disputatae De potentia</w:t>
      </w:r>
      <w:r w:rsidR="00AD7907">
        <w:t xml:space="preserve"> 215</w:t>
      </w:r>
      <w:r w:rsidR="00AD7907">
        <w:tab/>
        <w:t>402, 404, 405, 408, 410, 412, 413</w:t>
      </w:r>
    </w:p>
    <w:p w:rsidR="000A6258" w:rsidRDefault="000A6258" w:rsidP="000A6258">
      <w:pPr>
        <w:pStyle w:val="Rejstk2"/>
        <w:tabs>
          <w:tab w:val="right" w:leader="dot" w:pos="4171"/>
        </w:tabs>
        <w:spacing w:line="240" w:lineRule="auto"/>
        <w:ind w:left="242"/>
      </w:pPr>
      <w:r>
        <w:rPr>
          <w:i/>
          <w:iCs/>
        </w:rPr>
        <w:t>D</w:t>
      </w:r>
      <w:r w:rsidRPr="00273106">
        <w:rPr>
          <w:i/>
          <w:iCs/>
        </w:rPr>
        <w:t>e potentia</w:t>
      </w:r>
      <w:r w:rsidRPr="00273106">
        <w:t>, q. 7 a. 6, resp</w:t>
      </w:r>
      <w:r>
        <w:t>.</w:t>
      </w:r>
      <w:r>
        <w:tab/>
        <w:t>425</w:t>
      </w:r>
    </w:p>
    <w:p w:rsidR="000A6258" w:rsidRDefault="000A6258" w:rsidP="000A6258">
      <w:pPr>
        <w:pStyle w:val="Rejstk2"/>
        <w:tabs>
          <w:tab w:val="right" w:leader="dot" w:pos="4171"/>
        </w:tabs>
        <w:spacing w:line="240" w:lineRule="auto"/>
        <w:ind w:left="242"/>
      </w:pPr>
      <w:r w:rsidRPr="00ED18F6">
        <w:rPr>
          <w:i/>
          <w:lang w:val="en-US"/>
        </w:rPr>
        <w:t>De potentia</w:t>
      </w:r>
      <w:r>
        <w:t xml:space="preserve">, </w:t>
      </w:r>
      <w:r w:rsidRPr="00273106">
        <w:t>q. 3</w:t>
      </w:r>
      <w:r>
        <w:t>,</w:t>
      </w:r>
      <w:r w:rsidRPr="00273106">
        <w:t xml:space="preserve"> a. 14, resp</w:t>
      </w:r>
      <w:r>
        <w:t>.</w:t>
      </w:r>
      <w:r>
        <w:tab/>
        <w:t>426</w:t>
      </w:r>
    </w:p>
    <w:p w:rsidR="00AD7907" w:rsidRDefault="00AD7907" w:rsidP="00AD7907">
      <w:pPr>
        <w:pStyle w:val="Rejstk2"/>
        <w:tabs>
          <w:tab w:val="right" w:leader="dot" w:pos="4171"/>
        </w:tabs>
        <w:spacing w:line="240" w:lineRule="auto"/>
        <w:ind w:left="242"/>
      </w:pPr>
      <w:r w:rsidRPr="004B4DFF">
        <w:rPr>
          <w:i/>
        </w:rPr>
        <w:t xml:space="preserve">Quaestiones disputatae De veritate </w:t>
      </w:r>
      <w:r w:rsidRPr="004B4DFF">
        <w:t>321.219‒29</w:t>
      </w:r>
      <w:r>
        <w:tab/>
        <w:t>418</w:t>
      </w:r>
    </w:p>
    <w:p w:rsidR="00AD7907" w:rsidRDefault="00AD7907" w:rsidP="00AD7907">
      <w:pPr>
        <w:pStyle w:val="Rejstk2"/>
        <w:tabs>
          <w:tab w:val="right" w:leader="dot" w:pos="4171"/>
        </w:tabs>
        <w:spacing w:line="240" w:lineRule="auto"/>
        <w:ind w:left="242"/>
      </w:pPr>
      <w:r w:rsidRPr="004B4DFF">
        <w:rPr>
          <w:i/>
        </w:rPr>
        <w:t xml:space="preserve">Quaestiones disputatae de veritate </w:t>
      </w:r>
      <w:r>
        <w:t>65.53‒66.57</w:t>
      </w:r>
      <w:r>
        <w:tab/>
        <w:t>392</w:t>
      </w:r>
    </w:p>
    <w:p w:rsidR="00AD7907" w:rsidRDefault="00AD7907" w:rsidP="00AD7907">
      <w:pPr>
        <w:pStyle w:val="Rejstk2"/>
        <w:tabs>
          <w:tab w:val="right" w:leader="dot" w:pos="4171"/>
        </w:tabs>
        <w:spacing w:line="240" w:lineRule="auto"/>
        <w:ind w:left="242"/>
      </w:pPr>
      <w:r>
        <w:t>ST I.1.5</w:t>
      </w:r>
      <w:r>
        <w:tab/>
        <w:t>356</w:t>
      </w:r>
    </w:p>
    <w:p w:rsidR="00AD7907" w:rsidRDefault="00AD7907" w:rsidP="00AD7907">
      <w:pPr>
        <w:pStyle w:val="Rejstk2"/>
        <w:tabs>
          <w:tab w:val="right" w:leader="dot" w:pos="4171"/>
        </w:tabs>
        <w:spacing w:line="240" w:lineRule="auto"/>
        <w:ind w:left="242"/>
      </w:pPr>
      <w:r>
        <w:t xml:space="preserve">ST </w:t>
      </w:r>
      <w:r w:rsidRPr="004B4DFF">
        <w:t>I.14.11</w:t>
      </w:r>
      <w:r>
        <w:tab/>
        <w:t>505</w:t>
      </w:r>
    </w:p>
    <w:p w:rsidR="00AD7907" w:rsidRDefault="00AD7907" w:rsidP="00AD7907">
      <w:pPr>
        <w:pStyle w:val="Rejstk2"/>
        <w:tabs>
          <w:tab w:val="right" w:leader="dot" w:pos="4171"/>
        </w:tabs>
        <w:spacing w:line="240" w:lineRule="auto"/>
        <w:ind w:left="242"/>
      </w:pPr>
      <w:r>
        <w:t xml:space="preserve">ST </w:t>
      </w:r>
      <w:r w:rsidRPr="004B4DFF">
        <w:t>I.2.1</w:t>
      </w:r>
      <w:r>
        <w:tab/>
        <w:t>614, 672</w:t>
      </w:r>
    </w:p>
    <w:p w:rsidR="00AD7907" w:rsidRDefault="00AD7907" w:rsidP="00AD7907">
      <w:pPr>
        <w:pStyle w:val="Rejstk2"/>
        <w:tabs>
          <w:tab w:val="right" w:leader="dot" w:pos="4171"/>
        </w:tabs>
        <w:spacing w:line="240" w:lineRule="auto"/>
        <w:ind w:left="242"/>
      </w:pPr>
      <w:r>
        <w:t>ST I.2.3</w:t>
      </w:r>
      <w:r>
        <w:tab/>
        <w:t>251</w:t>
      </w:r>
    </w:p>
    <w:p w:rsidR="00AD7907" w:rsidRDefault="00AD7907" w:rsidP="00AD7907">
      <w:pPr>
        <w:pStyle w:val="Rejstk2"/>
        <w:tabs>
          <w:tab w:val="right" w:leader="dot" w:pos="4171"/>
        </w:tabs>
        <w:spacing w:line="240" w:lineRule="auto"/>
        <w:ind w:left="242"/>
      </w:pPr>
      <w:r>
        <w:t>ST I.75.2</w:t>
      </w:r>
      <w:r>
        <w:tab/>
        <w:t>406, 453, 466</w:t>
      </w:r>
    </w:p>
    <w:p w:rsidR="00AD7907" w:rsidRDefault="00AD7907" w:rsidP="00AD7907">
      <w:pPr>
        <w:pStyle w:val="Rejstk2"/>
        <w:tabs>
          <w:tab w:val="right" w:leader="dot" w:pos="4171"/>
        </w:tabs>
        <w:spacing w:line="240" w:lineRule="auto"/>
        <w:ind w:left="242"/>
      </w:pPr>
      <w:r>
        <w:t>ST I.76.1</w:t>
      </w:r>
      <w:r>
        <w:tab/>
        <w:t>420</w:t>
      </w:r>
    </w:p>
    <w:p w:rsidR="00AD7907" w:rsidRDefault="00AD7907" w:rsidP="00AD7907">
      <w:pPr>
        <w:pStyle w:val="Rejstk2"/>
        <w:tabs>
          <w:tab w:val="right" w:leader="dot" w:pos="4171"/>
        </w:tabs>
        <w:spacing w:line="240" w:lineRule="auto"/>
        <w:ind w:left="242"/>
      </w:pPr>
      <w:r>
        <w:t>ST I.77.1</w:t>
      </w:r>
      <w:r>
        <w:tab/>
        <w:t>431</w:t>
      </w:r>
    </w:p>
    <w:p w:rsidR="00AD7907" w:rsidRDefault="00AD7907" w:rsidP="00AD7907">
      <w:pPr>
        <w:pStyle w:val="Rejstk2"/>
        <w:tabs>
          <w:tab w:val="right" w:leader="dot" w:pos="4171"/>
        </w:tabs>
        <w:spacing w:line="240" w:lineRule="auto"/>
        <w:ind w:left="242"/>
      </w:pPr>
      <w:r>
        <w:t>ST I.82.3</w:t>
      </w:r>
      <w:r>
        <w:tab/>
        <w:t>535</w:t>
      </w:r>
    </w:p>
    <w:p w:rsidR="00AD7907" w:rsidRDefault="00AD7907" w:rsidP="00AD7907">
      <w:pPr>
        <w:pStyle w:val="Rejstk2"/>
        <w:tabs>
          <w:tab w:val="right" w:leader="dot" w:pos="4171"/>
        </w:tabs>
        <w:spacing w:line="240" w:lineRule="auto"/>
        <w:ind w:left="242"/>
      </w:pPr>
      <w:r>
        <w:t>ST I.84.6</w:t>
      </w:r>
      <w:r>
        <w:tab/>
        <w:t>210, 402</w:t>
      </w:r>
    </w:p>
    <w:p w:rsidR="00AD7907" w:rsidRDefault="00AD7907" w:rsidP="00AD7907">
      <w:pPr>
        <w:pStyle w:val="Rejstk2"/>
        <w:tabs>
          <w:tab w:val="right" w:leader="dot" w:pos="4171"/>
        </w:tabs>
        <w:spacing w:line="240" w:lineRule="auto"/>
        <w:ind w:left="242"/>
      </w:pPr>
      <w:r>
        <w:t>ST I.85.5</w:t>
      </w:r>
      <w:r>
        <w:tab/>
        <w:t>387</w:t>
      </w:r>
    </w:p>
    <w:p w:rsidR="00AD7907" w:rsidRDefault="00AD7907" w:rsidP="00AD7907">
      <w:pPr>
        <w:pStyle w:val="Rejstk2"/>
        <w:tabs>
          <w:tab w:val="right" w:leader="dot" w:pos="4171"/>
        </w:tabs>
        <w:spacing w:line="240" w:lineRule="auto"/>
        <w:ind w:left="242"/>
      </w:pPr>
      <w:r>
        <w:t>ST I.85.7</w:t>
      </w:r>
      <w:r>
        <w:tab/>
        <w:t>388</w:t>
      </w:r>
    </w:p>
    <w:p w:rsidR="00AD7907" w:rsidRDefault="00AD7907" w:rsidP="00AD7907">
      <w:pPr>
        <w:pStyle w:val="Rejstk2"/>
        <w:tabs>
          <w:tab w:val="right" w:leader="dot" w:pos="4171"/>
        </w:tabs>
        <w:spacing w:line="240" w:lineRule="auto"/>
        <w:ind w:left="242"/>
      </w:pPr>
      <w:r>
        <w:t>ST I.88.1</w:t>
      </w:r>
      <w:r>
        <w:tab/>
        <w:t>213</w:t>
      </w:r>
    </w:p>
    <w:p w:rsidR="00AD7907" w:rsidRDefault="00AD7907" w:rsidP="00AD7907">
      <w:pPr>
        <w:pStyle w:val="Rejstk2"/>
        <w:tabs>
          <w:tab w:val="right" w:leader="dot" w:pos="4171"/>
        </w:tabs>
        <w:spacing w:line="240" w:lineRule="auto"/>
        <w:ind w:left="242"/>
      </w:pPr>
      <w:r>
        <w:t>ST I.89.5</w:t>
      </w:r>
      <w:r>
        <w:tab/>
        <w:t>423</w:t>
      </w:r>
    </w:p>
    <w:p w:rsidR="00AD7907" w:rsidRDefault="00AD7907" w:rsidP="00AD7907">
      <w:pPr>
        <w:pStyle w:val="Rejstk2"/>
        <w:tabs>
          <w:tab w:val="right" w:leader="dot" w:pos="4171"/>
        </w:tabs>
        <w:spacing w:line="240" w:lineRule="auto"/>
        <w:ind w:left="242"/>
      </w:pPr>
      <w:r>
        <w:t>ST</w:t>
      </w:r>
      <w:r w:rsidRPr="004B4DFF">
        <w:rPr>
          <w:i/>
        </w:rPr>
        <w:t xml:space="preserve"> </w:t>
      </w:r>
      <w:r>
        <w:t>II-II.179.1</w:t>
      </w:r>
      <w:r>
        <w:tab/>
        <w:t>317</w:t>
      </w:r>
    </w:p>
    <w:p w:rsidR="00AD7907" w:rsidRDefault="00AD7907" w:rsidP="00AD7907">
      <w:pPr>
        <w:pStyle w:val="Rejstk2"/>
        <w:tabs>
          <w:tab w:val="right" w:leader="dot" w:pos="4171"/>
        </w:tabs>
        <w:spacing w:line="240" w:lineRule="auto"/>
        <w:ind w:left="242"/>
      </w:pPr>
      <w:r w:rsidRPr="004B4DFF">
        <w:t>ST II-II.4.2</w:t>
      </w:r>
      <w:r>
        <w:tab/>
        <w:t>526, 880</w:t>
      </w:r>
    </w:p>
    <w:p w:rsidR="00AD7907" w:rsidRDefault="00AD7907" w:rsidP="00AD7907">
      <w:pPr>
        <w:pStyle w:val="Rejstk2"/>
        <w:tabs>
          <w:tab w:val="right" w:leader="dot" w:pos="4171"/>
        </w:tabs>
        <w:spacing w:line="240" w:lineRule="auto"/>
        <w:ind w:left="242"/>
      </w:pPr>
      <w:r>
        <w:t>ST II-II.77.1</w:t>
      </w:r>
      <w:r>
        <w:tab/>
        <w:t>562</w:t>
      </w:r>
    </w:p>
    <w:p w:rsidR="00AD7907" w:rsidRDefault="00AD7907" w:rsidP="00AD7907">
      <w:pPr>
        <w:pStyle w:val="Rejstk1"/>
        <w:tabs>
          <w:tab w:val="right" w:leader="dot" w:pos="4171"/>
        </w:tabs>
        <w:spacing w:line="240" w:lineRule="auto"/>
      </w:pPr>
      <w:r w:rsidRPr="004B4DFF">
        <w:rPr>
          <w:i/>
        </w:rPr>
        <w:t>Sentencia libri De anima</w:t>
      </w:r>
      <w:r w:rsidRPr="004B4DFF">
        <w:t xml:space="preserve"> 202.80‒90</w:t>
      </w:r>
      <w:r>
        <w:tab/>
        <w:t>422</w:t>
      </w:r>
    </w:p>
    <w:p w:rsidR="00AD7907" w:rsidRDefault="00AD7907" w:rsidP="00AD7907">
      <w:pPr>
        <w:pStyle w:val="Rejstk2"/>
        <w:tabs>
          <w:tab w:val="right" w:leader="dot" w:pos="4171"/>
        </w:tabs>
        <w:spacing w:line="240" w:lineRule="auto"/>
        <w:ind w:left="242"/>
      </w:pPr>
      <w:r w:rsidRPr="004B4DFF">
        <w:rPr>
          <w:i/>
        </w:rPr>
        <w:t>Summa contra Gentiles</w:t>
      </w:r>
      <w:r w:rsidRPr="004B4DFF">
        <w:t xml:space="preserve"> I.11.4</w:t>
      </w:r>
      <w:r>
        <w:tab/>
        <w:t>679</w:t>
      </w:r>
    </w:p>
    <w:p w:rsidR="00AD7907" w:rsidRDefault="00AD7907" w:rsidP="00AD7907">
      <w:pPr>
        <w:pStyle w:val="Rejstk2"/>
        <w:tabs>
          <w:tab w:val="right" w:leader="dot" w:pos="4171"/>
        </w:tabs>
        <w:spacing w:line="240" w:lineRule="auto"/>
        <w:ind w:left="242"/>
      </w:pPr>
      <w:r w:rsidRPr="004B4DFF">
        <w:rPr>
          <w:i/>
        </w:rPr>
        <w:t>Summa contra Gentiles</w:t>
      </w:r>
      <w:r w:rsidRPr="004B4DFF">
        <w:t xml:space="preserve"> II.59</w:t>
      </w:r>
      <w:r>
        <w:tab/>
        <w:t>421</w:t>
      </w:r>
    </w:p>
    <w:p w:rsidR="00AD7907" w:rsidRDefault="00AD7907" w:rsidP="00AD7907">
      <w:pPr>
        <w:pStyle w:val="Rejstk2"/>
        <w:tabs>
          <w:tab w:val="right" w:leader="dot" w:pos="4171"/>
        </w:tabs>
        <w:spacing w:line="240" w:lineRule="auto"/>
        <w:ind w:left="242"/>
      </w:pPr>
      <w:r w:rsidRPr="004B4DFF">
        <w:rPr>
          <w:i/>
        </w:rPr>
        <w:t xml:space="preserve">Summa contra Gentiles </w:t>
      </w:r>
      <w:r>
        <w:t>II.60</w:t>
      </w:r>
      <w:r>
        <w:tab/>
        <w:t>398</w:t>
      </w:r>
    </w:p>
    <w:p w:rsidR="00AD7907" w:rsidRDefault="00AD7907" w:rsidP="00AD7907">
      <w:pPr>
        <w:pStyle w:val="Rejstk2"/>
        <w:tabs>
          <w:tab w:val="right" w:leader="dot" w:pos="4171"/>
        </w:tabs>
        <w:spacing w:line="240" w:lineRule="auto"/>
        <w:ind w:left="242"/>
      </w:pPr>
      <w:r w:rsidRPr="004B4DFF">
        <w:rPr>
          <w:i/>
        </w:rPr>
        <w:t xml:space="preserve">Summa contra Gentiles </w:t>
      </w:r>
      <w:r>
        <w:t>II.76</w:t>
      </w:r>
      <w:r>
        <w:tab/>
        <w:t>457</w:t>
      </w:r>
    </w:p>
    <w:p w:rsidR="00AD7907" w:rsidRDefault="00AD7907" w:rsidP="00AD7907">
      <w:pPr>
        <w:pStyle w:val="Rejstk2"/>
        <w:tabs>
          <w:tab w:val="right" w:leader="dot" w:pos="4171"/>
        </w:tabs>
        <w:spacing w:line="240" w:lineRule="auto"/>
        <w:ind w:left="242"/>
      </w:pPr>
      <w:r w:rsidRPr="004B4DFF">
        <w:rPr>
          <w:i/>
        </w:rPr>
        <w:t>Super II Sent</w:t>
      </w:r>
      <w:r w:rsidRPr="004B4DFF">
        <w:t>.</w:t>
      </w:r>
      <w:r>
        <w:t xml:space="preserve"> 1121.19–24</w:t>
      </w:r>
      <w:r>
        <w:tab/>
        <w:t>880</w:t>
      </w:r>
    </w:p>
    <w:p w:rsidR="00AD7907" w:rsidRDefault="00AD7907" w:rsidP="00AD7907">
      <w:pPr>
        <w:pStyle w:val="Rejstk2"/>
        <w:tabs>
          <w:tab w:val="right" w:leader="dot" w:pos="4171"/>
        </w:tabs>
        <w:spacing w:line="240" w:lineRule="auto"/>
        <w:ind w:left="242"/>
      </w:pPr>
      <w:r w:rsidRPr="004B4DFF">
        <w:rPr>
          <w:i/>
        </w:rPr>
        <w:t xml:space="preserve">Super Sententiarum </w:t>
      </w:r>
      <w:r>
        <w:t>I.440</w:t>
      </w:r>
      <w:r>
        <w:tab/>
        <w:t>371, 396</w:t>
      </w:r>
    </w:p>
    <w:p w:rsidR="00AD7907" w:rsidRDefault="00AD7907" w:rsidP="00AD7907">
      <w:pPr>
        <w:pStyle w:val="Rejstk2"/>
        <w:tabs>
          <w:tab w:val="right" w:leader="dot" w:pos="4171"/>
        </w:tabs>
        <w:spacing w:line="240" w:lineRule="auto"/>
        <w:ind w:left="242"/>
      </w:pPr>
      <w:r w:rsidRPr="004B4DFF">
        <w:rPr>
          <w:i/>
        </w:rPr>
        <w:t xml:space="preserve">Super Sententiarum </w:t>
      </w:r>
      <w:r>
        <w:t>II</w:t>
      </w:r>
      <w:r w:rsidRPr="004B4DFF">
        <w:t>, 334</w:t>
      </w:r>
      <w:r>
        <w:tab/>
        <w:t>223</w:t>
      </w:r>
    </w:p>
    <w:p w:rsidR="00AD7907" w:rsidRDefault="00AD7907" w:rsidP="00AD7907">
      <w:pPr>
        <w:pStyle w:val="Rejstk2"/>
        <w:tabs>
          <w:tab w:val="right" w:leader="dot" w:pos="4171"/>
        </w:tabs>
        <w:spacing w:line="240" w:lineRule="auto"/>
        <w:ind w:left="242"/>
      </w:pPr>
      <w:r w:rsidRPr="004B4DFF">
        <w:rPr>
          <w:i/>
        </w:rPr>
        <w:t xml:space="preserve">Super Sententiarum </w:t>
      </w:r>
      <w:r>
        <w:t>II.424</w:t>
      </w:r>
      <w:r>
        <w:tab/>
        <w:t>379</w:t>
      </w:r>
    </w:p>
    <w:p w:rsidR="00AD7907" w:rsidRDefault="00AD7907" w:rsidP="00AD7907">
      <w:pPr>
        <w:pStyle w:val="Rejstk2"/>
        <w:tabs>
          <w:tab w:val="right" w:leader="dot" w:pos="4171"/>
        </w:tabs>
        <w:spacing w:line="240" w:lineRule="auto"/>
        <w:ind w:left="242"/>
      </w:pPr>
      <w:r w:rsidRPr="004B4DFF">
        <w:rPr>
          <w:i/>
        </w:rPr>
        <w:t xml:space="preserve">Super Sententiarum </w:t>
      </w:r>
      <w:r>
        <w:t>II.427</w:t>
      </w:r>
      <w:r>
        <w:tab/>
        <w:t>380</w:t>
      </w:r>
    </w:p>
    <w:p w:rsidR="00AD7907" w:rsidRDefault="00AD7907" w:rsidP="00AD7907">
      <w:pPr>
        <w:pStyle w:val="Rejstk2"/>
        <w:tabs>
          <w:tab w:val="right" w:leader="dot" w:pos="4171"/>
        </w:tabs>
        <w:spacing w:line="240" w:lineRule="auto"/>
        <w:ind w:left="242"/>
      </w:pPr>
      <w:r w:rsidRPr="004B4DFF">
        <w:rPr>
          <w:i/>
        </w:rPr>
        <w:t xml:space="preserve">Super Sententiarum </w:t>
      </w:r>
      <w:r>
        <w:t>II.484</w:t>
      </w:r>
      <w:r>
        <w:tab/>
        <w:t>388</w:t>
      </w:r>
    </w:p>
    <w:p w:rsidR="00AD7907" w:rsidRDefault="00AD7907" w:rsidP="00AD7907"/>
    <w:p w:rsidR="00AD7907" w:rsidRPr="00FA2000" w:rsidRDefault="00AD7907" w:rsidP="00AD7907">
      <w:pPr>
        <w:pStyle w:val="Rejstk2"/>
        <w:tabs>
          <w:tab w:val="right" w:leader="dot" w:pos="4171"/>
        </w:tabs>
        <w:spacing w:line="240" w:lineRule="auto"/>
        <w:ind w:left="242"/>
        <w:rPr>
          <w:b/>
          <w:lang w:val="de-LU"/>
        </w:rPr>
      </w:pPr>
      <w:r w:rsidRPr="00FA2000">
        <w:rPr>
          <w:b/>
        </w:rPr>
        <w:t xml:space="preserve">Albert </w:t>
      </w:r>
      <w:r>
        <w:rPr>
          <w:b/>
        </w:rPr>
        <w:t>Veliký</w:t>
      </w:r>
    </w:p>
    <w:p w:rsidR="00AD7907" w:rsidRDefault="00AD7907" w:rsidP="00AD7907">
      <w:pPr>
        <w:pStyle w:val="Rejstk2"/>
        <w:tabs>
          <w:tab w:val="right" w:leader="dot" w:pos="4171"/>
        </w:tabs>
        <w:spacing w:line="240" w:lineRule="auto"/>
        <w:ind w:left="246"/>
      </w:pPr>
      <w:r w:rsidRPr="004B4DFF">
        <w:rPr>
          <w:i/>
        </w:rPr>
        <w:t>Analytica posteriora</w:t>
      </w:r>
      <w:r>
        <w:t xml:space="preserve"> 228a</w:t>
      </w:r>
      <w:r>
        <w:tab/>
        <w:t>293</w:t>
      </w:r>
    </w:p>
    <w:p w:rsidR="00AD7907" w:rsidRDefault="00AD7907" w:rsidP="00AD7907">
      <w:pPr>
        <w:pStyle w:val="Rejstk2"/>
        <w:tabs>
          <w:tab w:val="right" w:leader="dot" w:pos="4171"/>
        </w:tabs>
        <w:spacing w:line="240" w:lineRule="auto"/>
        <w:ind w:left="246"/>
      </w:pPr>
      <w:r w:rsidRPr="004B4DFF">
        <w:rPr>
          <w:i/>
        </w:rPr>
        <w:t>De homine</w:t>
      </w:r>
      <w:r>
        <w:t xml:space="preserve"> 543b</w:t>
      </w:r>
      <w:r>
        <w:tab/>
        <w:t>856, 857</w:t>
      </w:r>
    </w:p>
    <w:p w:rsidR="00AD7907" w:rsidRDefault="00AD7907" w:rsidP="00AD7907">
      <w:pPr>
        <w:pStyle w:val="Rejstk2"/>
        <w:tabs>
          <w:tab w:val="right" w:leader="dot" w:pos="4171"/>
        </w:tabs>
        <w:spacing w:line="240" w:lineRule="auto"/>
        <w:ind w:left="246"/>
      </w:pPr>
      <w:r w:rsidRPr="004B4DFF">
        <w:rPr>
          <w:i/>
        </w:rPr>
        <w:t>De homine</w:t>
      </w:r>
      <w:r>
        <w:t xml:space="preserve"> 544a</w:t>
      </w:r>
      <w:r>
        <w:tab/>
        <w:t>872</w:t>
      </w:r>
    </w:p>
    <w:p w:rsidR="00AD7907" w:rsidRDefault="00AD7907" w:rsidP="00AD7907">
      <w:pPr>
        <w:pStyle w:val="Rejstk2"/>
        <w:tabs>
          <w:tab w:val="right" w:leader="dot" w:pos="4171"/>
        </w:tabs>
        <w:spacing w:line="240" w:lineRule="auto"/>
        <w:ind w:left="246"/>
      </w:pPr>
      <w:r w:rsidRPr="004B4DFF">
        <w:rPr>
          <w:i/>
        </w:rPr>
        <w:t>De homine</w:t>
      </w:r>
      <w:r>
        <w:t xml:space="preserve"> 544b</w:t>
      </w:r>
      <w:r>
        <w:tab/>
        <w:t>872, 874</w:t>
      </w:r>
    </w:p>
    <w:p w:rsidR="00AD7907" w:rsidRDefault="00AD7907" w:rsidP="00AD7907">
      <w:pPr>
        <w:pStyle w:val="Rejstk2"/>
        <w:tabs>
          <w:tab w:val="right" w:leader="dot" w:pos="4171"/>
        </w:tabs>
        <w:spacing w:line="240" w:lineRule="auto"/>
        <w:ind w:left="246"/>
      </w:pPr>
      <w:r w:rsidRPr="004B4DFF">
        <w:rPr>
          <w:i/>
        </w:rPr>
        <w:t xml:space="preserve">De homine </w:t>
      </w:r>
      <w:r>
        <w:t>545b</w:t>
      </w:r>
      <w:r>
        <w:tab/>
        <w:t>876</w:t>
      </w:r>
    </w:p>
    <w:p w:rsidR="00AD7907" w:rsidRDefault="00AD7907" w:rsidP="00AD7907">
      <w:pPr>
        <w:pStyle w:val="Rejstk2"/>
        <w:tabs>
          <w:tab w:val="right" w:leader="dot" w:pos="4171"/>
        </w:tabs>
        <w:spacing w:line="240" w:lineRule="auto"/>
        <w:ind w:left="246"/>
      </w:pPr>
      <w:r w:rsidRPr="004B4DFF">
        <w:rPr>
          <w:i/>
        </w:rPr>
        <w:t>De intellectu et intelligibili</w:t>
      </w:r>
      <w:r>
        <w:t xml:space="preserve"> 508a‒b</w:t>
      </w:r>
      <w:r>
        <w:tab/>
        <w:t>111</w:t>
      </w:r>
    </w:p>
    <w:p w:rsidR="00AD7907" w:rsidRDefault="00AD7907" w:rsidP="00AD7907">
      <w:pPr>
        <w:pStyle w:val="Rejstk2"/>
        <w:tabs>
          <w:tab w:val="right" w:leader="dot" w:pos="4171"/>
        </w:tabs>
        <w:spacing w:line="240" w:lineRule="auto"/>
        <w:ind w:left="246"/>
      </w:pPr>
      <w:r w:rsidRPr="004B4DFF">
        <w:rPr>
          <w:i/>
        </w:rPr>
        <w:t>De unitate intellectus</w:t>
      </w:r>
      <w:r>
        <w:t xml:space="preserve"> 441a</w:t>
      </w:r>
      <w:r>
        <w:tab/>
        <w:t>134</w:t>
      </w:r>
    </w:p>
    <w:p w:rsidR="00AD7907" w:rsidRDefault="00AD7907" w:rsidP="00AD7907">
      <w:pPr>
        <w:pStyle w:val="Rejstk2"/>
        <w:tabs>
          <w:tab w:val="right" w:leader="dot" w:pos="4171"/>
        </w:tabs>
        <w:spacing w:line="240" w:lineRule="auto"/>
        <w:ind w:left="246"/>
      </w:pPr>
      <w:r w:rsidRPr="004B4DFF">
        <w:rPr>
          <w:i/>
        </w:rPr>
        <w:t xml:space="preserve">Ethica </w:t>
      </w:r>
      <w:r>
        <w:t>1</w:t>
      </w:r>
      <w:r w:rsidRPr="004B4DFF">
        <w:rPr>
          <w:i/>
        </w:rPr>
        <w:t>.</w:t>
      </w:r>
      <w:r>
        <w:t>3a</w:t>
      </w:r>
      <w:r>
        <w:tab/>
        <w:t>881</w:t>
      </w:r>
    </w:p>
    <w:p w:rsidR="00AD7907" w:rsidRDefault="00AD7907" w:rsidP="00AD7907">
      <w:pPr>
        <w:pStyle w:val="Rejstk2"/>
        <w:tabs>
          <w:tab w:val="right" w:leader="dot" w:pos="4171"/>
        </w:tabs>
        <w:spacing w:line="240" w:lineRule="auto"/>
        <w:ind w:left="246"/>
      </w:pPr>
      <w:r w:rsidRPr="004B4DFF">
        <w:rPr>
          <w:i/>
        </w:rPr>
        <w:t>Ethica</w:t>
      </w:r>
      <w:r>
        <w:t xml:space="preserve"> 150a</w:t>
      </w:r>
      <w:r>
        <w:tab/>
        <w:t>896</w:t>
      </w:r>
    </w:p>
    <w:p w:rsidR="00AD7907" w:rsidRDefault="00AD7907" w:rsidP="00AD7907">
      <w:pPr>
        <w:pStyle w:val="Rejstk2"/>
        <w:tabs>
          <w:tab w:val="right" w:leader="dot" w:pos="4171"/>
        </w:tabs>
        <w:spacing w:line="240" w:lineRule="auto"/>
        <w:ind w:left="246"/>
      </w:pPr>
      <w:r w:rsidRPr="004B4DFF">
        <w:rPr>
          <w:i/>
        </w:rPr>
        <w:t>Ethica</w:t>
      </w:r>
      <w:r>
        <w:t xml:space="preserve"> 191a</w:t>
      </w:r>
      <w:r>
        <w:tab/>
        <w:t>894</w:t>
      </w:r>
    </w:p>
    <w:p w:rsidR="00AD7907" w:rsidRDefault="00AD7907" w:rsidP="00AD7907">
      <w:pPr>
        <w:pStyle w:val="Rejstk2"/>
        <w:tabs>
          <w:tab w:val="right" w:leader="dot" w:pos="4171"/>
        </w:tabs>
        <w:spacing w:line="240" w:lineRule="auto"/>
        <w:ind w:left="246"/>
      </w:pPr>
      <w:r w:rsidRPr="004B4DFF">
        <w:rPr>
          <w:i/>
        </w:rPr>
        <w:t>Ethica</w:t>
      </w:r>
      <w:r>
        <w:t xml:space="preserve"> 193a</w:t>
      </w:r>
      <w:r>
        <w:tab/>
        <w:t>894</w:t>
      </w:r>
    </w:p>
    <w:p w:rsidR="00AD7907" w:rsidRDefault="00AD7907" w:rsidP="00AD7907">
      <w:pPr>
        <w:pStyle w:val="Rejstk2"/>
        <w:tabs>
          <w:tab w:val="right" w:leader="dot" w:pos="4171"/>
        </w:tabs>
        <w:spacing w:line="240" w:lineRule="auto"/>
        <w:ind w:left="246"/>
      </w:pPr>
      <w:r w:rsidRPr="004B4DFF">
        <w:rPr>
          <w:i/>
        </w:rPr>
        <w:t>Ethica</w:t>
      </w:r>
      <w:r>
        <w:t xml:space="preserve"> 434a</w:t>
      </w:r>
      <w:r>
        <w:tab/>
        <w:t>294</w:t>
      </w:r>
    </w:p>
    <w:p w:rsidR="00AD7907" w:rsidRDefault="00AD7907" w:rsidP="00AD7907">
      <w:pPr>
        <w:pStyle w:val="Rejstk2"/>
        <w:tabs>
          <w:tab w:val="right" w:leader="dot" w:pos="4171"/>
        </w:tabs>
        <w:spacing w:line="240" w:lineRule="auto"/>
        <w:ind w:left="246"/>
      </w:pPr>
      <w:r w:rsidRPr="004B4DFF">
        <w:rPr>
          <w:i/>
        </w:rPr>
        <w:t>Ethica</w:t>
      </w:r>
      <w:r>
        <w:t xml:space="preserve"> 540a</w:t>
      </w:r>
      <w:r>
        <w:tab/>
        <w:t>898</w:t>
      </w:r>
    </w:p>
    <w:p w:rsidR="00AD7907" w:rsidRDefault="00AD7907" w:rsidP="00AD7907">
      <w:pPr>
        <w:pStyle w:val="Rejstk2"/>
        <w:tabs>
          <w:tab w:val="right" w:leader="dot" w:pos="4171"/>
        </w:tabs>
        <w:spacing w:line="240" w:lineRule="auto"/>
        <w:ind w:left="246"/>
      </w:pPr>
      <w:r w:rsidRPr="004B4DFF">
        <w:rPr>
          <w:i/>
        </w:rPr>
        <w:t>Ethica</w:t>
      </w:r>
      <w:r>
        <w:t xml:space="preserve"> 541a</w:t>
      </w:r>
      <w:r>
        <w:tab/>
        <w:t>899</w:t>
      </w:r>
    </w:p>
    <w:p w:rsidR="00AD7907" w:rsidRDefault="00AD7907" w:rsidP="00AD7907">
      <w:pPr>
        <w:pStyle w:val="Rejstk2"/>
        <w:tabs>
          <w:tab w:val="right" w:leader="dot" w:pos="4171"/>
        </w:tabs>
        <w:spacing w:line="240" w:lineRule="auto"/>
        <w:ind w:left="246"/>
      </w:pPr>
      <w:r w:rsidRPr="004B4DFF">
        <w:rPr>
          <w:i/>
        </w:rPr>
        <w:lastRenderedPageBreak/>
        <w:t>In De anima</w:t>
      </w:r>
      <w:r>
        <w:t xml:space="preserve"> 5, 126a</w:t>
      </w:r>
      <w:r>
        <w:tab/>
        <w:t>75</w:t>
      </w:r>
    </w:p>
    <w:p w:rsidR="00AD7907" w:rsidRDefault="00AD7907" w:rsidP="00AD7907">
      <w:pPr>
        <w:pStyle w:val="Rejstk2"/>
        <w:tabs>
          <w:tab w:val="right" w:leader="dot" w:pos="4171"/>
        </w:tabs>
        <w:spacing w:line="240" w:lineRule="auto"/>
        <w:ind w:left="246"/>
      </w:pPr>
      <w:r w:rsidRPr="004B4DFF">
        <w:rPr>
          <w:i/>
        </w:rPr>
        <w:t>Liber III De anima</w:t>
      </w:r>
      <w:r>
        <w:t xml:space="preserve"> 387a</w:t>
      </w:r>
      <w:r>
        <w:tab/>
        <w:t>468</w:t>
      </w:r>
    </w:p>
    <w:p w:rsidR="00AD7907" w:rsidRDefault="00AD7907" w:rsidP="00AD7907">
      <w:pPr>
        <w:pStyle w:val="Rejstk2"/>
        <w:tabs>
          <w:tab w:val="right" w:leader="dot" w:pos="4171"/>
        </w:tabs>
        <w:spacing w:line="240" w:lineRule="auto"/>
        <w:ind w:left="246"/>
      </w:pPr>
      <w:r w:rsidRPr="004B4DFF">
        <w:rPr>
          <w:i/>
        </w:rPr>
        <w:t xml:space="preserve">Politicorum Libri </w:t>
      </w:r>
      <w:r>
        <w:t>307a</w:t>
      </w:r>
      <w:r>
        <w:tab/>
        <w:t>894</w:t>
      </w:r>
    </w:p>
    <w:p w:rsidR="00AD7907" w:rsidRDefault="00AD7907" w:rsidP="00AD7907">
      <w:pPr>
        <w:pStyle w:val="Rejstk2"/>
        <w:tabs>
          <w:tab w:val="right" w:leader="dot" w:pos="4171"/>
        </w:tabs>
        <w:spacing w:line="240" w:lineRule="auto"/>
        <w:ind w:left="246"/>
      </w:pPr>
      <w:r w:rsidRPr="004B4DFF">
        <w:rPr>
          <w:i/>
        </w:rPr>
        <w:t xml:space="preserve">Politicorum Libri </w:t>
      </w:r>
      <w:r>
        <w:t>308a</w:t>
      </w:r>
      <w:r>
        <w:tab/>
        <w:t>897</w:t>
      </w:r>
    </w:p>
    <w:p w:rsidR="00AD7907" w:rsidRDefault="00AD7907" w:rsidP="00AD7907">
      <w:pPr>
        <w:pStyle w:val="Rejstk2"/>
        <w:tabs>
          <w:tab w:val="right" w:leader="dot" w:pos="4171"/>
        </w:tabs>
        <w:spacing w:line="240" w:lineRule="auto"/>
        <w:ind w:left="246"/>
      </w:pPr>
      <w:r w:rsidRPr="004B4DFF">
        <w:rPr>
          <w:i/>
        </w:rPr>
        <w:t xml:space="preserve">Politicorum Libri </w:t>
      </w:r>
      <w:r>
        <w:t>309a</w:t>
      </w:r>
      <w:r>
        <w:tab/>
        <w:t>890</w:t>
      </w:r>
    </w:p>
    <w:p w:rsidR="00AD7907" w:rsidRDefault="00AD7907" w:rsidP="00AD7907">
      <w:pPr>
        <w:pStyle w:val="Rejstk2"/>
        <w:tabs>
          <w:tab w:val="right" w:leader="dot" w:pos="4171"/>
        </w:tabs>
        <w:spacing w:line="240" w:lineRule="auto"/>
        <w:ind w:left="246"/>
      </w:pPr>
      <w:r w:rsidRPr="004B4DFF">
        <w:rPr>
          <w:i/>
        </w:rPr>
        <w:t xml:space="preserve">Politicorum Libri </w:t>
      </w:r>
      <w:r>
        <w:t>309b</w:t>
      </w:r>
      <w:r>
        <w:tab/>
        <w:t>890</w:t>
      </w:r>
    </w:p>
    <w:p w:rsidR="00AD7907" w:rsidRDefault="00AD7907" w:rsidP="00AD7907">
      <w:pPr>
        <w:pStyle w:val="Rejstk2"/>
        <w:tabs>
          <w:tab w:val="right" w:leader="dot" w:pos="4171"/>
        </w:tabs>
        <w:spacing w:line="240" w:lineRule="auto"/>
        <w:ind w:left="246"/>
      </w:pPr>
      <w:r w:rsidRPr="004B4DFF">
        <w:rPr>
          <w:i/>
        </w:rPr>
        <w:t xml:space="preserve">Politicorum Libri </w:t>
      </w:r>
      <w:r>
        <w:t>632a</w:t>
      </w:r>
      <w:r>
        <w:tab/>
        <w:t>888</w:t>
      </w:r>
    </w:p>
    <w:p w:rsidR="00AD7907" w:rsidRDefault="00AD7907" w:rsidP="00AD7907">
      <w:pPr>
        <w:pStyle w:val="Rejstk2"/>
        <w:tabs>
          <w:tab w:val="right" w:leader="dot" w:pos="4171"/>
        </w:tabs>
        <w:spacing w:line="240" w:lineRule="auto"/>
        <w:ind w:left="246"/>
      </w:pPr>
      <w:r w:rsidRPr="004B4DFF">
        <w:rPr>
          <w:i/>
        </w:rPr>
        <w:t xml:space="preserve">Politicorum Libri </w:t>
      </w:r>
      <w:r>
        <w:t>634a</w:t>
      </w:r>
      <w:r>
        <w:tab/>
        <w:t>887</w:t>
      </w:r>
    </w:p>
    <w:p w:rsidR="00AD7907" w:rsidRDefault="00AD7907" w:rsidP="00AD7907">
      <w:pPr>
        <w:pStyle w:val="Rejstk2"/>
        <w:tabs>
          <w:tab w:val="right" w:leader="dot" w:pos="4171"/>
        </w:tabs>
        <w:spacing w:line="240" w:lineRule="auto"/>
        <w:ind w:left="246"/>
      </w:pPr>
      <w:r w:rsidRPr="004B4DFF">
        <w:rPr>
          <w:i/>
        </w:rPr>
        <w:t xml:space="preserve">Politicorum Libri </w:t>
      </w:r>
      <w:r>
        <w:t>634b</w:t>
      </w:r>
      <w:r>
        <w:tab/>
        <w:t>898</w:t>
      </w:r>
    </w:p>
    <w:p w:rsidR="00AD7907" w:rsidRDefault="00AD7907" w:rsidP="00AD7907">
      <w:pPr>
        <w:pStyle w:val="Rejstk2"/>
        <w:tabs>
          <w:tab w:val="right" w:leader="dot" w:pos="4171"/>
        </w:tabs>
        <w:ind w:left="246"/>
      </w:pPr>
      <w:r w:rsidRPr="004B4DFF">
        <w:rPr>
          <w:i/>
        </w:rPr>
        <w:t xml:space="preserve">Politicorum Libri </w:t>
      </w:r>
      <w:r>
        <w:t>638b</w:t>
      </w:r>
      <w:r>
        <w:tab/>
        <w:t>896</w:t>
      </w:r>
    </w:p>
    <w:p w:rsidR="00AD7907" w:rsidRDefault="00AD7907" w:rsidP="00AD7907">
      <w:pPr>
        <w:pStyle w:val="Rejstk1"/>
        <w:tabs>
          <w:tab w:val="right" w:leader="dot" w:pos="4171"/>
        </w:tabs>
        <w:rPr>
          <w:b/>
          <w:lang w:val="de-LU"/>
        </w:rPr>
      </w:pPr>
    </w:p>
    <w:p w:rsidR="00AD7907" w:rsidRPr="00FA2000" w:rsidRDefault="00AD7907" w:rsidP="00AD7907">
      <w:pPr>
        <w:pStyle w:val="Rejstk1"/>
        <w:tabs>
          <w:tab w:val="right" w:leader="dot" w:pos="4171"/>
        </w:tabs>
        <w:spacing w:line="240" w:lineRule="auto"/>
        <w:rPr>
          <w:b/>
          <w:lang w:val="de-LU"/>
        </w:rPr>
      </w:pPr>
      <w:r w:rsidRPr="00FA2000">
        <w:rPr>
          <w:b/>
          <w:lang w:val="de-LU"/>
        </w:rPr>
        <w:t>Alexander Afrodisias</w:t>
      </w:r>
    </w:p>
    <w:p w:rsidR="00AD7907" w:rsidRDefault="00AD7907" w:rsidP="00AD7907">
      <w:pPr>
        <w:pStyle w:val="Rejstk2"/>
        <w:tabs>
          <w:tab w:val="right" w:leader="dot" w:pos="4171"/>
        </w:tabs>
        <w:spacing w:line="240" w:lineRule="auto"/>
        <w:ind w:left="0" w:firstLine="0"/>
        <w:rPr>
          <w:lang w:val="de-LU"/>
        </w:rPr>
      </w:pPr>
      <w:r w:rsidRPr="00C018BD">
        <w:rPr>
          <w:i/>
          <w:lang w:val="de-LU"/>
        </w:rPr>
        <w:t xml:space="preserve">Alexandri in Met. </w:t>
      </w:r>
      <w:r>
        <w:rPr>
          <w:lang w:val="de-LU"/>
        </w:rPr>
        <w:t>250.23</w:t>
      </w:r>
      <w:r>
        <w:rPr>
          <w:lang w:val="de-LU"/>
        </w:rPr>
        <w:tab/>
        <w:t>651</w:t>
      </w:r>
    </w:p>
    <w:p w:rsidR="00AD7907" w:rsidRDefault="00AD7907" w:rsidP="00AD7907">
      <w:pPr>
        <w:pStyle w:val="Rejstk1"/>
        <w:tabs>
          <w:tab w:val="right" w:leader="dot" w:pos="4171"/>
        </w:tabs>
        <w:rPr>
          <w:b/>
          <w:lang w:val="de-LU"/>
        </w:rPr>
      </w:pPr>
    </w:p>
    <w:p w:rsidR="00AD7907" w:rsidRPr="00FA2000" w:rsidRDefault="00AD7907" w:rsidP="00AD7907">
      <w:pPr>
        <w:pStyle w:val="Rejstk1"/>
        <w:tabs>
          <w:tab w:val="right" w:leader="dot" w:pos="4171"/>
        </w:tabs>
        <w:spacing w:line="240" w:lineRule="auto"/>
        <w:rPr>
          <w:b/>
          <w:lang w:val="de-LU"/>
        </w:rPr>
      </w:pPr>
      <w:r w:rsidRPr="00FA2000">
        <w:rPr>
          <w:b/>
          <w:lang w:val="de-LU"/>
        </w:rPr>
        <w:t>Al-Ghazālī</w:t>
      </w:r>
    </w:p>
    <w:p w:rsidR="00AD7907" w:rsidRDefault="00AD7907" w:rsidP="00AD7907">
      <w:pPr>
        <w:pStyle w:val="Rejstk2"/>
        <w:tabs>
          <w:tab w:val="right" w:leader="dot" w:pos="4171"/>
        </w:tabs>
        <w:spacing w:line="240" w:lineRule="auto"/>
        <w:ind w:left="0" w:firstLine="0"/>
        <w:rPr>
          <w:lang w:val="de-LU"/>
        </w:rPr>
      </w:pPr>
      <w:r w:rsidRPr="00C018BD">
        <w:rPr>
          <w:i/>
          <w:lang w:val="de-LU"/>
        </w:rPr>
        <w:t>Tahāfut</w:t>
      </w:r>
      <w:r>
        <w:rPr>
          <w:lang w:val="de-LU"/>
        </w:rPr>
        <w:t xml:space="preserve"> 376.2–10</w:t>
      </w:r>
      <w:r>
        <w:rPr>
          <w:lang w:val="de-LU"/>
        </w:rPr>
        <w:tab/>
        <w:t>482</w:t>
      </w:r>
    </w:p>
    <w:p w:rsidR="00AD7907" w:rsidRDefault="00AD7907" w:rsidP="00AD7907">
      <w:pPr>
        <w:pStyle w:val="Rejstk1"/>
        <w:tabs>
          <w:tab w:val="right" w:leader="dot" w:pos="4171"/>
        </w:tabs>
        <w:rPr>
          <w:b/>
          <w:lang w:val="de-LU"/>
        </w:rPr>
      </w:pPr>
    </w:p>
    <w:p w:rsidR="00AD7907" w:rsidRPr="00FA2000" w:rsidRDefault="00AD7907" w:rsidP="00AD7907">
      <w:pPr>
        <w:pStyle w:val="Rejstk1"/>
        <w:tabs>
          <w:tab w:val="right" w:leader="dot" w:pos="4171"/>
        </w:tabs>
        <w:spacing w:line="240" w:lineRule="auto"/>
        <w:rPr>
          <w:b/>
          <w:lang w:val="de-LU"/>
        </w:rPr>
      </w:pPr>
      <w:r>
        <w:rPr>
          <w:b/>
          <w:lang w:val="de-LU"/>
        </w:rPr>
        <w:t xml:space="preserve">Johannes </w:t>
      </w:r>
      <w:r w:rsidRPr="00FA2000">
        <w:rPr>
          <w:b/>
          <w:lang w:val="de-LU"/>
        </w:rPr>
        <w:t>Althusius</w:t>
      </w:r>
      <w:r>
        <w:rPr>
          <w:b/>
          <w:lang w:val="de-LU"/>
        </w:rPr>
        <w:t xml:space="preserve"> </w:t>
      </w:r>
    </w:p>
    <w:p w:rsidR="00AD7907" w:rsidRDefault="00AD7907" w:rsidP="00AD7907">
      <w:pPr>
        <w:pStyle w:val="Rejstk2"/>
        <w:tabs>
          <w:tab w:val="right" w:leader="dot" w:pos="4171"/>
        </w:tabs>
        <w:ind w:left="0" w:firstLine="0"/>
        <w:rPr>
          <w:lang w:val="de-LU"/>
        </w:rPr>
      </w:pPr>
      <w:r w:rsidRPr="00C018BD">
        <w:rPr>
          <w:i/>
          <w:lang w:val="de-LU"/>
        </w:rPr>
        <w:t>Politica methodice digesta</w:t>
      </w:r>
      <w:r>
        <w:rPr>
          <w:lang w:val="de-LU"/>
        </w:rPr>
        <w:t xml:space="preserve"> 199</w:t>
      </w:r>
      <w:r>
        <w:rPr>
          <w:lang w:val="de-LU"/>
        </w:rPr>
        <w:tab/>
        <w:t>892</w:t>
      </w:r>
    </w:p>
    <w:p w:rsidR="00AD7907" w:rsidRDefault="00AD7907" w:rsidP="00AD7907">
      <w:pPr>
        <w:pStyle w:val="Rejstk2"/>
        <w:tabs>
          <w:tab w:val="right" w:leader="dot" w:pos="4171"/>
        </w:tabs>
        <w:ind w:left="0" w:firstLine="0"/>
        <w:rPr>
          <w:lang w:val="de-LU"/>
        </w:rPr>
      </w:pPr>
    </w:p>
    <w:p w:rsidR="00AD7907" w:rsidRPr="008D2B66" w:rsidRDefault="00AD7907" w:rsidP="00AD7907">
      <w:pPr>
        <w:pStyle w:val="Rejstk2"/>
        <w:tabs>
          <w:tab w:val="right" w:leader="dot" w:pos="4171"/>
        </w:tabs>
        <w:ind w:left="0" w:firstLine="0"/>
        <w:rPr>
          <w:b/>
          <w:lang w:val="de-LU"/>
        </w:rPr>
      </w:pPr>
      <w:r w:rsidRPr="008D2B66">
        <w:rPr>
          <w:b/>
        </w:rPr>
        <w:t>Anonym Bazán</w:t>
      </w:r>
    </w:p>
    <w:p w:rsidR="00AD7907" w:rsidRDefault="00AD7907" w:rsidP="00AD7907">
      <w:pPr>
        <w:pStyle w:val="Rejstk1"/>
        <w:tabs>
          <w:tab w:val="right" w:leader="dot" w:pos="4171"/>
        </w:tabs>
        <w:spacing w:line="240" w:lineRule="auto"/>
      </w:pPr>
      <w:r>
        <w:t>392.40‒44</w:t>
      </w:r>
      <w:r>
        <w:tab/>
        <w:t>220</w:t>
      </w:r>
    </w:p>
    <w:p w:rsidR="00AD7907" w:rsidRDefault="00AD7907" w:rsidP="00AD7907">
      <w:pPr>
        <w:pStyle w:val="Rejstk1"/>
        <w:tabs>
          <w:tab w:val="right" w:leader="dot" w:pos="4171"/>
        </w:tabs>
        <w:spacing w:line="240" w:lineRule="auto"/>
      </w:pPr>
      <w:r>
        <w:t>393.21‒22</w:t>
      </w:r>
      <w:r>
        <w:tab/>
        <w:t>220</w:t>
      </w:r>
    </w:p>
    <w:p w:rsidR="00AD7907" w:rsidRDefault="00AD7907" w:rsidP="00AD7907">
      <w:pPr>
        <w:pStyle w:val="Rejstk1"/>
        <w:tabs>
          <w:tab w:val="right" w:leader="dot" w:pos="4171"/>
        </w:tabs>
        <w:spacing w:line="240" w:lineRule="auto"/>
      </w:pPr>
      <w:r>
        <w:t>397.40</w:t>
      </w:r>
      <w:r>
        <w:tab/>
        <w:t>220</w:t>
      </w:r>
    </w:p>
    <w:p w:rsidR="00AD7907" w:rsidRDefault="00AD7907" w:rsidP="00AD7907">
      <w:pPr>
        <w:pStyle w:val="Rejstk1"/>
        <w:tabs>
          <w:tab w:val="right" w:leader="dot" w:pos="4171"/>
        </w:tabs>
        <w:spacing w:line="240" w:lineRule="auto"/>
      </w:pPr>
      <w:r>
        <w:t>398.55‒59</w:t>
      </w:r>
      <w:r>
        <w:tab/>
        <w:t>220</w:t>
      </w:r>
    </w:p>
    <w:p w:rsidR="00AD7907" w:rsidRDefault="00AD7907" w:rsidP="00AD7907">
      <w:pPr>
        <w:pStyle w:val="Rejstk1"/>
        <w:tabs>
          <w:tab w:val="right" w:leader="dot" w:pos="4171"/>
        </w:tabs>
        <w:spacing w:line="240" w:lineRule="auto"/>
      </w:pPr>
      <w:r>
        <w:t>407.50‒54</w:t>
      </w:r>
      <w:r>
        <w:tab/>
        <w:t>221</w:t>
      </w:r>
    </w:p>
    <w:p w:rsidR="00AD7907" w:rsidRDefault="00AD7907" w:rsidP="00AD7907">
      <w:pPr>
        <w:pStyle w:val="Rejstk1"/>
        <w:tabs>
          <w:tab w:val="right" w:leader="dot" w:pos="4171"/>
        </w:tabs>
        <w:spacing w:line="240" w:lineRule="auto"/>
      </w:pPr>
      <w:r>
        <w:t>409.49‒52</w:t>
      </w:r>
      <w:r>
        <w:tab/>
        <w:t>221</w:t>
      </w:r>
    </w:p>
    <w:p w:rsidR="00AD7907" w:rsidRDefault="00AD7907" w:rsidP="00AD7907">
      <w:pPr>
        <w:pStyle w:val="Rejstk1"/>
        <w:tabs>
          <w:tab w:val="right" w:leader="dot" w:pos="4171"/>
        </w:tabs>
        <w:spacing w:line="240" w:lineRule="auto"/>
      </w:pPr>
      <w:r>
        <w:t>415.43‒50</w:t>
      </w:r>
      <w:r>
        <w:tab/>
        <w:t>221</w:t>
      </w:r>
    </w:p>
    <w:p w:rsidR="00AD7907" w:rsidRDefault="00AD7907" w:rsidP="00AD7907">
      <w:pPr>
        <w:pStyle w:val="Rejstk1"/>
        <w:tabs>
          <w:tab w:val="right" w:leader="dot" w:pos="4171"/>
        </w:tabs>
        <w:spacing w:line="240" w:lineRule="auto"/>
      </w:pPr>
      <w:r>
        <w:t>418.6‒9</w:t>
      </w:r>
      <w:r>
        <w:tab/>
        <w:t>221</w:t>
      </w:r>
    </w:p>
    <w:p w:rsidR="00AD7907" w:rsidRDefault="00AD7907" w:rsidP="00AD7907">
      <w:pPr>
        <w:pStyle w:val="Rejstk1"/>
        <w:tabs>
          <w:tab w:val="right" w:leader="dot" w:pos="4171"/>
        </w:tabs>
        <w:spacing w:line="240" w:lineRule="auto"/>
        <w:ind w:left="0" w:firstLine="0"/>
      </w:pPr>
      <w:r>
        <w:t>424.33</w:t>
      </w:r>
      <w:r>
        <w:tab/>
        <w:t>222</w:t>
      </w:r>
    </w:p>
    <w:p w:rsidR="00AD7907" w:rsidRDefault="00AD7907" w:rsidP="00AD7907">
      <w:pPr>
        <w:pStyle w:val="Rejstk1"/>
        <w:tabs>
          <w:tab w:val="right" w:leader="dot" w:pos="4171"/>
        </w:tabs>
        <w:spacing w:line="240" w:lineRule="auto"/>
      </w:pPr>
      <w:r>
        <w:t>424.45</w:t>
      </w:r>
      <w:r>
        <w:tab/>
        <w:t>222</w:t>
      </w:r>
    </w:p>
    <w:p w:rsidR="00AD7907" w:rsidRDefault="00AD7907" w:rsidP="00AD7907">
      <w:pPr>
        <w:pStyle w:val="Rejstk1"/>
        <w:tabs>
          <w:tab w:val="right" w:leader="dot" w:pos="4171"/>
        </w:tabs>
        <w:spacing w:line="240" w:lineRule="auto"/>
      </w:pPr>
      <w:r>
        <w:t>432.33‒35</w:t>
      </w:r>
      <w:r>
        <w:tab/>
        <w:t>222</w:t>
      </w:r>
    </w:p>
    <w:p w:rsidR="00AD7907" w:rsidRDefault="00AD7907" w:rsidP="00AD7907">
      <w:pPr>
        <w:pStyle w:val="Rejstk1"/>
        <w:tabs>
          <w:tab w:val="right" w:leader="dot" w:pos="4171"/>
        </w:tabs>
        <w:spacing w:line="240" w:lineRule="auto"/>
      </w:pPr>
      <w:r>
        <w:t>433.39</w:t>
      </w:r>
      <w:r>
        <w:tab/>
        <w:t>222</w:t>
      </w:r>
    </w:p>
    <w:p w:rsidR="00AD7907" w:rsidRDefault="00AD7907" w:rsidP="00AD7907">
      <w:pPr>
        <w:pStyle w:val="Rejstk1"/>
        <w:tabs>
          <w:tab w:val="right" w:leader="dot" w:pos="4171"/>
        </w:tabs>
        <w:spacing w:line="240" w:lineRule="auto"/>
      </w:pPr>
      <w:r>
        <w:t>436.19‒20</w:t>
      </w:r>
      <w:r>
        <w:tab/>
        <w:t>222</w:t>
      </w:r>
    </w:p>
    <w:p w:rsidR="00AD7907" w:rsidRDefault="00AD7907" w:rsidP="00AD7907">
      <w:pPr>
        <w:pStyle w:val="Rejstk1"/>
        <w:tabs>
          <w:tab w:val="right" w:leader="dot" w:pos="4171"/>
        </w:tabs>
        <w:spacing w:line="240" w:lineRule="auto"/>
      </w:pPr>
      <w:r>
        <w:t>437.24‒27</w:t>
      </w:r>
      <w:r>
        <w:tab/>
        <w:t>223</w:t>
      </w:r>
    </w:p>
    <w:p w:rsidR="00AD7907" w:rsidRDefault="00AD7907" w:rsidP="00AD7907">
      <w:pPr>
        <w:pStyle w:val="Rejstk1"/>
        <w:tabs>
          <w:tab w:val="right" w:leader="dot" w:pos="4171"/>
        </w:tabs>
        <w:spacing w:line="240" w:lineRule="auto"/>
      </w:pPr>
      <w:r>
        <w:t>456.27‒33</w:t>
      </w:r>
      <w:r>
        <w:tab/>
        <w:t>225</w:t>
      </w:r>
    </w:p>
    <w:p w:rsidR="00AD7907" w:rsidRDefault="00AD7907" w:rsidP="00AD7907">
      <w:pPr>
        <w:pStyle w:val="Rejstk1"/>
        <w:tabs>
          <w:tab w:val="right" w:leader="dot" w:pos="4171"/>
        </w:tabs>
        <w:spacing w:line="240" w:lineRule="auto"/>
      </w:pPr>
      <w:r>
        <w:t>465.49‒51</w:t>
      </w:r>
      <w:r>
        <w:tab/>
        <w:t>226</w:t>
      </w:r>
    </w:p>
    <w:p w:rsidR="00AD7907" w:rsidRDefault="00AD7907" w:rsidP="00AD7907">
      <w:pPr>
        <w:pStyle w:val="Rejstk1"/>
        <w:tabs>
          <w:tab w:val="right" w:leader="dot" w:pos="4171"/>
        </w:tabs>
        <w:spacing w:line="240" w:lineRule="auto"/>
      </w:pPr>
      <w:r>
        <w:t>466.28</w:t>
      </w:r>
      <w:r>
        <w:tab/>
        <w:t>223</w:t>
      </w:r>
    </w:p>
    <w:p w:rsidR="00AD7907" w:rsidRDefault="00AD7907" w:rsidP="00AD7907">
      <w:pPr>
        <w:pStyle w:val="Rejstk1"/>
        <w:tabs>
          <w:tab w:val="right" w:leader="dot" w:pos="4171"/>
        </w:tabs>
        <w:spacing w:line="240" w:lineRule="auto"/>
      </w:pPr>
      <w:r>
        <w:t>471.37‒40</w:t>
      </w:r>
      <w:r>
        <w:tab/>
        <w:t>224</w:t>
      </w:r>
    </w:p>
    <w:p w:rsidR="00AD7907" w:rsidRDefault="00AD7907" w:rsidP="00AD7907">
      <w:pPr>
        <w:pStyle w:val="Rejstk1"/>
        <w:tabs>
          <w:tab w:val="right" w:leader="dot" w:pos="4171"/>
        </w:tabs>
        <w:spacing w:line="240" w:lineRule="auto"/>
      </w:pPr>
      <w:r>
        <w:t>473.25‒30</w:t>
      </w:r>
      <w:r>
        <w:tab/>
        <w:t>226</w:t>
      </w:r>
    </w:p>
    <w:p w:rsidR="00AD7907" w:rsidRDefault="00AD7907" w:rsidP="00AD7907">
      <w:pPr>
        <w:pStyle w:val="Rejstk1"/>
        <w:tabs>
          <w:tab w:val="right" w:leader="dot" w:pos="4171"/>
        </w:tabs>
        <w:spacing w:line="240" w:lineRule="auto"/>
      </w:pPr>
      <w:r>
        <w:t>473.44‒50</w:t>
      </w:r>
      <w:r>
        <w:tab/>
        <w:t>227</w:t>
      </w:r>
    </w:p>
    <w:p w:rsidR="00AD7907" w:rsidRDefault="00AD7907" w:rsidP="00AD7907">
      <w:pPr>
        <w:pStyle w:val="Rejstk1"/>
        <w:tabs>
          <w:tab w:val="right" w:leader="dot" w:pos="4171"/>
        </w:tabs>
        <w:spacing w:line="240" w:lineRule="auto"/>
      </w:pPr>
      <w:r>
        <w:t>475.52‒60</w:t>
      </w:r>
      <w:r>
        <w:tab/>
        <w:t>228</w:t>
      </w:r>
    </w:p>
    <w:p w:rsidR="00AD7907" w:rsidRDefault="00AD7907" w:rsidP="00AD7907">
      <w:pPr>
        <w:pStyle w:val="Rejstk1"/>
        <w:tabs>
          <w:tab w:val="right" w:leader="dot" w:pos="4171"/>
        </w:tabs>
        <w:spacing w:line="240" w:lineRule="auto"/>
      </w:pPr>
      <w:r>
        <w:t>477.43‒44</w:t>
      </w:r>
      <w:r>
        <w:tab/>
        <w:t>224</w:t>
      </w:r>
    </w:p>
    <w:p w:rsidR="00AD7907" w:rsidRDefault="00AD7907" w:rsidP="00AD7907">
      <w:pPr>
        <w:pStyle w:val="Rejstk1"/>
        <w:tabs>
          <w:tab w:val="right" w:leader="dot" w:pos="4171"/>
        </w:tabs>
        <w:spacing w:line="240" w:lineRule="auto"/>
      </w:pPr>
      <w:r>
        <w:t>478.68‒75</w:t>
      </w:r>
      <w:r>
        <w:tab/>
        <w:t>229</w:t>
      </w:r>
    </w:p>
    <w:p w:rsidR="00AD7907" w:rsidRDefault="00AD7907" w:rsidP="00AD7907">
      <w:pPr>
        <w:pStyle w:val="Rejstk1"/>
        <w:tabs>
          <w:tab w:val="right" w:leader="dot" w:pos="4171"/>
        </w:tabs>
        <w:spacing w:line="240" w:lineRule="auto"/>
      </w:pPr>
      <w:r>
        <w:t>479.24‒26</w:t>
      </w:r>
      <w:r>
        <w:tab/>
        <w:t>230</w:t>
      </w:r>
    </w:p>
    <w:p w:rsidR="00AD7907" w:rsidRDefault="00AD7907" w:rsidP="00AD7907">
      <w:pPr>
        <w:pStyle w:val="Rejstk1"/>
        <w:tabs>
          <w:tab w:val="right" w:leader="dot" w:pos="4171"/>
        </w:tabs>
        <w:spacing w:line="240" w:lineRule="auto"/>
      </w:pPr>
      <w:r>
        <w:t>482.43‒47</w:t>
      </w:r>
      <w:r>
        <w:tab/>
        <w:t>231</w:t>
      </w:r>
    </w:p>
    <w:p w:rsidR="00AD7907" w:rsidRDefault="00AD7907" w:rsidP="00AD7907">
      <w:pPr>
        <w:pStyle w:val="Rejstk1"/>
        <w:tabs>
          <w:tab w:val="right" w:leader="dot" w:pos="4171"/>
        </w:tabs>
        <w:spacing w:line="240" w:lineRule="auto"/>
      </w:pPr>
      <w:r>
        <w:t>489.33‒38</w:t>
      </w:r>
      <w:r>
        <w:tab/>
        <w:t>232</w:t>
      </w:r>
    </w:p>
    <w:p w:rsidR="00AD7907" w:rsidRDefault="00AD7907" w:rsidP="00AD7907">
      <w:pPr>
        <w:pStyle w:val="Rejstk1"/>
        <w:tabs>
          <w:tab w:val="right" w:leader="dot" w:pos="4171"/>
        </w:tabs>
        <w:spacing w:line="240" w:lineRule="auto"/>
      </w:pPr>
      <w:r>
        <w:t>502.46‒54</w:t>
      </w:r>
      <w:r>
        <w:tab/>
        <w:t>234</w:t>
      </w:r>
    </w:p>
    <w:p w:rsidR="00AD7907" w:rsidRDefault="00AD7907" w:rsidP="00AD7907">
      <w:pPr>
        <w:pStyle w:val="Rejstk1"/>
        <w:tabs>
          <w:tab w:val="right" w:leader="dot" w:pos="4171"/>
        </w:tabs>
        <w:spacing w:line="240" w:lineRule="auto"/>
      </w:pPr>
      <w:r>
        <w:t>511.45‒51</w:t>
      </w:r>
      <w:r>
        <w:tab/>
        <w:t>368</w:t>
      </w:r>
    </w:p>
    <w:p w:rsidR="00AD7907" w:rsidRDefault="00AD7907" w:rsidP="00AD7907">
      <w:pPr>
        <w:pStyle w:val="Rejstk1"/>
        <w:tabs>
          <w:tab w:val="right" w:leader="dot" w:pos="4171"/>
        </w:tabs>
        <w:rPr>
          <w:b/>
          <w:lang w:val="de-LU"/>
        </w:rPr>
      </w:pPr>
    </w:p>
    <w:p w:rsidR="00AD7907" w:rsidRPr="00FA2000" w:rsidRDefault="00AD7907" w:rsidP="00AD7907">
      <w:pPr>
        <w:pStyle w:val="Rejstk1"/>
        <w:tabs>
          <w:tab w:val="right" w:leader="dot" w:pos="4171"/>
        </w:tabs>
        <w:spacing w:line="240" w:lineRule="auto"/>
        <w:rPr>
          <w:b/>
          <w:i/>
          <w:lang w:val="de-LU"/>
        </w:rPr>
      </w:pPr>
      <w:r>
        <w:rPr>
          <w:b/>
          <w:i/>
          <w:lang w:val="de-LU"/>
        </w:rPr>
        <w:t>Anonym</w:t>
      </w:r>
      <w:r w:rsidRPr="00FA2000">
        <w:rPr>
          <w:b/>
          <w:i/>
          <w:lang w:val="de-LU"/>
        </w:rPr>
        <w:t xml:space="preserve"> Giele</w:t>
      </w:r>
    </w:p>
    <w:p w:rsidR="00AD7907" w:rsidRDefault="00AD7907" w:rsidP="00AD7907">
      <w:pPr>
        <w:pStyle w:val="Rejstk1"/>
        <w:tabs>
          <w:tab w:val="right" w:leader="dot" w:pos="4171"/>
        </w:tabs>
        <w:spacing w:line="240" w:lineRule="auto"/>
        <w:ind w:left="238" w:hanging="238"/>
      </w:pPr>
      <w:r>
        <w:t>23.16‒17</w:t>
      </w:r>
      <w:r>
        <w:tab/>
        <w:t>163</w:t>
      </w:r>
    </w:p>
    <w:p w:rsidR="00AD7907" w:rsidRDefault="00AD7907" w:rsidP="00AD7907">
      <w:pPr>
        <w:pStyle w:val="Rejstk1"/>
        <w:tabs>
          <w:tab w:val="right" w:leader="dot" w:pos="4171"/>
        </w:tabs>
        <w:spacing w:line="240" w:lineRule="auto"/>
      </w:pPr>
      <w:r>
        <w:t>24.23‒31</w:t>
      </w:r>
      <w:r>
        <w:tab/>
        <w:t>174</w:t>
      </w:r>
    </w:p>
    <w:p w:rsidR="00AD7907" w:rsidRDefault="00AD7907" w:rsidP="00AD7907">
      <w:pPr>
        <w:pStyle w:val="Rejstk1"/>
        <w:tabs>
          <w:tab w:val="right" w:leader="dot" w:pos="4171"/>
        </w:tabs>
        <w:spacing w:line="240" w:lineRule="auto"/>
      </w:pPr>
      <w:r>
        <w:t>24.51‒52</w:t>
      </w:r>
      <w:r>
        <w:tab/>
        <w:t>163</w:t>
      </w:r>
    </w:p>
    <w:p w:rsidR="00AD7907" w:rsidRDefault="00AD7907" w:rsidP="00AD7907">
      <w:pPr>
        <w:pStyle w:val="Rejstk1"/>
        <w:tabs>
          <w:tab w:val="right" w:leader="dot" w:pos="4171"/>
        </w:tabs>
        <w:spacing w:line="240" w:lineRule="auto"/>
      </w:pPr>
      <w:r>
        <w:t>29.28‒38</w:t>
      </w:r>
      <w:r>
        <w:tab/>
        <w:t>174</w:t>
      </w:r>
    </w:p>
    <w:p w:rsidR="00AD7907" w:rsidRDefault="00AD7907" w:rsidP="00AD7907">
      <w:pPr>
        <w:pStyle w:val="Rejstk1"/>
        <w:tabs>
          <w:tab w:val="right" w:leader="dot" w:pos="4171"/>
        </w:tabs>
        <w:spacing w:line="240" w:lineRule="auto"/>
      </w:pPr>
      <w:r>
        <w:t>33.15‒22</w:t>
      </w:r>
      <w:r>
        <w:tab/>
        <w:t>164</w:t>
      </w:r>
    </w:p>
    <w:p w:rsidR="00AD7907" w:rsidRDefault="00AD7907" w:rsidP="00AD7907">
      <w:pPr>
        <w:pStyle w:val="Rejstk1"/>
        <w:tabs>
          <w:tab w:val="right" w:leader="dot" w:pos="4171"/>
        </w:tabs>
        <w:spacing w:line="240" w:lineRule="auto"/>
      </w:pPr>
      <w:r>
        <w:t>35.23‒25</w:t>
      </w:r>
      <w:r>
        <w:tab/>
        <w:t>163</w:t>
      </w:r>
    </w:p>
    <w:p w:rsidR="00AD7907" w:rsidRDefault="00AD7907" w:rsidP="00AD7907">
      <w:pPr>
        <w:pStyle w:val="Rejstk1"/>
        <w:tabs>
          <w:tab w:val="right" w:leader="dot" w:pos="4171"/>
        </w:tabs>
        <w:spacing w:line="240" w:lineRule="auto"/>
      </w:pPr>
      <w:r>
        <w:t>36.60‒65</w:t>
      </w:r>
      <w:r>
        <w:tab/>
        <w:t>163</w:t>
      </w:r>
    </w:p>
    <w:p w:rsidR="00AD7907" w:rsidRDefault="00AD7907" w:rsidP="00AD7907">
      <w:pPr>
        <w:pStyle w:val="Rejstk1"/>
        <w:tabs>
          <w:tab w:val="right" w:leader="dot" w:pos="4171"/>
        </w:tabs>
        <w:spacing w:line="240" w:lineRule="auto"/>
      </w:pPr>
      <w:r>
        <w:lastRenderedPageBreak/>
        <w:t>38.49‒55</w:t>
      </w:r>
      <w:r>
        <w:tab/>
        <w:t>165</w:t>
      </w:r>
    </w:p>
    <w:p w:rsidR="00AD7907" w:rsidRDefault="00AD7907" w:rsidP="00AD7907">
      <w:pPr>
        <w:pStyle w:val="Rejstk1"/>
        <w:tabs>
          <w:tab w:val="right" w:leader="dot" w:pos="4171"/>
        </w:tabs>
        <w:spacing w:line="240" w:lineRule="auto"/>
      </w:pPr>
      <w:r>
        <w:t>39.67‒68</w:t>
      </w:r>
      <w:r>
        <w:tab/>
        <w:t>165, 443</w:t>
      </w:r>
    </w:p>
    <w:p w:rsidR="00AD7907" w:rsidRDefault="00AD7907" w:rsidP="00AD7907">
      <w:pPr>
        <w:pStyle w:val="Rejstk1"/>
        <w:tabs>
          <w:tab w:val="right" w:leader="dot" w:pos="4171"/>
        </w:tabs>
        <w:spacing w:line="240" w:lineRule="auto"/>
      </w:pPr>
      <w:r>
        <w:t>39.83</w:t>
      </w:r>
      <w:r>
        <w:tab/>
        <w:t>166</w:t>
      </w:r>
    </w:p>
    <w:p w:rsidR="00AD7907" w:rsidRDefault="00AD7907" w:rsidP="00AD7907">
      <w:pPr>
        <w:pStyle w:val="Rejstk1"/>
        <w:tabs>
          <w:tab w:val="right" w:leader="dot" w:pos="4171"/>
        </w:tabs>
        <w:spacing w:line="240" w:lineRule="auto"/>
      </w:pPr>
      <w:r>
        <w:t>39.84‒85</w:t>
      </w:r>
      <w:r>
        <w:tab/>
        <w:t>166</w:t>
      </w:r>
    </w:p>
    <w:p w:rsidR="00AD7907" w:rsidRDefault="00AD7907" w:rsidP="00AD7907">
      <w:pPr>
        <w:pStyle w:val="Rejstk1"/>
        <w:tabs>
          <w:tab w:val="right" w:leader="dot" w:pos="4171"/>
        </w:tabs>
        <w:spacing w:line="240" w:lineRule="auto"/>
      </w:pPr>
      <w:r>
        <w:t>39.85‒89</w:t>
      </w:r>
      <w:r>
        <w:tab/>
        <w:t>167, 173</w:t>
      </w:r>
    </w:p>
    <w:p w:rsidR="00AD7907" w:rsidRDefault="00AD7907" w:rsidP="00AD7907">
      <w:pPr>
        <w:pStyle w:val="Rejstk1"/>
        <w:tabs>
          <w:tab w:val="right" w:leader="dot" w:pos="4171"/>
        </w:tabs>
        <w:spacing w:line="240" w:lineRule="auto"/>
      </w:pPr>
      <w:r>
        <w:t>40.18‒27</w:t>
      </w:r>
      <w:r>
        <w:tab/>
        <w:t>168</w:t>
      </w:r>
    </w:p>
    <w:p w:rsidR="00AD7907" w:rsidRDefault="00AD7907" w:rsidP="00AD7907">
      <w:pPr>
        <w:pStyle w:val="Rejstk1"/>
        <w:tabs>
          <w:tab w:val="right" w:leader="dot" w:pos="4171"/>
        </w:tabs>
        <w:spacing w:line="240" w:lineRule="auto"/>
      </w:pPr>
      <w:r>
        <w:t>45.50‒54</w:t>
      </w:r>
      <w:r>
        <w:tab/>
        <w:t>170</w:t>
      </w:r>
    </w:p>
    <w:p w:rsidR="00AD7907" w:rsidRDefault="00AD7907" w:rsidP="00AD7907">
      <w:pPr>
        <w:pStyle w:val="Rejstk1"/>
        <w:tabs>
          <w:tab w:val="right" w:leader="dot" w:pos="4171"/>
        </w:tabs>
        <w:spacing w:line="240" w:lineRule="auto"/>
      </w:pPr>
      <w:r>
        <w:t>54.58</w:t>
      </w:r>
      <w:r>
        <w:tab/>
        <w:t>170</w:t>
      </w:r>
    </w:p>
    <w:p w:rsidR="00AD7907" w:rsidRDefault="00AD7907" w:rsidP="00AD7907">
      <w:pPr>
        <w:pStyle w:val="Rejstk1"/>
        <w:tabs>
          <w:tab w:val="right" w:leader="dot" w:pos="4171"/>
        </w:tabs>
        <w:spacing w:line="240" w:lineRule="auto"/>
      </w:pPr>
      <w:r>
        <w:t>57.18‒19</w:t>
      </w:r>
      <w:r>
        <w:tab/>
        <w:t>171</w:t>
      </w:r>
    </w:p>
    <w:p w:rsidR="00AD7907" w:rsidRDefault="00AD7907" w:rsidP="00AD7907">
      <w:pPr>
        <w:pStyle w:val="Rejstk1"/>
        <w:tabs>
          <w:tab w:val="right" w:leader="dot" w:pos="4171"/>
        </w:tabs>
        <w:spacing w:line="240" w:lineRule="auto"/>
      </w:pPr>
      <w:r>
        <w:t>72.39‒41</w:t>
      </w:r>
      <w:r>
        <w:tab/>
        <w:t>171</w:t>
      </w:r>
    </w:p>
    <w:p w:rsidR="00AD7907" w:rsidRDefault="00AD7907" w:rsidP="00AD7907">
      <w:pPr>
        <w:pStyle w:val="Rejstk1"/>
        <w:tabs>
          <w:tab w:val="right" w:leader="dot" w:pos="4171"/>
        </w:tabs>
        <w:spacing w:line="240" w:lineRule="auto"/>
      </w:pPr>
      <w:r>
        <w:t>73.81‒86</w:t>
      </w:r>
      <w:r>
        <w:tab/>
        <w:t>172</w:t>
      </w:r>
    </w:p>
    <w:p w:rsidR="00AD7907" w:rsidRDefault="00AD7907" w:rsidP="00AD7907">
      <w:pPr>
        <w:pStyle w:val="Rejstk1"/>
        <w:tabs>
          <w:tab w:val="right" w:leader="dot" w:pos="4171"/>
        </w:tabs>
        <w:spacing w:line="240" w:lineRule="auto"/>
        <w:rPr>
          <w:lang w:val="de-LU"/>
        </w:rPr>
      </w:pPr>
    </w:p>
    <w:p w:rsidR="00AD7907" w:rsidRPr="00FA2000" w:rsidRDefault="00AD7907" w:rsidP="00AD7907">
      <w:pPr>
        <w:pStyle w:val="Rejstk1"/>
        <w:tabs>
          <w:tab w:val="right" w:leader="dot" w:pos="4171"/>
        </w:tabs>
        <w:spacing w:line="240" w:lineRule="auto"/>
        <w:rPr>
          <w:b/>
          <w:lang w:val="de-LU"/>
        </w:rPr>
      </w:pPr>
      <w:r w:rsidRPr="00FA2000">
        <w:rPr>
          <w:b/>
          <w:lang w:val="de-LU"/>
        </w:rPr>
        <w:t>Anselm von Canterbury</w:t>
      </w:r>
    </w:p>
    <w:p w:rsidR="00AD7907" w:rsidRDefault="00AD7907" w:rsidP="00AD7907">
      <w:pPr>
        <w:pStyle w:val="Rejstk1"/>
        <w:tabs>
          <w:tab w:val="right" w:leader="dot" w:pos="4171"/>
        </w:tabs>
        <w:rPr>
          <w:lang w:val="de-LU"/>
        </w:rPr>
      </w:pPr>
      <w:r w:rsidRPr="00C018BD">
        <w:rPr>
          <w:i/>
          <w:lang w:val="de-LU"/>
        </w:rPr>
        <w:t>Liber de voluntate</w:t>
      </w:r>
      <w:r>
        <w:rPr>
          <w:lang w:val="de-LU"/>
        </w:rPr>
        <w:t xml:space="preserve"> PL 158, 490A</w:t>
      </w:r>
      <w:r>
        <w:rPr>
          <w:lang w:val="de-LU"/>
        </w:rPr>
        <w:tab/>
        <w:t>524</w:t>
      </w:r>
    </w:p>
    <w:p w:rsidR="00AD7907" w:rsidRDefault="00AD7907" w:rsidP="00AD7907">
      <w:pPr>
        <w:pStyle w:val="Rejstk1"/>
        <w:tabs>
          <w:tab w:val="right" w:leader="dot" w:pos="4171"/>
        </w:tabs>
        <w:rPr>
          <w:lang w:val="de-LU"/>
        </w:rPr>
      </w:pPr>
    </w:p>
    <w:p w:rsidR="00AD7907" w:rsidRPr="00B31532" w:rsidRDefault="00AD7907" w:rsidP="00AD7907">
      <w:pPr>
        <w:pStyle w:val="Rejstk1"/>
        <w:tabs>
          <w:tab w:val="right" w:leader="dot" w:pos="4171"/>
        </w:tabs>
        <w:rPr>
          <w:b/>
          <w:lang w:val="de-LU"/>
        </w:rPr>
      </w:pPr>
      <w:r w:rsidRPr="00B31532">
        <w:rPr>
          <w:b/>
          <w:lang w:val="de-LU"/>
        </w:rPr>
        <w:t>Aristoteles</w:t>
      </w:r>
    </w:p>
    <w:p w:rsidR="00AD7907" w:rsidRDefault="00AD7907" w:rsidP="00AD7907">
      <w:pPr>
        <w:pStyle w:val="Rejstk2"/>
        <w:tabs>
          <w:tab w:val="right" w:leader="dot" w:pos="4171"/>
        </w:tabs>
        <w:spacing w:line="240" w:lineRule="auto"/>
        <w:ind w:left="242"/>
      </w:pPr>
      <w:r w:rsidRPr="004B4DFF">
        <w:rPr>
          <w:i/>
        </w:rPr>
        <w:t>Anal. Post</w:t>
      </w:r>
      <w:r>
        <w:t>. 71b26‒27</w:t>
      </w:r>
      <w:r>
        <w:tab/>
        <w:t>74</w:t>
      </w:r>
    </w:p>
    <w:p w:rsidR="00AD7907" w:rsidRDefault="00AD7907" w:rsidP="00AD7907">
      <w:pPr>
        <w:pStyle w:val="Rejstk2"/>
        <w:tabs>
          <w:tab w:val="right" w:leader="dot" w:pos="4171"/>
        </w:tabs>
        <w:spacing w:line="240" w:lineRule="auto"/>
        <w:ind w:left="242"/>
      </w:pPr>
      <w:r w:rsidRPr="004B4DFF">
        <w:rPr>
          <w:i/>
        </w:rPr>
        <w:t>Anal</w:t>
      </w:r>
      <w:r>
        <w:t xml:space="preserve">. </w:t>
      </w:r>
      <w:r w:rsidRPr="004B4DFF">
        <w:rPr>
          <w:i/>
        </w:rPr>
        <w:t>Post</w:t>
      </w:r>
      <w:r>
        <w:t>. 73b27</w:t>
      </w:r>
      <w:r>
        <w:tab/>
        <w:t>319</w:t>
      </w:r>
    </w:p>
    <w:p w:rsidR="00AD7907" w:rsidRDefault="00AD7907" w:rsidP="00AD7907">
      <w:pPr>
        <w:pStyle w:val="Rejstk2"/>
        <w:tabs>
          <w:tab w:val="right" w:leader="dot" w:pos="4171"/>
        </w:tabs>
        <w:spacing w:line="240" w:lineRule="auto"/>
        <w:ind w:left="242"/>
      </w:pPr>
      <w:r w:rsidRPr="004B4DFF">
        <w:rPr>
          <w:i/>
        </w:rPr>
        <w:t>Anal. Post</w:t>
      </w:r>
      <w:r>
        <w:t>. 73b28</w:t>
      </w:r>
      <w:r>
        <w:tab/>
        <w:t>8</w:t>
      </w:r>
    </w:p>
    <w:p w:rsidR="00AD7907" w:rsidRDefault="00AD7907" w:rsidP="00AD7907">
      <w:pPr>
        <w:pStyle w:val="Rejstk2"/>
        <w:tabs>
          <w:tab w:val="right" w:leader="dot" w:pos="4171"/>
        </w:tabs>
        <w:spacing w:line="240" w:lineRule="auto"/>
        <w:ind w:left="242"/>
      </w:pPr>
      <w:r w:rsidRPr="004B4DFF">
        <w:rPr>
          <w:i/>
        </w:rPr>
        <w:t>Anal. Post</w:t>
      </w:r>
      <w:r>
        <w:t>. 75a38</w:t>
      </w:r>
      <w:r>
        <w:tab/>
        <w:t>95</w:t>
      </w:r>
    </w:p>
    <w:p w:rsidR="00AD7907" w:rsidRDefault="00AD7907" w:rsidP="00AD7907">
      <w:pPr>
        <w:pStyle w:val="Rejstk2"/>
        <w:tabs>
          <w:tab w:val="right" w:leader="dot" w:pos="4171"/>
        </w:tabs>
        <w:spacing w:line="240" w:lineRule="auto"/>
        <w:ind w:left="242"/>
      </w:pPr>
      <w:r w:rsidRPr="004B4DFF">
        <w:rPr>
          <w:i/>
        </w:rPr>
        <w:t>Anal. post</w:t>
      </w:r>
      <w:r>
        <w:t>. 75b1‒2</w:t>
      </w:r>
      <w:r>
        <w:tab/>
        <w:t>179</w:t>
      </w:r>
    </w:p>
    <w:p w:rsidR="00AD7907" w:rsidRDefault="00AD7907" w:rsidP="00AD7907">
      <w:pPr>
        <w:pStyle w:val="Rejstk2"/>
        <w:tabs>
          <w:tab w:val="right" w:leader="dot" w:pos="4171"/>
        </w:tabs>
        <w:spacing w:line="240" w:lineRule="auto"/>
        <w:ind w:left="242"/>
      </w:pPr>
      <w:r w:rsidRPr="004B4DFF">
        <w:rPr>
          <w:i/>
        </w:rPr>
        <w:t>Anal. Post</w:t>
      </w:r>
      <w:r>
        <w:t>. 79b39-b2</w:t>
      </w:r>
      <w:r>
        <w:tab/>
        <w:t>179</w:t>
      </w:r>
    </w:p>
    <w:p w:rsidR="00AD7907" w:rsidRDefault="00AD7907" w:rsidP="00AD7907">
      <w:pPr>
        <w:pStyle w:val="Rejstk2"/>
        <w:tabs>
          <w:tab w:val="right" w:leader="dot" w:pos="4171"/>
        </w:tabs>
        <w:spacing w:line="240" w:lineRule="auto"/>
        <w:ind w:left="242"/>
      </w:pPr>
      <w:r w:rsidRPr="004B4DFF">
        <w:rPr>
          <w:i/>
        </w:rPr>
        <w:t>Anal. Post</w:t>
      </w:r>
      <w:r>
        <w:t>. 84a11‒14</w:t>
      </w:r>
      <w:r>
        <w:tab/>
        <w:t>268, 318, 547, 674, 832</w:t>
      </w:r>
    </w:p>
    <w:p w:rsidR="00AD7907" w:rsidRDefault="00AD7907" w:rsidP="00AD7907">
      <w:pPr>
        <w:pStyle w:val="Rejstk2"/>
        <w:tabs>
          <w:tab w:val="right" w:leader="dot" w:pos="4171"/>
        </w:tabs>
        <w:spacing w:line="240" w:lineRule="auto"/>
        <w:ind w:left="242"/>
      </w:pPr>
      <w:r w:rsidRPr="004B4DFF">
        <w:rPr>
          <w:i/>
        </w:rPr>
        <w:t>Anal</w:t>
      </w:r>
      <w:r>
        <w:t xml:space="preserve">. </w:t>
      </w:r>
      <w:r w:rsidRPr="004B4DFF">
        <w:rPr>
          <w:i/>
        </w:rPr>
        <w:t>Post</w:t>
      </w:r>
      <w:r>
        <w:t>. 84a12</w:t>
      </w:r>
      <w:r>
        <w:tab/>
        <w:t>6, 8, 17, 189, 320</w:t>
      </w:r>
    </w:p>
    <w:p w:rsidR="00AD7907" w:rsidRDefault="00AD7907" w:rsidP="00AD7907">
      <w:pPr>
        <w:pStyle w:val="Rejstk2"/>
        <w:tabs>
          <w:tab w:val="right" w:leader="dot" w:pos="4171"/>
        </w:tabs>
        <w:spacing w:line="240" w:lineRule="auto"/>
        <w:ind w:left="242"/>
      </w:pPr>
      <w:r w:rsidRPr="004B4DFF">
        <w:rPr>
          <w:i/>
        </w:rPr>
        <w:t>Anal. Post.</w:t>
      </w:r>
      <w:r>
        <w:t xml:space="preserve"> 84a13</w:t>
      </w:r>
      <w:r>
        <w:tab/>
        <w:t>33, 321, 325, 331, 426, 427, 440, 658, 674, 676, 807</w:t>
      </w:r>
    </w:p>
    <w:p w:rsidR="00AD7907" w:rsidRDefault="00AD7907" w:rsidP="00AD7907">
      <w:pPr>
        <w:pStyle w:val="Rejstk2"/>
        <w:tabs>
          <w:tab w:val="right" w:leader="dot" w:pos="4171"/>
        </w:tabs>
        <w:spacing w:line="240" w:lineRule="auto"/>
        <w:ind w:left="242"/>
      </w:pPr>
      <w:r w:rsidRPr="004B4DFF">
        <w:rPr>
          <w:i/>
        </w:rPr>
        <w:t>Anal. Post.</w:t>
      </w:r>
      <w:r>
        <w:t xml:space="preserve"> 84a13‒14</w:t>
      </w:r>
      <w:r>
        <w:tab/>
        <w:t>319</w:t>
      </w:r>
    </w:p>
    <w:p w:rsidR="00AD7907" w:rsidRDefault="00AD7907" w:rsidP="00AD7907">
      <w:pPr>
        <w:pStyle w:val="Rejstk2"/>
        <w:tabs>
          <w:tab w:val="right" w:leader="dot" w:pos="4171"/>
        </w:tabs>
        <w:spacing w:line="240" w:lineRule="auto"/>
        <w:ind w:left="242"/>
      </w:pPr>
      <w:r w:rsidRPr="004B4DFF">
        <w:rPr>
          <w:i/>
        </w:rPr>
        <w:t>Anal. Post</w:t>
      </w:r>
      <w:r>
        <w:t>. 84a14</w:t>
      </w:r>
      <w:r>
        <w:tab/>
        <w:t>317, 319, 329, 331, 425, 426, 440, 455, 495, 658, 807</w:t>
      </w:r>
    </w:p>
    <w:p w:rsidR="00AD7907" w:rsidRDefault="00AD7907" w:rsidP="00AD7907">
      <w:pPr>
        <w:pStyle w:val="Rejstk2"/>
        <w:tabs>
          <w:tab w:val="right" w:leader="dot" w:pos="4171"/>
        </w:tabs>
        <w:spacing w:line="240" w:lineRule="auto"/>
        <w:ind w:left="242"/>
      </w:pPr>
      <w:r w:rsidRPr="004B4DFF">
        <w:rPr>
          <w:i/>
        </w:rPr>
        <w:t>Anal. Post.</w:t>
      </w:r>
      <w:r>
        <w:t xml:space="preserve"> 87b28‒31</w:t>
      </w:r>
      <w:r>
        <w:tab/>
        <w:t>832</w:t>
      </w:r>
    </w:p>
    <w:p w:rsidR="00AD7907" w:rsidRDefault="00AD7907" w:rsidP="00AD7907">
      <w:pPr>
        <w:pStyle w:val="Rejstk2"/>
        <w:tabs>
          <w:tab w:val="right" w:leader="dot" w:pos="4171"/>
        </w:tabs>
        <w:spacing w:line="240" w:lineRule="auto"/>
        <w:ind w:left="242"/>
      </w:pPr>
      <w:r w:rsidRPr="004B4DFF">
        <w:rPr>
          <w:i/>
        </w:rPr>
        <w:t>Anal. Post</w:t>
      </w:r>
      <w:r>
        <w:t>. 88b37</w:t>
      </w:r>
      <w:r>
        <w:tab/>
        <w:t>725</w:t>
      </w:r>
    </w:p>
    <w:p w:rsidR="00AD7907" w:rsidRDefault="00AD7907" w:rsidP="00AD7907">
      <w:pPr>
        <w:pStyle w:val="Rejstk2"/>
        <w:tabs>
          <w:tab w:val="right" w:leader="dot" w:pos="4171"/>
        </w:tabs>
        <w:spacing w:line="240" w:lineRule="auto"/>
        <w:ind w:left="242"/>
      </w:pPr>
      <w:r w:rsidRPr="004B4DFF">
        <w:rPr>
          <w:i/>
        </w:rPr>
        <w:t>Anal. Post</w:t>
      </w:r>
      <w:r>
        <w:t>. 89b10‒11</w:t>
      </w:r>
      <w:r>
        <w:tab/>
        <w:t>725</w:t>
      </w:r>
    </w:p>
    <w:p w:rsidR="00AD7907" w:rsidRDefault="00AD7907" w:rsidP="00AD7907">
      <w:pPr>
        <w:pStyle w:val="Rejstk2"/>
        <w:tabs>
          <w:tab w:val="right" w:leader="dot" w:pos="4171"/>
        </w:tabs>
        <w:spacing w:line="240" w:lineRule="auto"/>
        <w:ind w:left="242"/>
      </w:pPr>
      <w:r w:rsidRPr="004B4DFF">
        <w:rPr>
          <w:i/>
        </w:rPr>
        <w:t>Anal. Post</w:t>
      </w:r>
      <w:r>
        <w:t>. 89b34</w:t>
      </w:r>
      <w:r>
        <w:tab/>
        <w:t>802</w:t>
      </w:r>
    </w:p>
    <w:p w:rsidR="00AD7907" w:rsidRDefault="00AD7907" w:rsidP="00AD7907">
      <w:pPr>
        <w:pStyle w:val="Rejstk2"/>
        <w:tabs>
          <w:tab w:val="right" w:leader="dot" w:pos="4171"/>
        </w:tabs>
        <w:spacing w:line="240" w:lineRule="auto"/>
        <w:ind w:left="242"/>
      </w:pPr>
      <w:r w:rsidRPr="004B4DFF">
        <w:rPr>
          <w:i/>
        </w:rPr>
        <w:t>Anal. Post</w:t>
      </w:r>
      <w:r>
        <w:t>. 90a10</w:t>
      </w:r>
      <w:r>
        <w:tab/>
        <w:t>246, 799</w:t>
      </w:r>
    </w:p>
    <w:p w:rsidR="00AD7907" w:rsidRDefault="00AD7907" w:rsidP="00AD7907">
      <w:pPr>
        <w:pStyle w:val="Rejstk2"/>
        <w:tabs>
          <w:tab w:val="right" w:leader="dot" w:pos="4171"/>
        </w:tabs>
        <w:spacing w:line="240" w:lineRule="auto"/>
        <w:ind w:left="242"/>
      </w:pPr>
      <w:r w:rsidRPr="004B4DFF">
        <w:rPr>
          <w:i/>
        </w:rPr>
        <w:t>Cat</w:t>
      </w:r>
      <w:r>
        <w:t>. 1b25</w:t>
      </w:r>
      <w:r>
        <w:tab/>
        <w:t>646</w:t>
      </w:r>
    </w:p>
    <w:p w:rsidR="00AD7907" w:rsidRDefault="00AD7907" w:rsidP="00AD7907">
      <w:pPr>
        <w:pStyle w:val="Rejstk2"/>
        <w:tabs>
          <w:tab w:val="right" w:leader="dot" w:pos="4171"/>
        </w:tabs>
        <w:spacing w:line="240" w:lineRule="auto"/>
        <w:ind w:left="242"/>
      </w:pPr>
      <w:r w:rsidRPr="004B4DFF">
        <w:rPr>
          <w:i/>
        </w:rPr>
        <w:t>Cat</w:t>
      </w:r>
      <w:r>
        <w:t>. 2a11–16</w:t>
      </w:r>
      <w:r>
        <w:tab/>
        <w:t>34</w:t>
      </w:r>
    </w:p>
    <w:p w:rsidR="00AD7907" w:rsidRDefault="00AD7907" w:rsidP="00AD7907">
      <w:pPr>
        <w:pStyle w:val="Rejstk2"/>
        <w:tabs>
          <w:tab w:val="right" w:leader="dot" w:pos="4171"/>
        </w:tabs>
        <w:spacing w:line="240" w:lineRule="auto"/>
        <w:ind w:left="242"/>
      </w:pPr>
      <w:r w:rsidRPr="004B4DFF">
        <w:rPr>
          <w:i/>
        </w:rPr>
        <w:t>Cat</w:t>
      </w:r>
      <w:r>
        <w:t>. 2a14–15</w:t>
      </w:r>
      <w:r>
        <w:tab/>
        <w:t>645</w:t>
      </w:r>
    </w:p>
    <w:p w:rsidR="00AD7907" w:rsidRDefault="00AD7907" w:rsidP="00AD7907">
      <w:pPr>
        <w:pStyle w:val="Rejstk2"/>
        <w:tabs>
          <w:tab w:val="right" w:leader="dot" w:pos="4171"/>
        </w:tabs>
        <w:spacing w:line="240" w:lineRule="auto"/>
        <w:ind w:left="242"/>
      </w:pPr>
      <w:r w:rsidRPr="004B4DFF">
        <w:rPr>
          <w:i/>
        </w:rPr>
        <w:t>Cat</w:t>
      </w:r>
      <w:r>
        <w:t>. 2a14‒16</w:t>
      </w:r>
      <w:r>
        <w:tab/>
        <w:t>56, 486, 789</w:t>
      </w:r>
    </w:p>
    <w:p w:rsidR="00AD7907" w:rsidRDefault="00AD7907" w:rsidP="00AD7907">
      <w:pPr>
        <w:pStyle w:val="Rejstk2"/>
        <w:tabs>
          <w:tab w:val="right" w:leader="dot" w:pos="4171"/>
        </w:tabs>
        <w:spacing w:line="240" w:lineRule="auto"/>
        <w:ind w:left="242"/>
      </w:pPr>
      <w:r w:rsidRPr="004B4DFF">
        <w:rPr>
          <w:i/>
        </w:rPr>
        <w:t>Cat</w:t>
      </w:r>
      <w:r>
        <w:t>. 2b4‒5</w:t>
      </w:r>
      <w:r>
        <w:tab/>
        <w:t>665</w:t>
      </w:r>
    </w:p>
    <w:p w:rsidR="00AD7907" w:rsidRDefault="00AD7907" w:rsidP="00AD7907">
      <w:pPr>
        <w:pStyle w:val="Rejstk2"/>
        <w:tabs>
          <w:tab w:val="right" w:leader="dot" w:pos="4171"/>
        </w:tabs>
        <w:spacing w:line="240" w:lineRule="auto"/>
        <w:ind w:left="242"/>
      </w:pPr>
      <w:r w:rsidRPr="004B4DFF">
        <w:rPr>
          <w:i/>
        </w:rPr>
        <w:t>Cat</w:t>
      </w:r>
      <w:r>
        <w:t>. 2b5‒6</w:t>
      </w:r>
      <w:r>
        <w:tab/>
        <w:t>664, 665, 790</w:t>
      </w:r>
    </w:p>
    <w:p w:rsidR="0075674D" w:rsidRDefault="0075674D" w:rsidP="00AD7907">
      <w:pPr>
        <w:pStyle w:val="Rejstk2"/>
        <w:tabs>
          <w:tab w:val="right" w:leader="dot" w:pos="4171"/>
        </w:tabs>
        <w:spacing w:line="240" w:lineRule="auto"/>
        <w:ind w:left="242"/>
        <w:rPr>
          <w:i/>
        </w:rPr>
      </w:pPr>
      <w:r w:rsidRPr="00D90DF2">
        <w:rPr>
          <w:i/>
          <w:szCs w:val="24"/>
          <w:lang w:val="de-DE"/>
        </w:rPr>
        <w:t>Cat</w:t>
      </w:r>
      <w:r w:rsidRPr="00D90DF2">
        <w:rPr>
          <w:szCs w:val="24"/>
          <w:lang w:val="de-DE"/>
        </w:rPr>
        <w:t>. 2a15</w:t>
      </w:r>
      <w:r>
        <w:rPr>
          <w:szCs w:val="24"/>
          <w:lang w:val="de-DE"/>
        </w:rPr>
        <w:t>–</w:t>
      </w:r>
      <w:r w:rsidRPr="00D90DF2">
        <w:rPr>
          <w:szCs w:val="24"/>
          <w:lang w:val="de-DE"/>
        </w:rPr>
        <w:t>16</w:t>
      </w:r>
      <w:r>
        <w:rPr>
          <w:szCs w:val="24"/>
          <w:lang w:val="de-DE"/>
        </w:rPr>
        <w:tab/>
        <w:t>402</w:t>
      </w:r>
    </w:p>
    <w:p w:rsidR="00AD7907" w:rsidRDefault="00AD7907" w:rsidP="00AD7907">
      <w:pPr>
        <w:pStyle w:val="Rejstk2"/>
        <w:tabs>
          <w:tab w:val="right" w:leader="dot" w:pos="4171"/>
        </w:tabs>
        <w:spacing w:line="240" w:lineRule="auto"/>
        <w:ind w:left="242"/>
      </w:pPr>
      <w:r w:rsidRPr="004B4DFF">
        <w:rPr>
          <w:i/>
        </w:rPr>
        <w:t>De anima</w:t>
      </w:r>
      <w:r>
        <w:t xml:space="preserve"> 413b25</w:t>
      </w:r>
      <w:r>
        <w:tab/>
        <w:t>264, 439</w:t>
      </w:r>
    </w:p>
    <w:p w:rsidR="00AD7907" w:rsidRDefault="00AD7907" w:rsidP="00AD7907">
      <w:pPr>
        <w:pStyle w:val="Rejstk2"/>
        <w:tabs>
          <w:tab w:val="right" w:leader="dot" w:pos="4171"/>
        </w:tabs>
        <w:spacing w:line="240" w:lineRule="auto"/>
        <w:ind w:left="242"/>
      </w:pPr>
      <w:r w:rsidRPr="004B4DFF">
        <w:rPr>
          <w:i/>
        </w:rPr>
        <w:t>De anima</w:t>
      </w:r>
      <w:r>
        <w:t xml:space="preserve"> 414b2‒3</w:t>
      </w:r>
      <w:r>
        <w:tab/>
        <w:t>45</w:t>
      </w:r>
    </w:p>
    <w:p w:rsidR="00AD7907" w:rsidRDefault="00AD7907" w:rsidP="00AD7907">
      <w:pPr>
        <w:pStyle w:val="Rejstk2"/>
        <w:tabs>
          <w:tab w:val="right" w:leader="dot" w:pos="4171"/>
        </w:tabs>
        <w:spacing w:line="240" w:lineRule="auto"/>
        <w:ind w:left="242"/>
      </w:pPr>
      <w:r w:rsidRPr="004B4DFF">
        <w:rPr>
          <w:i/>
        </w:rPr>
        <w:t xml:space="preserve">De anima </w:t>
      </w:r>
      <w:r>
        <w:t>414b31</w:t>
      </w:r>
      <w:r>
        <w:tab/>
        <w:t>74, 75, 331</w:t>
      </w:r>
    </w:p>
    <w:p w:rsidR="00AD7907" w:rsidRDefault="00AD7907" w:rsidP="00AD7907">
      <w:pPr>
        <w:pStyle w:val="Rejstk2"/>
        <w:tabs>
          <w:tab w:val="right" w:leader="dot" w:pos="4171"/>
        </w:tabs>
        <w:spacing w:line="240" w:lineRule="auto"/>
        <w:ind w:left="242"/>
      </w:pPr>
      <w:r w:rsidRPr="004B4DFF">
        <w:rPr>
          <w:i/>
        </w:rPr>
        <w:t>De anima</w:t>
      </w:r>
      <w:r>
        <w:t xml:space="preserve"> 415b12‒14</w:t>
      </w:r>
      <w:r>
        <w:tab/>
        <w:t>461</w:t>
      </w:r>
    </w:p>
    <w:p w:rsidR="00AD7907" w:rsidRDefault="00AD7907" w:rsidP="00AD7907">
      <w:pPr>
        <w:pStyle w:val="Rejstk2"/>
        <w:tabs>
          <w:tab w:val="right" w:leader="dot" w:pos="4171"/>
        </w:tabs>
        <w:spacing w:line="240" w:lineRule="auto"/>
        <w:ind w:left="242"/>
      </w:pPr>
      <w:r w:rsidRPr="004B4DFF">
        <w:rPr>
          <w:i/>
        </w:rPr>
        <w:t>De anima</w:t>
      </w:r>
      <w:r>
        <w:t xml:space="preserve"> 415b13</w:t>
      </w:r>
      <w:r>
        <w:tab/>
        <w:t>316, 317</w:t>
      </w:r>
    </w:p>
    <w:p w:rsidR="00AD7907" w:rsidRDefault="00AD7907" w:rsidP="00AD7907">
      <w:pPr>
        <w:pStyle w:val="Rejstk2"/>
        <w:tabs>
          <w:tab w:val="right" w:leader="dot" w:pos="4171"/>
        </w:tabs>
        <w:spacing w:line="240" w:lineRule="auto"/>
        <w:ind w:left="242"/>
      </w:pPr>
      <w:r w:rsidRPr="004B4DFF">
        <w:rPr>
          <w:i/>
        </w:rPr>
        <w:t>De anima</w:t>
      </w:r>
      <w:r>
        <w:t xml:space="preserve"> 415b13‒14</w:t>
      </w:r>
      <w:r>
        <w:tab/>
        <w:t>317, 319</w:t>
      </w:r>
    </w:p>
    <w:p w:rsidR="00AD7907" w:rsidRDefault="00AD7907" w:rsidP="00AD7907">
      <w:pPr>
        <w:pStyle w:val="Rejstk2"/>
        <w:tabs>
          <w:tab w:val="right" w:leader="dot" w:pos="4171"/>
        </w:tabs>
        <w:spacing w:line="240" w:lineRule="auto"/>
        <w:ind w:left="242"/>
      </w:pPr>
      <w:r w:rsidRPr="004B4DFF">
        <w:rPr>
          <w:i/>
        </w:rPr>
        <w:t>De anima</w:t>
      </w:r>
      <w:r>
        <w:t xml:space="preserve"> 429a10</w:t>
      </w:r>
      <w:r>
        <w:tab/>
        <w:t>422</w:t>
      </w:r>
    </w:p>
    <w:p w:rsidR="00AD7907" w:rsidRDefault="00AD7907" w:rsidP="00AD7907">
      <w:pPr>
        <w:pStyle w:val="Rejstk2"/>
        <w:tabs>
          <w:tab w:val="right" w:leader="dot" w:pos="4171"/>
        </w:tabs>
        <w:spacing w:line="240" w:lineRule="auto"/>
        <w:ind w:left="242"/>
      </w:pPr>
      <w:r w:rsidRPr="004B4DFF">
        <w:rPr>
          <w:i/>
        </w:rPr>
        <w:t>De anima</w:t>
      </w:r>
      <w:r>
        <w:t xml:space="preserve"> 429a23</w:t>
      </w:r>
      <w:r>
        <w:tab/>
        <w:t>458, 459, 461, 464, 467, 484</w:t>
      </w:r>
    </w:p>
    <w:p w:rsidR="00AD7907" w:rsidRDefault="00AD7907" w:rsidP="00AD7907">
      <w:pPr>
        <w:pStyle w:val="Rejstk2"/>
        <w:tabs>
          <w:tab w:val="right" w:leader="dot" w:pos="4171"/>
        </w:tabs>
        <w:spacing w:line="240" w:lineRule="auto"/>
        <w:ind w:left="242"/>
      </w:pPr>
      <w:r w:rsidRPr="004B4DFF">
        <w:rPr>
          <w:i/>
        </w:rPr>
        <w:t>De anima</w:t>
      </w:r>
      <w:r>
        <w:t xml:space="preserve"> 429a27‒28</w:t>
      </w:r>
      <w:r>
        <w:tab/>
        <w:t>139, 493</w:t>
      </w:r>
    </w:p>
    <w:p w:rsidR="005C2DBB" w:rsidRPr="005C2DBB" w:rsidRDefault="005C2DBB" w:rsidP="00AD7907">
      <w:pPr>
        <w:pStyle w:val="Rejstk2"/>
        <w:tabs>
          <w:tab w:val="right" w:leader="dot" w:pos="4171"/>
        </w:tabs>
        <w:spacing w:line="240" w:lineRule="auto"/>
        <w:ind w:left="242"/>
      </w:pPr>
      <w:r>
        <w:rPr>
          <w:i/>
        </w:rPr>
        <w:t xml:space="preserve">De anima </w:t>
      </w:r>
      <w:r>
        <w:t>414b28–32</w:t>
      </w:r>
      <w:r>
        <w:tab/>
        <w:t>512</w:t>
      </w:r>
    </w:p>
    <w:p w:rsidR="00AD7907" w:rsidRDefault="00AD7907" w:rsidP="00AD7907">
      <w:pPr>
        <w:pStyle w:val="Rejstk2"/>
        <w:tabs>
          <w:tab w:val="right" w:leader="dot" w:pos="4171"/>
        </w:tabs>
        <w:spacing w:line="240" w:lineRule="auto"/>
        <w:ind w:left="242"/>
      </w:pPr>
      <w:r w:rsidRPr="005C2DBB">
        <w:rPr>
          <w:i/>
        </w:rPr>
        <w:t>De anima</w:t>
      </w:r>
      <w:r>
        <w:t xml:space="preserve"> 430a14–15</w:t>
      </w:r>
      <w:r>
        <w:tab/>
        <w:t>783</w:t>
      </w:r>
    </w:p>
    <w:p w:rsidR="00AD7907" w:rsidRDefault="00AD7907" w:rsidP="00AD7907">
      <w:pPr>
        <w:pStyle w:val="Rejstk2"/>
        <w:tabs>
          <w:tab w:val="right" w:leader="dot" w:pos="4171"/>
        </w:tabs>
        <w:spacing w:line="240" w:lineRule="auto"/>
        <w:ind w:left="242"/>
      </w:pPr>
      <w:r w:rsidRPr="004B4DFF">
        <w:rPr>
          <w:i/>
        </w:rPr>
        <w:t>De anima</w:t>
      </w:r>
      <w:r>
        <w:t xml:space="preserve"> 430a14‒15</w:t>
      </w:r>
      <w:r>
        <w:tab/>
        <w:t>69, 374</w:t>
      </w:r>
    </w:p>
    <w:p w:rsidR="00AD7907" w:rsidRDefault="00AD7907" w:rsidP="00AD7907">
      <w:pPr>
        <w:pStyle w:val="Rejstk2"/>
        <w:tabs>
          <w:tab w:val="right" w:leader="dot" w:pos="4171"/>
        </w:tabs>
        <w:spacing w:line="240" w:lineRule="auto"/>
        <w:ind w:left="242"/>
      </w:pPr>
      <w:r w:rsidRPr="004B4DFF">
        <w:rPr>
          <w:i/>
        </w:rPr>
        <w:t>De anima</w:t>
      </w:r>
      <w:r>
        <w:t xml:space="preserve"> 430a20–25</w:t>
      </w:r>
      <w:r>
        <w:tab/>
        <w:t>149</w:t>
      </w:r>
    </w:p>
    <w:p w:rsidR="00AD7907" w:rsidRDefault="00AD7907" w:rsidP="00AD7907">
      <w:pPr>
        <w:pStyle w:val="Rejstk2"/>
        <w:tabs>
          <w:tab w:val="right" w:leader="dot" w:pos="4171"/>
        </w:tabs>
        <w:spacing w:line="240" w:lineRule="auto"/>
        <w:ind w:left="242"/>
      </w:pPr>
      <w:r w:rsidRPr="004B4DFF">
        <w:rPr>
          <w:i/>
        </w:rPr>
        <w:t>De anima</w:t>
      </w:r>
      <w:r>
        <w:t xml:space="preserve"> 431b21</w:t>
      </w:r>
      <w:r>
        <w:tab/>
        <w:t>248</w:t>
      </w:r>
    </w:p>
    <w:p w:rsidR="00AD7907" w:rsidRDefault="00AD7907" w:rsidP="00AD7907">
      <w:pPr>
        <w:pStyle w:val="Rejstk2"/>
        <w:tabs>
          <w:tab w:val="right" w:leader="dot" w:pos="4171"/>
        </w:tabs>
        <w:spacing w:line="240" w:lineRule="auto"/>
        <w:ind w:left="242"/>
      </w:pPr>
      <w:r w:rsidRPr="004B4DFF">
        <w:rPr>
          <w:i/>
          <w:iCs/>
        </w:rPr>
        <w:t xml:space="preserve">De anima </w:t>
      </w:r>
      <w:r>
        <w:t>431b24‒25</w:t>
      </w:r>
      <w:r>
        <w:tab/>
        <w:t>861</w:t>
      </w:r>
    </w:p>
    <w:p w:rsidR="00AD7907" w:rsidRDefault="00AD7907" w:rsidP="00AD7907">
      <w:pPr>
        <w:pStyle w:val="Rejstk2"/>
        <w:tabs>
          <w:tab w:val="right" w:leader="dot" w:pos="4171"/>
        </w:tabs>
        <w:spacing w:line="240" w:lineRule="auto"/>
        <w:ind w:left="242"/>
      </w:pPr>
      <w:r w:rsidRPr="004B4DFF">
        <w:rPr>
          <w:i/>
        </w:rPr>
        <w:t>De anima</w:t>
      </w:r>
      <w:r>
        <w:t xml:space="preserve"> 433a1‒3</w:t>
      </w:r>
      <w:r>
        <w:tab/>
        <w:t>856</w:t>
      </w:r>
    </w:p>
    <w:p w:rsidR="00AD7907" w:rsidRDefault="00AD7907" w:rsidP="00AD7907">
      <w:pPr>
        <w:pStyle w:val="Rejstk2"/>
        <w:tabs>
          <w:tab w:val="right" w:leader="dot" w:pos="4171"/>
        </w:tabs>
        <w:spacing w:line="240" w:lineRule="auto"/>
        <w:ind w:left="242"/>
      </w:pPr>
      <w:r w:rsidRPr="004B4DFF">
        <w:rPr>
          <w:i/>
        </w:rPr>
        <w:t>De anima</w:t>
      </w:r>
      <w:r>
        <w:t xml:space="preserve"> 433a14</w:t>
      </w:r>
      <w:r>
        <w:tab/>
        <w:t>526</w:t>
      </w:r>
    </w:p>
    <w:p w:rsidR="00AD7907" w:rsidRDefault="00AD7907" w:rsidP="00AD7907">
      <w:pPr>
        <w:pStyle w:val="Rejstk2"/>
        <w:tabs>
          <w:tab w:val="right" w:leader="dot" w:pos="4171"/>
        </w:tabs>
        <w:spacing w:line="240" w:lineRule="auto"/>
        <w:ind w:left="242"/>
      </w:pPr>
      <w:r w:rsidRPr="004B4DFF">
        <w:rPr>
          <w:i/>
        </w:rPr>
        <w:t>De anima</w:t>
      </w:r>
      <w:r>
        <w:t xml:space="preserve"> 433a14‒15</w:t>
      </w:r>
      <w:r>
        <w:tab/>
        <w:t>855</w:t>
      </w:r>
    </w:p>
    <w:p w:rsidR="00AD7907" w:rsidRDefault="00AD7907" w:rsidP="00AD7907">
      <w:pPr>
        <w:pStyle w:val="Rejstk2"/>
        <w:tabs>
          <w:tab w:val="right" w:leader="dot" w:pos="4171"/>
        </w:tabs>
        <w:spacing w:line="240" w:lineRule="auto"/>
        <w:ind w:left="242"/>
      </w:pPr>
      <w:r w:rsidRPr="004B4DFF">
        <w:rPr>
          <w:i/>
        </w:rPr>
        <w:t>De anima</w:t>
      </w:r>
      <w:r>
        <w:t xml:space="preserve"> 433a1‒5</w:t>
      </w:r>
      <w:r>
        <w:tab/>
        <w:t>856</w:t>
      </w:r>
    </w:p>
    <w:p w:rsidR="00AD7907" w:rsidRDefault="00AD7907" w:rsidP="00AD7907">
      <w:pPr>
        <w:pStyle w:val="Rejstk2"/>
        <w:tabs>
          <w:tab w:val="right" w:leader="dot" w:pos="4171"/>
        </w:tabs>
        <w:spacing w:line="240" w:lineRule="auto"/>
        <w:ind w:left="242"/>
      </w:pPr>
      <w:r w:rsidRPr="004B4DFF">
        <w:rPr>
          <w:i/>
        </w:rPr>
        <w:t>De anima</w:t>
      </w:r>
      <w:r>
        <w:t xml:space="preserve"> 439a13</w:t>
      </w:r>
      <w:r>
        <w:tab/>
        <w:t>264, 265, 439</w:t>
      </w:r>
    </w:p>
    <w:p w:rsidR="00AD7907" w:rsidRDefault="00AD7907" w:rsidP="00AD7907">
      <w:pPr>
        <w:pStyle w:val="Rejstk2"/>
        <w:tabs>
          <w:tab w:val="right" w:leader="dot" w:pos="4171"/>
        </w:tabs>
        <w:spacing w:line="240" w:lineRule="auto"/>
        <w:ind w:left="242"/>
      </w:pPr>
      <w:r w:rsidRPr="004B4DFF">
        <w:rPr>
          <w:i/>
        </w:rPr>
        <w:lastRenderedPageBreak/>
        <w:t>De anima</w:t>
      </w:r>
      <w:r>
        <w:t xml:space="preserve"> 439b13</w:t>
      </w:r>
      <w:r>
        <w:tab/>
        <w:t>264</w:t>
      </w:r>
    </w:p>
    <w:p w:rsidR="00AD7907" w:rsidRDefault="00AD7907" w:rsidP="00AD7907">
      <w:pPr>
        <w:pStyle w:val="Rejstk2"/>
        <w:tabs>
          <w:tab w:val="right" w:leader="dot" w:pos="4171"/>
        </w:tabs>
        <w:spacing w:line="240" w:lineRule="auto"/>
        <w:ind w:left="242"/>
      </w:pPr>
      <w:r w:rsidRPr="004B4DFF">
        <w:rPr>
          <w:i/>
        </w:rPr>
        <w:t>De generatione animalium</w:t>
      </w:r>
      <w:r>
        <w:t xml:space="preserve"> 736b12</w:t>
      </w:r>
      <w:r>
        <w:tab/>
        <w:t>244, 262, 266, 267, 307, 316, 354, 527, 858</w:t>
      </w:r>
    </w:p>
    <w:p w:rsidR="00AD7907" w:rsidRDefault="00AD7907" w:rsidP="00AD7907">
      <w:pPr>
        <w:pStyle w:val="Rejstk2"/>
        <w:tabs>
          <w:tab w:val="right" w:leader="dot" w:pos="4171"/>
        </w:tabs>
        <w:spacing w:line="240" w:lineRule="auto"/>
        <w:ind w:left="242"/>
      </w:pPr>
      <w:r w:rsidRPr="004B4DFF">
        <w:rPr>
          <w:i/>
        </w:rPr>
        <w:t>De generatione animalium</w:t>
      </w:r>
      <w:r>
        <w:t xml:space="preserve"> 736b14</w:t>
      </w:r>
      <w:r>
        <w:tab/>
        <w:t>243</w:t>
      </w:r>
    </w:p>
    <w:p w:rsidR="00AD7907" w:rsidRDefault="00AD7907" w:rsidP="00AD7907">
      <w:pPr>
        <w:pStyle w:val="Rejstk2"/>
        <w:tabs>
          <w:tab w:val="right" w:leader="dot" w:pos="4171"/>
        </w:tabs>
        <w:spacing w:line="240" w:lineRule="auto"/>
        <w:ind w:left="242"/>
      </w:pPr>
      <w:r w:rsidRPr="004B4DFF">
        <w:rPr>
          <w:i/>
        </w:rPr>
        <w:t>De generatione animalium</w:t>
      </w:r>
      <w:r>
        <w:t xml:space="preserve"> 736b22</w:t>
      </w:r>
      <w:r>
        <w:tab/>
        <w:t>243</w:t>
      </w:r>
    </w:p>
    <w:p w:rsidR="00AD7907" w:rsidRDefault="00AD7907" w:rsidP="00AD7907">
      <w:pPr>
        <w:pStyle w:val="Rejstk2"/>
        <w:tabs>
          <w:tab w:val="right" w:leader="dot" w:pos="4171"/>
        </w:tabs>
        <w:spacing w:line="240" w:lineRule="auto"/>
        <w:ind w:left="242"/>
      </w:pPr>
      <w:r w:rsidRPr="004B4DFF">
        <w:rPr>
          <w:i/>
        </w:rPr>
        <w:t>De generatione animalium</w:t>
      </w:r>
      <w:r>
        <w:t xml:space="preserve"> 736b24</w:t>
      </w:r>
      <w:r>
        <w:tab/>
        <w:t>243</w:t>
      </w:r>
    </w:p>
    <w:p w:rsidR="00AD7907" w:rsidRDefault="00AD7907" w:rsidP="00AD7907">
      <w:pPr>
        <w:pStyle w:val="Rejstk2"/>
        <w:tabs>
          <w:tab w:val="right" w:leader="dot" w:pos="4171"/>
        </w:tabs>
        <w:spacing w:line="240" w:lineRule="auto"/>
        <w:ind w:left="242"/>
      </w:pPr>
      <w:r w:rsidRPr="004B4DFF">
        <w:rPr>
          <w:i/>
        </w:rPr>
        <w:t>De generatione animalium</w:t>
      </w:r>
      <w:r>
        <w:t xml:space="preserve"> 736b26‒28</w:t>
      </w:r>
      <w:r>
        <w:tab/>
        <w:t>244</w:t>
      </w:r>
    </w:p>
    <w:p w:rsidR="00AD7907" w:rsidRDefault="00AD7907" w:rsidP="00AD7907">
      <w:pPr>
        <w:pStyle w:val="Rejstk2"/>
        <w:tabs>
          <w:tab w:val="right" w:leader="dot" w:pos="4171"/>
        </w:tabs>
        <w:spacing w:line="240" w:lineRule="auto"/>
        <w:ind w:left="242"/>
      </w:pPr>
      <w:r w:rsidRPr="004B4DFF">
        <w:rPr>
          <w:i/>
        </w:rPr>
        <w:t>De generatione animalium</w:t>
      </w:r>
      <w:r>
        <w:t xml:space="preserve"> 736b27</w:t>
      </w:r>
      <w:r>
        <w:tab/>
        <w:t>244</w:t>
      </w:r>
    </w:p>
    <w:p w:rsidR="00AD7907" w:rsidRDefault="00AD7907" w:rsidP="00AD7907">
      <w:pPr>
        <w:pStyle w:val="Rejstk2"/>
        <w:tabs>
          <w:tab w:val="right" w:leader="dot" w:pos="4171"/>
        </w:tabs>
        <w:spacing w:line="240" w:lineRule="auto"/>
        <w:ind w:left="242"/>
      </w:pPr>
      <w:r w:rsidRPr="004B4DFF">
        <w:rPr>
          <w:i/>
        </w:rPr>
        <w:t>De int</w:t>
      </w:r>
      <w:r>
        <w:t>. 16a3–8</w:t>
      </w:r>
      <w:r>
        <w:tab/>
        <w:t>409</w:t>
      </w:r>
    </w:p>
    <w:p w:rsidR="00AD7907" w:rsidRDefault="00AD7907" w:rsidP="00AD7907">
      <w:pPr>
        <w:pStyle w:val="Rejstk2"/>
        <w:tabs>
          <w:tab w:val="right" w:leader="dot" w:pos="4171"/>
        </w:tabs>
        <w:spacing w:line="240" w:lineRule="auto"/>
        <w:ind w:left="242"/>
      </w:pPr>
      <w:r w:rsidRPr="004B4DFF">
        <w:rPr>
          <w:i/>
        </w:rPr>
        <w:t>De Interpretatione</w:t>
      </w:r>
      <w:r>
        <w:t xml:space="preserve"> 16a16‒19</w:t>
      </w:r>
      <w:r>
        <w:tab/>
        <w:t>39</w:t>
      </w:r>
    </w:p>
    <w:p w:rsidR="00AD7907" w:rsidRDefault="00AD7907" w:rsidP="00AD7907">
      <w:pPr>
        <w:pStyle w:val="Rejstk2"/>
        <w:tabs>
          <w:tab w:val="right" w:leader="dot" w:pos="4171"/>
        </w:tabs>
        <w:spacing w:line="240" w:lineRule="auto"/>
        <w:ind w:left="242"/>
      </w:pPr>
      <w:r w:rsidRPr="004B4DFF">
        <w:rPr>
          <w:i/>
        </w:rPr>
        <w:t>De Interpretatione</w:t>
      </w:r>
      <w:r>
        <w:t xml:space="preserve"> 16a3‒8</w:t>
      </w:r>
      <w:r>
        <w:tab/>
        <w:t>409</w:t>
      </w:r>
    </w:p>
    <w:p w:rsidR="00AD7907" w:rsidRDefault="00AD7907" w:rsidP="00AD7907">
      <w:pPr>
        <w:pStyle w:val="Rejstk2"/>
        <w:tabs>
          <w:tab w:val="right" w:leader="dot" w:pos="4171"/>
        </w:tabs>
        <w:spacing w:line="240" w:lineRule="auto"/>
        <w:ind w:left="242"/>
      </w:pPr>
      <w:r>
        <w:t>E.N. 1077a12</w:t>
      </w:r>
      <w:r>
        <w:tab/>
        <w:t>353, 425</w:t>
      </w:r>
    </w:p>
    <w:p w:rsidR="00AD7907" w:rsidRDefault="00AD7907" w:rsidP="00AD7907">
      <w:pPr>
        <w:pStyle w:val="Rejstk2"/>
        <w:tabs>
          <w:tab w:val="right" w:leader="dot" w:pos="4171"/>
        </w:tabs>
        <w:spacing w:line="240" w:lineRule="auto"/>
        <w:ind w:left="242"/>
      </w:pPr>
      <w:r>
        <w:t>E.N. 1106b36‒1107a2</w:t>
      </w:r>
      <w:r>
        <w:tab/>
        <w:t>545, 875</w:t>
      </w:r>
    </w:p>
    <w:p w:rsidR="00AD7907" w:rsidRDefault="00AD7907" w:rsidP="00AD7907">
      <w:pPr>
        <w:pStyle w:val="Rejstk2"/>
        <w:tabs>
          <w:tab w:val="right" w:leader="dot" w:pos="4171"/>
        </w:tabs>
        <w:spacing w:line="240" w:lineRule="auto"/>
        <w:ind w:left="242"/>
      </w:pPr>
      <w:r>
        <w:t>E.N. 1107a1</w:t>
      </w:r>
      <w:r>
        <w:tab/>
        <w:t>870</w:t>
      </w:r>
    </w:p>
    <w:p w:rsidR="00AD7907" w:rsidRDefault="00AD7907" w:rsidP="00AD7907">
      <w:pPr>
        <w:pStyle w:val="Rejstk2"/>
        <w:tabs>
          <w:tab w:val="right" w:leader="dot" w:pos="4171"/>
        </w:tabs>
        <w:spacing w:line="240" w:lineRule="auto"/>
        <w:ind w:left="242"/>
      </w:pPr>
      <w:r>
        <w:t>E.N. 1139a12</w:t>
      </w:r>
      <w:r>
        <w:tab/>
        <w:t>440</w:t>
      </w:r>
    </w:p>
    <w:p w:rsidR="00AD7907" w:rsidRDefault="00AD7907" w:rsidP="00AD7907">
      <w:pPr>
        <w:pStyle w:val="Rejstk2"/>
        <w:tabs>
          <w:tab w:val="right" w:leader="dot" w:pos="4171"/>
        </w:tabs>
        <w:spacing w:line="240" w:lineRule="auto"/>
        <w:ind w:left="242"/>
      </w:pPr>
      <w:r>
        <w:t>E.N. 1139a26</w:t>
      </w:r>
      <w:r>
        <w:tab/>
        <w:t>545, 877</w:t>
      </w:r>
    </w:p>
    <w:p w:rsidR="00AD7907" w:rsidRDefault="00AD7907" w:rsidP="00AD7907">
      <w:pPr>
        <w:pStyle w:val="Rejstk2"/>
        <w:tabs>
          <w:tab w:val="right" w:leader="dot" w:pos="4171"/>
        </w:tabs>
        <w:spacing w:line="240" w:lineRule="auto"/>
        <w:ind w:left="242"/>
      </w:pPr>
      <w:r>
        <w:t>E.N. 1140b5</w:t>
      </w:r>
      <w:r>
        <w:tab/>
        <w:t>881</w:t>
      </w:r>
    </w:p>
    <w:p w:rsidR="00AD7907" w:rsidRDefault="00AD7907" w:rsidP="00AD7907">
      <w:pPr>
        <w:pStyle w:val="Rejstk2"/>
        <w:tabs>
          <w:tab w:val="right" w:leader="dot" w:pos="4171"/>
        </w:tabs>
        <w:spacing w:line="240" w:lineRule="auto"/>
        <w:ind w:left="242"/>
      </w:pPr>
      <w:r>
        <w:t>E.N. 1141b3‒8</w:t>
      </w:r>
      <w:r>
        <w:tab/>
        <w:t>870</w:t>
      </w:r>
    </w:p>
    <w:p w:rsidR="00AD7907" w:rsidRDefault="00AD7907" w:rsidP="00AD7907">
      <w:pPr>
        <w:pStyle w:val="Rejstk2"/>
        <w:tabs>
          <w:tab w:val="right" w:leader="dot" w:pos="4171"/>
        </w:tabs>
        <w:spacing w:line="240" w:lineRule="auto"/>
        <w:ind w:left="242"/>
      </w:pPr>
      <w:r>
        <w:t>E.N. 1147a25–b5</w:t>
      </w:r>
      <w:r>
        <w:tab/>
        <w:t>870</w:t>
      </w:r>
    </w:p>
    <w:p w:rsidR="00AD7907" w:rsidRDefault="00AD7907" w:rsidP="00AD7907">
      <w:pPr>
        <w:pStyle w:val="Rejstk2"/>
        <w:tabs>
          <w:tab w:val="right" w:leader="dot" w:pos="4171"/>
        </w:tabs>
        <w:spacing w:line="240" w:lineRule="auto"/>
        <w:ind w:left="242"/>
      </w:pPr>
      <w:r>
        <w:t>E.N. 1147a3–4</w:t>
      </w:r>
      <w:r>
        <w:tab/>
        <w:t>870</w:t>
      </w:r>
    </w:p>
    <w:p w:rsidR="00AD7907" w:rsidRDefault="00AD7907" w:rsidP="00AD7907">
      <w:pPr>
        <w:pStyle w:val="Rejstk2"/>
        <w:tabs>
          <w:tab w:val="right" w:leader="dot" w:pos="4171"/>
        </w:tabs>
        <w:spacing w:line="240" w:lineRule="auto"/>
        <w:ind w:left="242"/>
      </w:pPr>
      <w:r>
        <w:t>E.N. 1147b10</w:t>
      </w:r>
      <w:r>
        <w:tab/>
        <w:t>545</w:t>
      </w:r>
    </w:p>
    <w:p w:rsidR="00AD7907" w:rsidRDefault="00AD7907" w:rsidP="00AD7907">
      <w:pPr>
        <w:pStyle w:val="Rejstk2"/>
        <w:tabs>
          <w:tab w:val="right" w:leader="dot" w:pos="4171"/>
        </w:tabs>
        <w:spacing w:line="240" w:lineRule="auto"/>
        <w:ind w:left="242"/>
      </w:pPr>
      <w:r>
        <w:t>E.N. 1147b3</w:t>
      </w:r>
      <w:r>
        <w:tab/>
        <w:t>870</w:t>
      </w:r>
    </w:p>
    <w:p w:rsidR="00AD7907" w:rsidRDefault="00AD7907" w:rsidP="00AD7907">
      <w:pPr>
        <w:pStyle w:val="Rejstk2"/>
        <w:tabs>
          <w:tab w:val="right" w:leader="dot" w:pos="4171"/>
        </w:tabs>
        <w:spacing w:line="240" w:lineRule="auto"/>
        <w:ind w:left="242"/>
      </w:pPr>
      <w:r>
        <w:t>E.N. 1151a29‒35</w:t>
      </w:r>
      <w:r>
        <w:tab/>
        <w:t>526</w:t>
      </w:r>
    </w:p>
    <w:p w:rsidR="00AD7907" w:rsidRDefault="00AD7907" w:rsidP="00AD7907">
      <w:pPr>
        <w:pStyle w:val="Rejstk2"/>
        <w:tabs>
          <w:tab w:val="right" w:leader="dot" w:pos="4171"/>
        </w:tabs>
        <w:spacing w:line="240" w:lineRule="auto"/>
        <w:ind w:left="242"/>
      </w:pPr>
      <w:r>
        <w:t>E.N. 1179b12</w:t>
      </w:r>
      <w:r>
        <w:tab/>
        <w:t>880</w:t>
      </w:r>
    </w:p>
    <w:p w:rsidR="00AD7907" w:rsidRDefault="00AD7907" w:rsidP="00AD7907">
      <w:pPr>
        <w:pStyle w:val="Rejstk2"/>
        <w:tabs>
          <w:tab w:val="right" w:leader="dot" w:pos="4171"/>
        </w:tabs>
        <w:spacing w:line="240" w:lineRule="auto"/>
        <w:ind w:left="242"/>
      </w:pPr>
      <w:r w:rsidRPr="004B4DFF">
        <w:rPr>
          <w:i/>
        </w:rPr>
        <w:t>Met</w:t>
      </w:r>
      <w:r>
        <w:t>. 1003b17‒19</w:t>
      </w:r>
      <w:r>
        <w:tab/>
        <w:t>652</w:t>
      </w:r>
    </w:p>
    <w:p w:rsidR="00AD7907" w:rsidRDefault="00AD7907" w:rsidP="00AD7907">
      <w:pPr>
        <w:pStyle w:val="Rejstk2"/>
        <w:tabs>
          <w:tab w:val="right" w:leader="dot" w:pos="4171"/>
        </w:tabs>
        <w:spacing w:line="240" w:lineRule="auto"/>
        <w:ind w:left="242"/>
      </w:pPr>
      <w:r w:rsidRPr="004B4DFF">
        <w:rPr>
          <w:i/>
        </w:rPr>
        <w:t>Met</w:t>
      </w:r>
      <w:r>
        <w:t>. 1003b18‒19</w:t>
      </w:r>
      <w:r>
        <w:tab/>
        <w:t>652</w:t>
      </w:r>
    </w:p>
    <w:p w:rsidR="00AD7907" w:rsidRDefault="00AD7907" w:rsidP="00AD7907">
      <w:pPr>
        <w:pStyle w:val="Rejstk2"/>
        <w:tabs>
          <w:tab w:val="right" w:leader="dot" w:pos="4171"/>
        </w:tabs>
        <w:spacing w:line="240" w:lineRule="auto"/>
        <w:ind w:left="242"/>
      </w:pPr>
      <w:r w:rsidRPr="004B4DFF">
        <w:rPr>
          <w:i/>
        </w:rPr>
        <w:t>Met</w:t>
      </w:r>
      <w:r>
        <w:t>. 1003b5‒6</w:t>
      </w:r>
      <w:r>
        <w:tab/>
        <w:t>707</w:t>
      </w:r>
    </w:p>
    <w:p w:rsidR="00AD7907" w:rsidRDefault="00AD7907" w:rsidP="00AD7907">
      <w:pPr>
        <w:pStyle w:val="Rejstk2"/>
        <w:tabs>
          <w:tab w:val="right" w:leader="dot" w:pos="4171"/>
        </w:tabs>
        <w:spacing w:line="240" w:lineRule="auto"/>
        <w:ind w:left="242"/>
      </w:pPr>
      <w:r w:rsidRPr="004B4DFF">
        <w:rPr>
          <w:i/>
        </w:rPr>
        <w:t>Met</w:t>
      </w:r>
      <w:r>
        <w:t>. 1015a9</w:t>
      </w:r>
      <w:r>
        <w:tab/>
        <w:t>70</w:t>
      </w:r>
    </w:p>
    <w:p w:rsidR="00AD7907" w:rsidRDefault="00AD7907" w:rsidP="00AD7907">
      <w:pPr>
        <w:pStyle w:val="Rejstk2"/>
        <w:tabs>
          <w:tab w:val="right" w:leader="dot" w:pos="4171"/>
        </w:tabs>
        <w:spacing w:line="240" w:lineRule="auto"/>
        <w:ind w:left="242"/>
      </w:pPr>
      <w:r w:rsidRPr="004B4DFF">
        <w:rPr>
          <w:i/>
        </w:rPr>
        <w:t>Met</w:t>
      </w:r>
      <w:r>
        <w:t>. 1026b24</w:t>
      </w:r>
      <w:r>
        <w:tab/>
        <w:t>654</w:t>
      </w:r>
    </w:p>
    <w:p w:rsidR="00AD7907" w:rsidRDefault="00AD7907" w:rsidP="00AD7907">
      <w:pPr>
        <w:pStyle w:val="Rejstk2"/>
        <w:tabs>
          <w:tab w:val="right" w:leader="dot" w:pos="4171"/>
        </w:tabs>
        <w:spacing w:line="240" w:lineRule="auto"/>
        <w:ind w:left="242"/>
      </w:pPr>
      <w:r w:rsidRPr="004B4DFF">
        <w:rPr>
          <w:i/>
        </w:rPr>
        <w:t>Met</w:t>
      </w:r>
      <w:r>
        <w:t>. 1028a32‒33</w:t>
      </w:r>
      <w:r>
        <w:tab/>
        <w:t>656, 658</w:t>
      </w:r>
    </w:p>
    <w:p w:rsidR="00AD7907" w:rsidRDefault="00AD7907" w:rsidP="00AD7907">
      <w:pPr>
        <w:pStyle w:val="Rejstk2"/>
        <w:tabs>
          <w:tab w:val="right" w:leader="dot" w:pos="4171"/>
        </w:tabs>
        <w:spacing w:line="240" w:lineRule="auto"/>
        <w:ind w:left="242"/>
      </w:pPr>
      <w:r w:rsidRPr="004B4DFF">
        <w:rPr>
          <w:i/>
        </w:rPr>
        <w:t>Met</w:t>
      </w:r>
      <w:r>
        <w:t>. 1028a34‒35</w:t>
      </w:r>
      <w:r>
        <w:tab/>
        <w:t>657</w:t>
      </w:r>
    </w:p>
    <w:p w:rsidR="00AD7907" w:rsidRDefault="00AD7907" w:rsidP="00AD7907">
      <w:pPr>
        <w:pStyle w:val="Rejstk2"/>
        <w:tabs>
          <w:tab w:val="right" w:leader="dot" w:pos="4171"/>
        </w:tabs>
        <w:spacing w:line="240" w:lineRule="auto"/>
        <w:ind w:left="242"/>
      </w:pPr>
      <w:r w:rsidRPr="004B4DFF">
        <w:rPr>
          <w:i/>
        </w:rPr>
        <w:t>Met</w:t>
      </w:r>
      <w:r>
        <w:t>. 1049a24‒29</w:t>
      </w:r>
      <w:r>
        <w:tab/>
        <w:t>70</w:t>
      </w:r>
    </w:p>
    <w:p w:rsidR="00AD7907" w:rsidRDefault="00AD7907" w:rsidP="00AD7907">
      <w:pPr>
        <w:pStyle w:val="Rejstk2"/>
        <w:tabs>
          <w:tab w:val="right" w:leader="dot" w:pos="4171"/>
        </w:tabs>
        <w:spacing w:line="240" w:lineRule="auto"/>
        <w:ind w:left="242"/>
      </w:pPr>
      <w:r w:rsidRPr="004B4DFF">
        <w:rPr>
          <w:i/>
        </w:rPr>
        <w:t>Met</w:t>
      </w:r>
      <w:r>
        <w:t>. 1049a36</w:t>
      </w:r>
      <w:r>
        <w:tab/>
        <w:t>70</w:t>
      </w:r>
    </w:p>
    <w:p w:rsidR="00AD7907" w:rsidRDefault="00AD7907" w:rsidP="00AD7907">
      <w:pPr>
        <w:pStyle w:val="Rejstk2"/>
        <w:tabs>
          <w:tab w:val="right" w:leader="dot" w:pos="4171"/>
        </w:tabs>
        <w:spacing w:line="240" w:lineRule="auto"/>
        <w:ind w:left="242"/>
      </w:pPr>
      <w:r w:rsidRPr="004B4DFF">
        <w:rPr>
          <w:i/>
          <w:iCs/>
        </w:rPr>
        <w:t>Met</w:t>
      </w:r>
      <w:r>
        <w:t>. 1072b3</w:t>
      </w:r>
      <w:r>
        <w:tab/>
        <w:t>692</w:t>
      </w:r>
    </w:p>
    <w:p w:rsidR="00AD7907" w:rsidRDefault="00AD7907" w:rsidP="00AD7907">
      <w:pPr>
        <w:pStyle w:val="Rejstk2"/>
        <w:tabs>
          <w:tab w:val="right" w:leader="dot" w:pos="4171"/>
        </w:tabs>
        <w:spacing w:line="240" w:lineRule="auto"/>
        <w:ind w:left="242"/>
      </w:pPr>
      <w:r w:rsidRPr="004B4DFF">
        <w:rPr>
          <w:i/>
        </w:rPr>
        <w:t>Met</w:t>
      </w:r>
      <w:r>
        <w:t>. 1076b13‒16</w:t>
      </w:r>
      <w:r>
        <w:tab/>
        <w:t>100</w:t>
      </w:r>
    </w:p>
    <w:p w:rsidR="00AD7907" w:rsidRDefault="00AD7907" w:rsidP="00AD7907">
      <w:pPr>
        <w:pStyle w:val="Rejstk2"/>
        <w:tabs>
          <w:tab w:val="right" w:leader="dot" w:pos="4171"/>
        </w:tabs>
        <w:spacing w:line="240" w:lineRule="auto"/>
        <w:ind w:left="242"/>
      </w:pPr>
      <w:r w:rsidRPr="004B4DFF">
        <w:rPr>
          <w:i/>
        </w:rPr>
        <w:t>Met</w:t>
      </w:r>
      <w:r>
        <w:t>. 980a21</w:t>
      </w:r>
      <w:r>
        <w:tab/>
        <w:t>501</w:t>
      </w:r>
    </w:p>
    <w:p w:rsidR="00AD7907" w:rsidRDefault="00AD7907" w:rsidP="00AD7907">
      <w:pPr>
        <w:pStyle w:val="Rejstk2"/>
        <w:tabs>
          <w:tab w:val="right" w:leader="dot" w:pos="4171"/>
        </w:tabs>
        <w:spacing w:line="240" w:lineRule="auto"/>
        <w:ind w:left="242"/>
      </w:pPr>
      <w:r w:rsidRPr="004B4DFF">
        <w:rPr>
          <w:i/>
        </w:rPr>
        <w:t>Met</w:t>
      </w:r>
      <w:r>
        <w:t>. 982b26</w:t>
      </w:r>
      <w:r>
        <w:tab/>
        <w:t>896</w:t>
      </w:r>
    </w:p>
    <w:p w:rsidR="00AD7907" w:rsidRDefault="00AD7907" w:rsidP="00AD7907">
      <w:pPr>
        <w:pStyle w:val="Rejstk2"/>
        <w:tabs>
          <w:tab w:val="right" w:leader="dot" w:pos="4171"/>
        </w:tabs>
        <w:spacing w:line="240" w:lineRule="auto"/>
        <w:ind w:left="242"/>
      </w:pPr>
      <w:r w:rsidRPr="004B4DFF">
        <w:rPr>
          <w:i/>
        </w:rPr>
        <w:t>Pol</w:t>
      </w:r>
      <w:r>
        <w:t>. 1283a37‒b15</w:t>
      </w:r>
      <w:r>
        <w:tab/>
        <w:t>889</w:t>
      </w:r>
    </w:p>
    <w:p w:rsidR="00AD7907" w:rsidRDefault="00AD7907" w:rsidP="00AD7907">
      <w:pPr>
        <w:pStyle w:val="Rejstk2"/>
        <w:tabs>
          <w:tab w:val="right" w:leader="dot" w:pos="4171"/>
        </w:tabs>
        <w:spacing w:line="240" w:lineRule="auto"/>
        <w:ind w:left="242"/>
      </w:pPr>
      <w:r w:rsidRPr="004B4DFF">
        <w:rPr>
          <w:i/>
        </w:rPr>
        <w:t>Pol</w:t>
      </w:r>
      <w:r>
        <w:t>. 1283b13</w:t>
      </w:r>
      <w:r>
        <w:tab/>
        <w:t>895</w:t>
      </w:r>
    </w:p>
    <w:p w:rsidR="00AD7907" w:rsidRDefault="00AD7907" w:rsidP="00AD7907">
      <w:pPr>
        <w:pStyle w:val="Rejstk2"/>
        <w:tabs>
          <w:tab w:val="right" w:leader="dot" w:pos="4171"/>
        </w:tabs>
        <w:spacing w:line="240" w:lineRule="auto"/>
        <w:ind w:left="242"/>
      </w:pPr>
      <w:r>
        <w:t>Pol. 1283b13‒14</w:t>
      </w:r>
      <w:r>
        <w:tab/>
        <w:t>890</w:t>
      </w:r>
    </w:p>
    <w:p w:rsidR="00AD7907" w:rsidRDefault="00AD7907" w:rsidP="00AD7907">
      <w:pPr>
        <w:pStyle w:val="Rejstk2"/>
        <w:tabs>
          <w:tab w:val="right" w:leader="dot" w:pos="4171"/>
        </w:tabs>
        <w:spacing w:line="240" w:lineRule="auto"/>
        <w:ind w:left="242"/>
      </w:pPr>
      <w:r w:rsidRPr="004B4DFF">
        <w:rPr>
          <w:i/>
        </w:rPr>
        <w:t>Pol</w:t>
      </w:r>
      <w:r>
        <w:t>. 1284a10‒11</w:t>
      </w:r>
      <w:r>
        <w:tab/>
        <w:t>889</w:t>
      </w:r>
    </w:p>
    <w:p w:rsidR="00AD7907" w:rsidRDefault="00AD7907" w:rsidP="00AD7907">
      <w:pPr>
        <w:pStyle w:val="Rejstk2"/>
        <w:tabs>
          <w:tab w:val="right" w:leader="dot" w:pos="4171"/>
        </w:tabs>
        <w:spacing w:line="240" w:lineRule="auto"/>
        <w:ind w:left="242"/>
      </w:pPr>
      <w:r>
        <w:t>Pol. 1284a15</w:t>
      </w:r>
      <w:r>
        <w:tab/>
        <w:t>888</w:t>
      </w:r>
    </w:p>
    <w:p w:rsidR="00CA62BF" w:rsidRDefault="00CA62BF" w:rsidP="00CA62BF">
      <w:pPr>
        <w:pStyle w:val="Rejstk2"/>
        <w:tabs>
          <w:tab w:val="right" w:leader="dot" w:pos="4171"/>
        </w:tabs>
        <w:spacing w:line="240" w:lineRule="auto"/>
        <w:ind w:left="242"/>
        <w:rPr>
          <w:lang w:val="de-DE"/>
        </w:rPr>
      </w:pPr>
      <w:r>
        <w:rPr>
          <w:i/>
          <w:szCs w:val="24"/>
          <w:lang w:val="de-DE"/>
        </w:rPr>
        <w:t>Pol</w:t>
      </w:r>
      <w:r>
        <w:rPr>
          <w:szCs w:val="24"/>
          <w:lang w:val="de-DE"/>
        </w:rPr>
        <w:t>. 1253a2</w:t>
      </w:r>
      <w:r>
        <w:rPr>
          <w:szCs w:val="24"/>
          <w:lang w:val="de-DE"/>
        </w:rPr>
        <w:tab/>
        <w:t>1024</w:t>
      </w:r>
    </w:p>
    <w:p w:rsidR="00AD7907" w:rsidRDefault="00AD7907" w:rsidP="00AD7907">
      <w:pPr>
        <w:pStyle w:val="Rejstk1"/>
        <w:tabs>
          <w:tab w:val="right" w:leader="dot" w:pos="4171"/>
        </w:tabs>
        <w:rPr>
          <w:b/>
          <w:lang w:val="de-LU"/>
        </w:rPr>
      </w:pPr>
    </w:p>
    <w:p w:rsidR="00AD7907" w:rsidRPr="00FA2000" w:rsidRDefault="005C2DBB" w:rsidP="00AD7907">
      <w:pPr>
        <w:pStyle w:val="Rejstk1"/>
        <w:tabs>
          <w:tab w:val="right" w:leader="dot" w:pos="4171"/>
        </w:tabs>
        <w:spacing w:line="240" w:lineRule="auto"/>
        <w:rPr>
          <w:b/>
          <w:lang w:val="de-LU"/>
        </w:rPr>
      </w:pPr>
      <w:r>
        <w:rPr>
          <w:b/>
          <w:lang w:val="de-LU"/>
        </w:rPr>
        <w:t>Averroe</w:t>
      </w:r>
      <w:r w:rsidR="00AD7907" w:rsidRPr="00FA2000">
        <w:rPr>
          <w:b/>
          <w:lang w:val="de-LU"/>
        </w:rPr>
        <w:t>s</w:t>
      </w:r>
    </w:p>
    <w:p w:rsidR="00AD7907" w:rsidRDefault="00AD7907" w:rsidP="00AD7907">
      <w:pPr>
        <w:pStyle w:val="Rejstk2"/>
        <w:tabs>
          <w:tab w:val="right" w:leader="dot" w:pos="4171"/>
        </w:tabs>
        <w:spacing w:line="240" w:lineRule="auto"/>
        <w:ind w:left="242"/>
      </w:pPr>
      <w:r w:rsidRPr="004B4DFF">
        <w:rPr>
          <w:rFonts w:eastAsia="FrankRuehl"/>
          <w:i/>
        </w:rPr>
        <w:t>Aristotelis Stagiritae de physico auditu libri octo I</w:t>
      </w:r>
      <w:r w:rsidRPr="004B4DFF">
        <w:rPr>
          <w:rFonts w:eastAsia="FrankRuehl"/>
        </w:rPr>
        <w:t>.</w:t>
      </w:r>
      <w:r>
        <w:t>47 G‒H</w:t>
      </w:r>
      <w:r>
        <w:tab/>
        <w:t>371</w:t>
      </w:r>
    </w:p>
    <w:p w:rsidR="00AD7907" w:rsidRDefault="00AD7907" w:rsidP="00AD7907">
      <w:pPr>
        <w:pStyle w:val="Rejstk2"/>
        <w:tabs>
          <w:tab w:val="right" w:leader="dot" w:pos="4171"/>
        </w:tabs>
        <w:spacing w:line="240" w:lineRule="auto"/>
        <w:ind w:left="242"/>
      </w:pPr>
      <w:r>
        <w:t>CMDA 380.37‒41</w:t>
      </w:r>
      <w:r>
        <w:tab/>
        <w:t>265, 461</w:t>
      </w:r>
    </w:p>
    <w:p w:rsidR="00AD7907" w:rsidRDefault="00AD7907" w:rsidP="00AD7907">
      <w:pPr>
        <w:pStyle w:val="Rejstk2"/>
        <w:tabs>
          <w:tab w:val="right" w:leader="dot" w:pos="4171"/>
        </w:tabs>
        <w:spacing w:line="240" w:lineRule="auto"/>
        <w:ind w:left="242"/>
      </w:pPr>
      <w:r>
        <w:t>CMDA 392.158‒63</w:t>
      </w:r>
      <w:r>
        <w:tab/>
        <w:t>771</w:t>
      </w:r>
    </w:p>
    <w:p w:rsidR="00AD7907" w:rsidRDefault="00AD7907" w:rsidP="00AD7907">
      <w:pPr>
        <w:pStyle w:val="Rejstk2"/>
        <w:tabs>
          <w:tab w:val="right" w:leader="dot" w:pos="4171"/>
        </w:tabs>
        <w:spacing w:line="240" w:lineRule="auto"/>
        <w:ind w:left="242"/>
      </w:pPr>
      <w:r>
        <w:t>CMDA 408.610‒15</w:t>
      </w:r>
      <w:r>
        <w:tab/>
        <w:t>304</w:t>
      </w:r>
    </w:p>
    <w:p w:rsidR="00AD7907" w:rsidRDefault="00AD7907" w:rsidP="00AD7907">
      <w:pPr>
        <w:pStyle w:val="Rejstk2"/>
        <w:tabs>
          <w:tab w:val="right" w:leader="dot" w:pos="4171"/>
        </w:tabs>
        <w:spacing w:line="240" w:lineRule="auto"/>
        <w:ind w:left="242"/>
      </w:pPr>
      <w:r>
        <w:t>CMDA 409.654–62</w:t>
      </w:r>
      <w:r>
        <w:tab/>
        <w:t>69, 166, 290</w:t>
      </w:r>
    </w:p>
    <w:p w:rsidR="00AD7907" w:rsidRDefault="00AD7907" w:rsidP="00AD7907">
      <w:pPr>
        <w:pStyle w:val="Rejstk2"/>
        <w:tabs>
          <w:tab w:val="right" w:leader="dot" w:pos="4171"/>
        </w:tabs>
        <w:spacing w:line="240" w:lineRule="auto"/>
        <w:ind w:left="242"/>
      </w:pPr>
      <w:r>
        <w:t>CMDA 409.654–662</w:t>
      </w:r>
      <w:r>
        <w:tab/>
        <w:t>784</w:t>
      </w:r>
    </w:p>
    <w:p w:rsidR="00AD7907" w:rsidRDefault="00AD7907" w:rsidP="00AD7907">
      <w:pPr>
        <w:pStyle w:val="Rejstk2"/>
        <w:tabs>
          <w:tab w:val="right" w:leader="dot" w:pos="4171"/>
        </w:tabs>
        <w:spacing w:line="240" w:lineRule="auto"/>
        <w:ind w:left="242"/>
      </w:pPr>
      <w:r>
        <w:t>CMDA 410.667‒72</w:t>
      </w:r>
      <w:r>
        <w:tab/>
        <w:t>373</w:t>
      </w:r>
    </w:p>
    <w:p w:rsidR="00AD7907" w:rsidRDefault="00AD7907" w:rsidP="00AD7907">
      <w:pPr>
        <w:pStyle w:val="Rejstk2"/>
        <w:tabs>
          <w:tab w:val="right" w:leader="dot" w:pos="4171"/>
        </w:tabs>
        <w:spacing w:line="240" w:lineRule="auto"/>
        <w:ind w:left="242"/>
      </w:pPr>
      <w:r>
        <w:t>CMDA 423.14‒424.17</w:t>
      </w:r>
      <w:r>
        <w:tab/>
        <w:t>804</w:t>
      </w:r>
    </w:p>
    <w:p w:rsidR="00AD7907" w:rsidRDefault="00AD7907" w:rsidP="00AD7907">
      <w:pPr>
        <w:pStyle w:val="Rejstk2"/>
        <w:tabs>
          <w:tab w:val="right" w:leader="dot" w:pos="4171"/>
        </w:tabs>
        <w:spacing w:line="240" w:lineRule="auto"/>
        <w:ind w:left="242"/>
      </w:pPr>
      <w:r>
        <w:t>CMDA 437.18–438.24</w:t>
      </w:r>
      <w:r>
        <w:tab/>
        <w:t>784</w:t>
      </w:r>
    </w:p>
    <w:p w:rsidR="00AD7907" w:rsidRDefault="00AD7907" w:rsidP="00AD7907">
      <w:pPr>
        <w:pStyle w:val="Rejstk2"/>
        <w:tabs>
          <w:tab w:val="right" w:leader="dot" w:pos="4171"/>
        </w:tabs>
        <w:spacing w:line="240" w:lineRule="auto"/>
        <w:ind w:left="242"/>
      </w:pPr>
      <w:r>
        <w:t>CMDA 448.142‒44</w:t>
      </w:r>
      <w:r>
        <w:tab/>
        <w:t>303</w:t>
      </w:r>
    </w:p>
    <w:p w:rsidR="00AD7907" w:rsidRDefault="00AD7907" w:rsidP="00AD7907">
      <w:pPr>
        <w:pStyle w:val="Rejstk2"/>
        <w:tabs>
          <w:tab w:val="right" w:leader="dot" w:pos="4171"/>
        </w:tabs>
        <w:spacing w:line="240" w:lineRule="auto"/>
        <w:ind w:left="242"/>
      </w:pPr>
      <w:r>
        <w:t>CMDA 470.42–48</w:t>
      </w:r>
      <w:r>
        <w:tab/>
        <w:t>663</w:t>
      </w:r>
    </w:p>
    <w:p w:rsidR="00AD7907" w:rsidRDefault="00AD7907" w:rsidP="00AD7907">
      <w:pPr>
        <w:pStyle w:val="Rejstk2"/>
        <w:tabs>
          <w:tab w:val="right" w:leader="dot" w:pos="4171"/>
        </w:tabs>
        <w:spacing w:line="240" w:lineRule="auto"/>
        <w:ind w:left="242"/>
      </w:pPr>
      <w:r>
        <w:t>CMDA 515.9‒12</w:t>
      </w:r>
      <w:r>
        <w:tab/>
        <w:t>856</w:t>
      </w:r>
    </w:p>
    <w:p w:rsidR="00AD7907" w:rsidRDefault="00AD7907" w:rsidP="00AD7907">
      <w:pPr>
        <w:pStyle w:val="Rejstk2"/>
        <w:tabs>
          <w:tab w:val="right" w:leader="dot" w:pos="4171"/>
        </w:tabs>
        <w:spacing w:line="240" w:lineRule="auto"/>
        <w:ind w:left="242"/>
      </w:pPr>
      <w:r>
        <w:t>CMDA 517.10‒12</w:t>
      </w:r>
      <w:r>
        <w:tab/>
        <w:t>856</w:t>
      </w:r>
    </w:p>
    <w:p w:rsidR="00AD7907" w:rsidRDefault="00AD7907" w:rsidP="00AD7907">
      <w:pPr>
        <w:pStyle w:val="Rejstk2"/>
        <w:tabs>
          <w:tab w:val="right" w:leader="dot" w:pos="4171"/>
        </w:tabs>
        <w:spacing w:line="240" w:lineRule="auto"/>
        <w:ind w:left="242"/>
      </w:pPr>
      <w:r w:rsidRPr="004B4DFF">
        <w:rPr>
          <w:i/>
        </w:rPr>
        <w:t>De substantia orbis</w:t>
      </w:r>
      <w:r>
        <w:t xml:space="preserve"> 50.49‒51.54</w:t>
      </w:r>
      <w:r>
        <w:tab/>
        <w:t>42</w:t>
      </w:r>
    </w:p>
    <w:p w:rsidR="00AD7907" w:rsidRDefault="00AD7907" w:rsidP="00AD7907">
      <w:pPr>
        <w:pStyle w:val="Rejstk2"/>
        <w:tabs>
          <w:tab w:val="right" w:leader="dot" w:pos="4171"/>
        </w:tabs>
        <w:spacing w:line="240" w:lineRule="auto"/>
        <w:ind w:left="242"/>
      </w:pPr>
      <w:r w:rsidRPr="004B4DFF">
        <w:rPr>
          <w:i/>
        </w:rPr>
        <w:t>In Phys</w:t>
      </w:r>
      <w:r>
        <w:t>. III, q. 9</w:t>
      </w:r>
      <w:r>
        <w:tab/>
        <w:t>78</w:t>
      </w:r>
    </w:p>
    <w:p w:rsidR="00AD7907" w:rsidRPr="00710C67" w:rsidRDefault="00AD7907" w:rsidP="00AD7907">
      <w:pPr>
        <w:pStyle w:val="Rejstk2"/>
        <w:tabs>
          <w:tab w:val="right" w:leader="dot" w:pos="4171"/>
        </w:tabs>
        <w:ind w:left="242"/>
        <w:rPr>
          <w:rFonts w:eastAsia="FrankRuehl"/>
          <w:lang w:val="de-LU"/>
        </w:rPr>
      </w:pPr>
    </w:p>
    <w:p w:rsidR="00AD7907" w:rsidRPr="00FA2000" w:rsidRDefault="00AD7907" w:rsidP="00AD7907">
      <w:pPr>
        <w:pStyle w:val="Rejstk1"/>
        <w:tabs>
          <w:tab w:val="right" w:leader="dot" w:pos="4171"/>
        </w:tabs>
        <w:spacing w:line="240" w:lineRule="auto"/>
        <w:rPr>
          <w:b/>
          <w:i/>
          <w:lang w:val="de-LU"/>
        </w:rPr>
      </w:pPr>
      <w:r w:rsidRPr="00FA2000">
        <w:rPr>
          <w:b/>
          <w:lang w:val="de-LU"/>
        </w:rPr>
        <w:lastRenderedPageBreak/>
        <w:t>Augustinus</w:t>
      </w:r>
    </w:p>
    <w:p w:rsidR="00607666" w:rsidRDefault="00AD7907" w:rsidP="00607666">
      <w:pPr>
        <w:pStyle w:val="Rejstk2"/>
        <w:tabs>
          <w:tab w:val="right" w:leader="dot" w:pos="4171"/>
        </w:tabs>
        <w:spacing w:line="240" w:lineRule="auto"/>
        <w:ind w:left="0" w:firstLine="0"/>
      </w:pPr>
      <w:r w:rsidRPr="004B4DFF">
        <w:rPr>
          <w:i/>
        </w:rPr>
        <w:t>De Trinitate</w:t>
      </w:r>
      <w:r>
        <w:t xml:space="preserve"> PL 42, 953B</w:t>
      </w:r>
      <w:r>
        <w:tab/>
        <w:t>27</w:t>
      </w:r>
    </w:p>
    <w:p w:rsidR="00AD7907" w:rsidRPr="00607666" w:rsidRDefault="00607666" w:rsidP="00607666">
      <w:pPr>
        <w:pStyle w:val="Rejstk2"/>
        <w:tabs>
          <w:tab w:val="right" w:leader="dot" w:pos="4171"/>
        </w:tabs>
        <w:spacing w:line="240" w:lineRule="auto"/>
        <w:ind w:left="0" w:firstLine="0"/>
      </w:pPr>
      <w:r w:rsidRPr="00C556B5">
        <w:rPr>
          <w:i/>
        </w:rPr>
        <w:t>De Trinitate</w:t>
      </w:r>
      <w:r w:rsidRPr="005C2F31">
        <w:t xml:space="preserve"> 10.11.17</w:t>
      </w:r>
      <w:r>
        <w:tab/>
        <w:t>159</w:t>
      </w:r>
    </w:p>
    <w:p w:rsidR="00607666" w:rsidRDefault="00607666" w:rsidP="00AD7907">
      <w:pPr>
        <w:pStyle w:val="Rejstk1"/>
        <w:tabs>
          <w:tab w:val="right" w:leader="dot" w:pos="4171"/>
        </w:tabs>
        <w:spacing w:line="240" w:lineRule="auto"/>
        <w:rPr>
          <w:b/>
          <w:lang w:val="de-LU"/>
        </w:rPr>
      </w:pPr>
    </w:p>
    <w:p w:rsidR="00AD7907" w:rsidRPr="00FA2000" w:rsidRDefault="00AD7907" w:rsidP="00AD7907">
      <w:pPr>
        <w:pStyle w:val="Rejstk1"/>
        <w:tabs>
          <w:tab w:val="right" w:leader="dot" w:pos="4171"/>
        </w:tabs>
        <w:spacing w:line="240" w:lineRule="auto"/>
        <w:rPr>
          <w:b/>
          <w:lang w:val="de-LU"/>
        </w:rPr>
      </w:pPr>
      <w:r w:rsidRPr="00FA2000">
        <w:rPr>
          <w:b/>
          <w:lang w:val="de-LU"/>
        </w:rPr>
        <w:t>Avicebron</w:t>
      </w:r>
    </w:p>
    <w:p w:rsidR="00AD7907" w:rsidRDefault="00AD7907" w:rsidP="00AD7907">
      <w:pPr>
        <w:pStyle w:val="Rejstk2"/>
        <w:tabs>
          <w:tab w:val="right" w:leader="dot" w:pos="4171"/>
        </w:tabs>
        <w:spacing w:line="240" w:lineRule="auto"/>
        <w:ind w:left="242"/>
      </w:pPr>
      <w:r w:rsidRPr="004B4DFF">
        <w:rPr>
          <w:i/>
        </w:rPr>
        <w:t>Avencebrolis Fons Vitae</w:t>
      </w:r>
      <w:r>
        <w:t xml:space="preserve"> 10.20‒23</w:t>
      </w:r>
      <w:r>
        <w:tab/>
        <w:t>502</w:t>
      </w:r>
    </w:p>
    <w:p w:rsidR="00AD7907" w:rsidRDefault="00AD7907" w:rsidP="00AD7907">
      <w:pPr>
        <w:pStyle w:val="Rejstk2"/>
        <w:tabs>
          <w:tab w:val="right" w:leader="dot" w:pos="4171"/>
        </w:tabs>
        <w:spacing w:line="240" w:lineRule="auto"/>
        <w:ind w:left="242"/>
      </w:pPr>
      <w:r w:rsidRPr="004B4DFF">
        <w:rPr>
          <w:i/>
        </w:rPr>
        <w:t>Avencebrolis Fons Vitae</w:t>
      </w:r>
      <w:r w:rsidRPr="004B4DFF">
        <w:t xml:space="preserve"> 8.1‒5</w:t>
      </w:r>
      <w:r>
        <w:tab/>
        <w:t>103</w:t>
      </w:r>
    </w:p>
    <w:p w:rsidR="00AD7907" w:rsidRDefault="00AD7907" w:rsidP="00AD7907">
      <w:pPr>
        <w:pStyle w:val="Rejstk1"/>
        <w:tabs>
          <w:tab w:val="right" w:leader="dot" w:pos="4171"/>
        </w:tabs>
        <w:rPr>
          <w:b/>
          <w:lang w:val="de-LU"/>
        </w:rPr>
      </w:pPr>
    </w:p>
    <w:p w:rsidR="00AD7907" w:rsidRPr="00FA2000" w:rsidRDefault="00AD7907" w:rsidP="00AD7907">
      <w:pPr>
        <w:pStyle w:val="Rejstk1"/>
        <w:tabs>
          <w:tab w:val="right" w:leader="dot" w:pos="4171"/>
        </w:tabs>
        <w:spacing w:line="240" w:lineRule="auto"/>
        <w:rPr>
          <w:b/>
          <w:lang w:val="de-LU"/>
        </w:rPr>
      </w:pPr>
      <w:r w:rsidRPr="00FA2000">
        <w:rPr>
          <w:b/>
          <w:lang w:val="de-LU"/>
        </w:rPr>
        <w:t>Roger Bacon</w:t>
      </w:r>
    </w:p>
    <w:p w:rsidR="00AD7907" w:rsidRDefault="00AD7907" w:rsidP="00AD7907">
      <w:pPr>
        <w:pStyle w:val="Rejstk2"/>
        <w:tabs>
          <w:tab w:val="right" w:leader="dot" w:pos="4171"/>
        </w:tabs>
        <w:spacing w:line="240" w:lineRule="auto"/>
        <w:ind w:left="242"/>
      </w:pPr>
      <w:r w:rsidRPr="004B4DFF">
        <w:rPr>
          <w:i/>
        </w:rPr>
        <w:t>Compendium philosophiae</w:t>
      </w:r>
      <w:r>
        <w:t xml:space="preserve"> 426</w:t>
      </w:r>
      <w:r>
        <w:tab/>
        <w:t>327</w:t>
      </w:r>
    </w:p>
    <w:p w:rsidR="00AD7907" w:rsidRDefault="00AD7907" w:rsidP="00AD7907">
      <w:pPr>
        <w:pStyle w:val="Rejstk2"/>
        <w:tabs>
          <w:tab w:val="right" w:leader="dot" w:pos="4171"/>
        </w:tabs>
        <w:spacing w:line="240" w:lineRule="auto"/>
        <w:ind w:left="242"/>
      </w:pPr>
      <w:r w:rsidRPr="004B4DFF">
        <w:rPr>
          <w:i/>
        </w:rPr>
        <w:t>Compendium philosophiae</w:t>
      </w:r>
      <w:r>
        <w:t xml:space="preserve"> 469</w:t>
      </w:r>
      <w:r>
        <w:tab/>
        <w:t>327</w:t>
      </w:r>
    </w:p>
    <w:p w:rsidR="00AD7907" w:rsidRDefault="00AD7907" w:rsidP="00AD7907">
      <w:pPr>
        <w:pStyle w:val="Rejstk2"/>
        <w:tabs>
          <w:tab w:val="right" w:leader="dot" w:pos="4171"/>
        </w:tabs>
        <w:spacing w:line="240" w:lineRule="auto"/>
        <w:ind w:left="242"/>
      </w:pPr>
      <w:r w:rsidRPr="00C73938">
        <w:rPr>
          <w:i/>
        </w:rPr>
        <w:t>Quaestiones altere supra libros prime philosophie Aristotelis</w:t>
      </w:r>
      <w:r>
        <w:t xml:space="preserve"> 154.13‒17</w:t>
      </w:r>
      <w:r>
        <w:tab/>
        <w:t>56</w:t>
      </w:r>
    </w:p>
    <w:p w:rsidR="00AD7907" w:rsidRDefault="00AD7907" w:rsidP="00AD7907">
      <w:pPr>
        <w:pStyle w:val="Rejstk2"/>
        <w:tabs>
          <w:tab w:val="right" w:leader="dot" w:pos="4171"/>
        </w:tabs>
        <w:spacing w:line="240" w:lineRule="auto"/>
        <w:ind w:left="242"/>
      </w:pPr>
      <w:r w:rsidRPr="004B4DFF">
        <w:rPr>
          <w:i/>
        </w:rPr>
        <w:t xml:space="preserve">Quaestiones altere supra libros prime philosophie Aristotelis </w:t>
      </w:r>
      <w:r>
        <w:t>35.16‒22</w:t>
      </w:r>
      <w:r>
        <w:tab/>
        <w:t>879</w:t>
      </w:r>
    </w:p>
    <w:p w:rsidR="00AD7907" w:rsidRDefault="00AD7907" w:rsidP="00AD7907">
      <w:pPr>
        <w:pStyle w:val="Rejstk2"/>
        <w:tabs>
          <w:tab w:val="right" w:leader="dot" w:pos="4171"/>
        </w:tabs>
        <w:spacing w:line="240" w:lineRule="auto"/>
        <w:ind w:left="242"/>
      </w:pPr>
      <w:r w:rsidRPr="004B4DFF">
        <w:rPr>
          <w:i/>
        </w:rPr>
        <w:t>Quaestiones altere supra libros prime philosophie Aristotelis</w:t>
      </w:r>
      <w:r>
        <w:t xml:space="preserve"> 75.16‒21</w:t>
      </w:r>
      <w:r>
        <w:tab/>
        <w:t>55</w:t>
      </w:r>
    </w:p>
    <w:p w:rsidR="00AD7907" w:rsidRDefault="00AD7907" w:rsidP="00AD7907">
      <w:pPr>
        <w:pStyle w:val="Rejstk1"/>
        <w:tabs>
          <w:tab w:val="right" w:leader="dot" w:pos="4171"/>
        </w:tabs>
        <w:rPr>
          <w:b/>
          <w:lang w:val="de-LU"/>
        </w:rPr>
      </w:pPr>
    </w:p>
    <w:p w:rsidR="00AD7907" w:rsidRPr="00FA2000" w:rsidRDefault="00AD7907" w:rsidP="00AD7907">
      <w:pPr>
        <w:pStyle w:val="Rejstk1"/>
        <w:tabs>
          <w:tab w:val="right" w:leader="dot" w:pos="4171"/>
        </w:tabs>
        <w:spacing w:line="240" w:lineRule="auto"/>
        <w:rPr>
          <w:b/>
          <w:lang w:val="de-LU"/>
        </w:rPr>
      </w:pPr>
      <w:r w:rsidRPr="00FA2000">
        <w:rPr>
          <w:b/>
          <w:lang w:val="de-LU"/>
        </w:rPr>
        <w:t>Anicius Boethius</w:t>
      </w:r>
      <w:r>
        <w:rPr>
          <w:b/>
          <w:lang w:val="de-LU"/>
        </w:rPr>
        <w:t xml:space="preserve"> </w:t>
      </w:r>
    </w:p>
    <w:p w:rsidR="00AD7907" w:rsidRDefault="00AD7907" w:rsidP="00AD7907">
      <w:pPr>
        <w:pStyle w:val="Rejstk2"/>
        <w:tabs>
          <w:tab w:val="right" w:leader="dot" w:pos="4171"/>
        </w:tabs>
        <w:spacing w:line="240" w:lineRule="auto"/>
        <w:ind w:left="0" w:firstLine="0"/>
        <w:rPr>
          <w:lang w:val="de-LU"/>
        </w:rPr>
      </w:pPr>
      <w:r w:rsidRPr="00C018BD">
        <w:rPr>
          <w:i/>
          <w:lang w:val="de-LU"/>
        </w:rPr>
        <w:t>Liber de divisione</w:t>
      </w:r>
      <w:r>
        <w:rPr>
          <w:lang w:val="de-LU"/>
        </w:rPr>
        <w:t xml:space="preserve"> PL 64, 888B</w:t>
      </w:r>
      <w:r>
        <w:rPr>
          <w:lang w:val="de-LU"/>
        </w:rPr>
        <w:tab/>
        <w:t>146</w:t>
      </w:r>
    </w:p>
    <w:p w:rsidR="00AD7907" w:rsidRDefault="00AD7907" w:rsidP="00AD7907">
      <w:pPr>
        <w:pStyle w:val="Rejstk1"/>
        <w:tabs>
          <w:tab w:val="right" w:leader="dot" w:pos="4171"/>
        </w:tabs>
        <w:rPr>
          <w:b/>
          <w:lang w:val="de-LU"/>
        </w:rPr>
      </w:pPr>
    </w:p>
    <w:p w:rsidR="00AD7907" w:rsidRPr="008757E5" w:rsidRDefault="00AD7907" w:rsidP="00AD7907">
      <w:pPr>
        <w:pStyle w:val="Rejstk1"/>
        <w:tabs>
          <w:tab w:val="right" w:leader="dot" w:pos="4171"/>
        </w:tabs>
        <w:spacing w:line="240" w:lineRule="auto"/>
        <w:rPr>
          <w:b/>
          <w:lang w:val="de-LU"/>
        </w:rPr>
      </w:pPr>
      <w:r w:rsidRPr="008757E5">
        <w:rPr>
          <w:b/>
          <w:lang w:val="de-LU"/>
        </w:rPr>
        <w:t>Bonaventura</w:t>
      </w:r>
    </w:p>
    <w:p w:rsidR="00AD7907" w:rsidRDefault="00AD7907" w:rsidP="00AD7907">
      <w:pPr>
        <w:pStyle w:val="Rejstk2"/>
        <w:tabs>
          <w:tab w:val="right" w:leader="dot" w:pos="4171"/>
        </w:tabs>
        <w:spacing w:line="240" w:lineRule="auto"/>
        <w:ind w:left="242"/>
      </w:pPr>
      <w:r w:rsidRPr="004B4DFF">
        <w:rPr>
          <w:i/>
        </w:rPr>
        <w:t>Collationes de septem donis Spiritus Sancti</w:t>
      </w:r>
      <w:r>
        <w:t xml:space="preserve"> 497b</w:t>
      </w:r>
      <w:r>
        <w:tab/>
        <w:t>91</w:t>
      </w:r>
    </w:p>
    <w:p w:rsidR="00AD7907" w:rsidRDefault="00AD7907" w:rsidP="00AD7907">
      <w:pPr>
        <w:pStyle w:val="Rejstk2"/>
        <w:tabs>
          <w:tab w:val="right" w:leader="dot" w:pos="4171"/>
        </w:tabs>
        <w:spacing w:line="240" w:lineRule="auto"/>
        <w:ind w:left="242"/>
      </w:pPr>
      <w:r w:rsidRPr="004B4DFF">
        <w:rPr>
          <w:i/>
        </w:rPr>
        <w:t>Collationes in Hexaëmeron</w:t>
      </w:r>
      <w:r>
        <w:t xml:space="preserve"> 332b</w:t>
      </w:r>
      <w:r>
        <w:tab/>
        <w:t>52</w:t>
      </w:r>
    </w:p>
    <w:p w:rsidR="00AD7907" w:rsidRDefault="00AD7907" w:rsidP="00AD7907">
      <w:pPr>
        <w:pStyle w:val="Rejstk2"/>
        <w:tabs>
          <w:tab w:val="right" w:leader="dot" w:pos="4171"/>
        </w:tabs>
        <w:spacing w:line="240" w:lineRule="auto"/>
        <w:ind w:left="242"/>
      </w:pPr>
      <w:r w:rsidRPr="004B4DFF">
        <w:rPr>
          <w:i/>
        </w:rPr>
        <w:t>Collationes in Hexaëmeron</w:t>
      </w:r>
      <w:r>
        <w:t xml:space="preserve"> 385a</w:t>
      </w:r>
      <w:r>
        <w:tab/>
        <w:t>28</w:t>
      </w:r>
    </w:p>
    <w:p w:rsidR="00AD7907" w:rsidRDefault="00AD7907" w:rsidP="00AD7907">
      <w:pPr>
        <w:pStyle w:val="Rejstk2"/>
        <w:tabs>
          <w:tab w:val="right" w:leader="dot" w:pos="4171"/>
        </w:tabs>
        <w:spacing w:line="240" w:lineRule="auto"/>
        <w:ind w:left="242"/>
      </w:pPr>
      <w:r w:rsidRPr="004B4DFF">
        <w:rPr>
          <w:i/>
        </w:rPr>
        <w:t>De scientia Christi</w:t>
      </w:r>
      <w:r>
        <w:t xml:space="preserve"> 23b</w:t>
      </w:r>
      <w:r>
        <w:tab/>
        <w:t>112</w:t>
      </w:r>
    </w:p>
    <w:p w:rsidR="00AD7907" w:rsidRDefault="00AD7907" w:rsidP="00AD7907">
      <w:pPr>
        <w:pStyle w:val="Rejstk2"/>
        <w:tabs>
          <w:tab w:val="right" w:leader="dot" w:pos="4171"/>
        </w:tabs>
        <w:spacing w:line="240" w:lineRule="auto"/>
        <w:ind w:left="242"/>
      </w:pPr>
      <w:r w:rsidRPr="004B4DFF">
        <w:rPr>
          <w:i/>
        </w:rPr>
        <w:t>De scientia Christi</w:t>
      </w:r>
      <w:r>
        <w:t xml:space="preserve"> 40a</w:t>
      </w:r>
      <w:r>
        <w:tab/>
        <w:t>110</w:t>
      </w:r>
    </w:p>
    <w:p w:rsidR="00AD7907" w:rsidRDefault="00AD7907" w:rsidP="00AD7907">
      <w:pPr>
        <w:pStyle w:val="Rejstk2"/>
        <w:tabs>
          <w:tab w:val="right" w:leader="dot" w:pos="4171"/>
        </w:tabs>
        <w:spacing w:line="240" w:lineRule="auto"/>
        <w:ind w:left="242"/>
      </w:pPr>
      <w:r w:rsidRPr="004B4DFF">
        <w:rPr>
          <w:i/>
        </w:rPr>
        <w:t>Epist</w:t>
      </w:r>
      <w:r>
        <w:t>.</w:t>
      </w:r>
      <w:r w:rsidRPr="004B4DFF">
        <w:rPr>
          <w:i/>
        </w:rPr>
        <w:t>1</w:t>
      </w:r>
      <w:r>
        <w:t xml:space="preserve"> 469b</w:t>
      </w:r>
      <w:r>
        <w:tab/>
        <w:t>59</w:t>
      </w:r>
    </w:p>
    <w:p w:rsidR="00AD7907" w:rsidRDefault="00AD7907" w:rsidP="00AD7907">
      <w:pPr>
        <w:pStyle w:val="Rejstk2"/>
        <w:tabs>
          <w:tab w:val="right" w:leader="dot" w:pos="4171"/>
        </w:tabs>
        <w:spacing w:line="240" w:lineRule="auto"/>
        <w:ind w:left="242"/>
      </w:pPr>
      <w:r w:rsidRPr="004B4DFF">
        <w:rPr>
          <w:i/>
        </w:rPr>
        <w:t xml:space="preserve">In I Sent </w:t>
      </w:r>
      <w:r>
        <w:t>301b</w:t>
      </w:r>
      <w:r>
        <w:tab/>
        <w:t>29</w:t>
      </w:r>
    </w:p>
    <w:p w:rsidR="00AD7907" w:rsidRDefault="00AD7907" w:rsidP="00AD7907">
      <w:pPr>
        <w:pStyle w:val="Rejstk2"/>
        <w:tabs>
          <w:tab w:val="right" w:leader="dot" w:pos="4171"/>
        </w:tabs>
        <w:spacing w:line="240" w:lineRule="auto"/>
        <w:ind w:left="242"/>
      </w:pPr>
      <w:r w:rsidRPr="004B4DFF">
        <w:rPr>
          <w:i/>
        </w:rPr>
        <w:t xml:space="preserve">In I Sent </w:t>
      </w:r>
      <w:r>
        <w:t>476a</w:t>
      </w:r>
      <w:r>
        <w:tab/>
        <w:t>26</w:t>
      </w:r>
    </w:p>
    <w:p w:rsidR="00AD7907" w:rsidRDefault="00AD7907" w:rsidP="00AD7907">
      <w:pPr>
        <w:pStyle w:val="Rejstk2"/>
        <w:tabs>
          <w:tab w:val="right" w:leader="dot" w:pos="4171"/>
        </w:tabs>
        <w:spacing w:line="240" w:lineRule="auto"/>
        <w:ind w:left="242"/>
      </w:pPr>
      <w:r w:rsidRPr="004B4DFF">
        <w:rPr>
          <w:i/>
        </w:rPr>
        <w:t>In I Sent</w:t>
      </w:r>
      <w:r>
        <w:t>. 31b</w:t>
      </w:r>
      <w:r>
        <w:tab/>
        <w:t>121</w:t>
      </w:r>
    </w:p>
    <w:p w:rsidR="00AD7907" w:rsidRDefault="00AD7907" w:rsidP="00AD7907">
      <w:pPr>
        <w:pStyle w:val="Rejstk2"/>
        <w:tabs>
          <w:tab w:val="right" w:leader="dot" w:pos="4171"/>
        </w:tabs>
        <w:spacing w:line="240" w:lineRule="auto"/>
        <w:ind w:left="242"/>
      </w:pPr>
      <w:r w:rsidRPr="004B4DFF">
        <w:rPr>
          <w:i/>
        </w:rPr>
        <w:t>In I Sent</w:t>
      </w:r>
      <w:r>
        <w:t>. 504a‒b</w:t>
      </w:r>
      <w:r>
        <w:tab/>
        <w:t>24</w:t>
      </w:r>
    </w:p>
    <w:p w:rsidR="00AD7907" w:rsidRDefault="00AD7907" w:rsidP="00AD7907">
      <w:pPr>
        <w:pStyle w:val="Rejstk2"/>
        <w:tabs>
          <w:tab w:val="right" w:leader="dot" w:pos="4171"/>
        </w:tabs>
        <w:spacing w:line="240" w:lineRule="auto"/>
        <w:ind w:left="242"/>
      </w:pPr>
      <w:r w:rsidRPr="004B4DFF">
        <w:rPr>
          <w:i/>
        </w:rPr>
        <w:t>In I Sent.</w:t>
      </w:r>
      <w:r>
        <w:t xml:space="preserve"> 624a</w:t>
      </w:r>
      <w:r>
        <w:tab/>
        <w:t>116</w:t>
      </w:r>
    </w:p>
    <w:p w:rsidR="00AD7907" w:rsidRDefault="00AD7907" w:rsidP="00AD7907">
      <w:pPr>
        <w:pStyle w:val="Rejstk2"/>
        <w:tabs>
          <w:tab w:val="right" w:leader="dot" w:pos="4171"/>
        </w:tabs>
        <w:spacing w:line="240" w:lineRule="auto"/>
        <w:ind w:left="242"/>
      </w:pPr>
      <w:r w:rsidRPr="004B4DFF">
        <w:rPr>
          <w:i/>
        </w:rPr>
        <w:t>In I Sent</w:t>
      </w:r>
      <w:r>
        <w:t>. 624b</w:t>
      </w:r>
      <w:r>
        <w:tab/>
        <w:t>118</w:t>
      </w:r>
    </w:p>
    <w:p w:rsidR="00AD7907" w:rsidRDefault="00AD7907" w:rsidP="00AD7907">
      <w:pPr>
        <w:pStyle w:val="Rejstk2"/>
        <w:tabs>
          <w:tab w:val="right" w:leader="dot" w:pos="4171"/>
        </w:tabs>
        <w:spacing w:line="240" w:lineRule="auto"/>
        <w:ind w:left="242"/>
      </w:pPr>
      <w:r w:rsidRPr="004B4DFF">
        <w:rPr>
          <w:i/>
        </w:rPr>
        <w:t>In I Sent.</w:t>
      </w:r>
      <w:r>
        <w:t xml:space="preserve"> 631b</w:t>
      </w:r>
      <w:r>
        <w:tab/>
        <w:t>54</w:t>
      </w:r>
    </w:p>
    <w:p w:rsidR="00AD7907" w:rsidRDefault="00AD7907" w:rsidP="00AD7907">
      <w:pPr>
        <w:pStyle w:val="Rejstk2"/>
        <w:tabs>
          <w:tab w:val="right" w:leader="dot" w:pos="4171"/>
        </w:tabs>
        <w:spacing w:line="240" w:lineRule="auto"/>
        <w:ind w:left="242"/>
      </w:pPr>
      <w:r w:rsidRPr="004B4DFF">
        <w:rPr>
          <w:i/>
        </w:rPr>
        <w:t>In I Sent.</w:t>
      </w:r>
      <w:r>
        <w:t xml:space="preserve"> 829b</w:t>
      </w:r>
      <w:r>
        <w:tab/>
        <w:t>38</w:t>
      </w:r>
    </w:p>
    <w:p w:rsidR="00AD7907" w:rsidRDefault="00AD7907" w:rsidP="00AD7907">
      <w:pPr>
        <w:pStyle w:val="Rejstk2"/>
        <w:tabs>
          <w:tab w:val="right" w:leader="dot" w:pos="4171"/>
        </w:tabs>
        <w:spacing w:line="240" w:lineRule="auto"/>
        <w:ind w:left="242"/>
      </w:pPr>
      <w:r w:rsidRPr="004B4DFF">
        <w:rPr>
          <w:i/>
        </w:rPr>
        <w:t xml:space="preserve">In II Sent </w:t>
      </w:r>
      <w:r>
        <w:t>102a</w:t>
      </w:r>
      <w:r>
        <w:tab/>
        <w:t>43</w:t>
      </w:r>
    </w:p>
    <w:p w:rsidR="00AD7907" w:rsidRDefault="00AD7907" w:rsidP="00AD7907">
      <w:pPr>
        <w:pStyle w:val="Rejstk2"/>
        <w:tabs>
          <w:tab w:val="right" w:leader="dot" w:pos="4171"/>
        </w:tabs>
        <w:spacing w:line="240" w:lineRule="auto"/>
        <w:ind w:left="242"/>
      </w:pPr>
      <w:r w:rsidRPr="004B4DFF">
        <w:rPr>
          <w:i/>
        </w:rPr>
        <w:t xml:space="preserve">In II Sent </w:t>
      </w:r>
      <w:r>
        <w:t>89a</w:t>
      </w:r>
      <w:r>
        <w:tab/>
        <w:t>43</w:t>
      </w:r>
    </w:p>
    <w:p w:rsidR="00AD7907" w:rsidRDefault="00AD7907" w:rsidP="00AD7907">
      <w:pPr>
        <w:pStyle w:val="Rejstk2"/>
        <w:tabs>
          <w:tab w:val="right" w:leader="dot" w:pos="4171"/>
        </w:tabs>
        <w:spacing w:line="240" w:lineRule="auto"/>
        <w:ind w:left="242"/>
      </w:pPr>
      <w:r w:rsidRPr="004B4DFF">
        <w:rPr>
          <w:i/>
        </w:rPr>
        <w:t>In II Sent.</w:t>
      </w:r>
      <w:r>
        <w:t xml:space="preserve"> 100b</w:t>
      </w:r>
      <w:r>
        <w:tab/>
        <w:t>42, 44</w:t>
      </w:r>
    </w:p>
    <w:p w:rsidR="00AD7907" w:rsidRDefault="00AD7907" w:rsidP="00AD7907">
      <w:pPr>
        <w:pStyle w:val="Rejstk2"/>
        <w:tabs>
          <w:tab w:val="right" w:leader="dot" w:pos="4171"/>
        </w:tabs>
        <w:spacing w:line="240" w:lineRule="auto"/>
        <w:ind w:left="242"/>
      </w:pPr>
      <w:r w:rsidRPr="004B4DFF">
        <w:rPr>
          <w:i/>
        </w:rPr>
        <w:t>In II Sent.</w:t>
      </w:r>
      <w:r>
        <w:t xml:space="preserve"> 198a</w:t>
      </w:r>
      <w:r>
        <w:tab/>
        <w:t>47</w:t>
      </w:r>
    </w:p>
    <w:p w:rsidR="00AD7907" w:rsidRDefault="00AD7907" w:rsidP="00AD7907">
      <w:pPr>
        <w:pStyle w:val="Rejstk2"/>
        <w:tabs>
          <w:tab w:val="right" w:leader="dot" w:pos="4171"/>
        </w:tabs>
        <w:spacing w:line="240" w:lineRule="auto"/>
        <w:ind w:left="242"/>
      </w:pPr>
      <w:r w:rsidRPr="004B4DFF">
        <w:rPr>
          <w:i/>
        </w:rPr>
        <w:t>In II Sent.</w:t>
      </w:r>
      <w:r>
        <w:t xml:space="preserve"> 222b</w:t>
      </w:r>
      <w:r>
        <w:tab/>
        <w:t>31</w:t>
      </w:r>
    </w:p>
    <w:p w:rsidR="00AD7907" w:rsidRDefault="00AD7907" w:rsidP="00AD7907">
      <w:pPr>
        <w:pStyle w:val="Rejstk2"/>
        <w:tabs>
          <w:tab w:val="right" w:leader="dot" w:pos="4171"/>
        </w:tabs>
        <w:spacing w:line="240" w:lineRule="auto"/>
        <w:ind w:left="242"/>
      </w:pPr>
      <w:r w:rsidRPr="004B4DFF">
        <w:rPr>
          <w:i/>
        </w:rPr>
        <w:t>In II Sent.</w:t>
      </w:r>
      <w:r>
        <w:t xml:space="preserve"> 291b</w:t>
      </w:r>
      <w:r>
        <w:tab/>
        <w:t>45</w:t>
      </w:r>
    </w:p>
    <w:p w:rsidR="00AD7907" w:rsidRDefault="00AD7907" w:rsidP="00AD7907">
      <w:pPr>
        <w:pStyle w:val="Rejstk2"/>
        <w:tabs>
          <w:tab w:val="right" w:leader="dot" w:pos="4171"/>
        </w:tabs>
        <w:spacing w:line="240" w:lineRule="auto"/>
        <w:ind w:left="242"/>
      </w:pPr>
      <w:r w:rsidRPr="004B4DFF">
        <w:rPr>
          <w:i/>
        </w:rPr>
        <w:t>In II Sent.</w:t>
      </w:r>
      <w:r>
        <w:t xml:space="preserve"> 294a</w:t>
      </w:r>
      <w:r>
        <w:tab/>
        <w:t>41</w:t>
      </w:r>
    </w:p>
    <w:p w:rsidR="00AD7907" w:rsidRDefault="00AD7907" w:rsidP="00AD7907">
      <w:pPr>
        <w:pStyle w:val="Rejstk2"/>
        <w:tabs>
          <w:tab w:val="right" w:leader="dot" w:pos="4171"/>
        </w:tabs>
        <w:spacing w:line="240" w:lineRule="auto"/>
        <w:ind w:left="242"/>
      </w:pPr>
      <w:r w:rsidRPr="004B4DFF">
        <w:rPr>
          <w:i/>
        </w:rPr>
        <w:t>In II Sent.</w:t>
      </w:r>
      <w:r>
        <w:t xml:space="preserve"> 294b</w:t>
      </w:r>
      <w:r>
        <w:tab/>
        <w:t>43</w:t>
      </w:r>
    </w:p>
    <w:p w:rsidR="00AD7907" w:rsidRDefault="00AD7907" w:rsidP="00AD7907">
      <w:pPr>
        <w:pStyle w:val="Rejstk2"/>
        <w:tabs>
          <w:tab w:val="right" w:leader="dot" w:pos="4171"/>
        </w:tabs>
        <w:spacing w:line="240" w:lineRule="auto"/>
        <w:ind w:left="242"/>
      </w:pPr>
      <w:r w:rsidRPr="004B4DFF">
        <w:rPr>
          <w:i/>
        </w:rPr>
        <w:t>In II Sent</w:t>
      </w:r>
      <w:r>
        <w:t>. 436a</w:t>
      </w:r>
      <w:r>
        <w:tab/>
        <w:t>102</w:t>
      </w:r>
    </w:p>
    <w:p w:rsidR="00AD7907" w:rsidRDefault="00AD7907" w:rsidP="00AD7907">
      <w:pPr>
        <w:pStyle w:val="Rejstk2"/>
        <w:tabs>
          <w:tab w:val="right" w:leader="dot" w:pos="4171"/>
        </w:tabs>
        <w:spacing w:line="240" w:lineRule="auto"/>
        <w:ind w:left="242"/>
      </w:pPr>
      <w:r w:rsidRPr="004B4DFF">
        <w:rPr>
          <w:i/>
        </w:rPr>
        <w:t>In II Sent</w:t>
      </w:r>
      <w:r>
        <w:t>. 436b</w:t>
      </w:r>
      <w:r>
        <w:tab/>
        <w:t>104</w:t>
      </w:r>
    </w:p>
    <w:p w:rsidR="00AD7907" w:rsidRDefault="00AD7907" w:rsidP="00AD7907">
      <w:pPr>
        <w:pStyle w:val="Rejstk2"/>
        <w:tabs>
          <w:tab w:val="right" w:leader="dot" w:pos="4171"/>
        </w:tabs>
        <w:spacing w:line="240" w:lineRule="auto"/>
        <w:ind w:left="242"/>
      </w:pPr>
      <w:r w:rsidRPr="004B4DFF">
        <w:rPr>
          <w:i/>
        </w:rPr>
        <w:t>In II Sent.</w:t>
      </w:r>
      <w:r>
        <w:t xml:space="preserve"> 439a</w:t>
      </w:r>
      <w:r>
        <w:tab/>
        <w:t>32, 33</w:t>
      </w:r>
    </w:p>
    <w:p w:rsidR="00AD7907" w:rsidRDefault="00AD7907" w:rsidP="00AD7907">
      <w:pPr>
        <w:pStyle w:val="Rejstk2"/>
        <w:tabs>
          <w:tab w:val="right" w:leader="dot" w:pos="4171"/>
        </w:tabs>
        <w:spacing w:line="240" w:lineRule="auto"/>
        <w:ind w:left="242"/>
      </w:pPr>
      <w:r w:rsidRPr="004B4DFF">
        <w:rPr>
          <w:i/>
        </w:rPr>
        <w:t>In II Sent.</w:t>
      </w:r>
      <w:r>
        <w:t xml:space="preserve"> 440b</w:t>
      </w:r>
      <w:r>
        <w:tab/>
        <w:t>51</w:t>
      </w:r>
    </w:p>
    <w:p w:rsidR="00AD7907" w:rsidRDefault="00AD7907" w:rsidP="00AD7907">
      <w:pPr>
        <w:pStyle w:val="Rejstk2"/>
        <w:tabs>
          <w:tab w:val="right" w:leader="dot" w:pos="4171"/>
        </w:tabs>
        <w:spacing w:line="240" w:lineRule="auto"/>
        <w:ind w:left="242"/>
      </w:pPr>
      <w:r w:rsidRPr="004B4DFF">
        <w:rPr>
          <w:i/>
        </w:rPr>
        <w:t>In II Sent.</w:t>
      </w:r>
      <w:r>
        <w:t xml:space="preserve"> 4a</w:t>
      </w:r>
      <w:r>
        <w:tab/>
        <w:t>30</w:t>
      </w:r>
    </w:p>
    <w:p w:rsidR="00AD7907" w:rsidRDefault="00AD7907" w:rsidP="00AD7907">
      <w:pPr>
        <w:pStyle w:val="Rejstk2"/>
        <w:tabs>
          <w:tab w:val="right" w:leader="dot" w:pos="4171"/>
        </w:tabs>
        <w:spacing w:line="240" w:lineRule="auto"/>
        <w:ind w:left="242"/>
      </w:pPr>
      <w:r w:rsidRPr="004B4DFF">
        <w:rPr>
          <w:i/>
        </w:rPr>
        <w:t>In II Sent</w:t>
      </w:r>
      <w:r>
        <w:t>. 703b</w:t>
      </w:r>
      <w:r>
        <w:tab/>
        <w:t>112</w:t>
      </w:r>
    </w:p>
    <w:p w:rsidR="00AD7907" w:rsidRDefault="00AD7907" w:rsidP="00AD7907">
      <w:pPr>
        <w:pStyle w:val="Rejstk2"/>
        <w:tabs>
          <w:tab w:val="right" w:leader="dot" w:pos="4171"/>
        </w:tabs>
        <w:spacing w:line="240" w:lineRule="auto"/>
        <w:ind w:left="242"/>
      </w:pPr>
      <w:r w:rsidRPr="004B4DFF">
        <w:rPr>
          <w:i/>
        </w:rPr>
        <w:t>In II Sent.</w:t>
      </w:r>
      <w:r>
        <w:t xml:space="preserve"> 876a</w:t>
      </w:r>
      <w:r>
        <w:tab/>
        <w:t>36</w:t>
      </w:r>
    </w:p>
    <w:p w:rsidR="00AD7907" w:rsidRDefault="00AD7907" w:rsidP="00AD7907">
      <w:pPr>
        <w:pStyle w:val="Rejstk2"/>
        <w:tabs>
          <w:tab w:val="right" w:leader="dot" w:pos="4171"/>
        </w:tabs>
        <w:spacing w:line="240" w:lineRule="auto"/>
        <w:ind w:left="242"/>
      </w:pPr>
      <w:r w:rsidRPr="004B4DFF">
        <w:rPr>
          <w:i/>
        </w:rPr>
        <w:t>In II Sent.</w:t>
      </w:r>
      <w:r>
        <w:t xml:space="preserve"> 94a‒b</w:t>
      </w:r>
      <w:r>
        <w:tab/>
        <w:t>40</w:t>
      </w:r>
    </w:p>
    <w:p w:rsidR="00AD7907" w:rsidRDefault="00AD7907" w:rsidP="00AD7907">
      <w:pPr>
        <w:pStyle w:val="Rejstk2"/>
        <w:tabs>
          <w:tab w:val="right" w:leader="dot" w:pos="4171"/>
        </w:tabs>
        <w:spacing w:line="240" w:lineRule="auto"/>
        <w:ind w:left="242"/>
      </w:pPr>
      <w:r w:rsidRPr="004B4DFF">
        <w:rPr>
          <w:i/>
          <w:iCs/>
        </w:rPr>
        <w:t>In II. Sent.</w:t>
      </w:r>
      <w:r>
        <w:t xml:space="preserve"> 414b−415a</w:t>
      </w:r>
      <w:r>
        <w:tab/>
        <w:t>67</w:t>
      </w:r>
    </w:p>
    <w:p w:rsidR="00AD7907" w:rsidRDefault="00AD7907" w:rsidP="00AD7907">
      <w:pPr>
        <w:pStyle w:val="Rejstk2"/>
        <w:tabs>
          <w:tab w:val="right" w:leader="dot" w:pos="4171"/>
        </w:tabs>
        <w:spacing w:line="240" w:lineRule="auto"/>
        <w:ind w:left="242"/>
      </w:pPr>
      <w:r w:rsidRPr="004B4DFF">
        <w:rPr>
          <w:i/>
          <w:iCs/>
        </w:rPr>
        <w:t>In II. Sent.</w:t>
      </w:r>
      <w:r>
        <w:t xml:space="preserve"> 415a</w:t>
      </w:r>
      <w:r>
        <w:tab/>
        <w:t>68, 69</w:t>
      </w:r>
    </w:p>
    <w:p w:rsidR="00AD7907" w:rsidRDefault="00AD7907" w:rsidP="00AD7907">
      <w:pPr>
        <w:pStyle w:val="Rejstk2"/>
        <w:tabs>
          <w:tab w:val="right" w:leader="dot" w:pos="4171"/>
        </w:tabs>
        <w:spacing w:line="240" w:lineRule="auto"/>
        <w:ind w:left="242"/>
      </w:pPr>
      <w:r w:rsidRPr="004B4DFF">
        <w:rPr>
          <w:i/>
          <w:iCs/>
        </w:rPr>
        <w:t>In II. Sent.</w:t>
      </w:r>
      <w:r>
        <w:t xml:space="preserve"> 415b</w:t>
      </w:r>
      <w:r>
        <w:tab/>
        <w:t>71</w:t>
      </w:r>
    </w:p>
    <w:p w:rsidR="00AD7907" w:rsidRDefault="00AD7907" w:rsidP="00AD7907">
      <w:pPr>
        <w:pStyle w:val="Rejstk2"/>
        <w:tabs>
          <w:tab w:val="right" w:leader="dot" w:pos="4171"/>
        </w:tabs>
        <w:spacing w:line="240" w:lineRule="auto"/>
        <w:ind w:left="242"/>
      </w:pPr>
      <w:r w:rsidRPr="004B4DFF">
        <w:rPr>
          <w:i/>
          <w:iCs/>
        </w:rPr>
        <w:t>In II. Sent.</w:t>
      </w:r>
      <w:r>
        <w:t xml:space="preserve"> 415b‒416a</w:t>
      </w:r>
      <w:r>
        <w:tab/>
        <w:t>46</w:t>
      </w:r>
    </w:p>
    <w:p w:rsidR="00AD7907" w:rsidRDefault="00AD7907" w:rsidP="00AD7907">
      <w:pPr>
        <w:pStyle w:val="Rejstk2"/>
        <w:tabs>
          <w:tab w:val="right" w:leader="dot" w:pos="4171"/>
        </w:tabs>
        <w:spacing w:line="240" w:lineRule="auto"/>
        <w:ind w:left="242"/>
      </w:pPr>
      <w:r w:rsidRPr="004B4DFF">
        <w:rPr>
          <w:i/>
          <w:iCs/>
        </w:rPr>
        <w:t>In II. Sent.</w:t>
      </w:r>
      <w:r>
        <w:t xml:space="preserve"> 416a</w:t>
      </w:r>
      <w:r>
        <w:tab/>
        <w:t>72</w:t>
      </w:r>
    </w:p>
    <w:p w:rsidR="00AD7907" w:rsidRDefault="00AD7907" w:rsidP="00AD7907">
      <w:pPr>
        <w:pStyle w:val="Rejstk2"/>
        <w:tabs>
          <w:tab w:val="right" w:leader="dot" w:pos="4171"/>
        </w:tabs>
        <w:spacing w:line="240" w:lineRule="auto"/>
        <w:ind w:left="242"/>
      </w:pPr>
      <w:r w:rsidRPr="004B4DFF">
        <w:rPr>
          <w:i/>
          <w:iCs/>
        </w:rPr>
        <w:t>In II. Sent.</w:t>
      </w:r>
      <w:r>
        <w:t xml:space="preserve"> 41b</w:t>
      </w:r>
      <w:r>
        <w:tab/>
        <w:t>75</w:t>
      </w:r>
    </w:p>
    <w:p w:rsidR="00AD7907" w:rsidRDefault="00AD7907" w:rsidP="00AD7907">
      <w:pPr>
        <w:pStyle w:val="Rejstk2"/>
        <w:tabs>
          <w:tab w:val="right" w:leader="dot" w:pos="4171"/>
        </w:tabs>
        <w:spacing w:line="240" w:lineRule="auto"/>
        <w:ind w:left="242"/>
      </w:pPr>
      <w:r w:rsidRPr="004B4DFF">
        <w:rPr>
          <w:i/>
          <w:iCs/>
        </w:rPr>
        <w:t>In II. Sent.</w:t>
      </w:r>
      <w:r>
        <w:t xml:space="preserve"> 446b−447a</w:t>
      </w:r>
      <w:r>
        <w:tab/>
        <w:t>65</w:t>
      </w:r>
    </w:p>
    <w:p w:rsidR="00AD7907" w:rsidRDefault="00AD7907" w:rsidP="00AD7907">
      <w:pPr>
        <w:pStyle w:val="Rejstk2"/>
        <w:tabs>
          <w:tab w:val="right" w:leader="dot" w:pos="4171"/>
        </w:tabs>
        <w:spacing w:line="240" w:lineRule="auto"/>
        <w:ind w:left="242"/>
      </w:pPr>
      <w:r w:rsidRPr="004B4DFF">
        <w:rPr>
          <w:i/>
          <w:iCs/>
        </w:rPr>
        <w:t>In II. Sent.</w:t>
      </w:r>
      <w:r>
        <w:t xml:space="preserve"> 567b</w:t>
      </w:r>
      <w:r>
        <w:tab/>
        <w:t>78</w:t>
      </w:r>
    </w:p>
    <w:p w:rsidR="00AD7907" w:rsidRDefault="00AD7907" w:rsidP="00AD7907">
      <w:pPr>
        <w:pStyle w:val="Rejstk2"/>
        <w:tabs>
          <w:tab w:val="right" w:leader="dot" w:pos="4171"/>
        </w:tabs>
        <w:spacing w:line="240" w:lineRule="auto"/>
        <w:ind w:left="242"/>
      </w:pPr>
      <w:r w:rsidRPr="004B4DFF">
        <w:rPr>
          <w:i/>
          <w:iCs/>
        </w:rPr>
        <w:t>In II. Sent.</w:t>
      </w:r>
      <w:r>
        <w:t xml:space="preserve"> 568a</w:t>
      </w:r>
      <w:r>
        <w:tab/>
        <w:t>81</w:t>
      </w:r>
    </w:p>
    <w:p w:rsidR="00AD7907" w:rsidRDefault="00AD7907" w:rsidP="00AD7907">
      <w:pPr>
        <w:pStyle w:val="Rejstk2"/>
        <w:tabs>
          <w:tab w:val="right" w:leader="dot" w:pos="4171"/>
        </w:tabs>
        <w:spacing w:line="240" w:lineRule="auto"/>
        <w:ind w:left="242"/>
      </w:pPr>
      <w:r w:rsidRPr="004B4DFF">
        <w:rPr>
          <w:i/>
          <w:iCs/>
        </w:rPr>
        <w:lastRenderedPageBreak/>
        <w:t>In II. Sent.</w:t>
      </w:r>
      <w:r>
        <w:t xml:space="preserve"> 569a</w:t>
      </w:r>
      <w:r>
        <w:tab/>
        <w:t>85</w:t>
      </w:r>
    </w:p>
    <w:p w:rsidR="00AD7907" w:rsidRDefault="00AD7907" w:rsidP="00AD7907">
      <w:pPr>
        <w:pStyle w:val="Rejstk2"/>
        <w:tabs>
          <w:tab w:val="right" w:leader="dot" w:pos="4171"/>
        </w:tabs>
        <w:spacing w:line="240" w:lineRule="auto"/>
        <w:ind w:left="242"/>
      </w:pPr>
      <w:r w:rsidRPr="004B4DFF">
        <w:rPr>
          <w:i/>
          <w:iCs/>
        </w:rPr>
        <w:t>In II. Sent.</w:t>
      </w:r>
      <w:r>
        <w:t xml:space="preserve"> 570a</w:t>
      </w:r>
      <w:r>
        <w:tab/>
        <w:t>88</w:t>
      </w:r>
    </w:p>
    <w:p w:rsidR="00AD7907" w:rsidRDefault="00AD7907" w:rsidP="00AD7907">
      <w:pPr>
        <w:pStyle w:val="Rejstk2"/>
        <w:tabs>
          <w:tab w:val="right" w:leader="dot" w:pos="4171"/>
        </w:tabs>
        <w:spacing w:line="240" w:lineRule="auto"/>
        <w:ind w:left="242"/>
      </w:pPr>
      <w:r w:rsidRPr="004B4DFF">
        <w:rPr>
          <w:i/>
          <w:iCs/>
        </w:rPr>
        <w:t>In II. Sent.</w:t>
      </w:r>
      <w:r>
        <w:t xml:space="preserve"> 904b</w:t>
      </w:r>
      <w:r>
        <w:tab/>
        <w:t>80</w:t>
      </w:r>
    </w:p>
    <w:p w:rsidR="00AD7907" w:rsidRDefault="00AD7907" w:rsidP="00AD7907">
      <w:pPr>
        <w:pStyle w:val="Rejstk2"/>
        <w:tabs>
          <w:tab w:val="right" w:leader="dot" w:pos="4171"/>
        </w:tabs>
        <w:spacing w:line="240" w:lineRule="auto"/>
        <w:ind w:left="242"/>
      </w:pPr>
      <w:r w:rsidRPr="004B4DFF">
        <w:rPr>
          <w:i/>
        </w:rPr>
        <w:t>Itinerarium mentis in Deum</w:t>
      </w:r>
      <w:r>
        <w:t xml:space="preserve"> 304b</w:t>
      </w:r>
      <w:r>
        <w:tab/>
        <w:t>122</w:t>
      </w:r>
    </w:p>
    <w:p w:rsidR="00AD7907" w:rsidRDefault="00AD7907" w:rsidP="00AD7907">
      <w:pPr>
        <w:pStyle w:val="Rejstk2"/>
        <w:tabs>
          <w:tab w:val="right" w:leader="dot" w:pos="4171"/>
        </w:tabs>
        <w:spacing w:line="240" w:lineRule="auto"/>
        <w:ind w:left="242"/>
      </w:pPr>
      <w:r w:rsidRPr="004B4DFF">
        <w:rPr>
          <w:i/>
        </w:rPr>
        <w:t xml:space="preserve">Itinerarium mentis in Deum </w:t>
      </w:r>
      <w:r>
        <w:t>308a</w:t>
      </w:r>
      <w:r>
        <w:tab/>
        <w:t>100</w:t>
      </w:r>
    </w:p>
    <w:p w:rsidR="00AD7907" w:rsidRDefault="00AD7907" w:rsidP="00AD7907">
      <w:pPr>
        <w:pStyle w:val="Rejstk2"/>
        <w:tabs>
          <w:tab w:val="right" w:leader="dot" w:pos="4171"/>
        </w:tabs>
        <w:spacing w:line="240" w:lineRule="auto"/>
        <w:ind w:left="242"/>
      </w:pPr>
      <w:r w:rsidRPr="004B4DFF">
        <w:rPr>
          <w:i/>
        </w:rPr>
        <w:t>Sermones selecti de rebus theologicis</w:t>
      </w:r>
      <w:r>
        <w:t xml:space="preserve"> 572a</w:t>
      </w:r>
      <w:r>
        <w:tab/>
        <w:t>25</w:t>
      </w:r>
    </w:p>
    <w:p w:rsidR="00AD7907" w:rsidRDefault="00AD7907" w:rsidP="00AD7907">
      <w:pPr>
        <w:pStyle w:val="Rejstk1"/>
        <w:tabs>
          <w:tab w:val="right" w:leader="dot" w:pos="4171"/>
        </w:tabs>
        <w:rPr>
          <w:b/>
          <w:lang w:val="de-LU"/>
        </w:rPr>
      </w:pPr>
    </w:p>
    <w:p w:rsidR="00AD7907" w:rsidRDefault="00AD7907" w:rsidP="00AD7907">
      <w:pPr>
        <w:pStyle w:val="Rejstk1"/>
        <w:tabs>
          <w:tab w:val="right" w:leader="dot" w:pos="4171"/>
        </w:tabs>
        <w:spacing w:line="240" w:lineRule="auto"/>
        <w:rPr>
          <w:lang w:val="de-LU"/>
        </w:rPr>
      </w:pPr>
      <w:r w:rsidRPr="00FA2000">
        <w:rPr>
          <w:b/>
          <w:i/>
          <w:lang w:val="de-LU"/>
        </w:rPr>
        <w:t>Commentarium Abrincense</w:t>
      </w:r>
      <w:r w:rsidRPr="00C018BD">
        <w:rPr>
          <w:i/>
          <w:lang w:val="de-LU"/>
        </w:rPr>
        <w:t xml:space="preserve"> </w:t>
      </w:r>
      <w:r>
        <w:rPr>
          <w:lang w:val="de-LU"/>
        </w:rPr>
        <w:t>122</w:t>
      </w:r>
      <w:r>
        <w:rPr>
          <w:lang w:val="de-LU"/>
        </w:rPr>
        <w:tab/>
        <w:t>589</w:t>
      </w:r>
    </w:p>
    <w:p w:rsidR="00AD7907" w:rsidRDefault="00AD7907" w:rsidP="00AD7907">
      <w:pPr>
        <w:pStyle w:val="Rejstk1"/>
        <w:tabs>
          <w:tab w:val="right" w:leader="dot" w:pos="4171"/>
        </w:tabs>
        <w:rPr>
          <w:b/>
          <w:lang w:val="de-LU"/>
        </w:rPr>
      </w:pPr>
    </w:p>
    <w:p w:rsidR="00AD7907" w:rsidRDefault="00AD7907" w:rsidP="00AD7907">
      <w:pPr>
        <w:pStyle w:val="Rejstk1"/>
        <w:tabs>
          <w:tab w:val="right" w:leader="dot" w:pos="4171"/>
        </w:tabs>
        <w:spacing w:line="240" w:lineRule="auto"/>
        <w:rPr>
          <w:lang w:val="de-LU"/>
        </w:rPr>
      </w:pPr>
      <w:r w:rsidRPr="00FA2000">
        <w:rPr>
          <w:b/>
          <w:i/>
          <w:lang w:val="de-LU"/>
        </w:rPr>
        <w:t>Commentarium in Ethicam Nouam et Veterem</w:t>
      </w:r>
      <w:r>
        <w:rPr>
          <w:lang w:val="de-LU"/>
        </w:rPr>
        <w:t xml:space="preserve"> 293</w:t>
      </w:r>
      <w:r>
        <w:rPr>
          <w:lang w:val="de-LU"/>
        </w:rPr>
        <w:tab/>
        <w:t>860</w:t>
      </w:r>
    </w:p>
    <w:p w:rsidR="00AD7907" w:rsidRDefault="00AD7907" w:rsidP="00AD7907">
      <w:pPr>
        <w:pStyle w:val="Rejstk1"/>
        <w:tabs>
          <w:tab w:val="right" w:leader="dot" w:pos="4171"/>
        </w:tabs>
        <w:spacing w:line="240" w:lineRule="auto"/>
        <w:rPr>
          <w:lang w:val="de-LU"/>
        </w:rPr>
      </w:pPr>
    </w:p>
    <w:p w:rsidR="00AD7907" w:rsidRPr="00FA2000" w:rsidRDefault="00AD7907" w:rsidP="00AD7907">
      <w:pPr>
        <w:pStyle w:val="Rejstk1"/>
        <w:tabs>
          <w:tab w:val="right" w:leader="dot" w:pos="4171"/>
        </w:tabs>
        <w:spacing w:line="240" w:lineRule="auto"/>
        <w:rPr>
          <w:b/>
          <w:lang w:val="de-LU"/>
        </w:rPr>
      </w:pPr>
      <w:r w:rsidRPr="00FA2000">
        <w:rPr>
          <w:b/>
          <w:lang w:val="de-LU"/>
        </w:rPr>
        <w:t>Dante</w:t>
      </w:r>
      <w:r>
        <w:rPr>
          <w:b/>
          <w:lang w:val="de-LU"/>
        </w:rPr>
        <w:t xml:space="preserve"> Alighieri </w:t>
      </w:r>
    </w:p>
    <w:p w:rsidR="00AD7907" w:rsidRDefault="00AD7907" w:rsidP="00AD7907">
      <w:pPr>
        <w:pStyle w:val="Rejstk2"/>
        <w:tabs>
          <w:tab w:val="right" w:leader="dot" w:pos="4171"/>
        </w:tabs>
        <w:spacing w:line="240" w:lineRule="auto"/>
        <w:ind w:left="242"/>
      </w:pPr>
      <w:r w:rsidRPr="004B4DFF">
        <w:rPr>
          <w:i/>
        </w:rPr>
        <w:t>Monarchia</w:t>
      </w:r>
      <w:r>
        <w:t xml:space="preserve"> 1.3.4</w:t>
      </w:r>
      <w:r>
        <w:tab/>
        <w:t>307</w:t>
      </w:r>
    </w:p>
    <w:p w:rsidR="00AD7907" w:rsidRDefault="00AD7907" w:rsidP="00AD7907">
      <w:pPr>
        <w:pStyle w:val="Rejstk2"/>
        <w:tabs>
          <w:tab w:val="right" w:leader="dot" w:pos="4171"/>
        </w:tabs>
        <w:spacing w:line="240" w:lineRule="auto"/>
        <w:ind w:left="242"/>
      </w:pPr>
      <w:r w:rsidRPr="004B4DFF">
        <w:rPr>
          <w:i/>
        </w:rPr>
        <w:t>Monarchia</w:t>
      </w:r>
      <w:r>
        <w:t xml:space="preserve"> 1.3.7</w:t>
      </w:r>
      <w:r>
        <w:tab/>
        <w:t>306, 307</w:t>
      </w:r>
    </w:p>
    <w:p w:rsidR="00AD7907" w:rsidRDefault="00AD7907" w:rsidP="00AD7907">
      <w:pPr>
        <w:pStyle w:val="Rejstk2"/>
        <w:tabs>
          <w:tab w:val="right" w:leader="dot" w:pos="4171"/>
        </w:tabs>
        <w:spacing w:line="240" w:lineRule="auto"/>
        <w:ind w:left="242"/>
      </w:pPr>
      <w:r w:rsidRPr="004B4DFF">
        <w:rPr>
          <w:i/>
        </w:rPr>
        <w:t>Monarchia</w:t>
      </w:r>
      <w:r>
        <w:t xml:space="preserve"> 1.3.9</w:t>
      </w:r>
      <w:r>
        <w:tab/>
        <w:t>307, 851</w:t>
      </w:r>
    </w:p>
    <w:p w:rsidR="00AD7907" w:rsidRDefault="00AD7907" w:rsidP="00AD7907">
      <w:pPr>
        <w:pStyle w:val="Rejstk2"/>
        <w:tabs>
          <w:tab w:val="right" w:leader="dot" w:pos="4171"/>
        </w:tabs>
        <w:spacing w:line="240" w:lineRule="auto"/>
        <w:ind w:left="242"/>
      </w:pPr>
      <w:r w:rsidRPr="004B4DFF">
        <w:rPr>
          <w:i/>
        </w:rPr>
        <w:t>Monarchia</w:t>
      </w:r>
      <w:r>
        <w:t xml:space="preserve"> 1.7.1</w:t>
      </w:r>
      <w:r>
        <w:tab/>
        <w:t>898</w:t>
      </w:r>
    </w:p>
    <w:p w:rsidR="00AD7907" w:rsidRDefault="00AD7907" w:rsidP="00AD7907">
      <w:pPr>
        <w:pStyle w:val="Rejstk2"/>
        <w:tabs>
          <w:tab w:val="right" w:leader="dot" w:pos="4171"/>
        </w:tabs>
        <w:spacing w:line="240" w:lineRule="auto"/>
        <w:ind w:left="242"/>
      </w:pPr>
      <w:r w:rsidRPr="004B4DFF">
        <w:rPr>
          <w:i/>
        </w:rPr>
        <w:t>Monarchia</w:t>
      </w:r>
      <w:r>
        <w:t xml:space="preserve"> 3.15.10</w:t>
      </w:r>
      <w:r>
        <w:tab/>
        <w:t>903</w:t>
      </w:r>
    </w:p>
    <w:p w:rsidR="00AD7907" w:rsidRDefault="00AD7907" w:rsidP="00AD7907">
      <w:pPr>
        <w:pStyle w:val="Rejstk2"/>
        <w:tabs>
          <w:tab w:val="right" w:leader="dot" w:pos="4171"/>
        </w:tabs>
        <w:spacing w:line="240" w:lineRule="auto"/>
        <w:ind w:left="242"/>
      </w:pPr>
      <w:r w:rsidRPr="004B4DFF">
        <w:rPr>
          <w:i/>
        </w:rPr>
        <w:t>Monarchia</w:t>
      </w:r>
      <w:r>
        <w:t xml:space="preserve"> 3.15.17</w:t>
      </w:r>
      <w:r>
        <w:tab/>
        <w:t>903</w:t>
      </w:r>
    </w:p>
    <w:p w:rsidR="00AD7907" w:rsidRDefault="00AD7907" w:rsidP="00AD7907">
      <w:pPr>
        <w:pStyle w:val="Rejstk2"/>
        <w:tabs>
          <w:tab w:val="right" w:leader="dot" w:pos="4171"/>
        </w:tabs>
        <w:spacing w:line="240" w:lineRule="auto"/>
        <w:ind w:left="242"/>
      </w:pPr>
      <w:r w:rsidRPr="004B4DFF">
        <w:rPr>
          <w:i/>
        </w:rPr>
        <w:t>Monarchia</w:t>
      </w:r>
      <w:r>
        <w:t xml:space="preserve"> 3.15.8</w:t>
      </w:r>
      <w:r>
        <w:tab/>
        <w:t>903</w:t>
      </w:r>
    </w:p>
    <w:p w:rsidR="00AD7907" w:rsidRDefault="00AD7907" w:rsidP="00AD7907">
      <w:pPr>
        <w:pStyle w:val="Rejstk2"/>
        <w:tabs>
          <w:tab w:val="right" w:leader="dot" w:pos="4171"/>
        </w:tabs>
        <w:spacing w:line="240" w:lineRule="auto"/>
        <w:ind w:left="242"/>
      </w:pPr>
      <w:r w:rsidRPr="004B4DFF">
        <w:rPr>
          <w:i/>
        </w:rPr>
        <w:t>Monarchia</w:t>
      </w:r>
      <w:r>
        <w:t xml:space="preserve"> 3.15.9</w:t>
      </w:r>
      <w:r>
        <w:tab/>
        <w:t>903</w:t>
      </w:r>
    </w:p>
    <w:p w:rsidR="00AD7907" w:rsidRDefault="00AD7907" w:rsidP="00AD7907">
      <w:pPr>
        <w:pStyle w:val="Rejstk2"/>
        <w:tabs>
          <w:tab w:val="right" w:leader="dot" w:pos="4171"/>
        </w:tabs>
        <w:spacing w:line="240" w:lineRule="auto"/>
        <w:ind w:left="242"/>
      </w:pPr>
      <w:r w:rsidRPr="004B4DFF">
        <w:rPr>
          <w:i/>
        </w:rPr>
        <w:t>Paradiso</w:t>
      </w:r>
      <w:r>
        <w:t xml:space="preserve"> 10.100‒129</w:t>
      </w:r>
      <w:r>
        <w:tab/>
        <w:t>241</w:t>
      </w:r>
    </w:p>
    <w:p w:rsidR="00AD7907" w:rsidRDefault="00AD7907" w:rsidP="00AD7907">
      <w:pPr>
        <w:pStyle w:val="Rejstk2"/>
        <w:tabs>
          <w:tab w:val="right" w:leader="dot" w:pos="4171"/>
        </w:tabs>
        <w:spacing w:line="240" w:lineRule="auto"/>
        <w:ind w:left="242"/>
      </w:pPr>
      <w:r w:rsidRPr="004B4DFF">
        <w:rPr>
          <w:i/>
        </w:rPr>
        <w:t>Paradiso</w:t>
      </w:r>
      <w:r>
        <w:t xml:space="preserve"> 10.130‒48</w:t>
      </w:r>
      <w:r>
        <w:tab/>
        <w:t>241</w:t>
      </w:r>
    </w:p>
    <w:p w:rsidR="00AD7907" w:rsidRDefault="00AD7907" w:rsidP="00AD7907">
      <w:pPr>
        <w:pStyle w:val="Rejstk2"/>
        <w:tabs>
          <w:tab w:val="right" w:leader="dot" w:pos="4171"/>
        </w:tabs>
        <w:spacing w:line="240" w:lineRule="auto"/>
        <w:ind w:left="242"/>
      </w:pPr>
      <w:r w:rsidRPr="004B4DFF">
        <w:rPr>
          <w:i/>
        </w:rPr>
        <w:t>Paradiso</w:t>
      </w:r>
      <w:r>
        <w:t xml:space="preserve"> 10.136‒38</w:t>
      </w:r>
      <w:r>
        <w:tab/>
        <w:t>241</w:t>
      </w:r>
    </w:p>
    <w:p w:rsidR="00AD7907" w:rsidRDefault="00AD7907" w:rsidP="00AD7907">
      <w:pPr>
        <w:pStyle w:val="Rejstk2"/>
        <w:tabs>
          <w:tab w:val="right" w:leader="dot" w:pos="4171"/>
        </w:tabs>
        <w:spacing w:line="240" w:lineRule="auto"/>
        <w:ind w:left="242"/>
      </w:pPr>
      <w:r w:rsidRPr="004B4DFF">
        <w:rPr>
          <w:i/>
        </w:rPr>
        <w:t xml:space="preserve">Paradiso </w:t>
      </w:r>
      <w:r>
        <w:t>10.138</w:t>
      </w:r>
      <w:r>
        <w:tab/>
        <w:t>480</w:t>
      </w:r>
    </w:p>
    <w:p w:rsidR="00AD7907" w:rsidRDefault="00AD7907" w:rsidP="00AD7907">
      <w:pPr>
        <w:pStyle w:val="Rejstk2"/>
        <w:tabs>
          <w:tab w:val="right" w:leader="dot" w:pos="4171"/>
        </w:tabs>
        <w:spacing w:line="240" w:lineRule="auto"/>
        <w:ind w:left="242"/>
      </w:pPr>
      <w:r w:rsidRPr="004B4DFF">
        <w:rPr>
          <w:i/>
        </w:rPr>
        <w:t>Paradiso</w:t>
      </w:r>
      <w:r>
        <w:t xml:space="preserve"> 10.64‒99</w:t>
      </w:r>
      <w:r>
        <w:tab/>
        <w:t>241</w:t>
      </w:r>
    </w:p>
    <w:p w:rsidR="00AD7907" w:rsidRDefault="00AD7907" w:rsidP="00AD7907">
      <w:pPr>
        <w:pStyle w:val="Rejstk2"/>
        <w:tabs>
          <w:tab w:val="right" w:leader="dot" w:pos="4171"/>
        </w:tabs>
        <w:spacing w:line="240" w:lineRule="auto"/>
        <w:ind w:left="242"/>
      </w:pPr>
      <w:r w:rsidRPr="004B4DFF">
        <w:rPr>
          <w:i/>
        </w:rPr>
        <w:t>Paradiso</w:t>
      </w:r>
      <w:r>
        <w:t xml:space="preserve"> 12</w:t>
      </w:r>
      <w:r>
        <w:tab/>
        <w:t>310</w:t>
      </w:r>
    </w:p>
    <w:p w:rsidR="00AD7907" w:rsidRDefault="00AD7907" w:rsidP="00AD7907">
      <w:pPr>
        <w:pStyle w:val="Rejstk2"/>
        <w:tabs>
          <w:tab w:val="right" w:leader="dot" w:pos="4171"/>
        </w:tabs>
        <w:spacing w:line="240" w:lineRule="auto"/>
        <w:ind w:left="242"/>
      </w:pPr>
      <w:r w:rsidRPr="004B4DFF">
        <w:rPr>
          <w:i/>
        </w:rPr>
        <w:t>Paradiso</w:t>
      </w:r>
      <w:r>
        <w:t xml:space="preserve"> 12.144‒45</w:t>
      </w:r>
      <w:r>
        <w:tab/>
        <w:t>347</w:t>
      </w:r>
    </w:p>
    <w:p w:rsidR="00AD7907" w:rsidRDefault="00AD7907" w:rsidP="00AD7907">
      <w:pPr>
        <w:pStyle w:val="Rejstk2"/>
        <w:tabs>
          <w:tab w:val="right" w:leader="dot" w:pos="4171"/>
        </w:tabs>
        <w:spacing w:line="240" w:lineRule="auto"/>
        <w:ind w:left="0" w:firstLine="0"/>
      </w:pPr>
      <w:r w:rsidRPr="004B4DFF">
        <w:rPr>
          <w:i/>
        </w:rPr>
        <w:t>Paradiso</w:t>
      </w:r>
      <w:r>
        <w:t xml:space="preserve"> 13.61‒63</w:t>
      </w:r>
      <w:r>
        <w:tab/>
        <w:t>347</w:t>
      </w:r>
    </w:p>
    <w:p w:rsidR="00AD7907" w:rsidRDefault="00AD7907" w:rsidP="00AD7907">
      <w:pPr>
        <w:pStyle w:val="Rejstk1"/>
        <w:tabs>
          <w:tab w:val="right" w:leader="dot" w:pos="4171"/>
        </w:tabs>
        <w:rPr>
          <w:b/>
          <w:lang w:val="de-LU"/>
        </w:rPr>
      </w:pPr>
    </w:p>
    <w:p w:rsidR="00AD7907" w:rsidRPr="008757E5" w:rsidRDefault="00AD7907" w:rsidP="00AD7907">
      <w:pPr>
        <w:pStyle w:val="Rejstk1"/>
        <w:tabs>
          <w:tab w:val="right" w:leader="dot" w:pos="4171"/>
        </w:tabs>
        <w:spacing w:line="240" w:lineRule="auto"/>
        <w:rPr>
          <w:b/>
          <w:lang w:val="de-LU"/>
        </w:rPr>
      </w:pPr>
      <w:r w:rsidRPr="008757E5">
        <w:rPr>
          <w:b/>
          <w:lang w:val="de-LU"/>
        </w:rPr>
        <w:t>René Descartes</w:t>
      </w:r>
    </w:p>
    <w:p w:rsidR="00AD7907" w:rsidRDefault="00AD7907" w:rsidP="00AD7907">
      <w:pPr>
        <w:pStyle w:val="Rejstk2"/>
        <w:tabs>
          <w:tab w:val="right" w:leader="dot" w:pos="4171"/>
        </w:tabs>
        <w:spacing w:line="240" w:lineRule="auto"/>
        <w:ind w:left="242"/>
        <w:rPr>
          <w:lang w:val="de-LU"/>
        </w:rPr>
      </w:pPr>
      <w:r w:rsidRPr="00C018BD">
        <w:rPr>
          <w:i/>
          <w:lang w:val="de-LU"/>
        </w:rPr>
        <w:t>Meditationes de prima philosophia</w:t>
      </w:r>
      <w:r>
        <w:rPr>
          <w:lang w:val="de-LU"/>
        </w:rPr>
        <w:t xml:space="preserve"> 41.20‒26</w:t>
      </w:r>
      <w:r>
        <w:rPr>
          <w:lang w:val="de-LU"/>
        </w:rPr>
        <w:tab/>
        <w:t>689</w:t>
      </w:r>
    </w:p>
    <w:p w:rsidR="00AD7907" w:rsidRDefault="00AD7907" w:rsidP="00AD7907">
      <w:pPr>
        <w:pStyle w:val="Rejstk2"/>
        <w:tabs>
          <w:tab w:val="right" w:leader="dot" w:pos="4171"/>
        </w:tabs>
        <w:spacing w:line="240" w:lineRule="auto"/>
        <w:ind w:left="242"/>
        <w:rPr>
          <w:lang w:val="de-LU"/>
        </w:rPr>
      </w:pPr>
      <w:r w:rsidRPr="00C018BD">
        <w:rPr>
          <w:i/>
          <w:lang w:val="de-LU"/>
        </w:rPr>
        <w:t>Regulae ad directionem ingenii</w:t>
      </w:r>
      <w:r w:rsidRPr="00C018BD">
        <w:rPr>
          <w:lang w:val="de-LU"/>
        </w:rPr>
        <w:t xml:space="preserve"> </w:t>
      </w:r>
      <w:r>
        <w:rPr>
          <w:lang w:val="de-LU"/>
        </w:rPr>
        <w:t>12</w:t>
      </w:r>
      <w:r w:rsidRPr="00C018BD">
        <w:rPr>
          <w:i/>
          <w:lang w:val="de-LU"/>
        </w:rPr>
        <w:t>.</w:t>
      </w:r>
      <w:r w:rsidRPr="00C018BD">
        <w:rPr>
          <w:lang w:val="de-LU"/>
        </w:rPr>
        <w:t>411.17‒18</w:t>
      </w:r>
      <w:r>
        <w:rPr>
          <w:lang w:val="de-LU"/>
        </w:rPr>
        <w:tab/>
        <w:t>111</w:t>
      </w:r>
    </w:p>
    <w:p w:rsidR="00AD7907" w:rsidRDefault="00AD7907" w:rsidP="00AD7907">
      <w:pPr>
        <w:pStyle w:val="Rejstk1"/>
        <w:tabs>
          <w:tab w:val="right" w:leader="dot" w:pos="4171"/>
        </w:tabs>
        <w:rPr>
          <w:b/>
          <w:lang w:val="de-LU"/>
        </w:rPr>
      </w:pPr>
    </w:p>
    <w:p w:rsidR="00AD7907" w:rsidRPr="008757E5" w:rsidRDefault="00AD7907" w:rsidP="00AD7907">
      <w:pPr>
        <w:pStyle w:val="Rejstk1"/>
        <w:tabs>
          <w:tab w:val="right" w:leader="dot" w:pos="4171"/>
        </w:tabs>
        <w:spacing w:line="240" w:lineRule="auto"/>
        <w:rPr>
          <w:b/>
          <w:lang w:val="de-LU"/>
        </w:rPr>
      </w:pPr>
      <w:r w:rsidRPr="008757E5">
        <w:rPr>
          <w:b/>
          <w:lang w:val="de-LU"/>
        </w:rPr>
        <w:t>Dionysios Thrax</w:t>
      </w:r>
    </w:p>
    <w:p w:rsidR="00AD7907" w:rsidRDefault="00AD7907" w:rsidP="00AD7907">
      <w:pPr>
        <w:pStyle w:val="Rejstk2"/>
        <w:tabs>
          <w:tab w:val="right" w:leader="dot" w:pos="4171"/>
        </w:tabs>
        <w:spacing w:line="240" w:lineRule="auto"/>
        <w:ind w:left="0" w:firstLine="0"/>
        <w:rPr>
          <w:lang w:val="de-LU"/>
        </w:rPr>
      </w:pPr>
      <w:r w:rsidRPr="00C018BD">
        <w:rPr>
          <w:i/>
          <w:lang w:val="de-LU"/>
        </w:rPr>
        <w:t>Ars Grammatica</w:t>
      </w:r>
      <w:r w:rsidRPr="00C018BD">
        <w:rPr>
          <w:lang w:val="de-LU"/>
        </w:rPr>
        <w:t xml:space="preserve"> 1.31.7</w:t>
      </w:r>
      <w:r>
        <w:rPr>
          <w:lang w:val="de-LU"/>
        </w:rPr>
        <w:tab/>
        <w:t>15</w:t>
      </w:r>
    </w:p>
    <w:p w:rsidR="00AD7907" w:rsidRDefault="00AD7907" w:rsidP="00AD7907">
      <w:pPr>
        <w:pStyle w:val="Rejstk1"/>
        <w:tabs>
          <w:tab w:val="right" w:leader="dot" w:pos="4171"/>
        </w:tabs>
        <w:rPr>
          <w:b/>
          <w:lang w:val="de-LU"/>
        </w:rPr>
      </w:pPr>
    </w:p>
    <w:p w:rsidR="00AD7907" w:rsidRPr="008757E5" w:rsidRDefault="00AD7907" w:rsidP="00AD7907">
      <w:pPr>
        <w:pStyle w:val="Rejstk1"/>
        <w:tabs>
          <w:tab w:val="right" w:leader="dot" w:pos="4171"/>
        </w:tabs>
        <w:spacing w:line="240" w:lineRule="auto"/>
        <w:rPr>
          <w:b/>
          <w:i/>
          <w:lang w:val="de-LU"/>
        </w:rPr>
      </w:pPr>
      <w:r w:rsidRPr="008757E5">
        <w:rPr>
          <w:b/>
          <w:lang w:val="de-LU"/>
        </w:rPr>
        <w:t>Engelbertus Admontensis</w:t>
      </w:r>
    </w:p>
    <w:p w:rsidR="00AD7907" w:rsidRDefault="00AD7907" w:rsidP="00AD7907">
      <w:pPr>
        <w:pStyle w:val="Rejstk2"/>
        <w:tabs>
          <w:tab w:val="right" w:leader="dot" w:pos="4171"/>
        </w:tabs>
        <w:spacing w:line="240" w:lineRule="auto"/>
        <w:ind w:left="242"/>
        <w:rPr>
          <w:lang w:val="de-LU"/>
        </w:rPr>
      </w:pPr>
      <w:r w:rsidRPr="00C018BD">
        <w:rPr>
          <w:i/>
          <w:lang w:val="de-LU"/>
        </w:rPr>
        <w:t>De ortu et fine Romani imperii liber</w:t>
      </w:r>
      <w:r>
        <w:rPr>
          <w:lang w:val="de-LU"/>
        </w:rPr>
        <w:t xml:space="preserve"> 20‒21</w:t>
      </w:r>
      <w:r>
        <w:rPr>
          <w:lang w:val="de-LU"/>
        </w:rPr>
        <w:tab/>
        <w:t>852</w:t>
      </w:r>
    </w:p>
    <w:p w:rsidR="00AD7907" w:rsidRDefault="00AD7907" w:rsidP="00AD7907">
      <w:pPr>
        <w:pStyle w:val="Rejstk2"/>
        <w:tabs>
          <w:tab w:val="right" w:leader="dot" w:pos="4171"/>
        </w:tabs>
        <w:spacing w:line="240" w:lineRule="auto"/>
        <w:ind w:left="242"/>
        <w:rPr>
          <w:lang w:val="de-LU"/>
        </w:rPr>
      </w:pPr>
      <w:r w:rsidRPr="00C018BD">
        <w:rPr>
          <w:i/>
          <w:lang w:val="de-LU"/>
        </w:rPr>
        <w:t>De ortu et fine Romani imperii liber</w:t>
      </w:r>
      <w:r>
        <w:rPr>
          <w:lang w:val="de-LU"/>
        </w:rPr>
        <w:t xml:space="preserve"> 22</w:t>
      </w:r>
      <w:r>
        <w:rPr>
          <w:lang w:val="de-LU"/>
        </w:rPr>
        <w:tab/>
        <w:t>852</w:t>
      </w:r>
    </w:p>
    <w:p w:rsidR="00AD7907" w:rsidRDefault="00AD7907" w:rsidP="00AD7907">
      <w:pPr>
        <w:pStyle w:val="Rejstk1"/>
        <w:tabs>
          <w:tab w:val="right" w:leader="dot" w:pos="4171"/>
        </w:tabs>
        <w:rPr>
          <w:b/>
          <w:lang w:val="de-LU"/>
        </w:rPr>
      </w:pPr>
    </w:p>
    <w:p w:rsidR="00AD7907" w:rsidRPr="008757E5" w:rsidRDefault="00AD7907" w:rsidP="00AD7907">
      <w:pPr>
        <w:pStyle w:val="Rejstk2"/>
        <w:tabs>
          <w:tab w:val="right" w:leader="dot" w:pos="4171"/>
        </w:tabs>
        <w:spacing w:line="240" w:lineRule="auto"/>
        <w:ind w:left="238"/>
        <w:rPr>
          <w:rStyle w:val="Zvraznn"/>
          <w:b/>
          <w:i w:val="0"/>
        </w:rPr>
      </w:pPr>
      <w:r w:rsidRPr="008757E5">
        <w:rPr>
          <w:rStyle w:val="st"/>
          <w:b/>
        </w:rPr>
        <w:t>Henricus</w:t>
      </w:r>
      <w:r w:rsidRPr="008757E5">
        <w:rPr>
          <w:rStyle w:val="st"/>
          <w:b/>
          <w:i/>
        </w:rPr>
        <w:t xml:space="preserve"> </w:t>
      </w:r>
      <w:r w:rsidRPr="008757E5">
        <w:rPr>
          <w:rStyle w:val="Zvraznn"/>
          <w:b/>
          <w:i w:val="0"/>
        </w:rPr>
        <w:t>de Gandavo</w:t>
      </w:r>
    </w:p>
    <w:p w:rsidR="00AD7907" w:rsidRDefault="00AD7907" w:rsidP="00AD7907">
      <w:pPr>
        <w:pStyle w:val="Rejstk2"/>
        <w:tabs>
          <w:tab w:val="right" w:leader="dot" w:pos="4171"/>
        </w:tabs>
        <w:spacing w:line="240" w:lineRule="auto"/>
        <w:ind w:left="242"/>
      </w:pPr>
      <w:r w:rsidRPr="004B4DFF">
        <w:rPr>
          <w:i/>
        </w:rPr>
        <w:t>Quodlibet</w:t>
      </w:r>
      <w:r>
        <w:t xml:space="preserve"> 5.228</w:t>
      </w:r>
      <w:r>
        <w:tab/>
        <w:t>580, 581</w:t>
      </w:r>
    </w:p>
    <w:p w:rsidR="00AD7907" w:rsidRDefault="00AD7907" w:rsidP="00AD7907">
      <w:pPr>
        <w:pStyle w:val="Rejstk2"/>
        <w:tabs>
          <w:tab w:val="right" w:leader="dot" w:pos="4171"/>
        </w:tabs>
        <w:spacing w:line="240" w:lineRule="auto"/>
        <w:ind w:left="242"/>
      </w:pPr>
      <w:r w:rsidRPr="004B4DFF">
        <w:rPr>
          <w:i/>
        </w:rPr>
        <w:t>Quodlibet</w:t>
      </w:r>
      <w:r>
        <w:t xml:space="preserve"> 5.229</w:t>
      </w:r>
      <w:r>
        <w:tab/>
        <w:t>580, 582</w:t>
      </w:r>
    </w:p>
    <w:p w:rsidR="00AD7907" w:rsidRDefault="00AD7907" w:rsidP="00AD7907">
      <w:pPr>
        <w:pStyle w:val="Rejstk2"/>
        <w:tabs>
          <w:tab w:val="right" w:leader="dot" w:pos="4171"/>
        </w:tabs>
        <w:spacing w:line="240" w:lineRule="auto"/>
        <w:ind w:left="242"/>
      </w:pPr>
      <w:r w:rsidRPr="004B4DFF">
        <w:rPr>
          <w:i/>
        </w:rPr>
        <w:t>Quodlibet</w:t>
      </w:r>
      <w:r>
        <w:t xml:space="preserve"> 5.246</w:t>
      </w:r>
      <w:r>
        <w:tab/>
        <w:t>587, 589, 590</w:t>
      </w:r>
    </w:p>
    <w:p w:rsidR="00AD7907" w:rsidRDefault="00AD7907" w:rsidP="00AD7907">
      <w:pPr>
        <w:pStyle w:val="Rejstk2"/>
        <w:tabs>
          <w:tab w:val="right" w:leader="dot" w:pos="4171"/>
        </w:tabs>
        <w:spacing w:line="240" w:lineRule="auto"/>
        <w:ind w:left="242"/>
      </w:pPr>
      <w:r w:rsidRPr="004B4DFF">
        <w:rPr>
          <w:i/>
        </w:rPr>
        <w:t>Quodlibet</w:t>
      </w:r>
      <w:r>
        <w:t xml:space="preserve"> 9.17.47‒51</w:t>
      </w:r>
      <w:r>
        <w:tab/>
        <w:t>621</w:t>
      </w:r>
    </w:p>
    <w:p w:rsidR="00AD7907" w:rsidRDefault="00AD7907" w:rsidP="00AD7907">
      <w:pPr>
        <w:pStyle w:val="Rejstk2"/>
        <w:tabs>
          <w:tab w:val="right" w:leader="dot" w:pos="4171"/>
        </w:tabs>
        <w:spacing w:line="240" w:lineRule="auto"/>
        <w:ind w:left="242"/>
      </w:pPr>
      <w:r w:rsidRPr="004B4DFF">
        <w:rPr>
          <w:i/>
        </w:rPr>
        <w:t>Quodlibet</w:t>
      </w:r>
      <w:r>
        <w:t xml:space="preserve"> 9.20.32‒21.40</w:t>
      </w:r>
      <w:r>
        <w:tab/>
        <w:t>631</w:t>
      </w:r>
    </w:p>
    <w:p w:rsidR="00AD7907" w:rsidRDefault="00AD7907" w:rsidP="00AD7907">
      <w:pPr>
        <w:pStyle w:val="Rejstk2"/>
        <w:tabs>
          <w:tab w:val="right" w:leader="dot" w:pos="4171"/>
        </w:tabs>
        <w:spacing w:line="240" w:lineRule="auto"/>
        <w:ind w:left="242"/>
      </w:pPr>
      <w:r w:rsidRPr="004B4DFF">
        <w:rPr>
          <w:i/>
        </w:rPr>
        <w:t>Quodlibet</w:t>
      </w:r>
      <w:r>
        <w:t xml:space="preserve"> 9.27.28‒36</w:t>
      </w:r>
      <w:r>
        <w:tab/>
        <w:t>628</w:t>
      </w:r>
    </w:p>
    <w:p w:rsidR="00AD7907" w:rsidRDefault="00AD7907" w:rsidP="00AD7907">
      <w:pPr>
        <w:pStyle w:val="Rejstk2"/>
        <w:tabs>
          <w:tab w:val="right" w:leader="dot" w:pos="4171"/>
        </w:tabs>
        <w:spacing w:line="240" w:lineRule="auto"/>
        <w:ind w:left="242"/>
      </w:pPr>
      <w:r w:rsidRPr="004B4DFF">
        <w:rPr>
          <w:i/>
        </w:rPr>
        <w:t>Quodlibet</w:t>
      </w:r>
      <w:r>
        <w:t xml:space="preserve"> 9.31.39‒47</w:t>
      </w:r>
      <w:r>
        <w:tab/>
        <w:t>603</w:t>
      </w:r>
    </w:p>
    <w:p w:rsidR="00AD7907" w:rsidRDefault="00AD7907" w:rsidP="00AD7907">
      <w:pPr>
        <w:pStyle w:val="Rejstk2"/>
        <w:tabs>
          <w:tab w:val="right" w:leader="dot" w:pos="4171"/>
        </w:tabs>
        <w:spacing w:line="240" w:lineRule="auto"/>
        <w:ind w:left="242"/>
      </w:pPr>
      <w:r w:rsidRPr="004B4DFF">
        <w:rPr>
          <w:i/>
        </w:rPr>
        <w:t>Quodlibet</w:t>
      </w:r>
      <w:r>
        <w:t xml:space="preserve"> 9.34.18‒22</w:t>
      </w:r>
      <w:r>
        <w:tab/>
        <w:t>634</w:t>
      </w:r>
    </w:p>
    <w:p w:rsidR="00AD7907" w:rsidRDefault="00AD7907" w:rsidP="00AD7907">
      <w:pPr>
        <w:pStyle w:val="Rejstk2"/>
        <w:tabs>
          <w:tab w:val="right" w:leader="dot" w:pos="4171"/>
        </w:tabs>
        <w:spacing w:line="240" w:lineRule="auto"/>
        <w:ind w:left="242"/>
      </w:pPr>
      <w:r w:rsidRPr="004B4DFF">
        <w:rPr>
          <w:i/>
        </w:rPr>
        <w:t>Quodlibet</w:t>
      </w:r>
      <w:r>
        <w:t xml:space="preserve"> 9.4.27‒36</w:t>
      </w:r>
      <w:r>
        <w:tab/>
        <w:t>624</w:t>
      </w:r>
    </w:p>
    <w:p w:rsidR="00AD7907" w:rsidRDefault="00AD7907" w:rsidP="00AD7907">
      <w:pPr>
        <w:pStyle w:val="Rejstk2"/>
        <w:tabs>
          <w:tab w:val="right" w:leader="dot" w:pos="4171"/>
        </w:tabs>
        <w:spacing w:line="240" w:lineRule="auto"/>
        <w:ind w:left="242"/>
      </w:pPr>
      <w:r w:rsidRPr="004B4DFF">
        <w:rPr>
          <w:i/>
        </w:rPr>
        <w:t>Quodlibet</w:t>
      </w:r>
      <w:r>
        <w:t xml:space="preserve"> 9.8.34‒9.36</w:t>
      </w:r>
      <w:r>
        <w:tab/>
        <w:t>617</w:t>
      </w:r>
    </w:p>
    <w:p w:rsidR="00AD7907" w:rsidRDefault="00AD7907" w:rsidP="00AD7907">
      <w:pPr>
        <w:pStyle w:val="Rejstk2"/>
        <w:tabs>
          <w:tab w:val="right" w:leader="dot" w:pos="4171"/>
        </w:tabs>
        <w:spacing w:line="240" w:lineRule="auto"/>
        <w:ind w:left="242"/>
      </w:pPr>
      <w:r w:rsidRPr="004B4DFF">
        <w:rPr>
          <w:i/>
        </w:rPr>
        <w:t xml:space="preserve">Summa </w:t>
      </w:r>
      <w:r w:rsidR="00853C50">
        <w:t>31.49‒54</w:t>
      </w:r>
      <w:r>
        <w:tab/>
        <w:t>595</w:t>
      </w:r>
    </w:p>
    <w:p w:rsidR="00AD7907" w:rsidRDefault="00AD7907" w:rsidP="00AD7907">
      <w:pPr>
        <w:pStyle w:val="Rejstk2"/>
        <w:tabs>
          <w:tab w:val="right" w:leader="dot" w:pos="4171"/>
        </w:tabs>
        <w:spacing w:line="240" w:lineRule="auto"/>
        <w:ind w:left="242"/>
      </w:pPr>
      <w:r w:rsidRPr="004B4DFF">
        <w:rPr>
          <w:i/>
        </w:rPr>
        <w:t xml:space="preserve">Summa </w:t>
      </w:r>
      <w:r>
        <w:t>36.155‒58</w:t>
      </w:r>
      <w:r>
        <w:tab/>
        <w:t>596</w:t>
      </w:r>
    </w:p>
    <w:p w:rsidR="00AD7907" w:rsidRDefault="00AD7907" w:rsidP="00AD7907">
      <w:pPr>
        <w:pStyle w:val="Rejstk2"/>
        <w:tabs>
          <w:tab w:val="right" w:leader="dot" w:pos="4171"/>
        </w:tabs>
        <w:spacing w:line="240" w:lineRule="auto"/>
        <w:ind w:left="242"/>
      </w:pPr>
      <w:r w:rsidRPr="004B4DFF">
        <w:rPr>
          <w:i/>
        </w:rPr>
        <w:t xml:space="preserve">Summa </w:t>
      </w:r>
      <w:r>
        <w:t>39.205‒11</w:t>
      </w:r>
      <w:r>
        <w:tab/>
        <w:t>598</w:t>
      </w:r>
    </w:p>
    <w:p w:rsidR="00AD7907" w:rsidRDefault="00AD7907" w:rsidP="00AD7907">
      <w:pPr>
        <w:pStyle w:val="Rejstk2"/>
        <w:tabs>
          <w:tab w:val="right" w:leader="dot" w:pos="4171"/>
        </w:tabs>
        <w:spacing w:line="240" w:lineRule="auto"/>
        <w:ind w:left="242"/>
      </w:pPr>
      <w:r w:rsidRPr="004B4DFF">
        <w:rPr>
          <w:i/>
        </w:rPr>
        <w:t>Summa</w:t>
      </w:r>
      <w:r>
        <w:t xml:space="preserve"> 43.282‒87</w:t>
      </w:r>
      <w:r>
        <w:tab/>
        <w:t>606</w:t>
      </w:r>
    </w:p>
    <w:p w:rsidR="00AD7907" w:rsidRDefault="00AD7907" w:rsidP="00AD7907">
      <w:pPr>
        <w:pStyle w:val="Rejstk1"/>
        <w:tabs>
          <w:tab w:val="right" w:leader="dot" w:pos="4171"/>
        </w:tabs>
        <w:rPr>
          <w:b/>
          <w:lang w:val="de-LU"/>
        </w:rPr>
      </w:pPr>
    </w:p>
    <w:p w:rsidR="00AD7907" w:rsidRPr="00FA2000" w:rsidRDefault="00AD7907" w:rsidP="00AD7907">
      <w:pPr>
        <w:pStyle w:val="Rejstk1"/>
        <w:tabs>
          <w:tab w:val="right" w:leader="dot" w:pos="4171"/>
        </w:tabs>
        <w:spacing w:line="240" w:lineRule="auto"/>
        <w:rPr>
          <w:b/>
          <w:lang w:val="de-LU"/>
        </w:rPr>
      </w:pPr>
      <w:r w:rsidRPr="00FA2000">
        <w:rPr>
          <w:b/>
          <w:lang w:val="de-LU"/>
        </w:rPr>
        <w:t>Godefroid de Fontaines</w:t>
      </w:r>
    </w:p>
    <w:p w:rsidR="00AD7907" w:rsidRDefault="00AD7907" w:rsidP="00AD7907">
      <w:pPr>
        <w:pStyle w:val="Rejstk2"/>
        <w:tabs>
          <w:tab w:val="right" w:leader="dot" w:pos="4171"/>
        </w:tabs>
        <w:spacing w:line="240" w:lineRule="auto"/>
        <w:ind w:left="242"/>
        <w:rPr>
          <w:lang w:val="de-LU"/>
        </w:rPr>
      </w:pPr>
      <w:r w:rsidRPr="00C018BD">
        <w:rPr>
          <w:i/>
          <w:lang w:val="de-LU"/>
        </w:rPr>
        <w:t>Quodlibet</w:t>
      </w:r>
      <w:r>
        <w:rPr>
          <w:lang w:val="de-LU"/>
        </w:rPr>
        <w:t xml:space="preserve"> 5.36</w:t>
      </w:r>
      <w:r>
        <w:rPr>
          <w:lang w:val="de-LU"/>
        </w:rPr>
        <w:tab/>
        <w:t>577</w:t>
      </w:r>
    </w:p>
    <w:p w:rsidR="00AD7907" w:rsidRDefault="00AD7907" w:rsidP="00AD7907">
      <w:pPr>
        <w:pStyle w:val="Rejstk2"/>
        <w:tabs>
          <w:tab w:val="right" w:leader="dot" w:pos="4171"/>
        </w:tabs>
        <w:spacing w:line="240" w:lineRule="auto"/>
        <w:ind w:left="242"/>
        <w:rPr>
          <w:lang w:val="de-LU"/>
        </w:rPr>
      </w:pPr>
      <w:r w:rsidRPr="00C018BD">
        <w:rPr>
          <w:i/>
          <w:lang w:val="de-LU"/>
        </w:rPr>
        <w:t>Quodlibet</w:t>
      </w:r>
      <w:r>
        <w:rPr>
          <w:lang w:val="de-LU"/>
        </w:rPr>
        <w:t xml:space="preserve"> 5.37</w:t>
      </w:r>
      <w:r>
        <w:rPr>
          <w:lang w:val="de-LU"/>
        </w:rPr>
        <w:tab/>
        <w:t>578</w:t>
      </w:r>
    </w:p>
    <w:p w:rsidR="00AD7907" w:rsidRDefault="00AD7907" w:rsidP="00AD7907">
      <w:pPr>
        <w:pStyle w:val="Rejstk1"/>
        <w:tabs>
          <w:tab w:val="right" w:leader="dot" w:pos="4171"/>
        </w:tabs>
        <w:rPr>
          <w:b/>
          <w:lang w:val="de-LU"/>
        </w:rPr>
      </w:pPr>
    </w:p>
    <w:p w:rsidR="00AD7907" w:rsidRPr="00FA2000" w:rsidRDefault="00AD7907" w:rsidP="00AD7907">
      <w:pPr>
        <w:pStyle w:val="Rejstk1"/>
        <w:tabs>
          <w:tab w:val="right" w:leader="dot" w:pos="4171"/>
        </w:tabs>
        <w:spacing w:line="240" w:lineRule="auto"/>
        <w:rPr>
          <w:b/>
          <w:lang w:val="de-LU"/>
        </w:rPr>
      </w:pPr>
      <w:r w:rsidRPr="00FA2000">
        <w:rPr>
          <w:b/>
          <w:lang w:val="de-LU"/>
        </w:rPr>
        <w:t>Hugo</w:t>
      </w:r>
      <w:r>
        <w:rPr>
          <w:b/>
          <w:lang w:val="de-LU"/>
        </w:rPr>
        <w:t xml:space="preserve"> Grotius</w:t>
      </w:r>
      <w:r w:rsidRPr="00FA2000">
        <w:rPr>
          <w:b/>
          <w:lang w:val="de-LU"/>
        </w:rPr>
        <w:t xml:space="preserve"> </w:t>
      </w:r>
    </w:p>
    <w:p w:rsidR="00AD7907" w:rsidRDefault="00AD7907" w:rsidP="00AD7907">
      <w:pPr>
        <w:pStyle w:val="Rejstk2"/>
        <w:tabs>
          <w:tab w:val="right" w:leader="dot" w:pos="4171"/>
        </w:tabs>
        <w:spacing w:line="240" w:lineRule="auto"/>
        <w:ind w:left="0" w:firstLine="0"/>
        <w:rPr>
          <w:lang w:val="de-LU"/>
        </w:rPr>
      </w:pPr>
      <w:r w:rsidRPr="00C018BD">
        <w:rPr>
          <w:i/>
          <w:lang w:val="de-LU"/>
        </w:rPr>
        <w:t>De jure belli ac pacis</w:t>
      </w:r>
      <w:r>
        <w:rPr>
          <w:lang w:val="de-LU"/>
        </w:rPr>
        <w:t xml:space="preserve">, </w:t>
      </w:r>
      <w:r w:rsidRPr="00C018BD">
        <w:rPr>
          <w:i/>
          <w:lang w:val="de-LU"/>
        </w:rPr>
        <w:t xml:space="preserve">Prolegomena </w:t>
      </w:r>
      <w:r>
        <w:rPr>
          <w:lang w:val="de-LU"/>
        </w:rPr>
        <w:t>7</w:t>
      </w:r>
      <w:r>
        <w:rPr>
          <w:lang w:val="de-LU"/>
        </w:rPr>
        <w:tab/>
        <w:t>838</w:t>
      </w:r>
    </w:p>
    <w:p w:rsidR="00AD7907" w:rsidRDefault="00AD7907" w:rsidP="00AD7907">
      <w:pPr>
        <w:spacing w:line="240" w:lineRule="auto"/>
        <w:rPr>
          <w:lang w:val="de-LU"/>
        </w:rPr>
      </w:pPr>
    </w:p>
    <w:p w:rsidR="00AD7907" w:rsidRPr="008757E5" w:rsidRDefault="00AD7907" w:rsidP="00AD7907">
      <w:pPr>
        <w:pStyle w:val="Rejstk1"/>
        <w:tabs>
          <w:tab w:val="right" w:leader="dot" w:pos="4171"/>
        </w:tabs>
        <w:spacing w:line="240" w:lineRule="auto"/>
        <w:rPr>
          <w:b/>
          <w:lang w:val="de-LU"/>
        </w:rPr>
      </w:pPr>
      <w:r w:rsidRPr="008757E5">
        <w:rPr>
          <w:b/>
          <w:lang w:val="de-LU"/>
        </w:rPr>
        <w:t>Gualterus Brugensis</w:t>
      </w:r>
    </w:p>
    <w:p w:rsidR="00AD7907" w:rsidRDefault="00AD7907" w:rsidP="00AD7907">
      <w:pPr>
        <w:pStyle w:val="Rejstk1"/>
        <w:tabs>
          <w:tab w:val="right" w:leader="dot" w:pos="4171"/>
        </w:tabs>
        <w:spacing w:line="240" w:lineRule="auto"/>
        <w:rPr>
          <w:lang w:val="de-LU"/>
        </w:rPr>
      </w:pPr>
      <w:r w:rsidRPr="00C018BD">
        <w:rPr>
          <w:i/>
          <w:lang w:val="de-LU"/>
        </w:rPr>
        <w:t>Quaestiones disputatae</w:t>
      </w:r>
      <w:r>
        <w:rPr>
          <w:lang w:val="de-LU"/>
        </w:rPr>
        <w:t xml:space="preserve"> 41</w:t>
      </w:r>
      <w:r>
        <w:rPr>
          <w:lang w:val="de-LU"/>
        </w:rPr>
        <w:tab/>
        <w:t>537</w:t>
      </w:r>
    </w:p>
    <w:p w:rsidR="00AD7907" w:rsidRDefault="00AD7907" w:rsidP="00AD7907">
      <w:pPr>
        <w:pStyle w:val="Rejstk1"/>
        <w:tabs>
          <w:tab w:val="right" w:leader="dot" w:pos="4171"/>
        </w:tabs>
        <w:rPr>
          <w:b/>
          <w:lang w:val="de-LU"/>
        </w:rPr>
      </w:pPr>
    </w:p>
    <w:p w:rsidR="00AD7907" w:rsidRDefault="00AD7907" w:rsidP="00AD7907">
      <w:pPr>
        <w:pStyle w:val="Rejstk1"/>
        <w:tabs>
          <w:tab w:val="right" w:leader="dot" w:pos="4171"/>
        </w:tabs>
        <w:spacing w:line="240" w:lineRule="auto"/>
        <w:rPr>
          <w:lang w:val="de-LU"/>
        </w:rPr>
      </w:pPr>
      <w:r w:rsidRPr="00A61092">
        <w:rPr>
          <w:b/>
          <w:i/>
          <w:lang w:val="de-LU"/>
        </w:rPr>
        <w:t>Guide de l'étudiant parisien</w:t>
      </w:r>
      <w:r>
        <w:rPr>
          <w:lang w:val="de-LU"/>
        </w:rPr>
        <w:t xml:space="preserve"> 118</w:t>
      </w:r>
      <w:r>
        <w:rPr>
          <w:lang w:val="de-LU"/>
        </w:rPr>
        <w:tab/>
        <w:t>858</w:t>
      </w:r>
    </w:p>
    <w:p w:rsidR="00AD7907" w:rsidRDefault="00AD7907" w:rsidP="00AD7907">
      <w:pPr>
        <w:pStyle w:val="Rejstk1"/>
        <w:tabs>
          <w:tab w:val="right" w:leader="dot" w:pos="4171"/>
        </w:tabs>
        <w:rPr>
          <w:b/>
          <w:lang w:val="de-LU"/>
        </w:rPr>
      </w:pPr>
    </w:p>
    <w:p w:rsidR="00AD7907" w:rsidRPr="00A61092" w:rsidRDefault="00AD7907" w:rsidP="00AD7907">
      <w:pPr>
        <w:pStyle w:val="Rejstk1"/>
        <w:tabs>
          <w:tab w:val="right" w:leader="dot" w:pos="4171"/>
        </w:tabs>
        <w:spacing w:line="240" w:lineRule="auto"/>
        <w:rPr>
          <w:b/>
          <w:lang w:val="de-LU"/>
        </w:rPr>
      </w:pPr>
      <w:r w:rsidRPr="00A61092">
        <w:rPr>
          <w:b/>
          <w:lang w:val="de-LU"/>
        </w:rPr>
        <w:t xml:space="preserve">Georg Wilhelm Friedrich Hegel </w:t>
      </w:r>
    </w:p>
    <w:p w:rsidR="00AD7907" w:rsidRDefault="00AD7907" w:rsidP="00AD7907">
      <w:pPr>
        <w:pStyle w:val="Rejstk2"/>
        <w:tabs>
          <w:tab w:val="right" w:leader="dot" w:pos="4171"/>
        </w:tabs>
        <w:spacing w:line="240" w:lineRule="auto"/>
        <w:ind w:left="242"/>
        <w:rPr>
          <w:lang w:val="de-LU"/>
        </w:rPr>
      </w:pPr>
      <w:r w:rsidRPr="00C018BD">
        <w:rPr>
          <w:i/>
          <w:lang w:val="de-LU"/>
        </w:rPr>
        <w:t>Über die wissenschaftlichen Behandlungsarten des Naturrechts</w:t>
      </w:r>
      <w:r>
        <w:rPr>
          <w:lang w:val="de-LU"/>
        </w:rPr>
        <w:t xml:space="preserve"> 2.463</w:t>
      </w:r>
      <w:r>
        <w:rPr>
          <w:lang w:val="de-LU"/>
        </w:rPr>
        <w:tab/>
        <w:t>922</w:t>
      </w:r>
    </w:p>
    <w:p w:rsidR="00AD7907" w:rsidRDefault="00AD7907" w:rsidP="00AD7907">
      <w:pPr>
        <w:pStyle w:val="Rejstk2"/>
        <w:tabs>
          <w:tab w:val="right" w:leader="dot" w:pos="4171"/>
        </w:tabs>
        <w:spacing w:line="240" w:lineRule="auto"/>
        <w:ind w:left="242"/>
        <w:rPr>
          <w:lang w:val="de-LU"/>
        </w:rPr>
      </w:pPr>
      <w:r w:rsidRPr="00C018BD">
        <w:rPr>
          <w:i/>
          <w:lang w:val="de-LU"/>
        </w:rPr>
        <w:t>Wissenchaft der Logik</w:t>
      </w:r>
      <w:r>
        <w:rPr>
          <w:lang w:val="de-LU"/>
        </w:rPr>
        <w:t xml:space="preserve"> 5.121</w:t>
      </w:r>
      <w:r>
        <w:rPr>
          <w:lang w:val="de-LU"/>
        </w:rPr>
        <w:tab/>
        <w:t>590</w:t>
      </w:r>
    </w:p>
    <w:p w:rsidR="00AD7907" w:rsidRDefault="00AD7907" w:rsidP="00AD7907">
      <w:pPr>
        <w:pStyle w:val="Rejstk2"/>
        <w:tabs>
          <w:tab w:val="right" w:leader="dot" w:pos="4171"/>
        </w:tabs>
        <w:spacing w:line="240" w:lineRule="auto"/>
        <w:ind w:left="242"/>
        <w:rPr>
          <w:lang w:val="de-LU"/>
        </w:rPr>
      </w:pPr>
      <w:r w:rsidRPr="00C018BD">
        <w:rPr>
          <w:i/>
          <w:lang w:val="de-LU"/>
        </w:rPr>
        <w:t>Wissenschaft der Logik</w:t>
      </w:r>
      <w:r>
        <w:rPr>
          <w:lang w:val="de-LU"/>
        </w:rPr>
        <w:t xml:space="preserve"> 171</w:t>
      </w:r>
      <w:r>
        <w:rPr>
          <w:lang w:val="de-LU"/>
        </w:rPr>
        <w:tab/>
        <w:t>590</w:t>
      </w:r>
    </w:p>
    <w:p w:rsidR="00AD7907" w:rsidRDefault="00AD7907" w:rsidP="00AD7907">
      <w:pPr>
        <w:pStyle w:val="Rejstk1"/>
        <w:tabs>
          <w:tab w:val="right" w:leader="dot" w:pos="4171"/>
        </w:tabs>
        <w:rPr>
          <w:b/>
          <w:lang w:val="de-LU"/>
        </w:rPr>
      </w:pPr>
    </w:p>
    <w:p w:rsidR="00AD7907" w:rsidRPr="008757E5" w:rsidRDefault="00AD7907" w:rsidP="00AD7907">
      <w:pPr>
        <w:pStyle w:val="Rejstk1"/>
        <w:tabs>
          <w:tab w:val="right" w:leader="dot" w:pos="4171"/>
        </w:tabs>
        <w:spacing w:line="240" w:lineRule="auto"/>
        <w:rPr>
          <w:b/>
          <w:lang w:val="de-LU"/>
        </w:rPr>
      </w:pPr>
      <w:r w:rsidRPr="008757E5">
        <w:rPr>
          <w:b/>
          <w:lang w:val="de-LU"/>
        </w:rPr>
        <w:t>Martin</w:t>
      </w:r>
      <w:r>
        <w:rPr>
          <w:b/>
          <w:lang w:val="de-LU"/>
        </w:rPr>
        <w:t xml:space="preserve"> Heidegger</w:t>
      </w:r>
      <w:r w:rsidRPr="008757E5">
        <w:rPr>
          <w:b/>
          <w:lang w:val="de-LU"/>
        </w:rPr>
        <w:t xml:space="preserve"> </w:t>
      </w:r>
    </w:p>
    <w:p w:rsidR="00AD7907" w:rsidRDefault="00AD7907" w:rsidP="00AD7907">
      <w:pPr>
        <w:pStyle w:val="Rejstk2"/>
        <w:tabs>
          <w:tab w:val="right" w:leader="dot" w:pos="4171"/>
        </w:tabs>
        <w:spacing w:line="240" w:lineRule="auto"/>
        <w:ind w:left="242"/>
        <w:rPr>
          <w:lang w:val="de-LU"/>
        </w:rPr>
      </w:pPr>
      <w:r w:rsidRPr="00C018BD">
        <w:rPr>
          <w:iCs/>
          <w:lang w:val="de-LU"/>
        </w:rPr>
        <w:t>GA</w:t>
      </w:r>
      <w:r>
        <w:rPr>
          <w:lang w:val="de-LU"/>
        </w:rPr>
        <w:t xml:space="preserve"> 58, 261</w:t>
      </w:r>
      <w:r>
        <w:rPr>
          <w:lang w:val="de-LU"/>
        </w:rPr>
        <w:tab/>
        <w:t>9</w:t>
      </w:r>
    </w:p>
    <w:p w:rsidR="00AD7907" w:rsidRDefault="00AD7907" w:rsidP="00AD7907">
      <w:pPr>
        <w:pStyle w:val="Rejstk2"/>
        <w:tabs>
          <w:tab w:val="right" w:leader="dot" w:pos="4171"/>
        </w:tabs>
        <w:spacing w:line="240" w:lineRule="auto"/>
        <w:ind w:left="242"/>
        <w:rPr>
          <w:lang w:val="de-LU"/>
        </w:rPr>
      </w:pPr>
      <w:r>
        <w:rPr>
          <w:lang w:val="de-LU"/>
        </w:rPr>
        <w:t>SZ 27</w:t>
      </w:r>
      <w:r>
        <w:rPr>
          <w:lang w:val="de-LU"/>
        </w:rPr>
        <w:tab/>
        <w:t>8</w:t>
      </w:r>
    </w:p>
    <w:p w:rsidR="008B515D" w:rsidRDefault="00AD7907" w:rsidP="008B515D">
      <w:pPr>
        <w:pStyle w:val="Rejstk2"/>
        <w:tabs>
          <w:tab w:val="right" w:leader="dot" w:pos="4171"/>
        </w:tabs>
        <w:spacing w:line="240" w:lineRule="auto"/>
        <w:ind w:left="242"/>
        <w:rPr>
          <w:lang w:val="de-LU"/>
        </w:rPr>
      </w:pPr>
      <w:r>
        <w:rPr>
          <w:lang w:val="de-LU"/>
        </w:rPr>
        <w:t>SZ 5</w:t>
      </w:r>
      <w:r>
        <w:rPr>
          <w:lang w:val="de-LU"/>
        </w:rPr>
        <w:tab/>
        <w:t>9</w:t>
      </w:r>
    </w:p>
    <w:p w:rsidR="008B515D" w:rsidRPr="008B515D" w:rsidRDefault="008B515D" w:rsidP="008B515D">
      <w:pPr>
        <w:pStyle w:val="Rejstk2"/>
        <w:tabs>
          <w:tab w:val="right" w:leader="dot" w:pos="4171"/>
        </w:tabs>
        <w:spacing w:line="240" w:lineRule="auto"/>
        <w:ind w:left="242"/>
        <w:rPr>
          <w:lang w:val="de-LU"/>
        </w:rPr>
      </w:pPr>
      <w:r>
        <w:t>SZ 46</w:t>
      </w:r>
      <w:r>
        <w:tab/>
        <w:t>351</w:t>
      </w:r>
    </w:p>
    <w:p w:rsidR="00AD7907" w:rsidRDefault="00AD7907" w:rsidP="00AD7907">
      <w:pPr>
        <w:pStyle w:val="Rejstk1"/>
        <w:tabs>
          <w:tab w:val="right" w:leader="dot" w:pos="4171"/>
        </w:tabs>
        <w:rPr>
          <w:b/>
          <w:lang w:val="de-LU"/>
        </w:rPr>
      </w:pPr>
    </w:p>
    <w:p w:rsidR="00AD7907" w:rsidRPr="008757E5" w:rsidRDefault="00AD7907" w:rsidP="00AD7907">
      <w:pPr>
        <w:pStyle w:val="Rejstk1"/>
        <w:tabs>
          <w:tab w:val="right" w:leader="dot" w:pos="4171"/>
        </w:tabs>
        <w:spacing w:line="240" w:lineRule="auto"/>
        <w:rPr>
          <w:b/>
          <w:lang w:val="de-LU"/>
        </w:rPr>
      </w:pPr>
      <w:r>
        <w:rPr>
          <w:b/>
          <w:lang w:val="de-LU"/>
        </w:rPr>
        <w:t xml:space="preserve">Hérakleitos z </w:t>
      </w:r>
      <w:r w:rsidRPr="008757E5">
        <w:rPr>
          <w:b/>
          <w:lang w:val="de-LU"/>
        </w:rPr>
        <w:t>E</w:t>
      </w:r>
      <w:r>
        <w:rPr>
          <w:b/>
          <w:lang w:val="de-LU"/>
        </w:rPr>
        <w:t>fezu</w:t>
      </w:r>
    </w:p>
    <w:p w:rsidR="00AD7907" w:rsidRDefault="00AD7907" w:rsidP="00AD7907">
      <w:pPr>
        <w:pStyle w:val="Rejstk2"/>
        <w:tabs>
          <w:tab w:val="right" w:leader="dot" w:pos="4171"/>
        </w:tabs>
        <w:spacing w:line="240" w:lineRule="auto"/>
        <w:ind w:left="242"/>
      </w:pPr>
      <w:r>
        <w:t>B 114</w:t>
      </w:r>
      <w:r>
        <w:tab/>
        <w:t>888</w:t>
      </w:r>
    </w:p>
    <w:p w:rsidR="00AD7907" w:rsidRDefault="00AD7907" w:rsidP="00AD7907">
      <w:pPr>
        <w:pStyle w:val="Rejstk2"/>
        <w:tabs>
          <w:tab w:val="right" w:leader="dot" w:pos="4171"/>
        </w:tabs>
        <w:spacing w:line="240" w:lineRule="auto"/>
        <w:ind w:left="242"/>
      </w:pPr>
      <w:r>
        <w:t>B 119</w:t>
      </w:r>
      <w:r>
        <w:tab/>
        <w:t>943</w:t>
      </w:r>
    </w:p>
    <w:p w:rsidR="00AD7907" w:rsidRDefault="00AD7907" w:rsidP="00AD7907">
      <w:pPr>
        <w:pStyle w:val="Rejstk2"/>
        <w:tabs>
          <w:tab w:val="right" w:leader="dot" w:pos="4171"/>
        </w:tabs>
        <w:spacing w:line="240" w:lineRule="auto"/>
        <w:ind w:left="242"/>
      </w:pPr>
      <w:r>
        <w:t>B 121</w:t>
      </w:r>
      <w:r>
        <w:tab/>
        <w:t>95</w:t>
      </w:r>
    </w:p>
    <w:p w:rsidR="00AD7907" w:rsidRDefault="00AD7907" w:rsidP="00AD7907">
      <w:pPr>
        <w:pStyle w:val="Rejstk2"/>
        <w:tabs>
          <w:tab w:val="right" w:leader="dot" w:pos="4171"/>
        </w:tabs>
        <w:spacing w:line="240" w:lineRule="auto"/>
        <w:ind w:left="242"/>
      </w:pPr>
      <w:r>
        <w:t>B 33</w:t>
      </w:r>
      <w:r>
        <w:tab/>
        <w:t>888</w:t>
      </w:r>
    </w:p>
    <w:p w:rsidR="00AD7907" w:rsidRDefault="00AD7907" w:rsidP="00AD7907">
      <w:pPr>
        <w:pStyle w:val="Rejstk2"/>
        <w:tabs>
          <w:tab w:val="right" w:leader="dot" w:pos="4171"/>
        </w:tabs>
        <w:spacing w:line="240" w:lineRule="auto"/>
        <w:ind w:left="242"/>
      </w:pPr>
      <w:r>
        <w:t>B 44</w:t>
      </w:r>
      <w:r>
        <w:tab/>
        <w:t>888</w:t>
      </w:r>
    </w:p>
    <w:p w:rsidR="00AD7907" w:rsidRDefault="00AD7907" w:rsidP="00AD7907">
      <w:pPr>
        <w:pStyle w:val="Rejstk2"/>
        <w:tabs>
          <w:tab w:val="right" w:leader="dot" w:pos="4171"/>
        </w:tabs>
        <w:spacing w:line="240" w:lineRule="auto"/>
        <w:ind w:left="242"/>
      </w:pPr>
      <w:r>
        <w:t>B 49</w:t>
      </w:r>
      <w:r>
        <w:tab/>
        <w:t>888</w:t>
      </w:r>
    </w:p>
    <w:p w:rsidR="00AD7907" w:rsidRDefault="00AD7907" w:rsidP="00AD7907">
      <w:pPr>
        <w:pStyle w:val="Rejstk1"/>
        <w:tabs>
          <w:tab w:val="right" w:leader="dot" w:pos="4171"/>
        </w:tabs>
        <w:spacing w:line="240" w:lineRule="auto"/>
      </w:pPr>
      <w:r>
        <w:t>B 94</w:t>
      </w:r>
      <w:r>
        <w:tab/>
        <w:t>687</w:t>
      </w:r>
    </w:p>
    <w:p w:rsidR="00AD7907" w:rsidRDefault="00AD7907" w:rsidP="00AD7907">
      <w:pPr>
        <w:pStyle w:val="Rejstk1"/>
        <w:tabs>
          <w:tab w:val="right" w:leader="dot" w:pos="4171"/>
        </w:tabs>
        <w:rPr>
          <w:b/>
          <w:lang w:val="de-LU"/>
        </w:rPr>
      </w:pPr>
    </w:p>
    <w:p w:rsidR="00AD7907" w:rsidRPr="008757E5" w:rsidRDefault="00AD7907" w:rsidP="00AD7907">
      <w:pPr>
        <w:pStyle w:val="Rejstk1"/>
        <w:tabs>
          <w:tab w:val="right" w:leader="dot" w:pos="4171"/>
        </w:tabs>
        <w:spacing w:line="240" w:lineRule="auto"/>
        <w:rPr>
          <w:b/>
          <w:lang w:val="de-LU"/>
        </w:rPr>
      </w:pPr>
      <w:r>
        <w:rPr>
          <w:b/>
          <w:lang w:val="de-LU"/>
        </w:rPr>
        <w:t>Hé</w:t>
      </w:r>
      <w:r w:rsidRPr="008757E5">
        <w:rPr>
          <w:b/>
          <w:lang w:val="de-LU"/>
        </w:rPr>
        <w:t>rodot</w:t>
      </w:r>
      <w:r>
        <w:rPr>
          <w:b/>
          <w:lang w:val="de-LU"/>
        </w:rPr>
        <w:t>os</w:t>
      </w:r>
    </w:p>
    <w:p w:rsidR="00AD7907" w:rsidRDefault="00AD7907" w:rsidP="00AD7907">
      <w:pPr>
        <w:pStyle w:val="Rejstk1"/>
        <w:tabs>
          <w:tab w:val="right" w:leader="dot" w:pos="4171"/>
        </w:tabs>
        <w:spacing w:line="240" w:lineRule="auto"/>
        <w:rPr>
          <w:lang w:val="de-LU"/>
        </w:rPr>
      </w:pPr>
      <w:r w:rsidRPr="00C018BD">
        <w:rPr>
          <w:i/>
          <w:lang w:val="de-LU"/>
        </w:rPr>
        <w:t>Historiae</w:t>
      </w:r>
      <w:r>
        <w:rPr>
          <w:lang w:val="de-LU"/>
        </w:rPr>
        <w:t xml:space="preserve"> 1.p.1</w:t>
      </w:r>
      <w:r>
        <w:rPr>
          <w:lang w:val="de-LU"/>
        </w:rPr>
        <w:tab/>
        <w:t>936</w:t>
      </w:r>
    </w:p>
    <w:p w:rsidR="00AD7907" w:rsidRDefault="00AD7907" w:rsidP="00AD7907">
      <w:pPr>
        <w:pStyle w:val="Rejstk2"/>
        <w:tabs>
          <w:tab w:val="right" w:leader="dot" w:pos="4171"/>
        </w:tabs>
        <w:spacing w:line="240" w:lineRule="auto"/>
        <w:ind w:left="0" w:firstLine="0"/>
        <w:rPr>
          <w:lang w:val="de-LU"/>
        </w:rPr>
      </w:pPr>
      <w:r w:rsidRPr="00C018BD">
        <w:rPr>
          <w:i/>
          <w:lang w:val="de-LU"/>
        </w:rPr>
        <w:t>Historiae</w:t>
      </w:r>
      <w:r>
        <w:rPr>
          <w:lang w:val="de-LU"/>
        </w:rPr>
        <w:t xml:space="preserve"> 1.p.4</w:t>
      </w:r>
      <w:r>
        <w:rPr>
          <w:lang w:val="de-LU"/>
        </w:rPr>
        <w:tab/>
        <w:t>936</w:t>
      </w:r>
    </w:p>
    <w:p w:rsidR="00AD7907" w:rsidRDefault="00AD7907" w:rsidP="00AD7907">
      <w:pPr>
        <w:pStyle w:val="Rejstk2"/>
        <w:tabs>
          <w:tab w:val="right" w:leader="dot" w:pos="4171"/>
        </w:tabs>
        <w:spacing w:line="240" w:lineRule="auto"/>
        <w:ind w:left="0" w:firstLine="0"/>
        <w:rPr>
          <w:lang w:val="de-LU"/>
        </w:rPr>
      </w:pPr>
      <w:r w:rsidRPr="00C018BD">
        <w:rPr>
          <w:i/>
          <w:lang w:val="de-LU"/>
        </w:rPr>
        <w:t>Historiae</w:t>
      </w:r>
      <w:r>
        <w:rPr>
          <w:lang w:val="de-LU"/>
        </w:rPr>
        <w:t xml:space="preserve"> 1.p.5</w:t>
      </w:r>
      <w:r>
        <w:rPr>
          <w:lang w:val="de-LU"/>
        </w:rPr>
        <w:tab/>
        <w:t>937</w:t>
      </w:r>
    </w:p>
    <w:p w:rsidR="00AD7907" w:rsidRDefault="00AD7907" w:rsidP="00AD7907">
      <w:pPr>
        <w:pStyle w:val="Rejstk1"/>
        <w:tabs>
          <w:tab w:val="right" w:leader="dot" w:pos="4171"/>
        </w:tabs>
        <w:spacing w:line="240" w:lineRule="auto"/>
        <w:rPr>
          <w:lang w:val="de-LU"/>
        </w:rPr>
      </w:pPr>
    </w:p>
    <w:p w:rsidR="00AD7907" w:rsidRPr="008757E5" w:rsidRDefault="00AD7907" w:rsidP="00AD7907">
      <w:pPr>
        <w:pStyle w:val="Rejstk1"/>
        <w:tabs>
          <w:tab w:val="right" w:leader="dot" w:pos="4171"/>
        </w:tabs>
        <w:spacing w:line="240" w:lineRule="auto"/>
        <w:rPr>
          <w:b/>
          <w:lang w:val="de-LU"/>
        </w:rPr>
      </w:pPr>
      <w:r>
        <w:rPr>
          <w:b/>
          <w:lang w:val="de-LU"/>
        </w:rPr>
        <w:t>Hé</w:t>
      </w:r>
      <w:r w:rsidRPr="008757E5">
        <w:rPr>
          <w:b/>
          <w:lang w:val="de-LU"/>
        </w:rPr>
        <w:t>siod</w:t>
      </w:r>
    </w:p>
    <w:p w:rsidR="00AD7907" w:rsidRDefault="00AD7907" w:rsidP="00AD7907">
      <w:pPr>
        <w:pStyle w:val="Rejstk2"/>
        <w:tabs>
          <w:tab w:val="right" w:leader="dot" w:pos="4171"/>
        </w:tabs>
        <w:spacing w:line="240" w:lineRule="auto"/>
        <w:ind w:left="0" w:firstLine="0"/>
        <w:rPr>
          <w:lang w:val="de-LU"/>
        </w:rPr>
      </w:pPr>
      <w:r w:rsidRPr="00C018BD">
        <w:rPr>
          <w:i/>
          <w:lang w:val="de-LU"/>
        </w:rPr>
        <w:t>Theogonie</w:t>
      </w:r>
      <w:r>
        <w:rPr>
          <w:lang w:val="de-LU"/>
        </w:rPr>
        <w:t xml:space="preserve"> 27</w:t>
      </w:r>
      <w:r>
        <w:rPr>
          <w:lang w:val="de-LU"/>
        </w:rPr>
        <w:tab/>
        <w:t>15</w:t>
      </w:r>
    </w:p>
    <w:p w:rsidR="00AD7907" w:rsidRDefault="00AD7907" w:rsidP="00AD7907">
      <w:pPr>
        <w:pStyle w:val="Rejstk1"/>
        <w:tabs>
          <w:tab w:val="right" w:leader="dot" w:pos="4171"/>
        </w:tabs>
        <w:spacing w:line="240" w:lineRule="auto"/>
        <w:rPr>
          <w:lang w:val="de-LU"/>
        </w:rPr>
      </w:pPr>
    </w:p>
    <w:p w:rsidR="00AD7907" w:rsidRPr="008757E5" w:rsidRDefault="00AD7907" w:rsidP="00AD7907">
      <w:pPr>
        <w:pStyle w:val="Rejstk1"/>
        <w:tabs>
          <w:tab w:val="right" w:leader="dot" w:pos="4171"/>
        </w:tabs>
        <w:spacing w:line="240" w:lineRule="auto"/>
        <w:rPr>
          <w:b/>
          <w:lang w:val="de-LU"/>
        </w:rPr>
      </w:pPr>
      <w:r w:rsidRPr="008757E5">
        <w:rPr>
          <w:b/>
          <w:lang w:val="de-LU"/>
        </w:rPr>
        <w:t>H</w:t>
      </w:r>
      <w:r>
        <w:rPr>
          <w:b/>
          <w:lang w:val="de-LU"/>
        </w:rPr>
        <w:t>omé</w:t>
      </w:r>
      <w:r w:rsidRPr="008757E5">
        <w:rPr>
          <w:b/>
          <w:lang w:val="de-LU"/>
        </w:rPr>
        <w:t>r</w:t>
      </w:r>
    </w:p>
    <w:p w:rsidR="00AD7907" w:rsidRDefault="00AD7907" w:rsidP="00AD7907">
      <w:pPr>
        <w:pStyle w:val="Rejstk1"/>
        <w:tabs>
          <w:tab w:val="right" w:leader="dot" w:pos="4171"/>
        </w:tabs>
        <w:spacing w:line="240" w:lineRule="auto"/>
        <w:rPr>
          <w:lang w:val="de-LU"/>
        </w:rPr>
      </w:pPr>
      <w:r w:rsidRPr="00C018BD">
        <w:rPr>
          <w:i/>
          <w:lang w:val="de-LU"/>
        </w:rPr>
        <w:t>Ilias</w:t>
      </w:r>
      <w:r>
        <w:rPr>
          <w:lang w:val="de-LU"/>
        </w:rPr>
        <w:t xml:space="preserve"> 1.70</w:t>
      </w:r>
      <w:r>
        <w:rPr>
          <w:lang w:val="de-LU"/>
        </w:rPr>
        <w:tab/>
        <w:t>938</w:t>
      </w:r>
    </w:p>
    <w:p w:rsidR="00AD7907" w:rsidRDefault="00AD7907" w:rsidP="00AD7907">
      <w:pPr>
        <w:pStyle w:val="Rejstk2"/>
        <w:tabs>
          <w:tab w:val="right" w:leader="dot" w:pos="4171"/>
        </w:tabs>
        <w:spacing w:line="240" w:lineRule="auto"/>
        <w:ind w:left="0" w:firstLine="0"/>
        <w:rPr>
          <w:lang w:val="de-LU"/>
        </w:rPr>
      </w:pPr>
      <w:r w:rsidRPr="00C018BD">
        <w:rPr>
          <w:i/>
          <w:lang w:val="de-LU"/>
        </w:rPr>
        <w:t>Ilias</w:t>
      </w:r>
      <w:r>
        <w:rPr>
          <w:lang w:val="de-LU"/>
        </w:rPr>
        <w:t xml:space="preserve"> 23.486-87</w:t>
      </w:r>
      <w:r>
        <w:rPr>
          <w:lang w:val="de-LU"/>
        </w:rPr>
        <w:tab/>
        <w:t>942</w:t>
      </w:r>
    </w:p>
    <w:p w:rsidR="00AD7907" w:rsidRDefault="00AD7907" w:rsidP="00AD7907">
      <w:pPr>
        <w:pStyle w:val="Rejstk2"/>
        <w:tabs>
          <w:tab w:val="right" w:leader="dot" w:pos="4171"/>
        </w:tabs>
        <w:spacing w:line="240" w:lineRule="auto"/>
        <w:ind w:left="0" w:firstLine="0"/>
        <w:rPr>
          <w:lang w:val="de-LU"/>
        </w:rPr>
      </w:pPr>
      <w:r w:rsidRPr="00C018BD">
        <w:rPr>
          <w:i/>
          <w:lang w:val="de-LU"/>
        </w:rPr>
        <w:t>Odys</w:t>
      </w:r>
      <w:r>
        <w:rPr>
          <w:lang w:val="de-LU"/>
        </w:rPr>
        <w:t>. 18.359</w:t>
      </w:r>
      <w:r>
        <w:rPr>
          <w:lang w:val="de-LU"/>
        </w:rPr>
        <w:tab/>
        <w:t>15</w:t>
      </w:r>
    </w:p>
    <w:p w:rsidR="00AD7907" w:rsidRDefault="00AD7907" w:rsidP="00AD7907">
      <w:pPr>
        <w:pStyle w:val="Rejstk2"/>
        <w:tabs>
          <w:tab w:val="right" w:leader="dot" w:pos="4171"/>
        </w:tabs>
        <w:spacing w:line="240" w:lineRule="auto"/>
        <w:ind w:left="0" w:firstLine="0"/>
      </w:pPr>
      <w:r w:rsidRPr="004B4DFF">
        <w:rPr>
          <w:i/>
        </w:rPr>
        <w:t>Hymni Homerici</w:t>
      </w:r>
      <w:r>
        <w:t xml:space="preserve"> 5.218–247</w:t>
      </w:r>
      <w:r>
        <w:tab/>
        <w:t>619</w:t>
      </w:r>
    </w:p>
    <w:p w:rsidR="00AD7907" w:rsidRDefault="00AD7907" w:rsidP="00AD7907">
      <w:pPr>
        <w:pStyle w:val="Rejstk1"/>
        <w:tabs>
          <w:tab w:val="right" w:leader="dot" w:pos="4171"/>
        </w:tabs>
        <w:rPr>
          <w:b/>
          <w:lang w:val="de-LU"/>
        </w:rPr>
      </w:pPr>
    </w:p>
    <w:p w:rsidR="00AD7907" w:rsidRPr="008757E5" w:rsidRDefault="00AD7907" w:rsidP="00AD7907">
      <w:pPr>
        <w:pStyle w:val="Rejstk1"/>
        <w:tabs>
          <w:tab w:val="right" w:leader="dot" w:pos="4171"/>
        </w:tabs>
        <w:spacing w:line="240" w:lineRule="auto"/>
        <w:rPr>
          <w:b/>
          <w:lang w:val="de-LU"/>
        </w:rPr>
      </w:pPr>
      <w:r w:rsidRPr="008757E5">
        <w:rPr>
          <w:b/>
          <w:lang w:val="de-LU"/>
        </w:rPr>
        <w:t>Edmund</w:t>
      </w:r>
      <w:r>
        <w:rPr>
          <w:b/>
          <w:lang w:val="de-LU"/>
        </w:rPr>
        <w:t xml:space="preserve"> Husserl</w:t>
      </w:r>
      <w:r w:rsidRPr="008757E5">
        <w:rPr>
          <w:b/>
          <w:lang w:val="de-LU"/>
        </w:rPr>
        <w:t xml:space="preserve"> </w:t>
      </w:r>
    </w:p>
    <w:p w:rsidR="00AD7907" w:rsidRDefault="00AD7907" w:rsidP="00AD7907">
      <w:pPr>
        <w:pStyle w:val="Rejstk2"/>
        <w:tabs>
          <w:tab w:val="right" w:leader="dot" w:pos="4171"/>
        </w:tabs>
        <w:spacing w:line="240" w:lineRule="auto"/>
        <w:ind w:left="242"/>
      </w:pPr>
      <w:r w:rsidRPr="004B4DFF">
        <w:rPr>
          <w:rFonts w:cs="TimesNewRomanPSMT"/>
          <w:i/>
        </w:rPr>
        <w:t>Cartesianische Mediationen und Pariser Vorträge</w:t>
      </w:r>
      <w:r w:rsidRPr="004B4DFF">
        <w:rPr>
          <w:rFonts w:cs="TimesNewRomanPSMT"/>
        </w:rPr>
        <w:t xml:space="preserve"> 31.32‒36</w:t>
      </w:r>
      <w:r>
        <w:tab/>
        <w:t>690</w:t>
      </w:r>
    </w:p>
    <w:p w:rsidR="00AD7907" w:rsidRDefault="00AD7907" w:rsidP="00AD7907">
      <w:pPr>
        <w:pStyle w:val="Rejstk2"/>
        <w:tabs>
          <w:tab w:val="right" w:leader="dot" w:pos="4171"/>
        </w:tabs>
        <w:spacing w:line="240" w:lineRule="auto"/>
        <w:ind w:left="242"/>
      </w:pPr>
      <w:r w:rsidRPr="004B4DFF">
        <w:rPr>
          <w:i/>
        </w:rPr>
        <w:t>Erfahrung und Urteil</w:t>
      </w:r>
      <w:r>
        <w:t xml:space="preserve"> 105</w:t>
      </w:r>
      <w:r>
        <w:tab/>
        <w:t>762</w:t>
      </w:r>
    </w:p>
    <w:p w:rsidR="00AD7907" w:rsidRDefault="00AD7907" w:rsidP="00AD7907">
      <w:pPr>
        <w:pStyle w:val="Rejstk2"/>
        <w:tabs>
          <w:tab w:val="right" w:leader="dot" w:pos="4171"/>
        </w:tabs>
        <w:ind w:left="0" w:firstLine="0"/>
        <w:rPr>
          <w:lang w:val="de-LU"/>
        </w:rPr>
      </w:pPr>
    </w:p>
    <w:p w:rsidR="00AD7907" w:rsidRPr="00D35248" w:rsidRDefault="00AD7907" w:rsidP="00AD7907">
      <w:pPr>
        <w:pStyle w:val="Rejstk1"/>
        <w:tabs>
          <w:tab w:val="right" w:leader="dot" w:pos="4171"/>
        </w:tabs>
        <w:rPr>
          <w:b/>
          <w:i/>
          <w:iCs/>
        </w:rPr>
      </w:pPr>
      <w:r w:rsidRPr="00D35248">
        <w:rPr>
          <w:b/>
          <w:i/>
          <w:iCs/>
        </w:rPr>
        <w:t>Chartularium Parisiensis I</w:t>
      </w:r>
    </w:p>
    <w:p w:rsidR="00AD7907" w:rsidRDefault="00AD7907" w:rsidP="00AD7907">
      <w:pPr>
        <w:pStyle w:val="Rejstk1"/>
        <w:tabs>
          <w:tab w:val="right" w:leader="dot" w:pos="4171"/>
        </w:tabs>
        <w:spacing w:line="240" w:lineRule="auto"/>
      </w:pPr>
      <w:r w:rsidRPr="00B9640A">
        <w:rPr>
          <w:iCs/>
        </w:rPr>
        <w:t>no</w:t>
      </w:r>
      <w:r>
        <w:rPr>
          <w:i/>
          <w:iCs/>
        </w:rPr>
        <w:t xml:space="preserve">. </w:t>
      </w:r>
      <w:r>
        <w:t>473</w:t>
      </w:r>
      <w:r>
        <w:tab/>
        <w:t>257</w:t>
      </w:r>
    </w:p>
    <w:p w:rsidR="00AD7907" w:rsidRDefault="00AD7907" w:rsidP="00AD7907">
      <w:pPr>
        <w:pStyle w:val="Rejstk1"/>
        <w:tabs>
          <w:tab w:val="right" w:leader="dot" w:pos="4171"/>
        </w:tabs>
        <w:spacing w:line="240" w:lineRule="auto"/>
      </w:pPr>
      <w:r>
        <w:t>no. 382, p. 427</w:t>
      </w:r>
      <w:r>
        <w:tab/>
        <w:t>91</w:t>
      </w:r>
    </w:p>
    <w:p w:rsidR="00AD7907" w:rsidRDefault="00AD7907" w:rsidP="00AD7907">
      <w:pPr>
        <w:pStyle w:val="Rejstk1"/>
        <w:tabs>
          <w:tab w:val="right" w:leader="dot" w:pos="4171"/>
        </w:tabs>
        <w:spacing w:line="240" w:lineRule="auto"/>
      </w:pPr>
      <w:r>
        <w:t>no. 441, p. 499</w:t>
      </w:r>
      <w:r>
        <w:tab/>
        <w:t>95</w:t>
      </w:r>
    </w:p>
    <w:p w:rsidR="00AD7907" w:rsidRDefault="00AD7907" w:rsidP="00AD7907">
      <w:pPr>
        <w:pStyle w:val="Rejstk1"/>
        <w:tabs>
          <w:tab w:val="right" w:leader="dot" w:pos="4171"/>
        </w:tabs>
        <w:spacing w:line="240" w:lineRule="auto"/>
      </w:pPr>
      <w:r w:rsidRPr="004B4DFF">
        <w:rPr>
          <w:iCs/>
        </w:rPr>
        <w:t xml:space="preserve">no. </w:t>
      </w:r>
      <w:r>
        <w:t>471, p. 541</w:t>
      </w:r>
      <w:r>
        <w:tab/>
        <w:t>368</w:t>
      </w:r>
    </w:p>
    <w:p w:rsidR="00AD7907" w:rsidRDefault="00AD7907" w:rsidP="00AD7907">
      <w:pPr>
        <w:pStyle w:val="Rejstk1"/>
        <w:tabs>
          <w:tab w:val="right" w:leader="dot" w:pos="4171"/>
        </w:tabs>
        <w:spacing w:line="240" w:lineRule="auto"/>
      </w:pPr>
      <w:r w:rsidRPr="004B4DFF">
        <w:rPr>
          <w:iCs/>
        </w:rPr>
        <w:t xml:space="preserve">no. </w:t>
      </w:r>
      <w:r>
        <w:t>472, p. 542</w:t>
      </w:r>
      <w:r>
        <w:tab/>
        <w:t>369</w:t>
      </w:r>
    </w:p>
    <w:p w:rsidR="00AD7907" w:rsidRDefault="00AD7907" w:rsidP="00AD7907">
      <w:pPr>
        <w:pStyle w:val="Rejstk1"/>
        <w:tabs>
          <w:tab w:val="right" w:leader="dot" w:pos="4171"/>
        </w:tabs>
        <w:spacing w:line="240" w:lineRule="auto"/>
      </w:pPr>
      <w:r>
        <w:t>no. 473, p. 543</w:t>
      </w:r>
      <w:r>
        <w:tab/>
        <w:t>478</w:t>
      </w:r>
    </w:p>
    <w:p w:rsidR="00AD7907" w:rsidRDefault="00AD7907" w:rsidP="00AD7907">
      <w:pPr>
        <w:pStyle w:val="Rejstk1"/>
        <w:tabs>
          <w:tab w:val="right" w:leader="dot" w:pos="4171"/>
        </w:tabs>
        <w:spacing w:line="240" w:lineRule="auto"/>
      </w:pPr>
      <w:r>
        <w:t>no. 523, p. 634</w:t>
      </w:r>
      <w:r>
        <w:tab/>
        <w:t>385</w:t>
      </w:r>
    </w:p>
    <w:p w:rsidR="00AD7907" w:rsidRDefault="00AD7907" w:rsidP="00AD7907">
      <w:pPr>
        <w:pStyle w:val="Rejstk1"/>
        <w:tabs>
          <w:tab w:val="right" w:leader="dot" w:pos="4171"/>
        </w:tabs>
        <w:spacing w:line="240" w:lineRule="auto"/>
      </w:pPr>
      <w:r>
        <w:t>no. 523, pp. 634‒35</w:t>
      </w:r>
      <w:r>
        <w:tab/>
        <w:t>386</w:t>
      </w:r>
    </w:p>
    <w:p w:rsidR="00AD7907" w:rsidRDefault="00AD7907" w:rsidP="00AD7907">
      <w:pPr>
        <w:pStyle w:val="Rejstk1"/>
        <w:tabs>
          <w:tab w:val="right" w:leader="dot" w:pos="4171"/>
        </w:tabs>
        <w:rPr>
          <w:b/>
          <w:lang w:val="de-LU"/>
        </w:rPr>
      </w:pPr>
    </w:p>
    <w:p w:rsidR="00AD7907" w:rsidRPr="008757E5" w:rsidRDefault="00AD7907" w:rsidP="00AD7907">
      <w:pPr>
        <w:pStyle w:val="Rejstk2"/>
        <w:tabs>
          <w:tab w:val="right" w:leader="dot" w:pos="4171"/>
        </w:tabs>
        <w:spacing w:line="240" w:lineRule="auto"/>
        <w:ind w:left="0" w:firstLine="0"/>
        <w:rPr>
          <w:b/>
          <w:lang w:val="de-LU"/>
        </w:rPr>
      </w:pPr>
      <w:r w:rsidRPr="008757E5">
        <w:rPr>
          <w:b/>
          <w:lang w:val="de-LU"/>
        </w:rPr>
        <w:t>Immanuel</w:t>
      </w:r>
      <w:r>
        <w:rPr>
          <w:b/>
          <w:lang w:val="de-LU"/>
        </w:rPr>
        <w:t xml:space="preserve"> Kant</w:t>
      </w:r>
      <w:r w:rsidRPr="008757E5">
        <w:rPr>
          <w:b/>
          <w:lang w:val="de-LU"/>
        </w:rPr>
        <w:t xml:space="preserve"> </w:t>
      </w:r>
    </w:p>
    <w:p w:rsidR="00AD7907" w:rsidRDefault="00AD7907" w:rsidP="00AD7907">
      <w:pPr>
        <w:pStyle w:val="Rejstk2"/>
        <w:tabs>
          <w:tab w:val="right" w:leader="dot" w:pos="4171"/>
        </w:tabs>
        <w:spacing w:line="240" w:lineRule="auto"/>
        <w:ind w:left="242"/>
      </w:pPr>
      <w:r>
        <w:t>KdPV 31</w:t>
      </w:r>
      <w:r>
        <w:tab/>
        <w:t>873, 889</w:t>
      </w:r>
    </w:p>
    <w:p w:rsidR="00AD7907" w:rsidRDefault="00AD7907" w:rsidP="00AD7907">
      <w:pPr>
        <w:pStyle w:val="Rejstk2"/>
        <w:tabs>
          <w:tab w:val="right" w:leader="dot" w:pos="4171"/>
        </w:tabs>
        <w:spacing w:line="240" w:lineRule="auto"/>
        <w:ind w:left="242"/>
      </w:pPr>
      <w:r>
        <w:t>KdPV 50</w:t>
      </w:r>
      <w:r>
        <w:tab/>
        <w:t>857</w:t>
      </w:r>
    </w:p>
    <w:p w:rsidR="00AD7907" w:rsidRDefault="00AD7907" w:rsidP="00AD7907">
      <w:pPr>
        <w:pStyle w:val="Rejstk2"/>
        <w:tabs>
          <w:tab w:val="right" w:leader="dot" w:pos="4171"/>
        </w:tabs>
        <w:spacing w:line="240" w:lineRule="auto"/>
        <w:ind w:left="242"/>
      </w:pPr>
      <w:r>
        <w:t>KdRV, A 108</w:t>
      </w:r>
      <w:r>
        <w:tab/>
        <w:t>834</w:t>
      </w:r>
    </w:p>
    <w:p w:rsidR="00AD7907" w:rsidRDefault="00AD7907" w:rsidP="00AD7907">
      <w:pPr>
        <w:pStyle w:val="Rejstk2"/>
        <w:tabs>
          <w:tab w:val="right" w:leader="dot" w:pos="4171"/>
        </w:tabs>
        <w:spacing w:line="240" w:lineRule="auto"/>
        <w:ind w:left="242"/>
      </w:pPr>
      <w:r>
        <w:t>KdRV, A 119</w:t>
      </w:r>
      <w:r>
        <w:tab/>
        <w:t>834</w:t>
      </w:r>
    </w:p>
    <w:p w:rsidR="00AD7907" w:rsidRDefault="00AD7907" w:rsidP="00AD7907">
      <w:pPr>
        <w:pStyle w:val="Rejstk2"/>
        <w:tabs>
          <w:tab w:val="right" w:leader="dot" w:pos="4171"/>
        </w:tabs>
        <w:spacing w:line="240" w:lineRule="auto"/>
        <w:ind w:left="242"/>
      </w:pPr>
      <w:r>
        <w:t>KdRV, A 55</w:t>
      </w:r>
      <w:r>
        <w:tab/>
        <w:t>536</w:t>
      </w:r>
    </w:p>
    <w:p w:rsidR="00AD7907" w:rsidRDefault="00AD7907" w:rsidP="00AD7907">
      <w:pPr>
        <w:pStyle w:val="Rejstk2"/>
        <w:tabs>
          <w:tab w:val="right" w:leader="dot" w:pos="4171"/>
        </w:tabs>
        <w:spacing w:line="240" w:lineRule="auto"/>
        <w:ind w:left="242"/>
      </w:pPr>
      <w:r>
        <w:t>KdRV, B 218‒64</w:t>
      </w:r>
      <w:r>
        <w:tab/>
        <w:t>833</w:t>
      </w:r>
    </w:p>
    <w:p w:rsidR="00AD7907" w:rsidRDefault="00AD7907" w:rsidP="00AD7907">
      <w:pPr>
        <w:pStyle w:val="Rejstk2"/>
        <w:tabs>
          <w:tab w:val="right" w:leader="dot" w:pos="4171"/>
        </w:tabs>
        <w:spacing w:line="240" w:lineRule="auto"/>
        <w:ind w:left="242"/>
      </w:pPr>
      <w:r>
        <w:t>KdRV, B 219</w:t>
      </w:r>
      <w:r>
        <w:tab/>
        <w:t>832</w:t>
      </w:r>
    </w:p>
    <w:p w:rsidR="00AD7907" w:rsidRDefault="00AD7907" w:rsidP="00AD7907">
      <w:pPr>
        <w:pStyle w:val="Rejstk2"/>
        <w:tabs>
          <w:tab w:val="right" w:leader="dot" w:pos="4171"/>
        </w:tabs>
        <w:spacing w:line="240" w:lineRule="auto"/>
        <w:ind w:left="242"/>
      </w:pPr>
      <w:r>
        <w:t>KdRV, B 220</w:t>
      </w:r>
      <w:r>
        <w:tab/>
        <w:t>833</w:t>
      </w:r>
    </w:p>
    <w:p w:rsidR="00AD7907" w:rsidRDefault="00AD7907" w:rsidP="00AD7907">
      <w:pPr>
        <w:pStyle w:val="Rejstk2"/>
        <w:tabs>
          <w:tab w:val="right" w:leader="dot" w:pos="4171"/>
        </w:tabs>
        <w:spacing w:line="240" w:lineRule="auto"/>
        <w:ind w:left="242"/>
      </w:pPr>
      <w:r>
        <w:t>KdRV, B 472‒73</w:t>
      </w:r>
      <w:r>
        <w:tab/>
        <w:t>536</w:t>
      </w:r>
    </w:p>
    <w:p w:rsidR="00AD7907" w:rsidRDefault="00AD7907" w:rsidP="00AD7907">
      <w:pPr>
        <w:pStyle w:val="Rejstk2"/>
        <w:tabs>
          <w:tab w:val="right" w:leader="dot" w:pos="4171"/>
        </w:tabs>
        <w:spacing w:line="240" w:lineRule="auto"/>
        <w:ind w:left="242"/>
      </w:pPr>
      <w:r>
        <w:t>KdU 294</w:t>
      </w:r>
      <w:r>
        <w:tab/>
        <w:t>905</w:t>
      </w:r>
    </w:p>
    <w:p w:rsidR="00AD7907" w:rsidRPr="00710C67" w:rsidRDefault="00AD7907" w:rsidP="00AD7907">
      <w:pPr>
        <w:pStyle w:val="Rejstk2"/>
        <w:tabs>
          <w:tab w:val="right" w:leader="dot" w:pos="4171"/>
        </w:tabs>
        <w:ind w:left="242"/>
        <w:rPr>
          <w:lang w:val="de-LU"/>
        </w:rPr>
      </w:pPr>
    </w:p>
    <w:p w:rsidR="00AD7907" w:rsidRPr="008757E5" w:rsidRDefault="00AD7907" w:rsidP="00AD7907">
      <w:pPr>
        <w:pStyle w:val="Rejstk1"/>
        <w:tabs>
          <w:tab w:val="right" w:leader="dot" w:pos="4171"/>
        </w:tabs>
        <w:spacing w:line="240" w:lineRule="auto"/>
        <w:rPr>
          <w:b/>
          <w:lang w:val="de-LU"/>
        </w:rPr>
      </w:pPr>
      <w:r w:rsidRPr="008757E5">
        <w:rPr>
          <w:b/>
          <w:lang w:val="de-LU"/>
        </w:rPr>
        <w:t>La Rochelle</w:t>
      </w:r>
    </w:p>
    <w:p w:rsidR="00AD7907" w:rsidRDefault="00AD7907" w:rsidP="00AD7907">
      <w:pPr>
        <w:pStyle w:val="Rejstk1"/>
        <w:tabs>
          <w:tab w:val="right" w:leader="dot" w:pos="4171"/>
        </w:tabs>
        <w:spacing w:line="240" w:lineRule="auto"/>
        <w:rPr>
          <w:lang w:val="de-LU"/>
        </w:rPr>
      </w:pPr>
      <w:r w:rsidRPr="00C018BD">
        <w:rPr>
          <w:i/>
          <w:lang w:val="de-DE"/>
        </w:rPr>
        <w:t>Summa de anima</w:t>
      </w:r>
      <w:r w:rsidRPr="00C018BD">
        <w:rPr>
          <w:lang w:val="de-DE"/>
        </w:rPr>
        <w:t>, cap. 26, 6–13</w:t>
      </w:r>
      <w:r>
        <w:rPr>
          <w:lang w:val="de-LU"/>
        </w:rPr>
        <w:tab/>
        <w:t>74</w:t>
      </w:r>
    </w:p>
    <w:p w:rsidR="00AD7907" w:rsidRDefault="00AD7907" w:rsidP="00AD7907">
      <w:pPr>
        <w:pStyle w:val="Rejstk1"/>
        <w:tabs>
          <w:tab w:val="right" w:leader="dot" w:pos="4171"/>
        </w:tabs>
        <w:rPr>
          <w:b/>
          <w:lang w:val="de-LU"/>
        </w:rPr>
      </w:pPr>
    </w:p>
    <w:p w:rsidR="00AD7907" w:rsidRPr="008757E5" w:rsidRDefault="00AD7907" w:rsidP="00AD7907">
      <w:pPr>
        <w:pStyle w:val="Rejstk1"/>
        <w:tabs>
          <w:tab w:val="right" w:leader="dot" w:pos="4171"/>
        </w:tabs>
        <w:spacing w:line="240" w:lineRule="auto"/>
        <w:rPr>
          <w:b/>
          <w:lang w:val="de-LU"/>
        </w:rPr>
      </w:pPr>
      <w:r w:rsidRPr="008757E5">
        <w:rPr>
          <w:b/>
          <w:lang w:val="de-LU"/>
        </w:rPr>
        <w:t>Brunetto</w:t>
      </w:r>
      <w:r>
        <w:rPr>
          <w:b/>
          <w:lang w:val="de-LU"/>
        </w:rPr>
        <w:t xml:space="preserve"> Latini</w:t>
      </w:r>
    </w:p>
    <w:p w:rsidR="00AD7907" w:rsidRDefault="00AD7907" w:rsidP="00AD7907">
      <w:pPr>
        <w:pStyle w:val="Rejstk1"/>
        <w:tabs>
          <w:tab w:val="right" w:leader="dot" w:pos="4171"/>
        </w:tabs>
        <w:spacing w:line="240" w:lineRule="auto"/>
        <w:rPr>
          <w:lang w:val="de-LU"/>
        </w:rPr>
      </w:pPr>
      <w:r w:rsidRPr="00C018BD">
        <w:rPr>
          <w:i/>
          <w:lang w:val="de-LU"/>
        </w:rPr>
        <w:t>Li Livres dou Tresor</w:t>
      </w:r>
      <w:r>
        <w:rPr>
          <w:lang w:val="de-LU"/>
        </w:rPr>
        <w:t xml:space="preserve"> 179</w:t>
      </w:r>
      <w:r>
        <w:rPr>
          <w:lang w:val="de-LU"/>
        </w:rPr>
        <w:tab/>
        <w:t>885</w:t>
      </w:r>
    </w:p>
    <w:p w:rsidR="00AD7907" w:rsidRPr="00710C67" w:rsidRDefault="00AD7907" w:rsidP="00AD7907">
      <w:pPr>
        <w:pStyle w:val="Rejstk1"/>
        <w:tabs>
          <w:tab w:val="right" w:leader="dot" w:pos="4171"/>
        </w:tabs>
        <w:spacing w:line="240" w:lineRule="auto"/>
        <w:rPr>
          <w:lang w:val="de-LU"/>
        </w:rPr>
      </w:pPr>
    </w:p>
    <w:p w:rsidR="00AD7907" w:rsidRPr="008757E5" w:rsidRDefault="00AD7907" w:rsidP="00AD7907">
      <w:pPr>
        <w:pStyle w:val="Rejstk1"/>
        <w:tabs>
          <w:tab w:val="right" w:leader="dot" w:pos="4171"/>
        </w:tabs>
        <w:spacing w:line="240" w:lineRule="auto"/>
        <w:rPr>
          <w:b/>
          <w:i/>
          <w:lang w:val="de-LU"/>
        </w:rPr>
      </w:pPr>
      <w:r w:rsidRPr="008757E5">
        <w:rPr>
          <w:b/>
          <w:i/>
          <w:lang w:val="de-LU"/>
        </w:rPr>
        <w:t xml:space="preserve">Lectura in Ethicam novam </w:t>
      </w:r>
      <w:r w:rsidRPr="008757E5">
        <w:rPr>
          <w:rFonts w:eastAsia="TeXGyreTermes-Regular"/>
          <w:b/>
          <w:i/>
          <w:lang w:val="de-LU"/>
        </w:rPr>
        <w:t xml:space="preserve">du </w:t>
      </w:r>
      <w:r w:rsidRPr="008757E5">
        <w:rPr>
          <w:b/>
          <w:i/>
          <w:lang w:val="de-LU"/>
        </w:rPr>
        <w:t>Commentaire de Paris</w:t>
      </w:r>
    </w:p>
    <w:p w:rsidR="00AD7907" w:rsidRDefault="00AD7907" w:rsidP="00AD7907">
      <w:pPr>
        <w:pStyle w:val="Rejstk1"/>
        <w:tabs>
          <w:tab w:val="right" w:leader="dot" w:pos="4171"/>
        </w:tabs>
        <w:rPr>
          <w:lang w:val="de-LU"/>
        </w:rPr>
      </w:pPr>
      <w:r w:rsidRPr="00C018BD">
        <w:rPr>
          <w:rFonts w:eastAsia="TeXGyreTermes-Regular"/>
          <w:lang w:val="de-LU"/>
        </w:rPr>
        <w:t>24.169‒25.179</w:t>
      </w:r>
      <w:r>
        <w:rPr>
          <w:lang w:val="de-LU"/>
        </w:rPr>
        <w:tab/>
        <w:t>859</w:t>
      </w:r>
    </w:p>
    <w:p w:rsidR="00AD7907" w:rsidRDefault="00AD7907" w:rsidP="00AD7907">
      <w:pPr>
        <w:pStyle w:val="Rejstk1"/>
        <w:tabs>
          <w:tab w:val="right" w:leader="dot" w:pos="4171"/>
        </w:tabs>
        <w:rPr>
          <w:lang w:val="de-LU"/>
        </w:rPr>
      </w:pPr>
    </w:p>
    <w:p w:rsidR="00AD7907" w:rsidRPr="00710C67" w:rsidRDefault="00AD7907" w:rsidP="00AD7907">
      <w:pPr>
        <w:pStyle w:val="Rejstk1"/>
        <w:tabs>
          <w:tab w:val="right" w:leader="dot" w:pos="4171"/>
        </w:tabs>
        <w:spacing w:line="240" w:lineRule="auto"/>
        <w:ind w:left="238" w:hanging="238"/>
        <w:rPr>
          <w:lang w:val="de-LU"/>
        </w:rPr>
      </w:pPr>
      <w:r w:rsidRPr="008757E5">
        <w:rPr>
          <w:rStyle w:val="st"/>
          <w:b/>
        </w:rPr>
        <w:t>Gottfried Wilhelm</w:t>
      </w:r>
      <w:r>
        <w:rPr>
          <w:rStyle w:val="st"/>
          <w:b/>
        </w:rPr>
        <w:t xml:space="preserve"> </w:t>
      </w:r>
      <w:r>
        <w:rPr>
          <w:b/>
          <w:lang w:val="de-LU"/>
        </w:rPr>
        <w:t>Leibniz</w:t>
      </w:r>
      <w:r w:rsidRPr="008757E5">
        <w:rPr>
          <w:b/>
          <w:lang w:val="de-LU"/>
        </w:rPr>
        <w:t xml:space="preserve"> </w:t>
      </w:r>
    </w:p>
    <w:p w:rsidR="00AD7907" w:rsidRDefault="00AD7907" w:rsidP="00AD7907">
      <w:pPr>
        <w:pStyle w:val="Rejstk2"/>
        <w:tabs>
          <w:tab w:val="right" w:leader="dot" w:pos="4171"/>
        </w:tabs>
        <w:spacing w:line="240" w:lineRule="auto"/>
        <w:ind w:left="242"/>
        <w:rPr>
          <w:lang w:val="de-LU"/>
        </w:rPr>
      </w:pPr>
      <w:r w:rsidRPr="00C018BD">
        <w:rPr>
          <w:bCs/>
          <w:i/>
          <w:iCs/>
          <w:lang w:val="de-LU"/>
        </w:rPr>
        <w:t xml:space="preserve">Nouveaux Essais sur l'entendement humain </w:t>
      </w:r>
      <w:r w:rsidRPr="00C018BD">
        <w:rPr>
          <w:bCs/>
          <w:iCs/>
          <w:lang w:val="de-LU"/>
        </w:rPr>
        <w:t>1.27.9</w:t>
      </w:r>
      <w:r>
        <w:rPr>
          <w:lang w:val="de-LU"/>
        </w:rPr>
        <w:tab/>
        <w:t>363</w:t>
      </w:r>
    </w:p>
    <w:p w:rsidR="00AD7907" w:rsidRDefault="00AD7907" w:rsidP="00AD7907">
      <w:pPr>
        <w:pStyle w:val="Rejstk2"/>
        <w:tabs>
          <w:tab w:val="right" w:leader="dot" w:pos="4171"/>
        </w:tabs>
        <w:spacing w:line="240" w:lineRule="auto"/>
        <w:ind w:left="242"/>
        <w:rPr>
          <w:lang w:val="de-LU"/>
        </w:rPr>
      </w:pPr>
      <w:r w:rsidRPr="00C018BD">
        <w:rPr>
          <w:i/>
          <w:iCs/>
          <w:lang w:val="de-LU"/>
        </w:rPr>
        <w:t>Théodicée 97</w:t>
      </w:r>
      <w:r>
        <w:rPr>
          <w:lang w:val="de-LU"/>
        </w:rPr>
        <w:tab/>
        <w:t>633</w:t>
      </w:r>
    </w:p>
    <w:p w:rsidR="00AD7907" w:rsidRDefault="00AD7907" w:rsidP="00AD7907">
      <w:pPr>
        <w:pStyle w:val="Rejstk1"/>
        <w:tabs>
          <w:tab w:val="right" w:leader="dot" w:pos="4171"/>
        </w:tabs>
        <w:rPr>
          <w:b/>
          <w:lang w:val="de-LU"/>
        </w:rPr>
      </w:pPr>
    </w:p>
    <w:p w:rsidR="00AD7907" w:rsidRPr="008757E5" w:rsidRDefault="00AD7907" w:rsidP="00AD7907">
      <w:pPr>
        <w:pStyle w:val="Rejstk1"/>
        <w:tabs>
          <w:tab w:val="right" w:leader="dot" w:pos="4171"/>
        </w:tabs>
        <w:spacing w:line="240" w:lineRule="auto"/>
        <w:rPr>
          <w:b/>
          <w:i/>
          <w:lang w:val="de-LU"/>
        </w:rPr>
      </w:pPr>
      <w:r w:rsidRPr="008757E5">
        <w:rPr>
          <w:b/>
          <w:i/>
          <w:lang w:val="de-LU"/>
        </w:rPr>
        <w:t>Liber de causis</w:t>
      </w:r>
    </w:p>
    <w:p w:rsidR="00AD7907" w:rsidRDefault="00AD7907" w:rsidP="00AD7907">
      <w:pPr>
        <w:pStyle w:val="Rejstk1"/>
        <w:tabs>
          <w:tab w:val="right" w:leader="dot" w:pos="4171"/>
        </w:tabs>
        <w:spacing w:line="240" w:lineRule="auto"/>
      </w:pPr>
      <w:r w:rsidRPr="004B4DFF">
        <w:rPr>
          <w:i/>
        </w:rPr>
        <w:t xml:space="preserve">Liber de causis </w:t>
      </w:r>
      <w:r>
        <w:t>1.7</w:t>
      </w:r>
      <w:r>
        <w:tab/>
        <w:t>583</w:t>
      </w:r>
    </w:p>
    <w:p w:rsidR="00AD7907" w:rsidRDefault="00AD7907" w:rsidP="00AD7907">
      <w:pPr>
        <w:pStyle w:val="Rejstk1"/>
        <w:tabs>
          <w:tab w:val="right" w:leader="dot" w:pos="4171"/>
        </w:tabs>
        <w:spacing w:line="240" w:lineRule="auto"/>
      </w:pPr>
      <w:r w:rsidRPr="004B4DFF">
        <w:rPr>
          <w:i/>
        </w:rPr>
        <w:t>Liber de causis</w:t>
      </w:r>
      <w:r>
        <w:t xml:space="preserve"> 14.124</w:t>
      </w:r>
      <w:r>
        <w:tab/>
        <w:t>584</w:t>
      </w:r>
    </w:p>
    <w:p w:rsidR="00AD7907" w:rsidRDefault="00AD7907" w:rsidP="00AD7907">
      <w:pPr>
        <w:pStyle w:val="Rejstk1"/>
        <w:tabs>
          <w:tab w:val="right" w:leader="dot" w:pos="4171"/>
        </w:tabs>
      </w:pPr>
      <w:r w:rsidRPr="004B4DFF">
        <w:rPr>
          <w:i/>
        </w:rPr>
        <w:t xml:space="preserve">Liber de causis </w:t>
      </w:r>
      <w:r>
        <w:t>14.182</w:t>
      </w:r>
      <w:r>
        <w:tab/>
        <w:t>583</w:t>
      </w:r>
    </w:p>
    <w:p w:rsidR="00AD7907" w:rsidRDefault="00AD7907" w:rsidP="00AD7907">
      <w:pPr>
        <w:pStyle w:val="Rejstk1"/>
        <w:tabs>
          <w:tab w:val="right" w:leader="dot" w:pos="4171"/>
        </w:tabs>
        <w:rPr>
          <w:lang w:val="de-LU"/>
        </w:rPr>
      </w:pPr>
    </w:p>
    <w:p w:rsidR="00AD7907" w:rsidRDefault="00AD7907" w:rsidP="00AD7907">
      <w:pPr>
        <w:pStyle w:val="Rejstk1"/>
        <w:tabs>
          <w:tab w:val="right" w:leader="dot" w:pos="4171"/>
        </w:tabs>
        <w:rPr>
          <w:b/>
          <w:lang w:val="de-LU"/>
        </w:rPr>
      </w:pPr>
      <w:r w:rsidRPr="00294DEA">
        <w:rPr>
          <w:b/>
          <w:lang w:val="de-LU"/>
        </w:rPr>
        <w:t>John Locke</w:t>
      </w:r>
    </w:p>
    <w:p w:rsidR="00AD7907" w:rsidRDefault="00AD7907" w:rsidP="00AD7907">
      <w:pPr>
        <w:pStyle w:val="Rejstk2"/>
        <w:tabs>
          <w:tab w:val="right" w:leader="dot" w:pos="4171"/>
        </w:tabs>
        <w:spacing w:line="240" w:lineRule="auto"/>
        <w:ind w:left="242"/>
      </w:pPr>
      <w:r w:rsidRPr="004B4DFF">
        <w:rPr>
          <w:i/>
        </w:rPr>
        <w:t xml:space="preserve">An </w:t>
      </w:r>
      <w:r w:rsidRPr="004B4DFF">
        <w:rPr>
          <w:bCs/>
          <w:i/>
        </w:rPr>
        <w:t>Essay</w:t>
      </w:r>
      <w:r w:rsidRPr="004B4DFF">
        <w:rPr>
          <w:i/>
        </w:rPr>
        <w:t xml:space="preserve"> Concerning </w:t>
      </w:r>
      <w:r w:rsidRPr="004B4DFF">
        <w:rPr>
          <w:bCs/>
          <w:i/>
        </w:rPr>
        <w:t>Human Understanding</w:t>
      </w:r>
      <w:r>
        <w:t xml:space="preserve"> 150</w:t>
      </w:r>
      <w:r>
        <w:tab/>
        <w:t>364</w:t>
      </w:r>
    </w:p>
    <w:p w:rsidR="00AD7907" w:rsidRDefault="00AD7907" w:rsidP="00AD7907">
      <w:pPr>
        <w:pStyle w:val="Rejstk2"/>
        <w:tabs>
          <w:tab w:val="right" w:leader="dot" w:pos="4171"/>
        </w:tabs>
        <w:spacing w:line="240" w:lineRule="auto"/>
        <w:ind w:left="242"/>
      </w:pPr>
      <w:r w:rsidRPr="004B4DFF">
        <w:rPr>
          <w:i/>
        </w:rPr>
        <w:t xml:space="preserve">An </w:t>
      </w:r>
      <w:r w:rsidRPr="004B4DFF">
        <w:rPr>
          <w:bCs/>
          <w:i/>
        </w:rPr>
        <w:t>Essay</w:t>
      </w:r>
      <w:r w:rsidRPr="004B4DFF">
        <w:rPr>
          <w:i/>
        </w:rPr>
        <w:t xml:space="preserve"> Concerning </w:t>
      </w:r>
      <w:r w:rsidRPr="004B4DFF">
        <w:rPr>
          <w:bCs/>
          <w:i/>
        </w:rPr>
        <w:t>Human Understanding</w:t>
      </w:r>
      <w:r>
        <w:t xml:space="preserve"> 2.27</w:t>
      </w:r>
      <w:r>
        <w:tab/>
        <w:t>363</w:t>
      </w:r>
    </w:p>
    <w:p w:rsidR="00AD7907" w:rsidRDefault="00AD7907" w:rsidP="00AD7907">
      <w:pPr>
        <w:pStyle w:val="Rejstk2"/>
        <w:tabs>
          <w:tab w:val="right" w:leader="dot" w:pos="4171"/>
        </w:tabs>
        <w:spacing w:line="240" w:lineRule="auto"/>
        <w:ind w:left="242"/>
      </w:pPr>
      <w:r w:rsidRPr="004B4DFF">
        <w:rPr>
          <w:i/>
        </w:rPr>
        <w:t>Second Treatise of Civil Government</w:t>
      </w:r>
      <w:r>
        <w:t xml:space="preserve"> 5.27</w:t>
      </w:r>
      <w:r>
        <w:tab/>
        <w:t>563</w:t>
      </w:r>
    </w:p>
    <w:p w:rsidR="00AD7907" w:rsidRPr="00710C67" w:rsidRDefault="00AD7907" w:rsidP="00AD7907">
      <w:pPr>
        <w:pStyle w:val="Rejstk1"/>
        <w:tabs>
          <w:tab w:val="right" w:leader="dot" w:pos="4171"/>
        </w:tabs>
        <w:rPr>
          <w:b/>
          <w:lang w:val="de-LU"/>
        </w:rPr>
      </w:pPr>
    </w:p>
    <w:p w:rsidR="00AD7907" w:rsidRPr="008757E5" w:rsidRDefault="00AD7907" w:rsidP="00AD7907">
      <w:pPr>
        <w:pStyle w:val="Rejstk1"/>
        <w:tabs>
          <w:tab w:val="right" w:leader="dot" w:pos="4171"/>
        </w:tabs>
        <w:spacing w:line="240" w:lineRule="auto"/>
        <w:rPr>
          <w:b/>
          <w:lang w:val="de-LU"/>
        </w:rPr>
      </w:pPr>
      <w:r w:rsidRPr="008757E5">
        <w:rPr>
          <w:b/>
          <w:i/>
          <w:lang w:val="de-LU"/>
        </w:rPr>
        <w:t>Logica Modernorum II</w:t>
      </w:r>
    </w:p>
    <w:p w:rsidR="00AD7907" w:rsidRDefault="00AD7907" w:rsidP="00AD7907">
      <w:pPr>
        <w:pStyle w:val="Rejstk2"/>
        <w:tabs>
          <w:tab w:val="right" w:leader="dot" w:pos="4171"/>
        </w:tabs>
        <w:ind w:left="0" w:firstLine="0"/>
        <w:rPr>
          <w:lang w:val="de-LU"/>
        </w:rPr>
      </w:pPr>
      <w:r w:rsidRPr="00C018BD">
        <w:rPr>
          <w:i/>
          <w:lang w:val="de-LU"/>
        </w:rPr>
        <w:t>Dialectica monacensis</w:t>
      </w:r>
      <w:r>
        <w:rPr>
          <w:lang w:val="de-LU"/>
        </w:rPr>
        <w:t xml:space="preserve"> 481.9‒16</w:t>
      </w:r>
      <w:r>
        <w:rPr>
          <w:lang w:val="de-LU"/>
        </w:rPr>
        <w:tab/>
        <w:t>500, 523</w:t>
      </w:r>
    </w:p>
    <w:p w:rsidR="00AD7907" w:rsidRDefault="00AD7907" w:rsidP="00AD7907">
      <w:pPr>
        <w:pStyle w:val="Rejstk2"/>
        <w:tabs>
          <w:tab w:val="right" w:leader="dot" w:pos="4171"/>
        </w:tabs>
        <w:ind w:left="0" w:firstLine="0"/>
        <w:rPr>
          <w:lang w:val="de-LU"/>
        </w:rPr>
      </w:pPr>
    </w:p>
    <w:p w:rsidR="00AD7907" w:rsidRPr="00710C67" w:rsidRDefault="00AD7907" w:rsidP="00AD7907">
      <w:pPr>
        <w:pStyle w:val="Rejstk2"/>
        <w:tabs>
          <w:tab w:val="right" w:leader="dot" w:pos="4171"/>
        </w:tabs>
        <w:ind w:left="0" w:firstLine="0"/>
        <w:rPr>
          <w:lang w:val="de-LU"/>
        </w:rPr>
      </w:pPr>
      <w:r w:rsidRPr="008757E5">
        <w:rPr>
          <w:b/>
          <w:lang w:val="de-LU"/>
        </w:rPr>
        <w:t>Karl</w:t>
      </w:r>
      <w:r>
        <w:rPr>
          <w:b/>
          <w:lang w:val="de-LU"/>
        </w:rPr>
        <w:t xml:space="preserve"> Marx</w:t>
      </w:r>
      <w:r w:rsidRPr="008757E5">
        <w:rPr>
          <w:b/>
          <w:lang w:val="de-LU"/>
        </w:rPr>
        <w:t xml:space="preserve"> </w:t>
      </w:r>
    </w:p>
    <w:p w:rsidR="00AD7907" w:rsidRDefault="00AD7907" w:rsidP="00AD7907">
      <w:pPr>
        <w:pStyle w:val="Rejstk2"/>
        <w:tabs>
          <w:tab w:val="right" w:leader="dot" w:pos="4171"/>
        </w:tabs>
        <w:spacing w:line="240" w:lineRule="auto"/>
        <w:ind w:left="242"/>
        <w:rPr>
          <w:lang w:val="de-LU"/>
        </w:rPr>
      </w:pPr>
      <w:r w:rsidRPr="00C018BD">
        <w:rPr>
          <w:i/>
          <w:lang w:val="de-LU"/>
        </w:rPr>
        <w:t xml:space="preserve">Das Kapital </w:t>
      </w:r>
      <w:r>
        <w:rPr>
          <w:lang w:val="de-LU"/>
        </w:rPr>
        <w:t>162</w:t>
      </w:r>
      <w:r>
        <w:rPr>
          <w:lang w:val="de-LU"/>
        </w:rPr>
        <w:tab/>
        <w:t>159</w:t>
      </w:r>
    </w:p>
    <w:p w:rsidR="00AD7907" w:rsidRDefault="00AD7907" w:rsidP="00AD7907">
      <w:pPr>
        <w:pStyle w:val="Rejstk2"/>
        <w:tabs>
          <w:tab w:val="right" w:leader="dot" w:pos="4171"/>
        </w:tabs>
        <w:spacing w:line="240" w:lineRule="auto"/>
        <w:ind w:left="242"/>
        <w:rPr>
          <w:lang w:val="de-LU"/>
        </w:rPr>
      </w:pPr>
      <w:r w:rsidRPr="00C018BD">
        <w:rPr>
          <w:i/>
          <w:lang w:val="de-LU"/>
        </w:rPr>
        <w:t>Einleitung zur Kritik der politischen Ökonomie</w:t>
      </w:r>
      <w:r>
        <w:rPr>
          <w:lang w:val="de-LU"/>
        </w:rPr>
        <w:t xml:space="preserve"> 631</w:t>
      </w:r>
      <w:r>
        <w:rPr>
          <w:lang w:val="de-LU"/>
        </w:rPr>
        <w:tab/>
        <w:t>160</w:t>
      </w:r>
    </w:p>
    <w:p w:rsidR="00AD7907" w:rsidRDefault="00AD7907" w:rsidP="00AD7907">
      <w:pPr>
        <w:pStyle w:val="Rejstk2"/>
        <w:tabs>
          <w:tab w:val="right" w:leader="dot" w:pos="4171"/>
        </w:tabs>
        <w:spacing w:line="240" w:lineRule="auto"/>
        <w:ind w:left="242"/>
        <w:rPr>
          <w:lang w:val="de-LU"/>
        </w:rPr>
      </w:pPr>
      <w:r w:rsidRPr="00C018BD">
        <w:rPr>
          <w:i/>
          <w:lang w:val="de-LU"/>
        </w:rPr>
        <w:t>Einleitung zur Kritik der politischen Ökonomie</w:t>
      </w:r>
      <w:r>
        <w:rPr>
          <w:lang w:val="de-LU"/>
        </w:rPr>
        <w:t xml:space="preserve"> 638</w:t>
      </w:r>
      <w:r>
        <w:rPr>
          <w:lang w:val="de-LU"/>
        </w:rPr>
        <w:tab/>
        <w:t>157</w:t>
      </w:r>
    </w:p>
    <w:p w:rsidR="00AD7907" w:rsidRDefault="00AD7907" w:rsidP="00AD7907">
      <w:pPr>
        <w:pStyle w:val="Rejstk2"/>
        <w:tabs>
          <w:tab w:val="right" w:leader="dot" w:pos="4171"/>
        </w:tabs>
        <w:spacing w:line="240" w:lineRule="auto"/>
        <w:ind w:left="242"/>
        <w:rPr>
          <w:lang w:val="de-LU"/>
        </w:rPr>
      </w:pPr>
      <w:r w:rsidRPr="00C018BD">
        <w:rPr>
          <w:rFonts w:eastAsia="Batang"/>
          <w:i/>
          <w:lang w:val="de-LU"/>
        </w:rPr>
        <w:t>Ökonomisch-philosophische Manuskripte</w:t>
      </w:r>
      <w:r w:rsidRPr="00C018BD">
        <w:rPr>
          <w:rFonts w:eastAsia="Batang"/>
          <w:lang w:val="de-LU"/>
        </w:rPr>
        <w:t xml:space="preserve"> 577</w:t>
      </w:r>
      <w:r>
        <w:rPr>
          <w:lang w:val="de-LU"/>
        </w:rPr>
        <w:tab/>
        <w:t>159</w:t>
      </w:r>
    </w:p>
    <w:p w:rsidR="00AD7907" w:rsidRDefault="00AD7907" w:rsidP="00AD7907">
      <w:pPr>
        <w:pStyle w:val="Rejstk2"/>
        <w:tabs>
          <w:tab w:val="right" w:leader="dot" w:pos="4171"/>
        </w:tabs>
        <w:ind w:left="242"/>
        <w:rPr>
          <w:lang w:val="de-LU"/>
        </w:rPr>
      </w:pPr>
      <w:r w:rsidRPr="00C018BD">
        <w:rPr>
          <w:i/>
          <w:lang w:val="de-LU"/>
        </w:rPr>
        <w:t xml:space="preserve">Zur Kritik der Hegelschen Rechtsphilosophie </w:t>
      </w:r>
      <w:r>
        <w:rPr>
          <w:lang w:val="de-LU"/>
        </w:rPr>
        <w:t>383</w:t>
      </w:r>
      <w:r>
        <w:rPr>
          <w:lang w:val="de-LU"/>
        </w:rPr>
        <w:tab/>
        <w:t>159¨</w:t>
      </w:r>
    </w:p>
    <w:p w:rsidR="00AD7907" w:rsidRDefault="00AD7907" w:rsidP="00AD7907">
      <w:pPr>
        <w:pStyle w:val="Rejstk2"/>
        <w:tabs>
          <w:tab w:val="right" w:leader="dot" w:pos="4171"/>
        </w:tabs>
        <w:ind w:left="242"/>
        <w:rPr>
          <w:lang w:val="de-LU"/>
        </w:rPr>
      </w:pPr>
    </w:p>
    <w:p w:rsidR="00AD7907" w:rsidRPr="00416968" w:rsidRDefault="00AD7907" w:rsidP="00AD7907">
      <w:pPr>
        <w:pStyle w:val="Rejstk2"/>
        <w:tabs>
          <w:tab w:val="right" w:leader="dot" w:pos="4171"/>
        </w:tabs>
        <w:ind w:left="242"/>
        <w:rPr>
          <w:b/>
          <w:lang w:val="de-LU"/>
        </w:rPr>
      </w:pPr>
      <w:r w:rsidRPr="00416968">
        <w:rPr>
          <w:b/>
          <w:lang w:val="de-LU"/>
        </w:rPr>
        <w:t>Mnichovský anonym</w:t>
      </w:r>
    </w:p>
    <w:p w:rsidR="00AD7907" w:rsidRDefault="00AD7907" w:rsidP="00AD7907">
      <w:pPr>
        <w:pStyle w:val="Rejstk1"/>
        <w:tabs>
          <w:tab w:val="right" w:leader="dot" w:pos="4171"/>
        </w:tabs>
        <w:spacing w:line="240" w:lineRule="auto"/>
      </w:pPr>
      <w:r>
        <w:t>138.20‒23</w:t>
      </w:r>
      <w:r>
        <w:tab/>
        <w:t>179</w:t>
      </w:r>
    </w:p>
    <w:p w:rsidR="00AD7907" w:rsidRDefault="00AD7907" w:rsidP="00AD7907">
      <w:pPr>
        <w:pStyle w:val="Rejstk1"/>
        <w:tabs>
          <w:tab w:val="right" w:leader="dot" w:pos="4171"/>
        </w:tabs>
        <w:spacing w:line="240" w:lineRule="auto"/>
      </w:pPr>
      <w:r>
        <w:t>138.22‒25</w:t>
      </w:r>
      <w:r>
        <w:tab/>
        <w:t>179</w:t>
      </w:r>
    </w:p>
    <w:p w:rsidR="00AD7907" w:rsidRDefault="00AD7907" w:rsidP="00AD7907">
      <w:pPr>
        <w:pStyle w:val="Rejstk1"/>
        <w:tabs>
          <w:tab w:val="right" w:leader="dot" w:pos="4171"/>
        </w:tabs>
        <w:spacing w:line="240" w:lineRule="auto"/>
      </w:pPr>
      <w:r>
        <w:t>142.29‒31</w:t>
      </w:r>
      <w:r>
        <w:tab/>
        <w:t>181</w:t>
      </w:r>
    </w:p>
    <w:p w:rsidR="00AD7907" w:rsidRDefault="00AD7907" w:rsidP="00AD7907">
      <w:pPr>
        <w:pStyle w:val="Rejstk1"/>
        <w:tabs>
          <w:tab w:val="right" w:leader="dot" w:pos="4171"/>
        </w:tabs>
        <w:spacing w:line="240" w:lineRule="auto"/>
      </w:pPr>
      <w:r>
        <w:t>155.23‒30</w:t>
      </w:r>
      <w:r>
        <w:tab/>
        <w:t>191</w:t>
      </w:r>
    </w:p>
    <w:p w:rsidR="00AD7907" w:rsidRDefault="00AD7907" w:rsidP="00AD7907">
      <w:pPr>
        <w:pStyle w:val="Rejstk1"/>
        <w:tabs>
          <w:tab w:val="right" w:leader="dot" w:pos="4171"/>
        </w:tabs>
        <w:spacing w:line="240" w:lineRule="auto"/>
      </w:pPr>
      <w:r>
        <w:t>156.35‒36</w:t>
      </w:r>
      <w:r>
        <w:tab/>
        <w:t>193</w:t>
      </w:r>
    </w:p>
    <w:p w:rsidR="00AD7907" w:rsidRDefault="00AD7907" w:rsidP="00AD7907">
      <w:pPr>
        <w:pStyle w:val="Rejstk1"/>
        <w:tabs>
          <w:tab w:val="right" w:leader="dot" w:pos="4171"/>
        </w:tabs>
        <w:spacing w:line="240" w:lineRule="auto"/>
      </w:pPr>
      <w:r>
        <w:t>161.76‒77</w:t>
      </w:r>
      <w:r>
        <w:tab/>
        <w:t>182</w:t>
      </w:r>
    </w:p>
    <w:p w:rsidR="00AD7907" w:rsidRDefault="00AD7907" w:rsidP="00AD7907">
      <w:pPr>
        <w:pStyle w:val="Rejstk1"/>
        <w:tabs>
          <w:tab w:val="right" w:leader="dot" w:pos="4171"/>
        </w:tabs>
        <w:spacing w:line="240" w:lineRule="auto"/>
      </w:pPr>
      <w:r>
        <w:t>164.24‒29</w:t>
      </w:r>
      <w:r>
        <w:tab/>
        <w:t>183</w:t>
      </w:r>
    </w:p>
    <w:p w:rsidR="00AD7907" w:rsidRDefault="00AD7907" w:rsidP="00AD7907">
      <w:pPr>
        <w:pStyle w:val="Rejstk1"/>
        <w:tabs>
          <w:tab w:val="right" w:leader="dot" w:pos="4171"/>
        </w:tabs>
        <w:spacing w:line="240" w:lineRule="auto"/>
      </w:pPr>
      <w:r>
        <w:lastRenderedPageBreak/>
        <w:t>164.25‒26</w:t>
      </w:r>
      <w:r>
        <w:tab/>
        <w:t>183</w:t>
      </w:r>
    </w:p>
    <w:p w:rsidR="00AD7907" w:rsidRDefault="00AD7907" w:rsidP="00AD7907">
      <w:pPr>
        <w:pStyle w:val="Rejstk1"/>
        <w:tabs>
          <w:tab w:val="right" w:leader="dot" w:pos="4171"/>
        </w:tabs>
        <w:spacing w:line="240" w:lineRule="auto"/>
      </w:pPr>
      <w:r>
        <w:t>168.44‒47</w:t>
      </w:r>
      <w:r>
        <w:tab/>
        <w:t>184</w:t>
      </w:r>
    </w:p>
    <w:p w:rsidR="00AD7907" w:rsidRDefault="00AD7907" w:rsidP="00AD7907">
      <w:pPr>
        <w:pStyle w:val="Rejstk1"/>
        <w:tabs>
          <w:tab w:val="right" w:leader="dot" w:pos="4171"/>
        </w:tabs>
        <w:spacing w:line="240" w:lineRule="auto"/>
      </w:pPr>
      <w:r>
        <w:t>168.48‒56</w:t>
      </w:r>
      <w:r>
        <w:tab/>
        <w:t>185</w:t>
      </w:r>
    </w:p>
    <w:p w:rsidR="00AD7907" w:rsidRDefault="00AD7907" w:rsidP="00AD7907">
      <w:pPr>
        <w:pStyle w:val="Rejstk1"/>
        <w:tabs>
          <w:tab w:val="right" w:leader="dot" w:pos="4171"/>
        </w:tabs>
        <w:spacing w:line="240" w:lineRule="auto"/>
      </w:pPr>
      <w:r>
        <w:t>168.57‒61</w:t>
      </w:r>
      <w:r>
        <w:tab/>
        <w:t>188</w:t>
      </w:r>
    </w:p>
    <w:p w:rsidR="00AD7907" w:rsidRDefault="00AD7907" w:rsidP="00AD7907">
      <w:pPr>
        <w:pStyle w:val="Rejstk1"/>
        <w:tabs>
          <w:tab w:val="right" w:leader="dot" w:pos="4171"/>
        </w:tabs>
        <w:spacing w:line="240" w:lineRule="auto"/>
      </w:pPr>
      <w:r>
        <w:t>169.64‒77</w:t>
      </w:r>
      <w:r>
        <w:tab/>
        <w:t>189</w:t>
      </w:r>
    </w:p>
    <w:p w:rsidR="00AD7907" w:rsidRDefault="00AD7907" w:rsidP="00AD7907">
      <w:pPr>
        <w:pStyle w:val="Rejstk1"/>
        <w:tabs>
          <w:tab w:val="right" w:leader="dot" w:pos="4171"/>
        </w:tabs>
        <w:spacing w:line="240" w:lineRule="auto"/>
      </w:pPr>
      <w:r>
        <w:t>250.18‒24</w:t>
      </w:r>
      <w:r>
        <w:tab/>
        <w:t>198</w:t>
      </w:r>
    </w:p>
    <w:p w:rsidR="00AD7907" w:rsidRDefault="00AD7907" w:rsidP="00AD7907">
      <w:pPr>
        <w:pStyle w:val="Rejstk2"/>
        <w:tabs>
          <w:tab w:val="right" w:leader="dot" w:pos="4171"/>
        </w:tabs>
        <w:ind w:left="242"/>
        <w:rPr>
          <w:lang w:val="de-LU"/>
        </w:rPr>
      </w:pPr>
    </w:p>
    <w:p w:rsidR="00AD7907" w:rsidRPr="008757E5" w:rsidRDefault="00AD7907" w:rsidP="00AD7907">
      <w:pPr>
        <w:pStyle w:val="Rejstk1"/>
        <w:tabs>
          <w:tab w:val="right" w:leader="dot" w:pos="4171"/>
        </w:tabs>
        <w:spacing w:line="240" w:lineRule="auto"/>
        <w:rPr>
          <w:b/>
          <w:lang w:val="de-LU"/>
        </w:rPr>
      </w:pPr>
      <w:r w:rsidRPr="008757E5">
        <w:rPr>
          <w:b/>
          <w:lang w:val="de-LU"/>
        </w:rPr>
        <w:t>Friedrich</w:t>
      </w:r>
      <w:r>
        <w:rPr>
          <w:b/>
          <w:lang w:val="de-LU"/>
        </w:rPr>
        <w:t xml:space="preserve"> Nietzsche</w:t>
      </w:r>
    </w:p>
    <w:p w:rsidR="00AD7907" w:rsidRDefault="00AD7907" w:rsidP="00AD7907">
      <w:pPr>
        <w:pStyle w:val="Rejstk2"/>
        <w:tabs>
          <w:tab w:val="right" w:leader="dot" w:pos="4171"/>
        </w:tabs>
        <w:spacing w:line="240" w:lineRule="auto"/>
        <w:ind w:left="242"/>
        <w:rPr>
          <w:lang w:val="de-LU"/>
        </w:rPr>
      </w:pPr>
      <w:r w:rsidRPr="00C018BD">
        <w:rPr>
          <w:rFonts w:eastAsia="Georgia"/>
          <w:i/>
          <w:lang w:val="de-LU"/>
        </w:rPr>
        <w:t xml:space="preserve">Nachgelassene Fragmente </w:t>
      </w:r>
      <w:r>
        <w:rPr>
          <w:lang w:val="de-LU"/>
        </w:rPr>
        <w:t>NF-1888, 17[4]</w:t>
      </w:r>
      <w:r>
        <w:rPr>
          <w:lang w:val="de-LU"/>
        </w:rPr>
        <w:tab/>
        <w:t>741</w:t>
      </w:r>
    </w:p>
    <w:p w:rsidR="00AD7907" w:rsidRDefault="00AD7907" w:rsidP="00AD7907">
      <w:pPr>
        <w:pStyle w:val="Rejstk2"/>
        <w:tabs>
          <w:tab w:val="right" w:leader="dot" w:pos="4171"/>
        </w:tabs>
        <w:ind w:left="242"/>
        <w:rPr>
          <w:lang w:val="de-LU"/>
        </w:rPr>
      </w:pPr>
      <w:r w:rsidRPr="00C018BD">
        <w:rPr>
          <w:i/>
          <w:lang w:val="de-LU"/>
        </w:rPr>
        <w:t xml:space="preserve">Zur Genealogie der Moral 5, </w:t>
      </w:r>
      <w:r>
        <w:rPr>
          <w:lang w:val="de-LU"/>
        </w:rPr>
        <w:t>272</w:t>
      </w:r>
      <w:r>
        <w:rPr>
          <w:lang w:val="de-LU"/>
        </w:rPr>
        <w:tab/>
        <w:t>4</w:t>
      </w:r>
    </w:p>
    <w:p w:rsidR="00AD7907" w:rsidRDefault="00AD7907" w:rsidP="00AD7907">
      <w:pPr>
        <w:pStyle w:val="Rejstk2"/>
        <w:tabs>
          <w:tab w:val="right" w:leader="dot" w:pos="4171"/>
        </w:tabs>
        <w:ind w:left="242"/>
        <w:rPr>
          <w:lang w:val="de-LU"/>
        </w:rPr>
      </w:pPr>
    </w:p>
    <w:p w:rsidR="00AD7907" w:rsidRPr="002F56C3" w:rsidRDefault="00AD7907" w:rsidP="00AD7907">
      <w:pPr>
        <w:pStyle w:val="Rejstk2"/>
        <w:tabs>
          <w:tab w:val="right" w:leader="dot" w:pos="4171"/>
        </w:tabs>
        <w:ind w:left="242"/>
        <w:rPr>
          <w:b/>
          <w:lang w:val="de-LU"/>
        </w:rPr>
      </w:pPr>
      <w:r w:rsidRPr="002F56C3">
        <w:rPr>
          <w:b/>
          <w:lang w:val="de-LU"/>
        </w:rPr>
        <w:t>Nový zákon</w:t>
      </w:r>
    </w:p>
    <w:p w:rsidR="00AD7907" w:rsidRDefault="00AD7907" w:rsidP="00AD7907">
      <w:pPr>
        <w:pStyle w:val="Rejstk2"/>
        <w:tabs>
          <w:tab w:val="right" w:leader="dot" w:pos="4171"/>
        </w:tabs>
        <w:spacing w:line="240" w:lineRule="auto"/>
        <w:ind w:left="246"/>
      </w:pPr>
      <w:r w:rsidRPr="00710C67">
        <w:rPr>
          <w:iCs/>
        </w:rPr>
        <w:t>1 Kor</w:t>
      </w:r>
      <w:r>
        <w:t xml:space="preserve"> 7:29-31</w:t>
      </w:r>
      <w:r>
        <w:tab/>
        <w:t>8</w:t>
      </w:r>
    </w:p>
    <w:p w:rsidR="00AD7907" w:rsidRDefault="00AD7907" w:rsidP="00AD7907">
      <w:pPr>
        <w:pStyle w:val="Rejstk2"/>
        <w:tabs>
          <w:tab w:val="right" w:leader="dot" w:pos="4171"/>
        </w:tabs>
        <w:spacing w:line="240" w:lineRule="auto"/>
        <w:ind w:left="246"/>
      </w:pPr>
      <w:r>
        <w:t>Jn 1:14</w:t>
      </w:r>
      <w:r>
        <w:tab/>
        <w:t>38</w:t>
      </w:r>
    </w:p>
    <w:p w:rsidR="00AD7907" w:rsidRDefault="00AD7907" w:rsidP="00AD7907">
      <w:pPr>
        <w:pStyle w:val="Rejstk2"/>
        <w:tabs>
          <w:tab w:val="right" w:leader="dot" w:pos="4171"/>
        </w:tabs>
        <w:spacing w:line="240" w:lineRule="auto"/>
        <w:ind w:left="246"/>
      </w:pPr>
      <w:r w:rsidRPr="00710C67">
        <w:rPr>
          <w:iCs/>
        </w:rPr>
        <w:t xml:space="preserve">1 Kor </w:t>
      </w:r>
      <w:r>
        <w:rPr>
          <w:iCs/>
        </w:rPr>
        <w:t>1:</w:t>
      </w:r>
      <w:r w:rsidRPr="004B4DFF">
        <w:rPr>
          <w:iCs/>
        </w:rPr>
        <w:t>19</w:t>
      </w:r>
      <w:r>
        <w:tab/>
        <w:t>478</w:t>
      </w:r>
    </w:p>
    <w:p w:rsidR="00AD7907" w:rsidRDefault="00AD7907" w:rsidP="00AD7907">
      <w:pPr>
        <w:pStyle w:val="Rejstk2"/>
        <w:tabs>
          <w:tab w:val="right" w:leader="dot" w:pos="4171"/>
        </w:tabs>
        <w:spacing w:line="240" w:lineRule="auto"/>
        <w:ind w:left="246"/>
      </w:pPr>
      <w:r>
        <w:t>Ef 1:14</w:t>
      </w:r>
      <w:r>
        <w:tab/>
        <w:t>568</w:t>
      </w:r>
    </w:p>
    <w:p w:rsidR="00AD7907" w:rsidRDefault="00AD7907" w:rsidP="00AD7907">
      <w:pPr>
        <w:pStyle w:val="Rejstk2"/>
        <w:tabs>
          <w:tab w:val="right" w:leader="dot" w:pos="4171"/>
        </w:tabs>
        <w:spacing w:line="240" w:lineRule="auto"/>
        <w:ind w:left="246"/>
      </w:pPr>
      <w:r>
        <w:t>Ef 2:10</w:t>
      </w:r>
      <w:r>
        <w:tab/>
        <w:t>568</w:t>
      </w:r>
    </w:p>
    <w:p w:rsidR="00AD7907" w:rsidRDefault="00AD7907" w:rsidP="00AD7907">
      <w:pPr>
        <w:pStyle w:val="Rejstk2"/>
        <w:tabs>
          <w:tab w:val="right" w:leader="dot" w:pos="4171"/>
        </w:tabs>
        <w:spacing w:line="240" w:lineRule="auto"/>
        <w:ind w:left="246"/>
      </w:pPr>
      <w:r w:rsidRPr="00710C67">
        <w:t>Fil</w:t>
      </w:r>
      <w:r>
        <w:t xml:space="preserve"> 2:7</w:t>
      </w:r>
      <w:r>
        <w:tab/>
        <w:t>619</w:t>
      </w:r>
    </w:p>
    <w:p w:rsidR="00AD7907" w:rsidRDefault="00AD7907" w:rsidP="00AD7907">
      <w:pPr>
        <w:pStyle w:val="Rejstk2"/>
        <w:tabs>
          <w:tab w:val="right" w:leader="dot" w:pos="4171"/>
        </w:tabs>
        <w:spacing w:line="240" w:lineRule="auto"/>
        <w:ind w:left="246"/>
      </w:pPr>
      <w:r>
        <w:t>2 Kor 12:2</w:t>
      </w:r>
      <w:r>
        <w:tab/>
        <w:t>809</w:t>
      </w:r>
    </w:p>
    <w:p w:rsidR="00AD7907" w:rsidRDefault="00AD7907" w:rsidP="00AD7907">
      <w:pPr>
        <w:pStyle w:val="Rejstk2"/>
        <w:tabs>
          <w:tab w:val="right" w:leader="dot" w:pos="4171"/>
        </w:tabs>
        <w:spacing w:line="240" w:lineRule="auto"/>
        <w:ind w:left="246"/>
      </w:pPr>
      <w:r>
        <w:t>Ef 1:18</w:t>
      </w:r>
      <w:r>
        <w:tab/>
        <w:t>809</w:t>
      </w:r>
    </w:p>
    <w:p w:rsidR="00AD7907" w:rsidRDefault="00AD7907" w:rsidP="00AD7907">
      <w:pPr>
        <w:pStyle w:val="Rejstk2"/>
        <w:tabs>
          <w:tab w:val="right" w:leader="dot" w:pos="4171"/>
        </w:tabs>
        <w:spacing w:line="240" w:lineRule="auto"/>
        <w:ind w:left="246"/>
      </w:pPr>
      <w:r>
        <w:t>Ef 3:9</w:t>
      </w:r>
      <w:r>
        <w:tab/>
        <w:t>809</w:t>
      </w:r>
    </w:p>
    <w:p w:rsidR="00AD7907" w:rsidRDefault="00AD7907" w:rsidP="00AD7907">
      <w:pPr>
        <w:pStyle w:val="Rejstk2"/>
        <w:tabs>
          <w:tab w:val="right" w:leader="dot" w:pos="4171"/>
        </w:tabs>
        <w:spacing w:line="240" w:lineRule="auto"/>
        <w:ind w:left="246"/>
      </w:pPr>
      <w:r>
        <w:t>Rm</w:t>
      </w:r>
      <w:r w:rsidRPr="004B4DFF">
        <w:rPr>
          <w:i/>
        </w:rPr>
        <w:t xml:space="preserve"> </w:t>
      </w:r>
      <w:r>
        <w:t>1:17</w:t>
      </w:r>
      <w:r>
        <w:tab/>
        <w:t>820</w:t>
      </w:r>
    </w:p>
    <w:p w:rsidR="00AD7907" w:rsidRDefault="00AD7907" w:rsidP="00AD7907">
      <w:pPr>
        <w:pStyle w:val="Rejstk2"/>
        <w:tabs>
          <w:tab w:val="right" w:leader="dot" w:pos="4171"/>
        </w:tabs>
        <w:spacing w:line="240" w:lineRule="auto"/>
        <w:ind w:left="246"/>
      </w:pPr>
      <w:r>
        <w:t>Rm 5:14‒21</w:t>
      </w:r>
      <w:r>
        <w:tab/>
        <w:t>820</w:t>
      </w:r>
    </w:p>
    <w:p w:rsidR="00AD7907" w:rsidRDefault="00AD7907" w:rsidP="00AD7907">
      <w:pPr>
        <w:pStyle w:val="Rejstk2"/>
        <w:tabs>
          <w:tab w:val="right" w:leader="dot" w:pos="4171"/>
        </w:tabs>
        <w:spacing w:line="240" w:lineRule="auto"/>
        <w:ind w:left="246"/>
      </w:pPr>
      <w:r>
        <w:t>Lk 22:38</w:t>
      </w:r>
      <w:r>
        <w:tab/>
        <w:t>849</w:t>
      </w:r>
    </w:p>
    <w:p w:rsidR="00AD7907" w:rsidRDefault="00AD7907" w:rsidP="00AD7907">
      <w:pPr>
        <w:pStyle w:val="Rejstk2"/>
        <w:tabs>
          <w:tab w:val="right" w:leader="dot" w:pos="4171"/>
        </w:tabs>
        <w:spacing w:line="240" w:lineRule="auto"/>
        <w:ind w:left="246"/>
      </w:pPr>
      <w:r w:rsidRPr="00710C67">
        <w:t>Jn</w:t>
      </w:r>
      <w:r>
        <w:t xml:space="preserve"> 17:11</w:t>
      </w:r>
      <w:r>
        <w:tab/>
        <w:t>885</w:t>
      </w:r>
    </w:p>
    <w:p w:rsidR="00AD7907" w:rsidRDefault="00AD7907" w:rsidP="00AD7907">
      <w:pPr>
        <w:pStyle w:val="Rejstk2"/>
        <w:tabs>
          <w:tab w:val="right" w:leader="dot" w:pos="4171"/>
        </w:tabs>
        <w:spacing w:line="240" w:lineRule="auto"/>
        <w:ind w:left="246"/>
      </w:pPr>
      <w:r>
        <w:t>1 Tim 1.9</w:t>
      </w:r>
      <w:r>
        <w:tab/>
        <w:t>888</w:t>
      </w:r>
    </w:p>
    <w:p w:rsidR="00AD7907" w:rsidRDefault="00AD7907" w:rsidP="00AD7907">
      <w:pPr>
        <w:pStyle w:val="Rejstk2"/>
        <w:tabs>
          <w:tab w:val="right" w:leader="dot" w:pos="4171"/>
        </w:tabs>
        <w:spacing w:line="240" w:lineRule="auto"/>
        <w:ind w:left="246"/>
      </w:pPr>
      <w:r>
        <w:t>Mt 16:18</w:t>
      </w:r>
      <w:r>
        <w:tab/>
      </w:r>
      <w:r w:rsidR="00EA445D">
        <w:t xml:space="preserve">865, </w:t>
      </w:r>
      <w:r>
        <w:t>929</w:t>
      </w:r>
    </w:p>
    <w:p w:rsidR="00AD7907" w:rsidRDefault="00AD7907" w:rsidP="00AD7907">
      <w:pPr>
        <w:pStyle w:val="Rejstk2"/>
        <w:tabs>
          <w:tab w:val="right" w:leader="dot" w:pos="4171"/>
        </w:tabs>
        <w:ind w:left="242"/>
        <w:rPr>
          <w:lang w:val="de-LU"/>
        </w:rPr>
      </w:pPr>
    </w:p>
    <w:p w:rsidR="00AD7907" w:rsidRPr="008757E5" w:rsidRDefault="00AD7907" w:rsidP="00AD7907">
      <w:pPr>
        <w:pStyle w:val="Rejstk1"/>
        <w:tabs>
          <w:tab w:val="right" w:leader="dot" w:pos="4171"/>
        </w:tabs>
        <w:spacing w:line="240" w:lineRule="auto"/>
        <w:rPr>
          <w:b/>
          <w:lang w:val="de-LU"/>
        </w:rPr>
      </w:pPr>
      <w:r w:rsidRPr="008757E5">
        <w:rPr>
          <w:b/>
          <w:lang w:val="de-LU"/>
        </w:rPr>
        <w:t>William</w:t>
      </w:r>
      <w:r>
        <w:rPr>
          <w:b/>
          <w:lang w:val="de-LU"/>
        </w:rPr>
        <w:t xml:space="preserve"> </w:t>
      </w:r>
      <w:r w:rsidRPr="008757E5">
        <w:rPr>
          <w:b/>
          <w:lang w:val="de-LU"/>
        </w:rPr>
        <w:t xml:space="preserve">Ockham, </w:t>
      </w:r>
    </w:p>
    <w:p w:rsidR="00AD7907" w:rsidRDefault="00AD7907" w:rsidP="00AD7907">
      <w:pPr>
        <w:pStyle w:val="Rejstk2"/>
        <w:tabs>
          <w:tab w:val="right" w:leader="dot" w:pos="4171"/>
        </w:tabs>
        <w:spacing w:line="240" w:lineRule="auto"/>
        <w:ind w:left="242"/>
      </w:pPr>
      <w:r w:rsidRPr="004B4DFF">
        <w:rPr>
          <w:i/>
        </w:rPr>
        <w:t>Dialogus</w:t>
      </w:r>
      <w:r>
        <w:t xml:space="preserve"> 1.33.63‒70</w:t>
      </w:r>
      <w:r>
        <w:tab/>
        <w:t>927</w:t>
      </w:r>
    </w:p>
    <w:p w:rsidR="00AD7907" w:rsidRDefault="00AD7907" w:rsidP="00AD7907">
      <w:pPr>
        <w:pStyle w:val="Rejstk2"/>
        <w:tabs>
          <w:tab w:val="right" w:leader="dot" w:pos="4171"/>
        </w:tabs>
        <w:spacing w:line="240" w:lineRule="auto"/>
        <w:ind w:left="242"/>
      </w:pPr>
      <w:r w:rsidRPr="004B4DFF">
        <w:rPr>
          <w:i/>
        </w:rPr>
        <w:t>Dialogus</w:t>
      </w:r>
      <w:r>
        <w:t xml:space="preserve"> 1.9.42‒49</w:t>
      </w:r>
      <w:r>
        <w:tab/>
        <w:t>930</w:t>
      </w:r>
    </w:p>
    <w:p w:rsidR="00AD7907" w:rsidRDefault="00AD7907" w:rsidP="00AD7907">
      <w:pPr>
        <w:pStyle w:val="Rejstk2"/>
        <w:tabs>
          <w:tab w:val="right" w:leader="dot" w:pos="4171"/>
        </w:tabs>
        <w:spacing w:line="240" w:lineRule="auto"/>
        <w:ind w:left="242"/>
      </w:pPr>
      <w:r w:rsidRPr="004B4DFF">
        <w:rPr>
          <w:i/>
        </w:rPr>
        <w:t>Dialogus</w:t>
      </w:r>
      <w:r>
        <w:t xml:space="preserve"> 3.2.106.9</w:t>
      </w:r>
      <w:r>
        <w:tab/>
        <w:t>927</w:t>
      </w:r>
    </w:p>
    <w:p w:rsidR="00AD7907" w:rsidRDefault="00AD7907" w:rsidP="00AD7907">
      <w:pPr>
        <w:pStyle w:val="Rejstk2"/>
        <w:tabs>
          <w:tab w:val="right" w:leader="dot" w:pos="4171"/>
        </w:tabs>
        <w:spacing w:line="240" w:lineRule="auto"/>
        <w:ind w:left="242"/>
      </w:pPr>
      <w:r w:rsidRPr="004B4DFF">
        <w:rPr>
          <w:i/>
        </w:rPr>
        <w:t>Dialogus</w:t>
      </w:r>
      <w:r>
        <w:t xml:space="preserve"> 3.2.112.10‒15</w:t>
      </w:r>
      <w:r>
        <w:tab/>
        <w:t>927</w:t>
      </w:r>
    </w:p>
    <w:p w:rsidR="00AD7907" w:rsidRDefault="00AD7907" w:rsidP="00AD7907">
      <w:pPr>
        <w:pStyle w:val="Rejstk2"/>
        <w:tabs>
          <w:tab w:val="right" w:leader="dot" w:pos="4171"/>
        </w:tabs>
        <w:spacing w:line="240" w:lineRule="auto"/>
        <w:ind w:left="242"/>
      </w:pPr>
      <w:r w:rsidRPr="004B4DFF">
        <w:rPr>
          <w:i/>
        </w:rPr>
        <w:t>Dialogus</w:t>
      </w:r>
      <w:r>
        <w:t xml:space="preserve"> 3.2.115.28‒33</w:t>
      </w:r>
      <w:r>
        <w:tab/>
        <w:t>926</w:t>
      </w:r>
    </w:p>
    <w:p w:rsidR="00AD7907" w:rsidRDefault="00AD7907" w:rsidP="00AD7907">
      <w:pPr>
        <w:pStyle w:val="Rejstk2"/>
        <w:tabs>
          <w:tab w:val="right" w:leader="dot" w:pos="4171"/>
        </w:tabs>
        <w:spacing w:line="240" w:lineRule="auto"/>
        <w:ind w:left="242"/>
      </w:pPr>
      <w:r w:rsidRPr="004B4DFF">
        <w:rPr>
          <w:i/>
        </w:rPr>
        <w:t>Dialogus</w:t>
      </w:r>
      <w:r>
        <w:t xml:space="preserve"> 3.2.118.18‒21</w:t>
      </w:r>
      <w:r>
        <w:tab/>
        <w:t>926</w:t>
      </w:r>
    </w:p>
    <w:p w:rsidR="00AD7907" w:rsidRDefault="00AD7907" w:rsidP="00AD7907">
      <w:pPr>
        <w:pStyle w:val="Rejstk2"/>
        <w:tabs>
          <w:tab w:val="right" w:leader="dot" w:pos="4171"/>
        </w:tabs>
        <w:spacing w:line="240" w:lineRule="auto"/>
        <w:ind w:left="242"/>
      </w:pPr>
      <w:r w:rsidRPr="004B4DFF">
        <w:rPr>
          <w:i/>
        </w:rPr>
        <w:t xml:space="preserve">Dialogus </w:t>
      </w:r>
      <w:r>
        <w:t>3.2.122.66‒123.69</w:t>
      </w:r>
      <w:r>
        <w:tab/>
        <w:t>924</w:t>
      </w:r>
    </w:p>
    <w:p w:rsidR="00AD7907" w:rsidRDefault="00AD7907" w:rsidP="00AD7907">
      <w:pPr>
        <w:pStyle w:val="Rejstk2"/>
        <w:tabs>
          <w:tab w:val="right" w:leader="dot" w:pos="4171"/>
        </w:tabs>
        <w:spacing w:line="240" w:lineRule="auto"/>
        <w:ind w:left="242"/>
      </w:pPr>
      <w:r w:rsidRPr="004B4DFF">
        <w:rPr>
          <w:i/>
        </w:rPr>
        <w:t>Dialogus</w:t>
      </w:r>
      <w:r>
        <w:t xml:space="preserve"> 3.2.136.78‒82</w:t>
      </w:r>
      <w:r>
        <w:tab/>
        <w:t>928</w:t>
      </w:r>
    </w:p>
    <w:p w:rsidR="00AD7907" w:rsidRDefault="00AD7907" w:rsidP="00AD7907">
      <w:pPr>
        <w:pStyle w:val="Rejstk2"/>
        <w:tabs>
          <w:tab w:val="right" w:leader="dot" w:pos="4171"/>
        </w:tabs>
        <w:spacing w:line="240" w:lineRule="auto"/>
        <w:ind w:left="242"/>
      </w:pPr>
      <w:r w:rsidRPr="004B4DFF">
        <w:rPr>
          <w:i/>
        </w:rPr>
        <w:t>Dialogus</w:t>
      </w:r>
      <w:r>
        <w:t xml:space="preserve"> 3.2.153.14‒16</w:t>
      </w:r>
      <w:r>
        <w:tab/>
        <w:t>929</w:t>
      </w:r>
    </w:p>
    <w:p w:rsidR="00AD7907" w:rsidRDefault="00AD7907" w:rsidP="00AD7907">
      <w:pPr>
        <w:pStyle w:val="Rejstk2"/>
        <w:tabs>
          <w:tab w:val="right" w:leader="dot" w:pos="4171"/>
        </w:tabs>
        <w:spacing w:line="240" w:lineRule="auto"/>
        <w:ind w:left="242"/>
      </w:pPr>
      <w:r w:rsidRPr="004B4DFF">
        <w:rPr>
          <w:i/>
        </w:rPr>
        <w:t>Dialogus</w:t>
      </w:r>
      <w:r>
        <w:t xml:space="preserve"> 3.2.200.36‒40</w:t>
      </w:r>
      <w:r>
        <w:tab/>
        <w:t>928</w:t>
      </w:r>
    </w:p>
    <w:p w:rsidR="00AD7907" w:rsidRDefault="00AD7907" w:rsidP="00AD7907">
      <w:pPr>
        <w:pStyle w:val="Rejstk2"/>
        <w:tabs>
          <w:tab w:val="right" w:leader="dot" w:pos="4171"/>
        </w:tabs>
        <w:spacing w:line="240" w:lineRule="auto"/>
        <w:ind w:left="242"/>
      </w:pPr>
      <w:r w:rsidRPr="004B4DFF">
        <w:rPr>
          <w:i/>
        </w:rPr>
        <w:t>Dialogus</w:t>
      </w:r>
      <w:r>
        <w:t xml:space="preserve"> 3.2.75.32‒36</w:t>
      </w:r>
      <w:r>
        <w:tab/>
        <w:t>928</w:t>
      </w:r>
    </w:p>
    <w:p w:rsidR="00AD7907" w:rsidRDefault="00AD7907" w:rsidP="00AD7907">
      <w:pPr>
        <w:pStyle w:val="Rejstk2"/>
        <w:tabs>
          <w:tab w:val="right" w:leader="dot" w:pos="4171"/>
        </w:tabs>
        <w:spacing w:line="240" w:lineRule="auto"/>
        <w:ind w:left="242"/>
      </w:pPr>
      <w:r w:rsidRPr="004B4DFF">
        <w:rPr>
          <w:i/>
        </w:rPr>
        <w:t>Dialogus</w:t>
      </w:r>
      <w:r>
        <w:t xml:space="preserve"> 3.2.83.8‒13</w:t>
      </w:r>
      <w:r>
        <w:tab/>
        <w:t>926</w:t>
      </w:r>
    </w:p>
    <w:p w:rsidR="00AD7907" w:rsidRDefault="00AD7907" w:rsidP="00AD7907">
      <w:pPr>
        <w:pStyle w:val="Rejstk2"/>
        <w:tabs>
          <w:tab w:val="right" w:leader="dot" w:pos="4171"/>
        </w:tabs>
        <w:spacing w:line="240" w:lineRule="auto"/>
        <w:ind w:left="242"/>
      </w:pPr>
      <w:r w:rsidRPr="004B4DFF">
        <w:rPr>
          <w:i/>
        </w:rPr>
        <w:t xml:space="preserve">Expositio in librum Peri hermeneias Aristotelis </w:t>
      </w:r>
      <w:r>
        <w:t>502.18‒23</w:t>
      </w:r>
      <w:r>
        <w:tab/>
        <w:t>789</w:t>
      </w:r>
    </w:p>
    <w:p w:rsidR="00AD7907" w:rsidRDefault="00AD7907" w:rsidP="00AD7907">
      <w:pPr>
        <w:pStyle w:val="Rejstk2"/>
        <w:tabs>
          <w:tab w:val="right" w:leader="dot" w:pos="4171"/>
        </w:tabs>
        <w:spacing w:line="240" w:lineRule="auto"/>
        <w:ind w:left="242"/>
      </w:pPr>
      <w:r w:rsidRPr="004B4DFF">
        <w:rPr>
          <w:i/>
        </w:rPr>
        <w:t>Ordinatio</w:t>
      </w:r>
      <w:r>
        <w:t xml:space="preserve"> 1.164.2‒6</w:t>
      </w:r>
      <w:r>
        <w:tab/>
        <w:t>798</w:t>
      </w:r>
    </w:p>
    <w:p w:rsidR="00AD7907" w:rsidRDefault="00AD7907" w:rsidP="00AD7907">
      <w:pPr>
        <w:pStyle w:val="Rejstk2"/>
        <w:tabs>
          <w:tab w:val="right" w:leader="dot" w:pos="4171"/>
        </w:tabs>
        <w:spacing w:line="240" w:lineRule="auto"/>
        <w:ind w:left="242"/>
      </w:pPr>
      <w:r>
        <w:t>Ordinatio 1.183.15‒20</w:t>
      </w:r>
      <w:r>
        <w:tab/>
        <w:t>790</w:t>
      </w:r>
    </w:p>
    <w:p w:rsidR="00AD7907" w:rsidRDefault="00AD7907" w:rsidP="00AD7907">
      <w:pPr>
        <w:pStyle w:val="Rejstk2"/>
        <w:tabs>
          <w:tab w:val="right" w:leader="dot" w:pos="4171"/>
        </w:tabs>
        <w:spacing w:line="240" w:lineRule="auto"/>
        <w:ind w:left="242"/>
      </w:pPr>
      <w:r w:rsidRPr="004B4DFF">
        <w:rPr>
          <w:i/>
        </w:rPr>
        <w:t>Ordinatio</w:t>
      </w:r>
      <w:r>
        <w:t xml:space="preserve"> 1.291.18‒292.1</w:t>
      </w:r>
      <w:r>
        <w:tab/>
        <w:t>780</w:t>
      </w:r>
    </w:p>
    <w:p w:rsidR="00AD7907" w:rsidRDefault="00AD7907" w:rsidP="00AD7907">
      <w:pPr>
        <w:pStyle w:val="Rejstk2"/>
        <w:tabs>
          <w:tab w:val="right" w:leader="dot" w:pos="4171"/>
        </w:tabs>
        <w:spacing w:line="240" w:lineRule="auto"/>
        <w:ind w:left="242"/>
      </w:pPr>
      <w:r w:rsidRPr="004B4DFF">
        <w:rPr>
          <w:i/>
        </w:rPr>
        <w:t xml:space="preserve">Ordinatio </w:t>
      </w:r>
      <w:r>
        <w:t>1</w:t>
      </w:r>
      <w:r w:rsidRPr="004B4DFF">
        <w:rPr>
          <w:i/>
        </w:rPr>
        <w:t>.</w:t>
      </w:r>
      <w:r>
        <w:t>293.1‒5</w:t>
      </w:r>
      <w:r>
        <w:tab/>
        <w:t>915</w:t>
      </w:r>
    </w:p>
    <w:p w:rsidR="00AD7907" w:rsidRDefault="00AD7907" w:rsidP="00AD7907">
      <w:pPr>
        <w:pStyle w:val="Rejstk2"/>
        <w:tabs>
          <w:tab w:val="right" w:leader="dot" w:pos="4171"/>
        </w:tabs>
        <w:spacing w:line="240" w:lineRule="auto"/>
        <w:ind w:left="242"/>
      </w:pPr>
      <w:r w:rsidRPr="004B4DFF">
        <w:rPr>
          <w:i/>
        </w:rPr>
        <w:t>Ordinatio</w:t>
      </w:r>
      <w:r>
        <w:t xml:space="preserve"> 1.304.15‒18</w:t>
      </w:r>
      <w:r>
        <w:tab/>
        <w:t>908</w:t>
      </w:r>
    </w:p>
    <w:p w:rsidR="00AD7907" w:rsidRDefault="00AD7907" w:rsidP="00AD7907">
      <w:pPr>
        <w:pStyle w:val="Rejstk2"/>
        <w:tabs>
          <w:tab w:val="right" w:leader="dot" w:pos="4171"/>
        </w:tabs>
        <w:spacing w:line="240" w:lineRule="auto"/>
        <w:ind w:left="242"/>
      </w:pPr>
      <w:r w:rsidRPr="004B4DFF">
        <w:rPr>
          <w:i/>
        </w:rPr>
        <w:t>Ordinatio</w:t>
      </w:r>
      <w:r>
        <w:t xml:space="preserve"> 1.317.14‒19</w:t>
      </w:r>
      <w:r>
        <w:tab/>
        <w:t>911</w:t>
      </w:r>
    </w:p>
    <w:p w:rsidR="00AD7907" w:rsidRDefault="00AD7907" w:rsidP="00AD7907">
      <w:pPr>
        <w:pStyle w:val="Rejstk2"/>
        <w:tabs>
          <w:tab w:val="right" w:leader="dot" w:pos="4171"/>
        </w:tabs>
        <w:spacing w:line="240" w:lineRule="auto"/>
        <w:ind w:left="242"/>
      </w:pPr>
      <w:r w:rsidRPr="004B4DFF">
        <w:rPr>
          <w:i/>
        </w:rPr>
        <w:t>Ordinatio</w:t>
      </w:r>
      <w:r>
        <w:t xml:space="preserve"> 1.318.13</w:t>
      </w:r>
      <w:r>
        <w:tab/>
        <w:t>912</w:t>
      </w:r>
    </w:p>
    <w:p w:rsidR="00AD7907" w:rsidRDefault="00AD7907" w:rsidP="00AD7907">
      <w:pPr>
        <w:pStyle w:val="Rejstk2"/>
        <w:tabs>
          <w:tab w:val="right" w:leader="dot" w:pos="4171"/>
        </w:tabs>
        <w:spacing w:line="240" w:lineRule="auto"/>
        <w:ind w:left="242"/>
      </w:pPr>
      <w:r w:rsidRPr="004B4DFF">
        <w:rPr>
          <w:i/>
        </w:rPr>
        <w:t>Ordinatio</w:t>
      </w:r>
      <w:r>
        <w:t xml:space="preserve"> 1.318.21</w:t>
      </w:r>
      <w:r>
        <w:tab/>
        <w:t>913</w:t>
      </w:r>
    </w:p>
    <w:p w:rsidR="00AD7907" w:rsidRDefault="00AD7907" w:rsidP="00AD7907">
      <w:pPr>
        <w:pStyle w:val="Rejstk2"/>
        <w:tabs>
          <w:tab w:val="right" w:leader="dot" w:pos="4171"/>
        </w:tabs>
        <w:spacing w:line="240" w:lineRule="auto"/>
        <w:ind w:left="242"/>
      </w:pPr>
      <w:r w:rsidRPr="004B4DFF">
        <w:rPr>
          <w:i/>
        </w:rPr>
        <w:t>Ordinatio</w:t>
      </w:r>
      <w:r>
        <w:t xml:space="preserve"> 1.323.12‒16</w:t>
      </w:r>
      <w:r>
        <w:tab/>
        <w:t>916</w:t>
      </w:r>
    </w:p>
    <w:p w:rsidR="00AD7907" w:rsidRDefault="00AD7907" w:rsidP="00AD7907">
      <w:pPr>
        <w:pStyle w:val="Rejstk2"/>
        <w:tabs>
          <w:tab w:val="right" w:leader="dot" w:pos="4171"/>
        </w:tabs>
        <w:spacing w:line="240" w:lineRule="auto"/>
        <w:ind w:left="242"/>
      </w:pPr>
      <w:r w:rsidRPr="004B4DFF">
        <w:rPr>
          <w:i/>
        </w:rPr>
        <w:t xml:space="preserve">Ordinatio </w:t>
      </w:r>
      <w:r>
        <w:t>1</w:t>
      </w:r>
      <w:r w:rsidRPr="004B4DFF">
        <w:rPr>
          <w:i/>
        </w:rPr>
        <w:t>.</w:t>
      </w:r>
      <w:r>
        <w:t>335.16‒22</w:t>
      </w:r>
      <w:r>
        <w:tab/>
        <w:t>917</w:t>
      </w:r>
    </w:p>
    <w:p w:rsidR="00AD7907" w:rsidRDefault="00AD7907" w:rsidP="00AD7907">
      <w:pPr>
        <w:pStyle w:val="Rejstk2"/>
        <w:tabs>
          <w:tab w:val="right" w:leader="dot" w:pos="4171"/>
        </w:tabs>
        <w:spacing w:line="240" w:lineRule="auto"/>
        <w:ind w:left="242"/>
      </w:pPr>
      <w:r w:rsidRPr="004B4DFF">
        <w:rPr>
          <w:i/>
        </w:rPr>
        <w:t xml:space="preserve">Ordinatio </w:t>
      </w:r>
      <w:r>
        <w:t>1</w:t>
      </w:r>
      <w:r w:rsidRPr="004B4DFF">
        <w:rPr>
          <w:i/>
        </w:rPr>
        <w:t>.</w:t>
      </w:r>
      <w:r>
        <w:t>356.15‒20</w:t>
      </w:r>
      <w:r>
        <w:tab/>
        <w:t>914</w:t>
      </w:r>
    </w:p>
    <w:p w:rsidR="00AD7907" w:rsidRDefault="00AD7907" w:rsidP="00AD7907">
      <w:pPr>
        <w:pStyle w:val="Rejstk2"/>
        <w:tabs>
          <w:tab w:val="right" w:leader="dot" w:pos="4171"/>
        </w:tabs>
        <w:spacing w:line="240" w:lineRule="auto"/>
        <w:ind w:left="242"/>
      </w:pPr>
      <w:r w:rsidRPr="004B4DFF">
        <w:rPr>
          <w:i/>
        </w:rPr>
        <w:t>Ordinatio</w:t>
      </w:r>
      <w:r>
        <w:t xml:space="preserve"> 1.452.17‒21</w:t>
      </w:r>
      <w:r>
        <w:tab/>
        <w:t>796</w:t>
      </w:r>
    </w:p>
    <w:p w:rsidR="00AD7907" w:rsidRDefault="00AD7907" w:rsidP="00AD7907">
      <w:pPr>
        <w:pStyle w:val="Rejstk2"/>
        <w:tabs>
          <w:tab w:val="right" w:leader="dot" w:pos="4171"/>
        </w:tabs>
        <w:spacing w:line="240" w:lineRule="auto"/>
        <w:ind w:left="242"/>
      </w:pPr>
      <w:r w:rsidRPr="004B4DFF">
        <w:rPr>
          <w:i/>
        </w:rPr>
        <w:t>Ordinatio</w:t>
      </w:r>
      <w:r>
        <w:t xml:space="preserve"> 1.452.9‒13</w:t>
      </w:r>
      <w:r>
        <w:tab/>
        <w:t>797</w:t>
      </w:r>
    </w:p>
    <w:p w:rsidR="00AD7907" w:rsidRDefault="00AD7907" w:rsidP="00AD7907">
      <w:pPr>
        <w:pStyle w:val="Rejstk2"/>
        <w:tabs>
          <w:tab w:val="right" w:leader="dot" w:pos="4171"/>
        </w:tabs>
        <w:spacing w:line="240" w:lineRule="auto"/>
        <w:ind w:left="242"/>
      </w:pPr>
      <w:r w:rsidRPr="004B4DFF">
        <w:rPr>
          <w:i/>
        </w:rPr>
        <w:t>Ordinatio</w:t>
      </w:r>
      <w:r>
        <w:t xml:space="preserve"> 1.487.4‒7</w:t>
      </w:r>
      <w:r>
        <w:tab/>
        <w:t>804</w:t>
      </w:r>
    </w:p>
    <w:p w:rsidR="00AD7907" w:rsidRDefault="00AD7907" w:rsidP="00AD7907">
      <w:pPr>
        <w:pStyle w:val="Rejstk2"/>
        <w:tabs>
          <w:tab w:val="right" w:leader="dot" w:pos="4171"/>
        </w:tabs>
        <w:spacing w:line="240" w:lineRule="auto"/>
        <w:ind w:left="242"/>
      </w:pPr>
      <w:r w:rsidRPr="004B4DFF">
        <w:rPr>
          <w:i/>
        </w:rPr>
        <w:t>Ordinatio</w:t>
      </w:r>
      <w:r>
        <w:t xml:space="preserve"> 1.67.1‒6</w:t>
      </w:r>
      <w:r>
        <w:tab/>
        <w:t>787</w:t>
      </w:r>
    </w:p>
    <w:p w:rsidR="00AD7907" w:rsidRDefault="00AD7907" w:rsidP="00AD7907">
      <w:pPr>
        <w:pStyle w:val="Rejstk2"/>
        <w:tabs>
          <w:tab w:val="right" w:leader="dot" w:pos="4171"/>
        </w:tabs>
        <w:spacing w:line="240" w:lineRule="auto"/>
        <w:ind w:left="242"/>
      </w:pPr>
      <w:r w:rsidRPr="004B4DFF">
        <w:rPr>
          <w:i/>
        </w:rPr>
        <w:t>Ordinatio</w:t>
      </w:r>
      <w:r w:rsidRPr="004B4DFF">
        <w:t xml:space="preserve"> 2.442.17‒22</w:t>
      </w:r>
      <w:r>
        <w:tab/>
        <w:t>771</w:t>
      </w:r>
    </w:p>
    <w:p w:rsidR="00AD7907" w:rsidRDefault="00AD7907" w:rsidP="00AD7907">
      <w:pPr>
        <w:pStyle w:val="Rejstk2"/>
        <w:tabs>
          <w:tab w:val="right" w:leader="dot" w:pos="4171"/>
        </w:tabs>
        <w:spacing w:line="240" w:lineRule="auto"/>
        <w:ind w:left="242"/>
      </w:pPr>
      <w:r w:rsidRPr="004B4DFF">
        <w:rPr>
          <w:i/>
        </w:rPr>
        <w:t>Quaestiones</w:t>
      </w:r>
      <w:r>
        <w:t xml:space="preserve"> 394.443‒46</w:t>
      </w:r>
      <w:r>
        <w:tab/>
        <w:t>909</w:t>
      </w:r>
    </w:p>
    <w:p w:rsidR="00AD7907" w:rsidRDefault="00AD7907" w:rsidP="00AD7907">
      <w:pPr>
        <w:pStyle w:val="Rejstk2"/>
        <w:tabs>
          <w:tab w:val="right" w:leader="dot" w:pos="4171"/>
        </w:tabs>
        <w:spacing w:line="240" w:lineRule="auto"/>
        <w:ind w:left="242"/>
      </w:pPr>
      <w:r w:rsidRPr="004B4DFF">
        <w:rPr>
          <w:i/>
        </w:rPr>
        <w:lastRenderedPageBreak/>
        <w:t xml:space="preserve">Quaestiones variae </w:t>
      </w:r>
      <w:r>
        <w:t>238.30‒33</w:t>
      </w:r>
      <w:r>
        <w:tab/>
        <w:t>781</w:t>
      </w:r>
    </w:p>
    <w:p w:rsidR="00AD7907" w:rsidRDefault="00AD7907" w:rsidP="00AD7907">
      <w:pPr>
        <w:pStyle w:val="Rejstk2"/>
        <w:tabs>
          <w:tab w:val="right" w:leader="dot" w:pos="4171"/>
        </w:tabs>
        <w:spacing w:line="240" w:lineRule="auto"/>
        <w:ind w:left="242"/>
      </w:pPr>
      <w:r w:rsidRPr="004B4DFF">
        <w:rPr>
          <w:i/>
        </w:rPr>
        <w:t>Quaestiones variae</w:t>
      </w:r>
      <w:r>
        <w:t xml:space="preserve"> 239.47‒53</w:t>
      </w:r>
      <w:r>
        <w:tab/>
        <w:t>772</w:t>
      </w:r>
    </w:p>
    <w:p w:rsidR="00AD7907" w:rsidRDefault="00AD7907" w:rsidP="00AD7907">
      <w:pPr>
        <w:pStyle w:val="Rejstk2"/>
        <w:tabs>
          <w:tab w:val="right" w:leader="dot" w:pos="4171"/>
        </w:tabs>
        <w:spacing w:line="240" w:lineRule="auto"/>
        <w:ind w:left="242"/>
      </w:pPr>
      <w:r w:rsidRPr="004B4DFF">
        <w:rPr>
          <w:i/>
        </w:rPr>
        <w:t>Quaestiones variae</w:t>
      </w:r>
      <w:r>
        <w:t xml:space="preserve"> 240.71‒76</w:t>
      </w:r>
      <w:r>
        <w:tab/>
        <w:t>773</w:t>
      </w:r>
    </w:p>
    <w:p w:rsidR="00AD7907" w:rsidRDefault="00AD7907" w:rsidP="00AD7907">
      <w:pPr>
        <w:pStyle w:val="Rejstk2"/>
        <w:tabs>
          <w:tab w:val="right" w:leader="dot" w:pos="4171"/>
        </w:tabs>
        <w:spacing w:line="240" w:lineRule="auto"/>
        <w:ind w:left="242"/>
      </w:pPr>
      <w:r w:rsidRPr="004B4DFF">
        <w:rPr>
          <w:i/>
        </w:rPr>
        <w:t>Quest. in III. Sent</w:t>
      </w:r>
      <w:r>
        <w:t>. 68‒78</w:t>
      </w:r>
      <w:r>
        <w:tab/>
        <w:t>803</w:t>
      </w:r>
    </w:p>
    <w:p w:rsidR="00AD7907" w:rsidRDefault="00AD7907" w:rsidP="00AD7907">
      <w:pPr>
        <w:pStyle w:val="Rejstk2"/>
        <w:tabs>
          <w:tab w:val="right" w:leader="dot" w:pos="4171"/>
        </w:tabs>
        <w:spacing w:line="240" w:lineRule="auto"/>
        <w:ind w:left="242"/>
      </w:pPr>
      <w:r w:rsidRPr="004B4DFF">
        <w:rPr>
          <w:i/>
        </w:rPr>
        <w:t>Quest. in IV. Sent</w:t>
      </w:r>
      <w:r>
        <w:t>. 278.6‒7</w:t>
      </w:r>
      <w:r>
        <w:tab/>
        <w:t>785</w:t>
      </w:r>
    </w:p>
    <w:p w:rsidR="00AD7907" w:rsidRDefault="00AD7907" w:rsidP="00AD7907">
      <w:pPr>
        <w:pStyle w:val="Rejstk2"/>
        <w:tabs>
          <w:tab w:val="right" w:leader="dot" w:pos="4171"/>
        </w:tabs>
        <w:spacing w:line="240" w:lineRule="auto"/>
        <w:ind w:left="242"/>
      </w:pPr>
      <w:r w:rsidRPr="004B4DFF">
        <w:rPr>
          <w:i/>
        </w:rPr>
        <w:t>Quodlibet</w:t>
      </w:r>
      <w:r>
        <w:t xml:space="preserve"> 1.66.18‒21</w:t>
      </w:r>
      <w:r>
        <w:tab/>
        <w:t>774</w:t>
      </w:r>
    </w:p>
    <w:p w:rsidR="00AD7907" w:rsidRDefault="00AD7907" w:rsidP="00AD7907">
      <w:pPr>
        <w:pStyle w:val="Rejstk2"/>
        <w:tabs>
          <w:tab w:val="right" w:leader="dot" w:pos="4171"/>
        </w:tabs>
        <w:spacing w:line="240" w:lineRule="auto"/>
        <w:ind w:left="242"/>
      </w:pPr>
      <w:r w:rsidRPr="004B4DFF">
        <w:rPr>
          <w:i/>
        </w:rPr>
        <w:t>Quodlibet</w:t>
      </w:r>
      <w:r>
        <w:t xml:space="preserve"> 1.67.25</w:t>
      </w:r>
      <w:r>
        <w:tab/>
        <w:t>775</w:t>
      </w:r>
    </w:p>
    <w:p w:rsidR="00AD7907" w:rsidRDefault="00AD7907" w:rsidP="00AD7907">
      <w:pPr>
        <w:pStyle w:val="Rejstk2"/>
        <w:tabs>
          <w:tab w:val="right" w:leader="dot" w:pos="4171"/>
        </w:tabs>
        <w:spacing w:line="240" w:lineRule="auto"/>
        <w:ind w:left="242"/>
      </w:pPr>
      <w:r w:rsidRPr="004B4DFF">
        <w:rPr>
          <w:i/>
        </w:rPr>
        <w:t>Quodlibet</w:t>
      </w:r>
      <w:r>
        <w:t xml:space="preserve"> 1.67.33‒38</w:t>
      </w:r>
      <w:r>
        <w:tab/>
        <w:t>776</w:t>
      </w:r>
    </w:p>
    <w:p w:rsidR="00AD7907" w:rsidRDefault="00AD7907" w:rsidP="00AD7907">
      <w:pPr>
        <w:pStyle w:val="Rejstk2"/>
        <w:tabs>
          <w:tab w:val="right" w:leader="dot" w:pos="4171"/>
        </w:tabs>
        <w:spacing w:line="240" w:lineRule="auto"/>
        <w:ind w:left="242"/>
      </w:pPr>
      <w:r w:rsidRPr="004B4DFF">
        <w:rPr>
          <w:i/>
        </w:rPr>
        <w:t>Quodlibet</w:t>
      </w:r>
      <w:r>
        <w:t xml:space="preserve"> 1.68.50‒53</w:t>
      </w:r>
      <w:r>
        <w:tab/>
        <w:t>780</w:t>
      </w:r>
    </w:p>
    <w:p w:rsidR="00AD7907" w:rsidRDefault="00AD7907" w:rsidP="00AD7907">
      <w:pPr>
        <w:pStyle w:val="Rejstk2"/>
        <w:tabs>
          <w:tab w:val="right" w:leader="dot" w:pos="4171"/>
        </w:tabs>
        <w:spacing w:line="240" w:lineRule="auto"/>
        <w:ind w:left="242"/>
      </w:pPr>
      <w:r w:rsidRPr="004B4DFF">
        <w:rPr>
          <w:i/>
        </w:rPr>
        <w:t>Quodlibet</w:t>
      </w:r>
      <w:r>
        <w:t xml:space="preserve"> 4.328.11‒15</w:t>
      </w:r>
      <w:r>
        <w:tab/>
        <w:t>799</w:t>
      </w:r>
    </w:p>
    <w:p w:rsidR="00AD7907" w:rsidRDefault="00AD7907" w:rsidP="00AD7907">
      <w:pPr>
        <w:pStyle w:val="Rejstk2"/>
        <w:tabs>
          <w:tab w:val="right" w:leader="dot" w:pos="4171"/>
        </w:tabs>
        <w:spacing w:line="240" w:lineRule="auto"/>
        <w:ind w:left="242"/>
      </w:pPr>
      <w:r w:rsidRPr="004B4DFF">
        <w:rPr>
          <w:i/>
        </w:rPr>
        <w:t>Reportatio</w:t>
      </w:r>
      <w:r>
        <w:t xml:space="preserve"> 2.259.10‒13</w:t>
      </w:r>
      <w:r>
        <w:tab/>
        <w:t>808</w:t>
      </w:r>
    </w:p>
    <w:p w:rsidR="00AD7907" w:rsidRDefault="00AD7907" w:rsidP="00AD7907">
      <w:pPr>
        <w:pStyle w:val="Rejstk2"/>
        <w:tabs>
          <w:tab w:val="right" w:leader="dot" w:pos="4171"/>
        </w:tabs>
        <w:spacing w:line="240" w:lineRule="auto"/>
        <w:ind w:left="242"/>
      </w:pPr>
      <w:r w:rsidRPr="004B4DFF">
        <w:rPr>
          <w:i/>
        </w:rPr>
        <w:t>Reportatio</w:t>
      </w:r>
      <w:r>
        <w:t xml:space="preserve"> 2.259.19‒23</w:t>
      </w:r>
      <w:r>
        <w:tab/>
        <w:t>808</w:t>
      </w:r>
    </w:p>
    <w:p w:rsidR="00AD7907" w:rsidRDefault="00AD7907" w:rsidP="00AD7907">
      <w:pPr>
        <w:pStyle w:val="Rejstk2"/>
        <w:tabs>
          <w:tab w:val="right" w:leader="dot" w:pos="4171"/>
        </w:tabs>
        <w:spacing w:line="240" w:lineRule="auto"/>
        <w:ind w:left="242"/>
      </w:pPr>
      <w:r w:rsidRPr="004B4DFF">
        <w:rPr>
          <w:i/>
        </w:rPr>
        <w:t>Reportatio</w:t>
      </w:r>
      <w:r>
        <w:t xml:space="preserve"> 2.269.16‒19</w:t>
      </w:r>
      <w:r>
        <w:tab/>
        <w:t>801</w:t>
      </w:r>
    </w:p>
    <w:p w:rsidR="00AD7907" w:rsidRDefault="00AD7907" w:rsidP="00AD7907">
      <w:pPr>
        <w:pStyle w:val="Rejstk2"/>
        <w:tabs>
          <w:tab w:val="right" w:leader="dot" w:pos="4171"/>
        </w:tabs>
        <w:spacing w:line="240" w:lineRule="auto"/>
        <w:ind w:left="242"/>
      </w:pPr>
      <w:r w:rsidRPr="004B4DFF">
        <w:rPr>
          <w:i/>
        </w:rPr>
        <w:t>Reportatio</w:t>
      </w:r>
      <w:r>
        <w:t xml:space="preserve"> 2.271.12‒20</w:t>
      </w:r>
      <w:r>
        <w:tab/>
        <w:t>783</w:t>
      </w:r>
    </w:p>
    <w:p w:rsidR="00AD7907" w:rsidRDefault="00AD7907" w:rsidP="00AD7907">
      <w:pPr>
        <w:pStyle w:val="Rejstk2"/>
        <w:tabs>
          <w:tab w:val="right" w:leader="dot" w:pos="4171"/>
        </w:tabs>
        <w:spacing w:line="240" w:lineRule="auto"/>
        <w:ind w:left="242"/>
      </w:pPr>
      <w:r w:rsidRPr="004B4DFF">
        <w:rPr>
          <w:i/>
        </w:rPr>
        <w:t>Reportatio</w:t>
      </w:r>
      <w:r>
        <w:t xml:space="preserve"> 2.272.3‒4</w:t>
      </w:r>
      <w:r>
        <w:tab/>
        <w:t>786</w:t>
      </w:r>
    </w:p>
    <w:p w:rsidR="00AD7907" w:rsidRDefault="00AD7907" w:rsidP="00AD7907">
      <w:pPr>
        <w:pStyle w:val="Rejstk2"/>
        <w:tabs>
          <w:tab w:val="right" w:leader="dot" w:pos="4171"/>
        </w:tabs>
        <w:spacing w:line="240" w:lineRule="auto"/>
        <w:ind w:left="242"/>
      </w:pPr>
      <w:r w:rsidRPr="004B4DFF">
        <w:rPr>
          <w:i/>
        </w:rPr>
        <w:t>Reportatio</w:t>
      </w:r>
      <w:r>
        <w:t xml:space="preserve"> 2.283.4‒8</w:t>
      </w:r>
      <w:r>
        <w:tab/>
        <w:t>786</w:t>
      </w:r>
    </w:p>
    <w:p w:rsidR="00AD7907" w:rsidRDefault="00AD7907" w:rsidP="00AD7907">
      <w:pPr>
        <w:pStyle w:val="Rejstk2"/>
        <w:tabs>
          <w:tab w:val="right" w:leader="dot" w:pos="4171"/>
        </w:tabs>
        <w:spacing w:line="240" w:lineRule="auto"/>
        <w:ind w:left="242"/>
      </w:pPr>
      <w:r w:rsidRPr="004B4DFF">
        <w:rPr>
          <w:i/>
        </w:rPr>
        <w:t>Reportatio</w:t>
      </w:r>
      <w:r>
        <w:t xml:space="preserve"> 2.305.4‒10</w:t>
      </w:r>
      <w:r>
        <w:tab/>
        <w:t>778</w:t>
      </w:r>
    </w:p>
    <w:p w:rsidR="00AD7907" w:rsidRDefault="00AD7907" w:rsidP="00AD7907">
      <w:pPr>
        <w:pStyle w:val="Rejstk2"/>
        <w:tabs>
          <w:tab w:val="right" w:leader="dot" w:pos="4171"/>
        </w:tabs>
        <w:spacing w:line="240" w:lineRule="auto"/>
        <w:ind w:left="242"/>
      </w:pPr>
      <w:r w:rsidRPr="004B4DFF">
        <w:rPr>
          <w:i/>
        </w:rPr>
        <w:t>Reportatio</w:t>
      </w:r>
      <w:r>
        <w:t xml:space="preserve"> 3.394.7‒10</w:t>
      </w:r>
      <w:r>
        <w:tab/>
        <w:t>783</w:t>
      </w:r>
    </w:p>
    <w:p w:rsidR="00AD7907" w:rsidRDefault="00AD7907" w:rsidP="00AD7907">
      <w:pPr>
        <w:pStyle w:val="Rejstk2"/>
        <w:tabs>
          <w:tab w:val="right" w:leader="dot" w:pos="4171"/>
        </w:tabs>
        <w:spacing w:line="240" w:lineRule="auto"/>
        <w:ind w:left="242"/>
      </w:pPr>
      <w:r w:rsidRPr="004B4DFF">
        <w:rPr>
          <w:i/>
        </w:rPr>
        <w:t>Reportatio</w:t>
      </w:r>
      <w:r>
        <w:t xml:space="preserve"> 3.45.3‒10</w:t>
      </w:r>
      <w:r>
        <w:tab/>
        <w:t>804</w:t>
      </w:r>
    </w:p>
    <w:p w:rsidR="00AD7907" w:rsidRDefault="00AD7907" w:rsidP="00AD7907">
      <w:pPr>
        <w:pStyle w:val="Rejstk2"/>
        <w:tabs>
          <w:tab w:val="right" w:leader="dot" w:pos="4171"/>
        </w:tabs>
        <w:spacing w:line="240" w:lineRule="auto"/>
        <w:ind w:left="242"/>
      </w:pPr>
      <w:r w:rsidRPr="004B4DFF">
        <w:rPr>
          <w:i/>
        </w:rPr>
        <w:t>Reportatio</w:t>
      </w:r>
      <w:r>
        <w:t xml:space="preserve"> 3.55.12‒15</w:t>
      </w:r>
      <w:r>
        <w:tab/>
        <w:t>807</w:t>
      </w:r>
    </w:p>
    <w:p w:rsidR="00AD7907" w:rsidRDefault="00AD7907" w:rsidP="00AD7907">
      <w:pPr>
        <w:pStyle w:val="Rejstk2"/>
        <w:tabs>
          <w:tab w:val="right" w:leader="dot" w:pos="4171"/>
        </w:tabs>
        <w:spacing w:line="240" w:lineRule="auto"/>
        <w:ind w:left="242"/>
      </w:pPr>
      <w:r w:rsidRPr="004B4DFF">
        <w:rPr>
          <w:i/>
        </w:rPr>
        <w:t>Reportatio</w:t>
      </w:r>
      <w:r>
        <w:t xml:space="preserve"> 3.66.14‒67.2</w:t>
      </w:r>
      <w:r>
        <w:tab/>
        <w:t>805</w:t>
      </w:r>
    </w:p>
    <w:p w:rsidR="00AD7907" w:rsidRDefault="00AD7907" w:rsidP="00AD7907">
      <w:pPr>
        <w:pStyle w:val="Rejstk2"/>
        <w:tabs>
          <w:tab w:val="right" w:leader="dot" w:pos="4171"/>
        </w:tabs>
        <w:spacing w:line="240" w:lineRule="auto"/>
        <w:ind w:left="242"/>
      </w:pPr>
      <w:r w:rsidRPr="004B4DFF">
        <w:rPr>
          <w:i/>
        </w:rPr>
        <w:t>Reportatio</w:t>
      </w:r>
      <w:r>
        <w:t xml:space="preserve"> 3.69.10‒13</w:t>
      </w:r>
      <w:r>
        <w:tab/>
        <w:t>803</w:t>
      </w:r>
    </w:p>
    <w:p w:rsidR="00AD7907" w:rsidRDefault="00AD7907" w:rsidP="00AD7907">
      <w:pPr>
        <w:pStyle w:val="Rejstk2"/>
        <w:tabs>
          <w:tab w:val="right" w:leader="dot" w:pos="4171"/>
        </w:tabs>
        <w:spacing w:line="240" w:lineRule="auto"/>
        <w:ind w:left="242"/>
      </w:pPr>
      <w:r w:rsidRPr="004B4DFF">
        <w:rPr>
          <w:i/>
        </w:rPr>
        <w:t>Summa logicae</w:t>
      </w:r>
      <w:r>
        <w:t xml:space="preserve"> 1.26.93‒96</w:t>
      </w:r>
      <w:r>
        <w:tab/>
        <w:t>791</w:t>
      </w:r>
    </w:p>
    <w:p w:rsidR="00AD7907" w:rsidRDefault="00AD7907" w:rsidP="00AD7907">
      <w:pPr>
        <w:pStyle w:val="Rejstk2"/>
        <w:tabs>
          <w:tab w:val="right" w:leader="dot" w:pos="4171"/>
        </w:tabs>
        <w:spacing w:line="240" w:lineRule="auto"/>
        <w:ind w:left="242"/>
      </w:pPr>
      <w:r w:rsidRPr="004B4DFF">
        <w:rPr>
          <w:i/>
        </w:rPr>
        <w:t>Summa logicae</w:t>
      </w:r>
      <w:r>
        <w:t xml:space="preserve"> 1.26.98‒101</w:t>
      </w:r>
      <w:r>
        <w:tab/>
        <w:t>793</w:t>
      </w:r>
    </w:p>
    <w:p w:rsidR="00AD7907" w:rsidRDefault="00AD7907" w:rsidP="00AD7907">
      <w:pPr>
        <w:pStyle w:val="Rejstk2"/>
        <w:tabs>
          <w:tab w:val="right" w:leader="dot" w:pos="4171"/>
        </w:tabs>
        <w:spacing w:line="240" w:lineRule="auto"/>
        <w:ind w:left="242"/>
      </w:pPr>
      <w:r w:rsidRPr="004B4DFF">
        <w:rPr>
          <w:i/>
        </w:rPr>
        <w:t>Tractatus de praedestinatione et de praescientia divina</w:t>
      </w:r>
      <w:r>
        <w:t xml:space="preserve"> 510.96‒102</w:t>
      </w:r>
      <w:r>
        <w:tab/>
        <w:t>810</w:t>
      </w:r>
    </w:p>
    <w:p w:rsidR="00AD7907" w:rsidRDefault="00AD7907" w:rsidP="00AD7907">
      <w:pPr>
        <w:pStyle w:val="Rejstk2"/>
        <w:tabs>
          <w:tab w:val="right" w:leader="dot" w:pos="4171"/>
        </w:tabs>
        <w:ind w:left="242"/>
        <w:rPr>
          <w:lang w:val="de-LU"/>
        </w:rPr>
      </w:pPr>
    </w:p>
    <w:p w:rsidR="00AD7907" w:rsidRPr="008757E5" w:rsidRDefault="00AD7907" w:rsidP="00AD7907">
      <w:pPr>
        <w:pStyle w:val="Rejstk1"/>
        <w:tabs>
          <w:tab w:val="right" w:leader="dot" w:pos="4171"/>
        </w:tabs>
        <w:spacing w:line="240" w:lineRule="auto"/>
        <w:rPr>
          <w:b/>
          <w:lang w:val="de-LU"/>
        </w:rPr>
      </w:pPr>
      <w:r w:rsidRPr="008757E5">
        <w:rPr>
          <w:b/>
          <w:lang w:val="de-LU"/>
        </w:rPr>
        <w:t>Oldradus de Ponte</w:t>
      </w:r>
    </w:p>
    <w:p w:rsidR="00AD7907" w:rsidRDefault="00AD7907" w:rsidP="00AD7907">
      <w:pPr>
        <w:pStyle w:val="Rejstk1"/>
        <w:tabs>
          <w:tab w:val="right" w:leader="dot" w:pos="4171"/>
        </w:tabs>
        <w:spacing w:line="240" w:lineRule="auto"/>
        <w:rPr>
          <w:lang w:val="de-LU"/>
        </w:rPr>
      </w:pPr>
      <w:r w:rsidRPr="00C018BD">
        <w:rPr>
          <w:i/>
          <w:lang w:val="de-LU"/>
        </w:rPr>
        <w:t xml:space="preserve">Consilia </w:t>
      </w:r>
      <w:r>
        <w:rPr>
          <w:lang w:val="de-LU"/>
        </w:rPr>
        <w:t>101a</w:t>
      </w:r>
      <w:r>
        <w:rPr>
          <w:lang w:val="de-LU"/>
        </w:rPr>
        <w:tab/>
        <w:t>852, 853</w:t>
      </w:r>
    </w:p>
    <w:p w:rsidR="00AD7907" w:rsidRDefault="00AD7907" w:rsidP="00AD7907">
      <w:pPr>
        <w:pStyle w:val="Rejstk1"/>
        <w:tabs>
          <w:tab w:val="right" w:leader="dot" w:pos="4171"/>
        </w:tabs>
        <w:spacing w:line="240" w:lineRule="auto"/>
        <w:rPr>
          <w:lang w:val="de-LU"/>
        </w:rPr>
      </w:pPr>
      <w:r w:rsidRPr="00C018BD">
        <w:rPr>
          <w:i/>
          <w:lang w:val="de-LU"/>
        </w:rPr>
        <w:t xml:space="preserve">Consilia </w:t>
      </w:r>
      <w:r>
        <w:rPr>
          <w:lang w:val="de-LU"/>
        </w:rPr>
        <w:t>101b</w:t>
      </w:r>
      <w:r>
        <w:rPr>
          <w:lang w:val="de-LU"/>
        </w:rPr>
        <w:tab/>
        <w:t>853</w:t>
      </w:r>
    </w:p>
    <w:p w:rsidR="00AD7907" w:rsidRDefault="00AD7907" w:rsidP="00AD7907">
      <w:pPr>
        <w:pStyle w:val="Rejstk1"/>
        <w:tabs>
          <w:tab w:val="right" w:leader="dot" w:pos="4171"/>
        </w:tabs>
        <w:spacing w:line="240" w:lineRule="auto"/>
        <w:rPr>
          <w:lang w:val="de-LU"/>
        </w:rPr>
      </w:pPr>
    </w:p>
    <w:p w:rsidR="00AD7907" w:rsidRPr="008757E5" w:rsidRDefault="00AD7907" w:rsidP="00AD7907">
      <w:pPr>
        <w:pStyle w:val="Rejstk1"/>
        <w:tabs>
          <w:tab w:val="right" w:leader="dot" w:pos="4171"/>
        </w:tabs>
        <w:spacing w:line="240" w:lineRule="auto"/>
        <w:rPr>
          <w:rStyle w:val="st"/>
          <w:b/>
        </w:rPr>
      </w:pPr>
      <w:r w:rsidRPr="008757E5">
        <w:rPr>
          <w:rStyle w:val="st"/>
          <w:b/>
        </w:rPr>
        <w:t>Petrus Iohannis</w:t>
      </w:r>
      <w:r>
        <w:rPr>
          <w:rStyle w:val="st"/>
          <w:b/>
        </w:rPr>
        <w:t xml:space="preserve"> </w:t>
      </w:r>
      <w:r>
        <w:rPr>
          <w:b/>
          <w:lang w:val="de-LU"/>
        </w:rPr>
        <w:t>Olivi</w:t>
      </w:r>
      <w:r w:rsidRPr="008757E5">
        <w:rPr>
          <w:b/>
          <w:lang w:val="de-LU"/>
        </w:rPr>
        <w:t xml:space="preserve"> </w:t>
      </w:r>
    </w:p>
    <w:p w:rsidR="00AD7907" w:rsidRDefault="00AD7907" w:rsidP="00AD7907">
      <w:pPr>
        <w:pStyle w:val="Rejstk2"/>
        <w:tabs>
          <w:tab w:val="right" w:leader="dot" w:pos="4171"/>
        </w:tabs>
        <w:spacing w:line="240" w:lineRule="auto"/>
        <w:ind w:left="242"/>
      </w:pPr>
      <w:r w:rsidRPr="004B4DFF">
        <w:rPr>
          <w:rFonts w:eastAsia="SimHei"/>
          <w:i/>
        </w:rPr>
        <w:t>De emptionibus et venditionibus, de usuris, de restitionibus</w:t>
      </w:r>
      <w:r>
        <w:t xml:space="preserve"> 81</w:t>
      </w:r>
      <w:r>
        <w:tab/>
        <w:t>562</w:t>
      </w:r>
    </w:p>
    <w:p w:rsidR="00AD7907" w:rsidRDefault="00AD7907" w:rsidP="00AD7907">
      <w:pPr>
        <w:pStyle w:val="Rejstk2"/>
        <w:tabs>
          <w:tab w:val="right" w:leader="dot" w:pos="4171"/>
        </w:tabs>
        <w:spacing w:line="240" w:lineRule="auto"/>
        <w:ind w:left="242"/>
      </w:pPr>
      <w:r w:rsidRPr="004B4DFF">
        <w:rPr>
          <w:i/>
        </w:rPr>
        <w:t xml:space="preserve">Postilla in libros Geneseos </w:t>
      </w:r>
      <w:r>
        <w:t>146a</w:t>
      </w:r>
      <w:r>
        <w:tab/>
        <w:t>562</w:t>
      </w:r>
    </w:p>
    <w:p w:rsidR="00AD7907" w:rsidRDefault="00AD7907" w:rsidP="00AD7907">
      <w:pPr>
        <w:pStyle w:val="Rejstk2"/>
        <w:tabs>
          <w:tab w:val="right" w:leader="dot" w:pos="4171"/>
        </w:tabs>
        <w:ind w:left="242"/>
        <w:rPr>
          <w:rFonts w:eastAsia="Sylfaen"/>
        </w:rPr>
      </w:pPr>
      <w:r w:rsidRPr="004B4DFF">
        <w:rPr>
          <w:i/>
        </w:rPr>
        <w:t>Quaestiones in secundum librum Sententiarum</w:t>
      </w:r>
    </w:p>
    <w:p w:rsidR="00AD7907" w:rsidRDefault="00AD7907" w:rsidP="00AD7907">
      <w:pPr>
        <w:pStyle w:val="Rejstk2"/>
        <w:tabs>
          <w:tab w:val="right" w:leader="dot" w:pos="4171"/>
        </w:tabs>
        <w:spacing w:line="240" w:lineRule="auto"/>
        <w:ind w:left="242"/>
      </w:pPr>
      <w:r w:rsidRPr="004B4DFF">
        <w:rPr>
          <w:rFonts w:eastAsia="Sylfaen"/>
        </w:rPr>
        <w:t>309</w:t>
      </w:r>
      <w:r>
        <w:tab/>
        <w:t>522</w:t>
      </w:r>
    </w:p>
    <w:p w:rsidR="00AD7907" w:rsidRDefault="00AD7907" w:rsidP="00AD7907">
      <w:pPr>
        <w:pStyle w:val="Rejstk2"/>
        <w:tabs>
          <w:tab w:val="right" w:leader="dot" w:pos="4171"/>
        </w:tabs>
        <w:spacing w:line="240" w:lineRule="auto"/>
        <w:ind w:left="242"/>
      </w:pPr>
      <w:r>
        <w:t>324</w:t>
      </w:r>
      <w:r>
        <w:tab/>
        <w:t>540</w:t>
      </w:r>
    </w:p>
    <w:p w:rsidR="00AD7907" w:rsidRDefault="00AD7907" w:rsidP="00AD7907">
      <w:pPr>
        <w:pStyle w:val="Rejstk2"/>
        <w:tabs>
          <w:tab w:val="right" w:leader="dot" w:pos="4171"/>
        </w:tabs>
        <w:spacing w:line="240" w:lineRule="auto"/>
        <w:ind w:left="242"/>
      </w:pPr>
      <w:r>
        <w:t>333</w:t>
      </w:r>
      <w:r>
        <w:tab/>
        <w:t>558</w:t>
      </w:r>
    </w:p>
    <w:p w:rsidR="00AD7907" w:rsidRDefault="00AD7907" w:rsidP="00AD7907">
      <w:pPr>
        <w:pStyle w:val="Rejstk2"/>
        <w:tabs>
          <w:tab w:val="right" w:leader="dot" w:pos="4171"/>
        </w:tabs>
        <w:spacing w:line="240" w:lineRule="auto"/>
        <w:ind w:left="242"/>
      </w:pPr>
      <w:r>
        <w:t>344</w:t>
      </w:r>
      <w:r>
        <w:tab/>
        <w:t>547</w:t>
      </w:r>
    </w:p>
    <w:p w:rsidR="00AD7907" w:rsidRDefault="00AD7907" w:rsidP="00AD7907">
      <w:pPr>
        <w:pStyle w:val="Rejstk2"/>
        <w:tabs>
          <w:tab w:val="right" w:leader="dot" w:pos="4171"/>
        </w:tabs>
        <w:spacing w:line="240" w:lineRule="auto"/>
        <w:ind w:left="242"/>
      </w:pPr>
      <w:r>
        <w:t>345</w:t>
      </w:r>
      <w:r>
        <w:tab/>
        <w:t>532, 533, 534</w:t>
      </w:r>
    </w:p>
    <w:p w:rsidR="00AD7907" w:rsidRDefault="00AD7907" w:rsidP="00AD7907">
      <w:pPr>
        <w:pStyle w:val="Rejstk2"/>
        <w:tabs>
          <w:tab w:val="right" w:leader="dot" w:pos="4171"/>
        </w:tabs>
        <w:spacing w:line="240" w:lineRule="auto"/>
        <w:ind w:left="242"/>
      </w:pPr>
      <w:r>
        <w:t>347</w:t>
      </w:r>
      <w:r>
        <w:tab/>
        <w:t>527</w:t>
      </w:r>
    </w:p>
    <w:p w:rsidR="00AD7907" w:rsidRDefault="00AD7907" w:rsidP="00AD7907">
      <w:pPr>
        <w:pStyle w:val="Rejstk2"/>
        <w:tabs>
          <w:tab w:val="right" w:leader="dot" w:pos="4171"/>
        </w:tabs>
        <w:spacing w:line="240" w:lineRule="auto"/>
        <w:ind w:left="242"/>
      </w:pPr>
      <w:r>
        <w:t>354</w:t>
      </w:r>
      <w:r>
        <w:tab/>
        <w:t>543</w:t>
      </w:r>
    </w:p>
    <w:p w:rsidR="00AD7907" w:rsidRDefault="00AD7907" w:rsidP="00AD7907">
      <w:pPr>
        <w:pStyle w:val="Rejstk2"/>
        <w:tabs>
          <w:tab w:val="right" w:leader="dot" w:pos="4171"/>
        </w:tabs>
        <w:spacing w:line="240" w:lineRule="auto"/>
        <w:ind w:left="242"/>
      </w:pPr>
      <w:r w:rsidRPr="004B4DFF">
        <w:rPr>
          <w:rFonts w:eastAsia="Sylfaen"/>
        </w:rPr>
        <w:t>358</w:t>
      </w:r>
      <w:r>
        <w:tab/>
        <w:t>542</w:t>
      </w:r>
    </w:p>
    <w:p w:rsidR="00AD7907" w:rsidRDefault="00AD7907" w:rsidP="00AD7907">
      <w:pPr>
        <w:pStyle w:val="Rejstk2"/>
        <w:tabs>
          <w:tab w:val="right" w:leader="dot" w:pos="4171"/>
        </w:tabs>
        <w:spacing w:line="240" w:lineRule="auto"/>
        <w:ind w:left="242"/>
      </w:pPr>
      <w:r w:rsidRPr="004B4DFF">
        <w:t>365</w:t>
      </w:r>
      <w:r>
        <w:tab/>
        <w:t>529</w:t>
      </w:r>
    </w:p>
    <w:p w:rsidR="00AD7907" w:rsidRDefault="00AD7907" w:rsidP="00AD7907">
      <w:pPr>
        <w:pStyle w:val="Rejstk2"/>
        <w:tabs>
          <w:tab w:val="right" w:leader="dot" w:pos="4171"/>
        </w:tabs>
        <w:spacing w:line="240" w:lineRule="auto"/>
        <w:ind w:left="242"/>
      </w:pPr>
      <w:r w:rsidRPr="004B4DFF">
        <w:t>374</w:t>
      </w:r>
      <w:r>
        <w:tab/>
        <w:t>525</w:t>
      </w:r>
    </w:p>
    <w:p w:rsidR="00AD7907" w:rsidRDefault="00AD7907" w:rsidP="00AD7907">
      <w:pPr>
        <w:pStyle w:val="Rejstk2"/>
        <w:tabs>
          <w:tab w:val="right" w:leader="dot" w:pos="4171"/>
        </w:tabs>
        <w:spacing w:line="240" w:lineRule="auto"/>
        <w:ind w:left="242"/>
      </w:pPr>
      <w:r w:rsidRPr="004B4DFF">
        <w:t>376</w:t>
      </w:r>
      <w:r>
        <w:tab/>
        <w:t>525</w:t>
      </w:r>
    </w:p>
    <w:p w:rsidR="00AD7907" w:rsidRDefault="00AD7907" w:rsidP="00AD7907">
      <w:pPr>
        <w:pStyle w:val="Rejstk2"/>
        <w:tabs>
          <w:tab w:val="right" w:leader="dot" w:pos="4171"/>
        </w:tabs>
        <w:spacing w:line="240" w:lineRule="auto"/>
        <w:ind w:left="242"/>
      </w:pPr>
      <w:r>
        <w:t>411</w:t>
      </w:r>
      <w:r>
        <w:tab/>
        <w:t>531</w:t>
      </w:r>
    </w:p>
    <w:p w:rsidR="00AD7907" w:rsidRDefault="00AD7907" w:rsidP="00AD7907">
      <w:pPr>
        <w:pStyle w:val="Rejstk2"/>
        <w:tabs>
          <w:tab w:val="right" w:leader="dot" w:pos="4171"/>
        </w:tabs>
        <w:spacing w:line="240" w:lineRule="auto"/>
        <w:ind w:left="242"/>
      </w:pPr>
      <w:r>
        <w:t>412</w:t>
      </w:r>
      <w:r>
        <w:tab/>
        <w:t>530</w:t>
      </w:r>
    </w:p>
    <w:p w:rsidR="00AD7907" w:rsidRDefault="00AD7907" w:rsidP="00AD7907">
      <w:pPr>
        <w:pStyle w:val="Rejstk2"/>
        <w:tabs>
          <w:tab w:val="right" w:leader="dot" w:pos="4171"/>
        </w:tabs>
        <w:spacing w:line="240" w:lineRule="auto"/>
        <w:ind w:left="242"/>
      </w:pPr>
      <w:r>
        <w:t>413</w:t>
      </w:r>
      <w:r>
        <w:tab/>
        <w:t>538, 539</w:t>
      </w:r>
    </w:p>
    <w:p w:rsidR="00AD7907" w:rsidRDefault="00AD7907" w:rsidP="00AD7907">
      <w:pPr>
        <w:pStyle w:val="Rejstk2"/>
        <w:tabs>
          <w:tab w:val="right" w:leader="dot" w:pos="4171"/>
        </w:tabs>
        <w:spacing w:line="240" w:lineRule="auto"/>
        <w:ind w:left="242"/>
      </w:pPr>
      <w:r w:rsidRPr="004B4DFF">
        <w:t>417</w:t>
      </w:r>
      <w:r>
        <w:tab/>
        <w:t>553</w:t>
      </w:r>
    </w:p>
    <w:p w:rsidR="00AD7907" w:rsidRDefault="00AD7907" w:rsidP="00AD7907">
      <w:pPr>
        <w:pStyle w:val="Rejstk2"/>
        <w:tabs>
          <w:tab w:val="right" w:leader="dot" w:pos="4171"/>
        </w:tabs>
        <w:spacing w:line="240" w:lineRule="auto"/>
        <w:ind w:left="242"/>
      </w:pPr>
      <w:r>
        <w:t>432</w:t>
      </w:r>
      <w:r>
        <w:tab/>
        <w:t>551</w:t>
      </w:r>
    </w:p>
    <w:p w:rsidR="00AD7907" w:rsidRDefault="00AD7907" w:rsidP="00AD7907">
      <w:pPr>
        <w:pStyle w:val="Rejstk2"/>
        <w:tabs>
          <w:tab w:val="right" w:leader="dot" w:pos="4171"/>
        </w:tabs>
        <w:spacing w:line="240" w:lineRule="auto"/>
        <w:ind w:left="242"/>
      </w:pPr>
      <w:r>
        <w:t>485</w:t>
      </w:r>
      <w:r>
        <w:tab/>
        <w:t>515</w:t>
      </w:r>
    </w:p>
    <w:p w:rsidR="00AD7907" w:rsidRDefault="00AD7907" w:rsidP="00AD7907">
      <w:pPr>
        <w:pStyle w:val="Rejstk2"/>
        <w:tabs>
          <w:tab w:val="right" w:leader="dot" w:pos="4171"/>
        </w:tabs>
        <w:spacing w:line="240" w:lineRule="auto"/>
        <w:ind w:left="242"/>
      </w:pPr>
      <w:r>
        <w:t>486</w:t>
      </w:r>
      <w:r>
        <w:tab/>
        <w:t>646</w:t>
      </w:r>
    </w:p>
    <w:p w:rsidR="00AD7907" w:rsidRDefault="00AD7907" w:rsidP="00AD7907">
      <w:pPr>
        <w:pStyle w:val="Rejstk2"/>
        <w:tabs>
          <w:tab w:val="right" w:leader="dot" w:pos="4171"/>
        </w:tabs>
        <w:spacing w:line="240" w:lineRule="auto"/>
        <w:ind w:left="242"/>
      </w:pPr>
      <w:r>
        <w:t>503</w:t>
      </w:r>
      <w:r>
        <w:tab/>
        <w:t>516</w:t>
      </w:r>
    </w:p>
    <w:p w:rsidR="00AD7907" w:rsidRDefault="00AD7907" w:rsidP="00AD7907">
      <w:pPr>
        <w:pStyle w:val="Rejstk2"/>
        <w:tabs>
          <w:tab w:val="right" w:leader="dot" w:pos="4171"/>
        </w:tabs>
        <w:spacing w:line="240" w:lineRule="auto"/>
        <w:ind w:left="242"/>
      </w:pPr>
      <w:r>
        <w:t>513</w:t>
      </w:r>
      <w:r>
        <w:tab/>
        <w:t>517</w:t>
      </w:r>
    </w:p>
    <w:p w:rsidR="00AD7907" w:rsidRDefault="00AD7907" w:rsidP="00AD7907">
      <w:pPr>
        <w:pStyle w:val="Rejstk2"/>
        <w:tabs>
          <w:tab w:val="right" w:leader="dot" w:pos="4171"/>
        </w:tabs>
        <w:ind w:left="242"/>
      </w:pPr>
      <w:r>
        <w:t>429</w:t>
      </w:r>
      <w:r>
        <w:tab/>
        <w:t>564</w:t>
      </w:r>
    </w:p>
    <w:p w:rsidR="00AD7907" w:rsidRDefault="00AD7907" w:rsidP="00AD7907">
      <w:pPr>
        <w:pStyle w:val="Rejstk2"/>
        <w:tabs>
          <w:tab w:val="right" w:leader="dot" w:pos="4171"/>
        </w:tabs>
        <w:ind w:left="242"/>
      </w:pPr>
    </w:p>
    <w:p w:rsidR="00AD7907" w:rsidRPr="00B32C23" w:rsidRDefault="00AD7907" w:rsidP="00AD7907">
      <w:pPr>
        <w:pStyle w:val="Rejstk2"/>
        <w:tabs>
          <w:tab w:val="right" w:leader="dot" w:pos="4171"/>
        </w:tabs>
        <w:ind w:left="242"/>
      </w:pPr>
      <w:r w:rsidRPr="008757E5">
        <w:rPr>
          <w:b/>
          <w:i/>
          <w:lang w:val="de-LU"/>
        </w:rPr>
        <w:t>Oxforder Anonymer</w:t>
      </w:r>
    </w:p>
    <w:p w:rsidR="00AD7907" w:rsidRDefault="00AD7907" w:rsidP="00AD7907">
      <w:pPr>
        <w:pStyle w:val="Rejstk1"/>
        <w:tabs>
          <w:tab w:val="right" w:leader="dot" w:pos="4171"/>
        </w:tabs>
        <w:spacing w:line="240" w:lineRule="auto"/>
      </w:pPr>
      <w:r>
        <w:t>138.22‒25</w:t>
      </w:r>
      <w:r>
        <w:tab/>
        <w:t>180</w:t>
      </w:r>
    </w:p>
    <w:p w:rsidR="00AD7907" w:rsidRDefault="00AD7907" w:rsidP="00AD7907">
      <w:pPr>
        <w:pStyle w:val="Rejstk1"/>
        <w:tabs>
          <w:tab w:val="right" w:leader="dot" w:pos="4171"/>
        </w:tabs>
        <w:spacing w:line="240" w:lineRule="auto"/>
      </w:pPr>
      <w:r>
        <w:lastRenderedPageBreak/>
        <w:t>142.23‒25</w:t>
      </w:r>
      <w:r>
        <w:tab/>
        <w:t>181</w:t>
      </w:r>
    </w:p>
    <w:p w:rsidR="00AD7907" w:rsidRDefault="00AD7907" w:rsidP="00AD7907">
      <w:pPr>
        <w:pStyle w:val="Rejstk1"/>
        <w:tabs>
          <w:tab w:val="right" w:leader="dot" w:pos="4171"/>
        </w:tabs>
        <w:spacing w:line="240" w:lineRule="auto"/>
      </w:pPr>
      <w:r>
        <w:t>143.32‒35</w:t>
      </w:r>
      <w:r>
        <w:tab/>
        <w:t>182</w:t>
      </w:r>
    </w:p>
    <w:p w:rsidR="00AD7907" w:rsidRDefault="00AD7907" w:rsidP="00AD7907">
      <w:pPr>
        <w:pStyle w:val="Rejstk1"/>
        <w:tabs>
          <w:tab w:val="right" w:leader="dot" w:pos="4171"/>
        </w:tabs>
        <w:spacing w:line="240" w:lineRule="auto"/>
      </w:pPr>
      <w:r>
        <w:t>156.39‒40</w:t>
      </w:r>
      <w:r>
        <w:tab/>
        <w:t>193</w:t>
      </w:r>
    </w:p>
    <w:p w:rsidR="00AD7907" w:rsidRDefault="00AD7907" w:rsidP="00AD7907">
      <w:pPr>
        <w:pStyle w:val="Rejstk1"/>
        <w:tabs>
          <w:tab w:val="right" w:leader="dot" w:pos="4171"/>
        </w:tabs>
        <w:spacing w:line="240" w:lineRule="auto"/>
      </w:pPr>
      <w:r>
        <w:t>157.11‒14</w:t>
      </w:r>
      <w:r>
        <w:tab/>
        <w:t>184</w:t>
      </w:r>
    </w:p>
    <w:p w:rsidR="00AD7907" w:rsidRDefault="00AD7907" w:rsidP="00AD7907">
      <w:pPr>
        <w:pStyle w:val="Rejstk1"/>
        <w:tabs>
          <w:tab w:val="right" w:leader="dot" w:pos="4171"/>
        </w:tabs>
        <w:spacing w:line="240" w:lineRule="auto"/>
      </w:pPr>
      <w:r>
        <w:t>165.49‒50</w:t>
      </w:r>
      <w:r>
        <w:tab/>
        <w:t>183</w:t>
      </w:r>
    </w:p>
    <w:p w:rsidR="00AD7907" w:rsidRDefault="00AD7907" w:rsidP="00AD7907">
      <w:pPr>
        <w:pStyle w:val="Rejstk1"/>
        <w:tabs>
          <w:tab w:val="right" w:leader="dot" w:pos="4171"/>
        </w:tabs>
        <w:spacing w:line="240" w:lineRule="auto"/>
      </w:pPr>
      <w:r>
        <w:t>168.47</w:t>
      </w:r>
      <w:r>
        <w:tab/>
        <w:t>184, 187</w:t>
      </w:r>
    </w:p>
    <w:p w:rsidR="00AD7907" w:rsidRDefault="00AD7907" w:rsidP="00AD7907">
      <w:pPr>
        <w:pStyle w:val="Rejstk1"/>
        <w:tabs>
          <w:tab w:val="right" w:leader="dot" w:pos="4171"/>
        </w:tabs>
        <w:spacing w:line="240" w:lineRule="auto"/>
      </w:pPr>
      <w:r>
        <w:t>170.91‒101</w:t>
      </w:r>
      <w:r>
        <w:tab/>
        <w:t>194</w:t>
      </w:r>
    </w:p>
    <w:p w:rsidR="00AD7907" w:rsidRDefault="00AD7907" w:rsidP="00AD7907">
      <w:pPr>
        <w:pStyle w:val="Rejstk1"/>
        <w:tabs>
          <w:tab w:val="right" w:leader="dot" w:pos="4171"/>
        </w:tabs>
        <w:spacing w:line="240" w:lineRule="auto"/>
      </w:pPr>
      <w:r>
        <w:t>197.52‒58</w:t>
      </w:r>
      <w:r>
        <w:tab/>
        <w:t>196</w:t>
      </w:r>
    </w:p>
    <w:p w:rsidR="00AD7907" w:rsidRDefault="00AD7907" w:rsidP="00AD7907">
      <w:pPr>
        <w:pStyle w:val="Rejstk1"/>
        <w:tabs>
          <w:tab w:val="right" w:leader="dot" w:pos="4171"/>
        </w:tabs>
        <w:spacing w:line="240" w:lineRule="auto"/>
      </w:pPr>
      <w:r>
        <w:t>203.14‒15</w:t>
      </w:r>
      <w:r>
        <w:tab/>
        <w:t>198</w:t>
      </w:r>
    </w:p>
    <w:p w:rsidR="00AD7907" w:rsidRDefault="00AD7907" w:rsidP="00AD7907">
      <w:pPr>
        <w:pStyle w:val="Rejstk1"/>
        <w:tabs>
          <w:tab w:val="right" w:leader="dot" w:pos="4171"/>
        </w:tabs>
        <w:spacing w:line="240" w:lineRule="auto"/>
      </w:pPr>
      <w:r>
        <w:t>226.57‒62</w:t>
      </w:r>
      <w:r>
        <w:tab/>
        <w:t>196</w:t>
      </w:r>
    </w:p>
    <w:p w:rsidR="00AD7907" w:rsidRDefault="00AD7907" w:rsidP="00AD7907">
      <w:pPr>
        <w:pStyle w:val="Rejstk1"/>
        <w:tabs>
          <w:tab w:val="right" w:leader="dot" w:pos="4171"/>
        </w:tabs>
        <w:spacing w:line="240" w:lineRule="auto"/>
      </w:pPr>
      <w:r>
        <w:t>226.57‒64</w:t>
      </w:r>
      <w:r>
        <w:tab/>
        <w:t>234</w:t>
      </w:r>
    </w:p>
    <w:p w:rsidR="00AD7907" w:rsidRDefault="00AD7907" w:rsidP="00AD7907">
      <w:pPr>
        <w:pStyle w:val="Rejstk1"/>
        <w:tabs>
          <w:tab w:val="right" w:leader="dot" w:pos="4171"/>
        </w:tabs>
        <w:spacing w:line="240" w:lineRule="auto"/>
      </w:pPr>
      <w:r>
        <w:t>229.79‒82</w:t>
      </w:r>
      <w:r>
        <w:tab/>
        <w:t>195</w:t>
      </w:r>
    </w:p>
    <w:p w:rsidR="00AD7907" w:rsidRDefault="00AD7907" w:rsidP="00AD7907">
      <w:pPr>
        <w:pStyle w:val="Rejstk1"/>
        <w:tabs>
          <w:tab w:val="right" w:leader="dot" w:pos="4171"/>
        </w:tabs>
        <w:spacing w:line="240" w:lineRule="auto"/>
      </w:pPr>
      <w:r>
        <w:t>250.23‒29</w:t>
      </w:r>
      <w:r>
        <w:tab/>
        <w:t>197</w:t>
      </w:r>
    </w:p>
    <w:p w:rsidR="00AD7907" w:rsidRDefault="00AD7907" w:rsidP="00AD7907">
      <w:pPr>
        <w:pStyle w:val="Rejstk1"/>
        <w:tabs>
          <w:tab w:val="right" w:leader="dot" w:pos="4171"/>
        </w:tabs>
        <w:spacing w:line="240" w:lineRule="auto"/>
      </w:pPr>
      <w:r>
        <w:t>314.51‒54</w:t>
      </w:r>
      <w:r>
        <w:tab/>
        <w:t>200</w:t>
      </w:r>
    </w:p>
    <w:p w:rsidR="00AD7907" w:rsidRDefault="00AD7907" w:rsidP="00AD7907">
      <w:pPr>
        <w:pStyle w:val="Rejstk1"/>
        <w:tabs>
          <w:tab w:val="right" w:leader="dot" w:pos="4171"/>
        </w:tabs>
        <w:spacing w:line="240" w:lineRule="auto"/>
      </w:pPr>
      <w:r>
        <w:t>316.13‒17</w:t>
      </w:r>
      <w:r>
        <w:tab/>
        <w:t>201</w:t>
      </w:r>
    </w:p>
    <w:p w:rsidR="00AD7907" w:rsidRDefault="00AD7907" w:rsidP="00AD7907">
      <w:pPr>
        <w:pStyle w:val="Rejstk1"/>
        <w:tabs>
          <w:tab w:val="right" w:leader="dot" w:pos="4171"/>
        </w:tabs>
        <w:spacing w:line="240" w:lineRule="auto"/>
      </w:pPr>
      <w:r>
        <w:t>316.1‒7</w:t>
      </w:r>
      <w:r>
        <w:tab/>
        <w:t>202</w:t>
      </w:r>
    </w:p>
    <w:p w:rsidR="00AD7907" w:rsidRDefault="00AD7907" w:rsidP="00AD7907">
      <w:pPr>
        <w:pStyle w:val="Rejstk1"/>
        <w:tabs>
          <w:tab w:val="right" w:leader="dot" w:pos="4171"/>
        </w:tabs>
        <w:spacing w:line="240" w:lineRule="auto"/>
      </w:pPr>
      <w:r>
        <w:t>317.30‒33</w:t>
      </w:r>
      <w:r>
        <w:tab/>
        <w:t>203</w:t>
      </w:r>
    </w:p>
    <w:p w:rsidR="00AD7907" w:rsidRDefault="00AD7907" w:rsidP="00AD7907">
      <w:pPr>
        <w:pStyle w:val="Rejstk1"/>
        <w:tabs>
          <w:tab w:val="right" w:leader="dot" w:pos="4171"/>
        </w:tabs>
        <w:spacing w:line="240" w:lineRule="auto"/>
      </w:pPr>
      <w:r>
        <w:t>321.27‒33</w:t>
      </w:r>
      <w:r>
        <w:tab/>
        <w:t>205</w:t>
      </w:r>
    </w:p>
    <w:p w:rsidR="00AD7907" w:rsidRDefault="00AD7907" w:rsidP="00AD7907">
      <w:pPr>
        <w:pStyle w:val="Rejstk1"/>
        <w:tabs>
          <w:tab w:val="right" w:leader="dot" w:pos="4171"/>
        </w:tabs>
        <w:spacing w:line="240" w:lineRule="auto"/>
      </w:pPr>
      <w:r>
        <w:t>322.19‒49</w:t>
      </w:r>
      <w:r>
        <w:tab/>
        <w:t>206</w:t>
      </w:r>
    </w:p>
    <w:p w:rsidR="00AD7907" w:rsidRDefault="00AD7907" w:rsidP="00AD7907">
      <w:pPr>
        <w:pStyle w:val="Rejstk1"/>
        <w:tabs>
          <w:tab w:val="right" w:leader="dot" w:pos="4171"/>
        </w:tabs>
        <w:spacing w:line="240" w:lineRule="auto"/>
      </w:pPr>
      <w:r>
        <w:t>324.18‒25</w:t>
      </w:r>
      <w:r>
        <w:tab/>
        <w:t>204</w:t>
      </w:r>
    </w:p>
    <w:p w:rsidR="00AD7907" w:rsidRDefault="00AD7907" w:rsidP="00AD7907">
      <w:pPr>
        <w:pStyle w:val="Rejstk1"/>
        <w:tabs>
          <w:tab w:val="right" w:leader="dot" w:pos="4171"/>
        </w:tabs>
        <w:spacing w:line="240" w:lineRule="auto"/>
      </w:pPr>
      <w:r>
        <w:t>332.18‒25</w:t>
      </w:r>
      <w:r>
        <w:tab/>
        <w:t>207</w:t>
      </w:r>
    </w:p>
    <w:p w:rsidR="00AD7907" w:rsidRDefault="00AD7907" w:rsidP="00AD7907">
      <w:pPr>
        <w:pStyle w:val="Rejstk1"/>
        <w:tabs>
          <w:tab w:val="right" w:leader="dot" w:pos="4171"/>
        </w:tabs>
        <w:spacing w:line="240" w:lineRule="auto"/>
      </w:pPr>
      <w:r>
        <w:t>334.25‒33</w:t>
      </w:r>
      <w:r>
        <w:tab/>
        <w:t>209</w:t>
      </w:r>
    </w:p>
    <w:p w:rsidR="00AD7907" w:rsidRDefault="00AD7907" w:rsidP="00AD7907">
      <w:pPr>
        <w:pStyle w:val="Rejstk1"/>
        <w:tabs>
          <w:tab w:val="right" w:leader="dot" w:pos="4171"/>
        </w:tabs>
        <w:spacing w:line="240" w:lineRule="auto"/>
      </w:pPr>
      <w:r>
        <w:t>334.43‒55</w:t>
      </w:r>
      <w:r>
        <w:tab/>
        <w:t>210</w:t>
      </w:r>
    </w:p>
    <w:p w:rsidR="00AD7907" w:rsidRDefault="00AD7907" w:rsidP="00AD7907">
      <w:pPr>
        <w:pStyle w:val="Rejstk1"/>
        <w:tabs>
          <w:tab w:val="right" w:leader="dot" w:pos="4171"/>
        </w:tabs>
        <w:spacing w:line="240" w:lineRule="auto"/>
      </w:pPr>
      <w:r>
        <w:t>334.51‒52</w:t>
      </w:r>
      <w:r>
        <w:tab/>
        <w:t>210</w:t>
      </w:r>
    </w:p>
    <w:p w:rsidR="00AD7907" w:rsidRDefault="00AD7907" w:rsidP="00AD7907">
      <w:pPr>
        <w:pStyle w:val="Rejstk1"/>
        <w:tabs>
          <w:tab w:val="right" w:leader="dot" w:pos="4171"/>
        </w:tabs>
        <w:spacing w:line="240" w:lineRule="auto"/>
      </w:pPr>
      <w:r>
        <w:t>337.25‒30</w:t>
      </w:r>
      <w:r>
        <w:tab/>
        <w:t>210</w:t>
      </w:r>
    </w:p>
    <w:p w:rsidR="00AD7907" w:rsidRDefault="00AD7907" w:rsidP="00AD7907">
      <w:pPr>
        <w:pStyle w:val="Rejstk1"/>
        <w:tabs>
          <w:tab w:val="right" w:leader="dot" w:pos="4171"/>
        </w:tabs>
      </w:pPr>
      <w:r>
        <w:t>341.68‒75</w:t>
      </w:r>
      <w:r>
        <w:tab/>
        <w:t>213</w:t>
      </w:r>
    </w:p>
    <w:p w:rsidR="00AD7907" w:rsidRDefault="00AD7907" w:rsidP="00AD7907">
      <w:pPr>
        <w:pStyle w:val="Rejstk1"/>
        <w:tabs>
          <w:tab w:val="right" w:leader="dot" w:pos="4171"/>
        </w:tabs>
      </w:pPr>
    </w:p>
    <w:p w:rsidR="00AD7907" w:rsidRPr="00EC17D8" w:rsidRDefault="00AD7907" w:rsidP="00AD7907">
      <w:pPr>
        <w:pStyle w:val="Rejstk1"/>
        <w:tabs>
          <w:tab w:val="right" w:leader="dot" w:pos="4171"/>
        </w:tabs>
        <w:spacing w:line="240" w:lineRule="auto"/>
        <w:ind w:left="238" w:hanging="238"/>
      </w:pPr>
      <w:r w:rsidRPr="008757E5">
        <w:rPr>
          <w:b/>
          <w:lang w:val="de-LU"/>
        </w:rPr>
        <w:t>Parmenides</w:t>
      </w:r>
    </w:p>
    <w:p w:rsidR="00AD7907" w:rsidRDefault="00AD7907" w:rsidP="00AD7907">
      <w:pPr>
        <w:pStyle w:val="Rejstk2"/>
        <w:tabs>
          <w:tab w:val="right" w:leader="dot" w:pos="4171"/>
        </w:tabs>
        <w:spacing w:line="240" w:lineRule="auto"/>
      </w:pPr>
      <w:r>
        <w:t>B 1.16</w:t>
      </w:r>
      <w:r>
        <w:tab/>
        <w:t>939</w:t>
      </w:r>
    </w:p>
    <w:p w:rsidR="00AD7907" w:rsidRDefault="00AD7907" w:rsidP="00AD7907">
      <w:pPr>
        <w:pStyle w:val="Rejstk2"/>
        <w:tabs>
          <w:tab w:val="right" w:leader="dot" w:pos="4171"/>
        </w:tabs>
        <w:spacing w:line="240" w:lineRule="auto"/>
      </w:pPr>
      <w:r>
        <w:t>B 1.34</w:t>
      </w:r>
      <w:r>
        <w:tab/>
        <w:t>938</w:t>
      </w:r>
    </w:p>
    <w:p w:rsidR="00AD7907" w:rsidRDefault="00AD7907" w:rsidP="00AD7907">
      <w:pPr>
        <w:pStyle w:val="Rejstk2"/>
        <w:tabs>
          <w:tab w:val="right" w:leader="dot" w:pos="4171"/>
        </w:tabs>
        <w:spacing w:line="240" w:lineRule="auto"/>
      </w:pPr>
      <w:r>
        <w:t>B 1.37</w:t>
      </w:r>
      <w:r>
        <w:tab/>
        <w:t>938</w:t>
      </w:r>
    </w:p>
    <w:p w:rsidR="00AD7907" w:rsidRDefault="00AD7907" w:rsidP="00AD7907">
      <w:pPr>
        <w:pStyle w:val="Rejstk2"/>
        <w:tabs>
          <w:tab w:val="right" w:leader="dot" w:pos="4171"/>
        </w:tabs>
        <w:spacing w:line="240" w:lineRule="auto"/>
      </w:pPr>
      <w:r>
        <w:t>B 6.12</w:t>
      </w:r>
      <w:r>
        <w:tab/>
        <w:t>938</w:t>
      </w:r>
    </w:p>
    <w:p w:rsidR="00AD7907" w:rsidRDefault="00AD7907" w:rsidP="00AD7907">
      <w:pPr>
        <w:pStyle w:val="Rejstk2"/>
        <w:tabs>
          <w:tab w:val="right" w:leader="dot" w:pos="4171"/>
        </w:tabs>
        <w:spacing w:line="240" w:lineRule="auto"/>
      </w:pPr>
      <w:r>
        <w:t>B 6.13</w:t>
      </w:r>
      <w:r>
        <w:tab/>
        <w:t>938</w:t>
      </w:r>
    </w:p>
    <w:p w:rsidR="00AD7907" w:rsidRDefault="00AD7907" w:rsidP="00AD7907">
      <w:pPr>
        <w:pStyle w:val="Rejstk2"/>
        <w:tabs>
          <w:tab w:val="right" w:leader="dot" w:pos="4171"/>
        </w:tabs>
        <w:spacing w:line="240" w:lineRule="auto"/>
      </w:pPr>
      <w:r>
        <w:t>B 8.2‒3</w:t>
      </w:r>
      <w:r>
        <w:tab/>
        <w:t>13</w:t>
      </w:r>
    </w:p>
    <w:p w:rsidR="00AD7907" w:rsidRDefault="00AD7907" w:rsidP="00AD7907">
      <w:pPr>
        <w:pStyle w:val="Rejstk2"/>
        <w:tabs>
          <w:tab w:val="right" w:leader="dot" w:pos="4171"/>
        </w:tabs>
        <w:spacing w:line="240" w:lineRule="auto"/>
        <w:ind w:left="238"/>
        <w:rPr>
          <w:lang w:val="de-LU"/>
        </w:rPr>
      </w:pPr>
    </w:p>
    <w:p w:rsidR="00AD7907" w:rsidRDefault="00AD7907" w:rsidP="00AD7907">
      <w:pPr>
        <w:pStyle w:val="Rejstk2"/>
        <w:tabs>
          <w:tab w:val="right" w:leader="dot" w:pos="4171"/>
        </w:tabs>
        <w:ind w:left="238"/>
        <w:rPr>
          <w:b/>
          <w:lang w:val="de-LU"/>
        </w:rPr>
      </w:pPr>
      <w:r w:rsidRPr="008757E5">
        <w:rPr>
          <w:b/>
          <w:lang w:val="de-LU"/>
        </w:rPr>
        <w:t>Iohannis</w:t>
      </w:r>
      <w:r>
        <w:rPr>
          <w:b/>
          <w:lang w:val="de-LU"/>
        </w:rPr>
        <w:t xml:space="preserve"> Pecham</w:t>
      </w:r>
    </w:p>
    <w:p w:rsidR="00AD7907" w:rsidRDefault="00AD7907" w:rsidP="00AD7907">
      <w:pPr>
        <w:pStyle w:val="Rejstk2"/>
        <w:tabs>
          <w:tab w:val="right" w:leader="dot" w:pos="4171"/>
        </w:tabs>
        <w:ind w:left="238"/>
        <w:rPr>
          <w:b/>
          <w:lang w:val="de-LU"/>
        </w:rPr>
      </w:pPr>
      <w:r w:rsidRPr="004B4DFF">
        <w:rPr>
          <w:i/>
        </w:rPr>
        <w:t>Johannis Pechami</w:t>
      </w:r>
      <w:r>
        <w:t xml:space="preserve"> </w:t>
      </w:r>
      <w:r w:rsidRPr="004B4DFF">
        <w:rPr>
          <w:i/>
        </w:rPr>
        <w:t>Quaestiones tractantes De anima</w:t>
      </w:r>
    </w:p>
    <w:p w:rsidR="00AD7907" w:rsidRPr="00575D8B" w:rsidRDefault="00AD7907" w:rsidP="00AD7907">
      <w:pPr>
        <w:pStyle w:val="Rejstk2"/>
        <w:tabs>
          <w:tab w:val="right" w:leader="dot" w:pos="4171"/>
        </w:tabs>
        <w:spacing w:line="240" w:lineRule="auto"/>
        <w:ind w:left="238" w:hanging="238"/>
        <w:rPr>
          <w:b/>
          <w:lang w:val="de-LU"/>
        </w:rPr>
      </w:pPr>
      <w:r w:rsidRPr="00C3690C">
        <w:t>q. 4</w:t>
      </w:r>
      <w:r>
        <w:tab/>
        <w:t>134</w:t>
      </w:r>
    </w:p>
    <w:p w:rsidR="00AD7907" w:rsidRDefault="00AD7907" w:rsidP="00AD7907">
      <w:pPr>
        <w:pStyle w:val="Rejstk2"/>
        <w:tabs>
          <w:tab w:val="right" w:leader="dot" w:pos="4171"/>
        </w:tabs>
        <w:spacing w:line="240" w:lineRule="auto"/>
        <w:ind w:left="242"/>
      </w:pPr>
      <w:r>
        <w:t>102.15‒23</w:t>
      </w:r>
      <w:r>
        <w:tab/>
        <w:t>141</w:t>
      </w:r>
    </w:p>
    <w:p w:rsidR="00AD7907" w:rsidRDefault="00AD7907" w:rsidP="00AD7907">
      <w:pPr>
        <w:pStyle w:val="Rejstk2"/>
        <w:tabs>
          <w:tab w:val="right" w:leader="dot" w:pos="4171"/>
        </w:tabs>
        <w:spacing w:line="240" w:lineRule="auto"/>
        <w:ind w:left="242"/>
      </w:pPr>
      <w:r>
        <w:t>11.14‒20</w:t>
      </w:r>
      <w:r>
        <w:tab/>
        <w:t>228</w:t>
      </w:r>
    </w:p>
    <w:p w:rsidR="00AD7907" w:rsidRDefault="00AD7907" w:rsidP="00AD7907">
      <w:pPr>
        <w:pStyle w:val="Rejstk2"/>
        <w:tabs>
          <w:tab w:val="right" w:leader="dot" w:pos="4171"/>
        </w:tabs>
        <w:spacing w:line="240" w:lineRule="auto"/>
        <w:ind w:left="242"/>
      </w:pPr>
      <w:r>
        <w:t>152.28‒32</w:t>
      </w:r>
      <w:r>
        <w:tab/>
        <w:t>230</w:t>
      </w:r>
    </w:p>
    <w:p w:rsidR="00AD7907" w:rsidRDefault="00AD7907" w:rsidP="00AD7907">
      <w:pPr>
        <w:pStyle w:val="Rejstk2"/>
        <w:tabs>
          <w:tab w:val="right" w:leader="dot" w:pos="4171"/>
        </w:tabs>
        <w:spacing w:line="240" w:lineRule="auto"/>
        <w:ind w:left="242"/>
      </w:pPr>
      <w:r>
        <w:t>175.28‒31</w:t>
      </w:r>
      <w:r>
        <w:tab/>
        <w:t>154</w:t>
      </w:r>
    </w:p>
    <w:p w:rsidR="00AD7907" w:rsidRDefault="00AD7907" w:rsidP="00AD7907">
      <w:pPr>
        <w:pStyle w:val="Rejstk2"/>
        <w:tabs>
          <w:tab w:val="right" w:leader="dot" w:pos="4171"/>
        </w:tabs>
        <w:spacing w:line="240" w:lineRule="auto"/>
        <w:ind w:left="242"/>
      </w:pPr>
      <w:r>
        <w:t>175.37‒40</w:t>
      </w:r>
      <w:r>
        <w:tab/>
        <w:t>156</w:t>
      </w:r>
    </w:p>
    <w:p w:rsidR="00AD7907" w:rsidRDefault="00AD7907" w:rsidP="00AD7907">
      <w:pPr>
        <w:pStyle w:val="Rejstk2"/>
        <w:tabs>
          <w:tab w:val="right" w:leader="dot" w:pos="4171"/>
        </w:tabs>
        <w:spacing w:line="240" w:lineRule="auto"/>
        <w:ind w:left="242"/>
      </w:pPr>
      <w:r>
        <w:t>197.6‒10</w:t>
      </w:r>
      <w:r>
        <w:tab/>
        <w:t>226</w:t>
      </w:r>
    </w:p>
    <w:p w:rsidR="00AD7907" w:rsidRDefault="00AD7907" w:rsidP="00AD7907">
      <w:pPr>
        <w:pStyle w:val="Rejstk2"/>
        <w:tabs>
          <w:tab w:val="right" w:leader="dot" w:pos="4171"/>
        </w:tabs>
        <w:spacing w:line="240" w:lineRule="auto"/>
        <w:ind w:left="242"/>
      </w:pPr>
      <w:r>
        <w:t>200.28‒35</w:t>
      </w:r>
      <w:r>
        <w:tab/>
        <w:t>147</w:t>
      </w:r>
    </w:p>
    <w:p w:rsidR="00AD7907" w:rsidRDefault="00AD7907" w:rsidP="00AD7907">
      <w:pPr>
        <w:pStyle w:val="Rejstk2"/>
        <w:tabs>
          <w:tab w:val="right" w:leader="dot" w:pos="4171"/>
        </w:tabs>
        <w:spacing w:line="240" w:lineRule="auto"/>
        <w:ind w:left="242"/>
      </w:pPr>
      <w:r>
        <w:t>203.10‒13</w:t>
      </w:r>
      <w:r>
        <w:tab/>
        <w:t>142</w:t>
      </w:r>
    </w:p>
    <w:p w:rsidR="00AD7907" w:rsidRDefault="00AD7907" w:rsidP="00AD7907">
      <w:pPr>
        <w:pStyle w:val="Rejstk2"/>
        <w:tabs>
          <w:tab w:val="right" w:leader="dot" w:pos="4171"/>
        </w:tabs>
        <w:spacing w:line="240" w:lineRule="auto"/>
        <w:ind w:left="242"/>
      </w:pPr>
      <w:r>
        <w:t>220.4‒7</w:t>
      </w:r>
      <w:r>
        <w:tab/>
        <w:t>151</w:t>
      </w:r>
    </w:p>
    <w:p w:rsidR="00AD7907" w:rsidRDefault="00AD7907" w:rsidP="00AD7907">
      <w:pPr>
        <w:pStyle w:val="Rejstk2"/>
        <w:tabs>
          <w:tab w:val="right" w:leader="dot" w:pos="4171"/>
        </w:tabs>
        <w:spacing w:line="240" w:lineRule="auto"/>
        <w:ind w:left="242"/>
      </w:pPr>
      <w:r>
        <w:t>221.15‒21</w:t>
      </w:r>
      <w:r>
        <w:tab/>
        <w:t>160</w:t>
      </w:r>
    </w:p>
    <w:p w:rsidR="00AD7907" w:rsidRDefault="00AD7907" w:rsidP="00AD7907">
      <w:pPr>
        <w:pStyle w:val="Rejstk2"/>
        <w:tabs>
          <w:tab w:val="right" w:leader="dot" w:pos="4171"/>
        </w:tabs>
        <w:spacing w:line="240" w:lineRule="auto"/>
        <w:ind w:left="242"/>
      </w:pPr>
      <w:r>
        <w:t>40.13‒16</w:t>
      </w:r>
      <w:r>
        <w:tab/>
        <w:t>136</w:t>
      </w:r>
    </w:p>
    <w:p w:rsidR="00AD7907" w:rsidRDefault="00AD7907" w:rsidP="00AD7907">
      <w:pPr>
        <w:pStyle w:val="Rejstk2"/>
        <w:tabs>
          <w:tab w:val="right" w:leader="dot" w:pos="4171"/>
        </w:tabs>
        <w:spacing w:line="240" w:lineRule="auto"/>
        <w:ind w:left="242"/>
      </w:pPr>
      <w:r>
        <w:t>41.8‒9</w:t>
      </w:r>
      <w:r>
        <w:tab/>
        <w:t>135</w:t>
      </w:r>
    </w:p>
    <w:p w:rsidR="00AD7907" w:rsidRDefault="00AD7907" w:rsidP="00AD7907">
      <w:pPr>
        <w:pStyle w:val="Rejstk2"/>
        <w:tabs>
          <w:tab w:val="right" w:leader="dot" w:pos="4171"/>
        </w:tabs>
        <w:spacing w:line="240" w:lineRule="auto"/>
        <w:ind w:left="242"/>
      </w:pPr>
      <w:r>
        <w:t>43.13</w:t>
      </w:r>
      <w:r>
        <w:tab/>
        <w:t>138</w:t>
      </w:r>
    </w:p>
    <w:p w:rsidR="00AD7907" w:rsidRDefault="00AD7907" w:rsidP="00AD7907">
      <w:pPr>
        <w:pStyle w:val="Rejstk2"/>
        <w:tabs>
          <w:tab w:val="right" w:leader="dot" w:pos="4171"/>
        </w:tabs>
        <w:spacing w:line="240" w:lineRule="auto"/>
        <w:ind w:left="242"/>
      </w:pPr>
      <w:r>
        <w:t>48.21‒24</w:t>
      </w:r>
      <w:r>
        <w:tab/>
        <w:t>229</w:t>
      </w:r>
    </w:p>
    <w:p w:rsidR="00AD7907" w:rsidRDefault="00AD7907" w:rsidP="00AD7907">
      <w:pPr>
        <w:pStyle w:val="Rejstk2"/>
        <w:tabs>
          <w:tab w:val="right" w:leader="dot" w:pos="4171"/>
        </w:tabs>
        <w:spacing w:line="240" w:lineRule="auto"/>
        <w:ind w:left="242"/>
      </w:pPr>
      <w:r>
        <w:t>53.34‒55.4</w:t>
      </w:r>
      <w:r>
        <w:tab/>
        <w:t>149</w:t>
      </w:r>
    </w:p>
    <w:p w:rsidR="00AD7907" w:rsidRDefault="00AD7907" w:rsidP="00AD7907">
      <w:pPr>
        <w:pStyle w:val="Rejstk2"/>
        <w:tabs>
          <w:tab w:val="right" w:leader="dot" w:pos="4171"/>
        </w:tabs>
        <w:spacing w:line="240" w:lineRule="auto"/>
        <w:ind w:left="242"/>
      </w:pPr>
      <w:r>
        <w:t>54.32‒37</w:t>
      </w:r>
      <w:r>
        <w:tab/>
        <w:t>140</w:t>
      </w:r>
    </w:p>
    <w:p w:rsidR="00AD7907" w:rsidRDefault="00AD7907" w:rsidP="00AD7907">
      <w:pPr>
        <w:pStyle w:val="Rejstk2"/>
        <w:tabs>
          <w:tab w:val="right" w:leader="dot" w:pos="4171"/>
        </w:tabs>
        <w:spacing w:line="240" w:lineRule="auto"/>
        <w:ind w:left="242"/>
      </w:pPr>
      <w:r>
        <w:t>54.33‒37</w:t>
      </w:r>
      <w:r>
        <w:tab/>
        <w:t>232</w:t>
      </w:r>
    </w:p>
    <w:p w:rsidR="00AD7907" w:rsidRDefault="00AD7907" w:rsidP="00AD7907">
      <w:pPr>
        <w:pStyle w:val="Rejstk2"/>
        <w:tabs>
          <w:tab w:val="right" w:leader="dot" w:pos="4171"/>
        </w:tabs>
        <w:spacing w:line="240" w:lineRule="auto"/>
        <w:ind w:left="242"/>
      </w:pPr>
      <w:r>
        <w:t>59.24‒27</w:t>
      </w:r>
      <w:r>
        <w:tab/>
        <w:t>150</w:t>
      </w:r>
    </w:p>
    <w:p w:rsidR="00AD7907" w:rsidRDefault="00AD7907" w:rsidP="00AD7907">
      <w:pPr>
        <w:pStyle w:val="Rejstk2"/>
        <w:tabs>
          <w:tab w:val="right" w:leader="dot" w:pos="4171"/>
        </w:tabs>
        <w:spacing w:line="240" w:lineRule="auto"/>
        <w:ind w:left="242"/>
      </w:pPr>
      <w:r>
        <w:t>71.7‒10</w:t>
      </w:r>
      <w:r>
        <w:tab/>
        <w:t>154</w:t>
      </w:r>
    </w:p>
    <w:p w:rsidR="00AD7907" w:rsidRDefault="00AD7907" w:rsidP="00AD7907">
      <w:pPr>
        <w:pStyle w:val="Rejstk2"/>
        <w:tabs>
          <w:tab w:val="right" w:leader="dot" w:pos="4171"/>
        </w:tabs>
        <w:spacing w:line="240" w:lineRule="auto"/>
        <w:ind w:left="242"/>
      </w:pPr>
      <w:r w:rsidRPr="004B4DFF">
        <w:t>72.37‒73.1</w:t>
      </w:r>
      <w:r>
        <w:tab/>
        <w:t>526</w:t>
      </w:r>
    </w:p>
    <w:p w:rsidR="00AD7907" w:rsidRDefault="00AD7907" w:rsidP="00AD7907">
      <w:pPr>
        <w:pStyle w:val="Rejstk2"/>
        <w:tabs>
          <w:tab w:val="right" w:leader="dot" w:pos="4171"/>
        </w:tabs>
        <w:spacing w:line="240" w:lineRule="auto"/>
        <w:ind w:left="242"/>
      </w:pPr>
      <w:r>
        <w:t>75.32‒35</w:t>
      </w:r>
      <w:r>
        <w:tab/>
        <w:t>226</w:t>
      </w:r>
    </w:p>
    <w:p w:rsidR="00AD7907" w:rsidRDefault="00AD7907" w:rsidP="00AD7907">
      <w:pPr>
        <w:pStyle w:val="Rejstk2"/>
        <w:tabs>
          <w:tab w:val="right" w:leader="dot" w:pos="4171"/>
        </w:tabs>
        <w:spacing w:line="240" w:lineRule="auto"/>
        <w:ind w:left="242"/>
      </w:pPr>
      <w:r>
        <w:t>83.6‒9</w:t>
      </w:r>
      <w:r>
        <w:tab/>
        <w:t>158</w:t>
      </w:r>
    </w:p>
    <w:p w:rsidR="00AD7907" w:rsidRDefault="00AD7907" w:rsidP="00AD7907">
      <w:pPr>
        <w:pStyle w:val="Rejstk2"/>
        <w:tabs>
          <w:tab w:val="right" w:leader="dot" w:pos="4171"/>
        </w:tabs>
        <w:spacing w:line="240" w:lineRule="auto"/>
        <w:ind w:left="242"/>
      </w:pPr>
      <w:r>
        <w:lastRenderedPageBreak/>
        <w:t>84.13‒14</w:t>
      </w:r>
      <w:r>
        <w:tab/>
        <w:t>137</w:t>
      </w:r>
    </w:p>
    <w:p w:rsidR="00AD7907" w:rsidRDefault="00AD7907" w:rsidP="00AD7907">
      <w:pPr>
        <w:pStyle w:val="Rejstk2"/>
        <w:tabs>
          <w:tab w:val="right" w:leader="dot" w:pos="4171"/>
        </w:tabs>
        <w:spacing w:line="240" w:lineRule="auto"/>
        <w:ind w:left="242"/>
      </w:pPr>
      <w:r>
        <w:t>85.12‒16</w:t>
      </w:r>
      <w:r>
        <w:tab/>
        <w:t>139</w:t>
      </w:r>
    </w:p>
    <w:p w:rsidR="00AD7907" w:rsidRDefault="00AD7907" w:rsidP="00AD7907">
      <w:pPr>
        <w:pStyle w:val="Rejstk2"/>
        <w:tabs>
          <w:tab w:val="right" w:leader="dot" w:pos="4171"/>
        </w:tabs>
        <w:ind w:left="238"/>
      </w:pPr>
      <w:r>
        <w:t>85.6‒13</w:t>
      </w:r>
      <w:r>
        <w:tab/>
        <w:t>138</w:t>
      </w:r>
    </w:p>
    <w:p w:rsidR="00AD7907" w:rsidRDefault="00AD7907" w:rsidP="00AD7907">
      <w:pPr>
        <w:pStyle w:val="Rejstk2"/>
        <w:tabs>
          <w:tab w:val="right" w:leader="dot" w:pos="4171"/>
        </w:tabs>
        <w:ind w:left="238"/>
      </w:pPr>
    </w:p>
    <w:p w:rsidR="00AD7907" w:rsidRPr="00575D8B" w:rsidRDefault="00AD7907" w:rsidP="00AD7907">
      <w:pPr>
        <w:pStyle w:val="Rejstk2"/>
        <w:tabs>
          <w:tab w:val="right" w:leader="dot" w:pos="4171"/>
        </w:tabs>
        <w:ind w:left="238"/>
      </w:pPr>
      <w:r w:rsidRPr="008757E5">
        <w:rPr>
          <w:b/>
          <w:lang w:val="de-LU"/>
        </w:rPr>
        <w:t>Petrus de Alvernia</w:t>
      </w:r>
    </w:p>
    <w:p w:rsidR="00AD7907" w:rsidRDefault="00AD7907" w:rsidP="00AD7907">
      <w:pPr>
        <w:pStyle w:val="Rejstk2"/>
        <w:tabs>
          <w:tab w:val="right" w:leader="dot" w:pos="4171"/>
        </w:tabs>
        <w:spacing w:line="240" w:lineRule="auto"/>
        <w:ind w:left="0" w:firstLine="0"/>
        <w:rPr>
          <w:lang w:val="de-LU"/>
        </w:rPr>
      </w:pPr>
      <w:r w:rsidRPr="00C018BD">
        <w:rPr>
          <w:i/>
          <w:iCs/>
          <w:lang w:val="de-LU"/>
        </w:rPr>
        <w:t>Quaestiones super Prædicamentis</w:t>
      </w:r>
      <w:r>
        <w:rPr>
          <w:lang w:val="de-LU"/>
        </w:rPr>
        <w:t xml:space="preserve"> 68</w:t>
      </w:r>
      <w:r>
        <w:rPr>
          <w:lang w:val="de-LU"/>
        </w:rPr>
        <w:tab/>
        <w:t>615</w:t>
      </w:r>
    </w:p>
    <w:p w:rsidR="00AD7907" w:rsidRDefault="00AD7907" w:rsidP="00AD7907">
      <w:pPr>
        <w:spacing w:line="240" w:lineRule="auto"/>
        <w:rPr>
          <w:lang w:val="de-LU"/>
        </w:rPr>
      </w:pPr>
    </w:p>
    <w:p w:rsidR="00AD7907" w:rsidRPr="008757E5" w:rsidRDefault="00AD7907" w:rsidP="00AD7907">
      <w:pPr>
        <w:pStyle w:val="Rejstk1"/>
        <w:tabs>
          <w:tab w:val="right" w:leader="dot" w:pos="4171"/>
        </w:tabs>
        <w:spacing w:line="240" w:lineRule="auto"/>
        <w:rPr>
          <w:b/>
          <w:lang w:val="de-LU"/>
        </w:rPr>
      </w:pPr>
      <w:r w:rsidRPr="008757E5">
        <w:rPr>
          <w:b/>
          <w:lang w:val="de-LU"/>
        </w:rPr>
        <w:t>Platon</w:t>
      </w:r>
    </w:p>
    <w:p w:rsidR="00AD7907" w:rsidRDefault="00AD7907" w:rsidP="00AD7907">
      <w:pPr>
        <w:pStyle w:val="Rejstk2"/>
        <w:tabs>
          <w:tab w:val="right" w:leader="dot" w:pos="4171"/>
        </w:tabs>
        <w:spacing w:line="240" w:lineRule="auto"/>
        <w:ind w:left="242"/>
      </w:pPr>
      <w:r w:rsidRPr="004B4DFF">
        <w:rPr>
          <w:i/>
        </w:rPr>
        <w:t>Rep</w:t>
      </w:r>
      <w:r>
        <w:t>. 517a5‒6</w:t>
      </w:r>
      <w:r>
        <w:tab/>
        <w:t>470</w:t>
      </w:r>
    </w:p>
    <w:p w:rsidR="00AD7907" w:rsidRDefault="00AD7907" w:rsidP="00AD7907">
      <w:pPr>
        <w:pStyle w:val="Rejstk2"/>
        <w:tabs>
          <w:tab w:val="right" w:leader="dot" w:pos="4171"/>
        </w:tabs>
        <w:spacing w:line="240" w:lineRule="auto"/>
        <w:ind w:left="242"/>
      </w:pPr>
      <w:r w:rsidRPr="004B4DFF">
        <w:rPr>
          <w:i/>
        </w:rPr>
        <w:t>Soph.</w:t>
      </w:r>
      <w:r>
        <w:t xml:space="preserve"> 243d7</w:t>
      </w:r>
      <w:r>
        <w:tab/>
        <w:t>470</w:t>
      </w:r>
    </w:p>
    <w:p w:rsidR="00AD7907" w:rsidRDefault="00AD7907" w:rsidP="00AD7907">
      <w:pPr>
        <w:pStyle w:val="Rejstk2"/>
        <w:tabs>
          <w:tab w:val="right" w:leader="dot" w:pos="4171"/>
        </w:tabs>
        <w:spacing w:line="240" w:lineRule="auto"/>
        <w:ind w:left="242"/>
      </w:pPr>
      <w:r w:rsidRPr="004B4DFF">
        <w:rPr>
          <w:i/>
        </w:rPr>
        <w:t>Symp</w:t>
      </w:r>
      <w:r>
        <w:t>. 191d1‒5</w:t>
      </w:r>
      <w:r>
        <w:tab/>
        <w:t>74</w:t>
      </w:r>
    </w:p>
    <w:p w:rsidR="00AD7907" w:rsidRDefault="00AD7907" w:rsidP="00AD7907">
      <w:pPr>
        <w:pStyle w:val="Rejstk2"/>
        <w:tabs>
          <w:tab w:val="right" w:leader="dot" w:pos="4171"/>
        </w:tabs>
        <w:spacing w:line="240" w:lineRule="auto"/>
        <w:ind w:left="242"/>
      </w:pPr>
      <w:r w:rsidRPr="004B4DFF">
        <w:rPr>
          <w:i/>
        </w:rPr>
        <w:t>Theait</w:t>
      </w:r>
      <w:r>
        <w:t>. 172d4‒9</w:t>
      </w:r>
      <w:r>
        <w:tab/>
        <w:t>439</w:t>
      </w:r>
    </w:p>
    <w:p w:rsidR="00AD7907" w:rsidRDefault="00AD7907" w:rsidP="00AD7907">
      <w:pPr>
        <w:pStyle w:val="Rejstk2"/>
        <w:tabs>
          <w:tab w:val="right" w:leader="dot" w:pos="4171"/>
        </w:tabs>
        <w:spacing w:line="240" w:lineRule="auto"/>
        <w:ind w:left="242"/>
      </w:pPr>
      <w:r w:rsidRPr="004B4DFF">
        <w:rPr>
          <w:i/>
        </w:rPr>
        <w:t>Theait</w:t>
      </w:r>
      <w:r>
        <w:t>. 172d9</w:t>
      </w:r>
      <w:r>
        <w:tab/>
        <w:t>439</w:t>
      </w:r>
    </w:p>
    <w:p w:rsidR="00AD7907" w:rsidRDefault="00AD7907" w:rsidP="00AD7907">
      <w:pPr>
        <w:pStyle w:val="Rejstk1"/>
        <w:tabs>
          <w:tab w:val="right" w:leader="dot" w:pos="4171"/>
        </w:tabs>
        <w:spacing w:line="240" w:lineRule="auto"/>
        <w:rPr>
          <w:lang w:val="de-LU"/>
        </w:rPr>
      </w:pPr>
    </w:p>
    <w:p w:rsidR="00AD7907" w:rsidRPr="008757E5" w:rsidRDefault="00AD7907" w:rsidP="00AD7907">
      <w:pPr>
        <w:pStyle w:val="Rejstk1"/>
        <w:tabs>
          <w:tab w:val="right" w:leader="dot" w:pos="4171"/>
        </w:tabs>
        <w:spacing w:line="240" w:lineRule="auto"/>
        <w:rPr>
          <w:b/>
          <w:lang w:val="de-LU"/>
        </w:rPr>
      </w:pPr>
      <w:r w:rsidRPr="008757E5">
        <w:rPr>
          <w:b/>
          <w:lang w:val="de-LU"/>
        </w:rPr>
        <w:t>Plotinos</w:t>
      </w:r>
    </w:p>
    <w:p w:rsidR="00AD7907" w:rsidRDefault="00AD7907" w:rsidP="00AD7907">
      <w:pPr>
        <w:pStyle w:val="Rejstk1"/>
        <w:tabs>
          <w:tab w:val="right" w:leader="dot" w:pos="4171"/>
        </w:tabs>
        <w:spacing w:line="240" w:lineRule="auto"/>
        <w:rPr>
          <w:lang w:val="de-LU"/>
        </w:rPr>
      </w:pPr>
      <w:r w:rsidRPr="00C018BD">
        <w:rPr>
          <w:i/>
          <w:lang w:val="de-LU"/>
        </w:rPr>
        <w:t>Enn</w:t>
      </w:r>
      <w:r>
        <w:rPr>
          <w:lang w:val="de-LU"/>
        </w:rPr>
        <w:t>. 6.8.14.41</w:t>
      </w:r>
      <w:r>
        <w:rPr>
          <w:lang w:val="de-LU"/>
        </w:rPr>
        <w:tab/>
        <w:t>1118</w:t>
      </w:r>
    </w:p>
    <w:p w:rsidR="00AD7907" w:rsidRDefault="00AD7907" w:rsidP="00AD7907">
      <w:pPr>
        <w:pStyle w:val="Rejstk1"/>
        <w:tabs>
          <w:tab w:val="right" w:leader="dot" w:pos="4171"/>
        </w:tabs>
        <w:spacing w:line="240" w:lineRule="auto"/>
        <w:rPr>
          <w:lang w:val="de-LU"/>
        </w:rPr>
      </w:pPr>
    </w:p>
    <w:p w:rsidR="00AD7907" w:rsidRPr="008757E5" w:rsidRDefault="00AD7907" w:rsidP="00AD7907">
      <w:pPr>
        <w:pStyle w:val="Rejstk1"/>
        <w:tabs>
          <w:tab w:val="right" w:leader="dot" w:pos="4171"/>
        </w:tabs>
        <w:spacing w:line="240" w:lineRule="auto"/>
        <w:rPr>
          <w:b/>
          <w:lang w:val="de-LU"/>
        </w:rPr>
      </w:pPr>
      <w:r w:rsidRPr="008757E5">
        <w:rPr>
          <w:b/>
          <w:lang w:val="de-LU"/>
        </w:rPr>
        <w:t>Plutarch</w:t>
      </w:r>
    </w:p>
    <w:p w:rsidR="00AD7907" w:rsidRDefault="00AD7907" w:rsidP="00AD7907">
      <w:pPr>
        <w:pStyle w:val="Rejstk2"/>
        <w:tabs>
          <w:tab w:val="right" w:leader="dot" w:pos="4171"/>
        </w:tabs>
        <w:spacing w:line="240" w:lineRule="auto"/>
        <w:ind w:left="0" w:firstLine="0"/>
        <w:rPr>
          <w:lang w:val="de-LU"/>
        </w:rPr>
      </w:pPr>
      <w:r w:rsidRPr="00C018BD">
        <w:rPr>
          <w:i/>
          <w:lang w:val="de-LU"/>
        </w:rPr>
        <w:t xml:space="preserve">De facie in orbe lunae </w:t>
      </w:r>
      <w:r w:rsidRPr="00C018BD">
        <w:rPr>
          <w:lang w:val="de-LU"/>
        </w:rPr>
        <w:t>923A3‒4</w:t>
      </w:r>
      <w:r>
        <w:rPr>
          <w:lang w:val="de-LU"/>
        </w:rPr>
        <w:tab/>
        <w:t>496</w:t>
      </w:r>
    </w:p>
    <w:p w:rsidR="00AD7907" w:rsidRPr="008A25D4" w:rsidRDefault="00AD7907" w:rsidP="00AD7907">
      <w:pPr>
        <w:spacing w:line="240" w:lineRule="auto"/>
        <w:rPr>
          <w:lang w:val="de-LU"/>
        </w:rPr>
      </w:pPr>
    </w:p>
    <w:p w:rsidR="00AD7907" w:rsidRDefault="00AD7907" w:rsidP="00AD7907">
      <w:pPr>
        <w:pStyle w:val="Rejstk1"/>
        <w:tabs>
          <w:tab w:val="right" w:leader="dot" w:pos="4171"/>
        </w:tabs>
        <w:rPr>
          <w:lang w:val="de-LU"/>
        </w:rPr>
      </w:pPr>
      <w:r w:rsidRPr="008757E5">
        <w:rPr>
          <w:b/>
          <w:lang w:val="de-LU"/>
        </w:rPr>
        <w:t>Pseudo-Peckham</w:t>
      </w:r>
    </w:p>
    <w:p w:rsidR="00AD7907" w:rsidRDefault="00AD7907" w:rsidP="00AD7907">
      <w:pPr>
        <w:pStyle w:val="Rejstk1"/>
        <w:tabs>
          <w:tab w:val="right" w:leader="dot" w:pos="4171"/>
        </w:tabs>
        <w:spacing w:line="240" w:lineRule="auto"/>
        <w:rPr>
          <w:lang w:val="de-LU"/>
        </w:rPr>
      </w:pPr>
      <w:r w:rsidRPr="00C018BD">
        <w:rPr>
          <w:i/>
          <w:lang w:val="de-LU"/>
        </w:rPr>
        <w:t>Commentarium in Ethicam Nouam et Veterem</w:t>
      </w:r>
    </w:p>
    <w:p w:rsidR="00AD7907" w:rsidRDefault="00AD7907" w:rsidP="00AD7907">
      <w:pPr>
        <w:pStyle w:val="Rejstk2"/>
        <w:tabs>
          <w:tab w:val="right" w:leader="dot" w:pos="4171"/>
        </w:tabs>
        <w:spacing w:line="240" w:lineRule="auto"/>
        <w:ind w:left="0" w:firstLine="0"/>
      </w:pPr>
      <w:r>
        <w:t>17</w:t>
      </w:r>
      <w:r>
        <w:tab/>
        <w:t>862</w:t>
      </w:r>
    </w:p>
    <w:p w:rsidR="00AD7907" w:rsidRDefault="00AD7907" w:rsidP="00AD7907">
      <w:pPr>
        <w:pStyle w:val="Rejstk2"/>
        <w:tabs>
          <w:tab w:val="right" w:leader="dot" w:pos="4171"/>
        </w:tabs>
        <w:spacing w:line="240" w:lineRule="auto"/>
        <w:ind w:left="242"/>
      </w:pPr>
      <w:r>
        <w:t>220‒21</w:t>
      </w:r>
      <w:r>
        <w:tab/>
        <w:t>861</w:t>
      </w:r>
    </w:p>
    <w:p w:rsidR="00AD7907" w:rsidRDefault="00AD7907" w:rsidP="00AD7907">
      <w:pPr>
        <w:pStyle w:val="Rejstk2"/>
        <w:tabs>
          <w:tab w:val="right" w:leader="dot" w:pos="4171"/>
        </w:tabs>
        <w:spacing w:line="240" w:lineRule="auto"/>
        <w:ind w:left="242"/>
      </w:pPr>
      <w:r>
        <w:t>230</w:t>
      </w:r>
      <w:r>
        <w:tab/>
        <w:t>863</w:t>
      </w:r>
    </w:p>
    <w:p w:rsidR="00AD7907" w:rsidRDefault="00AD7907" w:rsidP="00AD7907">
      <w:pPr>
        <w:pStyle w:val="Rejstk2"/>
        <w:tabs>
          <w:tab w:val="right" w:leader="dot" w:pos="4171"/>
        </w:tabs>
        <w:spacing w:line="240" w:lineRule="auto"/>
        <w:ind w:left="0" w:firstLine="0"/>
      </w:pPr>
      <w:r>
        <w:t>31</w:t>
      </w:r>
      <w:r>
        <w:tab/>
        <w:t>862</w:t>
      </w:r>
    </w:p>
    <w:p w:rsidR="00AD7907" w:rsidRDefault="00AD7907" w:rsidP="00AD7907">
      <w:pPr>
        <w:pStyle w:val="Rejstk1"/>
        <w:tabs>
          <w:tab w:val="right" w:leader="dot" w:pos="4171"/>
        </w:tabs>
        <w:spacing w:line="240" w:lineRule="auto"/>
        <w:rPr>
          <w:b/>
          <w:lang w:val="de-LU"/>
        </w:rPr>
      </w:pPr>
    </w:p>
    <w:p w:rsidR="00AD7907" w:rsidRPr="008757E5" w:rsidRDefault="00AD7907" w:rsidP="00AD7907">
      <w:pPr>
        <w:pStyle w:val="Rejstk1"/>
        <w:tabs>
          <w:tab w:val="right" w:leader="dot" w:pos="4171"/>
        </w:tabs>
        <w:spacing w:line="240" w:lineRule="auto"/>
        <w:rPr>
          <w:b/>
          <w:lang w:val="de-LU"/>
        </w:rPr>
      </w:pPr>
      <w:r>
        <w:rPr>
          <w:b/>
          <w:lang w:val="de-LU"/>
        </w:rPr>
        <w:t>Jo</w:t>
      </w:r>
      <w:r w:rsidRPr="008757E5">
        <w:rPr>
          <w:b/>
          <w:lang w:val="de-LU"/>
        </w:rPr>
        <w:t>hannes</w:t>
      </w:r>
      <w:r>
        <w:rPr>
          <w:b/>
          <w:lang w:val="de-LU"/>
        </w:rPr>
        <w:t xml:space="preserve"> Quidort </w:t>
      </w:r>
    </w:p>
    <w:p w:rsidR="00AD7907" w:rsidRDefault="00AD7907" w:rsidP="00AD7907">
      <w:pPr>
        <w:pStyle w:val="Rejstk1"/>
        <w:tabs>
          <w:tab w:val="right" w:leader="dot" w:pos="4171"/>
        </w:tabs>
        <w:rPr>
          <w:lang w:val="de-LU"/>
        </w:rPr>
      </w:pPr>
      <w:r w:rsidRPr="00C018BD">
        <w:rPr>
          <w:i/>
          <w:lang w:val="de-LU"/>
        </w:rPr>
        <w:t>De Potestate Papali et Regia</w:t>
      </w:r>
      <w:r>
        <w:rPr>
          <w:lang w:val="de-LU"/>
        </w:rPr>
        <w:t xml:space="preserve"> 16</w:t>
      </w:r>
      <w:r>
        <w:rPr>
          <w:lang w:val="de-LU"/>
        </w:rPr>
        <w:tab/>
        <w:t>850</w:t>
      </w:r>
    </w:p>
    <w:p w:rsidR="00AD7907" w:rsidRDefault="00AD7907" w:rsidP="00AD7907">
      <w:pPr>
        <w:pStyle w:val="Rejstk1"/>
        <w:tabs>
          <w:tab w:val="right" w:leader="dot" w:pos="4171"/>
        </w:tabs>
        <w:rPr>
          <w:b/>
          <w:lang w:val="de-LU"/>
        </w:rPr>
      </w:pPr>
    </w:p>
    <w:p w:rsidR="00AD7907" w:rsidRPr="003C079D" w:rsidRDefault="00AD7907" w:rsidP="00AD7907">
      <w:pPr>
        <w:pStyle w:val="Rejstk1"/>
        <w:tabs>
          <w:tab w:val="right" w:leader="dot" w:pos="4171"/>
        </w:tabs>
        <w:spacing w:line="240" w:lineRule="auto"/>
        <w:ind w:left="238" w:hanging="238"/>
        <w:rPr>
          <w:lang w:val="de-LU"/>
        </w:rPr>
      </w:pPr>
      <w:r w:rsidRPr="008757E5">
        <w:rPr>
          <w:b/>
          <w:lang w:val="de-LU"/>
        </w:rPr>
        <w:t>Ricardi de Mediavilla</w:t>
      </w:r>
    </w:p>
    <w:p w:rsidR="00AD7907" w:rsidRDefault="00AD7907" w:rsidP="00AD7907">
      <w:pPr>
        <w:pStyle w:val="Rejstk1"/>
        <w:tabs>
          <w:tab w:val="right" w:leader="dot" w:pos="4171"/>
        </w:tabs>
        <w:rPr>
          <w:lang w:val="de-LU"/>
        </w:rPr>
      </w:pPr>
      <w:r w:rsidRPr="00C018BD">
        <w:rPr>
          <w:i/>
          <w:color w:val="000000"/>
          <w:lang w:val="de-LU"/>
        </w:rPr>
        <w:t xml:space="preserve">In II Sent. </w:t>
      </w:r>
      <w:r w:rsidRPr="00C018BD">
        <w:rPr>
          <w:color w:val="000000"/>
          <w:lang w:val="de-LU"/>
        </w:rPr>
        <w:t>298</w:t>
      </w:r>
      <w:r>
        <w:rPr>
          <w:lang w:val="de-LU"/>
        </w:rPr>
        <w:tab/>
        <w:t>506</w:t>
      </w:r>
    </w:p>
    <w:p w:rsidR="00AD7907" w:rsidRDefault="00AD7907" w:rsidP="00AD7907">
      <w:pPr>
        <w:pStyle w:val="Rejstk1"/>
        <w:tabs>
          <w:tab w:val="right" w:leader="dot" w:pos="4171"/>
        </w:tabs>
        <w:rPr>
          <w:b/>
          <w:lang w:val="de-LU"/>
        </w:rPr>
      </w:pPr>
    </w:p>
    <w:p w:rsidR="00AD7907" w:rsidRPr="003C079D" w:rsidRDefault="00AD7907" w:rsidP="00AD7907">
      <w:pPr>
        <w:pStyle w:val="Rejstk1"/>
        <w:tabs>
          <w:tab w:val="right" w:leader="dot" w:pos="4171"/>
        </w:tabs>
        <w:spacing w:line="240" w:lineRule="auto"/>
        <w:ind w:left="238" w:hanging="238"/>
        <w:rPr>
          <w:lang w:val="de-LU"/>
        </w:rPr>
      </w:pPr>
      <w:r w:rsidRPr="008757E5">
        <w:rPr>
          <w:b/>
          <w:lang w:val="de-LU"/>
        </w:rPr>
        <w:t>Richard</w:t>
      </w:r>
      <w:r>
        <w:rPr>
          <w:b/>
          <w:lang w:val="de-LU"/>
        </w:rPr>
        <w:t xml:space="preserve"> Rufus</w:t>
      </w:r>
    </w:p>
    <w:p w:rsidR="00AD7907" w:rsidRDefault="00AD7907" w:rsidP="00AD7907">
      <w:pPr>
        <w:pStyle w:val="Rejstk2"/>
        <w:tabs>
          <w:tab w:val="right" w:leader="dot" w:pos="4171"/>
        </w:tabs>
        <w:spacing w:line="240" w:lineRule="auto"/>
        <w:ind w:left="242"/>
      </w:pPr>
      <w:r w:rsidRPr="004B4DFF">
        <w:rPr>
          <w:i/>
        </w:rPr>
        <w:t>In DA III</w:t>
      </w:r>
      <w:r>
        <w:t xml:space="preserve"> 10.Q2</w:t>
      </w:r>
      <w:r>
        <w:tab/>
        <w:t>865, 866</w:t>
      </w:r>
    </w:p>
    <w:p w:rsidR="00AD7907" w:rsidRDefault="00AD7907" w:rsidP="00AD7907">
      <w:pPr>
        <w:pStyle w:val="Rejstk2"/>
        <w:tabs>
          <w:tab w:val="right" w:leader="dot" w:pos="4171"/>
        </w:tabs>
        <w:spacing w:line="240" w:lineRule="auto"/>
        <w:ind w:left="242"/>
      </w:pPr>
      <w:r w:rsidRPr="004B4DFF">
        <w:rPr>
          <w:i/>
        </w:rPr>
        <w:t>In DA III</w:t>
      </w:r>
      <w:r>
        <w:t xml:space="preserve"> 10.Q3</w:t>
      </w:r>
      <w:r>
        <w:tab/>
        <w:t>864, 865</w:t>
      </w:r>
    </w:p>
    <w:p w:rsidR="00AD7907" w:rsidRDefault="00AD7907" w:rsidP="00AD7907">
      <w:pPr>
        <w:pStyle w:val="Rejstk2"/>
        <w:tabs>
          <w:tab w:val="right" w:leader="dot" w:pos="4171"/>
        </w:tabs>
        <w:spacing w:line="240" w:lineRule="auto"/>
        <w:ind w:left="242"/>
      </w:pPr>
      <w:r w:rsidRPr="004B4DFF">
        <w:rPr>
          <w:i/>
        </w:rPr>
        <w:t>In De anima</w:t>
      </w:r>
      <w:r>
        <w:t xml:space="preserve"> 1.1.7</w:t>
      </w:r>
      <w:r>
        <w:tab/>
        <w:t>74</w:t>
      </w:r>
    </w:p>
    <w:p w:rsidR="00AD7907" w:rsidRDefault="00AD7907" w:rsidP="00AD7907">
      <w:pPr>
        <w:pStyle w:val="Rejstk2"/>
        <w:tabs>
          <w:tab w:val="right" w:leader="dot" w:pos="4171"/>
        </w:tabs>
        <w:spacing w:line="240" w:lineRule="auto"/>
        <w:ind w:left="242"/>
      </w:pPr>
      <w:r w:rsidRPr="004B4DFF">
        <w:rPr>
          <w:i/>
        </w:rPr>
        <w:t>In De anima</w:t>
      </w:r>
      <w:r>
        <w:t xml:space="preserve"> 17.Q2</w:t>
      </w:r>
      <w:r>
        <w:tab/>
        <w:t>864</w:t>
      </w:r>
    </w:p>
    <w:p w:rsidR="00AD7907" w:rsidRDefault="00AD7907" w:rsidP="00AD7907">
      <w:pPr>
        <w:pStyle w:val="Rejstk1"/>
        <w:tabs>
          <w:tab w:val="right" w:leader="dot" w:pos="4171"/>
        </w:tabs>
        <w:rPr>
          <w:b/>
          <w:lang w:val="de-LU"/>
        </w:rPr>
      </w:pPr>
    </w:p>
    <w:p w:rsidR="00AD7907" w:rsidRPr="008757E5" w:rsidRDefault="00AD7907" w:rsidP="00AD7907">
      <w:pPr>
        <w:pStyle w:val="Rejstk1"/>
        <w:tabs>
          <w:tab w:val="right" w:leader="dot" w:pos="4171"/>
        </w:tabs>
        <w:spacing w:line="240" w:lineRule="auto"/>
        <w:rPr>
          <w:b/>
          <w:lang w:val="de-LU"/>
        </w:rPr>
      </w:pPr>
      <w:r w:rsidRPr="008757E5">
        <w:rPr>
          <w:b/>
          <w:lang w:val="de-LU"/>
        </w:rPr>
        <w:t>Duns</w:t>
      </w:r>
      <w:r>
        <w:rPr>
          <w:b/>
          <w:lang w:val="de-LU"/>
        </w:rPr>
        <w:t xml:space="preserve"> Scotus</w:t>
      </w:r>
      <w:r w:rsidRPr="008757E5">
        <w:rPr>
          <w:b/>
          <w:lang w:val="de-LU"/>
        </w:rPr>
        <w:t xml:space="preserve"> </w:t>
      </w:r>
    </w:p>
    <w:p w:rsidR="00AD7907" w:rsidRDefault="00AD7907" w:rsidP="00AD7907">
      <w:pPr>
        <w:pStyle w:val="Rejstk2"/>
        <w:tabs>
          <w:tab w:val="right" w:leader="dot" w:pos="4171"/>
        </w:tabs>
        <w:spacing w:line="240" w:lineRule="auto"/>
        <w:ind w:left="242"/>
      </w:pPr>
      <w:r w:rsidRPr="004B4DFF">
        <w:rPr>
          <w:i/>
        </w:rPr>
        <w:t>Lectura</w:t>
      </w:r>
      <w:r>
        <w:t xml:space="preserve"> 1.232.14‒18</w:t>
      </w:r>
      <w:r>
        <w:tab/>
        <w:t>672</w:t>
      </w:r>
    </w:p>
    <w:p w:rsidR="00AD7907" w:rsidRDefault="00AD7907" w:rsidP="00AD7907">
      <w:pPr>
        <w:pStyle w:val="Rejstk2"/>
        <w:tabs>
          <w:tab w:val="right" w:leader="dot" w:pos="4171"/>
        </w:tabs>
        <w:spacing w:line="240" w:lineRule="auto"/>
        <w:ind w:left="242"/>
      </w:pPr>
      <w:r w:rsidRPr="004B4DFF">
        <w:rPr>
          <w:i/>
        </w:rPr>
        <w:t>Lectura</w:t>
      </w:r>
      <w:r>
        <w:t xml:space="preserve"> 1.233.18‒19</w:t>
      </w:r>
      <w:r>
        <w:tab/>
        <w:t>673</w:t>
      </w:r>
    </w:p>
    <w:p w:rsidR="00AD7907" w:rsidRDefault="00AD7907" w:rsidP="00AD7907">
      <w:pPr>
        <w:pStyle w:val="Rejstk2"/>
        <w:tabs>
          <w:tab w:val="right" w:leader="dot" w:pos="4171"/>
        </w:tabs>
        <w:spacing w:line="240" w:lineRule="auto"/>
        <w:ind w:left="242"/>
      </w:pPr>
      <w:r w:rsidRPr="004B4DFF">
        <w:rPr>
          <w:i/>
        </w:rPr>
        <w:t>Lectura</w:t>
      </w:r>
      <w:r>
        <w:t xml:space="preserve"> 1.234.6‒17</w:t>
      </w:r>
      <w:r>
        <w:tab/>
        <w:t>675</w:t>
      </w:r>
    </w:p>
    <w:p w:rsidR="00AD7907" w:rsidRDefault="00AD7907" w:rsidP="00AD7907">
      <w:pPr>
        <w:pStyle w:val="Rejstk2"/>
        <w:tabs>
          <w:tab w:val="right" w:leader="dot" w:pos="4171"/>
        </w:tabs>
        <w:spacing w:line="240" w:lineRule="auto"/>
        <w:ind w:left="242"/>
      </w:pPr>
      <w:r w:rsidRPr="004B4DFF">
        <w:rPr>
          <w:i/>
        </w:rPr>
        <w:t>Lectura</w:t>
      </w:r>
      <w:r>
        <w:t xml:space="preserve"> 1.241</w:t>
      </w:r>
      <w:r>
        <w:tab/>
        <w:t>679</w:t>
      </w:r>
    </w:p>
    <w:p w:rsidR="00AD7907" w:rsidRDefault="00AD7907" w:rsidP="00AD7907">
      <w:pPr>
        <w:pStyle w:val="Rejstk2"/>
        <w:tabs>
          <w:tab w:val="right" w:leader="dot" w:pos="4171"/>
        </w:tabs>
        <w:spacing w:line="240" w:lineRule="auto"/>
        <w:ind w:left="242"/>
      </w:pPr>
      <w:r w:rsidRPr="004B4DFF">
        <w:rPr>
          <w:i/>
        </w:rPr>
        <w:t>Lectura</w:t>
      </w:r>
      <w:r>
        <w:t xml:space="preserve"> 1.241.7‒11</w:t>
      </w:r>
      <w:r>
        <w:tab/>
        <w:t>681</w:t>
      </w:r>
    </w:p>
    <w:p w:rsidR="00AD7907" w:rsidRDefault="00AD7907" w:rsidP="00AD7907">
      <w:pPr>
        <w:pStyle w:val="Rejstk2"/>
        <w:tabs>
          <w:tab w:val="right" w:leader="dot" w:pos="4171"/>
        </w:tabs>
        <w:spacing w:line="240" w:lineRule="auto"/>
        <w:ind w:left="242"/>
      </w:pPr>
      <w:r w:rsidRPr="004B4DFF">
        <w:rPr>
          <w:i/>
        </w:rPr>
        <w:t>Lectura</w:t>
      </w:r>
      <w:r>
        <w:t xml:space="preserve"> 1.245.1‒3</w:t>
      </w:r>
      <w:r>
        <w:tab/>
        <w:t>683</w:t>
      </w:r>
    </w:p>
    <w:p w:rsidR="00AD7907" w:rsidRDefault="00AD7907" w:rsidP="00AD7907">
      <w:pPr>
        <w:pStyle w:val="Rejstk2"/>
        <w:tabs>
          <w:tab w:val="right" w:leader="dot" w:pos="4171"/>
        </w:tabs>
        <w:spacing w:line="240" w:lineRule="auto"/>
        <w:ind w:left="242"/>
      </w:pPr>
      <w:r w:rsidRPr="004B4DFF">
        <w:rPr>
          <w:i/>
        </w:rPr>
        <w:t>Lectura</w:t>
      </w:r>
      <w:r>
        <w:t xml:space="preserve"> 1.245.17‒25</w:t>
      </w:r>
      <w:r>
        <w:tab/>
        <w:t>685</w:t>
      </w:r>
    </w:p>
    <w:p w:rsidR="00AD7907" w:rsidRDefault="00AD7907" w:rsidP="00AD7907">
      <w:pPr>
        <w:pStyle w:val="Rejstk2"/>
        <w:tabs>
          <w:tab w:val="right" w:leader="dot" w:pos="4171"/>
        </w:tabs>
        <w:spacing w:line="240" w:lineRule="auto"/>
        <w:ind w:left="242"/>
      </w:pPr>
      <w:r w:rsidRPr="004B4DFF">
        <w:rPr>
          <w:i/>
        </w:rPr>
        <w:t>Lectura</w:t>
      </w:r>
      <w:r>
        <w:t xml:space="preserve"> 1.246.14‒20</w:t>
      </w:r>
      <w:r>
        <w:tab/>
        <w:t>693</w:t>
      </w:r>
    </w:p>
    <w:p w:rsidR="00AD7907" w:rsidRDefault="00AD7907" w:rsidP="00AD7907">
      <w:pPr>
        <w:pStyle w:val="Rejstk2"/>
        <w:tabs>
          <w:tab w:val="right" w:leader="dot" w:pos="4171"/>
        </w:tabs>
        <w:spacing w:line="240" w:lineRule="auto"/>
        <w:ind w:left="242"/>
      </w:pPr>
      <w:r w:rsidRPr="004B4DFF">
        <w:rPr>
          <w:i/>
        </w:rPr>
        <w:t>Lectura</w:t>
      </w:r>
      <w:r>
        <w:t xml:space="preserve"> 1.246.23</w:t>
      </w:r>
      <w:r>
        <w:tab/>
        <w:t>694</w:t>
      </w:r>
    </w:p>
    <w:p w:rsidR="00AD7907" w:rsidRDefault="00AD7907" w:rsidP="00AD7907">
      <w:pPr>
        <w:pStyle w:val="Rejstk2"/>
        <w:tabs>
          <w:tab w:val="right" w:leader="dot" w:pos="4171"/>
        </w:tabs>
        <w:spacing w:line="240" w:lineRule="auto"/>
        <w:ind w:left="242"/>
      </w:pPr>
      <w:r w:rsidRPr="004B4DFF">
        <w:rPr>
          <w:i/>
        </w:rPr>
        <w:t>Lectura</w:t>
      </w:r>
      <w:r>
        <w:t xml:space="preserve"> 1.247.24‒28</w:t>
      </w:r>
      <w:r>
        <w:tab/>
        <w:t>695</w:t>
      </w:r>
    </w:p>
    <w:p w:rsidR="00AD7907" w:rsidRDefault="00AD7907" w:rsidP="00AD7907">
      <w:pPr>
        <w:pStyle w:val="Rejstk2"/>
        <w:tabs>
          <w:tab w:val="right" w:leader="dot" w:pos="4171"/>
        </w:tabs>
        <w:spacing w:line="240" w:lineRule="auto"/>
        <w:ind w:left="242"/>
      </w:pPr>
      <w:r w:rsidRPr="004B4DFF">
        <w:rPr>
          <w:i/>
        </w:rPr>
        <w:t>Lectura</w:t>
      </w:r>
      <w:r>
        <w:t xml:space="preserve"> 1.248.16‒19</w:t>
      </w:r>
      <w:r>
        <w:tab/>
        <w:t>695</w:t>
      </w:r>
    </w:p>
    <w:p w:rsidR="00AD7907" w:rsidRDefault="00AD7907" w:rsidP="00AD7907">
      <w:pPr>
        <w:pStyle w:val="Rejstk2"/>
        <w:tabs>
          <w:tab w:val="right" w:leader="dot" w:pos="4171"/>
        </w:tabs>
        <w:spacing w:line="240" w:lineRule="auto"/>
        <w:ind w:left="242"/>
      </w:pPr>
      <w:r w:rsidRPr="004B4DFF">
        <w:rPr>
          <w:i/>
        </w:rPr>
        <w:t>Lectura</w:t>
      </w:r>
      <w:r>
        <w:t xml:space="preserve"> 1.249.16‒20</w:t>
      </w:r>
      <w:r>
        <w:tab/>
        <w:t>701</w:t>
      </w:r>
    </w:p>
    <w:p w:rsidR="00AD7907" w:rsidRDefault="00AD7907" w:rsidP="00AD7907">
      <w:pPr>
        <w:pStyle w:val="Rejstk2"/>
        <w:tabs>
          <w:tab w:val="right" w:leader="dot" w:pos="4171"/>
        </w:tabs>
        <w:spacing w:line="240" w:lineRule="auto"/>
        <w:ind w:left="242"/>
      </w:pPr>
      <w:r w:rsidRPr="004B4DFF">
        <w:rPr>
          <w:i/>
        </w:rPr>
        <w:t>Lectura</w:t>
      </w:r>
      <w:r>
        <w:t xml:space="preserve"> 1.250.13‒15</w:t>
      </w:r>
      <w:r>
        <w:tab/>
        <w:t>699</w:t>
      </w:r>
    </w:p>
    <w:p w:rsidR="00AD7907" w:rsidRDefault="00AD7907" w:rsidP="00AD7907">
      <w:pPr>
        <w:pStyle w:val="Rejstk2"/>
        <w:tabs>
          <w:tab w:val="right" w:leader="dot" w:pos="4171"/>
        </w:tabs>
        <w:spacing w:line="240" w:lineRule="auto"/>
        <w:ind w:left="242"/>
      </w:pPr>
      <w:r w:rsidRPr="004B4DFF">
        <w:rPr>
          <w:i/>
        </w:rPr>
        <w:t>Lectura</w:t>
      </w:r>
      <w:r>
        <w:t xml:space="preserve"> 1.250.15‒17</w:t>
      </w:r>
      <w:r>
        <w:tab/>
        <w:t>700</w:t>
      </w:r>
    </w:p>
    <w:p w:rsidR="00AD7907" w:rsidRDefault="00AD7907" w:rsidP="00AD7907">
      <w:pPr>
        <w:pStyle w:val="Rejstk2"/>
        <w:tabs>
          <w:tab w:val="right" w:leader="dot" w:pos="4171"/>
        </w:tabs>
        <w:spacing w:line="240" w:lineRule="auto"/>
        <w:ind w:left="242"/>
      </w:pPr>
      <w:r w:rsidRPr="004B4DFF">
        <w:rPr>
          <w:i/>
        </w:rPr>
        <w:t>Lectura</w:t>
      </w:r>
      <w:r>
        <w:t xml:space="preserve"> 1.250.1‒9</w:t>
      </w:r>
      <w:r>
        <w:tab/>
        <w:t>697</w:t>
      </w:r>
    </w:p>
    <w:p w:rsidR="00AD7907" w:rsidRDefault="00AD7907" w:rsidP="00AD7907">
      <w:pPr>
        <w:pStyle w:val="Rejstk2"/>
        <w:tabs>
          <w:tab w:val="right" w:leader="dot" w:pos="4171"/>
        </w:tabs>
        <w:spacing w:line="240" w:lineRule="auto"/>
        <w:ind w:left="242"/>
      </w:pPr>
      <w:r w:rsidRPr="004B4DFF">
        <w:rPr>
          <w:i/>
        </w:rPr>
        <w:t>Lectura</w:t>
      </w:r>
      <w:r>
        <w:t xml:space="preserve"> 1.252.26‒31</w:t>
      </w:r>
      <w:r>
        <w:tab/>
        <w:t>703</w:t>
      </w:r>
    </w:p>
    <w:p w:rsidR="00AD7907" w:rsidRDefault="00AD7907" w:rsidP="00AD7907">
      <w:pPr>
        <w:pStyle w:val="Rejstk2"/>
        <w:tabs>
          <w:tab w:val="right" w:leader="dot" w:pos="4171"/>
        </w:tabs>
        <w:spacing w:line="240" w:lineRule="auto"/>
        <w:ind w:left="242"/>
      </w:pPr>
      <w:r w:rsidRPr="004B4DFF">
        <w:rPr>
          <w:i/>
        </w:rPr>
        <w:t>Lectura</w:t>
      </w:r>
      <w:r>
        <w:t xml:space="preserve"> 1.253.6‒14</w:t>
      </w:r>
      <w:r>
        <w:tab/>
        <w:t>704</w:t>
      </w:r>
    </w:p>
    <w:p w:rsidR="00AD7907" w:rsidRDefault="00AD7907" w:rsidP="00AD7907">
      <w:pPr>
        <w:pStyle w:val="Rejstk2"/>
        <w:tabs>
          <w:tab w:val="right" w:leader="dot" w:pos="4171"/>
        </w:tabs>
        <w:spacing w:line="240" w:lineRule="auto"/>
        <w:ind w:left="242"/>
      </w:pPr>
      <w:r w:rsidRPr="004B4DFF">
        <w:rPr>
          <w:i/>
        </w:rPr>
        <w:lastRenderedPageBreak/>
        <w:t>Lectura</w:t>
      </w:r>
      <w:r>
        <w:t xml:space="preserve"> 1.254.14‒20</w:t>
      </w:r>
      <w:r>
        <w:tab/>
        <w:t>688, 698</w:t>
      </w:r>
    </w:p>
    <w:p w:rsidR="00AD7907" w:rsidRDefault="00AD7907" w:rsidP="00AD7907">
      <w:pPr>
        <w:pStyle w:val="Rejstk2"/>
        <w:tabs>
          <w:tab w:val="right" w:leader="dot" w:pos="4171"/>
        </w:tabs>
        <w:spacing w:line="240" w:lineRule="auto"/>
        <w:ind w:left="242"/>
      </w:pPr>
      <w:r w:rsidRPr="004B4DFF">
        <w:rPr>
          <w:i/>
        </w:rPr>
        <w:t>Lectura</w:t>
      </w:r>
      <w:r>
        <w:t xml:space="preserve"> 1.262.22‒27</w:t>
      </w:r>
      <w:r>
        <w:tab/>
        <w:t>706</w:t>
      </w:r>
    </w:p>
    <w:p w:rsidR="00AD7907" w:rsidRDefault="00AD7907" w:rsidP="00AD7907">
      <w:pPr>
        <w:pStyle w:val="Rejstk2"/>
        <w:tabs>
          <w:tab w:val="right" w:leader="dot" w:pos="4171"/>
        </w:tabs>
        <w:spacing w:line="240" w:lineRule="auto"/>
        <w:ind w:left="242"/>
      </w:pPr>
      <w:r w:rsidRPr="004B4DFF">
        <w:rPr>
          <w:i/>
        </w:rPr>
        <w:t>Lectura</w:t>
      </w:r>
      <w:r>
        <w:t xml:space="preserve"> 1.270.1‒2</w:t>
      </w:r>
      <w:r>
        <w:tab/>
        <w:t>709</w:t>
      </w:r>
    </w:p>
    <w:p w:rsidR="00AD7907" w:rsidRDefault="00AD7907" w:rsidP="00AD7907">
      <w:pPr>
        <w:pStyle w:val="Rejstk2"/>
        <w:tabs>
          <w:tab w:val="right" w:leader="dot" w:pos="4171"/>
        </w:tabs>
        <w:spacing w:line="240" w:lineRule="auto"/>
        <w:ind w:left="242"/>
      </w:pPr>
      <w:r>
        <w:t>Lectura 1.302.28</w:t>
      </w:r>
      <w:r>
        <w:tab/>
        <w:t>713</w:t>
      </w:r>
    </w:p>
    <w:p w:rsidR="00AD7907" w:rsidRDefault="00AD7907" w:rsidP="00AD7907">
      <w:pPr>
        <w:pStyle w:val="Rejstk2"/>
        <w:tabs>
          <w:tab w:val="right" w:leader="dot" w:pos="4171"/>
        </w:tabs>
        <w:spacing w:line="240" w:lineRule="auto"/>
        <w:ind w:left="242"/>
      </w:pPr>
      <w:r w:rsidRPr="004B4DFF">
        <w:rPr>
          <w:i/>
        </w:rPr>
        <w:t>Lectura</w:t>
      </w:r>
      <w:r>
        <w:t xml:space="preserve"> 1.302‒303</w:t>
      </w:r>
      <w:r>
        <w:tab/>
        <w:t>712</w:t>
      </w:r>
    </w:p>
    <w:p w:rsidR="00AD7907" w:rsidRDefault="00AD7907" w:rsidP="00AD7907">
      <w:pPr>
        <w:pStyle w:val="Rejstk2"/>
        <w:tabs>
          <w:tab w:val="right" w:leader="dot" w:pos="4171"/>
        </w:tabs>
        <w:spacing w:line="240" w:lineRule="auto"/>
        <w:ind w:left="242"/>
      </w:pPr>
      <w:r w:rsidRPr="004B4DFF">
        <w:rPr>
          <w:i/>
        </w:rPr>
        <w:t>Lectura</w:t>
      </w:r>
      <w:r>
        <w:t xml:space="preserve"> 1.303.21</w:t>
      </w:r>
      <w:r>
        <w:tab/>
        <w:t>712</w:t>
      </w:r>
    </w:p>
    <w:p w:rsidR="00AD7907" w:rsidRDefault="00AD7907" w:rsidP="00AD7907">
      <w:pPr>
        <w:pStyle w:val="Rejstk2"/>
        <w:tabs>
          <w:tab w:val="right" w:leader="dot" w:pos="4171"/>
        </w:tabs>
        <w:spacing w:line="240" w:lineRule="auto"/>
        <w:ind w:left="242"/>
      </w:pPr>
      <w:r w:rsidRPr="004B4DFF">
        <w:rPr>
          <w:i/>
        </w:rPr>
        <w:t>Lectura</w:t>
      </w:r>
      <w:r>
        <w:t xml:space="preserve"> 1.304.2</w:t>
      </w:r>
      <w:r>
        <w:tab/>
        <w:t>712</w:t>
      </w:r>
    </w:p>
    <w:p w:rsidR="00AD7907" w:rsidRDefault="00AD7907" w:rsidP="00AD7907">
      <w:pPr>
        <w:pStyle w:val="Rejstk2"/>
        <w:tabs>
          <w:tab w:val="right" w:leader="dot" w:pos="4171"/>
        </w:tabs>
        <w:spacing w:line="240" w:lineRule="auto"/>
        <w:ind w:left="242"/>
      </w:pPr>
      <w:r w:rsidRPr="004B4DFF">
        <w:rPr>
          <w:i/>
        </w:rPr>
        <w:t>Lectura</w:t>
      </w:r>
      <w:r>
        <w:t xml:space="preserve"> 1.472.20‒26</w:t>
      </w:r>
      <w:r>
        <w:tab/>
        <w:t>688</w:t>
      </w:r>
    </w:p>
    <w:p w:rsidR="00AD7907" w:rsidRDefault="00AD7907" w:rsidP="00AD7907">
      <w:pPr>
        <w:pStyle w:val="Rejstk2"/>
        <w:tabs>
          <w:tab w:val="right" w:leader="dot" w:pos="4171"/>
        </w:tabs>
        <w:spacing w:line="240" w:lineRule="auto"/>
        <w:ind w:left="242"/>
      </w:pPr>
      <w:r w:rsidRPr="004B4DFF">
        <w:rPr>
          <w:i/>
        </w:rPr>
        <w:t>Lectura</w:t>
      </w:r>
      <w:r>
        <w:t xml:space="preserve"> 1.495.10‒14</w:t>
      </w:r>
      <w:r>
        <w:tab/>
        <w:t>713</w:t>
      </w:r>
    </w:p>
    <w:p w:rsidR="00AD7907" w:rsidRDefault="00AD7907" w:rsidP="00AD7907">
      <w:pPr>
        <w:pStyle w:val="Rejstk2"/>
        <w:tabs>
          <w:tab w:val="right" w:leader="dot" w:pos="4171"/>
        </w:tabs>
        <w:spacing w:line="240" w:lineRule="auto"/>
        <w:ind w:left="242"/>
      </w:pPr>
      <w:r w:rsidRPr="004B4DFF">
        <w:rPr>
          <w:i/>
        </w:rPr>
        <w:t>Lectura</w:t>
      </w:r>
      <w:r>
        <w:t xml:space="preserve"> 1.497.13‒15</w:t>
      </w:r>
      <w:r>
        <w:tab/>
        <w:t>715</w:t>
      </w:r>
    </w:p>
    <w:p w:rsidR="00AD7907" w:rsidRDefault="00AD7907" w:rsidP="00AD7907">
      <w:pPr>
        <w:pStyle w:val="Rejstk2"/>
        <w:tabs>
          <w:tab w:val="right" w:leader="dot" w:pos="4171"/>
        </w:tabs>
        <w:spacing w:line="240" w:lineRule="auto"/>
        <w:ind w:left="242"/>
      </w:pPr>
      <w:r w:rsidRPr="004B4DFF">
        <w:rPr>
          <w:i/>
        </w:rPr>
        <w:t>Lectura</w:t>
      </w:r>
      <w:r>
        <w:t xml:space="preserve"> 1.501.21‒25</w:t>
      </w:r>
      <w:r>
        <w:tab/>
        <w:t>714</w:t>
      </w:r>
    </w:p>
    <w:p w:rsidR="00AD7907" w:rsidRDefault="00AD7907" w:rsidP="00AD7907">
      <w:pPr>
        <w:pStyle w:val="Rejstk2"/>
        <w:tabs>
          <w:tab w:val="right" w:leader="dot" w:pos="4171"/>
        </w:tabs>
        <w:spacing w:line="240" w:lineRule="auto"/>
        <w:ind w:left="242"/>
      </w:pPr>
      <w:r w:rsidRPr="004B4DFF">
        <w:rPr>
          <w:i/>
        </w:rPr>
        <w:t>Lectura</w:t>
      </w:r>
      <w:r>
        <w:t xml:space="preserve"> 1.504.14‒15</w:t>
      </w:r>
      <w:r>
        <w:tab/>
        <w:t>715</w:t>
      </w:r>
    </w:p>
    <w:p w:rsidR="00AD7907" w:rsidRDefault="00AD7907" w:rsidP="00AD7907">
      <w:pPr>
        <w:pStyle w:val="Rejstk2"/>
        <w:tabs>
          <w:tab w:val="right" w:leader="dot" w:pos="4171"/>
        </w:tabs>
        <w:spacing w:line="240" w:lineRule="auto"/>
        <w:ind w:left="242"/>
      </w:pPr>
      <w:r w:rsidRPr="004B4DFF">
        <w:rPr>
          <w:i/>
        </w:rPr>
        <w:t>Ordinatio</w:t>
      </w:r>
      <w:r>
        <w:t xml:space="preserve"> 1.158.3‒6</w:t>
      </w:r>
      <w:r>
        <w:tab/>
        <w:t>723</w:t>
      </w:r>
    </w:p>
    <w:p w:rsidR="00AD7907" w:rsidRDefault="00AD7907" w:rsidP="00AD7907">
      <w:pPr>
        <w:pStyle w:val="Rejstk2"/>
        <w:tabs>
          <w:tab w:val="right" w:leader="dot" w:pos="4171"/>
        </w:tabs>
        <w:spacing w:line="240" w:lineRule="auto"/>
        <w:ind w:left="242"/>
      </w:pPr>
      <w:r w:rsidRPr="004B4DFF">
        <w:rPr>
          <w:i/>
        </w:rPr>
        <w:t>Ordinatio</w:t>
      </w:r>
      <w:r>
        <w:t xml:space="preserve"> 1.159.7‒10</w:t>
      </w:r>
      <w:r>
        <w:tab/>
        <w:t>722</w:t>
      </w:r>
    </w:p>
    <w:p w:rsidR="00AD7907" w:rsidRDefault="00AD7907" w:rsidP="00AD7907">
      <w:pPr>
        <w:pStyle w:val="Rejstk2"/>
        <w:tabs>
          <w:tab w:val="right" w:leader="dot" w:pos="4171"/>
        </w:tabs>
        <w:spacing w:line="240" w:lineRule="auto"/>
        <w:ind w:left="242"/>
      </w:pPr>
      <w:r w:rsidRPr="004B4DFF">
        <w:rPr>
          <w:i/>
        </w:rPr>
        <w:t>Ordinatio</w:t>
      </w:r>
      <w:r>
        <w:t xml:space="preserve"> 1.160.13‒19</w:t>
      </w:r>
      <w:r>
        <w:tab/>
        <w:t>726</w:t>
      </w:r>
    </w:p>
    <w:p w:rsidR="00AD7907" w:rsidRDefault="00AD7907" w:rsidP="00AD7907">
      <w:pPr>
        <w:pStyle w:val="Rejstk2"/>
        <w:tabs>
          <w:tab w:val="right" w:leader="dot" w:pos="4171"/>
        </w:tabs>
        <w:spacing w:line="240" w:lineRule="auto"/>
        <w:ind w:left="242"/>
      </w:pPr>
      <w:r w:rsidRPr="004B4DFF">
        <w:rPr>
          <w:i/>
        </w:rPr>
        <w:t>Ordinatio</w:t>
      </w:r>
      <w:r>
        <w:t xml:space="preserve"> 1.160.8‒12</w:t>
      </w:r>
      <w:r>
        <w:tab/>
        <w:t>725</w:t>
      </w:r>
    </w:p>
    <w:p w:rsidR="00AD7907" w:rsidRDefault="00AD7907" w:rsidP="00AD7907">
      <w:pPr>
        <w:pStyle w:val="Rejstk2"/>
        <w:tabs>
          <w:tab w:val="right" w:leader="dot" w:pos="4171"/>
        </w:tabs>
        <w:spacing w:line="240" w:lineRule="auto"/>
        <w:ind w:left="242"/>
      </w:pPr>
      <w:r w:rsidRPr="004B4DFF">
        <w:rPr>
          <w:i/>
        </w:rPr>
        <w:t>Ordinatio</w:t>
      </w:r>
      <w:r>
        <w:t xml:space="preserve"> 1.160‒62</w:t>
      </w:r>
      <w:r>
        <w:tab/>
        <w:t>724</w:t>
      </w:r>
    </w:p>
    <w:p w:rsidR="00AD7907" w:rsidRDefault="00AD7907" w:rsidP="00AD7907">
      <w:pPr>
        <w:pStyle w:val="Rejstk2"/>
        <w:tabs>
          <w:tab w:val="right" w:leader="dot" w:pos="4171"/>
        </w:tabs>
        <w:spacing w:line="240" w:lineRule="auto"/>
        <w:ind w:left="242"/>
      </w:pPr>
      <w:r w:rsidRPr="004B4DFF">
        <w:rPr>
          <w:i/>
        </w:rPr>
        <w:t>Ordinatio</w:t>
      </w:r>
      <w:r>
        <w:t xml:space="preserve"> 1.160‒63</w:t>
      </w:r>
      <w:r>
        <w:tab/>
        <w:t>730</w:t>
      </w:r>
    </w:p>
    <w:p w:rsidR="00AD7907" w:rsidRDefault="00AD7907" w:rsidP="00AD7907">
      <w:pPr>
        <w:pStyle w:val="Rejstk2"/>
        <w:tabs>
          <w:tab w:val="right" w:leader="dot" w:pos="4171"/>
        </w:tabs>
        <w:spacing w:line="240" w:lineRule="auto"/>
        <w:ind w:left="242"/>
      </w:pPr>
      <w:r w:rsidRPr="004B4DFF">
        <w:rPr>
          <w:i/>
        </w:rPr>
        <w:t>Ordinatio</w:t>
      </w:r>
      <w:r>
        <w:t xml:space="preserve"> 1.161.6‒7</w:t>
      </w:r>
      <w:r>
        <w:tab/>
        <w:t>734</w:t>
      </w:r>
    </w:p>
    <w:p w:rsidR="00AD7907" w:rsidRDefault="00AD7907" w:rsidP="00AD7907">
      <w:pPr>
        <w:pStyle w:val="Rejstk2"/>
        <w:tabs>
          <w:tab w:val="right" w:leader="dot" w:pos="4171"/>
        </w:tabs>
        <w:spacing w:line="240" w:lineRule="auto"/>
        <w:ind w:left="242"/>
      </w:pPr>
      <w:r w:rsidRPr="004B4DFF">
        <w:rPr>
          <w:i/>
        </w:rPr>
        <w:t>Ordinatio</w:t>
      </w:r>
      <w:r>
        <w:t xml:space="preserve"> 1.162.14‒19</w:t>
      </w:r>
      <w:r>
        <w:tab/>
        <w:t>730</w:t>
      </w:r>
    </w:p>
    <w:p w:rsidR="00AD7907" w:rsidRDefault="00AD7907" w:rsidP="00AD7907">
      <w:pPr>
        <w:pStyle w:val="Rejstk2"/>
        <w:tabs>
          <w:tab w:val="right" w:leader="dot" w:pos="4171"/>
        </w:tabs>
        <w:spacing w:line="240" w:lineRule="auto"/>
        <w:ind w:left="242"/>
      </w:pPr>
      <w:r w:rsidRPr="004B4DFF">
        <w:rPr>
          <w:i/>
        </w:rPr>
        <w:t>Ordinatio</w:t>
      </w:r>
      <w:r>
        <w:t xml:space="preserve"> 1.182.17‒19</w:t>
      </w:r>
      <w:r>
        <w:tab/>
        <w:t>739</w:t>
      </w:r>
    </w:p>
    <w:p w:rsidR="00AD7907" w:rsidRDefault="00AD7907" w:rsidP="00AD7907">
      <w:pPr>
        <w:pStyle w:val="Rejstk2"/>
        <w:tabs>
          <w:tab w:val="right" w:leader="dot" w:pos="4171"/>
        </w:tabs>
        <w:spacing w:line="240" w:lineRule="auto"/>
        <w:ind w:left="242"/>
      </w:pPr>
      <w:r w:rsidRPr="004B4DFF">
        <w:rPr>
          <w:i/>
        </w:rPr>
        <w:t>Ordinatio</w:t>
      </w:r>
      <w:r w:rsidRPr="004B4DFF">
        <w:t xml:space="preserve"> 1.184.14‒</w:t>
      </w:r>
      <w:r>
        <w:t>17</w:t>
      </w:r>
      <w:r>
        <w:tab/>
        <w:t>743</w:t>
      </w:r>
    </w:p>
    <w:p w:rsidR="00AD7907" w:rsidRDefault="00AD7907" w:rsidP="00AD7907">
      <w:pPr>
        <w:pStyle w:val="Rejstk2"/>
        <w:tabs>
          <w:tab w:val="right" w:leader="dot" w:pos="4171"/>
        </w:tabs>
        <w:spacing w:line="240" w:lineRule="auto"/>
        <w:ind w:left="242"/>
      </w:pPr>
      <w:r w:rsidRPr="004B4DFF">
        <w:rPr>
          <w:i/>
        </w:rPr>
        <w:t>Ordinatio</w:t>
      </w:r>
      <w:r w:rsidRPr="004B4DFF">
        <w:t xml:space="preserve"> 1.185.3‒</w:t>
      </w:r>
      <w:r>
        <w:t>7</w:t>
      </w:r>
      <w:r>
        <w:tab/>
        <w:t>743</w:t>
      </w:r>
    </w:p>
    <w:p w:rsidR="00AD7907" w:rsidRDefault="00AD7907" w:rsidP="00AD7907">
      <w:pPr>
        <w:pStyle w:val="Rejstk2"/>
        <w:tabs>
          <w:tab w:val="right" w:leader="dot" w:pos="4171"/>
        </w:tabs>
        <w:spacing w:line="240" w:lineRule="auto"/>
        <w:ind w:left="242"/>
      </w:pPr>
      <w:r w:rsidRPr="004B4DFF">
        <w:rPr>
          <w:i/>
        </w:rPr>
        <w:t>Ordinatio</w:t>
      </w:r>
      <w:r w:rsidRPr="004B4DFF">
        <w:t xml:space="preserve"> 1.185.8‒</w:t>
      </w:r>
      <w:r>
        <w:t>13</w:t>
      </w:r>
      <w:r>
        <w:tab/>
        <w:t>744</w:t>
      </w:r>
    </w:p>
    <w:p w:rsidR="00AD7907" w:rsidRDefault="00AD7907" w:rsidP="00AD7907">
      <w:pPr>
        <w:pStyle w:val="Rejstk2"/>
        <w:tabs>
          <w:tab w:val="right" w:leader="dot" w:pos="4171"/>
        </w:tabs>
        <w:spacing w:line="240" w:lineRule="auto"/>
        <w:ind w:left="242"/>
      </w:pPr>
      <w:r w:rsidRPr="004B4DFF">
        <w:rPr>
          <w:i/>
        </w:rPr>
        <w:t>Ordinatio</w:t>
      </w:r>
      <w:r>
        <w:t xml:space="preserve"> 1.187.6‒15</w:t>
      </w:r>
      <w:r>
        <w:tab/>
        <w:t>749</w:t>
      </w:r>
    </w:p>
    <w:p w:rsidR="00AD7907" w:rsidRDefault="00AD7907" w:rsidP="00AD7907">
      <w:pPr>
        <w:pStyle w:val="Rejstk2"/>
        <w:tabs>
          <w:tab w:val="right" w:leader="dot" w:pos="4171"/>
        </w:tabs>
        <w:spacing w:line="240" w:lineRule="auto"/>
        <w:ind w:left="242"/>
      </w:pPr>
      <w:r w:rsidRPr="004B4DFF">
        <w:rPr>
          <w:i/>
        </w:rPr>
        <w:t>Ordinatio</w:t>
      </w:r>
      <w:r>
        <w:t xml:space="preserve"> 1.194.1‒6</w:t>
      </w:r>
      <w:r>
        <w:tab/>
        <w:t>754</w:t>
      </w:r>
    </w:p>
    <w:p w:rsidR="00AD7907" w:rsidRDefault="00AD7907" w:rsidP="00AD7907">
      <w:pPr>
        <w:pStyle w:val="Rejstk2"/>
        <w:tabs>
          <w:tab w:val="right" w:leader="dot" w:pos="4171"/>
        </w:tabs>
        <w:spacing w:line="240" w:lineRule="auto"/>
        <w:ind w:left="242"/>
      </w:pPr>
      <w:r w:rsidRPr="004B4DFF">
        <w:rPr>
          <w:i/>
        </w:rPr>
        <w:t>Ordinatio</w:t>
      </w:r>
      <w:r>
        <w:t xml:space="preserve"> 1.195.10‒14</w:t>
      </w:r>
      <w:r>
        <w:tab/>
        <w:t>756</w:t>
      </w:r>
    </w:p>
    <w:p w:rsidR="00AD7907" w:rsidRDefault="00AD7907" w:rsidP="00AD7907">
      <w:pPr>
        <w:pStyle w:val="Rejstk2"/>
        <w:tabs>
          <w:tab w:val="right" w:leader="dot" w:pos="4171"/>
        </w:tabs>
        <w:spacing w:line="240" w:lineRule="auto"/>
        <w:ind w:left="242"/>
      </w:pPr>
      <w:r w:rsidRPr="004B4DFF">
        <w:rPr>
          <w:i/>
        </w:rPr>
        <w:t>Ordinatio</w:t>
      </w:r>
      <w:r>
        <w:t xml:space="preserve"> 1.197.10‒14</w:t>
      </w:r>
      <w:r>
        <w:tab/>
        <w:t>757</w:t>
      </w:r>
    </w:p>
    <w:p w:rsidR="00AD7907" w:rsidRDefault="00AD7907" w:rsidP="00AD7907">
      <w:pPr>
        <w:pStyle w:val="Rejstk2"/>
        <w:tabs>
          <w:tab w:val="right" w:leader="dot" w:pos="4171"/>
        </w:tabs>
        <w:spacing w:line="240" w:lineRule="auto"/>
        <w:ind w:left="242"/>
      </w:pPr>
      <w:r w:rsidRPr="004B4DFF">
        <w:rPr>
          <w:i/>
        </w:rPr>
        <w:t>Ordinatio</w:t>
      </w:r>
      <w:r>
        <w:t xml:space="preserve"> 1.197.5‒9</w:t>
      </w:r>
      <w:r>
        <w:tab/>
        <w:t>755</w:t>
      </w:r>
    </w:p>
    <w:p w:rsidR="00AD7907" w:rsidRDefault="00AD7907" w:rsidP="00AD7907">
      <w:pPr>
        <w:pStyle w:val="Rejstk2"/>
        <w:tabs>
          <w:tab w:val="right" w:leader="dot" w:pos="4171"/>
        </w:tabs>
        <w:spacing w:line="240" w:lineRule="auto"/>
        <w:ind w:left="242"/>
      </w:pPr>
      <w:r w:rsidRPr="004B4DFF">
        <w:rPr>
          <w:i/>
        </w:rPr>
        <w:t>Ordinatio</w:t>
      </w:r>
      <w:r>
        <w:t xml:space="preserve"> 1.210.3‒8</w:t>
      </w:r>
      <w:r>
        <w:tab/>
        <w:t>759</w:t>
      </w:r>
    </w:p>
    <w:p w:rsidR="00AD7907" w:rsidRDefault="00AD7907" w:rsidP="00AD7907">
      <w:pPr>
        <w:pStyle w:val="Rejstk2"/>
        <w:tabs>
          <w:tab w:val="right" w:leader="dot" w:pos="4171"/>
        </w:tabs>
        <w:spacing w:line="240" w:lineRule="auto"/>
        <w:ind w:left="242"/>
      </w:pPr>
      <w:r w:rsidRPr="004B4DFF">
        <w:rPr>
          <w:i/>
        </w:rPr>
        <w:t>Ordinatio</w:t>
      </w:r>
      <w:r>
        <w:t xml:space="preserve"> 1.212.2‒7</w:t>
      </w:r>
      <w:r>
        <w:tab/>
        <w:t>760</w:t>
      </w:r>
    </w:p>
    <w:p w:rsidR="00AD7907" w:rsidRDefault="00AD7907" w:rsidP="00AD7907">
      <w:pPr>
        <w:pStyle w:val="Rejstk2"/>
        <w:tabs>
          <w:tab w:val="right" w:leader="dot" w:pos="4171"/>
        </w:tabs>
        <w:spacing w:line="240" w:lineRule="auto"/>
        <w:ind w:left="242"/>
      </w:pPr>
      <w:r w:rsidRPr="004B4DFF">
        <w:rPr>
          <w:i/>
        </w:rPr>
        <w:t>Ordinatio</w:t>
      </w:r>
      <w:r>
        <w:t xml:space="preserve"> 1.234</w:t>
      </w:r>
      <w:r>
        <w:tab/>
        <w:t>759</w:t>
      </w:r>
    </w:p>
    <w:p w:rsidR="00AD7907" w:rsidRDefault="00AD7907" w:rsidP="00AD7907">
      <w:pPr>
        <w:pStyle w:val="Rejstk2"/>
        <w:tabs>
          <w:tab w:val="right" w:leader="dot" w:pos="4171"/>
        </w:tabs>
        <w:spacing w:line="240" w:lineRule="auto"/>
        <w:ind w:left="242"/>
      </w:pPr>
      <w:r w:rsidRPr="004B4DFF">
        <w:rPr>
          <w:i/>
        </w:rPr>
        <w:t>Ordinatio</w:t>
      </w:r>
      <w:r>
        <w:t xml:space="preserve"> 1.235.10‒15</w:t>
      </w:r>
      <w:r>
        <w:tab/>
        <w:t>760</w:t>
      </w:r>
    </w:p>
    <w:p w:rsidR="00AD7907" w:rsidRDefault="00AD7907" w:rsidP="00AD7907">
      <w:pPr>
        <w:pStyle w:val="Rejstk2"/>
        <w:tabs>
          <w:tab w:val="right" w:leader="dot" w:pos="4171"/>
        </w:tabs>
        <w:spacing w:line="240" w:lineRule="auto"/>
        <w:ind w:left="242"/>
      </w:pPr>
      <w:r w:rsidRPr="004B4DFF">
        <w:rPr>
          <w:i/>
        </w:rPr>
        <w:t>Ordinatio</w:t>
      </w:r>
      <w:r>
        <w:t xml:space="preserve"> 1.242‒44</w:t>
      </w:r>
      <w:r>
        <w:tab/>
        <w:t>762</w:t>
      </w:r>
    </w:p>
    <w:p w:rsidR="00AD7907" w:rsidRDefault="00AD7907" w:rsidP="00AD7907">
      <w:pPr>
        <w:pStyle w:val="Rejstk2"/>
        <w:tabs>
          <w:tab w:val="right" w:leader="dot" w:pos="4171"/>
        </w:tabs>
        <w:spacing w:line="240" w:lineRule="auto"/>
        <w:ind w:left="242"/>
      </w:pPr>
      <w:r w:rsidRPr="004B4DFF">
        <w:rPr>
          <w:i/>
        </w:rPr>
        <w:t>Ordinatio</w:t>
      </w:r>
      <w:r>
        <w:t xml:space="preserve"> 1.250‒251</w:t>
      </w:r>
      <w:r>
        <w:tab/>
        <w:t>754</w:t>
      </w:r>
    </w:p>
    <w:p w:rsidR="00AD7907" w:rsidRDefault="00AD7907" w:rsidP="00AD7907">
      <w:pPr>
        <w:pStyle w:val="Rejstk2"/>
        <w:tabs>
          <w:tab w:val="right" w:leader="dot" w:pos="4171"/>
        </w:tabs>
        <w:spacing w:line="240" w:lineRule="auto"/>
        <w:ind w:left="242"/>
      </w:pPr>
      <w:r w:rsidRPr="004B4DFF">
        <w:rPr>
          <w:i/>
        </w:rPr>
        <w:t>Ordinatio</w:t>
      </w:r>
      <w:r>
        <w:t xml:space="preserve"> 1.258.4‒15</w:t>
      </w:r>
      <w:r>
        <w:tab/>
        <w:t>761</w:t>
      </w:r>
    </w:p>
    <w:p w:rsidR="00AD7907" w:rsidRDefault="00AD7907" w:rsidP="00AD7907">
      <w:pPr>
        <w:pStyle w:val="Rejstk2"/>
        <w:tabs>
          <w:tab w:val="right" w:leader="dot" w:pos="4171"/>
        </w:tabs>
        <w:spacing w:line="240" w:lineRule="auto"/>
        <w:ind w:left="242"/>
      </w:pPr>
      <w:r w:rsidRPr="004B4DFF">
        <w:rPr>
          <w:i/>
        </w:rPr>
        <w:t>Ordinatio</w:t>
      </w:r>
      <w:r>
        <w:t xml:space="preserve"> 1.289.6‒14</w:t>
      </w:r>
      <w:r>
        <w:tab/>
        <w:t>764</w:t>
      </w:r>
    </w:p>
    <w:p w:rsidR="00AD7907" w:rsidRDefault="00AD7907" w:rsidP="00AD7907">
      <w:pPr>
        <w:pStyle w:val="Rejstk2"/>
        <w:tabs>
          <w:tab w:val="right" w:leader="dot" w:pos="4171"/>
        </w:tabs>
        <w:spacing w:line="240" w:lineRule="auto"/>
        <w:ind w:left="242"/>
      </w:pPr>
      <w:r w:rsidRPr="004B4DFF">
        <w:rPr>
          <w:i/>
        </w:rPr>
        <w:t>Ordinatio</w:t>
      </w:r>
      <w:r>
        <w:t xml:space="preserve"> 1.291.1‒6</w:t>
      </w:r>
      <w:r>
        <w:tab/>
        <w:t>752</w:t>
      </w:r>
    </w:p>
    <w:p w:rsidR="00AD7907" w:rsidRDefault="00AD7907" w:rsidP="00AD7907">
      <w:pPr>
        <w:pStyle w:val="Rejstk2"/>
        <w:tabs>
          <w:tab w:val="right" w:leader="dot" w:pos="4171"/>
        </w:tabs>
        <w:spacing w:line="240" w:lineRule="auto"/>
        <w:ind w:left="242"/>
      </w:pPr>
      <w:r w:rsidRPr="004B4DFF">
        <w:rPr>
          <w:i/>
        </w:rPr>
        <w:t>Ordinatio</w:t>
      </w:r>
      <w:r>
        <w:t xml:space="preserve"> 1.303‒329</w:t>
      </w:r>
      <w:r>
        <w:tab/>
        <w:t>743</w:t>
      </w:r>
    </w:p>
    <w:p w:rsidR="00AD7907" w:rsidRDefault="00AD7907" w:rsidP="00AD7907">
      <w:pPr>
        <w:pStyle w:val="Rejstk2"/>
        <w:tabs>
          <w:tab w:val="right" w:leader="dot" w:pos="4171"/>
        </w:tabs>
        <w:spacing w:line="240" w:lineRule="auto"/>
        <w:ind w:left="242"/>
      </w:pPr>
      <w:r w:rsidRPr="004B4DFF">
        <w:rPr>
          <w:i/>
        </w:rPr>
        <w:t xml:space="preserve">Quaestiones in Librum </w:t>
      </w:r>
      <w:r w:rsidRPr="004B4DFF">
        <w:rPr>
          <w:rFonts w:eastAsia="AngsanaUPC"/>
          <w:i/>
        </w:rPr>
        <w:t>Porphirii Isagoge</w:t>
      </w:r>
      <w:r>
        <w:t xml:space="preserve"> 221.7‒13</w:t>
      </w:r>
      <w:r>
        <w:tab/>
        <w:t>650</w:t>
      </w:r>
    </w:p>
    <w:p w:rsidR="00AD7907" w:rsidRDefault="00AD7907" w:rsidP="00AD7907">
      <w:pPr>
        <w:pStyle w:val="Rejstk2"/>
        <w:tabs>
          <w:tab w:val="right" w:leader="dot" w:pos="4171"/>
        </w:tabs>
        <w:ind w:left="238"/>
        <w:rPr>
          <w:i/>
        </w:rPr>
      </w:pPr>
      <w:r w:rsidRPr="004B4DFF">
        <w:rPr>
          <w:i/>
        </w:rPr>
        <w:t xml:space="preserve">Quaestiones </w:t>
      </w:r>
      <w:r>
        <w:rPr>
          <w:i/>
        </w:rPr>
        <w:t>super Praedicamenta Aristotelis</w:t>
      </w:r>
    </w:p>
    <w:p w:rsidR="00AD7907" w:rsidRDefault="00AD7907" w:rsidP="00AD7907">
      <w:pPr>
        <w:pStyle w:val="Rejstk2"/>
        <w:tabs>
          <w:tab w:val="right" w:leader="dot" w:pos="4171"/>
        </w:tabs>
        <w:spacing w:line="240" w:lineRule="auto"/>
        <w:ind w:left="242"/>
      </w:pPr>
      <w:r>
        <w:t>250.2‒3</w:t>
      </w:r>
      <w:r>
        <w:tab/>
        <w:t>654</w:t>
      </w:r>
    </w:p>
    <w:p w:rsidR="00AD7907" w:rsidRDefault="00AD7907" w:rsidP="00AD7907">
      <w:pPr>
        <w:pStyle w:val="Rejstk2"/>
        <w:tabs>
          <w:tab w:val="right" w:leader="dot" w:pos="4171"/>
        </w:tabs>
        <w:spacing w:line="240" w:lineRule="auto"/>
        <w:ind w:left="242"/>
      </w:pPr>
      <w:r>
        <w:t>258.11‒16</w:t>
      </w:r>
      <w:r>
        <w:tab/>
        <w:t>651</w:t>
      </w:r>
    </w:p>
    <w:p w:rsidR="00AD7907" w:rsidRDefault="00AD7907" w:rsidP="00AD7907">
      <w:pPr>
        <w:pStyle w:val="Rejstk2"/>
        <w:tabs>
          <w:tab w:val="right" w:leader="dot" w:pos="4171"/>
        </w:tabs>
        <w:spacing w:line="240" w:lineRule="auto"/>
        <w:ind w:left="242"/>
      </w:pPr>
      <w:r>
        <w:t>259.14‒260.12</w:t>
      </w:r>
      <w:r>
        <w:tab/>
        <w:t>652</w:t>
      </w:r>
    </w:p>
    <w:p w:rsidR="00AD7907" w:rsidRDefault="00AD7907" w:rsidP="00AD7907">
      <w:pPr>
        <w:pStyle w:val="Rejstk2"/>
        <w:tabs>
          <w:tab w:val="right" w:leader="dot" w:pos="4171"/>
        </w:tabs>
        <w:spacing w:line="240" w:lineRule="auto"/>
        <w:ind w:left="242"/>
      </w:pPr>
      <w:r>
        <w:t>274.15‒20</w:t>
      </w:r>
      <w:r>
        <w:tab/>
        <w:t>656</w:t>
      </w:r>
    </w:p>
    <w:p w:rsidR="00AD7907" w:rsidRDefault="00AD7907" w:rsidP="00AD7907">
      <w:pPr>
        <w:pStyle w:val="Rejstk2"/>
        <w:tabs>
          <w:tab w:val="right" w:leader="dot" w:pos="4171"/>
        </w:tabs>
        <w:spacing w:line="240" w:lineRule="auto"/>
        <w:ind w:left="242"/>
      </w:pPr>
      <w:r>
        <w:t>277.5‒6</w:t>
      </w:r>
      <w:r>
        <w:tab/>
        <w:t>654</w:t>
      </w:r>
    </w:p>
    <w:p w:rsidR="00AD7907" w:rsidRDefault="00AD7907" w:rsidP="00AD7907">
      <w:pPr>
        <w:pStyle w:val="Rejstk2"/>
        <w:tabs>
          <w:tab w:val="right" w:leader="dot" w:pos="4171"/>
        </w:tabs>
        <w:spacing w:line="240" w:lineRule="auto"/>
        <w:ind w:left="242"/>
      </w:pPr>
      <w:r>
        <w:t>290.11‒17</w:t>
      </w:r>
      <w:r>
        <w:tab/>
        <w:t>660</w:t>
      </w:r>
    </w:p>
    <w:p w:rsidR="00AD7907" w:rsidRDefault="00AD7907" w:rsidP="00AD7907">
      <w:pPr>
        <w:pStyle w:val="Rejstk2"/>
        <w:tabs>
          <w:tab w:val="right" w:leader="dot" w:pos="4171"/>
        </w:tabs>
        <w:spacing w:line="240" w:lineRule="auto"/>
        <w:ind w:left="242"/>
      </w:pPr>
      <w:r>
        <w:t>290.5‒10</w:t>
      </w:r>
      <w:r>
        <w:tab/>
        <w:t>657</w:t>
      </w:r>
    </w:p>
    <w:p w:rsidR="00AD7907" w:rsidRDefault="00AD7907" w:rsidP="00AD7907">
      <w:pPr>
        <w:pStyle w:val="Rejstk2"/>
        <w:tabs>
          <w:tab w:val="right" w:leader="dot" w:pos="4171"/>
        </w:tabs>
        <w:spacing w:line="240" w:lineRule="auto"/>
        <w:ind w:left="242"/>
      </w:pPr>
      <w:r>
        <w:t>324.7‒11</w:t>
      </w:r>
      <w:r>
        <w:tab/>
        <w:t>653</w:t>
      </w:r>
    </w:p>
    <w:p w:rsidR="00AD7907" w:rsidRDefault="00AD7907" w:rsidP="00AD7907">
      <w:pPr>
        <w:pStyle w:val="Rejstk2"/>
        <w:tabs>
          <w:tab w:val="right" w:leader="dot" w:pos="4171"/>
        </w:tabs>
        <w:spacing w:line="240" w:lineRule="auto"/>
        <w:ind w:left="242"/>
      </w:pPr>
      <w:r>
        <w:t>370.4‒10</w:t>
      </w:r>
      <w:r>
        <w:tab/>
        <w:t>665</w:t>
      </w:r>
    </w:p>
    <w:p w:rsidR="00AD7907" w:rsidRDefault="00AD7907" w:rsidP="00AD7907">
      <w:pPr>
        <w:pStyle w:val="Rejstk1"/>
        <w:tabs>
          <w:tab w:val="right" w:leader="dot" w:pos="4171"/>
        </w:tabs>
        <w:ind w:left="0" w:firstLine="0"/>
        <w:rPr>
          <w:lang w:val="de-LU"/>
        </w:rPr>
      </w:pPr>
    </w:p>
    <w:p w:rsidR="00AD7907" w:rsidRDefault="00AD7907" w:rsidP="00AD7907">
      <w:pPr>
        <w:pStyle w:val="Rejstk1"/>
        <w:tabs>
          <w:tab w:val="right" w:leader="dot" w:pos="4171"/>
        </w:tabs>
        <w:ind w:left="0" w:firstLine="0"/>
        <w:rPr>
          <w:b/>
          <w:lang w:val="de-LU"/>
        </w:rPr>
      </w:pPr>
      <w:r w:rsidRPr="008757E5">
        <w:rPr>
          <w:b/>
          <w:lang w:val="de-LU"/>
        </w:rPr>
        <w:t>Siger de Brabantia</w:t>
      </w:r>
    </w:p>
    <w:p w:rsidR="00AD7907" w:rsidRDefault="00AD7907" w:rsidP="00AD7907">
      <w:pPr>
        <w:pStyle w:val="Rejstk2"/>
        <w:tabs>
          <w:tab w:val="right" w:leader="dot" w:pos="4171"/>
        </w:tabs>
        <w:spacing w:line="240" w:lineRule="auto"/>
        <w:ind w:left="242"/>
      </w:pPr>
      <w:r w:rsidRPr="004B4DFF">
        <w:rPr>
          <w:i/>
        </w:rPr>
        <w:t xml:space="preserve">De aeternitate mundi </w:t>
      </w:r>
      <w:r>
        <w:t>126.92‒98</w:t>
      </w:r>
      <w:r>
        <w:tab/>
        <w:t>301</w:t>
      </w:r>
    </w:p>
    <w:p w:rsidR="00AD7907" w:rsidRDefault="00AD7907" w:rsidP="00AD7907">
      <w:pPr>
        <w:pStyle w:val="Rejstk2"/>
        <w:tabs>
          <w:tab w:val="right" w:leader="dot" w:pos="4171"/>
        </w:tabs>
        <w:spacing w:line="240" w:lineRule="auto"/>
        <w:ind w:left="242"/>
      </w:pPr>
      <w:r w:rsidRPr="004B4DFF">
        <w:rPr>
          <w:i/>
          <w:lang w:eastAsia="en-US"/>
        </w:rPr>
        <w:t>De anima intellectiva</w:t>
      </w:r>
      <w:r>
        <w:rPr>
          <w:lang w:eastAsia="en-US"/>
        </w:rPr>
        <w:t xml:space="preserve"> </w:t>
      </w:r>
      <w:r>
        <w:t>109.17‒20</w:t>
      </w:r>
      <w:r>
        <w:tab/>
        <w:t>344</w:t>
      </w:r>
    </w:p>
    <w:p w:rsidR="00AD7907" w:rsidRDefault="00AD7907" w:rsidP="00AD7907">
      <w:pPr>
        <w:pStyle w:val="Rejstk2"/>
        <w:tabs>
          <w:tab w:val="right" w:leader="dot" w:pos="4171"/>
        </w:tabs>
        <w:spacing w:line="240" w:lineRule="auto"/>
        <w:ind w:left="242"/>
      </w:pPr>
      <w:r w:rsidRPr="005C2DBB">
        <w:rPr>
          <w:i/>
        </w:rPr>
        <w:t>De anima intellectiva</w:t>
      </w:r>
      <w:r>
        <w:t xml:space="preserve"> 111.3‒6</w:t>
      </w:r>
      <w:r>
        <w:tab/>
        <w:t>354</w:t>
      </w:r>
    </w:p>
    <w:p w:rsidR="00AD7907" w:rsidRDefault="00AD7907" w:rsidP="00AD7907">
      <w:pPr>
        <w:pStyle w:val="Rejstk2"/>
        <w:tabs>
          <w:tab w:val="right" w:leader="dot" w:pos="4171"/>
        </w:tabs>
        <w:spacing w:line="240" w:lineRule="auto"/>
        <w:ind w:left="242"/>
      </w:pPr>
      <w:r w:rsidRPr="004B4DFF">
        <w:rPr>
          <w:i/>
          <w:lang w:eastAsia="en-US"/>
        </w:rPr>
        <w:t>De anima intellectiva</w:t>
      </w:r>
      <w:r>
        <w:rPr>
          <w:lang w:eastAsia="en-US"/>
        </w:rPr>
        <w:t xml:space="preserve"> </w:t>
      </w:r>
      <w:r>
        <w:t>4.51‒56</w:t>
      </w:r>
      <w:r>
        <w:tab/>
        <w:t>347</w:t>
      </w:r>
    </w:p>
    <w:p w:rsidR="00AD7907" w:rsidRDefault="00AD7907" w:rsidP="00AD7907">
      <w:pPr>
        <w:pStyle w:val="Rejstk2"/>
        <w:tabs>
          <w:tab w:val="right" w:leader="dot" w:pos="4171"/>
        </w:tabs>
        <w:spacing w:line="240" w:lineRule="auto"/>
        <w:ind w:left="242"/>
      </w:pPr>
      <w:r w:rsidRPr="004B4DFF">
        <w:rPr>
          <w:i/>
        </w:rPr>
        <w:t xml:space="preserve">De anima intellectiva </w:t>
      </w:r>
      <w:r>
        <w:t>70.9‒11</w:t>
      </w:r>
      <w:r>
        <w:tab/>
        <w:t>444</w:t>
      </w:r>
    </w:p>
    <w:p w:rsidR="00AD7907" w:rsidRDefault="00AD7907" w:rsidP="00AD7907">
      <w:pPr>
        <w:pStyle w:val="Rejstk2"/>
        <w:tabs>
          <w:tab w:val="right" w:leader="dot" w:pos="4171"/>
        </w:tabs>
        <w:spacing w:line="240" w:lineRule="auto"/>
        <w:ind w:left="242"/>
      </w:pPr>
      <w:r>
        <w:t>De anima intellectiva 72.</w:t>
      </w:r>
      <w:r w:rsidRPr="004B4DFF">
        <w:rPr>
          <w:lang w:val="x-none" w:eastAsia="x-none"/>
        </w:rPr>
        <w:t>15‒22</w:t>
      </w:r>
      <w:r>
        <w:tab/>
        <w:t>317</w:t>
      </w:r>
    </w:p>
    <w:p w:rsidR="00AD7907" w:rsidRDefault="00AD7907" w:rsidP="00AD7907">
      <w:pPr>
        <w:pStyle w:val="Rejstk2"/>
        <w:tabs>
          <w:tab w:val="right" w:leader="dot" w:pos="4171"/>
        </w:tabs>
        <w:spacing w:line="240" w:lineRule="auto"/>
        <w:ind w:left="242"/>
      </w:pPr>
      <w:r w:rsidRPr="004B4DFF">
        <w:rPr>
          <w:i/>
          <w:lang w:eastAsia="en-US"/>
        </w:rPr>
        <w:t>De anima intellectiva</w:t>
      </w:r>
      <w:r>
        <w:rPr>
          <w:lang w:eastAsia="en-US"/>
        </w:rPr>
        <w:t xml:space="preserve"> </w:t>
      </w:r>
      <w:r>
        <w:t>77.9‒12</w:t>
      </w:r>
      <w:r>
        <w:tab/>
        <w:t>321</w:t>
      </w:r>
    </w:p>
    <w:p w:rsidR="00AD7907" w:rsidRDefault="00AD7907" w:rsidP="00AD7907">
      <w:pPr>
        <w:pStyle w:val="Rejstk2"/>
        <w:tabs>
          <w:tab w:val="right" w:leader="dot" w:pos="4171"/>
        </w:tabs>
        <w:spacing w:line="240" w:lineRule="auto"/>
        <w:ind w:left="242"/>
      </w:pPr>
      <w:r w:rsidRPr="004B4DFF">
        <w:rPr>
          <w:i/>
          <w:lang w:eastAsia="en-US"/>
        </w:rPr>
        <w:t>De anima intellectiva</w:t>
      </w:r>
      <w:r>
        <w:rPr>
          <w:lang w:eastAsia="en-US"/>
        </w:rPr>
        <w:t xml:space="preserve"> </w:t>
      </w:r>
      <w:r>
        <w:t>80.67‒70</w:t>
      </w:r>
      <w:r>
        <w:tab/>
        <w:t>323</w:t>
      </w:r>
    </w:p>
    <w:p w:rsidR="00AD7907" w:rsidRDefault="00AD7907" w:rsidP="00AD7907">
      <w:pPr>
        <w:pStyle w:val="Rejstk2"/>
        <w:tabs>
          <w:tab w:val="right" w:leader="dot" w:pos="4171"/>
        </w:tabs>
        <w:spacing w:line="240" w:lineRule="auto"/>
        <w:ind w:left="242"/>
      </w:pPr>
      <w:r w:rsidRPr="004B4DFF">
        <w:rPr>
          <w:i/>
          <w:lang w:eastAsia="en-US"/>
        </w:rPr>
        <w:t>De anima intellectiva</w:t>
      </w:r>
      <w:r>
        <w:rPr>
          <w:lang w:eastAsia="en-US"/>
        </w:rPr>
        <w:t xml:space="preserve"> </w:t>
      </w:r>
      <w:r>
        <w:t>80.74</w:t>
      </w:r>
      <w:r>
        <w:tab/>
        <w:t>323</w:t>
      </w:r>
    </w:p>
    <w:p w:rsidR="00AD7907" w:rsidRDefault="00AD7907" w:rsidP="00AD7907">
      <w:pPr>
        <w:pStyle w:val="Rejstk2"/>
        <w:tabs>
          <w:tab w:val="right" w:leader="dot" w:pos="4171"/>
        </w:tabs>
        <w:spacing w:line="240" w:lineRule="auto"/>
        <w:ind w:left="242"/>
      </w:pPr>
      <w:r w:rsidRPr="004B4DFF">
        <w:rPr>
          <w:i/>
          <w:lang w:eastAsia="en-US"/>
        </w:rPr>
        <w:lastRenderedPageBreak/>
        <w:t>De anima intellectiva</w:t>
      </w:r>
      <w:r>
        <w:rPr>
          <w:lang w:eastAsia="en-US"/>
        </w:rPr>
        <w:t xml:space="preserve"> </w:t>
      </w:r>
      <w:r>
        <w:t>81.78‒82</w:t>
      </w:r>
      <w:r>
        <w:tab/>
        <w:t>324</w:t>
      </w:r>
    </w:p>
    <w:p w:rsidR="00AD7907" w:rsidRDefault="00AD7907" w:rsidP="00AD7907">
      <w:pPr>
        <w:pStyle w:val="Rejstk2"/>
        <w:tabs>
          <w:tab w:val="right" w:leader="dot" w:pos="4171"/>
        </w:tabs>
        <w:spacing w:line="240" w:lineRule="auto"/>
        <w:ind w:left="242"/>
      </w:pPr>
      <w:r w:rsidRPr="004B4DFF">
        <w:rPr>
          <w:i/>
          <w:lang w:eastAsia="en-US"/>
        </w:rPr>
        <w:t>De anima intellectiva</w:t>
      </w:r>
      <w:r>
        <w:rPr>
          <w:lang w:eastAsia="en-US"/>
        </w:rPr>
        <w:t xml:space="preserve"> </w:t>
      </w:r>
      <w:r>
        <w:t>81.83‒89</w:t>
      </w:r>
      <w:r>
        <w:tab/>
        <w:t>330</w:t>
      </w:r>
    </w:p>
    <w:p w:rsidR="00AD7907" w:rsidRDefault="00AD7907" w:rsidP="00AD7907">
      <w:pPr>
        <w:pStyle w:val="Rejstk2"/>
        <w:tabs>
          <w:tab w:val="right" w:leader="dot" w:pos="4171"/>
        </w:tabs>
        <w:spacing w:line="240" w:lineRule="auto"/>
        <w:ind w:left="242"/>
      </w:pPr>
      <w:r w:rsidRPr="004B4DFF">
        <w:rPr>
          <w:i/>
        </w:rPr>
        <w:t>De anima intellectiva</w:t>
      </w:r>
      <w:r>
        <w:t xml:space="preserve"> 81.92‒82.97</w:t>
      </w:r>
      <w:r>
        <w:tab/>
        <w:t>189, 333</w:t>
      </w:r>
    </w:p>
    <w:p w:rsidR="00AD7907" w:rsidRDefault="00AD7907" w:rsidP="00AD7907">
      <w:pPr>
        <w:pStyle w:val="Rejstk2"/>
        <w:tabs>
          <w:tab w:val="right" w:leader="dot" w:pos="4171"/>
        </w:tabs>
        <w:spacing w:line="240" w:lineRule="auto"/>
        <w:ind w:left="242"/>
      </w:pPr>
      <w:r w:rsidRPr="004B4DFF">
        <w:rPr>
          <w:i/>
          <w:lang w:eastAsia="en-US"/>
        </w:rPr>
        <w:t>De anima intellectiva</w:t>
      </w:r>
      <w:r>
        <w:rPr>
          <w:lang w:eastAsia="en-US"/>
        </w:rPr>
        <w:t xml:space="preserve"> </w:t>
      </w:r>
      <w:r>
        <w:t>81‒88</w:t>
      </w:r>
      <w:r>
        <w:tab/>
        <w:t>323</w:t>
      </w:r>
    </w:p>
    <w:p w:rsidR="00AD7907" w:rsidRDefault="00AD7907" w:rsidP="00AD7907">
      <w:pPr>
        <w:pStyle w:val="Rejstk2"/>
        <w:tabs>
          <w:tab w:val="right" w:leader="dot" w:pos="4171"/>
        </w:tabs>
        <w:spacing w:line="240" w:lineRule="auto"/>
        <w:ind w:left="242"/>
      </w:pPr>
      <w:r w:rsidRPr="004B4DFF">
        <w:rPr>
          <w:i/>
          <w:lang w:eastAsia="en-US"/>
        </w:rPr>
        <w:t>De anima intellectiva</w:t>
      </w:r>
      <w:r>
        <w:rPr>
          <w:lang w:eastAsia="en-US"/>
        </w:rPr>
        <w:t xml:space="preserve"> </w:t>
      </w:r>
      <w:r>
        <w:t>82.98‒99</w:t>
      </w:r>
      <w:r>
        <w:tab/>
        <w:t>337</w:t>
      </w:r>
    </w:p>
    <w:p w:rsidR="00AD7907" w:rsidRDefault="00AD7907" w:rsidP="00AD7907">
      <w:pPr>
        <w:pStyle w:val="Rejstk2"/>
        <w:tabs>
          <w:tab w:val="right" w:leader="dot" w:pos="4171"/>
        </w:tabs>
        <w:spacing w:line="240" w:lineRule="auto"/>
        <w:ind w:left="242"/>
      </w:pPr>
      <w:r w:rsidRPr="004B4DFF">
        <w:rPr>
          <w:i/>
          <w:lang w:eastAsia="en-US"/>
        </w:rPr>
        <w:t>De anima intellectiva</w:t>
      </w:r>
      <w:r>
        <w:rPr>
          <w:lang w:eastAsia="en-US"/>
        </w:rPr>
        <w:t xml:space="preserve"> </w:t>
      </w:r>
      <w:r>
        <w:t>83.39</w:t>
      </w:r>
      <w:r>
        <w:tab/>
        <w:t>340</w:t>
      </w:r>
    </w:p>
    <w:p w:rsidR="00AD7907" w:rsidRDefault="00AD7907" w:rsidP="00AD7907">
      <w:pPr>
        <w:pStyle w:val="Rejstk2"/>
        <w:tabs>
          <w:tab w:val="right" w:leader="dot" w:pos="4171"/>
        </w:tabs>
        <w:spacing w:line="240" w:lineRule="auto"/>
        <w:ind w:left="242"/>
      </w:pPr>
      <w:r w:rsidRPr="004B4DFF">
        <w:rPr>
          <w:i/>
          <w:lang w:eastAsia="en-US"/>
        </w:rPr>
        <w:t>De anima intellectiva</w:t>
      </w:r>
      <w:r>
        <w:rPr>
          <w:lang w:eastAsia="en-US"/>
        </w:rPr>
        <w:t xml:space="preserve"> </w:t>
      </w:r>
      <w:r>
        <w:t>83.40‒43</w:t>
      </w:r>
      <w:r>
        <w:tab/>
        <w:t>341</w:t>
      </w:r>
    </w:p>
    <w:p w:rsidR="00AD7907" w:rsidRDefault="00AD7907" w:rsidP="00AD7907">
      <w:pPr>
        <w:pStyle w:val="Rejstk2"/>
        <w:tabs>
          <w:tab w:val="right" w:leader="dot" w:pos="4171"/>
        </w:tabs>
        <w:spacing w:line="240" w:lineRule="auto"/>
        <w:ind w:left="242"/>
      </w:pPr>
      <w:r w:rsidRPr="004B4DFF">
        <w:rPr>
          <w:i/>
          <w:lang w:eastAsia="en-US"/>
        </w:rPr>
        <w:t xml:space="preserve">De anima intellectiva </w:t>
      </w:r>
      <w:r>
        <w:t>83.44</w:t>
      </w:r>
      <w:r>
        <w:tab/>
        <w:t>356</w:t>
      </w:r>
    </w:p>
    <w:p w:rsidR="00AD7907" w:rsidRDefault="00AD7907" w:rsidP="00AD7907">
      <w:pPr>
        <w:pStyle w:val="Rejstk2"/>
        <w:tabs>
          <w:tab w:val="right" w:leader="dot" w:pos="4171"/>
        </w:tabs>
        <w:spacing w:line="240" w:lineRule="auto"/>
        <w:ind w:left="242"/>
      </w:pPr>
      <w:r w:rsidRPr="004B4DFF">
        <w:rPr>
          <w:i/>
          <w:lang w:eastAsia="en-US"/>
        </w:rPr>
        <w:t>De anima intellectiva</w:t>
      </w:r>
      <w:r>
        <w:rPr>
          <w:lang w:eastAsia="en-US"/>
        </w:rPr>
        <w:t xml:space="preserve"> </w:t>
      </w:r>
      <w:r>
        <w:t>83.44‒84.48</w:t>
      </w:r>
      <w:r>
        <w:tab/>
        <w:t>340</w:t>
      </w:r>
    </w:p>
    <w:p w:rsidR="00AD7907" w:rsidRDefault="00AD7907" w:rsidP="00AD7907">
      <w:pPr>
        <w:pStyle w:val="Rejstk2"/>
        <w:tabs>
          <w:tab w:val="right" w:leader="dot" w:pos="4171"/>
        </w:tabs>
        <w:spacing w:line="240" w:lineRule="auto"/>
        <w:ind w:left="242"/>
      </w:pPr>
      <w:r w:rsidRPr="004B4DFF">
        <w:rPr>
          <w:i/>
          <w:lang w:eastAsia="en-US"/>
        </w:rPr>
        <w:t>De anima intellectiva</w:t>
      </w:r>
      <w:r>
        <w:rPr>
          <w:lang w:eastAsia="en-US"/>
        </w:rPr>
        <w:t xml:space="preserve"> </w:t>
      </w:r>
      <w:r>
        <w:t>84.49‒51</w:t>
      </w:r>
      <w:r>
        <w:tab/>
        <w:t>342</w:t>
      </w:r>
    </w:p>
    <w:p w:rsidR="00AD7907" w:rsidRDefault="00AD7907" w:rsidP="00AD7907">
      <w:pPr>
        <w:pStyle w:val="Rejstk2"/>
        <w:tabs>
          <w:tab w:val="right" w:leader="dot" w:pos="4171"/>
        </w:tabs>
        <w:spacing w:line="240" w:lineRule="auto"/>
        <w:ind w:left="242"/>
      </w:pPr>
      <w:r w:rsidRPr="004B4DFF">
        <w:rPr>
          <w:i/>
          <w:lang w:eastAsia="en-US"/>
        </w:rPr>
        <w:t>De anima intellectiva</w:t>
      </w:r>
      <w:r>
        <w:rPr>
          <w:lang w:eastAsia="en-US"/>
        </w:rPr>
        <w:t xml:space="preserve"> </w:t>
      </w:r>
      <w:r>
        <w:t>85.80‒85</w:t>
      </w:r>
      <w:r>
        <w:tab/>
        <w:t>345</w:t>
      </w:r>
    </w:p>
    <w:p w:rsidR="00AD7907" w:rsidRDefault="00AD7907" w:rsidP="00AD7907">
      <w:pPr>
        <w:pStyle w:val="Rejstk2"/>
        <w:tabs>
          <w:tab w:val="right" w:leader="dot" w:pos="4171"/>
        </w:tabs>
        <w:spacing w:line="240" w:lineRule="auto"/>
        <w:ind w:left="242"/>
      </w:pPr>
      <w:r w:rsidRPr="004B4DFF">
        <w:rPr>
          <w:i/>
          <w:lang w:eastAsia="en-US"/>
        </w:rPr>
        <w:t>De anima intellectiva</w:t>
      </w:r>
      <w:r>
        <w:rPr>
          <w:lang w:eastAsia="en-US"/>
        </w:rPr>
        <w:t xml:space="preserve"> </w:t>
      </w:r>
      <w:r>
        <w:t>86.101‒106</w:t>
      </w:r>
      <w:r>
        <w:tab/>
        <w:t>345</w:t>
      </w:r>
    </w:p>
    <w:p w:rsidR="00AD7907" w:rsidRDefault="00AD7907" w:rsidP="00AD7907">
      <w:pPr>
        <w:pStyle w:val="Rejstk2"/>
        <w:tabs>
          <w:tab w:val="right" w:leader="dot" w:pos="4171"/>
        </w:tabs>
        <w:spacing w:line="240" w:lineRule="auto"/>
        <w:ind w:left="242"/>
      </w:pPr>
      <w:r w:rsidRPr="004B4DFF">
        <w:rPr>
          <w:i/>
          <w:lang w:eastAsia="en-US"/>
        </w:rPr>
        <w:t>De anima intellectiva</w:t>
      </w:r>
      <w:r>
        <w:rPr>
          <w:lang w:eastAsia="en-US"/>
        </w:rPr>
        <w:t xml:space="preserve"> </w:t>
      </w:r>
      <w:r>
        <w:t>86.11‒87.16</w:t>
      </w:r>
      <w:r>
        <w:tab/>
        <w:t>350</w:t>
      </w:r>
    </w:p>
    <w:p w:rsidR="00AD7907" w:rsidRDefault="00AD7907" w:rsidP="00AD7907">
      <w:pPr>
        <w:pStyle w:val="Rejstk2"/>
        <w:tabs>
          <w:tab w:val="right" w:leader="dot" w:pos="4171"/>
        </w:tabs>
        <w:spacing w:line="240" w:lineRule="auto"/>
        <w:ind w:left="242"/>
      </w:pPr>
      <w:r w:rsidRPr="004B4DFF">
        <w:rPr>
          <w:i/>
          <w:lang w:eastAsia="en-US"/>
        </w:rPr>
        <w:t>De anima intellectiva</w:t>
      </w:r>
      <w:r>
        <w:rPr>
          <w:lang w:eastAsia="en-US"/>
        </w:rPr>
        <w:t xml:space="preserve"> </w:t>
      </w:r>
      <w:r>
        <w:t>87.20‒25</w:t>
      </w:r>
      <w:r>
        <w:tab/>
        <w:t>352</w:t>
      </w:r>
    </w:p>
    <w:p w:rsidR="00AD7907" w:rsidRDefault="00AD7907" w:rsidP="00AD7907">
      <w:pPr>
        <w:pStyle w:val="Rejstk2"/>
        <w:tabs>
          <w:tab w:val="right" w:leader="dot" w:pos="4171"/>
        </w:tabs>
        <w:spacing w:line="240" w:lineRule="auto"/>
        <w:ind w:left="242"/>
      </w:pPr>
      <w:r w:rsidRPr="004B4DFF">
        <w:rPr>
          <w:i/>
          <w:lang w:eastAsia="en-US"/>
        </w:rPr>
        <w:t>De anima intellectiva</w:t>
      </w:r>
      <w:r>
        <w:rPr>
          <w:lang w:eastAsia="en-US"/>
        </w:rPr>
        <w:t xml:space="preserve"> </w:t>
      </w:r>
      <w:r>
        <w:t>87.26‒32</w:t>
      </w:r>
      <w:r>
        <w:tab/>
        <w:t>353</w:t>
      </w:r>
    </w:p>
    <w:p w:rsidR="00AD7907" w:rsidRDefault="00AD7907" w:rsidP="00AD7907">
      <w:pPr>
        <w:pStyle w:val="Rejstk2"/>
        <w:tabs>
          <w:tab w:val="right" w:leader="dot" w:pos="4171"/>
        </w:tabs>
        <w:spacing w:line="240" w:lineRule="auto"/>
        <w:ind w:left="242"/>
      </w:pPr>
      <w:r w:rsidRPr="004B4DFF">
        <w:rPr>
          <w:i/>
          <w:lang w:eastAsia="en-US"/>
        </w:rPr>
        <w:t>De anima intellectiva</w:t>
      </w:r>
      <w:r>
        <w:rPr>
          <w:lang w:eastAsia="en-US"/>
        </w:rPr>
        <w:t xml:space="preserve"> </w:t>
      </w:r>
      <w:r>
        <w:t>88.40‒44</w:t>
      </w:r>
      <w:r>
        <w:tab/>
        <w:t>354</w:t>
      </w:r>
    </w:p>
    <w:p w:rsidR="00AD7907" w:rsidRDefault="00AD7907" w:rsidP="00AD7907">
      <w:pPr>
        <w:pStyle w:val="Rejstk2"/>
        <w:tabs>
          <w:tab w:val="right" w:leader="dot" w:pos="4171"/>
        </w:tabs>
        <w:spacing w:line="240" w:lineRule="auto"/>
        <w:ind w:left="242"/>
      </w:pPr>
      <w:r w:rsidRPr="004B4DFF">
        <w:rPr>
          <w:i/>
          <w:lang w:eastAsia="en-US"/>
        </w:rPr>
        <w:t>De anima intellectiva</w:t>
      </w:r>
      <w:r>
        <w:rPr>
          <w:lang w:eastAsia="en-US"/>
        </w:rPr>
        <w:t xml:space="preserve"> </w:t>
      </w:r>
      <w:r>
        <w:t>88.51‒52</w:t>
      </w:r>
      <w:r>
        <w:tab/>
        <w:t>355</w:t>
      </w:r>
    </w:p>
    <w:p w:rsidR="00AD7907" w:rsidRDefault="00AD7907" w:rsidP="00AD7907">
      <w:pPr>
        <w:pStyle w:val="Rejstk2"/>
        <w:tabs>
          <w:tab w:val="right" w:leader="dot" w:pos="4171"/>
        </w:tabs>
        <w:spacing w:line="240" w:lineRule="auto"/>
        <w:ind w:left="242"/>
      </w:pPr>
      <w:r w:rsidRPr="004B4DFF">
        <w:rPr>
          <w:i/>
        </w:rPr>
        <w:t>De anima intellectiva</w:t>
      </w:r>
      <w:r>
        <w:t xml:space="preserve"> 98.58‒65</w:t>
      </w:r>
      <w:r>
        <w:tab/>
        <w:t>305</w:t>
      </w:r>
    </w:p>
    <w:p w:rsidR="00AD7907" w:rsidRDefault="00AD7907" w:rsidP="00AD7907">
      <w:pPr>
        <w:pStyle w:val="Rejstk2"/>
        <w:tabs>
          <w:tab w:val="right" w:leader="dot" w:pos="4171"/>
        </w:tabs>
        <w:spacing w:line="240" w:lineRule="auto"/>
        <w:ind w:left="242"/>
      </w:pPr>
      <w:r w:rsidRPr="004B4DFF">
        <w:rPr>
          <w:i/>
        </w:rPr>
        <w:t>Quaestiones in Metaphysicam</w:t>
      </w:r>
      <w:r>
        <w:t xml:space="preserve"> 135.3‒7</w:t>
      </w:r>
      <w:r>
        <w:tab/>
        <w:t>260</w:t>
      </w:r>
    </w:p>
    <w:p w:rsidR="00AD7907" w:rsidRDefault="00AD7907" w:rsidP="00AD7907">
      <w:pPr>
        <w:pStyle w:val="Rejstk2"/>
        <w:tabs>
          <w:tab w:val="right" w:leader="dot" w:pos="4171"/>
        </w:tabs>
        <w:spacing w:line="240" w:lineRule="auto"/>
        <w:ind w:left="242"/>
      </w:pPr>
      <w:r w:rsidRPr="004B4DFF">
        <w:rPr>
          <w:i/>
        </w:rPr>
        <w:t>Quaestiones in Metaphysicam</w:t>
      </w:r>
      <w:r>
        <w:t xml:space="preserve"> 135.5‒8</w:t>
      </w:r>
      <w:r>
        <w:tab/>
        <w:t>259</w:t>
      </w:r>
    </w:p>
    <w:p w:rsidR="00AD7907" w:rsidRDefault="00AD7907" w:rsidP="00AD7907">
      <w:pPr>
        <w:pStyle w:val="Rejstk2"/>
        <w:tabs>
          <w:tab w:val="right" w:leader="dot" w:pos="4171"/>
        </w:tabs>
        <w:spacing w:line="240" w:lineRule="auto"/>
        <w:ind w:left="242"/>
      </w:pPr>
      <w:r w:rsidRPr="004B4DFF">
        <w:rPr>
          <w:i/>
        </w:rPr>
        <w:t>Quaestiones in Metaphysicam</w:t>
      </w:r>
      <w:r>
        <w:t xml:space="preserve"> 137.15‒20</w:t>
      </w:r>
      <w:r>
        <w:tab/>
        <w:t>259</w:t>
      </w:r>
    </w:p>
    <w:p w:rsidR="00AD7907" w:rsidRDefault="00AD7907" w:rsidP="00AD7907">
      <w:pPr>
        <w:pStyle w:val="Rejstk2"/>
        <w:tabs>
          <w:tab w:val="right" w:leader="dot" w:pos="4171"/>
        </w:tabs>
        <w:spacing w:line="240" w:lineRule="auto"/>
        <w:ind w:left="242"/>
      </w:pPr>
      <w:r w:rsidRPr="004B4DFF">
        <w:rPr>
          <w:i/>
        </w:rPr>
        <w:t>Quaestiones in Metaphysicam</w:t>
      </w:r>
      <w:r>
        <w:t xml:space="preserve"> 137.9‒15</w:t>
      </w:r>
      <w:r>
        <w:tab/>
        <w:t>260</w:t>
      </w:r>
    </w:p>
    <w:p w:rsidR="00AD7907" w:rsidRDefault="00AD7907" w:rsidP="00AD7907">
      <w:pPr>
        <w:pStyle w:val="Rejstk2"/>
        <w:tabs>
          <w:tab w:val="right" w:leader="dot" w:pos="4171"/>
        </w:tabs>
        <w:spacing w:line="240" w:lineRule="auto"/>
        <w:ind w:left="242"/>
      </w:pPr>
      <w:r w:rsidRPr="004B4DFF">
        <w:rPr>
          <w:i/>
        </w:rPr>
        <w:t>Quaestiones in Metaphysicam</w:t>
      </w:r>
      <w:r>
        <w:t xml:space="preserve"> 32.67‒74</w:t>
      </w:r>
      <w:r>
        <w:tab/>
        <w:t>261</w:t>
      </w:r>
    </w:p>
    <w:p w:rsidR="00AD7907" w:rsidRDefault="00AD7907" w:rsidP="00AD7907">
      <w:pPr>
        <w:pStyle w:val="Rejstk2"/>
        <w:tabs>
          <w:tab w:val="right" w:leader="dot" w:pos="4171"/>
        </w:tabs>
        <w:spacing w:line="240" w:lineRule="auto"/>
        <w:ind w:left="242"/>
      </w:pPr>
      <w:r w:rsidRPr="004B4DFF">
        <w:rPr>
          <w:i/>
        </w:rPr>
        <w:t>Quaestiones in tertium De anima</w:t>
      </w:r>
      <w:r>
        <w:t xml:space="preserve"> 12.66‒70</w:t>
      </w:r>
      <w:r>
        <w:tab/>
        <w:t>173, 190</w:t>
      </w:r>
    </w:p>
    <w:p w:rsidR="00AD7907" w:rsidRDefault="00AD7907" w:rsidP="00AD7907">
      <w:pPr>
        <w:pStyle w:val="Rejstk2"/>
        <w:tabs>
          <w:tab w:val="right" w:leader="dot" w:pos="4171"/>
        </w:tabs>
        <w:spacing w:line="240" w:lineRule="auto"/>
        <w:ind w:left="242"/>
      </w:pPr>
      <w:r w:rsidRPr="004B4DFF">
        <w:rPr>
          <w:i/>
          <w:iCs/>
        </w:rPr>
        <w:t xml:space="preserve">Quaestiones in tertium De anima </w:t>
      </w:r>
      <w:r>
        <w:t>12.66‒70</w:t>
      </w:r>
      <w:r>
        <w:tab/>
        <w:t>407</w:t>
      </w:r>
    </w:p>
    <w:p w:rsidR="00AD7907" w:rsidRDefault="00AD7907" w:rsidP="00AD7907">
      <w:pPr>
        <w:pStyle w:val="Rejstk2"/>
        <w:tabs>
          <w:tab w:val="right" w:leader="dot" w:pos="4171"/>
        </w:tabs>
        <w:spacing w:line="240" w:lineRule="auto"/>
        <w:ind w:left="242"/>
      </w:pPr>
      <w:r w:rsidRPr="004B4DFF">
        <w:rPr>
          <w:i/>
        </w:rPr>
        <w:t>Quaestiones in tertium De anima</w:t>
      </w:r>
      <w:r>
        <w:t xml:space="preserve"> 12.67</w:t>
      </w:r>
      <w:r>
        <w:tab/>
        <w:t>263</w:t>
      </w:r>
    </w:p>
    <w:p w:rsidR="00AD7907" w:rsidRDefault="00AD7907" w:rsidP="00AD7907">
      <w:pPr>
        <w:pStyle w:val="Rejstk2"/>
        <w:tabs>
          <w:tab w:val="right" w:leader="dot" w:pos="4171"/>
        </w:tabs>
        <w:spacing w:line="240" w:lineRule="auto"/>
        <w:ind w:left="242"/>
      </w:pPr>
      <w:r w:rsidRPr="004B4DFF">
        <w:rPr>
          <w:i/>
        </w:rPr>
        <w:t>Quaestiones in tertium De anima</w:t>
      </w:r>
      <w:r>
        <w:t xml:space="preserve"> 12.67‒70</w:t>
      </w:r>
      <w:r>
        <w:tab/>
        <w:t>265</w:t>
      </w:r>
    </w:p>
    <w:p w:rsidR="00AD7907" w:rsidRDefault="00AD7907" w:rsidP="00AD7907">
      <w:pPr>
        <w:pStyle w:val="Rejstk2"/>
        <w:tabs>
          <w:tab w:val="right" w:leader="dot" w:pos="4171"/>
        </w:tabs>
        <w:spacing w:line="240" w:lineRule="auto"/>
        <w:ind w:left="242"/>
      </w:pPr>
      <w:r w:rsidRPr="004B4DFF">
        <w:rPr>
          <w:i/>
        </w:rPr>
        <w:t>Quaestiones in tertium De anima</w:t>
      </w:r>
      <w:r>
        <w:t xml:space="preserve"> 12.70</w:t>
      </w:r>
      <w:r>
        <w:tab/>
        <w:t>263</w:t>
      </w:r>
    </w:p>
    <w:p w:rsidR="00AD7907" w:rsidRDefault="00AD7907" w:rsidP="00AD7907">
      <w:pPr>
        <w:pStyle w:val="Rejstk2"/>
        <w:tabs>
          <w:tab w:val="right" w:leader="dot" w:pos="4171"/>
        </w:tabs>
        <w:spacing w:line="240" w:lineRule="auto"/>
        <w:ind w:left="242"/>
      </w:pPr>
      <w:r w:rsidRPr="004B4DFF">
        <w:rPr>
          <w:i/>
        </w:rPr>
        <w:t>Quaestiones in tertium De anima</w:t>
      </w:r>
      <w:r>
        <w:t xml:space="preserve"> 13.93‒94</w:t>
      </w:r>
      <w:r>
        <w:tab/>
        <w:t>269</w:t>
      </w:r>
    </w:p>
    <w:p w:rsidR="00AD7907" w:rsidRDefault="00AD7907" w:rsidP="00AD7907">
      <w:pPr>
        <w:pStyle w:val="Rejstk2"/>
        <w:tabs>
          <w:tab w:val="right" w:leader="dot" w:pos="4171"/>
        </w:tabs>
        <w:spacing w:line="240" w:lineRule="auto"/>
        <w:ind w:left="242"/>
      </w:pPr>
      <w:r w:rsidRPr="004B4DFF">
        <w:rPr>
          <w:i/>
        </w:rPr>
        <w:t>Quaestiones in tertium De anima</w:t>
      </w:r>
      <w:r>
        <w:t xml:space="preserve"> 14.10‒14</w:t>
      </w:r>
      <w:r>
        <w:tab/>
        <w:t>270</w:t>
      </w:r>
    </w:p>
    <w:p w:rsidR="00AD7907" w:rsidRDefault="00AD7907" w:rsidP="00AD7907">
      <w:pPr>
        <w:pStyle w:val="Rejstk2"/>
        <w:tabs>
          <w:tab w:val="right" w:leader="dot" w:pos="4171"/>
        </w:tabs>
        <w:spacing w:line="240" w:lineRule="auto"/>
        <w:ind w:left="242"/>
      </w:pPr>
      <w:r w:rsidRPr="004B4DFF">
        <w:rPr>
          <w:i/>
        </w:rPr>
        <w:t>Quaestiones in tertium De anima</w:t>
      </w:r>
      <w:r>
        <w:t xml:space="preserve"> 14.16‒22</w:t>
      </w:r>
      <w:r>
        <w:tab/>
        <w:t>271</w:t>
      </w:r>
    </w:p>
    <w:p w:rsidR="00AD7907" w:rsidRDefault="00AD7907" w:rsidP="00AD7907">
      <w:pPr>
        <w:pStyle w:val="Rejstk2"/>
        <w:tabs>
          <w:tab w:val="right" w:leader="dot" w:pos="4171"/>
        </w:tabs>
        <w:spacing w:line="240" w:lineRule="auto"/>
        <w:ind w:left="242"/>
      </w:pPr>
      <w:r w:rsidRPr="004B4DFF">
        <w:rPr>
          <w:i/>
        </w:rPr>
        <w:t>Quaestiones in tertium De anima</w:t>
      </w:r>
      <w:r>
        <w:t xml:space="preserve"> 14.22‒30</w:t>
      </w:r>
      <w:r>
        <w:tab/>
        <w:t>272</w:t>
      </w:r>
    </w:p>
    <w:p w:rsidR="00AD7907" w:rsidRDefault="00AD7907" w:rsidP="00AD7907">
      <w:pPr>
        <w:pStyle w:val="Rejstk2"/>
        <w:tabs>
          <w:tab w:val="right" w:leader="dot" w:pos="4171"/>
        </w:tabs>
        <w:spacing w:line="240" w:lineRule="auto"/>
        <w:ind w:left="242"/>
      </w:pPr>
      <w:r w:rsidRPr="004B4DFF">
        <w:rPr>
          <w:i/>
        </w:rPr>
        <w:t>Quaestiones in tertium De anima</w:t>
      </w:r>
      <w:r>
        <w:t xml:space="preserve"> 19.44‒47</w:t>
      </w:r>
      <w:r>
        <w:tab/>
        <w:t>248</w:t>
      </w:r>
    </w:p>
    <w:p w:rsidR="00AD7907" w:rsidRDefault="00AD7907" w:rsidP="00AD7907">
      <w:pPr>
        <w:pStyle w:val="Rejstk2"/>
        <w:tabs>
          <w:tab w:val="right" w:leader="dot" w:pos="4171"/>
        </w:tabs>
        <w:spacing w:line="240" w:lineRule="auto"/>
        <w:ind w:left="242"/>
      </w:pPr>
      <w:r w:rsidRPr="004B4DFF">
        <w:rPr>
          <w:i/>
        </w:rPr>
        <w:t>Quaestiones in tertium De anima</w:t>
      </w:r>
      <w:r>
        <w:t xml:space="preserve"> 20.77‒79</w:t>
      </w:r>
      <w:r>
        <w:tab/>
        <w:t>249</w:t>
      </w:r>
    </w:p>
    <w:p w:rsidR="00AD7907" w:rsidRDefault="00AD7907" w:rsidP="00AD7907">
      <w:pPr>
        <w:pStyle w:val="Rejstk2"/>
        <w:tabs>
          <w:tab w:val="right" w:leader="dot" w:pos="4171"/>
        </w:tabs>
        <w:spacing w:line="240" w:lineRule="auto"/>
        <w:ind w:left="242"/>
      </w:pPr>
      <w:r w:rsidRPr="004B4DFF">
        <w:rPr>
          <w:i/>
        </w:rPr>
        <w:t>Quaestiones in tertium De anima</w:t>
      </w:r>
      <w:r>
        <w:t xml:space="preserve"> 22.12‒14</w:t>
      </w:r>
      <w:r>
        <w:tab/>
        <w:t>463</w:t>
      </w:r>
    </w:p>
    <w:p w:rsidR="00AD7907" w:rsidRDefault="00AD7907" w:rsidP="00AD7907">
      <w:pPr>
        <w:pStyle w:val="Rejstk2"/>
        <w:tabs>
          <w:tab w:val="right" w:leader="dot" w:pos="4171"/>
        </w:tabs>
        <w:spacing w:line="240" w:lineRule="auto"/>
        <w:ind w:left="242"/>
      </w:pPr>
      <w:r w:rsidRPr="004B4DFF">
        <w:rPr>
          <w:i/>
        </w:rPr>
        <w:t>Quaestiones in tertium De anima</w:t>
      </w:r>
      <w:r>
        <w:t xml:space="preserve"> 23.18‒24</w:t>
      </w:r>
      <w:r>
        <w:tab/>
        <w:t>463</w:t>
      </w:r>
    </w:p>
    <w:p w:rsidR="00AD7907" w:rsidRDefault="00AD7907" w:rsidP="00AD7907">
      <w:pPr>
        <w:pStyle w:val="Rejstk2"/>
        <w:tabs>
          <w:tab w:val="right" w:leader="dot" w:pos="4171"/>
        </w:tabs>
        <w:spacing w:line="240" w:lineRule="auto"/>
        <w:ind w:left="242"/>
      </w:pPr>
      <w:r>
        <w:t>Quaestiones in tertium De anima 23.38‒44</w:t>
      </w:r>
      <w:r>
        <w:tab/>
        <w:t>276</w:t>
      </w:r>
    </w:p>
    <w:p w:rsidR="00AD7907" w:rsidRDefault="00AD7907" w:rsidP="00AD7907">
      <w:pPr>
        <w:pStyle w:val="Rejstk2"/>
        <w:tabs>
          <w:tab w:val="right" w:leader="dot" w:pos="4171"/>
        </w:tabs>
        <w:spacing w:line="240" w:lineRule="auto"/>
        <w:ind w:left="242"/>
      </w:pPr>
      <w:r w:rsidRPr="004B4DFF">
        <w:rPr>
          <w:i/>
        </w:rPr>
        <w:t xml:space="preserve">Quaestiones in tertium De anima </w:t>
      </w:r>
      <w:r>
        <w:t>25.3‒6</w:t>
      </w:r>
      <w:r>
        <w:tab/>
        <w:t>280</w:t>
      </w:r>
    </w:p>
    <w:p w:rsidR="00AD7907" w:rsidRDefault="00AD7907" w:rsidP="00AD7907">
      <w:pPr>
        <w:pStyle w:val="Rejstk2"/>
        <w:tabs>
          <w:tab w:val="right" w:leader="dot" w:pos="4171"/>
        </w:tabs>
        <w:spacing w:line="240" w:lineRule="auto"/>
        <w:ind w:left="242"/>
      </w:pPr>
      <w:r w:rsidRPr="004B4DFF">
        <w:rPr>
          <w:i/>
        </w:rPr>
        <w:t xml:space="preserve">Quaestiones in tertium De anima </w:t>
      </w:r>
      <w:r>
        <w:t>26.10‒12</w:t>
      </w:r>
      <w:r>
        <w:tab/>
        <w:t>281</w:t>
      </w:r>
    </w:p>
    <w:p w:rsidR="00AD7907" w:rsidRDefault="00AD7907" w:rsidP="00AD7907">
      <w:pPr>
        <w:pStyle w:val="Rejstk2"/>
        <w:tabs>
          <w:tab w:val="right" w:leader="dot" w:pos="4171"/>
        </w:tabs>
        <w:spacing w:line="240" w:lineRule="auto"/>
        <w:ind w:left="242"/>
      </w:pPr>
      <w:r w:rsidRPr="004B4DFF">
        <w:rPr>
          <w:i/>
        </w:rPr>
        <w:t>Quaestiones in tertium De anima</w:t>
      </w:r>
      <w:r>
        <w:t xml:space="preserve"> 26.28‒30</w:t>
      </w:r>
      <w:r>
        <w:tab/>
        <w:t>282</w:t>
      </w:r>
    </w:p>
    <w:p w:rsidR="00AD7907" w:rsidRDefault="00AD7907" w:rsidP="00AD7907">
      <w:pPr>
        <w:pStyle w:val="Rejstk2"/>
        <w:tabs>
          <w:tab w:val="right" w:leader="dot" w:pos="4171"/>
        </w:tabs>
        <w:spacing w:line="240" w:lineRule="auto"/>
        <w:ind w:left="242"/>
      </w:pPr>
      <w:r w:rsidRPr="004B4DFF">
        <w:rPr>
          <w:i/>
        </w:rPr>
        <w:t>Quaestiones in tertium De anima</w:t>
      </w:r>
      <w:r>
        <w:t xml:space="preserve"> 27.39‒40</w:t>
      </w:r>
      <w:r>
        <w:tab/>
        <w:t>282</w:t>
      </w:r>
    </w:p>
    <w:p w:rsidR="00AD7907" w:rsidRDefault="00AD7907" w:rsidP="00AD7907">
      <w:pPr>
        <w:pStyle w:val="Rejstk2"/>
        <w:tabs>
          <w:tab w:val="right" w:leader="dot" w:pos="4171"/>
        </w:tabs>
        <w:spacing w:line="240" w:lineRule="auto"/>
        <w:ind w:left="242"/>
      </w:pPr>
      <w:r w:rsidRPr="004B4DFF">
        <w:rPr>
          <w:i/>
        </w:rPr>
        <w:t>Quaestiones in tertium De anima</w:t>
      </w:r>
      <w:r>
        <w:t xml:space="preserve"> 27.52‒54</w:t>
      </w:r>
      <w:r>
        <w:tab/>
        <w:t>282</w:t>
      </w:r>
    </w:p>
    <w:p w:rsidR="00AD7907" w:rsidRDefault="00AD7907" w:rsidP="00AD7907">
      <w:pPr>
        <w:pStyle w:val="Rejstk2"/>
        <w:tabs>
          <w:tab w:val="right" w:leader="dot" w:pos="4171"/>
        </w:tabs>
        <w:spacing w:line="240" w:lineRule="auto"/>
        <w:ind w:left="242"/>
      </w:pPr>
      <w:r w:rsidRPr="004B4DFF">
        <w:rPr>
          <w:i/>
        </w:rPr>
        <w:t>Quaestiones in tertium De anima</w:t>
      </w:r>
      <w:r>
        <w:t xml:space="preserve"> 28.60‒63</w:t>
      </w:r>
      <w:r>
        <w:tab/>
        <w:t>283</w:t>
      </w:r>
    </w:p>
    <w:p w:rsidR="00AD7907" w:rsidRDefault="00AD7907" w:rsidP="00AD7907">
      <w:pPr>
        <w:pStyle w:val="Rejstk2"/>
        <w:tabs>
          <w:tab w:val="right" w:leader="dot" w:pos="4171"/>
        </w:tabs>
        <w:spacing w:line="240" w:lineRule="auto"/>
        <w:ind w:left="242"/>
      </w:pPr>
      <w:r w:rsidRPr="004B4DFF">
        <w:rPr>
          <w:i/>
        </w:rPr>
        <w:t>Quaestiones in tertium De anima</w:t>
      </w:r>
      <w:r>
        <w:t xml:space="preserve"> 28.65‒70</w:t>
      </w:r>
      <w:r>
        <w:tab/>
        <w:t>283</w:t>
      </w:r>
    </w:p>
    <w:p w:rsidR="00AD7907" w:rsidRDefault="00AD7907" w:rsidP="00AD7907">
      <w:pPr>
        <w:pStyle w:val="Rejstk2"/>
        <w:tabs>
          <w:tab w:val="right" w:leader="dot" w:pos="4171"/>
        </w:tabs>
        <w:spacing w:line="240" w:lineRule="auto"/>
        <w:ind w:left="242"/>
      </w:pPr>
      <w:r w:rsidRPr="004B4DFF">
        <w:rPr>
          <w:i/>
        </w:rPr>
        <w:t xml:space="preserve">Quaestiones in tertium De anima </w:t>
      </w:r>
      <w:r>
        <w:t>28.70‒76</w:t>
      </w:r>
      <w:r>
        <w:tab/>
        <w:t>287, 407</w:t>
      </w:r>
    </w:p>
    <w:p w:rsidR="00AD7907" w:rsidRDefault="00AD7907" w:rsidP="00AD7907">
      <w:pPr>
        <w:pStyle w:val="Rejstk2"/>
        <w:tabs>
          <w:tab w:val="right" w:leader="dot" w:pos="4171"/>
        </w:tabs>
        <w:spacing w:line="240" w:lineRule="auto"/>
        <w:ind w:left="242"/>
      </w:pPr>
      <w:r w:rsidRPr="004B4DFF">
        <w:rPr>
          <w:i/>
        </w:rPr>
        <w:t xml:space="preserve">Quaestiones in tertium De anima </w:t>
      </w:r>
      <w:r>
        <w:t>29.97‒101</w:t>
      </w:r>
      <w:r>
        <w:tab/>
        <w:t>291</w:t>
      </w:r>
    </w:p>
    <w:p w:rsidR="00AD7907" w:rsidRDefault="00AD7907" w:rsidP="00AD7907">
      <w:pPr>
        <w:pStyle w:val="Rejstk2"/>
        <w:tabs>
          <w:tab w:val="right" w:leader="dot" w:pos="4171"/>
        </w:tabs>
        <w:spacing w:line="240" w:lineRule="auto"/>
        <w:ind w:left="242"/>
      </w:pPr>
      <w:r w:rsidRPr="004B4DFF">
        <w:rPr>
          <w:i/>
        </w:rPr>
        <w:t>Quaestiones in tertium De anima</w:t>
      </w:r>
      <w:r>
        <w:t xml:space="preserve"> 3.39</w:t>
      </w:r>
      <w:r>
        <w:tab/>
        <w:t>249</w:t>
      </w:r>
    </w:p>
    <w:p w:rsidR="00AD7907" w:rsidRDefault="00AD7907" w:rsidP="00AD7907">
      <w:pPr>
        <w:pStyle w:val="Rejstk2"/>
        <w:tabs>
          <w:tab w:val="right" w:leader="dot" w:pos="4171"/>
        </w:tabs>
        <w:spacing w:line="240" w:lineRule="auto"/>
        <w:ind w:left="242"/>
      </w:pPr>
      <w:r w:rsidRPr="004B4DFF">
        <w:rPr>
          <w:i/>
        </w:rPr>
        <w:t>Quaestiones in tertium De anima</w:t>
      </w:r>
      <w:r>
        <w:t xml:space="preserve"> 3.48‒49</w:t>
      </w:r>
      <w:r>
        <w:tab/>
        <w:t>244</w:t>
      </w:r>
    </w:p>
    <w:p w:rsidR="00AD7907" w:rsidRDefault="00AD7907" w:rsidP="00AD7907">
      <w:pPr>
        <w:pStyle w:val="Rejstk2"/>
        <w:tabs>
          <w:tab w:val="right" w:leader="dot" w:pos="4171"/>
        </w:tabs>
        <w:spacing w:line="240" w:lineRule="auto"/>
        <w:ind w:left="242"/>
      </w:pPr>
      <w:r w:rsidRPr="004B4DFF">
        <w:rPr>
          <w:i/>
        </w:rPr>
        <w:t>Quaestiones in tertium De anima</w:t>
      </w:r>
      <w:r>
        <w:t xml:space="preserve"> 3.58‒64</w:t>
      </w:r>
      <w:r>
        <w:tab/>
        <w:t>245</w:t>
      </w:r>
    </w:p>
    <w:p w:rsidR="00AD7907" w:rsidRDefault="00AD7907" w:rsidP="00AD7907">
      <w:pPr>
        <w:pStyle w:val="Rejstk2"/>
        <w:tabs>
          <w:tab w:val="right" w:leader="dot" w:pos="4171"/>
        </w:tabs>
        <w:spacing w:line="240" w:lineRule="auto"/>
        <w:ind w:left="242"/>
      </w:pPr>
      <w:r w:rsidRPr="004B4DFF">
        <w:rPr>
          <w:i/>
        </w:rPr>
        <w:t>Quaestiones in tertium De anima</w:t>
      </w:r>
      <w:r>
        <w:t xml:space="preserve"> 3.65‒68</w:t>
      </w:r>
      <w:r>
        <w:tab/>
        <w:t>246</w:t>
      </w:r>
    </w:p>
    <w:p w:rsidR="00AD7907" w:rsidRDefault="00AD7907" w:rsidP="00AD7907">
      <w:pPr>
        <w:pStyle w:val="Rejstk2"/>
        <w:tabs>
          <w:tab w:val="right" w:leader="dot" w:pos="4171"/>
        </w:tabs>
        <w:spacing w:line="240" w:lineRule="auto"/>
        <w:ind w:left="242"/>
      </w:pPr>
      <w:r w:rsidRPr="004B4DFF">
        <w:rPr>
          <w:i/>
        </w:rPr>
        <w:t>Quaestiones in tertium De anima</w:t>
      </w:r>
      <w:r>
        <w:t xml:space="preserve"> 34.101‒35.5</w:t>
      </w:r>
      <w:r>
        <w:tab/>
        <w:t>298</w:t>
      </w:r>
    </w:p>
    <w:p w:rsidR="00AD7907" w:rsidRDefault="00AD7907" w:rsidP="00AD7907">
      <w:pPr>
        <w:pStyle w:val="Rejstk2"/>
        <w:tabs>
          <w:tab w:val="right" w:leader="dot" w:pos="4171"/>
        </w:tabs>
        <w:spacing w:line="240" w:lineRule="auto"/>
        <w:ind w:left="242"/>
      </w:pPr>
      <w:r w:rsidRPr="004B4DFF">
        <w:rPr>
          <w:i/>
        </w:rPr>
        <w:t>Quaestiones in tertium De anima</w:t>
      </w:r>
      <w:r>
        <w:t xml:space="preserve"> 39.102‒107</w:t>
      </w:r>
      <w:r>
        <w:tab/>
        <w:t>293</w:t>
      </w:r>
    </w:p>
    <w:p w:rsidR="00AD7907" w:rsidRDefault="00AD7907" w:rsidP="00AD7907">
      <w:pPr>
        <w:pStyle w:val="Rejstk2"/>
        <w:tabs>
          <w:tab w:val="right" w:leader="dot" w:pos="4171"/>
        </w:tabs>
        <w:spacing w:line="240" w:lineRule="auto"/>
        <w:ind w:left="242"/>
      </w:pPr>
      <w:r w:rsidRPr="004B4DFF">
        <w:rPr>
          <w:i/>
        </w:rPr>
        <w:t>Quaestiones in tertium De anima</w:t>
      </w:r>
      <w:r>
        <w:t xml:space="preserve"> 39.9‒13</w:t>
      </w:r>
      <w:r>
        <w:tab/>
        <w:t>295</w:t>
      </w:r>
    </w:p>
    <w:p w:rsidR="00AD7907" w:rsidRDefault="00AD7907" w:rsidP="00AD7907">
      <w:pPr>
        <w:pStyle w:val="Rejstk2"/>
        <w:tabs>
          <w:tab w:val="right" w:leader="dot" w:pos="4171"/>
        </w:tabs>
        <w:spacing w:line="240" w:lineRule="auto"/>
        <w:ind w:left="242"/>
      </w:pPr>
      <w:r w:rsidRPr="004B4DFF">
        <w:rPr>
          <w:i/>
        </w:rPr>
        <w:t>Quaestiones in tertium De anima</w:t>
      </w:r>
      <w:r>
        <w:t xml:space="preserve"> 40.14‒17</w:t>
      </w:r>
      <w:r>
        <w:tab/>
        <w:t>296</w:t>
      </w:r>
    </w:p>
    <w:p w:rsidR="00AD7907" w:rsidRDefault="00AD7907" w:rsidP="00AD7907">
      <w:pPr>
        <w:pStyle w:val="Rejstk2"/>
        <w:tabs>
          <w:tab w:val="right" w:leader="dot" w:pos="4171"/>
        </w:tabs>
        <w:spacing w:line="240" w:lineRule="auto"/>
        <w:ind w:left="242"/>
      </w:pPr>
      <w:r w:rsidRPr="004B4DFF">
        <w:rPr>
          <w:i/>
        </w:rPr>
        <w:t>Quaestiones in tertium De anima</w:t>
      </w:r>
      <w:r>
        <w:t xml:space="preserve"> 43.94</w:t>
      </w:r>
      <w:r w:rsidRPr="004B4DFF">
        <w:rPr>
          <w:rFonts w:ascii="Arial" w:hAnsi="Arial" w:cs="Arial"/>
        </w:rPr>
        <w:t>‒</w:t>
      </w:r>
      <w:r>
        <w:t>96</w:t>
      </w:r>
      <w:r>
        <w:tab/>
        <w:t>297</w:t>
      </w:r>
    </w:p>
    <w:p w:rsidR="00AD7907" w:rsidRDefault="00AD7907" w:rsidP="00AD7907">
      <w:pPr>
        <w:pStyle w:val="Rejstk2"/>
        <w:tabs>
          <w:tab w:val="right" w:leader="dot" w:pos="4171"/>
        </w:tabs>
        <w:spacing w:line="240" w:lineRule="auto"/>
        <w:ind w:left="242"/>
      </w:pPr>
      <w:r w:rsidRPr="004B4DFF">
        <w:rPr>
          <w:i/>
        </w:rPr>
        <w:t>Quaestiones in tertium De anima</w:t>
      </w:r>
      <w:r>
        <w:t xml:space="preserve"> 46.7‒10</w:t>
      </w:r>
      <w:r>
        <w:tab/>
        <w:t>298</w:t>
      </w:r>
    </w:p>
    <w:p w:rsidR="00AD7907" w:rsidRDefault="00AD7907" w:rsidP="00AD7907">
      <w:pPr>
        <w:pStyle w:val="Rejstk2"/>
        <w:tabs>
          <w:tab w:val="right" w:leader="dot" w:pos="4171"/>
        </w:tabs>
        <w:spacing w:line="240" w:lineRule="auto"/>
        <w:ind w:left="242"/>
      </w:pPr>
      <w:r w:rsidRPr="004B4DFF">
        <w:rPr>
          <w:i/>
        </w:rPr>
        <w:t>Quaestiones in tertium De anima</w:t>
      </w:r>
      <w:r>
        <w:t xml:space="preserve"> 47.28‒36</w:t>
      </w:r>
      <w:r>
        <w:tab/>
        <w:t>299</w:t>
      </w:r>
    </w:p>
    <w:p w:rsidR="00AD7907" w:rsidRDefault="00AD7907" w:rsidP="00AD7907">
      <w:pPr>
        <w:pStyle w:val="Rejstk2"/>
        <w:tabs>
          <w:tab w:val="right" w:leader="dot" w:pos="4171"/>
        </w:tabs>
        <w:spacing w:line="240" w:lineRule="auto"/>
        <w:ind w:left="242"/>
      </w:pPr>
      <w:r w:rsidRPr="004B4DFF">
        <w:rPr>
          <w:i/>
        </w:rPr>
        <w:t>Quaestiones in tertium De anima</w:t>
      </w:r>
      <w:r>
        <w:t xml:space="preserve"> 5.36‒41</w:t>
      </w:r>
      <w:r>
        <w:tab/>
        <w:t>247</w:t>
      </w:r>
    </w:p>
    <w:p w:rsidR="00AD7907" w:rsidRDefault="00AD7907" w:rsidP="00AD7907">
      <w:pPr>
        <w:pStyle w:val="Rejstk2"/>
        <w:tabs>
          <w:tab w:val="right" w:leader="dot" w:pos="4171"/>
        </w:tabs>
        <w:spacing w:line="240" w:lineRule="auto"/>
        <w:ind w:left="242"/>
      </w:pPr>
      <w:r w:rsidRPr="004B4DFF">
        <w:rPr>
          <w:i/>
        </w:rPr>
        <w:t>Quaestiones in tertium De anima</w:t>
      </w:r>
      <w:r>
        <w:t xml:space="preserve"> 52.78‒84</w:t>
      </w:r>
      <w:r>
        <w:tab/>
        <w:t>303</w:t>
      </w:r>
    </w:p>
    <w:p w:rsidR="00AD7907" w:rsidRDefault="00AD7907" w:rsidP="00AD7907">
      <w:pPr>
        <w:pStyle w:val="Rejstk2"/>
        <w:tabs>
          <w:tab w:val="right" w:leader="dot" w:pos="4171"/>
        </w:tabs>
        <w:spacing w:line="240" w:lineRule="auto"/>
        <w:ind w:left="242"/>
      </w:pPr>
      <w:r w:rsidRPr="004B4DFF">
        <w:rPr>
          <w:i/>
        </w:rPr>
        <w:t>Quaestiones in tertium De anima</w:t>
      </w:r>
      <w:r>
        <w:t xml:space="preserve"> 56.60‒61</w:t>
      </w:r>
      <w:r>
        <w:tab/>
        <w:t>446</w:t>
      </w:r>
    </w:p>
    <w:p w:rsidR="00AD7907" w:rsidRDefault="00AD7907" w:rsidP="00AD7907">
      <w:pPr>
        <w:pStyle w:val="Rejstk2"/>
        <w:tabs>
          <w:tab w:val="right" w:leader="dot" w:pos="4171"/>
        </w:tabs>
        <w:spacing w:line="240" w:lineRule="auto"/>
        <w:ind w:left="242"/>
      </w:pPr>
      <w:r w:rsidRPr="004B4DFF">
        <w:rPr>
          <w:i/>
        </w:rPr>
        <w:t xml:space="preserve">Quaestiones in tertium De anima </w:t>
      </w:r>
      <w:r>
        <w:t>56.60‒71</w:t>
      </w:r>
      <w:r>
        <w:tab/>
        <w:t>349</w:t>
      </w:r>
    </w:p>
    <w:p w:rsidR="00AD7907" w:rsidRDefault="00AD7907" w:rsidP="00AD7907">
      <w:pPr>
        <w:pStyle w:val="Rejstk2"/>
        <w:tabs>
          <w:tab w:val="right" w:leader="dot" w:pos="4171"/>
        </w:tabs>
        <w:spacing w:line="240" w:lineRule="auto"/>
        <w:ind w:left="242"/>
      </w:pPr>
      <w:r w:rsidRPr="004B4DFF">
        <w:rPr>
          <w:i/>
        </w:rPr>
        <w:t>Quaestiones in tertium De anima</w:t>
      </w:r>
      <w:r>
        <w:t xml:space="preserve"> 57.18‒58.23</w:t>
      </w:r>
      <w:r>
        <w:tab/>
        <w:t>309</w:t>
      </w:r>
    </w:p>
    <w:p w:rsidR="00AD7907" w:rsidRDefault="00AD7907" w:rsidP="00AD7907">
      <w:pPr>
        <w:pStyle w:val="Rejstk2"/>
        <w:tabs>
          <w:tab w:val="right" w:leader="dot" w:pos="4171"/>
        </w:tabs>
        <w:spacing w:line="240" w:lineRule="auto"/>
        <w:ind w:left="242"/>
      </w:pPr>
      <w:r w:rsidRPr="004B4DFF">
        <w:rPr>
          <w:i/>
        </w:rPr>
        <w:lastRenderedPageBreak/>
        <w:t>Quaestiones in tertium De anima</w:t>
      </w:r>
      <w:r>
        <w:t xml:space="preserve"> 58.42‒48</w:t>
      </w:r>
      <w:r>
        <w:tab/>
        <w:t>310</w:t>
      </w:r>
    </w:p>
    <w:p w:rsidR="00AD7907" w:rsidRDefault="00AD7907" w:rsidP="00AD7907">
      <w:pPr>
        <w:pStyle w:val="Rejstk2"/>
        <w:tabs>
          <w:tab w:val="right" w:leader="dot" w:pos="4171"/>
        </w:tabs>
        <w:spacing w:line="240" w:lineRule="auto"/>
        <w:ind w:left="242"/>
      </w:pPr>
      <w:r w:rsidRPr="004B4DFF">
        <w:rPr>
          <w:i/>
        </w:rPr>
        <w:t>Quaestiones in tertium De anima</w:t>
      </w:r>
      <w:r>
        <w:t xml:space="preserve"> 6.55‒61</w:t>
      </w:r>
      <w:r>
        <w:tab/>
        <w:t>249</w:t>
      </w:r>
    </w:p>
    <w:p w:rsidR="00AD7907" w:rsidRDefault="00AD7907" w:rsidP="00AD7907">
      <w:pPr>
        <w:pStyle w:val="Rejstk2"/>
        <w:tabs>
          <w:tab w:val="right" w:leader="dot" w:pos="4171"/>
        </w:tabs>
        <w:spacing w:line="240" w:lineRule="auto"/>
        <w:ind w:left="242"/>
      </w:pPr>
      <w:r>
        <w:t>Quaestiones in tertium De anima 66.55‒61</w:t>
      </w:r>
      <w:r>
        <w:tab/>
        <w:t>298</w:t>
      </w:r>
    </w:p>
    <w:p w:rsidR="00AD7907" w:rsidRDefault="00AD7907" w:rsidP="00AD7907">
      <w:pPr>
        <w:pStyle w:val="Rejstk2"/>
        <w:tabs>
          <w:tab w:val="right" w:leader="dot" w:pos="4171"/>
        </w:tabs>
        <w:spacing w:line="240" w:lineRule="auto"/>
        <w:ind w:left="242"/>
      </w:pPr>
      <w:r w:rsidRPr="004B4DFF">
        <w:rPr>
          <w:i/>
        </w:rPr>
        <w:t xml:space="preserve">Quaestiones in tertium De anima </w:t>
      </w:r>
      <w:r>
        <w:t>68.10‒69.13</w:t>
      </w:r>
      <w:r>
        <w:tab/>
        <w:t>258</w:t>
      </w:r>
    </w:p>
    <w:p w:rsidR="00AD7907" w:rsidRDefault="00AD7907" w:rsidP="00AD7907">
      <w:pPr>
        <w:pStyle w:val="Rejstk2"/>
        <w:tabs>
          <w:tab w:val="right" w:leader="dot" w:pos="4171"/>
        </w:tabs>
        <w:spacing w:line="240" w:lineRule="auto"/>
        <w:ind w:left="242"/>
      </w:pPr>
      <w:r w:rsidRPr="004B4DFF">
        <w:rPr>
          <w:i/>
        </w:rPr>
        <w:t>Quaestiones in tertium De anima</w:t>
      </w:r>
      <w:r>
        <w:t xml:space="preserve"> 7.70‒75</w:t>
      </w:r>
      <w:r>
        <w:tab/>
        <w:t>251</w:t>
      </w:r>
    </w:p>
    <w:p w:rsidR="00AD7907" w:rsidRDefault="00AD7907" w:rsidP="00AD7907">
      <w:pPr>
        <w:pStyle w:val="Rejstk2"/>
        <w:tabs>
          <w:tab w:val="right" w:leader="dot" w:pos="4171"/>
        </w:tabs>
        <w:spacing w:line="240" w:lineRule="auto"/>
        <w:ind w:left="242"/>
      </w:pPr>
      <w:r w:rsidRPr="004B4DFF">
        <w:rPr>
          <w:i/>
        </w:rPr>
        <w:t>Quaestiones in tertium De anima</w:t>
      </w:r>
      <w:r>
        <w:t xml:space="preserve"> 7.76‒80</w:t>
      </w:r>
      <w:r>
        <w:tab/>
        <w:t>253</w:t>
      </w:r>
    </w:p>
    <w:p w:rsidR="00AD7907" w:rsidRDefault="00AD7907" w:rsidP="00AD7907">
      <w:pPr>
        <w:pStyle w:val="Rejstk2"/>
        <w:tabs>
          <w:tab w:val="right" w:leader="dot" w:pos="4171"/>
        </w:tabs>
        <w:spacing w:line="240" w:lineRule="auto"/>
        <w:ind w:left="242"/>
      </w:pPr>
      <w:r w:rsidRPr="004B4DFF">
        <w:rPr>
          <w:i/>
        </w:rPr>
        <w:t xml:space="preserve">Quaestiones in tertium De anima </w:t>
      </w:r>
      <w:r>
        <w:t>7.81‒85</w:t>
      </w:r>
      <w:r>
        <w:tab/>
        <w:t>254</w:t>
      </w:r>
    </w:p>
    <w:p w:rsidR="00AD7907" w:rsidRDefault="00AD7907" w:rsidP="00AD7907">
      <w:pPr>
        <w:pStyle w:val="Rejstk2"/>
        <w:tabs>
          <w:tab w:val="right" w:leader="dot" w:pos="4171"/>
        </w:tabs>
        <w:spacing w:line="240" w:lineRule="auto"/>
        <w:ind w:left="242"/>
      </w:pPr>
      <w:r w:rsidRPr="004B4DFF">
        <w:rPr>
          <w:i/>
        </w:rPr>
        <w:t xml:space="preserve">Quaestiones in tertium De anima </w:t>
      </w:r>
      <w:r>
        <w:t>8.94‒99</w:t>
      </w:r>
      <w:r>
        <w:tab/>
        <w:t>255</w:t>
      </w:r>
    </w:p>
    <w:p w:rsidR="00AD7907" w:rsidRDefault="00AD7907" w:rsidP="00AD7907">
      <w:pPr>
        <w:pStyle w:val="Rejstk2"/>
        <w:tabs>
          <w:tab w:val="right" w:leader="dot" w:pos="4171"/>
        </w:tabs>
        <w:spacing w:line="240" w:lineRule="auto"/>
        <w:ind w:left="242"/>
      </w:pPr>
      <w:r w:rsidRPr="004B4DFF">
        <w:rPr>
          <w:i/>
        </w:rPr>
        <w:t>Quaestiones in tertium De anima</w:t>
      </w:r>
      <w:r>
        <w:t xml:space="preserve"> 9.23‒26</w:t>
      </w:r>
      <w:r>
        <w:tab/>
        <w:t>249</w:t>
      </w:r>
    </w:p>
    <w:p w:rsidR="00AD7907" w:rsidRDefault="00AD7907" w:rsidP="00AD7907">
      <w:pPr>
        <w:pStyle w:val="Rejstk2"/>
        <w:tabs>
          <w:tab w:val="right" w:leader="dot" w:pos="4171"/>
        </w:tabs>
        <w:spacing w:line="240" w:lineRule="auto"/>
        <w:ind w:left="242"/>
      </w:pPr>
      <w:r w:rsidRPr="004B4DFF">
        <w:rPr>
          <w:i/>
        </w:rPr>
        <w:t>Quaestiones in tertium De anima</w:t>
      </w:r>
      <w:r>
        <w:t xml:space="preserve"> 9.39‒40</w:t>
      </w:r>
      <w:r>
        <w:tab/>
        <w:t>250</w:t>
      </w:r>
    </w:p>
    <w:p w:rsidR="00AD7907" w:rsidRDefault="00AD7907" w:rsidP="00AD7907">
      <w:pPr>
        <w:pStyle w:val="Rejstk2"/>
        <w:tabs>
          <w:tab w:val="right" w:leader="dot" w:pos="4171"/>
        </w:tabs>
        <w:spacing w:line="240" w:lineRule="auto"/>
        <w:ind w:left="242"/>
      </w:pPr>
      <w:r w:rsidRPr="004B4DFF">
        <w:rPr>
          <w:i/>
        </w:rPr>
        <w:t>Quaestiones super Librum de causis</w:t>
      </w:r>
      <w:r>
        <w:t xml:space="preserve"> 105.65‒74</w:t>
      </w:r>
      <w:r>
        <w:tab/>
        <w:t>465</w:t>
      </w:r>
    </w:p>
    <w:p w:rsidR="00AD7907" w:rsidRDefault="00AD7907" w:rsidP="00AD7907">
      <w:pPr>
        <w:pStyle w:val="Rejstk2"/>
        <w:tabs>
          <w:tab w:val="right" w:leader="dot" w:pos="4171"/>
        </w:tabs>
        <w:spacing w:line="240" w:lineRule="auto"/>
        <w:ind w:left="242"/>
      </w:pPr>
      <w:r w:rsidRPr="004B4DFF">
        <w:rPr>
          <w:i/>
        </w:rPr>
        <w:t>Quaestiones super Librum de causis</w:t>
      </w:r>
      <w:r>
        <w:t xml:space="preserve"> 106.106‒109</w:t>
      </w:r>
      <w:r>
        <w:tab/>
        <w:t>467</w:t>
      </w:r>
    </w:p>
    <w:p w:rsidR="00AD7907" w:rsidRDefault="00AD7907" w:rsidP="00AD7907">
      <w:pPr>
        <w:pStyle w:val="Rejstk2"/>
        <w:tabs>
          <w:tab w:val="right" w:leader="dot" w:pos="4171"/>
        </w:tabs>
        <w:spacing w:line="240" w:lineRule="auto"/>
        <w:ind w:left="242"/>
      </w:pPr>
      <w:r w:rsidRPr="004B4DFF">
        <w:rPr>
          <w:i/>
        </w:rPr>
        <w:t>Quaestiones super Librum de causis</w:t>
      </w:r>
      <w:r>
        <w:t xml:space="preserve"> 110.65‒72</w:t>
      </w:r>
      <w:r>
        <w:tab/>
        <w:t>285</w:t>
      </w:r>
    </w:p>
    <w:p w:rsidR="00AD7907" w:rsidRDefault="00AD7907" w:rsidP="00AD7907">
      <w:pPr>
        <w:pStyle w:val="Rejstk2"/>
        <w:tabs>
          <w:tab w:val="right" w:leader="dot" w:pos="4171"/>
        </w:tabs>
        <w:spacing w:line="240" w:lineRule="auto"/>
        <w:ind w:left="242"/>
      </w:pPr>
      <w:r w:rsidRPr="004B4DFF">
        <w:rPr>
          <w:i/>
        </w:rPr>
        <w:t xml:space="preserve">Quaestiones super Librum de causis </w:t>
      </w:r>
      <w:r>
        <w:t>112.136‒46</w:t>
      </w:r>
      <w:r>
        <w:tab/>
        <w:t>359</w:t>
      </w:r>
    </w:p>
    <w:p w:rsidR="00AD7907" w:rsidRDefault="00AD7907" w:rsidP="00AD7907">
      <w:pPr>
        <w:pStyle w:val="Rejstk2"/>
        <w:tabs>
          <w:tab w:val="right" w:leader="dot" w:pos="4171"/>
        </w:tabs>
        <w:spacing w:line="240" w:lineRule="auto"/>
        <w:ind w:left="242"/>
      </w:pPr>
      <w:r w:rsidRPr="004B4DFF">
        <w:rPr>
          <w:i/>
        </w:rPr>
        <w:t>Quaestiones super Librum de causis</w:t>
      </w:r>
      <w:r>
        <w:t xml:space="preserve"> 112.147‒52</w:t>
      </w:r>
      <w:r>
        <w:tab/>
        <w:t>360</w:t>
      </w:r>
    </w:p>
    <w:p w:rsidR="00AD7907" w:rsidRDefault="00AD7907" w:rsidP="00AD7907">
      <w:pPr>
        <w:pStyle w:val="Rejstk2"/>
        <w:tabs>
          <w:tab w:val="right" w:leader="dot" w:pos="4171"/>
        </w:tabs>
        <w:spacing w:line="240" w:lineRule="auto"/>
        <w:ind w:left="242"/>
      </w:pPr>
      <w:r w:rsidRPr="004B4DFF">
        <w:rPr>
          <w:i/>
        </w:rPr>
        <w:t xml:space="preserve">Quaestiones super Librum de causis </w:t>
      </w:r>
      <w:r>
        <w:t>84.26‒32</w:t>
      </w:r>
      <w:r>
        <w:tab/>
        <w:t>252</w:t>
      </w:r>
    </w:p>
    <w:p w:rsidR="00AD7907" w:rsidRDefault="00AD7907" w:rsidP="00AD7907">
      <w:pPr>
        <w:pStyle w:val="Rejstk2"/>
        <w:tabs>
          <w:tab w:val="right" w:leader="dot" w:pos="4171"/>
        </w:tabs>
        <w:ind w:left="0" w:firstLine="0"/>
      </w:pPr>
      <w:r w:rsidRPr="004B4DFF">
        <w:rPr>
          <w:i/>
        </w:rPr>
        <w:t xml:space="preserve">Quaestiones super Librum de causis </w:t>
      </w:r>
      <w:r>
        <w:t>87.104‒107</w:t>
      </w:r>
      <w:r>
        <w:tab/>
        <w:t>252</w:t>
      </w:r>
    </w:p>
    <w:p w:rsidR="00AD7907" w:rsidRDefault="00AD7907" w:rsidP="00AD7907">
      <w:pPr>
        <w:pStyle w:val="Rejstk2"/>
        <w:tabs>
          <w:tab w:val="right" w:leader="dot" w:pos="4171"/>
        </w:tabs>
        <w:ind w:left="0" w:firstLine="0"/>
      </w:pPr>
    </w:p>
    <w:p w:rsidR="00AD7907" w:rsidRPr="009D43F1" w:rsidRDefault="00AD7907" w:rsidP="00AD7907">
      <w:pPr>
        <w:pStyle w:val="Rejstk2"/>
        <w:tabs>
          <w:tab w:val="right" w:leader="dot" w:pos="4171"/>
        </w:tabs>
        <w:ind w:left="0" w:firstLine="0"/>
      </w:pPr>
      <w:r w:rsidRPr="008757E5">
        <w:rPr>
          <w:b/>
          <w:lang w:val="de-LU"/>
        </w:rPr>
        <w:t>Simplikios</w:t>
      </w:r>
    </w:p>
    <w:p w:rsidR="00AD7907" w:rsidRDefault="00AD7907" w:rsidP="00AD7907">
      <w:pPr>
        <w:pStyle w:val="Rejstk2"/>
        <w:tabs>
          <w:tab w:val="right" w:leader="dot" w:pos="4171"/>
        </w:tabs>
        <w:spacing w:line="240" w:lineRule="auto"/>
        <w:ind w:left="242"/>
      </w:pPr>
      <w:r w:rsidRPr="004B4DFF">
        <w:rPr>
          <w:i/>
        </w:rPr>
        <w:t>In Simpl. Cat</w:t>
      </w:r>
      <w:r>
        <w:t>. 163.31</w:t>
      </w:r>
      <w:r>
        <w:tab/>
        <w:t>615</w:t>
      </w:r>
    </w:p>
    <w:p w:rsidR="00AD7907" w:rsidRDefault="00AD7907" w:rsidP="00AD7907">
      <w:pPr>
        <w:pStyle w:val="Rejstk2"/>
        <w:tabs>
          <w:tab w:val="right" w:leader="dot" w:pos="4171"/>
        </w:tabs>
        <w:spacing w:line="240" w:lineRule="auto"/>
        <w:ind w:left="242"/>
        <w:rPr>
          <w:lang w:val="de-LU"/>
        </w:rPr>
      </w:pPr>
      <w:r w:rsidRPr="00C018BD">
        <w:rPr>
          <w:i/>
          <w:lang w:val="de-LU"/>
        </w:rPr>
        <w:t>In Simpl. Cat</w:t>
      </w:r>
      <w:r>
        <w:rPr>
          <w:lang w:val="de-LU"/>
        </w:rPr>
        <w:t>. 61.9‒10</w:t>
      </w:r>
      <w:r>
        <w:rPr>
          <w:lang w:val="de-LU"/>
        </w:rPr>
        <w:tab/>
        <w:t>617</w:t>
      </w:r>
    </w:p>
    <w:p w:rsidR="00AD7907" w:rsidRDefault="00AD7907" w:rsidP="00AD7907">
      <w:pPr>
        <w:pStyle w:val="Rejstk2"/>
        <w:tabs>
          <w:tab w:val="right" w:leader="dot" w:pos="4171"/>
        </w:tabs>
        <w:spacing w:line="240" w:lineRule="auto"/>
        <w:ind w:left="242"/>
      </w:pPr>
      <w:r w:rsidRPr="004B4DFF">
        <w:rPr>
          <w:i/>
        </w:rPr>
        <w:t>In Simpl. Cat</w:t>
      </w:r>
      <w:r>
        <w:t>. 85.10</w:t>
      </w:r>
      <w:r>
        <w:tab/>
        <w:t>666</w:t>
      </w:r>
    </w:p>
    <w:p w:rsidR="00AD7907" w:rsidRDefault="00AD7907" w:rsidP="00AD7907">
      <w:pPr>
        <w:pStyle w:val="Rejstk2"/>
        <w:tabs>
          <w:tab w:val="right" w:leader="dot" w:pos="4171"/>
        </w:tabs>
        <w:ind w:left="238"/>
      </w:pPr>
      <w:r w:rsidRPr="004B4DFF">
        <w:rPr>
          <w:i/>
        </w:rPr>
        <w:t>In Simpl. Cat</w:t>
      </w:r>
      <w:r>
        <w:t>. 85.11</w:t>
      </w:r>
      <w:r>
        <w:tab/>
        <w:t>666</w:t>
      </w:r>
    </w:p>
    <w:p w:rsidR="00AD7907" w:rsidRDefault="00AD7907" w:rsidP="00AD7907">
      <w:pPr>
        <w:pStyle w:val="Rejstk2"/>
        <w:tabs>
          <w:tab w:val="right" w:leader="dot" w:pos="4171"/>
        </w:tabs>
        <w:ind w:left="238"/>
        <w:rPr>
          <w:b/>
          <w:lang w:val="de-LU"/>
        </w:rPr>
      </w:pPr>
    </w:p>
    <w:p w:rsidR="00AD7907" w:rsidRPr="009D43F1" w:rsidRDefault="00AD7907" w:rsidP="00AD7907">
      <w:pPr>
        <w:pStyle w:val="Rejstk2"/>
        <w:tabs>
          <w:tab w:val="right" w:leader="dot" w:pos="4171"/>
        </w:tabs>
        <w:ind w:left="238"/>
      </w:pPr>
      <w:r w:rsidRPr="008757E5">
        <w:rPr>
          <w:b/>
          <w:lang w:val="de-LU"/>
        </w:rPr>
        <w:t>Sophokles</w:t>
      </w:r>
    </w:p>
    <w:p w:rsidR="00AD7907" w:rsidRDefault="00AD7907" w:rsidP="00AD7907">
      <w:pPr>
        <w:pStyle w:val="Rejstk2"/>
        <w:tabs>
          <w:tab w:val="right" w:leader="dot" w:pos="4171"/>
        </w:tabs>
        <w:spacing w:line="240" w:lineRule="auto"/>
        <w:ind w:left="242"/>
      </w:pPr>
      <w:r w:rsidRPr="004B4DFF">
        <w:rPr>
          <w:i/>
        </w:rPr>
        <w:t>Oedipus tyrannus</w:t>
      </w:r>
      <w:r>
        <w:t xml:space="preserve"> 1229‒31</w:t>
      </w:r>
      <w:r>
        <w:tab/>
        <w:t>940</w:t>
      </w:r>
    </w:p>
    <w:p w:rsidR="00AD7907" w:rsidRDefault="00AD7907" w:rsidP="00AD7907">
      <w:pPr>
        <w:pStyle w:val="Rejstk2"/>
        <w:tabs>
          <w:tab w:val="right" w:leader="dot" w:pos="4171"/>
        </w:tabs>
        <w:spacing w:line="240" w:lineRule="auto"/>
        <w:ind w:left="242"/>
      </w:pPr>
      <w:r w:rsidRPr="004B4DFF">
        <w:rPr>
          <w:i/>
        </w:rPr>
        <w:t>Oedipus tyrannus</w:t>
      </w:r>
      <w:r>
        <w:t xml:space="preserve"> 362</w:t>
      </w:r>
      <w:r>
        <w:tab/>
        <w:t>940</w:t>
      </w:r>
    </w:p>
    <w:p w:rsidR="00AD7907" w:rsidRDefault="00AD7907" w:rsidP="00AD7907">
      <w:pPr>
        <w:pStyle w:val="Rejstk2"/>
        <w:tabs>
          <w:tab w:val="right" w:leader="dot" w:pos="4171"/>
        </w:tabs>
        <w:ind w:left="238"/>
      </w:pPr>
      <w:r w:rsidRPr="004B4DFF">
        <w:rPr>
          <w:i/>
        </w:rPr>
        <w:t>Oedipus tyrannus</w:t>
      </w:r>
      <w:r>
        <w:t xml:space="preserve"> 380‒81</w:t>
      </w:r>
      <w:r>
        <w:tab/>
        <w:t>940</w:t>
      </w:r>
    </w:p>
    <w:p w:rsidR="00AD7907" w:rsidRDefault="00AD7907" w:rsidP="00AD7907">
      <w:pPr>
        <w:pStyle w:val="Rejstk2"/>
        <w:tabs>
          <w:tab w:val="right" w:leader="dot" w:pos="4171"/>
        </w:tabs>
        <w:ind w:left="238"/>
        <w:rPr>
          <w:b/>
          <w:lang w:val="de-LU"/>
        </w:rPr>
      </w:pPr>
    </w:p>
    <w:p w:rsidR="00AD7907" w:rsidRPr="009D43F1" w:rsidRDefault="00AD7907" w:rsidP="00AD7907">
      <w:pPr>
        <w:pStyle w:val="Rejstk2"/>
        <w:tabs>
          <w:tab w:val="right" w:leader="dot" w:pos="4171"/>
        </w:tabs>
        <w:ind w:left="238"/>
      </w:pPr>
      <w:r w:rsidRPr="008757E5">
        <w:rPr>
          <w:b/>
          <w:lang w:val="de-LU"/>
        </w:rPr>
        <w:t>Baruch</w:t>
      </w:r>
      <w:r>
        <w:rPr>
          <w:b/>
          <w:lang w:val="de-LU"/>
        </w:rPr>
        <w:t xml:space="preserve"> Spinoza</w:t>
      </w:r>
      <w:r w:rsidRPr="008757E5">
        <w:rPr>
          <w:b/>
          <w:lang w:val="de-LU"/>
        </w:rPr>
        <w:t xml:space="preserve"> </w:t>
      </w:r>
    </w:p>
    <w:p w:rsidR="00AD7907" w:rsidRDefault="00AD7907" w:rsidP="00AD7907">
      <w:pPr>
        <w:pStyle w:val="Rejstk2"/>
        <w:tabs>
          <w:tab w:val="right" w:leader="dot" w:pos="4171"/>
        </w:tabs>
        <w:spacing w:line="240" w:lineRule="auto"/>
        <w:ind w:left="242"/>
        <w:rPr>
          <w:lang w:val="de-LU"/>
        </w:rPr>
      </w:pPr>
      <w:r w:rsidRPr="00C018BD">
        <w:rPr>
          <w:i/>
          <w:lang w:val="de-LU"/>
        </w:rPr>
        <w:t>Ethica</w:t>
      </w:r>
      <w:r>
        <w:rPr>
          <w:lang w:val="de-LU"/>
        </w:rPr>
        <w:t xml:space="preserve"> III, arg. 6</w:t>
      </w:r>
      <w:r>
        <w:rPr>
          <w:lang w:val="de-LU"/>
        </w:rPr>
        <w:tab/>
        <w:t>46</w:t>
      </w:r>
    </w:p>
    <w:p w:rsidR="00AD7907" w:rsidRDefault="00AD7907" w:rsidP="00AD7907">
      <w:pPr>
        <w:pStyle w:val="Rejstk2"/>
        <w:tabs>
          <w:tab w:val="right" w:leader="dot" w:pos="4171"/>
        </w:tabs>
        <w:ind w:left="242"/>
        <w:rPr>
          <w:lang w:val="de-LU"/>
        </w:rPr>
      </w:pPr>
      <w:r w:rsidRPr="00C018BD">
        <w:rPr>
          <w:i/>
          <w:lang w:val="de-LU"/>
        </w:rPr>
        <w:t xml:space="preserve">Opera </w:t>
      </w:r>
      <w:r>
        <w:rPr>
          <w:lang w:val="de-LU"/>
        </w:rPr>
        <w:t>4.240.10‒15</w:t>
      </w:r>
      <w:r>
        <w:rPr>
          <w:lang w:val="de-LU"/>
        </w:rPr>
        <w:tab/>
        <w:t>589</w:t>
      </w:r>
    </w:p>
    <w:p w:rsidR="00AD7907" w:rsidRDefault="00AD7907" w:rsidP="00AD7907">
      <w:pPr>
        <w:pStyle w:val="Rejstk2"/>
        <w:tabs>
          <w:tab w:val="right" w:leader="dot" w:pos="4171"/>
        </w:tabs>
        <w:ind w:left="242"/>
        <w:rPr>
          <w:b/>
          <w:lang w:val="de-LU"/>
        </w:rPr>
      </w:pPr>
    </w:p>
    <w:p w:rsidR="00AD7907" w:rsidRPr="009D43F1" w:rsidRDefault="00AD7907" w:rsidP="00AD7907">
      <w:pPr>
        <w:pStyle w:val="Rejstk2"/>
        <w:tabs>
          <w:tab w:val="right" w:leader="dot" w:pos="4171"/>
        </w:tabs>
        <w:ind w:left="242"/>
        <w:rPr>
          <w:lang w:val="de-LU"/>
        </w:rPr>
      </w:pPr>
      <w:r w:rsidRPr="006E00EA">
        <w:rPr>
          <w:b/>
          <w:lang w:val="de-LU"/>
        </w:rPr>
        <w:t xml:space="preserve">Francisco Suárez </w:t>
      </w:r>
    </w:p>
    <w:p w:rsidR="00AD7907" w:rsidRDefault="00AD7907" w:rsidP="00AD7907">
      <w:pPr>
        <w:pStyle w:val="Rejstk2"/>
        <w:tabs>
          <w:tab w:val="right" w:leader="dot" w:pos="4171"/>
        </w:tabs>
        <w:ind w:left="0" w:firstLine="0"/>
        <w:rPr>
          <w:lang w:val="de-LU"/>
        </w:rPr>
      </w:pPr>
      <w:r w:rsidRPr="00C018BD">
        <w:rPr>
          <w:rFonts w:eastAsia="Batang"/>
          <w:i/>
          <w:iCs/>
          <w:lang w:val="de-LU"/>
        </w:rPr>
        <w:t>Disputationes Metaphysicae</w:t>
      </w:r>
      <w:r w:rsidRPr="00C018BD">
        <w:rPr>
          <w:rFonts w:eastAsia="Batang"/>
          <w:lang w:val="de-LU"/>
        </w:rPr>
        <w:t xml:space="preserve"> </w:t>
      </w:r>
      <w:r w:rsidRPr="00C018BD">
        <w:rPr>
          <w:color w:val="000000"/>
          <w:lang w:val="de-LU"/>
        </w:rPr>
        <w:t>8.1.1</w:t>
      </w:r>
      <w:r>
        <w:rPr>
          <w:lang w:val="de-LU"/>
        </w:rPr>
        <w:tab/>
        <w:t>670</w:t>
      </w:r>
    </w:p>
    <w:p w:rsidR="00AD7907" w:rsidRDefault="00AD7907" w:rsidP="00AD7907">
      <w:pPr>
        <w:pStyle w:val="Rejstk2"/>
        <w:tabs>
          <w:tab w:val="right" w:leader="dot" w:pos="4171"/>
        </w:tabs>
        <w:ind w:left="0" w:firstLine="0"/>
        <w:rPr>
          <w:lang w:val="de-LU"/>
        </w:rPr>
      </w:pPr>
    </w:p>
    <w:p w:rsidR="00AD7907" w:rsidRDefault="00AD7907" w:rsidP="00AD7907">
      <w:pPr>
        <w:pStyle w:val="Rejstk2"/>
        <w:tabs>
          <w:tab w:val="right" w:leader="dot" w:pos="4171"/>
        </w:tabs>
        <w:ind w:left="0" w:firstLine="0"/>
        <w:rPr>
          <w:b/>
          <w:lang w:val="de-LU"/>
        </w:rPr>
      </w:pPr>
      <w:r w:rsidRPr="009D43F1">
        <w:rPr>
          <w:b/>
          <w:lang w:val="de-LU"/>
        </w:rPr>
        <w:t>Starý zákon</w:t>
      </w:r>
    </w:p>
    <w:p w:rsidR="00AD7907" w:rsidRDefault="00AD7907" w:rsidP="00AD7907">
      <w:pPr>
        <w:pStyle w:val="Rejstk2"/>
        <w:tabs>
          <w:tab w:val="right" w:leader="dot" w:pos="4171"/>
        </w:tabs>
        <w:spacing w:line="240" w:lineRule="auto"/>
        <w:ind w:left="242"/>
      </w:pPr>
      <w:r>
        <w:t xml:space="preserve">1 </w:t>
      </w:r>
      <w:r w:rsidRPr="004B4DFF">
        <w:rPr>
          <w:i/>
        </w:rPr>
        <w:t>Sam</w:t>
      </w:r>
      <w:r>
        <w:t xml:space="preserve"> 12:1</w:t>
      </w:r>
      <w:r>
        <w:tab/>
        <w:t>892</w:t>
      </w:r>
    </w:p>
    <w:p w:rsidR="00AD7907" w:rsidRDefault="00AD7907" w:rsidP="00AD7907">
      <w:pPr>
        <w:pStyle w:val="Rejstk2"/>
        <w:tabs>
          <w:tab w:val="right" w:leader="dot" w:pos="4171"/>
        </w:tabs>
        <w:spacing w:line="240" w:lineRule="auto"/>
        <w:ind w:left="242"/>
      </w:pPr>
      <w:r>
        <w:t>Gn 1:2</w:t>
      </w:r>
      <w:r>
        <w:tab/>
        <w:t>45</w:t>
      </w:r>
    </w:p>
    <w:p w:rsidR="00AD7907" w:rsidRDefault="00AD7907" w:rsidP="00AD7907">
      <w:pPr>
        <w:pStyle w:val="Rejstk2"/>
        <w:tabs>
          <w:tab w:val="right" w:leader="dot" w:pos="4171"/>
        </w:tabs>
        <w:spacing w:line="240" w:lineRule="auto"/>
        <w:ind w:left="242"/>
      </w:pPr>
      <w:r>
        <w:t>Gn 1:28</w:t>
      </w:r>
      <w:r>
        <w:tab/>
        <w:t>924</w:t>
      </w:r>
    </w:p>
    <w:p w:rsidR="00AD7907" w:rsidRDefault="00AD7907" w:rsidP="00AD7907">
      <w:pPr>
        <w:pStyle w:val="Rejstk2"/>
        <w:tabs>
          <w:tab w:val="right" w:leader="dot" w:pos="4171"/>
        </w:tabs>
        <w:spacing w:line="240" w:lineRule="auto"/>
        <w:ind w:left="242"/>
      </w:pPr>
      <w:r w:rsidRPr="004B4DFF">
        <w:rPr>
          <w:i/>
        </w:rPr>
        <w:t>Iz</w:t>
      </w:r>
      <w:r>
        <w:t xml:space="preserve"> 53:2‒5</w:t>
      </w:r>
      <w:r>
        <w:tab/>
        <w:t>383</w:t>
      </w:r>
    </w:p>
    <w:p w:rsidR="00AD7907" w:rsidRDefault="00AD7907" w:rsidP="00AD7907">
      <w:pPr>
        <w:pStyle w:val="Rejstk2"/>
        <w:tabs>
          <w:tab w:val="right" w:leader="dot" w:pos="4171"/>
        </w:tabs>
        <w:spacing w:line="240" w:lineRule="auto"/>
        <w:ind w:left="242"/>
      </w:pPr>
      <w:r w:rsidRPr="004B4DFF">
        <w:rPr>
          <w:i/>
        </w:rPr>
        <w:t>Jos</w:t>
      </w:r>
      <w:r>
        <w:t xml:space="preserve"> 24:19‒25</w:t>
      </w:r>
      <w:r>
        <w:tab/>
        <w:t>892</w:t>
      </w:r>
    </w:p>
    <w:p w:rsidR="00AD7907" w:rsidRDefault="00AD7907" w:rsidP="00AD7907">
      <w:pPr>
        <w:pStyle w:val="Rejstk2"/>
        <w:tabs>
          <w:tab w:val="right" w:leader="dot" w:pos="4171"/>
        </w:tabs>
        <w:spacing w:line="240" w:lineRule="auto"/>
        <w:ind w:left="242"/>
      </w:pPr>
      <w:r>
        <w:t>Lv 16:10</w:t>
      </w:r>
      <w:r>
        <w:tab/>
        <w:t>610</w:t>
      </w:r>
    </w:p>
    <w:p w:rsidR="00AD7907" w:rsidRDefault="00AD7907" w:rsidP="00AD7907">
      <w:pPr>
        <w:pStyle w:val="Rejstk2"/>
        <w:tabs>
          <w:tab w:val="right" w:leader="dot" w:pos="4171"/>
        </w:tabs>
        <w:spacing w:line="240" w:lineRule="auto"/>
        <w:ind w:left="242"/>
      </w:pPr>
      <w:r>
        <w:t>Moudr</w:t>
      </w:r>
      <w:r w:rsidRPr="004B4DFF">
        <w:rPr>
          <w:i/>
        </w:rPr>
        <w:t>.</w:t>
      </w:r>
      <w:r>
        <w:t xml:space="preserve"> 11:21</w:t>
      </w:r>
      <w:r>
        <w:tab/>
        <w:t>100, 738</w:t>
      </w:r>
    </w:p>
    <w:p w:rsidR="00AD7907" w:rsidRDefault="00AD7907" w:rsidP="00AD7907">
      <w:pPr>
        <w:pStyle w:val="Rejstk2"/>
        <w:tabs>
          <w:tab w:val="right" w:leader="dot" w:pos="4171"/>
        </w:tabs>
        <w:ind w:left="238"/>
      </w:pPr>
      <w:r>
        <w:t>Žalm 4:7</w:t>
      </w:r>
      <w:r>
        <w:tab/>
        <w:t>99, 159, 434</w:t>
      </w:r>
    </w:p>
    <w:p w:rsidR="00AD7907" w:rsidRDefault="00AD7907" w:rsidP="00AD7907">
      <w:pPr>
        <w:pStyle w:val="Rejstk2"/>
        <w:tabs>
          <w:tab w:val="right" w:leader="dot" w:pos="4171"/>
        </w:tabs>
        <w:ind w:left="238"/>
      </w:pPr>
    </w:p>
    <w:p w:rsidR="00AD7907" w:rsidRPr="009D43F1" w:rsidRDefault="00AD7907" w:rsidP="00AD7907">
      <w:pPr>
        <w:pStyle w:val="Rejstk2"/>
        <w:tabs>
          <w:tab w:val="right" w:leader="dot" w:pos="4171"/>
        </w:tabs>
        <w:ind w:left="238" w:hanging="238"/>
      </w:pPr>
      <w:r>
        <w:rPr>
          <w:b/>
          <w:lang w:val="de-LU"/>
        </w:rPr>
        <w:t>T</w:t>
      </w:r>
      <w:r w:rsidRPr="008757E5">
        <w:rPr>
          <w:b/>
          <w:lang w:val="de-LU"/>
        </w:rPr>
        <w:t>hemistios</w:t>
      </w:r>
    </w:p>
    <w:p w:rsidR="00AD7907" w:rsidRDefault="00AD7907" w:rsidP="00AD7907">
      <w:pPr>
        <w:pStyle w:val="Rejstk2"/>
        <w:tabs>
          <w:tab w:val="right" w:leader="dot" w:pos="4171"/>
        </w:tabs>
        <w:spacing w:line="240" w:lineRule="auto"/>
        <w:ind w:left="0" w:firstLine="0"/>
        <w:rPr>
          <w:lang w:val="de-LU"/>
        </w:rPr>
      </w:pPr>
      <w:r w:rsidRPr="00C018BD">
        <w:rPr>
          <w:i/>
          <w:lang w:val="de-LU"/>
        </w:rPr>
        <w:t>In Aristotelis libros de anima paraphrasis</w:t>
      </w:r>
      <w:r>
        <w:rPr>
          <w:lang w:val="de-LU"/>
        </w:rPr>
        <w:t xml:space="preserve"> 94.5‒8</w:t>
      </w:r>
      <w:r>
        <w:rPr>
          <w:lang w:val="de-LU"/>
        </w:rPr>
        <w:tab/>
        <w:t>435</w:t>
      </w:r>
    </w:p>
    <w:p w:rsidR="00AD7907" w:rsidRDefault="00AD7907" w:rsidP="00AD7907">
      <w:pPr>
        <w:pStyle w:val="Rejstk2"/>
        <w:tabs>
          <w:tab w:val="right" w:leader="dot" w:pos="4171"/>
        </w:tabs>
        <w:ind w:left="238"/>
      </w:pPr>
    </w:p>
    <w:p w:rsidR="00AD7907" w:rsidRPr="008757E5" w:rsidRDefault="00AD7907" w:rsidP="00AD7907">
      <w:pPr>
        <w:pStyle w:val="Rejstk1"/>
        <w:tabs>
          <w:tab w:val="right" w:leader="dot" w:pos="4171"/>
        </w:tabs>
        <w:spacing w:line="240" w:lineRule="auto"/>
        <w:rPr>
          <w:b/>
          <w:lang w:val="de-LU"/>
        </w:rPr>
      </w:pPr>
      <w:r>
        <w:rPr>
          <w:b/>
          <w:lang w:val="de-LU"/>
        </w:rPr>
        <w:t>Ve</w:t>
      </w:r>
      <w:r w:rsidRPr="008757E5">
        <w:rPr>
          <w:b/>
          <w:lang w:val="de-LU"/>
        </w:rPr>
        <w:t>rgil</w:t>
      </w:r>
      <w:r>
        <w:rPr>
          <w:b/>
          <w:lang w:val="de-LU"/>
        </w:rPr>
        <w:t>us</w:t>
      </w:r>
    </w:p>
    <w:p w:rsidR="00AD7907" w:rsidRDefault="00AD7907" w:rsidP="00AD7907">
      <w:pPr>
        <w:pStyle w:val="Rejstk1"/>
        <w:tabs>
          <w:tab w:val="right" w:leader="dot" w:pos="4171"/>
        </w:tabs>
        <w:spacing w:line="240" w:lineRule="auto"/>
        <w:rPr>
          <w:lang w:val="de-LU"/>
        </w:rPr>
      </w:pPr>
      <w:r w:rsidRPr="00C018BD">
        <w:rPr>
          <w:i/>
          <w:lang w:val="de-LU"/>
        </w:rPr>
        <w:t>Eclogue</w:t>
      </w:r>
      <w:r>
        <w:rPr>
          <w:lang w:val="de-LU"/>
        </w:rPr>
        <w:t xml:space="preserve"> 4.5</w:t>
      </w:r>
      <w:r>
        <w:rPr>
          <w:lang w:val="de-LU"/>
        </w:rPr>
        <w:tab/>
        <w:t>639</w:t>
      </w:r>
    </w:p>
    <w:p w:rsidR="00AD7907" w:rsidRDefault="00AD7907" w:rsidP="00AD7907">
      <w:pPr>
        <w:pStyle w:val="Rejstk1"/>
        <w:tabs>
          <w:tab w:val="right" w:leader="dot" w:pos="4171"/>
        </w:tabs>
        <w:rPr>
          <w:b/>
          <w:lang w:val="de-LU"/>
        </w:rPr>
      </w:pPr>
    </w:p>
    <w:p w:rsidR="00AD7907" w:rsidRPr="008757E5" w:rsidRDefault="00AD7907" w:rsidP="00AD7907">
      <w:pPr>
        <w:pStyle w:val="Rejstk1"/>
        <w:tabs>
          <w:tab w:val="right" w:leader="dot" w:pos="4171"/>
        </w:tabs>
        <w:spacing w:line="240" w:lineRule="auto"/>
        <w:rPr>
          <w:b/>
          <w:lang w:val="de-LU"/>
        </w:rPr>
      </w:pPr>
      <w:r w:rsidRPr="008757E5">
        <w:rPr>
          <w:b/>
          <w:lang w:val="de-LU"/>
        </w:rPr>
        <w:lastRenderedPageBreak/>
        <w:t>Vernani Guido</w:t>
      </w:r>
    </w:p>
    <w:p w:rsidR="00AD7907" w:rsidRDefault="00AD7907" w:rsidP="00AD7907">
      <w:pPr>
        <w:pStyle w:val="Rejstk2"/>
        <w:tabs>
          <w:tab w:val="right" w:leader="dot" w:pos="4171"/>
        </w:tabs>
        <w:spacing w:line="240" w:lineRule="auto"/>
        <w:ind w:left="0" w:firstLine="0"/>
        <w:rPr>
          <w:lang w:val="de-LU"/>
        </w:rPr>
      </w:pPr>
      <w:r w:rsidRPr="00C018BD">
        <w:rPr>
          <w:i/>
          <w:lang w:val="de-LU"/>
        </w:rPr>
        <w:t>Contro Dante</w:t>
      </w:r>
      <w:r>
        <w:rPr>
          <w:lang w:val="de-LU"/>
        </w:rPr>
        <w:t xml:space="preserve"> 4</w:t>
      </w:r>
      <w:r>
        <w:rPr>
          <w:lang w:val="de-LU"/>
        </w:rPr>
        <w:tab/>
        <w:t>904</w:t>
      </w:r>
    </w:p>
    <w:p w:rsidR="00AD7907" w:rsidRDefault="00AD7907" w:rsidP="00AD7907">
      <w:pPr>
        <w:pStyle w:val="Rejstk2"/>
        <w:tabs>
          <w:tab w:val="right" w:leader="dot" w:pos="4171"/>
        </w:tabs>
        <w:ind w:left="238"/>
      </w:pPr>
    </w:p>
    <w:p w:rsidR="00AD7907" w:rsidRPr="008757E5" w:rsidRDefault="00AD7907" w:rsidP="00AD7907">
      <w:pPr>
        <w:pStyle w:val="Rejstk1"/>
        <w:tabs>
          <w:tab w:val="right" w:leader="dot" w:pos="4171"/>
        </w:tabs>
        <w:spacing w:line="240" w:lineRule="auto"/>
        <w:rPr>
          <w:b/>
          <w:lang w:val="de-LU"/>
        </w:rPr>
      </w:pPr>
      <w:r w:rsidRPr="008757E5">
        <w:rPr>
          <w:b/>
          <w:lang w:val="de-LU"/>
        </w:rPr>
        <w:t>Vincent de Beauvais</w:t>
      </w:r>
    </w:p>
    <w:p w:rsidR="00AD7907" w:rsidRDefault="00AD7907" w:rsidP="00AD7907">
      <w:pPr>
        <w:pStyle w:val="Rejstk1"/>
        <w:tabs>
          <w:tab w:val="right" w:leader="dot" w:pos="4171"/>
        </w:tabs>
        <w:spacing w:line="240" w:lineRule="auto"/>
        <w:rPr>
          <w:lang w:val="de-LU"/>
        </w:rPr>
      </w:pPr>
      <w:r w:rsidRPr="00C018BD">
        <w:rPr>
          <w:i/>
          <w:lang w:val="de-LU"/>
        </w:rPr>
        <w:t xml:space="preserve">De morali principiis institutione </w:t>
      </w:r>
      <w:r>
        <w:rPr>
          <w:lang w:val="de-LU"/>
        </w:rPr>
        <w:t>18.30‒35</w:t>
      </w:r>
      <w:r>
        <w:rPr>
          <w:lang w:val="de-LU"/>
        </w:rPr>
        <w:tab/>
        <w:t>848</w:t>
      </w:r>
    </w:p>
    <w:p w:rsidR="00AD7907" w:rsidRDefault="00AD7907" w:rsidP="00AD7907">
      <w:pPr>
        <w:pStyle w:val="Rejstk2"/>
        <w:tabs>
          <w:tab w:val="right" w:leader="dot" w:pos="4171"/>
        </w:tabs>
        <w:ind w:left="238"/>
      </w:pPr>
    </w:p>
    <w:p w:rsidR="00AD7907" w:rsidRPr="008757E5" w:rsidRDefault="00AD7907" w:rsidP="00AD7907">
      <w:pPr>
        <w:pStyle w:val="Rejstk1"/>
        <w:tabs>
          <w:tab w:val="right" w:leader="dot" w:pos="4171"/>
        </w:tabs>
        <w:spacing w:line="240" w:lineRule="auto"/>
        <w:rPr>
          <w:b/>
          <w:lang w:val="de-LU"/>
        </w:rPr>
      </w:pPr>
      <w:r w:rsidRPr="008757E5">
        <w:rPr>
          <w:b/>
          <w:lang w:val="de-LU"/>
        </w:rPr>
        <w:lastRenderedPageBreak/>
        <w:t>Vital du Four</w:t>
      </w:r>
    </w:p>
    <w:p w:rsidR="00AD7907" w:rsidRDefault="00AD7907" w:rsidP="00AD7907">
      <w:pPr>
        <w:pStyle w:val="Rejstk1"/>
        <w:tabs>
          <w:tab w:val="right" w:leader="dot" w:pos="4171"/>
        </w:tabs>
        <w:spacing w:line="240" w:lineRule="auto"/>
        <w:rPr>
          <w:lang w:val="de-LU"/>
        </w:rPr>
      </w:pPr>
      <w:r w:rsidRPr="00C018BD">
        <w:rPr>
          <w:i/>
          <w:lang w:val="de-LU"/>
        </w:rPr>
        <w:t xml:space="preserve">Q.D. De cognitione </w:t>
      </w:r>
      <w:r w:rsidRPr="00C018BD">
        <w:rPr>
          <w:rFonts w:eastAsia="NewAster"/>
          <w:lang w:val="de-LU"/>
        </w:rPr>
        <w:t>271</w:t>
      </w:r>
      <w:r>
        <w:rPr>
          <w:lang w:val="de-LU"/>
        </w:rPr>
        <w:tab/>
        <w:t>506</w:t>
      </w:r>
    </w:p>
    <w:p w:rsidR="00AD7907" w:rsidRDefault="00AD7907" w:rsidP="00AD7907">
      <w:pPr>
        <w:pStyle w:val="Rejstk2"/>
        <w:tabs>
          <w:tab w:val="right" w:leader="dot" w:pos="4171"/>
        </w:tabs>
        <w:ind w:left="238"/>
      </w:pPr>
    </w:p>
    <w:p w:rsidR="00AD7907" w:rsidRDefault="00AD7907" w:rsidP="00AD7907">
      <w:pPr>
        <w:pStyle w:val="Rejstk2"/>
        <w:tabs>
          <w:tab w:val="right" w:leader="dot" w:pos="4171"/>
        </w:tabs>
        <w:ind w:left="238"/>
      </w:pPr>
    </w:p>
    <w:p w:rsidR="00AD7907" w:rsidRPr="081E3B19" w:rsidRDefault="00AD7907" w:rsidP="00AD7907">
      <w:pPr>
        <w:spacing w:line="240" w:lineRule="auto"/>
        <w:rPr>
          <w:sz w:val="20"/>
          <w:lang w:val="de-LU"/>
        </w:rPr>
      </w:pPr>
    </w:p>
    <w:p w:rsidR="00AD7907" w:rsidRPr="081E3B19" w:rsidRDefault="00AD7907" w:rsidP="00AD7907">
      <w:pPr>
        <w:spacing w:line="240" w:lineRule="auto"/>
        <w:rPr>
          <w:sz w:val="20"/>
          <w:lang w:val="de-LU"/>
        </w:rPr>
        <w:sectPr w:rsidR="00AD7907" w:rsidRPr="081E3B19" w:rsidSect="00EF564D">
          <w:footerReference w:type="default" r:id="rId12"/>
          <w:type w:val="continuous"/>
          <w:pgSz w:w="11905" w:h="16837"/>
          <w:pgMar w:top="1417" w:right="1417" w:bottom="1417" w:left="1417" w:header="708" w:footer="720" w:gutter="0"/>
          <w:cols w:num="2" w:space="708"/>
          <w:docGrid w:linePitch="360"/>
        </w:sectPr>
      </w:pPr>
    </w:p>
    <w:p w:rsidR="00AD7907" w:rsidRDefault="00AD7907" w:rsidP="00AD7907"/>
    <w:p w:rsidR="00E911ED" w:rsidRPr="00466853" w:rsidRDefault="00AD7907" w:rsidP="00E911ED">
      <w:pPr>
        <w:pStyle w:val="Nadpis3"/>
      </w:pPr>
      <w:r>
        <w:br w:type="page"/>
      </w:r>
      <w:bookmarkStart w:id="125" w:name="_Toc12558336"/>
      <w:bookmarkStart w:id="126" w:name="_Toc180231691"/>
      <w:bookmarkStart w:id="127" w:name="_Toc36144179"/>
      <w:bookmarkEnd w:id="121"/>
      <w:bookmarkEnd w:id="122"/>
      <w:bookmarkEnd w:id="123"/>
      <w:bookmarkEnd w:id="124"/>
      <w:r w:rsidR="00E911ED" w:rsidRPr="00466853">
        <w:lastRenderedPageBreak/>
        <w:t>Jmenný a věcný rejstřík</w:t>
      </w:r>
      <w:bookmarkEnd w:id="125"/>
      <w:bookmarkEnd w:id="126"/>
    </w:p>
    <w:p w:rsidR="00E911ED" w:rsidRDefault="00E911ED" w:rsidP="00E911ED">
      <w:pPr>
        <w:pStyle w:val="Nadpis3"/>
        <w:spacing w:line="240" w:lineRule="auto"/>
        <w:sectPr w:rsidR="00E911ED" w:rsidSect="00E911ED">
          <w:footerReference w:type="default" r:id="rId13"/>
          <w:type w:val="continuous"/>
          <w:pgSz w:w="11905" w:h="16837"/>
          <w:pgMar w:top="1417" w:right="1417" w:bottom="1417" w:left="1417" w:header="708" w:footer="720" w:gutter="0"/>
          <w:cols w:space="708"/>
          <w:docGrid w:linePitch="360"/>
        </w:sectPr>
      </w:pPr>
      <w:r>
        <w:fldChar w:fldCharType="begin"/>
      </w:r>
      <w:r>
        <w:instrText xml:space="preserve"> INDEX \e "</w:instrText>
      </w:r>
      <w:r>
        <w:tab/>
        <w:instrText xml:space="preserve">" \c "2" \z "1029" </w:instrText>
      </w:r>
      <w:r>
        <w:fldChar w:fldCharType="separate"/>
      </w:r>
    </w:p>
    <w:p w:rsidR="00532A2C" w:rsidRPr="00F43866" w:rsidRDefault="00532A2C" w:rsidP="00532A2C">
      <w:pPr>
        <w:pStyle w:val="Hlavikarejstku"/>
        <w:keepNext/>
        <w:tabs>
          <w:tab w:val="right" w:leader="dot" w:pos="4171"/>
        </w:tabs>
        <w:spacing w:line="240" w:lineRule="auto"/>
        <w:rPr>
          <w:rFonts w:eastAsia="Times New Roman"/>
          <w:b w:val="0"/>
          <w:bCs w:val="0"/>
          <w:lang w:val="de-LU"/>
        </w:rPr>
      </w:pPr>
      <w:r>
        <w:rPr>
          <w:lang w:val="de-LU"/>
        </w:rPr>
        <w:t>A</w:t>
      </w:r>
    </w:p>
    <w:p w:rsidR="00E911ED" w:rsidRDefault="00E911ED" w:rsidP="00E911ED">
      <w:pPr>
        <w:pStyle w:val="Rejstk1"/>
        <w:tabs>
          <w:tab w:val="right" w:leader="dot" w:pos="4171"/>
        </w:tabs>
        <w:spacing w:line="240" w:lineRule="auto"/>
      </w:pPr>
      <w:r w:rsidRPr="004B4DFF">
        <w:rPr>
          <w:i/>
        </w:rPr>
        <w:t>a/létheia</w:t>
      </w:r>
      <w:r>
        <w:tab/>
        <w:t>14, 60, 110, 115, 242, 318, 460, 474, 750, 839, 906, 933, 951</w:t>
      </w:r>
    </w:p>
    <w:p w:rsidR="00E911ED" w:rsidRDefault="00E911ED" w:rsidP="00E911ED">
      <w:pPr>
        <w:pStyle w:val="Rejstk2"/>
        <w:tabs>
          <w:tab w:val="right" w:leader="dot" w:pos="4171"/>
        </w:tabs>
        <w:spacing w:line="240" w:lineRule="auto"/>
      </w:pPr>
      <w:r>
        <w:t>archaická</w:t>
      </w:r>
      <w:r>
        <w:tab/>
        <w:t>941</w:t>
      </w:r>
    </w:p>
    <w:p w:rsidR="00E911ED" w:rsidRDefault="00E911ED" w:rsidP="00E911ED">
      <w:pPr>
        <w:pStyle w:val="Rejstk2"/>
        <w:tabs>
          <w:tab w:val="right" w:leader="dot" w:pos="4171"/>
        </w:tabs>
        <w:spacing w:line="240" w:lineRule="auto"/>
      </w:pPr>
      <w:r>
        <w:t>humanismus</w:t>
      </w:r>
      <w:r>
        <w:tab/>
        <w:t>306</w:t>
      </w:r>
    </w:p>
    <w:p w:rsidR="00E911ED" w:rsidRDefault="00E911ED" w:rsidP="00E911ED">
      <w:pPr>
        <w:pStyle w:val="Rejstk2"/>
        <w:tabs>
          <w:tab w:val="right" w:leader="dot" w:pos="4171"/>
        </w:tabs>
        <w:spacing w:line="240" w:lineRule="auto"/>
      </w:pPr>
      <w:r>
        <w:t>moderna</w:t>
      </w:r>
      <w:r>
        <w:tab/>
        <w:t>417</w:t>
      </w:r>
    </w:p>
    <w:p w:rsidR="00E911ED" w:rsidRDefault="00E911ED" w:rsidP="00E911ED">
      <w:pPr>
        <w:pStyle w:val="Rejstk2"/>
        <w:tabs>
          <w:tab w:val="right" w:leader="dot" w:pos="4171"/>
        </w:tabs>
        <w:spacing w:line="240" w:lineRule="auto"/>
      </w:pPr>
      <w:r>
        <w:t>objektivity</w:t>
      </w:r>
      <w:r>
        <w:tab/>
        <w:t>2</w:t>
      </w:r>
    </w:p>
    <w:p w:rsidR="00E911ED" w:rsidRDefault="00E911ED" w:rsidP="00E911ED">
      <w:pPr>
        <w:pStyle w:val="Rejstk2"/>
        <w:tabs>
          <w:tab w:val="right" w:leader="dot" w:pos="4171"/>
        </w:tabs>
        <w:spacing w:line="240" w:lineRule="auto"/>
      </w:pPr>
      <w:r>
        <w:t>politická racionalita</w:t>
      </w:r>
      <w:r>
        <w:tab/>
        <w:t>906</w:t>
      </w:r>
    </w:p>
    <w:p w:rsidR="00E911ED" w:rsidRDefault="00E911ED" w:rsidP="00E911ED">
      <w:pPr>
        <w:pStyle w:val="Rejstk2"/>
        <w:tabs>
          <w:tab w:val="right" w:leader="dot" w:pos="4171"/>
        </w:tabs>
        <w:spacing w:line="240" w:lineRule="auto"/>
      </w:pPr>
      <w:r>
        <w:t>Scotus</w:t>
      </w:r>
      <w:r>
        <w:tab/>
        <w:t>708</w:t>
      </w:r>
    </w:p>
    <w:p w:rsidR="00E911ED" w:rsidRDefault="00E911ED" w:rsidP="00E911ED">
      <w:pPr>
        <w:pStyle w:val="Rejstk1"/>
        <w:tabs>
          <w:tab w:val="right" w:leader="dot" w:pos="4171"/>
        </w:tabs>
        <w:spacing w:line="240" w:lineRule="auto"/>
      </w:pPr>
      <w:r>
        <w:t>Abelard</w:t>
      </w:r>
      <w:r w:rsidR="00EE3861">
        <w:t xml:space="preserve">, viz </w:t>
      </w:r>
      <w:r w:rsidR="00EE3861" w:rsidRPr="00EE3861">
        <w:rPr>
          <w:i/>
        </w:rPr>
        <w:t>Index locorum</w:t>
      </w:r>
    </w:p>
    <w:p w:rsidR="00E911ED" w:rsidRDefault="00E911ED" w:rsidP="00E911ED">
      <w:pPr>
        <w:pStyle w:val="Rejstk1"/>
        <w:tabs>
          <w:tab w:val="right" w:leader="dot" w:pos="4171"/>
        </w:tabs>
        <w:spacing w:line="240" w:lineRule="auto"/>
      </w:pPr>
      <w:r>
        <w:t>abstrakce</w:t>
      </w:r>
    </w:p>
    <w:p w:rsidR="00E911ED" w:rsidRDefault="00E911ED" w:rsidP="00E911ED">
      <w:pPr>
        <w:pStyle w:val="Rejstk2"/>
        <w:tabs>
          <w:tab w:val="right" w:leader="dot" w:pos="4171"/>
        </w:tabs>
        <w:spacing w:line="240" w:lineRule="auto"/>
      </w:pPr>
      <w:r>
        <w:t>Aegidius Romanus</w:t>
      </w:r>
      <w:r>
        <w:tab/>
        <w:t>236</w:t>
      </w:r>
    </w:p>
    <w:p w:rsidR="00E911ED" w:rsidRDefault="00E911ED" w:rsidP="00E911ED">
      <w:pPr>
        <w:pStyle w:val="Rejstk2"/>
        <w:tabs>
          <w:tab w:val="right" w:leader="dot" w:pos="4171"/>
        </w:tabs>
        <w:spacing w:line="240" w:lineRule="auto"/>
      </w:pPr>
      <w:r>
        <w:t>Bonaventura</w:t>
      </w:r>
      <w:r>
        <w:tab/>
        <w:t>24, 26, 87</w:t>
      </w:r>
    </w:p>
    <w:p w:rsidR="00E911ED" w:rsidRDefault="00E911ED" w:rsidP="00E911ED">
      <w:pPr>
        <w:pStyle w:val="Rejstk2"/>
        <w:tabs>
          <w:tab w:val="right" w:leader="dot" w:pos="4171"/>
        </w:tabs>
        <w:spacing w:line="240" w:lineRule="auto"/>
      </w:pPr>
      <w:r>
        <w:t>matematická</w:t>
      </w:r>
      <w:r>
        <w:tab/>
        <w:t>22, 42, 44, 170, 248, 282, 503, 626, 629, 634, 764, 793, 951</w:t>
      </w:r>
    </w:p>
    <w:p w:rsidR="00E911ED" w:rsidRDefault="00E911ED" w:rsidP="00E911ED">
      <w:pPr>
        <w:pStyle w:val="Rejstk2"/>
        <w:tabs>
          <w:tab w:val="right" w:leader="dot" w:pos="4171"/>
        </w:tabs>
        <w:spacing w:line="240" w:lineRule="auto"/>
      </w:pPr>
      <w:r>
        <w:t>Ockham</w:t>
      </w:r>
      <w:r>
        <w:tab/>
        <w:t>796</w:t>
      </w:r>
    </w:p>
    <w:p w:rsidR="00E911ED" w:rsidRDefault="00E911ED" w:rsidP="00E911ED">
      <w:pPr>
        <w:pStyle w:val="Rejstk2"/>
        <w:tabs>
          <w:tab w:val="right" w:leader="dot" w:pos="4171"/>
        </w:tabs>
        <w:spacing w:line="240" w:lineRule="auto"/>
      </w:pPr>
      <w:r>
        <w:t>Siger</w:t>
      </w:r>
      <w:r>
        <w:tab/>
        <w:t>299</w:t>
      </w:r>
    </w:p>
    <w:p w:rsidR="00E911ED" w:rsidRDefault="00E911ED" w:rsidP="00E911ED">
      <w:pPr>
        <w:pStyle w:val="Rejstk1"/>
        <w:tabs>
          <w:tab w:val="right" w:leader="dot" w:pos="4171"/>
        </w:tabs>
        <w:spacing w:line="240" w:lineRule="auto"/>
      </w:pPr>
      <w:r w:rsidRPr="004B4DFF">
        <w:rPr>
          <w:i/>
        </w:rPr>
        <w:t>actus essendi</w:t>
      </w:r>
      <w:r>
        <w:tab/>
        <w:t>39, 171, 172, 213, 221, 312, 390, 392, 412, 624</w:t>
      </w:r>
    </w:p>
    <w:p w:rsidR="00E911ED" w:rsidRDefault="00E911ED" w:rsidP="00E911ED">
      <w:pPr>
        <w:pStyle w:val="Rejstk1"/>
        <w:tabs>
          <w:tab w:val="right" w:leader="dot" w:pos="4171"/>
        </w:tabs>
        <w:spacing w:line="240" w:lineRule="auto"/>
      </w:pPr>
      <w:r w:rsidRPr="004B4DFF">
        <w:rPr>
          <w:i/>
        </w:rPr>
        <w:t>ad mentem Averrois</w:t>
      </w:r>
      <w:r>
        <w:tab/>
        <w:t>2, 12, 23, 60, 93, 177, 224, 243, 257, 275, 326, 336, 371, 377, 449, 458, 469, 492, 647, 721, 854, 867</w:t>
      </w:r>
    </w:p>
    <w:p w:rsidR="00E911ED" w:rsidRDefault="00E911ED" w:rsidP="00EE3861">
      <w:pPr>
        <w:pStyle w:val="Rejstk1"/>
        <w:tabs>
          <w:tab w:val="right" w:leader="dot" w:pos="4171"/>
        </w:tabs>
        <w:spacing w:line="240" w:lineRule="auto"/>
      </w:pPr>
      <w:r w:rsidRPr="004B4DFF">
        <w:rPr>
          <w:i/>
        </w:rPr>
        <w:t>adaequatio</w:t>
      </w:r>
      <w:r>
        <w:tab/>
        <w:t>669</w:t>
      </w:r>
    </w:p>
    <w:p w:rsidR="00E911ED" w:rsidRDefault="00E911ED" w:rsidP="00E911ED">
      <w:pPr>
        <w:pStyle w:val="Rejstk1"/>
        <w:tabs>
          <w:tab w:val="right" w:leader="dot" w:pos="4171"/>
        </w:tabs>
        <w:spacing w:line="240" w:lineRule="auto"/>
      </w:pPr>
      <w:r>
        <w:t>Aegidius Romanus</w:t>
      </w:r>
      <w:r w:rsidR="00EE3861">
        <w:t xml:space="preserve">, viz </w:t>
      </w:r>
      <w:r w:rsidR="00EE3861" w:rsidRPr="00EE3861">
        <w:rPr>
          <w:i/>
        </w:rPr>
        <w:t>Index locorum</w:t>
      </w:r>
      <w:r>
        <w:tab/>
        <w:t>137, 177, 196, 199, 223, 241, 269, 270, 314, 337, 348, 360, 367, 402, 422, 433, 437, 480, 577, 612, 721, 760</w:t>
      </w:r>
    </w:p>
    <w:p w:rsidR="00E911ED" w:rsidRDefault="00E911ED" w:rsidP="00E911ED">
      <w:pPr>
        <w:pStyle w:val="Rejstk1"/>
        <w:tabs>
          <w:tab w:val="right" w:leader="dot" w:pos="4171"/>
        </w:tabs>
        <w:spacing w:line="240" w:lineRule="auto"/>
      </w:pPr>
      <w:r w:rsidRPr="004B4DFF">
        <w:rPr>
          <w:i/>
        </w:rPr>
        <w:t>agenda-setting</w:t>
      </w:r>
      <w:r>
        <w:tab/>
        <w:t>499</w:t>
      </w:r>
    </w:p>
    <w:p w:rsidR="00E911ED" w:rsidRDefault="00E911ED" w:rsidP="00E911ED">
      <w:pPr>
        <w:pStyle w:val="Rejstk1"/>
        <w:tabs>
          <w:tab w:val="right" w:leader="dot" w:pos="4171"/>
        </w:tabs>
        <w:spacing w:line="240" w:lineRule="auto"/>
      </w:pPr>
      <w:r>
        <w:t>Achillini, A.</w:t>
      </w:r>
      <w:r>
        <w:tab/>
        <w:t>494</w:t>
      </w:r>
    </w:p>
    <w:p w:rsidR="00E911ED" w:rsidRDefault="00EE3861" w:rsidP="00E911ED">
      <w:pPr>
        <w:pStyle w:val="Rejstk1"/>
        <w:tabs>
          <w:tab w:val="right" w:leader="dot" w:pos="4171"/>
        </w:tabs>
        <w:spacing w:line="240" w:lineRule="auto"/>
      </w:pPr>
      <w:r>
        <w:t>Aischyle</w:t>
      </w:r>
      <w:r w:rsidR="00E911ED">
        <w:t>s</w:t>
      </w:r>
      <w:r>
        <w:t xml:space="preserve">, viz </w:t>
      </w:r>
      <w:r w:rsidRPr="00EE3861">
        <w:rPr>
          <w:i/>
        </w:rPr>
        <w:t>Index locorum</w:t>
      </w:r>
    </w:p>
    <w:p w:rsidR="00E911ED" w:rsidRDefault="00E911ED" w:rsidP="00E911ED">
      <w:pPr>
        <w:pStyle w:val="Rejstk1"/>
        <w:tabs>
          <w:tab w:val="right" w:leader="dot" w:pos="4171"/>
        </w:tabs>
        <w:spacing w:line="240" w:lineRule="auto"/>
      </w:pPr>
      <w:r>
        <w:t>Akvinský</w:t>
      </w:r>
      <w:r w:rsidR="00EE3861">
        <w:t>, T., viz Index locorum</w:t>
      </w:r>
    </w:p>
    <w:p w:rsidR="00E911ED" w:rsidRPr="00EE3861" w:rsidRDefault="00E911ED" w:rsidP="00E911ED">
      <w:pPr>
        <w:pStyle w:val="Rejstk1"/>
        <w:tabs>
          <w:tab w:val="right" w:leader="dot" w:pos="4171"/>
        </w:tabs>
        <w:spacing w:line="240" w:lineRule="auto"/>
      </w:pPr>
      <w:r w:rsidRPr="00EE3861">
        <w:t>Albert</w:t>
      </w:r>
      <w:r w:rsidR="00EE3861">
        <w:t xml:space="preserve"> Vel</w:t>
      </w:r>
      <w:r w:rsidR="00EE3861" w:rsidRPr="00EE3861">
        <w:t xml:space="preserve">iký, viz </w:t>
      </w:r>
      <w:r w:rsidR="00EE3861" w:rsidRPr="00EE3861">
        <w:rPr>
          <w:i/>
        </w:rPr>
        <w:t>Index locorum</w:t>
      </w:r>
    </w:p>
    <w:p w:rsidR="00E911ED" w:rsidRDefault="00EE3861" w:rsidP="00E911ED">
      <w:pPr>
        <w:pStyle w:val="Rejstk1"/>
        <w:tabs>
          <w:tab w:val="right" w:leader="dot" w:pos="4171"/>
        </w:tabs>
        <w:spacing w:line="240" w:lineRule="auto"/>
      </w:pPr>
      <w:r>
        <w:rPr>
          <w:i/>
        </w:rPr>
        <w:t>a</w:t>
      </w:r>
      <w:r w:rsidR="00E911ED" w:rsidRPr="004B4DFF">
        <w:rPr>
          <w:i/>
        </w:rPr>
        <w:t>létheia</w:t>
      </w:r>
      <w:r w:rsidR="00E911ED">
        <w:tab/>
        <w:t>14, 16</w:t>
      </w:r>
    </w:p>
    <w:p w:rsidR="00E911ED" w:rsidRDefault="00E911ED" w:rsidP="00E911ED">
      <w:pPr>
        <w:pStyle w:val="Rejstk1"/>
        <w:tabs>
          <w:tab w:val="right" w:leader="dot" w:pos="4171"/>
        </w:tabs>
        <w:spacing w:line="240" w:lineRule="auto"/>
      </w:pPr>
      <w:r>
        <w:t>Alexander, Afrodisias</w:t>
      </w:r>
      <w:r w:rsidR="00EE3861">
        <w:t xml:space="preserve">, viz </w:t>
      </w:r>
      <w:r w:rsidR="00EE3861" w:rsidRPr="00EE3861">
        <w:rPr>
          <w:i/>
        </w:rPr>
        <w:t>Index locorum</w:t>
      </w:r>
      <w:r>
        <w:tab/>
        <w:t>78, 79, 289, 342, 348, 359, 419</w:t>
      </w:r>
    </w:p>
    <w:p w:rsidR="00E911ED" w:rsidRDefault="00E911ED" w:rsidP="00E911ED">
      <w:pPr>
        <w:pStyle w:val="Rejstk1"/>
        <w:tabs>
          <w:tab w:val="right" w:leader="dot" w:pos="4171"/>
        </w:tabs>
        <w:spacing w:line="240" w:lineRule="auto"/>
      </w:pPr>
      <w:r>
        <w:t>Alexander, Halský</w:t>
      </w:r>
      <w:r>
        <w:tab/>
        <w:t xml:space="preserve">21, </w:t>
      </w:r>
      <w:r w:rsidR="00EE3861">
        <w:t xml:space="preserve">55, </w:t>
      </w:r>
      <w:r>
        <w:t>385</w:t>
      </w:r>
    </w:p>
    <w:p w:rsidR="00E911ED" w:rsidRDefault="00E911ED" w:rsidP="00E911ED">
      <w:pPr>
        <w:pStyle w:val="Rejstk1"/>
        <w:tabs>
          <w:tab w:val="right" w:leader="dot" w:pos="4171"/>
        </w:tabs>
        <w:spacing w:line="240" w:lineRule="auto"/>
      </w:pPr>
      <w:r>
        <w:t>alexandrovci</w:t>
      </w:r>
      <w:r>
        <w:tab/>
        <w:t>59, 79, 126, 142, 143, 166, 167, 173, 202, 208, 263, 280, 312, 346, 348, 349, 433, 436, 447, 448, 468, 578, 774, 781</w:t>
      </w:r>
    </w:p>
    <w:p w:rsidR="00E911ED" w:rsidRDefault="00E911ED" w:rsidP="00E911ED">
      <w:pPr>
        <w:pStyle w:val="Rejstk1"/>
        <w:tabs>
          <w:tab w:val="right" w:leader="dot" w:pos="4171"/>
        </w:tabs>
        <w:spacing w:line="240" w:lineRule="auto"/>
      </w:pPr>
      <w:r>
        <w:t>Al-Ghazālī</w:t>
      </w:r>
      <w:r w:rsidR="00EE3861">
        <w:t xml:space="preserve">, viz </w:t>
      </w:r>
      <w:r w:rsidR="00EE3861" w:rsidRPr="00EE3861">
        <w:rPr>
          <w:i/>
        </w:rPr>
        <w:t>Index locorum</w:t>
      </w:r>
    </w:p>
    <w:p w:rsidR="00E911ED" w:rsidRDefault="00E911ED" w:rsidP="00E911ED">
      <w:pPr>
        <w:pStyle w:val="Rejstk1"/>
        <w:tabs>
          <w:tab w:val="right" w:leader="dot" w:pos="4171"/>
        </w:tabs>
        <w:spacing w:line="240" w:lineRule="auto"/>
      </w:pPr>
      <w:r w:rsidRPr="004B4DFF">
        <w:rPr>
          <w:i/>
        </w:rPr>
        <w:t>aliquitas</w:t>
      </w:r>
      <w:r>
        <w:tab/>
        <w:t>39, 623, 751, 754, 757, 761, 829</w:t>
      </w:r>
    </w:p>
    <w:p w:rsidR="00E911ED" w:rsidRDefault="00E911ED" w:rsidP="00E911ED">
      <w:pPr>
        <w:pStyle w:val="Rejstk1"/>
        <w:tabs>
          <w:tab w:val="right" w:leader="dot" w:pos="4171"/>
        </w:tabs>
        <w:spacing w:line="240" w:lineRule="auto"/>
      </w:pPr>
      <w:r>
        <w:rPr>
          <w:lang w:eastAsia="en-US"/>
        </w:rPr>
        <w:t>Al-Kindí</w:t>
      </w:r>
      <w:r>
        <w:tab/>
        <w:t>209</w:t>
      </w:r>
    </w:p>
    <w:p w:rsidR="00E911ED" w:rsidRDefault="00E911ED" w:rsidP="00E911ED">
      <w:pPr>
        <w:pStyle w:val="Rejstk1"/>
        <w:tabs>
          <w:tab w:val="right" w:leader="dot" w:pos="4171"/>
        </w:tabs>
        <w:spacing w:line="240" w:lineRule="auto"/>
      </w:pPr>
      <w:r>
        <w:t>Althusius</w:t>
      </w:r>
      <w:r w:rsidR="00EE3861">
        <w:t xml:space="preserve">, J., viz </w:t>
      </w:r>
      <w:r w:rsidR="00EE3861" w:rsidRPr="00EE3861">
        <w:rPr>
          <w:i/>
        </w:rPr>
        <w:t>Index locorum</w:t>
      </w:r>
    </w:p>
    <w:p w:rsidR="00E911ED" w:rsidRDefault="00E911ED" w:rsidP="00E911ED">
      <w:pPr>
        <w:pStyle w:val="Rejstk1"/>
        <w:tabs>
          <w:tab w:val="right" w:leader="dot" w:pos="4171"/>
        </w:tabs>
        <w:spacing w:line="240" w:lineRule="auto"/>
      </w:pPr>
      <w:r>
        <w:rPr>
          <w:lang w:eastAsia="en-US"/>
        </w:rPr>
        <w:t>amalriciáni</w:t>
      </w:r>
      <w:r>
        <w:tab/>
        <w:t>381</w:t>
      </w:r>
    </w:p>
    <w:p w:rsidR="00E911ED" w:rsidRDefault="00E911ED" w:rsidP="00E911ED">
      <w:pPr>
        <w:pStyle w:val="Rejstk1"/>
        <w:tabs>
          <w:tab w:val="right" w:leader="dot" w:pos="4171"/>
        </w:tabs>
        <w:spacing w:line="240" w:lineRule="auto"/>
      </w:pPr>
      <w:r>
        <w:t>amfibolia</w:t>
      </w:r>
      <w:r>
        <w:tab/>
        <w:t>22, 392, 645</w:t>
      </w:r>
    </w:p>
    <w:p w:rsidR="00E911ED" w:rsidRDefault="00E911ED" w:rsidP="00E911ED">
      <w:pPr>
        <w:pStyle w:val="Rejstk1"/>
        <w:tabs>
          <w:tab w:val="right" w:leader="dot" w:pos="4171"/>
        </w:tabs>
        <w:spacing w:line="240" w:lineRule="auto"/>
      </w:pPr>
      <w:r w:rsidRPr="004B4DFF">
        <w:rPr>
          <w:i/>
        </w:rPr>
        <w:t>analogia entis</w:t>
      </w:r>
      <w:r>
        <w:tab/>
        <w:t>109, 148, 197, 554, 557, 558, 597, 618, 620, 623, 625, 731</w:t>
      </w:r>
    </w:p>
    <w:p w:rsidR="00E911ED" w:rsidRDefault="00E911ED" w:rsidP="00E911ED">
      <w:pPr>
        <w:pStyle w:val="Rejstk1"/>
        <w:tabs>
          <w:tab w:val="right" w:leader="dot" w:pos="4171"/>
        </w:tabs>
        <w:spacing w:line="240" w:lineRule="auto"/>
      </w:pPr>
      <w:r w:rsidRPr="004B4DFF">
        <w:rPr>
          <w:i/>
        </w:rPr>
        <w:t>analogia voluntatis</w:t>
      </w:r>
      <w:r>
        <w:tab/>
        <w:t>554, 565, 569</w:t>
      </w:r>
    </w:p>
    <w:p w:rsidR="00E911ED" w:rsidRDefault="00E911ED" w:rsidP="00E911ED">
      <w:pPr>
        <w:pStyle w:val="Rejstk1"/>
        <w:tabs>
          <w:tab w:val="right" w:leader="dot" w:pos="4171"/>
        </w:tabs>
        <w:spacing w:line="240" w:lineRule="auto"/>
      </w:pPr>
      <w:r w:rsidRPr="004B4DFF">
        <w:rPr>
          <w:i/>
        </w:rPr>
        <w:t>Analogien der Efahrung</w:t>
      </w:r>
      <w:r>
        <w:tab/>
        <w:t>833</w:t>
      </w:r>
    </w:p>
    <w:p w:rsidR="00E911ED" w:rsidRDefault="00E911ED" w:rsidP="00E911ED">
      <w:pPr>
        <w:pStyle w:val="Rejstk1"/>
        <w:tabs>
          <w:tab w:val="right" w:leader="dot" w:pos="4171"/>
        </w:tabs>
        <w:spacing w:line="240" w:lineRule="auto"/>
      </w:pPr>
      <w:r>
        <w:t>analytická filosofie</w:t>
      </w:r>
      <w:r>
        <w:tab/>
        <w:t>411</w:t>
      </w:r>
    </w:p>
    <w:p w:rsidR="00E911ED" w:rsidRDefault="00E911ED" w:rsidP="00E911ED">
      <w:pPr>
        <w:pStyle w:val="Rejstk1"/>
        <w:tabs>
          <w:tab w:val="right" w:leader="dot" w:pos="4171"/>
        </w:tabs>
        <w:spacing w:line="240" w:lineRule="auto"/>
      </w:pPr>
      <w:r w:rsidRPr="004B4DFF">
        <w:rPr>
          <w:i/>
        </w:rPr>
        <w:t>Anfang</w:t>
      </w:r>
      <w:r>
        <w:tab/>
        <w:t>9, 477</w:t>
      </w:r>
    </w:p>
    <w:p w:rsidR="00E911ED" w:rsidRDefault="00E911ED" w:rsidP="00E911ED">
      <w:pPr>
        <w:pStyle w:val="Rejstk1"/>
        <w:tabs>
          <w:tab w:val="right" w:leader="dot" w:pos="4171"/>
        </w:tabs>
        <w:spacing w:line="240" w:lineRule="auto"/>
      </w:pPr>
      <w:r w:rsidRPr="004B4DFF">
        <w:rPr>
          <w:i/>
        </w:rPr>
        <w:t>Anfang/Beginn</w:t>
      </w:r>
      <w:r>
        <w:tab/>
        <w:t>937</w:t>
      </w:r>
    </w:p>
    <w:p w:rsidR="00E911ED" w:rsidRDefault="00E911ED" w:rsidP="00E911ED">
      <w:pPr>
        <w:pStyle w:val="Rejstk1"/>
        <w:tabs>
          <w:tab w:val="right" w:leader="dot" w:pos="4171"/>
        </w:tabs>
        <w:spacing w:line="240" w:lineRule="auto"/>
      </w:pPr>
      <w:r w:rsidRPr="004B4DFF">
        <w:rPr>
          <w:i/>
          <w:lang w:eastAsia="en-US"/>
        </w:rPr>
        <w:t>anima mundi</w:t>
      </w:r>
      <w:r>
        <w:tab/>
        <w:t>377</w:t>
      </w:r>
    </w:p>
    <w:p w:rsidR="00E911ED" w:rsidRDefault="00E911ED" w:rsidP="00E911ED">
      <w:pPr>
        <w:pStyle w:val="Rejstk1"/>
        <w:tabs>
          <w:tab w:val="right" w:leader="dot" w:pos="4171"/>
        </w:tabs>
        <w:spacing w:line="240" w:lineRule="auto"/>
      </w:pPr>
      <w:r w:rsidRPr="004B4DFF">
        <w:rPr>
          <w:i/>
        </w:rPr>
        <w:t>anima ut motor</w:t>
      </w:r>
      <w:r>
        <w:tab/>
        <w:t>141, 171, 275, 337</w:t>
      </w:r>
    </w:p>
    <w:p w:rsidR="00E911ED" w:rsidRDefault="00E911ED" w:rsidP="00E911ED">
      <w:pPr>
        <w:pStyle w:val="Rejstk1"/>
        <w:tabs>
          <w:tab w:val="right" w:leader="dot" w:pos="4171"/>
        </w:tabs>
        <w:spacing w:line="240" w:lineRule="auto"/>
      </w:pPr>
      <w:r w:rsidRPr="004B4DFF">
        <w:rPr>
          <w:i/>
        </w:rPr>
        <w:t>animal laborans</w:t>
      </w:r>
      <w:r>
        <w:tab/>
        <w:t>822</w:t>
      </w:r>
    </w:p>
    <w:p w:rsidR="002D049A" w:rsidRDefault="002D049A" w:rsidP="00E911ED">
      <w:pPr>
        <w:pStyle w:val="Rejstk1"/>
        <w:tabs>
          <w:tab w:val="right" w:leader="dot" w:pos="4171"/>
        </w:tabs>
        <w:spacing w:line="240" w:lineRule="auto"/>
        <w:rPr>
          <w:i/>
        </w:rPr>
      </w:pPr>
      <w:r>
        <w:rPr>
          <w:i/>
        </w:rPr>
        <w:t xml:space="preserve">Anonym Bazán, </w:t>
      </w:r>
      <w:r w:rsidRPr="002D049A">
        <w:t>viz</w:t>
      </w:r>
      <w:r>
        <w:rPr>
          <w:i/>
        </w:rPr>
        <w:t xml:space="preserve"> Index locorum</w:t>
      </w:r>
    </w:p>
    <w:p w:rsidR="002D049A" w:rsidRDefault="002D049A" w:rsidP="002D049A">
      <w:pPr>
        <w:pStyle w:val="Rejstk1"/>
        <w:tabs>
          <w:tab w:val="right" w:leader="dot" w:pos="4171"/>
        </w:tabs>
        <w:spacing w:line="240" w:lineRule="auto"/>
        <w:rPr>
          <w:i/>
        </w:rPr>
      </w:pPr>
      <w:r>
        <w:rPr>
          <w:i/>
        </w:rPr>
        <w:t xml:space="preserve">Anonym Giele, </w:t>
      </w:r>
      <w:r w:rsidRPr="002D049A">
        <w:t>viz</w:t>
      </w:r>
      <w:r>
        <w:rPr>
          <w:i/>
        </w:rPr>
        <w:t xml:space="preserve"> Index locorum</w:t>
      </w:r>
    </w:p>
    <w:p w:rsidR="00E911ED" w:rsidRDefault="00E911ED" w:rsidP="00E911ED">
      <w:pPr>
        <w:pStyle w:val="Rejstk1"/>
        <w:tabs>
          <w:tab w:val="right" w:leader="dot" w:pos="4171"/>
        </w:tabs>
        <w:spacing w:line="240" w:lineRule="auto"/>
      </w:pPr>
      <w:r>
        <w:t>Anselm</w:t>
      </w:r>
      <w:r w:rsidR="002D049A">
        <w:t xml:space="preserve">, viz </w:t>
      </w:r>
      <w:r w:rsidR="002D049A" w:rsidRPr="002D049A">
        <w:rPr>
          <w:i/>
        </w:rPr>
        <w:t>Index locorum</w:t>
      </w:r>
    </w:p>
    <w:p w:rsidR="00E911ED" w:rsidRDefault="00E911ED" w:rsidP="00E911ED">
      <w:pPr>
        <w:pStyle w:val="Rejstk1"/>
        <w:tabs>
          <w:tab w:val="right" w:leader="dot" w:pos="4171"/>
        </w:tabs>
        <w:spacing w:line="240" w:lineRule="auto"/>
      </w:pPr>
      <w:r>
        <w:t>Antikrist</w:t>
      </w:r>
      <w:r>
        <w:tab/>
        <w:t>40, 93, 413, 811, 841</w:t>
      </w:r>
    </w:p>
    <w:p w:rsidR="00E911ED" w:rsidRDefault="00E911ED" w:rsidP="00E911ED">
      <w:pPr>
        <w:pStyle w:val="Rejstk1"/>
        <w:tabs>
          <w:tab w:val="right" w:leader="dot" w:pos="4171"/>
        </w:tabs>
        <w:spacing w:line="240" w:lineRule="auto"/>
      </w:pPr>
      <w:r>
        <w:t>antropocén</w:t>
      </w:r>
      <w:r>
        <w:tab/>
        <w:t>14, 73, 834, 951</w:t>
      </w:r>
    </w:p>
    <w:p w:rsidR="00E911ED" w:rsidRDefault="00E911ED" w:rsidP="00E911ED">
      <w:pPr>
        <w:pStyle w:val="Rejstk1"/>
        <w:tabs>
          <w:tab w:val="right" w:leader="dot" w:pos="4171"/>
        </w:tabs>
        <w:spacing w:line="240" w:lineRule="auto"/>
      </w:pPr>
      <w:r>
        <w:t>antropologie</w:t>
      </w:r>
      <w:r>
        <w:tab/>
        <w:t>550</w:t>
      </w:r>
    </w:p>
    <w:p w:rsidR="00E911ED" w:rsidRDefault="00E911ED" w:rsidP="00E911ED">
      <w:pPr>
        <w:pStyle w:val="Rejstk1"/>
        <w:tabs>
          <w:tab w:val="right" w:leader="dot" w:pos="4171"/>
        </w:tabs>
        <w:spacing w:line="240" w:lineRule="auto"/>
      </w:pPr>
      <w:r w:rsidRPr="004B4DFF">
        <w:rPr>
          <w:i/>
        </w:rPr>
        <w:t>apaideusía</w:t>
      </w:r>
      <w:r>
        <w:tab/>
        <w:t>17</w:t>
      </w:r>
    </w:p>
    <w:p w:rsidR="00E911ED" w:rsidRDefault="00E911ED" w:rsidP="00E911ED">
      <w:pPr>
        <w:pStyle w:val="Rejstk1"/>
        <w:tabs>
          <w:tab w:val="right" w:leader="dot" w:pos="4171"/>
        </w:tabs>
        <w:spacing w:line="240" w:lineRule="auto"/>
      </w:pPr>
      <w:r w:rsidRPr="004B4DFF">
        <w:rPr>
          <w:i/>
        </w:rPr>
        <w:t>appetitus</w:t>
      </w:r>
      <w:r>
        <w:tab/>
        <w:t>45, 72, 74, 103, 116, 121, 502, 503, 521, 566, 572, 818, 857, 948</w:t>
      </w:r>
    </w:p>
    <w:p w:rsidR="00E911ED" w:rsidRDefault="00E911ED" w:rsidP="00E911ED">
      <w:pPr>
        <w:pStyle w:val="Rejstk1"/>
        <w:tabs>
          <w:tab w:val="right" w:leader="dot" w:pos="4171"/>
        </w:tabs>
        <w:spacing w:line="240" w:lineRule="auto"/>
      </w:pPr>
      <w:r>
        <w:t>Aquasparta, M.</w:t>
      </w:r>
      <w:r>
        <w:tab/>
        <w:t>81, 132, 134, 207, 505, 559, 576, 577, 593, 642, 677, 814</w:t>
      </w:r>
    </w:p>
    <w:p w:rsidR="00E911ED" w:rsidRDefault="00E911ED" w:rsidP="00E911ED">
      <w:pPr>
        <w:pStyle w:val="Rejstk1"/>
        <w:tabs>
          <w:tab w:val="right" w:leader="dot" w:pos="4171"/>
        </w:tabs>
        <w:spacing w:line="240" w:lineRule="auto"/>
      </w:pPr>
      <w:r w:rsidRPr="004B4DFF">
        <w:rPr>
          <w:i/>
        </w:rPr>
        <w:t>Arbor Porphyriana</w:t>
      </w:r>
      <w:r>
        <w:tab/>
        <w:t>52, 114, 673, 793, 843, 861, 948</w:t>
      </w:r>
    </w:p>
    <w:p w:rsidR="00E911ED" w:rsidRDefault="00E911ED" w:rsidP="00E911ED">
      <w:pPr>
        <w:pStyle w:val="Rejstk1"/>
        <w:tabs>
          <w:tab w:val="right" w:leader="dot" w:pos="4171"/>
        </w:tabs>
        <w:spacing w:line="240" w:lineRule="auto"/>
      </w:pPr>
      <w:r>
        <w:t>Arendt, H.</w:t>
      </w:r>
      <w:r>
        <w:tab/>
        <w:t>503, 563, 573, 905, 906, 921, 923</w:t>
      </w:r>
    </w:p>
    <w:p w:rsidR="00E911ED" w:rsidRDefault="00E911ED" w:rsidP="00E911ED">
      <w:pPr>
        <w:pStyle w:val="Rejstk1"/>
        <w:tabs>
          <w:tab w:val="right" w:leader="dot" w:pos="4171"/>
        </w:tabs>
        <w:spacing w:line="240" w:lineRule="auto"/>
      </w:pPr>
      <w:r>
        <w:t>Archytás</w:t>
      </w:r>
      <w:r>
        <w:tab/>
        <w:t>629</w:t>
      </w:r>
    </w:p>
    <w:p w:rsidR="00E911ED" w:rsidRDefault="00E911ED" w:rsidP="00E911ED">
      <w:pPr>
        <w:pStyle w:val="Rejstk1"/>
        <w:tabs>
          <w:tab w:val="right" w:leader="dot" w:pos="4171"/>
        </w:tabs>
        <w:spacing w:line="240" w:lineRule="auto"/>
      </w:pPr>
      <w:r>
        <w:t>Aristoteles</w:t>
      </w:r>
      <w:r w:rsidR="002D049A">
        <w:t xml:space="preserve">, viz </w:t>
      </w:r>
      <w:r w:rsidR="002D049A" w:rsidRPr="002D049A">
        <w:rPr>
          <w:i/>
        </w:rPr>
        <w:t>Index locorum</w:t>
      </w:r>
    </w:p>
    <w:p w:rsidR="00E911ED" w:rsidRDefault="00E911ED" w:rsidP="00E911ED">
      <w:pPr>
        <w:pStyle w:val="Rejstk1"/>
        <w:tabs>
          <w:tab w:val="right" w:leader="dot" w:pos="4171"/>
        </w:tabs>
        <w:spacing w:line="240" w:lineRule="auto"/>
      </w:pPr>
      <w:r>
        <w:t>Arnauld, A.</w:t>
      </w:r>
      <w:r>
        <w:tab/>
        <w:t>90, 506, 619, 688, 766</w:t>
      </w:r>
    </w:p>
    <w:p w:rsidR="00E911ED" w:rsidRDefault="00E911ED" w:rsidP="00E911ED">
      <w:pPr>
        <w:pStyle w:val="Rejstk1"/>
        <w:tabs>
          <w:tab w:val="right" w:leader="dot" w:pos="4171"/>
        </w:tabs>
        <w:spacing w:line="240" w:lineRule="auto"/>
      </w:pPr>
      <w:r>
        <w:t>Arnold z Provence</w:t>
      </w:r>
      <w:r>
        <w:tab/>
        <w:t>858</w:t>
      </w:r>
    </w:p>
    <w:p w:rsidR="00E911ED" w:rsidRDefault="00E911ED" w:rsidP="00E911ED">
      <w:pPr>
        <w:pStyle w:val="Rejstk1"/>
        <w:tabs>
          <w:tab w:val="right" w:leader="dot" w:pos="4171"/>
        </w:tabs>
        <w:spacing w:line="240" w:lineRule="auto"/>
      </w:pPr>
      <w:r w:rsidRPr="004B4DFF">
        <w:rPr>
          <w:i/>
        </w:rPr>
        <w:t>Aufhebung</w:t>
      </w:r>
      <w:r>
        <w:tab/>
        <w:t>608, 700, 724, 836, 933</w:t>
      </w:r>
    </w:p>
    <w:p w:rsidR="00E911ED" w:rsidRDefault="00E911ED" w:rsidP="00E911ED">
      <w:pPr>
        <w:pStyle w:val="Rejstk1"/>
        <w:tabs>
          <w:tab w:val="right" w:leader="dot" w:pos="4171"/>
        </w:tabs>
        <w:spacing w:line="240" w:lineRule="auto"/>
      </w:pPr>
      <w:r w:rsidRPr="004B4DFF">
        <w:rPr>
          <w:i/>
        </w:rPr>
        <w:t>augustinisme avicennisant</w:t>
      </w:r>
      <w:r>
        <w:tab/>
        <w:t>312</w:t>
      </w:r>
    </w:p>
    <w:p w:rsidR="00E911ED" w:rsidRDefault="00E911ED" w:rsidP="00E911ED">
      <w:pPr>
        <w:pStyle w:val="Rejstk1"/>
        <w:tabs>
          <w:tab w:val="right" w:leader="dot" w:pos="4171"/>
        </w:tabs>
        <w:spacing w:line="240" w:lineRule="auto"/>
      </w:pPr>
      <w:r>
        <w:t>Augustinus</w:t>
      </w:r>
      <w:r w:rsidR="00E61858">
        <w:t xml:space="preserve">, viz </w:t>
      </w:r>
      <w:r w:rsidR="00E61858" w:rsidRPr="00E61858">
        <w:rPr>
          <w:i/>
        </w:rPr>
        <w:t>Index locorum</w:t>
      </w:r>
    </w:p>
    <w:p w:rsidR="00E911ED" w:rsidRDefault="00E911ED" w:rsidP="00E911ED">
      <w:pPr>
        <w:pStyle w:val="Rejstk1"/>
        <w:tabs>
          <w:tab w:val="right" w:leader="dot" w:pos="4171"/>
        </w:tabs>
        <w:spacing w:line="240" w:lineRule="auto"/>
      </w:pPr>
      <w:r w:rsidRPr="004B4DFF">
        <w:rPr>
          <w:iCs/>
        </w:rPr>
        <w:t>Avempace</w:t>
      </w:r>
      <w:r>
        <w:tab/>
        <w:t>63</w:t>
      </w:r>
    </w:p>
    <w:p w:rsidR="00E911ED" w:rsidRDefault="00E911ED" w:rsidP="00E911ED">
      <w:pPr>
        <w:pStyle w:val="Rejstk1"/>
        <w:tabs>
          <w:tab w:val="right" w:leader="dot" w:pos="4171"/>
        </w:tabs>
        <w:spacing w:line="240" w:lineRule="auto"/>
      </w:pPr>
      <w:r>
        <w:t>Averroes</w:t>
      </w:r>
      <w:r w:rsidR="00E61858">
        <w:t xml:space="preserve">, viz </w:t>
      </w:r>
      <w:r w:rsidR="00E61858" w:rsidRPr="00E61858">
        <w:rPr>
          <w:i/>
        </w:rPr>
        <w:t>Index locorum</w:t>
      </w:r>
    </w:p>
    <w:p w:rsidR="00E911ED" w:rsidRDefault="00E911ED" w:rsidP="00E61858">
      <w:pPr>
        <w:pStyle w:val="Rejstk1"/>
        <w:tabs>
          <w:tab w:val="right" w:leader="dot" w:pos="4171"/>
        </w:tabs>
        <w:spacing w:line="240" w:lineRule="auto"/>
      </w:pPr>
      <w:r>
        <w:t>averroismus</w:t>
      </w:r>
      <w:r w:rsidR="00E61858">
        <w:t xml:space="preserve">, </w:t>
      </w:r>
      <w:r w:rsidRPr="004B4DFF">
        <w:rPr>
          <w:i/>
        </w:rPr>
        <w:t>Moderni</w:t>
      </w:r>
      <w:r>
        <w:tab/>
        <w:t>59, 89, 140, 203, 364, 369, 470, 477, 490, 858</w:t>
      </w:r>
    </w:p>
    <w:p w:rsidR="00E911ED" w:rsidRDefault="00E911ED" w:rsidP="00E911ED">
      <w:pPr>
        <w:pStyle w:val="Rejstk1"/>
        <w:tabs>
          <w:tab w:val="right" w:leader="dot" w:pos="4171"/>
        </w:tabs>
        <w:spacing w:line="240" w:lineRule="auto"/>
      </w:pPr>
      <w:r>
        <w:t>Avicebron</w:t>
      </w:r>
      <w:r w:rsidR="00E61858">
        <w:t xml:space="preserve">, viz </w:t>
      </w:r>
      <w:r w:rsidR="00E61858" w:rsidRPr="00E61858">
        <w:rPr>
          <w:i/>
        </w:rPr>
        <w:t>Index locorum</w:t>
      </w:r>
      <w:r>
        <w:tab/>
        <w:t>63, 501</w:t>
      </w:r>
    </w:p>
    <w:p w:rsidR="00D4324A" w:rsidRPr="00F43866" w:rsidRDefault="00D4324A" w:rsidP="00D4324A">
      <w:pPr>
        <w:pStyle w:val="Hlavikarejstku"/>
        <w:keepNext/>
        <w:tabs>
          <w:tab w:val="right" w:leader="dot" w:pos="4171"/>
        </w:tabs>
        <w:spacing w:line="240" w:lineRule="auto"/>
        <w:rPr>
          <w:rFonts w:eastAsia="Times New Roman"/>
          <w:b w:val="0"/>
          <w:bCs w:val="0"/>
          <w:lang w:val="de-LU"/>
        </w:rPr>
      </w:pPr>
      <w:r>
        <w:rPr>
          <w:lang w:val="de-LU"/>
        </w:rPr>
        <w:t>B</w:t>
      </w:r>
    </w:p>
    <w:p w:rsidR="00E911ED" w:rsidRDefault="00E911ED" w:rsidP="00E911ED">
      <w:pPr>
        <w:pStyle w:val="Rejstk1"/>
        <w:tabs>
          <w:tab w:val="right" w:leader="dot" w:pos="4171"/>
        </w:tabs>
        <w:spacing w:line="240" w:lineRule="auto"/>
      </w:pPr>
      <w:r>
        <w:t>Bacon</w:t>
      </w:r>
      <w:r w:rsidR="00E61858">
        <w:t xml:space="preserve">, R., viz </w:t>
      </w:r>
      <w:r w:rsidR="00E61858" w:rsidRPr="00E61858">
        <w:rPr>
          <w:i/>
        </w:rPr>
        <w:t>Index locorum</w:t>
      </w:r>
    </w:p>
    <w:p w:rsidR="00E911ED" w:rsidRDefault="00E911ED" w:rsidP="00E911ED">
      <w:pPr>
        <w:pStyle w:val="Rejstk1"/>
        <w:tabs>
          <w:tab w:val="right" w:leader="dot" w:pos="4171"/>
        </w:tabs>
        <w:spacing w:line="240" w:lineRule="auto"/>
      </w:pPr>
      <w:r>
        <w:t>Baius, M.</w:t>
      </w:r>
      <w:r>
        <w:tab/>
        <w:t>112</w:t>
      </w:r>
    </w:p>
    <w:p w:rsidR="00E911ED" w:rsidRDefault="00E911ED" w:rsidP="00E911ED">
      <w:pPr>
        <w:pStyle w:val="Rejstk1"/>
        <w:tabs>
          <w:tab w:val="right" w:leader="dot" w:pos="4171"/>
        </w:tabs>
        <w:spacing w:line="240" w:lineRule="auto"/>
      </w:pPr>
      <w:r w:rsidRPr="004B4DFF">
        <w:rPr>
          <w:i/>
        </w:rPr>
        <w:t>Bajt al-Hikma</w:t>
      </w:r>
      <w:r>
        <w:tab/>
        <w:t>18</w:t>
      </w:r>
    </w:p>
    <w:p w:rsidR="00E911ED" w:rsidRDefault="00E911ED" w:rsidP="00E911ED">
      <w:pPr>
        <w:pStyle w:val="Rejstk1"/>
        <w:tabs>
          <w:tab w:val="right" w:leader="dot" w:pos="4171"/>
        </w:tabs>
        <w:spacing w:line="240" w:lineRule="auto"/>
      </w:pPr>
      <w:r w:rsidRPr="004B4DFF">
        <w:rPr>
          <w:i/>
        </w:rPr>
        <w:t>banksters</w:t>
      </w:r>
      <w:r>
        <w:tab/>
        <w:t>569, 574, 632, 686, 735</w:t>
      </w:r>
    </w:p>
    <w:p w:rsidR="00E911ED" w:rsidRDefault="00E911ED" w:rsidP="00E911ED">
      <w:pPr>
        <w:pStyle w:val="Rejstk1"/>
        <w:tabs>
          <w:tab w:val="right" w:leader="dot" w:pos="4171"/>
        </w:tabs>
        <w:spacing w:line="240" w:lineRule="auto"/>
      </w:pPr>
      <w:r>
        <w:t>baroko</w:t>
      </w:r>
      <w:r>
        <w:tab/>
        <w:t>491</w:t>
      </w:r>
    </w:p>
    <w:p w:rsidR="00E911ED" w:rsidRDefault="00E911ED" w:rsidP="00E911ED">
      <w:pPr>
        <w:pStyle w:val="Rejstk1"/>
        <w:tabs>
          <w:tab w:val="right" w:leader="dot" w:pos="4171"/>
        </w:tabs>
        <w:spacing w:line="240" w:lineRule="auto"/>
      </w:pPr>
      <w:r>
        <w:t>Bazán, C. B.</w:t>
      </w:r>
      <w:r>
        <w:tab/>
        <w:t>419, 420, 432, 462, 463</w:t>
      </w:r>
    </w:p>
    <w:p w:rsidR="00E911ED" w:rsidRDefault="00E911ED" w:rsidP="00E911ED">
      <w:pPr>
        <w:pStyle w:val="Rejstk1"/>
        <w:tabs>
          <w:tab w:val="right" w:leader="dot" w:pos="4171"/>
        </w:tabs>
        <w:spacing w:line="240" w:lineRule="auto"/>
      </w:pPr>
      <w:r w:rsidRPr="004B4DFF">
        <w:rPr>
          <w:i/>
        </w:rPr>
        <w:t>Beginn</w:t>
      </w:r>
      <w:r>
        <w:tab/>
        <w:t>9</w:t>
      </w:r>
    </w:p>
    <w:p w:rsidR="00E911ED" w:rsidRDefault="00E911ED" w:rsidP="00E911ED">
      <w:pPr>
        <w:pStyle w:val="Rejstk1"/>
        <w:tabs>
          <w:tab w:val="right" w:leader="dot" w:pos="4171"/>
        </w:tabs>
        <w:spacing w:line="240" w:lineRule="auto"/>
      </w:pPr>
      <w:r w:rsidRPr="004B4DFF">
        <w:rPr>
          <w:rFonts w:cs="Calibri"/>
        </w:rPr>
        <w:t>Benda, J.</w:t>
      </w:r>
      <w:r>
        <w:tab/>
        <w:t>487</w:t>
      </w:r>
    </w:p>
    <w:p w:rsidR="00E911ED" w:rsidRDefault="00E911ED" w:rsidP="00E911ED">
      <w:pPr>
        <w:pStyle w:val="Rejstk1"/>
        <w:tabs>
          <w:tab w:val="right" w:leader="dot" w:pos="4171"/>
        </w:tabs>
        <w:spacing w:line="240" w:lineRule="auto"/>
      </w:pPr>
      <w:r>
        <w:t>Berkeley, G.</w:t>
      </w:r>
      <w:r>
        <w:tab/>
        <w:t>124, 160, 722</w:t>
      </w:r>
    </w:p>
    <w:p w:rsidR="00E911ED" w:rsidRDefault="00E911ED" w:rsidP="00E911ED">
      <w:pPr>
        <w:pStyle w:val="Rejstk1"/>
        <w:tabs>
          <w:tab w:val="right" w:leader="dot" w:pos="4171"/>
        </w:tabs>
        <w:spacing w:line="240" w:lineRule="auto"/>
      </w:pPr>
      <w:r>
        <w:t>Bernard z Clairvaux</w:t>
      </w:r>
      <w:r>
        <w:tab/>
        <w:t>73</w:t>
      </w:r>
    </w:p>
    <w:p w:rsidR="00E911ED" w:rsidRDefault="000706F8" w:rsidP="00E911ED">
      <w:pPr>
        <w:pStyle w:val="Rejstk1"/>
        <w:tabs>
          <w:tab w:val="right" w:leader="dot" w:pos="4171"/>
        </w:tabs>
        <w:spacing w:line="240" w:lineRule="auto"/>
      </w:pPr>
      <w:r>
        <w:rPr>
          <w:i/>
          <w:iCs/>
        </w:rPr>
        <w:t>Bezugsinn</w:t>
      </w:r>
      <w:r w:rsidR="00E911ED">
        <w:tab/>
        <w:t>9, 16, 17, 271, 302, 317, 407, 419</w:t>
      </w:r>
    </w:p>
    <w:p w:rsidR="00E911ED" w:rsidRDefault="00E911ED" w:rsidP="00E911ED">
      <w:pPr>
        <w:pStyle w:val="Rejstk1"/>
        <w:tabs>
          <w:tab w:val="right" w:leader="dot" w:pos="4171"/>
        </w:tabs>
        <w:spacing w:line="240" w:lineRule="auto"/>
      </w:pPr>
      <w:r>
        <w:t>Boethius</w:t>
      </w:r>
      <w:r w:rsidR="00E61858">
        <w:t xml:space="preserve">, A., viz </w:t>
      </w:r>
      <w:r w:rsidR="00E61858" w:rsidRPr="00E61858">
        <w:rPr>
          <w:i/>
        </w:rPr>
        <w:t>Index locorum</w:t>
      </w:r>
    </w:p>
    <w:p w:rsidR="00E911ED" w:rsidRDefault="00E911ED" w:rsidP="00E911ED">
      <w:pPr>
        <w:pStyle w:val="Rejstk1"/>
        <w:tabs>
          <w:tab w:val="right" w:leader="dot" w:pos="4171"/>
        </w:tabs>
        <w:spacing w:line="240" w:lineRule="auto"/>
      </w:pPr>
      <w:r>
        <w:t>Boethius z Dácie</w:t>
      </w:r>
      <w:r>
        <w:tab/>
        <w:t>92, 173, 174, 175, 411, 435, 443, 450, 453, 472, 492, 507, 882, 887</w:t>
      </w:r>
    </w:p>
    <w:p w:rsidR="00E911ED" w:rsidRDefault="00E911ED" w:rsidP="00E911ED">
      <w:pPr>
        <w:pStyle w:val="Rejstk1"/>
        <w:tabs>
          <w:tab w:val="right" w:leader="dot" w:pos="4171"/>
        </w:tabs>
        <w:spacing w:line="240" w:lineRule="auto"/>
      </w:pPr>
      <w:r>
        <w:t>Boethius, Anicius</w:t>
      </w:r>
      <w:r>
        <w:tab/>
        <w:t>67, 143, 146, 148, 173, 436</w:t>
      </w:r>
    </w:p>
    <w:p w:rsidR="00E911ED" w:rsidRDefault="00E911ED" w:rsidP="00E911ED">
      <w:pPr>
        <w:pStyle w:val="Rejstk1"/>
        <w:tabs>
          <w:tab w:val="right" w:leader="dot" w:pos="4171"/>
        </w:tabs>
        <w:spacing w:line="240" w:lineRule="auto"/>
      </w:pPr>
      <w:r>
        <w:t>Bonaventura</w:t>
      </w:r>
      <w:r w:rsidR="00E61858">
        <w:t xml:space="preserve">, viz </w:t>
      </w:r>
      <w:r w:rsidR="00E61858" w:rsidRPr="00E61858">
        <w:rPr>
          <w:i/>
        </w:rPr>
        <w:t>Index locorum</w:t>
      </w:r>
    </w:p>
    <w:p w:rsidR="00E911ED" w:rsidRDefault="00E911ED" w:rsidP="00E911ED">
      <w:pPr>
        <w:pStyle w:val="Rejstk1"/>
        <w:tabs>
          <w:tab w:val="right" w:leader="dot" w:pos="4171"/>
        </w:tabs>
        <w:spacing w:line="240" w:lineRule="auto"/>
      </w:pPr>
      <w:r>
        <w:t>Bonhoeffer, D.</w:t>
      </w:r>
      <w:r>
        <w:tab/>
        <w:t>839</w:t>
      </w:r>
    </w:p>
    <w:p w:rsidR="00E911ED" w:rsidRDefault="00E911ED" w:rsidP="00E911ED">
      <w:pPr>
        <w:pStyle w:val="Rejstk1"/>
        <w:tabs>
          <w:tab w:val="right" w:leader="dot" w:pos="4171"/>
        </w:tabs>
        <w:spacing w:line="240" w:lineRule="auto"/>
      </w:pPr>
      <w:r w:rsidRPr="004B4DFF">
        <w:rPr>
          <w:i/>
        </w:rPr>
        <w:t>bonum humanum</w:t>
      </w:r>
      <w:r>
        <w:tab/>
        <w:t>861</w:t>
      </w:r>
    </w:p>
    <w:p w:rsidR="00E911ED" w:rsidRDefault="00E911ED" w:rsidP="00E911ED">
      <w:pPr>
        <w:pStyle w:val="Rejstk1"/>
        <w:tabs>
          <w:tab w:val="right" w:leader="dot" w:pos="4171"/>
        </w:tabs>
        <w:spacing w:line="240" w:lineRule="auto"/>
      </w:pPr>
      <w:r>
        <w:t>Boží Trojice</w:t>
      </w:r>
    </w:p>
    <w:p w:rsidR="00E911ED" w:rsidRDefault="00E911ED" w:rsidP="00E911ED">
      <w:pPr>
        <w:pStyle w:val="Rejstk2"/>
        <w:tabs>
          <w:tab w:val="right" w:leader="dot" w:pos="4171"/>
        </w:tabs>
        <w:spacing w:line="240" w:lineRule="auto"/>
      </w:pPr>
      <w:r>
        <w:t>Ibn-Ádí</w:t>
      </w:r>
      <w:r>
        <w:tab/>
        <w:t>611</w:t>
      </w:r>
    </w:p>
    <w:p w:rsidR="00E911ED" w:rsidRDefault="00E911ED" w:rsidP="00E911ED">
      <w:pPr>
        <w:pStyle w:val="Rejstk1"/>
        <w:tabs>
          <w:tab w:val="right" w:leader="dot" w:pos="4171"/>
        </w:tabs>
        <w:spacing w:line="240" w:lineRule="auto"/>
      </w:pPr>
      <w:r>
        <w:t>božská komedie</w:t>
      </w:r>
      <w:r>
        <w:tab/>
        <w:t>2, 302, 361, 629, 683, 688, 735, 901</w:t>
      </w:r>
    </w:p>
    <w:p w:rsidR="00E911ED" w:rsidRDefault="00E911ED" w:rsidP="00E911ED">
      <w:pPr>
        <w:pStyle w:val="Rejstk1"/>
        <w:tabs>
          <w:tab w:val="right" w:leader="dot" w:pos="4171"/>
        </w:tabs>
        <w:spacing w:line="240" w:lineRule="auto"/>
      </w:pPr>
      <w:r w:rsidRPr="004B4DFF">
        <w:rPr>
          <w:i/>
        </w:rPr>
        <w:t>Brain in a Vat</w:t>
      </w:r>
      <w:r>
        <w:tab/>
        <w:t>294, 686</w:t>
      </w:r>
    </w:p>
    <w:p w:rsidR="00E911ED" w:rsidRDefault="00E911ED" w:rsidP="00E911ED">
      <w:pPr>
        <w:pStyle w:val="Rejstk1"/>
        <w:tabs>
          <w:tab w:val="right" w:leader="dot" w:pos="4171"/>
        </w:tabs>
        <w:spacing w:line="240" w:lineRule="auto"/>
      </w:pPr>
      <w:r>
        <w:t>Burgundio z Pisy</w:t>
      </w:r>
      <w:r>
        <w:tab/>
        <w:t>847</w:t>
      </w:r>
    </w:p>
    <w:p w:rsidR="00D4324A" w:rsidRDefault="00D4324A" w:rsidP="00E911ED">
      <w:pPr>
        <w:pStyle w:val="Rejstk1"/>
        <w:tabs>
          <w:tab w:val="right" w:leader="dot" w:pos="4171"/>
        </w:tabs>
        <w:spacing w:line="240" w:lineRule="auto"/>
      </w:pPr>
    </w:p>
    <w:p w:rsidR="00D4324A" w:rsidRPr="00F43866" w:rsidRDefault="00D4324A" w:rsidP="00D4324A">
      <w:pPr>
        <w:pStyle w:val="Hlavikarejstku"/>
        <w:keepNext/>
        <w:tabs>
          <w:tab w:val="right" w:leader="dot" w:pos="4171"/>
        </w:tabs>
        <w:spacing w:line="240" w:lineRule="auto"/>
        <w:rPr>
          <w:rFonts w:eastAsia="Times New Roman"/>
          <w:b w:val="0"/>
          <w:bCs w:val="0"/>
          <w:lang w:val="de-LU"/>
        </w:rPr>
      </w:pPr>
      <w:r>
        <w:rPr>
          <w:lang w:val="de-LU"/>
        </w:rPr>
        <w:t>C, Č</w:t>
      </w:r>
    </w:p>
    <w:p w:rsidR="00E911ED" w:rsidRDefault="00E911ED" w:rsidP="00E911ED">
      <w:pPr>
        <w:pStyle w:val="Rejstk1"/>
        <w:tabs>
          <w:tab w:val="right" w:leader="dot" w:pos="4171"/>
        </w:tabs>
        <w:spacing w:line="240" w:lineRule="auto"/>
      </w:pPr>
      <w:r>
        <w:t>Catillon, R.</w:t>
      </w:r>
      <w:r>
        <w:tab/>
        <w:t>844</w:t>
      </w:r>
    </w:p>
    <w:p w:rsidR="00E911ED" w:rsidRDefault="00E911ED" w:rsidP="00E911ED">
      <w:pPr>
        <w:pStyle w:val="Rejstk1"/>
        <w:tabs>
          <w:tab w:val="right" w:leader="dot" w:pos="4171"/>
        </w:tabs>
        <w:spacing w:line="240" w:lineRule="auto"/>
      </w:pPr>
      <w:r w:rsidRPr="004B4DFF">
        <w:rPr>
          <w:i/>
          <w:color w:val="000000"/>
        </w:rPr>
        <w:t>causa prima</w:t>
      </w:r>
      <w:r>
        <w:tab/>
        <w:t>262, 614, 673, 676, 678, 680, 712, 826</w:t>
      </w:r>
    </w:p>
    <w:p w:rsidR="008A65BB" w:rsidRDefault="008A65BB" w:rsidP="00E911ED">
      <w:pPr>
        <w:pStyle w:val="Rejstk1"/>
        <w:tabs>
          <w:tab w:val="right" w:leader="dot" w:pos="4171"/>
        </w:tabs>
        <w:spacing w:line="240" w:lineRule="auto"/>
        <w:rPr>
          <w:i/>
        </w:rPr>
      </w:pPr>
      <w:r>
        <w:rPr>
          <w:i/>
        </w:rPr>
        <w:t>Cargo cult</w:t>
      </w:r>
      <w:r>
        <w:rPr>
          <w:i/>
        </w:rPr>
        <w:tab/>
      </w:r>
      <w:r w:rsidRPr="008A65BB">
        <w:t>124, 168</w:t>
      </w:r>
    </w:p>
    <w:p w:rsidR="00E911ED" w:rsidRDefault="00E911ED" w:rsidP="00E911ED">
      <w:pPr>
        <w:pStyle w:val="Rejstk1"/>
        <w:tabs>
          <w:tab w:val="right" w:leader="dot" w:pos="4171"/>
        </w:tabs>
        <w:spacing w:line="240" w:lineRule="auto"/>
      </w:pPr>
      <w:r w:rsidRPr="004B4DFF">
        <w:rPr>
          <w:i/>
        </w:rPr>
        <w:t>causa sui</w:t>
      </w:r>
      <w:r>
        <w:tab/>
        <w:t>917, 920</w:t>
      </w:r>
    </w:p>
    <w:p w:rsidR="00E911ED" w:rsidRDefault="00E911ED" w:rsidP="00E911ED">
      <w:pPr>
        <w:pStyle w:val="Rejstk1"/>
        <w:tabs>
          <w:tab w:val="right" w:leader="dot" w:pos="4171"/>
        </w:tabs>
        <w:spacing w:line="240" w:lineRule="auto"/>
      </w:pPr>
      <w:r>
        <w:t>Certeau, M.</w:t>
      </w:r>
      <w:r>
        <w:tab/>
        <w:t>843</w:t>
      </w:r>
    </w:p>
    <w:p w:rsidR="00E911ED" w:rsidRDefault="00E911ED" w:rsidP="00E911ED">
      <w:pPr>
        <w:pStyle w:val="Rejstk1"/>
        <w:tabs>
          <w:tab w:val="right" w:leader="dot" w:pos="4171"/>
        </w:tabs>
        <w:spacing w:line="240" w:lineRule="auto"/>
      </w:pPr>
      <w:r>
        <w:t>Certeau. M.</w:t>
      </w:r>
      <w:r>
        <w:tab/>
        <w:t>937</w:t>
      </w:r>
    </w:p>
    <w:p w:rsidR="00E911ED" w:rsidRDefault="00E911ED" w:rsidP="00E911ED">
      <w:pPr>
        <w:pStyle w:val="Rejstk1"/>
        <w:tabs>
          <w:tab w:val="right" w:leader="dot" w:pos="4171"/>
        </w:tabs>
        <w:spacing w:line="240" w:lineRule="auto"/>
      </w:pPr>
      <w:r w:rsidRPr="004B4DFF">
        <w:rPr>
          <w:i/>
        </w:rPr>
        <w:t>City of London</w:t>
      </w:r>
      <w:r>
        <w:tab/>
        <w:t>707</w:t>
      </w:r>
    </w:p>
    <w:p w:rsidR="00E911ED" w:rsidRDefault="00E911ED" w:rsidP="00E911ED">
      <w:pPr>
        <w:pStyle w:val="Rejstk1"/>
        <w:tabs>
          <w:tab w:val="right" w:leader="dot" w:pos="4171"/>
        </w:tabs>
        <w:spacing w:line="240" w:lineRule="auto"/>
      </w:pPr>
      <w:r w:rsidRPr="004B4DFF">
        <w:rPr>
          <w:i/>
        </w:rPr>
        <w:t>cloud computing</w:t>
      </w:r>
      <w:r>
        <w:tab/>
        <w:t>140, 514, 516, 574, 611, 616, 689, 831, 951</w:t>
      </w:r>
    </w:p>
    <w:p w:rsidR="00E911ED" w:rsidRDefault="00E911ED" w:rsidP="00E911ED">
      <w:pPr>
        <w:pStyle w:val="Rejstk1"/>
        <w:tabs>
          <w:tab w:val="right" w:leader="dot" w:pos="4171"/>
        </w:tabs>
        <w:spacing w:line="240" w:lineRule="auto"/>
      </w:pPr>
      <w:r w:rsidRPr="004B4DFF">
        <w:rPr>
          <w:i/>
        </w:rPr>
        <w:t>cogito</w:t>
      </w:r>
      <w:r>
        <w:tab/>
        <w:t>272, 295, 296, 334, 363, 412, 584, 623, 731, 762, 944</w:t>
      </w:r>
    </w:p>
    <w:p w:rsidR="00E911ED" w:rsidRDefault="00E911ED" w:rsidP="00E911ED">
      <w:pPr>
        <w:pStyle w:val="Rejstk1"/>
        <w:tabs>
          <w:tab w:val="right" w:leader="dot" w:pos="4171"/>
        </w:tabs>
        <w:spacing w:line="240" w:lineRule="auto"/>
      </w:pPr>
      <w:r w:rsidRPr="004B4DFF">
        <w:rPr>
          <w:i/>
        </w:rPr>
        <w:t>cogito ergo aspecto</w:t>
      </w:r>
      <w:r>
        <w:tab/>
        <w:t>944</w:t>
      </w:r>
    </w:p>
    <w:p w:rsidR="00E911ED" w:rsidRDefault="00E911ED" w:rsidP="00E911ED">
      <w:pPr>
        <w:pStyle w:val="Rejstk1"/>
        <w:tabs>
          <w:tab w:val="right" w:leader="dot" w:pos="4171"/>
        </w:tabs>
        <w:spacing w:line="240" w:lineRule="auto"/>
      </w:pPr>
      <w:r w:rsidRPr="004B4DFF">
        <w:rPr>
          <w:i/>
        </w:rPr>
        <w:t>cogito</w:t>
      </w:r>
      <w:r>
        <w:t xml:space="preserve"> </w:t>
      </w:r>
      <w:r w:rsidRPr="004B4DFF">
        <w:rPr>
          <w:i/>
        </w:rPr>
        <w:t>ergo sum</w:t>
      </w:r>
      <w:r>
        <w:tab/>
        <w:t>90, 285, 419</w:t>
      </w:r>
    </w:p>
    <w:p w:rsidR="00E911ED" w:rsidRDefault="00E911ED" w:rsidP="00E911ED">
      <w:pPr>
        <w:pStyle w:val="Rejstk1"/>
        <w:tabs>
          <w:tab w:val="right" w:leader="dot" w:pos="4171"/>
        </w:tabs>
        <w:spacing w:line="240" w:lineRule="auto"/>
      </w:pPr>
      <w:r w:rsidRPr="004B4DFF">
        <w:rPr>
          <w:i/>
        </w:rPr>
        <w:t>cognitive neuroscience</w:t>
      </w:r>
      <w:r>
        <w:tab/>
        <w:t>131</w:t>
      </w:r>
    </w:p>
    <w:p w:rsidR="00E911ED" w:rsidRDefault="00E911ED" w:rsidP="00E911ED">
      <w:pPr>
        <w:pStyle w:val="Rejstk1"/>
        <w:tabs>
          <w:tab w:val="right" w:leader="dot" w:pos="4171"/>
        </w:tabs>
        <w:spacing w:line="240" w:lineRule="auto"/>
      </w:pPr>
      <w:r w:rsidRPr="004B4DFF">
        <w:rPr>
          <w:i/>
        </w:rPr>
        <w:t>collecta</w:t>
      </w:r>
      <w:r>
        <w:tab/>
        <w:t>171, 506, 517</w:t>
      </w:r>
    </w:p>
    <w:p w:rsidR="00E911ED" w:rsidRDefault="00E911ED" w:rsidP="00E911ED">
      <w:pPr>
        <w:pStyle w:val="Rejstk1"/>
        <w:tabs>
          <w:tab w:val="right" w:leader="dot" w:pos="4171"/>
        </w:tabs>
        <w:spacing w:line="240" w:lineRule="auto"/>
      </w:pPr>
      <w:r w:rsidRPr="004B4DFF">
        <w:rPr>
          <w:i/>
        </w:rPr>
        <w:t>collectio</w:t>
      </w:r>
      <w:r>
        <w:tab/>
        <w:t>474</w:t>
      </w:r>
    </w:p>
    <w:p w:rsidR="00E911ED" w:rsidRDefault="00E911ED" w:rsidP="00E911ED">
      <w:pPr>
        <w:pStyle w:val="Rejstk1"/>
        <w:tabs>
          <w:tab w:val="right" w:leader="dot" w:pos="4171"/>
        </w:tabs>
        <w:spacing w:line="240" w:lineRule="auto"/>
      </w:pPr>
      <w:r w:rsidRPr="004B4DFF">
        <w:rPr>
          <w:i/>
        </w:rPr>
        <w:t>colligatio</w:t>
      </w:r>
      <w:r>
        <w:tab/>
        <w:t>291, 438, 520, 545</w:t>
      </w:r>
    </w:p>
    <w:p w:rsidR="00E61858" w:rsidRDefault="00E911ED" w:rsidP="00E911ED">
      <w:pPr>
        <w:pStyle w:val="Rejstk1"/>
        <w:tabs>
          <w:tab w:val="right" w:leader="dot" w:pos="4171"/>
        </w:tabs>
        <w:spacing w:line="240" w:lineRule="auto"/>
        <w:rPr>
          <w:i/>
        </w:rPr>
      </w:pPr>
      <w:r w:rsidRPr="004B4DFF">
        <w:rPr>
          <w:i/>
        </w:rPr>
        <w:t>Commentarium Abrincense</w:t>
      </w:r>
      <w:r w:rsidR="00E61858">
        <w:rPr>
          <w:i/>
        </w:rPr>
        <w:t xml:space="preserve">, </w:t>
      </w:r>
      <w:r w:rsidR="00E61858" w:rsidRPr="00E61858">
        <w:t>viz</w:t>
      </w:r>
      <w:r w:rsidR="00E61858">
        <w:rPr>
          <w:i/>
        </w:rPr>
        <w:t xml:space="preserve"> Index locorum</w:t>
      </w:r>
    </w:p>
    <w:p w:rsidR="00E61858" w:rsidRDefault="00E911ED" w:rsidP="00E61858">
      <w:pPr>
        <w:pStyle w:val="Rejstk1"/>
        <w:tabs>
          <w:tab w:val="right" w:leader="dot" w:pos="4171"/>
        </w:tabs>
        <w:spacing w:line="240" w:lineRule="auto"/>
        <w:rPr>
          <w:i/>
        </w:rPr>
      </w:pPr>
      <w:r w:rsidRPr="004B4DFF">
        <w:rPr>
          <w:i/>
        </w:rPr>
        <w:t>Commentarium in Ethicam Nouam et Veterem</w:t>
      </w:r>
      <w:r w:rsidR="00E61858">
        <w:rPr>
          <w:i/>
        </w:rPr>
        <w:t xml:space="preserve">, </w:t>
      </w:r>
      <w:r w:rsidR="00E61858" w:rsidRPr="00E61858">
        <w:t>viz</w:t>
      </w:r>
      <w:r w:rsidR="00E61858">
        <w:rPr>
          <w:i/>
        </w:rPr>
        <w:t xml:space="preserve"> Index locorum</w:t>
      </w:r>
    </w:p>
    <w:p w:rsidR="00E911ED" w:rsidRDefault="00E911ED" w:rsidP="00E911ED">
      <w:pPr>
        <w:pStyle w:val="Rejstk1"/>
        <w:tabs>
          <w:tab w:val="right" w:leader="dot" w:pos="4171"/>
        </w:tabs>
        <w:spacing w:line="240" w:lineRule="auto"/>
      </w:pPr>
      <w:r w:rsidRPr="004B4DFF">
        <w:rPr>
          <w:i/>
        </w:rPr>
        <w:t>communicatio idiomatum</w:t>
      </w:r>
      <w:r>
        <w:tab/>
        <w:t>633, 636, 731</w:t>
      </w:r>
    </w:p>
    <w:p w:rsidR="00E911ED" w:rsidRDefault="00E911ED" w:rsidP="00E911ED">
      <w:pPr>
        <w:pStyle w:val="Rejstk1"/>
        <w:tabs>
          <w:tab w:val="right" w:leader="dot" w:pos="4171"/>
        </w:tabs>
        <w:spacing w:line="240" w:lineRule="auto"/>
      </w:pPr>
      <w:r w:rsidRPr="004B4DFF">
        <w:rPr>
          <w:i/>
        </w:rPr>
        <w:t>conatus</w:t>
      </w:r>
      <w:r>
        <w:tab/>
        <w:t>18, 46, 503, 550, 554, 819</w:t>
      </w:r>
    </w:p>
    <w:p w:rsidR="00E911ED" w:rsidRDefault="00E911ED" w:rsidP="00E911ED">
      <w:pPr>
        <w:pStyle w:val="Rejstk1"/>
        <w:tabs>
          <w:tab w:val="right" w:leader="dot" w:pos="4171"/>
        </w:tabs>
        <w:spacing w:line="240" w:lineRule="auto"/>
      </w:pPr>
      <w:r w:rsidRPr="004B4DFF">
        <w:rPr>
          <w:i/>
        </w:rPr>
        <w:t>conceptus simpliciter simplex</w:t>
      </w:r>
      <w:r>
        <w:tab/>
        <w:t>697, 698, 699, 701, 702, 751, 759, 805</w:t>
      </w:r>
    </w:p>
    <w:p w:rsidR="00E911ED" w:rsidRDefault="00E911ED" w:rsidP="00E911ED">
      <w:pPr>
        <w:pStyle w:val="Rejstk1"/>
        <w:tabs>
          <w:tab w:val="right" w:leader="dot" w:pos="4171"/>
        </w:tabs>
        <w:spacing w:line="240" w:lineRule="auto"/>
      </w:pPr>
      <w:r w:rsidRPr="004B4DFF">
        <w:rPr>
          <w:i/>
        </w:rPr>
        <w:t>concretum</w:t>
      </w:r>
      <w:r>
        <w:tab/>
        <w:t>36, 50, 119, 121, 123, 188, 395, 792, 830, 919</w:t>
      </w:r>
    </w:p>
    <w:p w:rsidR="00E911ED" w:rsidRDefault="00E911ED" w:rsidP="00E911ED">
      <w:pPr>
        <w:pStyle w:val="Rejstk2"/>
        <w:tabs>
          <w:tab w:val="right" w:leader="dot" w:pos="4171"/>
        </w:tabs>
        <w:spacing w:line="240" w:lineRule="auto"/>
      </w:pPr>
      <w:r>
        <w:t>moderna</w:t>
      </w:r>
      <w:r>
        <w:tab/>
        <w:t>506</w:t>
      </w:r>
    </w:p>
    <w:p w:rsidR="00E911ED" w:rsidRDefault="00E911ED" w:rsidP="00E61858">
      <w:pPr>
        <w:pStyle w:val="Rejstk1"/>
        <w:tabs>
          <w:tab w:val="right" w:leader="dot" w:pos="4171"/>
        </w:tabs>
        <w:spacing w:line="240" w:lineRule="auto"/>
      </w:pPr>
      <w:r w:rsidRPr="004B4DFF">
        <w:rPr>
          <w:i/>
        </w:rPr>
        <w:t>coniunctio</w:t>
      </w:r>
      <w:r>
        <w:tab/>
        <w:t>212</w:t>
      </w:r>
    </w:p>
    <w:p w:rsidR="00E911ED" w:rsidRDefault="00E911ED" w:rsidP="00E911ED">
      <w:pPr>
        <w:pStyle w:val="Rejstk1"/>
        <w:tabs>
          <w:tab w:val="right" w:leader="dot" w:pos="4171"/>
        </w:tabs>
        <w:spacing w:line="240" w:lineRule="auto"/>
      </w:pPr>
      <w:r w:rsidRPr="004B4DFF">
        <w:rPr>
          <w:i/>
        </w:rPr>
        <w:t>consimilitudo</w:t>
      </w:r>
      <w:r>
        <w:tab/>
        <w:t>367</w:t>
      </w:r>
    </w:p>
    <w:p w:rsidR="00E911ED" w:rsidRDefault="00E911ED" w:rsidP="00E911ED">
      <w:pPr>
        <w:pStyle w:val="Rejstk1"/>
        <w:tabs>
          <w:tab w:val="right" w:leader="dot" w:pos="4171"/>
        </w:tabs>
        <w:spacing w:line="240" w:lineRule="auto"/>
      </w:pPr>
      <w:r w:rsidRPr="004B4DFF">
        <w:rPr>
          <w:i/>
        </w:rPr>
        <w:t>creabilia</w:t>
      </w:r>
      <w:r>
        <w:tab/>
        <w:t>617, 632, 635</w:t>
      </w:r>
    </w:p>
    <w:p w:rsidR="00E911ED" w:rsidRDefault="00E911ED" w:rsidP="00E911ED">
      <w:pPr>
        <w:pStyle w:val="Rejstk1"/>
        <w:tabs>
          <w:tab w:val="right" w:leader="dot" w:pos="4171"/>
        </w:tabs>
        <w:spacing w:line="240" w:lineRule="auto"/>
      </w:pPr>
      <w:r w:rsidRPr="004B4DFF">
        <w:rPr>
          <w:i/>
        </w:rPr>
        <w:t>creatio ex nihilo</w:t>
      </w:r>
      <w:r>
        <w:tab/>
        <w:t>38, 43, 72, 249, 252, 254, 395, 400, 491, 510, 522, 555, 585, 590, 603, 608, 612, 617, 618, 632, 637, 792, 815, 943</w:t>
      </w:r>
    </w:p>
    <w:p w:rsidR="00E911ED" w:rsidRDefault="00E911ED" w:rsidP="00E911ED">
      <w:pPr>
        <w:pStyle w:val="Rejstk1"/>
        <w:tabs>
          <w:tab w:val="right" w:leader="dot" w:pos="4171"/>
        </w:tabs>
        <w:spacing w:line="240" w:lineRule="auto"/>
      </w:pPr>
      <w:r>
        <w:t>čarodějnické procesy</w:t>
      </w:r>
      <w:r>
        <w:tab/>
        <w:t>470</w:t>
      </w:r>
    </w:p>
    <w:p w:rsidR="00E911ED" w:rsidRDefault="00E911ED" w:rsidP="00E911ED">
      <w:pPr>
        <w:pStyle w:val="Rejstk1"/>
        <w:tabs>
          <w:tab w:val="right" w:leader="dot" w:pos="4171"/>
        </w:tabs>
        <w:spacing w:line="240" w:lineRule="auto"/>
      </w:pPr>
      <w:r>
        <w:t>čarodějnictví</w:t>
      </w:r>
      <w:r>
        <w:tab/>
        <w:t>842, 844</w:t>
      </w:r>
    </w:p>
    <w:p w:rsidR="00D4324A" w:rsidRPr="00F43866" w:rsidRDefault="00D4324A" w:rsidP="00D4324A">
      <w:pPr>
        <w:pStyle w:val="Hlavikarejstku"/>
        <w:keepNext/>
        <w:tabs>
          <w:tab w:val="right" w:leader="dot" w:pos="4171"/>
        </w:tabs>
        <w:spacing w:line="240" w:lineRule="auto"/>
        <w:rPr>
          <w:rFonts w:eastAsia="Times New Roman"/>
          <w:b w:val="0"/>
          <w:bCs w:val="0"/>
          <w:lang w:val="de-LU"/>
        </w:rPr>
      </w:pPr>
      <w:r>
        <w:rPr>
          <w:lang w:val="de-LU"/>
        </w:rPr>
        <w:t>D</w:t>
      </w:r>
    </w:p>
    <w:p w:rsidR="00D4324A" w:rsidRDefault="00D4324A" w:rsidP="00E911ED">
      <w:pPr>
        <w:pStyle w:val="Rejstk1"/>
        <w:tabs>
          <w:tab w:val="right" w:leader="dot" w:pos="4171"/>
        </w:tabs>
        <w:spacing w:line="240" w:lineRule="auto"/>
        <w:rPr>
          <w:i/>
        </w:rPr>
      </w:pPr>
    </w:p>
    <w:p w:rsidR="00E911ED" w:rsidRDefault="00E911ED" w:rsidP="00E911ED">
      <w:pPr>
        <w:pStyle w:val="Rejstk1"/>
        <w:tabs>
          <w:tab w:val="right" w:leader="dot" w:pos="4171"/>
        </w:tabs>
        <w:spacing w:line="240" w:lineRule="auto"/>
      </w:pPr>
      <w:r w:rsidRPr="00E61858">
        <w:rPr>
          <w:i/>
        </w:rPr>
        <w:t>dalā'il</w:t>
      </w:r>
      <w:r>
        <w:tab/>
        <w:t>251, 397</w:t>
      </w:r>
    </w:p>
    <w:p w:rsidR="00E911ED" w:rsidRDefault="00E911ED" w:rsidP="00E911ED">
      <w:pPr>
        <w:pStyle w:val="Rejstk1"/>
        <w:tabs>
          <w:tab w:val="right" w:leader="dot" w:pos="4171"/>
        </w:tabs>
        <w:spacing w:line="240" w:lineRule="auto"/>
      </w:pPr>
      <w:r w:rsidRPr="004B4DFF">
        <w:rPr>
          <w:i/>
        </w:rPr>
        <w:t>damnatio memoriae</w:t>
      </w:r>
      <w:r>
        <w:tab/>
        <w:t>66, 241, 312, 358, 419, 471, 472, 610, 645, 837, 842, 886</w:t>
      </w:r>
    </w:p>
    <w:p w:rsidR="00E911ED" w:rsidRDefault="00E911ED" w:rsidP="00E911ED">
      <w:pPr>
        <w:pStyle w:val="Rejstk1"/>
        <w:tabs>
          <w:tab w:val="right" w:leader="dot" w:pos="4171"/>
        </w:tabs>
        <w:spacing w:line="240" w:lineRule="auto"/>
      </w:pPr>
      <w:r>
        <w:t>Dante, A.</w:t>
      </w:r>
      <w:r w:rsidR="00E61858">
        <w:t xml:space="preserve">, viz </w:t>
      </w:r>
      <w:r w:rsidR="00E61858" w:rsidRPr="00E61858">
        <w:rPr>
          <w:i/>
        </w:rPr>
        <w:t>Index locorum</w:t>
      </w:r>
      <w:r w:rsidR="00E61858">
        <w:t xml:space="preserve"> </w:t>
      </w:r>
      <w:r>
        <w:tab/>
        <w:t>241, 243, 305, 306, 308, 310, 347, 354, 361, 362, 443, 472, 477, 492, 493, 513, 809, 841, 850, 878, 886, 902, 904, 907, 922, 925</w:t>
      </w:r>
    </w:p>
    <w:p w:rsidR="00E911ED" w:rsidRDefault="00E911ED" w:rsidP="00E911ED">
      <w:pPr>
        <w:pStyle w:val="Rejstk1"/>
        <w:tabs>
          <w:tab w:val="right" w:leader="dot" w:pos="4171"/>
        </w:tabs>
        <w:spacing w:line="240" w:lineRule="auto"/>
      </w:pPr>
      <w:r w:rsidRPr="004B4DFF">
        <w:rPr>
          <w:i/>
          <w:iCs/>
        </w:rPr>
        <w:t>dativus auctoris</w:t>
      </w:r>
      <w:r>
        <w:tab/>
        <w:t>16, 19, 37, 101, 106, 107, 114, 274, 314, 419, 511, 556, 560, 602, 609, 615, 632, 633, 635, 815, 819, 946, 949</w:t>
      </w:r>
    </w:p>
    <w:p w:rsidR="00E911ED" w:rsidRDefault="00E911ED" w:rsidP="00E911ED">
      <w:pPr>
        <w:pStyle w:val="Rejstk1"/>
        <w:tabs>
          <w:tab w:val="right" w:leader="dot" w:pos="4171"/>
        </w:tabs>
        <w:spacing w:line="240" w:lineRule="auto"/>
      </w:pPr>
      <w:r w:rsidRPr="004B4DFF">
        <w:rPr>
          <w:i/>
          <w:iCs/>
        </w:rPr>
        <w:t>dativus ethicus</w:t>
      </w:r>
      <w:r>
        <w:tab/>
        <w:t>16, 634, 742, 821, 840, 846, 947</w:t>
      </w:r>
    </w:p>
    <w:p w:rsidR="00E911ED" w:rsidRDefault="00E911ED" w:rsidP="00E911ED">
      <w:pPr>
        <w:pStyle w:val="Rejstk1"/>
        <w:tabs>
          <w:tab w:val="right" w:leader="dot" w:pos="4171"/>
        </w:tabs>
        <w:spacing w:line="240" w:lineRule="auto"/>
      </w:pPr>
      <w:r w:rsidRPr="004B4DFF">
        <w:rPr>
          <w:i/>
          <w:iCs/>
        </w:rPr>
        <w:t>dativus finalis</w:t>
      </w:r>
      <w:r>
        <w:tab/>
        <w:t>16, 122, 130, 274, 306, 308, 511, 556, 575, 634, 819</w:t>
      </w:r>
    </w:p>
    <w:p w:rsidR="00E911ED" w:rsidRDefault="00E911ED" w:rsidP="00E911ED">
      <w:pPr>
        <w:pStyle w:val="Rejstk1"/>
        <w:tabs>
          <w:tab w:val="right" w:leader="dot" w:pos="4171"/>
        </w:tabs>
        <w:spacing w:line="240" w:lineRule="auto"/>
      </w:pPr>
      <w:r w:rsidRPr="004B4DFF">
        <w:rPr>
          <w:i/>
          <w:iCs/>
        </w:rPr>
        <w:t>dativus incommodi</w:t>
      </w:r>
      <w:r>
        <w:tab/>
        <w:t>16, 275, 469, 511, 550, 618, 642, 736, 741, 750, 825, 831, 837, 846, 920, 933</w:t>
      </w:r>
    </w:p>
    <w:p w:rsidR="00E911ED" w:rsidRDefault="00E911ED" w:rsidP="00E911ED">
      <w:pPr>
        <w:pStyle w:val="Rejstk1"/>
        <w:tabs>
          <w:tab w:val="right" w:leader="dot" w:pos="4171"/>
        </w:tabs>
        <w:spacing w:line="240" w:lineRule="auto"/>
      </w:pPr>
      <w:r w:rsidRPr="004B4DFF">
        <w:rPr>
          <w:i/>
          <w:iCs/>
        </w:rPr>
        <w:t>dativus instrumenti</w:t>
      </w:r>
      <w:r>
        <w:tab/>
        <w:t>16, 557, 635, 818, 821, 839, 946, 947</w:t>
      </w:r>
    </w:p>
    <w:p w:rsidR="00E911ED" w:rsidRDefault="00E911ED" w:rsidP="00E911ED">
      <w:pPr>
        <w:pStyle w:val="Rejstk1"/>
        <w:tabs>
          <w:tab w:val="right" w:leader="dot" w:pos="4171"/>
        </w:tabs>
        <w:spacing w:line="240" w:lineRule="auto"/>
      </w:pPr>
      <w:r w:rsidRPr="004B4DFF">
        <w:rPr>
          <w:i/>
          <w:iCs/>
        </w:rPr>
        <w:t>dativus mensurae</w:t>
      </w:r>
      <w:r>
        <w:tab/>
        <w:t>16, 625, 626, 633, 829, 830</w:t>
      </w:r>
    </w:p>
    <w:p w:rsidR="00E911ED" w:rsidRDefault="00E911ED" w:rsidP="00E911ED">
      <w:pPr>
        <w:pStyle w:val="Rejstk1"/>
        <w:tabs>
          <w:tab w:val="right" w:leader="dot" w:pos="4171"/>
        </w:tabs>
        <w:spacing w:line="240" w:lineRule="auto"/>
      </w:pPr>
      <w:r w:rsidRPr="004B4DFF">
        <w:rPr>
          <w:i/>
        </w:rPr>
        <w:t>dativus metaphysicus</w:t>
      </w:r>
      <w:r>
        <w:tab/>
        <w:t>6, 56, 86, 164, 174, 259, 289, 300, 335, 360, 393, 410, 512, 582, 650, 657, 665, 682, 752, 787, 801, 847, 861, 914, 923, 924, 938</w:t>
      </w:r>
    </w:p>
    <w:p w:rsidR="00E911ED" w:rsidRDefault="00E911ED" w:rsidP="00E911ED">
      <w:pPr>
        <w:pStyle w:val="Rejstk1"/>
        <w:tabs>
          <w:tab w:val="right" w:leader="dot" w:pos="4171"/>
        </w:tabs>
        <w:spacing w:line="240" w:lineRule="auto"/>
      </w:pPr>
      <w:r w:rsidRPr="004B4DFF">
        <w:rPr>
          <w:i/>
          <w:iCs/>
        </w:rPr>
        <w:t>dativus modi</w:t>
      </w:r>
      <w:r>
        <w:tab/>
        <w:t>16, 20, 73, 98, 107, 117, 302, 314, 368, 471, 511, 636, 683, 820</w:t>
      </w:r>
    </w:p>
    <w:p w:rsidR="00E911ED" w:rsidRDefault="00E911ED" w:rsidP="00E911ED">
      <w:pPr>
        <w:pStyle w:val="Rejstk1"/>
        <w:tabs>
          <w:tab w:val="right" w:leader="dot" w:pos="4171"/>
        </w:tabs>
        <w:spacing w:line="240" w:lineRule="auto"/>
      </w:pPr>
      <w:r w:rsidRPr="004B4DFF">
        <w:rPr>
          <w:i/>
          <w:iCs/>
        </w:rPr>
        <w:t>dativus obiectivus</w:t>
      </w:r>
      <w:r>
        <w:tab/>
        <w:t>575</w:t>
      </w:r>
    </w:p>
    <w:p w:rsidR="00E911ED" w:rsidRDefault="00E911ED" w:rsidP="00E911ED">
      <w:pPr>
        <w:pStyle w:val="Rejstk1"/>
        <w:tabs>
          <w:tab w:val="right" w:leader="dot" w:pos="4171"/>
        </w:tabs>
        <w:spacing w:line="240" w:lineRule="auto"/>
      </w:pPr>
      <w:r w:rsidRPr="004B4DFF">
        <w:rPr>
          <w:i/>
        </w:rPr>
        <w:t>dativus obiectivus</w:t>
      </w:r>
      <w:r>
        <w:tab/>
        <w:t>14, 19, 37, 119, 121, 419, 489, 510, 512, 535, 571</w:t>
      </w:r>
      <w:r w:rsidR="00FA4241">
        <w:t xml:space="preserve">, 575, 631, 650, 664, 665, 837, 950, </w:t>
      </w:r>
    </w:p>
    <w:p w:rsidR="00E911ED" w:rsidRDefault="00E911ED" w:rsidP="00E911ED">
      <w:pPr>
        <w:pStyle w:val="Rejstk1"/>
        <w:tabs>
          <w:tab w:val="right" w:leader="dot" w:pos="4171"/>
        </w:tabs>
        <w:spacing w:line="240" w:lineRule="auto"/>
      </w:pPr>
      <w:r w:rsidRPr="004B4DFF">
        <w:rPr>
          <w:i/>
        </w:rPr>
        <w:t>d</w:t>
      </w:r>
      <w:r w:rsidRPr="004B4DFF">
        <w:rPr>
          <w:i/>
          <w:iCs/>
        </w:rPr>
        <w:t>ativus possessivus</w:t>
      </w:r>
      <w:r>
        <w:tab/>
        <w:t xml:space="preserve">16, 17, 21, 23, 37, 99, 122, 125, 157, 267, </w:t>
      </w:r>
      <w:r w:rsidR="00FA4241">
        <w:t xml:space="preserve">318, </w:t>
      </w:r>
      <w:r>
        <w:t>469, 489, 509, 535, 556, 560, 602, 615, 631, 665, 705, 708, 792, 815, 816, 834, 939, 946, 949, 950</w:t>
      </w:r>
    </w:p>
    <w:p w:rsidR="00E911ED" w:rsidRDefault="00E911ED" w:rsidP="00E911ED">
      <w:pPr>
        <w:pStyle w:val="Rejstk1"/>
        <w:tabs>
          <w:tab w:val="right" w:leader="dot" w:pos="4171"/>
        </w:tabs>
        <w:spacing w:line="240" w:lineRule="auto"/>
      </w:pPr>
      <w:r w:rsidRPr="004B4DFF">
        <w:rPr>
          <w:i/>
        </w:rPr>
        <w:t>dativus principalis</w:t>
      </w:r>
      <w:r>
        <w:tab/>
        <w:t>15, 659</w:t>
      </w:r>
    </w:p>
    <w:p w:rsidR="00E911ED" w:rsidRDefault="001342FE" w:rsidP="00E911ED">
      <w:pPr>
        <w:pStyle w:val="Rejstk1"/>
        <w:tabs>
          <w:tab w:val="right" w:leader="dot" w:pos="4171"/>
        </w:tabs>
        <w:spacing w:line="240" w:lineRule="auto"/>
      </w:pPr>
      <w:r>
        <w:rPr>
          <w:i/>
        </w:rPr>
        <w:t>dator formarum</w:t>
      </w:r>
      <w:r w:rsidR="00E911ED">
        <w:tab/>
        <w:t>87, 153, 225, 394, 593, 612, 728</w:t>
      </w:r>
    </w:p>
    <w:p w:rsidR="00E911ED" w:rsidRDefault="00E911ED" w:rsidP="00E911ED">
      <w:pPr>
        <w:pStyle w:val="Rejstk1"/>
        <w:tabs>
          <w:tab w:val="right" w:leader="dot" w:pos="4171"/>
        </w:tabs>
        <w:spacing w:line="240" w:lineRule="auto"/>
      </w:pPr>
      <w:r>
        <w:t>David z Dinantu</w:t>
      </w:r>
      <w:r>
        <w:tab/>
        <w:t xml:space="preserve">10, 64, 82, 366, 368, 381, 382, </w:t>
      </w:r>
      <w:r w:rsidR="00FA4241">
        <w:t xml:space="preserve">499, </w:t>
      </w:r>
      <w:r>
        <w:t>559, 637, 724</w:t>
      </w:r>
    </w:p>
    <w:p w:rsidR="00E911ED" w:rsidRDefault="00E911ED" w:rsidP="00E911ED">
      <w:pPr>
        <w:pStyle w:val="Rejstk1"/>
        <w:tabs>
          <w:tab w:val="right" w:leader="dot" w:pos="4171"/>
        </w:tabs>
        <w:spacing w:line="240" w:lineRule="auto"/>
      </w:pPr>
      <w:r>
        <w:t>Dawkins, R.</w:t>
      </w:r>
      <w:r>
        <w:tab/>
        <w:t>518, 689, 949</w:t>
      </w:r>
    </w:p>
    <w:p w:rsidR="00E911ED" w:rsidRDefault="00E911ED" w:rsidP="00E911ED">
      <w:pPr>
        <w:pStyle w:val="Rejstk1"/>
        <w:tabs>
          <w:tab w:val="right" w:leader="dot" w:pos="4171"/>
        </w:tabs>
        <w:spacing w:line="240" w:lineRule="auto"/>
      </w:pPr>
      <w:r>
        <w:t>dedukce</w:t>
      </w:r>
    </w:p>
    <w:p w:rsidR="00E911ED" w:rsidRDefault="00E911ED" w:rsidP="00E911ED">
      <w:pPr>
        <w:pStyle w:val="Rejstk2"/>
        <w:tabs>
          <w:tab w:val="right" w:leader="dot" w:pos="4171"/>
        </w:tabs>
        <w:spacing w:line="240" w:lineRule="auto"/>
      </w:pPr>
      <w:r>
        <w:t>Bonaventura</w:t>
      </w:r>
      <w:r>
        <w:tab/>
        <w:t>25, 33</w:t>
      </w:r>
    </w:p>
    <w:p w:rsidR="00E911ED" w:rsidRDefault="00E911ED" w:rsidP="00E911ED">
      <w:pPr>
        <w:pStyle w:val="Rejstk2"/>
        <w:tabs>
          <w:tab w:val="right" w:leader="dot" w:pos="4171"/>
        </w:tabs>
        <w:spacing w:line="240" w:lineRule="auto"/>
      </w:pPr>
      <w:r>
        <w:t>objektivní</w:t>
      </w:r>
      <w:r>
        <w:tab/>
        <w:t>596, 598, 682, 718</w:t>
      </w:r>
    </w:p>
    <w:p w:rsidR="00E911ED" w:rsidRDefault="00E911ED" w:rsidP="00E911ED">
      <w:pPr>
        <w:pStyle w:val="Rejstk2"/>
        <w:tabs>
          <w:tab w:val="right" w:leader="dot" w:pos="4171"/>
        </w:tabs>
        <w:spacing w:line="240" w:lineRule="auto"/>
      </w:pPr>
      <w:r>
        <w:t>politická teorie</w:t>
      </w:r>
      <w:r>
        <w:tab/>
        <w:t>884</w:t>
      </w:r>
    </w:p>
    <w:p w:rsidR="00E911ED" w:rsidRDefault="00E911ED" w:rsidP="00E911ED">
      <w:pPr>
        <w:pStyle w:val="Rejstk2"/>
        <w:tabs>
          <w:tab w:val="right" w:leader="dot" w:pos="4171"/>
        </w:tabs>
        <w:spacing w:line="240" w:lineRule="auto"/>
      </w:pPr>
      <w:r w:rsidRPr="004B4DFF">
        <w:rPr>
          <w:i/>
        </w:rPr>
        <w:t>reditio completa</w:t>
      </w:r>
      <w:r>
        <w:tab/>
        <w:t>584</w:t>
      </w:r>
    </w:p>
    <w:p w:rsidR="00E911ED" w:rsidRDefault="00E911ED" w:rsidP="00E911ED">
      <w:pPr>
        <w:pStyle w:val="Rejstk1"/>
        <w:tabs>
          <w:tab w:val="right" w:leader="dot" w:pos="4171"/>
        </w:tabs>
        <w:spacing w:line="240" w:lineRule="auto"/>
      </w:pPr>
      <w:r>
        <w:t>deismus</w:t>
      </w:r>
      <w:r>
        <w:tab/>
        <w:t>623, 767</w:t>
      </w:r>
    </w:p>
    <w:p w:rsidR="00E911ED" w:rsidRDefault="00E911ED" w:rsidP="00E911ED">
      <w:pPr>
        <w:pStyle w:val="Rejstk1"/>
        <w:tabs>
          <w:tab w:val="right" w:leader="dot" w:pos="4171"/>
        </w:tabs>
        <w:spacing w:line="240" w:lineRule="auto"/>
      </w:pPr>
      <w:r>
        <w:t>dekonstrukce</w:t>
      </w:r>
      <w:r>
        <w:tab/>
        <w:t>96, 98, 665</w:t>
      </w:r>
    </w:p>
    <w:p w:rsidR="00E911ED" w:rsidRDefault="00E911ED" w:rsidP="00E911ED">
      <w:pPr>
        <w:pStyle w:val="Rejstk1"/>
        <w:tabs>
          <w:tab w:val="right" w:leader="dot" w:pos="4171"/>
        </w:tabs>
        <w:spacing w:line="240" w:lineRule="auto"/>
      </w:pPr>
      <w:r>
        <w:t>dekret artistů 1272</w:t>
      </w:r>
      <w:r>
        <w:tab/>
        <w:t>95, 311, 313, 340, 354, 355, 369, 440, 443, 450, 466, 481, 484, 592, 811, 885, 902</w:t>
      </w:r>
    </w:p>
    <w:p w:rsidR="00E911ED" w:rsidRDefault="00E911ED" w:rsidP="00E911ED">
      <w:pPr>
        <w:pStyle w:val="Rejstk1"/>
        <w:tabs>
          <w:tab w:val="right" w:leader="dot" w:pos="4171"/>
        </w:tabs>
        <w:spacing w:line="240" w:lineRule="auto"/>
      </w:pPr>
      <w:r>
        <w:t>Dekretalisté</w:t>
      </w:r>
      <w:r>
        <w:tab/>
        <w:t>852</w:t>
      </w:r>
    </w:p>
    <w:p w:rsidR="00E911ED" w:rsidRDefault="00E911ED" w:rsidP="00E911ED">
      <w:pPr>
        <w:pStyle w:val="Rejstk1"/>
        <w:tabs>
          <w:tab w:val="right" w:leader="dot" w:pos="4171"/>
        </w:tabs>
        <w:spacing w:line="240" w:lineRule="auto"/>
      </w:pPr>
      <w:r>
        <w:t>Delfy</w:t>
      </w:r>
      <w:r>
        <w:tab/>
        <w:t>14</w:t>
      </w:r>
    </w:p>
    <w:p w:rsidR="00E911ED" w:rsidRDefault="00E911ED" w:rsidP="00E911ED">
      <w:pPr>
        <w:pStyle w:val="Rejstk1"/>
        <w:tabs>
          <w:tab w:val="right" w:leader="dot" w:pos="4171"/>
        </w:tabs>
        <w:spacing w:line="240" w:lineRule="auto"/>
      </w:pPr>
      <w:r>
        <w:t>demiurg</w:t>
      </w:r>
      <w:r>
        <w:tab/>
        <w:t>45, 49, 51, 54, 55, 73, 103, 105, 107, 115, 118, 119, 120, 123, 151, 202, 253, 434, 490, 509, 512, 520, 537, 550, 553, 556, 560, 564, 602, 604, 621, 635, 732, 737, 816</w:t>
      </w:r>
    </w:p>
    <w:p w:rsidR="00E911ED" w:rsidRDefault="00E911ED" w:rsidP="00E911ED">
      <w:pPr>
        <w:pStyle w:val="Rejstk1"/>
        <w:tabs>
          <w:tab w:val="right" w:leader="dot" w:pos="4171"/>
        </w:tabs>
        <w:spacing w:line="240" w:lineRule="auto"/>
      </w:pPr>
      <w:r w:rsidRPr="004B4DFF">
        <w:rPr>
          <w:i/>
        </w:rPr>
        <w:t>demonstratio</w:t>
      </w:r>
    </w:p>
    <w:p w:rsidR="00E911ED" w:rsidRDefault="00E911ED" w:rsidP="00E911ED">
      <w:pPr>
        <w:pStyle w:val="Rejstk2"/>
        <w:tabs>
          <w:tab w:val="right" w:leader="dot" w:pos="4171"/>
        </w:tabs>
        <w:spacing w:line="240" w:lineRule="auto"/>
      </w:pPr>
      <w:r>
        <w:t>Abelard</w:t>
      </w:r>
      <w:r>
        <w:tab/>
        <w:t>47</w:t>
      </w:r>
    </w:p>
    <w:p w:rsidR="00E911ED" w:rsidRDefault="00E911ED" w:rsidP="00E911ED">
      <w:pPr>
        <w:pStyle w:val="Rejstk2"/>
        <w:tabs>
          <w:tab w:val="right" w:leader="dot" w:pos="4171"/>
        </w:tabs>
        <w:spacing w:line="240" w:lineRule="auto"/>
      </w:pPr>
      <w:r w:rsidRPr="00EE3DB2">
        <w:rPr>
          <w:i/>
        </w:rPr>
        <w:t>Anonym Giele</w:t>
      </w:r>
      <w:r>
        <w:tab/>
        <w:t>164</w:t>
      </w:r>
    </w:p>
    <w:p w:rsidR="00E911ED" w:rsidRDefault="00E911ED" w:rsidP="00E911ED">
      <w:pPr>
        <w:pStyle w:val="Rejstk2"/>
        <w:tabs>
          <w:tab w:val="right" w:leader="dot" w:pos="4171"/>
        </w:tabs>
        <w:spacing w:line="240" w:lineRule="auto"/>
      </w:pPr>
      <w:r>
        <w:t>Aristoteles</w:t>
      </w:r>
      <w:r>
        <w:tab/>
        <w:t>668, 799</w:t>
      </w:r>
    </w:p>
    <w:p w:rsidR="00E911ED" w:rsidRDefault="00E911ED" w:rsidP="00E911ED">
      <w:pPr>
        <w:pStyle w:val="Rejstk2"/>
        <w:tabs>
          <w:tab w:val="right" w:leader="dot" w:pos="4171"/>
        </w:tabs>
        <w:spacing w:line="240" w:lineRule="auto"/>
      </w:pPr>
      <w:r>
        <w:t>Averroes</w:t>
      </w:r>
      <w:r>
        <w:tab/>
        <w:t>300, 355, 398, 802</w:t>
      </w:r>
    </w:p>
    <w:p w:rsidR="00E911ED" w:rsidRDefault="00E911ED" w:rsidP="00E911ED">
      <w:pPr>
        <w:pStyle w:val="Rejstk2"/>
        <w:tabs>
          <w:tab w:val="right" w:leader="dot" w:pos="4171"/>
        </w:tabs>
        <w:spacing w:line="240" w:lineRule="auto"/>
      </w:pPr>
      <w:r>
        <w:t>Bonaventura</w:t>
      </w:r>
      <w:r>
        <w:tab/>
        <w:t>24</w:t>
      </w:r>
    </w:p>
    <w:p w:rsidR="00E911ED" w:rsidRDefault="00E911ED" w:rsidP="00E911ED">
      <w:pPr>
        <w:pStyle w:val="Rejstk2"/>
        <w:tabs>
          <w:tab w:val="right" w:leader="dot" w:pos="4171"/>
        </w:tabs>
        <w:spacing w:line="240" w:lineRule="auto"/>
      </w:pPr>
      <w:r>
        <w:t>etika</w:t>
      </w:r>
      <w:r>
        <w:tab/>
        <w:t>870</w:t>
      </w:r>
    </w:p>
    <w:p w:rsidR="00E911ED" w:rsidRDefault="00E911ED" w:rsidP="00E911ED">
      <w:pPr>
        <w:pStyle w:val="Rejstk2"/>
        <w:tabs>
          <w:tab w:val="right" w:leader="dot" w:pos="4171"/>
        </w:tabs>
        <w:spacing w:line="240" w:lineRule="auto"/>
      </w:pPr>
      <w:r w:rsidRPr="00EE3DB2">
        <w:rPr>
          <w:i/>
        </w:rPr>
        <w:t>Mnichovský anonym</w:t>
      </w:r>
      <w:r>
        <w:tab/>
        <w:t>179</w:t>
      </w:r>
    </w:p>
    <w:p w:rsidR="00E911ED" w:rsidRDefault="00E911ED" w:rsidP="00E911ED">
      <w:pPr>
        <w:pStyle w:val="Rejstk2"/>
        <w:tabs>
          <w:tab w:val="right" w:leader="dot" w:pos="4171"/>
        </w:tabs>
        <w:spacing w:line="240" w:lineRule="auto"/>
      </w:pPr>
      <w:r>
        <w:t>Ockham</w:t>
      </w:r>
      <w:r>
        <w:tab/>
        <w:t>788, 801</w:t>
      </w:r>
    </w:p>
    <w:p w:rsidR="00E911ED" w:rsidRDefault="00E911ED" w:rsidP="00E911ED">
      <w:pPr>
        <w:pStyle w:val="Rejstk2"/>
        <w:tabs>
          <w:tab w:val="right" w:leader="dot" w:pos="4171"/>
        </w:tabs>
        <w:spacing w:line="240" w:lineRule="auto"/>
      </w:pPr>
      <w:r>
        <w:t>politika</w:t>
      </w:r>
      <w:r>
        <w:tab/>
        <w:t>854</w:t>
      </w:r>
    </w:p>
    <w:p w:rsidR="00E911ED" w:rsidRDefault="00E911ED" w:rsidP="00E911ED">
      <w:pPr>
        <w:pStyle w:val="Rejstk2"/>
        <w:tabs>
          <w:tab w:val="right" w:leader="dot" w:pos="4171"/>
        </w:tabs>
        <w:spacing w:line="240" w:lineRule="auto"/>
      </w:pPr>
      <w:r>
        <w:t>první averroismus</w:t>
      </w:r>
      <w:r>
        <w:tab/>
        <w:t>95</w:t>
      </w:r>
    </w:p>
    <w:p w:rsidR="00E911ED" w:rsidRDefault="00E911ED" w:rsidP="00E911ED">
      <w:pPr>
        <w:pStyle w:val="Rejstk2"/>
        <w:tabs>
          <w:tab w:val="right" w:leader="dot" w:pos="4171"/>
        </w:tabs>
        <w:spacing w:line="240" w:lineRule="auto"/>
      </w:pPr>
      <w:r>
        <w:t>Scotus</w:t>
      </w:r>
      <w:r>
        <w:tab/>
        <w:t>677, 681, 690, 728, 737, 738</w:t>
      </w:r>
    </w:p>
    <w:p w:rsidR="00E911ED" w:rsidRDefault="00E911ED" w:rsidP="00E911ED">
      <w:pPr>
        <w:pStyle w:val="Rejstk2"/>
        <w:tabs>
          <w:tab w:val="right" w:leader="dot" w:pos="4171"/>
        </w:tabs>
        <w:spacing w:line="240" w:lineRule="auto"/>
      </w:pPr>
      <w:r>
        <w:t>Siger</w:t>
      </w:r>
      <w:r>
        <w:tab/>
        <w:t>258, 268, 319</w:t>
      </w:r>
    </w:p>
    <w:p w:rsidR="00E911ED" w:rsidRDefault="00E911ED" w:rsidP="00E911ED">
      <w:pPr>
        <w:pStyle w:val="Rejstk1"/>
        <w:tabs>
          <w:tab w:val="right" w:leader="dot" w:pos="4171"/>
        </w:tabs>
        <w:spacing w:line="240" w:lineRule="auto"/>
      </w:pPr>
      <w:r w:rsidRPr="004B4DFF">
        <w:rPr>
          <w:i/>
        </w:rPr>
        <w:t>denudatio</w:t>
      </w:r>
    </w:p>
    <w:p w:rsidR="00E911ED" w:rsidRDefault="00E911ED" w:rsidP="00E911ED">
      <w:pPr>
        <w:pStyle w:val="Rejstk2"/>
        <w:tabs>
          <w:tab w:val="right" w:leader="dot" w:pos="4171"/>
        </w:tabs>
        <w:spacing w:line="240" w:lineRule="auto"/>
      </w:pPr>
      <w:r>
        <w:t>Bonaventura</w:t>
      </w:r>
      <w:r>
        <w:tab/>
        <w:t>26</w:t>
      </w:r>
    </w:p>
    <w:p w:rsidR="00E911ED" w:rsidRDefault="00E911ED" w:rsidP="00E911ED">
      <w:pPr>
        <w:pStyle w:val="Rejstk2"/>
        <w:tabs>
          <w:tab w:val="right" w:leader="dot" w:pos="4171"/>
        </w:tabs>
        <w:spacing w:line="240" w:lineRule="auto"/>
      </w:pPr>
      <w:r>
        <w:t>druhý averroismus</w:t>
      </w:r>
      <w:r>
        <w:tab/>
        <w:t>170, 185, 231</w:t>
      </w:r>
    </w:p>
    <w:p w:rsidR="00E911ED" w:rsidRDefault="00E911ED" w:rsidP="00E911ED">
      <w:pPr>
        <w:pStyle w:val="Rejstk2"/>
        <w:tabs>
          <w:tab w:val="right" w:leader="dot" w:pos="4171"/>
        </w:tabs>
        <w:spacing w:line="240" w:lineRule="auto"/>
      </w:pPr>
      <w:r>
        <w:t>Gandavus</w:t>
      </w:r>
      <w:r>
        <w:tab/>
        <w:t>589, 594</w:t>
      </w:r>
    </w:p>
    <w:p w:rsidR="00E911ED" w:rsidRDefault="00E911ED" w:rsidP="00E911ED">
      <w:pPr>
        <w:pStyle w:val="Rejstk2"/>
        <w:tabs>
          <w:tab w:val="right" w:leader="dot" w:pos="4171"/>
        </w:tabs>
        <w:spacing w:line="240" w:lineRule="auto"/>
      </w:pPr>
      <w:r>
        <w:t>krika Ockhama</w:t>
      </w:r>
      <w:r>
        <w:tab/>
        <w:t>779</w:t>
      </w:r>
    </w:p>
    <w:p w:rsidR="00E911ED" w:rsidRDefault="00E911ED" w:rsidP="00E911ED">
      <w:pPr>
        <w:pStyle w:val="Rejstk2"/>
        <w:tabs>
          <w:tab w:val="right" w:leader="dot" w:pos="4171"/>
        </w:tabs>
        <w:spacing w:line="240" w:lineRule="auto"/>
      </w:pPr>
      <w:r>
        <w:t>moderna</w:t>
      </w:r>
      <w:r>
        <w:tab/>
        <w:t>593, 791</w:t>
      </w:r>
    </w:p>
    <w:p w:rsidR="00E911ED" w:rsidRDefault="00E911ED" w:rsidP="00E911ED">
      <w:pPr>
        <w:pStyle w:val="Rejstk2"/>
        <w:tabs>
          <w:tab w:val="right" w:leader="dot" w:pos="4171"/>
        </w:tabs>
        <w:spacing w:line="240" w:lineRule="auto"/>
      </w:pPr>
      <w:r>
        <w:t>Olivi</w:t>
      </w:r>
      <w:r>
        <w:tab/>
        <w:t>514</w:t>
      </w:r>
    </w:p>
    <w:p w:rsidR="00E911ED" w:rsidRDefault="00E911ED" w:rsidP="00E911ED">
      <w:pPr>
        <w:pStyle w:val="Rejstk2"/>
        <w:tabs>
          <w:tab w:val="right" w:leader="dot" w:pos="4171"/>
        </w:tabs>
        <w:spacing w:line="240" w:lineRule="auto"/>
      </w:pPr>
      <w:r>
        <w:t>Scotus</w:t>
      </w:r>
      <w:r>
        <w:tab/>
        <w:t>643, 663</w:t>
      </w:r>
    </w:p>
    <w:p w:rsidR="00E911ED" w:rsidRDefault="00E911ED" w:rsidP="00E911ED">
      <w:pPr>
        <w:pStyle w:val="Rejstk1"/>
        <w:tabs>
          <w:tab w:val="right" w:leader="dot" w:pos="4171"/>
        </w:tabs>
        <w:spacing w:line="240" w:lineRule="auto"/>
      </w:pPr>
      <w:r>
        <w:t>derivace</w:t>
      </w:r>
      <w:r>
        <w:tab/>
        <w:t>696, 830</w:t>
      </w:r>
    </w:p>
    <w:p w:rsidR="00E911ED" w:rsidRDefault="00E911ED" w:rsidP="00EE3DB2">
      <w:pPr>
        <w:pStyle w:val="Rejstk1"/>
        <w:tabs>
          <w:tab w:val="right" w:leader="dot" w:pos="4171"/>
        </w:tabs>
        <w:spacing w:line="240" w:lineRule="auto"/>
      </w:pPr>
      <w:r>
        <w:t>Derrida, J.</w:t>
      </w:r>
      <w:r w:rsidR="00EE3DB2">
        <w:t xml:space="preserve"> </w:t>
      </w:r>
      <w:r>
        <w:tab/>
        <w:t>43, 96, 99</w:t>
      </w:r>
    </w:p>
    <w:p w:rsidR="00E911ED" w:rsidRDefault="00E911ED" w:rsidP="00E911ED">
      <w:pPr>
        <w:pStyle w:val="Rejstk1"/>
        <w:tabs>
          <w:tab w:val="right" w:leader="dot" w:pos="4171"/>
        </w:tabs>
        <w:spacing w:line="240" w:lineRule="auto"/>
      </w:pPr>
      <w:r>
        <w:t>Descartes, R.</w:t>
      </w:r>
      <w:r w:rsidR="00EE3DB2">
        <w:t xml:space="preserve">, viz </w:t>
      </w:r>
      <w:r w:rsidR="00EE3DB2" w:rsidRPr="00EE3DB2">
        <w:rPr>
          <w:i/>
        </w:rPr>
        <w:t>Index locorum</w:t>
      </w:r>
      <w:r w:rsidR="00EE3DB2">
        <w:rPr>
          <w:i/>
        </w:rPr>
        <w:t xml:space="preserve"> </w:t>
      </w:r>
      <w:r>
        <w:tab/>
        <w:t>35, 44, 89, 105, 110, 123, 152, 292, 300, 485, 501, 503, 599, 607, 675, 677, 688, 690, 723, 785, 794, 799, 800, 802, 833</w:t>
      </w:r>
    </w:p>
    <w:p w:rsidR="00E911ED" w:rsidRDefault="00E911ED" w:rsidP="00E911ED">
      <w:pPr>
        <w:pStyle w:val="Rejstk1"/>
        <w:tabs>
          <w:tab w:val="right" w:leader="dot" w:pos="4171"/>
        </w:tabs>
        <w:spacing w:line="240" w:lineRule="auto"/>
      </w:pPr>
      <w:r w:rsidRPr="004B4DFF">
        <w:rPr>
          <w:i/>
          <w:lang w:eastAsia="en-US"/>
        </w:rPr>
        <w:t>destructio primis</w:t>
      </w:r>
      <w:r>
        <w:tab/>
        <w:t>374, 471, 664, 790, 924</w:t>
      </w:r>
    </w:p>
    <w:p w:rsidR="00E911ED" w:rsidRDefault="00E911ED" w:rsidP="00E911ED">
      <w:pPr>
        <w:pStyle w:val="Rejstk1"/>
        <w:tabs>
          <w:tab w:val="right" w:leader="dot" w:pos="4171"/>
        </w:tabs>
        <w:spacing w:line="240" w:lineRule="auto"/>
      </w:pPr>
      <w:r w:rsidRPr="004B4DFF">
        <w:rPr>
          <w:i/>
        </w:rPr>
        <w:t>deus malignus</w:t>
      </w:r>
      <w:r>
        <w:tab/>
        <w:t>684</w:t>
      </w:r>
    </w:p>
    <w:p w:rsidR="00E911ED" w:rsidRDefault="00E911ED" w:rsidP="00E911ED">
      <w:pPr>
        <w:pStyle w:val="Rejstk1"/>
        <w:tabs>
          <w:tab w:val="right" w:leader="dot" w:pos="4171"/>
        </w:tabs>
        <w:spacing w:line="240" w:lineRule="auto"/>
      </w:pPr>
      <w:r w:rsidRPr="004B4DFF">
        <w:rPr>
          <w:i/>
        </w:rPr>
        <w:t>deus otiosus</w:t>
      </w:r>
      <w:r>
        <w:tab/>
        <w:t>623, 630, 733, 735, 741, 831</w:t>
      </w:r>
    </w:p>
    <w:p w:rsidR="00E911ED" w:rsidRDefault="00E911ED" w:rsidP="00E911ED">
      <w:pPr>
        <w:pStyle w:val="Rejstk1"/>
        <w:tabs>
          <w:tab w:val="right" w:leader="dot" w:pos="4171"/>
        </w:tabs>
        <w:spacing w:line="240" w:lineRule="auto"/>
      </w:pPr>
      <w:r w:rsidRPr="004B4DFF">
        <w:rPr>
          <w:i/>
          <w:iCs/>
        </w:rPr>
        <w:t>devotio moderna</w:t>
      </w:r>
      <w:r>
        <w:tab/>
        <w:t>635</w:t>
      </w:r>
    </w:p>
    <w:p w:rsidR="00E911ED" w:rsidRDefault="00E911ED" w:rsidP="00E911ED">
      <w:pPr>
        <w:pStyle w:val="Rejstk1"/>
        <w:tabs>
          <w:tab w:val="right" w:leader="dot" w:pos="4171"/>
        </w:tabs>
        <w:spacing w:line="240" w:lineRule="auto"/>
      </w:pPr>
      <w:r>
        <w:t>diafanum</w:t>
      </w:r>
      <w:r>
        <w:tab/>
        <w:t>197, 434, 594</w:t>
      </w:r>
    </w:p>
    <w:p w:rsidR="00E911ED" w:rsidRDefault="00E911ED" w:rsidP="00E911ED">
      <w:pPr>
        <w:pStyle w:val="Rejstk2"/>
        <w:tabs>
          <w:tab w:val="right" w:leader="dot" w:pos="4171"/>
        </w:tabs>
        <w:spacing w:line="240" w:lineRule="auto"/>
      </w:pPr>
      <w:r w:rsidRPr="004B4DFF">
        <w:rPr>
          <w:iCs/>
        </w:rPr>
        <w:t>Akvinský</w:t>
      </w:r>
      <w:r>
        <w:tab/>
        <w:t>403, 451</w:t>
      </w:r>
    </w:p>
    <w:p w:rsidR="00E911ED" w:rsidRDefault="00E911ED" w:rsidP="00E911ED">
      <w:pPr>
        <w:pStyle w:val="Rejstk2"/>
        <w:tabs>
          <w:tab w:val="right" w:leader="dot" w:pos="4171"/>
        </w:tabs>
        <w:spacing w:line="240" w:lineRule="auto"/>
      </w:pPr>
      <w:r w:rsidRPr="00EE3DB2">
        <w:rPr>
          <w:i/>
        </w:rPr>
        <w:t>Anonym Bazán</w:t>
      </w:r>
      <w:r>
        <w:tab/>
        <w:t>222</w:t>
      </w:r>
    </w:p>
    <w:p w:rsidR="00E911ED" w:rsidRDefault="00E911ED" w:rsidP="00E911ED">
      <w:pPr>
        <w:pStyle w:val="Rejstk2"/>
        <w:tabs>
          <w:tab w:val="right" w:leader="dot" w:pos="4171"/>
        </w:tabs>
        <w:spacing w:line="240" w:lineRule="auto"/>
      </w:pPr>
      <w:r>
        <w:t>Averroes</w:t>
      </w:r>
      <w:r>
        <w:tab/>
        <w:t>452</w:t>
      </w:r>
    </w:p>
    <w:p w:rsidR="00E911ED" w:rsidRDefault="00E911ED" w:rsidP="00E911ED">
      <w:pPr>
        <w:pStyle w:val="Rejstk2"/>
        <w:tabs>
          <w:tab w:val="right" w:leader="dot" w:pos="4171"/>
        </w:tabs>
        <w:spacing w:line="240" w:lineRule="auto"/>
      </w:pPr>
      <w:r>
        <w:t>druhý averroismus</w:t>
      </w:r>
      <w:r>
        <w:tab/>
        <w:t>498</w:t>
      </w:r>
    </w:p>
    <w:p w:rsidR="00E911ED" w:rsidRDefault="00E911ED" w:rsidP="00E911ED">
      <w:pPr>
        <w:pStyle w:val="Rejstk2"/>
        <w:tabs>
          <w:tab w:val="right" w:leader="dot" w:pos="4171"/>
        </w:tabs>
        <w:spacing w:line="240" w:lineRule="auto"/>
      </w:pPr>
      <w:r>
        <w:t>moderna</w:t>
      </w:r>
      <w:r>
        <w:tab/>
        <w:t>645</w:t>
      </w:r>
    </w:p>
    <w:p w:rsidR="00E911ED" w:rsidRDefault="00E911ED" w:rsidP="00E911ED">
      <w:pPr>
        <w:pStyle w:val="Rejstk2"/>
        <w:tabs>
          <w:tab w:val="right" w:leader="dot" w:pos="4171"/>
        </w:tabs>
        <w:spacing w:line="240" w:lineRule="auto"/>
      </w:pPr>
      <w:r>
        <w:t>Ockham</w:t>
      </w:r>
      <w:r>
        <w:tab/>
        <w:t>803, 805, 806</w:t>
      </w:r>
    </w:p>
    <w:p w:rsidR="00E911ED" w:rsidRDefault="00E911ED" w:rsidP="00E911ED">
      <w:pPr>
        <w:pStyle w:val="Rejstk2"/>
        <w:tabs>
          <w:tab w:val="right" w:leader="dot" w:pos="4171"/>
        </w:tabs>
        <w:spacing w:line="240" w:lineRule="auto"/>
      </w:pPr>
      <w:r>
        <w:t>Siger</w:t>
      </w:r>
      <w:r>
        <w:tab/>
        <w:t>444</w:t>
      </w:r>
    </w:p>
    <w:p w:rsidR="00E911ED" w:rsidRDefault="00E911ED" w:rsidP="00E911ED">
      <w:pPr>
        <w:pStyle w:val="Rejstk1"/>
        <w:tabs>
          <w:tab w:val="right" w:leader="dot" w:pos="4171"/>
        </w:tabs>
        <w:spacing w:line="240" w:lineRule="auto"/>
      </w:pPr>
      <w:r>
        <w:t>diakosmos</w:t>
      </w:r>
      <w:r>
        <w:tab/>
        <w:t>23, 57, 106, 252, 560, 591, 613, 706, 747, 819</w:t>
      </w:r>
    </w:p>
    <w:p w:rsidR="00E911ED" w:rsidRDefault="00E911ED" w:rsidP="00E911ED">
      <w:pPr>
        <w:pStyle w:val="Rejstk1"/>
        <w:tabs>
          <w:tab w:val="right" w:leader="dot" w:pos="4171"/>
        </w:tabs>
        <w:spacing w:line="240" w:lineRule="auto"/>
      </w:pPr>
      <w:r w:rsidRPr="004B4DFF">
        <w:rPr>
          <w:i/>
        </w:rPr>
        <w:t>dialektische Darstellung</w:t>
      </w:r>
      <w:r>
        <w:tab/>
        <w:t>127</w:t>
      </w:r>
    </w:p>
    <w:p w:rsidR="00E911ED" w:rsidRDefault="00E911ED" w:rsidP="00E911ED">
      <w:pPr>
        <w:pStyle w:val="Rejstk1"/>
        <w:tabs>
          <w:tab w:val="right" w:leader="dot" w:pos="4171"/>
        </w:tabs>
        <w:spacing w:line="240" w:lineRule="auto"/>
      </w:pPr>
      <w:r>
        <w:t xml:space="preserve">dialog </w:t>
      </w:r>
      <w:r w:rsidRPr="004B4DFF">
        <w:rPr>
          <w:i/>
        </w:rPr>
        <w:t>Timaios</w:t>
      </w:r>
      <w:r>
        <w:tab/>
        <w:t>51, 53, 54, 105, 256, 519</w:t>
      </w:r>
    </w:p>
    <w:p w:rsidR="00E911ED" w:rsidRDefault="00E911ED" w:rsidP="00E911ED">
      <w:pPr>
        <w:pStyle w:val="Rejstk1"/>
        <w:tabs>
          <w:tab w:val="right" w:leader="dot" w:pos="4171"/>
        </w:tabs>
        <w:spacing w:line="240" w:lineRule="auto"/>
      </w:pPr>
      <w:r w:rsidRPr="004B4DFF">
        <w:rPr>
          <w:i/>
        </w:rPr>
        <w:t>différance</w:t>
      </w:r>
      <w:r>
        <w:tab/>
        <w:t>43</w:t>
      </w:r>
    </w:p>
    <w:p w:rsidR="00E911ED" w:rsidRDefault="00E911ED" w:rsidP="00E911ED">
      <w:pPr>
        <w:pStyle w:val="Rejstk1"/>
        <w:tabs>
          <w:tab w:val="right" w:leader="dot" w:pos="4171"/>
        </w:tabs>
        <w:spacing w:line="240" w:lineRule="auto"/>
      </w:pPr>
      <w:r>
        <w:t>Dionysius Thrax</w:t>
      </w:r>
      <w:r w:rsidR="00EE3DB2">
        <w:t xml:space="preserve">, viz </w:t>
      </w:r>
      <w:r w:rsidR="00EE3DB2" w:rsidRPr="00EE3DB2">
        <w:rPr>
          <w:i/>
        </w:rPr>
        <w:t>Index locorum</w:t>
      </w:r>
    </w:p>
    <w:p w:rsidR="00E911ED" w:rsidRDefault="00E911ED" w:rsidP="00E911ED">
      <w:pPr>
        <w:pStyle w:val="Rejstk1"/>
        <w:tabs>
          <w:tab w:val="right" w:leader="dot" w:pos="4171"/>
        </w:tabs>
        <w:spacing w:line="240" w:lineRule="auto"/>
      </w:pPr>
      <w:r w:rsidRPr="004B4DFF">
        <w:rPr>
          <w:i/>
        </w:rPr>
        <w:t>discrete videamus</w:t>
      </w:r>
      <w:r>
        <w:tab/>
        <w:t>122, 578, 696</w:t>
      </w:r>
    </w:p>
    <w:p w:rsidR="00E911ED" w:rsidRDefault="00E911ED" w:rsidP="00E911ED">
      <w:pPr>
        <w:pStyle w:val="Rejstk1"/>
        <w:tabs>
          <w:tab w:val="right" w:leader="dot" w:pos="4171"/>
        </w:tabs>
        <w:spacing w:line="240" w:lineRule="auto"/>
      </w:pPr>
      <w:r w:rsidRPr="004B4DFF">
        <w:rPr>
          <w:i/>
        </w:rPr>
        <w:t>Doctor Invidiosus</w:t>
      </w:r>
      <w:r>
        <w:tab/>
        <w:t>66, 176, 241, 256, 267, 290, 306, 312, 357, 383, 443, 455, 460, 470, 477, 478, 480, 483</w:t>
      </w:r>
    </w:p>
    <w:p w:rsidR="00E911ED" w:rsidRDefault="00E911ED" w:rsidP="00E911ED">
      <w:pPr>
        <w:pStyle w:val="Rejstk1"/>
        <w:tabs>
          <w:tab w:val="right" w:leader="dot" w:pos="4171"/>
        </w:tabs>
        <w:spacing w:line="240" w:lineRule="auto"/>
      </w:pPr>
      <w:r>
        <w:t>druhá intence</w:t>
      </w:r>
      <w:r>
        <w:tab/>
        <w:t>279</w:t>
      </w:r>
    </w:p>
    <w:p w:rsidR="00E911ED" w:rsidRDefault="00E911ED" w:rsidP="00E911ED">
      <w:pPr>
        <w:pStyle w:val="Rejstk1"/>
        <w:tabs>
          <w:tab w:val="right" w:leader="dot" w:pos="4171"/>
        </w:tabs>
        <w:spacing w:line="240" w:lineRule="auto"/>
      </w:pPr>
      <w:r>
        <w:t>druhý averroismus</w:t>
      </w:r>
    </w:p>
    <w:p w:rsidR="00E911ED" w:rsidRDefault="00E911ED" w:rsidP="00E911ED">
      <w:pPr>
        <w:pStyle w:val="Rejstk2"/>
        <w:tabs>
          <w:tab w:val="right" w:leader="dot" w:pos="4171"/>
        </w:tabs>
        <w:spacing w:line="240" w:lineRule="auto"/>
      </w:pPr>
      <w:r w:rsidRPr="004B4DFF">
        <w:rPr>
          <w:i/>
        </w:rPr>
        <w:t>augustinisme avicennisant</w:t>
      </w:r>
      <w:r>
        <w:tab/>
        <w:t>237, 254, 593, 629</w:t>
      </w:r>
    </w:p>
    <w:p w:rsidR="00E911ED" w:rsidRDefault="00E911ED" w:rsidP="00E911ED">
      <w:pPr>
        <w:pStyle w:val="Rejstk2"/>
        <w:tabs>
          <w:tab w:val="right" w:leader="dot" w:pos="4171"/>
        </w:tabs>
        <w:spacing w:line="240" w:lineRule="auto"/>
      </w:pPr>
      <w:r w:rsidRPr="004B4DFF">
        <w:rPr>
          <w:i/>
        </w:rPr>
        <w:t>Averroistae</w:t>
      </w:r>
      <w:r>
        <w:tab/>
        <w:t>73, 90</w:t>
      </w:r>
    </w:p>
    <w:p w:rsidR="00E911ED" w:rsidRDefault="00E911ED" w:rsidP="00E911ED">
      <w:pPr>
        <w:pStyle w:val="Rejstk2"/>
        <w:tabs>
          <w:tab w:val="right" w:leader="dot" w:pos="4171"/>
        </w:tabs>
        <w:spacing w:line="240" w:lineRule="auto"/>
      </w:pPr>
      <w:r w:rsidRPr="004B4DFF">
        <w:rPr>
          <w:i/>
        </w:rPr>
        <w:t>doctores Latini</w:t>
      </w:r>
      <w:r>
        <w:tab/>
        <w:t>543, 610, 847, 869</w:t>
      </w:r>
    </w:p>
    <w:p w:rsidR="00E911ED" w:rsidRDefault="00E911ED" w:rsidP="00E911ED">
      <w:pPr>
        <w:pStyle w:val="Rejstk2"/>
        <w:tabs>
          <w:tab w:val="right" w:leader="dot" w:pos="4171"/>
        </w:tabs>
        <w:spacing w:line="240" w:lineRule="auto"/>
      </w:pPr>
      <w:r w:rsidRPr="004B4DFF">
        <w:rPr>
          <w:i/>
        </w:rPr>
        <w:t>Grammatici</w:t>
      </w:r>
      <w:r>
        <w:tab/>
        <w:t>52, 217</w:t>
      </w:r>
    </w:p>
    <w:p w:rsidR="00E911ED" w:rsidRDefault="00E911ED" w:rsidP="00E911ED">
      <w:pPr>
        <w:pStyle w:val="Rejstk2"/>
        <w:tabs>
          <w:tab w:val="right" w:leader="dot" w:pos="4171"/>
        </w:tabs>
        <w:spacing w:line="240" w:lineRule="auto"/>
      </w:pPr>
      <w:r>
        <w:t>kritika Akvinského</w:t>
      </w:r>
      <w:r>
        <w:tab/>
        <w:t>395</w:t>
      </w:r>
    </w:p>
    <w:p w:rsidR="00E911ED" w:rsidRDefault="00E911ED" w:rsidP="00E911ED">
      <w:pPr>
        <w:pStyle w:val="Rejstk2"/>
        <w:tabs>
          <w:tab w:val="right" w:leader="dot" w:pos="4171"/>
        </w:tabs>
        <w:spacing w:line="240" w:lineRule="auto"/>
      </w:pPr>
      <w:r>
        <w:t>kritika Bacona</w:t>
      </w:r>
      <w:r>
        <w:tab/>
        <w:t>13, 52</w:t>
      </w:r>
    </w:p>
    <w:p w:rsidR="00E911ED" w:rsidRDefault="00E911ED" w:rsidP="00E911ED">
      <w:pPr>
        <w:pStyle w:val="Rejstk2"/>
        <w:tabs>
          <w:tab w:val="right" w:leader="dot" w:pos="4171"/>
        </w:tabs>
        <w:spacing w:line="240" w:lineRule="auto"/>
      </w:pPr>
      <w:r>
        <w:t>kritika Sigera</w:t>
      </w:r>
      <w:r>
        <w:tab/>
        <w:t>252</w:t>
      </w:r>
    </w:p>
    <w:p w:rsidR="00E911ED" w:rsidRDefault="00E911ED" w:rsidP="00E911ED">
      <w:pPr>
        <w:pStyle w:val="Rejstk2"/>
        <w:tabs>
          <w:tab w:val="right" w:leader="dot" w:pos="4171"/>
        </w:tabs>
        <w:spacing w:line="240" w:lineRule="auto"/>
      </w:pPr>
      <w:r w:rsidRPr="004B4DFF">
        <w:rPr>
          <w:i/>
        </w:rPr>
        <w:t>opinio Latinorum</w:t>
      </w:r>
      <w:r>
        <w:tab/>
        <w:t>52, 60, 75</w:t>
      </w:r>
    </w:p>
    <w:p w:rsidR="00E911ED" w:rsidRDefault="00E911ED" w:rsidP="00E911ED">
      <w:pPr>
        <w:pStyle w:val="Rejstk2"/>
        <w:tabs>
          <w:tab w:val="right" w:leader="dot" w:pos="4171"/>
        </w:tabs>
        <w:spacing w:line="240" w:lineRule="auto"/>
      </w:pPr>
      <w:r>
        <w:t>politická filosofie</w:t>
      </w:r>
      <w:r>
        <w:tab/>
        <w:t>848</w:t>
      </w:r>
    </w:p>
    <w:p w:rsidR="00E911ED" w:rsidRDefault="00E911ED" w:rsidP="00E911ED">
      <w:pPr>
        <w:pStyle w:val="Rejstk2"/>
        <w:tabs>
          <w:tab w:val="right" w:leader="dot" w:pos="4171"/>
        </w:tabs>
        <w:spacing w:line="240" w:lineRule="auto"/>
      </w:pPr>
      <w:r w:rsidRPr="004B4DFF">
        <w:rPr>
          <w:i/>
        </w:rPr>
        <w:t>sequaces Aristotelis</w:t>
      </w:r>
      <w:r>
        <w:tab/>
        <w:t>63, 141, 357, 395, 458, 480, 514, 529, 809</w:t>
      </w:r>
    </w:p>
    <w:p w:rsidR="00E911ED" w:rsidRDefault="00E911ED" w:rsidP="00E911ED">
      <w:pPr>
        <w:pStyle w:val="Rejstk2"/>
        <w:tabs>
          <w:tab w:val="right" w:leader="dot" w:pos="4171"/>
        </w:tabs>
        <w:spacing w:line="240" w:lineRule="auto"/>
      </w:pPr>
      <w:r w:rsidRPr="004B4DFF">
        <w:rPr>
          <w:i/>
          <w:lang w:eastAsia="en-US"/>
        </w:rPr>
        <w:t>sophistae Latini</w:t>
      </w:r>
      <w:r>
        <w:tab/>
        <w:t>200, 769, 841, 871</w:t>
      </w:r>
    </w:p>
    <w:p w:rsidR="00E911ED" w:rsidRDefault="00E911ED" w:rsidP="00E911ED">
      <w:pPr>
        <w:pStyle w:val="Rejstk1"/>
        <w:tabs>
          <w:tab w:val="right" w:leader="dot" w:pos="4171"/>
        </w:tabs>
        <w:spacing w:line="240" w:lineRule="auto"/>
      </w:pPr>
      <w:r w:rsidRPr="004B4DFF">
        <w:rPr>
          <w:i/>
        </w:rPr>
        <w:t>duplex negatio</w:t>
      </w:r>
      <w:r>
        <w:tab/>
        <w:t>646, 753</w:t>
      </w:r>
    </w:p>
    <w:p w:rsidR="00D4324A" w:rsidRPr="00F43866" w:rsidRDefault="00D4324A" w:rsidP="00D4324A">
      <w:pPr>
        <w:pStyle w:val="Hlavikarejstku"/>
        <w:keepNext/>
        <w:tabs>
          <w:tab w:val="right" w:leader="dot" w:pos="4171"/>
        </w:tabs>
        <w:spacing w:line="240" w:lineRule="auto"/>
        <w:rPr>
          <w:rFonts w:eastAsia="Times New Roman"/>
          <w:b w:val="0"/>
          <w:bCs w:val="0"/>
          <w:lang w:val="de-LU"/>
        </w:rPr>
      </w:pPr>
      <w:r>
        <w:rPr>
          <w:lang w:val="de-LU"/>
        </w:rPr>
        <w:t>E</w:t>
      </w:r>
    </w:p>
    <w:p w:rsidR="00D4324A" w:rsidRDefault="00D4324A" w:rsidP="00E911ED">
      <w:pPr>
        <w:pStyle w:val="Rejstk1"/>
        <w:tabs>
          <w:tab w:val="right" w:leader="dot" w:pos="4171"/>
        </w:tabs>
        <w:spacing w:line="240" w:lineRule="auto"/>
      </w:pPr>
    </w:p>
    <w:p w:rsidR="00E911ED" w:rsidRDefault="00E911ED" w:rsidP="00E911ED">
      <w:pPr>
        <w:pStyle w:val="Rejstk1"/>
        <w:tabs>
          <w:tab w:val="right" w:leader="dot" w:pos="4171"/>
        </w:tabs>
        <w:spacing w:line="240" w:lineRule="auto"/>
      </w:pPr>
      <w:r>
        <w:t>ekonomie</w:t>
      </w:r>
      <w:r>
        <w:tab/>
        <w:t>561</w:t>
      </w:r>
    </w:p>
    <w:p w:rsidR="00E911ED" w:rsidRDefault="00E911ED" w:rsidP="00E911ED">
      <w:pPr>
        <w:pStyle w:val="Rejstk1"/>
        <w:tabs>
          <w:tab w:val="right" w:leader="dot" w:pos="4171"/>
        </w:tabs>
        <w:spacing w:line="240" w:lineRule="auto"/>
      </w:pPr>
      <w:r w:rsidRPr="004B4DFF">
        <w:rPr>
          <w:i/>
        </w:rPr>
        <w:t>electio</w:t>
      </w:r>
      <w:r>
        <w:tab/>
        <w:t>535</w:t>
      </w:r>
    </w:p>
    <w:p w:rsidR="00E911ED" w:rsidRDefault="00E911ED" w:rsidP="00E911ED">
      <w:pPr>
        <w:pStyle w:val="Rejstk1"/>
        <w:tabs>
          <w:tab w:val="right" w:leader="dot" w:pos="4171"/>
        </w:tabs>
        <w:spacing w:line="240" w:lineRule="auto"/>
      </w:pPr>
      <w:r>
        <w:t>Eliášův krkavec</w:t>
      </w:r>
      <w:r>
        <w:tab/>
        <w:t>5, 413, 441, 490, 545, 689, 742, 800, 822, 946</w:t>
      </w:r>
    </w:p>
    <w:p w:rsidR="00E911ED" w:rsidRDefault="00E911ED" w:rsidP="00E911ED">
      <w:pPr>
        <w:pStyle w:val="Rejstk1"/>
        <w:tabs>
          <w:tab w:val="right" w:leader="dot" w:pos="4171"/>
        </w:tabs>
        <w:spacing w:line="240" w:lineRule="auto"/>
      </w:pPr>
      <w:r>
        <w:t>emanace</w:t>
      </w:r>
      <w:r>
        <w:tab/>
        <w:t>394, 644, 724, 738, 745, 748, 828</w:t>
      </w:r>
    </w:p>
    <w:p w:rsidR="00E911ED" w:rsidRDefault="00E911ED" w:rsidP="00E911ED">
      <w:pPr>
        <w:pStyle w:val="Rejstk1"/>
        <w:tabs>
          <w:tab w:val="right" w:leader="dot" w:pos="4171"/>
        </w:tabs>
        <w:spacing w:line="240" w:lineRule="auto"/>
      </w:pPr>
      <w:r w:rsidRPr="004B4DFF">
        <w:rPr>
          <w:rFonts w:eastAsia="Arial"/>
        </w:rPr>
        <w:t>Engelbertus Admontensis</w:t>
      </w:r>
      <w:r w:rsidR="00EE3DB2">
        <w:rPr>
          <w:rFonts w:eastAsia="Arial"/>
        </w:rPr>
        <w:t xml:space="preserve">, </w:t>
      </w:r>
      <w:r w:rsidR="00EE3DB2">
        <w:t xml:space="preserve">viz </w:t>
      </w:r>
      <w:r w:rsidR="00EE3DB2" w:rsidRPr="00EE3DB2">
        <w:rPr>
          <w:i/>
        </w:rPr>
        <w:t>Index locorum</w:t>
      </w:r>
    </w:p>
    <w:p w:rsidR="00E911ED" w:rsidRDefault="00E911ED" w:rsidP="00E911ED">
      <w:pPr>
        <w:pStyle w:val="Rejstk1"/>
        <w:tabs>
          <w:tab w:val="right" w:leader="dot" w:pos="4171"/>
        </w:tabs>
        <w:spacing w:line="240" w:lineRule="auto"/>
      </w:pPr>
      <w:r w:rsidRPr="004B4DFF">
        <w:rPr>
          <w:i/>
        </w:rPr>
        <w:t>ens</w:t>
      </w:r>
      <w:r>
        <w:t xml:space="preserve"> </w:t>
      </w:r>
      <w:r w:rsidRPr="004B4DFF">
        <w:rPr>
          <w:i/>
        </w:rPr>
        <w:t>debile</w:t>
      </w:r>
      <w:r>
        <w:tab/>
        <w:t>113</w:t>
      </w:r>
    </w:p>
    <w:p w:rsidR="00E911ED" w:rsidRDefault="00E911ED" w:rsidP="00E911ED">
      <w:pPr>
        <w:pStyle w:val="Rejstk1"/>
        <w:tabs>
          <w:tab w:val="right" w:leader="dot" w:pos="4171"/>
        </w:tabs>
        <w:spacing w:line="240" w:lineRule="auto"/>
      </w:pPr>
      <w:r w:rsidRPr="004B4DFF">
        <w:rPr>
          <w:i/>
        </w:rPr>
        <w:t>ens diminutum</w:t>
      </w:r>
      <w:r>
        <w:tab/>
        <w:t>609, 693, 950</w:t>
      </w:r>
    </w:p>
    <w:p w:rsidR="00E911ED" w:rsidRDefault="00E911ED" w:rsidP="00E911ED">
      <w:pPr>
        <w:pStyle w:val="Rejstk1"/>
        <w:tabs>
          <w:tab w:val="right" w:leader="dot" w:pos="4171"/>
        </w:tabs>
        <w:spacing w:line="240" w:lineRule="auto"/>
      </w:pPr>
      <w:r w:rsidRPr="004B4DFF">
        <w:rPr>
          <w:i/>
        </w:rPr>
        <w:t>ens inquantum ens</w:t>
      </w:r>
      <w:r>
        <w:tab/>
        <w:t>23, 25, 42, 46, 181, 258, 261, 312, 326, 372, 436, 579, 586, 597, 600, 643, 644, 651, 662, 663, 667, 668, 680, 687, 702, 703, 705, 711, 720, 756, 791</w:t>
      </w:r>
    </w:p>
    <w:p w:rsidR="00E911ED" w:rsidRDefault="00E911ED" w:rsidP="00E911ED">
      <w:pPr>
        <w:pStyle w:val="Rejstk1"/>
        <w:tabs>
          <w:tab w:val="right" w:leader="dot" w:pos="4171"/>
        </w:tabs>
        <w:spacing w:line="240" w:lineRule="auto"/>
      </w:pPr>
      <w:r w:rsidRPr="004B4DFF">
        <w:rPr>
          <w:i/>
        </w:rPr>
        <w:t>ens rationis</w:t>
      </w:r>
      <w:r>
        <w:tab/>
        <w:t>51</w:t>
      </w:r>
    </w:p>
    <w:p w:rsidR="00E911ED" w:rsidRDefault="00E911ED" w:rsidP="00E911ED">
      <w:pPr>
        <w:pStyle w:val="Rejstk1"/>
        <w:tabs>
          <w:tab w:val="right" w:leader="dot" w:pos="4171"/>
        </w:tabs>
        <w:spacing w:line="240" w:lineRule="auto"/>
      </w:pPr>
      <w:r w:rsidRPr="004B4DFF">
        <w:rPr>
          <w:i/>
        </w:rPr>
        <w:t>ens ratum</w:t>
      </w:r>
      <w:r>
        <w:tab/>
        <w:t>39</w:t>
      </w:r>
    </w:p>
    <w:p w:rsidR="00E911ED" w:rsidRDefault="00E911ED" w:rsidP="00E911ED">
      <w:pPr>
        <w:pStyle w:val="Rejstk2"/>
        <w:tabs>
          <w:tab w:val="right" w:leader="dot" w:pos="4171"/>
        </w:tabs>
        <w:spacing w:line="240" w:lineRule="auto"/>
      </w:pPr>
      <w:r>
        <w:t>Albert</w:t>
      </w:r>
      <w:r>
        <w:tab/>
        <w:t>159</w:t>
      </w:r>
    </w:p>
    <w:p w:rsidR="00E911ED" w:rsidRDefault="00E911ED" w:rsidP="00E911ED">
      <w:pPr>
        <w:pStyle w:val="Rejstk2"/>
        <w:tabs>
          <w:tab w:val="right" w:leader="dot" w:pos="4171"/>
        </w:tabs>
        <w:spacing w:line="240" w:lineRule="auto"/>
      </w:pPr>
      <w:r>
        <w:t>Bonaventura</w:t>
      </w:r>
      <w:r>
        <w:tab/>
        <w:t>35, 43</w:t>
      </w:r>
    </w:p>
    <w:p w:rsidR="00E911ED" w:rsidRDefault="00E911ED" w:rsidP="00E911ED">
      <w:pPr>
        <w:pStyle w:val="Rejstk2"/>
        <w:tabs>
          <w:tab w:val="right" w:leader="dot" w:pos="4171"/>
        </w:tabs>
        <w:spacing w:line="240" w:lineRule="auto"/>
      </w:pPr>
      <w:r>
        <w:t>druhý averroismus</w:t>
      </w:r>
      <w:r>
        <w:tab/>
        <w:t>579</w:t>
      </w:r>
    </w:p>
    <w:p w:rsidR="00E911ED" w:rsidRDefault="00E911ED" w:rsidP="00E911ED">
      <w:pPr>
        <w:pStyle w:val="Rejstk2"/>
        <w:tabs>
          <w:tab w:val="right" w:leader="dot" w:pos="4171"/>
        </w:tabs>
        <w:spacing w:line="240" w:lineRule="auto"/>
      </w:pPr>
      <w:r>
        <w:t>Gandavus</w:t>
      </w:r>
      <w:r>
        <w:tab/>
        <w:t>753, 825</w:t>
      </w:r>
    </w:p>
    <w:p w:rsidR="00E911ED" w:rsidRDefault="00E911ED" w:rsidP="00E911ED">
      <w:pPr>
        <w:pStyle w:val="Rejstk2"/>
        <w:tabs>
          <w:tab w:val="right" w:leader="dot" w:pos="4171"/>
        </w:tabs>
        <w:spacing w:line="240" w:lineRule="auto"/>
      </w:pPr>
      <w:r>
        <w:t>moderna</w:t>
      </w:r>
      <w:r>
        <w:tab/>
        <w:t>59, 113, 133</w:t>
      </w:r>
    </w:p>
    <w:p w:rsidR="00E911ED" w:rsidRDefault="00E911ED" w:rsidP="00E911ED">
      <w:pPr>
        <w:pStyle w:val="Rejstk2"/>
        <w:tabs>
          <w:tab w:val="right" w:leader="dot" w:pos="4171"/>
        </w:tabs>
        <w:spacing w:line="240" w:lineRule="auto"/>
      </w:pPr>
      <w:r>
        <w:t>Pecham</w:t>
      </w:r>
      <w:r>
        <w:tab/>
        <w:t>161</w:t>
      </w:r>
    </w:p>
    <w:p w:rsidR="00E911ED" w:rsidRDefault="00E911ED" w:rsidP="00E911ED">
      <w:pPr>
        <w:pStyle w:val="Rejstk2"/>
        <w:tabs>
          <w:tab w:val="right" w:leader="dot" w:pos="4171"/>
        </w:tabs>
        <w:spacing w:line="240" w:lineRule="auto"/>
      </w:pPr>
      <w:r>
        <w:t>Scotus</w:t>
      </w:r>
      <w:r>
        <w:tab/>
        <w:t>693, 694, 743, 744, 747, 751, 755, 756, 757, 759, 763, 764</w:t>
      </w:r>
    </w:p>
    <w:p w:rsidR="00E911ED" w:rsidRDefault="00E911ED" w:rsidP="00E911ED">
      <w:pPr>
        <w:pStyle w:val="Rejstk1"/>
        <w:tabs>
          <w:tab w:val="right" w:leader="dot" w:pos="4171"/>
        </w:tabs>
        <w:spacing w:line="240" w:lineRule="auto"/>
      </w:pPr>
      <w:r w:rsidRPr="004B4DFF">
        <w:rPr>
          <w:i/>
        </w:rPr>
        <w:t>Entente cordiale</w:t>
      </w:r>
      <w:r>
        <w:tab/>
        <w:t>561</w:t>
      </w:r>
    </w:p>
    <w:p w:rsidR="00E911ED" w:rsidRDefault="00E911ED" w:rsidP="00E911ED">
      <w:pPr>
        <w:pStyle w:val="Rejstk1"/>
        <w:tabs>
          <w:tab w:val="right" w:leader="dot" w:pos="4171"/>
        </w:tabs>
        <w:spacing w:line="240" w:lineRule="auto"/>
      </w:pPr>
      <w:r w:rsidRPr="004B4DFF">
        <w:rPr>
          <w:i/>
        </w:rPr>
        <w:t>enuntiatio</w:t>
      </w:r>
    </w:p>
    <w:p w:rsidR="00E911ED" w:rsidRDefault="00E911ED" w:rsidP="00E911ED">
      <w:pPr>
        <w:pStyle w:val="Rejstk2"/>
        <w:tabs>
          <w:tab w:val="right" w:leader="dot" w:pos="4171"/>
        </w:tabs>
        <w:spacing w:line="240" w:lineRule="auto"/>
      </w:pPr>
      <w:r>
        <w:t>Abelard</w:t>
      </w:r>
      <w:r>
        <w:tab/>
        <w:t>789</w:t>
      </w:r>
    </w:p>
    <w:p w:rsidR="00E911ED" w:rsidRDefault="00E911ED" w:rsidP="00E911ED">
      <w:pPr>
        <w:pStyle w:val="Rejstk2"/>
        <w:tabs>
          <w:tab w:val="right" w:leader="dot" w:pos="4171"/>
        </w:tabs>
        <w:spacing w:line="240" w:lineRule="auto"/>
      </w:pPr>
      <w:r>
        <w:t>Ockham</w:t>
      </w:r>
      <w:r>
        <w:tab/>
        <w:t>788, 801</w:t>
      </w:r>
    </w:p>
    <w:p w:rsidR="00E911ED" w:rsidRDefault="00E911ED" w:rsidP="00E911ED">
      <w:pPr>
        <w:pStyle w:val="Rejstk1"/>
        <w:tabs>
          <w:tab w:val="right" w:leader="dot" w:pos="4171"/>
        </w:tabs>
        <w:spacing w:line="240" w:lineRule="auto"/>
      </w:pPr>
      <w:r w:rsidRPr="004B4DFF">
        <w:rPr>
          <w:bCs/>
          <w:i/>
          <w:iCs/>
        </w:rPr>
        <w:t>epistémé</w:t>
      </w:r>
      <w:r>
        <w:tab/>
        <w:t>96, 114, 364, 413, 843, 871</w:t>
      </w:r>
    </w:p>
    <w:p w:rsidR="00E911ED" w:rsidRDefault="00E911ED" w:rsidP="00E911ED">
      <w:pPr>
        <w:pStyle w:val="Rejstk1"/>
        <w:tabs>
          <w:tab w:val="right" w:leader="dot" w:pos="4171"/>
        </w:tabs>
        <w:spacing w:line="240" w:lineRule="auto"/>
      </w:pPr>
      <w:r w:rsidRPr="004B4DFF">
        <w:rPr>
          <w:i/>
        </w:rPr>
        <w:t>epoché</w:t>
      </w:r>
      <w:r>
        <w:tab/>
        <w:t>110, 684, 685, 686, 702, 800, 807, 838</w:t>
      </w:r>
    </w:p>
    <w:p w:rsidR="00E911ED" w:rsidRDefault="00E911ED" w:rsidP="00E911ED">
      <w:pPr>
        <w:pStyle w:val="Rejstk1"/>
        <w:tabs>
          <w:tab w:val="right" w:leader="dot" w:pos="4171"/>
        </w:tabs>
        <w:spacing w:line="240" w:lineRule="auto"/>
      </w:pPr>
      <w:r w:rsidRPr="004B4DFF">
        <w:rPr>
          <w:i/>
        </w:rPr>
        <w:t>equinitas tantum</w:t>
      </w:r>
      <w:r>
        <w:tab/>
        <w:t>25, 589, 608, 692</w:t>
      </w:r>
    </w:p>
    <w:p w:rsidR="00E911ED" w:rsidRDefault="00E911ED" w:rsidP="00E911ED">
      <w:pPr>
        <w:pStyle w:val="Rejstk1"/>
        <w:tabs>
          <w:tab w:val="right" w:leader="dot" w:pos="4171"/>
        </w:tabs>
        <w:spacing w:line="240" w:lineRule="auto"/>
      </w:pPr>
      <w:r w:rsidRPr="004B4DFF">
        <w:rPr>
          <w:i/>
        </w:rPr>
        <w:t>Er-eignen</w:t>
      </w:r>
      <w:r>
        <w:tab/>
        <w:t>17</w:t>
      </w:r>
    </w:p>
    <w:p w:rsidR="00E911ED" w:rsidRDefault="00E911ED" w:rsidP="00E911ED">
      <w:pPr>
        <w:pStyle w:val="Rejstk1"/>
        <w:tabs>
          <w:tab w:val="right" w:leader="dot" w:pos="4171"/>
        </w:tabs>
        <w:spacing w:line="240" w:lineRule="auto"/>
      </w:pPr>
      <w:r w:rsidRPr="004B4DFF">
        <w:rPr>
          <w:i/>
        </w:rPr>
        <w:t>Ereignis</w:t>
      </w:r>
      <w:r>
        <w:tab/>
        <w:t>1, 5, 55, 107, 113, 362, 474, 512, 572, 626, 642, 708, 750, 837, 933, 935, 943, 946</w:t>
      </w:r>
    </w:p>
    <w:p w:rsidR="00E911ED" w:rsidRDefault="00E911ED" w:rsidP="00E911ED">
      <w:pPr>
        <w:pStyle w:val="Rejstk1"/>
        <w:tabs>
          <w:tab w:val="right" w:leader="dot" w:pos="4171"/>
        </w:tabs>
        <w:spacing w:line="240" w:lineRule="auto"/>
      </w:pPr>
      <w:r>
        <w:t>Erýni</w:t>
      </w:r>
      <w:r w:rsidR="00EE3DB2">
        <w:t>j</w:t>
      </w:r>
      <w:r>
        <w:t>e</w:t>
      </w:r>
      <w:r>
        <w:tab/>
      </w:r>
      <w:r w:rsidR="00EE3DB2">
        <w:t xml:space="preserve">12, </w:t>
      </w:r>
      <w:r>
        <w:t>73, 302, 428</w:t>
      </w:r>
      <w:r w:rsidR="00EE3DB2">
        <w:t>, 687</w:t>
      </w:r>
    </w:p>
    <w:p w:rsidR="00E911ED" w:rsidRDefault="00E911ED" w:rsidP="00E911ED">
      <w:pPr>
        <w:pStyle w:val="Rejstk1"/>
        <w:tabs>
          <w:tab w:val="right" w:leader="dot" w:pos="4171"/>
        </w:tabs>
        <w:spacing w:line="240" w:lineRule="auto"/>
      </w:pPr>
      <w:r w:rsidRPr="004B4DFF">
        <w:rPr>
          <w:i/>
        </w:rPr>
        <w:t>Es gibt</w:t>
      </w:r>
      <w:r>
        <w:tab/>
        <w:t>8, 99, 626</w:t>
      </w:r>
    </w:p>
    <w:p w:rsidR="00E911ED" w:rsidRDefault="00E911ED" w:rsidP="00E911ED">
      <w:pPr>
        <w:pStyle w:val="Rejstk1"/>
        <w:tabs>
          <w:tab w:val="right" w:leader="dot" w:pos="4171"/>
        </w:tabs>
        <w:spacing w:line="240" w:lineRule="auto"/>
      </w:pPr>
      <w:r>
        <w:t>esence</w:t>
      </w:r>
    </w:p>
    <w:p w:rsidR="00E911ED" w:rsidRDefault="00E911ED" w:rsidP="00E911ED">
      <w:pPr>
        <w:pStyle w:val="Rejstk2"/>
        <w:tabs>
          <w:tab w:val="right" w:leader="dot" w:pos="4171"/>
        </w:tabs>
        <w:spacing w:line="240" w:lineRule="auto"/>
      </w:pPr>
      <w:r w:rsidRPr="004B4DFF">
        <w:rPr>
          <w:i/>
        </w:rPr>
        <w:t>esse tale</w:t>
      </w:r>
      <w:r>
        <w:tab/>
        <w:t>731</w:t>
      </w:r>
    </w:p>
    <w:p w:rsidR="00E911ED" w:rsidRDefault="00E911ED" w:rsidP="00E911ED">
      <w:pPr>
        <w:pStyle w:val="Rejstk2"/>
        <w:tabs>
          <w:tab w:val="right" w:leader="dot" w:pos="4171"/>
        </w:tabs>
        <w:spacing w:line="240" w:lineRule="auto"/>
      </w:pPr>
      <w:r w:rsidRPr="004B4DFF">
        <w:rPr>
          <w:i/>
        </w:rPr>
        <w:t>essentia praecise</w:t>
      </w:r>
      <w:r>
        <w:tab/>
        <w:t>754</w:t>
      </w:r>
    </w:p>
    <w:p w:rsidR="00E911ED" w:rsidRDefault="00E911ED" w:rsidP="00E911ED">
      <w:pPr>
        <w:pStyle w:val="Rejstk2"/>
        <w:tabs>
          <w:tab w:val="right" w:leader="dot" w:pos="4171"/>
        </w:tabs>
        <w:spacing w:line="240" w:lineRule="auto"/>
      </w:pPr>
      <w:r w:rsidRPr="004B4DFF">
        <w:rPr>
          <w:i/>
        </w:rPr>
        <w:t>inesse</w:t>
      </w:r>
      <w:r>
        <w:tab/>
        <w:t>715</w:t>
      </w:r>
    </w:p>
    <w:p w:rsidR="00E911ED" w:rsidRDefault="00E911ED" w:rsidP="00E911ED">
      <w:pPr>
        <w:pStyle w:val="Rejstk2"/>
        <w:tabs>
          <w:tab w:val="right" w:leader="dot" w:pos="4171"/>
        </w:tabs>
        <w:spacing w:line="240" w:lineRule="auto"/>
      </w:pPr>
      <w:r>
        <w:t>objektivní</w:t>
      </w:r>
      <w:r>
        <w:tab/>
        <w:t>107, 802</w:t>
      </w:r>
    </w:p>
    <w:p w:rsidR="00E911ED" w:rsidRDefault="00E911ED" w:rsidP="00E911ED">
      <w:pPr>
        <w:pStyle w:val="Rejstk2"/>
        <w:tabs>
          <w:tab w:val="right" w:leader="dot" w:pos="4171"/>
        </w:tabs>
        <w:spacing w:line="240" w:lineRule="auto"/>
      </w:pPr>
      <w:r w:rsidRPr="004B4DFF">
        <w:rPr>
          <w:i/>
        </w:rPr>
        <w:t>secundum quid</w:t>
      </w:r>
      <w:r>
        <w:tab/>
        <w:t>727, 729, 730, 745</w:t>
      </w:r>
    </w:p>
    <w:p w:rsidR="00E911ED" w:rsidRDefault="00E911ED" w:rsidP="00E911ED">
      <w:pPr>
        <w:pStyle w:val="Rejstk1"/>
        <w:tabs>
          <w:tab w:val="right" w:leader="dot" w:pos="4171"/>
        </w:tabs>
        <w:spacing w:line="240" w:lineRule="auto"/>
      </w:pPr>
      <w:r>
        <w:t>eschatologie</w:t>
      </w:r>
      <w:r>
        <w:tab/>
        <w:t>9, 130</w:t>
      </w:r>
    </w:p>
    <w:p w:rsidR="00E911ED" w:rsidRDefault="00E911ED" w:rsidP="00E911ED">
      <w:pPr>
        <w:pStyle w:val="Rejstk1"/>
        <w:tabs>
          <w:tab w:val="right" w:leader="dot" w:pos="4171"/>
        </w:tabs>
        <w:spacing w:line="240" w:lineRule="auto"/>
      </w:pPr>
      <w:r w:rsidRPr="004B4DFF">
        <w:rPr>
          <w:i/>
        </w:rPr>
        <w:t>esse ad</w:t>
      </w:r>
    </w:p>
    <w:p w:rsidR="00E911ED" w:rsidRDefault="00E911ED" w:rsidP="00E911ED">
      <w:pPr>
        <w:pStyle w:val="Rejstk2"/>
        <w:tabs>
          <w:tab w:val="right" w:leader="dot" w:pos="4171"/>
        </w:tabs>
        <w:spacing w:line="240" w:lineRule="auto"/>
      </w:pPr>
      <w:r>
        <w:t>Bonaventura</w:t>
      </w:r>
      <w:r>
        <w:tab/>
        <w:t>39</w:t>
      </w:r>
    </w:p>
    <w:p w:rsidR="00E911ED" w:rsidRDefault="00E911ED" w:rsidP="00E911ED">
      <w:pPr>
        <w:pStyle w:val="Rejstk2"/>
        <w:tabs>
          <w:tab w:val="right" w:leader="dot" w:pos="4171"/>
        </w:tabs>
        <w:spacing w:line="240" w:lineRule="auto"/>
      </w:pPr>
      <w:r>
        <w:t>Gandavus</w:t>
      </w:r>
      <w:r w:rsidR="00EE3DB2">
        <w:t xml:space="preserve"> </w:t>
      </w:r>
      <w:r>
        <w:tab/>
        <w:t>614, 619, 621, 625, 627, 637, 644, 648, 666, 686, 694, 711, 719, 728, 739, 748, 751, 753, 825, 913</w:t>
      </w:r>
    </w:p>
    <w:p w:rsidR="00E911ED" w:rsidRDefault="00E911ED" w:rsidP="00E911ED">
      <w:pPr>
        <w:pStyle w:val="Rejstk2"/>
        <w:tabs>
          <w:tab w:val="right" w:leader="dot" w:pos="4171"/>
        </w:tabs>
        <w:spacing w:line="240" w:lineRule="auto"/>
      </w:pPr>
      <w:r>
        <w:t>Olivi</w:t>
      </w:r>
      <w:r>
        <w:tab/>
        <w:t>522, 527, 532, 533, 536, 552, 565, 566</w:t>
      </w:r>
    </w:p>
    <w:p w:rsidR="00E911ED" w:rsidRDefault="00E911ED" w:rsidP="00E911ED">
      <w:pPr>
        <w:pStyle w:val="Rejstk2"/>
        <w:tabs>
          <w:tab w:val="right" w:leader="dot" w:pos="4171"/>
        </w:tabs>
        <w:spacing w:line="240" w:lineRule="auto"/>
      </w:pPr>
      <w:r>
        <w:t>Scotus</w:t>
      </w:r>
      <w:r>
        <w:tab/>
        <w:t>670, 761</w:t>
      </w:r>
    </w:p>
    <w:p w:rsidR="00E911ED" w:rsidRDefault="00E911ED" w:rsidP="00E911ED">
      <w:pPr>
        <w:pStyle w:val="Rejstk2"/>
        <w:tabs>
          <w:tab w:val="right" w:leader="dot" w:pos="4171"/>
        </w:tabs>
        <w:spacing w:line="240" w:lineRule="auto"/>
      </w:pPr>
      <w:r>
        <w:t>Simplikius</w:t>
      </w:r>
      <w:r>
        <w:tab/>
        <w:t>615, 620, 725, 733</w:t>
      </w:r>
    </w:p>
    <w:p w:rsidR="00E911ED" w:rsidRDefault="00E911ED" w:rsidP="00E911ED">
      <w:pPr>
        <w:pStyle w:val="Rejstk1"/>
        <w:tabs>
          <w:tab w:val="right" w:leader="dot" w:pos="4171"/>
        </w:tabs>
        <w:spacing w:line="240" w:lineRule="auto"/>
      </w:pPr>
      <w:r w:rsidRPr="004B4DFF">
        <w:rPr>
          <w:i/>
        </w:rPr>
        <w:t>esse diminutum</w:t>
      </w:r>
      <w:r>
        <w:tab/>
        <w:t>589, 594, 604, 617, 619, 622, 626, 646, 653, 763</w:t>
      </w:r>
    </w:p>
    <w:p w:rsidR="00E911ED" w:rsidRDefault="00E911ED" w:rsidP="00E911ED">
      <w:pPr>
        <w:pStyle w:val="Rejstk1"/>
        <w:tabs>
          <w:tab w:val="right" w:leader="dot" w:pos="4171"/>
        </w:tabs>
        <w:spacing w:line="240" w:lineRule="auto"/>
      </w:pPr>
      <w:r w:rsidRPr="004B4DFF">
        <w:rPr>
          <w:i/>
        </w:rPr>
        <w:t>esse in</w:t>
      </w:r>
      <w:r>
        <w:tab/>
        <w:t>522, 614</w:t>
      </w:r>
    </w:p>
    <w:p w:rsidR="00E911ED" w:rsidRDefault="00E911ED" w:rsidP="00E911ED">
      <w:pPr>
        <w:pStyle w:val="Rejstk1"/>
        <w:tabs>
          <w:tab w:val="right" w:leader="dot" w:pos="4171"/>
        </w:tabs>
        <w:spacing w:line="240" w:lineRule="auto"/>
      </w:pPr>
      <w:r w:rsidRPr="004B4DFF">
        <w:rPr>
          <w:i/>
        </w:rPr>
        <w:t>esse ratum</w:t>
      </w:r>
      <w:r>
        <w:tab/>
        <w:t>38, 68, 594</w:t>
      </w:r>
    </w:p>
    <w:p w:rsidR="00E911ED" w:rsidRDefault="00E911ED" w:rsidP="00E911ED">
      <w:pPr>
        <w:pStyle w:val="Rejstk2"/>
        <w:tabs>
          <w:tab w:val="right" w:leader="dot" w:pos="4171"/>
        </w:tabs>
        <w:spacing w:line="240" w:lineRule="auto"/>
      </w:pPr>
      <w:r>
        <w:t>Albert</w:t>
      </w:r>
      <w:r>
        <w:tab/>
        <w:t>505, 579</w:t>
      </w:r>
    </w:p>
    <w:p w:rsidR="00E911ED" w:rsidRDefault="00E911ED" w:rsidP="00E911ED">
      <w:pPr>
        <w:pStyle w:val="Rejstk2"/>
        <w:tabs>
          <w:tab w:val="right" w:leader="dot" w:pos="4171"/>
        </w:tabs>
        <w:spacing w:line="240" w:lineRule="auto"/>
      </w:pPr>
      <w:r>
        <w:t>Gandavus</w:t>
      </w:r>
      <w:r>
        <w:tab/>
        <w:t>584, 589</w:t>
      </w:r>
    </w:p>
    <w:p w:rsidR="00E911ED" w:rsidRDefault="00E911ED" w:rsidP="00E911ED">
      <w:pPr>
        <w:pStyle w:val="Rejstk1"/>
        <w:tabs>
          <w:tab w:val="right" w:leader="dot" w:pos="4171"/>
        </w:tabs>
        <w:spacing w:line="240" w:lineRule="auto"/>
      </w:pPr>
      <w:r w:rsidRPr="004B4DFF">
        <w:rPr>
          <w:i/>
          <w:lang w:val="de-LU"/>
        </w:rPr>
        <w:t>esse subsistendi</w:t>
      </w:r>
      <w:r>
        <w:tab/>
        <w:t>662</w:t>
      </w:r>
    </w:p>
    <w:p w:rsidR="00E911ED" w:rsidRDefault="00E911ED" w:rsidP="00E911ED">
      <w:pPr>
        <w:pStyle w:val="Rejstk1"/>
        <w:tabs>
          <w:tab w:val="right" w:leader="dot" w:pos="4171"/>
        </w:tabs>
        <w:spacing w:line="240" w:lineRule="auto"/>
      </w:pPr>
      <w:r w:rsidRPr="004B4DFF">
        <w:rPr>
          <w:i/>
        </w:rPr>
        <w:t>esse</w:t>
      </w:r>
      <w:r>
        <w:t xml:space="preserve"> </w:t>
      </w:r>
      <w:r w:rsidRPr="004B4DFF">
        <w:rPr>
          <w:i/>
        </w:rPr>
        <w:t>subsistens</w:t>
      </w:r>
      <w:r>
        <w:tab/>
        <w:t>660, 661</w:t>
      </w:r>
    </w:p>
    <w:p w:rsidR="00E911ED" w:rsidRDefault="00E911ED" w:rsidP="00E911ED">
      <w:pPr>
        <w:pStyle w:val="Rejstk1"/>
        <w:tabs>
          <w:tab w:val="right" w:leader="dot" w:pos="4171"/>
        </w:tabs>
        <w:spacing w:line="240" w:lineRule="auto"/>
      </w:pPr>
      <w:r w:rsidRPr="004B4DFF">
        <w:rPr>
          <w:i/>
          <w:lang w:val="de-LU"/>
        </w:rPr>
        <w:t>esse substandi</w:t>
      </w:r>
      <w:r>
        <w:tab/>
        <w:t>662</w:t>
      </w:r>
    </w:p>
    <w:p w:rsidR="00E911ED" w:rsidRDefault="00E911ED" w:rsidP="00E911ED">
      <w:pPr>
        <w:pStyle w:val="Rejstk1"/>
        <w:tabs>
          <w:tab w:val="right" w:leader="dot" w:pos="4171"/>
        </w:tabs>
        <w:spacing w:line="240" w:lineRule="auto"/>
      </w:pPr>
      <w:r w:rsidRPr="004B4DFF">
        <w:rPr>
          <w:i/>
        </w:rPr>
        <w:t>esse</w:t>
      </w:r>
      <w:r>
        <w:t xml:space="preserve"> </w:t>
      </w:r>
      <w:r w:rsidRPr="004B4DFF">
        <w:rPr>
          <w:i/>
        </w:rPr>
        <w:t>substans</w:t>
      </w:r>
      <w:r>
        <w:tab/>
        <w:t>660, 662</w:t>
      </w:r>
    </w:p>
    <w:p w:rsidR="00E911ED" w:rsidRDefault="00E911ED" w:rsidP="00E911ED">
      <w:pPr>
        <w:pStyle w:val="Rejstk1"/>
        <w:tabs>
          <w:tab w:val="right" w:leader="dot" w:pos="4171"/>
        </w:tabs>
        <w:spacing w:line="240" w:lineRule="auto"/>
      </w:pPr>
      <w:r>
        <w:t>etika</w:t>
      </w:r>
    </w:p>
    <w:p w:rsidR="00E911ED" w:rsidRDefault="00E911ED" w:rsidP="00E911ED">
      <w:pPr>
        <w:pStyle w:val="Rejstk2"/>
        <w:tabs>
          <w:tab w:val="right" w:leader="dot" w:pos="4171"/>
        </w:tabs>
        <w:spacing w:line="240" w:lineRule="auto"/>
      </w:pPr>
      <w:r>
        <w:t>Albert</w:t>
      </w:r>
      <w:r>
        <w:tab/>
        <w:t>857, 873</w:t>
      </w:r>
    </w:p>
    <w:p w:rsidR="00E911ED" w:rsidRDefault="00E911ED" w:rsidP="00E911ED">
      <w:pPr>
        <w:pStyle w:val="Rejstk2"/>
        <w:tabs>
          <w:tab w:val="right" w:leader="dot" w:pos="4171"/>
        </w:tabs>
        <w:spacing w:line="240" w:lineRule="auto"/>
      </w:pPr>
      <w:r>
        <w:t>druhý averroismus</w:t>
      </w:r>
      <w:r>
        <w:tab/>
        <w:t>859, 861, 862, 863</w:t>
      </w:r>
    </w:p>
    <w:p w:rsidR="00E911ED" w:rsidRDefault="00E911ED" w:rsidP="00E911ED">
      <w:pPr>
        <w:pStyle w:val="Rejstk2"/>
        <w:tabs>
          <w:tab w:val="right" w:leader="dot" w:pos="4171"/>
        </w:tabs>
        <w:spacing w:line="240" w:lineRule="auto"/>
      </w:pPr>
      <w:r>
        <w:t>dvojí pojetí</w:t>
      </w:r>
      <w:r>
        <w:tab/>
        <w:t>881</w:t>
      </w:r>
    </w:p>
    <w:p w:rsidR="00E911ED" w:rsidRDefault="00E911ED" w:rsidP="00E911ED">
      <w:pPr>
        <w:pStyle w:val="Rejstk2"/>
        <w:tabs>
          <w:tab w:val="right" w:leader="dot" w:pos="4171"/>
        </w:tabs>
        <w:spacing w:line="240" w:lineRule="auto"/>
      </w:pPr>
      <w:r>
        <w:t>habitus</w:t>
      </w:r>
      <w:r>
        <w:tab/>
        <w:t>910</w:t>
      </w:r>
    </w:p>
    <w:p w:rsidR="00E911ED" w:rsidRDefault="00E911ED" w:rsidP="00E911ED">
      <w:pPr>
        <w:pStyle w:val="Rejstk2"/>
        <w:tabs>
          <w:tab w:val="right" w:leader="dot" w:pos="4171"/>
        </w:tabs>
        <w:spacing w:line="240" w:lineRule="auto"/>
      </w:pPr>
      <w:r>
        <w:t>nasvícení zepředu</w:t>
      </w:r>
      <w:r>
        <w:tab/>
        <w:t>868</w:t>
      </w:r>
    </w:p>
    <w:p w:rsidR="00E911ED" w:rsidRDefault="00E911ED" w:rsidP="00E911ED">
      <w:pPr>
        <w:pStyle w:val="Rejstk2"/>
        <w:tabs>
          <w:tab w:val="right" w:leader="dot" w:pos="4171"/>
        </w:tabs>
        <w:spacing w:line="240" w:lineRule="auto"/>
      </w:pPr>
      <w:r>
        <w:t>nasvícení zezadu</w:t>
      </w:r>
      <w:r>
        <w:tab/>
        <w:t>864, 865, 866</w:t>
      </w:r>
    </w:p>
    <w:p w:rsidR="00E911ED" w:rsidRDefault="00E911ED" w:rsidP="00E911ED">
      <w:pPr>
        <w:pStyle w:val="Rejstk2"/>
        <w:tabs>
          <w:tab w:val="right" w:leader="dot" w:pos="4171"/>
        </w:tabs>
        <w:spacing w:line="240" w:lineRule="auto"/>
      </w:pPr>
      <w:r>
        <w:t>objektivní</w:t>
      </w:r>
      <w:r>
        <w:tab/>
        <w:t>912, 919</w:t>
      </w:r>
    </w:p>
    <w:p w:rsidR="00E911ED" w:rsidRDefault="00E911ED" w:rsidP="00E911ED">
      <w:pPr>
        <w:pStyle w:val="Rejstk2"/>
        <w:tabs>
          <w:tab w:val="right" w:leader="dot" w:pos="4171"/>
        </w:tabs>
        <w:spacing w:line="240" w:lineRule="auto"/>
      </w:pPr>
      <w:r>
        <w:t>Ockham</w:t>
      </w:r>
      <w:r>
        <w:tab/>
        <w:t>908, 910, 915</w:t>
      </w:r>
    </w:p>
    <w:p w:rsidR="00E911ED" w:rsidRDefault="00E911ED" w:rsidP="00E911ED">
      <w:pPr>
        <w:pStyle w:val="Rejstk2"/>
        <w:tabs>
          <w:tab w:val="right" w:leader="dot" w:pos="4171"/>
        </w:tabs>
        <w:spacing w:line="240" w:lineRule="auto"/>
      </w:pPr>
      <w:r>
        <w:t>první averroismus</w:t>
      </w:r>
      <w:r>
        <w:tab/>
        <w:t>854, 869, 881</w:t>
      </w:r>
    </w:p>
    <w:p w:rsidR="00E911ED" w:rsidRDefault="00E911ED" w:rsidP="00E911ED">
      <w:pPr>
        <w:pStyle w:val="Rejstk2"/>
        <w:tabs>
          <w:tab w:val="right" w:leader="dot" w:pos="4171"/>
        </w:tabs>
        <w:spacing w:line="240" w:lineRule="auto"/>
      </w:pPr>
      <w:r w:rsidRPr="004B4DFF">
        <w:rPr>
          <w:i/>
        </w:rPr>
        <w:t>recta ratio</w:t>
      </w:r>
      <w:r>
        <w:tab/>
        <w:t>870, 909, 916, 920</w:t>
      </w:r>
    </w:p>
    <w:p w:rsidR="00E911ED" w:rsidRDefault="00E911ED" w:rsidP="00E911ED">
      <w:pPr>
        <w:pStyle w:val="Rejstk2"/>
        <w:tabs>
          <w:tab w:val="right" w:leader="dot" w:pos="4171"/>
        </w:tabs>
        <w:spacing w:line="240" w:lineRule="auto"/>
      </w:pPr>
      <w:r>
        <w:t>Rufus</w:t>
      </w:r>
      <w:r>
        <w:tab/>
        <w:t>865</w:t>
      </w:r>
    </w:p>
    <w:p w:rsidR="00E911ED" w:rsidRDefault="00E911ED" w:rsidP="00E911ED">
      <w:pPr>
        <w:pStyle w:val="Rejstk1"/>
        <w:tabs>
          <w:tab w:val="right" w:leader="dot" w:pos="4171"/>
        </w:tabs>
        <w:spacing w:line="240" w:lineRule="auto"/>
      </w:pPr>
      <w:r w:rsidRPr="004B4DFF">
        <w:rPr>
          <w:i/>
        </w:rPr>
        <w:t>etsi deus non daretur</w:t>
      </w:r>
      <w:r>
        <w:tab/>
        <w:t>734, 838</w:t>
      </w:r>
    </w:p>
    <w:p w:rsidR="00E911ED" w:rsidRDefault="00E911ED" w:rsidP="00E911ED">
      <w:pPr>
        <w:pStyle w:val="Rejstk1"/>
        <w:tabs>
          <w:tab w:val="right" w:leader="dot" w:pos="4171"/>
        </w:tabs>
        <w:spacing w:line="240" w:lineRule="auto"/>
      </w:pPr>
      <w:r>
        <w:t>eugenika</w:t>
      </w:r>
      <w:r>
        <w:tab/>
        <w:t>840</w:t>
      </w:r>
    </w:p>
    <w:p w:rsidR="00E911ED" w:rsidRDefault="00E911ED" w:rsidP="00E911ED">
      <w:pPr>
        <w:pStyle w:val="Rejstk1"/>
        <w:tabs>
          <w:tab w:val="right" w:leader="dot" w:pos="4171"/>
        </w:tabs>
        <w:spacing w:line="240" w:lineRule="auto"/>
      </w:pPr>
      <w:r>
        <w:t>Eusébius z Césareje</w:t>
      </w:r>
      <w:r>
        <w:tab/>
        <w:t>851</w:t>
      </w:r>
    </w:p>
    <w:p w:rsidR="00E911ED" w:rsidRDefault="00E911ED" w:rsidP="00E911ED">
      <w:pPr>
        <w:pStyle w:val="Rejstk1"/>
        <w:tabs>
          <w:tab w:val="right" w:leader="dot" w:pos="4171"/>
        </w:tabs>
        <w:spacing w:line="240" w:lineRule="auto"/>
      </w:pPr>
      <w:r>
        <w:t>Eustratius</w:t>
      </w:r>
      <w:r>
        <w:tab/>
        <w:t>847</w:t>
      </w:r>
    </w:p>
    <w:p w:rsidR="00E911ED" w:rsidRDefault="00E911ED" w:rsidP="00E911ED">
      <w:pPr>
        <w:pStyle w:val="Rejstk1"/>
        <w:tabs>
          <w:tab w:val="right" w:leader="dot" w:pos="4171"/>
        </w:tabs>
        <w:spacing w:line="240" w:lineRule="auto"/>
      </w:pPr>
      <w:r>
        <w:t>evidence</w:t>
      </w:r>
    </w:p>
    <w:p w:rsidR="00E911ED" w:rsidRDefault="00E911ED" w:rsidP="00E911ED">
      <w:pPr>
        <w:pStyle w:val="Rejstk2"/>
        <w:tabs>
          <w:tab w:val="right" w:leader="dot" w:pos="4171"/>
        </w:tabs>
        <w:spacing w:line="240" w:lineRule="auto"/>
      </w:pPr>
      <w:r>
        <w:t>Avicenna</w:t>
      </w:r>
      <w:r>
        <w:tab/>
        <w:t>530, 606</w:t>
      </w:r>
    </w:p>
    <w:p w:rsidR="00E911ED" w:rsidRDefault="00E911ED" w:rsidP="00E911ED">
      <w:pPr>
        <w:pStyle w:val="Rejstk2"/>
        <w:tabs>
          <w:tab w:val="right" w:leader="dot" w:pos="4171"/>
        </w:tabs>
        <w:spacing w:line="240" w:lineRule="auto"/>
      </w:pPr>
      <w:r>
        <w:t>Descartes</w:t>
      </w:r>
      <w:r>
        <w:tab/>
        <w:t>110</w:t>
      </w:r>
    </w:p>
    <w:p w:rsidR="00E911ED" w:rsidRDefault="00E911ED" w:rsidP="00E911ED">
      <w:pPr>
        <w:pStyle w:val="Rejstk2"/>
        <w:tabs>
          <w:tab w:val="right" w:leader="dot" w:pos="4171"/>
        </w:tabs>
        <w:spacing w:line="240" w:lineRule="auto"/>
      </w:pPr>
      <w:r>
        <w:t>moderna</w:t>
      </w:r>
      <w:r>
        <w:tab/>
        <w:t>606</w:t>
      </w:r>
    </w:p>
    <w:p w:rsidR="00E911ED" w:rsidRDefault="00E911ED" w:rsidP="00E911ED">
      <w:pPr>
        <w:pStyle w:val="Rejstk2"/>
        <w:tabs>
          <w:tab w:val="right" w:leader="dot" w:pos="4171"/>
        </w:tabs>
        <w:spacing w:line="240" w:lineRule="auto"/>
      </w:pPr>
      <w:r>
        <w:t>postmoderna</w:t>
      </w:r>
      <w:r>
        <w:tab/>
        <w:t>130</w:t>
      </w:r>
    </w:p>
    <w:p w:rsidR="00E911ED" w:rsidRDefault="00E911ED" w:rsidP="00E911ED">
      <w:pPr>
        <w:pStyle w:val="Rejstk1"/>
        <w:tabs>
          <w:tab w:val="right" w:leader="dot" w:pos="4171"/>
        </w:tabs>
        <w:spacing w:line="240" w:lineRule="auto"/>
      </w:pPr>
      <w:r>
        <w:t>evoluce</w:t>
      </w:r>
      <w:r>
        <w:tab/>
        <w:t>130, 518, 520, 521, 619, 690</w:t>
      </w:r>
    </w:p>
    <w:p w:rsidR="00E911ED" w:rsidRDefault="00E911ED" w:rsidP="00E911ED">
      <w:pPr>
        <w:pStyle w:val="Rejstk1"/>
        <w:tabs>
          <w:tab w:val="right" w:leader="dot" w:pos="4171"/>
        </w:tabs>
        <w:spacing w:line="240" w:lineRule="auto"/>
      </w:pPr>
      <w:r w:rsidRPr="004B4DFF">
        <w:rPr>
          <w:i/>
        </w:rPr>
        <w:t>excessus mentis</w:t>
      </w:r>
      <w:r>
        <w:tab/>
        <w:t>110</w:t>
      </w:r>
    </w:p>
    <w:p w:rsidR="00E911ED" w:rsidRDefault="00E911ED" w:rsidP="00E911ED">
      <w:pPr>
        <w:pStyle w:val="Rejstk1"/>
        <w:tabs>
          <w:tab w:val="right" w:leader="dot" w:pos="4171"/>
        </w:tabs>
        <w:spacing w:line="240" w:lineRule="auto"/>
      </w:pPr>
      <w:r>
        <w:t>exemplar</w:t>
      </w:r>
      <w:r>
        <w:tab/>
        <w:t>49, 54, 106, 150, 166, 231, 386, 502, 582, 583, 594, 605, 606, 617, 627, 634, 666, 686, 719, 723, 725, 736, 746, 754, 757, 828</w:t>
      </w:r>
    </w:p>
    <w:p w:rsidR="00E911ED" w:rsidRDefault="00E911ED" w:rsidP="00E911ED">
      <w:pPr>
        <w:pStyle w:val="Rejstk1"/>
        <w:tabs>
          <w:tab w:val="right" w:leader="dot" w:pos="4171"/>
        </w:tabs>
        <w:spacing w:line="240" w:lineRule="auto"/>
      </w:pPr>
      <w:r>
        <w:t>existenciály</w:t>
      </w:r>
      <w:r>
        <w:tab/>
        <w:t>16</w:t>
      </w:r>
    </w:p>
    <w:p w:rsidR="00E911ED" w:rsidRDefault="00E911ED" w:rsidP="00E911ED">
      <w:pPr>
        <w:pStyle w:val="Rejstk1"/>
        <w:tabs>
          <w:tab w:val="right" w:leader="dot" w:pos="4171"/>
        </w:tabs>
        <w:spacing w:line="240" w:lineRule="auto"/>
      </w:pPr>
      <w:r w:rsidRPr="004B4DFF">
        <w:rPr>
          <w:i/>
        </w:rPr>
        <w:t>Expositor Novus</w:t>
      </w:r>
      <w:r>
        <w:tab/>
        <w:t>66, 145, 215, 216, 222, 237, 277, 313, 315, 316, 321, 327, 340, 352, 357, 366, 389, 403, 419, 430, 435, 467, 469, 485, 576</w:t>
      </w:r>
    </w:p>
    <w:p w:rsidR="00E911ED" w:rsidRDefault="00E911ED" w:rsidP="00E911ED">
      <w:pPr>
        <w:pStyle w:val="Rejstk1"/>
        <w:tabs>
          <w:tab w:val="right" w:leader="dot" w:pos="4171"/>
        </w:tabs>
        <w:spacing w:line="240" w:lineRule="auto"/>
      </w:pPr>
      <w:r w:rsidRPr="004B4DFF">
        <w:rPr>
          <w:i/>
        </w:rPr>
        <w:t>exsistere</w:t>
      </w:r>
      <w:r>
        <w:tab/>
        <w:t>33, 68, 84, 106, 109, 155, 186, 195, 292, 446, 517, 535, 559, 727, 745, 757, 789, 866</w:t>
      </w:r>
    </w:p>
    <w:p w:rsidR="00E911ED" w:rsidRDefault="00E911ED" w:rsidP="00E911ED">
      <w:pPr>
        <w:pStyle w:val="Rejstk2"/>
        <w:tabs>
          <w:tab w:val="right" w:leader="dot" w:pos="4171"/>
        </w:tabs>
        <w:spacing w:line="240" w:lineRule="auto"/>
      </w:pPr>
      <w:r>
        <w:t>Gandavus</w:t>
      </w:r>
      <w:r>
        <w:tab/>
        <w:t>587</w:t>
      </w:r>
    </w:p>
    <w:p w:rsidR="00D4324A" w:rsidRPr="00F43866" w:rsidRDefault="00D4324A" w:rsidP="00D4324A">
      <w:pPr>
        <w:pStyle w:val="Hlavikarejstku"/>
        <w:keepNext/>
        <w:tabs>
          <w:tab w:val="right" w:leader="dot" w:pos="4171"/>
        </w:tabs>
        <w:spacing w:line="240" w:lineRule="auto"/>
        <w:rPr>
          <w:rFonts w:eastAsia="Times New Roman"/>
          <w:b w:val="0"/>
          <w:bCs w:val="0"/>
          <w:lang w:val="de-LU"/>
        </w:rPr>
      </w:pPr>
      <w:r>
        <w:rPr>
          <w:lang w:val="de-LU"/>
        </w:rPr>
        <w:t>F</w:t>
      </w:r>
    </w:p>
    <w:p w:rsidR="00D4324A" w:rsidRDefault="00D4324A" w:rsidP="00E911ED">
      <w:pPr>
        <w:pStyle w:val="Rejstk1"/>
        <w:tabs>
          <w:tab w:val="right" w:leader="dot" w:pos="4171"/>
        </w:tabs>
        <w:spacing w:line="240" w:lineRule="auto"/>
        <w:rPr>
          <w:i/>
        </w:rPr>
      </w:pPr>
    </w:p>
    <w:p w:rsidR="00E911ED" w:rsidRDefault="00E911ED" w:rsidP="00E911ED">
      <w:pPr>
        <w:pStyle w:val="Rejstk1"/>
        <w:tabs>
          <w:tab w:val="right" w:leader="dot" w:pos="4171"/>
        </w:tabs>
        <w:spacing w:line="240" w:lineRule="auto"/>
      </w:pPr>
      <w:r w:rsidRPr="004B4DFF">
        <w:rPr>
          <w:i/>
        </w:rPr>
        <w:t>factum</w:t>
      </w:r>
      <w:r>
        <w:tab/>
        <w:t>36, 44, 103, 108, 114, 119, 121, 123, 128, 271, 714, 716, 815</w:t>
      </w:r>
    </w:p>
    <w:p w:rsidR="00E911ED" w:rsidRDefault="00E911ED" w:rsidP="00E911ED">
      <w:pPr>
        <w:pStyle w:val="Rejstk1"/>
        <w:tabs>
          <w:tab w:val="right" w:leader="dot" w:pos="4171"/>
        </w:tabs>
        <w:spacing w:line="240" w:lineRule="auto"/>
      </w:pPr>
      <w:r w:rsidRPr="004B4DFF">
        <w:rPr>
          <w:i/>
        </w:rPr>
        <w:t>fallacia</w:t>
      </w:r>
      <w:r>
        <w:t xml:space="preserve"> </w:t>
      </w:r>
      <w:r w:rsidRPr="004B4DFF">
        <w:rPr>
          <w:i/>
        </w:rPr>
        <w:t>a dicto simpliciter ad dictum secundum quid</w:t>
      </w:r>
      <w:r>
        <w:tab/>
        <w:t>6</w:t>
      </w:r>
    </w:p>
    <w:p w:rsidR="00E911ED" w:rsidRDefault="00E911ED" w:rsidP="00E911ED">
      <w:pPr>
        <w:pStyle w:val="Rejstk1"/>
        <w:tabs>
          <w:tab w:val="right" w:leader="dot" w:pos="4171"/>
        </w:tabs>
        <w:spacing w:line="240" w:lineRule="auto"/>
      </w:pPr>
      <w:r w:rsidRPr="004B4DFF">
        <w:rPr>
          <w:i/>
        </w:rPr>
        <w:t>fallacia secundum quid et simpliciter</w:t>
      </w:r>
      <w:r>
        <w:tab/>
        <w:t>332, 431, 690, 789</w:t>
      </w:r>
    </w:p>
    <w:p w:rsidR="00E911ED" w:rsidRDefault="00E911ED" w:rsidP="00E911ED">
      <w:pPr>
        <w:pStyle w:val="Rejstk1"/>
        <w:tabs>
          <w:tab w:val="right" w:leader="dot" w:pos="4171"/>
        </w:tabs>
        <w:spacing w:line="240" w:lineRule="auto"/>
      </w:pPr>
      <w:r>
        <w:t>Feuerbach, L.</w:t>
      </w:r>
      <w:r>
        <w:tab/>
        <w:t>732</w:t>
      </w:r>
    </w:p>
    <w:p w:rsidR="00E911ED" w:rsidRDefault="00E911ED" w:rsidP="00E911ED">
      <w:pPr>
        <w:pStyle w:val="Rejstk1"/>
        <w:tabs>
          <w:tab w:val="right" w:leader="dot" w:pos="4171"/>
        </w:tabs>
        <w:spacing w:line="240" w:lineRule="auto"/>
      </w:pPr>
      <w:r>
        <w:t>Feyerabend, P. K.</w:t>
      </w:r>
      <w:r>
        <w:tab/>
        <w:t>470</w:t>
      </w:r>
    </w:p>
    <w:p w:rsidR="00E911ED" w:rsidRDefault="00E911ED" w:rsidP="00E911ED">
      <w:pPr>
        <w:pStyle w:val="Rejstk1"/>
        <w:tabs>
          <w:tab w:val="right" w:leader="dot" w:pos="4171"/>
        </w:tabs>
        <w:spacing w:line="240" w:lineRule="auto"/>
      </w:pPr>
      <w:r>
        <w:t>Filoponus</w:t>
      </w:r>
      <w:r>
        <w:tab/>
        <w:t>48</w:t>
      </w:r>
    </w:p>
    <w:p w:rsidR="00E911ED" w:rsidRDefault="00E911ED" w:rsidP="00E911ED">
      <w:pPr>
        <w:pStyle w:val="Rejstk1"/>
        <w:tabs>
          <w:tab w:val="right" w:leader="dot" w:pos="4171"/>
        </w:tabs>
        <w:spacing w:line="240" w:lineRule="auto"/>
      </w:pPr>
      <w:r>
        <w:t>finanční deriváty</w:t>
      </w:r>
      <w:r>
        <w:tab/>
        <w:t>129, 564, 949</w:t>
      </w:r>
    </w:p>
    <w:p w:rsidR="00E911ED" w:rsidRDefault="00E911ED" w:rsidP="00E911ED">
      <w:pPr>
        <w:pStyle w:val="Rejstk1"/>
        <w:tabs>
          <w:tab w:val="right" w:leader="dot" w:pos="4171"/>
        </w:tabs>
        <w:spacing w:line="240" w:lineRule="auto"/>
      </w:pPr>
      <w:r>
        <w:t>Fiore, J.</w:t>
      </w:r>
      <w:r w:rsidR="00EE3DB2">
        <w:t xml:space="preserve"> </w:t>
      </w:r>
      <w:r>
        <w:tab/>
        <w:t>706</w:t>
      </w:r>
    </w:p>
    <w:p w:rsidR="00E911ED" w:rsidRDefault="00E911ED" w:rsidP="00E911ED">
      <w:pPr>
        <w:pStyle w:val="Rejstk1"/>
        <w:tabs>
          <w:tab w:val="right" w:leader="dot" w:pos="4171"/>
        </w:tabs>
        <w:spacing w:line="240" w:lineRule="auto"/>
      </w:pPr>
      <w:r>
        <w:t>Foucault, M.</w:t>
      </w:r>
      <w:r>
        <w:tab/>
        <w:t>96, 114, 364, 510</w:t>
      </w:r>
    </w:p>
    <w:p w:rsidR="00E911ED" w:rsidRDefault="00E911ED" w:rsidP="00E911ED">
      <w:pPr>
        <w:pStyle w:val="Rejstk1"/>
        <w:tabs>
          <w:tab w:val="right" w:leader="dot" w:pos="4171"/>
        </w:tabs>
        <w:spacing w:line="240" w:lineRule="auto"/>
      </w:pPr>
      <w:r>
        <w:t>Freud, S.</w:t>
      </w:r>
      <w:r>
        <w:tab/>
        <w:t>7, 63, 840</w:t>
      </w:r>
    </w:p>
    <w:p w:rsidR="00E911ED" w:rsidRDefault="00E911ED" w:rsidP="00E911ED">
      <w:pPr>
        <w:pStyle w:val="Rejstk1"/>
        <w:tabs>
          <w:tab w:val="right" w:leader="dot" w:pos="4171"/>
        </w:tabs>
        <w:spacing w:line="240" w:lineRule="auto"/>
      </w:pPr>
      <w:r w:rsidRPr="004B4DFF">
        <w:rPr>
          <w:i/>
        </w:rPr>
        <w:t>fronésis</w:t>
      </w:r>
      <w:r>
        <w:tab/>
        <w:t>858, 867, 870, 888, 910</w:t>
      </w:r>
    </w:p>
    <w:p w:rsidR="00532A2C" w:rsidRDefault="00532A2C" w:rsidP="00532A2C">
      <w:pPr>
        <w:pStyle w:val="Rejstk2"/>
        <w:tabs>
          <w:tab w:val="right" w:leader="dot" w:pos="4171"/>
        </w:tabs>
        <w:spacing w:line="240" w:lineRule="auto"/>
        <w:ind w:left="0" w:firstLine="0"/>
      </w:pPr>
      <w:r w:rsidRPr="004B4DFF">
        <w:rPr>
          <w:i/>
        </w:rPr>
        <w:t>future contigents</w:t>
      </w:r>
      <w:r>
        <w:tab/>
        <w:t>811</w:t>
      </w:r>
    </w:p>
    <w:p w:rsidR="00FE2FE7" w:rsidRPr="00F43866" w:rsidRDefault="00FE2FE7" w:rsidP="00FE2FE7">
      <w:pPr>
        <w:pStyle w:val="Hlavikarejstku"/>
        <w:keepNext/>
        <w:tabs>
          <w:tab w:val="right" w:leader="dot" w:pos="4171"/>
        </w:tabs>
        <w:spacing w:line="240" w:lineRule="auto"/>
        <w:rPr>
          <w:rFonts w:eastAsia="Times New Roman"/>
          <w:b w:val="0"/>
          <w:bCs w:val="0"/>
          <w:lang w:val="de-LU"/>
        </w:rPr>
      </w:pPr>
      <w:r>
        <w:rPr>
          <w:lang w:val="de-LU"/>
        </w:rPr>
        <w:t>G</w:t>
      </w:r>
    </w:p>
    <w:p w:rsidR="00FE2FE7" w:rsidRDefault="00FE2FE7" w:rsidP="00E911ED">
      <w:pPr>
        <w:pStyle w:val="Rejstk1"/>
        <w:tabs>
          <w:tab w:val="right" w:leader="dot" w:pos="4171"/>
        </w:tabs>
        <w:spacing w:line="240" w:lineRule="auto"/>
      </w:pPr>
    </w:p>
    <w:p w:rsidR="00E911ED" w:rsidRDefault="00E911ED" w:rsidP="00E911ED">
      <w:pPr>
        <w:pStyle w:val="Rejstk1"/>
        <w:tabs>
          <w:tab w:val="right" w:leader="dot" w:pos="4171"/>
        </w:tabs>
        <w:spacing w:line="240" w:lineRule="auto"/>
      </w:pPr>
      <w:r>
        <w:t>Galileo</w:t>
      </w:r>
      <w:r w:rsidR="00EE3DB2">
        <w:t xml:space="preserve">, G, viz </w:t>
      </w:r>
      <w:r w:rsidR="00EE3DB2" w:rsidRPr="00EE3DB2">
        <w:rPr>
          <w:i/>
        </w:rPr>
        <w:t>Index locorum</w:t>
      </w:r>
      <w:r>
        <w:tab/>
        <w:t>494</w:t>
      </w:r>
    </w:p>
    <w:p w:rsidR="00E911ED" w:rsidRDefault="00E911ED" w:rsidP="00E911ED">
      <w:pPr>
        <w:pStyle w:val="Rejstk1"/>
        <w:tabs>
          <w:tab w:val="right" w:leader="dot" w:pos="4171"/>
        </w:tabs>
        <w:spacing w:line="240" w:lineRule="auto"/>
      </w:pPr>
      <w:r>
        <w:t>Gandavus</w:t>
      </w:r>
      <w:r w:rsidR="00EE3DB2">
        <w:t xml:space="preserve">, H., viz </w:t>
      </w:r>
      <w:r w:rsidR="00EE3DB2" w:rsidRPr="00EE3DB2">
        <w:rPr>
          <w:i/>
        </w:rPr>
        <w:t>Index locorum</w:t>
      </w:r>
    </w:p>
    <w:p w:rsidR="00E911ED" w:rsidRDefault="00E911ED" w:rsidP="00E911ED">
      <w:pPr>
        <w:pStyle w:val="Rejstk1"/>
        <w:tabs>
          <w:tab w:val="right" w:leader="dot" w:pos="4171"/>
        </w:tabs>
        <w:spacing w:line="240" w:lineRule="auto"/>
      </w:pPr>
      <w:r>
        <w:rPr>
          <w:lang w:eastAsia="en-US"/>
        </w:rPr>
        <w:t>Gauthier, A. R.</w:t>
      </w:r>
      <w:r>
        <w:tab/>
        <w:t>214, 240, 243, 471, 813, 858</w:t>
      </w:r>
    </w:p>
    <w:p w:rsidR="00E911ED" w:rsidRDefault="00E911ED" w:rsidP="00E911ED">
      <w:pPr>
        <w:pStyle w:val="Rejstk1"/>
        <w:tabs>
          <w:tab w:val="right" w:leader="dot" w:pos="4171"/>
        </w:tabs>
        <w:spacing w:line="240" w:lineRule="auto"/>
      </w:pPr>
      <w:r w:rsidRPr="004B4DFF">
        <w:rPr>
          <w:i/>
          <w:iCs/>
        </w:rPr>
        <w:t>Gehaltsinn</w:t>
      </w:r>
      <w:r>
        <w:tab/>
        <w:t xml:space="preserve">8, </w:t>
      </w:r>
      <w:r w:rsidR="00EE3DB2">
        <w:t xml:space="preserve">9, </w:t>
      </w:r>
      <w:r>
        <w:t>17, 301, 407</w:t>
      </w:r>
    </w:p>
    <w:p w:rsidR="00E911ED" w:rsidRDefault="00E911ED" w:rsidP="00E911ED">
      <w:pPr>
        <w:pStyle w:val="Rejstk1"/>
        <w:tabs>
          <w:tab w:val="right" w:leader="dot" w:pos="4171"/>
        </w:tabs>
        <w:spacing w:line="240" w:lineRule="auto"/>
      </w:pPr>
      <w:r>
        <w:t>Gérard d'Abbeville</w:t>
      </w:r>
      <w:r>
        <w:tab/>
        <w:t>4, 62</w:t>
      </w:r>
    </w:p>
    <w:p w:rsidR="00E911ED" w:rsidRDefault="00E911ED" w:rsidP="00E911ED">
      <w:pPr>
        <w:pStyle w:val="Rejstk1"/>
        <w:tabs>
          <w:tab w:val="right" w:leader="dot" w:pos="4171"/>
        </w:tabs>
        <w:spacing w:line="240" w:lineRule="auto"/>
      </w:pPr>
      <w:r w:rsidRPr="004B4DFF">
        <w:rPr>
          <w:i/>
        </w:rPr>
        <w:t>Ge-Stell</w:t>
      </w:r>
      <w:r>
        <w:tab/>
        <w:t xml:space="preserve">6, </w:t>
      </w:r>
      <w:r w:rsidR="00EE3DB2">
        <w:t xml:space="preserve">19, </w:t>
      </w:r>
      <w:r>
        <w:t>107, 120, 548, 715, 717, 827, 943, 946</w:t>
      </w:r>
    </w:p>
    <w:p w:rsidR="00E911ED" w:rsidRDefault="00E911ED" w:rsidP="00E911ED">
      <w:pPr>
        <w:pStyle w:val="Rejstk1"/>
        <w:tabs>
          <w:tab w:val="right" w:leader="dot" w:pos="4171"/>
        </w:tabs>
        <w:spacing w:line="240" w:lineRule="auto"/>
      </w:pPr>
      <w:r w:rsidRPr="004B4DFF">
        <w:rPr>
          <w:i/>
        </w:rPr>
        <w:t>Geviert</w:t>
      </w:r>
      <w:r>
        <w:tab/>
        <w:t>2</w:t>
      </w:r>
    </w:p>
    <w:p w:rsidR="00E911ED" w:rsidRDefault="00E911ED" w:rsidP="00E911ED">
      <w:pPr>
        <w:pStyle w:val="Rejstk1"/>
        <w:tabs>
          <w:tab w:val="right" w:leader="dot" w:pos="4171"/>
        </w:tabs>
        <w:spacing w:line="240" w:lineRule="auto"/>
      </w:pPr>
      <w:r>
        <w:t>Gilgameš</w:t>
      </w:r>
      <w:r>
        <w:tab/>
        <w:t>941</w:t>
      </w:r>
    </w:p>
    <w:p w:rsidR="00E911ED" w:rsidRDefault="00E911ED" w:rsidP="00E911ED">
      <w:pPr>
        <w:pStyle w:val="Rejstk1"/>
        <w:tabs>
          <w:tab w:val="right" w:leader="dot" w:pos="4171"/>
        </w:tabs>
        <w:spacing w:line="240" w:lineRule="auto"/>
      </w:pPr>
      <w:r>
        <w:t>Gilson, E.</w:t>
      </w:r>
      <w:r>
        <w:tab/>
        <w:t>112, 134, 240, 256, 357, 489, 655</w:t>
      </w:r>
    </w:p>
    <w:p w:rsidR="00E911ED" w:rsidRDefault="00E911ED" w:rsidP="00E911ED">
      <w:pPr>
        <w:pStyle w:val="Rejstk1"/>
        <w:tabs>
          <w:tab w:val="right" w:leader="dot" w:pos="4171"/>
        </w:tabs>
        <w:spacing w:line="240" w:lineRule="auto"/>
      </w:pPr>
      <w:r>
        <w:t>Glanvill, J.</w:t>
      </w:r>
      <w:r>
        <w:tab/>
        <w:t>843</w:t>
      </w:r>
    </w:p>
    <w:p w:rsidR="00E911ED" w:rsidRDefault="00E911ED" w:rsidP="00E911ED">
      <w:pPr>
        <w:pStyle w:val="Rejstk1"/>
        <w:tabs>
          <w:tab w:val="right" w:leader="dot" w:pos="4171"/>
        </w:tabs>
        <w:spacing w:line="240" w:lineRule="auto"/>
      </w:pPr>
      <w:r>
        <w:t>globální oteplování</w:t>
      </w:r>
      <w:r>
        <w:tab/>
        <w:t>505</w:t>
      </w:r>
    </w:p>
    <w:p w:rsidR="00E911ED" w:rsidRDefault="00E911ED" w:rsidP="00E911ED">
      <w:pPr>
        <w:pStyle w:val="Rejstk1"/>
        <w:tabs>
          <w:tab w:val="right" w:leader="dot" w:pos="4171"/>
        </w:tabs>
        <w:spacing w:line="240" w:lineRule="auto"/>
      </w:pPr>
      <w:r>
        <w:t>Goclenius, R.</w:t>
      </w:r>
      <w:r w:rsidR="00213620">
        <w:t xml:space="preserve"> </w:t>
      </w:r>
      <w:r>
        <w:tab/>
        <w:t>113, 844</w:t>
      </w:r>
    </w:p>
    <w:p w:rsidR="00E911ED" w:rsidRPr="00213620" w:rsidRDefault="00E911ED" w:rsidP="00E911ED">
      <w:pPr>
        <w:pStyle w:val="Rejstk1"/>
        <w:tabs>
          <w:tab w:val="right" w:leader="dot" w:pos="4171"/>
        </w:tabs>
        <w:spacing w:line="240" w:lineRule="auto"/>
        <w:rPr>
          <w:i/>
        </w:rPr>
      </w:pPr>
      <w:r>
        <w:t>Godefroid de Fontaines</w:t>
      </w:r>
      <w:r w:rsidR="00213620">
        <w:t xml:space="preserve">, viz </w:t>
      </w:r>
      <w:r w:rsidR="00213620" w:rsidRPr="00213620">
        <w:rPr>
          <w:i/>
        </w:rPr>
        <w:t>Index locorum</w:t>
      </w:r>
    </w:p>
    <w:p w:rsidR="00E911ED" w:rsidRDefault="00E911ED" w:rsidP="00E911ED">
      <w:pPr>
        <w:pStyle w:val="Rejstk1"/>
        <w:tabs>
          <w:tab w:val="right" w:leader="dot" w:pos="4171"/>
        </w:tabs>
        <w:spacing w:line="240" w:lineRule="auto"/>
      </w:pPr>
      <w:r>
        <w:t>Goldschmidt, P.</w:t>
      </w:r>
      <w:r>
        <w:tab/>
        <w:t>843</w:t>
      </w:r>
    </w:p>
    <w:p w:rsidR="00E911ED" w:rsidRDefault="00E911ED" w:rsidP="00E911ED">
      <w:pPr>
        <w:pStyle w:val="Rejstk1"/>
        <w:tabs>
          <w:tab w:val="right" w:leader="dot" w:pos="4171"/>
        </w:tabs>
        <w:spacing w:line="240" w:lineRule="auto"/>
      </w:pPr>
      <w:r>
        <w:t>Gramsci, A.</w:t>
      </w:r>
      <w:r>
        <w:tab/>
        <w:t>488, 560</w:t>
      </w:r>
    </w:p>
    <w:p w:rsidR="00E911ED" w:rsidRDefault="00E911ED" w:rsidP="00E911ED">
      <w:pPr>
        <w:pStyle w:val="Rejstk1"/>
        <w:tabs>
          <w:tab w:val="right" w:leader="dot" w:pos="4171"/>
        </w:tabs>
        <w:spacing w:line="240" w:lineRule="auto"/>
      </w:pPr>
      <w:r>
        <w:t>Grotius</w:t>
      </w:r>
      <w:r w:rsidR="00213620">
        <w:t xml:space="preserve">, H., viz </w:t>
      </w:r>
      <w:r w:rsidR="00213620" w:rsidRPr="00213620">
        <w:rPr>
          <w:i/>
        </w:rPr>
        <w:t>Index locorum</w:t>
      </w:r>
    </w:p>
    <w:p w:rsidR="00E911ED" w:rsidRDefault="00E911ED" w:rsidP="00E911ED">
      <w:pPr>
        <w:pStyle w:val="Rejstk1"/>
        <w:tabs>
          <w:tab w:val="right" w:leader="dot" w:pos="4171"/>
        </w:tabs>
        <w:spacing w:line="240" w:lineRule="auto"/>
      </w:pPr>
      <w:r w:rsidRPr="004B4DFF">
        <w:rPr>
          <w:i/>
        </w:rPr>
        <w:t>Gründung</w:t>
      </w:r>
      <w:r>
        <w:tab/>
        <w:t>6, 105</w:t>
      </w:r>
    </w:p>
    <w:p w:rsidR="00E911ED" w:rsidRDefault="00E911ED" w:rsidP="00E911ED">
      <w:pPr>
        <w:pStyle w:val="Rejstk1"/>
        <w:tabs>
          <w:tab w:val="right" w:leader="dot" w:pos="4171"/>
        </w:tabs>
        <w:spacing w:line="240" w:lineRule="auto"/>
      </w:pPr>
      <w:r>
        <w:t>Gualterus Brugensis</w:t>
      </w:r>
      <w:r w:rsidR="00213620">
        <w:t xml:space="preserve">, viz </w:t>
      </w:r>
      <w:r w:rsidR="00213620" w:rsidRPr="00213620">
        <w:rPr>
          <w:i/>
        </w:rPr>
        <w:t>Index locorum</w:t>
      </w:r>
    </w:p>
    <w:p w:rsidR="00213620" w:rsidRDefault="00E911ED" w:rsidP="00213620">
      <w:pPr>
        <w:pStyle w:val="Rejstk1"/>
        <w:tabs>
          <w:tab w:val="right" w:leader="dot" w:pos="4171"/>
        </w:tabs>
        <w:spacing w:line="240" w:lineRule="auto"/>
      </w:pPr>
      <w:r w:rsidRPr="004B4DFF">
        <w:rPr>
          <w:i/>
        </w:rPr>
        <w:t>Guide de l'étudiant parisien</w:t>
      </w:r>
      <w:r w:rsidR="00213620">
        <w:t xml:space="preserve">, viz </w:t>
      </w:r>
      <w:r w:rsidR="00213620" w:rsidRPr="00213620">
        <w:rPr>
          <w:i/>
        </w:rPr>
        <w:t>Index locorum</w:t>
      </w:r>
    </w:p>
    <w:p w:rsidR="00E911ED" w:rsidRDefault="00E911ED" w:rsidP="00E911ED">
      <w:pPr>
        <w:pStyle w:val="Rejstk1"/>
        <w:tabs>
          <w:tab w:val="right" w:leader="dot" w:pos="4171"/>
        </w:tabs>
        <w:spacing w:line="240" w:lineRule="auto"/>
      </w:pPr>
      <w:r>
        <w:t>Guido Vernani</w:t>
      </w:r>
      <w:r>
        <w:tab/>
        <w:t>887, 903</w:t>
      </w:r>
    </w:p>
    <w:p w:rsidR="00E911ED" w:rsidRDefault="00E911ED" w:rsidP="00E911ED">
      <w:pPr>
        <w:pStyle w:val="Rejstk1"/>
        <w:tabs>
          <w:tab w:val="right" w:leader="dot" w:pos="4171"/>
        </w:tabs>
        <w:spacing w:line="240" w:lineRule="auto"/>
      </w:pPr>
      <w:r>
        <w:t>Guillaume de Bonkes</w:t>
      </w:r>
      <w:r>
        <w:tab/>
        <w:t>655</w:t>
      </w:r>
    </w:p>
    <w:p w:rsidR="00E911ED" w:rsidRDefault="00E911ED" w:rsidP="00E911ED">
      <w:pPr>
        <w:pStyle w:val="Rejstk1"/>
        <w:tabs>
          <w:tab w:val="right" w:leader="dot" w:pos="4171"/>
        </w:tabs>
        <w:spacing w:line="240" w:lineRule="auto"/>
      </w:pPr>
      <w:r>
        <w:t>Guillaume de Fontaine</w:t>
      </w:r>
      <w:r>
        <w:tab/>
        <w:t>642</w:t>
      </w:r>
    </w:p>
    <w:p w:rsidR="00E911ED" w:rsidRDefault="00E911ED" w:rsidP="00E911ED">
      <w:pPr>
        <w:pStyle w:val="Rejstk1"/>
        <w:tabs>
          <w:tab w:val="right" w:leader="dot" w:pos="4171"/>
        </w:tabs>
        <w:spacing w:line="240" w:lineRule="auto"/>
      </w:pPr>
      <w:r>
        <w:t>Guillaume de la Mare</w:t>
      </w:r>
      <w:r>
        <w:tab/>
        <w:t>505</w:t>
      </w:r>
    </w:p>
    <w:p w:rsidR="00E911ED" w:rsidRDefault="00E911ED" w:rsidP="00E911ED">
      <w:pPr>
        <w:pStyle w:val="Rejstk1"/>
        <w:tabs>
          <w:tab w:val="right" w:leader="dot" w:pos="4171"/>
        </w:tabs>
        <w:spacing w:line="240" w:lineRule="auto"/>
      </w:pPr>
      <w:r>
        <w:t>Guillaume de Walcote</w:t>
      </w:r>
      <w:r>
        <w:tab/>
        <w:t>655</w:t>
      </w:r>
    </w:p>
    <w:p w:rsidR="00E911ED" w:rsidRDefault="00E911ED" w:rsidP="00E911ED">
      <w:pPr>
        <w:pStyle w:val="Rejstk1"/>
        <w:tabs>
          <w:tab w:val="right" w:leader="dot" w:pos="4171"/>
        </w:tabs>
        <w:spacing w:line="240" w:lineRule="auto"/>
      </w:pPr>
      <w:r>
        <w:t>Guillelmus de Sancto Amore</w:t>
      </w:r>
      <w:r>
        <w:tab/>
      </w:r>
      <w:r w:rsidR="00213620">
        <w:t xml:space="preserve"> </w:t>
      </w:r>
      <w:r>
        <w:t xml:space="preserve">4, 62, 91, 131, 311, 325, </w:t>
      </w:r>
      <w:r w:rsidR="00213620">
        <w:t xml:space="preserve">366, </w:t>
      </w:r>
      <w:r>
        <w:t>369, 473, 477</w:t>
      </w:r>
    </w:p>
    <w:p w:rsidR="00E911ED" w:rsidRDefault="00E911ED" w:rsidP="00E911ED">
      <w:pPr>
        <w:pStyle w:val="Rejstk1"/>
        <w:tabs>
          <w:tab w:val="right" w:leader="dot" w:pos="4171"/>
        </w:tabs>
        <w:spacing w:line="240" w:lineRule="auto"/>
      </w:pPr>
      <w:r>
        <w:t>Gundissalinus, D.</w:t>
      </w:r>
      <w:r>
        <w:tab/>
        <w:t>859</w:t>
      </w:r>
    </w:p>
    <w:p w:rsidR="00FE2FE7" w:rsidRPr="00F43866" w:rsidRDefault="00FE2FE7" w:rsidP="00FE2FE7">
      <w:pPr>
        <w:pStyle w:val="Hlavikarejstku"/>
        <w:keepNext/>
        <w:tabs>
          <w:tab w:val="right" w:leader="dot" w:pos="4171"/>
        </w:tabs>
        <w:spacing w:line="240" w:lineRule="auto"/>
        <w:rPr>
          <w:rFonts w:eastAsia="Times New Roman"/>
          <w:b w:val="0"/>
          <w:bCs w:val="0"/>
          <w:lang w:val="de-LU"/>
        </w:rPr>
      </w:pPr>
      <w:r>
        <w:rPr>
          <w:lang w:val="de-LU"/>
        </w:rPr>
        <w:t>H</w:t>
      </w:r>
      <w:r w:rsidR="00E5505A">
        <w:rPr>
          <w:lang w:val="de-LU"/>
        </w:rPr>
        <w:t>, CH</w:t>
      </w:r>
    </w:p>
    <w:p w:rsidR="00FE2FE7" w:rsidRDefault="00FE2FE7" w:rsidP="00E911ED">
      <w:pPr>
        <w:pStyle w:val="Rejstk1"/>
        <w:tabs>
          <w:tab w:val="right" w:leader="dot" w:pos="4171"/>
        </w:tabs>
        <w:spacing w:line="240" w:lineRule="auto"/>
        <w:rPr>
          <w:i/>
        </w:rPr>
      </w:pPr>
    </w:p>
    <w:p w:rsidR="00E911ED" w:rsidRDefault="00E911ED" w:rsidP="00E911ED">
      <w:pPr>
        <w:pStyle w:val="Rejstk1"/>
        <w:tabs>
          <w:tab w:val="right" w:leader="dot" w:pos="4171"/>
        </w:tabs>
        <w:spacing w:line="240" w:lineRule="auto"/>
      </w:pPr>
      <w:r w:rsidRPr="004B4DFF">
        <w:rPr>
          <w:i/>
        </w:rPr>
        <w:t>habitus</w:t>
      </w:r>
      <w:r>
        <w:tab/>
        <w:t>122, 422, 524, 526, 553, 557, 622, 632, 648, 751, 753, 786</w:t>
      </w:r>
    </w:p>
    <w:p w:rsidR="00E911ED" w:rsidRDefault="00E911ED" w:rsidP="00E911ED">
      <w:pPr>
        <w:pStyle w:val="Rejstk1"/>
        <w:tabs>
          <w:tab w:val="right" w:leader="dot" w:pos="4171"/>
        </w:tabs>
        <w:spacing w:line="240" w:lineRule="auto"/>
      </w:pPr>
      <w:r w:rsidRPr="004B4DFF">
        <w:rPr>
          <w:i/>
        </w:rPr>
        <w:t>habitus innatus</w:t>
      </w:r>
      <w:r>
        <w:tab/>
        <w:t>207</w:t>
      </w:r>
    </w:p>
    <w:p w:rsidR="00E911ED" w:rsidRDefault="00E911ED" w:rsidP="00E911ED">
      <w:pPr>
        <w:pStyle w:val="Rejstk1"/>
        <w:tabs>
          <w:tab w:val="right" w:leader="dot" w:pos="4171"/>
        </w:tabs>
        <w:spacing w:line="240" w:lineRule="auto"/>
      </w:pPr>
      <w:r w:rsidRPr="004B4DFF">
        <w:rPr>
          <w:i/>
        </w:rPr>
        <w:t>haecceitas</w:t>
      </w:r>
      <w:r>
        <w:tab/>
        <w:t>589, 763, 830</w:t>
      </w:r>
    </w:p>
    <w:p w:rsidR="00E911ED" w:rsidRDefault="00E911ED" w:rsidP="00E911ED">
      <w:pPr>
        <w:pStyle w:val="Rejstk1"/>
        <w:tabs>
          <w:tab w:val="right" w:leader="dot" w:pos="4171"/>
        </w:tabs>
        <w:spacing w:line="240" w:lineRule="auto"/>
      </w:pPr>
      <w:r>
        <w:t>Hamilton, W.</w:t>
      </w:r>
      <w:r>
        <w:tab/>
        <w:t>770</w:t>
      </w:r>
    </w:p>
    <w:p w:rsidR="00E911ED" w:rsidRDefault="00E911ED" w:rsidP="00E911ED">
      <w:pPr>
        <w:pStyle w:val="Rejstk1"/>
        <w:tabs>
          <w:tab w:val="right" w:leader="dot" w:pos="4171"/>
        </w:tabs>
        <w:spacing w:line="240" w:lineRule="auto"/>
      </w:pPr>
      <w:r>
        <w:t>Hayek, F.</w:t>
      </w:r>
      <w:r>
        <w:tab/>
        <w:t>821</w:t>
      </w:r>
    </w:p>
    <w:p w:rsidR="00E911ED" w:rsidRDefault="00E911ED" w:rsidP="00E911ED">
      <w:pPr>
        <w:pStyle w:val="Rejstk1"/>
        <w:tabs>
          <w:tab w:val="right" w:leader="dot" w:pos="4171"/>
        </w:tabs>
        <w:spacing w:line="240" w:lineRule="auto"/>
      </w:pPr>
      <w:r>
        <w:t>Hegel, G. W.</w:t>
      </w:r>
      <w:r w:rsidR="00213620">
        <w:t xml:space="preserve"> F., viz </w:t>
      </w:r>
      <w:r w:rsidR="00213620" w:rsidRPr="00213620">
        <w:rPr>
          <w:i/>
        </w:rPr>
        <w:t>Index locorum</w:t>
      </w:r>
      <w:r>
        <w:tab/>
        <w:t>125, 126, 500, 589, 610, 917, 919, 922</w:t>
      </w:r>
    </w:p>
    <w:p w:rsidR="00E911ED" w:rsidRDefault="00E911ED" w:rsidP="00E911ED">
      <w:pPr>
        <w:pStyle w:val="Rejstk1"/>
        <w:tabs>
          <w:tab w:val="right" w:leader="dot" w:pos="4171"/>
        </w:tabs>
        <w:spacing w:line="240" w:lineRule="auto"/>
      </w:pPr>
      <w:r>
        <w:t>Heidegger</w:t>
      </w:r>
      <w:r w:rsidR="00213620">
        <w:t xml:space="preserve">, M., viz </w:t>
      </w:r>
      <w:r w:rsidR="00213620" w:rsidRPr="00213620">
        <w:rPr>
          <w:i/>
        </w:rPr>
        <w:t>Index locorum</w:t>
      </w:r>
    </w:p>
    <w:p w:rsidR="00E911ED" w:rsidRDefault="00E911ED" w:rsidP="00E911ED">
      <w:pPr>
        <w:pStyle w:val="Rejstk1"/>
        <w:tabs>
          <w:tab w:val="right" w:leader="dot" w:pos="4171"/>
        </w:tabs>
        <w:spacing w:line="240" w:lineRule="auto"/>
      </w:pPr>
      <w:r w:rsidRPr="004B4DFF">
        <w:rPr>
          <w:i/>
        </w:rPr>
        <w:t>héliotrope</w:t>
      </w:r>
      <w:r>
        <w:tab/>
        <w:t>687</w:t>
      </w:r>
    </w:p>
    <w:p w:rsidR="00213620" w:rsidRDefault="00E911ED" w:rsidP="00E911ED">
      <w:pPr>
        <w:pStyle w:val="Rejstk1"/>
        <w:tabs>
          <w:tab w:val="right" w:leader="dot" w:pos="4171"/>
        </w:tabs>
        <w:spacing w:line="240" w:lineRule="auto"/>
        <w:rPr>
          <w:i/>
        </w:rPr>
      </w:pPr>
      <w:r>
        <w:t>Hérakleitos z Efezu</w:t>
      </w:r>
      <w:r w:rsidR="00213620">
        <w:t xml:space="preserve">, viz </w:t>
      </w:r>
      <w:r w:rsidR="00213620" w:rsidRPr="00213620">
        <w:rPr>
          <w:i/>
        </w:rPr>
        <w:t>Index locorum</w:t>
      </w:r>
    </w:p>
    <w:p w:rsidR="00E911ED" w:rsidRDefault="00E911ED" w:rsidP="00E911ED">
      <w:pPr>
        <w:pStyle w:val="Rejstk1"/>
        <w:tabs>
          <w:tab w:val="right" w:leader="dot" w:pos="4171"/>
        </w:tabs>
        <w:spacing w:line="240" w:lineRule="auto"/>
      </w:pPr>
      <w:r>
        <w:t>hermeneutická triáda</w:t>
      </w:r>
      <w:r>
        <w:tab/>
        <w:t>474, 571, 572, 837, 886, 935</w:t>
      </w:r>
    </w:p>
    <w:p w:rsidR="00E911ED" w:rsidRDefault="00E911ED" w:rsidP="00E911ED">
      <w:pPr>
        <w:pStyle w:val="Rejstk1"/>
        <w:tabs>
          <w:tab w:val="right" w:leader="dot" w:pos="4171"/>
        </w:tabs>
        <w:spacing w:line="240" w:lineRule="auto"/>
      </w:pPr>
      <w:r>
        <w:t xml:space="preserve">hermeneutické </w:t>
      </w:r>
      <w:r w:rsidRPr="004B4DFF">
        <w:rPr>
          <w:i/>
        </w:rPr>
        <w:t>Wie</w:t>
      </w:r>
    </w:p>
    <w:p w:rsidR="00E911ED" w:rsidRDefault="00E911ED" w:rsidP="00E911ED">
      <w:pPr>
        <w:pStyle w:val="Rejstk2"/>
        <w:tabs>
          <w:tab w:val="right" w:leader="dot" w:pos="4171"/>
        </w:tabs>
        <w:spacing w:line="240" w:lineRule="auto"/>
      </w:pPr>
      <w:r>
        <w:t>Akvinský</w:t>
      </w:r>
      <w:r>
        <w:tab/>
        <w:t>407, 450</w:t>
      </w:r>
    </w:p>
    <w:p w:rsidR="00E911ED" w:rsidRDefault="00E911ED" w:rsidP="00E911ED">
      <w:pPr>
        <w:pStyle w:val="Rejstk2"/>
        <w:tabs>
          <w:tab w:val="right" w:leader="dot" w:pos="4171"/>
        </w:tabs>
        <w:spacing w:line="240" w:lineRule="auto"/>
      </w:pPr>
      <w:r>
        <w:t>autonomie politiky</w:t>
      </w:r>
      <w:r>
        <w:tab/>
        <w:t>900</w:t>
      </w:r>
    </w:p>
    <w:p w:rsidR="00E911ED" w:rsidRDefault="00E911ED" w:rsidP="00E911ED">
      <w:pPr>
        <w:pStyle w:val="Rejstk2"/>
        <w:tabs>
          <w:tab w:val="right" w:leader="dot" w:pos="4171"/>
        </w:tabs>
        <w:spacing w:line="240" w:lineRule="auto"/>
      </w:pPr>
      <w:r>
        <w:t>Dante</w:t>
      </w:r>
      <w:r>
        <w:tab/>
        <w:t>493</w:t>
      </w:r>
    </w:p>
    <w:p w:rsidR="00E911ED" w:rsidRDefault="00E911ED" w:rsidP="00E911ED">
      <w:pPr>
        <w:pStyle w:val="Rejstk2"/>
        <w:tabs>
          <w:tab w:val="right" w:leader="dot" w:pos="4171"/>
        </w:tabs>
        <w:spacing w:line="240" w:lineRule="auto"/>
      </w:pPr>
      <w:r>
        <w:t>Gandavus</w:t>
      </w:r>
      <w:r>
        <w:tab/>
        <w:t>623</w:t>
      </w:r>
    </w:p>
    <w:p w:rsidR="00E911ED" w:rsidRDefault="00E911ED" w:rsidP="00E911ED">
      <w:pPr>
        <w:pStyle w:val="Rejstk2"/>
        <w:tabs>
          <w:tab w:val="right" w:leader="dot" w:pos="4171"/>
        </w:tabs>
        <w:spacing w:line="240" w:lineRule="auto"/>
      </w:pPr>
      <w:r>
        <w:t>Heidegger</w:t>
      </w:r>
      <w:r>
        <w:tab/>
        <w:t>9</w:t>
      </w:r>
    </w:p>
    <w:p w:rsidR="00E911ED" w:rsidRDefault="00E911ED" w:rsidP="00E911ED">
      <w:pPr>
        <w:pStyle w:val="Rejstk2"/>
        <w:tabs>
          <w:tab w:val="right" w:leader="dot" w:pos="4171"/>
        </w:tabs>
        <w:spacing w:line="240" w:lineRule="auto"/>
      </w:pPr>
      <w:r>
        <w:t>kapitalismus</w:t>
      </w:r>
      <w:r>
        <w:tab/>
        <w:t>947</w:t>
      </w:r>
    </w:p>
    <w:p w:rsidR="00E911ED" w:rsidRDefault="00E911ED" w:rsidP="00E911ED">
      <w:pPr>
        <w:pStyle w:val="Rejstk2"/>
        <w:tabs>
          <w:tab w:val="right" w:leader="dot" w:pos="4171"/>
        </w:tabs>
        <w:spacing w:line="240" w:lineRule="auto"/>
      </w:pPr>
      <w:r>
        <w:t>Ockham</w:t>
      </w:r>
      <w:r>
        <w:tab/>
        <w:t>780</w:t>
      </w:r>
    </w:p>
    <w:p w:rsidR="00E911ED" w:rsidRDefault="00E911ED" w:rsidP="00E911ED">
      <w:pPr>
        <w:pStyle w:val="Rejstk2"/>
        <w:tabs>
          <w:tab w:val="right" w:leader="dot" w:pos="4171"/>
        </w:tabs>
        <w:spacing w:line="240" w:lineRule="auto"/>
      </w:pPr>
      <w:r>
        <w:t>Olivi</w:t>
      </w:r>
      <w:r>
        <w:tab/>
        <w:t>531, 558, 559</w:t>
      </w:r>
    </w:p>
    <w:p w:rsidR="00E911ED" w:rsidRDefault="00E911ED" w:rsidP="00E911ED">
      <w:pPr>
        <w:pStyle w:val="Rejstk2"/>
        <w:tabs>
          <w:tab w:val="right" w:leader="dot" w:pos="4171"/>
        </w:tabs>
        <w:spacing w:line="240" w:lineRule="auto"/>
      </w:pPr>
      <w:r>
        <w:t>Scotus</w:t>
      </w:r>
      <w:r>
        <w:tab/>
        <w:t>660</w:t>
      </w:r>
    </w:p>
    <w:p w:rsidR="00E911ED" w:rsidRDefault="00E911ED" w:rsidP="00E911ED">
      <w:pPr>
        <w:pStyle w:val="Rejstk2"/>
        <w:tabs>
          <w:tab w:val="right" w:leader="dot" w:pos="4171"/>
        </w:tabs>
        <w:spacing w:line="240" w:lineRule="auto"/>
      </w:pPr>
      <w:r>
        <w:t>Siger</w:t>
      </w:r>
      <w:r>
        <w:tab/>
        <w:t>173, 190, 220, 263, 264, 298, 340, 444</w:t>
      </w:r>
    </w:p>
    <w:p w:rsidR="00E911ED" w:rsidRDefault="00E911ED" w:rsidP="00E911ED">
      <w:pPr>
        <w:pStyle w:val="Rejstk1"/>
        <w:tabs>
          <w:tab w:val="right" w:leader="dot" w:pos="4171"/>
        </w:tabs>
        <w:spacing w:line="240" w:lineRule="auto"/>
      </w:pPr>
      <w:r>
        <w:t>hermeneutika</w:t>
      </w:r>
    </w:p>
    <w:p w:rsidR="00E911ED" w:rsidRDefault="00E911ED" w:rsidP="00E911ED">
      <w:pPr>
        <w:pStyle w:val="Rejstk2"/>
        <w:tabs>
          <w:tab w:val="right" w:leader="dot" w:pos="4171"/>
        </w:tabs>
        <w:spacing w:line="240" w:lineRule="auto"/>
      </w:pPr>
      <w:r w:rsidRPr="004B4DFF">
        <w:rPr>
          <w:i/>
        </w:rPr>
        <w:t>Dasein</w:t>
      </w:r>
      <w:r>
        <w:tab/>
        <w:t>322</w:t>
      </w:r>
    </w:p>
    <w:p w:rsidR="00E911ED" w:rsidRDefault="00E911ED" w:rsidP="00E911ED">
      <w:pPr>
        <w:pStyle w:val="Rejstk2"/>
        <w:tabs>
          <w:tab w:val="right" w:leader="dot" w:pos="4171"/>
        </w:tabs>
        <w:spacing w:line="240" w:lineRule="auto"/>
      </w:pPr>
      <w:r>
        <w:t>dějinnosti</w:t>
      </w:r>
      <w:r>
        <w:tab/>
        <w:t>708, 938</w:t>
      </w:r>
    </w:p>
    <w:p w:rsidR="00E911ED" w:rsidRDefault="00E911ED" w:rsidP="00E911ED">
      <w:pPr>
        <w:pStyle w:val="Rejstk2"/>
        <w:tabs>
          <w:tab w:val="right" w:leader="dot" w:pos="4171"/>
        </w:tabs>
        <w:spacing w:line="240" w:lineRule="auto"/>
      </w:pPr>
      <w:r>
        <w:t>fakticity</w:t>
      </w:r>
      <w:r>
        <w:tab/>
        <w:t>8, 316, 429, 836, 858</w:t>
      </w:r>
    </w:p>
    <w:p w:rsidR="00E911ED" w:rsidRDefault="00E911ED" w:rsidP="00E911ED">
      <w:pPr>
        <w:pStyle w:val="Rejstk2"/>
        <w:tabs>
          <w:tab w:val="right" w:leader="dot" w:pos="4171"/>
        </w:tabs>
        <w:spacing w:line="240" w:lineRule="auto"/>
      </w:pPr>
      <w:r>
        <w:t>literární</w:t>
      </w:r>
      <w:r>
        <w:tab/>
        <w:t>845</w:t>
      </w:r>
    </w:p>
    <w:p w:rsidR="00E911ED" w:rsidRDefault="00E911ED" w:rsidP="00E911ED">
      <w:pPr>
        <w:pStyle w:val="Rejstk2"/>
        <w:tabs>
          <w:tab w:val="right" w:leader="dot" w:pos="4171"/>
        </w:tabs>
        <w:spacing w:line="240" w:lineRule="auto"/>
      </w:pPr>
      <w:r>
        <w:t>vidět/vědět</w:t>
      </w:r>
      <w:r>
        <w:tab/>
        <w:t>940</w:t>
      </w:r>
    </w:p>
    <w:p w:rsidR="00213620" w:rsidRDefault="00E911ED" w:rsidP="00213620">
      <w:pPr>
        <w:pStyle w:val="Rejstk1"/>
        <w:tabs>
          <w:tab w:val="right" w:leader="dot" w:pos="4171"/>
        </w:tabs>
        <w:spacing w:line="240" w:lineRule="auto"/>
        <w:rPr>
          <w:i/>
        </w:rPr>
      </w:pPr>
      <w:r>
        <w:t>Hérodotos</w:t>
      </w:r>
      <w:r w:rsidR="00213620">
        <w:t xml:space="preserve">, viz </w:t>
      </w:r>
      <w:r w:rsidR="00213620" w:rsidRPr="00213620">
        <w:rPr>
          <w:i/>
        </w:rPr>
        <w:t>Index locorum</w:t>
      </w:r>
    </w:p>
    <w:p w:rsidR="00213620" w:rsidRDefault="00E911ED" w:rsidP="00213620">
      <w:pPr>
        <w:pStyle w:val="Rejstk1"/>
        <w:tabs>
          <w:tab w:val="right" w:leader="dot" w:pos="4171"/>
        </w:tabs>
        <w:spacing w:line="240" w:lineRule="auto"/>
        <w:rPr>
          <w:i/>
        </w:rPr>
      </w:pPr>
      <w:r>
        <w:t>Hesiod</w:t>
      </w:r>
      <w:r w:rsidR="00213620">
        <w:t xml:space="preserve">, , viz </w:t>
      </w:r>
      <w:r w:rsidR="00213620" w:rsidRPr="00213620">
        <w:rPr>
          <w:i/>
        </w:rPr>
        <w:t>Index locorum</w:t>
      </w:r>
    </w:p>
    <w:p w:rsidR="00E911ED" w:rsidRDefault="00E911ED" w:rsidP="00E911ED">
      <w:pPr>
        <w:pStyle w:val="Rejstk1"/>
        <w:tabs>
          <w:tab w:val="right" w:leader="dot" w:pos="4171"/>
        </w:tabs>
        <w:spacing w:line="240" w:lineRule="auto"/>
      </w:pPr>
      <w:r w:rsidRPr="004B4DFF">
        <w:rPr>
          <w:i/>
        </w:rPr>
        <w:t>High Frequency Trading</w:t>
      </w:r>
      <w:r>
        <w:tab/>
        <w:t>129</w:t>
      </w:r>
    </w:p>
    <w:p w:rsidR="00E911ED" w:rsidRDefault="00E911ED" w:rsidP="00E911ED">
      <w:pPr>
        <w:pStyle w:val="Rejstk1"/>
        <w:tabs>
          <w:tab w:val="right" w:leader="dot" w:pos="4171"/>
        </w:tabs>
        <w:spacing w:line="240" w:lineRule="auto"/>
      </w:pPr>
      <w:r>
        <w:t>Hobbes, T.</w:t>
      </w:r>
      <w:r>
        <w:tab/>
        <w:t>503, 848, 925</w:t>
      </w:r>
    </w:p>
    <w:p w:rsidR="00E911ED" w:rsidRDefault="00E911ED" w:rsidP="00E911ED">
      <w:pPr>
        <w:pStyle w:val="Rejstk1"/>
        <w:tabs>
          <w:tab w:val="right" w:leader="dot" w:pos="4171"/>
        </w:tabs>
        <w:spacing w:line="240" w:lineRule="auto"/>
      </w:pPr>
      <w:r w:rsidRPr="004B4DFF">
        <w:rPr>
          <w:i/>
        </w:rPr>
        <w:t>hoc aliquid</w:t>
      </w:r>
    </w:p>
    <w:p w:rsidR="00E911ED" w:rsidRDefault="00E911ED" w:rsidP="00E911ED">
      <w:pPr>
        <w:pStyle w:val="Rejstk2"/>
        <w:tabs>
          <w:tab w:val="right" w:leader="dot" w:pos="4171"/>
        </w:tabs>
        <w:spacing w:line="240" w:lineRule="auto"/>
      </w:pPr>
      <w:r>
        <w:t>Avicenna</w:t>
      </w:r>
      <w:r>
        <w:tab/>
        <w:t>71, 208, 287, 289</w:t>
      </w:r>
    </w:p>
    <w:p w:rsidR="00E911ED" w:rsidRDefault="00E911ED" w:rsidP="00E911ED">
      <w:pPr>
        <w:pStyle w:val="Rejstk2"/>
        <w:tabs>
          <w:tab w:val="right" w:leader="dot" w:pos="4171"/>
        </w:tabs>
        <w:spacing w:line="240" w:lineRule="auto"/>
      </w:pPr>
      <w:r>
        <w:t>intelekt</w:t>
      </w:r>
      <w:r>
        <w:tab/>
        <w:t>282, 423, 438</w:t>
      </w:r>
    </w:p>
    <w:p w:rsidR="00E911ED" w:rsidRDefault="00E911ED" w:rsidP="00E911ED">
      <w:pPr>
        <w:pStyle w:val="Rejstk2"/>
        <w:tabs>
          <w:tab w:val="right" w:leader="dot" w:pos="4171"/>
        </w:tabs>
        <w:spacing w:line="240" w:lineRule="auto"/>
      </w:pPr>
      <w:r>
        <w:t>materie</w:t>
      </w:r>
      <w:r>
        <w:tab/>
        <w:t>523</w:t>
      </w:r>
    </w:p>
    <w:p w:rsidR="00E911ED" w:rsidRDefault="00E911ED" w:rsidP="00E911ED">
      <w:pPr>
        <w:pStyle w:val="Rejstk2"/>
        <w:tabs>
          <w:tab w:val="right" w:leader="dot" w:pos="4171"/>
        </w:tabs>
        <w:spacing w:line="240" w:lineRule="auto"/>
      </w:pPr>
      <w:r>
        <w:t>moderna</w:t>
      </w:r>
      <w:r>
        <w:tab/>
        <w:t>22</w:t>
      </w:r>
    </w:p>
    <w:p w:rsidR="00E911ED" w:rsidRDefault="00E911ED" w:rsidP="00E911ED">
      <w:pPr>
        <w:pStyle w:val="Rejstk2"/>
        <w:tabs>
          <w:tab w:val="right" w:leader="dot" w:pos="4171"/>
        </w:tabs>
        <w:spacing w:line="240" w:lineRule="auto"/>
      </w:pPr>
      <w:r>
        <w:t>Olivi</w:t>
      </w:r>
      <w:r>
        <w:tab/>
        <w:t>528</w:t>
      </w:r>
    </w:p>
    <w:p w:rsidR="00E911ED" w:rsidRDefault="00E911ED" w:rsidP="00E911ED">
      <w:pPr>
        <w:pStyle w:val="Rejstk2"/>
        <w:tabs>
          <w:tab w:val="right" w:leader="dot" w:pos="4171"/>
        </w:tabs>
        <w:spacing w:line="240" w:lineRule="auto"/>
      </w:pPr>
      <w:r>
        <w:t>Siger</w:t>
      </w:r>
      <w:r>
        <w:tab/>
        <w:t>244</w:t>
      </w:r>
    </w:p>
    <w:p w:rsidR="00E911ED" w:rsidRDefault="00E911ED" w:rsidP="00E911ED">
      <w:pPr>
        <w:pStyle w:val="Rejstk1"/>
        <w:tabs>
          <w:tab w:val="right" w:leader="dot" w:pos="4171"/>
        </w:tabs>
        <w:spacing w:line="240" w:lineRule="auto"/>
      </w:pPr>
      <w:r w:rsidRPr="004B4DFF">
        <w:rPr>
          <w:i/>
          <w:lang w:eastAsia="en-US"/>
        </w:rPr>
        <w:t>hoc esse tantum</w:t>
      </w:r>
      <w:r>
        <w:tab/>
        <w:t>49, 57, 85, 486, 588, 591, 688, 731, 749</w:t>
      </w:r>
    </w:p>
    <w:p w:rsidR="00213620" w:rsidRDefault="00213620" w:rsidP="00213620">
      <w:pPr>
        <w:pStyle w:val="Rejstk1"/>
        <w:tabs>
          <w:tab w:val="right" w:leader="dot" w:pos="4171"/>
        </w:tabs>
        <w:spacing w:line="240" w:lineRule="auto"/>
        <w:rPr>
          <w:i/>
        </w:rPr>
      </w:pPr>
      <w:r>
        <w:t>Homé</w:t>
      </w:r>
      <w:r w:rsidR="00E911ED">
        <w:t>r</w:t>
      </w:r>
      <w:r>
        <w:t xml:space="preserve">, viz </w:t>
      </w:r>
      <w:r w:rsidRPr="00213620">
        <w:rPr>
          <w:i/>
        </w:rPr>
        <w:t>Index locorum</w:t>
      </w:r>
    </w:p>
    <w:p w:rsidR="00E911ED" w:rsidRDefault="00E911ED" w:rsidP="00E911ED">
      <w:pPr>
        <w:pStyle w:val="Rejstk2"/>
        <w:tabs>
          <w:tab w:val="right" w:leader="dot" w:pos="4171"/>
        </w:tabs>
        <w:spacing w:line="240" w:lineRule="auto"/>
      </w:pPr>
      <w:r w:rsidRPr="004B4DFF">
        <w:rPr>
          <w:i/>
        </w:rPr>
        <w:t>Odys</w:t>
      </w:r>
      <w:r>
        <w:t>. 18.359</w:t>
      </w:r>
      <w:r>
        <w:tab/>
        <w:t>15</w:t>
      </w:r>
    </w:p>
    <w:p w:rsidR="00E911ED" w:rsidRDefault="00E911ED" w:rsidP="00E911ED">
      <w:pPr>
        <w:pStyle w:val="Rejstk1"/>
        <w:tabs>
          <w:tab w:val="right" w:leader="dot" w:pos="4171"/>
        </w:tabs>
        <w:spacing w:line="240" w:lineRule="auto"/>
      </w:pPr>
      <w:r w:rsidRPr="004B4DFF">
        <w:rPr>
          <w:i/>
        </w:rPr>
        <w:t>homo ipse intelligit</w:t>
      </w:r>
      <w:r>
        <w:tab/>
        <w:t>318, 407</w:t>
      </w:r>
    </w:p>
    <w:p w:rsidR="00E911ED" w:rsidRDefault="00E911ED" w:rsidP="00E911ED">
      <w:pPr>
        <w:pStyle w:val="Rejstk1"/>
        <w:tabs>
          <w:tab w:val="right" w:leader="dot" w:pos="4171"/>
        </w:tabs>
        <w:spacing w:line="240" w:lineRule="auto"/>
      </w:pPr>
      <w:r w:rsidRPr="004B4DFF">
        <w:rPr>
          <w:i/>
        </w:rPr>
        <w:t>homo oeconomicus</w:t>
      </w:r>
      <w:r>
        <w:tab/>
        <w:t>561</w:t>
      </w:r>
    </w:p>
    <w:p w:rsidR="00E911ED" w:rsidRDefault="00E911ED" w:rsidP="00E911ED">
      <w:pPr>
        <w:pStyle w:val="Rejstk1"/>
        <w:tabs>
          <w:tab w:val="right" w:leader="dot" w:pos="4171"/>
        </w:tabs>
        <w:spacing w:line="240" w:lineRule="auto"/>
      </w:pPr>
      <w:r w:rsidRPr="004B4DFF">
        <w:rPr>
          <w:rFonts w:eastAsia="Brill-Roman"/>
        </w:rPr>
        <w:t>Honnefelder, L.</w:t>
      </w:r>
      <w:r>
        <w:tab/>
        <w:t>507, 699</w:t>
      </w:r>
    </w:p>
    <w:p w:rsidR="00E911ED" w:rsidRDefault="00E911ED" w:rsidP="00E911ED">
      <w:pPr>
        <w:pStyle w:val="Rejstk1"/>
        <w:tabs>
          <w:tab w:val="right" w:leader="dot" w:pos="4171"/>
        </w:tabs>
        <w:spacing w:line="240" w:lineRule="auto"/>
      </w:pPr>
      <w:r w:rsidRPr="004B4DFF">
        <w:rPr>
          <w:i/>
        </w:rPr>
        <w:t>hotspot</w:t>
      </w:r>
      <w:r>
        <w:tab/>
        <w:t>935</w:t>
      </w:r>
    </w:p>
    <w:p w:rsidR="00E911ED" w:rsidRDefault="00E911ED" w:rsidP="00E911ED">
      <w:pPr>
        <w:pStyle w:val="Rejstk1"/>
        <w:tabs>
          <w:tab w:val="right" w:leader="dot" w:pos="4171"/>
        </w:tabs>
        <w:spacing w:line="240" w:lineRule="auto"/>
      </w:pPr>
      <w:r>
        <w:t>humanismus</w:t>
      </w:r>
    </w:p>
    <w:p w:rsidR="00E911ED" w:rsidRDefault="00E911ED" w:rsidP="00E911ED">
      <w:pPr>
        <w:pStyle w:val="Rejstk2"/>
        <w:tabs>
          <w:tab w:val="right" w:leader="dot" w:pos="4171"/>
        </w:tabs>
        <w:spacing w:line="240" w:lineRule="auto"/>
      </w:pPr>
      <w:r>
        <w:t>aristotelský</w:t>
      </w:r>
      <w:r>
        <w:tab/>
        <w:t>354, 451, 471, 878</w:t>
      </w:r>
    </w:p>
    <w:p w:rsidR="00E911ED" w:rsidRDefault="00E911ED" w:rsidP="00E911ED">
      <w:pPr>
        <w:pStyle w:val="Rejstk2"/>
        <w:tabs>
          <w:tab w:val="right" w:leader="dot" w:pos="4171"/>
        </w:tabs>
        <w:spacing w:line="240" w:lineRule="auto"/>
      </w:pPr>
      <w:r>
        <w:t>čarodějnictví</w:t>
      </w:r>
      <w:r>
        <w:tab/>
        <w:t>844</w:t>
      </w:r>
    </w:p>
    <w:p w:rsidR="00E911ED" w:rsidRDefault="00E911ED" w:rsidP="00E911ED">
      <w:pPr>
        <w:pStyle w:val="Rejstk2"/>
        <w:tabs>
          <w:tab w:val="right" w:leader="dot" w:pos="4171"/>
        </w:tabs>
        <w:spacing w:line="240" w:lineRule="auto"/>
      </w:pPr>
      <w:r>
        <w:t>evoluční</w:t>
      </w:r>
      <w:r>
        <w:tab/>
        <w:t>521</w:t>
      </w:r>
    </w:p>
    <w:p w:rsidR="00E911ED" w:rsidRDefault="00E911ED" w:rsidP="00E911ED">
      <w:pPr>
        <w:pStyle w:val="Rejstk2"/>
        <w:tabs>
          <w:tab w:val="right" w:leader="dot" w:pos="4171"/>
        </w:tabs>
        <w:spacing w:line="240" w:lineRule="auto"/>
      </w:pPr>
      <w:r>
        <w:t>novověk</w:t>
      </w:r>
      <w:r>
        <w:tab/>
        <w:t>503</w:t>
      </w:r>
    </w:p>
    <w:p w:rsidR="00E911ED" w:rsidRDefault="00E911ED" w:rsidP="00E911ED">
      <w:pPr>
        <w:pStyle w:val="Rejstk2"/>
        <w:tabs>
          <w:tab w:val="right" w:leader="dot" w:pos="4171"/>
        </w:tabs>
        <w:spacing w:line="240" w:lineRule="auto"/>
      </w:pPr>
      <w:r>
        <w:t>objektivní</w:t>
      </w:r>
      <w:r>
        <w:tab/>
        <w:t>148, 337, 364, 475, 520, 752, 843</w:t>
      </w:r>
    </w:p>
    <w:p w:rsidR="00E911ED" w:rsidRDefault="00E911ED" w:rsidP="00E911ED">
      <w:pPr>
        <w:pStyle w:val="Rejstk2"/>
        <w:tabs>
          <w:tab w:val="right" w:leader="dot" w:pos="4171"/>
        </w:tabs>
        <w:spacing w:line="240" w:lineRule="auto"/>
      </w:pPr>
      <w:r w:rsidRPr="004B4DFF">
        <w:rPr>
          <w:i/>
        </w:rPr>
        <w:t>perfectibilité</w:t>
      </w:r>
      <w:r>
        <w:tab/>
        <w:t>708</w:t>
      </w:r>
    </w:p>
    <w:p w:rsidR="00E911ED" w:rsidRDefault="00E911ED" w:rsidP="00E911ED">
      <w:pPr>
        <w:pStyle w:val="Rejstk2"/>
        <w:tabs>
          <w:tab w:val="right" w:leader="dot" w:pos="4171"/>
        </w:tabs>
        <w:spacing w:line="240" w:lineRule="auto"/>
      </w:pPr>
      <w:r>
        <w:t>postmoderna</w:t>
      </w:r>
      <w:r>
        <w:tab/>
        <w:t>519</w:t>
      </w:r>
    </w:p>
    <w:p w:rsidR="00E911ED" w:rsidRDefault="00E911ED" w:rsidP="00E911ED">
      <w:pPr>
        <w:pStyle w:val="Rejstk2"/>
        <w:tabs>
          <w:tab w:val="right" w:leader="dot" w:pos="4171"/>
        </w:tabs>
        <w:spacing w:line="240" w:lineRule="auto"/>
      </w:pPr>
      <w:r>
        <w:t>renesance</w:t>
      </w:r>
      <w:r>
        <w:tab/>
        <w:t>611</w:t>
      </w:r>
    </w:p>
    <w:p w:rsidR="00E911ED" w:rsidRDefault="00E911ED" w:rsidP="00E911ED">
      <w:pPr>
        <w:pStyle w:val="Rejstk2"/>
        <w:tabs>
          <w:tab w:val="right" w:leader="dot" w:pos="4171"/>
        </w:tabs>
        <w:spacing w:line="240" w:lineRule="auto"/>
      </w:pPr>
      <w:r>
        <w:t>Siger</w:t>
      </w:r>
      <w:r>
        <w:tab/>
        <w:t>243, 250, 303, 306, 322, 492</w:t>
      </w:r>
    </w:p>
    <w:p w:rsidR="00E911ED" w:rsidRDefault="00E911ED" w:rsidP="00E911ED">
      <w:pPr>
        <w:pStyle w:val="Rejstk1"/>
        <w:tabs>
          <w:tab w:val="right" w:leader="dot" w:pos="4171"/>
        </w:tabs>
        <w:spacing w:line="240" w:lineRule="auto"/>
      </w:pPr>
      <w:r w:rsidRPr="004B4DFF">
        <w:rPr>
          <w:i/>
        </w:rPr>
        <w:t>humanitas</w:t>
      </w:r>
    </w:p>
    <w:p w:rsidR="00E911ED" w:rsidRDefault="00E911ED" w:rsidP="00E911ED">
      <w:pPr>
        <w:pStyle w:val="Rejstk2"/>
        <w:tabs>
          <w:tab w:val="right" w:leader="dot" w:pos="4171"/>
        </w:tabs>
        <w:spacing w:line="240" w:lineRule="auto"/>
      </w:pPr>
      <w:r>
        <w:t>Scotus</w:t>
      </w:r>
      <w:r>
        <w:tab/>
        <w:t>743, 752, 766</w:t>
      </w:r>
    </w:p>
    <w:p w:rsidR="00E911ED" w:rsidRDefault="00E911ED" w:rsidP="00E911ED">
      <w:pPr>
        <w:pStyle w:val="Rejstk1"/>
        <w:tabs>
          <w:tab w:val="right" w:leader="dot" w:pos="4171"/>
        </w:tabs>
        <w:spacing w:line="240" w:lineRule="auto"/>
      </w:pPr>
      <w:r>
        <w:t>Hume, D.</w:t>
      </w:r>
      <w:r>
        <w:tab/>
        <w:t>496, 832</w:t>
      </w:r>
    </w:p>
    <w:p w:rsidR="00E911ED" w:rsidRDefault="00E911ED" w:rsidP="00E911ED">
      <w:pPr>
        <w:pStyle w:val="Rejstk1"/>
        <w:tabs>
          <w:tab w:val="right" w:leader="dot" w:pos="4171"/>
        </w:tabs>
        <w:spacing w:line="240" w:lineRule="auto"/>
      </w:pPr>
      <w:r>
        <w:t>Husserl, E.</w:t>
      </w:r>
      <w:r w:rsidR="00F97BEC">
        <w:t xml:space="preserve">, viz </w:t>
      </w:r>
      <w:r w:rsidR="00F97BEC" w:rsidRPr="00F97BEC">
        <w:rPr>
          <w:i/>
        </w:rPr>
        <w:t>Index locorum</w:t>
      </w:r>
      <w:r w:rsidR="00F97BEC">
        <w:t xml:space="preserve"> </w:t>
      </w:r>
      <w:r>
        <w:tab/>
        <w:t>89, 292, 410, 434, 510, 598, 599, 607, 619, 785, 800, 802</w:t>
      </w:r>
    </w:p>
    <w:p w:rsidR="00E911ED" w:rsidRDefault="00E911ED" w:rsidP="00E911ED">
      <w:pPr>
        <w:pStyle w:val="Rejstk1"/>
        <w:tabs>
          <w:tab w:val="right" w:leader="dot" w:pos="4171"/>
        </w:tabs>
        <w:spacing w:line="240" w:lineRule="auto"/>
      </w:pPr>
      <w:r w:rsidRPr="004B4DFF">
        <w:rPr>
          <w:i/>
        </w:rPr>
        <w:t>hýbris</w:t>
      </w:r>
      <w:r>
        <w:tab/>
        <w:t>13, 441, 765, 823, 875, 941</w:t>
      </w:r>
    </w:p>
    <w:p w:rsidR="00E911ED" w:rsidRDefault="00E911ED" w:rsidP="00E911ED">
      <w:pPr>
        <w:pStyle w:val="Rejstk1"/>
        <w:tabs>
          <w:tab w:val="right" w:leader="dot" w:pos="4171"/>
        </w:tabs>
        <w:spacing w:line="240" w:lineRule="auto"/>
      </w:pPr>
      <w:r>
        <w:t>hypostatická unie</w:t>
      </w:r>
      <w:r>
        <w:tab/>
        <w:t>87</w:t>
      </w:r>
    </w:p>
    <w:p w:rsidR="00E911ED" w:rsidRDefault="00E911ED" w:rsidP="00E911ED">
      <w:pPr>
        <w:pStyle w:val="Rejstk1"/>
        <w:tabs>
          <w:tab w:val="right" w:leader="dot" w:pos="4171"/>
        </w:tabs>
        <w:spacing w:line="240" w:lineRule="auto"/>
      </w:pPr>
      <w:r>
        <w:t>Char, R.</w:t>
      </w:r>
      <w:r>
        <w:tab/>
        <w:t>325, 767, 839</w:t>
      </w:r>
    </w:p>
    <w:p w:rsidR="003E1753" w:rsidRDefault="003E1753" w:rsidP="003E1753">
      <w:pPr>
        <w:pStyle w:val="Rejstk1"/>
        <w:tabs>
          <w:tab w:val="right" w:leader="dot" w:pos="4171"/>
        </w:tabs>
        <w:spacing w:line="240" w:lineRule="auto"/>
        <w:rPr>
          <w:i/>
          <w:iCs/>
        </w:rPr>
      </w:pPr>
      <w:r w:rsidRPr="004B4DFF">
        <w:rPr>
          <w:i/>
          <w:iCs/>
        </w:rPr>
        <w:t>Chartularium</w:t>
      </w:r>
      <w:r>
        <w:rPr>
          <w:i/>
          <w:iCs/>
        </w:rPr>
        <w:t xml:space="preserve"> Parisiensis I, </w:t>
      </w:r>
      <w:r w:rsidRPr="003E1753">
        <w:rPr>
          <w:iCs/>
        </w:rPr>
        <w:t>viz</w:t>
      </w:r>
      <w:r>
        <w:rPr>
          <w:i/>
          <w:iCs/>
        </w:rPr>
        <w:t xml:space="preserve"> Index locorum</w:t>
      </w:r>
    </w:p>
    <w:p w:rsidR="00E911ED" w:rsidRDefault="00E911ED" w:rsidP="00E911ED">
      <w:pPr>
        <w:pStyle w:val="Rejstk1"/>
        <w:tabs>
          <w:tab w:val="right" w:leader="dot" w:pos="4171"/>
        </w:tabs>
        <w:spacing w:line="240" w:lineRule="auto"/>
      </w:pPr>
      <w:r>
        <w:t>chiméra</w:t>
      </w:r>
      <w:r>
        <w:tab/>
        <w:t>39, 580, 581, 591, 653, 696</w:t>
      </w:r>
    </w:p>
    <w:p w:rsidR="00E5505A" w:rsidRPr="00F43866" w:rsidRDefault="00E5505A" w:rsidP="00E5505A">
      <w:pPr>
        <w:pStyle w:val="Hlavikarejstku"/>
        <w:keepNext/>
        <w:tabs>
          <w:tab w:val="right" w:leader="dot" w:pos="4171"/>
        </w:tabs>
        <w:spacing w:line="240" w:lineRule="auto"/>
        <w:rPr>
          <w:rFonts w:eastAsia="Times New Roman"/>
          <w:b w:val="0"/>
          <w:bCs w:val="0"/>
          <w:lang w:val="de-LU"/>
        </w:rPr>
      </w:pPr>
      <w:r>
        <w:rPr>
          <w:lang w:val="de-LU"/>
        </w:rPr>
        <w:t>I</w:t>
      </w:r>
    </w:p>
    <w:p w:rsidR="00E5505A" w:rsidRDefault="00E5505A" w:rsidP="00E911ED">
      <w:pPr>
        <w:pStyle w:val="Rejstk1"/>
        <w:tabs>
          <w:tab w:val="right" w:leader="dot" w:pos="4171"/>
        </w:tabs>
        <w:spacing w:line="240" w:lineRule="auto"/>
      </w:pPr>
    </w:p>
    <w:p w:rsidR="00E911ED" w:rsidRDefault="00E911ED" w:rsidP="00E911ED">
      <w:pPr>
        <w:pStyle w:val="Rejstk1"/>
        <w:tabs>
          <w:tab w:val="right" w:leader="dot" w:pos="4171"/>
        </w:tabs>
        <w:spacing w:line="240" w:lineRule="auto"/>
      </w:pPr>
      <w:r>
        <w:t>Ibn Bája</w:t>
      </w:r>
      <w:r>
        <w:tab/>
        <w:t>79</w:t>
      </w:r>
    </w:p>
    <w:p w:rsidR="00E911ED" w:rsidRDefault="00E911ED" w:rsidP="00E911ED">
      <w:pPr>
        <w:pStyle w:val="Rejstk1"/>
        <w:tabs>
          <w:tab w:val="right" w:leader="dot" w:pos="4171"/>
        </w:tabs>
        <w:spacing w:line="240" w:lineRule="auto"/>
      </w:pPr>
      <w:r>
        <w:t>ideologie</w:t>
      </w:r>
      <w:r>
        <w:tab/>
        <w:t>128, 501, 504, 640, 899, 910</w:t>
      </w:r>
    </w:p>
    <w:p w:rsidR="00E911ED" w:rsidRDefault="00E911ED" w:rsidP="00E911ED">
      <w:pPr>
        <w:pStyle w:val="Rejstk1"/>
        <w:tabs>
          <w:tab w:val="right" w:leader="dot" w:pos="4171"/>
        </w:tabs>
        <w:spacing w:line="240" w:lineRule="auto"/>
      </w:pPr>
      <w:r>
        <w:t>iluminace</w:t>
      </w:r>
      <w:r>
        <w:tab/>
        <w:t>50, 81, 154, 595, 597, 607, 675, 723</w:t>
      </w:r>
    </w:p>
    <w:p w:rsidR="00E911ED" w:rsidRDefault="00E911ED" w:rsidP="00E911ED">
      <w:pPr>
        <w:pStyle w:val="Rejstk1"/>
        <w:tabs>
          <w:tab w:val="right" w:leader="dot" w:pos="4171"/>
        </w:tabs>
        <w:spacing w:line="240" w:lineRule="auto"/>
      </w:pPr>
      <w:r>
        <w:t>ilumináti</w:t>
      </w:r>
      <w:r>
        <w:tab/>
        <w:t>53, 73, 88, 98, 99, 129, 162, 257, 490, 510, 518, 523, 567, 608, 639, 702, 717, 732, 742, 778, 786, 793, 800, 808, 817, 846, 884</w:t>
      </w:r>
    </w:p>
    <w:p w:rsidR="00E911ED" w:rsidRDefault="00E911ED" w:rsidP="00E911ED">
      <w:pPr>
        <w:pStyle w:val="Rejstk1"/>
        <w:tabs>
          <w:tab w:val="right" w:leader="dot" w:pos="4171"/>
        </w:tabs>
        <w:spacing w:line="240" w:lineRule="auto"/>
      </w:pPr>
      <w:r>
        <w:t>Imbach, R.</w:t>
      </w:r>
      <w:r>
        <w:tab/>
        <w:t>240</w:t>
      </w:r>
    </w:p>
    <w:p w:rsidR="00E911ED" w:rsidRDefault="00E911ED" w:rsidP="00E911ED">
      <w:pPr>
        <w:pStyle w:val="Rejstk1"/>
        <w:tabs>
          <w:tab w:val="right" w:leader="dot" w:pos="4171"/>
        </w:tabs>
        <w:spacing w:line="240" w:lineRule="auto"/>
      </w:pPr>
      <w:r>
        <w:t>impozice</w:t>
      </w:r>
    </w:p>
    <w:p w:rsidR="00E911ED" w:rsidRDefault="00E911ED" w:rsidP="00E911ED">
      <w:pPr>
        <w:pStyle w:val="Rejstk2"/>
        <w:tabs>
          <w:tab w:val="right" w:leader="dot" w:pos="4171"/>
        </w:tabs>
        <w:spacing w:line="240" w:lineRule="auto"/>
      </w:pPr>
      <w:r>
        <w:t>Galileo</w:t>
      </w:r>
      <w:r>
        <w:tab/>
        <w:t>494</w:t>
      </w:r>
    </w:p>
    <w:p w:rsidR="00E911ED" w:rsidRDefault="00E911ED" w:rsidP="00E911ED">
      <w:pPr>
        <w:pStyle w:val="Rejstk2"/>
        <w:tabs>
          <w:tab w:val="right" w:leader="dot" w:pos="4171"/>
        </w:tabs>
        <w:spacing w:line="240" w:lineRule="auto"/>
      </w:pPr>
      <w:r w:rsidRPr="004B4DFF">
        <w:rPr>
          <w:i/>
        </w:rPr>
        <w:t>impositio prima</w:t>
      </w:r>
      <w:r>
        <w:tab/>
        <w:t>650</w:t>
      </w:r>
    </w:p>
    <w:p w:rsidR="00E911ED" w:rsidRDefault="00E911ED" w:rsidP="00E911ED">
      <w:pPr>
        <w:pStyle w:val="Rejstk2"/>
        <w:tabs>
          <w:tab w:val="right" w:leader="dot" w:pos="4171"/>
        </w:tabs>
        <w:spacing w:line="240" w:lineRule="auto"/>
      </w:pPr>
      <w:r>
        <w:t>Ockham</w:t>
      </w:r>
      <w:r>
        <w:tab/>
        <w:t>809</w:t>
      </w:r>
    </w:p>
    <w:p w:rsidR="00E911ED" w:rsidRDefault="00E911ED" w:rsidP="00E911ED">
      <w:pPr>
        <w:pStyle w:val="Rejstk2"/>
        <w:tabs>
          <w:tab w:val="right" w:leader="dot" w:pos="4171"/>
        </w:tabs>
        <w:spacing w:line="240" w:lineRule="auto"/>
      </w:pPr>
      <w:r>
        <w:t>Scotus</w:t>
      </w:r>
      <w:r>
        <w:tab/>
        <w:t>651, 656, 659, 661</w:t>
      </w:r>
    </w:p>
    <w:p w:rsidR="00E911ED" w:rsidRDefault="00E911ED" w:rsidP="00E911ED">
      <w:pPr>
        <w:pStyle w:val="Rejstk2"/>
        <w:tabs>
          <w:tab w:val="right" w:leader="dot" w:pos="4171"/>
        </w:tabs>
        <w:spacing w:line="240" w:lineRule="auto"/>
      </w:pPr>
      <w:r w:rsidRPr="004B4DFF">
        <w:rPr>
          <w:i/>
        </w:rPr>
        <w:t>secundum quid</w:t>
      </w:r>
      <w:r>
        <w:tab/>
        <w:t>753</w:t>
      </w:r>
    </w:p>
    <w:p w:rsidR="00E911ED" w:rsidRDefault="00E911ED" w:rsidP="00E911ED">
      <w:pPr>
        <w:pStyle w:val="Rejstk2"/>
        <w:tabs>
          <w:tab w:val="right" w:leader="dot" w:pos="4171"/>
        </w:tabs>
        <w:spacing w:line="240" w:lineRule="auto"/>
      </w:pPr>
      <w:r>
        <w:t>Siger</w:t>
      </w:r>
      <w:r>
        <w:tab/>
        <w:t>429</w:t>
      </w:r>
    </w:p>
    <w:p w:rsidR="00E911ED" w:rsidRDefault="00E911ED" w:rsidP="00E911ED">
      <w:pPr>
        <w:pStyle w:val="Rejstk2"/>
        <w:tabs>
          <w:tab w:val="right" w:leader="dot" w:pos="4171"/>
        </w:tabs>
        <w:spacing w:line="240" w:lineRule="auto"/>
      </w:pPr>
      <w:r w:rsidRPr="004B4DFF">
        <w:rPr>
          <w:i/>
        </w:rPr>
        <w:t>suppositio personalis</w:t>
      </w:r>
      <w:r>
        <w:tab/>
        <w:t>787, 790</w:t>
      </w:r>
    </w:p>
    <w:p w:rsidR="00E911ED" w:rsidRDefault="00E911ED" w:rsidP="00E911ED">
      <w:pPr>
        <w:pStyle w:val="Rejstk1"/>
        <w:tabs>
          <w:tab w:val="right" w:leader="dot" w:pos="4171"/>
        </w:tabs>
        <w:spacing w:line="240" w:lineRule="auto"/>
      </w:pPr>
      <w:r>
        <w:t>informatika</w:t>
      </w:r>
      <w:r>
        <w:tab/>
        <w:t>49, 140</w:t>
      </w:r>
    </w:p>
    <w:p w:rsidR="00E911ED" w:rsidRDefault="00E911ED" w:rsidP="00E911ED">
      <w:pPr>
        <w:pStyle w:val="Rejstk1"/>
        <w:tabs>
          <w:tab w:val="right" w:leader="dot" w:pos="4171"/>
        </w:tabs>
        <w:spacing w:line="240" w:lineRule="auto"/>
      </w:pPr>
      <w:r w:rsidRPr="004B4DFF">
        <w:rPr>
          <w:i/>
        </w:rPr>
        <w:t>informatio</w:t>
      </w:r>
      <w:r>
        <w:tab/>
        <w:t>34, 49, 111, 115, 130, 157, 519, 717</w:t>
      </w:r>
    </w:p>
    <w:p w:rsidR="00E911ED" w:rsidRDefault="00E911ED" w:rsidP="00E911ED">
      <w:pPr>
        <w:pStyle w:val="Rejstk1"/>
        <w:tabs>
          <w:tab w:val="right" w:leader="dot" w:pos="4171"/>
        </w:tabs>
        <w:spacing w:line="240" w:lineRule="auto"/>
      </w:pPr>
      <w:r w:rsidRPr="004B4DFF">
        <w:rPr>
          <w:i/>
        </w:rPr>
        <w:t>inoboedientia materiae</w:t>
      </w:r>
      <w:r>
        <w:tab/>
        <w:t>263</w:t>
      </w:r>
    </w:p>
    <w:p w:rsidR="00E911ED" w:rsidRDefault="00E911ED" w:rsidP="00E911ED">
      <w:pPr>
        <w:pStyle w:val="Rejstk1"/>
        <w:tabs>
          <w:tab w:val="right" w:leader="dot" w:pos="4171"/>
        </w:tabs>
        <w:spacing w:line="240" w:lineRule="auto"/>
      </w:pPr>
      <w:r>
        <w:t>instrumentální racionalita</w:t>
      </w:r>
      <w:r>
        <w:tab/>
        <w:t>569</w:t>
      </w:r>
    </w:p>
    <w:p w:rsidR="00E911ED" w:rsidRDefault="00E911ED" w:rsidP="00E911ED">
      <w:pPr>
        <w:pStyle w:val="Rejstk1"/>
        <w:tabs>
          <w:tab w:val="right" w:leader="dot" w:pos="4171"/>
        </w:tabs>
        <w:spacing w:line="240" w:lineRule="auto"/>
      </w:pPr>
      <w:r>
        <w:t>integrace</w:t>
      </w:r>
      <w:r>
        <w:tab/>
        <w:t>696</w:t>
      </w:r>
    </w:p>
    <w:p w:rsidR="00E911ED" w:rsidRDefault="00E911ED" w:rsidP="00E911ED">
      <w:pPr>
        <w:pStyle w:val="Rejstk1"/>
        <w:tabs>
          <w:tab w:val="right" w:leader="dot" w:pos="4171"/>
        </w:tabs>
        <w:spacing w:line="240" w:lineRule="auto"/>
      </w:pPr>
      <w:r>
        <w:t>intelekt</w:t>
      </w:r>
    </w:p>
    <w:p w:rsidR="00E911ED" w:rsidRDefault="00E911ED" w:rsidP="00E911ED">
      <w:pPr>
        <w:pStyle w:val="Rejstk2"/>
        <w:tabs>
          <w:tab w:val="right" w:leader="dot" w:pos="4171"/>
        </w:tabs>
        <w:spacing w:line="240" w:lineRule="auto"/>
      </w:pPr>
      <w:r w:rsidRPr="004B4DFF">
        <w:rPr>
          <w:i/>
        </w:rPr>
        <w:t>ab extrinseco</w:t>
      </w:r>
      <w:r>
        <w:tab/>
        <w:t>245, 423</w:t>
      </w:r>
    </w:p>
    <w:p w:rsidR="00E911ED" w:rsidRDefault="00E911ED" w:rsidP="00E911ED">
      <w:pPr>
        <w:pStyle w:val="Rejstk2"/>
        <w:tabs>
          <w:tab w:val="right" w:leader="dot" w:pos="4171"/>
        </w:tabs>
        <w:spacing w:line="240" w:lineRule="auto"/>
      </w:pPr>
      <w:r>
        <w:t>Akvinský</w:t>
      </w:r>
      <w:r>
        <w:tab/>
        <w:t>404</w:t>
      </w:r>
    </w:p>
    <w:p w:rsidR="00E911ED" w:rsidRDefault="00E911ED" w:rsidP="00E911ED">
      <w:pPr>
        <w:pStyle w:val="Rejstk2"/>
        <w:tabs>
          <w:tab w:val="right" w:leader="dot" w:pos="4171"/>
        </w:tabs>
        <w:spacing w:line="240" w:lineRule="auto"/>
      </w:pPr>
      <w:r w:rsidRPr="004B4DFF">
        <w:rPr>
          <w:i/>
        </w:rPr>
        <w:t>conscii sumus</w:t>
      </w:r>
      <w:r>
        <w:t>/</w:t>
      </w:r>
      <w:r w:rsidRPr="004B4DFF">
        <w:rPr>
          <w:i/>
        </w:rPr>
        <w:t>experimur</w:t>
      </w:r>
      <w:r>
        <w:tab/>
        <w:t>429</w:t>
      </w:r>
    </w:p>
    <w:p w:rsidR="00E911ED" w:rsidRDefault="00E911ED" w:rsidP="00E911ED">
      <w:pPr>
        <w:pStyle w:val="Rejstk2"/>
        <w:tabs>
          <w:tab w:val="right" w:leader="dot" w:pos="4171"/>
        </w:tabs>
        <w:spacing w:line="240" w:lineRule="auto"/>
      </w:pPr>
      <w:r w:rsidRPr="004B4DFF">
        <w:rPr>
          <w:i/>
        </w:rPr>
        <w:t>copulatio</w:t>
      </w:r>
      <w:r>
        <w:tab/>
        <w:t>775</w:t>
      </w:r>
    </w:p>
    <w:p w:rsidR="00E911ED" w:rsidRDefault="00E911ED" w:rsidP="00E911ED">
      <w:pPr>
        <w:pStyle w:val="Rejstk2"/>
        <w:tabs>
          <w:tab w:val="right" w:leader="dot" w:pos="4171"/>
        </w:tabs>
        <w:spacing w:line="240" w:lineRule="auto"/>
      </w:pPr>
      <w:r>
        <w:t>dárce forem</w:t>
      </w:r>
      <w:r>
        <w:tab/>
        <w:t>582, 593, 826</w:t>
      </w:r>
    </w:p>
    <w:p w:rsidR="00E911ED" w:rsidRDefault="00E911ED" w:rsidP="00E911ED">
      <w:pPr>
        <w:pStyle w:val="Rejstk2"/>
        <w:tabs>
          <w:tab w:val="right" w:leader="dot" w:pos="4171"/>
        </w:tabs>
        <w:spacing w:line="240" w:lineRule="auto"/>
      </w:pPr>
      <w:r w:rsidRPr="004B4DFF">
        <w:rPr>
          <w:i/>
        </w:rPr>
        <w:t>esse/fieri</w:t>
      </w:r>
      <w:r>
        <w:tab/>
        <w:t>79, 271, 273, 300, 304, 305, 306, 307, 315, 317, 333, 339, 351, 426, 461</w:t>
      </w:r>
    </w:p>
    <w:p w:rsidR="00E911ED" w:rsidRDefault="00E911ED" w:rsidP="00E911ED">
      <w:pPr>
        <w:pStyle w:val="Rejstk2"/>
        <w:tabs>
          <w:tab w:val="right" w:leader="dot" w:pos="4171"/>
        </w:tabs>
        <w:spacing w:line="240" w:lineRule="auto"/>
      </w:pPr>
      <w:r w:rsidRPr="004B4DFF">
        <w:rPr>
          <w:i/>
        </w:rPr>
        <w:t>experimur</w:t>
      </w:r>
      <w:r>
        <w:t>/</w:t>
      </w:r>
      <w:r w:rsidRPr="004B4DFF">
        <w:rPr>
          <w:i/>
        </w:rPr>
        <w:t>conscii sumus</w:t>
      </w:r>
      <w:r>
        <w:tab/>
        <w:t>272, 273, 279, 285, 289, 299, 300, 318, 320, 328, 342, 457, 601, 780</w:t>
      </w:r>
    </w:p>
    <w:p w:rsidR="00E911ED" w:rsidRDefault="00E911ED" w:rsidP="00E911ED">
      <w:pPr>
        <w:pStyle w:val="Rejstk2"/>
        <w:tabs>
          <w:tab w:val="right" w:leader="dot" w:pos="4171"/>
        </w:tabs>
        <w:spacing w:line="240" w:lineRule="auto"/>
      </w:pPr>
      <w:r w:rsidRPr="004B4DFF">
        <w:rPr>
          <w:i/>
        </w:rPr>
        <w:t>extensione fit practicus</w:t>
      </w:r>
      <w:r>
        <w:tab/>
        <w:t>306, 307, 526, 864, 873, 878, 879, 880, 910</w:t>
      </w:r>
    </w:p>
    <w:p w:rsidR="00E911ED" w:rsidRDefault="00E911ED" w:rsidP="00E911ED">
      <w:pPr>
        <w:pStyle w:val="Rejstk2"/>
        <w:tabs>
          <w:tab w:val="right" w:leader="dot" w:pos="4171"/>
        </w:tabs>
        <w:spacing w:line="240" w:lineRule="auto"/>
      </w:pPr>
      <w:r w:rsidRPr="004B4DFF">
        <w:rPr>
          <w:i/>
        </w:rPr>
        <w:t>fieri/esse</w:t>
      </w:r>
      <w:r>
        <w:tab/>
        <w:t>355, 442</w:t>
      </w:r>
    </w:p>
    <w:p w:rsidR="00E911ED" w:rsidRDefault="00E911ED" w:rsidP="00E911ED">
      <w:pPr>
        <w:pStyle w:val="Rejstk2"/>
        <w:tabs>
          <w:tab w:val="right" w:leader="dot" w:pos="4171"/>
        </w:tabs>
        <w:spacing w:line="240" w:lineRule="auto"/>
      </w:pPr>
      <w:r w:rsidRPr="004B4DFF">
        <w:rPr>
          <w:i/>
        </w:rPr>
        <w:t>inmixtus</w:t>
      </w:r>
      <w:r>
        <w:tab/>
        <w:t>165, 246, 263, 301, 329, 341, 358, 414, 421, 463, 552</w:t>
      </w:r>
    </w:p>
    <w:p w:rsidR="00E911ED" w:rsidRDefault="00E911ED" w:rsidP="00E911ED">
      <w:pPr>
        <w:pStyle w:val="Rejstk2"/>
        <w:tabs>
          <w:tab w:val="right" w:leader="dot" w:pos="4171"/>
        </w:tabs>
        <w:spacing w:line="240" w:lineRule="auto"/>
      </w:pPr>
      <w:r>
        <w:t>instrumentální</w:t>
      </w:r>
      <w:r>
        <w:tab/>
        <w:t>550, 640, 824, 951</w:t>
      </w:r>
    </w:p>
    <w:p w:rsidR="00E911ED" w:rsidRDefault="00E911ED" w:rsidP="00E911ED">
      <w:pPr>
        <w:pStyle w:val="Rejstk2"/>
        <w:tabs>
          <w:tab w:val="right" w:leader="dot" w:pos="4171"/>
        </w:tabs>
        <w:spacing w:line="240" w:lineRule="auto"/>
      </w:pPr>
      <w:r w:rsidRPr="004B4DFF">
        <w:rPr>
          <w:i/>
        </w:rPr>
        <w:t>ipse</w:t>
      </w:r>
      <w:r>
        <w:t>/</w:t>
      </w:r>
      <w:r w:rsidRPr="004B4DFF">
        <w:rPr>
          <w:i/>
        </w:rPr>
        <w:t>idem</w:t>
      </w:r>
      <w:r>
        <w:tab/>
        <w:t>418, 432, 496</w:t>
      </w:r>
    </w:p>
    <w:p w:rsidR="00E911ED" w:rsidRDefault="00E911ED" w:rsidP="00E911ED">
      <w:pPr>
        <w:pStyle w:val="Rejstk2"/>
        <w:tabs>
          <w:tab w:val="right" w:leader="dot" w:pos="4171"/>
        </w:tabs>
        <w:spacing w:line="240" w:lineRule="auto"/>
      </w:pPr>
      <w:r>
        <w:t xml:space="preserve">modus </w:t>
      </w:r>
      <w:r w:rsidRPr="004B4DFF">
        <w:rPr>
          <w:i/>
        </w:rPr>
        <w:t>qua</w:t>
      </w:r>
      <w:r w:rsidRPr="004B4DFF">
        <w:rPr>
          <w:i/>
          <w:vertAlign w:val="superscript"/>
        </w:rPr>
        <w:t>1</w:t>
      </w:r>
      <w:r>
        <w:tab/>
        <w:t>359, 406, 438, 443, 457, 467</w:t>
      </w:r>
    </w:p>
    <w:p w:rsidR="00E911ED" w:rsidRDefault="00E911ED" w:rsidP="00E911ED">
      <w:pPr>
        <w:pStyle w:val="Rejstk2"/>
        <w:tabs>
          <w:tab w:val="right" w:leader="dot" w:pos="4171"/>
        </w:tabs>
        <w:spacing w:line="240" w:lineRule="auto"/>
      </w:pPr>
      <w:r>
        <w:t xml:space="preserve">modus </w:t>
      </w:r>
      <w:r w:rsidRPr="004B4DFF">
        <w:rPr>
          <w:i/>
        </w:rPr>
        <w:t>qua</w:t>
      </w:r>
      <w:r w:rsidRPr="004B4DFF">
        <w:rPr>
          <w:i/>
          <w:vertAlign w:val="superscript"/>
        </w:rPr>
        <w:t>2</w:t>
      </w:r>
      <w:r>
        <w:tab/>
        <w:t>189, 266, 325, 329, 330, 333, 334, 344, 347, 350, 351, 354, 358, 359, 406, 408, 422, 435, 437, 443, 445, 454, 457, 458, 460, 461, 462, 466, 467, 476, 480, 486, 774, 776</w:t>
      </w:r>
    </w:p>
    <w:p w:rsidR="00E911ED" w:rsidRDefault="00E911ED" w:rsidP="00E911ED">
      <w:pPr>
        <w:pStyle w:val="Rejstk2"/>
        <w:tabs>
          <w:tab w:val="right" w:leader="dot" w:pos="4171"/>
        </w:tabs>
        <w:spacing w:line="240" w:lineRule="auto"/>
      </w:pPr>
      <w:r>
        <w:t>nekonečnost/konečnost</w:t>
      </w:r>
      <w:r>
        <w:tab/>
        <w:t>712</w:t>
      </w:r>
    </w:p>
    <w:p w:rsidR="00E911ED" w:rsidRDefault="00E911ED" w:rsidP="00E911ED">
      <w:pPr>
        <w:pStyle w:val="Rejstk2"/>
        <w:tabs>
          <w:tab w:val="right" w:leader="dot" w:pos="4171"/>
        </w:tabs>
        <w:spacing w:line="240" w:lineRule="auto"/>
      </w:pPr>
      <w:r>
        <w:t>numericky jednotný</w:t>
      </w:r>
      <w:r>
        <w:tab/>
        <w:t>63, 65, 69, 135, 200, 212, 229, 327, 381</w:t>
      </w:r>
    </w:p>
    <w:p w:rsidR="00E911ED" w:rsidRDefault="00E911ED" w:rsidP="00E911ED">
      <w:pPr>
        <w:pStyle w:val="Rejstk2"/>
        <w:tabs>
          <w:tab w:val="right" w:leader="dot" w:pos="4171"/>
        </w:tabs>
        <w:spacing w:line="240" w:lineRule="auto"/>
      </w:pPr>
      <w:r>
        <w:t>numericky odlišný</w:t>
      </w:r>
      <w:r>
        <w:tab/>
        <w:t>280, 281</w:t>
      </w:r>
    </w:p>
    <w:p w:rsidR="00E911ED" w:rsidRDefault="00E911ED" w:rsidP="00E911ED">
      <w:pPr>
        <w:pStyle w:val="Rejstk2"/>
        <w:tabs>
          <w:tab w:val="right" w:leader="dot" w:pos="4171"/>
        </w:tabs>
        <w:spacing w:line="240" w:lineRule="auto"/>
      </w:pPr>
      <w:r>
        <w:t>objektivní</w:t>
      </w:r>
      <w:r>
        <w:tab/>
        <w:t>90</w:t>
      </w:r>
    </w:p>
    <w:p w:rsidR="00E911ED" w:rsidRDefault="00E911ED" w:rsidP="00E911ED">
      <w:pPr>
        <w:pStyle w:val="Rejstk2"/>
        <w:tabs>
          <w:tab w:val="right" w:leader="dot" w:pos="4171"/>
        </w:tabs>
        <w:spacing w:line="240" w:lineRule="auto"/>
      </w:pPr>
      <w:r>
        <w:t>objektivní substance</w:t>
      </w:r>
      <w:r>
        <w:tab/>
        <w:t>291, 292</w:t>
      </w:r>
    </w:p>
    <w:p w:rsidR="00E911ED" w:rsidRDefault="00E911ED" w:rsidP="00E911ED">
      <w:pPr>
        <w:pStyle w:val="Rejstk2"/>
        <w:tabs>
          <w:tab w:val="right" w:leader="dot" w:pos="4171"/>
        </w:tabs>
        <w:spacing w:line="240" w:lineRule="auto"/>
      </w:pPr>
      <w:r w:rsidRPr="004B4DFF">
        <w:rPr>
          <w:i/>
        </w:rPr>
        <w:t>operatio</w:t>
      </w:r>
      <w:r>
        <w:tab/>
        <w:t>264, 265</w:t>
      </w:r>
    </w:p>
    <w:p w:rsidR="00E911ED" w:rsidRDefault="00E911ED" w:rsidP="00E911ED">
      <w:pPr>
        <w:pStyle w:val="Rejstk2"/>
        <w:tabs>
          <w:tab w:val="right" w:leader="dot" w:pos="4171"/>
        </w:tabs>
        <w:spacing w:line="240" w:lineRule="auto"/>
      </w:pPr>
      <w:r w:rsidRPr="004B4DFF">
        <w:rPr>
          <w:i/>
        </w:rPr>
        <w:t>separabilis</w:t>
      </w:r>
      <w:r>
        <w:t>/</w:t>
      </w:r>
      <w:r w:rsidRPr="004B4DFF">
        <w:rPr>
          <w:i/>
        </w:rPr>
        <w:t>separatus</w:t>
      </w:r>
      <w:r>
        <w:tab/>
        <w:t>276, 277, 279, 286, 324, 335, 339, 422, 437, 446, 464</w:t>
      </w:r>
    </w:p>
    <w:p w:rsidR="00E911ED" w:rsidRDefault="00E911ED" w:rsidP="00E911ED">
      <w:pPr>
        <w:pStyle w:val="Rejstk2"/>
        <w:tabs>
          <w:tab w:val="right" w:leader="dot" w:pos="4171"/>
        </w:tabs>
        <w:spacing w:line="240" w:lineRule="auto"/>
      </w:pPr>
      <w:r w:rsidRPr="004B4DFF">
        <w:rPr>
          <w:i/>
        </w:rPr>
        <w:t>sicut obiecto</w:t>
      </w:r>
      <w:r>
        <w:tab/>
        <w:t>166</w:t>
      </w:r>
    </w:p>
    <w:p w:rsidR="00E911ED" w:rsidRDefault="00E911ED" w:rsidP="00E911ED">
      <w:pPr>
        <w:pStyle w:val="Rejstk2"/>
        <w:tabs>
          <w:tab w:val="right" w:leader="dot" w:pos="4171"/>
        </w:tabs>
        <w:spacing w:line="240" w:lineRule="auto"/>
      </w:pPr>
      <w:r>
        <w:t>Siger</w:t>
      </w:r>
      <w:r>
        <w:tab/>
        <w:t>247, 272</w:t>
      </w:r>
    </w:p>
    <w:p w:rsidR="00E911ED" w:rsidRDefault="00E911ED" w:rsidP="00E911ED">
      <w:pPr>
        <w:pStyle w:val="Rejstk2"/>
        <w:tabs>
          <w:tab w:val="right" w:leader="dot" w:pos="4171"/>
        </w:tabs>
        <w:spacing w:line="240" w:lineRule="auto"/>
      </w:pPr>
      <w:r w:rsidRPr="004B4DFF">
        <w:rPr>
          <w:i/>
        </w:rPr>
        <w:t>species</w:t>
      </w:r>
      <w:r>
        <w:t>/</w:t>
      </w:r>
      <w:r w:rsidRPr="004B4DFF">
        <w:rPr>
          <w:i/>
        </w:rPr>
        <w:t>conceptio</w:t>
      </w:r>
      <w:r>
        <w:tab/>
        <w:t>404</w:t>
      </w:r>
    </w:p>
    <w:p w:rsidR="00E911ED" w:rsidRDefault="00E911ED" w:rsidP="00E911ED">
      <w:pPr>
        <w:pStyle w:val="Rejstk2"/>
        <w:tabs>
          <w:tab w:val="right" w:leader="dot" w:pos="4171"/>
        </w:tabs>
        <w:spacing w:line="240" w:lineRule="auto"/>
      </w:pPr>
      <w:r w:rsidRPr="004B4DFF">
        <w:rPr>
          <w:i/>
        </w:rPr>
        <w:t>subiective</w:t>
      </w:r>
      <w:r>
        <w:t>/</w:t>
      </w:r>
      <w:r w:rsidRPr="004B4DFF">
        <w:rPr>
          <w:i/>
        </w:rPr>
        <w:t>obiective</w:t>
      </w:r>
      <w:r>
        <w:tab/>
        <w:t>165, 166, 220, 226, 229, 230, 233, 246, 272, 276, 301, 443, 453, 455, 463, 539, 775</w:t>
      </w:r>
    </w:p>
    <w:p w:rsidR="00E911ED" w:rsidRDefault="00E911ED" w:rsidP="00E911ED">
      <w:pPr>
        <w:pStyle w:val="Rejstk2"/>
        <w:tabs>
          <w:tab w:val="right" w:leader="dot" w:pos="4171"/>
        </w:tabs>
        <w:spacing w:line="240" w:lineRule="auto"/>
      </w:pPr>
      <w:r>
        <w:t>věčný</w:t>
      </w:r>
      <w:r>
        <w:tab/>
        <w:t>254</w:t>
      </w:r>
    </w:p>
    <w:p w:rsidR="00E911ED" w:rsidRDefault="00E911ED" w:rsidP="00E911ED">
      <w:pPr>
        <w:pStyle w:val="Rejstk1"/>
        <w:tabs>
          <w:tab w:val="right" w:leader="dot" w:pos="4171"/>
        </w:tabs>
        <w:spacing w:line="240" w:lineRule="auto"/>
      </w:pPr>
      <w:r>
        <w:t>intelekt-slunce</w:t>
      </w:r>
      <w:r>
        <w:tab/>
        <w:t>99, 150, 188, 198, 434, 444, 470, 480, 497, 684, 851</w:t>
      </w:r>
    </w:p>
    <w:p w:rsidR="00E911ED" w:rsidRDefault="00E911ED" w:rsidP="003E1753">
      <w:pPr>
        <w:pStyle w:val="Rejstk1"/>
        <w:tabs>
          <w:tab w:val="right" w:leader="dot" w:pos="4171"/>
        </w:tabs>
        <w:spacing w:line="240" w:lineRule="auto"/>
      </w:pPr>
      <w:r w:rsidRPr="004B4DFF">
        <w:rPr>
          <w:i/>
        </w:rPr>
        <w:t>intellectus adeptus</w:t>
      </w:r>
      <w:r>
        <w:tab/>
        <w:t>678</w:t>
      </w:r>
    </w:p>
    <w:p w:rsidR="00E911ED" w:rsidRDefault="00E911ED" w:rsidP="00E911ED">
      <w:pPr>
        <w:pStyle w:val="Rejstk1"/>
        <w:tabs>
          <w:tab w:val="right" w:leader="dot" w:pos="4171"/>
        </w:tabs>
        <w:spacing w:line="240" w:lineRule="auto"/>
      </w:pPr>
      <w:r w:rsidRPr="004B4DFF">
        <w:rPr>
          <w:i/>
        </w:rPr>
        <w:t>intellectus agens</w:t>
      </w:r>
    </w:p>
    <w:p w:rsidR="00E911ED" w:rsidRDefault="00E911ED" w:rsidP="00E911ED">
      <w:pPr>
        <w:pStyle w:val="Rejstk2"/>
        <w:tabs>
          <w:tab w:val="right" w:leader="dot" w:pos="4171"/>
        </w:tabs>
        <w:spacing w:line="240" w:lineRule="auto"/>
      </w:pPr>
      <w:r>
        <w:t>Alvernus</w:t>
      </w:r>
      <w:r>
        <w:tab/>
        <w:t>87</w:t>
      </w:r>
    </w:p>
    <w:p w:rsidR="00E911ED" w:rsidRDefault="00E911ED" w:rsidP="00E911ED">
      <w:pPr>
        <w:pStyle w:val="Rejstk2"/>
        <w:tabs>
          <w:tab w:val="right" w:leader="dot" w:pos="4171"/>
        </w:tabs>
        <w:spacing w:line="240" w:lineRule="auto"/>
      </w:pPr>
      <w:r w:rsidRPr="003E1753">
        <w:rPr>
          <w:i/>
        </w:rPr>
        <w:t>Anonym Bazán</w:t>
      </w:r>
      <w:r>
        <w:tab/>
        <w:t>222, 227</w:t>
      </w:r>
    </w:p>
    <w:p w:rsidR="00E911ED" w:rsidRDefault="00E911ED" w:rsidP="00E911ED">
      <w:pPr>
        <w:pStyle w:val="Rejstk2"/>
        <w:tabs>
          <w:tab w:val="right" w:leader="dot" w:pos="4171"/>
        </w:tabs>
        <w:spacing w:line="240" w:lineRule="auto"/>
      </w:pPr>
      <w:r>
        <w:t>Aquasparta</w:t>
      </w:r>
      <w:r>
        <w:tab/>
        <w:t>576</w:t>
      </w:r>
    </w:p>
    <w:p w:rsidR="00E911ED" w:rsidRDefault="00E911ED" w:rsidP="00E911ED">
      <w:pPr>
        <w:pStyle w:val="Rejstk2"/>
        <w:tabs>
          <w:tab w:val="right" w:leader="dot" w:pos="4171"/>
        </w:tabs>
        <w:spacing w:line="240" w:lineRule="auto"/>
      </w:pPr>
      <w:r>
        <w:t>Avicenna</w:t>
      </w:r>
      <w:r>
        <w:tab/>
        <w:t>295</w:t>
      </w:r>
    </w:p>
    <w:p w:rsidR="00E911ED" w:rsidRDefault="00E911ED" w:rsidP="00E911ED">
      <w:pPr>
        <w:pStyle w:val="Rejstk2"/>
        <w:tabs>
          <w:tab w:val="right" w:leader="dot" w:pos="4171"/>
        </w:tabs>
        <w:spacing w:line="240" w:lineRule="auto"/>
      </w:pPr>
      <w:r>
        <w:t>Bonaventura</w:t>
      </w:r>
      <w:r>
        <w:tab/>
        <w:t>82</w:t>
      </w:r>
    </w:p>
    <w:p w:rsidR="00E911ED" w:rsidRDefault="00E911ED" w:rsidP="00E911ED">
      <w:pPr>
        <w:pStyle w:val="Rejstk2"/>
        <w:tabs>
          <w:tab w:val="right" w:leader="dot" w:pos="4171"/>
        </w:tabs>
        <w:spacing w:line="240" w:lineRule="auto"/>
      </w:pPr>
      <w:r>
        <w:t>Bonaventura</w:t>
      </w:r>
      <w:r>
        <w:tab/>
        <w:t>82</w:t>
      </w:r>
    </w:p>
    <w:p w:rsidR="00E911ED" w:rsidRDefault="00E911ED" w:rsidP="00E911ED">
      <w:pPr>
        <w:pStyle w:val="Rejstk2"/>
        <w:tabs>
          <w:tab w:val="right" w:leader="dot" w:pos="4171"/>
        </w:tabs>
        <w:spacing w:line="240" w:lineRule="auto"/>
      </w:pPr>
      <w:r>
        <w:t>Bonavetura</w:t>
      </w:r>
      <w:r>
        <w:tab/>
        <w:t>82</w:t>
      </w:r>
    </w:p>
    <w:p w:rsidR="00E911ED" w:rsidRDefault="00E911ED" w:rsidP="00E911ED">
      <w:pPr>
        <w:pStyle w:val="Rejstk2"/>
        <w:tabs>
          <w:tab w:val="right" w:leader="dot" w:pos="4171"/>
        </w:tabs>
        <w:spacing w:line="240" w:lineRule="auto"/>
      </w:pPr>
      <w:r>
        <w:t>druhý averroismus</w:t>
      </w:r>
      <w:r>
        <w:tab/>
        <w:t>396, 612, 674, 875</w:t>
      </w:r>
    </w:p>
    <w:p w:rsidR="00E911ED" w:rsidRDefault="00E911ED" w:rsidP="00E911ED">
      <w:pPr>
        <w:pStyle w:val="Rejstk2"/>
        <w:tabs>
          <w:tab w:val="right" w:leader="dot" w:pos="4171"/>
        </w:tabs>
        <w:spacing w:line="240" w:lineRule="auto"/>
      </w:pPr>
      <w:r>
        <w:t>Gandavus</w:t>
      </w:r>
      <w:r>
        <w:tab/>
        <w:t>594</w:t>
      </w:r>
    </w:p>
    <w:p w:rsidR="00E911ED" w:rsidRDefault="00E911ED" w:rsidP="00E911ED">
      <w:pPr>
        <w:pStyle w:val="Rejstk2"/>
        <w:tabs>
          <w:tab w:val="right" w:leader="dot" w:pos="4171"/>
        </w:tabs>
        <w:spacing w:line="240" w:lineRule="auto"/>
      </w:pPr>
      <w:r>
        <w:t>Godefroid de Fontaines</w:t>
      </w:r>
      <w:r>
        <w:tab/>
        <w:t>577</w:t>
      </w:r>
    </w:p>
    <w:p w:rsidR="00E911ED" w:rsidRDefault="00E911ED" w:rsidP="00E911ED">
      <w:pPr>
        <w:pStyle w:val="Rejstk2"/>
        <w:tabs>
          <w:tab w:val="right" w:leader="dot" w:pos="4171"/>
        </w:tabs>
        <w:spacing w:line="240" w:lineRule="auto"/>
      </w:pPr>
      <w:r>
        <w:t>moderna</w:t>
      </w:r>
      <w:r>
        <w:tab/>
        <w:t>109, 577, 596, 626, 922</w:t>
      </w:r>
    </w:p>
    <w:p w:rsidR="00E911ED" w:rsidRDefault="00E911ED" w:rsidP="00E911ED">
      <w:pPr>
        <w:pStyle w:val="Rejstk2"/>
        <w:tabs>
          <w:tab w:val="right" w:leader="dot" w:pos="4171"/>
        </w:tabs>
        <w:spacing w:line="240" w:lineRule="auto"/>
      </w:pPr>
      <w:r>
        <w:t>neoplatonismus</w:t>
      </w:r>
      <w:r>
        <w:tab/>
        <w:t>142, 394, 440</w:t>
      </w:r>
    </w:p>
    <w:p w:rsidR="00E911ED" w:rsidRDefault="00E911ED" w:rsidP="00E911ED">
      <w:pPr>
        <w:pStyle w:val="Rejstk2"/>
        <w:tabs>
          <w:tab w:val="right" w:leader="dot" w:pos="4171"/>
        </w:tabs>
        <w:spacing w:line="240" w:lineRule="auto"/>
      </w:pPr>
      <w:r>
        <w:t>Ockham</w:t>
      </w:r>
      <w:r>
        <w:tab/>
        <w:t>772, 775, 778</w:t>
      </w:r>
    </w:p>
    <w:p w:rsidR="00E911ED" w:rsidRDefault="00E911ED" w:rsidP="00E911ED">
      <w:pPr>
        <w:pStyle w:val="Rejstk2"/>
        <w:tabs>
          <w:tab w:val="right" w:leader="dot" w:pos="4171"/>
        </w:tabs>
        <w:spacing w:line="240" w:lineRule="auto"/>
      </w:pPr>
      <w:r>
        <w:t>Olivi</w:t>
      </w:r>
      <w:r>
        <w:tab/>
        <w:t>514</w:t>
      </w:r>
    </w:p>
    <w:p w:rsidR="00E911ED" w:rsidRDefault="00E911ED" w:rsidP="00E911ED">
      <w:pPr>
        <w:pStyle w:val="Rejstk2"/>
        <w:tabs>
          <w:tab w:val="right" w:leader="dot" w:pos="4171"/>
        </w:tabs>
        <w:spacing w:line="240" w:lineRule="auto"/>
      </w:pPr>
      <w:r>
        <w:t>první averroismus</w:t>
      </w:r>
      <w:r>
        <w:tab/>
        <w:t>184</w:t>
      </w:r>
    </w:p>
    <w:p w:rsidR="00E911ED" w:rsidRDefault="00E911ED" w:rsidP="00E911ED">
      <w:pPr>
        <w:pStyle w:val="Rejstk2"/>
        <w:tabs>
          <w:tab w:val="right" w:leader="dot" w:pos="4171"/>
        </w:tabs>
        <w:spacing w:line="240" w:lineRule="auto"/>
      </w:pPr>
      <w:r>
        <w:t>Scotus</w:t>
      </w:r>
      <w:r>
        <w:tab/>
        <w:t>759</w:t>
      </w:r>
    </w:p>
    <w:p w:rsidR="00E911ED" w:rsidRDefault="00E911ED" w:rsidP="00E911ED">
      <w:pPr>
        <w:pStyle w:val="Rejstk2"/>
        <w:tabs>
          <w:tab w:val="right" w:leader="dot" w:pos="4171"/>
        </w:tabs>
        <w:spacing w:line="240" w:lineRule="auto"/>
      </w:pPr>
      <w:r>
        <w:t>Siger</w:t>
      </w:r>
      <w:r>
        <w:tab/>
        <w:t>298</w:t>
      </w:r>
    </w:p>
    <w:p w:rsidR="00E911ED" w:rsidRDefault="00E911ED" w:rsidP="00E911ED">
      <w:pPr>
        <w:pStyle w:val="Rejstk1"/>
        <w:tabs>
          <w:tab w:val="right" w:leader="dot" w:pos="4171"/>
        </w:tabs>
        <w:spacing w:line="240" w:lineRule="auto"/>
      </w:pPr>
      <w:r w:rsidRPr="004B4DFF">
        <w:rPr>
          <w:i/>
        </w:rPr>
        <w:t>intellectus</w:t>
      </w:r>
      <w:r>
        <w:t xml:space="preserve"> </w:t>
      </w:r>
      <w:r w:rsidRPr="004B4DFF">
        <w:rPr>
          <w:i/>
        </w:rPr>
        <w:t>cogitativus operativus</w:t>
      </w:r>
      <w:r>
        <w:tab/>
        <w:t>856</w:t>
      </w:r>
    </w:p>
    <w:p w:rsidR="00E911ED" w:rsidRDefault="00E911ED" w:rsidP="00E911ED">
      <w:pPr>
        <w:pStyle w:val="Rejstk1"/>
        <w:tabs>
          <w:tab w:val="right" w:leader="dot" w:pos="4171"/>
        </w:tabs>
        <w:spacing w:line="240" w:lineRule="auto"/>
      </w:pPr>
      <w:r w:rsidRPr="004B4DFF">
        <w:rPr>
          <w:i/>
        </w:rPr>
        <w:t>intellectus debilis</w:t>
      </w:r>
      <w:r>
        <w:tab/>
        <w:t>27, 662, 763</w:t>
      </w:r>
    </w:p>
    <w:p w:rsidR="00E911ED" w:rsidRDefault="00E911ED" w:rsidP="003E1753">
      <w:pPr>
        <w:pStyle w:val="Rejstk1"/>
        <w:tabs>
          <w:tab w:val="right" w:leader="dot" w:pos="4171"/>
        </w:tabs>
        <w:spacing w:line="240" w:lineRule="auto"/>
      </w:pPr>
      <w:r w:rsidRPr="004B4DFF">
        <w:rPr>
          <w:i/>
        </w:rPr>
        <w:t>intellectus formalis</w:t>
      </w:r>
      <w:r>
        <w:tab/>
        <w:t>408, 414, 416</w:t>
      </w:r>
    </w:p>
    <w:p w:rsidR="00E911ED" w:rsidRDefault="00E911ED" w:rsidP="00E911ED">
      <w:pPr>
        <w:pStyle w:val="Rejstk1"/>
        <w:tabs>
          <w:tab w:val="right" w:leader="dot" w:pos="4171"/>
        </w:tabs>
        <w:spacing w:line="240" w:lineRule="auto"/>
      </w:pPr>
      <w:r w:rsidRPr="004B4DFF">
        <w:rPr>
          <w:i/>
        </w:rPr>
        <w:t>intellectus materialis</w:t>
      </w:r>
    </w:p>
    <w:p w:rsidR="00E911ED" w:rsidRDefault="00E911ED" w:rsidP="00E911ED">
      <w:pPr>
        <w:pStyle w:val="Rejstk2"/>
        <w:tabs>
          <w:tab w:val="right" w:leader="dot" w:pos="4171"/>
        </w:tabs>
        <w:spacing w:line="240" w:lineRule="auto"/>
      </w:pPr>
      <w:r>
        <w:t>Alexander</w:t>
      </w:r>
      <w:r>
        <w:tab/>
        <w:t>167, 348</w:t>
      </w:r>
    </w:p>
    <w:p w:rsidR="00E911ED" w:rsidRDefault="00E911ED" w:rsidP="00E911ED">
      <w:pPr>
        <w:pStyle w:val="Rejstk2"/>
        <w:tabs>
          <w:tab w:val="right" w:leader="dot" w:pos="4171"/>
        </w:tabs>
        <w:spacing w:line="240" w:lineRule="auto"/>
      </w:pPr>
      <w:r>
        <w:t>Averroes</w:t>
      </w:r>
      <w:r>
        <w:tab/>
        <w:t>137, 342</w:t>
      </w:r>
    </w:p>
    <w:p w:rsidR="00E911ED" w:rsidRDefault="00E911ED" w:rsidP="00E911ED">
      <w:pPr>
        <w:pStyle w:val="Rejstk2"/>
        <w:tabs>
          <w:tab w:val="right" w:leader="dot" w:pos="4171"/>
        </w:tabs>
        <w:spacing w:line="240" w:lineRule="auto"/>
      </w:pPr>
      <w:r>
        <w:t>Avicenna</w:t>
      </w:r>
      <w:r>
        <w:tab/>
        <w:t>10, 289, 348</w:t>
      </w:r>
    </w:p>
    <w:p w:rsidR="00E911ED" w:rsidRDefault="00E911ED" w:rsidP="00E911ED">
      <w:pPr>
        <w:pStyle w:val="Rejstk2"/>
        <w:tabs>
          <w:tab w:val="right" w:leader="dot" w:pos="4171"/>
        </w:tabs>
        <w:spacing w:line="240" w:lineRule="auto"/>
      </w:pPr>
      <w:r>
        <w:t>Bonavetura</w:t>
      </w:r>
      <w:r>
        <w:tab/>
        <w:t>82</w:t>
      </w:r>
    </w:p>
    <w:p w:rsidR="00E911ED" w:rsidRDefault="00E911ED" w:rsidP="00E911ED">
      <w:pPr>
        <w:pStyle w:val="Rejstk2"/>
        <w:tabs>
          <w:tab w:val="right" w:leader="dot" w:pos="4171"/>
        </w:tabs>
        <w:spacing w:line="240" w:lineRule="auto"/>
      </w:pPr>
      <w:r>
        <w:t>moderna</w:t>
      </w:r>
      <w:r>
        <w:tab/>
        <w:t>78, 281, 358, 433</w:t>
      </w:r>
    </w:p>
    <w:p w:rsidR="00E911ED" w:rsidRDefault="00E911ED" w:rsidP="00E911ED">
      <w:pPr>
        <w:pStyle w:val="Rejstk2"/>
        <w:tabs>
          <w:tab w:val="right" w:leader="dot" w:pos="4171"/>
        </w:tabs>
        <w:spacing w:line="240" w:lineRule="auto"/>
      </w:pPr>
      <w:r>
        <w:t>Olivi</w:t>
      </w:r>
      <w:r>
        <w:tab/>
        <w:t>515</w:t>
      </w:r>
    </w:p>
    <w:p w:rsidR="00E911ED" w:rsidRDefault="00E911ED" w:rsidP="00E911ED">
      <w:pPr>
        <w:pStyle w:val="Rejstk2"/>
        <w:tabs>
          <w:tab w:val="right" w:leader="dot" w:pos="4171"/>
        </w:tabs>
        <w:spacing w:line="240" w:lineRule="auto"/>
      </w:pPr>
      <w:r>
        <w:t>Pecham</w:t>
      </w:r>
      <w:r>
        <w:tab/>
        <w:t>135</w:t>
      </w:r>
    </w:p>
    <w:p w:rsidR="00E911ED" w:rsidRDefault="00E911ED" w:rsidP="00E911ED">
      <w:pPr>
        <w:pStyle w:val="Rejstk1"/>
        <w:tabs>
          <w:tab w:val="right" w:leader="dot" w:pos="4171"/>
        </w:tabs>
        <w:spacing w:line="240" w:lineRule="auto"/>
      </w:pPr>
      <w:r w:rsidRPr="004B4DFF">
        <w:rPr>
          <w:i/>
        </w:rPr>
        <w:t>intellectus possibilis</w:t>
      </w:r>
      <w:r>
        <w:tab/>
        <w:t>136, 138, 299, 348, 456, 576, 596</w:t>
      </w:r>
    </w:p>
    <w:p w:rsidR="00E911ED" w:rsidRDefault="00E911ED" w:rsidP="00E911ED">
      <w:pPr>
        <w:pStyle w:val="Rejstk2"/>
        <w:tabs>
          <w:tab w:val="right" w:leader="dot" w:pos="4171"/>
        </w:tabs>
        <w:spacing w:line="240" w:lineRule="auto"/>
      </w:pPr>
      <w:r>
        <w:t>Aegidius Romanus</w:t>
      </w:r>
      <w:r>
        <w:tab/>
        <w:t>199</w:t>
      </w:r>
    </w:p>
    <w:p w:rsidR="00E911ED" w:rsidRDefault="00E911ED" w:rsidP="00E911ED">
      <w:pPr>
        <w:pStyle w:val="Rejstk2"/>
        <w:tabs>
          <w:tab w:val="right" w:leader="dot" w:pos="4171"/>
        </w:tabs>
        <w:spacing w:line="240" w:lineRule="auto"/>
      </w:pPr>
      <w:r>
        <w:t>Akvinský</w:t>
      </w:r>
      <w:r>
        <w:tab/>
        <w:t>375, 397, 420, 444, 448, 458, 459, 461, 467</w:t>
      </w:r>
    </w:p>
    <w:p w:rsidR="00E911ED" w:rsidRDefault="00E911ED" w:rsidP="00E911ED">
      <w:pPr>
        <w:pStyle w:val="Rejstk2"/>
        <w:tabs>
          <w:tab w:val="right" w:leader="dot" w:pos="4171"/>
        </w:tabs>
        <w:spacing w:line="240" w:lineRule="auto"/>
      </w:pPr>
      <w:r>
        <w:t>Albert</w:t>
      </w:r>
      <w:r>
        <w:tab/>
        <w:t>875</w:t>
      </w:r>
    </w:p>
    <w:p w:rsidR="00E911ED" w:rsidRDefault="00E911ED" w:rsidP="00E911ED">
      <w:pPr>
        <w:pStyle w:val="Rejstk2"/>
        <w:tabs>
          <w:tab w:val="right" w:leader="dot" w:pos="4171"/>
        </w:tabs>
        <w:spacing w:line="240" w:lineRule="auto"/>
      </w:pPr>
      <w:r>
        <w:t>Averroes</w:t>
      </w:r>
      <w:r>
        <w:tab/>
        <w:t>10, 58</w:t>
      </w:r>
    </w:p>
    <w:p w:rsidR="00E911ED" w:rsidRDefault="00E911ED" w:rsidP="00E911ED">
      <w:pPr>
        <w:pStyle w:val="Rejstk2"/>
        <w:tabs>
          <w:tab w:val="right" w:leader="dot" w:pos="4171"/>
        </w:tabs>
        <w:spacing w:line="240" w:lineRule="auto"/>
      </w:pPr>
      <w:r>
        <w:t>Bonaventura</w:t>
      </w:r>
      <w:r>
        <w:tab/>
        <w:t>76, 85, 135</w:t>
      </w:r>
    </w:p>
    <w:p w:rsidR="00E911ED" w:rsidRDefault="00E911ED" w:rsidP="00E911ED">
      <w:pPr>
        <w:pStyle w:val="Rejstk2"/>
        <w:tabs>
          <w:tab w:val="right" w:leader="dot" w:pos="4171"/>
        </w:tabs>
        <w:spacing w:line="240" w:lineRule="auto"/>
      </w:pPr>
      <w:r>
        <w:t>Bonavetura</w:t>
      </w:r>
      <w:r>
        <w:tab/>
        <w:t>82</w:t>
      </w:r>
    </w:p>
    <w:p w:rsidR="00E911ED" w:rsidRDefault="00E911ED" w:rsidP="00E911ED">
      <w:pPr>
        <w:pStyle w:val="Rejstk2"/>
        <w:tabs>
          <w:tab w:val="right" w:leader="dot" w:pos="4171"/>
        </w:tabs>
        <w:spacing w:line="240" w:lineRule="auto"/>
      </w:pPr>
      <w:r>
        <w:t>Dante</w:t>
      </w:r>
      <w:r>
        <w:tab/>
        <w:t>305, 306</w:t>
      </w:r>
    </w:p>
    <w:p w:rsidR="00E911ED" w:rsidRDefault="00E911ED" w:rsidP="00E911ED">
      <w:pPr>
        <w:pStyle w:val="Rejstk2"/>
        <w:tabs>
          <w:tab w:val="right" w:leader="dot" w:pos="4171"/>
        </w:tabs>
        <w:spacing w:line="240" w:lineRule="auto"/>
      </w:pPr>
      <w:r>
        <w:t>druhý averroismus</w:t>
      </w:r>
      <w:r>
        <w:tab/>
        <w:t>137</w:t>
      </w:r>
    </w:p>
    <w:p w:rsidR="00E911ED" w:rsidRDefault="00E911ED" w:rsidP="00E911ED">
      <w:pPr>
        <w:pStyle w:val="Rejstk2"/>
        <w:tabs>
          <w:tab w:val="right" w:leader="dot" w:pos="4171"/>
        </w:tabs>
        <w:spacing w:line="240" w:lineRule="auto"/>
      </w:pPr>
      <w:r>
        <w:t>moderna</w:t>
      </w:r>
      <w:r>
        <w:tab/>
        <w:t>489</w:t>
      </w:r>
    </w:p>
    <w:p w:rsidR="00E911ED" w:rsidRDefault="00E911ED" w:rsidP="00E911ED">
      <w:pPr>
        <w:pStyle w:val="Rejstk2"/>
        <w:tabs>
          <w:tab w:val="right" w:leader="dot" w:pos="4171"/>
        </w:tabs>
        <w:spacing w:line="240" w:lineRule="auto"/>
      </w:pPr>
      <w:r>
        <w:t>Ockham</w:t>
      </w:r>
      <w:r>
        <w:tab/>
        <w:t>771, 776, 781</w:t>
      </w:r>
    </w:p>
    <w:p w:rsidR="00E911ED" w:rsidRDefault="00E911ED" w:rsidP="00E911ED">
      <w:pPr>
        <w:pStyle w:val="Rejstk2"/>
        <w:tabs>
          <w:tab w:val="right" w:leader="dot" w:pos="4171"/>
        </w:tabs>
        <w:spacing w:line="240" w:lineRule="auto"/>
      </w:pPr>
      <w:r>
        <w:t>Olivi</w:t>
      </w:r>
      <w:r>
        <w:tab/>
        <w:t>514</w:t>
      </w:r>
    </w:p>
    <w:p w:rsidR="00E911ED" w:rsidRDefault="00E911ED" w:rsidP="00E911ED">
      <w:pPr>
        <w:pStyle w:val="Rejstk2"/>
        <w:tabs>
          <w:tab w:val="right" w:leader="dot" w:pos="4171"/>
        </w:tabs>
        <w:spacing w:line="240" w:lineRule="auto"/>
      </w:pPr>
      <w:r w:rsidRPr="003E1753">
        <w:rPr>
          <w:i/>
        </w:rPr>
        <w:t>Oxfordský Anonym</w:t>
      </w:r>
      <w:r>
        <w:tab/>
        <w:t>208</w:t>
      </w:r>
    </w:p>
    <w:p w:rsidR="00E911ED" w:rsidRDefault="00E911ED" w:rsidP="00E911ED">
      <w:pPr>
        <w:pStyle w:val="Rejstk2"/>
        <w:tabs>
          <w:tab w:val="right" w:leader="dot" w:pos="4171"/>
        </w:tabs>
        <w:spacing w:line="240" w:lineRule="auto"/>
      </w:pPr>
      <w:r>
        <w:t>první averroismus</w:t>
      </w:r>
      <w:r>
        <w:tab/>
        <w:t>166, 403, 594, 608</w:t>
      </w:r>
    </w:p>
    <w:p w:rsidR="00E911ED" w:rsidRDefault="00E911ED" w:rsidP="00E911ED">
      <w:pPr>
        <w:pStyle w:val="Rejstk2"/>
        <w:tabs>
          <w:tab w:val="right" w:leader="dot" w:pos="4171"/>
        </w:tabs>
        <w:spacing w:line="240" w:lineRule="auto"/>
      </w:pPr>
      <w:r>
        <w:t>Scotus</w:t>
      </w:r>
      <w:r>
        <w:tab/>
        <w:t>677, 718, 760</w:t>
      </w:r>
    </w:p>
    <w:p w:rsidR="00E911ED" w:rsidRDefault="00E911ED" w:rsidP="00E911ED">
      <w:pPr>
        <w:pStyle w:val="Rejstk2"/>
        <w:tabs>
          <w:tab w:val="right" w:leader="dot" w:pos="4171"/>
        </w:tabs>
        <w:spacing w:line="240" w:lineRule="auto"/>
      </w:pPr>
      <w:r>
        <w:t>Siger</w:t>
      </w:r>
      <w:r>
        <w:tab/>
        <w:t>275, 282, 288, 302, 304, 305, 350, 351</w:t>
      </w:r>
    </w:p>
    <w:p w:rsidR="00E911ED" w:rsidRDefault="00E911ED" w:rsidP="00E911ED">
      <w:pPr>
        <w:pStyle w:val="Rejstk2"/>
        <w:tabs>
          <w:tab w:val="right" w:leader="dot" w:pos="4171"/>
        </w:tabs>
        <w:spacing w:line="240" w:lineRule="auto"/>
      </w:pPr>
      <w:r>
        <w:t>Themistius</w:t>
      </w:r>
      <w:r>
        <w:tab/>
        <w:t>341, 344</w:t>
      </w:r>
    </w:p>
    <w:p w:rsidR="00E911ED" w:rsidRDefault="00E911ED" w:rsidP="00E911ED">
      <w:pPr>
        <w:pStyle w:val="Rejstk1"/>
        <w:tabs>
          <w:tab w:val="right" w:leader="dot" w:pos="4171"/>
        </w:tabs>
        <w:spacing w:line="240" w:lineRule="auto"/>
      </w:pPr>
      <w:r w:rsidRPr="004B4DFF">
        <w:rPr>
          <w:i/>
        </w:rPr>
        <w:t>intellectus practicus</w:t>
      </w:r>
      <w:r>
        <w:tab/>
        <w:t>306, 526, 550, 847, 854, 856, 857, 858, 872, 875, 877, 883, 918, 925</w:t>
      </w:r>
    </w:p>
    <w:p w:rsidR="00E911ED" w:rsidRDefault="00E911ED" w:rsidP="00E911ED">
      <w:pPr>
        <w:pStyle w:val="Rejstk1"/>
        <w:tabs>
          <w:tab w:val="right" w:leader="dot" w:pos="4171"/>
        </w:tabs>
        <w:spacing w:line="240" w:lineRule="auto"/>
      </w:pPr>
      <w:r w:rsidRPr="004B4DFF">
        <w:rPr>
          <w:i/>
        </w:rPr>
        <w:t>intellectus resolvens</w:t>
      </w:r>
      <w:r>
        <w:tab/>
        <w:t>23, 24, 99, 107</w:t>
      </w:r>
    </w:p>
    <w:p w:rsidR="00E911ED" w:rsidRDefault="00E911ED" w:rsidP="00E911ED">
      <w:pPr>
        <w:pStyle w:val="Rejstk1"/>
        <w:tabs>
          <w:tab w:val="right" w:leader="dot" w:pos="4171"/>
        </w:tabs>
        <w:spacing w:line="240" w:lineRule="auto"/>
      </w:pPr>
      <w:r w:rsidRPr="004B4DFF">
        <w:rPr>
          <w:i/>
        </w:rPr>
        <w:t>intellectus sanctus</w:t>
      </w:r>
      <w:r>
        <w:tab/>
        <w:t>25, 111, 809</w:t>
      </w:r>
    </w:p>
    <w:p w:rsidR="00E911ED" w:rsidRDefault="00E911ED" w:rsidP="00E911ED">
      <w:pPr>
        <w:pStyle w:val="Rejstk1"/>
        <w:tabs>
          <w:tab w:val="right" w:leader="dot" w:pos="4171"/>
        </w:tabs>
        <w:spacing w:line="240" w:lineRule="auto"/>
      </w:pPr>
      <w:r w:rsidRPr="004B4DFF">
        <w:rPr>
          <w:i/>
        </w:rPr>
        <w:t>intellectus speculativus</w:t>
      </w:r>
      <w:r>
        <w:tab/>
        <w:t>201, 307, 398, 404, 438, 468, 601, 857</w:t>
      </w:r>
    </w:p>
    <w:p w:rsidR="00E911ED" w:rsidRDefault="00E911ED" w:rsidP="00E911ED">
      <w:pPr>
        <w:pStyle w:val="Rejstk2"/>
        <w:tabs>
          <w:tab w:val="right" w:leader="dot" w:pos="4171"/>
        </w:tabs>
        <w:spacing w:line="240" w:lineRule="auto"/>
      </w:pPr>
      <w:r>
        <w:t>Albert</w:t>
      </w:r>
      <w:r>
        <w:tab/>
        <w:t>76, 79, 135, 149, 206, 246, 293, 449, 482</w:t>
      </w:r>
    </w:p>
    <w:p w:rsidR="00E911ED" w:rsidRDefault="00E911ED" w:rsidP="00E911ED">
      <w:pPr>
        <w:pStyle w:val="Rejstk2"/>
        <w:tabs>
          <w:tab w:val="right" w:leader="dot" w:pos="4171"/>
        </w:tabs>
        <w:spacing w:line="240" w:lineRule="auto"/>
      </w:pPr>
      <w:r w:rsidRPr="00BA44F1">
        <w:rPr>
          <w:i/>
        </w:rPr>
        <w:t>Anonym Giele</w:t>
      </w:r>
      <w:r>
        <w:tab/>
        <w:t>167</w:t>
      </w:r>
    </w:p>
    <w:p w:rsidR="00E911ED" w:rsidRDefault="00E911ED" w:rsidP="00E911ED">
      <w:pPr>
        <w:pStyle w:val="Rejstk2"/>
        <w:tabs>
          <w:tab w:val="right" w:leader="dot" w:pos="4171"/>
        </w:tabs>
        <w:spacing w:line="240" w:lineRule="auto"/>
      </w:pPr>
      <w:r>
        <w:t>Dante</w:t>
      </w:r>
      <w:r>
        <w:tab/>
        <w:t>850</w:t>
      </w:r>
    </w:p>
    <w:p w:rsidR="00E911ED" w:rsidRDefault="00E911ED" w:rsidP="00E911ED">
      <w:pPr>
        <w:pStyle w:val="Rejstk2"/>
        <w:tabs>
          <w:tab w:val="right" w:leader="dot" w:pos="4171"/>
        </w:tabs>
        <w:spacing w:line="240" w:lineRule="auto"/>
      </w:pPr>
      <w:r>
        <w:t>první averroismus</w:t>
      </w:r>
      <w:r>
        <w:tab/>
        <w:t>144</w:t>
      </w:r>
    </w:p>
    <w:p w:rsidR="00E911ED" w:rsidRDefault="00E911ED" w:rsidP="00E911ED">
      <w:pPr>
        <w:pStyle w:val="Rejstk2"/>
        <w:tabs>
          <w:tab w:val="right" w:leader="dot" w:pos="4171"/>
        </w:tabs>
        <w:spacing w:line="240" w:lineRule="auto"/>
      </w:pPr>
      <w:r>
        <w:t>Scotus</w:t>
      </w:r>
      <w:r>
        <w:tab/>
        <w:t>918</w:t>
      </w:r>
    </w:p>
    <w:p w:rsidR="00E911ED" w:rsidRDefault="00E911ED" w:rsidP="00E911ED">
      <w:pPr>
        <w:pStyle w:val="Rejstk1"/>
        <w:tabs>
          <w:tab w:val="right" w:leader="dot" w:pos="4171"/>
        </w:tabs>
        <w:spacing w:line="240" w:lineRule="auto"/>
      </w:pPr>
      <w:r w:rsidRPr="004B4DFF">
        <w:rPr>
          <w:i/>
        </w:rPr>
        <w:t>intelligentia spiritualis</w:t>
      </w:r>
      <w:r>
        <w:tab/>
        <w:t>5, 129, 488, 500, 518, 610, 649, 706, 716, 717, 743, 822, 824</w:t>
      </w:r>
    </w:p>
    <w:p w:rsidR="00E911ED" w:rsidRDefault="00E911ED" w:rsidP="00E911ED">
      <w:pPr>
        <w:pStyle w:val="Rejstk1"/>
        <w:tabs>
          <w:tab w:val="right" w:leader="dot" w:pos="4171"/>
        </w:tabs>
        <w:spacing w:line="240" w:lineRule="auto"/>
      </w:pPr>
      <w:r>
        <w:t>intencionalita</w:t>
      </w:r>
    </w:p>
    <w:p w:rsidR="00E911ED" w:rsidRDefault="00E911ED" w:rsidP="00E911ED">
      <w:pPr>
        <w:pStyle w:val="Rejstk2"/>
        <w:tabs>
          <w:tab w:val="right" w:leader="dot" w:pos="4171"/>
        </w:tabs>
        <w:spacing w:line="240" w:lineRule="auto"/>
      </w:pPr>
      <w:r>
        <w:t>Aegidius Romanus</w:t>
      </w:r>
      <w:r>
        <w:tab/>
        <w:t>182</w:t>
      </w:r>
    </w:p>
    <w:p w:rsidR="00E911ED" w:rsidRDefault="00E911ED" w:rsidP="00E911ED">
      <w:pPr>
        <w:pStyle w:val="Rejstk2"/>
        <w:tabs>
          <w:tab w:val="right" w:leader="dot" w:pos="4171"/>
        </w:tabs>
        <w:spacing w:line="240" w:lineRule="auto"/>
      </w:pPr>
      <w:r w:rsidRPr="004B4DFF">
        <w:rPr>
          <w:iCs/>
        </w:rPr>
        <w:t>Blund</w:t>
      </w:r>
      <w:r>
        <w:tab/>
        <w:t>403</w:t>
      </w:r>
    </w:p>
    <w:p w:rsidR="00E911ED" w:rsidRDefault="00E911ED" w:rsidP="00E911ED">
      <w:pPr>
        <w:pStyle w:val="Rejstk2"/>
        <w:tabs>
          <w:tab w:val="right" w:leader="dot" w:pos="4171"/>
        </w:tabs>
        <w:spacing w:line="240" w:lineRule="auto"/>
      </w:pPr>
      <w:r>
        <w:t>boží</w:t>
      </w:r>
      <w:r>
        <w:tab/>
        <w:t>400</w:t>
      </w:r>
    </w:p>
    <w:p w:rsidR="00E911ED" w:rsidRDefault="00E911ED" w:rsidP="00E911ED">
      <w:pPr>
        <w:pStyle w:val="Rejstk2"/>
        <w:tabs>
          <w:tab w:val="right" w:leader="dot" w:pos="4171"/>
        </w:tabs>
        <w:spacing w:line="240" w:lineRule="auto"/>
      </w:pPr>
      <w:r>
        <w:t>bůh</w:t>
      </w:r>
      <w:r>
        <w:tab/>
        <w:t>582, 594, 602, 620</w:t>
      </w:r>
    </w:p>
    <w:p w:rsidR="00E911ED" w:rsidRDefault="00E911ED" w:rsidP="00E911ED">
      <w:pPr>
        <w:pStyle w:val="Rejstk2"/>
        <w:tabs>
          <w:tab w:val="right" w:leader="dot" w:pos="4171"/>
        </w:tabs>
        <w:spacing w:line="240" w:lineRule="auto"/>
      </w:pPr>
      <w:r w:rsidRPr="004B4DFF">
        <w:rPr>
          <w:i/>
        </w:rPr>
        <w:t>deus creaturus</w:t>
      </w:r>
      <w:r>
        <w:tab/>
        <w:t>617</w:t>
      </w:r>
    </w:p>
    <w:p w:rsidR="00E911ED" w:rsidRDefault="00E911ED" w:rsidP="00E911ED">
      <w:pPr>
        <w:pStyle w:val="Rejstk2"/>
        <w:tabs>
          <w:tab w:val="right" w:leader="dot" w:pos="4171"/>
        </w:tabs>
        <w:spacing w:line="240" w:lineRule="auto"/>
      </w:pPr>
      <w:r>
        <w:t>Gandavus</w:t>
      </w:r>
      <w:r>
        <w:tab/>
        <w:t>599, 606</w:t>
      </w:r>
    </w:p>
    <w:p w:rsidR="00E911ED" w:rsidRDefault="00E911ED" w:rsidP="00E911ED">
      <w:pPr>
        <w:pStyle w:val="Rejstk2"/>
        <w:tabs>
          <w:tab w:val="right" w:leader="dot" w:pos="4171"/>
        </w:tabs>
        <w:spacing w:line="240" w:lineRule="auto"/>
      </w:pPr>
      <w:r>
        <w:t>Husserl</w:t>
      </w:r>
      <w:r>
        <w:tab/>
        <w:t>637</w:t>
      </w:r>
    </w:p>
    <w:p w:rsidR="00E911ED" w:rsidRDefault="00E911ED" w:rsidP="00E911ED">
      <w:pPr>
        <w:pStyle w:val="Rejstk2"/>
        <w:tabs>
          <w:tab w:val="right" w:leader="dot" w:pos="4171"/>
        </w:tabs>
        <w:spacing w:line="240" w:lineRule="auto"/>
      </w:pPr>
      <w:r>
        <w:t>moderna</w:t>
      </w:r>
      <w:r>
        <w:tab/>
        <w:t>498, 597, 645</w:t>
      </w:r>
    </w:p>
    <w:p w:rsidR="00E911ED" w:rsidRDefault="00E911ED" w:rsidP="00E911ED">
      <w:pPr>
        <w:pStyle w:val="Rejstk2"/>
        <w:tabs>
          <w:tab w:val="right" w:leader="dot" w:pos="4171"/>
        </w:tabs>
        <w:spacing w:line="240" w:lineRule="auto"/>
      </w:pPr>
      <w:r>
        <w:t>objektivní</w:t>
      </w:r>
      <w:r>
        <w:tab/>
        <w:t>510</w:t>
      </w:r>
    </w:p>
    <w:p w:rsidR="00E911ED" w:rsidRDefault="00E911ED" w:rsidP="00E911ED">
      <w:pPr>
        <w:pStyle w:val="Rejstk2"/>
        <w:tabs>
          <w:tab w:val="right" w:leader="dot" w:pos="4171"/>
        </w:tabs>
        <w:spacing w:line="240" w:lineRule="auto"/>
      </w:pPr>
      <w:r>
        <w:t>Olivi</w:t>
      </w:r>
      <w:r>
        <w:tab/>
        <w:t>515</w:t>
      </w:r>
    </w:p>
    <w:p w:rsidR="00E911ED" w:rsidRDefault="00E911ED" w:rsidP="00E911ED">
      <w:pPr>
        <w:pStyle w:val="Rejstk2"/>
        <w:tabs>
          <w:tab w:val="right" w:leader="dot" w:pos="4171"/>
        </w:tabs>
        <w:spacing w:line="240" w:lineRule="auto"/>
      </w:pPr>
      <w:r>
        <w:t>Pecham</w:t>
      </w:r>
      <w:r>
        <w:tab/>
        <w:t>136, 158</w:t>
      </w:r>
    </w:p>
    <w:p w:rsidR="00E911ED" w:rsidRDefault="00E911ED" w:rsidP="00E911ED">
      <w:pPr>
        <w:pStyle w:val="Rejstk2"/>
        <w:tabs>
          <w:tab w:val="right" w:leader="dot" w:pos="4171"/>
        </w:tabs>
        <w:spacing w:line="240" w:lineRule="auto"/>
      </w:pPr>
      <w:r>
        <w:t>postmoderna</w:t>
      </w:r>
      <w:r>
        <w:tab/>
        <w:t>609</w:t>
      </w:r>
    </w:p>
    <w:p w:rsidR="00E911ED" w:rsidRDefault="00E911ED" w:rsidP="00E911ED">
      <w:pPr>
        <w:pStyle w:val="Rejstk2"/>
        <w:tabs>
          <w:tab w:val="right" w:leader="dot" w:pos="4171"/>
        </w:tabs>
        <w:spacing w:line="240" w:lineRule="auto"/>
      </w:pPr>
      <w:r>
        <w:t>Scotus</w:t>
      </w:r>
      <w:r>
        <w:tab/>
        <w:t>723</w:t>
      </w:r>
    </w:p>
    <w:p w:rsidR="00E911ED" w:rsidRDefault="00E911ED" w:rsidP="00E911ED">
      <w:pPr>
        <w:pStyle w:val="Rejstk2"/>
        <w:tabs>
          <w:tab w:val="right" w:leader="dot" w:pos="4171"/>
        </w:tabs>
        <w:spacing w:line="240" w:lineRule="auto"/>
      </w:pPr>
      <w:r>
        <w:t>Siger</w:t>
      </w:r>
      <w:r>
        <w:tab/>
        <w:t>182</w:t>
      </w:r>
    </w:p>
    <w:p w:rsidR="00E911ED" w:rsidRDefault="00E911ED" w:rsidP="00E911ED">
      <w:pPr>
        <w:pStyle w:val="Rejstk1"/>
        <w:tabs>
          <w:tab w:val="right" w:leader="dot" w:pos="4171"/>
        </w:tabs>
        <w:spacing w:line="240" w:lineRule="auto"/>
      </w:pPr>
      <w:r w:rsidRPr="004B4DFF">
        <w:rPr>
          <w:i/>
        </w:rPr>
        <w:t>Irre</w:t>
      </w:r>
      <w:r>
        <w:tab/>
        <w:t>11, 90, 361, 555, 636, 709, 717</w:t>
      </w:r>
    </w:p>
    <w:p w:rsidR="00E911ED" w:rsidRDefault="00E911ED" w:rsidP="00E911ED">
      <w:pPr>
        <w:pStyle w:val="Rejstk1"/>
        <w:tabs>
          <w:tab w:val="right" w:leader="dot" w:pos="4171"/>
        </w:tabs>
        <w:spacing w:line="240" w:lineRule="auto"/>
      </w:pPr>
      <w:r w:rsidRPr="004B4DFF">
        <w:rPr>
          <w:i/>
        </w:rPr>
        <w:t>Irrtum</w:t>
      </w:r>
      <w:r>
        <w:tab/>
        <w:t>18, 325, 361, 708</w:t>
      </w:r>
    </w:p>
    <w:p w:rsidR="00E911ED" w:rsidRDefault="00E911ED" w:rsidP="00E911ED">
      <w:pPr>
        <w:pStyle w:val="Rejstk2"/>
        <w:tabs>
          <w:tab w:val="right" w:leader="dot" w:pos="4171"/>
        </w:tabs>
        <w:spacing w:line="240" w:lineRule="auto"/>
      </w:pPr>
      <w:r>
        <w:t>druhá metafyzika</w:t>
      </w:r>
      <w:r>
        <w:tab/>
        <w:t>644</w:t>
      </w:r>
    </w:p>
    <w:p w:rsidR="00E911ED" w:rsidRDefault="00E911ED" w:rsidP="00E911ED">
      <w:pPr>
        <w:pStyle w:val="Rejstk2"/>
        <w:tabs>
          <w:tab w:val="right" w:leader="dot" w:pos="4171"/>
        </w:tabs>
        <w:spacing w:line="240" w:lineRule="auto"/>
      </w:pPr>
      <w:r>
        <w:t>hermeneutika</w:t>
      </w:r>
      <w:r>
        <w:tab/>
        <w:t>932</w:t>
      </w:r>
    </w:p>
    <w:p w:rsidR="00E911ED" w:rsidRDefault="00E911ED" w:rsidP="00E911ED">
      <w:pPr>
        <w:pStyle w:val="Rejstk2"/>
        <w:tabs>
          <w:tab w:val="right" w:leader="dot" w:pos="4171"/>
        </w:tabs>
        <w:spacing w:line="240" w:lineRule="auto"/>
      </w:pPr>
      <w:r>
        <w:t>humanismus</w:t>
      </w:r>
      <w:r>
        <w:tab/>
        <w:t>363</w:t>
      </w:r>
    </w:p>
    <w:p w:rsidR="00E911ED" w:rsidRDefault="00E911ED" w:rsidP="00E911ED">
      <w:pPr>
        <w:pStyle w:val="Rejstk2"/>
        <w:tabs>
          <w:tab w:val="right" w:leader="dot" w:pos="4171"/>
        </w:tabs>
        <w:spacing w:line="240" w:lineRule="auto"/>
      </w:pPr>
      <w:r>
        <w:t>kapitalismus</w:t>
      </w:r>
      <w:r>
        <w:tab/>
        <w:t>946</w:t>
      </w:r>
    </w:p>
    <w:p w:rsidR="00E911ED" w:rsidRDefault="00E911ED" w:rsidP="00E911ED">
      <w:pPr>
        <w:pStyle w:val="Rejstk2"/>
        <w:tabs>
          <w:tab w:val="right" w:leader="dot" w:pos="4171"/>
        </w:tabs>
        <w:spacing w:line="240" w:lineRule="auto"/>
      </w:pPr>
      <w:r w:rsidRPr="004B4DFF">
        <w:rPr>
          <w:i/>
        </w:rPr>
        <w:t>moderna</w:t>
      </w:r>
      <w:r>
        <w:tab/>
        <w:t>503, 769</w:t>
      </w:r>
    </w:p>
    <w:p w:rsidR="00E911ED" w:rsidRDefault="00E911ED" w:rsidP="00E911ED">
      <w:pPr>
        <w:pStyle w:val="Rejstk2"/>
        <w:tabs>
          <w:tab w:val="right" w:leader="dot" w:pos="4171"/>
        </w:tabs>
        <w:spacing w:line="240" w:lineRule="auto"/>
      </w:pPr>
      <w:r>
        <w:t>politická věda</w:t>
      </w:r>
      <w:r>
        <w:tab/>
        <w:t>886, 917, 922</w:t>
      </w:r>
    </w:p>
    <w:p w:rsidR="00E911ED" w:rsidRDefault="00E911ED" w:rsidP="00E911ED">
      <w:pPr>
        <w:pStyle w:val="Rejstk1"/>
        <w:tabs>
          <w:tab w:val="right" w:leader="dot" w:pos="4171"/>
        </w:tabs>
        <w:spacing w:line="240" w:lineRule="auto"/>
      </w:pPr>
      <w:r>
        <w:t>isonomie</w:t>
      </w:r>
      <w:r>
        <w:tab/>
        <w:t>889, 891, 899, 900</w:t>
      </w:r>
    </w:p>
    <w:p w:rsidR="00E5505A" w:rsidRPr="00F43866" w:rsidRDefault="00E5505A" w:rsidP="00E5505A">
      <w:pPr>
        <w:pStyle w:val="Hlavikarejstku"/>
        <w:keepNext/>
        <w:tabs>
          <w:tab w:val="right" w:leader="dot" w:pos="4171"/>
        </w:tabs>
        <w:spacing w:line="240" w:lineRule="auto"/>
        <w:rPr>
          <w:rFonts w:eastAsia="Times New Roman"/>
          <w:b w:val="0"/>
          <w:bCs w:val="0"/>
          <w:lang w:val="de-LU"/>
        </w:rPr>
      </w:pPr>
      <w:r>
        <w:rPr>
          <w:lang w:val="de-LU"/>
        </w:rPr>
        <w:t>J, K</w:t>
      </w:r>
    </w:p>
    <w:p w:rsidR="00E5505A" w:rsidRDefault="00E5505A" w:rsidP="00E911ED">
      <w:pPr>
        <w:pStyle w:val="Rejstk1"/>
        <w:tabs>
          <w:tab w:val="right" w:leader="dot" w:pos="4171"/>
        </w:tabs>
        <w:spacing w:line="240" w:lineRule="auto"/>
      </w:pPr>
    </w:p>
    <w:p w:rsidR="00E911ED" w:rsidRDefault="00E911ED" w:rsidP="00E911ED">
      <w:pPr>
        <w:pStyle w:val="Rejstk1"/>
        <w:tabs>
          <w:tab w:val="right" w:leader="dot" w:pos="4171"/>
        </w:tabs>
        <w:spacing w:line="240" w:lineRule="auto"/>
      </w:pPr>
      <w:r>
        <w:t>Jakubův žebřík</w:t>
      </w:r>
      <w:r>
        <w:tab/>
        <w:t>109, 119, 125, 126, 393, 503, 518, 520, 690, 694, 739</w:t>
      </w:r>
    </w:p>
    <w:p w:rsidR="00E911ED" w:rsidRDefault="00E911ED" w:rsidP="00E911ED">
      <w:pPr>
        <w:pStyle w:val="Rejstk1"/>
        <w:tabs>
          <w:tab w:val="right" w:leader="dot" w:pos="4171"/>
        </w:tabs>
        <w:spacing w:line="240" w:lineRule="auto"/>
      </w:pPr>
      <w:r>
        <w:t>Jamblichos</w:t>
      </w:r>
      <w:r>
        <w:tab/>
        <w:t>627</w:t>
      </w:r>
    </w:p>
    <w:p w:rsidR="00E911ED" w:rsidRDefault="00E911ED" w:rsidP="00E911ED">
      <w:pPr>
        <w:pStyle w:val="Rejstk1"/>
        <w:tabs>
          <w:tab w:val="right" w:leader="dot" w:pos="4171"/>
        </w:tabs>
        <w:spacing w:line="240" w:lineRule="auto"/>
      </w:pPr>
      <w:r>
        <w:t>Jansen, C.</w:t>
      </w:r>
      <w:r>
        <w:tab/>
        <w:t>112</w:t>
      </w:r>
    </w:p>
    <w:p w:rsidR="00E911ED" w:rsidRDefault="00E911ED" w:rsidP="00E911ED">
      <w:pPr>
        <w:pStyle w:val="Rejstk1"/>
        <w:tabs>
          <w:tab w:val="right" w:leader="dot" w:pos="4171"/>
        </w:tabs>
        <w:spacing w:line="240" w:lineRule="auto"/>
      </w:pPr>
      <w:r>
        <w:t>Joachim z Fiore</w:t>
      </w:r>
      <w:r>
        <w:tab/>
        <w:t>129, 716</w:t>
      </w:r>
    </w:p>
    <w:p w:rsidR="00E911ED" w:rsidRDefault="00E911ED" w:rsidP="00E911ED">
      <w:pPr>
        <w:pStyle w:val="Rejstk1"/>
        <w:tabs>
          <w:tab w:val="right" w:leader="dot" w:pos="4171"/>
        </w:tabs>
        <w:spacing w:line="240" w:lineRule="auto"/>
      </w:pPr>
      <w:r>
        <w:t>Johannes Quidort</w:t>
      </w:r>
      <w:r>
        <w:tab/>
        <w:t>850, 851, 885</w:t>
      </w:r>
    </w:p>
    <w:p w:rsidR="00E911ED" w:rsidRDefault="00E911ED" w:rsidP="00E911ED">
      <w:pPr>
        <w:pStyle w:val="Rejstk1"/>
        <w:tabs>
          <w:tab w:val="right" w:leader="dot" w:pos="4171"/>
        </w:tabs>
        <w:spacing w:line="240" w:lineRule="auto"/>
      </w:pPr>
      <w:r>
        <w:t>John of Reading</w:t>
      </w:r>
      <w:r>
        <w:tab/>
        <w:t>799</w:t>
      </w:r>
    </w:p>
    <w:p w:rsidR="00E911ED" w:rsidRDefault="00E911ED" w:rsidP="00E911ED">
      <w:pPr>
        <w:pStyle w:val="Rejstk1"/>
        <w:tabs>
          <w:tab w:val="right" w:leader="dot" w:pos="4171"/>
        </w:tabs>
        <w:spacing w:line="240" w:lineRule="auto"/>
      </w:pPr>
      <w:r>
        <w:t>Jonas z Orleansu</w:t>
      </w:r>
      <w:r>
        <w:tab/>
        <w:t>885</w:t>
      </w:r>
    </w:p>
    <w:p w:rsidR="00E911ED" w:rsidRDefault="00E911ED" w:rsidP="00E911ED">
      <w:pPr>
        <w:pStyle w:val="Rejstk1"/>
        <w:tabs>
          <w:tab w:val="right" w:leader="dot" w:pos="4171"/>
        </w:tabs>
        <w:spacing w:line="240" w:lineRule="auto"/>
      </w:pPr>
      <w:r>
        <w:t>Jünger, E.</w:t>
      </w:r>
      <w:r>
        <w:tab/>
        <w:t>573, 824, 946</w:t>
      </w:r>
    </w:p>
    <w:p w:rsidR="00E911ED" w:rsidRDefault="00E911ED" w:rsidP="00E911ED">
      <w:pPr>
        <w:pStyle w:val="Rejstk1"/>
        <w:tabs>
          <w:tab w:val="right" w:leader="dot" w:pos="4171"/>
        </w:tabs>
        <w:spacing w:line="240" w:lineRule="auto"/>
      </w:pPr>
      <w:r>
        <w:t>Kalvín, J.</w:t>
      </w:r>
      <w:r>
        <w:tab/>
        <w:t>567, 821</w:t>
      </w:r>
    </w:p>
    <w:p w:rsidR="00E911ED" w:rsidRDefault="00E911ED" w:rsidP="00E911ED">
      <w:pPr>
        <w:pStyle w:val="Rejstk1"/>
        <w:tabs>
          <w:tab w:val="right" w:leader="dot" w:pos="4171"/>
        </w:tabs>
        <w:spacing w:line="240" w:lineRule="auto"/>
      </w:pPr>
      <w:r>
        <w:t>Kant, I.</w:t>
      </w:r>
      <w:r w:rsidR="00297940">
        <w:t xml:space="preserve">, viz </w:t>
      </w:r>
      <w:r w:rsidR="00297940" w:rsidRPr="00297940">
        <w:rPr>
          <w:i/>
        </w:rPr>
        <w:t>Index locorum</w:t>
      </w:r>
      <w:r>
        <w:tab/>
        <w:t>489, 496, 734, 832, 834</w:t>
      </w:r>
    </w:p>
    <w:p w:rsidR="00E911ED" w:rsidRDefault="00E911ED" w:rsidP="00E911ED">
      <w:pPr>
        <w:pStyle w:val="Rejstk1"/>
        <w:tabs>
          <w:tab w:val="right" w:leader="dot" w:pos="4171"/>
        </w:tabs>
        <w:spacing w:line="240" w:lineRule="auto"/>
      </w:pPr>
      <w:r>
        <w:t>kapitál</w:t>
      </w:r>
      <w:r>
        <w:tab/>
        <w:t>562, 568, 569, 571, 630, 636, 713, 729, 767, 817, 827, 828, 839</w:t>
      </w:r>
    </w:p>
    <w:p w:rsidR="00E911ED" w:rsidRDefault="00E911ED" w:rsidP="00E911ED">
      <w:pPr>
        <w:pStyle w:val="Rejstk1"/>
        <w:tabs>
          <w:tab w:val="right" w:leader="dot" w:pos="4171"/>
        </w:tabs>
        <w:spacing w:line="240" w:lineRule="auto"/>
      </w:pPr>
      <w:r>
        <w:t>kapitalismus</w:t>
      </w:r>
      <w:r>
        <w:tab/>
        <w:t>511, 565, 570, 741</w:t>
      </w:r>
    </w:p>
    <w:p w:rsidR="00E911ED" w:rsidRDefault="00E911ED" w:rsidP="00E911ED">
      <w:pPr>
        <w:pStyle w:val="Rejstk1"/>
        <w:tabs>
          <w:tab w:val="right" w:leader="dot" w:pos="4171"/>
        </w:tabs>
        <w:spacing w:line="240" w:lineRule="auto"/>
      </w:pPr>
      <w:r>
        <w:t>kastrace pravdy</w:t>
      </w:r>
      <w:r>
        <w:tab/>
        <w:t>941</w:t>
      </w:r>
    </w:p>
    <w:p w:rsidR="00E911ED" w:rsidRDefault="00E911ED" w:rsidP="00E911ED">
      <w:pPr>
        <w:pStyle w:val="Rejstk1"/>
        <w:tabs>
          <w:tab w:val="right" w:leader="dot" w:pos="4171"/>
        </w:tabs>
        <w:spacing w:line="240" w:lineRule="auto"/>
      </w:pPr>
      <w:r>
        <w:t>kauzalita</w:t>
      </w:r>
    </w:p>
    <w:p w:rsidR="00E911ED" w:rsidRDefault="00E911ED" w:rsidP="00E911ED">
      <w:pPr>
        <w:pStyle w:val="Rejstk2"/>
        <w:tabs>
          <w:tab w:val="right" w:leader="dot" w:pos="4171"/>
        </w:tabs>
        <w:spacing w:line="240" w:lineRule="auto"/>
      </w:pPr>
      <w:r w:rsidRPr="004B4DFF">
        <w:rPr>
          <w:i/>
        </w:rPr>
        <w:t>causa efficiens</w:t>
      </w:r>
      <w:r>
        <w:tab/>
        <w:t>534</w:t>
      </w:r>
    </w:p>
    <w:p w:rsidR="00E911ED" w:rsidRDefault="00E911ED" w:rsidP="00E911ED">
      <w:pPr>
        <w:pStyle w:val="Rejstk2"/>
        <w:tabs>
          <w:tab w:val="right" w:leader="dot" w:pos="4171"/>
        </w:tabs>
        <w:spacing w:line="240" w:lineRule="auto"/>
      </w:pPr>
      <w:r w:rsidRPr="004B4DFF">
        <w:rPr>
          <w:i/>
        </w:rPr>
        <w:t>causa individuationis</w:t>
      </w:r>
      <w:r>
        <w:tab/>
        <w:t>585</w:t>
      </w:r>
    </w:p>
    <w:p w:rsidR="00E911ED" w:rsidRDefault="00E911ED" w:rsidP="00E911ED">
      <w:pPr>
        <w:pStyle w:val="Rejstk2"/>
        <w:tabs>
          <w:tab w:val="right" w:leader="dot" w:pos="4171"/>
        </w:tabs>
        <w:spacing w:line="240" w:lineRule="auto"/>
      </w:pPr>
      <w:r w:rsidRPr="004B4DFF">
        <w:rPr>
          <w:i/>
        </w:rPr>
        <w:t>causa remota</w:t>
      </w:r>
      <w:r>
        <w:tab/>
        <w:t>723, 734, 737, 740</w:t>
      </w:r>
    </w:p>
    <w:p w:rsidR="00E911ED" w:rsidRDefault="00E911ED" w:rsidP="00E911ED">
      <w:pPr>
        <w:pStyle w:val="Rejstk2"/>
        <w:tabs>
          <w:tab w:val="right" w:leader="dot" w:pos="4171"/>
        </w:tabs>
        <w:spacing w:line="240" w:lineRule="auto"/>
      </w:pPr>
      <w:r>
        <w:t>demiurga</w:t>
      </w:r>
      <w:r>
        <w:tab/>
        <w:t>118</w:t>
      </w:r>
    </w:p>
    <w:p w:rsidR="00E911ED" w:rsidRDefault="00E911ED" w:rsidP="00E911ED">
      <w:pPr>
        <w:pStyle w:val="Rejstk2"/>
        <w:tabs>
          <w:tab w:val="right" w:leader="dot" w:pos="4171"/>
        </w:tabs>
        <w:spacing w:line="240" w:lineRule="auto"/>
      </w:pPr>
      <w:r>
        <w:t>Kant</w:t>
      </w:r>
      <w:r>
        <w:tab/>
        <w:t>832</w:t>
      </w:r>
    </w:p>
    <w:p w:rsidR="00E911ED" w:rsidRDefault="00E911ED" w:rsidP="00E911ED">
      <w:pPr>
        <w:pStyle w:val="Rejstk2"/>
        <w:tabs>
          <w:tab w:val="right" w:leader="dot" w:pos="4171"/>
        </w:tabs>
        <w:spacing w:line="240" w:lineRule="auto"/>
      </w:pPr>
      <w:r>
        <w:t>objektivní</w:t>
      </w:r>
      <w:r>
        <w:tab/>
        <w:t>161</w:t>
      </w:r>
    </w:p>
    <w:p w:rsidR="00E911ED" w:rsidRDefault="00E911ED" w:rsidP="00E911ED">
      <w:pPr>
        <w:pStyle w:val="Rejstk2"/>
        <w:tabs>
          <w:tab w:val="right" w:leader="dot" w:pos="4171"/>
        </w:tabs>
        <w:spacing w:line="240" w:lineRule="auto"/>
      </w:pPr>
      <w:r>
        <w:t>Ockham</w:t>
      </w:r>
      <w:r>
        <w:tab/>
        <w:t>801</w:t>
      </w:r>
    </w:p>
    <w:p w:rsidR="00E911ED" w:rsidRDefault="00E911ED" w:rsidP="00E911ED">
      <w:pPr>
        <w:pStyle w:val="Rejstk2"/>
        <w:tabs>
          <w:tab w:val="right" w:leader="dot" w:pos="4171"/>
        </w:tabs>
        <w:spacing w:line="240" w:lineRule="auto"/>
      </w:pPr>
      <w:r>
        <w:t>vůle</w:t>
      </w:r>
      <w:r>
        <w:tab/>
        <w:t>530</w:t>
      </w:r>
    </w:p>
    <w:p w:rsidR="00E911ED" w:rsidRDefault="00E911ED" w:rsidP="00E911ED">
      <w:pPr>
        <w:pStyle w:val="Rejstk1"/>
        <w:tabs>
          <w:tab w:val="right" w:leader="dot" w:pos="4171"/>
        </w:tabs>
        <w:spacing w:line="240" w:lineRule="auto"/>
      </w:pPr>
      <w:r>
        <w:t>kenoze</w:t>
      </w:r>
      <w:r>
        <w:tab/>
        <w:t>619</w:t>
      </w:r>
    </w:p>
    <w:p w:rsidR="00E911ED" w:rsidRDefault="00E911ED" w:rsidP="00E911ED">
      <w:pPr>
        <w:pStyle w:val="Rejstk1"/>
        <w:tabs>
          <w:tab w:val="right" w:leader="dot" w:pos="4171"/>
        </w:tabs>
        <w:spacing w:line="240" w:lineRule="auto"/>
      </w:pPr>
      <w:r>
        <w:t>Kipling, R.</w:t>
      </w:r>
      <w:r w:rsidR="00297940">
        <w:t xml:space="preserve"> </w:t>
      </w:r>
      <w:r>
        <w:tab/>
        <w:t>18, 842</w:t>
      </w:r>
    </w:p>
    <w:p w:rsidR="00E911ED" w:rsidRDefault="00E911ED" w:rsidP="00E911ED">
      <w:pPr>
        <w:pStyle w:val="Rejstk1"/>
        <w:tabs>
          <w:tab w:val="right" w:leader="dot" w:pos="4171"/>
        </w:tabs>
        <w:spacing w:line="240" w:lineRule="auto"/>
      </w:pPr>
      <w:r>
        <w:t>Knapwell, R.</w:t>
      </w:r>
      <w:r>
        <w:tab/>
        <w:t>386</w:t>
      </w:r>
    </w:p>
    <w:p w:rsidR="00E911ED" w:rsidRDefault="00E911ED" w:rsidP="00E911ED">
      <w:pPr>
        <w:pStyle w:val="Rejstk1"/>
        <w:tabs>
          <w:tab w:val="right" w:leader="dot" w:pos="4171"/>
        </w:tabs>
        <w:spacing w:line="240" w:lineRule="auto"/>
      </w:pPr>
      <w:r>
        <w:t>komitace</w:t>
      </w:r>
      <w:r>
        <w:tab/>
        <w:t>153, 159, 225, 234, 375, 394, 612, 637, 644, 738, 828</w:t>
      </w:r>
    </w:p>
    <w:p w:rsidR="00E911ED" w:rsidRDefault="00E911ED" w:rsidP="00E911ED">
      <w:pPr>
        <w:pStyle w:val="Rejstk1"/>
        <w:tabs>
          <w:tab w:val="right" w:leader="dot" w:pos="4171"/>
        </w:tabs>
        <w:spacing w:line="240" w:lineRule="auto"/>
      </w:pPr>
      <w:r>
        <w:t>koncil</w:t>
      </w:r>
    </w:p>
    <w:p w:rsidR="00E911ED" w:rsidRDefault="00E911ED" w:rsidP="00E911ED">
      <w:pPr>
        <w:pStyle w:val="Rejstk2"/>
        <w:tabs>
          <w:tab w:val="right" w:leader="dot" w:pos="4171"/>
        </w:tabs>
        <w:spacing w:line="240" w:lineRule="auto"/>
      </w:pPr>
      <w:r>
        <w:t>Vatikán II</w:t>
      </w:r>
      <w:r>
        <w:tab/>
        <w:t>479</w:t>
      </w:r>
    </w:p>
    <w:p w:rsidR="00E911ED" w:rsidRDefault="00E911ED" w:rsidP="00E911ED">
      <w:pPr>
        <w:pStyle w:val="Rejstk2"/>
        <w:tabs>
          <w:tab w:val="right" w:leader="dot" w:pos="4171"/>
        </w:tabs>
        <w:spacing w:line="240" w:lineRule="auto"/>
      </w:pPr>
      <w:r>
        <w:t>Vienne</w:t>
      </w:r>
      <w:r>
        <w:tab/>
      </w:r>
      <w:r w:rsidR="00161CCA">
        <w:t xml:space="preserve">816, </w:t>
      </w:r>
      <w:r>
        <w:t>849</w:t>
      </w:r>
    </w:p>
    <w:p w:rsidR="00E911ED" w:rsidRDefault="00E911ED" w:rsidP="00E911ED">
      <w:pPr>
        <w:pStyle w:val="Rejstk1"/>
        <w:tabs>
          <w:tab w:val="right" w:leader="dot" w:pos="4171"/>
        </w:tabs>
        <w:spacing w:line="240" w:lineRule="auto"/>
      </w:pPr>
      <w:r>
        <w:t>konciliarismus</w:t>
      </w:r>
      <w:r>
        <w:tab/>
        <w:t>929, 930, 932</w:t>
      </w:r>
    </w:p>
    <w:p w:rsidR="00E911ED" w:rsidRDefault="00E911ED" w:rsidP="00E911ED">
      <w:pPr>
        <w:pStyle w:val="Rejstk1"/>
        <w:tabs>
          <w:tab w:val="right" w:leader="dot" w:pos="4171"/>
        </w:tabs>
        <w:spacing w:line="240" w:lineRule="auto"/>
      </w:pPr>
      <w:r>
        <w:t>Korán</w:t>
      </w:r>
      <w:r>
        <w:tab/>
        <w:t>57, 561</w:t>
      </w:r>
    </w:p>
    <w:p w:rsidR="00E911ED" w:rsidRDefault="00E911ED" w:rsidP="00E911ED">
      <w:pPr>
        <w:pStyle w:val="Rejstk1"/>
        <w:tabs>
          <w:tab w:val="right" w:leader="dot" w:pos="4171"/>
        </w:tabs>
        <w:spacing w:line="240" w:lineRule="auto"/>
      </w:pPr>
      <w:r>
        <w:t>Koyré, A.</w:t>
      </w:r>
      <w:r>
        <w:tab/>
        <w:t>44</w:t>
      </w:r>
    </w:p>
    <w:p w:rsidR="00E911ED" w:rsidRDefault="00E911ED" w:rsidP="00E911ED">
      <w:pPr>
        <w:pStyle w:val="Rejstk1"/>
        <w:tabs>
          <w:tab w:val="right" w:leader="dot" w:pos="4171"/>
        </w:tabs>
        <w:spacing w:line="240" w:lineRule="auto"/>
      </w:pPr>
      <w:r>
        <w:t>křížové výpravy</w:t>
      </w:r>
      <w:r>
        <w:tab/>
        <w:t>93, 103, 639</w:t>
      </w:r>
    </w:p>
    <w:p w:rsidR="00E911ED" w:rsidRDefault="00E911ED" w:rsidP="00E911ED">
      <w:pPr>
        <w:pStyle w:val="Rejstk1"/>
        <w:tabs>
          <w:tab w:val="right" w:leader="dot" w:pos="4171"/>
        </w:tabs>
        <w:spacing w:line="240" w:lineRule="auto"/>
      </w:pPr>
      <w:r>
        <w:t>kulturní hegemonie</w:t>
      </w:r>
      <w:r>
        <w:tab/>
        <w:t>488, 560, 609, 668, 729, 763, 867</w:t>
      </w:r>
    </w:p>
    <w:p w:rsidR="00E5505A" w:rsidRPr="00F43866" w:rsidRDefault="00E5505A" w:rsidP="00E5505A">
      <w:pPr>
        <w:pStyle w:val="Hlavikarejstku"/>
        <w:keepNext/>
        <w:tabs>
          <w:tab w:val="right" w:leader="dot" w:pos="4171"/>
        </w:tabs>
        <w:spacing w:line="240" w:lineRule="auto"/>
        <w:rPr>
          <w:rFonts w:eastAsia="Times New Roman"/>
          <w:b w:val="0"/>
          <w:bCs w:val="0"/>
          <w:lang w:val="de-LU"/>
        </w:rPr>
      </w:pPr>
      <w:r>
        <w:rPr>
          <w:lang w:val="de-LU"/>
        </w:rPr>
        <w:t>L</w:t>
      </w:r>
    </w:p>
    <w:p w:rsidR="00E5505A" w:rsidRDefault="00E5505A" w:rsidP="00E911ED">
      <w:pPr>
        <w:pStyle w:val="Rejstk1"/>
        <w:tabs>
          <w:tab w:val="right" w:leader="dot" w:pos="4171"/>
        </w:tabs>
        <w:spacing w:line="240" w:lineRule="auto"/>
      </w:pPr>
    </w:p>
    <w:p w:rsidR="00E911ED" w:rsidRDefault="00E911ED" w:rsidP="00E911ED">
      <w:pPr>
        <w:pStyle w:val="Rejstk1"/>
        <w:tabs>
          <w:tab w:val="right" w:leader="dot" w:pos="4171"/>
        </w:tabs>
        <w:spacing w:line="240" w:lineRule="auto"/>
      </w:pPr>
      <w:r>
        <w:t>La Rochelle</w:t>
      </w:r>
      <w:r w:rsidR="00161CCA">
        <w:t xml:space="preserve">, viz </w:t>
      </w:r>
      <w:r w:rsidR="00161CCA" w:rsidRPr="00161CCA">
        <w:rPr>
          <w:i/>
        </w:rPr>
        <w:t>Index locorum</w:t>
      </w:r>
    </w:p>
    <w:p w:rsidR="00E911ED" w:rsidRDefault="00E911ED" w:rsidP="00E911ED">
      <w:pPr>
        <w:pStyle w:val="Rejstk1"/>
        <w:tabs>
          <w:tab w:val="right" w:leader="dot" w:pos="4171"/>
        </w:tabs>
        <w:spacing w:line="240" w:lineRule="auto"/>
      </w:pPr>
      <w:r>
        <w:t>Latini, B.</w:t>
      </w:r>
      <w:r w:rsidR="00532A2C">
        <w:t>, viz</w:t>
      </w:r>
      <w:r w:rsidR="00532A2C" w:rsidRPr="00532A2C">
        <w:rPr>
          <w:i/>
        </w:rPr>
        <w:t xml:space="preserve"> Index locorum</w:t>
      </w:r>
      <w:r>
        <w:tab/>
        <w:t>885, 903</w:t>
      </w:r>
    </w:p>
    <w:p w:rsidR="00532A2C" w:rsidRDefault="00E911ED" w:rsidP="00E911ED">
      <w:pPr>
        <w:pStyle w:val="Rejstk1"/>
        <w:tabs>
          <w:tab w:val="right" w:leader="dot" w:pos="4171"/>
        </w:tabs>
        <w:spacing w:line="240" w:lineRule="auto"/>
        <w:rPr>
          <w:i/>
        </w:rPr>
      </w:pPr>
      <w:r w:rsidRPr="004B4DFF">
        <w:rPr>
          <w:i/>
        </w:rPr>
        <w:t xml:space="preserve">Lectura in Ethicam novam </w:t>
      </w:r>
      <w:r w:rsidRPr="004B4DFF">
        <w:rPr>
          <w:rFonts w:eastAsia="TeXGyreTermes-Regular"/>
          <w:i/>
        </w:rPr>
        <w:t xml:space="preserve">du </w:t>
      </w:r>
      <w:r w:rsidRPr="004B4DFF">
        <w:rPr>
          <w:i/>
        </w:rPr>
        <w:t>Commentaire de Paris</w:t>
      </w:r>
      <w:r w:rsidR="00532A2C">
        <w:t xml:space="preserve">, viz </w:t>
      </w:r>
      <w:r w:rsidR="00532A2C" w:rsidRPr="00532A2C">
        <w:rPr>
          <w:i/>
        </w:rPr>
        <w:t>Index locorum</w:t>
      </w:r>
    </w:p>
    <w:p w:rsidR="00E911ED" w:rsidRDefault="00E911ED" w:rsidP="00E911ED">
      <w:pPr>
        <w:pStyle w:val="Rejstk1"/>
        <w:tabs>
          <w:tab w:val="right" w:leader="dot" w:pos="4171"/>
        </w:tabs>
        <w:spacing w:line="240" w:lineRule="auto"/>
      </w:pPr>
      <w:r>
        <w:t>Lefort, C.</w:t>
      </w:r>
      <w:r>
        <w:tab/>
        <w:t>895</w:t>
      </w:r>
    </w:p>
    <w:p w:rsidR="00E911ED" w:rsidRDefault="00E911ED" w:rsidP="00E911ED">
      <w:pPr>
        <w:pStyle w:val="Rejstk1"/>
        <w:tabs>
          <w:tab w:val="right" w:leader="dot" w:pos="4171"/>
        </w:tabs>
        <w:spacing w:line="240" w:lineRule="auto"/>
      </w:pPr>
      <w:r>
        <w:t>Leibniz, G. W.</w:t>
      </w:r>
      <w:r w:rsidR="00532A2C">
        <w:t xml:space="preserve">, viz </w:t>
      </w:r>
      <w:r w:rsidR="00532A2C" w:rsidRPr="00532A2C">
        <w:rPr>
          <w:i/>
        </w:rPr>
        <w:t>Index locorum</w:t>
      </w:r>
      <w:r>
        <w:tab/>
        <w:t xml:space="preserve">123, 151, 496, 624, 633, </w:t>
      </w:r>
      <w:r w:rsidR="00532A2C">
        <w:t xml:space="preserve">715, </w:t>
      </w:r>
      <w:r>
        <w:t>734, 741, 767, 832</w:t>
      </w:r>
    </w:p>
    <w:p w:rsidR="00E911ED" w:rsidRDefault="00E911ED" w:rsidP="00E911ED">
      <w:pPr>
        <w:pStyle w:val="Rejstk1"/>
        <w:tabs>
          <w:tab w:val="right" w:leader="dot" w:pos="4171"/>
        </w:tabs>
        <w:spacing w:line="240" w:lineRule="auto"/>
      </w:pPr>
      <w:r>
        <w:t>Lenin, V. I.</w:t>
      </w:r>
      <w:r>
        <w:tab/>
        <w:t>741, 940</w:t>
      </w:r>
    </w:p>
    <w:p w:rsidR="00E911ED" w:rsidRDefault="00E911ED" w:rsidP="00E911ED">
      <w:pPr>
        <w:pStyle w:val="Rejstk1"/>
        <w:tabs>
          <w:tab w:val="right" w:leader="dot" w:pos="4171"/>
        </w:tabs>
        <w:spacing w:line="240" w:lineRule="auto"/>
      </w:pPr>
      <w:r>
        <w:t>létající muž</w:t>
      </w:r>
      <w:r>
        <w:tab/>
        <w:t>80, 89, 143, 186, 230, 269, 294, 334, 419, 457, 540, 602, 785, 814</w:t>
      </w:r>
    </w:p>
    <w:p w:rsidR="00E911ED" w:rsidRDefault="00E911ED" w:rsidP="00E911ED">
      <w:pPr>
        <w:pStyle w:val="Rejstk1"/>
        <w:tabs>
          <w:tab w:val="right" w:leader="dot" w:pos="4171"/>
        </w:tabs>
        <w:spacing w:line="240" w:lineRule="auto"/>
      </w:pPr>
      <w:r>
        <w:t>Lévinas, E.</w:t>
      </w:r>
      <w:r w:rsidR="00532A2C">
        <w:t xml:space="preserve"> </w:t>
      </w:r>
      <w:r>
        <w:tab/>
        <w:t>99, 363</w:t>
      </w:r>
    </w:p>
    <w:p w:rsidR="00E911ED" w:rsidRDefault="00E911ED" w:rsidP="00E911ED">
      <w:pPr>
        <w:pStyle w:val="Rejstk1"/>
        <w:tabs>
          <w:tab w:val="right" w:leader="dot" w:pos="4171"/>
        </w:tabs>
        <w:spacing w:line="240" w:lineRule="auto"/>
      </w:pPr>
      <w:r>
        <w:t>Lévi-Strauss, C.</w:t>
      </w:r>
      <w:r>
        <w:tab/>
        <w:t>520</w:t>
      </w:r>
    </w:p>
    <w:p w:rsidR="00E911ED" w:rsidRDefault="00E911ED" w:rsidP="00E911ED">
      <w:pPr>
        <w:pStyle w:val="Rejstk1"/>
        <w:tabs>
          <w:tab w:val="right" w:leader="dot" w:pos="4171"/>
        </w:tabs>
        <w:spacing w:line="240" w:lineRule="auto"/>
      </w:pPr>
      <w:r w:rsidRPr="004B4DFF">
        <w:rPr>
          <w:i/>
        </w:rPr>
        <w:t>Liber de causis</w:t>
      </w:r>
      <w:r w:rsidR="00532A2C">
        <w:rPr>
          <w:i/>
        </w:rPr>
        <w:t xml:space="preserve">, </w:t>
      </w:r>
      <w:r w:rsidR="00532A2C" w:rsidRPr="00532A2C">
        <w:t>viz</w:t>
      </w:r>
      <w:r w:rsidR="00532A2C">
        <w:rPr>
          <w:i/>
        </w:rPr>
        <w:t xml:space="preserve"> Index locorum</w:t>
      </w:r>
      <w:r>
        <w:tab/>
        <w:t>32, 51, 87, 153, 198, 484, 517, 583, 593, 596, 619, 667, 720, 739, 865</w:t>
      </w:r>
    </w:p>
    <w:p w:rsidR="00E911ED" w:rsidRDefault="00E911ED" w:rsidP="00E911ED">
      <w:pPr>
        <w:pStyle w:val="Rejstk1"/>
        <w:tabs>
          <w:tab w:val="right" w:leader="dot" w:pos="4171"/>
        </w:tabs>
        <w:spacing w:line="240" w:lineRule="auto"/>
      </w:pPr>
      <w:r>
        <w:t>Libera, A.</w:t>
      </w:r>
      <w:r>
        <w:tab/>
        <w:t>240, 882</w:t>
      </w:r>
    </w:p>
    <w:p w:rsidR="00E911ED" w:rsidRDefault="00E911ED" w:rsidP="00E911ED">
      <w:pPr>
        <w:pStyle w:val="Rejstk1"/>
        <w:tabs>
          <w:tab w:val="right" w:leader="dot" w:pos="4171"/>
        </w:tabs>
        <w:spacing w:line="240" w:lineRule="auto"/>
      </w:pPr>
      <w:r>
        <w:t>liberalismus</w:t>
      </w:r>
      <w:r>
        <w:tab/>
        <w:t>504, 906</w:t>
      </w:r>
    </w:p>
    <w:p w:rsidR="00E911ED" w:rsidRDefault="00E911ED" w:rsidP="00E911ED">
      <w:pPr>
        <w:pStyle w:val="Rejstk1"/>
        <w:tabs>
          <w:tab w:val="right" w:leader="dot" w:pos="4171"/>
        </w:tabs>
        <w:spacing w:line="240" w:lineRule="auto"/>
      </w:pPr>
      <w:r>
        <w:t>lidská práva</w:t>
      </w:r>
      <w:r>
        <w:tab/>
        <w:t>504</w:t>
      </w:r>
    </w:p>
    <w:p w:rsidR="00E911ED" w:rsidRDefault="00E911ED" w:rsidP="00E911ED">
      <w:pPr>
        <w:pStyle w:val="Rejstk1"/>
        <w:tabs>
          <w:tab w:val="right" w:leader="dot" w:pos="4171"/>
        </w:tabs>
        <w:spacing w:line="240" w:lineRule="auto"/>
      </w:pPr>
      <w:r>
        <w:t>lidské zoologické zahrady</w:t>
      </w:r>
      <w:r>
        <w:tab/>
        <w:t>521, 840</w:t>
      </w:r>
    </w:p>
    <w:p w:rsidR="00E911ED" w:rsidRDefault="00E911ED" w:rsidP="00E911ED">
      <w:pPr>
        <w:pStyle w:val="Rejstk1"/>
        <w:tabs>
          <w:tab w:val="right" w:leader="dot" w:pos="4171"/>
        </w:tabs>
        <w:spacing w:line="240" w:lineRule="auto"/>
      </w:pPr>
      <w:r w:rsidRPr="004B4DFF">
        <w:rPr>
          <w:i/>
        </w:rPr>
        <w:t>Lichtung</w:t>
      </w:r>
      <w:r>
        <w:tab/>
        <w:t>15, 35, 544</w:t>
      </w:r>
    </w:p>
    <w:p w:rsidR="00E911ED" w:rsidRDefault="00E911ED" w:rsidP="00E911ED">
      <w:pPr>
        <w:pStyle w:val="Rejstk2"/>
        <w:tabs>
          <w:tab w:val="right" w:leader="dot" w:pos="4171"/>
        </w:tabs>
        <w:spacing w:line="240" w:lineRule="auto"/>
      </w:pPr>
      <w:r w:rsidRPr="004B4DFF">
        <w:rPr>
          <w:i/>
        </w:rPr>
        <w:t>intellectus practicus</w:t>
      </w:r>
      <w:r>
        <w:tab/>
        <w:t>854</w:t>
      </w:r>
    </w:p>
    <w:p w:rsidR="00E911ED" w:rsidRDefault="00E911ED" w:rsidP="00E911ED">
      <w:pPr>
        <w:pStyle w:val="Rejstk2"/>
        <w:tabs>
          <w:tab w:val="right" w:leader="dot" w:pos="4171"/>
        </w:tabs>
        <w:spacing w:line="240" w:lineRule="auto"/>
      </w:pPr>
      <w:r>
        <w:t>kapitalismus</w:t>
      </w:r>
      <w:r>
        <w:tab/>
        <w:t>116, 571</w:t>
      </w:r>
    </w:p>
    <w:p w:rsidR="00E911ED" w:rsidRDefault="00E911ED" w:rsidP="00E911ED">
      <w:pPr>
        <w:pStyle w:val="Rejstk2"/>
        <w:tabs>
          <w:tab w:val="right" w:leader="dot" w:pos="4171"/>
        </w:tabs>
        <w:spacing w:line="240" w:lineRule="auto"/>
      </w:pPr>
      <w:r>
        <w:t>metafyzika</w:t>
      </w:r>
      <w:r>
        <w:tab/>
        <w:t>1</w:t>
      </w:r>
    </w:p>
    <w:p w:rsidR="00E911ED" w:rsidRDefault="00E911ED" w:rsidP="00E911ED">
      <w:pPr>
        <w:pStyle w:val="Rejstk2"/>
        <w:tabs>
          <w:tab w:val="right" w:leader="dot" w:pos="4171"/>
        </w:tabs>
        <w:spacing w:line="240" w:lineRule="auto"/>
      </w:pPr>
      <w:r>
        <w:t>moderní bůh</w:t>
      </w:r>
      <w:r>
        <w:tab/>
        <w:t>611</w:t>
      </w:r>
    </w:p>
    <w:p w:rsidR="00E911ED" w:rsidRDefault="00E911ED" w:rsidP="00E911ED">
      <w:pPr>
        <w:pStyle w:val="Rejstk2"/>
        <w:tabs>
          <w:tab w:val="right" w:leader="dot" w:pos="4171"/>
        </w:tabs>
        <w:spacing w:line="240" w:lineRule="auto"/>
      </w:pPr>
      <w:r>
        <w:t>moderní metafyzika</w:t>
      </w:r>
      <w:r>
        <w:tab/>
        <w:t>708</w:t>
      </w:r>
    </w:p>
    <w:p w:rsidR="00E911ED" w:rsidRDefault="00E911ED" w:rsidP="00E911ED">
      <w:pPr>
        <w:pStyle w:val="Rejstk2"/>
        <w:tabs>
          <w:tab w:val="right" w:leader="dot" w:pos="4171"/>
        </w:tabs>
        <w:spacing w:line="240" w:lineRule="auto"/>
      </w:pPr>
      <w:r>
        <w:t>Olivi</w:t>
      </w:r>
      <w:r>
        <w:tab/>
        <w:t>534</w:t>
      </w:r>
    </w:p>
    <w:p w:rsidR="00E911ED" w:rsidRDefault="00E911ED" w:rsidP="00E911ED">
      <w:pPr>
        <w:pStyle w:val="Rejstk2"/>
        <w:tabs>
          <w:tab w:val="right" w:leader="dot" w:pos="4171"/>
        </w:tabs>
        <w:spacing w:line="240" w:lineRule="auto"/>
      </w:pPr>
      <w:r>
        <w:t>osvícenství</w:t>
      </w:r>
      <w:r>
        <w:tab/>
        <w:t>557</w:t>
      </w:r>
    </w:p>
    <w:p w:rsidR="00E911ED" w:rsidRDefault="00E911ED" w:rsidP="00E911ED">
      <w:pPr>
        <w:pStyle w:val="Rejstk2"/>
        <w:tabs>
          <w:tab w:val="right" w:leader="dot" w:pos="4171"/>
        </w:tabs>
        <w:spacing w:line="240" w:lineRule="auto"/>
      </w:pPr>
      <w:r>
        <w:t>Siger/Akvinský</w:t>
      </w:r>
      <w:r>
        <w:tab/>
        <w:t>417</w:t>
      </w:r>
    </w:p>
    <w:p w:rsidR="00E911ED" w:rsidRDefault="00E911ED" w:rsidP="00E911ED">
      <w:pPr>
        <w:pStyle w:val="Rejstk2"/>
        <w:tabs>
          <w:tab w:val="right" w:leader="dot" w:pos="4171"/>
        </w:tabs>
        <w:spacing w:line="240" w:lineRule="auto"/>
      </w:pPr>
      <w:r>
        <w:t>tomismus</w:t>
      </w:r>
      <w:r>
        <w:tab/>
        <w:t>420</w:t>
      </w:r>
    </w:p>
    <w:p w:rsidR="00E911ED" w:rsidRDefault="00E911ED" w:rsidP="00E911ED">
      <w:pPr>
        <w:pStyle w:val="Rejstk1"/>
        <w:tabs>
          <w:tab w:val="right" w:leader="dot" w:pos="4171"/>
        </w:tabs>
        <w:spacing w:line="240" w:lineRule="auto"/>
      </w:pPr>
      <w:r>
        <w:t>Locke, J.</w:t>
      </w:r>
      <w:r w:rsidR="00532A2C">
        <w:t xml:space="preserve">, viz </w:t>
      </w:r>
      <w:r w:rsidR="00532A2C" w:rsidRPr="00532A2C">
        <w:rPr>
          <w:i/>
        </w:rPr>
        <w:t>Index locorum</w:t>
      </w:r>
      <w:r>
        <w:tab/>
        <w:t>140, 363, 518, 760</w:t>
      </w:r>
    </w:p>
    <w:p w:rsidR="00E911ED" w:rsidRDefault="00E911ED" w:rsidP="00E911ED">
      <w:pPr>
        <w:pStyle w:val="Rejstk1"/>
        <w:tabs>
          <w:tab w:val="right" w:leader="dot" w:pos="4171"/>
        </w:tabs>
        <w:spacing w:line="240" w:lineRule="auto"/>
      </w:pPr>
      <w:r w:rsidRPr="004B4DFF">
        <w:rPr>
          <w:i/>
        </w:rPr>
        <w:t>locus specierum</w:t>
      </w:r>
      <w:r>
        <w:tab/>
        <w:t>118, 138, 298, 512, 514, 517, 518, 576, 597, 607, 611, 616, 683, 688, 733, 760, 779, 785, 817</w:t>
      </w:r>
    </w:p>
    <w:p w:rsidR="00E911ED" w:rsidRDefault="00E911ED" w:rsidP="00E911ED">
      <w:pPr>
        <w:pStyle w:val="Rejstk1"/>
        <w:tabs>
          <w:tab w:val="right" w:leader="dot" w:pos="4171"/>
        </w:tabs>
        <w:spacing w:line="240" w:lineRule="auto"/>
      </w:pPr>
      <w:r w:rsidRPr="004B4DFF">
        <w:rPr>
          <w:i/>
        </w:rPr>
        <w:t>logica Modernorum</w:t>
      </w:r>
      <w:r>
        <w:tab/>
        <w:t>714, 809</w:t>
      </w:r>
    </w:p>
    <w:p w:rsidR="00E911ED" w:rsidRDefault="00E911ED" w:rsidP="00E911ED">
      <w:pPr>
        <w:pStyle w:val="Rejstk1"/>
        <w:tabs>
          <w:tab w:val="right" w:leader="dot" w:pos="4171"/>
        </w:tabs>
        <w:spacing w:line="240" w:lineRule="auto"/>
      </w:pPr>
      <w:r w:rsidRPr="004B4DFF">
        <w:rPr>
          <w:i/>
        </w:rPr>
        <w:t>Logica Modernorum II</w:t>
      </w:r>
      <w:r w:rsidR="00532A2C">
        <w:rPr>
          <w:i/>
        </w:rPr>
        <w:t xml:space="preserve">, </w:t>
      </w:r>
      <w:r w:rsidR="00532A2C">
        <w:t xml:space="preserve">, viz </w:t>
      </w:r>
      <w:r w:rsidR="00532A2C" w:rsidRPr="00532A2C">
        <w:rPr>
          <w:i/>
        </w:rPr>
        <w:t>Index locorum</w:t>
      </w:r>
    </w:p>
    <w:p w:rsidR="00E911ED" w:rsidRDefault="00E911ED" w:rsidP="00E911ED">
      <w:pPr>
        <w:pStyle w:val="Rejstk1"/>
        <w:tabs>
          <w:tab w:val="right" w:leader="dot" w:pos="4171"/>
        </w:tabs>
        <w:spacing w:line="240" w:lineRule="auto"/>
      </w:pPr>
      <w:r w:rsidRPr="004B4DFF">
        <w:rPr>
          <w:i/>
        </w:rPr>
        <w:t>logica Vetus</w:t>
      </w:r>
      <w:r>
        <w:tab/>
        <w:t>653, 655</w:t>
      </w:r>
    </w:p>
    <w:p w:rsidR="00E911ED" w:rsidRDefault="00E911ED" w:rsidP="00E911ED">
      <w:pPr>
        <w:pStyle w:val="Rejstk1"/>
        <w:tabs>
          <w:tab w:val="right" w:leader="dot" w:pos="4171"/>
        </w:tabs>
        <w:spacing w:line="240" w:lineRule="auto"/>
      </w:pPr>
      <w:r>
        <w:t>logocentrismus</w:t>
      </w:r>
      <w:r>
        <w:tab/>
        <w:t>687</w:t>
      </w:r>
    </w:p>
    <w:p w:rsidR="00E911ED" w:rsidRDefault="00E911ED" w:rsidP="00E911ED">
      <w:pPr>
        <w:pStyle w:val="Rejstk1"/>
        <w:tabs>
          <w:tab w:val="right" w:leader="dot" w:pos="4171"/>
        </w:tabs>
        <w:spacing w:line="240" w:lineRule="auto"/>
      </w:pPr>
      <w:r>
        <w:t>Lorhard, J.</w:t>
      </w:r>
      <w:r>
        <w:tab/>
        <w:t>113</w:t>
      </w:r>
    </w:p>
    <w:p w:rsidR="00E911ED" w:rsidRDefault="00E911ED" w:rsidP="00E911ED">
      <w:pPr>
        <w:pStyle w:val="Rejstk1"/>
        <w:tabs>
          <w:tab w:val="right" w:leader="dot" w:pos="4171"/>
        </w:tabs>
        <w:spacing w:line="240" w:lineRule="auto"/>
      </w:pPr>
      <w:r>
        <w:t>Lubac, H.</w:t>
      </w:r>
      <w:r>
        <w:tab/>
        <w:t>112, 595</w:t>
      </w:r>
    </w:p>
    <w:p w:rsidR="00E911ED" w:rsidRDefault="00E911ED" w:rsidP="00E911ED">
      <w:pPr>
        <w:pStyle w:val="Rejstk1"/>
        <w:tabs>
          <w:tab w:val="right" w:leader="dot" w:pos="4171"/>
        </w:tabs>
        <w:spacing w:line="240" w:lineRule="auto"/>
      </w:pPr>
      <w:r w:rsidRPr="004B4DFF">
        <w:rPr>
          <w:iCs/>
        </w:rPr>
        <w:t>Luther, M.</w:t>
      </w:r>
      <w:r>
        <w:tab/>
        <w:t>511, 567, 568, 820, 823</w:t>
      </w:r>
    </w:p>
    <w:p w:rsidR="00AF015E" w:rsidRPr="00F43866" w:rsidRDefault="00AF015E" w:rsidP="00AF015E">
      <w:pPr>
        <w:pStyle w:val="Hlavikarejstku"/>
        <w:keepNext/>
        <w:tabs>
          <w:tab w:val="right" w:leader="dot" w:pos="4171"/>
        </w:tabs>
        <w:spacing w:line="240" w:lineRule="auto"/>
        <w:rPr>
          <w:rFonts w:eastAsia="Times New Roman"/>
          <w:b w:val="0"/>
          <w:bCs w:val="0"/>
          <w:lang w:val="de-LU"/>
        </w:rPr>
      </w:pPr>
      <w:r>
        <w:rPr>
          <w:lang w:val="de-LU"/>
        </w:rPr>
        <w:t>M</w:t>
      </w:r>
      <w:r w:rsidR="00F57279">
        <w:rPr>
          <w:lang w:val="de-LU"/>
        </w:rPr>
        <w:t>, N</w:t>
      </w:r>
    </w:p>
    <w:p w:rsidR="00E911ED" w:rsidRDefault="00E911ED" w:rsidP="00E911ED">
      <w:pPr>
        <w:pStyle w:val="Rejstk1"/>
        <w:tabs>
          <w:tab w:val="right" w:leader="dot" w:pos="4171"/>
        </w:tabs>
        <w:spacing w:line="240" w:lineRule="auto"/>
      </w:pPr>
      <w:r>
        <w:t>Machiavelli, N.</w:t>
      </w:r>
      <w:r>
        <w:tab/>
        <w:t>923</w:t>
      </w:r>
    </w:p>
    <w:p w:rsidR="00E911ED" w:rsidRDefault="00E911ED" w:rsidP="00E911ED">
      <w:pPr>
        <w:pStyle w:val="Rejstk1"/>
        <w:tabs>
          <w:tab w:val="right" w:leader="dot" w:pos="4171"/>
        </w:tabs>
        <w:spacing w:line="240" w:lineRule="auto"/>
      </w:pPr>
      <w:r w:rsidRPr="004B4DFF">
        <w:rPr>
          <w:i/>
        </w:rPr>
        <w:t>maîtres du soupçon</w:t>
      </w:r>
      <w:r>
        <w:tab/>
        <w:t>838</w:t>
      </w:r>
    </w:p>
    <w:p w:rsidR="00E911ED" w:rsidRDefault="00E911ED" w:rsidP="00E911ED">
      <w:pPr>
        <w:pStyle w:val="Rejstk1"/>
        <w:tabs>
          <w:tab w:val="right" w:leader="dot" w:pos="4171"/>
        </w:tabs>
        <w:spacing w:line="240" w:lineRule="auto"/>
      </w:pPr>
      <w:r>
        <w:t>Mallet-Joris, F.</w:t>
      </w:r>
      <w:r>
        <w:tab/>
        <w:t>843</w:t>
      </w:r>
    </w:p>
    <w:p w:rsidR="00E911ED" w:rsidRDefault="00E911ED" w:rsidP="00E911ED">
      <w:pPr>
        <w:pStyle w:val="Rejstk1"/>
        <w:tabs>
          <w:tab w:val="right" w:leader="dot" w:pos="4171"/>
        </w:tabs>
        <w:spacing w:line="240" w:lineRule="auto"/>
      </w:pPr>
      <w:r w:rsidRPr="004B4DFF">
        <w:rPr>
          <w:i/>
          <w:iCs/>
        </w:rPr>
        <w:t>Malleus maleficarum</w:t>
      </w:r>
      <w:r>
        <w:tab/>
        <w:t>844</w:t>
      </w:r>
    </w:p>
    <w:p w:rsidR="00E911ED" w:rsidRDefault="00E911ED" w:rsidP="00E911ED">
      <w:pPr>
        <w:pStyle w:val="Rejstk1"/>
        <w:tabs>
          <w:tab w:val="right" w:leader="dot" w:pos="4171"/>
        </w:tabs>
        <w:spacing w:line="240" w:lineRule="auto"/>
      </w:pPr>
      <w:r>
        <w:t>Mandrou, R.</w:t>
      </w:r>
      <w:r>
        <w:tab/>
        <w:t>843</w:t>
      </w:r>
    </w:p>
    <w:p w:rsidR="00E911ED" w:rsidRDefault="00E911ED" w:rsidP="00E911ED">
      <w:pPr>
        <w:pStyle w:val="Rejstk1"/>
        <w:tabs>
          <w:tab w:val="right" w:leader="dot" w:pos="4171"/>
        </w:tabs>
        <w:spacing w:line="240" w:lineRule="auto"/>
      </w:pPr>
      <w:r>
        <w:t>Mannheim, K.</w:t>
      </w:r>
      <w:r>
        <w:tab/>
        <w:t>488</w:t>
      </w:r>
    </w:p>
    <w:p w:rsidR="00E911ED" w:rsidRDefault="00E911ED" w:rsidP="00E911ED">
      <w:pPr>
        <w:pStyle w:val="Rejstk1"/>
        <w:tabs>
          <w:tab w:val="right" w:leader="dot" w:pos="4171"/>
        </w:tabs>
        <w:spacing w:line="240" w:lineRule="auto"/>
      </w:pPr>
      <w:r>
        <w:t>Marsilius z Padovy</w:t>
      </w:r>
      <w:r>
        <w:tab/>
        <w:t>503, 853, 929, 930</w:t>
      </w:r>
    </w:p>
    <w:p w:rsidR="00E911ED" w:rsidRDefault="00E911ED" w:rsidP="00E911ED">
      <w:pPr>
        <w:pStyle w:val="Rejstk1"/>
        <w:tabs>
          <w:tab w:val="right" w:leader="dot" w:pos="4171"/>
        </w:tabs>
        <w:spacing w:line="240" w:lineRule="auto"/>
      </w:pPr>
      <w:r>
        <w:t>Marston, R.</w:t>
      </w:r>
      <w:r>
        <w:tab/>
        <w:t>387</w:t>
      </w:r>
    </w:p>
    <w:p w:rsidR="00E911ED" w:rsidRDefault="00E911ED" w:rsidP="00E911ED">
      <w:pPr>
        <w:pStyle w:val="Rejstk1"/>
        <w:tabs>
          <w:tab w:val="right" w:leader="dot" w:pos="4171"/>
        </w:tabs>
        <w:spacing w:line="240" w:lineRule="auto"/>
      </w:pPr>
      <w:r>
        <w:t>Marx, K.</w:t>
      </w:r>
      <w:r w:rsidR="006A29D7">
        <w:t xml:space="preserve">, viz </w:t>
      </w:r>
      <w:r w:rsidR="006A29D7" w:rsidRPr="006A29D7">
        <w:rPr>
          <w:i/>
        </w:rPr>
        <w:t>Index locorum</w:t>
      </w:r>
      <w:r>
        <w:tab/>
        <w:t>125, 126, 491, 501, 569, 610, 875, 919, 922</w:t>
      </w:r>
    </w:p>
    <w:p w:rsidR="00E911ED" w:rsidRDefault="00E911ED" w:rsidP="00E911ED">
      <w:pPr>
        <w:pStyle w:val="Rejstk1"/>
        <w:tabs>
          <w:tab w:val="right" w:leader="dot" w:pos="4171"/>
        </w:tabs>
        <w:spacing w:line="240" w:lineRule="auto"/>
      </w:pPr>
      <w:r>
        <w:t>matematika</w:t>
      </w:r>
      <w:r>
        <w:tab/>
        <w:t>105, 123, 151, 170, 585, 592, 635, 728</w:t>
      </w:r>
    </w:p>
    <w:p w:rsidR="00E911ED" w:rsidRDefault="00E911ED" w:rsidP="00E911ED">
      <w:pPr>
        <w:pStyle w:val="Rejstk1"/>
        <w:tabs>
          <w:tab w:val="right" w:leader="dot" w:pos="4171"/>
        </w:tabs>
        <w:spacing w:line="240" w:lineRule="auto"/>
      </w:pPr>
      <w:r>
        <w:t>materie</w:t>
      </w:r>
    </w:p>
    <w:p w:rsidR="00E911ED" w:rsidRDefault="00E911ED" w:rsidP="00E911ED">
      <w:pPr>
        <w:pStyle w:val="Rejstk2"/>
        <w:tabs>
          <w:tab w:val="right" w:leader="dot" w:pos="4171"/>
        </w:tabs>
        <w:spacing w:line="240" w:lineRule="auto"/>
      </w:pPr>
      <w:r>
        <w:t>Bonaventura</w:t>
      </w:r>
      <w:r>
        <w:tab/>
        <w:t>44</w:t>
      </w:r>
    </w:p>
    <w:p w:rsidR="00E911ED" w:rsidRDefault="00E911ED" w:rsidP="00E911ED">
      <w:pPr>
        <w:pStyle w:val="Rejstk2"/>
        <w:tabs>
          <w:tab w:val="right" w:leader="dot" w:pos="4171"/>
        </w:tabs>
        <w:spacing w:line="240" w:lineRule="auto"/>
      </w:pPr>
      <w:r w:rsidRPr="004B4DFF">
        <w:rPr>
          <w:i/>
        </w:rPr>
        <w:t>materia confusa</w:t>
      </w:r>
      <w:r>
        <w:tab/>
        <w:t>45, 103</w:t>
      </w:r>
    </w:p>
    <w:p w:rsidR="00E911ED" w:rsidRDefault="00E911ED" w:rsidP="00E911ED">
      <w:pPr>
        <w:pStyle w:val="Rejstk2"/>
        <w:tabs>
          <w:tab w:val="right" w:leader="dot" w:pos="4171"/>
        </w:tabs>
        <w:spacing w:line="240" w:lineRule="auto"/>
      </w:pPr>
      <w:r w:rsidRPr="004B4DFF">
        <w:rPr>
          <w:i/>
        </w:rPr>
        <w:t>materia prima</w:t>
      </w:r>
      <w:r>
        <w:tab/>
        <w:t>42, 45, 70, 220, 224, 228</w:t>
      </w:r>
    </w:p>
    <w:p w:rsidR="00E911ED" w:rsidRDefault="00E911ED" w:rsidP="00E911ED">
      <w:pPr>
        <w:pStyle w:val="Rejstk2"/>
        <w:tabs>
          <w:tab w:val="right" w:leader="dot" w:pos="4171"/>
        </w:tabs>
        <w:spacing w:line="240" w:lineRule="auto"/>
      </w:pPr>
      <w:r w:rsidRPr="004B4DFF">
        <w:rPr>
          <w:i/>
        </w:rPr>
        <w:t>materia spiritualis</w:t>
      </w:r>
      <w:r>
        <w:tab/>
        <w:t>44, 45, 67, 78, 83, 135, 142, 147, 222, 229, 282, 430, 433, 491, 518</w:t>
      </w:r>
    </w:p>
    <w:p w:rsidR="00E911ED" w:rsidRDefault="00E911ED" w:rsidP="00E911ED">
      <w:pPr>
        <w:pStyle w:val="Rejstk2"/>
        <w:tabs>
          <w:tab w:val="right" w:leader="dot" w:pos="4171"/>
        </w:tabs>
        <w:spacing w:line="240" w:lineRule="auto"/>
      </w:pPr>
      <w:r w:rsidRPr="004B4DFF">
        <w:rPr>
          <w:i/>
        </w:rPr>
        <w:t>materia universale</w:t>
      </w:r>
      <w:r>
        <w:tab/>
        <w:t>170</w:t>
      </w:r>
    </w:p>
    <w:p w:rsidR="00E911ED" w:rsidRDefault="00E911ED" w:rsidP="00E911ED">
      <w:pPr>
        <w:pStyle w:val="Rejstk2"/>
        <w:tabs>
          <w:tab w:val="right" w:leader="dot" w:pos="4171"/>
        </w:tabs>
        <w:spacing w:line="240" w:lineRule="auto"/>
      </w:pPr>
      <w:r>
        <w:t>neposlušnost</w:t>
      </w:r>
      <w:r>
        <w:tab/>
        <w:t>29, 490, 824</w:t>
      </w:r>
    </w:p>
    <w:p w:rsidR="00E911ED" w:rsidRDefault="00E911ED" w:rsidP="00E911ED">
      <w:pPr>
        <w:pStyle w:val="Rejstk2"/>
        <w:tabs>
          <w:tab w:val="right" w:leader="dot" w:pos="4171"/>
        </w:tabs>
        <w:spacing w:line="240" w:lineRule="auto"/>
      </w:pPr>
      <w:r w:rsidRPr="004B4DFF">
        <w:rPr>
          <w:i/>
        </w:rPr>
        <w:t>non repugnat esse</w:t>
      </w:r>
      <w:r>
        <w:tab/>
        <w:t>522</w:t>
      </w:r>
    </w:p>
    <w:p w:rsidR="00E911ED" w:rsidRDefault="00E911ED" w:rsidP="00E911ED">
      <w:pPr>
        <w:pStyle w:val="Rejstk2"/>
        <w:tabs>
          <w:tab w:val="right" w:leader="dot" w:pos="4171"/>
        </w:tabs>
        <w:spacing w:line="240" w:lineRule="auto"/>
      </w:pPr>
      <w:r>
        <w:t>objektivní</w:t>
      </w:r>
      <w:r>
        <w:tab/>
        <w:t>41, 44, 53, 121</w:t>
      </w:r>
    </w:p>
    <w:p w:rsidR="00E911ED" w:rsidRDefault="00E911ED" w:rsidP="00E911ED">
      <w:pPr>
        <w:pStyle w:val="Rejstk2"/>
        <w:tabs>
          <w:tab w:val="right" w:leader="dot" w:pos="4171"/>
        </w:tabs>
        <w:spacing w:line="240" w:lineRule="auto"/>
      </w:pPr>
      <w:r>
        <w:t>Olivi</w:t>
      </w:r>
      <w:r>
        <w:tab/>
        <w:t>522</w:t>
      </w:r>
    </w:p>
    <w:p w:rsidR="00E911ED" w:rsidRDefault="00E911ED" w:rsidP="00E911ED">
      <w:pPr>
        <w:pStyle w:val="Rejstk1"/>
        <w:tabs>
          <w:tab w:val="right" w:leader="dot" w:pos="4171"/>
        </w:tabs>
        <w:spacing w:line="240" w:lineRule="auto"/>
      </w:pPr>
      <w:r w:rsidRPr="004B4DFF">
        <w:rPr>
          <w:i/>
        </w:rPr>
        <w:t>mathesis universalis</w:t>
      </w:r>
      <w:r>
        <w:tab/>
        <w:t>96, 102, 105, 152, 500, 830, 831</w:t>
      </w:r>
    </w:p>
    <w:p w:rsidR="00E911ED" w:rsidRDefault="00E911ED" w:rsidP="00E911ED">
      <w:pPr>
        <w:pStyle w:val="Rejstk1"/>
        <w:tabs>
          <w:tab w:val="right" w:leader="dot" w:pos="4171"/>
        </w:tabs>
        <w:spacing w:line="240" w:lineRule="auto"/>
      </w:pPr>
      <w:r w:rsidRPr="004B4DFF">
        <w:rPr>
          <w:i/>
        </w:rPr>
        <w:t>medium</w:t>
      </w:r>
    </w:p>
    <w:p w:rsidR="00E911ED" w:rsidRDefault="00E911ED" w:rsidP="00E911ED">
      <w:pPr>
        <w:pStyle w:val="Rejstk2"/>
        <w:tabs>
          <w:tab w:val="right" w:leader="dot" w:pos="4171"/>
        </w:tabs>
        <w:spacing w:line="240" w:lineRule="auto"/>
      </w:pPr>
      <w:r>
        <w:t>Akvinský</w:t>
      </w:r>
      <w:r>
        <w:tab/>
        <w:t>328, 389, 397, 427, 449</w:t>
      </w:r>
    </w:p>
    <w:p w:rsidR="00E911ED" w:rsidRDefault="00E911ED" w:rsidP="00E911ED">
      <w:pPr>
        <w:pStyle w:val="Rejstk2"/>
        <w:tabs>
          <w:tab w:val="right" w:leader="dot" w:pos="4171"/>
        </w:tabs>
        <w:spacing w:line="240" w:lineRule="auto"/>
      </w:pPr>
      <w:r>
        <w:t>Albert</w:t>
      </w:r>
      <w:r>
        <w:tab/>
        <w:t>111, 293, 881</w:t>
      </w:r>
    </w:p>
    <w:p w:rsidR="00E911ED" w:rsidRDefault="00E911ED" w:rsidP="00E911ED">
      <w:pPr>
        <w:pStyle w:val="Rejstk2"/>
        <w:tabs>
          <w:tab w:val="right" w:leader="dot" w:pos="4171"/>
        </w:tabs>
        <w:spacing w:line="240" w:lineRule="auto"/>
      </w:pPr>
      <w:r>
        <w:t>Aristoteles</w:t>
      </w:r>
      <w:r>
        <w:tab/>
        <w:t>870</w:t>
      </w:r>
    </w:p>
    <w:p w:rsidR="00E911ED" w:rsidRDefault="00E911ED" w:rsidP="00E911ED">
      <w:pPr>
        <w:pStyle w:val="Rejstk2"/>
        <w:tabs>
          <w:tab w:val="right" w:leader="dot" w:pos="4171"/>
        </w:tabs>
        <w:spacing w:line="240" w:lineRule="auto"/>
      </w:pPr>
      <w:r>
        <w:t>Bacon</w:t>
      </w:r>
      <w:r>
        <w:tab/>
        <w:t>879</w:t>
      </w:r>
    </w:p>
    <w:p w:rsidR="00E911ED" w:rsidRDefault="00E911ED" w:rsidP="00E911ED">
      <w:pPr>
        <w:pStyle w:val="Rejstk2"/>
        <w:tabs>
          <w:tab w:val="right" w:leader="dot" w:pos="4171"/>
        </w:tabs>
        <w:spacing w:line="240" w:lineRule="auto"/>
      </w:pPr>
      <w:r>
        <w:t>Bonaventura</w:t>
      </w:r>
      <w:r>
        <w:tab/>
        <w:t>43, 52</w:t>
      </w:r>
    </w:p>
    <w:p w:rsidR="00E911ED" w:rsidRDefault="00E911ED" w:rsidP="00E911ED">
      <w:pPr>
        <w:pStyle w:val="Rejstk2"/>
        <w:tabs>
          <w:tab w:val="right" w:leader="dot" w:pos="4171"/>
        </w:tabs>
        <w:spacing w:line="240" w:lineRule="auto"/>
      </w:pPr>
      <w:r w:rsidRPr="004B4DFF">
        <w:rPr>
          <w:i/>
        </w:rPr>
        <w:t>Druhé analytiky</w:t>
      </w:r>
      <w:r>
        <w:tab/>
        <w:t>298</w:t>
      </w:r>
    </w:p>
    <w:p w:rsidR="00E911ED" w:rsidRDefault="00E911ED" w:rsidP="00E911ED">
      <w:pPr>
        <w:pStyle w:val="Rejstk2"/>
        <w:tabs>
          <w:tab w:val="right" w:leader="dot" w:pos="4171"/>
        </w:tabs>
        <w:spacing w:line="240" w:lineRule="auto"/>
      </w:pPr>
      <w:r w:rsidRPr="00431530">
        <w:t>Galileo</w:t>
      </w:r>
      <w:r>
        <w:tab/>
        <w:t>495</w:t>
      </w:r>
    </w:p>
    <w:p w:rsidR="00E911ED" w:rsidRDefault="00E911ED" w:rsidP="00E911ED">
      <w:pPr>
        <w:pStyle w:val="Rejstk2"/>
        <w:tabs>
          <w:tab w:val="right" w:leader="dot" w:pos="4171"/>
        </w:tabs>
        <w:spacing w:line="240" w:lineRule="auto"/>
      </w:pPr>
      <w:r>
        <w:t>Gandavus</w:t>
      </w:r>
      <w:r>
        <w:tab/>
        <w:t>603, 627</w:t>
      </w:r>
    </w:p>
    <w:p w:rsidR="00E911ED" w:rsidRDefault="00E911ED" w:rsidP="00E911ED">
      <w:pPr>
        <w:pStyle w:val="Rejstk2"/>
        <w:tabs>
          <w:tab w:val="right" w:leader="dot" w:pos="4171"/>
        </w:tabs>
        <w:spacing w:line="240" w:lineRule="auto"/>
      </w:pPr>
      <w:r w:rsidRPr="004B4DFF">
        <w:rPr>
          <w:i/>
        </w:rPr>
        <w:t>le politique</w:t>
      </w:r>
      <w:r>
        <w:tab/>
        <w:t>895</w:t>
      </w:r>
    </w:p>
    <w:p w:rsidR="00E911ED" w:rsidRDefault="00E911ED" w:rsidP="00E911ED">
      <w:pPr>
        <w:pStyle w:val="Rejstk2"/>
        <w:tabs>
          <w:tab w:val="right" w:leader="dot" w:pos="4171"/>
        </w:tabs>
        <w:spacing w:line="240" w:lineRule="auto"/>
      </w:pPr>
      <w:r>
        <w:t>moderna</w:t>
      </w:r>
      <w:r>
        <w:tab/>
        <w:t>146, 634</w:t>
      </w:r>
    </w:p>
    <w:p w:rsidR="00E911ED" w:rsidRDefault="00E911ED" w:rsidP="00E911ED">
      <w:pPr>
        <w:pStyle w:val="Rejstk2"/>
        <w:tabs>
          <w:tab w:val="right" w:leader="dot" w:pos="4171"/>
        </w:tabs>
        <w:spacing w:line="240" w:lineRule="auto"/>
      </w:pPr>
      <w:r>
        <w:t>objektivní etika</w:t>
      </w:r>
      <w:r>
        <w:tab/>
        <w:t>867</w:t>
      </w:r>
    </w:p>
    <w:p w:rsidR="00E911ED" w:rsidRDefault="00E911ED" w:rsidP="00E911ED">
      <w:pPr>
        <w:pStyle w:val="Rejstk2"/>
        <w:tabs>
          <w:tab w:val="right" w:leader="dot" w:pos="4171"/>
        </w:tabs>
        <w:spacing w:line="240" w:lineRule="auto"/>
      </w:pPr>
      <w:r>
        <w:t>Ockham</w:t>
      </w:r>
      <w:r>
        <w:tab/>
        <w:t>798, 910</w:t>
      </w:r>
    </w:p>
    <w:p w:rsidR="00E911ED" w:rsidRDefault="00E911ED" w:rsidP="00E911ED">
      <w:pPr>
        <w:pStyle w:val="Rejstk2"/>
        <w:tabs>
          <w:tab w:val="right" w:leader="dot" w:pos="4171"/>
        </w:tabs>
        <w:spacing w:line="240" w:lineRule="auto"/>
      </w:pPr>
      <w:r>
        <w:t>Olivi</w:t>
      </w:r>
      <w:r>
        <w:tab/>
        <w:t>521, 528</w:t>
      </w:r>
    </w:p>
    <w:p w:rsidR="00E911ED" w:rsidRDefault="00E911ED" w:rsidP="00E911ED">
      <w:pPr>
        <w:pStyle w:val="Rejstk2"/>
        <w:tabs>
          <w:tab w:val="right" w:leader="dot" w:pos="4171"/>
        </w:tabs>
        <w:spacing w:line="240" w:lineRule="auto"/>
      </w:pPr>
      <w:r w:rsidRPr="00407879">
        <w:rPr>
          <w:i/>
        </w:rPr>
        <w:t>Oxfordský anonym</w:t>
      </w:r>
      <w:r>
        <w:tab/>
        <w:t>179</w:t>
      </w:r>
    </w:p>
    <w:p w:rsidR="00E911ED" w:rsidRDefault="00E911ED" w:rsidP="00E911ED">
      <w:pPr>
        <w:pStyle w:val="Rejstk2"/>
        <w:tabs>
          <w:tab w:val="right" w:leader="dot" w:pos="4171"/>
        </w:tabs>
        <w:spacing w:line="240" w:lineRule="auto"/>
      </w:pPr>
      <w:r>
        <w:t>politická věda</w:t>
      </w:r>
      <w:r>
        <w:tab/>
        <w:t>893, 894, 897</w:t>
      </w:r>
    </w:p>
    <w:p w:rsidR="00E911ED" w:rsidRDefault="00E911ED" w:rsidP="00E911ED">
      <w:pPr>
        <w:pStyle w:val="Rejstk2"/>
        <w:tabs>
          <w:tab w:val="right" w:leader="dot" w:pos="4171"/>
        </w:tabs>
        <w:spacing w:line="240" w:lineRule="auto"/>
      </w:pPr>
      <w:r>
        <w:t>praktický syllogismus</w:t>
      </w:r>
      <w:r>
        <w:tab/>
        <w:t>875</w:t>
      </w:r>
    </w:p>
    <w:p w:rsidR="00E911ED" w:rsidRDefault="00E911ED" w:rsidP="00E911ED">
      <w:pPr>
        <w:pStyle w:val="Rejstk2"/>
        <w:tabs>
          <w:tab w:val="right" w:leader="dot" w:pos="4171"/>
        </w:tabs>
        <w:spacing w:line="240" w:lineRule="auto"/>
      </w:pPr>
      <w:r>
        <w:t>Scotus</w:t>
      </w:r>
      <w:r>
        <w:tab/>
        <w:t>674, 913</w:t>
      </w:r>
    </w:p>
    <w:p w:rsidR="00E911ED" w:rsidRDefault="00E911ED" w:rsidP="00E911ED">
      <w:pPr>
        <w:pStyle w:val="Rejstk2"/>
        <w:tabs>
          <w:tab w:val="right" w:leader="dot" w:pos="4171"/>
        </w:tabs>
        <w:spacing w:line="240" w:lineRule="auto"/>
      </w:pPr>
      <w:r>
        <w:t>Siger</w:t>
      </w:r>
      <w:r>
        <w:tab/>
        <w:t>319, 450</w:t>
      </w:r>
    </w:p>
    <w:p w:rsidR="00E911ED" w:rsidRDefault="00E911ED" w:rsidP="00E911ED">
      <w:pPr>
        <w:pStyle w:val="Rejstk2"/>
        <w:tabs>
          <w:tab w:val="right" w:leader="dot" w:pos="4171"/>
        </w:tabs>
        <w:spacing w:line="240" w:lineRule="auto"/>
      </w:pPr>
      <w:r>
        <w:t>Siger</w:t>
      </w:r>
      <w:r>
        <w:tab/>
        <w:t>268</w:t>
      </w:r>
    </w:p>
    <w:p w:rsidR="00E911ED" w:rsidRDefault="00E911ED" w:rsidP="00E911ED">
      <w:pPr>
        <w:pStyle w:val="Rejstk2"/>
        <w:tabs>
          <w:tab w:val="right" w:leader="dot" w:pos="4171"/>
        </w:tabs>
        <w:spacing w:line="240" w:lineRule="auto"/>
      </w:pPr>
      <w:r>
        <w:t>zákon obce</w:t>
      </w:r>
      <w:r>
        <w:tab/>
        <w:t>894</w:t>
      </w:r>
    </w:p>
    <w:p w:rsidR="00E911ED" w:rsidRDefault="00E911ED" w:rsidP="00E911ED">
      <w:pPr>
        <w:pStyle w:val="Rejstk1"/>
        <w:tabs>
          <w:tab w:val="right" w:leader="dot" w:pos="4171"/>
        </w:tabs>
        <w:spacing w:line="240" w:lineRule="auto"/>
      </w:pPr>
      <w:r w:rsidRPr="004B4DFF">
        <w:rPr>
          <w:i/>
        </w:rPr>
        <w:t>memoria</w:t>
      </w:r>
      <w:r>
        <w:tab/>
        <w:t>514, 817</w:t>
      </w:r>
    </w:p>
    <w:p w:rsidR="00E911ED" w:rsidRDefault="00E911ED" w:rsidP="00E911ED">
      <w:pPr>
        <w:pStyle w:val="Rejstk2"/>
        <w:tabs>
          <w:tab w:val="right" w:leader="dot" w:pos="4171"/>
        </w:tabs>
        <w:spacing w:line="240" w:lineRule="auto"/>
      </w:pPr>
      <w:r>
        <w:t>Dawkins</w:t>
      </w:r>
      <w:r>
        <w:tab/>
        <w:t>518</w:t>
      </w:r>
    </w:p>
    <w:p w:rsidR="00E911ED" w:rsidRDefault="00E911ED" w:rsidP="00E911ED">
      <w:pPr>
        <w:pStyle w:val="Rejstk2"/>
        <w:tabs>
          <w:tab w:val="right" w:leader="dot" w:pos="4171"/>
        </w:tabs>
        <w:spacing w:line="240" w:lineRule="auto"/>
      </w:pPr>
      <w:r>
        <w:t>druhý averroismus</w:t>
      </w:r>
      <w:r>
        <w:tab/>
        <w:t>137, 138, 139, 142, 298, 363, 512, 576, 603, 785</w:t>
      </w:r>
    </w:p>
    <w:p w:rsidR="00E911ED" w:rsidRDefault="00E911ED" w:rsidP="00E911ED">
      <w:pPr>
        <w:pStyle w:val="Rejstk2"/>
        <w:tabs>
          <w:tab w:val="right" w:leader="dot" w:pos="4171"/>
        </w:tabs>
        <w:spacing w:line="240" w:lineRule="auto"/>
      </w:pPr>
      <w:r>
        <w:t>Locke</w:t>
      </w:r>
      <w:r>
        <w:tab/>
        <w:t>140, 760</w:t>
      </w:r>
    </w:p>
    <w:p w:rsidR="00E911ED" w:rsidRDefault="00E911ED" w:rsidP="00E911ED">
      <w:pPr>
        <w:pStyle w:val="Rejstk2"/>
        <w:tabs>
          <w:tab w:val="right" w:leader="dot" w:pos="4171"/>
        </w:tabs>
        <w:spacing w:line="240" w:lineRule="auto"/>
      </w:pPr>
      <w:r w:rsidRPr="004B4DFF">
        <w:rPr>
          <w:i/>
          <w:iCs/>
        </w:rPr>
        <w:t>meme</w:t>
      </w:r>
      <w:r>
        <w:tab/>
        <w:t>519</w:t>
      </w:r>
    </w:p>
    <w:p w:rsidR="00E911ED" w:rsidRDefault="00E911ED" w:rsidP="00E911ED">
      <w:pPr>
        <w:pStyle w:val="Rejstk2"/>
        <w:tabs>
          <w:tab w:val="right" w:leader="dot" w:pos="4171"/>
        </w:tabs>
        <w:spacing w:line="240" w:lineRule="auto"/>
      </w:pPr>
      <w:r>
        <w:t>moderna</w:t>
      </w:r>
      <w:r>
        <w:tab/>
        <w:t>611</w:t>
      </w:r>
    </w:p>
    <w:p w:rsidR="00E911ED" w:rsidRDefault="00E911ED" w:rsidP="00E911ED">
      <w:pPr>
        <w:pStyle w:val="Rejstk2"/>
        <w:tabs>
          <w:tab w:val="right" w:leader="dot" w:pos="4171"/>
        </w:tabs>
        <w:spacing w:line="240" w:lineRule="auto"/>
      </w:pPr>
      <w:r>
        <w:t>Olivi</w:t>
      </w:r>
      <w:r>
        <w:tab/>
        <w:t>514, 515, 516, 521, 597</w:t>
      </w:r>
    </w:p>
    <w:p w:rsidR="00E911ED" w:rsidRDefault="00E911ED" w:rsidP="00E911ED">
      <w:pPr>
        <w:pStyle w:val="Rejstk2"/>
        <w:tabs>
          <w:tab w:val="right" w:leader="dot" w:pos="4171"/>
        </w:tabs>
        <w:spacing w:line="240" w:lineRule="auto"/>
      </w:pPr>
      <w:r w:rsidRPr="004B4DFF">
        <w:rPr>
          <w:i/>
        </w:rPr>
        <w:t>Random Access Memory</w:t>
      </w:r>
      <w:r>
        <w:tab/>
        <w:t>140, 515</w:t>
      </w:r>
    </w:p>
    <w:p w:rsidR="00E911ED" w:rsidRDefault="00E911ED" w:rsidP="00E911ED">
      <w:pPr>
        <w:pStyle w:val="Rejstk2"/>
        <w:tabs>
          <w:tab w:val="right" w:leader="dot" w:pos="4171"/>
        </w:tabs>
        <w:spacing w:line="240" w:lineRule="auto"/>
      </w:pPr>
      <w:r>
        <w:t>Scotus</w:t>
      </w:r>
      <w:r>
        <w:tab/>
        <w:t>760</w:t>
      </w:r>
    </w:p>
    <w:p w:rsidR="00E911ED" w:rsidRDefault="00E911ED" w:rsidP="00E911ED">
      <w:pPr>
        <w:pStyle w:val="Rejstk1"/>
        <w:tabs>
          <w:tab w:val="right" w:leader="dot" w:pos="4171"/>
        </w:tabs>
        <w:spacing w:line="240" w:lineRule="auto"/>
      </w:pPr>
      <w:r>
        <w:t>metafyzika</w:t>
      </w:r>
    </w:p>
    <w:p w:rsidR="00E911ED" w:rsidRDefault="00E911ED" w:rsidP="00E911ED">
      <w:pPr>
        <w:pStyle w:val="Rejstk2"/>
        <w:tabs>
          <w:tab w:val="right" w:leader="dot" w:pos="4171"/>
        </w:tabs>
        <w:spacing w:line="240" w:lineRule="auto"/>
      </w:pPr>
      <w:r>
        <w:t>Akvinský</w:t>
      </w:r>
      <w:r>
        <w:tab/>
        <w:t>397</w:t>
      </w:r>
    </w:p>
    <w:p w:rsidR="00E911ED" w:rsidRDefault="00E911ED" w:rsidP="00E911ED">
      <w:pPr>
        <w:pStyle w:val="Rejstk2"/>
        <w:tabs>
          <w:tab w:val="right" w:leader="dot" w:pos="4171"/>
        </w:tabs>
        <w:spacing w:line="240" w:lineRule="auto"/>
      </w:pPr>
      <w:r w:rsidRPr="004B4DFF">
        <w:rPr>
          <w:i/>
        </w:rPr>
        <w:t>Anfang</w:t>
      </w:r>
      <w:r>
        <w:t>/</w:t>
      </w:r>
      <w:r w:rsidRPr="004B4DFF">
        <w:rPr>
          <w:i/>
        </w:rPr>
        <w:t>Beginn</w:t>
      </w:r>
      <w:r>
        <w:tab/>
        <w:t>534, 644, 702</w:t>
      </w:r>
    </w:p>
    <w:p w:rsidR="00E911ED" w:rsidRDefault="00E911ED" w:rsidP="00E911ED">
      <w:pPr>
        <w:pStyle w:val="Rejstk2"/>
        <w:tabs>
          <w:tab w:val="right" w:leader="dot" w:pos="4171"/>
        </w:tabs>
        <w:spacing w:line="240" w:lineRule="auto"/>
      </w:pPr>
      <w:r>
        <w:t>antropocentrismus</w:t>
      </w:r>
      <w:r>
        <w:tab/>
        <w:t>636</w:t>
      </w:r>
    </w:p>
    <w:p w:rsidR="00E911ED" w:rsidRDefault="00E911ED" w:rsidP="00E911ED">
      <w:pPr>
        <w:pStyle w:val="Rejstk2"/>
        <w:tabs>
          <w:tab w:val="right" w:leader="dot" w:pos="4171"/>
        </w:tabs>
        <w:spacing w:line="240" w:lineRule="auto"/>
      </w:pPr>
      <w:r>
        <w:t>antropologie</w:t>
      </w:r>
      <w:r>
        <w:tab/>
        <w:t>638</w:t>
      </w:r>
    </w:p>
    <w:p w:rsidR="00E911ED" w:rsidRDefault="00E911ED" w:rsidP="00E911ED">
      <w:pPr>
        <w:pStyle w:val="Rejstk2"/>
        <w:tabs>
          <w:tab w:val="right" w:leader="dot" w:pos="4171"/>
        </w:tabs>
        <w:spacing w:line="240" w:lineRule="auto"/>
      </w:pPr>
      <w:r>
        <w:t>Averroes</w:t>
      </w:r>
      <w:r>
        <w:tab/>
        <w:t>391, 436, 495, 846</w:t>
      </w:r>
    </w:p>
    <w:p w:rsidR="00E911ED" w:rsidRDefault="00E911ED" w:rsidP="00E911ED">
      <w:pPr>
        <w:pStyle w:val="Rejstk2"/>
        <w:tabs>
          <w:tab w:val="right" w:leader="dot" w:pos="4171"/>
        </w:tabs>
        <w:spacing w:line="240" w:lineRule="auto"/>
      </w:pPr>
      <w:r>
        <w:t>Avicenna</w:t>
      </w:r>
      <w:r>
        <w:tab/>
        <w:t>601</w:t>
      </w:r>
    </w:p>
    <w:p w:rsidR="00E911ED" w:rsidRDefault="00E911ED" w:rsidP="00E911ED">
      <w:pPr>
        <w:pStyle w:val="Rejstk2"/>
        <w:tabs>
          <w:tab w:val="right" w:leader="dot" w:pos="4171"/>
        </w:tabs>
        <w:spacing w:line="240" w:lineRule="auto"/>
      </w:pPr>
      <w:r>
        <w:t>Bonaventura</w:t>
      </w:r>
      <w:r>
        <w:tab/>
        <w:t>104</w:t>
      </w:r>
    </w:p>
    <w:p w:rsidR="00E911ED" w:rsidRDefault="00E911ED" w:rsidP="00E911ED">
      <w:pPr>
        <w:pStyle w:val="Rejstk2"/>
        <w:tabs>
          <w:tab w:val="right" w:leader="dot" w:pos="4171"/>
        </w:tabs>
        <w:spacing w:line="240" w:lineRule="auto"/>
      </w:pPr>
      <w:r>
        <w:t>dogmatická</w:t>
      </w:r>
      <w:r>
        <w:tab/>
        <w:t>696, 831</w:t>
      </w:r>
    </w:p>
    <w:p w:rsidR="00E911ED" w:rsidRDefault="00E911ED" w:rsidP="00E911ED">
      <w:pPr>
        <w:pStyle w:val="Rejstk2"/>
        <w:tabs>
          <w:tab w:val="right" w:leader="dot" w:pos="4171"/>
        </w:tabs>
        <w:spacing w:line="240" w:lineRule="auto"/>
      </w:pPr>
      <w:r>
        <w:t>druhý začátek</w:t>
      </w:r>
      <w:r>
        <w:tab/>
        <w:t>507</w:t>
      </w:r>
    </w:p>
    <w:p w:rsidR="00E911ED" w:rsidRDefault="00E911ED" w:rsidP="00E911ED">
      <w:pPr>
        <w:pStyle w:val="Rejstk2"/>
        <w:tabs>
          <w:tab w:val="right" w:leader="dot" w:pos="4171"/>
        </w:tabs>
        <w:spacing w:line="240" w:lineRule="auto"/>
      </w:pPr>
      <w:r>
        <w:t>dvojí určení</w:t>
      </w:r>
      <w:r>
        <w:tab/>
        <w:t>112, 132, 133</w:t>
      </w:r>
    </w:p>
    <w:p w:rsidR="00E911ED" w:rsidRDefault="00E911ED" w:rsidP="00E911ED">
      <w:pPr>
        <w:pStyle w:val="Rejstk2"/>
        <w:tabs>
          <w:tab w:val="right" w:leader="dot" w:pos="4171"/>
        </w:tabs>
        <w:spacing w:line="240" w:lineRule="auto"/>
      </w:pPr>
      <w:r>
        <w:t>Gandavus</w:t>
      </w:r>
      <w:r>
        <w:tab/>
        <w:t>605</w:t>
      </w:r>
    </w:p>
    <w:p w:rsidR="00E911ED" w:rsidRDefault="00E911ED" w:rsidP="00E911ED">
      <w:pPr>
        <w:pStyle w:val="Rejstk2"/>
        <w:tabs>
          <w:tab w:val="right" w:leader="dot" w:pos="4171"/>
        </w:tabs>
        <w:spacing w:line="240" w:lineRule="auto"/>
      </w:pPr>
      <w:r>
        <w:t>gigantomachie</w:t>
      </w:r>
      <w:r>
        <w:tab/>
        <w:t>937, 943</w:t>
      </w:r>
    </w:p>
    <w:p w:rsidR="00E911ED" w:rsidRDefault="00E911ED" w:rsidP="00E911ED">
      <w:pPr>
        <w:pStyle w:val="Rejstk2"/>
        <w:tabs>
          <w:tab w:val="right" w:leader="dot" w:pos="4171"/>
        </w:tabs>
        <w:spacing w:line="240" w:lineRule="auto"/>
      </w:pPr>
      <w:r w:rsidRPr="004B4DFF">
        <w:rPr>
          <w:i/>
        </w:rPr>
        <w:t>Gründung</w:t>
      </w:r>
      <w:r>
        <w:tab/>
        <w:t>107, 111, 499, 533, 603, 719, 727</w:t>
      </w:r>
    </w:p>
    <w:p w:rsidR="00E911ED" w:rsidRDefault="00E911ED" w:rsidP="00E911ED">
      <w:pPr>
        <w:pStyle w:val="Rejstk2"/>
        <w:tabs>
          <w:tab w:val="right" w:leader="dot" w:pos="4171"/>
        </w:tabs>
        <w:spacing w:line="240" w:lineRule="auto"/>
      </w:pPr>
      <w:r>
        <w:t>nihilismus</w:t>
      </w:r>
      <w:r>
        <w:tab/>
        <w:t>591, 668, 839</w:t>
      </w:r>
    </w:p>
    <w:p w:rsidR="00E911ED" w:rsidRDefault="00E911ED" w:rsidP="00E911ED">
      <w:pPr>
        <w:pStyle w:val="Rejstk2"/>
        <w:tabs>
          <w:tab w:val="right" w:leader="dot" w:pos="4171"/>
        </w:tabs>
        <w:spacing w:line="240" w:lineRule="auto"/>
      </w:pPr>
      <w:r>
        <w:t>ontologie</w:t>
      </w:r>
      <w:r>
        <w:tab/>
        <w:t>113</w:t>
      </w:r>
    </w:p>
    <w:p w:rsidR="00E911ED" w:rsidRDefault="00E911ED" w:rsidP="00E911ED">
      <w:pPr>
        <w:pStyle w:val="Rejstk2"/>
        <w:tabs>
          <w:tab w:val="right" w:leader="dot" w:pos="4171"/>
        </w:tabs>
        <w:spacing w:line="240" w:lineRule="auto"/>
      </w:pPr>
      <w:r>
        <w:t>ontoteologie</w:t>
      </w:r>
      <w:r>
        <w:tab/>
        <w:t>34</w:t>
      </w:r>
    </w:p>
    <w:p w:rsidR="00E911ED" w:rsidRDefault="00E911ED" w:rsidP="00E911ED">
      <w:pPr>
        <w:pStyle w:val="Rejstk2"/>
        <w:tabs>
          <w:tab w:val="right" w:leader="dot" w:pos="4171"/>
        </w:tabs>
        <w:spacing w:line="240" w:lineRule="auto"/>
      </w:pPr>
      <w:r>
        <w:t>Pecham</w:t>
      </w:r>
      <w:r>
        <w:tab/>
        <w:t>161</w:t>
      </w:r>
    </w:p>
    <w:p w:rsidR="00E911ED" w:rsidRDefault="00E911ED" w:rsidP="00E911ED">
      <w:pPr>
        <w:pStyle w:val="Rejstk2"/>
        <w:tabs>
          <w:tab w:val="right" w:leader="dot" w:pos="4171"/>
        </w:tabs>
        <w:spacing w:line="240" w:lineRule="auto"/>
      </w:pPr>
      <w:r>
        <w:t>první věda</w:t>
      </w:r>
      <w:r>
        <w:tab/>
        <w:t>704</w:t>
      </w:r>
    </w:p>
    <w:p w:rsidR="00E911ED" w:rsidRDefault="00E911ED" w:rsidP="00E911ED">
      <w:pPr>
        <w:pStyle w:val="Rejstk2"/>
        <w:tabs>
          <w:tab w:val="right" w:leader="dot" w:pos="4171"/>
        </w:tabs>
        <w:spacing w:line="240" w:lineRule="auto"/>
      </w:pPr>
      <w:r w:rsidRPr="004B4DFF">
        <w:rPr>
          <w:i/>
        </w:rPr>
        <w:t>scientia transcendens</w:t>
      </w:r>
      <w:r>
        <w:tab/>
        <w:t>592, 644, 699, 749</w:t>
      </w:r>
    </w:p>
    <w:p w:rsidR="00E911ED" w:rsidRDefault="00E911ED" w:rsidP="00E911ED">
      <w:pPr>
        <w:pStyle w:val="Rejstk2"/>
        <w:tabs>
          <w:tab w:val="right" w:leader="dot" w:pos="4171"/>
        </w:tabs>
        <w:spacing w:line="240" w:lineRule="auto"/>
      </w:pPr>
      <w:r>
        <w:t>Scotus</w:t>
      </w:r>
      <w:r>
        <w:tab/>
        <w:t>659, 670</w:t>
      </w:r>
    </w:p>
    <w:p w:rsidR="00E911ED" w:rsidRDefault="00E911ED" w:rsidP="00E911ED">
      <w:pPr>
        <w:pStyle w:val="Rejstk2"/>
        <w:tabs>
          <w:tab w:val="right" w:leader="dot" w:pos="4171"/>
        </w:tabs>
        <w:spacing w:line="240" w:lineRule="auto"/>
      </w:pPr>
      <w:r>
        <w:t>Siger</w:t>
      </w:r>
      <w:r>
        <w:tab/>
        <w:t>262</w:t>
      </w:r>
    </w:p>
    <w:p w:rsidR="00E911ED" w:rsidRDefault="00E911ED" w:rsidP="00E911ED">
      <w:pPr>
        <w:pStyle w:val="Rejstk2"/>
        <w:tabs>
          <w:tab w:val="right" w:leader="dot" w:pos="4171"/>
        </w:tabs>
        <w:spacing w:line="240" w:lineRule="auto"/>
      </w:pPr>
      <w:r>
        <w:t xml:space="preserve">substance </w:t>
      </w:r>
      <w:r w:rsidRPr="004B4DFF">
        <w:rPr>
          <w:i/>
        </w:rPr>
        <w:t>qua</w:t>
      </w:r>
      <w:r>
        <w:t xml:space="preserve"> substance</w:t>
      </w:r>
      <w:r>
        <w:tab/>
        <w:t>312</w:t>
      </w:r>
    </w:p>
    <w:p w:rsidR="00E911ED" w:rsidRDefault="00E911ED" w:rsidP="00E911ED">
      <w:pPr>
        <w:pStyle w:val="Rejstk2"/>
        <w:tabs>
          <w:tab w:val="right" w:leader="dot" w:pos="4171"/>
        </w:tabs>
        <w:spacing w:line="240" w:lineRule="auto"/>
      </w:pPr>
      <w:r>
        <w:t>vůle</w:t>
      </w:r>
      <w:r>
        <w:tab/>
        <w:t>19</w:t>
      </w:r>
    </w:p>
    <w:p w:rsidR="00E911ED" w:rsidRDefault="00E911ED" w:rsidP="00E911ED">
      <w:pPr>
        <w:pStyle w:val="Rejstk1"/>
        <w:tabs>
          <w:tab w:val="right" w:leader="dot" w:pos="4171"/>
        </w:tabs>
        <w:spacing w:line="240" w:lineRule="auto"/>
      </w:pPr>
      <w:r w:rsidRPr="004B4DFF">
        <w:rPr>
          <w:i/>
        </w:rPr>
        <w:t>metaphysica generalis</w:t>
      </w:r>
      <w:r>
        <w:tab/>
        <w:t xml:space="preserve">110, 120, 132, 181, 257, 260, 312, 371, 372, </w:t>
      </w:r>
      <w:r w:rsidR="00C56BA3">
        <w:t xml:space="preserve">490, </w:t>
      </w:r>
      <w:r>
        <w:t>507, 579, 593, 598, 608, 616, 669, 671, 705, 712, 719, 722, 811, 834, 837</w:t>
      </w:r>
    </w:p>
    <w:p w:rsidR="00E911ED" w:rsidRDefault="00E911ED" w:rsidP="00E911ED">
      <w:pPr>
        <w:pStyle w:val="Rejstk1"/>
        <w:tabs>
          <w:tab w:val="right" w:leader="dot" w:pos="4171"/>
        </w:tabs>
        <w:spacing w:line="240" w:lineRule="auto"/>
      </w:pPr>
      <w:r w:rsidRPr="004B4DFF">
        <w:rPr>
          <w:i/>
        </w:rPr>
        <w:t>metaphysica specialis</w:t>
      </w:r>
      <w:r>
        <w:tab/>
        <w:t>593</w:t>
      </w:r>
      <w:r w:rsidR="00C56BA3">
        <w:t>, 608</w:t>
      </w:r>
    </w:p>
    <w:p w:rsidR="00E911ED" w:rsidRDefault="00E911ED" w:rsidP="00E911ED">
      <w:pPr>
        <w:pStyle w:val="Rejstk1"/>
        <w:tabs>
          <w:tab w:val="right" w:leader="dot" w:pos="4171"/>
        </w:tabs>
        <w:spacing w:line="240" w:lineRule="auto"/>
      </w:pPr>
      <w:r>
        <w:t>Michael z Efezu</w:t>
      </w:r>
      <w:r>
        <w:tab/>
        <w:t>847</w:t>
      </w:r>
    </w:p>
    <w:p w:rsidR="00E911ED" w:rsidRDefault="00E911ED" w:rsidP="00E911ED">
      <w:pPr>
        <w:pStyle w:val="Rejstk1"/>
        <w:tabs>
          <w:tab w:val="right" w:leader="dot" w:pos="4171"/>
        </w:tabs>
        <w:spacing w:line="240" w:lineRule="auto"/>
      </w:pPr>
      <w:r>
        <w:t>Michelet. J.</w:t>
      </w:r>
      <w:r w:rsidR="006D41D2">
        <w:t xml:space="preserve"> </w:t>
      </w:r>
      <w:r>
        <w:tab/>
        <w:t>937</w:t>
      </w:r>
    </w:p>
    <w:p w:rsidR="00A77E3D" w:rsidRPr="00A77E3D" w:rsidRDefault="00A77E3D" w:rsidP="00E911ED">
      <w:pPr>
        <w:pStyle w:val="Rejstk1"/>
        <w:tabs>
          <w:tab w:val="right" w:leader="dot" w:pos="4171"/>
        </w:tabs>
        <w:spacing w:line="240" w:lineRule="auto"/>
      </w:pPr>
      <w:r w:rsidRPr="004B4DFF">
        <w:rPr>
          <w:i/>
        </w:rPr>
        <w:t>Mnichovský Anonym</w:t>
      </w:r>
      <w:r>
        <w:t xml:space="preserve">, viz </w:t>
      </w:r>
      <w:r w:rsidRPr="00A77E3D">
        <w:rPr>
          <w:i/>
        </w:rPr>
        <w:t>Index locorum</w:t>
      </w:r>
    </w:p>
    <w:p w:rsidR="00E911ED" w:rsidRDefault="00E911ED" w:rsidP="00E911ED">
      <w:pPr>
        <w:pStyle w:val="Rejstk1"/>
        <w:tabs>
          <w:tab w:val="right" w:leader="dot" w:pos="4171"/>
        </w:tabs>
        <w:spacing w:line="240" w:lineRule="auto"/>
      </w:pPr>
      <w:r w:rsidRPr="004B4DFF">
        <w:rPr>
          <w:i/>
        </w:rPr>
        <w:t>Mobilmachung</w:t>
      </w:r>
      <w:r>
        <w:tab/>
        <w:t>98, 488, 573, 718, 824, 946</w:t>
      </w:r>
    </w:p>
    <w:p w:rsidR="00E911ED" w:rsidRDefault="00E911ED" w:rsidP="00E911ED">
      <w:pPr>
        <w:pStyle w:val="Rejstk1"/>
        <w:tabs>
          <w:tab w:val="right" w:leader="dot" w:pos="4171"/>
        </w:tabs>
        <w:spacing w:line="240" w:lineRule="auto"/>
      </w:pPr>
      <w:r>
        <w:t>Modisté</w:t>
      </w:r>
      <w:r>
        <w:tab/>
        <w:t>173, 401, 411</w:t>
      </w:r>
    </w:p>
    <w:p w:rsidR="00E911ED" w:rsidRDefault="00E911ED" w:rsidP="00E911ED">
      <w:pPr>
        <w:pStyle w:val="Rejstk1"/>
        <w:tabs>
          <w:tab w:val="right" w:leader="dot" w:pos="4171"/>
        </w:tabs>
        <w:spacing w:line="240" w:lineRule="auto"/>
      </w:pPr>
      <w:r w:rsidRPr="004B4DFF">
        <w:rPr>
          <w:i/>
        </w:rPr>
        <w:t>modo geometrico</w:t>
      </w:r>
      <w:r>
        <w:tab/>
        <w:t>33, 331, 519, 627, 656</w:t>
      </w:r>
    </w:p>
    <w:p w:rsidR="00E911ED" w:rsidRDefault="00E911ED" w:rsidP="00E911ED">
      <w:pPr>
        <w:pStyle w:val="Rejstk1"/>
        <w:tabs>
          <w:tab w:val="right" w:leader="dot" w:pos="4171"/>
        </w:tabs>
        <w:spacing w:line="240" w:lineRule="auto"/>
      </w:pPr>
      <w:r w:rsidRPr="004B4DFF">
        <w:rPr>
          <w:i/>
        </w:rPr>
        <w:t>modus ponens</w:t>
      </w:r>
      <w:r>
        <w:tab/>
        <w:t>5, 6, 13, 532, 533, 534, 546, 686, 937</w:t>
      </w:r>
    </w:p>
    <w:p w:rsidR="00E911ED" w:rsidRDefault="00E911ED" w:rsidP="00E911ED">
      <w:pPr>
        <w:pStyle w:val="Rejstk1"/>
        <w:tabs>
          <w:tab w:val="right" w:leader="dot" w:pos="4171"/>
        </w:tabs>
        <w:spacing w:line="240" w:lineRule="auto"/>
      </w:pPr>
      <w:r w:rsidRPr="004B4DFF">
        <w:rPr>
          <w:i/>
        </w:rPr>
        <w:t>modus tollens</w:t>
      </w:r>
      <w:r>
        <w:tab/>
        <w:t>374, 471, 686</w:t>
      </w:r>
    </w:p>
    <w:p w:rsidR="00E911ED" w:rsidRDefault="00E911ED" w:rsidP="00E911ED">
      <w:pPr>
        <w:pStyle w:val="Rejstk1"/>
        <w:tabs>
          <w:tab w:val="right" w:leader="dot" w:pos="4171"/>
        </w:tabs>
        <w:spacing w:line="240" w:lineRule="auto"/>
      </w:pPr>
      <w:r>
        <w:t>Moerbeke, W.</w:t>
      </w:r>
      <w:r>
        <w:tab/>
        <w:t>575, 615, 647, 848, 883</w:t>
      </w:r>
    </w:p>
    <w:p w:rsidR="00E911ED" w:rsidRDefault="00E911ED" w:rsidP="00E911ED">
      <w:pPr>
        <w:pStyle w:val="Rejstk1"/>
        <w:tabs>
          <w:tab w:val="right" w:leader="dot" w:pos="4171"/>
        </w:tabs>
        <w:spacing w:line="240" w:lineRule="auto"/>
      </w:pPr>
      <w:r>
        <w:t>Mohammed</w:t>
      </w:r>
      <w:r>
        <w:tab/>
        <w:t>809</w:t>
      </w:r>
    </w:p>
    <w:p w:rsidR="00E911ED" w:rsidRDefault="00E911ED" w:rsidP="00E911ED">
      <w:pPr>
        <w:pStyle w:val="Rejstk1"/>
        <w:tabs>
          <w:tab w:val="right" w:leader="dot" w:pos="4171"/>
        </w:tabs>
        <w:spacing w:line="240" w:lineRule="auto"/>
      </w:pPr>
      <w:r w:rsidRPr="004B4DFF">
        <w:rPr>
          <w:i/>
        </w:rPr>
        <w:t>Money laundering</w:t>
      </w:r>
      <w:r>
        <w:tab/>
        <w:t>573</w:t>
      </w:r>
    </w:p>
    <w:p w:rsidR="00E911ED" w:rsidRDefault="00E911ED" w:rsidP="00E911ED">
      <w:pPr>
        <w:pStyle w:val="Rejstk1"/>
        <w:tabs>
          <w:tab w:val="right" w:leader="dot" w:pos="4171"/>
        </w:tabs>
        <w:spacing w:line="240" w:lineRule="auto"/>
      </w:pPr>
      <w:r w:rsidRPr="004B4DFF">
        <w:rPr>
          <w:i/>
        </w:rPr>
        <w:t>mundus imaginalis</w:t>
      </w:r>
      <w:r>
        <w:tab/>
        <w:t>103, 253</w:t>
      </w:r>
    </w:p>
    <w:p w:rsidR="00E911ED" w:rsidRDefault="00E911ED" w:rsidP="00E911ED">
      <w:pPr>
        <w:pStyle w:val="Rejstk1"/>
        <w:tabs>
          <w:tab w:val="right" w:leader="dot" w:pos="4171"/>
        </w:tabs>
        <w:spacing w:line="240" w:lineRule="auto"/>
      </w:pPr>
      <w:r w:rsidRPr="004B4DFF">
        <w:rPr>
          <w:i/>
        </w:rPr>
        <w:t>mutakallim</w:t>
      </w:r>
      <w:r>
        <w:tab/>
        <w:t>478</w:t>
      </w:r>
    </w:p>
    <w:p w:rsidR="00E911ED" w:rsidRDefault="00E911ED" w:rsidP="00E911ED">
      <w:pPr>
        <w:pStyle w:val="Rejstk1"/>
        <w:tabs>
          <w:tab w:val="right" w:leader="dot" w:pos="4171"/>
        </w:tabs>
        <w:spacing w:line="240" w:lineRule="auto"/>
      </w:pPr>
      <w:r>
        <w:rPr>
          <w:lang w:eastAsia="en-US"/>
        </w:rPr>
        <w:t>Múzy</w:t>
      </w:r>
      <w:r>
        <w:tab/>
        <w:t>241, 443, 560, 610, 688, 709, 716, 823</w:t>
      </w:r>
    </w:p>
    <w:p w:rsidR="00E911ED" w:rsidRDefault="00E911ED" w:rsidP="00E911ED">
      <w:pPr>
        <w:pStyle w:val="Rejstk1"/>
        <w:tabs>
          <w:tab w:val="right" w:leader="dot" w:pos="4171"/>
        </w:tabs>
        <w:spacing w:line="240" w:lineRule="auto"/>
      </w:pPr>
      <w:r>
        <w:t>mystika</w:t>
      </w:r>
      <w:r>
        <w:tab/>
        <w:t>809</w:t>
      </w:r>
    </w:p>
    <w:p w:rsidR="00E911ED" w:rsidRDefault="00A50CE0" w:rsidP="00E911ED">
      <w:pPr>
        <w:pStyle w:val="Rejstk1"/>
        <w:tabs>
          <w:tab w:val="right" w:leader="dot" w:pos="4171"/>
        </w:tabs>
        <w:spacing w:line="240" w:lineRule="auto"/>
      </w:pPr>
      <w:r>
        <w:t>m</w:t>
      </w:r>
      <w:r w:rsidR="008B175F">
        <w:t>ytologie</w:t>
      </w:r>
      <w:r w:rsidR="00E911ED">
        <w:tab/>
        <w:t>609, 610, 623, 626, 766, 840</w:t>
      </w:r>
    </w:p>
    <w:p w:rsidR="00A77E3D" w:rsidRPr="00F43866" w:rsidRDefault="00A77E3D" w:rsidP="00A77E3D">
      <w:pPr>
        <w:pStyle w:val="Hlavikarejstku"/>
        <w:keepNext/>
        <w:tabs>
          <w:tab w:val="right" w:leader="dot" w:pos="4171"/>
        </w:tabs>
        <w:spacing w:line="240" w:lineRule="auto"/>
        <w:rPr>
          <w:rFonts w:eastAsia="Times New Roman"/>
          <w:b w:val="0"/>
          <w:bCs w:val="0"/>
          <w:lang w:val="de-LU"/>
        </w:rPr>
      </w:pPr>
      <w:r>
        <w:rPr>
          <w:lang w:val="de-LU"/>
        </w:rPr>
        <w:t>N</w:t>
      </w:r>
    </w:p>
    <w:p w:rsidR="00E911ED" w:rsidRDefault="00E911ED" w:rsidP="00E911ED">
      <w:pPr>
        <w:pStyle w:val="Rejstk1"/>
        <w:tabs>
          <w:tab w:val="right" w:leader="dot" w:pos="4171"/>
        </w:tabs>
        <w:spacing w:line="240" w:lineRule="auto"/>
      </w:pPr>
      <w:r>
        <w:t>námořní bitva</w:t>
      </w:r>
      <w:r>
        <w:tab/>
        <w:t>92, 811</w:t>
      </w:r>
    </w:p>
    <w:p w:rsidR="00E911ED" w:rsidRDefault="00E911ED" w:rsidP="00E911ED">
      <w:pPr>
        <w:pStyle w:val="Rejstk1"/>
        <w:tabs>
          <w:tab w:val="right" w:leader="dot" w:pos="4171"/>
        </w:tabs>
        <w:spacing w:line="240" w:lineRule="auto"/>
      </w:pPr>
      <w:r w:rsidRPr="004B4DFF">
        <w:rPr>
          <w:i/>
        </w:rPr>
        <w:t>natura pura</w:t>
      </w:r>
      <w:r>
        <w:tab/>
        <w:t>595, 718</w:t>
      </w:r>
    </w:p>
    <w:p w:rsidR="00E911ED" w:rsidRDefault="00E911ED" w:rsidP="00E911ED">
      <w:pPr>
        <w:pStyle w:val="Rejstk1"/>
        <w:tabs>
          <w:tab w:val="right" w:leader="dot" w:pos="4171"/>
        </w:tabs>
        <w:spacing w:line="240" w:lineRule="auto"/>
      </w:pPr>
      <w:r w:rsidRPr="004B4DFF">
        <w:rPr>
          <w:i/>
        </w:rPr>
        <w:t>New World Order</w:t>
      </w:r>
      <w:r>
        <w:tab/>
        <w:t>639</w:t>
      </w:r>
    </w:p>
    <w:p w:rsidR="00E911ED" w:rsidRDefault="00E911ED" w:rsidP="00E911ED">
      <w:pPr>
        <w:pStyle w:val="Rejstk1"/>
        <w:tabs>
          <w:tab w:val="right" w:leader="dot" w:pos="4171"/>
        </w:tabs>
        <w:spacing w:line="240" w:lineRule="auto"/>
      </w:pPr>
      <w:r>
        <w:t>Newton, I.</w:t>
      </w:r>
      <w:r>
        <w:tab/>
        <w:t>734</w:t>
      </w:r>
    </w:p>
    <w:p w:rsidR="00E911ED" w:rsidRDefault="00E911ED" w:rsidP="00E911ED">
      <w:pPr>
        <w:pStyle w:val="Rejstk1"/>
        <w:tabs>
          <w:tab w:val="right" w:leader="dot" w:pos="4171"/>
        </w:tabs>
        <w:spacing w:line="240" w:lineRule="auto"/>
      </w:pPr>
      <w:r>
        <w:t>Nicolas de Lisieux</w:t>
      </w:r>
      <w:r>
        <w:tab/>
        <w:t>4, 62</w:t>
      </w:r>
    </w:p>
    <w:p w:rsidR="00E911ED" w:rsidRDefault="00E911ED" w:rsidP="00E911ED">
      <w:pPr>
        <w:pStyle w:val="Rejstk1"/>
        <w:tabs>
          <w:tab w:val="right" w:leader="dot" w:pos="4171"/>
        </w:tabs>
        <w:spacing w:line="240" w:lineRule="auto"/>
      </w:pPr>
      <w:r>
        <w:t>Nietzsche, F.</w:t>
      </w:r>
      <w:r w:rsidR="00F57279">
        <w:t xml:space="preserve">, viz </w:t>
      </w:r>
      <w:r w:rsidR="00F57279" w:rsidRPr="00F57279">
        <w:rPr>
          <w:i/>
        </w:rPr>
        <w:t>Index locorum</w:t>
      </w:r>
      <w:r>
        <w:tab/>
        <w:t>4, 636, 831</w:t>
      </w:r>
    </w:p>
    <w:p w:rsidR="00E911ED" w:rsidRDefault="00E911ED" w:rsidP="00E911ED">
      <w:pPr>
        <w:pStyle w:val="Rejstk1"/>
        <w:tabs>
          <w:tab w:val="right" w:leader="dot" w:pos="4171"/>
        </w:tabs>
        <w:spacing w:line="240" w:lineRule="auto"/>
      </w:pPr>
      <w:r>
        <w:t>Nifo, A.</w:t>
      </w:r>
      <w:r w:rsidR="00F57279">
        <w:t xml:space="preserve"> </w:t>
      </w:r>
      <w:r>
        <w:tab/>
        <w:t>178, 189, 193, 310, 417</w:t>
      </w:r>
    </w:p>
    <w:p w:rsidR="00E911ED" w:rsidRDefault="00E911ED" w:rsidP="00E911ED">
      <w:pPr>
        <w:pStyle w:val="Rejstk1"/>
        <w:tabs>
          <w:tab w:val="right" w:leader="dot" w:pos="4171"/>
        </w:tabs>
        <w:spacing w:line="240" w:lineRule="auto"/>
      </w:pPr>
      <w:r>
        <w:t>nihilismus</w:t>
      </w:r>
      <w:r>
        <w:tab/>
        <w:t>42, 129, 559</w:t>
      </w:r>
    </w:p>
    <w:p w:rsidR="00E911ED" w:rsidRDefault="00E911ED" w:rsidP="00E911ED">
      <w:pPr>
        <w:pStyle w:val="Rejstk1"/>
        <w:tabs>
          <w:tab w:val="right" w:leader="dot" w:pos="4171"/>
        </w:tabs>
        <w:spacing w:line="240" w:lineRule="auto"/>
      </w:pPr>
      <w:r w:rsidRPr="004B4DFF">
        <w:rPr>
          <w:i/>
        </w:rPr>
        <w:t>Nominales</w:t>
      </w:r>
      <w:r>
        <w:tab/>
        <w:t>22</w:t>
      </w:r>
    </w:p>
    <w:p w:rsidR="00E911ED" w:rsidRDefault="00E911ED" w:rsidP="00E911ED">
      <w:pPr>
        <w:pStyle w:val="Rejstk1"/>
        <w:tabs>
          <w:tab w:val="right" w:leader="dot" w:pos="4171"/>
        </w:tabs>
        <w:spacing w:line="240" w:lineRule="auto"/>
      </w:pPr>
      <w:r w:rsidRPr="004B4DFF">
        <w:rPr>
          <w:i/>
        </w:rPr>
        <w:t>non repugnat esse</w:t>
      </w:r>
      <w:r>
        <w:tab/>
        <w:t>580, 586, 609, 628, 713, 751, 752, 754</w:t>
      </w:r>
    </w:p>
    <w:p w:rsidR="00E911ED" w:rsidRDefault="00E911ED" w:rsidP="00E911ED">
      <w:pPr>
        <w:pStyle w:val="Rejstk1"/>
        <w:tabs>
          <w:tab w:val="right" w:leader="dot" w:pos="4171"/>
        </w:tabs>
        <w:spacing w:line="240" w:lineRule="auto"/>
      </w:pPr>
      <w:r>
        <w:t>Nový zákon</w:t>
      </w:r>
      <w:r w:rsidR="00A77E3D">
        <w:t xml:space="preserve">, viz </w:t>
      </w:r>
      <w:r w:rsidR="00A77E3D" w:rsidRPr="00A77E3D">
        <w:rPr>
          <w:i/>
        </w:rPr>
        <w:t>Index locorum</w:t>
      </w:r>
    </w:p>
    <w:p w:rsidR="00E911ED" w:rsidRDefault="00E911ED" w:rsidP="00E911ED">
      <w:pPr>
        <w:pStyle w:val="Rejstk1"/>
        <w:tabs>
          <w:tab w:val="right" w:leader="dot" w:pos="4171"/>
        </w:tabs>
        <w:spacing w:line="240" w:lineRule="auto"/>
      </w:pPr>
      <w:r>
        <w:t>nulový bod</w:t>
      </w:r>
      <w:r>
        <w:tab/>
        <w:t>708</w:t>
      </w:r>
    </w:p>
    <w:p w:rsidR="00E911ED" w:rsidRDefault="00E911ED" w:rsidP="00F57279">
      <w:pPr>
        <w:pStyle w:val="Rejstk1"/>
        <w:tabs>
          <w:tab w:val="right" w:leader="dot" w:pos="4171"/>
        </w:tabs>
        <w:spacing w:line="240" w:lineRule="auto"/>
      </w:pPr>
      <w:r>
        <w:t>nutnost</w:t>
      </w:r>
      <w:r w:rsidR="00F57279">
        <w:t xml:space="preserve">, </w:t>
      </w:r>
      <w:r w:rsidRPr="004B4DFF">
        <w:rPr>
          <w:i/>
        </w:rPr>
        <w:t>per se</w:t>
      </w:r>
      <w:r>
        <w:tab/>
        <w:t>156, 319</w:t>
      </w:r>
    </w:p>
    <w:p w:rsidR="00F57279" w:rsidRPr="00F43866" w:rsidRDefault="00F57279" w:rsidP="00F57279">
      <w:pPr>
        <w:pStyle w:val="Hlavikarejstku"/>
        <w:keepNext/>
        <w:tabs>
          <w:tab w:val="right" w:leader="dot" w:pos="4171"/>
        </w:tabs>
        <w:spacing w:line="240" w:lineRule="auto"/>
        <w:rPr>
          <w:rFonts w:eastAsia="Times New Roman"/>
          <w:b w:val="0"/>
          <w:bCs w:val="0"/>
          <w:lang w:val="de-LU"/>
        </w:rPr>
      </w:pPr>
      <w:r>
        <w:rPr>
          <w:lang w:val="de-LU"/>
        </w:rPr>
        <w:t>O</w:t>
      </w:r>
    </w:p>
    <w:p w:rsidR="00E911ED" w:rsidRDefault="00E911ED" w:rsidP="00E911ED">
      <w:pPr>
        <w:pStyle w:val="Rejstk1"/>
        <w:tabs>
          <w:tab w:val="right" w:leader="dot" w:pos="4171"/>
        </w:tabs>
        <w:spacing w:line="240" w:lineRule="auto"/>
      </w:pPr>
      <w:r>
        <w:t>objektivita</w:t>
      </w:r>
    </w:p>
    <w:p w:rsidR="00E911ED" w:rsidRDefault="00E911ED" w:rsidP="00E911ED">
      <w:pPr>
        <w:pStyle w:val="Rejstk2"/>
        <w:tabs>
          <w:tab w:val="right" w:leader="dot" w:pos="4171"/>
        </w:tabs>
        <w:spacing w:line="240" w:lineRule="auto"/>
      </w:pPr>
      <w:r w:rsidRPr="004B4DFF">
        <w:rPr>
          <w:i/>
        </w:rPr>
        <w:t>Anfang</w:t>
      </w:r>
      <w:r>
        <w:t>/</w:t>
      </w:r>
      <w:r w:rsidRPr="004B4DFF">
        <w:rPr>
          <w:i/>
        </w:rPr>
        <w:t>Beginn</w:t>
      </w:r>
      <w:r>
        <w:tab/>
        <w:t>6, 59, 487</w:t>
      </w:r>
    </w:p>
    <w:p w:rsidR="00E911ED" w:rsidRDefault="00E911ED" w:rsidP="00E911ED">
      <w:pPr>
        <w:pStyle w:val="Rejstk2"/>
        <w:tabs>
          <w:tab w:val="right" w:leader="dot" w:pos="4171"/>
        </w:tabs>
        <w:spacing w:line="240" w:lineRule="auto"/>
      </w:pPr>
      <w:r>
        <w:t>bůh</w:t>
      </w:r>
      <w:r>
        <w:tab/>
        <w:t>630</w:t>
      </w:r>
    </w:p>
    <w:p w:rsidR="00E911ED" w:rsidRDefault="00E911ED" w:rsidP="00E911ED">
      <w:pPr>
        <w:pStyle w:val="Rejstk2"/>
        <w:tabs>
          <w:tab w:val="right" w:leader="dot" w:pos="4171"/>
        </w:tabs>
        <w:spacing w:line="240" w:lineRule="auto"/>
      </w:pPr>
      <w:r w:rsidRPr="004B4DFF">
        <w:rPr>
          <w:i/>
        </w:rPr>
        <w:t>conceptus simpliciter simplex</w:t>
      </w:r>
      <w:r>
        <w:tab/>
        <w:t>699</w:t>
      </w:r>
    </w:p>
    <w:p w:rsidR="00E911ED" w:rsidRDefault="00E911ED" w:rsidP="00E911ED">
      <w:pPr>
        <w:pStyle w:val="Rejstk2"/>
        <w:tabs>
          <w:tab w:val="right" w:leader="dot" w:pos="4171"/>
        </w:tabs>
        <w:spacing w:line="240" w:lineRule="auto"/>
      </w:pPr>
      <w:r w:rsidRPr="004B4DFF">
        <w:rPr>
          <w:i/>
        </w:rPr>
        <w:t>confusum</w:t>
      </w:r>
      <w:r>
        <w:t>/</w:t>
      </w:r>
      <w:r w:rsidRPr="004B4DFF">
        <w:rPr>
          <w:i/>
        </w:rPr>
        <w:t>confuse</w:t>
      </w:r>
      <w:r>
        <w:tab/>
        <w:t>697, 699, 700</w:t>
      </w:r>
    </w:p>
    <w:p w:rsidR="00E911ED" w:rsidRDefault="00E911ED" w:rsidP="00E911ED">
      <w:pPr>
        <w:pStyle w:val="Rejstk2"/>
        <w:tabs>
          <w:tab w:val="right" w:leader="dot" w:pos="4171"/>
        </w:tabs>
        <w:spacing w:line="240" w:lineRule="auto"/>
      </w:pPr>
      <w:r w:rsidRPr="004B4DFF">
        <w:rPr>
          <w:i/>
        </w:rPr>
        <w:t>dativus obiectivus</w:t>
      </w:r>
      <w:r>
        <w:tab/>
        <w:t>16</w:t>
      </w:r>
    </w:p>
    <w:p w:rsidR="00E911ED" w:rsidRDefault="00E911ED" w:rsidP="00E911ED">
      <w:pPr>
        <w:pStyle w:val="Rejstk2"/>
        <w:tabs>
          <w:tab w:val="right" w:leader="dot" w:pos="4171"/>
        </w:tabs>
        <w:spacing w:line="240" w:lineRule="auto"/>
      </w:pPr>
      <w:r>
        <w:t>dedukce</w:t>
      </w:r>
      <w:r>
        <w:tab/>
        <w:t>764</w:t>
      </w:r>
    </w:p>
    <w:p w:rsidR="00E911ED" w:rsidRDefault="00E911ED" w:rsidP="00E911ED">
      <w:pPr>
        <w:pStyle w:val="Rejstk2"/>
        <w:tabs>
          <w:tab w:val="right" w:leader="dot" w:pos="4171"/>
        </w:tabs>
        <w:spacing w:line="240" w:lineRule="auto"/>
      </w:pPr>
      <w:r w:rsidRPr="004B4DFF">
        <w:rPr>
          <w:i/>
        </w:rPr>
        <w:t>esse diminutum</w:t>
      </w:r>
      <w:r>
        <w:tab/>
        <w:t>584</w:t>
      </w:r>
    </w:p>
    <w:p w:rsidR="00E911ED" w:rsidRDefault="00E911ED" w:rsidP="00E911ED">
      <w:pPr>
        <w:pStyle w:val="Rejstk2"/>
        <w:tabs>
          <w:tab w:val="right" w:leader="dot" w:pos="4171"/>
        </w:tabs>
        <w:spacing w:line="240" w:lineRule="auto"/>
      </w:pPr>
      <w:r w:rsidRPr="004B4DFF">
        <w:rPr>
          <w:i/>
        </w:rPr>
        <w:t>esse intelligibile</w:t>
      </w:r>
      <w:r>
        <w:tab/>
        <w:t>724, 725, 728</w:t>
      </w:r>
    </w:p>
    <w:p w:rsidR="00E911ED" w:rsidRDefault="00E911ED" w:rsidP="00E911ED">
      <w:pPr>
        <w:pStyle w:val="Rejstk2"/>
        <w:tabs>
          <w:tab w:val="right" w:leader="dot" w:pos="4171"/>
        </w:tabs>
        <w:spacing w:line="240" w:lineRule="auto"/>
      </w:pPr>
      <w:r w:rsidRPr="004B4DFF">
        <w:rPr>
          <w:i/>
        </w:rPr>
        <w:t>factum</w:t>
      </w:r>
      <w:r>
        <w:tab/>
        <w:t>54</w:t>
      </w:r>
    </w:p>
    <w:p w:rsidR="00E911ED" w:rsidRDefault="00E911ED" w:rsidP="00E911ED">
      <w:pPr>
        <w:pStyle w:val="Rejstk2"/>
        <w:tabs>
          <w:tab w:val="right" w:leader="dot" w:pos="4171"/>
        </w:tabs>
        <w:spacing w:line="240" w:lineRule="auto"/>
      </w:pPr>
      <w:r>
        <w:t>Gandavus</w:t>
      </w:r>
      <w:r>
        <w:tab/>
        <w:t>620</w:t>
      </w:r>
    </w:p>
    <w:p w:rsidR="00E911ED" w:rsidRDefault="00E911ED" w:rsidP="00E911ED">
      <w:pPr>
        <w:pStyle w:val="Rejstk2"/>
        <w:tabs>
          <w:tab w:val="right" w:leader="dot" w:pos="4171"/>
        </w:tabs>
        <w:spacing w:line="240" w:lineRule="auto"/>
      </w:pPr>
      <w:r>
        <w:t>kapitalismus</w:t>
      </w:r>
      <w:r>
        <w:tab/>
        <w:t>947</w:t>
      </w:r>
    </w:p>
    <w:p w:rsidR="00E911ED" w:rsidRDefault="00E911ED" w:rsidP="00E911ED">
      <w:pPr>
        <w:pStyle w:val="Rejstk2"/>
        <w:tabs>
          <w:tab w:val="right" w:leader="dot" w:pos="4171"/>
        </w:tabs>
        <w:spacing w:line="240" w:lineRule="auto"/>
      </w:pPr>
      <w:r>
        <w:t>kritika Ockhama</w:t>
      </w:r>
      <w:r>
        <w:tab/>
        <w:t>789</w:t>
      </w:r>
    </w:p>
    <w:p w:rsidR="00E911ED" w:rsidRDefault="00E911ED" w:rsidP="00E911ED">
      <w:pPr>
        <w:pStyle w:val="Rejstk2"/>
        <w:tabs>
          <w:tab w:val="right" w:leader="dot" w:pos="4171"/>
        </w:tabs>
        <w:spacing w:line="240" w:lineRule="auto"/>
      </w:pPr>
      <w:r>
        <w:t>nekonečné univerzum</w:t>
      </w:r>
      <w:r>
        <w:tab/>
        <w:t>44, 695</w:t>
      </w:r>
    </w:p>
    <w:p w:rsidR="00E911ED" w:rsidRDefault="00E911ED" w:rsidP="00E911ED">
      <w:pPr>
        <w:pStyle w:val="Rejstk2"/>
        <w:tabs>
          <w:tab w:val="right" w:leader="dot" w:pos="4171"/>
        </w:tabs>
        <w:spacing w:line="240" w:lineRule="auto"/>
      </w:pPr>
      <w:r w:rsidRPr="004B4DFF">
        <w:rPr>
          <w:i/>
        </w:rPr>
        <w:t>objectité</w:t>
      </w:r>
      <w:r>
        <w:tab/>
        <w:t>592</w:t>
      </w:r>
    </w:p>
    <w:p w:rsidR="00E911ED" w:rsidRDefault="00E911ED" w:rsidP="00E911ED">
      <w:pPr>
        <w:pStyle w:val="Rejstk2"/>
        <w:tabs>
          <w:tab w:val="right" w:leader="dot" w:pos="4171"/>
        </w:tabs>
        <w:spacing w:line="240" w:lineRule="auto"/>
      </w:pPr>
      <w:r>
        <w:t>ontoteologie</w:t>
      </w:r>
      <w:r>
        <w:tab/>
        <w:t>102</w:t>
      </w:r>
    </w:p>
    <w:p w:rsidR="00E911ED" w:rsidRDefault="00E911ED" w:rsidP="00E911ED">
      <w:pPr>
        <w:pStyle w:val="Rejstk2"/>
        <w:tabs>
          <w:tab w:val="right" w:leader="dot" w:pos="4171"/>
        </w:tabs>
        <w:spacing w:line="240" w:lineRule="auto"/>
      </w:pPr>
      <w:r w:rsidRPr="004B4DFF">
        <w:rPr>
          <w:i/>
          <w:iCs/>
        </w:rPr>
        <w:t>religio</w:t>
      </w:r>
      <w:r>
        <w:tab/>
        <w:t>947</w:t>
      </w:r>
    </w:p>
    <w:p w:rsidR="00E911ED" w:rsidRDefault="00E911ED" w:rsidP="00E911ED">
      <w:pPr>
        <w:pStyle w:val="Rejstk2"/>
        <w:tabs>
          <w:tab w:val="right" w:leader="dot" w:pos="4171"/>
        </w:tabs>
        <w:spacing w:line="240" w:lineRule="auto"/>
      </w:pPr>
      <w:r w:rsidRPr="004B4DFF">
        <w:rPr>
          <w:i/>
        </w:rPr>
        <w:t>secundum quid simpliciter</w:t>
      </w:r>
      <w:r>
        <w:tab/>
        <w:t>764</w:t>
      </w:r>
    </w:p>
    <w:p w:rsidR="00E911ED" w:rsidRDefault="00E911ED" w:rsidP="00E911ED">
      <w:pPr>
        <w:pStyle w:val="Rejstk2"/>
        <w:tabs>
          <w:tab w:val="right" w:leader="dot" w:pos="4171"/>
        </w:tabs>
        <w:spacing w:line="240" w:lineRule="auto"/>
      </w:pPr>
      <w:r w:rsidRPr="004B4DFF">
        <w:rPr>
          <w:i/>
        </w:rPr>
        <w:t>tantum haec</w:t>
      </w:r>
      <w:r>
        <w:tab/>
        <w:t>588</w:t>
      </w:r>
    </w:p>
    <w:p w:rsidR="00E911ED" w:rsidRDefault="00E911ED" w:rsidP="00E911ED">
      <w:pPr>
        <w:pStyle w:val="Rejstk2"/>
        <w:tabs>
          <w:tab w:val="right" w:leader="dot" w:pos="4171"/>
        </w:tabs>
        <w:spacing w:line="240" w:lineRule="auto"/>
      </w:pPr>
      <w:r>
        <w:t>vznik</w:t>
      </w:r>
      <w:r>
        <w:tab/>
        <w:t>22</w:t>
      </w:r>
    </w:p>
    <w:p w:rsidR="00E911ED" w:rsidRDefault="00E911ED" w:rsidP="00E911ED">
      <w:pPr>
        <w:pStyle w:val="Rejstk1"/>
        <w:tabs>
          <w:tab w:val="right" w:leader="dot" w:pos="4171"/>
        </w:tabs>
        <w:spacing w:line="240" w:lineRule="auto"/>
      </w:pPr>
      <w:r>
        <w:t>objektivní aristotelismus</w:t>
      </w:r>
      <w:r>
        <w:tab/>
        <w:t>237</w:t>
      </w:r>
    </w:p>
    <w:p w:rsidR="00E911ED" w:rsidRDefault="00E911ED" w:rsidP="00E911ED">
      <w:pPr>
        <w:pStyle w:val="Rejstk1"/>
        <w:tabs>
          <w:tab w:val="right" w:leader="dot" w:pos="4171"/>
        </w:tabs>
        <w:spacing w:line="240" w:lineRule="auto"/>
      </w:pPr>
      <w:r w:rsidRPr="004B4DFF">
        <w:t>Ockham</w:t>
      </w:r>
      <w:r w:rsidR="00F57279">
        <w:t xml:space="preserve">, W., viz </w:t>
      </w:r>
      <w:r w:rsidR="00F57279" w:rsidRPr="00F57279">
        <w:rPr>
          <w:i/>
        </w:rPr>
        <w:t>Index locorum</w:t>
      </w:r>
    </w:p>
    <w:p w:rsidR="00E911ED" w:rsidRDefault="00E911ED" w:rsidP="00E911ED">
      <w:pPr>
        <w:pStyle w:val="Rejstk1"/>
        <w:tabs>
          <w:tab w:val="right" w:leader="dot" w:pos="4171"/>
        </w:tabs>
        <w:spacing w:line="240" w:lineRule="auto"/>
      </w:pPr>
      <w:r>
        <w:t>Ockhamova břitva</w:t>
      </w:r>
      <w:r>
        <w:tab/>
        <w:t>682, 770, 795</w:t>
      </w:r>
    </w:p>
    <w:p w:rsidR="00E911ED" w:rsidRDefault="00E911ED" w:rsidP="00E911ED">
      <w:pPr>
        <w:pStyle w:val="Rejstk1"/>
        <w:tabs>
          <w:tab w:val="right" w:leader="dot" w:pos="4171"/>
        </w:tabs>
        <w:spacing w:line="240" w:lineRule="auto"/>
      </w:pPr>
      <w:r>
        <w:t>očistec</w:t>
      </w:r>
      <w:r>
        <w:tab/>
        <w:t>561, 821</w:t>
      </w:r>
    </w:p>
    <w:p w:rsidR="00E911ED" w:rsidRDefault="00E911ED" w:rsidP="00E911ED">
      <w:pPr>
        <w:pStyle w:val="Rejstk1"/>
        <w:tabs>
          <w:tab w:val="right" w:leader="dot" w:pos="4171"/>
        </w:tabs>
        <w:spacing w:line="240" w:lineRule="auto"/>
      </w:pPr>
      <w:r>
        <w:t>odsouzení 1270</w:t>
      </w:r>
      <w:r>
        <w:tab/>
        <w:t>90, 94</w:t>
      </w:r>
    </w:p>
    <w:p w:rsidR="00E911ED" w:rsidRDefault="00E911ED" w:rsidP="00E911ED">
      <w:pPr>
        <w:pStyle w:val="Rejstk1"/>
        <w:tabs>
          <w:tab w:val="right" w:leader="dot" w:pos="4171"/>
        </w:tabs>
        <w:spacing w:line="240" w:lineRule="auto"/>
      </w:pPr>
      <w:r>
        <w:t>odsouzení 1277</w:t>
      </w:r>
      <w:r>
        <w:tab/>
        <w:t>58, 60, 132, 162, 257, 302, 507, 643, 799, 825, 849, 882</w:t>
      </w:r>
    </w:p>
    <w:p w:rsidR="00E911ED" w:rsidRDefault="00E911ED" w:rsidP="00E911ED">
      <w:pPr>
        <w:pStyle w:val="Rejstk1"/>
        <w:tabs>
          <w:tab w:val="right" w:leader="dot" w:pos="4171"/>
        </w:tabs>
        <w:spacing w:line="240" w:lineRule="auto"/>
      </w:pPr>
      <w:r>
        <w:t>Oidipus</w:t>
      </w:r>
      <w:r>
        <w:tab/>
        <w:t>940</w:t>
      </w:r>
    </w:p>
    <w:p w:rsidR="00E911ED" w:rsidRDefault="00E911ED" w:rsidP="00E911ED">
      <w:pPr>
        <w:pStyle w:val="Rejstk1"/>
        <w:tabs>
          <w:tab w:val="right" w:leader="dot" w:pos="4171"/>
        </w:tabs>
        <w:spacing w:line="240" w:lineRule="auto"/>
      </w:pPr>
      <w:r>
        <w:t>Oldradus de Ponte</w:t>
      </w:r>
      <w:r w:rsidR="00F57279">
        <w:t xml:space="preserve">, viz </w:t>
      </w:r>
      <w:r w:rsidR="00F57279" w:rsidRPr="00F57279">
        <w:rPr>
          <w:i/>
        </w:rPr>
        <w:t>Index locorum</w:t>
      </w:r>
      <w:r>
        <w:tab/>
        <w:t>852</w:t>
      </w:r>
    </w:p>
    <w:p w:rsidR="00E911ED" w:rsidRDefault="00E911ED" w:rsidP="00E911ED">
      <w:pPr>
        <w:pStyle w:val="Rejstk1"/>
        <w:tabs>
          <w:tab w:val="right" w:leader="dot" w:pos="4171"/>
        </w:tabs>
        <w:spacing w:line="240" w:lineRule="auto"/>
      </w:pPr>
      <w:r>
        <w:t>Olivi</w:t>
      </w:r>
      <w:r w:rsidR="00F57279">
        <w:t xml:space="preserve">, J., viz </w:t>
      </w:r>
      <w:r w:rsidR="00F57279" w:rsidRPr="00F57279">
        <w:rPr>
          <w:i/>
        </w:rPr>
        <w:t>Index locorum</w:t>
      </w:r>
    </w:p>
    <w:p w:rsidR="00E911ED" w:rsidRDefault="00E911ED" w:rsidP="00E911ED">
      <w:pPr>
        <w:pStyle w:val="Rejstk1"/>
        <w:tabs>
          <w:tab w:val="right" w:leader="dot" w:pos="4171"/>
        </w:tabs>
        <w:spacing w:line="240" w:lineRule="auto"/>
      </w:pPr>
      <w:r>
        <w:t>Omezené‒Neomezené</w:t>
      </w:r>
      <w:r>
        <w:tab/>
        <w:t>585</w:t>
      </w:r>
    </w:p>
    <w:p w:rsidR="00E911ED" w:rsidRDefault="00E911ED" w:rsidP="00E911ED">
      <w:pPr>
        <w:pStyle w:val="Rejstk1"/>
        <w:tabs>
          <w:tab w:val="right" w:leader="dot" w:pos="4171"/>
        </w:tabs>
        <w:spacing w:line="240" w:lineRule="auto"/>
      </w:pPr>
      <w:r>
        <w:t>ontoteologie</w:t>
      </w:r>
      <w:r>
        <w:tab/>
        <w:t>37</w:t>
      </w:r>
    </w:p>
    <w:p w:rsidR="00E911ED" w:rsidRDefault="00E911ED" w:rsidP="00E911ED">
      <w:pPr>
        <w:pStyle w:val="Rejstk2"/>
        <w:tabs>
          <w:tab w:val="right" w:leader="dot" w:pos="4171"/>
        </w:tabs>
        <w:spacing w:line="240" w:lineRule="auto"/>
      </w:pPr>
      <w:r>
        <w:t>Bonaventura</w:t>
      </w:r>
      <w:r>
        <w:tab/>
        <w:t>37, 47, 88, 490</w:t>
      </w:r>
    </w:p>
    <w:p w:rsidR="00E911ED" w:rsidRDefault="00E911ED" w:rsidP="00E911ED">
      <w:pPr>
        <w:pStyle w:val="Rejstk2"/>
        <w:tabs>
          <w:tab w:val="right" w:leader="dot" w:pos="4171"/>
        </w:tabs>
        <w:spacing w:line="240" w:lineRule="auto"/>
      </w:pPr>
      <w:r>
        <w:t>druhý averroismus</w:t>
      </w:r>
      <w:r>
        <w:tab/>
        <w:t>737, 884</w:t>
      </w:r>
    </w:p>
    <w:p w:rsidR="00E911ED" w:rsidRDefault="00E911ED" w:rsidP="00E911ED">
      <w:pPr>
        <w:pStyle w:val="Rejstk2"/>
        <w:tabs>
          <w:tab w:val="right" w:leader="dot" w:pos="4171"/>
        </w:tabs>
        <w:spacing w:line="240" w:lineRule="auto"/>
      </w:pPr>
      <w:r>
        <w:t>Gandavus</w:t>
      </w:r>
      <w:r>
        <w:tab/>
        <w:t>582, 602, 639, 643</w:t>
      </w:r>
    </w:p>
    <w:p w:rsidR="00E911ED" w:rsidRDefault="00E911ED" w:rsidP="00E911ED">
      <w:pPr>
        <w:pStyle w:val="Rejstk2"/>
        <w:tabs>
          <w:tab w:val="right" w:leader="dot" w:pos="4171"/>
        </w:tabs>
        <w:spacing w:line="240" w:lineRule="auto"/>
      </w:pPr>
      <w:r>
        <w:t>Jamblichos</w:t>
      </w:r>
      <w:r>
        <w:tab/>
        <w:t>53, 98, 249, 257, 575</w:t>
      </w:r>
    </w:p>
    <w:p w:rsidR="00E911ED" w:rsidRDefault="00E911ED" w:rsidP="00E911ED">
      <w:pPr>
        <w:pStyle w:val="Rejstk2"/>
        <w:tabs>
          <w:tab w:val="right" w:leader="dot" w:pos="4171"/>
        </w:tabs>
        <w:spacing w:line="240" w:lineRule="auto"/>
      </w:pPr>
      <w:r>
        <w:t>kritika Ockhama</w:t>
      </w:r>
      <w:r>
        <w:tab/>
        <w:t>810</w:t>
      </w:r>
    </w:p>
    <w:p w:rsidR="00E911ED" w:rsidRDefault="00E911ED" w:rsidP="00E911ED">
      <w:pPr>
        <w:pStyle w:val="Rejstk2"/>
        <w:tabs>
          <w:tab w:val="right" w:leader="dot" w:pos="4171"/>
        </w:tabs>
        <w:spacing w:line="240" w:lineRule="auto"/>
      </w:pPr>
      <w:r>
        <w:t>kritika Sigera</w:t>
      </w:r>
      <w:r>
        <w:tab/>
        <w:t>250, 256</w:t>
      </w:r>
    </w:p>
    <w:p w:rsidR="00E911ED" w:rsidRDefault="00E911ED" w:rsidP="00E911ED">
      <w:pPr>
        <w:pStyle w:val="Rejstk2"/>
        <w:tabs>
          <w:tab w:val="right" w:leader="dot" w:pos="4171"/>
        </w:tabs>
        <w:spacing w:line="240" w:lineRule="auto"/>
      </w:pPr>
      <w:r>
        <w:t>moderna</w:t>
      </w:r>
      <w:r>
        <w:tab/>
        <w:t>252, 254, 257, 498, 826</w:t>
      </w:r>
    </w:p>
    <w:p w:rsidR="00E911ED" w:rsidRDefault="00E911ED" w:rsidP="00E911ED">
      <w:pPr>
        <w:pStyle w:val="Rejstk2"/>
        <w:tabs>
          <w:tab w:val="right" w:leader="dot" w:pos="4171"/>
        </w:tabs>
        <w:spacing w:line="240" w:lineRule="auto"/>
      </w:pPr>
      <w:r>
        <w:t>Olivi</w:t>
      </w:r>
      <w:r>
        <w:tab/>
        <w:t>507</w:t>
      </w:r>
    </w:p>
    <w:p w:rsidR="00E911ED" w:rsidRDefault="00E911ED" w:rsidP="00E911ED">
      <w:pPr>
        <w:pStyle w:val="Rejstk2"/>
        <w:tabs>
          <w:tab w:val="right" w:leader="dot" w:pos="4171"/>
        </w:tabs>
        <w:spacing w:line="240" w:lineRule="auto"/>
      </w:pPr>
      <w:r>
        <w:t>Pecham</w:t>
      </w:r>
      <w:r>
        <w:tab/>
        <w:t>159</w:t>
      </w:r>
    </w:p>
    <w:p w:rsidR="00E911ED" w:rsidRDefault="00E911ED" w:rsidP="00E911ED">
      <w:pPr>
        <w:pStyle w:val="Rejstk1"/>
        <w:tabs>
          <w:tab w:val="right" w:leader="dot" w:pos="4171"/>
        </w:tabs>
        <w:spacing w:line="240" w:lineRule="auto"/>
      </w:pPr>
      <w:r w:rsidRPr="004B4DFF">
        <w:rPr>
          <w:i/>
        </w:rPr>
        <w:t>opinabile</w:t>
      </w:r>
      <w:r>
        <w:tab/>
        <w:t>47</w:t>
      </w:r>
    </w:p>
    <w:p w:rsidR="00E911ED" w:rsidRDefault="00E911ED" w:rsidP="00E911ED">
      <w:pPr>
        <w:pStyle w:val="Rejstk1"/>
        <w:tabs>
          <w:tab w:val="right" w:leader="dot" w:pos="4171"/>
        </w:tabs>
        <w:spacing w:line="240" w:lineRule="auto"/>
      </w:pPr>
      <w:r w:rsidRPr="004B4DFF">
        <w:rPr>
          <w:i/>
        </w:rPr>
        <w:t>opus magnum</w:t>
      </w:r>
      <w:r>
        <w:tab/>
        <w:t>827</w:t>
      </w:r>
    </w:p>
    <w:p w:rsidR="00E911ED" w:rsidRDefault="00E911ED" w:rsidP="00E911ED">
      <w:pPr>
        <w:pStyle w:val="Rejstk1"/>
        <w:tabs>
          <w:tab w:val="right" w:leader="dot" w:pos="4171"/>
        </w:tabs>
        <w:spacing w:line="240" w:lineRule="auto"/>
      </w:pPr>
      <w:r>
        <w:t>orthotomie</w:t>
      </w:r>
      <w:r>
        <w:tab/>
        <w:t>802</w:t>
      </w:r>
    </w:p>
    <w:p w:rsidR="00E911ED" w:rsidRDefault="00E911ED" w:rsidP="00E911ED">
      <w:pPr>
        <w:pStyle w:val="Rejstk1"/>
        <w:tabs>
          <w:tab w:val="right" w:leader="dot" w:pos="4171"/>
        </w:tabs>
        <w:spacing w:line="240" w:lineRule="auto"/>
      </w:pPr>
      <w:r w:rsidRPr="004B4DFF">
        <w:rPr>
          <w:i/>
        </w:rPr>
        <w:t>ortus scientiarum</w:t>
      </w:r>
      <w:r>
        <w:tab/>
        <w:t>2, 120, 514, 518, 553, 948</w:t>
      </w:r>
    </w:p>
    <w:p w:rsidR="00E911ED" w:rsidRDefault="00E911ED" w:rsidP="00E911ED">
      <w:pPr>
        <w:pStyle w:val="Rejstk1"/>
        <w:tabs>
          <w:tab w:val="right" w:leader="dot" w:pos="4171"/>
        </w:tabs>
        <w:spacing w:line="240" w:lineRule="auto"/>
      </w:pPr>
      <w:r>
        <w:t>osoba</w:t>
      </w:r>
    </w:p>
    <w:p w:rsidR="00E911ED" w:rsidRDefault="00E911ED" w:rsidP="00E911ED">
      <w:pPr>
        <w:pStyle w:val="Rejstk2"/>
        <w:tabs>
          <w:tab w:val="right" w:leader="dot" w:pos="4171"/>
        </w:tabs>
        <w:spacing w:line="240" w:lineRule="auto"/>
      </w:pPr>
      <w:r w:rsidRPr="004B4DFF">
        <w:rPr>
          <w:i/>
        </w:rPr>
        <w:t>animal laborans</w:t>
      </w:r>
      <w:r>
        <w:tab/>
        <w:t>573</w:t>
      </w:r>
    </w:p>
    <w:p w:rsidR="00E911ED" w:rsidRDefault="00E911ED" w:rsidP="00E911ED">
      <w:pPr>
        <w:pStyle w:val="Rejstk2"/>
        <w:tabs>
          <w:tab w:val="right" w:leader="dot" w:pos="4171"/>
        </w:tabs>
        <w:spacing w:line="240" w:lineRule="auto"/>
      </w:pPr>
      <w:r>
        <w:t>bezdomovec</w:t>
      </w:r>
      <w:r>
        <w:tab/>
        <w:t>504</w:t>
      </w:r>
    </w:p>
    <w:p w:rsidR="00E911ED" w:rsidRDefault="00E911ED" w:rsidP="00E911ED">
      <w:pPr>
        <w:pStyle w:val="Rejstk2"/>
        <w:tabs>
          <w:tab w:val="right" w:leader="dot" w:pos="4171"/>
        </w:tabs>
        <w:spacing w:line="240" w:lineRule="auto"/>
      </w:pPr>
      <w:r>
        <w:t>Boethius</w:t>
      </w:r>
      <w:r>
        <w:tab/>
        <w:t>143</w:t>
      </w:r>
    </w:p>
    <w:p w:rsidR="00E911ED" w:rsidRDefault="00E911ED" w:rsidP="00E911ED">
      <w:pPr>
        <w:pStyle w:val="Rejstk2"/>
        <w:tabs>
          <w:tab w:val="right" w:leader="dot" w:pos="4171"/>
        </w:tabs>
        <w:spacing w:line="240" w:lineRule="auto"/>
      </w:pPr>
      <w:r w:rsidRPr="004B4DFF">
        <w:rPr>
          <w:i/>
        </w:rPr>
        <w:t>causa sui</w:t>
      </w:r>
      <w:r>
        <w:tab/>
        <w:t>896</w:t>
      </w:r>
    </w:p>
    <w:p w:rsidR="00E911ED" w:rsidRDefault="00E911ED" w:rsidP="00E911ED">
      <w:pPr>
        <w:pStyle w:val="Rejstk2"/>
        <w:tabs>
          <w:tab w:val="right" w:leader="dot" w:pos="4171"/>
        </w:tabs>
        <w:spacing w:line="240" w:lineRule="auto"/>
      </w:pPr>
      <w:r>
        <w:t>čarodějnictví</w:t>
      </w:r>
      <w:r>
        <w:tab/>
        <w:t>842, 844</w:t>
      </w:r>
    </w:p>
    <w:p w:rsidR="00E911ED" w:rsidRDefault="00E911ED" w:rsidP="00E911ED">
      <w:pPr>
        <w:pStyle w:val="Rejstk2"/>
        <w:tabs>
          <w:tab w:val="right" w:leader="dot" w:pos="4171"/>
        </w:tabs>
        <w:spacing w:line="240" w:lineRule="auto"/>
      </w:pPr>
      <w:r>
        <w:t>druhý averroismus</w:t>
      </w:r>
      <w:r>
        <w:tab/>
        <w:t>141</w:t>
      </w:r>
    </w:p>
    <w:p w:rsidR="00E911ED" w:rsidRDefault="00E911ED" w:rsidP="00E911ED">
      <w:pPr>
        <w:pStyle w:val="Rejstk2"/>
        <w:tabs>
          <w:tab w:val="right" w:leader="dot" w:pos="4171"/>
        </w:tabs>
        <w:spacing w:line="240" w:lineRule="auto"/>
      </w:pPr>
      <w:r>
        <w:t>dualismus</w:t>
      </w:r>
      <w:r>
        <w:tab/>
        <w:t>79, 80, 89, 136, 158, 171, 223, 409, 448, 456, 465, 578, 775, 859, 908</w:t>
      </w:r>
    </w:p>
    <w:p w:rsidR="00E911ED" w:rsidRDefault="00E911ED" w:rsidP="00E911ED">
      <w:pPr>
        <w:pStyle w:val="Rejstk2"/>
        <w:tabs>
          <w:tab w:val="right" w:leader="dot" w:pos="4171"/>
        </w:tabs>
        <w:spacing w:line="240" w:lineRule="auto"/>
      </w:pPr>
      <w:r w:rsidRPr="004B4DFF">
        <w:rPr>
          <w:i/>
        </w:rPr>
        <w:t>electio</w:t>
      </w:r>
      <w:r>
        <w:tab/>
        <w:t>569, 570</w:t>
      </w:r>
    </w:p>
    <w:p w:rsidR="00E911ED" w:rsidRDefault="00E911ED" w:rsidP="00E911ED">
      <w:pPr>
        <w:pStyle w:val="Rejstk2"/>
        <w:tabs>
          <w:tab w:val="right" w:leader="dot" w:pos="4171"/>
        </w:tabs>
        <w:spacing w:line="240" w:lineRule="auto"/>
      </w:pPr>
      <w:r>
        <w:t>esenciální definice</w:t>
      </w:r>
      <w:r>
        <w:tab/>
        <w:t>267</w:t>
      </w:r>
    </w:p>
    <w:p w:rsidR="00E911ED" w:rsidRDefault="00E911ED" w:rsidP="00E911ED">
      <w:pPr>
        <w:pStyle w:val="Rejstk2"/>
        <w:tabs>
          <w:tab w:val="right" w:leader="dot" w:pos="4171"/>
        </w:tabs>
        <w:spacing w:line="240" w:lineRule="auto"/>
      </w:pPr>
      <w:r w:rsidRPr="004B4DFF">
        <w:rPr>
          <w:i/>
        </w:rPr>
        <w:t>experimur</w:t>
      </w:r>
      <w:r>
        <w:t>/</w:t>
      </w:r>
      <w:r w:rsidRPr="004B4DFF">
        <w:rPr>
          <w:i/>
        </w:rPr>
        <w:t>conscii sumus</w:t>
      </w:r>
      <w:r>
        <w:tab/>
        <w:t>351</w:t>
      </w:r>
    </w:p>
    <w:p w:rsidR="00E911ED" w:rsidRDefault="00E911ED" w:rsidP="00E911ED">
      <w:pPr>
        <w:pStyle w:val="Rejstk2"/>
        <w:tabs>
          <w:tab w:val="right" w:leader="dot" w:pos="4171"/>
        </w:tabs>
        <w:spacing w:line="240" w:lineRule="auto"/>
      </w:pPr>
      <w:r w:rsidRPr="004B4DFF">
        <w:rPr>
          <w:i/>
        </w:rPr>
        <w:t>homme capable</w:t>
      </w:r>
      <w:r>
        <w:tab/>
        <w:t>362</w:t>
      </w:r>
    </w:p>
    <w:p w:rsidR="00E911ED" w:rsidRDefault="00E911ED" w:rsidP="00E911ED">
      <w:pPr>
        <w:pStyle w:val="Rejstk2"/>
        <w:tabs>
          <w:tab w:val="right" w:leader="dot" w:pos="4171"/>
        </w:tabs>
        <w:spacing w:line="240" w:lineRule="auto"/>
      </w:pPr>
      <w:r w:rsidRPr="004B4DFF">
        <w:rPr>
          <w:i/>
        </w:rPr>
        <w:t>homo economicus</w:t>
      </w:r>
      <w:r>
        <w:tab/>
        <w:t>566</w:t>
      </w:r>
    </w:p>
    <w:p w:rsidR="00E911ED" w:rsidRDefault="00E911ED" w:rsidP="00E911ED">
      <w:pPr>
        <w:pStyle w:val="Rejstk2"/>
        <w:tabs>
          <w:tab w:val="right" w:leader="dot" w:pos="4171"/>
        </w:tabs>
        <w:spacing w:line="240" w:lineRule="auto"/>
      </w:pPr>
      <w:r w:rsidRPr="004B4DFF">
        <w:rPr>
          <w:i/>
          <w:lang w:eastAsia="en-US"/>
        </w:rPr>
        <w:t>homo intelligit</w:t>
      </w:r>
      <w:r>
        <w:tab/>
        <w:t>268, 339, 344, 415, 418, 435, 469, 475</w:t>
      </w:r>
    </w:p>
    <w:p w:rsidR="00E911ED" w:rsidRDefault="00E911ED" w:rsidP="00E911ED">
      <w:pPr>
        <w:pStyle w:val="Rejstk2"/>
        <w:tabs>
          <w:tab w:val="right" w:leader="dot" w:pos="4171"/>
        </w:tabs>
        <w:spacing w:line="240" w:lineRule="auto"/>
      </w:pPr>
      <w:r w:rsidRPr="004B4DFF">
        <w:rPr>
          <w:i/>
        </w:rPr>
        <w:t>homo ipse intelligit</w:t>
      </w:r>
      <w:r>
        <w:tab/>
        <w:t>175, 268, 275, 316, 322, 323, 330, 332, 333, 335, 336, 339, 343, 344, 346, 361, 408, 416, 418, 423, 428, 435, 438, 442, 444, 465, 475, 477, 485, 513, 537, 542, 774, 776, 817, 836</w:t>
      </w:r>
    </w:p>
    <w:p w:rsidR="00E911ED" w:rsidRDefault="00E911ED" w:rsidP="00E911ED">
      <w:pPr>
        <w:pStyle w:val="Rejstk2"/>
        <w:tabs>
          <w:tab w:val="right" w:leader="dot" w:pos="4171"/>
        </w:tabs>
        <w:spacing w:line="240" w:lineRule="auto"/>
      </w:pPr>
      <w:r>
        <w:t>hylemorfická jednota</w:t>
      </w:r>
      <w:r>
        <w:tab/>
        <w:t>220</w:t>
      </w:r>
    </w:p>
    <w:p w:rsidR="00E911ED" w:rsidRDefault="00E911ED" w:rsidP="00E911ED">
      <w:pPr>
        <w:pStyle w:val="Rejstk2"/>
        <w:tabs>
          <w:tab w:val="right" w:leader="dot" w:pos="4171"/>
        </w:tabs>
        <w:spacing w:line="240" w:lineRule="auto"/>
      </w:pPr>
      <w:r>
        <w:t>hylemorfická substance</w:t>
      </w:r>
      <w:r>
        <w:tab/>
        <w:t>221, 243, 246, 310</w:t>
      </w:r>
    </w:p>
    <w:p w:rsidR="00E911ED" w:rsidRDefault="00E911ED" w:rsidP="00E911ED">
      <w:pPr>
        <w:pStyle w:val="Rejstk2"/>
        <w:tabs>
          <w:tab w:val="right" w:leader="dot" w:pos="4171"/>
        </w:tabs>
        <w:spacing w:line="240" w:lineRule="auto"/>
      </w:pPr>
      <w:r>
        <w:t>identita DNA</w:t>
      </w:r>
      <w:r>
        <w:tab/>
        <w:t>520</w:t>
      </w:r>
    </w:p>
    <w:p w:rsidR="00E911ED" w:rsidRDefault="00E911ED" w:rsidP="00E911ED">
      <w:pPr>
        <w:pStyle w:val="Rejstk2"/>
        <w:tabs>
          <w:tab w:val="right" w:leader="dot" w:pos="4171"/>
        </w:tabs>
        <w:spacing w:line="240" w:lineRule="auto"/>
      </w:pPr>
      <w:r>
        <w:t>intimita</w:t>
      </w:r>
      <w:r>
        <w:tab/>
        <w:t>539, 622</w:t>
      </w:r>
    </w:p>
    <w:p w:rsidR="00E911ED" w:rsidRDefault="00E911ED" w:rsidP="00E911ED">
      <w:pPr>
        <w:pStyle w:val="Rejstk2"/>
        <w:tabs>
          <w:tab w:val="right" w:leader="dot" w:pos="4171"/>
        </w:tabs>
        <w:spacing w:line="240" w:lineRule="auto"/>
      </w:pPr>
      <w:r w:rsidRPr="004B4DFF">
        <w:rPr>
          <w:i/>
        </w:rPr>
        <w:t>ipsa fide</w:t>
      </w:r>
      <w:r>
        <w:tab/>
        <w:t>570</w:t>
      </w:r>
    </w:p>
    <w:p w:rsidR="00E911ED" w:rsidRDefault="00E911ED" w:rsidP="00E911ED">
      <w:pPr>
        <w:pStyle w:val="Rejstk2"/>
        <w:tabs>
          <w:tab w:val="right" w:leader="dot" w:pos="4171"/>
        </w:tabs>
        <w:spacing w:line="240" w:lineRule="auto"/>
      </w:pPr>
      <w:r w:rsidRPr="004B4DFF">
        <w:rPr>
          <w:i/>
        </w:rPr>
        <w:t>ipse</w:t>
      </w:r>
      <w:r>
        <w:t>/</w:t>
      </w:r>
      <w:r w:rsidRPr="004B4DFF">
        <w:rPr>
          <w:i/>
        </w:rPr>
        <w:t>idem</w:t>
      </w:r>
      <w:r>
        <w:tab/>
        <w:t>268, 275, 328, 339, 345, 350, 357, 360, 424, 429, 485</w:t>
      </w:r>
    </w:p>
    <w:p w:rsidR="00E911ED" w:rsidRDefault="00E911ED" w:rsidP="00E911ED">
      <w:pPr>
        <w:pStyle w:val="Rejstk2"/>
        <w:tabs>
          <w:tab w:val="right" w:leader="dot" w:pos="4171"/>
        </w:tabs>
        <w:spacing w:line="240" w:lineRule="auto"/>
      </w:pPr>
      <w:r w:rsidRPr="004B4DFF">
        <w:rPr>
          <w:i/>
        </w:rPr>
        <w:t>ipse</w:t>
      </w:r>
      <w:r>
        <w:t>‒</w:t>
      </w:r>
      <w:r w:rsidRPr="004B4DFF">
        <w:rPr>
          <w:i/>
        </w:rPr>
        <w:t>idem</w:t>
      </w:r>
      <w:r>
        <w:tab/>
        <w:t>363</w:t>
      </w:r>
    </w:p>
    <w:p w:rsidR="00E911ED" w:rsidRDefault="00E911ED" w:rsidP="00E911ED">
      <w:pPr>
        <w:pStyle w:val="Rejstk2"/>
        <w:tabs>
          <w:tab w:val="right" w:leader="dot" w:pos="4171"/>
        </w:tabs>
        <w:spacing w:line="240" w:lineRule="auto"/>
      </w:pPr>
      <w:r>
        <w:t>ipseita</w:t>
      </w:r>
      <w:r>
        <w:tab/>
        <w:t>175, 244, 261, 284, 316, 349, 513, 538, 612, 628, 780</w:t>
      </w:r>
    </w:p>
    <w:p w:rsidR="00E911ED" w:rsidRDefault="00E911ED" w:rsidP="00E911ED">
      <w:pPr>
        <w:pStyle w:val="Rejstk2"/>
        <w:tabs>
          <w:tab w:val="right" w:leader="dot" w:pos="4171"/>
        </w:tabs>
        <w:spacing w:line="240" w:lineRule="auto"/>
      </w:pPr>
      <w:r>
        <w:t>lidské zdroje</w:t>
      </w:r>
      <w:r>
        <w:tab/>
        <w:t>130, 148</w:t>
      </w:r>
    </w:p>
    <w:p w:rsidR="00E911ED" w:rsidRDefault="00E911ED" w:rsidP="00E911ED">
      <w:pPr>
        <w:pStyle w:val="Rejstk2"/>
        <w:tabs>
          <w:tab w:val="right" w:leader="dot" w:pos="4171"/>
        </w:tabs>
        <w:spacing w:line="240" w:lineRule="auto"/>
      </w:pPr>
      <w:r>
        <w:t>nihilismus</w:t>
      </w:r>
      <w:r>
        <w:tab/>
        <w:t>364</w:t>
      </w:r>
    </w:p>
    <w:p w:rsidR="00E911ED" w:rsidRDefault="00E911ED" w:rsidP="00E911ED">
      <w:pPr>
        <w:pStyle w:val="Rejstk2"/>
        <w:tabs>
          <w:tab w:val="right" w:leader="dot" w:pos="4171"/>
        </w:tabs>
        <w:spacing w:line="240" w:lineRule="auto"/>
      </w:pPr>
      <w:r>
        <w:t>pluralita forem</w:t>
      </w:r>
      <w:r>
        <w:tab/>
        <w:t>466</w:t>
      </w:r>
    </w:p>
    <w:p w:rsidR="00E911ED" w:rsidRDefault="00E911ED" w:rsidP="00E911ED">
      <w:pPr>
        <w:pStyle w:val="Rejstk2"/>
        <w:tabs>
          <w:tab w:val="right" w:leader="dot" w:pos="4171"/>
        </w:tabs>
        <w:spacing w:line="240" w:lineRule="auto"/>
      </w:pPr>
      <w:r>
        <w:t>pluralita substancí</w:t>
      </w:r>
      <w:r>
        <w:tab/>
        <w:t>67, 142, 144, 148, 209, 315, 401, 415, 498, 507, 816, 843</w:t>
      </w:r>
    </w:p>
    <w:p w:rsidR="00E911ED" w:rsidRDefault="00E911ED" w:rsidP="00E911ED">
      <w:pPr>
        <w:pStyle w:val="Rejstk2"/>
        <w:tabs>
          <w:tab w:val="right" w:leader="dot" w:pos="4171"/>
        </w:tabs>
        <w:spacing w:line="240" w:lineRule="auto"/>
      </w:pPr>
      <w:r>
        <w:t>politicky jednající</w:t>
      </w:r>
      <w:r>
        <w:tab/>
        <w:t>898</w:t>
      </w:r>
    </w:p>
    <w:p w:rsidR="00E911ED" w:rsidRDefault="00E911ED" w:rsidP="00E911ED">
      <w:pPr>
        <w:pStyle w:val="Rejstk2"/>
        <w:tabs>
          <w:tab w:val="right" w:leader="dot" w:pos="4171"/>
        </w:tabs>
        <w:spacing w:line="240" w:lineRule="auto"/>
      </w:pPr>
      <w:r w:rsidRPr="004B4DFF">
        <w:rPr>
          <w:i/>
        </w:rPr>
        <w:t>principium individuationis</w:t>
      </w:r>
      <w:r>
        <w:tab/>
        <w:t>363</w:t>
      </w:r>
    </w:p>
    <w:p w:rsidR="00E911ED" w:rsidRDefault="00E911ED" w:rsidP="00E911ED">
      <w:pPr>
        <w:pStyle w:val="Rejstk2"/>
        <w:tabs>
          <w:tab w:val="right" w:leader="dot" w:pos="4171"/>
        </w:tabs>
        <w:spacing w:line="240" w:lineRule="auto"/>
      </w:pPr>
      <w:r>
        <w:t>první averroismus</w:t>
      </w:r>
      <w:r>
        <w:tab/>
        <w:t>75, 143</w:t>
      </w:r>
    </w:p>
    <w:p w:rsidR="00E911ED" w:rsidRDefault="00E911ED" w:rsidP="00E911ED">
      <w:pPr>
        <w:pStyle w:val="Rejstk2"/>
        <w:tabs>
          <w:tab w:val="right" w:leader="dot" w:pos="4171"/>
        </w:tabs>
        <w:spacing w:line="240" w:lineRule="auto"/>
      </w:pPr>
      <w:r w:rsidRPr="004B4DFF">
        <w:rPr>
          <w:i/>
          <w:iCs/>
        </w:rPr>
        <w:t>sola fide</w:t>
      </w:r>
      <w:r>
        <w:tab/>
        <w:t>948</w:t>
      </w:r>
    </w:p>
    <w:p w:rsidR="00E911ED" w:rsidRDefault="00E911ED" w:rsidP="00E911ED">
      <w:pPr>
        <w:pStyle w:val="Rejstk2"/>
        <w:tabs>
          <w:tab w:val="right" w:leader="dot" w:pos="4171"/>
        </w:tabs>
        <w:spacing w:line="240" w:lineRule="auto"/>
      </w:pPr>
      <w:r>
        <w:t>svobodné jednání</w:t>
      </w:r>
      <w:r>
        <w:tab/>
        <w:t>918</w:t>
      </w:r>
    </w:p>
    <w:p w:rsidR="00E911ED" w:rsidRDefault="00E911ED" w:rsidP="00E911ED">
      <w:pPr>
        <w:pStyle w:val="Rejstk2"/>
        <w:tabs>
          <w:tab w:val="right" w:leader="dot" w:pos="4171"/>
        </w:tabs>
        <w:spacing w:line="240" w:lineRule="auto"/>
      </w:pPr>
      <w:r>
        <w:t>tomismus</w:t>
      </w:r>
      <w:r>
        <w:tab/>
        <w:t>325</w:t>
      </w:r>
    </w:p>
    <w:p w:rsidR="00E911ED" w:rsidRDefault="00E911ED" w:rsidP="00E911ED">
      <w:pPr>
        <w:pStyle w:val="Rejstk2"/>
        <w:tabs>
          <w:tab w:val="right" w:leader="dot" w:pos="4171"/>
        </w:tabs>
        <w:spacing w:line="240" w:lineRule="auto"/>
      </w:pPr>
      <w:r w:rsidRPr="004B4DFF">
        <w:rPr>
          <w:i/>
        </w:rPr>
        <w:t>totum virtuale</w:t>
      </w:r>
      <w:r>
        <w:tab/>
        <w:t>145, 146, 147, 148, 153, 158, 170, 172, 225, 229, 490, 504, 574, 819</w:t>
      </w:r>
    </w:p>
    <w:p w:rsidR="00E911ED" w:rsidRDefault="00E911ED" w:rsidP="00E911ED">
      <w:pPr>
        <w:pStyle w:val="Rejstk2"/>
        <w:tabs>
          <w:tab w:val="right" w:leader="dot" w:pos="4171"/>
        </w:tabs>
        <w:spacing w:line="240" w:lineRule="auto"/>
      </w:pPr>
      <w:r>
        <w:t>třetího druhu</w:t>
      </w:r>
      <w:r>
        <w:tab/>
        <w:t>845</w:t>
      </w:r>
    </w:p>
    <w:p w:rsidR="00E911ED" w:rsidRDefault="00E911ED" w:rsidP="00E911ED">
      <w:pPr>
        <w:pStyle w:val="Rejstk2"/>
        <w:tabs>
          <w:tab w:val="right" w:leader="dot" w:pos="4171"/>
        </w:tabs>
        <w:spacing w:line="240" w:lineRule="auto"/>
      </w:pPr>
      <w:r w:rsidRPr="004B4DFF">
        <w:rPr>
          <w:i/>
        </w:rPr>
        <w:t>visage d'</w:t>
      </w:r>
      <w:r w:rsidRPr="004B4DFF">
        <w:rPr>
          <w:bCs/>
          <w:i/>
        </w:rPr>
        <w:t>Autrui</w:t>
      </w:r>
      <w:r>
        <w:tab/>
        <w:t>362</w:t>
      </w:r>
    </w:p>
    <w:p w:rsidR="00E911ED" w:rsidRDefault="00E911ED" w:rsidP="00E911ED">
      <w:pPr>
        <w:pStyle w:val="Rejstk1"/>
        <w:tabs>
          <w:tab w:val="right" w:leader="dot" w:pos="4171"/>
        </w:tabs>
        <w:spacing w:line="240" w:lineRule="auto"/>
      </w:pPr>
      <w:r>
        <w:t>ospravedlnění</w:t>
      </w:r>
      <w:r>
        <w:tab/>
        <w:t>569, 570, 820, 821</w:t>
      </w:r>
    </w:p>
    <w:p w:rsidR="00E911ED" w:rsidRDefault="00E911ED" w:rsidP="00E911ED">
      <w:pPr>
        <w:pStyle w:val="Rejstk1"/>
        <w:tabs>
          <w:tab w:val="right" w:leader="dot" w:pos="4171"/>
        </w:tabs>
        <w:spacing w:line="240" w:lineRule="auto"/>
      </w:pPr>
      <w:r>
        <w:t>otroctví</w:t>
      </w:r>
      <w:r>
        <w:tab/>
        <w:t>824</w:t>
      </w:r>
    </w:p>
    <w:p w:rsidR="00E911ED" w:rsidRDefault="00E911ED" w:rsidP="00E911ED">
      <w:pPr>
        <w:pStyle w:val="Rejstk1"/>
        <w:tabs>
          <w:tab w:val="right" w:leader="dot" w:pos="4171"/>
        </w:tabs>
        <w:spacing w:line="240" w:lineRule="auto"/>
      </w:pPr>
      <w:r w:rsidRPr="004B4DFF">
        <w:rPr>
          <w:i/>
        </w:rPr>
        <w:t>Oxfordian Fallacy</w:t>
      </w:r>
      <w:r>
        <w:tab/>
        <w:t>5, 6</w:t>
      </w:r>
    </w:p>
    <w:p w:rsidR="00E911ED" w:rsidRDefault="00E911ED" w:rsidP="00E911ED">
      <w:pPr>
        <w:pStyle w:val="Rejstk2"/>
        <w:tabs>
          <w:tab w:val="right" w:leader="dot" w:pos="4171"/>
        </w:tabs>
        <w:spacing w:line="240" w:lineRule="auto"/>
      </w:pPr>
      <w:r>
        <w:t>Aegidius Romanus</w:t>
      </w:r>
      <w:r>
        <w:tab/>
        <w:t>177</w:t>
      </w:r>
    </w:p>
    <w:p w:rsidR="00E911ED" w:rsidRDefault="00E911ED" w:rsidP="00E911ED">
      <w:pPr>
        <w:pStyle w:val="Rejstk2"/>
        <w:tabs>
          <w:tab w:val="right" w:leader="dot" w:pos="4171"/>
        </w:tabs>
        <w:spacing w:line="240" w:lineRule="auto"/>
      </w:pPr>
      <w:r>
        <w:t>Akvinský</w:t>
      </w:r>
      <w:r>
        <w:tab/>
        <w:t>266, 318, 426, 428, 429, 442, 450, 460, 462, 465</w:t>
      </w:r>
    </w:p>
    <w:p w:rsidR="00E911ED" w:rsidRDefault="00015ECD" w:rsidP="00E911ED">
      <w:pPr>
        <w:pStyle w:val="Rejstk2"/>
        <w:tabs>
          <w:tab w:val="right" w:leader="dot" w:pos="4171"/>
        </w:tabs>
        <w:spacing w:line="240" w:lineRule="auto"/>
      </w:pPr>
      <w:r>
        <w:t xml:space="preserve">kritka </w:t>
      </w:r>
      <w:r w:rsidR="00E911ED">
        <w:t>Albert</w:t>
      </w:r>
      <w:r>
        <w:t>a</w:t>
      </w:r>
      <w:r w:rsidR="00E911ED">
        <w:tab/>
        <w:t>331</w:t>
      </w:r>
    </w:p>
    <w:p w:rsidR="00E911ED" w:rsidRDefault="00E911ED" w:rsidP="00E911ED">
      <w:pPr>
        <w:pStyle w:val="Rejstk2"/>
        <w:tabs>
          <w:tab w:val="right" w:leader="dot" w:pos="4171"/>
        </w:tabs>
        <w:spacing w:line="240" w:lineRule="auto"/>
      </w:pPr>
      <w:r w:rsidRPr="00015ECD">
        <w:rPr>
          <w:i/>
        </w:rPr>
        <w:t>Anonym Bazán</w:t>
      </w:r>
      <w:r>
        <w:tab/>
        <w:t>234</w:t>
      </w:r>
    </w:p>
    <w:p w:rsidR="00E911ED" w:rsidRDefault="00E911ED" w:rsidP="00E911ED">
      <w:pPr>
        <w:pStyle w:val="Rejstk2"/>
        <w:tabs>
          <w:tab w:val="right" w:leader="dot" w:pos="4171"/>
        </w:tabs>
        <w:spacing w:line="240" w:lineRule="auto"/>
      </w:pPr>
      <w:r>
        <w:t>Bonaventura</w:t>
      </w:r>
      <w:r>
        <w:tab/>
        <w:t>20, 31, 57, 101, 102</w:t>
      </w:r>
    </w:p>
    <w:p w:rsidR="00E911ED" w:rsidRDefault="00E911ED" w:rsidP="00E911ED">
      <w:pPr>
        <w:pStyle w:val="Rejstk2"/>
        <w:tabs>
          <w:tab w:val="right" w:leader="dot" w:pos="4171"/>
        </w:tabs>
        <w:spacing w:line="240" w:lineRule="auto"/>
      </w:pPr>
      <w:r>
        <w:t>čarodějnictví</w:t>
      </w:r>
      <w:r>
        <w:tab/>
        <w:t>843</w:t>
      </w:r>
    </w:p>
    <w:p w:rsidR="00E911ED" w:rsidRDefault="00E911ED" w:rsidP="00E911ED">
      <w:pPr>
        <w:pStyle w:val="Rejstk2"/>
        <w:tabs>
          <w:tab w:val="right" w:leader="dot" w:pos="4171"/>
        </w:tabs>
        <w:spacing w:line="240" w:lineRule="auto"/>
      </w:pPr>
      <w:r>
        <w:t>druhý averroismus</w:t>
      </w:r>
      <w:r>
        <w:tab/>
        <w:t>311, 389, 615</w:t>
      </w:r>
    </w:p>
    <w:p w:rsidR="00E911ED" w:rsidRDefault="00E911ED" w:rsidP="00E911ED">
      <w:pPr>
        <w:pStyle w:val="Rejstk2"/>
        <w:tabs>
          <w:tab w:val="right" w:leader="dot" w:pos="4171"/>
        </w:tabs>
        <w:spacing w:line="240" w:lineRule="auto"/>
      </w:pPr>
      <w:r>
        <w:t>etika</w:t>
      </w:r>
      <w:r>
        <w:tab/>
        <w:t>865, 910, 912, 914, 922</w:t>
      </w:r>
    </w:p>
    <w:p w:rsidR="00E911ED" w:rsidRDefault="00E911ED" w:rsidP="00E911ED">
      <w:pPr>
        <w:pStyle w:val="Rejstk2"/>
        <w:tabs>
          <w:tab w:val="right" w:leader="dot" w:pos="4171"/>
        </w:tabs>
        <w:spacing w:line="240" w:lineRule="auto"/>
      </w:pPr>
      <w:r>
        <w:t>Gandavus</w:t>
      </w:r>
      <w:r>
        <w:tab/>
        <w:t>622, 624, 629, 634</w:t>
      </w:r>
    </w:p>
    <w:p w:rsidR="00E911ED" w:rsidRDefault="00E911ED" w:rsidP="00E911ED">
      <w:pPr>
        <w:pStyle w:val="Rejstk2"/>
        <w:tabs>
          <w:tab w:val="right" w:leader="dot" w:pos="4171"/>
        </w:tabs>
        <w:spacing w:line="240" w:lineRule="auto"/>
      </w:pPr>
      <w:r>
        <w:t>Grosseteste</w:t>
      </w:r>
      <w:r>
        <w:tab/>
        <w:t>725</w:t>
      </w:r>
    </w:p>
    <w:p w:rsidR="00E911ED" w:rsidRDefault="00E911ED" w:rsidP="00E911ED">
      <w:pPr>
        <w:pStyle w:val="Rejstk2"/>
        <w:tabs>
          <w:tab w:val="right" w:leader="dot" w:pos="4171"/>
        </w:tabs>
        <w:spacing w:line="240" w:lineRule="auto"/>
      </w:pPr>
      <w:r>
        <w:t>Kant</w:t>
      </w:r>
      <w:r>
        <w:tab/>
        <w:t>833</w:t>
      </w:r>
    </w:p>
    <w:p w:rsidR="00E911ED" w:rsidRDefault="00E911ED" w:rsidP="00E911ED">
      <w:pPr>
        <w:pStyle w:val="Rejstk2"/>
        <w:tabs>
          <w:tab w:val="right" w:leader="dot" w:pos="4171"/>
        </w:tabs>
        <w:spacing w:line="240" w:lineRule="auto"/>
      </w:pPr>
      <w:r>
        <w:t>kauzalita</w:t>
      </w:r>
      <w:r>
        <w:tab/>
        <w:t>677</w:t>
      </w:r>
    </w:p>
    <w:p w:rsidR="00E911ED" w:rsidRDefault="00E911ED" w:rsidP="00E911ED">
      <w:pPr>
        <w:pStyle w:val="Rejstk2"/>
        <w:tabs>
          <w:tab w:val="right" w:leader="dot" w:pos="4171"/>
        </w:tabs>
        <w:spacing w:line="240" w:lineRule="auto"/>
      </w:pPr>
      <w:r>
        <w:t>Kilwardby</w:t>
      </w:r>
      <w:r>
        <w:tab/>
        <w:t>449</w:t>
      </w:r>
    </w:p>
    <w:p w:rsidR="00E911ED" w:rsidRDefault="00E911ED" w:rsidP="00E911ED">
      <w:pPr>
        <w:pStyle w:val="Rejstk2"/>
        <w:tabs>
          <w:tab w:val="right" w:leader="dot" w:pos="4171"/>
        </w:tabs>
        <w:spacing w:line="240" w:lineRule="auto"/>
      </w:pPr>
      <w:r>
        <w:t>korporátní</w:t>
      </w:r>
      <w:r w:rsidRPr="004B4DFF">
        <w:rPr>
          <w:i/>
        </w:rPr>
        <w:t xml:space="preserve"> </w:t>
      </w:r>
      <w:r>
        <w:t>kapitalismus</w:t>
      </w:r>
      <w:r>
        <w:tab/>
        <w:t>130</w:t>
      </w:r>
    </w:p>
    <w:p w:rsidR="00E911ED" w:rsidRDefault="00E911ED" w:rsidP="00E911ED">
      <w:pPr>
        <w:pStyle w:val="Rejstk2"/>
        <w:tabs>
          <w:tab w:val="right" w:leader="dot" w:pos="4171"/>
        </w:tabs>
        <w:spacing w:line="240" w:lineRule="auto"/>
      </w:pPr>
      <w:r>
        <w:t>kritika Akvinského</w:t>
      </w:r>
      <w:r>
        <w:tab/>
        <w:t>391, 415</w:t>
      </w:r>
    </w:p>
    <w:p w:rsidR="00E911ED" w:rsidRDefault="00E911ED" w:rsidP="00E911ED">
      <w:pPr>
        <w:pStyle w:val="Rejstk2"/>
        <w:tabs>
          <w:tab w:val="right" w:leader="dot" w:pos="4171"/>
        </w:tabs>
        <w:spacing w:line="240" w:lineRule="auto"/>
      </w:pPr>
      <w:r>
        <w:t>kritika Ockhama</w:t>
      </w:r>
      <w:r>
        <w:tab/>
        <w:t>769, 794, 798, 909</w:t>
      </w:r>
    </w:p>
    <w:p w:rsidR="00E911ED" w:rsidRDefault="00E911ED" w:rsidP="00E911ED">
      <w:pPr>
        <w:pStyle w:val="Rejstk2"/>
        <w:tabs>
          <w:tab w:val="right" w:leader="dot" w:pos="4171"/>
        </w:tabs>
        <w:spacing w:line="240" w:lineRule="auto"/>
      </w:pPr>
      <w:r>
        <w:t>kritika Sigera</w:t>
      </w:r>
      <w:r>
        <w:tab/>
        <w:t>255, 260, 272, 318, 354</w:t>
      </w:r>
    </w:p>
    <w:p w:rsidR="00E911ED" w:rsidRDefault="00E911ED" w:rsidP="00E911ED">
      <w:pPr>
        <w:pStyle w:val="Rejstk2"/>
        <w:tabs>
          <w:tab w:val="right" w:leader="dot" w:pos="4171"/>
        </w:tabs>
        <w:spacing w:line="240" w:lineRule="auto"/>
      </w:pPr>
      <w:r>
        <w:t>moderna</w:t>
      </w:r>
      <w:r>
        <w:tab/>
        <w:t>601, 602, 644, 655</w:t>
      </w:r>
    </w:p>
    <w:p w:rsidR="00E911ED" w:rsidRDefault="00E911ED" w:rsidP="00E911ED">
      <w:pPr>
        <w:pStyle w:val="Rejstk2"/>
        <w:tabs>
          <w:tab w:val="right" w:leader="dot" w:pos="4171"/>
        </w:tabs>
        <w:spacing w:line="240" w:lineRule="auto"/>
      </w:pPr>
      <w:r>
        <w:t>novověká věda</w:t>
      </w:r>
      <w:r>
        <w:tab/>
        <w:t>496</w:t>
      </w:r>
    </w:p>
    <w:p w:rsidR="00E911ED" w:rsidRDefault="00E911ED" w:rsidP="00E911ED">
      <w:pPr>
        <w:pStyle w:val="Rejstk2"/>
        <w:tabs>
          <w:tab w:val="right" w:leader="dot" w:pos="4171"/>
        </w:tabs>
        <w:spacing w:line="240" w:lineRule="auto"/>
      </w:pPr>
      <w:r>
        <w:t>objektivita</w:t>
      </w:r>
      <w:r>
        <w:tab/>
        <w:t>161</w:t>
      </w:r>
    </w:p>
    <w:p w:rsidR="00E911ED" w:rsidRDefault="00E911ED" w:rsidP="00E911ED">
      <w:pPr>
        <w:pStyle w:val="Rejstk2"/>
        <w:tabs>
          <w:tab w:val="right" w:leader="dot" w:pos="4171"/>
        </w:tabs>
        <w:spacing w:line="240" w:lineRule="auto"/>
      </w:pPr>
      <w:r>
        <w:t>Olivi</w:t>
      </w:r>
      <w:r>
        <w:tab/>
        <w:t>525, 528, 535, 549</w:t>
      </w:r>
    </w:p>
    <w:p w:rsidR="00E911ED" w:rsidRDefault="00E911ED" w:rsidP="00E911ED">
      <w:pPr>
        <w:pStyle w:val="Rejstk2"/>
        <w:tabs>
          <w:tab w:val="right" w:leader="dot" w:pos="4171"/>
        </w:tabs>
        <w:spacing w:line="240" w:lineRule="auto"/>
      </w:pPr>
      <w:r>
        <w:t>ontoteologie</w:t>
      </w:r>
      <w:r>
        <w:tab/>
        <w:t>257</w:t>
      </w:r>
    </w:p>
    <w:p w:rsidR="00E911ED" w:rsidRDefault="00E911ED" w:rsidP="00E911ED">
      <w:pPr>
        <w:pStyle w:val="Rejstk2"/>
        <w:tabs>
          <w:tab w:val="right" w:leader="dot" w:pos="4171"/>
        </w:tabs>
        <w:spacing w:line="240" w:lineRule="auto"/>
      </w:pPr>
      <w:r w:rsidRPr="00015ECD">
        <w:rPr>
          <w:i/>
        </w:rPr>
        <w:t>Oxfordský anonym</w:t>
      </w:r>
      <w:r>
        <w:tab/>
        <w:t>180, 196</w:t>
      </w:r>
    </w:p>
    <w:p w:rsidR="00E911ED" w:rsidRDefault="00E911ED" w:rsidP="00E911ED">
      <w:pPr>
        <w:pStyle w:val="Rejstk2"/>
        <w:tabs>
          <w:tab w:val="right" w:leader="dot" w:pos="4171"/>
        </w:tabs>
        <w:spacing w:line="240" w:lineRule="auto"/>
      </w:pPr>
      <w:r>
        <w:t>Pecham</w:t>
      </w:r>
      <w:r>
        <w:tab/>
        <w:t>160, 432</w:t>
      </w:r>
    </w:p>
    <w:p w:rsidR="00E911ED" w:rsidRDefault="00E911ED" w:rsidP="00E911ED">
      <w:pPr>
        <w:pStyle w:val="Rejstk2"/>
        <w:tabs>
          <w:tab w:val="right" w:leader="dot" w:pos="4171"/>
        </w:tabs>
        <w:spacing w:line="240" w:lineRule="auto"/>
      </w:pPr>
      <w:r>
        <w:t>politika</w:t>
      </w:r>
      <w:r>
        <w:tab/>
        <w:t>858, 862</w:t>
      </w:r>
    </w:p>
    <w:p w:rsidR="00E911ED" w:rsidRDefault="00E911ED" w:rsidP="00E911ED">
      <w:pPr>
        <w:pStyle w:val="Rejstk2"/>
        <w:tabs>
          <w:tab w:val="right" w:leader="dot" w:pos="4171"/>
        </w:tabs>
        <w:spacing w:line="240" w:lineRule="auto"/>
      </w:pPr>
      <w:r>
        <w:t>postmoderna</w:t>
      </w:r>
      <w:r>
        <w:tab/>
        <w:t>124, 831</w:t>
      </w:r>
    </w:p>
    <w:p w:rsidR="00E911ED" w:rsidRDefault="00E911ED" w:rsidP="00E911ED">
      <w:pPr>
        <w:pStyle w:val="Rejstk2"/>
        <w:tabs>
          <w:tab w:val="right" w:leader="dot" w:pos="4171"/>
        </w:tabs>
        <w:spacing w:line="240" w:lineRule="auto"/>
      </w:pPr>
      <w:r>
        <w:rPr>
          <w:lang w:eastAsia="en-US"/>
        </w:rPr>
        <w:t>predikace</w:t>
      </w:r>
      <w:r>
        <w:tab/>
        <w:t>648</w:t>
      </w:r>
    </w:p>
    <w:p w:rsidR="00E911ED" w:rsidRDefault="00E911ED" w:rsidP="00E911ED">
      <w:pPr>
        <w:pStyle w:val="Rejstk2"/>
        <w:tabs>
          <w:tab w:val="right" w:leader="dot" w:pos="4171"/>
        </w:tabs>
        <w:spacing w:line="240" w:lineRule="auto"/>
      </w:pPr>
      <w:r>
        <w:t>první averroismus</w:t>
      </w:r>
      <w:r>
        <w:tab/>
        <w:t>300</w:t>
      </w:r>
    </w:p>
    <w:p w:rsidR="00E911ED" w:rsidRDefault="00E911ED" w:rsidP="00E911ED">
      <w:pPr>
        <w:pStyle w:val="Rejstk2"/>
        <w:tabs>
          <w:tab w:val="right" w:leader="dot" w:pos="4171"/>
        </w:tabs>
        <w:spacing w:line="240" w:lineRule="auto"/>
      </w:pPr>
      <w:r>
        <w:t>původ</w:t>
      </w:r>
      <w:r>
        <w:tab/>
        <w:t>114</w:t>
      </w:r>
    </w:p>
    <w:p w:rsidR="00E911ED" w:rsidRDefault="00E911ED" w:rsidP="00E911ED">
      <w:pPr>
        <w:pStyle w:val="Rejstk2"/>
        <w:tabs>
          <w:tab w:val="right" w:leader="dot" w:pos="4171"/>
        </w:tabs>
        <w:spacing w:line="240" w:lineRule="auto"/>
      </w:pPr>
      <w:r>
        <w:t>Rufus</w:t>
      </w:r>
      <w:r>
        <w:tab/>
        <w:t>76, 620</w:t>
      </w:r>
    </w:p>
    <w:p w:rsidR="00E911ED" w:rsidRDefault="00E911ED" w:rsidP="00E911ED">
      <w:pPr>
        <w:pStyle w:val="Rejstk2"/>
        <w:tabs>
          <w:tab w:val="right" w:leader="dot" w:pos="4171"/>
        </w:tabs>
        <w:spacing w:line="240" w:lineRule="auto"/>
      </w:pPr>
      <w:r>
        <w:t>Scotus</w:t>
      </w:r>
      <w:r>
        <w:tab/>
        <w:t>262, 650, 657, 662, 674, 679, 680, 684, 685, 691, 732, 736, 753, 756</w:t>
      </w:r>
    </w:p>
    <w:p w:rsidR="00E911ED" w:rsidRDefault="00E911ED" w:rsidP="00E911ED">
      <w:pPr>
        <w:pStyle w:val="Rejstk2"/>
        <w:tabs>
          <w:tab w:val="right" w:leader="dot" w:pos="4171"/>
        </w:tabs>
        <w:spacing w:line="240" w:lineRule="auto"/>
      </w:pPr>
      <w:r>
        <w:t>semiaverroismus</w:t>
      </w:r>
      <w:r>
        <w:tab/>
        <w:t>236</w:t>
      </w:r>
    </w:p>
    <w:p w:rsidR="00015ECD" w:rsidRDefault="00E911ED" w:rsidP="00E911ED">
      <w:pPr>
        <w:pStyle w:val="Rejstk1"/>
        <w:tabs>
          <w:tab w:val="right" w:leader="dot" w:pos="4171"/>
        </w:tabs>
        <w:spacing w:line="240" w:lineRule="auto"/>
        <w:rPr>
          <w:i/>
        </w:rPr>
      </w:pPr>
      <w:r w:rsidRPr="004B4DFF">
        <w:rPr>
          <w:i/>
        </w:rPr>
        <w:t>Oxfordský Anonym</w:t>
      </w:r>
      <w:r w:rsidR="00015ECD" w:rsidRPr="00015ECD">
        <w:t xml:space="preserve">, viz </w:t>
      </w:r>
      <w:r w:rsidR="00015ECD">
        <w:rPr>
          <w:i/>
        </w:rPr>
        <w:t>Index locorum</w:t>
      </w:r>
    </w:p>
    <w:p w:rsidR="00616545" w:rsidRPr="00F43866" w:rsidRDefault="00616545" w:rsidP="00616545">
      <w:pPr>
        <w:pStyle w:val="Hlavikarejstku"/>
        <w:keepNext/>
        <w:tabs>
          <w:tab w:val="right" w:leader="dot" w:pos="4171"/>
        </w:tabs>
        <w:spacing w:line="240" w:lineRule="auto"/>
        <w:rPr>
          <w:rFonts w:eastAsia="Times New Roman"/>
          <w:b w:val="0"/>
          <w:bCs w:val="0"/>
          <w:lang w:val="de-LU"/>
        </w:rPr>
      </w:pPr>
      <w:r>
        <w:rPr>
          <w:lang w:val="de-LU"/>
        </w:rPr>
        <w:t>P, Q</w:t>
      </w:r>
    </w:p>
    <w:p w:rsidR="00E911ED" w:rsidRDefault="00E911ED" w:rsidP="00E911ED">
      <w:pPr>
        <w:pStyle w:val="Rejstk1"/>
        <w:tabs>
          <w:tab w:val="right" w:leader="dot" w:pos="4171"/>
        </w:tabs>
        <w:spacing w:line="240" w:lineRule="auto"/>
      </w:pPr>
      <w:r>
        <w:t>Pagus, J</w:t>
      </w:r>
      <w:r w:rsidR="00015ECD">
        <w:t>.</w:t>
      </w:r>
      <w:r>
        <w:tab/>
        <w:t>647</w:t>
      </w:r>
    </w:p>
    <w:p w:rsidR="00E911ED" w:rsidRDefault="00E911ED" w:rsidP="00E911ED">
      <w:pPr>
        <w:pStyle w:val="Rejstk1"/>
        <w:tabs>
          <w:tab w:val="right" w:leader="dot" w:pos="4171"/>
        </w:tabs>
        <w:spacing w:line="240" w:lineRule="auto"/>
      </w:pPr>
      <w:r w:rsidRPr="004B4DFF">
        <w:rPr>
          <w:i/>
        </w:rPr>
        <w:t>paideía</w:t>
      </w:r>
      <w:r>
        <w:tab/>
        <w:t>17</w:t>
      </w:r>
    </w:p>
    <w:p w:rsidR="00E911ED" w:rsidRDefault="00E911ED" w:rsidP="00E911ED">
      <w:pPr>
        <w:pStyle w:val="Rejstk1"/>
        <w:tabs>
          <w:tab w:val="right" w:leader="dot" w:pos="4171"/>
        </w:tabs>
        <w:spacing w:line="240" w:lineRule="auto"/>
      </w:pPr>
      <w:r>
        <w:t>panteismus</w:t>
      </w:r>
      <w:r>
        <w:tab/>
        <w:t>559</w:t>
      </w:r>
    </w:p>
    <w:p w:rsidR="00E911ED" w:rsidRDefault="00E911ED" w:rsidP="00E911ED">
      <w:pPr>
        <w:pStyle w:val="Rejstk1"/>
        <w:tabs>
          <w:tab w:val="right" w:leader="dot" w:pos="4171"/>
        </w:tabs>
        <w:spacing w:line="240" w:lineRule="auto"/>
      </w:pPr>
      <w:r>
        <w:t>papežský primát</w:t>
      </w:r>
      <w:r>
        <w:tab/>
        <w:t>852, 884</w:t>
      </w:r>
    </w:p>
    <w:p w:rsidR="00015ECD" w:rsidRDefault="00E911ED" w:rsidP="00015ECD">
      <w:pPr>
        <w:pStyle w:val="Rejstk1"/>
        <w:tabs>
          <w:tab w:val="right" w:leader="dot" w:pos="4171"/>
        </w:tabs>
        <w:spacing w:line="240" w:lineRule="auto"/>
        <w:rPr>
          <w:i/>
        </w:rPr>
      </w:pPr>
      <w:r>
        <w:t>Parmenides</w:t>
      </w:r>
      <w:r w:rsidR="00015ECD">
        <w:t xml:space="preserve">, </w:t>
      </w:r>
      <w:r w:rsidR="00015ECD" w:rsidRPr="00015ECD">
        <w:t xml:space="preserve">, viz </w:t>
      </w:r>
      <w:r w:rsidR="00015ECD">
        <w:rPr>
          <w:i/>
        </w:rPr>
        <w:t>Index locorum</w:t>
      </w:r>
    </w:p>
    <w:p w:rsidR="00E911ED" w:rsidRDefault="00E911ED" w:rsidP="00E911ED">
      <w:pPr>
        <w:pStyle w:val="Rejstk1"/>
        <w:tabs>
          <w:tab w:val="right" w:leader="dot" w:pos="4171"/>
        </w:tabs>
        <w:spacing w:line="240" w:lineRule="auto"/>
      </w:pPr>
      <w:r>
        <w:t>parousie</w:t>
      </w:r>
      <w:r>
        <w:tab/>
        <w:t>659, 661, 682</w:t>
      </w:r>
    </w:p>
    <w:p w:rsidR="00E911ED" w:rsidRDefault="00E911ED" w:rsidP="00E911ED">
      <w:pPr>
        <w:pStyle w:val="Rejstk1"/>
        <w:tabs>
          <w:tab w:val="right" w:leader="dot" w:pos="4171"/>
        </w:tabs>
        <w:spacing w:line="240" w:lineRule="auto"/>
      </w:pPr>
      <w:r>
        <w:t>Pascal, B.</w:t>
      </w:r>
      <w:r>
        <w:tab/>
        <w:t>635</w:t>
      </w:r>
    </w:p>
    <w:p w:rsidR="00E911ED" w:rsidRDefault="00E911ED" w:rsidP="00E911ED">
      <w:pPr>
        <w:pStyle w:val="Rejstk1"/>
        <w:tabs>
          <w:tab w:val="right" w:leader="dot" w:pos="4171"/>
        </w:tabs>
        <w:spacing w:line="240" w:lineRule="auto"/>
      </w:pPr>
      <w:r w:rsidRPr="004B4DFF">
        <w:rPr>
          <w:i/>
        </w:rPr>
        <w:t>passio entis</w:t>
      </w:r>
      <w:r>
        <w:tab/>
        <w:t>109, 507, 576, 601</w:t>
      </w:r>
    </w:p>
    <w:p w:rsidR="00E911ED" w:rsidRDefault="00E911ED" w:rsidP="00E911ED">
      <w:pPr>
        <w:pStyle w:val="Rejstk1"/>
        <w:tabs>
          <w:tab w:val="right" w:leader="dot" w:pos="4171"/>
        </w:tabs>
        <w:spacing w:line="240" w:lineRule="auto"/>
      </w:pPr>
      <w:r>
        <w:t>Patočka, J.</w:t>
      </w:r>
      <w:r>
        <w:tab/>
        <w:t>824</w:t>
      </w:r>
    </w:p>
    <w:p w:rsidR="00E911ED" w:rsidRDefault="00E911ED" w:rsidP="00E911ED">
      <w:pPr>
        <w:pStyle w:val="Rejstk1"/>
        <w:tabs>
          <w:tab w:val="right" w:leader="dot" w:pos="4171"/>
        </w:tabs>
        <w:spacing w:line="240" w:lineRule="auto"/>
      </w:pPr>
      <w:r w:rsidRPr="004B4DFF">
        <w:rPr>
          <w:i/>
        </w:rPr>
        <w:t>Patris Aeterni</w:t>
      </w:r>
      <w:r>
        <w:tab/>
        <w:t>851</w:t>
      </w:r>
    </w:p>
    <w:p w:rsidR="00E911ED" w:rsidRDefault="00E911ED" w:rsidP="00E911ED">
      <w:pPr>
        <w:pStyle w:val="Rejstk1"/>
        <w:tabs>
          <w:tab w:val="right" w:leader="dot" w:pos="4171"/>
        </w:tabs>
        <w:spacing w:line="240" w:lineRule="auto"/>
      </w:pPr>
      <w:r>
        <w:t>Pecham</w:t>
      </w:r>
      <w:r w:rsidR="00015ECD">
        <w:t xml:space="preserve">, J., viz </w:t>
      </w:r>
      <w:r w:rsidR="00015ECD" w:rsidRPr="00015ECD">
        <w:rPr>
          <w:i/>
        </w:rPr>
        <w:t>Index locorum</w:t>
      </w:r>
    </w:p>
    <w:p w:rsidR="00E911ED" w:rsidRDefault="00E911ED" w:rsidP="00E911ED">
      <w:pPr>
        <w:pStyle w:val="Rejstk1"/>
        <w:tabs>
          <w:tab w:val="right" w:leader="dot" w:pos="4171"/>
        </w:tabs>
        <w:spacing w:line="240" w:lineRule="auto"/>
      </w:pPr>
      <w:r w:rsidRPr="004B4DFF">
        <w:rPr>
          <w:i/>
        </w:rPr>
        <w:t>perspicuum</w:t>
      </w:r>
      <w:r>
        <w:tab/>
        <w:t>197, 209, 806</w:t>
      </w:r>
    </w:p>
    <w:p w:rsidR="00015ECD" w:rsidRDefault="00E911ED" w:rsidP="00015ECD">
      <w:pPr>
        <w:pStyle w:val="Rejstk1"/>
        <w:tabs>
          <w:tab w:val="right" w:leader="dot" w:pos="4171"/>
        </w:tabs>
        <w:spacing w:line="240" w:lineRule="auto"/>
      </w:pPr>
      <w:r>
        <w:t>Petrus de Alvernia</w:t>
      </w:r>
      <w:r w:rsidR="00015ECD">
        <w:t xml:space="preserve">, viz </w:t>
      </w:r>
      <w:r w:rsidR="00015ECD" w:rsidRPr="00015ECD">
        <w:rPr>
          <w:i/>
        </w:rPr>
        <w:t>Index locorum</w:t>
      </w:r>
    </w:p>
    <w:p w:rsidR="00E911ED" w:rsidRDefault="00E911ED" w:rsidP="00E911ED">
      <w:pPr>
        <w:pStyle w:val="Rejstk1"/>
        <w:tabs>
          <w:tab w:val="right" w:leader="dot" w:pos="4171"/>
        </w:tabs>
        <w:spacing w:line="240" w:lineRule="auto"/>
      </w:pPr>
      <w:r>
        <w:t>Petrus Hispanus</w:t>
      </w:r>
      <w:r>
        <w:tab/>
        <w:t>647</w:t>
      </w:r>
    </w:p>
    <w:p w:rsidR="00E911ED" w:rsidRDefault="00E911ED" w:rsidP="00E911ED">
      <w:pPr>
        <w:pStyle w:val="Rejstk1"/>
        <w:tabs>
          <w:tab w:val="right" w:leader="dot" w:pos="4171"/>
        </w:tabs>
        <w:spacing w:line="240" w:lineRule="auto"/>
      </w:pPr>
      <w:r w:rsidRPr="004B4DFF">
        <w:rPr>
          <w:bCs/>
        </w:rPr>
        <w:t>Piketty, T.</w:t>
      </w:r>
      <w:r>
        <w:tab/>
        <w:t>129</w:t>
      </w:r>
    </w:p>
    <w:p w:rsidR="00015ECD" w:rsidRDefault="00E911ED" w:rsidP="00015ECD">
      <w:pPr>
        <w:pStyle w:val="Rejstk1"/>
        <w:tabs>
          <w:tab w:val="right" w:leader="dot" w:pos="4171"/>
        </w:tabs>
        <w:spacing w:line="240" w:lineRule="auto"/>
      </w:pPr>
      <w:r>
        <w:t>Platon</w:t>
      </w:r>
      <w:r w:rsidR="00015ECD">
        <w:t xml:space="preserve">, viz </w:t>
      </w:r>
      <w:r w:rsidR="00015ECD" w:rsidRPr="00015ECD">
        <w:rPr>
          <w:i/>
        </w:rPr>
        <w:t>Index locorum</w:t>
      </w:r>
    </w:p>
    <w:p w:rsidR="00015ECD" w:rsidRDefault="00E911ED" w:rsidP="00015ECD">
      <w:pPr>
        <w:pStyle w:val="Rejstk2"/>
        <w:tabs>
          <w:tab w:val="right" w:leader="dot" w:pos="4171"/>
        </w:tabs>
        <w:spacing w:line="240" w:lineRule="auto"/>
      </w:pPr>
      <w:r>
        <w:t>Plotinos</w:t>
      </w:r>
      <w:r w:rsidR="00015ECD">
        <w:t xml:space="preserve">, </w:t>
      </w:r>
      <w:r w:rsidR="00015ECD" w:rsidRPr="004B4DFF">
        <w:rPr>
          <w:i/>
        </w:rPr>
        <w:t>Rep</w:t>
      </w:r>
      <w:r w:rsidR="00015ECD">
        <w:t>. 517a5‒6</w:t>
      </w:r>
      <w:r w:rsidR="00015ECD">
        <w:tab/>
        <w:t>470</w:t>
      </w:r>
    </w:p>
    <w:p w:rsidR="00015ECD" w:rsidRDefault="00015ECD" w:rsidP="00015ECD">
      <w:pPr>
        <w:pStyle w:val="Rejstk2"/>
        <w:tabs>
          <w:tab w:val="right" w:leader="dot" w:pos="4171"/>
        </w:tabs>
        <w:spacing w:line="240" w:lineRule="auto"/>
      </w:pPr>
      <w:r w:rsidRPr="004B4DFF">
        <w:rPr>
          <w:i/>
        </w:rPr>
        <w:t>Soph.</w:t>
      </w:r>
      <w:r>
        <w:t xml:space="preserve"> 243d7</w:t>
      </w:r>
      <w:r>
        <w:tab/>
        <w:t>470</w:t>
      </w:r>
    </w:p>
    <w:p w:rsidR="00015ECD" w:rsidRDefault="00015ECD" w:rsidP="00015ECD">
      <w:pPr>
        <w:pStyle w:val="Rejstk2"/>
        <w:tabs>
          <w:tab w:val="right" w:leader="dot" w:pos="4171"/>
        </w:tabs>
        <w:spacing w:line="240" w:lineRule="auto"/>
      </w:pPr>
      <w:r w:rsidRPr="004B4DFF">
        <w:rPr>
          <w:i/>
        </w:rPr>
        <w:t>Symp</w:t>
      </w:r>
      <w:r>
        <w:t>. 191d1‒5</w:t>
      </w:r>
      <w:r>
        <w:tab/>
        <w:t>74</w:t>
      </w:r>
    </w:p>
    <w:p w:rsidR="00015ECD" w:rsidRDefault="00015ECD" w:rsidP="00015ECD">
      <w:pPr>
        <w:pStyle w:val="Rejstk2"/>
        <w:tabs>
          <w:tab w:val="right" w:leader="dot" w:pos="4171"/>
        </w:tabs>
        <w:spacing w:line="240" w:lineRule="auto"/>
      </w:pPr>
      <w:r w:rsidRPr="004B4DFF">
        <w:rPr>
          <w:i/>
        </w:rPr>
        <w:t>Theait</w:t>
      </w:r>
      <w:r>
        <w:t>. 172d4‒9</w:t>
      </w:r>
      <w:r>
        <w:tab/>
        <w:t>439</w:t>
      </w:r>
    </w:p>
    <w:p w:rsidR="00015ECD" w:rsidRDefault="00015ECD" w:rsidP="00015ECD">
      <w:pPr>
        <w:pStyle w:val="Rejstk2"/>
        <w:tabs>
          <w:tab w:val="right" w:leader="dot" w:pos="4171"/>
        </w:tabs>
        <w:spacing w:line="240" w:lineRule="auto"/>
      </w:pPr>
      <w:r w:rsidRPr="004B4DFF">
        <w:rPr>
          <w:i/>
        </w:rPr>
        <w:t>Theait</w:t>
      </w:r>
      <w:r>
        <w:t>. 172d9</w:t>
      </w:r>
      <w:r>
        <w:tab/>
        <w:t>439</w:t>
      </w:r>
    </w:p>
    <w:p w:rsidR="00E911ED" w:rsidRDefault="00E911ED" w:rsidP="00E911ED">
      <w:pPr>
        <w:pStyle w:val="Rejstk1"/>
        <w:tabs>
          <w:tab w:val="right" w:leader="dot" w:pos="4171"/>
        </w:tabs>
        <w:spacing w:line="240" w:lineRule="auto"/>
      </w:pPr>
      <w:r>
        <w:t>pluralita substanciálních forem</w:t>
      </w:r>
      <w:r>
        <w:tab/>
        <w:t>135</w:t>
      </w:r>
    </w:p>
    <w:p w:rsidR="00015ECD" w:rsidRDefault="00E911ED" w:rsidP="00E911ED">
      <w:pPr>
        <w:pStyle w:val="Rejstk1"/>
        <w:tabs>
          <w:tab w:val="right" w:leader="dot" w:pos="4171"/>
        </w:tabs>
        <w:spacing w:line="240" w:lineRule="auto"/>
        <w:rPr>
          <w:i/>
        </w:rPr>
      </w:pPr>
      <w:r>
        <w:t>Plutarchos</w:t>
      </w:r>
      <w:r w:rsidR="00015ECD">
        <w:t xml:space="preserve">, viz </w:t>
      </w:r>
      <w:r w:rsidR="00015ECD" w:rsidRPr="00015ECD">
        <w:rPr>
          <w:i/>
        </w:rPr>
        <w:t>Index locorum</w:t>
      </w:r>
    </w:p>
    <w:p w:rsidR="00E911ED" w:rsidRDefault="00E911ED" w:rsidP="00E911ED">
      <w:pPr>
        <w:pStyle w:val="Rejstk1"/>
        <w:tabs>
          <w:tab w:val="right" w:leader="dot" w:pos="4171"/>
        </w:tabs>
        <w:spacing w:line="240" w:lineRule="auto"/>
      </w:pPr>
      <w:r>
        <w:t>politická racionalita</w:t>
      </w:r>
    </w:p>
    <w:p w:rsidR="00E911ED" w:rsidRDefault="00E911ED" w:rsidP="00E911ED">
      <w:pPr>
        <w:pStyle w:val="Rejstk2"/>
        <w:tabs>
          <w:tab w:val="right" w:leader="dot" w:pos="4171"/>
        </w:tabs>
        <w:spacing w:line="240" w:lineRule="auto"/>
      </w:pPr>
      <w:r>
        <w:t>Akvinský</w:t>
      </w:r>
      <w:r>
        <w:tab/>
        <w:t>899, 906</w:t>
      </w:r>
    </w:p>
    <w:p w:rsidR="00E911ED" w:rsidRDefault="00E911ED" w:rsidP="00E911ED">
      <w:pPr>
        <w:pStyle w:val="Rejstk2"/>
        <w:tabs>
          <w:tab w:val="right" w:leader="dot" w:pos="4171"/>
        </w:tabs>
        <w:spacing w:line="240" w:lineRule="auto"/>
      </w:pPr>
      <w:r w:rsidRPr="004B4DFF">
        <w:rPr>
          <w:i/>
        </w:rPr>
        <w:t>auctoritas/potestas</w:t>
      </w:r>
      <w:r>
        <w:tab/>
        <w:t>930</w:t>
      </w:r>
    </w:p>
    <w:p w:rsidR="00E911ED" w:rsidRDefault="00E911ED" w:rsidP="00E911ED">
      <w:pPr>
        <w:pStyle w:val="Rejstk2"/>
        <w:tabs>
          <w:tab w:val="right" w:leader="dot" w:pos="4171"/>
        </w:tabs>
        <w:spacing w:line="240" w:lineRule="auto"/>
      </w:pPr>
      <w:r>
        <w:t>Dante</w:t>
      </w:r>
      <w:r>
        <w:tab/>
        <w:t>903</w:t>
      </w:r>
    </w:p>
    <w:p w:rsidR="00E911ED" w:rsidRDefault="00E911ED" w:rsidP="00E911ED">
      <w:pPr>
        <w:pStyle w:val="Rejstk2"/>
        <w:tabs>
          <w:tab w:val="right" w:leader="dot" w:pos="4171"/>
        </w:tabs>
        <w:spacing w:line="240" w:lineRule="auto"/>
      </w:pPr>
      <w:r w:rsidRPr="004B4DFF">
        <w:rPr>
          <w:i/>
        </w:rPr>
        <w:t>demonstratio</w:t>
      </w:r>
      <w:r>
        <w:tab/>
        <w:t>901</w:t>
      </w:r>
    </w:p>
    <w:p w:rsidR="00E911ED" w:rsidRDefault="00E911ED" w:rsidP="00E911ED">
      <w:pPr>
        <w:pStyle w:val="Rejstk2"/>
        <w:tabs>
          <w:tab w:val="right" w:leader="dot" w:pos="4171"/>
        </w:tabs>
        <w:spacing w:line="240" w:lineRule="auto"/>
      </w:pPr>
      <w:r>
        <w:t>druhý averroismus</w:t>
      </w:r>
      <w:r>
        <w:tab/>
        <w:t>904</w:t>
      </w:r>
    </w:p>
    <w:p w:rsidR="00E911ED" w:rsidRDefault="00E911ED" w:rsidP="00E911ED">
      <w:pPr>
        <w:pStyle w:val="Rejstk2"/>
        <w:tabs>
          <w:tab w:val="right" w:leader="dot" w:pos="4171"/>
        </w:tabs>
        <w:spacing w:line="240" w:lineRule="auto"/>
      </w:pPr>
      <w:r>
        <w:t>etika/politika</w:t>
      </w:r>
      <w:r>
        <w:tab/>
        <w:t>906</w:t>
      </w:r>
    </w:p>
    <w:p w:rsidR="00E911ED" w:rsidRDefault="00E911ED" w:rsidP="00E911ED">
      <w:pPr>
        <w:pStyle w:val="Rejstk2"/>
        <w:tabs>
          <w:tab w:val="right" w:leader="dot" w:pos="4171"/>
        </w:tabs>
        <w:spacing w:line="240" w:lineRule="auto"/>
      </w:pPr>
      <w:r>
        <w:t>Ockham</w:t>
      </w:r>
      <w:r>
        <w:tab/>
        <w:t>908, 918, 927</w:t>
      </w:r>
    </w:p>
    <w:p w:rsidR="00E911ED" w:rsidRDefault="00E911ED" w:rsidP="00E911ED">
      <w:pPr>
        <w:pStyle w:val="Rejstk2"/>
        <w:tabs>
          <w:tab w:val="right" w:leader="dot" w:pos="4171"/>
        </w:tabs>
        <w:spacing w:line="240" w:lineRule="auto"/>
      </w:pPr>
      <w:r>
        <w:t>politika/etika</w:t>
      </w:r>
      <w:r>
        <w:tab/>
        <w:t>902</w:t>
      </w:r>
    </w:p>
    <w:p w:rsidR="00E911ED" w:rsidRDefault="00E911ED" w:rsidP="00E911ED">
      <w:pPr>
        <w:pStyle w:val="Rejstk2"/>
        <w:tabs>
          <w:tab w:val="right" w:leader="dot" w:pos="4171"/>
        </w:tabs>
        <w:spacing w:line="240" w:lineRule="auto"/>
      </w:pPr>
      <w:r w:rsidRPr="004B4DFF">
        <w:rPr>
          <w:i/>
        </w:rPr>
        <w:t>regnabile</w:t>
      </w:r>
      <w:r>
        <w:tab/>
        <w:t>923, 925</w:t>
      </w:r>
    </w:p>
    <w:p w:rsidR="00E911ED" w:rsidRDefault="00E911ED" w:rsidP="00E911ED">
      <w:pPr>
        <w:pStyle w:val="Rejstk2"/>
        <w:tabs>
          <w:tab w:val="right" w:leader="dot" w:pos="4171"/>
        </w:tabs>
        <w:spacing w:line="240" w:lineRule="auto"/>
      </w:pPr>
      <w:r w:rsidRPr="004B4DFF">
        <w:rPr>
          <w:i/>
        </w:rPr>
        <w:t>regnabilis/regnativus</w:t>
      </w:r>
      <w:r>
        <w:tab/>
        <w:t>927, 931</w:t>
      </w:r>
    </w:p>
    <w:p w:rsidR="00E911ED" w:rsidRDefault="00E911ED" w:rsidP="00E911ED">
      <w:pPr>
        <w:pStyle w:val="Rejstk2"/>
        <w:tabs>
          <w:tab w:val="right" w:leader="dot" w:pos="4171"/>
        </w:tabs>
        <w:spacing w:line="240" w:lineRule="auto"/>
      </w:pPr>
      <w:r>
        <w:t>teorie dvou mečů</w:t>
      </w:r>
      <w:r>
        <w:tab/>
        <w:t>929</w:t>
      </w:r>
    </w:p>
    <w:p w:rsidR="00E911ED" w:rsidRDefault="00E911ED" w:rsidP="00E911ED">
      <w:pPr>
        <w:pStyle w:val="Rejstk1"/>
        <w:tabs>
          <w:tab w:val="right" w:leader="dot" w:pos="4171"/>
        </w:tabs>
        <w:spacing w:line="240" w:lineRule="auto"/>
      </w:pPr>
      <w:r>
        <w:t>politická věda</w:t>
      </w:r>
    </w:p>
    <w:p w:rsidR="00E911ED" w:rsidRDefault="00E911ED" w:rsidP="00E911ED">
      <w:pPr>
        <w:pStyle w:val="Rejstk2"/>
        <w:tabs>
          <w:tab w:val="right" w:leader="dot" w:pos="4171"/>
        </w:tabs>
        <w:spacing w:line="240" w:lineRule="auto"/>
      </w:pPr>
      <w:r>
        <w:t>Albert</w:t>
      </w:r>
      <w:r>
        <w:tab/>
        <w:t>887, 890</w:t>
      </w:r>
    </w:p>
    <w:p w:rsidR="00E911ED" w:rsidRDefault="00E911ED" w:rsidP="00E911ED">
      <w:pPr>
        <w:pStyle w:val="Rejstk2"/>
        <w:tabs>
          <w:tab w:val="right" w:leader="dot" w:pos="4171"/>
        </w:tabs>
        <w:spacing w:line="240" w:lineRule="auto"/>
      </w:pPr>
      <w:r>
        <w:t>Althusius</w:t>
      </w:r>
      <w:r>
        <w:tab/>
        <w:t>892</w:t>
      </w:r>
    </w:p>
    <w:p w:rsidR="00E911ED" w:rsidRDefault="00E911ED" w:rsidP="00E911ED">
      <w:pPr>
        <w:pStyle w:val="Rejstk2"/>
        <w:tabs>
          <w:tab w:val="right" w:leader="dot" w:pos="4171"/>
        </w:tabs>
        <w:spacing w:line="240" w:lineRule="auto"/>
      </w:pPr>
      <w:r>
        <w:t>autonomie</w:t>
      </w:r>
      <w:r>
        <w:tab/>
        <w:t>897</w:t>
      </w:r>
    </w:p>
    <w:p w:rsidR="00E911ED" w:rsidRDefault="00E911ED" w:rsidP="00E911ED">
      <w:pPr>
        <w:pStyle w:val="Rejstk2"/>
        <w:tabs>
          <w:tab w:val="right" w:leader="dot" w:pos="4171"/>
        </w:tabs>
        <w:spacing w:line="240" w:lineRule="auto"/>
      </w:pPr>
      <w:r w:rsidRPr="004B4DFF">
        <w:rPr>
          <w:i/>
        </w:rPr>
        <w:t>demonstratio</w:t>
      </w:r>
      <w:r>
        <w:tab/>
        <w:t>893</w:t>
      </w:r>
    </w:p>
    <w:p w:rsidR="00E911ED" w:rsidRDefault="00E911ED" w:rsidP="00E911ED">
      <w:pPr>
        <w:pStyle w:val="Rejstk2"/>
        <w:tabs>
          <w:tab w:val="right" w:leader="dot" w:pos="4171"/>
        </w:tabs>
        <w:spacing w:line="240" w:lineRule="auto"/>
      </w:pPr>
      <w:r w:rsidRPr="004B4DFF">
        <w:rPr>
          <w:i/>
        </w:rPr>
        <w:t>regnabile</w:t>
      </w:r>
      <w:r>
        <w:tab/>
        <w:t>852, 891, 895</w:t>
      </w:r>
    </w:p>
    <w:p w:rsidR="00E911ED" w:rsidRDefault="00E911ED" w:rsidP="00E911ED">
      <w:pPr>
        <w:pStyle w:val="Rejstk2"/>
        <w:tabs>
          <w:tab w:val="right" w:leader="dot" w:pos="4171"/>
        </w:tabs>
        <w:spacing w:line="240" w:lineRule="auto"/>
      </w:pPr>
      <w:r w:rsidRPr="004B4DFF">
        <w:rPr>
          <w:i/>
        </w:rPr>
        <w:t>regnabilis/regnativus</w:t>
      </w:r>
      <w:r>
        <w:tab/>
        <w:t>892</w:t>
      </w:r>
    </w:p>
    <w:p w:rsidR="00015ECD" w:rsidRDefault="00015ECD" w:rsidP="00015ECD">
      <w:pPr>
        <w:pStyle w:val="Rejstk2"/>
        <w:tabs>
          <w:tab w:val="right" w:leader="dot" w:pos="4171"/>
        </w:tabs>
        <w:spacing w:line="240" w:lineRule="auto"/>
      </w:pPr>
      <w:r>
        <w:t>nasvícení zepředu</w:t>
      </w:r>
      <w:r>
        <w:tab/>
        <w:t>900, 919</w:t>
      </w:r>
    </w:p>
    <w:p w:rsidR="00E911ED" w:rsidRDefault="00E911ED" w:rsidP="00E911ED">
      <w:pPr>
        <w:pStyle w:val="Rejstk1"/>
        <w:tabs>
          <w:tab w:val="right" w:leader="dot" w:pos="4171"/>
        </w:tabs>
        <w:spacing w:line="240" w:lineRule="auto"/>
      </w:pPr>
      <w:r>
        <w:t>politický augustinianismus</w:t>
      </w:r>
      <w:r>
        <w:tab/>
        <w:t>851</w:t>
      </w:r>
    </w:p>
    <w:p w:rsidR="00E911ED" w:rsidRDefault="00E911ED" w:rsidP="00E911ED">
      <w:pPr>
        <w:pStyle w:val="Rejstk1"/>
        <w:tabs>
          <w:tab w:val="right" w:leader="dot" w:pos="4171"/>
        </w:tabs>
        <w:spacing w:line="240" w:lineRule="auto"/>
      </w:pPr>
      <w:r>
        <w:t>politika</w:t>
      </w:r>
      <w:r w:rsidR="00015ECD">
        <w:t xml:space="preserve">, </w:t>
      </w:r>
    </w:p>
    <w:p w:rsidR="00E911ED" w:rsidRDefault="00E911ED" w:rsidP="00E911ED">
      <w:pPr>
        <w:pStyle w:val="Rejstk1"/>
        <w:tabs>
          <w:tab w:val="right" w:leader="dot" w:pos="4171"/>
        </w:tabs>
        <w:spacing w:line="240" w:lineRule="auto"/>
      </w:pPr>
      <w:r>
        <w:t>Ponce, J.</w:t>
      </w:r>
      <w:r>
        <w:tab/>
        <w:t>770</w:t>
      </w:r>
    </w:p>
    <w:p w:rsidR="00E911ED" w:rsidRDefault="00E911ED" w:rsidP="00E911ED">
      <w:pPr>
        <w:pStyle w:val="Rejstk1"/>
        <w:tabs>
          <w:tab w:val="right" w:leader="dot" w:pos="4171"/>
        </w:tabs>
        <w:spacing w:line="240" w:lineRule="auto"/>
      </w:pPr>
      <w:r>
        <w:t>Popper, K. R.</w:t>
      </w:r>
      <w:r>
        <w:tab/>
        <w:t>802</w:t>
      </w:r>
    </w:p>
    <w:p w:rsidR="00E911ED" w:rsidRDefault="00E911ED" w:rsidP="00E911ED">
      <w:pPr>
        <w:pStyle w:val="Rejstk1"/>
        <w:tabs>
          <w:tab w:val="right" w:leader="dot" w:pos="4171"/>
        </w:tabs>
        <w:spacing w:line="240" w:lineRule="auto"/>
      </w:pPr>
      <w:r>
        <w:t>Porfyrius</w:t>
      </w:r>
      <w:r>
        <w:tab/>
        <w:t>657</w:t>
      </w:r>
    </w:p>
    <w:p w:rsidR="00E911ED" w:rsidRDefault="00E911ED" w:rsidP="00E911ED">
      <w:pPr>
        <w:pStyle w:val="Rejstk1"/>
        <w:tabs>
          <w:tab w:val="right" w:leader="dot" w:pos="4171"/>
        </w:tabs>
        <w:spacing w:line="240" w:lineRule="auto"/>
      </w:pPr>
      <w:r>
        <w:t>porretáni</w:t>
      </w:r>
      <w:r>
        <w:tab/>
        <w:t>31</w:t>
      </w:r>
    </w:p>
    <w:p w:rsidR="00E911ED" w:rsidRDefault="00E911ED" w:rsidP="00E911ED">
      <w:pPr>
        <w:pStyle w:val="Rejstk1"/>
        <w:tabs>
          <w:tab w:val="right" w:leader="dot" w:pos="4171"/>
        </w:tabs>
        <w:spacing w:line="240" w:lineRule="auto"/>
      </w:pPr>
      <w:r w:rsidRPr="004B4DFF">
        <w:rPr>
          <w:i/>
        </w:rPr>
        <w:t>positum</w:t>
      </w:r>
      <w:r>
        <w:tab/>
        <w:t>687, 730, 756</w:t>
      </w:r>
    </w:p>
    <w:p w:rsidR="00E911ED" w:rsidRDefault="00E911ED" w:rsidP="00E911ED">
      <w:pPr>
        <w:pStyle w:val="Rejstk1"/>
        <w:tabs>
          <w:tab w:val="right" w:leader="dot" w:pos="4171"/>
        </w:tabs>
        <w:spacing w:line="240" w:lineRule="auto"/>
      </w:pPr>
      <w:r w:rsidRPr="004B4DFF">
        <w:rPr>
          <w:i/>
        </w:rPr>
        <w:t>postpraedicamenta</w:t>
      </w:r>
      <w:r>
        <w:tab/>
        <w:t>646</w:t>
      </w:r>
    </w:p>
    <w:p w:rsidR="00E911ED" w:rsidRDefault="00E911ED" w:rsidP="00E911ED">
      <w:pPr>
        <w:pStyle w:val="Rejstk1"/>
        <w:tabs>
          <w:tab w:val="right" w:leader="dot" w:pos="4171"/>
        </w:tabs>
        <w:spacing w:line="240" w:lineRule="auto"/>
      </w:pPr>
      <w:r w:rsidRPr="004B4DFF">
        <w:rPr>
          <w:i/>
        </w:rPr>
        <w:t>post-truth</w:t>
      </w:r>
      <w:r>
        <w:tab/>
        <w:t>790</w:t>
      </w:r>
    </w:p>
    <w:p w:rsidR="00E911ED" w:rsidRDefault="00E911ED" w:rsidP="00E911ED">
      <w:pPr>
        <w:pStyle w:val="Rejstk1"/>
        <w:tabs>
          <w:tab w:val="right" w:leader="dot" w:pos="4171"/>
        </w:tabs>
        <w:spacing w:line="240" w:lineRule="auto"/>
      </w:pPr>
      <w:r w:rsidRPr="004B4DFF">
        <w:rPr>
          <w:i/>
        </w:rPr>
        <w:t>post-truths</w:t>
      </w:r>
      <w:r>
        <w:tab/>
        <w:t>55, 98, 312</w:t>
      </w:r>
    </w:p>
    <w:p w:rsidR="00E911ED" w:rsidRDefault="00E911ED" w:rsidP="00E911ED">
      <w:pPr>
        <w:pStyle w:val="Rejstk1"/>
        <w:tabs>
          <w:tab w:val="right" w:leader="dot" w:pos="4171"/>
        </w:tabs>
        <w:spacing w:line="240" w:lineRule="auto"/>
      </w:pPr>
      <w:r w:rsidRPr="004B4DFF">
        <w:rPr>
          <w:i/>
        </w:rPr>
        <w:t>potentia accidentalis</w:t>
      </w:r>
      <w:r>
        <w:tab/>
        <w:t>207, 540, 713, 782, 784, 824, 844</w:t>
      </w:r>
    </w:p>
    <w:p w:rsidR="00E911ED" w:rsidRDefault="00E911ED" w:rsidP="00E911ED">
      <w:pPr>
        <w:pStyle w:val="Rejstk1"/>
        <w:tabs>
          <w:tab w:val="right" w:leader="dot" w:pos="4171"/>
        </w:tabs>
        <w:spacing w:line="240" w:lineRule="auto"/>
      </w:pPr>
      <w:r w:rsidRPr="004B4DFF">
        <w:rPr>
          <w:i/>
        </w:rPr>
        <w:t>potentia essentialis</w:t>
      </w:r>
      <w:r>
        <w:tab/>
        <w:t>106, 526, 527, 785, 786, 816, 916</w:t>
      </w:r>
    </w:p>
    <w:p w:rsidR="00E911ED" w:rsidRDefault="00E911ED" w:rsidP="00E911ED">
      <w:pPr>
        <w:pStyle w:val="Rejstk1"/>
        <w:tabs>
          <w:tab w:val="right" w:leader="dot" w:pos="4171"/>
        </w:tabs>
        <w:spacing w:line="240" w:lineRule="auto"/>
      </w:pPr>
      <w:r w:rsidRPr="004B4DFF">
        <w:rPr>
          <w:i/>
        </w:rPr>
        <w:t>potentia substantialis</w:t>
      </w:r>
      <w:r>
        <w:tab/>
        <w:t>77, 156, 511, 548, 619, 622, 713, 748, 750, 782, 783, 828, 834, 844, 916</w:t>
      </w:r>
    </w:p>
    <w:p w:rsidR="00E911ED" w:rsidRDefault="00E911ED" w:rsidP="00E911ED">
      <w:pPr>
        <w:pStyle w:val="Rejstk1"/>
        <w:tabs>
          <w:tab w:val="right" w:leader="dot" w:pos="4171"/>
        </w:tabs>
        <w:spacing w:line="240" w:lineRule="auto"/>
      </w:pPr>
      <w:r w:rsidRPr="004B4DFF">
        <w:rPr>
          <w:i/>
        </w:rPr>
        <w:t>potestas transferendi imperium</w:t>
      </w:r>
      <w:r>
        <w:tab/>
        <w:t>926</w:t>
      </w:r>
    </w:p>
    <w:p w:rsidR="00E911ED" w:rsidRDefault="00E911ED" w:rsidP="00E911ED">
      <w:pPr>
        <w:pStyle w:val="Rejstk1"/>
        <w:tabs>
          <w:tab w:val="right" w:leader="dot" w:pos="4171"/>
        </w:tabs>
        <w:spacing w:line="240" w:lineRule="auto"/>
      </w:pPr>
      <w:r>
        <w:t>praktický sylogismus</w:t>
      </w:r>
      <w:r>
        <w:tab/>
        <w:t>736, 870, 880, 882, 893, 897, 906, 912, 913</w:t>
      </w:r>
    </w:p>
    <w:p w:rsidR="00E911ED" w:rsidRDefault="00E911ED" w:rsidP="00E911ED">
      <w:pPr>
        <w:pStyle w:val="Rejstk1"/>
        <w:tabs>
          <w:tab w:val="right" w:leader="dot" w:pos="4171"/>
        </w:tabs>
        <w:spacing w:line="240" w:lineRule="auto"/>
      </w:pPr>
      <w:r>
        <w:t>pravda</w:t>
      </w:r>
    </w:p>
    <w:p w:rsidR="00E911ED" w:rsidRDefault="00E911ED" w:rsidP="00E911ED">
      <w:pPr>
        <w:pStyle w:val="Rejstk2"/>
        <w:tabs>
          <w:tab w:val="right" w:leader="dot" w:pos="4171"/>
        </w:tabs>
        <w:spacing w:line="240" w:lineRule="auto"/>
      </w:pPr>
      <w:r w:rsidRPr="004B4DFF">
        <w:rPr>
          <w:i/>
        </w:rPr>
        <w:t>adaequatio</w:t>
      </w:r>
      <w:r>
        <w:tab/>
        <w:t>231, 403</w:t>
      </w:r>
    </w:p>
    <w:p w:rsidR="00E911ED" w:rsidRDefault="00E911ED" w:rsidP="00E911ED">
      <w:pPr>
        <w:pStyle w:val="Rejstk2"/>
        <w:tabs>
          <w:tab w:val="right" w:leader="dot" w:pos="4171"/>
        </w:tabs>
        <w:spacing w:line="240" w:lineRule="auto"/>
      </w:pPr>
      <w:r>
        <w:t>asimilace</w:t>
      </w:r>
      <w:r>
        <w:tab/>
        <w:t>157, 159</w:t>
      </w:r>
    </w:p>
    <w:p w:rsidR="00E911ED" w:rsidRDefault="00E911ED" w:rsidP="00E911ED">
      <w:pPr>
        <w:pStyle w:val="Rejstk2"/>
        <w:tabs>
          <w:tab w:val="right" w:leader="dot" w:pos="4171"/>
        </w:tabs>
        <w:spacing w:line="240" w:lineRule="auto"/>
      </w:pPr>
      <w:r w:rsidRPr="004B4DFF">
        <w:rPr>
          <w:i/>
        </w:rPr>
        <w:t>Bildung</w:t>
      </w:r>
      <w:r>
        <w:tab/>
        <w:t>19</w:t>
      </w:r>
    </w:p>
    <w:p w:rsidR="00E911ED" w:rsidRDefault="00E911ED" w:rsidP="00E911ED">
      <w:pPr>
        <w:pStyle w:val="Rejstk2"/>
        <w:tabs>
          <w:tab w:val="right" w:leader="dot" w:pos="4171"/>
        </w:tabs>
        <w:spacing w:line="240" w:lineRule="auto"/>
      </w:pPr>
      <w:r w:rsidRPr="004B4DFF">
        <w:rPr>
          <w:i/>
        </w:rPr>
        <w:t>certitudo</w:t>
      </w:r>
      <w:r>
        <w:tab/>
        <w:t>570, 593, 750, 816</w:t>
      </w:r>
    </w:p>
    <w:p w:rsidR="00E911ED" w:rsidRDefault="00E911ED" w:rsidP="00E911ED">
      <w:pPr>
        <w:pStyle w:val="Rejstk2"/>
        <w:tabs>
          <w:tab w:val="right" w:leader="dot" w:pos="4171"/>
        </w:tabs>
        <w:spacing w:line="240" w:lineRule="auto"/>
      </w:pPr>
      <w:r w:rsidRPr="004B4DFF">
        <w:rPr>
          <w:i/>
        </w:rPr>
        <w:t>coaequalitas</w:t>
      </w:r>
      <w:r>
        <w:tab/>
        <w:t>563</w:t>
      </w:r>
    </w:p>
    <w:p w:rsidR="00E911ED" w:rsidRDefault="00E911ED" w:rsidP="00E911ED">
      <w:pPr>
        <w:pStyle w:val="Rejstk2"/>
        <w:tabs>
          <w:tab w:val="right" w:leader="dot" w:pos="4171"/>
        </w:tabs>
        <w:spacing w:line="240" w:lineRule="auto"/>
      </w:pPr>
      <w:r w:rsidRPr="004B4DFF">
        <w:rPr>
          <w:i/>
        </w:rPr>
        <w:t>coaequatio</w:t>
      </w:r>
      <w:r>
        <w:tab/>
        <w:t>19, 26, 30, 33, 75, 98, 130, 139, 150, 195, 257, 411, 415, 491, 500, 504, 551, 567, 585, 611, 717, 791, 915</w:t>
      </w:r>
    </w:p>
    <w:p w:rsidR="00E911ED" w:rsidRDefault="00E911ED" w:rsidP="00E911ED">
      <w:pPr>
        <w:pStyle w:val="Rejstk2"/>
        <w:tabs>
          <w:tab w:val="right" w:leader="dot" w:pos="4171"/>
        </w:tabs>
        <w:spacing w:line="240" w:lineRule="auto"/>
      </w:pPr>
      <w:r w:rsidRPr="004B4DFF">
        <w:rPr>
          <w:i/>
        </w:rPr>
        <w:t>confusum</w:t>
      </w:r>
      <w:r>
        <w:t>/</w:t>
      </w:r>
      <w:r w:rsidRPr="004B4DFF">
        <w:rPr>
          <w:i/>
        </w:rPr>
        <w:t>confuse</w:t>
      </w:r>
      <w:r>
        <w:tab/>
        <w:t>762</w:t>
      </w:r>
    </w:p>
    <w:p w:rsidR="00E911ED" w:rsidRDefault="00E911ED" w:rsidP="00E911ED">
      <w:pPr>
        <w:pStyle w:val="Rejstk2"/>
        <w:tabs>
          <w:tab w:val="right" w:leader="dot" w:pos="4171"/>
        </w:tabs>
        <w:spacing w:line="240" w:lineRule="auto"/>
      </w:pPr>
      <w:r w:rsidRPr="004B4DFF">
        <w:rPr>
          <w:i/>
        </w:rPr>
        <w:t>consimile</w:t>
      </w:r>
      <w:r>
        <w:tab/>
        <w:t>452, 454</w:t>
      </w:r>
    </w:p>
    <w:p w:rsidR="00E911ED" w:rsidRDefault="00E911ED" w:rsidP="00E911ED">
      <w:pPr>
        <w:pStyle w:val="Rejstk2"/>
        <w:tabs>
          <w:tab w:val="right" w:leader="dot" w:pos="4171"/>
        </w:tabs>
        <w:spacing w:line="240" w:lineRule="auto"/>
      </w:pPr>
      <w:r w:rsidRPr="004B4DFF">
        <w:rPr>
          <w:i/>
          <w:lang w:eastAsia="en-US"/>
        </w:rPr>
        <w:t>consimilitudo</w:t>
      </w:r>
      <w:r>
        <w:tab/>
        <w:t>270, 398</w:t>
      </w:r>
    </w:p>
    <w:p w:rsidR="00E911ED" w:rsidRDefault="00E911ED" w:rsidP="00E911ED">
      <w:pPr>
        <w:pStyle w:val="Rejstk2"/>
        <w:tabs>
          <w:tab w:val="right" w:leader="dot" w:pos="4171"/>
        </w:tabs>
        <w:spacing w:line="240" w:lineRule="auto"/>
      </w:pPr>
      <w:r>
        <w:t>deontologie</w:t>
      </w:r>
      <w:r>
        <w:tab/>
        <w:t>3, 105</w:t>
      </w:r>
    </w:p>
    <w:p w:rsidR="00E911ED" w:rsidRDefault="00E911ED" w:rsidP="00E911ED">
      <w:pPr>
        <w:pStyle w:val="Rejstk2"/>
        <w:tabs>
          <w:tab w:val="right" w:leader="dot" w:pos="4171"/>
        </w:tabs>
        <w:spacing w:line="240" w:lineRule="auto"/>
      </w:pPr>
      <w:r w:rsidRPr="004B4DFF">
        <w:rPr>
          <w:i/>
        </w:rPr>
        <w:t>duplex veritas</w:t>
      </w:r>
      <w:r>
        <w:tab/>
        <w:t>257</w:t>
      </w:r>
    </w:p>
    <w:p w:rsidR="00E911ED" w:rsidRDefault="00E911ED" w:rsidP="00E911ED">
      <w:pPr>
        <w:pStyle w:val="Rejstk2"/>
        <w:tabs>
          <w:tab w:val="right" w:leader="dot" w:pos="4171"/>
        </w:tabs>
        <w:spacing w:line="240" w:lineRule="auto"/>
      </w:pPr>
      <w:r w:rsidRPr="004B4DFF">
        <w:rPr>
          <w:i/>
        </w:rPr>
        <w:t>esse intelligibile</w:t>
      </w:r>
      <w:r>
        <w:tab/>
        <w:t>727</w:t>
      </w:r>
    </w:p>
    <w:p w:rsidR="00E911ED" w:rsidRDefault="00E911ED" w:rsidP="00E911ED">
      <w:pPr>
        <w:pStyle w:val="Rejstk2"/>
        <w:tabs>
          <w:tab w:val="right" w:leader="dot" w:pos="4171"/>
        </w:tabs>
        <w:spacing w:line="240" w:lineRule="auto"/>
      </w:pPr>
      <w:r w:rsidRPr="004B4DFF">
        <w:rPr>
          <w:i/>
        </w:rPr>
        <w:t>exemplar</w:t>
      </w:r>
      <w:r>
        <w:t>/</w:t>
      </w:r>
      <w:r w:rsidR="00884743">
        <w:rPr>
          <w:i/>
        </w:rPr>
        <w:t>vestigium</w:t>
      </w:r>
      <w:r>
        <w:tab/>
        <w:t>810</w:t>
      </w:r>
    </w:p>
    <w:p w:rsidR="00E911ED" w:rsidRDefault="00E911ED" w:rsidP="00E911ED">
      <w:pPr>
        <w:pStyle w:val="Rejstk2"/>
        <w:tabs>
          <w:tab w:val="right" w:leader="dot" w:pos="4171"/>
        </w:tabs>
        <w:spacing w:line="240" w:lineRule="auto"/>
      </w:pPr>
      <w:r>
        <w:t>Gandavus</w:t>
      </w:r>
      <w:r>
        <w:tab/>
        <w:t>607</w:t>
      </w:r>
    </w:p>
    <w:p w:rsidR="00E911ED" w:rsidRDefault="00E911ED" w:rsidP="00E911ED">
      <w:pPr>
        <w:pStyle w:val="Rejstk2"/>
        <w:tabs>
          <w:tab w:val="right" w:leader="dot" w:pos="4171"/>
        </w:tabs>
        <w:spacing w:line="240" w:lineRule="auto"/>
      </w:pPr>
      <w:r>
        <w:t>moderního subjektu</w:t>
      </w:r>
      <w:r>
        <w:tab/>
        <w:t>145</w:t>
      </w:r>
    </w:p>
    <w:p w:rsidR="00E911ED" w:rsidRDefault="00E911ED" w:rsidP="00E911ED">
      <w:pPr>
        <w:pStyle w:val="Rejstk2"/>
        <w:tabs>
          <w:tab w:val="right" w:leader="dot" w:pos="4171"/>
        </w:tabs>
        <w:spacing w:line="240" w:lineRule="auto"/>
      </w:pPr>
      <w:r>
        <w:t>objektivní</w:t>
      </w:r>
      <w:r>
        <w:tab/>
        <w:t>151, 153, 605, 606</w:t>
      </w:r>
    </w:p>
    <w:p w:rsidR="00E911ED" w:rsidRDefault="00E911ED" w:rsidP="00E911ED">
      <w:pPr>
        <w:pStyle w:val="Rejstk2"/>
        <w:tabs>
          <w:tab w:val="right" w:leader="dot" w:pos="4171"/>
        </w:tabs>
        <w:spacing w:line="240" w:lineRule="auto"/>
      </w:pPr>
      <w:r>
        <w:t>objektivní</w:t>
      </w:r>
      <w:r w:rsidRPr="004B4DFF">
        <w:rPr>
          <w:i/>
        </w:rPr>
        <w:t xml:space="preserve"> certitudo</w:t>
      </w:r>
      <w:r>
        <w:tab/>
        <w:t>665</w:t>
      </w:r>
    </w:p>
    <w:p w:rsidR="00E911ED" w:rsidRDefault="00E911ED" w:rsidP="00E911ED">
      <w:pPr>
        <w:pStyle w:val="Rejstk2"/>
        <w:tabs>
          <w:tab w:val="right" w:leader="dot" w:pos="4171"/>
        </w:tabs>
        <w:spacing w:line="240" w:lineRule="auto"/>
      </w:pPr>
      <w:r>
        <w:t>objektivní</w:t>
      </w:r>
      <w:r w:rsidRPr="004B4DFF">
        <w:rPr>
          <w:i/>
        </w:rPr>
        <w:t xml:space="preserve"> rectitudo</w:t>
      </w:r>
      <w:r>
        <w:tab/>
        <w:t>665</w:t>
      </w:r>
    </w:p>
    <w:p w:rsidR="00E911ED" w:rsidRDefault="00E911ED" w:rsidP="00E911ED">
      <w:pPr>
        <w:pStyle w:val="Rejstk2"/>
        <w:tabs>
          <w:tab w:val="right" w:leader="dot" w:pos="4171"/>
        </w:tabs>
        <w:spacing w:line="240" w:lineRule="auto"/>
      </w:pPr>
      <w:r>
        <w:t>praktická</w:t>
      </w:r>
      <w:r>
        <w:tab/>
        <w:t>545</w:t>
      </w:r>
    </w:p>
    <w:p w:rsidR="00E911ED" w:rsidRDefault="00E911ED" w:rsidP="00E911ED">
      <w:pPr>
        <w:pStyle w:val="Rejstk2"/>
        <w:tabs>
          <w:tab w:val="right" w:leader="dot" w:pos="4171"/>
        </w:tabs>
        <w:spacing w:line="240" w:lineRule="auto"/>
      </w:pPr>
      <w:r w:rsidRPr="004B4DFF">
        <w:rPr>
          <w:i/>
        </w:rPr>
        <w:t>proportio</w:t>
      </w:r>
      <w:r>
        <w:tab/>
        <w:t>19, 149, 199, 223, 279, 443, 448, 739, 782, 802, 804, 835</w:t>
      </w:r>
    </w:p>
    <w:p w:rsidR="00E911ED" w:rsidRDefault="00E911ED" w:rsidP="00E911ED">
      <w:pPr>
        <w:pStyle w:val="Rejstk2"/>
        <w:tabs>
          <w:tab w:val="right" w:leader="dot" w:pos="4171"/>
        </w:tabs>
        <w:spacing w:line="240" w:lineRule="auto"/>
      </w:pPr>
      <w:r w:rsidRPr="004B4DFF">
        <w:rPr>
          <w:i/>
        </w:rPr>
        <w:t>rectitudo</w:t>
      </w:r>
      <w:r>
        <w:tab/>
        <w:t>411, 434, 568, 584, 591, 599</w:t>
      </w:r>
    </w:p>
    <w:p w:rsidR="00E911ED" w:rsidRDefault="00E911ED" w:rsidP="00E911ED">
      <w:pPr>
        <w:pStyle w:val="Rejstk2"/>
        <w:tabs>
          <w:tab w:val="right" w:leader="dot" w:pos="4171"/>
        </w:tabs>
        <w:spacing w:line="240" w:lineRule="auto"/>
      </w:pPr>
      <w:r w:rsidRPr="004B4DFF">
        <w:rPr>
          <w:i/>
        </w:rPr>
        <w:t>Scotus</w:t>
      </w:r>
      <w:r>
        <w:tab/>
        <w:t>730</w:t>
      </w:r>
    </w:p>
    <w:p w:rsidR="00E911ED" w:rsidRDefault="00E911ED" w:rsidP="00E911ED">
      <w:pPr>
        <w:pStyle w:val="Rejstk2"/>
        <w:tabs>
          <w:tab w:val="right" w:leader="dot" w:pos="4171"/>
        </w:tabs>
        <w:spacing w:line="240" w:lineRule="auto"/>
      </w:pPr>
      <w:r w:rsidRPr="004B4DFF">
        <w:rPr>
          <w:i/>
        </w:rPr>
        <w:t>semel</w:t>
      </w:r>
      <w:r>
        <w:t>‒</w:t>
      </w:r>
      <w:r w:rsidRPr="004B4DFF">
        <w:rPr>
          <w:i/>
        </w:rPr>
        <w:t>semper</w:t>
      </w:r>
      <w:r>
        <w:tab/>
        <w:t>753, 810</w:t>
      </w:r>
    </w:p>
    <w:p w:rsidR="00E911ED" w:rsidRDefault="00E911ED" w:rsidP="00E911ED">
      <w:pPr>
        <w:pStyle w:val="Rejstk2"/>
        <w:tabs>
          <w:tab w:val="right" w:leader="dot" w:pos="4171"/>
        </w:tabs>
        <w:spacing w:line="240" w:lineRule="auto"/>
      </w:pPr>
      <w:r w:rsidRPr="004B4DFF">
        <w:rPr>
          <w:i/>
        </w:rPr>
        <w:t>similitudo</w:t>
      </w:r>
      <w:r>
        <w:tab/>
        <w:t>414, 559</w:t>
      </w:r>
    </w:p>
    <w:p w:rsidR="00E911ED" w:rsidRDefault="00E911ED" w:rsidP="00E911ED">
      <w:pPr>
        <w:pStyle w:val="Rejstk2"/>
        <w:tabs>
          <w:tab w:val="right" w:leader="dot" w:pos="4171"/>
        </w:tabs>
        <w:spacing w:line="240" w:lineRule="auto"/>
      </w:pPr>
      <w:r w:rsidRPr="004B4DFF">
        <w:rPr>
          <w:i/>
        </w:rPr>
        <w:t>sincera</w:t>
      </w:r>
      <w:r>
        <w:t xml:space="preserve"> </w:t>
      </w:r>
      <w:r w:rsidRPr="004B4DFF">
        <w:rPr>
          <w:i/>
        </w:rPr>
        <w:t>veritas</w:t>
      </w:r>
      <w:r>
        <w:tab/>
        <w:t>644, 722, 732</w:t>
      </w:r>
    </w:p>
    <w:p w:rsidR="00E911ED" w:rsidRDefault="00E911ED" w:rsidP="00E911ED">
      <w:pPr>
        <w:pStyle w:val="Rejstk2"/>
        <w:tabs>
          <w:tab w:val="right" w:leader="dot" w:pos="4171"/>
        </w:tabs>
        <w:spacing w:line="240" w:lineRule="auto"/>
      </w:pPr>
      <w:r w:rsidRPr="004B4DFF">
        <w:rPr>
          <w:i/>
        </w:rPr>
        <w:t>veritas</w:t>
      </w:r>
      <w:r>
        <w:tab/>
        <w:t>2, 599, 835</w:t>
      </w:r>
    </w:p>
    <w:p w:rsidR="00E911ED" w:rsidRDefault="00E911ED" w:rsidP="00E911ED">
      <w:pPr>
        <w:pStyle w:val="Rejstk2"/>
        <w:tabs>
          <w:tab w:val="right" w:leader="dot" w:pos="4171"/>
        </w:tabs>
        <w:spacing w:line="240" w:lineRule="auto"/>
      </w:pPr>
      <w:r w:rsidRPr="004B4DFF">
        <w:rPr>
          <w:i/>
        </w:rPr>
        <w:t>vestigium/imago</w:t>
      </w:r>
      <w:r>
        <w:tab/>
        <w:t>720, 721, 723, 738, 747</w:t>
      </w:r>
    </w:p>
    <w:p w:rsidR="00E911ED" w:rsidRDefault="00E911ED" w:rsidP="00E911ED">
      <w:pPr>
        <w:pStyle w:val="Rejstk1"/>
        <w:tabs>
          <w:tab w:val="right" w:leader="dot" w:pos="4171"/>
        </w:tabs>
        <w:spacing w:line="240" w:lineRule="auto"/>
      </w:pPr>
      <w:r>
        <w:t>predikace</w:t>
      </w:r>
    </w:p>
    <w:p w:rsidR="00E911ED" w:rsidRDefault="00E911ED" w:rsidP="00E911ED">
      <w:pPr>
        <w:pStyle w:val="Rejstk2"/>
        <w:tabs>
          <w:tab w:val="right" w:leader="dot" w:pos="4171"/>
        </w:tabs>
        <w:spacing w:line="240" w:lineRule="auto"/>
      </w:pPr>
      <w:r>
        <w:t>amfibolní</w:t>
      </w:r>
      <w:r>
        <w:tab/>
        <w:t>48, 655</w:t>
      </w:r>
    </w:p>
    <w:p w:rsidR="00E911ED" w:rsidRDefault="00E911ED" w:rsidP="00E911ED">
      <w:pPr>
        <w:pStyle w:val="Rejstk2"/>
        <w:tabs>
          <w:tab w:val="right" w:leader="dot" w:pos="4171"/>
        </w:tabs>
        <w:spacing w:line="240" w:lineRule="auto"/>
      </w:pPr>
      <w:r>
        <w:t>analogická</w:t>
      </w:r>
      <w:r>
        <w:tab/>
        <w:t>597</w:t>
      </w:r>
    </w:p>
    <w:p w:rsidR="00E911ED" w:rsidRDefault="00E911ED" w:rsidP="00E911ED">
      <w:pPr>
        <w:pStyle w:val="Rejstk2"/>
        <w:tabs>
          <w:tab w:val="right" w:leader="dot" w:pos="4171"/>
        </w:tabs>
        <w:spacing w:line="240" w:lineRule="auto"/>
      </w:pPr>
      <w:r>
        <w:t>běloba</w:t>
      </w:r>
      <w:r>
        <w:tab/>
        <w:t>591, 653, 693, 703, 710, 797</w:t>
      </w:r>
    </w:p>
    <w:p w:rsidR="00E911ED" w:rsidRDefault="00E911ED" w:rsidP="00E911ED">
      <w:pPr>
        <w:pStyle w:val="Rejstk2"/>
        <w:tabs>
          <w:tab w:val="right" w:leader="dot" w:pos="4171"/>
        </w:tabs>
        <w:spacing w:line="240" w:lineRule="auto"/>
      </w:pPr>
      <w:r w:rsidRPr="004B4DFF">
        <w:rPr>
          <w:i/>
        </w:rPr>
        <w:t>in artificialibus</w:t>
      </w:r>
      <w:r>
        <w:tab/>
        <w:t>23, 48, 54, 56, 102, 106, 117, 118, 120, 294, 297, 394, 502, 509, 519, 531, 600, 613, 629, 679, 714, 735, 756, 876, 877, 909, 913, 916, 920, 921</w:t>
      </w:r>
    </w:p>
    <w:p w:rsidR="00E911ED" w:rsidRDefault="00E911ED" w:rsidP="00E911ED">
      <w:pPr>
        <w:pStyle w:val="Rejstk2"/>
        <w:tabs>
          <w:tab w:val="right" w:leader="dot" w:pos="4171"/>
        </w:tabs>
        <w:spacing w:line="240" w:lineRule="auto"/>
      </w:pPr>
      <w:r>
        <w:t>konkrétní</w:t>
      </w:r>
      <w:r>
        <w:tab/>
        <w:t>32, 474</w:t>
      </w:r>
    </w:p>
    <w:p w:rsidR="00E911ED" w:rsidRDefault="00E911ED" w:rsidP="00E911ED">
      <w:pPr>
        <w:pStyle w:val="Rejstk2"/>
        <w:tabs>
          <w:tab w:val="right" w:leader="dot" w:pos="4171"/>
        </w:tabs>
        <w:spacing w:line="240" w:lineRule="auto"/>
      </w:pPr>
      <w:r w:rsidRPr="004B4DFF">
        <w:rPr>
          <w:i/>
        </w:rPr>
        <w:t>modo geometrico</w:t>
      </w:r>
      <w:r>
        <w:tab/>
        <w:t>153, 559</w:t>
      </w:r>
    </w:p>
    <w:p w:rsidR="00E911ED" w:rsidRDefault="00E911ED" w:rsidP="00E911ED">
      <w:pPr>
        <w:pStyle w:val="Rejstk2"/>
        <w:tabs>
          <w:tab w:val="right" w:leader="dot" w:pos="4171"/>
        </w:tabs>
        <w:spacing w:line="240" w:lineRule="auto"/>
      </w:pPr>
      <w:r>
        <w:t xml:space="preserve">modus </w:t>
      </w:r>
      <w:r w:rsidRPr="004B4DFF">
        <w:rPr>
          <w:i/>
        </w:rPr>
        <w:t>absolute</w:t>
      </w:r>
      <w:r>
        <w:tab/>
        <w:t>398, 510, 600, 615, 632, 664, 751, 815</w:t>
      </w:r>
    </w:p>
    <w:p w:rsidR="00E911ED" w:rsidRDefault="00E911ED" w:rsidP="00E911ED">
      <w:pPr>
        <w:pStyle w:val="Rejstk2"/>
        <w:tabs>
          <w:tab w:val="right" w:leader="dot" w:pos="4171"/>
        </w:tabs>
        <w:spacing w:line="240" w:lineRule="auto"/>
      </w:pPr>
      <w:r w:rsidRPr="004B4DFF">
        <w:rPr>
          <w:i/>
        </w:rPr>
        <w:t>modus prophetiae</w:t>
      </w:r>
      <w:r>
        <w:tab/>
        <w:t>111, 809</w:t>
      </w:r>
    </w:p>
    <w:p w:rsidR="00E911ED" w:rsidRDefault="00E911ED" w:rsidP="00E911ED">
      <w:pPr>
        <w:pStyle w:val="Rejstk2"/>
        <w:tabs>
          <w:tab w:val="right" w:leader="dot" w:pos="4171"/>
        </w:tabs>
        <w:spacing w:line="240" w:lineRule="auto"/>
      </w:pPr>
      <w:r>
        <w:t>objektivní</w:t>
      </w:r>
      <w:r>
        <w:tab/>
        <w:t>52, 582, 591, 602</w:t>
      </w:r>
    </w:p>
    <w:p w:rsidR="00E911ED" w:rsidRDefault="00E911ED" w:rsidP="00E911ED">
      <w:pPr>
        <w:pStyle w:val="Rejstk2"/>
        <w:tabs>
          <w:tab w:val="right" w:leader="dot" w:pos="4171"/>
        </w:tabs>
        <w:spacing w:line="240" w:lineRule="auto"/>
      </w:pPr>
      <w:r w:rsidRPr="004B4DFF">
        <w:rPr>
          <w:i/>
        </w:rPr>
        <w:t>per absurdum</w:t>
      </w:r>
      <w:r>
        <w:tab/>
        <w:t>684</w:t>
      </w:r>
    </w:p>
    <w:p w:rsidR="00E911ED" w:rsidRDefault="00E911ED" w:rsidP="00E911ED">
      <w:pPr>
        <w:pStyle w:val="Rejstk2"/>
        <w:tabs>
          <w:tab w:val="right" w:leader="dot" w:pos="4171"/>
        </w:tabs>
        <w:spacing w:line="240" w:lineRule="auto"/>
      </w:pPr>
      <w:r w:rsidRPr="004B4DFF">
        <w:rPr>
          <w:i/>
        </w:rPr>
        <w:t>per posterius</w:t>
      </w:r>
      <w:r>
        <w:tab/>
        <w:t>14, 170, 623, 650</w:t>
      </w:r>
    </w:p>
    <w:p w:rsidR="00E911ED" w:rsidRDefault="00E911ED" w:rsidP="00E911ED">
      <w:pPr>
        <w:pStyle w:val="Rejstk2"/>
        <w:tabs>
          <w:tab w:val="right" w:leader="dot" w:pos="4171"/>
        </w:tabs>
        <w:spacing w:line="240" w:lineRule="auto"/>
      </w:pPr>
      <w:r w:rsidRPr="004B4DFF">
        <w:rPr>
          <w:i/>
        </w:rPr>
        <w:t>per prius</w:t>
      </w:r>
      <w:r>
        <w:tab/>
        <w:t>21, 153, 162, 258, 581, 583, 629, 664, 700, 708</w:t>
      </w:r>
    </w:p>
    <w:p w:rsidR="00E911ED" w:rsidRDefault="00E911ED" w:rsidP="00E911ED">
      <w:pPr>
        <w:pStyle w:val="Rejstk2"/>
        <w:tabs>
          <w:tab w:val="right" w:leader="dot" w:pos="4171"/>
        </w:tabs>
        <w:spacing w:line="240" w:lineRule="auto"/>
      </w:pPr>
      <w:r>
        <w:t>pozitivní</w:t>
      </w:r>
      <w:r>
        <w:tab/>
        <w:t>755</w:t>
      </w:r>
    </w:p>
    <w:p w:rsidR="00E911ED" w:rsidRDefault="00D3648F" w:rsidP="00E911ED">
      <w:pPr>
        <w:pStyle w:val="Rejstk2"/>
        <w:tabs>
          <w:tab w:val="right" w:leader="dot" w:pos="4171"/>
        </w:tabs>
        <w:spacing w:line="240" w:lineRule="auto"/>
      </w:pPr>
      <w:r>
        <w:t>prohyparchick</w:t>
      </w:r>
      <w:r w:rsidR="00E911ED">
        <w:t>á</w:t>
      </w:r>
      <w:r w:rsidR="00E911ED">
        <w:tab/>
        <w:t>657</w:t>
      </w:r>
    </w:p>
    <w:p w:rsidR="00E911ED" w:rsidRDefault="00E911ED" w:rsidP="00E911ED">
      <w:pPr>
        <w:pStyle w:val="Rejstk2"/>
        <w:tabs>
          <w:tab w:val="right" w:leader="dot" w:pos="4171"/>
        </w:tabs>
        <w:spacing w:line="240" w:lineRule="auto"/>
      </w:pPr>
      <w:r>
        <w:t>Scotus</w:t>
      </w:r>
      <w:r>
        <w:tab/>
        <w:t>655</w:t>
      </w:r>
    </w:p>
    <w:p w:rsidR="00E911ED" w:rsidRDefault="00E911ED" w:rsidP="00E911ED">
      <w:pPr>
        <w:pStyle w:val="Rejstk2"/>
        <w:tabs>
          <w:tab w:val="right" w:leader="dot" w:pos="4171"/>
        </w:tabs>
        <w:spacing w:line="240" w:lineRule="auto"/>
      </w:pPr>
      <w:r w:rsidRPr="004B4DFF">
        <w:rPr>
          <w:i/>
        </w:rPr>
        <w:t>secundum quid</w:t>
      </w:r>
      <w:r>
        <w:tab/>
        <w:t>724, 735</w:t>
      </w:r>
    </w:p>
    <w:p w:rsidR="00E911ED" w:rsidRDefault="00E911ED" w:rsidP="00E911ED">
      <w:pPr>
        <w:pStyle w:val="Rejstk2"/>
        <w:tabs>
          <w:tab w:val="right" w:leader="dot" w:pos="4171"/>
        </w:tabs>
        <w:spacing w:line="240" w:lineRule="auto"/>
      </w:pPr>
      <w:r w:rsidRPr="004B4DFF">
        <w:rPr>
          <w:i/>
        </w:rPr>
        <w:t>semel‒semper</w:t>
      </w:r>
      <w:r>
        <w:tab/>
        <w:t>29, 106, 118, 156, 438, 542, 570, 602, 613, 692, 733, 871</w:t>
      </w:r>
    </w:p>
    <w:p w:rsidR="00E911ED" w:rsidRDefault="00E911ED" w:rsidP="00E911ED">
      <w:pPr>
        <w:pStyle w:val="Rejstk2"/>
        <w:tabs>
          <w:tab w:val="right" w:leader="dot" w:pos="4171"/>
        </w:tabs>
        <w:spacing w:line="240" w:lineRule="auto"/>
      </w:pPr>
      <w:r w:rsidRPr="004B4DFF">
        <w:rPr>
          <w:i/>
        </w:rPr>
        <w:t>sufficientia praedicamentorum</w:t>
      </w:r>
      <w:r>
        <w:tab/>
        <w:t>646</w:t>
      </w:r>
    </w:p>
    <w:p w:rsidR="00E911ED" w:rsidRDefault="00E911ED" w:rsidP="00E911ED">
      <w:pPr>
        <w:pStyle w:val="Rejstk2"/>
        <w:tabs>
          <w:tab w:val="right" w:leader="dot" w:pos="4171"/>
        </w:tabs>
        <w:spacing w:line="240" w:lineRule="auto"/>
      </w:pPr>
      <w:r>
        <w:t>univoční</w:t>
      </w:r>
      <w:r>
        <w:tab/>
        <w:t>674, 709</w:t>
      </w:r>
    </w:p>
    <w:p w:rsidR="00E911ED" w:rsidRDefault="00E911ED" w:rsidP="00E911ED">
      <w:pPr>
        <w:pStyle w:val="Rejstk1"/>
        <w:tabs>
          <w:tab w:val="right" w:leader="dot" w:pos="4171"/>
        </w:tabs>
        <w:spacing w:line="240" w:lineRule="auto"/>
      </w:pPr>
      <w:r>
        <w:t>princip dostatečného důvodu</w:t>
      </w:r>
      <w:r>
        <w:tab/>
        <w:t>151</w:t>
      </w:r>
    </w:p>
    <w:p w:rsidR="00E911ED" w:rsidRDefault="00E911ED" w:rsidP="00E911ED">
      <w:pPr>
        <w:pStyle w:val="Rejstk1"/>
        <w:tabs>
          <w:tab w:val="right" w:leader="dot" w:pos="4171"/>
        </w:tabs>
        <w:spacing w:line="240" w:lineRule="auto"/>
      </w:pPr>
      <w:r>
        <w:t xml:space="preserve">princip </w:t>
      </w:r>
      <w:r w:rsidRPr="004B4DFF">
        <w:rPr>
          <w:i/>
        </w:rPr>
        <w:t>ex inmediatis</w:t>
      </w:r>
      <w:r>
        <w:tab/>
        <w:t>1, 6, 26, 101, 156, 179, 196, 299, 338, 354, 389, 539, 540, 551,</w:t>
      </w:r>
      <w:r w:rsidR="002F7939">
        <w:t xml:space="preserve"> 660,</w:t>
      </w:r>
      <w:r>
        <w:t xml:space="preserve"> 682, 705, 787, 798, 801, 870, 872, 901, 914, </w:t>
      </w:r>
      <w:r w:rsidR="002F7939">
        <w:t xml:space="preserve">919, </w:t>
      </w:r>
      <w:r>
        <w:t>939</w:t>
      </w:r>
    </w:p>
    <w:p w:rsidR="00E911ED" w:rsidRDefault="00E911ED" w:rsidP="00E911ED">
      <w:pPr>
        <w:pStyle w:val="Rejstk1"/>
        <w:tabs>
          <w:tab w:val="right" w:leader="dot" w:pos="4171"/>
        </w:tabs>
        <w:spacing w:line="240" w:lineRule="auto"/>
      </w:pPr>
      <w:r w:rsidRPr="004B4DFF">
        <w:rPr>
          <w:i/>
        </w:rPr>
        <w:t>principium individuationis</w:t>
      </w:r>
      <w:r>
        <w:tab/>
        <w:t>555</w:t>
      </w:r>
    </w:p>
    <w:p w:rsidR="00E911ED" w:rsidRDefault="00E911ED" w:rsidP="00E911ED">
      <w:pPr>
        <w:pStyle w:val="Rejstk1"/>
        <w:tabs>
          <w:tab w:val="right" w:leader="dot" w:pos="4171"/>
        </w:tabs>
        <w:spacing w:line="240" w:lineRule="auto"/>
      </w:pPr>
      <w:r>
        <w:t>procesy se zvířaty</w:t>
      </w:r>
      <w:r>
        <w:tab/>
        <w:t>840</w:t>
      </w:r>
    </w:p>
    <w:p w:rsidR="00E911ED" w:rsidRDefault="00E911ED" w:rsidP="00E911ED">
      <w:pPr>
        <w:pStyle w:val="Rejstk1"/>
        <w:tabs>
          <w:tab w:val="right" w:leader="dot" w:pos="4171"/>
        </w:tabs>
        <w:spacing w:line="240" w:lineRule="auto"/>
      </w:pPr>
      <w:r>
        <w:t>produkce</w:t>
      </w:r>
    </w:p>
    <w:p w:rsidR="00E911ED" w:rsidRDefault="00E911ED" w:rsidP="00E911ED">
      <w:pPr>
        <w:pStyle w:val="Rejstk2"/>
        <w:tabs>
          <w:tab w:val="right" w:leader="dot" w:pos="4171"/>
        </w:tabs>
        <w:spacing w:line="240" w:lineRule="auto"/>
      </w:pPr>
      <w:r>
        <w:t>demiurg</w:t>
      </w:r>
      <w:r>
        <w:tab/>
        <w:t>116, 117</w:t>
      </w:r>
    </w:p>
    <w:p w:rsidR="00E911ED" w:rsidRDefault="00E911ED" w:rsidP="00E911ED">
      <w:pPr>
        <w:pStyle w:val="Rejstk2"/>
        <w:tabs>
          <w:tab w:val="right" w:leader="dot" w:pos="4171"/>
        </w:tabs>
        <w:spacing w:line="240" w:lineRule="auto"/>
      </w:pPr>
      <w:r>
        <w:t>jsoucna</w:t>
      </w:r>
      <w:r>
        <w:tab/>
        <w:t>124</w:t>
      </w:r>
    </w:p>
    <w:p w:rsidR="00E911ED" w:rsidRDefault="00E911ED" w:rsidP="00E911ED">
      <w:pPr>
        <w:pStyle w:val="Rejstk2"/>
        <w:tabs>
          <w:tab w:val="right" w:leader="dot" w:pos="4171"/>
        </w:tabs>
        <w:spacing w:line="240" w:lineRule="auto"/>
      </w:pPr>
      <w:r>
        <w:t>kapitalismus</w:t>
      </w:r>
      <w:r>
        <w:tab/>
        <w:t>105, 127</w:t>
      </w:r>
    </w:p>
    <w:p w:rsidR="00E911ED" w:rsidRDefault="00E911ED" w:rsidP="00E911ED">
      <w:pPr>
        <w:pStyle w:val="Rejstk2"/>
        <w:tabs>
          <w:tab w:val="right" w:leader="dot" w:pos="4171"/>
        </w:tabs>
        <w:spacing w:line="240" w:lineRule="auto"/>
      </w:pPr>
      <w:r>
        <w:t>stvořitelská</w:t>
      </w:r>
      <w:r>
        <w:tab/>
        <w:t>123</w:t>
      </w:r>
    </w:p>
    <w:p w:rsidR="00E911ED" w:rsidRDefault="00E911ED" w:rsidP="00E911ED">
      <w:pPr>
        <w:pStyle w:val="Rejstk1"/>
        <w:tabs>
          <w:tab w:val="right" w:leader="dot" w:pos="4171"/>
        </w:tabs>
        <w:spacing w:line="240" w:lineRule="auto"/>
      </w:pPr>
      <w:r>
        <w:t>první averroismus</w:t>
      </w:r>
    </w:p>
    <w:p w:rsidR="00E911ED" w:rsidRDefault="00E911ED" w:rsidP="00E911ED">
      <w:pPr>
        <w:pStyle w:val="Rejstk2"/>
        <w:tabs>
          <w:tab w:val="right" w:leader="dot" w:pos="4171"/>
        </w:tabs>
        <w:spacing w:line="240" w:lineRule="auto"/>
      </w:pPr>
      <w:r>
        <w:t>Blund</w:t>
      </w:r>
      <w:r>
        <w:tab/>
        <w:t>691</w:t>
      </w:r>
    </w:p>
    <w:p w:rsidR="00E911ED" w:rsidRDefault="00E911ED" w:rsidP="00E911ED">
      <w:pPr>
        <w:pStyle w:val="Rejstk2"/>
        <w:tabs>
          <w:tab w:val="right" w:leader="dot" w:pos="4171"/>
        </w:tabs>
        <w:spacing w:line="240" w:lineRule="auto"/>
      </w:pPr>
      <w:r>
        <w:t>etika</w:t>
      </w:r>
      <w:r>
        <w:tab/>
        <w:t>876</w:t>
      </w:r>
    </w:p>
    <w:p w:rsidR="00E911ED" w:rsidRDefault="00E911ED" w:rsidP="00E911ED">
      <w:pPr>
        <w:pStyle w:val="Rejstk2"/>
        <w:tabs>
          <w:tab w:val="right" w:leader="dot" w:pos="4171"/>
        </w:tabs>
        <w:spacing w:line="240" w:lineRule="auto"/>
      </w:pPr>
      <w:r w:rsidRPr="004B4DFF">
        <w:rPr>
          <w:i/>
        </w:rPr>
        <w:t>intellectus possibilis</w:t>
      </w:r>
      <w:r>
        <w:tab/>
        <w:t>480</w:t>
      </w:r>
    </w:p>
    <w:p w:rsidR="00E911ED" w:rsidRDefault="00E911ED" w:rsidP="00E911ED">
      <w:pPr>
        <w:pStyle w:val="Rejstk2"/>
        <w:tabs>
          <w:tab w:val="right" w:leader="dot" w:pos="4171"/>
        </w:tabs>
        <w:spacing w:line="240" w:lineRule="auto"/>
      </w:pPr>
      <w:r>
        <w:t>Modisté</w:t>
      </w:r>
      <w:r>
        <w:tab/>
        <w:t>453, 455, 584, 614, 630, 670, 677, 694, 747</w:t>
      </w:r>
    </w:p>
    <w:p w:rsidR="00E911ED" w:rsidRDefault="00E911ED" w:rsidP="00E911ED">
      <w:pPr>
        <w:pStyle w:val="Rejstk2"/>
        <w:tabs>
          <w:tab w:val="right" w:leader="dot" w:pos="4171"/>
        </w:tabs>
        <w:spacing w:line="240" w:lineRule="auto"/>
      </w:pPr>
      <w:r w:rsidRPr="004B4DFF">
        <w:rPr>
          <w:i/>
        </w:rPr>
        <w:t>pars Sigeri</w:t>
      </w:r>
      <w:r>
        <w:tab/>
        <w:t>62, 131, 175, 215, 233, 235, 256, 311, 337, 416, 435, 444, 475, 477</w:t>
      </w:r>
    </w:p>
    <w:p w:rsidR="00E911ED" w:rsidRDefault="00E911ED" w:rsidP="00E911ED">
      <w:pPr>
        <w:pStyle w:val="Rejstk2"/>
        <w:tabs>
          <w:tab w:val="right" w:leader="dot" w:pos="4171"/>
        </w:tabs>
        <w:spacing w:line="240" w:lineRule="auto"/>
      </w:pPr>
      <w:r>
        <w:t>politická filosofie</w:t>
      </w:r>
      <w:r>
        <w:tab/>
        <w:t>847</w:t>
      </w:r>
    </w:p>
    <w:p w:rsidR="00E911ED" w:rsidRDefault="00E911ED" w:rsidP="00E911ED">
      <w:pPr>
        <w:pStyle w:val="Rejstk2"/>
        <w:tabs>
          <w:tab w:val="right" w:leader="dot" w:pos="4171"/>
        </w:tabs>
        <w:spacing w:line="240" w:lineRule="auto"/>
      </w:pPr>
      <w:r>
        <w:t>renesance</w:t>
      </w:r>
      <w:r>
        <w:tab/>
        <w:t>494</w:t>
      </w:r>
    </w:p>
    <w:p w:rsidR="00E911ED" w:rsidRDefault="00E911ED" w:rsidP="00E911ED">
      <w:pPr>
        <w:pStyle w:val="Rejstk2"/>
        <w:tabs>
          <w:tab w:val="right" w:leader="dot" w:pos="4171"/>
        </w:tabs>
        <w:spacing w:line="240" w:lineRule="auto"/>
      </w:pPr>
      <w:r>
        <w:t>semiaverroismus</w:t>
      </w:r>
      <w:r>
        <w:tab/>
        <w:t>324, 339</w:t>
      </w:r>
    </w:p>
    <w:p w:rsidR="00E911ED" w:rsidRDefault="00E911ED" w:rsidP="00E911ED">
      <w:pPr>
        <w:pStyle w:val="Rejstk2"/>
        <w:tabs>
          <w:tab w:val="right" w:leader="dot" w:pos="4171"/>
        </w:tabs>
        <w:spacing w:line="240" w:lineRule="auto"/>
      </w:pPr>
      <w:r w:rsidRPr="004B4DFF">
        <w:rPr>
          <w:i/>
        </w:rPr>
        <w:t>sequaces Aristotelis</w:t>
      </w:r>
      <w:r>
        <w:tab/>
        <w:t>328, 329, 356</w:t>
      </w:r>
    </w:p>
    <w:p w:rsidR="00E911ED" w:rsidRDefault="00E911ED" w:rsidP="00E911ED">
      <w:pPr>
        <w:pStyle w:val="Rejstk1"/>
        <w:tabs>
          <w:tab w:val="right" w:leader="dot" w:pos="4171"/>
        </w:tabs>
        <w:spacing w:line="240" w:lineRule="auto"/>
      </w:pPr>
      <w:r>
        <w:t>Pseudo-Peckham</w:t>
      </w:r>
      <w:r w:rsidR="002F7939">
        <w:t xml:space="preserve">, viz </w:t>
      </w:r>
      <w:r w:rsidR="002F7939" w:rsidRPr="002F7939">
        <w:rPr>
          <w:i/>
        </w:rPr>
        <w:t>Index locorum</w:t>
      </w:r>
    </w:p>
    <w:p w:rsidR="00E911ED" w:rsidRDefault="00E911ED" w:rsidP="00E911ED">
      <w:pPr>
        <w:pStyle w:val="Rejstk1"/>
        <w:tabs>
          <w:tab w:val="right" w:leader="dot" w:pos="4171"/>
        </w:tabs>
        <w:spacing w:line="240" w:lineRule="auto"/>
      </w:pPr>
      <w:r>
        <w:t>psychologie</w:t>
      </w:r>
      <w:r>
        <w:tab/>
        <w:t>597, 844</w:t>
      </w:r>
    </w:p>
    <w:p w:rsidR="00E911ED" w:rsidRDefault="00E911ED" w:rsidP="00E911ED">
      <w:pPr>
        <w:pStyle w:val="Rejstk1"/>
        <w:tabs>
          <w:tab w:val="right" w:leader="dot" w:pos="4171"/>
        </w:tabs>
        <w:spacing w:line="240" w:lineRule="auto"/>
      </w:pPr>
      <w:r>
        <w:t>Putallaz, F.-X.</w:t>
      </w:r>
      <w:r>
        <w:tab/>
        <w:t>240</w:t>
      </w:r>
    </w:p>
    <w:p w:rsidR="00E911ED" w:rsidRDefault="00E911ED" w:rsidP="00E911ED">
      <w:pPr>
        <w:pStyle w:val="Rejstk1"/>
        <w:tabs>
          <w:tab w:val="right" w:leader="dot" w:pos="4171"/>
        </w:tabs>
        <w:spacing w:line="240" w:lineRule="auto"/>
      </w:pPr>
      <w:r w:rsidRPr="004B4DFF">
        <w:rPr>
          <w:i/>
        </w:rPr>
        <w:t>quartum genus</w:t>
      </w:r>
      <w:r>
        <w:tab/>
        <w:t>69, 142, 165, 168, 206, 229, 250, 274, 285, 286, 300, 302, 304, 338, 359, 404, 438, 445, 446, 453, 461, 535, 772, 780, 782, 783, 786, 850, 854, 875, 898, 909, 925, 932</w:t>
      </w:r>
    </w:p>
    <w:p w:rsidR="00E911ED" w:rsidRDefault="00E911ED" w:rsidP="00E911ED">
      <w:pPr>
        <w:pStyle w:val="Rejstk1"/>
        <w:tabs>
          <w:tab w:val="right" w:leader="dot" w:pos="4171"/>
        </w:tabs>
        <w:spacing w:line="240" w:lineRule="auto"/>
      </w:pPr>
      <w:r w:rsidRPr="004B4DFF">
        <w:rPr>
          <w:i/>
          <w:iCs/>
        </w:rPr>
        <w:t>quidditas</w:t>
      </w:r>
      <w:r>
        <w:tab/>
        <w:t>17, 56, 75, 163, 914</w:t>
      </w:r>
    </w:p>
    <w:p w:rsidR="00E911ED" w:rsidRDefault="00E911ED" w:rsidP="00E911ED">
      <w:pPr>
        <w:pStyle w:val="Rejstk2"/>
        <w:tabs>
          <w:tab w:val="right" w:leader="dot" w:pos="4171"/>
        </w:tabs>
        <w:spacing w:line="240" w:lineRule="auto"/>
      </w:pPr>
      <w:r w:rsidRPr="002F7939">
        <w:rPr>
          <w:i/>
        </w:rPr>
        <w:t>Anonym Bazán</w:t>
      </w:r>
      <w:r>
        <w:tab/>
        <w:t>234</w:t>
      </w:r>
    </w:p>
    <w:p w:rsidR="00E911ED" w:rsidRDefault="00E911ED" w:rsidP="00E911ED">
      <w:pPr>
        <w:pStyle w:val="Rejstk2"/>
        <w:tabs>
          <w:tab w:val="right" w:leader="dot" w:pos="4171"/>
        </w:tabs>
        <w:spacing w:line="240" w:lineRule="auto"/>
      </w:pPr>
      <w:r>
        <w:t>moderna</w:t>
      </w:r>
      <w:r>
        <w:tab/>
        <w:t>595</w:t>
      </w:r>
    </w:p>
    <w:p w:rsidR="00E911ED" w:rsidRDefault="00E911ED" w:rsidP="00E911ED">
      <w:pPr>
        <w:pStyle w:val="Rejstk1"/>
        <w:tabs>
          <w:tab w:val="right" w:leader="dot" w:pos="4171"/>
        </w:tabs>
        <w:spacing w:line="240" w:lineRule="auto"/>
      </w:pPr>
      <w:r>
        <w:t>Quidort</w:t>
      </w:r>
      <w:r w:rsidR="002F7939">
        <w:t xml:space="preserve">, J, viz </w:t>
      </w:r>
      <w:r w:rsidR="002F7939" w:rsidRPr="002F7939">
        <w:rPr>
          <w:i/>
        </w:rPr>
        <w:t>Index locorum</w:t>
      </w:r>
    </w:p>
    <w:p w:rsidR="00E911ED" w:rsidRDefault="00E911ED" w:rsidP="00E911ED">
      <w:pPr>
        <w:pStyle w:val="Rejstk1"/>
        <w:tabs>
          <w:tab w:val="right" w:leader="dot" w:pos="4171"/>
        </w:tabs>
        <w:spacing w:line="240" w:lineRule="auto"/>
      </w:pPr>
      <w:r w:rsidRPr="004B4DFF">
        <w:rPr>
          <w:i/>
        </w:rPr>
        <w:t>quo est</w:t>
      </w:r>
      <w:r>
        <w:tab/>
        <w:t>41, 67, 106, 206, 359, 405, 666, 743, 744, 749, 766, 791, 862</w:t>
      </w:r>
    </w:p>
    <w:p w:rsidR="00E911ED" w:rsidRDefault="00E911ED" w:rsidP="00E911ED">
      <w:pPr>
        <w:pStyle w:val="Rejstk1"/>
        <w:tabs>
          <w:tab w:val="right" w:leader="dot" w:pos="4171"/>
        </w:tabs>
        <w:spacing w:line="240" w:lineRule="auto"/>
      </w:pPr>
      <w:r>
        <w:t>racionalita</w:t>
      </w:r>
    </w:p>
    <w:p w:rsidR="00E911ED" w:rsidRDefault="00E911ED" w:rsidP="00E911ED">
      <w:pPr>
        <w:pStyle w:val="Rejstk2"/>
        <w:tabs>
          <w:tab w:val="right" w:leader="dot" w:pos="4171"/>
        </w:tabs>
        <w:spacing w:line="240" w:lineRule="auto"/>
      </w:pPr>
      <w:r>
        <w:t>instrumentální</w:t>
      </w:r>
      <w:r>
        <w:tab/>
        <w:t>148</w:t>
      </w:r>
    </w:p>
    <w:p w:rsidR="00E911ED" w:rsidRDefault="00E911ED" w:rsidP="00E911ED">
      <w:pPr>
        <w:pStyle w:val="Rejstk2"/>
        <w:tabs>
          <w:tab w:val="right" w:leader="dot" w:pos="4171"/>
        </w:tabs>
        <w:spacing w:line="240" w:lineRule="auto"/>
      </w:pPr>
      <w:r>
        <w:t>virtuální</w:t>
      </w:r>
      <w:r>
        <w:tab/>
        <w:t>148</w:t>
      </w:r>
    </w:p>
    <w:p w:rsidR="00E911ED" w:rsidRDefault="00E911ED" w:rsidP="00E911ED">
      <w:pPr>
        <w:pStyle w:val="Rejstk1"/>
        <w:tabs>
          <w:tab w:val="right" w:leader="dot" w:pos="4171"/>
        </w:tabs>
        <w:spacing w:line="240" w:lineRule="auto"/>
      </w:pPr>
      <w:r>
        <w:t>Radulphus Brito</w:t>
      </w:r>
      <w:r>
        <w:tab/>
        <w:t>647</w:t>
      </w:r>
    </w:p>
    <w:p w:rsidR="00616545" w:rsidRPr="00F43866" w:rsidRDefault="00616545" w:rsidP="00616545">
      <w:pPr>
        <w:pStyle w:val="Hlavikarejstku"/>
        <w:keepNext/>
        <w:tabs>
          <w:tab w:val="right" w:leader="dot" w:pos="4171"/>
        </w:tabs>
        <w:spacing w:line="240" w:lineRule="auto"/>
        <w:rPr>
          <w:rFonts w:eastAsia="Times New Roman"/>
          <w:b w:val="0"/>
          <w:bCs w:val="0"/>
          <w:lang w:val="de-LU"/>
        </w:rPr>
      </w:pPr>
      <w:r>
        <w:rPr>
          <w:lang w:val="de-LU"/>
        </w:rPr>
        <w:t>R</w:t>
      </w:r>
    </w:p>
    <w:p w:rsidR="00E911ED" w:rsidRDefault="00E911ED" w:rsidP="00E911ED">
      <w:pPr>
        <w:pStyle w:val="Rejstk1"/>
        <w:tabs>
          <w:tab w:val="right" w:leader="dot" w:pos="4171"/>
        </w:tabs>
        <w:spacing w:line="240" w:lineRule="auto"/>
      </w:pPr>
      <w:r>
        <w:t>Rahner, K.</w:t>
      </w:r>
      <w:r>
        <w:tab/>
        <w:t>326</w:t>
      </w:r>
    </w:p>
    <w:p w:rsidR="00E911ED" w:rsidRDefault="00E911ED" w:rsidP="00E911ED">
      <w:pPr>
        <w:pStyle w:val="Rejstk1"/>
        <w:tabs>
          <w:tab w:val="right" w:leader="dot" w:pos="4171"/>
        </w:tabs>
        <w:spacing w:line="240" w:lineRule="auto"/>
      </w:pPr>
      <w:r w:rsidRPr="004B4DFF">
        <w:rPr>
          <w:i/>
        </w:rPr>
        <w:t>ratio seminalis</w:t>
      </w:r>
      <w:r>
        <w:tab/>
        <w:t>102, 104, 106, 111, 115, 123, 186, 719</w:t>
      </w:r>
    </w:p>
    <w:p w:rsidR="00E911ED" w:rsidRDefault="00E911ED" w:rsidP="00E911ED">
      <w:pPr>
        <w:pStyle w:val="Rejstk1"/>
        <w:tabs>
          <w:tab w:val="right" w:leader="dot" w:pos="4171"/>
        </w:tabs>
        <w:spacing w:line="240" w:lineRule="auto"/>
      </w:pPr>
      <w:r w:rsidRPr="004B4DFF">
        <w:rPr>
          <w:i/>
        </w:rPr>
        <w:t>rationes</w:t>
      </w:r>
      <w:r>
        <w:t xml:space="preserve"> </w:t>
      </w:r>
      <w:r w:rsidRPr="004B4DFF">
        <w:rPr>
          <w:i/>
        </w:rPr>
        <w:t>exemplares</w:t>
      </w:r>
      <w:r>
        <w:tab/>
        <w:t>151, 740</w:t>
      </w:r>
    </w:p>
    <w:p w:rsidR="00E911ED" w:rsidRDefault="00E911ED" w:rsidP="00E911ED">
      <w:pPr>
        <w:pStyle w:val="Rejstk1"/>
        <w:tabs>
          <w:tab w:val="right" w:leader="dot" w:pos="4171"/>
        </w:tabs>
        <w:spacing w:line="240" w:lineRule="auto"/>
      </w:pPr>
      <w:r w:rsidRPr="004B4DFF">
        <w:rPr>
          <w:i/>
        </w:rPr>
        <w:t>rationes seminales</w:t>
      </w:r>
      <w:r>
        <w:tab/>
        <w:t>49, 107, 108, 111, 151, 161, 225, 329, 394, 502, 576, 737, 740</w:t>
      </w:r>
    </w:p>
    <w:p w:rsidR="00E911ED" w:rsidRDefault="00E911ED" w:rsidP="00E911ED">
      <w:pPr>
        <w:pStyle w:val="Rejstk1"/>
        <w:tabs>
          <w:tab w:val="right" w:leader="dot" w:pos="4171"/>
        </w:tabs>
        <w:spacing w:line="240" w:lineRule="auto"/>
      </w:pPr>
      <w:r w:rsidRPr="004B4DFF">
        <w:rPr>
          <w:i/>
        </w:rPr>
        <w:t>reductio ad absurdum</w:t>
      </w:r>
      <w:r>
        <w:tab/>
        <w:t>756</w:t>
      </w:r>
    </w:p>
    <w:p w:rsidR="00E911ED" w:rsidRDefault="00E911ED" w:rsidP="00E911ED">
      <w:pPr>
        <w:pStyle w:val="Rejstk1"/>
        <w:tabs>
          <w:tab w:val="right" w:leader="dot" w:pos="4171"/>
        </w:tabs>
        <w:spacing w:line="240" w:lineRule="auto"/>
      </w:pPr>
      <w:r w:rsidRPr="004B4DFF">
        <w:rPr>
          <w:iCs/>
        </w:rPr>
        <w:t>Reformace</w:t>
      </w:r>
      <w:r>
        <w:tab/>
        <w:t>511</w:t>
      </w:r>
    </w:p>
    <w:p w:rsidR="00E911ED" w:rsidRDefault="00E911ED" w:rsidP="00E911ED">
      <w:pPr>
        <w:pStyle w:val="Rejstk1"/>
        <w:tabs>
          <w:tab w:val="right" w:leader="dot" w:pos="4171"/>
        </w:tabs>
        <w:spacing w:line="240" w:lineRule="auto"/>
      </w:pPr>
      <w:r w:rsidRPr="004B4DFF">
        <w:rPr>
          <w:i/>
        </w:rPr>
        <w:t>Reformed Epistemology</w:t>
      </w:r>
      <w:r>
        <w:tab/>
        <w:t>257</w:t>
      </w:r>
    </w:p>
    <w:p w:rsidR="00E911ED" w:rsidRDefault="00E911ED" w:rsidP="00E911ED">
      <w:pPr>
        <w:pStyle w:val="Rejstk1"/>
        <w:tabs>
          <w:tab w:val="right" w:leader="dot" w:pos="4171"/>
        </w:tabs>
        <w:spacing w:line="240" w:lineRule="auto"/>
      </w:pPr>
      <w:r>
        <w:t>regule</w:t>
      </w:r>
    </w:p>
    <w:p w:rsidR="00E911ED" w:rsidRDefault="00E911ED" w:rsidP="00E911ED">
      <w:pPr>
        <w:pStyle w:val="Rejstk2"/>
        <w:tabs>
          <w:tab w:val="right" w:leader="dot" w:pos="4171"/>
        </w:tabs>
        <w:spacing w:line="240" w:lineRule="auto"/>
      </w:pPr>
      <w:r w:rsidRPr="004B4DFF">
        <w:rPr>
          <w:i/>
        </w:rPr>
        <w:t>agentis creati</w:t>
      </w:r>
      <w:r>
        <w:tab/>
        <w:t>565</w:t>
      </w:r>
    </w:p>
    <w:p w:rsidR="00E911ED" w:rsidRDefault="00E911ED" w:rsidP="00E911ED">
      <w:pPr>
        <w:pStyle w:val="Rejstk2"/>
        <w:tabs>
          <w:tab w:val="right" w:leader="dot" w:pos="4171"/>
        </w:tabs>
        <w:spacing w:line="240" w:lineRule="auto"/>
      </w:pPr>
      <w:r w:rsidRPr="004B4DFF">
        <w:rPr>
          <w:i/>
        </w:rPr>
        <w:t>agentis in/creati</w:t>
      </w:r>
      <w:r>
        <w:tab/>
        <w:t xml:space="preserve">101, 104, 105, 106, 133, 148, 254, 401, 413, </w:t>
      </w:r>
      <w:r w:rsidR="001A0DB1">
        <w:t xml:space="preserve">498, </w:t>
      </w:r>
      <w:r>
        <w:t>509, 569, 570, 604, 614, 695, 737, 813</w:t>
      </w:r>
    </w:p>
    <w:p w:rsidR="00E911ED" w:rsidRDefault="00E911ED" w:rsidP="00E911ED">
      <w:pPr>
        <w:pStyle w:val="Rejstk2"/>
        <w:tabs>
          <w:tab w:val="right" w:leader="dot" w:pos="4171"/>
        </w:tabs>
        <w:spacing w:line="240" w:lineRule="auto"/>
      </w:pPr>
      <w:r w:rsidRPr="004B4DFF">
        <w:rPr>
          <w:i/>
        </w:rPr>
        <w:t>agentis increati</w:t>
      </w:r>
      <w:r>
        <w:tab/>
        <w:t>109, 155</w:t>
      </w:r>
    </w:p>
    <w:p w:rsidR="00E911ED" w:rsidRDefault="00E911ED" w:rsidP="00E911ED">
      <w:pPr>
        <w:pStyle w:val="Rejstk2"/>
        <w:tabs>
          <w:tab w:val="right" w:leader="dot" w:pos="4171"/>
        </w:tabs>
        <w:spacing w:line="240" w:lineRule="auto"/>
      </w:pPr>
      <w:r>
        <w:t>Akvinský</w:t>
      </w:r>
      <w:r>
        <w:tab/>
        <w:t>390</w:t>
      </w:r>
    </w:p>
    <w:p w:rsidR="00E911ED" w:rsidRDefault="00E911ED" w:rsidP="00E911ED">
      <w:pPr>
        <w:pStyle w:val="Rejstk2"/>
        <w:tabs>
          <w:tab w:val="right" w:leader="dot" w:pos="4171"/>
        </w:tabs>
        <w:spacing w:line="240" w:lineRule="auto"/>
      </w:pPr>
      <w:r>
        <w:t>Bonaventura</w:t>
      </w:r>
      <w:r>
        <w:tab/>
        <w:t>102, 490</w:t>
      </w:r>
    </w:p>
    <w:p w:rsidR="00E911ED" w:rsidRDefault="00E911ED" w:rsidP="00E911ED">
      <w:pPr>
        <w:pStyle w:val="Rejstk2"/>
        <w:tabs>
          <w:tab w:val="right" w:leader="dot" w:pos="4171"/>
        </w:tabs>
        <w:spacing w:line="240" w:lineRule="auto"/>
      </w:pPr>
      <w:r>
        <w:t>demiurg</w:t>
      </w:r>
      <w:r>
        <w:tab/>
        <w:t>103, 118</w:t>
      </w:r>
    </w:p>
    <w:p w:rsidR="00E911ED" w:rsidRDefault="00E911ED" w:rsidP="00E911ED">
      <w:pPr>
        <w:pStyle w:val="Rejstk2"/>
        <w:tabs>
          <w:tab w:val="right" w:leader="dot" w:pos="4171"/>
        </w:tabs>
        <w:spacing w:line="240" w:lineRule="auto"/>
      </w:pPr>
      <w:r>
        <w:t>Descartes</w:t>
      </w:r>
      <w:r>
        <w:tab/>
        <w:t>501</w:t>
      </w:r>
    </w:p>
    <w:p w:rsidR="00E911ED" w:rsidRDefault="00E911ED" w:rsidP="00E911ED">
      <w:pPr>
        <w:pStyle w:val="Rejstk2"/>
        <w:tabs>
          <w:tab w:val="right" w:leader="dot" w:pos="4171"/>
        </w:tabs>
        <w:spacing w:line="240" w:lineRule="auto"/>
      </w:pPr>
      <w:r>
        <w:t>františkánská</w:t>
      </w:r>
      <w:r>
        <w:tab/>
        <w:t>59</w:t>
      </w:r>
    </w:p>
    <w:p w:rsidR="00E911ED" w:rsidRDefault="00E911ED" w:rsidP="00E911ED">
      <w:pPr>
        <w:pStyle w:val="Rejstk2"/>
        <w:tabs>
          <w:tab w:val="right" w:leader="dot" w:pos="4171"/>
        </w:tabs>
        <w:spacing w:line="240" w:lineRule="auto"/>
      </w:pPr>
      <w:r>
        <w:t>Hegel</w:t>
      </w:r>
      <w:r>
        <w:tab/>
        <w:t>126</w:t>
      </w:r>
    </w:p>
    <w:p w:rsidR="00E911ED" w:rsidRDefault="00E911ED" w:rsidP="00E911ED">
      <w:pPr>
        <w:pStyle w:val="Rejstk2"/>
        <w:tabs>
          <w:tab w:val="right" w:leader="dot" w:pos="4171"/>
        </w:tabs>
        <w:spacing w:line="240" w:lineRule="auto"/>
      </w:pPr>
      <w:r>
        <w:t>kapitalismus</w:t>
      </w:r>
      <w:r>
        <w:tab/>
        <w:t>564, 950</w:t>
      </w:r>
    </w:p>
    <w:p w:rsidR="00E911ED" w:rsidRDefault="00E911ED" w:rsidP="00E911ED">
      <w:pPr>
        <w:pStyle w:val="Rejstk2"/>
        <w:tabs>
          <w:tab w:val="right" w:leader="dot" w:pos="4171"/>
        </w:tabs>
        <w:spacing w:line="240" w:lineRule="auto"/>
      </w:pPr>
      <w:r>
        <w:t>matematická</w:t>
      </w:r>
      <w:r>
        <w:tab/>
        <w:t>732</w:t>
      </w:r>
    </w:p>
    <w:p w:rsidR="00E911ED" w:rsidRDefault="00E911ED" w:rsidP="00E911ED">
      <w:pPr>
        <w:pStyle w:val="Rejstk2"/>
        <w:tabs>
          <w:tab w:val="right" w:leader="dot" w:pos="4171"/>
        </w:tabs>
        <w:spacing w:line="240" w:lineRule="auto"/>
      </w:pPr>
      <w:r>
        <w:t>objektivní</w:t>
      </w:r>
      <w:r>
        <w:tab/>
        <w:t>108, 728, 741, 747</w:t>
      </w:r>
    </w:p>
    <w:p w:rsidR="00E911ED" w:rsidRDefault="00E911ED" w:rsidP="00E911ED">
      <w:pPr>
        <w:pStyle w:val="Rejstk2"/>
        <w:tabs>
          <w:tab w:val="right" w:leader="dot" w:pos="4171"/>
        </w:tabs>
        <w:spacing w:line="240" w:lineRule="auto"/>
      </w:pPr>
      <w:r>
        <w:t>stvořitele</w:t>
      </w:r>
      <w:r>
        <w:tab/>
        <w:t>23</w:t>
      </w:r>
    </w:p>
    <w:p w:rsidR="00E911ED" w:rsidRDefault="00E911ED" w:rsidP="00E911ED">
      <w:pPr>
        <w:pStyle w:val="Rejstk1"/>
        <w:tabs>
          <w:tab w:val="right" w:leader="dot" w:pos="4171"/>
        </w:tabs>
        <w:spacing w:line="240" w:lineRule="auto"/>
      </w:pPr>
      <w:r w:rsidRPr="004B4DFF">
        <w:rPr>
          <w:i/>
        </w:rPr>
        <w:t>relatio</w:t>
      </w:r>
      <w:r>
        <w:tab/>
        <w:t>400, 536, 615, 620, 624, 632, 648, 748, 749, 750, 753, 762, 825</w:t>
      </w:r>
    </w:p>
    <w:p w:rsidR="00E911ED" w:rsidRDefault="00E911ED" w:rsidP="00E911ED">
      <w:pPr>
        <w:pStyle w:val="Rejstk1"/>
        <w:tabs>
          <w:tab w:val="right" w:leader="dot" w:pos="4171"/>
        </w:tabs>
        <w:spacing w:line="240" w:lineRule="auto"/>
      </w:pPr>
      <w:r>
        <w:t>relativní utopie</w:t>
      </w:r>
      <w:r>
        <w:tab/>
        <w:t>729</w:t>
      </w:r>
    </w:p>
    <w:p w:rsidR="00E911ED" w:rsidRDefault="00E911ED" w:rsidP="00E911ED">
      <w:pPr>
        <w:pStyle w:val="Rejstk1"/>
        <w:tabs>
          <w:tab w:val="right" w:leader="dot" w:pos="4171"/>
        </w:tabs>
        <w:spacing w:line="240" w:lineRule="auto"/>
      </w:pPr>
      <w:r>
        <w:t>Renan, E.</w:t>
      </w:r>
      <w:r>
        <w:tab/>
        <w:t>132</w:t>
      </w:r>
    </w:p>
    <w:p w:rsidR="00E911ED" w:rsidRDefault="00E911ED" w:rsidP="00E911ED">
      <w:pPr>
        <w:pStyle w:val="Rejstk1"/>
        <w:tabs>
          <w:tab w:val="right" w:leader="dot" w:pos="4171"/>
        </w:tabs>
        <w:spacing w:line="240" w:lineRule="auto"/>
      </w:pPr>
      <w:r w:rsidRPr="004B4DFF">
        <w:rPr>
          <w:i/>
        </w:rPr>
        <w:t>res cogitans</w:t>
      </w:r>
      <w:r>
        <w:tab/>
        <w:t>274, 282, 291, 408, 423, 496, 689, 777, 781, 833</w:t>
      </w:r>
    </w:p>
    <w:p w:rsidR="00E911ED" w:rsidRDefault="00E911ED" w:rsidP="00E911ED">
      <w:pPr>
        <w:pStyle w:val="Rejstk1"/>
        <w:tabs>
          <w:tab w:val="right" w:leader="dot" w:pos="4171"/>
        </w:tabs>
        <w:spacing w:line="240" w:lineRule="auto"/>
      </w:pPr>
      <w:r w:rsidRPr="004B4DFF">
        <w:rPr>
          <w:i/>
        </w:rPr>
        <w:t>resolutio</w:t>
      </w:r>
    </w:p>
    <w:p w:rsidR="00E911ED" w:rsidRDefault="00E911ED" w:rsidP="00E911ED">
      <w:pPr>
        <w:pStyle w:val="Rejstk2"/>
        <w:tabs>
          <w:tab w:val="right" w:leader="dot" w:pos="4171"/>
        </w:tabs>
        <w:spacing w:line="240" w:lineRule="auto"/>
      </w:pPr>
      <w:r>
        <w:t>Akvinský</w:t>
      </w:r>
      <w:r>
        <w:tab/>
        <w:t>392, 398</w:t>
      </w:r>
    </w:p>
    <w:p w:rsidR="00E911ED" w:rsidRDefault="00E911ED" w:rsidP="00E911ED">
      <w:pPr>
        <w:pStyle w:val="Rejstk2"/>
        <w:tabs>
          <w:tab w:val="right" w:leader="dot" w:pos="4171"/>
        </w:tabs>
        <w:spacing w:line="240" w:lineRule="auto"/>
      </w:pPr>
      <w:r>
        <w:t>Bonaventura</w:t>
      </w:r>
      <w:r>
        <w:tab/>
        <w:t>22, 28, 35, 101, 102, 107, 110</w:t>
      </w:r>
    </w:p>
    <w:p w:rsidR="00E911ED" w:rsidRDefault="00E911ED" w:rsidP="00E911ED">
      <w:pPr>
        <w:pStyle w:val="Rejstk2"/>
        <w:tabs>
          <w:tab w:val="right" w:leader="dot" w:pos="4171"/>
        </w:tabs>
        <w:spacing w:line="240" w:lineRule="auto"/>
      </w:pPr>
      <w:r>
        <w:t>druhý averroismus</w:t>
      </w:r>
      <w:r>
        <w:tab/>
        <w:t>21</w:t>
      </w:r>
    </w:p>
    <w:p w:rsidR="00E911ED" w:rsidRDefault="00E911ED" w:rsidP="00E911ED">
      <w:pPr>
        <w:pStyle w:val="Rejstk2"/>
        <w:tabs>
          <w:tab w:val="right" w:leader="dot" w:pos="4171"/>
        </w:tabs>
        <w:spacing w:line="240" w:lineRule="auto"/>
      </w:pPr>
      <w:r>
        <w:t>Gandavus</w:t>
      </w:r>
      <w:r>
        <w:tab/>
        <w:t>580, 581, 615, 623</w:t>
      </w:r>
    </w:p>
    <w:p w:rsidR="00E911ED" w:rsidRDefault="00E911ED" w:rsidP="00E911ED">
      <w:pPr>
        <w:pStyle w:val="Rejstk2"/>
        <w:tabs>
          <w:tab w:val="right" w:leader="dot" w:pos="4171"/>
        </w:tabs>
        <w:spacing w:line="240" w:lineRule="auto"/>
      </w:pPr>
      <w:r w:rsidRPr="004B4DFF">
        <w:rPr>
          <w:i/>
        </w:rPr>
        <w:t>in quid</w:t>
      </w:r>
      <w:r>
        <w:tab/>
        <w:t>707, 751, 755, 759, 805</w:t>
      </w:r>
    </w:p>
    <w:p w:rsidR="00E911ED" w:rsidRDefault="00E911ED" w:rsidP="00E911ED">
      <w:pPr>
        <w:pStyle w:val="Rejstk2"/>
        <w:tabs>
          <w:tab w:val="right" w:leader="dot" w:pos="4171"/>
        </w:tabs>
        <w:spacing w:line="240" w:lineRule="auto"/>
      </w:pPr>
      <w:r w:rsidRPr="004B4DFF">
        <w:rPr>
          <w:i/>
        </w:rPr>
        <w:t>naturalis</w:t>
      </w:r>
      <w:r>
        <w:tab/>
        <w:t>24</w:t>
      </w:r>
    </w:p>
    <w:p w:rsidR="00E911ED" w:rsidRDefault="00E911ED" w:rsidP="00E911ED">
      <w:pPr>
        <w:pStyle w:val="Rejstk2"/>
        <w:tabs>
          <w:tab w:val="right" w:leader="dot" w:pos="4171"/>
        </w:tabs>
        <w:spacing w:line="240" w:lineRule="auto"/>
      </w:pPr>
      <w:r>
        <w:t>Olivi</w:t>
      </w:r>
      <w:r>
        <w:tab/>
        <w:t>552, 558, 572</w:t>
      </w:r>
    </w:p>
    <w:p w:rsidR="00E911ED" w:rsidRDefault="00E911ED" w:rsidP="00E911ED">
      <w:pPr>
        <w:pStyle w:val="Rejstk2"/>
        <w:tabs>
          <w:tab w:val="right" w:leader="dot" w:pos="4171"/>
        </w:tabs>
        <w:spacing w:line="240" w:lineRule="auto"/>
      </w:pPr>
      <w:r>
        <w:t>Pecham</w:t>
      </w:r>
      <w:r>
        <w:tab/>
        <w:t>153, 154, 158, 386</w:t>
      </w:r>
    </w:p>
    <w:p w:rsidR="00E911ED" w:rsidRDefault="00E911ED" w:rsidP="00E911ED">
      <w:pPr>
        <w:pStyle w:val="Rejstk2"/>
        <w:tabs>
          <w:tab w:val="right" w:leader="dot" w:pos="4171"/>
        </w:tabs>
        <w:spacing w:line="240" w:lineRule="auto"/>
      </w:pPr>
      <w:r w:rsidRPr="004B4DFF">
        <w:rPr>
          <w:i/>
        </w:rPr>
        <w:t>plena</w:t>
      </w:r>
      <w:r>
        <w:tab/>
        <w:t>25, 99</w:t>
      </w:r>
    </w:p>
    <w:p w:rsidR="00E911ED" w:rsidRDefault="00E911ED" w:rsidP="00E911ED">
      <w:pPr>
        <w:pStyle w:val="Rejstk2"/>
        <w:tabs>
          <w:tab w:val="right" w:leader="dot" w:pos="4171"/>
        </w:tabs>
        <w:spacing w:line="240" w:lineRule="auto"/>
      </w:pPr>
      <w:r>
        <w:t>první averroismus</w:t>
      </w:r>
      <w:r>
        <w:tab/>
        <w:t>260</w:t>
      </w:r>
    </w:p>
    <w:p w:rsidR="00E911ED" w:rsidRDefault="00E911ED" w:rsidP="00E911ED">
      <w:pPr>
        <w:pStyle w:val="Rejstk2"/>
        <w:tabs>
          <w:tab w:val="right" w:leader="dot" w:pos="4171"/>
        </w:tabs>
        <w:spacing w:line="240" w:lineRule="auto"/>
      </w:pPr>
      <w:r>
        <w:t>Scotus</w:t>
      </w:r>
      <w:r>
        <w:tab/>
        <w:t>660, 667, 698, 699, 703, 710, 720, 753, 830</w:t>
      </w:r>
    </w:p>
    <w:p w:rsidR="00E911ED" w:rsidRDefault="00E911ED" w:rsidP="00E911ED">
      <w:pPr>
        <w:pStyle w:val="Rejstk1"/>
        <w:tabs>
          <w:tab w:val="right" w:leader="dot" w:pos="4171"/>
        </w:tabs>
        <w:spacing w:line="240" w:lineRule="auto"/>
      </w:pPr>
      <w:r w:rsidRPr="004B4DFF">
        <w:rPr>
          <w:i/>
        </w:rPr>
        <w:t>restitutio ad integrum</w:t>
      </w:r>
      <w:r>
        <w:tab/>
        <w:t>611</w:t>
      </w:r>
    </w:p>
    <w:p w:rsidR="00E911ED" w:rsidRPr="001A0DB1" w:rsidRDefault="00E911ED" w:rsidP="00E911ED">
      <w:pPr>
        <w:pStyle w:val="Rejstk1"/>
        <w:tabs>
          <w:tab w:val="right" w:leader="dot" w:pos="4171"/>
        </w:tabs>
        <w:spacing w:line="240" w:lineRule="auto"/>
        <w:rPr>
          <w:i/>
        </w:rPr>
      </w:pPr>
      <w:r>
        <w:t>Ricardi de Mediavilla</w:t>
      </w:r>
      <w:r w:rsidR="001A0DB1">
        <w:t xml:space="preserve">, viz </w:t>
      </w:r>
      <w:r w:rsidR="001A0DB1" w:rsidRPr="001A0DB1">
        <w:rPr>
          <w:i/>
        </w:rPr>
        <w:t>Index locorum</w:t>
      </w:r>
    </w:p>
    <w:p w:rsidR="00E911ED" w:rsidRDefault="00E911ED" w:rsidP="00E911ED">
      <w:pPr>
        <w:pStyle w:val="Rejstk1"/>
        <w:tabs>
          <w:tab w:val="right" w:leader="dot" w:pos="4171"/>
        </w:tabs>
        <w:spacing w:line="240" w:lineRule="auto"/>
      </w:pPr>
      <w:r>
        <w:t>Ricoeur, P.</w:t>
      </w:r>
      <w:r>
        <w:tab/>
        <w:t>256, 822, 838</w:t>
      </w:r>
    </w:p>
    <w:p w:rsidR="00E911ED" w:rsidRDefault="00E911ED" w:rsidP="00E911ED">
      <w:pPr>
        <w:pStyle w:val="Rejstk1"/>
        <w:tabs>
          <w:tab w:val="right" w:leader="dot" w:pos="4171"/>
        </w:tabs>
        <w:spacing w:line="240" w:lineRule="auto"/>
      </w:pPr>
      <w:r>
        <w:t>Rohmer, J.</w:t>
      </w:r>
      <w:r>
        <w:tab/>
        <w:t>27, 134, 150</w:t>
      </w:r>
    </w:p>
    <w:p w:rsidR="00E911ED" w:rsidRDefault="00E911ED" w:rsidP="00E911ED">
      <w:pPr>
        <w:pStyle w:val="Rejstk1"/>
        <w:tabs>
          <w:tab w:val="right" w:leader="dot" w:pos="4171"/>
        </w:tabs>
        <w:spacing w:line="240" w:lineRule="auto"/>
      </w:pPr>
      <w:r>
        <w:t>Rorty, R.</w:t>
      </w:r>
      <w:r>
        <w:tab/>
        <w:t>96, 97</w:t>
      </w:r>
    </w:p>
    <w:p w:rsidR="00E911ED" w:rsidRDefault="00E911ED" w:rsidP="00E911ED">
      <w:pPr>
        <w:pStyle w:val="Rejstk1"/>
        <w:tabs>
          <w:tab w:val="right" w:leader="dot" w:pos="4171"/>
        </w:tabs>
        <w:spacing w:line="240" w:lineRule="auto"/>
      </w:pPr>
      <w:r>
        <w:t>Rousseau, J. J.</w:t>
      </w:r>
      <w:r>
        <w:tab/>
        <w:t>708</w:t>
      </w:r>
    </w:p>
    <w:p w:rsidR="00E911ED" w:rsidRDefault="00E911ED" w:rsidP="00E911ED">
      <w:pPr>
        <w:pStyle w:val="Rejstk1"/>
        <w:tabs>
          <w:tab w:val="right" w:leader="dot" w:pos="4171"/>
        </w:tabs>
        <w:spacing w:line="240" w:lineRule="auto"/>
      </w:pPr>
      <w:r>
        <w:t>rozsažnost</w:t>
      </w:r>
      <w:r>
        <w:tab/>
        <w:t>225, 230</w:t>
      </w:r>
    </w:p>
    <w:p w:rsidR="00E911ED" w:rsidRDefault="00E911ED" w:rsidP="00E911ED">
      <w:pPr>
        <w:pStyle w:val="Rejstk1"/>
        <w:tabs>
          <w:tab w:val="right" w:leader="dot" w:pos="4171"/>
        </w:tabs>
        <w:spacing w:line="240" w:lineRule="auto"/>
      </w:pPr>
      <w:r>
        <w:t>Rufus</w:t>
      </w:r>
      <w:r w:rsidR="001A0DB1">
        <w:t xml:space="preserve">, R., viz </w:t>
      </w:r>
      <w:r w:rsidR="001A0DB1" w:rsidRPr="001A0DB1">
        <w:rPr>
          <w:i/>
        </w:rPr>
        <w:t>Index locorum</w:t>
      </w:r>
    </w:p>
    <w:p w:rsidR="0072256B" w:rsidRPr="00F43866" w:rsidRDefault="0072256B" w:rsidP="0072256B">
      <w:pPr>
        <w:pStyle w:val="Hlavikarejstku"/>
        <w:keepNext/>
        <w:tabs>
          <w:tab w:val="right" w:leader="dot" w:pos="4171"/>
        </w:tabs>
        <w:spacing w:line="240" w:lineRule="auto"/>
        <w:rPr>
          <w:rFonts w:eastAsia="Times New Roman"/>
          <w:b w:val="0"/>
          <w:bCs w:val="0"/>
          <w:lang w:val="de-LU"/>
        </w:rPr>
      </w:pPr>
      <w:r>
        <w:rPr>
          <w:lang w:val="de-LU"/>
        </w:rPr>
        <w:t>S</w:t>
      </w:r>
    </w:p>
    <w:p w:rsidR="00E911ED" w:rsidRDefault="00E911ED" w:rsidP="00E911ED">
      <w:pPr>
        <w:pStyle w:val="Rejstk1"/>
        <w:tabs>
          <w:tab w:val="right" w:leader="dot" w:pos="4171"/>
        </w:tabs>
        <w:spacing w:line="240" w:lineRule="auto"/>
      </w:pPr>
      <w:r>
        <w:t>Saussure, F.</w:t>
      </w:r>
      <w:r>
        <w:tab/>
        <w:t>96</w:t>
      </w:r>
    </w:p>
    <w:p w:rsidR="00E911ED" w:rsidRDefault="00E911ED" w:rsidP="00E911ED">
      <w:pPr>
        <w:pStyle w:val="Rejstk1"/>
        <w:tabs>
          <w:tab w:val="right" w:leader="dot" w:pos="4171"/>
        </w:tabs>
        <w:spacing w:line="240" w:lineRule="auto"/>
      </w:pPr>
      <w:r w:rsidRPr="004B4DFF">
        <w:rPr>
          <w:i/>
        </w:rPr>
        <w:t>scibile</w:t>
      </w:r>
      <w:r>
        <w:tab/>
        <w:t>115, 273, 514, 638, 909</w:t>
      </w:r>
    </w:p>
    <w:p w:rsidR="00E911ED" w:rsidRDefault="00E911ED" w:rsidP="00E911ED">
      <w:pPr>
        <w:pStyle w:val="Rejstk2"/>
        <w:tabs>
          <w:tab w:val="right" w:leader="dot" w:pos="4171"/>
        </w:tabs>
        <w:spacing w:line="240" w:lineRule="auto"/>
      </w:pPr>
      <w:r>
        <w:t>Bonaventura</w:t>
      </w:r>
      <w:r>
        <w:tab/>
        <w:t>48, 53</w:t>
      </w:r>
    </w:p>
    <w:p w:rsidR="00E911ED" w:rsidRDefault="00E911ED" w:rsidP="00E911ED">
      <w:pPr>
        <w:pStyle w:val="Rejstk2"/>
        <w:tabs>
          <w:tab w:val="right" w:leader="dot" w:pos="4171"/>
        </w:tabs>
        <w:spacing w:line="240" w:lineRule="auto"/>
      </w:pPr>
      <w:r>
        <w:t>čarodějnictví</w:t>
      </w:r>
      <w:r>
        <w:tab/>
        <w:t>842</w:t>
      </w:r>
    </w:p>
    <w:p w:rsidR="00E911ED" w:rsidRDefault="00E911ED" w:rsidP="00E911ED">
      <w:pPr>
        <w:pStyle w:val="Rejstk2"/>
        <w:tabs>
          <w:tab w:val="right" w:leader="dot" w:pos="4171"/>
        </w:tabs>
        <w:spacing w:line="240" w:lineRule="auto"/>
      </w:pPr>
      <w:r>
        <w:t>etika</w:t>
      </w:r>
      <w:r>
        <w:tab/>
        <w:t>865, 914, 919</w:t>
      </w:r>
    </w:p>
    <w:p w:rsidR="00E911ED" w:rsidRDefault="00E911ED" w:rsidP="00E911ED">
      <w:pPr>
        <w:pStyle w:val="Rejstk2"/>
        <w:tabs>
          <w:tab w:val="right" w:leader="dot" w:pos="4171"/>
        </w:tabs>
        <w:spacing w:line="240" w:lineRule="auto"/>
      </w:pPr>
      <w:r>
        <w:t>Gandavus</w:t>
      </w:r>
      <w:r>
        <w:tab/>
        <w:t>607</w:t>
      </w:r>
    </w:p>
    <w:p w:rsidR="00E911ED" w:rsidRDefault="00E911ED" w:rsidP="00E911ED">
      <w:pPr>
        <w:pStyle w:val="Rejstk2"/>
        <w:tabs>
          <w:tab w:val="right" w:leader="dot" w:pos="4171"/>
        </w:tabs>
        <w:spacing w:line="240" w:lineRule="auto"/>
      </w:pPr>
      <w:r>
        <w:t>Husserl</w:t>
      </w:r>
      <w:r>
        <w:tab/>
        <w:t>762</w:t>
      </w:r>
    </w:p>
    <w:p w:rsidR="00E911ED" w:rsidRDefault="00E911ED" w:rsidP="00E911ED">
      <w:pPr>
        <w:pStyle w:val="Rejstk2"/>
        <w:tabs>
          <w:tab w:val="right" w:leader="dot" w:pos="4171"/>
        </w:tabs>
        <w:spacing w:line="240" w:lineRule="auto"/>
      </w:pPr>
      <w:r w:rsidRPr="004B4DFF">
        <w:rPr>
          <w:bCs/>
        </w:rPr>
        <w:t>kapitál</w:t>
      </w:r>
      <w:r>
        <w:tab/>
        <w:t>128, 501, 573, 950</w:t>
      </w:r>
    </w:p>
    <w:p w:rsidR="00E911ED" w:rsidRDefault="00E911ED" w:rsidP="00E911ED">
      <w:pPr>
        <w:pStyle w:val="Rejstk2"/>
        <w:tabs>
          <w:tab w:val="right" w:leader="dot" w:pos="4171"/>
        </w:tabs>
        <w:spacing w:line="240" w:lineRule="auto"/>
      </w:pPr>
      <w:r>
        <w:t>kapitalismus</w:t>
      </w:r>
      <w:r>
        <w:tab/>
        <w:t>571, 828</w:t>
      </w:r>
    </w:p>
    <w:p w:rsidR="00E911ED" w:rsidRDefault="00E911ED" w:rsidP="00E911ED">
      <w:pPr>
        <w:pStyle w:val="Rejstk2"/>
        <w:tabs>
          <w:tab w:val="right" w:leader="dot" w:pos="4171"/>
        </w:tabs>
        <w:spacing w:line="240" w:lineRule="auto"/>
      </w:pPr>
      <w:r>
        <w:t>kritika Ockhama</w:t>
      </w:r>
      <w:r>
        <w:tab/>
        <w:t>777</w:t>
      </w:r>
    </w:p>
    <w:p w:rsidR="00E911ED" w:rsidRDefault="00E911ED" w:rsidP="00E911ED">
      <w:pPr>
        <w:pStyle w:val="Rejstk2"/>
        <w:tabs>
          <w:tab w:val="right" w:leader="dot" w:pos="4171"/>
        </w:tabs>
        <w:spacing w:line="240" w:lineRule="auto"/>
      </w:pPr>
      <w:r>
        <w:t>moderna</w:t>
      </w:r>
      <w:r>
        <w:tab/>
        <w:t>2, 292, 410, 608, 717, 791</w:t>
      </w:r>
    </w:p>
    <w:p w:rsidR="00E911ED" w:rsidRDefault="00E911ED" w:rsidP="00E911ED">
      <w:pPr>
        <w:pStyle w:val="Rejstk2"/>
        <w:tabs>
          <w:tab w:val="right" w:leader="dot" w:pos="4171"/>
        </w:tabs>
        <w:spacing w:line="240" w:lineRule="auto"/>
      </w:pPr>
      <w:r>
        <w:t>mzda</w:t>
      </w:r>
      <w:r>
        <w:tab/>
        <w:t>563</w:t>
      </w:r>
    </w:p>
    <w:p w:rsidR="00E911ED" w:rsidRDefault="00E911ED" w:rsidP="00E911ED">
      <w:pPr>
        <w:pStyle w:val="Rejstk2"/>
        <w:tabs>
          <w:tab w:val="right" w:leader="dot" w:pos="4171"/>
        </w:tabs>
        <w:spacing w:line="240" w:lineRule="auto"/>
      </w:pPr>
      <w:r>
        <w:t>objektivní</w:t>
      </w:r>
      <w:r>
        <w:tab/>
        <w:t>634</w:t>
      </w:r>
    </w:p>
    <w:p w:rsidR="00E911ED" w:rsidRDefault="00E911ED" w:rsidP="00E911ED">
      <w:pPr>
        <w:pStyle w:val="Rejstk2"/>
        <w:tabs>
          <w:tab w:val="right" w:leader="dot" w:pos="4171"/>
        </w:tabs>
        <w:spacing w:line="240" w:lineRule="auto"/>
      </w:pPr>
      <w:r>
        <w:t>objektivní</w:t>
      </w:r>
      <w:r w:rsidRPr="004B4DFF">
        <w:rPr>
          <w:i/>
        </w:rPr>
        <w:t xml:space="preserve"> </w:t>
      </w:r>
      <w:r>
        <w:t>etika</w:t>
      </w:r>
      <w:r>
        <w:tab/>
        <w:t>871</w:t>
      </w:r>
    </w:p>
    <w:p w:rsidR="00E911ED" w:rsidRDefault="00E911ED" w:rsidP="00E911ED">
      <w:pPr>
        <w:pStyle w:val="Rejstk2"/>
        <w:tabs>
          <w:tab w:val="right" w:leader="dot" w:pos="4171"/>
        </w:tabs>
        <w:spacing w:line="240" w:lineRule="auto"/>
      </w:pPr>
      <w:r>
        <w:t>Olivi</w:t>
      </w:r>
      <w:r>
        <w:tab/>
        <w:t>528</w:t>
      </w:r>
    </w:p>
    <w:p w:rsidR="00E911ED" w:rsidRDefault="00E911ED" w:rsidP="00E911ED">
      <w:pPr>
        <w:pStyle w:val="Rejstk2"/>
        <w:tabs>
          <w:tab w:val="right" w:leader="dot" w:pos="4171"/>
        </w:tabs>
        <w:spacing w:line="240" w:lineRule="auto"/>
      </w:pPr>
      <w:r>
        <w:t>Pecham</w:t>
      </w:r>
      <w:r>
        <w:tab/>
        <w:t>156, 161</w:t>
      </w:r>
    </w:p>
    <w:p w:rsidR="00E911ED" w:rsidRDefault="00E911ED" w:rsidP="00E911ED">
      <w:pPr>
        <w:pStyle w:val="Rejstk2"/>
        <w:tabs>
          <w:tab w:val="right" w:leader="dot" w:pos="4171"/>
        </w:tabs>
        <w:spacing w:line="240" w:lineRule="auto"/>
      </w:pPr>
      <w:r>
        <w:t>politické dobro</w:t>
      </w:r>
      <w:r>
        <w:tab/>
        <w:t>906</w:t>
      </w:r>
    </w:p>
    <w:p w:rsidR="00E911ED" w:rsidRDefault="00E911ED" w:rsidP="00E911ED">
      <w:pPr>
        <w:pStyle w:val="Rejstk2"/>
        <w:tabs>
          <w:tab w:val="right" w:leader="dot" w:pos="4171"/>
        </w:tabs>
        <w:spacing w:line="240" w:lineRule="auto"/>
      </w:pPr>
      <w:r>
        <w:t>postmoderna</w:t>
      </w:r>
      <w:r>
        <w:tab/>
        <w:t>96, 741, 824</w:t>
      </w:r>
    </w:p>
    <w:p w:rsidR="00E911ED" w:rsidRDefault="00E911ED" w:rsidP="00E911ED">
      <w:pPr>
        <w:pStyle w:val="Rejstk2"/>
        <w:tabs>
          <w:tab w:val="right" w:leader="dot" w:pos="4171"/>
        </w:tabs>
        <w:spacing w:line="240" w:lineRule="auto"/>
      </w:pPr>
      <w:r>
        <w:t>Scotus</w:t>
      </w:r>
      <w:r>
        <w:tab/>
        <w:t>665, 689, 698, 758, 830</w:t>
      </w:r>
    </w:p>
    <w:p w:rsidR="00E911ED" w:rsidRDefault="00E911ED" w:rsidP="00E911ED">
      <w:pPr>
        <w:pStyle w:val="Rejstk2"/>
        <w:tabs>
          <w:tab w:val="right" w:leader="dot" w:pos="4171"/>
        </w:tabs>
        <w:spacing w:line="240" w:lineRule="auto"/>
      </w:pPr>
      <w:r>
        <w:t>sekularizace</w:t>
      </w:r>
      <w:r>
        <w:tab/>
        <w:t>838</w:t>
      </w:r>
    </w:p>
    <w:p w:rsidR="00E911ED" w:rsidRDefault="00E911ED" w:rsidP="00E911ED">
      <w:pPr>
        <w:pStyle w:val="Rejstk2"/>
        <w:tabs>
          <w:tab w:val="right" w:leader="dot" w:pos="4171"/>
        </w:tabs>
        <w:spacing w:line="240" w:lineRule="auto"/>
      </w:pPr>
      <w:r>
        <w:t>semiaverroismus</w:t>
      </w:r>
      <w:r>
        <w:tab/>
        <w:t>194</w:t>
      </w:r>
    </w:p>
    <w:p w:rsidR="00E911ED" w:rsidRDefault="00E911ED" w:rsidP="00E911ED">
      <w:pPr>
        <w:pStyle w:val="Rejstk2"/>
        <w:tabs>
          <w:tab w:val="right" w:leader="dot" w:pos="4171"/>
        </w:tabs>
        <w:spacing w:line="240" w:lineRule="auto"/>
      </w:pPr>
      <w:r>
        <w:t>vůle</w:t>
      </w:r>
      <w:r>
        <w:tab/>
        <w:t>545, 551</w:t>
      </w:r>
    </w:p>
    <w:p w:rsidR="00E911ED" w:rsidRDefault="00E911ED" w:rsidP="00E911ED">
      <w:pPr>
        <w:pStyle w:val="Rejstk1"/>
        <w:tabs>
          <w:tab w:val="right" w:leader="dot" w:pos="4171"/>
        </w:tabs>
        <w:spacing w:line="240" w:lineRule="auto"/>
      </w:pPr>
      <w:r w:rsidRPr="004B4DFF">
        <w:rPr>
          <w:i/>
        </w:rPr>
        <w:t>science-fiction</w:t>
      </w:r>
      <w:r>
        <w:tab/>
        <w:t>98</w:t>
      </w:r>
    </w:p>
    <w:p w:rsidR="00E911ED" w:rsidRDefault="00E911ED" w:rsidP="00E911ED">
      <w:pPr>
        <w:pStyle w:val="Rejstk1"/>
        <w:tabs>
          <w:tab w:val="right" w:leader="dot" w:pos="4171"/>
        </w:tabs>
        <w:spacing w:line="240" w:lineRule="auto"/>
      </w:pPr>
      <w:r>
        <w:t>Scotus</w:t>
      </w:r>
      <w:r w:rsidR="001A0DB1">
        <w:t xml:space="preserve">, D., viz </w:t>
      </w:r>
      <w:r w:rsidR="001A0DB1" w:rsidRPr="001A0DB1">
        <w:rPr>
          <w:i/>
        </w:rPr>
        <w:t>Index locorum</w:t>
      </w:r>
    </w:p>
    <w:p w:rsidR="00E911ED" w:rsidRDefault="00E911ED" w:rsidP="00E911ED">
      <w:pPr>
        <w:pStyle w:val="Rejstk1"/>
        <w:tabs>
          <w:tab w:val="right" w:leader="dot" w:pos="4171"/>
        </w:tabs>
        <w:spacing w:line="240" w:lineRule="auto"/>
      </w:pPr>
      <w:r w:rsidRPr="004B4DFF">
        <w:rPr>
          <w:i/>
        </w:rPr>
        <w:t>Seinsvergessenheit</w:t>
      </w:r>
      <w:r>
        <w:tab/>
        <w:t>1, 5, 6, 60, 107, 242, 357, 599, 635, 794, 839</w:t>
      </w:r>
    </w:p>
    <w:p w:rsidR="00E911ED" w:rsidRDefault="00E911ED" w:rsidP="00E911ED">
      <w:pPr>
        <w:pStyle w:val="Rejstk1"/>
        <w:tabs>
          <w:tab w:val="right" w:leader="dot" w:pos="4171"/>
        </w:tabs>
        <w:spacing w:line="240" w:lineRule="auto"/>
      </w:pPr>
      <w:r w:rsidRPr="004B4DFF">
        <w:rPr>
          <w:i/>
        </w:rPr>
        <w:t>Seinsverlassenheit</w:t>
      </w:r>
      <w:r>
        <w:tab/>
        <w:t>3, 6</w:t>
      </w:r>
    </w:p>
    <w:p w:rsidR="00E911ED" w:rsidRDefault="00E911ED" w:rsidP="00E911ED">
      <w:pPr>
        <w:pStyle w:val="Rejstk1"/>
        <w:tabs>
          <w:tab w:val="right" w:leader="dot" w:pos="4171"/>
        </w:tabs>
        <w:spacing w:line="240" w:lineRule="auto"/>
      </w:pPr>
      <w:r>
        <w:t>sekularizace</w:t>
      </w:r>
      <w:r>
        <w:tab/>
        <w:t>60, 95, 572, 733</w:t>
      </w:r>
    </w:p>
    <w:p w:rsidR="00E911ED" w:rsidRDefault="00E911ED" w:rsidP="00E911ED">
      <w:pPr>
        <w:pStyle w:val="Rejstk1"/>
        <w:tabs>
          <w:tab w:val="right" w:leader="dot" w:pos="4171"/>
        </w:tabs>
        <w:spacing w:line="240" w:lineRule="auto"/>
      </w:pPr>
      <w:r>
        <w:t>semiaverroismus</w:t>
      </w:r>
      <w:r>
        <w:tab/>
        <w:t>175, 176, 189, 194, 203, 204, 211, 234, 269, 309, 311, 338, 406, 422, 426, 435, 437, 479, 642, 677, 760, 836, 900, 906</w:t>
      </w:r>
    </w:p>
    <w:p w:rsidR="00E911ED" w:rsidRDefault="00E911ED" w:rsidP="00E911ED">
      <w:pPr>
        <w:pStyle w:val="Rejstk1"/>
        <w:tabs>
          <w:tab w:val="right" w:leader="dot" w:pos="4171"/>
        </w:tabs>
        <w:spacing w:line="240" w:lineRule="auto"/>
      </w:pPr>
      <w:r w:rsidRPr="004B4DFF">
        <w:rPr>
          <w:i/>
        </w:rPr>
        <w:t>sensus communis</w:t>
      </w:r>
      <w:r>
        <w:tab/>
        <w:t>226, 412, 905</w:t>
      </w:r>
    </w:p>
    <w:p w:rsidR="00E911ED" w:rsidRDefault="00E911ED" w:rsidP="00E911ED">
      <w:pPr>
        <w:pStyle w:val="Rejstk1"/>
        <w:tabs>
          <w:tab w:val="right" w:leader="dot" w:pos="4171"/>
        </w:tabs>
        <w:spacing w:line="240" w:lineRule="auto"/>
      </w:pPr>
      <w:r>
        <w:t>Sherwood, W.</w:t>
      </w:r>
      <w:r>
        <w:tab/>
        <w:t>647</w:t>
      </w:r>
    </w:p>
    <w:p w:rsidR="00E911ED" w:rsidRDefault="00E911ED" w:rsidP="004B3859">
      <w:pPr>
        <w:pStyle w:val="Rejstk1"/>
        <w:tabs>
          <w:tab w:val="right" w:leader="dot" w:pos="4171"/>
        </w:tabs>
        <w:spacing w:line="240" w:lineRule="auto"/>
      </w:pPr>
      <w:r>
        <w:t>scholastika</w:t>
      </w:r>
      <w:r w:rsidR="004B3859">
        <w:t xml:space="preserve">, </w:t>
      </w:r>
      <w:r>
        <w:t>druhý začátek</w:t>
      </w:r>
      <w:r>
        <w:tab/>
        <w:t>716</w:t>
      </w:r>
    </w:p>
    <w:p w:rsidR="00E911ED" w:rsidRDefault="00E911ED" w:rsidP="00E911ED">
      <w:pPr>
        <w:pStyle w:val="Rejstk1"/>
        <w:tabs>
          <w:tab w:val="right" w:leader="dot" w:pos="4171"/>
        </w:tabs>
        <w:spacing w:line="240" w:lineRule="auto"/>
      </w:pPr>
      <w:r w:rsidRPr="004B4DFF">
        <w:rPr>
          <w:i/>
        </w:rPr>
        <w:t>scholé</w:t>
      </w:r>
      <w:r>
        <w:tab/>
        <w:t>439, 610</w:t>
      </w:r>
    </w:p>
    <w:p w:rsidR="00E911ED" w:rsidRDefault="00E911ED" w:rsidP="00E911ED">
      <w:pPr>
        <w:pStyle w:val="Rejstk1"/>
        <w:tabs>
          <w:tab w:val="right" w:leader="dot" w:pos="4171"/>
        </w:tabs>
        <w:spacing w:line="240" w:lineRule="auto"/>
      </w:pPr>
      <w:r>
        <w:t>Sicilská škola</w:t>
      </w:r>
      <w:r>
        <w:tab/>
        <w:t>30, 60, 64, 77, 110, 143, 177, 181, 183, 213, 218, 243, 256, 268, 290, 326, 372, 416, 418, 456, 464, 723, 766, 774, 803, 835, 855, 868, 869, 886, 900, 920</w:t>
      </w:r>
    </w:p>
    <w:p w:rsidR="00E911ED" w:rsidRDefault="00E911ED" w:rsidP="00E911ED">
      <w:pPr>
        <w:pStyle w:val="Rejstk1"/>
        <w:tabs>
          <w:tab w:val="right" w:leader="dot" w:pos="4171"/>
        </w:tabs>
        <w:spacing w:line="240" w:lineRule="auto"/>
      </w:pPr>
      <w:r>
        <w:t>Siger</w:t>
      </w:r>
      <w:r w:rsidR="004B3859">
        <w:t xml:space="preserve"> de Brabantia, viz </w:t>
      </w:r>
      <w:r w:rsidR="004B3859" w:rsidRPr="004B3859">
        <w:rPr>
          <w:i/>
        </w:rPr>
        <w:t>Index locorum</w:t>
      </w:r>
    </w:p>
    <w:p w:rsidR="00E911ED" w:rsidRDefault="00E911ED" w:rsidP="00E911ED">
      <w:pPr>
        <w:pStyle w:val="Rejstk1"/>
        <w:tabs>
          <w:tab w:val="right" w:leader="dot" w:pos="4171"/>
        </w:tabs>
        <w:spacing w:line="240" w:lineRule="auto"/>
      </w:pPr>
      <w:r w:rsidRPr="004B4DFF">
        <w:rPr>
          <w:i/>
        </w:rPr>
        <w:t>signatum</w:t>
      </w:r>
      <w:r>
        <w:tab/>
        <w:t>99, 100, 115, 128, 150, 160, 434</w:t>
      </w:r>
    </w:p>
    <w:p w:rsidR="00E911ED" w:rsidRDefault="00E911ED" w:rsidP="00E911ED">
      <w:pPr>
        <w:pStyle w:val="Rejstk1"/>
        <w:tabs>
          <w:tab w:val="right" w:leader="dot" w:pos="4171"/>
        </w:tabs>
        <w:spacing w:line="240" w:lineRule="auto"/>
      </w:pPr>
      <w:r>
        <w:t>signifikace</w:t>
      </w:r>
    </w:p>
    <w:p w:rsidR="00E911ED" w:rsidRDefault="00E911ED" w:rsidP="00E911ED">
      <w:pPr>
        <w:pStyle w:val="Rejstk2"/>
        <w:tabs>
          <w:tab w:val="right" w:leader="dot" w:pos="4171"/>
        </w:tabs>
        <w:spacing w:line="240" w:lineRule="auto"/>
      </w:pPr>
      <w:r>
        <w:t>Bonaventura</w:t>
      </w:r>
      <w:r>
        <w:tab/>
        <w:t>99</w:t>
      </w:r>
    </w:p>
    <w:p w:rsidR="00E911ED" w:rsidRDefault="00E911ED" w:rsidP="00E911ED">
      <w:pPr>
        <w:pStyle w:val="Rejstk2"/>
        <w:tabs>
          <w:tab w:val="right" w:leader="dot" w:pos="4171"/>
        </w:tabs>
        <w:spacing w:line="240" w:lineRule="auto"/>
      </w:pPr>
      <w:r w:rsidRPr="004B4DFF">
        <w:rPr>
          <w:i/>
        </w:rPr>
        <w:t>épiphanie du Visage</w:t>
      </w:r>
      <w:r>
        <w:tab/>
        <w:t>99</w:t>
      </w:r>
    </w:p>
    <w:p w:rsidR="00E911ED" w:rsidRDefault="00E911ED" w:rsidP="00E911ED">
      <w:pPr>
        <w:pStyle w:val="Rejstk1"/>
        <w:tabs>
          <w:tab w:val="right" w:leader="dot" w:pos="4171"/>
        </w:tabs>
        <w:spacing w:line="240" w:lineRule="auto"/>
      </w:pPr>
      <w:r>
        <w:t>Simon du Val</w:t>
      </w:r>
      <w:r>
        <w:tab/>
        <w:t>357</w:t>
      </w:r>
    </w:p>
    <w:p w:rsidR="00E911ED" w:rsidRDefault="00E911ED" w:rsidP="00E911ED">
      <w:pPr>
        <w:pStyle w:val="Rejstk1"/>
        <w:tabs>
          <w:tab w:val="right" w:leader="dot" w:pos="4171"/>
        </w:tabs>
        <w:spacing w:line="240" w:lineRule="auto"/>
      </w:pPr>
      <w:r>
        <w:t>Simon Faversham</w:t>
      </w:r>
      <w:r>
        <w:tab/>
        <w:t>647</w:t>
      </w:r>
    </w:p>
    <w:p w:rsidR="00E911ED" w:rsidRDefault="00E911ED" w:rsidP="00E911ED">
      <w:pPr>
        <w:pStyle w:val="Rejstk1"/>
        <w:tabs>
          <w:tab w:val="right" w:leader="dot" w:pos="4171"/>
        </w:tabs>
        <w:spacing w:line="240" w:lineRule="auto"/>
      </w:pPr>
      <w:r>
        <w:t>Simplikius</w:t>
      </w:r>
      <w:r w:rsidR="004B3859">
        <w:t xml:space="preserve">, viz </w:t>
      </w:r>
      <w:r w:rsidR="004B3859" w:rsidRPr="004B3859">
        <w:rPr>
          <w:i/>
        </w:rPr>
        <w:t>Index locorum</w:t>
      </w:r>
    </w:p>
    <w:p w:rsidR="00E911ED" w:rsidRDefault="00E911ED" w:rsidP="00E911ED">
      <w:pPr>
        <w:pStyle w:val="Rejstk1"/>
        <w:tabs>
          <w:tab w:val="right" w:leader="dot" w:pos="4171"/>
        </w:tabs>
        <w:spacing w:line="240" w:lineRule="auto"/>
      </w:pPr>
      <w:r>
        <w:t>simulákrum</w:t>
      </w:r>
      <w:r>
        <w:tab/>
        <w:t>10, 31, 49, 52, 90, 130, 139, 147, 148, 269, 292, 297, 413, 449, 470, 472, 499, 505, 511, 516, 561, 591, 609, 636, 685, 717, 781, 787, 793, 825, 826, 845, 919</w:t>
      </w:r>
    </w:p>
    <w:p w:rsidR="00E911ED" w:rsidRDefault="00E911ED" w:rsidP="00E911ED">
      <w:pPr>
        <w:pStyle w:val="Rejstk1"/>
        <w:tabs>
          <w:tab w:val="right" w:leader="dot" w:pos="4171"/>
        </w:tabs>
        <w:spacing w:line="240" w:lineRule="auto"/>
      </w:pPr>
      <w:r w:rsidRPr="004B4DFF">
        <w:rPr>
          <w:i/>
        </w:rPr>
        <w:t>sincera veritas</w:t>
      </w:r>
      <w:r>
        <w:tab/>
        <w:t>718</w:t>
      </w:r>
    </w:p>
    <w:p w:rsidR="00E911ED" w:rsidRDefault="00E911ED" w:rsidP="00E911ED">
      <w:pPr>
        <w:pStyle w:val="Rejstk1"/>
        <w:tabs>
          <w:tab w:val="right" w:leader="dot" w:pos="4171"/>
        </w:tabs>
        <w:spacing w:line="240" w:lineRule="auto"/>
      </w:pPr>
      <w:r>
        <w:t>Smith, A.</w:t>
      </w:r>
      <w:r>
        <w:tab/>
        <w:t>821</w:t>
      </w:r>
    </w:p>
    <w:p w:rsidR="00E911ED" w:rsidRDefault="00E911ED" w:rsidP="00E911ED">
      <w:pPr>
        <w:pStyle w:val="Rejstk1"/>
        <w:tabs>
          <w:tab w:val="right" w:leader="dot" w:pos="4171"/>
        </w:tabs>
        <w:spacing w:line="240" w:lineRule="auto"/>
      </w:pPr>
      <w:r>
        <w:t>smrt boha</w:t>
      </w:r>
      <w:r>
        <w:tab/>
        <w:t>53, 55, 73, 95, 98, 113, 155, 312, 362, 401, 491, 500, 501, 510, 520, 573, 584, 585, 608, 635, 636, 637, 689, 733, 734, 740, 741, 742, 767, 831, 839, 943, 948</w:t>
      </w:r>
    </w:p>
    <w:p w:rsidR="00E911ED" w:rsidRDefault="00E911ED" w:rsidP="00E911ED">
      <w:pPr>
        <w:pStyle w:val="Rejstk1"/>
        <w:tabs>
          <w:tab w:val="right" w:leader="dot" w:pos="4171"/>
        </w:tabs>
        <w:spacing w:line="240" w:lineRule="auto"/>
      </w:pPr>
      <w:r>
        <w:t>smrt subjektu</w:t>
      </w:r>
      <w:r>
        <w:tab/>
        <w:t>665</w:t>
      </w:r>
    </w:p>
    <w:p w:rsidR="00E911ED" w:rsidRDefault="00E911ED" w:rsidP="00E911ED">
      <w:pPr>
        <w:pStyle w:val="Rejstk1"/>
        <w:tabs>
          <w:tab w:val="right" w:leader="dot" w:pos="4171"/>
        </w:tabs>
        <w:spacing w:line="240" w:lineRule="auto"/>
      </w:pPr>
      <w:r>
        <w:t>sofisma člověk-mrtvola</w:t>
      </w:r>
      <w:r>
        <w:tab/>
        <w:t>47, 53, 305, 343, 653, 753, 790, 795, 845, 949</w:t>
      </w:r>
    </w:p>
    <w:p w:rsidR="00E911ED" w:rsidRDefault="00E911ED" w:rsidP="00E911ED">
      <w:pPr>
        <w:pStyle w:val="Rejstk1"/>
        <w:tabs>
          <w:tab w:val="right" w:leader="dot" w:pos="4171"/>
        </w:tabs>
        <w:spacing w:line="240" w:lineRule="auto"/>
      </w:pPr>
      <w:r>
        <w:t>Sofokles</w:t>
      </w:r>
      <w:r>
        <w:tab/>
        <w:t>940</w:t>
      </w:r>
    </w:p>
    <w:p w:rsidR="00E911ED" w:rsidRDefault="00E911ED" w:rsidP="00E911ED">
      <w:pPr>
        <w:pStyle w:val="Rejstk1"/>
        <w:tabs>
          <w:tab w:val="right" w:leader="dot" w:pos="4171"/>
        </w:tabs>
        <w:spacing w:line="240" w:lineRule="auto"/>
      </w:pPr>
      <w:r w:rsidRPr="004B4DFF">
        <w:rPr>
          <w:i/>
          <w:lang w:eastAsia="en-US"/>
        </w:rPr>
        <w:t>sophistae Latini</w:t>
      </w:r>
      <w:r>
        <w:tab/>
        <w:t>73</w:t>
      </w:r>
    </w:p>
    <w:p w:rsidR="00E911ED" w:rsidRDefault="00E911ED" w:rsidP="00E911ED">
      <w:pPr>
        <w:pStyle w:val="Rejstk1"/>
        <w:tabs>
          <w:tab w:val="right" w:leader="dot" w:pos="4171"/>
        </w:tabs>
        <w:spacing w:line="240" w:lineRule="auto"/>
      </w:pPr>
      <w:r>
        <w:t>species</w:t>
      </w:r>
    </w:p>
    <w:p w:rsidR="00E911ED" w:rsidRDefault="00E911ED" w:rsidP="00E911ED">
      <w:pPr>
        <w:pStyle w:val="Rejstk2"/>
        <w:tabs>
          <w:tab w:val="right" w:leader="dot" w:pos="4171"/>
        </w:tabs>
        <w:spacing w:line="240" w:lineRule="auto"/>
      </w:pPr>
      <w:r>
        <w:t>Bonaventura</w:t>
      </w:r>
      <w:r>
        <w:tab/>
        <w:t>31</w:t>
      </w:r>
    </w:p>
    <w:p w:rsidR="00E911ED" w:rsidRDefault="00E911ED" w:rsidP="00E911ED">
      <w:pPr>
        <w:pStyle w:val="Rejstk2"/>
        <w:tabs>
          <w:tab w:val="right" w:leader="dot" w:pos="4171"/>
        </w:tabs>
        <w:spacing w:line="240" w:lineRule="auto"/>
      </w:pPr>
      <w:r w:rsidRPr="004B4DFF">
        <w:rPr>
          <w:i/>
        </w:rPr>
        <w:t>druhý averroismus</w:t>
      </w:r>
      <w:r>
        <w:tab/>
        <w:t>139</w:t>
      </w:r>
    </w:p>
    <w:p w:rsidR="00E911ED" w:rsidRDefault="00E911ED" w:rsidP="00E911ED">
      <w:pPr>
        <w:pStyle w:val="Rejstk2"/>
        <w:tabs>
          <w:tab w:val="right" w:leader="dot" w:pos="4171"/>
        </w:tabs>
        <w:spacing w:line="240" w:lineRule="auto"/>
      </w:pPr>
      <w:r>
        <w:t>dvojí určení</w:t>
      </w:r>
      <w:r>
        <w:tab/>
        <w:t>27, 34, 83, 516</w:t>
      </w:r>
    </w:p>
    <w:p w:rsidR="00E911ED" w:rsidRDefault="00E911ED" w:rsidP="00E911ED">
      <w:pPr>
        <w:pStyle w:val="Rejstk2"/>
        <w:tabs>
          <w:tab w:val="right" w:leader="dot" w:pos="4171"/>
        </w:tabs>
        <w:spacing w:line="240" w:lineRule="auto"/>
      </w:pPr>
      <w:r>
        <w:t>objektivní</w:t>
      </w:r>
      <w:r>
        <w:tab/>
        <w:t>137, 205, 687, 688</w:t>
      </w:r>
    </w:p>
    <w:p w:rsidR="00E911ED" w:rsidRDefault="00E911ED" w:rsidP="00E911ED">
      <w:pPr>
        <w:pStyle w:val="Rejstk2"/>
        <w:tabs>
          <w:tab w:val="right" w:leader="dot" w:pos="4171"/>
        </w:tabs>
        <w:spacing w:line="240" w:lineRule="auto"/>
      </w:pPr>
      <w:r>
        <w:t>Pecham</w:t>
      </w:r>
      <w:r>
        <w:tab/>
        <w:t>232</w:t>
      </w:r>
    </w:p>
    <w:p w:rsidR="00E911ED" w:rsidRDefault="00E911ED" w:rsidP="00E911ED">
      <w:pPr>
        <w:pStyle w:val="Rejstk2"/>
        <w:tabs>
          <w:tab w:val="right" w:leader="dot" w:pos="4171"/>
        </w:tabs>
        <w:spacing w:line="240" w:lineRule="auto"/>
      </w:pPr>
      <w:r>
        <w:t>první averroismus</w:t>
      </w:r>
      <w:r>
        <w:tab/>
        <w:t>231</w:t>
      </w:r>
    </w:p>
    <w:p w:rsidR="00E911ED" w:rsidRDefault="00E911ED" w:rsidP="00E911ED">
      <w:pPr>
        <w:pStyle w:val="Rejstk2"/>
        <w:tabs>
          <w:tab w:val="right" w:leader="dot" w:pos="4171"/>
        </w:tabs>
        <w:spacing w:line="240" w:lineRule="auto"/>
      </w:pPr>
      <w:r>
        <w:t>Scotus</w:t>
      </w:r>
      <w:r>
        <w:tab/>
        <w:t>683</w:t>
      </w:r>
    </w:p>
    <w:p w:rsidR="00E911ED" w:rsidRDefault="00E911ED" w:rsidP="00E911ED">
      <w:pPr>
        <w:pStyle w:val="Rejstk2"/>
        <w:tabs>
          <w:tab w:val="right" w:leader="dot" w:pos="4171"/>
        </w:tabs>
        <w:spacing w:line="240" w:lineRule="auto"/>
      </w:pPr>
      <w:r>
        <w:t>Siger</w:t>
      </w:r>
      <w:r>
        <w:tab/>
        <w:t>271</w:t>
      </w:r>
    </w:p>
    <w:p w:rsidR="00E911ED" w:rsidRDefault="00E911ED" w:rsidP="00E911ED">
      <w:pPr>
        <w:pStyle w:val="Rejstk1"/>
        <w:tabs>
          <w:tab w:val="right" w:leader="dot" w:pos="4171"/>
        </w:tabs>
        <w:spacing w:line="240" w:lineRule="auto"/>
      </w:pPr>
      <w:r w:rsidRPr="004B4DFF">
        <w:rPr>
          <w:i/>
        </w:rPr>
        <w:t>species innata</w:t>
      </w:r>
      <w:r>
        <w:tab/>
        <w:t>27, 32, 675</w:t>
      </w:r>
    </w:p>
    <w:p w:rsidR="00E911ED" w:rsidRDefault="00E911ED" w:rsidP="00E911ED">
      <w:pPr>
        <w:pStyle w:val="Rejstk1"/>
        <w:tabs>
          <w:tab w:val="right" w:leader="dot" w:pos="4171"/>
        </w:tabs>
        <w:spacing w:line="240" w:lineRule="auto"/>
      </w:pPr>
      <w:r w:rsidRPr="004B4DFF">
        <w:rPr>
          <w:i/>
        </w:rPr>
        <w:t>species intelligibilis</w:t>
      </w:r>
    </w:p>
    <w:p w:rsidR="00E911ED" w:rsidRDefault="00E911ED" w:rsidP="00E911ED">
      <w:pPr>
        <w:pStyle w:val="Rejstk2"/>
        <w:tabs>
          <w:tab w:val="right" w:leader="dot" w:pos="4171"/>
        </w:tabs>
        <w:spacing w:line="240" w:lineRule="auto"/>
      </w:pPr>
      <w:r>
        <w:t>Akvinský</w:t>
      </w:r>
      <w:r>
        <w:tab/>
        <w:t>206, 402, 405, 424, 448, 452</w:t>
      </w:r>
    </w:p>
    <w:p w:rsidR="00E911ED" w:rsidRDefault="00E911ED" w:rsidP="00E911ED">
      <w:pPr>
        <w:pStyle w:val="Rejstk2"/>
        <w:tabs>
          <w:tab w:val="right" w:leader="dot" w:pos="4171"/>
        </w:tabs>
        <w:spacing w:line="240" w:lineRule="auto"/>
      </w:pPr>
      <w:r>
        <w:t>Avicenna</w:t>
      </w:r>
      <w:r>
        <w:tab/>
        <w:t>288, 403, 410, 600</w:t>
      </w:r>
    </w:p>
    <w:p w:rsidR="00E911ED" w:rsidRDefault="00E911ED" w:rsidP="00E911ED">
      <w:pPr>
        <w:pStyle w:val="Rejstk2"/>
        <w:tabs>
          <w:tab w:val="right" w:leader="dot" w:pos="4171"/>
        </w:tabs>
        <w:spacing w:line="240" w:lineRule="auto"/>
      </w:pPr>
      <w:r>
        <w:t>Avinský</w:t>
      </w:r>
      <w:r>
        <w:tab/>
        <w:t>402, 412</w:t>
      </w:r>
    </w:p>
    <w:p w:rsidR="00E911ED" w:rsidRDefault="00E911ED" w:rsidP="00E911ED">
      <w:pPr>
        <w:pStyle w:val="Rejstk2"/>
        <w:tabs>
          <w:tab w:val="right" w:leader="dot" w:pos="4171"/>
        </w:tabs>
        <w:spacing w:line="240" w:lineRule="auto"/>
      </w:pPr>
      <w:r>
        <w:t>Ockham</w:t>
      </w:r>
      <w:r>
        <w:tab/>
        <w:t>797</w:t>
      </w:r>
    </w:p>
    <w:p w:rsidR="00E911ED" w:rsidRDefault="00E911ED" w:rsidP="00E911ED">
      <w:pPr>
        <w:pStyle w:val="Rejstk2"/>
        <w:tabs>
          <w:tab w:val="right" w:leader="dot" w:pos="4171"/>
        </w:tabs>
        <w:spacing w:line="240" w:lineRule="auto"/>
      </w:pPr>
      <w:r>
        <w:t>Pecham</w:t>
      </w:r>
      <w:r>
        <w:tab/>
        <w:t>137</w:t>
      </w:r>
    </w:p>
    <w:p w:rsidR="00E911ED" w:rsidRDefault="00E911ED" w:rsidP="00E911ED">
      <w:pPr>
        <w:pStyle w:val="Rejstk2"/>
        <w:tabs>
          <w:tab w:val="right" w:leader="dot" w:pos="4171"/>
        </w:tabs>
        <w:spacing w:line="240" w:lineRule="auto"/>
      </w:pPr>
      <w:r>
        <w:t>první averroismus</w:t>
      </w:r>
      <w:r>
        <w:tab/>
        <w:t>298</w:t>
      </w:r>
    </w:p>
    <w:p w:rsidR="00E911ED" w:rsidRDefault="00E911ED" w:rsidP="00E911ED">
      <w:pPr>
        <w:pStyle w:val="Rejstk2"/>
        <w:tabs>
          <w:tab w:val="right" w:leader="dot" w:pos="4171"/>
        </w:tabs>
        <w:spacing w:line="240" w:lineRule="auto"/>
      </w:pPr>
      <w:r>
        <w:t>Scotus</w:t>
      </w:r>
      <w:r>
        <w:tab/>
        <w:t>720, 759, 761</w:t>
      </w:r>
    </w:p>
    <w:p w:rsidR="00E911ED" w:rsidRDefault="00E911ED" w:rsidP="00E911ED">
      <w:pPr>
        <w:pStyle w:val="Rejstk2"/>
        <w:tabs>
          <w:tab w:val="right" w:leader="dot" w:pos="4171"/>
        </w:tabs>
        <w:spacing w:line="240" w:lineRule="auto"/>
      </w:pPr>
      <w:r>
        <w:t>Siger</w:t>
      </w:r>
      <w:r>
        <w:tab/>
        <w:t>269, 345, 424</w:t>
      </w:r>
    </w:p>
    <w:p w:rsidR="00E911ED" w:rsidRDefault="00E911ED" w:rsidP="00E911ED">
      <w:pPr>
        <w:pStyle w:val="Rejstk1"/>
        <w:tabs>
          <w:tab w:val="right" w:leader="dot" w:pos="4171"/>
        </w:tabs>
        <w:spacing w:line="240" w:lineRule="auto"/>
      </w:pPr>
      <w:r w:rsidRPr="004B4DFF">
        <w:rPr>
          <w:i/>
        </w:rPr>
        <w:t>species</w:t>
      </w:r>
      <w:r>
        <w:t xml:space="preserve"> </w:t>
      </w:r>
      <w:r w:rsidRPr="004B4DFF">
        <w:rPr>
          <w:i/>
        </w:rPr>
        <w:t>obiecti exsistentis</w:t>
      </w:r>
      <w:r>
        <w:tab/>
        <w:t>1, 21, 34, 52, 68, 109, 149, 153, 474, 578, 666, 699, 700</w:t>
      </w:r>
    </w:p>
    <w:p w:rsidR="00E911ED" w:rsidRDefault="00E911ED" w:rsidP="00E911ED">
      <w:pPr>
        <w:pStyle w:val="Rejstk1"/>
        <w:tabs>
          <w:tab w:val="right" w:leader="dot" w:pos="4171"/>
        </w:tabs>
        <w:spacing w:line="240" w:lineRule="auto"/>
      </w:pPr>
      <w:r w:rsidRPr="004B4DFF">
        <w:rPr>
          <w:i/>
        </w:rPr>
        <w:t>species sensibilis</w:t>
      </w:r>
      <w:r>
        <w:tab/>
        <w:t>31, 137, 227, 288, 345, 407, 412, 452, 454, 578, 673, 691, 760, 777, 797</w:t>
      </w:r>
    </w:p>
    <w:p w:rsidR="00E911ED" w:rsidRDefault="00E911ED" w:rsidP="00E911ED">
      <w:pPr>
        <w:pStyle w:val="Rejstk1"/>
        <w:tabs>
          <w:tab w:val="right" w:leader="dot" w:pos="4171"/>
        </w:tabs>
        <w:spacing w:line="240" w:lineRule="auto"/>
      </w:pPr>
      <w:r w:rsidRPr="004B4DFF">
        <w:rPr>
          <w:i/>
        </w:rPr>
        <w:t>species specialissima</w:t>
      </w:r>
      <w:r>
        <w:tab/>
        <w:t>51, 520, 589, 752, 791, 861</w:t>
      </w:r>
    </w:p>
    <w:p w:rsidR="00E911ED" w:rsidRDefault="00E911ED" w:rsidP="00E911ED">
      <w:pPr>
        <w:pStyle w:val="Rejstk1"/>
        <w:tabs>
          <w:tab w:val="right" w:leader="dot" w:pos="4171"/>
        </w:tabs>
        <w:spacing w:line="240" w:lineRule="auto"/>
      </w:pPr>
      <w:r w:rsidRPr="004B4DFF">
        <w:rPr>
          <w:i/>
        </w:rPr>
        <w:t>speculum</w:t>
      </w:r>
      <w:r>
        <w:tab/>
        <w:t>90, 128, 410</w:t>
      </w:r>
    </w:p>
    <w:p w:rsidR="00E911ED" w:rsidRDefault="00E911ED" w:rsidP="00E911ED">
      <w:pPr>
        <w:pStyle w:val="Rejstk1"/>
        <w:tabs>
          <w:tab w:val="right" w:leader="dot" w:pos="4171"/>
        </w:tabs>
        <w:spacing w:line="240" w:lineRule="auto"/>
      </w:pPr>
      <w:r>
        <w:t>Spinoza, B.</w:t>
      </w:r>
      <w:r w:rsidR="0089249E">
        <w:t xml:space="preserve">, viz Index locorum </w:t>
      </w:r>
      <w:r>
        <w:tab/>
        <w:t>46, 523, 559, 589, 637, 838</w:t>
      </w:r>
    </w:p>
    <w:p w:rsidR="00E911ED" w:rsidRDefault="00E911ED" w:rsidP="00E911ED">
      <w:pPr>
        <w:pStyle w:val="Rejstk1"/>
        <w:tabs>
          <w:tab w:val="right" w:leader="dot" w:pos="4171"/>
        </w:tabs>
        <w:spacing w:line="240" w:lineRule="auto"/>
      </w:pPr>
      <w:r w:rsidRPr="004B4DFF">
        <w:rPr>
          <w:i/>
        </w:rPr>
        <w:t>spor De auxiliis</w:t>
      </w:r>
      <w:r>
        <w:tab/>
        <w:t>715</w:t>
      </w:r>
    </w:p>
    <w:p w:rsidR="00E911ED" w:rsidRDefault="00E911ED" w:rsidP="00E911ED">
      <w:pPr>
        <w:pStyle w:val="Rejstk1"/>
        <w:tabs>
          <w:tab w:val="right" w:leader="dot" w:pos="4171"/>
        </w:tabs>
        <w:spacing w:line="240" w:lineRule="auto"/>
      </w:pPr>
      <w:r>
        <w:t>spor o univerzália</w:t>
      </w:r>
      <w:r>
        <w:tab/>
        <w:t>56, 111, 163, 186, 187, 796, 835</w:t>
      </w:r>
    </w:p>
    <w:p w:rsidR="00E911ED" w:rsidRDefault="00E911ED" w:rsidP="00E911ED">
      <w:pPr>
        <w:pStyle w:val="Rejstk1"/>
        <w:tabs>
          <w:tab w:val="right" w:leader="dot" w:pos="4171"/>
        </w:tabs>
        <w:spacing w:line="240" w:lineRule="auto"/>
      </w:pPr>
      <w:r w:rsidRPr="0089249E">
        <w:rPr>
          <w:i/>
        </w:rPr>
        <w:t>Starý zákon</w:t>
      </w:r>
      <w:r w:rsidR="0089249E">
        <w:t xml:space="preserve">, viz </w:t>
      </w:r>
      <w:r w:rsidR="0089249E" w:rsidRPr="0089249E">
        <w:rPr>
          <w:i/>
        </w:rPr>
        <w:t>Index locorum</w:t>
      </w:r>
    </w:p>
    <w:p w:rsidR="00E911ED" w:rsidRDefault="00E911ED" w:rsidP="00E911ED">
      <w:pPr>
        <w:pStyle w:val="Rejstk1"/>
        <w:tabs>
          <w:tab w:val="right" w:leader="dot" w:pos="4171"/>
        </w:tabs>
        <w:spacing w:line="240" w:lineRule="auto"/>
      </w:pPr>
      <w:r>
        <w:t>Suárez, F.</w:t>
      </w:r>
      <w:r w:rsidR="0089249E">
        <w:t xml:space="preserve">, viz </w:t>
      </w:r>
      <w:r w:rsidR="0089249E" w:rsidRPr="0089249E">
        <w:rPr>
          <w:i/>
        </w:rPr>
        <w:t>Index locorum</w:t>
      </w:r>
      <w:r w:rsidR="0089249E">
        <w:t xml:space="preserve"> </w:t>
      </w:r>
      <w:r>
        <w:tab/>
        <w:t>132, 490, 592, 624, 669, 834</w:t>
      </w:r>
    </w:p>
    <w:p w:rsidR="00E911ED" w:rsidRDefault="00E911ED" w:rsidP="00E911ED">
      <w:pPr>
        <w:pStyle w:val="Rejstk1"/>
        <w:tabs>
          <w:tab w:val="right" w:leader="dot" w:pos="4171"/>
        </w:tabs>
        <w:spacing w:line="240" w:lineRule="auto"/>
      </w:pPr>
      <w:r w:rsidRPr="004B4DFF">
        <w:rPr>
          <w:i/>
        </w:rPr>
        <w:t>subiectum</w:t>
      </w:r>
    </w:p>
    <w:p w:rsidR="00E911ED" w:rsidRDefault="00E911ED" w:rsidP="00E911ED">
      <w:pPr>
        <w:pStyle w:val="Rejstk2"/>
        <w:tabs>
          <w:tab w:val="right" w:leader="dot" w:pos="4171"/>
        </w:tabs>
        <w:spacing w:line="240" w:lineRule="auto"/>
      </w:pPr>
      <w:r>
        <w:t>kapitalismus</w:t>
      </w:r>
      <w:r>
        <w:tab/>
        <w:t>561, 568, 571</w:t>
      </w:r>
    </w:p>
    <w:p w:rsidR="00E911ED" w:rsidRDefault="00E911ED" w:rsidP="00E911ED">
      <w:pPr>
        <w:pStyle w:val="Rejstk2"/>
        <w:tabs>
          <w:tab w:val="right" w:leader="dot" w:pos="4171"/>
        </w:tabs>
        <w:spacing w:line="240" w:lineRule="auto"/>
      </w:pPr>
      <w:r>
        <w:t>Luther</w:t>
      </w:r>
      <w:r>
        <w:tab/>
        <w:t>820</w:t>
      </w:r>
    </w:p>
    <w:p w:rsidR="00E911ED" w:rsidRDefault="00E911ED" w:rsidP="00E911ED">
      <w:pPr>
        <w:pStyle w:val="Rejstk2"/>
        <w:tabs>
          <w:tab w:val="right" w:leader="dot" w:pos="4171"/>
        </w:tabs>
        <w:spacing w:line="240" w:lineRule="auto"/>
      </w:pPr>
      <w:r>
        <w:t>moderní subjekt</w:t>
      </w:r>
      <w:r>
        <w:tab/>
        <w:t>498, 506</w:t>
      </w:r>
    </w:p>
    <w:p w:rsidR="00E911ED" w:rsidRDefault="00E911ED" w:rsidP="00E911ED">
      <w:pPr>
        <w:pStyle w:val="Rejstk2"/>
        <w:tabs>
          <w:tab w:val="right" w:leader="dot" w:pos="4171"/>
        </w:tabs>
        <w:spacing w:line="240" w:lineRule="auto"/>
      </w:pPr>
      <w:r>
        <w:t>Ockham</w:t>
      </w:r>
      <w:r>
        <w:tab/>
        <w:t>780</w:t>
      </w:r>
    </w:p>
    <w:p w:rsidR="00E911ED" w:rsidRDefault="00E911ED" w:rsidP="00E911ED">
      <w:pPr>
        <w:pStyle w:val="Rejstk2"/>
        <w:tabs>
          <w:tab w:val="right" w:leader="dot" w:pos="4171"/>
        </w:tabs>
        <w:spacing w:line="240" w:lineRule="auto"/>
      </w:pPr>
      <w:r>
        <w:t>Olivi</w:t>
      </w:r>
      <w:r>
        <w:tab/>
        <w:t>523, 558, 819</w:t>
      </w:r>
    </w:p>
    <w:p w:rsidR="00E911ED" w:rsidRDefault="00E911ED" w:rsidP="00E911ED">
      <w:pPr>
        <w:pStyle w:val="Rejstk2"/>
        <w:tabs>
          <w:tab w:val="right" w:leader="dot" w:pos="4171"/>
        </w:tabs>
        <w:spacing w:line="240" w:lineRule="auto"/>
      </w:pPr>
      <w:r>
        <w:t>ontoteologie</w:t>
      </w:r>
      <w:r>
        <w:tab/>
        <w:t>498</w:t>
      </w:r>
    </w:p>
    <w:p w:rsidR="00E911ED" w:rsidRDefault="00E911ED" w:rsidP="00E911ED">
      <w:pPr>
        <w:pStyle w:val="Rejstk2"/>
        <w:tabs>
          <w:tab w:val="right" w:leader="dot" w:pos="4171"/>
        </w:tabs>
        <w:spacing w:line="240" w:lineRule="auto"/>
      </w:pPr>
      <w:r>
        <w:t>postmoderna</w:t>
      </w:r>
      <w:r>
        <w:tab/>
        <w:t>120</w:t>
      </w:r>
    </w:p>
    <w:p w:rsidR="00E911ED" w:rsidRDefault="00E911ED" w:rsidP="00E911ED">
      <w:pPr>
        <w:pStyle w:val="Rejstk2"/>
        <w:tabs>
          <w:tab w:val="right" w:leader="dot" w:pos="4171"/>
        </w:tabs>
        <w:spacing w:line="240" w:lineRule="auto"/>
      </w:pPr>
      <w:r>
        <w:t>Rufus</w:t>
      </w:r>
      <w:r>
        <w:tab/>
        <w:t>499, 648</w:t>
      </w:r>
    </w:p>
    <w:p w:rsidR="00E911ED" w:rsidRDefault="00E911ED" w:rsidP="00E911ED">
      <w:pPr>
        <w:pStyle w:val="Rejstk2"/>
        <w:tabs>
          <w:tab w:val="right" w:leader="dot" w:pos="4171"/>
        </w:tabs>
        <w:spacing w:line="240" w:lineRule="auto"/>
      </w:pPr>
      <w:r>
        <w:t>Scotus</w:t>
      </w:r>
      <w:r>
        <w:tab/>
        <w:t>667, 755, 756</w:t>
      </w:r>
    </w:p>
    <w:p w:rsidR="00E911ED" w:rsidRDefault="00E911ED" w:rsidP="00E911ED">
      <w:pPr>
        <w:pStyle w:val="Rejstk2"/>
        <w:tabs>
          <w:tab w:val="right" w:leader="dot" w:pos="4171"/>
        </w:tabs>
        <w:spacing w:line="240" w:lineRule="auto"/>
      </w:pPr>
      <w:r>
        <w:t>semiaverroismus</w:t>
      </w:r>
      <w:r>
        <w:tab/>
        <w:t>320, 321</w:t>
      </w:r>
    </w:p>
    <w:p w:rsidR="00E911ED" w:rsidRDefault="00E911ED" w:rsidP="00E911ED">
      <w:pPr>
        <w:pStyle w:val="Rejstk2"/>
        <w:tabs>
          <w:tab w:val="right" w:leader="dot" w:pos="4171"/>
        </w:tabs>
        <w:spacing w:line="240" w:lineRule="auto"/>
      </w:pPr>
      <w:r>
        <w:t>Siger</w:t>
      </w:r>
      <w:r>
        <w:tab/>
        <w:t>247, 272, 275, 344</w:t>
      </w:r>
    </w:p>
    <w:p w:rsidR="00E911ED" w:rsidRDefault="00E911ED" w:rsidP="00E911ED">
      <w:pPr>
        <w:pStyle w:val="Rejstk2"/>
        <w:tabs>
          <w:tab w:val="right" w:leader="dot" w:pos="4171"/>
        </w:tabs>
        <w:spacing w:line="240" w:lineRule="auto"/>
      </w:pPr>
      <w:r>
        <w:t>spasení</w:t>
      </w:r>
      <w:r>
        <w:tab/>
        <w:t>568</w:t>
      </w:r>
    </w:p>
    <w:p w:rsidR="00E911ED" w:rsidRDefault="00E911ED" w:rsidP="00E911ED">
      <w:pPr>
        <w:pStyle w:val="Rejstk2"/>
        <w:tabs>
          <w:tab w:val="right" w:leader="dot" w:pos="4171"/>
        </w:tabs>
        <w:spacing w:line="240" w:lineRule="auto"/>
      </w:pPr>
      <w:r>
        <w:t>třetího druhu</w:t>
      </w:r>
      <w:r>
        <w:tab/>
        <w:t>118, 119, 165, 651</w:t>
      </w:r>
    </w:p>
    <w:p w:rsidR="00E911ED" w:rsidRDefault="00E911ED" w:rsidP="00E911ED">
      <w:pPr>
        <w:pStyle w:val="Rejstk1"/>
        <w:tabs>
          <w:tab w:val="right" w:leader="dot" w:pos="4171"/>
        </w:tabs>
        <w:spacing w:line="240" w:lineRule="auto"/>
      </w:pPr>
      <w:r>
        <w:t>subsistence</w:t>
      </w:r>
    </w:p>
    <w:p w:rsidR="00E911ED" w:rsidRDefault="00E911ED" w:rsidP="00E911ED">
      <w:pPr>
        <w:pStyle w:val="Rejstk2"/>
        <w:tabs>
          <w:tab w:val="right" w:leader="dot" w:pos="4171"/>
        </w:tabs>
        <w:spacing w:line="240" w:lineRule="auto"/>
      </w:pPr>
      <w:r>
        <w:t>Bonaventura</w:t>
      </w:r>
      <w:r>
        <w:tab/>
        <w:t>33</w:t>
      </w:r>
    </w:p>
    <w:p w:rsidR="00E911ED" w:rsidRDefault="00E911ED" w:rsidP="00E911ED">
      <w:pPr>
        <w:pStyle w:val="Rejstk2"/>
        <w:tabs>
          <w:tab w:val="right" w:leader="dot" w:pos="4171"/>
        </w:tabs>
        <w:spacing w:line="240" w:lineRule="auto"/>
      </w:pPr>
      <w:r>
        <w:t>druhý averroismus</w:t>
      </w:r>
      <w:r>
        <w:tab/>
        <w:t>5</w:t>
      </w:r>
    </w:p>
    <w:p w:rsidR="00E911ED" w:rsidRDefault="00E911ED" w:rsidP="00E911ED">
      <w:pPr>
        <w:pStyle w:val="Rejstk2"/>
        <w:tabs>
          <w:tab w:val="right" w:leader="dot" w:pos="4171"/>
        </w:tabs>
        <w:spacing w:line="240" w:lineRule="auto"/>
      </w:pPr>
      <w:r>
        <w:t>duše</w:t>
      </w:r>
      <w:r>
        <w:tab/>
        <w:t>71, 171</w:t>
      </w:r>
    </w:p>
    <w:p w:rsidR="00E911ED" w:rsidRDefault="00E911ED" w:rsidP="00E911ED">
      <w:pPr>
        <w:pStyle w:val="Rejstk2"/>
        <w:tabs>
          <w:tab w:val="right" w:leader="dot" w:pos="4171"/>
        </w:tabs>
        <w:spacing w:line="240" w:lineRule="auto"/>
      </w:pPr>
      <w:r>
        <w:t>etika</w:t>
      </w:r>
      <w:r>
        <w:tab/>
        <w:t>863</w:t>
      </w:r>
    </w:p>
    <w:p w:rsidR="00E911ED" w:rsidRDefault="00E911ED" w:rsidP="00E911ED">
      <w:pPr>
        <w:pStyle w:val="Rejstk2"/>
        <w:tabs>
          <w:tab w:val="right" w:leader="dot" w:pos="4171"/>
        </w:tabs>
        <w:spacing w:line="240" w:lineRule="auto"/>
      </w:pPr>
      <w:r>
        <w:t>intelekt</w:t>
      </w:r>
      <w:r>
        <w:tab/>
        <w:t>76, 86</w:t>
      </w:r>
    </w:p>
    <w:p w:rsidR="00E911ED" w:rsidRDefault="00E911ED" w:rsidP="00E911ED">
      <w:pPr>
        <w:pStyle w:val="Rejstk2"/>
        <w:tabs>
          <w:tab w:val="right" w:leader="dot" w:pos="4171"/>
        </w:tabs>
        <w:spacing w:line="240" w:lineRule="auto"/>
      </w:pPr>
      <w:r>
        <w:t>moderna</w:t>
      </w:r>
      <w:r>
        <w:tab/>
        <w:t>120</w:t>
      </w:r>
    </w:p>
    <w:p w:rsidR="00E911ED" w:rsidRDefault="00E911ED" w:rsidP="00E911ED">
      <w:pPr>
        <w:pStyle w:val="Rejstk2"/>
        <w:tabs>
          <w:tab w:val="right" w:leader="dot" w:pos="4171"/>
        </w:tabs>
        <w:spacing w:line="240" w:lineRule="auto"/>
      </w:pPr>
      <w:r>
        <w:t>objektivní</w:t>
      </w:r>
      <w:r>
        <w:tab/>
        <w:t>142</w:t>
      </w:r>
    </w:p>
    <w:p w:rsidR="00E911ED" w:rsidRDefault="00E911ED" w:rsidP="00E911ED">
      <w:pPr>
        <w:pStyle w:val="Rejstk2"/>
        <w:tabs>
          <w:tab w:val="right" w:leader="dot" w:pos="4171"/>
        </w:tabs>
        <w:spacing w:line="240" w:lineRule="auto"/>
      </w:pPr>
      <w:r>
        <w:t>Ockham</w:t>
      </w:r>
      <w:r>
        <w:tab/>
        <w:t>781</w:t>
      </w:r>
    </w:p>
    <w:p w:rsidR="00E911ED" w:rsidRDefault="00E911ED" w:rsidP="00E911ED">
      <w:pPr>
        <w:pStyle w:val="Rejstk2"/>
        <w:tabs>
          <w:tab w:val="right" w:leader="dot" w:pos="4171"/>
        </w:tabs>
        <w:spacing w:line="240" w:lineRule="auto"/>
      </w:pPr>
      <w:r>
        <w:t>osoba</w:t>
      </w:r>
      <w:r>
        <w:tab/>
        <w:t>244</w:t>
      </w:r>
    </w:p>
    <w:p w:rsidR="00E911ED" w:rsidRDefault="00E911ED" w:rsidP="00E911ED">
      <w:pPr>
        <w:pStyle w:val="Rejstk2"/>
        <w:tabs>
          <w:tab w:val="right" w:leader="dot" w:pos="4171"/>
        </w:tabs>
        <w:spacing w:line="240" w:lineRule="auto"/>
      </w:pPr>
      <w:r>
        <w:t>Scotus</w:t>
      </w:r>
      <w:r>
        <w:tab/>
        <w:t>661</w:t>
      </w:r>
    </w:p>
    <w:p w:rsidR="00E911ED" w:rsidRDefault="00E911ED" w:rsidP="00E911ED">
      <w:pPr>
        <w:pStyle w:val="Rejstk2"/>
        <w:tabs>
          <w:tab w:val="right" w:leader="dot" w:pos="4171"/>
        </w:tabs>
        <w:spacing w:line="240" w:lineRule="auto"/>
      </w:pPr>
      <w:r>
        <w:t>vůle</w:t>
      </w:r>
      <w:r>
        <w:tab/>
        <w:t>546, 549</w:t>
      </w:r>
    </w:p>
    <w:p w:rsidR="00E911ED" w:rsidRDefault="00E911ED" w:rsidP="00E911ED">
      <w:pPr>
        <w:pStyle w:val="Rejstk1"/>
        <w:tabs>
          <w:tab w:val="right" w:leader="dot" w:pos="4171"/>
        </w:tabs>
        <w:spacing w:line="240" w:lineRule="auto"/>
      </w:pPr>
      <w:r>
        <w:t>substance</w:t>
      </w:r>
    </w:p>
    <w:p w:rsidR="00E911ED" w:rsidRDefault="00E911ED" w:rsidP="00E911ED">
      <w:pPr>
        <w:pStyle w:val="Rejstk2"/>
        <w:tabs>
          <w:tab w:val="right" w:leader="dot" w:pos="4171"/>
        </w:tabs>
        <w:spacing w:line="240" w:lineRule="auto"/>
      </w:pPr>
      <w:r>
        <w:t>Akvinský</w:t>
      </w:r>
      <w:r>
        <w:tab/>
        <w:t>354</w:t>
      </w:r>
    </w:p>
    <w:p w:rsidR="00E911ED" w:rsidRDefault="00E911ED" w:rsidP="00E911ED">
      <w:pPr>
        <w:pStyle w:val="Rejstk2"/>
        <w:tabs>
          <w:tab w:val="right" w:leader="dot" w:pos="4171"/>
        </w:tabs>
        <w:spacing w:line="240" w:lineRule="auto"/>
      </w:pPr>
      <w:r>
        <w:t>Aristoteles</w:t>
      </w:r>
      <w:r>
        <w:tab/>
        <w:t>70</w:t>
      </w:r>
    </w:p>
    <w:p w:rsidR="00E911ED" w:rsidRDefault="00E911ED" w:rsidP="00E911ED">
      <w:pPr>
        <w:pStyle w:val="Rejstk2"/>
        <w:tabs>
          <w:tab w:val="right" w:leader="dot" w:pos="4171"/>
        </w:tabs>
        <w:spacing w:line="240" w:lineRule="auto"/>
      </w:pPr>
      <w:r>
        <w:t>atomární</w:t>
      </w:r>
      <w:r>
        <w:tab/>
        <w:t>52, 645</w:t>
      </w:r>
    </w:p>
    <w:p w:rsidR="00E911ED" w:rsidRDefault="00E911ED" w:rsidP="00E911ED">
      <w:pPr>
        <w:pStyle w:val="Rejstk2"/>
        <w:tabs>
          <w:tab w:val="right" w:leader="dot" w:pos="4171"/>
        </w:tabs>
        <w:spacing w:line="240" w:lineRule="auto"/>
      </w:pPr>
      <w:r>
        <w:t>Bonaventura</w:t>
      </w:r>
      <w:r>
        <w:tab/>
        <w:t>29, 41</w:t>
      </w:r>
    </w:p>
    <w:p w:rsidR="00E911ED" w:rsidRDefault="00E911ED" w:rsidP="00E911ED">
      <w:pPr>
        <w:pStyle w:val="Rejstk2"/>
        <w:tabs>
          <w:tab w:val="right" w:leader="dot" w:pos="4171"/>
        </w:tabs>
        <w:spacing w:line="240" w:lineRule="auto"/>
      </w:pPr>
      <w:r>
        <w:t>bůh</w:t>
      </w:r>
      <w:r>
        <w:tab/>
        <w:t>619, 632, 825</w:t>
      </w:r>
    </w:p>
    <w:p w:rsidR="00E911ED" w:rsidRDefault="00E911ED" w:rsidP="00E911ED">
      <w:pPr>
        <w:pStyle w:val="Rejstk2"/>
        <w:tabs>
          <w:tab w:val="right" w:leader="dot" w:pos="4171"/>
        </w:tabs>
        <w:spacing w:line="240" w:lineRule="auto"/>
      </w:pPr>
      <w:r w:rsidRPr="004B4DFF">
        <w:rPr>
          <w:i/>
        </w:rPr>
        <w:t>conceptus fictitius</w:t>
      </w:r>
      <w:r>
        <w:tab/>
        <w:t>580, 593, 696, 751</w:t>
      </w:r>
    </w:p>
    <w:p w:rsidR="00E911ED" w:rsidRDefault="00E911ED" w:rsidP="00E911ED">
      <w:pPr>
        <w:pStyle w:val="Rejstk2"/>
        <w:tabs>
          <w:tab w:val="right" w:leader="dot" w:pos="4171"/>
        </w:tabs>
        <w:spacing w:line="240" w:lineRule="auto"/>
      </w:pPr>
      <w:r>
        <w:t>DNA</w:t>
      </w:r>
      <w:r>
        <w:tab/>
        <w:t>518</w:t>
      </w:r>
    </w:p>
    <w:p w:rsidR="00E911ED" w:rsidRDefault="00E911ED" w:rsidP="00E911ED">
      <w:pPr>
        <w:pStyle w:val="Rejstk2"/>
        <w:tabs>
          <w:tab w:val="right" w:leader="dot" w:pos="4171"/>
        </w:tabs>
        <w:spacing w:line="240" w:lineRule="auto"/>
      </w:pPr>
      <w:r>
        <w:t>dobro</w:t>
      </w:r>
      <w:r>
        <w:tab/>
        <w:t>862, 864</w:t>
      </w:r>
    </w:p>
    <w:p w:rsidR="00E911ED" w:rsidRDefault="00E911ED" w:rsidP="00E911ED">
      <w:pPr>
        <w:pStyle w:val="Rejstk2"/>
        <w:tabs>
          <w:tab w:val="right" w:leader="dot" w:pos="4171"/>
        </w:tabs>
        <w:spacing w:line="240" w:lineRule="auto"/>
      </w:pPr>
      <w:r>
        <w:t>druhá</w:t>
      </w:r>
      <w:r>
        <w:tab/>
        <w:t>163, 169, 453, 621, 697, 700, 709</w:t>
      </w:r>
    </w:p>
    <w:p w:rsidR="00E911ED" w:rsidRDefault="00E911ED" w:rsidP="00E911ED">
      <w:pPr>
        <w:pStyle w:val="Rejstk2"/>
        <w:tabs>
          <w:tab w:val="right" w:leader="dot" w:pos="4171"/>
        </w:tabs>
        <w:spacing w:line="240" w:lineRule="auto"/>
      </w:pPr>
      <w:r w:rsidRPr="004B4DFF">
        <w:rPr>
          <w:i/>
        </w:rPr>
        <w:t>duplex negatio</w:t>
      </w:r>
      <w:r>
        <w:tab/>
        <w:t>588, 590, 593</w:t>
      </w:r>
    </w:p>
    <w:p w:rsidR="00E911ED" w:rsidRDefault="00E911ED" w:rsidP="00E911ED">
      <w:pPr>
        <w:pStyle w:val="Rejstk2"/>
        <w:tabs>
          <w:tab w:val="right" w:leader="dot" w:pos="4171"/>
        </w:tabs>
        <w:spacing w:line="240" w:lineRule="auto"/>
      </w:pPr>
      <w:r>
        <w:t>duše</w:t>
      </w:r>
      <w:r>
        <w:tab/>
        <w:t>68, 73, 77, 142, 210, 324</w:t>
      </w:r>
    </w:p>
    <w:p w:rsidR="00E911ED" w:rsidRDefault="00E911ED" w:rsidP="00E911ED">
      <w:pPr>
        <w:pStyle w:val="Rejstk2"/>
        <w:tabs>
          <w:tab w:val="right" w:leader="dot" w:pos="4171"/>
        </w:tabs>
        <w:spacing w:line="240" w:lineRule="auto"/>
      </w:pPr>
      <w:r w:rsidRPr="004B4DFF">
        <w:rPr>
          <w:i/>
        </w:rPr>
        <w:t>ens completum</w:t>
      </w:r>
      <w:r>
        <w:tab/>
        <w:t>799</w:t>
      </w:r>
    </w:p>
    <w:p w:rsidR="00E911ED" w:rsidRDefault="00E911ED" w:rsidP="00E911ED">
      <w:pPr>
        <w:pStyle w:val="Rejstk2"/>
        <w:tabs>
          <w:tab w:val="right" w:leader="dot" w:pos="4171"/>
        </w:tabs>
        <w:spacing w:line="240" w:lineRule="auto"/>
      </w:pPr>
      <w:r w:rsidRPr="004B4DFF">
        <w:rPr>
          <w:i/>
        </w:rPr>
        <w:t>ens</w:t>
      </w:r>
      <w:r>
        <w:t xml:space="preserve"> </w:t>
      </w:r>
      <w:r w:rsidRPr="004B4DFF">
        <w:rPr>
          <w:i/>
        </w:rPr>
        <w:t>incomplexum</w:t>
      </w:r>
      <w:r>
        <w:tab/>
        <w:t>652</w:t>
      </w:r>
    </w:p>
    <w:p w:rsidR="00E911ED" w:rsidRDefault="00E911ED" w:rsidP="00E911ED">
      <w:pPr>
        <w:pStyle w:val="Rejstk2"/>
        <w:tabs>
          <w:tab w:val="right" w:leader="dot" w:pos="4171"/>
        </w:tabs>
        <w:spacing w:line="240" w:lineRule="auto"/>
      </w:pPr>
      <w:r>
        <w:t>esence</w:t>
      </w:r>
      <w:r>
        <w:tab/>
        <w:t>645</w:t>
      </w:r>
    </w:p>
    <w:p w:rsidR="00E911ED" w:rsidRDefault="00E911ED" w:rsidP="00E911ED">
      <w:pPr>
        <w:pStyle w:val="Rejstk2"/>
        <w:tabs>
          <w:tab w:val="right" w:leader="dot" w:pos="4171"/>
        </w:tabs>
        <w:spacing w:line="240" w:lineRule="auto"/>
      </w:pPr>
      <w:r w:rsidRPr="004B4DFF">
        <w:rPr>
          <w:i/>
        </w:rPr>
        <w:t>esse in</w:t>
      </w:r>
      <w:r>
        <w:tab/>
        <w:t>749, 750</w:t>
      </w:r>
    </w:p>
    <w:p w:rsidR="00E911ED" w:rsidRDefault="00E911ED" w:rsidP="00E911ED">
      <w:pPr>
        <w:pStyle w:val="Rejstk2"/>
        <w:tabs>
          <w:tab w:val="right" w:leader="dot" w:pos="4171"/>
        </w:tabs>
        <w:spacing w:line="240" w:lineRule="auto"/>
      </w:pPr>
      <w:r>
        <w:t>Gandavus</w:t>
      </w:r>
      <w:r>
        <w:tab/>
        <w:t>594, 616</w:t>
      </w:r>
    </w:p>
    <w:p w:rsidR="00E911ED" w:rsidRDefault="00E911ED" w:rsidP="00E911ED">
      <w:pPr>
        <w:pStyle w:val="Rejstk2"/>
        <w:tabs>
          <w:tab w:val="right" w:leader="dot" w:pos="4171"/>
        </w:tabs>
        <w:spacing w:line="240" w:lineRule="auto"/>
      </w:pPr>
      <w:r>
        <w:t>gigantomachie</w:t>
      </w:r>
      <w:r>
        <w:tab/>
        <w:t>2, 14, 650, 794, 836, 935</w:t>
      </w:r>
    </w:p>
    <w:p w:rsidR="00E911ED" w:rsidRDefault="00E911ED" w:rsidP="00E911ED">
      <w:pPr>
        <w:pStyle w:val="Rejstk2"/>
        <w:tabs>
          <w:tab w:val="right" w:leader="dot" w:pos="4171"/>
        </w:tabs>
        <w:spacing w:line="240" w:lineRule="auto"/>
      </w:pPr>
      <w:r>
        <w:t>hylemorfická</w:t>
      </w:r>
      <w:r>
        <w:tab/>
        <w:t>143, 154, 228, 678, 798</w:t>
      </w:r>
    </w:p>
    <w:p w:rsidR="00E911ED" w:rsidRDefault="00E911ED" w:rsidP="00E911ED">
      <w:pPr>
        <w:pStyle w:val="Rejstk2"/>
        <w:tabs>
          <w:tab w:val="right" w:leader="dot" w:pos="4171"/>
        </w:tabs>
        <w:spacing w:line="240" w:lineRule="auto"/>
      </w:pPr>
      <w:r>
        <w:t>individuum</w:t>
      </w:r>
      <w:r>
        <w:tab/>
        <w:t>571, 588, 638</w:t>
      </w:r>
    </w:p>
    <w:p w:rsidR="00E911ED" w:rsidRDefault="00E911ED" w:rsidP="00E911ED">
      <w:pPr>
        <w:pStyle w:val="Rejstk2"/>
        <w:tabs>
          <w:tab w:val="right" w:leader="dot" w:pos="4171"/>
        </w:tabs>
        <w:spacing w:line="240" w:lineRule="auto"/>
      </w:pPr>
      <w:r w:rsidRPr="004B4DFF">
        <w:rPr>
          <w:i/>
        </w:rPr>
        <w:t>individuum vagum</w:t>
      </w:r>
      <w:r>
        <w:tab/>
        <w:t>506, 521, 589, 634, 702</w:t>
      </w:r>
    </w:p>
    <w:p w:rsidR="00E911ED" w:rsidRDefault="00E911ED" w:rsidP="00E911ED">
      <w:pPr>
        <w:pStyle w:val="Rejstk2"/>
        <w:tabs>
          <w:tab w:val="right" w:leader="dot" w:pos="4171"/>
        </w:tabs>
        <w:spacing w:line="240" w:lineRule="auto"/>
      </w:pPr>
      <w:r>
        <w:t>intelekt</w:t>
      </w:r>
      <w:r>
        <w:tab/>
        <w:t>89, 135, 204, 212, 224, 268, 359, 423, 785, 860</w:t>
      </w:r>
    </w:p>
    <w:p w:rsidR="00E911ED" w:rsidRDefault="00E911ED" w:rsidP="00E911ED">
      <w:pPr>
        <w:pStyle w:val="Rejstk2"/>
        <w:tabs>
          <w:tab w:val="right" w:leader="dot" w:pos="4171"/>
        </w:tabs>
        <w:spacing w:line="240" w:lineRule="auto"/>
      </w:pPr>
      <w:r>
        <w:t>matematická</w:t>
      </w:r>
      <w:r>
        <w:tab/>
        <w:t>40</w:t>
      </w:r>
    </w:p>
    <w:p w:rsidR="00E911ED" w:rsidRDefault="00E911ED" w:rsidP="00E911ED">
      <w:pPr>
        <w:pStyle w:val="Rejstk2"/>
        <w:tabs>
          <w:tab w:val="right" w:leader="dot" w:pos="4171"/>
        </w:tabs>
        <w:spacing w:line="240" w:lineRule="auto"/>
      </w:pPr>
      <w:r>
        <w:t>moderna</w:t>
      </w:r>
      <w:r>
        <w:tab/>
        <w:t>524</w:t>
      </w:r>
    </w:p>
    <w:p w:rsidR="00E911ED" w:rsidRDefault="00E911ED" w:rsidP="00E911ED">
      <w:pPr>
        <w:pStyle w:val="Rejstk2"/>
        <w:tabs>
          <w:tab w:val="right" w:leader="dot" w:pos="4171"/>
        </w:tabs>
        <w:spacing w:line="240" w:lineRule="auto"/>
      </w:pPr>
      <w:r w:rsidRPr="004B4DFF">
        <w:rPr>
          <w:i/>
        </w:rPr>
        <w:t>non repugnat esse</w:t>
      </w:r>
      <w:r>
        <w:tab/>
        <w:t>523, 524</w:t>
      </w:r>
    </w:p>
    <w:p w:rsidR="00E911ED" w:rsidRDefault="00E911ED" w:rsidP="00E911ED">
      <w:pPr>
        <w:pStyle w:val="Rejstk2"/>
        <w:tabs>
          <w:tab w:val="right" w:leader="dot" w:pos="4171"/>
        </w:tabs>
        <w:spacing w:line="240" w:lineRule="auto"/>
      </w:pPr>
      <w:r w:rsidRPr="004B4DFF">
        <w:rPr>
          <w:i/>
        </w:rPr>
        <w:t>Noumenon</w:t>
      </w:r>
      <w:r>
        <w:tab/>
        <w:t>489</w:t>
      </w:r>
    </w:p>
    <w:p w:rsidR="00E911ED" w:rsidRDefault="00E911ED" w:rsidP="00E911ED">
      <w:pPr>
        <w:pStyle w:val="Rejstk2"/>
        <w:tabs>
          <w:tab w:val="right" w:leader="dot" w:pos="4171"/>
        </w:tabs>
        <w:spacing w:line="240" w:lineRule="auto"/>
      </w:pPr>
      <w:r>
        <w:t>občan polis</w:t>
      </w:r>
      <w:r>
        <w:tab/>
        <w:t>893</w:t>
      </w:r>
    </w:p>
    <w:p w:rsidR="00E911ED" w:rsidRDefault="00E911ED" w:rsidP="00E911ED">
      <w:pPr>
        <w:pStyle w:val="Rejstk2"/>
        <w:tabs>
          <w:tab w:val="right" w:leader="dot" w:pos="4171"/>
        </w:tabs>
        <w:spacing w:line="240" w:lineRule="auto"/>
      </w:pPr>
      <w:r>
        <w:t>objektivní</w:t>
      </w:r>
      <w:r>
        <w:tab/>
        <w:t>42, 157, 474, 501, 579, 589, 591, 702, 704, 793</w:t>
      </w:r>
    </w:p>
    <w:p w:rsidR="00E911ED" w:rsidRDefault="00E911ED" w:rsidP="00E911ED">
      <w:pPr>
        <w:pStyle w:val="Rejstk2"/>
        <w:tabs>
          <w:tab w:val="right" w:leader="dot" w:pos="4171"/>
        </w:tabs>
        <w:spacing w:line="240" w:lineRule="auto"/>
      </w:pPr>
      <w:r>
        <w:t>osoba</w:t>
      </w:r>
      <w:r>
        <w:tab/>
        <w:t>245</w:t>
      </w:r>
    </w:p>
    <w:p w:rsidR="00E911ED" w:rsidRDefault="00E911ED" w:rsidP="00E911ED">
      <w:pPr>
        <w:pStyle w:val="Rejstk2"/>
        <w:tabs>
          <w:tab w:val="right" w:leader="dot" w:pos="4171"/>
        </w:tabs>
        <w:spacing w:line="240" w:lineRule="auto"/>
      </w:pPr>
      <w:r>
        <w:t>porretáni</w:t>
      </w:r>
      <w:r>
        <w:tab/>
        <w:t>46, 779</w:t>
      </w:r>
    </w:p>
    <w:p w:rsidR="00E911ED" w:rsidRDefault="00E911ED" w:rsidP="00E911ED">
      <w:pPr>
        <w:pStyle w:val="Rejstk2"/>
        <w:tabs>
          <w:tab w:val="right" w:leader="dot" w:pos="4171"/>
        </w:tabs>
        <w:spacing w:line="240" w:lineRule="auto"/>
      </w:pPr>
      <w:r>
        <w:t>první</w:t>
      </w:r>
      <w:r>
        <w:tab/>
        <w:t>3, 38, 113, 256, 260, 296, 398, 414, 506, 582, 601, 651, 656, 657, 703, 750, 755, 787, 795, 805</w:t>
      </w:r>
    </w:p>
    <w:p w:rsidR="00E911ED" w:rsidRDefault="00E911ED" w:rsidP="00E911ED">
      <w:pPr>
        <w:pStyle w:val="Rejstk2"/>
        <w:tabs>
          <w:tab w:val="right" w:leader="dot" w:pos="4171"/>
        </w:tabs>
        <w:spacing w:line="240" w:lineRule="auto"/>
      </w:pPr>
      <w:r w:rsidRPr="004B4DFF">
        <w:rPr>
          <w:i/>
        </w:rPr>
        <w:t>ratio individuationis</w:t>
      </w:r>
      <w:r>
        <w:tab/>
        <w:t>586</w:t>
      </w:r>
    </w:p>
    <w:p w:rsidR="00E911ED" w:rsidRDefault="00E911ED" w:rsidP="00E911ED">
      <w:pPr>
        <w:pStyle w:val="Rejstk2"/>
        <w:tabs>
          <w:tab w:val="right" w:leader="dot" w:pos="4171"/>
        </w:tabs>
        <w:spacing w:line="240" w:lineRule="auto"/>
      </w:pPr>
      <w:r>
        <w:t>Scotus</w:t>
      </w:r>
      <w:r>
        <w:tab/>
        <w:t>653, 664, 693</w:t>
      </w:r>
    </w:p>
    <w:p w:rsidR="00E911ED" w:rsidRDefault="00E911ED" w:rsidP="00E911ED">
      <w:pPr>
        <w:pStyle w:val="Rejstk2"/>
        <w:tabs>
          <w:tab w:val="right" w:leader="dot" w:pos="4171"/>
        </w:tabs>
        <w:spacing w:line="240" w:lineRule="auto"/>
      </w:pPr>
      <w:r w:rsidRPr="004B4DFF">
        <w:rPr>
          <w:i/>
        </w:rPr>
        <w:t>species</w:t>
      </w:r>
      <w:r>
        <w:tab/>
        <w:t>685</w:t>
      </w:r>
    </w:p>
    <w:p w:rsidR="00E911ED" w:rsidRDefault="00E911ED" w:rsidP="00E911ED">
      <w:pPr>
        <w:pStyle w:val="Rejstk2"/>
        <w:tabs>
          <w:tab w:val="right" w:leader="dot" w:pos="4171"/>
        </w:tabs>
        <w:spacing w:line="240" w:lineRule="auto"/>
      </w:pPr>
      <w:r>
        <w:t>stvořená</w:t>
      </w:r>
      <w:r>
        <w:tab/>
        <w:t>107</w:t>
      </w:r>
    </w:p>
    <w:p w:rsidR="00E911ED" w:rsidRDefault="00E911ED" w:rsidP="00E911ED">
      <w:pPr>
        <w:pStyle w:val="Rejstk2"/>
        <w:tabs>
          <w:tab w:val="right" w:leader="dot" w:pos="4171"/>
        </w:tabs>
        <w:spacing w:line="240" w:lineRule="auto"/>
      </w:pPr>
      <w:r>
        <w:t>stvořené</w:t>
      </w:r>
      <w:r>
        <w:tab/>
        <w:t>604</w:t>
      </w:r>
    </w:p>
    <w:p w:rsidR="00E911ED" w:rsidRDefault="00E911ED" w:rsidP="00E911ED">
      <w:pPr>
        <w:pStyle w:val="Rejstk2"/>
        <w:tabs>
          <w:tab w:val="right" w:leader="dot" w:pos="4171"/>
        </w:tabs>
        <w:spacing w:line="240" w:lineRule="auto"/>
      </w:pPr>
      <w:r w:rsidRPr="004B4DFF">
        <w:rPr>
          <w:i/>
        </w:rPr>
        <w:t>subsistendi/substandi</w:t>
      </w:r>
      <w:r>
        <w:tab/>
        <w:t>661</w:t>
      </w:r>
    </w:p>
    <w:p w:rsidR="00E911ED" w:rsidRDefault="00E911ED" w:rsidP="00E911ED">
      <w:pPr>
        <w:pStyle w:val="Rejstk2"/>
        <w:tabs>
          <w:tab w:val="right" w:leader="dot" w:pos="4171"/>
        </w:tabs>
        <w:spacing w:line="240" w:lineRule="auto"/>
      </w:pPr>
      <w:r w:rsidRPr="004B4DFF">
        <w:rPr>
          <w:i/>
        </w:rPr>
        <w:t>tantum haec</w:t>
      </w:r>
      <w:r>
        <w:tab/>
        <w:t>594, 646</w:t>
      </w:r>
    </w:p>
    <w:p w:rsidR="00E911ED" w:rsidRDefault="00E911ED" w:rsidP="00E911ED">
      <w:pPr>
        <w:pStyle w:val="Rejstk2"/>
        <w:tabs>
          <w:tab w:val="right" w:leader="dot" w:pos="4171"/>
        </w:tabs>
        <w:spacing w:line="240" w:lineRule="auto"/>
      </w:pPr>
      <w:r>
        <w:t>virtuální</w:t>
      </w:r>
      <w:r>
        <w:tab/>
        <w:t>147, 149</w:t>
      </w:r>
    </w:p>
    <w:p w:rsidR="00E911ED" w:rsidRDefault="00E911ED" w:rsidP="00E911ED">
      <w:pPr>
        <w:pStyle w:val="Rejstk2"/>
        <w:tabs>
          <w:tab w:val="right" w:leader="dot" w:pos="4171"/>
        </w:tabs>
        <w:spacing w:line="240" w:lineRule="auto"/>
      </w:pPr>
      <w:r>
        <w:t>vůle</w:t>
      </w:r>
      <w:r>
        <w:tab/>
        <w:t>527, 531, 534, 554, 559, 813</w:t>
      </w:r>
    </w:p>
    <w:p w:rsidR="00E911ED" w:rsidRDefault="00E911ED" w:rsidP="00E911ED">
      <w:pPr>
        <w:pStyle w:val="Rejstk2"/>
        <w:tabs>
          <w:tab w:val="right" w:leader="dot" w:pos="4171"/>
        </w:tabs>
        <w:spacing w:line="240" w:lineRule="auto"/>
      </w:pPr>
      <w:r>
        <w:t>zatmění</w:t>
      </w:r>
      <w:r>
        <w:tab/>
        <w:t>352</w:t>
      </w:r>
    </w:p>
    <w:p w:rsidR="00E911ED" w:rsidRDefault="00E911ED" w:rsidP="00E911ED">
      <w:pPr>
        <w:pStyle w:val="Rejstk2"/>
        <w:tabs>
          <w:tab w:val="right" w:leader="dot" w:pos="4171"/>
        </w:tabs>
        <w:spacing w:line="240" w:lineRule="auto"/>
      </w:pPr>
      <w:r>
        <w:t>τό τί ἦν εἶναι</w:t>
      </w:r>
      <w:r>
        <w:tab/>
        <w:t>914</w:t>
      </w:r>
    </w:p>
    <w:p w:rsidR="00E911ED" w:rsidRDefault="00E911ED" w:rsidP="00E911ED">
      <w:pPr>
        <w:pStyle w:val="Rejstk2"/>
        <w:tabs>
          <w:tab w:val="right" w:leader="dot" w:pos="4171"/>
        </w:tabs>
        <w:spacing w:line="240" w:lineRule="auto"/>
      </w:pPr>
      <w:r>
        <w:t>τόδε τι</w:t>
      </w:r>
      <w:r>
        <w:tab/>
        <w:t>70, 287, 391, 523, 590</w:t>
      </w:r>
    </w:p>
    <w:p w:rsidR="00E911ED" w:rsidRDefault="00E911ED" w:rsidP="00E911ED">
      <w:pPr>
        <w:pStyle w:val="Rejstk1"/>
        <w:tabs>
          <w:tab w:val="right" w:leader="dot" w:pos="4171"/>
        </w:tabs>
        <w:spacing w:line="240" w:lineRule="auto"/>
      </w:pPr>
      <w:r>
        <w:t xml:space="preserve">substance </w:t>
      </w:r>
      <w:r w:rsidRPr="004B4DFF">
        <w:rPr>
          <w:i/>
        </w:rPr>
        <w:t>qua</w:t>
      </w:r>
      <w:r>
        <w:t xml:space="preserve"> substance</w:t>
      </w:r>
      <w:r>
        <w:tab/>
        <w:t>181, 259, 266, 268, 326, 371, 436, 459, 495, 707</w:t>
      </w:r>
    </w:p>
    <w:p w:rsidR="00E911ED" w:rsidRDefault="00E911ED" w:rsidP="00E911ED">
      <w:pPr>
        <w:pStyle w:val="Rejstk1"/>
        <w:tabs>
          <w:tab w:val="right" w:leader="dot" w:pos="4171"/>
        </w:tabs>
        <w:spacing w:line="240" w:lineRule="auto"/>
      </w:pPr>
      <w:r w:rsidRPr="004B4DFF">
        <w:rPr>
          <w:i/>
        </w:rPr>
        <w:t>Summa Duacensis</w:t>
      </w:r>
      <w:r>
        <w:tab/>
        <w:t>475, 859</w:t>
      </w:r>
    </w:p>
    <w:p w:rsidR="00E911ED" w:rsidRDefault="00E911ED" w:rsidP="00E911ED">
      <w:pPr>
        <w:pStyle w:val="Rejstk1"/>
        <w:tabs>
          <w:tab w:val="right" w:leader="dot" w:pos="4171"/>
        </w:tabs>
        <w:spacing w:line="240" w:lineRule="auto"/>
      </w:pPr>
      <w:r w:rsidRPr="004B4DFF">
        <w:rPr>
          <w:i/>
        </w:rPr>
        <w:t>Summa Halensis</w:t>
      </w:r>
      <w:r>
        <w:tab/>
        <w:t>4, 20, 22, 55, 61, 76, 153, 562, 847, 860, 867, 868</w:t>
      </w:r>
    </w:p>
    <w:p w:rsidR="00E911ED" w:rsidRDefault="00E911ED" w:rsidP="00E911ED">
      <w:pPr>
        <w:pStyle w:val="Rejstk1"/>
        <w:tabs>
          <w:tab w:val="right" w:leader="dot" w:pos="4171"/>
        </w:tabs>
        <w:spacing w:line="240" w:lineRule="auto"/>
      </w:pPr>
      <w:r>
        <w:t>supozice</w:t>
      </w:r>
    </w:p>
    <w:p w:rsidR="00E911ED" w:rsidRDefault="00E911ED" w:rsidP="00E911ED">
      <w:pPr>
        <w:pStyle w:val="Rejstk2"/>
        <w:tabs>
          <w:tab w:val="right" w:leader="dot" w:pos="4171"/>
        </w:tabs>
        <w:spacing w:line="240" w:lineRule="auto"/>
      </w:pPr>
      <w:r>
        <w:t>druhý averroismus</w:t>
      </w:r>
      <w:r>
        <w:tab/>
        <w:t>647</w:t>
      </w:r>
    </w:p>
    <w:p w:rsidR="00E911ED" w:rsidRDefault="00E911ED" w:rsidP="00E911ED">
      <w:pPr>
        <w:pStyle w:val="Rejstk2"/>
        <w:tabs>
          <w:tab w:val="right" w:leader="dot" w:pos="4171"/>
        </w:tabs>
        <w:spacing w:line="240" w:lineRule="auto"/>
      </w:pPr>
      <w:r w:rsidRPr="004B4DFF">
        <w:rPr>
          <w:i/>
        </w:rPr>
        <w:t>ens inquantum ens</w:t>
      </w:r>
      <w:r>
        <w:tab/>
        <w:t>669</w:t>
      </w:r>
    </w:p>
    <w:p w:rsidR="00E911ED" w:rsidRDefault="00E911ED" w:rsidP="00E911ED">
      <w:pPr>
        <w:pStyle w:val="Rejstk2"/>
        <w:tabs>
          <w:tab w:val="right" w:leader="dot" w:pos="4171"/>
        </w:tabs>
        <w:spacing w:line="240" w:lineRule="auto"/>
      </w:pPr>
      <w:r>
        <w:t>Gandavus</w:t>
      </w:r>
      <w:r>
        <w:tab/>
        <w:t>586</w:t>
      </w:r>
    </w:p>
    <w:p w:rsidR="00E911ED" w:rsidRDefault="00E911ED" w:rsidP="00E911ED">
      <w:pPr>
        <w:pStyle w:val="Rejstk2"/>
        <w:tabs>
          <w:tab w:val="right" w:leader="dot" w:pos="4171"/>
        </w:tabs>
        <w:spacing w:line="240" w:lineRule="auto"/>
      </w:pPr>
      <w:r>
        <w:t>objektivní</w:t>
      </w:r>
      <w:r>
        <w:tab/>
        <w:t>170, 590</w:t>
      </w:r>
    </w:p>
    <w:p w:rsidR="00E911ED" w:rsidRDefault="00E911ED" w:rsidP="00E911ED">
      <w:pPr>
        <w:pStyle w:val="Rejstk2"/>
        <w:tabs>
          <w:tab w:val="right" w:leader="dot" w:pos="4171"/>
        </w:tabs>
        <w:spacing w:line="240" w:lineRule="auto"/>
      </w:pPr>
      <w:r>
        <w:t>Ockham</w:t>
      </w:r>
      <w:r>
        <w:tab/>
        <w:t>774, 788</w:t>
      </w:r>
    </w:p>
    <w:p w:rsidR="00E911ED" w:rsidRDefault="00E911ED" w:rsidP="00E911ED">
      <w:pPr>
        <w:pStyle w:val="Rejstk2"/>
        <w:tabs>
          <w:tab w:val="right" w:leader="dot" w:pos="4171"/>
        </w:tabs>
        <w:spacing w:line="240" w:lineRule="auto"/>
      </w:pPr>
      <w:r>
        <w:t>první averroismus</w:t>
      </w:r>
      <w:r>
        <w:tab/>
        <w:t>30</w:t>
      </w:r>
    </w:p>
    <w:p w:rsidR="00E911ED" w:rsidRDefault="00E911ED" w:rsidP="00E911ED">
      <w:pPr>
        <w:pStyle w:val="Rejstk2"/>
        <w:tabs>
          <w:tab w:val="right" w:leader="dot" w:pos="4171"/>
        </w:tabs>
        <w:spacing w:line="240" w:lineRule="auto"/>
      </w:pPr>
      <w:r>
        <w:t>Scotus</w:t>
      </w:r>
      <w:r>
        <w:tab/>
        <w:t>662, 693</w:t>
      </w:r>
    </w:p>
    <w:p w:rsidR="00E911ED" w:rsidRDefault="00E911ED" w:rsidP="00E911ED">
      <w:pPr>
        <w:pStyle w:val="Rejstk2"/>
        <w:tabs>
          <w:tab w:val="right" w:leader="dot" w:pos="4171"/>
        </w:tabs>
        <w:spacing w:line="240" w:lineRule="auto"/>
      </w:pPr>
      <w:r w:rsidRPr="004B4DFF">
        <w:rPr>
          <w:i/>
        </w:rPr>
        <w:t>secunda intentio</w:t>
      </w:r>
      <w:r>
        <w:tab/>
        <w:t>788, 790</w:t>
      </w:r>
    </w:p>
    <w:p w:rsidR="00E911ED" w:rsidRDefault="00E911ED" w:rsidP="00E911ED">
      <w:pPr>
        <w:pStyle w:val="Rejstk1"/>
        <w:tabs>
          <w:tab w:val="right" w:leader="dot" w:pos="4171"/>
        </w:tabs>
        <w:spacing w:line="240" w:lineRule="auto"/>
      </w:pPr>
      <w:r w:rsidRPr="004B4DFF">
        <w:rPr>
          <w:i/>
        </w:rPr>
        <w:t>surnaturel</w:t>
      </w:r>
      <w:r>
        <w:tab/>
        <w:t>112, 595</w:t>
      </w:r>
    </w:p>
    <w:p w:rsidR="0089249E" w:rsidRPr="00F43866" w:rsidRDefault="0089249E" w:rsidP="0089249E">
      <w:pPr>
        <w:pStyle w:val="Hlavikarejstku"/>
        <w:keepNext/>
        <w:tabs>
          <w:tab w:val="right" w:leader="dot" w:pos="4171"/>
        </w:tabs>
        <w:spacing w:line="240" w:lineRule="auto"/>
        <w:rPr>
          <w:rFonts w:eastAsia="Times New Roman"/>
          <w:b w:val="0"/>
          <w:bCs w:val="0"/>
          <w:lang w:val="de-LU"/>
        </w:rPr>
      </w:pPr>
      <w:r>
        <w:rPr>
          <w:lang w:val="de-LU"/>
        </w:rPr>
        <w:t>T</w:t>
      </w:r>
    </w:p>
    <w:p w:rsidR="00A062F9" w:rsidRDefault="00A062F9" w:rsidP="00E911ED">
      <w:pPr>
        <w:pStyle w:val="Rejstk1"/>
        <w:tabs>
          <w:tab w:val="right" w:leader="dot" w:pos="4171"/>
        </w:tabs>
        <w:spacing w:line="240" w:lineRule="auto"/>
        <w:rPr>
          <w:i/>
        </w:rPr>
      </w:pPr>
      <w:r>
        <w:t>τό τί ἦν εἶναι</w:t>
      </w:r>
      <w:r>
        <w:tab/>
        <w:t>1, 335, 938</w:t>
      </w:r>
    </w:p>
    <w:p w:rsidR="00E911ED" w:rsidRDefault="00E911ED" w:rsidP="00E911ED">
      <w:pPr>
        <w:pStyle w:val="Rejstk1"/>
        <w:tabs>
          <w:tab w:val="right" w:leader="dot" w:pos="4171"/>
        </w:tabs>
        <w:spacing w:line="240" w:lineRule="auto"/>
      </w:pPr>
      <w:r w:rsidRPr="004B4DFF">
        <w:rPr>
          <w:i/>
        </w:rPr>
        <w:t>tabula nuda</w:t>
      </w:r>
      <w:r>
        <w:tab/>
        <w:t>31</w:t>
      </w:r>
    </w:p>
    <w:p w:rsidR="00E911ED" w:rsidRDefault="00E911ED" w:rsidP="00E911ED">
      <w:pPr>
        <w:pStyle w:val="Rejstk1"/>
        <w:tabs>
          <w:tab w:val="right" w:leader="dot" w:pos="4171"/>
        </w:tabs>
        <w:spacing w:line="240" w:lineRule="auto"/>
      </w:pPr>
      <w:r w:rsidRPr="004B4DFF">
        <w:rPr>
          <w:i/>
        </w:rPr>
        <w:t>tabula rasa</w:t>
      </w:r>
      <w:r>
        <w:tab/>
        <w:t>29, 79, 139, 152, 163, 186, 190, 204, 207, 208, 231, 234, 279, 289, 292, 293, 296, 334, 396, 403, 410, 448, 514, 527, 540, 576, 585, 600, 674, 677, 760, 779, 783, 785, 786, 834, 872</w:t>
      </w:r>
    </w:p>
    <w:p w:rsidR="00E911ED" w:rsidRDefault="00E911ED" w:rsidP="00E911ED">
      <w:pPr>
        <w:pStyle w:val="Rejstk1"/>
        <w:tabs>
          <w:tab w:val="right" w:leader="dot" w:pos="4171"/>
        </w:tabs>
        <w:spacing w:line="240" w:lineRule="auto"/>
      </w:pPr>
      <w:r w:rsidRPr="004B4DFF">
        <w:rPr>
          <w:i/>
        </w:rPr>
        <w:t>tantum esse</w:t>
      </w:r>
      <w:r>
        <w:tab/>
        <w:t>669</w:t>
      </w:r>
    </w:p>
    <w:p w:rsidR="00E911ED" w:rsidRDefault="00E911ED" w:rsidP="00E911ED">
      <w:pPr>
        <w:pStyle w:val="Rejstk1"/>
        <w:tabs>
          <w:tab w:val="right" w:leader="dot" w:pos="4171"/>
        </w:tabs>
        <w:spacing w:line="240" w:lineRule="auto"/>
      </w:pPr>
      <w:r>
        <w:t>technologie</w:t>
      </w:r>
      <w:r>
        <w:tab/>
        <w:t>116, 117</w:t>
      </w:r>
    </w:p>
    <w:p w:rsidR="00E911ED" w:rsidRDefault="00E911ED" w:rsidP="00E911ED">
      <w:pPr>
        <w:pStyle w:val="Rejstk1"/>
        <w:tabs>
          <w:tab w:val="right" w:leader="dot" w:pos="4171"/>
        </w:tabs>
        <w:spacing w:line="240" w:lineRule="auto"/>
      </w:pPr>
      <w:r>
        <w:t>Teirésiás</w:t>
      </w:r>
      <w:r>
        <w:tab/>
        <w:t>940</w:t>
      </w:r>
    </w:p>
    <w:p w:rsidR="00E911ED" w:rsidRDefault="00E911ED" w:rsidP="0089249E">
      <w:pPr>
        <w:pStyle w:val="Rejstk1"/>
        <w:tabs>
          <w:tab w:val="right" w:leader="dot" w:pos="4171"/>
        </w:tabs>
        <w:spacing w:line="240" w:lineRule="auto"/>
      </w:pPr>
      <w:r>
        <w:t>těleso</w:t>
      </w:r>
      <w:r w:rsidR="0089249E">
        <w:t xml:space="preserve">, </w:t>
      </w:r>
      <w:r w:rsidRPr="004B4DFF">
        <w:rPr>
          <w:i/>
        </w:rPr>
        <w:t>concretum</w:t>
      </w:r>
      <w:r>
        <w:tab/>
        <w:t>10</w:t>
      </w:r>
    </w:p>
    <w:p w:rsidR="00E911ED" w:rsidRDefault="00E911ED" w:rsidP="00E911ED">
      <w:pPr>
        <w:pStyle w:val="Rejstk1"/>
        <w:tabs>
          <w:tab w:val="right" w:leader="dot" w:pos="4171"/>
        </w:tabs>
        <w:spacing w:line="240" w:lineRule="auto"/>
      </w:pPr>
      <w:r w:rsidRPr="004B4DFF">
        <w:rPr>
          <w:iCs/>
        </w:rPr>
        <w:t>teodicea</w:t>
      </w:r>
      <w:r>
        <w:tab/>
        <w:t>633, 741</w:t>
      </w:r>
    </w:p>
    <w:p w:rsidR="00E911ED" w:rsidRDefault="00E911ED" w:rsidP="00E911ED">
      <w:pPr>
        <w:pStyle w:val="Rejstk1"/>
        <w:tabs>
          <w:tab w:val="right" w:leader="dot" w:pos="4171"/>
        </w:tabs>
        <w:spacing w:line="240" w:lineRule="auto"/>
      </w:pPr>
      <w:r>
        <w:t>teorie dvojí pravdy</w:t>
      </w:r>
      <w:r>
        <w:tab/>
        <w:t>19, 28, 58, 90, 92, 95, 111, 132, 161, 251, 255, 256, 311, 346, 356, 431, 441, 471, 478, 481, 570, 596, 645, 811, 851</w:t>
      </w:r>
    </w:p>
    <w:p w:rsidR="00E911ED" w:rsidRDefault="00E911ED" w:rsidP="00E911ED">
      <w:pPr>
        <w:pStyle w:val="Rejstk1"/>
        <w:tabs>
          <w:tab w:val="right" w:leader="dot" w:pos="4171"/>
        </w:tabs>
        <w:spacing w:line="240" w:lineRule="auto"/>
      </w:pPr>
      <w:r w:rsidRPr="004B4DFF">
        <w:rPr>
          <w:i/>
          <w:color w:val="000000"/>
        </w:rPr>
        <w:t>terminus</w:t>
      </w:r>
      <w:r>
        <w:tab/>
        <w:t>761</w:t>
      </w:r>
    </w:p>
    <w:p w:rsidR="00E911ED" w:rsidRDefault="00E911ED" w:rsidP="00E911ED">
      <w:pPr>
        <w:pStyle w:val="Rejstk1"/>
        <w:tabs>
          <w:tab w:val="right" w:leader="dot" w:pos="4171"/>
        </w:tabs>
        <w:spacing w:line="240" w:lineRule="auto"/>
      </w:pPr>
      <w:r w:rsidRPr="004B4DFF">
        <w:rPr>
          <w:i/>
        </w:rPr>
        <w:t>tertium ens</w:t>
      </w:r>
      <w:r>
        <w:tab/>
        <w:t>404</w:t>
      </w:r>
    </w:p>
    <w:p w:rsidR="00E911ED" w:rsidRDefault="00E911ED" w:rsidP="00E911ED">
      <w:pPr>
        <w:pStyle w:val="Rejstk2"/>
        <w:tabs>
          <w:tab w:val="right" w:leader="dot" w:pos="4171"/>
        </w:tabs>
        <w:spacing w:line="240" w:lineRule="auto"/>
      </w:pPr>
      <w:r>
        <w:t>dobro</w:t>
      </w:r>
      <w:r>
        <w:tab/>
        <w:t>864</w:t>
      </w:r>
    </w:p>
    <w:p w:rsidR="00E911ED" w:rsidRDefault="00E911ED" w:rsidP="00E911ED">
      <w:pPr>
        <w:pStyle w:val="Rejstk2"/>
        <w:tabs>
          <w:tab w:val="right" w:leader="dot" w:pos="4171"/>
        </w:tabs>
        <w:spacing w:line="240" w:lineRule="auto"/>
      </w:pPr>
      <w:r>
        <w:t>Gandavus</w:t>
      </w:r>
      <w:r>
        <w:tab/>
        <w:t>592, 604</w:t>
      </w:r>
    </w:p>
    <w:p w:rsidR="00E911ED" w:rsidRDefault="00E911ED" w:rsidP="00E911ED">
      <w:pPr>
        <w:pStyle w:val="Rejstk2"/>
        <w:tabs>
          <w:tab w:val="right" w:leader="dot" w:pos="4171"/>
        </w:tabs>
        <w:spacing w:line="240" w:lineRule="auto"/>
      </w:pPr>
      <w:r>
        <w:t>intelekt</w:t>
      </w:r>
      <w:r>
        <w:tab/>
        <w:t>282</w:t>
      </w:r>
    </w:p>
    <w:p w:rsidR="00E911ED" w:rsidRDefault="00E911ED" w:rsidP="00E911ED">
      <w:pPr>
        <w:pStyle w:val="Rejstk2"/>
        <w:tabs>
          <w:tab w:val="right" w:leader="dot" w:pos="4171"/>
        </w:tabs>
        <w:spacing w:line="240" w:lineRule="auto"/>
      </w:pPr>
      <w:r>
        <w:t>kapitál</w:t>
      </w:r>
      <w:r>
        <w:tab/>
        <w:t>128</w:t>
      </w:r>
    </w:p>
    <w:p w:rsidR="00E911ED" w:rsidRDefault="00E911ED" w:rsidP="00E911ED">
      <w:pPr>
        <w:pStyle w:val="Rejstk2"/>
        <w:tabs>
          <w:tab w:val="right" w:leader="dot" w:pos="4171"/>
        </w:tabs>
        <w:spacing w:line="240" w:lineRule="auto"/>
      </w:pPr>
      <w:r>
        <w:t>kritika Akvinského</w:t>
      </w:r>
      <w:r>
        <w:tab/>
        <w:t>399</w:t>
      </w:r>
    </w:p>
    <w:p w:rsidR="00E911ED" w:rsidRDefault="00E911ED" w:rsidP="00E911ED">
      <w:pPr>
        <w:pStyle w:val="Rejstk2"/>
        <w:tabs>
          <w:tab w:val="right" w:leader="dot" w:pos="4171"/>
        </w:tabs>
        <w:spacing w:line="240" w:lineRule="auto"/>
      </w:pPr>
      <w:r>
        <w:t>kritika Ockhama</w:t>
      </w:r>
      <w:r>
        <w:tab/>
        <w:t>770, 776, 795</w:t>
      </w:r>
    </w:p>
    <w:p w:rsidR="00E911ED" w:rsidRDefault="00E911ED" w:rsidP="00E911ED">
      <w:pPr>
        <w:pStyle w:val="Rejstk2"/>
        <w:tabs>
          <w:tab w:val="right" w:leader="dot" w:pos="4171"/>
        </w:tabs>
        <w:spacing w:line="240" w:lineRule="auto"/>
      </w:pPr>
      <w:r>
        <w:t>kritika Scota</w:t>
      </w:r>
      <w:r>
        <w:tab/>
        <w:t>667, 739</w:t>
      </w:r>
    </w:p>
    <w:p w:rsidR="00E911ED" w:rsidRDefault="00E911ED" w:rsidP="00E911ED">
      <w:pPr>
        <w:pStyle w:val="Rejstk2"/>
        <w:tabs>
          <w:tab w:val="right" w:leader="dot" w:pos="4171"/>
        </w:tabs>
        <w:spacing w:line="240" w:lineRule="auto"/>
      </w:pPr>
      <w:r>
        <w:t>materie</w:t>
      </w:r>
      <w:r>
        <w:tab/>
        <w:t>169</w:t>
      </w:r>
    </w:p>
    <w:p w:rsidR="00E911ED" w:rsidRDefault="00E911ED" w:rsidP="00E911ED">
      <w:pPr>
        <w:pStyle w:val="Rejstk2"/>
        <w:tabs>
          <w:tab w:val="right" w:leader="dot" w:pos="4171"/>
        </w:tabs>
        <w:spacing w:line="240" w:lineRule="auto"/>
      </w:pPr>
      <w:r>
        <w:t>moderna</w:t>
      </w:r>
      <w:r>
        <w:tab/>
        <w:t>800</w:t>
      </w:r>
    </w:p>
    <w:p w:rsidR="00E911ED" w:rsidRDefault="00E911ED" w:rsidP="00E911ED">
      <w:pPr>
        <w:pStyle w:val="Rejstk2"/>
        <w:tabs>
          <w:tab w:val="right" w:leader="dot" w:pos="4171"/>
        </w:tabs>
        <w:spacing w:line="240" w:lineRule="auto"/>
      </w:pPr>
      <w:r>
        <w:t>objektivní</w:t>
      </w:r>
      <w:r>
        <w:tab/>
        <w:t>602</w:t>
      </w:r>
    </w:p>
    <w:p w:rsidR="00E911ED" w:rsidRDefault="00E911ED" w:rsidP="00E911ED">
      <w:pPr>
        <w:pStyle w:val="Rejstk2"/>
        <w:tabs>
          <w:tab w:val="right" w:leader="dot" w:pos="4171"/>
        </w:tabs>
        <w:spacing w:line="240" w:lineRule="auto"/>
      </w:pPr>
      <w:r>
        <w:t>porretáni</w:t>
      </w:r>
      <w:r>
        <w:tab/>
        <w:t>745</w:t>
      </w:r>
    </w:p>
    <w:p w:rsidR="00E911ED" w:rsidRDefault="00E911ED" w:rsidP="00E911ED">
      <w:pPr>
        <w:pStyle w:val="Rejstk2"/>
        <w:tabs>
          <w:tab w:val="right" w:leader="dot" w:pos="4171"/>
        </w:tabs>
        <w:spacing w:line="240" w:lineRule="auto"/>
      </w:pPr>
      <w:r>
        <w:t>Scotus</w:t>
      </w:r>
      <w:r>
        <w:tab/>
        <w:t>662</w:t>
      </w:r>
    </w:p>
    <w:p w:rsidR="00E911ED" w:rsidRDefault="00E911ED" w:rsidP="00E911ED">
      <w:pPr>
        <w:pStyle w:val="Rejstk2"/>
        <w:tabs>
          <w:tab w:val="right" w:leader="dot" w:pos="4171"/>
        </w:tabs>
        <w:spacing w:line="240" w:lineRule="auto"/>
      </w:pPr>
      <w:r>
        <w:t>Simplikius</w:t>
      </w:r>
      <w:r>
        <w:tab/>
        <w:t>575</w:t>
      </w:r>
    </w:p>
    <w:p w:rsidR="00E911ED" w:rsidRDefault="00E911ED" w:rsidP="00E911ED">
      <w:pPr>
        <w:pStyle w:val="Rejstk2"/>
        <w:tabs>
          <w:tab w:val="right" w:leader="dot" w:pos="4171"/>
        </w:tabs>
        <w:spacing w:line="240" w:lineRule="auto"/>
      </w:pPr>
      <w:r>
        <w:t>vůle</w:t>
      </w:r>
      <w:r>
        <w:tab/>
        <w:t>512, 560</w:t>
      </w:r>
    </w:p>
    <w:p w:rsidR="00E911ED" w:rsidRDefault="00E911ED" w:rsidP="00E911ED">
      <w:pPr>
        <w:pStyle w:val="Rejstk1"/>
        <w:tabs>
          <w:tab w:val="right" w:leader="dot" w:pos="4171"/>
        </w:tabs>
        <w:spacing w:line="240" w:lineRule="auto"/>
      </w:pPr>
      <w:r w:rsidRPr="004B4DFF">
        <w:rPr>
          <w:i/>
        </w:rPr>
        <w:t>tertium genus</w:t>
      </w:r>
      <w:r>
        <w:tab/>
        <w:t>69, 168, 265, 274, 286, 300, 304, 330, 341, 342, 353, 359, 404, 421, 438, 440, 445, 452, 461, 493, 531, 535, 578, 601, 772, 782, 784, 854, 875, 898, 920</w:t>
      </w:r>
    </w:p>
    <w:p w:rsidR="00E911ED" w:rsidRDefault="00E911ED" w:rsidP="00E911ED">
      <w:pPr>
        <w:pStyle w:val="Rejstk1"/>
        <w:tabs>
          <w:tab w:val="right" w:leader="dot" w:pos="4171"/>
        </w:tabs>
        <w:spacing w:line="240" w:lineRule="auto"/>
      </w:pPr>
      <w:r>
        <w:t>Themistius</w:t>
      </w:r>
      <w:r w:rsidR="00764219">
        <w:t xml:space="preserve">, viz </w:t>
      </w:r>
      <w:r w:rsidR="00764219" w:rsidRPr="00764219">
        <w:rPr>
          <w:i/>
        </w:rPr>
        <w:t>Index locorum</w:t>
      </w:r>
      <w:r>
        <w:tab/>
        <w:t>78, 142, 183, 202, 289, 341, 353, 354, 419, 434</w:t>
      </w:r>
    </w:p>
    <w:p w:rsidR="00E911ED" w:rsidRDefault="00E911ED" w:rsidP="00E911ED">
      <w:pPr>
        <w:pStyle w:val="Rejstk1"/>
        <w:tabs>
          <w:tab w:val="right" w:leader="dot" w:pos="4171"/>
        </w:tabs>
        <w:spacing w:line="240" w:lineRule="auto"/>
      </w:pPr>
      <w:r>
        <w:t>theurgie</w:t>
      </w:r>
      <w:r>
        <w:tab/>
        <w:t>114, 133, 706</w:t>
      </w:r>
    </w:p>
    <w:p w:rsidR="00E911ED" w:rsidRDefault="00E911ED" w:rsidP="00E911ED">
      <w:pPr>
        <w:pStyle w:val="Rejstk1"/>
        <w:tabs>
          <w:tab w:val="right" w:leader="dot" w:pos="4171"/>
        </w:tabs>
        <w:spacing w:line="240" w:lineRule="auto"/>
      </w:pPr>
      <w:r w:rsidRPr="004B4DFF">
        <w:rPr>
          <w:i/>
        </w:rPr>
        <w:t>Thought Experiments</w:t>
      </w:r>
      <w:r>
        <w:tab/>
        <w:t>492</w:t>
      </w:r>
    </w:p>
    <w:p w:rsidR="00E911ED" w:rsidRDefault="00E911ED" w:rsidP="00E911ED">
      <w:pPr>
        <w:pStyle w:val="Rejstk1"/>
        <w:tabs>
          <w:tab w:val="right" w:leader="dot" w:pos="4171"/>
        </w:tabs>
        <w:spacing w:line="240" w:lineRule="auto"/>
      </w:pPr>
      <w:r>
        <w:t>Tithonos</w:t>
      </w:r>
      <w:r>
        <w:tab/>
        <w:t>619</w:t>
      </w:r>
    </w:p>
    <w:p w:rsidR="00E911ED" w:rsidRDefault="00E911ED" w:rsidP="00E911ED">
      <w:pPr>
        <w:pStyle w:val="Rejstk1"/>
        <w:tabs>
          <w:tab w:val="right" w:leader="dot" w:pos="4171"/>
        </w:tabs>
        <w:spacing w:line="240" w:lineRule="auto"/>
      </w:pPr>
      <w:r>
        <w:t>Tocqueville, A.</w:t>
      </w:r>
      <w:r>
        <w:tab/>
        <w:t>923</w:t>
      </w:r>
    </w:p>
    <w:p w:rsidR="00E911ED" w:rsidRDefault="00E911ED" w:rsidP="00E911ED">
      <w:pPr>
        <w:pStyle w:val="Rejstk1"/>
        <w:tabs>
          <w:tab w:val="right" w:leader="dot" w:pos="4171"/>
        </w:tabs>
        <w:spacing w:line="240" w:lineRule="auto"/>
      </w:pPr>
      <w:r>
        <w:t>Toledská škola</w:t>
      </w:r>
      <w:r>
        <w:tab/>
        <w:t>10, 22, 26, 35, 60, 77, 110, 181, 197, 212, 213, 218, 264, 329, 356, 365, 374, 393, 396, 416, 446, 485, 612, 721, 766, 855, 868, 872</w:t>
      </w:r>
    </w:p>
    <w:p w:rsidR="00E911ED" w:rsidRDefault="00E911ED" w:rsidP="00E911ED">
      <w:pPr>
        <w:pStyle w:val="Rejstk1"/>
        <w:tabs>
          <w:tab w:val="right" w:leader="dot" w:pos="4171"/>
        </w:tabs>
        <w:spacing w:line="240" w:lineRule="auto"/>
      </w:pPr>
      <w:r>
        <w:t>Tolomeo da Lucca</w:t>
      </w:r>
      <w:r>
        <w:tab/>
        <w:t>900</w:t>
      </w:r>
    </w:p>
    <w:p w:rsidR="00E911ED" w:rsidRDefault="00E911ED" w:rsidP="00E911ED">
      <w:pPr>
        <w:pStyle w:val="Rejstk1"/>
        <w:tabs>
          <w:tab w:val="right" w:leader="dot" w:pos="4171"/>
        </w:tabs>
        <w:spacing w:line="240" w:lineRule="auto"/>
      </w:pPr>
      <w:r>
        <w:t>tomismus</w:t>
      </w:r>
      <w:r>
        <w:tab/>
        <w:t>81, 363, 372, 383, 425, 426, 430, 470, 476, 479, 784</w:t>
      </w:r>
    </w:p>
    <w:p w:rsidR="00E911ED" w:rsidRDefault="00E911ED" w:rsidP="00E911ED">
      <w:pPr>
        <w:pStyle w:val="Rejstk1"/>
        <w:tabs>
          <w:tab w:val="right" w:leader="dot" w:pos="4171"/>
        </w:tabs>
        <w:spacing w:line="240" w:lineRule="auto"/>
      </w:pPr>
      <w:r w:rsidRPr="004B4DFF">
        <w:rPr>
          <w:bCs/>
        </w:rPr>
        <w:t>totalitarismus</w:t>
      </w:r>
      <w:r>
        <w:tab/>
        <w:t>129, 148, 364, 504, 640, 839, 950</w:t>
      </w:r>
    </w:p>
    <w:p w:rsidR="00E911ED" w:rsidRDefault="00E911ED" w:rsidP="00E911ED">
      <w:pPr>
        <w:pStyle w:val="Rejstk1"/>
        <w:tabs>
          <w:tab w:val="right" w:leader="dot" w:pos="4171"/>
        </w:tabs>
        <w:spacing w:line="240" w:lineRule="auto"/>
      </w:pPr>
      <w:r w:rsidRPr="004B4DFF">
        <w:rPr>
          <w:i/>
        </w:rPr>
        <w:t>totum integrum</w:t>
      </w:r>
      <w:r>
        <w:tab/>
        <w:t>146</w:t>
      </w:r>
    </w:p>
    <w:p w:rsidR="00E911ED" w:rsidRDefault="00E911ED" w:rsidP="00E911ED">
      <w:pPr>
        <w:pStyle w:val="Rejstk1"/>
        <w:tabs>
          <w:tab w:val="right" w:leader="dot" w:pos="4171"/>
        </w:tabs>
        <w:spacing w:line="240" w:lineRule="auto"/>
      </w:pPr>
      <w:r w:rsidRPr="004B4DFF">
        <w:rPr>
          <w:i/>
        </w:rPr>
        <w:t>totum universale</w:t>
      </w:r>
      <w:r>
        <w:tab/>
        <w:t>145, 146, 170</w:t>
      </w:r>
    </w:p>
    <w:p w:rsidR="00E911ED" w:rsidRDefault="00E911ED" w:rsidP="00E911ED">
      <w:pPr>
        <w:pStyle w:val="Rejstk1"/>
        <w:tabs>
          <w:tab w:val="right" w:leader="dot" w:pos="4171"/>
        </w:tabs>
        <w:spacing w:line="240" w:lineRule="auto"/>
      </w:pPr>
      <w:r w:rsidRPr="004B4DFF">
        <w:rPr>
          <w:i/>
        </w:rPr>
        <w:t>translatio studiorum</w:t>
      </w:r>
      <w:r>
        <w:tab/>
        <w:t>15, 767</w:t>
      </w:r>
    </w:p>
    <w:p w:rsidR="00E911ED" w:rsidRDefault="00E911ED" w:rsidP="00E911ED">
      <w:pPr>
        <w:pStyle w:val="Rejstk1"/>
        <w:tabs>
          <w:tab w:val="right" w:leader="dot" w:pos="4171"/>
        </w:tabs>
        <w:spacing w:line="240" w:lineRule="auto"/>
      </w:pPr>
      <w:r>
        <w:t>triteismus</w:t>
      </w:r>
      <w:r>
        <w:tab/>
        <w:t>401, 492</w:t>
      </w:r>
    </w:p>
    <w:p w:rsidR="00E911ED" w:rsidRDefault="00E911ED" w:rsidP="00E911ED">
      <w:pPr>
        <w:pStyle w:val="Rejstk1"/>
        <w:tabs>
          <w:tab w:val="right" w:leader="dot" w:pos="4171"/>
        </w:tabs>
        <w:spacing w:line="240" w:lineRule="auto"/>
      </w:pPr>
      <w:r>
        <w:t>třetí svět</w:t>
      </w:r>
      <w:r>
        <w:tab/>
        <w:t>747, 948</w:t>
      </w:r>
    </w:p>
    <w:p w:rsidR="00E911ED" w:rsidRDefault="00E911ED" w:rsidP="00E911ED">
      <w:pPr>
        <w:pStyle w:val="Rejstk1"/>
        <w:tabs>
          <w:tab w:val="right" w:leader="dot" w:pos="4171"/>
        </w:tabs>
        <w:spacing w:line="240" w:lineRule="auto"/>
      </w:pPr>
      <w:r>
        <w:t>Tzara, T.</w:t>
      </w:r>
      <w:r>
        <w:tab/>
        <w:t>940</w:t>
      </w:r>
    </w:p>
    <w:p w:rsidR="00E911ED" w:rsidRDefault="00E911ED" w:rsidP="00E911ED">
      <w:pPr>
        <w:pStyle w:val="Rejstk1"/>
        <w:tabs>
          <w:tab w:val="right" w:leader="dot" w:pos="4171"/>
        </w:tabs>
        <w:spacing w:line="240" w:lineRule="auto"/>
      </w:pPr>
      <w:r w:rsidRPr="004B4DFF">
        <w:rPr>
          <w:i/>
        </w:rPr>
        <w:t>Unam Sanctam</w:t>
      </w:r>
      <w:r>
        <w:tab/>
        <w:t>610, 849, 851, 854, 863, 886, 900, 924, 925, 928</w:t>
      </w:r>
    </w:p>
    <w:p w:rsidR="00E911ED" w:rsidRDefault="00E911ED" w:rsidP="00E911ED">
      <w:pPr>
        <w:pStyle w:val="Rejstk1"/>
        <w:tabs>
          <w:tab w:val="right" w:leader="dot" w:pos="4171"/>
        </w:tabs>
        <w:spacing w:line="240" w:lineRule="auto"/>
      </w:pPr>
      <w:r w:rsidRPr="004B4DFF">
        <w:rPr>
          <w:i/>
        </w:rPr>
        <w:t>Unified Science</w:t>
      </w:r>
      <w:r>
        <w:tab/>
        <w:t>95, 196, 311, 441, 481, 592, 609, 766</w:t>
      </w:r>
    </w:p>
    <w:p w:rsidR="00E911ED" w:rsidRDefault="00E911ED" w:rsidP="00E911ED">
      <w:pPr>
        <w:pStyle w:val="Rejstk1"/>
        <w:tabs>
          <w:tab w:val="right" w:leader="dot" w:pos="4171"/>
        </w:tabs>
        <w:spacing w:line="240" w:lineRule="auto"/>
      </w:pPr>
      <w:r w:rsidRPr="004B4DFF">
        <w:rPr>
          <w:i/>
        </w:rPr>
        <w:t>universitas humana</w:t>
      </w:r>
      <w:r>
        <w:tab/>
        <w:t>285, 306, 308, 362, 438, 442, 485, 493, 850, 898, 925</w:t>
      </w:r>
    </w:p>
    <w:p w:rsidR="00E911ED" w:rsidRDefault="00E911ED" w:rsidP="00E911ED">
      <w:pPr>
        <w:pStyle w:val="Rejstk1"/>
        <w:tabs>
          <w:tab w:val="right" w:leader="dot" w:pos="4171"/>
        </w:tabs>
        <w:spacing w:line="240" w:lineRule="auto"/>
      </w:pPr>
      <w:r>
        <w:t>univerzální hylemorfismus</w:t>
      </w:r>
      <w:r>
        <w:tab/>
        <w:t>20, 40, 67, 74, 77, 103, 115, 135, 141, 170, 183, 196, 221, 225, 226, 228, 230, 280, 314, 315, 395, 433, 447, 461, 516, 521, 531, 791, 867</w:t>
      </w:r>
    </w:p>
    <w:p w:rsidR="00E911ED" w:rsidRDefault="00E911ED" w:rsidP="00E911ED">
      <w:pPr>
        <w:pStyle w:val="Rejstk1"/>
        <w:tabs>
          <w:tab w:val="right" w:leader="dot" w:pos="4171"/>
        </w:tabs>
        <w:spacing w:line="240" w:lineRule="auto"/>
      </w:pPr>
      <w:r>
        <w:t>utopie</w:t>
      </w:r>
      <w:r>
        <w:tab/>
        <w:t>488, 875</w:t>
      </w:r>
    </w:p>
    <w:p w:rsidR="004F3159" w:rsidRPr="00F43866" w:rsidRDefault="004F3159" w:rsidP="004F3159">
      <w:pPr>
        <w:pStyle w:val="Hlavikarejstku"/>
        <w:keepNext/>
        <w:tabs>
          <w:tab w:val="right" w:leader="dot" w:pos="4171"/>
        </w:tabs>
        <w:spacing w:line="240" w:lineRule="auto"/>
        <w:rPr>
          <w:rFonts w:eastAsia="Times New Roman"/>
          <w:b w:val="0"/>
          <w:bCs w:val="0"/>
          <w:lang w:val="de-LU"/>
        </w:rPr>
      </w:pPr>
      <w:r>
        <w:rPr>
          <w:lang w:val="de-LU"/>
        </w:rPr>
        <w:t>V, W</w:t>
      </w:r>
      <w:r w:rsidR="001363A6">
        <w:rPr>
          <w:lang w:val="de-LU"/>
        </w:rPr>
        <w:t>, Z</w:t>
      </w:r>
    </w:p>
    <w:p w:rsidR="00E911ED" w:rsidRDefault="00E911ED" w:rsidP="00E911ED">
      <w:pPr>
        <w:pStyle w:val="Rejstk1"/>
        <w:tabs>
          <w:tab w:val="right" w:leader="dot" w:pos="4171"/>
        </w:tabs>
        <w:spacing w:line="240" w:lineRule="auto"/>
      </w:pPr>
      <w:r w:rsidRPr="004B4DFF">
        <w:rPr>
          <w:i/>
          <w:iCs/>
        </w:rPr>
        <w:t>vaticinium ex eventu</w:t>
      </w:r>
      <w:r>
        <w:tab/>
        <w:t>819</w:t>
      </w:r>
    </w:p>
    <w:p w:rsidR="00E911ED" w:rsidRDefault="00E911ED" w:rsidP="00E911ED">
      <w:pPr>
        <w:pStyle w:val="Rejstk1"/>
        <w:tabs>
          <w:tab w:val="right" w:leader="dot" w:pos="4171"/>
        </w:tabs>
        <w:spacing w:line="240" w:lineRule="auto"/>
      </w:pPr>
      <w:r>
        <w:t>věc</w:t>
      </w:r>
    </w:p>
    <w:p w:rsidR="00E911ED" w:rsidRDefault="00E911ED" w:rsidP="00E911ED">
      <w:pPr>
        <w:pStyle w:val="Rejstk2"/>
        <w:tabs>
          <w:tab w:val="right" w:leader="dot" w:pos="4171"/>
        </w:tabs>
        <w:spacing w:line="240" w:lineRule="auto"/>
      </w:pPr>
      <w:r>
        <w:t xml:space="preserve">objektivní </w:t>
      </w:r>
      <w:r w:rsidRPr="004B4DFF">
        <w:rPr>
          <w:i/>
        </w:rPr>
        <w:t>res</w:t>
      </w:r>
      <w:r>
        <w:tab/>
        <w:t>826</w:t>
      </w:r>
    </w:p>
    <w:p w:rsidR="00E911ED" w:rsidRDefault="00E911ED" w:rsidP="00E911ED">
      <w:pPr>
        <w:pStyle w:val="Rejstk2"/>
        <w:tabs>
          <w:tab w:val="right" w:leader="dot" w:pos="4171"/>
        </w:tabs>
        <w:spacing w:line="240" w:lineRule="auto"/>
      </w:pPr>
      <w:r w:rsidRPr="004B4DFF">
        <w:rPr>
          <w:i/>
        </w:rPr>
        <w:t>res a ratitudine</w:t>
      </w:r>
      <w:r>
        <w:tab/>
        <w:t>582, 586</w:t>
      </w:r>
    </w:p>
    <w:p w:rsidR="00E911ED" w:rsidRDefault="00E911ED" w:rsidP="00E911ED">
      <w:pPr>
        <w:pStyle w:val="Rejstk2"/>
        <w:tabs>
          <w:tab w:val="right" w:leader="dot" w:pos="4171"/>
        </w:tabs>
        <w:spacing w:line="240" w:lineRule="auto"/>
      </w:pPr>
      <w:r w:rsidRPr="004B4DFF">
        <w:rPr>
          <w:i/>
        </w:rPr>
        <w:t>res dicta a reor reris</w:t>
      </w:r>
      <w:r>
        <w:tab/>
        <w:t>582, 583, 648</w:t>
      </w:r>
    </w:p>
    <w:p w:rsidR="00E911ED" w:rsidRDefault="00E911ED" w:rsidP="00E911ED">
      <w:pPr>
        <w:pStyle w:val="Rejstk2"/>
        <w:tabs>
          <w:tab w:val="right" w:leader="dot" w:pos="4171"/>
        </w:tabs>
        <w:spacing w:line="240" w:lineRule="auto"/>
      </w:pPr>
      <w:r>
        <w:t>vlastnictví/majetek</w:t>
      </w:r>
      <w:r>
        <w:tab/>
        <w:t>563</w:t>
      </w:r>
    </w:p>
    <w:p w:rsidR="00E911ED" w:rsidRDefault="00E911ED" w:rsidP="00E911ED">
      <w:pPr>
        <w:pStyle w:val="Rejstk1"/>
        <w:tabs>
          <w:tab w:val="right" w:leader="dot" w:pos="4171"/>
        </w:tabs>
        <w:spacing w:line="240" w:lineRule="auto"/>
      </w:pPr>
      <w:r>
        <w:t>věčnost světa</w:t>
      </w:r>
      <w:r>
        <w:tab/>
        <w:t>92, 162, 250, 251, 255, 399, 613</w:t>
      </w:r>
    </w:p>
    <w:p w:rsidR="00E911ED" w:rsidRDefault="00E911ED" w:rsidP="00E911ED">
      <w:pPr>
        <w:pStyle w:val="Rejstk1"/>
        <w:tabs>
          <w:tab w:val="right" w:leader="dot" w:pos="4171"/>
        </w:tabs>
        <w:spacing w:line="240" w:lineRule="auto"/>
      </w:pPr>
      <w:r>
        <w:t>Vergilus</w:t>
      </w:r>
      <w:r w:rsidR="00764219">
        <w:t xml:space="preserve">, viz </w:t>
      </w:r>
      <w:r w:rsidR="00764219" w:rsidRPr="00764219">
        <w:rPr>
          <w:i/>
        </w:rPr>
        <w:t>Index locorum</w:t>
      </w:r>
    </w:p>
    <w:p w:rsidR="00E911ED" w:rsidRDefault="00E911ED" w:rsidP="00E911ED">
      <w:pPr>
        <w:pStyle w:val="Rejstk1"/>
        <w:tabs>
          <w:tab w:val="right" w:leader="dot" w:pos="4171"/>
        </w:tabs>
        <w:spacing w:line="240" w:lineRule="auto"/>
      </w:pPr>
      <w:r>
        <w:t>Verkehrung ins Gegenteil</w:t>
      </w:r>
      <w:r>
        <w:tab/>
        <w:t>7, 63, 75, 93, 97, 131, 238, 241, 312, 337, 382, 435, 451, 471, 472, 560, 610, 716, 792, 836, 842, 944</w:t>
      </w:r>
    </w:p>
    <w:p w:rsidR="00E911ED" w:rsidRDefault="00E911ED" w:rsidP="00E911ED">
      <w:pPr>
        <w:pStyle w:val="Rejstk1"/>
        <w:tabs>
          <w:tab w:val="right" w:leader="dot" w:pos="4171"/>
        </w:tabs>
        <w:spacing w:line="240" w:lineRule="auto"/>
      </w:pPr>
      <w:r w:rsidRPr="004B4DFF">
        <w:rPr>
          <w:i/>
        </w:rPr>
        <w:t>Verkehung ins Gegenteil</w:t>
      </w:r>
      <w:r>
        <w:tab/>
        <w:t>292</w:t>
      </w:r>
    </w:p>
    <w:p w:rsidR="00E911ED" w:rsidRDefault="00E911ED" w:rsidP="00E911ED">
      <w:pPr>
        <w:pStyle w:val="Rejstk1"/>
        <w:tabs>
          <w:tab w:val="right" w:leader="dot" w:pos="4171"/>
        </w:tabs>
        <w:spacing w:line="240" w:lineRule="auto"/>
      </w:pPr>
      <w:r>
        <w:t>Vernani</w:t>
      </w:r>
      <w:r w:rsidR="00764219">
        <w:t xml:space="preserve">, G. viz </w:t>
      </w:r>
      <w:r w:rsidR="00764219" w:rsidRPr="00764219">
        <w:rPr>
          <w:i/>
        </w:rPr>
        <w:t>Index locorum</w:t>
      </w:r>
    </w:p>
    <w:p w:rsidR="00E911ED" w:rsidRDefault="00E911ED" w:rsidP="00E911ED">
      <w:pPr>
        <w:pStyle w:val="Rejstk1"/>
        <w:tabs>
          <w:tab w:val="right" w:leader="dot" w:pos="4171"/>
        </w:tabs>
        <w:spacing w:line="240" w:lineRule="auto"/>
      </w:pPr>
      <w:r w:rsidRPr="004B4DFF">
        <w:rPr>
          <w:i/>
        </w:rPr>
        <w:t>vestigium</w:t>
      </w:r>
      <w:r>
        <w:tab/>
        <w:t xml:space="preserve">115, 671, 715, 719, 736, 744, 756, 758, 759, </w:t>
      </w:r>
      <w:r w:rsidR="00764219">
        <w:t xml:space="preserve">828, </w:t>
      </w:r>
      <w:r>
        <w:t>830</w:t>
      </w:r>
    </w:p>
    <w:p w:rsidR="00E911ED" w:rsidRDefault="00E911ED" w:rsidP="00E911ED">
      <w:pPr>
        <w:pStyle w:val="Rejstk1"/>
        <w:tabs>
          <w:tab w:val="right" w:leader="dot" w:pos="4171"/>
        </w:tabs>
        <w:spacing w:line="240" w:lineRule="auto"/>
      </w:pPr>
      <w:r w:rsidRPr="004B4DFF">
        <w:rPr>
          <w:i/>
        </w:rPr>
        <w:t>via Modernorum</w:t>
      </w:r>
      <w:r>
        <w:tab/>
        <w:t>17, 47, 60, 90, 113, 145, 162, 176, 239, 261, 267, 415, 462, 485, 488, 496, 636, 644, 671, 747, 769, 779, 812, 826, 836, 846, 933, 941</w:t>
      </w:r>
    </w:p>
    <w:p w:rsidR="00E911ED" w:rsidRDefault="00E911ED" w:rsidP="00E911ED">
      <w:pPr>
        <w:pStyle w:val="Rejstk1"/>
        <w:tabs>
          <w:tab w:val="right" w:leader="dot" w:pos="4171"/>
        </w:tabs>
        <w:spacing w:line="240" w:lineRule="auto"/>
      </w:pPr>
      <w:r>
        <w:t>Vico, G.</w:t>
      </w:r>
      <w:r>
        <w:tab/>
        <w:t>716</w:t>
      </w:r>
    </w:p>
    <w:p w:rsidR="00E911ED" w:rsidRDefault="00E911ED" w:rsidP="00E911ED">
      <w:pPr>
        <w:pStyle w:val="Rejstk1"/>
        <w:tabs>
          <w:tab w:val="right" w:leader="dot" w:pos="4171"/>
        </w:tabs>
        <w:spacing w:line="240" w:lineRule="auto"/>
      </w:pPr>
      <w:r>
        <w:t>vidění</w:t>
      </w:r>
    </w:p>
    <w:p w:rsidR="00E911ED" w:rsidRDefault="00E911ED" w:rsidP="00E911ED">
      <w:pPr>
        <w:pStyle w:val="Rejstk2"/>
        <w:tabs>
          <w:tab w:val="right" w:leader="dot" w:pos="4171"/>
        </w:tabs>
        <w:spacing w:line="240" w:lineRule="auto"/>
      </w:pPr>
      <w:r w:rsidRPr="004B4DFF">
        <w:rPr>
          <w:i/>
        </w:rPr>
        <w:t>ad modum universalis</w:t>
      </w:r>
      <w:r>
        <w:tab/>
        <w:t>372</w:t>
      </w:r>
    </w:p>
    <w:p w:rsidR="00E911ED" w:rsidRDefault="00E911ED" w:rsidP="00E911ED">
      <w:pPr>
        <w:pStyle w:val="Rejstk2"/>
        <w:tabs>
          <w:tab w:val="right" w:leader="dot" w:pos="4171"/>
        </w:tabs>
        <w:spacing w:line="240" w:lineRule="auto"/>
      </w:pPr>
      <w:r>
        <w:t>eidetické</w:t>
      </w:r>
      <w:r>
        <w:tab/>
        <w:t>32, 264, 396, 600, 603, 626, 700, 808</w:t>
      </w:r>
    </w:p>
    <w:p w:rsidR="00E911ED" w:rsidRDefault="00E911ED" w:rsidP="00E911ED">
      <w:pPr>
        <w:pStyle w:val="Rejstk2"/>
        <w:tabs>
          <w:tab w:val="right" w:leader="dot" w:pos="4171"/>
        </w:tabs>
        <w:spacing w:line="240" w:lineRule="auto"/>
      </w:pPr>
      <w:r>
        <w:t>paranoické</w:t>
      </w:r>
      <w:r>
        <w:tab/>
        <w:t>152</w:t>
      </w:r>
    </w:p>
    <w:p w:rsidR="00E911ED" w:rsidRDefault="00E911ED" w:rsidP="00E911ED">
      <w:pPr>
        <w:pStyle w:val="Rejstk2"/>
        <w:tabs>
          <w:tab w:val="right" w:leader="dot" w:pos="4171"/>
        </w:tabs>
        <w:spacing w:line="240" w:lineRule="auto"/>
      </w:pPr>
      <w:r>
        <w:t>vidění/vědění</w:t>
      </w:r>
      <w:r>
        <w:tab/>
        <w:t>941</w:t>
      </w:r>
    </w:p>
    <w:p w:rsidR="00764219" w:rsidRDefault="00E911ED" w:rsidP="00E911ED">
      <w:pPr>
        <w:pStyle w:val="Rejstk1"/>
        <w:tabs>
          <w:tab w:val="right" w:leader="dot" w:pos="4171"/>
        </w:tabs>
        <w:spacing w:line="240" w:lineRule="auto"/>
      </w:pPr>
      <w:r>
        <w:t>Vincent de Beauvais</w:t>
      </w:r>
      <w:r w:rsidR="00764219">
        <w:t xml:space="preserve">, viz </w:t>
      </w:r>
      <w:r w:rsidR="00764219" w:rsidRPr="00764219">
        <w:rPr>
          <w:i/>
        </w:rPr>
        <w:t>Index locorum</w:t>
      </w:r>
    </w:p>
    <w:p w:rsidR="00E911ED" w:rsidRDefault="00E911ED" w:rsidP="00E911ED">
      <w:pPr>
        <w:pStyle w:val="Rejstk1"/>
        <w:tabs>
          <w:tab w:val="right" w:leader="dot" w:pos="4171"/>
        </w:tabs>
        <w:spacing w:line="240" w:lineRule="auto"/>
      </w:pPr>
      <w:r w:rsidRPr="004B4DFF">
        <w:rPr>
          <w:i/>
        </w:rPr>
        <w:t>vis aestimativa</w:t>
      </w:r>
      <w:r>
        <w:tab/>
        <w:t>397, 741, 864</w:t>
      </w:r>
    </w:p>
    <w:p w:rsidR="00E911ED" w:rsidRDefault="00E911ED" w:rsidP="00E911ED">
      <w:pPr>
        <w:pStyle w:val="Rejstk1"/>
        <w:tabs>
          <w:tab w:val="right" w:leader="dot" w:pos="4171"/>
        </w:tabs>
        <w:spacing w:line="240" w:lineRule="auto"/>
      </w:pPr>
      <w:r w:rsidRPr="004B4DFF">
        <w:rPr>
          <w:i/>
        </w:rPr>
        <w:t>vis coactiva</w:t>
      </w:r>
      <w:r>
        <w:tab/>
        <w:t>931</w:t>
      </w:r>
    </w:p>
    <w:p w:rsidR="00E911ED" w:rsidRDefault="00E911ED" w:rsidP="00E911ED">
      <w:pPr>
        <w:pStyle w:val="Rejstk1"/>
        <w:tabs>
          <w:tab w:val="right" w:leader="dot" w:pos="4171"/>
        </w:tabs>
        <w:spacing w:line="240" w:lineRule="auto"/>
      </w:pPr>
      <w:r>
        <w:t>Vital du Four</w:t>
      </w:r>
      <w:r w:rsidR="00764219">
        <w:t xml:space="preserve">, viz </w:t>
      </w:r>
      <w:r w:rsidR="00764219" w:rsidRPr="00764219">
        <w:rPr>
          <w:i/>
        </w:rPr>
        <w:t>Index locorum</w:t>
      </w:r>
      <w:r>
        <w:tab/>
        <w:t>506</w:t>
      </w:r>
    </w:p>
    <w:p w:rsidR="00E911ED" w:rsidRDefault="00764219" w:rsidP="00E911ED">
      <w:pPr>
        <w:pStyle w:val="Rejstk1"/>
        <w:tabs>
          <w:tab w:val="right" w:leader="dot" w:pos="4171"/>
        </w:tabs>
        <w:spacing w:line="240" w:lineRule="auto"/>
      </w:pPr>
      <w:r>
        <w:rPr>
          <w:i/>
          <w:iCs/>
        </w:rPr>
        <w:t>Vollzug</w:t>
      </w:r>
      <w:r w:rsidR="00E911ED" w:rsidRPr="004B4DFF">
        <w:rPr>
          <w:i/>
          <w:iCs/>
        </w:rPr>
        <w:t>sinn</w:t>
      </w:r>
      <w:r w:rsidR="00E911ED">
        <w:tab/>
        <w:t>9, 18, 301</w:t>
      </w:r>
    </w:p>
    <w:p w:rsidR="00E911ED" w:rsidRDefault="00E911ED" w:rsidP="00E911ED">
      <w:pPr>
        <w:pStyle w:val="Rejstk1"/>
        <w:tabs>
          <w:tab w:val="right" w:leader="dot" w:pos="4171"/>
        </w:tabs>
        <w:spacing w:line="240" w:lineRule="auto"/>
      </w:pPr>
      <w:r w:rsidRPr="004B4DFF">
        <w:rPr>
          <w:i/>
        </w:rPr>
        <w:t>Vor-b</w:t>
      </w:r>
      <w:r w:rsidRPr="004B4DFF">
        <w:rPr>
          <w:i/>
          <w:iCs/>
        </w:rPr>
        <w:t>lickbahn</w:t>
      </w:r>
      <w:r>
        <w:tab/>
        <w:t>117, 455, 512, 553</w:t>
      </w:r>
    </w:p>
    <w:p w:rsidR="00E911ED" w:rsidRDefault="00E911ED" w:rsidP="00E911ED">
      <w:pPr>
        <w:pStyle w:val="Rejstk2"/>
        <w:tabs>
          <w:tab w:val="right" w:leader="dot" w:pos="4171"/>
        </w:tabs>
        <w:spacing w:line="240" w:lineRule="auto"/>
      </w:pPr>
      <w:r w:rsidRPr="004B4DFF">
        <w:rPr>
          <w:iCs/>
        </w:rPr>
        <w:t>Bonaventura</w:t>
      </w:r>
      <w:r>
        <w:tab/>
        <w:t>34, 101</w:t>
      </w:r>
    </w:p>
    <w:p w:rsidR="00E911ED" w:rsidRDefault="00E911ED" w:rsidP="00E911ED">
      <w:pPr>
        <w:pStyle w:val="Rejstk2"/>
        <w:tabs>
          <w:tab w:val="right" w:leader="dot" w:pos="4171"/>
        </w:tabs>
        <w:spacing w:line="240" w:lineRule="auto"/>
      </w:pPr>
      <w:r w:rsidRPr="004B4DFF">
        <w:rPr>
          <w:iCs/>
        </w:rPr>
        <w:t>Gandavus</w:t>
      </w:r>
      <w:r>
        <w:tab/>
        <w:t>622</w:t>
      </w:r>
    </w:p>
    <w:p w:rsidR="00E911ED" w:rsidRDefault="00E911ED" w:rsidP="00E911ED">
      <w:pPr>
        <w:pStyle w:val="Rejstk2"/>
        <w:tabs>
          <w:tab w:val="right" w:leader="dot" w:pos="4171"/>
        </w:tabs>
        <w:spacing w:line="240" w:lineRule="auto"/>
      </w:pPr>
      <w:r w:rsidRPr="004B4DFF">
        <w:rPr>
          <w:iCs/>
        </w:rPr>
        <w:t>Heidegger</w:t>
      </w:r>
      <w:r>
        <w:tab/>
        <w:t>424</w:t>
      </w:r>
    </w:p>
    <w:p w:rsidR="00E911ED" w:rsidRDefault="00E911ED" w:rsidP="00E911ED">
      <w:pPr>
        <w:pStyle w:val="Rejstk2"/>
        <w:tabs>
          <w:tab w:val="right" w:leader="dot" w:pos="4171"/>
        </w:tabs>
        <w:spacing w:line="240" w:lineRule="auto"/>
      </w:pPr>
      <w:r w:rsidRPr="004B4DFF">
        <w:rPr>
          <w:iCs/>
        </w:rPr>
        <w:t>Scotus</w:t>
      </w:r>
      <w:r>
        <w:tab/>
        <w:t>661, 692</w:t>
      </w:r>
    </w:p>
    <w:p w:rsidR="00E911ED" w:rsidRDefault="00E911ED" w:rsidP="00E911ED">
      <w:pPr>
        <w:pStyle w:val="Rejstk2"/>
        <w:tabs>
          <w:tab w:val="right" w:leader="dot" w:pos="4171"/>
        </w:tabs>
        <w:spacing w:line="240" w:lineRule="auto"/>
      </w:pPr>
      <w:r w:rsidRPr="004B4DFF">
        <w:rPr>
          <w:iCs/>
        </w:rPr>
        <w:t>Siger</w:t>
      </w:r>
      <w:r>
        <w:tab/>
        <w:t>253, 264, 299, 352</w:t>
      </w:r>
    </w:p>
    <w:p w:rsidR="00E911ED" w:rsidRDefault="00E911ED" w:rsidP="00E911ED">
      <w:pPr>
        <w:pStyle w:val="Rejstk1"/>
        <w:tabs>
          <w:tab w:val="right" w:leader="dot" w:pos="4171"/>
        </w:tabs>
        <w:spacing w:line="240" w:lineRule="auto"/>
      </w:pPr>
      <w:r>
        <w:t>vůle</w:t>
      </w:r>
    </w:p>
    <w:p w:rsidR="00E911ED" w:rsidRDefault="00E911ED" w:rsidP="00E911ED">
      <w:pPr>
        <w:pStyle w:val="Rejstk2"/>
        <w:tabs>
          <w:tab w:val="right" w:leader="dot" w:pos="4171"/>
        </w:tabs>
        <w:spacing w:line="240" w:lineRule="auto"/>
      </w:pPr>
      <w:r w:rsidRPr="004B4DFF">
        <w:rPr>
          <w:i/>
        </w:rPr>
        <w:t>aspectus</w:t>
      </w:r>
      <w:r>
        <w:tab/>
        <w:t>553, 557, 564, 571, 573</w:t>
      </w:r>
    </w:p>
    <w:p w:rsidR="00E911ED" w:rsidRDefault="00E911ED" w:rsidP="00E911ED">
      <w:pPr>
        <w:pStyle w:val="Rejstk2"/>
        <w:tabs>
          <w:tab w:val="right" w:leader="dot" w:pos="4171"/>
        </w:tabs>
        <w:spacing w:line="240" w:lineRule="auto"/>
      </w:pPr>
      <w:r w:rsidRPr="004B4DFF">
        <w:rPr>
          <w:i/>
        </w:rPr>
        <w:t>causa sui</w:t>
      </w:r>
      <w:r>
        <w:tab/>
        <w:t>532, 533</w:t>
      </w:r>
    </w:p>
    <w:p w:rsidR="00E911ED" w:rsidRDefault="00E911ED" w:rsidP="00E911ED">
      <w:pPr>
        <w:pStyle w:val="Rejstk2"/>
        <w:tabs>
          <w:tab w:val="right" w:leader="dot" w:pos="4171"/>
        </w:tabs>
        <w:spacing w:line="240" w:lineRule="auto"/>
      </w:pPr>
      <w:r>
        <w:t>demiurgická</w:t>
      </w:r>
      <w:r>
        <w:tab/>
        <w:t>108, 503, 554, 563</w:t>
      </w:r>
    </w:p>
    <w:p w:rsidR="00E911ED" w:rsidRDefault="00E911ED" w:rsidP="00E911ED">
      <w:pPr>
        <w:pStyle w:val="Rejstk2"/>
        <w:tabs>
          <w:tab w:val="right" w:leader="dot" w:pos="4171"/>
        </w:tabs>
        <w:spacing w:line="240" w:lineRule="auto"/>
      </w:pPr>
      <w:r w:rsidRPr="004B4DFF">
        <w:rPr>
          <w:i/>
        </w:rPr>
        <w:t>essentia potentialis</w:t>
      </w:r>
      <w:r>
        <w:tab/>
        <w:t>533</w:t>
      </w:r>
    </w:p>
    <w:p w:rsidR="00E911ED" w:rsidRDefault="00E911ED" w:rsidP="00E911ED">
      <w:pPr>
        <w:pStyle w:val="Rejstk2"/>
        <w:tabs>
          <w:tab w:val="right" w:leader="dot" w:pos="4171"/>
        </w:tabs>
        <w:spacing w:line="240" w:lineRule="auto"/>
      </w:pPr>
      <w:r w:rsidRPr="004B4DFF">
        <w:rPr>
          <w:i/>
        </w:rPr>
        <w:t>experimur/conscii sumus</w:t>
      </w:r>
      <w:r>
        <w:tab/>
        <w:t>537, 538</w:t>
      </w:r>
    </w:p>
    <w:p w:rsidR="00E911ED" w:rsidRDefault="00E911ED" w:rsidP="00E911ED">
      <w:pPr>
        <w:pStyle w:val="Rejstk2"/>
        <w:tabs>
          <w:tab w:val="right" w:leader="dot" w:pos="4171"/>
        </w:tabs>
        <w:spacing w:line="240" w:lineRule="auto"/>
      </w:pPr>
      <w:r w:rsidRPr="004B4DFF">
        <w:rPr>
          <w:i/>
        </w:rPr>
        <w:t>Faktum der Vernunft</w:t>
      </w:r>
      <w:r>
        <w:tab/>
        <w:t>889</w:t>
      </w:r>
    </w:p>
    <w:p w:rsidR="00E911ED" w:rsidRDefault="00E911ED" w:rsidP="00E911ED">
      <w:pPr>
        <w:pStyle w:val="Rejstk2"/>
        <w:tabs>
          <w:tab w:val="right" w:leader="dot" w:pos="4171"/>
        </w:tabs>
        <w:spacing w:line="240" w:lineRule="auto"/>
      </w:pPr>
      <w:r>
        <w:t>habitus</w:t>
      </w:r>
      <w:r>
        <w:tab/>
        <w:t>565</w:t>
      </w:r>
    </w:p>
    <w:p w:rsidR="00E911ED" w:rsidRDefault="00E911ED" w:rsidP="00E911ED">
      <w:pPr>
        <w:pStyle w:val="Rejstk2"/>
        <w:tabs>
          <w:tab w:val="right" w:leader="dot" w:pos="4171"/>
        </w:tabs>
        <w:spacing w:line="240" w:lineRule="auto"/>
      </w:pPr>
      <w:r>
        <w:t>intelekt-slunce</w:t>
      </w:r>
      <w:r>
        <w:tab/>
        <w:t>556</w:t>
      </w:r>
    </w:p>
    <w:p w:rsidR="00E911ED" w:rsidRDefault="00E911ED" w:rsidP="00E911ED">
      <w:pPr>
        <w:pStyle w:val="Rejstk2"/>
        <w:tabs>
          <w:tab w:val="right" w:leader="dot" w:pos="4171"/>
        </w:tabs>
        <w:spacing w:line="240" w:lineRule="auto"/>
      </w:pPr>
      <w:r>
        <w:t>intimní kauzalita</w:t>
      </w:r>
      <w:r>
        <w:tab/>
        <w:t>535, 544</w:t>
      </w:r>
    </w:p>
    <w:p w:rsidR="00E911ED" w:rsidRDefault="00E911ED" w:rsidP="00E911ED">
      <w:pPr>
        <w:pStyle w:val="Rejstk2"/>
        <w:tabs>
          <w:tab w:val="right" w:leader="dot" w:pos="4171"/>
        </w:tabs>
        <w:spacing w:line="240" w:lineRule="auto"/>
      </w:pPr>
      <w:r>
        <w:t>ipseita</w:t>
      </w:r>
      <w:r>
        <w:tab/>
        <w:t>531, 556, 563, 814</w:t>
      </w:r>
    </w:p>
    <w:p w:rsidR="00E911ED" w:rsidRDefault="00E911ED" w:rsidP="00E911ED">
      <w:pPr>
        <w:pStyle w:val="Rejstk2"/>
        <w:tabs>
          <w:tab w:val="right" w:leader="dot" w:pos="4171"/>
        </w:tabs>
        <w:spacing w:line="240" w:lineRule="auto"/>
      </w:pPr>
      <w:r>
        <w:t>kapitalismus</w:t>
      </w:r>
      <w:r>
        <w:tab/>
        <w:t>563</w:t>
      </w:r>
    </w:p>
    <w:p w:rsidR="00E911ED" w:rsidRDefault="00E911ED" w:rsidP="00E911ED">
      <w:pPr>
        <w:pStyle w:val="Rejstk2"/>
        <w:tabs>
          <w:tab w:val="right" w:leader="dot" w:pos="4171"/>
        </w:tabs>
        <w:spacing w:line="240" w:lineRule="auto"/>
      </w:pPr>
      <w:r>
        <w:t xml:space="preserve">kauzalita </w:t>
      </w:r>
      <w:r w:rsidRPr="004B4DFF">
        <w:rPr>
          <w:i/>
        </w:rPr>
        <w:t>per prius</w:t>
      </w:r>
      <w:r>
        <w:tab/>
        <w:t>541</w:t>
      </w:r>
    </w:p>
    <w:p w:rsidR="00E911ED" w:rsidRDefault="00E911ED" w:rsidP="00E911ED">
      <w:pPr>
        <w:pStyle w:val="Rejstk2"/>
        <w:tabs>
          <w:tab w:val="right" w:leader="dot" w:pos="4171"/>
        </w:tabs>
        <w:spacing w:line="240" w:lineRule="auto"/>
      </w:pPr>
      <w:r w:rsidRPr="004B4DFF">
        <w:rPr>
          <w:i/>
        </w:rPr>
        <w:t>liberum arbitrium</w:t>
      </w:r>
      <w:r>
        <w:tab/>
        <w:t>503, 504, 535, 546, 548, 889, 921</w:t>
      </w:r>
    </w:p>
    <w:p w:rsidR="00E911ED" w:rsidRDefault="00E911ED" w:rsidP="00E911ED">
      <w:pPr>
        <w:pStyle w:val="Rejstk2"/>
        <w:tabs>
          <w:tab w:val="right" w:leader="dot" w:pos="4171"/>
        </w:tabs>
        <w:spacing w:line="240" w:lineRule="auto"/>
      </w:pPr>
      <w:r>
        <w:t xml:space="preserve">modus </w:t>
      </w:r>
      <w:r w:rsidRPr="004B4DFF">
        <w:rPr>
          <w:i/>
        </w:rPr>
        <w:t>qua</w:t>
      </w:r>
      <w:r w:rsidRPr="004B4DFF">
        <w:rPr>
          <w:i/>
          <w:vertAlign w:val="superscript"/>
        </w:rPr>
        <w:t>2</w:t>
      </w:r>
      <w:r>
        <w:tab/>
        <w:t>530, 531, 538</w:t>
      </w:r>
    </w:p>
    <w:p w:rsidR="00E911ED" w:rsidRDefault="00E911ED" w:rsidP="00E911ED">
      <w:pPr>
        <w:pStyle w:val="Rejstk2"/>
        <w:tabs>
          <w:tab w:val="right" w:leader="dot" w:pos="4171"/>
        </w:tabs>
        <w:spacing w:line="240" w:lineRule="auto"/>
      </w:pPr>
      <w:r>
        <w:t>nihilismus</w:t>
      </w:r>
      <w:r>
        <w:tab/>
        <w:t>544</w:t>
      </w:r>
    </w:p>
    <w:p w:rsidR="00E911ED" w:rsidRDefault="00E911ED" w:rsidP="00E911ED">
      <w:pPr>
        <w:pStyle w:val="Rejstk2"/>
        <w:tabs>
          <w:tab w:val="right" w:leader="dot" w:pos="4171"/>
        </w:tabs>
        <w:spacing w:line="240" w:lineRule="auto"/>
      </w:pPr>
      <w:r w:rsidRPr="004B4DFF">
        <w:rPr>
          <w:i/>
        </w:rPr>
        <w:t>nolle</w:t>
      </w:r>
      <w:r>
        <w:t>/</w:t>
      </w:r>
      <w:r w:rsidRPr="004B4DFF">
        <w:rPr>
          <w:i/>
        </w:rPr>
        <w:t>velle</w:t>
      </w:r>
      <w:r>
        <w:tab/>
        <w:t>548, 549</w:t>
      </w:r>
    </w:p>
    <w:p w:rsidR="00E911ED" w:rsidRDefault="00E911ED" w:rsidP="00E911ED">
      <w:pPr>
        <w:pStyle w:val="Rejstk2"/>
        <w:tabs>
          <w:tab w:val="right" w:leader="dot" w:pos="4171"/>
        </w:tabs>
        <w:spacing w:line="240" w:lineRule="auto"/>
      </w:pPr>
      <w:r>
        <w:t>objektivní</w:t>
      </w:r>
      <w:r>
        <w:tab/>
        <w:t>531, 533, 557, 560</w:t>
      </w:r>
    </w:p>
    <w:p w:rsidR="00E911ED" w:rsidRDefault="00E911ED" w:rsidP="00E911ED">
      <w:pPr>
        <w:pStyle w:val="Rejstk2"/>
        <w:tabs>
          <w:tab w:val="right" w:leader="dot" w:pos="4171"/>
        </w:tabs>
        <w:spacing w:line="240" w:lineRule="auto"/>
      </w:pPr>
      <w:r>
        <w:t>Ockham</w:t>
      </w:r>
      <w:r>
        <w:tab/>
        <w:t>917</w:t>
      </w:r>
    </w:p>
    <w:p w:rsidR="00E911ED" w:rsidRDefault="00E911ED" w:rsidP="00E911ED">
      <w:pPr>
        <w:pStyle w:val="Rejstk2"/>
        <w:tabs>
          <w:tab w:val="right" w:leader="dot" w:pos="4171"/>
        </w:tabs>
        <w:spacing w:line="240" w:lineRule="auto"/>
      </w:pPr>
      <w:r>
        <w:t>Olivi</w:t>
      </w:r>
      <w:r>
        <w:tab/>
        <w:t>539</w:t>
      </w:r>
    </w:p>
    <w:p w:rsidR="00E911ED" w:rsidRDefault="00E911ED" w:rsidP="00E911ED">
      <w:pPr>
        <w:pStyle w:val="Rejstk2"/>
        <w:tabs>
          <w:tab w:val="right" w:leader="dot" w:pos="4171"/>
        </w:tabs>
        <w:spacing w:line="240" w:lineRule="auto"/>
      </w:pPr>
      <w:r w:rsidRPr="004B4DFF">
        <w:rPr>
          <w:i/>
        </w:rPr>
        <w:t>per posterius</w:t>
      </w:r>
      <w:r>
        <w:tab/>
        <w:t>540</w:t>
      </w:r>
    </w:p>
    <w:p w:rsidR="00E911ED" w:rsidRDefault="00E911ED" w:rsidP="00E911ED">
      <w:pPr>
        <w:pStyle w:val="Rejstk2"/>
        <w:tabs>
          <w:tab w:val="right" w:leader="dot" w:pos="4171"/>
        </w:tabs>
        <w:spacing w:line="240" w:lineRule="auto"/>
      </w:pPr>
      <w:r w:rsidRPr="004B4DFF">
        <w:rPr>
          <w:i/>
        </w:rPr>
        <w:t>per prius</w:t>
      </w:r>
      <w:r>
        <w:tab/>
        <w:t>530, 564</w:t>
      </w:r>
    </w:p>
    <w:p w:rsidR="00E911ED" w:rsidRDefault="00E911ED" w:rsidP="00E911ED">
      <w:pPr>
        <w:pStyle w:val="Rejstk2"/>
        <w:tabs>
          <w:tab w:val="right" w:leader="dot" w:pos="4171"/>
        </w:tabs>
        <w:spacing w:line="240" w:lineRule="auto"/>
      </w:pPr>
      <w:r w:rsidRPr="004B4DFF">
        <w:rPr>
          <w:i/>
        </w:rPr>
        <w:t>potentia accidentalis</w:t>
      </w:r>
      <w:r>
        <w:tab/>
        <w:t>528, 565, 571</w:t>
      </w:r>
    </w:p>
    <w:p w:rsidR="00E911ED" w:rsidRDefault="00E911ED" w:rsidP="00E911ED">
      <w:pPr>
        <w:pStyle w:val="Rejstk2"/>
        <w:tabs>
          <w:tab w:val="right" w:leader="dot" w:pos="4171"/>
        </w:tabs>
        <w:spacing w:line="240" w:lineRule="auto"/>
      </w:pPr>
      <w:r w:rsidRPr="004B4DFF">
        <w:rPr>
          <w:i/>
          <w:iCs/>
        </w:rPr>
        <w:t>potentia essentialis</w:t>
      </w:r>
      <w:r>
        <w:tab/>
        <w:t>527</w:t>
      </w:r>
    </w:p>
    <w:p w:rsidR="00E911ED" w:rsidRDefault="00E911ED" w:rsidP="00E911ED">
      <w:pPr>
        <w:pStyle w:val="Rejstk2"/>
        <w:tabs>
          <w:tab w:val="right" w:leader="dot" w:pos="4171"/>
        </w:tabs>
        <w:spacing w:line="240" w:lineRule="auto"/>
      </w:pPr>
      <w:r w:rsidRPr="004B4DFF">
        <w:rPr>
          <w:i/>
        </w:rPr>
        <w:t>potentia substantialis</w:t>
      </w:r>
      <w:r>
        <w:tab/>
        <w:t>543, 557, 565, 571</w:t>
      </w:r>
    </w:p>
    <w:p w:rsidR="00E911ED" w:rsidRDefault="00E911ED" w:rsidP="00E911ED">
      <w:pPr>
        <w:pStyle w:val="Rejstk2"/>
        <w:tabs>
          <w:tab w:val="right" w:leader="dot" w:pos="4171"/>
        </w:tabs>
        <w:spacing w:line="240" w:lineRule="auto"/>
      </w:pPr>
      <w:r w:rsidRPr="004B4DFF">
        <w:rPr>
          <w:i/>
        </w:rPr>
        <w:t>realis distinctio</w:t>
      </w:r>
      <w:r>
        <w:tab/>
        <w:t>552, 554, 564</w:t>
      </w:r>
    </w:p>
    <w:p w:rsidR="00E911ED" w:rsidRDefault="00E911ED" w:rsidP="00E911ED">
      <w:pPr>
        <w:pStyle w:val="Rejstk1"/>
        <w:tabs>
          <w:tab w:val="right" w:leader="dot" w:pos="4171"/>
        </w:tabs>
        <w:spacing w:line="240" w:lineRule="auto"/>
      </w:pPr>
      <w:r>
        <w:rPr>
          <w:lang w:eastAsia="en-US"/>
        </w:rPr>
        <w:t>Wéber, E. H.</w:t>
      </w:r>
      <w:r>
        <w:tab/>
        <w:t xml:space="preserve">378, </w:t>
      </w:r>
      <w:r w:rsidR="0060379F">
        <w:t xml:space="preserve">420, 437, 462, </w:t>
      </w:r>
      <w:r>
        <w:t>463</w:t>
      </w:r>
    </w:p>
    <w:p w:rsidR="00E911ED" w:rsidRDefault="00E911ED" w:rsidP="00E911ED">
      <w:pPr>
        <w:pStyle w:val="Rejstk1"/>
        <w:tabs>
          <w:tab w:val="right" w:leader="dot" w:pos="4171"/>
        </w:tabs>
        <w:spacing w:line="240" w:lineRule="auto"/>
      </w:pPr>
      <w:r>
        <w:t>Weber, M.</w:t>
      </w:r>
      <w:r>
        <w:tab/>
        <w:t>568, 821</w:t>
      </w:r>
    </w:p>
    <w:p w:rsidR="00E911ED" w:rsidRDefault="00E911ED" w:rsidP="00E911ED">
      <w:pPr>
        <w:pStyle w:val="Rejstk1"/>
        <w:tabs>
          <w:tab w:val="right" w:leader="dot" w:pos="4171"/>
        </w:tabs>
        <w:spacing w:line="240" w:lineRule="auto"/>
      </w:pPr>
      <w:r w:rsidRPr="004B4DFF">
        <w:rPr>
          <w:i/>
          <w:lang w:val="de-DE"/>
        </w:rPr>
        <w:t>welfare state</w:t>
      </w:r>
      <w:r>
        <w:tab/>
        <w:t>899</w:t>
      </w:r>
    </w:p>
    <w:p w:rsidR="00E911ED" w:rsidRDefault="00E911ED" w:rsidP="00E911ED">
      <w:pPr>
        <w:pStyle w:val="Rejstk1"/>
        <w:tabs>
          <w:tab w:val="right" w:leader="dot" w:pos="4171"/>
        </w:tabs>
        <w:spacing w:line="240" w:lineRule="auto"/>
      </w:pPr>
      <w:r w:rsidRPr="004B4DFF">
        <w:rPr>
          <w:i/>
        </w:rPr>
        <w:t>Weltanschauung</w:t>
      </w:r>
      <w:r>
        <w:tab/>
        <w:t>17, 109, 110, 117, 511</w:t>
      </w:r>
    </w:p>
    <w:p w:rsidR="00E911ED" w:rsidRDefault="00E911ED" w:rsidP="00E911ED">
      <w:pPr>
        <w:pStyle w:val="Rejstk1"/>
        <w:tabs>
          <w:tab w:val="right" w:leader="dot" w:pos="4171"/>
        </w:tabs>
        <w:spacing w:line="240" w:lineRule="auto"/>
      </w:pPr>
      <w:r w:rsidRPr="004B4DFF">
        <w:rPr>
          <w:i/>
        </w:rPr>
        <w:t>Weltlosigkeit</w:t>
      </w:r>
      <w:r>
        <w:tab/>
        <w:t>504</w:t>
      </w:r>
    </w:p>
    <w:p w:rsidR="00E911ED" w:rsidRDefault="00E911ED" w:rsidP="00E911ED">
      <w:pPr>
        <w:pStyle w:val="Rejstk1"/>
        <w:tabs>
          <w:tab w:val="right" w:leader="dot" w:pos="4171"/>
        </w:tabs>
        <w:spacing w:line="240" w:lineRule="auto"/>
      </w:pPr>
      <w:r w:rsidRPr="004B4DFF">
        <w:rPr>
          <w:i/>
        </w:rPr>
        <w:t>White Man's Burden</w:t>
      </w:r>
      <w:r>
        <w:tab/>
        <w:t>18, 742</w:t>
      </w:r>
    </w:p>
    <w:p w:rsidR="00E911ED" w:rsidRDefault="00E911ED" w:rsidP="00E911ED">
      <w:pPr>
        <w:pStyle w:val="Rejstk1"/>
        <w:tabs>
          <w:tab w:val="right" w:leader="dot" w:pos="4171"/>
        </w:tabs>
        <w:spacing w:line="240" w:lineRule="auto"/>
      </w:pPr>
      <w:r w:rsidRPr="004B4DFF">
        <w:rPr>
          <w:rFonts w:eastAsia="TrumpMediaeval-Roman"/>
        </w:rPr>
        <w:t>William z Alnwicku</w:t>
      </w:r>
      <w:r>
        <w:tab/>
        <w:t>799</w:t>
      </w:r>
    </w:p>
    <w:p w:rsidR="00E911ED" w:rsidRDefault="00E911ED" w:rsidP="00E911ED">
      <w:pPr>
        <w:pStyle w:val="Rejstk1"/>
        <w:tabs>
          <w:tab w:val="right" w:leader="dot" w:pos="4171"/>
        </w:tabs>
        <w:spacing w:line="240" w:lineRule="auto"/>
      </w:pPr>
      <w:r w:rsidRPr="004B4DFF">
        <w:rPr>
          <w:i/>
        </w:rPr>
        <w:t>Wirkungsgeschichte</w:t>
      </w:r>
      <w:r>
        <w:tab/>
        <w:t>708, 765, 769, 945</w:t>
      </w:r>
    </w:p>
    <w:p w:rsidR="00E911ED" w:rsidRDefault="00E911ED" w:rsidP="00E911ED">
      <w:pPr>
        <w:pStyle w:val="Rejstk1"/>
        <w:tabs>
          <w:tab w:val="right" w:leader="dot" w:pos="4171"/>
        </w:tabs>
        <w:spacing w:line="240" w:lineRule="auto"/>
      </w:pPr>
      <w:r>
        <w:t>Wolff, Ch.</w:t>
      </w:r>
      <w:r>
        <w:tab/>
        <w:t>834</w:t>
      </w:r>
    </w:p>
    <w:p w:rsidR="00E911ED" w:rsidRDefault="00E911ED" w:rsidP="00E911ED">
      <w:pPr>
        <w:pStyle w:val="Rejstk1"/>
        <w:tabs>
          <w:tab w:val="right" w:leader="dot" w:pos="4171"/>
        </w:tabs>
        <w:spacing w:line="240" w:lineRule="auto"/>
      </w:pPr>
      <w:r>
        <w:rPr>
          <w:lang w:eastAsia="en-US"/>
        </w:rPr>
        <w:t>Zahradníček, J.</w:t>
      </w:r>
      <w:r>
        <w:tab/>
        <w:t>839</w:t>
      </w:r>
    </w:p>
    <w:p w:rsidR="00E911ED" w:rsidRDefault="00E911ED" w:rsidP="00E911ED">
      <w:pPr>
        <w:pStyle w:val="Rejstk1"/>
        <w:tabs>
          <w:tab w:val="right" w:leader="dot" w:pos="4171"/>
        </w:tabs>
        <w:spacing w:line="240" w:lineRule="auto"/>
      </w:pPr>
      <w:r>
        <w:t>zatmění</w:t>
      </w:r>
    </w:p>
    <w:p w:rsidR="00E911ED" w:rsidRDefault="00E911ED" w:rsidP="00E911ED">
      <w:pPr>
        <w:pStyle w:val="Rejstk2"/>
        <w:tabs>
          <w:tab w:val="right" w:leader="dot" w:pos="4171"/>
        </w:tabs>
        <w:spacing w:line="240" w:lineRule="auto"/>
      </w:pPr>
      <w:r w:rsidRPr="004B4DFF">
        <w:rPr>
          <w:i/>
        </w:rPr>
        <w:t>Druhé analytiky</w:t>
      </w:r>
      <w:r>
        <w:tab/>
        <w:t>2, 96, 801, 806, 832</w:t>
      </w:r>
    </w:p>
    <w:p w:rsidR="00E911ED" w:rsidRDefault="00E911ED" w:rsidP="00E911ED">
      <w:pPr>
        <w:pStyle w:val="Rejstk2"/>
        <w:tabs>
          <w:tab w:val="right" w:leader="dot" w:pos="4171"/>
        </w:tabs>
        <w:spacing w:line="240" w:lineRule="auto"/>
      </w:pPr>
      <w:r>
        <w:t>politiky</w:t>
      </w:r>
      <w:r>
        <w:tab/>
        <w:t>906</w:t>
      </w:r>
    </w:p>
    <w:p w:rsidR="00E911ED" w:rsidRDefault="00E911ED" w:rsidP="00E911ED">
      <w:pPr>
        <w:pStyle w:val="Rejstk2"/>
        <w:tabs>
          <w:tab w:val="right" w:leader="dot" w:pos="4171"/>
        </w:tabs>
        <w:spacing w:line="240" w:lineRule="auto"/>
      </w:pPr>
      <w:r>
        <w:t>substance</w:t>
      </w:r>
      <w:r>
        <w:tab/>
        <w:t>8, 81, 109, 121, 160, 186, 259, 292, 413, 469, 510, 555, 583, 624, 655, 663, 685, 690, 709, 750, 794, 800, 803, 831, 944, 946</w:t>
      </w:r>
    </w:p>
    <w:p w:rsidR="00E911ED" w:rsidRDefault="00E911ED" w:rsidP="00E911ED">
      <w:pPr>
        <w:pStyle w:val="Rejstk1"/>
        <w:tabs>
          <w:tab w:val="right" w:leader="dot" w:pos="4171"/>
        </w:tabs>
        <w:spacing w:line="240" w:lineRule="auto"/>
      </w:pPr>
      <w:r>
        <w:t>zdvojení bytí</w:t>
      </w:r>
      <w:r>
        <w:tab/>
        <w:t>657</w:t>
      </w:r>
    </w:p>
    <w:p w:rsidR="00E911ED" w:rsidRDefault="00E911ED" w:rsidP="00E911ED">
      <w:pPr>
        <w:pStyle w:val="Rejstk1"/>
        <w:tabs>
          <w:tab w:val="right" w:leader="dot" w:pos="4171"/>
        </w:tabs>
        <w:spacing w:line="240" w:lineRule="auto"/>
      </w:pPr>
      <w:r>
        <w:t>zjevování</w:t>
      </w:r>
    </w:p>
    <w:p w:rsidR="00E911ED" w:rsidRDefault="00E911ED" w:rsidP="00E911ED">
      <w:pPr>
        <w:pStyle w:val="Rejstk2"/>
        <w:tabs>
          <w:tab w:val="right" w:leader="dot" w:pos="4171"/>
        </w:tabs>
        <w:spacing w:line="240" w:lineRule="auto"/>
      </w:pPr>
      <w:r>
        <w:t>nasvícení zepředu</w:t>
      </w:r>
      <w:r>
        <w:tab/>
        <w:t>166, 207, 259, 266, 316, 403, 617, 773</w:t>
      </w:r>
    </w:p>
    <w:p w:rsidR="00E911ED" w:rsidRDefault="00E911ED" w:rsidP="00E911ED">
      <w:pPr>
        <w:pStyle w:val="Rejstk2"/>
        <w:tabs>
          <w:tab w:val="right" w:leader="dot" w:pos="4171"/>
        </w:tabs>
        <w:spacing w:line="240" w:lineRule="auto"/>
      </w:pPr>
      <w:r>
        <w:t>nasvícení zezadu</w:t>
      </w:r>
      <w:r>
        <w:tab/>
        <w:t>30, 150, 212, 264, 328, 387, 429, 530, 577, 585, 605, 651, 680, 714, 857</w:t>
      </w:r>
    </w:p>
    <w:p w:rsidR="00E911ED" w:rsidRDefault="00E911ED" w:rsidP="00E911ED">
      <w:pPr>
        <w:pStyle w:val="Rejstk2"/>
        <w:tabs>
          <w:tab w:val="right" w:leader="dot" w:pos="4171"/>
        </w:tabs>
        <w:spacing w:line="240" w:lineRule="auto"/>
      </w:pPr>
      <w:r>
        <w:t>objektivní averroismus</w:t>
      </w:r>
      <w:r>
        <w:tab/>
        <w:t>578</w:t>
      </w:r>
    </w:p>
    <w:p w:rsidR="00E911ED" w:rsidRDefault="00E911ED" w:rsidP="00E911ED">
      <w:pPr>
        <w:pStyle w:val="Rejstk1"/>
        <w:tabs>
          <w:tab w:val="right" w:leader="dot" w:pos="4171"/>
        </w:tabs>
        <w:spacing w:line="240" w:lineRule="auto"/>
      </w:pPr>
      <w:r>
        <w:t>zoopsychologie</w:t>
      </w:r>
      <w:r>
        <w:tab/>
        <w:t>840</w:t>
      </w:r>
    </w:p>
    <w:p w:rsidR="00E911ED" w:rsidRDefault="00E911ED" w:rsidP="00E911ED">
      <w:pPr>
        <w:pStyle w:val="Rejstk1"/>
        <w:tabs>
          <w:tab w:val="right" w:leader="dot" w:pos="4171"/>
        </w:tabs>
        <w:spacing w:line="240" w:lineRule="auto"/>
      </w:pPr>
    </w:p>
    <w:p w:rsidR="00A062F9" w:rsidRPr="00A062F9" w:rsidRDefault="00A062F9" w:rsidP="00A062F9"/>
    <w:p w:rsidR="00E911ED" w:rsidRDefault="00E911ED" w:rsidP="00E911ED">
      <w:pPr>
        <w:pStyle w:val="Nadpis3"/>
        <w:spacing w:line="240" w:lineRule="auto"/>
        <w:sectPr w:rsidR="00E911ED" w:rsidSect="00E911ED">
          <w:type w:val="continuous"/>
          <w:pgSz w:w="11905" w:h="16837"/>
          <w:pgMar w:top="1417" w:right="1417" w:bottom="1417" w:left="1417" w:header="708" w:footer="720" w:gutter="0"/>
          <w:cols w:num="2" w:space="708"/>
          <w:docGrid w:linePitch="360"/>
        </w:sectPr>
      </w:pPr>
    </w:p>
    <w:p w:rsidR="086B78D0" w:rsidRPr="00273106" w:rsidRDefault="00E911ED" w:rsidP="00E911ED">
      <w:pPr>
        <w:pStyle w:val="Nadpis3"/>
        <w:spacing w:line="240" w:lineRule="auto"/>
      </w:pPr>
      <w:r>
        <w:fldChar w:fldCharType="end"/>
      </w:r>
      <w:r>
        <w:br w:type="page"/>
      </w:r>
      <w:bookmarkStart w:id="128" w:name="_Toc180231692"/>
      <w:r w:rsidR="086B78D0">
        <w:t>L</w:t>
      </w:r>
      <w:r w:rsidR="086B78D0" w:rsidRPr="00273106">
        <w:t>iteratura</w:t>
      </w:r>
      <w:bookmarkEnd w:id="127"/>
      <w:bookmarkEnd w:id="128"/>
    </w:p>
    <w:p w:rsidR="08CB038F" w:rsidRPr="00273106" w:rsidRDefault="08CB038F" w:rsidP="08CB038F">
      <w:pPr>
        <w:pStyle w:val="Literatura"/>
        <w:rPr>
          <w:lang w:eastAsia="en-US"/>
        </w:rPr>
      </w:pPr>
      <w:r>
        <w:rPr>
          <w:lang w:eastAsia="en-US"/>
        </w:rPr>
        <w:t xml:space="preserve">Seznam obsahuje autory a díla citovaná ve všech třech svazcích. Citace řeckých textů </w:t>
      </w:r>
      <w:r w:rsidRPr="00273106">
        <w:rPr>
          <w:lang w:eastAsia="en-US"/>
        </w:rPr>
        <w:t>bez výslovného uvedení kritického vydání jsou převzaty z digitální edice</w:t>
      </w:r>
      <w:r w:rsidRPr="00273106">
        <w:rPr>
          <w:b/>
          <w:lang w:eastAsia="en-US"/>
        </w:rPr>
        <w:t xml:space="preserve"> </w:t>
      </w:r>
      <w:r w:rsidRPr="00273106">
        <w:rPr>
          <w:rStyle w:val="Zvraznn"/>
        </w:rPr>
        <w:t>Thesaurus Linguae Graecae</w:t>
      </w:r>
      <w:r w:rsidRPr="00273106">
        <w:t xml:space="preserve">, the Packard Humanities Institute, </w:t>
      </w:r>
      <w:r w:rsidRPr="00273106">
        <w:rPr>
          <w:i/>
        </w:rPr>
        <w:t>The Perseus Project and others</w:t>
      </w:r>
      <w:r w:rsidRPr="00273106">
        <w:t>, 1999–2007.</w:t>
      </w:r>
    </w:p>
    <w:p w:rsidR="004B45E4" w:rsidRDefault="004B45E4" w:rsidP="004B45E4">
      <w:pPr>
        <w:pStyle w:val="Literatura"/>
      </w:pPr>
    </w:p>
    <w:p w:rsidR="00D5715A" w:rsidRPr="00FB3EE7" w:rsidRDefault="00D5715A" w:rsidP="00D5715A">
      <w:pPr>
        <w:pStyle w:val="Literatura"/>
        <w:rPr>
          <w:b/>
          <w:i/>
        </w:rPr>
      </w:pPr>
      <w:r w:rsidRPr="00FB3EE7">
        <w:rPr>
          <w:b/>
          <w:i/>
        </w:rPr>
        <w:t>Literaturu vzít z OBJ_1_CZ</w:t>
      </w:r>
      <w:r>
        <w:rPr>
          <w:b/>
          <w:i/>
        </w:rPr>
        <w:t xml:space="preserve"> – platí pro všechny díly a překlady</w:t>
      </w:r>
    </w:p>
    <w:p w:rsidR="00D5715A" w:rsidRDefault="00D5715A" w:rsidP="004B45E4">
      <w:pPr>
        <w:pStyle w:val="Literatura"/>
      </w:pPr>
    </w:p>
    <w:p w:rsidR="004B45E4" w:rsidRDefault="004B45E4" w:rsidP="08CB038F">
      <w:pPr>
        <w:pStyle w:val="Literatura"/>
        <w:rPr>
          <w:lang w:eastAsia="en-US"/>
        </w:rPr>
      </w:pPr>
    </w:p>
    <w:p w:rsidR="086B78D0" w:rsidRDefault="08497C9C" w:rsidP="086B78D0">
      <w:pPr>
        <w:pStyle w:val="Nadpis3"/>
      </w:pPr>
      <w:r>
        <w:br w:type="page"/>
      </w:r>
      <w:bookmarkStart w:id="129" w:name="_Toc36144180"/>
      <w:bookmarkStart w:id="130" w:name="_Toc180231693"/>
      <w:r w:rsidR="086B78D0" w:rsidRPr="08D843DB">
        <w:t>Obsah</w:t>
      </w:r>
      <w:bookmarkEnd w:id="129"/>
      <w:bookmarkEnd w:id="130"/>
    </w:p>
    <w:p w:rsidR="0082090A" w:rsidRDefault="00DD4205">
      <w:pPr>
        <w:pStyle w:val="Obsah1"/>
        <w:tabs>
          <w:tab w:val="right" w:leader="dot" w:pos="9061"/>
        </w:tabs>
        <w:rPr>
          <w:rFonts w:asciiTheme="minorHAnsi" w:eastAsiaTheme="minorEastAsia" w:hAnsiTheme="minorHAnsi" w:cstheme="minorBidi"/>
          <w:b w:val="0"/>
          <w:bCs w:val="0"/>
          <w:caps w:val="0"/>
          <w:noProof/>
          <w:sz w:val="22"/>
          <w:szCs w:val="22"/>
        </w:rPr>
      </w:pPr>
      <w:r>
        <w:fldChar w:fldCharType="begin"/>
      </w:r>
      <w:r>
        <w:instrText xml:space="preserve"> TOC \o "1-3" \h \z \u </w:instrText>
      </w:r>
      <w:r>
        <w:fldChar w:fldCharType="separate"/>
      </w:r>
      <w:hyperlink w:anchor="_Toc180231640" w:history="1">
        <w:r w:rsidR="0082090A" w:rsidRPr="00CA2E1F">
          <w:rPr>
            <w:rStyle w:val="Hypertextovodkaz"/>
            <w:noProof/>
          </w:rPr>
          <w:t>Hermeneutika objektivity III.</w:t>
        </w:r>
        <w:r w:rsidR="0082090A">
          <w:rPr>
            <w:noProof/>
            <w:webHidden/>
          </w:rPr>
          <w:tab/>
        </w:r>
        <w:r w:rsidR="0082090A">
          <w:rPr>
            <w:noProof/>
            <w:webHidden/>
          </w:rPr>
          <w:fldChar w:fldCharType="begin"/>
        </w:r>
        <w:r w:rsidR="0082090A">
          <w:rPr>
            <w:noProof/>
            <w:webHidden/>
          </w:rPr>
          <w:instrText xml:space="preserve"> PAGEREF _Toc180231640 \h </w:instrText>
        </w:r>
        <w:r w:rsidR="0082090A">
          <w:rPr>
            <w:noProof/>
            <w:webHidden/>
          </w:rPr>
        </w:r>
        <w:r w:rsidR="0082090A">
          <w:rPr>
            <w:noProof/>
            <w:webHidden/>
          </w:rPr>
          <w:fldChar w:fldCharType="separate"/>
        </w:r>
        <w:r w:rsidR="0082090A">
          <w:rPr>
            <w:noProof/>
            <w:webHidden/>
          </w:rPr>
          <w:t>1</w:t>
        </w:r>
        <w:r w:rsidR="0082090A">
          <w:rPr>
            <w:noProof/>
            <w:webHidden/>
          </w:rPr>
          <w:fldChar w:fldCharType="end"/>
        </w:r>
      </w:hyperlink>
    </w:p>
    <w:p w:rsidR="0082090A" w:rsidRDefault="009D2A11">
      <w:pPr>
        <w:pStyle w:val="Obsah1"/>
        <w:tabs>
          <w:tab w:val="right" w:leader="dot" w:pos="9061"/>
        </w:tabs>
        <w:rPr>
          <w:rFonts w:asciiTheme="minorHAnsi" w:eastAsiaTheme="minorEastAsia" w:hAnsiTheme="minorHAnsi" w:cstheme="minorBidi"/>
          <w:b w:val="0"/>
          <w:bCs w:val="0"/>
          <w:caps w:val="0"/>
          <w:noProof/>
          <w:sz w:val="22"/>
          <w:szCs w:val="22"/>
        </w:rPr>
      </w:pPr>
      <w:hyperlink w:anchor="_Toc180231641" w:history="1">
        <w:r w:rsidR="0082090A" w:rsidRPr="00CA2E1F">
          <w:rPr>
            <w:rStyle w:val="Hypertextovodkaz"/>
            <w:noProof/>
          </w:rPr>
          <w:t>Tragikomedie scholastické moderny</w:t>
        </w:r>
        <w:r w:rsidR="0082090A">
          <w:rPr>
            <w:noProof/>
            <w:webHidden/>
          </w:rPr>
          <w:tab/>
        </w:r>
        <w:r w:rsidR="0082090A">
          <w:rPr>
            <w:noProof/>
            <w:webHidden/>
          </w:rPr>
          <w:fldChar w:fldCharType="begin"/>
        </w:r>
        <w:r w:rsidR="0082090A">
          <w:rPr>
            <w:noProof/>
            <w:webHidden/>
          </w:rPr>
          <w:instrText xml:space="preserve"> PAGEREF _Toc180231641 \h </w:instrText>
        </w:r>
        <w:r w:rsidR="0082090A">
          <w:rPr>
            <w:noProof/>
            <w:webHidden/>
          </w:rPr>
        </w:r>
        <w:r w:rsidR="0082090A">
          <w:rPr>
            <w:noProof/>
            <w:webHidden/>
          </w:rPr>
          <w:fldChar w:fldCharType="separate"/>
        </w:r>
        <w:r w:rsidR="0082090A">
          <w:rPr>
            <w:noProof/>
            <w:webHidden/>
          </w:rPr>
          <w:t>1</w:t>
        </w:r>
        <w:r w:rsidR="0082090A">
          <w:rPr>
            <w:noProof/>
            <w:webHidden/>
          </w:rPr>
          <w:fldChar w:fldCharType="end"/>
        </w:r>
      </w:hyperlink>
    </w:p>
    <w:p w:rsidR="0082090A" w:rsidRDefault="009D2A11">
      <w:pPr>
        <w:pStyle w:val="Obsah1"/>
        <w:tabs>
          <w:tab w:val="right" w:leader="dot" w:pos="9061"/>
        </w:tabs>
        <w:rPr>
          <w:rFonts w:asciiTheme="minorHAnsi" w:eastAsiaTheme="minorEastAsia" w:hAnsiTheme="minorHAnsi" w:cstheme="minorBidi"/>
          <w:b w:val="0"/>
          <w:bCs w:val="0"/>
          <w:caps w:val="0"/>
          <w:noProof/>
          <w:sz w:val="22"/>
          <w:szCs w:val="22"/>
        </w:rPr>
      </w:pPr>
      <w:hyperlink w:anchor="_Toc180231642" w:history="1">
        <w:r w:rsidR="0082090A" w:rsidRPr="00CA2E1F">
          <w:rPr>
            <w:rStyle w:val="Hypertextovodkaz"/>
            <w:noProof/>
          </w:rPr>
          <w:t>4. Objektivní ontoteologie moderny (Matrice IV)</w:t>
        </w:r>
        <w:r w:rsidR="0082090A">
          <w:rPr>
            <w:noProof/>
            <w:webHidden/>
          </w:rPr>
          <w:tab/>
        </w:r>
        <w:r w:rsidR="0082090A">
          <w:rPr>
            <w:noProof/>
            <w:webHidden/>
          </w:rPr>
          <w:fldChar w:fldCharType="begin"/>
        </w:r>
        <w:r w:rsidR="0082090A">
          <w:rPr>
            <w:noProof/>
            <w:webHidden/>
          </w:rPr>
          <w:instrText xml:space="preserve"> PAGEREF _Toc180231642 \h </w:instrText>
        </w:r>
        <w:r w:rsidR="0082090A">
          <w:rPr>
            <w:noProof/>
            <w:webHidden/>
          </w:rPr>
        </w:r>
        <w:r w:rsidR="0082090A">
          <w:rPr>
            <w:noProof/>
            <w:webHidden/>
          </w:rPr>
          <w:fldChar w:fldCharType="separate"/>
        </w:r>
        <w:r w:rsidR="0082090A">
          <w:rPr>
            <w:noProof/>
            <w:webHidden/>
          </w:rPr>
          <w:t>10</w:t>
        </w:r>
        <w:r w:rsidR="0082090A">
          <w:rPr>
            <w:noProof/>
            <w:webHidden/>
          </w:rPr>
          <w:fldChar w:fldCharType="end"/>
        </w:r>
      </w:hyperlink>
    </w:p>
    <w:p w:rsidR="0082090A" w:rsidRDefault="009D2A11">
      <w:pPr>
        <w:pStyle w:val="Obsah2"/>
        <w:tabs>
          <w:tab w:val="right" w:leader="dot" w:pos="9061"/>
        </w:tabs>
        <w:rPr>
          <w:rFonts w:asciiTheme="minorHAnsi" w:eastAsiaTheme="minorEastAsia" w:hAnsiTheme="minorHAnsi" w:cstheme="minorBidi"/>
          <w:smallCaps w:val="0"/>
          <w:noProof/>
          <w:sz w:val="22"/>
          <w:szCs w:val="22"/>
        </w:rPr>
      </w:pPr>
      <w:hyperlink w:anchor="_Toc180231643" w:history="1">
        <w:r w:rsidR="0082090A" w:rsidRPr="00CA2E1F">
          <w:rPr>
            <w:rStyle w:val="Hypertextovodkaz"/>
            <w:noProof/>
          </w:rPr>
          <w:t>4.1 Ontoteologická struktura objektivity (Bonaventura z Bagnoreggia)</w:t>
        </w:r>
        <w:r w:rsidR="0082090A">
          <w:rPr>
            <w:noProof/>
            <w:webHidden/>
          </w:rPr>
          <w:tab/>
        </w:r>
        <w:r w:rsidR="0082090A">
          <w:rPr>
            <w:noProof/>
            <w:webHidden/>
          </w:rPr>
          <w:fldChar w:fldCharType="begin"/>
        </w:r>
        <w:r w:rsidR="0082090A">
          <w:rPr>
            <w:noProof/>
            <w:webHidden/>
          </w:rPr>
          <w:instrText xml:space="preserve"> PAGEREF _Toc180231643 \h </w:instrText>
        </w:r>
        <w:r w:rsidR="0082090A">
          <w:rPr>
            <w:noProof/>
            <w:webHidden/>
          </w:rPr>
        </w:r>
        <w:r w:rsidR="0082090A">
          <w:rPr>
            <w:noProof/>
            <w:webHidden/>
          </w:rPr>
          <w:fldChar w:fldCharType="separate"/>
        </w:r>
        <w:r w:rsidR="0082090A">
          <w:rPr>
            <w:noProof/>
            <w:webHidden/>
          </w:rPr>
          <w:t>21</w:t>
        </w:r>
        <w:r w:rsidR="0082090A">
          <w:rPr>
            <w:noProof/>
            <w:webHidden/>
          </w:rPr>
          <w:fldChar w:fldCharType="end"/>
        </w:r>
      </w:hyperlink>
    </w:p>
    <w:p w:rsidR="0082090A" w:rsidRDefault="009D2A11">
      <w:pPr>
        <w:pStyle w:val="Obsah3"/>
        <w:tabs>
          <w:tab w:val="right" w:leader="dot" w:pos="9061"/>
        </w:tabs>
        <w:rPr>
          <w:rFonts w:asciiTheme="minorHAnsi" w:eastAsiaTheme="minorEastAsia" w:hAnsiTheme="minorHAnsi" w:cstheme="minorBidi"/>
          <w:i w:val="0"/>
          <w:iCs w:val="0"/>
          <w:noProof/>
          <w:sz w:val="22"/>
          <w:szCs w:val="22"/>
        </w:rPr>
      </w:pPr>
      <w:hyperlink w:anchor="_Toc180231644" w:history="1">
        <w:r w:rsidR="0082090A" w:rsidRPr="00CA2E1F">
          <w:rPr>
            <w:rStyle w:val="Hypertextovodkaz"/>
            <w:noProof/>
          </w:rPr>
          <w:t>4.1.1 Vznik ontoteologické metafyziky</w:t>
        </w:r>
        <w:r w:rsidR="0082090A">
          <w:rPr>
            <w:noProof/>
            <w:webHidden/>
          </w:rPr>
          <w:tab/>
        </w:r>
        <w:r w:rsidR="0082090A">
          <w:rPr>
            <w:noProof/>
            <w:webHidden/>
          </w:rPr>
          <w:fldChar w:fldCharType="begin"/>
        </w:r>
        <w:r w:rsidR="0082090A">
          <w:rPr>
            <w:noProof/>
            <w:webHidden/>
          </w:rPr>
          <w:instrText xml:space="preserve"> PAGEREF _Toc180231644 \h </w:instrText>
        </w:r>
        <w:r w:rsidR="0082090A">
          <w:rPr>
            <w:noProof/>
            <w:webHidden/>
          </w:rPr>
        </w:r>
        <w:r w:rsidR="0082090A">
          <w:rPr>
            <w:noProof/>
            <w:webHidden/>
          </w:rPr>
          <w:fldChar w:fldCharType="separate"/>
        </w:r>
        <w:r w:rsidR="0082090A">
          <w:rPr>
            <w:noProof/>
            <w:webHidden/>
          </w:rPr>
          <w:t>26</w:t>
        </w:r>
        <w:r w:rsidR="0082090A">
          <w:rPr>
            <w:noProof/>
            <w:webHidden/>
          </w:rPr>
          <w:fldChar w:fldCharType="end"/>
        </w:r>
      </w:hyperlink>
    </w:p>
    <w:p w:rsidR="0082090A" w:rsidRDefault="009D2A11">
      <w:pPr>
        <w:pStyle w:val="Obsah3"/>
        <w:tabs>
          <w:tab w:val="right" w:leader="dot" w:pos="9061"/>
        </w:tabs>
        <w:rPr>
          <w:rFonts w:asciiTheme="minorHAnsi" w:eastAsiaTheme="minorEastAsia" w:hAnsiTheme="minorHAnsi" w:cstheme="minorBidi"/>
          <w:i w:val="0"/>
          <w:iCs w:val="0"/>
          <w:noProof/>
          <w:sz w:val="22"/>
          <w:szCs w:val="22"/>
        </w:rPr>
      </w:pPr>
      <w:hyperlink w:anchor="_Toc180231645" w:history="1">
        <w:r w:rsidR="0082090A" w:rsidRPr="00CA2E1F">
          <w:rPr>
            <w:rStyle w:val="Hypertextovodkaz"/>
            <w:noProof/>
          </w:rPr>
          <w:t>4.1.2 Založení objektivního averroismu</w:t>
        </w:r>
        <w:r w:rsidR="0082090A">
          <w:rPr>
            <w:noProof/>
            <w:webHidden/>
          </w:rPr>
          <w:tab/>
        </w:r>
        <w:r w:rsidR="0082090A">
          <w:rPr>
            <w:noProof/>
            <w:webHidden/>
          </w:rPr>
          <w:fldChar w:fldCharType="begin"/>
        </w:r>
        <w:r w:rsidR="0082090A">
          <w:rPr>
            <w:noProof/>
            <w:webHidden/>
          </w:rPr>
          <w:instrText xml:space="preserve"> PAGEREF _Toc180231645 \h </w:instrText>
        </w:r>
        <w:r w:rsidR="0082090A">
          <w:rPr>
            <w:noProof/>
            <w:webHidden/>
          </w:rPr>
        </w:r>
        <w:r w:rsidR="0082090A">
          <w:rPr>
            <w:noProof/>
            <w:webHidden/>
          </w:rPr>
          <w:fldChar w:fldCharType="separate"/>
        </w:r>
        <w:r w:rsidR="0082090A">
          <w:rPr>
            <w:noProof/>
            <w:webHidden/>
          </w:rPr>
          <w:t>62</w:t>
        </w:r>
        <w:r w:rsidR="0082090A">
          <w:rPr>
            <w:noProof/>
            <w:webHidden/>
          </w:rPr>
          <w:fldChar w:fldCharType="end"/>
        </w:r>
      </w:hyperlink>
    </w:p>
    <w:p w:rsidR="0082090A" w:rsidRDefault="009D2A11">
      <w:pPr>
        <w:pStyle w:val="Obsah3"/>
        <w:tabs>
          <w:tab w:val="right" w:leader="dot" w:pos="9061"/>
        </w:tabs>
        <w:rPr>
          <w:rFonts w:asciiTheme="minorHAnsi" w:eastAsiaTheme="minorEastAsia" w:hAnsiTheme="minorHAnsi" w:cstheme="minorBidi"/>
          <w:i w:val="0"/>
          <w:iCs w:val="0"/>
          <w:noProof/>
          <w:sz w:val="22"/>
          <w:szCs w:val="22"/>
        </w:rPr>
      </w:pPr>
      <w:hyperlink w:anchor="_Toc180231646" w:history="1">
        <w:r w:rsidR="0082090A" w:rsidRPr="00CA2E1F">
          <w:rPr>
            <w:rStyle w:val="Hypertextovodkaz"/>
            <w:noProof/>
          </w:rPr>
          <w:t>4.1.3 Odyssea moderního subjektu</w:t>
        </w:r>
        <w:r w:rsidR="0082090A">
          <w:rPr>
            <w:noProof/>
            <w:webHidden/>
          </w:rPr>
          <w:tab/>
        </w:r>
        <w:r w:rsidR="0082090A">
          <w:rPr>
            <w:noProof/>
            <w:webHidden/>
          </w:rPr>
          <w:fldChar w:fldCharType="begin"/>
        </w:r>
        <w:r w:rsidR="0082090A">
          <w:rPr>
            <w:noProof/>
            <w:webHidden/>
          </w:rPr>
          <w:instrText xml:space="preserve"> PAGEREF _Toc180231646 \h </w:instrText>
        </w:r>
        <w:r w:rsidR="0082090A">
          <w:rPr>
            <w:noProof/>
            <w:webHidden/>
          </w:rPr>
        </w:r>
        <w:r w:rsidR="0082090A">
          <w:rPr>
            <w:noProof/>
            <w:webHidden/>
          </w:rPr>
          <w:fldChar w:fldCharType="separate"/>
        </w:r>
        <w:r w:rsidR="0082090A">
          <w:rPr>
            <w:noProof/>
            <w:webHidden/>
          </w:rPr>
          <w:t>100</w:t>
        </w:r>
        <w:r w:rsidR="0082090A">
          <w:rPr>
            <w:noProof/>
            <w:webHidden/>
          </w:rPr>
          <w:fldChar w:fldCharType="end"/>
        </w:r>
      </w:hyperlink>
    </w:p>
    <w:p w:rsidR="0082090A" w:rsidRDefault="009D2A11">
      <w:pPr>
        <w:pStyle w:val="Obsah3"/>
        <w:tabs>
          <w:tab w:val="right" w:leader="dot" w:pos="9061"/>
        </w:tabs>
        <w:rPr>
          <w:rFonts w:asciiTheme="minorHAnsi" w:eastAsiaTheme="minorEastAsia" w:hAnsiTheme="minorHAnsi" w:cstheme="minorBidi"/>
          <w:i w:val="0"/>
          <w:iCs w:val="0"/>
          <w:noProof/>
          <w:sz w:val="22"/>
          <w:szCs w:val="22"/>
        </w:rPr>
      </w:pPr>
      <w:hyperlink w:anchor="_Toc180231647" w:history="1">
        <w:r w:rsidR="0082090A" w:rsidRPr="00CA2E1F">
          <w:rPr>
            <w:rStyle w:val="Hypertextovodkaz"/>
            <w:noProof/>
          </w:rPr>
          <w:t>4.1.4 Zrození kapitalistického demiurga</w:t>
        </w:r>
        <w:r w:rsidR="0082090A">
          <w:rPr>
            <w:noProof/>
            <w:webHidden/>
          </w:rPr>
          <w:tab/>
        </w:r>
        <w:r w:rsidR="0082090A">
          <w:rPr>
            <w:noProof/>
            <w:webHidden/>
          </w:rPr>
          <w:fldChar w:fldCharType="begin"/>
        </w:r>
        <w:r w:rsidR="0082090A">
          <w:rPr>
            <w:noProof/>
            <w:webHidden/>
          </w:rPr>
          <w:instrText xml:space="preserve"> PAGEREF _Toc180231647 \h </w:instrText>
        </w:r>
        <w:r w:rsidR="0082090A">
          <w:rPr>
            <w:noProof/>
            <w:webHidden/>
          </w:rPr>
        </w:r>
        <w:r w:rsidR="0082090A">
          <w:rPr>
            <w:noProof/>
            <w:webHidden/>
          </w:rPr>
          <w:fldChar w:fldCharType="separate"/>
        </w:r>
        <w:r w:rsidR="0082090A">
          <w:rPr>
            <w:noProof/>
            <w:webHidden/>
          </w:rPr>
          <w:t>116</w:t>
        </w:r>
        <w:r w:rsidR="0082090A">
          <w:rPr>
            <w:noProof/>
            <w:webHidden/>
          </w:rPr>
          <w:fldChar w:fldCharType="end"/>
        </w:r>
      </w:hyperlink>
    </w:p>
    <w:p w:rsidR="0082090A" w:rsidRDefault="009D2A11">
      <w:pPr>
        <w:pStyle w:val="Obsah2"/>
        <w:tabs>
          <w:tab w:val="right" w:leader="dot" w:pos="9061"/>
        </w:tabs>
        <w:rPr>
          <w:rFonts w:asciiTheme="minorHAnsi" w:eastAsiaTheme="minorEastAsia" w:hAnsiTheme="minorHAnsi" w:cstheme="minorBidi"/>
          <w:smallCaps w:val="0"/>
          <w:noProof/>
          <w:sz w:val="22"/>
          <w:szCs w:val="22"/>
        </w:rPr>
      </w:pPr>
      <w:hyperlink w:anchor="_Toc180231648" w:history="1">
        <w:r w:rsidR="0082090A" w:rsidRPr="00CA2E1F">
          <w:rPr>
            <w:rStyle w:val="Hypertextovodkaz"/>
            <w:noProof/>
          </w:rPr>
          <w:t>4.2 Objektivní struktura jsoucna (John Pecham)</w:t>
        </w:r>
        <w:r w:rsidR="0082090A">
          <w:rPr>
            <w:noProof/>
            <w:webHidden/>
          </w:rPr>
          <w:tab/>
        </w:r>
        <w:r w:rsidR="0082090A">
          <w:rPr>
            <w:noProof/>
            <w:webHidden/>
          </w:rPr>
          <w:fldChar w:fldCharType="begin"/>
        </w:r>
        <w:r w:rsidR="0082090A">
          <w:rPr>
            <w:noProof/>
            <w:webHidden/>
          </w:rPr>
          <w:instrText xml:space="preserve"> PAGEREF _Toc180231648 \h </w:instrText>
        </w:r>
        <w:r w:rsidR="0082090A">
          <w:rPr>
            <w:noProof/>
            <w:webHidden/>
          </w:rPr>
        </w:r>
        <w:r w:rsidR="0082090A">
          <w:rPr>
            <w:noProof/>
            <w:webHidden/>
          </w:rPr>
          <w:fldChar w:fldCharType="separate"/>
        </w:r>
        <w:r w:rsidR="0082090A">
          <w:rPr>
            <w:noProof/>
            <w:webHidden/>
          </w:rPr>
          <w:t>136</w:t>
        </w:r>
        <w:r w:rsidR="0082090A">
          <w:rPr>
            <w:noProof/>
            <w:webHidden/>
          </w:rPr>
          <w:fldChar w:fldCharType="end"/>
        </w:r>
      </w:hyperlink>
    </w:p>
    <w:p w:rsidR="0082090A" w:rsidRDefault="009D2A11">
      <w:pPr>
        <w:pStyle w:val="Obsah3"/>
        <w:tabs>
          <w:tab w:val="right" w:leader="dot" w:pos="9061"/>
        </w:tabs>
        <w:rPr>
          <w:rFonts w:asciiTheme="minorHAnsi" w:eastAsiaTheme="minorEastAsia" w:hAnsiTheme="minorHAnsi" w:cstheme="minorBidi"/>
          <w:i w:val="0"/>
          <w:iCs w:val="0"/>
          <w:noProof/>
          <w:sz w:val="22"/>
          <w:szCs w:val="22"/>
        </w:rPr>
      </w:pPr>
      <w:hyperlink w:anchor="_Toc180231649" w:history="1">
        <w:r w:rsidR="0082090A" w:rsidRPr="00CA2E1F">
          <w:rPr>
            <w:rStyle w:val="Hypertextovodkaz"/>
            <w:noProof/>
          </w:rPr>
          <w:t>4.2.1 Virtualita člověka</w:t>
        </w:r>
        <w:r w:rsidR="0082090A">
          <w:rPr>
            <w:noProof/>
            <w:webHidden/>
          </w:rPr>
          <w:tab/>
        </w:r>
        <w:r w:rsidR="0082090A">
          <w:rPr>
            <w:noProof/>
            <w:webHidden/>
          </w:rPr>
          <w:fldChar w:fldCharType="begin"/>
        </w:r>
        <w:r w:rsidR="0082090A">
          <w:rPr>
            <w:noProof/>
            <w:webHidden/>
          </w:rPr>
          <w:instrText xml:space="preserve"> PAGEREF _Toc180231649 \h </w:instrText>
        </w:r>
        <w:r w:rsidR="0082090A">
          <w:rPr>
            <w:noProof/>
            <w:webHidden/>
          </w:rPr>
        </w:r>
        <w:r w:rsidR="0082090A">
          <w:rPr>
            <w:noProof/>
            <w:webHidden/>
          </w:rPr>
          <w:fldChar w:fldCharType="separate"/>
        </w:r>
        <w:r w:rsidR="0082090A">
          <w:rPr>
            <w:noProof/>
            <w:webHidden/>
          </w:rPr>
          <w:t>138</w:t>
        </w:r>
        <w:r w:rsidR="0082090A">
          <w:rPr>
            <w:noProof/>
            <w:webHidden/>
          </w:rPr>
          <w:fldChar w:fldCharType="end"/>
        </w:r>
      </w:hyperlink>
    </w:p>
    <w:p w:rsidR="0082090A" w:rsidRDefault="009D2A11">
      <w:pPr>
        <w:pStyle w:val="Obsah3"/>
        <w:tabs>
          <w:tab w:val="right" w:leader="dot" w:pos="9061"/>
        </w:tabs>
        <w:rPr>
          <w:rFonts w:asciiTheme="minorHAnsi" w:eastAsiaTheme="minorEastAsia" w:hAnsiTheme="minorHAnsi" w:cstheme="minorBidi"/>
          <w:i w:val="0"/>
          <w:iCs w:val="0"/>
          <w:noProof/>
          <w:sz w:val="22"/>
          <w:szCs w:val="22"/>
        </w:rPr>
      </w:pPr>
      <w:hyperlink w:anchor="_Toc180231650" w:history="1">
        <w:r w:rsidR="0082090A" w:rsidRPr="00CA2E1F">
          <w:rPr>
            <w:rStyle w:val="Hypertextovodkaz"/>
            <w:noProof/>
          </w:rPr>
          <w:t>4.2.2 Poznání jako objektivní kopulace</w:t>
        </w:r>
        <w:r w:rsidR="0082090A">
          <w:rPr>
            <w:noProof/>
            <w:webHidden/>
          </w:rPr>
          <w:tab/>
        </w:r>
        <w:r w:rsidR="0082090A">
          <w:rPr>
            <w:noProof/>
            <w:webHidden/>
          </w:rPr>
          <w:fldChar w:fldCharType="begin"/>
        </w:r>
        <w:r w:rsidR="0082090A">
          <w:rPr>
            <w:noProof/>
            <w:webHidden/>
          </w:rPr>
          <w:instrText xml:space="preserve"> PAGEREF _Toc180231650 \h </w:instrText>
        </w:r>
        <w:r w:rsidR="0082090A">
          <w:rPr>
            <w:noProof/>
            <w:webHidden/>
          </w:rPr>
        </w:r>
        <w:r w:rsidR="0082090A">
          <w:rPr>
            <w:noProof/>
            <w:webHidden/>
          </w:rPr>
          <w:fldChar w:fldCharType="separate"/>
        </w:r>
        <w:r w:rsidR="0082090A">
          <w:rPr>
            <w:noProof/>
            <w:webHidden/>
          </w:rPr>
          <w:t>154</w:t>
        </w:r>
        <w:r w:rsidR="0082090A">
          <w:rPr>
            <w:noProof/>
            <w:webHidden/>
          </w:rPr>
          <w:fldChar w:fldCharType="end"/>
        </w:r>
      </w:hyperlink>
    </w:p>
    <w:p w:rsidR="0082090A" w:rsidRDefault="009D2A11">
      <w:pPr>
        <w:pStyle w:val="Obsah2"/>
        <w:tabs>
          <w:tab w:val="right" w:leader="dot" w:pos="9061"/>
        </w:tabs>
        <w:rPr>
          <w:rFonts w:asciiTheme="minorHAnsi" w:eastAsiaTheme="minorEastAsia" w:hAnsiTheme="minorHAnsi" w:cstheme="minorBidi"/>
          <w:smallCaps w:val="0"/>
          <w:noProof/>
          <w:sz w:val="22"/>
          <w:szCs w:val="22"/>
        </w:rPr>
      </w:pPr>
      <w:hyperlink w:anchor="_Toc180231651" w:history="1">
        <w:r w:rsidR="0082090A" w:rsidRPr="00CA2E1F">
          <w:rPr>
            <w:rStyle w:val="Hypertextovodkaz"/>
            <w:noProof/>
          </w:rPr>
          <w:t>4.3 Spor o averroismus  v letech 1270‒75 (</w:t>
        </w:r>
        <w:r w:rsidR="0082090A" w:rsidRPr="00CA2E1F">
          <w:rPr>
            <w:rStyle w:val="Hypertextovodkaz"/>
            <w:i/>
            <w:noProof/>
          </w:rPr>
          <w:t>Anonymi</w:t>
        </w:r>
        <w:r w:rsidR="0082090A" w:rsidRPr="00CA2E1F">
          <w:rPr>
            <w:rStyle w:val="Hypertextovodkaz"/>
            <w:noProof/>
          </w:rPr>
          <w:t>)</w:t>
        </w:r>
        <w:r w:rsidR="0082090A">
          <w:rPr>
            <w:noProof/>
            <w:webHidden/>
          </w:rPr>
          <w:tab/>
        </w:r>
        <w:r w:rsidR="0082090A">
          <w:rPr>
            <w:noProof/>
            <w:webHidden/>
          </w:rPr>
          <w:fldChar w:fldCharType="begin"/>
        </w:r>
        <w:r w:rsidR="0082090A">
          <w:rPr>
            <w:noProof/>
            <w:webHidden/>
          </w:rPr>
          <w:instrText xml:space="preserve"> PAGEREF _Toc180231651 \h </w:instrText>
        </w:r>
        <w:r w:rsidR="0082090A">
          <w:rPr>
            <w:noProof/>
            <w:webHidden/>
          </w:rPr>
        </w:r>
        <w:r w:rsidR="0082090A">
          <w:rPr>
            <w:noProof/>
            <w:webHidden/>
          </w:rPr>
          <w:fldChar w:fldCharType="separate"/>
        </w:r>
        <w:r w:rsidR="0082090A">
          <w:rPr>
            <w:noProof/>
            <w:webHidden/>
          </w:rPr>
          <w:t>168</w:t>
        </w:r>
        <w:r w:rsidR="0082090A">
          <w:rPr>
            <w:noProof/>
            <w:webHidden/>
          </w:rPr>
          <w:fldChar w:fldCharType="end"/>
        </w:r>
      </w:hyperlink>
    </w:p>
    <w:p w:rsidR="0082090A" w:rsidRDefault="009D2A11">
      <w:pPr>
        <w:pStyle w:val="Obsah3"/>
        <w:tabs>
          <w:tab w:val="right" w:leader="dot" w:pos="9061"/>
        </w:tabs>
        <w:rPr>
          <w:rFonts w:asciiTheme="minorHAnsi" w:eastAsiaTheme="minorEastAsia" w:hAnsiTheme="minorHAnsi" w:cstheme="minorBidi"/>
          <w:i w:val="0"/>
          <w:iCs w:val="0"/>
          <w:noProof/>
          <w:sz w:val="22"/>
          <w:szCs w:val="22"/>
        </w:rPr>
      </w:pPr>
      <w:hyperlink w:anchor="_Toc180231652" w:history="1">
        <w:r w:rsidR="0082090A" w:rsidRPr="00CA2E1F">
          <w:rPr>
            <w:rStyle w:val="Hypertextovodkaz"/>
            <w:noProof/>
          </w:rPr>
          <w:t>4.3.1 Anonymus Giele</w:t>
        </w:r>
        <w:r w:rsidR="0082090A">
          <w:rPr>
            <w:noProof/>
            <w:webHidden/>
          </w:rPr>
          <w:tab/>
        </w:r>
        <w:r w:rsidR="0082090A">
          <w:rPr>
            <w:noProof/>
            <w:webHidden/>
          </w:rPr>
          <w:fldChar w:fldCharType="begin"/>
        </w:r>
        <w:r w:rsidR="0082090A">
          <w:rPr>
            <w:noProof/>
            <w:webHidden/>
          </w:rPr>
          <w:instrText xml:space="preserve"> PAGEREF _Toc180231652 \h </w:instrText>
        </w:r>
        <w:r w:rsidR="0082090A">
          <w:rPr>
            <w:noProof/>
            <w:webHidden/>
          </w:rPr>
        </w:r>
        <w:r w:rsidR="0082090A">
          <w:rPr>
            <w:noProof/>
            <w:webHidden/>
          </w:rPr>
          <w:fldChar w:fldCharType="separate"/>
        </w:r>
        <w:r w:rsidR="0082090A">
          <w:rPr>
            <w:noProof/>
            <w:webHidden/>
          </w:rPr>
          <w:t>170</w:t>
        </w:r>
        <w:r w:rsidR="0082090A">
          <w:rPr>
            <w:noProof/>
            <w:webHidden/>
          </w:rPr>
          <w:fldChar w:fldCharType="end"/>
        </w:r>
      </w:hyperlink>
    </w:p>
    <w:p w:rsidR="0082090A" w:rsidRDefault="009D2A11">
      <w:pPr>
        <w:pStyle w:val="Obsah3"/>
        <w:tabs>
          <w:tab w:val="right" w:leader="dot" w:pos="9061"/>
        </w:tabs>
        <w:rPr>
          <w:rFonts w:asciiTheme="minorHAnsi" w:eastAsiaTheme="minorEastAsia" w:hAnsiTheme="minorHAnsi" w:cstheme="minorBidi"/>
          <w:i w:val="0"/>
          <w:iCs w:val="0"/>
          <w:noProof/>
          <w:sz w:val="22"/>
          <w:szCs w:val="22"/>
        </w:rPr>
      </w:pPr>
      <w:hyperlink w:anchor="_Toc180231653" w:history="1">
        <w:r w:rsidR="0082090A" w:rsidRPr="00CA2E1F">
          <w:rPr>
            <w:rStyle w:val="Hypertextovodkaz"/>
            <w:noProof/>
          </w:rPr>
          <w:t>4.3.2 Oxfordský a Mnichovský komentář De anima</w:t>
        </w:r>
        <w:r w:rsidR="0082090A">
          <w:rPr>
            <w:noProof/>
            <w:webHidden/>
          </w:rPr>
          <w:tab/>
        </w:r>
        <w:r w:rsidR="0082090A">
          <w:rPr>
            <w:noProof/>
            <w:webHidden/>
          </w:rPr>
          <w:fldChar w:fldCharType="begin"/>
        </w:r>
        <w:r w:rsidR="0082090A">
          <w:rPr>
            <w:noProof/>
            <w:webHidden/>
          </w:rPr>
          <w:instrText xml:space="preserve"> PAGEREF _Toc180231653 \h </w:instrText>
        </w:r>
        <w:r w:rsidR="0082090A">
          <w:rPr>
            <w:noProof/>
            <w:webHidden/>
          </w:rPr>
        </w:r>
        <w:r w:rsidR="0082090A">
          <w:rPr>
            <w:noProof/>
            <w:webHidden/>
          </w:rPr>
          <w:fldChar w:fldCharType="separate"/>
        </w:r>
        <w:r w:rsidR="0082090A">
          <w:rPr>
            <w:noProof/>
            <w:webHidden/>
          </w:rPr>
          <w:t>183</w:t>
        </w:r>
        <w:r w:rsidR="0082090A">
          <w:rPr>
            <w:noProof/>
            <w:webHidden/>
          </w:rPr>
          <w:fldChar w:fldCharType="end"/>
        </w:r>
      </w:hyperlink>
    </w:p>
    <w:p w:rsidR="0082090A" w:rsidRDefault="009D2A11">
      <w:pPr>
        <w:pStyle w:val="Obsah3"/>
        <w:tabs>
          <w:tab w:val="right" w:leader="dot" w:pos="9061"/>
        </w:tabs>
        <w:rPr>
          <w:rFonts w:asciiTheme="minorHAnsi" w:eastAsiaTheme="minorEastAsia" w:hAnsiTheme="minorHAnsi" w:cstheme="minorBidi"/>
          <w:i w:val="0"/>
          <w:iCs w:val="0"/>
          <w:noProof/>
          <w:sz w:val="22"/>
          <w:szCs w:val="22"/>
        </w:rPr>
      </w:pPr>
      <w:hyperlink w:anchor="_Toc180231654" w:history="1">
        <w:r w:rsidR="0082090A" w:rsidRPr="00CA2E1F">
          <w:rPr>
            <w:rStyle w:val="Hypertextovodkaz"/>
            <w:noProof/>
          </w:rPr>
          <w:t>4.3.3 Anonymus Bazán</w:t>
        </w:r>
        <w:r w:rsidR="0082090A">
          <w:rPr>
            <w:noProof/>
            <w:webHidden/>
          </w:rPr>
          <w:tab/>
        </w:r>
        <w:r w:rsidR="0082090A">
          <w:rPr>
            <w:noProof/>
            <w:webHidden/>
          </w:rPr>
          <w:fldChar w:fldCharType="begin"/>
        </w:r>
        <w:r w:rsidR="0082090A">
          <w:rPr>
            <w:noProof/>
            <w:webHidden/>
          </w:rPr>
          <w:instrText xml:space="preserve"> PAGEREF _Toc180231654 \h </w:instrText>
        </w:r>
        <w:r w:rsidR="0082090A">
          <w:rPr>
            <w:noProof/>
            <w:webHidden/>
          </w:rPr>
        </w:r>
        <w:r w:rsidR="0082090A">
          <w:rPr>
            <w:noProof/>
            <w:webHidden/>
          </w:rPr>
          <w:fldChar w:fldCharType="separate"/>
        </w:r>
        <w:r w:rsidR="0082090A">
          <w:rPr>
            <w:noProof/>
            <w:webHidden/>
          </w:rPr>
          <w:t>227</w:t>
        </w:r>
        <w:r w:rsidR="0082090A">
          <w:rPr>
            <w:noProof/>
            <w:webHidden/>
          </w:rPr>
          <w:fldChar w:fldCharType="end"/>
        </w:r>
      </w:hyperlink>
    </w:p>
    <w:p w:rsidR="0082090A" w:rsidRDefault="009D2A11">
      <w:pPr>
        <w:pStyle w:val="Obsah2"/>
        <w:tabs>
          <w:tab w:val="right" w:leader="dot" w:pos="9061"/>
        </w:tabs>
        <w:rPr>
          <w:rFonts w:asciiTheme="minorHAnsi" w:eastAsiaTheme="minorEastAsia" w:hAnsiTheme="minorHAnsi" w:cstheme="minorBidi"/>
          <w:smallCaps w:val="0"/>
          <w:noProof/>
          <w:sz w:val="22"/>
          <w:szCs w:val="22"/>
        </w:rPr>
      </w:pPr>
      <w:hyperlink w:anchor="_Toc180231655" w:history="1">
        <w:r w:rsidR="0082090A" w:rsidRPr="00CA2E1F">
          <w:rPr>
            <w:rStyle w:val="Hypertextovodkaz"/>
            <w:noProof/>
          </w:rPr>
          <w:t>4.4 Syntéza prvního averroismu (Siger z Brabantu)</w:t>
        </w:r>
        <w:r w:rsidR="0082090A">
          <w:rPr>
            <w:noProof/>
            <w:webHidden/>
          </w:rPr>
          <w:tab/>
        </w:r>
        <w:r w:rsidR="0082090A">
          <w:rPr>
            <w:noProof/>
            <w:webHidden/>
          </w:rPr>
          <w:fldChar w:fldCharType="begin"/>
        </w:r>
        <w:r w:rsidR="0082090A">
          <w:rPr>
            <w:noProof/>
            <w:webHidden/>
          </w:rPr>
          <w:instrText xml:space="preserve"> PAGEREF _Toc180231655 \h </w:instrText>
        </w:r>
        <w:r w:rsidR="0082090A">
          <w:rPr>
            <w:noProof/>
            <w:webHidden/>
          </w:rPr>
        </w:r>
        <w:r w:rsidR="0082090A">
          <w:rPr>
            <w:noProof/>
            <w:webHidden/>
          </w:rPr>
          <w:fldChar w:fldCharType="separate"/>
        </w:r>
        <w:r w:rsidR="0082090A">
          <w:rPr>
            <w:noProof/>
            <w:webHidden/>
          </w:rPr>
          <w:t>248</w:t>
        </w:r>
        <w:r w:rsidR="0082090A">
          <w:rPr>
            <w:noProof/>
            <w:webHidden/>
          </w:rPr>
          <w:fldChar w:fldCharType="end"/>
        </w:r>
      </w:hyperlink>
    </w:p>
    <w:p w:rsidR="0082090A" w:rsidRDefault="009D2A11">
      <w:pPr>
        <w:pStyle w:val="Obsah3"/>
        <w:tabs>
          <w:tab w:val="right" w:leader="dot" w:pos="9061"/>
        </w:tabs>
        <w:rPr>
          <w:rFonts w:asciiTheme="minorHAnsi" w:eastAsiaTheme="minorEastAsia" w:hAnsiTheme="minorHAnsi" w:cstheme="minorBidi"/>
          <w:i w:val="0"/>
          <w:iCs w:val="0"/>
          <w:noProof/>
          <w:sz w:val="22"/>
          <w:szCs w:val="22"/>
        </w:rPr>
      </w:pPr>
      <w:hyperlink w:anchor="_Toc180231656" w:history="1">
        <w:r w:rsidR="0082090A" w:rsidRPr="00CA2E1F">
          <w:rPr>
            <w:rStyle w:val="Hypertextovodkaz"/>
            <w:noProof/>
          </w:rPr>
          <w:t>4.4.1 Spor o dvojí pravdu</w:t>
        </w:r>
        <w:r w:rsidR="0082090A">
          <w:rPr>
            <w:noProof/>
            <w:webHidden/>
          </w:rPr>
          <w:tab/>
        </w:r>
        <w:r w:rsidR="0082090A">
          <w:rPr>
            <w:noProof/>
            <w:webHidden/>
          </w:rPr>
          <w:fldChar w:fldCharType="begin"/>
        </w:r>
        <w:r w:rsidR="0082090A">
          <w:rPr>
            <w:noProof/>
            <w:webHidden/>
          </w:rPr>
          <w:instrText xml:space="preserve"> PAGEREF _Toc180231656 \h </w:instrText>
        </w:r>
        <w:r w:rsidR="0082090A">
          <w:rPr>
            <w:noProof/>
            <w:webHidden/>
          </w:rPr>
        </w:r>
        <w:r w:rsidR="0082090A">
          <w:rPr>
            <w:noProof/>
            <w:webHidden/>
          </w:rPr>
          <w:fldChar w:fldCharType="separate"/>
        </w:r>
        <w:r w:rsidR="0082090A">
          <w:rPr>
            <w:noProof/>
            <w:webHidden/>
          </w:rPr>
          <w:t>253</w:t>
        </w:r>
        <w:r w:rsidR="0082090A">
          <w:rPr>
            <w:noProof/>
            <w:webHidden/>
          </w:rPr>
          <w:fldChar w:fldCharType="end"/>
        </w:r>
      </w:hyperlink>
    </w:p>
    <w:p w:rsidR="0082090A" w:rsidRDefault="009D2A11">
      <w:pPr>
        <w:pStyle w:val="Obsah3"/>
        <w:tabs>
          <w:tab w:val="right" w:leader="dot" w:pos="9061"/>
        </w:tabs>
        <w:rPr>
          <w:rFonts w:asciiTheme="minorHAnsi" w:eastAsiaTheme="minorEastAsia" w:hAnsiTheme="minorHAnsi" w:cstheme="minorBidi"/>
          <w:i w:val="0"/>
          <w:iCs w:val="0"/>
          <w:noProof/>
          <w:sz w:val="22"/>
          <w:szCs w:val="22"/>
        </w:rPr>
      </w:pPr>
      <w:hyperlink w:anchor="_Toc180231657" w:history="1">
        <w:r w:rsidR="0082090A" w:rsidRPr="00CA2E1F">
          <w:rPr>
            <w:rStyle w:val="Hypertextovodkaz"/>
            <w:noProof/>
          </w:rPr>
          <w:t>4.4.2 Fenomenologie intelektu</w:t>
        </w:r>
        <w:r w:rsidR="0082090A">
          <w:rPr>
            <w:noProof/>
            <w:webHidden/>
          </w:rPr>
          <w:tab/>
        </w:r>
        <w:r w:rsidR="0082090A">
          <w:rPr>
            <w:noProof/>
            <w:webHidden/>
          </w:rPr>
          <w:fldChar w:fldCharType="begin"/>
        </w:r>
        <w:r w:rsidR="0082090A">
          <w:rPr>
            <w:noProof/>
            <w:webHidden/>
          </w:rPr>
          <w:instrText xml:space="preserve"> PAGEREF _Toc180231657 \h </w:instrText>
        </w:r>
        <w:r w:rsidR="0082090A">
          <w:rPr>
            <w:noProof/>
            <w:webHidden/>
          </w:rPr>
        </w:r>
        <w:r w:rsidR="0082090A">
          <w:rPr>
            <w:noProof/>
            <w:webHidden/>
          </w:rPr>
          <w:fldChar w:fldCharType="separate"/>
        </w:r>
        <w:r w:rsidR="0082090A">
          <w:rPr>
            <w:noProof/>
            <w:webHidden/>
          </w:rPr>
          <w:t>273</w:t>
        </w:r>
        <w:r w:rsidR="0082090A">
          <w:rPr>
            <w:noProof/>
            <w:webHidden/>
          </w:rPr>
          <w:fldChar w:fldCharType="end"/>
        </w:r>
      </w:hyperlink>
    </w:p>
    <w:p w:rsidR="0082090A" w:rsidRDefault="009D2A11">
      <w:pPr>
        <w:pStyle w:val="Obsah3"/>
        <w:tabs>
          <w:tab w:val="right" w:leader="dot" w:pos="9061"/>
        </w:tabs>
        <w:rPr>
          <w:rFonts w:asciiTheme="minorHAnsi" w:eastAsiaTheme="minorEastAsia" w:hAnsiTheme="minorHAnsi" w:cstheme="minorBidi"/>
          <w:i w:val="0"/>
          <w:iCs w:val="0"/>
          <w:noProof/>
          <w:sz w:val="22"/>
          <w:szCs w:val="22"/>
        </w:rPr>
      </w:pPr>
      <w:hyperlink w:anchor="_Toc180231658" w:history="1">
        <w:r w:rsidR="0082090A" w:rsidRPr="00CA2E1F">
          <w:rPr>
            <w:rStyle w:val="Hypertextovodkaz"/>
            <w:noProof/>
          </w:rPr>
          <w:t>4.4.3 Jednota osoby</w:t>
        </w:r>
        <w:r w:rsidR="0082090A">
          <w:rPr>
            <w:noProof/>
            <w:webHidden/>
          </w:rPr>
          <w:tab/>
        </w:r>
        <w:r w:rsidR="0082090A">
          <w:rPr>
            <w:noProof/>
            <w:webHidden/>
          </w:rPr>
          <w:fldChar w:fldCharType="begin"/>
        </w:r>
        <w:r w:rsidR="0082090A">
          <w:rPr>
            <w:noProof/>
            <w:webHidden/>
          </w:rPr>
          <w:instrText xml:space="preserve"> PAGEREF _Toc180231658 \h </w:instrText>
        </w:r>
        <w:r w:rsidR="0082090A">
          <w:rPr>
            <w:noProof/>
            <w:webHidden/>
          </w:rPr>
        </w:r>
        <w:r w:rsidR="0082090A">
          <w:rPr>
            <w:noProof/>
            <w:webHidden/>
          </w:rPr>
          <w:fldChar w:fldCharType="separate"/>
        </w:r>
        <w:r w:rsidR="0082090A">
          <w:rPr>
            <w:noProof/>
            <w:webHidden/>
          </w:rPr>
          <w:t>302</w:t>
        </w:r>
        <w:r w:rsidR="0082090A">
          <w:rPr>
            <w:noProof/>
            <w:webHidden/>
          </w:rPr>
          <w:fldChar w:fldCharType="end"/>
        </w:r>
      </w:hyperlink>
    </w:p>
    <w:p w:rsidR="0082090A" w:rsidRDefault="009D2A11">
      <w:pPr>
        <w:pStyle w:val="Obsah3"/>
        <w:tabs>
          <w:tab w:val="right" w:leader="dot" w:pos="9061"/>
        </w:tabs>
        <w:rPr>
          <w:rFonts w:asciiTheme="minorHAnsi" w:eastAsiaTheme="minorEastAsia" w:hAnsiTheme="minorHAnsi" w:cstheme="minorBidi"/>
          <w:i w:val="0"/>
          <w:iCs w:val="0"/>
          <w:noProof/>
          <w:sz w:val="22"/>
          <w:szCs w:val="22"/>
        </w:rPr>
      </w:pPr>
      <w:hyperlink w:anchor="_Toc180231659" w:history="1">
        <w:r w:rsidR="0082090A" w:rsidRPr="00CA2E1F">
          <w:rPr>
            <w:rStyle w:val="Hypertextovodkaz"/>
            <w:noProof/>
          </w:rPr>
          <w:t>4.4.4 Spor o titul Expositor Novus</w:t>
        </w:r>
        <w:r w:rsidR="0082090A">
          <w:rPr>
            <w:noProof/>
            <w:webHidden/>
          </w:rPr>
          <w:tab/>
        </w:r>
        <w:r w:rsidR="0082090A">
          <w:rPr>
            <w:noProof/>
            <w:webHidden/>
          </w:rPr>
          <w:fldChar w:fldCharType="begin"/>
        </w:r>
        <w:r w:rsidR="0082090A">
          <w:rPr>
            <w:noProof/>
            <w:webHidden/>
          </w:rPr>
          <w:instrText xml:space="preserve"> PAGEREF _Toc180231659 \h </w:instrText>
        </w:r>
        <w:r w:rsidR="0082090A">
          <w:rPr>
            <w:noProof/>
            <w:webHidden/>
          </w:rPr>
        </w:r>
        <w:r w:rsidR="0082090A">
          <w:rPr>
            <w:noProof/>
            <w:webHidden/>
          </w:rPr>
          <w:fldChar w:fldCharType="separate"/>
        </w:r>
        <w:r w:rsidR="0082090A">
          <w:rPr>
            <w:noProof/>
            <w:webHidden/>
          </w:rPr>
          <w:t>323</w:t>
        </w:r>
        <w:r w:rsidR="0082090A">
          <w:rPr>
            <w:noProof/>
            <w:webHidden/>
          </w:rPr>
          <w:fldChar w:fldCharType="end"/>
        </w:r>
      </w:hyperlink>
    </w:p>
    <w:p w:rsidR="0082090A" w:rsidRDefault="009D2A11">
      <w:pPr>
        <w:pStyle w:val="Obsah2"/>
        <w:tabs>
          <w:tab w:val="right" w:leader="dot" w:pos="9061"/>
        </w:tabs>
        <w:rPr>
          <w:rFonts w:asciiTheme="minorHAnsi" w:eastAsiaTheme="minorEastAsia" w:hAnsiTheme="minorHAnsi" w:cstheme="minorBidi"/>
          <w:smallCaps w:val="0"/>
          <w:noProof/>
          <w:sz w:val="22"/>
          <w:szCs w:val="22"/>
        </w:rPr>
      </w:pPr>
      <w:hyperlink w:anchor="_Toc180231660" w:history="1">
        <w:r w:rsidR="0082090A" w:rsidRPr="00CA2E1F">
          <w:rPr>
            <w:rStyle w:val="Hypertextovodkaz"/>
            <w:noProof/>
          </w:rPr>
          <w:t>4.5 Vznik objektivního semiaverroismu (Tomáš Akvinský)</w:t>
        </w:r>
        <w:r w:rsidR="0082090A">
          <w:rPr>
            <w:noProof/>
            <w:webHidden/>
          </w:rPr>
          <w:tab/>
        </w:r>
        <w:r w:rsidR="0082090A">
          <w:rPr>
            <w:noProof/>
            <w:webHidden/>
          </w:rPr>
          <w:fldChar w:fldCharType="begin"/>
        </w:r>
        <w:r w:rsidR="0082090A">
          <w:rPr>
            <w:noProof/>
            <w:webHidden/>
          </w:rPr>
          <w:instrText xml:space="preserve"> PAGEREF _Toc180231660 \h </w:instrText>
        </w:r>
        <w:r w:rsidR="0082090A">
          <w:rPr>
            <w:noProof/>
            <w:webHidden/>
          </w:rPr>
        </w:r>
        <w:r w:rsidR="0082090A">
          <w:rPr>
            <w:noProof/>
            <w:webHidden/>
          </w:rPr>
          <w:fldChar w:fldCharType="separate"/>
        </w:r>
        <w:r w:rsidR="0082090A">
          <w:rPr>
            <w:noProof/>
            <w:webHidden/>
          </w:rPr>
          <w:t>369</w:t>
        </w:r>
        <w:r w:rsidR="0082090A">
          <w:rPr>
            <w:noProof/>
            <w:webHidden/>
          </w:rPr>
          <w:fldChar w:fldCharType="end"/>
        </w:r>
      </w:hyperlink>
    </w:p>
    <w:p w:rsidR="0082090A" w:rsidRDefault="009D2A11">
      <w:pPr>
        <w:pStyle w:val="Obsah3"/>
        <w:tabs>
          <w:tab w:val="right" w:leader="dot" w:pos="9061"/>
        </w:tabs>
        <w:rPr>
          <w:rFonts w:asciiTheme="minorHAnsi" w:eastAsiaTheme="minorEastAsia" w:hAnsiTheme="minorHAnsi" w:cstheme="minorBidi"/>
          <w:i w:val="0"/>
          <w:iCs w:val="0"/>
          <w:noProof/>
          <w:sz w:val="22"/>
          <w:szCs w:val="22"/>
        </w:rPr>
      </w:pPr>
      <w:hyperlink w:anchor="_Toc180231661" w:history="1">
        <w:r w:rsidR="0082090A" w:rsidRPr="00CA2E1F">
          <w:rPr>
            <w:rStyle w:val="Hypertextovodkaz"/>
            <w:noProof/>
          </w:rPr>
          <w:t>4.5.1 Modernizace Avicennovy metafyziky</w:t>
        </w:r>
        <w:r w:rsidR="0082090A">
          <w:rPr>
            <w:noProof/>
            <w:webHidden/>
          </w:rPr>
          <w:tab/>
        </w:r>
        <w:r w:rsidR="0082090A">
          <w:rPr>
            <w:noProof/>
            <w:webHidden/>
          </w:rPr>
          <w:fldChar w:fldCharType="begin"/>
        </w:r>
        <w:r w:rsidR="0082090A">
          <w:rPr>
            <w:noProof/>
            <w:webHidden/>
          </w:rPr>
          <w:instrText xml:space="preserve"> PAGEREF _Toc180231661 \h </w:instrText>
        </w:r>
        <w:r w:rsidR="0082090A">
          <w:rPr>
            <w:noProof/>
            <w:webHidden/>
          </w:rPr>
        </w:r>
        <w:r w:rsidR="0082090A">
          <w:rPr>
            <w:noProof/>
            <w:webHidden/>
          </w:rPr>
          <w:fldChar w:fldCharType="separate"/>
        </w:r>
        <w:r w:rsidR="0082090A">
          <w:rPr>
            <w:noProof/>
            <w:webHidden/>
          </w:rPr>
          <w:t>374</w:t>
        </w:r>
        <w:r w:rsidR="0082090A">
          <w:rPr>
            <w:noProof/>
            <w:webHidden/>
          </w:rPr>
          <w:fldChar w:fldCharType="end"/>
        </w:r>
      </w:hyperlink>
    </w:p>
    <w:p w:rsidR="0082090A" w:rsidRDefault="009D2A11">
      <w:pPr>
        <w:pStyle w:val="Obsah3"/>
        <w:tabs>
          <w:tab w:val="right" w:leader="dot" w:pos="9061"/>
        </w:tabs>
        <w:rPr>
          <w:rFonts w:asciiTheme="minorHAnsi" w:eastAsiaTheme="minorEastAsia" w:hAnsiTheme="minorHAnsi" w:cstheme="minorBidi"/>
          <w:i w:val="0"/>
          <w:iCs w:val="0"/>
          <w:noProof/>
          <w:sz w:val="22"/>
          <w:szCs w:val="22"/>
        </w:rPr>
      </w:pPr>
      <w:hyperlink w:anchor="_Toc180231662" w:history="1">
        <w:r w:rsidR="0082090A" w:rsidRPr="00CA2E1F">
          <w:rPr>
            <w:rStyle w:val="Hypertextovodkaz"/>
            <w:noProof/>
          </w:rPr>
          <w:t>4.5.2 Formální jednota osoby a intelektu</w:t>
        </w:r>
        <w:r w:rsidR="0082090A">
          <w:rPr>
            <w:noProof/>
            <w:webHidden/>
          </w:rPr>
          <w:tab/>
        </w:r>
        <w:r w:rsidR="0082090A">
          <w:rPr>
            <w:noProof/>
            <w:webHidden/>
          </w:rPr>
          <w:fldChar w:fldCharType="begin"/>
        </w:r>
        <w:r w:rsidR="0082090A">
          <w:rPr>
            <w:noProof/>
            <w:webHidden/>
          </w:rPr>
          <w:instrText xml:space="preserve"> PAGEREF _Toc180231662 \h </w:instrText>
        </w:r>
        <w:r w:rsidR="0082090A">
          <w:rPr>
            <w:noProof/>
            <w:webHidden/>
          </w:rPr>
        </w:r>
        <w:r w:rsidR="0082090A">
          <w:rPr>
            <w:noProof/>
            <w:webHidden/>
          </w:rPr>
          <w:fldChar w:fldCharType="separate"/>
        </w:r>
        <w:r w:rsidR="0082090A">
          <w:rPr>
            <w:noProof/>
            <w:webHidden/>
          </w:rPr>
          <w:t>404</w:t>
        </w:r>
        <w:r w:rsidR="0082090A">
          <w:rPr>
            <w:noProof/>
            <w:webHidden/>
          </w:rPr>
          <w:fldChar w:fldCharType="end"/>
        </w:r>
      </w:hyperlink>
    </w:p>
    <w:p w:rsidR="0082090A" w:rsidRDefault="009D2A11">
      <w:pPr>
        <w:pStyle w:val="Obsah3"/>
        <w:tabs>
          <w:tab w:val="right" w:leader="dot" w:pos="9061"/>
        </w:tabs>
        <w:rPr>
          <w:rFonts w:asciiTheme="minorHAnsi" w:eastAsiaTheme="minorEastAsia" w:hAnsiTheme="minorHAnsi" w:cstheme="minorBidi"/>
          <w:i w:val="0"/>
          <w:iCs w:val="0"/>
          <w:noProof/>
          <w:sz w:val="22"/>
          <w:szCs w:val="22"/>
        </w:rPr>
      </w:pPr>
      <w:hyperlink w:anchor="_Toc180231663" w:history="1">
        <w:r w:rsidR="0082090A" w:rsidRPr="00CA2E1F">
          <w:rPr>
            <w:rStyle w:val="Hypertextovodkaz"/>
            <w:noProof/>
          </w:rPr>
          <w:t>4.5.3 Moderní výklad De anima</w:t>
        </w:r>
        <w:r w:rsidR="0082090A">
          <w:rPr>
            <w:noProof/>
            <w:webHidden/>
          </w:rPr>
          <w:tab/>
        </w:r>
        <w:r w:rsidR="0082090A">
          <w:rPr>
            <w:noProof/>
            <w:webHidden/>
          </w:rPr>
          <w:fldChar w:fldCharType="begin"/>
        </w:r>
        <w:r w:rsidR="0082090A">
          <w:rPr>
            <w:noProof/>
            <w:webHidden/>
          </w:rPr>
          <w:instrText xml:space="preserve"> PAGEREF _Toc180231663 \h </w:instrText>
        </w:r>
        <w:r w:rsidR="0082090A">
          <w:rPr>
            <w:noProof/>
            <w:webHidden/>
          </w:rPr>
        </w:r>
        <w:r w:rsidR="0082090A">
          <w:rPr>
            <w:noProof/>
            <w:webHidden/>
          </w:rPr>
          <w:fldChar w:fldCharType="separate"/>
        </w:r>
        <w:r w:rsidR="0082090A">
          <w:rPr>
            <w:noProof/>
            <w:webHidden/>
          </w:rPr>
          <w:t>422</w:t>
        </w:r>
        <w:r w:rsidR="0082090A">
          <w:rPr>
            <w:noProof/>
            <w:webHidden/>
          </w:rPr>
          <w:fldChar w:fldCharType="end"/>
        </w:r>
      </w:hyperlink>
    </w:p>
    <w:p w:rsidR="0082090A" w:rsidRDefault="009D2A11">
      <w:pPr>
        <w:pStyle w:val="Obsah3"/>
        <w:tabs>
          <w:tab w:val="right" w:leader="dot" w:pos="9061"/>
        </w:tabs>
        <w:rPr>
          <w:rFonts w:asciiTheme="minorHAnsi" w:eastAsiaTheme="minorEastAsia" w:hAnsiTheme="minorHAnsi" w:cstheme="minorBidi"/>
          <w:i w:val="0"/>
          <w:iCs w:val="0"/>
          <w:noProof/>
          <w:sz w:val="22"/>
          <w:szCs w:val="22"/>
        </w:rPr>
      </w:pPr>
      <w:hyperlink w:anchor="_Toc180231664" w:history="1">
        <w:r w:rsidR="0082090A" w:rsidRPr="00CA2E1F">
          <w:rPr>
            <w:rStyle w:val="Hypertextovodkaz"/>
            <w:noProof/>
          </w:rPr>
          <w:t>4.5.4 Vznik objektivního tomismu</w:t>
        </w:r>
        <w:r w:rsidR="0082090A">
          <w:rPr>
            <w:noProof/>
            <w:webHidden/>
          </w:rPr>
          <w:tab/>
        </w:r>
        <w:r w:rsidR="0082090A">
          <w:rPr>
            <w:noProof/>
            <w:webHidden/>
          </w:rPr>
          <w:fldChar w:fldCharType="begin"/>
        </w:r>
        <w:r w:rsidR="0082090A">
          <w:rPr>
            <w:noProof/>
            <w:webHidden/>
          </w:rPr>
          <w:instrText xml:space="preserve"> PAGEREF _Toc180231664 \h </w:instrText>
        </w:r>
        <w:r w:rsidR="0082090A">
          <w:rPr>
            <w:noProof/>
            <w:webHidden/>
          </w:rPr>
        </w:r>
        <w:r w:rsidR="0082090A">
          <w:rPr>
            <w:noProof/>
            <w:webHidden/>
          </w:rPr>
          <w:fldChar w:fldCharType="separate"/>
        </w:r>
        <w:r w:rsidR="0082090A">
          <w:rPr>
            <w:noProof/>
            <w:webHidden/>
          </w:rPr>
          <w:t>439</w:t>
        </w:r>
        <w:r w:rsidR="0082090A">
          <w:rPr>
            <w:noProof/>
            <w:webHidden/>
          </w:rPr>
          <w:fldChar w:fldCharType="end"/>
        </w:r>
      </w:hyperlink>
    </w:p>
    <w:p w:rsidR="0082090A" w:rsidRDefault="009D2A11">
      <w:pPr>
        <w:pStyle w:val="Obsah2"/>
        <w:tabs>
          <w:tab w:val="right" w:leader="dot" w:pos="9061"/>
        </w:tabs>
        <w:rPr>
          <w:rFonts w:asciiTheme="minorHAnsi" w:eastAsiaTheme="minorEastAsia" w:hAnsiTheme="minorHAnsi" w:cstheme="minorBidi"/>
          <w:smallCaps w:val="0"/>
          <w:noProof/>
          <w:sz w:val="22"/>
          <w:szCs w:val="22"/>
        </w:rPr>
      </w:pPr>
      <w:hyperlink w:anchor="_Toc180231665" w:history="1">
        <w:r w:rsidR="0082090A" w:rsidRPr="00CA2E1F">
          <w:rPr>
            <w:rStyle w:val="Hypertextovodkaz"/>
            <w:noProof/>
          </w:rPr>
          <w:t>4.6 Averroismus a nástup moderny</w:t>
        </w:r>
        <w:r w:rsidR="0082090A">
          <w:rPr>
            <w:noProof/>
            <w:webHidden/>
          </w:rPr>
          <w:tab/>
        </w:r>
        <w:r w:rsidR="0082090A">
          <w:rPr>
            <w:noProof/>
            <w:webHidden/>
          </w:rPr>
          <w:fldChar w:fldCharType="begin"/>
        </w:r>
        <w:r w:rsidR="0082090A">
          <w:rPr>
            <w:noProof/>
            <w:webHidden/>
          </w:rPr>
          <w:instrText xml:space="preserve"> PAGEREF _Toc180231665 \h </w:instrText>
        </w:r>
        <w:r w:rsidR="0082090A">
          <w:rPr>
            <w:noProof/>
            <w:webHidden/>
          </w:rPr>
        </w:r>
        <w:r w:rsidR="0082090A">
          <w:rPr>
            <w:noProof/>
            <w:webHidden/>
          </w:rPr>
          <w:fldChar w:fldCharType="separate"/>
        </w:r>
        <w:r w:rsidR="0082090A">
          <w:rPr>
            <w:noProof/>
            <w:webHidden/>
          </w:rPr>
          <w:t>475</w:t>
        </w:r>
        <w:r w:rsidR="0082090A">
          <w:rPr>
            <w:noProof/>
            <w:webHidden/>
          </w:rPr>
          <w:fldChar w:fldCharType="end"/>
        </w:r>
      </w:hyperlink>
    </w:p>
    <w:p w:rsidR="0082090A" w:rsidRDefault="009D2A11">
      <w:pPr>
        <w:pStyle w:val="Obsah1"/>
        <w:tabs>
          <w:tab w:val="right" w:leader="dot" w:pos="9061"/>
        </w:tabs>
        <w:rPr>
          <w:rFonts w:asciiTheme="minorHAnsi" w:eastAsiaTheme="minorEastAsia" w:hAnsiTheme="minorHAnsi" w:cstheme="minorBidi"/>
          <w:b w:val="0"/>
          <w:bCs w:val="0"/>
          <w:caps w:val="0"/>
          <w:noProof/>
          <w:sz w:val="22"/>
          <w:szCs w:val="22"/>
        </w:rPr>
      </w:pPr>
      <w:hyperlink w:anchor="_Toc180231666" w:history="1">
        <w:r w:rsidR="0082090A" w:rsidRPr="00CA2E1F">
          <w:rPr>
            <w:rStyle w:val="Hypertextovodkaz"/>
            <w:noProof/>
          </w:rPr>
          <w:t>5. Vznik antropocentrické metafyziky (Matrice V)</w:t>
        </w:r>
        <w:r w:rsidR="0082090A">
          <w:rPr>
            <w:noProof/>
            <w:webHidden/>
          </w:rPr>
          <w:tab/>
        </w:r>
        <w:r w:rsidR="0082090A">
          <w:rPr>
            <w:noProof/>
            <w:webHidden/>
          </w:rPr>
          <w:fldChar w:fldCharType="begin"/>
        </w:r>
        <w:r w:rsidR="0082090A">
          <w:rPr>
            <w:noProof/>
            <w:webHidden/>
          </w:rPr>
          <w:instrText xml:space="preserve"> PAGEREF _Toc180231666 \h </w:instrText>
        </w:r>
        <w:r w:rsidR="0082090A">
          <w:rPr>
            <w:noProof/>
            <w:webHidden/>
          </w:rPr>
        </w:r>
        <w:r w:rsidR="0082090A">
          <w:rPr>
            <w:noProof/>
            <w:webHidden/>
          </w:rPr>
          <w:fldChar w:fldCharType="separate"/>
        </w:r>
        <w:r w:rsidR="0082090A">
          <w:rPr>
            <w:noProof/>
            <w:webHidden/>
          </w:rPr>
          <w:t>488</w:t>
        </w:r>
        <w:r w:rsidR="0082090A">
          <w:rPr>
            <w:noProof/>
            <w:webHidden/>
          </w:rPr>
          <w:fldChar w:fldCharType="end"/>
        </w:r>
      </w:hyperlink>
    </w:p>
    <w:p w:rsidR="0082090A" w:rsidRDefault="009D2A11">
      <w:pPr>
        <w:pStyle w:val="Obsah2"/>
        <w:tabs>
          <w:tab w:val="right" w:leader="dot" w:pos="9061"/>
        </w:tabs>
        <w:rPr>
          <w:rFonts w:asciiTheme="minorHAnsi" w:eastAsiaTheme="minorEastAsia" w:hAnsiTheme="minorHAnsi" w:cstheme="minorBidi"/>
          <w:smallCaps w:val="0"/>
          <w:noProof/>
          <w:sz w:val="22"/>
          <w:szCs w:val="22"/>
        </w:rPr>
      </w:pPr>
      <w:hyperlink w:anchor="_Toc180231667" w:history="1">
        <w:r w:rsidR="0082090A" w:rsidRPr="00CA2E1F">
          <w:rPr>
            <w:rStyle w:val="Hypertextovodkaz"/>
            <w:noProof/>
          </w:rPr>
          <w:t>5.1 Vznik kapitalistického subjektu (Petrus Olivi)</w:t>
        </w:r>
        <w:r w:rsidR="0082090A">
          <w:rPr>
            <w:noProof/>
            <w:webHidden/>
          </w:rPr>
          <w:tab/>
        </w:r>
        <w:r w:rsidR="0082090A">
          <w:rPr>
            <w:noProof/>
            <w:webHidden/>
          </w:rPr>
          <w:fldChar w:fldCharType="begin"/>
        </w:r>
        <w:r w:rsidR="0082090A">
          <w:rPr>
            <w:noProof/>
            <w:webHidden/>
          </w:rPr>
          <w:instrText xml:space="preserve"> PAGEREF _Toc180231667 \h </w:instrText>
        </w:r>
        <w:r w:rsidR="0082090A">
          <w:rPr>
            <w:noProof/>
            <w:webHidden/>
          </w:rPr>
        </w:r>
        <w:r w:rsidR="0082090A">
          <w:rPr>
            <w:noProof/>
            <w:webHidden/>
          </w:rPr>
          <w:fldChar w:fldCharType="separate"/>
        </w:r>
        <w:r w:rsidR="0082090A">
          <w:rPr>
            <w:noProof/>
            <w:webHidden/>
          </w:rPr>
          <w:t>499</w:t>
        </w:r>
        <w:r w:rsidR="0082090A">
          <w:rPr>
            <w:noProof/>
            <w:webHidden/>
          </w:rPr>
          <w:fldChar w:fldCharType="end"/>
        </w:r>
      </w:hyperlink>
    </w:p>
    <w:p w:rsidR="0082090A" w:rsidRDefault="009D2A11">
      <w:pPr>
        <w:pStyle w:val="Obsah3"/>
        <w:tabs>
          <w:tab w:val="right" w:leader="dot" w:pos="9061"/>
        </w:tabs>
        <w:rPr>
          <w:rFonts w:asciiTheme="minorHAnsi" w:eastAsiaTheme="minorEastAsia" w:hAnsiTheme="minorHAnsi" w:cstheme="minorBidi"/>
          <w:i w:val="0"/>
          <w:iCs w:val="0"/>
          <w:noProof/>
          <w:sz w:val="22"/>
          <w:szCs w:val="22"/>
        </w:rPr>
      </w:pPr>
      <w:hyperlink w:anchor="_Toc180231668" w:history="1">
        <w:r w:rsidR="0082090A" w:rsidRPr="00CA2E1F">
          <w:rPr>
            <w:rStyle w:val="Hypertextovodkaz"/>
            <w:noProof/>
          </w:rPr>
          <w:t>5.1.1 Moderní subjekt a materiální paměť</w:t>
        </w:r>
        <w:r w:rsidR="0082090A">
          <w:rPr>
            <w:noProof/>
            <w:webHidden/>
          </w:rPr>
          <w:tab/>
        </w:r>
        <w:r w:rsidR="0082090A">
          <w:rPr>
            <w:noProof/>
            <w:webHidden/>
          </w:rPr>
          <w:fldChar w:fldCharType="begin"/>
        </w:r>
        <w:r w:rsidR="0082090A">
          <w:rPr>
            <w:noProof/>
            <w:webHidden/>
          </w:rPr>
          <w:instrText xml:space="preserve"> PAGEREF _Toc180231668 \h </w:instrText>
        </w:r>
        <w:r w:rsidR="0082090A">
          <w:rPr>
            <w:noProof/>
            <w:webHidden/>
          </w:rPr>
        </w:r>
        <w:r w:rsidR="0082090A">
          <w:rPr>
            <w:noProof/>
            <w:webHidden/>
          </w:rPr>
          <w:fldChar w:fldCharType="separate"/>
        </w:r>
        <w:r w:rsidR="0082090A">
          <w:rPr>
            <w:noProof/>
            <w:webHidden/>
          </w:rPr>
          <w:t>505</w:t>
        </w:r>
        <w:r w:rsidR="0082090A">
          <w:rPr>
            <w:noProof/>
            <w:webHidden/>
          </w:rPr>
          <w:fldChar w:fldCharType="end"/>
        </w:r>
      </w:hyperlink>
    </w:p>
    <w:p w:rsidR="0082090A" w:rsidRDefault="009D2A11">
      <w:pPr>
        <w:pStyle w:val="Obsah3"/>
        <w:tabs>
          <w:tab w:val="right" w:leader="dot" w:pos="9061"/>
        </w:tabs>
        <w:rPr>
          <w:rFonts w:asciiTheme="minorHAnsi" w:eastAsiaTheme="minorEastAsia" w:hAnsiTheme="minorHAnsi" w:cstheme="minorBidi"/>
          <w:i w:val="0"/>
          <w:iCs w:val="0"/>
          <w:noProof/>
          <w:sz w:val="22"/>
          <w:szCs w:val="22"/>
        </w:rPr>
      </w:pPr>
      <w:hyperlink w:anchor="_Toc180231669" w:history="1">
        <w:r w:rsidR="0082090A" w:rsidRPr="00CA2E1F">
          <w:rPr>
            <w:rStyle w:val="Hypertextovodkaz"/>
            <w:noProof/>
          </w:rPr>
          <w:t>5.1.2 Vůle jako intimní kauza třetího druhu</w:t>
        </w:r>
        <w:r w:rsidR="0082090A">
          <w:rPr>
            <w:noProof/>
            <w:webHidden/>
          </w:rPr>
          <w:tab/>
        </w:r>
        <w:r w:rsidR="0082090A">
          <w:rPr>
            <w:noProof/>
            <w:webHidden/>
          </w:rPr>
          <w:fldChar w:fldCharType="begin"/>
        </w:r>
        <w:r w:rsidR="0082090A">
          <w:rPr>
            <w:noProof/>
            <w:webHidden/>
          </w:rPr>
          <w:instrText xml:space="preserve"> PAGEREF _Toc180231669 \h </w:instrText>
        </w:r>
        <w:r w:rsidR="0082090A">
          <w:rPr>
            <w:noProof/>
            <w:webHidden/>
          </w:rPr>
        </w:r>
        <w:r w:rsidR="0082090A">
          <w:rPr>
            <w:noProof/>
            <w:webHidden/>
          </w:rPr>
          <w:fldChar w:fldCharType="separate"/>
        </w:r>
        <w:r w:rsidR="0082090A">
          <w:rPr>
            <w:noProof/>
            <w:webHidden/>
          </w:rPr>
          <w:t>517</w:t>
        </w:r>
        <w:r w:rsidR="0082090A">
          <w:rPr>
            <w:noProof/>
            <w:webHidden/>
          </w:rPr>
          <w:fldChar w:fldCharType="end"/>
        </w:r>
      </w:hyperlink>
    </w:p>
    <w:p w:rsidR="0082090A" w:rsidRDefault="009D2A11">
      <w:pPr>
        <w:pStyle w:val="Obsah3"/>
        <w:tabs>
          <w:tab w:val="right" w:leader="dot" w:pos="9061"/>
        </w:tabs>
        <w:rPr>
          <w:rFonts w:asciiTheme="minorHAnsi" w:eastAsiaTheme="minorEastAsia" w:hAnsiTheme="minorHAnsi" w:cstheme="minorBidi"/>
          <w:i w:val="0"/>
          <w:iCs w:val="0"/>
          <w:noProof/>
          <w:sz w:val="22"/>
          <w:szCs w:val="22"/>
        </w:rPr>
      </w:pPr>
      <w:hyperlink w:anchor="_Toc180231670" w:history="1">
        <w:r w:rsidR="0082090A" w:rsidRPr="00CA2E1F">
          <w:rPr>
            <w:rStyle w:val="Hypertextovodkaz"/>
            <w:noProof/>
          </w:rPr>
          <w:t>5.1.3 Metafyzika a ekonomie</w:t>
        </w:r>
        <w:r w:rsidR="0082090A">
          <w:rPr>
            <w:noProof/>
            <w:webHidden/>
          </w:rPr>
          <w:tab/>
        </w:r>
        <w:r w:rsidR="0082090A">
          <w:rPr>
            <w:noProof/>
            <w:webHidden/>
          </w:rPr>
          <w:fldChar w:fldCharType="begin"/>
        </w:r>
        <w:r w:rsidR="0082090A">
          <w:rPr>
            <w:noProof/>
            <w:webHidden/>
          </w:rPr>
          <w:instrText xml:space="preserve"> PAGEREF _Toc180231670 \h </w:instrText>
        </w:r>
        <w:r w:rsidR="0082090A">
          <w:rPr>
            <w:noProof/>
            <w:webHidden/>
          </w:rPr>
        </w:r>
        <w:r w:rsidR="0082090A">
          <w:rPr>
            <w:noProof/>
            <w:webHidden/>
          </w:rPr>
          <w:fldChar w:fldCharType="separate"/>
        </w:r>
        <w:r w:rsidR="0082090A">
          <w:rPr>
            <w:noProof/>
            <w:webHidden/>
          </w:rPr>
          <w:t>554</w:t>
        </w:r>
        <w:r w:rsidR="0082090A">
          <w:rPr>
            <w:noProof/>
            <w:webHidden/>
          </w:rPr>
          <w:fldChar w:fldCharType="end"/>
        </w:r>
      </w:hyperlink>
    </w:p>
    <w:p w:rsidR="0082090A" w:rsidRDefault="009D2A11">
      <w:pPr>
        <w:pStyle w:val="Obsah2"/>
        <w:tabs>
          <w:tab w:val="right" w:leader="dot" w:pos="9061"/>
        </w:tabs>
        <w:rPr>
          <w:rFonts w:asciiTheme="minorHAnsi" w:eastAsiaTheme="minorEastAsia" w:hAnsiTheme="minorHAnsi" w:cstheme="minorBidi"/>
          <w:smallCaps w:val="0"/>
          <w:noProof/>
          <w:sz w:val="22"/>
          <w:szCs w:val="22"/>
        </w:rPr>
      </w:pPr>
      <w:hyperlink w:anchor="_Toc180231671" w:history="1">
        <w:r w:rsidR="0082090A" w:rsidRPr="00CA2E1F">
          <w:rPr>
            <w:rStyle w:val="Hypertextovodkaz"/>
            <w:noProof/>
          </w:rPr>
          <w:t>5.2 Systematizace objektivity (Henry z Gentu)</w:t>
        </w:r>
        <w:r w:rsidR="0082090A">
          <w:rPr>
            <w:noProof/>
            <w:webHidden/>
          </w:rPr>
          <w:tab/>
        </w:r>
        <w:r w:rsidR="0082090A">
          <w:rPr>
            <w:noProof/>
            <w:webHidden/>
          </w:rPr>
          <w:fldChar w:fldCharType="begin"/>
        </w:r>
        <w:r w:rsidR="0082090A">
          <w:rPr>
            <w:noProof/>
            <w:webHidden/>
          </w:rPr>
          <w:instrText xml:space="preserve"> PAGEREF _Toc180231671 \h </w:instrText>
        </w:r>
        <w:r w:rsidR="0082090A">
          <w:rPr>
            <w:noProof/>
            <w:webHidden/>
          </w:rPr>
        </w:r>
        <w:r w:rsidR="0082090A">
          <w:rPr>
            <w:noProof/>
            <w:webHidden/>
          </w:rPr>
          <w:fldChar w:fldCharType="separate"/>
        </w:r>
        <w:r w:rsidR="0082090A">
          <w:rPr>
            <w:noProof/>
            <w:webHidden/>
          </w:rPr>
          <w:t>568</w:t>
        </w:r>
        <w:r w:rsidR="0082090A">
          <w:rPr>
            <w:noProof/>
            <w:webHidden/>
          </w:rPr>
          <w:fldChar w:fldCharType="end"/>
        </w:r>
      </w:hyperlink>
    </w:p>
    <w:p w:rsidR="0082090A" w:rsidRDefault="009D2A11">
      <w:pPr>
        <w:pStyle w:val="Obsah3"/>
        <w:tabs>
          <w:tab w:val="right" w:leader="dot" w:pos="9061"/>
        </w:tabs>
        <w:rPr>
          <w:rFonts w:asciiTheme="minorHAnsi" w:eastAsiaTheme="minorEastAsia" w:hAnsiTheme="minorHAnsi" w:cstheme="minorBidi"/>
          <w:i w:val="0"/>
          <w:iCs w:val="0"/>
          <w:noProof/>
          <w:sz w:val="22"/>
          <w:szCs w:val="22"/>
        </w:rPr>
      </w:pPr>
      <w:hyperlink w:anchor="_Toc180231672" w:history="1">
        <w:r w:rsidR="0082090A" w:rsidRPr="00CA2E1F">
          <w:rPr>
            <w:rStyle w:val="Hypertextovodkaz"/>
            <w:noProof/>
          </w:rPr>
          <w:t>5.2.1 Koncept objektivního jsoucna</w:t>
        </w:r>
        <w:r w:rsidR="0082090A">
          <w:rPr>
            <w:noProof/>
            <w:webHidden/>
          </w:rPr>
          <w:tab/>
        </w:r>
        <w:r w:rsidR="0082090A">
          <w:rPr>
            <w:noProof/>
            <w:webHidden/>
          </w:rPr>
          <w:fldChar w:fldCharType="begin"/>
        </w:r>
        <w:r w:rsidR="0082090A">
          <w:rPr>
            <w:noProof/>
            <w:webHidden/>
          </w:rPr>
          <w:instrText xml:space="preserve"> PAGEREF _Toc180231672 \h </w:instrText>
        </w:r>
        <w:r w:rsidR="0082090A">
          <w:rPr>
            <w:noProof/>
            <w:webHidden/>
          </w:rPr>
        </w:r>
        <w:r w:rsidR="0082090A">
          <w:rPr>
            <w:noProof/>
            <w:webHidden/>
          </w:rPr>
          <w:fldChar w:fldCharType="separate"/>
        </w:r>
        <w:r w:rsidR="0082090A">
          <w:rPr>
            <w:noProof/>
            <w:webHidden/>
          </w:rPr>
          <w:t>573</w:t>
        </w:r>
        <w:r w:rsidR="0082090A">
          <w:rPr>
            <w:noProof/>
            <w:webHidden/>
          </w:rPr>
          <w:fldChar w:fldCharType="end"/>
        </w:r>
      </w:hyperlink>
    </w:p>
    <w:p w:rsidR="0082090A" w:rsidRDefault="009D2A11">
      <w:pPr>
        <w:pStyle w:val="Obsah3"/>
        <w:tabs>
          <w:tab w:val="right" w:leader="dot" w:pos="9061"/>
        </w:tabs>
        <w:rPr>
          <w:rFonts w:asciiTheme="minorHAnsi" w:eastAsiaTheme="minorEastAsia" w:hAnsiTheme="minorHAnsi" w:cstheme="minorBidi"/>
          <w:i w:val="0"/>
          <w:iCs w:val="0"/>
          <w:noProof/>
          <w:sz w:val="22"/>
          <w:szCs w:val="22"/>
        </w:rPr>
      </w:pPr>
      <w:hyperlink w:anchor="_Toc180231673" w:history="1">
        <w:r w:rsidR="0082090A" w:rsidRPr="00CA2E1F">
          <w:rPr>
            <w:rStyle w:val="Hypertextovodkaz"/>
            <w:noProof/>
          </w:rPr>
          <w:t>5.2.2 Objektivní správnost jsoucna</w:t>
        </w:r>
        <w:r w:rsidR="0082090A">
          <w:rPr>
            <w:noProof/>
            <w:webHidden/>
          </w:rPr>
          <w:tab/>
        </w:r>
        <w:r w:rsidR="0082090A">
          <w:rPr>
            <w:noProof/>
            <w:webHidden/>
          </w:rPr>
          <w:fldChar w:fldCharType="begin"/>
        </w:r>
        <w:r w:rsidR="0082090A">
          <w:rPr>
            <w:noProof/>
            <w:webHidden/>
          </w:rPr>
          <w:instrText xml:space="preserve"> PAGEREF _Toc180231673 \h </w:instrText>
        </w:r>
        <w:r w:rsidR="0082090A">
          <w:rPr>
            <w:noProof/>
            <w:webHidden/>
          </w:rPr>
        </w:r>
        <w:r w:rsidR="0082090A">
          <w:rPr>
            <w:noProof/>
            <w:webHidden/>
          </w:rPr>
          <w:fldChar w:fldCharType="separate"/>
        </w:r>
        <w:r w:rsidR="0082090A">
          <w:rPr>
            <w:noProof/>
            <w:webHidden/>
          </w:rPr>
          <w:t>586</w:t>
        </w:r>
        <w:r w:rsidR="0082090A">
          <w:rPr>
            <w:noProof/>
            <w:webHidden/>
          </w:rPr>
          <w:fldChar w:fldCharType="end"/>
        </w:r>
      </w:hyperlink>
    </w:p>
    <w:p w:rsidR="0082090A" w:rsidRDefault="009D2A11">
      <w:pPr>
        <w:pStyle w:val="Obsah3"/>
        <w:tabs>
          <w:tab w:val="right" w:leader="dot" w:pos="9061"/>
        </w:tabs>
        <w:rPr>
          <w:rFonts w:asciiTheme="minorHAnsi" w:eastAsiaTheme="minorEastAsia" w:hAnsiTheme="minorHAnsi" w:cstheme="minorBidi"/>
          <w:i w:val="0"/>
          <w:iCs w:val="0"/>
          <w:noProof/>
          <w:sz w:val="22"/>
          <w:szCs w:val="22"/>
        </w:rPr>
      </w:pPr>
      <w:hyperlink w:anchor="_Toc180231674" w:history="1">
        <w:r w:rsidR="0082090A" w:rsidRPr="00CA2E1F">
          <w:rPr>
            <w:rStyle w:val="Hypertextovodkaz"/>
            <w:noProof/>
          </w:rPr>
          <w:t>5.2.3 Objektivní ontoteologie a moderní bůh</w:t>
        </w:r>
        <w:r w:rsidR="0082090A">
          <w:rPr>
            <w:noProof/>
            <w:webHidden/>
          </w:rPr>
          <w:tab/>
        </w:r>
        <w:r w:rsidR="0082090A">
          <w:rPr>
            <w:noProof/>
            <w:webHidden/>
          </w:rPr>
          <w:fldChar w:fldCharType="begin"/>
        </w:r>
        <w:r w:rsidR="0082090A">
          <w:rPr>
            <w:noProof/>
            <w:webHidden/>
          </w:rPr>
          <w:instrText xml:space="preserve"> PAGEREF _Toc180231674 \h </w:instrText>
        </w:r>
        <w:r w:rsidR="0082090A">
          <w:rPr>
            <w:noProof/>
            <w:webHidden/>
          </w:rPr>
        </w:r>
        <w:r w:rsidR="0082090A">
          <w:rPr>
            <w:noProof/>
            <w:webHidden/>
          </w:rPr>
          <w:fldChar w:fldCharType="separate"/>
        </w:r>
        <w:r w:rsidR="0082090A">
          <w:rPr>
            <w:noProof/>
            <w:webHidden/>
          </w:rPr>
          <w:t>602</w:t>
        </w:r>
        <w:r w:rsidR="0082090A">
          <w:rPr>
            <w:noProof/>
            <w:webHidden/>
          </w:rPr>
          <w:fldChar w:fldCharType="end"/>
        </w:r>
      </w:hyperlink>
    </w:p>
    <w:p w:rsidR="0082090A" w:rsidRDefault="009D2A11">
      <w:pPr>
        <w:pStyle w:val="Obsah2"/>
        <w:tabs>
          <w:tab w:val="right" w:leader="dot" w:pos="9061"/>
        </w:tabs>
        <w:rPr>
          <w:rFonts w:asciiTheme="minorHAnsi" w:eastAsiaTheme="minorEastAsia" w:hAnsiTheme="minorHAnsi" w:cstheme="minorBidi"/>
          <w:smallCaps w:val="0"/>
          <w:noProof/>
          <w:sz w:val="22"/>
          <w:szCs w:val="22"/>
        </w:rPr>
      </w:pPr>
      <w:hyperlink w:anchor="_Toc180231675" w:history="1">
        <w:r w:rsidR="0082090A" w:rsidRPr="00CA2E1F">
          <w:rPr>
            <w:rStyle w:val="Hypertextovodkaz"/>
            <w:noProof/>
          </w:rPr>
          <w:t>5.3 Vznik objektivní metafyziky (Duns Scotus)</w:t>
        </w:r>
        <w:r w:rsidR="0082090A">
          <w:rPr>
            <w:noProof/>
            <w:webHidden/>
          </w:rPr>
          <w:tab/>
        </w:r>
        <w:r w:rsidR="0082090A">
          <w:rPr>
            <w:noProof/>
            <w:webHidden/>
          </w:rPr>
          <w:fldChar w:fldCharType="begin"/>
        </w:r>
        <w:r w:rsidR="0082090A">
          <w:rPr>
            <w:noProof/>
            <w:webHidden/>
          </w:rPr>
          <w:instrText xml:space="preserve"> PAGEREF _Toc180231675 \h </w:instrText>
        </w:r>
        <w:r w:rsidR="0082090A">
          <w:rPr>
            <w:noProof/>
            <w:webHidden/>
          </w:rPr>
        </w:r>
        <w:r w:rsidR="0082090A">
          <w:rPr>
            <w:noProof/>
            <w:webHidden/>
          </w:rPr>
          <w:fldChar w:fldCharType="separate"/>
        </w:r>
        <w:r w:rsidR="0082090A">
          <w:rPr>
            <w:noProof/>
            <w:webHidden/>
          </w:rPr>
          <w:t>623</w:t>
        </w:r>
        <w:r w:rsidR="0082090A">
          <w:rPr>
            <w:noProof/>
            <w:webHidden/>
          </w:rPr>
          <w:fldChar w:fldCharType="end"/>
        </w:r>
      </w:hyperlink>
    </w:p>
    <w:p w:rsidR="0082090A" w:rsidRDefault="009D2A11">
      <w:pPr>
        <w:pStyle w:val="Obsah3"/>
        <w:tabs>
          <w:tab w:val="right" w:leader="dot" w:pos="9061"/>
        </w:tabs>
        <w:rPr>
          <w:rFonts w:asciiTheme="minorHAnsi" w:eastAsiaTheme="minorEastAsia" w:hAnsiTheme="minorHAnsi" w:cstheme="minorBidi"/>
          <w:i w:val="0"/>
          <w:iCs w:val="0"/>
          <w:noProof/>
          <w:sz w:val="22"/>
          <w:szCs w:val="22"/>
        </w:rPr>
      </w:pPr>
      <w:hyperlink w:anchor="_Toc180231676" w:history="1">
        <w:r w:rsidR="0082090A" w:rsidRPr="00CA2E1F">
          <w:rPr>
            <w:rStyle w:val="Hypertextovodkaz"/>
            <w:noProof/>
          </w:rPr>
          <w:t>5.3.1 Nihilismus první substance</w:t>
        </w:r>
        <w:r w:rsidR="0082090A">
          <w:rPr>
            <w:noProof/>
            <w:webHidden/>
          </w:rPr>
          <w:tab/>
        </w:r>
        <w:r w:rsidR="0082090A">
          <w:rPr>
            <w:noProof/>
            <w:webHidden/>
          </w:rPr>
          <w:fldChar w:fldCharType="begin"/>
        </w:r>
        <w:r w:rsidR="0082090A">
          <w:rPr>
            <w:noProof/>
            <w:webHidden/>
          </w:rPr>
          <w:instrText xml:space="preserve"> PAGEREF _Toc180231676 \h </w:instrText>
        </w:r>
        <w:r w:rsidR="0082090A">
          <w:rPr>
            <w:noProof/>
            <w:webHidden/>
          </w:rPr>
        </w:r>
        <w:r w:rsidR="0082090A">
          <w:rPr>
            <w:noProof/>
            <w:webHidden/>
          </w:rPr>
          <w:fldChar w:fldCharType="separate"/>
        </w:r>
        <w:r w:rsidR="0082090A">
          <w:rPr>
            <w:noProof/>
            <w:webHidden/>
          </w:rPr>
          <w:t>627</w:t>
        </w:r>
        <w:r w:rsidR="0082090A">
          <w:rPr>
            <w:noProof/>
            <w:webHidden/>
          </w:rPr>
          <w:fldChar w:fldCharType="end"/>
        </w:r>
      </w:hyperlink>
    </w:p>
    <w:p w:rsidR="0082090A" w:rsidRDefault="009D2A11">
      <w:pPr>
        <w:pStyle w:val="Obsah3"/>
        <w:tabs>
          <w:tab w:val="right" w:leader="dot" w:pos="9061"/>
        </w:tabs>
        <w:rPr>
          <w:rFonts w:asciiTheme="minorHAnsi" w:eastAsiaTheme="minorEastAsia" w:hAnsiTheme="minorHAnsi" w:cstheme="minorBidi"/>
          <w:i w:val="0"/>
          <w:iCs w:val="0"/>
          <w:noProof/>
          <w:sz w:val="22"/>
          <w:szCs w:val="22"/>
        </w:rPr>
      </w:pPr>
      <w:hyperlink w:anchor="_Toc180231677" w:history="1">
        <w:r w:rsidR="0082090A" w:rsidRPr="00CA2E1F">
          <w:rPr>
            <w:rStyle w:val="Hypertextovodkaz"/>
            <w:noProof/>
          </w:rPr>
          <w:t>5.3.2 Metafyzická dedukce objektivity</w:t>
        </w:r>
        <w:r w:rsidR="0082090A">
          <w:rPr>
            <w:noProof/>
            <w:webHidden/>
          </w:rPr>
          <w:tab/>
        </w:r>
        <w:r w:rsidR="0082090A">
          <w:rPr>
            <w:noProof/>
            <w:webHidden/>
          </w:rPr>
          <w:fldChar w:fldCharType="begin"/>
        </w:r>
        <w:r w:rsidR="0082090A">
          <w:rPr>
            <w:noProof/>
            <w:webHidden/>
          </w:rPr>
          <w:instrText xml:space="preserve"> PAGEREF _Toc180231677 \h </w:instrText>
        </w:r>
        <w:r w:rsidR="0082090A">
          <w:rPr>
            <w:noProof/>
            <w:webHidden/>
          </w:rPr>
        </w:r>
        <w:r w:rsidR="0082090A">
          <w:rPr>
            <w:noProof/>
            <w:webHidden/>
          </w:rPr>
          <w:fldChar w:fldCharType="separate"/>
        </w:r>
        <w:r w:rsidR="0082090A">
          <w:rPr>
            <w:noProof/>
            <w:webHidden/>
          </w:rPr>
          <w:t>649</w:t>
        </w:r>
        <w:r w:rsidR="0082090A">
          <w:rPr>
            <w:noProof/>
            <w:webHidden/>
          </w:rPr>
          <w:fldChar w:fldCharType="end"/>
        </w:r>
      </w:hyperlink>
    </w:p>
    <w:p w:rsidR="0082090A" w:rsidRDefault="009D2A11">
      <w:pPr>
        <w:pStyle w:val="Obsah3"/>
        <w:tabs>
          <w:tab w:val="right" w:leader="dot" w:pos="9061"/>
        </w:tabs>
        <w:rPr>
          <w:rFonts w:asciiTheme="minorHAnsi" w:eastAsiaTheme="minorEastAsia" w:hAnsiTheme="minorHAnsi" w:cstheme="minorBidi"/>
          <w:i w:val="0"/>
          <w:iCs w:val="0"/>
          <w:noProof/>
          <w:sz w:val="22"/>
          <w:szCs w:val="22"/>
        </w:rPr>
      </w:pPr>
      <w:hyperlink w:anchor="_Toc180231678" w:history="1">
        <w:r w:rsidR="0082090A" w:rsidRPr="00CA2E1F">
          <w:rPr>
            <w:rStyle w:val="Hypertextovodkaz"/>
            <w:noProof/>
          </w:rPr>
          <w:t>5.3.3 Systém objektivní metafyziky</w:t>
        </w:r>
        <w:r w:rsidR="0082090A">
          <w:rPr>
            <w:noProof/>
            <w:webHidden/>
          </w:rPr>
          <w:tab/>
        </w:r>
        <w:r w:rsidR="0082090A">
          <w:rPr>
            <w:noProof/>
            <w:webHidden/>
          </w:rPr>
          <w:fldChar w:fldCharType="begin"/>
        </w:r>
        <w:r w:rsidR="0082090A">
          <w:rPr>
            <w:noProof/>
            <w:webHidden/>
          </w:rPr>
          <w:instrText xml:space="preserve"> PAGEREF _Toc180231678 \h </w:instrText>
        </w:r>
        <w:r w:rsidR="0082090A">
          <w:rPr>
            <w:noProof/>
            <w:webHidden/>
          </w:rPr>
        </w:r>
        <w:r w:rsidR="0082090A">
          <w:rPr>
            <w:noProof/>
            <w:webHidden/>
          </w:rPr>
          <w:fldChar w:fldCharType="separate"/>
        </w:r>
        <w:r w:rsidR="0082090A">
          <w:rPr>
            <w:noProof/>
            <w:webHidden/>
          </w:rPr>
          <w:t>697</w:t>
        </w:r>
        <w:r w:rsidR="0082090A">
          <w:rPr>
            <w:noProof/>
            <w:webHidden/>
          </w:rPr>
          <w:fldChar w:fldCharType="end"/>
        </w:r>
      </w:hyperlink>
    </w:p>
    <w:p w:rsidR="0082090A" w:rsidRDefault="009D2A11">
      <w:pPr>
        <w:pStyle w:val="Obsah3"/>
        <w:tabs>
          <w:tab w:val="right" w:leader="dot" w:pos="9061"/>
        </w:tabs>
        <w:rPr>
          <w:rFonts w:asciiTheme="minorHAnsi" w:eastAsiaTheme="minorEastAsia" w:hAnsiTheme="minorHAnsi" w:cstheme="minorBidi"/>
          <w:i w:val="0"/>
          <w:iCs w:val="0"/>
          <w:noProof/>
          <w:sz w:val="22"/>
          <w:szCs w:val="22"/>
        </w:rPr>
      </w:pPr>
      <w:hyperlink w:anchor="_Toc180231679" w:history="1">
        <w:r w:rsidR="0082090A" w:rsidRPr="00CA2E1F">
          <w:rPr>
            <w:rStyle w:val="Hypertextovodkaz"/>
            <w:noProof/>
          </w:rPr>
          <w:t>5.4.4 Smrt moderního boha a nástup postmoderny</w:t>
        </w:r>
        <w:r w:rsidR="0082090A">
          <w:rPr>
            <w:noProof/>
            <w:webHidden/>
          </w:rPr>
          <w:tab/>
        </w:r>
        <w:r w:rsidR="0082090A">
          <w:rPr>
            <w:noProof/>
            <w:webHidden/>
          </w:rPr>
          <w:fldChar w:fldCharType="begin"/>
        </w:r>
        <w:r w:rsidR="0082090A">
          <w:rPr>
            <w:noProof/>
            <w:webHidden/>
          </w:rPr>
          <w:instrText xml:space="preserve"> PAGEREF _Toc180231679 \h </w:instrText>
        </w:r>
        <w:r w:rsidR="0082090A">
          <w:rPr>
            <w:noProof/>
            <w:webHidden/>
          </w:rPr>
        </w:r>
        <w:r w:rsidR="0082090A">
          <w:rPr>
            <w:noProof/>
            <w:webHidden/>
          </w:rPr>
          <w:fldChar w:fldCharType="separate"/>
        </w:r>
        <w:r w:rsidR="0082090A">
          <w:rPr>
            <w:noProof/>
            <w:webHidden/>
          </w:rPr>
          <w:t>739</w:t>
        </w:r>
        <w:r w:rsidR="0082090A">
          <w:rPr>
            <w:noProof/>
            <w:webHidden/>
          </w:rPr>
          <w:fldChar w:fldCharType="end"/>
        </w:r>
      </w:hyperlink>
    </w:p>
    <w:p w:rsidR="0082090A" w:rsidRDefault="009D2A11">
      <w:pPr>
        <w:pStyle w:val="Obsah2"/>
        <w:tabs>
          <w:tab w:val="right" w:leader="dot" w:pos="9061"/>
        </w:tabs>
        <w:rPr>
          <w:rFonts w:asciiTheme="minorHAnsi" w:eastAsiaTheme="minorEastAsia" w:hAnsiTheme="minorHAnsi" w:cstheme="minorBidi"/>
          <w:smallCaps w:val="0"/>
          <w:noProof/>
          <w:sz w:val="22"/>
          <w:szCs w:val="22"/>
        </w:rPr>
      </w:pPr>
      <w:hyperlink w:anchor="_Toc180231680" w:history="1">
        <w:r w:rsidR="0082090A" w:rsidRPr="00CA2E1F">
          <w:rPr>
            <w:rStyle w:val="Hypertextovodkaz"/>
            <w:noProof/>
          </w:rPr>
          <w:t>5.4 Don Quijote prvního averroismu (William Ockham)</w:t>
        </w:r>
        <w:r w:rsidR="0082090A">
          <w:rPr>
            <w:noProof/>
            <w:webHidden/>
          </w:rPr>
          <w:tab/>
        </w:r>
        <w:r w:rsidR="0082090A">
          <w:rPr>
            <w:noProof/>
            <w:webHidden/>
          </w:rPr>
          <w:fldChar w:fldCharType="begin"/>
        </w:r>
        <w:r w:rsidR="0082090A">
          <w:rPr>
            <w:noProof/>
            <w:webHidden/>
          </w:rPr>
          <w:instrText xml:space="preserve"> PAGEREF _Toc180231680 \h </w:instrText>
        </w:r>
        <w:r w:rsidR="0082090A">
          <w:rPr>
            <w:noProof/>
            <w:webHidden/>
          </w:rPr>
        </w:r>
        <w:r w:rsidR="0082090A">
          <w:rPr>
            <w:noProof/>
            <w:webHidden/>
          </w:rPr>
          <w:fldChar w:fldCharType="separate"/>
        </w:r>
        <w:r w:rsidR="0082090A">
          <w:rPr>
            <w:noProof/>
            <w:webHidden/>
          </w:rPr>
          <w:t>749</w:t>
        </w:r>
        <w:r w:rsidR="0082090A">
          <w:rPr>
            <w:noProof/>
            <w:webHidden/>
          </w:rPr>
          <w:fldChar w:fldCharType="end"/>
        </w:r>
      </w:hyperlink>
    </w:p>
    <w:p w:rsidR="0082090A" w:rsidRDefault="009D2A11">
      <w:pPr>
        <w:pStyle w:val="Obsah3"/>
        <w:tabs>
          <w:tab w:val="right" w:leader="dot" w:pos="9061"/>
        </w:tabs>
        <w:rPr>
          <w:rFonts w:asciiTheme="minorHAnsi" w:eastAsiaTheme="minorEastAsia" w:hAnsiTheme="minorHAnsi" w:cstheme="minorBidi"/>
          <w:i w:val="0"/>
          <w:iCs w:val="0"/>
          <w:noProof/>
          <w:sz w:val="22"/>
          <w:szCs w:val="22"/>
        </w:rPr>
      </w:pPr>
      <w:hyperlink w:anchor="_Toc180231681" w:history="1">
        <w:r w:rsidR="0082090A" w:rsidRPr="00CA2E1F">
          <w:rPr>
            <w:rStyle w:val="Hypertextovodkaz"/>
            <w:noProof/>
          </w:rPr>
          <w:t>5.4.1 Obrana autentického aristotelismu</w:t>
        </w:r>
        <w:r w:rsidR="0082090A">
          <w:rPr>
            <w:noProof/>
            <w:webHidden/>
          </w:rPr>
          <w:tab/>
        </w:r>
        <w:r w:rsidR="0082090A">
          <w:rPr>
            <w:noProof/>
            <w:webHidden/>
          </w:rPr>
          <w:fldChar w:fldCharType="begin"/>
        </w:r>
        <w:r w:rsidR="0082090A">
          <w:rPr>
            <w:noProof/>
            <w:webHidden/>
          </w:rPr>
          <w:instrText xml:space="preserve"> PAGEREF _Toc180231681 \h </w:instrText>
        </w:r>
        <w:r w:rsidR="0082090A">
          <w:rPr>
            <w:noProof/>
            <w:webHidden/>
          </w:rPr>
        </w:r>
        <w:r w:rsidR="0082090A">
          <w:rPr>
            <w:noProof/>
            <w:webHidden/>
          </w:rPr>
          <w:fldChar w:fldCharType="separate"/>
        </w:r>
        <w:r w:rsidR="0082090A">
          <w:rPr>
            <w:noProof/>
            <w:webHidden/>
          </w:rPr>
          <w:t>756</w:t>
        </w:r>
        <w:r w:rsidR="0082090A">
          <w:rPr>
            <w:noProof/>
            <w:webHidden/>
          </w:rPr>
          <w:fldChar w:fldCharType="end"/>
        </w:r>
      </w:hyperlink>
    </w:p>
    <w:p w:rsidR="0082090A" w:rsidRDefault="009D2A11">
      <w:pPr>
        <w:pStyle w:val="Obsah3"/>
        <w:tabs>
          <w:tab w:val="right" w:leader="dot" w:pos="9061"/>
        </w:tabs>
        <w:rPr>
          <w:rFonts w:asciiTheme="minorHAnsi" w:eastAsiaTheme="minorEastAsia" w:hAnsiTheme="minorHAnsi" w:cstheme="minorBidi"/>
          <w:i w:val="0"/>
          <w:iCs w:val="0"/>
          <w:noProof/>
          <w:sz w:val="22"/>
          <w:szCs w:val="22"/>
        </w:rPr>
      </w:pPr>
      <w:hyperlink w:anchor="_Toc180231682" w:history="1">
        <w:r w:rsidR="0082090A" w:rsidRPr="00CA2E1F">
          <w:rPr>
            <w:rStyle w:val="Hypertextovodkaz"/>
            <w:noProof/>
          </w:rPr>
          <w:t>5.4.2 Realita versus metafyzika</w:t>
        </w:r>
        <w:r w:rsidR="0082090A">
          <w:rPr>
            <w:noProof/>
            <w:webHidden/>
          </w:rPr>
          <w:tab/>
        </w:r>
        <w:r w:rsidR="0082090A">
          <w:rPr>
            <w:noProof/>
            <w:webHidden/>
          </w:rPr>
          <w:fldChar w:fldCharType="begin"/>
        </w:r>
        <w:r w:rsidR="0082090A">
          <w:rPr>
            <w:noProof/>
            <w:webHidden/>
          </w:rPr>
          <w:instrText xml:space="preserve"> PAGEREF _Toc180231682 \h </w:instrText>
        </w:r>
        <w:r w:rsidR="0082090A">
          <w:rPr>
            <w:noProof/>
            <w:webHidden/>
          </w:rPr>
        </w:r>
        <w:r w:rsidR="0082090A">
          <w:rPr>
            <w:noProof/>
            <w:webHidden/>
          </w:rPr>
          <w:fldChar w:fldCharType="separate"/>
        </w:r>
        <w:r w:rsidR="0082090A">
          <w:rPr>
            <w:noProof/>
            <w:webHidden/>
          </w:rPr>
          <w:t>775</w:t>
        </w:r>
        <w:r w:rsidR="0082090A">
          <w:rPr>
            <w:noProof/>
            <w:webHidden/>
          </w:rPr>
          <w:fldChar w:fldCharType="end"/>
        </w:r>
      </w:hyperlink>
    </w:p>
    <w:p w:rsidR="0082090A" w:rsidRDefault="009D2A11">
      <w:pPr>
        <w:pStyle w:val="Obsah2"/>
        <w:tabs>
          <w:tab w:val="right" w:leader="dot" w:pos="9061"/>
        </w:tabs>
        <w:rPr>
          <w:rFonts w:asciiTheme="minorHAnsi" w:eastAsiaTheme="minorEastAsia" w:hAnsiTheme="minorHAnsi" w:cstheme="minorBidi"/>
          <w:smallCaps w:val="0"/>
          <w:noProof/>
          <w:sz w:val="22"/>
          <w:szCs w:val="22"/>
        </w:rPr>
      </w:pPr>
      <w:hyperlink w:anchor="_Toc180231683" w:history="1">
        <w:r w:rsidR="0082090A" w:rsidRPr="00CA2E1F">
          <w:rPr>
            <w:rStyle w:val="Hypertextovodkaz"/>
            <w:noProof/>
          </w:rPr>
          <w:t>5.5 Objektivní věda a čarodějnické procesy</w:t>
        </w:r>
        <w:r w:rsidR="0082090A">
          <w:rPr>
            <w:noProof/>
            <w:webHidden/>
          </w:rPr>
          <w:tab/>
        </w:r>
        <w:r w:rsidR="0082090A">
          <w:rPr>
            <w:noProof/>
            <w:webHidden/>
          </w:rPr>
          <w:fldChar w:fldCharType="begin"/>
        </w:r>
        <w:r w:rsidR="0082090A">
          <w:rPr>
            <w:noProof/>
            <w:webHidden/>
          </w:rPr>
          <w:instrText xml:space="preserve"> PAGEREF _Toc180231683 \h </w:instrText>
        </w:r>
        <w:r w:rsidR="0082090A">
          <w:rPr>
            <w:noProof/>
            <w:webHidden/>
          </w:rPr>
        </w:r>
        <w:r w:rsidR="0082090A">
          <w:rPr>
            <w:noProof/>
            <w:webHidden/>
          </w:rPr>
          <w:fldChar w:fldCharType="separate"/>
        </w:r>
        <w:r w:rsidR="0082090A">
          <w:rPr>
            <w:noProof/>
            <w:webHidden/>
          </w:rPr>
          <w:t>799</w:t>
        </w:r>
        <w:r w:rsidR="0082090A">
          <w:rPr>
            <w:noProof/>
            <w:webHidden/>
          </w:rPr>
          <w:fldChar w:fldCharType="end"/>
        </w:r>
      </w:hyperlink>
    </w:p>
    <w:p w:rsidR="0082090A" w:rsidRDefault="009D2A11">
      <w:pPr>
        <w:pStyle w:val="Obsah1"/>
        <w:tabs>
          <w:tab w:val="right" w:leader="dot" w:pos="9061"/>
        </w:tabs>
        <w:rPr>
          <w:rFonts w:asciiTheme="minorHAnsi" w:eastAsiaTheme="minorEastAsia" w:hAnsiTheme="minorHAnsi" w:cstheme="minorBidi"/>
          <w:b w:val="0"/>
          <w:bCs w:val="0"/>
          <w:caps w:val="0"/>
          <w:noProof/>
          <w:sz w:val="22"/>
          <w:szCs w:val="22"/>
        </w:rPr>
      </w:pPr>
      <w:hyperlink w:anchor="_Toc180231684" w:history="1">
        <w:r w:rsidR="0082090A" w:rsidRPr="00CA2E1F">
          <w:rPr>
            <w:rStyle w:val="Hypertextovodkaz"/>
            <w:noProof/>
          </w:rPr>
          <w:t>6. Nástup politického averroismu (Matrice VI)</w:t>
        </w:r>
        <w:r w:rsidR="0082090A">
          <w:rPr>
            <w:noProof/>
            <w:webHidden/>
          </w:rPr>
          <w:tab/>
        </w:r>
        <w:r w:rsidR="0082090A">
          <w:rPr>
            <w:noProof/>
            <w:webHidden/>
          </w:rPr>
          <w:fldChar w:fldCharType="begin"/>
        </w:r>
        <w:r w:rsidR="0082090A">
          <w:rPr>
            <w:noProof/>
            <w:webHidden/>
          </w:rPr>
          <w:instrText xml:space="preserve"> PAGEREF _Toc180231684 \h </w:instrText>
        </w:r>
        <w:r w:rsidR="0082090A">
          <w:rPr>
            <w:noProof/>
            <w:webHidden/>
          </w:rPr>
        </w:r>
        <w:r w:rsidR="0082090A">
          <w:rPr>
            <w:noProof/>
            <w:webHidden/>
          </w:rPr>
          <w:fldChar w:fldCharType="separate"/>
        </w:r>
        <w:r w:rsidR="0082090A">
          <w:rPr>
            <w:noProof/>
            <w:webHidden/>
          </w:rPr>
          <w:t>813</w:t>
        </w:r>
        <w:r w:rsidR="0082090A">
          <w:rPr>
            <w:noProof/>
            <w:webHidden/>
          </w:rPr>
          <w:fldChar w:fldCharType="end"/>
        </w:r>
      </w:hyperlink>
    </w:p>
    <w:p w:rsidR="0082090A" w:rsidRDefault="009D2A11">
      <w:pPr>
        <w:pStyle w:val="Obsah2"/>
        <w:tabs>
          <w:tab w:val="right" w:leader="dot" w:pos="9061"/>
        </w:tabs>
        <w:rPr>
          <w:rFonts w:asciiTheme="minorHAnsi" w:eastAsiaTheme="minorEastAsia" w:hAnsiTheme="minorHAnsi" w:cstheme="minorBidi"/>
          <w:smallCaps w:val="0"/>
          <w:noProof/>
          <w:sz w:val="22"/>
          <w:szCs w:val="22"/>
        </w:rPr>
      </w:pPr>
      <w:hyperlink w:anchor="_Toc180231685" w:history="1">
        <w:r w:rsidR="0082090A" w:rsidRPr="00CA2E1F">
          <w:rPr>
            <w:rStyle w:val="Hypertextovodkaz"/>
            <w:noProof/>
          </w:rPr>
          <w:t xml:space="preserve">6.1 Dvojí výklad </w:t>
        </w:r>
        <w:r w:rsidR="0082090A" w:rsidRPr="00CA2E1F">
          <w:rPr>
            <w:rStyle w:val="Hypertextovodkaz"/>
            <w:i/>
            <w:noProof/>
          </w:rPr>
          <w:t>Etiky Nikomachovy</w:t>
        </w:r>
        <w:r w:rsidR="0082090A">
          <w:rPr>
            <w:noProof/>
            <w:webHidden/>
          </w:rPr>
          <w:tab/>
        </w:r>
        <w:r w:rsidR="0082090A">
          <w:rPr>
            <w:noProof/>
            <w:webHidden/>
          </w:rPr>
          <w:fldChar w:fldCharType="begin"/>
        </w:r>
        <w:r w:rsidR="0082090A">
          <w:rPr>
            <w:noProof/>
            <w:webHidden/>
          </w:rPr>
          <w:instrText xml:space="preserve"> PAGEREF _Toc180231685 \h </w:instrText>
        </w:r>
        <w:r w:rsidR="0082090A">
          <w:rPr>
            <w:noProof/>
            <w:webHidden/>
          </w:rPr>
        </w:r>
        <w:r w:rsidR="0082090A">
          <w:rPr>
            <w:noProof/>
            <w:webHidden/>
          </w:rPr>
          <w:fldChar w:fldCharType="separate"/>
        </w:r>
        <w:r w:rsidR="0082090A">
          <w:rPr>
            <w:noProof/>
            <w:webHidden/>
          </w:rPr>
          <w:t>821</w:t>
        </w:r>
        <w:r w:rsidR="0082090A">
          <w:rPr>
            <w:noProof/>
            <w:webHidden/>
          </w:rPr>
          <w:fldChar w:fldCharType="end"/>
        </w:r>
      </w:hyperlink>
    </w:p>
    <w:p w:rsidR="0082090A" w:rsidRDefault="009D2A11">
      <w:pPr>
        <w:pStyle w:val="Obsah2"/>
        <w:tabs>
          <w:tab w:val="right" w:leader="dot" w:pos="9061"/>
        </w:tabs>
        <w:rPr>
          <w:rFonts w:asciiTheme="minorHAnsi" w:eastAsiaTheme="minorEastAsia" w:hAnsiTheme="minorHAnsi" w:cstheme="minorBidi"/>
          <w:smallCaps w:val="0"/>
          <w:noProof/>
          <w:sz w:val="22"/>
          <w:szCs w:val="22"/>
        </w:rPr>
      </w:pPr>
      <w:hyperlink w:anchor="_Toc180231686" w:history="1">
        <w:r w:rsidR="0082090A" w:rsidRPr="00CA2E1F">
          <w:rPr>
            <w:rStyle w:val="Hypertextovodkaz"/>
            <w:noProof/>
          </w:rPr>
          <w:t>6.2 Vznik autonomní politické vědy</w:t>
        </w:r>
        <w:r w:rsidR="0082090A">
          <w:rPr>
            <w:noProof/>
            <w:webHidden/>
          </w:rPr>
          <w:tab/>
        </w:r>
        <w:r w:rsidR="0082090A">
          <w:rPr>
            <w:noProof/>
            <w:webHidden/>
          </w:rPr>
          <w:fldChar w:fldCharType="begin"/>
        </w:r>
        <w:r w:rsidR="0082090A">
          <w:rPr>
            <w:noProof/>
            <w:webHidden/>
          </w:rPr>
          <w:instrText xml:space="preserve"> PAGEREF _Toc180231686 \h </w:instrText>
        </w:r>
        <w:r w:rsidR="0082090A">
          <w:rPr>
            <w:noProof/>
            <w:webHidden/>
          </w:rPr>
        </w:r>
        <w:r w:rsidR="0082090A">
          <w:rPr>
            <w:noProof/>
            <w:webHidden/>
          </w:rPr>
          <w:fldChar w:fldCharType="separate"/>
        </w:r>
        <w:r w:rsidR="0082090A">
          <w:rPr>
            <w:noProof/>
            <w:webHidden/>
          </w:rPr>
          <w:t>850</w:t>
        </w:r>
        <w:r w:rsidR="0082090A">
          <w:rPr>
            <w:noProof/>
            <w:webHidden/>
          </w:rPr>
          <w:fldChar w:fldCharType="end"/>
        </w:r>
      </w:hyperlink>
    </w:p>
    <w:p w:rsidR="0082090A" w:rsidRDefault="009D2A11">
      <w:pPr>
        <w:pStyle w:val="Obsah2"/>
        <w:tabs>
          <w:tab w:val="right" w:leader="dot" w:pos="9061"/>
        </w:tabs>
        <w:rPr>
          <w:rFonts w:asciiTheme="minorHAnsi" w:eastAsiaTheme="minorEastAsia" w:hAnsiTheme="minorHAnsi" w:cstheme="minorBidi"/>
          <w:smallCaps w:val="0"/>
          <w:noProof/>
          <w:sz w:val="22"/>
          <w:szCs w:val="22"/>
        </w:rPr>
      </w:pPr>
      <w:hyperlink w:anchor="_Toc180231687" w:history="1">
        <w:r w:rsidR="0082090A" w:rsidRPr="00CA2E1F">
          <w:rPr>
            <w:rStyle w:val="Hypertextovodkaz"/>
            <w:noProof/>
          </w:rPr>
          <w:t>6.3 Zatmění etické a politické praxe</w:t>
        </w:r>
        <w:r w:rsidR="0082090A">
          <w:rPr>
            <w:noProof/>
            <w:webHidden/>
          </w:rPr>
          <w:tab/>
        </w:r>
        <w:r w:rsidR="0082090A">
          <w:rPr>
            <w:noProof/>
            <w:webHidden/>
          </w:rPr>
          <w:fldChar w:fldCharType="begin"/>
        </w:r>
        <w:r w:rsidR="0082090A">
          <w:rPr>
            <w:noProof/>
            <w:webHidden/>
          </w:rPr>
          <w:instrText xml:space="preserve"> PAGEREF _Toc180231687 \h </w:instrText>
        </w:r>
        <w:r w:rsidR="0082090A">
          <w:rPr>
            <w:noProof/>
            <w:webHidden/>
          </w:rPr>
        </w:r>
        <w:r w:rsidR="0082090A">
          <w:rPr>
            <w:noProof/>
            <w:webHidden/>
          </w:rPr>
          <w:fldChar w:fldCharType="separate"/>
        </w:r>
        <w:r w:rsidR="0082090A">
          <w:rPr>
            <w:noProof/>
            <w:webHidden/>
          </w:rPr>
          <w:t>874</w:t>
        </w:r>
        <w:r w:rsidR="0082090A">
          <w:rPr>
            <w:noProof/>
            <w:webHidden/>
          </w:rPr>
          <w:fldChar w:fldCharType="end"/>
        </w:r>
      </w:hyperlink>
    </w:p>
    <w:p w:rsidR="0082090A" w:rsidRDefault="009D2A11">
      <w:pPr>
        <w:pStyle w:val="Obsah1"/>
        <w:tabs>
          <w:tab w:val="right" w:leader="dot" w:pos="9061"/>
        </w:tabs>
        <w:rPr>
          <w:rFonts w:asciiTheme="minorHAnsi" w:eastAsiaTheme="minorEastAsia" w:hAnsiTheme="minorHAnsi" w:cstheme="minorBidi"/>
          <w:b w:val="0"/>
          <w:bCs w:val="0"/>
          <w:caps w:val="0"/>
          <w:noProof/>
          <w:sz w:val="22"/>
          <w:szCs w:val="22"/>
        </w:rPr>
      </w:pPr>
      <w:hyperlink w:anchor="_Toc180231688" w:history="1">
        <w:r w:rsidR="0082090A" w:rsidRPr="00CA2E1F">
          <w:rPr>
            <w:rStyle w:val="Hypertextovodkaz"/>
            <w:noProof/>
          </w:rPr>
          <w:t>7. Oidipův objektivní komplex</w:t>
        </w:r>
        <w:r w:rsidR="0082090A">
          <w:rPr>
            <w:noProof/>
            <w:webHidden/>
          </w:rPr>
          <w:tab/>
        </w:r>
        <w:r w:rsidR="0082090A">
          <w:rPr>
            <w:noProof/>
            <w:webHidden/>
          </w:rPr>
          <w:fldChar w:fldCharType="begin"/>
        </w:r>
        <w:r w:rsidR="0082090A">
          <w:rPr>
            <w:noProof/>
            <w:webHidden/>
          </w:rPr>
          <w:instrText xml:space="preserve"> PAGEREF _Toc180231688 \h </w:instrText>
        </w:r>
        <w:r w:rsidR="0082090A">
          <w:rPr>
            <w:noProof/>
            <w:webHidden/>
          </w:rPr>
        </w:r>
        <w:r w:rsidR="0082090A">
          <w:rPr>
            <w:noProof/>
            <w:webHidden/>
          </w:rPr>
          <w:fldChar w:fldCharType="separate"/>
        </w:r>
        <w:r w:rsidR="0082090A">
          <w:rPr>
            <w:noProof/>
            <w:webHidden/>
          </w:rPr>
          <w:t>903</w:t>
        </w:r>
        <w:r w:rsidR="0082090A">
          <w:rPr>
            <w:noProof/>
            <w:webHidden/>
          </w:rPr>
          <w:fldChar w:fldCharType="end"/>
        </w:r>
      </w:hyperlink>
    </w:p>
    <w:p w:rsidR="0082090A" w:rsidRDefault="009D2A11">
      <w:pPr>
        <w:pStyle w:val="Obsah3"/>
        <w:tabs>
          <w:tab w:val="right" w:leader="dot" w:pos="9061"/>
        </w:tabs>
        <w:rPr>
          <w:rFonts w:asciiTheme="minorHAnsi" w:eastAsiaTheme="minorEastAsia" w:hAnsiTheme="minorHAnsi" w:cstheme="minorBidi"/>
          <w:i w:val="0"/>
          <w:iCs w:val="0"/>
          <w:noProof/>
          <w:sz w:val="22"/>
          <w:szCs w:val="22"/>
        </w:rPr>
      </w:pPr>
      <w:hyperlink w:anchor="_Toc180231689" w:history="1">
        <w:r w:rsidR="0082090A" w:rsidRPr="00CA2E1F">
          <w:rPr>
            <w:rStyle w:val="Hypertextovodkaz"/>
            <w:noProof/>
          </w:rPr>
          <w:t>Použité zkratky</w:t>
        </w:r>
        <w:r w:rsidR="0082090A">
          <w:rPr>
            <w:noProof/>
            <w:webHidden/>
          </w:rPr>
          <w:tab/>
        </w:r>
        <w:r w:rsidR="0082090A">
          <w:rPr>
            <w:noProof/>
            <w:webHidden/>
          </w:rPr>
          <w:fldChar w:fldCharType="begin"/>
        </w:r>
        <w:r w:rsidR="0082090A">
          <w:rPr>
            <w:noProof/>
            <w:webHidden/>
          </w:rPr>
          <w:instrText xml:space="preserve"> PAGEREF _Toc180231689 \h </w:instrText>
        </w:r>
        <w:r w:rsidR="0082090A">
          <w:rPr>
            <w:noProof/>
            <w:webHidden/>
          </w:rPr>
        </w:r>
        <w:r w:rsidR="0082090A">
          <w:rPr>
            <w:noProof/>
            <w:webHidden/>
          </w:rPr>
          <w:fldChar w:fldCharType="separate"/>
        </w:r>
        <w:r w:rsidR="0082090A">
          <w:rPr>
            <w:noProof/>
            <w:webHidden/>
          </w:rPr>
          <w:t>920</w:t>
        </w:r>
        <w:r w:rsidR="0082090A">
          <w:rPr>
            <w:noProof/>
            <w:webHidden/>
          </w:rPr>
          <w:fldChar w:fldCharType="end"/>
        </w:r>
      </w:hyperlink>
    </w:p>
    <w:p w:rsidR="0082090A" w:rsidRDefault="009D2A11">
      <w:pPr>
        <w:pStyle w:val="Obsah3"/>
        <w:tabs>
          <w:tab w:val="right" w:leader="dot" w:pos="9061"/>
        </w:tabs>
        <w:rPr>
          <w:rFonts w:asciiTheme="minorHAnsi" w:eastAsiaTheme="minorEastAsia" w:hAnsiTheme="minorHAnsi" w:cstheme="minorBidi"/>
          <w:i w:val="0"/>
          <w:iCs w:val="0"/>
          <w:noProof/>
          <w:sz w:val="22"/>
          <w:szCs w:val="22"/>
        </w:rPr>
      </w:pPr>
      <w:hyperlink w:anchor="_Toc180231690" w:history="1">
        <w:r w:rsidR="0082090A" w:rsidRPr="00CA2E1F">
          <w:rPr>
            <w:rStyle w:val="Hypertextovodkaz"/>
            <w:noProof/>
            <w:lang w:val="en-US"/>
          </w:rPr>
          <w:t>Index locorum</w:t>
        </w:r>
        <w:r w:rsidR="0082090A">
          <w:rPr>
            <w:noProof/>
            <w:webHidden/>
          </w:rPr>
          <w:tab/>
        </w:r>
        <w:r w:rsidR="0082090A">
          <w:rPr>
            <w:noProof/>
            <w:webHidden/>
          </w:rPr>
          <w:fldChar w:fldCharType="begin"/>
        </w:r>
        <w:r w:rsidR="0082090A">
          <w:rPr>
            <w:noProof/>
            <w:webHidden/>
          </w:rPr>
          <w:instrText xml:space="preserve"> PAGEREF _Toc180231690 \h </w:instrText>
        </w:r>
        <w:r w:rsidR="0082090A">
          <w:rPr>
            <w:noProof/>
            <w:webHidden/>
          </w:rPr>
        </w:r>
        <w:r w:rsidR="0082090A">
          <w:rPr>
            <w:noProof/>
            <w:webHidden/>
          </w:rPr>
          <w:fldChar w:fldCharType="separate"/>
        </w:r>
        <w:r w:rsidR="0082090A">
          <w:rPr>
            <w:noProof/>
            <w:webHidden/>
          </w:rPr>
          <w:t>921</w:t>
        </w:r>
        <w:r w:rsidR="0082090A">
          <w:rPr>
            <w:noProof/>
            <w:webHidden/>
          </w:rPr>
          <w:fldChar w:fldCharType="end"/>
        </w:r>
      </w:hyperlink>
    </w:p>
    <w:p w:rsidR="0082090A" w:rsidRDefault="009D2A11">
      <w:pPr>
        <w:pStyle w:val="Obsah3"/>
        <w:tabs>
          <w:tab w:val="right" w:leader="dot" w:pos="9061"/>
        </w:tabs>
        <w:rPr>
          <w:rFonts w:asciiTheme="minorHAnsi" w:eastAsiaTheme="minorEastAsia" w:hAnsiTheme="minorHAnsi" w:cstheme="minorBidi"/>
          <w:i w:val="0"/>
          <w:iCs w:val="0"/>
          <w:noProof/>
          <w:sz w:val="22"/>
          <w:szCs w:val="22"/>
        </w:rPr>
      </w:pPr>
      <w:hyperlink w:anchor="_Toc180231691" w:history="1">
        <w:r w:rsidR="0082090A" w:rsidRPr="00CA2E1F">
          <w:rPr>
            <w:rStyle w:val="Hypertextovodkaz"/>
            <w:noProof/>
          </w:rPr>
          <w:t>Jmenný a věcný rejstřík</w:t>
        </w:r>
        <w:r w:rsidR="0082090A">
          <w:rPr>
            <w:noProof/>
            <w:webHidden/>
          </w:rPr>
          <w:tab/>
        </w:r>
        <w:r w:rsidR="0082090A">
          <w:rPr>
            <w:noProof/>
            <w:webHidden/>
          </w:rPr>
          <w:fldChar w:fldCharType="begin"/>
        </w:r>
        <w:r w:rsidR="0082090A">
          <w:rPr>
            <w:noProof/>
            <w:webHidden/>
          </w:rPr>
          <w:instrText xml:space="preserve"> PAGEREF _Toc180231691 \h </w:instrText>
        </w:r>
        <w:r w:rsidR="0082090A">
          <w:rPr>
            <w:noProof/>
            <w:webHidden/>
          </w:rPr>
        </w:r>
        <w:r w:rsidR="0082090A">
          <w:rPr>
            <w:noProof/>
            <w:webHidden/>
          </w:rPr>
          <w:fldChar w:fldCharType="separate"/>
        </w:r>
        <w:r w:rsidR="0082090A">
          <w:rPr>
            <w:noProof/>
            <w:webHidden/>
          </w:rPr>
          <w:t>930</w:t>
        </w:r>
        <w:r w:rsidR="0082090A">
          <w:rPr>
            <w:noProof/>
            <w:webHidden/>
          </w:rPr>
          <w:fldChar w:fldCharType="end"/>
        </w:r>
      </w:hyperlink>
    </w:p>
    <w:p w:rsidR="0082090A" w:rsidRDefault="009D2A11">
      <w:pPr>
        <w:pStyle w:val="Obsah3"/>
        <w:tabs>
          <w:tab w:val="right" w:leader="dot" w:pos="9061"/>
        </w:tabs>
        <w:rPr>
          <w:rFonts w:asciiTheme="minorHAnsi" w:eastAsiaTheme="minorEastAsia" w:hAnsiTheme="minorHAnsi" w:cstheme="minorBidi"/>
          <w:i w:val="0"/>
          <w:iCs w:val="0"/>
          <w:noProof/>
          <w:sz w:val="22"/>
          <w:szCs w:val="22"/>
        </w:rPr>
      </w:pPr>
      <w:hyperlink w:anchor="_Toc180231692" w:history="1">
        <w:r w:rsidR="0082090A" w:rsidRPr="00CA2E1F">
          <w:rPr>
            <w:rStyle w:val="Hypertextovodkaz"/>
            <w:noProof/>
          </w:rPr>
          <w:t>Literatura</w:t>
        </w:r>
        <w:r w:rsidR="0082090A">
          <w:rPr>
            <w:noProof/>
            <w:webHidden/>
          </w:rPr>
          <w:tab/>
        </w:r>
        <w:r w:rsidR="0082090A">
          <w:rPr>
            <w:noProof/>
            <w:webHidden/>
          </w:rPr>
          <w:fldChar w:fldCharType="begin"/>
        </w:r>
        <w:r w:rsidR="0082090A">
          <w:rPr>
            <w:noProof/>
            <w:webHidden/>
          </w:rPr>
          <w:instrText xml:space="preserve"> PAGEREF _Toc180231692 \h </w:instrText>
        </w:r>
        <w:r w:rsidR="0082090A">
          <w:rPr>
            <w:noProof/>
            <w:webHidden/>
          </w:rPr>
        </w:r>
        <w:r w:rsidR="0082090A">
          <w:rPr>
            <w:noProof/>
            <w:webHidden/>
          </w:rPr>
          <w:fldChar w:fldCharType="separate"/>
        </w:r>
        <w:r w:rsidR="0082090A">
          <w:rPr>
            <w:noProof/>
            <w:webHidden/>
          </w:rPr>
          <w:t>943</w:t>
        </w:r>
        <w:r w:rsidR="0082090A">
          <w:rPr>
            <w:noProof/>
            <w:webHidden/>
          </w:rPr>
          <w:fldChar w:fldCharType="end"/>
        </w:r>
      </w:hyperlink>
    </w:p>
    <w:p w:rsidR="0082090A" w:rsidRDefault="009D2A11">
      <w:pPr>
        <w:pStyle w:val="Obsah3"/>
        <w:tabs>
          <w:tab w:val="right" w:leader="dot" w:pos="9061"/>
        </w:tabs>
        <w:rPr>
          <w:rFonts w:asciiTheme="minorHAnsi" w:eastAsiaTheme="minorEastAsia" w:hAnsiTheme="minorHAnsi" w:cstheme="minorBidi"/>
          <w:i w:val="0"/>
          <w:iCs w:val="0"/>
          <w:noProof/>
          <w:sz w:val="22"/>
          <w:szCs w:val="22"/>
        </w:rPr>
      </w:pPr>
      <w:hyperlink w:anchor="_Toc180231693" w:history="1">
        <w:r w:rsidR="0082090A" w:rsidRPr="00CA2E1F">
          <w:rPr>
            <w:rStyle w:val="Hypertextovodkaz"/>
            <w:noProof/>
          </w:rPr>
          <w:t>Obsah</w:t>
        </w:r>
        <w:r w:rsidR="0082090A">
          <w:rPr>
            <w:noProof/>
            <w:webHidden/>
          </w:rPr>
          <w:tab/>
        </w:r>
        <w:r w:rsidR="0082090A">
          <w:rPr>
            <w:noProof/>
            <w:webHidden/>
          </w:rPr>
          <w:fldChar w:fldCharType="begin"/>
        </w:r>
        <w:r w:rsidR="0082090A">
          <w:rPr>
            <w:noProof/>
            <w:webHidden/>
          </w:rPr>
          <w:instrText xml:space="preserve"> PAGEREF _Toc180231693 \h </w:instrText>
        </w:r>
        <w:r w:rsidR="0082090A">
          <w:rPr>
            <w:noProof/>
            <w:webHidden/>
          </w:rPr>
        </w:r>
        <w:r w:rsidR="0082090A">
          <w:rPr>
            <w:noProof/>
            <w:webHidden/>
          </w:rPr>
          <w:fldChar w:fldCharType="separate"/>
        </w:r>
        <w:r w:rsidR="0082090A">
          <w:rPr>
            <w:noProof/>
            <w:webHidden/>
          </w:rPr>
          <w:t>944</w:t>
        </w:r>
        <w:r w:rsidR="0082090A">
          <w:rPr>
            <w:noProof/>
            <w:webHidden/>
          </w:rPr>
          <w:fldChar w:fldCharType="end"/>
        </w:r>
      </w:hyperlink>
    </w:p>
    <w:p w:rsidR="00DD4205" w:rsidRDefault="00DD4205" w:rsidP="00DD4205">
      <w:pPr>
        <w:spacing w:line="240" w:lineRule="auto"/>
      </w:pPr>
      <w:r>
        <w:rPr>
          <w:b/>
          <w:bCs/>
        </w:rPr>
        <w:fldChar w:fldCharType="end"/>
      </w:r>
    </w:p>
    <w:p w:rsidR="0055465D" w:rsidRPr="0055465D" w:rsidRDefault="0055465D" w:rsidP="0055465D">
      <w:pPr>
        <w:rPr>
          <w:lang w:eastAsia="en-US"/>
        </w:rPr>
      </w:pPr>
    </w:p>
    <w:sectPr w:rsidR="0055465D" w:rsidRPr="0055465D" w:rsidSect="00E911ED">
      <w:type w:val="continuous"/>
      <w:pgSz w:w="11905" w:h="16837"/>
      <w:pgMar w:top="1417" w:right="1417" w:bottom="1417" w:left="1417" w:header="708" w:footer="72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71E82" w:rsidRDefault="00971E82" w:rsidP="00035EA2">
      <w:pPr>
        <w:spacing w:line="240" w:lineRule="auto"/>
      </w:pPr>
      <w:r>
        <w:separator/>
      </w:r>
    </w:p>
  </w:endnote>
  <w:endnote w:type="continuationSeparator" w:id="0">
    <w:p w:rsidR="00971E82" w:rsidRDefault="00971E82" w:rsidP="00035EA2">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2AFF" w:usb1="C000247B" w:usb2="00000009" w:usb3="00000000" w:csb0="000001FF" w:csb1="00000000"/>
  </w:font>
  <w:font w:name="Times">
    <w:altName w:val="Times"/>
    <w:panose1 w:val="02020603050405020304"/>
    <w:charset w:val="EE"/>
    <w:family w:val="roman"/>
    <w:pitch w:val="variable"/>
    <w:sig w:usb0="E0002AFF" w:usb1="C0007841" w:usb2="00000009" w:usb3="00000000" w:csb0="000001FF" w:csb1="00000000"/>
  </w:font>
  <w:font w:name="Cambria">
    <w:panose1 w:val="02040503050406030204"/>
    <w:charset w:val="EE"/>
    <w:family w:val="roman"/>
    <w:pitch w:val="variable"/>
    <w:sig w:usb0="E00002FF" w:usb1="400004FF" w:usb2="00000000" w:usb3="00000000" w:csb0="0000019F" w:csb1="00000000"/>
  </w:font>
  <w:font w:name="Arial">
    <w:panose1 w:val="020B0604020202020204"/>
    <w:charset w:val="EE"/>
    <w:family w:val="swiss"/>
    <w:pitch w:val="variable"/>
    <w:sig w:usb0="E0002AFF" w:usb1="C0007843" w:usb2="00000009" w:usb3="00000000" w:csb0="000001FF" w:csb1="00000000"/>
  </w:font>
  <w:font w:name="APFKGB+TrebuchetMS">
    <w:altName w:val="Trebuchet MS"/>
    <w:charset w:val="00"/>
    <w:family w:val="swiss"/>
    <w:pitch w:val="default"/>
  </w:font>
  <w:font w:name="MS Gothic">
    <w:altName w:val="ＭＳ ゴシック"/>
    <w:panose1 w:val="020B0609070205080204"/>
    <w:charset w:val="80"/>
    <w:family w:val="modern"/>
    <w:pitch w:val="fixed"/>
    <w:sig w:usb0="E00002FF" w:usb1="6AC7FDFB" w:usb2="00000012" w:usb3="00000000" w:csb0="0002009F" w:csb1="00000000"/>
  </w:font>
  <w:font w:name="Tahoma">
    <w:panose1 w:val="020B0604030504040204"/>
    <w:charset w:val="EE"/>
    <w:family w:val="swiss"/>
    <w:pitch w:val="variable"/>
    <w:sig w:usb0="E1002EFF" w:usb1="C000605B" w:usb2="00000029" w:usb3="00000000" w:csb0="000101FF" w:csb1="00000000"/>
  </w:font>
  <w:font w:name="WBHXPF+AGaramondPro-Regular">
    <w:altName w:val="Times New Roman"/>
    <w:charset w:val="00"/>
    <w:family w:val="roman"/>
    <w:pitch w:val="default"/>
  </w:font>
  <w:font w:name="Century Schoolbook">
    <w:panose1 w:val="02040604050505020304"/>
    <w:charset w:val="EE"/>
    <w:family w:val="roman"/>
    <w:pitch w:val="variable"/>
    <w:sig w:usb0="00000287" w:usb1="00000000" w:usb2="00000000" w:usb3="00000000" w:csb0="0000009F" w:csb1="00000000"/>
  </w:font>
  <w:font w:name="David">
    <w:panose1 w:val="020E0502060401010101"/>
    <w:charset w:val="B1"/>
    <w:family w:val="swiss"/>
    <w:pitch w:val="variable"/>
    <w:sig w:usb0="00000801" w:usb1="00000000" w:usb2="00000000" w:usb3="00000000" w:csb0="00000020" w:csb1="00000000"/>
  </w:font>
  <w:font w:name="SimHei">
    <w:altName w:val="黑体"/>
    <w:panose1 w:val="02010609060101010101"/>
    <w:charset w:val="86"/>
    <w:family w:val="modern"/>
    <w:pitch w:val="fixed"/>
    <w:sig w:usb0="800002BF" w:usb1="38CF7CFA" w:usb2="00000016" w:usb3="00000000" w:csb0="00040001" w:csb1="00000000"/>
  </w:font>
  <w:font w:name="Constantia">
    <w:panose1 w:val="02030602050306030303"/>
    <w:charset w:val="EE"/>
    <w:family w:val="roman"/>
    <w:pitch w:val="variable"/>
    <w:sig w:usb0="A00002EF" w:usb1="4000204B" w:usb2="00000000" w:usb3="00000000" w:csb0="0000019F" w:csb1="00000000"/>
  </w:font>
  <w:font w:name="Cordia New">
    <w:panose1 w:val="020B0304020202020204"/>
    <w:charset w:val="00"/>
    <w:family w:val="swiss"/>
    <w:pitch w:val="variable"/>
    <w:sig w:usb0="81000003" w:usb1="00000000" w:usb2="00000000" w:usb3="00000000" w:csb0="00010001" w:csb1="00000000"/>
  </w:font>
  <w:font w:name="Book Antiqua">
    <w:panose1 w:val="02040602050305030304"/>
    <w:charset w:val="EE"/>
    <w:family w:val="roman"/>
    <w:pitch w:val="variable"/>
    <w:sig w:usb0="00000287" w:usb1="00000000" w:usb2="00000000" w:usb3="00000000" w:csb0="0000009F" w:csb1="00000000"/>
  </w:font>
  <w:font w:name="Georgia">
    <w:panose1 w:val="02040502050405020303"/>
    <w:charset w:val="EE"/>
    <w:family w:val="roman"/>
    <w:pitch w:val="variable"/>
    <w:sig w:usb0="00000287" w:usb1="00000000" w:usb2="00000000" w:usb3="00000000" w:csb0="0000009F" w:csb1="00000000"/>
  </w:font>
  <w:font w:name="Sylfaen">
    <w:panose1 w:val="010A0502050306030303"/>
    <w:charset w:val="EE"/>
    <w:family w:val="roman"/>
    <w:pitch w:val="variable"/>
    <w:sig w:usb0="04000687" w:usb1="00000000" w:usb2="00000000" w:usb3="00000000" w:csb0="0000009F" w:csb1="00000000"/>
  </w:font>
  <w:font w:name="Malgun Gothic">
    <w:panose1 w:val="020B0503020000020004"/>
    <w:charset w:val="81"/>
    <w:family w:val="swiss"/>
    <w:pitch w:val="variable"/>
    <w:sig w:usb0="9000002F" w:usb1="29D77CFB" w:usb2="00000012" w:usb3="00000000" w:csb0="00080001" w:csb1="00000000"/>
  </w:font>
  <w:font w:name="Batang">
    <w:altName w:val="바탕"/>
    <w:panose1 w:val="02030600000101010101"/>
    <w:charset w:val="81"/>
    <w:family w:val="roman"/>
    <w:pitch w:val="variable"/>
    <w:sig w:usb0="B00002AF" w:usb1="69D77CFB" w:usb2="00000030" w:usb3="00000000" w:csb0="0008009F" w:csb1="00000000"/>
  </w:font>
  <w:font w:name="Lucida Sans Unicode">
    <w:panose1 w:val="020B0602030504020204"/>
    <w:charset w:val="EE"/>
    <w:family w:val="swiss"/>
    <w:pitch w:val="variable"/>
    <w:sig w:usb0="80000AFF" w:usb1="0000396B" w:usb2="00000000" w:usb3="00000000" w:csb0="000000BF" w:csb1="00000000"/>
  </w:font>
  <w:font w:name="Garamond">
    <w:panose1 w:val="02020404030301010803"/>
    <w:charset w:val="EE"/>
    <w:family w:val="roman"/>
    <w:pitch w:val="variable"/>
    <w:sig w:usb0="00000287" w:usb1="00000000" w:usb2="00000000" w:usb3="00000000" w:csb0="0000009F" w:csb1="00000000"/>
  </w:font>
  <w:font w:name="Arial Narrow">
    <w:panose1 w:val="020B0606020202030204"/>
    <w:charset w:val="EE"/>
    <w:family w:val="swiss"/>
    <w:pitch w:val="variable"/>
    <w:sig w:usb0="00000287" w:usb1="00000800" w:usb2="00000000" w:usb3="00000000" w:csb0="0000009F" w:csb1="00000000"/>
  </w:font>
  <w:font w:name="Palatino Linotype">
    <w:panose1 w:val="02040502050505030304"/>
    <w:charset w:val="EE"/>
    <w:family w:val="roman"/>
    <w:pitch w:val="variable"/>
    <w:sig w:usb0="E0000287" w:usb1="40000013" w:usb2="00000000" w:usb3="00000000" w:csb0="0000019F" w:csb1="00000000"/>
  </w:font>
  <w:font w:name="Century Gothic">
    <w:panose1 w:val="020B0502020202020204"/>
    <w:charset w:val="EE"/>
    <w:family w:val="swiss"/>
    <w:pitch w:val="variable"/>
    <w:sig w:usb0="00000287" w:usb1="00000000" w:usb2="00000000" w:usb3="00000000" w:csb0="0000009F" w:csb1="00000000"/>
  </w:font>
  <w:font w:name="Corbel">
    <w:panose1 w:val="020B0503020204020204"/>
    <w:charset w:val="EE"/>
    <w:family w:val="swiss"/>
    <w:pitch w:val="variable"/>
    <w:sig w:usb0="A00002EF" w:usb1="4000A44B" w:usb2="00000000" w:usb3="00000000" w:csb0="0000019F" w:csb1="00000000"/>
  </w:font>
  <w:font w:name="Bookman Old Style">
    <w:panose1 w:val="02050604050505020204"/>
    <w:charset w:val="EE"/>
    <w:family w:val="roman"/>
    <w:pitch w:val="variable"/>
    <w:sig w:usb0="00000287" w:usb1="00000000" w:usb2="00000000" w:usb3="00000000" w:csb0="0000009F" w:csb1="00000000"/>
  </w:font>
  <w:font w:name="FrankRuehl">
    <w:panose1 w:val="020E0503060101010101"/>
    <w:charset w:val="B1"/>
    <w:family w:val="swiss"/>
    <w:pitch w:val="variable"/>
    <w:sig w:usb0="00000801" w:usb1="00000000" w:usb2="00000000" w:usb3="00000000" w:csb0="00000020" w:csb1="00000000"/>
  </w:font>
  <w:font w:name="AngsanaUPC">
    <w:panose1 w:val="02020603050405020304"/>
    <w:charset w:val="00"/>
    <w:family w:val="roman"/>
    <w:pitch w:val="variable"/>
    <w:sig w:usb0="81000003" w:usb1="00000000" w:usb2="00000000" w:usb3="00000000" w:csb0="00010001" w:csb1="00000000"/>
  </w:font>
  <w:font w:name="Franklin Gothic Heavy">
    <w:panose1 w:val="020B0903020102020204"/>
    <w:charset w:val="EE"/>
    <w:family w:val="swiss"/>
    <w:pitch w:val="variable"/>
    <w:sig w:usb0="00000287" w:usb1="00000000" w:usb2="00000000" w:usb3="00000000" w:csb0="0000009F" w:csb1="00000000"/>
  </w:font>
  <w:font w:name="Verdana">
    <w:panose1 w:val="020B0604030504040204"/>
    <w:charset w:val="EE"/>
    <w:family w:val="swiss"/>
    <w:pitch w:val="variable"/>
    <w:sig w:usb0="A10006FF" w:usb1="4000205B" w:usb2="00000010" w:usb3="00000000" w:csb0="0000019F" w:csb1="00000000"/>
  </w:font>
  <w:font w:name="Liberation Sans">
    <w:panose1 w:val="020B0604020202020204"/>
    <w:charset w:val="EE"/>
    <w:family w:val="swiss"/>
    <w:pitch w:val="variable"/>
    <w:sig w:usb0="E0000AFF" w:usb1="500078FF" w:usb2="00000021" w:usb3="00000000" w:csb0="000001BF" w:csb1="00000000"/>
  </w:font>
  <w:font w:name="Microsoft YaHei">
    <w:panose1 w:val="020B0503020204020204"/>
    <w:charset w:val="86"/>
    <w:family w:val="swiss"/>
    <w:pitch w:val="variable"/>
    <w:sig w:usb0="80000287" w:usb1="280F3C52" w:usb2="00000016" w:usb3="00000000" w:csb0="0004001F" w:csb1="00000000"/>
  </w:font>
  <w:font w:name="Lucida Sans">
    <w:panose1 w:val="020B0602030504020204"/>
    <w:charset w:val="00"/>
    <w:family w:val="swiss"/>
    <w:pitch w:val="variable"/>
    <w:sig w:usb0="00000003" w:usb1="00000000" w:usb2="00000000" w:usb3="00000000" w:csb0="00000001" w:csb1="00000000"/>
  </w:font>
  <w:font w:name="New York">
    <w:panose1 w:val="02040503060506020304"/>
    <w:charset w:val="00"/>
    <w:family w:val="roman"/>
    <w:notTrueType/>
    <w:pitch w:val="variable"/>
    <w:sig w:usb0="00000003" w:usb1="00000000" w:usb2="00000000" w:usb3="00000000" w:csb0="00000001" w:csb1="00000000"/>
  </w:font>
  <w:font w:name="AGaramondPro-Regular">
    <w:altName w:val="Arial Unicode MS"/>
    <w:charset w:val="88"/>
    <w:family w:val="auto"/>
    <w:pitch w:val="default"/>
    <w:sig w:usb0="00000005" w:usb1="00000000" w:usb2="00000000" w:usb3="00000000" w:csb0="00000002" w:csb1="00000000"/>
  </w:font>
  <w:font w:name="AGaramondPro-Italic">
    <w:altName w:val="MS Mincho"/>
    <w:charset w:val="80"/>
    <w:family w:val="auto"/>
    <w:pitch w:val="default"/>
  </w:font>
  <w:font w:name="ArialMT">
    <w:panose1 w:val="00000000000000000000"/>
    <w:charset w:val="EE"/>
    <w:family w:val="auto"/>
    <w:notTrueType/>
    <w:pitch w:val="default"/>
    <w:sig w:usb0="00000005" w:usb1="00000000" w:usb2="00000000" w:usb3="00000000" w:csb0="00000002" w:csb1="00000000"/>
  </w:font>
  <w:font w:name="Code2000">
    <w:altName w:val="MS Gothic"/>
    <w:charset w:val="80"/>
    <w:family w:val="auto"/>
    <w:pitch w:val="default"/>
    <w:sig w:usb0="00000001" w:usb1="08070000" w:usb2="00000010" w:usb3="00000000" w:csb0="00020000" w:csb1="00000000"/>
  </w:font>
  <w:font w:name="Brill-Roman">
    <w:altName w:val="MS Mincho"/>
    <w:charset w:val="80"/>
    <w:family w:val="auto"/>
    <w:pitch w:val="default"/>
  </w:font>
  <w:font w:name="NewAster">
    <w:altName w:val="MS Mincho"/>
    <w:charset w:val="80"/>
    <w:family w:val="auto"/>
    <w:pitch w:val="default"/>
  </w:font>
  <w:font w:name="TimesNewRomanPSMT">
    <w:altName w:val="Yu Gothic UI"/>
    <w:panose1 w:val="00000000000000000000"/>
    <w:charset w:val="80"/>
    <w:family w:val="roman"/>
    <w:notTrueType/>
    <w:pitch w:val="default"/>
    <w:sig w:usb0="00000000" w:usb1="08070000" w:usb2="00000010" w:usb3="00000000" w:csb0="00020003" w:csb1="00000000"/>
  </w:font>
  <w:font w:name="TrumpMediaeval-Roman">
    <w:altName w:val="Arial Unicode MS"/>
    <w:charset w:val="88"/>
    <w:family w:val="auto"/>
    <w:pitch w:val="default"/>
  </w:font>
  <w:font w:name="Fd705617-Identity-H">
    <w:altName w:val="Arial Unicode MS"/>
    <w:charset w:val="81"/>
    <w:family w:val="auto"/>
    <w:pitch w:val="default"/>
  </w:font>
  <w:font w:name="TeXGyreTermes-Regular">
    <w:altName w:val="Arial Unicode MS"/>
    <w:charset w:val="80"/>
    <w:family w:val="auto"/>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71E82" w:rsidRDefault="00971E82">
    <w:pPr>
      <w:pStyle w:val="Zpat"/>
      <w:jc w:val="center"/>
    </w:pPr>
    <w:r>
      <w:fldChar w:fldCharType="begin"/>
    </w:r>
    <w:r>
      <w:instrText xml:space="preserve"> PAGE   \* MERGEFORMAT </w:instrText>
    </w:r>
    <w:r>
      <w:fldChar w:fldCharType="separate"/>
    </w:r>
    <w:r w:rsidR="00D65D5F">
      <w:rPr>
        <w:noProof/>
      </w:rPr>
      <w:t>967</w:t>
    </w:r>
    <w:r>
      <w:fldChar w:fldCharType="end"/>
    </w:r>
  </w:p>
  <w:p w:rsidR="00971E82" w:rsidRDefault="00971E82">
    <w:pPr>
      <w:pStyle w:val="Zpa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71E82" w:rsidRDefault="00971E82">
    <w:pPr>
      <w:pStyle w:val="Zpat"/>
      <w:jc w:val="center"/>
    </w:pPr>
    <w:r>
      <w:fldChar w:fldCharType="begin"/>
    </w:r>
    <w:r>
      <w:instrText xml:space="preserve"> PAGE   \* MERGEFORMAT </w:instrText>
    </w:r>
    <w:r>
      <w:fldChar w:fldCharType="separate"/>
    </w:r>
    <w:r w:rsidR="00D65D5F">
      <w:rPr>
        <w:noProof/>
      </w:rPr>
      <w:t>982</w:t>
    </w:r>
    <w:r>
      <w:fldChar w:fldCharType="end"/>
    </w:r>
  </w:p>
  <w:p w:rsidR="00971E82" w:rsidRDefault="00971E82">
    <w:pPr>
      <w:pStyle w:val="Zpat"/>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71E82" w:rsidRDefault="00971E82">
    <w:pPr>
      <w:pStyle w:val="Zpat"/>
      <w:jc w:val="center"/>
    </w:pPr>
    <w:r>
      <w:fldChar w:fldCharType="begin"/>
    </w:r>
    <w:r>
      <w:instrText xml:space="preserve"> PAGE   \* MERGEFORMAT </w:instrText>
    </w:r>
    <w:r>
      <w:fldChar w:fldCharType="separate"/>
    </w:r>
    <w:r w:rsidR="00D65D5F">
      <w:rPr>
        <w:noProof/>
      </w:rPr>
      <w:t>998</w:t>
    </w:r>
    <w:r>
      <w:fldChar w:fldCharType="end"/>
    </w:r>
  </w:p>
  <w:p w:rsidR="00971E82" w:rsidRDefault="00971E82">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71E82" w:rsidRDefault="00971E82" w:rsidP="00035EA2">
      <w:pPr>
        <w:spacing w:line="240" w:lineRule="auto"/>
      </w:pPr>
      <w:r>
        <w:separator/>
      </w:r>
    </w:p>
  </w:footnote>
  <w:footnote w:type="continuationSeparator" w:id="0">
    <w:p w:rsidR="00971E82" w:rsidRDefault="00971E82" w:rsidP="00035EA2">
      <w:pPr>
        <w:spacing w:line="240" w:lineRule="auto"/>
      </w:pPr>
      <w:r>
        <w:continuationSeparator/>
      </w:r>
    </w:p>
  </w:footnote>
  <w:footnote w:id="1">
    <w:p w:rsidR="00971E82" w:rsidRPr="00F42488" w:rsidRDefault="00971E82" w:rsidP="08A15494">
      <w:pPr>
        <w:pStyle w:val="Textpoznpodarou"/>
        <w:rPr>
          <w:lang w:val="cs-CZ"/>
        </w:rPr>
      </w:pPr>
      <w:r>
        <w:rPr>
          <w:rStyle w:val="Znakapoznpodarou"/>
        </w:rPr>
        <w:footnoteRef/>
      </w:r>
      <w:r>
        <w:rPr>
          <w:lang w:val="cs-CZ"/>
        </w:rPr>
        <w:t xml:space="preserve"> „</w:t>
      </w:r>
      <w:r>
        <w:rPr>
          <w:rStyle w:val="srexcerpt"/>
          <w:rFonts w:eastAsia="Georgia"/>
        </w:rPr>
        <w:t xml:space="preserve">Eine Rasse solcher Menschen des </w:t>
      </w:r>
      <w:r>
        <w:rPr>
          <w:rStyle w:val="Zvraznn"/>
        </w:rPr>
        <w:t>Ressentiment</w:t>
      </w:r>
      <w:r>
        <w:rPr>
          <w:rStyle w:val="srexcerpt"/>
          <w:rFonts w:eastAsia="Georgia"/>
        </w:rPr>
        <w:t xml:space="preserve"> wird nothwendig endlich klüger sein als irgend eine vornehme Rasse, sie wird die Klugheit auch in ganz andrem Maasse ehren: nämlich als eine Existenzbedingung ersten </w:t>
      </w:r>
      <w:proofErr w:type="gramStart"/>
      <w:r>
        <w:rPr>
          <w:rStyle w:val="srexcerpt"/>
          <w:rFonts w:eastAsia="Georgia"/>
        </w:rPr>
        <w:t>Ranges</w:t>
      </w:r>
      <w:r>
        <w:rPr>
          <w:rStyle w:val="srexcerpt"/>
          <w:rFonts w:eastAsia="Georgia"/>
          <w:lang w:val="cs-CZ"/>
        </w:rPr>
        <w:t>...“</w:t>
      </w:r>
      <w:proofErr w:type="gramEnd"/>
      <w:r>
        <w:rPr>
          <w:rStyle w:val="srexcerpt"/>
          <w:rFonts w:eastAsia="Georgia"/>
          <w:lang w:val="cs-CZ"/>
        </w:rPr>
        <w:t xml:space="preserve"> </w:t>
      </w:r>
      <w:r>
        <w:rPr>
          <w:lang w:val="cs-CZ"/>
        </w:rPr>
        <w:t>(</w:t>
      </w:r>
      <w:r w:rsidRPr="003B19F8">
        <w:rPr>
          <w:i/>
        </w:rPr>
        <w:t xml:space="preserve">Zur Genealogie der </w:t>
      </w:r>
      <w:proofErr w:type="gramStart"/>
      <w:r w:rsidRPr="003B19F8">
        <w:rPr>
          <w:i/>
        </w:rPr>
        <w:t>Moral</w:t>
      </w:r>
      <w:r w:rsidRPr="003B19F8">
        <w:rPr>
          <w:i/>
          <w:lang w:val="cs-CZ"/>
        </w:rPr>
        <w:t xml:space="preserve"> </w:t>
      </w:r>
      <w:r>
        <w:rPr>
          <w:lang w:val="cs-CZ"/>
        </w:rPr>
        <w:t>I.10</w:t>
      </w:r>
      <w:proofErr w:type="gramEnd"/>
      <w:r>
        <w:rPr>
          <w:lang w:val="cs-CZ"/>
        </w:rPr>
        <w:t>; KSA 5, 272</w:t>
      </w:r>
      <w:r>
        <w:rPr>
          <w:lang w:val="cs-CZ"/>
        </w:rPr>
        <w:fldChar w:fldCharType="begin"/>
      </w:r>
      <w:r>
        <w:instrText xml:space="preserve"> XE "</w:instrText>
      </w:r>
      <w:r>
        <w:rPr>
          <w:lang w:val="cs-CZ"/>
        </w:rPr>
        <w:instrText>Nietzsche:</w:instrText>
      </w:r>
      <w:r w:rsidRPr="00C940CD">
        <w:rPr>
          <w:i/>
        </w:rPr>
        <w:instrText>Zur Genealogie der Moral</w:instrText>
      </w:r>
      <w:r w:rsidRPr="00C940CD">
        <w:rPr>
          <w:i/>
          <w:lang w:val="cs-CZ"/>
        </w:rPr>
        <w:instrText xml:space="preserve"> </w:instrText>
      </w:r>
      <w:r>
        <w:rPr>
          <w:i/>
          <w:lang w:val="cs-CZ"/>
        </w:rPr>
        <w:instrText xml:space="preserve">5, </w:instrText>
      </w:r>
      <w:r w:rsidRPr="00C940CD">
        <w:rPr>
          <w:lang w:val="cs-CZ"/>
        </w:rPr>
        <w:instrText>272</w:instrText>
      </w:r>
      <w:r>
        <w:instrText xml:space="preserve">" </w:instrText>
      </w:r>
      <w:r>
        <w:rPr>
          <w:lang w:val="cs-CZ"/>
        </w:rPr>
        <w:fldChar w:fldCharType="end"/>
      </w:r>
      <w:r>
        <w:rPr>
          <w:lang w:val="cs-CZ"/>
        </w:rPr>
        <w:t>)</w:t>
      </w:r>
    </w:p>
  </w:footnote>
  <w:footnote w:id="2">
    <w:p w:rsidR="00971E82" w:rsidRPr="00972BC2" w:rsidRDefault="00971E82" w:rsidP="00CC1FDD">
      <w:pPr>
        <w:pStyle w:val="Textpoznpodarou"/>
      </w:pPr>
      <w:r>
        <w:t xml:space="preserve"> </w:t>
      </w:r>
      <w:r>
        <w:rPr>
          <w:rStyle w:val="Znakapoznpodarou"/>
          <w:rFonts w:eastAsia="Times"/>
        </w:rPr>
        <w:footnoteRef/>
      </w:r>
      <w:r>
        <w:t xml:space="preserve"> „Bien sûr, l’histoire depuis longtemps ne cherche plus à comprendre les événements par un jeu de causes et d’effets dans l’unité informe d’un grand devenir, vaguement homogène ou durement hiérarchisé ; mais ce n’est pas pour retrouver des structures antérieures, étrangères, hostiles à l’événement. C’est pour établir les séries diverses, entrecroisées, divergentes souvent, mais non autonomes, qui permettent de circonscrire le “lieu” de l’événement, les marges de son aléa, les conditions de son apparition.“ (Foucault 1971, 58)</w:t>
      </w:r>
    </w:p>
  </w:footnote>
  <w:footnote w:id="3">
    <w:p w:rsidR="00971E82" w:rsidRPr="00760686" w:rsidRDefault="00971E82" w:rsidP="00FE7256">
      <w:pPr>
        <w:pStyle w:val="Textpoznpodarou"/>
      </w:pPr>
      <w:r w:rsidRPr="00290583">
        <w:rPr>
          <w:rStyle w:val="Znakapoznpodarou"/>
        </w:rPr>
        <w:footnoteRef/>
      </w:r>
      <w:r>
        <w:rPr>
          <w:lang w:val="cs-CZ"/>
        </w:rPr>
        <w:t xml:space="preserve"> </w:t>
      </w:r>
      <w:r w:rsidRPr="00290583">
        <w:t xml:space="preserve">„Das Fragen hat als Fragen nach... sein </w:t>
      </w:r>
      <w:r w:rsidRPr="00290583">
        <w:rPr>
          <w:i/>
        </w:rPr>
        <w:t>Gefragtes</w:t>
      </w:r>
      <w:r w:rsidRPr="00290583">
        <w:t xml:space="preserve">. Alles Fragen nach ... ist in irgendeiner Weise Anfragen bei... Zum Fragen gehört außer dem Gefragten ein </w:t>
      </w:r>
      <w:r w:rsidRPr="00290583">
        <w:rPr>
          <w:i/>
        </w:rPr>
        <w:t>Befragtes</w:t>
      </w:r>
      <w:r w:rsidRPr="00290583">
        <w:t xml:space="preserve">. In der untersuchenden, d. h. spezifisch theoretischen Frage soll das Gefragte bestimmt und zu Begriff gebracht werden. Im Gefragten liegt dann als das eigentlich Intendierte das </w:t>
      </w:r>
      <w:r w:rsidRPr="00290583">
        <w:rPr>
          <w:i/>
        </w:rPr>
        <w:t>Erfragte</w:t>
      </w:r>
      <w:r w:rsidRPr="00290583">
        <w:t>, das, wobei das Fragen ins Ziel kommt.“ (SZ 5</w:t>
      </w:r>
      <w:r>
        <w:fldChar w:fldCharType="begin"/>
      </w:r>
      <w:r>
        <w:instrText xml:space="preserve"> XE "</w:instrText>
      </w:r>
      <w:r>
        <w:rPr>
          <w:lang w:val="cs-CZ"/>
        </w:rPr>
        <w:instrText>Heidegger:</w:instrText>
      </w:r>
      <w:r w:rsidRPr="00914B0E">
        <w:instrText>SZ 5</w:instrText>
      </w:r>
      <w:r>
        <w:instrText xml:space="preserve">" </w:instrText>
      </w:r>
      <w:r>
        <w:fldChar w:fldCharType="end"/>
      </w:r>
      <w:r w:rsidRPr="00290583">
        <w:t>)</w:t>
      </w:r>
    </w:p>
  </w:footnote>
  <w:footnote w:id="4">
    <w:p w:rsidR="00971E82" w:rsidRPr="001E51A4" w:rsidRDefault="00971E82" w:rsidP="00963634">
      <w:pPr>
        <w:pStyle w:val="Textpoznpodarou"/>
        <w:rPr>
          <w:lang w:val="cs-CZ"/>
        </w:rPr>
      </w:pPr>
      <w:r>
        <w:rPr>
          <w:rStyle w:val="Znakapoznpodarou"/>
        </w:rPr>
        <w:footnoteRef/>
      </w:r>
      <w:r>
        <w:t xml:space="preserve"> „</w:t>
      </w:r>
      <w:r w:rsidRPr="00A01E98">
        <w:t>Dieses wunderbare Wort &gt;Ver-sammlung&lt; kennen wir freilich nur noch in einer arg beschränkten und gewöhnlichen Bedeutung. Jetzt dagegen denken wir es in dem geklärten Sinne der Lese, wobei wir vor allem darauf achten, daß jetzt die Sammlung nicht das bloß dazukommende Zusammenbringen ist, sondern die ursprüngliche Gesammeltheit des Aufzubewahrenden meint, aus der alles Sammeln entspringt und in der es gehalten bleibt, d. h. ver-sammelt, d. h. aus ursprünglicher Sammlung gesammelt und in sie geborgen ist.</w:t>
      </w:r>
      <w:r>
        <w:rPr>
          <w:lang w:val="cs-CZ"/>
        </w:rPr>
        <w:t>“ (</w:t>
      </w:r>
      <w:r w:rsidRPr="00A01E98">
        <w:t>GA 55</w:t>
      </w:r>
      <w:r>
        <w:rPr>
          <w:lang w:val="cs-CZ"/>
        </w:rPr>
        <w:t>, 268–69</w:t>
      </w:r>
      <w:r>
        <w:rPr>
          <w:lang w:val="cs-CZ"/>
        </w:rPr>
        <w:fldChar w:fldCharType="begin"/>
      </w:r>
      <w:r>
        <w:instrText xml:space="preserve"> XE "</w:instrText>
      </w:r>
      <w:r w:rsidRPr="0027033D">
        <w:instrText>Heidegger:GA 55</w:instrText>
      </w:r>
      <w:r w:rsidRPr="0027033D">
        <w:rPr>
          <w:lang w:val="cs-CZ"/>
        </w:rPr>
        <w:instrText>, 268–69</w:instrText>
      </w:r>
      <w:r>
        <w:instrText xml:space="preserve">" </w:instrText>
      </w:r>
      <w:r>
        <w:rPr>
          <w:lang w:val="cs-CZ"/>
        </w:rPr>
        <w:fldChar w:fldCharType="end"/>
      </w:r>
      <w:r>
        <w:rPr>
          <w:lang w:val="cs-CZ"/>
        </w:rPr>
        <w:t>)</w:t>
      </w:r>
    </w:p>
    <w:p w:rsidR="00971E82" w:rsidRPr="00A01E98" w:rsidRDefault="00971E82" w:rsidP="00963634">
      <w:pPr>
        <w:pStyle w:val="Textpoznpodarou"/>
        <w:rPr>
          <w:lang w:val="cs-CZ"/>
        </w:rPr>
      </w:pPr>
    </w:p>
  </w:footnote>
  <w:footnote w:id="5">
    <w:p w:rsidR="00971E82" w:rsidRPr="00BE2A7F" w:rsidRDefault="00971E82" w:rsidP="08FD69BF">
      <w:pPr>
        <w:pStyle w:val="Textpoznpodarou"/>
      </w:pPr>
      <w:r>
        <w:rPr>
          <w:rStyle w:val="Znakapoznpodarou"/>
        </w:rPr>
        <w:footnoteRef/>
      </w:r>
      <w:r>
        <w:t xml:space="preserve"> „</w:t>
      </w:r>
      <w:r w:rsidRPr="00BE2A7F">
        <w:t xml:space="preserve">Bonaventure's thought would provide the point of departure for a sizeable group of masters during the next generation. Among the characteristic doctrines of this group were: 1- plurality of forms; 2- universal hylomorphism; 3- the soul's being a </w:t>
      </w:r>
      <w:r w:rsidRPr="007B56E4">
        <w:rPr>
          <w:i/>
        </w:rPr>
        <w:t>hoc aliquid</w:t>
      </w:r>
      <w:r w:rsidRPr="00BE2A7F">
        <w:t>; 4- the two faces of the soul; 5- the simplicity of the soul (although they had some difficulty in reconciling this with a theory of plurality of forms). In addition, they added an insistence on the formula that the rational soul was the substantial form of the body.</w:t>
      </w:r>
      <w:r>
        <w:t>“</w:t>
      </w:r>
      <w:r w:rsidRPr="00BE2A7F">
        <w:t xml:space="preserve"> </w:t>
      </w:r>
      <w:r>
        <w:t>(Dales 1995, 106)</w:t>
      </w:r>
    </w:p>
  </w:footnote>
  <w:footnote w:id="6">
    <w:p w:rsidR="00971E82" w:rsidRPr="00AD28D0" w:rsidRDefault="00971E82" w:rsidP="08163013">
      <w:pPr>
        <w:pStyle w:val="Textpoznpodarou"/>
        <w:rPr>
          <w:lang w:val="cs-CZ"/>
        </w:rPr>
      </w:pPr>
      <w:r>
        <w:rPr>
          <w:rStyle w:val="Znakapoznpodarou"/>
        </w:rPr>
        <w:footnoteRef/>
      </w:r>
      <w:r>
        <w:t xml:space="preserve"> </w:t>
      </w:r>
      <w:r w:rsidRPr="00273106">
        <w:rPr>
          <w:noProof/>
        </w:rPr>
        <w:t>„Alio modo contingit aliquid intelligere praeter alterum, intellectu resolvente; et iste intellectus considerat ea quae sunt rei essentialia, sicut potest intelligi subiectum sine propria passione.  Et hoc potest esse dupliciter:  aut i</w:t>
      </w:r>
      <w:r>
        <w:rPr>
          <w:noProof/>
        </w:rPr>
        <w:t>ntellectu resolvente plene et p</w:t>
      </w:r>
      <w:r w:rsidRPr="00273106">
        <w:rPr>
          <w:noProof/>
        </w:rPr>
        <w:t>e</w:t>
      </w:r>
      <w:r>
        <w:rPr>
          <w:noProof/>
          <w:lang w:val="cs-CZ"/>
        </w:rPr>
        <w:t>r</w:t>
      </w:r>
      <w:r w:rsidRPr="00273106">
        <w:rPr>
          <w:noProof/>
        </w:rPr>
        <w:t>fecte, aut intellectu deficiente et resolvente semiplene. Intellectu resolvente semiplene, potest intelligi aliquid esse, non intellecto primo ente.  Intellectu autem resolvente perfecte, non potest intelligi aliquid, primo ente non intellecto.“ (</w:t>
      </w:r>
      <w:r w:rsidRPr="00273106">
        <w:rPr>
          <w:i/>
          <w:noProof/>
        </w:rPr>
        <w:t>In I Sent</w:t>
      </w:r>
      <w:r w:rsidRPr="00273106">
        <w:rPr>
          <w:noProof/>
        </w:rPr>
        <w:t xml:space="preserve">., d. </w:t>
      </w:r>
      <w:r>
        <w:rPr>
          <w:noProof/>
        </w:rPr>
        <w:t xml:space="preserve">28, dub. 1; </w:t>
      </w:r>
      <w:r w:rsidRPr="00970BE9">
        <w:rPr>
          <w:i/>
          <w:noProof/>
        </w:rPr>
        <w:t>Opera omnia</w:t>
      </w:r>
      <w:r>
        <w:rPr>
          <w:noProof/>
        </w:rPr>
        <w:t xml:space="preserve"> </w:t>
      </w:r>
      <w:r>
        <w:rPr>
          <w:noProof/>
          <w:lang w:val="cs-CZ"/>
        </w:rPr>
        <w:t>1</w:t>
      </w:r>
      <w:r>
        <w:rPr>
          <w:noProof/>
        </w:rPr>
        <w:t>.2,</w:t>
      </w:r>
      <w:r>
        <w:rPr>
          <w:noProof/>
          <w:lang w:val="cs-CZ"/>
        </w:rPr>
        <w:t xml:space="preserve"> </w:t>
      </w:r>
      <w:r w:rsidRPr="00273106">
        <w:rPr>
          <w:noProof/>
        </w:rPr>
        <w:t>504</w:t>
      </w:r>
      <w:r>
        <w:rPr>
          <w:noProof/>
        </w:rPr>
        <w:t>a‒</w:t>
      </w:r>
      <w:r w:rsidRPr="00273106">
        <w:rPr>
          <w:noProof/>
        </w:rPr>
        <w:t>b</w:t>
      </w:r>
      <w:r>
        <w:rPr>
          <w:noProof/>
        </w:rPr>
        <w:fldChar w:fldCharType="begin"/>
      </w:r>
      <w:r>
        <w:instrText xml:space="preserve"> XE "</w:instrText>
      </w:r>
      <w:r>
        <w:rPr>
          <w:lang w:val="cs-CZ"/>
        </w:rPr>
        <w:instrText>Bonaventura:</w:instrText>
      </w:r>
      <w:r w:rsidRPr="00906D19">
        <w:rPr>
          <w:i/>
          <w:noProof/>
        </w:rPr>
        <w:instrText>In I Sent</w:instrText>
      </w:r>
      <w:r>
        <w:rPr>
          <w:noProof/>
        </w:rPr>
        <w:instrText>.</w:instrText>
      </w:r>
      <w:r>
        <w:rPr>
          <w:noProof/>
          <w:lang w:val="cs-CZ"/>
        </w:rPr>
        <w:instrText xml:space="preserve"> </w:instrText>
      </w:r>
      <w:r w:rsidRPr="00906D19">
        <w:rPr>
          <w:noProof/>
        </w:rPr>
        <w:instrText>504a‒b</w:instrText>
      </w:r>
      <w:r>
        <w:instrText xml:space="preserve">" </w:instrText>
      </w:r>
      <w:r>
        <w:rPr>
          <w:noProof/>
        </w:rPr>
        <w:fldChar w:fldCharType="end"/>
      </w:r>
      <w:r w:rsidRPr="00273106">
        <w:rPr>
          <w:noProof/>
        </w:rPr>
        <w:t>)</w:t>
      </w:r>
    </w:p>
  </w:footnote>
  <w:footnote w:id="7">
    <w:p w:rsidR="00971E82" w:rsidRPr="003410A9" w:rsidRDefault="00971E82" w:rsidP="08163013">
      <w:pPr>
        <w:pStyle w:val="Textpoznpodarou"/>
      </w:pPr>
      <w:r>
        <w:rPr>
          <w:rStyle w:val="Znakapoznpodarou"/>
        </w:rPr>
        <w:footnoteRef/>
      </w:r>
      <w:r>
        <w:t xml:space="preserve"> „</w:t>
      </w:r>
      <w:r w:rsidRPr="002C7D2D">
        <w:t>Unde licet anima secundum Augustinum connexa sit legibus aeternis, quia aliquomodo illud lumen attingit secundum supremam aciem intellectus agentis et</w:t>
      </w:r>
      <w:r>
        <w:t xml:space="preserve"> </w:t>
      </w:r>
      <w:r w:rsidRPr="002C7D2D">
        <w:t>superiorem portionem rationis; indubitanter tamen verum est, secundum quod dicit Philosophus, cognitionem generari in nobis via sensus, memoriae et experientiae, ex quibus colligitur universale in nobis, quod est principium artis et scientiae.</w:t>
      </w:r>
      <w:r>
        <w:t xml:space="preserve">“ </w:t>
      </w:r>
      <w:r w:rsidRPr="003410A9">
        <w:t>(</w:t>
      </w:r>
      <w:r w:rsidRPr="003410A9">
        <w:rPr>
          <w:i/>
        </w:rPr>
        <w:t>Sermones selecti de rebus theologicis</w:t>
      </w:r>
      <w:r>
        <w:t>, Se</w:t>
      </w:r>
      <w:r w:rsidRPr="003410A9">
        <w:t xml:space="preserve">rmo </w:t>
      </w:r>
      <w:r>
        <w:t>IV.18</w:t>
      </w:r>
      <w:r>
        <w:rPr>
          <w:lang w:val="cs-CZ"/>
        </w:rPr>
        <w:t xml:space="preserve">; </w:t>
      </w:r>
      <w:r w:rsidRPr="00970BE9">
        <w:rPr>
          <w:i/>
        </w:rPr>
        <w:t>Opera omnia</w:t>
      </w:r>
      <w:r>
        <w:t xml:space="preserve"> </w:t>
      </w:r>
      <w:r>
        <w:rPr>
          <w:lang w:val="cs-CZ"/>
        </w:rPr>
        <w:t>5</w:t>
      </w:r>
      <w:r>
        <w:t>,</w:t>
      </w:r>
      <w:r>
        <w:rPr>
          <w:lang w:val="cs-CZ"/>
        </w:rPr>
        <w:t xml:space="preserve"> </w:t>
      </w:r>
      <w:r w:rsidRPr="003410A9">
        <w:t>572</w:t>
      </w:r>
      <w:r>
        <w:t>a</w:t>
      </w:r>
      <w:r>
        <w:fldChar w:fldCharType="begin"/>
      </w:r>
      <w:r>
        <w:instrText xml:space="preserve"> XE "</w:instrText>
      </w:r>
      <w:r>
        <w:rPr>
          <w:lang w:val="cs-CZ"/>
        </w:rPr>
        <w:instrText>Bonaventura:</w:instrText>
      </w:r>
      <w:r w:rsidRPr="00262161">
        <w:rPr>
          <w:i/>
        </w:rPr>
        <w:instrText>Sermones selecti de rebus theologicis</w:instrText>
      </w:r>
      <w:r w:rsidRPr="00262161">
        <w:instrText xml:space="preserve"> 572a</w:instrText>
      </w:r>
      <w:r>
        <w:instrText xml:space="preserve">" </w:instrText>
      </w:r>
      <w:r>
        <w:fldChar w:fldCharType="end"/>
      </w:r>
      <w:r w:rsidRPr="003410A9">
        <w:t>)</w:t>
      </w:r>
    </w:p>
  </w:footnote>
  <w:footnote w:id="8">
    <w:p w:rsidR="00971E82" w:rsidRPr="00134584" w:rsidRDefault="00971E82" w:rsidP="08163013">
      <w:pPr>
        <w:pStyle w:val="Textpoznpodarou"/>
        <w:rPr>
          <w:lang w:val="cs-CZ"/>
        </w:rPr>
      </w:pPr>
      <w:r>
        <w:rPr>
          <w:rStyle w:val="Znakapoznpodarou"/>
        </w:rPr>
        <w:footnoteRef/>
      </w:r>
      <w:r>
        <w:rPr>
          <w:rStyle w:val="Znakapoznpodarou"/>
        </w:rPr>
        <w:footnoteRef/>
      </w:r>
      <w:r>
        <w:rPr>
          <w:lang w:val="cs-CZ"/>
        </w:rPr>
        <w:t xml:space="preserve"> </w:t>
      </w:r>
      <w:r>
        <w:t>„</w:t>
      </w:r>
      <w:r w:rsidRPr="000B1FB1">
        <w:t>Uno modo abstr</w:t>
      </w:r>
      <w:r>
        <w:t xml:space="preserve">actio est, quae ortum habet a </w:t>
      </w:r>
      <w:r w:rsidRPr="000B1FB1">
        <w:rPr>
          <w:i/>
        </w:rPr>
        <w:t>natura rei</w:t>
      </w:r>
      <w:r w:rsidRPr="000B1FB1">
        <w:t>; et sic abstrahitur univers</w:t>
      </w:r>
      <w:r>
        <w:t>ale a particulari, et forma a m</w:t>
      </w:r>
      <w:r w:rsidRPr="000B1FB1">
        <w:t>ateria, quoniam utrobique est compositio et diversitas. Alio modo est abstracti</w:t>
      </w:r>
      <w:r>
        <w:t xml:space="preserve">o, quae ortum habet ab </w:t>
      </w:r>
      <w:r w:rsidRPr="000B1FB1">
        <w:rPr>
          <w:i/>
        </w:rPr>
        <w:t>intellectu nostro</w:t>
      </w:r>
      <w:r w:rsidRPr="000B1FB1">
        <w:t>. Intellectus enim noster c</w:t>
      </w:r>
      <w:r>
        <w:t>um intelligit aliquid completum</w:t>
      </w:r>
      <w:r w:rsidRPr="000B1FB1">
        <w:t xml:space="preserve">, de necessitale dupliciter intelligit sive sub duplici ratione, scilicet per modum ipsius </w:t>
      </w:r>
      <w:r w:rsidRPr="000B1FB1">
        <w:rPr>
          <w:i/>
        </w:rPr>
        <w:t>quod est</w:t>
      </w:r>
      <w:r w:rsidRPr="000B1FB1">
        <w:t xml:space="preserve"> et ipsius </w:t>
      </w:r>
      <w:r w:rsidRPr="000B1FB1">
        <w:rPr>
          <w:i/>
        </w:rPr>
        <w:t>quo</w:t>
      </w:r>
      <w:r w:rsidRPr="000B1FB1">
        <w:t>.</w:t>
      </w:r>
      <w:r>
        <w:t>“ (</w:t>
      </w:r>
      <w:r w:rsidRPr="00DB480C">
        <w:rPr>
          <w:i/>
        </w:rPr>
        <w:t>In I Sent</w:t>
      </w:r>
      <w:r>
        <w:t xml:space="preserve">., d. 27, p. 1, a. 1, q. 3, resp.; </w:t>
      </w:r>
      <w:r w:rsidRPr="007405DA">
        <w:rPr>
          <w:i/>
        </w:rPr>
        <w:t>Opera omnia</w:t>
      </w:r>
      <w:r>
        <w:t xml:space="preserve"> 1.2,</w:t>
      </w:r>
      <w:r>
        <w:rPr>
          <w:lang w:val="cs-CZ"/>
        </w:rPr>
        <w:t xml:space="preserve"> </w:t>
      </w:r>
      <w:r>
        <w:t>476</w:t>
      </w:r>
      <w:r>
        <w:rPr>
          <w:lang w:val="cs-CZ"/>
        </w:rPr>
        <w:t>a</w:t>
      </w:r>
      <w:r>
        <w:rPr>
          <w:lang w:val="cs-CZ"/>
        </w:rPr>
        <w:fldChar w:fldCharType="begin"/>
      </w:r>
      <w:r>
        <w:instrText xml:space="preserve"> XE "</w:instrText>
      </w:r>
      <w:r>
        <w:rPr>
          <w:lang w:val="cs-CZ"/>
        </w:rPr>
        <w:instrText>Bonaventura:</w:instrText>
      </w:r>
      <w:r w:rsidRPr="00EF3444">
        <w:rPr>
          <w:i/>
        </w:rPr>
        <w:instrText>In I Sent</w:instrText>
      </w:r>
      <w:r>
        <w:rPr>
          <w:i/>
          <w:lang w:val="cs-CZ"/>
        </w:rPr>
        <w:instrText xml:space="preserve"> </w:instrText>
      </w:r>
      <w:r w:rsidRPr="00EF3444">
        <w:instrText>476</w:instrText>
      </w:r>
      <w:r w:rsidRPr="00EF3444">
        <w:rPr>
          <w:lang w:val="cs-CZ"/>
        </w:rPr>
        <w:instrText>a</w:instrText>
      </w:r>
      <w:r>
        <w:instrText xml:space="preserve">" </w:instrText>
      </w:r>
      <w:r>
        <w:rPr>
          <w:lang w:val="cs-CZ"/>
        </w:rPr>
        <w:fldChar w:fldCharType="end"/>
      </w:r>
      <w:r>
        <w:t>)</w:t>
      </w:r>
    </w:p>
  </w:footnote>
  <w:footnote w:id="9">
    <w:p w:rsidR="00971E82" w:rsidRPr="00BE36C9" w:rsidRDefault="00971E82" w:rsidP="08163013">
      <w:pPr>
        <w:pStyle w:val="Textpoznpodarou"/>
        <w:rPr>
          <w:szCs w:val="14"/>
        </w:rPr>
      </w:pPr>
      <w:r>
        <w:rPr>
          <w:rStyle w:val="Znakapoznpodarou"/>
        </w:rPr>
        <w:footnoteRef/>
      </w:r>
      <w:r>
        <w:rPr>
          <w:szCs w:val="14"/>
        </w:rPr>
        <w:t xml:space="preserve"> „Le problè</w:t>
      </w:r>
      <w:r w:rsidRPr="00BE36C9">
        <w:rPr>
          <w:szCs w:val="14"/>
        </w:rPr>
        <w:t>me</w:t>
      </w:r>
      <w:r>
        <w:rPr>
          <w:szCs w:val="14"/>
        </w:rPr>
        <w:t xml:space="preserve"> </w:t>
      </w:r>
      <w:r w:rsidRPr="00BE36C9">
        <w:rPr>
          <w:szCs w:val="14"/>
        </w:rPr>
        <w:t>de l'</w:t>
      </w:r>
      <w:r>
        <w:rPr>
          <w:szCs w:val="14"/>
        </w:rPr>
        <w:t>abstraction, à</w:t>
      </w:r>
      <w:r w:rsidRPr="00BE36C9">
        <w:rPr>
          <w:szCs w:val="14"/>
        </w:rPr>
        <w:t xml:space="preserve"> </w:t>
      </w:r>
      <w:r>
        <w:rPr>
          <w:szCs w:val="14"/>
        </w:rPr>
        <w:t>vrai dire, ne se pose mê</w:t>
      </w:r>
      <w:r w:rsidRPr="00BE36C9">
        <w:rPr>
          <w:szCs w:val="14"/>
        </w:rPr>
        <w:t>me pas</w:t>
      </w:r>
      <w:r>
        <w:rPr>
          <w:szCs w:val="14"/>
        </w:rPr>
        <w:t>:</w:t>
      </w:r>
      <w:r w:rsidRPr="00BE36C9">
        <w:rPr>
          <w:szCs w:val="14"/>
        </w:rPr>
        <w:t xml:space="preserve"> il ne</w:t>
      </w:r>
      <w:r>
        <w:rPr>
          <w:szCs w:val="14"/>
        </w:rPr>
        <w:t xml:space="preserve"> </w:t>
      </w:r>
      <w:r w:rsidRPr="00BE36C9">
        <w:rPr>
          <w:szCs w:val="14"/>
        </w:rPr>
        <w:t>s'agi</w:t>
      </w:r>
      <w:r>
        <w:rPr>
          <w:szCs w:val="14"/>
        </w:rPr>
        <w:t>t pas de faire sortir d'une espèce individuelle une espè</w:t>
      </w:r>
      <w:r w:rsidRPr="00BE36C9">
        <w:rPr>
          <w:szCs w:val="14"/>
        </w:rPr>
        <w:t>ce universelle,</w:t>
      </w:r>
      <w:r>
        <w:rPr>
          <w:szCs w:val="14"/>
        </w:rPr>
        <w:t xml:space="preserve"> </w:t>
      </w:r>
      <w:r w:rsidRPr="00BE36C9">
        <w:rPr>
          <w:szCs w:val="14"/>
        </w:rPr>
        <w:t>il</w:t>
      </w:r>
      <w:r>
        <w:rPr>
          <w:szCs w:val="14"/>
        </w:rPr>
        <w:t xml:space="preserve"> s'agit de faire tomber la lumiè</w:t>
      </w:r>
      <w:r w:rsidRPr="00BE36C9">
        <w:rPr>
          <w:szCs w:val="14"/>
        </w:rPr>
        <w:t>re des vérités éternelles</w:t>
      </w:r>
      <w:r>
        <w:rPr>
          <w:szCs w:val="14"/>
        </w:rPr>
        <w:t xml:space="preserve"> sur les espè</w:t>
      </w:r>
      <w:r w:rsidRPr="00BE36C9">
        <w:rPr>
          <w:szCs w:val="14"/>
        </w:rPr>
        <w:t>ces sensib</w:t>
      </w:r>
      <w:r>
        <w:rPr>
          <w:szCs w:val="14"/>
        </w:rPr>
        <w:t xml:space="preserve">les pour en faire sortir une </w:t>
      </w:r>
      <w:r w:rsidRPr="00BE36C9">
        <w:rPr>
          <w:i/>
          <w:szCs w:val="14"/>
        </w:rPr>
        <w:t>vérité</w:t>
      </w:r>
      <w:r w:rsidRPr="00BE36C9">
        <w:rPr>
          <w:szCs w:val="14"/>
        </w:rPr>
        <w:t>, ce qui est</w:t>
      </w:r>
      <w:r>
        <w:rPr>
          <w:szCs w:val="14"/>
        </w:rPr>
        <w:t xml:space="preserve"> </w:t>
      </w:r>
      <w:r w:rsidRPr="00BE36C9">
        <w:rPr>
          <w:szCs w:val="14"/>
        </w:rPr>
        <w:t>autre chose.</w:t>
      </w:r>
      <w:r>
        <w:rPr>
          <w:szCs w:val="14"/>
        </w:rPr>
        <w:t>“ (Rohmer 1928, 150)</w:t>
      </w:r>
    </w:p>
  </w:footnote>
  <w:footnote w:id="10">
    <w:p w:rsidR="00971E82" w:rsidRPr="00D02EE3" w:rsidRDefault="00971E82" w:rsidP="08163013">
      <w:pPr>
        <w:pStyle w:val="Textpoznpodarou"/>
      </w:pPr>
      <w:r>
        <w:rPr>
          <w:rStyle w:val="Znakapoznpodarou"/>
        </w:rPr>
        <w:footnoteRef/>
      </w:r>
      <w:r>
        <w:t xml:space="preserve"> </w:t>
      </w:r>
      <w:r w:rsidRPr="00872D6F">
        <w:t>„Quid igitur de illa excellentia Trinitatis sive specialiter sive generaliter novimus, quasi multae sint tales trinitates, quarum aliquas experti sumus, ut per regulam similitudinis impressam vel specialem vel</w:t>
      </w:r>
      <w:r>
        <w:t xml:space="preserve"> </w:t>
      </w:r>
      <w:r w:rsidRPr="00872D6F">
        <w:t>generalem notitiam, illam quoque talem esse credamus.“ (</w:t>
      </w:r>
      <w:r w:rsidRPr="00872D6F">
        <w:rPr>
          <w:i/>
        </w:rPr>
        <w:t>De Trinitate</w:t>
      </w:r>
      <w:r>
        <w:t xml:space="preserve"> </w:t>
      </w:r>
      <w:r>
        <w:rPr>
          <w:lang w:val="cs-CZ"/>
        </w:rPr>
        <w:t>8</w:t>
      </w:r>
      <w:r>
        <w:t>.5.</w:t>
      </w:r>
      <w:r>
        <w:rPr>
          <w:lang w:val="cs-CZ"/>
        </w:rPr>
        <w:t>8</w:t>
      </w:r>
      <w:r w:rsidRPr="00872D6F">
        <w:t xml:space="preserve">; PL 42, </w:t>
      </w:r>
      <w:r>
        <w:t>953</w:t>
      </w:r>
      <w:r>
        <w:rPr>
          <w:lang w:val="cs-CZ"/>
        </w:rPr>
        <w:t>B</w:t>
      </w:r>
      <w:r>
        <w:fldChar w:fldCharType="begin"/>
      </w:r>
      <w:r>
        <w:instrText xml:space="preserve"> XE "</w:instrText>
      </w:r>
      <w:r>
        <w:rPr>
          <w:lang w:val="cs-CZ"/>
        </w:rPr>
        <w:instrText>Augustinus:</w:instrText>
      </w:r>
      <w:r w:rsidRPr="00C64A9A">
        <w:rPr>
          <w:i/>
        </w:rPr>
        <w:instrText>De Trinitate</w:instrText>
      </w:r>
      <w:r w:rsidRPr="00C64A9A">
        <w:instrText xml:space="preserve"> </w:instrText>
      </w:r>
      <w:r w:rsidRPr="00872D6F">
        <w:instrText xml:space="preserve">PL 42, </w:instrText>
      </w:r>
      <w:r>
        <w:instrText>953</w:instrText>
      </w:r>
      <w:r>
        <w:rPr>
          <w:lang w:val="cs-CZ"/>
        </w:rPr>
        <w:instrText>B</w:instrText>
      </w:r>
      <w:r>
        <w:instrText xml:space="preserve">" </w:instrText>
      </w:r>
      <w:r>
        <w:fldChar w:fldCharType="end"/>
      </w:r>
      <w:r w:rsidRPr="00872D6F">
        <w:t>)</w:t>
      </w:r>
    </w:p>
  </w:footnote>
  <w:footnote w:id="11">
    <w:p w:rsidR="00971E82" w:rsidRPr="00B437E6" w:rsidRDefault="00971E82" w:rsidP="08163013">
      <w:pPr>
        <w:pStyle w:val="Textpoznpodarou"/>
        <w:rPr>
          <w:lang w:val="cs-CZ"/>
        </w:rPr>
      </w:pPr>
      <w:r>
        <w:rPr>
          <w:rStyle w:val="Znakapoznpodarou"/>
        </w:rPr>
        <w:footnoteRef/>
      </w:r>
      <w:r>
        <w:t xml:space="preserve"> </w:t>
      </w:r>
      <w:r w:rsidRPr="00273106">
        <w:rPr>
          <w:noProof/>
          <w:szCs w:val="17"/>
        </w:rPr>
        <w:t xml:space="preserve">„Secundum </w:t>
      </w:r>
      <w:r w:rsidRPr="00273106">
        <w:rPr>
          <w:noProof/>
        </w:rPr>
        <w:t xml:space="preserve">sententiam </w:t>
      </w:r>
      <w:r w:rsidRPr="00273106">
        <w:rPr>
          <w:noProof/>
          <w:szCs w:val="18"/>
        </w:rPr>
        <w:t xml:space="preserve">omnium </w:t>
      </w:r>
      <w:r w:rsidRPr="00273106">
        <w:rPr>
          <w:noProof/>
          <w:szCs w:val="16"/>
        </w:rPr>
        <w:t xml:space="preserve">doctorum </w:t>
      </w:r>
      <w:r w:rsidRPr="00273106">
        <w:rPr>
          <w:noProof/>
        </w:rPr>
        <w:t xml:space="preserve">Christus </w:t>
      </w:r>
      <w:r w:rsidRPr="00273106">
        <w:rPr>
          <w:noProof/>
          <w:szCs w:val="12"/>
        </w:rPr>
        <w:t xml:space="preserve">est </w:t>
      </w:r>
      <w:r w:rsidRPr="00273106">
        <w:rPr>
          <w:noProof/>
        </w:rPr>
        <w:t xml:space="preserve">doctor </w:t>
      </w:r>
      <w:r w:rsidRPr="00273106">
        <w:rPr>
          <w:noProof/>
          <w:szCs w:val="13"/>
        </w:rPr>
        <w:t xml:space="preserve">interius, </w:t>
      </w:r>
      <w:r w:rsidRPr="00273106">
        <w:rPr>
          <w:noProof/>
          <w:szCs w:val="15"/>
        </w:rPr>
        <w:t xml:space="preserve">nec </w:t>
      </w:r>
      <w:r w:rsidRPr="00273106">
        <w:rPr>
          <w:noProof/>
          <w:szCs w:val="13"/>
        </w:rPr>
        <w:t xml:space="preserve">seitur </w:t>
      </w:r>
      <w:r w:rsidRPr="00273106">
        <w:rPr>
          <w:noProof/>
        </w:rPr>
        <w:t xml:space="preserve">aliqua </w:t>
      </w:r>
      <w:r w:rsidRPr="00273106">
        <w:rPr>
          <w:noProof/>
          <w:szCs w:val="12"/>
        </w:rPr>
        <w:t xml:space="preserve">veritas </w:t>
      </w:r>
      <w:r w:rsidRPr="00273106">
        <w:rPr>
          <w:noProof/>
          <w:szCs w:val="11"/>
        </w:rPr>
        <w:t xml:space="preserve">nisi </w:t>
      </w:r>
      <w:r w:rsidRPr="00273106">
        <w:rPr>
          <w:noProof/>
        </w:rPr>
        <w:t xml:space="preserve">per </w:t>
      </w:r>
      <w:r w:rsidRPr="00273106">
        <w:rPr>
          <w:noProof/>
          <w:szCs w:val="19"/>
        </w:rPr>
        <w:t>eum</w:t>
      </w:r>
      <w:r w:rsidRPr="00273106">
        <w:rPr>
          <w:noProof/>
          <w:szCs w:val="5"/>
        </w:rPr>
        <w:t xml:space="preserve">, </w:t>
      </w:r>
      <w:r w:rsidRPr="00273106">
        <w:rPr>
          <w:noProof/>
          <w:szCs w:val="16"/>
        </w:rPr>
        <w:t xml:space="preserve">non </w:t>
      </w:r>
      <w:r w:rsidRPr="00273106">
        <w:rPr>
          <w:noProof/>
          <w:szCs w:val="15"/>
        </w:rPr>
        <w:t>loquendo</w:t>
      </w:r>
      <w:r w:rsidRPr="00273106">
        <w:rPr>
          <w:noProof/>
          <w:szCs w:val="5"/>
        </w:rPr>
        <w:t xml:space="preserve">, </w:t>
      </w:r>
      <w:r w:rsidRPr="00273106">
        <w:rPr>
          <w:noProof/>
          <w:szCs w:val="12"/>
        </w:rPr>
        <w:t xml:space="preserve">sicut </w:t>
      </w:r>
      <w:r w:rsidRPr="00273106">
        <w:rPr>
          <w:noProof/>
          <w:szCs w:val="15"/>
        </w:rPr>
        <w:t>nos</w:t>
      </w:r>
      <w:r w:rsidRPr="00273106">
        <w:rPr>
          <w:noProof/>
          <w:szCs w:val="5"/>
        </w:rPr>
        <w:t xml:space="preserve">, </w:t>
      </w:r>
      <w:r w:rsidRPr="00273106">
        <w:rPr>
          <w:noProof/>
        </w:rPr>
        <w:t xml:space="preserve">sed </w:t>
      </w:r>
      <w:r w:rsidRPr="00273106">
        <w:rPr>
          <w:noProof/>
          <w:szCs w:val="12"/>
        </w:rPr>
        <w:t>in</w:t>
      </w:r>
      <w:r w:rsidRPr="00273106">
        <w:rPr>
          <w:noProof/>
          <w:szCs w:val="13"/>
        </w:rPr>
        <w:t xml:space="preserve">terius illustrando; </w:t>
      </w:r>
      <w:r w:rsidRPr="00273106">
        <w:rPr>
          <w:noProof/>
          <w:szCs w:val="12"/>
        </w:rPr>
        <w:t xml:space="preserve">et </w:t>
      </w:r>
      <w:r w:rsidRPr="00273106">
        <w:rPr>
          <w:noProof/>
          <w:szCs w:val="13"/>
        </w:rPr>
        <w:t xml:space="preserve">ideo </w:t>
      </w:r>
      <w:r w:rsidRPr="00273106">
        <w:rPr>
          <w:noProof/>
        </w:rPr>
        <w:t xml:space="preserve">necesse </w:t>
      </w:r>
      <w:r w:rsidRPr="00273106">
        <w:rPr>
          <w:noProof/>
          <w:szCs w:val="13"/>
        </w:rPr>
        <w:t xml:space="preserve">est, </w:t>
      </w:r>
      <w:r w:rsidRPr="00273106">
        <w:rPr>
          <w:noProof/>
        </w:rPr>
        <w:t xml:space="preserve">ut habeat </w:t>
      </w:r>
      <w:r w:rsidRPr="00273106">
        <w:rPr>
          <w:i/>
          <w:noProof/>
          <w:szCs w:val="15"/>
        </w:rPr>
        <w:t xml:space="preserve">clarissimas </w:t>
      </w:r>
      <w:r>
        <w:rPr>
          <w:i/>
          <w:noProof/>
          <w:szCs w:val="13"/>
        </w:rPr>
        <w:t>species</w:t>
      </w:r>
      <w:r w:rsidRPr="00273106">
        <w:rPr>
          <w:noProof/>
          <w:szCs w:val="13"/>
        </w:rPr>
        <w:t xml:space="preserve"> </w:t>
      </w:r>
      <w:r w:rsidRPr="00273106">
        <w:rPr>
          <w:noProof/>
          <w:szCs w:val="16"/>
        </w:rPr>
        <w:t xml:space="preserve">apud </w:t>
      </w:r>
      <w:r w:rsidRPr="00273106">
        <w:rPr>
          <w:noProof/>
          <w:szCs w:val="12"/>
        </w:rPr>
        <w:t xml:space="preserve">se, </w:t>
      </w:r>
      <w:r w:rsidRPr="00273106">
        <w:rPr>
          <w:noProof/>
          <w:szCs w:val="16"/>
        </w:rPr>
        <w:t xml:space="preserve">neque tamen ab </w:t>
      </w:r>
      <w:r w:rsidRPr="00273106">
        <w:rPr>
          <w:noProof/>
          <w:szCs w:val="12"/>
        </w:rPr>
        <w:t>alio</w:t>
      </w:r>
      <w:r w:rsidRPr="00273106">
        <w:rPr>
          <w:noProof/>
          <w:szCs w:val="8"/>
        </w:rPr>
        <w:t xml:space="preserve"> </w:t>
      </w:r>
      <w:r w:rsidRPr="00273106">
        <w:rPr>
          <w:noProof/>
          <w:szCs w:val="13"/>
        </w:rPr>
        <w:t xml:space="preserve">acceperit. Ipse </w:t>
      </w:r>
      <w:r w:rsidRPr="00273106">
        <w:rPr>
          <w:noProof/>
          <w:szCs w:val="16"/>
        </w:rPr>
        <w:t xml:space="preserve">enim </w:t>
      </w:r>
      <w:r w:rsidRPr="00273106">
        <w:rPr>
          <w:noProof/>
        </w:rPr>
        <w:t xml:space="preserve">intimus </w:t>
      </w:r>
      <w:r w:rsidRPr="00273106">
        <w:rPr>
          <w:noProof/>
          <w:szCs w:val="12"/>
        </w:rPr>
        <w:t xml:space="preserve">est </w:t>
      </w:r>
      <w:r w:rsidRPr="00273106">
        <w:rPr>
          <w:noProof/>
          <w:szCs w:val="16"/>
        </w:rPr>
        <w:t xml:space="preserve">omni animae </w:t>
      </w:r>
      <w:r w:rsidRPr="00273106">
        <w:rPr>
          <w:noProof/>
          <w:szCs w:val="12"/>
        </w:rPr>
        <w:t xml:space="preserve">et </w:t>
      </w:r>
      <w:r w:rsidRPr="00273106">
        <w:rPr>
          <w:noProof/>
          <w:szCs w:val="13"/>
        </w:rPr>
        <w:t xml:space="preserve">suis </w:t>
      </w:r>
      <w:r w:rsidRPr="00273106">
        <w:rPr>
          <w:noProof/>
        </w:rPr>
        <w:t xml:space="preserve">speciebus </w:t>
      </w:r>
      <w:r w:rsidRPr="00273106">
        <w:rPr>
          <w:noProof/>
          <w:szCs w:val="13"/>
        </w:rPr>
        <w:t xml:space="preserve">clarissimis refulget </w:t>
      </w:r>
      <w:r w:rsidRPr="00273106">
        <w:rPr>
          <w:noProof/>
          <w:szCs w:val="15"/>
        </w:rPr>
        <w:t xml:space="preserve">super </w:t>
      </w:r>
      <w:r w:rsidRPr="00273106">
        <w:rPr>
          <w:noProof/>
          <w:szCs w:val="13"/>
        </w:rPr>
        <w:t xml:space="preserve">species </w:t>
      </w:r>
      <w:r w:rsidRPr="00273106">
        <w:rPr>
          <w:noProof/>
          <w:szCs w:val="12"/>
        </w:rPr>
        <w:t xml:space="preserve">intellectus nostri </w:t>
      </w:r>
      <w:r w:rsidRPr="00273106">
        <w:rPr>
          <w:noProof/>
        </w:rPr>
        <w:t>tenebrosas...“ (</w:t>
      </w:r>
      <w:r w:rsidRPr="00273106">
        <w:rPr>
          <w:i/>
          <w:noProof/>
        </w:rPr>
        <w:t>Collationes in Hexaëmeron</w:t>
      </w:r>
      <w:r>
        <w:rPr>
          <w:noProof/>
        </w:rPr>
        <w:t xml:space="preserve"> 12.5; </w:t>
      </w:r>
      <w:r w:rsidRPr="007405DA">
        <w:rPr>
          <w:i/>
          <w:noProof/>
        </w:rPr>
        <w:t>Opera omnia</w:t>
      </w:r>
      <w:r>
        <w:rPr>
          <w:noProof/>
        </w:rPr>
        <w:t xml:space="preserve"> </w:t>
      </w:r>
      <w:r>
        <w:rPr>
          <w:noProof/>
          <w:lang w:val="cs-CZ"/>
        </w:rPr>
        <w:t>5</w:t>
      </w:r>
      <w:r>
        <w:rPr>
          <w:noProof/>
        </w:rPr>
        <w:t>,</w:t>
      </w:r>
      <w:r w:rsidRPr="00273106">
        <w:rPr>
          <w:noProof/>
        </w:rPr>
        <w:t xml:space="preserve"> 385a</w:t>
      </w:r>
      <w:r>
        <w:rPr>
          <w:noProof/>
        </w:rPr>
        <w:fldChar w:fldCharType="begin"/>
      </w:r>
      <w:r>
        <w:instrText xml:space="preserve"> XE "</w:instrText>
      </w:r>
      <w:r>
        <w:rPr>
          <w:lang w:val="cs-CZ"/>
        </w:rPr>
        <w:instrText>Bonaventura:</w:instrText>
      </w:r>
      <w:r w:rsidRPr="00D661AD">
        <w:rPr>
          <w:i/>
          <w:noProof/>
        </w:rPr>
        <w:instrText>Collationes in Hexaëmeron</w:instrText>
      </w:r>
      <w:r w:rsidRPr="00D661AD">
        <w:rPr>
          <w:noProof/>
        </w:rPr>
        <w:instrText xml:space="preserve"> 385a</w:instrText>
      </w:r>
      <w:r>
        <w:instrText xml:space="preserve">" </w:instrText>
      </w:r>
      <w:r>
        <w:rPr>
          <w:noProof/>
        </w:rPr>
        <w:fldChar w:fldCharType="end"/>
      </w:r>
      <w:r>
        <w:rPr>
          <w:noProof/>
        </w:rPr>
        <w:t>)</w:t>
      </w:r>
    </w:p>
  </w:footnote>
  <w:footnote w:id="12">
    <w:p w:rsidR="00971E82" w:rsidRPr="00DD37F4" w:rsidRDefault="00971E82" w:rsidP="08163013">
      <w:pPr>
        <w:pStyle w:val="Textpoznpodarou"/>
        <w:rPr>
          <w:noProof/>
          <w:szCs w:val="14"/>
          <w:lang w:val="cs-CZ"/>
        </w:rPr>
      </w:pPr>
      <w:r>
        <w:rPr>
          <w:rStyle w:val="Znakapoznpodarou"/>
        </w:rPr>
        <w:footnoteRef/>
      </w:r>
      <w:r>
        <w:t xml:space="preserve"> </w:t>
      </w:r>
      <w:r w:rsidRPr="00273106">
        <w:rPr>
          <w:noProof/>
        </w:rPr>
        <w:t xml:space="preserve">„Species </w:t>
      </w:r>
      <w:r w:rsidRPr="00273106">
        <w:rPr>
          <w:noProof/>
          <w:szCs w:val="9"/>
        </w:rPr>
        <w:t xml:space="preserve">autem </w:t>
      </w:r>
      <w:r w:rsidRPr="00273106">
        <w:rPr>
          <w:noProof/>
          <w:szCs w:val="7"/>
        </w:rPr>
        <w:t xml:space="preserve">innata potest esse dupliciter: </w:t>
      </w:r>
      <w:r w:rsidRPr="00273106">
        <w:rPr>
          <w:noProof/>
        </w:rPr>
        <w:t xml:space="preserve">aut </w:t>
      </w:r>
      <w:r w:rsidRPr="00273106">
        <w:rPr>
          <w:i/>
          <w:noProof/>
        </w:rPr>
        <w:t xml:space="preserve">similitudo </w:t>
      </w:r>
      <w:r w:rsidRPr="00273106">
        <w:rPr>
          <w:i/>
          <w:noProof/>
          <w:szCs w:val="9"/>
        </w:rPr>
        <w:t>tantum</w:t>
      </w:r>
      <w:r w:rsidRPr="00273106">
        <w:rPr>
          <w:noProof/>
          <w:szCs w:val="9"/>
        </w:rPr>
        <w:t xml:space="preserve">, </w:t>
      </w:r>
      <w:r w:rsidRPr="00273106">
        <w:rPr>
          <w:noProof/>
          <w:szCs w:val="7"/>
        </w:rPr>
        <w:t xml:space="preserve">sicut species lapidis, </w:t>
      </w:r>
      <w:r w:rsidRPr="00273106">
        <w:rPr>
          <w:noProof/>
        </w:rPr>
        <w:t xml:space="preserve">aut </w:t>
      </w:r>
      <w:r w:rsidRPr="00273106">
        <w:rPr>
          <w:noProof/>
          <w:szCs w:val="6"/>
        </w:rPr>
        <w:t xml:space="preserve">ita </w:t>
      </w:r>
      <w:r w:rsidRPr="00273106">
        <w:rPr>
          <w:i/>
          <w:noProof/>
          <w:szCs w:val="6"/>
        </w:rPr>
        <w:t>si</w:t>
      </w:r>
      <w:r w:rsidRPr="00273106">
        <w:rPr>
          <w:i/>
          <w:noProof/>
        </w:rPr>
        <w:t>militudo</w:t>
      </w:r>
      <w:r w:rsidRPr="00273106">
        <w:rPr>
          <w:noProof/>
        </w:rPr>
        <w:t xml:space="preserve">, </w:t>
      </w:r>
      <w:r w:rsidRPr="00273106">
        <w:rPr>
          <w:noProof/>
          <w:szCs w:val="9"/>
        </w:rPr>
        <w:t xml:space="preserve">quod </w:t>
      </w:r>
      <w:r w:rsidRPr="00273106">
        <w:rPr>
          <w:noProof/>
        </w:rPr>
        <w:t xml:space="preserve">etiam </w:t>
      </w:r>
      <w:r w:rsidRPr="00273106">
        <w:rPr>
          <w:noProof/>
          <w:szCs w:val="9"/>
        </w:rPr>
        <w:t xml:space="preserve">quaedam </w:t>
      </w:r>
      <w:r w:rsidRPr="00273106">
        <w:rPr>
          <w:i/>
          <w:noProof/>
        </w:rPr>
        <w:t>veritas</w:t>
      </w:r>
      <w:r w:rsidRPr="00273106">
        <w:rPr>
          <w:noProof/>
        </w:rPr>
        <w:t xml:space="preserve"> </w:t>
      </w:r>
      <w:r w:rsidRPr="00273106">
        <w:rPr>
          <w:noProof/>
          <w:szCs w:val="7"/>
        </w:rPr>
        <w:t xml:space="preserve">in se ipsa. </w:t>
      </w:r>
      <w:r w:rsidRPr="00273106">
        <w:rPr>
          <w:noProof/>
          <w:szCs w:val="9"/>
        </w:rPr>
        <w:t xml:space="preserve">Prima </w:t>
      </w:r>
      <w:r w:rsidRPr="00273106">
        <w:rPr>
          <w:noProof/>
          <w:szCs w:val="7"/>
        </w:rPr>
        <w:t>species est sicut pictura</w:t>
      </w:r>
      <w:r w:rsidRPr="00273106">
        <w:rPr>
          <w:noProof/>
          <w:szCs w:val="3"/>
        </w:rPr>
        <w:t xml:space="preserve">; </w:t>
      </w:r>
      <w:r w:rsidRPr="00273106">
        <w:rPr>
          <w:noProof/>
          <w:szCs w:val="6"/>
        </w:rPr>
        <w:t xml:space="preserve">et </w:t>
      </w:r>
      <w:r w:rsidRPr="00273106">
        <w:rPr>
          <w:noProof/>
          <w:szCs w:val="9"/>
        </w:rPr>
        <w:t xml:space="preserve">ab </w:t>
      </w:r>
      <w:r w:rsidRPr="00273106">
        <w:rPr>
          <w:noProof/>
        </w:rPr>
        <w:t xml:space="preserve">hac </w:t>
      </w:r>
      <w:r w:rsidRPr="00273106">
        <w:rPr>
          <w:noProof/>
          <w:szCs w:val="7"/>
        </w:rPr>
        <w:t xml:space="preserve">creata est </w:t>
      </w:r>
      <w:r w:rsidRPr="00273106">
        <w:rPr>
          <w:noProof/>
          <w:szCs w:val="9"/>
        </w:rPr>
        <w:t xml:space="preserve">anima </w:t>
      </w:r>
      <w:r w:rsidRPr="00273106">
        <w:rPr>
          <w:noProof/>
        </w:rPr>
        <w:t xml:space="preserve">nuda. </w:t>
      </w:r>
      <w:r w:rsidRPr="00273106">
        <w:rPr>
          <w:noProof/>
          <w:szCs w:val="9"/>
        </w:rPr>
        <w:t xml:space="preserve">Secunda </w:t>
      </w:r>
      <w:r w:rsidRPr="00273106">
        <w:rPr>
          <w:noProof/>
          <w:szCs w:val="7"/>
        </w:rPr>
        <w:t xml:space="preserve">species est </w:t>
      </w:r>
      <w:r w:rsidRPr="00273106">
        <w:rPr>
          <w:noProof/>
        </w:rPr>
        <w:t xml:space="preserve">impressio </w:t>
      </w:r>
      <w:r w:rsidRPr="00273106">
        <w:rPr>
          <w:noProof/>
          <w:szCs w:val="7"/>
        </w:rPr>
        <w:t xml:space="preserve">aliqua </w:t>
      </w:r>
      <w:r w:rsidRPr="00273106">
        <w:rPr>
          <w:noProof/>
          <w:szCs w:val="10"/>
        </w:rPr>
        <w:t xml:space="preserve">summae </w:t>
      </w:r>
      <w:r w:rsidRPr="00273106">
        <w:rPr>
          <w:noProof/>
          <w:szCs w:val="7"/>
        </w:rPr>
        <w:t xml:space="preserve">veritatis in </w:t>
      </w:r>
      <w:r w:rsidRPr="00273106">
        <w:rPr>
          <w:noProof/>
          <w:szCs w:val="9"/>
        </w:rPr>
        <w:t>anima</w:t>
      </w:r>
      <w:r w:rsidRPr="00273106">
        <w:rPr>
          <w:noProof/>
          <w:szCs w:val="3"/>
        </w:rPr>
        <w:t xml:space="preserve">, </w:t>
      </w:r>
      <w:r w:rsidRPr="00273106">
        <w:rPr>
          <w:noProof/>
          <w:szCs w:val="7"/>
        </w:rPr>
        <w:t>sicut verbi gratia ani</w:t>
      </w:r>
      <w:r w:rsidRPr="00273106">
        <w:rPr>
          <w:noProof/>
          <w:szCs w:val="10"/>
        </w:rPr>
        <w:t xml:space="preserve">mae </w:t>
      </w:r>
      <w:r w:rsidRPr="00273106">
        <w:rPr>
          <w:noProof/>
        </w:rPr>
        <w:t xml:space="preserve">a conditione sua </w:t>
      </w:r>
      <w:r w:rsidRPr="00273106">
        <w:rPr>
          <w:noProof/>
          <w:szCs w:val="9"/>
        </w:rPr>
        <w:t xml:space="preserve">datum </w:t>
      </w:r>
      <w:r w:rsidRPr="00273106">
        <w:rPr>
          <w:noProof/>
          <w:szCs w:val="7"/>
        </w:rPr>
        <w:t xml:space="preserve">est </w:t>
      </w:r>
      <w:r w:rsidRPr="00273106">
        <w:rPr>
          <w:i/>
          <w:noProof/>
          <w:szCs w:val="9"/>
        </w:rPr>
        <w:t>lumen</w:t>
      </w:r>
      <w:r w:rsidRPr="00273106">
        <w:rPr>
          <w:noProof/>
          <w:szCs w:val="9"/>
        </w:rPr>
        <w:t xml:space="preserve"> </w:t>
      </w:r>
      <w:r w:rsidRPr="00273106">
        <w:rPr>
          <w:noProof/>
          <w:szCs w:val="10"/>
        </w:rPr>
        <w:t xml:space="preserve">quoddam </w:t>
      </w:r>
      <w:r w:rsidRPr="00273106">
        <w:rPr>
          <w:noProof/>
        </w:rPr>
        <w:t xml:space="preserve">directivum </w:t>
      </w:r>
      <w:r w:rsidRPr="00273106">
        <w:rPr>
          <w:noProof/>
          <w:szCs w:val="6"/>
        </w:rPr>
        <w:t xml:space="preserve">et </w:t>
      </w:r>
      <w:r w:rsidRPr="00273106">
        <w:rPr>
          <w:noProof/>
        </w:rPr>
        <w:t xml:space="preserve">quaedam </w:t>
      </w:r>
      <w:r w:rsidRPr="00273106">
        <w:rPr>
          <w:i/>
          <w:noProof/>
          <w:szCs w:val="7"/>
        </w:rPr>
        <w:t>directio</w:t>
      </w:r>
      <w:r w:rsidRPr="00273106">
        <w:rPr>
          <w:noProof/>
          <w:szCs w:val="7"/>
        </w:rPr>
        <w:t xml:space="preserve"> naturalis.“ </w:t>
      </w:r>
      <w:r w:rsidRPr="00273106">
        <w:rPr>
          <w:noProof/>
        </w:rPr>
        <w:t>(</w:t>
      </w:r>
      <w:r w:rsidRPr="00273106">
        <w:rPr>
          <w:i/>
          <w:noProof/>
        </w:rPr>
        <w:t>In I Sent.</w:t>
      </w:r>
      <w:r w:rsidRPr="00273106">
        <w:rPr>
          <w:noProof/>
        </w:rPr>
        <w:t xml:space="preserve"> d. 17, a. 1. q.</w:t>
      </w:r>
      <w:r>
        <w:rPr>
          <w:noProof/>
        </w:rPr>
        <w:t xml:space="preserve"> 4, resp.;  </w:t>
      </w:r>
      <w:r w:rsidRPr="007405DA">
        <w:rPr>
          <w:i/>
          <w:noProof/>
        </w:rPr>
        <w:t>Opera omnia</w:t>
      </w:r>
      <w:r>
        <w:rPr>
          <w:noProof/>
        </w:rPr>
        <w:t xml:space="preserve"> </w:t>
      </w:r>
      <w:r>
        <w:rPr>
          <w:noProof/>
          <w:lang w:val="cs-CZ"/>
        </w:rPr>
        <w:t>1</w:t>
      </w:r>
      <w:r>
        <w:rPr>
          <w:noProof/>
        </w:rPr>
        <w:t xml:space="preserve">.1, </w:t>
      </w:r>
      <w:r w:rsidRPr="00273106">
        <w:rPr>
          <w:noProof/>
        </w:rPr>
        <w:t>301b</w:t>
      </w:r>
      <w:r>
        <w:rPr>
          <w:lang w:val="cs-CZ"/>
        </w:rPr>
        <w:fldChar w:fldCharType="begin"/>
      </w:r>
      <w:r>
        <w:instrText xml:space="preserve"> XE "</w:instrText>
      </w:r>
      <w:r>
        <w:rPr>
          <w:lang w:val="cs-CZ"/>
        </w:rPr>
        <w:instrText>Bonaventura:</w:instrText>
      </w:r>
      <w:r w:rsidRPr="00EF3444">
        <w:rPr>
          <w:i/>
        </w:rPr>
        <w:instrText>In I Sent</w:instrText>
      </w:r>
      <w:r>
        <w:rPr>
          <w:i/>
          <w:lang w:val="cs-CZ"/>
        </w:rPr>
        <w:instrText xml:space="preserve"> </w:instrText>
      </w:r>
      <w:r>
        <w:rPr>
          <w:lang w:val="cs-CZ"/>
        </w:rPr>
        <w:instrText>301b</w:instrText>
      </w:r>
      <w:r>
        <w:instrText xml:space="preserve">" </w:instrText>
      </w:r>
      <w:r>
        <w:rPr>
          <w:lang w:val="cs-CZ"/>
        </w:rPr>
        <w:fldChar w:fldCharType="end"/>
      </w:r>
      <w:r w:rsidRPr="00273106">
        <w:rPr>
          <w:noProof/>
        </w:rPr>
        <w:t>)</w:t>
      </w:r>
    </w:p>
  </w:footnote>
  <w:footnote w:id="13">
    <w:p w:rsidR="00971E82" w:rsidRPr="00697C20" w:rsidRDefault="00971E82" w:rsidP="08163013">
      <w:pPr>
        <w:pStyle w:val="Textpoznpodarou"/>
      </w:pPr>
      <w:r>
        <w:rPr>
          <w:rStyle w:val="Znakapoznpodarou"/>
        </w:rPr>
        <w:footnoteRef/>
      </w:r>
      <w:r>
        <w:t xml:space="preserve"> „Si enim «veritas, ut dicit Anselmus, est rectitudo sola mente percep</w:t>
      </w:r>
      <w:r>
        <w:rPr>
          <w:lang w:val="cs-CZ"/>
        </w:rPr>
        <w:t>t</w:t>
      </w:r>
      <w:r>
        <w:t>ibilis», et rectitudini non potest aequari nisi rectum; cum intellectus noster aequatur veritati, necessario rectificatur. Tunc autem aequatur, quando actualiter se convertit ad veritatem. Veritas enim in actu definitur, quod «est adaequatio rei et intellectus».“ (</w:t>
      </w:r>
      <w:r w:rsidRPr="00064861">
        <w:rPr>
          <w:i/>
        </w:rPr>
        <w:t>In II Sent.</w:t>
      </w:r>
      <w:r>
        <w:t>, proem.</w:t>
      </w:r>
      <w:r>
        <w:rPr>
          <w:lang w:val="cs-CZ"/>
        </w:rPr>
        <w:t xml:space="preserve">; </w:t>
      </w:r>
      <w:r w:rsidRPr="007405DA">
        <w:rPr>
          <w:i/>
        </w:rPr>
        <w:t>Opera omnia</w:t>
      </w:r>
      <w:r>
        <w:t xml:space="preserve"> </w:t>
      </w:r>
      <w:r>
        <w:rPr>
          <w:lang w:val="cs-CZ"/>
        </w:rPr>
        <w:t>2</w:t>
      </w:r>
      <w:r>
        <w:t>, 4a</w:t>
      </w:r>
      <w:r>
        <w:fldChar w:fldCharType="begin"/>
      </w:r>
      <w:r>
        <w:instrText xml:space="preserve"> XE "</w:instrText>
      </w:r>
      <w:r>
        <w:rPr>
          <w:lang w:val="cs-CZ"/>
        </w:rPr>
        <w:instrText>Bonaventura:</w:instrText>
      </w:r>
      <w:r w:rsidRPr="0035406E">
        <w:rPr>
          <w:i/>
        </w:rPr>
        <w:instrText>In II Sent.</w:instrText>
      </w:r>
      <w:r w:rsidRPr="0035406E">
        <w:instrText xml:space="preserve"> 4a</w:instrText>
      </w:r>
      <w:r>
        <w:instrText xml:space="preserve">" </w:instrText>
      </w:r>
      <w:r>
        <w:fldChar w:fldCharType="end"/>
      </w:r>
      <w:r>
        <w:t>)</w:t>
      </w:r>
    </w:p>
  </w:footnote>
  <w:footnote w:id="14">
    <w:p w:rsidR="00971E82" w:rsidRPr="00426CDF" w:rsidRDefault="00971E82" w:rsidP="08163013">
      <w:pPr>
        <w:pStyle w:val="Textpoznpodarou"/>
        <w:rPr>
          <w:lang w:val="cs-CZ"/>
        </w:rPr>
      </w:pPr>
      <w:r>
        <w:rPr>
          <w:rStyle w:val="Znakapoznpodarou"/>
        </w:rPr>
        <w:footnoteRef/>
      </w:r>
      <w:r>
        <w:t xml:space="preserve"> </w:t>
      </w:r>
      <w:r w:rsidRPr="00273106">
        <w:rPr>
          <w:noProof/>
        </w:rPr>
        <w:t>„</w:t>
      </w:r>
      <w:r w:rsidRPr="00273106">
        <w:rPr>
          <w:i/>
          <w:noProof/>
        </w:rPr>
        <w:t>Tertio modo sentire</w:t>
      </w:r>
      <w:r w:rsidRPr="00273106">
        <w:rPr>
          <w:noProof/>
        </w:rPr>
        <w:t xml:space="preserve"> idem est, quod speciem existentem in materia praeter materiam mediante organo corporeo suscipere; et sic accipit Philosophus in secundo de Anima, cum dicit, quod «sensus est susceptivus specierum in materia praeter materiam».“ (</w:t>
      </w:r>
      <w:r w:rsidRPr="00273106">
        <w:rPr>
          <w:i/>
          <w:noProof/>
        </w:rPr>
        <w:t>In II Sent</w:t>
      </w:r>
      <w:r w:rsidRPr="00273106">
        <w:rPr>
          <w:noProof/>
        </w:rPr>
        <w:t xml:space="preserve">., d. 8, p. I, a. 3, q. 2, resp., ad 4; </w:t>
      </w:r>
      <w:r w:rsidRPr="007405DA">
        <w:rPr>
          <w:i/>
          <w:noProof/>
        </w:rPr>
        <w:t>Opera omnia</w:t>
      </w:r>
      <w:r>
        <w:rPr>
          <w:noProof/>
        </w:rPr>
        <w:t xml:space="preserve"> </w:t>
      </w:r>
      <w:r>
        <w:rPr>
          <w:noProof/>
          <w:lang w:val="cs-CZ"/>
        </w:rPr>
        <w:t>2</w:t>
      </w:r>
      <w:r>
        <w:rPr>
          <w:noProof/>
        </w:rPr>
        <w:t xml:space="preserve">, </w:t>
      </w:r>
      <w:r w:rsidRPr="00273106">
        <w:rPr>
          <w:noProof/>
        </w:rPr>
        <w:t>222b</w:t>
      </w:r>
      <w:r>
        <w:fldChar w:fldCharType="begin"/>
      </w:r>
      <w:r>
        <w:instrText xml:space="preserve"> XE "</w:instrText>
      </w:r>
      <w:r>
        <w:rPr>
          <w:lang w:val="cs-CZ"/>
        </w:rPr>
        <w:instrText>Bonaventura:</w:instrText>
      </w:r>
      <w:r w:rsidRPr="0035406E">
        <w:rPr>
          <w:i/>
        </w:rPr>
        <w:instrText>In II Sent.</w:instrText>
      </w:r>
      <w:r>
        <w:instrText xml:space="preserve"> </w:instrText>
      </w:r>
      <w:r>
        <w:rPr>
          <w:lang w:val="cs-CZ"/>
        </w:rPr>
        <w:instrText>222b</w:instrText>
      </w:r>
      <w:r>
        <w:instrText xml:space="preserve">" </w:instrText>
      </w:r>
      <w:r>
        <w:fldChar w:fldCharType="end"/>
      </w:r>
      <w:r w:rsidRPr="00273106">
        <w:rPr>
          <w:noProof/>
        </w:rPr>
        <w:t>)</w:t>
      </w:r>
    </w:p>
  </w:footnote>
  <w:footnote w:id="15">
    <w:p w:rsidR="00971E82" w:rsidRPr="000E4844" w:rsidRDefault="00971E82" w:rsidP="08163013">
      <w:pPr>
        <w:pStyle w:val="Textpoznpodarou"/>
      </w:pPr>
      <w:r>
        <w:rPr>
          <w:rStyle w:val="Znakapoznpodarou"/>
        </w:rPr>
        <w:footnoteRef/>
      </w:r>
      <w:r>
        <w:t xml:space="preserve"> </w:t>
      </w:r>
      <w:r w:rsidRPr="000E4844">
        <w:rPr>
          <w:rStyle w:val="TextpoznpodarouChar"/>
          <w:rFonts w:eastAsia="Times"/>
        </w:rPr>
        <w:t>„Item, quanto aliquid simplicius, tanto prius; sed forma quanto universalior, tanto simplicior: ergo  tanto prior.“ (</w:t>
      </w:r>
      <w:r w:rsidRPr="000E4844">
        <w:rPr>
          <w:rStyle w:val="TextpoznpodarouChar"/>
          <w:rFonts w:eastAsia="Times"/>
          <w:i/>
        </w:rPr>
        <w:t>In II. Sent</w:t>
      </w:r>
      <w:r w:rsidRPr="000E4844">
        <w:rPr>
          <w:rStyle w:val="TextpoznpodarouChar"/>
          <w:rFonts w:eastAsia="Times"/>
        </w:rPr>
        <w:t xml:space="preserve">., d. 18, a. 1, q. 3, ad 2; </w:t>
      </w:r>
      <w:r w:rsidRPr="000E4844">
        <w:rPr>
          <w:rStyle w:val="TextpoznpodarouChar"/>
          <w:rFonts w:eastAsia="Times"/>
          <w:i/>
        </w:rPr>
        <w:t>Opera omnia</w:t>
      </w:r>
      <w:r>
        <w:rPr>
          <w:rStyle w:val="TextpoznpodarouChar"/>
          <w:rFonts w:eastAsia="Times"/>
        </w:rPr>
        <w:t xml:space="preserve"> </w:t>
      </w:r>
      <w:r>
        <w:rPr>
          <w:rStyle w:val="TextpoznpodarouChar"/>
          <w:rFonts w:eastAsia="Times"/>
          <w:lang w:val="cs-CZ"/>
        </w:rPr>
        <w:t>2</w:t>
      </w:r>
      <w:r>
        <w:rPr>
          <w:rStyle w:val="TextpoznpodarouChar"/>
          <w:rFonts w:eastAsia="Times"/>
        </w:rPr>
        <w:t xml:space="preserve">, </w:t>
      </w:r>
      <w:r w:rsidRPr="000E4844">
        <w:rPr>
          <w:rStyle w:val="TextpoznpodarouChar"/>
          <w:rFonts w:eastAsia="Times"/>
        </w:rPr>
        <w:t>439</w:t>
      </w:r>
      <w:r>
        <w:rPr>
          <w:rStyle w:val="TextpoznpodarouChar"/>
          <w:rFonts w:eastAsia="Times"/>
        </w:rPr>
        <w:t>a</w:t>
      </w:r>
      <w:r>
        <w:fldChar w:fldCharType="begin"/>
      </w:r>
      <w:r>
        <w:instrText xml:space="preserve"> XE "</w:instrText>
      </w:r>
      <w:r>
        <w:rPr>
          <w:lang w:val="cs-CZ"/>
        </w:rPr>
        <w:instrText>Bonaventura:</w:instrText>
      </w:r>
      <w:r w:rsidRPr="0035406E">
        <w:rPr>
          <w:i/>
        </w:rPr>
        <w:instrText>In II Sent.</w:instrText>
      </w:r>
      <w:r>
        <w:instrText xml:space="preserve"> </w:instrText>
      </w:r>
      <w:r>
        <w:rPr>
          <w:lang w:val="cs-CZ"/>
        </w:rPr>
        <w:instrText>439</w:instrText>
      </w:r>
      <w:r w:rsidRPr="0035406E">
        <w:instrText>a</w:instrText>
      </w:r>
      <w:r>
        <w:instrText xml:space="preserve">" </w:instrText>
      </w:r>
      <w:r>
        <w:fldChar w:fldCharType="end"/>
      </w:r>
      <w:r w:rsidRPr="000E4844">
        <w:rPr>
          <w:rStyle w:val="TextpoznpodarouChar"/>
          <w:rFonts w:eastAsia="Times"/>
        </w:rPr>
        <w:t>)</w:t>
      </w:r>
    </w:p>
  </w:footnote>
  <w:footnote w:id="16">
    <w:p w:rsidR="00971E82" w:rsidRPr="00F44E3B" w:rsidRDefault="00971E82" w:rsidP="08163013">
      <w:pPr>
        <w:pStyle w:val="Textpoznpodarou"/>
        <w:rPr>
          <w:noProof/>
          <w:lang w:val="cs-CZ"/>
        </w:rPr>
      </w:pPr>
      <w:r>
        <w:rPr>
          <w:rStyle w:val="Znakapoznpodarou"/>
        </w:rPr>
        <w:footnoteRef/>
      </w:r>
      <w:r>
        <w:t xml:space="preserve"> </w:t>
      </w:r>
      <w:r w:rsidRPr="00273106">
        <w:rPr>
          <w:noProof/>
        </w:rPr>
        <w:t>„Item, intellectus, si verus est, intelligit, sicut est in re; alioquin, si non respondet ei ita in re, sicut intelligit, falsus est et vanus; sed tam rationalis philosophus quam etiam metaphysicus dicit, differentias extrahi de potentia generis: ergo oportet, quod ita sit in re, quod formae minus universales exeant in esse a formis magis universalibus; aut consideratio logici et philosophi est omnino vana.“ (</w:t>
      </w:r>
      <w:r w:rsidRPr="00273106">
        <w:rPr>
          <w:i/>
          <w:noProof/>
        </w:rPr>
        <w:t>In II. Sent</w:t>
      </w:r>
      <w:r w:rsidRPr="00273106">
        <w:rPr>
          <w:noProof/>
        </w:rPr>
        <w:t>., d. 18, a. 1,</w:t>
      </w:r>
      <w:r>
        <w:rPr>
          <w:noProof/>
        </w:rPr>
        <w:t xml:space="preserve"> q. 3, ad 3; </w:t>
      </w:r>
      <w:r w:rsidRPr="007405DA">
        <w:rPr>
          <w:i/>
          <w:noProof/>
        </w:rPr>
        <w:t>Opera omnia</w:t>
      </w:r>
      <w:r>
        <w:rPr>
          <w:noProof/>
        </w:rPr>
        <w:t xml:space="preserve"> </w:t>
      </w:r>
      <w:r>
        <w:rPr>
          <w:noProof/>
          <w:lang w:val="cs-CZ"/>
        </w:rPr>
        <w:t>2</w:t>
      </w:r>
      <w:r>
        <w:rPr>
          <w:noProof/>
        </w:rPr>
        <w:t xml:space="preserve">, </w:t>
      </w:r>
      <w:r w:rsidRPr="00273106">
        <w:rPr>
          <w:noProof/>
        </w:rPr>
        <w:t>439a</w:t>
      </w:r>
      <w:r>
        <w:fldChar w:fldCharType="begin"/>
      </w:r>
      <w:r>
        <w:instrText xml:space="preserve"> XE "</w:instrText>
      </w:r>
      <w:r>
        <w:rPr>
          <w:lang w:val="cs-CZ"/>
        </w:rPr>
        <w:instrText>Bonaventura:</w:instrText>
      </w:r>
      <w:r w:rsidRPr="0035406E">
        <w:rPr>
          <w:i/>
        </w:rPr>
        <w:instrText>In II Sent.</w:instrText>
      </w:r>
      <w:r>
        <w:instrText xml:space="preserve"> </w:instrText>
      </w:r>
      <w:r>
        <w:rPr>
          <w:lang w:val="cs-CZ"/>
        </w:rPr>
        <w:instrText>439a</w:instrText>
      </w:r>
      <w:r>
        <w:instrText xml:space="preserve">" </w:instrText>
      </w:r>
      <w:r>
        <w:fldChar w:fldCharType="end"/>
      </w:r>
      <w:r w:rsidRPr="00273106">
        <w:rPr>
          <w:noProof/>
        </w:rPr>
        <w:t>)</w:t>
      </w:r>
    </w:p>
  </w:footnote>
  <w:footnote w:id="17">
    <w:p w:rsidR="00971E82" w:rsidRPr="007222E3" w:rsidRDefault="00971E82" w:rsidP="08163013">
      <w:pPr>
        <w:pStyle w:val="Textpoznpodarou"/>
        <w:rPr>
          <w:noProof/>
          <w:szCs w:val="13"/>
          <w:lang w:val="cs-CZ"/>
        </w:rPr>
      </w:pPr>
      <w:r>
        <w:rPr>
          <w:rStyle w:val="Znakapoznpodarou"/>
        </w:rPr>
        <w:footnoteRef/>
      </w:r>
      <w:r>
        <w:t xml:space="preserve"> </w:t>
      </w:r>
      <w:r w:rsidRPr="00273106">
        <w:rPr>
          <w:noProof/>
        </w:rPr>
        <w:t>„Dicendum</w:t>
      </w:r>
      <w:r w:rsidRPr="00273106">
        <w:rPr>
          <w:noProof/>
          <w:szCs w:val="6"/>
        </w:rPr>
        <w:t xml:space="preserve">, </w:t>
      </w:r>
      <w:r w:rsidRPr="00273106">
        <w:rPr>
          <w:noProof/>
        </w:rPr>
        <w:t xml:space="preserve">quod </w:t>
      </w:r>
      <w:r w:rsidRPr="00273106">
        <w:rPr>
          <w:i/>
          <w:noProof/>
          <w:szCs w:val="13"/>
        </w:rPr>
        <w:t>res</w:t>
      </w:r>
      <w:r w:rsidRPr="00273106">
        <w:rPr>
          <w:noProof/>
          <w:szCs w:val="13"/>
        </w:rPr>
        <w:t xml:space="preserve"> </w:t>
      </w:r>
      <w:r w:rsidRPr="00273106">
        <w:rPr>
          <w:noProof/>
          <w:szCs w:val="12"/>
        </w:rPr>
        <w:t xml:space="preserve">accipitur </w:t>
      </w:r>
      <w:r w:rsidRPr="00273106">
        <w:rPr>
          <w:i/>
          <w:noProof/>
        </w:rPr>
        <w:t>communiter</w:t>
      </w:r>
      <w:r w:rsidRPr="00273106">
        <w:rPr>
          <w:noProof/>
        </w:rPr>
        <w:t xml:space="preserve"> et </w:t>
      </w:r>
      <w:r w:rsidRPr="00273106">
        <w:rPr>
          <w:i/>
          <w:noProof/>
          <w:szCs w:val="14"/>
        </w:rPr>
        <w:t>proprie</w:t>
      </w:r>
      <w:r w:rsidRPr="00273106">
        <w:rPr>
          <w:noProof/>
          <w:szCs w:val="14"/>
        </w:rPr>
        <w:t xml:space="preserve"> </w:t>
      </w:r>
      <w:r w:rsidRPr="00273106">
        <w:rPr>
          <w:noProof/>
          <w:szCs w:val="11"/>
        </w:rPr>
        <w:t xml:space="preserve">et </w:t>
      </w:r>
      <w:r w:rsidRPr="00273106">
        <w:rPr>
          <w:i/>
          <w:noProof/>
          <w:szCs w:val="16"/>
        </w:rPr>
        <w:t>magis p</w:t>
      </w:r>
      <w:r w:rsidRPr="00273106">
        <w:rPr>
          <w:i/>
          <w:noProof/>
          <w:szCs w:val="13"/>
        </w:rPr>
        <w:t>roprie</w:t>
      </w:r>
      <w:r w:rsidRPr="00273106">
        <w:rPr>
          <w:noProof/>
          <w:szCs w:val="13"/>
        </w:rPr>
        <w:t xml:space="preserve">. Res, secundum </w:t>
      </w:r>
      <w:r w:rsidRPr="00273106">
        <w:rPr>
          <w:noProof/>
        </w:rPr>
        <w:t xml:space="preserve">quod </w:t>
      </w:r>
      <w:r w:rsidRPr="00273106">
        <w:rPr>
          <w:i/>
          <w:noProof/>
          <w:szCs w:val="17"/>
        </w:rPr>
        <w:t>communiter</w:t>
      </w:r>
      <w:r w:rsidRPr="00273106">
        <w:rPr>
          <w:noProof/>
          <w:szCs w:val="17"/>
        </w:rPr>
        <w:t xml:space="preserve"> </w:t>
      </w:r>
      <w:r w:rsidRPr="00273106">
        <w:rPr>
          <w:noProof/>
          <w:szCs w:val="12"/>
        </w:rPr>
        <w:t xml:space="preserve">dicitur, dicitur </w:t>
      </w:r>
      <w:r w:rsidRPr="00273106">
        <w:rPr>
          <w:noProof/>
          <w:szCs w:val="13"/>
        </w:rPr>
        <w:t xml:space="preserve">a </w:t>
      </w:r>
      <w:r w:rsidRPr="00273106">
        <w:rPr>
          <w:i/>
          <w:noProof/>
          <w:szCs w:val="13"/>
        </w:rPr>
        <w:t>reor</w:t>
      </w:r>
      <w:r w:rsidRPr="00273106">
        <w:rPr>
          <w:noProof/>
          <w:szCs w:val="13"/>
        </w:rPr>
        <w:t xml:space="preserve">, </w:t>
      </w:r>
      <w:r w:rsidRPr="00273106">
        <w:rPr>
          <w:i/>
          <w:noProof/>
          <w:szCs w:val="11"/>
        </w:rPr>
        <w:t>reris</w:t>
      </w:r>
      <w:r w:rsidRPr="00273106">
        <w:rPr>
          <w:noProof/>
          <w:szCs w:val="11"/>
        </w:rPr>
        <w:t xml:space="preserve">; et </w:t>
      </w:r>
      <w:r w:rsidRPr="00273106">
        <w:rPr>
          <w:noProof/>
          <w:szCs w:val="10"/>
        </w:rPr>
        <w:t xml:space="preserve">sic </w:t>
      </w:r>
      <w:r w:rsidRPr="00273106">
        <w:rPr>
          <w:noProof/>
          <w:szCs w:val="14"/>
        </w:rPr>
        <w:t xml:space="preserve">comprehendit </w:t>
      </w:r>
      <w:r w:rsidRPr="00273106">
        <w:rPr>
          <w:noProof/>
          <w:szCs w:val="16"/>
        </w:rPr>
        <w:t xml:space="preserve">omne </w:t>
      </w:r>
      <w:r w:rsidRPr="00273106">
        <w:rPr>
          <w:noProof/>
          <w:szCs w:val="11"/>
        </w:rPr>
        <w:t>illud</w:t>
      </w:r>
      <w:r w:rsidRPr="00273106">
        <w:rPr>
          <w:noProof/>
          <w:szCs w:val="5"/>
        </w:rPr>
        <w:t xml:space="preserve">, </w:t>
      </w:r>
      <w:r w:rsidRPr="00273106">
        <w:rPr>
          <w:noProof/>
        </w:rPr>
        <w:t xml:space="preserve">quod </w:t>
      </w:r>
      <w:r w:rsidRPr="00273106">
        <w:rPr>
          <w:noProof/>
          <w:szCs w:val="12"/>
        </w:rPr>
        <w:t xml:space="preserve">cadit </w:t>
      </w:r>
      <w:r w:rsidRPr="00273106">
        <w:rPr>
          <w:noProof/>
          <w:szCs w:val="11"/>
        </w:rPr>
        <w:t>in co</w:t>
      </w:r>
      <w:r w:rsidRPr="00273106">
        <w:rPr>
          <w:noProof/>
          <w:szCs w:val="12"/>
        </w:rPr>
        <w:t xml:space="preserve">gnitione, </w:t>
      </w:r>
      <w:r w:rsidRPr="00273106">
        <w:rPr>
          <w:noProof/>
          <w:szCs w:val="11"/>
        </w:rPr>
        <w:t xml:space="preserve">sive </w:t>
      </w:r>
      <w:r w:rsidRPr="00273106">
        <w:rPr>
          <w:noProof/>
          <w:szCs w:val="9"/>
        </w:rPr>
        <w:t xml:space="preserve">sit </w:t>
      </w:r>
      <w:r w:rsidRPr="00273106">
        <w:rPr>
          <w:noProof/>
          <w:szCs w:val="12"/>
        </w:rPr>
        <w:t xml:space="preserve">res exterius, sive </w:t>
      </w:r>
      <w:r w:rsidRPr="00273106">
        <w:rPr>
          <w:noProof/>
          <w:szCs w:val="11"/>
        </w:rPr>
        <w:t xml:space="preserve">in </w:t>
      </w:r>
      <w:r w:rsidRPr="00273106">
        <w:rPr>
          <w:noProof/>
          <w:szCs w:val="12"/>
        </w:rPr>
        <w:t xml:space="preserve">sola opinione. </w:t>
      </w:r>
      <w:r w:rsidRPr="00273106">
        <w:rPr>
          <w:i/>
          <w:noProof/>
        </w:rPr>
        <w:t>Proprie</w:t>
      </w:r>
      <w:r w:rsidRPr="00273106">
        <w:rPr>
          <w:noProof/>
        </w:rPr>
        <w:t xml:space="preserve"> </w:t>
      </w:r>
      <w:r w:rsidRPr="00273106">
        <w:rPr>
          <w:noProof/>
          <w:szCs w:val="13"/>
        </w:rPr>
        <w:t xml:space="preserve">vero </w:t>
      </w:r>
      <w:r w:rsidRPr="00273106">
        <w:rPr>
          <w:noProof/>
          <w:szCs w:val="12"/>
        </w:rPr>
        <w:t xml:space="preserve">dicitur res </w:t>
      </w:r>
      <w:r w:rsidRPr="00273106">
        <w:rPr>
          <w:noProof/>
          <w:szCs w:val="14"/>
        </w:rPr>
        <w:t xml:space="preserve">a </w:t>
      </w:r>
      <w:r w:rsidRPr="00273106">
        <w:rPr>
          <w:i/>
          <w:noProof/>
          <w:szCs w:val="14"/>
        </w:rPr>
        <w:t>ratus</w:t>
      </w:r>
      <w:r w:rsidRPr="00273106">
        <w:rPr>
          <w:noProof/>
          <w:szCs w:val="14"/>
        </w:rPr>
        <w:t xml:space="preserve">, </w:t>
      </w:r>
      <w:r w:rsidRPr="00273106">
        <w:rPr>
          <w:i/>
          <w:noProof/>
          <w:szCs w:val="14"/>
        </w:rPr>
        <w:t>rata</w:t>
      </w:r>
      <w:r w:rsidRPr="00273106">
        <w:rPr>
          <w:noProof/>
          <w:szCs w:val="7"/>
        </w:rPr>
        <w:t xml:space="preserve">, </w:t>
      </w:r>
      <w:r w:rsidRPr="00273106">
        <w:rPr>
          <w:i/>
          <w:noProof/>
          <w:szCs w:val="16"/>
        </w:rPr>
        <w:t>ratum</w:t>
      </w:r>
      <w:r w:rsidRPr="00273106">
        <w:rPr>
          <w:noProof/>
          <w:szCs w:val="16"/>
        </w:rPr>
        <w:t xml:space="preserve">, </w:t>
      </w:r>
      <w:r w:rsidRPr="00273106">
        <w:rPr>
          <w:noProof/>
        </w:rPr>
        <w:t xml:space="preserve">secundum quod </w:t>
      </w:r>
      <w:r w:rsidRPr="00273106">
        <w:rPr>
          <w:i/>
          <w:noProof/>
          <w:szCs w:val="16"/>
        </w:rPr>
        <w:t>ratum</w:t>
      </w:r>
      <w:r w:rsidRPr="00273106">
        <w:rPr>
          <w:noProof/>
          <w:szCs w:val="16"/>
        </w:rPr>
        <w:t xml:space="preserve"> </w:t>
      </w:r>
      <w:r w:rsidRPr="00273106">
        <w:rPr>
          <w:noProof/>
          <w:szCs w:val="12"/>
        </w:rPr>
        <w:t xml:space="preserve">dicitur esse </w:t>
      </w:r>
      <w:r w:rsidRPr="00273106">
        <w:rPr>
          <w:noProof/>
          <w:szCs w:val="11"/>
        </w:rPr>
        <w:t xml:space="preserve">illud </w:t>
      </w:r>
      <w:r w:rsidRPr="00273106">
        <w:rPr>
          <w:noProof/>
        </w:rPr>
        <w:t xml:space="preserve">quod </w:t>
      </w:r>
      <w:r w:rsidRPr="00273106">
        <w:rPr>
          <w:noProof/>
          <w:szCs w:val="14"/>
        </w:rPr>
        <w:t xml:space="preserve">non </w:t>
      </w:r>
      <w:r w:rsidRPr="00273106">
        <w:rPr>
          <w:noProof/>
        </w:rPr>
        <w:t xml:space="preserve">tantummodo </w:t>
      </w:r>
      <w:r w:rsidRPr="00273106">
        <w:rPr>
          <w:noProof/>
          <w:szCs w:val="11"/>
        </w:rPr>
        <w:t xml:space="preserve">est in </w:t>
      </w:r>
      <w:r w:rsidRPr="00273106">
        <w:rPr>
          <w:noProof/>
          <w:szCs w:val="12"/>
        </w:rPr>
        <w:t xml:space="preserve">cognitione, </w:t>
      </w:r>
      <w:r w:rsidRPr="00273106">
        <w:rPr>
          <w:noProof/>
          <w:szCs w:val="17"/>
        </w:rPr>
        <w:t xml:space="preserve">immo </w:t>
      </w:r>
      <w:r w:rsidRPr="00273106">
        <w:rPr>
          <w:noProof/>
          <w:szCs w:val="12"/>
        </w:rPr>
        <w:t xml:space="preserve">est </w:t>
      </w:r>
      <w:r w:rsidRPr="00273106">
        <w:rPr>
          <w:noProof/>
          <w:szCs w:val="11"/>
        </w:rPr>
        <w:t xml:space="preserve">in </w:t>
      </w:r>
      <w:r w:rsidRPr="00273106">
        <w:rPr>
          <w:noProof/>
          <w:szCs w:val="16"/>
        </w:rPr>
        <w:t xml:space="preserve">rerum </w:t>
      </w:r>
      <w:r w:rsidRPr="00273106">
        <w:rPr>
          <w:noProof/>
          <w:szCs w:val="13"/>
        </w:rPr>
        <w:t xml:space="preserve">natura, </w:t>
      </w:r>
      <w:r w:rsidRPr="00273106">
        <w:rPr>
          <w:noProof/>
          <w:szCs w:val="12"/>
        </w:rPr>
        <w:t xml:space="preserve">sive </w:t>
      </w:r>
      <w:r w:rsidRPr="00273106">
        <w:rPr>
          <w:noProof/>
          <w:szCs w:val="9"/>
        </w:rPr>
        <w:t xml:space="preserve">sit </w:t>
      </w:r>
      <w:r w:rsidRPr="00273106">
        <w:rPr>
          <w:noProof/>
          <w:szCs w:val="13"/>
        </w:rPr>
        <w:t xml:space="preserve">ens </w:t>
      </w:r>
      <w:r w:rsidRPr="00273106">
        <w:rPr>
          <w:i/>
          <w:noProof/>
          <w:szCs w:val="12"/>
        </w:rPr>
        <w:t>in se</w:t>
      </w:r>
      <w:r w:rsidRPr="00273106">
        <w:rPr>
          <w:noProof/>
          <w:szCs w:val="12"/>
        </w:rPr>
        <w:t xml:space="preserve">, sive </w:t>
      </w:r>
      <w:r w:rsidRPr="00273106">
        <w:rPr>
          <w:i/>
          <w:noProof/>
          <w:szCs w:val="12"/>
        </w:rPr>
        <w:t>in alio</w:t>
      </w:r>
      <w:r w:rsidRPr="00273106">
        <w:rPr>
          <w:noProof/>
          <w:szCs w:val="12"/>
        </w:rPr>
        <w:t xml:space="preserve">; </w:t>
      </w:r>
      <w:r w:rsidRPr="00273106">
        <w:rPr>
          <w:noProof/>
          <w:szCs w:val="11"/>
        </w:rPr>
        <w:t xml:space="preserve">et </w:t>
      </w:r>
      <w:r w:rsidRPr="00273106">
        <w:rPr>
          <w:noProof/>
          <w:szCs w:val="14"/>
        </w:rPr>
        <w:t xml:space="preserve">hoc </w:t>
      </w:r>
      <w:r w:rsidRPr="00273106">
        <w:rPr>
          <w:noProof/>
          <w:szCs w:val="17"/>
        </w:rPr>
        <w:t xml:space="preserve">modo </w:t>
      </w:r>
      <w:r w:rsidRPr="00273106">
        <w:rPr>
          <w:noProof/>
          <w:szCs w:val="13"/>
        </w:rPr>
        <w:t xml:space="preserve">res convertitur </w:t>
      </w:r>
      <w:r w:rsidRPr="00273106">
        <w:rPr>
          <w:noProof/>
          <w:szCs w:val="17"/>
        </w:rPr>
        <w:t xml:space="preserve">cum </w:t>
      </w:r>
      <w:r w:rsidRPr="00273106">
        <w:rPr>
          <w:i/>
          <w:noProof/>
          <w:szCs w:val="11"/>
        </w:rPr>
        <w:t>ente</w:t>
      </w:r>
      <w:r w:rsidRPr="00273106">
        <w:rPr>
          <w:noProof/>
          <w:szCs w:val="11"/>
        </w:rPr>
        <w:t xml:space="preserve">. </w:t>
      </w:r>
      <w:r w:rsidRPr="00273106">
        <w:rPr>
          <w:noProof/>
          <w:szCs w:val="12"/>
        </w:rPr>
        <w:t xml:space="preserve">Tertio </w:t>
      </w:r>
      <w:r w:rsidRPr="00273106">
        <w:rPr>
          <w:noProof/>
          <w:szCs w:val="16"/>
        </w:rPr>
        <w:t xml:space="preserve">modo </w:t>
      </w:r>
      <w:r w:rsidRPr="00273106">
        <w:rPr>
          <w:noProof/>
          <w:szCs w:val="12"/>
        </w:rPr>
        <w:t xml:space="preserve">dicitur res </w:t>
      </w:r>
      <w:r w:rsidRPr="00273106">
        <w:rPr>
          <w:i/>
          <w:noProof/>
          <w:szCs w:val="16"/>
        </w:rPr>
        <w:t xml:space="preserve">magis </w:t>
      </w:r>
      <w:r w:rsidRPr="00273106">
        <w:rPr>
          <w:i/>
          <w:noProof/>
          <w:szCs w:val="14"/>
        </w:rPr>
        <w:t>proprie</w:t>
      </w:r>
      <w:r w:rsidRPr="00273106">
        <w:rPr>
          <w:noProof/>
          <w:szCs w:val="14"/>
        </w:rPr>
        <w:t xml:space="preserve">, </w:t>
      </w:r>
      <w:r w:rsidRPr="00273106">
        <w:rPr>
          <w:noProof/>
          <w:szCs w:val="16"/>
        </w:rPr>
        <w:t xml:space="preserve">secundum </w:t>
      </w:r>
      <w:r w:rsidRPr="00273106">
        <w:rPr>
          <w:noProof/>
        </w:rPr>
        <w:t xml:space="preserve">quod </w:t>
      </w:r>
      <w:r w:rsidRPr="00273106">
        <w:rPr>
          <w:noProof/>
          <w:szCs w:val="12"/>
        </w:rPr>
        <w:t xml:space="preserve">dicitur a </w:t>
      </w:r>
      <w:r w:rsidRPr="00273106">
        <w:rPr>
          <w:i/>
          <w:noProof/>
          <w:szCs w:val="11"/>
        </w:rPr>
        <w:t>ratus</w:t>
      </w:r>
      <w:r w:rsidRPr="00273106">
        <w:rPr>
          <w:noProof/>
          <w:szCs w:val="6"/>
        </w:rPr>
        <w:t xml:space="preserve">, </w:t>
      </w:r>
      <w:r w:rsidRPr="00273106">
        <w:rPr>
          <w:i/>
          <w:noProof/>
          <w:szCs w:val="14"/>
        </w:rPr>
        <w:t>rata</w:t>
      </w:r>
      <w:r w:rsidRPr="00273106">
        <w:rPr>
          <w:noProof/>
          <w:szCs w:val="14"/>
        </w:rPr>
        <w:t xml:space="preserve">, </w:t>
      </w:r>
      <w:r w:rsidRPr="00273106">
        <w:rPr>
          <w:i/>
          <w:noProof/>
          <w:szCs w:val="16"/>
        </w:rPr>
        <w:t>ratum</w:t>
      </w:r>
      <w:r w:rsidRPr="00273106">
        <w:rPr>
          <w:noProof/>
          <w:szCs w:val="16"/>
        </w:rPr>
        <w:t xml:space="preserve">, </w:t>
      </w:r>
      <w:r w:rsidRPr="00273106">
        <w:rPr>
          <w:noProof/>
          <w:szCs w:val="14"/>
        </w:rPr>
        <w:t xml:space="preserve">prout </w:t>
      </w:r>
      <w:r w:rsidRPr="00273106">
        <w:rPr>
          <w:i/>
          <w:noProof/>
          <w:szCs w:val="16"/>
        </w:rPr>
        <w:t>ratum</w:t>
      </w:r>
      <w:r w:rsidRPr="00273106">
        <w:rPr>
          <w:noProof/>
          <w:szCs w:val="16"/>
        </w:rPr>
        <w:t xml:space="preserve"> </w:t>
      </w:r>
      <w:r w:rsidRPr="00273106">
        <w:rPr>
          <w:noProof/>
          <w:szCs w:val="12"/>
        </w:rPr>
        <w:t xml:space="preserve">dicitur </w:t>
      </w:r>
      <w:r w:rsidRPr="00273106">
        <w:rPr>
          <w:noProof/>
          <w:szCs w:val="11"/>
        </w:rPr>
        <w:t xml:space="preserve">illud </w:t>
      </w:r>
      <w:r w:rsidRPr="00273106">
        <w:rPr>
          <w:noProof/>
        </w:rPr>
        <w:t xml:space="preserve">quod </w:t>
      </w:r>
      <w:r w:rsidRPr="00273106">
        <w:rPr>
          <w:noProof/>
          <w:szCs w:val="11"/>
        </w:rPr>
        <w:t xml:space="preserve">est </w:t>
      </w:r>
      <w:r w:rsidRPr="00273106">
        <w:rPr>
          <w:noProof/>
          <w:szCs w:val="13"/>
        </w:rPr>
        <w:t xml:space="preserve">ens </w:t>
      </w:r>
      <w:r w:rsidRPr="00273106">
        <w:rPr>
          <w:i/>
          <w:noProof/>
          <w:szCs w:val="10"/>
        </w:rPr>
        <w:t xml:space="preserve">per </w:t>
      </w:r>
      <w:r w:rsidRPr="00273106">
        <w:rPr>
          <w:i/>
          <w:noProof/>
          <w:szCs w:val="12"/>
        </w:rPr>
        <w:t>se</w:t>
      </w:r>
      <w:r w:rsidRPr="00273106">
        <w:rPr>
          <w:noProof/>
          <w:szCs w:val="12"/>
        </w:rPr>
        <w:t xml:space="preserve"> </w:t>
      </w:r>
      <w:r w:rsidRPr="00273106">
        <w:rPr>
          <w:noProof/>
          <w:szCs w:val="11"/>
        </w:rPr>
        <w:t xml:space="preserve">et </w:t>
      </w:r>
      <w:r w:rsidRPr="00273106">
        <w:rPr>
          <w:noProof/>
          <w:szCs w:val="14"/>
        </w:rPr>
        <w:t xml:space="preserve">fixum; </w:t>
      </w:r>
      <w:r w:rsidRPr="00273106">
        <w:rPr>
          <w:noProof/>
          <w:szCs w:val="11"/>
        </w:rPr>
        <w:t xml:space="preserve">et </w:t>
      </w:r>
      <w:r w:rsidRPr="00273106">
        <w:rPr>
          <w:noProof/>
          <w:szCs w:val="10"/>
        </w:rPr>
        <w:t xml:space="preserve">sic </w:t>
      </w:r>
      <w:r w:rsidRPr="00273106">
        <w:rPr>
          <w:noProof/>
          <w:szCs w:val="12"/>
        </w:rPr>
        <w:t xml:space="preserve">res dicitur </w:t>
      </w:r>
      <w:r w:rsidRPr="00273106">
        <w:rPr>
          <w:noProof/>
          <w:szCs w:val="14"/>
        </w:rPr>
        <w:t xml:space="preserve">solum de </w:t>
      </w:r>
      <w:r>
        <w:rPr>
          <w:noProof/>
          <w:szCs w:val="12"/>
        </w:rPr>
        <w:t>crea</w:t>
      </w:r>
      <w:r>
        <w:rPr>
          <w:noProof/>
          <w:szCs w:val="12"/>
          <w:lang w:val="cs-CZ"/>
        </w:rPr>
        <w:t>t</w:t>
      </w:r>
      <w:r w:rsidRPr="00273106">
        <w:rPr>
          <w:noProof/>
          <w:szCs w:val="12"/>
        </w:rPr>
        <w:t xml:space="preserve">uris </w:t>
      </w:r>
      <w:r w:rsidRPr="00273106">
        <w:rPr>
          <w:noProof/>
          <w:szCs w:val="11"/>
        </w:rPr>
        <w:t xml:space="preserve">et </w:t>
      </w:r>
      <w:r w:rsidRPr="00273106">
        <w:rPr>
          <w:noProof/>
          <w:szCs w:val="12"/>
        </w:rPr>
        <w:t xml:space="preserve">substantiis </w:t>
      </w:r>
      <w:r w:rsidRPr="00273106">
        <w:rPr>
          <w:noProof/>
          <w:szCs w:val="13"/>
        </w:rPr>
        <w:t xml:space="preserve">per </w:t>
      </w:r>
      <w:r w:rsidRPr="00273106">
        <w:rPr>
          <w:noProof/>
          <w:szCs w:val="11"/>
        </w:rPr>
        <w:t xml:space="preserve">se </w:t>
      </w:r>
      <w:r w:rsidRPr="00273106">
        <w:rPr>
          <w:noProof/>
          <w:szCs w:val="13"/>
        </w:rPr>
        <w:t>entibus.“ (</w:t>
      </w:r>
      <w:r w:rsidRPr="00273106">
        <w:rPr>
          <w:i/>
          <w:noProof/>
        </w:rPr>
        <w:t>In II Sent</w:t>
      </w:r>
      <w:r>
        <w:rPr>
          <w:noProof/>
        </w:rPr>
        <w:t xml:space="preserve">. d. 37, a. 2. q. 3, dub. 1;  </w:t>
      </w:r>
      <w:r w:rsidRPr="007405DA">
        <w:rPr>
          <w:i/>
          <w:noProof/>
        </w:rPr>
        <w:t>Opera omnia</w:t>
      </w:r>
      <w:r>
        <w:rPr>
          <w:noProof/>
        </w:rPr>
        <w:t xml:space="preserve"> </w:t>
      </w:r>
      <w:r>
        <w:rPr>
          <w:noProof/>
          <w:lang w:val="cs-CZ"/>
        </w:rPr>
        <w:t>2</w:t>
      </w:r>
      <w:r>
        <w:rPr>
          <w:noProof/>
        </w:rPr>
        <w:t xml:space="preserve">, </w:t>
      </w:r>
      <w:r w:rsidRPr="00273106">
        <w:rPr>
          <w:noProof/>
        </w:rPr>
        <w:t>876a</w:t>
      </w:r>
      <w:r>
        <w:fldChar w:fldCharType="begin"/>
      </w:r>
      <w:r>
        <w:instrText xml:space="preserve"> XE "</w:instrText>
      </w:r>
      <w:r>
        <w:rPr>
          <w:lang w:val="cs-CZ"/>
        </w:rPr>
        <w:instrText>Bonaventura:</w:instrText>
      </w:r>
      <w:r w:rsidRPr="0035406E">
        <w:rPr>
          <w:i/>
        </w:rPr>
        <w:instrText>In II Sent.</w:instrText>
      </w:r>
      <w:r>
        <w:instrText xml:space="preserve"> </w:instrText>
      </w:r>
      <w:r>
        <w:rPr>
          <w:lang w:val="cs-CZ"/>
        </w:rPr>
        <w:instrText>876</w:instrText>
      </w:r>
      <w:r w:rsidRPr="0035406E">
        <w:instrText>a</w:instrText>
      </w:r>
      <w:r>
        <w:instrText xml:space="preserve">" </w:instrText>
      </w:r>
      <w:r>
        <w:fldChar w:fldCharType="end"/>
      </w:r>
      <w:r w:rsidRPr="00273106">
        <w:rPr>
          <w:noProof/>
        </w:rPr>
        <w:t>)</w:t>
      </w:r>
    </w:p>
  </w:footnote>
  <w:footnote w:id="18">
    <w:p w:rsidR="00971E82" w:rsidRPr="00233B9F" w:rsidRDefault="00971E82" w:rsidP="08163013">
      <w:pPr>
        <w:pStyle w:val="Textpoznpodarou"/>
        <w:rPr>
          <w:lang w:val="cs-CZ"/>
        </w:rPr>
      </w:pPr>
      <w:r>
        <w:rPr>
          <w:rStyle w:val="Znakapoznpodarou"/>
        </w:rPr>
        <w:footnoteRef/>
      </w:r>
      <w:r>
        <w:t xml:space="preserve"> </w:t>
      </w:r>
      <w:r w:rsidRPr="00273106">
        <w:rPr>
          <w:noProof/>
        </w:rPr>
        <w:t>„</w:t>
      </w:r>
      <w:r>
        <w:rPr>
          <w:noProof/>
          <w:lang w:val="cs-CZ"/>
        </w:rPr>
        <w:t>O</w:t>
      </w:r>
      <w:r w:rsidRPr="00273106">
        <w:rPr>
          <w:noProof/>
        </w:rPr>
        <w:t xml:space="preserve">mne quod intellectus capit, vel est ens, vel capit sive imaginatur per comparationem ad ens; ideo omnis significatio et veritas orationis significantis vel fundatur </w:t>
      </w:r>
      <w:r w:rsidRPr="00273106">
        <w:rPr>
          <w:i/>
          <w:noProof/>
        </w:rPr>
        <w:t>simpliciter</w:t>
      </w:r>
      <w:r w:rsidRPr="00273106">
        <w:rPr>
          <w:noProof/>
        </w:rPr>
        <w:t xml:space="preserve"> super ens, ut si dicatur: Petrus est, vel </w:t>
      </w:r>
      <w:r w:rsidRPr="00273106">
        <w:rPr>
          <w:i/>
          <w:noProof/>
        </w:rPr>
        <w:t>in ordine</w:t>
      </w:r>
      <w:r w:rsidRPr="00273106">
        <w:rPr>
          <w:noProof/>
        </w:rPr>
        <w:t xml:space="preserve"> ad ens. Unde propositio de praeterito fundatur super ordinem eius ad praesens; similiter propositio de futuro, sicut propositio negativa</w:t>
      </w:r>
      <w:r>
        <w:rPr>
          <w:noProof/>
        </w:rPr>
        <w:t>, ut si dicatur: Caesar non est</w:t>
      </w:r>
      <w:r w:rsidRPr="00273106">
        <w:rPr>
          <w:noProof/>
        </w:rPr>
        <w:t>; aliquod enim ens est, quod non est Caesar, et sic de aliis; similiter si dicatur: chimaera non est hircocervus.“ (</w:t>
      </w:r>
      <w:r w:rsidRPr="00273106">
        <w:rPr>
          <w:i/>
          <w:noProof/>
        </w:rPr>
        <w:t>In I Sent</w:t>
      </w:r>
      <w:r w:rsidRPr="00273106">
        <w:rPr>
          <w:noProof/>
        </w:rPr>
        <w:t xml:space="preserve">. d. 46, art. unicus, q. 4, ad 4; </w:t>
      </w:r>
      <w:r w:rsidRPr="007405DA">
        <w:rPr>
          <w:i/>
          <w:noProof/>
        </w:rPr>
        <w:t>Opera omnia</w:t>
      </w:r>
      <w:r>
        <w:rPr>
          <w:noProof/>
        </w:rPr>
        <w:t xml:space="preserve"> </w:t>
      </w:r>
      <w:r>
        <w:rPr>
          <w:noProof/>
          <w:lang w:val="cs-CZ"/>
        </w:rPr>
        <w:t>1</w:t>
      </w:r>
      <w:r>
        <w:rPr>
          <w:noProof/>
        </w:rPr>
        <w:t xml:space="preserve">.2, </w:t>
      </w:r>
      <w:r w:rsidRPr="00273106">
        <w:rPr>
          <w:noProof/>
        </w:rPr>
        <w:t>829b</w:t>
      </w:r>
      <w:r>
        <w:fldChar w:fldCharType="begin"/>
      </w:r>
      <w:r>
        <w:instrText xml:space="preserve"> XE "</w:instrText>
      </w:r>
      <w:r>
        <w:rPr>
          <w:lang w:val="cs-CZ"/>
        </w:rPr>
        <w:instrText>Bonaventura:</w:instrText>
      </w:r>
      <w:r>
        <w:rPr>
          <w:i/>
        </w:rPr>
        <w:instrText>In I</w:instrText>
      </w:r>
      <w:r w:rsidRPr="0035406E">
        <w:rPr>
          <w:i/>
        </w:rPr>
        <w:instrText xml:space="preserve"> Sent.</w:instrText>
      </w:r>
      <w:r>
        <w:instrText xml:space="preserve"> </w:instrText>
      </w:r>
      <w:r>
        <w:rPr>
          <w:lang w:val="cs-CZ"/>
        </w:rPr>
        <w:instrText>829b</w:instrText>
      </w:r>
      <w:r>
        <w:instrText xml:space="preserve">" </w:instrText>
      </w:r>
      <w:r>
        <w:fldChar w:fldCharType="end"/>
      </w:r>
      <w:r w:rsidRPr="00273106">
        <w:rPr>
          <w:noProof/>
        </w:rPr>
        <w:t>)</w:t>
      </w:r>
    </w:p>
  </w:footnote>
  <w:footnote w:id="19">
    <w:p w:rsidR="00971E82" w:rsidRPr="008E5A82" w:rsidRDefault="00971E82" w:rsidP="08163013">
      <w:pPr>
        <w:pStyle w:val="Textpoznpodarou"/>
        <w:rPr>
          <w:lang w:val="cs-CZ"/>
        </w:rPr>
      </w:pPr>
      <w:r>
        <w:rPr>
          <w:rStyle w:val="Znakapoznpodarou"/>
        </w:rPr>
        <w:footnoteRef/>
      </w:r>
      <w:r>
        <w:rPr>
          <w:lang w:val="cs-CZ"/>
        </w:rPr>
        <w:t xml:space="preserve"> „</w:t>
      </w:r>
      <w:r w:rsidRPr="008E5A82">
        <w:t xml:space="preserve">In proof </w:t>
      </w:r>
      <w:r w:rsidRPr="008E5A82">
        <w:rPr>
          <w:szCs w:val="14"/>
        </w:rPr>
        <w:t xml:space="preserve">of </w:t>
      </w:r>
      <w:r w:rsidRPr="008E5A82">
        <w:rPr>
          <w:szCs w:val="12"/>
        </w:rPr>
        <w:t xml:space="preserve">this, </w:t>
      </w:r>
      <w:r w:rsidRPr="008E5A82">
        <w:t xml:space="preserve">consider the </w:t>
      </w:r>
      <w:r w:rsidRPr="008E5A82">
        <w:rPr>
          <w:szCs w:val="18"/>
        </w:rPr>
        <w:t>word</w:t>
      </w:r>
      <w:r>
        <w:rPr>
          <w:szCs w:val="18"/>
          <w:lang w:val="cs-CZ"/>
        </w:rPr>
        <w:t xml:space="preserve"> '</w:t>
      </w:r>
      <w:r>
        <w:t>goat-stag'</w:t>
      </w:r>
      <w:r>
        <w:rPr>
          <w:lang w:val="cs-CZ"/>
        </w:rPr>
        <w:t xml:space="preserve"> (</w:t>
      </w:r>
      <w:r>
        <w:t>τραγέλαϕος</w:t>
      </w:r>
      <w:r>
        <w:rPr>
          <w:lang w:val="cs-CZ"/>
        </w:rPr>
        <w:t>)</w:t>
      </w:r>
      <w:r w:rsidRPr="008E5A82">
        <w:rPr>
          <w:szCs w:val="4"/>
        </w:rPr>
        <w:t xml:space="preserve">. </w:t>
      </w:r>
      <w:r w:rsidRPr="008E5A82">
        <w:rPr>
          <w:szCs w:val="13"/>
        </w:rPr>
        <w:t xml:space="preserve">It </w:t>
      </w:r>
      <w:r w:rsidRPr="008E5A82">
        <w:rPr>
          <w:szCs w:val="16"/>
        </w:rPr>
        <w:t xml:space="preserve">has </w:t>
      </w:r>
      <w:r w:rsidRPr="008E5A82">
        <w:rPr>
          <w:szCs w:val="13"/>
        </w:rPr>
        <w:t xml:space="preserve">significance, </w:t>
      </w:r>
      <w:r w:rsidRPr="008E5A82">
        <w:rPr>
          <w:szCs w:val="16"/>
        </w:rPr>
        <w:t xml:space="preserve">but </w:t>
      </w:r>
      <w:r w:rsidRPr="008E5A82">
        <w:t xml:space="preserve">there </w:t>
      </w:r>
      <w:r w:rsidRPr="008E5A82">
        <w:rPr>
          <w:szCs w:val="10"/>
        </w:rPr>
        <w:t xml:space="preserve">is </w:t>
      </w:r>
      <w:r w:rsidRPr="008E5A82">
        <w:rPr>
          <w:szCs w:val="17"/>
        </w:rPr>
        <w:t xml:space="preserve">no </w:t>
      </w:r>
      <w:r w:rsidRPr="008E5A82">
        <w:rPr>
          <w:szCs w:val="14"/>
        </w:rPr>
        <w:t xml:space="preserve">truth </w:t>
      </w:r>
      <w:r w:rsidRPr="008E5A82">
        <w:t>or</w:t>
      </w:r>
      <w:r>
        <w:rPr>
          <w:lang w:val="cs-CZ"/>
        </w:rPr>
        <w:t xml:space="preserve"> </w:t>
      </w:r>
      <w:r w:rsidRPr="008E5A82">
        <w:rPr>
          <w:szCs w:val="12"/>
        </w:rPr>
        <w:t xml:space="preserve">falsity </w:t>
      </w:r>
      <w:r w:rsidRPr="008E5A82">
        <w:rPr>
          <w:szCs w:val="16"/>
        </w:rPr>
        <w:t xml:space="preserve">about </w:t>
      </w:r>
      <w:r w:rsidRPr="008E5A82">
        <w:rPr>
          <w:szCs w:val="9"/>
        </w:rPr>
        <w:t xml:space="preserve">it, </w:t>
      </w:r>
      <w:r w:rsidRPr="008E5A82">
        <w:rPr>
          <w:szCs w:val="14"/>
        </w:rPr>
        <w:t xml:space="preserve">unless </w:t>
      </w:r>
      <w:r>
        <w:rPr>
          <w:szCs w:val="14"/>
        </w:rPr>
        <w:t>'</w:t>
      </w:r>
      <w:r w:rsidRPr="008E5A82">
        <w:rPr>
          <w:szCs w:val="10"/>
        </w:rPr>
        <w:t>is</w:t>
      </w:r>
      <w:r>
        <w:rPr>
          <w:szCs w:val="10"/>
        </w:rPr>
        <w:t>'</w:t>
      </w:r>
      <w:r w:rsidRPr="008E5A82">
        <w:rPr>
          <w:szCs w:val="10"/>
        </w:rPr>
        <w:t xml:space="preserve"> </w:t>
      </w:r>
      <w:r w:rsidRPr="008E5A82">
        <w:rPr>
          <w:szCs w:val="14"/>
        </w:rPr>
        <w:t xml:space="preserve">or </w:t>
      </w:r>
      <w:r>
        <w:rPr>
          <w:szCs w:val="14"/>
        </w:rPr>
        <w:t>'</w:t>
      </w:r>
      <w:r w:rsidRPr="008E5A82">
        <w:rPr>
          <w:szCs w:val="10"/>
        </w:rPr>
        <w:t xml:space="preserve">is </w:t>
      </w:r>
      <w:r w:rsidRPr="008E5A82">
        <w:t>not</w:t>
      </w:r>
      <w:r>
        <w:t>'</w:t>
      </w:r>
      <w:r w:rsidRPr="008E5A82">
        <w:t xml:space="preserve"> </w:t>
      </w:r>
      <w:r w:rsidRPr="008E5A82">
        <w:rPr>
          <w:szCs w:val="10"/>
        </w:rPr>
        <w:t xml:space="preserve">is </w:t>
      </w:r>
      <w:r w:rsidRPr="008E5A82">
        <w:rPr>
          <w:szCs w:val="16"/>
        </w:rPr>
        <w:t xml:space="preserve">added, </w:t>
      </w:r>
      <w:r w:rsidRPr="008E5A82">
        <w:rPr>
          <w:szCs w:val="14"/>
        </w:rPr>
        <w:t xml:space="preserve">either </w:t>
      </w:r>
      <w:r w:rsidRPr="008E5A82">
        <w:rPr>
          <w:szCs w:val="13"/>
        </w:rPr>
        <w:t xml:space="preserve">in </w:t>
      </w:r>
      <w:r w:rsidRPr="008E5A82">
        <w:t>the</w:t>
      </w:r>
      <w:r>
        <w:rPr>
          <w:lang w:val="cs-CZ"/>
        </w:rPr>
        <w:t xml:space="preserve"> </w:t>
      </w:r>
      <w:r w:rsidRPr="008E5A82">
        <w:t xml:space="preserve">present </w:t>
      </w:r>
      <w:r w:rsidRPr="008E5A82">
        <w:rPr>
          <w:szCs w:val="14"/>
        </w:rPr>
        <w:t xml:space="preserve">or </w:t>
      </w:r>
      <w:r w:rsidRPr="008E5A82">
        <w:rPr>
          <w:szCs w:val="13"/>
        </w:rPr>
        <w:t xml:space="preserve">in </w:t>
      </w:r>
      <w:r w:rsidRPr="008E5A82">
        <w:rPr>
          <w:szCs w:val="18"/>
        </w:rPr>
        <w:t xml:space="preserve">some </w:t>
      </w:r>
      <w:r w:rsidRPr="008E5A82">
        <w:t xml:space="preserve">other </w:t>
      </w:r>
      <w:r w:rsidRPr="008E5A82">
        <w:rPr>
          <w:szCs w:val="13"/>
        </w:rPr>
        <w:t>tense.</w:t>
      </w:r>
      <w:r>
        <w:rPr>
          <w:lang w:val="cs-CZ"/>
        </w:rPr>
        <w:t>“ (</w:t>
      </w:r>
      <w:r w:rsidRPr="008E5A82">
        <w:rPr>
          <w:i/>
          <w:lang w:val="cs-CZ"/>
        </w:rPr>
        <w:t>De Int</w:t>
      </w:r>
      <w:r>
        <w:rPr>
          <w:lang w:val="cs-CZ"/>
        </w:rPr>
        <w:t>. 16a16‒19</w:t>
      </w:r>
      <w:r>
        <w:rPr>
          <w:lang w:val="cs-CZ"/>
        </w:rPr>
        <w:fldChar w:fldCharType="begin"/>
      </w:r>
      <w:r>
        <w:instrText xml:space="preserve"> XE "</w:instrText>
      </w:r>
      <w:r>
        <w:rPr>
          <w:lang w:val="cs-CZ"/>
        </w:rPr>
        <w:instrText>Aristoteles:</w:instrText>
      </w:r>
      <w:r w:rsidRPr="007926FD">
        <w:rPr>
          <w:i/>
          <w:lang w:val="cs-CZ"/>
        </w:rPr>
        <w:instrText>De Int</w:instrText>
      </w:r>
      <w:r>
        <w:rPr>
          <w:i/>
          <w:lang w:val="cs-CZ"/>
        </w:rPr>
        <w:instrText>erpretatione</w:instrText>
      </w:r>
      <w:r w:rsidRPr="007926FD">
        <w:rPr>
          <w:lang w:val="cs-CZ"/>
        </w:rPr>
        <w:instrText xml:space="preserve"> 16a16‒19</w:instrText>
      </w:r>
      <w:r>
        <w:instrText xml:space="preserve">" </w:instrText>
      </w:r>
      <w:r>
        <w:rPr>
          <w:lang w:val="cs-CZ"/>
        </w:rPr>
        <w:fldChar w:fldCharType="end"/>
      </w:r>
      <w:r>
        <w:rPr>
          <w:lang w:val="cs-CZ"/>
        </w:rPr>
        <w:t>; trad. Edgehill, WA 1)</w:t>
      </w:r>
    </w:p>
  </w:footnote>
  <w:footnote w:id="20">
    <w:p w:rsidR="00971E82" w:rsidRPr="00847047" w:rsidRDefault="00971E82" w:rsidP="08163013">
      <w:pPr>
        <w:pStyle w:val="Textpoznpodarou"/>
        <w:rPr>
          <w:lang w:val="cs-CZ"/>
        </w:rPr>
      </w:pPr>
      <w:r>
        <w:rPr>
          <w:rStyle w:val="Znakapoznpodarou"/>
        </w:rPr>
        <w:footnoteRef/>
      </w:r>
      <w:r>
        <w:t xml:space="preserve"> „</w:t>
      </w:r>
      <w:r>
        <w:rPr>
          <w:lang w:val="cs-CZ"/>
        </w:rPr>
        <w:t>E</w:t>
      </w:r>
      <w:r w:rsidRPr="00BF7953">
        <w:t xml:space="preserve">rgo in genere substantiae est unum aliquod, quo mensurantur omnia in illo genere.  Sed illud non potest esse principium </w:t>
      </w:r>
      <w:r w:rsidRPr="005C5D91">
        <w:rPr>
          <w:i/>
        </w:rPr>
        <w:t>extrinsecum</w:t>
      </w:r>
      <w:r w:rsidRPr="00BF7953">
        <w:t>, cum secundum huius maiorem et mino</w:t>
      </w:r>
      <w:r>
        <w:t>rem participationem intrinsecam</w:t>
      </w:r>
      <w:r w:rsidRPr="00BF7953">
        <w:t xml:space="preserve"> res illius generis magis et minus sint</w:t>
      </w:r>
      <w:r>
        <w:t>...“ (</w:t>
      </w:r>
      <w:r w:rsidRPr="005C5D91">
        <w:rPr>
          <w:i/>
        </w:rPr>
        <w:t>In II Sent</w:t>
      </w:r>
      <w:r>
        <w:t xml:space="preserve">., d. 3, p. 1, a. 1, q. 2, item 2; </w:t>
      </w:r>
      <w:r w:rsidRPr="007405DA">
        <w:rPr>
          <w:i/>
        </w:rPr>
        <w:t>Opera omnia</w:t>
      </w:r>
      <w:r>
        <w:t xml:space="preserve"> </w:t>
      </w:r>
      <w:r>
        <w:rPr>
          <w:lang w:val="cs-CZ"/>
        </w:rPr>
        <w:t>2</w:t>
      </w:r>
      <w:r>
        <w:t>, 94a‒b</w:t>
      </w:r>
      <w:r>
        <w:fldChar w:fldCharType="begin"/>
      </w:r>
      <w:r>
        <w:instrText xml:space="preserve"> XE "</w:instrText>
      </w:r>
      <w:r>
        <w:rPr>
          <w:lang w:val="cs-CZ"/>
        </w:rPr>
        <w:instrText>Bonaventura:</w:instrText>
      </w:r>
      <w:r w:rsidRPr="0035406E">
        <w:rPr>
          <w:i/>
        </w:rPr>
        <w:instrText>In II Sent.</w:instrText>
      </w:r>
      <w:r>
        <w:instrText xml:space="preserve"> 94a‒b" </w:instrText>
      </w:r>
      <w:r>
        <w:fldChar w:fldCharType="end"/>
      </w:r>
      <w:r>
        <w:t>)</w:t>
      </w:r>
    </w:p>
  </w:footnote>
  <w:footnote w:id="21">
    <w:p w:rsidR="00971E82" w:rsidRPr="00D71DA8" w:rsidRDefault="00971E82" w:rsidP="08163013">
      <w:pPr>
        <w:pStyle w:val="Textpoznpodarou"/>
        <w:rPr>
          <w:lang w:val="cs-CZ"/>
        </w:rPr>
      </w:pPr>
      <w:r>
        <w:rPr>
          <w:rStyle w:val="Znakapoznpodarou"/>
        </w:rPr>
        <w:footnoteRef/>
      </w:r>
      <w:r>
        <w:t xml:space="preserve"> </w:t>
      </w:r>
      <w:r w:rsidRPr="00273106">
        <w:rPr>
          <w:noProof/>
        </w:rPr>
        <w:t xml:space="preserve">„Nam materia secundum sui </w:t>
      </w:r>
      <w:r w:rsidRPr="00273106">
        <w:rPr>
          <w:i/>
          <w:noProof/>
        </w:rPr>
        <w:t>essentiam</w:t>
      </w:r>
      <w:r w:rsidRPr="00273106">
        <w:rPr>
          <w:noProof/>
        </w:rPr>
        <w:t xml:space="preserve"> est informis per possibilitatem omnimodam; et dum sic consideratur, ipsa formarum </w:t>
      </w:r>
      <w:r w:rsidRPr="00273106">
        <w:rPr>
          <w:i/>
          <w:noProof/>
        </w:rPr>
        <w:t>capacitas</w:t>
      </w:r>
      <w:r w:rsidRPr="00273106">
        <w:rPr>
          <w:noProof/>
        </w:rPr>
        <w:t xml:space="preserve"> sive </w:t>
      </w:r>
      <w:r w:rsidRPr="00273106">
        <w:rPr>
          <w:i/>
          <w:noProof/>
        </w:rPr>
        <w:t>possibilitas</w:t>
      </w:r>
      <w:r w:rsidRPr="00273106">
        <w:rPr>
          <w:noProof/>
        </w:rPr>
        <w:t xml:space="preserve"> est sibi pro forma.</w:t>
      </w:r>
      <w:r>
        <w:rPr>
          <w:noProof/>
        </w:rPr>
        <w:t xml:space="preserve"> (...) </w:t>
      </w:r>
      <w:r>
        <w:rPr>
          <w:noProof/>
          <w:lang w:val="cs-CZ"/>
        </w:rPr>
        <w:t>I</w:t>
      </w:r>
      <w:r w:rsidRPr="00273106">
        <w:rPr>
          <w:noProof/>
        </w:rPr>
        <w:t>mmo etiam impossibile est, materiam informem existere per privationem omnis formae.“ (</w:t>
      </w:r>
      <w:r w:rsidRPr="00273106">
        <w:rPr>
          <w:i/>
          <w:noProof/>
        </w:rPr>
        <w:t>In II Sent.</w:t>
      </w:r>
      <w:r w:rsidRPr="00273106">
        <w:rPr>
          <w:noProof/>
        </w:rPr>
        <w:t xml:space="preserve"> d. 12. a. 1, q. 1, resp., ad 1, 2; </w:t>
      </w:r>
      <w:r w:rsidRPr="00970BE9">
        <w:rPr>
          <w:i/>
          <w:noProof/>
        </w:rPr>
        <w:t>Opera omnia</w:t>
      </w:r>
      <w:r>
        <w:rPr>
          <w:noProof/>
        </w:rPr>
        <w:t xml:space="preserve"> </w:t>
      </w:r>
      <w:r>
        <w:rPr>
          <w:noProof/>
          <w:lang w:val="cs-CZ"/>
        </w:rPr>
        <w:t>2</w:t>
      </w:r>
      <w:r>
        <w:rPr>
          <w:noProof/>
        </w:rPr>
        <w:t xml:space="preserve">, </w:t>
      </w:r>
      <w:r w:rsidRPr="00273106">
        <w:rPr>
          <w:noProof/>
        </w:rPr>
        <w:t>294a</w:t>
      </w:r>
      <w:r>
        <w:fldChar w:fldCharType="begin"/>
      </w:r>
      <w:r>
        <w:instrText xml:space="preserve"> XE "</w:instrText>
      </w:r>
      <w:r>
        <w:rPr>
          <w:lang w:val="cs-CZ"/>
        </w:rPr>
        <w:instrText>Bonaventura:</w:instrText>
      </w:r>
      <w:r w:rsidRPr="0035406E">
        <w:rPr>
          <w:i/>
        </w:rPr>
        <w:instrText>In II Sent.</w:instrText>
      </w:r>
      <w:r>
        <w:instrText xml:space="preserve"> </w:instrText>
      </w:r>
      <w:r>
        <w:rPr>
          <w:lang w:val="cs-CZ"/>
        </w:rPr>
        <w:instrText>2</w:instrText>
      </w:r>
      <w:r>
        <w:instrText xml:space="preserve">94a" </w:instrText>
      </w:r>
      <w:r>
        <w:fldChar w:fldCharType="end"/>
      </w:r>
      <w:r w:rsidRPr="00273106">
        <w:rPr>
          <w:noProof/>
        </w:rPr>
        <w:t>)</w:t>
      </w:r>
    </w:p>
  </w:footnote>
  <w:footnote w:id="22">
    <w:p w:rsidR="00971E82" w:rsidRPr="0083186C" w:rsidRDefault="00971E82" w:rsidP="08163013">
      <w:pPr>
        <w:pStyle w:val="Textpoznpodarou"/>
        <w:rPr>
          <w:noProof/>
          <w:lang w:val="cs-CZ"/>
        </w:rPr>
      </w:pPr>
      <w:r>
        <w:rPr>
          <w:rStyle w:val="Znakapoznpodarou"/>
        </w:rPr>
        <w:footnoteRef/>
      </w:r>
      <w:r>
        <w:t xml:space="preserve"> </w:t>
      </w:r>
      <w:r w:rsidRPr="00273106">
        <w:rPr>
          <w:noProof/>
        </w:rPr>
        <w:t xml:space="preserve">„Quia enim materia omnino est ens in potentia, ideo per sui essentiam nullum habet actum, nullam formam, ergo nullam distinctionem;  si nullam distinctionem habet et non est nihil, oportet ergo, quod sit una sine multitudine, et ita </w:t>
      </w:r>
      <w:r w:rsidRPr="00273106">
        <w:rPr>
          <w:i/>
          <w:noProof/>
        </w:rPr>
        <w:t>numero una</w:t>
      </w:r>
      <w:r w:rsidRPr="00273106">
        <w:rPr>
          <w:noProof/>
        </w:rPr>
        <w:t>.“ (</w:t>
      </w:r>
      <w:r w:rsidRPr="00273106">
        <w:rPr>
          <w:i/>
          <w:noProof/>
        </w:rPr>
        <w:t>In II Sent</w:t>
      </w:r>
      <w:r w:rsidRPr="00273106">
        <w:rPr>
          <w:noProof/>
        </w:rPr>
        <w:t xml:space="preserve">. d. 3, p. 1, a. 1, </w:t>
      </w:r>
      <w:r>
        <w:rPr>
          <w:noProof/>
        </w:rPr>
        <w:t xml:space="preserve">q. 3, resp.; </w:t>
      </w:r>
      <w:r w:rsidRPr="00970BE9">
        <w:rPr>
          <w:i/>
          <w:noProof/>
        </w:rPr>
        <w:t>Opera omnia</w:t>
      </w:r>
      <w:r>
        <w:rPr>
          <w:noProof/>
        </w:rPr>
        <w:t xml:space="preserve"> </w:t>
      </w:r>
      <w:r>
        <w:rPr>
          <w:noProof/>
          <w:lang w:val="cs-CZ"/>
        </w:rPr>
        <w:t>2</w:t>
      </w:r>
      <w:r>
        <w:rPr>
          <w:noProof/>
        </w:rPr>
        <w:t xml:space="preserve">, </w:t>
      </w:r>
      <w:r w:rsidRPr="00273106">
        <w:rPr>
          <w:noProof/>
        </w:rPr>
        <w:t>100b</w:t>
      </w:r>
      <w:r>
        <w:fldChar w:fldCharType="begin"/>
      </w:r>
      <w:r>
        <w:instrText xml:space="preserve"> XE "</w:instrText>
      </w:r>
      <w:r>
        <w:rPr>
          <w:lang w:val="cs-CZ"/>
        </w:rPr>
        <w:instrText>Bonaventura:</w:instrText>
      </w:r>
      <w:r w:rsidRPr="0035406E">
        <w:rPr>
          <w:i/>
        </w:rPr>
        <w:instrText>In II Sent.</w:instrText>
      </w:r>
      <w:r>
        <w:instrText xml:space="preserve"> </w:instrText>
      </w:r>
      <w:r>
        <w:rPr>
          <w:lang w:val="cs-CZ"/>
        </w:rPr>
        <w:instrText>100</w:instrText>
      </w:r>
      <w:r>
        <w:instrText xml:space="preserve">b" </w:instrText>
      </w:r>
      <w:r>
        <w:fldChar w:fldCharType="end"/>
      </w:r>
      <w:r w:rsidRPr="00273106">
        <w:rPr>
          <w:noProof/>
        </w:rPr>
        <w:t>)</w:t>
      </w:r>
    </w:p>
  </w:footnote>
  <w:footnote w:id="23">
    <w:p w:rsidR="00971E82" w:rsidRPr="00B57122" w:rsidRDefault="00971E82" w:rsidP="08163013">
      <w:pPr>
        <w:pStyle w:val="Textpoznpodarou"/>
      </w:pPr>
      <w:r>
        <w:rPr>
          <w:rStyle w:val="Znakapoznpodarou"/>
        </w:rPr>
        <w:footnoteRef/>
      </w:r>
      <w:r>
        <w:rPr>
          <w:lang w:val="cs-CZ"/>
        </w:rPr>
        <w:t xml:space="preserve"> </w:t>
      </w:r>
      <w:r>
        <w:t>„</w:t>
      </w:r>
      <w:r w:rsidRPr="00B57122">
        <w:t>Therefore, the nature of that subject that receives the substantial forms, that is to say, the</w:t>
      </w:r>
      <w:r>
        <w:t xml:space="preserve"> subject called prime matter, </w:t>
      </w:r>
      <w:r w:rsidRPr="00B57122">
        <w:t>is the nature of the potential, that is to say, being potential</w:t>
      </w:r>
      <w:r>
        <w:t xml:space="preserve"> is the essential differentia </w:t>
      </w:r>
      <w:r w:rsidRPr="00B57122">
        <w:t>of prime matter [as a subject]. Therefore, prime matter has no proper form nor does it have a nature existing in actuality, but its essence is to be only potential. It is for this reason that it can receive all forms.</w:t>
      </w:r>
      <w:r>
        <w:t>“ (</w:t>
      </w:r>
      <w:r>
        <w:rPr>
          <w:i/>
        </w:rPr>
        <w:t>De substantia o</w:t>
      </w:r>
      <w:r w:rsidRPr="00B57122">
        <w:rPr>
          <w:i/>
        </w:rPr>
        <w:t>rbis</w:t>
      </w:r>
      <w:r>
        <w:t xml:space="preserve"> I</w:t>
      </w:r>
      <w:r>
        <w:rPr>
          <w:lang w:val="cs-CZ"/>
        </w:rPr>
        <w:t xml:space="preserve">; </w:t>
      </w:r>
      <w:r>
        <w:t>ed. Hyman, p. 50.49‒51.54</w:t>
      </w:r>
      <w:r>
        <w:fldChar w:fldCharType="begin"/>
      </w:r>
      <w:r>
        <w:instrText xml:space="preserve"> XE "</w:instrText>
      </w:r>
      <w:r>
        <w:rPr>
          <w:lang w:val="cs-CZ"/>
        </w:rPr>
        <w:instrText>Averroes:</w:instrText>
      </w:r>
      <w:r w:rsidRPr="008F66CB">
        <w:rPr>
          <w:i/>
        </w:rPr>
        <w:instrText>De substantia orbis</w:instrText>
      </w:r>
      <w:r w:rsidRPr="008F66CB">
        <w:instrText xml:space="preserve"> 50.49‒51.54</w:instrText>
      </w:r>
      <w:r>
        <w:instrText xml:space="preserve">" </w:instrText>
      </w:r>
      <w:r>
        <w:fldChar w:fldCharType="end"/>
      </w:r>
      <w:r>
        <w:t>)</w:t>
      </w:r>
    </w:p>
  </w:footnote>
  <w:footnote w:id="24">
    <w:p w:rsidR="00971E82" w:rsidRPr="009742A4" w:rsidRDefault="00971E82" w:rsidP="08163013">
      <w:pPr>
        <w:pStyle w:val="Textpoznpodarou"/>
        <w:rPr>
          <w:lang w:val="cs-CZ"/>
        </w:rPr>
      </w:pPr>
      <w:r>
        <w:rPr>
          <w:rStyle w:val="Znakapoznpodarou"/>
        </w:rPr>
        <w:footnoteRef/>
      </w:r>
      <w:r>
        <w:t xml:space="preserve"> „Et ideo, quamvis </w:t>
      </w:r>
      <w:r w:rsidRPr="00B50948">
        <w:t xml:space="preserve">ens in </w:t>
      </w:r>
      <w:r>
        <w:t>poten</w:t>
      </w:r>
      <w:r w:rsidRPr="00B50948">
        <w:t>tia simpliciter inter non-ens et ens actu sit medium</w:t>
      </w:r>
      <w:r>
        <w:t xml:space="preserve">, non oportet  </w:t>
      </w:r>
      <w:r w:rsidRPr="008E0311">
        <w:rPr>
          <w:szCs w:val="18"/>
        </w:rPr>
        <w:t xml:space="preserve">quod </w:t>
      </w:r>
      <w:r w:rsidRPr="008E0311">
        <w:t xml:space="preserve">duratione sequatur unum </w:t>
      </w:r>
      <w:r w:rsidRPr="008E0311">
        <w:rPr>
          <w:szCs w:val="13"/>
        </w:rPr>
        <w:t xml:space="preserve">et </w:t>
      </w:r>
      <w:r w:rsidRPr="008E0311">
        <w:t>praecedat</w:t>
      </w:r>
      <w:r>
        <w:t xml:space="preserve"> </w:t>
      </w:r>
      <w:r w:rsidRPr="008E0311">
        <w:rPr>
          <w:szCs w:val="15"/>
        </w:rPr>
        <w:t>alterum</w:t>
      </w:r>
      <w:r>
        <w:rPr>
          <w:szCs w:val="15"/>
        </w:rPr>
        <w:t>.“</w:t>
      </w:r>
      <w:r>
        <w:t xml:space="preserve"> (</w:t>
      </w:r>
      <w:r>
        <w:rPr>
          <w:i/>
        </w:rPr>
        <w:t>In II</w:t>
      </w:r>
      <w:r w:rsidRPr="00F9300D">
        <w:rPr>
          <w:i/>
        </w:rPr>
        <w:t xml:space="preserve"> Sent.</w:t>
      </w:r>
      <w:r>
        <w:t xml:space="preserve"> d. 12, a. 1, q. 1, ad 6; </w:t>
      </w:r>
      <w:r w:rsidRPr="007405DA">
        <w:rPr>
          <w:i/>
        </w:rPr>
        <w:t>Opera omnia</w:t>
      </w:r>
      <w:r>
        <w:t xml:space="preserve"> </w:t>
      </w:r>
      <w:r>
        <w:rPr>
          <w:lang w:val="cs-CZ"/>
        </w:rPr>
        <w:t>2</w:t>
      </w:r>
      <w:r>
        <w:t>, 294b</w:t>
      </w:r>
      <w:r>
        <w:fldChar w:fldCharType="begin"/>
      </w:r>
      <w:r>
        <w:instrText xml:space="preserve"> XE "</w:instrText>
      </w:r>
      <w:r>
        <w:rPr>
          <w:lang w:val="cs-CZ"/>
        </w:rPr>
        <w:instrText>Bonaventura:</w:instrText>
      </w:r>
      <w:r w:rsidRPr="0035406E">
        <w:rPr>
          <w:i/>
        </w:rPr>
        <w:instrText>In II Sent.</w:instrText>
      </w:r>
      <w:r>
        <w:instrText xml:space="preserve"> </w:instrText>
      </w:r>
      <w:r>
        <w:rPr>
          <w:lang w:val="cs-CZ"/>
        </w:rPr>
        <w:instrText>294</w:instrText>
      </w:r>
      <w:r>
        <w:instrText xml:space="preserve">b" </w:instrText>
      </w:r>
      <w:r>
        <w:fldChar w:fldCharType="end"/>
      </w:r>
      <w:r>
        <w:t>)</w:t>
      </w:r>
    </w:p>
  </w:footnote>
  <w:footnote w:id="25">
    <w:p w:rsidR="00971E82" w:rsidRPr="00E440DE" w:rsidRDefault="00971E82" w:rsidP="08163013">
      <w:pPr>
        <w:pStyle w:val="Textpoznpodarou"/>
      </w:pPr>
      <w:r>
        <w:rPr>
          <w:rStyle w:val="Znakapoznpodarou"/>
        </w:rPr>
        <w:footnoteRef/>
      </w:r>
      <w:r>
        <w:t xml:space="preserve"> </w:t>
      </w:r>
      <w:r>
        <w:rPr>
          <w:szCs w:val="9"/>
        </w:rPr>
        <w:t>„</w:t>
      </w:r>
      <w:r w:rsidRPr="005821A6">
        <w:t xml:space="preserve">Necesse </w:t>
      </w:r>
      <w:r w:rsidRPr="005821A6">
        <w:rPr>
          <w:szCs w:val="11"/>
        </w:rPr>
        <w:t xml:space="preserve">est </w:t>
      </w:r>
      <w:r w:rsidRPr="005821A6">
        <w:t xml:space="preserve">ergo, </w:t>
      </w:r>
      <w:r w:rsidRPr="005821A6">
        <w:rPr>
          <w:szCs w:val="15"/>
        </w:rPr>
        <w:t xml:space="preserve">quod </w:t>
      </w:r>
      <w:r w:rsidRPr="005821A6">
        <w:t xml:space="preserve">habeat </w:t>
      </w:r>
      <w:r w:rsidRPr="005821A6">
        <w:rPr>
          <w:szCs w:val="15"/>
        </w:rPr>
        <w:t xml:space="preserve">causam </w:t>
      </w:r>
      <w:r w:rsidRPr="005821A6">
        <w:rPr>
          <w:szCs w:val="14"/>
        </w:rPr>
        <w:t xml:space="preserve">dicentem </w:t>
      </w:r>
      <w:r>
        <w:t>positionem</w:t>
      </w:r>
      <w:r w:rsidRPr="005821A6">
        <w:rPr>
          <w:szCs w:val="6"/>
        </w:rPr>
        <w:t xml:space="preserve">; </w:t>
      </w:r>
      <w:r w:rsidRPr="005821A6">
        <w:t xml:space="preserve">sed </w:t>
      </w:r>
      <w:r w:rsidRPr="005821A6">
        <w:rPr>
          <w:szCs w:val="14"/>
        </w:rPr>
        <w:t xml:space="preserve">non </w:t>
      </w:r>
      <w:r w:rsidRPr="005821A6">
        <w:t xml:space="preserve">positionem </w:t>
      </w:r>
      <w:r w:rsidRPr="005821A6">
        <w:rPr>
          <w:szCs w:val="16"/>
        </w:rPr>
        <w:t xml:space="preserve">omnimodam, </w:t>
      </w:r>
      <w:r w:rsidRPr="005821A6">
        <w:rPr>
          <w:szCs w:val="17"/>
        </w:rPr>
        <w:t xml:space="preserve">cum </w:t>
      </w:r>
      <w:r>
        <w:t>et</w:t>
      </w:r>
      <w:r w:rsidRPr="005821A6">
        <w:t xml:space="preserve">iam </w:t>
      </w:r>
      <w:r w:rsidRPr="005821A6">
        <w:rPr>
          <w:szCs w:val="12"/>
        </w:rPr>
        <w:t xml:space="preserve">dicat </w:t>
      </w:r>
      <w:r w:rsidRPr="005821A6">
        <w:t xml:space="preserve">privationem: ergo </w:t>
      </w:r>
      <w:r w:rsidRPr="005821A6">
        <w:rPr>
          <w:szCs w:val="9"/>
        </w:rPr>
        <w:t>ali</w:t>
      </w:r>
      <w:r>
        <w:t>quid,</w:t>
      </w:r>
      <w:r w:rsidRPr="005821A6">
        <w:t xml:space="preserve"> </w:t>
      </w:r>
      <w:r w:rsidRPr="005821A6">
        <w:rPr>
          <w:szCs w:val="15"/>
        </w:rPr>
        <w:t xml:space="preserve">quod non </w:t>
      </w:r>
      <w:r w:rsidRPr="005821A6">
        <w:rPr>
          <w:szCs w:val="11"/>
        </w:rPr>
        <w:t xml:space="preserve">est </w:t>
      </w:r>
      <w:r w:rsidRPr="005821A6">
        <w:rPr>
          <w:szCs w:val="15"/>
        </w:rPr>
        <w:t xml:space="preserve">omnino </w:t>
      </w:r>
      <w:r w:rsidRPr="005821A6">
        <w:rPr>
          <w:szCs w:val="12"/>
        </w:rPr>
        <w:t xml:space="preserve">aliquid, </w:t>
      </w:r>
      <w:r w:rsidRPr="005821A6">
        <w:rPr>
          <w:szCs w:val="14"/>
        </w:rPr>
        <w:t xml:space="preserve">nec </w:t>
      </w:r>
      <w:r>
        <w:t>om</w:t>
      </w:r>
      <w:r w:rsidRPr="005821A6">
        <w:t xml:space="preserve">nino </w:t>
      </w:r>
      <w:r w:rsidRPr="005821A6">
        <w:rPr>
          <w:szCs w:val="10"/>
        </w:rPr>
        <w:t>ni</w:t>
      </w:r>
      <w:r>
        <w:rPr>
          <w:szCs w:val="11"/>
        </w:rPr>
        <w:t>hil,</w:t>
      </w:r>
      <w:r w:rsidRPr="005821A6">
        <w:rPr>
          <w:szCs w:val="11"/>
        </w:rPr>
        <w:t xml:space="preserve"> </w:t>
      </w:r>
      <w:r w:rsidRPr="005821A6">
        <w:t xml:space="preserve">sed </w:t>
      </w:r>
      <w:r w:rsidRPr="005821A6">
        <w:rPr>
          <w:szCs w:val="15"/>
        </w:rPr>
        <w:t xml:space="preserve">quod </w:t>
      </w:r>
      <w:r w:rsidRPr="005821A6">
        <w:rPr>
          <w:szCs w:val="11"/>
        </w:rPr>
        <w:t xml:space="preserve">est </w:t>
      </w:r>
      <w:r>
        <w:rPr>
          <w:szCs w:val="14"/>
        </w:rPr>
        <w:t>medium</w:t>
      </w:r>
      <w:r w:rsidRPr="005821A6">
        <w:rPr>
          <w:szCs w:val="14"/>
        </w:rPr>
        <w:t xml:space="preserve"> </w:t>
      </w:r>
      <w:r w:rsidRPr="005821A6">
        <w:rPr>
          <w:szCs w:val="11"/>
        </w:rPr>
        <w:t xml:space="preserve">inter </w:t>
      </w:r>
      <w:r w:rsidRPr="005821A6">
        <w:rPr>
          <w:szCs w:val="12"/>
        </w:rPr>
        <w:t xml:space="preserve">aliquid </w:t>
      </w:r>
      <w:r w:rsidRPr="005821A6">
        <w:rPr>
          <w:szCs w:val="11"/>
        </w:rPr>
        <w:t xml:space="preserve">et nihil; </w:t>
      </w:r>
      <w:r w:rsidRPr="005821A6">
        <w:rPr>
          <w:szCs w:val="14"/>
        </w:rPr>
        <w:t xml:space="preserve">hoc </w:t>
      </w:r>
      <w:r w:rsidRPr="005821A6">
        <w:rPr>
          <w:szCs w:val="15"/>
        </w:rPr>
        <w:t xml:space="preserve">autem </w:t>
      </w:r>
      <w:r w:rsidRPr="005821A6">
        <w:rPr>
          <w:szCs w:val="11"/>
        </w:rPr>
        <w:t xml:space="preserve">dicit </w:t>
      </w:r>
      <w:r>
        <w:rPr>
          <w:szCs w:val="14"/>
        </w:rPr>
        <w:t>Augustinus</w:t>
      </w:r>
      <w:r w:rsidRPr="005821A6">
        <w:rPr>
          <w:szCs w:val="7"/>
        </w:rPr>
        <w:t xml:space="preserve"> </w:t>
      </w:r>
      <w:r w:rsidRPr="005821A6">
        <w:rPr>
          <w:i/>
          <w:szCs w:val="15"/>
        </w:rPr>
        <w:t>materiam</w:t>
      </w:r>
      <w:r>
        <w:rPr>
          <w:szCs w:val="10"/>
        </w:rPr>
        <w:t>.“ (</w:t>
      </w:r>
      <w:r w:rsidRPr="005C5D91">
        <w:rPr>
          <w:i/>
        </w:rPr>
        <w:t>In II Sent</w:t>
      </w:r>
      <w:r>
        <w:t xml:space="preserve">., d. 3, p. 1, a. 1, q. 1; </w:t>
      </w:r>
      <w:r w:rsidRPr="00970BE9">
        <w:rPr>
          <w:i/>
        </w:rPr>
        <w:t>Opera omnia</w:t>
      </w:r>
      <w:r>
        <w:t xml:space="preserve"> </w:t>
      </w:r>
      <w:r>
        <w:rPr>
          <w:lang w:val="cs-CZ"/>
        </w:rPr>
        <w:t>2</w:t>
      </w:r>
      <w:r>
        <w:t>, 89a</w:t>
      </w:r>
      <w:r>
        <w:fldChar w:fldCharType="begin"/>
      </w:r>
      <w:r>
        <w:instrText xml:space="preserve"> XE "</w:instrText>
      </w:r>
      <w:r>
        <w:rPr>
          <w:lang w:val="cs-CZ"/>
        </w:rPr>
        <w:instrText>Bonaventura:</w:instrText>
      </w:r>
      <w:r w:rsidRPr="003D4B6D">
        <w:rPr>
          <w:i/>
        </w:rPr>
        <w:instrText>In II Sent</w:instrText>
      </w:r>
      <w:r>
        <w:rPr>
          <w:i/>
          <w:lang w:val="cs-CZ"/>
        </w:rPr>
        <w:instrText xml:space="preserve"> </w:instrText>
      </w:r>
      <w:r w:rsidRPr="003D4B6D">
        <w:instrText>89a</w:instrText>
      </w:r>
      <w:r>
        <w:instrText xml:space="preserve">" </w:instrText>
      </w:r>
      <w:r>
        <w:fldChar w:fldCharType="end"/>
      </w:r>
      <w:r>
        <w:rPr>
          <w:szCs w:val="10"/>
        </w:rPr>
        <w:t>)</w:t>
      </w:r>
    </w:p>
  </w:footnote>
  <w:footnote w:id="26">
    <w:p w:rsidR="00971E82" w:rsidRPr="00127595" w:rsidRDefault="00971E82" w:rsidP="08163013">
      <w:pPr>
        <w:pStyle w:val="Textpoznpodarou"/>
      </w:pPr>
      <w:r>
        <w:rPr>
          <w:rStyle w:val="Znakapoznpodarou"/>
        </w:rPr>
        <w:footnoteRef/>
      </w:r>
      <w:r>
        <w:t xml:space="preserve"> „</w:t>
      </w:r>
      <w:r w:rsidRPr="00687682">
        <w:rPr>
          <w:szCs w:val="11"/>
        </w:rPr>
        <w:t xml:space="preserve">Augustinus </w:t>
      </w:r>
      <w:r w:rsidRPr="00687682">
        <w:rPr>
          <w:szCs w:val="8"/>
        </w:rPr>
        <w:t xml:space="preserve">in </w:t>
      </w:r>
      <w:r w:rsidRPr="00687682">
        <w:rPr>
          <w:szCs w:val="12"/>
        </w:rPr>
        <w:t xml:space="preserve">duodecimo Confessionum </w:t>
      </w:r>
      <w:r w:rsidRPr="00687682">
        <w:rPr>
          <w:szCs w:val="11"/>
        </w:rPr>
        <w:t xml:space="preserve">docet </w:t>
      </w:r>
      <w:r w:rsidRPr="00687682">
        <w:rPr>
          <w:szCs w:val="9"/>
        </w:rPr>
        <w:t xml:space="preserve">salis </w:t>
      </w:r>
      <w:r w:rsidRPr="00687682">
        <w:t>ap</w:t>
      </w:r>
      <w:r>
        <w:rPr>
          <w:lang w:val="cs-CZ"/>
        </w:rPr>
        <w:t>Pl</w:t>
      </w:r>
      <w:r w:rsidRPr="00687682">
        <w:t>erte,</w:t>
      </w:r>
      <w:r>
        <w:t xml:space="preserve"> </w:t>
      </w:r>
      <w:r w:rsidRPr="00687682">
        <w:rPr>
          <w:szCs w:val="9"/>
        </w:rPr>
        <w:t xml:space="preserve">et in libro </w:t>
      </w:r>
      <w:r w:rsidRPr="00687682">
        <w:rPr>
          <w:szCs w:val="12"/>
        </w:rPr>
        <w:t xml:space="preserve">de Vera </w:t>
      </w:r>
      <w:r w:rsidRPr="00687682">
        <w:rPr>
          <w:szCs w:val="11"/>
        </w:rPr>
        <w:t xml:space="preserve">Religione </w:t>
      </w:r>
      <w:r w:rsidRPr="00687682">
        <w:rPr>
          <w:szCs w:val="9"/>
        </w:rPr>
        <w:t xml:space="preserve">dicit, </w:t>
      </w:r>
      <w:r w:rsidRPr="00687682">
        <w:rPr>
          <w:szCs w:val="13"/>
        </w:rPr>
        <w:t xml:space="preserve">quod </w:t>
      </w:r>
      <w:r w:rsidRPr="00687682">
        <w:rPr>
          <w:szCs w:val="9"/>
        </w:rPr>
        <w:t xml:space="preserve">est </w:t>
      </w:r>
      <w:r w:rsidRPr="00687682">
        <w:rPr>
          <w:szCs w:val="11"/>
        </w:rPr>
        <w:t xml:space="preserve">quasi </w:t>
      </w:r>
      <w:r w:rsidRPr="00687682">
        <w:rPr>
          <w:szCs w:val="14"/>
        </w:rPr>
        <w:t>medium</w:t>
      </w:r>
      <w:r>
        <w:rPr>
          <w:szCs w:val="14"/>
        </w:rPr>
        <w:t xml:space="preserve"> </w:t>
      </w:r>
      <w:r w:rsidRPr="00687682">
        <w:rPr>
          <w:szCs w:val="9"/>
        </w:rPr>
        <w:t xml:space="preserve">inter </w:t>
      </w:r>
      <w:r w:rsidRPr="00687682">
        <w:rPr>
          <w:szCs w:val="11"/>
        </w:rPr>
        <w:t xml:space="preserve">aliquod </w:t>
      </w:r>
      <w:r w:rsidRPr="00687682">
        <w:rPr>
          <w:szCs w:val="9"/>
        </w:rPr>
        <w:t xml:space="preserve">et nihil, et </w:t>
      </w:r>
      <w:r w:rsidRPr="00687682">
        <w:t xml:space="preserve">Philosoplius </w:t>
      </w:r>
      <w:r w:rsidRPr="00687682">
        <w:rPr>
          <w:szCs w:val="9"/>
        </w:rPr>
        <w:t xml:space="preserve">in </w:t>
      </w:r>
      <w:r w:rsidRPr="00687682">
        <w:rPr>
          <w:szCs w:val="12"/>
        </w:rPr>
        <w:t xml:space="preserve">primo </w:t>
      </w:r>
      <w:r w:rsidRPr="00687682">
        <w:rPr>
          <w:szCs w:val="9"/>
        </w:rPr>
        <w:t xml:space="preserve">libro </w:t>
      </w:r>
      <w:r w:rsidRPr="00687682">
        <w:rPr>
          <w:szCs w:val="12"/>
        </w:rPr>
        <w:t>de Gene</w:t>
      </w:r>
      <w:r w:rsidRPr="00687682">
        <w:t>ratione</w:t>
      </w:r>
      <w:r>
        <w:t xml:space="preserve"> </w:t>
      </w:r>
      <w:r w:rsidRPr="00687682">
        <w:rPr>
          <w:szCs w:val="9"/>
        </w:rPr>
        <w:t xml:space="preserve">dicit, </w:t>
      </w:r>
      <w:r w:rsidRPr="00687682">
        <w:rPr>
          <w:szCs w:val="13"/>
        </w:rPr>
        <w:t xml:space="preserve">quod </w:t>
      </w:r>
      <w:r w:rsidRPr="00687682">
        <w:rPr>
          <w:szCs w:val="9"/>
        </w:rPr>
        <w:t xml:space="preserve">est </w:t>
      </w:r>
      <w:r w:rsidRPr="00687682">
        <w:rPr>
          <w:szCs w:val="8"/>
        </w:rPr>
        <w:t xml:space="preserve">ita </w:t>
      </w:r>
      <w:r w:rsidRPr="00687682">
        <w:rPr>
          <w:szCs w:val="11"/>
        </w:rPr>
        <w:t xml:space="preserve">simplex </w:t>
      </w:r>
      <w:r w:rsidRPr="00687682">
        <w:rPr>
          <w:szCs w:val="9"/>
        </w:rPr>
        <w:t xml:space="preserve">sicut </w:t>
      </w:r>
      <w:r w:rsidRPr="00687682">
        <w:t>punctus.</w:t>
      </w:r>
      <w:r>
        <w:t>“ (</w:t>
      </w:r>
      <w:r w:rsidRPr="005C5D91">
        <w:rPr>
          <w:i/>
        </w:rPr>
        <w:t>In II Sent</w:t>
      </w:r>
      <w:r>
        <w:t xml:space="preserve">., d. 3, p. 1, a. 1, q. 3; </w:t>
      </w:r>
      <w:r w:rsidRPr="00970BE9">
        <w:rPr>
          <w:i/>
        </w:rPr>
        <w:t>Opera omnia</w:t>
      </w:r>
      <w:r>
        <w:t xml:space="preserve"> </w:t>
      </w:r>
      <w:r>
        <w:rPr>
          <w:lang w:val="cs-CZ"/>
        </w:rPr>
        <w:t>2</w:t>
      </w:r>
      <w:r>
        <w:t>, 102a</w:t>
      </w:r>
      <w:r>
        <w:fldChar w:fldCharType="begin"/>
      </w:r>
      <w:r>
        <w:instrText xml:space="preserve"> XE "</w:instrText>
      </w:r>
      <w:r>
        <w:rPr>
          <w:lang w:val="cs-CZ"/>
        </w:rPr>
        <w:instrText>Bonaventura:</w:instrText>
      </w:r>
      <w:r w:rsidRPr="003D4B6D">
        <w:rPr>
          <w:i/>
        </w:rPr>
        <w:instrText>In II Sent</w:instrText>
      </w:r>
      <w:r>
        <w:rPr>
          <w:i/>
          <w:lang w:val="cs-CZ"/>
        </w:rPr>
        <w:instrText xml:space="preserve"> </w:instrText>
      </w:r>
      <w:r>
        <w:rPr>
          <w:lang w:val="cs-CZ"/>
        </w:rPr>
        <w:instrText>102</w:instrText>
      </w:r>
      <w:r w:rsidRPr="003D4B6D">
        <w:instrText>a</w:instrText>
      </w:r>
      <w:r>
        <w:instrText xml:space="preserve">" </w:instrText>
      </w:r>
      <w:r>
        <w:fldChar w:fldCharType="end"/>
      </w:r>
      <w:r>
        <w:t>)</w:t>
      </w:r>
    </w:p>
  </w:footnote>
  <w:footnote w:id="27">
    <w:p w:rsidR="00971E82" w:rsidRPr="00C025F9" w:rsidRDefault="00971E82" w:rsidP="08163013">
      <w:pPr>
        <w:pStyle w:val="Textpoznpodarou"/>
        <w:rPr>
          <w:lang w:val="cs-CZ"/>
        </w:rPr>
      </w:pPr>
      <w:r>
        <w:rPr>
          <w:rStyle w:val="Znakapoznpodarou"/>
        </w:rPr>
        <w:footnoteRef/>
      </w:r>
      <w:r>
        <w:t xml:space="preserve"> </w:t>
      </w:r>
      <w:r w:rsidRPr="00273106">
        <w:t>„</w:t>
      </w:r>
      <w:r w:rsidRPr="00DE5281">
        <w:rPr>
          <w:i/>
        </w:rPr>
        <w:t>Rursus</w:t>
      </w:r>
      <w:r w:rsidRPr="00DE5281">
        <w:t>, quia est ens omnino in potentia, ideo de se est infinita et ad form</w:t>
      </w:r>
      <w:r>
        <w:t>as inf</w:t>
      </w:r>
      <w:r>
        <w:rPr>
          <w:lang w:val="cs-CZ"/>
        </w:rPr>
        <w:t>in</w:t>
      </w:r>
      <w:r>
        <w:t>itas</w:t>
      </w:r>
      <w:r>
        <w:rPr>
          <w:lang w:val="cs-CZ"/>
        </w:rPr>
        <w:t>...“ (</w:t>
      </w:r>
      <w:r w:rsidRPr="00D77B9D">
        <w:rPr>
          <w:i/>
          <w:lang w:val="cs-CZ"/>
        </w:rPr>
        <w:t xml:space="preserve">In </w:t>
      </w:r>
      <w:r w:rsidRPr="00D77B9D">
        <w:rPr>
          <w:i/>
        </w:rPr>
        <w:t>II S</w:t>
      </w:r>
      <w:r w:rsidRPr="00D77B9D">
        <w:rPr>
          <w:i/>
          <w:lang w:val="cs-CZ"/>
        </w:rPr>
        <w:t>ent</w:t>
      </w:r>
      <w:r>
        <w:rPr>
          <w:lang w:val="cs-CZ"/>
        </w:rPr>
        <w:t xml:space="preserve">. </w:t>
      </w:r>
      <w:r w:rsidRPr="000336A9">
        <w:t>d. 3</w:t>
      </w:r>
      <w:r>
        <w:rPr>
          <w:lang w:val="cs-CZ"/>
        </w:rPr>
        <w:t xml:space="preserve">, </w:t>
      </w:r>
      <w:r w:rsidRPr="000336A9">
        <w:t xml:space="preserve">p. </w:t>
      </w:r>
      <w:r>
        <w:rPr>
          <w:lang w:val="cs-CZ"/>
        </w:rPr>
        <w:t xml:space="preserve">1, </w:t>
      </w:r>
      <w:r w:rsidRPr="000336A9">
        <w:t xml:space="preserve">a. </w:t>
      </w:r>
      <w:r>
        <w:rPr>
          <w:lang w:val="cs-CZ"/>
        </w:rPr>
        <w:t xml:space="preserve">1, </w:t>
      </w:r>
      <w:r w:rsidRPr="000336A9">
        <w:t xml:space="preserve">q. </w:t>
      </w:r>
      <w:r>
        <w:t>3</w:t>
      </w:r>
      <w:r>
        <w:rPr>
          <w:lang w:val="cs-CZ"/>
        </w:rPr>
        <w:t xml:space="preserve">, resp.; </w:t>
      </w:r>
      <w:r w:rsidRPr="00970BE9">
        <w:rPr>
          <w:i/>
          <w:lang w:val="cs-CZ"/>
        </w:rPr>
        <w:t>Opera omnia</w:t>
      </w:r>
      <w:r>
        <w:rPr>
          <w:lang w:val="cs-CZ"/>
        </w:rPr>
        <w:t xml:space="preserve"> 2, 100b</w:t>
      </w:r>
      <w:r>
        <w:fldChar w:fldCharType="begin"/>
      </w:r>
      <w:r>
        <w:instrText xml:space="preserve"> XE "</w:instrText>
      </w:r>
      <w:r>
        <w:rPr>
          <w:lang w:val="cs-CZ"/>
        </w:rPr>
        <w:instrText>Bonaventura:</w:instrText>
      </w:r>
      <w:r w:rsidRPr="0035406E">
        <w:rPr>
          <w:i/>
        </w:rPr>
        <w:instrText>In II Sent.</w:instrText>
      </w:r>
      <w:r>
        <w:instrText xml:space="preserve"> </w:instrText>
      </w:r>
      <w:r>
        <w:rPr>
          <w:lang w:val="cs-CZ"/>
        </w:rPr>
        <w:instrText>100</w:instrText>
      </w:r>
      <w:r>
        <w:instrText xml:space="preserve">b" </w:instrText>
      </w:r>
      <w:r>
        <w:fldChar w:fldCharType="end"/>
      </w:r>
      <w:r>
        <w:rPr>
          <w:lang w:val="cs-CZ"/>
        </w:rPr>
        <w:t>)</w:t>
      </w:r>
    </w:p>
  </w:footnote>
  <w:footnote w:id="28">
    <w:p w:rsidR="00971E82" w:rsidRPr="00E46F24" w:rsidRDefault="00971E82" w:rsidP="08163013">
      <w:pPr>
        <w:pStyle w:val="Textpoznpodarou"/>
      </w:pPr>
      <w:r>
        <w:rPr>
          <w:rStyle w:val="Znakapoznpodarou"/>
        </w:rPr>
        <w:footnoteRef/>
      </w:r>
      <w:r>
        <w:t xml:space="preserve"> „</w:t>
      </w:r>
      <w:r w:rsidRPr="00E46F24">
        <w:t xml:space="preserve">Facta est ergo illa materia in forma </w:t>
      </w:r>
      <w:r w:rsidRPr="00E46F24">
        <w:rPr>
          <w:i/>
        </w:rPr>
        <w:t>confusionis</w:t>
      </w:r>
      <w:r w:rsidRPr="00E46F24">
        <w:t xml:space="preserve"> ante formam </w:t>
      </w:r>
      <w:r w:rsidRPr="00E46F24">
        <w:rPr>
          <w:i/>
        </w:rPr>
        <w:t>dispositionis</w:t>
      </w:r>
      <w:r w:rsidRPr="00E46F24">
        <w:t xml:space="preserve">. In forma </w:t>
      </w:r>
      <w:r w:rsidRPr="005F24F9">
        <w:rPr>
          <w:i/>
        </w:rPr>
        <w:t>confusionis</w:t>
      </w:r>
      <w:r w:rsidRPr="00E46F24">
        <w:t xml:space="preserve"> prius omnia corporalia materialiter simul et semel sunt creata, postmodum in forma</w:t>
      </w:r>
      <w:r>
        <w:t xml:space="preserve"> </w:t>
      </w:r>
      <w:r w:rsidRPr="005F24F9">
        <w:rPr>
          <w:i/>
        </w:rPr>
        <w:t>dispositionis</w:t>
      </w:r>
      <w:r w:rsidRPr="00E46F24">
        <w:t xml:space="preserve"> sex diebus sunt ordinata.</w:t>
      </w:r>
      <w:r>
        <w:t>“ (</w:t>
      </w:r>
      <w:r w:rsidRPr="00887F94">
        <w:rPr>
          <w:i/>
        </w:rPr>
        <w:t>In II. Sent</w:t>
      </w:r>
      <w:r>
        <w:t xml:space="preserve">, d. 12, cap. V; </w:t>
      </w:r>
      <w:r w:rsidRPr="007405DA">
        <w:rPr>
          <w:i/>
        </w:rPr>
        <w:t>Opera omnia</w:t>
      </w:r>
      <w:r>
        <w:t xml:space="preserve"> </w:t>
      </w:r>
      <w:r>
        <w:rPr>
          <w:lang w:val="cs-CZ"/>
        </w:rPr>
        <w:t>2</w:t>
      </w:r>
      <w:r>
        <w:t>, 291b</w:t>
      </w:r>
      <w:r>
        <w:fldChar w:fldCharType="begin"/>
      </w:r>
      <w:r>
        <w:instrText xml:space="preserve"> XE "</w:instrText>
      </w:r>
      <w:r>
        <w:rPr>
          <w:lang w:val="cs-CZ"/>
        </w:rPr>
        <w:instrText>Bonaventura:</w:instrText>
      </w:r>
      <w:r w:rsidRPr="0035406E">
        <w:rPr>
          <w:i/>
        </w:rPr>
        <w:instrText>In II Sent.</w:instrText>
      </w:r>
      <w:r>
        <w:instrText xml:space="preserve"> </w:instrText>
      </w:r>
      <w:r>
        <w:rPr>
          <w:lang w:val="cs-CZ"/>
        </w:rPr>
        <w:instrText>291</w:instrText>
      </w:r>
      <w:r>
        <w:instrText xml:space="preserve">b" </w:instrText>
      </w:r>
      <w:r>
        <w:fldChar w:fldCharType="end"/>
      </w:r>
      <w:r>
        <w:t>)</w:t>
      </w:r>
    </w:p>
  </w:footnote>
  <w:footnote w:id="29">
    <w:p w:rsidR="00971E82" w:rsidRPr="00C5465A" w:rsidRDefault="00971E82" w:rsidP="08163013">
      <w:pPr>
        <w:pStyle w:val="Textpoznpodarou"/>
      </w:pPr>
      <w:r>
        <w:rPr>
          <w:rStyle w:val="Znakapoznpodarou"/>
        </w:rPr>
        <w:footnoteRef/>
      </w:r>
      <w:r>
        <w:t xml:space="preserve"> Aristoteles dává </w:t>
      </w:r>
      <w:r w:rsidRPr="0009289C">
        <w:t xml:space="preserve">ὄρεξις </w:t>
      </w:r>
      <w:r>
        <w:t xml:space="preserve">jako </w:t>
      </w:r>
      <w:r w:rsidRPr="0009289C">
        <w:t xml:space="preserve">společné určení </w:t>
      </w:r>
      <w:r>
        <w:t xml:space="preserve">v rámci predikace </w:t>
      </w:r>
      <w:r>
        <w:rPr>
          <w:lang w:val="cs-CZ"/>
        </w:rPr>
        <w:t>„</w:t>
      </w:r>
      <w:r w:rsidRPr="00751182">
        <w:rPr>
          <w:i/>
        </w:rPr>
        <w:t>pros hen</w:t>
      </w:r>
      <w:r>
        <w:rPr>
          <w:lang w:val="cs-CZ"/>
        </w:rPr>
        <w:t>“</w:t>
      </w:r>
      <w:r>
        <w:t xml:space="preserve"> (</w:t>
      </w:r>
      <w:r w:rsidRPr="0009289C">
        <w:t>μίαν τῶν αἰσθήσεων</w:t>
      </w:r>
      <w:r>
        <w:t xml:space="preserve">) </w:t>
      </w:r>
      <w:r w:rsidRPr="0009289C">
        <w:t>pro všechny vnímavé živočichy (ὄρεξις μὲν γὰρ ... τὰ δὲ ζῷα πάντ' ἔχουσ</w:t>
      </w:r>
      <w:r>
        <w:t>ι μίαν γε τῶν αἰσθήσεων). Tato rodová univocita</w:t>
      </w:r>
      <w:r>
        <w:rPr>
          <w:lang w:val="cs-CZ"/>
        </w:rPr>
        <w:t xml:space="preserve"> daná</w:t>
      </w:r>
      <w:r>
        <w:t xml:space="preserve"> </w:t>
      </w:r>
      <w:r w:rsidRPr="0009289C">
        <w:rPr>
          <w:i/>
        </w:rPr>
        <w:t>per prius</w:t>
      </w:r>
      <w:r>
        <w:t xml:space="preserve"> jde skrze specifickou diferenci </w:t>
      </w:r>
      <w:r w:rsidRPr="006B004C">
        <w:rPr>
          <w:i/>
        </w:rPr>
        <w:t>per posterius</w:t>
      </w:r>
      <w:r>
        <w:t xml:space="preserve"> také směrem k</w:t>
      </w:r>
      <w:r>
        <w:rPr>
          <w:lang w:val="cs-CZ"/>
        </w:rPr>
        <w:t xml:space="preserve"> určení animální </w:t>
      </w:r>
      <w:r w:rsidRPr="008650EF">
        <w:t>species</w:t>
      </w:r>
      <w:r>
        <w:t xml:space="preserve">, protože živočichové jsou </w:t>
      </w:r>
      <w:r w:rsidRPr="0009289C">
        <w:t xml:space="preserve">navíc vybaveni třemi odlišnými druhy žádostivosti (ἐπιθυμία καὶ θυμὸς καὶ βούλησις, </w:t>
      </w:r>
      <w:r w:rsidRPr="00837E3C">
        <w:rPr>
          <w:i/>
        </w:rPr>
        <w:t>De anima</w:t>
      </w:r>
      <w:r w:rsidRPr="0009289C">
        <w:t xml:space="preserve"> </w:t>
      </w:r>
      <w:r>
        <w:t>414b2‒</w:t>
      </w:r>
      <w:r w:rsidRPr="0009289C">
        <w:t>3</w:t>
      </w:r>
      <w:r>
        <w:fldChar w:fldCharType="begin"/>
      </w:r>
      <w:r>
        <w:instrText xml:space="preserve"> XE "</w:instrText>
      </w:r>
      <w:r>
        <w:rPr>
          <w:lang w:val="cs-CZ"/>
        </w:rPr>
        <w:instrText>Aristoteles:</w:instrText>
      </w:r>
      <w:r w:rsidRPr="00DE7959">
        <w:rPr>
          <w:i/>
        </w:rPr>
        <w:instrText>De anima</w:instrText>
      </w:r>
      <w:r w:rsidRPr="00DE7959">
        <w:instrText xml:space="preserve"> 414b2‒3</w:instrText>
      </w:r>
      <w:r>
        <w:instrText xml:space="preserve">" </w:instrText>
      </w:r>
      <w:r>
        <w:fldChar w:fldCharType="end"/>
      </w:r>
      <w:r w:rsidRPr="0009289C">
        <w:t>)</w:t>
      </w:r>
      <w:r>
        <w:t xml:space="preserve">. </w:t>
      </w:r>
    </w:p>
  </w:footnote>
  <w:footnote w:id="30">
    <w:p w:rsidR="00971E82" w:rsidRPr="005014DD" w:rsidRDefault="00971E82" w:rsidP="08163013">
      <w:pPr>
        <w:pStyle w:val="Textpoznpodarou"/>
        <w:rPr>
          <w:lang w:val="cs-CZ"/>
        </w:rPr>
      </w:pPr>
      <w:r>
        <w:rPr>
          <w:rStyle w:val="Znakapoznpodarou"/>
        </w:rPr>
        <w:footnoteRef/>
      </w:r>
      <w:r>
        <w:t xml:space="preserve"> </w:t>
      </w:r>
      <w:r w:rsidRPr="00273106">
        <w:rPr>
          <w:noProof/>
        </w:rPr>
        <w:t>„Ad illud quod obiicitur, quod compositum ex materia et forma est ens completum, et ita venit ad constitutionem tertii; dicendum, quod hoc non est verum generaliter, sed tunc, quando materia terminat omnem appetitum formae, et forma omnem appetitum materiae; tunc non est appetitus ad aliquid extra, et ita nec possibilitas ad compositionem, quae praeexigit in componentibus appetitum et inclinationem.“ (</w:t>
      </w:r>
      <w:r w:rsidRPr="00273106">
        <w:rPr>
          <w:i/>
          <w:noProof/>
        </w:rPr>
        <w:t>In II Sent</w:t>
      </w:r>
      <w:r w:rsidRPr="00273106">
        <w:rPr>
          <w:noProof/>
        </w:rPr>
        <w:t xml:space="preserve">., d. 17, a. 1, q. 2, resp., ad 6; </w:t>
      </w:r>
      <w:r w:rsidRPr="00970BE9">
        <w:rPr>
          <w:i/>
          <w:noProof/>
        </w:rPr>
        <w:t>Opera omnia</w:t>
      </w:r>
      <w:r>
        <w:rPr>
          <w:noProof/>
        </w:rPr>
        <w:t xml:space="preserve"> </w:t>
      </w:r>
      <w:r>
        <w:rPr>
          <w:noProof/>
          <w:lang w:val="cs-CZ"/>
        </w:rPr>
        <w:t>2</w:t>
      </w:r>
      <w:r w:rsidRPr="00273106">
        <w:rPr>
          <w:noProof/>
        </w:rPr>
        <w:t>, 415</w:t>
      </w:r>
      <w:r>
        <w:rPr>
          <w:noProof/>
        </w:rPr>
        <w:t>b</w:t>
      </w:r>
      <w:r>
        <w:rPr>
          <w:noProof/>
          <w:lang w:val="cs-CZ"/>
        </w:rPr>
        <w:fldChar w:fldCharType="begin"/>
      </w:r>
      <w:r>
        <w:instrText xml:space="preserve"> XE "</w:instrText>
      </w:r>
      <w:r>
        <w:rPr>
          <w:lang w:val="cs-CZ"/>
        </w:rPr>
        <w:instrText>Bonaventura:</w:instrText>
      </w:r>
      <w:r w:rsidRPr="00A76C41">
        <w:rPr>
          <w:i/>
          <w:iCs/>
          <w:noProof/>
        </w:rPr>
        <w:instrText>In II. Sent.</w:instrText>
      </w:r>
      <w:r>
        <w:rPr>
          <w:noProof/>
        </w:rPr>
        <w:instrText xml:space="preserve"> </w:instrText>
      </w:r>
      <w:r w:rsidRPr="00273106">
        <w:rPr>
          <w:noProof/>
        </w:rPr>
        <w:instrText>415</w:instrText>
      </w:r>
      <w:r>
        <w:rPr>
          <w:noProof/>
        </w:rPr>
        <w:instrText>b</w:instrText>
      </w:r>
      <w:r w:rsidRPr="00273106">
        <w:rPr>
          <w:noProof/>
        </w:rPr>
        <w:instrText>‒416</w:instrText>
      </w:r>
      <w:r>
        <w:rPr>
          <w:noProof/>
          <w:lang w:val="cs-CZ"/>
        </w:rPr>
        <w:instrText>a</w:instrText>
      </w:r>
      <w:r>
        <w:instrText xml:space="preserve">" </w:instrText>
      </w:r>
      <w:r>
        <w:rPr>
          <w:noProof/>
          <w:lang w:val="cs-CZ"/>
        </w:rPr>
        <w:fldChar w:fldCharType="end"/>
      </w:r>
      <w:r w:rsidRPr="00273106">
        <w:rPr>
          <w:noProof/>
        </w:rPr>
        <w:t>)</w:t>
      </w:r>
    </w:p>
  </w:footnote>
  <w:footnote w:id="31">
    <w:p w:rsidR="00971E82" w:rsidRPr="00B06AF2" w:rsidRDefault="00971E82" w:rsidP="08163013">
      <w:pPr>
        <w:pStyle w:val="Textpoznpodarou"/>
        <w:rPr>
          <w:lang w:val="cs-CZ"/>
        </w:rPr>
      </w:pPr>
      <w:r>
        <w:rPr>
          <w:rStyle w:val="Znakapoznpodarou"/>
        </w:rPr>
        <w:footnoteRef/>
      </w:r>
      <w:r>
        <w:t xml:space="preserve"> </w:t>
      </w:r>
      <w:r w:rsidRPr="00273106">
        <w:rPr>
          <w:noProof/>
        </w:rPr>
        <w:t xml:space="preserve"> „Alio modo potest intelligi sic, ut essentiae formarum sint in materia in potentia non solum </w:t>
      </w:r>
      <w:r w:rsidRPr="00273106">
        <w:rPr>
          <w:i/>
          <w:noProof/>
        </w:rPr>
        <w:t>latentes</w:t>
      </w:r>
      <w:r w:rsidRPr="00273106">
        <w:rPr>
          <w:noProof/>
        </w:rPr>
        <w:t xml:space="preserve">, sed </w:t>
      </w:r>
      <w:r w:rsidRPr="00273106">
        <w:rPr>
          <w:i/>
          <w:noProof/>
        </w:rPr>
        <w:t>entes</w:t>
      </w:r>
      <w:r w:rsidRPr="00273106">
        <w:rPr>
          <w:noProof/>
        </w:rPr>
        <w:t xml:space="preserve"> </w:t>
      </w:r>
      <w:r w:rsidRPr="00273106">
        <w:rPr>
          <w:i/>
          <w:noProof/>
        </w:rPr>
        <w:t>in potentia</w:t>
      </w:r>
      <w:r w:rsidRPr="00273106">
        <w:rPr>
          <w:noProof/>
        </w:rPr>
        <w:t xml:space="preserve">, ut materia habeat in se seminales omnium formarum rationes sibi a primaria conditione inditas ‒ et illud concordat et philosophiae et sacrae Scripturae ‒ </w:t>
      </w:r>
      <w:r w:rsidRPr="00273106">
        <w:rPr>
          <w:noProof/>
          <w:szCs w:val="11"/>
        </w:rPr>
        <w:t xml:space="preserve">et </w:t>
      </w:r>
      <w:r w:rsidRPr="00273106">
        <w:rPr>
          <w:noProof/>
          <w:szCs w:val="13"/>
        </w:rPr>
        <w:t xml:space="preserve">per </w:t>
      </w:r>
      <w:r w:rsidRPr="00273106">
        <w:rPr>
          <w:noProof/>
          <w:szCs w:val="14"/>
        </w:rPr>
        <w:t xml:space="preserve">actionem </w:t>
      </w:r>
      <w:r w:rsidRPr="00273106">
        <w:rPr>
          <w:noProof/>
          <w:szCs w:val="12"/>
        </w:rPr>
        <w:t xml:space="preserve">agentis </w:t>
      </w:r>
      <w:r w:rsidRPr="00273106">
        <w:rPr>
          <w:noProof/>
          <w:szCs w:val="14"/>
        </w:rPr>
        <w:t xml:space="preserve">educerentur </w:t>
      </w:r>
      <w:r w:rsidRPr="00273106">
        <w:rPr>
          <w:noProof/>
          <w:szCs w:val="11"/>
        </w:rPr>
        <w:t xml:space="preserve">in </w:t>
      </w:r>
      <w:r w:rsidRPr="00273106">
        <w:rPr>
          <w:noProof/>
          <w:szCs w:val="14"/>
        </w:rPr>
        <w:t>actum</w:t>
      </w:r>
      <w:r w:rsidRPr="00273106">
        <w:rPr>
          <w:noProof/>
        </w:rPr>
        <w:t>.“ (</w:t>
      </w:r>
      <w:r w:rsidRPr="00273106">
        <w:rPr>
          <w:i/>
          <w:noProof/>
        </w:rPr>
        <w:t>In II Sent.</w:t>
      </w:r>
      <w:r w:rsidRPr="00273106">
        <w:rPr>
          <w:noProof/>
        </w:rPr>
        <w:t>, d. 7. p. II. a. 2. q</w:t>
      </w:r>
      <w:r>
        <w:rPr>
          <w:noProof/>
        </w:rPr>
        <w:t xml:space="preserve">. I, resp.;  </w:t>
      </w:r>
      <w:r w:rsidRPr="007405DA">
        <w:rPr>
          <w:i/>
          <w:noProof/>
        </w:rPr>
        <w:t xml:space="preserve">Opera omnia </w:t>
      </w:r>
      <w:r>
        <w:rPr>
          <w:noProof/>
          <w:lang w:val="cs-CZ"/>
        </w:rPr>
        <w:t>2</w:t>
      </w:r>
      <w:r>
        <w:rPr>
          <w:noProof/>
        </w:rPr>
        <w:t xml:space="preserve">, </w:t>
      </w:r>
      <w:r w:rsidRPr="00273106">
        <w:rPr>
          <w:noProof/>
        </w:rPr>
        <w:t>198a</w:t>
      </w:r>
      <w:r>
        <w:fldChar w:fldCharType="begin"/>
      </w:r>
      <w:r>
        <w:instrText xml:space="preserve"> XE "</w:instrText>
      </w:r>
      <w:r>
        <w:rPr>
          <w:lang w:val="cs-CZ"/>
        </w:rPr>
        <w:instrText>Bonaventura:</w:instrText>
      </w:r>
      <w:r w:rsidRPr="0035406E">
        <w:rPr>
          <w:i/>
        </w:rPr>
        <w:instrText>In II Sent.</w:instrText>
      </w:r>
      <w:r>
        <w:instrText xml:space="preserve"> </w:instrText>
      </w:r>
      <w:r>
        <w:rPr>
          <w:lang w:val="cs-CZ"/>
        </w:rPr>
        <w:instrText>198</w:instrText>
      </w:r>
      <w:r>
        <w:instrText xml:space="preserve">a" </w:instrText>
      </w:r>
      <w:r>
        <w:fldChar w:fldCharType="end"/>
      </w:r>
      <w:r w:rsidRPr="00273106">
        <w:rPr>
          <w:noProof/>
        </w:rPr>
        <w:t>)</w:t>
      </w:r>
    </w:p>
  </w:footnote>
  <w:footnote w:id="32">
    <w:p w:rsidR="00971E82" w:rsidRPr="00F22FCC" w:rsidRDefault="00971E82" w:rsidP="08163013">
      <w:pPr>
        <w:pStyle w:val="Textpoznpodarou"/>
        <w:rPr>
          <w:lang w:val="cs-CZ"/>
        </w:rPr>
      </w:pPr>
      <w:r>
        <w:rPr>
          <w:rStyle w:val="Znakapoznpodarou"/>
        </w:rPr>
        <w:footnoteRef/>
      </w:r>
      <w:r>
        <w:t xml:space="preserve"> </w:t>
      </w:r>
      <w:r w:rsidRPr="00273106">
        <w:rPr>
          <w:noProof/>
          <w:szCs w:val="16"/>
        </w:rPr>
        <w:t>„</w:t>
      </w:r>
      <w:r w:rsidRPr="00273106">
        <w:rPr>
          <w:noProof/>
        </w:rPr>
        <w:t xml:space="preserve">Et ita </w:t>
      </w:r>
      <w:r w:rsidRPr="00273106">
        <w:rPr>
          <w:noProof/>
          <w:szCs w:val="14"/>
        </w:rPr>
        <w:t xml:space="preserve">non </w:t>
      </w:r>
      <w:r w:rsidRPr="00273106">
        <w:rPr>
          <w:noProof/>
          <w:szCs w:val="10"/>
        </w:rPr>
        <w:t>diffe</w:t>
      </w:r>
      <w:r w:rsidRPr="00273106">
        <w:rPr>
          <w:noProof/>
          <w:szCs w:val="13"/>
        </w:rPr>
        <w:t xml:space="preserve">runt </w:t>
      </w:r>
      <w:r w:rsidRPr="00273106">
        <w:rPr>
          <w:noProof/>
        </w:rPr>
        <w:t xml:space="preserve">forma </w:t>
      </w:r>
      <w:r w:rsidRPr="00273106">
        <w:rPr>
          <w:i/>
          <w:noProof/>
          <w:szCs w:val="13"/>
        </w:rPr>
        <w:t>universalis</w:t>
      </w:r>
      <w:r w:rsidRPr="00273106">
        <w:rPr>
          <w:noProof/>
          <w:szCs w:val="13"/>
        </w:rPr>
        <w:t xml:space="preserve"> </w:t>
      </w:r>
      <w:r w:rsidRPr="00273106">
        <w:rPr>
          <w:noProof/>
        </w:rPr>
        <w:t xml:space="preserve">et </w:t>
      </w:r>
      <w:r w:rsidRPr="00273106">
        <w:rPr>
          <w:i/>
          <w:noProof/>
          <w:szCs w:val="13"/>
        </w:rPr>
        <w:t>singularis</w:t>
      </w:r>
      <w:r w:rsidRPr="00273106">
        <w:rPr>
          <w:noProof/>
          <w:szCs w:val="13"/>
        </w:rPr>
        <w:t xml:space="preserve"> </w:t>
      </w:r>
      <w:r w:rsidRPr="00273106">
        <w:rPr>
          <w:i/>
          <w:noProof/>
          <w:szCs w:val="13"/>
        </w:rPr>
        <w:t>per abstra</w:t>
      </w:r>
      <w:r w:rsidRPr="00273106">
        <w:rPr>
          <w:i/>
          <w:noProof/>
          <w:szCs w:val="14"/>
        </w:rPr>
        <w:t>ctionem</w:t>
      </w:r>
      <w:r w:rsidRPr="00273106">
        <w:rPr>
          <w:noProof/>
          <w:szCs w:val="14"/>
        </w:rPr>
        <w:t xml:space="preserve"> a </w:t>
      </w:r>
      <w:r w:rsidRPr="00273106">
        <w:rPr>
          <w:noProof/>
          <w:szCs w:val="13"/>
        </w:rPr>
        <w:t xml:space="preserve">materia, </w:t>
      </w:r>
      <w:r w:rsidRPr="00273106">
        <w:rPr>
          <w:noProof/>
        </w:rPr>
        <w:t xml:space="preserve">et </w:t>
      </w:r>
      <w:r w:rsidRPr="00273106">
        <w:rPr>
          <w:i/>
          <w:noProof/>
          <w:szCs w:val="14"/>
        </w:rPr>
        <w:t>concretionem</w:t>
      </w:r>
      <w:r w:rsidRPr="00273106">
        <w:rPr>
          <w:noProof/>
          <w:szCs w:val="14"/>
        </w:rPr>
        <w:t xml:space="preserve"> </w:t>
      </w:r>
      <w:r w:rsidRPr="00273106">
        <w:rPr>
          <w:noProof/>
          <w:szCs w:val="10"/>
        </w:rPr>
        <w:t xml:space="preserve">in </w:t>
      </w:r>
      <w:r w:rsidRPr="00273106">
        <w:rPr>
          <w:noProof/>
          <w:szCs w:val="13"/>
        </w:rPr>
        <w:t xml:space="preserve">materia, sed </w:t>
      </w:r>
      <w:r w:rsidRPr="00273106">
        <w:rPr>
          <w:noProof/>
          <w:szCs w:val="12"/>
        </w:rPr>
        <w:t xml:space="preserve">differunt </w:t>
      </w:r>
      <w:r w:rsidRPr="00273106">
        <w:rPr>
          <w:i/>
          <w:noProof/>
          <w:szCs w:val="13"/>
        </w:rPr>
        <w:t xml:space="preserve">per </w:t>
      </w:r>
      <w:r w:rsidRPr="00273106">
        <w:rPr>
          <w:i/>
          <w:noProof/>
          <w:szCs w:val="14"/>
        </w:rPr>
        <w:t>additionem</w:t>
      </w:r>
      <w:r w:rsidRPr="00273106">
        <w:rPr>
          <w:noProof/>
          <w:szCs w:val="14"/>
        </w:rPr>
        <w:t xml:space="preserve"> </w:t>
      </w:r>
      <w:r w:rsidRPr="00273106">
        <w:rPr>
          <w:noProof/>
          <w:szCs w:val="13"/>
        </w:rPr>
        <w:t xml:space="preserve">unius </w:t>
      </w:r>
      <w:r w:rsidRPr="00273106">
        <w:rPr>
          <w:noProof/>
          <w:szCs w:val="14"/>
        </w:rPr>
        <w:t xml:space="preserve">ad </w:t>
      </w:r>
      <w:r w:rsidRPr="00273106">
        <w:rPr>
          <w:noProof/>
          <w:szCs w:val="13"/>
        </w:rPr>
        <w:t>alteram e</w:t>
      </w:r>
      <w:r w:rsidRPr="00273106">
        <w:rPr>
          <w:noProof/>
        </w:rPr>
        <w:t xml:space="preserve">t </w:t>
      </w:r>
      <w:r w:rsidRPr="00273106">
        <w:rPr>
          <w:noProof/>
          <w:szCs w:val="13"/>
        </w:rPr>
        <w:t xml:space="preserve">per </w:t>
      </w:r>
      <w:r w:rsidRPr="00273106">
        <w:rPr>
          <w:noProof/>
          <w:szCs w:val="14"/>
        </w:rPr>
        <w:t xml:space="preserve">magis </w:t>
      </w:r>
      <w:r w:rsidRPr="00273106">
        <w:rPr>
          <w:noProof/>
        </w:rPr>
        <w:t xml:space="preserve">completum et </w:t>
      </w:r>
      <w:r w:rsidRPr="00273106">
        <w:rPr>
          <w:noProof/>
          <w:szCs w:val="13"/>
        </w:rPr>
        <w:t xml:space="preserve">minus </w:t>
      </w:r>
      <w:r w:rsidRPr="00273106">
        <w:rPr>
          <w:noProof/>
          <w:szCs w:val="14"/>
        </w:rPr>
        <w:t xml:space="preserve">completum. </w:t>
      </w:r>
      <w:r w:rsidRPr="00273106">
        <w:rPr>
          <w:noProof/>
        </w:rPr>
        <w:t xml:space="preserve">Cuius </w:t>
      </w:r>
      <w:r w:rsidRPr="00273106">
        <w:rPr>
          <w:noProof/>
          <w:szCs w:val="9"/>
        </w:rPr>
        <w:t>si</w:t>
      </w:r>
      <w:r w:rsidRPr="00273106">
        <w:rPr>
          <w:noProof/>
          <w:szCs w:val="17"/>
        </w:rPr>
        <w:t xml:space="preserve">gnum </w:t>
      </w:r>
      <w:r w:rsidRPr="00273106">
        <w:rPr>
          <w:noProof/>
          <w:szCs w:val="11"/>
        </w:rPr>
        <w:t xml:space="preserve">est, </w:t>
      </w:r>
      <w:r w:rsidRPr="00273106">
        <w:rPr>
          <w:noProof/>
          <w:szCs w:val="13"/>
        </w:rPr>
        <w:t xml:space="preserve">quia </w:t>
      </w:r>
      <w:r w:rsidRPr="00273106">
        <w:rPr>
          <w:noProof/>
          <w:szCs w:val="11"/>
        </w:rPr>
        <w:t xml:space="preserve">in </w:t>
      </w:r>
      <w:r w:rsidRPr="00273106">
        <w:rPr>
          <w:noProof/>
          <w:szCs w:val="13"/>
        </w:rPr>
        <w:t xml:space="preserve">coordinatione </w:t>
      </w:r>
      <w:r w:rsidRPr="00273106">
        <w:rPr>
          <w:noProof/>
          <w:szCs w:val="16"/>
        </w:rPr>
        <w:t xml:space="preserve">generum </w:t>
      </w:r>
      <w:r w:rsidRPr="00273106">
        <w:rPr>
          <w:noProof/>
          <w:szCs w:val="11"/>
        </w:rPr>
        <w:t xml:space="preserve">et </w:t>
      </w:r>
      <w:r w:rsidRPr="00273106">
        <w:rPr>
          <w:noProof/>
          <w:szCs w:val="12"/>
        </w:rPr>
        <w:t>spe</w:t>
      </w:r>
      <w:r w:rsidRPr="00273106">
        <w:rPr>
          <w:noProof/>
        </w:rPr>
        <w:t xml:space="preserve">cierum forma </w:t>
      </w:r>
      <w:r w:rsidRPr="00273106">
        <w:rPr>
          <w:i/>
          <w:noProof/>
          <w:szCs w:val="12"/>
        </w:rPr>
        <w:t>speciei</w:t>
      </w:r>
      <w:r w:rsidRPr="00273106">
        <w:rPr>
          <w:noProof/>
          <w:szCs w:val="12"/>
        </w:rPr>
        <w:t xml:space="preserve"> </w:t>
      </w:r>
      <w:r w:rsidRPr="00273106">
        <w:rPr>
          <w:noProof/>
          <w:szCs w:val="11"/>
        </w:rPr>
        <w:t xml:space="preserve">est </w:t>
      </w:r>
      <w:r w:rsidRPr="00273106">
        <w:rPr>
          <w:noProof/>
          <w:szCs w:val="13"/>
        </w:rPr>
        <w:t xml:space="preserve">completissima </w:t>
      </w:r>
      <w:r w:rsidRPr="00273106">
        <w:rPr>
          <w:noProof/>
          <w:szCs w:val="11"/>
        </w:rPr>
        <w:t xml:space="preserve">et </w:t>
      </w:r>
      <w:r w:rsidRPr="00273106">
        <w:rPr>
          <w:noProof/>
          <w:szCs w:val="13"/>
        </w:rPr>
        <w:t>composi</w:t>
      </w:r>
      <w:r w:rsidRPr="00273106">
        <w:rPr>
          <w:noProof/>
          <w:szCs w:val="11"/>
        </w:rPr>
        <w:t xml:space="preserve">tissima. </w:t>
      </w:r>
      <w:r w:rsidRPr="00273106">
        <w:rPr>
          <w:noProof/>
          <w:szCs w:val="16"/>
        </w:rPr>
        <w:t xml:space="preserve">Forma </w:t>
      </w:r>
      <w:r w:rsidRPr="00273106">
        <w:rPr>
          <w:noProof/>
          <w:szCs w:val="13"/>
        </w:rPr>
        <w:t xml:space="preserve">vero </w:t>
      </w:r>
      <w:r w:rsidRPr="00273106">
        <w:rPr>
          <w:i/>
          <w:noProof/>
          <w:szCs w:val="13"/>
        </w:rPr>
        <w:t>generis</w:t>
      </w:r>
      <w:r w:rsidRPr="00273106">
        <w:rPr>
          <w:noProof/>
          <w:szCs w:val="13"/>
        </w:rPr>
        <w:t xml:space="preserve"> respectu </w:t>
      </w:r>
      <w:r w:rsidRPr="00273106">
        <w:rPr>
          <w:noProof/>
          <w:szCs w:val="10"/>
        </w:rPr>
        <w:t xml:space="preserve">illius </w:t>
      </w:r>
      <w:r w:rsidRPr="00273106">
        <w:rPr>
          <w:noProof/>
          <w:szCs w:val="11"/>
        </w:rPr>
        <w:t xml:space="preserve">est </w:t>
      </w:r>
      <w:r w:rsidRPr="00273106">
        <w:rPr>
          <w:i/>
          <w:noProof/>
          <w:szCs w:val="13"/>
        </w:rPr>
        <w:t>ens in potentia</w:t>
      </w:r>
      <w:r w:rsidRPr="00273106">
        <w:rPr>
          <w:noProof/>
          <w:szCs w:val="13"/>
        </w:rPr>
        <w:t xml:space="preserve">, </w:t>
      </w:r>
      <w:r w:rsidRPr="00273106">
        <w:rPr>
          <w:noProof/>
          <w:szCs w:val="11"/>
        </w:rPr>
        <w:t xml:space="preserve">et </w:t>
      </w:r>
      <w:r w:rsidRPr="00273106">
        <w:rPr>
          <w:noProof/>
          <w:szCs w:val="8"/>
        </w:rPr>
        <w:t xml:space="preserve">fit </w:t>
      </w:r>
      <w:r w:rsidRPr="00273106">
        <w:rPr>
          <w:noProof/>
        </w:rPr>
        <w:t xml:space="preserve">magis </w:t>
      </w:r>
      <w:r w:rsidRPr="00273106">
        <w:rPr>
          <w:i/>
          <w:noProof/>
          <w:szCs w:val="12"/>
        </w:rPr>
        <w:t xml:space="preserve">in </w:t>
      </w:r>
      <w:r w:rsidRPr="00273106">
        <w:rPr>
          <w:i/>
          <w:noProof/>
        </w:rPr>
        <w:t>actu</w:t>
      </w:r>
      <w:r w:rsidRPr="00273106">
        <w:rPr>
          <w:noProof/>
        </w:rPr>
        <w:t xml:space="preserve"> </w:t>
      </w:r>
      <w:r w:rsidRPr="00273106">
        <w:rPr>
          <w:noProof/>
          <w:szCs w:val="13"/>
        </w:rPr>
        <w:t xml:space="preserve">per differentiam </w:t>
      </w:r>
      <w:r w:rsidRPr="00273106">
        <w:rPr>
          <w:noProof/>
          <w:szCs w:val="10"/>
        </w:rPr>
        <w:t xml:space="preserve">sibi </w:t>
      </w:r>
      <w:r w:rsidRPr="00273106">
        <w:rPr>
          <w:noProof/>
        </w:rPr>
        <w:t>superadditam.“ (</w:t>
      </w:r>
      <w:r w:rsidRPr="00273106">
        <w:rPr>
          <w:i/>
          <w:noProof/>
        </w:rPr>
        <w:t>In II Sent</w:t>
      </w:r>
      <w:r w:rsidRPr="00273106">
        <w:rPr>
          <w:noProof/>
        </w:rPr>
        <w:t>. d. 18, a.</w:t>
      </w:r>
      <w:r>
        <w:rPr>
          <w:noProof/>
        </w:rPr>
        <w:t xml:space="preserve"> 1. q. 3, resp.;  </w:t>
      </w:r>
      <w:r w:rsidRPr="007405DA">
        <w:rPr>
          <w:i/>
          <w:noProof/>
        </w:rPr>
        <w:t>Opera omnia</w:t>
      </w:r>
      <w:r>
        <w:rPr>
          <w:noProof/>
        </w:rPr>
        <w:t xml:space="preserve"> </w:t>
      </w:r>
      <w:r>
        <w:rPr>
          <w:noProof/>
          <w:lang w:val="cs-CZ"/>
        </w:rPr>
        <w:t>2</w:t>
      </w:r>
      <w:r w:rsidRPr="00273106">
        <w:rPr>
          <w:noProof/>
        </w:rPr>
        <w:t>,</w:t>
      </w:r>
      <w:r>
        <w:rPr>
          <w:noProof/>
          <w:lang w:val="cs-CZ"/>
        </w:rPr>
        <w:t xml:space="preserve"> </w:t>
      </w:r>
      <w:r w:rsidRPr="00273106">
        <w:rPr>
          <w:noProof/>
        </w:rPr>
        <w:t>440b</w:t>
      </w:r>
      <w:r>
        <w:fldChar w:fldCharType="begin"/>
      </w:r>
      <w:r>
        <w:instrText xml:space="preserve"> XE "</w:instrText>
      </w:r>
      <w:r>
        <w:rPr>
          <w:lang w:val="cs-CZ"/>
        </w:rPr>
        <w:instrText>Bonaventura:</w:instrText>
      </w:r>
      <w:r w:rsidRPr="0035406E">
        <w:rPr>
          <w:i/>
        </w:rPr>
        <w:instrText>In II Sent.</w:instrText>
      </w:r>
      <w:r>
        <w:instrText xml:space="preserve"> </w:instrText>
      </w:r>
      <w:r>
        <w:rPr>
          <w:lang w:val="cs-CZ"/>
        </w:rPr>
        <w:instrText>440b</w:instrText>
      </w:r>
      <w:r>
        <w:instrText xml:space="preserve">" </w:instrText>
      </w:r>
      <w:r>
        <w:fldChar w:fldCharType="end"/>
      </w:r>
      <w:r>
        <w:rPr>
          <w:noProof/>
          <w:lang w:val="cs-CZ"/>
        </w:rPr>
        <w:t>)</w:t>
      </w:r>
    </w:p>
  </w:footnote>
  <w:footnote w:id="33">
    <w:p w:rsidR="00971E82" w:rsidRPr="00135EE5" w:rsidRDefault="00971E82" w:rsidP="08163013">
      <w:pPr>
        <w:pStyle w:val="Textpoznpodarou"/>
        <w:rPr>
          <w:noProof/>
          <w:lang w:val="cs-CZ"/>
        </w:rPr>
      </w:pPr>
      <w:r>
        <w:rPr>
          <w:rStyle w:val="Znakapoznpodarou"/>
        </w:rPr>
        <w:footnoteRef/>
      </w:r>
      <w:r>
        <w:t xml:space="preserve"> </w:t>
      </w:r>
      <w:r w:rsidRPr="00273106">
        <w:rPr>
          <w:noProof/>
        </w:rPr>
        <w:t xml:space="preserve">„Hoc est medium </w:t>
      </w:r>
      <w:r w:rsidRPr="00273106">
        <w:rPr>
          <w:i/>
          <w:noProof/>
        </w:rPr>
        <w:t>metaphysicum</w:t>
      </w:r>
      <w:r w:rsidRPr="00273106">
        <w:rPr>
          <w:noProof/>
        </w:rPr>
        <w:t xml:space="preserve"> reducens, et haec est tota nostra metaphysica: de emanatione, de exemplaritate, de consummatione, scilicet illuminari per radios spirituales et reduci ad summum. Et sic eris verus metaphysicus.“ (</w:t>
      </w:r>
      <w:r w:rsidRPr="00273106">
        <w:rPr>
          <w:i/>
          <w:noProof/>
        </w:rPr>
        <w:t>Collationes in Hexaëmeron</w:t>
      </w:r>
      <w:r>
        <w:rPr>
          <w:i/>
          <w:noProof/>
          <w:lang w:val="cs-CZ"/>
        </w:rPr>
        <w:t xml:space="preserve"> I</w:t>
      </w:r>
      <w:r>
        <w:rPr>
          <w:noProof/>
        </w:rPr>
        <w:t xml:space="preserve">; </w:t>
      </w:r>
      <w:r w:rsidRPr="007405DA">
        <w:rPr>
          <w:i/>
          <w:noProof/>
        </w:rPr>
        <w:t>Opera omnia</w:t>
      </w:r>
      <w:r>
        <w:rPr>
          <w:noProof/>
        </w:rPr>
        <w:t xml:space="preserve"> </w:t>
      </w:r>
      <w:r>
        <w:rPr>
          <w:noProof/>
          <w:lang w:val="cs-CZ"/>
        </w:rPr>
        <w:t>5</w:t>
      </w:r>
      <w:r>
        <w:rPr>
          <w:noProof/>
        </w:rPr>
        <w:t xml:space="preserve">, </w:t>
      </w:r>
      <w:r w:rsidRPr="00273106">
        <w:rPr>
          <w:noProof/>
        </w:rPr>
        <w:t>332b</w:t>
      </w:r>
      <w:r>
        <w:rPr>
          <w:noProof/>
        </w:rPr>
        <w:fldChar w:fldCharType="begin"/>
      </w:r>
      <w:r>
        <w:instrText xml:space="preserve"> XE "</w:instrText>
      </w:r>
      <w:r>
        <w:rPr>
          <w:lang w:val="cs-CZ"/>
        </w:rPr>
        <w:instrText>Bonaventura:</w:instrText>
      </w:r>
      <w:r w:rsidRPr="00214FE8">
        <w:rPr>
          <w:i/>
          <w:noProof/>
        </w:rPr>
        <w:instrText>Collationes in Hexaëmeron</w:instrText>
      </w:r>
      <w:r>
        <w:rPr>
          <w:lang w:val="cs-CZ"/>
        </w:rPr>
        <w:instrText xml:space="preserve"> </w:instrText>
      </w:r>
      <w:r w:rsidRPr="00214FE8">
        <w:rPr>
          <w:noProof/>
        </w:rPr>
        <w:instrText>332b</w:instrText>
      </w:r>
      <w:r>
        <w:instrText xml:space="preserve">" </w:instrText>
      </w:r>
      <w:r>
        <w:rPr>
          <w:noProof/>
        </w:rPr>
        <w:fldChar w:fldCharType="end"/>
      </w:r>
      <w:r>
        <w:rPr>
          <w:noProof/>
        </w:rPr>
        <w:t>)</w:t>
      </w:r>
    </w:p>
  </w:footnote>
  <w:footnote w:id="34">
    <w:p w:rsidR="00971E82" w:rsidRPr="009165FD" w:rsidRDefault="00971E82" w:rsidP="08163013">
      <w:pPr>
        <w:pStyle w:val="Textpoznpodarou"/>
        <w:rPr>
          <w:lang w:val="cs-CZ"/>
        </w:rPr>
      </w:pPr>
      <w:r>
        <w:rPr>
          <w:rStyle w:val="Znakapoznpodarou"/>
        </w:rPr>
        <w:footnoteRef/>
      </w:r>
      <w:r>
        <w:t xml:space="preserve"> </w:t>
      </w:r>
      <w:r w:rsidRPr="00273106">
        <w:rPr>
          <w:noProof/>
        </w:rPr>
        <w:t xml:space="preserve">„Potest iterum connotare bonitatem in </w:t>
      </w:r>
      <w:r w:rsidRPr="00273106">
        <w:rPr>
          <w:i/>
          <w:noProof/>
        </w:rPr>
        <w:t>potentia</w:t>
      </w:r>
      <w:r w:rsidRPr="00273106">
        <w:rPr>
          <w:noProof/>
        </w:rPr>
        <w:t xml:space="preserve">, sicut exemplar connotat rei entitatem, non quia sit, sed quia Deus potest eam facere; et sic nihil est in Deo, nisi quod cognoscit notitia approbationis, quia sic cognoscit omne bonum, quod </w:t>
      </w:r>
      <w:r w:rsidRPr="00273106">
        <w:rPr>
          <w:i/>
          <w:noProof/>
        </w:rPr>
        <w:t>est</w:t>
      </w:r>
      <w:r w:rsidRPr="00273106">
        <w:rPr>
          <w:noProof/>
        </w:rPr>
        <w:t xml:space="preserve"> vel quod </w:t>
      </w:r>
      <w:r w:rsidRPr="00273106">
        <w:rPr>
          <w:i/>
          <w:noProof/>
        </w:rPr>
        <w:t>potest facere</w:t>
      </w:r>
      <w:r w:rsidRPr="00273106">
        <w:rPr>
          <w:noProof/>
        </w:rPr>
        <w:t>, et illius habet exemplar; et ideo illud tantum est in Deo.“ (</w:t>
      </w:r>
      <w:r w:rsidRPr="00273106">
        <w:rPr>
          <w:i/>
          <w:noProof/>
        </w:rPr>
        <w:t>In I Sent</w:t>
      </w:r>
      <w:r w:rsidRPr="00273106">
        <w:rPr>
          <w:noProof/>
        </w:rPr>
        <w:t>. d. 36, dub</w:t>
      </w:r>
      <w:r>
        <w:rPr>
          <w:noProof/>
        </w:rPr>
        <w:t xml:space="preserve">. 3, resp.; </w:t>
      </w:r>
      <w:r w:rsidRPr="007405DA">
        <w:rPr>
          <w:i/>
          <w:noProof/>
        </w:rPr>
        <w:t>Opera omnia</w:t>
      </w:r>
      <w:r>
        <w:rPr>
          <w:noProof/>
        </w:rPr>
        <w:t xml:space="preserve"> 1.2, </w:t>
      </w:r>
      <w:r w:rsidRPr="00273106">
        <w:rPr>
          <w:noProof/>
        </w:rPr>
        <w:t>631b</w:t>
      </w:r>
      <w:r>
        <w:fldChar w:fldCharType="begin"/>
      </w:r>
      <w:r>
        <w:instrText xml:space="preserve"> XE "</w:instrText>
      </w:r>
      <w:r>
        <w:rPr>
          <w:lang w:val="cs-CZ"/>
        </w:rPr>
        <w:instrText>Bonaventura:</w:instrText>
      </w:r>
      <w:r>
        <w:rPr>
          <w:i/>
        </w:rPr>
        <w:instrText>In I</w:instrText>
      </w:r>
      <w:r w:rsidRPr="0035406E">
        <w:rPr>
          <w:i/>
        </w:rPr>
        <w:instrText xml:space="preserve"> Sent.</w:instrText>
      </w:r>
      <w:r>
        <w:instrText xml:space="preserve"> </w:instrText>
      </w:r>
      <w:r>
        <w:rPr>
          <w:lang w:val="cs-CZ"/>
        </w:rPr>
        <w:instrText>631b</w:instrText>
      </w:r>
      <w:r>
        <w:instrText xml:space="preserve">" </w:instrText>
      </w:r>
      <w:r>
        <w:fldChar w:fldCharType="end"/>
      </w:r>
      <w:r>
        <w:rPr>
          <w:noProof/>
        </w:rPr>
        <w:t>)</w:t>
      </w:r>
    </w:p>
  </w:footnote>
  <w:footnote w:id="35">
    <w:p w:rsidR="00971E82" w:rsidRPr="00043512" w:rsidRDefault="00971E82" w:rsidP="00FE1EED">
      <w:pPr>
        <w:pStyle w:val="Textpoznpodarou"/>
      </w:pPr>
      <w:r>
        <w:rPr>
          <w:rStyle w:val="Znakapoznpodarou"/>
        </w:rPr>
        <w:footnoteRef/>
      </w:r>
      <w:r>
        <w:t xml:space="preserve"> „</w:t>
      </w:r>
      <w:r w:rsidRPr="00043512">
        <w:t>Et propter hoc materia artificialis de artificialibus predicatur, quia ipsa es</w:t>
      </w:r>
      <w:r>
        <w:t>t tota veritas rei artificialis</w:t>
      </w:r>
      <w:r w:rsidRPr="00043512">
        <w:t>; forma enim artificialis non est nova natura vel essentia, set est dispositio solum, ut extentio, circulatio, vel aliquid hujusmodi, unde convenie</w:t>
      </w:r>
      <w:r>
        <w:t>nter dicitur «anulus est aurum»</w:t>
      </w:r>
      <w:r w:rsidRPr="00043512">
        <w:t>.</w:t>
      </w:r>
      <w:r>
        <w:t>“ (</w:t>
      </w:r>
      <w:r>
        <w:rPr>
          <w:i/>
        </w:rPr>
        <w:t>Quaestiones</w:t>
      </w:r>
      <w:r w:rsidRPr="00273106">
        <w:rPr>
          <w:i/>
        </w:rPr>
        <w:t xml:space="preserve"> altere supra libros prime philosophie Aristotelis</w:t>
      </w:r>
      <w:r w:rsidRPr="00C75938">
        <w:rPr>
          <w:lang w:val="cs-CZ"/>
        </w:rPr>
        <w:t>,</w:t>
      </w:r>
      <w:r>
        <w:rPr>
          <w:lang w:val="cs-CZ"/>
        </w:rPr>
        <w:t xml:space="preserve"> </w:t>
      </w:r>
      <w:r w:rsidRPr="00906CF2">
        <w:rPr>
          <w:rFonts w:eastAsia="Times"/>
        </w:rPr>
        <w:t>ed. Steele</w:t>
      </w:r>
      <w:r w:rsidRPr="00906CF2">
        <w:t xml:space="preserve">, </w:t>
      </w:r>
      <w:r>
        <w:rPr>
          <w:lang w:val="cs-CZ"/>
        </w:rPr>
        <w:t xml:space="preserve">OHI 11, </w:t>
      </w:r>
      <w:r>
        <w:t>75.16‒21</w:t>
      </w:r>
      <w:r>
        <w:fldChar w:fldCharType="begin"/>
      </w:r>
      <w:r>
        <w:instrText xml:space="preserve"> XE "</w:instrText>
      </w:r>
      <w:r>
        <w:rPr>
          <w:lang w:val="cs-CZ"/>
        </w:rPr>
        <w:instrText>Bacon:</w:instrText>
      </w:r>
      <w:r>
        <w:rPr>
          <w:i/>
        </w:rPr>
        <w:instrText>Quaestiones</w:instrText>
      </w:r>
      <w:r w:rsidRPr="00665928">
        <w:rPr>
          <w:i/>
        </w:rPr>
        <w:instrText xml:space="preserve"> altere supra libros prime philosophie Aristotelis</w:instrText>
      </w:r>
      <w:r>
        <w:rPr>
          <w:lang w:val="cs-CZ"/>
        </w:rPr>
        <w:instrText xml:space="preserve"> </w:instrText>
      </w:r>
      <w:r w:rsidRPr="00665928">
        <w:instrText>75.16‒21</w:instrText>
      </w:r>
      <w:r>
        <w:instrText xml:space="preserve">" </w:instrText>
      </w:r>
      <w:r>
        <w:fldChar w:fldCharType="end"/>
      </w:r>
      <w:r>
        <w:t>)</w:t>
      </w:r>
    </w:p>
  </w:footnote>
  <w:footnote w:id="36">
    <w:p w:rsidR="00971E82" w:rsidRPr="080E31E7" w:rsidRDefault="00971E82" w:rsidP="080E31E7">
      <w:pPr>
        <w:pStyle w:val="Textpoznpodarou"/>
      </w:pPr>
      <w:r w:rsidRPr="080E31E7">
        <w:rPr>
          <w:rStyle w:val="Znakapoznpodarou"/>
        </w:rPr>
        <w:footnoteRef/>
      </w:r>
      <w:r w:rsidRPr="080E31E7">
        <w:t xml:space="preserve"> </w:t>
      </w:r>
      <w:r w:rsidRPr="080E31E7">
        <w:rPr>
          <w:rStyle w:val="CitaceChar"/>
          <w:color w:val="auto"/>
          <w:sz w:val="20"/>
        </w:rPr>
        <w:t>„Quartus modus universalium esse non potuit, scilicet quod esse(t) quoddam universale quod esset in pluribus actu et non (in potentia), quia in eodem potentia precedit actum, set posito posteriori ponitur prius, et ita posito actu ponitur potentia.“ (</w:t>
      </w:r>
      <w:r w:rsidRPr="080E31E7">
        <w:rPr>
          <w:i/>
        </w:rPr>
        <w:t>Quaestiones altere supra libros prime philosophie Aristotelis</w:t>
      </w:r>
      <w:r w:rsidRPr="080E31E7">
        <w:rPr>
          <w:rStyle w:val="CitaceChar"/>
          <w:color w:val="auto"/>
          <w:sz w:val="20"/>
        </w:rPr>
        <w:t>; ed. Steele, OHI 11, 154.13‒17</w:t>
      </w:r>
      <w:r w:rsidRPr="080E31E7">
        <w:fldChar w:fldCharType="begin"/>
      </w:r>
      <w:r w:rsidRPr="080E31E7">
        <w:instrText xml:space="preserve"> XE "Bacon:Quaestiones altere supra libros prime philosophie Aristotelis 154.13‒17" </w:instrText>
      </w:r>
      <w:r w:rsidRPr="080E31E7">
        <w:fldChar w:fldCharType="end"/>
      </w:r>
      <w:r w:rsidRPr="080E31E7">
        <w:rPr>
          <w:rStyle w:val="CitaceChar"/>
          <w:color w:val="auto"/>
          <w:sz w:val="20"/>
        </w:rPr>
        <w:t>)</w:t>
      </w:r>
    </w:p>
  </w:footnote>
  <w:footnote w:id="37">
    <w:p w:rsidR="00971E82" w:rsidRPr="00F51CF2" w:rsidRDefault="00971E82" w:rsidP="001B24C7">
      <w:pPr>
        <w:pStyle w:val="Textpoznpodarou"/>
      </w:pPr>
      <w:r w:rsidRPr="00F51CF2">
        <w:rPr>
          <w:rStyle w:val="Znakapoznpodarou"/>
        </w:rPr>
        <w:footnoteRef/>
      </w:r>
      <w:r w:rsidRPr="00F51CF2">
        <w:rPr>
          <w:rStyle w:val="Znakapoznpodarou"/>
        </w:rPr>
        <w:t xml:space="preserve"> </w:t>
      </w:r>
      <w:r>
        <w:rPr>
          <w:lang w:val="cs-CZ"/>
        </w:rPr>
        <w:t xml:space="preserve">Výklad zásadně nesouhlasí </w:t>
      </w:r>
      <w:r w:rsidRPr="00F51CF2">
        <w:t xml:space="preserve">s názorem, že Baconova kritika míří představitele tzv. „Latin Averroism, which began about 1262 under leadership of Siger of Brabant and Boethius of </w:t>
      </w:r>
      <w:proofErr w:type="gramStart"/>
      <w:r w:rsidRPr="00F51CF2">
        <w:t>Dacia</w:t>
      </w:r>
      <w:proofErr w:type="gramEnd"/>
      <w:r w:rsidRPr="00F51CF2">
        <w:t xml:space="preserve">“ (Hackett 1997b, 141). Autor </w:t>
      </w:r>
      <w:r>
        <w:rPr>
          <w:lang w:val="cs-CZ"/>
        </w:rPr>
        <w:t xml:space="preserve">ale </w:t>
      </w:r>
      <w:r w:rsidRPr="00F51CF2">
        <w:t>v citované části tvrdí, že Baconův útok na Rufuse ve skutečnosti mířil i na Bonaventuru, což potvrzuje i tato studie.</w:t>
      </w:r>
    </w:p>
  </w:footnote>
  <w:footnote w:id="38">
    <w:p w:rsidR="00971E82" w:rsidRPr="00F51CF2" w:rsidRDefault="00971E82" w:rsidP="00CA6257">
      <w:pPr>
        <w:pStyle w:val="Textpoznpodarou"/>
      </w:pPr>
      <w:r w:rsidRPr="00F51CF2">
        <w:rPr>
          <w:rStyle w:val="Znakapoznpodarou"/>
        </w:rPr>
        <w:footnoteRef/>
      </w:r>
      <w:r>
        <w:t xml:space="preserve"> „</w:t>
      </w:r>
      <w:r>
        <w:rPr>
          <w:lang w:val="cs-CZ"/>
        </w:rPr>
        <w:t>V</w:t>
      </w:r>
      <w:r w:rsidRPr="00F51CF2">
        <w:t>itatis scandalis, ut tenemur, Regulae, quam vovimus, sine cuius observatione salvari non possumus et veritatem perspicaciter videamus et impleamus professionem et totis viribus puritatem custodiamus...“</w:t>
      </w:r>
      <w:r>
        <w:t xml:space="preserve"> (</w:t>
      </w:r>
      <w:r w:rsidRPr="00CB2F56">
        <w:rPr>
          <w:i/>
        </w:rPr>
        <w:t>Epist</w:t>
      </w:r>
      <w:r>
        <w:t xml:space="preserve">. 1.5; </w:t>
      </w:r>
      <w:r w:rsidRPr="007405DA">
        <w:rPr>
          <w:i/>
        </w:rPr>
        <w:t>Opera omnia</w:t>
      </w:r>
      <w:r>
        <w:t xml:space="preserve"> 8, </w:t>
      </w:r>
      <w:r w:rsidRPr="00F51CF2">
        <w:t>469b</w:t>
      </w:r>
      <w:r>
        <w:fldChar w:fldCharType="begin"/>
      </w:r>
      <w:r>
        <w:instrText xml:space="preserve"> XE "</w:instrText>
      </w:r>
      <w:r>
        <w:rPr>
          <w:lang w:val="cs-CZ"/>
        </w:rPr>
        <w:instrText>Bonaventura:</w:instrText>
      </w:r>
      <w:r w:rsidRPr="00DC33BB">
        <w:rPr>
          <w:i/>
        </w:rPr>
        <w:instrText>Epist</w:instrText>
      </w:r>
      <w:r>
        <w:instrText>.</w:instrText>
      </w:r>
      <w:r w:rsidRPr="004E3AA8">
        <w:rPr>
          <w:i/>
          <w:lang w:val="cs-CZ"/>
        </w:rPr>
        <w:instrText>1</w:instrText>
      </w:r>
      <w:r>
        <w:rPr>
          <w:lang w:val="cs-CZ"/>
        </w:rPr>
        <w:instrText xml:space="preserve"> </w:instrText>
      </w:r>
      <w:r w:rsidRPr="00DC33BB">
        <w:instrText>469b</w:instrText>
      </w:r>
      <w:r>
        <w:instrText xml:space="preserve">" </w:instrText>
      </w:r>
      <w:r>
        <w:fldChar w:fldCharType="end"/>
      </w:r>
      <w:r w:rsidRPr="00F51CF2">
        <w:t>)</w:t>
      </w:r>
    </w:p>
  </w:footnote>
  <w:footnote w:id="39">
    <w:p w:rsidR="00971E82" w:rsidRPr="006D0D30" w:rsidRDefault="00971E82" w:rsidP="08163013">
      <w:pPr>
        <w:pStyle w:val="Textpoznpodarou"/>
        <w:rPr>
          <w:lang w:val="cs-CZ"/>
        </w:rPr>
      </w:pPr>
      <w:r>
        <w:rPr>
          <w:rStyle w:val="Znakapoznpodarou"/>
        </w:rPr>
        <w:footnoteRef/>
      </w:r>
      <w:r>
        <w:t xml:space="preserve"> </w:t>
      </w:r>
      <w:r>
        <w:rPr>
          <w:lang w:val="cs-CZ"/>
        </w:rPr>
        <w:t xml:space="preserve"> „</w:t>
      </w:r>
      <w:r w:rsidRPr="00AD374D">
        <w:rPr>
          <w:lang w:val="cs-CZ"/>
        </w:rPr>
        <w:t xml:space="preserve">In </w:t>
      </w:r>
      <w:r w:rsidRPr="00AD374D">
        <w:rPr>
          <w:i/>
          <w:lang w:val="cs-CZ"/>
        </w:rPr>
        <w:t>Quasi lignum vitae</w:t>
      </w:r>
      <w:r w:rsidRPr="00AD374D">
        <w:rPr>
          <w:lang w:val="cs-CZ"/>
        </w:rPr>
        <w:t xml:space="preserve">, issued 14 April 1255, Alexander spelled out the papal conception of the magisterium, a conception deeply antithetical to that of the masters. Alexander annulled the legislation against the friars and, de </w:t>
      </w:r>
      <w:r w:rsidRPr="00AD374D">
        <w:rPr>
          <w:i/>
          <w:lang w:val="cs-CZ"/>
        </w:rPr>
        <w:t>potestatis plenitudine</w:t>
      </w:r>
      <w:r w:rsidRPr="00AD374D">
        <w:rPr>
          <w:lang w:val="cs-CZ"/>
        </w:rPr>
        <w:t xml:space="preserve">, ordered the masters to reinstate the Dominican professors into their </w:t>
      </w:r>
      <w:r w:rsidRPr="00AD374D">
        <w:rPr>
          <w:i/>
          <w:lang w:val="cs-CZ"/>
        </w:rPr>
        <w:t>consortium</w:t>
      </w:r>
      <w:r w:rsidRPr="00AD374D">
        <w:rPr>
          <w:lang w:val="cs-CZ"/>
        </w:rPr>
        <w:t xml:space="preserve">. Next, he ordered the chancellor to offer the magisterial title as an enticement to naturally </w:t>
      </w:r>
      <w:r>
        <w:rPr>
          <w:lang w:val="cs-CZ"/>
        </w:rPr>
        <w:t xml:space="preserve">gifted students. </w:t>
      </w:r>
      <w:r w:rsidRPr="00AD374D">
        <w:rPr>
          <w:lang w:val="cs-CZ"/>
        </w:rPr>
        <w:t xml:space="preserve">The pope then restated the position that the chancellor should grant the license to men whom he finds worthy on the basis of the investigation prescribed in </w:t>
      </w:r>
      <w:r w:rsidRPr="00AD374D">
        <w:rPr>
          <w:i/>
          <w:lang w:val="cs-CZ"/>
        </w:rPr>
        <w:t>Parens scientiarum</w:t>
      </w:r>
      <w:r>
        <w:rPr>
          <w:lang w:val="cs-CZ"/>
        </w:rPr>
        <w:t xml:space="preserve">. </w:t>
      </w:r>
      <w:r w:rsidRPr="00AD374D">
        <w:rPr>
          <w:lang w:val="cs-CZ"/>
        </w:rPr>
        <w:t>Thus, in two consecutive sentences, Alexander used the terms "</w:t>
      </w:r>
      <w:r w:rsidRPr="005E6D48">
        <w:rPr>
          <w:lang w:val="cs-CZ"/>
        </w:rPr>
        <w:t>magisterium''</w:t>
      </w:r>
      <w:r w:rsidRPr="00AD374D">
        <w:rPr>
          <w:lang w:val="cs-CZ"/>
        </w:rPr>
        <w:t xml:space="preserve"> and "</w:t>
      </w:r>
      <w:r w:rsidRPr="005E6D48">
        <w:rPr>
          <w:lang w:val="cs-CZ"/>
        </w:rPr>
        <w:t>licentia</w:t>
      </w:r>
      <w:r w:rsidRPr="00AD374D">
        <w:rPr>
          <w:lang w:val="cs-CZ"/>
        </w:rPr>
        <w:t>" in analogous positions, as if they were synonymous. It is clear that Alexander knew that he was advancing beyond the earlier distinction between the license and the magisterium.</w:t>
      </w:r>
      <w:r>
        <w:rPr>
          <w:lang w:val="cs-CZ"/>
        </w:rPr>
        <w:t>“ (Bernstein 1978, 302)</w:t>
      </w:r>
    </w:p>
  </w:footnote>
  <w:footnote w:id="40">
    <w:p w:rsidR="00971E82" w:rsidRPr="007279F1" w:rsidRDefault="00971E82" w:rsidP="08163013">
      <w:pPr>
        <w:pStyle w:val="Textpoznpodarou"/>
      </w:pPr>
      <w:r w:rsidRPr="007279F1">
        <w:rPr>
          <w:rStyle w:val="Znakapoznpodarou"/>
        </w:rPr>
        <w:footnoteRef/>
      </w:r>
      <w:r>
        <w:t xml:space="preserve"> </w:t>
      </w:r>
      <w:r w:rsidRPr="007279F1">
        <w:t>Barcelonský kodex (Archivo general de la Corona de Arag</w:t>
      </w:r>
      <w:r>
        <w:rPr>
          <w:lang w:val="cs-CZ"/>
        </w:rPr>
        <w:t>ó</w:t>
      </w:r>
      <w:r w:rsidRPr="007279F1">
        <w:t xml:space="preserve">n, </w:t>
      </w:r>
      <w:r w:rsidRPr="007279F1">
        <w:rPr>
          <w:i/>
        </w:rPr>
        <w:t>Cod. Ripoll 109</w:t>
      </w:r>
      <w:r w:rsidRPr="007279F1">
        <w:t xml:space="preserve">) obsahuje kompendium klíčových textů pařížské artistické fakulty komentujících </w:t>
      </w:r>
      <w:r w:rsidRPr="00543656">
        <w:rPr>
          <w:i/>
        </w:rPr>
        <w:t>Corpus Aristotelicum</w:t>
      </w:r>
      <w:r>
        <w:t xml:space="preserve"> z let 1230‒40</w:t>
      </w:r>
      <w:r>
        <w:rPr>
          <w:lang w:val="cs-CZ"/>
        </w:rPr>
        <w:t xml:space="preserve">. Pro </w:t>
      </w:r>
      <w:r w:rsidRPr="007279F1">
        <w:rPr>
          <w:szCs w:val="15"/>
        </w:rPr>
        <w:t>Guilelm</w:t>
      </w:r>
      <w:r>
        <w:rPr>
          <w:szCs w:val="15"/>
        </w:rPr>
        <w:t>ov</w:t>
      </w:r>
      <w:r>
        <w:rPr>
          <w:szCs w:val="15"/>
          <w:lang w:val="cs-CZ"/>
        </w:rPr>
        <w:t>y</w:t>
      </w:r>
      <w:r w:rsidRPr="007279F1">
        <w:rPr>
          <w:szCs w:val="15"/>
        </w:rPr>
        <w:t xml:space="preserve"> </w:t>
      </w:r>
      <w:r>
        <w:rPr>
          <w:szCs w:val="15"/>
        </w:rPr>
        <w:t>výklad</w:t>
      </w:r>
      <w:r>
        <w:rPr>
          <w:szCs w:val="15"/>
          <w:lang w:val="cs-CZ"/>
        </w:rPr>
        <w:t xml:space="preserve">y </w:t>
      </w:r>
      <w:r w:rsidRPr="00301A8E">
        <w:rPr>
          <w:i/>
          <w:szCs w:val="15"/>
        </w:rPr>
        <w:t>Prvních</w:t>
      </w:r>
      <w:r w:rsidRPr="007279F1">
        <w:rPr>
          <w:szCs w:val="15"/>
        </w:rPr>
        <w:t xml:space="preserve"> a </w:t>
      </w:r>
      <w:r w:rsidRPr="00301A8E">
        <w:rPr>
          <w:i/>
          <w:szCs w:val="15"/>
        </w:rPr>
        <w:t>Druhých Analytik</w:t>
      </w:r>
      <w:r>
        <w:rPr>
          <w:szCs w:val="15"/>
          <w:lang w:val="cs-CZ"/>
        </w:rPr>
        <w:t xml:space="preserve"> a </w:t>
      </w:r>
      <w:r w:rsidRPr="00301A8E">
        <w:rPr>
          <w:i/>
          <w:szCs w:val="15"/>
          <w:lang w:val="cs-CZ"/>
        </w:rPr>
        <w:t>Organonu</w:t>
      </w:r>
      <w:r>
        <w:rPr>
          <w:szCs w:val="15"/>
          <w:lang w:val="cs-CZ"/>
        </w:rPr>
        <w:t xml:space="preserve"> mimo ms. Ripoll 109, viz Andrews 2008, 100‒103</w:t>
      </w:r>
      <w:r w:rsidRPr="007279F1">
        <w:rPr>
          <w:szCs w:val="15"/>
        </w:rPr>
        <w:t>.</w:t>
      </w:r>
      <w:r>
        <w:rPr>
          <w:szCs w:val="15"/>
          <w:lang w:val="cs-CZ"/>
        </w:rPr>
        <w:t xml:space="preserve"> </w:t>
      </w:r>
    </w:p>
  </w:footnote>
  <w:footnote w:id="41">
    <w:p w:rsidR="00971E82" w:rsidRPr="084E67E2" w:rsidRDefault="00971E82" w:rsidP="08163013">
      <w:pPr>
        <w:pStyle w:val="Textpoznpodarou"/>
        <w:rPr>
          <w:lang w:val="cs-CZ"/>
        </w:rPr>
      </w:pPr>
      <w:r>
        <w:rPr>
          <w:rStyle w:val="Znakapoznpodarou"/>
        </w:rPr>
        <w:footnoteRef/>
      </w:r>
      <w:r>
        <w:rPr>
          <w:lang w:val="cs-CZ"/>
        </w:rPr>
        <w:t xml:space="preserve"> Připomeňme v této souvislosti následující krok Bonavetury jako generála řádu učiněný v roce 1266 po generální kapitule: „</w:t>
      </w:r>
      <w:r>
        <w:rPr>
          <w:color w:val="000000"/>
          <w:lang w:val="en-US"/>
        </w:rPr>
        <w:t xml:space="preserve">After the general chapter of </w:t>
      </w:r>
      <w:proofErr w:type="gramStart"/>
      <w:r>
        <w:rPr>
          <w:color w:val="000000"/>
          <w:lang w:val="en-US"/>
        </w:rPr>
        <w:t>Paris</w:t>
      </w:r>
      <w:proofErr w:type="gramEnd"/>
      <w:r>
        <w:rPr>
          <w:color w:val="000000"/>
          <w:lang w:val="en-US"/>
        </w:rPr>
        <w:t xml:space="preserve">, at Pentecost of 1266, Bonaventure wrote a letter to each of the provincials. He bitterly complains that even those responsible in the order had lost their focus on the real goal: 'They spend themselves for worthless </w:t>
      </w:r>
      <w:proofErr w:type="gramStart"/>
      <w:r>
        <w:rPr>
          <w:color w:val="000000"/>
          <w:lang w:val="en-US"/>
        </w:rPr>
        <w:t>things, that is</w:t>
      </w:r>
      <w:proofErr w:type="gramEnd"/>
      <w:r>
        <w:rPr>
          <w:color w:val="000000"/>
          <w:lang w:val="en-US"/>
        </w:rPr>
        <w:t xml:space="preserve"> for earthly goods, and allow the holiness of the souls which are their most precious goods to perish.' Here Bonaventure refers to his experiences during his numerous journeys. He had observed that the Friars Minor liked to take on tasks which by right belonged to the parish clergy, whose hatred they thus aroused.” </w:t>
      </w:r>
      <w:r w:rsidRPr="003F26F8">
        <w:rPr>
          <w:color w:val="000000"/>
          <w:lang w:val="fr-FR"/>
        </w:rPr>
        <w:t>(Hammond 2013, 46)</w:t>
      </w:r>
    </w:p>
  </w:footnote>
  <w:footnote w:id="42">
    <w:p w:rsidR="00971E82" w:rsidRPr="001E2EE7" w:rsidRDefault="00971E82" w:rsidP="08163013">
      <w:pPr>
        <w:pStyle w:val="Textpoznpodarou"/>
        <w:rPr>
          <w:lang w:val="cs-CZ"/>
        </w:rPr>
      </w:pPr>
      <w:r>
        <w:rPr>
          <w:rStyle w:val="Znakapoznpodarou"/>
        </w:rPr>
        <w:footnoteRef/>
      </w:r>
      <w:r>
        <w:t xml:space="preserve"> </w:t>
      </w:r>
      <w:r w:rsidRPr="00273106">
        <w:rPr>
          <w:noProof/>
        </w:rPr>
        <w:t>„</w:t>
      </w:r>
      <w:r w:rsidRPr="00273106">
        <w:rPr>
          <w:rStyle w:val="CittHTML"/>
          <w:i w:val="0"/>
          <w:iCs w:val="0"/>
          <w:noProof/>
          <w:lang w:val="cs-CZ"/>
        </w:rPr>
        <w:t>Cum sit [anima] incorruptibilis, non indiget multiplicari, cum una numero conservari possit. − Et haec fuit positio Commentatoris super librum de Anima (...)</w:t>
      </w:r>
      <w:r w:rsidRPr="00273106">
        <w:rPr>
          <w:rStyle w:val="CittHTML"/>
          <w:noProof/>
          <w:lang w:val="cs-CZ"/>
        </w:rPr>
        <w:t xml:space="preserve"> </w:t>
      </w:r>
      <w:r w:rsidRPr="00273106">
        <w:rPr>
          <w:noProof/>
        </w:rPr>
        <w:t xml:space="preserve">Quantumcumque autem hanc opinionem coloret, pessima est et haeretica.  Est enim contra </w:t>
      </w:r>
      <w:r w:rsidRPr="00273106">
        <w:rPr>
          <w:i/>
          <w:iCs/>
          <w:noProof/>
        </w:rPr>
        <w:t>christianam religionem</w:t>
      </w:r>
      <w:r w:rsidRPr="00273106">
        <w:rPr>
          <w:noProof/>
        </w:rPr>
        <w:t xml:space="preserve">, dum aufert meritorum retributionem, quae non esset, si omnium anima una esset. − Et etiam contra </w:t>
      </w:r>
      <w:r w:rsidRPr="00273106">
        <w:rPr>
          <w:i/>
          <w:iCs/>
          <w:noProof/>
        </w:rPr>
        <w:t>rectam rationem</w:t>
      </w:r>
      <w:r w:rsidRPr="00273106">
        <w:rPr>
          <w:noProof/>
        </w:rPr>
        <w:t xml:space="preserve">.  Planum est enim, quod anima intellectiva, ut intellectiva est, est perfectio hominis, secundum quod </w:t>
      </w:r>
      <w:r w:rsidRPr="00273106">
        <w:rPr>
          <w:i/>
          <w:iCs/>
          <w:noProof/>
        </w:rPr>
        <w:t>homo</w:t>
      </w:r>
      <w:r w:rsidRPr="00273106">
        <w:rPr>
          <w:noProof/>
        </w:rPr>
        <w:t>.“ (</w:t>
      </w:r>
      <w:r w:rsidRPr="00273106">
        <w:rPr>
          <w:i/>
          <w:iCs/>
          <w:noProof/>
        </w:rPr>
        <w:t>In II. Sent.</w:t>
      </w:r>
      <w:r w:rsidRPr="00273106">
        <w:rPr>
          <w:noProof/>
        </w:rPr>
        <w:t xml:space="preserve">, d. 28, a. 1, q. 1, resp.; </w:t>
      </w:r>
      <w:r w:rsidRPr="00273106">
        <w:rPr>
          <w:i/>
          <w:iCs/>
          <w:noProof/>
        </w:rPr>
        <w:t>Opera omnia</w:t>
      </w:r>
      <w:r>
        <w:rPr>
          <w:noProof/>
        </w:rPr>
        <w:t xml:space="preserve"> </w:t>
      </w:r>
      <w:r>
        <w:rPr>
          <w:noProof/>
          <w:lang w:val="cs-CZ"/>
        </w:rPr>
        <w:t>2</w:t>
      </w:r>
      <w:r w:rsidRPr="00273106">
        <w:rPr>
          <w:noProof/>
        </w:rPr>
        <w:t>, 446</w:t>
      </w:r>
      <w:r>
        <w:rPr>
          <w:noProof/>
          <w:lang w:val="cs-CZ"/>
        </w:rPr>
        <w:t>b</w:t>
      </w:r>
      <w:r w:rsidRPr="00273106">
        <w:rPr>
          <w:noProof/>
        </w:rPr>
        <w:t>−447</w:t>
      </w:r>
      <w:r>
        <w:rPr>
          <w:noProof/>
          <w:lang w:val="cs-CZ"/>
        </w:rPr>
        <w:t>a</w:t>
      </w:r>
      <w:r>
        <w:rPr>
          <w:noProof/>
          <w:lang w:val="cs-CZ"/>
        </w:rPr>
        <w:fldChar w:fldCharType="begin"/>
      </w:r>
      <w:r>
        <w:instrText xml:space="preserve"> XE "</w:instrText>
      </w:r>
      <w:r>
        <w:rPr>
          <w:lang w:val="cs-CZ"/>
        </w:rPr>
        <w:instrText>Bonaventura:</w:instrText>
      </w:r>
      <w:r w:rsidRPr="00A76C41">
        <w:rPr>
          <w:i/>
          <w:iCs/>
          <w:noProof/>
        </w:rPr>
        <w:instrText>In II. Sent.</w:instrText>
      </w:r>
      <w:r w:rsidRPr="00A76C41">
        <w:rPr>
          <w:noProof/>
        </w:rPr>
        <w:instrText xml:space="preserve"> 446</w:instrText>
      </w:r>
      <w:r w:rsidRPr="00A76C41">
        <w:rPr>
          <w:noProof/>
          <w:lang w:val="cs-CZ"/>
        </w:rPr>
        <w:instrText>b</w:instrText>
      </w:r>
      <w:r w:rsidRPr="00A76C41">
        <w:rPr>
          <w:noProof/>
        </w:rPr>
        <w:instrText>−447</w:instrText>
      </w:r>
      <w:r w:rsidRPr="00A76C41">
        <w:rPr>
          <w:noProof/>
          <w:lang w:val="cs-CZ"/>
        </w:rPr>
        <w:instrText>a</w:instrText>
      </w:r>
      <w:r>
        <w:instrText xml:space="preserve">" </w:instrText>
      </w:r>
      <w:r>
        <w:rPr>
          <w:noProof/>
          <w:lang w:val="cs-CZ"/>
        </w:rPr>
        <w:fldChar w:fldCharType="end"/>
      </w:r>
      <w:r w:rsidRPr="00273106">
        <w:rPr>
          <w:noProof/>
        </w:rPr>
        <w:t>)</w:t>
      </w:r>
    </w:p>
  </w:footnote>
  <w:footnote w:id="43">
    <w:p w:rsidR="00971E82" w:rsidRPr="00584494" w:rsidRDefault="00971E82" w:rsidP="08163013">
      <w:pPr>
        <w:pStyle w:val="Textpoznpodarou"/>
        <w:rPr>
          <w:lang w:val="cs-CZ"/>
        </w:rPr>
      </w:pPr>
      <w:r>
        <w:rPr>
          <w:rStyle w:val="Znakapoznpodarou"/>
        </w:rPr>
        <w:footnoteRef/>
      </w:r>
      <w:r>
        <w:t xml:space="preserve"> </w:t>
      </w:r>
      <w:r w:rsidRPr="00273106">
        <w:rPr>
          <w:noProof/>
        </w:rPr>
        <w:t>„</w:t>
      </w:r>
      <w:r>
        <w:rPr>
          <w:noProof/>
          <w:lang w:val="cs-CZ"/>
        </w:rPr>
        <w:t xml:space="preserve">Anima rationalis, cum sit hoc aliquid et per se nata subsistere et agere et pati, movere et moveri, quod habet intra se </w:t>
      </w:r>
      <w:r w:rsidRPr="00FF72CE">
        <w:rPr>
          <w:i/>
          <w:noProof/>
          <w:lang w:val="cs-CZ"/>
        </w:rPr>
        <w:t>fundamentum</w:t>
      </w:r>
      <w:r>
        <w:rPr>
          <w:noProof/>
          <w:lang w:val="cs-CZ"/>
        </w:rPr>
        <w:t xml:space="preserve"> suae existentiae et </w:t>
      </w:r>
      <w:r w:rsidRPr="00FF72CE">
        <w:rPr>
          <w:i/>
          <w:noProof/>
          <w:lang w:val="cs-CZ"/>
        </w:rPr>
        <w:t>principium materiale</w:t>
      </w:r>
      <w:r>
        <w:rPr>
          <w:noProof/>
          <w:lang w:val="cs-CZ"/>
        </w:rPr>
        <w:t xml:space="preserve">, a quo habet </w:t>
      </w:r>
      <w:r w:rsidRPr="00FF72CE">
        <w:rPr>
          <w:i/>
          <w:noProof/>
          <w:lang w:val="cs-CZ"/>
        </w:rPr>
        <w:t>existere</w:t>
      </w:r>
      <w:r>
        <w:rPr>
          <w:noProof/>
          <w:lang w:val="cs-CZ"/>
        </w:rPr>
        <w:t xml:space="preserve">, et </w:t>
      </w:r>
      <w:r w:rsidRPr="00FF72CE">
        <w:rPr>
          <w:i/>
          <w:noProof/>
          <w:lang w:val="cs-CZ"/>
        </w:rPr>
        <w:t>formale</w:t>
      </w:r>
      <w:r>
        <w:rPr>
          <w:noProof/>
          <w:lang w:val="cs-CZ"/>
        </w:rPr>
        <w:t xml:space="preserve">, a quo habet </w:t>
      </w:r>
      <w:r w:rsidRPr="00FF72CE">
        <w:rPr>
          <w:i/>
          <w:noProof/>
          <w:lang w:val="cs-CZ"/>
        </w:rPr>
        <w:t>esse</w:t>
      </w:r>
      <w:r>
        <w:rPr>
          <w:noProof/>
          <w:lang w:val="cs-CZ"/>
        </w:rPr>
        <w:t xml:space="preserve">. De brutali autem non oportet illud dicere, cum ipsa fundetur in corpore. </w:t>
      </w:r>
      <w:r w:rsidRPr="00273106">
        <w:rPr>
          <w:noProof/>
        </w:rPr>
        <w:t>“ (</w:t>
      </w:r>
      <w:r w:rsidRPr="00273106">
        <w:rPr>
          <w:i/>
          <w:noProof/>
        </w:rPr>
        <w:t>In II Sent</w:t>
      </w:r>
      <w:r w:rsidRPr="00273106">
        <w:rPr>
          <w:noProof/>
        </w:rPr>
        <w:t xml:space="preserve">., d. 17, a. 1, q. 2, resp.; </w:t>
      </w:r>
      <w:r w:rsidRPr="007405DA">
        <w:rPr>
          <w:i/>
          <w:noProof/>
        </w:rPr>
        <w:t>Opera omnia</w:t>
      </w:r>
      <w:r>
        <w:rPr>
          <w:noProof/>
        </w:rPr>
        <w:t xml:space="preserve"> </w:t>
      </w:r>
      <w:r>
        <w:rPr>
          <w:noProof/>
          <w:lang w:val="cs-CZ"/>
        </w:rPr>
        <w:t>2</w:t>
      </w:r>
      <w:r w:rsidRPr="00273106">
        <w:rPr>
          <w:noProof/>
        </w:rPr>
        <w:t>, 414b</w:t>
      </w:r>
      <w:r>
        <w:rPr>
          <w:noProof/>
          <w:lang w:val="cs-CZ"/>
        </w:rPr>
        <w:t>‒415a</w:t>
      </w:r>
      <w:r>
        <w:rPr>
          <w:noProof/>
          <w:lang w:val="cs-CZ"/>
        </w:rPr>
        <w:fldChar w:fldCharType="begin"/>
      </w:r>
      <w:r>
        <w:instrText xml:space="preserve"> XE "</w:instrText>
      </w:r>
      <w:r>
        <w:rPr>
          <w:lang w:val="cs-CZ"/>
        </w:rPr>
        <w:instrText>Bonaventura:</w:instrText>
      </w:r>
      <w:r w:rsidRPr="00A76C41">
        <w:rPr>
          <w:i/>
          <w:iCs/>
          <w:noProof/>
        </w:rPr>
        <w:instrText>In II. Sent.</w:instrText>
      </w:r>
      <w:r>
        <w:rPr>
          <w:noProof/>
        </w:rPr>
        <w:instrText xml:space="preserve"> 4</w:instrText>
      </w:r>
      <w:r>
        <w:rPr>
          <w:noProof/>
          <w:lang w:val="cs-CZ"/>
        </w:rPr>
        <w:instrText>14</w:instrText>
      </w:r>
      <w:r w:rsidRPr="00A76C41">
        <w:rPr>
          <w:noProof/>
          <w:lang w:val="cs-CZ"/>
        </w:rPr>
        <w:instrText>b</w:instrText>
      </w:r>
      <w:r w:rsidRPr="00A76C41">
        <w:rPr>
          <w:noProof/>
        </w:rPr>
        <w:instrText>−4</w:instrText>
      </w:r>
      <w:r>
        <w:rPr>
          <w:noProof/>
          <w:lang w:val="cs-CZ"/>
        </w:rPr>
        <w:instrText>15</w:instrText>
      </w:r>
      <w:r w:rsidRPr="00A76C41">
        <w:rPr>
          <w:noProof/>
          <w:lang w:val="cs-CZ"/>
        </w:rPr>
        <w:instrText>a</w:instrText>
      </w:r>
      <w:r>
        <w:instrText xml:space="preserve">" </w:instrText>
      </w:r>
      <w:r>
        <w:rPr>
          <w:noProof/>
          <w:lang w:val="cs-CZ"/>
        </w:rPr>
        <w:fldChar w:fldCharType="end"/>
      </w:r>
      <w:r w:rsidRPr="00273106">
        <w:rPr>
          <w:noProof/>
        </w:rPr>
        <w:t>)</w:t>
      </w:r>
    </w:p>
  </w:footnote>
  <w:footnote w:id="44">
    <w:p w:rsidR="00971E82" w:rsidRPr="005F4FA1" w:rsidRDefault="00971E82" w:rsidP="08163013">
      <w:pPr>
        <w:pStyle w:val="Textpoznpodarou"/>
        <w:rPr>
          <w:lang w:val="cs-CZ"/>
        </w:rPr>
      </w:pPr>
      <w:r>
        <w:rPr>
          <w:rStyle w:val="Znakapoznpodarou"/>
        </w:rPr>
        <w:footnoteRef/>
      </w:r>
      <w:r>
        <w:t xml:space="preserve"> </w:t>
      </w:r>
      <w:r w:rsidRPr="00273106">
        <w:rPr>
          <w:noProof/>
        </w:rPr>
        <w:t xml:space="preserve">„Cum igitur principium, a quo est </w:t>
      </w:r>
      <w:r w:rsidRPr="00273106">
        <w:rPr>
          <w:i/>
          <w:noProof/>
        </w:rPr>
        <w:t>fixa existentia</w:t>
      </w:r>
      <w:r w:rsidRPr="00273106">
        <w:rPr>
          <w:noProof/>
        </w:rPr>
        <w:t xml:space="preserve"> creaturae in se, sit principium materiale; concedendum est, animam humanam materiam habere. Illa autem materia sublevata est supra </w:t>
      </w:r>
      <w:r w:rsidRPr="00273106">
        <w:rPr>
          <w:i/>
          <w:noProof/>
        </w:rPr>
        <w:t>esse</w:t>
      </w:r>
      <w:r w:rsidRPr="00273106">
        <w:rPr>
          <w:noProof/>
        </w:rPr>
        <w:t xml:space="preserve"> extensionis, et supra </w:t>
      </w:r>
      <w:r w:rsidRPr="00273106">
        <w:rPr>
          <w:i/>
          <w:noProof/>
        </w:rPr>
        <w:t>esse</w:t>
      </w:r>
      <w:r w:rsidRPr="00273106">
        <w:rPr>
          <w:noProof/>
        </w:rPr>
        <w:t xml:space="preserve"> privationis et corruptionis, et ideo dicitur materia spiritualis.“ (</w:t>
      </w:r>
      <w:r w:rsidRPr="00273106">
        <w:rPr>
          <w:i/>
          <w:noProof/>
        </w:rPr>
        <w:t>In II Sent</w:t>
      </w:r>
      <w:r w:rsidRPr="00273106">
        <w:rPr>
          <w:noProof/>
        </w:rPr>
        <w:t xml:space="preserve">., d. 17, a. 1, q. 2, resp.; </w:t>
      </w:r>
      <w:r w:rsidRPr="007405DA">
        <w:rPr>
          <w:i/>
          <w:noProof/>
        </w:rPr>
        <w:t>Opera omnia</w:t>
      </w:r>
      <w:r>
        <w:rPr>
          <w:noProof/>
        </w:rPr>
        <w:t xml:space="preserve"> </w:t>
      </w:r>
      <w:r>
        <w:rPr>
          <w:noProof/>
          <w:lang w:val="cs-CZ"/>
        </w:rPr>
        <w:t>2</w:t>
      </w:r>
      <w:r w:rsidRPr="00273106">
        <w:rPr>
          <w:noProof/>
        </w:rPr>
        <w:t>,</w:t>
      </w:r>
      <w:r>
        <w:rPr>
          <w:noProof/>
          <w:lang w:val="cs-CZ"/>
        </w:rPr>
        <w:t xml:space="preserve"> </w:t>
      </w:r>
      <w:r w:rsidRPr="00273106">
        <w:rPr>
          <w:noProof/>
        </w:rPr>
        <w:t>415a</w:t>
      </w:r>
      <w:r>
        <w:rPr>
          <w:noProof/>
          <w:lang w:val="cs-CZ"/>
        </w:rPr>
        <w:fldChar w:fldCharType="begin"/>
      </w:r>
      <w:r>
        <w:instrText xml:space="preserve"> XE "</w:instrText>
      </w:r>
      <w:r>
        <w:rPr>
          <w:lang w:val="cs-CZ"/>
        </w:rPr>
        <w:instrText>Bonaventura:</w:instrText>
      </w:r>
      <w:r w:rsidRPr="00A76C41">
        <w:rPr>
          <w:i/>
          <w:iCs/>
          <w:noProof/>
        </w:rPr>
        <w:instrText>In II. Sent.</w:instrText>
      </w:r>
      <w:r w:rsidRPr="00A76C41">
        <w:rPr>
          <w:noProof/>
        </w:rPr>
        <w:instrText xml:space="preserve"> 4</w:instrText>
      </w:r>
      <w:r>
        <w:rPr>
          <w:noProof/>
          <w:lang w:val="cs-CZ"/>
        </w:rPr>
        <w:instrText>15a</w:instrText>
      </w:r>
      <w:r>
        <w:instrText xml:space="preserve">" </w:instrText>
      </w:r>
      <w:r>
        <w:rPr>
          <w:noProof/>
          <w:lang w:val="cs-CZ"/>
        </w:rPr>
        <w:fldChar w:fldCharType="end"/>
      </w:r>
      <w:r w:rsidRPr="00273106">
        <w:rPr>
          <w:noProof/>
        </w:rPr>
        <w:t>)</w:t>
      </w:r>
    </w:p>
  </w:footnote>
  <w:footnote w:id="45">
    <w:p w:rsidR="00971E82" w:rsidRPr="00576CFC" w:rsidRDefault="00971E82" w:rsidP="08163013">
      <w:pPr>
        <w:pStyle w:val="Textpoznpodarou"/>
        <w:rPr>
          <w:noProof/>
          <w:lang w:val="cs-CZ"/>
        </w:rPr>
      </w:pPr>
      <w:r>
        <w:rPr>
          <w:rStyle w:val="Znakapoznpodarou"/>
        </w:rPr>
        <w:footnoteRef/>
      </w:r>
      <w:r>
        <w:t xml:space="preserve"> </w:t>
      </w:r>
      <w:r w:rsidRPr="00273106">
        <w:rPr>
          <w:noProof/>
        </w:rPr>
        <w:t xml:space="preserve">„Ad illud quod obiicitur, quod intellectus est impassibilis et impermixtus; dicendum, quod Philosophus removet ab intellectu materiam, secundum quod consideratur sub </w:t>
      </w:r>
      <w:r w:rsidRPr="00273106">
        <w:rPr>
          <w:i/>
          <w:noProof/>
        </w:rPr>
        <w:t>privatione</w:t>
      </w:r>
      <w:r w:rsidRPr="00273106">
        <w:rPr>
          <w:noProof/>
        </w:rPr>
        <w:t xml:space="preserve"> et sub potentia ad transmutationem secundum </w:t>
      </w:r>
      <w:r w:rsidRPr="00273106">
        <w:rPr>
          <w:i/>
          <w:noProof/>
        </w:rPr>
        <w:t>esse</w:t>
      </w:r>
      <w:r w:rsidRPr="00273106">
        <w:rPr>
          <w:noProof/>
        </w:rPr>
        <w:t xml:space="preserve">; non removet materiam </w:t>
      </w:r>
      <w:r w:rsidRPr="00273106">
        <w:rPr>
          <w:i/>
          <w:noProof/>
        </w:rPr>
        <w:t>universaliter</w:t>
      </w:r>
      <w:r w:rsidRPr="00273106">
        <w:rPr>
          <w:noProof/>
        </w:rPr>
        <w:t xml:space="preserve">, immo ponit, cum dicit, quod in intellectu est natura, qua est </w:t>
      </w:r>
      <w:r w:rsidRPr="00273106">
        <w:rPr>
          <w:i/>
          <w:noProof/>
        </w:rPr>
        <w:t>facere</w:t>
      </w:r>
      <w:r w:rsidRPr="00273106">
        <w:rPr>
          <w:noProof/>
        </w:rPr>
        <w:t xml:space="preserve">, et qua est </w:t>
      </w:r>
      <w:r w:rsidRPr="00273106">
        <w:rPr>
          <w:i/>
          <w:noProof/>
        </w:rPr>
        <w:t>fieri</w:t>
      </w:r>
      <w:r w:rsidRPr="00273106">
        <w:rPr>
          <w:noProof/>
        </w:rPr>
        <w:t>.“ (</w:t>
      </w:r>
      <w:r w:rsidRPr="00273106">
        <w:rPr>
          <w:i/>
          <w:noProof/>
        </w:rPr>
        <w:t>In II Sent</w:t>
      </w:r>
      <w:r w:rsidRPr="00273106">
        <w:rPr>
          <w:noProof/>
        </w:rPr>
        <w:t xml:space="preserve">., d. 17, a. 1, q. 2, resp., ad 2; </w:t>
      </w:r>
      <w:r w:rsidRPr="007405DA">
        <w:rPr>
          <w:i/>
          <w:noProof/>
        </w:rPr>
        <w:t>Opera omnia</w:t>
      </w:r>
      <w:r>
        <w:rPr>
          <w:noProof/>
        </w:rPr>
        <w:t xml:space="preserve"> </w:t>
      </w:r>
      <w:r>
        <w:rPr>
          <w:noProof/>
          <w:lang w:val="cs-CZ"/>
        </w:rPr>
        <w:t xml:space="preserve">2, </w:t>
      </w:r>
      <w:r w:rsidRPr="00273106">
        <w:rPr>
          <w:noProof/>
        </w:rPr>
        <w:t>415a</w:t>
      </w:r>
      <w:r>
        <w:rPr>
          <w:noProof/>
          <w:lang w:val="cs-CZ"/>
        </w:rPr>
        <w:fldChar w:fldCharType="begin"/>
      </w:r>
      <w:r>
        <w:instrText xml:space="preserve"> XE "</w:instrText>
      </w:r>
      <w:r>
        <w:rPr>
          <w:lang w:val="cs-CZ"/>
        </w:rPr>
        <w:instrText>Bonaventura:</w:instrText>
      </w:r>
      <w:r w:rsidRPr="00A76C41">
        <w:rPr>
          <w:i/>
          <w:iCs/>
          <w:noProof/>
        </w:rPr>
        <w:instrText>In II. Sent.</w:instrText>
      </w:r>
      <w:r w:rsidRPr="00A76C41">
        <w:rPr>
          <w:noProof/>
        </w:rPr>
        <w:instrText xml:space="preserve"> 4</w:instrText>
      </w:r>
      <w:r>
        <w:rPr>
          <w:noProof/>
          <w:lang w:val="cs-CZ"/>
        </w:rPr>
        <w:instrText>15a</w:instrText>
      </w:r>
      <w:r>
        <w:instrText xml:space="preserve">" </w:instrText>
      </w:r>
      <w:r>
        <w:rPr>
          <w:noProof/>
          <w:lang w:val="cs-CZ"/>
        </w:rPr>
        <w:fldChar w:fldCharType="end"/>
      </w:r>
      <w:r w:rsidRPr="00273106">
        <w:rPr>
          <w:noProof/>
        </w:rPr>
        <w:t>)</w:t>
      </w:r>
    </w:p>
  </w:footnote>
  <w:footnote w:id="46">
    <w:p w:rsidR="00971E82" w:rsidRPr="0022715C" w:rsidRDefault="00971E82" w:rsidP="08163013">
      <w:pPr>
        <w:pStyle w:val="Textpoznpodarou"/>
      </w:pPr>
      <w:r>
        <w:rPr>
          <w:rStyle w:val="Znakapoznpodarou"/>
        </w:rPr>
        <w:footnoteRef/>
      </w:r>
      <w:r>
        <w:t xml:space="preserve"> </w:t>
      </w:r>
      <w:r>
        <w:t>„</w:t>
      </w:r>
      <w:r w:rsidRPr="0022715C">
        <w:t>Quemadmodum enim sensibile esse dividitur in formam et materiam, sic intelligibile esse oportet dividi in consimilia hiis duobus, scilicet in aliquod simile forme et in aliquod simile materie.</w:t>
      </w:r>
      <w:r>
        <w:t xml:space="preserve">“ </w:t>
      </w:r>
      <w:r>
        <w:rPr>
          <w:lang w:val="cs-CZ"/>
        </w:rPr>
        <w:t>(</w:t>
      </w:r>
      <w:r>
        <w:t xml:space="preserve">CMDA </w:t>
      </w:r>
      <w:proofErr w:type="gramStart"/>
      <w:r>
        <w:rPr>
          <w:lang w:val="cs-CZ"/>
        </w:rPr>
        <w:t>III.4;</w:t>
      </w:r>
      <w:proofErr w:type="gramEnd"/>
      <w:r>
        <w:rPr>
          <w:lang w:val="cs-CZ"/>
        </w:rPr>
        <w:t xml:space="preserve"> </w:t>
      </w:r>
      <w:r>
        <w:t>409.654</w:t>
      </w:r>
      <w:r>
        <w:rPr>
          <w:noProof/>
        </w:rPr>
        <w:t>–62</w:t>
      </w:r>
      <w:r>
        <w:rPr>
          <w:noProof/>
        </w:rPr>
        <w:fldChar w:fldCharType="begin"/>
      </w:r>
      <w:r>
        <w:instrText xml:space="preserve"> XE "</w:instrText>
      </w:r>
      <w:r>
        <w:rPr>
          <w:lang w:val="cs-CZ"/>
        </w:rPr>
        <w:instrText>Averroes:</w:instrText>
      </w:r>
      <w:r w:rsidRPr="00DB1439">
        <w:instrText>CMDA 409.654</w:instrText>
      </w:r>
      <w:r>
        <w:rPr>
          <w:noProof/>
        </w:rPr>
        <w:instrText>–</w:instrText>
      </w:r>
      <w:r w:rsidRPr="00DB1439">
        <w:rPr>
          <w:noProof/>
        </w:rPr>
        <w:instrText>62</w:instrText>
      </w:r>
      <w:r>
        <w:instrText xml:space="preserve">" </w:instrText>
      </w:r>
      <w:r>
        <w:rPr>
          <w:noProof/>
        </w:rPr>
        <w:fldChar w:fldCharType="end"/>
      </w:r>
      <w:r>
        <w:rPr>
          <w:lang w:val="cs-CZ"/>
        </w:rPr>
        <w:t>)</w:t>
      </w:r>
    </w:p>
  </w:footnote>
  <w:footnote w:id="47">
    <w:p w:rsidR="00971E82" w:rsidRPr="000007C9" w:rsidRDefault="00971E82" w:rsidP="00C40567">
      <w:pPr>
        <w:pStyle w:val="Textpoznpodarou"/>
        <w:rPr>
          <w:rStyle w:val="TextpoznpodarouChar"/>
          <w:rFonts w:eastAsia="Times"/>
        </w:rPr>
      </w:pPr>
      <w:r w:rsidRPr="00B0519B">
        <w:rPr>
          <w:rStyle w:val="Znakapoznpodarou"/>
        </w:rPr>
        <w:footnoteRef/>
      </w:r>
      <w:r w:rsidRPr="00B0519B">
        <w:rPr>
          <w:rStyle w:val="Znakapoznpodarou"/>
        </w:rPr>
        <w:t xml:space="preserve"> </w:t>
      </w:r>
      <w:r w:rsidRPr="00B0519B">
        <w:t>„If there is some primary stuff, which is not further called the material of some other thing, this is primary matter</w:t>
      </w:r>
      <w:r>
        <w:t xml:space="preserve"> (</w:t>
      </w:r>
      <w:r w:rsidRPr="007F79B4">
        <w:t>τοῦτο πρώτη ὕλη</w:t>
      </w:r>
      <w:r>
        <w:t>)</w:t>
      </w:r>
      <w:r w:rsidRPr="00B0519B">
        <w:t xml:space="preserve">. E.g., if earth is </w:t>
      </w:r>
      <w:r>
        <w:t>‘</w:t>
      </w:r>
      <w:r w:rsidRPr="00B0519B">
        <w:t>made of air,</w:t>
      </w:r>
      <w:r>
        <w:t>’</w:t>
      </w:r>
      <w:r w:rsidRPr="00B0519B">
        <w:t xml:space="preserve"> and air is not fire, but </w:t>
      </w:r>
      <w:r>
        <w:t>‘</w:t>
      </w:r>
      <w:r w:rsidRPr="00B0519B">
        <w:t>made of fire</w:t>
      </w:r>
      <w:r>
        <w:t>’</w:t>
      </w:r>
      <w:r w:rsidRPr="00B0519B">
        <w:t>, then fire is primary matter, not being an individual thing (</w:t>
      </w:r>
      <w:r>
        <w:t>τὸ πῦρ ὕλη πρώτη οὐ τόδε τι οὖσα)</w:t>
      </w:r>
      <w:r w:rsidRPr="00B0519B">
        <w:t xml:space="preserve">. For the subject or substrate is distinguishable into two kinds by either being or not being an individual thing (τῷ εἶναι τόδε τι ἢ μὴ εἶναι). Take for example as the subject of the attributes </w:t>
      </w:r>
      <w:r>
        <w:t>'</w:t>
      </w:r>
      <w:r w:rsidRPr="00B0519B">
        <w:t>man</w:t>
      </w:r>
      <w:r>
        <w:t>'</w:t>
      </w:r>
      <w:r w:rsidRPr="00B0519B">
        <w:t xml:space="preserve">, or </w:t>
      </w:r>
      <w:r>
        <w:t>'</w:t>
      </w:r>
      <w:r w:rsidRPr="00B0519B">
        <w:t>body</w:t>
      </w:r>
      <w:r>
        <w:t>'</w:t>
      </w:r>
      <w:r w:rsidRPr="00B0519B">
        <w:t xml:space="preserve"> or </w:t>
      </w:r>
      <w:r>
        <w:t>'</w:t>
      </w:r>
      <w:r w:rsidRPr="00B0519B">
        <w:t xml:space="preserve">soul, and as an attribute </w:t>
      </w:r>
      <w:r>
        <w:t>'cultured'</w:t>
      </w:r>
      <w:r w:rsidRPr="00B0519B">
        <w:t xml:space="preserve"> or </w:t>
      </w:r>
      <w:r>
        <w:t>'</w:t>
      </w:r>
      <w:r w:rsidRPr="00B0519B">
        <w:t>white</w:t>
      </w:r>
      <w:r>
        <w:t>'</w:t>
      </w:r>
      <w:r w:rsidRPr="00B0519B">
        <w:t>.“ (</w:t>
      </w:r>
      <w:r w:rsidRPr="00047BF8">
        <w:rPr>
          <w:i/>
        </w:rPr>
        <w:t>Met</w:t>
      </w:r>
      <w:r w:rsidRPr="00B0519B">
        <w:t>. 1049a24‒29</w:t>
      </w:r>
      <w:r>
        <w:fldChar w:fldCharType="begin"/>
      </w:r>
      <w:r>
        <w:instrText xml:space="preserve"> XE "Aristoteles</w:instrText>
      </w:r>
      <w:r w:rsidRPr="00EA4EF6">
        <w:rPr>
          <w:i/>
        </w:rPr>
        <w:instrText>:Met</w:instrText>
      </w:r>
      <w:r w:rsidRPr="00EA4EF6">
        <w:instrText xml:space="preserve">. </w:instrText>
      </w:r>
      <w:r w:rsidRPr="00B0519B">
        <w:instrText>1049a24‒29</w:instrText>
      </w:r>
      <w:r>
        <w:instrText xml:space="preserve">" </w:instrText>
      </w:r>
      <w:r>
        <w:fldChar w:fldCharType="end"/>
      </w:r>
      <w:r>
        <w:t>; WA 8</w:t>
      </w:r>
      <w:r w:rsidRPr="00B0519B">
        <w:t>, trad. Ross)</w:t>
      </w:r>
    </w:p>
  </w:footnote>
  <w:footnote w:id="48">
    <w:p w:rsidR="00971E82" w:rsidRPr="00392ABD" w:rsidRDefault="00971E82" w:rsidP="08163013">
      <w:pPr>
        <w:pStyle w:val="Textpoznpodarou"/>
        <w:rPr>
          <w:lang w:val="cs-CZ"/>
        </w:rPr>
      </w:pPr>
      <w:r>
        <w:rPr>
          <w:rStyle w:val="Znakapoznpodarou"/>
        </w:rPr>
        <w:footnoteRef/>
      </w:r>
      <w:r>
        <w:t xml:space="preserve"> „</w:t>
      </w:r>
      <w:r>
        <w:rPr>
          <w:lang w:val="cs-CZ"/>
        </w:rPr>
        <w:t>A</w:t>
      </w:r>
      <w:r w:rsidRPr="00273106">
        <w:t xml:space="preserve">nima autem non tantum est forma, immo etiam est </w:t>
      </w:r>
      <w:r w:rsidRPr="00273106">
        <w:rPr>
          <w:i/>
        </w:rPr>
        <w:t>hoc aliquid</w:t>
      </w:r>
      <w:r w:rsidRPr="00273106">
        <w:t>.“ (</w:t>
      </w:r>
      <w:r w:rsidRPr="00273106">
        <w:rPr>
          <w:i/>
        </w:rPr>
        <w:t>In II Sent</w:t>
      </w:r>
      <w:r w:rsidRPr="00273106">
        <w:t xml:space="preserve">., d. 17, a. 1, q. 2, resp., ad 5; </w:t>
      </w:r>
      <w:r w:rsidRPr="00342990">
        <w:rPr>
          <w:i/>
        </w:rPr>
        <w:t>Opera omnia</w:t>
      </w:r>
      <w:r>
        <w:t xml:space="preserve"> </w:t>
      </w:r>
      <w:r>
        <w:rPr>
          <w:lang w:val="cs-CZ"/>
        </w:rPr>
        <w:t>2</w:t>
      </w:r>
      <w:r w:rsidRPr="00273106">
        <w:t>, 415b</w:t>
      </w:r>
      <w:r>
        <w:rPr>
          <w:noProof/>
          <w:lang w:val="cs-CZ"/>
        </w:rPr>
        <w:fldChar w:fldCharType="begin"/>
      </w:r>
      <w:r>
        <w:instrText xml:space="preserve"> XE "</w:instrText>
      </w:r>
      <w:r>
        <w:rPr>
          <w:lang w:val="cs-CZ"/>
        </w:rPr>
        <w:instrText>Bonaventura:</w:instrText>
      </w:r>
      <w:r w:rsidRPr="00A76C41">
        <w:rPr>
          <w:i/>
          <w:iCs/>
          <w:noProof/>
        </w:rPr>
        <w:instrText>In II. Sent.</w:instrText>
      </w:r>
      <w:r w:rsidRPr="00A76C41">
        <w:rPr>
          <w:noProof/>
        </w:rPr>
        <w:instrText xml:space="preserve"> 4</w:instrText>
      </w:r>
      <w:r>
        <w:rPr>
          <w:noProof/>
          <w:lang w:val="cs-CZ"/>
        </w:rPr>
        <w:instrText>15b</w:instrText>
      </w:r>
      <w:r>
        <w:instrText xml:space="preserve">" </w:instrText>
      </w:r>
      <w:r>
        <w:rPr>
          <w:noProof/>
          <w:lang w:val="cs-CZ"/>
        </w:rPr>
        <w:fldChar w:fldCharType="end"/>
      </w:r>
      <w:r w:rsidRPr="00273106">
        <w:t>)</w:t>
      </w:r>
    </w:p>
  </w:footnote>
  <w:footnote w:id="49">
    <w:p w:rsidR="00971E82" w:rsidRPr="00DD29AD" w:rsidRDefault="00971E82" w:rsidP="08163013">
      <w:pPr>
        <w:pStyle w:val="Textpoznpodarou"/>
        <w:rPr>
          <w:noProof/>
          <w:lang w:val="cs-CZ"/>
        </w:rPr>
      </w:pPr>
      <w:r>
        <w:rPr>
          <w:rStyle w:val="Znakapoznpodarou"/>
        </w:rPr>
        <w:footnoteRef/>
      </w:r>
      <w:r>
        <w:t xml:space="preserve"> </w:t>
      </w:r>
      <w:r w:rsidRPr="00273106">
        <w:rPr>
          <w:noProof/>
        </w:rPr>
        <w:t xml:space="preserve">„Quamvis </w:t>
      </w:r>
      <w:r w:rsidRPr="00273106">
        <w:rPr>
          <w:noProof/>
          <w:szCs w:val="11"/>
        </w:rPr>
        <w:t xml:space="preserve">igitur </w:t>
      </w:r>
      <w:r w:rsidRPr="00273106">
        <w:rPr>
          <w:noProof/>
        </w:rPr>
        <w:t xml:space="preserve">anima </w:t>
      </w:r>
      <w:r w:rsidRPr="00273106">
        <w:rPr>
          <w:noProof/>
          <w:szCs w:val="14"/>
        </w:rPr>
        <w:t xml:space="preserve">non </w:t>
      </w:r>
      <w:r w:rsidRPr="00273106">
        <w:rPr>
          <w:noProof/>
          <w:szCs w:val="9"/>
        </w:rPr>
        <w:t xml:space="preserve">sit </w:t>
      </w:r>
      <w:r w:rsidRPr="00273106">
        <w:rPr>
          <w:noProof/>
          <w:szCs w:val="10"/>
        </w:rPr>
        <w:t xml:space="preserve">aliis </w:t>
      </w:r>
      <w:r w:rsidRPr="00273106">
        <w:rPr>
          <w:noProof/>
          <w:szCs w:val="13"/>
        </w:rPr>
        <w:t xml:space="preserve">formis </w:t>
      </w:r>
      <w:r w:rsidRPr="00273106">
        <w:rPr>
          <w:noProof/>
          <w:szCs w:val="12"/>
        </w:rPr>
        <w:t xml:space="preserve">simplicior </w:t>
      </w:r>
      <w:r w:rsidRPr="00273106">
        <w:rPr>
          <w:noProof/>
          <w:szCs w:val="16"/>
        </w:rPr>
        <w:t xml:space="preserve">quantum </w:t>
      </w:r>
      <w:r w:rsidRPr="00273106">
        <w:rPr>
          <w:noProof/>
          <w:szCs w:val="14"/>
        </w:rPr>
        <w:t xml:space="preserve">ad </w:t>
      </w:r>
      <w:r w:rsidRPr="00273106">
        <w:rPr>
          <w:noProof/>
          <w:szCs w:val="12"/>
        </w:rPr>
        <w:t xml:space="preserve">partes </w:t>
      </w:r>
      <w:r w:rsidRPr="00273106">
        <w:rPr>
          <w:i/>
          <w:noProof/>
          <w:szCs w:val="12"/>
        </w:rPr>
        <w:t>constitutivas</w:t>
      </w:r>
      <w:r w:rsidRPr="00273106">
        <w:rPr>
          <w:noProof/>
          <w:szCs w:val="6"/>
        </w:rPr>
        <w:t xml:space="preserve">, </w:t>
      </w:r>
      <w:r w:rsidRPr="00273106">
        <w:rPr>
          <w:noProof/>
          <w:szCs w:val="13"/>
        </w:rPr>
        <w:t xml:space="preserve">quia </w:t>
      </w:r>
      <w:r w:rsidRPr="00273106">
        <w:rPr>
          <w:noProof/>
          <w:szCs w:val="11"/>
        </w:rPr>
        <w:t xml:space="preserve">tales </w:t>
      </w:r>
      <w:r w:rsidRPr="00273106">
        <w:rPr>
          <w:noProof/>
          <w:szCs w:val="12"/>
        </w:rPr>
        <w:t xml:space="preserve">partes </w:t>
      </w:r>
      <w:r w:rsidRPr="00273106">
        <w:rPr>
          <w:noProof/>
          <w:szCs w:val="14"/>
        </w:rPr>
        <w:t xml:space="preserve">habere </w:t>
      </w:r>
      <w:r w:rsidRPr="00273106">
        <w:rPr>
          <w:noProof/>
          <w:szCs w:val="12"/>
        </w:rPr>
        <w:t xml:space="preserve">spectat </w:t>
      </w:r>
      <w:r w:rsidRPr="00273106">
        <w:rPr>
          <w:noProof/>
          <w:szCs w:val="14"/>
        </w:rPr>
        <w:t xml:space="preserve">ad </w:t>
      </w:r>
      <w:r w:rsidRPr="00273106">
        <w:rPr>
          <w:noProof/>
          <w:szCs w:val="16"/>
        </w:rPr>
        <w:t xml:space="preserve">complementum </w:t>
      </w:r>
      <w:r w:rsidRPr="00273106">
        <w:rPr>
          <w:noProof/>
          <w:szCs w:val="10"/>
        </w:rPr>
        <w:t xml:space="preserve">et </w:t>
      </w:r>
      <w:r w:rsidRPr="00273106">
        <w:rPr>
          <w:noProof/>
          <w:szCs w:val="12"/>
        </w:rPr>
        <w:t>per</w:t>
      </w:r>
      <w:r w:rsidRPr="00273106">
        <w:rPr>
          <w:noProof/>
          <w:szCs w:val="13"/>
        </w:rPr>
        <w:t xml:space="preserve">fectionem; </w:t>
      </w:r>
      <w:r w:rsidRPr="00273106">
        <w:rPr>
          <w:noProof/>
          <w:szCs w:val="14"/>
        </w:rPr>
        <w:t xml:space="preserve">hoc </w:t>
      </w:r>
      <w:r w:rsidRPr="00273106">
        <w:rPr>
          <w:noProof/>
        </w:rPr>
        <w:t xml:space="preserve">enim </w:t>
      </w:r>
      <w:r w:rsidRPr="00273106">
        <w:rPr>
          <w:noProof/>
          <w:szCs w:val="10"/>
        </w:rPr>
        <w:t xml:space="preserve">facit, </w:t>
      </w:r>
      <w:r w:rsidRPr="00273106">
        <w:rPr>
          <w:noProof/>
        </w:rPr>
        <w:t xml:space="preserve">rem </w:t>
      </w:r>
      <w:r w:rsidRPr="00273106">
        <w:rPr>
          <w:i/>
          <w:noProof/>
          <w:szCs w:val="12"/>
        </w:rPr>
        <w:t xml:space="preserve">esse </w:t>
      </w:r>
      <w:r w:rsidRPr="00273106">
        <w:rPr>
          <w:i/>
          <w:noProof/>
          <w:szCs w:val="14"/>
        </w:rPr>
        <w:t xml:space="preserve">per </w:t>
      </w:r>
      <w:r w:rsidRPr="00273106">
        <w:rPr>
          <w:i/>
          <w:noProof/>
          <w:szCs w:val="12"/>
        </w:rPr>
        <w:t>se</w:t>
      </w:r>
      <w:r w:rsidRPr="00273106">
        <w:rPr>
          <w:noProof/>
          <w:szCs w:val="12"/>
        </w:rPr>
        <w:t xml:space="preserve">; simplicior </w:t>
      </w:r>
      <w:r w:rsidRPr="00273106">
        <w:rPr>
          <w:noProof/>
        </w:rPr>
        <w:t xml:space="preserve">tamen </w:t>
      </w:r>
      <w:r w:rsidRPr="00273106">
        <w:rPr>
          <w:noProof/>
          <w:szCs w:val="11"/>
        </w:rPr>
        <w:t xml:space="preserve">est </w:t>
      </w:r>
      <w:r w:rsidRPr="00273106">
        <w:rPr>
          <w:noProof/>
          <w:szCs w:val="16"/>
        </w:rPr>
        <w:t xml:space="preserve">quantum </w:t>
      </w:r>
      <w:r w:rsidRPr="00273106">
        <w:rPr>
          <w:noProof/>
          <w:szCs w:val="13"/>
        </w:rPr>
        <w:t xml:space="preserve">ad privationem </w:t>
      </w:r>
      <w:r w:rsidRPr="00273106">
        <w:rPr>
          <w:noProof/>
          <w:szCs w:val="14"/>
        </w:rPr>
        <w:t xml:space="preserve">partium </w:t>
      </w:r>
      <w:r w:rsidRPr="00273106">
        <w:rPr>
          <w:i/>
          <w:noProof/>
          <w:szCs w:val="13"/>
        </w:rPr>
        <w:t>quanti</w:t>
      </w:r>
      <w:r w:rsidRPr="00273106">
        <w:rPr>
          <w:i/>
          <w:noProof/>
          <w:szCs w:val="14"/>
        </w:rPr>
        <w:t>tativarum</w:t>
      </w:r>
      <w:r w:rsidRPr="00273106">
        <w:rPr>
          <w:noProof/>
          <w:szCs w:val="14"/>
        </w:rPr>
        <w:t xml:space="preserve">.“ </w:t>
      </w:r>
      <w:r w:rsidRPr="00273106">
        <w:rPr>
          <w:noProof/>
        </w:rPr>
        <w:t>(</w:t>
      </w:r>
      <w:r w:rsidRPr="00273106">
        <w:rPr>
          <w:i/>
          <w:noProof/>
        </w:rPr>
        <w:t>In II Sent</w:t>
      </w:r>
      <w:r w:rsidRPr="00273106">
        <w:rPr>
          <w:noProof/>
        </w:rPr>
        <w:t xml:space="preserve">., d. 17, a. 1, q. </w:t>
      </w:r>
      <w:r>
        <w:rPr>
          <w:noProof/>
        </w:rPr>
        <w:t xml:space="preserve">2, resp., ad 5; </w:t>
      </w:r>
      <w:r w:rsidRPr="00342990">
        <w:rPr>
          <w:i/>
          <w:noProof/>
        </w:rPr>
        <w:t>Opera omnia</w:t>
      </w:r>
      <w:r>
        <w:rPr>
          <w:noProof/>
        </w:rPr>
        <w:t xml:space="preserve"> </w:t>
      </w:r>
      <w:r>
        <w:rPr>
          <w:noProof/>
          <w:lang w:val="cs-CZ"/>
        </w:rPr>
        <w:t>2</w:t>
      </w:r>
      <w:r>
        <w:rPr>
          <w:noProof/>
        </w:rPr>
        <w:t>,</w:t>
      </w:r>
      <w:r>
        <w:rPr>
          <w:noProof/>
          <w:lang w:val="cs-CZ"/>
        </w:rPr>
        <w:t xml:space="preserve"> </w:t>
      </w:r>
      <w:r w:rsidRPr="00273106">
        <w:rPr>
          <w:noProof/>
        </w:rPr>
        <w:t>415b</w:t>
      </w:r>
      <w:r>
        <w:rPr>
          <w:noProof/>
          <w:lang w:val="cs-CZ"/>
        </w:rPr>
        <w:fldChar w:fldCharType="begin"/>
      </w:r>
      <w:r>
        <w:instrText xml:space="preserve"> XE "</w:instrText>
      </w:r>
      <w:r>
        <w:rPr>
          <w:lang w:val="cs-CZ"/>
        </w:rPr>
        <w:instrText>Bonaventura:</w:instrText>
      </w:r>
      <w:r w:rsidRPr="00A76C41">
        <w:rPr>
          <w:i/>
          <w:iCs/>
          <w:noProof/>
        </w:rPr>
        <w:instrText>In II. Sent.</w:instrText>
      </w:r>
      <w:r w:rsidRPr="00A76C41">
        <w:rPr>
          <w:noProof/>
        </w:rPr>
        <w:instrText xml:space="preserve"> 4</w:instrText>
      </w:r>
      <w:r>
        <w:rPr>
          <w:noProof/>
          <w:lang w:val="cs-CZ"/>
        </w:rPr>
        <w:instrText>15b</w:instrText>
      </w:r>
      <w:r>
        <w:instrText xml:space="preserve">" </w:instrText>
      </w:r>
      <w:r>
        <w:rPr>
          <w:noProof/>
          <w:lang w:val="cs-CZ"/>
        </w:rPr>
        <w:fldChar w:fldCharType="end"/>
      </w:r>
      <w:r w:rsidRPr="00273106">
        <w:rPr>
          <w:noProof/>
        </w:rPr>
        <w:t>)</w:t>
      </w:r>
    </w:p>
  </w:footnote>
  <w:footnote w:id="50">
    <w:p w:rsidR="00971E82" w:rsidRPr="005014DD" w:rsidRDefault="00971E82" w:rsidP="08163013">
      <w:pPr>
        <w:pStyle w:val="Textpoznpodarou"/>
        <w:rPr>
          <w:lang w:val="cs-CZ"/>
        </w:rPr>
      </w:pPr>
      <w:r>
        <w:rPr>
          <w:rStyle w:val="Znakapoznpodarou"/>
        </w:rPr>
        <w:footnoteRef/>
      </w:r>
      <w:r>
        <w:t xml:space="preserve"> </w:t>
      </w:r>
      <w:r w:rsidRPr="00273106">
        <w:rPr>
          <w:noProof/>
        </w:rPr>
        <w:t>„Licet autem anima rationalis compositionem habeat ex materia et forma, appetitum tamen habet ad perficiendam corporalem naturam; sicut corpus organicum ex materia et forma compositum est, et tamen habet appetitum ad suscipiendam animam.“ (</w:t>
      </w:r>
      <w:r w:rsidRPr="00273106">
        <w:rPr>
          <w:i/>
          <w:noProof/>
        </w:rPr>
        <w:t>In II Sent</w:t>
      </w:r>
      <w:r w:rsidRPr="00273106">
        <w:rPr>
          <w:noProof/>
        </w:rPr>
        <w:t xml:space="preserve">., d. 17, a. 1, q. 2, resp., ad 6; </w:t>
      </w:r>
      <w:r w:rsidRPr="00970BE9">
        <w:rPr>
          <w:i/>
          <w:noProof/>
        </w:rPr>
        <w:t>Opera omnia</w:t>
      </w:r>
      <w:r>
        <w:rPr>
          <w:noProof/>
        </w:rPr>
        <w:t xml:space="preserve"> </w:t>
      </w:r>
      <w:r>
        <w:rPr>
          <w:noProof/>
          <w:lang w:val="cs-CZ"/>
        </w:rPr>
        <w:t>2</w:t>
      </w:r>
      <w:r>
        <w:rPr>
          <w:noProof/>
        </w:rPr>
        <w:t xml:space="preserve">, </w:t>
      </w:r>
      <w:r w:rsidRPr="00273106">
        <w:rPr>
          <w:noProof/>
        </w:rPr>
        <w:t>416</w:t>
      </w:r>
      <w:r>
        <w:rPr>
          <w:noProof/>
        </w:rPr>
        <w:t>a</w:t>
      </w:r>
      <w:r>
        <w:rPr>
          <w:noProof/>
          <w:lang w:val="cs-CZ"/>
        </w:rPr>
        <w:fldChar w:fldCharType="begin"/>
      </w:r>
      <w:r>
        <w:instrText xml:space="preserve"> XE "</w:instrText>
      </w:r>
      <w:r>
        <w:rPr>
          <w:lang w:val="cs-CZ"/>
        </w:rPr>
        <w:instrText>Bonaventura:</w:instrText>
      </w:r>
      <w:r w:rsidRPr="00A76C41">
        <w:rPr>
          <w:i/>
          <w:iCs/>
          <w:noProof/>
        </w:rPr>
        <w:instrText>In II. Sent.</w:instrText>
      </w:r>
      <w:r>
        <w:rPr>
          <w:noProof/>
        </w:rPr>
        <w:instrText xml:space="preserve"> </w:instrText>
      </w:r>
      <w:r w:rsidRPr="00273106">
        <w:rPr>
          <w:noProof/>
        </w:rPr>
        <w:instrText>416</w:instrText>
      </w:r>
      <w:r>
        <w:rPr>
          <w:noProof/>
          <w:lang w:val="cs-CZ"/>
        </w:rPr>
        <w:instrText>a</w:instrText>
      </w:r>
      <w:r>
        <w:instrText xml:space="preserve">" </w:instrText>
      </w:r>
      <w:r>
        <w:rPr>
          <w:noProof/>
          <w:lang w:val="cs-CZ"/>
        </w:rPr>
        <w:fldChar w:fldCharType="end"/>
      </w:r>
      <w:r w:rsidRPr="00273106">
        <w:rPr>
          <w:noProof/>
        </w:rPr>
        <w:t>)</w:t>
      </w:r>
    </w:p>
  </w:footnote>
  <w:footnote w:id="51">
    <w:p w:rsidR="00971E82" w:rsidRPr="003B2A5F" w:rsidRDefault="00971E82" w:rsidP="08163013">
      <w:pPr>
        <w:pStyle w:val="Textpoznpodarou"/>
      </w:pPr>
      <w:r>
        <w:rPr>
          <w:rStyle w:val="Znakapoznpodarou"/>
        </w:rPr>
        <w:footnoteRef/>
      </w:r>
      <w:r>
        <w:rPr>
          <w:lang w:val="cs-CZ"/>
        </w:rPr>
        <w:t xml:space="preserve"> </w:t>
      </w:r>
      <w:r>
        <w:t>„</w:t>
      </w:r>
      <w:r w:rsidRPr="00B80222">
        <w:t>Et ho</w:t>
      </w:r>
      <w:r>
        <w:t>c videtur dicere Philosophus, «</w:t>
      </w:r>
      <w:r w:rsidRPr="00B80222">
        <w:t>quod vegetativum est in sensiti</w:t>
      </w:r>
      <w:r>
        <w:t>vo, sicut trigonum in tetragono»</w:t>
      </w:r>
      <w:r>
        <w:rPr>
          <w:lang w:val="cs-CZ"/>
        </w:rPr>
        <w:t xml:space="preserve"> </w:t>
      </w:r>
      <w:r>
        <w:t>[</w:t>
      </w:r>
      <w:r w:rsidRPr="084B2931">
        <w:rPr>
          <w:i/>
        </w:rPr>
        <w:t>De anima</w:t>
      </w:r>
      <w:r>
        <w:rPr>
          <w:i/>
        </w:rPr>
        <w:t xml:space="preserve"> </w:t>
      </w:r>
      <w:r>
        <w:t>414b3</w:t>
      </w:r>
      <w:r>
        <w:rPr>
          <w:lang w:val="cs-CZ"/>
        </w:rPr>
        <w:t>1</w:t>
      </w:r>
      <w:r>
        <w:t>], et hoc in rationali. S</w:t>
      </w:r>
      <w:r w:rsidRPr="00B80222">
        <w:t>icut tetragonum in pentagono; sed nunquam Deus facit tetragonu</w:t>
      </w:r>
      <w:r>
        <w:t>m sine trigono, nec pentagonum</w:t>
      </w:r>
      <w:r w:rsidRPr="00B80222">
        <w:t xml:space="preserve"> sine tetragono et trigono.</w:t>
      </w:r>
      <w:r>
        <w:t>“ (</w:t>
      </w:r>
      <w:r w:rsidRPr="00B80222">
        <w:rPr>
          <w:i/>
        </w:rPr>
        <w:t>In II Sent</w:t>
      </w:r>
      <w:r>
        <w:t xml:space="preserve">., d. 1, p. 2, a. 1, q. 2, item 4; </w:t>
      </w:r>
      <w:r w:rsidRPr="00970BE9">
        <w:rPr>
          <w:i/>
        </w:rPr>
        <w:t>Opera omnia</w:t>
      </w:r>
      <w:r>
        <w:t xml:space="preserve"> </w:t>
      </w:r>
      <w:r>
        <w:rPr>
          <w:lang w:val="cs-CZ"/>
        </w:rPr>
        <w:t>2</w:t>
      </w:r>
      <w:r>
        <w:t>, 41b</w:t>
      </w:r>
      <w:r>
        <w:rPr>
          <w:noProof/>
          <w:lang w:val="cs-CZ"/>
        </w:rPr>
        <w:fldChar w:fldCharType="begin"/>
      </w:r>
      <w:r>
        <w:instrText xml:space="preserve"> XE "</w:instrText>
      </w:r>
      <w:r>
        <w:rPr>
          <w:lang w:val="cs-CZ"/>
        </w:rPr>
        <w:instrText>Bonaventura:</w:instrText>
      </w:r>
      <w:r w:rsidRPr="00A76C41">
        <w:rPr>
          <w:i/>
          <w:iCs/>
          <w:noProof/>
        </w:rPr>
        <w:instrText>In II. Sent.</w:instrText>
      </w:r>
      <w:r>
        <w:rPr>
          <w:noProof/>
        </w:rPr>
        <w:instrText xml:space="preserve"> </w:instrText>
      </w:r>
      <w:r w:rsidRPr="00273106">
        <w:rPr>
          <w:noProof/>
        </w:rPr>
        <w:instrText>41</w:instrText>
      </w:r>
      <w:r>
        <w:rPr>
          <w:noProof/>
        </w:rPr>
        <w:instrText>b</w:instrText>
      </w:r>
      <w:r>
        <w:instrText xml:space="preserve">" </w:instrText>
      </w:r>
      <w:r>
        <w:rPr>
          <w:noProof/>
          <w:lang w:val="cs-CZ"/>
        </w:rPr>
        <w:fldChar w:fldCharType="end"/>
      </w:r>
      <w:r>
        <w:t>)</w:t>
      </w:r>
    </w:p>
  </w:footnote>
  <w:footnote w:id="52">
    <w:p w:rsidR="00971E82" w:rsidRPr="00A25F58" w:rsidRDefault="00971E82" w:rsidP="08163013">
      <w:pPr>
        <w:pStyle w:val="Textpoznpodarou"/>
        <w:rPr>
          <w:lang w:val="cs-CZ"/>
        </w:rPr>
      </w:pPr>
      <w:r>
        <w:rPr>
          <w:rStyle w:val="Znakapoznpodarou"/>
        </w:rPr>
        <w:footnoteRef/>
      </w:r>
      <w:r>
        <w:t xml:space="preserve"> </w:t>
      </w:r>
      <w:r w:rsidRPr="00273106">
        <w:rPr>
          <w:noProof/>
          <w:szCs w:val="9"/>
        </w:rPr>
        <w:t>„</w:t>
      </w:r>
      <w:r w:rsidRPr="00273106">
        <w:rPr>
          <w:noProof/>
          <w:szCs w:val="10"/>
        </w:rPr>
        <w:t>«</w:t>
      </w:r>
      <w:r w:rsidRPr="00273106">
        <w:rPr>
          <w:noProof/>
          <w:szCs w:val="11"/>
        </w:rPr>
        <w:t xml:space="preserve">In </w:t>
      </w:r>
      <w:r w:rsidRPr="00273106">
        <w:rPr>
          <w:noProof/>
          <w:szCs w:val="13"/>
        </w:rPr>
        <w:t xml:space="preserve">perpetuis </w:t>
      </w:r>
      <w:r w:rsidRPr="00273106">
        <w:rPr>
          <w:noProof/>
          <w:szCs w:val="14"/>
        </w:rPr>
        <w:t xml:space="preserve">non </w:t>
      </w:r>
      <w:r w:rsidRPr="00273106">
        <w:rPr>
          <w:noProof/>
          <w:szCs w:val="11"/>
        </w:rPr>
        <w:t xml:space="preserve">differt </w:t>
      </w:r>
      <w:r w:rsidRPr="00273106">
        <w:rPr>
          <w:noProof/>
          <w:szCs w:val="14"/>
        </w:rPr>
        <w:t xml:space="preserve">esse </w:t>
      </w:r>
      <w:r w:rsidRPr="00273106">
        <w:rPr>
          <w:noProof/>
          <w:szCs w:val="11"/>
        </w:rPr>
        <w:t xml:space="preserve">et </w:t>
      </w:r>
      <w:r w:rsidRPr="00273106">
        <w:rPr>
          <w:noProof/>
          <w:szCs w:val="14"/>
        </w:rPr>
        <w:t xml:space="preserve">posse», </w:t>
      </w:r>
      <w:r w:rsidRPr="00273106">
        <w:rPr>
          <w:noProof/>
          <w:szCs w:val="11"/>
        </w:rPr>
        <w:t xml:space="preserve">sicut </w:t>
      </w:r>
      <w:r w:rsidRPr="00273106">
        <w:rPr>
          <w:noProof/>
        </w:rPr>
        <w:t xml:space="preserve">vult </w:t>
      </w:r>
      <w:r w:rsidRPr="00273106">
        <w:rPr>
          <w:noProof/>
          <w:szCs w:val="14"/>
        </w:rPr>
        <w:t xml:space="preserve">Philosophus, </w:t>
      </w:r>
      <w:r w:rsidRPr="00273106">
        <w:rPr>
          <w:noProof/>
          <w:szCs w:val="13"/>
        </w:rPr>
        <w:t xml:space="preserve">ergo nec actus </w:t>
      </w:r>
      <w:r w:rsidRPr="00273106">
        <w:rPr>
          <w:noProof/>
          <w:szCs w:val="11"/>
        </w:rPr>
        <w:t xml:space="preserve">et </w:t>
      </w:r>
      <w:r w:rsidRPr="00273106">
        <w:rPr>
          <w:noProof/>
        </w:rPr>
        <w:t xml:space="preserve">potentia, </w:t>
      </w:r>
      <w:r w:rsidRPr="00273106">
        <w:rPr>
          <w:noProof/>
          <w:szCs w:val="14"/>
        </w:rPr>
        <w:t xml:space="preserve">multo </w:t>
      </w:r>
      <w:r w:rsidRPr="00273106">
        <w:rPr>
          <w:noProof/>
          <w:szCs w:val="15"/>
        </w:rPr>
        <w:t xml:space="preserve">minus </w:t>
      </w:r>
      <w:r w:rsidRPr="00273106">
        <w:rPr>
          <w:noProof/>
          <w:szCs w:val="13"/>
        </w:rPr>
        <w:t xml:space="preserve">nec </w:t>
      </w:r>
      <w:r w:rsidRPr="00273106">
        <w:rPr>
          <w:noProof/>
        </w:rPr>
        <w:t xml:space="preserve">potentia activa </w:t>
      </w:r>
      <w:r w:rsidRPr="00273106">
        <w:rPr>
          <w:noProof/>
          <w:szCs w:val="11"/>
        </w:rPr>
        <w:t xml:space="preserve">et </w:t>
      </w:r>
      <w:r w:rsidRPr="00273106">
        <w:rPr>
          <w:noProof/>
        </w:rPr>
        <w:t xml:space="preserve">passiva; </w:t>
      </w:r>
      <w:r w:rsidRPr="00273106">
        <w:rPr>
          <w:noProof/>
          <w:szCs w:val="13"/>
        </w:rPr>
        <w:t xml:space="preserve">sed </w:t>
      </w:r>
      <w:r w:rsidRPr="00273106">
        <w:rPr>
          <w:noProof/>
          <w:szCs w:val="15"/>
        </w:rPr>
        <w:t xml:space="preserve">anima </w:t>
      </w:r>
      <w:r w:rsidRPr="00273106">
        <w:rPr>
          <w:noProof/>
          <w:szCs w:val="11"/>
        </w:rPr>
        <w:t xml:space="preserve">est </w:t>
      </w:r>
      <w:r w:rsidRPr="00273106">
        <w:rPr>
          <w:noProof/>
          <w:szCs w:val="14"/>
        </w:rPr>
        <w:t xml:space="preserve">perpetua </w:t>
      </w:r>
      <w:r w:rsidRPr="00273106">
        <w:rPr>
          <w:noProof/>
          <w:szCs w:val="10"/>
        </w:rPr>
        <w:t xml:space="preserve">et </w:t>
      </w:r>
      <w:r w:rsidRPr="00273106">
        <w:rPr>
          <w:noProof/>
        </w:rPr>
        <w:t xml:space="preserve">eius </w:t>
      </w:r>
      <w:r w:rsidRPr="00273106">
        <w:rPr>
          <w:noProof/>
          <w:szCs w:val="11"/>
        </w:rPr>
        <w:t>intellectus</w:t>
      </w:r>
      <w:r w:rsidRPr="00273106">
        <w:rPr>
          <w:noProof/>
          <w:szCs w:val="4"/>
        </w:rPr>
        <w:t xml:space="preserve">: </w:t>
      </w:r>
      <w:r w:rsidRPr="00273106">
        <w:rPr>
          <w:noProof/>
          <w:szCs w:val="13"/>
        </w:rPr>
        <w:t xml:space="preserve">ergo </w:t>
      </w:r>
      <w:r w:rsidRPr="00273106">
        <w:rPr>
          <w:noProof/>
          <w:szCs w:val="14"/>
        </w:rPr>
        <w:t xml:space="preserve">non </w:t>
      </w:r>
      <w:r w:rsidRPr="00273106">
        <w:rPr>
          <w:noProof/>
          <w:szCs w:val="11"/>
        </w:rPr>
        <w:t xml:space="preserve">est </w:t>
      </w:r>
      <w:r w:rsidRPr="00273106">
        <w:rPr>
          <w:noProof/>
        </w:rPr>
        <w:t xml:space="preserve">differentia potentiae </w:t>
      </w:r>
      <w:r w:rsidRPr="00273106">
        <w:rPr>
          <w:noProof/>
          <w:szCs w:val="11"/>
        </w:rPr>
        <w:t xml:space="preserve">possibilis </w:t>
      </w:r>
      <w:r w:rsidRPr="00273106">
        <w:rPr>
          <w:noProof/>
          <w:szCs w:val="14"/>
        </w:rPr>
        <w:t>ad agentem.“ (</w:t>
      </w:r>
      <w:r w:rsidRPr="00273106">
        <w:rPr>
          <w:i/>
          <w:noProof/>
          <w:szCs w:val="14"/>
        </w:rPr>
        <w:t>In II Sent</w:t>
      </w:r>
      <w:r w:rsidRPr="00273106">
        <w:rPr>
          <w:noProof/>
          <w:szCs w:val="14"/>
        </w:rPr>
        <w:t xml:space="preserve">., d. 24, p. 1, a. 2, q. 4, sed contra, ad 1; </w:t>
      </w:r>
      <w:r w:rsidRPr="00970BE9">
        <w:rPr>
          <w:i/>
          <w:noProof/>
          <w:szCs w:val="14"/>
        </w:rPr>
        <w:t>Opera omnia</w:t>
      </w:r>
      <w:r>
        <w:rPr>
          <w:noProof/>
          <w:szCs w:val="14"/>
        </w:rPr>
        <w:t xml:space="preserve"> </w:t>
      </w:r>
      <w:r>
        <w:rPr>
          <w:noProof/>
          <w:szCs w:val="14"/>
          <w:lang w:val="cs-CZ"/>
        </w:rPr>
        <w:t>2</w:t>
      </w:r>
      <w:r w:rsidRPr="00273106">
        <w:rPr>
          <w:noProof/>
          <w:szCs w:val="14"/>
        </w:rPr>
        <w:t>, 567b</w:t>
      </w:r>
      <w:r>
        <w:rPr>
          <w:noProof/>
          <w:lang w:val="cs-CZ"/>
        </w:rPr>
        <w:fldChar w:fldCharType="begin"/>
      </w:r>
      <w:r>
        <w:instrText xml:space="preserve"> XE "</w:instrText>
      </w:r>
      <w:r>
        <w:rPr>
          <w:lang w:val="cs-CZ"/>
        </w:rPr>
        <w:instrText>Bonaventura:</w:instrText>
      </w:r>
      <w:r w:rsidRPr="00A76C41">
        <w:rPr>
          <w:i/>
          <w:iCs/>
          <w:noProof/>
        </w:rPr>
        <w:instrText>In II. Sent.</w:instrText>
      </w:r>
      <w:r>
        <w:rPr>
          <w:noProof/>
        </w:rPr>
        <w:instrText xml:space="preserve"> </w:instrText>
      </w:r>
      <w:r>
        <w:rPr>
          <w:noProof/>
          <w:lang w:val="cs-CZ"/>
        </w:rPr>
        <w:instrText>567</w:instrText>
      </w:r>
      <w:r>
        <w:rPr>
          <w:noProof/>
        </w:rPr>
        <w:instrText>b</w:instrText>
      </w:r>
      <w:r>
        <w:instrText xml:space="preserve">" </w:instrText>
      </w:r>
      <w:r>
        <w:rPr>
          <w:noProof/>
          <w:lang w:val="cs-CZ"/>
        </w:rPr>
        <w:fldChar w:fldCharType="end"/>
      </w:r>
      <w:r w:rsidRPr="00273106">
        <w:rPr>
          <w:noProof/>
          <w:szCs w:val="14"/>
        </w:rPr>
        <w:t>)</w:t>
      </w:r>
    </w:p>
  </w:footnote>
  <w:footnote w:id="53">
    <w:p w:rsidR="00971E82" w:rsidRPr="006830C4" w:rsidRDefault="00971E82" w:rsidP="08163013">
      <w:pPr>
        <w:pStyle w:val="Textpoznpodarou"/>
        <w:rPr>
          <w:lang w:val="cs-CZ"/>
        </w:rPr>
      </w:pPr>
      <w:r>
        <w:rPr>
          <w:rStyle w:val="Znakapoznpodarou"/>
        </w:rPr>
        <w:footnoteRef/>
      </w:r>
      <w:r>
        <w:t xml:space="preserve"> </w:t>
      </w:r>
      <w:r w:rsidRPr="00273106">
        <w:rPr>
          <w:noProof/>
        </w:rPr>
        <w:t xml:space="preserve">„Unde si aliquando dicat Philosophus, quod «nihil est in intellectu, quod prius non fuerit in sensu» et quod «omnis cognitio habet ortum a sensu»; intelligendum est de illis quae quidem habent </w:t>
      </w:r>
      <w:r w:rsidRPr="00273106">
        <w:rPr>
          <w:i/>
          <w:noProof/>
        </w:rPr>
        <w:t>esse</w:t>
      </w:r>
      <w:r w:rsidRPr="00273106">
        <w:rPr>
          <w:noProof/>
        </w:rPr>
        <w:t xml:space="preserve"> in anima per </w:t>
      </w:r>
      <w:r w:rsidRPr="00273106">
        <w:rPr>
          <w:i/>
          <w:noProof/>
        </w:rPr>
        <w:t>similitudinem abstractam</w:t>
      </w:r>
      <w:r w:rsidRPr="00273106">
        <w:rPr>
          <w:noProof/>
        </w:rPr>
        <w:t xml:space="preserve">; et illa dicuntur esse in anima ad modum scripturae. Et propterea valde notabiliter dicit Philosophus, quod in anima </w:t>
      </w:r>
      <w:r w:rsidRPr="00273106">
        <w:rPr>
          <w:i/>
          <w:noProof/>
        </w:rPr>
        <w:t>nihil scriptum</w:t>
      </w:r>
      <w:r w:rsidRPr="00273106">
        <w:rPr>
          <w:noProof/>
        </w:rPr>
        <w:t xml:space="preserve"> est, non quia nulla sit in ea notitia, sed quia nulla est in ea pictura vel </w:t>
      </w:r>
      <w:r w:rsidRPr="00273106">
        <w:rPr>
          <w:i/>
          <w:noProof/>
        </w:rPr>
        <w:t>similitudo abstracta</w:t>
      </w:r>
      <w:r w:rsidRPr="00273106">
        <w:rPr>
          <w:noProof/>
        </w:rPr>
        <w:t>.“ (</w:t>
      </w:r>
      <w:r w:rsidRPr="009F285F">
        <w:rPr>
          <w:i/>
          <w:noProof/>
        </w:rPr>
        <w:t xml:space="preserve">In </w:t>
      </w:r>
      <w:r>
        <w:rPr>
          <w:i/>
          <w:noProof/>
          <w:lang w:val="cs-CZ"/>
        </w:rPr>
        <w:t xml:space="preserve">II </w:t>
      </w:r>
      <w:r w:rsidRPr="009F285F">
        <w:rPr>
          <w:i/>
          <w:noProof/>
        </w:rPr>
        <w:t>Sent</w:t>
      </w:r>
      <w:r>
        <w:rPr>
          <w:i/>
          <w:noProof/>
          <w:lang w:val="cs-CZ"/>
        </w:rPr>
        <w:t>.</w:t>
      </w:r>
      <w:r w:rsidRPr="00273106">
        <w:rPr>
          <w:noProof/>
        </w:rPr>
        <w:t>, d. 39, a. 1, q. 2</w:t>
      </w:r>
      <w:r>
        <w:rPr>
          <w:noProof/>
          <w:lang w:val="cs-CZ"/>
        </w:rPr>
        <w:t>;</w:t>
      </w:r>
      <w:r w:rsidRPr="00273106">
        <w:rPr>
          <w:noProof/>
        </w:rPr>
        <w:t xml:space="preserve"> </w:t>
      </w:r>
      <w:r w:rsidRPr="00970BE9">
        <w:rPr>
          <w:i/>
          <w:noProof/>
        </w:rPr>
        <w:t>Opera omnia</w:t>
      </w:r>
      <w:r>
        <w:rPr>
          <w:noProof/>
        </w:rPr>
        <w:t xml:space="preserve"> </w:t>
      </w:r>
      <w:r>
        <w:rPr>
          <w:noProof/>
          <w:lang w:val="cs-CZ"/>
        </w:rPr>
        <w:t>2</w:t>
      </w:r>
      <w:r>
        <w:rPr>
          <w:noProof/>
        </w:rPr>
        <w:t>,</w:t>
      </w:r>
      <w:r w:rsidRPr="00273106">
        <w:rPr>
          <w:noProof/>
        </w:rPr>
        <w:t xml:space="preserve"> 904b</w:t>
      </w:r>
      <w:r>
        <w:rPr>
          <w:noProof/>
          <w:lang w:val="cs-CZ"/>
        </w:rPr>
        <w:fldChar w:fldCharType="begin"/>
      </w:r>
      <w:r>
        <w:instrText xml:space="preserve"> XE "</w:instrText>
      </w:r>
      <w:r>
        <w:rPr>
          <w:lang w:val="cs-CZ"/>
        </w:rPr>
        <w:instrText>Bonaventura:</w:instrText>
      </w:r>
      <w:r w:rsidRPr="00A76C41">
        <w:rPr>
          <w:i/>
          <w:iCs/>
          <w:noProof/>
        </w:rPr>
        <w:instrText>In II. Sent.</w:instrText>
      </w:r>
      <w:r>
        <w:rPr>
          <w:noProof/>
        </w:rPr>
        <w:instrText xml:space="preserve"> </w:instrText>
      </w:r>
      <w:r>
        <w:rPr>
          <w:noProof/>
          <w:lang w:val="cs-CZ"/>
        </w:rPr>
        <w:instrText>904</w:instrText>
      </w:r>
      <w:r>
        <w:rPr>
          <w:noProof/>
        </w:rPr>
        <w:instrText>b</w:instrText>
      </w:r>
      <w:r>
        <w:instrText xml:space="preserve">" </w:instrText>
      </w:r>
      <w:r>
        <w:rPr>
          <w:noProof/>
          <w:lang w:val="cs-CZ"/>
        </w:rPr>
        <w:fldChar w:fldCharType="end"/>
      </w:r>
      <w:r w:rsidRPr="00273106">
        <w:rPr>
          <w:noProof/>
        </w:rPr>
        <w:t>)</w:t>
      </w:r>
    </w:p>
  </w:footnote>
  <w:footnote w:id="54">
    <w:p w:rsidR="00971E82" w:rsidRPr="00811FEC" w:rsidRDefault="00971E82" w:rsidP="08163013">
      <w:pPr>
        <w:pStyle w:val="Textpoznpodarou"/>
      </w:pPr>
      <w:r>
        <w:rPr>
          <w:rStyle w:val="Znakapoznpodarou"/>
        </w:rPr>
        <w:footnoteRef/>
      </w:r>
      <w:r>
        <w:t xml:space="preserve"> „</w:t>
      </w:r>
      <w:r w:rsidRPr="00811FEC">
        <w:t>Ce que S. Bonaventure, Matthieu d'Aquasparta</w:t>
      </w:r>
      <w:r>
        <w:fldChar w:fldCharType="begin"/>
      </w:r>
      <w:r>
        <w:instrText xml:space="preserve"> XE "</w:instrText>
      </w:r>
      <w:r w:rsidRPr="003B1826">
        <w:instrText>Aquasparta, M.</w:instrText>
      </w:r>
      <w:r>
        <w:instrText xml:space="preserve">" </w:instrText>
      </w:r>
      <w:r>
        <w:fldChar w:fldCharType="end"/>
      </w:r>
      <w:r w:rsidRPr="00811FEC">
        <w:t xml:space="preserve"> et Roger Marston ont lu dans ses écrits, c'est une explicatio</w:t>
      </w:r>
      <w:r>
        <w:t xml:space="preserve">n de la </w:t>
      </w:r>
      <w:r w:rsidRPr="00811FEC">
        <w:rPr>
          <w:i/>
        </w:rPr>
        <w:t>scientia certitudinalis</w:t>
      </w:r>
      <w:r w:rsidRPr="00811FEC">
        <w:t xml:space="preserve">; le point d'application de leur réflexion a toujours été </w:t>
      </w:r>
      <w:r>
        <w:t xml:space="preserve">la </w:t>
      </w:r>
      <w:r w:rsidRPr="00811FEC">
        <w:rPr>
          <w:i/>
        </w:rPr>
        <w:t>certitudinalitas scientiae</w:t>
      </w:r>
      <w:r>
        <w:t xml:space="preserve"> </w:t>
      </w:r>
      <w:r w:rsidRPr="00811FEC">
        <w:t>de sorte que la doctrine au</w:t>
      </w:r>
      <w:r>
        <w:t>gustinienne de l'illumination, essen</w:t>
      </w:r>
      <w:r w:rsidRPr="00811FEC">
        <w:t>tiellement faite pour rendre raison de la vérité des jugements nécessaires, s'est trouvée aux prises avec une tâche pour laquelle elle n'était pas faite, lorsqu'elle s'est vue mise en demeure d'expliquer l'origine des concepts.</w:t>
      </w:r>
      <w:r>
        <w:t>“ (Gilson 1934, 323)</w:t>
      </w:r>
    </w:p>
  </w:footnote>
  <w:footnote w:id="55">
    <w:p w:rsidR="00971E82" w:rsidRPr="000825A3" w:rsidRDefault="00971E82" w:rsidP="08163013">
      <w:pPr>
        <w:pStyle w:val="Textpoznpodarou"/>
        <w:rPr>
          <w:noProof/>
          <w:lang w:val="cs-CZ"/>
        </w:rPr>
      </w:pPr>
      <w:r>
        <w:rPr>
          <w:rStyle w:val="Znakapoznpodarou"/>
        </w:rPr>
        <w:footnoteRef/>
      </w:r>
      <w:r>
        <w:t xml:space="preserve"> </w:t>
      </w:r>
      <w:r w:rsidRPr="00273106">
        <w:rPr>
          <w:noProof/>
          <w:szCs w:val="10"/>
        </w:rPr>
        <w:t>„I</w:t>
      </w:r>
      <w:r w:rsidRPr="00273106">
        <w:rPr>
          <w:noProof/>
        </w:rPr>
        <w:t xml:space="preserve">ntellectus </w:t>
      </w:r>
      <w:r w:rsidRPr="00273106">
        <w:rPr>
          <w:i/>
          <w:noProof/>
          <w:szCs w:val="14"/>
        </w:rPr>
        <w:t>agens</w:t>
      </w:r>
      <w:r w:rsidRPr="00273106">
        <w:rPr>
          <w:noProof/>
          <w:szCs w:val="14"/>
        </w:rPr>
        <w:t xml:space="preserve"> </w:t>
      </w:r>
      <w:r w:rsidRPr="00273106">
        <w:rPr>
          <w:noProof/>
        </w:rPr>
        <w:t xml:space="preserve">aut </w:t>
      </w:r>
      <w:r w:rsidRPr="00273106">
        <w:rPr>
          <w:i/>
          <w:noProof/>
        </w:rPr>
        <w:t>intelligit</w:t>
      </w:r>
      <w:r w:rsidRPr="00273106">
        <w:rPr>
          <w:noProof/>
        </w:rPr>
        <w:t xml:space="preserve">, aut </w:t>
      </w:r>
      <w:r w:rsidRPr="00273106">
        <w:rPr>
          <w:i/>
          <w:noProof/>
        </w:rPr>
        <w:t>non</w:t>
      </w:r>
      <w:r w:rsidRPr="00273106">
        <w:rPr>
          <w:noProof/>
        </w:rPr>
        <w:t xml:space="preserve">. </w:t>
      </w:r>
      <w:r w:rsidRPr="00273106">
        <w:rPr>
          <w:noProof/>
          <w:szCs w:val="10"/>
        </w:rPr>
        <w:t xml:space="preserve">Si </w:t>
      </w:r>
      <w:r w:rsidRPr="00273106">
        <w:rPr>
          <w:noProof/>
          <w:szCs w:val="16"/>
        </w:rPr>
        <w:t>non</w:t>
      </w:r>
      <w:r w:rsidRPr="00273106">
        <w:rPr>
          <w:noProof/>
          <w:szCs w:val="6"/>
        </w:rPr>
        <w:t xml:space="preserve">: </w:t>
      </w:r>
      <w:r w:rsidRPr="00273106">
        <w:rPr>
          <w:noProof/>
        </w:rPr>
        <w:t xml:space="preserve">ergo </w:t>
      </w:r>
      <w:r w:rsidRPr="00273106">
        <w:rPr>
          <w:noProof/>
          <w:szCs w:val="15"/>
        </w:rPr>
        <w:t xml:space="preserve">non </w:t>
      </w:r>
      <w:r w:rsidRPr="00273106">
        <w:rPr>
          <w:noProof/>
        </w:rPr>
        <w:t xml:space="preserve">debet </w:t>
      </w:r>
      <w:r w:rsidRPr="00273106">
        <w:rPr>
          <w:noProof/>
          <w:szCs w:val="10"/>
        </w:rPr>
        <w:t xml:space="preserve">dici </w:t>
      </w:r>
      <w:r w:rsidRPr="00273106">
        <w:rPr>
          <w:noProof/>
        </w:rPr>
        <w:t xml:space="preserve">intellectus nec </w:t>
      </w:r>
      <w:r w:rsidRPr="00273106">
        <w:rPr>
          <w:noProof/>
          <w:szCs w:val="12"/>
        </w:rPr>
        <w:t xml:space="preserve">potentia </w:t>
      </w:r>
      <w:r w:rsidRPr="00273106">
        <w:rPr>
          <w:noProof/>
        </w:rPr>
        <w:t xml:space="preserve">intellectiva. Si </w:t>
      </w:r>
      <w:r w:rsidRPr="00273106">
        <w:rPr>
          <w:i/>
          <w:noProof/>
          <w:szCs w:val="12"/>
        </w:rPr>
        <w:t>sic</w:t>
      </w:r>
      <w:r w:rsidRPr="00273106">
        <w:rPr>
          <w:noProof/>
          <w:szCs w:val="12"/>
        </w:rPr>
        <w:t xml:space="preserve">; </w:t>
      </w:r>
      <w:r w:rsidRPr="00273106">
        <w:rPr>
          <w:noProof/>
          <w:szCs w:val="17"/>
        </w:rPr>
        <w:t xml:space="preserve">cum </w:t>
      </w:r>
      <w:r w:rsidRPr="00273106">
        <w:rPr>
          <w:noProof/>
        </w:rPr>
        <w:t xml:space="preserve">intellectus </w:t>
      </w:r>
      <w:r w:rsidRPr="00273106">
        <w:rPr>
          <w:noProof/>
          <w:szCs w:val="14"/>
        </w:rPr>
        <w:t xml:space="preserve">non </w:t>
      </w:r>
      <w:r w:rsidRPr="00273106">
        <w:rPr>
          <w:noProof/>
          <w:szCs w:val="12"/>
        </w:rPr>
        <w:t>pos</w:t>
      </w:r>
      <w:r w:rsidRPr="00273106">
        <w:rPr>
          <w:noProof/>
          <w:szCs w:val="10"/>
        </w:rPr>
        <w:t xml:space="preserve">sit </w:t>
      </w:r>
      <w:r w:rsidRPr="00273106">
        <w:rPr>
          <w:noProof/>
        </w:rPr>
        <w:t xml:space="preserve">intelligere </w:t>
      </w:r>
      <w:r w:rsidRPr="00273106">
        <w:rPr>
          <w:noProof/>
          <w:szCs w:val="12"/>
        </w:rPr>
        <w:t xml:space="preserve">aliud </w:t>
      </w:r>
      <w:r w:rsidRPr="00273106">
        <w:rPr>
          <w:noProof/>
        </w:rPr>
        <w:t xml:space="preserve">a </w:t>
      </w:r>
      <w:r w:rsidRPr="00273106">
        <w:rPr>
          <w:noProof/>
          <w:szCs w:val="10"/>
        </w:rPr>
        <w:t xml:space="preserve">se, nisi </w:t>
      </w:r>
      <w:r w:rsidRPr="00273106">
        <w:rPr>
          <w:noProof/>
          <w:szCs w:val="14"/>
        </w:rPr>
        <w:t xml:space="preserve">speciem </w:t>
      </w:r>
      <w:r w:rsidRPr="00273106">
        <w:rPr>
          <w:noProof/>
          <w:szCs w:val="10"/>
        </w:rPr>
        <w:t xml:space="preserve">illius </w:t>
      </w:r>
      <w:r w:rsidRPr="00273106">
        <w:rPr>
          <w:noProof/>
          <w:szCs w:val="12"/>
        </w:rPr>
        <w:t xml:space="preserve">habeat </w:t>
      </w:r>
      <w:r w:rsidRPr="00273106">
        <w:rPr>
          <w:noProof/>
        </w:rPr>
        <w:t xml:space="preserve">in </w:t>
      </w:r>
      <w:r w:rsidRPr="00273106">
        <w:rPr>
          <w:noProof/>
          <w:szCs w:val="12"/>
        </w:rPr>
        <w:t xml:space="preserve">se </w:t>
      </w:r>
      <w:r w:rsidRPr="00273106">
        <w:rPr>
          <w:noProof/>
        </w:rPr>
        <w:t xml:space="preserve">et </w:t>
      </w:r>
      <w:r w:rsidRPr="00273106">
        <w:rPr>
          <w:noProof/>
          <w:szCs w:val="14"/>
        </w:rPr>
        <w:t xml:space="preserve">penes </w:t>
      </w:r>
      <w:r w:rsidRPr="00273106">
        <w:rPr>
          <w:noProof/>
          <w:szCs w:val="10"/>
        </w:rPr>
        <w:t xml:space="preserve">se, et </w:t>
      </w:r>
      <w:r w:rsidRPr="00273106">
        <w:rPr>
          <w:noProof/>
          <w:szCs w:val="16"/>
        </w:rPr>
        <w:t xml:space="preserve">omne </w:t>
      </w:r>
      <w:r w:rsidRPr="00273106">
        <w:rPr>
          <w:noProof/>
        </w:rPr>
        <w:t xml:space="preserve">illud </w:t>
      </w:r>
      <w:r w:rsidRPr="00273106">
        <w:rPr>
          <w:noProof/>
          <w:szCs w:val="15"/>
        </w:rPr>
        <w:t xml:space="preserve">quod </w:t>
      </w:r>
      <w:r w:rsidRPr="00273106">
        <w:rPr>
          <w:noProof/>
        </w:rPr>
        <w:t xml:space="preserve">est </w:t>
      </w:r>
      <w:r w:rsidRPr="00273106">
        <w:rPr>
          <w:noProof/>
          <w:szCs w:val="12"/>
        </w:rPr>
        <w:t xml:space="preserve">susceptibile </w:t>
      </w:r>
      <w:r w:rsidRPr="00273106">
        <w:rPr>
          <w:noProof/>
        </w:rPr>
        <w:t>speciei</w:t>
      </w:r>
      <w:r w:rsidRPr="00273106">
        <w:rPr>
          <w:noProof/>
          <w:szCs w:val="5"/>
        </w:rPr>
        <w:t xml:space="preserve">, </w:t>
      </w:r>
      <w:r w:rsidRPr="00273106">
        <w:rPr>
          <w:noProof/>
          <w:szCs w:val="9"/>
        </w:rPr>
        <w:t xml:space="preserve">sit </w:t>
      </w:r>
      <w:r w:rsidRPr="00273106">
        <w:rPr>
          <w:noProof/>
        </w:rPr>
        <w:t xml:space="preserve">aliquo </w:t>
      </w:r>
      <w:r w:rsidRPr="00273106">
        <w:rPr>
          <w:noProof/>
          <w:szCs w:val="17"/>
        </w:rPr>
        <w:t xml:space="preserve">modo </w:t>
      </w:r>
      <w:r w:rsidRPr="00273106">
        <w:rPr>
          <w:noProof/>
          <w:szCs w:val="12"/>
        </w:rPr>
        <w:t>possibile</w:t>
      </w:r>
      <w:r w:rsidRPr="00273106">
        <w:rPr>
          <w:noProof/>
          <w:szCs w:val="4"/>
        </w:rPr>
        <w:t xml:space="preserve">: </w:t>
      </w:r>
      <w:r w:rsidRPr="00273106">
        <w:rPr>
          <w:noProof/>
        </w:rPr>
        <w:t xml:space="preserve">ergo intellectus </w:t>
      </w:r>
      <w:r w:rsidRPr="00273106">
        <w:rPr>
          <w:noProof/>
          <w:szCs w:val="14"/>
        </w:rPr>
        <w:t xml:space="preserve">agens </w:t>
      </w:r>
      <w:r w:rsidRPr="00273106">
        <w:rPr>
          <w:noProof/>
        </w:rPr>
        <w:t xml:space="preserve">est aliquo </w:t>
      </w:r>
      <w:r w:rsidRPr="00273106">
        <w:rPr>
          <w:noProof/>
          <w:szCs w:val="16"/>
        </w:rPr>
        <w:t xml:space="preserve">modo </w:t>
      </w:r>
      <w:r w:rsidRPr="00273106">
        <w:rPr>
          <w:noProof/>
        </w:rPr>
        <w:t>possibilis</w:t>
      </w:r>
      <w:r w:rsidRPr="00273106">
        <w:rPr>
          <w:noProof/>
          <w:szCs w:val="3"/>
        </w:rPr>
        <w:t xml:space="preserve">: </w:t>
      </w:r>
      <w:r w:rsidRPr="00273106">
        <w:rPr>
          <w:noProof/>
        </w:rPr>
        <w:t xml:space="preserve">ergo </w:t>
      </w:r>
      <w:r w:rsidRPr="00273106">
        <w:rPr>
          <w:noProof/>
          <w:szCs w:val="14"/>
        </w:rPr>
        <w:t xml:space="preserve">non </w:t>
      </w:r>
      <w:r w:rsidRPr="00273106">
        <w:rPr>
          <w:noProof/>
        </w:rPr>
        <w:t>dividi</w:t>
      </w:r>
      <w:r w:rsidRPr="00273106">
        <w:rPr>
          <w:noProof/>
          <w:szCs w:val="12"/>
        </w:rPr>
        <w:t xml:space="preserve">tur </w:t>
      </w:r>
      <w:r w:rsidRPr="00273106">
        <w:rPr>
          <w:noProof/>
        </w:rPr>
        <w:t xml:space="preserve">per essentiam </w:t>
      </w:r>
      <w:r w:rsidRPr="00273106">
        <w:rPr>
          <w:noProof/>
          <w:szCs w:val="12"/>
        </w:rPr>
        <w:t xml:space="preserve">a </w:t>
      </w:r>
      <w:r w:rsidRPr="00273106">
        <w:rPr>
          <w:noProof/>
        </w:rPr>
        <w:t>possibili.“ (</w:t>
      </w:r>
      <w:r w:rsidRPr="00273106">
        <w:rPr>
          <w:i/>
          <w:noProof/>
        </w:rPr>
        <w:t>In II. Sent</w:t>
      </w:r>
      <w:r w:rsidRPr="00273106">
        <w:rPr>
          <w:noProof/>
        </w:rPr>
        <w:t xml:space="preserve">., d. 24, p. 1, a. 2, q. 4, item 6; </w:t>
      </w:r>
      <w:r w:rsidRPr="00970BE9">
        <w:rPr>
          <w:i/>
          <w:noProof/>
        </w:rPr>
        <w:t>Opera omnia</w:t>
      </w:r>
      <w:r>
        <w:rPr>
          <w:noProof/>
        </w:rPr>
        <w:t xml:space="preserve"> </w:t>
      </w:r>
      <w:r>
        <w:rPr>
          <w:noProof/>
          <w:lang w:val="cs-CZ"/>
        </w:rPr>
        <w:t>2</w:t>
      </w:r>
      <w:r w:rsidRPr="00273106">
        <w:rPr>
          <w:noProof/>
        </w:rPr>
        <w:t xml:space="preserve">, </w:t>
      </w:r>
      <w:r>
        <w:rPr>
          <w:noProof/>
        </w:rPr>
        <w:t>568a</w:t>
      </w:r>
      <w:r>
        <w:rPr>
          <w:noProof/>
          <w:lang w:val="cs-CZ"/>
        </w:rPr>
        <w:fldChar w:fldCharType="begin"/>
      </w:r>
      <w:r>
        <w:instrText xml:space="preserve"> XE "</w:instrText>
      </w:r>
      <w:r>
        <w:rPr>
          <w:lang w:val="cs-CZ"/>
        </w:rPr>
        <w:instrText>Bonaventura:</w:instrText>
      </w:r>
      <w:r w:rsidRPr="00A76C41">
        <w:rPr>
          <w:i/>
          <w:iCs/>
          <w:noProof/>
        </w:rPr>
        <w:instrText>In II. Sent.</w:instrText>
      </w:r>
      <w:r>
        <w:rPr>
          <w:noProof/>
        </w:rPr>
        <w:instrText xml:space="preserve"> </w:instrText>
      </w:r>
      <w:r>
        <w:rPr>
          <w:noProof/>
          <w:lang w:val="cs-CZ"/>
        </w:rPr>
        <w:instrText>568a</w:instrText>
      </w:r>
      <w:r>
        <w:instrText xml:space="preserve">" </w:instrText>
      </w:r>
      <w:r>
        <w:rPr>
          <w:noProof/>
          <w:lang w:val="cs-CZ"/>
        </w:rPr>
        <w:fldChar w:fldCharType="end"/>
      </w:r>
      <w:r>
        <w:rPr>
          <w:noProof/>
          <w:lang w:val="cs-CZ"/>
        </w:rPr>
        <w:t>)</w:t>
      </w:r>
    </w:p>
  </w:footnote>
  <w:footnote w:id="56">
    <w:p w:rsidR="00971E82" w:rsidRPr="00CC1502" w:rsidRDefault="00971E82" w:rsidP="08163013">
      <w:pPr>
        <w:pStyle w:val="Textpoznpodarou"/>
        <w:rPr>
          <w:noProof/>
          <w:lang w:val="cs-CZ"/>
        </w:rPr>
      </w:pPr>
      <w:r>
        <w:rPr>
          <w:rStyle w:val="Znakapoznpodarou"/>
        </w:rPr>
        <w:footnoteRef/>
      </w:r>
      <w:r>
        <w:t xml:space="preserve"> </w:t>
      </w:r>
      <w:r w:rsidRPr="00273106">
        <w:rPr>
          <w:noProof/>
        </w:rPr>
        <w:t xml:space="preserve">„Appropriatur autem </w:t>
      </w:r>
      <w:r w:rsidRPr="00273106">
        <w:rPr>
          <w:noProof/>
          <w:szCs w:val="10"/>
        </w:rPr>
        <w:t>in</w:t>
      </w:r>
      <w:r w:rsidRPr="00273106">
        <w:rPr>
          <w:noProof/>
          <w:szCs w:val="11"/>
        </w:rPr>
        <w:t xml:space="preserve">tellectus </w:t>
      </w:r>
      <w:r w:rsidRPr="00273106">
        <w:rPr>
          <w:noProof/>
          <w:szCs w:val="13"/>
        </w:rPr>
        <w:t xml:space="preserve">agens </w:t>
      </w:r>
      <w:r w:rsidRPr="00273106">
        <w:rPr>
          <w:i/>
          <w:noProof/>
          <w:szCs w:val="13"/>
        </w:rPr>
        <w:t>formae</w:t>
      </w:r>
      <w:r w:rsidRPr="00273106">
        <w:rPr>
          <w:noProof/>
          <w:szCs w:val="13"/>
        </w:rPr>
        <w:t xml:space="preserve"> </w:t>
      </w:r>
      <w:r w:rsidRPr="00273106">
        <w:rPr>
          <w:noProof/>
          <w:szCs w:val="10"/>
        </w:rPr>
        <w:t xml:space="preserve">et </w:t>
      </w:r>
      <w:r w:rsidRPr="00273106">
        <w:rPr>
          <w:noProof/>
          <w:szCs w:val="11"/>
        </w:rPr>
        <w:t xml:space="preserve">possibilis </w:t>
      </w:r>
      <w:r w:rsidRPr="00273106">
        <w:rPr>
          <w:i/>
          <w:noProof/>
          <w:szCs w:val="14"/>
        </w:rPr>
        <w:t>materiae</w:t>
      </w:r>
      <w:r w:rsidRPr="00273106">
        <w:rPr>
          <w:noProof/>
          <w:szCs w:val="6"/>
        </w:rPr>
        <w:t xml:space="preserve">, </w:t>
      </w:r>
      <w:r w:rsidRPr="00273106">
        <w:rPr>
          <w:noProof/>
          <w:szCs w:val="13"/>
        </w:rPr>
        <w:t xml:space="preserve">quia </w:t>
      </w:r>
      <w:r w:rsidRPr="00273106">
        <w:rPr>
          <w:noProof/>
          <w:szCs w:val="11"/>
        </w:rPr>
        <w:t xml:space="preserve">intellectus possibilis </w:t>
      </w:r>
      <w:r w:rsidRPr="00273106">
        <w:rPr>
          <w:noProof/>
          <w:szCs w:val="13"/>
        </w:rPr>
        <w:t xml:space="preserve">ordinatur </w:t>
      </w:r>
      <w:r w:rsidRPr="00273106">
        <w:rPr>
          <w:noProof/>
          <w:szCs w:val="14"/>
        </w:rPr>
        <w:t xml:space="preserve">ad </w:t>
      </w:r>
      <w:r w:rsidRPr="00273106">
        <w:rPr>
          <w:i/>
          <w:noProof/>
          <w:szCs w:val="16"/>
        </w:rPr>
        <w:t>suscipiendum</w:t>
      </w:r>
      <w:r w:rsidRPr="00273106">
        <w:rPr>
          <w:noProof/>
          <w:szCs w:val="16"/>
        </w:rPr>
        <w:t xml:space="preserve">, </w:t>
      </w:r>
      <w:r w:rsidRPr="00273106">
        <w:rPr>
          <w:noProof/>
          <w:szCs w:val="10"/>
        </w:rPr>
        <w:t>in</w:t>
      </w:r>
      <w:r w:rsidRPr="00273106">
        <w:rPr>
          <w:noProof/>
          <w:szCs w:val="11"/>
        </w:rPr>
        <w:t xml:space="preserve">tellectus </w:t>
      </w:r>
      <w:r w:rsidRPr="00273106">
        <w:rPr>
          <w:noProof/>
          <w:szCs w:val="13"/>
        </w:rPr>
        <w:t xml:space="preserve">agens ordinatur ad </w:t>
      </w:r>
      <w:r w:rsidRPr="00273106">
        <w:rPr>
          <w:i/>
          <w:noProof/>
        </w:rPr>
        <w:t>abstrahendum</w:t>
      </w:r>
      <w:r w:rsidRPr="00273106">
        <w:rPr>
          <w:noProof/>
          <w:szCs w:val="6"/>
        </w:rPr>
        <w:t xml:space="preserve">; </w:t>
      </w:r>
      <w:r w:rsidRPr="00273106">
        <w:rPr>
          <w:noProof/>
          <w:szCs w:val="13"/>
        </w:rPr>
        <w:t xml:space="preserve">nec </w:t>
      </w:r>
      <w:r w:rsidRPr="00273106">
        <w:rPr>
          <w:noProof/>
          <w:szCs w:val="11"/>
        </w:rPr>
        <w:t xml:space="preserve">intellectus possibilis est </w:t>
      </w:r>
      <w:r w:rsidRPr="00273106">
        <w:rPr>
          <w:i/>
          <w:noProof/>
        </w:rPr>
        <w:t xml:space="preserve">pure </w:t>
      </w:r>
      <w:r w:rsidRPr="00273106">
        <w:rPr>
          <w:i/>
          <w:noProof/>
          <w:szCs w:val="14"/>
        </w:rPr>
        <w:t>passivus</w:t>
      </w:r>
      <w:r w:rsidRPr="00273106">
        <w:rPr>
          <w:noProof/>
          <w:szCs w:val="7"/>
        </w:rPr>
        <w:t xml:space="preserve">; </w:t>
      </w:r>
      <w:r w:rsidRPr="00273106">
        <w:rPr>
          <w:noProof/>
          <w:szCs w:val="13"/>
        </w:rPr>
        <w:t xml:space="preserve">habet </w:t>
      </w:r>
      <w:r w:rsidRPr="00273106">
        <w:rPr>
          <w:noProof/>
        </w:rPr>
        <w:t xml:space="preserve">enim </w:t>
      </w:r>
      <w:r w:rsidRPr="00273106">
        <w:rPr>
          <w:noProof/>
          <w:szCs w:val="14"/>
        </w:rPr>
        <w:t xml:space="preserve">supra speciem </w:t>
      </w:r>
      <w:r w:rsidRPr="00273106">
        <w:rPr>
          <w:noProof/>
          <w:szCs w:val="13"/>
        </w:rPr>
        <w:t xml:space="preserve">existentem </w:t>
      </w:r>
      <w:r w:rsidRPr="00273106">
        <w:rPr>
          <w:noProof/>
          <w:szCs w:val="10"/>
        </w:rPr>
        <w:t xml:space="preserve">in </w:t>
      </w:r>
      <w:r w:rsidRPr="00273106">
        <w:rPr>
          <w:noProof/>
          <w:szCs w:val="14"/>
        </w:rPr>
        <w:t xml:space="preserve">phantasmate </w:t>
      </w:r>
      <w:r w:rsidRPr="00273106">
        <w:rPr>
          <w:noProof/>
          <w:szCs w:val="11"/>
        </w:rPr>
        <w:t xml:space="preserve">se </w:t>
      </w:r>
      <w:r w:rsidRPr="00273106">
        <w:rPr>
          <w:i/>
          <w:noProof/>
          <w:szCs w:val="13"/>
        </w:rPr>
        <w:t>con</w:t>
      </w:r>
      <w:r w:rsidRPr="00273106">
        <w:rPr>
          <w:i/>
          <w:noProof/>
          <w:szCs w:val="12"/>
        </w:rPr>
        <w:t>vertere</w:t>
      </w:r>
      <w:r w:rsidRPr="00273106">
        <w:rPr>
          <w:noProof/>
          <w:szCs w:val="7"/>
        </w:rPr>
        <w:t xml:space="preserve">, </w:t>
      </w:r>
      <w:r w:rsidRPr="00273106">
        <w:rPr>
          <w:noProof/>
          <w:szCs w:val="11"/>
        </w:rPr>
        <w:t xml:space="preserve">et </w:t>
      </w:r>
      <w:r w:rsidRPr="00273106">
        <w:rPr>
          <w:noProof/>
          <w:szCs w:val="14"/>
        </w:rPr>
        <w:t xml:space="preserve">convertendo </w:t>
      </w:r>
      <w:r w:rsidRPr="00273106">
        <w:rPr>
          <w:noProof/>
          <w:szCs w:val="13"/>
        </w:rPr>
        <w:t xml:space="preserve">per </w:t>
      </w:r>
      <w:r w:rsidRPr="00273106">
        <w:rPr>
          <w:noProof/>
          <w:szCs w:val="14"/>
        </w:rPr>
        <w:t xml:space="preserve">auxilium </w:t>
      </w:r>
      <w:r w:rsidRPr="00273106">
        <w:rPr>
          <w:noProof/>
          <w:szCs w:val="11"/>
        </w:rPr>
        <w:t xml:space="preserve">intellectus </w:t>
      </w:r>
      <w:r w:rsidRPr="00273106">
        <w:rPr>
          <w:noProof/>
          <w:szCs w:val="12"/>
        </w:rPr>
        <w:t xml:space="preserve">agentis illam </w:t>
      </w:r>
      <w:r w:rsidRPr="00273106">
        <w:rPr>
          <w:i/>
          <w:noProof/>
          <w:szCs w:val="13"/>
        </w:rPr>
        <w:t>suscipere</w:t>
      </w:r>
      <w:r w:rsidRPr="00273106">
        <w:rPr>
          <w:noProof/>
          <w:szCs w:val="6"/>
        </w:rPr>
        <w:t xml:space="preserve">, et </w:t>
      </w:r>
      <w:r w:rsidRPr="00273106">
        <w:rPr>
          <w:noProof/>
          <w:szCs w:val="14"/>
        </w:rPr>
        <w:t xml:space="preserve">de </w:t>
      </w:r>
      <w:r w:rsidRPr="00273106">
        <w:rPr>
          <w:noProof/>
          <w:szCs w:val="13"/>
        </w:rPr>
        <w:t xml:space="preserve">ea </w:t>
      </w:r>
      <w:r w:rsidRPr="00273106">
        <w:rPr>
          <w:i/>
          <w:noProof/>
          <w:szCs w:val="13"/>
        </w:rPr>
        <w:t>iudicare</w:t>
      </w:r>
      <w:r w:rsidRPr="00273106">
        <w:rPr>
          <w:noProof/>
          <w:szCs w:val="13"/>
        </w:rPr>
        <w:t xml:space="preserve">. </w:t>
      </w:r>
      <w:r w:rsidRPr="00273106">
        <w:rPr>
          <w:noProof/>
          <w:szCs w:val="12"/>
        </w:rPr>
        <w:t xml:space="preserve">Similiter </w:t>
      </w:r>
      <w:r w:rsidRPr="00273106">
        <w:rPr>
          <w:noProof/>
          <w:szCs w:val="13"/>
        </w:rPr>
        <w:t xml:space="preserve">nec </w:t>
      </w:r>
      <w:r w:rsidRPr="00273106">
        <w:rPr>
          <w:noProof/>
          <w:szCs w:val="11"/>
        </w:rPr>
        <w:t xml:space="preserve">intellectus </w:t>
      </w:r>
      <w:r w:rsidRPr="00273106">
        <w:rPr>
          <w:noProof/>
          <w:szCs w:val="13"/>
        </w:rPr>
        <w:t xml:space="preserve">agens </w:t>
      </w:r>
      <w:r w:rsidRPr="00273106">
        <w:rPr>
          <w:noProof/>
          <w:szCs w:val="11"/>
        </w:rPr>
        <w:t xml:space="preserve">est </w:t>
      </w:r>
      <w:r w:rsidRPr="00273106">
        <w:rPr>
          <w:i/>
          <w:noProof/>
          <w:szCs w:val="16"/>
        </w:rPr>
        <w:t>omnino</w:t>
      </w:r>
      <w:r w:rsidRPr="00273106">
        <w:rPr>
          <w:noProof/>
          <w:szCs w:val="16"/>
        </w:rPr>
        <w:t xml:space="preserve"> </w:t>
      </w:r>
      <w:r w:rsidRPr="00273106">
        <w:rPr>
          <w:i/>
          <w:noProof/>
          <w:szCs w:val="12"/>
        </w:rPr>
        <w:t xml:space="preserve">in </w:t>
      </w:r>
      <w:r w:rsidRPr="00273106">
        <w:rPr>
          <w:i/>
          <w:noProof/>
          <w:szCs w:val="14"/>
        </w:rPr>
        <w:t>actu</w:t>
      </w:r>
      <w:r w:rsidRPr="00273106">
        <w:rPr>
          <w:noProof/>
          <w:szCs w:val="8"/>
        </w:rPr>
        <w:t xml:space="preserve">; </w:t>
      </w:r>
      <w:r w:rsidRPr="00273106">
        <w:rPr>
          <w:noProof/>
          <w:szCs w:val="14"/>
        </w:rPr>
        <w:t xml:space="preserve">non </w:t>
      </w:r>
      <w:r w:rsidRPr="00273106">
        <w:rPr>
          <w:noProof/>
          <w:szCs w:val="12"/>
        </w:rPr>
        <w:t xml:space="preserve">enim potest </w:t>
      </w:r>
      <w:r w:rsidRPr="00273106">
        <w:rPr>
          <w:noProof/>
          <w:szCs w:val="11"/>
        </w:rPr>
        <w:t xml:space="preserve">intelligere </w:t>
      </w:r>
      <w:r w:rsidRPr="00273106">
        <w:rPr>
          <w:noProof/>
          <w:szCs w:val="12"/>
        </w:rPr>
        <w:t xml:space="preserve">aliud </w:t>
      </w:r>
      <w:r w:rsidRPr="00273106">
        <w:rPr>
          <w:noProof/>
          <w:szCs w:val="13"/>
        </w:rPr>
        <w:t xml:space="preserve">a </w:t>
      </w:r>
      <w:r w:rsidRPr="00273106">
        <w:rPr>
          <w:noProof/>
          <w:szCs w:val="12"/>
        </w:rPr>
        <w:t xml:space="preserve">se, </w:t>
      </w:r>
      <w:r w:rsidRPr="00273106">
        <w:rPr>
          <w:noProof/>
          <w:szCs w:val="10"/>
        </w:rPr>
        <w:t xml:space="preserve">nisi </w:t>
      </w:r>
      <w:r w:rsidRPr="00273106">
        <w:rPr>
          <w:noProof/>
          <w:szCs w:val="13"/>
        </w:rPr>
        <w:t xml:space="preserve">adiuvetur a </w:t>
      </w:r>
      <w:r w:rsidRPr="00273106">
        <w:rPr>
          <w:i/>
          <w:noProof/>
          <w:szCs w:val="12"/>
        </w:rPr>
        <w:t>spe</w:t>
      </w:r>
      <w:r w:rsidRPr="00273106">
        <w:rPr>
          <w:i/>
          <w:noProof/>
          <w:szCs w:val="11"/>
        </w:rPr>
        <w:t>cie</w:t>
      </w:r>
      <w:r w:rsidRPr="00273106">
        <w:rPr>
          <w:noProof/>
          <w:szCs w:val="11"/>
        </w:rPr>
        <w:t xml:space="preserve">, </w:t>
      </w:r>
      <w:r w:rsidRPr="00273106">
        <w:rPr>
          <w:noProof/>
          <w:szCs w:val="14"/>
        </w:rPr>
        <w:t xml:space="preserve">quae </w:t>
      </w:r>
      <w:r w:rsidRPr="00273106">
        <w:rPr>
          <w:noProof/>
          <w:szCs w:val="12"/>
        </w:rPr>
        <w:t xml:space="preserve">abstracta a </w:t>
      </w:r>
      <w:r w:rsidRPr="00273106">
        <w:rPr>
          <w:noProof/>
          <w:szCs w:val="14"/>
        </w:rPr>
        <w:t xml:space="preserve">phantasmate </w:t>
      </w:r>
      <w:r w:rsidRPr="00273106">
        <w:rPr>
          <w:noProof/>
          <w:szCs w:val="11"/>
        </w:rPr>
        <w:t xml:space="preserve">intellectui </w:t>
      </w:r>
      <w:r w:rsidRPr="00273106">
        <w:rPr>
          <w:noProof/>
          <w:szCs w:val="13"/>
        </w:rPr>
        <w:t xml:space="preserve">habet </w:t>
      </w:r>
      <w:r w:rsidRPr="00273106">
        <w:rPr>
          <w:noProof/>
          <w:szCs w:val="11"/>
        </w:rPr>
        <w:t>uniri.“ (</w:t>
      </w:r>
      <w:r w:rsidRPr="00273106">
        <w:rPr>
          <w:i/>
          <w:noProof/>
          <w:szCs w:val="11"/>
        </w:rPr>
        <w:t>In II. Sent</w:t>
      </w:r>
      <w:r w:rsidRPr="00273106">
        <w:rPr>
          <w:noProof/>
          <w:szCs w:val="11"/>
        </w:rPr>
        <w:t xml:space="preserve">., d. 24, p. 1, a. 2, q. 4, resp., ad 4; </w:t>
      </w:r>
      <w:r w:rsidRPr="00970BE9">
        <w:rPr>
          <w:i/>
          <w:noProof/>
          <w:szCs w:val="11"/>
        </w:rPr>
        <w:t>Opera omnia</w:t>
      </w:r>
      <w:r>
        <w:rPr>
          <w:noProof/>
          <w:szCs w:val="11"/>
        </w:rPr>
        <w:t xml:space="preserve"> </w:t>
      </w:r>
      <w:r>
        <w:rPr>
          <w:noProof/>
          <w:szCs w:val="11"/>
          <w:lang w:val="cs-CZ"/>
        </w:rPr>
        <w:t>2</w:t>
      </w:r>
      <w:r w:rsidRPr="00273106">
        <w:rPr>
          <w:noProof/>
          <w:szCs w:val="11"/>
        </w:rPr>
        <w:t>, 569a</w:t>
      </w:r>
      <w:r>
        <w:rPr>
          <w:noProof/>
          <w:lang w:val="cs-CZ"/>
        </w:rPr>
        <w:fldChar w:fldCharType="begin"/>
      </w:r>
      <w:r>
        <w:instrText xml:space="preserve"> XE "</w:instrText>
      </w:r>
      <w:r>
        <w:rPr>
          <w:lang w:val="cs-CZ"/>
        </w:rPr>
        <w:instrText>Bonaventura:</w:instrText>
      </w:r>
      <w:r w:rsidRPr="00A76C41">
        <w:rPr>
          <w:i/>
          <w:iCs/>
          <w:noProof/>
        </w:rPr>
        <w:instrText>In II. Sent.</w:instrText>
      </w:r>
      <w:r>
        <w:rPr>
          <w:noProof/>
        </w:rPr>
        <w:instrText xml:space="preserve"> </w:instrText>
      </w:r>
      <w:r>
        <w:rPr>
          <w:noProof/>
          <w:lang w:val="cs-CZ"/>
        </w:rPr>
        <w:instrText>569a</w:instrText>
      </w:r>
      <w:r>
        <w:instrText xml:space="preserve">" </w:instrText>
      </w:r>
      <w:r>
        <w:rPr>
          <w:noProof/>
          <w:lang w:val="cs-CZ"/>
        </w:rPr>
        <w:fldChar w:fldCharType="end"/>
      </w:r>
      <w:r w:rsidRPr="00273106">
        <w:rPr>
          <w:noProof/>
          <w:szCs w:val="11"/>
        </w:rPr>
        <w:t>)</w:t>
      </w:r>
    </w:p>
  </w:footnote>
  <w:footnote w:id="57">
    <w:p w:rsidR="00971E82" w:rsidRPr="006523B0" w:rsidRDefault="00971E82" w:rsidP="08163013">
      <w:pPr>
        <w:pStyle w:val="Textpoznpodarou"/>
        <w:rPr>
          <w:noProof/>
          <w:lang w:val="cs-CZ"/>
        </w:rPr>
      </w:pPr>
      <w:r>
        <w:rPr>
          <w:rStyle w:val="Znakapoznpodarou"/>
        </w:rPr>
        <w:footnoteRef/>
      </w:r>
      <w:r>
        <w:t xml:space="preserve"> </w:t>
      </w:r>
      <w:r w:rsidRPr="00273106">
        <w:rPr>
          <w:noProof/>
        </w:rPr>
        <w:t xml:space="preserve">„Quia </w:t>
      </w:r>
      <w:r w:rsidRPr="00273106">
        <w:rPr>
          <w:noProof/>
          <w:szCs w:val="15"/>
        </w:rPr>
        <w:t xml:space="preserve">enim </w:t>
      </w:r>
      <w:r w:rsidRPr="00273106">
        <w:rPr>
          <w:noProof/>
          <w:szCs w:val="13"/>
        </w:rPr>
        <w:t xml:space="preserve">diversae sunt </w:t>
      </w:r>
      <w:r w:rsidRPr="00273106">
        <w:rPr>
          <w:noProof/>
        </w:rPr>
        <w:t xml:space="preserve">differentiae </w:t>
      </w:r>
      <w:r w:rsidRPr="00273106">
        <w:rPr>
          <w:noProof/>
          <w:szCs w:val="10"/>
        </w:rPr>
        <w:t>intelle</w:t>
      </w:r>
      <w:r w:rsidRPr="00273106">
        <w:rPr>
          <w:noProof/>
        </w:rPr>
        <w:t xml:space="preserve">ctus, quae </w:t>
      </w:r>
      <w:r w:rsidRPr="00273106">
        <w:rPr>
          <w:noProof/>
          <w:szCs w:val="10"/>
        </w:rPr>
        <w:t xml:space="preserve">etsi </w:t>
      </w:r>
      <w:r w:rsidRPr="00273106">
        <w:rPr>
          <w:noProof/>
        </w:rPr>
        <w:t xml:space="preserve">respiciant totum </w:t>
      </w:r>
      <w:r w:rsidRPr="00273106">
        <w:rPr>
          <w:noProof/>
          <w:szCs w:val="15"/>
        </w:rPr>
        <w:t>compositum, una</w:t>
      </w:r>
      <w:r w:rsidRPr="00273106">
        <w:rPr>
          <w:noProof/>
          <w:szCs w:val="2"/>
        </w:rPr>
        <w:t xml:space="preserve"> </w:t>
      </w:r>
      <w:r w:rsidRPr="00273106">
        <w:rPr>
          <w:noProof/>
          <w:szCs w:val="15"/>
        </w:rPr>
        <w:t xml:space="preserve">tamen </w:t>
      </w:r>
      <w:r w:rsidRPr="00273106">
        <w:rPr>
          <w:noProof/>
        </w:rPr>
        <w:t xml:space="preserve">magis </w:t>
      </w:r>
      <w:r w:rsidRPr="00273106">
        <w:rPr>
          <w:noProof/>
          <w:szCs w:val="11"/>
        </w:rPr>
        <w:t xml:space="preserve">respicit </w:t>
      </w:r>
      <w:r w:rsidRPr="00273106">
        <w:rPr>
          <w:noProof/>
          <w:szCs w:val="15"/>
        </w:rPr>
        <w:t xml:space="preserve">animae </w:t>
      </w:r>
      <w:r w:rsidRPr="00273106">
        <w:rPr>
          <w:i/>
          <w:noProof/>
        </w:rPr>
        <w:t>complementum</w:t>
      </w:r>
      <w:r w:rsidRPr="00273106">
        <w:rPr>
          <w:noProof/>
        </w:rPr>
        <w:t xml:space="preserve">, </w:t>
      </w:r>
      <w:r w:rsidRPr="00273106">
        <w:rPr>
          <w:noProof/>
          <w:szCs w:val="11"/>
        </w:rPr>
        <w:t xml:space="preserve">alia </w:t>
      </w:r>
      <w:r w:rsidRPr="00273106">
        <w:rPr>
          <w:noProof/>
          <w:szCs w:val="13"/>
        </w:rPr>
        <w:t xml:space="preserve">vero </w:t>
      </w:r>
      <w:r w:rsidRPr="00273106">
        <w:rPr>
          <w:i/>
          <w:noProof/>
        </w:rPr>
        <w:t xml:space="preserve">materiale </w:t>
      </w:r>
      <w:r w:rsidRPr="00273106">
        <w:rPr>
          <w:i/>
          <w:noProof/>
          <w:szCs w:val="15"/>
        </w:rPr>
        <w:t>principium</w:t>
      </w:r>
      <w:r w:rsidRPr="00273106">
        <w:rPr>
          <w:noProof/>
          <w:szCs w:val="15"/>
        </w:rPr>
        <w:t xml:space="preserve">; </w:t>
      </w:r>
      <w:r w:rsidRPr="00273106">
        <w:rPr>
          <w:noProof/>
          <w:szCs w:val="13"/>
        </w:rPr>
        <w:t xml:space="preserve">hinc </w:t>
      </w:r>
      <w:r w:rsidRPr="00273106">
        <w:rPr>
          <w:noProof/>
          <w:szCs w:val="11"/>
        </w:rPr>
        <w:t xml:space="preserve">est, </w:t>
      </w:r>
      <w:r w:rsidRPr="00273106">
        <w:rPr>
          <w:noProof/>
          <w:szCs w:val="15"/>
        </w:rPr>
        <w:t xml:space="preserve">quod una non </w:t>
      </w:r>
      <w:r w:rsidRPr="00273106">
        <w:rPr>
          <w:noProof/>
        </w:rPr>
        <w:t>solum tenet rationem potentiae</w:t>
      </w:r>
      <w:r w:rsidRPr="00273106">
        <w:rPr>
          <w:noProof/>
          <w:szCs w:val="5"/>
        </w:rPr>
        <w:t xml:space="preserve">, </w:t>
      </w:r>
      <w:r w:rsidRPr="00273106">
        <w:rPr>
          <w:noProof/>
          <w:szCs w:val="17"/>
        </w:rPr>
        <w:t xml:space="preserve">immo </w:t>
      </w:r>
      <w:r w:rsidRPr="00273106">
        <w:rPr>
          <w:noProof/>
          <w:szCs w:val="13"/>
        </w:rPr>
        <w:t xml:space="preserve">etiam </w:t>
      </w:r>
      <w:r w:rsidRPr="00273106">
        <w:rPr>
          <w:i/>
          <w:noProof/>
          <w:szCs w:val="13"/>
        </w:rPr>
        <w:t>poten</w:t>
      </w:r>
      <w:r w:rsidRPr="00273106">
        <w:rPr>
          <w:i/>
          <w:noProof/>
          <w:szCs w:val="11"/>
        </w:rPr>
        <w:t xml:space="preserve">tiae </w:t>
      </w:r>
      <w:r w:rsidRPr="00273106">
        <w:rPr>
          <w:i/>
          <w:noProof/>
          <w:szCs w:val="13"/>
        </w:rPr>
        <w:t>habitualis</w:t>
      </w:r>
      <w:r w:rsidRPr="00273106">
        <w:rPr>
          <w:noProof/>
          <w:szCs w:val="7"/>
        </w:rPr>
        <w:t xml:space="preserve">; </w:t>
      </w:r>
      <w:r w:rsidRPr="00273106">
        <w:rPr>
          <w:noProof/>
        </w:rPr>
        <w:t xml:space="preserve">altera </w:t>
      </w:r>
      <w:r w:rsidRPr="00273106">
        <w:rPr>
          <w:noProof/>
          <w:szCs w:val="13"/>
        </w:rPr>
        <w:t xml:space="preserve">vero </w:t>
      </w:r>
      <w:r w:rsidRPr="00273106">
        <w:rPr>
          <w:noProof/>
        </w:rPr>
        <w:t xml:space="preserve">tenet </w:t>
      </w:r>
      <w:r w:rsidRPr="00273106">
        <w:rPr>
          <w:i/>
          <w:noProof/>
          <w:szCs w:val="15"/>
        </w:rPr>
        <w:t>pure</w:t>
      </w:r>
      <w:r w:rsidRPr="00273106">
        <w:rPr>
          <w:noProof/>
          <w:szCs w:val="15"/>
        </w:rPr>
        <w:t xml:space="preserve"> </w:t>
      </w:r>
      <w:r w:rsidRPr="00273106">
        <w:rPr>
          <w:noProof/>
          <w:szCs w:val="13"/>
        </w:rPr>
        <w:t>rationem po</w:t>
      </w:r>
      <w:r w:rsidRPr="00273106">
        <w:rPr>
          <w:noProof/>
          <w:szCs w:val="11"/>
        </w:rPr>
        <w:t xml:space="preserve">tentiae. </w:t>
      </w:r>
      <w:r w:rsidRPr="00273106">
        <w:rPr>
          <w:noProof/>
          <w:szCs w:val="12"/>
        </w:rPr>
        <w:t xml:space="preserve">Et </w:t>
      </w:r>
      <w:r w:rsidRPr="00273106">
        <w:rPr>
          <w:noProof/>
          <w:szCs w:val="13"/>
        </w:rPr>
        <w:t xml:space="preserve">hinc </w:t>
      </w:r>
      <w:r w:rsidRPr="00273106">
        <w:rPr>
          <w:noProof/>
          <w:szCs w:val="11"/>
        </w:rPr>
        <w:t xml:space="preserve">est, </w:t>
      </w:r>
      <w:r w:rsidRPr="00273106">
        <w:rPr>
          <w:noProof/>
          <w:szCs w:val="15"/>
        </w:rPr>
        <w:t xml:space="preserve">quod una </w:t>
      </w:r>
      <w:r w:rsidRPr="00273106">
        <w:rPr>
          <w:noProof/>
          <w:szCs w:val="12"/>
        </w:rPr>
        <w:t xml:space="preserve">dicitur </w:t>
      </w:r>
      <w:r w:rsidRPr="00273106">
        <w:rPr>
          <w:noProof/>
          <w:szCs w:val="13"/>
        </w:rPr>
        <w:t xml:space="preserve">convenire </w:t>
      </w:r>
      <w:r w:rsidRPr="00273106">
        <w:rPr>
          <w:noProof/>
          <w:szCs w:val="11"/>
        </w:rPr>
        <w:t>animae</w:t>
      </w:r>
      <w:r w:rsidRPr="00273106">
        <w:rPr>
          <w:noProof/>
          <w:szCs w:val="17"/>
        </w:rPr>
        <w:t xml:space="preserve"> </w:t>
      </w:r>
      <w:r w:rsidRPr="00273106">
        <w:rPr>
          <w:i/>
          <w:noProof/>
          <w:szCs w:val="16"/>
        </w:rPr>
        <w:t xml:space="preserve">secundum </w:t>
      </w:r>
      <w:r w:rsidRPr="00273106">
        <w:rPr>
          <w:i/>
          <w:noProof/>
          <w:szCs w:val="12"/>
        </w:rPr>
        <w:t>se</w:t>
      </w:r>
      <w:r w:rsidRPr="00273106">
        <w:rPr>
          <w:noProof/>
          <w:szCs w:val="6"/>
        </w:rPr>
        <w:t xml:space="preserve">, </w:t>
      </w:r>
      <w:r w:rsidRPr="00273106">
        <w:rPr>
          <w:noProof/>
          <w:szCs w:val="12"/>
        </w:rPr>
        <w:t xml:space="preserve">altera </w:t>
      </w:r>
      <w:r w:rsidRPr="00273106">
        <w:rPr>
          <w:noProof/>
          <w:szCs w:val="13"/>
        </w:rPr>
        <w:t xml:space="preserve">vero </w:t>
      </w:r>
      <w:r w:rsidRPr="00273106">
        <w:rPr>
          <w:noProof/>
          <w:szCs w:val="11"/>
        </w:rPr>
        <w:t xml:space="preserve">in </w:t>
      </w:r>
      <w:r w:rsidRPr="00273106">
        <w:rPr>
          <w:i/>
          <w:noProof/>
          <w:szCs w:val="15"/>
        </w:rPr>
        <w:t xml:space="preserve">comparatione </w:t>
      </w:r>
      <w:r w:rsidRPr="00273106">
        <w:rPr>
          <w:i/>
          <w:noProof/>
          <w:szCs w:val="17"/>
        </w:rPr>
        <w:t xml:space="preserve">ad </w:t>
      </w:r>
      <w:r w:rsidRPr="00273106">
        <w:rPr>
          <w:i/>
          <w:noProof/>
          <w:szCs w:val="14"/>
        </w:rPr>
        <w:t>corpus</w:t>
      </w:r>
      <w:r w:rsidRPr="00273106">
        <w:rPr>
          <w:noProof/>
          <w:szCs w:val="6"/>
        </w:rPr>
        <w:t xml:space="preserve">, </w:t>
      </w:r>
      <w:r w:rsidRPr="00273106">
        <w:rPr>
          <w:noProof/>
          <w:szCs w:val="11"/>
        </w:rPr>
        <w:t xml:space="preserve">et </w:t>
      </w:r>
      <w:r w:rsidRPr="00273106">
        <w:rPr>
          <w:noProof/>
          <w:szCs w:val="15"/>
        </w:rPr>
        <w:t xml:space="preserve">una semper </w:t>
      </w:r>
      <w:r w:rsidRPr="00273106">
        <w:rPr>
          <w:noProof/>
          <w:szCs w:val="12"/>
        </w:rPr>
        <w:t xml:space="preserve">esse </w:t>
      </w:r>
      <w:r w:rsidRPr="00273106">
        <w:rPr>
          <w:i/>
          <w:noProof/>
          <w:szCs w:val="12"/>
        </w:rPr>
        <w:t xml:space="preserve">in </w:t>
      </w:r>
      <w:r w:rsidRPr="00273106">
        <w:rPr>
          <w:i/>
          <w:noProof/>
          <w:szCs w:val="13"/>
        </w:rPr>
        <w:t>actu</w:t>
      </w:r>
      <w:r w:rsidRPr="00273106">
        <w:rPr>
          <w:noProof/>
          <w:szCs w:val="13"/>
        </w:rPr>
        <w:t xml:space="preserve">, </w:t>
      </w:r>
      <w:r w:rsidRPr="00273106">
        <w:rPr>
          <w:noProof/>
          <w:szCs w:val="12"/>
        </w:rPr>
        <w:t xml:space="preserve">altera </w:t>
      </w:r>
      <w:r w:rsidRPr="00273106">
        <w:rPr>
          <w:noProof/>
          <w:szCs w:val="13"/>
        </w:rPr>
        <w:t xml:space="preserve">vero </w:t>
      </w:r>
      <w:r w:rsidRPr="00273106">
        <w:rPr>
          <w:noProof/>
          <w:szCs w:val="11"/>
        </w:rPr>
        <w:t>non...“ (</w:t>
      </w:r>
      <w:r w:rsidRPr="00273106">
        <w:rPr>
          <w:i/>
          <w:noProof/>
          <w:szCs w:val="11"/>
        </w:rPr>
        <w:t>In II. Sent</w:t>
      </w:r>
      <w:r w:rsidRPr="00273106">
        <w:rPr>
          <w:noProof/>
          <w:szCs w:val="11"/>
        </w:rPr>
        <w:t xml:space="preserve">., d. 24, p. 1, a. 2, q. 4, resp.; </w:t>
      </w:r>
      <w:r w:rsidRPr="00970BE9">
        <w:rPr>
          <w:i/>
          <w:noProof/>
          <w:szCs w:val="11"/>
        </w:rPr>
        <w:t>Opera omnia</w:t>
      </w:r>
      <w:r>
        <w:rPr>
          <w:noProof/>
          <w:szCs w:val="11"/>
        </w:rPr>
        <w:t xml:space="preserve"> </w:t>
      </w:r>
      <w:r>
        <w:rPr>
          <w:noProof/>
          <w:szCs w:val="11"/>
          <w:lang w:val="cs-CZ"/>
        </w:rPr>
        <w:t>2</w:t>
      </w:r>
      <w:r w:rsidRPr="00273106">
        <w:rPr>
          <w:noProof/>
          <w:szCs w:val="11"/>
        </w:rPr>
        <w:t>, 570a</w:t>
      </w:r>
      <w:r>
        <w:rPr>
          <w:noProof/>
          <w:lang w:val="cs-CZ"/>
        </w:rPr>
        <w:fldChar w:fldCharType="begin"/>
      </w:r>
      <w:r>
        <w:instrText xml:space="preserve"> XE "</w:instrText>
      </w:r>
      <w:r>
        <w:rPr>
          <w:lang w:val="cs-CZ"/>
        </w:rPr>
        <w:instrText>Bonaventura:</w:instrText>
      </w:r>
      <w:r w:rsidRPr="00A76C41">
        <w:rPr>
          <w:i/>
          <w:iCs/>
          <w:noProof/>
        </w:rPr>
        <w:instrText>In II. Sent.</w:instrText>
      </w:r>
      <w:r>
        <w:rPr>
          <w:noProof/>
        </w:rPr>
        <w:instrText xml:space="preserve"> </w:instrText>
      </w:r>
      <w:r>
        <w:rPr>
          <w:noProof/>
          <w:lang w:val="cs-CZ"/>
        </w:rPr>
        <w:instrText>570a</w:instrText>
      </w:r>
      <w:r>
        <w:instrText xml:space="preserve">" </w:instrText>
      </w:r>
      <w:r>
        <w:rPr>
          <w:noProof/>
          <w:lang w:val="cs-CZ"/>
        </w:rPr>
        <w:fldChar w:fldCharType="end"/>
      </w:r>
      <w:r w:rsidRPr="00273106">
        <w:rPr>
          <w:noProof/>
          <w:szCs w:val="11"/>
        </w:rPr>
        <w:t>)</w:t>
      </w:r>
    </w:p>
  </w:footnote>
  <w:footnote w:id="58">
    <w:p w:rsidR="00971E82" w:rsidRPr="000E5AA7" w:rsidRDefault="00971E82" w:rsidP="08163013">
      <w:pPr>
        <w:pStyle w:val="Textpoznpodarou"/>
        <w:rPr>
          <w:lang w:val="cs-CZ"/>
        </w:rPr>
      </w:pPr>
      <w:r>
        <w:rPr>
          <w:rStyle w:val="Znakapoznpodarou"/>
        </w:rPr>
        <w:footnoteRef/>
      </w:r>
      <w:r>
        <w:t xml:space="preserve"> </w:t>
      </w:r>
      <w:r w:rsidRPr="00273106">
        <w:rPr>
          <w:noProof/>
          <w:szCs w:val="15"/>
        </w:rPr>
        <w:t xml:space="preserve">„Tres </w:t>
      </w:r>
      <w:r w:rsidRPr="00273106">
        <w:rPr>
          <w:noProof/>
        </w:rPr>
        <w:t xml:space="preserve">sunt errores cavendi </w:t>
      </w:r>
      <w:r w:rsidRPr="00273106">
        <w:rPr>
          <w:noProof/>
          <w:szCs w:val="12"/>
        </w:rPr>
        <w:t xml:space="preserve">in scientiis, </w:t>
      </w:r>
      <w:r w:rsidRPr="00273106">
        <w:rPr>
          <w:noProof/>
        </w:rPr>
        <w:t xml:space="preserve">qui </w:t>
      </w:r>
      <w:r w:rsidRPr="00273106">
        <w:rPr>
          <w:noProof/>
          <w:szCs w:val="15"/>
        </w:rPr>
        <w:t xml:space="preserve">sacram </w:t>
      </w:r>
      <w:r w:rsidRPr="00273106">
        <w:rPr>
          <w:noProof/>
          <w:szCs w:val="17"/>
        </w:rPr>
        <w:t xml:space="preserve">Scripturam </w:t>
      </w:r>
      <w:r w:rsidRPr="00273106">
        <w:rPr>
          <w:noProof/>
          <w:szCs w:val="12"/>
        </w:rPr>
        <w:t xml:space="preserve">et </w:t>
      </w:r>
      <w:r w:rsidRPr="00273106">
        <w:rPr>
          <w:noProof/>
        </w:rPr>
        <w:t xml:space="preserve">fidem </w:t>
      </w:r>
      <w:r w:rsidRPr="00273106">
        <w:rPr>
          <w:noProof/>
          <w:szCs w:val="16"/>
        </w:rPr>
        <w:t xml:space="preserve">christianam </w:t>
      </w:r>
      <w:r w:rsidRPr="00273106">
        <w:rPr>
          <w:noProof/>
          <w:szCs w:val="12"/>
        </w:rPr>
        <w:t xml:space="preserve">et </w:t>
      </w:r>
      <w:r w:rsidRPr="00273106">
        <w:rPr>
          <w:noProof/>
          <w:szCs w:val="19"/>
        </w:rPr>
        <w:t xml:space="preserve">omnem </w:t>
      </w:r>
      <w:r w:rsidRPr="00273106">
        <w:rPr>
          <w:noProof/>
        </w:rPr>
        <w:t xml:space="preserve">sapientiam </w:t>
      </w:r>
      <w:r w:rsidRPr="00273106">
        <w:rPr>
          <w:noProof/>
          <w:szCs w:val="15"/>
        </w:rPr>
        <w:t xml:space="preserve">exterminant; </w:t>
      </w:r>
      <w:r w:rsidRPr="00273106">
        <w:rPr>
          <w:noProof/>
          <w:szCs w:val="18"/>
        </w:rPr>
        <w:t xml:space="preserve">quorum </w:t>
      </w:r>
      <w:r w:rsidRPr="00273106">
        <w:rPr>
          <w:noProof/>
          <w:szCs w:val="16"/>
        </w:rPr>
        <w:t xml:space="preserve">unus </w:t>
      </w:r>
      <w:r w:rsidRPr="00273106">
        <w:rPr>
          <w:noProof/>
          <w:szCs w:val="12"/>
        </w:rPr>
        <w:t xml:space="preserve">est </w:t>
      </w:r>
      <w:r w:rsidRPr="00273106">
        <w:rPr>
          <w:noProof/>
        </w:rPr>
        <w:t xml:space="preserve">contra </w:t>
      </w:r>
      <w:r w:rsidRPr="00273106">
        <w:rPr>
          <w:i/>
          <w:noProof/>
          <w:szCs w:val="18"/>
        </w:rPr>
        <w:t xml:space="preserve">causam </w:t>
      </w:r>
      <w:r w:rsidRPr="00273106">
        <w:rPr>
          <w:i/>
          <w:noProof/>
        </w:rPr>
        <w:t>essendi</w:t>
      </w:r>
      <w:r w:rsidRPr="00273106">
        <w:rPr>
          <w:noProof/>
        </w:rPr>
        <w:t xml:space="preserve">, </w:t>
      </w:r>
      <w:r w:rsidRPr="00273106">
        <w:rPr>
          <w:noProof/>
          <w:szCs w:val="12"/>
        </w:rPr>
        <w:t xml:space="preserve">alius </w:t>
      </w:r>
      <w:r w:rsidRPr="00273106">
        <w:rPr>
          <w:noProof/>
        </w:rPr>
        <w:t xml:space="preserve">contra </w:t>
      </w:r>
      <w:r w:rsidRPr="00273106">
        <w:rPr>
          <w:i/>
          <w:noProof/>
          <w:szCs w:val="16"/>
        </w:rPr>
        <w:t xml:space="preserve">rationem </w:t>
      </w:r>
      <w:r w:rsidRPr="00273106">
        <w:rPr>
          <w:i/>
          <w:noProof/>
          <w:szCs w:val="12"/>
        </w:rPr>
        <w:t>intelligendi</w:t>
      </w:r>
      <w:r w:rsidRPr="00273106">
        <w:rPr>
          <w:noProof/>
          <w:szCs w:val="12"/>
        </w:rPr>
        <w:t xml:space="preserve">, et tertius </w:t>
      </w:r>
      <w:r w:rsidRPr="00273106">
        <w:rPr>
          <w:noProof/>
        </w:rPr>
        <w:t xml:space="preserve">contra </w:t>
      </w:r>
      <w:r w:rsidRPr="00273106">
        <w:rPr>
          <w:i/>
          <w:noProof/>
          <w:szCs w:val="16"/>
        </w:rPr>
        <w:t xml:space="preserve">ordinem </w:t>
      </w:r>
      <w:r w:rsidRPr="00273106">
        <w:rPr>
          <w:i/>
          <w:noProof/>
          <w:szCs w:val="15"/>
        </w:rPr>
        <w:t>vivendi</w:t>
      </w:r>
      <w:r w:rsidRPr="00273106">
        <w:rPr>
          <w:noProof/>
          <w:szCs w:val="15"/>
        </w:rPr>
        <w:t xml:space="preserve">. Error </w:t>
      </w:r>
      <w:r w:rsidRPr="00273106">
        <w:rPr>
          <w:noProof/>
        </w:rPr>
        <w:t xml:space="preserve">contra </w:t>
      </w:r>
      <w:r w:rsidRPr="00273106">
        <w:rPr>
          <w:noProof/>
          <w:szCs w:val="16"/>
        </w:rPr>
        <w:t xml:space="preserve">causam </w:t>
      </w:r>
      <w:r w:rsidRPr="00273106">
        <w:rPr>
          <w:noProof/>
          <w:szCs w:val="13"/>
        </w:rPr>
        <w:t xml:space="preserve">essendi </w:t>
      </w:r>
      <w:r w:rsidRPr="00273106">
        <w:rPr>
          <w:noProof/>
          <w:szCs w:val="12"/>
        </w:rPr>
        <w:t xml:space="preserve">est </w:t>
      </w:r>
      <w:r w:rsidRPr="00273106">
        <w:rPr>
          <w:noProof/>
          <w:szCs w:val="15"/>
        </w:rPr>
        <w:t xml:space="preserve">de </w:t>
      </w:r>
      <w:r w:rsidRPr="00273106">
        <w:rPr>
          <w:noProof/>
          <w:szCs w:val="13"/>
        </w:rPr>
        <w:t xml:space="preserve">aeternitate </w:t>
      </w:r>
      <w:r w:rsidRPr="00273106">
        <w:rPr>
          <w:noProof/>
          <w:szCs w:val="16"/>
        </w:rPr>
        <w:t xml:space="preserve">mundi, </w:t>
      </w:r>
      <w:r w:rsidRPr="00273106">
        <w:rPr>
          <w:noProof/>
        </w:rPr>
        <w:t xml:space="preserve">ut </w:t>
      </w:r>
      <w:r w:rsidRPr="00273106">
        <w:rPr>
          <w:noProof/>
          <w:szCs w:val="15"/>
        </w:rPr>
        <w:t xml:space="preserve">ponere </w:t>
      </w:r>
      <w:r w:rsidRPr="00273106">
        <w:rPr>
          <w:noProof/>
        </w:rPr>
        <w:t xml:space="preserve">mundum </w:t>
      </w:r>
      <w:r w:rsidRPr="00273106">
        <w:rPr>
          <w:noProof/>
          <w:szCs w:val="15"/>
        </w:rPr>
        <w:t xml:space="preserve">aeternum. Error </w:t>
      </w:r>
      <w:r w:rsidRPr="00273106">
        <w:rPr>
          <w:noProof/>
        </w:rPr>
        <w:t xml:space="preserve">contra </w:t>
      </w:r>
      <w:r w:rsidRPr="00273106">
        <w:rPr>
          <w:noProof/>
          <w:szCs w:val="15"/>
        </w:rPr>
        <w:t xml:space="preserve">rationem </w:t>
      </w:r>
      <w:r w:rsidRPr="00273106">
        <w:rPr>
          <w:noProof/>
          <w:szCs w:val="12"/>
        </w:rPr>
        <w:t xml:space="preserve">intelligendi est </w:t>
      </w:r>
      <w:r w:rsidRPr="00273106">
        <w:rPr>
          <w:noProof/>
        </w:rPr>
        <w:t xml:space="preserve">de </w:t>
      </w:r>
      <w:r w:rsidRPr="00273106">
        <w:rPr>
          <w:noProof/>
          <w:szCs w:val="13"/>
        </w:rPr>
        <w:t xml:space="preserve">necessitate </w:t>
      </w:r>
      <w:r w:rsidRPr="00273106">
        <w:rPr>
          <w:noProof/>
          <w:szCs w:val="11"/>
        </w:rPr>
        <w:t xml:space="preserve">fatali, </w:t>
      </w:r>
      <w:r w:rsidRPr="00273106">
        <w:rPr>
          <w:noProof/>
          <w:szCs w:val="12"/>
        </w:rPr>
        <w:t xml:space="preserve">sicut </w:t>
      </w:r>
      <w:r w:rsidRPr="00273106">
        <w:rPr>
          <w:noProof/>
        </w:rPr>
        <w:t xml:space="preserve">ponere, </w:t>
      </w:r>
      <w:r w:rsidRPr="00273106">
        <w:rPr>
          <w:noProof/>
          <w:szCs w:val="16"/>
        </w:rPr>
        <w:t xml:space="preserve">quod omnia </w:t>
      </w:r>
      <w:r w:rsidRPr="00273106">
        <w:rPr>
          <w:noProof/>
        </w:rPr>
        <w:t xml:space="preserve">eveniunt </w:t>
      </w:r>
      <w:r w:rsidRPr="00273106">
        <w:rPr>
          <w:noProof/>
          <w:szCs w:val="15"/>
        </w:rPr>
        <w:t xml:space="preserve">de </w:t>
      </w:r>
      <w:r w:rsidRPr="00273106">
        <w:rPr>
          <w:noProof/>
          <w:szCs w:val="12"/>
        </w:rPr>
        <w:t xml:space="preserve">necessitate. </w:t>
      </w:r>
      <w:r w:rsidRPr="00273106">
        <w:rPr>
          <w:noProof/>
        </w:rPr>
        <w:t xml:space="preserve">Tertius </w:t>
      </w:r>
      <w:r w:rsidRPr="00273106">
        <w:rPr>
          <w:noProof/>
          <w:szCs w:val="12"/>
        </w:rPr>
        <w:t xml:space="preserve">est </w:t>
      </w:r>
      <w:r w:rsidRPr="00273106">
        <w:rPr>
          <w:noProof/>
        </w:rPr>
        <w:t xml:space="preserve">de </w:t>
      </w:r>
      <w:r w:rsidRPr="00273106">
        <w:rPr>
          <w:noProof/>
          <w:szCs w:val="13"/>
        </w:rPr>
        <w:t xml:space="preserve">unitate </w:t>
      </w:r>
      <w:r w:rsidRPr="00273106">
        <w:rPr>
          <w:noProof/>
          <w:szCs w:val="12"/>
        </w:rPr>
        <w:t>intelle</w:t>
      </w:r>
      <w:r w:rsidRPr="00273106">
        <w:rPr>
          <w:noProof/>
          <w:szCs w:val="13"/>
        </w:rPr>
        <w:t xml:space="preserve">ctus </w:t>
      </w:r>
      <w:r w:rsidRPr="00273106">
        <w:rPr>
          <w:noProof/>
          <w:szCs w:val="16"/>
        </w:rPr>
        <w:t xml:space="preserve">humani, </w:t>
      </w:r>
      <w:r w:rsidRPr="00273106">
        <w:rPr>
          <w:noProof/>
          <w:szCs w:val="12"/>
        </w:rPr>
        <w:t xml:space="preserve">sicut </w:t>
      </w:r>
      <w:r w:rsidRPr="00273106">
        <w:rPr>
          <w:noProof/>
          <w:szCs w:val="15"/>
        </w:rPr>
        <w:t xml:space="preserve">ponere, </w:t>
      </w:r>
      <w:r w:rsidRPr="00273106">
        <w:rPr>
          <w:noProof/>
          <w:szCs w:val="16"/>
        </w:rPr>
        <w:t xml:space="preserve">quod unus </w:t>
      </w:r>
      <w:r w:rsidRPr="00273106">
        <w:rPr>
          <w:noProof/>
          <w:szCs w:val="12"/>
        </w:rPr>
        <w:t>est intelle</w:t>
      </w:r>
      <w:r w:rsidRPr="00273106">
        <w:rPr>
          <w:noProof/>
          <w:szCs w:val="13"/>
        </w:rPr>
        <w:t xml:space="preserve">ctus </w:t>
      </w:r>
      <w:r w:rsidRPr="00273106">
        <w:rPr>
          <w:noProof/>
          <w:szCs w:val="12"/>
        </w:rPr>
        <w:t xml:space="preserve">in </w:t>
      </w:r>
      <w:r w:rsidRPr="00273106">
        <w:rPr>
          <w:noProof/>
          <w:szCs w:val="15"/>
        </w:rPr>
        <w:t xml:space="preserve">omnibus. </w:t>
      </w:r>
      <w:r w:rsidRPr="00273106">
        <w:rPr>
          <w:noProof/>
        </w:rPr>
        <w:t>Isti errores significantur in Apocalypsi in numero nominis bestiae.“ (</w:t>
      </w:r>
      <w:r w:rsidRPr="00273106">
        <w:rPr>
          <w:i/>
          <w:noProof/>
        </w:rPr>
        <w:t>Collationes de septem donis Spiritus Sancti</w:t>
      </w:r>
      <w:r w:rsidRPr="00273106">
        <w:rPr>
          <w:noProof/>
        </w:rPr>
        <w:t xml:space="preserve">, collatio VIII.16, </w:t>
      </w:r>
      <w:r w:rsidRPr="00970BE9">
        <w:rPr>
          <w:i/>
          <w:noProof/>
        </w:rPr>
        <w:t>Opera omnia</w:t>
      </w:r>
      <w:r>
        <w:rPr>
          <w:noProof/>
        </w:rPr>
        <w:t xml:space="preserve"> </w:t>
      </w:r>
      <w:r>
        <w:rPr>
          <w:noProof/>
          <w:lang w:val="cs-CZ"/>
        </w:rPr>
        <w:t>5</w:t>
      </w:r>
      <w:r w:rsidRPr="00273106">
        <w:rPr>
          <w:noProof/>
        </w:rPr>
        <w:t>, 497b</w:t>
      </w:r>
      <w:r>
        <w:rPr>
          <w:noProof/>
          <w:lang w:val="cs-CZ"/>
        </w:rPr>
        <w:fldChar w:fldCharType="begin"/>
      </w:r>
      <w:r>
        <w:instrText xml:space="preserve"> XE "</w:instrText>
      </w:r>
      <w:r>
        <w:rPr>
          <w:lang w:val="cs-CZ"/>
        </w:rPr>
        <w:instrText>Bonaventura:</w:instrText>
      </w:r>
      <w:r w:rsidRPr="00273106">
        <w:rPr>
          <w:i/>
          <w:noProof/>
        </w:rPr>
        <w:instrText>Collationes de septem donis Spiritus Sancti</w:instrText>
      </w:r>
      <w:r>
        <w:instrText xml:space="preserve"> </w:instrText>
      </w:r>
      <w:r>
        <w:rPr>
          <w:lang w:val="cs-CZ"/>
        </w:rPr>
        <w:instrText>497b</w:instrText>
      </w:r>
      <w:r>
        <w:instrText xml:space="preserve">" </w:instrText>
      </w:r>
      <w:r>
        <w:rPr>
          <w:noProof/>
          <w:lang w:val="cs-CZ"/>
        </w:rPr>
        <w:fldChar w:fldCharType="end"/>
      </w:r>
      <w:r w:rsidRPr="00273106">
        <w:rPr>
          <w:noProof/>
        </w:rPr>
        <w:t>)</w:t>
      </w:r>
    </w:p>
  </w:footnote>
  <w:footnote w:id="59">
    <w:p w:rsidR="00971E82" w:rsidRPr="00561DF3" w:rsidRDefault="00971E82" w:rsidP="08F833F9">
      <w:pPr>
        <w:pStyle w:val="Textpoznpodarou"/>
      </w:pPr>
      <w:r w:rsidRPr="00561DF3">
        <w:rPr>
          <w:rStyle w:val="Znakapoznpodarou"/>
        </w:rPr>
        <w:footnoteRef/>
      </w:r>
      <w:r w:rsidRPr="00561DF3">
        <w:t xml:space="preserve"> </w:t>
      </w:r>
      <w:r>
        <w:t>„</w:t>
      </w:r>
      <w:r w:rsidRPr="00561DF3">
        <w:t>Unde non ita proprie contradictiones recipiebant in propositionibus de futuro huiusmodi sicut in praesenti et praeterito. Iuxta quorum opinionem Aristoteles hoc loco proprie contradictionem his</w:t>
      </w:r>
      <w:r>
        <w:t xml:space="preserve"> </w:t>
      </w:r>
      <w:r w:rsidRPr="00561DF3">
        <w:t>assignat propositionibus, quae de praesenti vel de praeterito fiunt et ab his quae de futuro sunt, removet.</w:t>
      </w:r>
      <w:r>
        <w:t>“ (</w:t>
      </w:r>
      <w:r w:rsidRPr="00E32493">
        <w:rPr>
          <w:i/>
        </w:rPr>
        <w:t>Glossae super P</w:t>
      </w:r>
      <w:r>
        <w:rPr>
          <w:i/>
        </w:rPr>
        <w:t>eri ermeneias</w:t>
      </w:r>
      <w:r>
        <w:t>, cap. 3; ed. Geyer, p. 419, 9–13</w:t>
      </w:r>
      <w:r>
        <w:fldChar w:fldCharType="begin"/>
      </w:r>
      <w:r>
        <w:instrText xml:space="preserve"> XE "</w:instrText>
      </w:r>
      <w:r>
        <w:rPr>
          <w:lang w:val="cs-CZ"/>
        </w:rPr>
        <w:instrText>Abelard:</w:instrText>
      </w:r>
      <w:r w:rsidRPr="082951EC">
        <w:rPr>
          <w:i/>
        </w:rPr>
        <w:instrText>Glossae super Peri ermeneias</w:instrText>
      </w:r>
      <w:r>
        <w:rPr>
          <w:i/>
          <w:lang w:val="cs-CZ"/>
        </w:rPr>
        <w:instrText xml:space="preserve"> </w:instrText>
      </w:r>
      <w:r w:rsidRPr="082951EC">
        <w:instrText xml:space="preserve"> 419, 9–13</w:instrText>
      </w:r>
      <w:r>
        <w:instrText xml:space="preserve">" </w:instrText>
      </w:r>
      <w:r>
        <w:fldChar w:fldCharType="end"/>
      </w:r>
      <w:r>
        <w:t>)</w:t>
      </w:r>
    </w:p>
  </w:footnote>
  <w:footnote w:id="60">
    <w:p w:rsidR="00971E82" w:rsidRPr="089C3D76" w:rsidRDefault="00971E82" w:rsidP="00A06069">
      <w:pPr>
        <w:pStyle w:val="Textpoznpodarou"/>
        <w:rPr>
          <w:lang w:val="cs-CZ"/>
        </w:rPr>
      </w:pPr>
      <w:r>
        <w:rPr>
          <w:rStyle w:val="Znakapoznpodarou"/>
        </w:rPr>
        <w:footnoteRef/>
      </w:r>
      <w:r>
        <w:t xml:space="preserve"> </w:t>
      </w:r>
      <w:r>
        <w:rPr>
          <w:lang w:val="cs-CZ"/>
        </w:rPr>
        <w:t>„</w:t>
      </w:r>
      <w:r w:rsidRPr="08500C55">
        <w:rPr>
          <w:lang w:val="cs-CZ"/>
        </w:rPr>
        <w:t>Všichni dospělí</w:t>
      </w:r>
      <w:r>
        <w:rPr>
          <w:lang w:val="cs-CZ"/>
        </w:rPr>
        <w:t xml:space="preserve"> Efesané si zaslouží, aby je pověsili a zanechali obec infantilům</w:t>
      </w:r>
      <w:r w:rsidRPr="08500C55">
        <w:rPr>
          <w:lang w:val="cs-CZ"/>
        </w:rPr>
        <w:t>, neboť vyhnali Hermodora z nich nejznamenitějšího</w:t>
      </w:r>
      <w:r>
        <w:rPr>
          <w:lang w:val="cs-CZ"/>
        </w:rPr>
        <w:t xml:space="preserve"> s tímto výrokem</w:t>
      </w:r>
      <w:r w:rsidRPr="08500C55">
        <w:rPr>
          <w:lang w:val="cs-CZ"/>
        </w:rPr>
        <w:t>:</w:t>
      </w:r>
      <w:r>
        <w:rPr>
          <w:lang w:val="cs-CZ"/>
        </w:rPr>
        <w:t xml:space="preserve"> '</w:t>
      </w:r>
      <w:r w:rsidRPr="08500C55">
        <w:rPr>
          <w:lang w:val="cs-CZ"/>
        </w:rPr>
        <w:t>Nikdo z nás ať není nejlepší a pokud někdo takový je, ať je jinde a u jiných.</w:t>
      </w:r>
      <w:r>
        <w:rPr>
          <w:lang w:val="cs-CZ"/>
        </w:rPr>
        <w:t xml:space="preserve">'“ </w:t>
      </w:r>
      <w:r>
        <w:rPr>
          <w:snapToGrid w:val="0"/>
        </w:rPr>
        <w:t>(</w:t>
      </w:r>
      <w:r w:rsidRPr="00273106">
        <w:rPr>
          <w:snapToGrid w:val="0"/>
        </w:rPr>
        <w:t>Diels</w:t>
      </w:r>
      <w:r>
        <w:rPr>
          <w:snapToGrid w:val="0"/>
        </w:rPr>
        <w:t>, B 1</w:t>
      </w:r>
      <w:r>
        <w:rPr>
          <w:snapToGrid w:val="0"/>
          <w:lang w:val="cs-CZ"/>
        </w:rPr>
        <w:t>21</w:t>
      </w:r>
      <w:r>
        <w:fldChar w:fldCharType="begin"/>
      </w:r>
      <w:r>
        <w:instrText xml:space="preserve"> XE "</w:instrText>
      </w:r>
      <w:r w:rsidRPr="00E97F17">
        <w:instrText>Hérakleitos z Efezu:</w:instrText>
      </w:r>
      <w:r>
        <w:instrText xml:space="preserve">B </w:instrText>
      </w:r>
      <w:r>
        <w:rPr>
          <w:lang w:val="cs-CZ"/>
        </w:rPr>
        <w:instrText>121</w:instrText>
      </w:r>
      <w:r>
        <w:instrText xml:space="preserve">" </w:instrText>
      </w:r>
      <w:r>
        <w:fldChar w:fldCharType="end"/>
      </w:r>
      <w:r>
        <w:rPr>
          <w:snapToGrid w:val="0"/>
        </w:rPr>
        <w:t>)</w:t>
      </w:r>
    </w:p>
  </w:footnote>
  <w:footnote w:id="61">
    <w:p w:rsidR="00971E82" w:rsidRPr="00616F0B" w:rsidRDefault="00971E82" w:rsidP="086E4298">
      <w:pPr>
        <w:pStyle w:val="Textpoznpodarou"/>
        <w:rPr>
          <w:szCs w:val="24"/>
        </w:rPr>
      </w:pPr>
      <w:r>
        <w:rPr>
          <w:rStyle w:val="Znakapoznpodarou"/>
        </w:rPr>
        <w:footnoteRef/>
      </w:r>
      <w:r>
        <w:t xml:space="preserve"> </w:t>
      </w:r>
      <w:r w:rsidRPr="00B67151">
        <w:rPr>
          <w:szCs w:val="24"/>
        </w:rPr>
        <w:t>„</w:t>
      </w:r>
      <w:r>
        <w:rPr>
          <w:szCs w:val="24"/>
          <w:lang w:val="cs-CZ"/>
        </w:rPr>
        <w:t>S</w:t>
      </w:r>
      <w:r>
        <w:rPr>
          <w:szCs w:val="24"/>
        </w:rPr>
        <w:t xml:space="preserve">tatuimus et ordinamus quod </w:t>
      </w:r>
      <w:r w:rsidRPr="00B67151">
        <w:rPr>
          <w:szCs w:val="24"/>
        </w:rPr>
        <w:t>nullus magister vel bachellarius nostre facultatis aliquam questionem pure theologicam, utpote de Trinitate et Incarnatione sicque de consimilibus omnibus, determinare seu etiam disputare presumat, tanquam sibi determinatos limites transgrediens</w:t>
      </w:r>
      <w:r>
        <w:rPr>
          <w:szCs w:val="24"/>
        </w:rPr>
        <w:t>, cum sicut dicit philosophus non geometram cum geometra sit penitus inconveniens disputare</w:t>
      </w:r>
      <w:r w:rsidRPr="00B67151">
        <w:rPr>
          <w:szCs w:val="24"/>
        </w:rPr>
        <w:t>.“ (</w:t>
      </w:r>
      <w:r w:rsidRPr="00E94516">
        <w:rPr>
          <w:i/>
          <w:szCs w:val="24"/>
        </w:rPr>
        <w:t>Chartularium</w:t>
      </w:r>
      <w:r>
        <w:rPr>
          <w:szCs w:val="24"/>
        </w:rPr>
        <w:t xml:space="preserve"> I, </w:t>
      </w:r>
      <w:r>
        <w:rPr>
          <w:szCs w:val="24"/>
          <w:lang w:val="cs-CZ"/>
        </w:rPr>
        <w:t>n</w:t>
      </w:r>
      <w:r>
        <w:rPr>
          <w:szCs w:val="24"/>
        </w:rPr>
        <w:t>o. 441</w:t>
      </w:r>
      <w:r>
        <w:rPr>
          <w:szCs w:val="24"/>
          <w:lang w:val="cs-CZ"/>
        </w:rPr>
        <w:t xml:space="preserve">, p. </w:t>
      </w:r>
      <w:r>
        <w:rPr>
          <w:szCs w:val="24"/>
        </w:rPr>
        <w:t>499</w:t>
      </w:r>
      <w:r>
        <w:rPr>
          <w:szCs w:val="24"/>
        </w:rPr>
        <w:fldChar w:fldCharType="begin"/>
      </w:r>
      <w:r>
        <w:instrText xml:space="preserve"> XE "</w:instrText>
      </w:r>
      <w:r w:rsidRPr="00685658">
        <w:rPr>
          <w:i/>
          <w:szCs w:val="24"/>
        </w:rPr>
        <w:instrText>Chartularium</w:instrText>
      </w:r>
      <w:r>
        <w:rPr>
          <w:i/>
          <w:szCs w:val="24"/>
          <w:lang w:val="cs-CZ"/>
        </w:rPr>
        <w:instrText xml:space="preserve"> I, </w:instrText>
      </w:r>
      <w:r>
        <w:rPr>
          <w:szCs w:val="24"/>
          <w:lang w:val="cs-CZ"/>
        </w:rPr>
        <w:instrText>n</w:instrText>
      </w:r>
      <w:r>
        <w:rPr>
          <w:szCs w:val="24"/>
        </w:rPr>
        <w:instrText>o. 441</w:instrText>
      </w:r>
      <w:r>
        <w:rPr>
          <w:szCs w:val="24"/>
          <w:lang w:val="cs-CZ"/>
        </w:rPr>
        <w:instrText xml:space="preserve">, p. </w:instrText>
      </w:r>
      <w:r>
        <w:rPr>
          <w:szCs w:val="24"/>
        </w:rPr>
        <w:instrText>499</w:instrText>
      </w:r>
      <w:r>
        <w:instrText xml:space="preserve">" </w:instrText>
      </w:r>
      <w:r>
        <w:rPr>
          <w:szCs w:val="24"/>
        </w:rPr>
        <w:fldChar w:fldCharType="end"/>
      </w:r>
      <w:r w:rsidRPr="00B67151">
        <w:rPr>
          <w:szCs w:val="24"/>
        </w:rPr>
        <w:t>)</w:t>
      </w:r>
    </w:p>
  </w:footnote>
  <w:footnote w:id="62">
    <w:p w:rsidR="00971E82" w:rsidRPr="007276E8" w:rsidRDefault="00971E82" w:rsidP="08163013">
      <w:pPr>
        <w:pStyle w:val="Textpoznpodarou"/>
        <w:rPr>
          <w:lang w:val="cs-CZ"/>
        </w:rPr>
      </w:pPr>
      <w:r>
        <w:rPr>
          <w:rStyle w:val="Znakapoznpodarou"/>
        </w:rPr>
        <w:footnoteRef/>
      </w:r>
      <w:r>
        <w:t xml:space="preserve"> </w:t>
      </w:r>
      <w:r>
        <w:rPr>
          <w:lang w:val="cs-CZ"/>
        </w:rPr>
        <w:t>„</w:t>
      </w:r>
      <w:r w:rsidRPr="007276E8">
        <w:t>Pour le P. Mandonnet, la conclusion est évidente : le statut du 1</w:t>
      </w:r>
      <w:r w:rsidRPr="007276E8">
        <w:rPr>
          <w:vertAlign w:val="superscript"/>
        </w:rPr>
        <w:t>er</w:t>
      </w:r>
      <w:r>
        <w:t xml:space="preserve"> avril 1272 est le «</w:t>
      </w:r>
      <w:r w:rsidRPr="007276E8">
        <w:t>manifeste</w:t>
      </w:r>
      <w:r>
        <w:t>»</w:t>
      </w:r>
      <w:r>
        <w:rPr>
          <w:lang w:val="cs-CZ"/>
        </w:rPr>
        <w:t xml:space="preserve"> </w:t>
      </w:r>
      <w:proofErr w:type="gramStart"/>
      <w:r w:rsidRPr="007276E8">
        <w:t xml:space="preserve">du  </w:t>
      </w:r>
      <w:r>
        <w:t>«</w:t>
      </w:r>
      <w:r>
        <w:rPr>
          <w:lang w:val="cs-CZ"/>
        </w:rPr>
        <w:t>parti</w:t>
      </w:r>
      <w:r>
        <w:t>»</w:t>
      </w:r>
      <w:proofErr w:type="gramEnd"/>
      <w:r>
        <w:rPr>
          <w:lang w:val="cs-CZ"/>
        </w:rPr>
        <w:t xml:space="preserve"> </w:t>
      </w:r>
      <w:r w:rsidRPr="007276E8">
        <w:t xml:space="preserve">d'Aubry, et c'est un </w:t>
      </w:r>
      <w:r>
        <w:t>«</w:t>
      </w:r>
      <w:r w:rsidRPr="007276E8">
        <w:t>coup droit</w:t>
      </w:r>
      <w:r>
        <w:t>»</w:t>
      </w:r>
      <w:r>
        <w:rPr>
          <w:lang w:val="cs-CZ"/>
        </w:rPr>
        <w:t xml:space="preserve"> </w:t>
      </w:r>
      <w:r>
        <w:t xml:space="preserve">contre </w:t>
      </w:r>
      <w:r>
        <w:rPr>
          <w:lang w:val="cs-CZ"/>
        </w:rPr>
        <w:t xml:space="preserve">le </w:t>
      </w:r>
      <w:r>
        <w:t>«</w:t>
      </w:r>
      <w:r w:rsidRPr="007276E8">
        <w:t>parti de Siger</w:t>
      </w:r>
      <w:r>
        <w:t>»</w:t>
      </w:r>
      <w:r w:rsidRPr="007276E8">
        <w:t>. Rien, dans le texte, n'autorise cette interprétation, et tout, dans le contexte historique, l'exclut.</w:t>
      </w:r>
      <w:r>
        <w:rPr>
          <w:lang w:val="cs-CZ"/>
        </w:rPr>
        <w:t>“ (Gauthier 1984, 23)</w:t>
      </w:r>
    </w:p>
  </w:footnote>
  <w:footnote w:id="63">
    <w:p w:rsidR="00971E82" w:rsidRPr="00CA2BD2" w:rsidRDefault="00971E82" w:rsidP="08163013">
      <w:pPr>
        <w:pStyle w:val="Textpoznpodarou"/>
        <w:rPr>
          <w:lang w:val="cs-CZ"/>
        </w:rPr>
      </w:pPr>
      <w:r w:rsidRPr="00CA2BD2">
        <w:rPr>
          <w:rStyle w:val="Znakapoznpodarou"/>
        </w:rPr>
        <w:footnoteRef/>
      </w:r>
      <w:r>
        <w:rPr>
          <w:lang w:val="cs-CZ"/>
        </w:rPr>
        <w:t xml:space="preserve"> </w:t>
      </w:r>
      <w:r w:rsidRPr="00CA2BD2">
        <w:t>„</w:t>
      </w:r>
      <w:r>
        <w:t>Avant la fin du XVIII</w:t>
      </w:r>
      <w:r w:rsidRPr="004866B1">
        <w:rPr>
          <w:vertAlign w:val="superscript"/>
        </w:rPr>
        <w:t xml:space="preserve">e </w:t>
      </w:r>
      <w:r>
        <w:t xml:space="preserve">siècle, </w:t>
      </w:r>
      <w:r w:rsidRPr="004866B1">
        <w:rPr>
          <w:iCs/>
        </w:rPr>
        <w:t>l'</w:t>
      </w:r>
      <w:r>
        <w:rPr>
          <w:i/>
          <w:iCs/>
        </w:rPr>
        <w:t xml:space="preserve">homme </w:t>
      </w:r>
      <w:r>
        <w:t>n'existait pas.</w:t>
      </w:r>
      <w:r>
        <w:rPr>
          <w:lang w:val="cs-CZ"/>
        </w:rPr>
        <w:t xml:space="preserve"> </w:t>
      </w:r>
      <w:r w:rsidRPr="00CA2BD2">
        <w:t>Il n’a ni puissance de vie, ni fécondité du travail, ni épaisseur historique du langage. C’est une toute récente créature que la démiurgie du savoir a fabriquée de ses</w:t>
      </w:r>
      <w:r w:rsidRPr="00CA2BD2">
        <w:rPr>
          <w:szCs w:val="24"/>
        </w:rPr>
        <w:t xml:space="preserve"> mains, depuis deux cents ans.“ (</w:t>
      </w:r>
      <w:r w:rsidRPr="00CA2BD2">
        <w:t>Foucault</w:t>
      </w:r>
      <w:r w:rsidRPr="00CA2BD2">
        <w:rPr>
          <w:szCs w:val="24"/>
        </w:rPr>
        <w:t xml:space="preserve"> 1966</w:t>
      </w:r>
      <w:r w:rsidRPr="00CA2BD2">
        <w:t>, 319</w:t>
      </w:r>
      <w:r w:rsidRPr="00CA2BD2">
        <w:rPr>
          <w:szCs w:val="24"/>
        </w:rPr>
        <w:t>)</w:t>
      </w:r>
    </w:p>
  </w:footnote>
  <w:footnote w:id="64">
    <w:p w:rsidR="00971E82" w:rsidRPr="086703B3" w:rsidRDefault="00971E82" w:rsidP="08163013">
      <w:pPr>
        <w:pStyle w:val="Textpoznpodarou"/>
        <w:rPr>
          <w:lang w:val="cs-CZ"/>
        </w:rPr>
      </w:pPr>
      <w:r>
        <w:rPr>
          <w:rStyle w:val="Znakapoznpodarou"/>
        </w:rPr>
        <w:footnoteRef/>
      </w:r>
      <w:r>
        <w:t xml:space="preserve"> </w:t>
      </w:r>
      <w:r>
        <w:rPr>
          <w:lang w:val="cs-CZ"/>
        </w:rPr>
        <w:t>„</w:t>
      </w:r>
      <w:r w:rsidRPr="086703B3">
        <w:rPr>
          <w:lang w:val="cs-CZ"/>
        </w:rPr>
        <w:t>In this conception, "philosophy" is not a name for a discipline which confronts permanent issues, and unfortunately keeps misstating them, or attacking them with clumsy dialectical instruments. Rather, it is a cultural genre, a "voice in the conversation of mankind" (to use Michael Oakeshott's phrase), which centers on one topic rather than another at some given time not by dialectical necessity but as a result of various things happening elsewhere in the conversation (the New Science, the French Revolution, the modern novel) or of individual men of genius who think of something new (Hegel, Marx, Frege, Freud, Wittgenstein, Heidegger), or perhaps of the re</w:t>
      </w:r>
      <w:r>
        <w:rPr>
          <w:lang w:val="cs-CZ"/>
        </w:rPr>
        <w:t xml:space="preserve">sultant of several such forces.“ </w:t>
      </w:r>
      <w:r w:rsidRPr="086703B3">
        <w:rPr>
          <w:lang w:val="cs-CZ"/>
        </w:rPr>
        <w:t>(</w:t>
      </w:r>
      <w:r>
        <w:rPr>
          <w:lang w:val="cs-CZ"/>
        </w:rPr>
        <w:t xml:space="preserve">Rorty 1979, </w:t>
      </w:r>
      <w:r w:rsidRPr="086703B3">
        <w:rPr>
          <w:lang w:val="cs-CZ"/>
        </w:rPr>
        <w:t>264)</w:t>
      </w:r>
    </w:p>
  </w:footnote>
  <w:footnote w:id="65">
    <w:p w:rsidR="00971E82" w:rsidRPr="00B77033" w:rsidRDefault="00971E82" w:rsidP="08163013">
      <w:pPr>
        <w:pStyle w:val="Textpoznpodarou"/>
      </w:pPr>
      <w:r w:rsidRPr="00B77033">
        <w:rPr>
          <w:rStyle w:val="Znakapoznpodarou"/>
        </w:rPr>
        <w:footnoteRef/>
      </w:r>
      <w:r>
        <w:rPr>
          <w:lang w:val="cs-CZ"/>
        </w:rPr>
        <w:t xml:space="preserve"> </w:t>
      </w:r>
      <w:r w:rsidRPr="00B77033">
        <w:t>„</w:t>
      </w:r>
      <w:r w:rsidRPr="00B77033">
        <w:rPr>
          <w:szCs w:val="22"/>
        </w:rPr>
        <w:t>Le verbe doit non seulement être verbe de quelqu'un; il doit déborder vers l'autre ce qu'on appelle le sujet parlant. Ni les philosophies du neutre ni les philosophies de la subjectivité ne peuvent reconnaître ce trajet de la parole qu'aucune parole ne peut totaliser.</w:t>
      </w:r>
      <w:r>
        <w:rPr>
          <w:szCs w:val="22"/>
          <w:lang w:val="cs-CZ"/>
        </w:rPr>
        <w:t xml:space="preserve"> </w:t>
      </w:r>
      <w:r w:rsidRPr="00B77033">
        <w:rPr>
          <w:szCs w:val="22"/>
          <w:lang w:val="cs-CZ"/>
        </w:rPr>
        <w:t>Par définition, si l'autre est l'autre et si toute parole est pour l'autre, aucun logos comme savoir absolu ne peut comprendre le dialogue et le trajet vers l'autre.</w:t>
      </w:r>
      <w:r w:rsidRPr="00B77033">
        <w:t>“ (</w:t>
      </w:r>
      <w:r>
        <w:rPr>
          <w:lang w:val="cs-CZ"/>
        </w:rPr>
        <w:t>Derrida 1967, 145</w:t>
      </w:r>
      <w:r w:rsidRPr="00B77033">
        <w:t>).</w:t>
      </w:r>
    </w:p>
  </w:footnote>
  <w:footnote w:id="66">
    <w:p w:rsidR="00971E82" w:rsidRPr="00B77033" w:rsidRDefault="00971E82" w:rsidP="08163013">
      <w:pPr>
        <w:pStyle w:val="Textpoznpodarou"/>
        <w:rPr>
          <w:lang w:val="cs-CZ"/>
        </w:rPr>
      </w:pPr>
      <w:r>
        <w:rPr>
          <w:rStyle w:val="Znakapoznpodarou"/>
        </w:rPr>
        <w:footnoteRef/>
      </w:r>
      <w:r>
        <w:t xml:space="preserve"> </w:t>
      </w:r>
      <w:r w:rsidRPr="00273106">
        <w:rPr>
          <w:noProof/>
        </w:rPr>
        <w:t xml:space="preserve">„Quoniam autem contingit contemplari Deum non solum </w:t>
      </w:r>
      <w:r w:rsidRPr="00273106">
        <w:rPr>
          <w:i/>
          <w:iCs/>
          <w:noProof/>
        </w:rPr>
        <w:t xml:space="preserve">extra nos </w:t>
      </w:r>
      <w:r w:rsidRPr="00273106">
        <w:rPr>
          <w:noProof/>
        </w:rPr>
        <w:t xml:space="preserve">et </w:t>
      </w:r>
      <w:r w:rsidRPr="00273106">
        <w:rPr>
          <w:i/>
          <w:iCs/>
          <w:noProof/>
        </w:rPr>
        <w:t>intra nos</w:t>
      </w:r>
      <w:r w:rsidRPr="00273106">
        <w:rPr>
          <w:noProof/>
        </w:rPr>
        <w:t xml:space="preserve">, verum etiam </w:t>
      </w:r>
      <w:r w:rsidRPr="00273106">
        <w:rPr>
          <w:i/>
          <w:iCs/>
          <w:noProof/>
        </w:rPr>
        <w:t>supra nos</w:t>
      </w:r>
      <w:r w:rsidRPr="00273106">
        <w:rPr>
          <w:noProof/>
        </w:rPr>
        <w:t xml:space="preserve">: </w:t>
      </w:r>
      <w:r w:rsidRPr="00273106">
        <w:rPr>
          <w:i/>
          <w:iCs/>
          <w:noProof/>
        </w:rPr>
        <w:t xml:space="preserve">extra </w:t>
      </w:r>
      <w:r w:rsidRPr="00273106">
        <w:rPr>
          <w:noProof/>
        </w:rPr>
        <w:t xml:space="preserve">per vestigium, </w:t>
      </w:r>
      <w:r w:rsidRPr="00273106">
        <w:rPr>
          <w:i/>
          <w:iCs/>
          <w:noProof/>
        </w:rPr>
        <w:t xml:space="preserve">intra </w:t>
      </w:r>
      <w:r w:rsidRPr="00273106">
        <w:rPr>
          <w:noProof/>
        </w:rPr>
        <w:t xml:space="preserve">per imaginem et </w:t>
      </w:r>
      <w:r w:rsidRPr="00273106">
        <w:rPr>
          <w:i/>
          <w:iCs/>
          <w:noProof/>
        </w:rPr>
        <w:t xml:space="preserve">supra </w:t>
      </w:r>
      <w:r w:rsidRPr="00273106">
        <w:rPr>
          <w:noProof/>
        </w:rPr>
        <w:t>per lumen, quod est signatum supra mentem nostram,</w:t>
      </w:r>
      <w:r w:rsidRPr="00273106">
        <w:rPr>
          <w:b/>
          <w:bCs/>
          <w:noProof/>
        </w:rPr>
        <w:t xml:space="preserve"> </w:t>
      </w:r>
      <w:r w:rsidRPr="00273106">
        <w:rPr>
          <w:noProof/>
        </w:rPr>
        <w:t>quod est lumen Veritatis aeternae, cum «ipsa mens nostra inmediate ab ipsa Veritate formetur»...“ (</w:t>
      </w:r>
      <w:r w:rsidRPr="00273106">
        <w:rPr>
          <w:i/>
          <w:noProof/>
        </w:rPr>
        <w:t xml:space="preserve">Itinerarium mentis in Deum </w:t>
      </w:r>
      <w:r>
        <w:rPr>
          <w:noProof/>
        </w:rPr>
        <w:t>V.1</w:t>
      </w:r>
      <w:r>
        <w:rPr>
          <w:noProof/>
          <w:lang w:val="cs-CZ"/>
        </w:rPr>
        <w:t>;</w:t>
      </w:r>
      <w:r w:rsidRPr="00273106">
        <w:rPr>
          <w:noProof/>
        </w:rPr>
        <w:t xml:space="preserve"> </w:t>
      </w:r>
      <w:r w:rsidRPr="00970BE9">
        <w:rPr>
          <w:i/>
          <w:noProof/>
        </w:rPr>
        <w:t>Opera omnia</w:t>
      </w:r>
      <w:r>
        <w:rPr>
          <w:noProof/>
        </w:rPr>
        <w:t xml:space="preserve"> </w:t>
      </w:r>
      <w:r>
        <w:rPr>
          <w:noProof/>
          <w:lang w:val="cs-CZ"/>
        </w:rPr>
        <w:t>5</w:t>
      </w:r>
      <w:r w:rsidRPr="00273106">
        <w:rPr>
          <w:noProof/>
        </w:rPr>
        <w:t>, 308a</w:t>
      </w:r>
      <w:r>
        <w:rPr>
          <w:noProof/>
        </w:rPr>
        <w:fldChar w:fldCharType="begin"/>
      </w:r>
      <w:r>
        <w:instrText xml:space="preserve"> XE "</w:instrText>
      </w:r>
      <w:r>
        <w:rPr>
          <w:lang w:val="cs-CZ"/>
        </w:rPr>
        <w:instrText>Bonaventura:</w:instrText>
      </w:r>
      <w:r w:rsidRPr="004D46F7">
        <w:rPr>
          <w:i/>
          <w:noProof/>
        </w:rPr>
        <w:instrText xml:space="preserve">Itinerarium mentis in Deum </w:instrText>
      </w:r>
      <w:r w:rsidRPr="004D46F7">
        <w:rPr>
          <w:noProof/>
        </w:rPr>
        <w:instrText>308a</w:instrText>
      </w:r>
      <w:r>
        <w:instrText xml:space="preserve">" </w:instrText>
      </w:r>
      <w:r>
        <w:rPr>
          <w:noProof/>
        </w:rPr>
        <w:fldChar w:fldCharType="end"/>
      </w:r>
      <w:r w:rsidRPr="00273106">
        <w:rPr>
          <w:noProof/>
        </w:rPr>
        <w:t>)</w:t>
      </w:r>
    </w:p>
  </w:footnote>
  <w:footnote w:id="67">
    <w:p w:rsidR="00971E82" w:rsidRPr="00820BA1" w:rsidRDefault="00971E82" w:rsidP="08163013">
      <w:pPr>
        <w:pStyle w:val="Textpoznpodarou"/>
        <w:rPr>
          <w:lang w:val="cs-CZ"/>
        </w:rPr>
      </w:pPr>
      <w:r>
        <w:rPr>
          <w:rStyle w:val="Znakapoznpodarou"/>
        </w:rPr>
        <w:footnoteRef/>
      </w:r>
      <w:r>
        <w:t xml:space="preserve"> </w:t>
      </w:r>
      <w:r w:rsidRPr="00273106">
        <w:rPr>
          <w:noProof/>
        </w:rPr>
        <w:t xml:space="preserve">„Differunt autem </w:t>
      </w:r>
      <w:r w:rsidRPr="00273106">
        <w:rPr>
          <w:i/>
          <w:noProof/>
        </w:rPr>
        <w:t>causa</w:t>
      </w:r>
      <w:r w:rsidRPr="00273106">
        <w:rPr>
          <w:noProof/>
        </w:rPr>
        <w:t xml:space="preserve"> et </w:t>
      </w:r>
      <w:r w:rsidRPr="00273106">
        <w:rPr>
          <w:i/>
          <w:noProof/>
        </w:rPr>
        <w:t>ratio causalis</w:t>
      </w:r>
      <w:r w:rsidRPr="00273106">
        <w:rPr>
          <w:noProof/>
        </w:rPr>
        <w:t xml:space="preserve">, quia </w:t>
      </w:r>
      <w:r w:rsidRPr="00273106">
        <w:rPr>
          <w:i/>
          <w:noProof/>
        </w:rPr>
        <w:t>causa</w:t>
      </w:r>
      <w:r w:rsidRPr="00273106">
        <w:rPr>
          <w:noProof/>
        </w:rPr>
        <w:t xml:space="preserve"> dicit principium productivum, </w:t>
      </w:r>
      <w:r w:rsidRPr="00273106">
        <w:rPr>
          <w:i/>
          <w:noProof/>
        </w:rPr>
        <w:t>ratio</w:t>
      </w:r>
      <w:r w:rsidRPr="00273106">
        <w:rPr>
          <w:noProof/>
        </w:rPr>
        <w:t xml:space="preserve"> vero </w:t>
      </w:r>
      <w:r w:rsidRPr="00273106">
        <w:rPr>
          <w:i/>
          <w:noProof/>
        </w:rPr>
        <w:t>causalis</w:t>
      </w:r>
      <w:r w:rsidRPr="00273106">
        <w:rPr>
          <w:noProof/>
        </w:rPr>
        <w:t xml:space="preserve"> dicit regulam dirigentem illud prin</w:t>
      </w:r>
      <w:r w:rsidRPr="00273106">
        <w:rPr>
          <w:noProof/>
        </w:rPr>
        <w:softHyphen/>
        <w:t xml:space="preserve">cipium in sua operatione. Similiter per hunc modum differt </w:t>
      </w:r>
      <w:r w:rsidRPr="00273106">
        <w:rPr>
          <w:i/>
          <w:noProof/>
        </w:rPr>
        <w:t>semen</w:t>
      </w:r>
      <w:r w:rsidRPr="00273106">
        <w:rPr>
          <w:noProof/>
        </w:rPr>
        <w:t xml:space="preserve"> et </w:t>
      </w:r>
      <w:r>
        <w:rPr>
          <w:i/>
          <w:noProof/>
        </w:rPr>
        <w:t>ratio semi</w:t>
      </w:r>
      <w:r w:rsidRPr="00273106">
        <w:rPr>
          <w:i/>
          <w:noProof/>
        </w:rPr>
        <w:t>nalis</w:t>
      </w:r>
      <w:r w:rsidRPr="00273106">
        <w:rPr>
          <w:noProof/>
        </w:rPr>
        <w:t>.“ (</w:t>
      </w:r>
      <w:r w:rsidRPr="00273106">
        <w:rPr>
          <w:i/>
          <w:noProof/>
        </w:rPr>
        <w:t>In II Sent</w:t>
      </w:r>
      <w:r w:rsidRPr="00273106">
        <w:rPr>
          <w:noProof/>
        </w:rPr>
        <w:t xml:space="preserve">. d. 18, a. 1, q. 2, resp.; </w:t>
      </w:r>
      <w:r w:rsidRPr="00970BE9">
        <w:rPr>
          <w:i/>
          <w:noProof/>
        </w:rPr>
        <w:t>Opera omnia</w:t>
      </w:r>
      <w:r>
        <w:rPr>
          <w:noProof/>
        </w:rPr>
        <w:t xml:space="preserve"> </w:t>
      </w:r>
      <w:r>
        <w:rPr>
          <w:noProof/>
          <w:lang w:val="cs-CZ"/>
        </w:rPr>
        <w:t>2</w:t>
      </w:r>
      <w:r>
        <w:rPr>
          <w:noProof/>
        </w:rPr>
        <w:t xml:space="preserve">, </w:t>
      </w:r>
      <w:r w:rsidRPr="00273106">
        <w:rPr>
          <w:noProof/>
        </w:rPr>
        <w:t>436</w:t>
      </w:r>
      <w:r>
        <w:rPr>
          <w:noProof/>
        </w:rPr>
        <w:t>a</w:t>
      </w:r>
      <w:r>
        <w:rPr>
          <w:noProof/>
        </w:rPr>
        <w:fldChar w:fldCharType="begin"/>
      </w:r>
      <w:r>
        <w:instrText xml:space="preserve"> XE "</w:instrText>
      </w:r>
      <w:r>
        <w:rPr>
          <w:lang w:val="cs-CZ"/>
        </w:rPr>
        <w:instrText>Bonaventura:</w:instrText>
      </w:r>
      <w:r w:rsidRPr="00166020">
        <w:rPr>
          <w:i/>
          <w:noProof/>
        </w:rPr>
        <w:instrText>In II Sent</w:instrText>
      </w:r>
      <w:r>
        <w:rPr>
          <w:noProof/>
        </w:rPr>
        <w:instrText>. 436a</w:instrText>
      </w:r>
      <w:r>
        <w:instrText xml:space="preserve">" </w:instrText>
      </w:r>
      <w:r>
        <w:rPr>
          <w:noProof/>
        </w:rPr>
        <w:fldChar w:fldCharType="end"/>
      </w:r>
      <w:r w:rsidRPr="00273106">
        <w:rPr>
          <w:noProof/>
        </w:rPr>
        <w:t>)</w:t>
      </w:r>
    </w:p>
  </w:footnote>
  <w:footnote w:id="68">
    <w:p w:rsidR="00971E82" w:rsidRPr="00BA4EBF" w:rsidRDefault="00971E82" w:rsidP="08163013">
      <w:pPr>
        <w:pStyle w:val="Textpoznpodarou"/>
        <w:rPr>
          <w:rStyle w:val="TextpoznpodarouChar"/>
          <w:rFonts w:eastAsia="Times"/>
        </w:rPr>
      </w:pPr>
      <w:r>
        <w:rPr>
          <w:rStyle w:val="Znakapoznpodarou"/>
        </w:rPr>
        <w:footnoteRef/>
      </w:r>
      <w:r>
        <w:t xml:space="preserve"> </w:t>
      </w:r>
      <w:r w:rsidRPr="00BA4EBF">
        <w:rPr>
          <w:rStyle w:val="TextpoznpodarouChar"/>
          <w:rFonts w:eastAsia="Times"/>
        </w:rPr>
        <w:t>„M: Quia materia prima uniuersalis simplicior est omni materia et est finis ultimus omnis materiae; similiter forma uniuersalis simplicior est omni forma et ipsa forma est coniuntrix omnis formae. D: Resolutio omnium in haec est in actu, aut in opinione? M: Non in actu, sed in opinione.“ (</w:t>
      </w:r>
      <w:r w:rsidRPr="00BA4EBF">
        <w:rPr>
          <w:rStyle w:val="TextpoznpodarouChar"/>
          <w:rFonts w:eastAsia="Times"/>
          <w:i/>
        </w:rPr>
        <w:t>Avencebrolis Fons Vitae</w:t>
      </w:r>
      <w:r w:rsidRPr="00BA4EBF">
        <w:rPr>
          <w:rStyle w:val="TextpoznpodarouChar"/>
          <w:rFonts w:eastAsia="Times"/>
        </w:rPr>
        <w:t xml:space="preserve"> I.6, ed. Bäumker, p. 8.1‒5</w:t>
      </w:r>
      <w:r>
        <w:rPr>
          <w:rStyle w:val="TextpoznpodarouChar"/>
          <w:rFonts w:eastAsia="Times"/>
        </w:rPr>
        <w:fldChar w:fldCharType="begin"/>
      </w:r>
      <w:r>
        <w:instrText xml:space="preserve"> XE "</w:instrText>
      </w:r>
      <w:r>
        <w:rPr>
          <w:rStyle w:val="TextpoznpodarouChar"/>
          <w:rFonts w:eastAsia="Times"/>
          <w:lang w:val="cs-CZ"/>
        </w:rPr>
        <w:instrText>Avicebron:</w:instrText>
      </w:r>
      <w:r w:rsidRPr="009D22DE">
        <w:rPr>
          <w:rStyle w:val="TextpoznpodarouChar"/>
          <w:rFonts w:eastAsia="Times"/>
          <w:i/>
        </w:rPr>
        <w:instrText>Avencebrolis Fons Vitae</w:instrText>
      </w:r>
      <w:r w:rsidRPr="009D22DE">
        <w:rPr>
          <w:rStyle w:val="TextpoznpodarouChar"/>
          <w:rFonts w:eastAsia="Times"/>
        </w:rPr>
        <w:instrText xml:space="preserve"> 8.1‒5</w:instrText>
      </w:r>
      <w:r>
        <w:instrText xml:space="preserve">" </w:instrText>
      </w:r>
      <w:r>
        <w:rPr>
          <w:rStyle w:val="TextpoznpodarouChar"/>
          <w:rFonts w:eastAsia="Times"/>
        </w:rPr>
        <w:fldChar w:fldCharType="end"/>
      </w:r>
      <w:r w:rsidRPr="00BA4EBF">
        <w:rPr>
          <w:rStyle w:val="TextpoznpodarouChar"/>
          <w:rFonts w:eastAsia="Times"/>
        </w:rPr>
        <w:t>)</w:t>
      </w:r>
    </w:p>
  </w:footnote>
  <w:footnote w:id="69">
    <w:p w:rsidR="00971E82" w:rsidRPr="00820BA1" w:rsidRDefault="00971E82" w:rsidP="08163013">
      <w:pPr>
        <w:pStyle w:val="Textpoznpodarou"/>
        <w:rPr>
          <w:lang w:val="cs-CZ"/>
        </w:rPr>
      </w:pPr>
      <w:r>
        <w:rPr>
          <w:rStyle w:val="Znakapoznpodarou"/>
        </w:rPr>
        <w:footnoteRef/>
      </w:r>
      <w:r>
        <w:t xml:space="preserve"> </w:t>
      </w:r>
      <w:r w:rsidRPr="00273106">
        <w:rPr>
          <w:noProof/>
        </w:rPr>
        <w:t xml:space="preserve">„Regula autem agentis </w:t>
      </w:r>
      <w:r w:rsidRPr="00273106">
        <w:rPr>
          <w:i/>
          <w:noProof/>
        </w:rPr>
        <w:t>increati</w:t>
      </w:r>
      <w:r w:rsidRPr="00273106">
        <w:rPr>
          <w:noProof/>
        </w:rPr>
        <w:t xml:space="preserve"> est forma exemplaris sive idealis, regula vero agentis </w:t>
      </w:r>
      <w:r w:rsidRPr="00273106">
        <w:rPr>
          <w:i/>
          <w:noProof/>
        </w:rPr>
        <w:t>creati</w:t>
      </w:r>
      <w:r w:rsidRPr="00273106">
        <w:rPr>
          <w:noProof/>
        </w:rPr>
        <w:t xml:space="preserve"> est forma naturalis; et ita </w:t>
      </w:r>
      <w:r w:rsidRPr="00273106">
        <w:rPr>
          <w:i/>
          <w:noProof/>
        </w:rPr>
        <w:t>rationes causales</w:t>
      </w:r>
      <w:r w:rsidRPr="00273106">
        <w:rPr>
          <w:noProof/>
        </w:rPr>
        <w:t xml:space="preserve"> sunt formae ideales sive exemplares, </w:t>
      </w:r>
      <w:r w:rsidRPr="00273106">
        <w:rPr>
          <w:i/>
          <w:noProof/>
        </w:rPr>
        <w:t>rationes</w:t>
      </w:r>
      <w:r w:rsidRPr="00273106">
        <w:rPr>
          <w:noProof/>
        </w:rPr>
        <w:t xml:space="preserve"> vero </w:t>
      </w:r>
      <w:r w:rsidRPr="00273106">
        <w:rPr>
          <w:i/>
          <w:noProof/>
        </w:rPr>
        <w:t>seminales</w:t>
      </w:r>
      <w:r w:rsidRPr="00273106">
        <w:rPr>
          <w:noProof/>
        </w:rPr>
        <w:t xml:space="preserve"> sunt formae naturales</w:t>
      </w:r>
      <w:r w:rsidRPr="08C1383B">
        <w:t xml:space="preserve">. </w:t>
      </w:r>
      <w:r w:rsidRPr="08C1383B">
        <w:rPr>
          <w:rFonts w:eastAsia="Times"/>
        </w:rPr>
        <w:t xml:space="preserve">Rationes causales et seminales uno modo, se habent </w:t>
      </w:r>
      <w:r w:rsidRPr="08C1383B">
        <w:t>sicut generale et speciale</w:t>
      </w:r>
      <w:r w:rsidRPr="00273106">
        <w:rPr>
          <w:noProof/>
        </w:rPr>
        <w:t>.“ (</w:t>
      </w:r>
      <w:r w:rsidRPr="00273106">
        <w:rPr>
          <w:i/>
          <w:noProof/>
        </w:rPr>
        <w:t>In II Sent</w:t>
      </w:r>
      <w:r w:rsidRPr="00273106">
        <w:rPr>
          <w:noProof/>
        </w:rPr>
        <w:t xml:space="preserve">. d. 18, a. 1, q. 2, resp.; </w:t>
      </w:r>
      <w:r w:rsidRPr="00970BE9">
        <w:rPr>
          <w:i/>
          <w:noProof/>
        </w:rPr>
        <w:t>Opera omnia</w:t>
      </w:r>
      <w:r>
        <w:rPr>
          <w:noProof/>
        </w:rPr>
        <w:t xml:space="preserve"> </w:t>
      </w:r>
      <w:r>
        <w:rPr>
          <w:noProof/>
          <w:lang w:val="cs-CZ"/>
        </w:rPr>
        <w:t>2</w:t>
      </w:r>
      <w:r>
        <w:rPr>
          <w:noProof/>
        </w:rPr>
        <w:t xml:space="preserve">, </w:t>
      </w:r>
      <w:r w:rsidRPr="00273106">
        <w:rPr>
          <w:noProof/>
        </w:rPr>
        <w:t>436b</w:t>
      </w:r>
      <w:r>
        <w:rPr>
          <w:noProof/>
        </w:rPr>
        <w:fldChar w:fldCharType="begin"/>
      </w:r>
      <w:r>
        <w:instrText xml:space="preserve"> XE "</w:instrText>
      </w:r>
      <w:r>
        <w:rPr>
          <w:lang w:val="cs-CZ"/>
        </w:rPr>
        <w:instrText>Bonaventura:</w:instrText>
      </w:r>
      <w:r w:rsidRPr="00166020">
        <w:rPr>
          <w:i/>
          <w:noProof/>
        </w:rPr>
        <w:instrText>In II Sent</w:instrText>
      </w:r>
      <w:r>
        <w:rPr>
          <w:noProof/>
        </w:rPr>
        <w:instrText>. 436</w:instrText>
      </w:r>
      <w:r w:rsidRPr="00166020">
        <w:rPr>
          <w:noProof/>
        </w:rPr>
        <w:instrText>b</w:instrText>
      </w:r>
      <w:r>
        <w:instrText xml:space="preserve">" </w:instrText>
      </w:r>
      <w:r>
        <w:rPr>
          <w:noProof/>
        </w:rPr>
        <w:fldChar w:fldCharType="end"/>
      </w:r>
      <w:r w:rsidRPr="00273106">
        <w:rPr>
          <w:noProof/>
        </w:rPr>
        <w:t>)</w:t>
      </w:r>
    </w:p>
  </w:footnote>
  <w:footnote w:id="70">
    <w:p w:rsidR="00971E82" w:rsidRPr="00D04F89" w:rsidRDefault="00971E82" w:rsidP="084D5365">
      <w:pPr>
        <w:pStyle w:val="Textpoznpodarou"/>
      </w:pPr>
      <w:r>
        <w:rPr>
          <w:rStyle w:val="Znakapoznpodarou"/>
        </w:rPr>
        <w:footnoteRef/>
      </w:r>
      <w:r>
        <w:rPr>
          <w:lang w:val="cs-CZ"/>
        </w:rPr>
        <w:t xml:space="preserve"> </w:t>
      </w:r>
      <w:r>
        <w:t>„</w:t>
      </w:r>
      <w:r w:rsidRPr="00AA720C">
        <w:rPr>
          <w:i/>
        </w:rPr>
        <w:t>Excessivum</w:t>
      </w:r>
      <w:r>
        <w:t xml:space="preserve"> autem modum cognoscendi dico</w:t>
      </w:r>
      <w:r w:rsidRPr="00AA720C">
        <w:t xml:space="preserve">, non </w:t>
      </w:r>
      <w:r>
        <w:t>quo cognoscens excedat cognitum</w:t>
      </w:r>
      <w:r w:rsidRPr="00AA720C">
        <w:t>, sed quo cognoscens fertur in obiectum</w:t>
      </w:r>
      <w:r>
        <w:t xml:space="preserve"> excedens excessivo quodam modo</w:t>
      </w:r>
      <w:r w:rsidRPr="00AA720C">
        <w:t>, erigendo se supra se ipsum.</w:t>
      </w:r>
      <w:r>
        <w:t>“ (</w:t>
      </w:r>
      <w:r w:rsidRPr="00AA720C">
        <w:rPr>
          <w:i/>
        </w:rPr>
        <w:t>De scientia Christi</w:t>
      </w:r>
      <w:r>
        <w:t xml:space="preserve">, q. 7,  resp., ad 4; </w:t>
      </w:r>
      <w:r w:rsidRPr="00970BE9">
        <w:rPr>
          <w:i/>
        </w:rPr>
        <w:t>Opera omnia</w:t>
      </w:r>
      <w:r>
        <w:t xml:space="preserve"> </w:t>
      </w:r>
      <w:r>
        <w:rPr>
          <w:lang w:val="cs-CZ"/>
        </w:rPr>
        <w:t>5</w:t>
      </w:r>
      <w:r>
        <w:t>, 40a</w:t>
      </w:r>
      <w:r>
        <w:fldChar w:fldCharType="begin"/>
      </w:r>
      <w:r>
        <w:instrText xml:space="preserve"> XE "</w:instrText>
      </w:r>
      <w:r>
        <w:rPr>
          <w:lang w:val="cs-CZ"/>
        </w:rPr>
        <w:instrText>Bonaventura:</w:instrText>
      </w:r>
      <w:r w:rsidRPr="003923B4">
        <w:rPr>
          <w:i/>
        </w:rPr>
        <w:instrText>De scientia Christi</w:instrText>
      </w:r>
      <w:r>
        <w:rPr>
          <w:lang w:val="cs-CZ"/>
        </w:rPr>
        <w:instrText xml:space="preserve"> 40a</w:instrText>
      </w:r>
      <w:r>
        <w:instrText xml:space="preserve">" </w:instrText>
      </w:r>
      <w:r>
        <w:fldChar w:fldCharType="end"/>
      </w:r>
      <w:r>
        <w:t>)</w:t>
      </w:r>
    </w:p>
  </w:footnote>
  <w:footnote w:id="71">
    <w:p w:rsidR="00971E82" w:rsidRPr="0068758B" w:rsidRDefault="00971E82" w:rsidP="084D5365">
      <w:pPr>
        <w:pStyle w:val="Textpoznpodarou"/>
      </w:pPr>
      <w:r>
        <w:rPr>
          <w:rStyle w:val="Znakapoznpodarou"/>
        </w:rPr>
        <w:footnoteRef/>
      </w:r>
      <w:r>
        <w:t xml:space="preserve"> „Ad primum itaque me convertens, optarem exponere hoc in loco quid sit mens hominis, quid corpus, quomodo hoc ab illa informetur...“ (</w:t>
      </w:r>
      <w:r w:rsidRPr="0068758B">
        <w:rPr>
          <w:rStyle w:val="TextpoznpodarouChar"/>
          <w:rFonts w:eastAsia="Times"/>
          <w:i/>
        </w:rPr>
        <w:t>Regulae ad directionem ingenii</w:t>
      </w:r>
      <w:r>
        <w:rPr>
          <w:rStyle w:val="TextpoznpodarouChar"/>
          <w:rFonts w:eastAsia="Times"/>
          <w:lang w:val="cs-CZ"/>
        </w:rPr>
        <w:t xml:space="preserve"> </w:t>
      </w:r>
      <w:r>
        <w:t xml:space="preserve">XII.3; </w:t>
      </w:r>
      <w:r>
        <w:rPr>
          <w:rStyle w:val="TextpoznpodarouChar"/>
          <w:rFonts w:eastAsia="Times"/>
          <w:lang w:val="cs-CZ"/>
        </w:rPr>
        <w:t xml:space="preserve">ed. Tannery 10, </w:t>
      </w:r>
      <w:r>
        <w:rPr>
          <w:rStyle w:val="TextpoznpodarouChar"/>
          <w:rFonts w:eastAsia="Times"/>
        </w:rPr>
        <w:t>411.17‒18</w:t>
      </w:r>
      <w:r>
        <w:rPr>
          <w:rStyle w:val="TextpoznpodarouChar"/>
          <w:rFonts w:eastAsia="Times"/>
        </w:rPr>
        <w:fldChar w:fldCharType="begin"/>
      </w:r>
      <w:r>
        <w:instrText xml:space="preserve"> XE "</w:instrText>
      </w:r>
      <w:r>
        <w:rPr>
          <w:lang w:val="cs-CZ"/>
        </w:rPr>
        <w:instrText>Descartes:</w:instrText>
      </w:r>
      <w:r w:rsidRPr="00205693">
        <w:rPr>
          <w:rStyle w:val="TextpoznpodarouChar"/>
          <w:rFonts w:eastAsia="Times"/>
          <w:i/>
        </w:rPr>
        <w:instrText>Regulae ad directionem ingenii</w:instrText>
      </w:r>
      <w:r w:rsidRPr="00205693">
        <w:rPr>
          <w:rStyle w:val="TextpoznpodarouChar"/>
          <w:rFonts w:eastAsia="Times"/>
          <w:lang w:val="cs-CZ"/>
        </w:rPr>
        <w:instrText xml:space="preserve"> </w:instrText>
      </w:r>
      <w:r w:rsidRPr="007950CA">
        <w:rPr>
          <w:lang w:val="cs-CZ"/>
        </w:rPr>
        <w:instrText>12</w:instrText>
      </w:r>
      <w:r>
        <w:rPr>
          <w:i/>
          <w:lang w:val="cs-CZ"/>
        </w:rPr>
        <w:instrText>.</w:instrText>
      </w:r>
      <w:r w:rsidRPr="00205693">
        <w:rPr>
          <w:rStyle w:val="TextpoznpodarouChar"/>
          <w:rFonts w:eastAsia="Times"/>
        </w:rPr>
        <w:instrText>411.17‒18</w:instrText>
      </w:r>
      <w:r>
        <w:instrText xml:space="preserve">" </w:instrText>
      </w:r>
      <w:r>
        <w:rPr>
          <w:rStyle w:val="TextpoznpodarouChar"/>
          <w:rFonts w:eastAsia="Times"/>
        </w:rPr>
        <w:fldChar w:fldCharType="end"/>
      </w:r>
      <w:r>
        <w:t>)</w:t>
      </w:r>
    </w:p>
  </w:footnote>
  <w:footnote w:id="72">
    <w:p w:rsidR="00971E82" w:rsidRPr="003525BA" w:rsidRDefault="00971E82" w:rsidP="084D5365">
      <w:pPr>
        <w:pStyle w:val="Textpoznpodarou"/>
      </w:pPr>
      <w:r>
        <w:rPr>
          <w:rStyle w:val="Znakapoznpodarou"/>
        </w:rPr>
        <w:footnoteRef/>
      </w:r>
      <w:r>
        <w:rPr>
          <w:lang w:val="cs-CZ"/>
        </w:rPr>
        <w:t xml:space="preserve"> </w:t>
      </w:r>
      <w:r>
        <w:t>„Et sicut est particulariter in semine, ita est universaliter in luce agentis intellectus respectu universitatis totius ordinis sibi subjectae materiae: ipsa enim lux sua scientia est, et sua ars est certa ratione omnia ad esse intelligentis producens, et omnia construere faciens in intellectu possibili.“ (</w:t>
      </w:r>
      <w:r w:rsidRPr="003525BA">
        <w:rPr>
          <w:i/>
        </w:rPr>
        <w:t>De intellectu et intelligibili</w:t>
      </w:r>
      <w:r>
        <w:t xml:space="preserve"> II.1.3; ed. Borgnet 9, 508a‒b</w:t>
      </w:r>
      <w:r>
        <w:fldChar w:fldCharType="begin"/>
      </w:r>
      <w:r>
        <w:instrText xml:space="preserve"> XE "</w:instrText>
      </w:r>
      <w:r>
        <w:rPr>
          <w:lang w:val="cs-CZ"/>
        </w:rPr>
        <w:instrText>Albert:</w:instrText>
      </w:r>
      <w:r w:rsidRPr="00C33E95">
        <w:rPr>
          <w:i/>
        </w:rPr>
        <w:instrText>De intellectu et intelligibili</w:instrText>
      </w:r>
      <w:r w:rsidRPr="00C33E95">
        <w:instrText xml:space="preserve"> 508a‒b</w:instrText>
      </w:r>
      <w:r>
        <w:instrText xml:space="preserve">" </w:instrText>
      </w:r>
      <w:r>
        <w:fldChar w:fldCharType="end"/>
      </w:r>
      <w:r>
        <w:t xml:space="preserve">) </w:t>
      </w:r>
    </w:p>
  </w:footnote>
  <w:footnote w:id="73">
    <w:p w:rsidR="00971E82" w:rsidRPr="00C93AF0" w:rsidRDefault="00971E82" w:rsidP="084D5365">
      <w:pPr>
        <w:pStyle w:val="Textpoznpodarou"/>
      </w:pPr>
      <w:r>
        <w:rPr>
          <w:rStyle w:val="Znakapoznpodarou"/>
        </w:rPr>
        <w:footnoteRef/>
      </w:r>
      <w:r>
        <w:rPr>
          <w:lang w:val="cs-CZ"/>
        </w:rPr>
        <w:t xml:space="preserve"> </w:t>
      </w:r>
      <w:r>
        <w:t>„</w:t>
      </w:r>
      <w:r w:rsidRPr="005248F9">
        <w:t>Si cette illumination est une action spéciale</w:t>
      </w:r>
      <w:r>
        <w:t>, elle prend aussitôt un caractè</w:t>
      </w:r>
      <w:r w:rsidRPr="005248F9">
        <w:t>re surnaturel.</w:t>
      </w:r>
      <w:r>
        <w:t xml:space="preserve">“ (Gilson 1934, 329) </w:t>
      </w:r>
      <w:r>
        <w:rPr>
          <w:lang w:val="cs-CZ"/>
        </w:rPr>
        <w:t xml:space="preserve">Gilson </w:t>
      </w:r>
      <w:r>
        <w:t xml:space="preserve">klade důraz </w:t>
      </w:r>
      <w:r>
        <w:rPr>
          <w:lang w:val="cs-CZ"/>
        </w:rPr>
        <w:t xml:space="preserve">nikoliv na dichotomii jako Lubac, ale </w:t>
      </w:r>
      <w:r>
        <w:t xml:space="preserve">na </w:t>
      </w:r>
      <w:r>
        <w:rPr>
          <w:lang w:val="cs-CZ"/>
        </w:rPr>
        <w:t xml:space="preserve">Bonaventurův </w:t>
      </w:r>
      <w:r>
        <w:t>„</w:t>
      </w:r>
      <w:r w:rsidRPr="00AF6FF6">
        <w:rPr>
          <w:i/>
        </w:rPr>
        <w:t>tertius modus intelligendi, quasi medium tenens inter utramque viam</w:t>
      </w:r>
      <w:r>
        <w:t>“ (</w:t>
      </w:r>
      <w:r w:rsidRPr="00C93AF0">
        <w:rPr>
          <w:i/>
        </w:rPr>
        <w:t>De scientia Christi</w:t>
      </w:r>
      <w:r>
        <w:t xml:space="preserve"> IV</w:t>
      </w:r>
      <w:r>
        <w:rPr>
          <w:lang w:val="cs-CZ"/>
        </w:rPr>
        <w:t xml:space="preserve">; </w:t>
      </w:r>
      <w:r w:rsidRPr="00970BE9">
        <w:rPr>
          <w:i/>
        </w:rPr>
        <w:t>Opera Omnia</w:t>
      </w:r>
      <w:r>
        <w:t xml:space="preserve"> </w:t>
      </w:r>
      <w:r>
        <w:rPr>
          <w:lang w:val="cs-CZ"/>
        </w:rPr>
        <w:t>5</w:t>
      </w:r>
      <w:r>
        <w:t>, 23b</w:t>
      </w:r>
      <w:r>
        <w:fldChar w:fldCharType="begin"/>
      </w:r>
      <w:r>
        <w:instrText xml:space="preserve"> XE "</w:instrText>
      </w:r>
      <w:r>
        <w:rPr>
          <w:lang w:val="cs-CZ"/>
        </w:rPr>
        <w:instrText>Bonaventura:</w:instrText>
      </w:r>
      <w:r w:rsidRPr="003923B4">
        <w:rPr>
          <w:i/>
        </w:rPr>
        <w:instrText>De scientia Christi</w:instrText>
      </w:r>
      <w:r>
        <w:rPr>
          <w:lang w:val="cs-CZ"/>
        </w:rPr>
        <w:instrText xml:space="preserve"> </w:instrText>
      </w:r>
      <w:r w:rsidRPr="003923B4">
        <w:instrText>23b</w:instrText>
      </w:r>
      <w:r>
        <w:instrText xml:space="preserve">" </w:instrText>
      </w:r>
      <w:r>
        <w:fldChar w:fldCharType="end"/>
      </w:r>
      <w:r>
        <w:t>)</w:t>
      </w:r>
      <w:r>
        <w:rPr>
          <w:lang w:val="cs-CZ"/>
        </w:rPr>
        <w:t xml:space="preserve">. </w:t>
      </w:r>
    </w:p>
  </w:footnote>
  <w:footnote w:id="74">
    <w:p w:rsidR="00971E82" w:rsidRPr="00FC7237" w:rsidRDefault="00971E82" w:rsidP="084D5365">
      <w:pPr>
        <w:pStyle w:val="Textpoznpodarou"/>
      </w:pPr>
      <w:r>
        <w:rPr>
          <w:rStyle w:val="Znakapoznpodarou"/>
        </w:rPr>
        <w:footnoteRef/>
      </w:r>
      <w:r>
        <w:t xml:space="preserve"> „Ordo </w:t>
      </w:r>
      <w:r w:rsidRPr="00F754A7">
        <w:rPr>
          <w:i/>
        </w:rPr>
        <w:t>sapientiae</w:t>
      </w:r>
      <w:r>
        <w:t xml:space="preserve"> hoc requirebat, ut, sicut </w:t>
      </w:r>
      <w:r w:rsidRPr="00F754A7">
        <w:rPr>
          <w:i/>
        </w:rPr>
        <w:t>esse</w:t>
      </w:r>
      <w:r>
        <w:t xml:space="preserve"> gratuitum est alterius generis quam </w:t>
      </w:r>
      <w:r w:rsidRPr="00F754A7">
        <w:rPr>
          <w:i/>
        </w:rPr>
        <w:t>esse</w:t>
      </w:r>
      <w:r>
        <w:t xml:space="preserve"> naturale, sic in diversis temporibus homini conferretur; et sicut elementa mundi prius tempore sunt </w:t>
      </w:r>
      <w:r w:rsidRPr="00F754A7">
        <w:rPr>
          <w:i/>
        </w:rPr>
        <w:t>creata</w:t>
      </w:r>
      <w:r>
        <w:t xml:space="preserve"> et </w:t>
      </w:r>
      <w:r w:rsidRPr="00F754A7">
        <w:rPr>
          <w:i/>
        </w:rPr>
        <w:t>distincta</w:t>
      </w:r>
      <w:r>
        <w:t xml:space="preserve"> quam </w:t>
      </w:r>
      <w:r w:rsidRPr="00F754A7">
        <w:rPr>
          <w:i/>
        </w:rPr>
        <w:t>ornata</w:t>
      </w:r>
      <w:r>
        <w:t>, propter ordinem sapientiae commendandum; sic etiam fieret circa hominem, qui est minor mundus. (</w:t>
      </w:r>
      <w:r w:rsidRPr="00FC7237">
        <w:rPr>
          <w:i/>
        </w:rPr>
        <w:t>In II Sent</w:t>
      </w:r>
      <w:r>
        <w:t xml:space="preserve">., d. 29. a. 2, q. 2; </w:t>
      </w:r>
      <w:r w:rsidRPr="001D297B">
        <w:rPr>
          <w:i/>
        </w:rPr>
        <w:t>Oper</w:t>
      </w:r>
      <w:r w:rsidRPr="001D297B">
        <w:rPr>
          <w:i/>
          <w:lang w:val="cs-CZ"/>
        </w:rPr>
        <w:t>a</w:t>
      </w:r>
      <w:r w:rsidRPr="001D297B">
        <w:rPr>
          <w:i/>
        </w:rPr>
        <w:t xml:space="preserve"> omnia</w:t>
      </w:r>
      <w:r>
        <w:t xml:space="preserve"> </w:t>
      </w:r>
      <w:r>
        <w:rPr>
          <w:lang w:val="cs-CZ"/>
        </w:rPr>
        <w:t>2</w:t>
      </w:r>
      <w:r>
        <w:t>,</w:t>
      </w:r>
      <w:r>
        <w:rPr>
          <w:lang w:val="cs-CZ"/>
        </w:rPr>
        <w:t xml:space="preserve"> </w:t>
      </w:r>
      <w:r>
        <w:t>703b</w:t>
      </w:r>
      <w:r>
        <w:rPr>
          <w:noProof/>
        </w:rPr>
        <w:fldChar w:fldCharType="begin"/>
      </w:r>
      <w:r>
        <w:instrText xml:space="preserve"> XE "</w:instrText>
      </w:r>
      <w:r>
        <w:rPr>
          <w:lang w:val="cs-CZ"/>
        </w:rPr>
        <w:instrText>Bonaventura:</w:instrText>
      </w:r>
      <w:r w:rsidRPr="00166020">
        <w:rPr>
          <w:i/>
          <w:noProof/>
        </w:rPr>
        <w:instrText>In II Sent</w:instrText>
      </w:r>
      <w:r w:rsidRPr="00166020">
        <w:rPr>
          <w:noProof/>
        </w:rPr>
        <w:instrText xml:space="preserve">. </w:instrText>
      </w:r>
      <w:r>
        <w:rPr>
          <w:noProof/>
          <w:lang w:val="cs-CZ"/>
        </w:rPr>
        <w:instrText>703b</w:instrText>
      </w:r>
      <w:r>
        <w:instrText xml:space="preserve">" </w:instrText>
      </w:r>
      <w:r>
        <w:rPr>
          <w:noProof/>
        </w:rPr>
        <w:fldChar w:fldCharType="end"/>
      </w:r>
      <w:r>
        <w:t>)</w:t>
      </w:r>
    </w:p>
  </w:footnote>
  <w:footnote w:id="75">
    <w:p w:rsidR="00971E82" w:rsidRPr="000800C4" w:rsidRDefault="00971E82" w:rsidP="08163013">
      <w:pPr>
        <w:pStyle w:val="Textpoznpodarou"/>
        <w:rPr>
          <w:lang w:val="cs-CZ"/>
        </w:rPr>
      </w:pPr>
      <w:r>
        <w:rPr>
          <w:rStyle w:val="Znakapoznpodarou"/>
        </w:rPr>
        <w:footnoteRef/>
      </w:r>
      <w:r>
        <w:t xml:space="preserve"> </w:t>
      </w:r>
      <w:r w:rsidRPr="00273106">
        <w:rPr>
          <w:noProof/>
        </w:rPr>
        <w:t>„</w:t>
      </w:r>
      <w:r>
        <w:rPr>
          <w:noProof/>
          <w:lang w:val="cs-CZ"/>
        </w:rPr>
        <w:t>R</w:t>
      </w:r>
      <w:r w:rsidRPr="00273106">
        <w:rPr>
          <w:noProof/>
        </w:rPr>
        <w:t>es tripliciter sunt in Deo, videlicet ut in principio producente, et sic sunt in ratione potentiae; ut in exemplari exprimente, et sic sunt in ratione notitiae; et ut in fine conservante, in ratione voluntatis.“ (</w:t>
      </w:r>
      <w:r w:rsidRPr="00273106">
        <w:rPr>
          <w:i/>
          <w:noProof/>
        </w:rPr>
        <w:t>In I Sent.</w:t>
      </w:r>
      <w:r w:rsidRPr="00273106">
        <w:rPr>
          <w:noProof/>
        </w:rPr>
        <w:t xml:space="preserve">, d. 36, a. 2. q. I, resp.;  </w:t>
      </w:r>
      <w:r w:rsidRPr="00970BE9">
        <w:rPr>
          <w:i/>
          <w:noProof/>
        </w:rPr>
        <w:t>Opera omnia</w:t>
      </w:r>
      <w:r>
        <w:rPr>
          <w:noProof/>
        </w:rPr>
        <w:t xml:space="preserve"> </w:t>
      </w:r>
      <w:r>
        <w:rPr>
          <w:noProof/>
          <w:lang w:val="cs-CZ"/>
        </w:rPr>
        <w:t>1</w:t>
      </w:r>
      <w:r>
        <w:rPr>
          <w:noProof/>
        </w:rPr>
        <w:t xml:space="preserve">.2, </w:t>
      </w:r>
      <w:r w:rsidRPr="00273106">
        <w:rPr>
          <w:noProof/>
        </w:rPr>
        <w:t>624a</w:t>
      </w:r>
      <w:r>
        <w:rPr>
          <w:noProof/>
        </w:rPr>
        <w:fldChar w:fldCharType="begin"/>
      </w:r>
      <w:r>
        <w:instrText xml:space="preserve"> XE "</w:instrText>
      </w:r>
      <w:r>
        <w:rPr>
          <w:lang w:val="cs-CZ"/>
        </w:rPr>
        <w:instrText>Bonaventura:</w:instrText>
      </w:r>
      <w:r w:rsidRPr="006307BE">
        <w:rPr>
          <w:i/>
          <w:noProof/>
        </w:rPr>
        <w:instrText>In I Sent.</w:instrText>
      </w:r>
      <w:r w:rsidRPr="006307BE">
        <w:rPr>
          <w:noProof/>
        </w:rPr>
        <w:instrText xml:space="preserve"> 624a</w:instrText>
      </w:r>
      <w:r>
        <w:instrText xml:space="preserve">" </w:instrText>
      </w:r>
      <w:r>
        <w:rPr>
          <w:noProof/>
        </w:rPr>
        <w:fldChar w:fldCharType="end"/>
      </w:r>
      <w:r w:rsidRPr="00273106">
        <w:rPr>
          <w:noProof/>
        </w:rPr>
        <w:t>)</w:t>
      </w:r>
    </w:p>
  </w:footnote>
  <w:footnote w:id="76">
    <w:p w:rsidR="00971E82" w:rsidRPr="00F626A9" w:rsidRDefault="00971E82" w:rsidP="08163013">
      <w:pPr>
        <w:pStyle w:val="Textpoznpodarou"/>
        <w:rPr>
          <w:rFonts w:eastAsia="Batang"/>
          <w:szCs w:val="8"/>
          <w:lang w:val="cs-CZ"/>
        </w:rPr>
      </w:pPr>
      <w:r w:rsidRPr="08B17736">
        <w:rPr>
          <w:rStyle w:val="Znakapoznpodarou"/>
        </w:rPr>
        <w:footnoteRef/>
      </w:r>
      <w:r w:rsidRPr="08B17736">
        <w:t xml:space="preserve"> „</w:t>
      </w:r>
      <w:r w:rsidRPr="08B17736">
        <w:rPr>
          <w:rFonts w:eastAsia="Batang"/>
        </w:rPr>
        <w:t>Et iterum Augustinus libro Octoginta trium Quaestionum dicit, quod «ratio est, etiamsi nunquam aliquid per illam fiat»; sed constat, quod ratio in mente artificis vivit, non quia res extra producitur: vivit enim, etiamsi res corrumpatur, et exterius esse omnino nihil facit ad vitam. Et ideo patet, quod non solum praesentia vel futura vivunt in Deo.“ (</w:t>
      </w:r>
      <w:r w:rsidRPr="08B17736">
        <w:rPr>
          <w:i/>
        </w:rPr>
        <w:t>In I Sent</w:t>
      </w:r>
      <w:r w:rsidRPr="08B17736">
        <w:t>., d. 36, a. 2. q. I, r</w:t>
      </w:r>
      <w:r>
        <w:t xml:space="preserve">esp.; </w:t>
      </w:r>
      <w:r w:rsidRPr="08B17736">
        <w:rPr>
          <w:i/>
        </w:rPr>
        <w:t>Opera omnia</w:t>
      </w:r>
      <w:r w:rsidRPr="08B17736">
        <w:t xml:space="preserve"> 1.2, 624b</w:t>
      </w:r>
      <w:r w:rsidRPr="08B17736">
        <w:fldChar w:fldCharType="begin"/>
      </w:r>
      <w:r w:rsidRPr="08B17736">
        <w:instrText xml:space="preserve"> XE "Bonaventura:</w:instrText>
      </w:r>
      <w:r w:rsidRPr="08B17736">
        <w:rPr>
          <w:i/>
        </w:rPr>
        <w:instrText>In I Sent</w:instrText>
      </w:r>
      <w:r w:rsidRPr="08B17736">
        <w:instrText xml:space="preserve">. 624b" </w:instrText>
      </w:r>
      <w:r w:rsidRPr="08B17736">
        <w:fldChar w:fldCharType="end"/>
      </w:r>
      <w:r>
        <w:rPr>
          <w:rStyle w:val="Zkladntext13"/>
          <w:lang w:val="cs-CZ"/>
        </w:rPr>
        <w:t>)</w:t>
      </w:r>
    </w:p>
  </w:footnote>
  <w:footnote w:id="77">
    <w:p w:rsidR="00971E82" w:rsidRPr="004C0D8F" w:rsidRDefault="00971E82" w:rsidP="08163013">
      <w:pPr>
        <w:pStyle w:val="Textpoznpodarou"/>
        <w:rPr>
          <w:lang w:val="cs-CZ"/>
        </w:rPr>
      </w:pPr>
      <w:r>
        <w:rPr>
          <w:rStyle w:val="Znakapoznpodarou"/>
        </w:rPr>
        <w:footnoteRef/>
      </w:r>
      <w:r>
        <w:t xml:space="preserve"> </w:t>
      </w:r>
      <w:r w:rsidRPr="00273106">
        <w:rPr>
          <w:noProof/>
        </w:rPr>
        <w:t xml:space="preserve">„Et quoniam sola voluntas est domina sui actus et sola est se ipsam movens, ideo ipsa sola est, cuius est active uti. Aliis autem potentiis contingit uti materialiter et passive, quia habent </w:t>
      </w:r>
      <w:r w:rsidRPr="00273106">
        <w:rPr>
          <w:i/>
          <w:noProof/>
        </w:rPr>
        <w:t>referri</w:t>
      </w:r>
      <w:r w:rsidRPr="00273106">
        <w:rPr>
          <w:noProof/>
        </w:rPr>
        <w:t xml:space="preserve">, et non </w:t>
      </w:r>
      <w:r w:rsidRPr="00273106">
        <w:rPr>
          <w:i/>
          <w:noProof/>
        </w:rPr>
        <w:t>referre</w:t>
      </w:r>
      <w:r w:rsidRPr="00273106">
        <w:rPr>
          <w:noProof/>
        </w:rPr>
        <w:t>.“ (</w:t>
      </w:r>
      <w:r w:rsidRPr="00273106">
        <w:rPr>
          <w:i/>
          <w:noProof/>
        </w:rPr>
        <w:t>In I Sent</w:t>
      </w:r>
      <w:r w:rsidRPr="00273106">
        <w:rPr>
          <w:noProof/>
        </w:rPr>
        <w:t xml:space="preserve">., d. 1, a. 1, </w:t>
      </w:r>
      <w:r>
        <w:rPr>
          <w:noProof/>
        </w:rPr>
        <w:t xml:space="preserve">q. 1, resp., ad 2; </w:t>
      </w:r>
      <w:r w:rsidRPr="00970BE9">
        <w:rPr>
          <w:i/>
          <w:noProof/>
        </w:rPr>
        <w:t>Opera omnia</w:t>
      </w:r>
      <w:r>
        <w:rPr>
          <w:noProof/>
        </w:rPr>
        <w:t xml:space="preserve"> </w:t>
      </w:r>
      <w:r>
        <w:rPr>
          <w:noProof/>
          <w:lang w:val="cs-CZ"/>
        </w:rPr>
        <w:t>1</w:t>
      </w:r>
      <w:r>
        <w:rPr>
          <w:noProof/>
        </w:rPr>
        <w:t xml:space="preserve">.1, </w:t>
      </w:r>
      <w:r w:rsidRPr="00273106">
        <w:rPr>
          <w:noProof/>
        </w:rPr>
        <w:t>31b</w:t>
      </w:r>
      <w:r>
        <w:rPr>
          <w:noProof/>
        </w:rPr>
        <w:fldChar w:fldCharType="begin"/>
      </w:r>
      <w:r>
        <w:instrText xml:space="preserve"> XE "</w:instrText>
      </w:r>
      <w:r>
        <w:rPr>
          <w:lang w:val="cs-CZ"/>
        </w:rPr>
        <w:instrText>Bonaventura:</w:instrText>
      </w:r>
      <w:r w:rsidRPr="003941A8">
        <w:rPr>
          <w:i/>
          <w:noProof/>
        </w:rPr>
        <w:instrText>In I Sent</w:instrText>
      </w:r>
      <w:r w:rsidRPr="003941A8">
        <w:rPr>
          <w:noProof/>
        </w:rPr>
        <w:instrText>. 31b</w:instrText>
      </w:r>
      <w:r>
        <w:instrText xml:space="preserve">" </w:instrText>
      </w:r>
      <w:r>
        <w:rPr>
          <w:noProof/>
        </w:rPr>
        <w:fldChar w:fldCharType="end"/>
      </w:r>
      <w:r w:rsidRPr="00273106">
        <w:rPr>
          <w:noProof/>
        </w:rPr>
        <w:t>)</w:t>
      </w:r>
    </w:p>
  </w:footnote>
  <w:footnote w:id="78">
    <w:p w:rsidR="00971E82" w:rsidRPr="008542D9" w:rsidRDefault="00971E82" w:rsidP="08163013">
      <w:pPr>
        <w:pStyle w:val="Textpoznpodarou"/>
        <w:rPr>
          <w:lang w:val="cs-CZ"/>
        </w:rPr>
      </w:pPr>
      <w:r>
        <w:rPr>
          <w:rStyle w:val="Znakapoznpodarou"/>
        </w:rPr>
        <w:footnoteRef/>
      </w:r>
      <w:r>
        <w:t xml:space="preserve"> </w:t>
      </w:r>
      <w:r w:rsidRPr="00273106">
        <w:rPr>
          <w:noProof/>
        </w:rPr>
        <w:t xml:space="preserve">„Hanc autem necessariam habitudinem percipit non solum in rebus entibus, verum etiam </w:t>
      </w:r>
      <w:r w:rsidRPr="00273106">
        <w:rPr>
          <w:bCs/>
          <w:noProof/>
        </w:rPr>
        <w:t>in non entibus</w:t>
      </w:r>
      <w:r w:rsidRPr="00273106">
        <w:rPr>
          <w:noProof/>
        </w:rPr>
        <w:t xml:space="preserve">. Sicut enim, homine existente, sequitur: si homo currit, homo movetur; sic etiam, non existente. </w:t>
      </w:r>
      <w:r w:rsidRPr="00273106">
        <w:rPr>
          <w:bCs/>
          <w:noProof/>
        </w:rPr>
        <w:t xml:space="preserve">Huiusmodi igitur </w:t>
      </w:r>
      <w:r w:rsidRPr="00273106">
        <w:rPr>
          <w:bCs/>
          <w:i/>
          <w:noProof/>
        </w:rPr>
        <w:t>illationis necessitas</w:t>
      </w:r>
      <w:r w:rsidRPr="00273106">
        <w:rPr>
          <w:bCs/>
          <w:noProof/>
        </w:rPr>
        <w:t xml:space="preserve"> non venit ab existentia rei in </w:t>
      </w:r>
      <w:r w:rsidRPr="00273106">
        <w:rPr>
          <w:bCs/>
          <w:i/>
          <w:noProof/>
        </w:rPr>
        <w:t>materia</w:t>
      </w:r>
      <w:r w:rsidRPr="00273106">
        <w:rPr>
          <w:noProof/>
        </w:rPr>
        <w:t xml:space="preserve">, quia est contingens, nec ab existentia rei in </w:t>
      </w:r>
      <w:r w:rsidRPr="00273106">
        <w:rPr>
          <w:i/>
          <w:noProof/>
        </w:rPr>
        <w:t>anima</w:t>
      </w:r>
      <w:r w:rsidRPr="00273106">
        <w:rPr>
          <w:noProof/>
        </w:rPr>
        <w:t xml:space="preserve">, quia tunc esset fictio, si non esset in re: venit </w:t>
      </w:r>
      <w:r w:rsidRPr="00273106">
        <w:rPr>
          <w:bCs/>
          <w:noProof/>
        </w:rPr>
        <w:t>igitur ab exemplaritate in arte aeterna</w:t>
      </w:r>
      <w:r w:rsidRPr="00273106">
        <w:rPr>
          <w:noProof/>
        </w:rPr>
        <w:t xml:space="preserve">, secundum quam res habent aptitudinem et habitudinem ad invicem </w:t>
      </w:r>
      <w:r w:rsidRPr="00273106">
        <w:rPr>
          <w:bCs/>
          <w:noProof/>
        </w:rPr>
        <w:t xml:space="preserve">secundum illius aeternae artis </w:t>
      </w:r>
      <w:r w:rsidRPr="00273106">
        <w:rPr>
          <w:bCs/>
          <w:i/>
          <w:noProof/>
        </w:rPr>
        <w:t>repraesentationem</w:t>
      </w:r>
      <w:r w:rsidRPr="00273106">
        <w:rPr>
          <w:noProof/>
        </w:rPr>
        <w:t>.“ (</w:t>
      </w:r>
      <w:r w:rsidRPr="00273106">
        <w:rPr>
          <w:i/>
          <w:noProof/>
        </w:rPr>
        <w:t>Itinerarium mentis in Deum</w:t>
      </w:r>
      <w:r>
        <w:rPr>
          <w:noProof/>
        </w:rPr>
        <w:t xml:space="preserve"> III.3; </w:t>
      </w:r>
      <w:r w:rsidRPr="00970BE9">
        <w:rPr>
          <w:i/>
          <w:noProof/>
        </w:rPr>
        <w:t>Opera omnia</w:t>
      </w:r>
      <w:r>
        <w:rPr>
          <w:noProof/>
        </w:rPr>
        <w:t xml:space="preserve"> </w:t>
      </w:r>
      <w:r>
        <w:rPr>
          <w:noProof/>
          <w:lang w:val="cs-CZ"/>
        </w:rPr>
        <w:t>5</w:t>
      </w:r>
      <w:r>
        <w:rPr>
          <w:noProof/>
        </w:rPr>
        <w:t xml:space="preserve">, </w:t>
      </w:r>
      <w:r w:rsidRPr="00273106">
        <w:rPr>
          <w:noProof/>
        </w:rPr>
        <w:t>304b</w:t>
      </w:r>
      <w:r>
        <w:rPr>
          <w:noProof/>
        </w:rPr>
        <w:fldChar w:fldCharType="begin"/>
      </w:r>
      <w:r>
        <w:instrText xml:space="preserve"> XE "</w:instrText>
      </w:r>
      <w:r>
        <w:rPr>
          <w:lang w:val="cs-CZ"/>
        </w:rPr>
        <w:instrText>Bonaventura:</w:instrText>
      </w:r>
      <w:r w:rsidRPr="009912E0">
        <w:rPr>
          <w:i/>
          <w:noProof/>
        </w:rPr>
        <w:instrText>Itinerarium mentis in Deum</w:instrText>
      </w:r>
      <w:r w:rsidRPr="009912E0">
        <w:rPr>
          <w:noProof/>
        </w:rPr>
        <w:instrText xml:space="preserve"> 304b</w:instrText>
      </w:r>
      <w:r>
        <w:instrText xml:space="preserve">" </w:instrText>
      </w:r>
      <w:r>
        <w:rPr>
          <w:noProof/>
        </w:rPr>
        <w:fldChar w:fldCharType="end"/>
      </w:r>
      <w:r w:rsidRPr="00273106">
        <w:rPr>
          <w:noProof/>
        </w:rPr>
        <w:t>)</w:t>
      </w:r>
    </w:p>
  </w:footnote>
  <w:footnote w:id="79">
    <w:p w:rsidR="00971E82" w:rsidRPr="08101784" w:rsidRDefault="00971E82" w:rsidP="08F91A9F">
      <w:pPr>
        <w:pStyle w:val="Textpoznpodarou"/>
        <w:rPr>
          <w:lang w:val="cs-CZ"/>
        </w:rPr>
      </w:pPr>
      <w:r>
        <w:rPr>
          <w:rStyle w:val="Znakapoznpodarou"/>
        </w:rPr>
        <w:footnoteRef/>
      </w:r>
      <w:r>
        <w:t xml:space="preserve"> </w:t>
      </w:r>
      <w:r>
        <w:rPr>
          <w:lang w:val="cs-CZ"/>
        </w:rPr>
        <w:t xml:space="preserve">„Es erhellt: im Angriffskrieg versagt das Feudalsystem; man muβ die Dienste des Ritters gegen Geld kaufen. Das ist der erste Ansatz zum Eindringen des Kapitalismus in das Kriegswesen. Man kauft sich die benötigen Reiterdienste gegen Geld und das Versprechen von Anteil am Gewinn, an der Beute. Noch mehr finden wir das Eindringen von kapitalistischen Prinzipien bei den übrigen Mannschaften, die neben den Ritter zur Verwundung kamen. Das waren die Bogen- und Armbrustschützen. Sie sollten durch einen Regen von Pfeilen die anstürmenden  Ritter überschütten und so demoralisieren. Sie waren von Anfang an gegen Geld gedungene freie Arbeitskräfte. Dasselbe gilt vom Train und vor allem von den Banden zügelloser Söldner, den </w:t>
      </w:r>
      <w:r w:rsidRPr="08916766">
        <w:rPr>
          <w:i/>
          <w:lang w:val="cs-CZ"/>
        </w:rPr>
        <w:t>ruptuarii</w:t>
      </w:r>
      <w:r>
        <w:rPr>
          <w:lang w:val="cs-CZ"/>
        </w:rPr>
        <w:t>, wie die Quellen sie nennen, Werbertruppen, die so sehr rabten und mordeten, daβ die Kirche widerholt, wenn auch vergeblich, ihre Verwendung verbot.“  (Brentano 1913, 40–41)</w:t>
      </w:r>
    </w:p>
  </w:footnote>
  <w:footnote w:id="80">
    <w:p w:rsidR="00971E82" w:rsidRPr="08D8710C" w:rsidRDefault="00971E82" w:rsidP="08B71D18">
      <w:pPr>
        <w:pStyle w:val="Textpoznpodarou"/>
        <w:rPr>
          <w:lang w:val="cs-CZ"/>
        </w:rPr>
      </w:pPr>
      <w:r>
        <w:rPr>
          <w:rStyle w:val="Znakapoznpodarou"/>
        </w:rPr>
        <w:footnoteRef/>
      </w:r>
      <w:r>
        <w:t xml:space="preserve"> </w:t>
      </w:r>
      <w:r>
        <w:rPr>
          <w:lang w:val="cs-CZ"/>
        </w:rPr>
        <w:t>„</w:t>
      </w:r>
      <w:r w:rsidRPr="08D8710C">
        <w:rPr>
          <w:lang w:val="cs-CZ"/>
        </w:rPr>
        <w:t>Besonders interessant für unsere Betrachtung ist der kapitalistische Charakter und</w:t>
      </w:r>
      <w:r>
        <w:rPr>
          <w:lang w:val="cs-CZ"/>
        </w:rPr>
        <w:t xml:space="preserve"> </w:t>
      </w:r>
      <w:r w:rsidRPr="08D8710C">
        <w:rPr>
          <w:lang w:val="cs-CZ"/>
        </w:rPr>
        <w:t>die kapitalistische Organisation der kriegerischen Unternehmungen der Genuesen schon im 11. Jahrhundert; am 1. Kreuzzug haben sie sich beteiligt,</w:t>
      </w:r>
      <w:r>
        <w:rPr>
          <w:lang w:val="cs-CZ"/>
        </w:rPr>
        <w:t xml:space="preserve"> </w:t>
      </w:r>
      <w:r w:rsidRPr="08D8710C">
        <w:rPr>
          <w:lang w:val="cs-CZ"/>
        </w:rPr>
        <w:t>indem sie eine Aktiengesellschaft (Maona) ins Leben riefen, welche 12 Galeeren ausrüstete und demjenigen, der sich beteiligte, einen Anteil an der</w:t>
      </w:r>
      <w:r>
        <w:rPr>
          <w:lang w:val="cs-CZ"/>
        </w:rPr>
        <w:t xml:space="preserve"> </w:t>
      </w:r>
      <w:r w:rsidRPr="08D8710C">
        <w:rPr>
          <w:lang w:val="cs-CZ"/>
        </w:rPr>
        <w:t>zu erwartenden Beute, je nach seiner Beteiligung, versprach. Wer sich nur</w:t>
      </w:r>
      <w:r>
        <w:rPr>
          <w:lang w:val="cs-CZ"/>
        </w:rPr>
        <w:t xml:space="preserve"> </w:t>
      </w:r>
      <w:r w:rsidRPr="08D8710C">
        <w:rPr>
          <w:lang w:val="cs-CZ"/>
        </w:rPr>
        <w:t>als Krieger beteiligte, sollte weniger erhalten, als wer eine Kapitaleinlage</w:t>
      </w:r>
      <w:r>
        <w:rPr>
          <w:lang w:val="cs-CZ"/>
        </w:rPr>
        <w:t xml:space="preserve"> </w:t>
      </w:r>
      <w:r w:rsidRPr="08D8710C">
        <w:rPr>
          <w:lang w:val="cs-CZ"/>
        </w:rPr>
        <w:t>machte.</w:t>
      </w:r>
      <w:r>
        <w:rPr>
          <w:lang w:val="cs-CZ"/>
        </w:rPr>
        <w:t>“  (Brentano 1913, 93)</w:t>
      </w:r>
    </w:p>
  </w:footnote>
  <w:footnote w:id="81">
    <w:p w:rsidR="00971E82" w:rsidRPr="08686F11" w:rsidRDefault="00971E82" w:rsidP="002F0D17">
      <w:pPr>
        <w:pStyle w:val="Textpoznpodarou"/>
        <w:rPr>
          <w:lang w:val="cs-CZ"/>
        </w:rPr>
      </w:pPr>
      <w:r w:rsidRPr="08A11006">
        <w:rPr>
          <w:rStyle w:val="Znakapoznpodarou"/>
        </w:rPr>
        <w:footnoteRef/>
      </w:r>
      <w:r w:rsidRPr="08A11006">
        <w:t xml:space="preserve"> „</w:t>
      </w:r>
      <w:r>
        <w:t>Es wäre also untubar und falsch, die ökonomischen Kategorien in der Folge aufeinander folgen zu lassen, in der sie historisch die bestimmenden waren. (...) Das Kapital als Handels- oder Geldkapital erscheint eben in dieser Abstraktion, wo das Kapital noch nicht das beherrschende Element der Gesellschaften ist.</w:t>
      </w:r>
      <w:r w:rsidRPr="08A11006">
        <w:t xml:space="preserve">“ </w:t>
      </w:r>
      <w:r w:rsidRPr="08B4076F">
        <w:t>(</w:t>
      </w:r>
      <w:r w:rsidRPr="08B4076F">
        <w:rPr>
          <w:i/>
        </w:rPr>
        <w:t>Einleitung zur Kritik der politischen Ökonomie</w:t>
      </w:r>
      <w:r>
        <w:t>, kap. 3; MEW Auflage 13, 63</w:t>
      </w:r>
      <w:r>
        <w:rPr>
          <w:lang w:val="cs-CZ"/>
        </w:rPr>
        <w:t>8</w:t>
      </w:r>
      <w:r>
        <w:fldChar w:fldCharType="begin"/>
      </w:r>
      <w:r>
        <w:instrText xml:space="preserve"> XE "</w:instrText>
      </w:r>
      <w:r>
        <w:rPr>
          <w:lang w:val="cs-CZ"/>
        </w:rPr>
        <w:instrText>Marx:</w:instrText>
      </w:r>
      <w:r w:rsidRPr="0862672C">
        <w:rPr>
          <w:i/>
        </w:rPr>
        <w:instrText>Einleitung zur Kritik der politischen Ökonomie</w:instrText>
      </w:r>
      <w:r w:rsidRPr="0862672C">
        <w:instrText xml:space="preserve"> 63</w:instrText>
      </w:r>
      <w:r>
        <w:rPr>
          <w:lang w:val="cs-CZ"/>
        </w:rPr>
        <w:instrText>8</w:instrText>
      </w:r>
      <w:r>
        <w:instrText xml:space="preserve">" </w:instrText>
      </w:r>
      <w:r>
        <w:fldChar w:fldCharType="end"/>
      </w:r>
      <w:r w:rsidRPr="08B4076F">
        <w:t>)</w:t>
      </w:r>
    </w:p>
  </w:footnote>
  <w:footnote w:id="82">
    <w:p w:rsidR="00971E82" w:rsidRPr="00FA022A" w:rsidRDefault="00971E82" w:rsidP="00070F80">
      <w:pPr>
        <w:pStyle w:val="Textpoznpodarou"/>
        <w:rPr>
          <w:lang w:val="cs-CZ"/>
        </w:rPr>
      </w:pPr>
      <w:r>
        <w:rPr>
          <w:rStyle w:val="Znakapoznpodarou"/>
          <w:rFonts w:eastAsia="Times"/>
        </w:rPr>
        <w:footnoteRef/>
      </w:r>
      <w:r>
        <w:t xml:space="preserve"> “</w:t>
      </w:r>
      <w:r>
        <w:rPr>
          <w:lang w:val="cs-CZ"/>
        </w:rPr>
        <w:t xml:space="preserve">More significantly, the English, particularly Locke, took the argument a major step further by justifying the seizure of land that was indeed occupied, and perhaps even cultivated, on the grounds that the occupants had failed to use the land productively and profitably enough, by the standards of English commercial agriculture. For both John Davies and John Locke, in their various ways, the critical issue is not simply occupancy but relative value. The Irish farmer or the Indian hunter-gatherer, indeed, the Indian cultivator, may occupy and work the land, but he has failed to add sufficient exchange value to it by means of improvement. In effect, the English had redefined vacancy by redefining </w:t>
      </w:r>
      <w:r>
        <w:rPr>
          <w:i/>
          <w:iCs/>
          <w:lang w:val="cs-CZ"/>
        </w:rPr>
        <w:t xml:space="preserve">waste, </w:t>
      </w:r>
      <w:r>
        <w:rPr>
          <w:lang w:val="cs-CZ"/>
        </w:rPr>
        <w:t>and the context in which they took that fateful step in imperialist ideology is, again, their own domestic economy.“ (</w:t>
      </w:r>
      <w:r w:rsidRPr="00FA022A">
        <w:rPr>
          <w:lang w:val="cs-CZ"/>
        </w:rPr>
        <w:t>Wood</w:t>
      </w:r>
      <w:r>
        <w:rPr>
          <w:lang w:val="cs-CZ"/>
        </w:rPr>
        <w:t xml:space="preserve"> 2002, 162–63)</w:t>
      </w:r>
    </w:p>
  </w:footnote>
  <w:footnote w:id="83">
    <w:p w:rsidR="00971E82" w:rsidRPr="08B30A06" w:rsidRDefault="00971E82" w:rsidP="08163013">
      <w:pPr>
        <w:pStyle w:val="Textpoznpodarou"/>
        <w:rPr>
          <w:lang w:val="cs-CZ"/>
        </w:rPr>
      </w:pPr>
      <w:r w:rsidRPr="08B30A06">
        <w:rPr>
          <w:rStyle w:val="Znakapoznpodarou"/>
        </w:rPr>
        <w:footnoteRef/>
      </w:r>
      <w:r w:rsidRPr="08B30A06">
        <w:t xml:space="preserve"> „Während jedoch Nietzsches Verhältnis zur Aufklärung, und damit zu Homer, selber zwiespältig blieb; während er in der Aufklärung sowohl die universale Bewegung souveränen Geistes erblickte, als deren Vollender er sich empfand, wie die lebensfeindliche, »nihilistische« Macht, ist bei seinen vorfaschistischen Nachfahren das zweite Moment allein übriggeblieben und zur Ideologie pervertiert. Diese wird zum blinden Lob des blinden Lebens, dem die gleiche Praxis sich verschreibt, von der alles Lebendige unterdrückt wird.“</w:t>
      </w:r>
      <w:r>
        <w:rPr>
          <w:lang w:val="cs-CZ"/>
        </w:rPr>
        <w:t xml:space="preserve"> (</w:t>
      </w:r>
      <w:r>
        <w:t>Horkheimer&amp;Adorno</w:t>
      </w:r>
      <w:r>
        <w:rPr>
          <w:lang w:val="cs-CZ"/>
        </w:rPr>
        <w:t xml:space="preserve"> 2000, 63</w:t>
      </w:r>
      <w:r w:rsidRPr="08B30A06">
        <w:t>)</w:t>
      </w:r>
    </w:p>
  </w:footnote>
  <w:footnote w:id="84">
    <w:p w:rsidR="00971E82" w:rsidRPr="007920A8" w:rsidRDefault="00971E82" w:rsidP="08163013">
      <w:pPr>
        <w:pStyle w:val="Textpoznpodarou"/>
      </w:pPr>
      <w:r w:rsidRPr="007920A8">
        <w:rPr>
          <w:rStyle w:val="Znakapoznpodarou"/>
        </w:rPr>
        <w:footnoteRef/>
      </w:r>
      <w:r w:rsidRPr="007920A8">
        <w:t xml:space="preserve"> </w:t>
      </w:r>
      <w:r>
        <w:rPr>
          <w:lang w:val="cs-CZ"/>
        </w:rPr>
        <w:t>„</w:t>
      </w:r>
      <w:r w:rsidRPr="007920A8">
        <w:t>Wie die alten Völker ihre Vorgeschichte in der Imagination erlebten, in der Mythologie, so haben wir Deutsche unsre Nachgeschichte im Gedanken erlebt, in der Philosophie. Wir sind philosophische Zeitgenossen der Gegenwart, ohne ihre historischen Zeitgenossen zu sein.</w:t>
      </w:r>
      <w:r>
        <w:rPr>
          <w:lang w:val="cs-CZ"/>
        </w:rPr>
        <w:t>“</w:t>
      </w:r>
      <w:r w:rsidRPr="007920A8">
        <w:t xml:space="preserve"> (</w:t>
      </w:r>
      <w:r w:rsidRPr="00CD52E9">
        <w:rPr>
          <w:i/>
        </w:rPr>
        <w:t>Zur Kritik der Hegelschen Rechtsphilosophie</w:t>
      </w:r>
      <w:r>
        <w:rPr>
          <w:i/>
          <w:lang w:val="cs-CZ"/>
        </w:rPr>
        <w:t>, Einleitung</w:t>
      </w:r>
      <w:r>
        <w:rPr>
          <w:lang w:val="cs-CZ"/>
        </w:rPr>
        <w:t xml:space="preserve">; </w:t>
      </w:r>
      <w:r w:rsidRPr="00DA2234">
        <w:rPr>
          <w:rFonts w:eastAsia="AGaramondPro-Regular"/>
        </w:rPr>
        <w:t>MEW Ausgabe</w:t>
      </w:r>
      <w:r w:rsidRPr="007920A8">
        <w:t xml:space="preserve"> 1, 383</w:t>
      </w:r>
      <w:r>
        <w:fldChar w:fldCharType="begin"/>
      </w:r>
      <w:r>
        <w:instrText xml:space="preserve"> XE "</w:instrText>
      </w:r>
      <w:r>
        <w:rPr>
          <w:lang w:val="cs-CZ"/>
        </w:rPr>
        <w:instrText>Marx:</w:instrText>
      </w:r>
      <w:r w:rsidRPr="0883393F">
        <w:rPr>
          <w:i/>
        </w:rPr>
        <w:instrText>Zur Kritik der Hegelschen Rechtsphilosophie</w:instrText>
      </w:r>
      <w:r>
        <w:rPr>
          <w:i/>
          <w:lang w:val="cs-CZ"/>
        </w:rPr>
        <w:instrText xml:space="preserve"> </w:instrText>
      </w:r>
      <w:r w:rsidRPr="0883393F">
        <w:instrText>383</w:instrText>
      </w:r>
      <w:r>
        <w:instrText xml:space="preserve">" </w:instrText>
      </w:r>
      <w:r>
        <w:fldChar w:fldCharType="end"/>
      </w:r>
      <w:r w:rsidRPr="007920A8">
        <w:t>)</w:t>
      </w:r>
    </w:p>
  </w:footnote>
  <w:footnote w:id="85">
    <w:p w:rsidR="00971E82" w:rsidRPr="08AD57A8" w:rsidRDefault="00971E82" w:rsidP="08AD57A8">
      <w:pPr>
        <w:pStyle w:val="Textpoznpodarou"/>
      </w:pPr>
      <w:r w:rsidRPr="08AD57A8">
        <w:rPr>
          <w:rStyle w:val="Znakapoznpodarou"/>
        </w:rPr>
        <w:footnoteRef/>
      </w:r>
      <w:r w:rsidRPr="08AD57A8">
        <w:t xml:space="preserve"> „</w:t>
      </w:r>
      <w:r w:rsidRPr="08AD57A8">
        <w:rPr>
          <w:rFonts w:eastAsia="Batang"/>
        </w:rPr>
        <w:t>Da</w:t>
      </w:r>
      <w:r w:rsidRPr="08AD57A8">
        <w:rPr>
          <w:rFonts w:eastAsia="Batang" w:hint="eastAsia"/>
        </w:rPr>
        <w:t>ß</w:t>
      </w:r>
      <w:r w:rsidRPr="08AD57A8">
        <w:rPr>
          <w:rFonts w:eastAsia="Batang"/>
        </w:rPr>
        <w:t xml:space="preserve"> ein lebendiges, nat</w:t>
      </w:r>
      <w:r w:rsidRPr="08AD57A8">
        <w:rPr>
          <w:rFonts w:eastAsia="Batang" w:hint="eastAsia"/>
        </w:rPr>
        <w:t>ü</w:t>
      </w:r>
      <w:r w:rsidRPr="08AD57A8">
        <w:rPr>
          <w:rFonts w:eastAsia="Batang"/>
        </w:rPr>
        <w:t>rliches, mit gegenst</w:t>
      </w:r>
      <w:r w:rsidRPr="08AD57A8">
        <w:rPr>
          <w:rFonts w:eastAsia="Batang" w:hint="eastAsia"/>
        </w:rPr>
        <w:t>ä</w:t>
      </w:r>
      <w:r w:rsidRPr="08AD57A8">
        <w:rPr>
          <w:rFonts w:eastAsia="Batang"/>
        </w:rPr>
        <w:t>ndlichen, i.e. materiellen Wesenskr</w:t>
      </w:r>
      <w:r w:rsidRPr="08AD57A8">
        <w:rPr>
          <w:rFonts w:eastAsia="Batang" w:hint="eastAsia"/>
        </w:rPr>
        <w:t>ä</w:t>
      </w:r>
      <w:r w:rsidRPr="08AD57A8">
        <w:rPr>
          <w:rFonts w:eastAsia="Batang"/>
        </w:rPr>
        <w:t>ften ausger</w:t>
      </w:r>
      <w:r w:rsidRPr="08AD57A8">
        <w:rPr>
          <w:rFonts w:eastAsia="Batang" w:hint="eastAsia"/>
        </w:rPr>
        <w:t>ü</w:t>
      </w:r>
      <w:r w:rsidRPr="08AD57A8">
        <w:rPr>
          <w:rFonts w:eastAsia="Batang"/>
        </w:rPr>
        <w:t xml:space="preserve">stetes und begabtes Wesen auch sowohl </w:t>
      </w:r>
      <w:r w:rsidRPr="08AD57A8">
        <w:rPr>
          <w:rFonts w:eastAsia="Batang"/>
          <w:i/>
        </w:rPr>
        <w:t>wirkliche</w:t>
      </w:r>
      <w:r w:rsidRPr="08AD57A8">
        <w:rPr>
          <w:rFonts w:eastAsia="Batang"/>
        </w:rPr>
        <w:t xml:space="preserve"> nat</w:t>
      </w:r>
      <w:r w:rsidRPr="08AD57A8">
        <w:rPr>
          <w:rFonts w:eastAsia="Batang" w:hint="eastAsia"/>
        </w:rPr>
        <w:t>ü</w:t>
      </w:r>
      <w:r w:rsidRPr="08AD57A8">
        <w:rPr>
          <w:rFonts w:eastAsia="Batang"/>
        </w:rPr>
        <w:t xml:space="preserve">rliche </w:t>
      </w:r>
      <w:r w:rsidRPr="08AD57A8">
        <w:rPr>
          <w:rFonts w:eastAsia="Batang"/>
          <w:i/>
        </w:rPr>
        <w:t>Gegenstände</w:t>
      </w:r>
      <w:r w:rsidRPr="08AD57A8">
        <w:rPr>
          <w:rFonts w:eastAsia="Batang"/>
        </w:rPr>
        <w:t xml:space="preserve"> seines Wesens hat, als da</w:t>
      </w:r>
      <w:r w:rsidRPr="08AD57A8">
        <w:rPr>
          <w:rFonts w:eastAsia="Batang" w:hint="eastAsia"/>
        </w:rPr>
        <w:t>ß</w:t>
      </w:r>
      <w:r w:rsidRPr="08AD57A8">
        <w:rPr>
          <w:rFonts w:eastAsia="Batang"/>
        </w:rPr>
        <w:t xml:space="preserve"> seine Selbstent</w:t>
      </w:r>
      <w:r w:rsidRPr="08AD57A8">
        <w:rPr>
          <w:rFonts w:eastAsia="Batang" w:hint="eastAsia"/>
        </w:rPr>
        <w:t>ä</w:t>
      </w:r>
      <w:r w:rsidRPr="08AD57A8">
        <w:rPr>
          <w:rFonts w:eastAsia="Batang"/>
        </w:rPr>
        <w:t>u</w:t>
      </w:r>
      <w:r w:rsidRPr="08AD57A8">
        <w:rPr>
          <w:rFonts w:eastAsia="Batang" w:hint="eastAsia"/>
        </w:rPr>
        <w:t>ß</w:t>
      </w:r>
      <w:r w:rsidRPr="08AD57A8">
        <w:rPr>
          <w:rFonts w:eastAsia="Batang"/>
        </w:rPr>
        <w:t xml:space="preserve">erung die Setzung einer </w:t>
      </w:r>
      <w:r w:rsidRPr="08F73E4B">
        <w:rPr>
          <w:rFonts w:eastAsia="Batang"/>
          <w:i/>
        </w:rPr>
        <w:t>wirklichen</w:t>
      </w:r>
      <w:r w:rsidRPr="08AD57A8">
        <w:rPr>
          <w:rFonts w:eastAsia="Batang"/>
        </w:rPr>
        <w:t>, aber unter der Form der Äußerlichkeit, also zu seinem Wesen nicht geh</w:t>
      </w:r>
      <w:r w:rsidRPr="08AD57A8">
        <w:rPr>
          <w:rFonts w:eastAsia="Batang" w:hint="eastAsia"/>
        </w:rPr>
        <w:t>ö</w:t>
      </w:r>
      <w:r w:rsidRPr="08AD57A8">
        <w:rPr>
          <w:rFonts w:eastAsia="Batang"/>
        </w:rPr>
        <w:t xml:space="preserve">rigen und </w:t>
      </w:r>
      <w:r w:rsidRPr="08AD57A8">
        <w:rPr>
          <w:rFonts w:eastAsia="Batang" w:hint="eastAsia"/>
        </w:rPr>
        <w:t>ü</w:t>
      </w:r>
      <w:r w:rsidRPr="08AD57A8">
        <w:rPr>
          <w:rFonts w:eastAsia="Batang"/>
        </w:rPr>
        <w:t>berm</w:t>
      </w:r>
      <w:r w:rsidRPr="08AD57A8">
        <w:rPr>
          <w:rFonts w:eastAsia="Batang" w:hint="eastAsia"/>
        </w:rPr>
        <w:t>ä</w:t>
      </w:r>
      <w:r w:rsidRPr="08AD57A8">
        <w:rPr>
          <w:rFonts w:eastAsia="Batang"/>
        </w:rPr>
        <w:t>chtigen, gegenst</w:t>
      </w:r>
      <w:r w:rsidRPr="08AD57A8">
        <w:rPr>
          <w:rFonts w:eastAsia="Batang" w:hint="eastAsia"/>
        </w:rPr>
        <w:t>ä</w:t>
      </w:r>
      <w:r w:rsidRPr="08AD57A8">
        <w:rPr>
          <w:rFonts w:eastAsia="Batang"/>
        </w:rPr>
        <w:t>ndlichen Welt ist, ist ganz nat</w:t>
      </w:r>
      <w:r w:rsidRPr="08AD57A8">
        <w:rPr>
          <w:rFonts w:eastAsia="Batang" w:hint="eastAsia"/>
        </w:rPr>
        <w:t>ü</w:t>
      </w:r>
      <w:r w:rsidRPr="08AD57A8">
        <w:rPr>
          <w:rFonts w:eastAsia="Batang"/>
        </w:rPr>
        <w:t>rlich. Es ist nichts Unbegreifliches und R</w:t>
      </w:r>
      <w:r w:rsidRPr="08AD57A8">
        <w:rPr>
          <w:rFonts w:eastAsia="Batang" w:hint="eastAsia"/>
        </w:rPr>
        <w:t>ä</w:t>
      </w:r>
      <w:r w:rsidRPr="08AD57A8">
        <w:rPr>
          <w:rFonts w:eastAsia="Batang"/>
        </w:rPr>
        <w:t>tselhaftes dabei. Vielmehr w</w:t>
      </w:r>
      <w:r w:rsidRPr="08AD57A8">
        <w:rPr>
          <w:rFonts w:eastAsia="Batang" w:hint="eastAsia"/>
        </w:rPr>
        <w:t>ä</w:t>
      </w:r>
      <w:r w:rsidRPr="08AD57A8">
        <w:rPr>
          <w:rFonts w:eastAsia="Batang"/>
        </w:rPr>
        <w:t>re das Gegenteil r</w:t>
      </w:r>
      <w:r w:rsidRPr="08AD57A8">
        <w:rPr>
          <w:rFonts w:eastAsia="Batang" w:hint="eastAsia"/>
        </w:rPr>
        <w:t>ä</w:t>
      </w:r>
      <w:r w:rsidRPr="08AD57A8">
        <w:rPr>
          <w:rFonts w:eastAsia="Batang"/>
        </w:rPr>
        <w:t>tselhaft.“ (</w:t>
      </w:r>
      <w:r w:rsidRPr="08AD57A8">
        <w:rPr>
          <w:rFonts w:eastAsia="Batang"/>
          <w:i/>
        </w:rPr>
        <w:t>Ökonomisch-philosophische Manuskripte</w:t>
      </w:r>
      <w:r>
        <w:rPr>
          <w:rFonts w:eastAsia="Batang"/>
        </w:rPr>
        <w:t xml:space="preserve"> 23; MEW Ausgabe 40, 57</w:t>
      </w:r>
      <w:r>
        <w:rPr>
          <w:rFonts w:eastAsia="Batang"/>
          <w:lang w:val="cs-CZ"/>
        </w:rPr>
        <w:t>7</w:t>
      </w:r>
      <w:r w:rsidRPr="08AD57A8">
        <w:rPr>
          <w:rFonts w:eastAsia="Batang"/>
        </w:rPr>
        <w:fldChar w:fldCharType="begin"/>
      </w:r>
      <w:r w:rsidRPr="08AD57A8">
        <w:instrText xml:space="preserve"> XE "Marx:</w:instrText>
      </w:r>
      <w:r w:rsidRPr="08AD57A8">
        <w:rPr>
          <w:rFonts w:eastAsia="Batang"/>
          <w:i/>
        </w:rPr>
        <w:instrText>Ökonomisch-philosophische Manuskripte</w:instrText>
      </w:r>
      <w:r w:rsidRPr="08AD57A8">
        <w:rPr>
          <w:rFonts w:eastAsia="Batang"/>
        </w:rPr>
        <w:instrText xml:space="preserve"> 57</w:instrText>
      </w:r>
      <w:r>
        <w:rPr>
          <w:rFonts w:eastAsia="Batang"/>
          <w:lang w:val="cs-CZ"/>
        </w:rPr>
        <w:instrText>7</w:instrText>
      </w:r>
      <w:r w:rsidRPr="08AD57A8">
        <w:instrText xml:space="preserve">" </w:instrText>
      </w:r>
      <w:r w:rsidRPr="08AD57A8">
        <w:rPr>
          <w:rFonts w:eastAsia="Batang"/>
        </w:rPr>
        <w:fldChar w:fldCharType="end"/>
      </w:r>
      <w:r w:rsidRPr="08AD57A8">
        <w:rPr>
          <w:rFonts w:eastAsia="Batang"/>
        </w:rPr>
        <w:t>)</w:t>
      </w:r>
    </w:p>
  </w:footnote>
  <w:footnote w:id="86">
    <w:p w:rsidR="00971E82" w:rsidRPr="08034631" w:rsidRDefault="00971E82" w:rsidP="08034631">
      <w:pPr>
        <w:pStyle w:val="Textpoznpodarou"/>
        <w:rPr>
          <w:lang w:val="cs-CZ"/>
        </w:rPr>
      </w:pPr>
      <w:r>
        <w:rPr>
          <w:rStyle w:val="Znakapoznpodarou"/>
        </w:rPr>
        <w:footnoteRef/>
      </w:r>
      <w:r>
        <w:t xml:space="preserve"> </w:t>
      </w:r>
      <w:r>
        <w:rPr>
          <w:lang w:val="cs-CZ"/>
        </w:rPr>
        <w:t>„</w:t>
      </w:r>
      <w:r w:rsidRPr="08034631">
        <w:rPr>
          <w:lang w:val="cs-CZ"/>
        </w:rPr>
        <w:t>Die unmittelbare F</w:t>
      </w:r>
      <w:r>
        <w:rPr>
          <w:lang w:val="cs-CZ"/>
        </w:rPr>
        <w:t xml:space="preserve">orm der Warenzirkulation </w:t>
      </w:r>
      <w:proofErr w:type="gramStart"/>
      <w:r>
        <w:rPr>
          <w:lang w:val="cs-CZ"/>
        </w:rPr>
        <w:t>ist W–G–</w:t>
      </w:r>
      <w:r w:rsidRPr="08034631">
        <w:rPr>
          <w:lang w:val="cs-CZ"/>
        </w:rPr>
        <w:t>W, Verwandlung</w:t>
      </w:r>
      <w:proofErr w:type="gramEnd"/>
      <w:r>
        <w:rPr>
          <w:lang w:val="cs-CZ"/>
        </w:rPr>
        <w:t xml:space="preserve"> </w:t>
      </w:r>
      <w:r w:rsidRPr="08034631">
        <w:rPr>
          <w:lang w:val="cs-CZ"/>
        </w:rPr>
        <w:t>von Ware in Geld und Rückverwandlung von Geld in Ware, verkaufen,</w:t>
      </w:r>
      <w:r>
        <w:rPr>
          <w:lang w:val="cs-CZ"/>
        </w:rPr>
        <w:t xml:space="preserve"> </w:t>
      </w:r>
      <w:r w:rsidRPr="08034631">
        <w:rPr>
          <w:lang w:val="cs-CZ"/>
        </w:rPr>
        <w:t>um zu kaufen. Neben dieser Form finden wir aber eine zweite,</w:t>
      </w:r>
      <w:r>
        <w:rPr>
          <w:lang w:val="cs-CZ"/>
        </w:rPr>
        <w:t xml:space="preserve"> </w:t>
      </w:r>
      <w:r w:rsidRPr="08034631">
        <w:rPr>
          <w:lang w:val="cs-CZ"/>
        </w:rPr>
        <w:t>spezifisch unterschiedne vor, die Form G - W - G, Verwandlung von Geld</w:t>
      </w:r>
      <w:r>
        <w:rPr>
          <w:lang w:val="cs-CZ"/>
        </w:rPr>
        <w:t xml:space="preserve"> </w:t>
      </w:r>
      <w:r w:rsidRPr="08034631">
        <w:rPr>
          <w:lang w:val="cs-CZ"/>
        </w:rPr>
        <w:t>in Ware und Rückverwandlung von Ware in Geld, kaufen, um zu verkaufen.</w:t>
      </w:r>
      <w:r>
        <w:rPr>
          <w:lang w:val="cs-CZ"/>
        </w:rPr>
        <w:t xml:space="preserve"> </w:t>
      </w:r>
      <w:r w:rsidRPr="08034631">
        <w:rPr>
          <w:lang w:val="cs-CZ"/>
        </w:rPr>
        <w:t>Geld, das in seiner Bewegung diese letztre Zirkulation beschreibt, verwandelt</w:t>
      </w:r>
      <w:r>
        <w:rPr>
          <w:lang w:val="cs-CZ"/>
        </w:rPr>
        <w:t xml:space="preserve"> </w:t>
      </w:r>
      <w:r w:rsidRPr="08034631">
        <w:rPr>
          <w:lang w:val="cs-CZ"/>
        </w:rPr>
        <w:t>sich in Kapital, wird Kapital und ist schon seiner Bestimmung nach</w:t>
      </w:r>
      <w:r>
        <w:rPr>
          <w:lang w:val="cs-CZ"/>
        </w:rPr>
        <w:t xml:space="preserve"> </w:t>
      </w:r>
      <w:r w:rsidRPr="08034631">
        <w:rPr>
          <w:lang w:val="cs-CZ"/>
        </w:rPr>
        <w:t>Kapital.</w:t>
      </w:r>
      <w:r>
        <w:rPr>
          <w:lang w:val="cs-CZ"/>
        </w:rPr>
        <w:t>“ (</w:t>
      </w:r>
      <w:r w:rsidRPr="08034631">
        <w:rPr>
          <w:i/>
          <w:lang w:val="cs-CZ"/>
        </w:rPr>
        <w:t>Das Kapital</w:t>
      </w:r>
      <w:r>
        <w:rPr>
          <w:i/>
          <w:lang w:val="cs-CZ"/>
        </w:rPr>
        <w:t xml:space="preserve"> </w:t>
      </w:r>
      <w:r>
        <w:rPr>
          <w:lang w:val="cs-CZ"/>
        </w:rPr>
        <w:t>1.</w:t>
      </w:r>
      <w:r w:rsidRPr="08D2308A">
        <w:rPr>
          <w:lang w:val="cs-CZ"/>
        </w:rPr>
        <w:t>2.4.1</w:t>
      </w:r>
      <w:r>
        <w:rPr>
          <w:lang w:val="cs-CZ"/>
        </w:rPr>
        <w:t>; MEW Ausgabe 23, 162</w:t>
      </w:r>
      <w:r>
        <w:rPr>
          <w:lang w:val="cs-CZ"/>
        </w:rPr>
        <w:fldChar w:fldCharType="begin"/>
      </w:r>
      <w:r>
        <w:instrText xml:space="preserve"> XE "</w:instrText>
      </w:r>
      <w:r>
        <w:rPr>
          <w:lang w:val="cs-CZ"/>
        </w:rPr>
        <w:instrText>Marx:</w:instrText>
      </w:r>
      <w:r w:rsidRPr="08936B29">
        <w:rPr>
          <w:i/>
          <w:lang w:val="cs-CZ"/>
        </w:rPr>
        <w:instrText xml:space="preserve">Das Kapital </w:instrText>
      </w:r>
      <w:r w:rsidRPr="08936B29">
        <w:rPr>
          <w:lang w:val="cs-CZ"/>
        </w:rPr>
        <w:instrText>162</w:instrText>
      </w:r>
      <w:r>
        <w:instrText xml:space="preserve">" </w:instrText>
      </w:r>
      <w:r>
        <w:rPr>
          <w:lang w:val="cs-CZ"/>
        </w:rPr>
        <w:fldChar w:fldCharType="end"/>
      </w:r>
      <w:r>
        <w:rPr>
          <w:lang w:val="cs-CZ"/>
        </w:rPr>
        <w:t>)</w:t>
      </w:r>
    </w:p>
  </w:footnote>
  <w:footnote w:id="87">
    <w:p w:rsidR="00971E82" w:rsidRPr="086660A0" w:rsidRDefault="00971E82">
      <w:pPr>
        <w:pStyle w:val="Textpoznpodarou"/>
        <w:rPr>
          <w:lang w:val="cs-CZ"/>
        </w:rPr>
      </w:pPr>
      <w:r>
        <w:rPr>
          <w:rStyle w:val="Znakapoznpodarou"/>
        </w:rPr>
        <w:footnoteRef/>
      </w:r>
      <w:r>
        <w:t xml:space="preserve"> </w:t>
      </w:r>
      <w:r w:rsidRPr="08B4076F">
        <w:t>„Es scheint das Richtige zu sein, mit dem Realen und Konkreten, der wirklichen Voraussetzung zu beginnen, also z. B. in der Ökonomie mit der Bevölkerung, die die Grundlage und das Subjekt des ganzen gesellschaftlichen Produktionsakts ist. Indes zeigt sich dies bei näherer Betrachtung [als] falsch. Die Bevölkerung ist eine Abstraktion, wenn ich z. B. die Klassen, aus denen sie besteht, weglasse. Diese Klassen sind wieder ein leeres Wort, wenn ich die Elemente nicht kenne, auf denen sie beruhn, z. B. Lohnarbeit, Kapital etc. Diese unterstellen Austausch, Teilung der Arbeit, Preise etc.“ (</w:t>
      </w:r>
      <w:r w:rsidRPr="08B4076F">
        <w:rPr>
          <w:i/>
        </w:rPr>
        <w:t>Einleitung zur Kritik der politischen Ökonomie</w:t>
      </w:r>
      <w:r w:rsidRPr="08B4076F">
        <w:t>, kap. 3; MEW Auflage 13, 631</w:t>
      </w:r>
      <w:r>
        <w:fldChar w:fldCharType="begin"/>
      </w:r>
      <w:r>
        <w:instrText xml:space="preserve"> XE "</w:instrText>
      </w:r>
      <w:r>
        <w:rPr>
          <w:lang w:val="cs-CZ"/>
        </w:rPr>
        <w:instrText>Marx:</w:instrText>
      </w:r>
      <w:r w:rsidRPr="0862672C">
        <w:rPr>
          <w:i/>
        </w:rPr>
        <w:instrText>Einleitung zur Kritik der politischen Ökonomie</w:instrText>
      </w:r>
      <w:r w:rsidRPr="0862672C">
        <w:instrText xml:space="preserve"> 631</w:instrText>
      </w:r>
      <w:r>
        <w:instrText xml:space="preserve">" </w:instrText>
      </w:r>
      <w:r>
        <w:fldChar w:fldCharType="end"/>
      </w:r>
      <w:r w:rsidRPr="08B4076F">
        <w:t>)</w:t>
      </w:r>
    </w:p>
  </w:footnote>
  <w:footnote w:id="88">
    <w:p w:rsidR="00971E82" w:rsidRPr="00CC1579" w:rsidRDefault="00971E82" w:rsidP="08163013">
      <w:pPr>
        <w:pStyle w:val="Textpoznpodarou"/>
        <w:rPr>
          <w:lang w:val="cs-CZ"/>
        </w:rPr>
      </w:pPr>
      <w:r>
        <w:rPr>
          <w:rStyle w:val="Znakapoznpodarou"/>
        </w:rPr>
        <w:footnoteRef/>
      </w:r>
      <w:r>
        <w:t xml:space="preserve"> </w:t>
      </w:r>
      <w:r w:rsidRPr="00273106">
        <w:rPr>
          <w:noProof/>
        </w:rPr>
        <w:t>„Adhuc autem in ista disputatione, eo quod volumus loqui nisi ad sapientes, nihil volumus fingere, sed omnia ad veritatem rei cogere virtute demonstrationis: scitum autem est, sicut</w:t>
      </w:r>
      <w:r>
        <w:rPr>
          <w:noProof/>
        </w:rPr>
        <w:t xml:space="preserve"> in duodecimo primae philosophi</w:t>
      </w:r>
      <w:r>
        <w:rPr>
          <w:noProof/>
          <w:lang w:val="cs-CZ"/>
        </w:rPr>
        <w:t>a</w:t>
      </w:r>
      <w:r w:rsidRPr="00273106">
        <w:rPr>
          <w:noProof/>
        </w:rPr>
        <w:t>e dictum est, quod coactum est ad disputationem.“ (</w:t>
      </w:r>
      <w:r w:rsidRPr="00273106">
        <w:rPr>
          <w:i/>
          <w:noProof/>
        </w:rPr>
        <w:t>De unitate intellectus</w:t>
      </w:r>
      <w:r>
        <w:rPr>
          <w:noProof/>
        </w:rPr>
        <w:t>, cap. III</w:t>
      </w:r>
      <w:r>
        <w:rPr>
          <w:noProof/>
          <w:lang w:val="cs-CZ"/>
        </w:rPr>
        <w:t>;</w:t>
      </w:r>
      <w:r w:rsidRPr="00273106">
        <w:rPr>
          <w:noProof/>
        </w:rPr>
        <w:t xml:space="preserve"> ed. Borgnet t. 9, 441a</w:t>
      </w:r>
      <w:r>
        <w:rPr>
          <w:noProof/>
        </w:rPr>
        <w:fldChar w:fldCharType="begin"/>
      </w:r>
      <w:r>
        <w:instrText xml:space="preserve"> XE "</w:instrText>
      </w:r>
      <w:r>
        <w:rPr>
          <w:lang w:val="cs-CZ"/>
        </w:rPr>
        <w:instrText>Albert:</w:instrText>
      </w:r>
      <w:r w:rsidRPr="003B6ADC">
        <w:rPr>
          <w:i/>
          <w:noProof/>
        </w:rPr>
        <w:instrText>De unitate intellectus</w:instrText>
      </w:r>
      <w:r>
        <w:rPr>
          <w:noProof/>
          <w:lang w:val="cs-CZ"/>
        </w:rPr>
        <w:instrText xml:space="preserve"> </w:instrText>
      </w:r>
      <w:r w:rsidRPr="003B6ADC">
        <w:rPr>
          <w:noProof/>
        </w:rPr>
        <w:instrText>441a</w:instrText>
      </w:r>
      <w:r>
        <w:instrText xml:space="preserve">" </w:instrText>
      </w:r>
      <w:r>
        <w:rPr>
          <w:noProof/>
        </w:rPr>
        <w:fldChar w:fldCharType="end"/>
      </w:r>
      <w:r>
        <w:rPr>
          <w:noProof/>
          <w:lang w:val="cs-CZ"/>
        </w:rPr>
        <w:t>)</w:t>
      </w:r>
    </w:p>
  </w:footnote>
  <w:footnote w:id="89">
    <w:p w:rsidR="00971E82" w:rsidRPr="004275AC" w:rsidRDefault="00971E82" w:rsidP="08163013">
      <w:pPr>
        <w:pStyle w:val="Textpoznpodarou"/>
      </w:pPr>
      <w:r>
        <w:rPr>
          <w:rStyle w:val="Znakapoznpodarou"/>
        </w:rPr>
        <w:footnoteRef/>
      </w:r>
      <w:r>
        <w:t xml:space="preserve"> Expozici 30 sporných bodů viz </w:t>
      </w:r>
      <w:r w:rsidRPr="00A71D08">
        <w:rPr>
          <w:i/>
        </w:rPr>
        <w:t>Johannis Pechami</w:t>
      </w:r>
      <w:r>
        <w:t xml:space="preserve"> </w:t>
      </w:r>
      <w:r>
        <w:rPr>
          <w:i/>
        </w:rPr>
        <w:t>Quaestiones tractantes De anima</w:t>
      </w:r>
      <w:r>
        <w:rPr>
          <w:i/>
        </w:rPr>
        <w:fldChar w:fldCharType="begin"/>
      </w:r>
      <w:r>
        <w:instrText xml:space="preserve"> XE "</w:instrText>
      </w:r>
      <w:r>
        <w:rPr>
          <w:lang w:val="cs-CZ"/>
        </w:rPr>
        <w:instrText>Pecham:</w:instrText>
      </w:r>
      <w:r w:rsidRPr="00385341">
        <w:rPr>
          <w:i/>
        </w:rPr>
        <w:instrText>Johannis Pechami</w:instrText>
      </w:r>
      <w:r w:rsidRPr="00385341">
        <w:instrText xml:space="preserve"> </w:instrText>
      </w:r>
      <w:r>
        <w:rPr>
          <w:i/>
        </w:rPr>
        <w:instrText>Quaestiones tractantes De anima</w:instrText>
      </w:r>
      <w:r>
        <w:rPr>
          <w:i/>
          <w:lang w:val="cs-CZ"/>
        </w:rPr>
        <w:instrText xml:space="preserve"> q. 4</w:instrText>
      </w:r>
      <w:r>
        <w:instrText xml:space="preserve">" </w:instrText>
      </w:r>
      <w:r>
        <w:rPr>
          <w:i/>
        </w:rPr>
        <w:fldChar w:fldCharType="end"/>
      </w:r>
      <w:r>
        <w:rPr>
          <w:i/>
        </w:rPr>
        <w:t xml:space="preserve">, </w:t>
      </w:r>
      <w:r>
        <w:t>ed. Spettmann</w:t>
      </w:r>
      <w:r>
        <w:rPr>
          <w:lang w:val="cs-CZ"/>
        </w:rPr>
        <w:t xml:space="preserve">. </w:t>
      </w:r>
      <w:r w:rsidRPr="00C03415">
        <w:rPr>
          <w:i/>
          <w:lang w:val="cs-CZ"/>
        </w:rPr>
        <w:t>Questio</w:t>
      </w:r>
      <w:r>
        <w:rPr>
          <w:lang w:val="cs-CZ"/>
        </w:rPr>
        <w:t xml:space="preserve"> </w:t>
      </w:r>
      <w:r>
        <w:t>4 zahajuje jejich výčet (</w:t>
      </w:r>
      <w:r>
        <w:rPr>
          <w:i/>
        </w:rPr>
        <w:t>e</w:t>
      </w:r>
      <w:r w:rsidRPr="004275AC">
        <w:rPr>
          <w:i/>
        </w:rPr>
        <w:t xml:space="preserve">t ostenditur quod </w:t>
      </w:r>
      <w:r>
        <w:rPr>
          <w:i/>
        </w:rPr>
        <w:t xml:space="preserve">sic, </w:t>
      </w:r>
      <w:r>
        <w:t xml:space="preserve">pp. 38‒45); následuje část </w:t>
      </w:r>
      <w:r>
        <w:rPr>
          <w:lang w:val="cs-CZ"/>
        </w:rPr>
        <w:t>„</w:t>
      </w:r>
      <w:r w:rsidRPr="004275AC">
        <w:rPr>
          <w:i/>
        </w:rPr>
        <w:t>contra</w:t>
      </w:r>
      <w:r>
        <w:rPr>
          <w:lang w:val="cs-CZ"/>
        </w:rPr>
        <w:t>“</w:t>
      </w:r>
      <w:r>
        <w:t xml:space="preserve"> (pp. 45‒49) a </w:t>
      </w:r>
      <w:r>
        <w:rPr>
          <w:lang w:val="cs-CZ"/>
        </w:rPr>
        <w:t>„</w:t>
      </w:r>
      <w:r w:rsidRPr="004275AC">
        <w:rPr>
          <w:i/>
        </w:rPr>
        <w:t>responsio</w:t>
      </w:r>
      <w:r>
        <w:rPr>
          <w:lang w:val="cs-CZ"/>
        </w:rPr>
        <w:t>“</w:t>
      </w:r>
      <w:r>
        <w:t xml:space="preserve"> shrnující celkovou linii argumentace (pp. 49‒5</w:t>
      </w:r>
      <w:r>
        <w:rPr>
          <w:lang w:val="cs-CZ"/>
        </w:rPr>
        <w:t>2</w:t>
      </w:r>
      <w:r>
        <w:t xml:space="preserve">). </w:t>
      </w:r>
      <w:r>
        <w:rPr>
          <w:lang w:val="cs-CZ"/>
        </w:rPr>
        <w:t>Shrnutí argumentace p</w:t>
      </w:r>
      <w:r>
        <w:t xml:space="preserve">odává konečné </w:t>
      </w:r>
      <w:r>
        <w:rPr>
          <w:lang w:val="cs-CZ"/>
        </w:rPr>
        <w:t>„</w:t>
      </w:r>
      <w:r w:rsidRPr="004275AC">
        <w:rPr>
          <w:i/>
        </w:rPr>
        <w:t>solutio</w:t>
      </w:r>
      <w:r>
        <w:t xml:space="preserve"> </w:t>
      </w:r>
      <w:r w:rsidRPr="008719F6">
        <w:rPr>
          <w:i/>
        </w:rPr>
        <w:t>obiectorum</w:t>
      </w:r>
      <w:r>
        <w:rPr>
          <w:lang w:val="cs-CZ"/>
        </w:rPr>
        <w:t>“</w:t>
      </w:r>
      <w:r>
        <w:t xml:space="preserve"> (pp. 52‒59). </w:t>
      </w:r>
    </w:p>
  </w:footnote>
  <w:footnote w:id="90">
    <w:p w:rsidR="00971E82" w:rsidRPr="00CA54DE" w:rsidRDefault="00971E82" w:rsidP="08163013">
      <w:pPr>
        <w:pStyle w:val="Textpoznpodarou"/>
        <w:rPr>
          <w:lang w:val="cs-CZ"/>
        </w:rPr>
      </w:pPr>
      <w:r>
        <w:rPr>
          <w:rStyle w:val="Znakapoznpodarou"/>
        </w:rPr>
        <w:footnoteRef/>
      </w:r>
      <w:r>
        <w:t xml:space="preserve"> </w:t>
      </w:r>
      <w:r>
        <w:rPr>
          <w:lang w:val="cs-CZ"/>
        </w:rPr>
        <w:t>A</w:t>
      </w:r>
      <w:r>
        <w:t>nalýzu Pechamova pojetí duše a intelektu a rozbor oněch 30 argumentů v závislosti na Bonaventurovi, viz Spettmann 1919, 79‒83. Přesný rozbor Pechamova pojetí poznání podává již citovaná studie o teorii abstrakce ve františkánských školách (Rohmer 1928, 178‒84). Gilsonova studie o augustiniánské iluminaci analyzuje následovníky Pechama jako byli Aquasparta</w:t>
      </w:r>
      <w:r>
        <w:fldChar w:fldCharType="begin"/>
      </w:r>
      <w:r>
        <w:instrText xml:space="preserve"> XE "</w:instrText>
      </w:r>
      <w:r w:rsidRPr="003B1826">
        <w:instrText>Aquasparta, M.</w:instrText>
      </w:r>
      <w:r>
        <w:instrText xml:space="preserve">" </w:instrText>
      </w:r>
      <w:r>
        <w:fldChar w:fldCharType="end"/>
      </w:r>
      <w:r>
        <w:t xml:space="preserve"> a Marston a ukazuje jejich </w:t>
      </w:r>
      <w:r>
        <w:rPr>
          <w:lang w:val="cs-CZ"/>
        </w:rPr>
        <w:t xml:space="preserve">odmítnutí </w:t>
      </w:r>
      <w:r>
        <w:t>aristotelsk</w:t>
      </w:r>
      <w:r>
        <w:rPr>
          <w:lang w:val="cs-CZ"/>
        </w:rPr>
        <w:t>é</w:t>
      </w:r>
      <w:r>
        <w:t xml:space="preserve"> teori</w:t>
      </w:r>
      <w:r>
        <w:rPr>
          <w:lang w:val="cs-CZ"/>
        </w:rPr>
        <w:t>e</w:t>
      </w:r>
      <w:r>
        <w:t xml:space="preserve"> abstrakce (Gilson 1936).</w:t>
      </w:r>
    </w:p>
  </w:footnote>
  <w:footnote w:id="91">
    <w:p w:rsidR="00971E82" w:rsidRPr="001C2C0C" w:rsidRDefault="00971E82" w:rsidP="08163013">
      <w:pPr>
        <w:pStyle w:val="Textpoznpodarou"/>
      </w:pPr>
      <w:r>
        <w:rPr>
          <w:rStyle w:val="Znakapoznpodarou"/>
        </w:rPr>
        <w:footnoteRef/>
      </w:r>
      <w:r>
        <w:t xml:space="preserve"> Pecham mohl </w:t>
      </w:r>
      <w:r>
        <w:rPr>
          <w:lang w:val="cs-CZ"/>
        </w:rPr>
        <w:t xml:space="preserve">s velkou pravděpodobností </w:t>
      </w:r>
      <w:r>
        <w:t>znát tato soudobá díla prvního averroismu, která se zabývala jednotou intelekt</w:t>
      </w:r>
      <w:r>
        <w:rPr>
          <w:lang w:val="cs-CZ"/>
        </w:rPr>
        <w:t xml:space="preserve">u: </w:t>
      </w:r>
      <w:r>
        <w:t xml:space="preserve">Albert Veliký: </w:t>
      </w:r>
      <w:r w:rsidRPr="00A029D5">
        <w:rPr>
          <w:i/>
        </w:rPr>
        <w:t>De unitate intellectus</w:t>
      </w:r>
      <w:r w:rsidRPr="00A029D5">
        <w:t xml:space="preserve"> (1263</w:t>
      </w:r>
      <w:r>
        <w:t xml:space="preserve">);  Siger z Brabantu: </w:t>
      </w:r>
      <w:r>
        <w:rPr>
          <w:i/>
        </w:rPr>
        <w:t xml:space="preserve">Quaestiones in Tertium de Anima </w:t>
      </w:r>
      <w:r>
        <w:t xml:space="preserve">(1265); </w:t>
      </w:r>
      <w:r>
        <w:rPr>
          <w:lang w:val="cs-CZ"/>
        </w:rPr>
        <w:t xml:space="preserve">Roger </w:t>
      </w:r>
      <w:r>
        <w:t>Bacon:</w:t>
      </w:r>
      <w:r w:rsidRPr="088600F1">
        <w:rPr>
          <w:i/>
        </w:rPr>
        <w:t xml:space="preserve"> </w:t>
      </w:r>
      <w:r w:rsidRPr="003B146E">
        <w:rPr>
          <w:i/>
        </w:rPr>
        <w:t>Distinccio tercia de anima</w:t>
      </w:r>
      <w:r w:rsidRPr="00F73B4A">
        <w:rPr>
          <w:i/>
        </w:rPr>
        <w:t xml:space="preserve"> </w:t>
      </w:r>
      <w:r>
        <w:t>(12</w:t>
      </w:r>
      <w:r>
        <w:rPr>
          <w:lang w:val="cs-CZ"/>
        </w:rPr>
        <w:t>55</w:t>
      </w:r>
      <w:r>
        <w:t xml:space="preserve">); </w:t>
      </w:r>
      <w:r>
        <w:rPr>
          <w:lang w:val="cs-CZ"/>
        </w:rPr>
        <w:t xml:space="preserve">Tomáš </w:t>
      </w:r>
      <w:r>
        <w:t xml:space="preserve">Akvinský: </w:t>
      </w:r>
      <w:r w:rsidRPr="00DE6661">
        <w:rPr>
          <w:rStyle w:val="st"/>
          <w:bCs/>
          <w:i/>
        </w:rPr>
        <w:t>Quaestiones</w:t>
      </w:r>
      <w:r w:rsidRPr="00DE6661">
        <w:rPr>
          <w:rStyle w:val="st"/>
          <w:i/>
        </w:rPr>
        <w:t xml:space="preserve"> disputatae </w:t>
      </w:r>
      <w:r w:rsidRPr="00DE6661">
        <w:rPr>
          <w:rStyle w:val="st"/>
          <w:bCs/>
          <w:i/>
        </w:rPr>
        <w:t>De anima</w:t>
      </w:r>
      <w:r>
        <w:t xml:space="preserve"> (1267), </w:t>
      </w:r>
      <w:r w:rsidRPr="00995DF0">
        <w:rPr>
          <w:i/>
        </w:rPr>
        <w:t>Quaestiones disputatae De potentia</w:t>
      </w:r>
      <w:r w:rsidRPr="00813200">
        <w:rPr>
          <w:i/>
        </w:rPr>
        <w:t xml:space="preserve"> Dei</w:t>
      </w:r>
      <w:r w:rsidRPr="00813200">
        <w:t xml:space="preserve"> </w:t>
      </w:r>
      <w:r>
        <w:t xml:space="preserve">(1268), </w:t>
      </w:r>
      <w:r w:rsidRPr="0009076F">
        <w:rPr>
          <w:i/>
        </w:rPr>
        <w:t>Quaestiones disputatae de spiritualibus creaturis</w:t>
      </w:r>
      <w:r>
        <w:t xml:space="preserve"> (1269), </w:t>
      </w:r>
      <w:r w:rsidRPr="00A12BF8">
        <w:rPr>
          <w:i/>
        </w:rPr>
        <w:t>Quodlibet</w:t>
      </w:r>
      <w:r>
        <w:t xml:space="preserve"> III (1269), </w:t>
      </w:r>
      <w:r w:rsidRPr="00E42978">
        <w:rPr>
          <w:i/>
        </w:rPr>
        <w:t>De unitate intellectus</w:t>
      </w:r>
      <w:r>
        <w:rPr>
          <w:i/>
        </w:rPr>
        <w:t xml:space="preserve"> </w:t>
      </w:r>
      <w:r>
        <w:t>(1270). Všechny tyto spisy byly kritické vůči druhému averroismu, zejména vůči tezi o pluralitě substanc</w:t>
      </w:r>
      <w:r>
        <w:rPr>
          <w:lang w:val="cs-CZ"/>
        </w:rPr>
        <w:t xml:space="preserve">í </w:t>
      </w:r>
      <w:r>
        <w:t xml:space="preserve">v člověku. K podobnému výpisu aktérů, témat a spisů vztažených k tzv. </w:t>
      </w:r>
      <w:r>
        <w:rPr>
          <w:lang w:val="cs-CZ"/>
        </w:rPr>
        <w:t>„</w:t>
      </w:r>
      <w:r w:rsidRPr="002D186F">
        <w:rPr>
          <w:i/>
        </w:rPr>
        <w:t>moment de 1270</w:t>
      </w:r>
      <w:r>
        <w:rPr>
          <w:lang w:val="cs-CZ"/>
        </w:rPr>
        <w:t>“</w:t>
      </w:r>
      <w:r>
        <w:t xml:space="preserve"> viz citovanou studii (Wéber 1976).</w:t>
      </w:r>
    </w:p>
  </w:footnote>
  <w:footnote w:id="92">
    <w:p w:rsidR="00971E82" w:rsidRPr="00AC4865" w:rsidRDefault="00971E82" w:rsidP="08163013">
      <w:pPr>
        <w:pStyle w:val="Textpoznpodarou"/>
      </w:pPr>
      <w:r w:rsidRPr="00AC4865">
        <w:rPr>
          <w:rStyle w:val="Znakapoznpodarou"/>
        </w:rPr>
        <w:footnoteRef/>
      </w:r>
      <w:r w:rsidRPr="00AC4865">
        <w:t xml:space="preserve"> </w:t>
      </w:r>
      <w:r w:rsidRPr="00AC4865">
        <w:rPr>
          <w:rStyle w:val="CitaceChar"/>
        </w:rPr>
        <w:t>„Intellectus est substantia immaterialis. Sed non est plurificatio nisi per materiam.“ (</w:t>
      </w:r>
      <w:r>
        <w:rPr>
          <w:rStyle w:val="CitaceChar"/>
          <w:i/>
        </w:rPr>
        <w:t>Quaestiones tractantes De anima</w:t>
      </w:r>
      <w:r w:rsidRPr="00AC4865">
        <w:rPr>
          <w:rStyle w:val="CitaceChar"/>
        </w:rPr>
        <w:t>, q. 4, item 14</w:t>
      </w:r>
      <w:r>
        <w:rPr>
          <w:rStyle w:val="CitaceChar"/>
          <w:lang w:val="cs-CZ"/>
        </w:rPr>
        <w:t xml:space="preserve">; </w:t>
      </w:r>
      <w:r w:rsidRPr="00AC4865">
        <w:rPr>
          <w:rStyle w:val="CitaceChar"/>
        </w:rPr>
        <w:t xml:space="preserve">ed. Spettmann, </w:t>
      </w:r>
      <w:r>
        <w:rPr>
          <w:rStyle w:val="CitaceChar"/>
          <w:lang w:val="cs-CZ"/>
        </w:rPr>
        <w:t xml:space="preserve">p. </w:t>
      </w:r>
      <w:r w:rsidRPr="00AC4865">
        <w:rPr>
          <w:rStyle w:val="CitaceChar"/>
        </w:rPr>
        <w:t>41.8‒9</w:t>
      </w:r>
      <w:r>
        <w:rPr>
          <w:rStyle w:val="CitaceChar"/>
        </w:rPr>
        <w:fldChar w:fldCharType="begin"/>
      </w:r>
      <w:r>
        <w:instrText xml:space="preserve"> XE "</w:instrText>
      </w:r>
      <w:r>
        <w:rPr>
          <w:lang w:val="cs-CZ"/>
        </w:rPr>
        <w:instrText>Pecham:</w:instrText>
      </w:r>
      <w:r>
        <w:rPr>
          <w:rStyle w:val="CitaceChar"/>
          <w:i/>
        </w:rPr>
        <w:instrText>Quaestiones tractantes De anima</w:instrText>
      </w:r>
      <w:r w:rsidRPr="00F1645C">
        <w:rPr>
          <w:rStyle w:val="CitaceChar"/>
        </w:rPr>
        <w:instrText xml:space="preserve"> 41.8‒9</w:instrText>
      </w:r>
      <w:r>
        <w:instrText xml:space="preserve">" </w:instrText>
      </w:r>
      <w:r>
        <w:rPr>
          <w:rStyle w:val="CitaceChar"/>
        </w:rPr>
        <w:fldChar w:fldCharType="end"/>
      </w:r>
      <w:r w:rsidRPr="00AC4865">
        <w:rPr>
          <w:rStyle w:val="CitaceChar"/>
        </w:rPr>
        <w:t>)</w:t>
      </w:r>
    </w:p>
  </w:footnote>
  <w:footnote w:id="93">
    <w:p w:rsidR="00971E82" w:rsidRPr="005A0A39" w:rsidRDefault="00971E82" w:rsidP="08163013">
      <w:pPr>
        <w:pStyle w:val="Textpoznpodarou"/>
        <w:rPr>
          <w:lang w:val="cs-CZ"/>
        </w:rPr>
      </w:pPr>
      <w:r>
        <w:rPr>
          <w:rStyle w:val="Znakapoznpodarou"/>
        </w:rPr>
        <w:footnoteRef/>
      </w:r>
      <w:r>
        <w:t xml:space="preserve"> </w:t>
      </w:r>
      <w:r w:rsidRPr="00273106">
        <w:rPr>
          <w:noProof/>
        </w:rPr>
        <w:t>„Item dicit idem Commentator quod definitio intellectus materialis est, quia est id quod est in potentia omnes intentiones formarum materialium universalium, et non est in actu aliquid entium, antequam intelligat ipsum.“ (</w:t>
      </w:r>
      <w:r>
        <w:rPr>
          <w:i/>
          <w:noProof/>
        </w:rPr>
        <w:t>Quaestiones tractantes De anima</w:t>
      </w:r>
      <w:r w:rsidRPr="00273106">
        <w:rPr>
          <w:noProof/>
        </w:rPr>
        <w:t>,</w:t>
      </w:r>
      <w:r>
        <w:rPr>
          <w:noProof/>
        </w:rPr>
        <w:t xml:space="preserve"> q. 4, </w:t>
      </w:r>
      <w:r>
        <w:rPr>
          <w:noProof/>
          <w:lang w:val="cs-CZ"/>
        </w:rPr>
        <w:t>ad</w:t>
      </w:r>
      <w:r w:rsidRPr="00273106">
        <w:rPr>
          <w:noProof/>
        </w:rPr>
        <w:t xml:space="preserve"> 8; ed. Spettmann, p. 40.13‒16</w:t>
      </w:r>
      <w:r>
        <w:rPr>
          <w:rStyle w:val="CitaceChar"/>
        </w:rPr>
        <w:fldChar w:fldCharType="begin"/>
      </w:r>
      <w:r>
        <w:instrText xml:space="preserve"> XE "</w:instrText>
      </w:r>
      <w:r>
        <w:rPr>
          <w:lang w:val="cs-CZ"/>
        </w:rPr>
        <w:instrText>Pecham:</w:instrText>
      </w:r>
      <w:r>
        <w:rPr>
          <w:rStyle w:val="CitaceChar"/>
          <w:i/>
        </w:rPr>
        <w:instrText>Quaestiones tractantes De anima</w:instrText>
      </w:r>
      <w:r>
        <w:rPr>
          <w:rStyle w:val="CitaceChar"/>
          <w:i/>
          <w:lang w:val="cs-CZ"/>
        </w:rPr>
        <w:instrText xml:space="preserve"> </w:instrText>
      </w:r>
      <w:r>
        <w:rPr>
          <w:rStyle w:val="CitaceChar"/>
        </w:rPr>
        <w:instrText>4</w:instrText>
      </w:r>
      <w:r>
        <w:rPr>
          <w:rStyle w:val="CitaceChar"/>
          <w:lang w:val="cs-CZ"/>
        </w:rPr>
        <w:instrText>0</w:instrText>
      </w:r>
      <w:r w:rsidRPr="00F1645C">
        <w:rPr>
          <w:rStyle w:val="CitaceChar"/>
        </w:rPr>
        <w:instrText>.</w:instrText>
      </w:r>
      <w:r>
        <w:rPr>
          <w:rStyle w:val="CitaceChar"/>
          <w:lang w:val="cs-CZ"/>
        </w:rPr>
        <w:instrText>13</w:instrText>
      </w:r>
      <w:r w:rsidRPr="00F1645C">
        <w:rPr>
          <w:rStyle w:val="CitaceChar"/>
        </w:rPr>
        <w:instrText>‒</w:instrText>
      </w:r>
      <w:r>
        <w:rPr>
          <w:rStyle w:val="CitaceChar"/>
          <w:lang w:val="cs-CZ"/>
        </w:rPr>
        <w:instrText>16</w:instrText>
      </w:r>
      <w:r>
        <w:instrText xml:space="preserve">" </w:instrText>
      </w:r>
      <w:r>
        <w:rPr>
          <w:rStyle w:val="CitaceChar"/>
        </w:rPr>
        <w:fldChar w:fldCharType="end"/>
      </w:r>
      <w:r w:rsidRPr="00273106">
        <w:rPr>
          <w:noProof/>
        </w:rPr>
        <w:t>)</w:t>
      </w:r>
    </w:p>
  </w:footnote>
  <w:footnote w:id="94">
    <w:p w:rsidR="00971E82" w:rsidRPr="08BB4CE9" w:rsidRDefault="00971E82" w:rsidP="08163013">
      <w:pPr>
        <w:pStyle w:val="Textpoznpodarou"/>
        <w:rPr>
          <w:lang w:val="cs-CZ"/>
        </w:rPr>
      </w:pPr>
      <w:r>
        <w:rPr>
          <w:rStyle w:val="Znakapoznpodarou"/>
        </w:rPr>
        <w:footnoteRef/>
      </w:r>
      <w:r>
        <w:t xml:space="preserve"> „</w:t>
      </w:r>
      <w:r w:rsidRPr="08101151">
        <w:t>Item intellectus est substantia immaterialis. Sed non est plurificatio nisi per materiam. Ergo intellectus non habet materiam. Quod sit immaterialis, id est carens materia, probat Commentator. Quoniam si haberet formam in materia, tunc haberet intelligibile in potentia sicut res sensibiles materiales et non posset intellig</w:t>
      </w:r>
      <w:r>
        <w:t>i nisi per abstractionem. Unde Ph</w:t>
      </w:r>
      <w:r w:rsidRPr="08101151">
        <w:t xml:space="preserve">iIosophus, III. </w:t>
      </w:r>
      <w:r w:rsidRPr="08BB4CE9">
        <w:rPr>
          <w:i/>
        </w:rPr>
        <w:t>De Anima</w:t>
      </w:r>
      <w:r>
        <w:t>: «In h</w:t>
      </w:r>
      <w:r w:rsidRPr="08101151">
        <w:t>abentibus materiam potentia u</w:t>
      </w:r>
      <w:r>
        <w:t>numquodque intelligibilium est.» Quod falsum est</w:t>
      </w:r>
      <w:r w:rsidRPr="08101151">
        <w:t>.</w:t>
      </w:r>
      <w:r>
        <w:t xml:space="preserve">“ </w:t>
      </w:r>
      <w:r w:rsidRPr="00273106">
        <w:t>(</w:t>
      </w:r>
      <w:r>
        <w:rPr>
          <w:i/>
        </w:rPr>
        <w:t>Quaestiones tractantes De anima</w:t>
      </w:r>
      <w:r w:rsidRPr="00273106">
        <w:t>,</w:t>
      </w:r>
      <w:r>
        <w:t xml:space="preserve"> q. 4, ad 14; ed. Spettmann, p. 41.8</w:t>
      </w:r>
      <w:r w:rsidRPr="00273106">
        <w:t>‒</w:t>
      </w:r>
      <w:r>
        <w:t>14</w:t>
      </w:r>
      <w:r>
        <w:rPr>
          <w:rStyle w:val="CitaceChar"/>
        </w:rPr>
        <w:fldChar w:fldCharType="begin"/>
      </w:r>
      <w:r>
        <w:instrText xml:space="preserve"> XE "Pecham:</w:instrText>
      </w:r>
      <w:r>
        <w:rPr>
          <w:rStyle w:val="CitaceChar"/>
          <w:i/>
        </w:rPr>
        <w:instrText xml:space="preserve">Quaestiones tractantes De anima </w:instrText>
      </w:r>
      <w:r>
        <w:rPr>
          <w:rStyle w:val="CitaceChar"/>
        </w:rPr>
        <w:instrText>40</w:instrText>
      </w:r>
      <w:r w:rsidRPr="00F1645C">
        <w:rPr>
          <w:rStyle w:val="CitaceChar"/>
        </w:rPr>
        <w:instrText>.</w:instrText>
      </w:r>
      <w:r>
        <w:rPr>
          <w:rStyle w:val="CitaceChar"/>
        </w:rPr>
        <w:instrText>13</w:instrText>
      </w:r>
      <w:r w:rsidRPr="00F1645C">
        <w:rPr>
          <w:rStyle w:val="CitaceChar"/>
        </w:rPr>
        <w:instrText>‒</w:instrText>
      </w:r>
      <w:r>
        <w:rPr>
          <w:rStyle w:val="CitaceChar"/>
        </w:rPr>
        <w:instrText>16</w:instrText>
      </w:r>
      <w:r>
        <w:instrText xml:space="preserve">" </w:instrText>
      </w:r>
      <w:r>
        <w:rPr>
          <w:rStyle w:val="CitaceChar"/>
        </w:rPr>
        <w:fldChar w:fldCharType="end"/>
      </w:r>
      <w:r w:rsidRPr="00273106">
        <w:t>)</w:t>
      </w:r>
    </w:p>
  </w:footnote>
  <w:footnote w:id="95">
    <w:p w:rsidR="00971E82" w:rsidRPr="00E81A55" w:rsidRDefault="00971E82" w:rsidP="08163013">
      <w:pPr>
        <w:pStyle w:val="Textpoznpodarou"/>
        <w:rPr>
          <w:lang w:val="cs-CZ"/>
        </w:rPr>
      </w:pPr>
      <w:r>
        <w:rPr>
          <w:rStyle w:val="Znakapoznpodarou"/>
        </w:rPr>
        <w:footnoteRef/>
      </w:r>
      <w:r>
        <w:t xml:space="preserve"> „Commentator dicit</w:t>
      </w:r>
      <w:r w:rsidRPr="00273106">
        <w:t xml:space="preserve"> </w:t>
      </w:r>
      <w:r w:rsidRPr="00273106">
        <w:rPr>
          <w:szCs w:val="16"/>
        </w:rPr>
        <w:t xml:space="preserve">quod anima </w:t>
      </w:r>
      <w:r w:rsidRPr="00273106">
        <w:t xml:space="preserve">nihil </w:t>
      </w:r>
      <w:r w:rsidRPr="00273106">
        <w:rPr>
          <w:szCs w:val="11"/>
        </w:rPr>
        <w:t xml:space="preserve">intelligit </w:t>
      </w:r>
      <w:r w:rsidRPr="00273106">
        <w:rPr>
          <w:szCs w:val="13"/>
        </w:rPr>
        <w:t xml:space="preserve">sine </w:t>
      </w:r>
      <w:r w:rsidRPr="00273106">
        <w:rPr>
          <w:szCs w:val="14"/>
        </w:rPr>
        <w:t xml:space="preserve">imaginatione, quia </w:t>
      </w:r>
      <w:r w:rsidRPr="00273106">
        <w:rPr>
          <w:szCs w:val="16"/>
        </w:rPr>
        <w:t xml:space="preserve">instrumentum </w:t>
      </w:r>
      <w:r w:rsidRPr="00273106">
        <w:rPr>
          <w:szCs w:val="15"/>
        </w:rPr>
        <w:t xml:space="preserve">sensus </w:t>
      </w:r>
      <w:r w:rsidRPr="00273106">
        <w:t xml:space="preserve">nihil sentit </w:t>
      </w:r>
      <w:r w:rsidRPr="00273106">
        <w:rPr>
          <w:szCs w:val="13"/>
        </w:rPr>
        <w:t xml:space="preserve">sine </w:t>
      </w:r>
      <w:r w:rsidRPr="00273106">
        <w:rPr>
          <w:szCs w:val="14"/>
        </w:rPr>
        <w:t xml:space="preserve">praesentia </w:t>
      </w:r>
      <w:r w:rsidRPr="00273106">
        <w:t>se</w:t>
      </w:r>
      <w:r>
        <w:t>nsibilis.“ (</w:t>
      </w:r>
      <w:r>
        <w:rPr>
          <w:i/>
          <w:noProof/>
        </w:rPr>
        <w:t>Quaestiones tractantes De anima</w:t>
      </w:r>
      <w:r w:rsidRPr="00273106">
        <w:rPr>
          <w:noProof/>
        </w:rPr>
        <w:t>,</w:t>
      </w:r>
      <w:r>
        <w:rPr>
          <w:noProof/>
        </w:rPr>
        <w:t xml:space="preserve"> q. </w:t>
      </w:r>
      <w:r>
        <w:rPr>
          <w:noProof/>
          <w:lang w:val="cs-CZ"/>
        </w:rPr>
        <w:t xml:space="preserve">9, ad 6; </w:t>
      </w:r>
      <w:r w:rsidRPr="00273106">
        <w:rPr>
          <w:noProof/>
        </w:rPr>
        <w:t xml:space="preserve">ed. Spettmann, </w:t>
      </w:r>
      <w:r>
        <w:t>p. 84.13‒14</w:t>
      </w:r>
      <w:r>
        <w:rPr>
          <w:rStyle w:val="CitaceChar"/>
        </w:rPr>
        <w:fldChar w:fldCharType="begin"/>
      </w:r>
      <w:r>
        <w:instrText xml:space="preserve"> XE "</w:instrText>
      </w:r>
      <w:r>
        <w:rPr>
          <w:lang w:val="cs-CZ"/>
        </w:rPr>
        <w:instrText>Pecham:</w:instrText>
      </w:r>
      <w:r>
        <w:rPr>
          <w:rStyle w:val="CitaceChar"/>
          <w:i/>
        </w:rPr>
        <w:instrText>Quaestiones tractantes De anima</w:instrText>
      </w:r>
      <w:r>
        <w:rPr>
          <w:rStyle w:val="CitaceChar"/>
        </w:rPr>
        <w:instrText xml:space="preserve"> </w:instrText>
      </w:r>
      <w:r>
        <w:rPr>
          <w:rStyle w:val="CitaceChar"/>
          <w:lang w:val="cs-CZ"/>
        </w:rPr>
        <w:instrText>84</w:instrText>
      </w:r>
      <w:r>
        <w:rPr>
          <w:rStyle w:val="CitaceChar"/>
        </w:rPr>
        <w:instrText>.</w:instrText>
      </w:r>
      <w:r>
        <w:rPr>
          <w:rStyle w:val="CitaceChar"/>
          <w:lang w:val="cs-CZ"/>
        </w:rPr>
        <w:instrText>13</w:instrText>
      </w:r>
      <w:r w:rsidRPr="00F1645C">
        <w:rPr>
          <w:rStyle w:val="CitaceChar"/>
        </w:rPr>
        <w:instrText>‒</w:instrText>
      </w:r>
      <w:r>
        <w:rPr>
          <w:rStyle w:val="CitaceChar"/>
          <w:lang w:val="cs-CZ"/>
        </w:rPr>
        <w:instrText>14</w:instrText>
      </w:r>
      <w:r>
        <w:instrText xml:space="preserve">" </w:instrText>
      </w:r>
      <w:r>
        <w:rPr>
          <w:rStyle w:val="CitaceChar"/>
        </w:rPr>
        <w:fldChar w:fldCharType="end"/>
      </w:r>
      <w:r>
        <w:t>)</w:t>
      </w:r>
    </w:p>
  </w:footnote>
  <w:footnote w:id="96">
    <w:p w:rsidR="00971E82" w:rsidRPr="00832A6B" w:rsidRDefault="00971E82" w:rsidP="08163013">
      <w:pPr>
        <w:pStyle w:val="Textpoznpodarou"/>
        <w:rPr>
          <w:lang w:val="cs-CZ"/>
        </w:rPr>
      </w:pPr>
      <w:r>
        <w:rPr>
          <w:rStyle w:val="Znakapoznpodarou"/>
        </w:rPr>
        <w:footnoteRef/>
      </w:r>
      <w:r>
        <w:t xml:space="preserve"> </w:t>
      </w:r>
      <w:r w:rsidRPr="00273106">
        <w:rPr>
          <w:noProof/>
        </w:rPr>
        <w:t xml:space="preserve">„Dico </w:t>
      </w:r>
      <w:r w:rsidRPr="00273106">
        <w:rPr>
          <w:noProof/>
          <w:szCs w:val="16"/>
        </w:rPr>
        <w:t xml:space="preserve">imaginariam quae </w:t>
      </w:r>
      <w:r w:rsidRPr="00273106">
        <w:rPr>
          <w:noProof/>
          <w:szCs w:val="14"/>
        </w:rPr>
        <w:t xml:space="preserve">imprimitur </w:t>
      </w:r>
      <w:r w:rsidRPr="00273106">
        <w:rPr>
          <w:noProof/>
          <w:szCs w:val="12"/>
        </w:rPr>
        <w:t xml:space="preserve">in </w:t>
      </w:r>
      <w:r w:rsidRPr="00273106">
        <w:rPr>
          <w:noProof/>
          <w:szCs w:val="14"/>
        </w:rPr>
        <w:t xml:space="preserve">sensu, </w:t>
      </w:r>
      <w:r w:rsidRPr="00273106">
        <w:rPr>
          <w:noProof/>
        </w:rPr>
        <w:t xml:space="preserve">deinde </w:t>
      </w:r>
      <w:r w:rsidRPr="00273106">
        <w:rPr>
          <w:noProof/>
          <w:szCs w:val="12"/>
        </w:rPr>
        <w:t xml:space="preserve">in spiritu. </w:t>
      </w:r>
      <w:r w:rsidRPr="00273106">
        <w:rPr>
          <w:noProof/>
          <w:szCs w:val="16"/>
        </w:rPr>
        <w:t xml:space="preserve">Per </w:t>
      </w:r>
      <w:r w:rsidRPr="00273106">
        <w:rPr>
          <w:noProof/>
          <w:szCs w:val="18"/>
        </w:rPr>
        <w:t xml:space="preserve">quam </w:t>
      </w:r>
      <w:r w:rsidRPr="00273106">
        <w:rPr>
          <w:noProof/>
          <w:szCs w:val="14"/>
        </w:rPr>
        <w:t xml:space="preserve">res videtur praesens, </w:t>
      </w:r>
      <w:r w:rsidRPr="00273106">
        <w:rPr>
          <w:noProof/>
          <w:szCs w:val="12"/>
        </w:rPr>
        <w:t xml:space="preserve">et </w:t>
      </w:r>
      <w:r w:rsidRPr="00273106">
        <w:rPr>
          <w:noProof/>
          <w:szCs w:val="13"/>
        </w:rPr>
        <w:t xml:space="preserve">cogitatur </w:t>
      </w:r>
      <w:r w:rsidRPr="00273106">
        <w:rPr>
          <w:noProof/>
          <w:szCs w:val="14"/>
        </w:rPr>
        <w:t xml:space="preserve">absens. Et </w:t>
      </w:r>
      <w:r w:rsidRPr="00273106">
        <w:rPr>
          <w:noProof/>
          <w:szCs w:val="13"/>
        </w:rPr>
        <w:t xml:space="preserve">re </w:t>
      </w:r>
      <w:r w:rsidRPr="00273106">
        <w:rPr>
          <w:noProof/>
        </w:rPr>
        <w:t xml:space="preserve">praesente </w:t>
      </w:r>
      <w:r w:rsidRPr="00273106">
        <w:rPr>
          <w:noProof/>
          <w:szCs w:val="13"/>
        </w:rPr>
        <w:t xml:space="preserve">est </w:t>
      </w:r>
      <w:r w:rsidRPr="00273106">
        <w:rPr>
          <w:noProof/>
          <w:szCs w:val="12"/>
        </w:rPr>
        <w:t xml:space="preserve">ratio </w:t>
      </w:r>
      <w:r w:rsidRPr="00273106">
        <w:rPr>
          <w:noProof/>
        </w:rPr>
        <w:t xml:space="preserve">cognoscendi </w:t>
      </w:r>
      <w:r w:rsidRPr="00273106">
        <w:rPr>
          <w:noProof/>
          <w:szCs w:val="12"/>
        </w:rPr>
        <w:t xml:space="preserve">sensibiliter, </w:t>
      </w:r>
      <w:r w:rsidRPr="00273106">
        <w:rPr>
          <w:noProof/>
          <w:szCs w:val="13"/>
        </w:rPr>
        <w:t xml:space="preserve">re </w:t>
      </w:r>
      <w:r w:rsidRPr="00273106">
        <w:rPr>
          <w:noProof/>
        </w:rPr>
        <w:t xml:space="preserve">absente per </w:t>
      </w:r>
      <w:r w:rsidRPr="00273106">
        <w:rPr>
          <w:noProof/>
          <w:szCs w:val="18"/>
        </w:rPr>
        <w:t xml:space="preserve">motum </w:t>
      </w:r>
      <w:r w:rsidRPr="00273106">
        <w:rPr>
          <w:noProof/>
        </w:rPr>
        <w:t xml:space="preserve">a sensu factum </w:t>
      </w:r>
      <w:r w:rsidRPr="00273106">
        <w:rPr>
          <w:noProof/>
          <w:szCs w:val="13"/>
        </w:rPr>
        <w:t xml:space="preserve">est </w:t>
      </w:r>
      <w:r w:rsidRPr="00273106">
        <w:rPr>
          <w:noProof/>
          <w:szCs w:val="12"/>
        </w:rPr>
        <w:t xml:space="preserve">ratio </w:t>
      </w:r>
      <w:r w:rsidRPr="00273106">
        <w:rPr>
          <w:noProof/>
        </w:rPr>
        <w:t xml:space="preserve">cognoscendi </w:t>
      </w:r>
      <w:r w:rsidRPr="00273106">
        <w:rPr>
          <w:noProof/>
          <w:szCs w:val="12"/>
        </w:rPr>
        <w:t xml:space="preserve">spiritualiter </w:t>
      </w:r>
      <w:r w:rsidRPr="00273106">
        <w:rPr>
          <w:noProof/>
          <w:szCs w:val="13"/>
        </w:rPr>
        <w:t xml:space="preserve">vel </w:t>
      </w:r>
      <w:r w:rsidRPr="00273106">
        <w:rPr>
          <w:noProof/>
          <w:szCs w:val="14"/>
        </w:rPr>
        <w:t xml:space="preserve">imaginarie. </w:t>
      </w:r>
      <w:r w:rsidRPr="00273106">
        <w:rPr>
          <w:noProof/>
        </w:rPr>
        <w:t xml:space="preserve">Et </w:t>
      </w:r>
      <w:r w:rsidRPr="00273106">
        <w:rPr>
          <w:noProof/>
          <w:szCs w:val="13"/>
        </w:rPr>
        <w:t xml:space="preserve">haec </w:t>
      </w:r>
      <w:r w:rsidRPr="00273106">
        <w:rPr>
          <w:noProof/>
          <w:szCs w:val="14"/>
        </w:rPr>
        <w:t xml:space="preserve">species </w:t>
      </w:r>
      <w:r w:rsidRPr="00273106">
        <w:rPr>
          <w:noProof/>
          <w:szCs w:val="11"/>
        </w:rPr>
        <w:t>ita</w:t>
      </w:r>
      <w:r w:rsidRPr="00273106">
        <w:rPr>
          <w:noProof/>
          <w:szCs w:val="9"/>
        </w:rPr>
        <w:t xml:space="preserve"> </w:t>
      </w:r>
      <w:r w:rsidRPr="00273106">
        <w:rPr>
          <w:noProof/>
          <w:szCs w:val="13"/>
        </w:rPr>
        <w:t xml:space="preserve">est </w:t>
      </w:r>
      <w:r w:rsidRPr="00273106">
        <w:rPr>
          <w:noProof/>
          <w:szCs w:val="12"/>
        </w:rPr>
        <w:t xml:space="preserve">in </w:t>
      </w:r>
      <w:r w:rsidRPr="00273106">
        <w:rPr>
          <w:noProof/>
        </w:rPr>
        <w:t xml:space="preserve">anima, </w:t>
      </w:r>
      <w:r w:rsidRPr="00273106">
        <w:rPr>
          <w:noProof/>
          <w:szCs w:val="16"/>
        </w:rPr>
        <w:t xml:space="preserve">quod </w:t>
      </w:r>
      <w:r w:rsidRPr="00273106">
        <w:rPr>
          <w:noProof/>
          <w:szCs w:val="17"/>
        </w:rPr>
        <w:t xml:space="preserve">non </w:t>
      </w:r>
      <w:r w:rsidRPr="00273106">
        <w:rPr>
          <w:noProof/>
          <w:szCs w:val="14"/>
        </w:rPr>
        <w:t xml:space="preserve">res cuius </w:t>
      </w:r>
      <w:r w:rsidRPr="00273106">
        <w:rPr>
          <w:noProof/>
          <w:szCs w:val="11"/>
        </w:rPr>
        <w:t xml:space="preserve">est. </w:t>
      </w:r>
      <w:r w:rsidRPr="00273106">
        <w:rPr>
          <w:noProof/>
          <w:szCs w:val="14"/>
        </w:rPr>
        <w:t xml:space="preserve">Lapis </w:t>
      </w:r>
      <w:r w:rsidRPr="00273106">
        <w:rPr>
          <w:noProof/>
          <w:szCs w:val="16"/>
        </w:rPr>
        <w:t xml:space="preserve">enim </w:t>
      </w:r>
      <w:r w:rsidRPr="00273106">
        <w:rPr>
          <w:noProof/>
          <w:szCs w:val="17"/>
        </w:rPr>
        <w:t xml:space="preserve">non </w:t>
      </w:r>
      <w:r w:rsidRPr="00273106">
        <w:rPr>
          <w:noProof/>
          <w:szCs w:val="13"/>
        </w:rPr>
        <w:t xml:space="preserve">est in </w:t>
      </w:r>
      <w:r w:rsidRPr="00273106">
        <w:rPr>
          <w:noProof/>
        </w:rPr>
        <w:t xml:space="preserve">anima, sed </w:t>
      </w:r>
      <w:r w:rsidRPr="00273106">
        <w:rPr>
          <w:noProof/>
          <w:szCs w:val="14"/>
        </w:rPr>
        <w:t xml:space="preserve">species </w:t>
      </w:r>
      <w:r w:rsidRPr="00273106">
        <w:rPr>
          <w:noProof/>
          <w:szCs w:val="12"/>
        </w:rPr>
        <w:t xml:space="preserve">lapidis. </w:t>
      </w:r>
      <w:r w:rsidRPr="00273106">
        <w:rPr>
          <w:noProof/>
          <w:szCs w:val="13"/>
        </w:rPr>
        <w:t xml:space="preserve">Alia est </w:t>
      </w:r>
      <w:r w:rsidRPr="00273106">
        <w:rPr>
          <w:noProof/>
          <w:szCs w:val="14"/>
        </w:rPr>
        <w:t xml:space="preserve">species </w:t>
      </w:r>
      <w:r w:rsidRPr="00273106">
        <w:rPr>
          <w:noProof/>
          <w:szCs w:val="12"/>
        </w:rPr>
        <w:t xml:space="preserve">intellectualis, </w:t>
      </w:r>
      <w:r w:rsidRPr="00273106">
        <w:rPr>
          <w:noProof/>
          <w:szCs w:val="13"/>
        </w:rPr>
        <w:t xml:space="preserve">sive </w:t>
      </w:r>
      <w:r w:rsidRPr="00273106">
        <w:rPr>
          <w:noProof/>
          <w:szCs w:val="16"/>
        </w:rPr>
        <w:t xml:space="preserve">quae </w:t>
      </w:r>
      <w:r w:rsidRPr="00273106">
        <w:rPr>
          <w:noProof/>
          <w:szCs w:val="13"/>
        </w:rPr>
        <w:t xml:space="preserve">est in acie </w:t>
      </w:r>
      <w:r w:rsidRPr="00273106">
        <w:rPr>
          <w:noProof/>
          <w:szCs w:val="12"/>
        </w:rPr>
        <w:t xml:space="preserve">intelligentiae, </w:t>
      </w:r>
      <w:r w:rsidRPr="00273106">
        <w:rPr>
          <w:noProof/>
          <w:szCs w:val="13"/>
        </w:rPr>
        <w:t xml:space="preserve">sive </w:t>
      </w:r>
      <w:r w:rsidRPr="00273106">
        <w:rPr>
          <w:noProof/>
          <w:szCs w:val="16"/>
        </w:rPr>
        <w:t xml:space="preserve">quae </w:t>
      </w:r>
      <w:r w:rsidRPr="00273106">
        <w:rPr>
          <w:noProof/>
          <w:szCs w:val="13"/>
        </w:rPr>
        <w:t xml:space="preserve">est in </w:t>
      </w:r>
      <w:r w:rsidRPr="00273106">
        <w:rPr>
          <w:noProof/>
        </w:rPr>
        <w:t xml:space="preserve">thesauro </w:t>
      </w:r>
      <w:r w:rsidRPr="00273106">
        <w:rPr>
          <w:noProof/>
          <w:szCs w:val="12"/>
        </w:rPr>
        <w:t xml:space="preserve">intellectualis </w:t>
      </w:r>
      <w:r w:rsidRPr="00273106">
        <w:rPr>
          <w:noProof/>
          <w:szCs w:val="16"/>
        </w:rPr>
        <w:t>memoriae.“ (</w:t>
      </w:r>
      <w:r>
        <w:rPr>
          <w:i/>
          <w:noProof/>
        </w:rPr>
        <w:t>Quaestiones tractantes De anima</w:t>
      </w:r>
      <w:r w:rsidRPr="00273106">
        <w:rPr>
          <w:noProof/>
        </w:rPr>
        <w:t>, q. 9, resp.; ed. Spettmann, p. 85.6‒13</w:t>
      </w:r>
      <w:r>
        <w:rPr>
          <w:rStyle w:val="CitaceChar"/>
        </w:rPr>
        <w:fldChar w:fldCharType="begin"/>
      </w:r>
      <w:r>
        <w:instrText xml:space="preserve"> XE "</w:instrText>
      </w:r>
      <w:r>
        <w:rPr>
          <w:lang w:val="cs-CZ"/>
        </w:rPr>
        <w:instrText>Pecham:</w:instrText>
      </w:r>
      <w:r>
        <w:rPr>
          <w:rStyle w:val="CitaceChar"/>
          <w:i/>
        </w:rPr>
        <w:instrText>Quaestiones tractantes De anima</w:instrText>
      </w:r>
      <w:r>
        <w:rPr>
          <w:rStyle w:val="CitaceChar"/>
        </w:rPr>
        <w:instrText xml:space="preserve"> </w:instrText>
      </w:r>
      <w:r>
        <w:rPr>
          <w:rStyle w:val="CitaceChar"/>
          <w:lang w:val="cs-CZ"/>
        </w:rPr>
        <w:instrText>85</w:instrText>
      </w:r>
      <w:r>
        <w:rPr>
          <w:rStyle w:val="CitaceChar"/>
        </w:rPr>
        <w:instrText>.</w:instrText>
      </w:r>
      <w:r>
        <w:rPr>
          <w:rStyle w:val="CitaceChar"/>
          <w:lang w:val="cs-CZ"/>
        </w:rPr>
        <w:instrText>6</w:instrText>
      </w:r>
      <w:r w:rsidRPr="00F1645C">
        <w:rPr>
          <w:rStyle w:val="CitaceChar"/>
        </w:rPr>
        <w:instrText>‒</w:instrText>
      </w:r>
      <w:r>
        <w:rPr>
          <w:rStyle w:val="CitaceChar"/>
          <w:lang w:val="cs-CZ"/>
        </w:rPr>
        <w:instrText>13</w:instrText>
      </w:r>
      <w:r>
        <w:instrText xml:space="preserve">" </w:instrText>
      </w:r>
      <w:r>
        <w:rPr>
          <w:rStyle w:val="CitaceChar"/>
        </w:rPr>
        <w:fldChar w:fldCharType="end"/>
      </w:r>
      <w:r w:rsidRPr="00273106">
        <w:rPr>
          <w:noProof/>
          <w:szCs w:val="16"/>
        </w:rPr>
        <w:t>)</w:t>
      </w:r>
    </w:p>
  </w:footnote>
  <w:footnote w:id="97">
    <w:p w:rsidR="00971E82" w:rsidRPr="008D4005" w:rsidRDefault="00971E82" w:rsidP="08163013">
      <w:pPr>
        <w:pStyle w:val="Textpoznpodarou"/>
        <w:rPr>
          <w:lang w:val="cs-CZ"/>
        </w:rPr>
      </w:pPr>
      <w:r>
        <w:rPr>
          <w:rStyle w:val="Znakapoznpodarou"/>
        </w:rPr>
        <w:footnoteRef/>
      </w:r>
      <w:r>
        <w:t xml:space="preserve"> „</w:t>
      </w:r>
      <w:r w:rsidRPr="00AB7F13">
        <w:t>Alia est species intellectualis, sive quae est in acie intelligentiae, sive quae est in thesauro intellectualis memoriae. Et haec intenditur sex modis. Est enim quaedam secundum quosdam species abstracta, quaedam innata, quaedam impressa, quaedam expressa, quaedam relicta, quaedam collecta.</w:t>
      </w:r>
      <w:r>
        <w:t>“ (</w:t>
      </w:r>
      <w:r>
        <w:rPr>
          <w:i/>
        </w:rPr>
        <w:t>Quaestiones tractantes De anima</w:t>
      </w:r>
      <w:r>
        <w:t>, q. 8, resp.; ed. Spettmann,</w:t>
      </w:r>
      <w:r w:rsidRPr="00C86FE0">
        <w:t xml:space="preserve"> </w:t>
      </w:r>
      <w:r>
        <w:t>p. 85.12‒16</w:t>
      </w:r>
      <w:r>
        <w:fldChar w:fldCharType="begin"/>
      </w:r>
      <w:r>
        <w:instrText xml:space="preserve"> XE "</w:instrText>
      </w:r>
      <w:r>
        <w:rPr>
          <w:lang w:val="cs-CZ"/>
        </w:rPr>
        <w:instrText>Pecham:</w:instrText>
      </w:r>
      <w:r>
        <w:rPr>
          <w:i/>
        </w:rPr>
        <w:instrText>Quaestiones tractantes De anima</w:instrText>
      </w:r>
      <w:r w:rsidRPr="009F593A">
        <w:instrText xml:space="preserve"> 85.12‒16</w:instrText>
      </w:r>
      <w:r>
        <w:instrText xml:space="preserve">" </w:instrText>
      </w:r>
      <w:r>
        <w:fldChar w:fldCharType="end"/>
      </w:r>
      <w:r>
        <w:t>)</w:t>
      </w:r>
    </w:p>
  </w:footnote>
  <w:footnote w:id="98">
    <w:p w:rsidR="00971E82" w:rsidRPr="009C40B2" w:rsidRDefault="00971E82" w:rsidP="08163013">
      <w:pPr>
        <w:pStyle w:val="Textpoznpodarou"/>
      </w:pPr>
      <w:r>
        <w:rPr>
          <w:rStyle w:val="Znakapoznpodarou"/>
        </w:rPr>
        <w:footnoteRef/>
      </w:r>
      <w:r>
        <w:t xml:space="preserve"> „Ad septimum dicendum</w:t>
      </w:r>
      <w:r w:rsidRPr="009C40B2">
        <w:t xml:space="preserve"> quod universale non est in anima, sed similitudo eius; sed sicut singulare in natura non est sine universali, ita nec species singularis sine specie universalis. Recipit ergo intellectus species particularium. Aliter nunquam praedicaret universale de singulari. Cognoscit ergo particularia, sed non cognoscit ea per intellectum hic et nunc.</w:t>
      </w:r>
      <w:r>
        <w:t>“ (</w:t>
      </w:r>
      <w:r>
        <w:rPr>
          <w:i/>
        </w:rPr>
        <w:t>Quaestiones tractantes De anima</w:t>
      </w:r>
      <w:r>
        <w:t xml:space="preserve">, </w:t>
      </w:r>
      <w:r w:rsidRPr="0002035E">
        <w:rPr>
          <w:szCs w:val="12"/>
        </w:rPr>
        <w:t>q</w:t>
      </w:r>
      <w:r>
        <w:rPr>
          <w:szCs w:val="12"/>
        </w:rPr>
        <w:t xml:space="preserve">. 4, resp., ad 7; </w:t>
      </w:r>
      <w:r>
        <w:t>ed. Spettmann</w:t>
      </w:r>
      <w:r>
        <w:rPr>
          <w:szCs w:val="12"/>
        </w:rPr>
        <w:t xml:space="preserve">, </w:t>
      </w:r>
      <w:r>
        <w:rPr>
          <w:szCs w:val="14"/>
        </w:rPr>
        <w:t>p. 54.32‒37</w:t>
      </w:r>
      <w:r>
        <w:rPr>
          <w:szCs w:val="14"/>
        </w:rPr>
        <w:fldChar w:fldCharType="begin"/>
      </w:r>
      <w:r>
        <w:instrText xml:space="preserve"> XE "</w:instrText>
      </w:r>
      <w:r>
        <w:rPr>
          <w:lang w:val="cs-CZ"/>
        </w:rPr>
        <w:instrText>Pecham:</w:instrText>
      </w:r>
      <w:r>
        <w:rPr>
          <w:i/>
        </w:rPr>
        <w:instrText>Quaestiones tractantes De anima</w:instrText>
      </w:r>
      <w:r>
        <w:rPr>
          <w:i/>
          <w:lang w:val="cs-CZ"/>
        </w:rPr>
        <w:instrText xml:space="preserve"> </w:instrText>
      </w:r>
      <w:r w:rsidRPr="00C67DD4">
        <w:rPr>
          <w:szCs w:val="14"/>
        </w:rPr>
        <w:instrText>54.32‒37</w:instrText>
      </w:r>
      <w:r>
        <w:instrText xml:space="preserve">" </w:instrText>
      </w:r>
      <w:r>
        <w:rPr>
          <w:szCs w:val="14"/>
        </w:rPr>
        <w:fldChar w:fldCharType="end"/>
      </w:r>
      <w:r>
        <w:t>)</w:t>
      </w:r>
    </w:p>
  </w:footnote>
  <w:footnote w:id="99">
    <w:p w:rsidR="00971E82" w:rsidRPr="00524224" w:rsidRDefault="00971E82" w:rsidP="08163013">
      <w:pPr>
        <w:pStyle w:val="Textpoznpodarou"/>
      </w:pPr>
      <w:r>
        <w:rPr>
          <w:rStyle w:val="Znakapoznpodarou"/>
        </w:rPr>
        <w:footnoteRef/>
      </w:r>
      <w:r>
        <w:t xml:space="preserve"> „</w:t>
      </w:r>
      <w:r w:rsidRPr="00524224">
        <w:rPr>
          <w:szCs w:val="14"/>
        </w:rPr>
        <w:t xml:space="preserve">Et ideo </w:t>
      </w:r>
      <w:r w:rsidRPr="00524224">
        <w:rPr>
          <w:szCs w:val="15"/>
        </w:rPr>
        <w:t xml:space="preserve">per </w:t>
      </w:r>
      <w:r w:rsidRPr="00524224">
        <w:rPr>
          <w:szCs w:val="14"/>
        </w:rPr>
        <w:t xml:space="preserve">inclinationem essentiae potentiae superiores </w:t>
      </w:r>
      <w:r w:rsidRPr="00524224">
        <w:rPr>
          <w:szCs w:val="15"/>
        </w:rPr>
        <w:t xml:space="preserve">partim </w:t>
      </w:r>
      <w:r>
        <w:rPr>
          <w:szCs w:val="13"/>
        </w:rPr>
        <w:t>inclina</w:t>
      </w:r>
      <w:r w:rsidRPr="00524224">
        <w:rPr>
          <w:szCs w:val="13"/>
        </w:rPr>
        <w:t xml:space="preserve">ntur </w:t>
      </w:r>
      <w:r w:rsidRPr="00524224">
        <w:rPr>
          <w:szCs w:val="18"/>
        </w:rPr>
        <w:t xml:space="preserve">cum </w:t>
      </w:r>
      <w:r w:rsidRPr="00524224">
        <w:rPr>
          <w:szCs w:val="15"/>
        </w:rPr>
        <w:t xml:space="preserve">sua </w:t>
      </w:r>
      <w:r w:rsidRPr="00524224">
        <w:rPr>
          <w:szCs w:val="13"/>
        </w:rPr>
        <w:t xml:space="preserve">radice; </w:t>
      </w:r>
      <w:r w:rsidRPr="00524224">
        <w:rPr>
          <w:szCs w:val="16"/>
        </w:rPr>
        <w:t xml:space="preserve">quamvis </w:t>
      </w:r>
      <w:r w:rsidRPr="00524224">
        <w:rPr>
          <w:szCs w:val="13"/>
        </w:rPr>
        <w:t xml:space="preserve">nulla </w:t>
      </w:r>
      <w:r w:rsidRPr="00524224">
        <w:rPr>
          <w:szCs w:val="14"/>
        </w:rPr>
        <w:t xml:space="preserve">potentia </w:t>
      </w:r>
      <w:r w:rsidRPr="00524224">
        <w:rPr>
          <w:szCs w:val="13"/>
        </w:rPr>
        <w:t xml:space="preserve">possit </w:t>
      </w:r>
      <w:r w:rsidRPr="00524224">
        <w:rPr>
          <w:szCs w:val="15"/>
        </w:rPr>
        <w:t xml:space="preserve">aliam </w:t>
      </w:r>
      <w:r w:rsidRPr="00524224">
        <w:rPr>
          <w:szCs w:val="13"/>
        </w:rPr>
        <w:t xml:space="preserve">attrahere, </w:t>
      </w:r>
      <w:r w:rsidRPr="00524224">
        <w:rPr>
          <w:szCs w:val="14"/>
        </w:rPr>
        <w:t xml:space="preserve">quia </w:t>
      </w:r>
      <w:r w:rsidRPr="00524224">
        <w:rPr>
          <w:szCs w:val="12"/>
        </w:rPr>
        <w:t xml:space="preserve">cuilibet </w:t>
      </w:r>
      <w:r w:rsidRPr="00524224">
        <w:rPr>
          <w:szCs w:val="14"/>
        </w:rPr>
        <w:t xml:space="preserve">praescriptus </w:t>
      </w:r>
      <w:r w:rsidRPr="00524224">
        <w:rPr>
          <w:szCs w:val="13"/>
        </w:rPr>
        <w:t xml:space="preserve">est </w:t>
      </w:r>
      <w:r w:rsidRPr="00524224">
        <w:rPr>
          <w:szCs w:val="18"/>
        </w:rPr>
        <w:t xml:space="preserve">modus </w:t>
      </w:r>
      <w:r w:rsidRPr="00524224">
        <w:rPr>
          <w:szCs w:val="15"/>
        </w:rPr>
        <w:t xml:space="preserve">suus </w:t>
      </w:r>
      <w:r w:rsidRPr="00524224">
        <w:rPr>
          <w:szCs w:val="13"/>
        </w:rPr>
        <w:t xml:space="preserve">naturalis, ut video, </w:t>
      </w:r>
      <w:r w:rsidRPr="00524224">
        <w:rPr>
          <w:szCs w:val="16"/>
        </w:rPr>
        <w:t xml:space="preserve">quod </w:t>
      </w:r>
      <w:r w:rsidRPr="00524224">
        <w:rPr>
          <w:szCs w:val="14"/>
        </w:rPr>
        <w:t xml:space="preserve">propter </w:t>
      </w:r>
      <w:r w:rsidRPr="00524224">
        <w:rPr>
          <w:szCs w:val="15"/>
        </w:rPr>
        <w:t xml:space="preserve">cognitionem </w:t>
      </w:r>
      <w:r w:rsidRPr="00524224">
        <w:rPr>
          <w:szCs w:val="12"/>
        </w:rPr>
        <w:t xml:space="preserve">uniri </w:t>
      </w:r>
      <w:r w:rsidRPr="00524224">
        <w:rPr>
          <w:szCs w:val="13"/>
        </w:rPr>
        <w:t xml:space="preserve">appetat, </w:t>
      </w:r>
      <w:r w:rsidRPr="00524224">
        <w:rPr>
          <w:szCs w:val="18"/>
        </w:rPr>
        <w:t xml:space="preserve">cum </w:t>
      </w:r>
      <w:r w:rsidRPr="00524224">
        <w:rPr>
          <w:szCs w:val="14"/>
        </w:rPr>
        <w:t xml:space="preserve">limpidius </w:t>
      </w:r>
      <w:r w:rsidRPr="00524224">
        <w:rPr>
          <w:szCs w:val="15"/>
        </w:rPr>
        <w:t xml:space="preserve">cognoscat </w:t>
      </w:r>
      <w:r w:rsidRPr="00524224">
        <w:rPr>
          <w:szCs w:val="14"/>
        </w:rPr>
        <w:t xml:space="preserve">separata </w:t>
      </w:r>
      <w:r w:rsidRPr="00524224">
        <w:rPr>
          <w:szCs w:val="18"/>
        </w:rPr>
        <w:t xml:space="preserve">quam </w:t>
      </w:r>
      <w:r w:rsidRPr="00524224">
        <w:rPr>
          <w:szCs w:val="15"/>
        </w:rPr>
        <w:t xml:space="preserve">coniuncta </w:t>
      </w:r>
      <w:r w:rsidRPr="00524224">
        <w:rPr>
          <w:szCs w:val="14"/>
        </w:rPr>
        <w:t xml:space="preserve">corpori anima. </w:t>
      </w:r>
      <w:r w:rsidRPr="00524224">
        <w:rPr>
          <w:szCs w:val="16"/>
        </w:rPr>
        <w:t xml:space="preserve">Sed </w:t>
      </w:r>
      <w:r w:rsidRPr="00524224">
        <w:rPr>
          <w:szCs w:val="14"/>
        </w:rPr>
        <w:t xml:space="preserve">praedicta </w:t>
      </w:r>
      <w:r w:rsidRPr="00524224">
        <w:rPr>
          <w:szCs w:val="17"/>
        </w:rPr>
        <w:t xml:space="preserve">non </w:t>
      </w:r>
      <w:r w:rsidRPr="00524224">
        <w:rPr>
          <w:szCs w:val="14"/>
        </w:rPr>
        <w:t xml:space="preserve">potest </w:t>
      </w:r>
      <w:r w:rsidRPr="00524224">
        <w:rPr>
          <w:szCs w:val="15"/>
        </w:rPr>
        <w:t xml:space="preserve">habere </w:t>
      </w:r>
      <w:r w:rsidRPr="00524224">
        <w:rPr>
          <w:szCs w:val="12"/>
        </w:rPr>
        <w:t xml:space="preserve">nisi in </w:t>
      </w:r>
      <w:r w:rsidRPr="00524224">
        <w:rPr>
          <w:szCs w:val="14"/>
        </w:rPr>
        <w:t>corpore.</w:t>
      </w:r>
      <w:r>
        <w:rPr>
          <w:szCs w:val="14"/>
        </w:rPr>
        <w:t>“ (</w:t>
      </w:r>
      <w:r>
        <w:rPr>
          <w:i/>
        </w:rPr>
        <w:t>Quaestiones tractantes De anima</w:t>
      </w:r>
      <w:r>
        <w:t xml:space="preserve">, </w:t>
      </w:r>
      <w:r w:rsidRPr="0002035E">
        <w:rPr>
          <w:szCs w:val="12"/>
        </w:rPr>
        <w:t>q</w:t>
      </w:r>
      <w:r>
        <w:rPr>
          <w:szCs w:val="12"/>
        </w:rPr>
        <w:t xml:space="preserve">. 11, resp.; </w:t>
      </w:r>
      <w:r>
        <w:t>ed. Spettmann</w:t>
      </w:r>
      <w:r>
        <w:rPr>
          <w:szCs w:val="12"/>
        </w:rPr>
        <w:t xml:space="preserve">, </w:t>
      </w:r>
      <w:r>
        <w:rPr>
          <w:szCs w:val="14"/>
        </w:rPr>
        <w:t>p. 102.15‒23</w:t>
      </w:r>
      <w:r>
        <w:rPr>
          <w:szCs w:val="14"/>
        </w:rPr>
        <w:fldChar w:fldCharType="begin"/>
      </w:r>
      <w:r>
        <w:instrText xml:space="preserve"> XE "</w:instrText>
      </w:r>
      <w:r>
        <w:rPr>
          <w:lang w:val="cs-CZ"/>
        </w:rPr>
        <w:instrText>Pecham:</w:instrText>
      </w:r>
      <w:r>
        <w:rPr>
          <w:i/>
        </w:rPr>
        <w:instrText>Quaestiones tractantes De anima</w:instrText>
      </w:r>
      <w:r>
        <w:rPr>
          <w:i/>
          <w:lang w:val="cs-CZ"/>
        </w:rPr>
        <w:instrText xml:space="preserve"> </w:instrText>
      </w:r>
      <w:r>
        <w:rPr>
          <w:szCs w:val="14"/>
          <w:lang w:val="cs-CZ"/>
        </w:rPr>
        <w:instrText>102</w:instrText>
      </w:r>
      <w:r>
        <w:rPr>
          <w:szCs w:val="14"/>
        </w:rPr>
        <w:instrText>.</w:instrText>
      </w:r>
      <w:r>
        <w:rPr>
          <w:szCs w:val="14"/>
          <w:lang w:val="cs-CZ"/>
        </w:rPr>
        <w:instrText>15</w:instrText>
      </w:r>
      <w:r>
        <w:rPr>
          <w:szCs w:val="14"/>
        </w:rPr>
        <w:instrText>‒</w:instrText>
      </w:r>
      <w:r>
        <w:rPr>
          <w:szCs w:val="14"/>
          <w:lang w:val="cs-CZ"/>
        </w:rPr>
        <w:instrText>23</w:instrText>
      </w:r>
      <w:r>
        <w:instrText xml:space="preserve">" </w:instrText>
      </w:r>
      <w:r>
        <w:rPr>
          <w:szCs w:val="14"/>
        </w:rPr>
        <w:fldChar w:fldCharType="end"/>
      </w:r>
      <w:r>
        <w:rPr>
          <w:szCs w:val="14"/>
        </w:rPr>
        <w:t xml:space="preserve">) </w:t>
      </w:r>
    </w:p>
  </w:footnote>
  <w:footnote w:id="100">
    <w:p w:rsidR="00971E82" w:rsidRPr="00E10451" w:rsidRDefault="00971E82" w:rsidP="08163013">
      <w:pPr>
        <w:pStyle w:val="Textpoznpodarou"/>
        <w:rPr>
          <w:lang w:val="cs-CZ"/>
        </w:rPr>
      </w:pPr>
      <w:r>
        <w:rPr>
          <w:rStyle w:val="Znakapoznpodarou"/>
        </w:rPr>
        <w:footnoteRef/>
      </w:r>
      <w:r>
        <w:t xml:space="preserve"> </w:t>
      </w:r>
      <w:r w:rsidRPr="00273106">
        <w:rPr>
          <w:noProof/>
        </w:rPr>
        <w:t xml:space="preserve">„Igitur in </w:t>
      </w:r>
      <w:r w:rsidRPr="00273106">
        <w:rPr>
          <w:noProof/>
          <w:szCs w:val="16"/>
        </w:rPr>
        <w:t xml:space="preserve">omni </w:t>
      </w:r>
      <w:r w:rsidRPr="00273106">
        <w:rPr>
          <w:noProof/>
          <w:szCs w:val="14"/>
        </w:rPr>
        <w:t xml:space="preserve">substantia creata </w:t>
      </w:r>
      <w:r w:rsidRPr="00273106">
        <w:rPr>
          <w:noProof/>
          <w:szCs w:val="16"/>
        </w:rPr>
        <w:t xml:space="preserve">pono </w:t>
      </w:r>
      <w:r w:rsidRPr="00273106">
        <w:rPr>
          <w:noProof/>
          <w:szCs w:val="14"/>
        </w:rPr>
        <w:t xml:space="preserve">substantialem </w:t>
      </w:r>
      <w:r w:rsidRPr="00273106">
        <w:rPr>
          <w:noProof/>
          <w:szCs w:val="15"/>
        </w:rPr>
        <w:t xml:space="preserve">potentiam </w:t>
      </w:r>
      <w:r w:rsidRPr="00273106">
        <w:rPr>
          <w:noProof/>
        </w:rPr>
        <w:t xml:space="preserve">et </w:t>
      </w:r>
      <w:r w:rsidRPr="00273106">
        <w:rPr>
          <w:noProof/>
          <w:szCs w:val="14"/>
        </w:rPr>
        <w:t xml:space="preserve">accidentalem, existimans </w:t>
      </w:r>
      <w:r w:rsidRPr="00273106">
        <w:rPr>
          <w:noProof/>
          <w:szCs w:val="16"/>
        </w:rPr>
        <w:t xml:space="preserve">quod </w:t>
      </w:r>
      <w:r w:rsidRPr="00273106">
        <w:rPr>
          <w:noProof/>
        </w:rPr>
        <w:t xml:space="preserve">sicut </w:t>
      </w:r>
      <w:r w:rsidRPr="00273106">
        <w:rPr>
          <w:noProof/>
          <w:szCs w:val="14"/>
        </w:rPr>
        <w:t xml:space="preserve">accidens </w:t>
      </w:r>
      <w:r w:rsidRPr="00273106">
        <w:rPr>
          <w:noProof/>
          <w:szCs w:val="17"/>
        </w:rPr>
        <w:t xml:space="preserve">non </w:t>
      </w:r>
      <w:r w:rsidRPr="00273106">
        <w:rPr>
          <w:noProof/>
          <w:szCs w:val="13"/>
        </w:rPr>
        <w:t xml:space="preserve">est </w:t>
      </w:r>
      <w:r w:rsidRPr="00273106">
        <w:rPr>
          <w:noProof/>
        </w:rPr>
        <w:t xml:space="preserve">nisi </w:t>
      </w:r>
      <w:r w:rsidRPr="00273106">
        <w:rPr>
          <w:noProof/>
          <w:szCs w:val="16"/>
        </w:rPr>
        <w:t xml:space="preserve">mediante </w:t>
      </w:r>
      <w:r w:rsidRPr="00273106">
        <w:rPr>
          <w:noProof/>
          <w:szCs w:val="13"/>
        </w:rPr>
        <w:t xml:space="preserve">substantia, </w:t>
      </w:r>
      <w:r w:rsidRPr="00273106">
        <w:rPr>
          <w:noProof/>
          <w:szCs w:val="11"/>
        </w:rPr>
        <w:t xml:space="preserve">ita </w:t>
      </w:r>
      <w:r w:rsidRPr="00273106">
        <w:rPr>
          <w:noProof/>
          <w:szCs w:val="16"/>
        </w:rPr>
        <w:t xml:space="preserve">nec </w:t>
      </w:r>
      <w:r w:rsidRPr="00273106">
        <w:rPr>
          <w:noProof/>
          <w:szCs w:val="14"/>
        </w:rPr>
        <w:t xml:space="preserve">operatur </w:t>
      </w:r>
      <w:r w:rsidRPr="00273106">
        <w:rPr>
          <w:noProof/>
        </w:rPr>
        <w:t xml:space="preserve">nisi </w:t>
      </w:r>
      <w:r w:rsidRPr="00273106">
        <w:rPr>
          <w:noProof/>
          <w:szCs w:val="15"/>
        </w:rPr>
        <w:t xml:space="preserve">mediante </w:t>
      </w:r>
      <w:r w:rsidRPr="00273106">
        <w:rPr>
          <w:noProof/>
        </w:rPr>
        <w:t>ea.“ (</w:t>
      </w:r>
      <w:r>
        <w:rPr>
          <w:i/>
          <w:noProof/>
        </w:rPr>
        <w:t>Quaestiones tractantes De anima</w:t>
      </w:r>
      <w:r w:rsidRPr="00273106">
        <w:rPr>
          <w:noProof/>
        </w:rPr>
        <w:t>, q. 31, resp.; ed. Spettmann, p. 203.10‒13</w:t>
      </w:r>
      <w:r>
        <w:rPr>
          <w:szCs w:val="14"/>
        </w:rPr>
        <w:fldChar w:fldCharType="begin"/>
      </w:r>
      <w:r>
        <w:instrText xml:space="preserve"> XE "</w:instrText>
      </w:r>
      <w:r>
        <w:rPr>
          <w:lang w:val="cs-CZ"/>
        </w:rPr>
        <w:instrText>Pecham:</w:instrText>
      </w:r>
      <w:r>
        <w:rPr>
          <w:i/>
        </w:rPr>
        <w:instrText>Quaestiones tractantes De anima</w:instrText>
      </w:r>
      <w:r>
        <w:rPr>
          <w:i/>
          <w:lang w:val="cs-CZ"/>
        </w:rPr>
        <w:instrText xml:space="preserve"> </w:instrText>
      </w:r>
      <w:r>
        <w:rPr>
          <w:szCs w:val="14"/>
          <w:lang w:val="cs-CZ"/>
        </w:rPr>
        <w:instrText>203</w:instrText>
      </w:r>
      <w:r>
        <w:rPr>
          <w:szCs w:val="14"/>
        </w:rPr>
        <w:instrText>.</w:instrText>
      </w:r>
      <w:r>
        <w:rPr>
          <w:szCs w:val="14"/>
          <w:lang w:val="cs-CZ"/>
        </w:rPr>
        <w:instrText>10</w:instrText>
      </w:r>
      <w:r>
        <w:rPr>
          <w:szCs w:val="14"/>
        </w:rPr>
        <w:instrText>‒</w:instrText>
      </w:r>
      <w:r>
        <w:rPr>
          <w:szCs w:val="14"/>
          <w:lang w:val="cs-CZ"/>
        </w:rPr>
        <w:instrText>13</w:instrText>
      </w:r>
      <w:r>
        <w:instrText xml:space="preserve">" </w:instrText>
      </w:r>
      <w:r>
        <w:rPr>
          <w:szCs w:val="14"/>
        </w:rPr>
        <w:fldChar w:fldCharType="end"/>
      </w:r>
      <w:r w:rsidRPr="00273106">
        <w:rPr>
          <w:noProof/>
        </w:rPr>
        <w:t>)</w:t>
      </w:r>
    </w:p>
  </w:footnote>
  <w:footnote w:id="101">
    <w:p w:rsidR="00971E82" w:rsidRPr="000614CB" w:rsidRDefault="00971E82" w:rsidP="08163013">
      <w:pPr>
        <w:pStyle w:val="Textpoznpodarou"/>
      </w:pPr>
      <w:r>
        <w:rPr>
          <w:rStyle w:val="Znakapoznpodarou"/>
        </w:rPr>
        <w:footnoteRef/>
      </w:r>
      <w:r>
        <w:t xml:space="preserve"> Průběh jedné z důležitých debat z roku 1276 máme </w:t>
      </w:r>
      <w:r>
        <w:rPr>
          <w:lang w:val="cs-CZ"/>
        </w:rPr>
        <w:t xml:space="preserve">zaznamenán </w:t>
      </w:r>
      <w:r>
        <w:t xml:space="preserve">z první ruky. Magistr Henry z Gentu zaznamenal v </w:t>
      </w:r>
      <w:r w:rsidRPr="008E58EE">
        <w:rPr>
          <w:i/>
        </w:rPr>
        <w:t>Quodlibet X</w:t>
      </w:r>
      <w:r>
        <w:t xml:space="preserve"> průběh sezení, kterému předsedal papežský legát Simon de Brion za přítomnosti pařížského biskupa Étienna. Brion si vzal stranou váhajícího magistra Henryho (který </w:t>
      </w:r>
      <w:r>
        <w:rPr>
          <w:lang w:val="cs-CZ"/>
        </w:rPr>
        <w:t xml:space="preserve">umírněně obhajoval </w:t>
      </w:r>
      <w:r>
        <w:t>pluralitu forem) a nařídil mu, že musí vyučovat pluralitu substanciálních forem v člověku (Wéber 1991, 115‒18).</w:t>
      </w:r>
    </w:p>
  </w:footnote>
  <w:footnote w:id="102">
    <w:p w:rsidR="00971E82" w:rsidRPr="00982F77" w:rsidRDefault="00971E82" w:rsidP="08163013">
      <w:pPr>
        <w:pStyle w:val="Textpoznpodarou"/>
        <w:rPr>
          <w:lang w:val="cs-CZ"/>
        </w:rPr>
      </w:pPr>
      <w:r>
        <w:rPr>
          <w:rStyle w:val="Znakapoznpodarou"/>
        </w:rPr>
        <w:footnoteRef/>
      </w:r>
      <w:r>
        <w:t xml:space="preserve"> </w:t>
      </w:r>
      <w:r>
        <w:rPr>
          <w:noProof/>
          <w:lang w:val="cs-CZ"/>
        </w:rPr>
        <w:t>„</w:t>
      </w:r>
      <w:r w:rsidRPr="00273106">
        <w:rPr>
          <w:noProof/>
        </w:rPr>
        <w:t>Sed non est anima horum genus, sed totum, partes enim hae animae sunt, sed non ut in quantitate, sed ut in aliqua potestate et virtute.“ (</w:t>
      </w:r>
      <w:r w:rsidRPr="00273106">
        <w:rPr>
          <w:i/>
          <w:noProof/>
        </w:rPr>
        <w:t>Liber de divisione</w:t>
      </w:r>
      <w:r>
        <w:rPr>
          <w:noProof/>
          <w:lang w:val="cs-CZ"/>
        </w:rPr>
        <w:t xml:space="preserve">; </w:t>
      </w:r>
      <w:r>
        <w:rPr>
          <w:noProof/>
        </w:rPr>
        <w:t>PL 64, 888</w:t>
      </w:r>
      <w:r w:rsidRPr="00273106">
        <w:rPr>
          <w:noProof/>
        </w:rPr>
        <w:t>B</w:t>
      </w:r>
      <w:r>
        <w:rPr>
          <w:noProof/>
        </w:rPr>
        <w:fldChar w:fldCharType="begin"/>
      </w:r>
      <w:r>
        <w:instrText xml:space="preserve"> XE "</w:instrText>
      </w:r>
      <w:r>
        <w:rPr>
          <w:lang w:val="cs-CZ"/>
        </w:rPr>
        <w:instrText>Boethius:</w:instrText>
      </w:r>
      <w:r w:rsidRPr="00DF5450">
        <w:rPr>
          <w:i/>
          <w:noProof/>
        </w:rPr>
        <w:instrText>Liber de divisione</w:instrText>
      </w:r>
      <w:r>
        <w:rPr>
          <w:noProof/>
        </w:rPr>
        <w:instrText xml:space="preserve"> PL 64, 888</w:instrText>
      </w:r>
      <w:r w:rsidRPr="00273106">
        <w:rPr>
          <w:noProof/>
        </w:rPr>
        <w:instrText>B</w:instrText>
      </w:r>
      <w:r>
        <w:instrText xml:space="preserve">" </w:instrText>
      </w:r>
      <w:r>
        <w:rPr>
          <w:noProof/>
        </w:rPr>
        <w:fldChar w:fldCharType="end"/>
      </w:r>
      <w:r w:rsidRPr="00273106">
        <w:rPr>
          <w:noProof/>
        </w:rPr>
        <w:t>)</w:t>
      </w:r>
    </w:p>
  </w:footnote>
  <w:footnote w:id="103">
    <w:p w:rsidR="00971E82" w:rsidRPr="00FD1FD1" w:rsidRDefault="00971E82" w:rsidP="08163013">
      <w:pPr>
        <w:pStyle w:val="Textpoznpodarou"/>
      </w:pPr>
      <w:r>
        <w:rPr>
          <w:rStyle w:val="Znakapoznpodarou"/>
        </w:rPr>
        <w:footnoteRef/>
      </w:r>
      <w:r>
        <w:t xml:space="preserve"> „</w:t>
      </w:r>
      <w:r w:rsidRPr="00FD1FD1">
        <w:t xml:space="preserve">Er </w:t>
      </w:r>
      <w:r>
        <w:t xml:space="preserve">[Pecham] </w:t>
      </w:r>
      <w:r w:rsidRPr="00FD1FD1">
        <w:t>sucht seine Auffassung etwas näher darzulegen, indem er mit einer dem Boëthius entnommenen Unterscheidung die Seele mit ihren Vermögen als</w:t>
      </w:r>
      <w:r>
        <w:t xml:space="preserve"> ein </w:t>
      </w:r>
      <w:r w:rsidRPr="00FD1FD1">
        <w:rPr>
          <w:i/>
        </w:rPr>
        <w:t>totum virtuale</w:t>
      </w:r>
      <w:r>
        <w:t xml:space="preserve"> bezeichnet. </w:t>
      </w:r>
      <w:r w:rsidRPr="00FD1FD1">
        <w:t xml:space="preserve">Dieser Begriff eines dynamischen Ganzen stehe in der Mitte zwischen dem </w:t>
      </w:r>
      <w:r w:rsidRPr="00FD1FD1">
        <w:rPr>
          <w:i/>
        </w:rPr>
        <w:t>totum universale</w:t>
      </w:r>
      <w:r w:rsidRPr="00FD1FD1">
        <w:t xml:space="preserve"> und dem </w:t>
      </w:r>
      <w:r w:rsidRPr="00FD1FD1">
        <w:rPr>
          <w:i/>
        </w:rPr>
        <w:t>totum integrale</w:t>
      </w:r>
      <w:r w:rsidRPr="00FD1FD1">
        <w:t>.</w:t>
      </w:r>
      <w:r>
        <w:t>“ (Spettmann 1919, 65)</w:t>
      </w:r>
    </w:p>
  </w:footnote>
  <w:footnote w:id="104">
    <w:p w:rsidR="00971E82" w:rsidRPr="00D045B8" w:rsidRDefault="00971E82" w:rsidP="08163013">
      <w:pPr>
        <w:pStyle w:val="Textpoznpodarou"/>
        <w:rPr>
          <w:noProof/>
          <w:lang w:val="cs-CZ"/>
        </w:rPr>
      </w:pPr>
      <w:r>
        <w:rPr>
          <w:rStyle w:val="Znakapoznpodarou"/>
        </w:rPr>
        <w:footnoteRef/>
      </w:r>
      <w:r>
        <w:t xml:space="preserve"> </w:t>
      </w:r>
      <w:r w:rsidRPr="00273106">
        <w:rPr>
          <w:noProof/>
        </w:rPr>
        <w:t>„</w:t>
      </w:r>
      <w:r w:rsidRPr="00273106">
        <w:rPr>
          <w:noProof/>
          <w:szCs w:val="18"/>
        </w:rPr>
        <w:t xml:space="preserve">Philosophus </w:t>
      </w:r>
      <w:r w:rsidRPr="00273106">
        <w:rPr>
          <w:noProof/>
          <w:szCs w:val="12"/>
        </w:rPr>
        <w:t xml:space="preserve">dicit </w:t>
      </w:r>
      <w:r w:rsidRPr="00273106">
        <w:rPr>
          <w:noProof/>
          <w:szCs w:val="16"/>
        </w:rPr>
        <w:t xml:space="preserve">quod </w:t>
      </w:r>
      <w:r w:rsidRPr="00273106">
        <w:rPr>
          <w:noProof/>
          <w:szCs w:val="12"/>
        </w:rPr>
        <w:t xml:space="preserve">sicut </w:t>
      </w:r>
      <w:r w:rsidRPr="00273106">
        <w:rPr>
          <w:noProof/>
          <w:szCs w:val="13"/>
        </w:rPr>
        <w:t xml:space="preserve">se </w:t>
      </w:r>
      <w:r w:rsidRPr="00273106">
        <w:rPr>
          <w:noProof/>
        </w:rPr>
        <w:t xml:space="preserve">habet </w:t>
      </w:r>
      <w:r w:rsidRPr="00273106">
        <w:rPr>
          <w:noProof/>
          <w:szCs w:val="16"/>
        </w:rPr>
        <w:t xml:space="preserve">anima </w:t>
      </w:r>
      <w:r w:rsidRPr="00273106">
        <w:rPr>
          <w:noProof/>
        </w:rPr>
        <w:t xml:space="preserve">ad </w:t>
      </w:r>
      <w:r w:rsidRPr="00273106">
        <w:rPr>
          <w:noProof/>
          <w:szCs w:val="13"/>
        </w:rPr>
        <w:t>cor</w:t>
      </w:r>
      <w:r w:rsidRPr="00273106">
        <w:rPr>
          <w:noProof/>
        </w:rPr>
        <w:t xml:space="preserve">pus </w:t>
      </w:r>
      <w:r w:rsidRPr="00273106">
        <w:rPr>
          <w:noProof/>
          <w:szCs w:val="14"/>
        </w:rPr>
        <w:t xml:space="preserve">totum, </w:t>
      </w:r>
      <w:r w:rsidRPr="00273106">
        <w:rPr>
          <w:noProof/>
          <w:szCs w:val="11"/>
        </w:rPr>
        <w:t xml:space="preserve">ita </w:t>
      </w:r>
      <w:r w:rsidRPr="00273106">
        <w:rPr>
          <w:noProof/>
          <w:szCs w:val="14"/>
        </w:rPr>
        <w:t xml:space="preserve">partes </w:t>
      </w:r>
      <w:r w:rsidRPr="00273106">
        <w:rPr>
          <w:noProof/>
          <w:szCs w:val="16"/>
        </w:rPr>
        <w:t xml:space="preserve">animae ad </w:t>
      </w:r>
      <w:r w:rsidRPr="00273106">
        <w:rPr>
          <w:noProof/>
          <w:szCs w:val="14"/>
        </w:rPr>
        <w:t xml:space="preserve">partes </w:t>
      </w:r>
      <w:r w:rsidRPr="00273106">
        <w:rPr>
          <w:noProof/>
          <w:szCs w:val="13"/>
        </w:rPr>
        <w:t xml:space="preserve">corporis. </w:t>
      </w:r>
      <w:r w:rsidRPr="00273106">
        <w:rPr>
          <w:noProof/>
          <w:szCs w:val="16"/>
        </w:rPr>
        <w:t xml:space="preserve">Ergo </w:t>
      </w:r>
      <w:r w:rsidRPr="00273106">
        <w:rPr>
          <w:noProof/>
          <w:szCs w:val="18"/>
        </w:rPr>
        <w:t xml:space="preserve">cum </w:t>
      </w:r>
      <w:r w:rsidRPr="00273106">
        <w:rPr>
          <w:noProof/>
          <w:szCs w:val="14"/>
        </w:rPr>
        <w:t xml:space="preserve">partes </w:t>
      </w:r>
      <w:r w:rsidRPr="00273106">
        <w:rPr>
          <w:noProof/>
          <w:szCs w:val="16"/>
        </w:rPr>
        <w:t xml:space="preserve">animae </w:t>
      </w:r>
      <w:r w:rsidRPr="00273106">
        <w:rPr>
          <w:noProof/>
          <w:szCs w:val="12"/>
        </w:rPr>
        <w:t xml:space="preserve">tales </w:t>
      </w:r>
      <w:r w:rsidRPr="00273106">
        <w:rPr>
          <w:noProof/>
          <w:szCs w:val="14"/>
        </w:rPr>
        <w:t xml:space="preserve">esse </w:t>
      </w:r>
      <w:r w:rsidRPr="00273106">
        <w:rPr>
          <w:noProof/>
          <w:szCs w:val="17"/>
        </w:rPr>
        <w:t xml:space="preserve">non </w:t>
      </w:r>
      <w:r w:rsidRPr="00273106">
        <w:rPr>
          <w:noProof/>
        </w:rPr>
        <w:t xml:space="preserve">possunt </w:t>
      </w:r>
      <w:r w:rsidRPr="00273106">
        <w:rPr>
          <w:noProof/>
          <w:szCs w:val="12"/>
        </w:rPr>
        <w:t xml:space="preserve">nisi </w:t>
      </w:r>
      <w:r w:rsidRPr="00273106">
        <w:rPr>
          <w:noProof/>
          <w:szCs w:val="13"/>
        </w:rPr>
        <w:t xml:space="preserve">potentiae, </w:t>
      </w:r>
      <w:r w:rsidRPr="00273106">
        <w:rPr>
          <w:noProof/>
          <w:szCs w:val="14"/>
        </w:rPr>
        <w:t xml:space="preserve">potentiae </w:t>
      </w:r>
      <w:r w:rsidRPr="00273106">
        <w:rPr>
          <w:noProof/>
          <w:szCs w:val="17"/>
        </w:rPr>
        <w:t xml:space="preserve">non </w:t>
      </w:r>
      <w:r w:rsidRPr="00273106">
        <w:rPr>
          <w:noProof/>
          <w:szCs w:val="14"/>
        </w:rPr>
        <w:t xml:space="preserve">erunt </w:t>
      </w:r>
      <w:r w:rsidRPr="00273106">
        <w:rPr>
          <w:noProof/>
          <w:szCs w:val="12"/>
        </w:rPr>
        <w:t>acci</w:t>
      </w:r>
      <w:r w:rsidRPr="00273106">
        <w:rPr>
          <w:noProof/>
          <w:szCs w:val="14"/>
        </w:rPr>
        <w:t xml:space="preserve">dentia </w:t>
      </w:r>
      <w:r w:rsidRPr="00273106">
        <w:rPr>
          <w:noProof/>
        </w:rPr>
        <w:t xml:space="preserve">animae, </w:t>
      </w:r>
      <w:r w:rsidRPr="00273106">
        <w:rPr>
          <w:noProof/>
          <w:szCs w:val="18"/>
        </w:rPr>
        <w:t xml:space="preserve">cum </w:t>
      </w:r>
      <w:r w:rsidRPr="00273106">
        <w:rPr>
          <w:noProof/>
          <w:szCs w:val="14"/>
        </w:rPr>
        <w:t xml:space="preserve">accidens </w:t>
      </w:r>
      <w:r w:rsidRPr="00273106">
        <w:rPr>
          <w:noProof/>
          <w:szCs w:val="16"/>
        </w:rPr>
        <w:t xml:space="preserve">non </w:t>
      </w:r>
      <w:r w:rsidRPr="00273106">
        <w:rPr>
          <w:noProof/>
          <w:szCs w:val="10"/>
        </w:rPr>
        <w:t xml:space="preserve">sit </w:t>
      </w:r>
      <w:r w:rsidRPr="00273106">
        <w:rPr>
          <w:noProof/>
          <w:szCs w:val="14"/>
        </w:rPr>
        <w:t xml:space="preserve">pars </w:t>
      </w:r>
      <w:r w:rsidRPr="00273106">
        <w:rPr>
          <w:noProof/>
          <w:szCs w:val="13"/>
        </w:rPr>
        <w:t xml:space="preserve">substantiae. </w:t>
      </w:r>
      <w:r w:rsidRPr="00273106">
        <w:rPr>
          <w:noProof/>
        </w:rPr>
        <w:t xml:space="preserve">Item </w:t>
      </w:r>
      <w:r w:rsidRPr="00273106">
        <w:rPr>
          <w:noProof/>
          <w:szCs w:val="16"/>
        </w:rPr>
        <w:t xml:space="preserve">anima </w:t>
      </w:r>
      <w:r w:rsidRPr="00273106">
        <w:rPr>
          <w:noProof/>
        </w:rPr>
        <w:t xml:space="preserve">habet essentiam </w:t>
      </w:r>
      <w:r w:rsidRPr="00273106">
        <w:rPr>
          <w:noProof/>
          <w:szCs w:val="12"/>
        </w:rPr>
        <w:t xml:space="preserve">et </w:t>
      </w:r>
      <w:r w:rsidRPr="00273106">
        <w:rPr>
          <w:noProof/>
          <w:szCs w:val="13"/>
        </w:rPr>
        <w:t xml:space="preserve">virtutem. </w:t>
      </w:r>
      <w:r w:rsidRPr="00273106">
        <w:rPr>
          <w:noProof/>
          <w:szCs w:val="17"/>
        </w:rPr>
        <w:t xml:space="preserve">Nec </w:t>
      </w:r>
      <w:r w:rsidRPr="00273106">
        <w:rPr>
          <w:noProof/>
          <w:szCs w:val="13"/>
        </w:rPr>
        <w:t xml:space="preserve">virtus est eius </w:t>
      </w:r>
      <w:r w:rsidRPr="00273106">
        <w:rPr>
          <w:noProof/>
          <w:szCs w:val="14"/>
        </w:rPr>
        <w:t xml:space="preserve">accidens, </w:t>
      </w:r>
      <w:r w:rsidRPr="00273106">
        <w:rPr>
          <w:noProof/>
          <w:szCs w:val="18"/>
        </w:rPr>
        <w:t xml:space="preserve">cum </w:t>
      </w:r>
      <w:r w:rsidRPr="00273106">
        <w:rPr>
          <w:noProof/>
          <w:szCs w:val="16"/>
        </w:rPr>
        <w:t xml:space="preserve">a </w:t>
      </w:r>
      <w:r w:rsidRPr="00273106">
        <w:rPr>
          <w:noProof/>
          <w:szCs w:val="13"/>
        </w:rPr>
        <w:t xml:space="preserve">virtute </w:t>
      </w:r>
      <w:r w:rsidRPr="00273106">
        <w:rPr>
          <w:noProof/>
          <w:szCs w:val="14"/>
        </w:rPr>
        <w:t xml:space="preserve">dicatur </w:t>
      </w:r>
      <w:r w:rsidRPr="00273106">
        <w:rPr>
          <w:noProof/>
          <w:szCs w:val="16"/>
        </w:rPr>
        <w:t xml:space="preserve">anima </w:t>
      </w:r>
      <w:r w:rsidRPr="00273106">
        <w:rPr>
          <w:noProof/>
        </w:rPr>
        <w:t xml:space="preserve">totum </w:t>
      </w:r>
      <w:r w:rsidRPr="00273106">
        <w:rPr>
          <w:noProof/>
          <w:szCs w:val="12"/>
        </w:rPr>
        <w:t xml:space="preserve">virtuale. </w:t>
      </w:r>
      <w:r w:rsidRPr="00273106">
        <w:rPr>
          <w:noProof/>
          <w:szCs w:val="16"/>
        </w:rPr>
        <w:t xml:space="preserve">Sed </w:t>
      </w:r>
      <w:r w:rsidRPr="00273106">
        <w:rPr>
          <w:noProof/>
          <w:szCs w:val="14"/>
        </w:rPr>
        <w:t xml:space="preserve">essentia </w:t>
      </w:r>
      <w:r w:rsidRPr="00273106">
        <w:rPr>
          <w:noProof/>
        </w:rPr>
        <w:t xml:space="preserve">habet </w:t>
      </w:r>
      <w:r w:rsidRPr="00273106">
        <w:rPr>
          <w:noProof/>
          <w:szCs w:val="14"/>
        </w:rPr>
        <w:t xml:space="preserve">partes </w:t>
      </w:r>
      <w:r w:rsidRPr="00273106">
        <w:rPr>
          <w:noProof/>
          <w:szCs w:val="12"/>
        </w:rPr>
        <w:t xml:space="preserve">in </w:t>
      </w:r>
      <w:r w:rsidRPr="00273106">
        <w:rPr>
          <w:noProof/>
          <w:szCs w:val="13"/>
        </w:rPr>
        <w:t xml:space="preserve">se integrantes, </w:t>
      </w:r>
      <w:r w:rsidRPr="00273106">
        <w:rPr>
          <w:noProof/>
          <w:szCs w:val="12"/>
        </w:rPr>
        <w:t xml:space="preserve">scilicet </w:t>
      </w:r>
      <w:r w:rsidRPr="00273106">
        <w:rPr>
          <w:noProof/>
          <w:szCs w:val="16"/>
        </w:rPr>
        <w:t xml:space="preserve">materiam </w:t>
      </w:r>
      <w:r w:rsidRPr="00273106">
        <w:rPr>
          <w:noProof/>
          <w:szCs w:val="12"/>
        </w:rPr>
        <w:t xml:space="preserve">et </w:t>
      </w:r>
      <w:r w:rsidRPr="00273106">
        <w:rPr>
          <w:noProof/>
          <w:szCs w:val="16"/>
        </w:rPr>
        <w:t xml:space="preserve">formam. Ergo </w:t>
      </w:r>
      <w:r w:rsidRPr="00273106">
        <w:rPr>
          <w:noProof/>
          <w:szCs w:val="12"/>
        </w:rPr>
        <w:t xml:space="preserve">et </w:t>
      </w:r>
      <w:r w:rsidRPr="00273106">
        <w:rPr>
          <w:noProof/>
          <w:szCs w:val="13"/>
        </w:rPr>
        <w:t xml:space="preserve">virtutes </w:t>
      </w:r>
      <w:r w:rsidRPr="00273106">
        <w:rPr>
          <w:noProof/>
          <w:szCs w:val="14"/>
        </w:rPr>
        <w:t xml:space="preserve">habebit subiecto </w:t>
      </w:r>
      <w:r w:rsidRPr="00273106">
        <w:rPr>
          <w:noProof/>
        </w:rPr>
        <w:t>correspondentes.“ (</w:t>
      </w:r>
      <w:r>
        <w:rPr>
          <w:i/>
          <w:noProof/>
        </w:rPr>
        <w:t>Quaestiones tractantes De anima</w:t>
      </w:r>
      <w:r w:rsidRPr="00273106">
        <w:rPr>
          <w:noProof/>
        </w:rPr>
        <w:t>, q. 31, contra 6,7; ed. Spettmann, p. 200.28‒35</w:t>
      </w:r>
      <w:r>
        <w:rPr>
          <w:szCs w:val="14"/>
        </w:rPr>
        <w:fldChar w:fldCharType="begin"/>
      </w:r>
      <w:r>
        <w:instrText xml:space="preserve"> XE "</w:instrText>
      </w:r>
      <w:r>
        <w:rPr>
          <w:lang w:val="cs-CZ"/>
        </w:rPr>
        <w:instrText>Pecham:</w:instrText>
      </w:r>
      <w:r>
        <w:rPr>
          <w:i/>
        </w:rPr>
        <w:instrText>Quaestiones tractantes De anima</w:instrText>
      </w:r>
      <w:r>
        <w:rPr>
          <w:i/>
          <w:lang w:val="cs-CZ"/>
        </w:rPr>
        <w:instrText xml:space="preserve"> </w:instrText>
      </w:r>
      <w:r>
        <w:rPr>
          <w:szCs w:val="14"/>
          <w:lang w:val="cs-CZ"/>
        </w:rPr>
        <w:instrText>200</w:instrText>
      </w:r>
      <w:r>
        <w:rPr>
          <w:szCs w:val="14"/>
        </w:rPr>
        <w:instrText>.</w:instrText>
      </w:r>
      <w:r>
        <w:rPr>
          <w:szCs w:val="14"/>
          <w:lang w:val="cs-CZ"/>
        </w:rPr>
        <w:instrText>28</w:instrText>
      </w:r>
      <w:r>
        <w:rPr>
          <w:szCs w:val="14"/>
        </w:rPr>
        <w:instrText>‒3</w:instrText>
      </w:r>
      <w:r>
        <w:rPr>
          <w:szCs w:val="14"/>
          <w:lang w:val="cs-CZ"/>
        </w:rPr>
        <w:instrText>5</w:instrText>
      </w:r>
      <w:r>
        <w:instrText xml:space="preserve">" </w:instrText>
      </w:r>
      <w:r>
        <w:rPr>
          <w:szCs w:val="14"/>
        </w:rPr>
        <w:fldChar w:fldCharType="end"/>
      </w:r>
      <w:r w:rsidRPr="00273106">
        <w:rPr>
          <w:noProof/>
        </w:rPr>
        <w:t>)</w:t>
      </w:r>
    </w:p>
  </w:footnote>
  <w:footnote w:id="105">
    <w:p w:rsidR="00971E82" w:rsidRPr="0002530E" w:rsidRDefault="00971E82" w:rsidP="08163013">
      <w:pPr>
        <w:pStyle w:val="Textpoznpodarou"/>
        <w:rPr>
          <w:lang w:val="cs-CZ"/>
        </w:rPr>
      </w:pPr>
      <w:r>
        <w:rPr>
          <w:rStyle w:val="Znakapoznpodarou"/>
        </w:rPr>
        <w:footnoteRef/>
      </w:r>
      <w:r>
        <w:t xml:space="preserve"> </w:t>
      </w:r>
      <w:r w:rsidRPr="08153AB5">
        <w:t>„Ad tertium dicendum similiter quod una scientia est in doctore et discente obiective, non formaliter, quia habitus est alius et alius, et a</w:t>
      </w:r>
      <w:r w:rsidRPr="08153AB5">
        <w:rPr>
          <w:rFonts w:eastAsia="Times"/>
        </w:rPr>
        <w:t>lia numero grammatica in me et in te. Tamen lux manifestans principia</w:t>
      </w:r>
      <w:r w:rsidRPr="08153AB5">
        <w:t xml:space="preserve"> </w:t>
      </w:r>
      <w:r w:rsidRPr="08153AB5">
        <w:rPr>
          <w:rFonts w:eastAsia="Times"/>
        </w:rPr>
        <w:t>omnium actuum est una in omnibus.</w:t>
      </w:r>
      <w:r w:rsidRPr="08153AB5">
        <w:t xml:space="preserve"> Quia i</w:t>
      </w:r>
      <w:r w:rsidRPr="08153AB5">
        <w:rPr>
          <w:rFonts w:eastAsia="Times"/>
        </w:rPr>
        <w:t>gitur mens discipuli excitatur</w:t>
      </w:r>
      <w:r w:rsidRPr="08153AB5">
        <w:t xml:space="preserve"> </w:t>
      </w:r>
      <w:r w:rsidRPr="08153AB5">
        <w:rPr>
          <w:rFonts w:eastAsia="Times"/>
        </w:rPr>
        <w:t>ad istam lucem per doctorem, ideo dicitur una scientia,</w:t>
      </w:r>
      <w:r w:rsidRPr="08153AB5">
        <w:t xml:space="preserve"> et tamen nata ista de illa.“</w:t>
      </w:r>
      <w:r w:rsidRPr="00273106">
        <w:rPr>
          <w:noProof/>
        </w:rPr>
        <w:t xml:space="preserve"> (</w:t>
      </w:r>
      <w:r>
        <w:rPr>
          <w:i/>
          <w:noProof/>
        </w:rPr>
        <w:t>Quaestiones tractantes De anima</w:t>
      </w:r>
      <w:r w:rsidRPr="00273106">
        <w:rPr>
          <w:noProof/>
        </w:rPr>
        <w:t>, q. 4, solutio, ad 3; ed. Spettmann, p. 53.34‒55.4</w:t>
      </w:r>
      <w:r>
        <w:rPr>
          <w:noProof/>
        </w:rPr>
        <w:fldChar w:fldCharType="begin"/>
      </w:r>
      <w:r>
        <w:instrText xml:space="preserve"> XE "</w:instrText>
      </w:r>
      <w:r>
        <w:rPr>
          <w:lang w:val="cs-CZ"/>
        </w:rPr>
        <w:instrText>Pecham:</w:instrText>
      </w:r>
      <w:r>
        <w:rPr>
          <w:i/>
          <w:noProof/>
        </w:rPr>
        <w:instrText>Quaestiones tractantes De anima</w:instrText>
      </w:r>
      <w:r w:rsidRPr="00736A27">
        <w:rPr>
          <w:noProof/>
        </w:rPr>
        <w:instrText xml:space="preserve"> 53.34‒55.4</w:instrText>
      </w:r>
      <w:r>
        <w:instrText xml:space="preserve">" </w:instrText>
      </w:r>
      <w:r>
        <w:rPr>
          <w:noProof/>
        </w:rPr>
        <w:fldChar w:fldCharType="end"/>
      </w:r>
      <w:r w:rsidRPr="00273106">
        <w:rPr>
          <w:noProof/>
        </w:rPr>
        <w:t>)</w:t>
      </w:r>
    </w:p>
  </w:footnote>
  <w:footnote w:id="106">
    <w:p w:rsidR="00971E82" w:rsidRPr="00C86FE0" w:rsidRDefault="00971E82" w:rsidP="08163013">
      <w:pPr>
        <w:pStyle w:val="Textpoznpodarou"/>
      </w:pPr>
      <w:r>
        <w:rPr>
          <w:rStyle w:val="Znakapoznpodarou"/>
        </w:rPr>
        <w:footnoteRef/>
      </w:r>
      <w:r>
        <w:rPr>
          <w:lang w:val="cs-CZ"/>
        </w:rPr>
        <w:t xml:space="preserve"> </w:t>
      </w:r>
      <w:r w:rsidRPr="00C86FE0">
        <w:t>„Part</w:t>
      </w:r>
      <w:r>
        <w:t xml:space="preserve">ant de </w:t>
      </w:r>
      <w:r>
        <w:rPr>
          <w:lang w:val="cs-CZ"/>
        </w:rPr>
        <w:t>c</w:t>
      </w:r>
      <w:r w:rsidRPr="00C86FE0">
        <w:t>e point de vue, la pensée apparaît à Jean Peckam comme une passion commune à une multiplicité d'intellects. Tous subissent les premiers principes qui sont connus par eux-mêmes, et cette unité dans la passivité des sujets suppose l'unité d'un principe agent.</w:t>
      </w:r>
      <w:r>
        <w:t>“ (Rohmer 1928, 178)</w:t>
      </w:r>
    </w:p>
  </w:footnote>
  <w:footnote w:id="107">
    <w:p w:rsidR="00971E82" w:rsidRPr="00FE7165" w:rsidRDefault="00971E82" w:rsidP="08163013">
      <w:pPr>
        <w:pStyle w:val="Textpoznpodarou"/>
        <w:rPr>
          <w:lang w:val="cs-CZ"/>
        </w:rPr>
      </w:pPr>
      <w:r>
        <w:rPr>
          <w:rStyle w:val="Znakapoznpodarou"/>
        </w:rPr>
        <w:footnoteRef/>
      </w:r>
      <w:r>
        <w:t xml:space="preserve"> </w:t>
      </w:r>
      <w:r w:rsidRPr="00273106">
        <w:rPr>
          <w:noProof/>
        </w:rPr>
        <w:t xml:space="preserve">„Et </w:t>
      </w:r>
      <w:r w:rsidRPr="00273106">
        <w:rPr>
          <w:noProof/>
          <w:szCs w:val="15"/>
        </w:rPr>
        <w:t xml:space="preserve">nota </w:t>
      </w:r>
      <w:r w:rsidRPr="00273106">
        <w:rPr>
          <w:noProof/>
          <w:szCs w:val="16"/>
        </w:rPr>
        <w:t xml:space="preserve">quod </w:t>
      </w:r>
      <w:r w:rsidRPr="00273106">
        <w:rPr>
          <w:noProof/>
          <w:szCs w:val="13"/>
        </w:rPr>
        <w:t xml:space="preserve">veritas </w:t>
      </w:r>
      <w:r w:rsidRPr="00273106">
        <w:rPr>
          <w:noProof/>
          <w:szCs w:val="12"/>
        </w:rPr>
        <w:t xml:space="preserve">dicit </w:t>
      </w:r>
      <w:r w:rsidRPr="00273106">
        <w:rPr>
          <w:noProof/>
          <w:szCs w:val="15"/>
        </w:rPr>
        <w:t xml:space="preserve">habitudinem </w:t>
      </w:r>
      <w:r w:rsidRPr="00273106">
        <w:rPr>
          <w:noProof/>
          <w:szCs w:val="12"/>
        </w:rPr>
        <w:t xml:space="preserve">rei </w:t>
      </w:r>
      <w:r w:rsidRPr="00273106">
        <w:rPr>
          <w:noProof/>
          <w:szCs w:val="16"/>
        </w:rPr>
        <w:t xml:space="preserve">ad exemplar </w:t>
      </w:r>
      <w:r w:rsidRPr="00273106">
        <w:rPr>
          <w:noProof/>
          <w:szCs w:val="15"/>
        </w:rPr>
        <w:t xml:space="preserve">aeternum, </w:t>
      </w:r>
      <w:r w:rsidRPr="00273106">
        <w:rPr>
          <w:noProof/>
          <w:szCs w:val="16"/>
        </w:rPr>
        <w:t xml:space="preserve">quo omnia </w:t>
      </w:r>
      <w:r w:rsidRPr="00273106">
        <w:rPr>
          <w:noProof/>
        </w:rPr>
        <w:t xml:space="preserve">ostenduntur, </w:t>
      </w:r>
      <w:r w:rsidRPr="00273106">
        <w:rPr>
          <w:noProof/>
          <w:szCs w:val="12"/>
        </w:rPr>
        <w:t xml:space="preserve">sicut </w:t>
      </w:r>
      <w:r w:rsidRPr="00273106">
        <w:rPr>
          <w:noProof/>
        </w:rPr>
        <w:t xml:space="preserve">bonitas habitudinem </w:t>
      </w:r>
      <w:r w:rsidRPr="00273106">
        <w:rPr>
          <w:noProof/>
          <w:szCs w:val="15"/>
        </w:rPr>
        <w:t xml:space="preserve">ad </w:t>
      </w:r>
      <w:r w:rsidRPr="00273106">
        <w:rPr>
          <w:noProof/>
        </w:rPr>
        <w:t xml:space="preserve">finem. Et ideo </w:t>
      </w:r>
      <w:r w:rsidRPr="00273106">
        <w:rPr>
          <w:noProof/>
          <w:szCs w:val="12"/>
        </w:rPr>
        <w:t xml:space="preserve">veritati </w:t>
      </w:r>
      <w:r w:rsidRPr="00273106">
        <w:rPr>
          <w:noProof/>
        </w:rPr>
        <w:t xml:space="preserve">creatae </w:t>
      </w:r>
      <w:r w:rsidRPr="00273106">
        <w:rPr>
          <w:noProof/>
          <w:szCs w:val="13"/>
        </w:rPr>
        <w:t xml:space="preserve">attribuitur ratio </w:t>
      </w:r>
      <w:r w:rsidRPr="00273106">
        <w:rPr>
          <w:noProof/>
        </w:rPr>
        <w:t xml:space="preserve">manifestandi, </w:t>
      </w:r>
      <w:r w:rsidRPr="00273106">
        <w:rPr>
          <w:noProof/>
          <w:szCs w:val="13"/>
        </w:rPr>
        <w:t xml:space="preserve">ut </w:t>
      </w:r>
      <w:r w:rsidRPr="00273106">
        <w:rPr>
          <w:noProof/>
          <w:szCs w:val="18"/>
        </w:rPr>
        <w:t xml:space="preserve">cum </w:t>
      </w:r>
      <w:r w:rsidRPr="00273106">
        <w:rPr>
          <w:noProof/>
          <w:szCs w:val="12"/>
        </w:rPr>
        <w:t xml:space="preserve">dicitur, </w:t>
      </w:r>
      <w:r w:rsidRPr="00273106">
        <w:rPr>
          <w:noProof/>
          <w:szCs w:val="16"/>
        </w:rPr>
        <w:t xml:space="preserve">quod </w:t>
      </w:r>
      <w:r w:rsidRPr="00273106">
        <w:rPr>
          <w:noProof/>
          <w:szCs w:val="13"/>
        </w:rPr>
        <w:t xml:space="preserve">est indivisio </w:t>
      </w:r>
      <w:r w:rsidRPr="00273106">
        <w:rPr>
          <w:noProof/>
          <w:szCs w:val="15"/>
        </w:rPr>
        <w:t xml:space="preserve">a </w:t>
      </w:r>
      <w:r w:rsidRPr="00273106">
        <w:rPr>
          <w:noProof/>
        </w:rPr>
        <w:t xml:space="preserve">propria </w:t>
      </w:r>
      <w:r w:rsidRPr="00273106">
        <w:rPr>
          <w:noProof/>
          <w:szCs w:val="13"/>
        </w:rPr>
        <w:t>specie.“ (</w:t>
      </w:r>
      <w:r>
        <w:rPr>
          <w:i/>
          <w:noProof/>
        </w:rPr>
        <w:t>Quaestiones tractantes De anima</w:t>
      </w:r>
      <w:r w:rsidRPr="00273106">
        <w:rPr>
          <w:noProof/>
        </w:rPr>
        <w:t>, q. 41, resp.; ed. Spettmann, p. 220.4‒7</w:t>
      </w:r>
      <w:r>
        <w:rPr>
          <w:noProof/>
        </w:rPr>
        <w:fldChar w:fldCharType="begin"/>
      </w:r>
      <w:r>
        <w:instrText xml:space="preserve"> XE </w:instrText>
      </w:r>
      <w:r w:rsidRPr="005802F5">
        <w:instrText xml:space="preserve">Stanovuje pravdu jako trvalou kvalitu věcí a hypostatický habitus daný "in re" odpovídá věčným paradigmatům (habitudinem rei ad exemplar aeternum). </w:instrText>
      </w:r>
      <w:r>
        <w:instrText>"</w:instrText>
      </w:r>
      <w:r>
        <w:rPr>
          <w:lang w:val="cs-CZ"/>
        </w:rPr>
        <w:instrText>Pecham:</w:instrText>
      </w:r>
      <w:r>
        <w:rPr>
          <w:i/>
          <w:noProof/>
        </w:rPr>
        <w:instrText>Quaestiones tractantes De anima</w:instrText>
      </w:r>
      <w:r>
        <w:rPr>
          <w:noProof/>
        </w:rPr>
        <w:instrText xml:space="preserve"> </w:instrText>
      </w:r>
      <w:r>
        <w:rPr>
          <w:noProof/>
          <w:lang w:val="cs-CZ"/>
        </w:rPr>
        <w:instrText>220</w:instrText>
      </w:r>
      <w:r>
        <w:rPr>
          <w:noProof/>
        </w:rPr>
        <w:instrText>.</w:instrText>
      </w:r>
      <w:r w:rsidRPr="00736A27">
        <w:rPr>
          <w:noProof/>
        </w:rPr>
        <w:instrText>4‒</w:instrText>
      </w:r>
      <w:r>
        <w:rPr>
          <w:noProof/>
          <w:lang w:val="cs-CZ"/>
        </w:rPr>
        <w:instrText>7</w:instrText>
      </w:r>
      <w:r>
        <w:instrText xml:space="preserve">" </w:instrText>
      </w:r>
      <w:r>
        <w:rPr>
          <w:noProof/>
        </w:rPr>
        <w:fldChar w:fldCharType="end"/>
      </w:r>
      <w:r w:rsidRPr="00273106">
        <w:rPr>
          <w:noProof/>
          <w:szCs w:val="13"/>
        </w:rPr>
        <w:t>)</w:t>
      </w:r>
    </w:p>
  </w:footnote>
  <w:footnote w:id="108">
    <w:p w:rsidR="00971E82" w:rsidRPr="00EC43C0" w:rsidRDefault="00971E82" w:rsidP="08163013">
      <w:pPr>
        <w:pStyle w:val="Textpoznpodarou"/>
        <w:rPr>
          <w:noProof/>
          <w:lang w:val="cs-CZ"/>
        </w:rPr>
      </w:pPr>
      <w:r>
        <w:rPr>
          <w:rStyle w:val="Znakapoznpodarou"/>
        </w:rPr>
        <w:footnoteRef/>
      </w:r>
      <w:r>
        <w:t xml:space="preserve"> </w:t>
      </w:r>
      <w:r w:rsidRPr="00273106">
        <w:rPr>
          <w:noProof/>
          <w:szCs w:val="19"/>
        </w:rPr>
        <w:t xml:space="preserve">„Ad </w:t>
      </w:r>
      <w:r w:rsidRPr="00273106">
        <w:rPr>
          <w:noProof/>
          <w:szCs w:val="18"/>
        </w:rPr>
        <w:t xml:space="preserve">nonum </w:t>
      </w:r>
      <w:r w:rsidRPr="00273106">
        <w:rPr>
          <w:noProof/>
          <w:szCs w:val="16"/>
        </w:rPr>
        <w:t xml:space="preserve">quod </w:t>
      </w:r>
      <w:r w:rsidRPr="00273106">
        <w:rPr>
          <w:noProof/>
          <w:szCs w:val="15"/>
        </w:rPr>
        <w:t xml:space="preserve">quanto </w:t>
      </w:r>
      <w:r w:rsidRPr="00273106">
        <w:rPr>
          <w:noProof/>
          <w:szCs w:val="13"/>
        </w:rPr>
        <w:t xml:space="preserve">aliquid simplicius, </w:t>
      </w:r>
      <w:r w:rsidRPr="00273106">
        <w:rPr>
          <w:noProof/>
        </w:rPr>
        <w:t xml:space="preserve">tanto </w:t>
      </w:r>
      <w:r w:rsidRPr="00273106">
        <w:rPr>
          <w:noProof/>
          <w:szCs w:val="13"/>
        </w:rPr>
        <w:t xml:space="preserve">est </w:t>
      </w:r>
      <w:r w:rsidRPr="00273106">
        <w:rPr>
          <w:noProof/>
          <w:szCs w:val="15"/>
        </w:rPr>
        <w:t>impropor</w:t>
      </w:r>
      <w:r w:rsidRPr="00273106">
        <w:rPr>
          <w:noProof/>
          <w:szCs w:val="13"/>
        </w:rPr>
        <w:t xml:space="preserve">tionabilius </w:t>
      </w:r>
      <w:r w:rsidRPr="00273106">
        <w:rPr>
          <w:noProof/>
          <w:szCs w:val="12"/>
        </w:rPr>
        <w:t xml:space="preserve">in </w:t>
      </w:r>
      <w:r w:rsidRPr="00273106">
        <w:rPr>
          <w:noProof/>
        </w:rPr>
        <w:t xml:space="preserve">cognitione composita, </w:t>
      </w:r>
      <w:r w:rsidRPr="00273106">
        <w:rPr>
          <w:noProof/>
          <w:szCs w:val="15"/>
        </w:rPr>
        <w:t xml:space="preserve">sed </w:t>
      </w:r>
      <w:r w:rsidRPr="00273106">
        <w:rPr>
          <w:noProof/>
          <w:szCs w:val="17"/>
        </w:rPr>
        <w:t xml:space="preserve">non </w:t>
      </w:r>
      <w:r w:rsidRPr="00273106">
        <w:rPr>
          <w:noProof/>
          <w:szCs w:val="13"/>
        </w:rPr>
        <w:t xml:space="preserve">in </w:t>
      </w:r>
      <w:r w:rsidRPr="00273106">
        <w:rPr>
          <w:noProof/>
        </w:rPr>
        <w:t xml:space="preserve">cognitione </w:t>
      </w:r>
      <w:r w:rsidRPr="00273106">
        <w:rPr>
          <w:noProof/>
          <w:szCs w:val="12"/>
        </w:rPr>
        <w:t xml:space="preserve">simplici, in </w:t>
      </w:r>
      <w:r w:rsidRPr="00273106">
        <w:rPr>
          <w:noProof/>
          <w:szCs w:val="16"/>
        </w:rPr>
        <w:t xml:space="preserve">qua </w:t>
      </w:r>
      <w:r w:rsidRPr="00273106">
        <w:rPr>
          <w:noProof/>
          <w:szCs w:val="15"/>
        </w:rPr>
        <w:t xml:space="preserve">necesse </w:t>
      </w:r>
      <w:r w:rsidRPr="00273106">
        <w:rPr>
          <w:noProof/>
          <w:szCs w:val="13"/>
        </w:rPr>
        <w:t xml:space="preserve">est </w:t>
      </w:r>
      <w:r w:rsidRPr="00273106">
        <w:rPr>
          <w:noProof/>
          <w:szCs w:val="11"/>
        </w:rPr>
        <w:t xml:space="preserve">fieri </w:t>
      </w:r>
      <w:r w:rsidRPr="00273106">
        <w:rPr>
          <w:noProof/>
          <w:szCs w:val="15"/>
        </w:rPr>
        <w:t xml:space="preserve">resolutionem ad </w:t>
      </w:r>
      <w:r w:rsidRPr="00273106">
        <w:rPr>
          <w:noProof/>
          <w:szCs w:val="16"/>
        </w:rPr>
        <w:t xml:space="preserve">ultimam </w:t>
      </w:r>
      <w:r w:rsidRPr="00273106">
        <w:rPr>
          <w:noProof/>
          <w:szCs w:val="12"/>
        </w:rPr>
        <w:t xml:space="preserve">et </w:t>
      </w:r>
      <w:r w:rsidRPr="00273106">
        <w:rPr>
          <w:noProof/>
          <w:szCs w:val="15"/>
        </w:rPr>
        <w:t xml:space="preserve">certissimam rationem </w:t>
      </w:r>
      <w:r w:rsidRPr="00273106">
        <w:rPr>
          <w:noProof/>
        </w:rPr>
        <w:t>cognoscendi.“ (</w:t>
      </w:r>
      <w:r>
        <w:rPr>
          <w:i/>
          <w:noProof/>
        </w:rPr>
        <w:t>Quaestiones tractantes De anima</w:t>
      </w:r>
      <w:r w:rsidRPr="00273106">
        <w:rPr>
          <w:noProof/>
        </w:rPr>
        <w:t>, ed. Spettmann, q. 5, solutio, ad 20; p. 71.7‒10</w:t>
      </w:r>
      <w:r>
        <w:rPr>
          <w:noProof/>
        </w:rPr>
        <w:fldChar w:fldCharType="begin"/>
      </w:r>
      <w:r>
        <w:instrText xml:space="preserve"> XE "</w:instrText>
      </w:r>
      <w:r>
        <w:rPr>
          <w:lang w:val="cs-CZ"/>
        </w:rPr>
        <w:instrText>Pecham:</w:instrText>
      </w:r>
      <w:r>
        <w:rPr>
          <w:i/>
          <w:noProof/>
        </w:rPr>
        <w:instrText>Quaestiones tractantes De anima</w:instrText>
      </w:r>
      <w:r>
        <w:rPr>
          <w:noProof/>
        </w:rPr>
        <w:instrText xml:space="preserve"> </w:instrText>
      </w:r>
      <w:r>
        <w:rPr>
          <w:noProof/>
          <w:lang w:val="cs-CZ"/>
        </w:rPr>
        <w:instrText>71</w:instrText>
      </w:r>
      <w:r w:rsidRPr="00736A27">
        <w:rPr>
          <w:noProof/>
        </w:rPr>
        <w:instrText>.</w:instrText>
      </w:r>
      <w:r>
        <w:rPr>
          <w:noProof/>
          <w:lang w:val="cs-CZ"/>
        </w:rPr>
        <w:instrText>7</w:instrText>
      </w:r>
      <w:r w:rsidRPr="00736A27">
        <w:rPr>
          <w:noProof/>
        </w:rPr>
        <w:instrText>‒</w:instrText>
      </w:r>
      <w:r>
        <w:rPr>
          <w:noProof/>
          <w:lang w:val="cs-CZ"/>
        </w:rPr>
        <w:instrText>10</w:instrText>
      </w:r>
      <w:r>
        <w:instrText xml:space="preserve">" </w:instrText>
      </w:r>
      <w:r>
        <w:rPr>
          <w:noProof/>
        </w:rPr>
        <w:fldChar w:fldCharType="end"/>
      </w:r>
      <w:r w:rsidRPr="00273106">
        <w:rPr>
          <w:noProof/>
        </w:rPr>
        <w:t>)</w:t>
      </w:r>
    </w:p>
  </w:footnote>
  <w:footnote w:id="109">
    <w:p w:rsidR="00971E82" w:rsidRPr="00BF0636" w:rsidRDefault="00971E82" w:rsidP="08163013">
      <w:pPr>
        <w:pStyle w:val="Textpoznpodarou"/>
        <w:rPr>
          <w:lang w:val="cs-CZ"/>
        </w:rPr>
      </w:pPr>
      <w:r>
        <w:rPr>
          <w:rStyle w:val="Znakapoznpodarou"/>
        </w:rPr>
        <w:footnoteRef/>
      </w:r>
      <w:r>
        <w:t xml:space="preserve"> </w:t>
      </w:r>
      <w:r w:rsidRPr="00273106">
        <w:rPr>
          <w:noProof/>
          <w:szCs w:val="17"/>
        </w:rPr>
        <w:t xml:space="preserve">„Ad </w:t>
      </w:r>
      <w:r w:rsidRPr="00273106">
        <w:rPr>
          <w:noProof/>
        </w:rPr>
        <w:t xml:space="preserve">tertium </w:t>
      </w:r>
      <w:r w:rsidRPr="00273106">
        <w:rPr>
          <w:noProof/>
          <w:szCs w:val="16"/>
        </w:rPr>
        <w:t xml:space="preserve">dicendum quod </w:t>
      </w:r>
      <w:r w:rsidRPr="00273106">
        <w:rPr>
          <w:noProof/>
          <w:szCs w:val="17"/>
        </w:rPr>
        <w:t xml:space="preserve">secundum </w:t>
      </w:r>
      <w:r w:rsidRPr="00273106">
        <w:rPr>
          <w:noProof/>
          <w:szCs w:val="19"/>
        </w:rPr>
        <w:t xml:space="preserve">Augustinum </w:t>
      </w:r>
      <w:r w:rsidRPr="00273106">
        <w:rPr>
          <w:noProof/>
        </w:rPr>
        <w:t xml:space="preserve">lux increata ipsa </w:t>
      </w:r>
      <w:r w:rsidRPr="00273106">
        <w:rPr>
          <w:noProof/>
          <w:szCs w:val="13"/>
        </w:rPr>
        <w:t xml:space="preserve">ostendit </w:t>
      </w:r>
      <w:r w:rsidRPr="00273106">
        <w:rPr>
          <w:noProof/>
          <w:szCs w:val="15"/>
        </w:rPr>
        <w:t xml:space="preserve">omnia, </w:t>
      </w:r>
      <w:r w:rsidRPr="00273106">
        <w:rPr>
          <w:noProof/>
          <w:szCs w:val="16"/>
        </w:rPr>
        <w:t xml:space="preserve">nec </w:t>
      </w:r>
      <w:r w:rsidRPr="00273106">
        <w:rPr>
          <w:noProof/>
          <w:szCs w:val="17"/>
        </w:rPr>
        <w:t xml:space="preserve">tamen </w:t>
      </w:r>
      <w:r w:rsidRPr="00273106">
        <w:rPr>
          <w:noProof/>
        </w:rPr>
        <w:t xml:space="preserve">se </w:t>
      </w:r>
      <w:r w:rsidRPr="00273106">
        <w:rPr>
          <w:noProof/>
          <w:szCs w:val="16"/>
        </w:rPr>
        <w:t xml:space="preserve">ipsam </w:t>
      </w:r>
      <w:r w:rsidRPr="00273106">
        <w:rPr>
          <w:noProof/>
          <w:szCs w:val="13"/>
        </w:rPr>
        <w:t xml:space="preserve">ostendit obiective. </w:t>
      </w:r>
      <w:r w:rsidRPr="00273106">
        <w:rPr>
          <w:noProof/>
          <w:szCs w:val="15"/>
        </w:rPr>
        <w:t xml:space="preserve">Cuius </w:t>
      </w:r>
      <w:r w:rsidRPr="00273106">
        <w:rPr>
          <w:noProof/>
          <w:szCs w:val="17"/>
        </w:rPr>
        <w:t>exem</w:t>
      </w:r>
      <w:r w:rsidRPr="00273106">
        <w:rPr>
          <w:noProof/>
          <w:szCs w:val="16"/>
        </w:rPr>
        <w:t xml:space="preserve">plum </w:t>
      </w:r>
      <w:r w:rsidRPr="00273106">
        <w:rPr>
          <w:noProof/>
          <w:szCs w:val="13"/>
        </w:rPr>
        <w:t xml:space="preserve">est in </w:t>
      </w:r>
      <w:r w:rsidRPr="00273106">
        <w:rPr>
          <w:noProof/>
        </w:rPr>
        <w:t xml:space="preserve">specie </w:t>
      </w:r>
      <w:r w:rsidRPr="00273106">
        <w:rPr>
          <w:noProof/>
          <w:szCs w:val="12"/>
        </w:rPr>
        <w:t xml:space="preserve">rei </w:t>
      </w:r>
      <w:r w:rsidRPr="00273106">
        <w:rPr>
          <w:noProof/>
          <w:szCs w:val="11"/>
        </w:rPr>
        <w:t xml:space="preserve">visibilis </w:t>
      </w:r>
      <w:r w:rsidRPr="00273106">
        <w:rPr>
          <w:noProof/>
          <w:szCs w:val="13"/>
        </w:rPr>
        <w:t xml:space="preserve">corporalis, </w:t>
      </w:r>
      <w:r w:rsidRPr="00273106">
        <w:rPr>
          <w:noProof/>
          <w:szCs w:val="16"/>
        </w:rPr>
        <w:t xml:space="preserve">quae </w:t>
      </w:r>
      <w:r w:rsidRPr="00273106">
        <w:rPr>
          <w:noProof/>
          <w:szCs w:val="13"/>
        </w:rPr>
        <w:t xml:space="preserve">ostendit </w:t>
      </w:r>
      <w:r w:rsidRPr="00273106">
        <w:rPr>
          <w:noProof/>
          <w:szCs w:val="10"/>
        </w:rPr>
        <w:t xml:space="preserve">id, </w:t>
      </w:r>
      <w:r w:rsidRPr="00273106">
        <w:rPr>
          <w:noProof/>
        </w:rPr>
        <w:t xml:space="preserve">cuius </w:t>
      </w:r>
      <w:r w:rsidRPr="00273106">
        <w:rPr>
          <w:noProof/>
          <w:szCs w:val="13"/>
        </w:rPr>
        <w:t xml:space="preserve">est species, </w:t>
      </w:r>
      <w:r w:rsidRPr="00273106">
        <w:rPr>
          <w:noProof/>
          <w:szCs w:val="16"/>
        </w:rPr>
        <w:t xml:space="preserve">nec </w:t>
      </w:r>
      <w:r w:rsidRPr="00273106">
        <w:rPr>
          <w:noProof/>
          <w:szCs w:val="17"/>
        </w:rPr>
        <w:t xml:space="preserve">tamen </w:t>
      </w:r>
      <w:r w:rsidRPr="00273106">
        <w:rPr>
          <w:noProof/>
        </w:rPr>
        <w:t xml:space="preserve">ostendit </w:t>
      </w:r>
      <w:r w:rsidRPr="00273106">
        <w:rPr>
          <w:noProof/>
          <w:szCs w:val="15"/>
        </w:rPr>
        <w:t xml:space="preserve">essentiam suam, </w:t>
      </w:r>
      <w:r w:rsidRPr="00273106">
        <w:rPr>
          <w:noProof/>
          <w:szCs w:val="12"/>
        </w:rPr>
        <w:t xml:space="preserve">nisi </w:t>
      </w:r>
      <w:r w:rsidRPr="00273106">
        <w:rPr>
          <w:noProof/>
          <w:szCs w:val="13"/>
        </w:rPr>
        <w:t xml:space="preserve">ut est alterius </w:t>
      </w:r>
      <w:r w:rsidRPr="00273106">
        <w:rPr>
          <w:noProof/>
          <w:szCs w:val="12"/>
        </w:rPr>
        <w:t>similitudo.“ (</w:t>
      </w:r>
      <w:r>
        <w:rPr>
          <w:i/>
          <w:noProof/>
        </w:rPr>
        <w:t>Quaestiones tractantes De anima</w:t>
      </w:r>
      <w:r w:rsidRPr="00273106">
        <w:rPr>
          <w:noProof/>
        </w:rPr>
        <w:t xml:space="preserve">, </w:t>
      </w:r>
      <w:r w:rsidRPr="00273106">
        <w:rPr>
          <w:noProof/>
          <w:szCs w:val="14"/>
        </w:rPr>
        <w:t xml:space="preserve">q. 22, solutio, ad 3; </w:t>
      </w:r>
      <w:r w:rsidRPr="00273106">
        <w:rPr>
          <w:noProof/>
        </w:rPr>
        <w:t xml:space="preserve">ed. Spettmann, </w:t>
      </w:r>
      <w:r w:rsidRPr="00273106">
        <w:rPr>
          <w:noProof/>
          <w:szCs w:val="14"/>
        </w:rPr>
        <w:t>p. 175.28‒31</w:t>
      </w:r>
      <w:r>
        <w:rPr>
          <w:noProof/>
        </w:rPr>
        <w:fldChar w:fldCharType="begin"/>
      </w:r>
      <w:r>
        <w:instrText xml:space="preserve"> XE "</w:instrText>
      </w:r>
      <w:r>
        <w:rPr>
          <w:lang w:val="cs-CZ"/>
        </w:rPr>
        <w:instrText>Pecham:</w:instrText>
      </w:r>
      <w:r>
        <w:rPr>
          <w:i/>
          <w:noProof/>
        </w:rPr>
        <w:instrText>Quaestiones tractantes De anima</w:instrText>
      </w:r>
      <w:r>
        <w:rPr>
          <w:noProof/>
        </w:rPr>
        <w:instrText xml:space="preserve"> </w:instrText>
      </w:r>
      <w:r>
        <w:rPr>
          <w:noProof/>
          <w:lang w:val="cs-CZ"/>
        </w:rPr>
        <w:instrText>175</w:instrText>
      </w:r>
      <w:r>
        <w:rPr>
          <w:noProof/>
        </w:rPr>
        <w:instrText>.</w:instrText>
      </w:r>
      <w:r>
        <w:rPr>
          <w:noProof/>
          <w:lang w:val="cs-CZ"/>
        </w:rPr>
        <w:instrText>28</w:instrText>
      </w:r>
      <w:r w:rsidRPr="00736A27">
        <w:rPr>
          <w:noProof/>
        </w:rPr>
        <w:instrText>‒</w:instrText>
      </w:r>
      <w:r>
        <w:rPr>
          <w:noProof/>
          <w:lang w:val="cs-CZ"/>
        </w:rPr>
        <w:instrText>31</w:instrText>
      </w:r>
      <w:r>
        <w:instrText xml:space="preserve">" </w:instrText>
      </w:r>
      <w:r>
        <w:rPr>
          <w:noProof/>
        </w:rPr>
        <w:fldChar w:fldCharType="end"/>
      </w:r>
      <w:r w:rsidRPr="00273106">
        <w:rPr>
          <w:noProof/>
          <w:szCs w:val="12"/>
        </w:rPr>
        <w:t>)</w:t>
      </w:r>
    </w:p>
  </w:footnote>
  <w:footnote w:id="110">
    <w:p w:rsidR="00971E82" w:rsidRPr="00A435BD" w:rsidRDefault="00971E82" w:rsidP="08163013">
      <w:pPr>
        <w:pStyle w:val="Textpoznpodarou"/>
        <w:rPr>
          <w:lang w:val="cs-CZ"/>
        </w:rPr>
      </w:pPr>
      <w:r>
        <w:rPr>
          <w:rStyle w:val="Znakapoznpodarou"/>
        </w:rPr>
        <w:footnoteRef/>
      </w:r>
      <w:r>
        <w:t xml:space="preserve"> </w:t>
      </w:r>
      <w:r w:rsidRPr="00273106">
        <w:rPr>
          <w:noProof/>
        </w:rPr>
        <w:t xml:space="preserve">„Sed illa quae sunt essentialiter in intellectu, non videntur per aliam similitudinem nisi quod ipsa potentia cognitiva assimilatur ipsi cognoscibili, ut possit ipsum videre, quod per se est praesens intellectui.“ </w:t>
      </w:r>
      <w:r w:rsidRPr="00273106">
        <w:rPr>
          <w:noProof/>
          <w:szCs w:val="12"/>
        </w:rPr>
        <w:t>(</w:t>
      </w:r>
      <w:r>
        <w:rPr>
          <w:i/>
          <w:noProof/>
        </w:rPr>
        <w:t>Quaestiones tractantes De anima</w:t>
      </w:r>
      <w:r w:rsidRPr="00273106">
        <w:rPr>
          <w:noProof/>
        </w:rPr>
        <w:t xml:space="preserve">, </w:t>
      </w:r>
      <w:r w:rsidRPr="00273106">
        <w:rPr>
          <w:noProof/>
          <w:szCs w:val="14"/>
        </w:rPr>
        <w:t xml:space="preserve">q. 23, resp.; </w:t>
      </w:r>
      <w:r w:rsidRPr="00273106">
        <w:rPr>
          <w:noProof/>
        </w:rPr>
        <w:t xml:space="preserve">ed. Spettmann, </w:t>
      </w:r>
      <w:r w:rsidRPr="00273106">
        <w:rPr>
          <w:noProof/>
          <w:szCs w:val="14"/>
        </w:rPr>
        <w:t>p. 175.37‒40</w:t>
      </w:r>
      <w:r>
        <w:rPr>
          <w:noProof/>
        </w:rPr>
        <w:fldChar w:fldCharType="begin"/>
      </w:r>
      <w:r>
        <w:instrText xml:space="preserve"> XE "</w:instrText>
      </w:r>
      <w:r>
        <w:rPr>
          <w:lang w:val="cs-CZ"/>
        </w:rPr>
        <w:instrText>Pecham:</w:instrText>
      </w:r>
      <w:r>
        <w:rPr>
          <w:i/>
          <w:noProof/>
        </w:rPr>
        <w:instrText>Quaestiones tractantes De anima</w:instrText>
      </w:r>
      <w:r w:rsidRPr="00736A27">
        <w:rPr>
          <w:noProof/>
        </w:rPr>
        <w:instrText xml:space="preserve"> </w:instrText>
      </w:r>
      <w:r>
        <w:rPr>
          <w:noProof/>
          <w:lang w:val="cs-CZ"/>
        </w:rPr>
        <w:instrText>175</w:instrText>
      </w:r>
      <w:r>
        <w:rPr>
          <w:noProof/>
        </w:rPr>
        <w:instrText>.3</w:instrText>
      </w:r>
      <w:r>
        <w:rPr>
          <w:noProof/>
          <w:lang w:val="cs-CZ"/>
        </w:rPr>
        <w:instrText>7</w:instrText>
      </w:r>
      <w:r w:rsidRPr="00736A27">
        <w:rPr>
          <w:noProof/>
        </w:rPr>
        <w:instrText>‒</w:instrText>
      </w:r>
      <w:r>
        <w:rPr>
          <w:noProof/>
          <w:lang w:val="cs-CZ"/>
        </w:rPr>
        <w:instrText>40</w:instrText>
      </w:r>
      <w:r>
        <w:instrText xml:space="preserve">" </w:instrText>
      </w:r>
      <w:r>
        <w:rPr>
          <w:noProof/>
        </w:rPr>
        <w:fldChar w:fldCharType="end"/>
      </w:r>
      <w:r w:rsidRPr="00273106">
        <w:rPr>
          <w:noProof/>
          <w:szCs w:val="12"/>
        </w:rPr>
        <w:t>)</w:t>
      </w:r>
    </w:p>
  </w:footnote>
  <w:footnote w:id="111">
    <w:p w:rsidR="00971E82" w:rsidRPr="00DB7F9B" w:rsidRDefault="00971E82" w:rsidP="08163013">
      <w:pPr>
        <w:pStyle w:val="Textpoznpodarou"/>
        <w:rPr>
          <w:noProof/>
          <w:lang w:val="cs-CZ"/>
        </w:rPr>
      </w:pPr>
      <w:r>
        <w:rPr>
          <w:rStyle w:val="Znakapoznpodarou"/>
        </w:rPr>
        <w:footnoteRef/>
      </w:r>
      <w:r>
        <w:t xml:space="preserve"> </w:t>
      </w:r>
      <w:r w:rsidRPr="00273106">
        <w:rPr>
          <w:noProof/>
          <w:szCs w:val="15"/>
        </w:rPr>
        <w:t xml:space="preserve">„Item </w:t>
      </w:r>
      <w:r w:rsidRPr="00273106">
        <w:rPr>
          <w:noProof/>
        </w:rPr>
        <w:t xml:space="preserve">res </w:t>
      </w:r>
      <w:r w:rsidRPr="00273106">
        <w:rPr>
          <w:noProof/>
          <w:szCs w:val="12"/>
        </w:rPr>
        <w:t xml:space="preserve">et </w:t>
      </w:r>
      <w:r w:rsidRPr="00273106">
        <w:rPr>
          <w:noProof/>
        </w:rPr>
        <w:t xml:space="preserve">intentio essentialiter </w:t>
      </w:r>
      <w:r w:rsidRPr="00273106">
        <w:rPr>
          <w:noProof/>
          <w:szCs w:val="12"/>
        </w:rPr>
        <w:t xml:space="preserve">differunt. </w:t>
      </w:r>
      <w:r w:rsidRPr="00273106">
        <w:rPr>
          <w:noProof/>
          <w:szCs w:val="14"/>
        </w:rPr>
        <w:t xml:space="preserve">Et impossibile </w:t>
      </w:r>
      <w:r w:rsidRPr="00273106">
        <w:rPr>
          <w:noProof/>
        </w:rPr>
        <w:t xml:space="preserve">est </w:t>
      </w:r>
      <w:r w:rsidRPr="00273106">
        <w:rPr>
          <w:noProof/>
          <w:szCs w:val="16"/>
        </w:rPr>
        <w:t xml:space="preserve">idem </w:t>
      </w:r>
      <w:r w:rsidRPr="00273106">
        <w:rPr>
          <w:noProof/>
          <w:szCs w:val="14"/>
        </w:rPr>
        <w:t xml:space="preserve">esse </w:t>
      </w:r>
      <w:r w:rsidRPr="00273106">
        <w:rPr>
          <w:noProof/>
          <w:szCs w:val="17"/>
        </w:rPr>
        <w:t xml:space="preserve">rem </w:t>
      </w:r>
      <w:r w:rsidRPr="00273106">
        <w:rPr>
          <w:noProof/>
          <w:szCs w:val="12"/>
        </w:rPr>
        <w:t xml:space="preserve">et </w:t>
      </w:r>
      <w:r w:rsidRPr="00273106">
        <w:rPr>
          <w:noProof/>
          <w:szCs w:val="14"/>
        </w:rPr>
        <w:t xml:space="preserve">intentionem. </w:t>
      </w:r>
      <w:r w:rsidRPr="00273106">
        <w:rPr>
          <w:noProof/>
          <w:szCs w:val="16"/>
        </w:rPr>
        <w:t xml:space="preserve">Sed quod </w:t>
      </w:r>
      <w:r w:rsidRPr="00273106">
        <w:rPr>
          <w:noProof/>
        </w:rPr>
        <w:t xml:space="preserve">est </w:t>
      </w:r>
      <w:r w:rsidRPr="00273106">
        <w:rPr>
          <w:noProof/>
          <w:szCs w:val="12"/>
        </w:rPr>
        <w:t xml:space="preserve">in intellectu </w:t>
      </w:r>
      <w:r w:rsidRPr="00273106">
        <w:rPr>
          <w:noProof/>
        </w:rPr>
        <w:t xml:space="preserve">formaliter, est </w:t>
      </w:r>
      <w:r w:rsidRPr="00273106">
        <w:rPr>
          <w:noProof/>
          <w:szCs w:val="12"/>
        </w:rPr>
        <w:t xml:space="preserve">intentio, </w:t>
      </w:r>
      <w:r w:rsidRPr="00273106">
        <w:rPr>
          <w:noProof/>
          <w:szCs w:val="16"/>
        </w:rPr>
        <w:t xml:space="preserve">quod </w:t>
      </w:r>
      <w:r w:rsidRPr="00273106">
        <w:rPr>
          <w:noProof/>
          <w:szCs w:val="17"/>
        </w:rPr>
        <w:t xml:space="preserve">movet </w:t>
      </w:r>
      <w:r w:rsidRPr="00273106">
        <w:rPr>
          <w:noProof/>
          <w:szCs w:val="14"/>
        </w:rPr>
        <w:t xml:space="preserve">intellectum </w:t>
      </w:r>
      <w:r w:rsidRPr="00273106">
        <w:rPr>
          <w:noProof/>
        </w:rPr>
        <w:t xml:space="preserve">obiective, est </w:t>
      </w:r>
      <w:r w:rsidRPr="00273106">
        <w:rPr>
          <w:noProof/>
          <w:szCs w:val="12"/>
        </w:rPr>
        <w:t xml:space="preserve">res. </w:t>
      </w:r>
      <w:r w:rsidRPr="00273106">
        <w:rPr>
          <w:noProof/>
          <w:szCs w:val="16"/>
        </w:rPr>
        <w:t xml:space="preserve">Ergo </w:t>
      </w:r>
      <w:r w:rsidRPr="00273106">
        <w:rPr>
          <w:noProof/>
          <w:szCs w:val="14"/>
        </w:rPr>
        <w:t>impossi</w:t>
      </w:r>
      <w:r w:rsidRPr="00273106">
        <w:rPr>
          <w:noProof/>
          <w:szCs w:val="12"/>
        </w:rPr>
        <w:t xml:space="preserve">bile est </w:t>
      </w:r>
      <w:r w:rsidRPr="00273106">
        <w:rPr>
          <w:noProof/>
          <w:szCs w:val="17"/>
        </w:rPr>
        <w:t xml:space="preserve">rem </w:t>
      </w:r>
      <w:r w:rsidRPr="00273106">
        <w:rPr>
          <w:noProof/>
          <w:szCs w:val="15"/>
        </w:rPr>
        <w:t xml:space="preserve">cognosci </w:t>
      </w:r>
      <w:r w:rsidRPr="00273106">
        <w:rPr>
          <w:noProof/>
          <w:szCs w:val="16"/>
        </w:rPr>
        <w:t xml:space="preserve">ab </w:t>
      </w:r>
      <w:r w:rsidRPr="00273106">
        <w:rPr>
          <w:noProof/>
          <w:szCs w:val="12"/>
        </w:rPr>
        <w:t xml:space="preserve">intellectu nisi </w:t>
      </w:r>
      <w:r w:rsidRPr="00273106">
        <w:rPr>
          <w:noProof/>
          <w:szCs w:val="15"/>
        </w:rPr>
        <w:t xml:space="preserve">per </w:t>
      </w:r>
      <w:r w:rsidRPr="00273106">
        <w:rPr>
          <w:noProof/>
          <w:szCs w:val="14"/>
        </w:rPr>
        <w:t xml:space="preserve">intentionem.“ </w:t>
      </w:r>
      <w:r w:rsidRPr="00273106">
        <w:rPr>
          <w:noProof/>
          <w:szCs w:val="12"/>
        </w:rPr>
        <w:t>(</w:t>
      </w:r>
      <w:r>
        <w:rPr>
          <w:i/>
          <w:noProof/>
        </w:rPr>
        <w:t>Quaestiones tractantes De anima</w:t>
      </w:r>
      <w:r w:rsidRPr="00273106">
        <w:rPr>
          <w:noProof/>
        </w:rPr>
        <w:t xml:space="preserve">, </w:t>
      </w:r>
      <w:r w:rsidRPr="00273106">
        <w:rPr>
          <w:noProof/>
          <w:szCs w:val="14"/>
        </w:rPr>
        <w:t xml:space="preserve">q. 9, contra, ad 8; </w:t>
      </w:r>
      <w:r w:rsidRPr="00273106">
        <w:rPr>
          <w:noProof/>
        </w:rPr>
        <w:t xml:space="preserve">ed. Spettmann, </w:t>
      </w:r>
      <w:r w:rsidRPr="00273106">
        <w:rPr>
          <w:noProof/>
          <w:szCs w:val="14"/>
        </w:rPr>
        <w:t>p. 83.6‒9</w:t>
      </w:r>
      <w:r>
        <w:rPr>
          <w:noProof/>
        </w:rPr>
        <w:fldChar w:fldCharType="begin"/>
      </w:r>
      <w:r>
        <w:instrText xml:space="preserve"> XE "</w:instrText>
      </w:r>
      <w:r>
        <w:rPr>
          <w:lang w:val="cs-CZ"/>
        </w:rPr>
        <w:instrText>Pecham:</w:instrText>
      </w:r>
      <w:r>
        <w:rPr>
          <w:i/>
          <w:noProof/>
        </w:rPr>
        <w:instrText>Quaestiones tractantes De anima</w:instrText>
      </w:r>
      <w:r>
        <w:rPr>
          <w:noProof/>
        </w:rPr>
        <w:instrText xml:space="preserve"> </w:instrText>
      </w:r>
      <w:r>
        <w:rPr>
          <w:noProof/>
          <w:lang w:val="cs-CZ"/>
        </w:rPr>
        <w:instrText>8</w:instrText>
      </w:r>
      <w:r w:rsidRPr="00736A27">
        <w:rPr>
          <w:noProof/>
        </w:rPr>
        <w:instrText>3.</w:instrText>
      </w:r>
      <w:r>
        <w:rPr>
          <w:noProof/>
          <w:lang w:val="cs-CZ"/>
        </w:rPr>
        <w:instrText>6</w:instrText>
      </w:r>
      <w:r w:rsidRPr="00736A27">
        <w:rPr>
          <w:noProof/>
        </w:rPr>
        <w:instrText>‒</w:instrText>
      </w:r>
      <w:r>
        <w:rPr>
          <w:noProof/>
          <w:lang w:val="cs-CZ"/>
        </w:rPr>
        <w:instrText>9</w:instrText>
      </w:r>
      <w:r>
        <w:instrText xml:space="preserve">" </w:instrText>
      </w:r>
      <w:r>
        <w:rPr>
          <w:noProof/>
        </w:rPr>
        <w:fldChar w:fldCharType="end"/>
      </w:r>
      <w:r w:rsidRPr="00273106">
        <w:rPr>
          <w:noProof/>
          <w:szCs w:val="12"/>
        </w:rPr>
        <w:t>)</w:t>
      </w:r>
    </w:p>
  </w:footnote>
  <w:footnote w:id="112">
    <w:p w:rsidR="00971E82" w:rsidRPr="003D09DA" w:rsidRDefault="00971E82" w:rsidP="08163013">
      <w:pPr>
        <w:pStyle w:val="Textpoznpodarou"/>
        <w:rPr>
          <w:noProof/>
          <w:szCs w:val="12"/>
          <w:lang w:val="cs-CZ"/>
        </w:rPr>
      </w:pPr>
      <w:r>
        <w:rPr>
          <w:rStyle w:val="Znakapoznpodarou"/>
        </w:rPr>
        <w:footnoteRef/>
      </w:r>
      <w:r>
        <w:t xml:space="preserve"> </w:t>
      </w:r>
      <w:r w:rsidRPr="00273106">
        <w:rPr>
          <w:noProof/>
        </w:rPr>
        <w:t xml:space="preserve">„Veritas </w:t>
      </w:r>
      <w:r w:rsidRPr="00273106">
        <w:rPr>
          <w:noProof/>
          <w:szCs w:val="13"/>
        </w:rPr>
        <w:t xml:space="preserve">particularis </w:t>
      </w:r>
      <w:r w:rsidRPr="00273106">
        <w:rPr>
          <w:noProof/>
          <w:szCs w:val="17"/>
        </w:rPr>
        <w:t xml:space="preserve">quaedam </w:t>
      </w:r>
      <w:r w:rsidRPr="00273106">
        <w:rPr>
          <w:noProof/>
          <w:szCs w:val="12"/>
        </w:rPr>
        <w:t xml:space="preserve">est </w:t>
      </w:r>
      <w:r w:rsidRPr="00273106">
        <w:rPr>
          <w:noProof/>
          <w:szCs w:val="15"/>
        </w:rPr>
        <w:t xml:space="preserve">complexa, </w:t>
      </w:r>
      <w:r w:rsidRPr="00273106">
        <w:rPr>
          <w:noProof/>
          <w:szCs w:val="17"/>
        </w:rPr>
        <w:t xml:space="preserve">quaedam </w:t>
      </w:r>
      <w:r w:rsidRPr="00273106">
        <w:rPr>
          <w:noProof/>
          <w:szCs w:val="15"/>
        </w:rPr>
        <w:t xml:space="preserve">incomplexa. </w:t>
      </w:r>
      <w:r w:rsidRPr="00273106">
        <w:rPr>
          <w:noProof/>
        </w:rPr>
        <w:t xml:space="preserve">Veritas </w:t>
      </w:r>
      <w:r>
        <w:rPr>
          <w:noProof/>
          <w:szCs w:val="15"/>
        </w:rPr>
        <w:t>incom</w:t>
      </w:r>
      <w:r w:rsidRPr="00273106">
        <w:rPr>
          <w:noProof/>
          <w:szCs w:val="15"/>
        </w:rPr>
        <w:t xml:space="preserve">plexa, </w:t>
      </w:r>
      <w:r w:rsidRPr="00273106">
        <w:rPr>
          <w:noProof/>
          <w:szCs w:val="16"/>
        </w:rPr>
        <w:t xml:space="preserve">quae </w:t>
      </w:r>
      <w:r w:rsidRPr="00273106">
        <w:rPr>
          <w:noProof/>
          <w:szCs w:val="13"/>
        </w:rPr>
        <w:t xml:space="preserve">est </w:t>
      </w:r>
      <w:r w:rsidRPr="00273106">
        <w:rPr>
          <w:noProof/>
          <w:szCs w:val="15"/>
        </w:rPr>
        <w:t xml:space="preserve">vera </w:t>
      </w:r>
      <w:r w:rsidRPr="00273106">
        <w:rPr>
          <w:noProof/>
          <w:szCs w:val="12"/>
        </w:rPr>
        <w:t xml:space="preserve">rei entitas, </w:t>
      </w:r>
      <w:r w:rsidRPr="00273106">
        <w:rPr>
          <w:noProof/>
        </w:rPr>
        <w:t xml:space="preserve">cognoscitur </w:t>
      </w:r>
      <w:r w:rsidRPr="00273106">
        <w:rPr>
          <w:noProof/>
          <w:szCs w:val="15"/>
        </w:rPr>
        <w:t xml:space="preserve">per </w:t>
      </w:r>
      <w:r w:rsidRPr="00273106">
        <w:rPr>
          <w:noProof/>
        </w:rPr>
        <w:t xml:space="preserve">speciem, </w:t>
      </w:r>
      <w:r w:rsidRPr="00273106">
        <w:rPr>
          <w:noProof/>
          <w:szCs w:val="13"/>
        </w:rPr>
        <w:t xml:space="preserve">sicut res </w:t>
      </w:r>
      <w:r w:rsidRPr="00273106">
        <w:rPr>
          <w:noProof/>
        </w:rPr>
        <w:t xml:space="preserve">cuius </w:t>
      </w:r>
      <w:r w:rsidRPr="00273106">
        <w:rPr>
          <w:noProof/>
          <w:szCs w:val="13"/>
        </w:rPr>
        <w:t xml:space="preserve">est </w:t>
      </w:r>
      <w:r w:rsidRPr="00273106">
        <w:rPr>
          <w:noProof/>
          <w:szCs w:val="12"/>
        </w:rPr>
        <w:t xml:space="preserve">veritas. </w:t>
      </w:r>
      <w:r w:rsidRPr="00273106">
        <w:rPr>
          <w:noProof/>
        </w:rPr>
        <w:t xml:space="preserve">Veritas </w:t>
      </w:r>
      <w:r w:rsidRPr="00273106">
        <w:rPr>
          <w:noProof/>
          <w:szCs w:val="13"/>
        </w:rPr>
        <w:t xml:space="preserve">enuntiabilis </w:t>
      </w:r>
      <w:r w:rsidRPr="00273106">
        <w:rPr>
          <w:noProof/>
        </w:rPr>
        <w:t xml:space="preserve">cognoscitur </w:t>
      </w:r>
      <w:r w:rsidRPr="00273106">
        <w:rPr>
          <w:noProof/>
          <w:szCs w:val="13"/>
        </w:rPr>
        <w:t xml:space="preserve">effective </w:t>
      </w:r>
      <w:r w:rsidRPr="00273106">
        <w:rPr>
          <w:noProof/>
          <w:szCs w:val="15"/>
        </w:rPr>
        <w:t xml:space="preserve">per </w:t>
      </w:r>
      <w:r w:rsidRPr="00273106">
        <w:rPr>
          <w:noProof/>
          <w:szCs w:val="16"/>
        </w:rPr>
        <w:t xml:space="preserve">lucem </w:t>
      </w:r>
      <w:r w:rsidRPr="00273106">
        <w:rPr>
          <w:noProof/>
          <w:szCs w:val="15"/>
        </w:rPr>
        <w:t xml:space="preserve">aeternam, </w:t>
      </w:r>
      <w:r w:rsidRPr="00273106">
        <w:rPr>
          <w:noProof/>
        </w:rPr>
        <w:t xml:space="preserve">obiective </w:t>
      </w:r>
      <w:r w:rsidRPr="00273106">
        <w:rPr>
          <w:noProof/>
          <w:szCs w:val="15"/>
        </w:rPr>
        <w:t xml:space="preserve">per </w:t>
      </w:r>
      <w:r w:rsidRPr="00273106">
        <w:rPr>
          <w:noProof/>
        </w:rPr>
        <w:t xml:space="preserve">species </w:t>
      </w:r>
      <w:r w:rsidRPr="00273106">
        <w:rPr>
          <w:noProof/>
          <w:szCs w:val="15"/>
        </w:rPr>
        <w:t xml:space="preserve">simplicium </w:t>
      </w:r>
      <w:r w:rsidRPr="00273106">
        <w:rPr>
          <w:noProof/>
          <w:szCs w:val="16"/>
        </w:rPr>
        <w:t xml:space="preserve">terminorum </w:t>
      </w:r>
      <w:r w:rsidRPr="00273106">
        <w:rPr>
          <w:noProof/>
          <w:szCs w:val="15"/>
        </w:rPr>
        <w:t>enun</w:t>
      </w:r>
      <w:r w:rsidRPr="00273106">
        <w:rPr>
          <w:noProof/>
          <w:szCs w:val="12"/>
        </w:rPr>
        <w:t xml:space="preserve">tiabile </w:t>
      </w:r>
      <w:r w:rsidRPr="00273106">
        <w:rPr>
          <w:noProof/>
        </w:rPr>
        <w:t xml:space="preserve">constituentium, </w:t>
      </w:r>
      <w:r w:rsidRPr="00273106">
        <w:rPr>
          <w:noProof/>
          <w:szCs w:val="15"/>
        </w:rPr>
        <w:t xml:space="preserve">completive per relationem </w:t>
      </w:r>
      <w:r w:rsidRPr="00273106">
        <w:rPr>
          <w:noProof/>
          <w:szCs w:val="16"/>
        </w:rPr>
        <w:t xml:space="preserve">ad lucem </w:t>
      </w:r>
      <w:r w:rsidRPr="00273106">
        <w:rPr>
          <w:noProof/>
          <w:szCs w:val="17"/>
        </w:rPr>
        <w:t>incommu</w:t>
      </w:r>
      <w:r w:rsidRPr="00273106">
        <w:rPr>
          <w:noProof/>
        </w:rPr>
        <w:t xml:space="preserve">tabilem iuxta </w:t>
      </w:r>
      <w:r w:rsidRPr="00273106">
        <w:rPr>
          <w:noProof/>
          <w:szCs w:val="13"/>
        </w:rPr>
        <w:t xml:space="preserve">illam </w:t>
      </w:r>
      <w:r w:rsidRPr="00273106">
        <w:rPr>
          <w:noProof/>
        </w:rPr>
        <w:t xml:space="preserve">auctoritatem </w:t>
      </w:r>
      <w:r w:rsidRPr="00273106">
        <w:rPr>
          <w:noProof/>
          <w:szCs w:val="18"/>
        </w:rPr>
        <w:t xml:space="preserve">Augustini </w:t>
      </w:r>
      <w:r w:rsidRPr="00273106">
        <w:rPr>
          <w:noProof/>
          <w:szCs w:val="15"/>
        </w:rPr>
        <w:t xml:space="preserve">praetactam </w:t>
      </w:r>
      <w:r w:rsidRPr="00273106">
        <w:rPr>
          <w:noProof/>
          <w:szCs w:val="17"/>
        </w:rPr>
        <w:t xml:space="preserve">«Secundum </w:t>
      </w:r>
      <w:r w:rsidRPr="00273106">
        <w:rPr>
          <w:noProof/>
          <w:szCs w:val="13"/>
        </w:rPr>
        <w:t xml:space="preserve">illam </w:t>
      </w:r>
      <w:r w:rsidRPr="00273106">
        <w:rPr>
          <w:noProof/>
          <w:szCs w:val="15"/>
        </w:rPr>
        <w:t xml:space="preserve">iudicamus </w:t>
      </w:r>
      <w:r w:rsidRPr="00273106">
        <w:rPr>
          <w:noProof/>
          <w:szCs w:val="12"/>
        </w:rPr>
        <w:t>etc.»“ (</w:t>
      </w:r>
      <w:r>
        <w:rPr>
          <w:i/>
          <w:noProof/>
        </w:rPr>
        <w:t>Quaestiones tractantes De anima</w:t>
      </w:r>
      <w:r w:rsidRPr="00273106">
        <w:rPr>
          <w:noProof/>
        </w:rPr>
        <w:t>, ed. Spettmann, q. 42, resp.; p. 221.15‒21</w:t>
      </w:r>
      <w:r>
        <w:rPr>
          <w:noProof/>
        </w:rPr>
        <w:fldChar w:fldCharType="begin"/>
      </w:r>
      <w:r>
        <w:instrText xml:space="preserve"> XE "</w:instrText>
      </w:r>
      <w:r>
        <w:rPr>
          <w:lang w:val="cs-CZ"/>
        </w:rPr>
        <w:instrText>Pecham:</w:instrText>
      </w:r>
      <w:r>
        <w:rPr>
          <w:i/>
          <w:noProof/>
        </w:rPr>
        <w:instrText>Quaestiones tractantes De anima</w:instrText>
      </w:r>
      <w:r>
        <w:rPr>
          <w:noProof/>
          <w:lang w:val="cs-CZ"/>
        </w:rPr>
        <w:instrText xml:space="preserve"> </w:instrText>
      </w:r>
      <w:r w:rsidRPr="00B831EB">
        <w:rPr>
          <w:noProof/>
        </w:rPr>
        <w:instrText>221.15‒21</w:instrText>
      </w:r>
      <w:r>
        <w:instrText xml:space="preserve">" </w:instrText>
      </w:r>
      <w:r>
        <w:rPr>
          <w:noProof/>
        </w:rPr>
        <w:fldChar w:fldCharType="end"/>
      </w:r>
      <w:r w:rsidRPr="00273106">
        <w:rPr>
          <w:noProof/>
          <w:szCs w:val="12"/>
        </w:rPr>
        <w:t>)</w:t>
      </w:r>
    </w:p>
  </w:footnote>
  <w:footnote w:id="113">
    <w:p w:rsidR="00971E82" w:rsidRPr="00C53741" w:rsidRDefault="00971E82" w:rsidP="08163013">
      <w:pPr>
        <w:pStyle w:val="Textpoznpodarou"/>
        <w:rPr>
          <w:lang w:val="cs-CZ"/>
        </w:rPr>
      </w:pPr>
      <w:r>
        <w:rPr>
          <w:rStyle w:val="Znakapoznpodarou"/>
        </w:rPr>
        <w:footnoteRef/>
      </w:r>
      <w:r>
        <w:t xml:space="preserve"> </w:t>
      </w:r>
      <w:r w:rsidRPr="00273106">
        <w:rPr>
          <w:noProof/>
        </w:rPr>
        <w:t>„Et potest haec obiectio fieri contra dictum modum ponendi universale esse in intellectu. Et est sophistica. Et est dissolutio huius talis. Quaedam sunt quae seipsis distinctionem habent et numerum essentialiter, ut sunt partes quantitativae diversorum continuorum, distinctos situs habentes in suis subiectis, ita quod subiecta quanta diversa seipsis distinguuntur, non per accidens sibi...“  (</w:t>
      </w:r>
      <w:r w:rsidRPr="00273106">
        <w:rPr>
          <w:i/>
          <w:noProof/>
        </w:rPr>
        <w:t>Anon. Giele</w:t>
      </w:r>
      <w:r w:rsidRPr="00273106">
        <w:rPr>
          <w:noProof/>
        </w:rPr>
        <w:t xml:space="preserve"> I.5; p. 36.60‒65</w:t>
      </w:r>
      <w:r>
        <w:fldChar w:fldCharType="begin"/>
      </w:r>
      <w:r>
        <w:instrText xml:space="preserve"> XE "</w:instrText>
      </w:r>
      <w:r>
        <w:rPr>
          <w:i/>
        </w:rPr>
        <w:instrText>Anonym</w:instrText>
      </w:r>
      <w:r w:rsidRPr="00B279FE">
        <w:rPr>
          <w:i/>
        </w:rPr>
        <w:instrText xml:space="preserve"> Giele</w:instrText>
      </w:r>
      <w:r w:rsidRPr="00B75F07">
        <w:instrText xml:space="preserve"> </w:instrText>
      </w:r>
      <w:r>
        <w:rPr>
          <w:lang w:val="cs-CZ"/>
        </w:rPr>
        <w:instrText>36</w:instrText>
      </w:r>
      <w:r>
        <w:instrText>.</w:instrText>
      </w:r>
      <w:r>
        <w:rPr>
          <w:lang w:val="cs-CZ"/>
        </w:rPr>
        <w:instrText>60</w:instrText>
      </w:r>
      <w:r>
        <w:instrText>‒</w:instrText>
      </w:r>
      <w:r>
        <w:rPr>
          <w:lang w:val="cs-CZ"/>
        </w:rPr>
        <w:instrText>65</w:instrText>
      </w:r>
      <w:r>
        <w:instrText xml:space="preserve">" </w:instrText>
      </w:r>
      <w:r>
        <w:fldChar w:fldCharType="end"/>
      </w:r>
      <w:r w:rsidRPr="00273106">
        <w:rPr>
          <w:noProof/>
        </w:rPr>
        <w:t>)</w:t>
      </w:r>
    </w:p>
  </w:footnote>
  <w:footnote w:id="114">
    <w:p w:rsidR="00971E82" w:rsidRPr="00C41EAC" w:rsidRDefault="00971E82" w:rsidP="08163013">
      <w:pPr>
        <w:pStyle w:val="Textpoznpodarou"/>
      </w:pPr>
      <w:r>
        <w:rPr>
          <w:rStyle w:val="Znakapoznpodarou"/>
        </w:rPr>
        <w:footnoteRef/>
      </w:r>
      <w:r>
        <w:t xml:space="preserve"> </w:t>
      </w:r>
      <w:r w:rsidRPr="00C41EAC">
        <w:t>„Item, si aliqua una esset scientia docens vel demonstrans quod quid est in singulis rebus, i</w:t>
      </w:r>
      <w:r w:rsidRPr="00C41EAC">
        <w:rPr>
          <w:rFonts w:eastAsia="Times"/>
        </w:rPr>
        <w:t>lla esset scientia realis;</w:t>
      </w:r>
      <w:r w:rsidRPr="00C41EAC">
        <w:t xml:space="preserve"> sed scientia docens modum demonstrandi et venandi quod quid est in singulis rebus, ipsa est modalis; differunt igitur, etc. I</w:t>
      </w:r>
      <w:r w:rsidRPr="00C41EAC">
        <w:rPr>
          <w:rFonts w:eastAsia="Times"/>
        </w:rPr>
        <w:t>ntelligendum tunc quod non est possibile esse unam scientiam</w:t>
      </w:r>
      <w:r w:rsidRPr="00C41EAC">
        <w:t xml:space="preserve"> aliquam communem docentem sive demonstrantem quod quid est </w:t>
      </w:r>
      <w:r w:rsidRPr="00C41EAC">
        <w:rPr>
          <w:rFonts w:eastAsia="Times"/>
        </w:rPr>
        <w:t xml:space="preserve">in singulis rebus...“ </w:t>
      </w:r>
      <w:r w:rsidRPr="00C41EAC">
        <w:t>(</w:t>
      </w:r>
      <w:r w:rsidRPr="00C41EAC">
        <w:rPr>
          <w:i/>
        </w:rPr>
        <w:t>Anon. Giele</w:t>
      </w:r>
      <w:r>
        <w:t xml:space="preserve"> I, Commentum I</w:t>
      </w:r>
      <w:r>
        <w:rPr>
          <w:lang w:val="cs-CZ"/>
        </w:rPr>
        <w:t xml:space="preserve">; </w:t>
      </w:r>
      <w:r w:rsidRPr="00C41EAC">
        <w:t>p. 33.15‒22</w:t>
      </w:r>
      <w:r>
        <w:fldChar w:fldCharType="begin"/>
      </w:r>
      <w:r>
        <w:instrText xml:space="preserve"> XE "</w:instrText>
      </w:r>
      <w:r>
        <w:rPr>
          <w:i/>
        </w:rPr>
        <w:instrText>Anonym</w:instrText>
      </w:r>
      <w:r w:rsidRPr="00B279FE">
        <w:rPr>
          <w:i/>
        </w:rPr>
        <w:instrText xml:space="preserve"> Giele</w:instrText>
      </w:r>
      <w:r w:rsidRPr="00B75F07">
        <w:instrText xml:space="preserve"> </w:instrText>
      </w:r>
      <w:r>
        <w:rPr>
          <w:lang w:val="cs-CZ"/>
        </w:rPr>
        <w:instrText>3</w:instrText>
      </w:r>
      <w:r>
        <w:instrText>3.</w:instrText>
      </w:r>
      <w:r>
        <w:rPr>
          <w:lang w:val="cs-CZ"/>
        </w:rPr>
        <w:instrText>15</w:instrText>
      </w:r>
      <w:r>
        <w:instrText>‒</w:instrText>
      </w:r>
      <w:r>
        <w:rPr>
          <w:lang w:val="cs-CZ"/>
        </w:rPr>
        <w:instrText>22</w:instrText>
      </w:r>
      <w:r>
        <w:instrText xml:space="preserve">" </w:instrText>
      </w:r>
      <w:r>
        <w:fldChar w:fldCharType="end"/>
      </w:r>
      <w:r w:rsidRPr="00C41EAC">
        <w:t>)</w:t>
      </w:r>
    </w:p>
  </w:footnote>
  <w:footnote w:id="115">
    <w:p w:rsidR="00971E82" w:rsidRPr="00A80729" w:rsidRDefault="00971E82" w:rsidP="08163013">
      <w:pPr>
        <w:pStyle w:val="Textpoznpodarou"/>
        <w:rPr>
          <w:lang w:val="cs-CZ"/>
        </w:rPr>
      </w:pPr>
      <w:r>
        <w:rPr>
          <w:rStyle w:val="Znakapoznpodarou"/>
        </w:rPr>
        <w:footnoteRef/>
      </w:r>
      <w:r>
        <w:t xml:space="preserve"> </w:t>
      </w:r>
      <w:r w:rsidRPr="00273106">
        <w:rPr>
          <w:noProof/>
        </w:rPr>
        <w:t>„Si igitur intelligere operatio separata, ex ea non probatur substantiam intelligentem esse actum corporis. Item, in positione hac implicantur contradictoria: dicit enim quod nos intelligimus ex modo quo intelligere sit passio in materia, quia dicit quod intelligimus per intellectum qui est actus corporis; et haec contradictoria primo dicto quod dicit intelligere passionem esse separatam; ideo positio haec stare non potest.“ (</w:t>
      </w:r>
      <w:r w:rsidRPr="00273106">
        <w:rPr>
          <w:i/>
          <w:noProof/>
        </w:rPr>
        <w:t>Anon. Giele</w:t>
      </w:r>
      <w:r w:rsidRPr="00273106">
        <w:rPr>
          <w:noProof/>
        </w:rPr>
        <w:t xml:space="preserve"> I.6; p. 38.49‒55</w:t>
      </w:r>
      <w:r>
        <w:fldChar w:fldCharType="begin"/>
      </w:r>
      <w:r>
        <w:instrText xml:space="preserve"> XE "</w:instrText>
      </w:r>
      <w:r>
        <w:rPr>
          <w:i/>
        </w:rPr>
        <w:instrText>Anonym</w:instrText>
      </w:r>
      <w:r w:rsidRPr="00B279FE">
        <w:rPr>
          <w:i/>
        </w:rPr>
        <w:instrText xml:space="preserve"> Giele</w:instrText>
      </w:r>
      <w:r w:rsidRPr="00B75F07">
        <w:instrText xml:space="preserve"> </w:instrText>
      </w:r>
      <w:r>
        <w:rPr>
          <w:lang w:val="cs-CZ"/>
        </w:rPr>
        <w:instrText>38</w:instrText>
      </w:r>
      <w:r>
        <w:instrText>.</w:instrText>
      </w:r>
      <w:r>
        <w:rPr>
          <w:lang w:val="cs-CZ"/>
        </w:rPr>
        <w:instrText>49</w:instrText>
      </w:r>
      <w:r>
        <w:instrText>‒</w:instrText>
      </w:r>
      <w:r>
        <w:rPr>
          <w:lang w:val="cs-CZ"/>
        </w:rPr>
        <w:instrText>55</w:instrText>
      </w:r>
      <w:r>
        <w:instrText xml:space="preserve">" </w:instrText>
      </w:r>
      <w:r>
        <w:fldChar w:fldCharType="end"/>
      </w:r>
      <w:r w:rsidRPr="00273106">
        <w:rPr>
          <w:noProof/>
        </w:rPr>
        <w:t>)</w:t>
      </w:r>
    </w:p>
  </w:footnote>
  <w:footnote w:id="116">
    <w:p w:rsidR="00971E82" w:rsidRPr="00D83D5D" w:rsidRDefault="00971E82" w:rsidP="08163013">
      <w:pPr>
        <w:pStyle w:val="Textpoznpodarou"/>
        <w:rPr>
          <w:lang w:val="cs-CZ"/>
        </w:rPr>
      </w:pPr>
      <w:r>
        <w:rPr>
          <w:rStyle w:val="Znakapoznpodarou"/>
        </w:rPr>
        <w:footnoteRef/>
      </w:r>
      <w:r>
        <w:t xml:space="preserve"> </w:t>
      </w:r>
      <w:r>
        <w:rPr>
          <w:lang w:val="cs-CZ"/>
        </w:rPr>
        <w:t>„I</w:t>
      </w:r>
      <w:r w:rsidRPr="0077048F">
        <w:t xml:space="preserve">ntelligibile esse oportet dividi in consimilia hiis duobus, scilicet in aliquod simile forme et in aliquod simile </w:t>
      </w:r>
      <w:proofErr w:type="gramStart"/>
      <w:r w:rsidRPr="0077048F">
        <w:t>materie</w:t>
      </w:r>
      <w:r w:rsidRPr="0077048F">
        <w:rPr>
          <w:lang w:val="cs-CZ"/>
        </w:rPr>
        <w:t>..</w:t>
      </w:r>
      <w:r>
        <w:rPr>
          <w:lang w:val="cs-CZ"/>
        </w:rPr>
        <w:t>.</w:t>
      </w:r>
      <w:r w:rsidRPr="0077048F">
        <w:rPr>
          <w:lang w:val="cs-CZ"/>
        </w:rPr>
        <w:t>“</w:t>
      </w:r>
      <w:proofErr w:type="gramEnd"/>
      <w:r w:rsidRPr="00D83D5D">
        <w:t xml:space="preserve"> </w:t>
      </w:r>
      <w:r>
        <w:rPr>
          <w:lang w:val="cs-CZ"/>
        </w:rPr>
        <w:t>(</w:t>
      </w:r>
      <w:r>
        <w:t xml:space="preserve">CMDA </w:t>
      </w:r>
      <w:proofErr w:type="gramStart"/>
      <w:r>
        <w:rPr>
          <w:lang w:val="cs-CZ"/>
        </w:rPr>
        <w:t>III.4;</w:t>
      </w:r>
      <w:proofErr w:type="gramEnd"/>
      <w:r>
        <w:rPr>
          <w:lang w:val="cs-CZ"/>
        </w:rPr>
        <w:t xml:space="preserve"> </w:t>
      </w:r>
      <w:r>
        <w:t>409.654</w:t>
      </w:r>
      <w:r>
        <w:rPr>
          <w:noProof/>
        </w:rPr>
        <w:t>–62</w:t>
      </w:r>
      <w:r>
        <w:rPr>
          <w:noProof/>
        </w:rPr>
        <w:fldChar w:fldCharType="begin"/>
      </w:r>
      <w:r>
        <w:instrText xml:space="preserve"> XE "Averroes</w:instrText>
      </w:r>
      <w:r w:rsidRPr="007A1A5A">
        <w:instrText>:CMDA 409.654–</w:instrText>
      </w:r>
      <w:r w:rsidRPr="007A1A5A">
        <w:rPr>
          <w:noProof/>
        </w:rPr>
        <w:instrText>62</w:instrText>
      </w:r>
      <w:r>
        <w:instrText xml:space="preserve">" </w:instrText>
      </w:r>
      <w:r>
        <w:rPr>
          <w:noProof/>
        </w:rPr>
        <w:fldChar w:fldCharType="end"/>
      </w:r>
      <w:r>
        <w:t>)</w:t>
      </w:r>
    </w:p>
  </w:footnote>
  <w:footnote w:id="117">
    <w:p w:rsidR="00971E82" w:rsidRPr="00C1401B" w:rsidRDefault="00971E82" w:rsidP="08163013">
      <w:pPr>
        <w:pStyle w:val="Textpoznpodarou"/>
        <w:rPr>
          <w:noProof/>
          <w:lang w:val="cs-CZ"/>
        </w:rPr>
      </w:pPr>
      <w:r>
        <w:rPr>
          <w:rStyle w:val="Znakapoznpodarou"/>
        </w:rPr>
        <w:footnoteRef/>
      </w:r>
      <w:r>
        <w:t xml:space="preserve"> </w:t>
      </w:r>
      <w:r>
        <w:rPr>
          <w:noProof/>
        </w:rPr>
        <w:t>„</w:t>
      </w:r>
      <w:r>
        <w:rPr>
          <w:noProof/>
          <w:lang w:val="cs-CZ"/>
        </w:rPr>
        <w:t>I</w:t>
      </w:r>
      <w:r w:rsidRPr="00273106">
        <w:rPr>
          <w:noProof/>
        </w:rPr>
        <w:t>ntelligere aliquid commune est animae et corpori et indiget anima ad explendum hanc operationem corpore sicut obiecto.“ (</w:t>
      </w:r>
      <w:r w:rsidRPr="00273106">
        <w:rPr>
          <w:i/>
          <w:noProof/>
        </w:rPr>
        <w:t>Anon. Giele</w:t>
      </w:r>
      <w:r w:rsidRPr="00273106">
        <w:rPr>
          <w:noProof/>
        </w:rPr>
        <w:t xml:space="preserve"> I.6; p. 39.84‒85</w:t>
      </w:r>
      <w:r>
        <w:fldChar w:fldCharType="begin"/>
      </w:r>
      <w:r>
        <w:instrText xml:space="preserve"> XE "</w:instrText>
      </w:r>
      <w:r>
        <w:rPr>
          <w:i/>
        </w:rPr>
        <w:instrText>Anonym</w:instrText>
      </w:r>
      <w:r w:rsidRPr="00B279FE">
        <w:rPr>
          <w:i/>
        </w:rPr>
        <w:instrText xml:space="preserve"> Giele</w:instrText>
      </w:r>
      <w:r w:rsidRPr="00B75F07">
        <w:instrText xml:space="preserve"> </w:instrText>
      </w:r>
      <w:r>
        <w:rPr>
          <w:lang w:val="cs-CZ"/>
        </w:rPr>
        <w:instrText>39</w:instrText>
      </w:r>
      <w:r>
        <w:instrText>.</w:instrText>
      </w:r>
      <w:r>
        <w:rPr>
          <w:lang w:val="cs-CZ"/>
        </w:rPr>
        <w:instrText>84</w:instrText>
      </w:r>
      <w:r>
        <w:instrText>‒</w:instrText>
      </w:r>
      <w:r>
        <w:rPr>
          <w:lang w:val="cs-CZ"/>
        </w:rPr>
        <w:instrText>85</w:instrText>
      </w:r>
      <w:r>
        <w:instrText xml:space="preserve">" </w:instrText>
      </w:r>
      <w:r>
        <w:fldChar w:fldCharType="end"/>
      </w:r>
      <w:r w:rsidRPr="00273106">
        <w:rPr>
          <w:noProof/>
        </w:rPr>
        <w:t>)</w:t>
      </w:r>
    </w:p>
  </w:footnote>
  <w:footnote w:id="118">
    <w:p w:rsidR="00971E82" w:rsidRPr="0086735D" w:rsidRDefault="00971E82" w:rsidP="08163013">
      <w:pPr>
        <w:pStyle w:val="Textpoznpodarou"/>
        <w:rPr>
          <w:lang w:val="cs-CZ"/>
        </w:rPr>
      </w:pPr>
      <w:r>
        <w:rPr>
          <w:rStyle w:val="Znakapoznpodarou"/>
        </w:rPr>
        <w:footnoteRef/>
      </w:r>
      <w:r>
        <w:t xml:space="preserve"> </w:t>
      </w:r>
      <w:r w:rsidRPr="00273106">
        <w:rPr>
          <w:noProof/>
        </w:rPr>
        <w:t>„Ita quod, qui cumque quaerit intellectum nobis copulatum sicut formam secundum substantiam, non potest ad hoc devenire nisi ponat, sicut, posuit Alexander, intellectum esse virtutem generabilem et corruptibilem.“ (</w:t>
      </w:r>
      <w:r w:rsidRPr="00273106">
        <w:rPr>
          <w:i/>
          <w:noProof/>
        </w:rPr>
        <w:t>Anon. Giele</w:t>
      </w:r>
      <w:r w:rsidRPr="00273106">
        <w:rPr>
          <w:noProof/>
        </w:rPr>
        <w:t xml:space="preserve"> I.6; p. 39.85‒89</w:t>
      </w:r>
      <w:r>
        <w:fldChar w:fldCharType="begin"/>
      </w:r>
      <w:r>
        <w:instrText xml:space="preserve"> XE "</w:instrText>
      </w:r>
      <w:r>
        <w:rPr>
          <w:i/>
        </w:rPr>
        <w:instrText>Anonym</w:instrText>
      </w:r>
      <w:r w:rsidRPr="00B279FE">
        <w:rPr>
          <w:i/>
        </w:rPr>
        <w:instrText xml:space="preserve"> Giele</w:instrText>
      </w:r>
      <w:r w:rsidRPr="00B75F07">
        <w:instrText xml:space="preserve"> </w:instrText>
      </w:r>
      <w:r>
        <w:rPr>
          <w:lang w:val="cs-CZ"/>
        </w:rPr>
        <w:instrText>39</w:instrText>
      </w:r>
      <w:r>
        <w:instrText>.</w:instrText>
      </w:r>
      <w:r>
        <w:rPr>
          <w:lang w:val="cs-CZ"/>
        </w:rPr>
        <w:instrText>85</w:instrText>
      </w:r>
      <w:r>
        <w:instrText>‒</w:instrText>
      </w:r>
      <w:r>
        <w:rPr>
          <w:lang w:val="cs-CZ"/>
        </w:rPr>
        <w:instrText>89</w:instrText>
      </w:r>
      <w:r>
        <w:instrText xml:space="preserve">" </w:instrText>
      </w:r>
      <w:r>
        <w:fldChar w:fldCharType="end"/>
      </w:r>
      <w:r w:rsidRPr="00273106">
        <w:rPr>
          <w:noProof/>
        </w:rPr>
        <w:t>)</w:t>
      </w:r>
    </w:p>
  </w:footnote>
  <w:footnote w:id="119">
    <w:p w:rsidR="00971E82" w:rsidRPr="00492185" w:rsidRDefault="00971E82" w:rsidP="08163013">
      <w:pPr>
        <w:pStyle w:val="Textpoznpodarou"/>
        <w:rPr>
          <w:lang w:val="cs-CZ"/>
        </w:rPr>
      </w:pPr>
      <w:r>
        <w:rPr>
          <w:rStyle w:val="Znakapoznpodarou"/>
        </w:rPr>
        <w:footnoteRef/>
      </w:r>
      <w:r>
        <w:t xml:space="preserve"> </w:t>
      </w:r>
      <w:r>
        <w:rPr>
          <w:noProof/>
        </w:rPr>
        <w:t>„</w:t>
      </w:r>
      <w:r w:rsidRPr="00273106">
        <w:rPr>
          <w:noProof/>
        </w:rPr>
        <w:t xml:space="preserve">Unde Averroes </w:t>
      </w:r>
      <w:r w:rsidRPr="00273106">
        <w:rPr>
          <w:i/>
          <w:noProof/>
        </w:rPr>
        <w:t>tertio huius</w:t>
      </w:r>
      <w:r w:rsidRPr="00273106">
        <w:rPr>
          <w:noProof/>
        </w:rPr>
        <w:t xml:space="preserve"> dicit quod licet intellectus agens et possibilis sint aeterni, speculativus tamen corruptibilis et generabilis est, quia non sibi sufficiunt agens et possibilis, sed et phantasmata necessaria sunt: unde intellectus speculativus generatur in phantasmatibus, ita tamen quod iste intellectus naturaliter, quantum ex se est, semper intelligit, sicut illae substantiae separatae, quantum ex se est, semper movent: unde exiguntur phantasmata, etc. Et ideo haec dicta sunt quia non unitur intellectus phantasmatibus sicut visus coloribus. Per hoc solvuntur omnes rationes.“ (</w:t>
      </w:r>
      <w:r w:rsidRPr="00273106">
        <w:rPr>
          <w:i/>
          <w:noProof/>
        </w:rPr>
        <w:t>Anon. Giele</w:t>
      </w:r>
      <w:r w:rsidRPr="00273106">
        <w:rPr>
          <w:noProof/>
        </w:rPr>
        <w:t xml:space="preserve"> I.6; p. 40.18‒27</w:t>
      </w:r>
      <w:r>
        <w:fldChar w:fldCharType="begin"/>
      </w:r>
      <w:r>
        <w:instrText xml:space="preserve"> XE "</w:instrText>
      </w:r>
      <w:r>
        <w:rPr>
          <w:i/>
        </w:rPr>
        <w:instrText>Anonym</w:instrText>
      </w:r>
      <w:r w:rsidRPr="00B279FE">
        <w:rPr>
          <w:i/>
        </w:rPr>
        <w:instrText xml:space="preserve"> Giele</w:instrText>
      </w:r>
      <w:r w:rsidRPr="00B75F07">
        <w:instrText xml:space="preserve"> </w:instrText>
      </w:r>
      <w:r>
        <w:rPr>
          <w:lang w:val="cs-CZ"/>
        </w:rPr>
        <w:instrText>40</w:instrText>
      </w:r>
      <w:r>
        <w:instrText>.1</w:instrText>
      </w:r>
      <w:r>
        <w:rPr>
          <w:lang w:val="cs-CZ"/>
        </w:rPr>
        <w:instrText>8</w:instrText>
      </w:r>
      <w:r>
        <w:instrText>‒</w:instrText>
      </w:r>
      <w:r>
        <w:rPr>
          <w:lang w:val="cs-CZ"/>
        </w:rPr>
        <w:instrText>2</w:instrText>
      </w:r>
      <w:r w:rsidRPr="00B75F07">
        <w:instrText>7</w:instrText>
      </w:r>
      <w:r>
        <w:instrText xml:space="preserve">" </w:instrText>
      </w:r>
      <w:r>
        <w:fldChar w:fldCharType="end"/>
      </w:r>
      <w:r w:rsidRPr="00273106">
        <w:rPr>
          <w:noProof/>
        </w:rPr>
        <w:t>)</w:t>
      </w:r>
    </w:p>
  </w:footnote>
  <w:footnote w:id="120">
    <w:p w:rsidR="00971E82" w:rsidRPr="08E33534" w:rsidRDefault="00971E82" w:rsidP="08E33534">
      <w:pPr>
        <w:pStyle w:val="Textpoznpodarou"/>
      </w:pPr>
      <w:r w:rsidRPr="08E33534">
        <w:rPr>
          <w:rStyle w:val="Znakapoznpodarou"/>
        </w:rPr>
        <w:footnoteRef/>
      </w:r>
      <w:r w:rsidRPr="08E33534">
        <w:t xml:space="preserve"> </w:t>
      </w:r>
      <w:r w:rsidRPr="08E33534">
        <w:rPr>
          <w:rStyle w:val="Zkladntext1"/>
          <w:rFonts w:ascii="Calibri" w:eastAsia="Times" w:hAnsi="Calibri"/>
          <w:color w:val="auto"/>
          <w:spacing w:val="0"/>
          <w:sz w:val="20"/>
          <w:szCs w:val="20"/>
          <w:u w:val="none"/>
          <w:lang w:val="x-none"/>
        </w:rPr>
        <w:t>„Ita quod abstractio qua fit materia universale non oportet quod sit abstractio cuiusdam re</w:t>
      </w:r>
      <w:r w:rsidRPr="08E33534">
        <w:t xml:space="preserve">i ab </w:t>
      </w:r>
      <w:r w:rsidRPr="08E33534">
        <w:rPr>
          <w:rStyle w:val="Zkladntext1"/>
          <w:rFonts w:ascii="Calibri" w:eastAsia="Times" w:hAnsi="Calibri"/>
          <w:color w:val="auto"/>
          <w:spacing w:val="0"/>
          <w:sz w:val="20"/>
          <w:szCs w:val="20"/>
          <w:u w:val="none"/>
          <w:lang w:val="x-none"/>
        </w:rPr>
        <w:t xml:space="preserve">alia re, ut in mathematicis, sed est abstractio eiusdem secundum </w:t>
      </w:r>
      <w:r w:rsidRPr="08E33534">
        <w:t>esse, ita q</w:t>
      </w:r>
      <w:r w:rsidRPr="08E33534">
        <w:rPr>
          <w:rStyle w:val="Zkladntext1"/>
          <w:rFonts w:ascii="Calibri" w:eastAsia="Times" w:hAnsi="Calibri"/>
          <w:color w:val="auto"/>
          <w:spacing w:val="0"/>
          <w:sz w:val="20"/>
          <w:szCs w:val="20"/>
          <w:u w:val="none"/>
          <w:lang w:val="x-none"/>
        </w:rPr>
        <w:t xml:space="preserve">uod abstractum habeat esse illo a quo </w:t>
      </w:r>
      <w:r w:rsidRPr="08E33534">
        <w:t>abstr</w:t>
      </w:r>
      <w:r w:rsidRPr="08E33534">
        <w:rPr>
          <w:rStyle w:val="Zkladntext1"/>
          <w:rFonts w:ascii="Calibri" w:eastAsia="Times" w:hAnsi="Calibri"/>
          <w:color w:val="auto"/>
          <w:spacing w:val="0"/>
          <w:sz w:val="20"/>
          <w:szCs w:val="20"/>
          <w:u w:val="none"/>
          <w:lang w:val="x-none"/>
        </w:rPr>
        <w:t>ahitur. Isto modo materia potest fieri universalis.“ (</w:t>
      </w:r>
      <w:r w:rsidRPr="08E33534">
        <w:rPr>
          <w:i/>
        </w:rPr>
        <w:t>Anon. Giele</w:t>
      </w:r>
      <w:r w:rsidRPr="08E33534">
        <w:t xml:space="preserve"> I.9; p. 45.</w:t>
      </w:r>
      <w:r w:rsidRPr="08E33534">
        <w:rPr>
          <w:rStyle w:val="Zkladntext1"/>
          <w:rFonts w:ascii="Calibri" w:eastAsia="Times" w:hAnsi="Calibri"/>
          <w:color w:val="auto"/>
          <w:spacing w:val="0"/>
          <w:sz w:val="20"/>
          <w:szCs w:val="20"/>
          <w:u w:val="none"/>
          <w:lang w:val="x-none"/>
        </w:rPr>
        <w:t>50‒54</w:t>
      </w:r>
      <w:r w:rsidRPr="08E33534">
        <w:fldChar w:fldCharType="begin"/>
      </w:r>
      <w:r w:rsidRPr="08E33534">
        <w:instrText xml:space="preserve"> XE "Anonym Giele 45.50‒54" </w:instrText>
      </w:r>
      <w:r w:rsidRPr="08E33534">
        <w:fldChar w:fldCharType="end"/>
      </w:r>
      <w:r w:rsidRPr="08E33534">
        <w:rPr>
          <w:rStyle w:val="Zkladntext1"/>
          <w:rFonts w:ascii="Calibri" w:eastAsia="Times" w:hAnsi="Calibri"/>
          <w:color w:val="auto"/>
          <w:spacing w:val="0"/>
          <w:sz w:val="20"/>
          <w:szCs w:val="20"/>
          <w:u w:val="none"/>
          <w:lang w:val="x-none"/>
        </w:rPr>
        <w:t>)</w:t>
      </w:r>
    </w:p>
  </w:footnote>
  <w:footnote w:id="121">
    <w:p w:rsidR="00971E82" w:rsidRPr="00752E4D" w:rsidRDefault="00971E82" w:rsidP="08163013">
      <w:pPr>
        <w:pStyle w:val="Textpoznpodarou"/>
        <w:rPr>
          <w:lang w:val="cs-CZ"/>
        </w:rPr>
      </w:pPr>
      <w:r>
        <w:rPr>
          <w:rStyle w:val="Znakapoznpodarou"/>
        </w:rPr>
        <w:footnoteRef/>
      </w:r>
      <w:r>
        <w:t xml:space="preserve"> </w:t>
      </w:r>
      <w:r w:rsidRPr="00273106">
        <w:rPr>
          <w:noProof/>
        </w:rPr>
        <w:t>„Unde [intellectus] non intelligit nisi a phantasmate corporis sicut ab obiecto, non quia intellectus communicet intelligere corpori sicut subiecto.“ (</w:t>
      </w:r>
      <w:r w:rsidRPr="00273106">
        <w:rPr>
          <w:i/>
          <w:noProof/>
        </w:rPr>
        <w:t>Anon. Giele</w:t>
      </w:r>
      <w:r w:rsidRPr="00273106">
        <w:rPr>
          <w:noProof/>
        </w:rPr>
        <w:t xml:space="preserve"> II.4; p. 72.39‒41</w:t>
      </w:r>
      <w:r>
        <w:fldChar w:fldCharType="begin"/>
      </w:r>
      <w:r>
        <w:instrText xml:space="preserve"> XE "</w:instrText>
      </w:r>
      <w:r>
        <w:rPr>
          <w:i/>
        </w:rPr>
        <w:instrText>Anonym</w:instrText>
      </w:r>
      <w:r w:rsidRPr="00B279FE">
        <w:rPr>
          <w:i/>
        </w:rPr>
        <w:instrText xml:space="preserve"> Giele</w:instrText>
      </w:r>
      <w:r w:rsidRPr="00B75F07">
        <w:instrText xml:space="preserve"> </w:instrText>
      </w:r>
      <w:r>
        <w:rPr>
          <w:lang w:val="cs-CZ"/>
        </w:rPr>
        <w:instrText>72</w:instrText>
      </w:r>
      <w:r>
        <w:instrText>.</w:instrText>
      </w:r>
      <w:r>
        <w:rPr>
          <w:lang w:val="cs-CZ"/>
        </w:rPr>
        <w:instrText>39</w:instrText>
      </w:r>
      <w:r>
        <w:instrText>‒</w:instrText>
      </w:r>
      <w:r>
        <w:rPr>
          <w:lang w:val="cs-CZ"/>
        </w:rPr>
        <w:instrText>41</w:instrText>
      </w:r>
      <w:r>
        <w:instrText xml:space="preserve">" </w:instrText>
      </w:r>
      <w:r>
        <w:fldChar w:fldCharType="end"/>
      </w:r>
      <w:r w:rsidRPr="00273106">
        <w:rPr>
          <w:noProof/>
        </w:rPr>
        <w:t>)</w:t>
      </w:r>
    </w:p>
  </w:footnote>
  <w:footnote w:id="122">
    <w:p w:rsidR="00971E82" w:rsidRPr="08532A82" w:rsidRDefault="00971E82" w:rsidP="08532A82">
      <w:pPr>
        <w:pStyle w:val="Textpoznpodarou"/>
      </w:pPr>
      <w:r w:rsidRPr="08532A82">
        <w:rPr>
          <w:rStyle w:val="Znakapoznpodarou"/>
        </w:rPr>
        <w:footnoteRef/>
      </w:r>
      <w:r w:rsidRPr="08532A82">
        <w:t xml:space="preserve"> „Praeterea</w:t>
      </w:r>
      <w:r w:rsidRPr="08532A82">
        <w:rPr>
          <w:rStyle w:val="Zkladntext1"/>
          <w:rFonts w:ascii="Calibri" w:eastAsia="Times" w:hAnsi="Calibri"/>
          <w:color w:val="auto"/>
          <w:spacing w:val="0"/>
          <w:sz w:val="20"/>
          <w:szCs w:val="20"/>
          <w:u w:val="none"/>
          <w:lang w:val="x-none"/>
        </w:rPr>
        <w:t>, si tu dicas quod unum fit ex intellectu moto</w:t>
      </w:r>
      <w:r w:rsidRPr="08532A82">
        <w:t xml:space="preserve">re et corpore moto, quaero utrum homo sit nomen </w:t>
      </w:r>
      <w:r w:rsidRPr="08532A82">
        <w:rPr>
          <w:rStyle w:val="Zkladntext1"/>
          <w:rFonts w:ascii="Calibri" w:eastAsia="Times" w:hAnsi="Calibri"/>
          <w:color w:val="auto"/>
          <w:spacing w:val="0"/>
          <w:sz w:val="20"/>
          <w:szCs w:val="20"/>
          <w:u w:val="none"/>
          <w:lang w:val="x-none"/>
        </w:rPr>
        <w:t>corporis</w:t>
      </w:r>
      <w:r w:rsidRPr="08532A82">
        <w:t xml:space="preserve"> tantum, aut aggregati ex intellectu et corpore animato, aut intellectus tantum. Et quocumque modo dicas, </w:t>
      </w:r>
      <w:r w:rsidRPr="08532A82">
        <w:rPr>
          <w:rStyle w:val="Zkladntext1"/>
          <w:rFonts w:ascii="Calibri" w:eastAsia="Times" w:hAnsi="Calibri"/>
          <w:color w:val="auto"/>
          <w:spacing w:val="0"/>
          <w:sz w:val="20"/>
          <w:szCs w:val="20"/>
          <w:u w:val="none"/>
          <w:lang w:val="x-none"/>
        </w:rPr>
        <w:t xml:space="preserve">impossibile est quod homo </w:t>
      </w:r>
      <w:r w:rsidRPr="08532A82">
        <w:t xml:space="preserve">intelligat </w:t>
      </w:r>
      <w:r w:rsidRPr="08532A82">
        <w:rPr>
          <w:rStyle w:val="Zkladntext1"/>
          <w:rFonts w:ascii="Calibri" w:eastAsia="Times" w:hAnsi="Calibri"/>
          <w:color w:val="auto"/>
          <w:spacing w:val="0"/>
          <w:sz w:val="20"/>
          <w:szCs w:val="20"/>
          <w:u w:val="none"/>
          <w:lang w:val="x-none"/>
        </w:rPr>
        <w:t>dummodo non sit unum ex intellectu et corpore, sicut unum ex mater</w:t>
      </w:r>
      <w:r w:rsidRPr="08532A82">
        <w:t xml:space="preserve">ia </w:t>
      </w:r>
      <w:r w:rsidRPr="08532A82">
        <w:rPr>
          <w:rStyle w:val="Zkladntext1"/>
          <w:rFonts w:ascii="Calibri" w:eastAsia="Times" w:hAnsi="Calibri"/>
          <w:color w:val="auto"/>
          <w:spacing w:val="0"/>
          <w:sz w:val="20"/>
          <w:szCs w:val="20"/>
          <w:u w:val="none"/>
          <w:lang w:val="x-none"/>
        </w:rPr>
        <w:t>et forma</w:t>
      </w:r>
      <w:r w:rsidRPr="08532A82">
        <w:t>.“ (</w:t>
      </w:r>
      <w:r w:rsidRPr="08146BDB">
        <w:rPr>
          <w:i/>
        </w:rPr>
        <w:t>Anon. Giele</w:t>
      </w:r>
      <w:r w:rsidRPr="08532A82">
        <w:t xml:space="preserve"> II.4; p. 73.81‒86</w:t>
      </w:r>
      <w:r w:rsidRPr="08532A82">
        <w:fldChar w:fldCharType="begin"/>
      </w:r>
      <w:r w:rsidRPr="08532A82">
        <w:instrText xml:space="preserve"> XE "Anonym Giele 73.81‒86" </w:instrText>
      </w:r>
      <w:r w:rsidRPr="08532A82">
        <w:fldChar w:fldCharType="end"/>
      </w:r>
      <w:r w:rsidRPr="08532A82">
        <w:t>)</w:t>
      </w:r>
    </w:p>
  </w:footnote>
  <w:footnote w:id="123">
    <w:p w:rsidR="00971E82" w:rsidRPr="005459E6" w:rsidRDefault="00971E82" w:rsidP="08163013">
      <w:pPr>
        <w:pStyle w:val="Textpoznpodarou"/>
        <w:rPr>
          <w:lang w:val="cs-CZ"/>
        </w:rPr>
      </w:pPr>
      <w:r>
        <w:rPr>
          <w:rStyle w:val="Znakapoznpodarou"/>
        </w:rPr>
        <w:footnoteRef/>
      </w:r>
      <w:r>
        <w:t xml:space="preserve"> </w:t>
      </w:r>
      <w:r w:rsidRPr="00273106">
        <w:rPr>
          <w:noProof/>
        </w:rPr>
        <w:t>„Et inde verum est quod operationes animae cognoscibiles sunt et causa est sic: ex hoc sequitur cognitio cuiusdam alterius entis; nam passiones non sunt aliquod ens per se subsistens, sed sunt ens in alio et non sunt ex his quae nata sunt per se subsistere: propter quod quoddam aliud ens demonstrant. Ita quod, si non essent hae operationes animae, nihil sciremus de ea: et ideo animam cognoscimus non secundum se, sed secundum quod refertur ad ista. Unde dicimus quod anima est quae facit hoc, ut audire, videre, intelligere etc.“ (</w:t>
      </w:r>
      <w:r w:rsidRPr="00273106">
        <w:rPr>
          <w:i/>
          <w:noProof/>
        </w:rPr>
        <w:t>Anon. Giele</w:t>
      </w:r>
      <w:r w:rsidRPr="00273106">
        <w:rPr>
          <w:noProof/>
        </w:rPr>
        <w:t>, q. 1; p. 24.23‒31</w:t>
      </w:r>
      <w:r>
        <w:fldChar w:fldCharType="begin"/>
      </w:r>
      <w:r>
        <w:instrText xml:space="preserve"> XE "</w:instrText>
      </w:r>
      <w:r>
        <w:rPr>
          <w:i/>
        </w:rPr>
        <w:instrText>Anonym</w:instrText>
      </w:r>
      <w:r w:rsidRPr="00B279FE">
        <w:rPr>
          <w:i/>
        </w:rPr>
        <w:instrText xml:space="preserve"> Giele</w:instrText>
      </w:r>
      <w:r w:rsidRPr="00B75F07">
        <w:instrText xml:space="preserve"> </w:instrText>
      </w:r>
      <w:r>
        <w:rPr>
          <w:lang w:val="cs-CZ"/>
        </w:rPr>
        <w:instrText>24</w:instrText>
      </w:r>
      <w:r>
        <w:instrText>.</w:instrText>
      </w:r>
      <w:r>
        <w:rPr>
          <w:lang w:val="cs-CZ"/>
        </w:rPr>
        <w:instrText>23</w:instrText>
      </w:r>
      <w:r>
        <w:instrText>‒</w:instrText>
      </w:r>
      <w:r>
        <w:rPr>
          <w:lang w:val="cs-CZ"/>
        </w:rPr>
        <w:instrText>31</w:instrText>
      </w:r>
      <w:r>
        <w:instrText xml:space="preserve">" </w:instrText>
      </w:r>
      <w:r>
        <w:fldChar w:fldCharType="end"/>
      </w:r>
      <w:r w:rsidRPr="00273106">
        <w:rPr>
          <w:noProof/>
        </w:rPr>
        <w:t>)</w:t>
      </w:r>
    </w:p>
  </w:footnote>
  <w:footnote w:id="124">
    <w:p w:rsidR="00971E82" w:rsidRPr="00461335" w:rsidRDefault="00971E82" w:rsidP="08163013">
      <w:pPr>
        <w:pStyle w:val="Textpoznpodarou"/>
      </w:pPr>
      <w:r>
        <w:rPr>
          <w:rStyle w:val="Znakapoznpodarou"/>
        </w:rPr>
        <w:footnoteRef/>
      </w:r>
      <w:r>
        <w:t xml:space="preserve"> „</w:t>
      </w:r>
      <w:r w:rsidRPr="00461335">
        <w:t>Minor patet p</w:t>
      </w:r>
      <w:r>
        <w:t xml:space="preserve">er Aristotelem </w:t>
      </w:r>
      <w:r w:rsidRPr="00461335">
        <w:rPr>
          <w:i/>
        </w:rPr>
        <w:t>decimo Ethicorum</w:t>
      </w:r>
      <w:r w:rsidRPr="00461335">
        <w:t>: actiones</w:t>
      </w:r>
      <w:r>
        <w:t xml:space="preserve"> sapientiae et scientiae non </w:t>
      </w:r>
      <w:r w:rsidRPr="00461335">
        <w:t xml:space="preserve">sunt in homine secundum quod homo, sed sunt in homine secundum aliquid divinum in eo. Unde ibidem dicit </w:t>
      </w:r>
      <w:r>
        <w:t>Aristoteles</w:t>
      </w:r>
      <w:r w:rsidRPr="00461335">
        <w:t xml:space="preserve"> quod causa hominis non debet esse humana, nec appetitus eius, quamvis ipse homo sit, sed debet esse appetitus eius et causa ut transferatur ad divina secundum quod possibile est, etc. </w:t>
      </w:r>
      <w:r>
        <w:t xml:space="preserve">Nam homo, ut ibidem dicitur, </w:t>
      </w:r>
      <w:r w:rsidRPr="00461335">
        <w:t xml:space="preserve">licet sit parvus quantitate, tamen est magnus potestate. Praeterea </w:t>
      </w:r>
      <w:r w:rsidRPr="00461335">
        <w:rPr>
          <w:i/>
        </w:rPr>
        <w:t>primo Ethicorum</w:t>
      </w:r>
      <w:r w:rsidRPr="00461335">
        <w:t xml:space="preserve"> dicit </w:t>
      </w:r>
      <w:r>
        <w:t>Aristoteles</w:t>
      </w:r>
      <w:r w:rsidRPr="00461335">
        <w:t xml:space="preserve"> quod felicitas hominis non est de &lt;genere&gt; laudabilium, sed honorabilium ; sed scire felicitas est hominis, secundum </w:t>
      </w:r>
      <w:r>
        <w:t xml:space="preserve">Aristotelem in </w:t>
      </w:r>
      <w:r w:rsidRPr="00461335">
        <w:rPr>
          <w:i/>
        </w:rPr>
        <w:t>quarto Ethicorum</w:t>
      </w:r>
      <w:r>
        <w:t>.“ (</w:t>
      </w:r>
      <w:r w:rsidRPr="00BF30B9">
        <w:rPr>
          <w:i/>
        </w:rPr>
        <w:t>An</w:t>
      </w:r>
      <w:r>
        <w:rPr>
          <w:i/>
        </w:rPr>
        <w:t>on</w:t>
      </w:r>
      <w:r w:rsidRPr="00BF30B9">
        <w:rPr>
          <w:i/>
        </w:rPr>
        <w:t>. Giele</w:t>
      </w:r>
      <w:r>
        <w:t xml:space="preserve"> 1.5; p. 29.28‒38</w:t>
      </w:r>
      <w:r>
        <w:fldChar w:fldCharType="begin"/>
      </w:r>
      <w:r>
        <w:instrText xml:space="preserve"> XE "</w:instrText>
      </w:r>
      <w:r>
        <w:rPr>
          <w:i/>
        </w:rPr>
        <w:instrText>Anonym</w:instrText>
      </w:r>
      <w:r w:rsidRPr="00B279FE">
        <w:rPr>
          <w:i/>
        </w:rPr>
        <w:instrText xml:space="preserve"> Giele</w:instrText>
      </w:r>
      <w:r w:rsidRPr="00B75F07">
        <w:instrText xml:space="preserve"> </w:instrText>
      </w:r>
      <w:r>
        <w:rPr>
          <w:lang w:val="cs-CZ"/>
        </w:rPr>
        <w:instrText>29</w:instrText>
      </w:r>
      <w:r>
        <w:instrText>.</w:instrText>
      </w:r>
      <w:r>
        <w:rPr>
          <w:lang w:val="cs-CZ"/>
        </w:rPr>
        <w:instrText>28</w:instrText>
      </w:r>
      <w:r>
        <w:instrText>‒</w:instrText>
      </w:r>
      <w:r>
        <w:rPr>
          <w:lang w:val="cs-CZ"/>
        </w:rPr>
        <w:instrText>38</w:instrText>
      </w:r>
      <w:r>
        <w:instrText xml:space="preserve">" </w:instrText>
      </w:r>
      <w:r>
        <w:fldChar w:fldCharType="end"/>
      </w:r>
      <w:r>
        <w:t>)</w:t>
      </w:r>
    </w:p>
  </w:footnote>
  <w:footnote w:id="125">
    <w:p w:rsidR="00971E82" w:rsidRPr="00FB30D6" w:rsidRDefault="00971E82" w:rsidP="08163013">
      <w:pPr>
        <w:pStyle w:val="Textpoznpodarou"/>
        <w:rPr>
          <w:lang w:val="cs-CZ" w:eastAsia="en-US"/>
        </w:rPr>
      </w:pPr>
      <w:r w:rsidRPr="003F13D7">
        <w:rPr>
          <w:rStyle w:val="Znakapoznpodarou"/>
        </w:rPr>
        <w:footnoteRef/>
      </w:r>
      <w:r>
        <w:t xml:space="preserve"> K celé debatě viz úvod ke kritickému vydání </w:t>
      </w:r>
      <w:r w:rsidRPr="00BE6BAF">
        <w:rPr>
          <w:i/>
        </w:rPr>
        <w:t>De intelectu</w:t>
      </w:r>
      <w:r>
        <w:t xml:space="preserve"> (ed. Spruit, Brill, 2011), především pasáž o ztracených dílech Sigera (pp. 18‒24). K obsahu díla viz </w:t>
      </w:r>
      <w:r w:rsidRPr="00F96CE3">
        <w:rPr>
          <w:szCs w:val="25"/>
        </w:rPr>
        <w:t xml:space="preserve">Steenberghen 1977, </w:t>
      </w:r>
      <w:r>
        <w:rPr>
          <w:szCs w:val="23"/>
        </w:rPr>
        <w:t xml:space="preserve">360‒63. </w:t>
      </w:r>
      <w:r>
        <w:t xml:space="preserve">Pozdější datace ztraceného spisu kolem 1272, vycházejí </w:t>
      </w:r>
      <w:r>
        <w:rPr>
          <w:lang w:val="cs-CZ"/>
        </w:rPr>
        <w:t xml:space="preserve">z </w:t>
      </w:r>
      <w:r>
        <w:t xml:space="preserve">Nifovy poznámky, že Siger tento spis poslal Akvinskému jako odpověď na </w:t>
      </w:r>
      <w:r w:rsidRPr="008B47F6">
        <w:rPr>
          <w:i/>
        </w:rPr>
        <w:t>De unitate</w:t>
      </w:r>
      <w:r>
        <w:rPr>
          <w:i/>
        </w:rPr>
        <w:t xml:space="preserve"> inte</w:t>
      </w:r>
      <w:r w:rsidRPr="008B47F6">
        <w:rPr>
          <w:i/>
        </w:rPr>
        <w:t>l</w:t>
      </w:r>
      <w:r>
        <w:rPr>
          <w:i/>
        </w:rPr>
        <w:t>le</w:t>
      </w:r>
      <w:r w:rsidRPr="008B47F6">
        <w:rPr>
          <w:i/>
        </w:rPr>
        <w:t>ctus</w:t>
      </w:r>
      <w:r>
        <w:t xml:space="preserve"> (1270)</w:t>
      </w:r>
      <w:r>
        <w:rPr>
          <w:lang w:val="cs-CZ" w:eastAsia="en-US"/>
        </w:rPr>
        <w:t>.</w:t>
      </w:r>
    </w:p>
  </w:footnote>
  <w:footnote w:id="126">
    <w:p w:rsidR="00971E82" w:rsidRPr="00CA06FA" w:rsidRDefault="00971E82" w:rsidP="08163013">
      <w:pPr>
        <w:pStyle w:val="Textpoznpodarou"/>
      </w:pPr>
      <w:r>
        <w:rPr>
          <w:rStyle w:val="Znakapoznpodarou"/>
        </w:rPr>
        <w:footnoteRef/>
      </w:r>
      <w:r>
        <w:t xml:space="preserve"> </w:t>
      </w:r>
      <w:r>
        <w:rPr>
          <w:lang w:val="cs-CZ"/>
        </w:rPr>
        <w:t xml:space="preserve">Anonym komentuje </w:t>
      </w:r>
      <w:r>
        <w:t>centrální část vědeckého důkazu</w:t>
      </w:r>
      <w:r>
        <w:rPr>
          <w:szCs w:val="26"/>
        </w:rPr>
        <w:t xml:space="preserve"> (</w:t>
      </w:r>
      <w:r w:rsidRPr="002D4B77">
        <w:rPr>
          <w:i/>
          <w:szCs w:val="26"/>
        </w:rPr>
        <w:t>Anal. Post</w:t>
      </w:r>
      <w:r>
        <w:rPr>
          <w:szCs w:val="26"/>
        </w:rPr>
        <w:t>. 79b39-b2</w:t>
      </w:r>
      <w:r>
        <w:rPr>
          <w:szCs w:val="26"/>
        </w:rPr>
        <w:fldChar w:fldCharType="begin"/>
      </w:r>
      <w:r>
        <w:instrText xml:space="preserve"> XE "</w:instrText>
      </w:r>
      <w:r>
        <w:rPr>
          <w:lang w:val="cs-CZ"/>
        </w:rPr>
        <w:instrText>Aristoteles:</w:instrText>
      </w:r>
      <w:r w:rsidRPr="000D4639">
        <w:rPr>
          <w:i/>
          <w:szCs w:val="26"/>
        </w:rPr>
        <w:instrText>Anal. Post</w:instrText>
      </w:r>
      <w:r w:rsidRPr="000D4639">
        <w:rPr>
          <w:szCs w:val="26"/>
        </w:rPr>
        <w:instrText>. 79b39-b2</w:instrText>
      </w:r>
      <w:r>
        <w:instrText xml:space="preserve">" </w:instrText>
      </w:r>
      <w:r>
        <w:rPr>
          <w:szCs w:val="26"/>
        </w:rPr>
        <w:fldChar w:fldCharType="end"/>
      </w:r>
      <w:r>
        <w:rPr>
          <w:szCs w:val="26"/>
        </w:rPr>
        <w:t>)</w:t>
      </w:r>
      <w:r>
        <w:rPr>
          <w:szCs w:val="26"/>
          <w:lang w:val="cs-CZ"/>
        </w:rPr>
        <w:t>, klíčové je toto tvrzení:</w:t>
      </w:r>
      <w:r w:rsidRPr="00273106">
        <w:rPr>
          <w:noProof/>
        </w:rPr>
        <w:t xml:space="preserve"> „Iterum, illud de quo est scientia oportet quod habeat passiones: scientia enim est generis subiecti partes et passiones considereans: </w:t>
      </w:r>
      <w:r w:rsidRPr="00273106">
        <w:rPr>
          <w:i/>
          <w:noProof/>
        </w:rPr>
        <w:t>libro Posteriorum</w:t>
      </w:r>
      <w:r w:rsidRPr="00273106">
        <w:rPr>
          <w:noProof/>
        </w:rPr>
        <w:t>.“ (M 1.1.2; p. 138.20‒23</w:t>
      </w:r>
      <w:r>
        <w:fldChar w:fldCharType="begin"/>
      </w:r>
      <w:r>
        <w:instrText xml:space="preserve"> XE "</w:instrText>
      </w:r>
      <w:r w:rsidRPr="00F53B8E">
        <w:rPr>
          <w:i/>
        </w:rPr>
        <w:instrText>Mnichovský Anonym</w:instrText>
      </w:r>
      <w:r>
        <w:instrText xml:space="preserve"> 138.2</w:instrText>
      </w:r>
      <w:r>
        <w:rPr>
          <w:lang w:val="cs-CZ"/>
        </w:rPr>
        <w:instrText>0</w:instrText>
      </w:r>
      <w:r w:rsidRPr="00DE6CA6">
        <w:instrText>‒</w:instrText>
      </w:r>
      <w:r>
        <w:instrText>2</w:instrText>
      </w:r>
      <w:r>
        <w:rPr>
          <w:lang w:val="cs-CZ"/>
        </w:rPr>
        <w:instrText>3</w:instrText>
      </w:r>
      <w:r>
        <w:instrText xml:space="preserve">" </w:instrText>
      </w:r>
      <w:r>
        <w:fldChar w:fldCharType="end"/>
      </w:r>
      <w:r w:rsidRPr="00273106">
        <w:rPr>
          <w:noProof/>
        </w:rPr>
        <w:t>)</w:t>
      </w:r>
      <w:r>
        <w:rPr>
          <w:noProof/>
          <w:lang w:val="cs-CZ"/>
        </w:rPr>
        <w:t xml:space="preserve"> </w:t>
      </w:r>
      <w:r>
        <w:rPr>
          <w:szCs w:val="26"/>
        </w:rPr>
        <w:t xml:space="preserve">Odkaz </w:t>
      </w:r>
      <w:r>
        <w:rPr>
          <w:szCs w:val="26"/>
          <w:lang w:val="cs-CZ"/>
        </w:rPr>
        <w:t xml:space="preserve">zmiňuje </w:t>
      </w:r>
      <w:r>
        <w:rPr>
          <w:szCs w:val="26"/>
        </w:rPr>
        <w:t xml:space="preserve">princip </w:t>
      </w:r>
      <w:r>
        <w:rPr>
          <w:i/>
          <w:szCs w:val="26"/>
        </w:rPr>
        <w:t>i</w:t>
      </w:r>
      <w:r>
        <w:rPr>
          <w:i/>
          <w:szCs w:val="26"/>
          <w:lang w:val="cs-CZ"/>
        </w:rPr>
        <w:t>n</w:t>
      </w:r>
      <w:r w:rsidRPr="00CA06FA">
        <w:rPr>
          <w:i/>
          <w:szCs w:val="26"/>
        </w:rPr>
        <w:t>mediate</w:t>
      </w:r>
      <w:r>
        <w:rPr>
          <w:szCs w:val="26"/>
        </w:rPr>
        <w:t xml:space="preserve">, tj. definici reálné substance dané jako </w:t>
      </w:r>
      <w:r w:rsidRPr="00A0771A">
        <w:rPr>
          <w:i/>
          <w:szCs w:val="26"/>
        </w:rPr>
        <w:t>subiectum</w:t>
      </w:r>
      <w:r>
        <w:rPr>
          <w:szCs w:val="26"/>
        </w:rPr>
        <w:t xml:space="preserve"> důkazu </w:t>
      </w:r>
      <w:r w:rsidRPr="00CA06FA">
        <w:t xml:space="preserve">(τρίτον τὸ γένος τὸ ὑποκείμενον, οὗ τὰ πάθη καὶ τὰ καθ' αὑτὰ συμβεβηκότα δηλοῖ ἡ ἀπόδειξις, </w:t>
      </w:r>
      <w:r>
        <w:rPr>
          <w:i/>
        </w:rPr>
        <w:t xml:space="preserve">Anal. </w:t>
      </w:r>
      <w:r>
        <w:rPr>
          <w:i/>
          <w:lang w:val="cs-CZ"/>
        </w:rPr>
        <w:t>P</w:t>
      </w:r>
      <w:r w:rsidRPr="002D4B77">
        <w:rPr>
          <w:i/>
        </w:rPr>
        <w:t>ost</w:t>
      </w:r>
      <w:r w:rsidRPr="00CA06FA">
        <w:t>. 75b1</w:t>
      </w:r>
      <w:r>
        <w:t>‒2</w:t>
      </w:r>
      <w:r>
        <w:fldChar w:fldCharType="begin"/>
      </w:r>
      <w:r>
        <w:instrText xml:space="preserve"> XE "</w:instrText>
      </w:r>
      <w:r>
        <w:rPr>
          <w:lang w:val="cs-CZ"/>
        </w:rPr>
        <w:instrText>Aristoteles:</w:instrText>
      </w:r>
      <w:r w:rsidRPr="000A2ADA">
        <w:rPr>
          <w:i/>
        </w:rPr>
        <w:instrText>Anal. post</w:instrText>
      </w:r>
      <w:r w:rsidRPr="000A2ADA">
        <w:instrText>. 75b1‒2</w:instrText>
      </w:r>
      <w:r>
        <w:instrText xml:space="preserve">" </w:instrText>
      </w:r>
      <w:r>
        <w:fldChar w:fldCharType="end"/>
      </w:r>
      <w:r w:rsidRPr="00CA06FA">
        <w:t>)</w:t>
      </w:r>
      <w:r>
        <w:t>.</w:t>
      </w:r>
    </w:p>
  </w:footnote>
  <w:footnote w:id="127">
    <w:p w:rsidR="00971E82" w:rsidRPr="00411966" w:rsidRDefault="00971E82" w:rsidP="08163013">
      <w:pPr>
        <w:pStyle w:val="Textpoznpodarou"/>
        <w:rPr>
          <w:lang w:val="cs-CZ"/>
        </w:rPr>
      </w:pPr>
      <w:r>
        <w:rPr>
          <w:rStyle w:val="Znakapoznpodarou"/>
        </w:rPr>
        <w:footnoteRef/>
      </w:r>
      <w:r>
        <w:t xml:space="preserve"> </w:t>
      </w:r>
      <w:r w:rsidRPr="00273106">
        <w:rPr>
          <w:noProof/>
        </w:rPr>
        <w:t>„Quarto exigitur quod cognitio subiecti primo occurrat intellectui circa naturam illam et in scientia illa, quia cognitio subiecti in scientia est principium omnium aliorum, quia principia fundantur in ratione subiecti; item cognitio subiecti est principium cognitionis propriae passionis, cum subiectum ponatur in ratione eius: ideo subiectum debet esse tale quod eius cognitio primo occurrat int</w:t>
      </w:r>
      <w:r>
        <w:rPr>
          <w:noProof/>
        </w:rPr>
        <w:t xml:space="preserve">ellectui in scientia illa.“ (O </w:t>
      </w:r>
      <w:r>
        <w:rPr>
          <w:noProof/>
          <w:lang w:val="cs-CZ"/>
        </w:rPr>
        <w:t>1</w:t>
      </w:r>
      <w:r w:rsidRPr="00273106">
        <w:rPr>
          <w:noProof/>
        </w:rPr>
        <w:t>.1.2, p. 138.22‒25</w:t>
      </w:r>
      <w:r>
        <w:fldChar w:fldCharType="begin"/>
      </w:r>
      <w:r>
        <w:instrText xml:space="preserve"> XE "</w:instrText>
      </w:r>
      <w:r w:rsidRPr="005C2CE4">
        <w:rPr>
          <w:i/>
          <w:lang w:val="cs-CZ"/>
        </w:rPr>
        <w:instrText>Oxfordský</w:instrText>
      </w:r>
      <w:r w:rsidRPr="00F53B8E">
        <w:rPr>
          <w:i/>
        </w:rPr>
        <w:instrText xml:space="preserve"> Anonym</w:instrText>
      </w:r>
      <w:r>
        <w:instrText xml:space="preserve"> </w:instrText>
      </w:r>
      <w:r w:rsidRPr="00DE6CA6">
        <w:instrText>138.22‒25</w:instrText>
      </w:r>
      <w:r>
        <w:instrText xml:space="preserve">" </w:instrText>
      </w:r>
      <w:r>
        <w:fldChar w:fldCharType="end"/>
      </w:r>
      <w:r w:rsidRPr="00273106">
        <w:rPr>
          <w:noProof/>
        </w:rPr>
        <w:t>)</w:t>
      </w:r>
    </w:p>
  </w:footnote>
  <w:footnote w:id="128">
    <w:p w:rsidR="00971E82" w:rsidRPr="00C51AAB" w:rsidRDefault="00971E82" w:rsidP="08163013">
      <w:pPr>
        <w:pStyle w:val="Textpoznpodarou"/>
        <w:rPr>
          <w:lang w:val="cs-CZ"/>
        </w:rPr>
      </w:pPr>
      <w:r>
        <w:rPr>
          <w:rStyle w:val="Znakapoznpodarou"/>
        </w:rPr>
        <w:footnoteRef/>
      </w:r>
      <w:r>
        <w:t xml:space="preserve"> „</w:t>
      </w:r>
      <w:r>
        <w:rPr>
          <w:lang w:val="cs-CZ"/>
        </w:rPr>
        <w:t>P</w:t>
      </w:r>
      <w:r w:rsidRPr="00C51AAB">
        <w:rPr>
          <w:rFonts w:eastAsia="Times"/>
        </w:rPr>
        <w:t>rimi philosophi sit considerare de ent</w:t>
      </w:r>
      <w:r w:rsidRPr="00C51AAB">
        <w:t xml:space="preserve">e </w:t>
      </w:r>
      <w:r w:rsidRPr="00C51AAB">
        <w:rPr>
          <w:rFonts w:eastAsia="Times"/>
        </w:rPr>
        <w:t>secundum quod ens, pertinet etiam ad ipsum considerare de eo qu</w:t>
      </w:r>
      <w:r w:rsidRPr="00C51AAB">
        <w:t xml:space="preserve">od </w:t>
      </w:r>
      <w:r w:rsidRPr="00C51AAB">
        <w:rPr>
          <w:rFonts w:eastAsia="Times"/>
        </w:rPr>
        <w:t>est actus entis. Alio</w:t>
      </w:r>
      <w:r w:rsidRPr="00C51AAB">
        <w:t xml:space="preserve"> modo potest considerari secundum quod est substantia et actus corporis sensibilis, et sic pertinet ad considerationem naturalis...“ (M </w:t>
      </w:r>
      <w:r>
        <w:rPr>
          <w:lang w:val="cs-CZ"/>
        </w:rPr>
        <w:t>I.</w:t>
      </w:r>
      <w:r w:rsidRPr="00C51AAB">
        <w:t>2, p. 142.29‒31</w:t>
      </w:r>
      <w:r>
        <w:fldChar w:fldCharType="begin"/>
      </w:r>
      <w:r>
        <w:instrText xml:space="preserve"> XE "</w:instrText>
      </w:r>
      <w:r w:rsidRPr="00F53B8E">
        <w:rPr>
          <w:i/>
        </w:rPr>
        <w:instrText>Mnichovský Anonym</w:instrText>
      </w:r>
      <w:r>
        <w:instrText xml:space="preserve"> </w:instrText>
      </w:r>
      <w:r>
        <w:rPr>
          <w:lang w:val="cs-CZ"/>
        </w:rPr>
        <w:instrText>142</w:instrText>
      </w:r>
      <w:r>
        <w:instrText>.2</w:instrText>
      </w:r>
      <w:r>
        <w:rPr>
          <w:lang w:val="cs-CZ"/>
        </w:rPr>
        <w:instrText>9</w:instrText>
      </w:r>
      <w:r w:rsidRPr="00DE6CA6">
        <w:instrText>‒</w:instrText>
      </w:r>
      <w:r>
        <w:rPr>
          <w:lang w:val="cs-CZ"/>
        </w:rPr>
        <w:instrText>31</w:instrText>
      </w:r>
      <w:r>
        <w:instrText xml:space="preserve">" </w:instrText>
      </w:r>
      <w:r>
        <w:fldChar w:fldCharType="end"/>
      </w:r>
      <w:r w:rsidRPr="00C51AAB">
        <w:t>)</w:t>
      </w:r>
    </w:p>
  </w:footnote>
  <w:footnote w:id="129">
    <w:p w:rsidR="00971E82" w:rsidRPr="00C51AAB" w:rsidRDefault="00971E82" w:rsidP="08163013">
      <w:pPr>
        <w:pStyle w:val="Textpoznpodarou"/>
        <w:rPr>
          <w:lang w:val="cs-CZ"/>
        </w:rPr>
      </w:pPr>
      <w:r>
        <w:rPr>
          <w:rStyle w:val="Znakapoznpodarou"/>
        </w:rPr>
        <w:footnoteRef/>
      </w:r>
      <w:r>
        <w:t xml:space="preserve"> </w:t>
      </w:r>
      <w:r w:rsidRPr="00C51AAB">
        <w:rPr>
          <w:rFonts w:eastAsia="Times"/>
        </w:rPr>
        <w:t>„Philosophus autem primus</w:t>
      </w:r>
      <w:r w:rsidRPr="00C51AAB">
        <w:t xml:space="preserve"> </w:t>
      </w:r>
      <w:r w:rsidRPr="00C51AAB">
        <w:rPr>
          <w:rFonts w:eastAsia="Times"/>
        </w:rPr>
        <w:t>considerat ens inquantum ens; e</w:t>
      </w:r>
      <w:r w:rsidRPr="00C51AAB">
        <w:t>t omne ens quod refertur ad sub</w:t>
      </w:r>
      <w:r w:rsidRPr="00C51AAB">
        <w:softHyphen/>
        <w:t xml:space="preserve">stantiam sensibilem est de consideratione physici.“ (O </w:t>
      </w:r>
      <w:r>
        <w:rPr>
          <w:lang w:val="cs-CZ"/>
        </w:rPr>
        <w:t>1.</w:t>
      </w:r>
      <w:r w:rsidRPr="00C51AAB">
        <w:t>2, p. 142.23‒25</w:t>
      </w:r>
      <w:r>
        <w:fldChar w:fldCharType="begin"/>
      </w:r>
      <w:r>
        <w:instrText xml:space="preserve"> XE "</w:instrText>
      </w:r>
      <w:r w:rsidRPr="00B507CB">
        <w:rPr>
          <w:i/>
          <w:lang w:val="cs-CZ"/>
        </w:rPr>
        <w:instrText>Oxfordský</w:instrText>
      </w:r>
      <w:r>
        <w:rPr>
          <w:lang w:val="cs-CZ"/>
        </w:rPr>
        <w:instrText xml:space="preserve"> </w:instrText>
      </w:r>
      <w:r w:rsidRPr="00F53B8E">
        <w:rPr>
          <w:i/>
        </w:rPr>
        <w:instrText>Anonym</w:instrText>
      </w:r>
      <w:r>
        <w:instrText xml:space="preserve"> 1</w:instrText>
      </w:r>
      <w:r>
        <w:rPr>
          <w:lang w:val="cs-CZ"/>
        </w:rPr>
        <w:instrText>42</w:instrText>
      </w:r>
      <w:r>
        <w:instrText>.2</w:instrText>
      </w:r>
      <w:r>
        <w:rPr>
          <w:lang w:val="cs-CZ"/>
        </w:rPr>
        <w:instrText>3</w:instrText>
      </w:r>
      <w:r w:rsidRPr="00DE6CA6">
        <w:instrText>‒</w:instrText>
      </w:r>
      <w:r>
        <w:instrText>2</w:instrText>
      </w:r>
      <w:r>
        <w:rPr>
          <w:lang w:val="cs-CZ"/>
        </w:rPr>
        <w:instrText>5</w:instrText>
      </w:r>
      <w:r>
        <w:instrText xml:space="preserve">" </w:instrText>
      </w:r>
      <w:r>
        <w:fldChar w:fldCharType="end"/>
      </w:r>
      <w:r w:rsidRPr="00C51AAB">
        <w:t>)</w:t>
      </w:r>
    </w:p>
  </w:footnote>
  <w:footnote w:id="130">
    <w:p w:rsidR="00971E82" w:rsidRPr="00024BFB" w:rsidRDefault="00971E82" w:rsidP="08163013">
      <w:pPr>
        <w:pStyle w:val="Textpoznpodarou"/>
      </w:pPr>
      <w:r w:rsidRPr="0014671D">
        <w:rPr>
          <w:rStyle w:val="Znakapoznpodarou"/>
        </w:rPr>
        <w:footnoteRef/>
      </w:r>
      <w:r>
        <w:t xml:space="preserve"> </w:t>
      </w:r>
      <w:r>
        <w:rPr>
          <w:rStyle w:val="TextpoznpodarouChar"/>
          <w:rFonts w:eastAsia="Times"/>
        </w:rPr>
        <w:t>„</w:t>
      </w:r>
      <w:r w:rsidRPr="0014671D">
        <w:rPr>
          <w:rStyle w:val="TextpoznpodarouChar"/>
          <w:rFonts w:eastAsia="Times"/>
        </w:rPr>
        <w:t>Commentator septimo Metaphysicae dicit quod materia metaphysicae considerationis est, secundum quod ens est vel substantia quaedam; secundum tamen quod est subiectum alicuius transmutationis, sic est physicae considerationis.“</w:t>
      </w:r>
      <w:r>
        <w:rPr>
          <w:rStyle w:val="TextpoznpodarouChar"/>
          <w:rFonts w:eastAsia="Times"/>
          <w:lang w:val="cs-CZ"/>
        </w:rPr>
        <w:t xml:space="preserve"> </w:t>
      </w:r>
      <w:r w:rsidRPr="0014671D">
        <w:rPr>
          <w:rStyle w:val="TextpoznpodarouChar"/>
          <w:rFonts w:eastAsia="Times"/>
        </w:rPr>
        <w:t xml:space="preserve">(O </w:t>
      </w:r>
      <w:r>
        <w:rPr>
          <w:rStyle w:val="TextpoznpodarouChar"/>
          <w:rFonts w:eastAsia="Times"/>
          <w:lang w:val="cs-CZ"/>
        </w:rPr>
        <w:t>1.</w:t>
      </w:r>
      <w:r w:rsidRPr="0014671D">
        <w:rPr>
          <w:rStyle w:val="TextpoznpodarouChar"/>
          <w:rFonts w:eastAsia="Times"/>
        </w:rPr>
        <w:t>2, p. 143.32‒35</w:t>
      </w:r>
      <w:r>
        <w:fldChar w:fldCharType="begin"/>
      </w:r>
      <w:r>
        <w:instrText xml:space="preserve"> XE "</w:instrText>
      </w:r>
      <w:r w:rsidRPr="00B507CB">
        <w:rPr>
          <w:i/>
          <w:lang w:val="cs-CZ"/>
        </w:rPr>
        <w:instrText>Oxfordský</w:instrText>
      </w:r>
      <w:r>
        <w:rPr>
          <w:lang w:val="cs-CZ"/>
        </w:rPr>
        <w:instrText xml:space="preserve"> </w:instrText>
      </w:r>
      <w:r w:rsidRPr="00F53B8E">
        <w:rPr>
          <w:i/>
        </w:rPr>
        <w:instrText>Anonym</w:instrText>
      </w:r>
      <w:r>
        <w:instrText xml:space="preserve"> 1</w:instrText>
      </w:r>
      <w:r>
        <w:rPr>
          <w:lang w:val="cs-CZ"/>
        </w:rPr>
        <w:instrText>43</w:instrText>
      </w:r>
      <w:r>
        <w:instrText>.</w:instrText>
      </w:r>
      <w:r>
        <w:rPr>
          <w:lang w:val="cs-CZ"/>
        </w:rPr>
        <w:instrText>32</w:instrText>
      </w:r>
      <w:r w:rsidRPr="00DE6CA6">
        <w:instrText>‒</w:instrText>
      </w:r>
      <w:r>
        <w:rPr>
          <w:lang w:val="cs-CZ"/>
        </w:rPr>
        <w:instrText>35</w:instrText>
      </w:r>
      <w:r>
        <w:instrText xml:space="preserve">" </w:instrText>
      </w:r>
      <w:r>
        <w:fldChar w:fldCharType="end"/>
      </w:r>
      <w:r w:rsidRPr="0014671D">
        <w:rPr>
          <w:rStyle w:val="TextpoznpodarouChar"/>
          <w:rFonts w:eastAsia="Times"/>
        </w:rPr>
        <w:t>)</w:t>
      </w:r>
    </w:p>
  </w:footnote>
  <w:footnote w:id="131">
    <w:p w:rsidR="00971E82" w:rsidRPr="00267DB1" w:rsidRDefault="00971E82" w:rsidP="08163013">
      <w:pPr>
        <w:pStyle w:val="Textpoznpodarou"/>
      </w:pPr>
      <w:r>
        <w:rPr>
          <w:rStyle w:val="Znakapoznpodarou"/>
        </w:rPr>
        <w:footnoteRef/>
      </w:r>
      <w:r>
        <w:t xml:space="preserve"> „</w:t>
      </w:r>
      <w:r w:rsidRPr="0894051D">
        <w:t>Et loquendo de tali universali, dico quod posterius est, quoniam illud quod sequitur ipsa particularia ex operatione intellectus est posterius particularibus; universalia sunt huiusmodi: dicuntur enim universalia</w:t>
      </w:r>
      <w:r w:rsidRPr="0894051D">
        <w:br/>
        <w:t>quia actu intellect</w:t>
      </w:r>
      <w:r w:rsidRPr="0894051D">
        <w:rPr>
          <w:rFonts w:eastAsia="Georgia"/>
        </w:rPr>
        <w:t>a; et intellectus agens est qui agit universalitatem in rebus; unde universale in actu est aliquid aggregatum ex natura rei ei intentione superaddita...“ (M 1.9, p. 164.24‒29</w:t>
      </w:r>
      <w:r w:rsidRPr="0894051D">
        <w:fldChar w:fldCharType="begin"/>
      </w:r>
      <w:r w:rsidRPr="0894051D">
        <w:instrText xml:space="preserve"> XE "Mnichovský Anonym 164.24‒29" </w:instrText>
      </w:r>
      <w:r w:rsidRPr="0894051D">
        <w:fldChar w:fldCharType="end"/>
      </w:r>
      <w:r w:rsidRPr="0894051D">
        <w:rPr>
          <w:rFonts w:eastAsia="Georgia"/>
        </w:rPr>
        <w:t>)</w:t>
      </w:r>
    </w:p>
  </w:footnote>
  <w:footnote w:id="132">
    <w:p w:rsidR="00971E82" w:rsidRPr="009C7FC1" w:rsidRDefault="00971E82" w:rsidP="08163013">
      <w:pPr>
        <w:pStyle w:val="Textpoznpodarou"/>
      </w:pPr>
      <w:r>
        <w:rPr>
          <w:rStyle w:val="Znakapoznpodarou"/>
        </w:rPr>
        <w:footnoteRef/>
      </w:r>
      <w:r>
        <w:t xml:space="preserve"> Rukopis O v tomto bodu přesně shrnuje pozici rukopisu M</w:t>
      </w:r>
      <w:r>
        <w:rPr>
          <w:lang w:val="cs-CZ"/>
        </w:rPr>
        <w:t xml:space="preserve">: </w:t>
      </w:r>
      <w:r>
        <w:t>„</w:t>
      </w:r>
      <w:r w:rsidRPr="009C7FC1">
        <w:t>Item, conceptus ipsius intellectus est intellectu concipi ente sicut sensatio in sensu; sed universalia conceptus qu</w:t>
      </w:r>
      <w:r>
        <w:t>idam sunt: dicit enim Themistius</w:t>
      </w:r>
      <w:r w:rsidRPr="009C7FC1">
        <w:t xml:space="preserve"> quod genus est</w:t>
      </w:r>
      <w:r>
        <w:t xml:space="preserve"> conceptus sine hypostasi, quia </w:t>
      </w:r>
      <w:r w:rsidRPr="009C7FC1">
        <w:t>ei nihil respondet in re, ex tenui similitudine singula</w:t>
      </w:r>
      <w:r>
        <w:t>rium collectus; item Commentator undecimo Metaphysicae</w:t>
      </w:r>
      <w:r w:rsidRPr="009C7FC1">
        <w:t>; universalia sunt in intellectu collecta ex singularibus, ab anima faciente ea intentionem unam.</w:t>
      </w:r>
      <w:r>
        <w:t xml:space="preserve">“ (O </w:t>
      </w:r>
      <w:r>
        <w:rPr>
          <w:lang w:val="cs-CZ"/>
        </w:rPr>
        <w:t>1</w:t>
      </w:r>
      <w:r>
        <w:t>.8; p. 157.11‒14</w:t>
      </w:r>
      <w:r>
        <w:fldChar w:fldCharType="begin"/>
      </w:r>
      <w:r>
        <w:instrText xml:space="preserve"> XE "</w:instrText>
      </w:r>
      <w:r w:rsidRPr="00D61EBA">
        <w:rPr>
          <w:i/>
          <w:lang w:val="cs-CZ"/>
        </w:rPr>
        <w:instrText>Oxfordský</w:instrText>
      </w:r>
      <w:r w:rsidRPr="00F53B8E">
        <w:rPr>
          <w:i/>
        </w:rPr>
        <w:instrText xml:space="preserve"> Anonym</w:instrText>
      </w:r>
      <w:r>
        <w:instrText xml:space="preserve"> 1</w:instrText>
      </w:r>
      <w:r>
        <w:rPr>
          <w:lang w:val="cs-CZ"/>
        </w:rPr>
        <w:instrText>57</w:instrText>
      </w:r>
      <w:r>
        <w:instrText>.</w:instrText>
      </w:r>
      <w:r>
        <w:rPr>
          <w:lang w:val="cs-CZ"/>
        </w:rPr>
        <w:instrText>11</w:instrText>
      </w:r>
      <w:r w:rsidRPr="00DE6CA6">
        <w:instrText>‒</w:instrText>
      </w:r>
      <w:r>
        <w:rPr>
          <w:lang w:val="cs-CZ"/>
        </w:rPr>
        <w:instrText>14</w:instrText>
      </w:r>
      <w:r>
        <w:instrText xml:space="preserve">" </w:instrText>
      </w:r>
      <w:r>
        <w:fldChar w:fldCharType="end"/>
      </w:r>
      <w:r>
        <w:t>).</w:t>
      </w:r>
    </w:p>
  </w:footnote>
  <w:footnote w:id="133">
    <w:p w:rsidR="00971E82" w:rsidRPr="00B369D5" w:rsidRDefault="00971E82" w:rsidP="08163013">
      <w:pPr>
        <w:pStyle w:val="Textpoznpodarou"/>
      </w:pPr>
      <w:r>
        <w:rPr>
          <w:rStyle w:val="Znakapoznpodarou"/>
        </w:rPr>
        <w:footnoteRef/>
      </w:r>
      <w:r>
        <w:t xml:space="preserve"> </w:t>
      </w:r>
      <w:r w:rsidRPr="00B369D5">
        <w:rPr>
          <w:rStyle w:val="TextpoznpodarouChar"/>
          <w:rFonts w:eastAsia="Times"/>
        </w:rPr>
        <w:t>„Et iterum, cum agens sit nobilior patiente, necesse est quod sit aliquid nobilius intellectu possibili; et ideo oportet quod illud sit intellectus agens, qui per se movet ipsum intellectum possibilem agendo de potentia universali actu universale.“ (M 1.10, p. 168.44‒47</w:t>
      </w:r>
      <w:r>
        <w:fldChar w:fldCharType="begin"/>
      </w:r>
      <w:r>
        <w:instrText xml:space="preserve"> XE "</w:instrText>
      </w:r>
      <w:r w:rsidRPr="00F53B8E">
        <w:rPr>
          <w:i/>
        </w:rPr>
        <w:instrText>Mnichovský Anonym</w:instrText>
      </w:r>
      <w:r>
        <w:instrText xml:space="preserve"> 16</w:instrText>
      </w:r>
      <w:r>
        <w:rPr>
          <w:lang w:val="cs-CZ"/>
        </w:rPr>
        <w:instrText>8</w:instrText>
      </w:r>
      <w:r>
        <w:instrText>.</w:instrText>
      </w:r>
      <w:r>
        <w:rPr>
          <w:lang w:val="cs-CZ"/>
        </w:rPr>
        <w:instrText>44</w:instrText>
      </w:r>
      <w:r w:rsidRPr="00DE6CA6">
        <w:instrText>‒</w:instrText>
      </w:r>
      <w:r>
        <w:rPr>
          <w:lang w:val="cs-CZ"/>
        </w:rPr>
        <w:instrText>47</w:instrText>
      </w:r>
      <w:r>
        <w:instrText xml:space="preserve">" </w:instrText>
      </w:r>
      <w:r>
        <w:fldChar w:fldCharType="end"/>
      </w:r>
      <w:r w:rsidRPr="00B369D5">
        <w:rPr>
          <w:rStyle w:val="TextpoznpodarouChar"/>
          <w:rFonts w:eastAsia="Times"/>
        </w:rPr>
        <w:t>)</w:t>
      </w:r>
    </w:p>
  </w:footnote>
  <w:footnote w:id="134">
    <w:p w:rsidR="00971E82" w:rsidRPr="009A62EB" w:rsidRDefault="00971E82" w:rsidP="08163013">
      <w:pPr>
        <w:pStyle w:val="Textpoznpodarou"/>
        <w:rPr>
          <w:lang w:val="cs-CZ"/>
        </w:rPr>
      </w:pPr>
      <w:r>
        <w:rPr>
          <w:rStyle w:val="Znakapoznpodarou"/>
        </w:rPr>
        <w:footnoteRef/>
      </w:r>
      <w:r>
        <w:t xml:space="preserve"> </w:t>
      </w:r>
      <w:r w:rsidRPr="00273106">
        <w:rPr>
          <w:noProof/>
        </w:rPr>
        <w:t>„Sed quomodo hoc contingat, intelligendum quod secundum Quosdam in phantasmatibus, quae se habent ad intellectum possibilem sicut sensibilia ad sensum, non est ratio universalis in actu, sed in potentia. Tunc igitur intellectus agens, ab huiusmodi intentione vel ratione universali in potentia circumscribens principia individuantia, facit quod illud quod erat potentia universale est actu universale: et ita intellectus agens per se agit universale, universale autem factum in actu movet intellectum possibilem; propter quod Quidam dixerunt universale praeexistere in rebus operationi intellectus.</w:t>
      </w:r>
      <w:r>
        <w:rPr>
          <w:noProof/>
        </w:rPr>
        <w:t>“ (</w:t>
      </w:r>
      <w:r>
        <w:rPr>
          <w:noProof/>
          <w:lang w:val="cs-CZ"/>
        </w:rPr>
        <w:t>M</w:t>
      </w:r>
      <w:r w:rsidRPr="00273106">
        <w:rPr>
          <w:noProof/>
        </w:rPr>
        <w:t xml:space="preserve"> 1.10, p. 168.48‒56</w:t>
      </w:r>
      <w:r>
        <w:fldChar w:fldCharType="begin"/>
      </w:r>
      <w:r>
        <w:instrText xml:space="preserve"> XE "</w:instrText>
      </w:r>
      <w:r w:rsidRPr="00F53B8E">
        <w:rPr>
          <w:i/>
        </w:rPr>
        <w:instrText>Mnichovský Anonym</w:instrText>
      </w:r>
      <w:r>
        <w:instrText xml:space="preserve"> 16</w:instrText>
      </w:r>
      <w:r>
        <w:rPr>
          <w:lang w:val="cs-CZ"/>
        </w:rPr>
        <w:instrText>8</w:instrText>
      </w:r>
      <w:r>
        <w:instrText>.</w:instrText>
      </w:r>
      <w:r>
        <w:rPr>
          <w:lang w:val="cs-CZ"/>
        </w:rPr>
        <w:instrText>48</w:instrText>
      </w:r>
      <w:r w:rsidRPr="00DE6CA6">
        <w:instrText>‒</w:instrText>
      </w:r>
      <w:r>
        <w:rPr>
          <w:lang w:val="cs-CZ"/>
        </w:rPr>
        <w:instrText>56</w:instrText>
      </w:r>
      <w:r>
        <w:instrText xml:space="preserve">" </w:instrText>
      </w:r>
      <w:r>
        <w:fldChar w:fldCharType="end"/>
      </w:r>
      <w:r w:rsidRPr="00273106">
        <w:rPr>
          <w:noProof/>
        </w:rPr>
        <w:t>)</w:t>
      </w:r>
    </w:p>
  </w:footnote>
  <w:footnote w:id="135">
    <w:p w:rsidR="00971E82" w:rsidRPr="00676F14" w:rsidRDefault="00971E82" w:rsidP="08163013">
      <w:pPr>
        <w:pStyle w:val="Textpoznpodarou"/>
        <w:rPr>
          <w:lang w:val="cs-CZ"/>
        </w:rPr>
      </w:pPr>
      <w:r>
        <w:rPr>
          <w:rStyle w:val="Znakapoznpodarou"/>
        </w:rPr>
        <w:footnoteRef/>
      </w:r>
      <w:r>
        <w:t xml:space="preserve"> </w:t>
      </w:r>
      <w:r w:rsidRPr="00273106">
        <w:rPr>
          <w:noProof/>
        </w:rPr>
        <w:t>„Sed contra: illud quod generatur per se est aggregatum ex materia et forma, quia non forma per se, quoniam tunc esset aggregatum; nec materia, quoniam tunc haberet aliquam materiam; sed universale non est aliquod aggregatum per se; ergo per se non generatur; intellectus ergo agens non agit universale per se.“ (M 1.10, p. 168.57‒61</w:t>
      </w:r>
      <w:r>
        <w:fldChar w:fldCharType="begin"/>
      </w:r>
      <w:r>
        <w:instrText xml:space="preserve"> XE "</w:instrText>
      </w:r>
      <w:r w:rsidRPr="00F53B8E">
        <w:rPr>
          <w:i/>
        </w:rPr>
        <w:instrText>Mnichovský Anonym</w:instrText>
      </w:r>
      <w:r>
        <w:instrText xml:space="preserve"> 16</w:instrText>
      </w:r>
      <w:r>
        <w:rPr>
          <w:lang w:val="cs-CZ"/>
        </w:rPr>
        <w:instrText>8</w:instrText>
      </w:r>
      <w:r>
        <w:instrText>.</w:instrText>
      </w:r>
      <w:r>
        <w:rPr>
          <w:lang w:val="cs-CZ"/>
        </w:rPr>
        <w:instrText>57</w:instrText>
      </w:r>
      <w:r w:rsidRPr="00DE6CA6">
        <w:instrText>‒</w:instrText>
      </w:r>
      <w:r>
        <w:rPr>
          <w:lang w:val="cs-CZ"/>
        </w:rPr>
        <w:instrText>61</w:instrText>
      </w:r>
      <w:r>
        <w:instrText xml:space="preserve">" </w:instrText>
      </w:r>
      <w:r>
        <w:fldChar w:fldCharType="end"/>
      </w:r>
      <w:r w:rsidRPr="00273106">
        <w:rPr>
          <w:noProof/>
        </w:rPr>
        <w:t>)</w:t>
      </w:r>
    </w:p>
  </w:footnote>
  <w:footnote w:id="136">
    <w:p w:rsidR="00971E82" w:rsidRPr="00E42203" w:rsidRDefault="00971E82" w:rsidP="08163013">
      <w:pPr>
        <w:pStyle w:val="Textpoznpodarou"/>
      </w:pPr>
      <w:r>
        <w:rPr>
          <w:rStyle w:val="Znakapoznpodarou"/>
        </w:rPr>
        <w:footnoteRef/>
      </w:r>
      <w:r>
        <w:t xml:space="preserve"> </w:t>
      </w:r>
      <w:r w:rsidRPr="0065095C">
        <w:t>„Ratio autem</w:t>
      </w:r>
      <w:r w:rsidRPr="0065095C">
        <w:rPr>
          <w:rStyle w:val="Zkladntext399pt6"/>
          <w:smallCaps w:val="0"/>
          <w:sz w:val="21"/>
        </w:rPr>
        <w:t xml:space="preserve"> Thomae</w:t>
      </w:r>
      <w:r w:rsidRPr="0065095C">
        <w:t xml:space="preserve"> est haec, quod intelligere fit secundum ipsum intellectum; sed intelligere attribuitur non solum intellectui sed etiam homini ipsi; hoc autem non contingeret si anima intellectiva haberet esse separatum a materia et corpore. Unde et Philosophus in </w:t>
      </w:r>
      <w:r w:rsidRPr="0065095C">
        <w:rPr>
          <w:i/>
        </w:rPr>
        <w:t>secundo</w:t>
      </w:r>
      <w:r w:rsidRPr="0065095C">
        <w:t xml:space="preserve"> </w:t>
      </w:r>
      <w:r w:rsidRPr="0065095C">
        <w:rPr>
          <w:rStyle w:val="Zkladntext39Kurzva"/>
          <w:iCs w:val="0"/>
          <w:sz w:val="21"/>
        </w:rPr>
        <w:t>De anima</w:t>
      </w:r>
      <w:r w:rsidRPr="0065095C">
        <w:rPr>
          <w:rStyle w:val="Zkladntext39Kurzva"/>
          <w:i w:val="0"/>
          <w:iCs w:val="0"/>
          <w:sz w:val="21"/>
        </w:rPr>
        <w:t>,</w:t>
      </w:r>
      <w:r>
        <w:t xml:space="preserve"> quia </w:t>
      </w:r>
      <w:r w:rsidRPr="082F03E1">
        <w:t>anima est qua intelligimus</w:t>
      </w:r>
      <w:r>
        <w:t>, concludit eam</w:t>
      </w:r>
      <w:r w:rsidRPr="0065095C">
        <w:t xml:space="preserve"> esse actum et perfectionem corporis.</w:t>
      </w:r>
      <w:r>
        <w:t>“ (</w:t>
      </w:r>
      <w:r w:rsidRPr="00E42203">
        <w:rPr>
          <w:i/>
        </w:rPr>
        <w:t>De anima intellectiva</w:t>
      </w:r>
      <w:r>
        <w:t xml:space="preserve"> 3</w:t>
      </w:r>
      <w:r>
        <w:rPr>
          <w:lang w:val="cs-CZ"/>
        </w:rPr>
        <w:t>;</w:t>
      </w:r>
      <w:r>
        <w:t xml:space="preserve"> ed. Bazán, pp. 81.92‒82.97</w:t>
      </w:r>
      <w:r>
        <w:fldChar w:fldCharType="begin"/>
      </w:r>
      <w:r>
        <w:instrText xml:space="preserve"> XE "</w:instrText>
      </w:r>
      <w:r>
        <w:rPr>
          <w:lang w:val="cs-CZ"/>
        </w:rPr>
        <w:instrText>Siger:</w:instrText>
      </w:r>
      <w:r w:rsidRPr="002530A4">
        <w:rPr>
          <w:i/>
        </w:rPr>
        <w:instrText>De anima intellectiva</w:instrText>
      </w:r>
      <w:r w:rsidRPr="002530A4">
        <w:instrText xml:space="preserve"> 81.92‒82.97</w:instrText>
      </w:r>
      <w:r>
        <w:instrText xml:space="preserve">" </w:instrText>
      </w:r>
      <w:r>
        <w:fldChar w:fldCharType="end"/>
      </w:r>
      <w:r>
        <w:t>)</w:t>
      </w:r>
    </w:p>
  </w:footnote>
  <w:footnote w:id="137">
    <w:p w:rsidR="00971E82" w:rsidRPr="00A56359" w:rsidRDefault="00971E82" w:rsidP="08163013">
      <w:pPr>
        <w:pStyle w:val="Textpoznpodarou"/>
        <w:rPr>
          <w:lang w:val="cs-CZ"/>
        </w:rPr>
      </w:pPr>
      <w:r>
        <w:rPr>
          <w:rStyle w:val="Znakapoznpodarou"/>
        </w:rPr>
        <w:footnoteRef/>
      </w:r>
      <w:r>
        <w:t xml:space="preserve"> </w:t>
      </w:r>
      <w:r w:rsidRPr="00273106">
        <w:rPr>
          <w:noProof/>
        </w:rPr>
        <w:t>„Sed intelligendum quod difficultas aliqua in cognitione animae potest esse ex parte substantiae animae vel ex parte nostra. Non autem est difficultas cognitionis ex parte animae, quoniam quod multum habet de natura entitatis maxime cognoscibile est; anima est huiusmodi; et ideo ipsa multum est cognoscibilis; et ideo non est ex parte substan</w:t>
      </w:r>
      <w:r w:rsidRPr="00273106">
        <w:rPr>
          <w:noProof/>
        </w:rPr>
        <w:softHyphen/>
        <w:t>tiae animae difficultas in cognitione eius, sed ex parte nostra, quoniam non possumus devenire in cognitionem principiorum operationum nisi ex cognitione passionum et operationum...“ (M 1.7, p. 155.23‒30</w:t>
      </w:r>
      <w:r>
        <w:fldChar w:fldCharType="begin"/>
      </w:r>
      <w:r>
        <w:instrText xml:space="preserve"> XE "</w:instrText>
      </w:r>
      <w:r w:rsidRPr="00F53B8E">
        <w:rPr>
          <w:i/>
        </w:rPr>
        <w:instrText>Mnichovský Anonym</w:instrText>
      </w:r>
      <w:r>
        <w:instrText xml:space="preserve"> 1</w:instrText>
      </w:r>
      <w:r>
        <w:rPr>
          <w:lang w:val="cs-CZ"/>
        </w:rPr>
        <w:instrText>55</w:instrText>
      </w:r>
      <w:r>
        <w:instrText>.</w:instrText>
      </w:r>
      <w:r>
        <w:rPr>
          <w:lang w:val="cs-CZ"/>
        </w:rPr>
        <w:instrText>23</w:instrText>
      </w:r>
      <w:r w:rsidRPr="00DE6CA6">
        <w:instrText>‒</w:instrText>
      </w:r>
      <w:r>
        <w:rPr>
          <w:lang w:val="cs-CZ"/>
        </w:rPr>
        <w:instrText>30</w:instrText>
      </w:r>
      <w:r>
        <w:instrText xml:space="preserve">" </w:instrText>
      </w:r>
      <w:r>
        <w:fldChar w:fldCharType="end"/>
      </w:r>
      <w:r w:rsidRPr="00273106">
        <w:rPr>
          <w:noProof/>
        </w:rPr>
        <w:t>)</w:t>
      </w:r>
    </w:p>
  </w:footnote>
  <w:footnote w:id="138">
    <w:p w:rsidR="00971E82" w:rsidRPr="08D31354" w:rsidRDefault="00971E82" w:rsidP="08D31354">
      <w:pPr>
        <w:pStyle w:val="Textpoznpodarou"/>
      </w:pPr>
      <w:r w:rsidRPr="08D31354">
        <w:rPr>
          <w:rStyle w:val="Znakapoznpodarou"/>
        </w:rPr>
        <w:footnoteRef/>
      </w:r>
      <w:r w:rsidRPr="08D31354">
        <w:t xml:space="preserve"> „Item, intelligendum quod aliquando agit per medium ut per instrumentum; </w:t>
      </w:r>
      <w:r w:rsidRPr="08D31354">
        <w:rPr>
          <w:rStyle w:val="Zkladntext53"/>
          <w:rFonts w:ascii="Calibri" w:eastAsia="Times" w:hAnsi="Calibri" w:cs="Times New Roman"/>
          <w:color w:val="auto"/>
          <w:spacing w:val="0"/>
          <w:sz w:val="20"/>
          <w:szCs w:val="20"/>
          <w:u w:val="none"/>
        </w:rPr>
        <w:t>agit enim intellectus agens in possibilem per principia prima;</w:t>
      </w:r>
      <w:r w:rsidRPr="08D31354">
        <w:t xml:space="preserve"> </w:t>
      </w:r>
      <w:r w:rsidRPr="08D31354">
        <w:rPr>
          <w:rStyle w:val="Zkladntext53"/>
          <w:rFonts w:ascii="Calibri" w:eastAsia="Times" w:hAnsi="Calibri" w:cs="Times New Roman"/>
          <w:color w:val="auto"/>
          <w:spacing w:val="0"/>
          <w:sz w:val="20"/>
          <w:szCs w:val="20"/>
          <w:u w:val="none"/>
        </w:rPr>
        <w:t>unde agit conclusiones in intellectu possibili per principia prima;</w:t>
      </w:r>
      <w:r w:rsidRPr="08D31354">
        <w:t xml:space="preserve"> tamen prima </w:t>
      </w:r>
      <w:r w:rsidRPr="08D31354">
        <w:rPr>
          <w:rStyle w:val="Zkladntext53"/>
          <w:rFonts w:ascii="Calibri" w:eastAsia="Times" w:hAnsi="Calibri" w:cs="Times New Roman"/>
          <w:color w:val="auto"/>
          <w:spacing w:val="0"/>
          <w:sz w:val="20"/>
          <w:szCs w:val="20"/>
          <w:u w:val="none"/>
        </w:rPr>
        <w:t>principia agit in ipsum sine medio.</w:t>
      </w:r>
      <w:r w:rsidRPr="08D31354">
        <w:t xml:space="preserve"> Quia ergo intellectus refertur ad rem et naturam rei quae sunt multiplicata in particularibus, particularia autem referuntur ad intellectum per accidens, quia natura illorum est intellecta per aliquid quod est in intell</w:t>
      </w:r>
      <w:r w:rsidRPr="08D31354">
        <w:rPr>
          <w:rStyle w:val="Zkladntext53"/>
          <w:rFonts w:ascii="Calibri" w:eastAsia="Times" w:hAnsi="Calibri" w:cs="Times New Roman"/>
          <w:color w:val="auto"/>
          <w:spacing w:val="0"/>
          <w:sz w:val="20"/>
          <w:szCs w:val="20"/>
          <w:u w:val="none"/>
        </w:rPr>
        <w:t>ectu, ideo verum</w:t>
      </w:r>
      <w:r w:rsidRPr="08D31354">
        <w:t xml:space="preserve"> </w:t>
      </w:r>
      <w:r w:rsidRPr="08D31354">
        <w:rPr>
          <w:rStyle w:val="Zkladntext53"/>
          <w:rFonts w:ascii="Calibri" w:eastAsia="Times" w:hAnsi="Calibri" w:cs="Times New Roman"/>
          <w:color w:val="auto"/>
          <w:spacing w:val="0"/>
          <w:sz w:val="20"/>
          <w:szCs w:val="20"/>
          <w:u w:val="none"/>
        </w:rPr>
        <w:t>est dicere quod intellectus facit universalitatem in rebus</w:t>
      </w:r>
      <w:r w:rsidRPr="08D31354">
        <w:t>: verbi gratia: scientia refertur ad scibile; si autem aliquis generaret scientiam sub ratione scientiae, generaret scibile in actu.“ (O 1.10, p. 170.91‒101</w:t>
      </w:r>
      <w:r w:rsidRPr="08D31354">
        <w:fldChar w:fldCharType="begin"/>
      </w:r>
      <w:r w:rsidRPr="08D31354">
        <w:instrText xml:space="preserve"> XE "Oxfordský Anonym 170.91‒101" </w:instrText>
      </w:r>
      <w:r w:rsidRPr="08D31354">
        <w:fldChar w:fldCharType="end"/>
      </w:r>
      <w:r w:rsidRPr="08D31354">
        <w:t>)</w:t>
      </w:r>
    </w:p>
  </w:footnote>
  <w:footnote w:id="139">
    <w:p w:rsidR="00971E82" w:rsidRPr="08D31354" w:rsidRDefault="00971E82" w:rsidP="08D31354">
      <w:pPr>
        <w:pStyle w:val="Textpoznpodarou"/>
      </w:pPr>
      <w:r w:rsidRPr="08D31354">
        <w:rPr>
          <w:rStyle w:val="Znakapoznpodarou"/>
        </w:rPr>
        <w:footnoteRef/>
      </w:r>
      <w:r w:rsidRPr="08D31354">
        <w:t xml:space="preserve"> „</w:t>
      </w:r>
      <w:r w:rsidRPr="08D31354">
        <w:rPr>
          <w:rStyle w:val="CitaceChar"/>
          <w:color w:val="auto"/>
          <w:sz w:val="20"/>
        </w:rPr>
        <w:t>Et hoc est concedendum, quod rationes intelligendi manent, ipso intellectu non considerante actu. Istae autem rationes intelligendi sunt illud quo intellectus considerat secundum actum, et se habent ad intellectum et ad considerare secundum actum...“ (O 2.19, p. 229.79‒82</w:t>
      </w:r>
      <w:r w:rsidRPr="08D31354">
        <w:fldChar w:fldCharType="begin"/>
      </w:r>
      <w:r w:rsidRPr="08D31354">
        <w:instrText xml:space="preserve"> XE "Oxfordský Anonym 229.79‒82" </w:instrText>
      </w:r>
      <w:r w:rsidRPr="08D31354">
        <w:fldChar w:fldCharType="end"/>
      </w:r>
      <w:r w:rsidRPr="08D31354">
        <w:rPr>
          <w:rStyle w:val="CitaceChar"/>
          <w:color w:val="auto"/>
          <w:sz w:val="20"/>
        </w:rPr>
        <w:t>)</w:t>
      </w:r>
    </w:p>
  </w:footnote>
  <w:footnote w:id="140">
    <w:p w:rsidR="00971E82" w:rsidRPr="002E4189" w:rsidRDefault="00971E82" w:rsidP="08163013">
      <w:pPr>
        <w:pStyle w:val="Textpoznpodarou"/>
      </w:pPr>
      <w:r>
        <w:rPr>
          <w:rStyle w:val="Znakapoznpodarou"/>
        </w:rPr>
        <w:footnoteRef/>
      </w:r>
      <w:r>
        <w:rPr>
          <w:lang w:val="cs-CZ"/>
        </w:rPr>
        <w:t xml:space="preserve"> </w:t>
      </w:r>
      <w:r>
        <w:t>„</w:t>
      </w:r>
      <w:r w:rsidRPr="002E4189">
        <w:t>Ad aliud dico quod non est simile, quia intellectus movetur ab intelligibilibus; intelligibilia autem, secundum quod intelligibilia, non sunt entia in actu, ut universalia, sed in potentia tantum; quare universalia secundum quod sunt in rerum natura, non possunt agere intellectum possibilem in actu; ideo, ut educatur de potentia ad actum, exigitur aliquid actu, cuiusmodi est intellectus agens.</w:t>
      </w:r>
      <w:r>
        <w:t xml:space="preserve">“ (O </w:t>
      </w:r>
      <w:r>
        <w:rPr>
          <w:lang w:val="cs-CZ"/>
        </w:rPr>
        <w:t>2</w:t>
      </w:r>
      <w:r>
        <w:t>.18, p. 226.57‒62</w:t>
      </w:r>
      <w:r>
        <w:fldChar w:fldCharType="begin"/>
      </w:r>
      <w:r>
        <w:instrText xml:space="preserve"> XE "</w:instrText>
      </w:r>
      <w:r w:rsidRPr="00622E6B">
        <w:rPr>
          <w:i/>
          <w:lang w:val="cs-CZ"/>
        </w:rPr>
        <w:instrText>Oxfordský</w:instrText>
      </w:r>
      <w:r w:rsidRPr="00F53B8E">
        <w:rPr>
          <w:i/>
        </w:rPr>
        <w:instrText xml:space="preserve"> Anonym</w:instrText>
      </w:r>
      <w:r>
        <w:instrText xml:space="preserve"> </w:instrText>
      </w:r>
      <w:r>
        <w:rPr>
          <w:lang w:val="cs-CZ"/>
        </w:rPr>
        <w:instrText>226</w:instrText>
      </w:r>
      <w:r>
        <w:instrText>.</w:instrText>
      </w:r>
      <w:r>
        <w:rPr>
          <w:lang w:val="cs-CZ"/>
        </w:rPr>
        <w:instrText>57</w:instrText>
      </w:r>
      <w:r>
        <w:instrText>‒</w:instrText>
      </w:r>
      <w:r>
        <w:rPr>
          <w:lang w:val="cs-CZ"/>
        </w:rPr>
        <w:instrText>62</w:instrText>
      </w:r>
      <w:r>
        <w:instrText xml:space="preserve">" </w:instrText>
      </w:r>
      <w:r>
        <w:fldChar w:fldCharType="end"/>
      </w:r>
      <w:r>
        <w:t xml:space="preserve">) </w:t>
      </w:r>
    </w:p>
  </w:footnote>
  <w:footnote w:id="141">
    <w:p w:rsidR="00971E82" w:rsidRPr="002A09E6" w:rsidRDefault="00971E82" w:rsidP="08163013">
      <w:pPr>
        <w:pStyle w:val="Textpoznpodarou"/>
      </w:pPr>
      <w:r>
        <w:rPr>
          <w:rStyle w:val="Znakapoznpodarou"/>
        </w:rPr>
        <w:footnoteRef/>
      </w:r>
      <w:r>
        <w:t xml:space="preserve"> „</w:t>
      </w:r>
      <w:r w:rsidRPr="002A09E6">
        <w:t xml:space="preserve">Et dico quod forma prius est substantia secundum esse et naturam, quia omnia alia habent rationem substantiae </w:t>
      </w:r>
      <w:r>
        <w:t xml:space="preserve">per formam: esse et subsistere </w:t>
      </w:r>
      <w:r w:rsidRPr="002A09E6">
        <w:t xml:space="preserve">sunt in </w:t>
      </w:r>
      <w:r>
        <w:t>materia et composito per formam</w:t>
      </w:r>
      <w:r w:rsidRPr="002A09E6">
        <w:t xml:space="preserve">: materia enim subsistit per formam; item compositum non habet esse </w:t>
      </w:r>
      <w:r>
        <w:t xml:space="preserve">nisi per formam </w:t>
      </w:r>
      <w:r w:rsidRPr="002A09E6">
        <w:t>per quam participat istud; si ergo hoc est primo substantia, in quo reperitur primo ratio esse et subsistendi, tunc hoc erit forma, et ita forma est prius substantia secundum naturam.</w:t>
      </w:r>
      <w:r>
        <w:t>“ (O 2.1</w:t>
      </w:r>
      <w:r>
        <w:rPr>
          <w:lang w:val="cs-CZ"/>
        </w:rPr>
        <w:t>;</w:t>
      </w:r>
      <w:r>
        <w:t xml:space="preserve"> p. 197.52‒58</w:t>
      </w:r>
      <w:r>
        <w:fldChar w:fldCharType="begin"/>
      </w:r>
      <w:r>
        <w:instrText xml:space="preserve"> XE "</w:instrText>
      </w:r>
      <w:r w:rsidRPr="00622E6B">
        <w:rPr>
          <w:i/>
          <w:lang w:val="cs-CZ"/>
        </w:rPr>
        <w:instrText>Oxfordský</w:instrText>
      </w:r>
      <w:r w:rsidRPr="00F53B8E">
        <w:rPr>
          <w:i/>
        </w:rPr>
        <w:instrText xml:space="preserve"> Anonym</w:instrText>
      </w:r>
      <w:r>
        <w:instrText xml:space="preserve"> 1</w:instrText>
      </w:r>
      <w:r>
        <w:rPr>
          <w:lang w:val="cs-CZ"/>
        </w:rPr>
        <w:instrText>97</w:instrText>
      </w:r>
      <w:r>
        <w:instrText>.</w:instrText>
      </w:r>
      <w:r>
        <w:rPr>
          <w:lang w:val="cs-CZ"/>
        </w:rPr>
        <w:instrText>52</w:instrText>
      </w:r>
      <w:r>
        <w:instrText>‒</w:instrText>
      </w:r>
      <w:r>
        <w:rPr>
          <w:lang w:val="cs-CZ"/>
        </w:rPr>
        <w:instrText>58</w:instrText>
      </w:r>
      <w:r>
        <w:instrText xml:space="preserve">" </w:instrText>
      </w:r>
      <w:r>
        <w:fldChar w:fldCharType="end"/>
      </w:r>
      <w:r>
        <w:t>)</w:t>
      </w:r>
    </w:p>
  </w:footnote>
  <w:footnote w:id="142">
    <w:p w:rsidR="00971E82" w:rsidRPr="08487DA0" w:rsidRDefault="00971E82" w:rsidP="08487DA0">
      <w:pPr>
        <w:pStyle w:val="Textpoznpodarou"/>
      </w:pPr>
      <w:r w:rsidRPr="08487DA0">
        <w:rPr>
          <w:rStyle w:val="Znakapoznpodarou"/>
        </w:rPr>
        <w:footnoteRef/>
      </w:r>
      <w:r w:rsidRPr="08487DA0">
        <w:t xml:space="preserve"> „(...) sed p</w:t>
      </w:r>
      <w:r w:rsidRPr="08487DA0">
        <w:rPr>
          <w:rStyle w:val="Zkladntext53dkovn0pt"/>
          <w:rFonts w:ascii="Calibri" w:eastAsia="Times" w:hAnsi="Calibri" w:cs="Times New Roman"/>
          <w:color w:val="auto"/>
          <w:spacing w:val="0"/>
          <w:sz w:val="20"/>
          <w:szCs w:val="20"/>
        </w:rPr>
        <w:t xml:space="preserve">erspicuum in superioribus est incorruptibile, in inferioribus corruptibile; quare. Item, nec est penitus diversae rationis, quia perspicuum utrobique recipit lumen ut suum actum, et lumen non est alterius rationis et alterius penitus, quia eodem sensu judicamus utrumque: sed reperitur perspicuum in inferioribus secundum proportionem quamdam in superioribus. Unde per prius dicitur de perspicuo in superioribus, et per posterius in inferioribus.“ </w:t>
      </w:r>
      <w:r w:rsidRPr="08487DA0">
        <w:t>(O 2.27; p. 250.23‒29</w:t>
      </w:r>
      <w:r w:rsidRPr="08487DA0">
        <w:fldChar w:fldCharType="begin"/>
      </w:r>
      <w:r w:rsidRPr="08487DA0">
        <w:instrText xml:space="preserve"> XE "Oxfordský Anonym 250.23‒29" </w:instrText>
      </w:r>
      <w:r w:rsidRPr="08487DA0">
        <w:fldChar w:fldCharType="end"/>
      </w:r>
      <w:r w:rsidRPr="08487DA0">
        <w:t>)</w:t>
      </w:r>
    </w:p>
  </w:footnote>
  <w:footnote w:id="143">
    <w:p w:rsidR="00971E82" w:rsidRPr="00FE4E00" w:rsidRDefault="00971E82" w:rsidP="08163013">
      <w:pPr>
        <w:pStyle w:val="Textpoznpodarou"/>
      </w:pPr>
      <w:r>
        <w:rPr>
          <w:rStyle w:val="Znakapoznpodarou"/>
        </w:rPr>
        <w:footnoteRef/>
      </w:r>
      <w:r>
        <w:t xml:space="preserve"> „</w:t>
      </w:r>
      <w:r w:rsidRPr="003D168A">
        <w:t>Intelligendum quod perspicuitas idem est quod transparent</w:t>
      </w:r>
      <w:r>
        <w:t>ia et passio quaedam secundum q</w:t>
      </w:r>
      <w:r w:rsidRPr="003D168A">
        <w:t xml:space="preserve">uam perspicuum recipit lumen, et perspicuum non est nisi potentia receptiva luminis; et ideo lumen est actus perspicui. </w:t>
      </w:r>
      <w:r>
        <w:t xml:space="preserve">In </w:t>
      </w:r>
      <w:r w:rsidRPr="003D168A">
        <w:t xml:space="preserve">superioribus autem et inferioribus perspicuum non est penitus unius rationis, quoniam corruptibile et incorruptibile </w:t>
      </w:r>
      <w:r>
        <w:t>non sunt unius rationis penitus</w:t>
      </w:r>
      <w:r w:rsidRPr="003D168A">
        <w:t>; sed diaphanum in s</w:t>
      </w:r>
      <w:r>
        <w:t xml:space="preserve">uperioribus est incorruptibile, in </w:t>
      </w:r>
      <w:r w:rsidRPr="003D168A">
        <w:t>inferioribus autem corruptibile; ideo etc.</w:t>
      </w:r>
      <w:r>
        <w:t>“ (M 2.27, p. 250.18‒24</w:t>
      </w:r>
      <w:r>
        <w:fldChar w:fldCharType="begin"/>
      </w:r>
      <w:r>
        <w:instrText xml:space="preserve"> XE "</w:instrText>
      </w:r>
      <w:r w:rsidRPr="00143299">
        <w:rPr>
          <w:i/>
          <w:lang w:val="cs-CZ"/>
        </w:rPr>
        <w:instrText>Mnichovský</w:instrText>
      </w:r>
      <w:r w:rsidRPr="00F53B8E">
        <w:rPr>
          <w:i/>
        </w:rPr>
        <w:instrText xml:space="preserve"> Anonym</w:instrText>
      </w:r>
      <w:r>
        <w:instrText xml:space="preserve"> </w:instrText>
      </w:r>
      <w:r>
        <w:rPr>
          <w:lang w:val="cs-CZ"/>
        </w:rPr>
        <w:instrText>250</w:instrText>
      </w:r>
      <w:r>
        <w:instrText>.</w:instrText>
      </w:r>
      <w:r>
        <w:rPr>
          <w:lang w:val="cs-CZ"/>
        </w:rPr>
        <w:instrText>18</w:instrText>
      </w:r>
      <w:r>
        <w:instrText>‒</w:instrText>
      </w:r>
      <w:r>
        <w:rPr>
          <w:lang w:val="cs-CZ"/>
        </w:rPr>
        <w:instrText>24</w:instrText>
      </w:r>
      <w:r>
        <w:instrText xml:space="preserve">" </w:instrText>
      </w:r>
      <w:r>
        <w:fldChar w:fldCharType="end"/>
      </w:r>
      <w:r>
        <w:t>)</w:t>
      </w:r>
    </w:p>
  </w:footnote>
  <w:footnote w:id="144">
    <w:p w:rsidR="00971E82" w:rsidRPr="00B1593D" w:rsidRDefault="00971E82" w:rsidP="08163013">
      <w:pPr>
        <w:pStyle w:val="Textpoznpodarou"/>
      </w:pPr>
      <w:r>
        <w:rPr>
          <w:rStyle w:val="Znakapoznpodarou"/>
        </w:rPr>
        <w:footnoteRef/>
      </w:r>
      <w:r>
        <w:rPr>
          <w:lang w:val="cs-CZ"/>
        </w:rPr>
        <w:t xml:space="preserve"> </w:t>
      </w:r>
      <w:r>
        <w:t>„</w:t>
      </w:r>
      <w:r w:rsidRPr="000930CC">
        <w:t xml:space="preserve">Hoc autem volens designare Philosophus, quod intellectus in essentia animae fundatur ut in subiecto, sensus tamen in organo, ait, quod </w:t>
      </w:r>
      <w:r>
        <w:t>'</w:t>
      </w:r>
      <w:r w:rsidRPr="000930CC">
        <w:t>anima est locus specierum n</w:t>
      </w:r>
      <w:r>
        <w:t>on tota, sed intellectiva solum'</w:t>
      </w:r>
      <w:r w:rsidRPr="000930CC">
        <w:t>. Nam locus specierum visibilium est oculus, in quo fundatur virtus visiva ut in subiecto, et simile est de aliis sensibus. Sed locus specierum intelligibium est essentia animae intellectivae, cum in ea fundetur intellectus ut in subiecto. His patefactis argumenta Commentatoris de facili solvuntur.</w:t>
      </w:r>
      <w:r>
        <w:t>“ (</w:t>
      </w:r>
      <w:r w:rsidRPr="006E6489">
        <w:rPr>
          <w:i/>
        </w:rPr>
        <w:t>De plurificatione possibilis intellectus</w:t>
      </w:r>
      <w:r>
        <w:t xml:space="preserve"> 4</w:t>
      </w:r>
      <w:r>
        <w:rPr>
          <w:lang w:val="cs-CZ"/>
        </w:rPr>
        <w:t>;</w:t>
      </w:r>
      <w:r>
        <w:t xml:space="preserve"> ed. Olszewski, p. 156.1199-1207</w:t>
      </w:r>
      <w:r>
        <w:fldChar w:fldCharType="begin"/>
      </w:r>
      <w:r>
        <w:instrText xml:space="preserve"> XE "Aegidius</w:instrText>
      </w:r>
      <w:r w:rsidRPr="00FE3A8F">
        <w:instrText xml:space="preserve"> Romanus</w:instrText>
      </w:r>
      <w:r w:rsidRPr="0074379C">
        <w:rPr>
          <w:i/>
        </w:rPr>
        <w:instrText>:De plurificatione possibilis intellectus</w:instrText>
      </w:r>
      <w:r w:rsidRPr="0074379C">
        <w:instrText xml:space="preserve"> 156.1199-1207</w:instrText>
      </w:r>
      <w:r>
        <w:instrText xml:space="preserve">" </w:instrText>
      </w:r>
      <w:r>
        <w:fldChar w:fldCharType="end"/>
      </w:r>
      <w:r>
        <w:t>)</w:t>
      </w:r>
    </w:p>
  </w:footnote>
  <w:footnote w:id="145">
    <w:p w:rsidR="00971E82" w:rsidRPr="002D6CAA" w:rsidRDefault="00971E82" w:rsidP="08163013">
      <w:pPr>
        <w:pStyle w:val="Textpoznpodarou"/>
      </w:pPr>
      <w:r>
        <w:rPr>
          <w:rStyle w:val="Znakapoznpodarou"/>
        </w:rPr>
        <w:footnoteRef/>
      </w:r>
      <w:r>
        <w:t xml:space="preserve"> </w:t>
      </w:r>
      <w:r>
        <w:rPr>
          <w:lang w:val="cs-CZ"/>
        </w:rPr>
        <w:t>Tento a</w:t>
      </w:r>
      <w:r w:rsidRPr="003140D6">
        <w:t xml:space="preserve">rgument o </w:t>
      </w:r>
      <w:r>
        <w:rPr>
          <w:lang w:val="cs-CZ"/>
        </w:rPr>
        <w:t xml:space="preserve">tzv. „averroistické“ </w:t>
      </w:r>
      <w:r w:rsidRPr="003140D6">
        <w:t xml:space="preserve">jednotě </w:t>
      </w:r>
      <w:r w:rsidRPr="00724287">
        <w:rPr>
          <w:i/>
        </w:rPr>
        <w:t>intellectus possibilis</w:t>
      </w:r>
      <w:r w:rsidRPr="003140D6">
        <w:t xml:space="preserve"> </w:t>
      </w:r>
      <w:r>
        <w:t>najdeme u Aegidia</w:t>
      </w:r>
      <w:r w:rsidRPr="003140D6">
        <w:t>: „</w:t>
      </w:r>
      <w:r w:rsidRPr="003140D6">
        <w:rPr>
          <w:lang w:val="fr-FR"/>
        </w:rPr>
        <w:t>Nam</w:t>
      </w:r>
      <w:r w:rsidRPr="003140D6">
        <w:t xml:space="preserve"> si esset </w:t>
      </w:r>
      <w:r w:rsidRPr="003140D6">
        <w:rPr>
          <w:lang w:val="fr-FR"/>
        </w:rPr>
        <w:t>unus intellectus possibilis numero, tunc intellectus speculativus esset aeternus et ingenerabilis et incorrupt</w:t>
      </w:r>
      <w:r>
        <w:rPr>
          <w:lang w:val="fr-FR"/>
        </w:rPr>
        <w:t xml:space="preserve">ibilis, quia, ex quo recipiens </w:t>
      </w:r>
      <w:r w:rsidRPr="003140D6">
        <w:rPr>
          <w:lang w:val="fr-FR"/>
        </w:rPr>
        <w:t>est aeternum et agens aeternum, necess</w:t>
      </w:r>
      <w:r w:rsidRPr="003140D6">
        <w:t>e est, ut receptum sit aeternum.</w:t>
      </w:r>
      <w:r>
        <w:t>“ (</w:t>
      </w:r>
      <w:r w:rsidRPr="003140D6">
        <w:rPr>
          <w:i/>
        </w:rPr>
        <w:t>De plurificatione possibilis intellectus</w:t>
      </w:r>
      <w:r w:rsidRPr="003140D6">
        <w:t xml:space="preserve"> 1</w:t>
      </w:r>
      <w:r>
        <w:rPr>
          <w:lang w:val="cs-CZ"/>
        </w:rPr>
        <w:t>;</w:t>
      </w:r>
      <w:r w:rsidRPr="003140D6">
        <w:t xml:space="preserve"> ed. Olszewski, p. 113.</w:t>
      </w:r>
      <w:r>
        <w:t>153‒</w:t>
      </w:r>
      <w:r w:rsidRPr="003140D6">
        <w:t>56</w:t>
      </w:r>
      <w:r>
        <w:fldChar w:fldCharType="begin"/>
      </w:r>
      <w:r>
        <w:instrText xml:space="preserve"> XE "</w:instrText>
      </w:r>
      <w:r>
        <w:rPr>
          <w:lang w:val="cs-CZ"/>
        </w:rPr>
        <w:instrText>Aegidius Romanus:</w:instrText>
      </w:r>
      <w:r w:rsidRPr="005B1A76">
        <w:rPr>
          <w:i/>
        </w:rPr>
        <w:instrText>De plurificatione possibilis intellectus</w:instrText>
      </w:r>
      <w:r>
        <w:instrText xml:space="preserve"> 113.153‒</w:instrText>
      </w:r>
      <w:r w:rsidRPr="005B1A76">
        <w:instrText>56</w:instrText>
      </w:r>
      <w:r>
        <w:instrText xml:space="preserve">" </w:instrText>
      </w:r>
      <w:r>
        <w:fldChar w:fldCharType="end"/>
      </w:r>
      <w:r>
        <w:t>)</w:t>
      </w:r>
      <w:r w:rsidRPr="003140D6">
        <w:rPr>
          <w:rFonts w:eastAsia="David"/>
        </w:rPr>
        <w:t>.</w:t>
      </w:r>
      <w:r>
        <w:t xml:space="preserve"> </w:t>
      </w:r>
    </w:p>
  </w:footnote>
  <w:footnote w:id="146">
    <w:p w:rsidR="00971E82" w:rsidRPr="00A23B91" w:rsidRDefault="00971E82" w:rsidP="00C507E8">
      <w:pPr>
        <w:pStyle w:val="Textpoznpodarou"/>
        <w:rPr>
          <w:lang w:val="cs-CZ"/>
        </w:rPr>
      </w:pPr>
      <w:r>
        <w:rPr>
          <w:rStyle w:val="Znakapoznpodarou"/>
        </w:rPr>
        <w:footnoteRef/>
      </w:r>
      <w:r>
        <w:t xml:space="preserve"> </w:t>
      </w:r>
      <w:r w:rsidRPr="00273106">
        <w:rPr>
          <w:noProof/>
        </w:rPr>
        <w:t>„Sed arguatur quod intellectus speculativus non numeretur numeratione hominum, et etiam quod intellectus possibilis non sit unus numero in omnibus hominibus, per rationes quas ponit Commentator contra seipsum.“ (O 3.7</w:t>
      </w:r>
      <w:r>
        <w:rPr>
          <w:noProof/>
          <w:lang w:val="cs-CZ"/>
        </w:rPr>
        <w:t>;</w:t>
      </w:r>
      <w:r w:rsidRPr="00273106">
        <w:rPr>
          <w:noProof/>
        </w:rPr>
        <w:t xml:space="preserve"> p. 314.51</w:t>
      </w:r>
      <w:r w:rsidRPr="00273106">
        <w:rPr>
          <w:rFonts w:ascii="Arial" w:hAnsi="Arial" w:cs="Arial"/>
          <w:noProof/>
        </w:rPr>
        <w:t>‒</w:t>
      </w:r>
      <w:r w:rsidRPr="00273106">
        <w:rPr>
          <w:rFonts w:cs="Calibri"/>
          <w:noProof/>
        </w:rPr>
        <w:t>54</w:t>
      </w:r>
      <w:r>
        <w:fldChar w:fldCharType="begin"/>
      </w:r>
      <w:r>
        <w:instrText xml:space="preserve"> XE "</w:instrText>
      </w:r>
      <w:r w:rsidRPr="00622E6B">
        <w:rPr>
          <w:i/>
          <w:lang w:val="cs-CZ"/>
        </w:rPr>
        <w:instrText>Oxfordský</w:instrText>
      </w:r>
      <w:r w:rsidRPr="00F53B8E">
        <w:rPr>
          <w:i/>
        </w:rPr>
        <w:instrText xml:space="preserve"> Anonym</w:instrText>
      </w:r>
      <w:r>
        <w:instrText xml:space="preserve"> </w:instrText>
      </w:r>
      <w:r>
        <w:rPr>
          <w:lang w:val="cs-CZ"/>
        </w:rPr>
        <w:instrText>314</w:instrText>
      </w:r>
      <w:r>
        <w:instrText>.</w:instrText>
      </w:r>
      <w:r>
        <w:rPr>
          <w:lang w:val="cs-CZ"/>
        </w:rPr>
        <w:instrText>51</w:instrText>
      </w:r>
      <w:r>
        <w:instrText>‒</w:instrText>
      </w:r>
      <w:r>
        <w:rPr>
          <w:lang w:val="cs-CZ"/>
        </w:rPr>
        <w:instrText>54</w:instrText>
      </w:r>
      <w:r>
        <w:instrText xml:space="preserve">" </w:instrText>
      </w:r>
      <w:r>
        <w:fldChar w:fldCharType="end"/>
      </w:r>
      <w:r w:rsidRPr="00273106">
        <w:rPr>
          <w:rFonts w:cs="Calibri"/>
          <w:noProof/>
        </w:rPr>
        <w:t>)</w:t>
      </w:r>
    </w:p>
  </w:footnote>
  <w:footnote w:id="147">
    <w:p w:rsidR="00971E82" w:rsidRPr="0042155A" w:rsidRDefault="00971E82" w:rsidP="08163013">
      <w:pPr>
        <w:pStyle w:val="Textpoznpodarou"/>
        <w:rPr>
          <w:noProof/>
          <w:lang w:val="cs-CZ"/>
        </w:rPr>
      </w:pPr>
      <w:r>
        <w:rPr>
          <w:rStyle w:val="Znakapoznpodarou"/>
        </w:rPr>
        <w:footnoteRef/>
      </w:r>
      <w:r>
        <w:t xml:space="preserve"> </w:t>
      </w:r>
      <w:r w:rsidRPr="00273106">
        <w:rPr>
          <w:noProof/>
        </w:rPr>
        <w:t>„Item, species existentes in phantasmatibus nostris existunt sub conditionibus individuantibus; secundum quod actu sunt intelligibiles, necesse est quod sint actu abstractae a phantasmatibus. Si sic, intellectus non potest, nobis uniri per formam, videlicet per speciem intelligibilem quam vocat Commentator for</w:t>
      </w:r>
      <w:r>
        <w:rPr>
          <w:noProof/>
        </w:rPr>
        <w:t>mam intellectus speculativi.“ (</w:t>
      </w:r>
      <w:r>
        <w:rPr>
          <w:noProof/>
          <w:lang w:val="cs-CZ"/>
        </w:rPr>
        <w:t>O</w:t>
      </w:r>
      <w:r>
        <w:rPr>
          <w:noProof/>
        </w:rPr>
        <w:t xml:space="preserve"> </w:t>
      </w:r>
      <w:r>
        <w:rPr>
          <w:noProof/>
          <w:lang w:val="cs-CZ"/>
        </w:rPr>
        <w:t>3</w:t>
      </w:r>
      <w:r>
        <w:rPr>
          <w:noProof/>
        </w:rPr>
        <w:t>.7.6</w:t>
      </w:r>
      <w:r>
        <w:rPr>
          <w:noProof/>
          <w:lang w:val="cs-CZ"/>
        </w:rPr>
        <w:t>;</w:t>
      </w:r>
      <w:r w:rsidRPr="00273106">
        <w:rPr>
          <w:noProof/>
        </w:rPr>
        <w:t xml:space="preserve"> p. 316.13‒17</w:t>
      </w:r>
      <w:r>
        <w:fldChar w:fldCharType="begin"/>
      </w:r>
      <w:r>
        <w:instrText xml:space="preserve"> XE "</w:instrText>
      </w:r>
      <w:r w:rsidRPr="00622E6B">
        <w:rPr>
          <w:i/>
          <w:lang w:val="cs-CZ"/>
        </w:rPr>
        <w:instrText>Oxfordský</w:instrText>
      </w:r>
      <w:r w:rsidRPr="00F53B8E">
        <w:rPr>
          <w:i/>
        </w:rPr>
        <w:instrText xml:space="preserve"> Anonym</w:instrText>
      </w:r>
      <w:r>
        <w:instrText xml:space="preserve"> </w:instrText>
      </w:r>
      <w:r>
        <w:rPr>
          <w:lang w:val="cs-CZ"/>
        </w:rPr>
        <w:instrText>316</w:instrText>
      </w:r>
      <w:r>
        <w:instrText>.</w:instrText>
      </w:r>
      <w:r>
        <w:rPr>
          <w:lang w:val="cs-CZ"/>
        </w:rPr>
        <w:instrText>13</w:instrText>
      </w:r>
      <w:r>
        <w:instrText>‒</w:instrText>
      </w:r>
      <w:r>
        <w:rPr>
          <w:lang w:val="cs-CZ"/>
        </w:rPr>
        <w:instrText>17</w:instrText>
      </w:r>
      <w:r>
        <w:instrText xml:space="preserve">" </w:instrText>
      </w:r>
      <w:r>
        <w:fldChar w:fldCharType="end"/>
      </w:r>
      <w:r w:rsidRPr="00273106">
        <w:rPr>
          <w:noProof/>
        </w:rPr>
        <w:t>)</w:t>
      </w:r>
    </w:p>
  </w:footnote>
  <w:footnote w:id="148">
    <w:p w:rsidR="00971E82" w:rsidRPr="00767001" w:rsidRDefault="00971E82" w:rsidP="08163013">
      <w:pPr>
        <w:pStyle w:val="Textpoznpodarou"/>
      </w:pPr>
      <w:r>
        <w:rPr>
          <w:rStyle w:val="Znakapoznpodarou"/>
        </w:rPr>
        <w:footnoteRef/>
      </w:r>
      <w:r>
        <w:t xml:space="preserve"> „</w:t>
      </w:r>
      <w:r w:rsidRPr="004B45F9">
        <w:t>Commentator ponit quod intellectus possibilis sit, unus numero omnium et quod sit, aeternus sicut species humana. Ex hoc arguitur quod nullus hominum nunc</w:t>
      </w:r>
      <w:r>
        <w:t xml:space="preserve"> existentium possit intelligere</w:t>
      </w:r>
      <w:r w:rsidRPr="004B45F9">
        <w:t>: quia non intelligimus nisi ex hoc quod species quae sunt in phantasmatibus recipiuntur in intellectu possibili; et sequitur hoc quod, quia est unus numero intellectus et recepit omnes species intelligibiles, erit plenus formis.</w:t>
      </w:r>
      <w:r>
        <w:t>“ (</w:t>
      </w:r>
      <w:r>
        <w:rPr>
          <w:lang w:val="cs-CZ"/>
        </w:rPr>
        <w:t>O</w:t>
      </w:r>
      <w:r>
        <w:t xml:space="preserve"> 3.7.4</w:t>
      </w:r>
      <w:r>
        <w:rPr>
          <w:lang w:val="cs-CZ"/>
        </w:rPr>
        <w:t>;</w:t>
      </w:r>
      <w:r>
        <w:t xml:space="preserve"> p. 316.1‒7</w:t>
      </w:r>
      <w:r>
        <w:fldChar w:fldCharType="begin"/>
      </w:r>
      <w:r>
        <w:instrText xml:space="preserve"> XE "</w:instrText>
      </w:r>
      <w:r w:rsidRPr="00622E6B">
        <w:rPr>
          <w:i/>
          <w:lang w:val="cs-CZ"/>
        </w:rPr>
        <w:instrText>Oxfordský</w:instrText>
      </w:r>
      <w:r w:rsidRPr="00F53B8E">
        <w:rPr>
          <w:i/>
        </w:rPr>
        <w:instrText xml:space="preserve"> Anonym</w:instrText>
      </w:r>
      <w:r>
        <w:instrText xml:space="preserve"> </w:instrText>
      </w:r>
      <w:r>
        <w:rPr>
          <w:lang w:val="cs-CZ"/>
        </w:rPr>
        <w:instrText>316</w:instrText>
      </w:r>
      <w:r>
        <w:instrText>.</w:instrText>
      </w:r>
      <w:r>
        <w:rPr>
          <w:lang w:val="cs-CZ"/>
        </w:rPr>
        <w:instrText>1</w:instrText>
      </w:r>
      <w:r>
        <w:instrText>‒</w:instrText>
      </w:r>
      <w:r>
        <w:rPr>
          <w:lang w:val="cs-CZ"/>
        </w:rPr>
        <w:instrText>7</w:instrText>
      </w:r>
      <w:r>
        <w:instrText xml:space="preserve">" </w:instrText>
      </w:r>
      <w:r>
        <w:fldChar w:fldCharType="end"/>
      </w:r>
      <w:r>
        <w:t>)</w:t>
      </w:r>
    </w:p>
  </w:footnote>
  <w:footnote w:id="149">
    <w:p w:rsidR="00971E82" w:rsidRPr="086B6962" w:rsidRDefault="00971E82" w:rsidP="086B6962">
      <w:pPr>
        <w:pStyle w:val="Textpoznpodarou"/>
      </w:pPr>
      <w:r w:rsidRPr="086B6962">
        <w:rPr>
          <w:rStyle w:val="Znakapoznpodarou"/>
        </w:rPr>
        <w:footnoteRef/>
      </w:r>
      <w:r w:rsidRPr="086B6962">
        <w:t xml:space="preserve"> „Item, non tenent viam </w:t>
      </w:r>
      <w:r w:rsidRPr="086B6962">
        <w:rPr>
          <w:rStyle w:val="Zkladntext53BookmanOldStyle65ptdkovn0pt"/>
          <w:rFonts w:ascii="Calibri" w:eastAsia="Times" w:hAnsi="Calibri" w:cs="Times New Roman"/>
          <w:color w:val="auto"/>
          <w:spacing w:val="0"/>
          <w:sz w:val="20"/>
          <w:szCs w:val="20"/>
        </w:rPr>
        <w:t xml:space="preserve">Commentatoris, </w:t>
      </w:r>
      <w:r w:rsidRPr="086B6962">
        <w:t xml:space="preserve">quia, quamvis </w:t>
      </w:r>
      <w:r w:rsidRPr="086B6962">
        <w:rPr>
          <w:rStyle w:val="Zkladntext53BookmanOldStyle65ptdkovn0pt"/>
          <w:rFonts w:ascii="Calibri" w:eastAsia="Times" w:hAnsi="Calibri" w:cs="Times New Roman"/>
          <w:color w:val="auto"/>
          <w:spacing w:val="0"/>
          <w:sz w:val="20"/>
          <w:szCs w:val="20"/>
        </w:rPr>
        <w:t xml:space="preserve">Commentator </w:t>
      </w:r>
      <w:r w:rsidRPr="086B6962">
        <w:t>ponat intellectum possibilem esse substantiam separatam secundum esse, non tamen ponit intellectum intelligere, sed homines per intellectum.“ (O 3.7; p. 317.30‒33</w:t>
      </w:r>
      <w:r w:rsidRPr="086B6962">
        <w:fldChar w:fldCharType="begin"/>
      </w:r>
      <w:r w:rsidRPr="086B6962">
        <w:instrText xml:space="preserve"> XE "Oxfordský Anonym 317.30‒33" </w:instrText>
      </w:r>
      <w:r w:rsidRPr="086B6962">
        <w:fldChar w:fldCharType="end"/>
      </w:r>
      <w:r w:rsidRPr="086B6962">
        <w:t>)</w:t>
      </w:r>
    </w:p>
  </w:footnote>
  <w:footnote w:id="150">
    <w:p w:rsidR="00971E82" w:rsidRPr="00F274BC" w:rsidRDefault="00971E82" w:rsidP="08163013">
      <w:pPr>
        <w:pStyle w:val="Textpoznpodarou"/>
      </w:pPr>
      <w:r>
        <w:rPr>
          <w:rStyle w:val="Znakapoznpodarou"/>
        </w:rPr>
        <w:footnoteRef/>
      </w:r>
      <w:r>
        <w:rPr>
          <w:lang w:val="cs-CZ"/>
        </w:rPr>
        <w:t xml:space="preserve"> </w:t>
      </w:r>
      <w:r>
        <w:t>„</w:t>
      </w:r>
      <w:r w:rsidRPr="00F274BC">
        <w:t xml:space="preserve">De isto contradicebant </w:t>
      </w:r>
      <w:r>
        <w:t>Aristoteles</w:t>
      </w:r>
      <w:r w:rsidRPr="00F274BC">
        <w:t xml:space="preserve"> et Avicenna. Dixit autem Avicenna quod, cum intellectus non intelligat, </w:t>
      </w:r>
      <w:r>
        <w:t xml:space="preserve">non </w:t>
      </w:r>
      <w:r w:rsidRPr="00F274BC">
        <w:t>manent species intelligibiles; et ex hoc motus fuit quod, praesente activo passivo, necessario fit actio: et posuit in sphaera activorum et passivorum intelligentiam motricem, ad quam convertens se intellectus, intelligit; et quando divertit se intellectus ab illa intelligentia, non intelligit. Sed il</w:t>
      </w:r>
      <w:r>
        <w:t xml:space="preserve">lud est contra Aristotelem, et </w:t>
      </w:r>
      <w:r w:rsidRPr="00F274BC">
        <w:t>e</w:t>
      </w:r>
      <w:r>
        <w:t>st idem cum positione Platonis.“ (</w:t>
      </w:r>
      <w:r>
        <w:rPr>
          <w:lang w:val="cs-CZ"/>
        </w:rPr>
        <w:t>O</w:t>
      </w:r>
      <w:r>
        <w:t xml:space="preserve"> 3.11</w:t>
      </w:r>
      <w:r>
        <w:rPr>
          <w:lang w:val="cs-CZ"/>
        </w:rPr>
        <w:t>;</w:t>
      </w:r>
      <w:r>
        <w:t xml:space="preserve"> p. 324.18‒25</w:t>
      </w:r>
      <w:r>
        <w:fldChar w:fldCharType="begin"/>
      </w:r>
      <w:r>
        <w:instrText xml:space="preserve"> XE "</w:instrText>
      </w:r>
      <w:r w:rsidRPr="00622E6B">
        <w:rPr>
          <w:i/>
          <w:lang w:val="cs-CZ"/>
        </w:rPr>
        <w:instrText>Oxfordský</w:instrText>
      </w:r>
      <w:r w:rsidRPr="00F53B8E">
        <w:rPr>
          <w:i/>
        </w:rPr>
        <w:instrText xml:space="preserve"> Anonym</w:instrText>
      </w:r>
      <w:r>
        <w:instrText xml:space="preserve"> </w:instrText>
      </w:r>
      <w:r>
        <w:rPr>
          <w:lang w:val="cs-CZ"/>
        </w:rPr>
        <w:instrText>324</w:instrText>
      </w:r>
      <w:r>
        <w:instrText>.</w:instrText>
      </w:r>
      <w:r>
        <w:rPr>
          <w:lang w:val="cs-CZ"/>
        </w:rPr>
        <w:instrText>18</w:instrText>
      </w:r>
      <w:r>
        <w:instrText>‒</w:instrText>
      </w:r>
      <w:r>
        <w:rPr>
          <w:lang w:val="cs-CZ"/>
        </w:rPr>
        <w:instrText>25</w:instrText>
      </w:r>
      <w:r>
        <w:instrText xml:space="preserve">" </w:instrText>
      </w:r>
      <w:r>
        <w:fldChar w:fldCharType="end"/>
      </w:r>
      <w:r>
        <w:t>)</w:t>
      </w:r>
    </w:p>
  </w:footnote>
  <w:footnote w:id="151">
    <w:p w:rsidR="00971E82" w:rsidRPr="00D63D21" w:rsidRDefault="00971E82" w:rsidP="08163013">
      <w:pPr>
        <w:pStyle w:val="Textpoznpodarou"/>
        <w:rPr>
          <w:lang w:val="cs-CZ"/>
        </w:rPr>
      </w:pPr>
      <w:r>
        <w:rPr>
          <w:rStyle w:val="Znakapoznpodarou"/>
        </w:rPr>
        <w:footnoteRef/>
      </w:r>
      <w:r>
        <w:t xml:space="preserve"> </w:t>
      </w:r>
      <w:r w:rsidRPr="00273106">
        <w:rPr>
          <w:noProof/>
        </w:rPr>
        <w:t>„Ista autem species se habet ad intellectum possibilem sic videlicet sicut movens instrumentale, quia quod quid est extra est movens principale, et ipsum non est simul cum intellectu qui movetur, nisi per similitudinem. Et ideo ista species non est illud quod principaliter intelligitur, sed est illud quo intelligitur quod quid est, cuius est species seu similitudo. Et verum est quod ista similitudo ex consequenti potest intelligi, et hoc erit acces</w:t>
      </w:r>
      <w:r>
        <w:rPr>
          <w:noProof/>
        </w:rPr>
        <w:t>sorie, ut dicit Commentator.“ (</w:t>
      </w:r>
      <w:r>
        <w:rPr>
          <w:noProof/>
          <w:lang w:val="cs-CZ"/>
        </w:rPr>
        <w:t>O</w:t>
      </w:r>
      <w:r>
        <w:rPr>
          <w:noProof/>
        </w:rPr>
        <w:t xml:space="preserve"> 3.10</w:t>
      </w:r>
      <w:r>
        <w:rPr>
          <w:noProof/>
          <w:lang w:val="cs-CZ"/>
        </w:rPr>
        <w:t xml:space="preserve">; </w:t>
      </w:r>
      <w:r w:rsidRPr="00273106">
        <w:rPr>
          <w:noProof/>
        </w:rPr>
        <w:t>p. 321.27‒33</w:t>
      </w:r>
      <w:r>
        <w:fldChar w:fldCharType="begin"/>
      </w:r>
      <w:r>
        <w:instrText xml:space="preserve"> XE "</w:instrText>
      </w:r>
      <w:r w:rsidRPr="00622E6B">
        <w:rPr>
          <w:i/>
          <w:lang w:val="cs-CZ"/>
        </w:rPr>
        <w:instrText>Oxfordský</w:instrText>
      </w:r>
      <w:r w:rsidRPr="00F53B8E">
        <w:rPr>
          <w:i/>
        </w:rPr>
        <w:instrText xml:space="preserve"> Anonym</w:instrText>
      </w:r>
      <w:r>
        <w:instrText xml:space="preserve"> </w:instrText>
      </w:r>
      <w:r>
        <w:rPr>
          <w:lang w:val="cs-CZ"/>
        </w:rPr>
        <w:instrText>321</w:instrText>
      </w:r>
      <w:r>
        <w:instrText>.</w:instrText>
      </w:r>
      <w:r>
        <w:rPr>
          <w:lang w:val="cs-CZ"/>
        </w:rPr>
        <w:instrText>27</w:instrText>
      </w:r>
      <w:r>
        <w:instrText>‒</w:instrText>
      </w:r>
      <w:r>
        <w:rPr>
          <w:lang w:val="cs-CZ"/>
        </w:rPr>
        <w:instrText>33</w:instrText>
      </w:r>
      <w:r>
        <w:instrText xml:space="preserve">" </w:instrText>
      </w:r>
      <w:r>
        <w:fldChar w:fldCharType="end"/>
      </w:r>
      <w:r w:rsidRPr="00273106">
        <w:rPr>
          <w:noProof/>
        </w:rPr>
        <w:t>)</w:t>
      </w:r>
    </w:p>
  </w:footnote>
  <w:footnote w:id="152">
    <w:p w:rsidR="00971E82" w:rsidRPr="00326FF2" w:rsidRDefault="00971E82" w:rsidP="08163013">
      <w:pPr>
        <w:pStyle w:val="Textpoznpodarou"/>
        <w:rPr>
          <w:noProof/>
          <w:lang w:val="cs-CZ"/>
        </w:rPr>
      </w:pPr>
      <w:r>
        <w:rPr>
          <w:rStyle w:val="Znakapoznpodarou"/>
        </w:rPr>
        <w:footnoteRef/>
      </w:r>
      <w:r>
        <w:t xml:space="preserve"> </w:t>
      </w:r>
      <w:r w:rsidRPr="00273106">
        <w:rPr>
          <w:noProof/>
        </w:rPr>
        <w:t>„Aliqui dixerunt quod intellectus agens est, habitus intellectus possibilis, et diversificati sunt: Quidam enim dixerunt quod est habitus acquisitus et Quidam ut innatus. Sed neutri verum dixerunt, quia non potest esse habitus innatus, quia sic intellectus possibilis non esset sicut tabula nuda; item, nec potest esse habitus acquisitus, quia omne quod recipitur in intellectu nostro, tantum est potentia intelligibile, et cum intellectus possibilis sit tantum in potentia, non vadit ad actum intelligendi de se.“ (O</w:t>
      </w:r>
      <w:r>
        <w:rPr>
          <w:noProof/>
        </w:rPr>
        <w:t xml:space="preserve"> 3.16, p. 332.18‒25</w:t>
      </w:r>
      <w:r>
        <w:fldChar w:fldCharType="begin"/>
      </w:r>
      <w:r>
        <w:instrText xml:space="preserve"> XE "</w:instrText>
      </w:r>
      <w:r w:rsidRPr="00622E6B">
        <w:rPr>
          <w:i/>
          <w:lang w:val="cs-CZ"/>
        </w:rPr>
        <w:instrText>Oxfordský</w:instrText>
      </w:r>
      <w:r w:rsidRPr="00F53B8E">
        <w:rPr>
          <w:i/>
        </w:rPr>
        <w:instrText xml:space="preserve"> Anonym</w:instrText>
      </w:r>
      <w:r>
        <w:instrText xml:space="preserve"> </w:instrText>
      </w:r>
      <w:r>
        <w:rPr>
          <w:lang w:val="cs-CZ"/>
        </w:rPr>
        <w:instrText>332</w:instrText>
      </w:r>
      <w:r>
        <w:instrText>.</w:instrText>
      </w:r>
      <w:r>
        <w:rPr>
          <w:lang w:val="cs-CZ"/>
        </w:rPr>
        <w:instrText>18</w:instrText>
      </w:r>
      <w:r>
        <w:instrText>‒</w:instrText>
      </w:r>
      <w:r>
        <w:rPr>
          <w:lang w:val="cs-CZ"/>
        </w:rPr>
        <w:instrText>25</w:instrText>
      </w:r>
      <w:r>
        <w:instrText xml:space="preserve">" </w:instrText>
      </w:r>
      <w:r>
        <w:fldChar w:fldCharType="end"/>
      </w:r>
      <w:r>
        <w:rPr>
          <w:noProof/>
        </w:rPr>
        <w:t>)</w:t>
      </w:r>
    </w:p>
  </w:footnote>
  <w:footnote w:id="153">
    <w:p w:rsidR="00971E82" w:rsidRPr="00753058" w:rsidRDefault="00971E82" w:rsidP="08163013">
      <w:pPr>
        <w:pStyle w:val="Textpoznpodarou"/>
      </w:pPr>
      <w:r w:rsidRPr="087A36F8">
        <w:rPr>
          <w:rStyle w:val="Znakapoznpodarou"/>
        </w:rPr>
        <w:footnoteRef/>
      </w:r>
      <w:r w:rsidRPr="00753058">
        <w:t xml:space="preserve"> </w:t>
      </w:r>
      <w:r w:rsidRPr="00753058">
        <w:rPr>
          <w:rFonts w:eastAsia="Code2000"/>
        </w:rPr>
        <w:t xml:space="preserve">„Nulla lex est vera, licet possit esse utilis.“ (Aegidius Romanus, </w:t>
      </w:r>
      <w:r>
        <w:rPr>
          <w:i/>
        </w:rPr>
        <w:t xml:space="preserve">De erroribus </w:t>
      </w:r>
      <w:r>
        <w:rPr>
          <w:i/>
          <w:lang w:val="cs-CZ"/>
        </w:rPr>
        <w:t>P</w:t>
      </w:r>
      <w:r w:rsidRPr="00753058">
        <w:rPr>
          <w:i/>
        </w:rPr>
        <w:t>hilosophorum</w:t>
      </w:r>
      <w:r>
        <w:rPr>
          <w:lang w:val="cs-CZ"/>
        </w:rPr>
        <w:t xml:space="preserve">; </w:t>
      </w:r>
      <w:r w:rsidRPr="00753058">
        <w:t>ed. Mandonnet</w:t>
      </w:r>
      <w:r>
        <w:rPr>
          <w:lang w:val="cs-CZ"/>
        </w:rPr>
        <w:t xml:space="preserve">, </w:t>
      </w:r>
      <w:r w:rsidRPr="00753058">
        <w:t xml:space="preserve"> p. </w:t>
      </w:r>
      <w:r w:rsidRPr="00753058">
        <w:rPr>
          <w:rFonts w:eastAsia="Code2000"/>
        </w:rPr>
        <w:t>11.15</w:t>
      </w:r>
      <w:r w:rsidRPr="00753058">
        <w:fldChar w:fldCharType="begin"/>
      </w:r>
      <w:r w:rsidRPr="00753058">
        <w:instrText xml:space="preserve"> XE "</w:instrText>
      </w:r>
      <w:r w:rsidRPr="00753058">
        <w:rPr>
          <w:rFonts w:eastAsia="Code2000"/>
        </w:rPr>
        <w:instrText>Aegidius Romanus:</w:instrText>
      </w:r>
      <w:r>
        <w:rPr>
          <w:i/>
        </w:rPr>
        <w:instrText xml:space="preserve">De erroribus </w:instrText>
      </w:r>
      <w:r>
        <w:rPr>
          <w:i/>
          <w:lang w:val="cs-CZ"/>
        </w:rPr>
        <w:instrText>P</w:instrText>
      </w:r>
      <w:r w:rsidRPr="006B19B1">
        <w:rPr>
          <w:i/>
        </w:rPr>
        <w:instrText>hilosophorum</w:instrText>
      </w:r>
      <w:r w:rsidRPr="00753058">
        <w:instrText xml:space="preserve"> </w:instrText>
      </w:r>
      <w:r w:rsidRPr="00753058">
        <w:rPr>
          <w:rFonts w:eastAsia="Code2000"/>
        </w:rPr>
        <w:instrText>11.15</w:instrText>
      </w:r>
      <w:r w:rsidRPr="00753058">
        <w:instrText xml:space="preserve">" </w:instrText>
      </w:r>
      <w:r w:rsidRPr="00753058">
        <w:fldChar w:fldCharType="end"/>
      </w:r>
      <w:r w:rsidRPr="00753058">
        <w:rPr>
          <w:rFonts w:eastAsia="Code2000"/>
        </w:rPr>
        <w:t>)</w:t>
      </w:r>
    </w:p>
  </w:footnote>
  <w:footnote w:id="154">
    <w:p w:rsidR="00971E82" w:rsidRPr="00497663" w:rsidRDefault="00971E82" w:rsidP="08163013">
      <w:pPr>
        <w:pStyle w:val="Textpoznpodarou"/>
      </w:pPr>
      <w:r>
        <w:rPr>
          <w:rStyle w:val="Znakapoznpodarou"/>
        </w:rPr>
        <w:footnoteRef/>
      </w:r>
      <w:r>
        <w:t xml:space="preserve"> „</w:t>
      </w:r>
      <w:r w:rsidRPr="000C222D">
        <w:t>Et ideo credo esse dicendum quod intellectus agens et intellectus possibilis</w:t>
      </w:r>
      <w:r>
        <w:t xml:space="preserve"> sint diversae potentiae animae</w:t>
      </w:r>
      <w:r w:rsidRPr="000C222D">
        <w:t>; tamen sunt potentiae eiusdem substantiae animae. Quod patet, quia, secundum Commentatorem, duas operationes animae experimur in nobis, abstrahere intelligibilia et percipere intellig</w:t>
      </w:r>
      <w:r>
        <w:t>ibilia, quae differunt inter se</w:t>
      </w:r>
      <w:r w:rsidRPr="000C222D">
        <w:t xml:space="preserve">; et etiam obiecta istorum differunt, </w:t>
      </w:r>
      <w:r>
        <w:t>q</w:t>
      </w:r>
      <w:r w:rsidRPr="000C222D">
        <w:t xml:space="preserve">uia obiectum virtutis abstrahentis </w:t>
      </w:r>
      <w:r>
        <w:t>est phantasma singulare, obiect</w:t>
      </w:r>
      <w:r w:rsidRPr="000C222D">
        <w:t>u</w:t>
      </w:r>
      <w:r>
        <w:t>m</w:t>
      </w:r>
      <w:r w:rsidRPr="000C222D">
        <w:t xml:space="preserve"> recipientis e</w:t>
      </w:r>
      <w:r>
        <w:t>st phantasma abstractum</w:t>
      </w:r>
      <w:r w:rsidRPr="000C222D">
        <w:t>: et ideo differunt istae potentiae.</w:t>
      </w:r>
      <w:r>
        <w:t xml:space="preserve"> Et quod sint potentiae eiusdem substantiae animae patet...“ (O 3.17</w:t>
      </w:r>
      <w:r>
        <w:rPr>
          <w:lang w:val="cs-CZ"/>
        </w:rPr>
        <w:t xml:space="preserve">; </w:t>
      </w:r>
      <w:r>
        <w:t>p. 334.25‒33</w:t>
      </w:r>
      <w:r>
        <w:fldChar w:fldCharType="begin"/>
      </w:r>
      <w:r>
        <w:instrText xml:space="preserve"> XE "</w:instrText>
      </w:r>
      <w:r w:rsidRPr="00622E6B">
        <w:rPr>
          <w:i/>
          <w:lang w:val="cs-CZ"/>
        </w:rPr>
        <w:instrText>Oxfordský</w:instrText>
      </w:r>
      <w:r w:rsidRPr="00F53B8E">
        <w:rPr>
          <w:i/>
        </w:rPr>
        <w:instrText xml:space="preserve"> Anonym</w:instrText>
      </w:r>
      <w:r>
        <w:instrText xml:space="preserve"> </w:instrText>
      </w:r>
      <w:r>
        <w:rPr>
          <w:lang w:val="cs-CZ"/>
        </w:rPr>
        <w:instrText>334</w:instrText>
      </w:r>
      <w:r>
        <w:instrText>.</w:instrText>
      </w:r>
      <w:r>
        <w:rPr>
          <w:lang w:val="cs-CZ"/>
        </w:rPr>
        <w:instrText>25</w:instrText>
      </w:r>
      <w:r>
        <w:instrText>‒</w:instrText>
      </w:r>
      <w:r>
        <w:rPr>
          <w:lang w:val="cs-CZ"/>
        </w:rPr>
        <w:instrText>33</w:instrText>
      </w:r>
      <w:r>
        <w:instrText xml:space="preserve">" </w:instrText>
      </w:r>
      <w:r>
        <w:fldChar w:fldCharType="end"/>
      </w:r>
      <w:r>
        <w:t>)</w:t>
      </w:r>
    </w:p>
  </w:footnote>
  <w:footnote w:id="155">
    <w:p w:rsidR="00971E82" w:rsidRPr="009A1CAB" w:rsidRDefault="00971E82" w:rsidP="08163013">
      <w:pPr>
        <w:pStyle w:val="Textpoznpodarou"/>
      </w:pPr>
      <w:r>
        <w:rPr>
          <w:rStyle w:val="Znakapoznpodarou"/>
        </w:rPr>
        <w:footnoteRef/>
      </w:r>
      <w:r>
        <w:rPr>
          <w:lang w:val="cs-CZ"/>
        </w:rPr>
        <w:t xml:space="preserve"> </w:t>
      </w:r>
      <w:r>
        <w:t>„</w:t>
      </w:r>
      <w:r w:rsidRPr="009A1CAB">
        <w:t>Et quando dicitur quod primum principium est quod naturaliter venit ad habentem, et etiam Commentator dicit quod prima principia speculabilia sunt nobis innata, dicendum quod principia respectu conclusionum et principiatorum sunt nobis innata; non tamen simpliciter sunt innata. Et etiam hoc dicit quia non fiunt nobis nota ex alio, sicut conclusiones.</w:t>
      </w:r>
      <w:r>
        <w:t>“ (O 3.20</w:t>
      </w:r>
      <w:r>
        <w:rPr>
          <w:lang w:val="cs-CZ"/>
        </w:rPr>
        <w:t xml:space="preserve">; </w:t>
      </w:r>
      <w:r>
        <w:t>p. 337.25‒30</w:t>
      </w:r>
      <w:r>
        <w:fldChar w:fldCharType="begin"/>
      </w:r>
      <w:r>
        <w:instrText xml:space="preserve"> XE "</w:instrText>
      </w:r>
      <w:r w:rsidRPr="00622E6B">
        <w:rPr>
          <w:i/>
          <w:lang w:val="cs-CZ"/>
        </w:rPr>
        <w:instrText>Oxfordský</w:instrText>
      </w:r>
      <w:r w:rsidRPr="00F53B8E">
        <w:rPr>
          <w:i/>
        </w:rPr>
        <w:instrText xml:space="preserve"> Anonym</w:instrText>
      </w:r>
      <w:r>
        <w:instrText xml:space="preserve"> </w:instrText>
      </w:r>
      <w:r>
        <w:rPr>
          <w:lang w:val="cs-CZ"/>
        </w:rPr>
        <w:instrText>337</w:instrText>
      </w:r>
      <w:r>
        <w:instrText>.</w:instrText>
      </w:r>
      <w:r>
        <w:rPr>
          <w:lang w:val="cs-CZ"/>
        </w:rPr>
        <w:instrText>25</w:instrText>
      </w:r>
      <w:r>
        <w:instrText>‒</w:instrText>
      </w:r>
      <w:r>
        <w:rPr>
          <w:lang w:val="cs-CZ"/>
        </w:rPr>
        <w:instrText>30</w:instrText>
      </w:r>
      <w:r>
        <w:instrText xml:space="preserve">" </w:instrText>
      </w:r>
      <w:r>
        <w:fldChar w:fldCharType="end"/>
      </w:r>
      <w:r>
        <w:t>)</w:t>
      </w:r>
    </w:p>
  </w:footnote>
  <w:footnote w:id="156">
    <w:p w:rsidR="00971E82" w:rsidRPr="08055E23" w:rsidRDefault="00971E82" w:rsidP="08163013">
      <w:pPr>
        <w:pStyle w:val="Textpoznpodarou"/>
        <w:rPr>
          <w:lang w:val="cs-CZ"/>
        </w:rPr>
      </w:pPr>
      <w:r>
        <w:rPr>
          <w:rStyle w:val="Znakapoznpodarou"/>
        </w:rPr>
        <w:footnoteRef/>
      </w:r>
      <w:r>
        <w:t xml:space="preserve"> Toto stanovisko odpovídá pojetí Akvinského od 1267: „Intellectus autem possibilis recipit species alterius generis quam sint in imaginatione; cum intellectus possibilis recipiat species universales, et imaginatio non contineat nisi particulares. Et ideo in intelligibilibus indigemus intellectu agente, non autem in sensibilibus alia potentia activa; sed omnes potentiae sensitivae sunt potentiae passivae.“ (</w:t>
      </w:r>
      <w:r>
        <w:rPr>
          <w:rStyle w:val="ref"/>
          <w:rFonts w:eastAsia="Times"/>
          <w:i/>
        </w:rPr>
        <w:t>Quaestiones</w:t>
      </w:r>
      <w:r w:rsidRPr="00535B83">
        <w:rPr>
          <w:rStyle w:val="ref"/>
          <w:rFonts w:eastAsia="Times"/>
          <w:i/>
        </w:rPr>
        <w:t xml:space="preserve"> d</w:t>
      </w:r>
      <w:r>
        <w:rPr>
          <w:rStyle w:val="ref"/>
          <w:rFonts w:eastAsia="Times"/>
          <w:i/>
        </w:rPr>
        <w:t>isputata</w:t>
      </w:r>
      <w:r>
        <w:rPr>
          <w:rStyle w:val="ref"/>
          <w:rFonts w:eastAsia="Times"/>
          <w:i/>
          <w:lang w:val="cs-CZ"/>
        </w:rPr>
        <w:t>e</w:t>
      </w:r>
      <w:r w:rsidRPr="00535B83">
        <w:rPr>
          <w:rStyle w:val="ref"/>
          <w:rFonts w:eastAsia="Times"/>
          <w:i/>
        </w:rPr>
        <w:t xml:space="preserve"> de anima</w:t>
      </w:r>
      <w:r>
        <w:rPr>
          <w:rStyle w:val="ref"/>
          <w:rFonts w:eastAsia="Times"/>
        </w:rPr>
        <w:t>, a. 4, ad 5</w:t>
      </w:r>
      <w:r>
        <w:rPr>
          <w:rStyle w:val="ref"/>
          <w:rFonts w:eastAsia="Times"/>
          <w:lang w:val="cs-CZ"/>
        </w:rPr>
        <w:t>; ed. Marietti, p. 296b</w:t>
      </w:r>
      <w:r>
        <w:rPr>
          <w:rStyle w:val="ref"/>
          <w:rFonts w:eastAsia="Times"/>
          <w:lang w:val="cs-CZ"/>
        </w:rPr>
        <w:fldChar w:fldCharType="begin"/>
      </w:r>
      <w:r>
        <w:instrText xml:space="preserve"> XE "</w:instrText>
      </w:r>
      <w:r>
        <w:rPr>
          <w:lang w:val="cs-CZ"/>
        </w:rPr>
        <w:instrText>Akvinský:</w:instrText>
      </w:r>
      <w:r>
        <w:rPr>
          <w:rStyle w:val="ref"/>
          <w:rFonts w:eastAsia="Times"/>
          <w:i/>
        </w:rPr>
        <w:instrText>Quaestiones</w:instrText>
      </w:r>
      <w:r w:rsidRPr="00D132F7">
        <w:rPr>
          <w:rStyle w:val="ref"/>
          <w:rFonts w:eastAsia="Times"/>
          <w:i/>
        </w:rPr>
        <w:instrText xml:space="preserve"> disputata</w:instrText>
      </w:r>
      <w:r>
        <w:rPr>
          <w:rStyle w:val="ref"/>
          <w:rFonts w:eastAsia="Times"/>
          <w:i/>
          <w:lang w:val="cs-CZ"/>
        </w:rPr>
        <w:instrText>e</w:instrText>
      </w:r>
      <w:r w:rsidRPr="00D132F7">
        <w:rPr>
          <w:rStyle w:val="ref"/>
          <w:rFonts w:eastAsia="Times"/>
          <w:i/>
        </w:rPr>
        <w:instrText xml:space="preserve"> de anima</w:instrText>
      </w:r>
      <w:r>
        <w:instrText xml:space="preserve"> </w:instrText>
      </w:r>
      <w:r>
        <w:rPr>
          <w:lang w:val="cs-CZ"/>
        </w:rPr>
        <w:instrText>296b</w:instrText>
      </w:r>
      <w:r>
        <w:instrText xml:space="preserve">" </w:instrText>
      </w:r>
      <w:r>
        <w:rPr>
          <w:rStyle w:val="ref"/>
          <w:rFonts w:eastAsia="Times"/>
          <w:lang w:val="cs-CZ"/>
        </w:rPr>
        <w:fldChar w:fldCharType="end"/>
      </w:r>
      <w:r>
        <w:t>)</w:t>
      </w:r>
    </w:p>
  </w:footnote>
  <w:footnote w:id="157">
    <w:p w:rsidR="00971E82" w:rsidRPr="00632BA3" w:rsidRDefault="00971E82" w:rsidP="08163013">
      <w:pPr>
        <w:pStyle w:val="Textpoznpodarou"/>
      </w:pPr>
      <w:r>
        <w:rPr>
          <w:rStyle w:val="Znakapoznpodarou"/>
        </w:rPr>
        <w:footnoteRef/>
      </w:r>
      <w:r>
        <w:t xml:space="preserve"> Opět jde o pojetí Akvinského a dalších představitelů prvního averroismu: „Secundum hoc ergo, ex parte phantasmatum intellectualis operatio a sensu causatur. Sed quia phantasmata non sufficiunt immutare intellectum possibilem, sed oportet quod fiant intelligibilia actu per intellectum agentem; non potest dici quod sensibilis cognitio sit totalis et perfecta causa intellectualis cognitionis, sed magis quodammodo est materia causae.“ (ST I</w:t>
      </w:r>
      <w:r>
        <w:rPr>
          <w:lang w:val="cs-CZ"/>
        </w:rPr>
        <w:t xml:space="preserve">, q. </w:t>
      </w:r>
      <w:r>
        <w:t>84</w:t>
      </w:r>
      <w:r>
        <w:rPr>
          <w:lang w:val="cs-CZ"/>
        </w:rPr>
        <w:t xml:space="preserve">, a. </w:t>
      </w:r>
      <w:r>
        <w:t>6, resp.</w:t>
      </w:r>
      <w:r>
        <w:rPr>
          <w:lang w:val="cs-CZ"/>
        </w:rPr>
        <w:t>; ed. Leonina</w:t>
      </w:r>
      <w:r>
        <w:rPr>
          <w:lang w:val="cs-CZ"/>
        </w:rPr>
        <w:fldChar w:fldCharType="begin"/>
      </w:r>
      <w:r>
        <w:instrText xml:space="preserve"> XE "</w:instrText>
      </w:r>
      <w:r>
        <w:rPr>
          <w:lang w:val="cs-CZ"/>
        </w:rPr>
        <w:instrText>Akvinský:</w:instrText>
      </w:r>
      <w:r w:rsidRPr="00774974">
        <w:instrText>ST I</w:instrText>
      </w:r>
      <w:r>
        <w:rPr>
          <w:lang w:val="cs-CZ"/>
        </w:rPr>
        <w:instrText>.</w:instrText>
      </w:r>
      <w:r w:rsidRPr="00774974">
        <w:instrText>84</w:instrText>
      </w:r>
      <w:r>
        <w:rPr>
          <w:lang w:val="cs-CZ"/>
        </w:rPr>
        <w:instrText>.6</w:instrText>
      </w:r>
      <w:r>
        <w:instrText xml:space="preserve">" </w:instrText>
      </w:r>
      <w:r>
        <w:rPr>
          <w:lang w:val="cs-CZ"/>
        </w:rPr>
        <w:fldChar w:fldCharType="end"/>
      </w:r>
      <w:r>
        <w:rPr>
          <w:lang w:val="cs-CZ"/>
        </w:rPr>
        <w:t xml:space="preserve"> 5, 324</w:t>
      </w:r>
      <w:r>
        <w:t>)</w:t>
      </w:r>
    </w:p>
  </w:footnote>
  <w:footnote w:id="158">
    <w:p w:rsidR="00971E82" w:rsidRPr="00B51449" w:rsidRDefault="00971E82" w:rsidP="08163013">
      <w:pPr>
        <w:pStyle w:val="Textpoznpodarou"/>
      </w:pPr>
      <w:r w:rsidRPr="082340B3">
        <w:rPr>
          <w:rStyle w:val="Znakapoznpodarou"/>
        </w:rPr>
        <w:footnoteRef/>
      </w:r>
      <w:r w:rsidRPr="082340B3">
        <w:rPr>
          <w:rStyle w:val="Znakapoznpodarou"/>
        </w:rPr>
        <w:t xml:space="preserve"> </w:t>
      </w:r>
      <w:r w:rsidRPr="082340B3">
        <w:t>„</w:t>
      </w:r>
      <w:r w:rsidRPr="082340B3">
        <w:rPr>
          <w:rFonts w:eastAsia="David"/>
        </w:rPr>
        <w:t>Sicut una et eadem natura est, quae</w:t>
      </w:r>
      <w:r>
        <w:rPr>
          <w:rFonts w:eastAsia="David"/>
        </w:rPr>
        <w:t xml:space="preserve"> consideratur cum condicio</w:t>
      </w:r>
      <w:r w:rsidRPr="082340B3">
        <w:rPr>
          <w:rFonts w:eastAsia="David"/>
        </w:rPr>
        <w:t>nibus et sine condicionibus, ita una et eadem species esse poterit, quae informabit phantasiam et intellectum, et tunc intellectus copulabitur nobis per formam suam. Et ista est sententia Commentatoris, quia vult, quod intellectu</w:t>
      </w:r>
      <w:r>
        <w:rPr>
          <w:rFonts w:eastAsia="David"/>
        </w:rPr>
        <w:t>s copu</w:t>
      </w:r>
      <w:r w:rsidRPr="082340B3">
        <w:rPr>
          <w:rFonts w:eastAsia="David"/>
        </w:rPr>
        <w:t xml:space="preserve">letur nobis per intentiones </w:t>
      </w:r>
      <w:r>
        <w:rPr>
          <w:rFonts w:eastAsia="David"/>
        </w:rPr>
        <w:t>imaginatas, quae sunt quasi for</w:t>
      </w:r>
      <w:r w:rsidRPr="082340B3">
        <w:rPr>
          <w:rFonts w:eastAsia="David"/>
        </w:rPr>
        <w:t xml:space="preserve">ma ipsius. Et quia intellectus copulatur nobis per formam suam, sequitur ex hoc, quod ipse intellectus quodammodo sit forma nostra, licet non eodem modo, sicut aliae formae sunt formae nostrae.“ </w:t>
      </w:r>
      <w:r w:rsidRPr="00B6033C">
        <w:rPr>
          <w:rStyle w:val="Zkladntextdkovn0pt"/>
          <w:rFonts w:ascii="Calibri" w:hAnsi="Calibri"/>
          <w:color w:val="auto"/>
          <w:u w:val="none"/>
          <w:lang w:val="cs-CZ"/>
        </w:rPr>
        <w:t>(</w:t>
      </w:r>
      <w:r w:rsidRPr="006E6489">
        <w:rPr>
          <w:i/>
        </w:rPr>
        <w:t>De plurificatione possibilis intellectus</w:t>
      </w:r>
      <w:r>
        <w:t xml:space="preserve"> 2</w:t>
      </w:r>
      <w:r>
        <w:rPr>
          <w:lang w:val="cs-CZ"/>
        </w:rPr>
        <w:t>;</w:t>
      </w:r>
      <w:r>
        <w:t xml:space="preserve"> ed. Olszewski,</w:t>
      </w:r>
      <w:r>
        <w:rPr>
          <w:i/>
        </w:rPr>
        <w:t xml:space="preserve"> </w:t>
      </w:r>
      <w:r>
        <w:t>p. 122.379‒</w:t>
      </w:r>
      <w:r w:rsidRPr="00B51449">
        <w:t>85</w:t>
      </w:r>
      <w:r>
        <w:fldChar w:fldCharType="begin"/>
      </w:r>
      <w:r>
        <w:instrText xml:space="preserve"> XE "</w:instrText>
      </w:r>
      <w:r>
        <w:rPr>
          <w:lang w:val="cs-CZ"/>
        </w:rPr>
        <w:instrText>Aegidius Romanus:</w:instrText>
      </w:r>
      <w:r w:rsidRPr="00DE1598">
        <w:rPr>
          <w:i/>
        </w:rPr>
        <w:instrText>De plurificatione possibilis intellectus</w:instrText>
      </w:r>
      <w:r>
        <w:instrText xml:space="preserve"> 122.379‒</w:instrText>
      </w:r>
      <w:r w:rsidRPr="00DE1598">
        <w:instrText>85</w:instrText>
      </w:r>
      <w:r>
        <w:instrText xml:space="preserve">" </w:instrText>
      </w:r>
      <w:r>
        <w:fldChar w:fldCharType="end"/>
      </w:r>
      <w:r>
        <w:rPr>
          <w:rStyle w:val="Zkladntextdkovn0pt"/>
          <w:rFonts w:ascii="Calibri" w:hAnsi="Calibri"/>
          <w:color w:val="auto"/>
          <w:lang w:val="cs-CZ"/>
        </w:rPr>
        <w:t>)</w:t>
      </w:r>
      <w:r w:rsidRPr="003F26F8">
        <w:rPr>
          <w:rStyle w:val="Zkladntextdkovn0pt"/>
          <w:rFonts w:ascii="Calibri" w:hAnsi="Calibri"/>
          <w:color w:val="auto"/>
          <w:lang w:val="fr-FR"/>
        </w:rPr>
        <w:t xml:space="preserve"> </w:t>
      </w:r>
      <w:r w:rsidRPr="00B51449">
        <w:t xml:space="preserve"> </w:t>
      </w:r>
    </w:p>
  </w:footnote>
  <w:footnote w:id="159">
    <w:p w:rsidR="00971E82" w:rsidRPr="080A1CC9" w:rsidRDefault="00971E82" w:rsidP="080A1CC9">
      <w:pPr>
        <w:pStyle w:val="Textpoznpodarou"/>
      </w:pPr>
      <w:r w:rsidRPr="080A1CC9">
        <w:rPr>
          <w:rStyle w:val="Znakapoznpodarou"/>
        </w:rPr>
        <w:footnoteRef/>
      </w:r>
      <w:r w:rsidRPr="080A1CC9">
        <w:t xml:space="preserve"> „</w:t>
      </w:r>
      <w:r w:rsidRPr="080A1CC9">
        <w:rPr>
          <w:rStyle w:val="Zkladntextdkovn0pt"/>
          <w:rFonts w:ascii="Calibri" w:hAnsi="Calibri" w:cs="Times New Roman"/>
          <w:color w:val="auto"/>
          <w:spacing w:val="0"/>
          <w:sz w:val="20"/>
          <w:szCs w:val="20"/>
          <w:u w:val="none"/>
          <w:lang w:val="x-none"/>
        </w:rPr>
        <w:t>Quia non unitur [ie. intellectus] nobis, secundum quod huiusmodi phantasmata respicit, sed magis sic a nobis separatur, quia quamdiu species est in phantasia, non est forma intellectus possibilis, ut autem a phantasia est separata et abstrac</w:t>
      </w:r>
      <w:r w:rsidRPr="080A1CC9">
        <w:rPr>
          <w:rStyle w:val="Zkladntextdkovn0pt"/>
          <w:rFonts w:ascii="Calibri" w:hAnsi="Calibri" w:cs="Times New Roman"/>
          <w:color w:val="auto"/>
          <w:spacing w:val="0"/>
          <w:sz w:val="20"/>
          <w:szCs w:val="20"/>
          <w:u w:val="none"/>
          <w:lang w:val="x-none"/>
        </w:rPr>
        <w:softHyphen/>
        <w:t>ta, sic efficitur forma intellectus possibilis. Tamen accidit intellectui, ut est unitus nobis, respicere phantasmata, quia isto modo magis est separatus quam unitus.“ (</w:t>
      </w:r>
      <w:r w:rsidRPr="080A1CC9">
        <w:rPr>
          <w:i/>
        </w:rPr>
        <w:t>De plurificatione possibilis intellectus</w:t>
      </w:r>
      <w:r w:rsidRPr="080A1CC9">
        <w:t xml:space="preserve"> 3; ed. Olszewski, p. 128.523‒29</w:t>
      </w:r>
      <w:r w:rsidRPr="080A1CC9">
        <w:fldChar w:fldCharType="begin"/>
      </w:r>
      <w:r w:rsidRPr="080A1CC9">
        <w:instrText xml:space="preserve"> XE "Aegidius Romanus:De plurificatione possibilis intellectus 128.523‒29" </w:instrText>
      </w:r>
      <w:r w:rsidRPr="080A1CC9">
        <w:fldChar w:fldCharType="end"/>
      </w:r>
      <w:r w:rsidRPr="080A1CC9">
        <w:rPr>
          <w:rStyle w:val="Zkladntextdkovn0pt"/>
          <w:rFonts w:ascii="Calibri" w:hAnsi="Calibri" w:cs="Times New Roman"/>
          <w:color w:val="auto"/>
          <w:spacing w:val="0"/>
          <w:sz w:val="20"/>
          <w:szCs w:val="20"/>
          <w:u w:val="none"/>
          <w:lang w:val="x-none"/>
        </w:rPr>
        <w:t>)</w:t>
      </w:r>
    </w:p>
  </w:footnote>
  <w:footnote w:id="160">
    <w:p w:rsidR="00971E82" w:rsidRPr="00EB3975" w:rsidRDefault="00971E82" w:rsidP="08163013">
      <w:pPr>
        <w:pStyle w:val="Textpoznpodarou"/>
        <w:rPr>
          <w:lang w:val="cs-CZ"/>
        </w:rPr>
      </w:pPr>
      <w:r>
        <w:rPr>
          <w:rStyle w:val="Znakapoznpodarou"/>
        </w:rPr>
        <w:footnoteRef/>
      </w:r>
      <w:r>
        <w:t xml:space="preserve"> </w:t>
      </w:r>
      <w:r w:rsidRPr="00281735">
        <w:t>„</w:t>
      </w:r>
      <w:r w:rsidRPr="00281735">
        <w:rPr>
          <w:szCs w:val="24"/>
        </w:rPr>
        <w:t>Praeterea, Commentator dicit, in II Metaphys. quod si substantiae abstractae non possent intelligi a nobis, tunc natura otiose egisset, quia fecit illud quod est naturaliter in se intellectum, non intellectum ab aliquo. Sed nihil est otiosum sive frustra in natura.</w:t>
      </w:r>
      <w:r>
        <w:rPr>
          <w:szCs w:val="24"/>
        </w:rPr>
        <w:t>“ (</w:t>
      </w:r>
      <w:r>
        <w:t>ST I</w:t>
      </w:r>
      <w:r>
        <w:rPr>
          <w:lang w:val="cs-CZ"/>
        </w:rPr>
        <w:t xml:space="preserve">, q. </w:t>
      </w:r>
      <w:r>
        <w:t>88</w:t>
      </w:r>
      <w:r>
        <w:rPr>
          <w:lang w:val="cs-CZ"/>
        </w:rPr>
        <w:t>, a</w:t>
      </w:r>
      <w:r>
        <w:t>.1, arg. 4</w:t>
      </w:r>
      <w:r>
        <w:rPr>
          <w:lang w:val="cs-CZ"/>
        </w:rPr>
        <w:t>; ed. Leonina 5,</w:t>
      </w:r>
      <w:r>
        <w:rPr>
          <w:lang w:val="cs-CZ"/>
        </w:rPr>
        <w:fldChar w:fldCharType="begin"/>
      </w:r>
      <w:r>
        <w:instrText xml:space="preserve"> XE "</w:instrText>
      </w:r>
      <w:r>
        <w:rPr>
          <w:lang w:val="cs-CZ"/>
        </w:rPr>
        <w:instrText>Akvinský:</w:instrText>
      </w:r>
      <w:r w:rsidRPr="00EE6740">
        <w:instrText>ST I</w:instrText>
      </w:r>
      <w:r>
        <w:rPr>
          <w:lang w:val="cs-CZ"/>
        </w:rPr>
        <w:instrText>.</w:instrText>
      </w:r>
      <w:r w:rsidRPr="00EE6740">
        <w:instrText>88</w:instrText>
      </w:r>
      <w:r>
        <w:rPr>
          <w:lang w:val="cs-CZ"/>
        </w:rPr>
        <w:instrText>.1</w:instrText>
      </w:r>
      <w:r>
        <w:instrText xml:space="preserve">" </w:instrText>
      </w:r>
      <w:r>
        <w:rPr>
          <w:lang w:val="cs-CZ"/>
        </w:rPr>
        <w:fldChar w:fldCharType="end"/>
      </w:r>
      <w:r>
        <w:rPr>
          <w:lang w:val="cs-CZ"/>
        </w:rPr>
        <w:t xml:space="preserve"> 364</w:t>
      </w:r>
      <w:r>
        <w:rPr>
          <w:szCs w:val="24"/>
        </w:rPr>
        <w:t>)</w:t>
      </w:r>
    </w:p>
  </w:footnote>
  <w:footnote w:id="161">
    <w:p w:rsidR="00971E82" w:rsidRPr="08B87D0B" w:rsidRDefault="00971E82" w:rsidP="08163013">
      <w:pPr>
        <w:pStyle w:val="Textpoznpodarou"/>
      </w:pPr>
      <w:r>
        <w:rPr>
          <w:rStyle w:val="Znakapoznpodarou"/>
        </w:rPr>
        <w:footnoteRef/>
      </w:r>
      <w:r>
        <w:t xml:space="preserve"> </w:t>
      </w:r>
      <w:r>
        <w:rPr>
          <w:lang w:val="cs-CZ"/>
        </w:rPr>
        <w:t>„</w:t>
      </w:r>
      <w:r>
        <w:t>Sed tamen Averroes, in Comment. tertii de anima, ponit quod in fine in hac vita homo pervenire potest ad hoc quod intelligat substantias separatas, per continuationem vel unionem cuiusdam substantiae separatae nobis, quam vocat intellectum agentem, qui quidem, cum sit substantia separata, naturaliter substantias separatas intelligit.</w:t>
      </w:r>
      <w:r>
        <w:rPr>
          <w:lang w:val="cs-CZ"/>
        </w:rPr>
        <w:t>“</w:t>
      </w:r>
      <w:r>
        <w:t xml:space="preserve"> (ibid, a.</w:t>
      </w:r>
      <w:r>
        <w:rPr>
          <w:lang w:val="cs-CZ"/>
        </w:rPr>
        <w:t xml:space="preserve"> </w:t>
      </w:r>
      <w:r>
        <w:t>1, ad 4</w:t>
      </w:r>
      <w:r>
        <w:rPr>
          <w:lang w:val="cs-CZ"/>
        </w:rPr>
        <w:t>; ed. Leonina 5, 365</w:t>
      </w:r>
      <w:r>
        <w:rPr>
          <w:lang w:val="cs-CZ"/>
        </w:rPr>
        <w:fldChar w:fldCharType="begin"/>
      </w:r>
      <w:r>
        <w:instrText xml:space="preserve"> XE "</w:instrText>
      </w:r>
      <w:r>
        <w:rPr>
          <w:lang w:val="cs-CZ"/>
        </w:rPr>
        <w:instrText>Akvinský:</w:instrText>
      </w:r>
      <w:r w:rsidRPr="00EE6740">
        <w:instrText>ST I</w:instrText>
      </w:r>
      <w:r>
        <w:rPr>
          <w:lang w:val="cs-CZ"/>
        </w:rPr>
        <w:instrText>.</w:instrText>
      </w:r>
      <w:r w:rsidRPr="00EE6740">
        <w:instrText>88</w:instrText>
      </w:r>
      <w:r>
        <w:rPr>
          <w:lang w:val="cs-CZ"/>
        </w:rPr>
        <w:instrText>.1</w:instrText>
      </w:r>
      <w:r>
        <w:instrText xml:space="preserve">" </w:instrText>
      </w:r>
      <w:r>
        <w:rPr>
          <w:lang w:val="cs-CZ"/>
        </w:rPr>
        <w:fldChar w:fldCharType="end"/>
      </w:r>
      <w:r>
        <w:t>).</w:t>
      </w:r>
    </w:p>
  </w:footnote>
  <w:footnote w:id="162">
    <w:p w:rsidR="00971E82" w:rsidRPr="003B76E2" w:rsidRDefault="00971E82" w:rsidP="08163013">
      <w:pPr>
        <w:pStyle w:val="Textpoznpodarou"/>
      </w:pPr>
      <w:r>
        <w:rPr>
          <w:rStyle w:val="Znakapoznpodarou"/>
        </w:rPr>
        <w:footnoteRef/>
      </w:r>
      <w:r>
        <w:t xml:space="preserve"> </w:t>
      </w:r>
      <w:r>
        <w:rPr>
          <w:lang w:val="cs-CZ"/>
        </w:rPr>
        <w:t xml:space="preserve">Traktát vede </w:t>
      </w:r>
      <w:r>
        <w:t>debat</w:t>
      </w:r>
      <w:r>
        <w:rPr>
          <w:lang w:val="cs-CZ"/>
        </w:rPr>
        <w:t>u</w:t>
      </w:r>
      <w:r>
        <w:t xml:space="preserve"> s imaginárním protivníkem</w:t>
      </w:r>
      <w:r>
        <w:rPr>
          <w:lang w:val="cs-CZ"/>
        </w:rPr>
        <w:t xml:space="preserve"> ve stylu klasického </w:t>
      </w:r>
      <w:r w:rsidRPr="00353EB5">
        <w:rPr>
          <w:i/>
          <w:lang w:val="cs-CZ"/>
        </w:rPr>
        <w:t>disputatio</w:t>
      </w:r>
      <w:r>
        <w:t xml:space="preserve">. </w:t>
      </w:r>
      <w:r>
        <w:rPr>
          <w:lang w:val="cs-CZ"/>
        </w:rPr>
        <w:t>Tento ž</w:t>
      </w:r>
      <w:r>
        <w:t xml:space="preserve">ánr quodlibetálního diskurzu analyzovala studie o argumentačních postupech Henryho z </w:t>
      </w:r>
      <w:proofErr w:type="gramStart"/>
      <w:r>
        <w:t>Gentu</w:t>
      </w:r>
      <w:proofErr w:type="gramEnd"/>
      <w:r>
        <w:t xml:space="preserve"> (</w:t>
      </w:r>
      <w:r w:rsidRPr="00087FAC">
        <w:rPr>
          <w:i/>
        </w:rPr>
        <w:t>Quodlibeta</w:t>
      </w:r>
      <w:r>
        <w:t xml:space="preserve">, </w:t>
      </w:r>
      <w:r w:rsidRPr="00087FAC">
        <w:rPr>
          <w:i/>
        </w:rPr>
        <w:t>Summa</w:t>
      </w:r>
      <w:r>
        <w:t>) po roce 1277 (</w:t>
      </w:r>
      <w:r w:rsidRPr="003B76E2">
        <w:t>König-Pralong</w:t>
      </w:r>
      <w:r>
        <w:t xml:space="preserve"> 2008). Henryho pojetí debaty dané v první v osobě</w:t>
      </w:r>
      <w:r>
        <w:rPr>
          <w:lang w:val="cs-CZ"/>
        </w:rPr>
        <w:t xml:space="preserve"> analyzoval </w:t>
      </w:r>
      <w:r>
        <w:t xml:space="preserve">Porro 2006. </w:t>
      </w:r>
    </w:p>
  </w:footnote>
  <w:footnote w:id="163">
    <w:p w:rsidR="00971E82" w:rsidRPr="00764706" w:rsidRDefault="00971E82" w:rsidP="08163013">
      <w:pPr>
        <w:pStyle w:val="Textpoznpodarou"/>
        <w:rPr>
          <w:lang w:val="cs-CZ"/>
        </w:rPr>
      </w:pPr>
      <w:r>
        <w:rPr>
          <w:rStyle w:val="Znakapoznpodarou"/>
        </w:rPr>
        <w:footnoteRef/>
      </w:r>
      <w:r>
        <w:t xml:space="preserve"> </w:t>
      </w:r>
      <w:r>
        <w:rPr>
          <w:lang w:val="cs-CZ"/>
        </w:rPr>
        <w:t>„</w:t>
      </w:r>
      <w:r w:rsidRPr="001B27F0">
        <w:t xml:space="preserve">Uno modo aliquid dicitur esse actus </w:t>
      </w:r>
      <w:r>
        <w:t>corporis prout est sub</w:t>
      </w:r>
      <w:r>
        <w:rPr>
          <w:lang w:val="cs-CZ"/>
        </w:rPr>
        <w:t>i</w:t>
      </w:r>
      <w:r>
        <w:t>ective in corpore, ut videre e</w:t>
      </w:r>
      <w:r w:rsidRPr="001B27F0">
        <w:t>b actus oculi, et haec potentia videndi subjective est in oculo. Alio modo aliquid dicitur esse actus c</w:t>
      </w:r>
      <w:r>
        <w:t>orporis prout est in corpore ob</w:t>
      </w:r>
      <w:r>
        <w:rPr>
          <w:lang w:val="cs-CZ"/>
        </w:rPr>
        <w:t>i</w:t>
      </w:r>
      <w:r w:rsidRPr="001B27F0">
        <w:t>ective, sicut anima. Et ita anima bene exercet s</w:t>
      </w:r>
      <w:r>
        <w:t>uas operationes in corpore ob</w:t>
      </w:r>
      <w:r>
        <w:rPr>
          <w:lang w:val="cs-CZ"/>
        </w:rPr>
        <w:t>i</w:t>
      </w:r>
      <w:r>
        <w:t>ective et non sub</w:t>
      </w:r>
      <w:r>
        <w:rPr>
          <w:lang w:val="cs-CZ"/>
        </w:rPr>
        <w:t>i</w:t>
      </w:r>
      <w:r w:rsidRPr="001B27F0">
        <w:t>ective.</w:t>
      </w:r>
      <w:r>
        <w:rPr>
          <w:lang w:val="cs-CZ"/>
        </w:rPr>
        <w:t>“ (</w:t>
      </w:r>
      <w:r>
        <w:rPr>
          <w:i/>
        </w:rPr>
        <w:t>Quaestiones</w:t>
      </w:r>
      <w:r>
        <w:rPr>
          <w:lang w:val="cs-CZ"/>
        </w:rPr>
        <w:t xml:space="preserve"> 1.2; </w:t>
      </w:r>
      <w:r>
        <w:t xml:space="preserve">ed. Bazán, p. </w:t>
      </w:r>
      <w:r>
        <w:rPr>
          <w:lang w:val="cs-CZ"/>
        </w:rPr>
        <w:t>392</w:t>
      </w:r>
      <w:r>
        <w:t>.</w:t>
      </w:r>
      <w:r>
        <w:rPr>
          <w:lang w:val="cs-CZ"/>
        </w:rPr>
        <w:t>40</w:t>
      </w:r>
      <w:r>
        <w:t>‒</w:t>
      </w:r>
      <w:r>
        <w:rPr>
          <w:lang w:val="cs-CZ"/>
        </w:rPr>
        <w:t>44</w:t>
      </w:r>
      <w:r>
        <w:fldChar w:fldCharType="begin"/>
      </w:r>
      <w:r>
        <w:instrText xml:space="preserve"> XE "</w:instrText>
      </w:r>
      <w:r w:rsidRPr="00076C06">
        <w:rPr>
          <w:i/>
        </w:rPr>
        <w:instrText>Anonym Bazán</w:instrText>
      </w:r>
      <w:r>
        <w:instrText xml:space="preserve"> </w:instrText>
      </w:r>
      <w:r>
        <w:rPr>
          <w:lang w:val="cs-CZ"/>
        </w:rPr>
        <w:instrText>392</w:instrText>
      </w:r>
      <w:r>
        <w:instrText>.</w:instrText>
      </w:r>
      <w:r>
        <w:rPr>
          <w:lang w:val="cs-CZ"/>
        </w:rPr>
        <w:instrText>4</w:instrText>
      </w:r>
      <w:r>
        <w:instrText>0‒</w:instrText>
      </w:r>
      <w:r>
        <w:rPr>
          <w:lang w:val="cs-CZ"/>
        </w:rPr>
        <w:instrText>4</w:instrText>
      </w:r>
      <w:r w:rsidRPr="00273106">
        <w:instrText>4</w:instrText>
      </w:r>
      <w:r>
        <w:instrText xml:space="preserve">" </w:instrText>
      </w:r>
      <w:r>
        <w:fldChar w:fldCharType="end"/>
      </w:r>
      <w:r>
        <w:rPr>
          <w:lang w:val="cs-CZ"/>
        </w:rPr>
        <w:t>)</w:t>
      </w:r>
    </w:p>
  </w:footnote>
  <w:footnote w:id="164">
    <w:p w:rsidR="00971E82" w:rsidRPr="00C56091" w:rsidRDefault="00971E82" w:rsidP="00045E06">
      <w:pPr>
        <w:pStyle w:val="Textpoznpodarou"/>
        <w:rPr>
          <w:szCs w:val="26"/>
        </w:rPr>
      </w:pPr>
      <w:r>
        <w:rPr>
          <w:rStyle w:val="Znakapoznpodarou"/>
        </w:rPr>
        <w:footnoteRef/>
      </w:r>
      <w:r>
        <w:t xml:space="preserve"> Viz významem shodná pasáž u Aegidia Romana: </w:t>
      </w:r>
      <w:r>
        <w:rPr>
          <w:szCs w:val="21"/>
        </w:rPr>
        <w:t>„</w:t>
      </w:r>
      <w:r>
        <w:rPr>
          <w:szCs w:val="21"/>
          <w:lang w:val="cs-CZ"/>
        </w:rPr>
        <w:t>H</w:t>
      </w:r>
      <w:r w:rsidRPr="00E620E5">
        <w:rPr>
          <w:szCs w:val="21"/>
        </w:rPr>
        <w:t>oc pro tanto dictum est, quia intelligere non fit sine phantasmate et sine organo corporali, non quod ipse intellectus phantasmate indigeat ut subiecto, sed ut obiecto.</w:t>
      </w:r>
      <w:r>
        <w:rPr>
          <w:szCs w:val="21"/>
        </w:rPr>
        <w:t>“ (</w:t>
      </w:r>
      <w:r w:rsidRPr="006E6489">
        <w:rPr>
          <w:i/>
        </w:rPr>
        <w:t>De plurificatione possibilis intellectus</w:t>
      </w:r>
      <w:r>
        <w:t xml:space="preserve"> 3</w:t>
      </w:r>
      <w:r>
        <w:rPr>
          <w:lang w:val="cs-CZ"/>
        </w:rPr>
        <w:t xml:space="preserve">; </w:t>
      </w:r>
      <w:r>
        <w:t>ed. Olszewski, p. 135.675‒78</w:t>
      </w:r>
      <w:r>
        <w:fldChar w:fldCharType="begin"/>
      </w:r>
      <w:r>
        <w:instrText xml:space="preserve"> XE "</w:instrText>
      </w:r>
      <w:r>
        <w:rPr>
          <w:szCs w:val="21"/>
          <w:lang w:val="cs-CZ"/>
        </w:rPr>
        <w:instrText>Aegidius Romanus:</w:instrText>
      </w:r>
      <w:r w:rsidRPr="009F3751">
        <w:rPr>
          <w:i/>
        </w:rPr>
        <w:instrText>De plurificatione possibilis intellectus</w:instrText>
      </w:r>
      <w:r>
        <w:instrText xml:space="preserve"> 135.675‒</w:instrText>
      </w:r>
      <w:r w:rsidRPr="009F3751">
        <w:instrText>78</w:instrText>
      </w:r>
      <w:r>
        <w:instrText xml:space="preserve">" </w:instrText>
      </w:r>
      <w:r>
        <w:fldChar w:fldCharType="end"/>
      </w:r>
      <w:r>
        <w:rPr>
          <w:szCs w:val="21"/>
        </w:rPr>
        <w:t>)</w:t>
      </w:r>
    </w:p>
  </w:footnote>
  <w:footnote w:id="165">
    <w:p w:rsidR="00971E82" w:rsidRPr="00674BB2" w:rsidRDefault="00971E82" w:rsidP="00F8400A">
      <w:pPr>
        <w:pStyle w:val="Textpoznpodarou"/>
        <w:rPr>
          <w:lang w:val="cs-CZ"/>
        </w:rPr>
      </w:pPr>
      <w:r>
        <w:rPr>
          <w:rStyle w:val="Znakapoznpodarou"/>
        </w:rPr>
        <w:footnoteRef/>
      </w:r>
      <w:r>
        <w:t xml:space="preserve"> </w:t>
      </w:r>
      <w:r>
        <w:rPr>
          <w:lang w:val="cs-CZ"/>
        </w:rPr>
        <w:t>„</w:t>
      </w:r>
      <w:r w:rsidRPr="00674BB2">
        <w:t xml:space="preserve">Unde verum est </w:t>
      </w:r>
      <w:r>
        <w:rPr>
          <w:lang w:val="cs-CZ"/>
        </w:rPr>
        <w:t xml:space="preserve">si </w:t>
      </w:r>
      <w:r w:rsidRPr="00674BB2">
        <w:t xml:space="preserve">in cognoscendo animam a posteriori procedimus de obiectis ad operationes, et ultra de actibus ad potentias, et tunc de </w:t>
      </w:r>
      <w:r>
        <w:t>potentiis ad substantiam. Ist</w:t>
      </w:r>
      <w:r>
        <w:rPr>
          <w:lang w:val="cs-CZ"/>
        </w:rPr>
        <w:t xml:space="preserve">e modus </w:t>
      </w:r>
      <w:r w:rsidRPr="00674BB2">
        <w:t xml:space="preserve">enim facilis </w:t>
      </w:r>
      <w:r>
        <w:rPr>
          <w:lang w:val="cs-CZ"/>
        </w:rPr>
        <w:t>est</w:t>
      </w:r>
      <w:r>
        <w:t xml:space="preserve">. </w:t>
      </w:r>
      <w:r>
        <w:rPr>
          <w:lang w:val="cs-CZ"/>
        </w:rPr>
        <w:t>E</w:t>
      </w:r>
      <w:r>
        <w:t>t tunc dico ad auctoritatem «propter haec utraque»</w:t>
      </w:r>
      <w:r w:rsidRPr="00674BB2">
        <w:t xml:space="preserve"> etc., quod Philosophus intellexit a posteriori modo.</w:t>
      </w:r>
      <w:r>
        <w:rPr>
          <w:lang w:val="cs-CZ"/>
        </w:rPr>
        <w:t>“</w:t>
      </w:r>
      <w:r w:rsidRPr="00674BB2">
        <w:t xml:space="preserve"> </w:t>
      </w:r>
      <w:r>
        <w:rPr>
          <w:lang w:val="cs-CZ"/>
        </w:rPr>
        <w:t>(</w:t>
      </w:r>
      <w:r>
        <w:rPr>
          <w:i/>
        </w:rPr>
        <w:t>Quaestiones</w:t>
      </w:r>
      <w:r>
        <w:rPr>
          <w:lang w:val="cs-CZ"/>
        </w:rPr>
        <w:t xml:space="preserve"> 1.5; </w:t>
      </w:r>
      <w:r>
        <w:t xml:space="preserve">ed. Bazán, </w:t>
      </w:r>
      <w:r w:rsidRPr="00273106">
        <w:t>p. 398.55‒59</w:t>
      </w:r>
      <w:r>
        <w:fldChar w:fldCharType="begin"/>
      </w:r>
      <w:r>
        <w:instrText xml:space="preserve"> XE "</w:instrText>
      </w:r>
      <w:r w:rsidRPr="00076C06">
        <w:rPr>
          <w:i/>
        </w:rPr>
        <w:instrText>Anonym Bazán</w:instrText>
      </w:r>
      <w:r>
        <w:instrText xml:space="preserve"> </w:instrText>
      </w:r>
      <w:r>
        <w:rPr>
          <w:lang w:val="cs-CZ"/>
        </w:rPr>
        <w:instrText>398</w:instrText>
      </w:r>
      <w:r>
        <w:instrText>.5</w:instrText>
      </w:r>
      <w:r>
        <w:rPr>
          <w:lang w:val="cs-CZ"/>
        </w:rPr>
        <w:instrText>5</w:instrText>
      </w:r>
      <w:r>
        <w:instrText>‒5</w:instrText>
      </w:r>
      <w:r>
        <w:rPr>
          <w:lang w:val="cs-CZ"/>
        </w:rPr>
        <w:instrText>9</w:instrText>
      </w:r>
      <w:r>
        <w:instrText xml:space="preserve">" </w:instrText>
      </w:r>
      <w:r>
        <w:fldChar w:fldCharType="end"/>
      </w:r>
      <w:r>
        <w:rPr>
          <w:lang w:val="cs-CZ"/>
        </w:rPr>
        <w:t>)</w:t>
      </w:r>
    </w:p>
  </w:footnote>
  <w:footnote w:id="166">
    <w:p w:rsidR="00971E82" w:rsidRPr="00141E41" w:rsidRDefault="00971E82" w:rsidP="08163013">
      <w:pPr>
        <w:pStyle w:val="Textpoznpodarou"/>
        <w:rPr>
          <w:lang w:val="cs-CZ"/>
        </w:rPr>
      </w:pPr>
      <w:r>
        <w:rPr>
          <w:rStyle w:val="Znakapoznpodarou"/>
        </w:rPr>
        <w:footnoteRef/>
      </w:r>
      <w:r>
        <w:t xml:space="preserve"> </w:t>
      </w:r>
      <w:r>
        <w:rPr>
          <w:lang w:val="cs-CZ"/>
        </w:rPr>
        <w:t>„I</w:t>
      </w:r>
      <w:r w:rsidRPr="00141E41">
        <w:rPr>
          <w:lang w:val="cs-CZ"/>
        </w:rPr>
        <w:t>n oppositum est Philosophus et omnes alii qui volunt quod corpus animatum sit subiectum huius libri, et non anima.</w:t>
      </w:r>
      <w:r>
        <w:rPr>
          <w:lang w:val="cs-CZ"/>
        </w:rPr>
        <w:t>“ (</w:t>
      </w:r>
      <w:r>
        <w:rPr>
          <w:i/>
        </w:rPr>
        <w:t>Quaestiones</w:t>
      </w:r>
      <w:r>
        <w:rPr>
          <w:lang w:val="cs-CZ"/>
        </w:rPr>
        <w:t xml:space="preserve"> 1.3; </w:t>
      </w:r>
      <w:r>
        <w:t xml:space="preserve">ed. Bazán, p. </w:t>
      </w:r>
      <w:r>
        <w:rPr>
          <w:lang w:val="cs-CZ"/>
        </w:rPr>
        <w:t>393</w:t>
      </w:r>
      <w:r>
        <w:t>.</w:t>
      </w:r>
      <w:r>
        <w:rPr>
          <w:lang w:val="cs-CZ"/>
        </w:rPr>
        <w:t>21</w:t>
      </w:r>
      <w:r>
        <w:t>‒</w:t>
      </w:r>
      <w:r>
        <w:rPr>
          <w:lang w:val="cs-CZ"/>
        </w:rPr>
        <w:t>22</w:t>
      </w:r>
      <w:r>
        <w:fldChar w:fldCharType="begin"/>
      </w:r>
      <w:r>
        <w:instrText xml:space="preserve"> XE "</w:instrText>
      </w:r>
      <w:r w:rsidRPr="00076C06">
        <w:rPr>
          <w:i/>
        </w:rPr>
        <w:instrText xml:space="preserve">Anonym Bazán </w:instrText>
      </w:r>
      <w:r>
        <w:rPr>
          <w:lang w:val="cs-CZ"/>
        </w:rPr>
        <w:instrText>393</w:instrText>
      </w:r>
      <w:r>
        <w:instrText>.</w:instrText>
      </w:r>
      <w:r>
        <w:rPr>
          <w:lang w:val="cs-CZ"/>
        </w:rPr>
        <w:instrText>21</w:instrText>
      </w:r>
      <w:r>
        <w:instrText>‒</w:instrText>
      </w:r>
      <w:r>
        <w:rPr>
          <w:lang w:val="cs-CZ"/>
        </w:rPr>
        <w:instrText>22</w:instrText>
      </w:r>
      <w:r>
        <w:instrText xml:space="preserve">" </w:instrText>
      </w:r>
      <w:r>
        <w:fldChar w:fldCharType="end"/>
      </w:r>
      <w:r>
        <w:rPr>
          <w:lang w:val="cs-CZ"/>
        </w:rPr>
        <w:t>)</w:t>
      </w:r>
    </w:p>
  </w:footnote>
  <w:footnote w:id="167">
    <w:p w:rsidR="00971E82" w:rsidRPr="003015E2" w:rsidRDefault="00971E82" w:rsidP="08163013">
      <w:pPr>
        <w:pStyle w:val="Textpoznpodarou"/>
        <w:rPr>
          <w:lang w:val="cs-CZ"/>
        </w:rPr>
      </w:pPr>
      <w:r>
        <w:rPr>
          <w:rStyle w:val="Znakapoznpodarou"/>
        </w:rPr>
        <w:footnoteRef/>
      </w:r>
      <w:r>
        <w:t xml:space="preserve"> </w:t>
      </w:r>
      <w:r>
        <w:rPr>
          <w:lang w:val="cs-CZ"/>
        </w:rPr>
        <w:t>„</w:t>
      </w:r>
      <w:r w:rsidRPr="003015E2">
        <w:t>Et dicis quod anima est simplex et potentiae sunt multae, so ergo non potest facere potentias, dico: quamvis anima per se non possit facere potentias, tamen mediantibus organis potest facere potentias et hoc est per accidens.</w:t>
      </w:r>
      <w:r>
        <w:rPr>
          <w:lang w:val="cs-CZ"/>
        </w:rPr>
        <w:t>“ (</w:t>
      </w:r>
      <w:r>
        <w:rPr>
          <w:i/>
        </w:rPr>
        <w:t>Quaestiones</w:t>
      </w:r>
      <w:r>
        <w:t xml:space="preserve"> 2</w:t>
      </w:r>
      <w:r w:rsidRPr="00273106">
        <w:t xml:space="preserve">.4, </w:t>
      </w:r>
      <w:r>
        <w:t>ed. Bazán, p. 409.</w:t>
      </w:r>
      <w:r>
        <w:rPr>
          <w:lang w:val="cs-CZ"/>
        </w:rPr>
        <w:t>49</w:t>
      </w:r>
      <w:r>
        <w:t>‒</w:t>
      </w:r>
      <w:r>
        <w:rPr>
          <w:lang w:val="cs-CZ"/>
        </w:rPr>
        <w:t>52</w:t>
      </w:r>
      <w:r>
        <w:fldChar w:fldCharType="begin"/>
      </w:r>
      <w:r>
        <w:instrText xml:space="preserve"> XE "</w:instrText>
      </w:r>
      <w:r w:rsidRPr="00076C06">
        <w:rPr>
          <w:i/>
        </w:rPr>
        <w:instrText>Anonym Bazán</w:instrText>
      </w:r>
      <w:r>
        <w:instrText xml:space="preserve"> </w:instrText>
      </w:r>
      <w:r>
        <w:rPr>
          <w:lang w:val="cs-CZ"/>
        </w:rPr>
        <w:instrText>409</w:instrText>
      </w:r>
      <w:r>
        <w:instrText>.</w:instrText>
      </w:r>
      <w:r>
        <w:rPr>
          <w:lang w:val="cs-CZ"/>
        </w:rPr>
        <w:instrText>49</w:instrText>
      </w:r>
      <w:r>
        <w:instrText>‒</w:instrText>
      </w:r>
      <w:r>
        <w:rPr>
          <w:lang w:val="cs-CZ"/>
        </w:rPr>
        <w:instrText>52</w:instrText>
      </w:r>
      <w:r>
        <w:instrText xml:space="preserve">" </w:instrText>
      </w:r>
      <w:r>
        <w:fldChar w:fldCharType="end"/>
      </w:r>
      <w:r>
        <w:rPr>
          <w:lang w:val="cs-CZ"/>
        </w:rPr>
        <w:t>)</w:t>
      </w:r>
    </w:p>
  </w:footnote>
  <w:footnote w:id="168">
    <w:p w:rsidR="00971E82" w:rsidRPr="000B27CD" w:rsidRDefault="00971E82" w:rsidP="08163013">
      <w:pPr>
        <w:pStyle w:val="Textpoznpodarou"/>
      </w:pPr>
      <w:r>
        <w:rPr>
          <w:rStyle w:val="Znakapoznpodarou"/>
        </w:rPr>
        <w:footnoteRef/>
      </w:r>
      <w:r w:rsidRPr="00B84AA7">
        <w:t xml:space="preserve"> </w:t>
      </w:r>
      <w:r w:rsidRPr="000B27CD">
        <w:t>„</w:t>
      </w:r>
      <w:r w:rsidRPr="000B27CD">
        <w:rPr>
          <w:rFonts w:eastAsia="Batang"/>
        </w:rPr>
        <w:t>Avicenna</w:t>
      </w:r>
      <w:r w:rsidRPr="000B27CD">
        <w:rPr>
          <w:rFonts w:eastAsia="Century Schoolbook"/>
        </w:rPr>
        <w:t xml:space="preserve"> enim dicit: completum et incompletum non </w:t>
      </w:r>
      <w:r w:rsidRPr="000B27CD">
        <w:t xml:space="preserve">diversificant essentiam; sed materia est tamquam incompletum, forma </w:t>
      </w:r>
      <w:r w:rsidRPr="000B27CD">
        <w:rPr>
          <w:rFonts w:eastAsia="Century Schoolbook"/>
        </w:rPr>
        <w:t>est tamquam completum; ergo materia et forma non diversificant</w:t>
      </w:r>
      <w:r w:rsidRPr="000B27CD">
        <w:t xml:space="preserve"> essentiam, sed sunt tantum una essentia.“ (Quaestiones 2.10; ed. Bazán, p. 418.6‒9</w:t>
      </w:r>
      <w:r w:rsidRPr="000B27CD">
        <w:fldChar w:fldCharType="begin"/>
      </w:r>
      <w:r w:rsidRPr="000B27CD">
        <w:instrText xml:space="preserve"> XE "Anonym Bazán 418.6‒9" </w:instrText>
      </w:r>
      <w:r w:rsidRPr="000B27CD">
        <w:fldChar w:fldCharType="end"/>
      </w:r>
      <w:r w:rsidRPr="000B27CD">
        <w:t>)</w:t>
      </w:r>
    </w:p>
  </w:footnote>
  <w:footnote w:id="169">
    <w:p w:rsidR="00971E82" w:rsidRPr="00220383" w:rsidRDefault="00971E82" w:rsidP="08163013">
      <w:pPr>
        <w:pStyle w:val="Textpoznpodarou"/>
        <w:rPr>
          <w:lang w:val="cs-CZ"/>
        </w:rPr>
      </w:pPr>
      <w:r>
        <w:rPr>
          <w:rStyle w:val="Znakapoznpodarou"/>
        </w:rPr>
        <w:footnoteRef/>
      </w:r>
      <w:r>
        <w:t xml:space="preserve"> „</w:t>
      </w:r>
      <w:r w:rsidRPr="009B2F0F">
        <w:t>Ad primum, cum di</w:t>
      </w:r>
      <w:r>
        <w:t>citur opinione Avempace et Avicenn</w:t>
      </w:r>
      <w:r w:rsidRPr="009B2F0F">
        <w:t>ae quod lumen requiritur propter colorem et non propter medium, dico quod opinio eorum est fa</w:t>
      </w:r>
      <w:r>
        <w:t xml:space="preserve">lsa. Ergo dictum illorum non </w:t>
      </w:r>
      <w:r w:rsidRPr="009B2F0F">
        <w:t>valet.</w:t>
      </w:r>
      <w:r>
        <w:t>“ (</w:t>
      </w:r>
      <w:r>
        <w:rPr>
          <w:i/>
        </w:rPr>
        <w:t xml:space="preserve">Quaestiones </w:t>
      </w:r>
      <w:r>
        <w:rPr>
          <w:lang w:val="cs-CZ"/>
        </w:rPr>
        <w:t>2.</w:t>
      </w:r>
      <w:r>
        <w:t>18</w:t>
      </w:r>
      <w:r>
        <w:rPr>
          <w:lang w:val="cs-CZ"/>
        </w:rPr>
        <w:t>;</w:t>
      </w:r>
      <w:r>
        <w:t xml:space="preserve"> ed. Bazán, p. 432.33‒35</w:t>
      </w:r>
      <w:r>
        <w:fldChar w:fldCharType="begin"/>
      </w:r>
      <w:r>
        <w:instrText xml:space="preserve"> XE "</w:instrText>
      </w:r>
      <w:r w:rsidRPr="00076C06">
        <w:rPr>
          <w:i/>
        </w:rPr>
        <w:instrText>Anonym Bazán</w:instrText>
      </w:r>
      <w:r>
        <w:instrText xml:space="preserve"> 43</w:instrText>
      </w:r>
      <w:r>
        <w:rPr>
          <w:lang w:val="cs-CZ"/>
        </w:rPr>
        <w:instrText>2</w:instrText>
      </w:r>
      <w:r>
        <w:instrText>.</w:instrText>
      </w:r>
      <w:r>
        <w:rPr>
          <w:lang w:val="cs-CZ"/>
        </w:rPr>
        <w:instrText>33</w:instrText>
      </w:r>
      <w:r>
        <w:instrText>‒</w:instrText>
      </w:r>
      <w:r>
        <w:rPr>
          <w:lang w:val="cs-CZ"/>
        </w:rPr>
        <w:instrText>35</w:instrText>
      </w:r>
      <w:r>
        <w:instrText xml:space="preserve">" </w:instrText>
      </w:r>
      <w:r>
        <w:fldChar w:fldCharType="end"/>
      </w:r>
      <w:r>
        <w:t>)</w:t>
      </w:r>
    </w:p>
  </w:footnote>
  <w:footnote w:id="170">
    <w:p w:rsidR="00971E82" w:rsidRPr="08557472" w:rsidRDefault="00971E82" w:rsidP="08163013">
      <w:pPr>
        <w:pStyle w:val="Textpoznpodarou"/>
        <w:rPr>
          <w:lang w:val="cs-CZ"/>
        </w:rPr>
      </w:pPr>
      <w:r>
        <w:rPr>
          <w:rStyle w:val="Znakapoznpodarou"/>
        </w:rPr>
        <w:footnoteRef/>
      </w:r>
      <w:r>
        <w:t xml:space="preserve"> </w:t>
      </w:r>
      <w:r>
        <w:rPr>
          <w:lang w:val="cs-CZ"/>
        </w:rPr>
        <w:t>„</w:t>
      </w:r>
      <w:r>
        <w:rPr>
          <w:rStyle w:val="aur"/>
        </w:rPr>
        <w:t>Alii</w:t>
      </w:r>
      <w:r>
        <w:t xml:space="preserve"> </w:t>
      </w:r>
      <w:r>
        <w:rPr>
          <w:rStyle w:val="aur"/>
        </w:rPr>
        <w:t>dicunt,</w:t>
      </w:r>
      <w:r>
        <w:t xml:space="preserve"> </w:t>
      </w:r>
      <w:r>
        <w:rPr>
          <w:rStyle w:val="aur"/>
        </w:rPr>
        <w:t>quod</w:t>
      </w:r>
      <w:r>
        <w:t xml:space="preserve"> </w:t>
      </w:r>
      <w:r>
        <w:rPr>
          <w:rStyle w:val="aus"/>
          <w:rFonts w:eastAsia="Times"/>
        </w:rPr>
        <w:t>lux</w:t>
      </w:r>
      <w:r>
        <w:t xml:space="preserve"> </w:t>
      </w:r>
      <w:r>
        <w:rPr>
          <w:rStyle w:val="aus"/>
          <w:rFonts w:eastAsia="Times"/>
        </w:rPr>
        <w:t>non</w:t>
      </w:r>
      <w:r>
        <w:t xml:space="preserve"> </w:t>
      </w:r>
      <w:r>
        <w:rPr>
          <w:rStyle w:val="aus"/>
          <w:rFonts w:eastAsia="Times"/>
        </w:rPr>
        <w:t>habet</w:t>
      </w:r>
      <w:r>
        <w:t xml:space="preserve"> </w:t>
      </w:r>
      <w:r>
        <w:rPr>
          <w:rStyle w:val="aus"/>
          <w:rFonts w:eastAsia="Times"/>
        </w:rPr>
        <w:t>esse</w:t>
      </w:r>
      <w:r>
        <w:t xml:space="preserve"> </w:t>
      </w:r>
      <w:r>
        <w:rPr>
          <w:rStyle w:val="aus"/>
          <w:rFonts w:eastAsia="Times"/>
        </w:rPr>
        <w:t>firmum</w:t>
      </w:r>
      <w:r>
        <w:t xml:space="preserve"> </w:t>
      </w:r>
      <w:r>
        <w:rPr>
          <w:rStyle w:val="aus"/>
          <w:rFonts w:eastAsia="Times"/>
        </w:rPr>
        <w:t>et</w:t>
      </w:r>
      <w:r>
        <w:t xml:space="preserve"> </w:t>
      </w:r>
      <w:r>
        <w:rPr>
          <w:rStyle w:val="aus"/>
          <w:rFonts w:eastAsia="Times"/>
        </w:rPr>
        <w:t>ratum</w:t>
      </w:r>
      <w:r>
        <w:t xml:space="preserve"> </w:t>
      </w:r>
      <w:r>
        <w:rPr>
          <w:rStyle w:val="aus"/>
          <w:rFonts w:eastAsia="Times"/>
        </w:rPr>
        <w:t>in</w:t>
      </w:r>
      <w:r>
        <w:t xml:space="preserve"> </w:t>
      </w:r>
      <w:r>
        <w:rPr>
          <w:rStyle w:val="aus"/>
          <w:rFonts w:eastAsia="Times"/>
        </w:rPr>
        <w:t>natura,</w:t>
      </w:r>
      <w:r>
        <w:t xml:space="preserve"> </w:t>
      </w:r>
      <w:r>
        <w:rPr>
          <w:rStyle w:val="aus"/>
          <w:rFonts w:eastAsia="Times"/>
        </w:rPr>
        <w:t>sed</w:t>
      </w:r>
      <w:r>
        <w:t xml:space="preserve"> </w:t>
      </w:r>
      <w:r>
        <w:rPr>
          <w:rStyle w:val="aus"/>
          <w:rFonts w:eastAsia="Times"/>
        </w:rPr>
        <w:t>est</w:t>
      </w:r>
      <w:r>
        <w:t xml:space="preserve"> </w:t>
      </w:r>
      <w:r>
        <w:rPr>
          <w:rStyle w:val="aus"/>
          <w:rFonts w:eastAsia="Times"/>
        </w:rPr>
        <w:t>tantum</w:t>
      </w:r>
      <w:r>
        <w:t xml:space="preserve"> </w:t>
      </w:r>
      <w:r>
        <w:rPr>
          <w:rStyle w:val="aus"/>
          <w:rFonts w:eastAsia="Times"/>
        </w:rPr>
        <w:t>intentio:</w:t>
      </w:r>
      <w:r>
        <w:t xml:space="preserve"> </w:t>
      </w:r>
      <w:r>
        <w:rPr>
          <w:rStyle w:val="aus"/>
          <w:rFonts w:eastAsia="Times"/>
        </w:rPr>
        <w:t>sicut</w:t>
      </w:r>
      <w:r>
        <w:t xml:space="preserve"> </w:t>
      </w:r>
      <w:r>
        <w:rPr>
          <w:rStyle w:val="aus"/>
          <w:rFonts w:eastAsia="Times"/>
        </w:rPr>
        <w:t>enim</w:t>
      </w:r>
      <w:r>
        <w:t xml:space="preserve"> </w:t>
      </w:r>
      <w:r>
        <w:rPr>
          <w:rStyle w:val="aus"/>
          <w:rFonts w:eastAsia="Times"/>
        </w:rPr>
        <w:t>dicitur,</w:t>
      </w:r>
      <w:r>
        <w:t xml:space="preserve"> </w:t>
      </w:r>
      <w:r>
        <w:rPr>
          <w:rStyle w:val="aus"/>
          <w:rFonts w:eastAsia="Times"/>
        </w:rPr>
        <w:t>quod</w:t>
      </w:r>
      <w:r>
        <w:t xml:space="preserve"> </w:t>
      </w:r>
      <w:r>
        <w:rPr>
          <w:rStyle w:val="aus"/>
          <w:rFonts w:eastAsia="Times"/>
        </w:rPr>
        <w:t>species</w:t>
      </w:r>
      <w:r>
        <w:t xml:space="preserve"> </w:t>
      </w:r>
      <w:r>
        <w:rPr>
          <w:rStyle w:val="aus"/>
          <w:rFonts w:eastAsia="Times"/>
        </w:rPr>
        <w:t>coloris</w:t>
      </w:r>
      <w:r>
        <w:t xml:space="preserve"> </w:t>
      </w:r>
      <w:r>
        <w:rPr>
          <w:rStyle w:val="aus"/>
          <w:rFonts w:eastAsia="Times"/>
        </w:rPr>
        <w:t>per</w:t>
      </w:r>
      <w:r>
        <w:t xml:space="preserve"> </w:t>
      </w:r>
      <w:r>
        <w:rPr>
          <w:rStyle w:val="aus"/>
          <w:rFonts w:eastAsia="Times"/>
        </w:rPr>
        <w:t>aerem</w:t>
      </w:r>
      <w:r>
        <w:t xml:space="preserve"> </w:t>
      </w:r>
      <w:r>
        <w:rPr>
          <w:rStyle w:val="aus"/>
          <w:rFonts w:eastAsia="Times"/>
        </w:rPr>
        <w:t>ad</w:t>
      </w:r>
      <w:r>
        <w:t xml:space="preserve"> </w:t>
      </w:r>
      <w:r>
        <w:rPr>
          <w:rStyle w:val="aus"/>
          <w:rFonts w:eastAsia="Times"/>
        </w:rPr>
        <w:t>pupillam</w:t>
      </w:r>
      <w:r>
        <w:t xml:space="preserve"> </w:t>
      </w:r>
      <w:r>
        <w:rPr>
          <w:rStyle w:val="aus"/>
          <w:rFonts w:eastAsia="Times"/>
        </w:rPr>
        <w:t>delata,</w:t>
      </w:r>
      <w:r>
        <w:t xml:space="preserve"> </w:t>
      </w:r>
      <w:r>
        <w:rPr>
          <w:rStyle w:val="aus"/>
          <w:rFonts w:eastAsia="Times"/>
        </w:rPr>
        <w:t>in</w:t>
      </w:r>
      <w:r>
        <w:t xml:space="preserve"> </w:t>
      </w:r>
      <w:r>
        <w:rPr>
          <w:rStyle w:val="aus"/>
          <w:rFonts w:eastAsia="Times"/>
        </w:rPr>
        <w:t>aere</w:t>
      </w:r>
      <w:r>
        <w:t xml:space="preserve"> </w:t>
      </w:r>
      <w:r>
        <w:rPr>
          <w:rStyle w:val="aus"/>
          <w:rFonts w:eastAsia="Times"/>
        </w:rPr>
        <w:t>non</w:t>
      </w:r>
      <w:r>
        <w:t xml:space="preserve"> </w:t>
      </w:r>
      <w:r>
        <w:rPr>
          <w:rStyle w:val="aus"/>
          <w:rFonts w:eastAsia="Times"/>
        </w:rPr>
        <w:t>habet</w:t>
      </w:r>
      <w:r>
        <w:t xml:space="preserve"> </w:t>
      </w:r>
      <w:r>
        <w:rPr>
          <w:rStyle w:val="aus"/>
          <w:rFonts w:eastAsia="Times"/>
        </w:rPr>
        <w:t>esse</w:t>
      </w:r>
      <w:r>
        <w:t xml:space="preserve"> </w:t>
      </w:r>
      <w:r>
        <w:rPr>
          <w:rStyle w:val="aus"/>
          <w:rFonts w:eastAsia="Times"/>
        </w:rPr>
        <w:t>naturale,</w:t>
      </w:r>
      <w:r>
        <w:t xml:space="preserve"> </w:t>
      </w:r>
      <w:r>
        <w:rPr>
          <w:rStyle w:val="aus"/>
          <w:rFonts w:eastAsia="Times"/>
        </w:rPr>
        <w:t>sed</w:t>
      </w:r>
      <w:r>
        <w:t xml:space="preserve"> </w:t>
      </w:r>
      <w:r>
        <w:rPr>
          <w:rStyle w:val="aus"/>
          <w:rFonts w:eastAsia="Times"/>
        </w:rPr>
        <w:t>spirituale</w:t>
      </w:r>
      <w:r>
        <w:t xml:space="preserve"> </w:t>
      </w:r>
      <w:r>
        <w:rPr>
          <w:rStyle w:val="aus"/>
          <w:rFonts w:eastAsia="Times"/>
        </w:rPr>
        <w:t>(unde</w:t>
      </w:r>
      <w:r>
        <w:t xml:space="preserve"> </w:t>
      </w:r>
      <w:r>
        <w:rPr>
          <w:rStyle w:val="aus"/>
          <w:rFonts w:eastAsia="Times"/>
        </w:rPr>
        <w:t>et</w:t>
      </w:r>
      <w:r>
        <w:t xml:space="preserve"> </w:t>
      </w:r>
      <w:r>
        <w:rPr>
          <w:rStyle w:val="aus"/>
          <w:rFonts w:eastAsia="Times"/>
        </w:rPr>
        <w:t>per</w:t>
      </w:r>
      <w:r>
        <w:t xml:space="preserve"> </w:t>
      </w:r>
      <w:r>
        <w:rPr>
          <w:rStyle w:val="aus"/>
          <w:rFonts w:eastAsia="Times"/>
        </w:rPr>
        <w:t>eamdem</w:t>
      </w:r>
      <w:r>
        <w:t xml:space="preserve"> </w:t>
      </w:r>
      <w:r>
        <w:rPr>
          <w:rStyle w:val="aus"/>
          <w:rFonts w:eastAsia="Times"/>
        </w:rPr>
        <w:t>partem</w:t>
      </w:r>
      <w:r>
        <w:t xml:space="preserve"> </w:t>
      </w:r>
      <w:r>
        <w:rPr>
          <w:rStyle w:val="aus"/>
          <w:rFonts w:eastAsia="Times"/>
        </w:rPr>
        <w:t>aeris</w:t>
      </w:r>
      <w:r>
        <w:t xml:space="preserve"> </w:t>
      </w:r>
      <w:r>
        <w:rPr>
          <w:rStyle w:val="aus"/>
          <w:rFonts w:eastAsia="Times"/>
        </w:rPr>
        <w:t>species</w:t>
      </w:r>
      <w:r>
        <w:t xml:space="preserve"> </w:t>
      </w:r>
      <w:r>
        <w:rPr>
          <w:rStyle w:val="aus"/>
          <w:rFonts w:eastAsia="Times"/>
        </w:rPr>
        <w:t>albedinis</w:t>
      </w:r>
      <w:r>
        <w:t xml:space="preserve"> </w:t>
      </w:r>
      <w:r>
        <w:rPr>
          <w:rStyle w:val="aus"/>
          <w:rFonts w:eastAsia="Times"/>
        </w:rPr>
        <w:t>et</w:t>
      </w:r>
      <w:r>
        <w:t xml:space="preserve"> </w:t>
      </w:r>
      <w:r>
        <w:rPr>
          <w:rStyle w:val="aus"/>
          <w:rFonts w:eastAsia="Times"/>
        </w:rPr>
        <w:t>nigredinis</w:t>
      </w:r>
      <w:r>
        <w:t xml:space="preserve"> </w:t>
      </w:r>
      <w:r>
        <w:rPr>
          <w:rStyle w:val="aus"/>
          <w:rFonts w:eastAsia="Times"/>
        </w:rPr>
        <w:t>deferuntur),</w:t>
      </w:r>
      <w:r>
        <w:t xml:space="preserve"> </w:t>
      </w:r>
      <w:r>
        <w:rPr>
          <w:rStyle w:val="aus"/>
          <w:rFonts w:eastAsia="Times"/>
        </w:rPr>
        <w:t>ita</w:t>
      </w:r>
      <w:r>
        <w:t xml:space="preserve"> </w:t>
      </w:r>
      <w:r>
        <w:rPr>
          <w:rStyle w:val="aus"/>
          <w:rFonts w:eastAsia="Times"/>
        </w:rPr>
        <w:t>etiam</w:t>
      </w:r>
      <w:r>
        <w:t xml:space="preserve"> </w:t>
      </w:r>
      <w:r>
        <w:rPr>
          <w:rStyle w:val="aus"/>
          <w:rFonts w:eastAsia="Times"/>
        </w:rPr>
        <w:t>intentio</w:t>
      </w:r>
      <w:r>
        <w:t xml:space="preserve"> </w:t>
      </w:r>
      <w:r>
        <w:rPr>
          <w:rStyle w:val="aus"/>
          <w:rFonts w:eastAsia="Times"/>
        </w:rPr>
        <w:t>corporis</w:t>
      </w:r>
      <w:r>
        <w:t xml:space="preserve"> </w:t>
      </w:r>
      <w:r>
        <w:rPr>
          <w:rStyle w:val="aus"/>
          <w:rFonts w:eastAsia="Times"/>
        </w:rPr>
        <w:t>lucidi</w:t>
      </w:r>
      <w:r>
        <w:t xml:space="preserve"> </w:t>
      </w:r>
      <w:r>
        <w:rPr>
          <w:rStyle w:val="aus"/>
          <w:rFonts w:eastAsia="Times"/>
        </w:rPr>
        <w:t>in</w:t>
      </w:r>
      <w:r>
        <w:t xml:space="preserve"> </w:t>
      </w:r>
      <w:r>
        <w:rPr>
          <w:rStyle w:val="aus"/>
          <w:rFonts w:eastAsia="Times"/>
        </w:rPr>
        <w:t>aere</w:t>
      </w:r>
      <w:r>
        <w:t xml:space="preserve"> </w:t>
      </w:r>
      <w:r>
        <w:rPr>
          <w:rStyle w:val="aus"/>
          <w:rFonts w:eastAsia="Times"/>
        </w:rPr>
        <w:t>relicta</w:t>
      </w:r>
      <w:r>
        <w:t xml:space="preserve"> </w:t>
      </w:r>
      <w:r>
        <w:rPr>
          <w:rStyle w:val="aus"/>
          <w:rFonts w:eastAsia="Times"/>
        </w:rPr>
        <w:t>est</w:t>
      </w:r>
      <w:r>
        <w:t xml:space="preserve"> </w:t>
      </w:r>
      <w:proofErr w:type="gramStart"/>
      <w:r>
        <w:rPr>
          <w:rStyle w:val="aus"/>
          <w:rFonts w:eastAsia="Times"/>
        </w:rPr>
        <w:t>lumen.</w:t>
      </w:r>
      <w:r>
        <w:rPr>
          <w:rStyle w:val="aus"/>
          <w:rFonts w:eastAsia="Times"/>
          <w:lang w:val="cs-CZ"/>
        </w:rPr>
        <w:t xml:space="preserve"> (...) </w:t>
      </w:r>
      <w:r w:rsidRPr="083F0B8B">
        <w:t>Et</w:t>
      </w:r>
      <w:proofErr w:type="gramEnd"/>
      <w:r w:rsidRPr="083F0B8B">
        <w:t xml:space="preserve"> haec opinio valde probabilis est.</w:t>
      </w:r>
      <w:r>
        <w:rPr>
          <w:rStyle w:val="aus"/>
          <w:rFonts w:eastAsia="Times"/>
          <w:lang w:val="cs-CZ"/>
        </w:rPr>
        <w:t>“ (</w:t>
      </w:r>
      <w:r w:rsidRPr="088921AB">
        <w:rPr>
          <w:rStyle w:val="ref"/>
          <w:rFonts w:eastAsia="Times"/>
          <w:i/>
        </w:rPr>
        <w:t>Super Sent</w:t>
      </w:r>
      <w:r>
        <w:rPr>
          <w:rStyle w:val="ref"/>
          <w:rFonts w:eastAsia="Times"/>
        </w:rPr>
        <w:t>., lib. 2</w:t>
      </w:r>
      <w:r>
        <w:rPr>
          <w:rStyle w:val="ref"/>
          <w:rFonts w:eastAsia="Times"/>
          <w:lang w:val="cs-CZ"/>
        </w:rPr>
        <w:t xml:space="preserve">, </w:t>
      </w:r>
      <w:r>
        <w:rPr>
          <w:rStyle w:val="ref"/>
          <w:rFonts w:eastAsia="Times"/>
        </w:rPr>
        <w:t>d. 13</w:t>
      </w:r>
      <w:r>
        <w:rPr>
          <w:rStyle w:val="ref"/>
          <w:rFonts w:eastAsia="Times"/>
          <w:lang w:val="cs-CZ"/>
        </w:rPr>
        <w:t>,</w:t>
      </w:r>
      <w:r>
        <w:rPr>
          <w:rStyle w:val="ref"/>
          <w:rFonts w:eastAsia="Times"/>
        </w:rPr>
        <w:t xml:space="preserve"> q. 1</w:t>
      </w:r>
      <w:r>
        <w:rPr>
          <w:rStyle w:val="ref"/>
          <w:rFonts w:eastAsia="Times"/>
          <w:lang w:val="cs-CZ"/>
        </w:rPr>
        <w:t>,</w:t>
      </w:r>
      <w:r>
        <w:rPr>
          <w:rStyle w:val="ref"/>
          <w:rFonts w:eastAsia="Times"/>
        </w:rPr>
        <w:t xml:space="preserve"> a. 3</w:t>
      </w:r>
      <w:r>
        <w:rPr>
          <w:rStyle w:val="ref"/>
          <w:rFonts w:eastAsia="Times"/>
          <w:lang w:val="cs-CZ"/>
        </w:rPr>
        <w:t>, resp.; ed. Marietti, p. 334</w:t>
      </w:r>
      <w:r>
        <w:rPr>
          <w:rStyle w:val="ref"/>
          <w:rFonts w:eastAsia="Times"/>
          <w:lang w:val="cs-CZ"/>
        </w:rPr>
        <w:fldChar w:fldCharType="begin"/>
      </w:r>
      <w:r>
        <w:instrText xml:space="preserve"> XE "</w:instrText>
      </w:r>
      <w:r>
        <w:rPr>
          <w:lang w:val="cs-CZ"/>
        </w:rPr>
        <w:instrText>Akvinský:</w:instrText>
      </w:r>
      <w:r w:rsidRPr="08D44AE1">
        <w:rPr>
          <w:i/>
          <w:lang w:val="cs-CZ"/>
        </w:rPr>
        <w:instrText xml:space="preserve"> </w:instrText>
      </w:r>
      <w:r w:rsidRPr="00FA2AC2">
        <w:rPr>
          <w:i/>
          <w:lang w:val="cs-CZ"/>
        </w:rPr>
        <w:instrText>Super Sententiarum</w:instrText>
      </w:r>
      <w:r>
        <w:rPr>
          <w:i/>
          <w:lang w:val="cs-CZ"/>
        </w:rPr>
        <w:instrText xml:space="preserve"> </w:instrText>
      </w:r>
      <w:r>
        <w:rPr>
          <w:lang w:val="cs-CZ"/>
        </w:rPr>
        <w:instrText>II</w:instrText>
      </w:r>
      <w:r>
        <w:rPr>
          <w:rStyle w:val="ref"/>
          <w:rFonts w:eastAsia="Times"/>
          <w:lang w:val="cs-CZ"/>
        </w:rPr>
        <w:instrText xml:space="preserve">, </w:instrText>
      </w:r>
      <w:r w:rsidRPr="087E43B4">
        <w:rPr>
          <w:rStyle w:val="ref"/>
          <w:rFonts w:eastAsia="Times"/>
          <w:lang w:val="cs-CZ"/>
        </w:rPr>
        <w:instrText>33</w:instrText>
      </w:r>
      <w:r>
        <w:rPr>
          <w:rStyle w:val="ref"/>
          <w:rFonts w:eastAsia="Times"/>
          <w:lang w:val="cs-CZ"/>
        </w:rPr>
        <w:instrText>4</w:instrText>
      </w:r>
      <w:r>
        <w:instrText xml:space="preserve">" </w:instrText>
      </w:r>
      <w:r>
        <w:rPr>
          <w:rStyle w:val="ref"/>
          <w:rFonts w:eastAsia="Times"/>
          <w:lang w:val="cs-CZ"/>
        </w:rPr>
        <w:fldChar w:fldCharType="end"/>
      </w:r>
      <w:r>
        <w:rPr>
          <w:rStyle w:val="aus"/>
          <w:rFonts w:eastAsia="Times"/>
          <w:lang w:val="cs-CZ"/>
        </w:rPr>
        <w:t>)</w:t>
      </w:r>
    </w:p>
  </w:footnote>
  <w:footnote w:id="171">
    <w:p w:rsidR="00971E82" w:rsidRPr="0070154C" w:rsidRDefault="00971E82" w:rsidP="08163013">
      <w:pPr>
        <w:pStyle w:val="Textpoznpodarou"/>
      </w:pPr>
      <w:r>
        <w:rPr>
          <w:rStyle w:val="Znakapoznpodarou"/>
        </w:rPr>
        <w:footnoteRef/>
      </w:r>
      <w:r>
        <w:rPr>
          <w:lang w:val="cs-CZ"/>
        </w:rPr>
        <w:t xml:space="preserve"> </w:t>
      </w:r>
      <w:r>
        <w:t>„Hoc etiam patet per Commentatorem et per Themistium, dicentes quod intellectus non est virtus orga</w:t>
      </w:r>
      <w:r>
        <w:rPr>
          <w:lang w:val="cs-CZ"/>
        </w:rPr>
        <w:t>n</w:t>
      </w:r>
      <w:r>
        <w:t>ica: quia intellectus et anima intellectiva idem sunt, et omne organicum est corruptibile, ergo anima intellectiva est incorruptibilis.“ (</w:t>
      </w:r>
      <w:r>
        <w:rPr>
          <w:i/>
        </w:rPr>
        <w:t>Quaestiones</w:t>
      </w:r>
      <w:r>
        <w:rPr>
          <w:i/>
          <w:lang w:val="cs-CZ"/>
        </w:rPr>
        <w:t xml:space="preserve"> </w:t>
      </w:r>
      <w:r>
        <w:rPr>
          <w:lang w:val="cs-CZ"/>
        </w:rPr>
        <w:t>3.</w:t>
      </w:r>
      <w:r>
        <w:t>3</w:t>
      </w:r>
      <w:r>
        <w:rPr>
          <w:lang w:val="cs-CZ"/>
        </w:rPr>
        <w:t xml:space="preserve">; </w:t>
      </w:r>
      <w:r>
        <w:t>ed. Bazán, p. 471.37‒40</w:t>
      </w:r>
      <w:r>
        <w:fldChar w:fldCharType="begin"/>
      </w:r>
      <w:r>
        <w:instrText xml:space="preserve"> XE "</w:instrText>
      </w:r>
      <w:r w:rsidRPr="00076C06">
        <w:rPr>
          <w:i/>
        </w:rPr>
        <w:instrText>Anonym Bazán</w:instrText>
      </w:r>
      <w:r>
        <w:instrText xml:space="preserve"> 47</w:instrText>
      </w:r>
      <w:r>
        <w:rPr>
          <w:lang w:val="cs-CZ"/>
        </w:rPr>
        <w:instrText>1</w:instrText>
      </w:r>
      <w:r>
        <w:instrText>.</w:instrText>
      </w:r>
      <w:r>
        <w:rPr>
          <w:lang w:val="cs-CZ"/>
        </w:rPr>
        <w:instrText>37</w:instrText>
      </w:r>
      <w:r>
        <w:instrText>‒</w:instrText>
      </w:r>
      <w:r>
        <w:rPr>
          <w:lang w:val="cs-CZ"/>
        </w:rPr>
        <w:instrText>40</w:instrText>
      </w:r>
      <w:r>
        <w:instrText xml:space="preserve">" </w:instrText>
      </w:r>
      <w:r>
        <w:fldChar w:fldCharType="end"/>
      </w:r>
      <w:r>
        <w:t>)</w:t>
      </w:r>
    </w:p>
  </w:footnote>
  <w:footnote w:id="172">
    <w:p w:rsidR="00971E82" w:rsidRPr="00774DED" w:rsidRDefault="00971E82" w:rsidP="08163013">
      <w:pPr>
        <w:pStyle w:val="Textpoznpodarou"/>
        <w:rPr>
          <w:lang w:val="cs-CZ"/>
        </w:rPr>
      </w:pPr>
      <w:r>
        <w:rPr>
          <w:rStyle w:val="Znakapoznpodarou"/>
        </w:rPr>
        <w:footnoteRef/>
      </w:r>
      <w:r>
        <w:t xml:space="preserve"> </w:t>
      </w:r>
      <w:r w:rsidRPr="00774DED">
        <w:t>„Commentator voluit quod anima intellectiva esset separata a corpore quod non valet.“ (</w:t>
      </w:r>
      <w:r>
        <w:rPr>
          <w:i/>
        </w:rPr>
        <w:t>Quaestiones</w:t>
      </w:r>
      <w:r w:rsidRPr="00774DED">
        <w:t xml:space="preserve"> 3.6, p. 477.43‒44</w:t>
      </w:r>
      <w:r>
        <w:fldChar w:fldCharType="begin"/>
      </w:r>
      <w:r>
        <w:instrText xml:space="preserve"> XE "</w:instrText>
      </w:r>
      <w:r w:rsidRPr="00076C06">
        <w:rPr>
          <w:i/>
        </w:rPr>
        <w:instrText>Anonym Bazán</w:instrText>
      </w:r>
      <w:r>
        <w:instrText xml:space="preserve"> 4</w:instrText>
      </w:r>
      <w:r>
        <w:rPr>
          <w:lang w:val="cs-CZ"/>
        </w:rPr>
        <w:instrText>7</w:instrText>
      </w:r>
      <w:r>
        <w:instrText>7.</w:instrText>
      </w:r>
      <w:r>
        <w:rPr>
          <w:lang w:val="cs-CZ"/>
        </w:rPr>
        <w:instrText>43</w:instrText>
      </w:r>
      <w:r>
        <w:instrText>‒</w:instrText>
      </w:r>
      <w:r>
        <w:rPr>
          <w:lang w:val="cs-CZ"/>
        </w:rPr>
        <w:instrText>44</w:instrText>
      </w:r>
      <w:r>
        <w:instrText xml:space="preserve">" </w:instrText>
      </w:r>
      <w:r>
        <w:fldChar w:fldCharType="end"/>
      </w:r>
      <w:r w:rsidRPr="00774DED">
        <w:t>)</w:t>
      </w:r>
    </w:p>
  </w:footnote>
  <w:footnote w:id="173">
    <w:p w:rsidR="00971E82" w:rsidRPr="00A17602" w:rsidRDefault="00971E82" w:rsidP="08163013">
      <w:pPr>
        <w:pStyle w:val="Textpoznpodarou"/>
      </w:pPr>
      <w:r>
        <w:rPr>
          <w:rStyle w:val="Znakapoznpodarou"/>
        </w:rPr>
        <w:footnoteRef/>
      </w:r>
      <w:r>
        <w:rPr>
          <w:lang w:val="cs-CZ"/>
        </w:rPr>
        <w:t xml:space="preserve"> </w:t>
      </w:r>
      <w:r>
        <w:t>„</w:t>
      </w:r>
      <w:r w:rsidRPr="00A17602">
        <w:t>Propter quod sicut universale numquam secundum esse potest separari, quin habeat esse in aliquo particulari, sic numquam potest intelligi ab intellectu nisi in phantasia alicuius particularis rei.</w:t>
      </w:r>
      <w:r>
        <w:t>“ (</w:t>
      </w:r>
      <w:r w:rsidRPr="00E31891">
        <w:rPr>
          <w:i/>
        </w:rPr>
        <w:t xml:space="preserve">Expositio </w:t>
      </w:r>
      <w:r w:rsidRPr="00E31891">
        <w:rPr>
          <w:i/>
          <w:lang w:val="fr-FR"/>
        </w:rPr>
        <w:t xml:space="preserve">super </w:t>
      </w:r>
      <w:r w:rsidRPr="00E31891">
        <w:rPr>
          <w:i/>
        </w:rPr>
        <w:t>libros De anima</w:t>
      </w:r>
      <w:r w:rsidRPr="00A17602">
        <w:t xml:space="preserve">, </w:t>
      </w:r>
      <w:r>
        <w:rPr>
          <w:lang w:val="fr-FR"/>
        </w:rPr>
        <w:t>3.</w:t>
      </w:r>
      <w:r w:rsidRPr="00A17602">
        <w:rPr>
          <w:lang w:val="fr-FR"/>
        </w:rPr>
        <w:t xml:space="preserve">39, f. </w:t>
      </w:r>
      <w:r>
        <w:t>75r</w:t>
      </w:r>
      <w:r w:rsidRPr="00A17602">
        <w:t>а</w:t>
      </w:r>
      <w:r>
        <w:t>; cit podle Olszewski 2012, p. 44</w:t>
      </w:r>
      <w:r>
        <w:fldChar w:fldCharType="begin"/>
      </w:r>
      <w:r>
        <w:instrText xml:space="preserve"> XE "</w:instrText>
      </w:r>
      <w:r>
        <w:rPr>
          <w:lang w:val="cs-CZ"/>
        </w:rPr>
        <w:instrText>Aegidius Romanus:</w:instrText>
      </w:r>
      <w:r w:rsidRPr="007C3B29">
        <w:rPr>
          <w:i/>
        </w:rPr>
        <w:instrText xml:space="preserve">Expositio </w:instrText>
      </w:r>
      <w:r w:rsidRPr="007C3B29">
        <w:rPr>
          <w:i/>
          <w:lang w:val="fr-FR"/>
        </w:rPr>
        <w:instrText xml:space="preserve">super </w:instrText>
      </w:r>
      <w:r w:rsidRPr="007C3B29">
        <w:rPr>
          <w:i/>
        </w:rPr>
        <w:instrText>libros De anima</w:instrText>
      </w:r>
      <w:r>
        <w:rPr>
          <w:i/>
          <w:lang w:val="cs-CZ"/>
        </w:rPr>
        <w:instrText xml:space="preserve"> </w:instrText>
      </w:r>
      <w:r w:rsidRPr="007C3B29">
        <w:rPr>
          <w:lang w:val="fr-FR"/>
        </w:rPr>
        <w:instrText xml:space="preserve">f. </w:instrText>
      </w:r>
      <w:r w:rsidRPr="007C3B29">
        <w:instrText>75rа</w:instrText>
      </w:r>
      <w:r>
        <w:instrText xml:space="preserve">" </w:instrText>
      </w:r>
      <w:r>
        <w:fldChar w:fldCharType="end"/>
      </w:r>
      <w:r>
        <w:t>)</w:t>
      </w:r>
    </w:p>
  </w:footnote>
  <w:footnote w:id="174">
    <w:p w:rsidR="00971E82" w:rsidRPr="002A0CEB" w:rsidRDefault="00971E82" w:rsidP="08163013">
      <w:pPr>
        <w:pStyle w:val="Textpoznpodarou"/>
      </w:pPr>
      <w:r>
        <w:rPr>
          <w:rStyle w:val="Znakapoznpodarou"/>
        </w:rPr>
        <w:footnoteRef/>
      </w:r>
      <w:r>
        <w:t xml:space="preserve"> „</w:t>
      </w:r>
      <w:r w:rsidRPr="00365DED">
        <w:t>Quod autem potentia materiae primae sit quoddam essentiale, ratio huius est quia illud est essentiale alicuius quod immediate concomitatur essentiam illius; sed potentia immediate concomitatur essentiam materiae primae; ergo materiae primae potentia est essentiale, quod essentiale est medium quoddam inter substantiam et accidens, quod tamen nec est materiae primae substantia nec accidens.</w:t>
      </w:r>
      <w:r>
        <w:t>“ (</w:t>
      </w:r>
      <w:r>
        <w:rPr>
          <w:i/>
        </w:rPr>
        <w:t xml:space="preserve">Quaestiones </w:t>
      </w:r>
      <w:r>
        <w:rPr>
          <w:lang w:val="cs-CZ"/>
        </w:rPr>
        <w:t>2.</w:t>
      </w:r>
      <w:r>
        <w:t>35</w:t>
      </w:r>
      <w:r>
        <w:rPr>
          <w:lang w:val="cs-CZ"/>
        </w:rPr>
        <w:t>;</w:t>
      </w:r>
      <w:r>
        <w:t xml:space="preserve"> </w:t>
      </w:r>
      <w:r w:rsidRPr="00857FCB">
        <w:t>ed. Bazán</w:t>
      </w:r>
      <w:r>
        <w:rPr>
          <w:lang w:val="cs-CZ"/>
        </w:rPr>
        <w:t xml:space="preserve">, </w:t>
      </w:r>
      <w:r>
        <w:t>p. 456.27‒33</w:t>
      </w:r>
      <w:r>
        <w:fldChar w:fldCharType="begin"/>
      </w:r>
      <w:r>
        <w:instrText xml:space="preserve"> XE "</w:instrText>
      </w:r>
      <w:r w:rsidRPr="00076C06">
        <w:rPr>
          <w:i/>
        </w:rPr>
        <w:instrText>Anonym Bazán</w:instrText>
      </w:r>
      <w:r>
        <w:instrText xml:space="preserve"> 4</w:instrText>
      </w:r>
      <w:r>
        <w:rPr>
          <w:lang w:val="cs-CZ"/>
        </w:rPr>
        <w:instrText>56</w:instrText>
      </w:r>
      <w:r>
        <w:instrText>.2</w:instrText>
      </w:r>
      <w:r>
        <w:rPr>
          <w:lang w:val="cs-CZ"/>
        </w:rPr>
        <w:instrText>7</w:instrText>
      </w:r>
      <w:r>
        <w:instrText>‒</w:instrText>
      </w:r>
      <w:r>
        <w:rPr>
          <w:lang w:val="cs-CZ"/>
        </w:rPr>
        <w:instrText>33</w:instrText>
      </w:r>
      <w:r>
        <w:instrText xml:space="preserve">" </w:instrText>
      </w:r>
      <w:r>
        <w:fldChar w:fldCharType="end"/>
      </w:r>
      <w:r>
        <w:t>)</w:t>
      </w:r>
    </w:p>
  </w:footnote>
  <w:footnote w:id="175">
    <w:p w:rsidR="00971E82" w:rsidRPr="007C2BC0" w:rsidRDefault="00971E82" w:rsidP="08163013">
      <w:pPr>
        <w:pStyle w:val="Textpoznpodarou"/>
        <w:rPr>
          <w:lang w:val="cs-CZ"/>
        </w:rPr>
      </w:pPr>
      <w:r>
        <w:rPr>
          <w:rStyle w:val="Znakapoznpodarou"/>
        </w:rPr>
        <w:footnoteRef/>
      </w:r>
      <w:r>
        <w:t xml:space="preserve"> </w:t>
      </w:r>
      <w:r>
        <w:rPr>
          <w:lang w:val="cs-CZ"/>
        </w:rPr>
        <w:t>„</w:t>
      </w:r>
      <w:r w:rsidRPr="007C2BC0">
        <w:rPr>
          <w:lang w:val="cs-CZ"/>
        </w:rPr>
        <w:t xml:space="preserve">In oppositum </w:t>
      </w:r>
      <w:r>
        <w:rPr>
          <w:lang w:val="cs-CZ"/>
        </w:rPr>
        <w:t>est Philosophus i</w:t>
      </w:r>
      <w:r w:rsidRPr="007C2BC0">
        <w:rPr>
          <w:lang w:val="cs-CZ"/>
        </w:rPr>
        <w:t>n</w:t>
      </w:r>
      <w:r>
        <w:rPr>
          <w:lang w:val="cs-CZ"/>
        </w:rPr>
        <w:t xml:space="preserve"> </w:t>
      </w:r>
      <w:r w:rsidRPr="007C2BC0">
        <w:rPr>
          <w:i/>
          <w:lang w:val="cs-CZ"/>
        </w:rPr>
        <w:t>tertio De anima</w:t>
      </w:r>
      <w:r>
        <w:rPr>
          <w:lang w:val="cs-CZ"/>
        </w:rPr>
        <w:t xml:space="preserve"> dicens: «necesse est inteligentem p</w:t>
      </w:r>
      <w:r w:rsidRPr="007C2BC0">
        <w:rPr>
          <w:lang w:val="cs-CZ"/>
        </w:rPr>
        <w:t>hantasmata speculari</w:t>
      </w:r>
      <w:r>
        <w:rPr>
          <w:lang w:val="cs-CZ"/>
        </w:rPr>
        <w:t>», id</w:t>
      </w:r>
      <w:r w:rsidRPr="007C2BC0">
        <w:rPr>
          <w:lang w:val="cs-CZ"/>
        </w:rPr>
        <w:t xml:space="preserve">est quandocumque </w:t>
      </w:r>
      <w:r>
        <w:rPr>
          <w:lang w:val="cs-CZ"/>
        </w:rPr>
        <w:t>ali</w:t>
      </w:r>
      <w:r w:rsidRPr="007C2BC0">
        <w:rPr>
          <w:lang w:val="cs-CZ"/>
        </w:rPr>
        <w:t>quis vult intelligere aliqua, necesse est prius speculari phantasmata illius quod debet intelligere: sed phantasmata non potest speculari sine organo corporali; ergo anima intellectiva</w:t>
      </w:r>
      <w:r>
        <w:rPr>
          <w:lang w:val="cs-CZ"/>
        </w:rPr>
        <w:t xml:space="preserve"> non habet in hoc saeculo </w:t>
      </w:r>
      <w:r w:rsidRPr="007C2BC0">
        <w:rPr>
          <w:lang w:val="cs-CZ"/>
        </w:rPr>
        <w:t>propriam operationem sine corpore.</w:t>
      </w:r>
      <w:r>
        <w:rPr>
          <w:lang w:val="cs-CZ"/>
        </w:rPr>
        <w:t>“ (</w:t>
      </w:r>
      <w:r>
        <w:rPr>
          <w:i/>
          <w:lang w:val="cs-CZ"/>
        </w:rPr>
        <w:t>Quaestiones</w:t>
      </w:r>
      <w:r>
        <w:rPr>
          <w:lang w:val="cs-CZ"/>
        </w:rPr>
        <w:t xml:space="preserve"> 3.4, ed. Bazán, p. 473.25‒30</w:t>
      </w:r>
      <w:r>
        <w:fldChar w:fldCharType="begin"/>
      </w:r>
      <w:r>
        <w:instrText xml:space="preserve"> XE "</w:instrText>
      </w:r>
      <w:r w:rsidRPr="00076C06">
        <w:rPr>
          <w:i/>
        </w:rPr>
        <w:instrText>Anonym Bazán</w:instrText>
      </w:r>
      <w:r>
        <w:instrText xml:space="preserve"> 47</w:instrText>
      </w:r>
      <w:r>
        <w:rPr>
          <w:lang w:val="cs-CZ"/>
        </w:rPr>
        <w:instrText>3</w:instrText>
      </w:r>
      <w:r>
        <w:instrText>.2</w:instrText>
      </w:r>
      <w:r>
        <w:rPr>
          <w:lang w:val="cs-CZ"/>
        </w:rPr>
        <w:instrText>5</w:instrText>
      </w:r>
      <w:r>
        <w:instrText>‒</w:instrText>
      </w:r>
      <w:r>
        <w:rPr>
          <w:lang w:val="cs-CZ"/>
        </w:rPr>
        <w:instrText>30</w:instrText>
      </w:r>
      <w:r>
        <w:instrText xml:space="preserve">" </w:instrText>
      </w:r>
      <w:r>
        <w:fldChar w:fldCharType="end"/>
      </w:r>
      <w:r>
        <w:rPr>
          <w:lang w:val="cs-CZ"/>
        </w:rPr>
        <w:t>)</w:t>
      </w:r>
    </w:p>
  </w:footnote>
  <w:footnote w:id="176">
    <w:p w:rsidR="00971E82" w:rsidRPr="00857FCB" w:rsidRDefault="00971E82" w:rsidP="08163013">
      <w:pPr>
        <w:pStyle w:val="Textpoznpodarou"/>
        <w:rPr>
          <w:lang w:val="cs-CZ"/>
        </w:rPr>
      </w:pPr>
      <w:r>
        <w:rPr>
          <w:rStyle w:val="Znakapoznpodarou"/>
        </w:rPr>
        <w:footnoteRef/>
      </w:r>
      <w:r>
        <w:t xml:space="preserve"> </w:t>
      </w:r>
      <w:r w:rsidRPr="00857FCB">
        <w:rPr>
          <w:rFonts w:eastAsia="Times"/>
        </w:rPr>
        <w:t>„Et dicis quod omnes venae radicantur circa cerebrum, nego. Et tu probas auctoritate Medicorum, dico quod omnes venae concurrunt circa cor, et ilii sunt magis et spiritualiter quam circa cerebrum.“ (</w:t>
      </w:r>
      <w:r>
        <w:rPr>
          <w:i/>
        </w:rPr>
        <w:t>Quaestiones</w:t>
      </w:r>
      <w:r>
        <w:t xml:space="preserve"> </w:t>
      </w:r>
      <w:r>
        <w:rPr>
          <w:lang w:val="cs-CZ"/>
        </w:rPr>
        <w:t>2</w:t>
      </w:r>
      <w:r w:rsidRPr="00857FCB">
        <w:rPr>
          <w:rFonts w:eastAsia="Times"/>
        </w:rPr>
        <w:t xml:space="preserve">.40;  </w:t>
      </w:r>
      <w:r w:rsidRPr="00857FCB">
        <w:t>ed. Bazán</w:t>
      </w:r>
      <w:r w:rsidRPr="00857FCB">
        <w:rPr>
          <w:rFonts w:eastAsia="Times"/>
        </w:rPr>
        <w:t>, p. 465.49‒51</w:t>
      </w:r>
      <w:r>
        <w:fldChar w:fldCharType="begin"/>
      </w:r>
      <w:r>
        <w:instrText xml:space="preserve"> XE "</w:instrText>
      </w:r>
      <w:r w:rsidRPr="00076C06">
        <w:rPr>
          <w:i/>
        </w:rPr>
        <w:instrText>Anonym Bazán</w:instrText>
      </w:r>
      <w:r>
        <w:instrText xml:space="preserve"> 4</w:instrText>
      </w:r>
      <w:r>
        <w:rPr>
          <w:lang w:val="cs-CZ"/>
        </w:rPr>
        <w:instrText>65</w:instrText>
      </w:r>
      <w:r>
        <w:instrText>.</w:instrText>
      </w:r>
      <w:r>
        <w:rPr>
          <w:lang w:val="cs-CZ"/>
        </w:rPr>
        <w:instrText>49</w:instrText>
      </w:r>
      <w:r>
        <w:instrText>‒</w:instrText>
      </w:r>
      <w:r>
        <w:rPr>
          <w:lang w:val="cs-CZ"/>
        </w:rPr>
        <w:instrText>51</w:instrText>
      </w:r>
      <w:r>
        <w:instrText xml:space="preserve">" </w:instrText>
      </w:r>
      <w:r>
        <w:fldChar w:fldCharType="end"/>
      </w:r>
      <w:r w:rsidRPr="00857FCB">
        <w:rPr>
          <w:rFonts w:eastAsia="Times"/>
        </w:rPr>
        <w:t>)</w:t>
      </w:r>
    </w:p>
  </w:footnote>
  <w:footnote w:id="177">
    <w:p w:rsidR="00971E82" w:rsidRPr="009A5B4B" w:rsidRDefault="00971E82" w:rsidP="08163013">
      <w:pPr>
        <w:pStyle w:val="Textpoznpodarou"/>
      </w:pPr>
      <w:r>
        <w:rPr>
          <w:rStyle w:val="Znakapoznpodarou"/>
        </w:rPr>
        <w:footnoteRef/>
      </w:r>
      <w:r>
        <w:t xml:space="preserve"> „Dicente Commentatore: «</w:t>
      </w:r>
      <w:r w:rsidRPr="009A5B4B">
        <w:t>Virtus cogitativa apud Aristotelem est distinctiva indivi</w:t>
      </w:r>
      <w:r>
        <w:t xml:space="preserve">dualis et est in medio cerebri.» </w:t>
      </w:r>
      <w:r w:rsidRPr="009A5B4B">
        <w:t>Haec est etiam sententia Avice</w:t>
      </w:r>
      <w:r>
        <w:t>nnae VI. Naturalium et AIgazel</w:t>
      </w:r>
      <w:r w:rsidRPr="009A5B4B">
        <w:t>is.</w:t>
      </w:r>
      <w:r>
        <w:t>“ (</w:t>
      </w:r>
      <w:r>
        <w:rPr>
          <w:i/>
        </w:rPr>
        <w:t>Quaestiones tractantes De anima</w:t>
      </w:r>
      <w:r>
        <w:t>, q. 7, resp.; ed. Spettmann, p. 75.32‒35</w:t>
      </w:r>
      <w:r>
        <w:fldChar w:fldCharType="begin"/>
      </w:r>
      <w:r>
        <w:instrText xml:space="preserve"> XE "</w:instrText>
      </w:r>
      <w:r>
        <w:rPr>
          <w:lang w:val="cs-CZ"/>
        </w:rPr>
        <w:instrText>Pecham:</w:instrText>
      </w:r>
      <w:r>
        <w:rPr>
          <w:i/>
        </w:rPr>
        <w:instrText>Quaestiones tractantes De anima</w:instrText>
      </w:r>
      <w:r w:rsidRPr="00AA4FC2">
        <w:instrText xml:space="preserve"> 75.32‒35</w:instrText>
      </w:r>
      <w:r>
        <w:instrText xml:space="preserve">" </w:instrText>
      </w:r>
      <w:r>
        <w:fldChar w:fldCharType="end"/>
      </w:r>
      <w:r>
        <w:t>) Dále</w:t>
      </w:r>
      <w:r>
        <w:rPr>
          <w:lang w:val="cs-CZ"/>
        </w:rPr>
        <w:t xml:space="preserve"> najdeme totéž</w:t>
      </w:r>
      <w:r>
        <w:t>: „</w:t>
      </w:r>
      <w:r w:rsidRPr="00B714B6">
        <w:t>Damascenus</w:t>
      </w:r>
      <w:r>
        <w:t xml:space="preserve"> etiam dicit, II. lib., cap. 20</w:t>
      </w:r>
      <w:r w:rsidRPr="00B714B6">
        <w:t>, quod imaginativum per sensus suscipiens materias tradit cogitativo et discretivo, et inde traditur memorativo, cuius organum est posterior ventriculus cerebri. Ite</w:t>
      </w:r>
      <w:r>
        <w:t>m Avicenna dicit VI. Naturalium...  (ibid, q. 29, p. 197.6‒10</w:t>
      </w:r>
      <w:r>
        <w:fldChar w:fldCharType="begin"/>
      </w:r>
      <w:r>
        <w:instrText xml:space="preserve"> XE "</w:instrText>
      </w:r>
      <w:r>
        <w:rPr>
          <w:lang w:val="cs-CZ"/>
        </w:rPr>
        <w:instrText>Pecham:</w:instrText>
      </w:r>
      <w:r>
        <w:rPr>
          <w:i/>
        </w:rPr>
        <w:instrText>Quaestiones tractantes De anima</w:instrText>
      </w:r>
      <w:r>
        <w:instrText xml:space="preserve"> </w:instrText>
      </w:r>
      <w:r>
        <w:rPr>
          <w:lang w:val="cs-CZ"/>
        </w:rPr>
        <w:instrText>197</w:instrText>
      </w:r>
      <w:r>
        <w:instrText>.</w:instrText>
      </w:r>
      <w:r>
        <w:rPr>
          <w:lang w:val="cs-CZ"/>
        </w:rPr>
        <w:instrText>6</w:instrText>
      </w:r>
      <w:r>
        <w:instrText>‒</w:instrText>
      </w:r>
      <w:r>
        <w:rPr>
          <w:lang w:val="cs-CZ"/>
        </w:rPr>
        <w:instrText>10</w:instrText>
      </w:r>
      <w:r>
        <w:instrText xml:space="preserve">" </w:instrText>
      </w:r>
      <w:r>
        <w:fldChar w:fldCharType="end"/>
      </w:r>
      <w:r>
        <w:t>)</w:t>
      </w:r>
    </w:p>
  </w:footnote>
  <w:footnote w:id="178">
    <w:p w:rsidR="00971E82" w:rsidRPr="0085767E" w:rsidRDefault="00971E82" w:rsidP="08163013">
      <w:pPr>
        <w:pStyle w:val="Textpoznpodarou"/>
        <w:rPr>
          <w:lang w:val="cs-CZ"/>
        </w:rPr>
      </w:pPr>
      <w:r>
        <w:rPr>
          <w:rStyle w:val="Znakapoznpodarou"/>
        </w:rPr>
        <w:footnoteRef/>
      </w:r>
      <w:r>
        <w:t xml:space="preserve"> </w:t>
      </w:r>
      <w:r w:rsidRPr="0085767E">
        <w:t>„Et dicis quod anima intellectiva exercet suam operationem sine organo corporali, nego. Ad probationem dico quod anima intellectiva bene exercet suam operationem sine organo corporali subjective, non tamen objective, quia necesse est intelligentem phantasmata speculari...“ (</w:t>
      </w:r>
      <w:r>
        <w:rPr>
          <w:i/>
        </w:rPr>
        <w:t>Quaestiones</w:t>
      </w:r>
      <w:r>
        <w:t xml:space="preserve"> </w:t>
      </w:r>
      <w:r>
        <w:rPr>
          <w:lang w:val="cs-CZ"/>
        </w:rPr>
        <w:t>3</w:t>
      </w:r>
      <w:r>
        <w:rPr>
          <w:rFonts w:eastAsia="Times"/>
          <w:lang w:val="cs-CZ"/>
        </w:rPr>
        <w:t>.</w:t>
      </w:r>
      <w:r w:rsidRPr="0085767E">
        <w:rPr>
          <w:rFonts w:eastAsia="Times"/>
        </w:rPr>
        <w:t xml:space="preserve">4; </w:t>
      </w:r>
      <w:r w:rsidRPr="0085767E">
        <w:t>ed. Bazán</w:t>
      </w:r>
      <w:r w:rsidRPr="0085767E">
        <w:rPr>
          <w:rFonts w:eastAsia="Times"/>
        </w:rPr>
        <w:t>, p. 473.44‒50</w:t>
      </w:r>
      <w:r>
        <w:fldChar w:fldCharType="begin"/>
      </w:r>
      <w:r>
        <w:instrText xml:space="preserve"> XE "</w:instrText>
      </w:r>
      <w:r w:rsidRPr="00076C06">
        <w:rPr>
          <w:i/>
        </w:rPr>
        <w:instrText>Anonym Bazán</w:instrText>
      </w:r>
      <w:r>
        <w:instrText xml:space="preserve"> 4</w:instrText>
      </w:r>
      <w:r>
        <w:rPr>
          <w:lang w:val="cs-CZ"/>
        </w:rPr>
        <w:instrText>73</w:instrText>
      </w:r>
      <w:r>
        <w:instrText>.</w:instrText>
      </w:r>
      <w:r>
        <w:rPr>
          <w:lang w:val="cs-CZ"/>
        </w:rPr>
        <w:instrText>44</w:instrText>
      </w:r>
      <w:r>
        <w:instrText>‒</w:instrText>
      </w:r>
      <w:r>
        <w:rPr>
          <w:lang w:val="cs-CZ"/>
        </w:rPr>
        <w:instrText>50</w:instrText>
      </w:r>
      <w:r>
        <w:instrText xml:space="preserve">" </w:instrText>
      </w:r>
      <w:r>
        <w:fldChar w:fldCharType="end"/>
      </w:r>
      <w:r w:rsidRPr="0085767E">
        <w:t>)</w:t>
      </w:r>
    </w:p>
  </w:footnote>
  <w:footnote w:id="179">
    <w:p w:rsidR="00971E82" w:rsidRPr="00A03EA6" w:rsidRDefault="00971E82" w:rsidP="08163013">
      <w:pPr>
        <w:pStyle w:val="Textpoznpodarou"/>
        <w:rPr>
          <w:noProof/>
          <w:lang w:val="cs-CZ"/>
        </w:rPr>
      </w:pPr>
      <w:r>
        <w:rPr>
          <w:rStyle w:val="Znakapoznpodarou"/>
        </w:rPr>
        <w:footnoteRef/>
      </w:r>
      <w:r>
        <w:t xml:space="preserve"> </w:t>
      </w:r>
      <w:r w:rsidRPr="00273106">
        <w:rPr>
          <w:noProof/>
        </w:rPr>
        <w:t>„Ad secundum, cum dicitur: si intellectus esset in pura potentia, tunc intellectus differret a materia prima, nego. Et tu probas quia, sicut intellectus est in potentia ad intelligibilia, sic materia prima est in potentia ad recipiendum omnes formas, dico quod non est simile, quia materia prima est in potentia ad recipiendum omnes formas naturales et particulares, sed intellectus est potentia ad recipiendum omnes formas intelligibilis et spirituales et intentionales, et intellectus est materia prima ad hoc. Hoc non obstante maxime differunt.“ (</w:t>
      </w:r>
      <w:r>
        <w:rPr>
          <w:i/>
          <w:noProof/>
        </w:rPr>
        <w:t xml:space="preserve">Quaestiones </w:t>
      </w:r>
      <w:r>
        <w:rPr>
          <w:noProof/>
          <w:lang w:val="cs-CZ"/>
        </w:rPr>
        <w:t>3.</w:t>
      </w:r>
      <w:r>
        <w:rPr>
          <w:noProof/>
        </w:rPr>
        <w:t>5</w:t>
      </w:r>
      <w:r>
        <w:rPr>
          <w:noProof/>
          <w:lang w:val="cs-CZ"/>
        </w:rPr>
        <w:t>;</w:t>
      </w:r>
      <w:r w:rsidRPr="00273106">
        <w:rPr>
          <w:noProof/>
        </w:rPr>
        <w:t xml:space="preserve"> ed. Bazán, p. 475.52‒60</w:t>
      </w:r>
      <w:r>
        <w:fldChar w:fldCharType="begin"/>
      </w:r>
      <w:r>
        <w:instrText xml:space="preserve"> XE "</w:instrText>
      </w:r>
      <w:r w:rsidRPr="00076C06">
        <w:rPr>
          <w:i/>
        </w:rPr>
        <w:instrText>Anonym Bazán</w:instrText>
      </w:r>
      <w:r>
        <w:instrText xml:space="preserve"> 4</w:instrText>
      </w:r>
      <w:r>
        <w:rPr>
          <w:lang w:val="cs-CZ"/>
        </w:rPr>
        <w:instrText>75</w:instrText>
      </w:r>
      <w:r>
        <w:instrText>.</w:instrText>
      </w:r>
      <w:r>
        <w:rPr>
          <w:lang w:val="cs-CZ"/>
        </w:rPr>
        <w:instrText>52</w:instrText>
      </w:r>
      <w:r>
        <w:instrText>‒</w:instrText>
      </w:r>
      <w:r>
        <w:rPr>
          <w:lang w:val="cs-CZ"/>
        </w:rPr>
        <w:instrText>60</w:instrText>
      </w:r>
      <w:r>
        <w:instrText xml:space="preserve">" </w:instrText>
      </w:r>
      <w:r>
        <w:fldChar w:fldCharType="end"/>
      </w:r>
      <w:r w:rsidRPr="00273106">
        <w:rPr>
          <w:noProof/>
        </w:rPr>
        <w:t>)</w:t>
      </w:r>
    </w:p>
  </w:footnote>
  <w:footnote w:id="180">
    <w:p w:rsidR="00971E82" w:rsidRPr="00880893" w:rsidRDefault="00971E82" w:rsidP="08163013">
      <w:pPr>
        <w:pStyle w:val="Textpoznpodarou"/>
        <w:rPr>
          <w:szCs w:val="19"/>
        </w:rPr>
      </w:pPr>
      <w:r>
        <w:rPr>
          <w:rStyle w:val="Znakapoznpodarou"/>
        </w:rPr>
        <w:footnoteRef/>
      </w:r>
      <w:r>
        <w:t xml:space="preserve"> </w:t>
      </w:r>
      <w:r>
        <w:rPr>
          <w:szCs w:val="19"/>
        </w:rPr>
        <w:t>„</w:t>
      </w:r>
      <w:r w:rsidRPr="00842B99">
        <w:rPr>
          <w:szCs w:val="19"/>
        </w:rPr>
        <w:t>Ad hoc quod dicit quod materia prima est simplicior quam materia animae, quia in anima est contracta, dico quod non omnis additio vel contractio minuit simplicitatem, sed illa quae est per rem materialem. V. g. intellectus, cum acquirit cognitionem rei ignotae, determinatur per speciem intelligentem nec tamen propter hoc minuitur eius simplicitas. Forma igitur materiae rationalis animae, quia simplex est, materiae animae simplicitatem non minuit, sed perficit.</w:t>
      </w:r>
      <w:r>
        <w:rPr>
          <w:szCs w:val="19"/>
        </w:rPr>
        <w:t>“ (</w:t>
      </w:r>
      <w:r>
        <w:rPr>
          <w:i/>
        </w:rPr>
        <w:t>Quaestiones tractantes De anima</w:t>
      </w:r>
      <w:r>
        <w:t>, q. 1, solutio, ad 20; ed. Spettmann, p. 11.14‒20</w:t>
      </w:r>
      <w:r>
        <w:fldChar w:fldCharType="begin"/>
      </w:r>
      <w:r>
        <w:instrText xml:space="preserve"> XE "</w:instrText>
      </w:r>
      <w:r>
        <w:rPr>
          <w:lang w:val="cs-CZ"/>
        </w:rPr>
        <w:instrText>Pecham:</w:instrText>
      </w:r>
      <w:r>
        <w:rPr>
          <w:i/>
        </w:rPr>
        <w:instrText>Quaestiones tractantes De anima</w:instrText>
      </w:r>
      <w:r w:rsidRPr="006508DD">
        <w:instrText xml:space="preserve"> 11.14‒20</w:instrText>
      </w:r>
      <w:r>
        <w:instrText xml:space="preserve">" </w:instrText>
      </w:r>
      <w:r>
        <w:fldChar w:fldCharType="end"/>
      </w:r>
      <w:r>
        <w:rPr>
          <w:szCs w:val="19"/>
        </w:rPr>
        <w:t>)</w:t>
      </w:r>
    </w:p>
  </w:footnote>
  <w:footnote w:id="181">
    <w:p w:rsidR="00971E82" w:rsidRPr="002559D8" w:rsidRDefault="00971E82" w:rsidP="08163013">
      <w:pPr>
        <w:pStyle w:val="Textpoznpodarou"/>
        <w:rPr>
          <w:lang w:val="cs-CZ"/>
        </w:rPr>
      </w:pPr>
      <w:r>
        <w:rPr>
          <w:rStyle w:val="Znakapoznpodarou"/>
        </w:rPr>
        <w:footnoteRef/>
      </w:r>
      <w:r>
        <w:t xml:space="preserve"> „Amplius</w:t>
      </w:r>
      <w:r w:rsidRPr="006319F1">
        <w:rPr>
          <w:szCs w:val="4"/>
        </w:rPr>
        <w:t xml:space="preserve">: </w:t>
      </w:r>
      <w:r w:rsidRPr="006319F1">
        <w:rPr>
          <w:szCs w:val="14"/>
        </w:rPr>
        <w:t xml:space="preserve">species </w:t>
      </w:r>
      <w:r w:rsidRPr="006319F1">
        <w:rPr>
          <w:szCs w:val="11"/>
        </w:rPr>
        <w:t xml:space="preserve">intelligitur, </w:t>
      </w:r>
      <w:r w:rsidRPr="006319F1">
        <w:rPr>
          <w:szCs w:val="18"/>
        </w:rPr>
        <w:t xml:space="preserve">cum </w:t>
      </w:r>
      <w:r w:rsidRPr="006319F1">
        <w:t xml:space="preserve">iam </w:t>
      </w:r>
      <w:r w:rsidRPr="006319F1">
        <w:rPr>
          <w:szCs w:val="14"/>
        </w:rPr>
        <w:t xml:space="preserve">unita </w:t>
      </w:r>
      <w:r w:rsidRPr="006319F1">
        <w:rPr>
          <w:szCs w:val="12"/>
        </w:rPr>
        <w:t xml:space="preserve">intellectui </w:t>
      </w:r>
      <w:r w:rsidRPr="006319F1">
        <w:rPr>
          <w:szCs w:val="13"/>
        </w:rPr>
        <w:t xml:space="preserve">spoliata est </w:t>
      </w:r>
      <w:r w:rsidRPr="006319F1">
        <w:rPr>
          <w:szCs w:val="15"/>
        </w:rPr>
        <w:t xml:space="preserve">a </w:t>
      </w:r>
      <w:r w:rsidRPr="006319F1">
        <w:rPr>
          <w:szCs w:val="14"/>
        </w:rPr>
        <w:t xml:space="preserve">conditionibus materialibus </w:t>
      </w:r>
      <w:r w:rsidRPr="006319F1">
        <w:t xml:space="preserve">omnino </w:t>
      </w:r>
      <w:r w:rsidRPr="006319F1">
        <w:rPr>
          <w:szCs w:val="12"/>
        </w:rPr>
        <w:t xml:space="preserve">et </w:t>
      </w:r>
      <w:r w:rsidRPr="006319F1">
        <w:rPr>
          <w:szCs w:val="13"/>
        </w:rPr>
        <w:t xml:space="preserve">unita </w:t>
      </w:r>
      <w:r w:rsidRPr="006319F1">
        <w:rPr>
          <w:szCs w:val="12"/>
        </w:rPr>
        <w:t xml:space="preserve">intellectui </w:t>
      </w:r>
      <w:r w:rsidRPr="006319F1">
        <w:rPr>
          <w:szCs w:val="17"/>
        </w:rPr>
        <w:t xml:space="preserve">secundum </w:t>
      </w:r>
      <w:r w:rsidRPr="006319F1">
        <w:rPr>
          <w:szCs w:val="11"/>
        </w:rPr>
        <w:t xml:space="preserve">se. </w:t>
      </w:r>
      <w:r w:rsidRPr="006319F1">
        <w:t xml:space="preserve">Ergo omnis </w:t>
      </w:r>
      <w:r w:rsidRPr="006319F1">
        <w:rPr>
          <w:szCs w:val="11"/>
        </w:rPr>
        <w:t xml:space="preserve">talis </w:t>
      </w:r>
      <w:r w:rsidRPr="006319F1">
        <w:rPr>
          <w:szCs w:val="14"/>
        </w:rPr>
        <w:t xml:space="preserve">species </w:t>
      </w:r>
      <w:r w:rsidRPr="006319F1">
        <w:rPr>
          <w:szCs w:val="13"/>
        </w:rPr>
        <w:t xml:space="preserve">aequaliter se </w:t>
      </w:r>
      <w:r w:rsidRPr="006319F1">
        <w:rPr>
          <w:szCs w:val="15"/>
        </w:rPr>
        <w:t xml:space="preserve">haberet ad omnes, </w:t>
      </w:r>
      <w:r w:rsidRPr="006319F1">
        <w:rPr>
          <w:szCs w:val="10"/>
        </w:rPr>
        <w:t xml:space="preserve">si </w:t>
      </w:r>
      <w:r w:rsidRPr="006319F1">
        <w:rPr>
          <w:szCs w:val="13"/>
        </w:rPr>
        <w:t>esset</w:t>
      </w:r>
      <w:r>
        <w:rPr>
          <w:szCs w:val="13"/>
        </w:rPr>
        <w:t xml:space="preserve"> </w:t>
      </w:r>
      <w:r w:rsidRPr="006319F1">
        <w:rPr>
          <w:szCs w:val="12"/>
        </w:rPr>
        <w:t xml:space="preserve">intellectus </w:t>
      </w:r>
      <w:r w:rsidRPr="006319F1">
        <w:rPr>
          <w:szCs w:val="14"/>
        </w:rPr>
        <w:t>unus.</w:t>
      </w:r>
      <w:r>
        <w:rPr>
          <w:szCs w:val="14"/>
        </w:rPr>
        <w:t>“ (</w:t>
      </w:r>
      <w:r>
        <w:rPr>
          <w:i/>
        </w:rPr>
        <w:t>Quaestiones tractantes De anima</w:t>
      </w:r>
      <w:r>
        <w:t>, q. 4, solutio, ad 20; ed. Spettmann, p. 48.21‒24</w:t>
      </w:r>
      <w:r>
        <w:fldChar w:fldCharType="begin"/>
      </w:r>
      <w:r>
        <w:instrText xml:space="preserve"> XE "</w:instrText>
      </w:r>
      <w:r>
        <w:rPr>
          <w:lang w:val="cs-CZ"/>
        </w:rPr>
        <w:instrText>Pecham:</w:instrText>
      </w:r>
      <w:r>
        <w:rPr>
          <w:i/>
        </w:rPr>
        <w:instrText>Quaestiones tractantes De anima</w:instrText>
      </w:r>
      <w:r>
        <w:instrText xml:space="preserve"> </w:instrText>
      </w:r>
      <w:r>
        <w:rPr>
          <w:lang w:val="cs-CZ"/>
        </w:rPr>
        <w:instrText>48</w:instrText>
      </w:r>
      <w:r>
        <w:instrText>.</w:instrText>
      </w:r>
      <w:r>
        <w:rPr>
          <w:lang w:val="cs-CZ"/>
        </w:rPr>
        <w:instrText>21</w:instrText>
      </w:r>
      <w:r w:rsidRPr="006508DD">
        <w:instrText>‒</w:instrText>
      </w:r>
      <w:r>
        <w:instrText>2</w:instrText>
      </w:r>
      <w:r>
        <w:rPr>
          <w:lang w:val="cs-CZ"/>
        </w:rPr>
        <w:instrText>4</w:instrText>
      </w:r>
      <w:r>
        <w:instrText xml:space="preserve">" </w:instrText>
      </w:r>
      <w:r>
        <w:fldChar w:fldCharType="end"/>
      </w:r>
      <w:r>
        <w:rPr>
          <w:szCs w:val="14"/>
        </w:rPr>
        <w:t>)</w:t>
      </w:r>
    </w:p>
  </w:footnote>
  <w:footnote w:id="182">
    <w:p w:rsidR="00971E82" w:rsidRPr="004756DE" w:rsidRDefault="00971E82" w:rsidP="00CA1EBD">
      <w:pPr>
        <w:pStyle w:val="Textpoznpodarou"/>
      </w:pPr>
      <w:r>
        <w:rPr>
          <w:rStyle w:val="Znakapoznpodarou"/>
        </w:rPr>
        <w:footnoteRef/>
      </w:r>
      <w:r>
        <w:t xml:space="preserve"> „</w:t>
      </w:r>
      <w:r w:rsidRPr="003A256D">
        <w:t>Et dicis quod hoc esset impossibile quod anima intellectiva esset individua, nego, imo non est impossibile. Et tu probas: si anima intellectiva esset individua, tunc non posset causare speciem universalis, quia quidquid recipitur per modum recipientis et non recepti recipitur, et ita, quia anima est particularis, species universalis etiam est, dico ad hoc quod, quia anima est particularis, ergo ista species universalis est particularis, tamen in quantum ista species est similitudo plurium, sic est universalis.</w:t>
      </w:r>
      <w:r>
        <w:t>“ (</w:t>
      </w:r>
      <w:r>
        <w:rPr>
          <w:i/>
        </w:rPr>
        <w:t xml:space="preserve">Quaestiones </w:t>
      </w:r>
      <w:r>
        <w:rPr>
          <w:lang w:val="cs-CZ"/>
        </w:rPr>
        <w:t>3.</w:t>
      </w:r>
      <w:r>
        <w:t>6</w:t>
      </w:r>
      <w:r>
        <w:rPr>
          <w:lang w:val="cs-CZ"/>
        </w:rPr>
        <w:t xml:space="preserve">; </w:t>
      </w:r>
      <w:r>
        <w:t>ed. Bazán, p. 478.68‒75</w:t>
      </w:r>
      <w:r>
        <w:fldChar w:fldCharType="begin"/>
      </w:r>
      <w:r>
        <w:instrText xml:space="preserve"> XE "</w:instrText>
      </w:r>
      <w:r w:rsidRPr="00076C06">
        <w:rPr>
          <w:i/>
        </w:rPr>
        <w:instrText>Anonym Bazán</w:instrText>
      </w:r>
      <w:r>
        <w:instrText xml:space="preserve"> 4</w:instrText>
      </w:r>
      <w:r>
        <w:rPr>
          <w:lang w:val="cs-CZ"/>
        </w:rPr>
        <w:instrText>78</w:instrText>
      </w:r>
      <w:r>
        <w:instrText>.</w:instrText>
      </w:r>
      <w:r>
        <w:rPr>
          <w:lang w:val="cs-CZ"/>
        </w:rPr>
        <w:instrText>68</w:instrText>
      </w:r>
      <w:r>
        <w:instrText>‒</w:instrText>
      </w:r>
      <w:r>
        <w:rPr>
          <w:lang w:val="cs-CZ"/>
        </w:rPr>
        <w:instrText>75</w:instrText>
      </w:r>
      <w:r>
        <w:instrText xml:space="preserve">" </w:instrText>
      </w:r>
      <w:r>
        <w:fldChar w:fldCharType="end"/>
      </w:r>
      <w:r>
        <w:t>)</w:t>
      </w:r>
    </w:p>
  </w:footnote>
  <w:footnote w:id="183">
    <w:p w:rsidR="00971E82" w:rsidRPr="00276FDC" w:rsidRDefault="00971E82" w:rsidP="08163013">
      <w:pPr>
        <w:pStyle w:val="Textpoznpodarou"/>
        <w:rPr>
          <w:noProof/>
          <w:lang w:val="cs-CZ"/>
        </w:rPr>
      </w:pPr>
      <w:r>
        <w:rPr>
          <w:rStyle w:val="Znakapoznpodarou"/>
        </w:rPr>
        <w:footnoteRef/>
      </w:r>
      <w:r>
        <w:t xml:space="preserve"> </w:t>
      </w:r>
      <w:r w:rsidRPr="00273106">
        <w:rPr>
          <w:noProof/>
        </w:rPr>
        <w:t>„In oppositum est Philosophus in littera, dicens quod «aliud est magnitudo», idest individuum, «et magnitudinis esse», idest quidditas rei, sive universale.“ (</w:t>
      </w:r>
      <w:r>
        <w:rPr>
          <w:i/>
          <w:noProof/>
        </w:rPr>
        <w:t>Quaestiones</w:t>
      </w:r>
      <w:r w:rsidRPr="00273106">
        <w:rPr>
          <w:i/>
          <w:noProof/>
        </w:rPr>
        <w:t xml:space="preserve"> </w:t>
      </w:r>
      <w:r>
        <w:rPr>
          <w:noProof/>
          <w:lang w:val="cs-CZ"/>
        </w:rPr>
        <w:t>3.</w:t>
      </w:r>
      <w:r w:rsidRPr="00273106">
        <w:rPr>
          <w:noProof/>
        </w:rPr>
        <w:t>7</w:t>
      </w:r>
      <w:r>
        <w:rPr>
          <w:noProof/>
          <w:lang w:val="cs-CZ"/>
        </w:rPr>
        <w:t>;</w:t>
      </w:r>
      <w:r w:rsidRPr="00273106">
        <w:rPr>
          <w:noProof/>
        </w:rPr>
        <w:t xml:space="preserve"> ed. Bazán, p. 479.24‒26</w:t>
      </w:r>
      <w:r>
        <w:fldChar w:fldCharType="begin"/>
      </w:r>
      <w:r>
        <w:instrText xml:space="preserve"> XE "</w:instrText>
      </w:r>
      <w:r w:rsidRPr="00076C06">
        <w:rPr>
          <w:i/>
        </w:rPr>
        <w:instrText>Anonym Bazán</w:instrText>
      </w:r>
      <w:r>
        <w:instrText xml:space="preserve"> 4</w:instrText>
      </w:r>
      <w:r>
        <w:rPr>
          <w:lang w:val="cs-CZ"/>
        </w:rPr>
        <w:instrText>79</w:instrText>
      </w:r>
      <w:r>
        <w:instrText>.</w:instrText>
      </w:r>
      <w:r>
        <w:rPr>
          <w:lang w:val="cs-CZ"/>
        </w:rPr>
        <w:instrText>24</w:instrText>
      </w:r>
      <w:r>
        <w:instrText>‒</w:instrText>
      </w:r>
      <w:r>
        <w:rPr>
          <w:lang w:val="cs-CZ"/>
        </w:rPr>
        <w:instrText>26</w:instrText>
      </w:r>
      <w:r>
        <w:instrText xml:space="preserve">" </w:instrText>
      </w:r>
      <w:r>
        <w:fldChar w:fldCharType="end"/>
      </w:r>
      <w:r w:rsidRPr="00273106">
        <w:rPr>
          <w:noProof/>
        </w:rPr>
        <w:t>)</w:t>
      </w:r>
    </w:p>
  </w:footnote>
  <w:footnote w:id="184">
    <w:p w:rsidR="00971E82" w:rsidRPr="001E646A" w:rsidRDefault="00971E82" w:rsidP="08163013">
      <w:pPr>
        <w:pStyle w:val="Textpoznpodarou"/>
      </w:pPr>
      <w:r>
        <w:rPr>
          <w:rStyle w:val="Znakapoznpodarou"/>
        </w:rPr>
        <w:footnoteRef/>
      </w:r>
      <w:r>
        <w:t xml:space="preserve"> „</w:t>
      </w:r>
      <w:r w:rsidRPr="005D41AC">
        <w:rPr>
          <w:szCs w:val="15"/>
        </w:rPr>
        <w:t>Esse naturale sequitur esse magnitudinis. Sed esse magnitudinis corporis gloriosi est sublimatum super omnem magnitudinem corporum caelestium per dotem subtilitatis. Ergo et esse naturale eiusdem consequens magnitudinem e</w:t>
      </w:r>
      <w:r>
        <w:rPr>
          <w:szCs w:val="15"/>
        </w:rPr>
        <w:t>st sublimatum super omnem propr</w:t>
      </w:r>
      <w:r>
        <w:rPr>
          <w:szCs w:val="15"/>
          <w:lang w:val="cs-CZ"/>
        </w:rPr>
        <w:t>i</w:t>
      </w:r>
      <w:r w:rsidRPr="005D41AC">
        <w:rPr>
          <w:szCs w:val="15"/>
        </w:rPr>
        <w:t>etatem naturalem cuiuslibet corporis.</w:t>
      </w:r>
      <w:r>
        <w:rPr>
          <w:szCs w:val="15"/>
        </w:rPr>
        <w:t>“ (</w:t>
      </w:r>
      <w:r>
        <w:rPr>
          <w:i/>
        </w:rPr>
        <w:t>Quaestiones tractantes De anima</w:t>
      </w:r>
      <w:r>
        <w:t>, q. 19; ed. Spettmann, p. 152.28‒32</w:t>
      </w:r>
      <w:r>
        <w:fldChar w:fldCharType="begin"/>
      </w:r>
      <w:r>
        <w:instrText xml:space="preserve"> XE "</w:instrText>
      </w:r>
      <w:r>
        <w:rPr>
          <w:lang w:val="cs-CZ"/>
        </w:rPr>
        <w:instrText>Pecham:</w:instrText>
      </w:r>
      <w:r>
        <w:rPr>
          <w:i/>
        </w:rPr>
        <w:instrText>Quaestiones tractantes De anima</w:instrText>
      </w:r>
      <w:r>
        <w:rPr>
          <w:i/>
          <w:lang w:val="cs-CZ"/>
        </w:rPr>
        <w:instrText xml:space="preserve"> </w:instrText>
      </w:r>
      <w:r w:rsidRPr="00433DDE">
        <w:instrText>152.28‒32</w:instrText>
      </w:r>
      <w:r>
        <w:instrText xml:space="preserve">" </w:instrText>
      </w:r>
      <w:r>
        <w:fldChar w:fldCharType="end"/>
      </w:r>
      <w:r>
        <w:rPr>
          <w:szCs w:val="15"/>
        </w:rPr>
        <w:t>)</w:t>
      </w:r>
    </w:p>
  </w:footnote>
  <w:footnote w:id="185">
    <w:p w:rsidR="00971E82" w:rsidRPr="00350B60" w:rsidRDefault="00971E82" w:rsidP="08163013">
      <w:pPr>
        <w:pStyle w:val="Textpoznpodarou"/>
        <w:rPr>
          <w:noProof/>
          <w:lang w:val="cs-CZ"/>
        </w:rPr>
      </w:pPr>
      <w:r>
        <w:rPr>
          <w:rStyle w:val="Znakapoznpodarou"/>
        </w:rPr>
        <w:footnoteRef/>
      </w:r>
      <w:r>
        <w:t xml:space="preserve"> </w:t>
      </w:r>
      <w:r w:rsidRPr="00273106">
        <w:rPr>
          <w:noProof/>
        </w:rPr>
        <w:t>„Et nota tamen quod non est ita intelligendum quod species rei et intellectus sunt idem, quod intellectus intelligat speciem rei; sed intellectus intelligit primo et principaliter quidditatem rei mediante specie, et tunc, ex quadam relucentia intellectus, intellectus intelligit speciem rei.“ (</w:t>
      </w:r>
      <w:r>
        <w:rPr>
          <w:i/>
          <w:noProof/>
        </w:rPr>
        <w:t>Quaestiones</w:t>
      </w:r>
      <w:r>
        <w:rPr>
          <w:noProof/>
        </w:rPr>
        <w:t xml:space="preserve"> </w:t>
      </w:r>
      <w:r>
        <w:rPr>
          <w:noProof/>
          <w:lang w:val="cs-CZ"/>
        </w:rPr>
        <w:t>3.</w:t>
      </w:r>
      <w:r>
        <w:rPr>
          <w:noProof/>
        </w:rPr>
        <w:t>8</w:t>
      </w:r>
      <w:r>
        <w:rPr>
          <w:noProof/>
          <w:lang w:val="cs-CZ"/>
        </w:rPr>
        <w:t>;</w:t>
      </w:r>
      <w:r w:rsidRPr="00273106">
        <w:rPr>
          <w:noProof/>
        </w:rPr>
        <w:t xml:space="preserve"> ed. Bazán, p. </w:t>
      </w:r>
      <w:r w:rsidRPr="00350B60">
        <w:t>482.43‒47</w:t>
      </w:r>
      <w:r>
        <w:fldChar w:fldCharType="begin"/>
      </w:r>
      <w:r>
        <w:instrText xml:space="preserve"> XE "</w:instrText>
      </w:r>
      <w:r w:rsidRPr="00076C06">
        <w:rPr>
          <w:i/>
        </w:rPr>
        <w:instrText>Anonym Bazán</w:instrText>
      </w:r>
      <w:r>
        <w:instrText xml:space="preserve"> 4</w:instrText>
      </w:r>
      <w:r>
        <w:rPr>
          <w:lang w:val="cs-CZ"/>
        </w:rPr>
        <w:instrText>82</w:instrText>
      </w:r>
      <w:r>
        <w:instrText>.</w:instrText>
      </w:r>
      <w:r>
        <w:rPr>
          <w:lang w:val="cs-CZ"/>
        </w:rPr>
        <w:instrText>43</w:instrText>
      </w:r>
      <w:r>
        <w:instrText>‒</w:instrText>
      </w:r>
      <w:r>
        <w:rPr>
          <w:lang w:val="cs-CZ"/>
        </w:rPr>
        <w:instrText>47</w:instrText>
      </w:r>
      <w:r>
        <w:instrText xml:space="preserve">" </w:instrText>
      </w:r>
      <w:r>
        <w:fldChar w:fldCharType="end"/>
      </w:r>
      <w:r w:rsidRPr="00273106">
        <w:rPr>
          <w:noProof/>
        </w:rPr>
        <w:t>)</w:t>
      </w:r>
    </w:p>
  </w:footnote>
  <w:footnote w:id="186">
    <w:p w:rsidR="00971E82" w:rsidRPr="00EF77A0" w:rsidRDefault="00971E82" w:rsidP="08163013">
      <w:pPr>
        <w:pStyle w:val="Textpoznpodarou"/>
      </w:pPr>
      <w:r>
        <w:rPr>
          <w:rStyle w:val="Znakapoznpodarou"/>
        </w:rPr>
        <w:footnoteRef/>
      </w:r>
      <w:r>
        <w:t xml:space="preserve"> „</w:t>
      </w:r>
      <w:r>
        <w:rPr>
          <w:lang w:val="cs-CZ"/>
        </w:rPr>
        <w:t>U</w:t>
      </w:r>
      <w:r w:rsidRPr="00EF77A0">
        <w:t>niversale non est in anima, sed similitudo eius; sed sicut singulare in natura non est sine universali, ita nec species singularis sine specie universalis. Recipit ergo intellectus species particularium. Aliter nunquam praedicaret universale de singulari. Cognoscit ergo particularia, sed non cognoscit ea per intellectum hic et nunc.</w:t>
      </w:r>
      <w:r>
        <w:t>“ (</w:t>
      </w:r>
      <w:r>
        <w:rPr>
          <w:i/>
        </w:rPr>
        <w:t>Quaestiones tractantes De anima</w:t>
      </w:r>
      <w:r>
        <w:t>, q. 4, solutio, ad 7; ed. Spettmann, p. 54.33‒37</w:t>
      </w:r>
      <w:r>
        <w:fldChar w:fldCharType="begin"/>
      </w:r>
      <w:r>
        <w:instrText xml:space="preserve"> XE "</w:instrText>
      </w:r>
      <w:r>
        <w:rPr>
          <w:lang w:val="cs-CZ"/>
        </w:rPr>
        <w:instrText>Pecham:</w:instrText>
      </w:r>
      <w:r>
        <w:rPr>
          <w:i/>
        </w:rPr>
        <w:instrText>Quaestiones tractantes De anima</w:instrText>
      </w:r>
      <w:r w:rsidRPr="00DA1DAE">
        <w:instrText xml:space="preserve"> 54.33‒37</w:instrText>
      </w:r>
      <w:r>
        <w:instrText xml:space="preserve">" </w:instrText>
      </w:r>
      <w:r>
        <w:fldChar w:fldCharType="end"/>
      </w:r>
      <w:r>
        <w:t>)</w:t>
      </w:r>
    </w:p>
  </w:footnote>
  <w:footnote w:id="187">
    <w:p w:rsidR="00971E82" w:rsidRPr="004A0F26" w:rsidRDefault="00971E82" w:rsidP="08163013">
      <w:pPr>
        <w:pStyle w:val="Textpoznpodarou"/>
      </w:pPr>
      <w:r>
        <w:rPr>
          <w:rStyle w:val="Znakapoznpodarou"/>
        </w:rPr>
        <w:footnoteRef/>
      </w:r>
      <w:r>
        <w:t xml:space="preserve"> „</w:t>
      </w:r>
      <w:r w:rsidRPr="004A0F26">
        <w:t>Praeterea, hoc quinto sic arguitur ratione Commentatoris, qui vult quod intellectus agens sit separatus a nobis dicens: si intellectus agens nob</w:t>
      </w:r>
      <w:r>
        <w:t xml:space="preserve">is coniunctus </w:t>
      </w:r>
      <w:r w:rsidRPr="004A0F26">
        <w:t xml:space="preserve">esset, tunc ipse esset individuus, et si esset individuus, tunc ipse non posset causare universalitatem in rebus; et quia intellectus agens causat universalitatem in rebus, ergo intellectus agens est separatus a nobis. In oppositum est </w:t>
      </w:r>
      <w:r>
        <w:t>Aristoteles in littera, dicens...“ (</w:t>
      </w:r>
      <w:r>
        <w:rPr>
          <w:i/>
        </w:rPr>
        <w:t xml:space="preserve">Quaestiones </w:t>
      </w:r>
      <w:r>
        <w:rPr>
          <w:lang w:val="cs-CZ"/>
        </w:rPr>
        <w:t>3.</w:t>
      </w:r>
      <w:r>
        <w:t>12</w:t>
      </w:r>
      <w:r>
        <w:rPr>
          <w:lang w:val="cs-CZ"/>
        </w:rPr>
        <w:t>;</w:t>
      </w:r>
      <w:r>
        <w:t xml:space="preserve"> ed. Bazán, p. 489.33‒38</w:t>
      </w:r>
      <w:r>
        <w:fldChar w:fldCharType="begin"/>
      </w:r>
      <w:r>
        <w:instrText xml:space="preserve"> XE "</w:instrText>
      </w:r>
      <w:r w:rsidRPr="00076C06">
        <w:rPr>
          <w:i/>
        </w:rPr>
        <w:instrText>Anonym Bazán</w:instrText>
      </w:r>
      <w:r>
        <w:instrText xml:space="preserve"> 4</w:instrText>
      </w:r>
      <w:r>
        <w:rPr>
          <w:lang w:val="cs-CZ"/>
        </w:rPr>
        <w:instrText>89</w:instrText>
      </w:r>
      <w:r>
        <w:instrText>.</w:instrText>
      </w:r>
      <w:r>
        <w:rPr>
          <w:lang w:val="cs-CZ"/>
        </w:rPr>
        <w:instrText>33</w:instrText>
      </w:r>
      <w:r>
        <w:instrText>‒</w:instrText>
      </w:r>
      <w:r>
        <w:rPr>
          <w:lang w:val="cs-CZ"/>
        </w:rPr>
        <w:instrText>38</w:instrText>
      </w:r>
      <w:r>
        <w:instrText xml:space="preserve">" </w:instrText>
      </w:r>
      <w:r>
        <w:fldChar w:fldCharType="end"/>
      </w:r>
      <w:r>
        <w:t>)</w:t>
      </w:r>
    </w:p>
  </w:footnote>
  <w:footnote w:id="188">
    <w:p w:rsidR="00971E82" w:rsidRPr="009A20CC" w:rsidRDefault="00971E82" w:rsidP="00495A85">
      <w:pPr>
        <w:pStyle w:val="Textpoznpodarou"/>
      </w:pPr>
      <w:r>
        <w:rPr>
          <w:rStyle w:val="Znakapoznpodarou"/>
        </w:rPr>
        <w:footnoteRef/>
      </w:r>
      <w:r>
        <w:t xml:space="preserve"> Monografiie Spettmanna (</w:t>
      </w:r>
      <w:r w:rsidRPr="003345C4">
        <w:rPr>
          <w:i/>
        </w:rPr>
        <w:t>Die Psychologie des Johannes Pecham</w:t>
      </w:r>
      <w:r>
        <w:t>, 1919) jasně rozlišuje rozdílné pozice v otázce jednoty osoby, duše a inte</w:t>
      </w:r>
      <w:r>
        <w:rPr>
          <w:lang w:val="cs-CZ"/>
        </w:rPr>
        <w:t>le</w:t>
      </w:r>
      <w:r>
        <w:t xml:space="preserve">ktu mezi aristoteliky a avicennisty, i mezi Akvinským a Sigerem, který </w:t>
      </w:r>
      <w:r>
        <w:rPr>
          <w:lang w:val="cs-CZ"/>
        </w:rPr>
        <w:t xml:space="preserve">i v této přesné studii </w:t>
      </w:r>
      <w:r>
        <w:t>z</w:t>
      </w:r>
      <w:r>
        <w:rPr>
          <w:lang w:val="cs-CZ"/>
        </w:rPr>
        <w:t>ů</w:t>
      </w:r>
      <w:r>
        <w:t>stá</w:t>
      </w:r>
      <w:r>
        <w:rPr>
          <w:lang w:val="cs-CZ"/>
        </w:rPr>
        <w:t>v</w:t>
      </w:r>
      <w:r>
        <w:t xml:space="preserve">á averroistou. K jednostrannostem Kilwardbyho na Oxfordu, který podle vlastních slov </w:t>
      </w:r>
      <w:r>
        <w:rPr>
          <w:lang w:val="cs-CZ"/>
        </w:rPr>
        <w:t xml:space="preserve">nikdy </w:t>
      </w:r>
      <w:r>
        <w:t xml:space="preserve">nepochopil argument o jednotě substanciální formy v člověku, viz např. </w:t>
      </w:r>
      <w:r>
        <w:rPr>
          <w:rStyle w:val="addmd"/>
        </w:rPr>
        <w:t xml:space="preserve">Larsen 2011, 30‒38. </w:t>
      </w:r>
    </w:p>
  </w:footnote>
  <w:footnote w:id="189">
    <w:p w:rsidR="00971E82" w:rsidRPr="08683E6E" w:rsidRDefault="00971E82" w:rsidP="08163013">
      <w:pPr>
        <w:pStyle w:val="Textpoznpodarou"/>
      </w:pPr>
      <w:r>
        <w:rPr>
          <w:rStyle w:val="Znakapoznpodarou"/>
        </w:rPr>
        <w:footnoteRef/>
      </w:r>
      <w:r>
        <w:t xml:space="preserve"> </w:t>
      </w:r>
      <w:r w:rsidRPr="00A770BE">
        <w:t xml:space="preserve">„Ad aliud dico quod non est simile, quia intellectus movetur ab intelligilibus; intelligilia autem, </w:t>
      </w:r>
      <w:r w:rsidRPr="00A770BE">
        <w:rPr>
          <w:rFonts w:eastAsia="Century Schoolbook"/>
        </w:rPr>
        <w:t xml:space="preserve">secundum quod </w:t>
      </w:r>
      <w:r w:rsidRPr="00A770BE">
        <w:t>intelligilia,</w:t>
      </w:r>
      <w:r w:rsidRPr="00A770BE">
        <w:rPr>
          <w:rFonts w:eastAsia="Century Schoolbook"/>
        </w:rPr>
        <w:t xml:space="preserve"> </w:t>
      </w:r>
      <w:r w:rsidRPr="00A770BE">
        <w:rPr>
          <w:rFonts w:eastAsia="Constantia"/>
        </w:rPr>
        <w:t xml:space="preserve">non </w:t>
      </w:r>
      <w:r w:rsidRPr="00A770BE">
        <w:rPr>
          <w:rFonts w:eastAsia="Century Schoolbook"/>
        </w:rPr>
        <w:t>su</w:t>
      </w:r>
      <w:r w:rsidRPr="00A770BE">
        <w:t xml:space="preserve">nt </w:t>
      </w:r>
      <w:r w:rsidRPr="00A770BE">
        <w:rPr>
          <w:rFonts w:eastAsia="Century Schoolbook"/>
        </w:rPr>
        <w:t>entia in actu, ut universalia, sed in potentia tantum; quare universalia</w:t>
      </w:r>
      <w:r w:rsidRPr="00A770BE">
        <w:t xml:space="preserve"> </w:t>
      </w:r>
      <w:r w:rsidRPr="00A770BE">
        <w:rPr>
          <w:rFonts w:eastAsia="Times"/>
        </w:rPr>
        <w:t>se</w:t>
      </w:r>
      <w:r w:rsidRPr="00A770BE">
        <w:rPr>
          <w:rFonts w:eastAsia="Century Schoolbook"/>
        </w:rPr>
        <w:t>cundum</w:t>
      </w:r>
      <w:r w:rsidRPr="00A770BE">
        <w:t xml:space="preserve"> quod sunt in rerum natura, non </w:t>
      </w:r>
      <w:r w:rsidRPr="00A770BE">
        <w:rPr>
          <w:rFonts w:eastAsia="Century Schoolbook"/>
        </w:rPr>
        <w:t>possunt</w:t>
      </w:r>
      <w:r w:rsidRPr="00A770BE">
        <w:t xml:space="preserve"> agere intellectum possibilem in actu; ideo, ut educatur de potentia ad actum, exigitur </w:t>
      </w:r>
      <w:r w:rsidRPr="00A770BE">
        <w:rPr>
          <w:rFonts w:eastAsia="Times"/>
        </w:rPr>
        <w:t>aliquid in actu, cui</w:t>
      </w:r>
      <w:r w:rsidRPr="00A770BE">
        <w:t>smodi est intellectus</w:t>
      </w:r>
      <w:r w:rsidRPr="00A770BE">
        <w:rPr>
          <w:rFonts w:eastAsia="Century Schoolbook"/>
        </w:rPr>
        <w:t xml:space="preserve"> agens</w:t>
      </w:r>
      <w:r w:rsidRPr="00A770BE">
        <w:t>.“ (O 2.18, p. 226.57‒64</w:t>
      </w:r>
      <w:r w:rsidRPr="00A770BE">
        <w:fldChar w:fldCharType="begin"/>
      </w:r>
      <w:r w:rsidRPr="00A770BE">
        <w:instrText xml:space="preserve"> XE "Oxfordský Anonym 226.57‒64" </w:instrText>
      </w:r>
      <w:r w:rsidRPr="00A770BE">
        <w:fldChar w:fldCharType="end"/>
      </w:r>
      <w:r w:rsidRPr="00A770BE">
        <w:t>)</w:t>
      </w:r>
    </w:p>
  </w:footnote>
  <w:footnote w:id="190">
    <w:p w:rsidR="00971E82" w:rsidRPr="00705483" w:rsidRDefault="00971E82" w:rsidP="08163013">
      <w:pPr>
        <w:pStyle w:val="Textpoznpodarou"/>
      </w:pPr>
      <w:r>
        <w:rPr>
          <w:rStyle w:val="Znakapoznpodarou"/>
        </w:rPr>
        <w:footnoteRef/>
      </w:r>
      <w:r>
        <w:t xml:space="preserve"> „At vero quando intellectus se convertit supra ipsum esse essentiae et videt quod illud sit commune multis, tunc dicit quod illud esse sit quid universale. Ideo cognitio essentiae est intentio prima. Dico 'prima' quia est obiectum intellectus secundum lationem primam. Cognitio autem universalis est intentio secunda. Dico 'secunda' quia est obiectum intellectus non secundum lationem primam, sed prout reflectit se supra illud quod cognovit et nunc videt esse commune multis.“ (</w:t>
      </w:r>
      <w:r w:rsidRPr="00D6543B">
        <w:rPr>
          <w:i/>
        </w:rPr>
        <w:t>Quodlibet</w:t>
      </w:r>
      <w:r>
        <w:t xml:space="preserve"> II, q. 6; ed. De Conninc, p. 62b‒63a</w:t>
      </w:r>
      <w:r>
        <w:fldChar w:fldCharType="begin"/>
      </w:r>
      <w:r>
        <w:instrText xml:space="preserve"> XE "</w:instrText>
      </w:r>
      <w:r>
        <w:rPr>
          <w:lang w:val="cs-CZ"/>
        </w:rPr>
        <w:instrText>Aegidius Romanus:</w:instrText>
      </w:r>
      <w:r w:rsidRPr="00A9538B">
        <w:rPr>
          <w:i/>
        </w:rPr>
        <w:instrText>Quodlibet</w:instrText>
      </w:r>
      <w:r w:rsidRPr="00A9538B">
        <w:instrText xml:space="preserve"> II</w:instrText>
      </w:r>
      <w:r>
        <w:instrText xml:space="preserve"> 62b‒</w:instrText>
      </w:r>
      <w:r w:rsidRPr="00A9538B">
        <w:instrText>63a</w:instrText>
      </w:r>
      <w:r>
        <w:instrText xml:space="preserve">" </w:instrText>
      </w:r>
      <w:r>
        <w:fldChar w:fldCharType="end"/>
      </w:r>
      <w:r>
        <w:t>)</w:t>
      </w:r>
    </w:p>
  </w:footnote>
  <w:footnote w:id="191">
    <w:p w:rsidR="00971E82" w:rsidRPr="00000410" w:rsidRDefault="00971E82" w:rsidP="08163013">
      <w:pPr>
        <w:pStyle w:val="Textpoznpodarou"/>
        <w:rPr>
          <w:lang w:val="cs-CZ"/>
        </w:rPr>
      </w:pPr>
      <w:r>
        <w:rPr>
          <w:rStyle w:val="Znakapoznpodarou"/>
        </w:rPr>
        <w:footnoteRef/>
      </w:r>
      <w:r>
        <w:t xml:space="preserve"> Rehabilitaci Sigera jako prvního intelektuála Západu a povoláním filosofa provedli R. Imbach</w:t>
      </w:r>
      <w:r>
        <w:fldChar w:fldCharType="begin"/>
      </w:r>
      <w:r>
        <w:instrText xml:space="preserve"> XE "</w:instrText>
      </w:r>
      <w:r w:rsidRPr="089F7BC1">
        <w:instrText>Imbach, R.</w:instrText>
      </w:r>
      <w:r>
        <w:instrText xml:space="preserve">" </w:instrText>
      </w:r>
      <w:r>
        <w:fldChar w:fldCharType="end"/>
      </w:r>
      <w:r>
        <w:t xml:space="preserve"> a F.-X. Putallaz</w:t>
      </w:r>
      <w:r>
        <w:fldChar w:fldCharType="begin"/>
      </w:r>
      <w:r>
        <w:instrText xml:space="preserve"> XE "</w:instrText>
      </w:r>
      <w:r w:rsidRPr="084B4B20">
        <w:instrText>Putallaz, F.-X.</w:instrText>
      </w:r>
      <w:r>
        <w:instrText xml:space="preserve">" </w:instrText>
      </w:r>
      <w:r>
        <w:fldChar w:fldCharType="end"/>
      </w:r>
      <w:r>
        <w:t xml:space="preserve"> (</w:t>
      </w:r>
      <w:r>
        <w:rPr>
          <w:rStyle w:val="a-size-large"/>
          <w:rFonts w:eastAsia="Arial"/>
          <w:i/>
        </w:rPr>
        <w:t xml:space="preserve">Profession: </w:t>
      </w:r>
      <w:r w:rsidRPr="007B42B9">
        <w:rPr>
          <w:rStyle w:val="a-size-large"/>
          <w:rFonts w:eastAsia="Arial"/>
          <w:i/>
        </w:rPr>
        <w:t>philosophe</w:t>
      </w:r>
      <w:r>
        <w:rPr>
          <w:rStyle w:val="a-size-large"/>
          <w:rFonts w:eastAsia="Arial"/>
          <w:i/>
        </w:rPr>
        <w:t xml:space="preserve">. </w:t>
      </w:r>
      <w:r w:rsidRPr="007B42B9">
        <w:rPr>
          <w:rStyle w:val="a-size-large"/>
          <w:rFonts w:eastAsia="Arial"/>
          <w:i/>
        </w:rPr>
        <w:t>Siger de Brabant</w:t>
      </w:r>
      <w:r>
        <w:rPr>
          <w:rStyle w:val="a-size-large"/>
          <w:rFonts w:eastAsia="Arial"/>
          <w:lang w:val="cs-CZ"/>
        </w:rPr>
        <w:t xml:space="preserve">, </w:t>
      </w:r>
      <w:r>
        <w:rPr>
          <w:rStyle w:val="a-size-large"/>
          <w:rFonts w:eastAsia="Arial"/>
        </w:rPr>
        <w:t>1977</w:t>
      </w:r>
      <w:r>
        <w:t>). Alain de  Libera</w:t>
      </w:r>
      <w:r>
        <w:fldChar w:fldCharType="begin"/>
      </w:r>
      <w:r>
        <w:instrText xml:space="preserve"> XE "</w:instrText>
      </w:r>
      <w:r w:rsidRPr="00E90EF0">
        <w:instrText>Libera, A.</w:instrText>
      </w:r>
      <w:r>
        <w:instrText xml:space="preserve">" </w:instrText>
      </w:r>
      <w:r>
        <w:fldChar w:fldCharType="end"/>
      </w:r>
      <w:r>
        <w:t xml:space="preserve"> </w:t>
      </w:r>
      <w:r>
        <w:rPr>
          <w:lang w:val="cs-CZ"/>
        </w:rPr>
        <w:t xml:space="preserve">pokračoval </w:t>
      </w:r>
      <w:r>
        <w:t xml:space="preserve">rozborem problematických částí dekretu 1277 v modelu </w:t>
      </w:r>
      <w:r>
        <w:rPr>
          <w:lang w:val="cs-CZ"/>
        </w:rPr>
        <w:t>„</w:t>
      </w:r>
      <w:r w:rsidRPr="08644A81">
        <w:rPr>
          <w:i/>
        </w:rPr>
        <w:t>système du sexe</w:t>
      </w:r>
      <w:r>
        <w:rPr>
          <w:lang w:val="cs-CZ"/>
        </w:rPr>
        <w:t xml:space="preserve">“ </w:t>
      </w:r>
      <w:r>
        <w:t xml:space="preserve">(Libera 1991, 181−245) a </w:t>
      </w:r>
      <w:r>
        <w:rPr>
          <w:lang w:val="cs-CZ"/>
        </w:rPr>
        <w:t>vypracoval rozbor tzv. „</w:t>
      </w:r>
      <w:r w:rsidRPr="08644A81">
        <w:rPr>
          <w:i/>
        </w:rPr>
        <w:t>averroïsme éthique</w:t>
      </w:r>
      <w:r>
        <w:rPr>
          <w:lang w:val="cs-CZ"/>
        </w:rPr>
        <w:t>“</w:t>
      </w:r>
      <w:r>
        <w:t xml:space="preserve"> (Libera 1994).</w:t>
      </w:r>
      <w:r>
        <w:rPr>
          <w:lang w:val="cs-CZ"/>
        </w:rPr>
        <w:t xml:space="preserve"> </w:t>
      </w:r>
    </w:p>
  </w:footnote>
  <w:footnote w:id="192">
    <w:p w:rsidR="00971E82" w:rsidRPr="009B2F5E" w:rsidRDefault="00971E82" w:rsidP="08163013">
      <w:pPr>
        <w:pStyle w:val="Textpoznpodarou"/>
        <w:rPr>
          <w:lang w:val="cs-CZ"/>
        </w:rPr>
      </w:pPr>
      <w:r>
        <w:rPr>
          <w:rStyle w:val="Znakapoznpodarou"/>
        </w:rPr>
        <w:footnoteRef/>
      </w:r>
      <w:r>
        <w:rPr>
          <w:lang w:val="cs-CZ"/>
        </w:rPr>
        <w:t xml:space="preserve"> </w:t>
      </w:r>
      <w:r w:rsidRPr="009B2F5E">
        <w:t>„Essa è la luce etterna di Sigieri, / che, leggendo nel Vico de li Stra</w:t>
      </w:r>
      <w:r>
        <w:t>mi, / silogizzò invidïosi veri.</w:t>
      </w:r>
      <w:r>
        <w:rPr>
          <w:lang w:val="cs-CZ"/>
        </w:rPr>
        <w:t>“</w:t>
      </w:r>
      <w:r w:rsidRPr="009B2F5E">
        <w:t xml:space="preserve"> (</w:t>
      </w:r>
      <w:r w:rsidRPr="009B2F5E">
        <w:rPr>
          <w:i/>
        </w:rPr>
        <w:t>Paradiso</w:t>
      </w:r>
      <w:r w:rsidRPr="009B2F5E">
        <w:t xml:space="preserve"> 10.136–</w:t>
      </w:r>
      <w:r>
        <w:rPr>
          <w:lang w:val="cs-CZ"/>
        </w:rPr>
        <w:t>3</w:t>
      </w:r>
      <w:r w:rsidRPr="009B2F5E">
        <w:t>8</w:t>
      </w:r>
      <w:r>
        <w:fldChar w:fldCharType="begin"/>
      </w:r>
      <w:r>
        <w:instrText xml:space="preserve"> XE "Dante:</w:instrText>
      </w:r>
      <w:r w:rsidRPr="00C97461">
        <w:rPr>
          <w:i/>
        </w:rPr>
        <w:instrText>Paradiso</w:instrText>
      </w:r>
      <w:r w:rsidRPr="00C97461">
        <w:instrText xml:space="preserve"> 10</w:instrText>
      </w:r>
      <w:r>
        <w:instrText>.</w:instrText>
      </w:r>
      <w:r>
        <w:rPr>
          <w:lang w:val="cs-CZ"/>
        </w:rPr>
        <w:instrText>136</w:instrText>
      </w:r>
      <w:r>
        <w:instrText>‒</w:instrText>
      </w:r>
      <w:r>
        <w:rPr>
          <w:lang w:val="cs-CZ"/>
        </w:rPr>
        <w:instrText>38</w:instrText>
      </w:r>
      <w:r>
        <w:instrText xml:space="preserve">" </w:instrText>
      </w:r>
      <w:r>
        <w:fldChar w:fldCharType="end"/>
      </w:r>
      <w:r w:rsidRPr="009B2F5E">
        <w:t>)</w:t>
      </w:r>
    </w:p>
  </w:footnote>
  <w:footnote w:id="193">
    <w:p w:rsidR="00971E82" w:rsidRPr="08637CFC" w:rsidRDefault="00971E82" w:rsidP="007E775C">
      <w:pPr>
        <w:pStyle w:val="Textpoznpodarou"/>
        <w:rPr>
          <w:lang w:val="cs-CZ"/>
        </w:rPr>
      </w:pPr>
      <w:r>
        <w:rPr>
          <w:rStyle w:val="Znakapoznpodarou"/>
        </w:rPr>
        <w:footnoteRef/>
      </w:r>
      <w:r>
        <w:t xml:space="preserve"> </w:t>
      </w:r>
      <w:r>
        <w:rPr>
          <w:lang w:val="cs-CZ"/>
        </w:rPr>
        <w:t>Citace Arendtové „</w:t>
      </w:r>
      <w:r w:rsidRPr="087452C0">
        <w:rPr>
          <w:i/>
          <w:lang w:val="cs-CZ"/>
        </w:rPr>
        <w:t>n</w:t>
      </w:r>
      <w:r w:rsidRPr="087452C0">
        <w:rPr>
          <w:i/>
        </w:rPr>
        <w:t>otre héritage n’est précédé d’aucun testament</w:t>
      </w:r>
      <w:r>
        <w:rPr>
          <w:lang w:val="cs-CZ"/>
        </w:rPr>
        <w:t>“ v úvodu esejů o modernitě (</w:t>
      </w:r>
      <w:r w:rsidRPr="08D92A9A">
        <w:rPr>
          <w:i/>
          <w:lang w:val="cs-CZ"/>
        </w:rPr>
        <w:t>Between</w:t>
      </w:r>
      <w:r>
        <w:rPr>
          <w:lang w:val="cs-CZ"/>
        </w:rPr>
        <w:t xml:space="preserve"> </w:t>
      </w:r>
      <w:r w:rsidRPr="08D92A9A">
        <w:rPr>
          <w:i/>
          <w:lang w:val="cs-CZ"/>
        </w:rPr>
        <w:t>Past and Future</w:t>
      </w:r>
      <w:r>
        <w:rPr>
          <w:lang w:val="cs-CZ"/>
        </w:rPr>
        <w:t xml:space="preserve">) je vzata ze sbírky </w:t>
      </w:r>
      <w:r w:rsidRPr="08637CFC">
        <w:rPr>
          <w:bCs/>
          <w:i/>
          <w:iCs/>
        </w:rPr>
        <w:t xml:space="preserve">Feuillets </w:t>
      </w:r>
      <w:r w:rsidRPr="007E3A1C">
        <w:rPr>
          <w:bCs/>
          <w:i/>
          <w:iCs/>
        </w:rPr>
        <w:t>d'Hypnos</w:t>
      </w:r>
      <w:r>
        <w:rPr>
          <w:bCs/>
          <w:iCs/>
          <w:lang w:val="cs-CZ"/>
        </w:rPr>
        <w:t xml:space="preserve"> (</w:t>
      </w:r>
      <w:r w:rsidRPr="081349D4">
        <w:t>1946</w:t>
      </w:r>
      <w:r>
        <w:rPr>
          <w:lang w:val="cs-CZ"/>
        </w:rPr>
        <w:t xml:space="preserve">). René Char ji psal v letech </w:t>
      </w:r>
      <w:r>
        <w:t>1943‒44</w:t>
      </w:r>
      <w:r>
        <w:rPr>
          <w:lang w:val="cs-CZ"/>
        </w:rPr>
        <w:t xml:space="preserve">, když bojoval ve francouzské </w:t>
      </w:r>
      <w:r w:rsidRPr="08637CFC">
        <w:rPr>
          <w:i/>
        </w:rPr>
        <w:t>Résistance</w:t>
      </w:r>
      <w:r>
        <w:t xml:space="preserve"> </w:t>
      </w:r>
      <w:r>
        <w:rPr>
          <w:lang w:val="cs-CZ"/>
        </w:rPr>
        <w:t>proti fašismu.</w:t>
      </w:r>
    </w:p>
  </w:footnote>
  <w:footnote w:id="194">
    <w:p w:rsidR="00971E82" w:rsidRPr="00604F85" w:rsidRDefault="00971E82" w:rsidP="08163013">
      <w:pPr>
        <w:pStyle w:val="Textpoznpodarou"/>
        <w:rPr>
          <w:lang w:val="cs-CZ"/>
        </w:rPr>
      </w:pPr>
      <w:r>
        <w:rPr>
          <w:rStyle w:val="Znakapoznpodarou"/>
        </w:rPr>
        <w:footnoteRef/>
      </w:r>
      <w:r>
        <w:t xml:space="preserve"> </w:t>
      </w:r>
      <w:r w:rsidRPr="00273106">
        <w:rPr>
          <w:noProof/>
        </w:rPr>
        <w:t>„</w:t>
      </w:r>
      <w:r>
        <w:rPr>
          <w:noProof/>
          <w:lang w:val="cs-CZ"/>
        </w:rPr>
        <w:t>Dicendum enim quod i</w:t>
      </w:r>
      <w:r w:rsidRPr="00273106">
        <w:rPr>
          <w:noProof/>
        </w:rPr>
        <w:t>ntellectivum non radicatur in eadem anima simplici cum vegetativo et sensitivo, sicut vegetativum et sensitivum radicantur in eadem simplici, sed radicatur cum ipsis in eadem anima composita. Unde cum intellectus simplex sit, cum advenit, tum in suo adventu unitur vegetativo et sensitivo, et sic ipsa unita non faciunt animam simplicem, sed compositam.“ (</w:t>
      </w:r>
      <w:r w:rsidRPr="08C63294">
        <w:rPr>
          <w:noProof/>
        </w:rPr>
        <w:t>QIIIDA</w:t>
      </w:r>
      <w:r w:rsidRPr="00273106">
        <w:rPr>
          <w:i/>
          <w:noProof/>
        </w:rPr>
        <w:t xml:space="preserve">, </w:t>
      </w:r>
      <w:r w:rsidRPr="00273106">
        <w:rPr>
          <w:noProof/>
        </w:rPr>
        <w:t>q. 1</w:t>
      </w:r>
      <w:r>
        <w:rPr>
          <w:noProof/>
          <w:lang w:val="cs-CZ"/>
        </w:rPr>
        <w:t>;</w:t>
      </w:r>
      <w:r w:rsidRPr="00273106">
        <w:rPr>
          <w:noProof/>
        </w:rPr>
        <w:t xml:space="preserve"> ed. Bazán, p. 3.58‒64</w:t>
      </w:r>
      <w:r>
        <w:fldChar w:fldCharType="begin"/>
      </w:r>
      <w:r>
        <w:instrText xml:space="preserve"> XE "</w:instrText>
      </w:r>
      <w:r w:rsidRPr="00C40514">
        <w:instrText>Siger:</w:instrText>
      </w:r>
      <w:r>
        <w:rPr>
          <w:i/>
        </w:rPr>
        <w:instrText xml:space="preserve">Quaestiones in tertium </w:instrText>
      </w:r>
      <w:r>
        <w:rPr>
          <w:i/>
          <w:lang w:val="cs-CZ"/>
        </w:rPr>
        <w:instrText>D</w:instrText>
      </w:r>
      <w:r w:rsidRPr="00472F38">
        <w:rPr>
          <w:i/>
        </w:rPr>
        <w:instrText>e anima</w:instrText>
      </w:r>
      <w:r w:rsidRPr="0019480E">
        <w:instrText xml:space="preserve"> </w:instrText>
      </w:r>
      <w:r>
        <w:instrText>3.</w:instrText>
      </w:r>
      <w:r>
        <w:rPr>
          <w:lang w:val="cs-CZ"/>
        </w:rPr>
        <w:instrText>5</w:instrText>
      </w:r>
      <w:r>
        <w:instrText>8‒</w:instrText>
      </w:r>
      <w:r>
        <w:rPr>
          <w:lang w:val="cs-CZ"/>
        </w:rPr>
        <w:instrText>64</w:instrText>
      </w:r>
      <w:r>
        <w:instrText xml:space="preserve">" </w:instrText>
      </w:r>
      <w:r>
        <w:fldChar w:fldCharType="end"/>
      </w:r>
      <w:r w:rsidRPr="00273106">
        <w:rPr>
          <w:noProof/>
        </w:rPr>
        <w:t>)</w:t>
      </w:r>
    </w:p>
  </w:footnote>
  <w:footnote w:id="195">
    <w:p w:rsidR="00971E82" w:rsidRPr="00721E91" w:rsidRDefault="00971E82" w:rsidP="08163013">
      <w:pPr>
        <w:pStyle w:val="Textpoznpodarou"/>
        <w:rPr>
          <w:lang w:val="cs-CZ"/>
        </w:rPr>
      </w:pPr>
      <w:r>
        <w:rPr>
          <w:rStyle w:val="Znakapoznpodarou"/>
        </w:rPr>
        <w:footnoteRef/>
      </w:r>
      <w:r>
        <w:t xml:space="preserve"> </w:t>
      </w:r>
      <w:r w:rsidRPr="00273106">
        <w:rPr>
          <w:noProof/>
        </w:rPr>
        <w:t xml:space="preserve">„Per hoc patet ad illud quod dicit Averroes quod </w:t>
      </w:r>
      <w:r>
        <w:rPr>
          <w:noProof/>
        </w:rPr>
        <w:t>Aristotele</w:t>
      </w:r>
      <w:r w:rsidRPr="00273106">
        <w:rPr>
          <w:noProof/>
        </w:rPr>
        <w:t>s opinatur vegetativum, sensitivum et intellectivum esse unam animam in subiecto. Verum est: unam compositam, non autem unam simplicem.“ (</w:t>
      </w:r>
      <w:r w:rsidRPr="08AC596A">
        <w:rPr>
          <w:noProof/>
        </w:rPr>
        <w:t>QIIIDA</w:t>
      </w:r>
      <w:r w:rsidRPr="00273106">
        <w:rPr>
          <w:i/>
          <w:noProof/>
        </w:rPr>
        <w:t xml:space="preserve">, </w:t>
      </w:r>
      <w:r w:rsidRPr="00273106">
        <w:rPr>
          <w:noProof/>
        </w:rPr>
        <w:t>q. 1</w:t>
      </w:r>
      <w:r>
        <w:rPr>
          <w:noProof/>
          <w:lang w:val="cs-CZ"/>
        </w:rPr>
        <w:t>;</w:t>
      </w:r>
      <w:r w:rsidRPr="00273106">
        <w:rPr>
          <w:noProof/>
        </w:rPr>
        <w:t xml:space="preserve"> ed. Bazán, p. 3.65‒68</w:t>
      </w:r>
      <w:r>
        <w:fldChar w:fldCharType="begin"/>
      </w:r>
      <w:r>
        <w:instrText xml:space="preserve"> XE "</w:instrText>
      </w:r>
      <w:r w:rsidRPr="00C40514">
        <w:instrText>Siger:</w:instrText>
      </w:r>
      <w:r>
        <w:rPr>
          <w:i/>
        </w:rPr>
        <w:instrText xml:space="preserve">Quaestiones in tertium </w:instrText>
      </w:r>
      <w:r>
        <w:rPr>
          <w:i/>
          <w:lang w:val="cs-CZ"/>
        </w:rPr>
        <w:instrText>D</w:instrText>
      </w:r>
      <w:r w:rsidRPr="00472F38">
        <w:rPr>
          <w:i/>
        </w:rPr>
        <w:instrText>e anima</w:instrText>
      </w:r>
      <w:r w:rsidRPr="0019480E">
        <w:instrText xml:space="preserve"> </w:instrText>
      </w:r>
      <w:r>
        <w:instrText>3.</w:instrText>
      </w:r>
      <w:r>
        <w:rPr>
          <w:lang w:val="cs-CZ"/>
        </w:rPr>
        <w:instrText>65</w:instrText>
      </w:r>
      <w:r>
        <w:instrText>‒</w:instrText>
      </w:r>
      <w:r>
        <w:rPr>
          <w:lang w:val="cs-CZ"/>
        </w:rPr>
        <w:instrText>68</w:instrText>
      </w:r>
      <w:r>
        <w:instrText xml:space="preserve">" </w:instrText>
      </w:r>
      <w:r>
        <w:fldChar w:fldCharType="end"/>
      </w:r>
      <w:r w:rsidRPr="00273106">
        <w:rPr>
          <w:noProof/>
        </w:rPr>
        <w:t>)</w:t>
      </w:r>
    </w:p>
  </w:footnote>
  <w:footnote w:id="196">
    <w:p w:rsidR="00971E82" w:rsidRPr="00793078" w:rsidRDefault="00971E82" w:rsidP="08163013">
      <w:pPr>
        <w:pStyle w:val="Textpoznpodarou"/>
        <w:rPr>
          <w:lang w:val="cs-CZ"/>
        </w:rPr>
      </w:pPr>
      <w:r>
        <w:rPr>
          <w:rStyle w:val="Znakapoznpodarou"/>
        </w:rPr>
        <w:footnoteRef/>
      </w:r>
      <w:r>
        <w:t xml:space="preserve"> </w:t>
      </w:r>
      <w:r w:rsidRPr="00273106">
        <w:rPr>
          <w:noProof/>
        </w:rPr>
        <w:t>„</w:t>
      </w:r>
      <w:r>
        <w:rPr>
          <w:noProof/>
          <w:lang w:val="cs-CZ"/>
        </w:rPr>
        <w:t>(...) i</w:t>
      </w:r>
      <w:r w:rsidRPr="00273106">
        <w:rPr>
          <w:noProof/>
        </w:rPr>
        <w:t>ntellectus enim, qui Primum Agens, est in fine bonitatis et simplicitatis et perfectionis. Intellectus autem noster non est in fine bonitatis, simplicitatis et perfectionis cum sit ei admixta potentia. Est intellectus noster potentia unumquodque intelligibilium et etiam intelligit cum phantasmate.“ (</w:t>
      </w:r>
      <w:r w:rsidRPr="08810334">
        <w:rPr>
          <w:noProof/>
        </w:rPr>
        <w:t>QIIIDA</w:t>
      </w:r>
      <w:r w:rsidRPr="00273106">
        <w:rPr>
          <w:i/>
          <w:noProof/>
        </w:rPr>
        <w:t xml:space="preserve">, </w:t>
      </w:r>
      <w:r w:rsidRPr="00273106">
        <w:rPr>
          <w:noProof/>
        </w:rPr>
        <w:t>q. 2</w:t>
      </w:r>
      <w:r>
        <w:rPr>
          <w:noProof/>
          <w:lang w:val="cs-CZ"/>
        </w:rPr>
        <w:t>;</w:t>
      </w:r>
      <w:r w:rsidRPr="00273106">
        <w:rPr>
          <w:noProof/>
        </w:rPr>
        <w:t xml:space="preserve"> ed. Bazán, p. 5.36‒41</w:t>
      </w:r>
      <w:r>
        <w:fldChar w:fldCharType="begin"/>
      </w:r>
      <w:r>
        <w:instrText xml:space="preserve"> XE "</w:instrText>
      </w:r>
      <w:r w:rsidRPr="00C40514">
        <w:instrText>Siger:</w:instrText>
      </w:r>
      <w:r>
        <w:rPr>
          <w:i/>
        </w:rPr>
        <w:instrText xml:space="preserve">Quaestiones in tertium </w:instrText>
      </w:r>
      <w:r>
        <w:rPr>
          <w:i/>
          <w:lang w:val="cs-CZ"/>
        </w:rPr>
        <w:instrText>D</w:instrText>
      </w:r>
      <w:r w:rsidRPr="00472F38">
        <w:rPr>
          <w:i/>
        </w:rPr>
        <w:instrText>e anima</w:instrText>
      </w:r>
      <w:r w:rsidRPr="0019480E">
        <w:instrText xml:space="preserve"> </w:instrText>
      </w:r>
      <w:r>
        <w:rPr>
          <w:lang w:val="cs-CZ"/>
        </w:rPr>
        <w:instrText>5</w:instrText>
      </w:r>
      <w:r>
        <w:instrText>.</w:instrText>
      </w:r>
      <w:r>
        <w:rPr>
          <w:lang w:val="cs-CZ"/>
        </w:rPr>
        <w:instrText>36</w:instrText>
      </w:r>
      <w:r>
        <w:instrText>‒</w:instrText>
      </w:r>
      <w:r>
        <w:rPr>
          <w:lang w:val="cs-CZ"/>
        </w:rPr>
        <w:instrText>41</w:instrText>
      </w:r>
      <w:r>
        <w:instrText xml:space="preserve">" </w:instrText>
      </w:r>
      <w:r>
        <w:fldChar w:fldCharType="end"/>
      </w:r>
      <w:r w:rsidRPr="00273106">
        <w:rPr>
          <w:noProof/>
        </w:rPr>
        <w:t>)</w:t>
      </w:r>
    </w:p>
  </w:footnote>
  <w:footnote w:id="197">
    <w:p w:rsidR="00971E82" w:rsidRPr="00262321" w:rsidRDefault="00971E82" w:rsidP="08163013">
      <w:pPr>
        <w:pStyle w:val="Textpoznpodarou"/>
      </w:pPr>
      <w:r>
        <w:rPr>
          <w:rStyle w:val="Znakapoznpodarou"/>
        </w:rPr>
        <w:footnoteRef/>
      </w:r>
      <w:r>
        <w:rPr>
          <w:lang w:val="cs-CZ"/>
        </w:rPr>
        <w:t xml:space="preserve"> </w:t>
      </w:r>
      <w:r>
        <w:t>„</w:t>
      </w:r>
      <w:r w:rsidRPr="00262321">
        <w:t>Propter quod dicitur a Quibusdam qu</w:t>
      </w:r>
      <w:r>
        <w:t>od duplex est materia, intelligibilis et non, scilicet</w:t>
      </w:r>
      <w:r w:rsidRPr="00262321">
        <w:t xml:space="preserve"> </w:t>
      </w:r>
      <w:r>
        <w:t xml:space="preserve"> </w:t>
      </w:r>
      <w:r w:rsidRPr="00262321">
        <w:t xml:space="preserve">materia sensibilis. Sed contra hoc est </w:t>
      </w:r>
      <w:r>
        <w:t>Aristoteles</w:t>
      </w:r>
      <w:r w:rsidRPr="00262321">
        <w:t>. Dicit enim quod materia</w:t>
      </w:r>
      <w:r>
        <w:t xml:space="preserve"> quae est intelligibilis est il</w:t>
      </w:r>
      <w:r>
        <w:rPr>
          <w:lang w:val="cs-CZ"/>
        </w:rPr>
        <w:t>l</w:t>
      </w:r>
      <w:r w:rsidRPr="00262321">
        <w:t>a eadem sensibilis. Unde, licet in mathematicis sit materia sensibilis</w:t>
      </w:r>
      <w:r>
        <w:t xml:space="preserve"> intelligibilis, nihilominus il</w:t>
      </w:r>
      <w:r>
        <w:rPr>
          <w:lang w:val="cs-CZ"/>
        </w:rPr>
        <w:t>l</w:t>
      </w:r>
      <w:r w:rsidRPr="00262321">
        <w:t>a quantum ad suum esse est sensibilis.</w:t>
      </w:r>
      <w:r>
        <w:t>“ (</w:t>
      </w:r>
      <w:r w:rsidRPr="08810334">
        <w:t>QIIIDA</w:t>
      </w:r>
      <w:r>
        <w:rPr>
          <w:i/>
        </w:rPr>
        <w:t xml:space="preserve">, </w:t>
      </w:r>
      <w:r>
        <w:t>q. 6</w:t>
      </w:r>
      <w:r>
        <w:rPr>
          <w:lang w:val="cs-CZ"/>
        </w:rPr>
        <w:t>;</w:t>
      </w:r>
      <w:r>
        <w:t xml:space="preserve"> ed. Bazán, p. 19.</w:t>
      </w:r>
      <w:r>
        <w:rPr>
          <w:lang w:val="cs-CZ"/>
        </w:rPr>
        <w:t>44</w:t>
      </w:r>
      <w:r>
        <w:t>‒</w:t>
      </w:r>
      <w:r>
        <w:rPr>
          <w:lang w:val="cs-CZ"/>
        </w:rPr>
        <w:t>4</w:t>
      </w:r>
      <w:r>
        <w:t>7</w:t>
      </w:r>
      <w:r>
        <w:fldChar w:fldCharType="begin"/>
      </w:r>
      <w:r>
        <w:instrText xml:space="preserve"> XE "</w:instrText>
      </w:r>
      <w:r w:rsidRPr="00C40514">
        <w:instrText>Siger:</w:instrText>
      </w:r>
      <w:r>
        <w:rPr>
          <w:i/>
        </w:rPr>
        <w:instrText xml:space="preserve">Quaestiones in tertium </w:instrText>
      </w:r>
      <w:r>
        <w:rPr>
          <w:i/>
          <w:lang w:val="cs-CZ"/>
        </w:rPr>
        <w:instrText>D</w:instrText>
      </w:r>
      <w:r w:rsidRPr="00472F38">
        <w:rPr>
          <w:i/>
        </w:rPr>
        <w:instrText>e anima</w:instrText>
      </w:r>
      <w:r w:rsidRPr="0019480E">
        <w:instrText xml:space="preserve"> </w:instrText>
      </w:r>
      <w:r>
        <w:rPr>
          <w:lang w:val="cs-CZ"/>
        </w:rPr>
        <w:instrText>19</w:instrText>
      </w:r>
      <w:r>
        <w:instrText>.</w:instrText>
      </w:r>
      <w:r>
        <w:rPr>
          <w:lang w:val="cs-CZ"/>
        </w:rPr>
        <w:instrText>44</w:instrText>
      </w:r>
      <w:r>
        <w:instrText>‒</w:instrText>
      </w:r>
      <w:r>
        <w:rPr>
          <w:lang w:val="cs-CZ"/>
        </w:rPr>
        <w:instrText>47</w:instrText>
      </w:r>
      <w:r>
        <w:instrText xml:space="preserve">" </w:instrText>
      </w:r>
      <w:r>
        <w:fldChar w:fldCharType="end"/>
      </w:r>
      <w:r>
        <w:t xml:space="preserve">) </w:t>
      </w:r>
    </w:p>
  </w:footnote>
  <w:footnote w:id="198">
    <w:p w:rsidR="00971E82" w:rsidRPr="00686A48" w:rsidRDefault="00971E82" w:rsidP="08163013">
      <w:pPr>
        <w:pStyle w:val="Textpoznpodarou"/>
        <w:rPr>
          <w:noProof/>
          <w:lang w:val="cs-CZ"/>
        </w:rPr>
      </w:pPr>
      <w:r>
        <w:rPr>
          <w:rStyle w:val="Znakapoznpodarou"/>
        </w:rPr>
        <w:footnoteRef/>
      </w:r>
      <w:r>
        <w:t xml:space="preserve"> </w:t>
      </w:r>
      <w:r w:rsidRPr="00273106">
        <w:rPr>
          <w:noProof/>
        </w:rPr>
        <w:t>„</w:t>
      </w:r>
      <w:r w:rsidRPr="085A3A77">
        <w:t>Positio ergo Aristotelis et Averrois</w:t>
      </w:r>
      <w:r w:rsidRPr="00273106">
        <w:rPr>
          <w:noProof/>
        </w:rPr>
        <w:t xml:space="preserve"> est quod in quo nulla est transmutatio, in eo nulla est materia secundum ipsos. Et hoc est verum.“ (</w:t>
      </w:r>
      <w:r>
        <w:rPr>
          <w:noProof/>
          <w:lang w:val="cs-CZ"/>
        </w:rPr>
        <w:t>QIIIDA</w:t>
      </w:r>
      <w:r>
        <w:rPr>
          <w:noProof/>
        </w:rPr>
        <w:t>, q. 6</w:t>
      </w:r>
      <w:r>
        <w:rPr>
          <w:noProof/>
          <w:lang w:val="cs-CZ"/>
        </w:rPr>
        <w:t xml:space="preserve">; </w:t>
      </w:r>
      <w:r w:rsidRPr="00273106">
        <w:rPr>
          <w:noProof/>
        </w:rPr>
        <w:t>ed. Bazán, p. 20.77‒79</w:t>
      </w:r>
      <w:r>
        <w:fldChar w:fldCharType="begin"/>
      </w:r>
      <w:r>
        <w:instrText xml:space="preserve"> XE "</w:instrText>
      </w:r>
      <w:r w:rsidRPr="00C40514">
        <w:instrText>Siger:</w:instrText>
      </w:r>
      <w:r>
        <w:rPr>
          <w:i/>
        </w:rPr>
        <w:instrText xml:space="preserve">Quaestiones in tertium </w:instrText>
      </w:r>
      <w:r>
        <w:rPr>
          <w:i/>
          <w:lang w:val="cs-CZ"/>
        </w:rPr>
        <w:instrText>D</w:instrText>
      </w:r>
      <w:r w:rsidRPr="00472F38">
        <w:rPr>
          <w:i/>
        </w:rPr>
        <w:instrText>e anima</w:instrText>
      </w:r>
      <w:r w:rsidRPr="0019480E">
        <w:instrText xml:space="preserve"> </w:instrText>
      </w:r>
      <w:r>
        <w:rPr>
          <w:lang w:val="cs-CZ"/>
        </w:rPr>
        <w:instrText>20</w:instrText>
      </w:r>
      <w:r>
        <w:instrText>.</w:instrText>
      </w:r>
      <w:r>
        <w:rPr>
          <w:lang w:val="cs-CZ"/>
        </w:rPr>
        <w:instrText>77</w:instrText>
      </w:r>
      <w:r>
        <w:instrText>‒</w:instrText>
      </w:r>
      <w:r>
        <w:rPr>
          <w:lang w:val="cs-CZ"/>
        </w:rPr>
        <w:instrText>79</w:instrText>
      </w:r>
      <w:r>
        <w:instrText xml:space="preserve">" </w:instrText>
      </w:r>
      <w:r>
        <w:fldChar w:fldCharType="end"/>
      </w:r>
      <w:r w:rsidRPr="00273106">
        <w:rPr>
          <w:noProof/>
        </w:rPr>
        <w:t>)</w:t>
      </w:r>
    </w:p>
  </w:footnote>
  <w:footnote w:id="199">
    <w:p w:rsidR="00971E82" w:rsidRPr="0075512D" w:rsidRDefault="00971E82" w:rsidP="08163013">
      <w:pPr>
        <w:pStyle w:val="Textpoznpodarou"/>
      </w:pPr>
      <w:r w:rsidRPr="0075512D">
        <w:rPr>
          <w:rStyle w:val="Znakapoznpodarou"/>
        </w:rPr>
        <w:footnoteRef/>
      </w:r>
      <w:r>
        <w:t xml:space="preserve"> „</w:t>
      </w:r>
      <w:r w:rsidRPr="0075512D">
        <w:t xml:space="preserve">Dicit enim </w:t>
      </w:r>
      <w:r>
        <w:t>Aristoteles</w:t>
      </w:r>
      <w:r w:rsidRPr="0075512D">
        <w:t xml:space="preserve"> in principio </w:t>
      </w:r>
      <w:r w:rsidRPr="0075512D">
        <w:rPr>
          <w:i/>
        </w:rPr>
        <w:t>octavi</w:t>
      </w:r>
      <w:r>
        <w:t xml:space="preserve"> </w:t>
      </w:r>
      <w:r w:rsidRPr="0075512D">
        <w:rPr>
          <w:i/>
        </w:rPr>
        <w:t>Physicorum</w:t>
      </w:r>
      <w:r w:rsidRPr="0075512D">
        <w:t xml:space="preserve"> quod omne agens faciens de novo est transmutatum. Si ergo Prima Causa aliquid facit de novo, oportet quod sua voluntas sit nova et quod transmutetur. Sed sua voluntas est sua actio. Oporteret ergo quod sua actio esset nova et transmutaretur, si aliquid faceret de novo. Et propterea, cum hoc sit inconveniens, eo propter hoc ipse dicit mundum esse aeternum.“</w:t>
      </w:r>
      <w:r>
        <w:t xml:space="preserve"> </w:t>
      </w:r>
      <w:r w:rsidRPr="00756965">
        <w:t>(</w:t>
      </w:r>
      <w:r w:rsidRPr="080362F1">
        <w:t>QIIIDA</w:t>
      </w:r>
      <w:r w:rsidRPr="00DD5D2F">
        <w:t xml:space="preserve">, </w:t>
      </w:r>
      <w:r>
        <w:t>q. 2</w:t>
      </w:r>
      <w:r>
        <w:rPr>
          <w:lang w:val="cs-CZ"/>
        </w:rPr>
        <w:t>;</w:t>
      </w:r>
      <w:r>
        <w:t xml:space="preserve"> ed. Bazán, p. 6.55</w:t>
      </w:r>
      <w:r w:rsidRPr="00DD5D2F">
        <w:t>‒</w:t>
      </w:r>
      <w:r>
        <w:t>61</w:t>
      </w:r>
      <w:r>
        <w:fldChar w:fldCharType="begin"/>
      </w:r>
      <w:r>
        <w:instrText xml:space="preserve"> XE "</w:instrText>
      </w:r>
      <w:r w:rsidRPr="00C40514">
        <w:instrText>Siger:</w:instrText>
      </w:r>
      <w:r>
        <w:rPr>
          <w:i/>
        </w:rPr>
        <w:instrText xml:space="preserve">Quaestiones in tertium </w:instrText>
      </w:r>
      <w:r>
        <w:rPr>
          <w:i/>
          <w:lang w:val="cs-CZ"/>
        </w:rPr>
        <w:instrText>D</w:instrText>
      </w:r>
      <w:r w:rsidRPr="00472F38">
        <w:rPr>
          <w:i/>
        </w:rPr>
        <w:instrText>e anima</w:instrText>
      </w:r>
      <w:r w:rsidRPr="0019480E">
        <w:instrText xml:space="preserve"> </w:instrText>
      </w:r>
      <w:r>
        <w:rPr>
          <w:lang w:val="cs-CZ"/>
        </w:rPr>
        <w:instrText>6</w:instrText>
      </w:r>
      <w:r>
        <w:instrText>.</w:instrText>
      </w:r>
      <w:r>
        <w:rPr>
          <w:lang w:val="cs-CZ"/>
        </w:rPr>
        <w:instrText>55</w:instrText>
      </w:r>
      <w:r>
        <w:instrText>‒</w:instrText>
      </w:r>
      <w:r>
        <w:rPr>
          <w:lang w:val="cs-CZ"/>
        </w:rPr>
        <w:instrText>61</w:instrText>
      </w:r>
      <w:r>
        <w:instrText xml:space="preserve">" </w:instrText>
      </w:r>
      <w:r>
        <w:fldChar w:fldCharType="end"/>
      </w:r>
      <w:r w:rsidRPr="00756965">
        <w:t>)</w:t>
      </w:r>
    </w:p>
  </w:footnote>
  <w:footnote w:id="200">
    <w:p w:rsidR="00971E82" w:rsidRPr="0024542C" w:rsidRDefault="00971E82" w:rsidP="08163013">
      <w:pPr>
        <w:pStyle w:val="Textpoznpodarou"/>
      </w:pPr>
      <w:r>
        <w:rPr>
          <w:rStyle w:val="Znakapoznpodarou"/>
        </w:rPr>
        <w:footnoteRef/>
      </w:r>
      <w:r>
        <w:t xml:space="preserve"> „</w:t>
      </w:r>
      <w:r w:rsidRPr="0024542C">
        <w:t>Transmutatio enim omnis est de opposito in oppositum, quae non possunt simul esse. Omnis ergo transmutatio est in tempore, ex quo opposita, inter quae est transmutatio, non possunt esse simul.</w:t>
      </w:r>
      <w:r>
        <w:t xml:space="preserve">“ </w:t>
      </w:r>
      <w:r w:rsidRPr="00756965">
        <w:t>(</w:t>
      </w:r>
      <w:r w:rsidRPr="080362F1">
        <w:t>QIIIDA</w:t>
      </w:r>
      <w:r w:rsidRPr="00DD5D2F">
        <w:t xml:space="preserve">, </w:t>
      </w:r>
      <w:r>
        <w:t>q. 3</w:t>
      </w:r>
      <w:r>
        <w:rPr>
          <w:lang w:val="cs-CZ"/>
        </w:rPr>
        <w:t>;</w:t>
      </w:r>
      <w:r>
        <w:t xml:space="preserve"> ed. Bazán, p. 9.23</w:t>
      </w:r>
      <w:r w:rsidRPr="00DD5D2F">
        <w:t>‒</w:t>
      </w:r>
      <w:r>
        <w:t>26</w:t>
      </w:r>
      <w:r>
        <w:fldChar w:fldCharType="begin"/>
      </w:r>
      <w:r>
        <w:instrText xml:space="preserve"> XE "</w:instrText>
      </w:r>
      <w:r w:rsidRPr="00C40514">
        <w:instrText>Siger:</w:instrText>
      </w:r>
      <w:r>
        <w:rPr>
          <w:i/>
        </w:rPr>
        <w:instrText xml:space="preserve">Quaestiones in tertium </w:instrText>
      </w:r>
      <w:r>
        <w:rPr>
          <w:i/>
          <w:lang w:val="cs-CZ"/>
        </w:rPr>
        <w:instrText>D</w:instrText>
      </w:r>
      <w:r w:rsidRPr="00472F38">
        <w:rPr>
          <w:i/>
        </w:rPr>
        <w:instrText>e anima</w:instrText>
      </w:r>
      <w:r w:rsidRPr="0019480E">
        <w:instrText xml:space="preserve"> </w:instrText>
      </w:r>
      <w:r>
        <w:rPr>
          <w:lang w:val="cs-CZ"/>
        </w:rPr>
        <w:instrText>9</w:instrText>
      </w:r>
      <w:r>
        <w:instrText>.</w:instrText>
      </w:r>
      <w:r>
        <w:rPr>
          <w:lang w:val="cs-CZ"/>
        </w:rPr>
        <w:instrText>23</w:instrText>
      </w:r>
      <w:r>
        <w:instrText>‒</w:instrText>
      </w:r>
      <w:r>
        <w:rPr>
          <w:lang w:val="cs-CZ"/>
        </w:rPr>
        <w:instrText>26</w:instrText>
      </w:r>
      <w:r>
        <w:instrText xml:space="preserve">" </w:instrText>
      </w:r>
      <w:r>
        <w:fldChar w:fldCharType="end"/>
      </w:r>
      <w:r w:rsidRPr="00756965">
        <w:t>)</w:t>
      </w:r>
    </w:p>
  </w:footnote>
  <w:footnote w:id="201">
    <w:p w:rsidR="00971E82" w:rsidRPr="00956A95" w:rsidRDefault="00971E82" w:rsidP="08163013">
      <w:pPr>
        <w:pStyle w:val="Textpoznpodarou"/>
        <w:rPr>
          <w:lang w:val="cs-CZ"/>
        </w:rPr>
      </w:pPr>
      <w:r>
        <w:rPr>
          <w:rStyle w:val="Znakapoznpodarou"/>
        </w:rPr>
        <w:footnoteRef/>
      </w:r>
      <w:r>
        <w:t xml:space="preserve"> „</w:t>
      </w:r>
      <w:r>
        <w:rPr>
          <w:lang w:val="cs-CZ"/>
        </w:rPr>
        <w:t>Hoc autem non ostedunt, sed unum falsum supponunt: quod s</w:t>
      </w:r>
      <w:r>
        <w:t>pecies humana non possit esse facta sempiterna a Deo nisi facta sit in aliquo individuo determinato et aeterno, sicut species caeli facta est aeterna.“ (</w:t>
      </w:r>
      <w:r w:rsidRPr="0066169A">
        <w:rPr>
          <w:i/>
        </w:rPr>
        <w:t>De aeternitate mundi</w:t>
      </w:r>
      <w:r>
        <w:t xml:space="preserve"> </w:t>
      </w:r>
      <w:r>
        <w:rPr>
          <w:lang w:val="cs-CZ"/>
        </w:rPr>
        <w:t>2;</w:t>
      </w:r>
      <w:r>
        <w:t xml:space="preserve"> ed. Bazán, p. 120.5</w:t>
      </w:r>
      <w:r>
        <w:rPr>
          <w:lang w:val="cs-CZ"/>
        </w:rPr>
        <w:t>2</w:t>
      </w:r>
      <w:r>
        <w:t>‒55</w:t>
      </w:r>
      <w:r>
        <w:fldChar w:fldCharType="begin"/>
      </w:r>
      <w:r>
        <w:instrText xml:space="preserve"> XE Siger:</w:instrText>
      </w:r>
      <w:r>
        <w:rPr>
          <w:i/>
        </w:rPr>
        <w:instrText>De</w:instrText>
      </w:r>
      <w:r>
        <w:rPr>
          <w:i/>
          <w:lang w:val="cs-CZ"/>
        </w:rPr>
        <w:instrText xml:space="preserve"> </w:instrText>
      </w:r>
      <w:r w:rsidRPr="0066169A">
        <w:rPr>
          <w:i/>
        </w:rPr>
        <w:instrText>aeternitate mundi</w:instrText>
      </w:r>
      <w:r w:rsidRPr="00D33583">
        <w:instrText xml:space="preserve"> </w:instrText>
      </w:r>
      <w:r>
        <w:instrText>120.</w:instrText>
      </w:r>
      <w:r>
        <w:rPr>
          <w:lang w:val="cs-CZ"/>
        </w:rPr>
        <w:instrText>52‒55</w:instrText>
      </w:r>
      <w:r>
        <w:instrText xml:space="preserve">" </w:instrText>
      </w:r>
      <w:r>
        <w:fldChar w:fldCharType="end"/>
      </w:r>
      <w:r>
        <w:t>)</w:t>
      </w:r>
    </w:p>
  </w:footnote>
  <w:footnote w:id="202">
    <w:p w:rsidR="00971E82" w:rsidRPr="00BC71AD" w:rsidRDefault="00971E82" w:rsidP="08163013">
      <w:pPr>
        <w:pStyle w:val="Textpoznpodarou"/>
        <w:rPr>
          <w:lang w:val="cs-CZ"/>
        </w:rPr>
      </w:pPr>
      <w:r>
        <w:rPr>
          <w:rStyle w:val="Znakapoznpodarou"/>
        </w:rPr>
        <w:footnoteRef/>
      </w:r>
      <w:r>
        <w:t xml:space="preserve"> </w:t>
      </w:r>
      <w:r w:rsidRPr="00273106">
        <w:rPr>
          <w:noProof/>
          <w:lang w:eastAsia="de-DE"/>
        </w:rPr>
        <w:t xml:space="preserve">„Et </w:t>
      </w:r>
      <w:r w:rsidRPr="00273106">
        <w:rPr>
          <w:noProof/>
        </w:rPr>
        <w:t xml:space="preserve">si </w:t>
      </w:r>
      <w:r>
        <w:rPr>
          <w:noProof/>
        </w:rPr>
        <w:t>[</w:t>
      </w:r>
      <w:r>
        <w:rPr>
          <w:noProof/>
          <w:lang w:val="cs-CZ"/>
        </w:rPr>
        <w:t>Agens Primus</w:t>
      </w:r>
      <w:r>
        <w:rPr>
          <w:noProof/>
        </w:rPr>
        <w:t>]</w:t>
      </w:r>
      <w:r>
        <w:rPr>
          <w:noProof/>
          <w:lang w:val="cs-CZ"/>
        </w:rPr>
        <w:t xml:space="preserve"> </w:t>
      </w:r>
      <w:r w:rsidRPr="00273106">
        <w:rPr>
          <w:noProof/>
        </w:rPr>
        <w:t xml:space="preserve">voluit </w:t>
      </w:r>
      <w:r w:rsidRPr="00273106">
        <w:rPr>
          <w:noProof/>
          <w:lang w:eastAsia="de-DE"/>
        </w:rPr>
        <w:t xml:space="preserve">ab aeterno </w:t>
      </w:r>
      <w:r w:rsidRPr="00273106">
        <w:rPr>
          <w:noProof/>
        </w:rPr>
        <w:t xml:space="preserve">intellectum fieri aeternum, intellectus factus est aeternus, quia aliter volitum suum non fieret secundum formam voluntatis suae. Qui ergo voluerit scire utrum intellectus factus sit </w:t>
      </w:r>
      <w:r w:rsidRPr="00273106">
        <w:rPr>
          <w:noProof/>
          <w:lang w:eastAsia="de-DE"/>
        </w:rPr>
        <w:t xml:space="preserve">de </w:t>
      </w:r>
      <w:r w:rsidRPr="00273106">
        <w:rPr>
          <w:noProof/>
        </w:rPr>
        <w:t xml:space="preserve">novo vel factus sit aeternus, </w:t>
      </w:r>
      <w:r w:rsidRPr="00273106">
        <w:rPr>
          <w:noProof/>
          <w:lang w:eastAsia="de-DE"/>
        </w:rPr>
        <w:t xml:space="preserve">oportet </w:t>
      </w:r>
      <w:r w:rsidRPr="00273106">
        <w:rPr>
          <w:noProof/>
        </w:rPr>
        <w:t>eum investigare formam voluntatis Primi. Sed quis erit qui eam investigabit?“ (</w:t>
      </w:r>
      <w:r w:rsidRPr="08957348">
        <w:rPr>
          <w:noProof/>
        </w:rPr>
        <w:t>QIIIDA</w:t>
      </w:r>
      <w:r>
        <w:rPr>
          <w:noProof/>
        </w:rPr>
        <w:t>, q. 2</w:t>
      </w:r>
      <w:r>
        <w:rPr>
          <w:noProof/>
          <w:lang w:val="cs-CZ"/>
        </w:rPr>
        <w:t>;</w:t>
      </w:r>
      <w:r>
        <w:rPr>
          <w:noProof/>
        </w:rPr>
        <w:t xml:space="preserve"> ed. Bazán, p. 7.70‒75</w:t>
      </w:r>
      <w:r>
        <w:fldChar w:fldCharType="begin"/>
      </w:r>
      <w:r>
        <w:instrText xml:space="preserve"> XE "</w:instrText>
      </w:r>
      <w:r w:rsidRPr="00C40514">
        <w:instrText>Siger:</w:instrText>
      </w:r>
      <w:r>
        <w:rPr>
          <w:i/>
        </w:rPr>
        <w:instrText xml:space="preserve">Quaestiones in tertium </w:instrText>
      </w:r>
      <w:r>
        <w:rPr>
          <w:i/>
          <w:lang w:val="cs-CZ"/>
        </w:rPr>
        <w:instrText>D</w:instrText>
      </w:r>
      <w:r w:rsidRPr="00472F38">
        <w:rPr>
          <w:i/>
        </w:rPr>
        <w:instrText>e anima</w:instrText>
      </w:r>
      <w:r w:rsidRPr="0019480E">
        <w:instrText xml:space="preserve"> </w:instrText>
      </w:r>
      <w:r>
        <w:rPr>
          <w:lang w:val="cs-CZ"/>
        </w:rPr>
        <w:instrText>7</w:instrText>
      </w:r>
      <w:r>
        <w:instrText>.</w:instrText>
      </w:r>
      <w:r>
        <w:rPr>
          <w:lang w:val="cs-CZ"/>
        </w:rPr>
        <w:instrText>70</w:instrText>
      </w:r>
      <w:r>
        <w:instrText>‒</w:instrText>
      </w:r>
      <w:r>
        <w:rPr>
          <w:lang w:val="cs-CZ"/>
        </w:rPr>
        <w:instrText>75</w:instrText>
      </w:r>
      <w:r>
        <w:instrText xml:space="preserve">" </w:instrText>
      </w:r>
      <w:r>
        <w:fldChar w:fldCharType="end"/>
      </w:r>
      <w:r>
        <w:rPr>
          <w:noProof/>
          <w:lang w:val="cs-CZ"/>
        </w:rPr>
        <w:t>)</w:t>
      </w:r>
    </w:p>
  </w:footnote>
  <w:footnote w:id="203">
    <w:p w:rsidR="00971E82" w:rsidRPr="00455A2D" w:rsidRDefault="00971E82" w:rsidP="08163013">
      <w:pPr>
        <w:pStyle w:val="Textpoznpodarou"/>
      </w:pPr>
      <w:r w:rsidRPr="00455A2D">
        <w:rPr>
          <w:rStyle w:val="Znakapoznpodarou"/>
        </w:rPr>
        <w:footnoteRef/>
      </w:r>
      <w:r w:rsidRPr="00455A2D">
        <w:t xml:space="preserve"> </w:t>
      </w:r>
      <w:r>
        <w:t>„</w:t>
      </w:r>
      <w:r w:rsidRPr="00455A2D">
        <w:t>Nihil implicans in se contradictionem possibile est esse. Creatio est huiusmodi. Ergo no</w:t>
      </w:r>
      <w:r>
        <w:t>n potest esse. Probatio minoris</w:t>
      </w:r>
      <w:r w:rsidRPr="00455A2D">
        <w:t xml:space="preserve">: unde per creationem ponitur esse aliquod novum factum et novum verum, ponitur apud creationem esse mutatio quaedam, quia sicut dicitur </w:t>
      </w:r>
      <w:r w:rsidRPr="00455A2D">
        <w:rPr>
          <w:i/>
        </w:rPr>
        <w:t>nono Metaphysicae</w:t>
      </w:r>
      <w:r w:rsidRPr="00455A2D">
        <w:t xml:space="preserve">, in immobilibus quod aliquando verum </w:t>
      </w:r>
      <w:r>
        <w:t>semper verum</w:t>
      </w:r>
      <w:r w:rsidRPr="00455A2D">
        <w:t>; et ideo aliquando esse verum et aliquando non esse verum est nisi in his quae mutationi sunt adiuncta.</w:t>
      </w:r>
      <w:r>
        <w:t>“ (</w:t>
      </w:r>
      <w:r>
        <w:rPr>
          <w:i/>
        </w:rPr>
        <w:t>Quaestiones</w:t>
      </w:r>
      <w:r w:rsidRPr="003447C4">
        <w:rPr>
          <w:i/>
        </w:rPr>
        <w:t xml:space="preserve"> super Librum de causis</w:t>
      </w:r>
      <w:r>
        <w:t>, q. 20, item 6; ed. Marlasca, p. 84.26‒32</w:t>
      </w:r>
      <w:r>
        <w:fldChar w:fldCharType="begin"/>
      </w:r>
      <w:r>
        <w:instrText xml:space="preserve"> XE "Siger</w:instrText>
      </w:r>
      <w:r>
        <w:rPr>
          <w:i/>
        </w:rPr>
        <w:instrText>:Quaestiones</w:instrText>
      </w:r>
      <w:r w:rsidRPr="007B5A7F">
        <w:rPr>
          <w:i/>
        </w:rPr>
        <w:instrText xml:space="preserve"> super Librum de causis</w:instrText>
      </w:r>
      <w:r>
        <w:rPr>
          <w:i/>
        </w:rPr>
        <w:instrText xml:space="preserve"> </w:instrText>
      </w:r>
      <w:r>
        <w:instrText>8</w:instrText>
      </w:r>
      <w:r>
        <w:rPr>
          <w:lang w:val="cs-CZ"/>
        </w:rPr>
        <w:instrText>4</w:instrText>
      </w:r>
      <w:r>
        <w:instrText>.</w:instrText>
      </w:r>
      <w:r>
        <w:rPr>
          <w:lang w:val="cs-CZ"/>
        </w:rPr>
        <w:instrText>26</w:instrText>
      </w:r>
      <w:r>
        <w:instrText>‒</w:instrText>
      </w:r>
      <w:r>
        <w:rPr>
          <w:lang w:val="cs-CZ"/>
        </w:rPr>
        <w:instrText>32</w:instrText>
      </w:r>
      <w:r>
        <w:instrText xml:space="preserve">" </w:instrText>
      </w:r>
      <w:r>
        <w:fldChar w:fldCharType="end"/>
      </w:r>
      <w:r>
        <w:t>)</w:t>
      </w:r>
    </w:p>
  </w:footnote>
  <w:footnote w:id="204">
    <w:p w:rsidR="00971E82" w:rsidRPr="003E4F4B" w:rsidRDefault="00971E82" w:rsidP="08163013">
      <w:pPr>
        <w:pStyle w:val="Textpoznpodarou"/>
        <w:rPr>
          <w:lang w:val="cs-CZ"/>
        </w:rPr>
      </w:pPr>
      <w:r>
        <w:rPr>
          <w:rStyle w:val="Znakapoznpodarou"/>
        </w:rPr>
        <w:footnoteRef/>
      </w:r>
      <w:r>
        <w:t xml:space="preserve"> </w:t>
      </w:r>
      <w:r w:rsidRPr="00273106">
        <w:rPr>
          <w:noProof/>
        </w:rPr>
        <w:t>„Et si tu quaeras: si voluit intellectum fieri aeternum, quare magis voluit sic quam quod factus esset de novo, dico quod sic voluit, quia voluit. Voluntas enim eius non dependet a rebus sicut voluntas nostra, quae licet non possit cogi a rebus, tamen trahitur et excitatur a rebus. Voluntas autem Primi nec a rebus cogitur nec trahitur.“ (</w:t>
      </w:r>
      <w:r w:rsidRPr="08D575FA">
        <w:rPr>
          <w:noProof/>
        </w:rPr>
        <w:t>QIIIDA</w:t>
      </w:r>
      <w:r w:rsidRPr="00273106">
        <w:rPr>
          <w:noProof/>
        </w:rPr>
        <w:t>, q. 2</w:t>
      </w:r>
      <w:r>
        <w:rPr>
          <w:noProof/>
          <w:lang w:val="cs-CZ"/>
        </w:rPr>
        <w:t>;</w:t>
      </w:r>
      <w:r w:rsidRPr="00273106">
        <w:rPr>
          <w:noProof/>
        </w:rPr>
        <w:t xml:space="preserve"> ed. Bazán, p. 7.76‒80</w:t>
      </w:r>
      <w:r>
        <w:rPr>
          <w:noProof/>
        </w:rPr>
        <w:fldChar w:fldCharType="begin"/>
      </w:r>
      <w:r>
        <w:instrText xml:space="preserve"> XE "</w:instrText>
      </w:r>
      <w:r>
        <w:rPr>
          <w:lang w:val="cs-CZ"/>
        </w:rPr>
        <w:instrText>Siger:</w:instrText>
      </w:r>
      <w:r>
        <w:rPr>
          <w:i/>
          <w:noProof/>
        </w:rPr>
        <w:instrText xml:space="preserve">Quaestiones in tertium </w:instrText>
      </w:r>
      <w:r>
        <w:rPr>
          <w:i/>
          <w:noProof/>
          <w:lang w:val="cs-CZ"/>
        </w:rPr>
        <w:instrText>D</w:instrText>
      </w:r>
      <w:r w:rsidRPr="00571CA8">
        <w:rPr>
          <w:i/>
          <w:noProof/>
        </w:rPr>
        <w:instrText>e anima</w:instrText>
      </w:r>
      <w:r w:rsidRPr="00571CA8">
        <w:rPr>
          <w:noProof/>
        </w:rPr>
        <w:instrText xml:space="preserve"> 7.76‒80</w:instrText>
      </w:r>
      <w:r>
        <w:instrText xml:space="preserve">" </w:instrText>
      </w:r>
      <w:r>
        <w:rPr>
          <w:noProof/>
        </w:rPr>
        <w:fldChar w:fldCharType="end"/>
      </w:r>
      <w:r w:rsidRPr="00273106">
        <w:rPr>
          <w:noProof/>
        </w:rPr>
        <w:t>)</w:t>
      </w:r>
    </w:p>
  </w:footnote>
  <w:footnote w:id="205">
    <w:p w:rsidR="00971E82" w:rsidRPr="00756965" w:rsidRDefault="00971E82" w:rsidP="08163013">
      <w:pPr>
        <w:pStyle w:val="Textpoznpodarou"/>
      </w:pPr>
      <w:r>
        <w:rPr>
          <w:rStyle w:val="Znakapoznpodarou"/>
        </w:rPr>
        <w:footnoteRef/>
      </w:r>
      <w:r>
        <w:rPr>
          <w:lang w:val="cs-CZ"/>
        </w:rPr>
        <w:t xml:space="preserve"> </w:t>
      </w:r>
      <w:r w:rsidRPr="00756965">
        <w:t>„Dico autem quod, licet non sit necessaria positio</w:t>
      </w:r>
      <w:r w:rsidRPr="00756965">
        <w:rPr>
          <w:rFonts w:eastAsia="Sylfaen"/>
        </w:rPr>
        <w:t xml:space="preserve"> Aristotelis, </w:t>
      </w:r>
      <w:r>
        <w:t xml:space="preserve">sicut ostensum est, ipsa tamen </w:t>
      </w:r>
      <w:r w:rsidRPr="00756965">
        <w:t xml:space="preserve">est probabilior quam positio </w:t>
      </w:r>
      <w:r w:rsidRPr="00756965">
        <w:rPr>
          <w:rFonts w:eastAsia="Sylfaen"/>
        </w:rPr>
        <w:t>Augustini</w:t>
      </w:r>
      <w:r w:rsidRPr="00756965">
        <w:t>, quia non possumus inquirere novitatem vel aeternitatem facti a voluntate Primi, scilicet quod non possumus cogitare formam voluntatis suae.“ (</w:t>
      </w:r>
      <w:r w:rsidRPr="086773D6">
        <w:t>QIIIDA</w:t>
      </w:r>
      <w:r w:rsidRPr="00DD5D2F">
        <w:t xml:space="preserve">, </w:t>
      </w:r>
      <w:r>
        <w:t>q. 2</w:t>
      </w:r>
      <w:r>
        <w:rPr>
          <w:lang w:val="cs-CZ"/>
        </w:rPr>
        <w:t>;</w:t>
      </w:r>
      <w:r>
        <w:t xml:space="preserve"> ed. Bazán, p. 7.81</w:t>
      </w:r>
      <w:r w:rsidRPr="00DD5D2F">
        <w:t>‒</w:t>
      </w:r>
      <w:r>
        <w:t>85</w:t>
      </w:r>
      <w:r>
        <w:fldChar w:fldCharType="begin"/>
      </w:r>
      <w:r>
        <w:instrText xml:space="preserve"> XE "Siger</w:instrText>
      </w:r>
      <w:r>
        <w:rPr>
          <w:i/>
        </w:rPr>
        <w:instrText xml:space="preserve">:Quaestiones in tertium </w:instrText>
      </w:r>
      <w:r>
        <w:rPr>
          <w:i/>
          <w:lang w:val="cs-CZ"/>
        </w:rPr>
        <w:instrText>D</w:instrText>
      </w:r>
      <w:r w:rsidRPr="00472F38">
        <w:rPr>
          <w:i/>
        </w:rPr>
        <w:instrText>e anima</w:instrText>
      </w:r>
      <w:r>
        <w:rPr>
          <w:i/>
        </w:rPr>
        <w:instrText xml:space="preserve"> </w:instrText>
      </w:r>
      <w:r>
        <w:instrText>7.</w:instrText>
      </w:r>
      <w:r>
        <w:rPr>
          <w:lang w:val="cs-CZ"/>
        </w:rPr>
        <w:instrText>81</w:instrText>
      </w:r>
      <w:r>
        <w:instrText>‒</w:instrText>
      </w:r>
      <w:r>
        <w:rPr>
          <w:lang w:val="cs-CZ"/>
        </w:rPr>
        <w:instrText>85</w:instrText>
      </w:r>
      <w:r>
        <w:instrText xml:space="preserve">" </w:instrText>
      </w:r>
      <w:r>
        <w:fldChar w:fldCharType="end"/>
      </w:r>
      <w:r w:rsidRPr="00756965">
        <w:t>)</w:t>
      </w:r>
    </w:p>
  </w:footnote>
  <w:footnote w:id="206">
    <w:p w:rsidR="00971E82" w:rsidRPr="002C1A07" w:rsidRDefault="00971E82" w:rsidP="08163013">
      <w:pPr>
        <w:pStyle w:val="Textpoznpodarou"/>
        <w:rPr>
          <w:lang w:val="cs-CZ"/>
        </w:rPr>
      </w:pPr>
      <w:r>
        <w:rPr>
          <w:rStyle w:val="Znakapoznpodarou"/>
        </w:rPr>
        <w:footnoteRef/>
      </w:r>
      <w:r>
        <w:t xml:space="preserve"> </w:t>
      </w:r>
      <w:r w:rsidRPr="00273106">
        <w:rPr>
          <w:noProof/>
        </w:rPr>
        <w:t>„Et sic intellectus, quantum est de natura propria, est factum aeternum et de novo. Propter hoc positio Aristotelis probabilior est quam positio Augustini. Si igitur credatur Aristoteli, planum est quod non est credendum Augustino. Si vero credatur Augustino, erit aequaliter.“ (</w:t>
      </w:r>
      <w:r w:rsidRPr="084A00A3">
        <w:rPr>
          <w:noProof/>
        </w:rPr>
        <w:t>QIIIDA</w:t>
      </w:r>
      <w:r w:rsidRPr="00273106">
        <w:rPr>
          <w:noProof/>
        </w:rPr>
        <w:t>, q. 2</w:t>
      </w:r>
      <w:r>
        <w:rPr>
          <w:noProof/>
          <w:lang w:val="cs-CZ"/>
        </w:rPr>
        <w:t>;</w:t>
      </w:r>
      <w:r w:rsidRPr="00273106">
        <w:rPr>
          <w:noProof/>
        </w:rPr>
        <w:t xml:space="preserve"> ed. Bazán, p. 8.94‒99</w:t>
      </w:r>
      <w:r>
        <w:fldChar w:fldCharType="begin"/>
      </w:r>
      <w:r>
        <w:instrText xml:space="preserve"> XE "Siger</w:instrText>
      </w:r>
      <w:r>
        <w:rPr>
          <w:i/>
        </w:rPr>
        <w:instrText xml:space="preserve">:Quaestiones in tertium </w:instrText>
      </w:r>
      <w:r>
        <w:rPr>
          <w:i/>
          <w:lang w:val="cs-CZ"/>
        </w:rPr>
        <w:instrText>D</w:instrText>
      </w:r>
      <w:r w:rsidRPr="00472F38">
        <w:rPr>
          <w:i/>
        </w:rPr>
        <w:instrText>e anima</w:instrText>
      </w:r>
      <w:r>
        <w:rPr>
          <w:i/>
        </w:rPr>
        <w:instrText xml:space="preserve"> </w:instrText>
      </w:r>
      <w:r>
        <w:rPr>
          <w:lang w:val="cs-CZ"/>
        </w:rPr>
        <w:instrText>8</w:instrText>
      </w:r>
      <w:r>
        <w:instrText>.</w:instrText>
      </w:r>
      <w:r>
        <w:rPr>
          <w:lang w:val="cs-CZ"/>
        </w:rPr>
        <w:instrText>94</w:instrText>
      </w:r>
      <w:r>
        <w:instrText>‒</w:instrText>
      </w:r>
      <w:r>
        <w:rPr>
          <w:lang w:val="cs-CZ"/>
        </w:rPr>
        <w:instrText>99</w:instrText>
      </w:r>
      <w:r>
        <w:instrText xml:space="preserve">" </w:instrText>
      </w:r>
      <w:r>
        <w:fldChar w:fldCharType="end"/>
      </w:r>
      <w:r w:rsidRPr="00273106">
        <w:rPr>
          <w:noProof/>
        </w:rPr>
        <w:t>)</w:t>
      </w:r>
    </w:p>
  </w:footnote>
  <w:footnote w:id="207">
    <w:p w:rsidR="00971E82" w:rsidRPr="08B863CD" w:rsidRDefault="00971E82" w:rsidP="08163013">
      <w:pPr>
        <w:pStyle w:val="Textpoznpodarou"/>
      </w:pPr>
      <w:r>
        <w:rPr>
          <w:rStyle w:val="Znakapoznpodarou"/>
        </w:rPr>
        <w:footnoteRef/>
      </w:r>
      <w:r>
        <w:t xml:space="preserve"> „Unde nota quod duplex est universale: quoddam est universale quod est intentio pura universalis abstracta, non praedicabilis de particularibus extra; aliud est universale quod non est intentio pura, sed est forma realis, existens in pluribus, praedicabilis de eisdem.“ (</w:t>
      </w:r>
      <w:r w:rsidRPr="08933BE0">
        <w:t>QIIIDA</w:t>
      </w:r>
      <w:r w:rsidRPr="00DD5D2F">
        <w:t xml:space="preserve">, </w:t>
      </w:r>
      <w:r>
        <w:t>q. 18</w:t>
      </w:r>
      <w:r>
        <w:rPr>
          <w:lang w:val="cs-CZ"/>
        </w:rPr>
        <w:t>;</w:t>
      </w:r>
      <w:r w:rsidRPr="00DD5D2F">
        <w:t xml:space="preserve"> ed. Bazán,</w:t>
      </w:r>
      <w:r>
        <w:t xml:space="preserve"> pp. 68.10‒69.13</w:t>
      </w:r>
      <w:r>
        <w:fldChar w:fldCharType="begin"/>
      </w:r>
      <w:r>
        <w:instrText xml:space="preserve"> XE "Siger</w:instrText>
      </w:r>
      <w:r>
        <w:rPr>
          <w:i/>
        </w:rPr>
        <w:instrText xml:space="preserve">:Quaestiones in tertium </w:instrText>
      </w:r>
      <w:r>
        <w:rPr>
          <w:i/>
          <w:lang w:val="cs-CZ"/>
        </w:rPr>
        <w:instrText>D</w:instrText>
      </w:r>
      <w:r w:rsidRPr="00472F38">
        <w:rPr>
          <w:i/>
        </w:rPr>
        <w:instrText>e anima</w:instrText>
      </w:r>
      <w:r>
        <w:rPr>
          <w:i/>
        </w:rPr>
        <w:instrText xml:space="preserve"> </w:instrText>
      </w:r>
      <w:r>
        <w:instrText xml:space="preserve">68.10‒69.13" </w:instrText>
      </w:r>
      <w:r>
        <w:fldChar w:fldCharType="end"/>
      </w:r>
      <w:r>
        <w:t>)</w:t>
      </w:r>
    </w:p>
  </w:footnote>
  <w:footnote w:id="208">
    <w:p w:rsidR="00971E82" w:rsidRPr="009930B7" w:rsidRDefault="00971E82" w:rsidP="003E683E">
      <w:pPr>
        <w:pStyle w:val="Textpoznpodarou"/>
        <w:rPr>
          <w:lang w:val="cs-CZ"/>
        </w:rPr>
      </w:pPr>
      <w:r>
        <w:rPr>
          <w:rStyle w:val="Znakapoznpodarou"/>
        </w:rPr>
        <w:footnoteRef/>
      </w:r>
      <w:r>
        <w:t xml:space="preserve"> „Nam, ut dictum </w:t>
      </w:r>
      <w:r w:rsidRPr="000107C4">
        <w:rPr>
          <w:lang w:val="cs-CZ"/>
        </w:rPr>
        <w:t xml:space="preserve">est, </w:t>
      </w:r>
      <w:r>
        <w:t xml:space="preserve">unum quod convertitur cum </w:t>
      </w:r>
      <w:r w:rsidRPr="000107C4">
        <w:rPr>
          <w:lang w:val="cs-CZ"/>
        </w:rPr>
        <w:t xml:space="preserve">ente </w:t>
      </w:r>
      <w:r>
        <w:t xml:space="preserve">non praedicat dispositionem additam ipsi enti, convertibile existens cum eo in suppositis. Unum autem quod </w:t>
      </w:r>
      <w:r>
        <w:rPr>
          <w:lang w:val="fr-FR"/>
        </w:rPr>
        <w:t xml:space="preserve">est </w:t>
      </w:r>
      <w:r>
        <w:t xml:space="preserve">principium numeri significat dispositionem additam rei substantiae, ut rationem primae mensurae, quod </w:t>
      </w:r>
      <w:r>
        <w:rPr>
          <w:lang w:val="fr-FR"/>
        </w:rPr>
        <w:t xml:space="preserve">est de </w:t>
      </w:r>
      <w:r>
        <w:t xml:space="preserve">ratione quantitatis, ut apparebit </w:t>
      </w:r>
      <w:r w:rsidRPr="0003243C">
        <w:t xml:space="preserve">X° </w:t>
      </w:r>
      <w:r w:rsidRPr="0003243C">
        <w:rPr>
          <w:i/>
        </w:rPr>
        <w:t>huius</w:t>
      </w:r>
      <w:r>
        <w:t xml:space="preserve">; ex quo sequitur quod unum istud non </w:t>
      </w:r>
      <w:r>
        <w:rPr>
          <w:lang w:val="fr-FR"/>
        </w:rPr>
        <w:t xml:space="preserve">est </w:t>
      </w:r>
      <w:r>
        <w:t xml:space="preserve">convertibile cum </w:t>
      </w:r>
      <w:r>
        <w:rPr>
          <w:lang w:val="fr-FR"/>
        </w:rPr>
        <w:t xml:space="preserve">ente </w:t>
      </w:r>
      <w:r>
        <w:t xml:space="preserve">in suppositis.“ </w:t>
      </w:r>
      <w:r>
        <w:rPr>
          <w:lang w:val="cs-CZ"/>
        </w:rPr>
        <w:t>(</w:t>
      </w:r>
      <w:r>
        <w:rPr>
          <w:i/>
          <w:lang w:val="cs-CZ"/>
        </w:rPr>
        <w:t>Quaestiones</w:t>
      </w:r>
      <w:r w:rsidRPr="00E65D0C">
        <w:rPr>
          <w:i/>
          <w:lang w:val="cs-CZ"/>
        </w:rPr>
        <w:t xml:space="preserve"> in Metaphysicam</w:t>
      </w:r>
      <w:r>
        <w:rPr>
          <w:lang w:val="cs-CZ"/>
        </w:rPr>
        <w:t xml:space="preserve"> IV, q. 2, comm. 2; ed. Maurer, p. 137.15‒20</w:t>
      </w:r>
      <w:r>
        <w:rPr>
          <w:lang w:val="cs-CZ"/>
        </w:rPr>
        <w:fldChar w:fldCharType="begin"/>
      </w:r>
      <w:r>
        <w:instrText xml:space="preserve"> XE "</w:instrText>
      </w:r>
      <w:r>
        <w:rPr>
          <w:lang w:val="cs-CZ"/>
        </w:rPr>
        <w:instrText>Siger:</w:instrText>
      </w:r>
      <w:r>
        <w:rPr>
          <w:i/>
          <w:lang w:val="cs-CZ"/>
        </w:rPr>
        <w:instrText>Quaestiones</w:instrText>
      </w:r>
      <w:r w:rsidRPr="00DB1D86">
        <w:rPr>
          <w:i/>
          <w:lang w:val="cs-CZ"/>
        </w:rPr>
        <w:instrText xml:space="preserve"> in Metaphysicam</w:instrText>
      </w:r>
      <w:r>
        <w:rPr>
          <w:lang w:val="cs-CZ"/>
        </w:rPr>
        <w:instrText xml:space="preserve"> 137.15‒20</w:instrText>
      </w:r>
      <w:r>
        <w:instrText xml:space="preserve">" </w:instrText>
      </w:r>
      <w:r>
        <w:rPr>
          <w:lang w:val="cs-CZ"/>
        </w:rPr>
        <w:fldChar w:fldCharType="end"/>
      </w:r>
      <w:r>
        <w:rPr>
          <w:lang w:val="cs-CZ"/>
        </w:rPr>
        <w:t>)</w:t>
      </w:r>
    </w:p>
  </w:footnote>
  <w:footnote w:id="209">
    <w:p w:rsidR="00971E82" w:rsidRPr="0075111E" w:rsidRDefault="00971E82" w:rsidP="00F14AF7">
      <w:pPr>
        <w:pStyle w:val="Textpoznpodarou"/>
        <w:rPr>
          <w:lang w:val="cs-CZ"/>
        </w:rPr>
      </w:pPr>
      <w:r>
        <w:rPr>
          <w:rStyle w:val="Znakapoznpodarou"/>
        </w:rPr>
        <w:footnoteRef/>
      </w:r>
      <w:r>
        <w:t xml:space="preserve"> „</w:t>
      </w:r>
      <w:r w:rsidRPr="00C21224">
        <w:t xml:space="preserve">Primo autem probat quod scientia ista </w:t>
      </w:r>
      <w:r>
        <w:t>considera</w:t>
      </w:r>
      <w:r w:rsidRPr="00C21224">
        <w:t xml:space="preserve">t ens inquantum ens per hoc quod scientia ista </w:t>
      </w:r>
      <w:r>
        <w:t>consid</w:t>
      </w:r>
      <w:r>
        <w:rPr>
          <w:lang w:val="cs-CZ"/>
        </w:rPr>
        <w:t>e</w:t>
      </w:r>
      <w:r>
        <w:t>ra</w:t>
      </w:r>
      <w:r w:rsidRPr="00C21224">
        <w:t xml:space="preserve">t causas primas et prima principia, ut probatum est </w:t>
      </w:r>
      <w:r>
        <w:rPr>
          <w:lang w:val="cs-CZ"/>
        </w:rPr>
        <w:t>I</w:t>
      </w:r>
      <w:r w:rsidRPr="0003243C">
        <w:t xml:space="preserve">° </w:t>
      </w:r>
      <w:r w:rsidRPr="0003243C">
        <w:rPr>
          <w:i/>
        </w:rPr>
        <w:t>huius</w:t>
      </w:r>
      <w:r w:rsidRPr="00C21224">
        <w:t>; haec autem sunt principia et causae entis inquantum ens.</w:t>
      </w:r>
      <w:r>
        <w:t>“</w:t>
      </w:r>
      <w:r>
        <w:rPr>
          <w:lang w:val="cs-CZ"/>
        </w:rPr>
        <w:t xml:space="preserve"> (</w:t>
      </w:r>
      <w:r>
        <w:rPr>
          <w:i/>
          <w:lang w:val="cs-CZ"/>
        </w:rPr>
        <w:t>Quaestiones</w:t>
      </w:r>
      <w:r w:rsidRPr="00E65D0C">
        <w:rPr>
          <w:i/>
          <w:lang w:val="cs-CZ"/>
        </w:rPr>
        <w:t xml:space="preserve"> in Metaphysicam</w:t>
      </w:r>
      <w:r>
        <w:rPr>
          <w:lang w:val="cs-CZ"/>
        </w:rPr>
        <w:t xml:space="preserve"> IV, proem.; ed. Maurer, p. 135.5‒8</w:t>
      </w:r>
      <w:r>
        <w:rPr>
          <w:lang w:val="cs-CZ"/>
        </w:rPr>
        <w:fldChar w:fldCharType="begin"/>
      </w:r>
      <w:r>
        <w:instrText xml:space="preserve"> XE "</w:instrText>
      </w:r>
      <w:r>
        <w:rPr>
          <w:lang w:val="cs-CZ"/>
        </w:rPr>
        <w:instrText>Siger:</w:instrText>
      </w:r>
      <w:r>
        <w:rPr>
          <w:i/>
          <w:lang w:val="cs-CZ"/>
        </w:rPr>
        <w:instrText>Quaestiones</w:instrText>
      </w:r>
      <w:r w:rsidRPr="00DB1D86">
        <w:rPr>
          <w:i/>
          <w:lang w:val="cs-CZ"/>
        </w:rPr>
        <w:instrText xml:space="preserve"> in Metaphysicam</w:instrText>
      </w:r>
      <w:r w:rsidRPr="00DB1D86">
        <w:rPr>
          <w:lang w:val="cs-CZ"/>
        </w:rPr>
        <w:instrText xml:space="preserve"> 135.5‒8</w:instrText>
      </w:r>
      <w:r>
        <w:instrText xml:space="preserve">" </w:instrText>
      </w:r>
      <w:r>
        <w:rPr>
          <w:lang w:val="cs-CZ"/>
        </w:rPr>
        <w:fldChar w:fldCharType="end"/>
      </w:r>
      <w:r>
        <w:rPr>
          <w:lang w:val="cs-CZ"/>
        </w:rPr>
        <w:t>)</w:t>
      </w:r>
    </w:p>
  </w:footnote>
  <w:footnote w:id="210">
    <w:p w:rsidR="00971E82" w:rsidRPr="00C21224" w:rsidRDefault="00971E82" w:rsidP="08163013">
      <w:pPr>
        <w:pStyle w:val="Textpoznpodarou"/>
        <w:rPr>
          <w:lang w:val="cs-CZ"/>
        </w:rPr>
      </w:pPr>
      <w:r>
        <w:rPr>
          <w:rStyle w:val="Znakapoznpodarou"/>
        </w:rPr>
        <w:footnoteRef/>
      </w:r>
      <w:r>
        <w:t xml:space="preserve"> </w:t>
      </w:r>
      <w:r>
        <w:rPr>
          <w:lang w:val="cs-CZ"/>
        </w:rPr>
        <w:t>„</w:t>
      </w:r>
      <w:r w:rsidRPr="00C21224">
        <w:t>Ideo quaeritur hic utrum entis secundum quod ens sint causae et principia.</w:t>
      </w:r>
      <w:r>
        <w:rPr>
          <w:lang w:val="cs-CZ"/>
        </w:rPr>
        <w:t xml:space="preserve"> </w:t>
      </w:r>
      <w:r w:rsidRPr="00C21224">
        <w:t xml:space="preserve">Et quod non videtur, primo auctoritate </w:t>
      </w:r>
      <w:r w:rsidRPr="0822201E">
        <w:t xml:space="preserve">Avicennae </w:t>
      </w:r>
      <w:r w:rsidRPr="0822201E">
        <w:rPr>
          <w:rFonts w:eastAsia="Times"/>
          <w:i/>
        </w:rPr>
        <w:t>primo Tractatu</w:t>
      </w:r>
      <w:r w:rsidRPr="0822201E">
        <w:rPr>
          <w:rFonts w:eastAsia="Times"/>
        </w:rPr>
        <w:t xml:space="preserve">. </w:t>
      </w:r>
      <w:r w:rsidRPr="0822201E">
        <w:t>Dicit</w:t>
      </w:r>
      <w:r w:rsidRPr="00C21224">
        <w:t xml:space="preserve"> enim expresse quod ens secundum quod ens causas et principia non habet.</w:t>
      </w:r>
      <w:r>
        <w:rPr>
          <w:lang w:val="cs-CZ"/>
        </w:rPr>
        <w:t>“ (</w:t>
      </w:r>
      <w:r>
        <w:rPr>
          <w:i/>
          <w:lang w:val="cs-CZ"/>
        </w:rPr>
        <w:t>Quaestiones</w:t>
      </w:r>
      <w:r w:rsidRPr="00E65D0C">
        <w:rPr>
          <w:i/>
          <w:lang w:val="cs-CZ"/>
        </w:rPr>
        <w:t xml:space="preserve"> in Metaphysicam</w:t>
      </w:r>
      <w:r>
        <w:rPr>
          <w:lang w:val="cs-CZ"/>
        </w:rPr>
        <w:t xml:space="preserve"> IV, q. 1; ed. Maurer, p. 135.3‒7</w:t>
      </w:r>
      <w:r>
        <w:rPr>
          <w:lang w:val="cs-CZ"/>
        </w:rPr>
        <w:fldChar w:fldCharType="begin"/>
      </w:r>
      <w:r>
        <w:instrText xml:space="preserve"> XE "</w:instrText>
      </w:r>
      <w:r>
        <w:rPr>
          <w:lang w:val="cs-CZ"/>
        </w:rPr>
        <w:instrText>Siger:</w:instrText>
      </w:r>
      <w:r>
        <w:rPr>
          <w:i/>
          <w:lang w:val="cs-CZ"/>
        </w:rPr>
        <w:instrText>Quaestiones</w:instrText>
      </w:r>
      <w:r w:rsidRPr="00DB1D86">
        <w:rPr>
          <w:i/>
          <w:lang w:val="cs-CZ"/>
        </w:rPr>
        <w:instrText xml:space="preserve"> in Metaphysicam</w:instrText>
      </w:r>
      <w:r>
        <w:rPr>
          <w:lang w:val="cs-CZ"/>
        </w:rPr>
        <w:instrText xml:space="preserve"> 135.3‒7</w:instrText>
      </w:r>
      <w:r>
        <w:instrText xml:space="preserve">" </w:instrText>
      </w:r>
      <w:r>
        <w:rPr>
          <w:lang w:val="cs-CZ"/>
        </w:rPr>
        <w:fldChar w:fldCharType="end"/>
      </w:r>
      <w:r>
        <w:rPr>
          <w:lang w:val="cs-CZ"/>
        </w:rPr>
        <w:t>)</w:t>
      </w:r>
    </w:p>
  </w:footnote>
  <w:footnote w:id="211">
    <w:p w:rsidR="00971E82" w:rsidRPr="00A51E3D" w:rsidRDefault="00971E82" w:rsidP="08163013">
      <w:pPr>
        <w:pStyle w:val="Textpoznpodarou"/>
        <w:rPr>
          <w:lang w:val="cs-CZ"/>
        </w:rPr>
      </w:pPr>
      <w:r>
        <w:rPr>
          <w:rStyle w:val="Znakapoznpodarou"/>
        </w:rPr>
        <w:footnoteRef/>
      </w:r>
      <w:r>
        <w:t xml:space="preserve"> </w:t>
      </w:r>
      <w:r w:rsidRPr="0003243C">
        <w:t>„Item, unum et ens praedicata de aliis entibus, solum praedicant naturas ipsorum; ex quo patet quod sunt substantialia praedicata de entibus. Et hoc in principio huius operis fuit ostensum, quamvis Avicenna</w:t>
      </w:r>
      <w:r w:rsidRPr="0003243C">
        <w:rPr>
          <w:rStyle w:val="Zkladntext7ptMalpsmena"/>
          <w:rFonts w:eastAsia="Times"/>
          <w:smallCaps w:val="0"/>
          <w:sz w:val="22"/>
        </w:rPr>
        <w:t xml:space="preserve"> </w:t>
      </w:r>
      <w:r w:rsidRPr="0003243C">
        <w:t>diceret oppositum, sicut recitat hic Commentator</w:t>
      </w:r>
      <w:r w:rsidRPr="0003243C">
        <w:rPr>
          <w:rStyle w:val="Zkladntext7ptMalpsmena"/>
          <w:rFonts w:eastAsia="Times"/>
          <w:smallCaps w:val="0"/>
          <w:sz w:val="22"/>
        </w:rPr>
        <w:t xml:space="preserve">. </w:t>
      </w:r>
      <w:r w:rsidRPr="0003243C">
        <w:t>Una autem causa deceptionis Avicennae</w:t>
      </w:r>
      <w:r w:rsidRPr="0003243C">
        <w:rPr>
          <w:rStyle w:val="Zkladntext7ptMalpsmena"/>
          <w:rFonts w:eastAsia="Times"/>
          <w:smallCaps w:val="0"/>
          <w:sz w:val="22"/>
        </w:rPr>
        <w:t xml:space="preserve"> </w:t>
      </w:r>
      <w:r w:rsidRPr="0003243C">
        <w:t>fuit, quia non distinxit inter unum quod convertitur cum ente et unum quod est principium numeri, cum tamen multum differant.</w:t>
      </w:r>
      <w:r>
        <w:rPr>
          <w:lang w:val="cs-CZ"/>
        </w:rPr>
        <w:t>“ (</w:t>
      </w:r>
      <w:r>
        <w:rPr>
          <w:i/>
          <w:lang w:val="cs-CZ"/>
        </w:rPr>
        <w:t>Quaestiones</w:t>
      </w:r>
      <w:r w:rsidRPr="00E65D0C">
        <w:rPr>
          <w:i/>
          <w:lang w:val="cs-CZ"/>
        </w:rPr>
        <w:t xml:space="preserve"> in Metaphysicam</w:t>
      </w:r>
      <w:r>
        <w:rPr>
          <w:lang w:val="cs-CZ"/>
        </w:rPr>
        <w:t xml:space="preserve"> IV, q. 2, comm. 2; ed. Maurer, p. 137.9‒15</w:t>
      </w:r>
      <w:r>
        <w:rPr>
          <w:lang w:val="cs-CZ"/>
        </w:rPr>
        <w:fldChar w:fldCharType="begin"/>
      </w:r>
      <w:r>
        <w:instrText xml:space="preserve"> XE "</w:instrText>
      </w:r>
      <w:r>
        <w:rPr>
          <w:lang w:val="cs-CZ"/>
        </w:rPr>
        <w:instrText>Siger:</w:instrText>
      </w:r>
      <w:r>
        <w:rPr>
          <w:i/>
          <w:lang w:val="cs-CZ"/>
        </w:rPr>
        <w:instrText>Quaestiones</w:instrText>
      </w:r>
      <w:r w:rsidRPr="00DB1D86">
        <w:rPr>
          <w:i/>
          <w:lang w:val="cs-CZ"/>
        </w:rPr>
        <w:instrText xml:space="preserve"> in Metaphysicam</w:instrText>
      </w:r>
      <w:r>
        <w:rPr>
          <w:lang w:val="cs-CZ"/>
        </w:rPr>
        <w:instrText xml:space="preserve"> 137.9‒15</w:instrText>
      </w:r>
      <w:r>
        <w:instrText xml:space="preserve">" </w:instrText>
      </w:r>
      <w:r>
        <w:rPr>
          <w:lang w:val="cs-CZ"/>
        </w:rPr>
        <w:fldChar w:fldCharType="end"/>
      </w:r>
      <w:r>
        <w:rPr>
          <w:lang w:val="cs-CZ"/>
        </w:rPr>
        <w:t>)</w:t>
      </w:r>
    </w:p>
  </w:footnote>
  <w:footnote w:id="212">
    <w:p w:rsidR="00971E82" w:rsidRPr="00701C01" w:rsidRDefault="00971E82" w:rsidP="08163013">
      <w:pPr>
        <w:pStyle w:val="Textpoznpodarou"/>
        <w:rPr>
          <w:lang w:val="cs-CZ"/>
        </w:rPr>
      </w:pPr>
      <w:r>
        <w:rPr>
          <w:rStyle w:val="Znakapoznpodarou"/>
        </w:rPr>
        <w:footnoteRef/>
      </w:r>
      <w:r>
        <w:t xml:space="preserve"> </w:t>
      </w:r>
      <w:r w:rsidRPr="00273106">
        <w:rPr>
          <w:noProof/>
        </w:rPr>
        <w:t>„Ad hoc dicunt quidam quod unaquaeque res causata est ens per dispositionem additam essentiae suae. Et secundum eos res et ens significant duas intentiones. Et fuit haec opinio Avicennae, ut superius arguebatur. Fuit etiam opinio Alberti</w:t>
      </w:r>
      <w:r w:rsidRPr="00273106">
        <w:rPr>
          <w:rStyle w:val="Zkladntext7ptTun"/>
          <w:rFonts w:eastAsia="Constantia"/>
          <w:b w:val="0"/>
          <w:bCs w:val="0"/>
          <w:noProof/>
          <w:lang w:val="cs-CZ"/>
        </w:rPr>
        <w:t xml:space="preserve">. </w:t>
      </w:r>
      <w:r w:rsidRPr="00273106">
        <w:rPr>
          <w:noProof/>
        </w:rPr>
        <w:t>Et ratio eius ad hoc est quia res est id quod est per essentiam suam et non per causam aliam. Res tamen est per aliam causam, ut homo est homo per se et non per aliam causam; homo tamen est per causam aliam: esse enim hominis est ex alio, ut ex Primo. Quare differt homo et esse hominis.“ (</w:t>
      </w:r>
      <w:r>
        <w:rPr>
          <w:i/>
          <w:noProof/>
        </w:rPr>
        <w:t>Quaestiones</w:t>
      </w:r>
      <w:r w:rsidRPr="00273106">
        <w:rPr>
          <w:i/>
          <w:noProof/>
        </w:rPr>
        <w:t xml:space="preserve"> in metaphysicam</w:t>
      </w:r>
      <w:r w:rsidRPr="00273106">
        <w:rPr>
          <w:noProof/>
        </w:rPr>
        <w:t xml:space="preserve">, </w:t>
      </w:r>
      <w:r>
        <w:rPr>
          <w:noProof/>
          <w:lang w:val="cs-CZ"/>
        </w:rPr>
        <w:t xml:space="preserve">introductio, </w:t>
      </w:r>
      <w:r w:rsidRPr="00273106">
        <w:rPr>
          <w:noProof/>
        </w:rPr>
        <w:t>q. 7; ed. Maurer, p. 32.67‒74</w:t>
      </w:r>
      <w:r>
        <w:rPr>
          <w:lang w:val="cs-CZ"/>
        </w:rPr>
        <w:fldChar w:fldCharType="begin"/>
      </w:r>
      <w:r>
        <w:instrText xml:space="preserve"> XE "</w:instrText>
      </w:r>
      <w:r>
        <w:rPr>
          <w:lang w:val="cs-CZ"/>
        </w:rPr>
        <w:instrText>Siger:</w:instrText>
      </w:r>
      <w:r>
        <w:rPr>
          <w:i/>
          <w:lang w:val="cs-CZ"/>
        </w:rPr>
        <w:instrText>Quaestiones</w:instrText>
      </w:r>
      <w:r w:rsidRPr="00DB1D86">
        <w:rPr>
          <w:i/>
          <w:lang w:val="cs-CZ"/>
        </w:rPr>
        <w:instrText xml:space="preserve"> in Metaphysicam</w:instrText>
      </w:r>
      <w:r>
        <w:rPr>
          <w:lang w:val="cs-CZ"/>
        </w:rPr>
        <w:instrText xml:space="preserve"> </w:instrText>
      </w:r>
      <w:r w:rsidRPr="00273106">
        <w:rPr>
          <w:noProof/>
        </w:rPr>
        <w:instrText>32.67‒74</w:instrText>
      </w:r>
      <w:r>
        <w:instrText xml:space="preserve">" </w:instrText>
      </w:r>
      <w:r>
        <w:rPr>
          <w:lang w:val="cs-CZ"/>
        </w:rPr>
        <w:fldChar w:fldCharType="end"/>
      </w:r>
      <w:r w:rsidRPr="00273106">
        <w:rPr>
          <w:noProof/>
        </w:rPr>
        <w:t>)</w:t>
      </w:r>
    </w:p>
  </w:footnote>
  <w:footnote w:id="213">
    <w:p w:rsidR="00971E82" w:rsidRPr="00243AD5" w:rsidRDefault="00971E82" w:rsidP="007B1755">
      <w:pPr>
        <w:pStyle w:val="Textpoznpodarou"/>
        <w:rPr>
          <w:noProof/>
          <w:lang w:val="cs-CZ"/>
        </w:rPr>
      </w:pPr>
      <w:r>
        <w:rPr>
          <w:rStyle w:val="Znakapoznpodarou"/>
        </w:rPr>
        <w:footnoteRef/>
      </w:r>
      <w:r>
        <w:t xml:space="preserve"> </w:t>
      </w:r>
      <w:r w:rsidRPr="00273106">
        <w:rPr>
          <w:noProof/>
        </w:rPr>
        <w:t xml:space="preserve">„Deinde dixit: </w:t>
      </w:r>
      <w:r w:rsidRPr="00273106">
        <w:rPr>
          <w:i/>
          <w:iCs/>
          <w:noProof/>
        </w:rPr>
        <w:t>et quomodo est formare per intellectum</w:t>
      </w:r>
      <w:r w:rsidRPr="00273106">
        <w:rPr>
          <w:iCs/>
          <w:noProof/>
        </w:rPr>
        <w:t xml:space="preserve"> [</w:t>
      </w:r>
      <w:r w:rsidRPr="00273106">
        <w:rPr>
          <w:noProof/>
        </w:rPr>
        <w:t xml:space="preserve">πῶς ποτὲ γίνεται τὸ νοεῖν, </w:t>
      </w:r>
      <w:r>
        <w:rPr>
          <w:i/>
          <w:noProof/>
        </w:rPr>
        <w:t>De anima</w:t>
      </w:r>
      <w:r w:rsidRPr="00273106">
        <w:rPr>
          <w:noProof/>
        </w:rPr>
        <w:t xml:space="preserve"> 439a13</w:t>
      </w:r>
      <w:r>
        <w:fldChar w:fldCharType="begin"/>
      </w:r>
      <w:r>
        <w:instrText xml:space="preserve"> XE "</w:instrText>
      </w:r>
      <w:r>
        <w:rPr>
          <w:i/>
        </w:rPr>
        <w:instrText>Aristoteles</w:instrText>
      </w:r>
      <w:r w:rsidRPr="00043415">
        <w:rPr>
          <w:i/>
        </w:rPr>
        <w:instrText>:De anima</w:instrText>
      </w:r>
      <w:r>
        <w:instrText xml:space="preserve"> 4</w:instrText>
      </w:r>
      <w:r>
        <w:rPr>
          <w:lang w:val="cs-CZ"/>
        </w:rPr>
        <w:instrText>39a13</w:instrText>
      </w:r>
      <w:r>
        <w:instrText xml:space="preserve">" </w:instrText>
      </w:r>
      <w:r>
        <w:fldChar w:fldCharType="end"/>
      </w:r>
      <w:r w:rsidRPr="00273106">
        <w:rPr>
          <w:iCs/>
          <w:noProof/>
        </w:rPr>
        <w:t>]</w:t>
      </w:r>
      <w:r w:rsidRPr="00273106">
        <w:rPr>
          <w:i/>
          <w:iCs/>
          <w:noProof/>
        </w:rPr>
        <w:t xml:space="preserve">. </w:t>
      </w:r>
      <w:r w:rsidRPr="00273106">
        <w:rPr>
          <w:noProof/>
        </w:rPr>
        <w:t>Idest, et prius est perscrutandum quomodo est formare per intellectum, utrum sit actio aut receptio; scire enim actiones anime prius est apud nos quam scire eius substantiam.“ (CMDA III.1</w:t>
      </w:r>
      <w:r>
        <w:rPr>
          <w:noProof/>
          <w:lang w:val="cs-CZ"/>
        </w:rPr>
        <w:t>;</w:t>
      </w:r>
      <w:r w:rsidRPr="00273106">
        <w:rPr>
          <w:noProof/>
        </w:rPr>
        <w:t xml:space="preserve"> 380.37‒41</w:t>
      </w:r>
      <w:r>
        <w:rPr>
          <w:noProof/>
        </w:rPr>
        <w:fldChar w:fldCharType="begin"/>
      </w:r>
      <w:r>
        <w:instrText xml:space="preserve"> XE "</w:instrText>
      </w:r>
      <w:r>
        <w:rPr>
          <w:lang w:val="cs-CZ"/>
        </w:rPr>
        <w:instrText>Averroes:</w:instrText>
      </w:r>
      <w:r>
        <w:rPr>
          <w:noProof/>
        </w:rPr>
        <w:instrText>CMDA</w:instrText>
      </w:r>
      <w:r w:rsidRPr="00DD68A6">
        <w:rPr>
          <w:noProof/>
        </w:rPr>
        <w:instrText xml:space="preserve"> 380.37‒41</w:instrText>
      </w:r>
      <w:r>
        <w:instrText xml:space="preserve">" </w:instrText>
      </w:r>
      <w:r>
        <w:rPr>
          <w:noProof/>
        </w:rPr>
        <w:fldChar w:fldCharType="end"/>
      </w:r>
      <w:r w:rsidRPr="00273106">
        <w:rPr>
          <w:noProof/>
        </w:rPr>
        <w:t>)</w:t>
      </w:r>
    </w:p>
  </w:footnote>
  <w:footnote w:id="214">
    <w:p w:rsidR="00971E82" w:rsidRPr="00D14012" w:rsidRDefault="00971E82" w:rsidP="08163013">
      <w:pPr>
        <w:pStyle w:val="Textpoznpodarou"/>
        <w:rPr>
          <w:lang w:val="cs-CZ"/>
        </w:rPr>
      </w:pPr>
      <w:r>
        <w:rPr>
          <w:rStyle w:val="Znakapoznpodarou"/>
        </w:rPr>
        <w:footnoteRef/>
      </w:r>
      <w:r>
        <w:t xml:space="preserve"> </w:t>
      </w:r>
      <w:r w:rsidRPr="00273106">
        <w:rPr>
          <w:noProof/>
        </w:rPr>
        <w:t xml:space="preserve">„Dicit Commentator super hunc </w:t>
      </w:r>
      <w:r w:rsidRPr="00273106">
        <w:rPr>
          <w:i/>
          <w:noProof/>
        </w:rPr>
        <w:t>tertium</w:t>
      </w:r>
      <w:r w:rsidRPr="00273106">
        <w:rPr>
          <w:noProof/>
        </w:rPr>
        <w:t xml:space="preserve"> quod «scire actiones animae prius est apud nos quam scire eius substantiam». Ergo actio intellectus facit nos scire substantiam eius et sic, per consequens, si est generabilis aut non.“ (</w:t>
      </w:r>
      <w:r w:rsidRPr="08CE3231">
        <w:rPr>
          <w:noProof/>
        </w:rPr>
        <w:t>QIIIDA</w:t>
      </w:r>
      <w:r>
        <w:rPr>
          <w:noProof/>
        </w:rPr>
        <w:t>, q. 4</w:t>
      </w:r>
      <w:r>
        <w:rPr>
          <w:noProof/>
          <w:lang w:val="cs-CZ"/>
        </w:rPr>
        <w:t>;</w:t>
      </w:r>
      <w:r>
        <w:rPr>
          <w:noProof/>
        </w:rPr>
        <w:t xml:space="preserve"> ed. Bazán, p. 12.6</w:t>
      </w:r>
      <w:r>
        <w:rPr>
          <w:noProof/>
          <w:lang w:val="cs-CZ"/>
        </w:rPr>
        <w:t>7</w:t>
      </w:r>
      <w:r w:rsidRPr="00273106">
        <w:rPr>
          <w:noProof/>
        </w:rPr>
        <w:t>‒70</w:t>
      </w:r>
      <w:r>
        <w:rPr>
          <w:noProof/>
        </w:rPr>
        <w:fldChar w:fldCharType="begin"/>
      </w:r>
      <w:r>
        <w:instrText xml:space="preserve"> XE "</w:instrText>
      </w:r>
      <w:r>
        <w:rPr>
          <w:lang w:val="cs-CZ"/>
        </w:rPr>
        <w:instrText>Siger:</w:instrText>
      </w:r>
      <w:r>
        <w:rPr>
          <w:i/>
          <w:noProof/>
        </w:rPr>
        <w:instrText xml:space="preserve">Quaestiones in tertium </w:instrText>
      </w:r>
      <w:r>
        <w:rPr>
          <w:i/>
          <w:noProof/>
          <w:lang w:val="cs-CZ"/>
        </w:rPr>
        <w:instrText>D</w:instrText>
      </w:r>
      <w:r w:rsidRPr="00F61947">
        <w:rPr>
          <w:i/>
          <w:noProof/>
        </w:rPr>
        <w:instrText>e anima</w:instrText>
      </w:r>
      <w:r>
        <w:rPr>
          <w:noProof/>
          <w:lang w:val="cs-CZ"/>
        </w:rPr>
        <w:instrText xml:space="preserve"> </w:instrText>
      </w:r>
      <w:r w:rsidRPr="00F61947">
        <w:rPr>
          <w:noProof/>
        </w:rPr>
        <w:instrText>12.6</w:instrText>
      </w:r>
      <w:r w:rsidRPr="00F61947">
        <w:rPr>
          <w:noProof/>
          <w:lang w:val="cs-CZ"/>
        </w:rPr>
        <w:instrText>7</w:instrText>
      </w:r>
      <w:r w:rsidRPr="00F61947">
        <w:rPr>
          <w:noProof/>
        </w:rPr>
        <w:instrText>‒70</w:instrText>
      </w:r>
      <w:r>
        <w:instrText xml:space="preserve">" </w:instrText>
      </w:r>
      <w:r>
        <w:rPr>
          <w:noProof/>
        </w:rPr>
        <w:fldChar w:fldCharType="end"/>
      </w:r>
      <w:r w:rsidRPr="00273106">
        <w:rPr>
          <w:noProof/>
        </w:rPr>
        <w:t>)</w:t>
      </w:r>
    </w:p>
  </w:footnote>
  <w:footnote w:id="215">
    <w:p w:rsidR="00971E82" w:rsidRPr="08EA6CC4" w:rsidRDefault="00971E82">
      <w:pPr>
        <w:pStyle w:val="Textpoznpodarou"/>
        <w:rPr>
          <w:lang w:val="cs-CZ"/>
        </w:rPr>
      </w:pPr>
      <w:r>
        <w:rPr>
          <w:rStyle w:val="Znakapoznpodarou"/>
        </w:rPr>
        <w:footnoteRef/>
      </w:r>
      <w:r>
        <w:t xml:space="preserve"> </w:t>
      </w:r>
      <w:r>
        <w:rPr>
          <w:lang w:val="cs-CZ"/>
        </w:rPr>
        <w:t xml:space="preserve">Fenomenologická hermeneutika zakládající fundamentální pochopení první substance zvané </w:t>
      </w:r>
      <w:r w:rsidRPr="08EA6CC4">
        <w:rPr>
          <w:i/>
          <w:lang w:val="cs-CZ"/>
        </w:rPr>
        <w:t>Dasein</w:t>
      </w:r>
      <w:r>
        <w:rPr>
          <w:lang w:val="cs-CZ"/>
        </w:rPr>
        <w:t xml:space="preserve"> dostala zásadní aristotelský impulz v letním semestru 1922 (viz GA 62). Heidegger vypracovává tzv. „</w:t>
      </w:r>
      <w:r w:rsidRPr="08EA6CC4">
        <w:rPr>
          <w:i/>
          <w:lang w:val="cs-CZ"/>
        </w:rPr>
        <w:t>N</w:t>
      </w:r>
      <w:r>
        <w:rPr>
          <w:i/>
          <w:lang w:val="cs-CZ"/>
        </w:rPr>
        <w:t>atorp-</w:t>
      </w:r>
      <w:r w:rsidRPr="08EA6CC4">
        <w:rPr>
          <w:i/>
          <w:lang w:val="cs-CZ"/>
        </w:rPr>
        <w:t>Bericht</w:t>
      </w:r>
      <w:r>
        <w:rPr>
          <w:lang w:val="cs-CZ"/>
        </w:rPr>
        <w:t>“ kvůli přijetí na univerzitu v Marburku jako extraordinarius pro výuku filosofie.</w:t>
      </w:r>
      <w:r>
        <w:t xml:space="preserve"> </w:t>
      </w:r>
      <w:r>
        <w:rPr>
          <w:lang w:val="cs-CZ"/>
        </w:rPr>
        <w:t xml:space="preserve">Pasáž zvaná </w:t>
      </w:r>
      <w:r>
        <w:t>"</w:t>
      </w:r>
      <w:r w:rsidRPr="08EA6CC4">
        <w:rPr>
          <w:i/>
        </w:rPr>
        <w:t>Phänomenologische Interpretationen zu Aristoteles (Anzeige der hermeneutischen Situation)</w:t>
      </w:r>
      <w:r>
        <w:t xml:space="preserve">" </w:t>
      </w:r>
      <w:r>
        <w:rPr>
          <w:lang w:val="cs-CZ"/>
        </w:rPr>
        <w:t xml:space="preserve">představuje program nové hermeneutiky, kterou uzavřelo dílo </w:t>
      </w:r>
      <w:r w:rsidRPr="08E2114A">
        <w:rPr>
          <w:i/>
          <w:lang w:val="cs-CZ"/>
        </w:rPr>
        <w:t>Sein und Zeit</w:t>
      </w:r>
      <w:r>
        <w:rPr>
          <w:lang w:val="cs-CZ"/>
        </w:rPr>
        <w:t xml:space="preserve"> (1927).</w:t>
      </w:r>
    </w:p>
  </w:footnote>
  <w:footnote w:id="216">
    <w:p w:rsidR="00971E82" w:rsidRPr="006E7F2D" w:rsidRDefault="00971E82" w:rsidP="08163013">
      <w:pPr>
        <w:pStyle w:val="Textpoznpodarou"/>
        <w:rPr>
          <w:lang w:val="cs-CZ"/>
        </w:rPr>
      </w:pPr>
      <w:r>
        <w:rPr>
          <w:rStyle w:val="Znakapoznpodarou"/>
        </w:rPr>
        <w:footnoteRef/>
      </w:r>
      <w:r>
        <w:t xml:space="preserve"> </w:t>
      </w:r>
      <w:r w:rsidRPr="00273106">
        <w:rPr>
          <w:noProof/>
        </w:rPr>
        <w:t>„Veritas est quod intelligimus cum phantasmate abstractione formae intelligibilis, sed in ipso actu intelligendi non utitur intellectus organo. Unde sub phantasmatibus sensibilibus intellectus accipit quidditates rerum insensibiles, quod non faceret imaginatio vel sensus.“ (</w:t>
      </w:r>
      <w:r w:rsidRPr="081B1D98">
        <w:rPr>
          <w:noProof/>
        </w:rPr>
        <w:t>QIIIDA</w:t>
      </w:r>
      <w:r>
        <w:rPr>
          <w:noProof/>
        </w:rPr>
        <w:t>, q. 4</w:t>
      </w:r>
      <w:r>
        <w:rPr>
          <w:noProof/>
          <w:lang w:val="cs-CZ"/>
        </w:rPr>
        <w:t>;</w:t>
      </w:r>
      <w:r w:rsidRPr="00273106">
        <w:rPr>
          <w:noProof/>
        </w:rPr>
        <w:t xml:space="preserve"> ed. Bazán, p. 14.10‒14</w:t>
      </w:r>
      <w:r>
        <w:rPr>
          <w:noProof/>
        </w:rPr>
        <w:fldChar w:fldCharType="begin"/>
      </w:r>
      <w:r>
        <w:instrText xml:space="preserve"> XE "</w:instrText>
      </w:r>
      <w:r>
        <w:rPr>
          <w:lang w:val="cs-CZ"/>
        </w:rPr>
        <w:instrText>Siger:</w:instrText>
      </w:r>
      <w:r>
        <w:rPr>
          <w:i/>
          <w:noProof/>
        </w:rPr>
        <w:instrText xml:space="preserve">Quaestiones in tertium </w:instrText>
      </w:r>
      <w:r>
        <w:rPr>
          <w:i/>
          <w:noProof/>
          <w:lang w:val="cs-CZ"/>
        </w:rPr>
        <w:instrText>D</w:instrText>
      </w:r>
      <w:r w:rsidRPr="00F61947">
        <w:rPr>
          <w:i/>
          <w:noProof/>
        </w:rPr>
        <w:instrText>e anima</w:instrText>
      </w:r>
      <w:r>
        <w:rPr>
          <w:noProof/>
          <w:lang w:val="cs-CZ"/>
        </w:rPr>
        <w:instrText xml:space="preserve"> </w:instrText>
      </w:r>
      <w:r>
        <w:rPr>
          <w:noProof/>
        </w:rPr>
        <w:instrText>1</w:instrText>
      </w:r>
      <w:r>
        <w:rPr>
          <w:noProof/>
          <w:lang w:val="cs-CZ"/>
        </w:rPr>
        <w:instrText>4</w:instrText>
      </w:r>
      <w:r>
        <w:rPr>
          <w:noProof/>
        </w:rPr>
        <w:instrText>.</w:instrText>
      </w:r>
      <w:r>
        <w:rPr>
          <w:noProof/>
          <w:lang w:val="cs-CZ"/>
        </w:rPr>
        <w:instrText>10</w:instrText>
      </w:r>
      <w:r>
        <w:rPr>
          <w:noProof/>
        </w:rPr>
        <w:instrText>‒</w:instrText>
      </w:r>
      <w:r>
        <w:rPr>
          <w:noProof/>
          <w:lang w:val="cs-CZ"/>
        </w:rPr>
        <w:instrText>14</w:instrText>
      </w:r>
      <w:r>
        <w:instrText xml:space="preserve">" </w:instrText>
      </w:r>
      <w:r>
        <w:rPr>
          <w:noProof/>
        </w:rPr>
        <w:fldChar w:fldCharType="end"/>
      </w:r>
      <w:r w:rsidRPr="00273106">
        <w:rPr>
          <w:noProof/>
        </w:rPr>
        <w:t>)</w:t>
      </w:r>
    </w:p>
  </w:footnote>
  <w:footnote w:id="217">
    <w:p w:rsidR="00971E82" w:rsidRPr="006A581A" w:rsidRDefault="00971E82" w:rsidP="08163013">
      <w:pPr>
        <w:pStyle w:val="Textpoznpodarou"/>
        <w:rPr>
          <w:noProof/>
          <w:lang w:val="cs-CZ"/>
        </w:rPr>
      </w:pPr>
      <w:r>
        <w:rPr>
          <w:rStyle w:val="Znakapoznpodarou"/>
        </w:rPr>
        <w:footnoteRef/>
      </w:r>
      <w:r>
        <w:t xml:space="preserve"> </w:t>
      </w:r>
      <w:r w:rsidRPr="00273106">
        <w:rPr>
          <w:noProof/>
        </w:rPr>
        <w:t>„Si tu quaeres: qualiter ergo experimur acceptionem formae com</w:t>
      </w:r>
      <w:r w:rsidRPr="00273106">
        <w:rPr>
          <w:noProof/>
        </w:rPr>
        <w:softHyphen/>
        <w:t>munis in nobis fieri ab intellectu? Numquid est igitur haec ei propria operatio? Dico quod quodammodo est ei propria operatio, et dico quod hoc experimur, quia intellectus noster est quodammodo sicut aliquid compositum ex materia et forma: in toto enim potentia percipitur operatio quae debetur formae unde forma est, et etiam quae debetur materiae unde materia est.“ (</w:t>
      </w:r>
      <w:r w:rsidRPr="081B1D98">
        <w:rPr>
          <w:noProof/>
        </w:rPr>
        <w:t>QIIIDA</w:t>
      </w:r>
      <w:r w:rsidRPr="00273106">
        <w:rPr>
          <w:noProof/>
        </w:rPr>
        <w:t>, q. 4</w:t>
      </w:r>
      <w:r>
        <w:rPr>
          <w:noProof/>
          <w:lang w:val="cs-CZ"/>
        </w:rPr>
        <w:t>;</w:t>
      </w:r>
      <w:r w:rsidRPr="00273106">
        <w:rPr>
          <w:noProof/>
        </w:rPr>
        <w:t xml:space="preserve"> ed. Bazán, p. 14.16‒22</w:t>
      </w:r>
      <w:r>
        <w:rPr>
          <w:noProof/>
        </w:rPr>
        <w:fldChar w:fldCharType="begin"/>
      </w:r>
      <w:r>
        <w:instrText xml:space="preserve"> XE "</w:instrText>
      </w:r>
      <w:r>
        <w:rPr>
          <w:lang w:val="cs-CZ"/>
        </w:rPr>
        <w:instrText>Siger:</w:instrText>
      </w:r>
      <w:r>
        <w:rPr>
          <w:i/>
          <w:noProof/>
        </w:rPr>
        <w:instrText xml:space="preserve">Quaestiones in tertium </w:instrText>
      </w:r>
      <w:r>
        <w:rPr>
          <w:i/>
          <w:noProof/>
          <w:lang w:val="cs-CZ"/>
        </w:rPr>
        <w:instrText>D</w:instrText>
      </w:r>
      <w:r w:rsidRPr="00F61947">
        <w:rPr>
          <w:i/>
          <w:noProof/>
        </w:rPr>
        <w:instrText>e anima</w:instrText>
      </w:r>
      <w:r>
        <w:rPr>
          <w:noProof/>
          <w:lang w:val="cs-CZ"/>
        </w:rPr>
        <w:instrText xml:space="preserve"> </w:instrText>
      </w:r>
      <w:r>
        <w:rPr>
          <w:noProof/>
        </w:rPr>
        <w:instrText>1</w:instrText>
      </w:r>
      <w:r>
        <w:rPr>
          <w:noProof/>
          <w:lang w:val="cs-CZ"/>
        </w:rPr>
        <w:instrText>4</w:instrText>
      </w:r>
      <w:r>
        <w:rPr>
          <w:noProof/>
        </w:rPr>
        <w:instrText>.</w:instrText>
      </w:r>
      <w:r>
        <w:rPr>
          <w:noProof/>
          <w:lang w:val="cs-CZ"/>
        </w:rPr>
        <w:instrText>16</w:instrText>
      </w:r>
      <w:r>
        <w:rPr>
          <w:noProof/>
        </w:rPr>
        <w:instrText>‒</w:instrText>
      </w:r>
      <w:r>
        <w:rPr>
          <w:noProof/>
          <w:lang w:val="cs-CZ"/>
        </w:rPr>
        <w:instrText>22</w:instrText>
      </w:r>
      <w:r>
        <w:instrText xml:space="preserve">" </w:instrText>
      </w:r>
      <w:r>
        <w:rPr>
          <w:noProof/>
        </w:rPr>
        <w:fldChar w:fldCharType="end"/>
      </w:r>
      <w:r w:rsidRPr="00273106">
        <w:rPr>
          <w:noProof/>
        </w:rPr>
        <w:t>)</w:t>
      </w:r>
    </w:p>
  </w:footnote>
  <w:footnote w:id="218">
    <w:p w:rsidR="00971E82" w:rsidRPr="009E3D8C" w:rsidRDefault="00971E82" w:rsidP="08163013">
      <w:pPr>
        <w:pStyle w:val="Textpoznpodarou"/>
        <w:rPr>
          <w:lang w:val="cs-CZ"/>
        </w:rPr>
      </w:pPr>
      <w:r>
        <w:rPr>
          <w:rStyle w:val="Znakapoznpodarou"/>
        </w:rPr>
        <w:footnoteRef/>
      </w:r>
      <w:r>
        <w:t xml:space="preserve"> </w:t>
      </w:r>
      <w:r w:rsidRPr="00273106">
        <w:rPr>
          <w:noProof/>
        </w:rPr>
        <w:t xml:space="preserve">„Nos enim conscii sumus ex virtutibus corporis intellectum. Et percipimus operationes quae in nobis sunt vel fiunt ratione virtutum corporis et materiae, et similiter nos percipimus operationes quae fiunt in nobis ratione intellectus. </w:t>
      </w:r>
      <w:r w:rsidRPr="00273106">
        <w:rPr>
          <w:noProof/>
          <w:lang w:eastAsia="en-US"/>
        </w:rPr>
        <w:t>Unde ipse est intellectus noster, per quem experimur huiusmodi acceptionem universalem fieri in nobis. Intellec</w:t>
      </w:r>
      <w:r w:rsidRPr="00273106">
        <w:rPr>
          <w:noProof/>
          <w:lang w:eastAsia="en-US"/>
        </w:rPr>
        <w:softHyphen/>
        <w:t>tus enim noster apprehendit se ipsum sicut operari. Si ergo accipiantur praedicta, liquebit intellectum esse immaterialem et sic ingenerabilem.</w:t>
      </w:r>
      <w:r w:rsidRPr="00273106">
        <w:rPr>
          <w:noProof/>
        </w:rPr>
        <w:t>“ (</w:t>
      </w:r>
      <w:r w:rsidRPr="08441CA7">
        <w:rPr>
          <w:noProof/>
        </w:rPr>
        <w:t>QIIIDA</w:t>
      </w:r>
      <w:r w:rsidRPr="00273106">
        <w:rPr>
          <w:noProof/>
        </w:rPr>
        <w:t>, q. 4</w:t>
      </w:r>
      <w:r>
        <w:rPr>
          <w:noProof/>
          <w:lang w:val="cs-CZ"/>
        </w:rPr>
        <w:t>;</w:t>
      </w:r>
      <w:r w:rsidRPr="00273106">
        <w:rPr>
          <w:noProof/>
        </w:rPr>
        <w:t xml:space="preserve"> ed. Bazán, p. 14.22‒30</w:t>
      </w:r>
      <w:r>
        <w:rPr>
          <w:noProof/>
        </w:rPr>
        <w:fldChar w:fldCharType="begin"/>
      </w:r>
      <w:r>
        <w:instrText xml:space="preserve"> XE "</w:instrText>
      </w:r>
      <w:r>
        <w:rPr>
          <w:lang w:val="cs-CZ"/>
        </w:rPr>
        <w:instrText>Siger:</w:instrText>
      </w:r>
      <w:r>
        <w:rPr>
          <w:i/>
          <w:noProof/>
        </w:rPr>
        <w:instrText xml:space="preserve">Quaestiones in tertium </w:instrText>
      </w:r>
      <w:r>
        <w:rPr>
          <w:i/>
          <w:noProof/>
          <w:lang w:val="cs-CZ"/>
        </w:rPr>
        <w:instrText>D</w:instrText>
      </w:r>
      <w:r w:rsidRPr="00F61947">
        <w:rPr>
          <w:i/>
          <w:noProof/>
        </w:rPr>
        <w:instrText>e anima</w:instrText>
      </w:r>
      <w:r>
        <w:rPr>
          <w:noProof/>
          <w:lang w:val="cs-CZ"/>
        </w:rPr>
        <w:instrText xml:space="preserve"> </w:instrText>
      </w:r>
      <w:r>
        <w:rPr>
          <w:noProof/>
        </w:rPr>
        <w:instrText>1</w:instrText>
      </w:r>
      <w:r>
        <w:rPr>
          <w:noProof/>
          <w:lang w:val="cs-CZ"/>
        </w:rPr>
        <w:instrText>4</w:instrText>
      </w:r>
      <w:r>
        <w:rPr>
          <w:noProof/>
        </w:rPr>
        <w:instrText>.</w:instrText>
      </w:r>
      <w:r>
        <w:rPr>
          <w:noProof/>
          <w:lang w:val="cs-CZ"/>
        </w:rPr>
        <w:instrText>22</w:instrText>
      </w:r>
      <w:r>
        <w:rPr>
          <w:noProof/>
        </w:rPr>
        <w:instrText>‒</w:instrText>
      </w:r>
      <w:r>
        <w:rPr>
          <w:noProof/>
          <w:lang w:val="cs-CZ"/>
        </w:rPr>
        <w:instrText>30</w:instrText>
      </w:r>
      <w:r>
        <w:instrText xml:space="preserve">" </w:instrText>
      </w:r>
      <w:r>
        <w:rPr>
          <w:noProof/>
        </w:rPr>
        <w:fldChar w:fldCharType="end"/>
      </w:r>
      <w:r w:rsidRPr="00273106">
        <w:rPr>
          <w:noProof/>
        </w:rPr>
        <w:t>)</w:t>
      </w:r>
    </w:p>
  </w:footnote>
  <w:footnote w:id="219">
    <w:p w:rsidR="00971E82" w:rsidRPr="08BA392D" w:rsidRDefault="00971E82" w:rsidP="08163013">
      <w:pPr>
        <w:pStyle w:val="Textpoznpodarou"/>
      </w:pPr>
      <w:r>
        <w:rPr>
          <w:rStyle w:val="Znakapoznpodarou"/>
        </w:rPr>
        <w:footnoteRef/>
      </w:r>
      <w:r>
        <w:t xml:space="preserve"> </w:t>
      </w:r>
      <w:r w:rsidRPr="08BA392D">
        <w:t>„Intellectus perficit corpus, non per suam substantiam, sed per suam potentiam, quia, si per suam substantiam perficeret, non esset separabilis. Averroes attendens hoc in secundo dixit: cum non utatur corpore, non potest ipsum perficere per suam substantiam, quod attendens Aristoteles dixit in secundo quod intellectus nullius corporis est ad substantiam actus, id est, nullius partis corporis, ita quod legatur transitive.“ (QIIIDA, q. 7; ed. Bazán, p. 23.38‒44</w:t>
      </w:r>
      <w:r w:rsidRPr="08BA392D">
        <w:fldChar w:fldCharType="begin"/>
      </w:r>
      <w:r w:rsidRPr="08BA392D">
        <w:instrText xml:space="preserve"> XE "Siger:Quaestiones in tertium De anima 23.38‒44" </w:instrText>
      </w:r>
      <w:r w:rsidRPr="08BA392D">
        <w:fldChar w:fldCharType="end"/>
      </w:r>
      <w:r w:rsidRPr="08BA392D">
        <w:t>)</w:t>
      </w:r>
    </w:p>
  </w:footnote>
  <w:footnote w:id="220">
    <w:p w:rsidR="00971E82" w:rsidRPr="00BE162D" w:rsidRDefault="00971E82" w:rsidP="00226A30">
      <w:pPr>
        <w:pStyle w:val="Textpoznpodarou"/>
        <w:rPr>
          <w:noProof/>
          <w:lang w:val="cs-CZ"/>
        </w:rPr>
      </w:pPr>
      <w:r>
        <w:rPr>
          <w:rStyle w:val="Znakapoznpodarou"/>
        </w:rPr>
        <w:footnoteRef/>
      </w:r>
      <w:r>
        <w:t xml:space="preserve"> </w:t>
      </w:r>
      <w:r w:rsidRPr="00273106">
        <w:rPr>
          <w:noProof/>
        </w:rPr>
        <w:t xml:space="preserve">„Consequenter quaeritur qualiter intellectus nobis copulatur, utrum scilicet sit unus intellectus in omnibus, </w:t>
      </w:r>
      <w:r w:rsidRPr="00273106">
        <w:rPr>
          <w:noProof/>
          <w:lang w:eastAsia="fr-FR"/>
        </w:rPr>
        <w:t xml:space="preserve">non </w:t>
      </w:r>
      <w:r w:rsidRPr="00273106">
        <w:rPr>
          <w:noProof/>
        </w:rPr>
        <w:t xml:space="preserve">numeratus numeratione hominum, vel sit intellectus plurificatus </w:t>
      </w:r>
      <w:r w:rsidRPr="00273106">
        <w:rPr>
          <w:noProof/>
          <w:lang w:eastAsia="fr-FR"/>
        </w:rPr>
        <w:t xml:space="preserve">et </w:t>
      </w:r>
      <w:r w:rsidRPr="00273106">
        <w:rPr>
          <w:noProof/>
        </w:rPr>
        <w:t>numeratus secundum numerationem hominum.“ (</w:t>
      </w:r>
      <w:r w:rsidRPr="083F3476">
        <w:rPr>
          <w:noProof/>
        </w:rPr>
        <w:t>QIIIDA</w:t>
      </w:r>
      <w:r>
        <w:rPr>
          <w:noProof/>
        </w:rPr>
        <w:t>, q. 9</w:t>
      </w:r>
      <w:r>
        <w:rPr>
          <w:noProof/>
          <w:lang w:val="cs-CZ"/>
        </w:rPr>
        <w:t>;</w:t>
      </w:r>
      <w:r w:rsidRPr="00273106">
        <w:rPr>
          <w:noProof/>
        </w:rPr>
        <w:t xml:space="preserve"> ed. Bazán, p. 25.3‒6</w:t>
      </w:r>
      <w:r>
        <w:rPr>
          <w:noProof/>
        </w:rPr>
        <w:fldChar w:fldCharType="begin"/>
      </w:r>
      <w:r>
        <w:instrText xml:space="preserve"> XE "</w:instrText>
      </w:r>
      <w:r>
        <w:rPr>
          <w:lang w:val="cs-CZ"/>
        </w:rPr>
        <w:instrText>Siger:</w:instrText>
      </w:r>
      <w:r>
        <w:rPr>
          <w:i/>
          <w:noProof/>
        </w:rPr>
        <w:instrText xml:space="preserve">Quaestiones in tertium </w:instrText>
      </w:r>
      <w:r>
        <w:rPr>
          <w:i/>
          <w:noProof/>
          <w:lang w:val="cs-CZ"/>
        </w:rPr>
        <w:instrText>D</w:instrText>
      </w:r>
      <w:r w:rsidRPr="00855A14">
        <w:rPr>
          <w:i/>
          <w:noProof/>
        </w:rPr>
        <w:instrText>e anima</w:instrText>
      </w:r>
      <w:r>
        <w:rPr>
          <w:i/>
          <w:noProof/>
          <w:lang w:val="cs-CZ"/>
        </w:rPr>
        <w:instrText xml:space="preserve"> </w:instrText>
      </w:r>
      <w:r>
        <w:rPr>
          <w:noProof/>
        </w:rPr>
        <w:instrText>2</w:instrText>
      </w:r>
      <w:r>
        <w:rPr>
          <w:noProof/>
          <w:lang w:val="cs-CZ"/>
        </w:rPr>
        <w:instrText>5</w:instrText>
      </w:r>
      <w:r w:rsidRPr="00855A14">
        <w:rPr>
          <w:noProof/>
        </w:rPr>
        <w:instrText>.3‒</w:instrText>
      </w:r>
      <w:r>
        <w:rPr>
          <w:noProof/>
          <w:lang w:val="cs-CZ"/>
        </w:rPr>
        <w:instrText>6</w:instrText>
      </w:r>
      <w:r>
        <w:instrText xml:space="preserve">" </w:instrText>
      </w:r>
      <w:r>
        <w:rPr>
          <w:noProof/>
        </w:rPr>
        <w:fldChar w:fldCharType="end"/>
      </w:r>
      <w:r w:rsidRPr="00273106">
        <w:rPr>
          <w:noProof/>
        </w:rPr>
        <w:t>)</w:t>
      </w:r>
    </w:p>
  </w:footnote>
  <w:footnote w:id="221">
    <w:p w:rsidR="00971E82" w:rsidRPr="00301E34" w:rsidRDefault="00971E82" w:rsidP="08163013">
      <w:pPr>
        <w:pStyle w:val="Textpoznpodarou"/>
        <w:rPr>
          <w:lang w:val="cs-CZ"/>
        </w:rPr>
      </w:pPr>
      <w:r>
        <w:rPr>
          <w:rStyle w:val="Znakapoznpodarou"/>
        </w:rPr>
        <w:footnoteRef/>
      </w:r>
      <w:r>
        <w:t xml:space="preserve"> </w:t>
      </w:r>
      <w:r>
        <w:rPr>
          <w:lang w:val="cs-CZ"/>
        </w:rPr>
        <w:t>„</w:t>
      </w:r>
      <w:r w:rsidRPr="00273106">
        <w:rPr>
          <w:noProof/>
        </w:rPr>
        <w:t>Item ratio</w:t>
      </w:r>
      <w:r w:rsidRPr="00273106">
        <w:rPr>
          <w:rStyle w:val="Zkladntext259pt"/>
          <w:rFonts w:ascii="Calibri" w:hAnsi="Calibri"/>
          <w:smallCaps w:val="0"/>
          <w:noProof/>
          <w:sz w:val="21"/>
          <w:lang w:val="cs-CZ"/>
        </w:rPr>
        <w:t xml:space="preserve"> Commentatoris</w:t>
      </w:r>
      <w:r w:rsidRPr="00273106">
        <w:rPr>
          <w:noProof/>
        </w:rPr>
        <w:t xml:space="preserve"> ad illud. Si intellectus numeraretur numeratione hominum, intellectus esset virtus in corpore. Intellectus non est virtus in corpore. Ergo non numeratur numeratione hominum.“ (</w:t>
      </w:r>
      <w:r w:rsidRPr="0823646E">
        <w:rPr>
          <w:noProof/>
        </w:rPr>
        <w:t>QIIIDA</w:t>
      </w:r>
      <w:r>
        <w:rPr>
          <w:noProof/>
        </w:rPr>
        <w:t>, q. 9</w:t>
      </w:r>
      <w:r>
        <w:rPr>
          <w:noProof/>
          <w:lang w:val="cs-CZ"/>
        </w:rPr>
        <w:t>;</w:t>
      </w:r>
      <w:r w:rsidRPr="00273106">
        <w:rPr>
          <w:noProof/>
        </w:rPr>
        <w:t xml:space="preserve"> ed. Bazán, p. 26.10‒12</w:t>
      </w:r>
      <w:r>
        <w:rPr>
          <w:noProof/>
        </w:rPr>
        <w:fldChar w:fldCharType="begin"/>
      </w:r>
      <w:r>
        <w:instrText xml:space="preserve"> XE "</w:instrText>
      </w:r>
      <w:r>
        <w:rPr>
          <w:lang w:val="cs-CZ"/>
        </w:rPr>
        <w:instrText>Siger:</w:instrText>
      </w:r>
      <w:r>
        <w:rPr>
          <w:i/>
          <w:noProof/>
        </w:rPr>
        <w:instrText xml:space="preserve">Quaestiones in tertium </w:instrText>
      </w:r>
      <w:r>
        <w:rPr>
          <w:i/>
          <w:noProof/>
          <w:lang w:val="cs-CZ"/>
        </w:rPr>
        <w:instrText>D</w:instrText>
      </w:r>
      <w:r w:rsidRPr="00855A14">
        <w:rPr>
          <w:i/>
          <w:noProof/>
        </w:rPr>
        <w:instrText>e anima</w:instrText>
      </w:r>
      <w:r>
        <w:rPr>
          <w:i/>
          <w:noProof/>
          <w:lang w:val="cs-CZ"/>
        </w:rPr>
        <w:instrText xml:space="preserve"> </w:instrText>
      </w:r>
      <w:r>
        <w:rPr>
          <w:noProof/>
        </w:rPr>
        <w:instrText>2</w:instrText>
      </w:r>
      <w:r>
        <w:rPr>
          <w:noProof/>
          <w:lang w:val="cs-CZ"/>
        </w:rPr>
        <w:instrText>6</w:instrText>
      </w:r>
      <w:r>
        <w:rPr>
          <w:noProof/>
        </w:rPr>
        <w:instrText>.</w:instrText>
      </w:r>
      <w:r>
        <w:rPr>
          <w:noProof/>
          <w:lang w:val="cs-CZ"/>
        </w:rPr>
        <w:instrText>10</w:instrText>
      </w:r>
      <w:r>
        <w:rPr>
          <w:noProof/>
        </w:rPr>
        <w:instrText>‒</w:instrText>
      </w:r>
      <w:r>
        <w:rPr>
          <w:noProof/>
          <w:lang w:val="cs-CZ"/>
        </w:rPr>
        <w:instrText>12</w:instrText>
      </w:r>
      <w:r>
        <w:instrText xml:space="preserve">" </w:instrText>
      </w:r>
      <w:r>
        <w:rPr>
          <w:noProof/>
        </w:rPr>
        <w:fldChar w:fldCharType="end"/>
      </w:r>
      <w:r w:rsidRPr="00273106">
        <w:rPr>
          <w:noProof/>
        </w:rPr>
        <w:t>)</w:t>
      </w:r>
    </w:p>
  </w:footnote>
  <w:footnote w:id="222">
    <w:p w:rsidR="00971E82" w:rsidRPr="00B3417A" w:rsidRDefault="00971E82" w:rsidP="08163013">
      <w:pPr>
        <w:pStyle w:val="Textpoznpodarou"/>
        <w:rPr>
          <w:lang w:val="cs-CZ"/>
        </w:rPr>
      </w:pPr>
      <w:r>
        <w:rPr>
          <w:rStyle w:val="Znakapoznpodarou"/>
        </w:rPr>
        <w:footnoteRef/>
      </w:r>
      <w:r>
        <w:t xml:space="preserve"> </w:t>
      </w:r>
      <w:r w:rsidRPr="00273106">
        <w:rPr>
          <w:noProof/>
        </w:rPr>
        <w:t>„Ex his praenotantis</w:t>
      </w:r>
      <w:r>
        <w:rPr>
          <w:noProof/>
        </w:rPr>
        <w:t xml:space="preserve"> concluditur quod intellectus, </w:t>
      </w:r>
      <w:r w:rsidRPr="00273106">
        <w:rPr>
          <w:noProof/>
        </w:rPr>
        <w:t xml:space="preserve">cum sit immaterialis, in eius </w:t>
      </w:r>
      <w:r w:rsidRPr="00273106">
        <w:rPr>
          <w:noProof/>
          <w:lang w:eastAsia="de-DE"/>
        </w:rPr>
        <w:t xml:space="preserve">natura </w:t>
      </w:r>
      <w:r w:rsidRPr="00273106">
        <w:rPr>
          <w:noProof/>
        </w:rPr>
        <w:t>non est quod multiplicetur secundum numerum.“ (</w:t>
      </w:r>
      <w:r w:rsidRPr="0823646E">
        <w:rPr>
          <w:noProof/>
        </w:rPr>
        <w:t>QIIIDA</w:t>
      </w:r>
      <w:r>
        <w:rPr>
          <w:noProof/>
        </w:rPr>
        <w:t>, q. 9</w:t>
      </w:r>
      <w:r>
        <w:rPr>
          <w:noProof/>
          <w:lang w:val="cs-CZ"/>
        </w:rPr>
        <w:t xml:space="preserve">; </w:t>
      </w:r>
      <w:r w:rsidRPr="00273106">
        <w:rPr>
          <w:noProof/>
        </w:rPr>
        <w:t>ed. Bazán, p. 26.28‒30</w:t>
      </w:r>
      <w:r>
        <w:rPr>
          <w:noProof/>
        </w:rPr>
        <w:fldChar w:fldCharType="begin"/>
      </w:r>
      <w:r>
        <w:instrText xml:space="preserve"> XE "</w:instrText>
      </w:r>
      <w:r>
        <w:rPr>
          <w:lang w:val="cs-CZ"/>
        </w:rPr>
        <w:instrText>Siger:</w:instrText>
      </w:r>
      <w:r>
        <w:rPr>
          <w:i/>
          <w:noProof/>
        </w:rPr>
        <w:instrText xml:space="preserve">Quaestiones in tertium </w:instrText>
      </w:r>
      <w:r>
        <w:rPr>
          <w:i/>
          <w:noProof/>
          <w:lang w:val="cs-CZ"/>
        </w:rPr>
        <w:instrText>D</w:instrText>
      </w:r>
      <w:r w:rsidRPr="009E569D">
        <w:rPr>
          <w:i/>
          <w:noProof/>
        </w:rPr>
        <w:instrText>e anima</w:instrText>
      </w:r>
      <w:r w:rsidRPr="009E569D">
        <w:rPr>
          <w:noProof/>
        </w:rPr>
        <w:instrText xml:space="preserve"> 26.28‒30</w:instrText>
      </w:r>
      <w:r>
        <w:instrText xml:space="preserve">" </w:instrText>
      </w:r>
      <w:r>
        <w:rPr>
          <w:noProof/>
        </w:rPr>
        <w:fldChar w:fldCharType="end"/>
      </w:r>
      <w:r w:rsidRPr="00273106">
        <w:rPr>
          <w:noProof/>
        </w:rPr>
        <w:t>)</w:t>
      </w:r>
    </w:p>
  </w:footnote>
  <w:footnote w:id="223">
    <w:p w:rsidR="00971E82" w:rsidRPr="00B93BF4" w:rsidRDefault="00971E82" w:rsidP="08163013">
      <w:pPr>
        <w:pStyle w:val="Textpoznpodarou"/>
        <w:rPr>
          <w:lang w:val="cs-CZ"/>
        </w:rPr>
      </w:pPr>
      <w:r>
        <w:rPr>
          <w:rStyle w:val="Znakapoznpodarou"/>
        </w:rPr>
        <w:footnoteRef/>
      </w:r>
      <w:r>
        <w:t xml:space="preserve"> </w:t>
      </w:r>
      <w:r w:rsidRPr="00273106">
        <w:t>„Haec videtur esse positio Avicennae, scilicet quod intellectus multiplicetur a principiis corporis.“ (</w:t>
      </w:r>
      <w:r w:rsidRPr="0823646E">
        <w:rPr>
          <w:noProof/>
        </w:rPr>
        <w:t>QIIIDA</w:t>
      </w:r>
      <w:r w:rsidRPr="00273106">
        <w:t>, q. 9, p. 27.39‒40</w:t>
      </w:r>
      <w:r>
        <w:rPr>
          <w:noProof/>
        </w:rPr>
        <w:fldChar w:fldCharType="begin"/>
      </w:r>
      <w:r>
        <w:instrText xml:space="preserve"> XE "</w:instrText>
      </w:r>
      <w:r>
        <w:rPr>
          <w:lang w:val="cs-CZ"/>
        </w:rPr>
        <w:instrText>Siger:</w:instrText>
      </w:r>
      <w:r>
        <w:rPr>
          <w:i/>
          <w:noProof/>
        </w:rPr>
        <w:instrText xml:space="preserve">Quaestiones in tertium </w:instrText>
      </w:r>
      <w:r>
        <w:rPr>
          <w:i/>
          <w:noProof/>
          <w:lang w:val="cs-CZ"/>
        </w:rPr>
        <w:instrText>D</w:instrText>
      </w:r>
      <w:r w:rsidRPr="009E569D">
        <w:rPr>
          <w:i/>
          <w:noProof/>
        </w:rPr>
        <w:instrText>e anima</w:instrText>
      </w:r>
      <w:r>
        <w:rPr>
          <w:noProof/>
        </w:rPr>
        <w:instrText xml:space="preserve"> 2</w:instrText>
      </w:r>
      <w:r>
        <w:rPr>
          <w:noProof/>
          <w:lang w:val="cs-CZ"/>
        </w:rPr>
        <w:instrText>7</w:instrText>
      </w:r>
      <w:r>
        <w:rPr>
          <w:noProof/>
        </w:rPr>
        <w:instrText>.</w:instrText>
      </w:r>
      <w:r>
        <w:rPr>
          <w:noProof/>
          <w:lang w:val="cs-CZ"/>
        </w:rPr>
        <w:instrText>39</w:instrText>
      </w:r>
      <w:r>
        <w:rPr>
          <w:noProof/>
        </w:rPr>
        <w:instrText>‒</w:instrText>
      </w:r>
      <w:r>
        <w:rPr>
          <w:noProof/>
          <w:lang w:val="cs-CZ"/>
        </w:rPr>
        <w:instrText>40</w:instrText>
      </w:r>
      <w:r>
        <w:instrText xml:space="preserve">" </w:instrText>
      </w:r>
      <w:r>
        <w:rPr>
          <w:noProof/>
        </w:rPr>
        <w:fldChar w:fldCharType="end"/>
      </w:r>
      <w:r w:rsidRPr="00273106">
        <w:t>)</w:t>
      </w:r>
      <w:r w:rsidRPr="00187BEA">
        <w:t xml:space="preserve"> </w:t>
      </w:r>
      <w:r>
        <w:rPr>
          <w:lang w:val="cs-CZ"/>
        </w:rPr>
        <w:t xml:space="preserve">... </w:t>
      </w:r>
      <w:r>
        <w:t>„</w:t>
      </w:r>
      <w:r w:rsidRPr="000250D1">
        <w:rPr>
          <w:rStyle w:val="TextpoznpodarouChar"/>
          <w:rFonts w:eastAsia="Times"/>
        </w:rPr>
        <w:t>Et ideo arguit Averroes quod, si intellectus multiplicaretur secundum multiplicationem hominum individuorum, esset virtus in corpore.</w:t>
      </w:r>
      <w:r>
        <w:rPr>
          <w:rStyle w:val="TextpoznpodarouChar"/>
          <w:rFonts w:eastAsia="Times"/>
        </w:rPr>
        <w:t xml:space="preserve">“ </w:t>
      </w:r>
      <w:r>
        <w:t>(</w:t>
      </w:r>
      <w:r w:rsidRPr="0823646E">
        <w:rPr>
          <w:noProof/>
        </w:rPr>
        <w:t>QIIIDA</w:t>
      </w:r>
      <w:r>
        <w:rPr>
          <w:noProof/>
        </w:rPr>
        <w:t>, q. 9</w:t>
      </w:r>
      <w:r>
        <w:rPr>
          <w:noProof/>
          <w:lang w:val="cs-CZ"/>
        </w:rPr>
        <w:t>;</w:t>
      </w:r>
      <w:r w:rsidRPr="0823646E">
        <w:rPr>
          <w:noProof/>
        </w:rPr>
        <w:t xml:space="preserve"> </w:t>
      </w:r>
      <w:r w:rsidRPr="00273106">
        <w:rPr>
          <w:noProof/>
        </w:rPr>
        <w:t xml:space="preserve">ed. Bazán </w:t>
      </w:r>
      <w:r>
        <w:t>p. 27.52‒54</w:t>
      </w:r>
      <w:r>
        <w:rPr>
          <w:noProof/>
        </w:rPr>
        <w:fldChar w:fldCharType="begin"/>
      </w:r>
      <w:r>
        <w:instrText xml:space="preserve"> XE "</w:instrText>
      </w:r>
      <w:r>
        <w:rPr>
          <w:lang w:val="cs-CZ"/>
        </w:rPr>
        <w:instrText>Siger:</w:instrText>
      </w:r>
      <w:r>
        <w:rPr>
          <w:i/>
          <w:noProof/>
        </w:rPr>
        <w:instrText xml:space="preserve">Quaestiones in tertium </w:instrText>
      </w:r>
      <w:r>
        <w:rPr>
          <w:i/>
          <w:noProof/>
          <w:lang w:val="cs-CZ"/>
        </w:rPr>
        <w:instrText>D</w:instrText>
      </w:r>
      <w:r w:rsidRPr="009E569D">
        <w:rPr>
          <w:i/>
          <w:noProof/>
        </w:rPr>
        <w:instrText>e anima</w:instrText>
      </w:r>
      <w:r>
        <w:rPr>
          <w:noProof/>
        </w:rPr>
        <w:instrText xml:space="preserve"> 2</w:instrText>
      </w:r>
      <w:r>
        <w:rPr>
          <w:noProof/>
          <w:lang w:val="cs-CZ"/>
        </w:rPr>
        <w:instrText>7</w:instrText>
      </w:r>
      <w:r>
        <w:rPr>
          <w:noProof/>
        </w:rPr>
        <w:instrText>.</w:instrText>
      </w:r>
      <w:r>
        <w:rPr>
          <w:noProof/>
          <w:lang w:val="cs-CZ"/>
        </w:rPr>
        <w:instrText>52</w:instrText>
      </w:r>
      <w:r>
        <w:rPr>
          <w:noProof/>
        </w:rPr>
        <w:instrText>‒</w:instrText>
      </w:r>
      <w:r>
        <w:rPr>
          <w:noProof/>
          <w:lang w:val="cs-CZ"/>
        </w:rPr>
        <w:instrText>54</w:instrText>
      </w:r>
      <w:r>
        <w:instrText xml:space="preserve">" </w:instrText>
      </w:r>
      <w:r>
        <w:rPr>
          <w:noProof/>
        </w:rPr>
        <w:fldChar w:fldCharType="end"/>
      </w:r>
      <w:r>
        <w:t>)</w:t>
      </w:r>
    </w:p>
  </w:footnote>
  <w:footnote w:id="224">
    <w:p w:rsidR="00971E82" w:rsidRPr="008E0D40" w:rsidRDefault="00971E82" w:rsidP="08163013">
      <w:pPr>
        <w:pStyle w:val="Textpoznpodarou"/>
      </w:pPr>
      <w:r>
        <w:rPr>
          <w:rStyle w:val="Znakapoznpodarou"/>
        </w:rPr>
        <w:footnoteRef/>
      </w:r>
      <w:r>
        <w:t xml:space="preserve"> „Unus est intellectus diversorum</w:t>
      </w:r>
      <w:r w:rsidRPr="00B76302">
        <w:t>: eo una enim est substantia intellectus, et similiter una potestas. Ex quo intentionum imaginatarum est una ratio, manifestum quod ipsius est una potestas.</w:t>
      </w:r>
      <w:r>
        <w:t>“ (</w:t>
      </w:r>
      <w:r w:rsidRPr="0823646E">
        <w:rPr>
          <w:noProof/>
        </w:rPr>
        <w:t>QIIIDA</w:t>
      </w:r>
      <w:r>
        <w:t>, q. 9</w:t>
      </w:r>
      <w:r>
        <w:rPr>
          <w:lang w:val="cs-CZ"/>
        </w:rPr>
        <w:t xml:space="preserve">; </w:t>
      </w:r>
      <w:r w:rsidRPr="00273106">
        <w:rPr>
          <w:noProof/>
        </w:rPr>
        <w:t xml:space="preserve">ed. Bazán, </w:t>
      </w:r>
      <w:r>
        <w:t>p. 28.60‒63</w:t>
      </w:r>
      <w:r>
        <w:rPr>
          <w:noProof/>
        </w:rPr>
        <w:fldChar w:fldCharType="begin"/>
      </w:r>
      <w:r>
        <w:instrText xml:space="preserve"> XE "</w:instrText>
      </w:r>
      <w:r>
        <w:rPr>
          <w:lang w:val="cs-CZ"/>
        </w:rPr>
        <w:instrText>Siger:</w:instrText>
      </w:r>
      <w:r>
        <w:rPr>
          <w:i/>
          <w:noProof/>
        </w:rPr>
        <w:instrText xml:space="preserve">Quaestiones in tertium </w:instrText>
      </w:r>
      <w:r>
        <w:rPr>
          <w:i/>
          <w:noProof/>
          <w:lang w:val="cs-CZ"/>
        </w:rPr>
        <w:instrText>D</w:instrText>
      </w:r>
      <w:r w:rsidRPr="009E569D">
        <w:rPr>
          <w:i/>
          <w:noProof/>
        </w:rPr>
        <w:instrText>e anima</w:instrText>
      </w:r>
      <w:r>
        <w:rPr>
          <w:noProof/>
        </w:rPr>
        <w:instrText xml:space="preserve"> 2</w:instrText>
      </w:r>
      <w:r>
        <w:rPr>
          <w:noProof/>
          <w:lang w:val="cs-CZ"/>
        </w:rPr>
        <w:instrText>8</w:instrText>
      </w:r>
      <w:r>
        <w:rPr>
          <w:noProof/>
        </w:rPr>
        <w:instrText>.</w:instrText>
      </w:r>
      <w:r>
        <w:rPr>
          <w:noProof/>
          <w:lang w:val="cs-CZ"/>
        </w:rPr>
        <w:instrText>60</w:instrText>
      </w:r>
      <w:r>
        <w:rPr>
          <w:noProof/>
        </w:rPr>
        <w:instrText>‒</w:instrText>
      </w:r>
      <w:r>
        <w:rPr>
          <w:noProof/>
          <w:lang w:val="cs-CZ"/>
        </w:rPr>
        <w:instrText>63</w:instrText>
      </w:r>
      <w:r>
        <w:instrText xml:space="preserve">" </w:instrText>
      </w:r>
      <w:r>
        <w:rPr>
          <w:noProof/>
        </w:rPr>
        <w:fldChar w:fldCharType="end"/>
      </w:r>
      <w:r>
        <w:t>)</w:t>
      </w:r>
    </w:p>
  </w:footnote>
  <w:footnote w:id="225">
    <w:p w:rsidR="00971E82" w:rsidRPr="00E6705A" w:rsidRDefault="00971E82" w:rsidP="08163013">
      <w:pPr>
        <w:pStyle w:val="Textpoznpodarou"/>
        <w:rPr>
          <w:noProof/>
          <w:lang w:val="cs-CZ"/>
        </w:rPr>
      </w:pPr>
      <w:r>
        <w:rPr>
          <w:rStyle w:val="Znakapoznpodarou"/>
        </w:rPr>
        <w:footnoteRef/>
      </w:r>
      <w:r>
        <w:t xml:space="preserve"> </w:t>
      </w:r>
      <w:r w:rsidRPr="00273106">
        <w:rPr>
          <w:noProof/>
        </w:rPr>
        <w:t>„</w:t>
      </w:r>
      <w:r w:rsidRPr="00273106">
        <w:rPr>
          <w:noProof/>
          <w:lang w:eastAsia="en-US"/>
        </w:rPr>
        <w:t xml:space="preserve">Sensus enim copulatur nobis per partem eius quae est materia. Sed intellectus copulatur nobis per partem eius quae est forma. </w:t>
      </w:r>
      <w:r w:rsidRPr="00273106">
        <w:rPr>
          <w:noProof/>
        </w:rPr>
        <w:t>Unde, quia sensus copulatur nobis, ideo sensata copulantur nobis. Non sic de intellectu, sed e converso: non enim per hoc quod intellectus copulatur nobis, ideo intellecta copulantur nobis, sed quia intellecta copulantur nobis.“ (</w:t>
      </w:r>
      <w:r w:rsidRPr="0823646E">
        <w:rPr>
          <w:noProof/>
        </w:rPr>
        <w:t>QIIIDA</w:t>
      </w:r>
      <w:r>
        <w:rPr>
          <w:noProof/>
        </w:rPr>
        <w:t xml:space="preserve">, q. </w:t>
      </w:r>
      <w:r>
        <w:rPr>
          <w:noProof/>
          <w:lang w:val="cs-CZ"/>
        </w:rPr>
        <w:t>9;</w:t>
      </w:r>
      <w:r>
        <w:rPr>
          <w:noProof/>
        </w:rPr>
        <w:t xml:space="preserve"> ed. Bazán</w:t>
      </w:r>
      <w:r w:rsidRPr="00273106">
        <w:rPr>
          <w:noProof/>
        </w:rPr>
        <w:t>, p. 28.65‒70</w:t>
      </w:r>
      <w:r>
        <w:rPr>
          <w:noProof/>
        </w:rPr>
        <w:fldChar w:fldCharType="begin"/>
      </w:r>
      <w:r>
        <w:instrText xml:space="preserve"> XE "</w:instrText>
      </w:r>
      <w:r>
        <w:rPr>
          <w:lang w:val="cs-CZ"/>
        </w:rPr>
        <w:instrText>Siger:</w:instrText>
      </w:r>
      <w:r>
        <w:rPr>
          <w:i/>
          <w:noProof/>
        </w:rPr>
        <w:instrText xml:space="preserve">Quaestiones in tertium </w:instrText>
      </w:r>
      <w:r>
        <w:rPr>
          <w:i/>
          <w:noProof/>
          <w:lang w:val="cs-CZ"/>
        </w:rPr>
        <w:instrText>D</w:instrText>
      </w:r>
      <w:r w:rsidRPr="009E569D">
        <w:rPr>
          <w:i/>
          <w:noProof/>
        </w:rPr>
        <w:instrText>e anima</w:instrText>
      </w:r>
      <w:r>
        <w:rPr>
          <w:noProof/>
        </w:rPr>
        <w:instrText xml:space="preserve"> 2</w:instrText>
      </w:r>
      <w:r>
        <w:rPr>
          <w:noProof/>
          <w:lang w:val="cs-CZ"/>
        </w:rPr>
        <w:instrText>8</w:instrText>
      </w:r>
      <w:r>
        <w:rPr>
          <w:noProof/>
        </w:rPr>
        <w:instrText>.</w:instrText>
      </w:r>
      <w:r>
        <w:rPr>
          <w:noProof/>
          <w:lang w:val="cs-CZ"/>
        </w:rPr>
        <w:instrText>65</w:instrText>
      </w:r>
      <w:r>
        <w:rPr>
          <w:noProof/>
        </w:rPr>
        <w:instrText>‒</w:instrText>
      </w:r>
      <w:r>
        <w:rPr>
          <w:noProof/>
          <w:lang w:val="cs-CZ"/>
        </w:rPr>
        <w:instrText>70</w:instrText>
      </w:r>
      <w:r>
        <w:instrText xml:space="preserve">" </w:instrText>
      </w:r>
      <w:r>
        <w:rPr>
          <w:noProof/>
        </w:rPr>
        <w:fldChar w:fldCharType="end"/>
      </w:r>
      <w:r w:rsidRPr="00273106">
        <w:rPr>
          <w:noProof/>
        </w:rPr>
        <w:t>)</w:t>
      </w:r>
    </w:p>
  </w:footnote>
  <w:footnote w:id="226">
    <w:p w:rsidR="00971E82" w:rsidRPr="007658B4" w:rsidRDefault="00971E82" w:rsidP="08163013">
      <w:pPr>
        <w:pStyle w:val="Textpoznpodarou"/>
      </w:pPr>
      <w:r>
        <w:rPr>
          <w:rStyle w:val="Znakapoznpodarou"/>
        </w:rPr>
        <w:footnoteRef/>
      </w:r>
      <w:r>
        <w:t xml:space="preserve"> „</w:t>
      </w:r>
      <w:r w:rsidRPr="007658B4">
        <w:t>Sed si inte</w:t>
      </w:r>
      <w:r>
        <w:t>llectus humanus</w:t>
      </w:r>
      <w:r w:rsidRPr="007658B4">
        <w:t xml:space="preserve"> multiplicetur multiplicatione </w:t>
      </w:r>
      <w:r>
        <w:t>corporum humanorum erit indivi</w:t>
      </w:r>
      <w:r w:rsidRPr="007658B4">
        <w:t xml:space="preserve">duatus per materiam, nam differentia secundum numerum formarum in </w:t>
      </w:r>
      <w:r>
        <w:t>eadem</w:t>
      </w:r>
      <w:r w:rsidRPr="007658B4">
        <w:t xml:space="preserve"> specie non invenitur nisi in formis per materiam individuatis, ut superius apparuit. Ergo secundum </w:t>
      </w:r>
      <w:r>
        <w:t>h</w:t>
      </w:r>
      <w:r w:rsidRPr="007658B4">
        <w:t>oc s</w:t>
      </w:r>
      <w:r>
        <w:t>pecies intelligibilis in intel</w:t>
      </w:r>
      <w:r w:rsidRPr="007658B4">
        <w:t>lectu recepta non erit principium cognit</w:t>
      </w:r>
      <w:r>
        <w:t xml:space="preserve">ionis universalis sed tantum </w:t>
      </w:r>
      <w:r w:rsidRPr="007658B4">
        <w:t>singularis, et non differet sec</w:t>
      </w:r>
      <w:r>
        <w:t>undum hoc intellectus a sensu vel imagi</w:t>
      </w:r>
      <w:r w:rsidRPr="007658B4">
        <w:t>natione. Quae omnia cum falsa sint, multiplicabitur intellectus hominum multiplicatione corporum humanorum per materiam sic individuatus</w:t>
      </w:r>
      <w:r>
        <w:t>.“ (</w:t>
      </w:r>
      <w:r>
        <w:rPr>
          <w:i/>
        </w:rPr>
        <w:t>Quaestiones</w:t>
      </w:r>
      <w:r w:rsidRPr="003447C4">
        <w:rPr>
          <w:i/>
        </w:rPr>
        <w:t xml:space="preserve"> super Librum de causis</w:t>
      </w:r>
      <w:r>
        <w:t>, q. 27, item 9; ed. Marlasca, p. 110.65‒72</w:t>
      </w:r>
      <w:r>
        <w:fldChar w:fldCharType="begin"/>
      </w:r>
      <w:r>
        <w:instrText xml:space="preserve"> XE "</w:instrText>
      </w:r>
      <w:r>
        <w:rPr>
          <w:lang w:val="cs-CZ"/>
        </w:rPr>
        <w:instrText>Siger:</w:instrText>
      </w:r>
      <w:r>
        <w:rPr>
          <w:i/>
        </w:rPr>
        <w:instrText>Quaestiones</w:instrText>
      </w:r>
      <w:r w:rsidRPr="00D1337C">
        <w:rPr>
          <w:i/>
        </w:rPr>
        <w:instrText xml:space="preserve"> super Librum de causis</w:instrText>
      </w:r>
      <w:r w:rsidRPr="00D1337C">
        <w:instrText xml:space="preserve"> 110.65‒72</w:instrText>
      </w:r>
      <w:r>
        <w:instrText xml:space="preserve">" </w:instrText>
      </w:r>
      <w:r>
        <w:fldChar w:fldCharType="end"/>
      </w:r>
      <w:r>
        <w:t>)</w:t>
      </w:r>
    </w:p>
  </w:footnote>
  <w:footnote w:id="227">
    <w:p w:rsidR="00971E82" w:rsidRPr="006C7CF2" w:rsidRDefault="00971E82" w:rsidP="08163013">
      <w:pPr>
        <w:pStyle w:val="Textpoznpodarou"/>
        <w:rPr>
          <w:lang w:val="cs-CZ"/>
        </w:rPr>
      </w:pPr>
      <w:r>
        <w:rPr>
          <w:rStyle w:val="Znakapoznpodarou"/>
        </w:rPr>
        <w:footnoteRef/>
      </w:r>
      <w:r>
        <w:t xml:space="preserve"> </w:t>
      </w:r>
      <w:r w:rsidRPr="00273106">
        <w:rPr>
          <w:noProof/>
        </w:rPr>
        <w:t>„</w:t>
      </w:r>
      <w:r>
        <w:rPr>
          <w:noProof/>
          <w:lang w:val="cs-CZ"/>
        </w:rPr>
        <w:t>Unde nota quod, s</w:t>
      </w:r>
      <w:r w:rsidRPr="00273106">
        <w:rPr>
          <w:noProof/>
        </w:rPr>
        <w:t>icut intellectus, quantum est de natura sua, est in potentia ad intentiones im</w:t>
      </w:r>
      <w:r>
        <w:rPr>
          <w:noProof/>
        </w:rPr>
        <w:t>aginatas (sic enim in potentia est</w:t>
      </w:r>
      <w:r w:rsidRPr="00273106">
        <w:rPr>
          <w:noProof/>
        </w:rPr>
        <w:t xml:space="preserve"> ad hoc, ut copuletur nobis), per hoc quod copulatur actu intentionibus imaginatis, cum se haberet in potentia ad illas, per hoc copulatur nobis in actu. Et propter hoc, cum huiusmodi intentiones imaginatae numerentur secundum hominum numerationem, ideo per intentiones imaginatas intellectus numeratur in nobis.“ (</w:t>
      </w:r>
      <w:r w:rsidRPr="08BF3B3D">
        <w:rPr>
          <w:noProof/>
        </w:rPr>
        <w:t>QIIIDA</w:t>
      </w:r>
      <w:r>
        <w:rPr>
          <w:noProof/>
        </w:rPr>
        <w:t xml:space="preserve">, q. </w:t>
      </w:r>
      <w:r>
        <w:rPr>
          <w:noProof/>
          <w:lang w:val="cs-CZ"/>
        </w:rPr>
        <w:t>9;</w:t>
      </w:r>
      <w:r w:rsidRPr="00273106">
        <w:rPr>
          <w:noProof/>
        </w:rPr>
        <w:t xml:space="preserve"> ed. Bazán, p. 28.70‒76</w:t>
      </w:r>
      <w:r>
        <w:rPr>
          <w:noProof/>
        </w:rPr>
        <w:fldChar w:fldCharType="begin"/>
      </w:r>
      <w:r>
        <w:instrText xml:space="preserve"> XE "</w:instrText>
      </w:r>
      <w:r>
        <w:rPr>
          <w:lang w:val="cs-CZ"/>
        </w:rPr>
        <w:instrText>Siger:</w:instrText>
      </w:r>
      <w:r>
        <w:rPr>
          <w:i/>
          <w:noProof/>
        </w:rPr>
        <w:instrText xml:space="preserve">Quaestiones in tertium </w:instrText>
      </w:r>
      <w:r>
        <w:rPr>
          <w:i/>
          <w:noProof/>
          <w:lang w:val="cs-CZ"/>
        </w:rPr>
        <w:instrText>D</w:instrText>
      </w:r>
      <w:r w:rsidRPr="00B64590">
        <w:rPr>
          <w:i/>
          <w:noProof/>
        </w:rPr>
        <w:instrText>e anima</w:instrText>
      </w:r>
      <w:r>
        <w:rPr>
          <w:i/>
          <w:noProof/>
          <w:lang w:val="cs-CZ"/>
        </w:rPr>
        <w:instrText xml:space="preserve"> </w:instrText>
      </w:r>
      <w:r w:rsidRPr="00B64590">
        <w:rPr>
          <w:noProof/>
        </w:rPr>
        <w:instrText>28.70‒76</w:instrText>
      </w:r>
      <w:r>
        <w:instrText xml:space="preserve">" </w:instrText>
      </w:r>
      <w:r>
        <w:rPr>
          <w:noProof/>
        </w:rPr>
        <w:fldChar w:fldCharType="end"/>
      </w:r>
      <w:r>
        <w:rPr>
          <w:noProof/>
        </w:rPr>
        <w:t>)</w:t>
      </w:r>
    </w:p>
  </w:footnote>
  <w:footnote w:id="228">
    <w:p w:rsidR="00971E82" w:rsidRPr="00052E99" w:rsidRDefault="00971E82" w:rsidP="08163013">
      <w:pPr>
        <w:pStyle w:val="Textpoznpodarou"/>
      </w:pPr>
      <w:r>
        <w:rPr>
          <w:rStyle w:val="Znakapoznpodarou"/>
        </w:rPr>
        <w:footnoteRef/>
      </w:r>
      <w:r w:rsidRPr="00083BBB">
        <w:t>„</w:t>
      </w:r>
      <w:r>
        <w:rPr>
          <w:lang w:val="cs-CZ"/>
        </w:rPr>
        <w:t>I</w:t>
      </w:r>
      <w:r w:rsidRPr="00083BBB">
        <w:t>ntelligibile esse oportet dividi in consimilia hiis duobus, scilicet in aliquod simile forme et in aliquod simile materie.“</w:t>
      </w:r>
      <w:r>
        <w:t xml:space="preserve"> (CMDA </w:t>
      </w:r>
      <w:r>
        <w:rPr>
          <w:lang w:val="cs-CZ"/>
        </w:rPr>
        <w:t xml:space="preserve">III.5; </w:t>
      </w:r>
      <w:r>
        <w:t>409.654</w:t>
      </w:r>
      <w:r>
        <w:rPr>
          <w:noProof/>
        </w:rPr>
        <w:t>–62</w:t>
      </w:r>
      <w:r>
        <w:rPr>
          <w:noProof/>
        </w:rPr>
        <w:fldChar w:fldCharType="begin"/>
      </w:r>
      <w:r>
        <w:instrText xml:space="preserve"> XE "</w:instrText>
      </w:r>
      <w:r>
        <w:rPr>
          <w:lang w:val="cs-CZ"/>
        </w:rPr>
        <w:instrText>Averroes:</w:instrText>
      </w:r>
      <w:r w:rsidRPr="006C3272">
        <w:instrText>CMDA 409.654</w:instrText>
      </w:r>
      <w:r>
        <w:rPr>
          <w:noProof/>
        </w:rPr>
        <w:instrText>–</w:instrText>
      </w:r>
      <w:r w:rsidRPr="006C3272">
        <w:rPr>
          <w:noProof/>
        </w:rPr>
        <w:instrText>62</w:instrText>
      </w:r>
      <w:r>
        <w:instrText xml:space="preserve">" </w:instrText>
      </w:r>
      <w:r>
        <w:rPr>
          <w:noProof/>
        </w:rPr>
        <w:fldChar w:fldCharType="end"/>
      </w:r>
      <w:r>
        <w:t>).</w:t>
      </w:r>
    </w:p>
  </w:footnote>
  <w:footnote w:id="229">
    <w:p w:rsidR="00971E82" w:rsidRPr="00750982" w:rsidRDefault="00971E82" w:rsidP="08163013">
      <w:pPr>
        <w:pStyle w:val="Textpoznpodarou"/>
        <w:rPr>
          <w:lang w:val="cs-CZ"/>
        </w:rPr>
      </w:pPr>
      <w:r>
        <w:rPr>
          <w:rStyle w:val="Znakapoznpodarou"/>
        </w:rPr>
        <w:footnoteRef/>
      </w:r>
      <w:r>
        <w:t xml:space="preserve"> </w:t>
      </w:r>
      <w:r w:rsidRPr="00273106">
        <w:rPr>
          <w:noProof/>
        </w:rPr>
        <w:t>„Sumit enim ibi oppositum suppositionis</w:t>
      </w:r>
      <w:r w:rsidRPr="00273106">
        <w:rPr>
          <w:rStyle w:val="Zkladntext259pt4"/>
          <w:noProof/>
          <w:lang w:val="cs-CZ" w:eastAsia="en-US"/>
        </w:rPr>
        <w:t xml:space="preserve"> </w:t>
      </w:r>
      <w:r w:rsidRPr="00273106">
        <w:rPr>
          <w:noProof/>
        </w:rPr>
        <w:t>Averrois. Cum enim dicitur quod intellecta non continuantur nobis nisi per hoc quod intellectus continuatur nobis</w:t>
      </w:r>
      <w:r>
        <w:rPr>
          <w:noProof/>
        </w:rPr>
        <w:t xml:space="preserve">, falsum est, immo intellectus </w:t>
      </w:r>
      <w:r w:rsidRPr="00273106">
        <w:rPr>
          <w:noProof/>
        </w:rPr>
        <w:t>non continuatur nobis nisi per hoc quod intellecta nobis.“ (</w:t>
      </w:r>
      <w:r w:rsidRPr="08BF3B3D">
        <w:rPr>
          <w:noProof/>
        </w:rPr>
        <w:t>QIIIDA</w:t>
      </w:r>
      <w:r>
        <w:rPr>
          <w:noProof/>
        </w:rPr>
        <w:t xml:space="preserve">, q. </w:t>
      </w:r>
      <w:r>
        <w:rPr>
          <w:noProof/>
          <w:lang w:val="cs-CZ"/>
        </w:rPr>
        <w:t>9;</w:t>
      </w:r>
      <w:r w:rsidRPr="00273106">
        <w:rPr>
          <w:noProof/>
        </w:rPr>
        <w:t xml:space="preserve"> ed. Bazán</w:t>
      </w:r>
      <w:r>
        <w:rPr>
          <w:noProof/>
          <w:lang w:val="cs-CZ"/>
        </w:rPr>
        <w:t xml:space="preserve">, </w:t>
      </w:r>
      <w:r w:rsidRPr="00273106">
        <w:rPr>
          <w:noProof/>
        </w:rPr>
        <w:t>p. 29.97‒101</w:t>
      </w:r>
      <w:r>
        <w:rPr>
          <w:noProof/>
        </w:rPr>
        <w:fldChar w:fldCharType="begin"/>
      </w:r>
      <w:r>
        <w:instrText xml:space="preserve"> XE "</w:instrText>
      </w:r>
      <w:r>
        <w:rPr>
          <w:lang w:val="cs-CZ"/>
        </w:rPr>
        <w:instrText>Siger:</w:instrText>
      </w:r>
      <w:r>
        <w:rPr>
          <w:i/>
          <w:noProof/>
        </w:rPr>
        <w:instrText xml:space="preserve">Quaestiones in tertium </w:instrText>
      </w:r>
      <w:r>
        <w:rPr>
          <w:i/>
          <w:noProof/>
          <w:lang w:val="cs-CZ"/>
        </w:rPr>
        <w:instrText>D</w:instrText>
      </w:r>
      <w:r w:rsidRPr="00B64590">
        <w:rPr>
          <w:i/>
          <w:noProof/>
        </w:rPr>
        <w:instrText>e anima</w:instrText>
      </w:r>
      <w:r>
        <w:rPr>
          <w:i/>
          <w:noProof/>
          <w:lang w:val="cs-CZ"/>
        </w:rPr>
        <w:instrText xml:space="preserve"> </w:instrText>
      </w:r>
      <w:r>
        <w:rPr>
          <w:noProof/>
        </w:rPr>
        <w:instrText>2</w:instrText>
      </w:r>
      <w:r>
        <w:rPr>
          <w:noProof/>
          <w:lang w:val="cs-CZ"/>
        </w:rPr>
        <w:instrText>9</w:instrText>
      </w:r>
      <w:r>
        <w:rPr>
          <w:noProof/>
        </w:rPr>
        <w:instrText>.</w:instrText>
      </w:r>
      <w:r>
        <w:rPr>
          <w:noProof/>
          <w:lang w:val="cs-CZ"/>
        </w:rPr>
        <w:instrText>97</w:instrText>
      </w:r>
      <w:r>
        <w:rPr>
          <w:noProof/>
        </w:rPr>
        <w:instrText>‒</w:instrText>
      </w:r>
      <w:r>
        <w:rPr>
          <w:noProof/>
          <w:lang w:val="cs-CZ"/>
        </w:rPr>
        <w:instrText>101</w:instrText>
      </w:r>
      <w:r>
        <w:instrText xml:space="preserve">" </w:instrText>
      </w:r>
      <w:r>
        <w:rPr>
          <w:noProof/>
        </w:rPr>
        <w:fldChar w:fldCharType="end"/>
      </w:r>
      <w:r w:rsidRPr="00273106">
        <w:rPr>
          <w:noProof/>
        </w:rPr>
        <w:t>)</w:t>
      </w:r>
    </w:p>
  </w:footnote>
  <w:footnote w:id="230">
    <w:p w:rsidR="00971E82" w:rsidRPr="00892E60" w:rsidRDefault="00971E82" w:rsidP="08163013">
      <w:pPr>
        <w:pStyle w:val="Textpoznpodarou"/>
        <w:rPr>
          <w:lang w:val="cs-CZ"/>
        </w:rPr>
      </w:pPr>
      <w:r>
        <w:rPr>
          <w:rStyle w:val="Znakapoznpodarou"/>
        </w:rPr>
        <w:footnoteRef/>
      </w:r>
      <w:r>
        <w:t xml:space="preserve"> </w:t>
      </w:r>
      <w:r w:rsidRPr="00273106">
        <w:rPr>
          <w:noProof/>
        </w:rPr>
        <w:t>„</w:t>
      </w:r>
      <w:r w:rsidRPr="003F26F8">
        <w:rPr>
          <w:rStyle w:val="Zkladntext299pt4"/>
          <w:rFonts w:eastAsia="Calibri"/>
          <w:smallCaps w:val="0"/>
          <w:noProof/>
          <w:sz w:val="21"/>
          <w:lang w:val="fr-FR"/>
        </w:rPr>
        <w:t>Alii</w:t>
      </w:r>
      <w:r w:rsidRPr="00273106">
        <w:rPr>
          <w:noProof/>
        </w:rPr>
        <w:t xml:space="preserve"> dicunt, et videtur esse positio</w:t>
      </w:r>
      <w:r w:rsidRPr="003F26F8">
        <w:rPr>
          <w:rStyle w:val="Zkladntext299pt4"/>
          <w:rFonts w:eastAsia="Calibri"/>
          <w:smallCaps w:val="0"/>
          <w:noProof/>
          <w:sz w:val="21"/>
          <w:lang w:val="fr-FR"/>
        </w:rPr>
        <w:t xml:space="preserve"> Alberti</w:t>
      </w:r>
      <w:r w:rsidRPr="00273106">
        <w:rPr>
          <w:noProof/>
        </w:rPr>
        <w:t>, quod intellectui nostro est innata aliqua cognito, ut scilicet primorum principiorum, quae neminem latent, ut puta de quolibet affirmatio vel negatio, et similia; non quod ipsa sint intellectus agens, sed sunt instrumenta intellectus agentis, per quae educit intellectum possibilem ad actum. Sed ista positio non valet.“ (</w:t>
      </w:r>
      <w:r w:rsidRPr="08BF3B3D">
        <w:rPr>
          <w:noProof/>
        </w:rPr>
        <w:t>QIIIDA</w:t>
      </w:r>
      <w:r>
        <w:rPr>
          <w:noProof/>
        </w:rPr>
        <w:t>, q. 12</w:t>
      </w:r>
      <w:r>
        <w:rPr>
          <w:noProof/>
          <w:lang w:val="cs-CZ"/>
        </w:rPr>
        <w:t>;</w:t>
      </w:r>
      <w:r w:rsidRPr="00273106">
        <w:rPr>
          <w:noProof/>
        </w:rPr>
        <w:t xml:space="preserve"> ed. Bazán, p. 39.102‒107</w:t>
      </w:r>
      <w:r>
        <w:rPr>
          <w:noProof/>
        </w:rPr>
        <w:fldChar w:fldCharType="begin"/>
      </w:r>
      <w:r>
        <w:instrText xml:space="preserve"> XE "</w:instrText>
      </w:r>
      <w:r>
        <w:rPr>
          <w:lang w:val="cs-CZ"/>
        </w:rPr>
        <w:instrText>Siger:</w:instrText>
      </w:r>
      <w:r>
        <w:rPr>
          <w:i/>
          <w:noProof/>
        </w:rPr>
        <w:instrText xml:space="preserve">Quaestiones in tertium </w:instrText>
      </w:r>
      <w:r>
        <w:rPr>
          <w:i/>
          <w:noProof/>
          <w:lang w:val="cs-CZ"/>
        </w:rPr>
        <w:instrText>D</w:instrText>
      </w:r>
      <w:r w:rsidRPr="00603622">
        <w:rPr>
          <w:i/>
          <w:noProof/>
        </w:rPr>
        <w:instrText>e anima</w:instrText>
      </w:r>
      <w:r w:rsidRPr="00603622">
        <w:rPr>
          <w:noProof/>
        </w:rPr>
        <w:instrText xml:space="preserve"> 39.102‒107</w:instrText>
      </w:r>
      <w:r>
        <w:instrText xml:space="preserve">" </w:instrText>
      </w:r>
      <w:r>
        <w:rPr>
          <w:noProof/>
        </w:rPr>
        <w:fldChar w:fldCharType="end"/>
      </w:r>
      <w:r w:rsidRPr="00273106">
        <w:rPr>
          <w:noProof/>
        </w:rPr>
        <w:t>)</w:t>
      </w:r>
    </w:p>
  </w:footnote>
  <w:footnote w:id="231">
    <w:p w:rsidR="00971E82" w:rsidRPr="00B32CB1" w:rsidRDefault="00971E82" w:rsidP="08163013">
      <w:pPr>
        <w:pStyle w:val="Textpoznpodarou"/>
      </w:pPr>
      <w:r>
        <w:rPr>
          <w:rStyle w:val="Znakapoznpodarou"/>
        </w:rPr>
        <w:footnoteRef/>
      </w:r>
      <w:r>
        <w:rPr>
          <w:lang w:val="cs-CZ"/>
        </w:rPr>
        <w:t xml:space="preserve"> </w:t>
      </w:r>
      <w:r>
        <w:t>„</w:t>
      </w:r>
      <w:r>
        <w:rPr>
          <w:lang w:val="cs-CZ"/>
        </w:rPr>
        <w:t>O</w:t>
      </w:r>
      <w:r>
        <w:t>portet ergo immediatorum principiorum cognitionem esse ante demonstrationem, ex quo est cognitio talis in omni demonstratione supposita, eo quod non nisi ipsa causa existente incipit demonstratio.“  (</w:t>
      </w:r>
      <w:r w:rsidRPr="00B32CB1">
        <w:rPr>
          <w:i/>
        </w:rPr>
        <w:t>Analytica posteriora</w:t>
      </w:r>
      <w:r>
        <w:t xml:space="preserve"> II.5.1; ed. Borgnet  2, 228a</w:t>
      </w:r>
      <w:r>
        <w:fldChar w:fldCharType="begin"/>
      </w:r>
      <w:r>
        <w:instrText xml:space="preserve"> XE "</w:instrText>
      </w:r>
      <w:r>
        <w:rPr>
          <w:lang w:val="cs-CZ"/>
        </w:rPr>
        <w:instrText>Albert:</w:instrText>
      </w:r>
      <w:r w:rsidRPr="0063351E">
        <w:rPr>
          <w:i/>
        </w:rPr>
        <w:instrText>Analytica posteriora</w:instrText>
      </w:r>
      <w:r w:rsidRPr="0063351E">
        <w:instrText xml:space="preserve"> 228a</w:instrText>
      </w:r>
      <w:r>
        <w:instrText xml:space="preserve">" </w:instrText>
      </w:r>
      <w:r>
        <w:fldChar w:fldCharType="end"/>
      </w:r>
      <w:r>
        <w:t>)</w:t>
      </w:r>
    </w:p>
  </w:footnote>
  <w:footnote w:id="232">
    <w:p w:rsidR="00971E82" w:rsidRPr="00F44AF5" w:rsidRDefault="00971E82" w:rsidP="005E1343">
      <w:pPr>
        <w:pStyle w:val="Textpoznpodarou"/>
      </w:pPr>
      <w:r w:rsidRPr="00F44AF5">
        <w:rPr>
          <w:rStyle w:val="Znakapoznpodarou"/>
        </w:rPr>
        <w:footnoteRef/>
      </w:r>
      <w:r>
        <w:t xml:space="preserve"> „</w:t>
      </w:r>
      <w:r>
        <w:rPr>
          <w:lang w:val="cs-CZ"/>
        </w:rPr>
        <w:t>I</w:t>
      </w:r>
      <w:r w:rsidRPr="00F44AF5">
        <w:t>deo dicit Philosophus, quod principia scimus in quantum terminos cognoscimus. Si autem inductio per se stabiliret intellectum, pro certo impossibile esset evadere conclusionem. Quamvis autem intellectus sit primorum principiorum, quae necessaria sunt et perficiunt et nobilitant suum posse: tamen modos habet, sicut et aliae virtutes tam morales quam intellectuales.” (</w:t>
      </w:r>
      <w:r w:rsidRPr="00F44AF5">
        <w:rPr>
          <w:i/>
        </w:rPr>
        <w:t>Ethica</w:t>
      </w:r>
      <w:r w:rsidRPr="00F44AF5">
        <w:t xml:space="preserve"> VI.2.18; ed. Borgnet 7, 434a</w:t>
      </w:r>
      <w:r>
        <w:fldChar w:fldCharType="begin"/>
      </w:r>
      <w:r>
        <w:instrText xml:space="preserve"> XE "</w:instrText>
      </w:r>
      <w:r>
        <w:rPr>
          <w:lang w:val="cs-CZ"/>
        </w:rPr>
        <w:instrText>Albert:</w:instrText>
      </w:r>
      <w:r w:rsidRPr="00AE1239">
        <w:rPr>
          <w:i/>
        </w:rPr>
        <w:instrText>Ethica</w:instrText>
      </w:r>
      <w:r w:rsidRPr="00AE1239">
        <w:instrText xml:space="preserve"> 434a</w:instrText>
      </w:r>
      <w:r>
        <w:instrText xml:space="preserve">" </w:instrText>
      </w:r>
      <w:r>
        <w:fldChar w:fldCharType="end"/>
      </w:r>
      <w:r w:rsidRPr="00F44AF5">
        <w:t>)</w:t>
      </w:r>
    </w:p>
  </w:footnote>
  <w:footnote w:id="233">
    <w:p w:rsidR="00971E82" w:rsidRPr="007932F0" w:rsidRDefault="00971E82" w:rsidP="08163013">
      <w:pPr>
        <w:pStyle w:val="Textpoznpodarou"/>
        <w:rPr>
          <w:lang w:val="cs-CZ"/>
        </w:rPr>
      </w:pPr>
      <w:r>
        <w:rPr>
          <w:rStyle w:val="Znakapoznpodarou"/>
        </w:rPr>
        <w:footnoteRef/>
      </w:r>
      <w:r>
        <w:t xml:space="preserve"> </w:t>
      </w:r>
      <w:r w:rsidRPr="00273106">
        <w:rPr>
          <w:noProof/>
        </w:rPr>
        <w:t>„Et licet dicat</w:t>
      </w:r>
      <w:r w:rsidRPr="08A861A0">
        <w:rPr>
          <w:rStyle w:val="Zkladntext299pt4"/>
          <w:rFonts w:eastAsia="Calibri"/>
          <w:smallCaps w:val="0"/>
          <w:noProof/>
          <w:sz w:val="21"/>
          <w:lang w:val="en-US"/>
        </w:rPr>
        <w:t xml:space="preserve"> Aristoteles</w:t>
      </w:r>
      <w:r w:rsidRPr="00273106">
        <w:rPr>
          <w:noProof/>
        </w:rPr>
        <w:t xml:space="preserve"> quod intellectus agens est id quo est «omnia facere ut ars ad materiam sustinuit», differenter tamen agunt intellectus et ars. Nam ars per se sufficit ad ponendum formam in materia. Non sic intellectus, sed eget intentionibus imaginatis. Hoc dicit</w:t>
      </w:r>
      <w:r w:rsidRPr="003F26F8">
        <w:rPr>
          <w:rStyle w:val="Zkladntext299pt4"/>
          <w:rFonts w:eastAsia="Calibri"/>
          <w:smallCaps w:val="0"/>
          <w:noProof/>
          <w:sz w:val="21"/>
          <w:lang w:val="fr-FR"/>
        </w:rPr>
        <w:t xml:space="preserve"> Averroes</w:t>
      </w:r>
      <w:r w:rsidRPr="00273106">
        <w:rPr>
          <w:noProof/>
        </w:rPr>
        <w:t>.“ (</w:t>
      </w:r>
      <w:r w:rsidRPr="08BF3B3D">
        <w:rPr>
          <w:noProof/>
        </w:rPr>
        <w:t>QIIIDA</w:t>
      </w:r>
      <w:r w:rsidRPr="00273106">
        <w:rPr>
          <w:noProof/>
        </w:rPr>
        <w:t>, q. 12</w:t>
      </w:r>
      <w:r>
        <w:rPr>
          <w:noProof/>
          <w:lang w:val="cs-CZ"/>
        </w:rPr>
        <w:t>;</w:t>
      </w:r>
      <w:r w:rsidRPr="00273106">
        <w:rPr>
          <w:noProof/>
        </w:rPr>
        <w:t xml:space="preserve"> ed. Bazán, p. 39.9‒13</w:t>
      </w:r>
      <w:r>
        <w:rPr>
          <w:noProof/>
        </w:rPr>
        <w:fldChar w:fldCharType="begin"/>
      </w:r>
      <w:r>
        <w:instrText xml:space="preserve"> XE "</w:instrText>
      </w:r>
      <w:r>
        <w:rPr>
          <w:lang w:val="cs-CZ"/>
        </w:rPr>
        <w:instrText>Siger:</w:instrText>
      </w:r>
      <w:r>
        <w:rPr>
          <w:i/>
          <w:noProof/>
        </w:rPr>
        <w:instrText xml:space="preserve">Quaestiones in tertium </w:instrText>
      </w:r>
      <w:r>
        <w:rPr>
          <w:i/>
          <w:noProof/>
          <w:lang w:val="cs-CZ"/>
        </w:rPr>
        <w:instrText>D</w:instrText>
      </w:r>
      <w:r w:rsidRPr="00603622">
        <w:rPr>
          <w:i/>
          <w:noProof/>
        </w:rPr>
        <w:instrText>e anima</w:instrText>
      </w:r>
      <w:r>
        <w:rPr>
          <w:noProof/>
        </w:rPr>
        <w:instrText xml:space="preserve"> 39.</w:instrText>
      </w:r>
      <w:r>
        <w:rPr>
          <w:noProof/>
          <w:lang w:val="cs-CZ"/>
        </w:rPr>
        <w:instrText>9</w:instrText>
      </w:r>
      <w:r>
        <w:rPr>
          <w:noProof/>
        </w:rPr>
        <w:instrText>‒1</w:instrText>
      </w:r>
      <w:r>
        <w:rPr>
          <w:noProof/>
          <w:lang w:val="cs-CZ"/>
        </w:rPr>
        <w:instrText>3</w:instrText>
      </w:r>
      <w:r>
        <w:instrText xml:space="preserve">" </w:instrText>
      </w:r>
      <w:r>
        <w:rPr>
          <w:noProof/>
        </w:rPr>
        <w:fldChar w:fldCharType="end"/>
      </w:r>
      <w:r w:rsidRPr="00273106">
        <w:rPr>
          <w:noProof/>
        </w:rPr>
        <w:t>)</w:t>
      </w:r>
    </w:p>
  </w:footnote>
  <w:footnote w:id="234">
    <w:p w:rsidR="00971E82" w:rsidRPr="00A17A88" w:rsidRDefault="00971E82" w:rsidP="08163013">
      <w:pPr>
        <w:pStyle w:val="Textpoznpodarou"/>
        <w:rPr>
          <w:lang w:val="cs-CZ"/>
        </w:rPr>
      </w:pPr>
      <w:r>
        <w:rPr>
          <w:rStyle w:val="Znakapoznpodarou"/>
        </w:rPr>
        <w:footnoteRef/>
      </w:r>
      <w:r>
        <w:t xml:space="preserve"> </w:t>
      </w:r>
      <w:r w:rsidRPr="00A17A88">
        <w:t>„Dico et credo quod intellectui nostro non est innata aliqua cognitio intelligibilium, sed est in pura potentia ad omnia intelligibilia, nullius intus habens innatam cognitionem, sed ex phantasmatibus intelligit quidquid intelligit.“ (</w:t>
      </w:r>
      <w:r w:rsidRPr="08BF3B3D">
        <w:t>QIIIDA</w:t>
      </w:r>
      <w:r w:rsidRPr="00A17A88">
        <w:t>, q. 12</w:t>
      </w:r>
      <w:r>
        <w:rPr>
          <w:lang w:val="cs-CZ"/>
        </w:rPr>
        <w:t>;</w:t>
      </w:r>
      <w:r w:rsidRPr="00A17A88">
        <w:t xml:space="preserve"> ed. Bazán, p. 40.14‒17</w:t>
      </w:r>
      <w:r>
        <w:rPr>
          <w:noProof/>
        </w:rPr>
        <w:fldChar w:fldCharType="begin"/>
      </w:r>
      <w:r>
        <w:instrText xml:space="preserve"> XE "</w:instrText>
      </w:r>
      <w:r>
        <w:rPr>
          <w:lang w:val="cs-CZ"/>
        </w:rPr>
        <w:instrText>Siger:</w:instrText>
      </w:r>
      <w:r>
        <w:rPr>
          <w:i/>
          <w:noProof/>
        </w:rPr>
        <w:instrText xml:space="preserve">Quaestiones in tertium </w:instrText>
      </w:r>
      <w:r>
        <w:rPr>
          <w:i/>
          <w:noProof/>
          <w:lang w:val="cs-CZ"/>
        </w:rPr>
        <w:instrText>D</w:instrText>
      </w:r>
      <w:r w:rsidRPr="00603622">
        <w:rPr>
          <w:i/>
          <w:noProof/>
        </w:rPr>
        <w:instrText>e anima</w:instrText>
      </w:r>
      <w:r>
        <w:rPr>
          <w:noProof/>
        </w:rPr>
        <w:instrText xml:space="preserve"> </w:instrText>
      </w:r>
      <w:r>
        <w:rPr>
          <w:noProof/>
          <w:lang w:val="cs-CZ"/>
        </w:rPr>
        <w:instrText>40</w:instrText>
      </w:r>
      <w:r>
        <w:rPr>
          <w:noProof/>
        </w:rPr>
        <w:instrText>.1</w:instrText>
      </w:r>
      <w:r>
        <w:rPr>
          <w:noProof/>
          <w:lang w:val="cs-CZ"/>
        </w:rPr>
        <w:instrText>4</w:instrText>
      </w:r>
      <w:r>
        <w:rPr>
          <w:noProof/>
        </w:rPr>
        <w:instrText>‒1</w:instrText>
      </w:r>
      <w:r w:rsidRPr="00603622">
        <w:rPr>
          <w:noProof/>
        </w:rPr>
        <w:instrText>7</w:instrText>
      </w:r>
      <w:r>
        <w:instrText xml:space="preserve">" </w:instrText>
      </w:r>
      <w:r>
        <w:rPr>
          <w:noProof/>
        </w:rPr>
        <w:fldChar w:fldCharType="end"/>
      </w:r>
      <w:r w:rsidRPr="00A17A88">
        <w:t>)</w:t>
      </w:r>
    </w:p>
  </w:footnote>
  <w:footnote w:id="235">
    <w:p w:rsidR="00971E82" w:rsidRPr="089A4ABA" w:rsidRDefault="00971E82" w:rsidP="089A4ABA">
      <w:pPr>
        <w:pStyle w:val="Textpoznpodarou"/>
      </w:pPr>
      <w:r w:rsidRPr="089A4ABA">
        <w:rPr>
          <w:rStyle w:val="Znakapoznpodarou"/>
        </w:rPr>
        <w:footnoteRef/>
      </w:r>
      <w:r w:rsidRPr="089A4ABA">
        <w:t xml:space="preserve"> „</w:t>
      </w:r>
      <w:r w:rsidRPr="089A4ABA">
        <w:rPr>
          <w:rStyle w:val="Zkladntext39"/>
          <w:rFonts w:ascii="Calibri" w:hAnsi="Calibri"/>
          <w:lang w:val="x-none"/>
        </w:rPr>
        <w:t xml:space="preserve">ldeo credo et dico quod intellectus, etiam secundum quod noster est, particulare particulariter non intelligit, nec primo nec ex consequenti. Intellectus enim noster non est talis ut intelligat per </w:t>
      </w:r>
      <w:r w:rsidRPr="089A4ABA">
        <w:rPr>
          <w:rStyle w:val="Zkladntext381"/>
          <w:rFonts w:ascii="Calibri" w:hAnsi="Calibri"/>
          <w:b w:val="0"/>
          <w:bCs w:val="0"/>
          <w:sz w:val="20"/>
          <w:szCs w:val="20"/>
          <w:lang w:val="x-none" w:eastAsia="x-none"/>
        </w:rPr>
        <w:t>organum,</w:t>
      </w:r>
      <w:r w:rsidRPr="089A4ABA">
        <w:rPr>
          <w:rStyle w:val="Zkladntext39"/>
          <w:rFonts w:ascii="Calibri" w:hAnsi="Calibri"/>
          <w:lang w:val="x-none"/>
        </w:rPr>
        <w:t xml:space="preserve"> sed separatus est secundum utramque</w:t>
      </w:r>
      <w:r w:rsidRPr="089A4ABA">
        <w:rPr>
          <w:rStyle w:val="Zkladntext39pt6"/>
          <w:rFonts w:ascii="Calibri" w:hAnsi="Calibri"/>
          <w:b w:val="0"/>
          <w:bCs w:val="0"/>
          <w:sz w:val="20"/>
          <w:szCs w:val="20"/>
          <w:lang w:val="x-none" w:eastAsia="x-none"/>
        </w:rPr>
        <w:t xml:space="preserve"> partem</w:t>
      </w:r>
      <w:r w:rsidRPr="089A4ABA">
        <w:rPr>
          <w:rStyle w:val="Zkladntext39"/>
          <w:rFonts w:ascii="Calibri" w:hAnsi="Calibri"/>
          <w:lang w:val="x-none"/>
        </w:rPr>
        <w:t xml:space="preserve"> suae virtutis, et secundum possibilem et secundum agentem; communicat tamen operanti per</w:t>
      </w:r>
      <w:r w:rsidRPr="089A4ABA">
        <w:rPr>
          <w:rStyle w:val="Zkladntext39pt6"/>
          <w:rFonts w:ascii="Calibri" w:hAnsi="Calibri"/>
          <w:b w:val="0"/>
          <w:bCs w:val="0"/>
          <w:sz w:val="20"/>
          <w:szCs w:val="20"/>
          <w:lang w:val="x-none" w:eastAsia="x-none"/>
        </w:rPr>
        <w:t xml:space="preserve"> organum</w:t>
      </w:r>
      <w:r w:rsidRPr="089A4ABA">
        <w:rPr>
          <w:rStyle w:val="Zkladntext39"/>
          <w:rFonts w:ascii="Calibri" w:hAnsi="Calibri"/>
          <w:lang w:val="x-none"/>
        </w:rPr>
        <w:t>.“ (</w:t>
      </w:r>
      <w:r w:rsidRPr="089A4ABA">
        <w:t>QIIIDA, q. 18; ed. Bazán, p. 66.55‒61</w:t>
      </w:r>
      <w:r w:rsidRPr="089A4ABA">
        <w:fldChar w:fldCharType="begin"/>
      </w:r>
      <w:r w:rsidRPr="089A4ABA">
        <w:instrText xml:space="preserve"> XE "Siger:Quaestiones in tertium De anima 66.55‒61" </w:instrText>
      </w:r>
      <w:r w:rsidRPr="089A4ABA">
        <w:fldChar w:fldCharType="end"/>
      </w:r>
      <w:r w:rsidRPr="089A4ABA">
        <w:rPr>
          <w:rStyle w:val="Zkladntext39"/>
          <w:rFonts w:ascii="Calibri" w:hAnsi="Calibri"/>
          <w:lang w:val="x-none"/>
        </w:rPr>
        <w:t>) </w:t>
      </w:r>
    </w:p>
  </w:footnote>
  <w:footnote w:id="236">
    <w:p w:rsidR="00971E82" w:rsidRPr="001A0917" w:rsidRDefault="00971E82" w:rsidP="08163013">
      <w:pPr>
        <w:pStyle w:val="Textpoznpodarou"/>
      </w:pPr>
      <w:r>
        <w:rPr>
          <w:rStyle w:val="Znakapoznpodarou"/>
        </w:rPr>
        <w:footnoteRef/>
      </w:r>
      <w:r>
        <w:t xml:space="preserve"> „</w:t>
      </w:r>
      <w:r w:rsidRPr="001A0917">
        <w:t>Unde, cum intellectus in potentia se habeat ad intentiones imaginatas, determinate respicit intentiones imaginatas hominum, e</w:t>
      </w:r>
      <w:r>
        <w:t>o quod omnes intentiones imagi</w:t>
      </w:r>
      <w:r w:rsidRPr="001A0917">
        <w:t>natae hominum unius rationis sunt. Ideo intellectus unicus in omnibus est et secundum substantiam suam et secundum suam potestatem.</w:t>
      </w:r>
      <w:r>
        <w:t>“ (</w:t>
      </w:r>
      <w:r w:rsidRPr="08BF3B3D">
        <w:t>QIIIDA</w:t>
      </w:r>
      <w:r>
        <w:t>, q. 11</w:t>
      </w:r>
      <w:r>
        <w:rPr>
          <w:lang w:val="cs-CZ"/>
        </w:rPr>
        <w:t>;</w:t>
      </w:r>
      <w:r>
        <w:t xml:space="preserve"> ed. Bazán, pp. 34.101</w:t>
      </w:r>
      <w:r w:rsidRPr="00EB0491">
        <w:t>‒</w:t>
      </w:r>
      <w:r>
        <w:t>35.5</w:t>
      </w:r>
      <w:r>
        <w:rPr>
          <w:noProof/>
        </w:rPr>
        <w:fldChar w:fldCharType="begin"/>
      </w:r>
      <w:r>
        <w:instrText xml:space="preserve"> XE "</w:instrText>
      </w:r>
      <w:r>
        <w:rPr>
          <w:lang w:val="cs-CZ"/>
        </w:rPr>
        <w:instrText>Siger:</w:instrText>
      </w:r>
      <w:r>
        <w:rPr>
          <w:i/>
          <w:noProof/>
        </w:rPr>
        <w:instrText xml:space="preserve">Quaestiones in tertium </w:instrText>
      </w:r>
      <w:r>
        <w:rPr>
          <w:i/>
          <w:noProof/>
          <w:lang w:val="cs-CZ"/>
        </w:rPr>
        <w:instrText>D</w:instrText>
      </w:r>
      <w:r w:rsidRPr="00603622">
        <w:rPr>
          <w:i/>
          <w:noProof/>
        </w:rPr>
        <w:instrText>e anima</w:instrText>
      </w:r>
      <w:r>
        <w:rPr>
          <w:noProof/>
        </w:rPr>
        <w:instrText xml:space="preserve"> 3</w:instrText>
      </w:r>
      <w:r>
        <w:rPr>
          <w:noProof/>
          <w:lang w:val="cs-CZ"/>
        </w:rPr>
        <w:instrText>4</w:instrText>
      </w:r>
      <w:r>
        <w:rPr>
          <w:noProof/>
        </w:rPr>
        <w:instrText>.10</w:instrText>
      </w:r>
      <w:r>
        <w:rPr>
          <w:noProof/>
          <w:lang w:val="cs-CZ"/>
        </w:rPr>
        <w:instrText>1</w:instrText>
      </w:r>
      <w:r>
        <w:rPr>
          <w:noProof/>
        </w:rPr>
        <w:instrText>‒</w:instrText>
      </w:r>
      <w:r>
        <w:rPr>
          <w:noProof/>
          <w:lang w:val="cs-CZ"/>
        </w:rPr>
        <w:instrText>35.5</w:instrText>
      </w:r>
      <w:r>
        <w:instrText xml:space="preserve">" </w:instrText>
      </w:r>
      <w:r>
        <w:rPr>
          <w:noProof/>
        </w:rPr>
        <w:fldChar w:fldCharType="end"/>
      </w:r>
      <w:r>
        <w:t>)</w:t>
      </w:r>
    </w:p>
  </w:footnote>
  <w:footnote w:id="237">
    <w:p w:rsidR="00971E82" w:rsidRPr="001B2FCD" w:rsidRDefault="00971E82" w:rsidP="08163013">
      <w:pPr>
        <w:pStyle w:val="Textpoznpodarou"/>
      </w:pPr>
      <w:r w:rsidRPr="001B2FCD">
        <w:rPr>
          <w:rStyle w:val="Znakapoznpodarou"/>
        </w:rPr>
        <w:footnoteRef/>
      </w:r>
      <w:r w:rsidRPr="001B2FCD">
        <w:t xml:space="preserve"> </w:t>
      </w:r>
      <w:r w:rsidRPr="08E472F3">
        <w:t>„Dicit Aristoteles quod anima est locus specierum, scilicet intellectiva. Sed non est locus specierum nisi per actum intelligendi. Quare videtur quod ad actum intelligendi requirantur rationes receptae in intellectu possibili.“</w:t>
      </w:r>
      <w:r w:rsidRPr="001B2FCD">
        <w:t xml:space="preserve"> (</w:t>
      </w:r>
      <w:r w:rsidRPr="08BF3B3D">
        <w:t>QIIIDA</w:t>
      </w:r>
      <w:r w:rsidRPr="001B2FCD">
        <w:t>, q. 14; ed. Bazán, p. 46.7‒10</w:t>
      </w:r>
      <w:r>
        <w:rPr>
          <w:noProof/>
        </w:rPr>
        <w:fldChar w:fldCharType="begin"/>
      </w:r>
      <w:r>
        <w:instrText xml:space="preserve"> XE "</w:instrText>
      </w:r>
      <w:r>
        <w:rPr>
          <w:lang w:val="cs-CZ"/>
        </w:rPr>
        <w:instrText>Siger:</w:instrText>
      </w:r>
      <w:r>
        <w:rPr>
          <w:i/>
          <w:noProof/>
        </w:rPr>
        <w:instrText xml:space="preserve">Quaestiones in tertium </w:instrText>
      </w:r>
      <w:r>
        <w:rPr>
          <w:i/>
          <w:noProof/>
          <w:lang w:val="cs-CZ"/>
        </w:rPr>
        <w:instrText>D</w:instrText>
      </w:r>
      <w:r w:rsidRPr="00603622">
        <w:rPr>
          <w:i/>
          <w:noProof/>
        </w:rPr>
        <w:instrText>e anima</w:instrText>
      </w:r>
      <w:r>
        <w:rPr>
          <w:noProof/>
        </w:rPr>
        <w:instrText xml:space="preserve"> </w:instrText>
      </w:r>
      <w:r>
        <w:rPr>
          <w:noProof/>
          <w:lang w:val="cs-CZ"/>
        </w:rPr>
        <w:instrText>46</w:instrText>
      </w:r>
      <w:r>
        <w:rPr>
          <w:noProof/>
        </w:rPr>
        <w:instrText>.</w:instrText>
      </w:r>
      <w:r>
        <w:rPr>
          <w:noProof/>
          <w:lang w:val="cs-CZ"/>
        </w:rPr>
        <w:instrText>7</w:instrText>
      </w:r>
      <w:r>
        <w:rPr>
          <w:noProof/>
        </w:rPr>
        <w:instrText>‒10</w:instrText>
      </w:r>
      <w:r>
        <w:instrText xml:space="preserve">" </w:instrText>
      </w:r>
      <w:r>
        <w:rPr>
          <w:noProof/>
        </w:rPr>
        <w:fldChar w:fldCharType="end"/>
      </w:r>
      <w:r w:rsidRPr="001B2FCD">
        <w:t>)</w:t>
      </w:r>
    </w:p>
  </w:footnote>
  <w:footnote w:id="238">
    <w:p w:rsidR="00971E82" w:rsidRPr="006C6C34" w:rsidRDefault="00971E82" w:rsidP="08163013">
      <w:pPr>
        <w:pStyle w:val="Textpoznpodarou"/>
        <w:rPr>
          <w:lang w:val="cs-CZ"/>
        </w:rPr>
      </w:pPr>
      <w:r>
        <w:rPr>
          <w:rStyle w:val="Znakapoznpodarou"/>
        </w:rPr>
        <w:footnoteRef/>
      </w:r>
      <w:r>
        <w:t xml:space="preserve"> </w:t>
      </w:r>
      <w:r w:rsidRPr="00273106">
        <w:rPr>
          <w:noProof/>
        </w:rPr>
        <w:t xml:space="preserve">„Experimur autem in nobis duas operationes abstractas. Prima operatio abstracta est receptio intelligibilium universalium abstractorum. Alia operatio abstracta, quam in nobis experimur, est abstractio intelligibilium, cum prius essent intentiones imaginatae. Per hoc ergo quod in nobis experimur has duas operationes fieri, scimus quod necesse est in nobis duas virtutes esse, quibus mediantibus fiant istae operationes. </w:t>
      </w:r>
      <w:r w:rsidRPr="00273106">
        <w:rPr>
          <w:noProof/>
          <w:lang w:eastAsia="en-US"/>
        </w:rPr>
        <w:t>Scire enim actiones animae prius est apud nos quam scire eius substantiam.</w:t>
      </w:r>
      <w:r w:rsidRPr="00273106">
        <w:rPr>
          <w:noProof/>
        </w:rPr>
        <w:t>“ (</w:t>
      </w:r>
      <w:r w:rsidRPr="08BF3B3D">
        <w:rPr>
          <w:noProof/>
        </w:rPr>
        <w:t>QIIIDA</w:t>
      </w:r>
      <w:r w:rsidRPr="00273106">
        <w:rPr>
          <w:noProof/>
        </w:rPr>
        <w:t>, q. 14</w:t>
      </w:r>
      <w:r>
        <w:rPr>
          <w:noProof/>
          <w:lang w:val="cs-CZ"/>
        </w:rPr>
        <w:t>;</w:t>
      </w:r>
      <w:r w:rsidRPr="00273106">
        <w:rPr>
          <w:noProof/>
        </w:rPr>
        <w:t xml:space="preserve"> ed. Bazán, p. 47.28‒36</w:t>
      </w:r>
      <w:r>
        <w:rPr>
          <w:noProof/>
        </w:rPr>
        <w:fldChar w:fldCharType="begin"/>
      </w:r>
      <w:r>
        <w:instrText xml:space="preserve"> XE "</w:instrText>
      </w:r>
      <w:r>
        <w:rPr>
          <w:lang w:val="cs-CZ"/>
        </w:rPr>
        <w:instrText>Siger:</w:instrText>
      </w:r>
      <w:r>
        <w:rPr>
          <w:i/>
          <w:noProof/>
        </w:rPr>
        <w:instrText xml:space="preserve">Quaestiones in tertium </w:instrText>
      </w:r>
      <w:r>
        <w:rPr>
          <w:i/>
          <w:noProof/>
          <w:lang w:val="cs-CZ"/>
        </w:rPr>
        <w:instrText>D</w:instrText>
      </w:r>
      <w:r w:rsidRPr="00603622">
        <w:rPr>
          <w:i/>
          <w:noProof/>
        </w:rPr>
        <w:instrText>e anima</w:instrText>
      </w:r>
      <w:r>
        <w:rPr>
          <w:noProof/>
        </w:rPr>
        <w:instrText xml:space="preserve"> </w:instrText>
      </w:r>
      <w:r>
        <w:rPr>
          <w:noProof/>
          <w:lang w:val="cs-CZ"/>
        </w:rPr>
        <w:instrText>47</w:instrText>
      </w:r>
      <w:r>
        <w:rPr>
          <w:noProof/>
        </w:rPr>
        <w:instrText>.</w:instrText>
      </w:r>
      <w:r>
        <w:rPr>
          <w:noProof/>
          <w:lang w:val="cs-CZ"/>
        </w:rPr>
        <w:instrText>28</w:instrText>
      </w:r>
      <w:r>
        <w:rPr>
          <w:noProof/>
        </w:rPr>
        <w:instrText>‒</w:instrText>
      </w:r>
      <w:r>
        <w:rPr>
          <w:noProof/>
          <w:lang w:val="cs-CZ"/>
        </w:rPr>
        <w:instrText>36</w:instrText>
      </w:r>
      <w:r>
        <w:instrText xml:space="preserve">" </w:instrText>
      </w:r>
      <w:r>
        <w:rPr>
          <w:noProof/>
        </w:rPr>
        <w:fldChar w:fldCharType="end"/>
      </w:r>
      <w:r w:rsidRPr="00273106">
        <w:rPr>
          <w:noProof/>
        </w:rPr>
        <w:t>)</w:t>
      </w:r>
    </w:p>
  </w:footnote>
  <w:footnote w:id="239">
    <w:p w:rsidR="00971E82" w:rsidRPr="00133AAD" w:rsidRDefault="00971E82" w:rsidP="08163013">
      <w:pPr>
        <w:pStyle w:val="Textpoznpodarou"/>
      </w:pPr>
      <w:r>
        <w:rPr>
          <w:rStyle w:val="Znakapoznpodarou"/>
        </w:rPr>
        <w:footnoteRef/>
      </w:r>
      <w:r>
        <w:rPr>
          <w:lang w:val="cs-CZ"/>
        </w:rPr>
        <w:t xml:space="preserve"> </w:t>
      </w:r>
      <w:r>
        <w:t>„</w:t>
      </w:r>
      <w:r w:rsidRPr="00133AAD">
        <w:t>Sed hic nobis dicendum est quod universale non est universale ante conceptum et actum intelligendi, saltem prout est</w:t>
      </w:r>
      <w:r>
        <w:t xml:space="preserve"> agentis ipse actus, intellectus rei qui est in possibili, cum sit possibilis sicut subiecti, est ipsius agentis ut efficientis. Unde universale n</w:t>
      </w:r>
      <w:r w:rsidRPr="00133AAD">
        <w:t>on habet formaliter quod ipsum sit tale a natura quae causat actum intelligendi, sed, ut prius dictum est, hi</w:t>
      </w:r>
      <w:r>
        <w:t>c</w:t>
      </w:r>
      <w:r w:rsidRPr="00133AAD">
        <w:t xml:space="preserve"> conceptus et actus est unde universale habet quod sit tale. Sic ergo universalia, secundum q</w:t>
      </w:r>
      <w:r>
        <w:t>uod talia, tantum sunt in anima...“ (</w:t>
      </w:r>
      <w:r w:rsidRPr="00AE0D8C">
        <w:rPr>
          <w:i/>
        </w:rPr>
        <w:t>De aeternitate mundi</w:t>
      </w:r>
      <w:r>
        <w:rPr>
          <w:i/>
        </w:rPr>
        <w:t xml:space="preserve"> </w:t>
      </w:r>
      <w:r w:rsidRPr="00AE0D8C">
        <w:t>3</w:t>
      </w:r>
      <w:r>
        <w:rPr>
          <w:lang w:val="cs-CZ"/>
        </w:rPr>
        <w:t>;</w:t>
      </w:r>
      <w:r>
        <w:t xml:space="preserve"> ed. Bazán, p. 126.92‒98</w:t>
      </w:r>
      <w:r>
        <w:fldChar w:fldCharType="begin"/>
      </w:r>
      <w:r>
        <w:instrText xml:space="preserve"> XE "</w:instrText>
      </w:r>
      <w:r>
        <w:rPr>
          <w:lang w:val="cs-CZ"/>
        </w:rPr>
        <w:instrText>Siger:</w:instrText>
      </w:r>
      <w:r w:rsidRPr="00FF3BA1">
        <w:rPr>
          <w:i/>
        </w:rPr>
        <w:instrText xml:space="preserve">De aeternitate mundi </w:instrText>
      </w:r>
      <w:r w:rsidRPr="00FF3BA1">
        <w:instrText>126.92‒98</w:instrText>
      </w:r>
      <w:r>
        <w:instrText xml:space="preserve">" </w:instrText>
      </w:r>
      <w:r>
        <w:fldChar w:fldCharType="end"/>
      </w:r>
      <w:r>
        <w:t>)</w:t>
      </w:r>
    </w:p>
  </w:footnote>
  <w:footnote w:id="240">
    <w:p w:rsidR="00971E82" w:rsidRPr="00520D61" w:rsidRDefault="00971E82" w:rsidP="08163013">
      <w:pPr>
        <w:pStyle w:val="Textpoznpodarou"/>
      </w:pPr>
      <w:r w:rsidRPr="00520D61">
        <w:rPr>
          <w:rStyle w:val="Znakapoznpodarou"/>
        </w:rPr>
        <w:footnoteRef/>
      </w:r>
      <w:r w:rsidRPr="00520D61">
        <w:t xml:space="preserve"> </w:t>
      </w:r>
      <w:r>
        <w:t>„</w:t>
      </w:r>
      <w:r w:rsidRPr="00520D61">
        <w:rPr>
          <w:rStyle w:val="Zkladntext329pt"/>
          <w:smallCaps w:val="0"/>
        </w:rPr>
        <w:t>Commentator</w:t>
      </w:r>
      <w:r w:rsidRPr="00520D61">
        <w:t xml:space="preserve"> solvit: intellectus copulatur humanae speciei, et intellectus copulatur </w:t>
      </w:r>
      <w:r>
        <w:t>h</w:t>
      </w:r>
      <w:r w:rsidRPr="00520D61">
        <w:t xml:space="preserve">uic individuo humanae speciei. Et intellectus copulatio humanae speciei essentialior est quam copulatio quae est </w:t>
      </w:r>
      <w:r>
        <w:t>h</w:t>
      </w:r>
      <w:r w:rsidRPr="00520D61">
        <w:t xml:space="preserve">uic </w:t>
      </w:r>
      <w:r>
        <w:t>individuo, propter hoc quod humana species aeterna est et quia intellectus qui</w:t>
      </w:r>
      <w:r w:rsidRPr="00520D61">
        <w:t xml:space="preserve"> ei copulatur aeternus est</w:t>
      </w:r>
      <w:r>
        <w:t>. Copulatio autem intellectus hu</w:t>
      </w:r>
      <w:r w:rsidRPr="00520D61">
        <w:t>ic individuo humanae speciei minus essentialis est. Unde etiam individuum separatur, licet intellectus a specie humana numquam separetur.“</w:t>
      </w:r>
      <w:r>
        <w:t xml:space="preserve"> (</w:t>
      </w:r>
      <w:r w:rsidRPr="08BF3B3D">
        <w:t>QIIIDA</w:t>
      </w:r>
      <w:r>
        <w:t>, q. 14</w:t>
      </w:r>
      <w:r>
        <w:rPr>
          <w:lang w:val="cs-CZ"/>
        </w:rPr>
        <w:t>;</w:t>
      </w:r>
      <w:r>
        <w:t xml:space="preserve"> ed. Bazán, p. 52.78</w:t>
      </w:r>
      <w:r w:rsidRPr="00EB0491">
        <w:t>‒</w:t>
      </w:r>
      <w:r>
        <w:t>84</w:t>
      </w:r>
      <w:r>
        <w:fldChar w:fldCharType="begin"/>
      </w:r>
      <w:r>
        <w:instrText xml:space="preserve"> XE "</w:instrText>
      </w:r>
      <w:r>
        <w:rPr>
          <w:lang w:val="cs-CZ"/>
        </w:rPr>
        <w:instrText>Siger:</w:instrText>
      </w:r>
      <w:r>
        <w:rPr>
          <w:i/>
        </w:rPr>
        <w:instrText xml:space="preserve">Quaestiones in tertium </w:instrText>
      </w:r>
      <w:r>
        <w:rPr>
          <w:i/>
          <w:lang w:val="cs-CZ"/>
        </w:rPr>
        <w:instrText>D</w:instrText>
      </w:r>
      <w:r w:rsidRPr="006123CF">
        <w:rPr>
          <w:i/>
        </w:rPr>
        <w:instrText>e anima</w:instrText>
      </w:r>
      <w:r w:rsidRPr="006123CF">
        <w:instrText xml:space="preserve"> 52.78‒84</w:instrText>
      </w:r>
      <w:r>
        <w:instrText xml:space="preserve">" </w:instrText>
      </w:r>
      <w:r>
        <w:fldChar w:fldCharType="end"/>
      </w:r>
      <w:r>
        <w:t>)</w:t>
      </w:r>
    </w:p>
  </w:footnote>
  <w:footnote w:id="241">
    <w:p w:rsidR="00971E82" w:rsidRPr="006A6C36" w:rsidRDefault="00971E82" w:rsidP="08163013">
      <w:pPr>
        <w:pStyle w:val="Textpoznpodarou"/>
      </w:pPr>
      <w:r>
        <w:rPr>
          <w:rStyle w:val="Znakapoznpodarou"/>
        </w:rPr>
        <w:footnoteRef/>
      </w:r>
      <w:r>
        <w:t xml:space="preserve"> „</w:t>
      </w:r>
      <w:r>
        <w:rPr>
          <w:lang w:val="cs-CZ"/>
        </w:rPr>
        <w:t>S</w:t>
      </w:r>
      <w:r w:rsidRPr="003D3603">
        <w:t>impliciter autem et respectu speciei semper intelligit hoc universale, nisi species humana deficiat omnino, quod est impossib</w:t>
      </w:r>
      <w:r>
        <w:t>i</w:t>
      </w:r>
      <w:r w:rsidRPr="003D3603">
        <w:t>le</w:t>
      </w:r>
      <w:r>
        <w:t>...“ (CMDA III.20</w:t>
      </w:r>
      <w:r>
        <w:rPr>
          <w:lang w:val="cs-CZ"/>
        </w:rPr>
        <w:t xml:space="preserve">; </w:t>
      </w:r>
      <w:r>
        <w:t>448.142‒44</w:t>
      </w:r>
      <w:r>
        <w:fldChar w:fldCharType="begin"/>
      </w:r>
      <w:r>
        <w:instrText xml:space="preserve"> XE "</w:instrText>
      </w:r>
      <w:r>
        <w:rPr>
          <w:lang w:val="cs-CZ"/>
        </w:rPr>
        <w:instrText>Averroes:</w:instrText>
      </w:r>
      <w:r w:rsidRPr="00652BBF">
        <w:instrText>CMDA 448.142‒44</w:instrText>
      </w:r>
      <w:r>
        <w:instrText xml:space="preserve">" </w:instrText>
      </w:r>
      <w:r>
        <w:fldChar w:fldCharType="end"/>
      </w:r>
      <w:r>
        <w:t>)</w:t>
      </w:r>
    </w:p>
  </w:footnote>
  <w:footnote w:id="242">
    <w:p w:rsidR="00971E82" w:rsidRPr="003D3603" w:rsidRDefault="00971E82" w:rsidP="08163013">
      <w:pPr>
        <w:pStyle w:val="Textpoznpodarou"/>
      </w:pPr>
      <w:r>
        <w:rPr>
          <w:rStyle w:val="Znakapoznpodarou"/>
        </w:rPr>
        <w:footnoteRef/>
      </w:r>
      <w:r>
        <w:t xml:space="preserve"> „</w:t>
      </w:r>
      <w:r w:rsidRPr="006A6C36">
        <w:t>Quoniam cum sapientiam esse in aliquo modo proprio hominum est sicut modos artificiorum esse in modis propriis hominum, existimatur quod impossibile est ut tota habitatio</w:t>
      </w:r>
      <w:r>
        <w:t xml:space="preserve"> </w:t>
      </w:r>
      <w:r w:rsidRPr="006A6C36">
        <w:t>fugiat a Philosophia, sicut opinandum est quod impossibile est ut fugiat ab artificiis naturalibus.</w:t>
      </w:r>
      <w:r>
        <w:t>“ (CMDA III.5</w:t>
      </w:r>
      <w:r>
        <w:rPr>
          <w:lang w:val="cs-CZ"/>
        </w:rPr>
        <w:t xml:space="preserve">; </w:t>
      </w:r>
      <w:r>
        <w:t>408.610‒15</w:t>
      </w:r>
      <w:r>
        <w:fldChar w:fldCharType="begin"/>
      </w:r>
      <w:r>
        <w:instrText xml:space="preserve"> XE "</w:instrText>
      </w:r>
      <w:r>
        <w:rPr>
          <w:lang w:val="cs-CZ"/>
        </w:rPr>
        <w:instrText>Averroes:</w:instrText>
      </w:r>
      <w:r>
        <w:instrText>CMDA</w:instrText>
      </w:r>
      <w:r>
        <w:rPr>
          <w:lang w:val="cs-CZ"/>
        </w:rPr>
        <w:instrText xml:space="preserve"> </w:instrText>
      </w:r>
      <w:r>
        <w:instrText>408.610‒</w:instrText>
      </w:r>
      <w:r w:rsidRPr="00297075">
        <w:instrText>15</w:instrText>
      </w:r>
      <w:r>
        <w:instrText xml:space="preserve">" </w:instrText>
      </w:r>
      <w:r>
        <w:fldChar w:fldCharType="end"/>
      </w:r>
      <w:r>
        <w:rPr>
          <w:lang w:val="cs-CZ"/>
        </w:rPr>
        <w:t>)</w:t>
      </w:r>
    </w:p>
  </w:footnote>
  <w:footnote w:id="243">
    <w:p w:rsidR="00971E82" w:rsidRPr="00A81579" w:rsidRDefault="00971E82" w:rsidP="08163013">
      <w:pPr>
        <w:pStyle w:val="Textpoznpodarou"/>
      </w:pPr>
      <w:r>
        <w:rPr>
          <w:rStyle w:val="Znakapoznpodarou"/>
        </w:rPr>
        <w:footnoteRef/>
      </w:r>
      <w:r>
        <w:t xml:space="preserve"> „</w:t>
      </w:r>
      <w:r>
        <w:rPr>
          <w:lang w:val="cs-CZ"/>
        </w:rPr>
        <w:t>(...) s</w:t>
      </w:r>
      <w:r>
        <w:t>ecun</w:t>
      </w:r>
      <w:r w:rsidRPr="00A81579">
        <w:t>dum intentionem</w:t>
      </w:r>
      <w:r w:rsidRPr="001E646A">
        <w:rPr>
          <w:rStyle w:val="Zkladntext489pt5"/>
          <w:rFonts w:ascii="Calibri" w:hAnsi="Calibri"/>
          <w:smallCaps w:val="0"/>
          <w:sz w:val="20"/>
          <w:lang w:val="cs-CZ"/>
        </w:rPr>
        <w:t xml:space="preserve"> Philosophi</w:t>
      </w:r>
      <w:r w:rsidRPr="00A81579">
        <w:t xml:space="preserve"> species humana sit aeterna sicut et eius perfectio quae </w:t>
      </w:r>
      <w:r>
        <w:t>est anima intell</w:t>
      </w:r>
      <w:r w:rsidRPr="00A81579">
        <w:t xml:space="preserve">ectiva. Et ita videtur quid iudicandum sit de anima secundum </w:t>
      </w:r>
      <w:r>
        <w:t>apparentia de ipsa</w:t>
      </w:r>
      <w:r w:rsidRPr="00A81579">
        <w:t xml:space="preserve">: cum enim in opere eius non </w:t>
      </w:r>
      <w:r>
        <w:t>dependeat ex hoc corpore sicut e</w:t>
      </w:r>
      <w:r w:rsidRPr="00A81579">
        <w:t>x organo corporeo in quo habeat esse, intelligere</w:t>
      </w:r>
      <w:r>
        <w:rPr>
          <w:rStyle w:val="Zkladntext4873"/>
          <w:rFonts w:ascii="Calibri" w:eastAsia="Century Schoolbook" w:hAnsi="Calibri"/>
          <w:sz w:val="20"/>
        </w:rPr>
        <w:t xml:space="preserve"> </w:t>
      </w:r>
      <w:r w:rsidRPr="00A81579">
        <w:t>debet corrumpi, hoc corpore corrupto, sed manere; quia tamen non habet opus sine corpore, nec manet sine corpore nec totaliter videtur a corpore separari.</w:t>
      </w:r>
      <w:r>
        <w:t>“ (</w:t>
      </w:r>
      <w:r w:rsidRPr="00396FE3">
        <w:rPr>
          <w:i/>
        </w:rPr>
        <w:t>De anima intellectiva</w:t>
      </w:r>
      <w:r>
        <w:t xml:space="preserve"> 6</w:t>
      </w:r>
      <w:r>
        <w:rPr>
          <w:lang w:val="cs-CZ"/>
        </w:rPr>
        <w:t>;</w:t>
      </w:r>
      <w:r w:rsidRPr="00396FE3">
        <w:t xml:space="preserve"> ed. Bazán, p.</w:t>
      </w:r>
      <w:r>
        <w:t xml:space="preserve"> 98.58‒65</w:t>
      </w:r>
      <w:r>
        <w:fldChar w:fldCharType="begin"/>
      </w:r>
      <w:r>
        <w:instrText xml:space="preserve"> XE "</w:instrText>
      </w:r>
      <w:r>
        <w:rPr>
          <w:lang w:val="cs-CZ"/>
        </w:rPr>
        <w:instrText>Siger:</w:instrText>
      </w:r>
      <w:r w:rsidRPr="00EB7AC1">
        <w:rPr>
          <w:i/>
        </w:rPr>
        <w:instrText>De anima intellectiva</w:instrText>
      </w:r>
      <w:r>
        <w:rPr>
          <w:lang w:val="cs-CZ"/>
        </w:rPr>
        <w:instrText xml:space="preserve"> </w:instrText>
      </w:r>
      <w:r w:rsidRPr="00EB7AC1">
        <w:instrText>98.58‒65</w:instrText>
      </w:r>
      <w:r>
        <w:instrText xml:space="preserve">" </w:instrText>
      </w:r>
      <w:r>
        <w:fldChar w:fldCharType="end"/>
      </w:r>
      <w:r>
        <w:t xml:space="preserve">) </w:t>
      </w:r>
    </w:p>
  </w:footnote>
  <w:footnote w:id="244">
    <w:p w:rsidR="00971E82" w:rsidRPr="005A4A11" w:rsidRDefault="00971E82" w:rsidP="08163013">
      <w:pPr>
        <w:pStyle w:val="Textpoznpodarou"/>
      </w:pPr>
      <w:r>
        <w:rPr>
          <w:rStyle w:val="Znakapoznpodarou"/>
        </w:rPr>
        <w:footnoteRef/>
      </w:r>
      <w:r>
        <w:t xml:space="preserve"> „Et cum dicitur: intentiones intellectae sunt unius intellectus, dico quod, licet intentiones intellectae sint unius intellectus simpliciter in se, tamen sunt secundum quod copulatur isti et non absolute. Similiter alii copulatur. Unde in se intellectus, quantum est de sua natura, eodem modo copulatur om</w:t>
      </w:r>
      <w:r>
        <w:rPr>
          <w:lang w:val="cs-CZ"/>
        </w:rPr>
        <w:t>n</w:t>
      </w:r>
      <w:r>
        <w:t>i homini.“ (</w:t>
      </w:r>
      <w:r w:rsidRPr="08BF3B3D">
        <w:t>QIIIDA</w:t>
      </w:r>
      <w:r>
        <w:t>, q. 15</w:t>
      </w:r>
      <w:r>
        <w:rPr>
          <w:lang w:val="cs-CZ"/>
        </w:rPr>
        <w:t>;</w:t>
      </w:r>
      <w:r>
        <w:t xml:space="preserve"> ed. Bazán, pp. 57.18</w:t>
      </w:r>
      <w:r w:rsidRPr="00EB0491">
        <w:t>‒</w:t>
      </w:r>
      <w:r>
        <w:t>58.2</w:t>
      </w:r>
      <w:r>
        <w:rPr>
          <w:lang w:val="cs-CZ"/>
        </w:rPr>
        <w:t>3</w:t>
      </w:r>
      <w:r>
        <w:rPr>
          <w:lang w:val="cs-CZ"/>
        </w:rPr>
        <w:fldChar w:fldCharType="begin"/>
      </w:r>
      <w:r>
        <w:instrText xml:space="preserve"> XE "</w:instrText>
      </w:r>
      <w:r>
        <w:rPr>
          <w:lang w:val="cs-CZ"/>
        </w:rPr>
        <w:instrText>Siger:</w:instrText>
      </w:r>
      <w:r>
        <w:rPr>
          <w:i/>
        </w:rPr>
        <w:instrText xml:space="preserve">Quaestiones in tertium </w:instrText>
      </w:r>
      <w:r>
        <w:rPr>
          <w:i/>
          <w:lang w:val="cs-CZ"/>
        </w:rPr>
        <w:instrText>D</w:instrText>
      </w:r>
      <w:r w:rsidRPr="00E8029D">
        <w:rPr>
          <w:i/>
        </w:rPr>
        <w:instrText>e anima</w:instrText>
      </w:r>
      <w:r>
        <w:rPr>
          <w:lang w:val="cs-CZ"/>
        </w:rPr>
        <w:instrText xml:space="preserve"> </w:instrText>
      </w:r>
      <w:r w:rsidRPr="00E8029D">
        <w:instrText>57.18‒58.2</w:instrText>
      </w:r>
      <w:r w:rsidRPr="00E8029D">
        <w:rPr>
          <w:lang w:val="cs-CZ"/>
        </w:rPr>
        <w:instrText>3</w:instrText>
      </w:r>
      <w:r>
        <w:instrText xml:space="preserve">" </w:instrText>
      </w:r>
      <w:r>
        <w:rPr>
          <w:lang w:val="cs-CZ"/>
        </w:rPr>
        <w:fldChar w:fldCharType="end"/>
      </w:r>
      <w:r>
        <w:t>)</w:t>
      </w:r>
    </w:p>
  </w:footnote>
  <w:footnote w:id="245">
    <w:p w:rsidR="00971E82" w:rsidRPr="00DB6987" w:rsidRDefault="00971E82" w:rsidP="08163013">
      <w:pPr>
        <w:pStyle w:val="Textpoznpodarou"/>
        <w:rPr>
          <w:lang w:val="cs-CZ"/>
        </w:rPr>
      </w:pPr>
      <w:r>
        <w:rPr>
          <w:rStyle w:val="Znakapoznpodarou"/>
        </w:rPr>
        <w:footnoteRef/>
      </w:r>
      <w:r>
        <w:t xml:space="preserve"> </w:t>
      </w:r>
      <w:r w:rsidRPr="00273106">
        <w:rPr>
          <w:noProof/>
        </w:rPr>
        <w:t xml:space="preserve">„Adhuc de intellectu agente et possibili intelligendum quod non sunt duae substantiae, sed sunt duae virtutes eiusdem substantiae. </w:t>
      </w:r>
      <w:r w:rsidRPr="08877A1B">
        <w:t xml:space="preserve">Hoc sentit Aristoteles cum dicit in hoc </w:t>
      </w:r>
      <w:r w:rsidRPr="08877A1B">
        <w:rPr>
          <w:i/>
        </w:rPr>
        <w:t>tertio</w:t>
      </w:r>
      <w:r w:rsidRPr="08877A1B">
        <w:t xml:space="preserve"> quod in</w:t>
      </w:r>
      <w:r w:rsidRPr="00273106">
        <w:rPr>
          <w:noProof/>
        </w:rPr>
        <w:t xml:space="preserve"> unoquoque genere est aliquid quo est omnia facere et aliquod aliud quod est in potentia omnia. In anima intellectu agente et possibili recipimus et abstrahimus ad libitum nostrum. Quare videntur esse virtutes eiusdem substantiae, scilicet intellectus nostri.“ (</w:t>
      </w:r>
      <w:r w:rsidRPr="08BF3B3D">
        <w:rPr>
          <w:noProof/>
        </w:rPr>
        <w:t>QIIIDA</w:t>
      </w:r>
      <w:r w:rsidRPr="00273106">
        <w:rPr>
          <w:noProof/>
        </w:rPr>
        <w:t>, q. 15, a. 3, solutio, ad 3; ed. Bazán, p. 58.42‒48</w:t>
      </w:r>
      <w:r>
        <w:rPr>
          <w:noProof/>
        </w:rPr>
        <w:fldChar w:fldCharType="begin"/>
      </w:r>
      <w:r>
        <w:instrText xml:space="preserve"> XE "</w:instrText>
      </w:r>
      <w:r>
        <w:rPr>
          <w:lang w:val="cs-CZ"/>
        </w:rPr>
        <w:instrText>Siger:</w:instrText>
      </w:r>
      <w:r>
        <w:rPr>
          <w:i/>
          <w:noProof/>
        </w:rPr>
        <w:instrText xml:space="preserve">Quaestiones in tertium </w:instrText>
      </w:r>
      <w:r>
        <w:rPr>
          <w:i/>
          <w:noProof/>
          <w:lang w:val="cs-CZ"/>
        </w:rPr>
        <w:instrText>D</w:instrText>
      </w:r>
      <w:r w:rsidRPr="00E04E13">
        <w:rPr>
          <w:i/>
          <w:noProof/>
        </w:rPr>
        <w:instrText>e anima</w:instrText>
      </w:r>
      <w:r w:rsidRPr="00E04E13">
        <w:rPr>
          <w:noProof/>
        </w:rPr>
        <w:instrText xml:space="preserve"> 58.42‒48</w:instrText>
      </w:r>
      <w:r>
        <w:instrText xml:space="preserve">" </w:instrText>
      </w:r>
      <w:r>
        <w:rPr>
          <w:noProof/>
        </w:rPr>
        <w:fldChar w:fldCharType="end"/>
      </w:r>
      <w:r w:rsidRPr="00273106">
        <w:rPr>
          <w:noProof/>
        </w:rPr>
        <w:t>)</w:t>
      </w:r>
    </w:p>
  </w:footnote>
  <w:footnote w:id="246">
    <w:p w:rsidR="00971E82" w:rsidRPr="000B56CF" w:rsidRDefault="00971E82" w:rsidP="00707556">
      <w:pPr>
        <w:pStyle w:val="Textpoznpodarou"/>
      </w:pPr>
      <w:r>
        <w:rPr>
          <w:rStyle w:val="Znakapoznpodarou"/>
        </w:rPr>
        <w:footnoteRef/>
      </w:r>
      <w:r>
        <w:t xml:space="preserve"> „Nam, etsi alie sunt essentie intellectum participantes, non tamen intellectus earum est possibilis ut hominis, quia essentie tales speties quedam sunt intellectuales et non aliud, et earum esse nichil est aliud quam intelligere quod est quod sunt; quod est sine interpolatione, aliter sempiterne non essent. Patet igitur quod ultimum de potentia ipsius humanitatis est potentia sive virtus intellectiva.“ (</w:t>
      </w:r>
      <w:r w:rsidRPr="000B56CF">
        <w:rPr>
          <w:i/>
        </w:rPr>
        <w:t>Mona</w:t>
      </w:r>
      <w:r>
        <w:rPr>
          <w:i/>
        </w:rPr>
        <w:t>r</w:t>
      </w:r>
      <w:r w:rsidRPr="000B56CF">
        <w:rPr>
          <w:i/>
        </w:rPr>
        <w:t>chia</w:t>
      </w:r>
      <w:r>
        <w:t xml:space="preserve"> </w:t>
      </w:r>
      <w:r>
        <w:rPr>
          <w:lang w:val="cs-CZ"/>
        </w:rPr>
        <w:t>1</w:t>
      </w:r>
      <w:r>
        <w:t>.3.7</w:t>
      </w:r>
      <w:r>
        <w:fldChar w:fldCharType="begin"/>
      </w:r>
      <w:r>
        <w:instrText xml:space="preserve"> XE "</w:instrText>
      </w:r>
      <w:r>
        <w:rPr>
          <w:lang w:val="cs-CZ"/>
        </w:rPr>
        <w:instrText>Dante:</w:instrText>
      </w:r>
      <w:r w:rsidRPr="00EF6A31">
        <w:rPr>
          <w:i/>
        </w:rPr>
        <w:instrText>Monarchia</w:instrText>
      </w:r>
      <w:r w:rsidRPr="00EF6A31">
        <w:instrText xml:space="preserve"> </w:instrText>
      </w:r>
      <w:r w:rsidRPr="00EF6A31">
        <w:rPr>
          <w:lang w:val="cs-CZ"/>
        </w:rPr>
        <w:instrText>1</w:instrText>
      </w:r>
      <w:r w:rsidRPr="00EF6A31">
        <w:instrText>.3.7</w:instrText>
      </w:r>
      <w:r>
        <w:instrText xml:space="preserve">" </w:instrText>
      </w:r>
      <w:r>
        <w:fldChar w:fldCharType="end"/>
      </w:r>
      <w:r>
        <w:rPr>
          <w:lang w:val="cs-CZ"/>
        </w:rPr>
        <w:t xml:space="preserve">; ed. digitalis </w:t>
      </w:r>
      <w:r w:rsidRPr="00CB399C">
        <w:rPr>
          <w:i/>
          <w:lang w:val="cs-CZ"/>
        </w:rPr>
        <w:t>Dante Project</w:t>
      </w:r>
      <w:r>
        <w:t>)</w:t>
      </w:r>
    </w:p>
  </w:footnote>
  <w:footnote w:id="247">
    <w:p w:rsidR="00971E82" w:rsidRPr="007637DA" w:rsidRDefault="00971E82" w:rsidP="00707556">
      <w:pPr>
        <w:pStyle w:val="Textpoznpodarou"/>
      </w:pPr>
      <w:r w:rsidRPr="007637DA">
        <w:rPr>
          <w:rStyle w:val="Znakapoznpodarou"/>
        </w:rPr>
        <w:footnoteRef/>
      </w:r>
      <w:r w:rsidRPr="007637DA">
        <w:t xml:space="preserve"> </w:t>
      </w:r>
      <w:r>
        <w:t>„</w:t>
      </w:r>
      <w:r w:rsidRPr="007637DA">
        <w:t>Et sicut se habet pars ad totum, sic ordo partialis ad totalem. Pars ad totum se habet sicut ad finem et optimum: ergo et ordo in parte ad ordinem in toto, sicut ad finem et optimum.</w:t>
      </w:r>
      <w:r>
        <w:t>“ (</w:t>
      </w:r>
      <w:r w:rsidRPr="007637DA">
        <w:rPr>
          <w:i/>
        </w:rPr>
        <w:t>Mon</w:t>
      </w:r>
      <w:r>
        <w:rPr>
          <w:i/>
        </w:rPr>
        <w:t>archia</w:t>
      </w:r>
      <w:r w:rsidRPr="007637DA">
        <w:t xml:space="preserve"> 1.6.1</w:t>
      </w:r>
      <w:r>
        <w:rPr>
          <w:lang w:val="cs-CZ"/>
        </w:rPr>
        <w:t xml:space="preserve">; ed. digitalis </w:t>
      </w:r>
      <w:r w:rsidRPr="00CB399C">
        <w:rPr>
          <w:i/>
          <w:lang w:val="cs-CZ"/>
        </w:rPr>
        <w:t>Dante Project</w:t>
      </w:r>
      <w:r w:rsidRPr="007637DA">
        <w:t xml:space="preserve">). </w:t>
      </w:r>
    </w:p>
  </w:footnote>
  <w:footnote w:id="248">
    <w:p w:rsidR="00971E82" w:rsidRPr="08BF7BE7" w:rsidRDefault="00971E82" w:rsidP="08BF7BE7">
      <w:pPr>
        <w:pStyle w:val="Textpoznpodarou"/>
      </w:pPr>
      <w:r w:rsidRPr="08BF7BE7">
        <w:rPr>
          <w:rStyle w:val="Znakapoznpodarou"/>
        </w:rPr>
        <w:footnoteRef/>
      </w:r>
      <w:r w:rsidRPr="08BF7BE7">
        <w:t xml:space="preserve"> „</w:t>
      </w:r>
      <w:r w:rsidRPr="08BF7BE7">
        <w:rPr>
          <w:rStyle w:val="Zkladntext331"/>
          <w:rFonts w:ascii="Calibri" w:hAnsi="Calibri"/>
          <w:lang w:val="x-none" w:eastAsia="x-none"/>
        </w:rPr>
        <w:t xml:space="preserve">Sed praedictis adiciendum est quod uno modo per vivere intelligimus vel possumus intelligere esse primum viventis corporis, et sic dicit </w:t>
      </w:r>
      <w:r w:rsidRPr="08BF7BE7">
        <w:rPr>
          <w:rStyle w:val="Zkladntext39pt"/>
          <w:rFonts w:ascii="Calibri" w:hAnsi="Calibri"/>
          <w:smallCaps w:val="0"/>
          <w:sz w:val="20"/>
          <w:szCs w:val="20"/>
          <w:lang w:val="x-none" w:eastAsia="x-none"/>
        </w:rPr>
        <w:t>Philosophus,</w:t>
      </w:r>
      <w:r w:rsidRPr="08BF7BE7">
        <w:rPr>
          <w:rStyle w:val="Zkladntext391"/>
          <w:rFonts w:ascii="Calibri" w:hAnsi="Calibri"/>
          <w:i w:val="0"/>
          <w:iCs w:val="0"/>
          <w:sz w:val="20"/>
          <w:szCs w:val="20"/>
          <w:lang w:val="x-none" w:eastAsia="x-none"/>
        </w:rPr>
        <w:t xml:space="preserve"> secundo De anima</w:t>
      </w:r>
      <w:r w:rsidRPr="08BF7BE7">
        <w:rPr>
          <w:rStyle w:val="Zkladntext331"/>
          <w:rFonts w:ascii="Calibri" w:hAnsi="Calibri"/>
          <w:lang w:val="x-none" w:eastAsia="x-none"/>
        </w:rPr>
        <w:t>, quod vivere viventibus est esse; alio modo per vivere habemus intelligere praedicta opera vitae et animae. Et vivere, utroque modo dictum, est ab anima. Sed non manifestatur vivere primo modo dictum, quod est esse viventium, nec etiam anima in corporibus animatis, nisi per vivere quod est opus animae et vitae.“ (</w:t>
      </w:r>
      <w:r w:rsidRPr="08BF7BE7">
        <w:rPr>
          <w:i/>
        </w:rPr>
        <w:t>De anima intellectiva</w:t>
      </w:r>
      <w:r w:rsidRPr="08BF7BE7">
        <w:t xml:space="preserve"> 1, ed. Bazán, p. 72.</w:t>
      </w:r>
      <w:r w:rsidRPr="08BF7BE7">
        <w:rPr>
          <w:rStyle w:val="Zkladntext331"/>
          <w:rFonts w:ascii="Calibri" w:hAnsi="Calibri"/>
          <w:lang w:val="x-none" w:eastAsia="x-none"/>
        </w:rPr>
        <w:t>15‒22</w:t>
      </w:r>
      <w:r w:rsidRPr="08BF7BE7">
        <w:rPr>
          <w:rStyle w:val="Zkladntext331"/>
          <w:rFonts w:ascii="Calibri" w:hAnsi="Calibri"/>
          <w:lang w:val="x-none" w:eastAsia="x-none"/>
        </w:rPr>
        <w:fldChar w:fldCharType="begin"/>
      </w:r>
      <w:r w:rsidRPr="08BF7BE7">
        <w:instrText xml:space="preserve"> XE "Siger:De anima intellectiva 72.</w:instrText>
      </w:r>
      <w:r w:rsidRPr="08BF7BE7">
        <w:rPr>
          <w:rStyle w:val="Zkladntext331"/>
          <w:rFonts w:ascii="Calibri" w:hAnsi="Calibri"/>
          <w:lang w:val="x-none" w:eastAsia="x-none"/>
        </w:rPr>
        <w:instrText>15‒22</w:instrText>
      </w:r>
      <w:r w:rsidRPr="08BF7BE7">
        <w:instrText xml:space="preserve">" </w:instrText>
      </w:r>
      <w:r w:rsidRPr="08BF7BE7">
        <w:rPr>
          <w:rStyle w:val="Zkladntext331"/>
          <w:rFonts w:ascii="Calibri" w:hAnsi="Calibri"/>
          <w:lang w:val="x-none" w:eastAsia="x-none"/>
        </w:rPr>
        <w:fldChar w:fldCharType="end"/>
      </w:r>
      <w:r w:rsidRPr="08BF7BE7">
        <w:rPr>
          <w:rStyle w:val="Zkladntext331"/>
          <w:rFonts w:ascii="Calibri" w:hAnsi="Calibri"/>
          <w:lang w:val="x-none" w:eastAsia="x-none"/>
        </w:rPr>
        <w:t>)</w:t>
      </w:r>
    </w:p>
  </w:footnote>
  <w:footnote w:id="249">
    <w:p w:rsidR="00971E82" w:rsidRPr="00611DCF" w:rsidRDefault="00971E82" w:rsidP="08163013">
      <w:pPr>
        <w:pStyle w:val="Textpoznpodarou"/>
        <w:rPr>
          <w:lang w:val="cs-CZ"/>
        </w:rPr>
      </w:pPr>
      <w:r>
        <w:rPr>
          <w:rStyle w:val="Znakapoznpodarou"/>
        </w:rPr>
        <w:footnoteRef/>
      </w:r>
      <w:r>
        <w:t xml:space="preserve"> </w:t>
      </w:r>
      <w:r>
        <w:rPr>
          <w:lang w:val="cs-CZ"/>
        </w:rPr>
        <w:t>„</w:t>
      </w:r>
      <w:r>
        <w:t xml:space="preserve">Videtur quod vita non convenienter dividatur per activam et contemplativam. Anima enim est principium vitae per suam essentiam, </w:t>
      </w:r>
      <w:r>
        <w:rPr>
          <w:rStyle w:val="aur"/>
        </w:rPr>
        <w:t>dicit</w:t>
      </w:r>
      <w:r>
        <w:t xml:space="preserve"> </w:t>
      </w:r>
      <w:r>
        <w:rPr>
          <w:rStyle w:val="aur"/>
        </w:rPr>
        <w:t>enim</w:t>
      </w:r>
      <w:r>
        <w:t xml:space="preserve"> </w:t>
      </w:r>
      <w:r>
        <w:rPr>
          <w:rStyle w:val="aur"/>
        </w:rPr>
        <w:t>philosophus,</w:t>
      </w:r>
      <w:r>
        <w:t xml:space="preserve"> </w:t>
      </w:r>
      <w:r>
        <w:rPr>
          <w:rStyle w:val="aur"/>
        </w:rPr>
        <w:t>in</w:t>
      </w:r>
      <w:r>
        <w:t xml:space="preserve"> </w:t>
      </w:r>
      <w:r>
        <w:rPr>
          <w:rStyle w:val="aur"/>
        </w:rPr>
        <w:t>II</w:t>
      </w:r>
      <w:r>
        <w:t xml:space="preserve"> </w:t>
      </w:r>
      <w:r>
        <w:rPr>
          <w:rStyle w:val="aur"/>
        </w:rPr>
        <w:t>de</w:t>
      </w:r>
      <w:r>
        <w:t xml:space="preserve"> </w:t>
      </w:r>
      <w:r>
        <w:rPr>
          <w:rStyle w:val="aur"/>
        </w:rPr>
        <w:t>anima,</w:t>
      </w:r>
      <w:r>
        <w:t xml:space="preserve"> </w:t>
      </w:r>
      <w:r w:rsidRPr="00D43850">
        <w:t>quod vivere viventibus est esse.“ (</w:t>
      </w:r>
      <w:r w:rsidRPr="00044C92">
        <w:t>ST</w:t>
      </w:r>
      <w:r w:rsidRPr="008B403E">
        <w:rPr>
          <w:i/>
        </w:rPr>
        <w:t xml:space="preserve"> </w:t>
      </w:r>
      <w:r w:rsidRPr="00D43850">
        <w:t>II-II, q. 179, a. 1, arg. 1</w:t>
      </w:r>
      <w:r>
        <w:rPr>
          <w:lang w:val="cs-CZ"/>
        </w:rPr>
        <w:t>; ed. Leonina</w:t>
      </w:r>
      <w:r>
        <w:rPr>
          <w:lang w:val="cs-CZ"/>
        </w:rPr>
        <w:fldChar w:fldCharType="begin"/>
      </w:r>
      <w:r>
        <w:instrText xml:space="preserve"> XE "</w:instrText>
      </w:r>
      <w:r>
        <w:rPr>
          <w:lang w:val="cs-CZ"/>
        </w:rPr>
        <w:instrText>Akvinský:</w:instrText>
      </w:r>
      <w:r w:rsidRPr="00A14A24">
        <w:instrText>ST</w:instrText>
      </w:r>
      <w:r w:rsidRPr="00A14A24">
        <w:rPr>
          <w:i/>
        </w:rPr>
        <w:instrText xml:space="preserve"> </w:instrText>
      </w:r>
      <w:r w:rsidRPr="00A14A24">
        <w:instrText>II-II</w:instrText>
      </w:r>
      <w:r>
        <w:rPr>
          <w:lang w:val="cs-CZ"/>
        </w:rPr>
        <w:instrText>.179.1</w:instrText>
      </w:r>
      <w:r>
        <w:instrText xml:space="preserve"> </w:instrText>
      </w:r>
      <w:r>
        <w:rPr>
          <w:lang w:val="cs-CZ"/>
        </w:rPr>
        <w:fldChar w:fldCharType="end"/>
      </w:r>
      <w:r>
        <w:rPr>
          <w:lang w:val="cs-CZ"/>
        </w:rPr>
        <w:t xml:space="preserve"> 10, 421</w:t>
      </w:r>
      <w:r w:rsidRPr="00D43850">
        <w:t>)</w:t>
      </w:r>
    </w:p>
  </w:footnote>
  <w:footnote w:id="250">
    <w:p w:rsidR="00971E82" w:rsidRPr="00ED2399" w:rsidRDefault="00971E82" w:rsidP="08163013">
      <w:pPr>
        <w:pStyle w:val="Textpoznpodarou"/>
        <w:rPr>
          <w:lang w:val="cs-CZ"/>
        </w:rPr>
      </w:pPr>
      <w:r>
        <w:rPr>
          <w:rStyle w:val="Znakapoznpodarou"/>
        </w:rPr>
        <w:footnoteRef/>
      </w:r>
      <w:r>
        <w:t xml:space="preserve"> </w:t>
      </w:r>
      <w:r w:rsidRPr="00273106">
        <w:rPr>
          <w:rStyle w:val="Zkladntext350"/>
          <w:noProof/>
          <w:lang w:val="cs-CZ"/>
        </w:rPr>
        <w:t>„Omne quod agit et operatur agit per suam formam, et agit aliquid per illud quod est ab eo in esse separatum. Nunc autem, non tantum anima intelligit, sed etiam ipse homo per animam intellectivam. Ergo anima intellectiva est hominis forma et perfectio, et non ab eo in esse separata.“ (</w:t>
      </w:r>
      <w:r w:rsidRPr="00273106">
        <w:rPr>
          <w:i/>
          <w:noProof/>
          <w:lang w:eastAsia="en-US"/>
        </w:rPr>
        <w:t>De anima intellectiva</w:t>
      </w:r>
      <w:r w:rsidRPr="00273106">
        <w:rPr>
          <w:noProof/>
          <w:lang w:eastAsia="en-US"/>
        </w:rPr>
        <w:t xml:space="preserve"> </w:t>
      </w:r>
      <w:r w:rsidRPr="00273106">
        <w:rPr>
          <w:noProof/>
        </w:rPr>
        <w:t>3</w:t>
      </w:r>
      <w:r>
        <w:rPr>
          <w:noProof/>
          <w:lang w:val="cs-CZ"/>
        </w:rPr>
        <w:t>;</w:t>
      </w:r>
      <w:r w:rsidRPr="00273106">
        <w:rPr>
          <w:noProof/>
        </w:rPr>
        <w:t xml:space="preserve"> ed. Bazán, p. 77.9‒12</w:t>
      </w:r>
      <w:r>
        <w:rPr>
          <w:noProof/>
        </w:rPr>
        <w:fldChar w:fldCharType="begin"/>
      </w:r>
      <w:r>
        <w:instrText xml:space="preserve"> XE "</w:instrText>
      </w:r>
      <w:r>
        <w:rPr>
          <w:lang w:val="cs-CZ"/>
        </w:rPr>
        <w:instrText>Siger:</w:instrText>
      </w:r>
      <w:r w:rsidRPr="008B3D77">
        <w:rPr>
          <w:i/>
          <w:noProof/>
          <w:lang w:eastAsia="en-US"/>
        </w:rPr>
        <w:instrText>De anima intellectiva</w:instrText>
      </w:r>
      <w:r w:rsidRPr="008B3D77">
        <w:rPr>
          <w:noProof/>
          <w:lang w:eastAsia="en-US"/>
        </w:rPr>
        <w:instrText xml:space="preserve"> </w:instrText>
      </w:r>
      <w:r w:rsidRPr="008B3D77">
        <w:rPr>
          <w:noProof/>
        </w:rPr>
        <w:instrText>77.9‒12</w:instrText>
      </w:r>
      <w:r>
        <w:instrText xml:space="preserve">" </w:instrText>
      </w:r>
      <w:r>
        <w:rPr>
          <w:noProof/>
        </w:rPr>
        <w:fldChar w:fldCharType="end"/>
      </w:r>
      <w:r w:rsidRPr="00273106">
        <w:rPr>
          <w:rStyle w:val="Zkladntext350"/>
          <w:noProof/>
          <w:lang w:val="cs-CZ"/>
        </w:rPr>
        <w:t>)</w:t>
      </w:r>
    </w:p>
  </w:footnote>
  <w:footnote w:id="251">
    <w:p w:rsidR="00971E82" w:rsidRPr="00A47DE8" w:rsidRDefault="00971E82" w:rsidP="08163013">
      <w:pPr>
        <w:pStyle w:val="Textpoznpodarou"/>
        <w:rPr>
          <w:lang w:val="cs-CZ"/>
        </w:rPr>
      </w:pPr>
      <w:r>
        <w:rPr>
          <w:rStyle w:val="Znakapoznpodarou"/>
        </w:rPr>
        <w:footnoteRef/>
      </w:r>
      <w:r>
        <w:t xml:space="preserve"> </w:t>
      </w:r>
      <w:r w:rsidRPr="00273106">
        <w:rPr>
          <w:noProof/>
        </w:rPr>
        <w:t xml:space="preserve">„Anima intellectiva non </w:t>
      </w:r>
      <w:r w:rsidRPr="081975D5">
        <w:t>cognoscitur nisi ex eius opere, scilicet</w:t>
      </w:r>
      <w:r w:rsidRPr="00273106">
        <w:rPr>
          <w:noProof/>
        </w:rPr>
        <w:t xml:space="preserve"> intelligere. Intelligere autem est quodammodo unitum materiae et quodammodo separatum. Nisi enim intelligere esset unitum aliquo modo ad materiam, non esset verum dicere quod homo ipse intelligit.“ </w:t>
      </w:r>
      <w:r w:rsidRPr="00273106">
        <w:rPr>
          <w:rStyle w:val="Zkladntext350"/>
          <w:noProof/>
          <w:lang w:val="cs-CZ"/>
        </w:rPr>
        <w:t>(</w:t>
      </w:r>
      <w:r w:rsidRPr="00273106">
        <w:rPr>
          <w:i/>
          <w:noProof/>
          <w:lang w:eastAsia="en-US"/>
        </w:rPr>
        <w:t>De anima intellectiva</w:t>
      </w:r>
      <w:r w:rsidRPr="00273106">
        <w:rPr>
          <w:noProof/>
          <w:lang w:eastAsia="en-US"/>
        </w:rPr>
        <w:t xml:space="preserve"> </w:t>
      </w:r>
      <w:r>
        <w:rPr>
          <w:noProof/>
        </w:rPr>
        <w:t>3</w:t>
      </w:r>
      <w:r>
        <w:rPr>
          <w:noProof/>
          <w:lang w:val="cs-CZ"/>
        </w:rPr>
        <w:t>;</w:t>
      </w:r>
      <w:r>
        <w:rPr>
          <w:noProof/>
        </w:rPr>
        <w:t xml:space="preserve"> ed. Bazán, p. 80.67‒7</w:t>
      </w:r>
      <w:r>
        <w:rPr>
          <w:noProof/>
          <w:lang w:val="cs-CZ"/>
        </w:rPr>
        <w:t>0</w:t>
      </w:r>
      <w:r>
        <w:rPr>
          <w:noProof/>
        </w:rPr>
        <w:fldChar w:fldCharType="begin"/>
      </w:r>
      <w:r>
        <w:instrText xml:space="preserve"> XE "</w:instrText>
      </w:r>
      <w:r>
        <w:rPr>
          <w:lang w:val="cs-CZ"/>
        </w:rPr>
        <w:instrText>Siger:</w:instrText>
      </w:r>
      <w:r w:rsidRPr="008B3D77">
        <w:rPr>
          <w:i/>
          <w:noProof/>
          <w:lang w:eastAsia="en-US"/>
        </w:rPr>
        <w:instrText>De anima intellectiva</w:instrText>
      </w:r>
      <w:r w:rsidRPr="008B3D77">
        <w:rPr>
          <w:noProof/>
          <w:lang w:eastAsia="en-US"/>
        </w:rPr>
        <w:instrText xml:space="preserve"> </w:instrText>
      </w:r>
      <w:r>
        <w:rPr>
          <w:noProof/>
          <w:lang w:val="cs-CZ"/>
        </w:rPr>
        <w:instrText>80</w:instrText>
      </w:r>
      <w:r>
        <w:rPr>
          <w:noProof/>
        </w:rPr>
        <w:instrText>.</w:instrText>
      </w:r>
      <w:r>
        <w:rPr>
          <w:noProof/>
          <w:lang w:val="cs-CZ"/>
        </w:rPr>
        <w:instrText>67</w:instrText>
      </w:r>
      <w:r>
        <w:rPr>
          <w:noProof/>
        </w:rPr>
        <w:instrText>‒</w:instrText>
      </w:r>
      <w:r>
        <w:rPr>
          <w:noProof/>
          <w:lang w:val="cs-CZ"/>
        </w:rPr>
        <w:instrText>70</w:instrText>
      </w:r>
      <w:r>
        <w:instrText xml:space="preserve">" </w:instrText>
      </w:r>
      <w:r>
        <w:rPr>
          <w:noProof/>
        </w:rPr>
        <w:fldChar w:fldCharType="end"/>
      </w:r>
      <w:r w:rsidRPr="00273106">
        <w:rPr>
          <w:rStyle w:val="Zkladntext350"/>
          <w:noProof/>
          <w:lang w:val="cs-CZ"/>
        </w:rPr>
        <w:t>)</w:t>
      </w:r>
    </w:p>
  </w:footnote>
  <w:footnote w:id="252">
    <w:p w:rsidR="00971E82" w:rsidRPr="008F1C4A" w:rsidRDefault="00971E82" w:rsidP="08163013">
      <w:pPr>
        <w:pStyle w:val="Textpoznpodarou"/>
        <w:rPr>
          <w:noProof/>
          <w:lang w:val="cs-CZ"/>
        </w:rPr>
      </w:pPr>
      <w:r>
        <w:rPr>
          <w:rStyle w:val="Znakapoznpodarou"/>
        </w:rPr>
        <w:footnoteRef/>
      </w:r>
      <w:r>
        <w:t xml:space="preserve"> </w:t>
      </w:r>
      <w:r w:rsidRPr="00273106">
        <w:rPr>
          <w:noProof/>
        </w:rPr>
        <w:t xml:space="preserve">„Per quem autem modum anima intellectiva sit unita corpori, et separata ab eodem, dicunt praecipui viri in </w:t>
      </w:r>
      <w:r w:rsidRPr="00FB547C">
        <w:t>philosophia Albertus et Thomas quod substantia animae intellectivae unita est corpori dans esse eidem, sed potentia animae intellectivae separata est a</w:t>
      </w:r>
      <w:r w:rsidRPr="00273106">
        <w:rPr>
          <w:noProof/>
        </w:rPr>
        <w:t xml:space="preserve"> corpore, cum per organum corporeum non operetur.“ (</w:t>
      </w:r>
      <w:r w:rsidRPr="00273106">
        <w:rPr>
          <w:i/>
          <w:noProof/>
          <w:lang w:eastAsia="en-US"/>
        </w:rPr>
        <w:t>De anima intellectiva</w:t>
      </w:r>
      <w:r w:rsidRPr="00273106">
        <w:rPr>
          <w:noProof/>
          <w:lang w:eastAsia="en-US"/>
        </w:rPr>
        <w:t xml:space="preserve"> </w:t>
      </w:r>
      <w:r>
        <w:rPr>
          <w:noProof/>
        </w:rPr>
        <w:t>3</w:t>
      </w:r>
      <w:r>
        <w:rPr>
          <w:noProof/>
          <w:lang w:val="cs-CZ"/>
        </w:rPr>
        <w:t>;</w:t>
      </w:r>
      <w:r w:rsidRPr="00273106">
        <w:rPr>
          <w:noProof/>
        </w:rPr>
        <w:t xml:space="preserve"> ed. Bazán, p. 81.78‒82</w:t>
      </w:r>
      <w:r>
        <w:rPr>
          <w:noProof/>
        </w:rPr>
        <w:fldChar w:fldCharType="begin"/>
      </w:r>
      <w:r>
        <w:instrText xml:space="preserve"> XE "</w:instrText>
      </w:r>
      <w:r>
        <w:rPr>
          <w:lang w:val="cs-CZ"/>
        </w:rPr>
        <w:instrText>Siger:</w:instrText>
      </w:r>
      <w:r w:rsidRPr="00E22D72">
        <w:rPr>
          <w:i/>
          <w:noProof/>
          <w:lang w:eastAsia="en-US"/>
        </w:rPr>
        <w:instrText>De anima intellectiva</w:instrText>
      </w:r>
      <w:r w:rsidRPr="00E22D72">
        <w:rPr>
          <w:noProof/>
          <w:lang w:eastAsia="en-US"/>
        </w:rPr>
        <w:instrText xml:space="preserve"> </w:instrText>
      </w:r>
      <w:r w:rsidRPr="00E22D72">
        <w:rPr>
          <w:noProof/>
        </w:rPr>
        <w:instrText>81.78‒82</w:instrText>
      </w:r>
      <w:r>
        <w:instrText xml:space="preserve">" </w:instrText>
      </w:r>
      <w:r>
        <w:rPr>
          <w:noProof/>
        </w:rPr>
        <w:fldChar w:fldCharType="end"/>
      </w:r>
      <w:r w:rsidRPr="00273106">
        <w:rPr>
          <w:noProof/>
        </w:rPr>
        <w:t>)</w:t>
      </w:r>
    </w:p>
  </w:footnote>
  <w:footnote w:id="253">
    <w:p w:rsidR="00971E82" w:rsidRPr="088A141E" w:rsidRDefault="00971E82" w:rsidP="08163013">
      <w:pPr>
        <w:pStyle w:val="Textpoznpodarou"/>
        <w:rPr>
          <w:lang w:val="cs-CZ"/>
        </w:rPr>
      </w:pPr>
      <w:r>
        <w:rPr>
          <w:rStyle w:val="Znakapoznpodarou"/>
        </w:rPr>
        <w:footnoteRef/>
      </w:r>
      <w:r>
        <w:t xml:space="preserve"> </w:t>
      </w:r>
      <w:r>
        <w:rPr>
          <w:lang w:val="cs-CZ"/>
        </w:rPr>
        <w:t>„Hi sunt pueri duorum ordi</w:t>
      </w:r>
      <w:r w:rsidRPr="08385EA5">
        <w:rPr>
          <w:lang w:val="cs-CZ"/>
        </w:rPr>
        <w:t>num studentium, ut Alb</w:t>
      </w:r>
      <w:r>
        <w:rPr>
          <w:lang w:val="cs-CZ"/>
        </w:rPr>
        <w:t>ertus, et Thomas, et alii, qui u</w:t>
      </w:r>
      <w:r w:rsidRPr="08385EA5">
        <w:rPr>
          <w:lang w:val="cs-CZ"/>
        </w:rPr>
        <w:t>t in pluribus ingrediuntur ordines, quum sunt viginti annorum et infra.</w:t>
      </w:r>
      <w:r>
        <w:rPr>
          <w:lang w:val="cs-CZ"/>
        </w:rPr>
        <w:t>“ (</w:t>
      </w:r>
      <w:r w:rsidRPr="08385EA5">
        <w:rPr>
          <w:i/>
        </w:rPr>
        <w:t xml:space="preserve">Compendium </w:t>
      </w:r>
      <w:r>
        <w:rPr>
          <w:i/>
          <w:lang w:val="cs-CZ"/>
        </w:rPr>
        <w:t xml:space="preserve">studii </w:t>
      </w:r>
      <w:r w:rsidRPr="08385EA5">
        <w:rPr>
          <w:i/>
        </w:rPr>
        <w:t>philosophiae</w:t>
      </w:r>
      <w:r w:rsidRPr="08385EA5">
        <w:rPr>
          <w:lang w:val="cs-CZ"/>
        </w:rPr>
        <w:t>, cap. V; e</w:t>
      </w:r>
      <w:r w:rsidRPr="08385EA5">
        <w:t>d</w:t>
      </w:r>
      <w:r w:rsidRPr="08385EA5">
        <w:rPr>
          <w:lang w:val="cs-CZ"/>
        </w:rPr>
        <w:t>.</w:t>
      </w:r>
      <w:r>
        <w:rPr>
          <w:lang w:val="cs-CZ"/>
        </w:rPr>
        <w:t xml:space="preserve"> </w:t>
      </w:r>
      <w:r>
        <w:t>Brewer</w:t>
      </w:r>
      <w:r>
        <w:rPr>
          <w:lang w:val="cs-CZ"/>
        </w:rPr>
        <w:t>, p. 426</w:t>
      </w:r>
      <w:r>
        <w:rPr>
          <w:lang w:val="cs-CZ"/>
        </w:rPr>
        <w:fldChar w:fldCharType="begin"/>
      </w:r>
      <w:r>
        <w:instrText xml:space="preserve"> XE "</w:instrText>
      </w:r>
      <w:r>
        <w:rPr>
          <w:lang w:val="cs-CZ"/>
        </w:rPr>
        <w:instrText>Bacon:</w:instrText>
      </w:r>
      <w:r w:rsidRPr="0858511E">
        <w:rPr>
          <w:i/>
        </w:rPr>
        <w:instrText>Compendium philosophiae</w:instrText>
      </w:r>
      <w:r w:rsidRPr="0858511E">
        <w:rPr>
          <w:lang w:val="cs-CZ"/>
        </w:rPr>
        <w:instrText xml:space="preserve"> 426</w:instrText>
      </w:r>
      <w:r>
        <w:instrText xml:space="preserve">" </w:instrText>
      </w:r>
      <w:r>
        <w:rPr>
          <w:lang w:val="cs-CZ"/>
        </w:rPr>
        <w:fldChar w:fldCharType="end"/>
      </w:r>
      <w:r>
        <w:rPr>
          <w:lang w:val="cs-CZ"/>
        </w:rPr>
        <w:t>)</w:t>
      </w:r>
    </w:p>
  </w:footnote>
  <w:footnote w:id="254">
    <w:p w:rsidR="00971E82" w:rsidRPr="088B7E9C" w:rsidRDefault="00971E82" w:rsidP="08163013">
      <w:pPr>
        <w:pStyle w:val="Textpoznpodarou"/>
        <w:rPr>
          <w:lang w:val="cs-CZ"/>
        </w:rPr>
      </w:pPr>
      <w:r>
        <w:rPr>
          <w:rStyle w:val="Znakapoznpodarou"/>
        </w:rPr>
        <w:footnoteRef/>
      </w:r>
      <w:r>
        <w:t xml:space="preserve"> </w:t>
      </w:r>
      <w:r>
        <w:rPr>
          <w:lang w:val="cs-CZ"/>
        </w:rPr>
        <w:t>„</w:t>
      </w:r>
      <w:r w:rsidRPr="088B7E9C">
        <w:t>Cert</w:t>
      </w:r>
      <w:r>
        <w:rPr>
          <w:lang w:val="cs-CZ"/>
        </w:rPr>
        <w:t>e</w:t>
      </w:r>
      <w:r w:rsidRPr="088B7E9C">
        <w:t xml:space="preserve">s </w:t>
      </w:r>
      <w:r w:rsidRPr="088B7E9C">
        <w:rPr>
          <w:szCs w:val="14"/>
        </w:rPr>
        <w:t xml:space="preserve">igitur </w:t>
      </w:r>
      <w:r w:rsidRPr="088B7E9C">
        <w:rPr>
          <w:szCs w:val="16"/>
        </w:rPr>
        <w:t xml:space="preserve">sum, </w:t>
      </w:r>
      <w:r w:rsidRPr="088B7E9C">
        <w:rPr>
          <w:szCs w:val="17"/>
        </w:rPr>
        <w:t xml:space="preserve">quod </w:t>
      </w:r>
      <w:r w:rsidRPr="088B7E9C">
        <w:t xml:space="preserve">melius </w:t>
      </w:r>
      <w:r w:rsidRPr="088B7E9C">
        <w:rPr>
          <w:szCs w:val="14"/>
        </w:rPr>
        <w:t xml:space="preserve">esset </w:t>
      </w:r>
      <w:r w:rsidRPr="088B7E9C">
        <w:rPr>
          <w:szCs w:val="16"/>
        </w:rPr>
        <w:t>La</w:t>
      </w:r>
      <w:r w:rsidRPr="088B7E9C">
        <w:rPr>
          <w:szCs w:val="12"/>
        </w:rPr>
        <w:t>tinis,</w:t>
      </w:r>
      <w:r>
        <w:rPr>
          <w:szCs w:val="12"/>
          <w:lang w:val="cs-CZ"/>
        </w:rPr>
        <w:t xml:space="preserve"> </w:t>
      </w:r>
      <w:r w:rsidRPr="088B7E9C">
        <w:rPr>
          <w:szCs w:val="17"/>
        </w:rPr>
        <w:t xml:space="preserve">quod </w:t>
      </w:r>
      <w:r w:rsidRPr="088B7E9C">
        <w:rPr>
          <w:szCs w:val="14"/>
        </w:rPr>
        <w:t xml:space="preserve">sapientia Aristotelis </w:t>
      </w:r>
      <w:r w:rsidRPr="088B7E9C">
        <w:rPr>
          <w:szCs w:val="18"/>
        </w:rPr>
        <w:t xml:space="preserve">non </w:t>
      </w:r>
      <w:r w:rsidRPr="088B7E9C">
        <w:rPr>
          <w:szCs w:val="13"/>
        </w:rPr>
        <w:t>esset translata,</w:t>
      </w:r>
      <w:r>
        <w:rPr>
          <w:szCs w:val="13"/>
          <w:lang w:val="cs-CZ"/>
        </w:rPr>
        <w:t xml:space="preserve"> </w:t>
      </w:r>
      <w:r w:rsidRPr="088B7E9C">
        <w:rPr>
          <w:szCs w:val="19"/>
        </w:rPr>
        <w:t xml:space="preserve">quam </w:t>
      </w:r>
      <w:r w:rsidRPr="088B7E9C">
        <w:rPr>
          <w:szCs w:val="12"/>
        </w:rPr>
        <w:t xml:space="preserve">tali </w:t>
      </w:r>
      <w:r w:rsidRPr="088B7E9C">
        <w:rPr>
          <w:szCs w:val="14"/>
        </w:rPr>
        <w:t xml:space="preserve">obscuritate </w:t>
      </w:r>
      <w:r w:rsidRPr="088B7E9C">
        <w:rPr>
          <w:szCs w:val="13"/>
        </w:rPr>
        <w:t xml:space="preserve">et </w:t>
      </w:r>
      <w:r w:rsidRPr="088B7E9C">
        <w:rPr>
          <w:szCs w:val="14"/>
        </w:rPr>
        <w:t xml:space="preserve">perversitate </w:t>
      </w:r>
      <w:r w:rsidRPr="088B7E9C">
        <w:rPr>
          <w:szCs w:val="13"/>
        </w:rPr>
        <w:t xml:space="preserve">tradita, sicut </w:t>
      </w:r>
      <w:r w:rsidRPr="088B7E9C">
        <w:rPr>
          <w:szCs w:val="12"/>
        </w:rPr>
        <w:t>eis</w:t>
      </w:r>
      <w:r>
        <w:rPr>
          <w:szCs w:val="12"/>
          <w:lang w:val="cs-CZ"/>
        </w:rPr>
        <w:t xml:space="preserve"> </w:t>
      </w:r>
      <w:r w:rsidRPr="088B7E9C">
        <w:t xml:space="preserve">qui </w:t>
      </w:r>
      <w:r w:rsidRPr="088B7E9C">
        <w:rPr>
          <w:szCs w:val="17"/>
        </w:rPr>
        <w:t xml:space="preserve">ponuntur </w:t>
      </w:r>
      <w:r w:rsidRPr="088B7E9C">
        <w:rPr>
          <w:szCs w:val="13"/>
        </w:rPr>
        <w:t xml:space="preserve">ibi </w:t>
      </w:r>
      <w:r w:rsidRPr="088B7E9C">
        <w:rPr>
          <w:szCs w:val="14"/>
        </w:rPr>
        <w:t xml:space="preserve">triginta vel </w:t>
      </w:r>
      <w:r>
        <w:rPr>
          <w:szCs w:val="16"/>
        </w:rPr>
        <w:t xml:space="preserve">quadraginta </w:t>
      </w:r>
      <w:proofErr w:type="gramStart"/>
      <w:r>
        <w:rPr>
          <w:szCs w:val="16"/>
        </w:rPr>
        <w:t>annos</w:t>
      </w:r>
      <w:r>
        <w:rPr>
          <w:szCs w:val="16"/>
          <w:lang w:val="cs-CZ"/>
        </w:rPr>
        <w:t xml:space="preserve"> (...) </w:t>
      </w:r>
      <w:r w:rsidRPr="088D6E32">
        <w:rPr>
          <w:lang w:val="cs-CZ"/>
        </w:rPr>
        <w:t>Et</w:t>
      </w:r>
      <w:proofErr w:type="gramEnd"/>
      <w:r w:rsidRPr="088D6E32">
        <w:rPr>
          <w:lang w:val="cs-CZ"/>
        </w:rPr>
        <w:t xml:space="preserve"> quoniam labores Aristotelis </w:t>
      </w:r>
      <w:r>
        <w:rPr>
          <w:lang w:val="cs-CZ"/>
        </w:rPr>
        <w:t>sunt fundamenta totius sapientiae, ideo nemo potest aestimare quantum disp</w:t>
      </w:r>
      <w:r w:rsidRPr="088D6E32">
        <w:rPr>
          <w:lang w:val="cs-CZ"/>
        </w:rPr>
        <w:t>endium accidit Latinis, quia malas translationes receperunt philosophi. Et ideo non est remedium plenum ubique.</w:t>
      </w:r>
      <w:r>
        <w:rPr>
          <w:lang w:val="cs-CZ"/>
        </w:rPr>
        <w:t>“ (</w:t>
      </w:r>
      <w:r w:rsidRPr="08385EA5">
        <w:rPr>
          <w:i/>
        </w:rPr>
        <w:t xml:space="preserve">Compendium </w:t>
      </w:r>
      <w:r>
        <w:rPr>
          <w:i/>
          <w:lang w:val="cs-CZ"/>
        </w:rPr>
        <w:t xml:space="preserve">studii </w:t>
      </w:r>
      <w:r w:rsidRPr="08385EA5">
        <w:rPr>
          <w:i/>
        </w:rPr>
        <w:t>philosophiae</w:t>
      </w:r>
      <w:r w:rsidRPr="08385EA5">
        <w:rPr>
          <w:lang w:val="cs-CZ"/>
        </w:rPr>
        <w:t>, cap. V</w:t>
      </w:r>
      <w:r>
        <w:rPr>
          <w:lang w:val="cs-CZ"/>
        </w:rPr>
        <w:t>II</w:t>
      </w:r>
      <w:r w:rsidRPr="08385EA5">
        <w:rPr>
          <w:lang w:val="cs-CZ"/>
        </w:rPr>
        <w:t>; e</w:t>
      </w:r>
      <w:r w:rsidRPr="08385EA5">
        <w:t>d</w:t>
      </w:r>
      <w:r w:rsidRPr="08385EA5">
        <w:rPr>
          <w:lang w:val="cs-CZ"/>
        </w:rPr>
        <w:t>.</w:t>
      </w:r>
      <w:r>
        <w:rPr>
          <w:lang w:val="cs-CZ"/>
        </w:rPr>
        <w:t xml:space="preserve"> </w:t>
      </w:r>
      <w:r>
        <w:t>Brewer</w:t>
      </w:r>
      <w:r>
        <w:rPr>
          <w:lang w:val="cs-CZ"/>
        </w:rPr>
        <w:t>, p. 469</w:t>
      </w:r>
      <w:r>
        <w:rPr>
          <w:lang w:val="cs-CZ"/>
        </w:rPr>
        <w:fldChar w:fldCharType="begin"/>
      </w:r>
      <w:r>
        <w:instrText xml:space="preserve"> XE "</w:instrText>
      </w:r>
      <w:r>
        <w:rPr>
          <w:lang w:val="cs-CZ"/>
        </w:rPr>
        <w:instrText>Bacon:</w:instrText>
      </w:r>
      <w:r w:rsidRPr="0858511E">
        <w:rPr>
          <w:i/>
        </w:rPr>
        <w:instrText>Compendium philosophiae</w:instrText>
      </w:r>
      <w:r w:rsidRPr="0858511E">
        <w:rPr>
          <w:lang w:val="cs-CZ"/>
        </w:rPr>
        <w:instrText xml:space="preserve"> </w:instrText>
      </w:r>
      <w:r>
        <w:rPr>
          <w:lang w:val="cs-CZ"/>
        </w:rPr>
        <w:instrText>4</w:instrText>
      </w:r>
      <w:r w:rsidRPr="0858511E">
        <w:rPr>
          <w:lang w:val="cs-CZ"/>
        </w:rPr>
        <w:instrText>6</w:instrText>
      </w:r>
      <w:r>
        <w:rPr>
          <w:lang w:val="cs-CZ"/>
        </w:rPr>
        <w:instrText>9</w:instrText>
      </w:r>
      <w:r>
        <w:instrText xml:space="preserve">" </w:instrText>
      </w:r>
      <w:r>
        <w:rPr>
          <w:lang w:val="cs-CZ"/>
        </w:rPr>
        <w:fldChar w:fldCharType="end"/>
      </w:r>
      <w:r>
        <w:rPr>
          <w:lang w:val="cs-CZ"/>
        </w:rPr>
        <w:t>)</w:t>
      </w:r>
    </w:p>
  </w:footnote>
  <w:footnote w:id="255">
    <w:p w:rsidR="00971E82" w:rsidRPr="00920737" w:rsidRDefault="00971E82" w:rsidP="08163013">
      <w:pPr>
        <w:pStyle w:val="Textpoznpodarou"/>
        <w:rPr>
          <w:noProof/>
          <w:lang w:val="cs-CZ"/>
        </w:rPr>
      </w:pPr>
      <w:r>
        <w:rPr>
          <w:rStyle w:val="Znakapoznpodarou"/>
        </w:rPr>
        <w:footnoteRef/>
      </w:r>
      <w:r>
        <w:t xml:space="preserve"> </w:t>
      </w:r>
      <w:r w:rsidRPr="00273106">
        <w:rPr>
          <w:noProof/>
        </w:rPr>
        <w:t>„</w:t>
      </w:r>
      <w:r>
        <w:rPr>
          <w:noProof/>
          <w:lang w:val="cs-CZ"/>
        </w:rPr>
        <w:t xml:space="preserve">Ratio autem Alberti, quod substantia animae intellectivae debet esse unita corpori dans esse eidem, est ista: quia, cum in homine </w:t>
      </w:r>
      <w:r w:rsidRPr="00920737">
        <w:rPr>
          <w:noProof/>
          <w:lang w:val="cs-CZ"/>
        </w:rPr>
        <w:t xml:space="preserve">potentia vegetandi et sentiendi pertineant ad eamdem formam et substantiam ad quam potentia intelligendi, </w:t>
      </w:r>
      <w:r w:rsidRPr="00273106">
        <w:rPr>
          <w:noProof/>
        </w:rPr>
        <w:t>certum est autem substantiam ad quam pertinet potentia vegetandi et sentiendi dare esse materiae et corpori, ergo et substantia ad quam pertinet potentia intelligendi dabit esse materiae et corpori; sed substantiam ad quam pertinet potentia intelligendi dicimus animam intellectivam; anima igitur intellectiva dat esse materiae et corpori.“ (</w:t>
      </w:r>
      <w:r w:rsidRPr="00273106">
        <w:rPr>
          <w:i/>
          <w:noProof/>
          <w:lang w:eastAsia="en-US"/>
        </w:rPr>
        <w:t>De anima intellectiva</w:t>
      </w:r>
      <w:r w:rsidRPr="00273106">
        <w:rPr>
          <w:noProof/>
          <w:lang w:eastAsia="en-US"/>
        </w:rPr>
        <w:t xml:space="preserve"> </w:t>
      </w:r>
      <w:r>
        <w:rPr>
          <w:noProof/>
        </w:rPr>
        <w:t>3</w:t>
      </w:r>
      <w:r>
        <w:rPr>
          <w:noProof/>
          <w:lang w:val="cs-CZ"/>
        </w:rPr>
        <w:t>;</w:t>
      </w:r>
      <w:r>
        <w:rPr>
          <w:noProof/>
        </w:rPr>
        <w:t xml:space="preserve"> ed. Bazán, p. 81.8</w:t>
      </w:r>
      <w:r>
        <w:rPr>
          <w:noProof/>
          <w:lang w:val="cs-CZ"/>
        </w:rPr>
        <w:t>3</w:t>
      </w:r>
      <w:r w:rsidRPr="00273106">
        <w:rPr>
          <w:noProof/>
        </w:rPr>
        <w:t>‒89</w:t>
      </w:r>
      <w:r>
        <w:rPr>
          <w:noProof/>
        </w:rPr>
        <w:fldChar w:fldCharType="begin"/>
      </w:r>
      <w:r>
        <w:instrText xml:space="preserve"> XE "</w:instrText>
      </w:r>
      <w:r>
        <w:rPr>
          <w:lang w:val="cs-CZ"/>
        </w:rPr>
        <w:instrText>Siger:</w:instrText>
      </w:r>
      <w:r w:rsidRPr="00921B30">
        <w:rPr>
          <w:i/>
          <w:noProof/>
          <w:lang w:eastAsia="en-US"/>
        </w:rPr>
        <w:instrText>De anima intellectiva</w:instrText>
      </w:r>
      <w:r w:rsidRPr="00921B30">
        <w:rPr>
          <w:noProof/>
          <w:lang w:eastAsia="en-US"/>
        </w:rPr>
        <w:instrText xml:space="preserve"> </w:instrText>
      </w:r>
      <w:r w:rsidRPr="00921B30">
        <w:rPr>
          <w:noProof/>
        </w:rPr>
        <w:instrText>81.8</w:instrText>
      </w:r>
      <w:r>
        <w:rPr>
          <w:noProof/>
          <w:lang w:val="cs-CZ"/>
        </w:rPr>
        <w:instrText>3</w:instrText>
      </w:r>
      <w:r w:rsidRPr="00921B30">
        <w:rPr>
          <w:noProof/>
        </w:rPr>
        <w:instrText>‒89</w:instrText>
      </w:r>
      <w:r>
        <w:instrText xml:space="preserve">" </w:instrText>
      </w:r>
      <w:r>
        <w:rPr>
          <w:noProof/>
        </w:rPr>
        <w:fldChar w:fldCharType="end"/>
      </w:r>
      <w:r w:rsidRPr="00273106">
        <w:rPr>
          <w:noProof/>
        </w:rPr>
        <w:t>)</w:t>
      </w:r>
    </w:p>
  </w:footnote>
  <w:footnote w:id="256">
    <w:p w:rsidR="00971E82" w:rsidRPr="00962AE4" w:rsidRDefault="00971E82" w:rsidP="08163013">
      <w:pPr>
        <w:pStyle w:val="Textpoznpodarou"/>
        <w:rPr>
          <w:noProof/>
          <w:lang w:val="cs-CZ"/>
        </w:rPr>
      </w:pPr>
      <w:r>
        <w:rPr>
          <w:rStyle w:val="Znakapoznpodarou"/>
        </w:rPr>
        <w:footnoteRef/>
      </w:r>
      <w:r>
        <w:t xml:space="preserve"> </w:t>
      </w:r>
      <w:r w:rsidRPr="00273106">
        <w:rPr>
          <w:noProof/>
        </w:rPr>
        <w:t>„Ratio autem</w:t>
      </w:r>
      <w:r w:rsidRPr="00273106">
        <w:rPr>
          <w:rStyle w:val="Zkladntext399pt6"/>
          <w:smallCaps w:val="0"/>
          <w:noProof/>
          <w:sz w:val="21"/>
          <w:lang w:val="cs-CZ"/>
        </w:rPr>
        <w:t xml:space="preserve"> </w:t>
      </w:r>
      <w:r w:rsidRPr="08C42703">
        <w:t>Thomae</w:t>
      </w:r>
      <w:r w:rsidRPr="00273106">
        <w:rPr>
          <w:noProof/>
        </w:rPr>
        <w:t xml:space="preserve"> est haec, quod intelligere fit secundum ipsum intellectum; sed intelligere attribuitur non solum intellectui sed etiam homini ipsi; hoc autem non contingeret si anima intellectiva haberet esse separatum a materia et corpore. </w:t>
      </w:r>
      <w:r w:rsidRPr="000F5B40">
        <w:t>Unde et Philosophus in secundo De anima, quia anima est qua intelligimus, concludit eam esse actum et perfectionem corporis.“</w:t>
      </w:r>
      <w:r w:rsidRPr="00273106">
        <w:rPr>
          <w:noProof/>
        </w:rPr>
        <w:t xml:space="preserve"> (</w:t>
      </w:r>
      <w:r w:rsidRPr="00273106">
        <w:rPr>
          <w:i/>
          <w:noProof/>
          <w:lang w:eastAsia="en-US"/>
        </w:rPr>
        <w:t>De anima intellectiva</w:t>
      </w:r>
      <w:r w:rsidRPr="00273106">
        <w:rPr>
          <w:noProof/>
          <w:lang w:eastAsia="en-US"/>
        </w:rPr>
        <w:t xml:space="preserve"> </w:t>
      </w:r>
      <w:r>
        <w:rPr>
          <w:noProof/>
        </w:rPr>
        <w:t>3</w:t>
      </w:r>
      <w:r>
        <w:rPr>
          <w:noProof/>
          <w:lang w:val="cs-CZ"/>
        </w:rPr>
        <w:t xml:space="preserve">; </w:t>
      </w:r>
      <w:r>
        <w:rPr>
          <w:noProof/>
        </w:rPr>
        <w:t>ed. Bazán</w:t>
      </w:r>
      <w:r w:rsidRPr="00273106">
        <w:rPr>
          <w:noProof/>
        </w:rPr>
        <w:t>, pp. 81.92‒82.97</w:t>
      </w:r>
      <w:r>
        <w:rPr>
          <w:noProof/>
        </w:rPr>
        <w:fldChar w:fldCharType="begin"/>
      </w:r>
      <w:r>
        <w:instrText xml:space="preserve"> XE "</w:instrText>
      </w:r>
      <w:r>
        <w:rPr>
          <w:lang w:val="cs-CZ"/>
        </w:rPr>
        <w:instrText>Siger:</w:instrText>
      </w:r>
      <w:r w:rsidRPr="00574481">
        <w:rPr>
          <w:i/>
          <w:noProof/>
          <w:lang w:eastAsia="en-US"/>
        </w:rPr>
        <w:instrText>De anima intellectiva</w:instrText>
      </w:r>
      <w:r w:rsidRPr="00574481">
        <w:rPr>
          <w:noProof/>
          <w:lang w:eastAsia="en-US"/>
        </w:rPr>
        <w:instrText xml:space="preserve"> </w:instrText>
      </w:r>
      <w:r>
        <w:rPr>
          <w:noProof/>
          <w:lang w:val="cs-CZ" w:eastAsia="en-US"/>
        </w:rPr>
        <w:instrText>8</w:instrText>
      </w:r>
      <w:r w:rsidRPr="00574481">
        <w:rPr>
          <w:noProof/>
        </w:rPr>
        <w:instrText>1.92‒82.97</w:instrText>
      </w:r>
      <w:r>
        <w:instrText xml:space="preserve">" </w:instrText>
      </w:r>
      <w:r>
        <w:rPr>
          <w:noProof/>
        </w:rPr>
        <w:fldChar w:fldCharType="end"/>
      </w:r>
      <w:r w:rsidRPr="00273106">
        <w:rPr>
          <w:noProof/>
        </w:rPr>
        <w:t>)</w:t>
      </w:r>
    </w:p>
  </w:footnote>
  <w:footnote w:id="257">
    <w:p w:rsidR="00971E82" w:rsidRPr="005D00C9" w:rsidRDefault="00971E82" w:rsidP="08163013">
      <w:pPr>
        <w:pStyle w:val="Textpoznpodarou"/>
        <w:rPr>
          <w:noProof/>
          <w:lang w:val="cs-CZ"/>
        </w:rPr>
      </w:pPr>
      <w:r>
        <w:rPr>
          <w:rStyle w:val="Znakapoznpodarou"/>
        </w:rPr>
        <w:footnoteRef/>
      </w:r>
      <w:r>
        <w:t xml:space="preserve"> </w:t>
      </w:r>
      <w:r w:rsidRPr="00273106">
        <w:rPr>
          <w:noProof/>
        </w:rPr>
        <w:t>„Nam ex tali unione intellectus ad nos, quam Commentator ponit, non sequitur, quod homo intelligat, sed magis quod intelligatur.“ (</w:t>
      </w:r>
      <w:r w:rsidRPr="00273106">
        <w:rPr>
          <w:i/>
          <w:noProof/>
        </w:rPr>
        <w:t>De plurificatione possibilis intellectus</w:t>
      </w:r>
      <w:r>
        <w:rPr>
          <w:noProof/>
        </w:rPr>
        <w:t xml:space="preserve"> 3</w:t>
      </w:r>
      <w:r>
        <w:rPr>
          <w:noProof/>
          <w:lang w:val="cs-CZ"/>
        </w:rPr>
        <w:t>;</w:t>
      </w:r>
      <w:r>
        <w:rPr>
          <w:noProof/>
        </w:rPr>
        <w:t xml:space="preserve"> ed. Olszewski, p. 127.506‒</w:t>
      </w:r>
      <w:r>
        <w:rPr>
          <w:noProof/>
          <w:lang w:val="cs-CZ"/>
        </w:rPr>
        <w:t>50</w:t>
      </w:r>
      <w:r>
        <w:rPr>
          <w:noProof/>
        </w:rPr>
        <w:t>9</w:t>
      </w:r>
      <w:r>
        <w:fldChar w:fldCharType="begin"/>
      </w:r>
      <w:r>
        <w:instrText xml:space="preserve"> XE "</w:instrText>
      </w:r>
      <w:r>
        <w:rPr>
          <w:lang w:val="cs-CZ"/>
        </w:rPr>
        <w:instrText>Aegidius Romanus:</w:instrText>
      </w:r>
      <w:r w:rsidRPr="00DE1598">
        <w:rPr>
          <w:i/>
        </w:rPr>
        <w:instrText>De plurificatione possibilis intellectus</w:instrText>
      </w:r>
      <w:r>
        <w:instrText xml:space="preserve"> 12</w:instrText>
      </w:r>
      <w:r>
        <w:rPr>
          <w:lang w:val="cs-CZ"/>
        </w:rPr>
        <w:instrText>7</w:instrText>
      </w:r>
      <w:r>
        <w:instrText>.</w:instrText>
      </w:r>
      <w:r>
        <w:rPr>
          <w:lang w:val="cs-CZ"/>
        </w:rPr>
        <w:instrText>506</w:instrText>
      </w:r>
      <w:r>
        <w:instrText>‒</w:instrText>
      </w:r>
      <w:r>
        <w:rPr>
          <w:lang w:val="cs-CZ"/>
        </w:rPr>
        <w:instrText>509</w:instrText>
      </w:r>
      <w:r>
        <w:instrText xml:space="preserve">" </w:instrText>
      </w:r>
      <w:r>
        <w:fldChar w:fldCharType="end"/>
      </w:r>
      <w:r>
        <w:rPr>
          <w:noProof/>
        </w:rPr>
        <w:t>)</w:t>
      </w:r>
    </w:p>
  </w:footnote>
  <w:footnote w:id="258">
    <w:p w:rsidR="00971E82" w:rsidRPr="000A76A7" w:rsidRDefault="00971E82" w:rsidP="08163013">
      <w:pPr>
        <w:pStyle w:val="Textpoznpodarou"/>
      </w:pPr>
      <w:r>
        <w:rPr>
          <w:rStyle w:val="Znakapoznpodarou"/>
        </w:rPr>
        <w:footnoteRef/>
      </w:r>
      <w:r>
        <w:t xml:space="preserve"> „</w:t>
      </w:r>
      <w:r w:rsidRPr="000A76A7">
        <w:t>Quaerimus enim hic solum intentionem philosophorum et praecipue Aristotelis, etsi forte Philosophus senserit aliter quam veritas se habeat et sapientia, quae per revelationem de anima sunt tradita, quae per rationes naturales concludi non possunt. Sed nihil ad nos nunc de Dei miraculis, cum de natu</w:t>
      </w:r>
      <w:r>
        <w:t>ralibus naturaliter disseramus.“ (</w:t>
      </w:r>
      <w:r w:rsidRPr="00C7401B">
        <w:rPr>
          <w:i/>
          <w:lang w:eastAsia="en-US"/>
        </w:rPr>
        <w:t>De anima intellectiva</w:t>
      </w:r>
      <w:r>
        <w:rPr>
          <w:lang w:eastAsia="en-US"/>
        </w:rPr>
        <w:t xml:space="preserve"> </w:t>
      </w:r>
      <w:r>
        <w:t>3</w:t>
      </w:r>
      <w:r>
        <w:rPr>
          <w:lang w:val="cs-CZ"/>
        </w:rPr>
        <w:t>;</w:t>
      </w:r>
      <w:r>
        <w:t xml:space="preserve"> ed. Bazán, pp. 83.44‒84.48</w:t>
      </w:r>
      <w:r>
        <w:fldChar w:fldCharType="begin"/>
      </w:r>
      <w:r>
        <w:instrText xml:space="preserve"> XE "</w:instrText>
      </w:r>
      <w:r>
        <w:rPr>
          <w:lang w:val="cs-CZ"/>
        </w:rPr>
        <w:instrText>Siger:</w:instrText>
      </w:r>
      <w:r w:rsidRPr="00C90DA7">
        <w:rPr>
          <w:i/>
          <w:lang w:eastAsia="en-US"/>
        </w:rPr>
        <w:instrText>De anima intellectiva</w:instrText>
      </w:r>
      <w:r w:rsidRPr="00C90DA7">
        <w:rPr>
          <w:lang w:eastAsia="en-US"/>
        </w:rPr>
        <w:instrText xml:space="preserve"> </w:instrText>
      </w:r>
      <w:r w:rsidRPr="00C90DA7">
        <w:instrText>83.44‒84.48</w:instrText>
      </w:r>
      <w:r>
        <w:instrText xml:space="preserve">" </w:instrText>
      </w:r>
      <w:r>
        <w:fldChar w:fldCharType="end"/>
      </w:r>
      <w:r>
        <w:t>)</w:t>
      </w:r>
    </w:p>
  </w:footnote>
  <w:footnote w:id="259">
    <w:p w:rsidR="00971E82" w:rsidRPr="00140FAE" w:rsidRDefault="00971E82" w:rsidP="08163013">
      <w:pPr>
        <w:pStyle w:val="Textpoznpodarou"/>
        <w:rPr>
          <w:noProof/>
          <w:lang w:val="cs-CZ"/>
        </w:rPr>
      </w:pPr>
      <w:r>
        <w:rPr>
          <w:rStyle w:val="Znakapoznpodarou"/>
        </w:rPr>
        <w:footnoteRef/>
      </w:r>
      <w:r>
        <w:t xml:space="preserve"> </w:t>
      </w:r>
      <w:r w:rsidRPr="00273106">
        <w:rPr>
          <w:noProof/>
        </w:rPr>
        <w:t>„Supponit e</w:t>
      </w:r>
      <w:r>
        <w:rPr>
          <w:noProof/>
        </w:rPr>
        <w:t>nim quod potentia vegetandi et potentia</w:t>
      </w:r>
      <w:r w:rsidRPr="00273106">
        <w:rPr>
          <w:noProof/>
        </w:rPr>
        <w:t xml:space="preserve"> sentiendi pertineant ad illam substantiam ad quam pertinet potentia intelligendi, quod non est verum secundum Philosophum et Themistium eius expositorem, et inferius inquiretur.“ (</w:t>
      </w:r>
      <w:r w:rsidRPr="00273106">
        <w:rPr>
          <w:i/>
          <w:noProof/>
          <w:lang w:eastAsia="en-US"/>
        </w:rPr>
        <w:t>De anima intellectiva</w:t>
      </w:r>
      <w:r w:rsidRPr="00273106">
        <w:rPr>
          <w:noProof/>
          <w:lang w:eastAsia="en-US"/>
        </w:rPr>
        <w:t xml:space="preserve"> </w:t>
      </w:r>
      <w:r>
        <w:rPr>
          <w:noProof/>
        </w:rPr>
        <w:t>3</w:t>
      </w:r>
      <w:r>
        <w:rPr>
          <w:noProof/>
          <w:lang w:val="cs-CZ"/>
        </w:rPr>
        <w:t>;</w:t>
      </w:r>
      <w:r w:rsidRPr="00273106">
        <w:rPr>
          <w:noProof/>
        </w:rPr>
        <w:t xml:space="preserve"> ed. Bazán, p. 83.40‒43</w:t>
      </w:r>
      <w:r>
        <w:rPr>
          <w:noProof/>
        </w:rPr>
        <w:fldChar w:fldCharType="begin"/>
      </w:r>
      <w:r>
        <w:instrText xml:space="preserve"> XE "</w:instrText>
      </w:r>
      <w:r>
        <w:rPr>
          <w:lang w:val="cs-CZ"/>
        </w:rPr>
        <w:instrText>Siger:</w:instrText>
      </w:r>
      <w:r w:rsidRPr="006A1F46">
        <w:rPr>
          <w:i/>
          <w:noProof/>
          <w:lang w:eastAsia="en-US"/>
        </w:rPr>
        <w:instrText>De anima intellectiva</w:instrText>
      </w:r>
      <w:r w:rsidRPr="006A1F46">
        <w:rPr>
          <w:noProof/>
          <w:lang w:eastAsia="en-US"/>
        </w:rPr>
        <w:instrText xml:space="preserve"> </w:instrText>
      </w:r>
      <w:r w:rsidRPr="006A1F46">
        <w:rPr>
          <w:noProof/>
        </w:rPr>
        <w:instrText>83.40‒43</w:instrText>
      </w:r>
      <w:r>
        <w:instrText xml:space="preserve">" </w:instrText>
      </w:r>
      <w:r>
        <w:rPr>
          <w:noProof/>
        </w:rPr>
        <w:fldChar w:fldCharType="end"/>
      </w:r>
      <w:r w:rsidRPr="00273106">
        <w:rPr>
          <w:noProof/>
        </w:rPr>
        <w:t>)</w:t>
      </w:r>
    </w:p>
  </w:footnote>
  <w:footnote w:id="260">
    <w:p w:rsidR="00971E82" w:rsidRPr="00C4264E" w:rsidRDefault="00971E82" w:rsidP="08163013">
      <w:pPr>
        <w:pStyle w:val="Textpoznpodarou"/>
        <w:rPr>
          <w:lang w:val="cs-CZ"/>
        </w:rPr>
      </w:pPr>
      <w:r>
        <w:rPr>
          <w:rStyle w:val="Znakapoznpodarou"/>
        </w:rPr>
        <w:footnoteRef/>
      </w:r>
      <w:r>
        <w:t xml:space="preserve"> </w:t>
      </w:r>
      <w:r w:rsidRPr="00273106">
        <w:rPr>
          <w:rStyle w:val="Zkladntext399pt4"/>
          <w:rFonts w:ascii="Calibri" w:eastAsia="Calibri" w:hAnsi="Calibri"/>
          <w:smallCaps w:val="0"/>
          <w:noProof/>
          <w:sz w:val="21"/>
          <w:lang w:val="cs-CZ"/>
        </w:rPr>
        <w:t>„Thomas</w:t>
      </w:r>
      <w:r w:rsidRPr="00273106">
        <w:rPr>
          <w:noProof/>
        </w:rPr>
        <w:t xml:space="preserve"> etiam intentum non arguit, sed solum quaerit eius ratio quomodo compositum materiale intelligeret, ut homo, si anima intellectiva in essendo sit separata a materia et corpore.“ (</w:t>
      </w:r>
      <w:r w:rsidRPr="00273106">
        <w:rPr>
          <w:i/>
          <w:noProof/>
          <w:lang w:eastAsia="en-US"/>
        </w:rPr>
        <w:t>De anima intellectiva</w:t>
      </w:r>
      <w:r w:rsidRPr="00273106">
        <w:rPr>
          <w:noProof/>
          <w:lang w:eastAsia="en-US"/>
        </w:rPr>
        <w:t xml:space="preserve"> </w:t>
      </w:r>
      <w:r>
        <w:rPr>
          <w:noProof/>
        </w:rPr>
        <w:t>3</w:t>
      </w:r>
      <w:r>
        <w:rPr>
          <w:noProof/>
          <w:lang w:val="cs-CZ"/>
        </w:rPr>
        <w:t>;</w:t>
      </w:r>
      <w:r>
        <w:rPr>
          <w:noProof/>
        </w:rPr>
        <w:t xml:space="preserve"> ed. Bazán, p</w:t>
      </w:r>
      <w:r w:rsidRPr="00273106">
        <w:rPr>
          <w:noProof/>
        </w:rPr>
        <w:t>. 84.49‒51</w:t>
      </w:r>
      <w:r>
        <w:rPr>
          <w:noProof/>
        </w:rPr>
        <w:fldChar w:fldCharType="begin"/>
      </w:r>
      <w:r>
        <w:instrText xml:space="preserve"> XE "</w:instrText>
      </w:r>
      <w:r>
        <w:rPr>
          <w:lang w:val="cs-CZ"/>
        </w:rPr>
        <w:instrText>Siger:</w:instrText>
      </w:r>
      <w:r w:rsidRPr="009479BB">
        <w:rPr>
          <w:i/>
          <w:noProof/>
          <w:lang w:eastAsia="en-US"/>
        </w:rPr>
        <w:instrText>De anima intellectiva</w:instrText>
      </w:r>
      <w:r w:rsidRPr="009479BB">
        <w:rPr>
          <w:noProof/>
          <w:lang w:eastAsia="en-US"/>
        </w:rPr>
        <w:instrText xml:space="preserve"> </w:instrText>
      </w:r>
      <w:r w:rsidRPr="009479BB">
        <w:rPr>
          <w:noProof/>
        </w:rPr>
        <w:instrText>84.49‒51</w:instrText>
      </w:r>
      <w:r>
        <w:instrText xml:space="preserve">" </w:instrText>
      </w:r>
      <w:r>
        <w:rPr>
          <w:noProof/>
        </w:rPr>
        <w:fldChar w:fldCharType="end"/>
      </w:r>
      <w:r w:rsidRPr="00273106">
        <w:rPr>
          <w:noProof/>
        </w:rPr>
        <w:t>)</w:t>
      </w:r>
    </w:p>
  </w:footnote>
  <w:footnote w:id="261">
    <w:p w:rsidR="00971E82" w:rsidRPr="006B266C" w:rsidRDefault="00971E82" w:rsidP="08163013">
      <w:pPr>
        <w:pStyle w:val="Textpoznpodarou"/>
      </w:pPr>
      <w:r>
        <w:rPr>
          <w:rStyle w:val="Znakapoznpodarou"/>
        </w:rPr>
        <w:footnoteRef/>
      </w:r>
      <w:r>
        <w:t xml:space="preserve"> </w:t>
      </w:r>
      <w:r w:rsidRPr="006B266C">
        <w:t xml:space="preserve">„Ex quo etiam patet falsum esse quod dicunt, quod intellectus non est actus corporis, sed ipsum intelligere. Non enim potest esse alicuius actus intelligere, cuius non sit actus intellectus: quia intelligere non est nisi in intellectu, sicut nec visio nisi in visu; unde nec visio potest esse alicuius, nisi illius cuius actus est visus.“ </w:t>
      </w:r>
      <w:r>
        <w:t>(</w:t>
      </w:r>
      <w:r w:rsidRPr="006B266C">
        <w:rPr>
          <w:i/>
        </w:rPr>
        <w:t>De unitate intell</w:t>
      </w:r>
      <w:r>
        <w:rPr>
          <w:i/>
        </w:rPr>
        <w:t>e</w:t>
      </w:r>
      <w:r w:rsidRPr="006B266C">
        <w:rPr>
          <w:i/>
        </w:rPr>
        <w:t>ctus</w:t>
      </w:r>
      <w:r>
        <w:rPr>
          <w:lang w:val="cs-CZ"/>
        </w:rPr>
        <w:t xml:space="preserve">, cap. 3; </w:t>
      </w:r>
      <w:r>
        <w:t>ed. Leonina 43</w:t>
      </w:r>
      <w:r>
        <w:rPr>
          <w:lang w:val="cs-CZ"/>
        </w:rPr>
        <w:t>, 304.190‒96</w:t>
      </w:r>
      <w:r>
        <w:rPr>
          <w:lang w:val="cs-CZ"/>
        </w:rPr>
        <w:fldChar w:fldCharType="begin"/>
      </w:r>
      <w:r>
        <w:instrText xml:space="preserve"> XE "</w:instrText>
      </w:r>
      <w:r>
        <w:rPr>
          <w:lang w:val="cs-CZ"/>
        </w:rPr>
        <w:instrText>Akvinský:</w:instrText>
      </w:r>
      <w:r w:rsidRPr="009D42E7">
        <w:rPr>
          <w:i/>
        </w:rPr>
        <w:instrText>De unitate intellectus</w:instrText>
      </w:r>
      <w:r w:rsidRPr="009D42E7">
        <w:instrText xml:space="preserve"> </w:instrText>
      </w:r>
      <w:r>
        <w:rPr>
          <w:lang w:val="cs-CZ"/>
        </w:rPr>
        <w:instrText>304.190‒96</w:instrText>
      </w:r>
      <w:r>
        <w:instrText xml:space="preserve">" </w:instrText>
      </w:r>
      <w:r>
        <w:rPr>
          <w:lang w:val="cs-CZ"/>
        </w:rPr>
        <w:fldChar w:fldCharType="end"/>
      </w:r>
      <w:r>
        <w:t>)</w:t>
      </w:r>
    </w:p>
  </w:footnote>
  <w:footnote w:id="262">
    <w:p w:rsidR="00971E82" w:rsidRPr="00D251B1" w:rsidRDefault="00971E82" w:rsidP="08163013">
      <w:pPr>
        <w:pStyle w:val="Textpoznpodarou"/>
        <w:rPr>
          <w:rStyle w:val="TextpoznpodarouChar"/>
          <w:rFonts w:eastAsia="Times"/>
        </w:rPr>
      </w:pPr>
      <w:r>
        <w:rPr>
          <w:rStyle w:val="Znakapoznpodarou"/>
        </w:rPr>
        <w:footnoteRef/>
      </w:r>
      <w:r>
        <w:t xml:space="preserve"> </w:t>
      </w:r>
      <w:r w:rsidRPr="00D251B1">
        <w:rPr>
          <w:rStyle w:val="TextpoznpodarouChar"/>
          <w:rFonts w:eastAsia="Times"/>
        </w:rPr>
        <w:t>„Ubi dicit Themistius aliam rationem esse de intellectivo quia est substantia quaedam dignior sensitivo, veniens ab extrinseco; sensitivum autem, quod non est sine vegetativo, unius est substantiae cum vegetativo.“ (</w:t>
      </w:r>
      <w:r w:rsidRPr="00D251B1">
        <w:rPr>
          <w:rStyle w:val="TextpoznpodarouChar"/>
          <w:rFonts w:eastAsia="Times"/>
          <w:i/>
        </w:rPr>
        <w:t>De anima intellectiva</w:t>
      </w:r>
      <w:r w:rsidRPr="00D251B1">
        <w:rPr>
          <w:rStyle w:val="TextpoznpodarouChar"/>
          <w:rFonts w:eastAsia="Times"/>
        </w:rPr>
        <w:t xml:space="preserve"> 8</w:t>
      </w:r>
      <w:r>
        <w:rPr>
          <w:rStyle w:val="TextpoznpodarouChar"/>
          <w:rFonts w:eastAsia="Times"/>
          <w:lang w:val="cs-CZ"/>
        </w:rPr>
        <w:t>;</w:t>
      </w:r>
      <w:r w:rsidRPr="00D251B1">
        <w:rPr>
          <w:rStyle w:val="TextpoznpodarouChar"/>
          <w:rFonts w:eastAsia="Times"/>
        </w:rPr>
        <w:t xml:space="preserve"> ed. Bazán, p. 109.17‒20</w:t>
      </w:r>
      <w:r>
        <w:rPr>
          <w:noProof/>
        </w:rPr>
        <w:fldChar w:fldCharType="begin"/>
      </w:r>
      <w:r>
        <w:instrText xml:space="preserve"> XE "</w:instrText>
      </w:r>
      <w:r>
        <w:rPr>
          <w:lang w:val="cs-CZ"/>
        </w:rPr>
        <w:instrText>Siger:</w:instrText>
      </w:r>
      <w:r w:rsidRPr="009479BB">
        <w:rPr>
          <w:i/>
          <w:noProof/>
          <w:lang w:eastAsia="en-US"/>
        </w:rPr>
        <w:instrText>De anima intellectiva</w:instrText>
      </w:r>
      <w:r w:rsidRPr="009479BB">
        <w:rPr>
          <w:noProof/>
          <w:lang w:eastAsia="en-US"/>
        </w:rPr>
        <w:instrText xml:space="preserve"> </w:instrText>
      </w:r>
      <w:r>
        <w:rPr>
          <w:noProof/>
          <w:lang w:val="cs-CZ"/>
        </w:rPr>
        <w:instrText>109</w:instrText>
      </w:r>
      <w:r>
        <w:rPr>
          <w:noProof/>
        </w:rPr>
        <w:instrText>.</w:instrText>
      </w:r>
      <w:r>
        <w:rPr>
          <w:noProof/>
          <w:lang w:val="cs-CZ"/>
        </w:rPr>
        <w:instrText>17</w:instrText>
      </w:r>
      <w:r>
        <w:rPr>
          <w:noProof/>
        </w:rPr>
        <w:instrText>‒</w:instrText>
      </w:r>
      <w:r>
        <w:rPr>
          <w:noProof/>
          <w:lang w:val="cs-CZ"/>
        </w:rPr>
        <w:instrText>20</w:instrText>
      </w:r>
      <w:r>
        <w:instrText xml:space="preserve">" </w:instrText>
      </w:r>
      <w:r>
        <w:rPr>
          <w:noProof/>
        </w:rPr>
        <w:fldChar w:fldCharType="end"/>
      </w:r>
      <w:r w:rsidRPr="00D251B1">
        <w:rPr>
          <w:rStyle w:val="TextpoznpodarouChar"/>
          <w:rFonts w:eastAsia="Times"/>
        </w:rPr>
        <w:t>)</w:t>
      </w:r>
    </w:p>
  </w:footnote>
  <w:footnote w:id="263">
    <w:p w:rsidR="00971E82" w:rsidRPr="00503BCF" w:rsidRDefault="00971E82" w:rsidP="08163013">
      <w:pPr>
        <w:pStyle w:val="Textpoznpodarou"/>
        <w:rPr>
          <w:lang w:val="cs-CZ"/>
        </w:rPr>
      </w:pPr>
      <w:r>
        <w:rPr>
          <w:rStyle w:val="Znakapoznpodarou"/>
        </w:rPr>
        <w:footnoteRef/>
      </w:r>
      <w:r>
        <w:t xml:space="preserve"> </w:t>
      </w:r>
      <w:r w:rsidRPr="00273106">
        <w:rPr>
          <w:noProof/>
        </w:rPr>
        <w:t>„Unde quia intellectus in intelligendo est operans intrinsecum ad corpus per suam naturam, operationes autem intrinsecorum operantium, sive sint motus, sive sint operationes sine motu, attribuuntur compositis ex intrinseco operanti et eo ad quod sic intrinsece operatur, immo etiam apud philosophos intrinseci motores, vel intrinsece ad aliqua operantes, formae et perfectiones eorum appellantur.“ (</w:t>
      </w:r>
      <w:r w:rsidRPr="00273106">
        <w:rPr>
          <w:i/>
          <w:noProof/>
          <w:lang w:eastAsia="en-US"/>
        </w:rPr>
        <w:t>De anima intellectiva</w:t>
      </w:r>
      <w:r w:rsidRPr="00273106">
        <w:rPr>
          <w:noProof/>
          <w:lang w:eastAsia="en-US"/>
        </w:rPr>
        <w:t xml:space="preserve"> </w:t>
      </w:r>
      <w:r w:rsidRPr="00273106">
        <w:rPr>
          <w:noProof/>
        </w:rPr>
        <w:t>3</w:t>
      </w:r>
      <w:r>
        <w:rPr>
          <w:noProof/>
          <w:lang w:val="cs-CZ"/>
        </w:rPr>
        <w:t>;</w:t>
      </w:r>
      <w:r>
        <w:rPr>
          <w:noProof/>
        </w:rPr>
        <w:t xml:space="preserve"> ed. Bazán, p</w:t>
      </w:r>
      <w:r w:rsidRPr="00273106">
        <w:rPr>
          <w:noProof/>
        </w:rPr>
        <w:t>. 85.80‒85</w:t>
      </w:r>
      <w:r>
        <w:rPr>
          <w:noProof/>
        </w:rPr>
        <w:fldChar w:fldCharType="begin"/>
      </w:r>
      <w:r>
        <w:instrText xml:space="preserve"> XE "</w:instrText>
      </w:r>
      <w:r>
        <w:rPr>
          <w:lang w:val="cs-CZ"/>
        </w:rPr>
        <w:instrText>Siger:</w:instrText>
      </w:r>
      <w:r w:rsidRPr="0009487C">
        <w:rPr>
          <w:i/>
          <w:noProof/>
          <w:lang w:eastAsia="en-US"/>
        </w:rPr>
        <w:instrText>De anima intellectiva</w:instrText>
      </w:r>
      <w:r w:rsidRPr="0009487C">
        <w:rPr>
          <w:noProof/>
          <w:lang w:eastAsia="en-US"/>
        </w:rPr>
        <w:instrText xml:space="preserve"> </w:instrText>
      </w:r>
      <w:r w:rsidRPr="0009487C">
        <w:rPr>
          <w:noProof/>
        </w:rPr>
        <w:instrText>85.80‒85</w:instrText>
      </w:r>
      <w:r>
        <w:instrText xml:space="preserve">" </w:instrText>
      </w:r>
      <w:r>
        <w:rPr>
          <w:noProof/>
        </w:rPr>
        <w:fldChar w:fldCharType="end"/>
      </w:r>
      <w:r w:rsidRPr="00273106">
        <w:rPr>
          <w:noProof/>
        </w:rPr>
        <w:t>)</w:t>
      </w:r>
    </w:p>
  </w:footnote>
  <w:footnote w:id="264">
    <w:p w:rsidR="00971E82" w:rsidRPr="008830BD" w:rsidRDefault="00971E82" w:rsidP="08163013">
      <w:pPr>
        <w:pStyle w:val="Textpoznpodarou"/>
        <w:rPr>
          <w:noProof/>
          <w:lang w:val="cs-CZ"/>
        </w:rPr>
      </w:pPr>
      <w:r>
        <w:rPr>
          <w:rStyle w:val="Znakapoznpodarou"/>
        </w:rPr>
        <w:footnoteRef/>
      </w:r>
      <w:r>
        <w:t xml:space="preserve"> </w:t>
      </w:r>
      <w:r w:rsidRPr="00273106">
        <w:rPr>
          <w:noProof/>
        </w:rPr>
        <w:t>„Et secundum modum quem dicit</w:t>
      </w:r>
      <w:r w:rsidRPr="00273106">
        <w:rPr>
          <w:rStyle w:val="Zkladntext419pt4"/>
          <w:smallCaps w:val="0"/>
          <w:noProof/>
          <w:sz w:val="21"/>
          <w:lang w:val="cs-CZ"/>
        </w:rPr>
        <w:t xml:space="preserve"> Thomas,</w:t>
      </w:r>
      <w:r w:rsidRPr="00273106">
        <w:rPr>
          <w:noProof/>
        </w:rPr>
        <w:t xml:space="preserve"> homo intelligeret non tantum secundum intellectum, sed etiam secundum corpus, sicut et est ipsum videre anima visiva et corpore oculi, propter hoc quod modus unionis animae visivae ad corpus oculi est sicut figurae ad ceram, et formae esse tribuentis ad materiam.“ (</w:t>
      </w:r>
      <w:r w:rsidRPr="00273106">
        <w:rPr>
          <w:i/>
          <w:noProof/>
          <w:lang w:eastAsia="en-US"/>
        </w:rPr>
        <w:t>De anima intellectiva</w:t>
      </w:r>
      <w:r w:rsidRPr="00273106">
        <w:rPr>
          <w:noProof/>
          <w:lang w:eastAsia="en-US"/>
        </w:rPr>
        <w:t xml:space="preserve"> </w:t>
      </w:r>
      <w:r w:rsidRPr="00273106">
        <w:rPr>
          <w:noProof/>
        </w:rPr>
        <w:t>3</w:t>
      </w:r>
      <w:r>
        <w:rPr>
          <w:noProof/>
          <w:lang w:val="cs-CZ"/>
        </w:rPr>
        <w:t>;</w:t>
      </w:r>
      <w:r w:rsidRPr="00273106">
        <w:rPr>
          <w:noProof/>
        </w:rPr>
        <w:t xml:space="preserve"> ed. Bazán, p. 86.101‒106</w:t>
      </w:r>
      <w:r>
        <w:rPr>
          <w:noProof/>
        </w:rPr>
        <w:fldChar w:fldCharType="begin"/>
      </w:r>
      <w:r>
        <w:instrText xml:space="preserve"> XE "</w:instrText>
      </w:r>
      <w:r>
        <w:rPr>
          <w:lang w:val="cs-CZ"/>
        </w:rPr>
        <w:instrText>Siger:</w:instrText>
      </w:r>
      <w:r w:rsidRPr="0009487C">
        <w:rPr>
          <w:i/>
          <w:noProof/>
          <w:lang w:eastAsia="en-US"/>
        </w:rPr>
        <w:instrText>De anima intellectiva</w:instrText>
      </w:r>
      <w:r w:rsidRPr="0009487C">
        <w:rPr>
          <w:noProof/>
          <w:lang w:eastAsia="en-US"/>
        </w:rPr>
        <w:instrText xml:space="preserve"> </w:instrText>
      </w:r>
      <w:r>
        <w:rPr>
          <w:noProof/>
        </w:rPr>
        <w:instrText>8</w:instrText>
      </w:r>
      <w:r>
        <w:rPr>
          <w:noProof/>
          <w:lang w:val="cs-CZ"/>
        </w:rPr>
        <w:instrText>6</w:instrText>
      </w:r>
      <w:r>
        <w:rPr>
          <w:noProof/>
        </w:rPr>
        <w:instrText>.</w:instrText>
      </w:r>
      <w:r>
        <w:rPr>
          <w:noProof/>
          <w:lang w:val="cs-CZ"/>
        </w:rPr>
        <w:instrText>101</w:instrText>
      </w:r>
      <w:r>
        <w:rPr>
          <w:noProof/>
        </w:rPr>
        <w:instrText>‒</w:instrText>
      </w:r>
      <w:r>
        <w:rPr>
          <w:noProof/>
          <w:lang w:val="cs-CZ"/>
        </w:rPr>
        <w:instrText>106</w:instrText>
      </w:r>
      <w:r>
        <w:instrText xml:space="preserve">" </w:instrText>
      </w:r>
      <w:r>
        <w:rPr>
          <w:noProof/>
        </w:rPr>
        <w:fldChar w:fldCharType="end"/>
      </w:r>
      <w:r w:rsidRPr="00273106">
        <w:rPr>
          <w:noProof/>
        </w:rPr>
        <w:t>)</w:t>
      </w:r>
    </w:p>
  </w:footnote>
  <w:footnote w:id="265">
    <w:p w:rsidR="00971E82" w:rsidRPr="004E61AF" w:rsidRDefault="00971E82" w:rsidP="009D666B">
      <w:pPr>
        <w:pStyle w:val="Textpoznpodarou"/>
        <w:rPr>
          <w:lang w:val="cs-CZ"/>
        </w:rPr>
      </w:pPr>
      <w:r>
        <w:rPr>
          <w:rStyle w:val="Znakapoznpodarou"/>
        </w:rPr>
        <w:footnoteRef/>
      </w:r>
      <w:r>
        <w:t xml:space="preserve"> </w:t>
      </w:r>
      <w:r>
        <w:rPr>
          <w:lang w:val="cs-CZ"/>
        </w:rPr>
        <w:t xml:space="preserve">Následující shrnutí Akvinského učení ukazuje postup nasvícení stvoření pouze od Boha směrem dolů, a dokonce v modu porretánského </w:t>
      </w:r>
      <w:r w:rsidRPr="0097266E">
        <w:rPr>
          <w:i/>
          <w:lang w:val="cs-CZ"/>
        </w:rPr>
        <w:t>exsistere</w:t>
      </w:r>
      <w:r>
        <w:rPr>
          <w:lang w:val="cs-CZ"/>
        </w:rPr>
        <w:t>: „</w:t>
      </w:r>
      <w:r w:rsidRPr="0097266E">
        <w:rPr>
          <w:lang w:val="cs-CZ"/>
        </w:rPr>
        <w:t>Quindi discende a l'ultime potenze</w:t>
      </w:r>
      <w:r>
        <w:rPr>
          <w:lang w:val="cs-CZ"/>
        </w:rPr>
        <w:t xml:space="preserve"> / </w:t>
      </w:r>
      <w:r w:rsidRPr="0097266E">
        <w:rPr>
          <w:lang w:val="cs-CZ"/>
        </w:rPr>
        <w:t>giu d'atto in atto, tanto divenendo</w:t>
      </w:r>
      <w:r>
        <w:rPr>
          <w:lang w:val="cs-CZ"/>
        </w:rPr>
        <w:t xml:space="preserve"> / </w:t>
      </w:r>
      <w:r w:rsidRPr="0097266E">
        <w:rPr>
          <w:lang w:val="cs-CZ"/>
        </w:rPr>
        <w:t>che piu non fa che brevi contingenze</w:t>
      </w:r>
      <w:r>
        <w:rPr>
          <w:lang w:val="cs-CZ"/>
        </w:rPr>
        <w:t>“ (</w:t>
      </w:r>
      <w:r w:rsidRPr="006F3245">
        <w:rPr>
          <w:i/>
          <w:lang w:val="cs-CZ"/>
        </w:rPr>
        <w:t>Paradiso</w:t>
      </w:r>
      <w:r>
        <w:rPr>
          <w:lang w:val="cs-CZ"/>
        </w:rPr>
        <w:t xml:space="preserve"> 13.61‒63</w:t>
      </w:r>
      <w:r>
        <w:rPr>
          <w:lang w:val="cs-CZ"/>
        </w:rPr>
        <w:fldChar w:fldCharType="begin"/>
      </w:r>
      <w:r>
        <w:instrText xml:space="preserve"> XE "</w:instrText>
      </w:r>
      <w:r>
        <w:rPr>
          <w:lang w:val="cs-CZ"/>
        </w:rPr>
        <w:instrText>Dante:</w:instrText>
      </w:r>
      <w:r w:rsidRPr="00DC4F9B">
        <w:rPr>
          <w:i/>
          <w:lang w:val="cs-CZ"/>
        </w:rPr>
        <w:instrText>Paradiso</w:instrText>
      </w:r>
      <w:r>
        <w:rPr>
          <w:lang w:val="cs-CZ"/>
        </w:rPr>
        <w:instrText xml:space="preserve"> 13</w:instrText>
      </w:r>
      <w:r w:rsidRPr="00DC4F9B">
        <w:rPr>
          <w:lang w:val="cs-CZ"/>
        </w:rPr>
        <w:instrText>.61‒63</w:instrText>
      </w:r>
      <w:r>
        <w:instrText xml:space="preserve">" </w:instrText>
      </w:r>
      <w:r>
        <w:rPr>
          <w:lang w:val="cs-CZ"/>
        </w:rPr>
        <w:fldChar w:fldCharType="end"/>
      </w:r>
      <w:r>
        <w:rPr>
          <w:lang w:val="cs-CZ"/>
        </w:rPr>
        <w:t xml:space="preserve">) Tuto poetickou licenci by Akvinský určitě odmítl. Objektivistické řešení dané nasvícením jsoucna zezadu patří pouze Bonaventurově škole druhého averroismu dané komitací objektivních exemplarů do stvoření (kap. 4.1.3). </w:t>
      </w:r>
    </w:p>
  </w:footnote>
  <w:footnote w:id="266">
    <w:p w:rsidR="00971E82" w:rsidRPr="00F22460" w:rsidRDefault="00971E82" w:rsidP="08163013">
      <w:pPr>
        <w:pStyle w:val="Textpoznpodarou"/>
        <w:rPr>
          <w:noProof/>
          <w:lang w:val="cs-CZ"/>
        </w:rPr>
      </w:pPr>
      <w:r>
        <w:rPr>
          <w:rStyle w:val="Znakapoznpodarou"/>
        </w:rPr>
        <w:footnoteRef/>
      </w:r>
      <w:r>
        <w:t xml:space="preserve"> </w:t>
      </w:r>
      <w:r w:rsidRPr="00273106">
        <w:rPr>
          <w:noProof/>
        </w:rPr>
        <w:t xml:space="preserve">„Iam autem hoc dicetur quando assignabitur qualiter anima intellectiva est unita corpori et qualiter ab eo est separata. Et iterum, apparet hominem ipsum non intelligere ex causa quam assignat: quia, si sic, </w:t>
      </w:r>
      <w:r w:rsidRPr="00273106">
        <w:rPr>
          <w:rStyle w:val="Zkladntext39dkovn-1pt1"/>
          <w:rFonts w:ascii="Calibri" w:eastAsia="Calibri" w:hAnsi="Calibri"/>
          <w:noProof/>
          <w:sz w:val="21"/>
          <w:lang w:val="cs-CZ"/>
        </w:rPr>
        <w:t xml:space="preserve">non </w:t>
      </w:r>
      <w:r w:rsidRPr="00273106">
        <w:rPr>
          <w:noProof/>
        </w:rPr>
        <w:t>solum homo ipse intelligeret, sed pars materialis huius compositi, adeo quod</w:t>
      </w:r>
      <w:r w:rsidRPr="00273106">
        <w:rPr>
          <w:rStyle w:val="Zkladntext39Constantia2"/>
          <w:rFonts w:ascii="Calibri" w:eastAsia="Calibri" w:hAnsi="Calibri"/>
          <w:noProof/>
          <w:sz w:val="21"/>
          <w:lang w:val="cs-CZ"/>
        </w:rPr>
        <w:t xml:space="preserve"> </w:t>
      </w:r>
      <w:r w:rsidRPr="00273106">
        <w:rPr>
          <w:noProof/>
        </w:rPr>
        <w:t>intelligere esset in corpore et in organo, ut etiam prius dictum est.“ (</w:t>
      </w:r>
      <w:r w:rsidRPr="00273106">
        <w:rPr>
          <w:i/>
          <w:noProof/>
          <w:lang w:eastAsia="en-US"/>
        </w:rPr>
        <w:t>De anima intellectiva</w:t>
      </w:r>
      <w:r w:rsidRPr="00273106">
        <w:rPr>
          <w:noProof/>
          <w:lang w:eastAsia="en-US"/>
        </w:rPr>
        <w:t xml:space="preserve"> </w:t>
      </w:r>
      <w:r>
        <w:rPr>
          <w:noProof/>
        </w:rPr>
        <w:t>3</w:t>
      </w:r>
      <w:r>
        <w:rPr>
          <w:noProof/>
          <w:lang w:val="cs-CZ"/>
        </w:rPr>
        <w:t xml:space="preserve">; </w:t>
      </w:r>
      <w:r>
        <w:rPr>
          <w:noProof/>
        </w:rPr>
        <w:t>ed. Bazán, p. 84.51‒56</w:t>
      </w:r>
      <w:r>
        <w:rPr>
          <w:noProof/>
        </w:rPr>
        <w:fldChar w:fldCharType="begin"/>
      </w:r>
      <w:r>
        <w:instrText xml:space="preserve"> XE "</w:instrText>
      </w:r>
      <w:r>
        <w:rPr>
          <w:lang w:val="cs-CZ"/>
        </w:rPr>
        <w:instrText>Siger:</w:instrText>
      </w:r>
      <w:r w:rsidRPr="00FE0419">
        <w:rPr>
          <w:i/>
          <w:noProof/>
          <w:lang w:eastAsia="en-US"/>
        </w:rPr>
        <w:instrText>De anima intellectiva</w:instrText>
      </w:r>
      <w:r>
        <w:rPr>
          <w:noProof/>
          <w:lang w:val="cs-CZ" w:eastAsia="en-US"/>
        </w:rPr>
        <w:instrText xml:space="preserve"> </w:instrText>
      </w:r>
      <w:r w:rsidRPr="00FE0419">
        <w:rPr>
          <w:noProof/>
        </w:rPr>
        <w:instrText>4.51‒56</w:instrText>
      </w:r>
      <w:r>
        <w:instrText xml:space="preserve">" </w:instrText>
      </w:r>
      <w:r>
        <w:rPr>
          <w:noProof/>
        </w:rPr>
        <w:fldChar w:fldCharType="end"/>
      </w:r>
      <w:r>
        <w:rPr>
          <w:noProof/>
          <w:lang w:val="cs-CZ"/>
        </w:rPr>
        <w:t>)</w:t>
      </w:r>
    </w:p>
  </w:footnote>
  <w:footnote w:id="267">
    <w:p w:rsidR="00971E82" w:rsidRPr="00F42DAB" w:rsidRDefault="00971E82" w:rsidP="08163013">
      <w:pPr>
        <w:pStyle w:val="Textpoznpodarou"/>
        <w:rPr>
          <w:lang w:val="cs-CZ"/>
        </w:rPr>
      </w:pPr>
      <w:r>
        <w:rPr>
          <w:rStyle w:val="Znakapoznpodarou"/>
        </w:rPr>
        <w:footnoteRef/>
      </w:r>
      <w:r>
        <w:t xml:space="preserve"> </w:t>
      </w:r>
      <w:r w:rsidRPr="00273106">
        <w:rPr>
          <w:noProof/>
        </w:rPr>
        <w:t>„Et dico quod intellectus nobis actu copulatur eo quod intelligit ex intentionibus imaginat</w:t>
      </w:r>
      <w:r>
        <w:rPr>
          <w:noProof/>
        </w:rPr>
        <w:t xml:space="preserve">is: quia nobis actu copulantur </w:t>
      </w:r>
      <w:r w:rsidRPr="00273106">
        <w:rPr>
          <w:noProof/>
        </w:rPr>
        <w:t xml:space="preserve">intentiones, ideo intellectus, cum eas intelligit, actu nobis copulatur, ita quod non copulatur nobis per partem eius quae est materia, sicut sensus est actus corporis per partem eius quae est materia. </w:t>
      </w:r>
      <w:r w:rsidRPr="006E0E99">
        <w:rPr>
          <w:noProof/>
        </w:rPr>
        <w:t xml:space="preserve">Nec intelligo dicere quod intellectus in sui natura aliquam habeat copulationem. </w:t>
      </w:r>
      <w:r w:rsidRPr="006E0E99">
        <w:rPr>
          <w:noProof/>
          <w:lang w:eastAsia="de-DE"/>
        </w:rPr>
        <w:t xml:space="preserve">De </w:t>
      </w:r>
      <w:r w:rsidRPr="006E0E99">
        <w:rPr>
          <w:noProof/>
        </w:rPr>
        <w:t xml:space="preserve">natura sua solum est in potentia ut nobis copuletur. </w:t>
      </w:r>
      <w:r>
        <w:rPr>
          <w:noProof/>
        </w:rPr>
        <w:t xml:space="preserve">Nisi enim de natura sua esset </w:t>
      </w:r>
      <w:r w:rsidRPr="00273106">
        <w:rPr>
          <w:noProof/>
        </w:rPr>
        <w:t>solum in potentia ut nobis copuletur, copulari autem deberet nobiscum, necesse esset forma et actus corporis nostri per suam substantiam. Et necessarium est ei qui ponit unum intellectum in omnibus, quod hoc sit per intentiones imaginatas.“ (</w:t>
      </w:r>
      <w:r w:rsidRPr="08BF3B3D">
        <w:rPr>
          <w:noProof/>
        </w:rPr>
        <w:t>QIIIDA</w:t>
      </w:r>
      <w:r>
        <w:rPr>
          <w:noProof/>
        </w:rPr>
        <w:t>, q. 15</w:t>
      </w:r>
      <w:r>
        <w:rPr>
          <w:noProof/>
          <w:lang w:val="cs-CZ"/>
        </w:rPr>
        <w:t xml:space="preserve">; </w:t>
      </w:r>
      <w:r w:rsidRPr="00273106">
        <w:rPr>
          <w:noProof/>
        </w:rPr>
        <w:t>ed. Bazán, p. 56.60‒71</w:t>
      </w:r>
      <w:r>
        <w:rPr>
          <w:noProof/>
        </w:rPr>
        <w:fldChar w:fldCharType="begin"/>
      </w:r>
      <w:r>
        <w:instrText xml:space="preserve"> XE "</w:instrText>
      </w:r>
      <w:r>
        <w:rPr>
          <w:lang w:val="cs-CZ"/>
        </w:rPr>
        <w:instrText>Siger:</w:instrText>
      </w:r>
      <w:r>
        <w:rPr>
          <w:i/>
          <w:noProof/>
        </w:rPr>
        <w:instrText xml:space="preserve">Quaestiones in tertium </w:instrText>
      </w:r>
      <w:r>
        <w:rPr>
          <w:i/>
          <w:noProof/>
          <w:lang w:val="cs-CZ"/>
        </w:rPr>
        <w:instrText>D</w:instrText>
      </w:r>
      <w:r w:rsidRPr="00956A78">
        <w:rPr>
          <w:i/>
          <w:noProof/>
        </w:rPr>
        <w:instrText>e anima</w:instrText>
      </w:r>
      <w:r>
        <w:rPr>
          <w:i/>
          <w:noProof/>
          <w:lang w:val="cs-CZ"/>
        </w:rPr>
        <w:instrText xml:space="preserve"> </w:instrText>
      </w:r>
      <w:r w:rsidRPr="00956A78">
        <w:rPr>
          <w:noProof/>
        </w:rPr>
        <w:instrText>56.60‒71</w:instrText>
      </w:r>
      <w:r>
        <w:instrText xml:space="preserve">" </w:instrText>
      </w:r>
      <w:r>
        <w:rPr>
          <w:noProof/>
        </w:rPr>
        <w:fldChar w:fldCharType="end"/>
      </w:r>
      <w:r w:rsidRPr="00273106">
        <w:rPr>
          <w:noProof/>
        </w:rPr>
        <w:t>)</w:t>
      </w:r>
    </w:p>
  </w:footnote>
  <w:footnote w:id="268">
    <w:p w:rsidR="00971E82" w:rsidRPr="00275F67" w:rsidRDefault="00971E82" w:rsidP="008B515D">
      <w:pPr>
        <w:pStyle w:val="Textpoznpodarou"/>
        <w:rPr>
          <w:lang w:val="cs-CZ"/>
        </w:rPr>
      </w:pPr>
      <w:r>
        <w:rPr>
          <w:rStyle w:val="Znakapoznpodarou"/>
        </w:rPr>
        <w:footnoteRef/>
      </w:r>
      <w:r>
        <w:rPr>
          <w:lang w:val="cs-CZ"/>
        </w:rPr>
        <w:t xml:space="preserve"> </w:t>
      </w:r>
      <w:r>
        <w:t>„</w:t>
      </w:r>
      <w:r w:rsidRPr="002A2B2F">
        <w:t xml:space="preserve">Die Analytik stellt die ontologische Frage nach dem Sein des </w:t>
      </w:r>
      <w:r w:rsidRPr="00A4578F">
        <w:rPr>
          <w:i/>
        </w:rPr>
        <w:t>sum</w:t>
      </w:r>
      <w:r w:rsidRPr="002A2B2F">
        <w:t>.</w:t>
      </w:r>
      <w:r>
        <w:t xml:space="preserve"> </w:t>
      </w:r>
      <w:r w:rsidRPr="002A2B2F">
        <w:t xml:space="preserve">Ist dieses bestimmt, dann wird die Seinsart der </w:t>
      </w:r>
      <w:r w:rsidRPr="00A4578F">
        <w:rPr>
          <w:i/>
        </w:rPr>
        <w:t>cogitationes</w:t>
      </w:r>
      <w:r w:rsidRPr="002A2B2F">
        <w:t xml:space="preserve"> erst</w:t>
      </w:r>
      <w:r>
        <w:t xml:space="preserve"> </w:t>
      </w:r>
      <w:r w:rsidRPr="002A2B2F">
        <w:t>faßbar.</w:t>
      </w:r>
      <w:r>
        <w:t>“ (</w:t>
      </w:r>
      <w:r>
        <w:rPr>
          <w:lang w:val="cs-CZ"/>
        </w:rPr>
        <w:t>SZ 46</w:t>
      </w:r>
      <w:r>
        <w:rPr>
          <w:lang w:val="cs-CZ"/>
        </w:rPr>
        <w:fldChar w:fldCharType="begin"/>
      </w:r>
      <w:r>
        <w:instrText xml:space="preserve"> XE "</w:instrText>
      </w:r>
      <w:r w:rsidRPr="08A4095A">
        <w:instrText>Heidegger:SZ 46</w:instrText>
      </w:r>
      <w:r>
        <w:instrText xml:space="preserve">" </w:instrText>
      </w:r>
      <w:r>
        <w:rPr>
          <w:lang w:val="cs-CZ"/>
        </w:rPr>
        <w:fldChar w:fldCharType="end"/>
      </w:r>
      <w:r w:rsidRPr="002A2B2F">
        <w:t>).</w:t>
      </w:r>
    </w:p>
  </w:footnote>
  <w:footnote w:id="269">
    <w:p w:rsidR="00971E82" w:rsidRPr="008C4065" w:rsidRDefault="00971E82" w:rsidP="08163013">
      <w:pPr>
        <w:pStyle w:val="Textpoznpodarou"/>
        <w:rPr>
          <w:noProof/>
          <w:lang w:val="cs-CZ"/>
        </w:rPr>
      </w:pPr>
      <w:r>
        <w:rPr>
          <w:rStyle w:val="Znakapoznpodarou"/>
        </w:rPr>
        <w:footnoteRef/>
      </w:r>
      <w:r>
        <w:t xml:space="preserve"> </w:t>
      </w:r>
      <w:r w:rsidRPr="00273106">
        <w:rPr>
          <w:noProof/>
        </w:rPr>
        <w:t>„Nec est intelligendum quod homo ideo intelligat, quod intellectus sit motor hominis: intelligere enim in homine motum naturaliter praecedit; nec etiam homo intelligit quia intelligibilia phantasmata sint nobis unita; sed quia, sicut prius dictum est, cum intellectus intelligendo sit operans sine motu, est operans in operando unite se habens ad corpus per suam naturam.“ (</w:t>
      </w:r>
      <w:r w:rsidRPr="00273106">
        <w:rPr>
          <w:i/>
          <w:noProof/>
          <w:lang w:eastAsia="en-US"/>
        </w:rPr>
        <w:t>De anima intellectiva</w:t>
      </w:r>
      <w:r w:rsidRPr="00273106">
        <w:rPr>
          <w:noProof/>
          <w:lang w:eastAsia="en-US"/>
        </w:rPr>
        <w:t xml:space="preserve"> </w:t>
      </w:r>
      <w:r w:rsidRPr="00273106">
        <w:rPr>
          <w:noProof/>
        </w:rPr>
        <w:t>3</w:t>
      </w:r>
      <w:r>
        <w:rPr>
          <w:noProof/>
        </w:rPr>
        <w:t>;</w:t>
      </w:r>
      <w:r w:rsidRPr="00273106">
        <w:rPr>
          <w:noProof/>
        </w:rPr>
        <w:t xml:space="preserve"> ed. Bazán, p</w:t>
      </w:r>
      <w:r>
        <w:rPr>
          <w:noProof/>
          <w:lang w:val="cs-CZ"/>
        </w:rPr>
        <w:t>p</w:t>
      </w:r>
      <w:r w:rsidRPr="00273106">
        <w:rPr>
          <w:noProof/>
        </w:rPr>
        <w:t>. 86.11‒87.16</w:t>
      </w:r>
      <w:r>
        <w:rPr>
          <w:noProof/>
        </w:rPr>
        <w:fldChar w:fldCharType="begin"/>
      </w:r>
      <w:r>
        <w:instrText xml:space="preserve"> XE "</w:instrText>
      </w:r>
      <w:r>
        <w:rPr>
          <w:lang w:val="cs-CZ"/>
        </w:rPr>
        <w:instrText>Siger:</w:instrText>
      </w:r>
      <w:r w:rsidRPr="00AA5325">
        <w:rPr>
          <w:i/>
          <w:noProof/>
          <w:lang w:eastAsia="en-US"/>
        </w:rPr>
        <w:instrText>De anima intellectiva</w:instrText>
      </w:r>
      <w:r w:rsidRPr="00AA5325">
        <w:rPr>
          <w:noProof/>
          <w:lang w:eastAsia="en-US"/>
        </w:rPr>
        <w:instrText xml:space="preserve"> </w:instrText>
      </w:r>
      <w:r w:rsidRPr="00AA5325">
        <w:rPr>
          <w:noProof/>
        </w:rPr>
        <w:instrText>86.11‒87.16</w:instrText>
      </w:r>
      <w:r>
        <w:instrText xml:space="preserve">" </w:instrText>
      </w:r>
      <w:r>
        <w:rPr>
          <w:noProof/>
        </w:rPr>
        <w:fldChar w:fldCharType="end"/>
      </w:r>
      <w:r w:rsidRPr="00273106">
        <w:rPr>
          <w:noProof/>
        </w:rPr>
        <w:t>)</w:t>
      </w:r>
    </w:p>
  </w:footnote>
  <w:footnote w:id="270">
    <w:p w:rsidR="00971E82" w:rsidRPr="0044510C" w:rsidRDefault="00971E82" w:rsidP="08163013">
      <w:pPr>
        <w:pStyle w:val="Textpoznpodarou"/>
        <w:rPr>
          <w:noProof/>
          <w:lang w:val="cs-CZ"/>
        </w:rPr>
      </w:pPr>
      <w:r>
        <w:rPr>
          <w:rStyle w:val="Znakapoznpodarou"/>
        </w:rPr>
        <w:footnoteRef/>
      </w:r>
      <w:r>
        <w:t xml:space="preserve"> </w:t>
      </w:r>
      <w:r w:rsidRPr="00273106">
        <w:rPr>
          <w:noProof/>
        </w:rPr>
        <w:t xml:space="preserve">„Et est attendendum quod, cum homo denominetur intelligens ab opere intellectus, et a substantia eius habet denominationem. Quod enim denominatur ab eius accidente, et ab eius substantia. Quoties autem est denominari et dici, toties est esse, ut </w:t>
      </w:r>
      <w:r w:rsidRPr="00733915">
        <w:t xml:space="preserve">dicit Philosophus, </w:t>
      </w:r>
      <w:r w:rsidRPr="00733915">
        <w:rPr>
          <w:i/>
        </w:rPr>
        <w:t>quinto Metaphysicae</w:t>
      </w:r>
      <w:r w:rsidRPr="00733915">
        <w:t>.</w:t>
      </w:r>
      <w:r w:rsidRPr="00273106">
        <w:rPr>
          <w:rStyle w:val="Zkladntext429"/>
          <w:rFonts w:ascii="Calibri" w:hAnsi="Calibri"/>
          <w:i w:val="0"/>
          <w:iCs w:val="0"/>
          <w:noProof/>
          <w:sz w:val="21"/>
          <w:lang w:val="cs-CZ"/>
        </w:rPr>
        <w:t xml:space="preserve"> </w:t>
      </w:r>
      <w:r w:rsidRPr="00273106">
        <w:rPr>
          <w:noProof/>
        </w:rPr>
        <w:t>Unde per intellectum homo est homo, et sic denominatur.“ (</w:t>
      </w:r>
      <w:r w:rsidRPr="00273106">
        <w:rPr>
          <w:i/>
          <w:noProof/>
          <w:lang w:eastAsia="en-US"/>
        </w:rPr>
        <w:t>De anima intellectiva</w:t>
      </w:r>
      <w:r w:rsidRPr="00273106">
        <w:rPr>
          <w:noProof/>
          <w:lang w:eastAsia="en-US"/>
        </w:rPr>
        <w:t xml:space="preserve"> </w:t>
      </w:r>
      <w:r w:rsidRPr="00273106">
        <w:rPr>
          <w:noProof/>
        </w:rPr>
        <w:t>3</w:t>
      </w:r>
      <w:r>
        <w:rPr>
          <w:noProof/>
        </w:rPr>
        <w:t>;</w:t>
      </w:r>
      <w:r w:rsidRPr="00273106">
        <w:rPr>
          <w:noProof/>
        </w:rPr>
        <w:t xml:space="preserve"> ed. Bazán, p. 87.20‒25</w:t>
      </w:r>
      <w:r>
        <w:rPr>
          <w:noProof/>
        </w:rPr>
        <w:fldChar w:fldCharType="begin"/>
      </w:r>
      <w:r>
        <w:instrText xml:space="preserve"> XE "</w:instrText>
      </w:r>
      <w:r>
        <w:rPr>
          <w:lang w:val="cs-CZ"/>
        </w:rPr>
        <w:instrText>Siger:</w:instrText>
      </w:r>
      <w:r w:rsidRPr="00953D69">
        <w:rPr>
          <w:i/>
          <w:noProof/>
          <w:lang w:eastAsia="en-US"/>
        </w:rPr>
        <w:instrText>De anima intellectiva</w:instrText>
      </w:r>
      <w:r w:rsidRPr="00953D69">
        <w:rPr>
          <w:noProof/>
          <w:lang w:eastAsia="en-US"/>
        </w:rPr>
        <w:instrText xml:space="preserve"> </w:instrText>
      </w:r>
      <w:r w:rsidRPr="00953D69">
        <w:rPr>
          <w:noProof/>
        </w:rPr>
        <w:instrText>87.20‒25</w:instrText>
      </w:r>
      <w:r>
        <w:instrText xml:space="preserve">" </w:instrText>
      </w:r>
      <w:r>
        <w:rPr>
          <w:noProof/>
        </w:rPr>
        <w:fldChar w:fldCharType="end"/>
      </w:r>
      <w:r w:rsidRPr="00273106">
        <w:rPr>
          <w:noProof/>
        </w:rPr>
        <w:t>)</w:t>
      </w:r>
    </w:p>
  </w:footnote>
  <w:footnote w:id="271">
    <w:p w:rsidR="00971E82" w:rsidRPr="00377AB8" w:rsidRDefault="00971E82" w:rsidP="08163013">
      <w:pPr>
        <w:pStyle w:val="Textpoznpodarou"/>
        <w:rPr>
          <w:noProof/>
          <w:lang w:val="cs-CZ"/>
        </w:rPr>
      </w:pPr>
      <w:r>
        <w:rPr>
          <w:rStyle w:val="Znakapoznpodarou"/>
        </w:rPr>
        <w:footnoteRef/>
      </w:r>
      <w:r>
        <w:t xml:space="preserve"> </w:t>
      </w:r>
      <w:r w:rsidRPr="00273106">
        <w:rPr>
          <w:noProof/>
        </w:rPr>
        <w:t>„Ad tertium dicendum quod sine dubio propria operatio hominis est intelligere, et in hoc felicitatur, ut dicitur</w:t>
      </w:r>
      <w:r w:rsidRPr="00273106">
        <w:rPr>
          <w:rStyle w:val="Zkladntext429"/>
          <w:rFonts w:ascii="Calibri" w:hAnsi="Calibri"/>
          <w:i w:val="0"/>
          <w:iCs w:val="0"/>
          <w:noProof/>
          <w:sz w:val="21"/>
          <w:lang w:val="cs-CZ"/>
        </w:rPr>
        <w:t xml:space="preserve"> </w:t>
      </w:r>
      <w:r w:rsidRPr="00A44805">
        <w:rPr>
          <w:i/>
        </w:rPr>
        <w:t>decimo Moralium</w:t>
      </w:r>
      <w:r w:rsidRPr="00273106">
        <w:rPr>
          <w:rStyle w:val="Zkladntext429"/>
          <w:rFonts w:ascii="Calibri" w:hAnsi="Calibri"/>
          <w:i w:val="0"/>
          <w:iCs w:val="0"/>
          <w:noProof/>
          <w:sz w:val="21"/>
          <w:lang w:val="cs-CZ"/>
        </w:rPr>
        <w:t xml:space="preserve">. </w:t>
      </w:r>
      <w:r w:rsidRPr="00273106">
        <w:rPr>
          <w:noProof/>
        </w:rPr>
        <w:t>Nam intellectus a quo est intelligere suprema est virtus in homine et propria homini. Sed ad hoc quod intelligere sit homini propria operatio, non oportet quod ipsius hominis compositi substantia a qua est intelligere uniatur alteri parti compositi ut figura cerae, sed sufficit quod modo praedicto.“ (</w:t>
      </w:r>
      <w:r w:rsidRPr="00273106">
        <w:rPr>
          <w:i/>
          <w:noProof/>
          <w:lang w:eastAsia="en-US"/>
        </w:rPr>
        <w:t>De anima intellectiva</w:t>
      </w:r>
      <w:r w:rsidRPr="00273106">
        <w:rPr>
          <w:noProof/>
          <w:lang w:eastAsia="en-US"/>
        </w:rPr>
        <w:t xml:space="preserve"> </w:t>
      </w:r>
      <w:r w:rsidRPr="00273106">
        <w:rPr>
          <w:noProof/>
        </w:rPr>
        <w:t>3</w:t>
      </w:r>
      <w:r>
        <w:rPr>
          <w:noProof/>
        </w:rPr>
        <w:t>;</w:t>
      </w:r>
      <w:r w:rsidRPr="00273106">
        <w:rPr>
          <w:noProof/>
        </w:rPr>
        <w:t xml:space="preserve"> ed. Bazán, p. 87.26‒32</w:t>
      </w:r>
      <w:r>
        <w:rPr>
          <w:noProof/>
        </w:rPr>
        <w:fldChar w:fldCharType="begin"/>
      </w:r>
      <w:r>
        <w:instrText xml:space="preserve"> XE "</w:instrText>
      </w:r>
      <w:r>
        <w:rPr>
          <w:lang w:val="cs-CZ"/>
        </w:rPr>
        <w:instrText>Siger:</w:instrText>
      </w:r>
      <w:r w:rsidRPr="00953D69">
        <w:rPr>
          <w:i/>
          <w:noProof/>
          <w:lang w:eastAsia="en-US"/>
        </w:rPr>
        <w:instrText>De anima intellectiva</w:instrText>
      </w:r>
      <w:r w:rsidRPr="00953D69">
        <w:rPr>
          <w:noProof/>
          <w:lang w:eastAsia="en-US"/>
        </w:rPr>
        <w:instrText xml:space="preserve"> </w:instrText>
      </w:r>
      <w:r>
        <w:rPr>
          <w:noProof/>
        </w:rPr>
        <w:instrText>87.2</w:instrText>
      </w:r>
      <w:r>
        <w:rPr>
          <w:noProof/>
          <w:lang w:val="cs-CZ"/>
        </w:rPr>
        <w:instrText>6</w:instrText>
      </w:r>
      <w:r>
        <w:rPr>
          <w:noProof/>
        </w:rPr>
        <w:instrText>‒</w:instrText>
      </w:r>
      <w:r>
        <w:rPr>
          <w:noProof/>
          <w:lang w:val="cs-CZ"/>
        </w:rPr>
        <w:instrText>32</w:instrText>
      </w:r>
      <w:r>
        <w:instrText xml:space="preserve">" </w:instrText>
      </w:r>
      <w:r>
        <w:rPr>
          <w:noProof/>
        </w:rPr>
        <w:fldChar w:fldCharType="end"/>
      </w:r>
      <w:r w:rsidRPr="00273106">
        <w:rPr>
          <w:noProof/>
        </w:rPr>
        <w:t>)</w:t>
      </w:r>
    </w:p>
  </w:footnote>
  <w:footnote w:id="272">
    <w:p w:rsidR="00971E82" w:rsidRPr="007658B4" w:rsidRDefault="00971E82" w:rsidP="08163013">
      <w:pPr>
        <w:pStyle w:val="Textpoznpodarou"/>
        <w:rPr>
          <w:rStyle w:val="TextpoznpodarouChar"/>
          <w:rFonts w:eastAsia="Times"/>
        </w:rPr>
      </w:pPr>
      <w:r>
        <w:rPr>
          <w:rStyle w:val="Znakapoznpodarou"/>
        </w:rPr>
        <w:footnoteRef/>
      </w:r>
      <w:r>
        <w:t xml:space="preserve"> </w:t>
      </w:r>
      <w:r w:rsidRPr="007658B4">
        <w:rPr>
          <w:rStyle w:val="TextpoznpodarouChar"/>
          <w:rFonts w:eastAsia="Times"/>
        </w:rPr>
        <w:t>„Unde Philosophus innuit quod definitio animae in communi, qua dicitur quod sit actus corporis, magis est multipliciter dicti quam generis. Et Themistius elicit quod anima definita est in universali, sicut potest definiri universaliter quod non est universale.“ (</w:t>
      </w:r>
      <w:r w:rsidRPr="007658B4">
        <w:rPr>
          <w:rStyle w:val="TextpoznpodarouChar"/>
          <w:rFonts w:eastAsia="Times"/>
          <w:i/>
        </w:rPr>
        <w:t>De anima intellectiva</w:t>
      </w:r>
      <w:r w:rsidRPr="007658B4">
        <w:rPr>
          <w:rStyle w:val="TextpoznpodarouChar"/>
          <w:rFonts w:eastAsia="Times"/>
        </w:rPr>
        <w:t xml:space="preserve"> 3</w:t>
      </w:r>
      <w:r>
        <w:rPr>
          <w:rStyle w:val="TextpoznpodarouChar"/>
          <w:rFonts w:eastAsia="Times"/>
          <w:lang w:val="cs-CZ"/>
        </w:rPr>
        <w:t>;</w:t>
      </w:r>
      <w:r w:rsidRPr="007658B4">
        <w:rPr>
          <w:rStyle w:val="TextpoznpodarouChar"/>
          <w:rFonts w:eastAsia="Times"/>
        </w:rPr>
        <w:t xml:space="preserve"> ed. Bazán, p. 88.40‒44</w:t>
      </w:r>
      <w:r>
        <w:rPr>
          <w:noProof/>
        </w:rPr>
        <w:fldChar w:fldCharType="begin"/>
      </w:r>
      <w:r>
        <w:instrText xml:space="preserve"> XE "</w:instrText>
      </w:r>
      <w:r>
        <w:rPr>
          <w:lang w:val="cs-CZ"/>
        </w:rPr>
        <w:instrText>Siger:</w:instrText>
      </w:r>
      <w:r w:rsidRPr="00953D69">
        <w:rPr>
          <w:i/>
          <w:noProof/>
          <w:lang w:eastAsia="en-US"/>
        </w:rPr>
        <w:instrText>De anima intellectiva</w:instrText>
      </w:r>
      <w:r w:rsidRPr="00953D69">
        <w:rPr>
          <w:noProof/>
          <w:lang w:eastAsia="en-US"/>
        </w:rPr>
        <w:instrText xml:space="preserve"> </w:instrText>
      </w:r>
      <w:r>
        <w:rPr>
          <w:noProof/>
        </w:rPr>
        <w:instrText>8</w:instrText>
      </w:r>
      <w:r>
        <w:rPr>
          <w:noProof/>
          <w:lang w:val="cs-CZ"/>
        </w:rPr>
        <w:instrText>8</w:instrText>
      </w:r>
      <w:r>
        <w:rPr>
          <w:noProof/>
        </w:rPr>
        <w:instrText>.</w:instrText>
      </w:r>
      <w:r>
        <w:rPr>
          <w:noProof/>
          <w:lang w:val="cs-CZ"/>
        </w:rPr>
        <w:instrText>40</w:instrText>
      </w:r>
      <w:r>
        <w:rPr>
          <w:noProof/>
        </w:rPr>
        <w:instrText>‒</w:instrText>
      </w:r>
      <w:r>
        <w:rPr>
          <w:noProof/>
          <w:lang w:val="cs-CZ"/>
        </w:rPr>
        <w:instrText>44</w:instrText>
      </w:r>
      <w:r>
        <w:instrText xml:space="preserve">" </w:instrText>
      </w:r>
      <w:r>
        <w:rPr>
          <w:noProof/>
        </w:rPr>
        <w:fldChar w:fldCharType="end"/>
      </w:r>
      <w:r w:rsidRPr="007658B4">
        <w:rPr>
          <w:rStyle w:val="TextpoznpodarouChar"/>
          <w:rFonts w:eastAsia="Times"/>
        </w:rPr>
        <w:t>)</w:t>
      </w:r>
    </w:p>
  </w:footnote>
  <w:footnote w:id="273">
    <w:p w:rsidR="00971E82" w:rsidRPr="081F4255" w:rsidRDefault="00971E82" w:rsidP="081F4255">
      <w:pPr>
        <w:pStyle w:val="Textpoznpodarou"/>
      </w:pPr>
      <w:r w:rsidRPr="081F4255">
        <w:rPr>
          <w:rStyle w:val="Znakapoznpodarou"/>
        </w:rPr>
        <w:footnoteRef/>
      </w:r>
      <w:r w:rsidRPr="081F4255">
        <w:t xml:space="preserve"> „</w:t>
      </w:r>
      <w:r w:rsidRPr="081F4255">
        <w:rPr>
          <w:rStyle w:val="Zkladntext515"/>
          <w:rFonts w:ascii="Calibri" w:hAnsi="Calibri" w:cs="Times New Roman"/>
          <w:sz w:val="20"/>
          <w:szCs w:val="20"/>
        </w:rPr>
        <w:t>Circa nonum a principio propositorum sensit</w:t>
      </w:r>
      <w:r w:rsidRPr="081F4255">
        <w:rPr>
          <w:rStyle w:val="Zkladntext51TimesNewRoman9"/>
          <w:rFonts w:ascii="Calibri" w:hAnsi="Calibri"/>
          <w:smallCaps w:val="0"/>
          <w:sz w:val="20"/>
          <w:szCs w:val="20"/>
        </w:rPr>
        <w:t xml:space="preserve"> Rabbi Moyses</w:t>
      </w:r>
      <w:r w:rsidRPr="081F4255">
        <w:rPr>
          <w:rStyle w:val="Zkladntext515"/>
          <w:rFonts w:ascii="Calibri" w:hAnsi="Calibri" w:cs="Times New Roman"/>
          <w:sz w:val="20"/>
          <w:szCs w:val="20"/>
        </w:rPr>
        <w:t xml:space="preserve"> quod operatio intellectus esset substantia eius, ita quod intellectus ante intelligere eius in actu vel in habitu, non habet substantiam nisi in potentia...“ (</w:t>
      </w:r>
      <w:r w:rsidRPr="081F4255">
        <w:rPr>
          <w:i/>
        </w:rPr>
        <w:t>De anima intellectiva</w:t>
      </w:r>
      <w:r w:rsidRPr="081F4255">
        <w:t xml:space="preserve"> 9; ed. Bazán, p. 111.3‒6</w:t>
      </w:r>
      <w:r w:rsidRPr="081F4255">
        <w:fldChar w:fldCharType="begin"/>
      </w:r>
      <w:r w:rsidRPr="081F4255">
        <w:instrText xml:space="preserve"> XE "Siger:De anima intellectiva 111.3‒6" </w:instrText>
      </w:r>
      <w:r w:rsidRPr="081F4255">
        <w:fldChar w:fldCharType="end"/>
      </w:r>
      <w:r w:rsidRPr="081F4255">
        <w:rPr>
          <w:rStyle w:val="Zkladntext515"/>
          <w:rFonts w:ascii="Calibri" w:hAnsi="Calibri" w:cs="Times New Roman"/>
          <w:sz w:val="20"/>
          <w:szCs w:val="20"/>
        </w:rPr>
        <w:t>)</w:t>
      </w:r>
    </w:p>
  </w:footnote>
  <w:footnote w:id="274">
    <w:p w:rsidR="00971E82" w:rsidRPr="00A81E3F" w:rsidRDefault="00971E82" w:rsidP="08163013">
      <w:pPr>
        <w:pStyle w:val="Textpoznpodarou"/>
        <w:rPr>
          <w:lang w:val="cs-CZ"/>
        </w:rPr>
      </w:pPr>
      <w:r>
        <w:rPr>
          <w:rStyle w:val="Znakapoznpodarou"/>
        </w:rPr>
        <w:footnoteRef/>
      </w:r>
      <w:r>
        <w:t xml:space="preserve"> </w:t>
      </w:r>
      <w:r w:rsidRPr="00273106">
        <w:rPr>
          <w:noProof/>
        </w:rPr>
        <w:t>„Averroes enim non posuit corpus communicare in hoc quod est intelligere ita quod esset subiectum eius, nec intelligendo intellectum egere corpore ut corpore subiecto, sed magis sicut obiecto, cui naturaliter intellectus unitur. Intelligere enim dixit commune ex modo quo non est sine phantasmate; et, ideo Socratem dixit communicare intelligere quod Plato non communicavit, et quo intelligere non intellexit secundum quod intellectus intelligit ex phantasmatibus Socratis; et sic vitare voluit ne Socrate sciente aliquid oporteret illud scire Platonem, cum non oporteat intellectum intelligentem ut in hoc corpore et non sine huius corporis phantasmate in alio corpore intelligere ex phantasmatibus eiusdem corporis.“ (</w:t>
      </w:r>
      <w:r>
        <w:rPr>
          <w:i/>
          <w:noProof/>
        </w:rPr>
        <w:t>Quaestiones</w:t>
      </w:r>
      <w:r w:rsidRPr="00273106">
        <w:rPr>
          <w:i/>
          <w:noProof/>
        </w:rPr>
        <w:t xml:space="preserve"> super Librum de causis</w:t>
      </w:r>
      <w:r w:rsidRPr="00273106">
        <w:rPr>
          <w:noProof/>
        </w:rPr>
        <w:t>, q. 27, sol</w:t>
      </w:r>
      <w:r>
        <w:rPr>
          <w:noProof/>
        </w:rPr>
        <w:t>utio; ed. Marlasca, p. 112.136‒</w:t>
      </w:r>
      <w:r w:rsidRPr="00273106">
        <w:rPr>
          <w:noProof/>
        </w:rPr>
        <w:t>46</w:t>
      </w:r>
      <w:r>
        <w:rPr>
          <w:noProof/>
        </w:rPr>
        <w:fldChar w:fldCharType="begin"/>
      </w:r>
      <w:r>
        <w:instrText xml:space="preserve"> XE "</w:instrText>
      </w:r>
      <w:r>
        <w:rPr>
          <w:lang w:val="cs-CZ"/>
        </w:rPr>
        <w:instrText>Siger:</w:instrText>
      </w:r>
      <w:r>
        <w:rPr>
          <w:i/>
          <w:noProof/>
        </w:rPr>
        <w:instrText>Quaestiones</w:instrText>
      </w:r>
      <w:r w:rsidRPr="007B2140">
        <w:rPr>
          <w:i/>
          <w:noProof/>
        </w:rPr>
        <w:instrText xml:space="preserve"> super Librum de causis</w:instrText>
      </w:r>
      <w:r>
        <w:rPr>
          <w:i/>
          <w:noProof/>
          <w:lang w:val="cs-CZ"/>
        </w:rPr>
        <w:instrText xml:space="preserve"> </w:instrText>
      </w:r>
      <w:r>
        <w:rPr>
          <w:noProof/>
        </w:rPr>
        <w:instrText>112.136‒</w:instrText>
      </w:r>
      <w:r w:rsidRPr="007B2140">
        <w:rPr>
          <w:noProof/>
        </w:rPr>
        <w:instrText>46</w:instrText>
      </w:r>
      <w:r>
        <w:instrText xml:space="preserve">" </w:instrText>
      </w:r>
      <w:r>
        <w:rPr>
          <w:noProof/>
        </w:rPr>
        <w:fldChar w:fldCharType="end"/>
      </w:r>
      <w:r w:rsidRPr="00273106">
        <w:rPr>
          <w:noProof/>
        </w:rPr>
        <w:t>)</w:t>
      </w:r>
    </w:p>
  </w:footnote>
  <w:footnote w:id="275">
    <w:p w:rsidR="00971E82" w:rsidRPr="00AF1768" w:rsidRDefault="00971E82" w:rsidP="08163013">
      <w:pPr>
        <w:pStyle w:val="Textpoznpodarou"/>
        <w:rPr>
          <w:lang w:val="cs-CZ"/>
        </w:rPr>
      </w:pPr>
      <w:r>
        <w:rPr>
          <w:rStyle w:val="Znakapoznpodarou"/>
        </w:rPr>
        <w:footnoteRef/>
      </w:r>
      <w:r>
        <w:t xml:space="preserve"> </w:t>
      </w:r>
      <w:r w:rsidRPr="00273106">
        <w:rPr>
          <w:noProof/>
        </w:rPr>
        <w:t xml:space="preserve">„Sed ista positio in fide nostra est haeretica, et irrationalis etiam sic apparet. Intellectu enim existente forma corporis, sicut vult </w:t>
      </w:r>
      <w:r>
        <w:rPr>
          <w:noProof/>
        </w:rPr>
        <w:t>Aristotel</w:t>
      </w:r>
      <w:r>
        <w:rPr>
          <w:noProof/>
          <w:lang w:val="cs-CZ"/>
        </w:rPr>
        <w:t>e</w:t>
      </w:r>
      <w:r w:rsidRPr="00273106">
        <w:rPr>
          <w:noProof/>
        </w:rPr>
        <w:t>s universaliter de anima, satis planum est qualiter oportet intellectum numerari et multiplicari multiplicatione humanorum corporum; sed qualitercumque hoc quis ponat, apparet intellectum non posse unum esse numero hominum omnium.“ (</w:t>
      </w:r>
      <w:r>
        <w:rPr>
          <w:i/>
          <w:noProof/>
        </w:rPr>
        <w:t>Quaestiones</w:t>
      </w:r>
      <w:r w:rsidRPr="00273106">
        <w:rPr>
          <w:i/>
          <w:noProof/>
        </w:rPr>
        <w:t xml:space="preserve"> super Librum de causis</w:t>
      </w:r>
      <w:r w:rsidRPr="00273106">
        <w:rPr>
          <w:noProof/>
        </w:rPr>
        <w:t xml:space="preserve">, </w:t>
      </w:r>
      <w:r>
        <w:rPr>
          <w:noProof/>
        </w:rPr>
        <w:t>q. 27, solutio; ed. Marlasca, p. 112.147‒</w:t>
      </w:r>
      <w:r w:rsidRPr="00273106">
        <w:rPr>
          <w:noProof/>
        </w:rPr>
        <w:t>52</w:t>
      </w:r>
      <w:r>
        <w:rPr>
          <w:noProof/>
        </w:rPr>
        <w:fldChar w:fldCharType="begin"/>
      </w:r>
      <w:r>
        <w:instrText xml:space="preserve"> XE "</w:instrText>
      </w:r>
      <w:r>
        <w:rPr>
          <w:lang w:val="cs-CZ"/>
        </w:rPr>
        <w:instrText>Siger:</w:instrText>
      </w:r>
      <w:r>
        <w:rPr>
          <w:i/>
          <w:noProof/>
        </w:rPr>
        <w:instrText>Quaestiones</w:instrText>
      </w:r>
      <w:r w:rsidRPr="00B37B2A">
        <w:rPr>
          <w:i/>
          <w:noProof/>
        </w:rPr>
        <w:instrText xml:space="preserve"> super Librum de causis</w:instrText>
      </w:r>
      <w:r>
        <w:rPr>
          <w:noProof/>
        </w:rPr>
        <w:instrText xml:space="preserve"> 112.147‒</w:instrText>
      </w:r>
      <w:r w:rsidRPr="00B37B2A">
        <w:rPr>
          <w:noProof/>
        </w:rPr>
        <w:instrText>52</w:instrText>
      </w:r>
      <w:r>
        <w:instrText xml:space="preserve">" </w:instrText>
      </w:r>
      <w:r>
        <w:rPr>
          <w:noProof/>
        </w:rPr>
        <w:fldChar w:fldCharType="end"/>
      </w:r>
      <w:r w:rsidRPr="00273106">
        <w:rPr>
          <w:noProof/>
        </w:rPr>
        <w:t>)</w:t>
      </w:r>
    </w:p>
  </w:footnote>
  <w:footnote w:id="276">
    <w:p w:rsidR="00971E82" w:rsidRPr="087E35FE" w:rsidRDefault="00971E82" w:rsidP="08163013">
      <w:pPr>
        <w:pStyle w:val="Textpoznpodarou"/>
      </w:pPr>
      <w:r>
        <w:rPr>
          <w:rStyle w:val="Znakapoznpodarou"/>
        </w:rPr>
        <w:footnoteRef/>
      </w:r>
      <w:r>
        <w:t xml:space="preserve"> </w:t>
      </w:r>
      <w:r>
        <w:rPr>
          <w:lang w:val="cs-CZ"/>
        </w:rPr>
        <w:t>„</w:t>
      </w:r>
      <w:proofErr w:type="gramStart"/>
      <w:r>
        <w:t>Si</w:t>
      </w:r>
      <w:proofErr w:type="gramEnd"/>
      <w:r>
        <w:t xml:space="preserve"> l’homme pouvait n'être que machine, et avoir avec cela de la consciosité, il faudrait être de votre avis, monsieur; mais je tiens que ce cas n'est point possible au moins naturellement. Je ne voudrais point dire non plus que l’</w:t>
      </w:r>
      <w:r>
        <w:rPr>
          <w:i/>
          <w:iCs/>
        </w:rPr>
        <w:t>identité personnelle</w:t>
      </w:r>
      <w:r>
        <w:t xml:space="preserve"> et même le </w:t>
      </w:r>
      <w:r>
        <w:rPr>
          <w:i/>
          <w:iCs/>
        </w:rPr>
        <w:t>soi</w:t>
      </w:r>
      <w:r>
        <w:t xml:space="preserve"> ne demeurent point en nous et que je ne suis point ce </w:t>
      </w:r>
      <w:r>
        <w:rPr>
          <w:i/>
          <w:iCs/>
        </w:rPr>
        <w:t>moi</w:t>
      </w:r>
      <w:r>
        <w:t xml:space="preserve"> qui ai été dans le berceau, sous prétexte que je ne me souviens plus de rien de tout ce que j’ai fait alors.</w:t>
      </w:r>
      <w:r>
        <w:rPr>
          <w:lang w:val="cs-CZ"/>
        </w:rPr>
        <w:t xml:space="preserve">“ </w:t>
      </w:r>
      <w:r>
        <w:t>(</w:t>
      </w:r>
      <w:r w:rsidRPr="00346B24">
        <w:rPr>
          <w:bCs/>
          <w:i/>
          <w:iCs/>
        </w:rPr>
        <w:t>Nouveaux Essais sur l'entendement humain</w:t>
      </w:r>
      <w:r>
        <w:rPr>
          <w:bCs/>
          <w:i/>
          <w:iCs/>
        </w:rPr>
        <w:t xml:space="preserve"> </w:t>
      </w:r>
      <w:r>
        <w:rPr>
          <w:bCs/>
          <w:iCs/>
        </w:rPr>
        <w:t>1.27.</w:t>
      </w:r>
      <w:r w:rsidRPr="001E2FB7">
        <w:rPr>
          <w:bCs/>
          <w:iCs/>
        </w:rPr>
        <w:t>9</w:t>
      </w:r>
      <w:r>
        <w:rPr>
          <w:bCs/>
          <w:iCs/>
          <w:lang w:val="cs-CZ"/>
        </w:rPr>
        <w:t>, editio digitalis</w:t>
      </w:r>
      <w:r>
        <w:rPr>
          <w:bCs/>
          <w:iCs/>
        </w:rPr>
        <w:fldChar w:fldCharType="begin"/>
      </w:r>
      <w:r>
        <w:instrText xml:space="preserve"> XE "Leibniz:</w:instrText>
      </w:r>
      <w:r w:rsidRPr="00F36982">
        <w:rPr>
          <w:bCs/>
          <w:i/>
          <w:iCs/>
        </w:rPr>
        <w:instrText xml:space="preserve">Nouveaux Essais sur l'entendement humain </w:instrText>
      </w:r>
      <w:r>
        <w:rPr>
          <w:bCs/>
          <w:iCs/>
          <w:lang w:val="cs-CZ"/>
        </w:rPr>
        <w:instrText>1.</w:instrText>
      </w:r>
      <w:r w:rsidRPr="00F36982">
        <w:rPr>
          <w:bCs/>
          <w:iCs/>
        </w:rPr>
        <w:instrText>27.9</w:instrText>
      </w:r>
      <w:r>
        <w:instrText xml:space="preserve">" </w:instrText>
      </w:r>
      <w:r>
        <w:rPr>
          <w:bCs/>
          <w:iCs/>
        </w:rPr>
        <w:fldChar w:fldCharType="end"/>
      </w:r>
      <w:r w:rsidRPr="001E2FB7">
        <w:t>)</w:t>
      </w:r>
    </w:p>
  </w:footnote>
  <w:footnote w:id="277">
    <w:p w:rsidR="00971E82" w:rsidRPr="00847F17" w:rsidRDefault="00971E82" w:rsidP="08163013">
      <w:pPr>
        <w:pStyle w:val="Textpoznpodarou"/>
        <w:rPr>
          <w:lang w:val="cs-CZ"/>
        </w:rPr>
      </w:pPr>
      <w:r>
        <w:rPr>
          <w:rStyle w:val="Znakapoznpodarou"/>
        </w:rPr>
        <w:footnoteRef/>
      </w:r>
      <w:r>
        <w:t xml:space="preserve"> </w:t>
      </w:r>
      <w:r>
        <w:rPr>
          <w:lang w:val="cs-CZ"/>
        </w:rPr>
        <w:t>„</w:t>
      </w:r>
      <w:r>
        <w:t>The other way of retention is, the power to revive again in our minds those ideas which, after imprinting, have disappeared, or have been as it were laid aside out of sight. And thus we do, when we conceive heat or light, yellow or sweet — the object being removed. This is memory, which is as it were the storehouse of our ideas.</w:t>
      </w:r>
      <w:r>
        <w:rPr>
          <w:lang w:val="cs-CZ"/>
        </w:rPr>
        <w:t>“ (</w:t>
      </w:r>
      <w:r w:rsidRPr="00110C9A">
        <w:rPr>
          <w:rStyle w:val="st"/>
          <w:i/>
        </w:rPr>
        <w:t xml:space="preserve">An </w:t>
      </w:r>
      <w:r w:rsidRPr="00110C9A">
        <w:rPr>
          <w:rStyle w:val="st"/>
          <w:bCs/>
          <w:i/>
        </w:rPr>
        <w:t>Essay</w:t>
      </w:r>
      <w:r w:rsidRPr="00110C9A">
        <w:rPr>
          <w:rStyle w:val="st"/>
          <w:i/>
        </w:rPr>
        <w:t xml:space="preserve"> Concerning </w:t>
      </w:r>
      <w:r w:rsidRPr="00110C9A">
        <w:rPr>
          <w:rStyle w:val="st"/>
          <w:bCs/>
          <w:i/>
        </w:rPr>
        <w:t>Human Understanding</w:t>
      </w:r>
      <w:r>
        <w:t xml:space="preserve"> </w:t>
      </w:r>
      <w:r>
        <w:rPr>
          <w:lang w:val="cs-CZ"/>
        </w:rPr>
        <w:t>2</w:t>
      </w:r>
      <w:r>
        <w:t>.10.2</w:t>
      </w:r>
      <w:r>
        <w:rPr>
          <w:lang w:val="cs-CZ"/>
        </w:rPr>
        <w:t xml:space="preserve">; ed. </w:t>
      </w:r>
      <w:r w:rsidRPr="004F2888">
        <w:rPr>
          <w:rStyle w:val="CittHTML"/>
          <w:i w:val="0"/>
          <w:iCs w:val="0"/>
        </w:rPr>
        <w:t>Nidditch</w:t>
      </w:r>
      <w:r>
        <w:rPr>
          <w:rStyle w:val="CittHTML"/>
          <w:i w:val="0"/>
          <w:iCs w:val="0"/>
          <w:lang w:val="cs-CZ"/>
        </w:rPr>
        <w:t xml:space="preserve"> </w:t>
      </w:r>
      <w:r>
        <w:rPr>
          <w:rStyle w:val="CittHTML"/>
          <w:rFonts w:cs="Calibri"/>
          <w:i w:val="0"/>
          <w:iCs w:val="0"/>
          <w:lang w:val="cs-CZ"/>
        </w:rPr>
        <w:t xml:space="preserve">&amp; </w:t>
      </w:r>
      <w:r>
        <w:rPr>
          <w:rStyle w:val="CittHTML"/>
          <w:i w:val="0"/>
          <w:iCs w:val="0"/>
        </w:rPr>
        <w:t>Yolton</w:t>
      </w:r>
      <w:r>
        <w:rPr>
          <w:rStyle w:val="CittHTML"/>
          <w:i w:val="0"/>
          <w:iCs w:val="0"/>
          <w:lang w:val="cs-CZ"/>
        </w:rPr>
        <w:t>, p. 150</w:t>
      </w:r>
      <w:r>
        <w:rPr>
          <w:lang w:val="cs-CZ"/>
        </w:rPr>
        <w:t>)</w:t>
      </w:r>
      <w:r>
        <w:fldChar w:fldCharType="begin"/>
      </w:r>
      <w:r>
        <w:instrText xml:space="preserve"> XE "</w:instrText>
      </w:r>
      <w:r>
        <w:rPr>
          <w:lang w:val="cs-CZ"/>
        </w:rPr>
        <w:instrText>Locke:</w:instrText>
      </w:r>
      <w:r w:rsidRPr="00756A7B">
        <w:rPr>
          <w:rStyle w:val="st"/>
          <w:i/>
        </w:rPr>
        <w:instrText xml:space="preserve">An </w:instrText>
      </w:r>
      <w:r w:rsidRPr="00756A7B">
        <w:rPr>
          <w:rStyle w:val="st"/>
          <w:bCs/>
          <w:i/>
        </w:rPr>
        <w:instrText>Essay</w:instrText>
      </w:r>
      <w:r w:rsidRPr="00756A7B">
        <w:rPr>
          <w:rStyle w:val="st"/>
          <w:i/>
        </w:rPr>
        <w:instrText xml:space="preserve"> Concerning </w:instrText>
      </w:r>
      <w:r w:rsidRPr="00756A7B">
        <w:rPr>
          <w:rStyle w:val="st"/>
          <w:bCs/>
          <w:i/>
        </w:rPr>
        <w:instrText>Human Understanding</w:instrText>
      </w:r>
      <w:r>
        <w:instrText xml:space="preserve"> </w:instrText>
      </w:r>
      <w:r>
        <w:rPr>
          <w:lang w:val="cs-CZ"/>
        </w:rPr>
        <w:instrText>150</w:instrText>
      </w:r>
      <w:r>
        <w:instrText xml:space="preserve">" </w:instrText>
      </w:r>
      <w:r>
        <w:fldChar w:fldCharType="end"/>
      </w:r>
    </w:p>
  </w:footnote>
  <w:footnote w:id="278">
    <w:p w:rsidR="00971E82" w:rsidRPr="08A50042" w:rsidRDefault="00971E82" w:rsidP="081E102D">
      <w:pPr>
        <w:pStyle w:val="Textpoznpodarou"/>
        <w:rPr>
          <w:lang w:val="cs-CZ"/>
        </w:rPr>
      </w:pPr>
      <w:r>
        <w:rPr>
          <w:rStyle w:val="Znakapoznpodarou"/>
        </w:rPr>
        <w:footnoteRef/>
      </w:r>
      <w:r>
        <w:t xml:space="preserve"> </w:t>
      </w:r>
      <w:r>
        <w:rPr>
          <w:lang w:val="cs-CZ"/>
        </w:rPr>
        <w:t xml:space="preserve">Žoldnéř, který vypálil vesnici a její obyvatele se odmítl vyzpovídat a přijmout trest. Podle nauky o numericky jednotném intelektu pro všechny lidi totiž jeho činy promyslel a vedl svatý Petr. Žoldnéř se žhářstvím a vraždami tudíž neměl nic společného a nemusel se jít zpovídat. Podobné absurdity odmítla celá škola prvního averroismu, viz </w:t>
      </w:r>
      <w:r w:rsidRPr="087F5088">
        <w:rPr>
          <w:i/>
          <w:lang w:val="cs-CZ"/>
        </w:rPr>
        <w:t>Quaestiones de anima</w:t>
      </w:r>
      <w:r>
        <w:rPr>
          <w:lang w:val="cs-CZ"/>
        </w:rPr>
        <w:t xml:space="preserve"> III, q. 21, ed. Bazán, p. 511.45‒51</w:t>
      </w:r>
      <w:r>
        <w:fldChar w:fldCharType="begin"/>
      </w:r>
      <w:r>
        <w:instrText xml:space="preserve"> XE "</w:instrText>
      </w:r>
      <w:r w:rsidRPr="00076C06">
        <w:rPr>
          <w:i/>
        </w:rPr>
        <w:instrText>Anonym Bazán</w:instrText>
      </w:r>
      <w:r>
        <w:instrText xml:space="preserve"> </w:instrText>
      </w:r>
      <w:r>
        <w:rPr>
          <w:lang w:val="cs-CZ"/>
        </w:rPr>
        <w:instrText>511</w:instrText>
      </w:r>
      <w:r>
        <w:instrText>.</w:instrText>
      </w:r>
      <w:r>
        <w:rPr>
          <w:lang w:val="cs-CZ"/>
        </w:rPr>
        <w:instrText>45</w:instrText>
      </w:r>
      <w:r>
        <w:instrText>‒5</w:instrText>
      </w:r>
      <w:r>
        <w:rPr>
          <w:lang w:val="cs-CZ"/>
        </w:rPr>
        <w:instrText>1</w:instrText>
      </w:r>
      <w:r>
        <w:instrText xml:space="preserve">" </w:instrText>
      </w:r>
      <w:r>
        <w:fldChar w:fldCharType="end"/>
      </w:r>
      <w:r>
        <w:rPr>
          <w:lang w:val="cs-CZ"/>
        </w:rPr>
        <w:t xml:space="preserve">. To byl hlavní pastorační důvod vydání Tempierova dekretu z roku 1277. </w:t>
      </w:r>
    </w:p>
  </w:footnote>
  <w:footnote w:id="279">
    <w:p w:rsidR="00971E82" w:rsidRPr="08C621CB" w:rsidRDefault="00971E82" w:rsidP="08163013">
      <w:pPr>
        <w:pStyle w:val="Textpoznpodarou"/>
        <w:rPr>
          <w:lang w:val="cs-CZ"/>
        </w:rPr>
      </w:pPr>
      <w:r>
        <w:rPr>
          <w:rStyle w:val="Znakapoznpodarou"/>
        </w:rPr>
        <w:footnoteRef/>
      </w:r>
      <w:r>
        <w:t xml:space="preserve"> </w:t>
      </w:r>
      <w:r>
        <w:rPr>
          <w:lang w:val="cs-CZ"/>
        </w:rPr>
        <w:t>„</w:t>
      </w:r>
      <w:r>
        <w:rPr>
          <w:color w:val="000000"/>
          <w:lang w:val="la"/>
        </w:rPr>
        <w:t xml:space="preserve">Episcopo </w:t>
      </w:r>
      <w:proofErr w:type="gramStart"/>
      <w:r>
        <w:rPr>
          <w:color w:val="000000"/>
          <w:lang w:val="la"/>
        </w:rPr>
        <w:t xml:space="preserve">Parisiensi. </w:t>
      </w:r>
      <w:r>
        <w:rPr>
          <w:color w:val="000000"/>
          <w:lang w:val="cs-CZ"/>
        </w:rPr>
        <w:t>... quod</w:t>
      </w:r>
      <w:proofErr w:type="gramEnd"/>
      <w:r>
        <w:rPr>
          <w:color w:val="000000"/>
          <w:lang w:val="cs-CZ"/>
        </w:rPr>
        <w:t xml:space="preserve"> </w:t>
      </w:r>
      <w:r>
        <w:rPr>
          <w:color w:val="000000"/>
          <w:lang w:val="la"/>
        </w:rPr>
        <w:t>Parisius</w:t>
      </w:r>
      <w:r>
        <w:rPr>
          <w:color w:val="000000"/>
          <w:lang w:val="cs-CZ"/>
        </w:rPr>
        <w:t>...</w:t>
      </w:r>
      <w:r>
        <w:rPr>
          <w:color w:val="000000"/>
          <w:lang w:val="la"/>
        </w:rPr>
        <w:t>quidam errores in projudicium ejusdem fidei de novo pullulasse dicuntur. Volumus itaque tibique auctoritate presentium districte precipiendo mandamus quatinus diligenter facias inspici vel inquiri, a quibus personis et in quibus locis errores hujusmodi dicti sunt sive scripti, et que didiceris sive inveneris, conscripta fideliter nobis per tuum nuntium transmittere quamcitius non omittas.</w:t>
      </w:r>
      <w:r>
        <w:rPr>
          <w:color w:val="000000"/>
          <w:lang w:val="cs-CZ"/>
        </w:rPr>
        <w:t xml:space="preserve">“ </w:t>
      </w:r>
      <w:r>
        <w:rPr>
          <w:lang w:val="cs-CZ"/>
        </w:rPr>
        <w:t>(</w:t>
      </w:r>
      <w:r>
        <w:rPr>
          <w:i/>
          <w:iCs/>
        </w:rPr>
        <w:t>Chartular</w:t>
      </w:r>
      <w:r w:rsidRPr="00273106">
        <w:rPr>
          <w:i/>
          <w:iCs/>
        </w:rPr>
        <w:t>ium</w:t>
      </w:r>
      <w:r>
        <w:rPr>
          <w:i/>
          <w:iCs/>
          <w:lang w:val="cs-CZ"/>
        </w:rPr>
        <w:t xml:space="preserve"> I,</w:t>
      </w:r>
      <w:r>
        <w:rPr>
          <w:i/>
          <w:iCs/>
        </w:rPr>
        <w:t xml:space="preserve"> </w:t>
      </w:r>
      <w:r>
        <w:rPr>
          <w:iCs/>
          <w:lang w:val="cs-CZ"/>
        </w:rPr>
        <w:t>n</w:t>
      </w:r>
      <w:r>
        <w:rPr>
          <w:iCs/>
        </w:rPr>
        <w:t xml:space="preserve">o. </w:t>
      </w:r>
      <w:r>
        <w:t>47</w:t>
      </w:r>
      <w:r>
        <w:rPr>
          <w:lang w:val="cs-CZ"/>
        </w:rPr>
        <w:t>1</w:t>
      </w:r>
      <w:r w:rsidRPr="00273106">
        <w:t>, p. 54</w:t>
      </w:r>
      <w:r>
        <w:rPr>
          <w:lang w:val="cs-CZ"/>
        </w:rPr>
        <w:t>1</w:t>
      </w:r>
      <w:r>
        <w:fldChar w:fldCharType="begin"/>
      </w:r>
      <w:r>
        <w:instrText xml:space="preserve"> XE "</w:instrText>
      </w:r>
      <w:r>
        <w:rPr>
          <w:i/>
          <w:iCs/>
        </w:rPr>
        <w:instrText>Chartular</w:instrText>
      </w:r>
      <w:r w:rsidRPr="001D6555">
        <w:rPr>
          <w:i/>
          <w:iCs/>
        </w:rPr>
        <w:instrText>ium</w:instrText>
      </w:r>
      <w:r>
        <w:rPr>
          <w:i/>
          <w:iCs/>
          <w:lang w:val="cs-CZ"/>
        </w:rPr>
        <w:instrText xml:space="preserve"> I, </w:instrText>
      </w:r>
      <w:r>
        <w:rPr>
          <w:iCs/>
          <w:lang w:val="cs-CZ"/>
        </w:rPr>
        <w:instrText>n</w:instrText>
      </w:r>
      <w:r>
        <w:rPr>
          <w:iCs/>
        </w:rPr>
        <w:instrText xml:space="preserve">o. </w:instrText>
      </w:r>
      <w:r>
        <w:instrText>47</w:instrText>
      </w:r>
      <w:r>
        <w:rPr>
          <w:lang w:val="cs-CZ"/>
        </w:rPr>
        <w:instrText>1</w:instrText>
      </w:r>
      <w:r>
        <w:instrText>, p. 54</w:instrText>
      </w:r>
      <w:r>
        <w:rPr>
          <w:lang w:val="cs-CZ"/>
        </w:rPr>
        <w:instrText>1</w:instrText>
      </w:r>
      <w:r>
        <w:instrText xml:space="preserve">" </w:instrText>
      </w:r>
      <w:r>
        <w:fldChar w:fldCharType="end"/>
      </w:r>
      <w:r w:rsidRPr="00273106">
        <w:t>)</w:t>
      </w:r>
      <w:r>
        <w:rPr>
          <w:color w:val="000000"/>
          <w:lang w:val="cs-CZ"/>
        </w:rPr>
        <w:t xml:space="preserve"> </w:t>
      </w:r>
    </w:p>
  </w:footnote>
  <w:footnote w:id="280">
    <w:p w:rsidR="00971E82" w:rsidRPr="08CE7566" w:rsidRDefault="00971E82" w:rsidP="08163013">
      <w:pPr>
        <w:pStyle w:val="Textpoznpodarou"/>
        <w:rPr>
          <w:lang w:val="cs-CZ"/>
        </w:rPr>
      </w:pPr>
      <w:r>
        <w:rPr>
          <w:rStyle w:val="Znakapoznpodarou"/>
        </w:rPr>
        <w:footnoteRef/>
      </w:r>
      <w:r>
        <w:t xml:space="preserve"> </w:t>
      </w:r>
      <w:r>
        <w:rPr>
          <w:lang w:val="cs-CZ"/>
        </w:rPr>
        <w:t xml:space="preserve">„Magnarum et gravium personarum crebra zeloque </w:t>
      </w:r>
      <w:r w:rsidRPr="08CE7566">
        <w:rPr>
          <w:lang w:val="cs-CZ"/>
        </w:rPr>
        <w:t>fidei accensa insinuavit relatio, quod nonnulli Parisius</w:t>
      </w:r>
      <w:r>
        <w:rPr>
          <w:lang w:val="cs-CZ"/>
        </w:rPr>
        <w:t xml:space="preserve"> studentes in artibus proprie facultatis limites excedentes quosdam manifestos et execrabiles errores, immo potius van</w:t>
      </w:r>
      <w:r w:rsidRPr="08CE7566">
        <w:rPr>
          <w:lang w:val="cs-CZ"/>
        </w:rPr>
        <w:t>itates et insanias falsas in ro</w:t>
      </w:r>
      <w:r>
        <w:rPr>
          <w:lang w:val="cs-CZ"/>
        </w:rPr>
        <w:t>tuIo seu cedu</w:t>
      </w:r>
      <w:r w:rsidRPr="08CE7566">
        <w:rPr>
          <w:lang w:val="cs-CZ"/>
        </w:rPr>
        <w:t>lis, presentibus hiis</w:t>
      </w:r>
      <w:r>
        <w:rPr>
          <w:lang w:val="cs-CZ"/>
        </w:rPr>
        <w:t xml:space="preserve"> annexo seu annexis contentos quasi du</w:t>
      </w:r>
      <w:r w:rsidRPr="08CE7566">
        <w:rPr>
          <w:lang w:val="cs-CZ"/>
        </w:rPr>
        <w:t>bi</w:t>
      </w:r>
      <w:r>
        <w:rPr>
          <w:lang w:val="cs-CZ"/>
        </w:rPr>
        <w:t>ta</w:t>
      </w:r>
      <w:r w:rsidRPr="08CE7566">
        <w:rPr>
          <w:lang w:val="cs-CZ"/>
        </w:rPr>
        <w:t xml:space="preserve">biles in </w:t>
      </w:r>
      <w:r>
        <w:rPr>
          <w:lang w:val="cs-CZ"/>
        </w:rPr>
        <w:t xml:space="preserve">scolis tractare et disputare </w:t>
      </w:r>
      <w:proofErr w:type="gramStart"/>
      <w:r>
        <w:rPr>
          <w:lang w:val="cs-CZ"/>
        </w:rPr>
        <w:t>pre</w:t>
      </w:r>
      <w:r w:rsidRPr="08CE7566">
        <w:rPr>
          <w:lang w:val="cs-CZ"/>
        </w:rPr>
        <w:t>sumunt...</w:t>
      </w:r>
      <w:r>
        <w:rPr>
          <w:lang w:val="cs-CZ"/>
        </w:rPr>
        <w:t>“</w:t>
      </w:r>
      <w:proofErr w:type="gramEnd"/>
      <w:r>
        <w:rPr>
          <w:lang w:val="cs-CZ"/>
        </w:rPr>
        <w:t xml:space="preserve"> (</w:t>
      </w:r>
      <w:r>
        <w:rPr>
          <w:i/>
          <w:iCs/>
        </w:rPr>
        <w:t>Chartular</w:t>
      </w:r>
      <w:r w:rsidRPr="00273106">
        <w:rPr>
          <w:i/>
          <w:iCs/>
        </w:rPr>
        <w:t>ium</w:t>
      </w:r>
      <w:r>
        <w:rPr>
          <w:i/>
          <w:iCs/>
          <w:lang w:val="cs-CZ"/>
        </w:rPr>
        <w:t xml:space="preserve"> I,</w:t>
      </w:r>
      <w:r>
        <w:rPr>
          <w:i/>
          <w:iCs/>
        </w:rPr>
        <w:t xml:space="preserve"> </w:t>
      </w:r>
      <w:r>
        <w:rPr>
          <w:iCs/>
          <w:lang w:val="cs-CZ"/>
        </w:rPr>
        <w:t>n</w:t>
      </w:r>
      <w:r>
        <w:rPr>
          <w:iCs/>
        </w:rPr>
        <w:t xml:space="preserve">o. </w:t>
      </w:r>
      <w:r>
        <w:t>47</w:t>
      </w:r>
      <w:r>
        <w:rPr>
          <w:lang w:val="cs-CZ"/>
        </w:rPr>
        <w:t>2</w:t>
      </w:r>
      <w:r>
        <w:t>, p. 54</w:t>
      </w:r>
      <w:r>
        <w:rPr>
          <w:lang w:val="cs-CZ"/>
        </w:rPr>
        <w:t>2</w:t>
      </w:r>
      <w:r>
        <w:fldChar w:fldCharType="begin"/>
      </w:r>
      <w:r>
        <w:instrText xml:space="preserve"> XE "</w:instrText>
      </w:r>
      <w:r>
        <w:rPr>
          <w:i/>
          <w:iCs/>
        </w:rPr>
        <w:instrText>Chartular</w:instrText>
      </w:r>
      <w:r w:rsidRPr="001D6555">
        <w:rPr>
          <w:i/>
          <w:iCs/>
        </w:rPr>
        <w:instrText>ium</w:instrText>
      </w:r>
      <w:r>
        <w:rPr>
          <w:i/>
          <w:iCs/>
          <w:lang w:val="cs-CZ"/>
        </w:rPr>
        <w:instrText xml:space="preserve"> I, </w:instrText>
      </w:r>
      <w:r>
        <w:rPr>
          <w:iCs/>
          <w:lang w:val="cs-CZ"/>
        </w:rPr>
        <w:instrText>n</w:instrText>
      </w:r>
      <w:r>
        <w:rPr>
          <w:iCs/>
        </w:rPr>
        <w:instrText xml:space="preserve">o. </w:instrText>
      </w:r>
      <w:r>
        <w:instrText>47</w:instrText>
      </w:r>
      <w:r>
        <w:rPr>
          <w:lang w:val="cs-CZ"/>
        </w:rPr>
        <w:instrText>2</w:instrText>
      </w:r>
      <w:r>
        <w:instrText>, p. 54</w:instrText>
      </w:r>
      <w:r>
        <w:rPr>
          <w:lang w:val="cs-CZ"/>
        </w:rPr>
        <w:instrText>2</w:instrText>
      </w:r>
      <w:r>
        <w:instrText xml:space="preserve">" </w:instrText>
      </w:r>
      <w:r>
        <w:fldChar w:fldCharType="end"/>
      </w:r>
      <w:r w:rsidRPr="00273106">
        <w:t>)</w:t>
      </w:r>
    </w:p>
  </w:footnote>
  <w:footnote w:id="281">
    <w:p w:rsidR="00971E82" w:rsidRPr="005A5A67" w:rsidRDefault="00971E82" w:rsidP="08163013">
      <w:pPr>
        <w:pStyle w:val="Textpoznpodarou"/>
      </w:pPr>
      <w:r>
        <w:rPr>
          <w:rStyle w:val="Znakapoznpodarou"/>
        </w:rPr>
        <w:footnoteRef/>
      </w:r>
      <w:r>
        <w:t xml:space="preserve"> „</w:t>
      </w:r>
      <w:r w:rsidRPr="00221853">
        <w:t xml:space="preserve">Ipsa enim natura humana in intellectu habet esse abstractum ab omnibus indiuiduantibus; et ideo habet rationem uniformem ad omnia indiuidua que sunt extra animam, prout equaliter est similitudo omnium et ducens in omnium cognitionem in quantum sunt homines. Et ex hoc quod talem relationem habet </w:t>
      </w:r>
      <w:r>
        <w:t>[</w:t>
      </w:r>
      <w:r w:rsidRPr="00221853">
        <w:t>natura humana in intellectu</w:t>
      </w:r>
      <w:r>
        <w:t>]</w:t>
      </w:r>
      <w:r>
        <w:rPr>
          <w:lang w:val="cs-CZ"/>
        </w:rPr>
        <w:t xml:space="preserve"> </w:t>
      </w:r>
      <w:r w:rsidRPr="00221853">
        <w:t>ad omnia indiuidua, intellectus adinuenit rationem speciei et attribuit sibi; unde dicit Commenta</w:t>
      </w:r>
      <w:r>
        <w:t>tor in principio De anima quod '</w:t>
      </w:r>
      <w:r w:rsidRPr="00221853">
        <w:t>intellectus est qu</w:t>
      </w:r>
      <w:r>
        <w:t>i agit in rebus uniuersalitatem'</w:t>
      </w:r>
      <w:r w:rsidRPr="00221853">
        <w:t>; hoc etiam Auicenna dicit in sua Methaphisica.</w:t>
      </w:r>
      <w:r>
        <w:t>“</w:t>
      </w:r>
      <w:r>
        <w:rPr>
          <w:lang w:val="cs-CZ"/>
        </w:rPr>
        <w:t xml:space="preserve"> (</w:t>
      </w:r>
      <w:r w:rsidRPr="00221853">
        <w:rPr>
          <w:i/>
          <w:lang w:val="cs-CZ"/>
        </w:rPr>
        <w:t>De ente et essentia</w:t>
      </w:r>
      <w:r>
        <w:rPr>
          <w:lang w:val="cs-CZ"/>
        </w:rPr>
        <w:t>, cap. 3; Leonina 43, 375.90‒102</w:t>
      </w:r>
      <w:r>
        <w:rPr>
          <w:lang w:val="cs-CZ"/>
        </w:rPr>
        <w:fldChar w:fldCharType="begin"/>
      </w:r>
      <w:r>
        <w:instrText xml:space="preserve"> XE "</w:instrText>
      </w:r>
      <w:r>
        <w:rPr>
          <w:lang w:val="cs-CZ"/>
        </w:rPr>
        <w:instrText>Akvinský:</w:instrText>
      </w:r>
      <w:r w:rsidRPr="0016351A">
        <w:rPr>
          <w:i/>
          <w:lang w:val="cs-CZ"/>
        </w:rPr>
        <w:instrText>De ente et essentia</w:instrText>
      </w:r>
      <w:r>
        <w:rPr>
          <w:i/>
          <w:lang w:val="cs-CZ"/>
        </w:rPr>
        <w:instrText xml:space="preserve"> </w:instrText>
      </w:r>
      <w:r w:rsidRPr="0016351A">
        <w:rPr>
          <w:lang w:val="cs-CZ"/>
        </w:rPr>
        <w:instrText>37</w:instrText>
      </w:r>
      <w:r>
        <w:rPr>
          <w:lang w:val="cs-CZ"/>
        </w:rPr>
        <w:instrText>5</w:instrText>
      </w:r>
      <w:r w:rsidRPr="0016351A">
        <w:rPr>
          <w:lang w:val="cs-CZ"/>
        </w:rPr>
        <w:instrText>.</w:instrText>
      </w:r>
      <w:r>
        <w:rPr>
          <w:lang w:val="cs-CZ"/>
        </w:rPr>
        <w:instrText>90</w:instrText>
      </w:r>
      <w:r w:rsidRPr="0016351A">
        <w:rPr>
          <w:lang w:val="cs-CZ"/>
        </w:rPr>
        <w:instrText>‒1</w:instrText>
      </w:r>
      <w:r>
        <w:rPr>
          <w:lang w:val="cs-CZ"/>
        </w:rPr>
        <w:instrText>02</w:instrText>
      </w:r>
      <w:r>
        <w:instrText xml:space="preserve">" </w:instrText>
      </w:r>
      <w:r>
        <w:rPr>
          <w:lang w:val="cs-CZ"/>
        </w:rPr>
        <w:fldChar w:fldCharType="end"/>
      </w:r>
      <w:r>
        <w:rPr>
          <w:lang w:val="cs-CZ"/>
        </w:rPr>
        <w:t>)</w:t>
      </w:r>
    </w:p>
  </w:footnote>
  <w:footnote w:id="282">
    <w:p w:rsidR="00971E82" w:rsidRPr="08636106" w:rsidRDefault="00971E82" w:rsidP="08163013">
      <w:pPr>
        <w:pStyle w:val="Textpoznpodarou"/>
        <w:rPr>
          <w:lang w:val="cs-CZ"/>
        </w:rPr>
      </w:pPr>
      <w:r>
        <w:rPr>
          <w:rStyle w:val="Znakapoznpodarou"/>
        </w:rPr>
        <w:footnoteRef/>
      </w:r>
      <w:r>
        <w:rPr>
          <w:lang w:val="cs-CZ"/>
        </w:rPr>
        <w:t xml:space="preserve"> </w:t>
      </w:r>
      <w:r>
        <w:rPr>
          <w:lang w:eastAsia="en-US"/>
        </w:rPr>
        <w:t>Citovaná pasáž je důležitá pro vývoj Tomášov</w:t>
      </w:r>
      <w:r>
        <w:rPr>
          <w:lang w:val="cs-CZ" w:eastAsia="en-US"/>
        </w:rPr>
        <w:t>a pojetí poznání a signifikace</w:t>
      </w:r>
      <w:r>
        <w:rPr>
          <w:lang w:val="cs-CZ"/>
        </w:rPr>
        <w:t>: „...n</w:t>
      </w:r>
      <w:r>
        <w:t>on sicut partem significationis nominis, quia subjectum non includitur in significatione nominis significantis accidens concretive, ut dicit Commentator</w:t>
      </w:r>
      <w:r>
        <w:rPr>
          <w:lang w:val="cs-CZ"/>
        </w:rPr>
        <w:t xml:space="preserve">, V </w:t>
      </w:r>
      <w:r w:rsidRPr="08636106">
        <w:rPr>
          <w:i/>
          <w:lang w:val="cs-CZ"/>
        </w:rPr>
        <w:t>Metaph</w:t>
      </w:r>
      <w:r>
        <w:rPr>
          <w:lang w:val="cs-CZ"/>
        </w:rPr>
        <w:t>., text 14.</w:t>
      </w:r>
      <w:r>
        <w:t>, quamvis Avicenna</w:t>
      </w:r>
      <w:r>
        <w:rPr>
          <w:lang w:val="cs-CZ"/>
        </w:rPr>
        <w:t xml:space="preserve">, VI </w:t>
      </w:r>
      <w:r w:rsidRPr="08636106">
        <w:rPr>
          <w:i/>
          <w:lang w:val="cs-CZ"/>
        </w:rPr>
        <w:t>Natural</w:t>
      </w:r>
      <w:r>
        <w:rPr>
          <w:lang w:val="cs-CZ"/>
        </w:rPr>
        <w:t>.</w:t>
      </w:r>
      <w:r>
        <w:t xml:space="preserve">, </w:t>
      </w:r>
      <w:r>
        <w:rPr>
          <w:lang w:val="cs-CZ"/>
        </w:rPr>
        <w:t xml:space="preserve">part I, cap. II, </w:t>
      </w:r>
      <w:r>
        <w:t>contrarium senserit</w:t>
      </w:r>
      <w:r>
        <w:rPr>
          <w:lang w:val="cs-CZ"/>
        </w:rPr>
        <w:t>.“ (</w:t>
      </w:r>
      <w:bookmarkStart w:id="47" w:name="1428"/>
      <w:r w:rsidRPr="08636106">
        <w:rPr>
          <w:rStyle w:val="ref"/>
          <w:rFonts w:eastAsia="Times"/>
          <w:i/>
        </w:rPr>
        <w:t>Super Se</w:t>
      </w:r>
      <w:r>
        <w:rPr>
          <w:rStyle w:val="ref"/>
          <w:rFonts w:eastAsia="Times"/>
          <w:i/>
        </w:rPr>
        <w:t>nt</w:t>
      </w:r>
      <w:r>
        <w:rPr>
          <w:rStyle w:val="ref"/>
          <w:rFonts w:eastAsia="Times"/>
          <w:i/>
          <w:lang w:val="cs-CZ"/>
        </w:rPr>
        <w:t xml:space="preserve">., </w:t>
      </w:r>
      <w:r>
        <w:rPr>
          <w:rStyle w:val="ref"/>
          <w:rFonts w:eastAsia="Times"/>
          <w:lang w:val="cs-CZ"/>
        </w:rPr>
        <w:t xml:space="preserve">lib. 1, </w:t>
      </w:r>
      <w:r>
        <w:rPr>
          <w:rStyle w:val="ref"/>
          <w:rFonts w:eastAsia="Times"/>
        </w:rPr>
        <w:t>d. 18</w:t>
      </w:r>
      <w:r>
        <w:rPr>
          <w:rStyle w:val="ref"/>
          <w:rFonts w:eastAsia="Times"/>
          <w:lang w:val="cs-CZ"/>
        </w:rPr>
        <w:t>,</w:t>
      </w:r>
      <w:r>
        <w:rPr>
          <w:rStyle w:val="ref"/>
          <w:rFonts w:eastAsia="Times"/>
        </w:rPr>
        <w:t xml:space="preserve"> q. 1</w:t>
      </w:r>
      <w:r>
        <w:rPr>
          <w:rStyle w:val="ref"/>
          <w:rFonts w:eastAsia="Times"/>
          <w:lang w:val="cs-CZ"/>
        </w:rPr>
        <w:t>,</w:t>
      </w:r>
      <w:r>
        <w:rPr>
          <w:rStyle w:val="ref"/>
          <w:rFonts w:eastAsia="Times"/>
        </w:rPr>
        <w:t xml:space="preserve"> a. 2</w:t>
      </w:r>
      <w:r>
        <w:rPr>
          <w:rStyle w:val="ref"/>
          <w:rFonts w:eastAsia="Times"/>
          <w:lang w:val="cs-CZ"/>
        </w:rPr>
        <w:t>,</w:t>
      </w:r>
      <w:r>
        <w:rPr>
          <w:rStyle w:val="ref"/>
          <w:rFonts w:eastAsia="Times"/>
        </w:rPr>
        <w:t xml:space="preserve"> ad 3</w:t>
      </w:r>
      <w:bookmarkEnd w:id="47"/>
      <w:r>
        <w:rPr>
          <w:rStyle w:val="ref"/>
          <w:rFonts w:eastAsia="Times"/>
          <w:lang w:val="cs-CZ"/>
        </w:rPr>
        <w:t>; ed. Mandonnet, p. 440</w:t>
      </w:r>
      <w:r>
        <w:rPr>
          <w:lang w:val="cs-CZ"/>
        </w:rPr>
        <w:fldChar w:fldCharType="begin"/>
      </w:r>
      <w:r>
        <w:instrText xml:space="preserve"> XE "</w:instrText>
      </w:r>
      <w:r>
        <w:rPr>
          <w:lang w:val="cs-CZ"/>
        </w:rPr>
        <w:instrText>Akvinský:</w:instrText>
      </w:r>
      <w:r w:rsidRPr="00FA2AC2">
        <w:rPr>
          <w:i/>
          <w:lang w:val="cs-CZ"/>
        </w:rPr>
        <w:instrText>Super Sententiarum</w:instrText>
      </w:r>
      <w:r>
        <w:rPr>
          <w:i/>
          <w:lang w:val="cs-CZ"/>
        </w:rPr>
        <w:instrText xml:space="preserve"> </w:instrText>
      </w:r>
      <w:r>
        <w:rPr>
          <w:lang w:val="cs-CZ"/>
        </w:rPr>
        <w:instrText>I.440</w:instrText>
      </w:r>
      <w:r>
        <w:instrText xml:space="preserve">" </w:instrText>
      </w:r>
      <w:r>
        <w:rPr>
          <w:lang w:val="cs-CZ"/>
        </w:rPr>
        <w:fldChar w:fldCharType="end"/>
      </w:r>
      <w:r>
        <w:rPr>
          <w:lang w:val="cs-CZ"/>
        </w:rPr>
        <w:t>)</w:t>
      </w:r>
      <w:r>
        <w:rPr>
          <w:lang w:eastAsia="en-US"/>
        </w:rPr>
        <w:t>.</w:t>
      </w:r>
    </w:p>
  </w:footnote>
  <w:footnote w:id="283">
    <w:p w:rsidR="00971E82" w:rsidRPr="007C6B80" w:rsidRDefault="00971E82" w:rsidP="08163013">
      <w:pPr>
        <w:pStyle w:val="Textpoznpodarou"/>
        <w:rPr>
          <w:lang w:val="cs-CZ"/>
        </w:rPr>
      </w:pPr>
      <w:r>
        <w:rPr>
          <w:rStyle w:val="Znakapoznpodarou"/>
        </w:rPr>
        <w:footnoteRef/>
      </w:r>
      <w:r>
        <w:t xml:space="preserve"> „Unde Avicenna peccavit maxime, cum dixit quod primus Philosophus demonstravit primum principium  esse, et processit in hoc in suo </w:t>
      </w:r>
      <w:r w:rsidRPr="08E20868">
        <w:rPr>
          <w:i/>
        </w:rPr>
        <w:t>Liber de scientia divina</w:t>
      </w:r>
      <w:r>
        <w:t>, per viam quam existimavit esse necessariam et essentialem in illa scientia et peccavit peccato manifesto in illorum sermonum...“ (</w:t>
      </w:r>
      <w:r w:rsidRPr="08723323">
        <w:rPr>
          <w:rStyle w:val="style30"/>
          <w:rFonts w:eastAsia="FrankRuehl"/>
          <w:i/>
        </w:rPr>
        <w:t>Aristotelis Stagiritae de physico auditu libri octo</w:t>
      </w:r>
      <w:r>
        <w:t>, lib. I</w:t>
      </w:r>
      <w:r>
        <w:rPr>
          <w:lang w:val="cs-CZ"/>
        </w:rPr>
        <w:t xml:space="preserve">; </w:t>
      </w:r>
      <w:r>
        <w:t xml:space="preserve">ed. Juntina </w:t>
      </w:r>
      <w:r>
        <w:rPr>
          <w:lang w:val="cs-CZ"/>
        </w:rPr>
        <w:t>secunda 1562, fol. 47 G‒H</w:t>
      </w:r>
      <w:r>
        <w:rPr>
          <w:i/>
          <w:lang w:eastAsia="en-US"/>
        </w:rPr>
        <w:fldChar w:fldCharType="begin"/>
      </w:r>
      <w:r>
        <w:instrText xml:space="preserve"> XE "</w:instrText>
      </w:r>
      <w:r>
        <w:rPr>
          <w:lang w:val="cs-CZ"/>
        </w:rPr>
        <w:instrText>Averroes:</w:instrText>
      </w:r>
      <w:r w:rsidRPr="08723323">
        <w:rPr>
          <w:rStyle w:val="style30"/>
          <w:rFonts w:eastAsia="FrankRuehl"/>
          <w:i/>
        </w:rPr>
        <w:instrText>Aristotelis Stagiritae de physico auditu libri octo</w:instrText>
      </w:r>
      <w:r>
        <w:rPr>
          <w:rStyle w:val="style30"/>
          <w:rFonts w:eastAsia="FrankRuehl"/>
          <w:i/>
          <w:lang w:val="cs-CZ"/>
        </w:rPr>
        <w:instrText xml:space="preserve"> </w:instrText>
      </w:r>
      <w:r w:rsidRPr="008B2B70">
        <w:rPr>
          <w:rStyle w:val="style30"/>
          <w:rFonts w:eastAsia="FrankRuehl"/>
          <w:i/>
          <w:lang w:val="cs-CZ"/>
        </w:rPr>
        <w:instrText>I</w:instrText>
      </w:r>
      <w:r w:rsidRPr="00184496">
        <w:rPr>
          <w:rStyle w:val="style30"/>
          <w:rFonts w:eastAsia="FrankRuehl"/>
          <w:lang w:val="cs-CZ"/>
        </w:rPr>
        <w:instrText>.</w:instrText>
      </w:r>
      <w:r>
        <w:rPr>
          <w:lang w:val="cs-CZ"/>
        </w:rPr>
        <w:instrText xml:space="preserve">47 G‒H </w:instrText>
      </w:r>
      <w:r>
        <w:instrText xml:space="preserve">" </w:instrText>
      </w:r>
      <w:r>
        <w:rPr>
          <w:i/>
          <w:lang w:eastAsia="en-US"/>
        </w:rPr>
        <w:fldChar w:fldCharType="end"/>
      </w:r>
      <w:r>
        <w:t>)</w:t>
      </w:r>
    </w:p>
  </w:footnote>
  <w:footnote w:id="284">
    <w:p w:rsidR="00971E82" w:rsidRPr="00956987" w:rsidRDefault="00971E82" w:rsidP="08163013">
      <w:pPr>
        <w:pStyle w:val="Textpoznpodarou"/>
        <w:rPr>
          <w:lang w:val="cs-CZ"/>
        </w:rPr>
      </w:pPr>
      <w:r>
        <w:rPr>
          <w:rStyle w:val="Znakapoznpodarou"/>
        </w:rPr>
        <w:footnoteRef/>
      </w:r>
      <w:r>
        <w:t xml:space="preserve"> </w:t>
      </w:r>
      <w:r>
        <w:rPr>
          <w:lang w:val="cs-CZ"/>
        </w:rPr>
        <w:t>„</w:t>
      </w:r>
      <w:r w:rsidRPr="00956987">
        <w:rPr>
          <w:lang w:val="cs-CZ"/>
        </w:rPr>
        <w:t>Quia autem id cui conuenit ratio generis uel speciei uel differentie predicatur de hoc singulari signato, impossibile est quod ratio uniuersalis, scilicet generis uel speciei, conueniat essentie secundum quod per modum partis significatur, ut nomine humanitatis uel animalitatis; et ideo dicit Auicenna quod rationalitas non est differentia sed differentie principium; et eadem ratione humanitas non est species, nec animalitas genus.</w:t>
      </w:r>
      <w:r>
        <w:rPr>
          <w:lang w:val="cs-CZ"/>
        </w:rPr>
        <w:t>“ (</w:t>
      </w:r>
      <w:r w:rsidRPr="00221853">
        <w:rPr>
          <w:i/>
          <w:lang w:val="cs-CZ"/>
        </w:rPr>
        <w:t>De ente et essentia</w:t>
      </w:r>
      <w:r>
        <w:rPr>
          <w:lang w:val="cs-CZ"/>
        </w:rPr>
        <w:t>, cap. 3; Leonina 43, 374.3‒13</w:t>
      </w:r>
      <w:r>
        <w:rPr>
          <w:lang w:val="cs-CZ"/>
        </w:rPr>
        <w:fldChar w:fldCharType="begin"/>
      </w:r>
      <w:r>
        <w:instrText xml:space="preserve"> XE "</w:instrText>
      </w:r>
      <w:r>
        <w:rPr>
          <w:lang w:val="cs-CZ"/>
        </w:rPr>
        <w:instrText>Akvinský:</w:instrText>
      </w:r>
      <w:r w:rsidRPr="0016351A">
        <w:rPr>
          <w:i/>
          <w:lang w:val="cs-CZ"/>
        </w:rPr>
        <w:instrText>De ente et essentia</w:instrText>
      </w:r>
      <w:r>
        <w:rPr>
          <w:i/>
          <w:lang w:val="cs-CZ"/>
        </w:rPr>
        <w:instrText xml:space="preserve"> </w:instrText>
      </w:r>
      <w:r>
        <w:rPr>
          <w:lang w:val="cs-CZ"/>
        </w:rPr>
        <w:instrText>374.3</w:instrText>
      </w:r>
      <w:r w:rsidRPr="0016351A">
        <w:rPr>
          <w:lang w:val="cs-CZ"/>
        </w:rPr>
        <w:instrText>‒13</w:instrText>
      </w:r>
      <w:r>
        <w:instrText xml:space="preserve">" </w:instrText>
      </w:r>
      <w:r>
        <w:rPr>
          <w:lang w:val="cs-CZ"/>
        </w:rPr>
        <w:fldChar w:fldCharType="end"/>
      </w:r>
      <w:r>
        <w:rPr>
          <w:lang w:val="cs-CZ"/>
        </w:rPr>
        <w:t>)</w:t>
      </w:r>
    </w:p>
  </w:footnote>
  <w:footnote w:id="285">
    <w:p w:rsidR="00971E82" w:rsidRPr="00DC5AD5" w:rsidRDefault="00971E82" w:rsidP="08163013">
      <w:pPr>
        <w:pStyle w:val="Literatura"/>
      </w:pPr>
      <w:r>
        <w:rPr>
          <w:rStyle w:val="Znakapoznpodarou"/>
        </w:rPr>
        <w:footnoteRef/>
      </w:r>
      <w:r>
        <w:t xml:space="preserve"> „Et nisi esset hoc genus entium quod scivimus in scientia anime, non possemus intelligere multitudinem in rebus abstractis, quemadmodum, nisi sciremus hic naturam intellectus, non possemus intelligere quod virtutes moventes abstracte debent esse intellectus.“ (</w:t>
      </w:r>
      <w:r w:rsidRPr="00DC5AD5">
        <w:t xml:space="preserve">CMDA </w:t>
      </w:r>
      <w:proofErr w:type="gramStart"/>
      <w:r w:rsidRPr="00DC5AD5">
        <w:t>III.5;</w:t>
      </w:r>
      <w:proofErr w:type="gramEnd"/>
      <w:r w:rsidRPr="00DC5AD5">
        <w:t xml:space="preserve"> 410.667‒72</w:t>
      </w:r>
      <w:r>
        <w:fldChar w:fldCharType="begin"/>
      </w:r>
      <w:r>
        <w:instrText xml:space="preserve"> XE "Averroes:</w:instrText>
      </w:r>
      <w:r w:rsidRPr="00D805B7">
        <w:instrText>CMDA 410.667‒72</w:instrText>
      </w:r>
      <w:r>
        <w:instrText xml:space="preserve">" </w:instrText>
      </w:r>
      <w:r>
        <w:fldChar w:fldCharType="end"/>
      </w:r>
      <w:r>
        <w:t>)</w:t>
      </w:r>
    </w:p>
  </w:footnote>
  <w:footnote w:id="286">
    <w:p w:rsidR="00971E82" w:rsidRPr="08D6533E" w:rsidRDefault="00971E82" w:rsidP="08163013">
      <w:pPr>
        <w:pStyle w:val="Textpoznpodarou"/>
        <w:rPr>
          <w:lang w:val="cs-CZ"/>
        </w:rPr>
      </w:pPr>
      <w:r>
        <w:rPr>
          <w:rStyle w:val="Znakapoznpodarou"/>
        </w:rPr>
        <w:footnoteRef/>
      </w:r>
      <w:r>
        <w:t xml:space="preserve"> </w:t>
      </w:r>
      <w:r>
        <w:rPr>
          <w:lang w:val="cs-CZ"/>
        </w:rPr>
        <w:t>„</w:t>
      </w:r>
      <w:r>
        <w:t>Unde esse earum non est absolutum, sed receptum et ideo limitatum et finitum ad capacitatem naturae recipientis, sed natura vel quiditas earum est absoluta, non recepta in aliqua materia. Et ideo dicitur in libro de causis quod intelligentiae sunt infinitae inferius et finitae superius. Sunt enim finitae quantum ad esse suum, quod a superiori recipiunt, non tamen finiuntur inferius, quia earum formae non limitantur ad capacitatem alicuius materiae recipientis eas. Et ideo in talibus substantiis non invenitur multitudo individuorum in una specie, ut dictum est, nisi in anima humana propter corpus, cui unitur</w:t>
      </w:r>
      <w:r w:rsidRPr="00DC5AD5">
        <w:t>.</w:t>
      </w:r>
      <w:r>
        <w:t>“ (</w:t>
      </w:r>
      <w:r w:rsidRPr="00221853">
        <w:rPr>
          <w:i/>
          <w:lang w:val="cs-CZ"/>
        </w:rPr>
        <w:t>De ente et essentia</w:t>
      </w:r>
      <w:r>
        <w:rPr>
          <w:lang w:val="cs-CZ"/>
        </w:rPr>
        <w:t>, cap. 5; Leonina 43, 378.47‒59</w:t>
      </w:r>
      <w:r>
        <w:rPr>
          <w:lang w:val="cs-CZ"/>
        </w:rPr>
        <w:fldChar w:fldCharType="begin"/>
      </w:r>
      <w:r>
        <w:instrText xml:space="preserve"> XE "</w:instrText>
      </w:r>
      <w:r>
        <w:rPr>
          <w:lang w:val="cs-CZ"/>
        </w:rPr>
        <w:instrText>Akvinský:</w:instrText>
      </w:r>
      <w:r w:rsidRPr="0016351A">
        <w:rPr>
          <w:i/>
          <w:lang w:val="cs-CZ"/>
        </w:rPr>
        <w:instrText>De ente et essentia</w:instrText>
      </w:r>
      <w:r>
        <w:rPr>
          <w:i/>
          <w:lang w:val="cs-CZ"/>
        </w:rPr>
        <w:instrText xml:space="preserve"> </w:instrText>
      </w:r>
      <w:r w:rsidRPr="0016351A">
        <w:rPr>
          <w:lang w:val="cs-CZ"/>
        </w:rPr>
        <w:instrText>37</w:instrText>
      </w:r>
      <w:r>
        <w:rPr>
          <w:lang w:val="cs-CZ"/>
        </w:rPr>
        <w:instrText>8</w:instrText>
      </w:r>
      <w:r w:rsidRPr="0016351A">
        <w:rPr>
          <w:lang w:val="cs-CZ"/>
        </w:rPr>
        <w:instrText>.</w:instrText>
      </w:r>
      <w:r>
        <w:rPr>
          <w:lang w:val="cs-CZ"/>
        </w:rPr>
        <w:instrText>47</w:instrText>
      </w:r>
      <w:r w:rsidRPr="0016351A">
        <w:rPr>
          <w:lang w:val="cs-CZ"/>
        </w:rPr>
        <w:instrText>‒</w:instrText>
      </w:r>
      <w:r>
        <w:rPr>
          <w:lang w:val="cs-CZ"/>
        </w:rPr>
        <w:instrText>59</w:instrText>
      </w:r>
      <w:r>
        <w:instrText xml:space="preserve">" </w:instrText>
      </w:r>
      <w:r>
        <w:rPr>
          <w:lang w:val="cs-CZ"/>
        </w:rPr>
        <w:fldChar w:fldCharType="end"/>
      </w:r>
      <w:r>
        <w:t>)</w:t>
      </w:r>
    </w:p>
  </w:footnote>
  <w:footnote w:id="287">
    <w:p w:rsidR="00971E82" w:rsidRPr="00DC5AD5" w:rsidRDefault="00971E82" w:rsidP="08163013">
      <w:pPr>
        <w:pStyle w:val="Textpoznpodarou"/>
        <w:rPr>
          <w:lang w:val="cs-CZ"/>
        </w:rPr>
      </w:pPr>
      <w:r>
        <w:rPr>
          <w:rStyle w:val="Znakapoznpodarou"/>
        </w:rPr>
        <w:footnoteRef/>
      </w:r>
      <w:r>
        <w:t xml:space="preserve"> </w:t>
      </w:r>
      <w:r>
        <w:rPr>
          <w:lang w:eastAsia="en-US"/>
        </w:rPr>
        <w:t xml:space="preserve">„Vnde Commentator dicit </w:t>
      </w:r>
      <w:r w:rsidRPr="00DC5AD5">
        <w:rPr>
          <w:lang w:eastAsia="en-US"/>
        </w:rPr>
        <w:t>in III De anima quod si natura intellectus possibilis esset ignota, non possemus inuenire multitudinem in substantiis separatis. Est ergo distinctio earum ad inuicem secundum gradum potentie et actus, ita quod intelligentia sup</w:t>
      </w:r>
      <w:r>
        <w:rPr>
          <w:lang w:eastAsia="en-US"/>
        </w:rPr>
        <w:t xml:space="preserve">erior </w:t>
      </w:r>
      <w:r w:rsidRPr="00DC5AD5">
        <w:rPr>
          <w:lang w:eastAsia="en-US"/>
        </w:rPr>
        <w:t>que magis propinqua est primo habet plus de actu et minus de potentia, et sic de aliis.</w:t>
      </w:r>
      <w:r>
        <w:rPr>
          <w:lang w:eastAsia="en-US"/>
        </w:rPr>
        <w:t>“ (</w:t>
      </w:r>
      <w:r w:rsidRPr="00221853">
        <w:rPr>
          <w:i/>
          <w:lang w:val="cs-CZ"/>
        </w:rPr>
        <w:t>De ente et essentia</w:t>
      </w:r>
      <w:r>
        <w:rPr>
          <w:lang w:val="cs-CZ"/>
        </w:rPr>
        <w:t>, cap. 4; Leonina 43, 377.170‒77</w:t>
      </w:r>
      <w:r>
        <w:rPr>
          <w:lang w:val="cs-CZ"/>
        </w:rPr>
        <w:fldChar w:fldCharType="begin"/>
      </w:r>
      <w:r>
        <w:instrText xml:space="preserve"> XE "</w:instrText>
      </w:r>
      <w:r>
        <w:rPr>
          <w:lang w:val="cs-CZ"/>
        </w:rPr>
        <w:instrText>Akvinský:</w:instrText>
      </w:r>
      <w:r w:rsidRPr="0016351A">
        <w:rPr>
          <w:i/>
          <w:lang w:val="cs-CZ"/>
        </w:rPr>
        <w:instrText>De ente et essentia</w:instrText>
      </w:r>
      <w:r>
        <w:rPr>
          <w:i/>
          <w:lang w:val="cs-CZ"/>
        </w:rPr>
        <w:instrText xml:space="preserve"> </w:instrText>
      </w:r>
      <w:r w:rsidRPr="0016351A">
        <w:rPr>
          <w:lang w:val="cs-CZ"/>
        </w:rPr>
        <w:instrText>37</w:instrText>
      </w:r>
      <w:r>
        <w:rPr>
          <w:lang w:val="cs-CZ"/>
        </w:rPr>
        <w:instrText>7</w:instrText>
      </w:r>
      <w:r w:rsidRPr="0016351A">
        <w:rPr>
          <w:lang w:val="cs-CZ"/>
        </w:rPr>
        <w:instrText>.</w:instrText>
      </w:r>
      <w:r>
        <w:rPr>
          <w:lang w:val="cs-CZ"/>
        </w:rPr>
        <w:instrText>170‒77</w:instrText>
      </w:r>
      <w:r>
        <w:instrText xml:space="preserve">" </w:instrText>
      </w:r>
      <w:r>
        <w:rPr>
          <w:lang w:val="cs-CZ"/>
        </w:rPr>
        <w:fldChar w:fldCharType="end"/>
      </w:r>
      <w:r>
        <w:rPr>
          <w:lang w:eastAsia="en-US"/>
        </w:rPr>
        <w:t>)</w:t>
      </w:r>
    </w:p>
  </w:footnote>
  <w:footnote w:id="288">
    <w:p w:rsidR="00971E82" w:rsidRPr="00305955" w:rsidRDefault="00971E82" w:rsidP="08163013">
      <w:pPr>
        <w:pStyle w:val="Textpoznpodarou"/>
        <w:rPr>
          <w:lang w:val="cs-CZ"/>
        </w:rPr>
      </w:pPr>
      <w:r>
        <w:rPr>
          <w:rStyle w:val="Znakapoznpodarou"/>
        </w:rPr>
        <w:footnoteRef/>
      </w:r>
      <w:r>
        <w:t xml:space="preserve"> „</w:t>
      </w:r>
      <w:r w:rsidRPr="00DC5AD5">
        <w:t>Et hoc completur in anima humana, que tenet ultimum gradum in substantiis intellectualibus. Vnde intellectus possibilis eius se habet ad formas intelligibiles sicut materia prima, que tenet ultimum gradum in esse sensibili, ad formas sensibiles, ut Commentator in III De anima dicit; et ideo Philosophus comparat eam tabule in qua nichil est scriptum. Et propter hoc quod inter alias substantias intellectuales plus habet de potentia, ideo efficitur in tantum propinqua rebus materialibus ut res materialis trahatur ad participandum esse suum : ita scilicet quod ex anima et corpore resultat unum esse in uno composito, quamuis illud esse prout est anime non sit dependens a corpore.</w:t>
      </w:r>
      <w:r>
        <w:t>“ (</w:t>
      </w:r>
      <w:r w:rsidRPr="00221853">
        <w:rPr>
          <w:i/>
          <w:lang w:val="cs-CZ"/>
        </w:rPr>
        <w:t>De ente et essentia</w:t>
      </w:r>
      <w:r>
        <w:rPr>
          <w:lang w:val="cs-CZ"/>
        </w:rPr>
        <w:t>, cap. 4; Leonina 43, 377.</w:t>
      </w:r>
      <w:r>
        <w:t>178</w:t>
      </w:r>
      <w:r>
        <w:rPr>
          <w:lang w:val="cs-CZ"/>
        </w:rPr>
        <w:t>‒9</w:t>
      </w:r>
      <w:r>
        <w:t>2</w:t>
      </w:r>
      <w:r>
        <w:rPr>
          <w:lang w:val="cs-CZ"/>
        </w:rPr>
        <w:fldChar w:fldCharType="begin"/>
      </w:r>
      <w:r>
        <w:instrText xml:space="preserve"> XE "</w:instrText>
      </w:r>
      <w:r>
        <w:rPr>
          <w:lang w:val="cs-CZ"/>
        </w:rPr>
        <w:instrText>Akvinský:</w:instrText>
      </w:r>
      <w:r w:rsidRPr="0016351A">
        <w:rPr>
          <w:i/>
          <w:lang w:val="cs-CZ"/>
        </w:rPr>
        <w:instrText>De ente et essentia</w:instrText>
      </w:r>
      <w:r>
        <w:rPr>
          <w:i/>
          <w:lang w:val="cs-CZ"/>
        </w:rPr>
        <w:instrText xml:space="preserve"> </w:instrText>
      </w:r>
      <w:r w:rsidRPr="0016351A">
        <w:rPr>
          <w:lang w:val="cs-CZ"/>
        </w:rPr>
        <w:instrText>37</w:instrText>
      </w:r>
      <w:r>
        <w:rPr>
          <w:lang w:val="cs-CZ"/>
        </w:rPr>
        <w:instrText>7</w:instrText>
      </w:r>
      <w:r w:rsidRPr="0016351A">
        <w:rPr>
          <w:lang w:val="cs-CZ"/>
        </w:rPr>
        <w:instrText>.</w:instrText>
      </w:r>
      <w:r>
        <w:instrText>178</w:instrText>
      </w:r>
      <w:r w:rsidRPr="0016351A">
        <w:rPr>
          <w:lang w:val="cs-CZ"/>
        </w:rPr>
        <w:instrText>‒</w:instrText>
      </w:r>
      <w:r>
        <w:rPr>
          <w:lang w:val="cs-CZ"/>
        </w:rPr>
        <w:instrText>9</w:instrText>
      </w:r>
      <w:r>
        <w:instrText xml:space="preserve">2" </w:instrText>
      </w:r>
      <w:r>
        <w:rPr>
          <w:lang w:val="cs-CZ"/>
        </w:rPr>
        <w:fldChar w:fldCharType="end"/>
      </w:r>
      <w:r>
        <w:t xml:space="preserve">) </w:t>
      </w:r>
    </w:p>
  </w:footnote>
  <w:footnote w:id="289">
    <w:p w:rsidR="00971E82" w:rsidRPr="009734EE" w:rsidRDefault="00971E82" w:rsidP="08163013">
      <w:pPr>
        <w:pStyle w:val="Textpoznpodarou"/>
      </w:pPr>
      <w:r>
        <w:rPr>
          <w:rStyle w:val="Znakapoznpodarou"/>
        </w:rPr>
        <w:footnoteRef/>
      </w:r>
      <w:r>
        <w:t xml:space="preserve"> </w:t>
      </w:r>
      <w:r>
        <w:rPr>
          <w:lang w:val="cs-CZ"/>
        </w:rPr>
        <w:t>„</w:t>
      </w:r>
      <w:r w:rsidRPr="00192DFE">
        <w:t xml:space="preserve">Et ideo tertia opinio est Avicennae, </w:t>
      </w:r>
      <w:r w:rsidRPr="00192DFE">
        <w:rPr>
          <w:rStyle w:val="ZkladntextKurzva"/>
          <w:rFonts w:ascii="Calibri" w:hAnsi="Calibri" w:cs="Times New Roman"/>
          <w:iCs w:val="0"/>
          <w:color w:val="auto"/>
          <w:spacing w:val="0"/>
          <w:sz w:val="20"/>
        </w:rPr>
        <w:t>Tract. de anima</w:t>
      </w:r>
      <w:r w:rsidRPr="00192DFE">
        <w:rPr>
          <w:rStyle w:val="ZkladntextKurzva"/>
          <w:rFonts w:ascii="Calibri" w:hAnsi="Calibri" w:cs="Times New Roman"/>
          <w:i w:val="0"/>
          <w:iCs w:val="0"/>
          <w:color w:val="auto"/>
          <w:spacing w:val="0"/>
          <w:sz w:val="20"/>
        </w:rPr>
        <w:t>,</w:t>
      </w:r>
      <w:r w:rsidRPr="00192DFE">
        <w:t xml:space="preserve"> cap. VII, part. V et VI, qui ponit intellectum possibilem in diversis diversum, fundatum in essentia animae rationalis, et non esse virtutem corporalem, et cum corpore</w:t>
      </w:r>
      <w:r>
        <w:t xml:space="preserve"> incipere, sed non cum</w:t>
      </w:r>
      <w:r>
        <w:rPr>
          <w:lang w:val="cs-CZ"/>
        </w:rPr>
        <w:t xml:space="preserve"> </w:t>
      </w:r>
      <w:r>
        <w:t xml:space="preserve">corpore </w:t>
      </w:r>
      <w:r>
        <w:rPr>
          <w:lang w:val="cs-CZ"/>
        </w:rPr>
        <w:t>f</w:t>
      </w:r>
      <w:r w:rsidRPr="00192DFE">
        <w:t xml:space="preserve">iniri. Unde quantum ad intellectum possibilem, ejus opinio est quam tenemus secundum fidem catholicam, quamvis erret cum aliis de </w:t>
      </w:r>
      <w:r>
        <w:t>intellectu agente, ut dictum es</w:t>
      </w:r>
      <w:r>
        <w:rPr>
          <w:lang w:val="cs-CZ"/>
        </w:rPr>
        <w:t>t</w:t>
      </w:r>
      <w:r w:rsidRPr="00192DFE">
        <w:t>.</w:t>
      </w:r>
      <w:r>
        <w:rPr>
          <w:lang w:val="cs-CZ"/>
        </w:rPr>
        <w:t>“ (</w:t>
      </w:r>
      <w:bookmarkStart w:id="48" w:name="4970"/>
      <w:r w:rsidRPr="00CD21B5">
        <w:rPr>
          <w:rStyle w:val="ref"/>
          <w:rFonts w:eastAsia="Times"/>
          <w:i/>
        </w:rPr>
        <w:t>Super Sent</w:t>
      </w:r>
      <w:r>
        <w:rPr>
          <w:rStyle w:val="ref"/>
          <w:rFonts w:eastAsia="Times"/>
        </w:rPr>
        <w:t>., lib. 2, dist. 17, q. 2, a. 1</w:t>
      </w:r>
      <w:bookmarkEnd w:id="48"/>
      <w:r>
        <w:rPr>
          <w:rStyle w:val="ref"/>
          <w:rFonts w:eastAsia="Times"/>
          <w:lang w:val="cs-CZ"/>
        </w:rPr>
        <w:t>, solutio; ed. Mandonnet, p. 424</w:t>
      </w:r>
      <w:r>
        <w:rPr>
          <w:lang w:val="cs-CZ"/>
        </w:rPr>
        <w:fldChar w:fldCharType="begin"/>
      </w:r>
      <w:r>
        <w:instrText xml:space="preserve"> XE "</w:instrText>
      </w:r>
      <w:r>
        <w:rPr>
          <w:lang w:val="cs-CZ"/>
        </w:rPr>
        <w:instrText>Akvinský:</w:instrText>
      </w:r>
      <w:r w:rsidRPr="00FA2AC2">
        <w:rPr>
          <w:i/>
          <w:lang w:val="cs-CZ"/>
        </w:rPr>
        <w:instrText>Super Sententiarum</w:instrText>
      </w:r>
      <w:r>
        <w:rPr>
          <w:i/>
          <w:lang w:val="cs-CZ"/>
        </w:rPr>
        <w:instrText xml:space="preserve"> </w:instrText>
      </w:r>
      <w:r>
        <w:rPr>
          <w:lang w:val="cs-CZ"/>
        </w:rPr>
        <w:instrText>II.424</w:instrText>
      </w:r>
      <w:r>
        <w:instrText xml:space="preserve">" </w:instrText>
      </w:r>
      <w:r>
        <w:rPr>
          <w:lang w:val="cs-CZ"/>
        </w:rPr>
        <w:fldChar w:fldCharType="end"/>
      </w:r>
      <w:r>
        <w:rPr>
          <w:lang w:val="cs-CZ"/>
        </w:rPr>
        <w:t>)</w:t>
      </w:r>
    </w:p>
  </w:footnote>
  <w:footnote w:id="290">
    <w:p w:rsidR="00971E82" w:rsidRPr="00EF4EBD" w:rsidRDefault="00971E82" w:rsidP="08163013">
      <w:pPr>
        <w:pStyle w:val="Textpoznpodarou"/>
        <w:rPr>
          <w:lang w:val="cs-CZ"/>
        </w:rPr>
      </w:pPr>
      <w:r>
        <w:rPr>
          <w:rStyle w:val="Znakapoznpodarou"/>
        </w:rPr>
        <w:footnoteRef/>
      </w:r>
      <w:r>
        <w:t xml:space="preserve"> </w:t>
      </w:r>
      <w:r>
        <w:rPr>
          <w:lang w:eastAsia="en-US"/>
        </w:rPr>
        <w:t>„</w:t>
      </w:r>
      <w:r w:rsidRPr="00593DA4">
        <w:t xml:space="preserve">Unde </w:t>
      </w:r>
      <w:r>
        <w:rPr>
          <w:lang w:val="la"/>
        </w:rPr>
        <w:t xml:space="preserve">concludit </w:t>
      </w:r>
      <w:r>
        <w:t xml:space="preserve">quod illud quod </w:t>
      </w:r>
      <w:r w:rsidRPr="00593DA4">
        <w:t xml:space="preserve">est in nobis </w:t>
      </w:r>
      <w:r>
        <w:rPr>
          <w:lang w:val="la"/>
        </w:rPr>
        <w:t>de intellectu, quodammodo est corruptibile, et quodammodo est incorruptibile : quia ex parte illa unde multiplicantur phantasmata, accidit corruptio ; sed ex parte intellectus possibilis est incorruptibilitas. Unde sequitur etiam ex hoc quod post corporum corruptionem nulla diversitas animarum remaneat. Sed ha</w:t>
      </w:r>
      <w:r>
        <w:rPr>
          <w:lang w:val="cs-CZ"/>
        </w:rPr>
        <w:t>e</w:t>
      </w:r>
      <w:r>
        <w:rPr>
          <w:lang w:val="la"/>
        </w:rPr>
        <w:t>c ratio ostenditur esse frivola multipliciter.</w:t>
      </w:r>
      <w:r>
        <w:t xml:space="preserve">“ </w:t>
      </w:r>
      <w:r>
        <w:rPr>
          <w:lang w:val="cs-CZ"/>
        </w:rPr>
        <w:t>(</w:t>
      </w:r>
      <w:r w:rsidRPr="00CD21B5">
        <w:rPr>
          <w:rStyle w:val="ref"/>
          <w:rFonts w:eastAsia="Times"/>
          <w:i/>
        </w:rPr>
        <w:t>Super Sent</w:t>
      </w:r>
      <w:r>
        <w:rPr>
          <w:rStyle w:val="ref"/>
          <w:rFonts w:eastAsia="Times"/>
        </w:rPr>
        <w:t>., lib. 2, dist. 17, q. 2, a. 1</w:t>
      </w:r>
      <w:r>
        <w:rPr>
          <w:rStyle w:val="ref"/>
          <w:rFonts w:eastAsia="Times"/>
          <w:lang w:val="cs-CZ"/>
        </w:rPr>
        <w:t>, solutio; ed. Mandonnet, p. 427</w:t>
      </w:r>
      <w:r>
        <w:rPr>
          <w:lang w:val="cs-CZ"/>
        </w:rPr>
        <w:fldChar w:fldCharType="begin"/>
      </w:r>
      <w:r>
        <w:instrText xml:space="preserve"> XE "</w:instrText>
      </w:r>
      <w:r>
        <w:rPr>
          <w:lang w:val="cs-CZ"/>
        </w:rPr>
        <w:instrText>Akvinský:</w:instrText>
      </w:r>
      <w:r w:rsidRPr="00FA2AC2">
        <w:rPr>
          <w:i/>
          <w:lang w:val="cs-CZ"/>
        </w:rPr>
        <w:instrText>Super Sententiarum</w:instrText>
      </w:r>
      <w:r>
        <w:rPr>
          <w:i/>
          <w:lang w:val="cs-CZ"/>
        </w:rPr>
        <w:instrText xml:space="preserve"> </w:instrText>
      </w:r>
      <w:r>
        <w:rPr>
          <w:lang w:val="cs-CZ"/>
        </w:rPr>
        <w:instrText>II.427</w:instrText>
      </w:r>
      <w:r>
        <w:instrText xml:space="preserve">" </w:instrText>
      </w:r>
      <w:r>
        <w:rPr>
          <w:lang w:val="cs-CZ"/>
        </w:rPr>
        <w:fldChar w:fldCharType="end"/>
      </w:r>
      <w:r>
        <w:rPr>
          <w:lang w:val="cs-CZ"/>
        </w:rPr>
        <w:t>)</w:t>
      </w:r>
    </w:p>
  </w:footnote>
  <w:footnote w:id="291">
    <w:p w:rsidR="00971E82" w:rsidRPr="081C7946" w:rsidRDefault="00971E82" w:rsidP="08163013">
      <w:pPr>
        <w:pStyle w:val="Textpoznpodarou"/>
        <w:rPr>
          <w:lang w:val="cs-CZ"/>
        </w:rPr>
      </w:pPr>
      <w:r>
        <w:rPr>
          <w:rStyle w:val="Znakapoznpodarou"/>
        </w:rPr>
        <w:footnoteRef/>
      </w:r>
      <w:r>
        <w:t xml:space="preserve"> „Haec igitur sunt quae in destructionem praedicti erroris conscripsimus, non per documenta fidei, sed per ipsorum philosophorum rationes et dicta.</w:t>
      </w:r>
      <w:r>
        <w:rPr>
          <w:lang w:val="cs-CZ"/>
        </w:rPr>
        <w:t xml:space="preserve"> </w:t>
      </w:r>
      <w:r>
        <w:t>Si quis autem gloriabundus de falsi nominis scientia, velit contra haec quae scripsimus aliquid dicere, non loquatur in angulis nec coram pueris qui nesciunt de tam arduis iudicare; sed contra hoc scriptum rescribat, si audet; et inveniet non solum me, qui aliorum sum minimus, sed multos alios veritatis zelatores, per quos eius errori resistetur, vel ignorantiae consuletur.“ (</w:t>
      </w:r>
      <w:r w:rsidRPr="00AF3B04">
        <w:rPr>
          <w:i/>
        </w:rPr>
        <w:t>De unitate intellectus</w:t>
      </w:r>
      <w:r w:rsidRPr="081C7946">
        <w:rPr>
          <w:lang w:val="cs-CZ"/>
        </w:rPr>
        <w:t xml:space="preserve">, cap. </w:t>
      </w:r>
      <w:r w:rsidRPr="081C7946">
        <w:t>V</w:t>
      </w:r>
      <w:r w:rsidRPr="081C7946">
        <w:rPr>
          <w:lang w:val="cs-CZ"/>
        </w:rPr>
        <w:t>;</w:t>
      </w:r>
      <w:r>
        <w:t xml:space="preserve"> ed. Leonina</w:t>
      </w:r>
      <w:r>
        <w:rPr>
          <w:lang w:val="cs-CZ"/>
        </w:rPr>
        <w:t xml:space="preserve"> </w:t>
      </w:r>
      <w:r>
        <w:t>43,</w:t>
      </w:r>
      <w:r>
        <w:rPr>
          <w:lang w:val="cs-CZ"/>
        </w:rPr>
        <w:t xml:space="preserve"> 314.431‒41</w:t>
      </w:r>
      <w:r>
        <w:rPr>
          <w:lang w:val="cs-CZ"/>
        </w:rPr>
        <w:fldChar w:fldCharType="begin"/>
      </w:r>
      <w:r>
        <w:instrText xml:space="preserve"> XE "</w:instrText>
      </w:r>
      <w:r>
        <w:rPr>
          <w:lang w:val="cs-CZ"/>
        </w:rPr>
        <w:instrText>Akvinský:</w:instrText>
      </w:r>
      <w:r w:rsidRPr="080C0F62">
        <w:rPr>
          <w:i/>
        </w:rPr>
        <w:instrText>De unitate intellectus</w:instrText>
      </w:r>
      <w:r>
        <w:rPr>
          <w:i/>
          <w:lang w:val="cs-CZ"/>
        </w:rPr>
        <w:instrText xml:space="preserve"> </w:instrText>
      </w:r>
      <w:r w:rsidRPr="080C0F62">
        <w:rPr>
          <w:lang w:val="cs-CZ"/>
        </w:rPr>
        <w:instrText>314.431‒41</w:instrText>
      </w:r>
      <w:r>
        <w:instrText xml:space="preserve">" </w:instrText>
      </w:r>
      <w:r>
        <w:rPr>
          <w:lang w:val="cs-CZ"/>
        </w:rPr>
        <w:fldChar w:fldCharType="end"/>
      </w:r>
      <w:r>
        <w:t>)</w:t>
      </w:r>
    </w:p>
  </w:footnote>
  <w:footnote w:id="292">
    <w:p w:rsidR="00971E82" w:rsidRPr="001E00DB" w:rsidRDefault="00971E82" w:rsidP="08163013">
      <w:pPr>
        <w:pStyle w:val="Textpoznpodarou"/>
      </w:pPr>
      <w:r>
        <w:rPr>
          <w:rStyle w:val="Znakapoznpodarou"/>
        </w:rPr>
        <w:footnoteRef/>
      </w:r>
      <w:r>
        <w:t xml:space="preserve"> </w:t>
      </w:r>
      <w:r w:rsidRPr="0053215F">
        <w:t>„Preterea noverit ipse, quod philoso</w:t>
      </w:r>
      <w:r w:rsidRPr="0053215F">
        <w:softHyphen/>
        <w:t xml:space="preserve">phorum studia minime </w:t>
      </w:r>
      <w:r w:rsidRPr="0053215F">
        <w:rPr>
          <w:rFonts w:eastAsia="Times"/>
        </w:rPr>
        <w:t>reprobamus, quatinus mysteriis theologicis famulantur; set profanas</w:t>
      </w:r>
      <w:r w:rsidRPr="0053215F">
        <w:t xml:space="preserve"> voc</w:t>
      </w:r>
      <w:r w:rsidRPr="0053215F">
        <w:rPr>
          <w:rFonts w:eastAsia="Times"/>
        </w:rPr>
        <w:t>um novitates, que contra philosophicam veritatem sunt in sanctorum injuriam citra</w:t>
      </w:r>
      <w:r w:rsidRPr="0053215F">
        <w:t xml:space="preserve"> </w:t>
      </w:r>
      <w:r w:rsidRPr="0053215F">
        <w:rPr>
          <w:rFonts w:eastAsia="Times"/>
        </w:rPr>
        <w:t>viginti annos in altitudines theologicas introducte, abjectis et vilipensis sanctorum asser</w:t>
      </w:r>
      <w:r w:rsidRPr="0053215F">
        <w:t xml:space="preserve">tionibus evidenter.“ </w:t>
      </w:r>
      <w:r>
        <w:t>(</w:t>
      </w:r>
      <w:r w:rsidRPr="001E00DB">
        <w:rPr>
          <w:i/>
        </w:rPr>
        <w:t>Iohannis Pecham</w:t>
      </w:r>
      <w:r>
        <w:t xml:space="preserve">, Junii 1, 1285; </w:t>
      </w:r>
      <w:r w:rsidRPr="08C07D74">
        <w:rPr>
          <w:i/>
        </w:rPr>
        <w:t>Chartularium</w:t>
      </w:r>
      <w:r>
        <w:t xml:space="preserve"> I, </w:t>
      </w:r>
      <w:r>
        <w:rPr>
          <w:lang w:val="cs-CZ"/>
        </w:rPr>
        <w:t>n</w:t>
      </w:r>
      <w:r>
        <w:t>o. 523, p. 634</w:t>
      </w:r>
      <w:r>
        <w:fldChar w:fldCharType="begin"/>
      </w:r>
      <w:r>
        <w:instrText xml:space="preserve"> XE "</w:instrText>
      </w:r>
      <w:r w:rsidRPr="0045204C">
        <w:rPr>
          <w:i/>
        </w:rPr>
        <w:instrText>Chartularium</w:instrText>
      </w:r>
      <w:r w:rsidRPr="002D6831">
        <w:instrText xml:space="preserve"> </w:instrText>
      </w:r>
      <w:r>
        <w:instrText xml:space="preserve">I, </w:instrText>
      </w:r>
      <w:r>
        <w:rPr>
          <w:lang w:val="cs-CZ"/>
        </w:rPr>
        <w:instrText>n</w:instrText>
      </w:r>
      <w:r>
        <w:instrText xml:space="preserve">o. 523, p. 634" </w:instrText>
      </w:r>
      <w:r>
        <w:fldChar w:fldCharType="end"/>
      </w:r>
      <w:r>
        <w:t>)</w:t>
      </w:r>
    </w:p>
  </w:footnote>
  <w:footnote w:id="293">
    <w:p w:rsidR="00971E82" w:rsidRPr="08167D90" w:rsidRDefault="00971E82" w:rsidP="08167D90">
      <w:pPr>
        <w:pStyle w:val="Textpoznpodarou"/>
      </w:pPr>
      <w:r w:rsidRPr="08167D90">
        <w:rPr>
          <w:rStyle w:val="Znakapoznpodarou"/>
        </w:rPr>
        <w:footnoteRef/>
      </w:r>
      <w:r w:rsidRPr="08167D90">
        <w:t xml:space="preserve"> „Vel illa novella quasi tota contraria, qu</w:t>
      </w:r>
      <w:r w:rsidRPr="08167D90">
        <w:rPr>
          <w:rStyle w:val="Zkladntext1"/>
          <w:rFonts w:ascii="Calibri" w:eastAsia="Times" w:hAnsi="Calibri"/>
          <w:color w:val="auto"/>
          <w:spacing w:val="0"/>
          <w:sz w:val="20"/>
          <w:szCs w:val="20"/>
          <w:u w:val="none"/>
          <w:lang w:val="x-none"/>
        </w:rPr>
        <w:t>e quicquid docet Augustinus de regulis eternis, de luce incommu</w:t>
      </w:r>
      <w:r w:rsidRPr="08167D90">
        <w:t>tabi</w:t>
      </w:r>
      <w:r w:rsidRPr="08167D90">
        <w:rPr>
          <w:rStyle w:val="Zkladntext1"/>
          <w:rFonts w:ascii="Calibri" w:eastAsia="Times" w:hAnsi="Calibri"/>
          <w:color w:val="auto"/>
          <w:spacing w:val="0"/>
          <w:sz w:val="20"/>
          <w:szCs w:val="20"/>
          <w:u w:val="none"/>
          <w:lang w:val="x-none"/>
        </w:rPr>
        <w:t>li, de potentiis anime, de rationibus seminalibus inditis materie, et consimilibu</w:t>
      </w:r>
      <w:r w:rsidRPr="08167D90">
        <w:t xml:space="preserve">s </w:t>
      </w:r>
      <w:r w:rsidRPr="08167D90">
        <w:rPr>
          <w:rStyle w:val="Zkladntext1"/>
          <w:rFonts w:ascii="Calibri" w:eastAsia="Times" w:hAnsi="Calibri"/>
          <w:color w:val="auto"/>
          <w:spacing w:val="0"/>
          <w:sz w:val="20"/>
          <w:szCs w:val="20"/>
          <w:u w:val="none"/>
          <w:lang w:val="x-none"/>
        </w:rPr>
        <w:t>innumeris, destruit pro viribus et enervat, pugnas verborum inferens toti mundo</w:t>
      </w:r>
      <w:r w:rsidRPr="08167D90">
        <w:t>? Videant antiqui in quibus est sapientia, videat at corrigat Deus celi.“ (</w:t>
      </w:r>
      <w:r w:rsidRPr="0859454C">
        <w:rPr>
          <w:i/>
        </w:rPr>
        <w:t>Iohannis Pecham</w:t>
      </w:r>
      <w:r w:rsidRPr="08167D90">
        <w:t xml:space="preserve">, Junii 1, 1285; </w:t>
      </w:r>
      <w:r w:rsidRPr="08167D90">
        <w:rPr>
          <w:i/>
        </w:rPr>
        <w:t>Chartularium</w:t>
      </w:r>
      <w:r w:rsidRPr="08167D90">
        <w:t xml:space="preserve"> I, no. 523, pp. 634‒35</w:t>
      </w:r>
      <w:r w:rsidRPr="08167D90">
        <w:fldChar w:fldCharType="begin"/>
      </w:r>
      <w:r w:rsidRPr="08167D90">
        <w:instrText xml:space="preserve"> XE "Chartularium I, no. 523, pp. 634‒35" </w:instrText>
      </w:r>
      <w:r w:rsidRPr="08167D90">
        <w:fldChar w:fldCharType="end"/>
      </w:r>
      <w:r w:rsidRPr="08167D90">
        <w:t>)</w:t>
      </w:r>
    </w:p>
  </w:footnote>
  <w:footnote w:id="294">
    <w:p w:rsidR="00971E82" w:rsidRPr="08A411EF" w:rsidRDefault="00971E82" w:rsidP="08163013">
      <w:pPr>
        <w:pStyle w:val="Textpoznpodarou"/>
      </w:pPr>
      <w:r>
        <w:rPr>
          <w:rStyle w:val="Znakapoznpodarou"/>
        </w:rPr>
        <w:footnoteRef/>
      </w:r>
      <w:r>
        <w:t xml:space="preserve"> „H</w:t>
      </w:r>
      <w:r w:rsidRPr="084F5B5A">
        <w:t xml:space="preserve">e entered into a well-documented controversy with Archbishop Peckham after Peckham's renewal in 1284 of Kilwardby's Oxford condemnations. The controversy culminated two years later when Knapwell was charged with heretical opinions by a provincial synod presided over by Peckham. Knapwell took his case to Rome. There he was met by a newly elected Franciscan pope who condemned him to perpetual silence. According to one chronicler, at least, Knapwell retreated to Bologna and began to teach again, only </w:t>
      </w:r>
      <w:r>
        <w:t>to end his life in despair and '</w:t>
      </w:r>
      <w:r w:rsidRPr="084F5B5A">
        <w:t>very great misery</w:t>
      </w:r>
      <w:r>
        <w:t>'</w:t>
      </w:r>
      <w:r w:rsidRPr="084F5B5A">
        <w:t>.</w:t>
      </w:r>
      <w:r>
        <w:t>“</w:t>
      </w:r>
      <w:r w:rsidRPr="084F5B5A">
        <w:t xml:space="preserve"> (</w:t>
      </w:r>
      <w:r>
        <w:t>Jordan 1982, 294‒95</w:t>
      </w:r>
      <w:r w:rsidRPr="084F5B5A">
        <w:t>)</w:t>
      </w:r>
    </w:p>
  </w:footnote>
  <w:footnote w:id="295">
    <w:p w:rsidR="00971E82" w:rsidRPr="00EA4628" w:rsidRDefault="00971E82" w:rsidP="08163013">
      <w:pPr>
        <w:pStyle w:val="Textpoznpodarou"/>
      </w:pPr>
      <w:r>
        <w:rPr>
          <w:rStyle w:val="Znakapoznpodarou"/>
        </w:rPr>
        <w:footnoteRef/>
      </w:r>
      <w:r>
        <w:t xml:space="preserve"> „Quod autem Augustinus non sic intellexerit omnia cognosci </w:t>
      </w:r>
      <w:r w:rsidRPr="00A94C3A">
        <w:rPr>
          <w:i/>
        </w:rPr>
        <w:t>in rationibus aeternis</w:t>
      </w:r>
      <w:r>
        <w:t xml:space="preserve">, vel </w:t>
      </w:r>
      <w:r w:rsidRPr="00A94C3A">
        <w:rPr>
          <w:i/>
        </w:rPr>
        <w:t>in incommutabili veritate</w:t>
      </w:r>
      <w:r>
        <w:t xml:space="preserve">, quasi ipsae rationes aeternae videantur, patet per hoc quod ipse dicit in libro </w:t>
      </w:r>
      <w:r>
        <w:rPr>
          <w:i/>
          <w:lang w:val="cs-CZ"/>
        </w:rPr>
        <w:t>O</w:t>
      </w:r>
      <w:r>
        <w:rPr>
          <w:i/>
        </w:rPr>
        <w:t xml:space="preserve">ctoginta trium </w:t>
      </w:r>
      <w:r>
        <w:rPr>
          <w:i/>
          <w:lang w:val="cs-CZ"/>
        </w:rPr>
        <w:t>Q</w:t>
      </w:r>
      <w:r w:rsidRPr="00A94C3A">
        <w:rPr>
          <w:i/>
        </w:rPr>
        <w:t>uaest</w:t>
      </w:r>
      <w:r>
        <w:t xml:space="preserve">., quod </w:t>
      </w:r>
      <w:r>
        <w:rPr>
          <w:i/>
          <w:iCs/>
        </w:rPr>
        <w:t>rationalis anima non omnis et quaelibet, sed quae sancta et pura fuerit, asseritur illi visioni</w:t>
      </w:r>
      <w:r>
        <w:t xml:space="preserve">, scilicet rationum aeternarum, </w:t>
      </w:r>
      <w:r w:rsidRPr="004153FF">
        <w:rPr>
          <w:i/>
        </w:rPr>
        <w:t>esse idonea</w:t>
      </w:r>
      <w:r>
        <w:t xml:space="preserve">; sicut sunt animae beatorum.“ (ST </w:t>
      </w:r>
      <w:r>
        <w:rPr>
          <w:lang w:val="cs-CZ"/>
        </w:rPr>
        <w:t>I</w:t>
      </w:r>
      <w:r>
        <w:t>, q. 85, a. 5, resp.</w:t>
      </w:r>
      <w:r>
        <w:rPr>
          <w:lang w:val="cs-CZ"/>
        </w:rPr>
        <w:t>; ed. Leonina 5, 322</w:t>
      </w:r>
      <w:r>
        <w:rPr>
          <w:lang w:val="cs-CZ"/>
        </w:rPr>
        <w:fldChar w:fldCharType="begin"/>
      </w:r>
      <w:r>
        <w:instrText xml:space="preserve"> XE "</w:instrText>
      </w:r>
      <w:r>
        <w:rPr>
          <w:lang w:val="cs-CZ"/>
        </w:rPr>
        <w:instrText>Akvinský:</w:instrText>
      </w:r>
      <w:r w:rsidRPr="00B2176A">
        <w:instrText xml:space="preserve">ST </w:instrText>
      </w:r>
      <w:r>
        <w:rPr>
          <w:lang w:val="cs-CZ"/>
        </w:rPr>
        <w:instrText>I.85.5</w:instrText>
      </w:r>
      <w:r>
        <w:instrText xml:space="preserve">" </w:instrText>
      </w:r>
      <w:r>
        <w:rPr>
          <w:lang w:val="cs-CZ"/>
        </w:rPr>
        <w:fldChar w:fldCharType="end"/>
      </w:r>
      <w:r>
        <w:t>)</w:t>
      </w:r>
    </w:p>
  </w:footnote>
  <w:footnote w:id="296">
    <w:p w:rsidR="00971E82" w:rsidRPr="004B756B" w:rsidRDefault="00971E82" w:rsidP="08163013">
      <w:pPr>
        <w:pStyle w:val="Textpoznpodarou"/>
        <w:rPr>
          <w:lang w:val="cs-CZ"/>
        </w:rPr>
      </w:pPr>
      <w:r>
        <w:rPr>
          <w:rStyle w:val="Znakapoznpodarou"/>
        </w:rPr>
        <w:footnoteRef/>
      </w:r>
      <w:r>
        <w:t xml:space="preserve"> </w:t>
      </w:r>
      <w:r>
        <w:rPr>
          <w:lang w:val="cs-CZ"/>
        </w:rPr>
        <w:t>„Respondeo dicendum quod i</w:t>
      </w:r>
      <w:r w:rsidRPr="004B756B">
        <w:t>mpossibile est intellectum nostrum, secundum praesentis vitae statum, quo passibili corpori coniungitur, aliquid intelligere in actu, nisi convertendo se ad phantasmata</w:t>
      </w:r>
      <w:r>
        <w:rPr>
          <w:lang w:val="cs-CZ"/>
        </w:rPr>
        <w:t>.“ (</w:t>
      </w:r>
      <w:r>
        <w:t xml:space="preserve">ST </w:t>
      </w:r>
      <w:r>
        <w:rPr>
          <w:lang w:val="cs-CZ"/>
        </w:rPr>
        <w:t>I</w:t>
      </w:r>
      <w:r>
        <w:t>, q. 85</w:t>
      </w:r>
      <w:r w:rsidRPr="00273106">
        <w:t>, a. 7, resp.</w:t>
      </w:r>
      <w:r>
        <w:rPr>
          <w:lang w:val="cs-CZ"/>
        </w:rPr>
        <w:t>; ed. Leonina 5, 325</w:t>
      </w:r>
      <w:r>
        <w:rPr>
          <w:lang w:val="cs-CZ"/>
        </w:rPr>
        <w:fldChar w:fldCharType="begin"/>
      </w:r>
      <w:r>
        <w:instrText xml:space="preserve"> XE "</w:instrText>
      </w:r>
      <w:r>
        <w:rPr>
          <w:lang w:val="cs-CZ"/>
        </w:rPr>
        <w:instrText>Akvinský:</w:instrText>
      </w:r>
      <w:r w:rsidRPr="00B2176A">
        <w:instrText xml:space="preserve">ST </w:instrText>
      </w:r>
      <w:r>
        <w:rPr>
          <w:lang w:val="cs-CZ"/>
        </w:rPr>
        <w:instrText>I.85.7</w:instrText>
      </w:r>
      <w:r>
        <w:instrText xml:space="preserve">" </w:instrText>
      </w:r>
      <w:r>
        <w:rPr>
          <w:lang w:val="cs-CZ"/>
        </w:rPr>
        <w:fldChar w:fldCharType="end"/>
      </w:r>
      <w:r>
        <w:rPr>
          <w:lang w:val="cs-CZ"/>
        </w:rPr>
        <w:t>)</w:t>
      </w:r>
    </w:p>
  </w:footnote>
  <w:footnote w:id="297">
    <w:p w:rsidR="00971E82" w:rsidRPr="083B6BD3" w:rsidRDefault="00971E82" w:rsidP="08163013">
      <w:pPr>
        <w:pStyle w:val="Textpoznpodarou"/>
      </w:pPr>
      <w:r>
        <w:rPr>
          <w:rStyle w:val="Znakapoznpodarou"/>
        </w:rPr>
        <w:footnoteRef/>
      </w:r>
      <w:r>
        <w:t xml:space="preserve"> „Vel hoc modo quod illud et</w:t>
      </w:r>
      <w:r w:rsidRPr="083B6BD3">
        <w:t>iam intelligatur esse particeps operationis</w:t>
      </w:r>
      <w:r>
        <w:t>, sicut organum virtutis visivae</w:t>
      </w:r>
      <w:r w:rsidRPr="083B6BD3">
        <w:t xml:space="preserve"> simul cum virtute visiva videt, quia videre est compositi, et sic intellectus omnino sine corpore intelligit, quia haec operatio non perficitur mediante organo corporali ; vel ita quod illud sit objectum operationis, sicut visus non potest videre sine colore, et hoc modo etiam intellectus in statu via</w:t>
      </w:r>
      <w:r>
        <w:rPr>
          <w:lang w:val="cs-CZ"/>
        </w:rPr>
        <w:t>e</w:t>
      </w:r>
      <w:r w:rsidRPr="083B6BD3">
        <w:t xml:space="preserve"> non potest intelligere sine phantasmate, quod se habet ad intellectum sicut color ad visum, ut Philosophus in III De anima, text. 30, dicit.</w:t>
      </w:r>
      <w:r>
        <w:t xml:space="preserve">“ </w:t>
      </w:r>
      <w:r>
        <w:rPr>
          <w:rStyle w:val="aus"/>
          <w:rFonts w:eastAsia="Times"/>
          <w:lang w:val="cs-CZ"/>
        </w:rPr>
        <w:t>(</w:t>
      </w:r>
      <w:r>
        <w:rPr>
          <w:rStyle w:val="ref"/>
          <w:rFonts w:eastAsia="Times"/>
          <w:i/>
          <w:lang w:val="cs-CZ"/>
        </w:rPr>
        <w:t>Super</w:t>
      </w:r>
      <w:r w:rsidRPr="00273106">
        <w:rPr>
          <w:rStyle w:val="ref"/>
          <w:rFonts w:eastAsia="Times"/>
          <w:i/>
        </w:rPr>
        <w:t xml:space="preserve"> II Sent</w:t>
      </w:r>
      <w:r w:rsidRPr="00273106">
        <w:rPr>
          <w:rStyle w:val="ref"/>
          <w:rFonts w:eastAsia="Times"/>
        </w:rPr>
        <w:t>., dist. 19, q. 1, a. 1, ad 6</w:t>
      </w:r>
      <w:r>
        <w:rPr>
          <w:rStyle w:val="ref"/>
          <w:rFonts w:eastAsia="Times"/>
          <w:lang w:val="cs-CZ"/>
        </w:rPr>
        <w:t>; ed. Mandonnet, p. 484</w:t>
      </w:r>
      <w:r>
        <w:rPr>
          <w:lang w:val="cs-CZ"/>
        </w:rPr>
        <w:fldChar w:fldCharType="begin"/>
      </w:r>
      <w:r>
        <w:instrText xml:space="preserve"> XE "</w:instrText>
      </w:r>
      <w:r>
        <w:rPr>
          <w:lang w:val="cs-CZ"/>
        </w:rPr>
        <w:instrText>Akvinský:</w:instrText>
      </w:r>
      <w:r w:rsidRPr="00FA2AC2">
        <w:rPr>
          <w:i/>
          <w:lang w:val="cs-CZ"/>
        </w:rPr>
        <w:instrText>Super Sententiarum</w:instrText>
      </w:r>
      <w:r>
        <w:rPr>
          <w:i/>
          <w:lang w:val="cs-CZ"/>
        </w:rPr>
        <w:instrText xml:space="preserve"> </w:instrText>
      </w:r>
      <w:r>
        <w:rPr>
          <w:lang w:val="cs-CZ"/>
        </w:rPr>
        <w:instrText>II.484</w:instrText>
      </w:r>
      <w:r>
        <w:instrText xml:space="preserve">" </w:instrText>
      </w:r>
      <w:r>
        <w:rPr>
          <w:lang w:val="cs-CZ"/>
        </w:rPr>
        <w:fldChar w:fldCharType="end"/>
      </w:r>
      <w:r>
        <w:rPr>
          <w:rStyle w:val="ref"/>
          <w:rFonts w:eastAsia="Times"/>
          <w:lang w:val="cs-CZ"/>
        </w:rPr>
        <w:t>)</w:t>
      </w:r>
    </w:p>
  </w:footnote>
  <w:footnote w:id="298">
    <w:p w:rsidR="00971E82" w:rsidRPr="08A64BD6" w:rsidRDefault="00971E82" w:rsidP="08163013">
      <w:pPr>
        <w:pStyle w:val="Literatura"/>
        <w:rPr>
          <w:rStyle w:val="TextpoznpodarouChar"/>
        </w:rPr>
      </w:pPr>
      <w:r>
        <w:rPr>
          <w:rStyle w:val="Znakapoznpodarou"/>
        </w:rPr>
        <w:footnoteRef/>
      </w:r>
      <w:r>
        <w:t xml:space="preserve"> „Primo, ponit consequentiam, qua demonstrationis materialis definitio concluditur ex praemissis, dicens quod si </w:t>
      </w:r>
      <w:r>
        <w:rPr>
          <w:rStyle w:val="aul"/>
        </w:rPr>
        <w:t>scire</w:t>
      </w:r>
      <w:r>
        <w:t xml:space="preserve"> hoc significat quod diximus, scilicet, </w:t>
      </w:r>
      <w:r>
        <w:rPr>
          <w:rStyle w:val="aul"/>
        </w:rPr>
        <w:t>causam</w:t>
      </w:r>
      <w:r>
        <w:t xml:space="preserve"> </w:t>
      </w:r>
      <w:r>
        <w:rPr>
          <w:rStyle w:val="aul"/>
        </w:rPr>
        <w:t>rei</w:t>
      </w:r>
      <w:r>
        <w:t xml:space="preserve"> </w:t>
      </w:r>
      <w:r>
        <w:rPr>
          <w:rStyle w:val="aul"/>
        </w:rPr>
        <w:t>cognoscere</w:t>
      </w:r>
      <w:r>
        <w:t xml:space="preserve"> etc. necesse est quod </w:t>
      </w:r>
      <w:r>
        <w:rPr>
          <w:rStyle w:val="aul"/>
        </w:rPr>
        <w:t>demonstrativa</w:t>
      </w:r>
      <w:r>
        <w:t xml:space="preserve"> </w:t>
      </w:r>
      <w:r>
        <w:rPr>
          <w:rStyle w:val="aul"/>
        </w:rPr>
        <w:t>scientia,</w:t>
      </w:r>
      <w:r>
        <w:t xml:space="preserve"> idest quae per demonstrationem acquiritur, procedat ex propositionibus </w:t>
      </w:r>
      <w:r>
        <w:rPr>
          <w:rStyle w:val="aul"/>
        </w:rPr>
        <w:t>veris,</w:t>
      </w:r>
      <w:r>
        <w:t xml:space="preserve"> </w:t>
      </w:r>
      <w:r>
        <w:rPr>
          <w:rStyle w:val="aul"/>
        </w:rPr>
        <w:t>primis</w:t>
      </w:r>
      <w:r>
        <w:t xml:space="preserve"> </w:t>
      </w:r>
      <w:r w:rsidRPr="007F3036">
        <w:t>et immediatis,</w:t>
      </w:r>
      <w:r>
        <w:t xml:space="preserve"> idest quae non per aliquod medium demonstrantur, sed per seipsas sunt </w:t>
      </w:r>
      <w:proofErr w:type="gramStart"/>
      <w:r>
        <w:t>manifestae... et</w:t>
      </w:r>
      <w:proofErr w:type="gramEnd"/>
      <w:r>
        <w:t xml:space="preserve"> iterum ex notioribus, et prioribus, et causis conclusionis.“ </w:t>
      </w:r>
      <w:r w:rsidRPr="08A64BD6">
        <w:rPr>
          <w:rStyle w:val="TextpoznpodarouChar"/>
        </w:rPr>
        <w:t>(</w:t>
      </w:r>
      <w:r w:rsidRPr="08A64BD6">
        <w:rPr>
          <w:rStyle w:val="TextpoznpodarouChar"/>
          <w:i/>
        </w:rPr>
        <w:t>Expositio Posteriorum Analyticorum</w:t>
      </w:r>
      <w:r w:rsidRPr="08A64BD6">
        <w:rPr>
          <w:rStyle w:val="TextpoznpodarouChar"/>
        </w:rPr>
        <w:t xml:space="preserve">, cap. 2. lec. 4, par. 10; ed. Leonina 1, </w:t>
      </w:r>
      <w:r w:rsidRPr="08E56E81">
        <w:rPr>
          <w:rStyle w:val="TextpoznpodarouChar"/>
        </w:rPr>
        <w:t>152</w:t>
      </w:r>
      <w:r w:rsidRPr="08E56E81">
        <w:rPr>
          <w:rStyle w:val="TextpoznpodarouChar"/>
        </w:rPr>
        <w:fldChar w:fldCharType="begin"/>
      </w:r>
      <w:r w:rsidRPr="08E56E81">
        <w:rPr>
          <w:rStyle w:val="TextpoznpodarouChar"/>
        </w:rPr>
        <w:instrText xml:space="preserve"> XE "Akvinský:</w:instrText>
      </w:r>
      <w:r w:rsidRPr="08E56E81">
        <w:rPr>
          <w:rStyle w:val="TextpoznpodarouChar"/>
          <w:i/>
        </w:rPr>
        <w:instrText>Expositio Posteriorum Analyticorum</w:instrText>
      </w:r>
      <w:r w:rsidRPr="08E56E81">
        <w:rPr>
          <w:rStyle w:val="TextpoznpodarouChar"/>
        </w:rPr>
        <w:instrText xml:space="preserve"> 1.152" </w:instrText>
      </w:r>
      <w:r w:rsidRPr="08E56E81">
        <w:rPr>
          <w:rStyle w:val="TextpoznpodarouChar"/>
        </w:rPr>
        <w:fldChar w:fldCharType="end"/>
      </w:r>
      <w:r w:rsidRPr="08A64BD6">
        <w:rPr>
          <w:rStyle w:val="TextpoznpodarouChar"/>
        </w:rPr>
        <w:t>)</w:t>
      </w:r>
    </w:p>
  </w:footnote>
  <w:footnote w:id="299">
    <w:p w:rsidR="00971E82" w:rsidRPr="007F3036" w:rsidRDefault="00971E82" w:rsidP="08163013">
      <w:pPr>
        <w:pStyle w:val="Textpoznpodarou"/>
      </w:pPr>
      <w:r>
        <w:rPr>
          <w:rStyle w:val="Znakapoznpodarou"/>
        </w:rPr>
        <w:footnoteRef/>
      </w:r>
      <w:r>
        <w:t xml:space="preserve"> </w:t>
      </w:r>
      <w:r w:rsidRPr="002F4C66">
        <w:t xml:space="preserve">„Dicit ergo primo: superius dictum est quod demonstratio est syllogismus faciens scire, et quod demonstratio </w:t>
      </w:r>
      <w:r w:rsidRPr="08EE01E5">
        <w:rPr>
          <w:i/>
        </w:rPr>
        <w:t>ex causis rei</w:t>
      </w:r>
      <w:r w:rsidRPr="002F4C66">
        <w:t xml:space="preserve"> procedit et </w:t>
      </w:r>
      <w:r w:rsidRPr="08EE01E5">
        <w:rPr>
          <w:i/>
        </w:rPr>
        <w:t>primis et immediatis</w:t>
      </w:r>
      <w:r w:rsidRPr="002F4C66">
        <w:t>. Quod intelligendum est de demonstratione propter quid.“ (</w:t>
      </w:r>
      <w:r w:rsidRPr="002F4C66">
        <w:rPr>
          <w:i/>
        </w:rPr>
        <w:t>Expositio Posteriorum Analyticorum</w:t>
      </w:r>
      <w:r>
        <w:rPr>
          <w:lang w:val="cs-CZ"/>
        </w:rPr>
        <w:t xml:space="preserve">, </w:t>
      </w:r>
      <w:r w:rsidRPr="00BA533F">
        <w:rPr>
          <w:lang w:val="cs-CZ"/>
        </w:rPr>
        <w:t>cap. 13, lect. 23, odst. 2</w:t>
      </w:r>
      <w:r>
        <w:rPr>
          <w:lang w:val="cs-CZ"/>
        </w:rPr>
        <w:t>; ed. Leonina 1, 229‒30</w:t>
      </w:r>
      <w:r>
        <w:rPr>
          <w:i/>
        </w:rPr>
        <w:fldChar w:fldCharType="begin"/>
      </w:r>
      <w:r>
        <w:instrText xml:space="preserve"> XE "</w:instrText>
      </w:r>
      <w:r>
        <w:rPr>
          <w:lang w:val="cs-CZ"/>
        </w:rPr>
        <w:instrText>Akvinský:</w:instrText>
      </w:r>
      <w:r w:rsidRPr="004973F7">
        <w:rPr>
          <w:i/>
        </w:rPr>
        <w:instrText>Expositio Posteriorum Analyticorum</w:instrText>
      </w:r>
      <w:r>
        <w:instrText xml:space="preserve">" </w:instrText>
      </w:r>
      <w:r>
        <w:rPr>
          <w:lang w:val="cs-CZ"/>
        </w:rPr>
        <w:instrText>1.229‒30</w:instrText>
      </w:r>
      <w:r>
        <w:rPr>
          <w:i/>
        </w:rPr>
        <w:fldChar w:fldCharType="end"/>
      </w:r>
      <w:r>
        <w:t>)</w:t>
      </w:r>
    </w:p>
  </w:footnote>
  <w:footnote w:id="300">
    <w:p w:rsidR="00971E82" w:rsidRPr="00CE15D0" w:rsidRDefault="00971E82" w:rsidP="08163013">
      <w:pPr>
        <w:pStyle w:val="Textpoznpodarou"/>
        <w:rPr>
          <w:lang w:val="cs-CZ"/>
        </w:rPr>
      </w:pPr>
      <w:r>
        <w:rPr>
          <w:rStyle w:val="Znakapoznpodarou"/>
        </w:rPr>
        <w:footnoteRef/>
      </w:r>
      <w:r>
        <w:rPr>
          <w:lang w:val="cs-CZ"/>
        </w:rPr>
        <w:t xml:space="preserve"> „</w:t>
      </w:r>
      <w:r w:rsidRPr="08A20059">
        <w:rPr>
          <w:szCs w:val="24"/>
        </w:rPr>
        <w:t xml:space="preserve">Dicit ergo primo quod </w:t>
      </w:r>
      <w:r w:rsidRPr="08A20059">
        <w:rPr>
          <w:i/>
          <w:szCs w:val="25"/>
        </w:rPr>
        <w:t>diue</w:t>
      </w:r>
      <w:r w:rsidRPr="08A20059">
        <w:rPr>
          <w:i/>
          <w:szCs w:val="25"/>
          <w:lang w:val="cs-CZ"/>
        </w:rPr>
        <w:t xml:space="preserve">rum est </w:t>
      </w:r>
      <w:r w:rsidRPr="08A20059">
        <w:rPr>
          <w:i/>
          <w:szCs w:val="25"/>
        </w:rPr>
        <w:t>esse et id quod</w:t>
      </w:r>
      <w:r w:rsidRPr="08A20059">
        <w:rPr>
          <w:i/>
          <w:szCs w:val="25"/>
          <w:lang w:val="cs-CZ"/>
        </w:rPr>
        <w:t xml:space="preserve"> </w:t>
      </w:r>
      <w:r w:rsidRPr="08A20059">
        <w:rPr>
          <w:i/>
          <w:szCs w:val="25"/>
        </w:rPr>
        <w:t>est</w:t>
      </w:r>
      <w:r w:rsidRPr="08A20059">
        <w:rPr>
          <w:szCs w:val="25"/>
        </w:rPr>
        <w:t xml:space="preserve">, </w:t>
      </w:r>
      <w:r w:rsidRPr="08A20059">
        <w:rPr>
          <w:szCs w:val="24"/>
        </w:rPr>
        <w:t>que quidem d</w:t>
      </w:r>
      <w:r>
        <w:rPr>
          <w:szCs w:val="24"/>
        </w:rPr>
        <w:t>iuersitas non est hic referenda</w:t>
      </w:r>
      <w:r>
        <w:rPr>
          <w:szCs w:val="24"/>
          <w:lang w:val="cs-CZ"/>
        </w:rPr>
        <w:t xml:space="preserve"> </w:t>
      </w:r>
      <w:r w:rsidRPr="08A20059">
        <w:rPr>
          <w:szCs w:val="24"/>
        </w:rPr>
        <w:t>ad res de quibus adhuc non loquitur, set ad ipsas</w:t>
      </w:r>
      <w:r>
        <w:rPr>
          <w:szCs w:val="24"/>
          <w:lang w:val="cs-CZ"/>
        </w:rPr>
        <w:t xml:space="preserve"> </w:t>
      </w:r>
      <w:r w:rsidRPr="08A20059">
        <w:rPr>
          <w:szCs w:val="24"/>
        </w:rPr>
        <w:t>rationes seu intentiones.</w:t>
      </w:r>
      <w:r>
        <w:rPr>
          <w:szCs w:val="24"/>
          <w:lang w:val="cs-CZ"/>
        </w:rPr>
        <w:t xml:space="preserve">“ </w:t>
      </w:r>
      <w:r>
        <w:rPr>
          <w:lang w:val="cs-CZ"/>
        </w:rPr>
        <w:t>(</w:t>
      </w:r>
      <w:bookmarkStart w:id="49" w:name="84829"/>
      <w:r w:rsidRPr="00545C0B">
        <w:rPr>
          <w:rStyle w:val="ref"/>
          <w:rFonts w:eastAsia="Times"/>
          <w:i/>
        </w:rPr>
        <w:t>Expositio De ebdomadibus</w:t>
      </w:r>
      <w:bookmarkEnd w:id="49"/>
      <w:r>
        <w:rPr>
          <w:rStyle w:val="ref"/>
          <w:rFonts w:eastAsia="Times"/>
          <w:lang w:val="cs-CZ"/>
        </w:rPr>
        <w:t xml:space="preserve">, lect. 2; </w:t>
      </w:r>
      <w:r>
        <w:rPr>
          <w:lang w:val="cs-CZ"/>
        </w:rPr>
        <w:t>Leonina 50, 270.36‒39</w:t>
      </w:r>
      <w:r>
        <w:rPr>
          <w:rStyle w:val="ref"/>
          <w:rFonts w:eastAsia="Times"/>
        </w:rPr>
        <w:fldChar w:fldCharType="begin"/>
      </w:r>
      <w:r>
        <w:instrText xml:space="preserve"> XE "</w:instrText>
      </w:r>
      <w:r>
        <w:rPr>
          <w:lang w:val="cs-CZ"/>
        </w:rPr>
        <w:instrText>Akvinský:</w:instrText>
      </w:r>
      <w:r w:rsidRPr="0043298B">
        <w:rPr>
          <w:rStyle w:val="ref"/>
          <w:rFonts w:eastAsia="Times"/>
          <w:i/>
        </w:rPr>
        <w:instrText>Expositio De ebdomadibus</w:instrText>
      </w:r>
      <w:r w:rsidRPr="0043298B">
        <w:rPr>
          <w:rStyle w:val="ref"/>
          <w:rFonts w:eastAsia="Times"/>
          <w:lang w:val="cs-CZ"/>
        </w:rPr>
        <w:instrText xml:space="preserve"> </w:instrText>
      </w:r>
      <w:r>
        <w:rPr>
          <w:lang w:val="cs-CZ"/>
        </w:rPr>
        <w:instrText>270.36‒39</w:instrText>
      </w:r>
      <w:r>
        <w:instrText xml:space="preserve">" </w:instrText>
      </w:r>
      <w:r>
        <w:rPr>
          <w:rStyle w:val="ref"/>
          <w:rFonts w:eastAsia="Times"/>
        </w:rPr>
        <w:fldChar w:fldCharType="end"/>
      </w:r>
      <w:r>
        <w:rPr>
          <w:lang w:val="cs-CZ"/>
        </w:rPr>
        <w:t>)</w:t>
      </w:r>
    </w:p>
  </w:footnote>
  <w:footnote w:id="301">
    <w:p w:rsidR="00971E82" w:rsidRPr="00034361" w:rsidRDefault="00971E82" w:rsidP="08163013">
      <w:pPr>
        <w:pStyle w:val="Textpoznpodarou"/>
      </w:pPr>
      <w:r w:rsidRPr="00034361">
        <w:rPr>
          <w:rStyle w:val="Znakapoznpodarou"/>
        </w:rPr>
        <w:footnoteRef/>
      </w:r>
      <w:r>
        <w:rPr>
          <w:rStyle w:val="TextpoznpodarouChar"/>
          <w:rFonts w:eastAsia="Times"/>
        </w:rPr>
        <w:t xml:space="preserve"> </w:t>
      </w:r>
      <w:r w:rsidRPr="00034361">
        <w:rPr>
          <w:rStyle w:val="TextpoznpodarouChar"/>
          <w:rFonts w:eastAsia="Times"/>
        </w:rPr>
        <w:t>„Possunt ergo huiusmodi rationes sic abstractae considerari dupliciter. Uno modo secundum se, et sic considerantur sine motu et materia signata, et hoc non invenitur in eis nisi secundum esse quod habent in intellectu. Alio modo secundum quod comparantur ad res, quarum sunt rationes; quae quidem res sunt in materia et motu. Et sic sunt principia cognoscendi illa, quia omnis res cognoscitur per suam formam.“ (</w:t>
      </w:r>
      <w:r w:rsidRPr="00FA1CCB">
        <w:rPr>
          <w:i/>
        </w:rPr>
        <w:t>Expositio super librum Boethii De trinitate</w:t>
      </w:r>
      <w:r w:rsidRPr="00034361">
        <w:rPr>
          <w:rStyle w:val="TextpoznpodarouChar"/>
          <w:rFonts w:eastAsia="Times"/>
        </w:rPr>
        <w:t>, q. 5, a. 2, resp.</w:t>
      </w:r>
      <w:r>
        <w:rPr>
          <w:rStyle w:val="TextpoznpodarouChar"/>
          <w:rFonts w:eastAsia="Times"/>
          <w:lang w:val="cs-CZ"/>
        </w:rPr>
        <w:t xml:space="preserve">; </w:t>
      </w:r>
      <w:r>
        <w:rPr>
          <w:lang w:val="cs-CZ"/>
        </w:rPr>
        <w:t>ed. Leonina 50, 143.109‒17</w:t>
      </w:r>
      <w:r>
        <w:rPr>
          <w:i/>
        </w:rPr>
        <w:fldChar w:fldCharType="begin"/>
      </w:r>
      <w:r>
        <w:instrText xml:space="preserve"> XE "</w:instrText>
      </w:r>
      <w:r>
        <w:rPr>
          <w:lang w:val="cs-CZ"/>
        </w:rPr>
        <w:instrText>Akvinský:</w:instrText>
      </w:r>
      <w:r w:rsidRPr="00990684">
        <w:rPr>
          <w:i/>
        </w:rPr>
        <w:instrText>Expositio super librum Boethii De trinitate</w:instrText>
      </w:r>
      <w:r>
        <w:rPr>
          <w:i/>
          <w:lang w:val="cs-CZ"/>
        </w:rPr>
        <w:instrText xml:space="preserve"> </w:instrText>
      </w:r>
      <w:r>
        <w:rPr>
          <w:lang w:val="cs-CZ"/>
        </w:rPr>
        <w:instrText>143.109‒17</w:instrText>
      </w:r>
      <w:r>
        <w:instrText xml:space="preserve">" </w:instrText>
      </w:r>
      <w:r>
        <w:rPr>
          <w:i/>
        </w:rPr>
        <w:fldChar w:fldCharType="end"/>
      </w:r>
      <w:r w:rsidRPr="00034361">
        <w:rPr>
          <w:rStyle w:val="TextpoznpodarouChar"/>
          <w:rFonts w:eastAsia="Times"/>
        </w:rPr>
        <w:t>)</w:t>
      </w:r>
    </w:p>
  </w:footnote>
  <w:footnote w:id="302">
    <w:p w:rsidR="00971E82" w:rsidRPr="00437456" w:rsidRDefault="00971E82" w:rsidP="08163013">
      <w:pPr>
        <w:pStyle w:val="Textpoznpodarou"/>
      </w:pPr>
      <w:r>
        <w:rPr>
          <w:rStyle w:val="Znakapoznpodarou"/>
        </w:rPr>
        <w:footnoteRef/>
      </w:r>
      <w:r>
        <w:rPr>
          <w:lang w:val="cs-CZ"/>
        </w:rPr>
        <w:t xml:space="preserve"> </w:t>
      </w:r>
      <w:r>
        <w:t>„But the great argument with Platonism that Thomas takes on from Aristotle is that we cannot assume that things must exist as we think them. Our ability to formulate a notion of substance which does not include matter and motion is no warrant for asserting there exist immaterial substances. The point of distinguishing separation from abstraction is precisely here. The distinction arises in the context of talking about mathematicals and, like Aristotle, Thomas does not think that our abilility to fashion concepts which do not include sensible matter, as the concepts of line and triangle and circle do not, commits us to the existence of these things in the way they are talked of in mathematics.” (</w:t>
      </w:r>
      <w:r w:rsidRPr="002B2418">
        <w:t>McInerny</w:t>
      </w:r>
      <w:r>
        <w:t xml:space="preserve"> 1990, 147)</w:t>
      </w:r>
    </w:p>
  </w:footnote>
  <w:footnote w:id="303">
    <w:p w:rsidR="00971E82" w:rsidRPr="08D77052" w:rsidRDefault="00971E82" w:rsidP="08163013">
      <w:pPr>
        <w:pStyle w:val="Textpoznpodarou"/>
        <w:rPr>
          <w:lang w:val="cs-CZ"/>
        </w:rPr>
      </w:pPr>
      <w:r>
        <w:rPr>
          <w:rStyle w:val="Znakapoznpodarou"/>
        </w:rPr>
        <w:footnoteRef/>
      </w:r>
      <w:r>
        <w:t xml:space="preserve"> </w:t>
      </w:r>
      <w:r>
        <w:rPr>
          <w:lang w:val="cs-CZ"/>
        </w:rPr>
        <w:t>„</w:t>
      </w:r>
      <w:r>
        <w:t>Omnis enim forma, in quantum huiusmodi, universalis est; nisi forte sit forma subsistens, quae, ex hoc ipso quod subsistit, incommunicabilis est.</w:t>
      </w:r>
      <w:r>
        <w:rPr>
          <w:lang w:val="cs-CZ"/>
        </w:rPr>
        <w:t xml:space="preserve">“ </w:t>
      </w:r>
      <w:r w:rsidRPr="00034361">
        <w:rPr>
          <w:rStyle w:val="TextpoznpodarouChar"/>
          <w:rFonts w:eastAsia="Times"/>
        </w:rPr>
        <w:t>(</w:t>
      </w:r>
      <w:r w:rsidRPr="08D77052">
        <w:rPr>
          <w:i/>
        </w:rPr>
        <w:t>Quaestiones disputatae de veritate</w:t>
      </w:r>
      <w:r>
        <w:rPr>
          <w:rStyle w:val="TextpoznpodarouChar"/>
          <w:rFonts w:eastAsia="Times"/>
        </w:rPr>
        <w:t xml:space="preserve">, q. </w:t>
      </w:r>
      <w:r>
        <w:rPr>
          <w:rStyle w:val="TextpoznpodarouChar"/>
          <w:rFonts w:eastAsia="Times"/>
          <w:lang w:val="cs-CZ"/>
        </w:rPr>
        <w:t>2</w:t>
      </w:r>
      <w:r>
        <w:rPr>
          <w:rStyle w:val="TextpoznpodarouChar"/>
          <w:rFonts w:eastAsia="Times"/>
        </w:rPr>
        <w:t xml:space="preserve">, a. </w:t>
      </w:r>
      <w:r>
        <w:rPr>
          <w:rStyle w:val="TextpoznpodarouChar"/>
          <w:rFonts w:eastAsia="Times"/>
          <w:lang w:val="cs-CZ"/>
        </w:rPr>
        <w:t>6</w:t>
      </w:r>
      <w:r w:rsidRPr="00034361">
        <w:rPr>
          <w:rStyle w:val="TextpoznpodarouChar"/>
          <w:rFonts w:eastAsia="Times"/>
        </w:rPr>
        <w:t>, resp.</w:t>
      </w:r>
      <w:r>
        <w:rPr>
          <w:rStyle w:val="TextpoznpodarouChar"/>
          <w:rFonts w:eastAsia="Times"/>
          <w:lang w:val="cs-CZ"/>
        </w:rPr>
        <w:t xml:space="preserve">; </w:t>
      </w:r>
      <w:r>
        <w:rPr>
          <w:lang w:val="cs-CZ"/>
        </w:rPr>
        <w:t>ed. Leonina 22/1, pp. 65.53‒66.57</w:t>
      </w:r>
      <w:r>
        <w:rPr>
          <w:i/>
        </w:rPr>
        <w:fldChar w:fldCharType="begin"/>
      </w:r>
      <w:r>
        <w:instrText xml:space="preserve"> XE "</w:instrText>
      </w:r>
      <w:r>
        <w:rPr>
          <w:lang w:val="cs-CZ"/>
        </w:rPr>
        <w:instrText>Akvinský:</w:instrText>
      </w:r>
      <w:r w:rsidRPr="08D77052">
        <w:rPr>
          <w:i/>
        </w:rPr>
        <w:instrText>Quaestiones disputatae de veritate</w:instrText>
      </w:r>
      <w:r>
        <w:rPr>
          <w:i/>
          <w:lang w:val="cs-CZ"/>
        </w:rPr>
        <w:instrText xml:space="preserve"> </w:instrText>
      </w:r>
      <w:r>
        <w:rPr>
          <w:lang w:val="cs-CZ"/>
        </w:rPr>
        <w:instrText>65.53‒66.57</w:instrText>
      </w:r>
      <w:r>
        <w:instrText xml:space="preserve">" </w:instrText>
      </w:r>
      <w:r>
        <w:rPr>
          <w:i/>
        </w:rPr>
        <w:fldChar w:fldCharType="end"/>
      </w:r>
      <w:r w:rsidRPr="00034361">
        <w:rPr>
          <w:rStyle w:val="TextpoznpodarouChar"/>
          <w:rFonts w:eastAsia="Times"/>
        </w:rPr>
        <w:t>)</w:t>
      </w:r>
    </w:p>
  </w:footnote>
  <w:footnote w:id="304">
    <w:p w:rsidR="00971E82" w:rsidRPr="081D7C57" w:rsidRDefault="00971E82" w:rsidP="08163013">
      <w:pPr>
        <w:pStyle w:val="Textpoznpodarou"/>
        <w:rPr>
          <w:lang w:val="cs-CZ"/>
        </w:rPr>
      </w:pPr>
      <w:r>
        <w:rPr>
          <w:rStyle w:val="Znakapoznpodarou"/>
        </w:rPr>
        <w:footnoteRef/>
      </w:r>
      <w:r>
        <w:rPr>
          <w:lang w:val="cs-CZ"/>
        </w:rPr>
        <w:t xml:space="preserve"> „</w:t>
      </w:r>
      <w:r w:rsidRPr="08434C62">
        <w:t xml:space="preserve">Ad </w:t>
      </w:r>
      <w:r w:rsidRPr="08434C62">
        <w:rPr>
          <w:rStyle w:val="Zkladntext55ptTundkovn0pt"/>
          <w:rFonts w:ascii="Calibri" w:hAnsi="Calibri"/>
          <w:b w:val="0"/>
          <w:bCs w:val="0"/>
          <w:sz w:val="20"/>
        </w:rPr>
        <w:t>octavum</w:t>
      </w:r>
      <w:r w:rsidRPr="08434C62">
        <w:rPr>
          <w:rStyle w:val="Zkladntext55pt"/>
        </w:rPr>
        <w:t xml:space="preserve"> </w:t>
      </w:r>
      <w:r w:rsidRPr="08434C62">
        <w:t>dicendum, quod licet effectus non possit excedere causam suam, tamen cau</w:t>
      </w:r>
      <w:r w:rsidRPr="08434C62">
        <w:softHyphen/>
        <w:t>sa potest excedere effectum; et ideo licet ab una causa possint procedere plures effectus, tamen non potest unus effectus a pluribus causis immediate procedere.</w:t>
      </w:r>
      <w:r>
        <w:rPr>
          <w:lang w:val="cs-CZ"/>
        </w:rPr>
        <w:t xml:space="preserve">“ </w:t>
      </w:r>
      <w:r w:rsidRPr="00B4380B">
        <w:rPr>
          <w:lang w:val="cs-CZ"/>
        </w:rPr>
        <w:t>(</w:t>
      </w:r>
      <w:bookmarkStart w:id="50" w:name="59164"/>
      <w:r>
        <w:rPr>
          <w:i/>
        </w:rPr>
        <w:t>Quaestiones disputatae D</w:t>
      </w:r>
      <w:r w:rsidRPr="00273106">
        <w:rPr>
          <w:i/>
        </w:rPr>
        <w:t>e potentia</w:t>
      </w:r>
      <w:r w:rsidRPr="00273106">
        <w:t xml:space="preserve"> </w:t>
      </w:r>
      <w:r w:rsidRPr="0851706E">
        <w:rPr>
          <w:i/>
        </w:rPr>
        <w:t>Dei</w:t>
      </w:r>
      <w:r w:rsidRPr="00F74856">
        <w:rPr>
          <w:rStyle w:val="ref"/>
          <w:rFonts w:eastAsia="Times"/>
        </w:rPr>
        <w:t xml:space="preserve">, q. 3, a. 17, </w:t>
      </w:r>
      <w:r>
        <w:rPr>
          <w:rStyle w:val="ref"/>
          <w:rFonts w:eastAsia="Times"/>
          <w:lang w:val="cs-CZ"/>
        </w:rPr>
        <w:t>ad</w:t>
      </w:r>
      <w:bookmarkEnd w:id="50"/>
      <w:r>
        <w:rPr>
          <w:rStyle w:val="ref"/>
          <w:rFonts w:eastAsia="Times"/>
          <w:lang w:val="cs-CZ"/>
        </w:rPr>
        <w:t xml:space="preserve"> 8; ed. Marietti, p. 89</w:t>
      </w:r>
      <w:r>
        <w:rPr>
          <w:rStyle w:val="ref"/>
          <w:rFonts w:eastAsia="Times"/>
          <w:lang w:val="cs-CZ"/>
        </w:rPr>
        <w:fldChar w:fldCharType="begin"/>
      </w:r>
      <w:r>
        <w:instrText xml:space="preserve"> XE "</w:instrText>
      </w:r>
      <w:r w:rsidRPr="080F2D80">
        <w:rPr>
          <w:i/>
        </w:rPr>
        <w:instrText>Quaestiones disputatae De potentia</w:instrText>
      </w:r>
      <w:r w:rsidRPr="080F2D80">
        <w:instrText xml:space="preserve"> </w:instrText>
      </w:r>
      <w:r w:rsidRPr="080F2D80">
        <w:rPr>
          <w:rStyle w:val="ref"/>
          <w:rFonts w:eastAsia="Times"/>
          <w:lang w:val="cs-CZ"/>
        </w:rPr>
        <w:instrText>89</w:instrText>
      </w:r>
      <w:r>
        <w:instrText xml:space="preserve">" </w:instrText>
      </w:r>
      <w:r>
        <w:rPr>
          <w:rStyle w:val="ref"/>
          <w:rFonts w:eastAsia="Times"/>
          <w:lang w:val="cs-CZ"/>
        </w:rPr>
        <w:fldChar w:fldCharType="end"/>
      </w:r>
      <w:r w:rsidRPr="00F74856">
        <w:rPr>
          <w:rStyle w:val="ref"/>
          <w:rFonts w:eastAsia="Times"/>
        </w:rPr>
        <w:t>)</w:t>
      </w:r>
    </w:p>
  </w:footnote>
  <w:footnote w:id="305">
    <w:p w:rsidR="00971E82" w:rsidRPr="007661E8" w:rsidRDefault="00971E82" w:rsidP="08163013">
      <w:pPr>
        <w:pStyle w:val="Textpoznpodarou"/>
      </w:pPr>
      <w:r>
        <w:rPr>
          <w:rStyle w:val="Znakapoznpodarou"/>
        </w:rPr>
        <w:footnoteRef/>
      </w:r>
      <w:r>
        <w:t xml:space="preserve"> „Ad primum ergo dicendum quod materia non est individuationis principium nisi secundum quod est sub dimensionibus signatis exsistens. Et sic etiam scientia naturalis a materia abstrahit.“ (</w:t>
      </w:r>
      <w:r w:rsidRPr="007661E8">
        <w:rPr>
          <w:i/>
        </w:rPr>
        <w:t>Expositio super librum Boethii De trinitate</w:t>
      </w:r>
      <w:r w:rsidRPr="00034361">
        <w:rPr>
          <w:rStyle w:val="TextpoznpodarouChar"/>
          <w:rFonts w:eastAsia="Times"/>
        </w:rPr>
        <w:t xml:space="preserve">, q. 5, a. 2, </w:t>
      </w:r>
      <w:r>
        <w:rPr>
          <w:rStyle w:val="TextpoznpodarouChar"/>
          <w:rFonts w:eastAsia="Times"/>
        </w:rPr>
        <w:t xml:space="preserve">resp., </w:t>
      </w:r>
      <w:r w:rsidRPr="00034361">
        <w:rPr>
          <w:rStyle w:val="TextpoznpodarouChar"/>
          <w:rFonts w:eastAsia="Times"/>
        </w:rPr>
        <w:t xml:space="preserve">ad </w:t>
      </w:r>
      <w:r>
        <w:rPr>
          <w:rStyle w:val="TextpoznpodarouChar"/>
          <w:rFonts w:eastAsia="Times"/>
        </w:rPr>
        <w:t>1</w:t>
      </w:r>
      <w:r>
        <w:rPr>
          <w:lang w:val="cs-CZ"/>
        </w:rPr>
        <w:t>; ed. Leonina 50, 143.122‒25</w:t>
      </w:r>
      <w:r>
        <w:rPr>
          <w:i/>
        </w:rPr>
        <w:fldChar w:fldCharType="begin"/>
      </w:r>
      <w:r>
        <w:instrText xml:space="preserve"> XE "</w:instrText>
      </w:r>
      <w:r>
        <w:rPr>
          <w:lang w:val="cs-CZ"/>
        </w:rPr>
        <w:instrText>Akvinský:</w:instrText>
      </w:r>
      <w:r w:rsidRPr="001F7CA8">
        <w:rPr>
          <w:i/>
        </w:rPr>
        <w:instrText>Expositio super librum Boethii De trinitate</w:instrText>
      </w:r>
      <w:r>
        <w:rPr>
          <w:lang w:val="cs-CZ"/>
        </w:rPr>
        <w:instrText xml:space="preserve"> 143.122‒25</w:instrText>
      </w:r>
      <w:r>
        <w:instrText xml:space="preserve">" </w:instrText>
      </w:r>
      <w:r>
        <w:rPr>
          <w:i/>
        </w:rPr>
        <w:fldChar w:fldCharType="end"/>
      </w:r>
      <w:r>
        <w:t>)</w:t>
      </w:r>
    </w:p>
  </w:footnote>
  <w:footnote w:id="306">
    <w:p w:rsidR="00971E82" w:rsidRPr="00B11A43" w:rsidRDefault="00971E82" w:rsidP="08163013">
      <w:pPr>
        <w:pStyle w:val="Textpoznpodarou"/>
      </w:pPr>
      <w:r>
        <w:rPr>
          <w:rStyle w:val="Znakapoznpodarou"/>
        </w:rPr>
        <w:footnoteRef/>
      </w:r>
      <w:r>
        <w:t xml:space="preserve"> „Ad tertium dicendum, quod hoc nomen donum vel datum, praeter relationem ex qua dicitur donum vel datum, dat intelligere rem quamdam quae datur; quamvis forte non sicut partem significationis nominis, </w:t>
      </w:r>
      <w:r>
        <w:rPr>
          <w:rStyle w:val="aus"/>
          <w:rFonts w:eastAsia="Times"/>
        </w:rPr>
        <w:t>quia</w:t>
      </w:r>
      <w:r>
        <w:t xml:space="preserve"> </w:t>
      </w:r>
      <w:r>
        <w:rPr>
          <w:rStyle w:val="aus"/>
          <w:rFonts w:eastAsia="Times"/>
        </w:rPr>
        <w:t>subjectum</w:t>
      </w:r>
      <w:r>
        <w:t xml:space="preserve"> </w:t>
      </w:r>
      <w:r>
        <w:rPr>
          <w:rStyle w:val="aus"/>
          <w:rFonts w:eastAsia="Times"/>
        </w:rPr>
        <w:t>non</w:t>
      </w:r>
      <w:r>
        <w:t xml:space="preserve"> </w:t>
      </w:r>
      <w:r>
        <w:rPr>
          <w:rStyle w:val="aus"/>
          <w:rFonts w:eastAsia="Times"/>
        </w:rPr>
        <w:t>includitur</w:t>
      </w:r>
      <w:r>
        <w:t xml:space="preserve"> </w:t>
      </w:r>
      <w:r>
        <w:rPr>
          <w:rStyle w:val="aus"/>
          <w:rFonts w:eastAsia="Times"/>
        </w:rPr>
        <w:t>in</w:t>
      </w:r>
      <w:r>
        <w:t xml:space="preserve"> </w:t>
      </w:r>
      <w:r>
        <w:rPr>
          <w:rStyle w:val="aus"/>
          <w:rFonts w:eastAsia="Times"/>
        </w:rPr>
        <w:t>significatione</w:t>
      </w:r>
      <w:r>
        <w:t xml:space="preserve"> </w:t>
      </w:r>
      <w:r>
        <w:rPr>
          <w:rStyle w:val="aus"/>
          <w:rFonts w:eastAsia="Times"/>
        </w:rPr>
        <w:t>nominis</w:t>
      </w:r>
      <w:r>
        <w:t xml:space="preserve"> </w:t>
      </w:r>
      <w:r>
        <w:rPr>
          <w:rStyle w:val="aus"/>
          <w:rFonts w:eastAsia="Times"/>
        </w:rPr>
        <w:t>significantis</w:t>
      </w:r>
      <w:r>
        <w:t xml:space="preserve"> </w:t>
      </w:r>
      <w:r>
        <w:rPr>
          <w:rStyle w:val="aus"/>
          <w:rFonts w:eastAsia="Times"/>
        </w:rPr>
        <w:t>accidens</w:t>
      </w:r>
      <w:r>
        <w:t xml:space="preserve"> </w:t>
      </w:r>
      <w:r>
        <w:rPr>
          <w:rStyle w:val="aus"/>
          <w:rFonts w:eastAsia="Times"/>
        </w:rPr>
        <w:t>concretive,</w:t>
      </w:r>
      <w:r>
        <w:t xml:space="preserve"> </w:t>
      </w:r>
      <w:r>
        <w:rPr>
          <w:rStyle w:val="aur"/>
        </w:rPr>
        <w:t>ut</w:t>
      </w:r>
      <w:r>
        <w:t xml:space="preserve"> </w:t>
      </w:r>
      <w:r>
        <w:rPr>
          <w:rStyle w:val="aur"/>
        </w:rPr>
        <w:t>dicit</w:t>
      </w:r>
      <w:r>
        <w:t xml:space="preserve"> </w:t>
      </w:r>
      <w:r w:rsidRPr="00B11A43">
        <w:rPr>
          <w:rStyle w:val="aur"/>
          <w:bCs/>
        </w:rPr>
        <w:t>Commentator</w:t>
      </w:r>
      <w:r>
        <w:rPr>
          <w:rStyle w:val="aur"/>
          <w:b/>
          <w:bCs/>
        </w:rPr>
        <w:t>,</w:t>
      </w:r>
      <w:r>
        <w:t xml:space="preserve"> </w:t>
      </w:r>
      <w:r>
        <w:rPr>
          <w:rStyle w:val="aur"/>
        </w:rPr>
        <w:t>quamvis</w:t>
      </w:r>
      <w:r>
        <w:t xml:space="preserve"> </w:t>
      </w:r>
      <w:r>
        <w:rPr>
          <w:rStyle w:val="aur"/>
        </w:rPr>
        <w:t>Avicenna,</w:t>
      </w:r>
      <w:r>
        <w:t xml:space="preserve"> </w:t>
      </w:r>
      <w:r>
        <w:rPr>
          <w:rStyle w:val="aur"/>
        </w:rPr>
        <w:t>contrarium</w:t>
      </w:r>
      <w:r>
        <w:t xml:space="preserve"> </w:t>
      </w:r>
      <w:r>
        <w:rPr>
          <w:rStyle w:val="aur"/>
        </w:rPr>
        <w:t>senserit.“ (</w:t>
      </w:r>
      <w:r w:rsidRPr="00B11A43">
        <w:rPr>
          <w:i/>
        </w:rPr>
        <w:t>Scriptum super libros Sententiarum</w:t>
      </w:r>
      <w:r>
        <w:rPr>
          <w:rStyle w:val="ref"/>
          <w:rFonts w:eastAsia="Times"/>
        </w:rPr>
        <w:t>, lib. 1, d. 18, q. 1, a. 2, ad 3</w:t>
      </w:r>
      <w:r>
        <w:rPr>
          <w:rStyle w:val="ref"/>
          <w:rFonts w:eastAsia="Times"/>
          <w:lang w:val="cs-CZ"/>
        </w:rPr>
        <w:t xml:space="preserve">; </w:t>
      </w:r>
      <w:r>
        <w:rPr>
          <w:lang w:val="cs-CZ"/>
        </w:rPr>
        <w:t>ed. Marietti, p. 440</w:t>
      </w:r>
      <w:r>
        <w:rPr>
          <w:lang w:val="cs-CZ"/>
        </w:rPr>
        <w:fldChar w:fldCharType="begin"/>
      </w:r>
      <w:r>
        <w:instrText xml:space="preserve"> XE "</w:instrText>
      </w:r>
      <w:r>
        <w:rPr>
          <w:lang w:val="cs-CZ"/>
        </w:rPr>
        <w:instrText>Akvinský:</w:instrText>
      </w:r>
      <w:r w:rsidRPr="00FA2AC2">
        <w:rPr>
          <w:i/>
          <w:lang w:val="cs-CZ"/>
        </w:rPr>
        <w:instrText>Super Sententiarum</w:instrText>
      </w:r>
      <w:r>
        <w:rPr>
          <w:i/>
          <w:lang w:val="cs-CZ"/>
        </w:rPr>
        <w:instrText xml:space="preserve"> </w:instrText>
      </w:r>
      <w:r>
        <w:rPr>
          <w:lang w:val="cs-CZ"/>
        </w:rPr>
        <w:instrText>I.440</w:instrText>
      </w:r>
      <w:r>
        <w:instrText xml:space="preserve">" </w:instrText>
      </w:r>
      <w:r>
        <w:rPr>
          <w:lang w:val="cs-CZ"/>
        </w:rPr>
        <w:fldChar w:fldCharType="end"/>
      </w:r>
      <w:r>
        <w:rPr>
          <w:rStyle w:val="aur"/>
        </w:rPr>
        <w:t>)</w:t>
      </w:r>
    </w:p>
  </w:footnote>
  <w:footnote w:id="307">
    <w:p w:rsidR="00971E82" w:rsidRPr="004D385C" w:rsidRDefault="00971E82" w:rsidP="08163013">
      <w:pPr>
        <w:pStyle w:val="Textpoznpodarou"/>
      </w:pPr>
      <w:r>
        <w:rPr>
          <w:rStyle w:val="Znakapoznpodarou"/>
        </w:rPr>
        <w:footnoteRef/>
      </w:r>
      <w:r>
        <w:t xml:space="preserve"> „</w:t>
      </w:r>
      <w:r w:rsidRPr="004D385C">
        <w:t>Ad secundum dicendum quod forma intelligibilis est quiditas rei. Obiectum enim intellectus est quid, ut dicitur in III de anima. Quiditas autem compositi universalis, ut hominis aut animalis, includit in se materiam universalem, non autem particularem, ut dicitur in VII metaphysicae. Unde intellectus communiter abstrahit a materia signata et condicionibus eius</w:t>
      </w:r>
      <w:r>
        <w:rPr>
          <w:lang w:val="cs-CZ"/>
        </w:rPr>
        <w:t>...</w:t>
      </w:r>
      <w:r>
        <w:t>“ (</w:t>
      </w:r>
      <w:r w:rsidRPr="007661E8">
        <w:rPr>
          <w:i/>
        </w:rPr>
        <w:t>Expositio super librum Boethii De trinitate</w:t>
      </w:r>
      <w:r w:rsidRPr="00034361">
        <w:rPr>
          <w:rStyle w:val="TextpoznpodarouChar"/>
          <w:rFonts w:eastAsia="Times"/>
        </w:rPr>
        <w:t xml:space="preserve">, q. 5, a. 2, </w:t>
      </w:r>
      <w:r>
        <w:rPr>
          <w:rStyle w:val="TextpoznpodarouChar"/>
          <w:rFonts w:eastAsia="Times"/>
        </w:rPr>
        <w:t xml:space="preserve">resp., </w:t>
      </w:r>
      <w:r w:rsidRPr="00034361">
        <w:rPr>
          <w:rStyle w:val="TextpoznpodarouChar"/>
          <w:rFonts w:eastAsia="Times"/>
        </w:rPr>
        <w:t xml:space="preserve">ad </w:t>
      </w:r>
      <w:r>
        <w:rPr>
          <w:rStyle w:val="TextpoznpodarouChar"/>
          <w:rFonts w:eastAsia="Times"/>
        </w:rPr>
        <w:t>2</w:t>
      </w:r>
      <w:r>
        <w:rPr>
          <w:rStyle w:val="TextpoznpodarouChar"/>
          <w:rFonts w:eastAsia="Times"/>
          <w:lang w:val="cs-CZ"/>
        </w:rPr>
        <w:t xml:space="preserve">; ed. Leonina 50, 143.126‒144.133 </w:t>
      </w:r>
      <w:r>
        <w:rPr>
          <w:i/>
        </w:rPr>
        <w:fldChar w:fldCharType="begin"/>
      </w:r>
      <w:r>
        <w:instrText xml:space="preserve"> XE "</w:instrText>
      </w:r>
      <w:r>
        <w:rPr>
          <w:lang w:val="cs-CZ"/>
        </w:rPr>
        <w:instrText>Akvinský:</w:instrText>
      </w:r>
      <w:r w:rsidRPr="005417AB">
        <w:rPr>
          <w:i/>
        </w:rPr>
        <w:instrText>Expositio super librum Boethii De trinitate</w:instrText>
      </w:r>
      <w:r>
        <w:rPr>
          <w:i/>
          <w:lang w:val="cs-CZ"/>
        </w:rPr>
        <w:instrText xml:space="preserve"> </w:instrText>
      </w:r>
      <w:r>
        <w:rPr>
          <w:rStyle w:val="TextpoznpodarouChar"/>
          <w:rFonts w:eastAsia="Times"/>
          <w:lang w:val="cs-CZ"/>
        </w:rPr>
        <w:instrText>143.126‒144.133</w:instrText>
      </w:r>
      <w:r>
        <w:instrText xml:space="preserve">" </w:instrText>
      </w:r>
      <w:r>
        <w:rPr>
          <w:i/>
        </w:rPr>
        <w:fldChar w:fldCharType="end"/>
      </w:r>
      <w:r>
        <w:t>)</w:t>
      </w:r>
    </w:p>
  </w:footnote>
  <w:footnote w:id="308">
    <w:p w:rsidR="00971E82" w:rsidRPr="00DF3208" w:rsidRDefault="00971E82" w:rsidP="08163013">
      <w:pPr>
        <w:pStyle w:val="Textpoznpodarou"/>
      </w:pPr>
      <w:r>
        <w:rPr>
          <w:rStyle w:val="Znakapoznpodarou"/>
        </w:rPr>
        <w:footnoteRef/>
      </w:r>
      <w:r>
        <w:t xml:space="preserve"> </w:t>
      </w:r>
      <w:r w:rsidRPr="00CB251C">
        <w:t xml:space="preserve">„Dicit enim praedictus Averroes quod homo differt specie a brutis per intellectum quem </w:t>
      </w:r>
      <w:r>
        <w:t>Aristoteles</w:t>
      </w:r>
      <w:r w:rsidRPr="00CB251C">
        <w:t xml:space="preserve"> vocat passivum, qui est ipsa vis cogitativa, quae est propria homini loco cuius alia animalia habent quandam aestimativam naturalem. Huius autem cogitativae virtutis est distinguere intentiones individuales, et comparare eas ad invicem: sicut intellectus qui est separatus et immixtus, comparat et distinguit inter intentiones universales. Et quia per hanc virtutem, simul cum imaginativa et memorativa, praeparantur phantasmata ut recipiant actionem intellectus agentis, a quo fiunt intelligibilia actu...“ (</w:t>
      </w:r>
      <w:r>
        <w:rPr>
          <w:i/>
        </w:rPr>
        <w:t xml:space="preserve">Summa contra </w:t>
      </w:r>
      <w:r>
        <w:rPr>
          <w:i/>
          <w:lang w:val="cs-CZ"/>
        </w:rPr>
        <w:t>G</w:t>
      </w:r>
      <w:r w:rsidRPr="08E834F0">
        <w:rPr>
          <w:i/>
        </w:rPr>
        <w:t xml:space="preserve">entiles </w:t>
      </w:r>
      <w:r>
        <w:t>II.60</w:t>
      </w:r>
      <w:r>
        <w:rPr>
          <w:lang w:val="cs-CZ"/>
        </w:rPr>
        <w:t xml:space="preserve">; </w:t>
      </w:r>
      <w:r>
        <w:t xml:space="preserve">ed. Leonina </w:t>
      </w:r>
      <w:r>
        <w:rPr>
          <w:lang w:val="cs-CZ"/>
        </w:rPr>
        <w:t xml:space="preserve">13, pp. </w:t>
      </w:r>
      <w:r w:rsidRPr="00CB251C">
        <w:t>419</w:t>
      </w:r>
      <w:r>
        <w:t>‒</w:t>
      </w:r>
      <w:r>
        <w:rPr>
          <w:lang w:val="cs-CZ"/>
        </w:rPr>
        <w:t>20</w:t>
      </w:r>
      <w:r>
        <w:fldChar w:fldCharType="begin"/>
      </w:r>
      <w:r>
        <w:instrText xml:space="preserve"> XE "</w:instrText>
      </w:r>
      <w:r>
        <w:rPr>
          <w:lang w:val="cs-CZ"/>
        </w:rPr>
        <w:instrText>Akvinský:</w:instrText>
      </w:r>
      <w:r w:rsidRPr="00C05CDA">
        <w:rPr>
          <w:i/>
        </w:rPr>
        <w:instrText xml:space="preserve">Summa contra </w:instrText>
      </w:r>
      <w:r w:rsidRPr="00C05CDA">
        <w:rPr>
          <w:i/>
          <w:lang w:val="cs-CZ"/>
        </w:rPr>
        <w:instrText>G</w:instrText>
      </w:r>
      <w:r w:rsidRPr="00C05CDA">
        <w:rPr>
          <w:i/>
        </w:rPr>
        <w:instrText xml:space="preserve">entiles </w:instrText>
      </w:r>
      <w:r w:rsidRPr="080D754A">
        <w:rPr>
          <w:lang w:val="cs-CZ"/>
        </w:rPr>
        <w:instrText>II.60</w:instrText>
      </w:r>
      <w:r>
        <w:instrText xml:space="preserve">" </w:instrText>
      </w:r>
      <w:r>
        <w:fldChar w:fldCharType="end"/>
      </w:r>
      <w:r w:rsidRPr="00CB251C">
        <w:t>).</w:t>
      </w:r>
    </w:p>
  </w:footnote>
  <w:footnote w:id="309">
    <w:p w:rsidR="00971E82" w:rsidRPr="08A546B0" w:rsidRDefault="00971E82" w:rsidP="08163013">
      <w:pPr>
        <w:pStyle w:val="Textpoznpodarou"/>
      </w:pPr>
      <w:r>
        <w:rPr>
          <w:rStyle w:val="Znakapoznpodarou"/>
        </w:rPr>
        <w:footnoteRef/>
      </w:r>
      <w:r>
        <w:t xml:space="preserve"> </w:t>
      </w:r>
      <w:r>
        <w:rPr>
          <w:lang w:val="cs-CZ"/>
        </w:rPr>
        <w:t>„</w:t>
      </w:r>
      <w:r w:rsidRPr="083512C0">
        <w:rPr>
          <w:lang w:val="cs-CZ"/>
        </w:rPr>
        <w:t>Respondeo. Dicendum quod quidam dixerunt creationem aliquid esse in rerum natura medium inter creatorem et creaturam. Et quia medium neutrum extremorum est, ideo sequebatur quod creatio neque esset creator neque creatura. Sed hoc a magistris erroneum est iudicatum, cum omnis res quocumque modo existens non habeat esse n</w:t>
      </w:r>
      <w:r>
        <w:rPr>
          <w:lang w:val="cs-CZ"/>
        </w:rPr>
        <w:t xml:space="preserve">isi a Deo, et sic est creatura.“ </w:t>
      </w:r>
      <w:r w:rsidRPr="00273106">
        <w:t>(</w:t>
      </w:r>
      <w:r w:rsidRPr="08914E08">
        <w:rPr>
          <w:i/>
          <w:lang w:val="cs-CZ"/>
        </w:rPr>
        <w:t>Questiones disputatae</w:t>
      </w:r>
      <w:r>
        <w:rPr>
          <w:lang w:val="cs-CZ"/>
        </w:rPr>
        <w:t xml:space="preserve"> </w:t>
      </w:r>
      <w:r>
        <w:rPr>
          <w:i/>
          <w:iCs/>
          <w:lang w:val="cs-CZ"/>
        </w:rPr>
        <w:t>D</w:t>
      </w:r>
      <w:r w:rsidRPr="00273106">
        <w:rPr>
          <w:i/>
          <w:iCs/>
        </w:rPr>
        <w:t>e potentia</w:t>
      </w:r>
      <w:r w:rsidRPr="00273106">
        <w:rPr>
          <w:iCs/>
        </w:rPr>
        <w:t>, q. 3, a. 3, resp.</w:t>
      </w:r>
      <w:r>
        <w:rPr>
          <w:iCs/>
          <w:lang w:val="cs-CZ"/>
        </w:rPr>
        <w:t>, ed. Marietti, p. 43</w:t>
      </w:r>
      <w:r>
        <w:rPr>
          <w:i/>
          <w:iCs/>
        </w:rPr>
        <w:fldChar w:fldCharType="begin"/>
      </w:r>
      <w:r>
        <w:instrText xml:space="preserve"> XE "Akvinský:</w:instrText>
      </w:r>
      <w:r w:rsidRPr="00815697">
        <w:rPr>
          <w:i/>
          <w:iCs/>
        </w:rPr>
        <w:instrText>De potentia</w:instrText>
      </w:r>
      <w:r>
        <w:rPr>
          <w:iCs/>
          <w:lang w:val="cs-CZ"/>
        </w:rPr>
        <w:instrText xml:space="preserve"> 43</w:instrText>
      </w:r>
      <w:r>
        <w:instrText xml:space="preserve">" </w:instrText>
      </w:r>
      <w:r>
        <w:rPr>
          <w:i/>
          <w:iCs/>
        </w:rPr>
        <w:fldChar w:fldCharType="end"/>
      </w:r>
      <w:r w:rsidRPr="00273106">
        <w:t>)</w:t>
      </w:r>
    </w:p>
  </w:footnote>
  <w:footnote w:id="310">
    <w:p w:rsidR="00971E82" w:rsidRPr="00C228B4" w:rsidRDefault="00971E82" w:rsidP="08163013">
      <w:pPr>
        <w:pStyle w:val="Textpoznpodarou"/>
      </w:pPr>
      <w:r>
        <w:rPr>
          <w:rStyle w:val="Znakapoznpodarou"/>
        </w:rPr>
        <w:footnoteRef/>
      </w:r>
      <w:r>
        <w:t xml:space="preserve"> </w:t>
      </w:r>
      <w:r w:rsidRPr="00BE1F05">
        <w:t>„Actionem dico non quae in aliquod patiens transeat: quia in Deo nihil potest esse patiens, cum non sit ibi materia; ad id autem quod est extra Deum, non est in Deo realis relatio, ut ostensum est. Relinquitur ergo quod consequatur relatio realis in Deo actionem manentem in agente: cuiusmodi actiones sunt intelligere et velle in Deo.“</w:t>
      </w:r>
      <w:r>
        <w:t xml:space="preserve"> (</w:t>
      </w:r>
      <w:r w:rsidRPr="08914E08">
        <w:rPr>
          <w:i/>
          <w:lang w:val="cs-CZ"/>
        </w:rPr>
        <w:t>Questiones disputatae</w:t>
      </w:r>
      <w:r>
        <w:rPr>
          <w:lang w:val="cs-CZ"/>
        </w:rPr>
        <w:t xml:space="preserve"> </w:t>
      </w:r>
      <w:r>
        <w:rPr>
          <w:i/>
          <w:iCs/>
          <w:lang w:val="cs-CZ"/>
        </w:rPr>
        <w:t>D</w:t>
      </w:r>
      <w:r w:rsidRPr="00273106">
        <w:rPr>
          <w:i/>
          <w:iCs/>
        </w:rPr>
        <w:t>e potentia</w:t>
      </w:r>
      <w:r w:rsidRPr="00BE1F05">
        <w:t>, q. 8, a. 1, resp.</w:t>
      </w:r>
      <w:r>
        <w:rPr>
          <w:lang w:val="cs-CZ"/>
        </w:rPr>
        <w:t xml:space="preserve">; </w:t>
      </w:r>
      <w:r>
        <w:rPr>
          <w:iCs/>
          <w:lang w:val="cs-CZ"/>
        </w:rPr>
        <w:t>ed. Marietti, p. 214</w:t>
      </w:r>
      <w:r>
        <w:rPr>
          <w:i/>
        </w:rPr>
        <w:fldChar w:fldCharType="begin"/>
      </w:r>
      <w:r>
        <w:instrText xml:space="preserve"> XE "</w:instrText>
      </w:r>
      <w:r>
        <w:rPr>
          <w:lang w:val="cs-CZ"/>
        </w:rPr>
        <w:instrText>Akvinský:</w:instrText>
      </w:r>
      <w:r w:rsidRPr="00995DF0">
        <w:rPr>
          <w:i/>
          <w:lang w:val="cs-CZ"/>
        </w:rPr>
        <w:instrText>Quaestiones disputatae De potentia</w:instrText>
      </w:r>
      <w:r>
        <w:rPr>
          <w:i/>
          <w:lang w:val="cs-CZ"/>
        </w:rPr>
        <w:instrText xml:space="preserve"> </w:instrText>
      </w:r>
      <w:r>
        <w:rPr>
          <w:lang w:val="cs-CZ"/>
        </w:rPr>
        <w:instrText>214</w:instrText>
      </w:r>
      <w:r>
        <w:instrText xml:space="preserve">" </w:instrText>
      </w:r>
      <w:r>
        <w:rPr>
          <w:i/>
        </w:rPr>
        <w:fldChar w:fldCharType="end"/>
      </w:r>
      <w:r>
        <w:t>)</w:t>
      </w:r>
    </w:p>
  </w:footnote>
  <w:footnote w:id="311">
    <w:p w:rsidR="00971E82" w:rsidRPr="08531E1A" w:rsidRDefault="00971E82" w:rsidP="08163013">
      <w:pPr>
        <w:pStyle w:val="Textpoznpodarou"/>
        <w:rPr>
          <w:lang w:val="cs-CZ"/>
        </w:rPr>
      </w:pPr>
      <w:r>
        <w:rPr>
          <w:rStyle w:val="Znakapoznpodarou"/>
        </w:rPr>
        <w:footnoteRef/>
      </w:r>
      <w:r>
        <w:t xml:space="preserve"> „Sciendum est ergo, quod cum realis relatio intelligi non possit, nisi consequens quantitatem vel actionem seu passionem,</w:t>
      </w:r>
      <w:r>
        <w:rPr>
          <w:lang w:val="cs-CZ"/>
        </w:rPr>
        <w:t xml:space="preserve"> </w:t>
      </w:r>
      <w:r>
        <w:t>oportet quod aliquo istorum modorum ponamus in Deo relationem esse.“ (</w:t>
      </w:r>
      <w:r>
        <w:rPr>
          <w:i/>
          <w:noProof/>
        </w:rPr>
        <w:t xml:space="preserve">Quaestiones disputatae </w:t>
      </w:r>
      <w:r>
        <w:rPr>
          <w:i/>
          <w:noProof/>
          <w:lang w:val="cs-CZ"/>
        </w:rPr>
        <w:t>D</w:t>
      </w:r>
      <w:r w:rsidRPr="00273106">
        <w:rPr>
          <w:i/>
          <w:noProof/>
        </w:rPr>
        <w:t>e potentia</w:t>
      </w:r>
      <w:r>
        <w:t>, q. 8, a. 1</w:t>
      </w:r>
      <w:r>
        <w:rPr>
          <w:lang w:val="cs-CZ"/>
        </w:rPr>
        <w:t>, resp.</w:t>
      </w:r>
      <w:r>
        <w:t xml:space="preserve">; </w:t>
      </w:r>
      <w:r>
        <w:rPr>
          <w:lang w:val="cs-CZ"/>
        </w:rPr>
        <w:t xml:space="preserve">ed. Marietti, </w:t>
      </w:r>
      <w:r>
        <w:rPr>
          <w:iCs/>
          <w:lang w:val="cs-CZ"/>
        </w:rPr>
        <w:t>p. 214</w:t>
      </w:r>
      <w:r>
        <w:rPr>
          <w:i/>
        </w:rPr>
        <w:fldChar w:fldCharType="begin"/>
      </w:r>
      <w:r>
        <w:instrText xml:space="preserve"> XE "</w:instrText>
      </w:r>
      <w:r>
        <w:rPr>
          <w:lang w:val="cs-CZ"/>
        </w:rPr>
        <w:instrText>Akvinský:</w:instrText>
      </w:r>
      <w:r w:rsidRPr="00995DF0">
        <w:rPr>
          <w:i/>
          <w:lang w:val="cs-CZ"/>
        </w:rPr>
        <w:instrText>Quaestiones disputatae De potentia</w:instrText>
      </w:r>
      <w:r>
        <w:rPr>
          <w:i/>
          <w:lang w:val="cs-CZ"/>
        </w:rPr>
        <w:instrText xml:space="preserve"> </w:instrText>
      </w:r>
      <w:r>
        <w:rPr>
          <w:lang w:val="cs-CZ"/>
        </w:rPr>
        <w:instrText>214</w:instrText>
      </w:r>
      <w:r>
        <w:instrText xml:space="preserve">" </w:instrText>
      </w:r>
      <w:r>
        <w:rPr>
          <w:i/>
        </w:rPr>
        <w:fldChar w:fldCharType="end"/>
      </w:r>
      <w:r>
        <w:t>)</w:t>
      </w:r>
    </w:p>
  </w:footnote>
  <w:footnote w:id="312">
    <w:p w:rsidR="00971E82" w:rsidRPr="00CE52ED" w:rsidRDefault="00971E82" w:rsidP="08163013">
      <w:pPr>
        <w:pStyle w:val="Textpoznpodarou"/>
        <w:rPr>
          <w:lang w:val="cs-CZ"/>
        </w:rPr>
      </w:pPr>
      <w:r>
        <w:rPr>
          <w:rStyle w:val="Znakapoznpodarou"/>
        </w:rPr>
        <w:footnoteRef/>
      </w:r>
      <w:r>
        <w:t xml:space="preserve"> </w:t>
      </w:r>
      <w:r w:rsidRPr="00273106">
        <w:rPr>
          <w:noProof/>
        </w:rPr>
        <w:t>„Intelligens autem in intelligendo ad quatuor potest habere ordinem: scilicet ad rem quae intellig</w:t>
      </w:r>
      <w:r>
        <w:rPr>
          <w:noProof/>
        </w:rPr>
        <w:t>itur, ad speciem intelligibilem</w:t>
      </w:r>
      <w:r>
        <w:rPr>
          <w:noProof/>
          <w:lang w:val="cs-CZ"/>
        </w:rPr>
        <w:t xml:space="preserve"> </w:t>
      </w:r>
      <w:r w:rsidRPr="00273106">
        <w:rPr>
          <w:noProof/>
        </w:rPr>
        <w:t>qua fit intellectus in actu, ad suum intelligere, et ad conceptionem intellectus.“ (</w:t>
      </w:r>
      <w:r>
        <w:rPr>
          <w:i/>
          <w:noProof/>
        </w:rPr>
        <w:t xml:space="preserve">Quaestiones disputatae </w:t>
      </w:r>
      <w:r>
        <w:rPr>
          <w:i/>
          <w:noProof/>
          <w:lang w:val="cs-CZ"/>
        </w:rPr>
        <w:t>D</w:t>
      </w:r>
      <w:r w:rsidRPr="00273106">
        <w:rPr>
          <w:i/>
          <w:noProof/>
        </w:rPr>
        <w:t>e potentia</w:t>
      </w:r>
      <w:r w:rsidRPr="00273106">
        <w:rPr>
          <w:noProof/>
        </w:rPr>
        <w:t xml:space="preserve">, </w:t>
      </w:r>
      <w:r w:rsidRPr="00273106">
        <w:rPr>
          <w:rStyle w:val="ref"/>
          <w:rFonts w:eastAsia="Times"/>
          <w:lang w:val="cs-CZ"/>
        </w:rPr>
        <w:t>q. 8, a. 1, resp.</w:t>
      </w:r>
      <w:r>
        <w:rPr>
          <w:rStyle w:val="ref"/>
          <w:rFonts w:eastAsia="Times"/>
          <w:lang w:val="cs-CZ"/>
        </w:rPr>
        <w:t>; ed. Marietti, p. 215</w:t>
      </w:r>
      <w:r>
        <w:rPr>
          <w:i/>
        </w:rPr>
        <w:fldChar w:fldCharType="begin"/>
      </w:r>
      <w:r>
        <w:instrText xml:space="preserve"> XE "</w:instrText>
      </w:r>
      <w:r>
        <w:rPr>
          <w:lang w:val="cs-CZ"/>
        </w:rPr>
        <w:instrText>Akvinský:</w:instrText>
      </w:r>
      <w:r w:rsidRPr="00995DF0">
        <w:rPr>
          <w:i/>
          <w:lang w:val="cs-CZ"/>
        </w:rPr>
        <w:instrText>Quaestiones disputatae De potentia</w:instrText>
      </w:r>
      <w:r>
        <w:rPr>
          <w:lang w:val="cs-CZ"/>
        </w:rPr>
        <w:instrText xml:space="preserve"> 215</w:instrText>
      </w:r>
      <w:r>
        <w:instrText xml:space="preserve">" </w:instrText>
      </w:r>
      <w:r>
        <w:rPr>
          <w:i/>
        </w:rPr>
        <w:fldChar w:fldCharType="end"/>
      </w:r>
      <w:r w:rsidRPr="00273106">
        <w:rPr>
          <w:noProof/>
        </w:rPr>
        <w:t>)</w:t>
      </w:r>
    </w:p>
  </w:footnote>
  <w:footnote w:id="313">
    <w:p w:rsidR="00971E82" w:rsidRPr="088A128B" w:rsidRDefault="00971E82" w:rsidP="08163013">
      <w:pPr>
        <w:pStyle w:val="Textpoznpodarou"/>
        <w:rPr>
          <w:lang w:val="cs-CZ"/>
        </w:rPr>
      </w:pPr>
      <w:r>
        <w:rPr>
          <w:rStyle w:val="Znakapoznpodarou"/>
        </w:rPr>
        <w:footnoteRef/>
      </w:r>
      <w:r>
        <w:t xml:space="preserve"> </w:t>
      </w:r>
      <w:r w:rsidRPr="00273106">
        <w:rPr>
          <w:noProof/>
        </w:rPr>
        <w:t>„Quae quidem conceptio a tribus praedictis differt. A re quidem intellecta, quia res intellecta est interdum extra intellectum, conceptio autem intellectus non est nisi in intellectu; et iterum conceptio intellectus ordinatur ad rem intellectam sicut ad finem: propter hoc enim intellectus conceptionem rei in se format ut rem intellectam cognoscat.“ (</w:t>
      </w:r>
      <w:r w:rsidRPr="00273106">
        <w:rPr>
          <w:i/>
          <w:noProof/>
        </w:rPr>
        <w:t>Quaestiones d</w:t>
      </w:r>
      <w:r>
        <w:rPr>
          <w:i/>
          <w:noProof/>
        </w:rPr>
        <w:t xml:space="preserve">isputatae </w:t>
      </w:r>
      <w:r>
        <w:rPr>
          <w:i/>
          <w:noProof/>
          <w:lang w:val="cs-CZ"/>
        </w:rPr>
        <w:t>D</w:t>
      </w:r>
      <w:r w:rsidRPr="00273106">
        <w:rPr>
          <w:i/>
          <w:noProof/>
        </w:rPr>
        <w:t>e potentia</w:t>
      </w:r>
      <w:r w:rsidRPr="00273106">
        <w:rPr>
          <w:noProof/>
        </w:rPr>
        <w:t xml:space="preserve">, </w:t>
      </w:r>
      <w:r w:rsidRPr="00273106">
        <w:rPr>
          <w:rStyle w:val="ref"/>
          <w:rFonts w:eastAsia="Times"/>
          <w:lang w:val="cs-CZ"/>
        </w:rPr>
        <w:t>q. 8, a. 1, resp.</w:t>
      </w:r>
      <w:r>
        <w:rPr>
          <w:rStyle w:val="ref"/>
          <w:rFonts w:eastAsia="Times"/>
          <w:lang w:val="cs-CZ"/>
        </w:rPr>
        <w:t>; ed. Marietti, p. 215</w:t>
      </w:r>
      <w:r>
        <w:rPr>
          <w:i/>
        </w:rPr>
        <w:fldChar w:fldCharType="begin"/>
      </w:r>
      <w:r>
        <w:instrText xml:space="preserve"> XE "</w:instrText>
      </w:r>
      <w:r>
        <w:rPr>
          <w:lang w:val="cs-CZ"/>
        </w:rPr>
        <w:instrText>Akvinský:</w:instrText>
      </w:r>
      <w:r w:rsidRPr="00995DF0">
        <w:rPr>
          <w:i/>
          <w:lang w:val="cs-CZ"/>
        </w:rPr>
        <w:instrText>Quaestiones disputatae De potentia</w:instrText>
      </w:r>
      <w:r>
        <w:rPr>
          <w:lang w:val="cs-CZ"/>
        </w:rPr>
        <w:instrText xml:space="preserve"> 215</w:instrText>
      </w:r>
      <w:r>
        <w:instrText xml:space="preserve">" </w:instrText>
      </w:r>
      <w:r>
        <w:rPr>
          <w:i/>
        </w:rPr>
        <w:fldChar w:fldCharType="end"/>
      </w:r>
      <w:r w:rsidRPr="088A128B">
        <w:rPr>
          <w:lang w:val="cs-CZ"/>
        </w:rPr>
        <w:t>)</w:t>
      </w:r>
    </w:p>
  </w:footnote>
  <w:footnote w:id="314">
    <w:p w:rsidR="00971E82" w:rsidRPr="00453E9F" w:rsidRDefault="00971E82" w:rsidP="08163013">
      <w:pPr>
        <w:pStyle w:val="Textpoznpodarou"/>
        <w:rPr>
          <w:lang w:val="cs-CZ"/>
        </w:rPr>
      </w:pPr>
      <w:r>
        <w:rPr>
          <w:rStyle w:val="Znakapoznpodarou"/>
        </w:rPr>
        <w:footnoteRef/>
      </w:r>
      <w:r>
        <w:t xml:space="preserve"> </w:t>
      </w:r>
      <w:r w:rsidRPr="00273106">
        <w:rPr>
          <w:noProof/>
        </w:rPr>
        <w:t>„Differt autem a specie intelligibili: nam species intelligibilis, qua fit intellectus in actu, consideratur ut principium actionis intellectus, cum omne agens agat secundum quod est in actu; actu autem fit per aliquam formam, quam oportet esse actionis principium.“ (</w:t>
      </w:r>
      <w:r>
        <w:rPr>
          <w:i/>
          <w:noProof/>
        </w:rPr>
        <w:t xml:space="preserve">Quaestiones disputatae </w:t>
      </w:r>
      <w:r>
        <w:rPr>
          <w:i/>
          <w:noProof/>
          <w:lang w:val="cs-CZ"/>
        </w:rPr>
        <w:t>D</w:t>
      </w:r>
      <w:r w:rsidRPr="00273106">
        <w:rPr>
          <w:i/>
          <w:noProof/>
        </w:rPr>
        <w:t>e potentia</w:t>
      </w:r>
      <w:r w:rsidRPr="00273106">
        <w:rPr>
          <w:noProof/>
        </w:rPr>
        <w:t xml:space="preserve">, </w:t>
      </w:r>
      <w:r w:rsidRPr="00273106">
        <w:rPr>
          <w:rStyle w:val="ref"/>
          <w:rFonts w:eastAsia="Times"/>
          <w:lang w:val="cs-CZ"/>
        </w:rPr>
        <w:t>q. 8, a. 1, resp.</w:t>
      </w:r>
      <w:r>
        <w:rPr>
          <w:rStyle w:val="ref"/>
          <w:rFonts w:eastAsia="Times"/>
          <w:lang w:val="cs-CZ"/>
        </w:rPr>
        <w:t>; ed. Marietti, p. 215</w:t>
      </w:r>
      <w:r>
        <w:rPr>
          <w:i/>
        </w:rPr>
        <w:fldChar w:fldCharType="begin"/>
      </w:r>
      <w:r>
        <w:instrText xml:space="preserve"> XE "</w:instrText>
      </w:r>
      <w:r>
        <w:rPr>
          <w:lang w:val="cs-CZ"/>
        </w:rPr>
        <w:instrText>Akvinský:</w:instrText>
      </w:r>
      <w:r w:rsidRPr="00995DF0">
        <w:rPr>
          <w:i/>
          <w:lang w:val="cs-CZ"/>
        </w:rPr>
        <w:instrText>Quaestiones disputatae De potentia</w:instrText>
      </w:r>
      <w:r>
        <w:rPr>
          <w:lang w:val="cs-CZ"/>
        </w:rPr>
        <w:instrText xml:space="preserve"> 215</w:instrText>
      </w:r>
      <w:r>
        <w:instrText xml:space="preserve">" </w:instrText>
      </w:r>
      <w:r>
        <w:rPr>
          <w:i/>
        </w:rPr>
        <w:fldChar w:fldCharType="end"/>
      </w:r>
      <w:r w:rsidRPr="088A128B">
        <w:rPr>
          <w:lang w:val="cs-CZ"/>
        </w:rPr>
        <w:t>)</w:t>
      </w:r>
    </w:p>
  </w:footnote>
  <w:footnote w:id="315">
    <w:p w:rsidR="00971E82" w:rsidRPr="004C60B5" w:rsidRDefault="00971E82" w:rsidP="08163013">
      <w:pPr>
        <w:pStyle w:val="Textpoznpodarou"/>
        <w:rPr>
          <w:lang w:val="cs-CZ"/>
        </w:rPr>
      </w:pPr>
      <w:r>
        <w:rPr>
          <w:rStyle w:val="Znakapoznpodarou"/>
        </w:rPr>
        <w:footnoteRef/>
      </w:r>
      <w:r>
        <w:rPr>
          <w:lang w:val="cs-CZ"/>
        </w:rPr>
        <w:t xml:space="preserve"> </w:t>
      </w:r>
      <w:r>
        <w:t>„</w:t>
      </w:r>
      <w:r w:rsidRPr="00194EAE">
        <w:t xml:space="preserve">lpsum igitur intellectuale </w:t>
      </w:r>
      <w:r>
        <w:t>principium</w:t>
      </w:r>
      <w:r w:rsidRPr="00194EAE">
        <w:t xml:space="preserve">, </w:t>
      </w:r>
      <w:r w:rsidRPr="00194EAE">
        <w:rPr>
          <w:szCs w:val="23"/>
        </w:rPr>
        <w:t xml:space="preserve">quod </w:t>
      </w:r>
      <w:r w:rsidRPr="00194EAE">
        <w:t xml:space="preserve">dicitur mens </w:t>
      </w:r>
      <w:r w:rsidRPr="00194EAE">
        <w:rPr>
          <w:szCs w:val="23"/>
        </w:rPr>
        <w:t xml:space="preserve">vel </w:t>
      </w:r>
      <w:r w:rsidRPr="00194EAE">
        <w:t xml:space="preserve">intellectus, habet operationem per </w:t>
      </w:r>
      <w:r w:rsidRPr="00194EAE">
        <w:rPr>
          <w:szCs w:val="23"/>
        </w:rPr>
        <w:t xml:space="preserve">se, </w:t>
      </w:r>
      <w:r w:rsidRPr="00194EAE">
        <w:t xml:space="preserve">cui non communicat corpus. Nihil </w:t>
      </w:r>
      <w:r w:rsidRPr="00194EAE">
        <w:rPr>
          <w:szCs w:val="23"/>
        </w:rPr>
        <w:t xml:space="preserve">autem </w:t>
      </w:r>
      <w:r w:rsidRPr="00194EAE">
        <w:t>potest per se operari, nisi quod per</w:t>
      </w:r>
      <w:r>
        <w:rPr>
          <w:lang w:val="cs-CZ"/>
        </w:rPr>
        <w:t xml:space="preserve"> </w:t>
      </w:r>
      <w:r w:rsidRPr="00194EAE">
        <w:t xml:space="preserve">se subsistit. Non enim est operari nisi </w:t>
      </w:r>
      <w:r w:rsidRPr="00194EAE">
        <w:rPr>
          <w:szCs w:val="23"/>
        </w:rPr>
        <w:t xml:space="preserve">entis </w:t>
      </w:r>
      <w:r w:rsidRPr="00194EAE">
        <w:t xml:space="preserve">in actu; </w:t>
      </w:r>
      <w:r w:rsidRPr="00194EAE">
        <w:rPr>
          <w:szCs w:val="27"/>
        </w:rPr>
        <w:t xml:space="preserve">unde </w:t>
      </w:r>
      <w:r w:rsidRPr="00194EAE">
        <w:rPr>
          <w:szCs w:val="24"/>
        </w:rPr>
        <w:t xml:space="preserve">eo </w:t>
      </w:r>
      <w:r w:rsidRPr="00194EAE">
        <w:t>modo aliquid operatur, quo est.“</w:t>
      </w:r>
      <w:r>
        <w:rPr>
          <w:lang w:val="cs-CZ"/>
        </w:rPr>
        <w:t xml:space="preserve"> (</w:t>
      </w:r>
      <w:r>
        <w:t xml:space="preserve">ST </w:t>
      </w:r>
      <w:r>
        <w:rPr>
          <w:lang w:val="cs-CZ"/>
        </w:rPr>
        <w:t xml:space="preserve">I, q. </w:t>
      </w:r>
      <w:r w:rsidRPr="00194EAE">
        <w:t>75</w:t>
      </w:r>
      <w:r>
        <w:rPr>
          <w:lang w:val="cs-CZ"/>
        </w:rPr>
        <w:t>, a.</w:t>
      </w:r>
      <w:r w:rsidRPr="00194EAE">
        <w:t>2</w:t>
      </w:r>
      <w:r>
        <w:rPr>
          <w:lang w:val="cs-CZ"/>
        </w:rPr>
        <w:t>, s.</w:t>
      </w:r>
      <w:r>
        <w:t>c</w:t>
      </w:r>
      <w:r>
        <w:rPr>
          <w:lang w:val="cs-CZ"/>
        </w:rPr>
        <w:t>.</w:t>
      </w:r>
      <w:r>
        <w:rPr>
          <w:rStyle w:val="ref"/>
          <w:rFonts w:eastAsia="Times"/>
          <w:lang w:val="cs-CZ"/>
        </w:rPr>
        <w:t>; ed. Leonina 5, 196</w:t>
      </w:r>
      <w:r>
        <w:rPr>
          <w:i/>
        </w:rPr>
        <w:fldChar w:fldCharType="begin"/>
      </w:r>
      <w:r>
        <w:instrText xml:space="preserve"> XE "</w:instrText>
      </w:r>
      <w:r>
        <w:rPr>
          <w:lang w:val="cs-CZ"/>
        </w:rPr>
        <w:instrText>Akvinský:ST I.75.2</w:instrText>
      </w:r>
      <w:r>
        <w:instrText xml:space="preserve">" </w:instrText>
      </w:r>
      <w:r>
        <w:rPr>
          <w:i/>
        </w:rPr>
        <w:fldChar w:fldCharType="end"/>
      </w:r>
      <w:r>
        <w:rPr>
          <w:lang w:val="cs-CZ"/>
        </w:rPr>
        <w:t>)</w:t>
      </w:r>
    </w:p>
  </w:footnote>
  <w:footnote w:id="316">
    <w:p w:rsidR="00971E82" w:rsidRPr="005328C4" w:rsidRDefault="00971E82" w:rsidP="08163013">
      <w:pPr>
        <w:pStyle w:val="Textpoznpodarou"/>
        <w:rPr>
          <w:lang w:val="cs-CZ"/>
        </w:rPr>
      </w:pPr>
      <w:r>
        <w:rPr>
          <w:rStyle w:val="Znakapoznpodarou"/>
        </w:rPr>
        <w:footnoteRef/>
      </w:r>
      <w:r>
        <w:t xml:space="preserve"> </w:t>
      </w:r>
      <w:r w:rsidRPr="00273106">
        <w:rPr>
          <w:noProof/>
        </w:rPr>
        <w:t>„Differt autem ab actione intellectus: quia praedicta conceptio consideratur ut terminus actionis, et quasi quoddam per ipsam constitutum. Intellectus enim sua actione format rei definitionem, vel etiam propositionem affirmativam seu negativam.“ (</w:t>
      </w:r>
      <w:r>
        <w:rPr>
          <w:i/>
          <w:noProof/>
        </w:rPr>
        <w:t xml:space="preserve">Quaestiones disputatae </w:t>
      </w:r>
      <w:r>
        <w:rPr>
          <w:i/>
          <w:noProof/>
          <w:lang w:val="cs-CZ"/>
        </w:rPr>
        <w:t>D</w:t>
      </w:r>
      <w:r w:rsidRPr="00273106">
        <w:rPr>
          <w:i/>
          <w:noProof/>
        </w:rPr>
        <w:t>e potentia</w:t>
      </w:r>
      <w:r w:rsidRPr="00273106">
        <w:rPr>
          <w:noProof/>
        </w:rPr>
        <w:t xml:space="preserve">, </w:t>
      </w:r>
      <w:r w:rsidRPr="00273106">
        <w:rPr>
          <w:rStyle w:val="ref"/>
          <w:rFonts w:eastAsia="Times"/>
          <w:lang w:val="cs-CZ"/>
        </w:rPr>
        <w:t>q. 8, a. 1, resp.</w:t>
      </w:r>
      <w:r>
        <w:rPr>
          <w:rStyle w:val="ref"/>
          <w:rFonts w:eastAsia="Times"/>
          <w:lang w:val="cs-CZ"/>
        </w:rPr>
        <w:t>; ed. Marietti, p. 215</w:t>
      </w:r>
      <w:r>
        <w:rPr>
          <w:i/>
        </w:rPr>
        <w:fldChar w:fldCharType="begin"/>
      </w:r>
      <w:r>
        <w:instrText xml:space="preserve"> XE "</w:instrText>
      </w:r>
      <w:r>
        <w:rPr>
          <w:lang w:val="cs-CZ"/>
        </w:rPr>
        <w:instrText>Akvinský:</w:instrText>
      </w:r>
      <w:r w:rsidRPr="00995DF0">
        <w:rPr>
          <w:i/>
          <w:lang w:val="cs-CZ"/>
        </w:rPr>
        <w:instrText>Quaestiones disputatae De potentia</w:instrText>
      </w:r>
      <w:r>
        <w:rPr>
          <w:lang w:val="cs-CZ"/>
        </w:rPr>
        <w:instrText xml:space="preserve"> 215</w:instrText>
      </w:r>
      <w:r>
        <w:instrText xml:space="preserve">" </w:instrText>
      </w:r>
      <w:r>
        <w:rPr>
          <w:i/>
        </w:rPr>
        <w:fldChar w:fldCharType="end"/>
      </w:r>
      <w:r w:rsidRPr="088A128B">
        <w:rPr>
          <w:lang w:val="cs-CZ"/>
        </w:rPr>
        <w:t>)</w:t>
      </w:r>
    </w:p>
  </w:footnote>
  <w:footnote w:id="317">
    <w:p w:rsidR="00971E82" w:rsidRPr="00E34131" w:rsidRDefault="00971E82" w:rsidP="08163013">
      <w:pPr>
        <w:pStyle w:val="Textpoznpodarou"/>
        <w:rPr>
          <w:lang w:val="cs-CZ"/>
        </w:rPr>
      </w:pPr>
      <w:r>
        <w:rPr>
          <w:rStyle w:val="Znakapoznpodarou"/>
        </w:rPr>
        <w:footnoteRef/>
      </w:r>
      <w:r>
        <w:t xml:space="preserve"> </w:t>
      </w:r>
      <w:r w:rsidRPr="00273106">
        <w:rPr>
          <w:noProof/>
        </w:rPr>
        <w:t>„Haec autem conceptio intellectus in nobis proprie verbum dicitur: hoc enim est quod verbo exteriori significatur: vox enim exterior neque significat ipsum intellectum, neque speciem intelligibilem, neque actum intellectus, sed intellectus conceptionem qua mediante refertur ad rem.“ (</w:t>
      </w:r>
      <w:r>
        <w:rPr>
          <w:i/>
          <w:noProof/>
        </w:rPr>
        <w:t xml:space="preserve">Quaestiones disputatae </w:t>
      </w:r>
      <w:r>
        <w:rPr>
          <w:i/>
          <w:noProof/>
          <w:lang w:val="cs-CZ"/>
        </w:rPr>
        <w:t>D</w:t>
      </w:r>
      <w:r w:rsidRPr="00273106">
        <w:rPr>
          <w:i/>
          <w:noProof/>
        </w:rPr>
        <w:t>e potentia</w:t>
      </w:r>
      <w:r w:rsidRPr="00273106">
        <w:rPr>
          <w:noProof/>
        </w:rPr>
        <w:t xml:space="preserve">, </w:t>
      </w:r>
      <w:r w:rsidRPr="00273106">
        <w:rPr>
          <w:rStyle w:val="ref"/>
          <w:rFonts w:eastAsia="Times"/>
          <w:lang w:val="cs-CZ"/>
        </w:rPr>
        <w:t>q. 8, a. 1, resp.</w:t>
      </w:r>
      <w:r>
        <w:rPr>
          <w:rStyle w:val="ref"/>
          <w:rFonts w:eastAsia="Times"/>
          <w:lang w:val="cs-CZ"/>
        </w:rPr>
        <w:t>; ed. Marietti, p. 215</w:t>
      </w:r>
      <w:r>
        <w:rPr>
          <w:i/>
        </w:rPr>
        <w:fldChar w:fldCharType="begin"/>
      </w:r>
      <w:r>
        <w:instrText xml:space="preserve"> XE "</w:instrText>
      </w:r>
      <w:r>
        <w:rPr>
          <w:lang w:val="cs-CZ"/>
        </w:rPr>
        <w:instrText>Akvinský:</w:instrText>
      </w:r>
      <w:r w:rsidRPr="00995DF0">
        <w:rPr>
          <w:i/>
          <w:lang w:val="cs-CZ"/>
        </w:rPr>
        <w:instrText>Quaestiones disputatae De potentia</w:instrText>
      </w:r>
      <w:r>
        <w:rPr>
          <w:lang w:val="cs-CZ"/>
        </w:rPr>
        <w:instrText xml:space="preserve"> 215</w:instrText>
      </w:r>
      <w:r>
        <w:instrText xml:space="preserve">" </w:instrText>
      </w:r>
      <w:r>
        <w:rPr>
          <w:i/>
        </w:rPr>
        <w:fldChar w:fldCharType="end"/>
      </w:r>
      <w:r w:rsidRPr="088A128B">
        <w:rPr>
          <w:lang w:val="cs-CZ"/>
        </w:rPr>
        <w:t>)</w:t>
      </w:r>
    </w:p>
  </w:footnote>
  <w:footnote w:id="318">
    <w:p w:rsidR="00971E82" w:rsidRPr="005B228D" w:rsidRDefault="00971E82" w:rsidP="08163013">
      <w:pPr>
        <w:pStyle w:val="Textpoznpodarou"/>
        <w:rPr>
          <w:lang w:val="cs-CZ"/>
        </w:rPr>
      </w:pPr>
      <w:r>
        <w:rPr>
          <w:rStyle w:val="Znakapoznpodarou"/>
        </w:rPr>
        <w:footnoteRef/>
      </w:r>
      <w:r>
        <w:t xml:space="preserve"> </w:t>
      </w:r>
      <w:r w:rsidRPr="00273106">
        <w:rPr>
          <w:noProof/>
        </w:rPr>
        <w:t xml:space="preserve">„Huiusmodi ergo conceptio, sive verbum, qua intellectus noster intelligit rem aliam a se, ab alio exoritur, et aliud repraesentat. Oritur quidem ab intellectu per suum actum; est vero similitudo rei intellectae. Cum vero intellectus seipsum intelligit, verbum praedictum, sive </w:t>
      </w:r>
      <w:r w:rsidRPr="00273106">
        <w:rPr>
          <w:bCs/>
          <w:noProof/>
        </w:rPr>
        <w:t>conceptio</w:t>
      </w:r>
      <w:r w:rsidRPr="00273106">
        <w:rPr>
          <w:noProof/>
        </w:rPr>
        <w:t>, eiusdem est propago et similitudo, scilicet intellectus seipsum intelligentis.“ (</w:t>
      </w:r>
      <w:r>
        <w:rPr>
          <w:i/>
          <w:noProof/>
        </w:rPr>
        <w:t xml:space="preserve">Quaestiones disputatae </w:t>
      </w:r>
      <w:r>
        <w:rPr>
          <w:i/>
          <w:noProof/>
          <w:lang w:val="cs-CZ"/>
        </w:rPr>
        <w:t>D</w:t>
      </w:r>
      <w:r w:rsidRPr="00273106">
        <w:rPr>
          <w:i/>
          <w:noProof/>
        </w:rPr>
        <w:t>e potentia</w:t>
      </w:r>
      <w:r w:rsidRPr="00273106">
        <w:rPr>
          <w:noProof/>
        </w:rPr>
        <w:t xml:space="preserve">, </w:t>
      </w:r>
      <w:r w:rsidRPr="00273106">
        <w:rPr>
          <w:rStyle w:val="ref"/>
          <w:rFonts w:eastAsia="Times"/>
          <w:lang w:val="cs-CZ"/>
        </w:rPr>
        <w:t>q. 8, a. 1, resp.</w:t>
      </w:r>
      <w:r>
        <w:rPr>
          <w:rStyle w:val="ref"/>
          <w:rFonts w:eastAsia="Times"/>
          <w:lang w:val="cs-CZ"/>
        </w:rPr>
        <w:t>; ed. Marietti, p. 215</w:t>
      </w:r>
      <w:r>
        <w:rPr>
          <w:i/>
        </w:rPr>
        <w:fldChar w:fldCharType="begin"/>
      </w:r>
      <w:r>
        <w:instrText xml:space="preserve"> XE "</w:instrText>
      </w:r>
      <w:r>
        <w:rPr>
          <w:lang w:val="cs-CZ"/>
        </w:rPr>
        <w:instrText>Akvinský:</w:instrText>
      </w:r>
      <w:r w:rsidRPr="00995DF0">
        <w:rPr>
          <w:i/>
          <w:lang w:val="cs-CZ"/>
        </w:rPr>
        <w:instrText>Quaestiones disputatae De potentia</w:instrText>
      </w:r>
      <w:r>
        <w:rPr>
          <w:lang w:val="cs-CZ"/>
        </w:rPr>
        <w:instrText xml:space="preserve"> 215</w:instrText>
      </w:r>
      <w:r>
        <w:instrText xml:space="preserve">" </w:instrText>
      </w:r>
      <w:r>
        <w:rPr>
          <w:i/>
        </w:rPr>
        <w:fldChar w:fldCharType="end"/>
      </w:r>
      <w:r w:rsidRPr="088A128B">
        <w:rPr>
          <w:lang w:val="cs-CZ"/>
        </w:rPr>
        <w:t>)</w:t>
      </w:r>
    </w:p>
  </w:footnote>
  <w:footnote w:id="319">
    <w:p w:rsidR="00971E82" w:rsidRPr="00F60078" w:rsidRDefault="00971E82" w:rsidP="08163013">
      <w:pPr>
        <w:pStyle w:val="Textpoznpodarou"/>
        <w:rPr>
          <w:lang w:val="cs-CZ"/>
        </w:rPr>
      </w:pPr>
      <w:r>
        <w:rPr>
          <w:rStyle w:val="Znakapoznpodarou"/>
        </w:rPr>
        <w:footnoteRef/>
      </w:r>
      <w:r>
        <w:t xml:space="preserve"> </w:t>
      </w:r>
      <w:r w:rsidRPr="00273106">
        <w:rPr>
          <w:noProof/>
        </w:rPr>
        <w:t>„Et hoc ideo contingit, quia effectus similatur causae secundum suam formam: forma autem intellectus est res intellecta. Et ideo verbum quod oritur ab intellectu, est similitudo rei intellectae, sive sit idem quod intellectus, sive aliud.“ (</w:t>
      </w:r>
      <w:r>
        <w:rPr>
          <w:i/>
          <w:noProof/>
        </w:rPr>
        <w:t xml:space="preserve">Quaestiones disputatae </w:t>
      </w:r>
      <w:r>
        <w:rPr>
          <w:i/>
          <w:noProof/>
          <w:lang w:val="cs-CZ"/>
        </w:rPr>
        <w:t>D</w:t>
      </w:r>
      <w:r w:rsidRPr="00273106">
        <w:rPr>
          <w:i/>
          <w:noProof/>
        </w:rPr>
        <w:t>e potentia</w:t>
      </w:r>
      <w:r w:rsidRPr="00273106">
        <w:rPr>
          <w:noProof/>
        </w:rPr>
        <w:t xml:space="preserve">, </w:t>
      </w:r>
      <w:r w:rsidRPr="00273106">
        <w:rPr>
          <w:rStyle w:val="ref"/>
          <w:rFonts w:eastAsia="Times"/>
          <w:lang w:val="cs-CZ"/>
        </w:rPr>
        <w:t>q. 8, a. 1, resp.</w:t>
      </w:r>
      <w:r>
        <w:rPr>
          <w:rStyle w:val="ref"/>
          <w:rFonts w:eastAsia="Times"/>
          <w:lang w:val="cs-CZ"/>
        </w:rPr>
        <w:t>; ed. Marietti, p. 215</w:t>
      </w:r>
      <w:r>
        <w:rPr>
          <w:i/>
        </w:rPr>
        <w:fldChar w:fldCharType="begin"/>
      </w:r>
      <w:r>
        <w:instrText xml:space="preserve"> XE "</w:instrText>
      </w:r>
      <w:r>
        <w:rPr>
          <w:lang w:val="cs-CZ"/>
        </w:rPr>
        <w:instrText>Akvinský:</w:instrText>
      </w:r>
      <w:r w:rsidRPr="00995DF0">
        <w:rPr>
          <w:i/>
          <w:lang w:val="cs-CZ"/>
        </w:rPr>
        <w:instrText>Quaestiones disputatae De potentia</w:instrText>
      </w:r>
      <w:r>
        <w:rPr>
          <w:lang w:val="cs-CZ"/>
        </w:rPr>
        <w:instrText xml:space="preserve"> 215</w:instrText>
      </w:r>
      <w:r>
        <w:instrText xml:space="preserve">" </w:instrText>
      </w:r>
      <w:r>
        <w:rPr>
          <w:i/>
        </w:rPr>
        <w:fldChar w:fldCharType="end"/>
      </w:r>
      <w:r w:rsidRPr="088A128B">
        <w:rPr>
          <w:lang w:val="cs-CZ"/>
        </w:rPr>
        <w:t>)</w:t>
      </w:r>
    </w:p>
  </w:footnote>
  <w:footnote w:id="320">
    <w:p w:rsidR="00971E82" w:rsidRPr="00B27D6E" w:rsidRDefault="00971E82" w:rsidP="08163013">
      <w:pPr>
        <w:pStyle w:val="Textpoznpodarou"/>
        <w:rPr>
          <w:noProof/>
          <w:lang w:val="cs-CZ"/>
        </w:rPr>
      </w:pPr>
      <w:r>
        <w:rPr>
          <w:rStyle w:val="Znakapoznpodarou"/>
        </w:rPr>
        <w:footnoteRef/>
      </w:r>
      <w:r>
        <w:t xml:space="preserve"> </w:t>
      </w:r>
      <w:r w:rsidRPr="00273106">
        <w:rPr>
          <w:noProof/>
        </w:rPr>
        <w:t>„Quantum igitur ad actualem cognitionem</w:t>
      </w:r>
      <w:r w:rsidRPr="00273106">
        <w:rPr>
          <w:b/>
          <w:bCs/>
          <w:noProof/>
        </w:rPr>
        <w:t>,</w:t>
      </w:r>
      <w:r w:rsidRPr="00273106">
        <w:rPr>
          <w:noProof/>
        </w:rPr>
        <w:t xml:space="preserve"> qua aliquis se in actu considerat animam habere, sic dico, quod anima cognoscitur per actus suos. In hoc enim aliquis percipit se animam habere, et vivere, et esse, quod percipit se sentire et intelligere, et alia huiusmodi vitae opera exercere; </w:t>
      </w:r>
      <w:r w:rsidRPr="00273106">
        <w:rPr>
          <w:rStyle w:val="aur"/>
          <w:noProof/>
          <w:lang w:val="cs-CZ"/>
        </w:rPr>
        <w:t>unde</w:t>
      </w:r>
      <w:r w:rsidRPr="00273106">
        <w:rPr>
          <w:noProof/>
        </w:rPr>
        <w:t xml:space="preserve"> </w:t>
      </w:r>
      <w:r w:rsidRPr="00273106">
        <w:rPr>
          <w:rStyle w:val="aur"/>
          <w:noProof/>
          <w:lang w:val="cs-CZ"/>
        </w:rPr>
        <w:t>dicit</w:t>
      </w:r>
      <w:r w:rsidRPr="00273106">
        <w:rPr>
          <w:noProof/>
        </w:rPr>
        <w:t xml:space="preserve"> </w:t>
      </w:r>
      <w:r w:rsidRPr="00273106">
        <w:rPr>
          <w:rStyle w:val="aur"/>
          <w:noProof/>
          <w:lang w:val="cs-CZ"/>
        </w:rPr>
        <w:t>philosophus</w:t>
      </w:r>
      <w:r w:rsidRPr="00273106">
        <w:rPr>
          <w:noProof/>
        </w:rPr>
        <w:t xml:space="preserve"> </w:t>
      </w:r>
      <w:r w:rsidRPr="00273106">
        <w:rPr>
          <w:rStyle w:val="aur"/>
          <w:noProof/>
          <w:lang w:val="cs-CZ"/>
        </w:rPr>
        <w:t>in</w:t>
      </w:r>
      <w:r w:rsidRPr="00273106">
        <w:rPr>
          <w:noProof/>
        </w:rPr>
        <w:t xml:space="preserve"> </w:t>
      </w:r>
      <w:r w:rsidRPr="00273106">
        <w:rPr>
          <w:rStyle w:val="aur"/>
          <w:noProof/>
          <w:lang w:val="cs-CZ"/>
        </w:rPr>
        <w:t>IX</w:t>
      </w:r>
      <w:r w:rsidRPr="00273106">
        <w:rPr>
          <w:noProof/>
        </w:rPr>
        <w:t xml:space="preserve"> </w:t>
      </w:r>
      <w:r w:rsidRPr="00273106">
        <w:rPr>
          <w:rStyle w:val="aur"/>
          <w:i/>
          <w:noProof/>
          <w:lang w:val="cs-CZ"/>
        </w:rPr>
        <w:t>Ethicorum</w:t>
      </w:r>
      <w:r w:rsidRPr="00273106">
        <w:rPr>
          <w:rStyle w:val="aur"/>
          <w:noProof/>
          <w:lang w:val="cs-CZ"/>
        </w:rPr>
        <w:t>:</w:t>
      </w:r>
      <w:r w:rsidRPr="00273106">
        <w:rPr>
          <w:noProof/>
        </w:rPr>
        <w:t xml:space="preserve"> </w:t>
      </w:r>
      <w:r>
        <w:rPr>
          <w:noProof/>
        </w:rPr>
        <w:t>«</w:t>
      </w:r>
      <w:r>
        <w:rPr>
          <w:noProof/>
          <w:lang w:val="cs-CZ"/>
        </w:rPr>
        <w:t>S</w:t>
      </w:r>
      <w:r w:rsidRPr="00273106">
        <w:rPr>
          <w:rStyle w:val="aul"/>
          <w:noProof/>
          <w:lang w:val="cs-CZ"/>
        </w:rPr>
        <w:t>entimus</w:t>
      </w:r>
      <w:r w:rsidRPr="00273106">
        <w:rPr>
          <w:noProof/>
        </w:rPr>
        <w:t xml:space="preserve"> </w:t>
      </w:r>
      <w:r w:rsidRPr="00273106">
        <w:rPr>
          <w:rStyle w:val="aul"/>
          <w:noProof/>
          <w:lang w:val="cs-CZ"/>
        </w:rPr>
        <w:t>autem</w:t>
      </w:r>
      <w:r w:rsidRPr="00273106">
        <w:rPr>
          <w:noProof/>
        </w:rPr>
        <w:t xml:space="preserve"> </w:t>
      </w:r>
      <w:r w:rsidRPr="00273106">
        <w:rPr>
          <w:rStyle w:val="aul"/>
          <w:noProof/>
          <w:lang w:val="cs-CZ"/>
        </w:rPr>
        <w:t>quoniam</w:t>
      </w:r>
      <w:r w:rsidRPr="00273106">
        <w:rPr>
          <w:noProof/>
        </w:rPr>
        <w:t xml:space="preserve"> </w:t>
      </w:r>
      <w:r w:rsidRPr="00273106">
        <w:rPr>
          <w:rStyle w:val="aul"/>
          <w:noProof/>
          <w:lang w:val="cs-CZ"/>
        </w:rPr>
        <w:t>sentimus;</w:t>
      </w:r>
      <w:r w:rsidRPr="00273106">
        <w:rPr>
          <w:noProof/>
        </w:rPr>
        <w:t xml:space="preserve"> </w:t>
      </w:r>
      <w:r w:rsidRPr="00273106">
        <w:rPr>
          <w:rStyle w:val="aul"/>
          <w:noProof/>
          <w:lang w:val="cs-CZ"/>
        </w:rPr>
        <w:t>et</w:t>
      </w:r>
      <w:r w:rsidRPr="00273106">
        <w:rPr>
          <w:noProof/>
        </w:rPr>
        <w:t xml:space="preserve"> </w:t>
      </w:r>
      <w:r w:rsidRPr="00273106">
        <w:rPr>
          <w:rStyle w:val="aul"/>
          <w:noProof/>
          <w:lang w:val="cs-CZ"/>
        </w:rPr>
        <w:t>intelligimus</w:t>
      </w:r>
      <w:r w:rsidRPr="00273106">
        <w:rPr>
          <w:noProof/>
        </w:rPr>
        <w:t xml:space="preserve"> </w:t>
      </w:r>
      <w:r w:rsidRPr="00273106">
        <w:rPr>
          <w:rStyle w:val="aul"/>
          <w:noProof/>
          <w:lang w:val="cs-CZ"/>
        </w:rPr>
        <w:t>quoniam</w:t>
      </w:r>
      <w:r w:rsidRPr="00273106">
        <w:rPr>
          <w:noProof/>
        </w:rPr>
        <w:t xml:space="preserve"> </w:t>
      </w:r>
      <w:r w:rsidRPr="00273106">
        <w:rPr>
          <w:rStyle w:val="aul"/>
          <w:noProof/>
          <w:lang w:val="cs-CZ"/>
        </w:rPr>
        <w:t>intelligimus;</w:t>
      </w:r>
      <w:r w:rsidRPr="00273106">
        <w:rPr>
          <w:noProof/>
        </w:rPr>
        <w:t xml:space="preserve"> </w:t>
      </w:r>
      <w:r w:rsidRPr="00273106">
        <w:rPr>
          <w:rStyle w:val="aul"/>
          <w:noProof/>
          <w:lang w:val="cs-CZ"/>
        </w:rPr>
        <w:t>et</w:t>
      </w:r>
      <w:r w:rsidRPr="00273106">
        <w:rPr>
          <w:noProof/>
        </w:rPr>
        <w:t xml:space="preserve"> </w:t>
      </w:r>
      <w:r w:rsidRPr="00273106">
        <w:rPr>
          <w:rStyle w:val="aul"/>
          <w:noProof/>
          <w:lang w:val="cs-CZ"/>
        </w:rPr>
        <w:t>quia</w:t>
      </w:r>
      <w:r w:rsidRPr="00273106">
        <w:rPr>
          <w:noProof/>
        </w:rPr>
        <w:t xml:space="preserve"> </w:t>
      </w:r>
      <w:r w:rsidRPr="00273106">
        <w:rPr>
          <w:rStyle w:val="aul"/>
          <w:noProof/>
          <w:lang w:val="cs-CZ"/>
        </w:rPr>
        <w:t>hoc</w:t>
      </w:r>
      <w:r w:rsidRPr="00273106">
        <w:rPr>
          <w:noProof/>
        </w:rPr>
        <w:t xml:space="preserve"> </w:t>
      </w:r>
      <w:r w:rsidRPr="00273106">
        <w:rPr>
          <w:rStyle w:val="aul"/>
          <w:noProof/>
          <w:lang w:val="cs-CZ"/>
        </w:rPr>
        <w:t>sentimus,</w:t>
      </w:r>
      <w:r w:rsidRPr="00273106">
        <w:rPr>
          <w:noProof/>
        </w:rPr>
        <w:t xml:space="preserve"> </w:t>
      </w:r>
      <w:r w:rsidRPr="00273106">
        <w:rPr>
          <w:rStyle w:val="aul"/>
          <w:noProof/>
          <w:lang w:val="cs-CZ"/>
        </w:rPr>
        <w:t>intelligimus</w:t>
      </w:r>
      <w:r w:rsidRPr="00273106">
        <w:rPr>
          <w:noProof/>
        </w:rPr>
        <w:t xml:space="preserve"> </w:t>
      </w:r>
      <w:r w:rsidRPr="00273106">
        <w:rPr>
          <w:rStyle w:val="aul"/>
          <w:noProof/>
          <w:lang w:val="cs-CZ"/>
        </w:rPr>
        <w:t>quoniam</w:t>
      </w:r>
      <w:r w:rsidRPr="00273106">
        <w:rPr>
          <w:noProof/>
        </w:rPr>
        <w:t xml:space="preserve"> </w:t>
      </w:r>
      <w:r w:rsidRPr="00273106">
        <w:rPr>
          <w:rStyle w:val="aul"/>
          <w:noProof/>
          <w:lang w:val="cs-CZ"/>
        </w:rPr>
        <w:t>sumus</w:t>
      </w:r>
      <w:r>
        <w:rPr>
          <w:rStyle w:val="aul"/>
          <w:noProof/>
          <w:lang w:val="cs-CZ"/>
        </w:rPr>
        <w:t>»</w:t>
      </w:r>
      <w:r w:rsidRPr="00273106">
        <w:rPr>
          <w:rStyle w:val="aul"/>
          <w:noProof/>
          <w:lang w:val="cs-CZ"/>
        </w:rPr>
        <w:t>.“ (</w:t>
      </w:r>
      <w:r>
        <w:rPr>
          <w:i/>
        </w:rPr>
        <w:t xml:space="preserve">Quaestiones disputatae </w:t>
      </w:r>
      <w:r>
        <w:rPr>
          <w:i/>
          <w:lang w:val="cs-CZ"/>
        </w:rPr>
        <w:t>D</w:t>
      </w:r>
      <w:r w:rsidRPr="00F2637A">
        <w:rPr>
          <w:i/>
        </w:rPr>
        <w:t>e veritate</w:t>
      </w:r>
      <w:r w:rsidRPr="00273106">
        <w:rPr>
          <w:rStyle w:val="ref"/>
          <w:rFonts w:eastAsia="Times"/>
          <w:lang w:val="cs-CZ"/>
        </w:rPr>
        <w:t>, q. 10, a. 8, resp.</w:t>
      </w:r>
      <w:r>
        <w:rPr>
          <w:rStyle w:val="ref"/>
          <w:rFonts w:eastAsia="Times"/>
          <w:lang w:val="cs-CZ"/>
        </w:rPr>
        <w:t>; ed. Leonina 22/2, 321.219‒29</w:t>
      </w:r>
      <w:r>
        <w:rPr>
          <w:rStyle w:val="ref"/>
          <w:rFonts w:eastAsia="Times"/>
          <w:lang w:val="cs-CZ"/>
        </w:rPr>
        <w:fldChar w:fldCharType="begin"/>
      </w:r>
      <w:r>
        <w:instrText xml:space="preserve"> XE "</w:instrText>
      </w:r>
      <w:r>
        <w:rPr>
          <w:lang w:val="cs-CZ"/>
        </w:rPr>
        <w:instrText>Akvinský:</w:instrText>
      </w:r>
      <w:r w:rsidRPr="080A2F83">
        <w:rPr>
          <w:i/>
        </w:rPr>
        <w:instrText xml:space="preserve">Quaestiones disputatae </w:instrText>
      </w:r>
      <w:r w:rsidRPr="080A2F83">
        <w:rPr>
          <w:i/>
          <w:lang w:val="cs-CZ"/>
        </w:rPr>
        <w:instrText>D</w:instrText>
      </w:r>
      <w:r w:rsidRPr="080A2F83">
        <w:rPr>
          <w:i/>
        </w:rPr>
        <w:instrText>e veritate</w:instrText>
      </w:r>
      <w:r>
        <w:rPr>
          <w:i/>
          <w:lang w:val="cs-CZ"/>
        </w:rPr>
        <w:instrText xml:space="preserve"> </w:instrText>
      </w:r>
      <w:r w:rsidRPr="080A2F83">
        <w:rPr>
          <w:rStyle w:val="ref"/>
          <w:rFonts w:eastAsia="Times"/>
          <w:lang w:val="cs-CZ"/>
        </w:rPr>
        <w:instrText>321.219‒29</w:instrText>
      </w:r>
      <w:r>
        <w:instrText xml:space="preserve">" </w:instrText>
      </w:r>
      <w:r>
        <w:rPr>
          <w:rStyle w:val="ref"/>
          <w:rFonts w:eastAsia="Times"/>
          <w:lang w:val="cs-CZ"/>
        </w:rPr>
        <w:fldChar w:fldCharType="end"/>
      </w:r>
      <w:r w:rsidRPr="00273106">
        <w:rPr>
          <w:rStyle w:val="aul"/>
          <w:noProof/>
          <w:lang w:val="cs-CZ"/>
        </w:rPr>
        <w:t>)</w:t>
      </w:r>
    </w:p>
  </w:footnote>
  <w:footnote w:id="321">
    <w:p w:rsidR="00971E82" w:rsidRPr="009A3AFA" w:rsidRDefault="00971E82" w:rsidP="08163013">
      <w:pPr>
        <w:pStyle w:val="Textpoznpodarou"/>
      </w:pPr>
      <w:r>
        <w:rPr>
          <w:rStyle w:val="Znakapoznpodarou"/>
        </w:rPr>
        <w:footnoteRef/>
      </w:r>
      <w:r>
        <w:rPr>
          <w:lang w:val="cs-CZ"/>
        </w:rPr>
        <w:t xml:space="preserve"> </w:t>
      </w:r>
      <w:r w:rsidRPr="008002E2">
        <w:rPr>
          <w:rStyle w:val="TextpoznpodarouChar"/>
          <w:rFonts w:eastAsia="Times"/>
        </w:rPr>
        <w:t xml:space="preserve">„Relinquitur ergo solus modus quem </w:t>
      </w:r>
      <w:r>
        <w:rPr>
          <w:rStyle w:val="TextpoznpodarouChar"/>
          <w:rFonts w:eastAsia="Times"/>
        </w:rPr>
        <w:t>Aristoteles</w:t>
      </w:r>
      <w:r w:rsidRPr="008002E2">
        <w:rPr>
          <w:rStyle w:val="TextpoznpodarouChar"/>
          <w:rFonts w:eastAsia="Times"/>
        </w:rPr>
        <w:t xml:space="preserve"> ponit quod hic homo intelligit, quia principium intellectivum est forma ipsius. Sic ergo ex ipsa operationes intellectus apparet quod intellectivum principium unitur corpori forma."</w:t>
      </w:r>
      <w:r>
        <w:rPr>
          <w:rStyle w:val="TextpoznpodarouChar"/>
          <w:rFonts w:eastAsia="Times"/>
        </w:rPr>
        <w:t xml:space="preserve"> (</w:t>
      </w:r>
      <w:r>
        <w:t>ST</w:t>
      </w:r>
      <w:r>
        <w:rPr>
          <w:lang w:val="cs-CZ"/>
        </w:rPr>
        <w:t xml:space="preserve"> I, q. </w:t>
      </w:r>
      <w:r>
        <w:t>76</w:t>
      </w:r>
      <w:r>
        <w:rPr>
          <w:lang w:val="cs-CZ"/>
        </w:rPr>
        <w:t>, a</w:t>
      </w:r>
      <w:r>
        <w:t>.</w:t>
      </w:r>
      <w:r>
        <w:rPr>
          <w:lang w:val="cs-CZ"/>
        </w:rPr>
        <w:t xml:space="preserve"> </w:t>
      </w:r>
      <w:r>
        <w:t>1</w:t>
      </w:r>
      <w:r>
        <w:rPr>
          <w:lang w:val="cs-CZ"/>
        </w:rPr>
        <w:t xml:space="preserve">, </w:t>
      </w:r>
      <w:r>
        <w:t>s.c.</w:t>
      </w:r>
      <w:r>
        <w:rPr>
          <w:lang w:val="cs-CZ"/>
        </w:rPr>
        <w:t>, ed. Leonina 5, 209</w:t>
      </w:r>
      <w:r>
        <w:rPr>
          <w:lang w:val="cs-CZ"/>
        </w:rPr>
        <w:fldChar w:fldCharType="begin"/>
      </w:r>
      <w:r>
        <w:instrText xml:space="preserve"> XE "</w:instrText>
      </w:r>
      <w:r>
        <w:rPr>
          <w:lang w:val="cs-CZ"/>
        </w:rPr>
        <w:instrText>Akvinský:</w:instrText>
      </w:r>
      <w:r w:rsidRPr="00040EEB">
        <w:instrText>ST</w:instrText>
      </w:r>
      <w:r w:rsidRPr="00040EEB">
        <w:rPr>
          <w:lang w:val="cs-CZ"/>
        </w:rPr>
        <w:instrText xml:space="preserve"> I</w:instrText>
      </w:r>
      <w:r>
        <w:rPr>
          <w:lang w:val="cs-CZ"/>
        </w:rPr>
        <w:instrText>.76.1</w:instrText>
      </w:r>
      <w:r>
        <w:instrText xml:space="preserve">" </w:instrText>
      </w:r>
      <w:r>
        <w:rPr>
          <w:lang w:val="cs-CZ"/>
        </w:rPr>
        <w:fldChar w:fldCharType="end"/>
      </w:r>
      <w:r>
        <w:rPr>
          <w:rStyle w:val="TextpoznpodarouChar"/>
          <w:rFonts w:eastAsia="Times"/>
        </w:rPr>
        <w:t>)</w:t>
      </w:r>
    </w:p>
  </w:footnote>
  <w:footnote w:id="322">
    <w:p w:rsidR="00971E82" w:rsidRPr="00C51EF7" w:rsidRDefault="00971E82" w:rsidP="08163013">
      <w:pPr>
        <w:pStyle w:val="Textpoznpodarou"/>
        <w:rPr>
          <w:lang w:val="cs-CZ"/>
        </w:rPr>
      </w:pPr>
      <w:r>
        <w:rPr>
          <w:rStyle w:val="Znakapoznpodarou"/>
        </w:rPr>
        <w:footnoteRef/>
      </w:r>
      <w:r>
        <w:t xml:space="preserve"> </w:t>
      </w:r>
      <w:r w:rsidRPr="00273106">
        <w:rPr>
          <w:noProof/>
        </w:rPr>
        <w:t xml:space="preserve">„Homo autem intelligit, et non nisi per intellectum: unde et </w:t>
      </w:r>
      <w:r>
        <w:rPr>
          <w:noProof/>
        </w:rPr>
        <w:t>Aristotel</w:t>
      </w:r>
      <w:r>
        <w:rPr>
          <w:noProof/>
          <w:lang w:val="cs-CZ"/>
        </w:rPr>
        <w:t>e</w:t>
      </w:r>
      <w:r w:rsidRPr="00273106">
        <w:rPr>
          <w:noProof/>
        </w:rPr>
        <w:t>s, inquirens de principio quo intelligimus, tradit nobis naturam intellectus possibilis. Oportet igitur intellectum possibilem formaliter uniri nobis, et non solum per suum obiectum.“ (</w:t>
      </w:r>
      <w:r w:rsidRPr="00273106">
        <w:rPr>
          <w:i/>
          <w:noProof/>
        </w:rPr>
        <w:t xml:space="preserve">Summa </w:t>
      </w:r>
      <w:r>
        <w:rPr>
          <w:rStyle w:val="ref"/>
          <w:rFonts w:eastAsia="Times"/>
          <w:i/>
          <w:lang w:val="cs-CZ"/>
        </w:rPr>
        <w:t>contra G</w:t>
      </w:r>
      <w:r w:rsidRPr="00273106">
        <w:rPr>
          <w:rStyle w:val="ref"/>
          <w:rFonts w:eastAsia="Times"/>
          <w:i/>
          <w:lang w:val="cs-CZ"/>
        </w:rPr>
        <w:t>entiles</w:t>
      </w:r>
      <w:r w:rsidRPr="00273106">
        <w:rPr>
          <w:rStyle w:val="ref"/>
          <w:rFonts w:eastAsia="Times"/>
          <w:lang w:val="cs-CZ"/>
        </w:rPr>
        <w:t xml:space="preserve"> 2.59.12</w:t>
      </w:r>
      <w:r>
        <w:rPr>
          <w:rStyle w:val="ref"/>
          <w:rFonts w:eastAsia="Times"/>
          <w:lang w:val="cs-CZ"/>
        </w:rPr>
        <w:t>, ed. Leonina 13, 415</w:t>
      </w:r>
      <w:r>
        <w:rPr>
          <w:rStyle w:val="ref"/>
          <w:rFonts w:eastAsia="Times"/>
          <w:i/>
          <w:lang w:val="cs-CZ"/>
        </w:rPr>
        <w:fldChar w:fldCharType="begin"/>
      </w:r>
      <w:r>
        <w:instrText xml:space="preserve"> XE "</w:instrText>
      </w:r>
      <w:r>
        <w:rPr>
          <w:lang w:val="cs-CZ"/>
        </w:rPr>
        <w:instrText>Akvinský:</w:instrText>
      </w:r>
      <w:r w:rsidRPr="00E36A67">
        <w:rPr>
          <w:i/>
          <w:noProof/>
        </w:rPr>
        <w:instrText xml:space="preserve">Summa </w:instrText>
      </w:r>
      <w:r w:rsidRPr="00E36A67">
        <w:rPr>
          <w:rStyle w:val="ref"/>
          <w:rFonts w:eastAsia="Times"/>
          <w:i/>
          <w:lang w:val="cs-CZ"/>
        </w:rPr>
        <w:instrText>contra Gentiles</w:instrText>
      </w:r>
      <w:r>
        <w:rPr>
          <w:rStyle w:val="ref"/>
          <w:rFonts w:eastAsia="Times"/>
          <w:lang w:val="cs-CZ"/>
        </w:rPr>
        <w:instrText xml:space="preserve"> II.59</w:instrText>
      </w:r>
      <w:r>
        <w:instrText xml:space="preserve">" </w:instrText>
      </w:r>
      <w:r>
        <w:rPr>
          <w:rStyle w:val="ref"/>
          <w:rFonts w:eastAsia="Times"/>
          <w:i/>
          <w:lang w:val="cs-CZ"/>
        </w:rPr>
        <w:fldChar w:fldCharType="end"/>
      </w:r>
      <w:r w:rsidRPr="00273106">
        <w:rPr>
          <w:noProof/>
        </w:rPr>
        <w:t>)</w:t>
      </w:r>
    </w:p>
  </w:footnote>
  <w:footnote w:id="323">
    <w:p w:rsidR="00971E82" w:rsidRPr="081E679E" w:rsidRDefault="00971E82" w:rsidP="08163013">
      <w:pPr>
        <w:pStyle w:val="Textpoznpodarou"/>
      </w:pPr>
      <w:r>
        <w:rPr>
          <w:rStyle w:val="Znakapoznpodarou"/>
        </w:rPr>
        <w:footnoteRef/>
      </w:r>
      <w:r>
        <w:rPr>
          <w:lang w:val="cs-CZ"/>
        </w:rPr>
        <w:t xml:space="preserve"> </w:t>
      </w:r>
      <w:r w:rsidRPr="081E679E">
        <w:rPr>
          <w:rFonts w:eastAsia="Times"/>
        </w:rPr>
        <w:t>„Ergo,</w:t>
      </w:r>
      <w:r w:rsidRPr="081E679E">
        <w:t xml:space="preserve"> si intelligere est simile ei quod est sentire, et partem intellectiuam </w:t>
      </w:r>
      <w:r w:rsidRPr="081E679E">
        <w:rPr>
          <w:rFonts w:eastAsia="Times"/>
        </w:rPr>
        <w:t>oportet esse inpassibilem</w:t>
      </w:r>
      <w:r w:rsidRPr="081E679E">
        <w:t xml:space="preserve"> passione proprie accepta, set oportet quod habeat aliquid simile passibilitati, quia oportet huiusmodi partem esse </w:t>
      </w:r>
      <w:r w:rsidRPr="081E679E">
        <w:rPr>
          <w:rFonts w:eastAsia="Times"/>
        </w:rPr>
        <w:t>susceptiuam speciei</w:t>
      </w:r>
      <w:r w:rsidRPr="081E679E">
        <w:t xml:space="preserve"> intelligibilis </w:t>
      </w:r>
      <w:r w:rsidRPr="081E679E">
        <w:rPr>
          <w:rFonts w:eastAsia="Times"/>
        </w:rPr>
        <w:t>et</w:t>
      </w:r>
      <w:r w:rsidRPr="081E679E">
        <w:t xml:space="preserve"> quod sit in </w:t>
      </w:r>
      <w:r w:rsidRPr="081E679E">
        <w:rPr>
          <w:rFonts w:eastAsia="Times"/>
        </w:rPr>
        <w:t>potentia</w:t>
      </w:r>
      <w:r w:rsidRPr="081E679E">
        <w:t xml:space="preserve"> ad </w:t>
      </w:r>
      <w:r w:rsidRPr="081E679E">
        <w:rPr>
          <w:rFonts w:eastAsia="Times"/>
        </w:rPr>
        <w:t>huiusmodi</w:t>
      </w:r>
      <w:r w:rsidRPr="081E679E">
        <w:t xml:space="preserve"> speciem </w:t>
      </w:r>
      <w:r w:rsidRPr="081E679E">
        <w:rPr>
          <w:rFonts w:eastAsia="Times"/>
        </w:rPr>
        <w:t>set non</w:t>
      </w:r>
      <w:r w:rsidRPr="081E679E">
        <w:t xml:space="preserve"> sit </w:t>
      </w:r>
      <w:r w:rsidRPr="081E679E">
        <w:rPr>
          <w:rFonts w:eastAsia="Times"/>
        </w:rPr>
        <w:t>hoc</w:t>
      </w:r>
      <w:r w:rsidRPr="081E679E">
        <w:t xml:space="preserve"> in actu, </w:t>
      </w:r>
      <w:r w:rsidRPr="081E679E">
        <w:rPr>
          <w:rFonts w:eastAsia="Times"/>
        </w:rPr>
        <w:t>et sic</w:t>
      </w:r>
      <w:r w:rsidRPr="081E679E">
        <w:t xml:space="preserve"> oportet, </w:t>
      </w:r>
      <w:r w:rsidRPr="081E679E">
        <w:rPr>
          <w:rFonts w:eastAsia="Times"/>
        </w:rPr>
        <w:t>sicut</w:t>
      </w:r>
      <w:r w:rsidRPr="081E679E">
        <w:t xml:space="preserve"> se habet </w:t>
      </w:r>
      <w:r w:rsidRPr="081E679E">
        <w:rPr>
          <w:rFonts w:eastAsia="Times"/>
        </w:rPr>
        <w:t>sensitiuum ad sensibilia</w:t>
      </w:r>
      <w:r w:rsidRPr="081E679E">
        <w:t xml:space="preserve">, </w:t>
      </w:r>
      <w:r w:rsidRPr="081E679E">
        <w:rPr>
          <w:rFonts w:eastAsia="Times"/>
        </w:rPr>
        <w:t>similiter se habere intellectum ad intelligibilia</w:t>
      </w:r>
      <w:r w:rsidRPr="081E679E">
        <w:t>, quia utrumque est in potencia ad suum obiectum et susceptiuum eius.“</w:t>
      </w:r>
      <w:r w:rsidRPr="081E679E">
        <w:rPr>
          <w:rFonts w:eastAsia="Times"/>
        </w:rPr>
        <w:t xml:space="preserve"> (</w:t>
      </w:r>
      <w:r w:rsidRPr="081E679E">
        <w:rPr>
          <w:rFonts w:eastAsia="Times"/>
          <w:i/>
        </w:rPr>
        <w:t>Sentencia libri De anima</w:t>
      </w:r>
      <w:r w:rsidRPr="081E679E">
        <w:rPr>
          <w:rFonts w:eastAsia="Times"/>
        </w:rPr>
        <w:t>, lib. III, cap. 11; ed. Leonina 45, 202.80‒90</w:t>
      </w:r>
      <w:r w:rsidRPr="081E679E">
        <w:rPr>
          <w:rFonts w:eastAsia="Times"/>
        </w:rPr>
        <w:fldChar w:fldCharType="begin"/>
      </w:r>
      <w:r w:rsidRPr="081E679E">
        <w:instrText xml:space="preserve"> XE "</w:instrText>
      </w:r>
      <w:r w:rsidRPr="081E679E">
        <w:rPr>
          <w:rFonts w:eastAsia="Times"/>
          <w:i/>
        </w:rPr>
        <w:instrText>Sentencia libri De anima</w:instrText>
      </w:r>
      <w:r w:rsidRPr="081E679E">
        <w:rPr>
          <w:rFonts w:eastAsia="Times"/>
        </w:rPr>
        <w:instrText xml:space="preserve"> 202.80‒90</w:instrText>
      </w:r>
      <w:r w:rsidRPr="081E679E">
        <w:instrText xml:space="preserve">" </w:instrText>
      </w:r>
      <w:r w:rsidRPr="081E679E">
        <w:rPr>
          <w:rFonts w:eastAsia="Times"/>
        </w:rPr>
        <w:fldChar w:fldCharType="end"/>
      </w:r>
      <w:r w:rsidRPr="081E679E">
        <w:rPr>
          <w:rFonts w:eastAsia="Times"/>
        </w:rPr>
        <w:t>)</w:t>
      </w:r>
    </w:p>
  </w:footnote>
  <w:footnote w:id="324">
    <w:p w:rsidR="00971E82" w:rsidRPr="00CB6CD3" w:rsidRDefault="00971E82" w:rsidP="08163013">
      <w:pPr>
        <w:pStyle w:val="Textpoznpodarou"/>
        <w:rPr>
          <w:lang w:val="cs-CZ"/>
        </w:rPr>
      </w:pPr>
      <w:r>
        <w:rPr>
          <w:rStyle w:val="Znakapoznpodarou"/>
        </w:rPr>
        <w:footnoteRef/>
      </w:r>
      <w:r>
        <w:t xml:space="preserve"> „Sed sicut actus intellectus principaliter quidem et formaliter est in ipso intellectu, materialiter autem et dispositive in inferioribus viribus, idem etiam dicendum est de habitu. Quantum ergo ad id quod aliquis praesentis scientiae habet in inferioribus viribus, non remanebit in anima separata, sed quantum ad id quod habet in ipso intellectu, necesse est ut remaneat.“ (ST I</w:t>
      </w:r>
      <w:r>
        <w:rPr>
          <w:lang w:val="cs-CZ"/>
        </w:rPr>
        <w:t xml:space="preserve">, q. </w:t>
      </w:r>
      <w:r>
        <w:t>89</w:t>
      </w:r>
      <w:r>
        <w:rPr>
          <w:lang w:val="cs-CZ"/>
        </w:rPr>
        <w:t xml:space="preserve">, a. </w:t>
      </w:r>
      <w:r>
        <w:t>5,</w:t>
      </w:r>
      <w:r>
        <w:rPr>
          <w:lang w:val="cs-CZ"/>
        </w:rPr>
        <w:t xml:space="preserve"> </w:t>
      </w:r>
      <w:r>
        <w:t>resp.</w:t>
      </w:r>
      <w:r>
        <w:rPr>
          <w:lang w:val="cs-CZ"/>
        </w:rPr>
        <w:t xml:space="preserve">; </w:t>
      </w:r>
      <w:r>
        <w:rPr>
          <w:rStyle w:val="ref"/>
          <w:rFonts w:eastAsia="Times"/>
          <w:lang w:val="cs-CZ"/>
        </w:rPr>
        <w:t>ed. Leonina 5, 380</w:t>
      </w:r>
      <w:r>
        <w:fldChar w:fldCharType="begin"/>
      </w:r>
      <w:r>
        <w:instrText xml:space="preserve"> XE "</w:instrText>
      </w:r>
      <w:r>
        <w:rPr>
          <w:lang w:val="cs-CZ"/>
        </w:rPr>
        <w:instrText>Akvinský:</w:instrText>
      </w:r>
      <w:r w:rsidRPr="001A0BBE">
        <w:instrText>ST I</w:instrText>
      </w:r>
      <w:r>
        <w:rPr>
          <w:lang w:val="cs-CZ"/>
        </w:rPr>
        <w:instrText>.89.5</w:instrText>
      </w:r>
      <w:r>
        <w:instrText xml:space="preserve">" </w:instrText>
      </w:r>
      <w:r>
        <w:fldChar w:fldCharType="end"/>
      </w:r>
      <w:r>
        <w:t>)</w:t>
      </w:r>
    </w:p>
  </w:footnote>
  <w:footnote w:id="325">
    <w:p w:rsidR="00971E82" w:rsidRPr="007F240D" w:rsidRDefault="00971E82">
      <w:pPr>
        <w:pStyle w:val="Textpoznpodarou"/>
        <w:rPr>
          <w:lang w:val="cs-CZ"/>
        </w:rPr>
      </w:pPr>
      <w:r>
        <w:rPr>
          <w:rStyle w:val="Znakapoznpodarou"/>
        </w:rPr>
        <w:footnoteRef/>
      </w:r>
      <w:r>
        <w:t xml:space="preserve"> „Ecce quomodo mediat </w:t>
      </w:r>
      <w:r w:rsidRPr="007F240D">
        <w:t>[i.e. Siger]</w:t>
      </w:r>
      <w:r>
        <w:t xml:space="preserve"> inter </w:t>
      </w:r>
      <w:r>
        <w:rPr>
          <w:lang w:val="cs-CZ"/>
        </w:rPr>
        <w:t>L</w:t>
      </w:r>
      <w:r>
        <w:t>atinos et Averroicos; ab Averroicis enim accepit intellectus impartibilitatem,</w:t>
      </w:r>
      <w:r>
        <w:rPr>
          <w:lang w:val="cs-CZ"/>
        </w:rPr>
        <w:t xml:space="preserve"> </w:t>
      </w:r>
      <w:r>
        <w:t xml:space="preserve">immaterialitatem et unitatem, a </w:t>
      </w:r>
      <w:r>
        <w:rPr>
          <w:lang w:val="cs-CZ"/>
        </w:rPr>
        <w:t>L</w:t>
      </w:r>
      <w:r>
        <w:t>atinis autem quod sit forma constituens hominem.“ (</w:t>
      </w:r>
      <w:r w:rsidRPr="007F240D">
        <w:rPr>
          <w:i/>
        </w:rPr>
        <w:t>De intellectu</w:t>
      </w:r>
      <w:r>
        <w:t>, lib. 3, cap. 16, f. 30rb</w:t>
      </w:r>
      <w:r>
        <w:rPr>
          <w:lang w:val="cs-CZ"/>
        </w:rPr>
        <w:t>; viz Haase 2007, 327</w:t>
      </w:r>
      <w:r>
        <w:t>)</w:t>
      </w:r>
    </w:p>
  </w:footnote>
  <w:footnote w:id="326">
    <w:p w:rsidR="00971E82" w:rsidRPr="08EB798C" w:rsidRDefault="00971E82" w:rsidP="08163013">
      <w:pPr>
        <w:pStyle w:val="Textpoznpodarou"/>
        <w:rPr>
          <w:lang w:val="cs-CZ"/>
        </w:rPr>
      </w:pPr>
      <w:r>
        <w:rPr>
          <w:rStyle w:val="Znakapoznpodarou"/>
        </w:rPr>
        <w:footnoteRef/>
      </w:r>
      <w:r>
        <w:t xml:space="preserve"> </w:t>
      </w:r>
      <w:r w:rsidRPr="00273106">
        <w:rPr>
          <w:noProof/>
        </w:rPr>
        <w:t>„</w:t>
      </w:r>
      <w:r w:rsidRPr="08EB798C">
        <w:rPr>
          <w:i/>
          <w:noProof/>
        </w:rPr>
        <w:t>Sed dicebat</w:t>
      </w:r>
      <w:r w:rsidRPr="00273106">
        <w:rPr>
          <w:noProof/>
        </w:rPr>
        <w:t xml:space="preserve"> quod intellectus, id est potentia intellectiva, non habet organum; sed ipsa essentia animae intellectivae unitur corpori ut forma. </w:t>
      </w:r>
      <w:r>
        <w:rPr>
          <w:noProof/>
        </w:rPr>
        <w:t>‒</w:t>
      </w:r>
      <w:r>
        <w:rPr>
          <w:noProof/>
          <w:lang w:val="cs-CZ"/>
        </w:rPr>
        <w:t xml:space="preserve"> </w:t>
      </w:r>
      <w:r w:rsidRPr="08EB798C">
        <w:rPr>
          <w:i/>
          <w:noProof/>
        </w:rPr>
        <w:t>Sed contra</w:t>
      </w:r>
      <w:r w:rsidRPr="00273106">
        <w:rPr>
          <w:noProof/>
        </w:rPr>
        <w:t xml:space="preserve">, effectus non est simplicior sua causa. Sed potentia animae est effectus essentiae eius, quia omnes potentiae fluunt ab esse eius. Nulla ergo potentia animae est simplicior esse animae. Si ergo intellectus non potest esse actus corporis, ut probatur in III </w:t>
      </w:r>
      <w:r>
        <w:rPr>
          <w:i/>
          <w:noProof/>
        </w:rPr>
        <w:t xml:space="preserve">de </w:t>
      </w:r>
      <w:r>
        <w:rPr>
          <w:i/>
          <w:noProof/>
          <w:lang w:val="cs-CZ"/>
        </w:rPr>
        <w:t>A</w:t>
      </w:r>
      <w:r w:rsidRPr="08EB798C">
        <w:rPr>
          <w:i/>
          <w:noProof/>
        </w:rPr>
        <w:t>nima</w:t>
      </w:r>
      <w:r>
        <w:rPr>
          <w:i/>
          <w:noProof/>
          <w:lang w:val="cs-CZ"/>
        </w:rPr>
        <w:t xml:space="preserve"> </w:t>
      </w:r>
      <w:r w:rsidRPr="08EB798C">
        <w:rPr>
          <w:noProof/>
        </w:rPr>
        <w:t>[</w:t>
      </w:r>
      <w:r>
        <w:rPr>
          <w:noProof/>
          <w:lang w:val="cs-CZ"/>
        </w:rPr>
        <w:t>comm. 6</w:t>
      </w:r>
      <w:r w:rsidRPr="08EB798C">
        <w:rPr>
          <w:noProof/>
        </w:rPr>
        <w:t>]</w:t>
      </w:r>
      <w:r w:rsidRPr="00273106">
        <w:rPr>
          <w:noProof/>
        </w:rPr>
        <w:t xml:space="preserve">, neque anima intellectiva poterit uniri corpori ut forma.“ </w:t>
      </w:r>
      <w:r>
        <w:rPr>
          <w:rStyle w:val="ref"/>
          <w:rFonts w:eastAsia="Times"/>
          <w:lang w:val="cs-CZ"/>
        </w:rPr>
        <w:t>(</w:t>
      </w:r>
      <w:r w:rsidRPr="08EB798C">
        <w:rPr>
          <w:rStyle w:val="ref"/>
          <w:rFonts w:eastAsia="Times"/>
          <w:i/>
          <w:lang w:val="cs-CZ"/>
        </w:rPr>
        <w:t>Quaestiones disputatae De anima</w:t>
      </w:r>
      <w:r>
        <w:rPr>
          <w:rStyle w:val="ref"/>
          <w:rFonts w:eastAsia="Times"/>
          <w:lang w:val="cs-CZ"/>
        </w:rPr>
        <w:t>, q. unica, a. 2, ad 4; ed. Marietti, p. 286</w:t>
      </w:r>
      <w:r>
        <w:rPr>
          <w:rStyle w:val="ref"/>
          <w:rFonts w:eastAsia="Times"/>
          <w:lang w:val="cs-CZ"/>
        </w:rPr>
        <w:fldChar w:fldCharType="begin"/>
      </w:r>
      <w:r>
        <w:instrText xml:space="preserve"> XE "</w:instrText>
      </w:r>
      <w:r>
        <w:rPr>
          <w:lang w:val="cs-CZ"/>
        </w:rPr>
        <w:instrText>Akvinský:</w:instrText>
      </w:r>
      <w:r w:rsidRPr="08EF1960">
        <w:rPr>
          <w:rStyle w:val="ref"/>
          <w:rFonts w:eastAsia="Times"/>
          <w:i/>
          <w:lang w:val="cs-CZ"/>
        </w:rPr>
        <w:instrText>Quaestiones disputatae De anima</w:instrText>
      </w:r>
      <w:r>
        <w:rPr>
          <w:rStyle w:val="ref"/>
          <w:rFonts w:eastAsia="Times"/>
          <w:i/>
          <w:lang w:val="cs-CZ"/>
        </w:rPr>
        <w:instrText xml:space="preserve"> </w:instrText>
      </w:r>
      <w:r w:rsidRPr="08EF1960">
        <w:rPr>
          <w:rStyle w:val="ref"/>
          <w:rFonts w:eastAsia="Times"/>
          <w:lang w:val="cs-CZ"/>
        </w:rPr>
        <w:instrText>286</w:instrText>
      </w:r>
      <w:r>
        <w:instrText xml:space="preserve">" </w:instrText>
      </w:r>
      <w:r>
        <w:rPr>
          <w:rStyle w:val="ref"/>
          <w:rFonts w:eastAsia="Times"/>
          <w:lang w:val="cs-CZ"/>
        </w:rPr>
        <w:fldChar w:fldCharType="end"/>
      </w:r>
      <w:r>
        <w:rPr>
          <w:rStyle w:val="ref"/>
          <w:rFonts w:eastAsia="Times"/>
          <w:lang w:val="cs-CZ"/>
        </w:rPr>
        <w:t>)</w:t>
      </w:r>
    </w:p>
  </w:footnote>
  <w:footnote w:id="327">
    <w:p w:rsidR="00971E82" w:rsidRPr="08CF31FD" w:rsidRDefault="00971E82" w:rsidP="08CF31FD">
      <w:pPr>
        <w:pStyle w:val="Textpoznpodarou"/>
      </w:pPr>
      <w:r w:rsidRPr="08CF31FD">
        <w:rPr>
          <w:rStyle w:val="Znakapoznpodarou"/>
        </w:rPr>
        <w:footnoteRef/>
      </w:r>
      <w:r w:rsidRPr="08CF31FD">
        <w:rPr>
          <w:rStyle w:val="Znakapoznpodarou"/>
          <w:vertAlign w:val="baseline"/>
        </w:rPr>
        <w:t xml:space="preserve"> </w:t>
      </w:r>
      <w:r w:rsidRPr="08CF31FD">
        <w:t>„</w:t>
      </w:r>
      <w:r w:rsidRPr="08CF31FD">
        <w:rPr>
          <w:rStyle w:val="Zkladntext35dkovn0pt"/>
          <w:rFonts w:ascii="Calibri" w:hAnsi="Calibri" w:cs="Times New Roman"/>
          <w:b w:val="0"/>
          <w:bCs w:val="0"/>
          <w:color w:val="auto"/>
          <w:spacing w:val="0"/>
          <w:sz w:val="20"/>
          <w:szCs w:val="20"/>
          <w:shd w:val="clear" w:color="auto" w:fill="auto"/>
          <w:lang w:val="x-none"/>
        </w:rPr>
        <w:t>Non enim dicimus animam huma</w:t>
      </w:r>
      <w:r w:rsidRPr="08CF31FD">
        <w:rPr>
          <w:rStyle w:val="Zkladntext35dkovn0pt"/>
          <w:rFonts w:ascii="Calibri" w:hAnsi="Calibri" w:cs="Times New Roman"/>
          <w:b w:val="0"/>
          <w:bCs w:val="0"/>
          <w:color w:val="auto"/>
          <w:spacing w:val="0"/>
          <w:sz w:val="20"/>
          <w:szCs w:val="20"/>
          <w:shd w:val="clear" w:color="auto" w:fill="auto"/>
          <w:lang w:val="x-none"/>
        </w:rPr>
        <w:softHyphen/>
        <w:t xml:space="preserve">nam esse formam corporis secundum intellectiuam potentiam, que secundum doctrinam Aristotilis nullius organi actus est : unde remanet quod anima, quantum ad intellectiuam potentiam, sit immaterialis et immaterialiter recipiens et se ipsam intelligens. Vnde et Aristotiles signanter dicit quod anima est locus specierum «non tota sed intellectus».“ </w:t>
      </w:r>
      <w:r w:rsidRPr="08CF31FD">
        <w:t>(</w:t>
      </w:r>
      <w:r w:rsidRPr="08CF31FD">
        <w:rPr>
          <w:i/>
        </w:rPr>
        <w:t>De unitate intellectus</w:t>
      </w:r>
      <w:r w:rsidRPr="08CF31FD">
        <w:t>, cap. III; ed. Leonina 43, 307.378‒86</w:t>
      </w:r>
      <w:r w:rsidRPr="08CF31FD">
        <w:fldChar w:fldCharType="begin"/>
      </w:r>
      <w:r w:rsidRPr="08CF31FD">
        <w:instrText xml:space="preserve"> XE "Akvinský:</w:instrText>
      </w:r>
      <w:r w:rsidRPr="08CF31FD">
        <w:rPr>
          <w:i/>
        </w:rPr>
        <w:instrText>De unitate intellectus</w:instrText>
      </w:r>
      <w:r w:rsidRPr="08CF31FD">
        <w:instrText xml:space="preserve"> 307.378‒86" </w:instrText>
      </w:r>
      <w:r w:rsidRPr="08CF31FD">
        <w:fldChar w:fldCharType="end"/>
      </w:r>
      <w:r w:rsidRPr="08CF31FD">
        <w:t>)</w:t>
      </w:r>
    </w:p>
  </w:footnote>
  <w:footnote w:id="328">
    <w:p w:rsidR="00971E82" w:rsidRPr="0820265B" w:rsidRDefault="00971E82" w:rsidP="08163013">
      <w:pPr>
        <w:pStyle w:val="Textpoznpodarou"/>
        <w:rPr>
          <w:lang w:val="cs-CZ"/>
        </w:rPr>
      </w:pPr>
      <w:r>
        <w:rPr>
          <w:rStyle w:val="Znakapoznpodarou"/>
        </w:rPr>
        <w:footnoteRef/>
      </w:r>
      <w:r>
        <w:t xml:space="preserve"> </w:t>
      </w:r>
      <w:r w:rsidRPr="00273106">
        <w:rPr>
          <w:noProof/>
        </w:rPr>
        <w:t xml:space="preserve">„Si autem contra hoc obiiciatur, quod potentia animae non potest esse immaterialior aut simplicior quam eius essentia: optime quidem procederet ratio si essentia humanae animae sic esset forma materiae, quod non per esse suum esset, sed per esse compositi, sicut est de aliis formis, quae secundum se nec esse nec operationem habent praeter communicationem materiae, quae propter hoc materiae immersae dicuntur. Anima autem humana, quia secundum suum esse est, cui aliqualiter communicat materia non totaliter comprehendens ipsam, eo quod maior est dignitas huius formae quam capacitas materiae; nihil prohibet quin habeat aliquam operationem vel virtutem ad quam materia non attingit.“ </w:t>
      </w:r>
      <w:r w:rsidRPr="00A50779">
        <w:rPr>
          <w:lang w:val="cs-CZ"/>
        </w:rPr>
        <w:t>(</w:t>
      </w:r>
      <w:r>
        <w:rPr>
          <w:i/>
          <w:lang w:val="cs-CZ"/>
        </w:rPr>
        <w:t>D</w:t>
      </w:r>
      <w:r w:rsidRPr="00273106">
        <w:rPr>
          <w:i/>
        </w:rPr>
        <w:t>e unitate intellectus</w:t>
      </w:r>
      <w:r>
        <w:rPr>
          <w:lang w:val="cs-CZ"/>
        </w:rPr>
        <w:t xml:space="preserve">, cap. </w:t>
      </w:r>
      <w:r w:rsidRPr="00273106">
        <w:t>III</w:t>
      </w:r>
      <w:r>
        <w:rPr>
          <w:lang w:val="cs-CZ"/>
        </w:rPr>
        <w:t>; ed. Leonina 43, 307.387‒401</w:t>
      </w:r>
      <w:r>
        <w:rPr>
          <w:i/>
        </w:rPr>
        <w:fldChar w:fldCharType="begin"/>
      </w:r>
      <w:r>
        <w:instrText xml:space="preserve"> XE "</w:instrText>
      </w:r>
      <w:r>
        <w:rPr>
          <w:lang w:val="cs-CZ"/>
        </w:rPr>
        <w:instrText>Akvinský:</w:instrText>
      </w:r>
      <w:r w:rsidRPr="009D09BF">
        <w:rPr>
          <w:i/>
          <w:lang w:val="cs-CZ"/>
        </w:rPr>
        <w:instrText>D</w:instrText>
      </w:r>
      <w:r w:rsidRPr="009D09BF">
        <w:rPr>
          <w:i/>
        </w:rPr>
        <w:instrText>e unitate intellectus</w:instrText>
      </w:r>
      <w:r>
        <w:rPr>
          <w:i/>
          <w:lang w:val="cs-CZ"/>
        </w:rPr>
        <w:instrText xml:space="preserve"> </w:instrText>
      </w:r>
      <w:r>
        <w:rPr>
          <w:lang w:val="cs-CZ"/>
        </w:rPr>
        <w:instrText>307.387‒401</w:instrText>
      </w:r>
      <w:r>
        <w:instrText xml:space="preserve">" </w:instrText>
      </w:r>
      <w:r>
        <w:rPr>
          <w:i/>
        </w:rPr>
        <w:fldChar w:fldCharType="end"/>
      </w:r>
      <w:r w:rsidRPr="00273106">
        <w:t>)</w:t>
      </w:r>
    </w:p>
  </w:footnote>
  <w:footnote w:id="329">
    <w:p w:rsidR="00971E82" w:rsidRPr="00A12C7D" w:rsidRDefault="00971E82" w:rsidP="08163013">
      <w:pPr>
        <w:pStyle w:val="Textpoznpodarou"/>
        <w:rPr>
          <w:lang w:val="cs-CZ"/>
        </w:rPr>
      </w:pPr>
      <w:r>
        <w:rPr>
          <w:rStyle w:val="Znakapoznpodarou"/>
        </w:rPr>
        <w:footnoteRef/>
      </w:r>
      <w:r>
        <w:rPr>
          <w:lang w:val="cs-CZ"/>
        </w:rPr>
        <w:t xml:space="preserve"> „</w:t>
      </w:r>
      <w:proofErr w:type="gramStart"/>
      <w:r>
        <w:t>Si</w:t>
      </w:r>
      <w:proofErr w:type="gramEnd"/>
      <w:r>
        <w:t xml:space="preserve"> ergo ipsa essentia animae esset immediatum operationis principium, semper habens animam actu haberet opera vitae; sicut semper habens animam actu est vivum. Non enim, inquantum est forma, est actus ordinatus ad ulteriorem actum, sed est ultimus terminus generationis. Unde quod sit in potentia adhuc ad alium actum, hoc non competit ei secundum suam essentiam, inquantum est forma; sed secundum suam potentiam. Et sic ipsa anima, secundum quod subest suae potentiae, dicitur actus primus, ordinatus ad actum secundum. Invenitur autem habens animam non semper esse in actu operum vitae.</w:t>
      </w:r>
      <w:r>
        <w:rPr>
          <w:lang w:val="cs-CZ"/>
        </w:rPr>
        <w:t>“ (ST I, q. 77, a. 1, resp.; ed. Leonina 5, 236‒37</w:t>
      </w:r>
      <w:r>
        <w:rPr>
          <w:lang w:val="cs-CZ"/>
        </w:rPr>
        <w:fldChar w:fldCharType="begin"/>
      </w:r>
      <w:r>
        <w:instrText xml:space="preserve"> XE "</w:instrText>
      </w:r>
      <w:r>
        <w:rPr>
          <w:lang w:val="cs-CZ"/>
        </w:rPr>
        <w:instrText>Akvinský:</w:instrText>
      </w:r>
      <w:r w:rsidRPr="00667C3C">
        <w:rPr>
          <w:lang w:val="cs-CZ"/>
        </w:rPr>
        <w:instrText>ST I</w:instrText>
      </w:r>
      <w:r>
        <w:rPr>
          <w:lang w:val="cs-CZ"/>
        </w:rPr>
        <w:instrText>.77.1</w:instrText>
      </w:r>
      <w:r>
        <w:instrText xml:space="preserve">" </w:instrText>
      </w:r>
      <w:r>
        <w:rPr>
          <w:lang w:val="cs-CZ"/>
        </w:rPr>
        <w:fldChar w:fldCharType="end"/>
      </w:r>
      <w:r>
        <w:rPr>
          <w:lang w:val="cs-CZ"/>
        </w:rPr>
        <w:t xml:space="preserve">) </w:t>
      </w:r>
    </w:p>
  </w:footnote>
  <w:footnote w:id="330">
    <w:p w:rsidR="00971E82" w:rsidRPr="00F34429" w:rsidRDefault="00971E82" w:rsidP="007121AB">
      <w:pPr>
        <w:pStyle w:val="Textpoznpodarou"/>
      </w:pPr>
      <w:r>
        <w:rPr>
          <w:rStyle w:val="Znakapoznpodarou"/>
          <w:rFonts w:eastAsia="Times"/>
        </w:rPr>
        <w:footnoteRef/>
      </w:r>
      <w:r>
        <w:t xml:space="preserve"> “À</w:t>
      </w:r>
      <w:r w:rsidRPr="00F34429">
        <w:t xml:space="preserve"> la différence d</w:t>
      </w:r>
      <w:r>
        <w:t>’</w:t>
      </w:r>
      <w:r w:rsidRPr="00F34429">
        <w:t>Albert réservant tout l</w:t>
      </w:r>
      <w:r>
        <w:t>’</w:t>
      </w:r>
      <w:r w:rsidRPr="00F34429">
        <w:t>influx illuminateur au seul intellect agent (trop peu distinct de l</w:t>
      </w:r>
      <w:r>
        <w:t>’</w:t>
      </w:r>
      <w:r w:rsidRPr="00F34429">
        <w:t>intellect créateur), Thomas attribue la causalité dont bénéficie l</w:t>
      </w:r>
      <w:r>
        <w:t>’</w:t>
      </w:r>
      <w:r w:rsidRPr="00F34429">
        <w:t>intellect possible deux instances en synergie mais bien distinctes : l</w:t>
      </w:r>
      <w:r>
        <w:t>’</w:t>
      </w:r>
      <w:r w:rsidRPr="00F34429">
        <w:t>intellect agent personnel qui assure le dégagement du sens intelligible latent</w:t>
      </w:r>
      <w:r>
        <w:t xml:space="preserve"> dans les formes sensibles, et l’</w:t>
      </w:r>
      <w:r w:rsidRPr="00F34429">
        <w:t>ensemble des réalités qui</w:t>
      </w:r>
      <w:r>
        <w:t xml:space="preserve"> sensibles ou suprasensibles ‒</w:t>
      </w:r>
      <w:r w:rsidRPr="00F34429">
        <w:t xml:space="preserve"> son</w:t>
      </w:r>
      <w:r>
        <w:t>t objet de connaissance intellective et à</w:t>
      </w:r>
      <w:r w:rsidRPr="00F34429">
        <w:t xml:space="preserve"> ce titre exercent en synergie avec l</w:t>
      </w:r>
      <w:r>
        <w:t>’</w:t>
      </w:r>
      <w:r w:rsidRPr="00F34429">
        <w:t>intellect agent personnel, un milieu causal relai de l</w:t>
      </w:r>
      <w:r>
        <w:t>’</w:t>
      </w:r>
      <w:r w:rsidRPr="00F34429">
        <w:t>illumination noétique transcendante diffusée par la Pensée créatrice.</w:t>
      </w:r>
      <w:r>
        <w:t>” (Wéber 1991, 367)</w:t>
      </w:r>
    </w:p>
  </w:footnote>
  <w:footnote w:id="331">
    <w:p w:rsidR="00971E82" w:rsidRPr="08CC286C" w:rsidRDefault="00971E82" w:rsidP="08163013">
      <w:pPr>
        <w:pStyle w:val="Textpoznpodarou"/>
        <w:rPr>
          <w:lang w:val="cs-CZ"/>
        </w:rPr>
      </w:pPr>
      <w:r>
        <w:rPr>
          <w:rStyle w:val="Znakapoznpodarou"/>
        </w:rPr>
        <w:footnoteRef/>
      </w:r>
      <w:r>
        <w:t xml:space="preserve"> </w:t>
      </w:r>
      <w:r>
        <w:rPr>
          <w:lang w:val="cs-CZ"/>
        </w:rPr>
        <w:t>„</w:t>
      </w:r>
      <w:r w:rsidRPr="00C2541A">
        <w:t xml:space="preserve">Now if thinking is analogous to perceiving (τὸ νοεῖν ἀνάλογόν ἐστι τῷ </w:t>
      </w:r>
      <w:proofErr w:type="gramStart"/>
      <w:r w:rsidRPr="00C2541A">
        <w:t>αἰσθάνεσθαι) (for</w:t>
      </w:r>
      <w:proofErr w:type="gramEnd"/>
      <w:r w:rsidRPr="00C2541A">
        <w:t xml:space="preserve"> the soul, as we also said earlier, makes judgments and becomes acquainted with [things] through both of these), then the intellect, too, would be in some way affected by the objects of thought, just as perception is by the objects of perception, and here too “would be affected” has to be understood in just the same way [as with perception] (τὸ πάσχοι δ' ἂν καὶ ἐνταῦθα ἀκουστέον παραπλησίως).</w:t>
      </w:r>
      <w:r>
        <w:rPr>
          <w:lang w:val="cs-CZ"/>
        </w:rPr>
        <w:t>“ (</w:t>
      </w:r>
      <w:r>
        <w:rPr>
          <w:i/>
          <w:lang w:val="cs-CZ"/>
        </w:rPr>
        <w:t>In Aristotelis libros d</w:t>
      </w:r>
      <w:r w:rsidRPr="00F17506">
        <w:rPr>
          <w:i/>
          <w:lang w:val="cs-CZ"/>
        </w:rPr>
        <w:t>e anima paraphrasis</w:t>
      </w:r>
      <w:r>
        <w:rPr>
          <w:lang w:val="cs-CZ"/>
        </w:rPr>
        <w:t xml:space="preserve"> </w:t>
      </w:r>
      <w:r>
        <w:rPr>
          <w:rStyle w:val="TextpoznpodarouChar"/>
          <w:rFonts w:eastAsia="Times"/>
          <w:lang w:val="cs-CZ"/>
        </w:rPr>
        <w:t>94.5‒8</w:t>
      </w:r>
      <w:r>
        <w:rPr>
          <w:rStyle w:val="TextpoznpodarouChar"/>
          <w:rFonts w:eastAsia="Times"/>
          <w:lang w:val="cs-CZ"/>
        </w:rPr>
        <w:fldChar w:fldCharType="begin"/>
      </w:r>
      <w:r>
        <w:instrText xml:space="preserve"> XE "</w:instrText>
      </w:r>
      <w:r w:rsidRPr="005250EA">
        <w:instrText>Themistius:</w:instrText>
      </w:r>
      <w:r w:rsidRPr="00AC457D">
        <w:rPr>
          <w:i/>
        </w:rPr>
        <w:instrText>In Aristotelis libros de anima paraphrasis</w:instrText>
      </w:r>
      <w:r>
        <w:instrText xml:space="preserve"> 94.5‒</w:instrText>
      </w:r>
      <w:r>
        <w:rPr>
          <w:lang w:val="cs-CZ"/>
        </w:rPr>
        <w:instrText>8</w:instrText>
      </w:r>
      <w:r>
        <w:instrText xml:space="preserve">" </w:instrText>
      </w:r>
      <w:r>
        <w:rPr>
          <w:rStyle w:val="TextpoznpodarouChar"/>
          <w:rFonts w:eastAsia="Times"/>
          <w:lang w:val="cs-CZ"/>
        </w:rPr>
        <w:fldChar w:fldCharType="end"/>
      </w:r>
      <w:r>
        <w:rPr>
          <w:rStyle w:val="TextpoznpodarouChar"/>
          <w:rFonts w:eastAsia="Times"/>
          <w:lang w:val="cs-CZ"/>
        </w:rPr>
        <w:t>; trad. Schroeder, pp. 77)</w:t>
      </w:r>
    </w:p>
  </w:footnote>
  <w:footnote w:id="332">
    <w:p w:rsidR="00971E82" w:rsidRPr="00132ED6" w:rsidRDefault="00971E82" w:rsidP="08163013">
      <w:pPr>
        <w:pStyle w:val="Textpoznpodarou"/>
        <w:rPr>
          <w:noProof/>
          <w:lang w:val="cs-CZ"/>
        </w:rPr>
      </w:pPr>
      <w:r>
        <w:rPr>
          <w:rStyle w:val="Znakapoznpodarou"/>
        </w:rPr>
        <w:footnoteRef/>
      </w:r>
      <w:r>
        <w:t xml:space="preserve"> </w:t>
      </w:r>
      <w:r w:rsidRPr="00273106">
        <w:rPr>
          <w:noProof/>
        </w:rPr>
        <w:t xml:space="preserve">„Unde, et sicut dicit Commentator super prologum </w:t>
      </w:r>
      <w:r w:rsidRPr="00273106">
        <w:rPr>
          <w:i/>
          <w:noProof/>
        </w:rPr>
        <w:t>De anima</w:t>
      </w:r>
      <w:r w:rsidRPr="00273106">
        <w:rPr>
          <w:noProof/>
        </w:rPr>
        <w:t>, hanc quaestionem semper «debemus ponere in directo oculorum nostrorum».“ (</w:t>
      </w:r>
      <w:r w:rsidRPr="00273106">
        <w:rPr>
          <w:i/>
          <w:noProof/>
        </w:rPr>
        <w:t>De anima intellectiva</w:t>
      </w:r>
      <w:r w:rsidRPr="00273106">
        <w:rPr>
          <w:noProof/>
        </w:rPr>
        <w:t>, Prol</w:t>
      </w:r>
      <w:r>
        <w:rPr>
          <w:noProof/>
        </w:rPr>
        <w:t>ogus</w:t>
      </w:r>
      <w:r>
        <w:rPr>
          <w:noProof/>
          <w:lang w:val="cs-CZ"/>
        </w:rPr>
        <w:t xml:space="preserve">; </w:t>
      </w:r>
      <w:r>
        <w:rPr>
          <w:noProof/>
        </w:rPr>
        <w:t>ed. Bazán, p. 70.9‒</w:t>
      </w:r>
      <w:r w:rsidRPr="00273106">
        <w:rPr>
          <w:noProof/>
        </w:rPr>
        <w:t>11</w:t>
      </w:r>
      <w:r>
        <w:rPr>
          <w:noProof/>
        </w:rPr>
        <w:fldChar w:fldCharType="begin"/>
      </w:r>
      <w:r>
        <w:instrText xml:space="preserve"> XE "</w:instrText>
      </w:r>
      <w:r>
        <w:rPr>
          <w:lang w:val="cs-CZ"/>
        </w:rPr>
        <w:instrText>Siger:</w:instrText>
      </w:r>
      <w:r w:rsidRPr="004D1AF5">
        <w:rPr>
          <w:i/>
          <w:noProof/>
        </w:rPr>
        <w:instrText>De anima intellectiva</w:instrText>
      </w:r>
      <w:r>
        <w:rPr>
          <w:i/>
          <w:noProof/>
          <w:lang w:val="cs-CZ"/>
        </w:rPr>
        <w:instrText xml:space="preserve"> </w:instrText>
      </w:r>
      <w:r w:rsidRPr="004D1AF5">
        <w:rPr>
          <w:noProof/>
        </w:rPr>
        <w:instrText>70.9‒11</w:instrText>
      </w:r>
      <w:r>
        <w:instrText xml:space="preserve">" </w:instrText>
      </w:r>
      <w:r>
        <w:rPr>
          <w:noProof/>
        </w:rPr>
        <w:fldChar w:fldCharType="end"/>
      </w:r>
      <w:r w:rsidRPr="00273106">
        <w:rPr>
          <w:noProof/>
        </w:rPr>
        <w:t>)</w:t>
      </w:r>
    </w:p>
  </w:footnote>
  <w:footnote w:id="333">
    <w:p w:rsidR="00971E82" w:rsidRPr="00C67D6E" w:rsidRDefault="00971E82" w:rsidP="08163013">
      <w:pPr>
        <w:pStyle w:val="Textpoznpodarou"/>
        <w:rPr>
          <w:lang w:val="cs-CZ"/>
        </w:rPr>
      </w:pPr>
      <w:r>
        <w:rPr>
          <w:rStyle w:val="Znakapoznpodarou"/>
        </w:rPr>
        <w:footnoteRef/>
      </w:r>
      <w:r>
        <w:t xml:space="preserve"> </w:t>
      </w:r>
      <w:r>
        <w:rPr>
          <w:noProof/>
        </w:rPr>
        <w:t>„Quorum Averroë</w:t>
      </w:r>
      <w:r w:rsidRPr="00273106">
        <w:rPr>
          <w:noProof/>
        </w:rPr>
        <w:t>s posuit intellectum possibilem, secundum esse, separatum a corpore. Vidit tamen quod nisi esset aliqua unio eius ad hunc hominem, actio eius ad hunc hominem pertinere non posset. Si enim sint duae substantiae omnino disiunctae, una agente vel operante, alia non dicitur operari. Unde posuit intellectum illum, quem dicebat separatum omnino secundum esse a corpore, continuari cum hoc homine per phantasmata, hac ratione, quia species intelligibilis, quae est perfectio intellectus possibilis, fundatur in phantasmatibus a quibus abstrahitur.</w:t>
      </w:r>
      <w:r>
        <w:rPr>
          <w:noProof/>
          <w:lang w:val="cs-CZ"/>
        </w:rPr>
        <w:t>“</w:t>
      </w:r>
      <w:r w:rsidRPr="00273106">
        <w:rPr>
          <w:noProof/>
        </w:rPr>
        <w:t xml:space="preserve"> (</w:t>
      </w:r>
      <w:r w:rsidRPr="00273106">
        <w:rPr>
          <w:i/>
          <w:noProof/>
        </w:rPr>
        <w:t>De spiritualibus creaturis</w:t>
      </w:r>
      <w:r w:rsidRPr="00273106">
        <w:rPr>
          <w:noProof/>
        </w:rPr>
        <w:t xml:space="preserve">, </w:t>
      </w:r>
      <w:r>
        <w:rPr>
          <w:noProof/>
          <w:lang w:val="cs-CZ"/>
        </w:rPr>
        <w:t xml:space="preserve">q. unica, </w:t>
      </w:r>
      <w:r w:rsidRPr="00273106">
        <w:rPr>
          <w:noProof/>
        </w:rPr>
        <w:t>a. 2</w:t>
      </w:r>
      <w:r>
        <w:rPr>
          <w:noProof/>
          <w:lang w:val="cs-CZ"/>
        </w:rPr>
        <w:t>, resp.; ed. Marietti, p. 375</w:t>
      </w:r>
      <w:r>
        <w:rPr>
          <w:i/>
          <w:noProof/>
        </w:rPr>
        <w:fldChar w:fldCharType="begin"/>
      </w:r>
      <w:r>
        <w:instrText xml:space="preserve"> XE "</w:instrText>
      </w:r>
      <w:r>
        <w:rPr>
          <w:lang w:val="cs-CZ"/>
        </w:rPr>
        <w:instrText>Akvinský:</w:instrText>
      </w:r>
      <w:r w:rsidRPr="00082C57">
        <w:rPr>
          <w:i/>
          <w:noProof/>
        </w:rPr>
        <w:instrText>De spiritualibus creaturis</w:instrText>
      </w:r>
      <w:r>
        <w:rPr>
          <w:i/>
          <w:noProof/>
          <w:lang w:val="cs-CZ"/>
        </w:rPr>
        <w:instrText xml:space="preserve"> </w:instrText>
      </w:r>
      <w:r w:rsidRPr="085C55F1">
        <w:rPr>
          <w:noProof/>
          <w:lang w:val="cs-CZ"/>
        </w:rPr>
        <w:instrText>375</w:instrText>
      </w:r>
      <w:r>
        <w:instrText xml:space="preserve">" </w:instrText>
      </w:r>
      <w:r>
        <w:rPr>
          <w:i/>
          <w:noProof/>
        </w:rPr>
        <w:fldChar w:fldCharType="end"/>
      </w:r>
      <w:r w:rsidRPr="00273106">
        <w:rPr>
          <w:noProof/>
        </w:rPr>
        <w:t>)</w:t>
      </w:r>
    </w:p>
  </w:footnote>
  <w:footnote w:id="334">
    <w:p w:rsidR="00971E82" w:rsidRPr="00601FF7" w:rsidRDefault="00971E82" w:rsidP="08163013">
      <w:pPr>
        <w:pStyle w:val="Textpoznpodarou"/>
        <w:rPr>
          <w:lang w:val="cs-CZ"/>
        </w:rPr>
      </w:pPr>
      <w:r>
        <w:rPr>
          <w:rStyle w:val="Znakapoznpodarou"/>
        </w:rPr>
        <w:footnoteRef/>
      </w:r>
      <w:r>
        <w:t xml:space="preserve"> </w:t>
      </w:r>
      <w:r w:rsidRPr="00601FF7">
        <w:t>„Nec intelligo dicere quod intellectus in sui natura aliquam habeat copulationem. De natura sua solum est in potentia ut nobis copuletur.</w:t>
      </w:r>
      <w:r>
        <w:t>“</w:t>
      </w:r>
      <w:r w:rsidRPr="00601FF7">
        <w:t xml:space="preserve"> </w:t>
      </w:r>
      <w:r w:rsidRPr="00273106">
        <w:rPr>
          <w:noProof/>
        </w:rPr>
        <w:t>(</w:t>
      </w:r>
      <w:r w:rsidRPr="08BF3B3D">
        <w:rPr>
          <w:noProof/>
        </w:rPr>
        <w:t>QIIIDA</w:t>
      </w:r>
      <w:r>
        <w:rPr>
          <w:noProof/>
        </w:rPr>
        <w:t>, q. 15</w:t>
      </w:r>
      <w:r>
        <w:rPr>
          <w:noProof/>
          <w:lang w:val="cs-CZ"/>
        </w:rPr>
        <w:t xml:space="preserve">; </w:t>
      </w:r>
      <w:r>
        <w:t>ed. Bazán, p. 56.60‒6</w:t>
      </w:r>
      <w:r w:rsidRPr="00273106">
        <w:rPr>
          <w:noProof/>
        </w:rPr>
        <w:t>1</w:t>
      </w:r>
      <w:r>
        <w:rPr>
          <w:noProof/>
        </w:rPr>
        <w:fldChar w:fldCharType="begin"/>
      </w:r>
      <w:r>
        <w:instrText xml:space="preserve"> XE "</w:instrText>
      </w:r>
      <w:r>
        <w:rPr>
          <w:lang w:val="cs-CZ"/>
        </w:rPr>
        <w:instrText>Siger:</w:instrText>
      </w:r>
      <w:r>
        <w:rPr>
          <w:i/>
          <w:noProof/>
        </w:rPr>
        <w:instrText xml:space="preserve">Quaestiones in tertium </w:instrText>
      </w:r>
      <w:r>
        <w:rPr>
          <w:i/>
          <w:noProof/>
          <w:lang w:val="cs-CZ"/>
        </w:rPr>
        <w:instrText>D</w:instrText>
      </w:r>
      <w:r w:rsidRPr="00380CB1">
        <w:rPr>
          <w:i/>
          <w:noProof/>
        </w:rPr>
        <w:instrText>e anima</w:instrText>
      </w:r>
      <w:r w:rsidRPr="00380CB1">
        <w:instrText xml:space="preserve"> 56.60‒6</w:instrText>
      </w:r>
      <w:r w:rsidRPr="00380CB1">
        <w:rPr>
          <w:noProof/>
        </w:rPr>
        <w:instrText>1</w:instrText>
      </w:r>
      <w:r>
        <w:instrText xml:space="preserve">" </w:instrText>
      </w:r>
      <w:r>
        <w:rPr>
          <w:noProof/>
        </w:rPr>
        <w:fldChar w:fldCharType="end"/>
      </w:r>
      <w:r>
        <w:t>)</w:t>
      </w:r>
    </w:p>
  </w:footnote>
  <w:footnote w:id="335">
    <w:p w:rsidR="00971E82" w:rsidRPr="081B5C18" w:rsidRDefault="00971E82" w:rsidP="08163013">
      <w:pPr>
        <w:pStyle w:val="Textpoznpodarou"/>
        <w:rPr>
          <w:lang w:val="cs-CZ"/>
        </w:rPr>
      </w:pPr>
      <w:r>
        <w:rPr>
          <w:rStyle w:val="Znakapoznpodarou"/>
        </w:rPr>
        <w:footnoteRef/>
      </w:r>
      <w:r>
        <w:t xml:space="preserve"> </w:t>
      </w:r>
      <w:r w:rsidRPr="00273106">
        <w:rPr>
          <w:noProof/>
        </w:rPr>
        <w:t>Sic ergo habet duplex esse: unum in intellectu possibili, cuius est forma; et aliud in phantasmatibus, a quibus abstrahitur. Phantasmata autem sunt in hoc homine, quia virtus imaginativa est virtus in corpore, id est habens organum corporale. Ipsa ergo species intelligibilis est medium coniungens intellectum possibilem homini singulari.“ (</w:t>
      </w:r>
      <w:r w:rsidRPr="00273106">
        <w:rPr>
          <w:i/>
          <w:noProof/>
        </w:rPr>
        <w:t>De spiritualibus creaturis</w:t>
      </w:r>
      <w:r w:rsidRPr="00273106">
        <w:rPr>
          <w:noProof/>
        </w:rPr>
        <w:t xml:space="preserve">, </w:t>
      </w:r>
      <w:r>
        <w:rPr>
          <w:noProof/>
          <w:lang w:val="cs-CZ"/>
        </w:rPr>
        <w:t xml:space="preserve">q. unica, </w:t>
      </w:r>
      <w:r w:rsidRPr="00273106">
        <w:rPr>
          <w:noProof/>
        </w:rPr>
        <w:t>a. 2</w:t>
      </w:r>
      <w:r>
        <w:rPr>
          <w:noProof/>
          <w:lang w:val="cs-CZ"/>
        </w:rPr>
        <w:t>, resp.; ed. Marietti, p. 375</w:t>
      </w:r>
      <w:r>
        <w:rPr>
          <w:i/>
          <w:noProof/>
        </w:rPr>
        <w:fldChar w:fldCharType="begin"/>
      </w:r>
      <w:r>
        <w:instrText xml:space="preserve"> XE "</w:instrText>
      </w:r>
      <w:r>
        <w:rPr>
          <w:lang w:val="cs-CZ"/>
        </w:rPr>
        <w:instrText>Akvinský:</w:instrText>
      </w:r>
      <w:r w:rsidRPr="00082C57">
        <w:rPr>
          <w:i/>
          <w:noProof/>
        </w:rPr>
        <w:instrText>De spiritualibus creaturis</w:instrText>
      </w:r>
      <w:r>
        <w:rPr>
          <w:i/>
          <w:noProof/>
          <w:lang w:val="cs-CZ"/>
        </w:rPr>
        <w:instrText xml:space="preserve"> </w:instrText>
      </w:r>
      <w:r w:rsidRPr="085C55F1">
        <w:rPr>
          <w:noProof/>
          <w:lang w:val="cs-CZ"/>
        </w:rPr>
        <w:instrText>375</w:instrText>
      </w:r>
      <w:r>
        <w:instrText xml:space="preserve">" </w:instrText>
      </w:r>
      <w:r>
        <w:rPr>
          <w:i/>
          <w:noProof/>
        </w:rPr>
        <w:fldChar w:fldCharType="end"/>
      </w:r>
      <w:r>
        <w:rPr>
          <w:noProof/>
          <w:lang w:val="cs-CZ"/>
        </w:rPr>
        <w:t>)</w:t>
      </w:r>
    </w:p>
  </w:footnote>
  <w:footnote w:id="336">
    <w:p w:rsidR="00971E82" w:rsidRPr="00467CDC" w:rsidRDefault="00971E82" w:rsidP="08163013">
      <w:pPr>
        <w:pStyle w:val="Textpoznpodarou"/>
        <w:rPr>
          <w:lang w:val="cs-CZ"/>
        </w:rPr>
      </w:pPr>
      <w:r>
        <w:rPr>
          <w:rStyle w:val="Znakapoznpodarou"/>
        </w:rPr>
        <w:footnoteRef/>
      </w:r>
      <w:r>
        <w:t xml:space="preserve"> </w:t>
      </w:r>
      <w:r w:rsidRPr="00273106">
        <w:rPr>
          <w:noProof/>
        </w:rPr>
        <w:t>„Sed haec continuatio nullo modo sufficit ad hoc quod hic homo singularis intelligat. Ut enim Aristote</w:t>
      </w:r>
      <w:r>
        <w:rPr>
          <w:noProof/>
        </w:rPr>
        <w:t>l</w:t>
      </w:r>
      <w:r>
        <w:rPr>
          <w:noProof/>
          <w:lang w:val="cs-CZ"/>
        </w:rPr>
        <w:t>e</w:t>
      </w:r>
      <w:r w:rsidRPr="00273106">
        <w:rPr>
          <w:noProof/>
        </w:rPr>
        <w:t>s dicit in Lib. III de anima, phantasmata comparantur ad intellectum possibilem sicut color ad visum. Sic igitur species intelligibilis a phantasmatibus abstracta, est in intellectu possibili, sicut species coloris in sensu visus; sic autem est in phantasmatibus intelligibilis species sicut species visibilis est in colore parietis.“ (</w:t>
      </w:r>
      <w:r w:rsidRPr="00273106">
        <w:rPr>
          <w:i/>
          <w:noProof/>
        </w:rPr>
        <w:t>De spiritualibus creaturis</w:t>
      </w:r>
      <w:r w:rsidRPr="00273106">
        <w:rPr>
          <w:noProof/>
        </w:rPr>
        <w:t xml:space="preserve">, </w:t>
      </w:r>
      <w:r>
        <w:rPr>
          <w:noProof/>
          <w:lang w:val="cs-CZ"/>
        </w:rPr>
        <w:t xml:space="preserve">q. unica, </w:t>
      </w:r>
      <w:r w:rsidRPr="00273106">
        <w:rPr>
          <w:noProof/>
        </w:rPr>
        <w:t>a. 2, resp.</w:t>
      </w:r>
      <w:r>
        <w:rPr>
          <w:noProof/>
          <w:lang w:val="cs-CZ"/>
        </w:rPr>
        <w:t>; ed. Marietti, p. 75</w:t>
      </w:r>
      <w:r>
        <w:rPr>
          <w:i/>
          <w:noProof/>
        </w:rPr>
        <w:fldChar w:fldCharType="begin"/>
      </w:r>
      <w:r>
        <w:instrText xml:space="preserve"> XE "</w:instrText>
      </w:r>
      <w:r>
        <w:rPr>
          <w:lang w:val="cs-CZ"/>
        </w:rPr>
        <w:instrText>Akvinský:</w:instrText>
      </w:r>
      <w:r w:rsidRPr="00A97F97">
        <w:rPr>
          <w:i/>
          <w:noProof/>
        </w:rPr>
        <w:instrText>De spiritualibus creaturis</w:instrText>
      </w:r>
      <w:r>
        <w:rPr>
          <w:noProof/>
          <w:lang w:val="cs-CZ"/>
        </w:rPr>
        <w:instrText xml:space="preserve"> 75</w:instrText>
      </w:r>
      <w:r>
        <w:instrText xml:space="preserve">" </w:instrText>
      </w:r>
      <w:r>
        <w:rPr>
          <w:i/>
          <w:noProof/>
        </w:rPr>
        <w:fldChar w:fldCharType="end"/>
      </w:r>
      <w:r w:rsidRPr="00273106">
        <w:rPr>
          <w:noProof/>
        </w:rPr>
        <w:t>)</w:t>
      </w:r>
    </w:p>
  </w:footnote>
  <w:footnote w:id="337">
    <w:p w:rsidR="00971E82" w:rsidRPr="009F73F3" w:rsidRDefault="00971E82" w:rsidP="08163013">
      <w:pPr>
        <w:pStyle w:val="Textpoznpodarou"/>
        <w:rPr>
          <w:noProof/>
          <w:lang w:val="cs-CZ"/>
        </w:rPr>
      </w:pPr>
      <w:r>
        <w:rPr>
          <w:rStyle w:val="Znakapoznpodarou"/>
        </w:rPr>
        <w:footnoteRef/>
      </w:r>
      <w:r>
        <w:t xml:space="preserve"> </w:t>
      </w:r>
      <w:r w:rsidRPr="00273106">
        <w:rPr>
          <w:noProof/>
        </w:rPr>
        <w:t>„Ad tertium dicendum quod corpus requiritur ad actionem intellectus, non sicut organum quo talis actio exerceatur, sed ratione obiecti, phantasma enim comparatur ad intellectum sicut c</w:t>
      </w:r>
      <w:r>
        <w:rPr>
          <w:noProof/>
        </w:rPr>
        <w:t xml:space="preserve">olor ad visum.“ (ST </w:t>
      </w:r>
      <w:r>
        <w:rPr>
          <w:noProof/>
          <w:lang w:val="cs-CZ"/>
        </w:rPr>
        <w:t xml:space="preserve">I, q. </w:t>
      </w:r>
      <w:r>
        <w:rPr>
          <w:noProof/>
        </w:rPr>
        <w:t>75</w:t>
      </w:r>
      <w:r>
        <w:rPr>
          <w:noProof/>
          <w:lang w:val="cs-CZ"/>
        </w:rPr>
        <w:t xml:space="preserve">, a. </w:t>
      </w:r>
      <w:r>
        <w:rPr>
          <w:noProof/>
        </w:rPr>
        <w:t>2</w:t>
      </w:r>
      <w:r>
        <w:rPr>
          <w:noProof/>
          <w:lang w:val="cs-CZ"/>
        </w:rPr>
        <w:t xml:space="preserve">, </w:t>
      </w:r>
      <w:r>
        <w:rPr>
          <w:noProof/>
        </w:rPr>
        <w:t>ad 3</w:t>
      </w:r>
      <w:r>
        <w:rPr>
          <w:noProof/>
          <w:lang w:val="cs-CZ"/>
        </w:rPr>
        <w:t>; ed. Leonina 5, 197</w:t>
      </w:r>
      <w:r>
        <w:rPr>
          <w:noProof/>
          <w:lang w:val="cs-CZ"/>
        </w:rPr>
        <w:fldChar w:fldCharType="begin"/>
      </w:r>
      <w:r>
        <w:instrText xml:space="preserve"> XE "</w:instrText>
      </w:r>
      <w:r>
        <w:rPr>
          <w:lang w:val="cs-CZ"/>
        </w:rPr>
        <w:instrText>Akvinský:</w:instrText>
      </w:r>
      <w:r w:rsidRPr="009B0696">
        <w:rPr>
          <w:noProof/>
        </w:rPr>
        <w:instrText xml:space="preserve">ST </w:instrText>
      </w:r>
      <w:r w:rsidRPr="009B0696">
        <w:rPr>
          <w:noProof/>
          <w:lang w:val="cs-CZ"/>
        </w:rPr>
        <w:instrText>I</w:instrText>
      </w:r>
      <w:r>
        <w:rPr>
          <w:noProof/>
          <w:lang w:val="cs-CZ"/>
        </w:rPr>
        <w:instrText>.75.2</w:instrText>
      </w:r>
      <w:r>
        <w:instrText xml:space="preserve">" </w:instrText>
      </w:r>
      <w:r>
        <w:rPr>
          <w:noProof/>
          <w:lang w:val="cs-CZ"/>
        </w:rPr>
        <w:fldChar w:fldCharType="end"/>
      </w:r>
      <w:r>
        <w:rPr>
          <w:noProof/>
          <w:lang w:val="cs-CZ"/>
        </w:rPr>
        <w:t>)</w:t>
      </w:r>
    </w:p>
  </w:footnote>
  <w:footnote w:id="338">
    <w:p w:rsidR="00971E82" w:rsidRPr="008D2DA5" w:rsidRDefault="00971E82" w:rsidP="002F23CF">
      <w:pPr>
        <w:pStyle w:val="Textpoznpodarou"/>
      </w:pPr>
      <w:r>
        <w:rPr>
          <w:rStyle w:val="Znakapoznpodarou"/>
          <w:rFonts w:eastAsia="Times"/>
        </w:rPr>
        <w:footnoteRef/>
      </w:r>
      <w:r>
        <w:t xml:space="preserve"> </w:t>
      </w:r>
      <w:r>
        <w:rPr>
          <w:lang w:val="cs-CZ"/>
        </w:rPr>
        <w:t>„S</w:t>
      </w:r>
      <w:r w:rsidRPr="008D2DA5">
        <w:rPr>
          <w:lang w:val="cs-CZ"/>
        </w:rPr>
        <w:t>imiliter dicendum esset quod vegetativum et sensitivum sunt in intellectivo, ut trigonum et tetragonum in pentagono. Est autem tetragonum quidem a trigono simpliciter alia figura specie, non autem a trigono quod est potentia in ipso</w:t>
      </w:r>
      <w:r>
        <w:rPr>
          <w:lang w:val="cs-CZ"/>
        </w:rPr>
        <w:t xml:space="preserve">.“ </w:t>
      </w:r>
      <w:r w:rsidRPr="00273106">
        <w:rPr>
          <w:noProof/>
        </w:rPr>
        <w:t>(</w:t>
      </w:r>
      <w:r w:rsidRPr="00273106">
        <w:rPr>
          <w:i/>
          <w:noProof/>
        </w:rPr>
        <w:t>De unitate intellectus</w:t>
      </w:r>
      <w:r>
        <w:rPr>
          <w:i/>
          <w:noProof/>
        </w:rPr>
        <w:t xml:space="preserve">, </w:t>
      </w:r>
      <w:r w:rsidRPr="08AF6E83">
        <w:rPr>
          <w:noProof/>
        </w:rPr>
        <w:t xml:space="preserve">cap. </w:t>
      </w:r>
      <w:r>
        <w:rPr>
          <w:noProof/>
        </w:rPr>
        <w:t>I; ed. Leonina 43, 300.819‒21</w:t>
      </w:r>
      <w:r>
        <w:rPr>
          <w:i/>
          <w:noProof/>
        </w:rPr>
        <w:fldChar w:fldCharType="begin"/>
      </w:r>
      <w:r>
        <w:instrText xml:space="preserve"> XE "Aquin:</w:instrText>
      </w:r>
      <w:r w:rsidRPr="001D243F">
        <w:rPr>
          <w:i/>
          <w:noProof/>
        </w:rPr>
        <w:instrText>De unitate intellectus</w:instrText>
      </w:r>
      <w:r>
        <w:rPr>
          <w:noProof/>
        </w:rPr>
        <w:instrText xml:space="preserve"> 300.819‒21</w:instrText>
      </w:r>
      <w:r>
        <w:instrText xml:space="preserve">" </w:instrText>
      </w:r>
      <w:r>
        <w:rPr>
          <w:i/>
          <w:noProof/>
        </w:rPr>
        <w:fldChar w:fldCharType="end"/>
      </w:r>
      <w:r w:rsidRPr="00273106">
        <w:rPr>
          <w:noProof/>
        </w:rPr>
        <w:t>)</w:t>
      </w:r>
    </w:p>
  </w:footnote>
  <w:footnote w:id="339">
    <w:p w:rsidR="00971E82" w:rsidRPr="00A223EF" w:rsidRDefault="00971E82" w:rsidP="08163013">
      <w:pPr>
        <w:pStyle w:val="Textpoznpodarou"/>
        <w:rPr>
          <w:lang w:val="cs-CZ"/>
        </w:rPr>
      </w:pPr>
      <w:r w:rsidRPr="00A223EF">
        <w:rPr>
          <w:rStyle w:val="Znakapoznpodarou"/>
        </w:rPr>
        <w:footnoteRef/>
      </w:r>
      <w:r w:rsidRPr="00A223EF">
        <w:t xml:space="preserve"> „</w:t>
      </w:r>
      <w:r w:rsidRPr="08821276">
        <w:t xml:space="preserve">Patet etiam quod Auerroys peruerse refert sententiam Themistii et Theophrasti de intellectu possibili et agente; unde merito supra diximus eum philosophie peripatetice peruersorem. </w:t>
      </w:r>
      <w:r w:rsidRPr="00A223EF">
        <w:t xml:space="preserve">Unde mirum est quomodo aliqui, solum commentum Averrois videntes, pronuntiare praesumunt, quod ipse dicit, hoc sensisse omnes philosophos Graecos et Arabes, praeter Latinos.“ </w:t>
      </w:r>
      <w:r w:rsidRPr="00273106">
        <w:rPr>
          <w:noProof/>
        </w:rPr>
        <w:t>(</w:t>
      </w:r>
      <w:r w:rsidRPr="00273106">
        <w:rPr>
          <w:i/>
          <w:noProof/>
        </w:rPr>
        <w:t>De unitate intellectus</w:t>
      </w:r>
      <w:r>
        <w:rPr>
          <w:i/>
          <w:noProof/>
          <w:lang w:val="cs-CZ"/>
        </w:rPr>
        <w:t xml:space="preserve">, </w:t>
      </w:r>
      <w:r w:rsidRPr="08AF6E83">
        <w:rPr>
          <w:noProof/>
          <w:lang w:val="cs-CZ"/>
        </w:rPr>
        <w:t xml:space="preserve">cap. </w:t>
      </w:r>
      <w:r>
        <w:rPr>
          <w:noProof/>
          <w:lang w:val="cs-CZ"/>
        </w:rPr>
        <w:t>V; ed. Leonina 43, 314.389‒96</w:t>
      </w:r>
      <w:r>
        <w:rPr>
          <w:i/>
          <w:noProof/>
        </w:rPr>
        <w:fldChar w:fldCharType="begin"/>
      </w:r>
      <w:r>
        <w:instrText xml:space="preserve"> XE "</w:instrText>
      </w:r>
      <w:r>
        <w:rPr>
          <w:lang w:val="cs-CZ"/>
        </w:rPr>
        <w:instrText>Akvinský:</w:instrText>
      </w:r>
      <w:r w:rsidRPr="001D243F">
        <w:rPr>
          <w:i/>
          <w:noProof/>
        </w:rPr>
        <w:instrText>De unitate intellectus</w:instrText>
      </w:r>
      <w:r>
        <w:rPr>
          <w:noProof/>
          <w:lang w:val="cs-CZ"/>
        </w:rPr>
        <w:instrText xml:space="preserve"> 314.389‒96</w:instrText>
      </w:r>
      <w:r>
        <w:instrText xml:space="preserve">" </w:instrText>
      </w:r>
      <w:r>
        <w:rPr>
          <w:i/>
          <w:noProof/>
        </w:rPr>
        <w:fldChar w:fldCharType="end"/>
      </w:r>
      <w:r w:rsidRPr="00273106">
        <w:rPr>
          <w:noProof/>
        </w:rPr>
        <w:t>)</w:t>
      </w:r>
    </w:p>
  </w:footnote>
  <w:footnote w:id="340">
    <w:p w:rsidR="00971E82" w:rsidRPr="000D2291" w:rsidRDefault="00971E82" w:rsidP="08163013">
      <w:pPr>
        <w:pStyle w:val="Textpoznpodarou"/>
        <w:rPr>
          <w:lang w:val="cs-CZ"/>
        </w:rPr>
      </w:pPr>
      <w:r>
        <w:rPr>
          <w:rStyle w:val="Znakapoznpodarou"/>
        </w:rPr>
        <w:footnoteRef/>
      </w:r>
      <w:r>
        <w:t xml:space="preserve"> </w:t>
      </w:r>
      <w:r w:rsidRPr="00273106">
        <w:rPr>
          <w:noProof/>
        </w:rPr>
        <w:t xml:space="preserve">„Nihil operatur nisi per aliquam virtutem quae formaliter in ipso est: unde </w:t>
      </w:r>
      <w:r>
        <w:rPr>
          <w:noProof/>
        </w:rPr>
        <w:t>Aristotel</w:t>
      </w:r>
      <w:r>
        <w:rPr>
          <w:noProof/>
          <w:lang w:val="cs-CZ"/>
        </w:rPr>
        <w:t>e</w:t>
      </w:r>
      <w:r w:rsidRPr="00273106">
        <w:rPr>
          <w:noProof/>
        </w:rPr>
        <w:t>s, in II de anima, ostendit quod quo vivimus et sentimus, est forma et actus. Sed utraque actio, scilicet intellectus possibilis et intellectus agentis, convenit homini: homo enim abstrahit a phantasmatibus, et recipit mente intelligibilia in actu; non enim aliter in notitiam harum actionum venissemus nisi eas in nobis experiremur. Oportet igitur quod principia quibus attribuuntur hae actiones, scilicet intellectus possibilis et agens, sint virtutes quaedam in nobis formaliter existentes.“ (</w:t>
      </w:r>
      <w:r>
        <w:rPr>
          <w:i/>
          <w:noProof/>
        </w:rPr>
        <w:t xml:space="preserve">Summa contra </w:t>
      </w:r>
      <w:r>
        <w:rPr>
          <w:i/>
          <w:noProof/>
          <w:lang w:val="cs-CZ"/>
        </w:rPr>
        <w:t>G</w:t>
      </w:r>
      <w:r w:rsidRPr="00273106">
        <w:rPr>
          <w:i/>
          <w:noProof/>
        </w:rPr>
        <w:t>entiles</w:t>
      </w:r>
      <w:r w:rsidRPr="00273106">
        <w:rPr>
          <w:rStyle w:val="ref"/>
          <w:rFonts w:eastAsia="Times"/>
          <w:lang w:val="cs-CZ"/>
        </w:rPr>
        <w:t>, lib. 2, cap. 76, n. 18</w:t>
      </w:r>
      <w:r>
        <w:rPr>
          <w:rStyle w:val="ref"/>
          <w:rFonts w:eastAsia="Times"/>
          <w:lang w:val="cs-CZ"/>
        </w:rPr>
        <w:t>; ed. Leonina 13, 482</w:t>
      </w:r>
      <w:r>
        <w:rPr>
          <w:i/>
          <w:noProof/>
        </w:rPr>
        <w:fldChar w:fldCharType="begin"/>
      </w:r>
      <w:r>
        <w:instrText xml:space="preserve"> XE "</w:instrText>
      </w:r>
      <w:r>
        <w:rPr>
          <w:lang w:val="cs-CZ"/>
        </w:rPr>
        <w:instrText>Akvinský:</w:instrText>
      </w:r>
      <w:r>
        <w:rPr>
          <w:i/>
          <w:noProof/>
        </w:rPr>
        <w:instrText xml:space="preserve">Summa contra </w:instrText>
      </w:r>
      <w:r>
        <w:rPr>
          <w:i/>
          <w:noProof/>
          <w:lang w:val="cs-CZ"/>
        </w:rPr>
        <w:instrText>G</w:instrText>
      </w:r>
      <w:r w:rsidRPr="00273106">
        <w:rPr>
          <w:i/>
          <w:noProof/>
        </w:rPr>
        <w:instrText>entiles</w:instrText>
      </w:r>
      <w:r>
        <w:rPr>
          <w:i/>
          <w:noProof/>
          <w:lang w:val="cs-CZ"/>
        </w:rPr>
        <w:instrText xml:space="preserve"> </w:instrText>
      </w:r>
      <w:r w:rsidRPr="00A72692">
        <w:rPr>
          <w:noProof/>
          <w:lang w:val="cs-CZ"/>
        </w:rPr>
        <w:instrText>II</w:instrText>
      </w:r>
      <w:r>
        <w:rPr>
          <w:lang w:val="cs-CZ"/>
        </w:rPr>
        <w:instrText>.76</w:instrText>
      </w:r>
      <w:r>
        <w:instrText xml:space="preserve">" </w:instrText>
      </w:r>
      <w:r>
        <w:rPr>
          <w:i/>
          <w:noProof/>
        </w:rPr>
        <w:fldChar w:fldCharType="end"/>
      </w:r>
      <w:r>
        <w:rPr>
          <w:noProof/>
          <w:lang w:val="cs-CZ"/>
        </w:rPr>
        <w:t>)</w:t>
      </w:r>
    </w:p>
  </w:footnote>
  <w:footnote w:id="341">
    <w:p w:rsidR="00971E82" w:rsidRPr="00C12B30" w:rsidRDefault="00971E82" w:rsidP="08163013">
      <w:pPr>
        <w:pStyle w:val="Textpoznpodarou"/>
        <w:rPr>
          <w:lang w:val="cs-CZ"/>
        </w:rPr>
      </w:pPr>
      <w:r>
        <w:rPr>
          <w:rStyle w:val="Znakapoznpodarou"/>
        </w:rPr>
        <w:footnoteRef/>
      </w:r>
      <w:r>
        <w:t xml:space="preserve"> </w:t>
      </w:r>
      <w:r w:rsidRPr="00273106">
        <w:rPr>
          <w:noProof/>
        </w:rPr>
        <w:t xml:space="preserve">„Sed ne aliquis dicat, quod id quo intelligimus non dicit hic intellectum possibilem, sed aliquid aliud, manifeste hoc excluditur per id quod </w:t>
      </w:r>
      <w:r>
        <w:rPr>
          <w:noProof/>
        </w:rPr>
        <w:t>Aristotel</w:t>
      </w:r>
      <w:r>
        <w:rPr>
          <w:noProof/>
          <w:lang w:val="cs-CZ"/>
        </w:rPr>
        <w:t>e</w:t>
      </w:r>
      <w:r w:rsidRPr="00273106">
        <w:rPr>
          <w:noProof/>
        </w:rPr>
        <w:t>s in tertio de anima dicit, de intellectu possibili loquens: dico autem intellectum, quo opinatur et intelligit anima.“ (</w:t>
      </w:r>
      <w:r w:rsidRPr="00273106">
        <w:rPr>
          <w:i/>
          <w:noProof/>
        </w:rPr>
        <w:t>De unitate intellectus</w:t>
      </w:r>
      <w:r>
        <w:rPr>
          <w:i/>
          <w:noProof/>
          <w:lang w:val="cs-CZ"/>
        </w:rPr>
        <w:t xml:space="preserve">, </w:t>
      </w:r>
      <w:r w:rsidRPr="08AF6E83">
        <w:rPr>
          <w:noProof/>
          <w:lang w:val="cs-CZ"/>
        </w:rPr>
        <w:t>cap.</w:t>
      </w:r>
      <w:r>
        <w:rPr>
          <w:noProof/>
          <w:lang w:val="cs-CZ"/>
        </w:rPr>
        <w:t xml:space="preserve"> I; ed. Leonina 43, 293.212‒17</w:t>
      </w:r>
      <w:r>
        <w:rPr>
          <w:i/>
          <w:noProof/>
        </w:rPr>
        <w:fldChar w:fldCharType="begin"/>
      </w:r>
      <w:r>
        <w:instrText xml:space="preserve"> XE "</w:instrText>
      </w:r>
      <w:r>
        <w:rPr>
          <w:lang w:val="cs-CZ"/>
        </w:rPr>
        <w:instrText>Akvinský:</w:instrText>
      </w:r>
      <w:r w:rsidRPr="001D243F">
        <w:rPr>
          <w:i/>
          <w:noProof/>
        </w:rPr>
        <w:instrText>De unitate intellectus</w:instrText>
      </w:r>
      <w:r>
        <w:rPr>
          <w:noProof/>
          <w:lang w:val="cs-CZ"/>
        </w:rPr>
        <w:instrText xml:space="preserve"> 293.212‒17</w:instrText>
      </w:r>
      <w:r>
        <w:instrText xml:space="preserve">" </w:instrText>
      </w:r>
      <w:r>
        <w:rPr>
          <w:i/>
          <w:noProof/>
        </w:rPr>
        <w:fldChar w:fldCharType="end"/>
      </w:r>
      <w:r w:rsidRPr="00273106">
        <w:rPr>
          <w:noProof/>
        </w:rPr>
        <w:t>)</w:t>
      </w:r>
    </w:p>
  </w:footnote>
  <w:footnote w:id="342">
    <w:p w:rsidR="00971E82" w:rsidRPr="00920837" w:rsidRDefault="00971E82" w:rsidP="08163013">
      <w:pPr>
        <w:pStyle w:val="Textpoznpodarou"/>
        <w:rPr>
          <w:lang w:val="cs-CZ"/>
        </w:rPr>
      </w:pPr>
      <w:r>
        <w:rPr>
          <w:rStyle w:val="Znakapoznpodarou"/>
        </w:rPr>
        <w:footnoteRef/>
      </w:r>
      <w:r>
        <w:t xml:space="preserve"> </w:t>
      </w:r>
      <w:r w:rsidRPr="00273106">
        <w:rPr>
          <w:noProof/>
        </w:rPr>
        <w:t>„Si autem dicas quod principium huius actus, qui est intelligere, quod nominamus intellectu</w:t>
      </w:r>
      <w:r>
        <w:rPr>
          <w:noProof/>
        </w:rPr>
        <w:t>m, non sit forma, oportet te in</w:t>
      </w:r>
      <w:r>
        <w:rPr>
          <w:noProof/>
          <w:lang w:val="cs-CZ"/>
        </w:rPr>
        <w:t>u</w:t>
      </w:r>
      <w:r w:rsidRPr="00273106">
        <w:rPr>
          <w:noProof/>
        </w:rPr>
        <w:t>enire modum quo actio illius principii sit actio huius hominis.“ (</w:t>
      </w:r>
      <w:r w:rsidRPr="00273106">
        <w:rPr>
          <w:i/>
          <w:noProof/>
        </w:rPr>
        <w:t>De unitate intellectus</w:t>
      </w:r>
      <w:r>
        <w:rPr>
          <w:i/>
          <w:noProof/>
          <w:lang w:val="cs-CZ"/>
        </w:rPr>
        <w:t xml:space="preserve">, </w:t>
      </w:r>
      <w:r w:rsidRPr="08AF6E83">
        <w:rPr>
          <w:noProof/>
          <w:lang w:val="cs-CZ"/>
        </w:rPr>
        <w:t>cap.</w:t>
      </w:r>
      <w:r>
        <w:rPr>
          <w:noProof/>
          <w:lang w:val="cs-CZ"/>
        </w:rPr>
        <w:t xml:space="preserve"> III; ed. Leonina 43, 303.41‒44</w:t>
      </w:r>
      <w:r>
        <w:rPr>
          <w:i/>
          <w:noProof/>
        </w:rPr>
        <w:fldChar w:fldCharType="begin"/>
      </w:r>
      <w:r>
        <w:instrText xml:space="preserve"> XE "</w:instrText>
      </w:r>
      <w:r>
        <w:rPr>
          <w:lang w:val="cs-CZ"/>
        </w:rPr>
        <w:instrText>Akvinský:</w:instrText>
      </w:r>
      <w:r w:rsidRPr="001D243F">
        <w:rPr>
          <w:i/>
          <w:noProof/>
        </w:rPr>
        <w:instrText>De unitate intellectus</w:instrText>
      </w:r>
      <w:r>
        <w:rPr>
          <w:noProof/>
          <w:lang w:val="cs-CZ"/>
        </w:rPr>
        <w:instrText xml:space="preserve"> 303.41‒44</w:instrText>
      </w:r>
      <w:r>
        <w:instrText xml:space="preserve">" </w:instrText>
      </w:r>
      <w:r>
        <w:rPr>
          <w:i/>
          <w:noProof/>
        </w:rPr>
        <w:fldChar w:fldCharType="end"/>
      </w:r>
      <w:r w:rsidRPr="00273106">
        <w:rPr>
          <w:noProof/>
        </w:rPr>
        <w:t>)</w:t>
      </w:r>
    </w:p>
  </w:footnote>
  <w:footnote w:id="343">
    <w:p w:rsidR="00971E82" w:rsidRPr="00811B12" w:rsidRDefault="00971E82" w:rsidP="08163013">
      <w:pPr>
        <w:pStyle w:val="Textpoznpodarou"/>
        <w:rPr>
          <w:lang w:val="cs-CZ"/>
        </w:rPr>
      </w:pPr>
      <w:r>
        <w:rPr>
          <w:rStyle w:val="Znakapoznpodarou"/>
        </w:rPr>
        <w:footnoteRef/>
      </w:r>
      <w:r>
        <w:t xml:space="preserve"> </w:t>
      </w:r>
      <w:r w:rsidRPr="00273106">
        <w:rPr>
          <w:noProof/>
        </w:rPr>
        <w:t>„</w:t>
      </w:r>
      <w:r>
        <w:t xml:space="preserve">Quorum unus Auerroys, ponens huiusmodi principium intelligendi quod dicitur intellectus possibilis non esse animam nec partem anime nisi equiuoce, sed potius quod sit substantia quedam separata, dixit quod intelligere illius substantie separate est intelligere mei uel illius, in quantum intellectus ille possibilis copulatur michi uel tibi </w:t>
      </w:r>
      <w:r>
        <w:rPr>
          <w:lang w:val="cs-CZ"/>
        </w:rPr>
        <w:t>per fantas</w:t>
      </w:r>
      <w:r>
        <w:rPr>
          <w:lang w:val="cs-CZ"/>
        </w:rPr>
        <w:softHyphen/>
        <w:t xml:space="preserve">mata </w:t>
      </w:r>
      <w:r>
        <w:t>que sunt in me et in te</w:t>
      </w:r>
      <w:r w:rsidRPr="00273106">
        <w:rPr>
          <w:noProof/>
        </w:rPr>
        <w:t>.“ (</w:t>
      </w:r>
      <w:r w:rsidRPr="00273106">
        <w:rPr>
          <w:i/>
          <w:noProof/>
        </w:rPr>
        <w:t>De unitate intellectus</w:t>
      </w:r>
      <w:r>
        <w:rPr>
          <w:i/>
          <w:noProof/>
          <w:lang w:val="cs-CZ"/>
        </w:rPr>
        <w:t xml:space="preserve">, </w:t>
      </w:r>
      <w:r w:rsidRPr="08AF6E83">
        <w:rPr>
          <w:noProof/>
          <w:lang w:val="cs-CZ"/>
        </w:rPr>
        <w:t>cap.</w:t>
      </w:r>
      <w:r>
        <w:rPr>
          <w:noProof/>
          <w:lang w:val="cs-CZ"/>
        </w:rPr>
        <w:t xml:space="preserve"> III; ed. Leonina 43, 303.46‒53</w:t>
      </w:r>
      <w:r>
        <w:rPr>
          <w:i/>
          <w:noProof/>
        </w:rPr>
        <w:fldChar w:fldCharType="begin"/>
      </w:r>
      <w:r>
        <w:instrText xml:space="preserve"> XE "</w:instrText>
      </w:r>
      <w:r>
        <w:rPr>
          <w:lang w:val="cs-CZ"/>
        </w:rPr>
        <w:instrText>Akvinský:</w:instrText>
      </w:r>
      <w:r w:rsidRPr="001D243F">
        <w:rPr>
          <w:i/>
          <w:noProof/>
        </w:rPr>
        <w:instrText>De unitate intellectus</w:instrText>
      </w:r>
      <w:r>
        <w:rPr>
          <w:noProof/>
          <w:lang w:val="cs-CZ"/>
        </w:rPr>
        <w:instrText xml:space="preserve"> 303.46‒53</w:instrText>
      </w:r>
      <w:r>
        <w:instrText xml:space="preserve">" </w:instrText>
      </w:r>
      <w:r>
        <w:rPr>
          <w:i/>
          <w:noProof/>
        </w:rPr>
        <w:fldChar w:fldCharType="end"/>
      </w:r>
      <w:r w:rsidRPr="00273106">
        <w:rPr>
          <w:noProof/>
        </w:rPr>
        <w:t>)</w:t>
      </w:r>
    </w:p>
  </w:footnote>
  <w:footnote w:id="344">
    <w:p w:rsidR="00971E82" w:rsidRPr="00B628A6" w:rsidRDefault="00971E82" w:rsidP="08163013">
      <w:pPr>
        <w:pStyle w:val="Textpoznpodarou"/>
        <w:rPr>
          <w:lang w:val="cs-CZ"/>
        </w:rPr>
      </w:pPr>
      <w:r>
        <w:rPr>
          <w:rStyle w:val="Znakapoznpodarou"/>
        </w:rPr>
        <w:footnoteRef/>
      </w:r>
      <w:r>
        <w:t xml:space="preserve"> </w:t>
      </w:r>
      <w:r w:rsidRPr="00273106">
        <w:rPr>
          <w:noProof/>
        </w:rPr>
        <w:t>„Intelligo autem intellectum esse perfectionem quantum ad suam potestatem, quia perficit corpus quoad suam cooperationem.“ (</w:t>
      </w:r>
      <w:r w:rsidRPr="08BF3B3D">
        <w:rPr>
          <w:noProof/>
        </w:rPr>
        <w:t>QIIIDA</w:t>
      </w:r>
      <w:r>
        <w:rPr>
          <w:noProof/>
        </w:rPr>
        <w:t>, q. 7</w:t>
      </w:r>
      <w:r>
        <w:rPr>
          <w:noProof/>
          <w:lang w:val="cs-CZ"/>
        </w:rPr>
        <w:t xml:space="preserve">; </w:t>
      </w:r>
      <w:r w:rsidRPr="00273106">
        <w:rPr>
          <w:noProof/>
        </w:rPr>
        <w:t xml:space="preserve">ed. Bazán, </w:t>
      </w:r>
      <w:r>
        <w:rPr>
          <w:noProof/>
          <w:lang w:val="cs-CZ"/>
        </w:rPr>
        <w:t xml:space="preserve">p. </w:t>
      </w:r>
      <w:r w:rsidRPr="00273106">
        <w:rPr>
          <w:noProof/>
        </w:rPr>
        <w:t>22.12‒14</w:t>
      </w:r>
      <w:r>
        <w:rPr>
          <w:noProof/>
        </w:rPr>
        <w:fldChar w:fldCharType="begin"/>
      </w:r>
      <w:r>
        <w:instrText xml:space="preserve"> XE "</w:instrText>
      </w:r>
      <w:r>
        <w:rPr>
          <w:lang w:val="cs-CZ"/>
        </w:rPr>
        <w:instrText>Siger:</w:instrText>
      </w:r>
      <w:r>
        <w:rPr>
          <w:i/>
          <w:noProof/>
        </w:rPr>
        <w:instrText xml:space="preserve">Quaestiones in tertium </w:instrText>
      </w:r>
      <w:r>
        <w:rPr>
          <w:i/>
          <w:noProof/>
          <w:lang w:val="cs-CZ"/>
        </w:rPr>
        <w:instrText>D</w:instrText>
      </w:r>
      <w:r w:rsidRPr="00A118E7">
        <w:rPr>
          <w:i/>
          <w:noProof/>
        </w:rPr>
        <w:instrText>e anima</w:instrText>
      </w:r>
      <w:r w:rsidRPr="00A118E7">
        <w:rPr>
          <w:noProof/>
          <w:lang w:val="cs-CZ"/>
        </w:rPr>
        <w:instrText xml:space="preserve"> </w:instrText>
      </w:r>
      <w:r w:rsidRPr="00A118E7">
        <w:rPr>
          <w:noProof/>
        </w:rPr>
        <w:instrText>22.12‒14</w:instrText>
      </w:r>
      <w:r>
        <w:instrText xml:space="preserve">" </w:instrText>
      </w:r>
      <w:r>
        <w:rPr>
          <w:noProof/>
        </w:rPr>
        <w:fldChar w:fldCharType="end"/>
      </w:r>
      <w:r w:rsidRPr="00273106">
        <w:rPr>
          <w:noProof/>
        </w:rPr>
        <w:t>)</w:t>
      </w:r>
    </w:p>
  </w:footnote>
  <w:footnote w:id="345">
    <w:p w:rsidR="00971E82" w:rsidRPr="00E35B97" w:rsidRDefault="00971E82" w:rsidP="08163013">
      <w:pPr>
        <w:pStyle w:val="Textpoznpodarou"/>
      </w:pPr>
      <w:r>
        <w:rPr>
          <w:rStyle w:val="Znakapoznpodarou"/>
        </w:rPr>
        <w:footnoteRef/>
      </w:r>
      <w:r>
        <w:t xml:space="preserve"> „Probatio: p</w:t>
      </w:r>
      <w:r w:rsidRPr="004B04A0">
        <w:t xml:space="preserve">otentia </w:t>
      </w:r>
      <w:r w:rsidRPr="004B04A0">
        <w:rPr>
          <w:lang w:eastAsia="en-US"/>
        </w:rPr>
        <w:t xml:space="preserve">a </w:t>
      </w:r>
      <w:r w:rsidRPr="004B04A0">
        <w:t xml:space="preserve">qua egreditur operatio non est simplicior </w:t>
      </w:r>
      <w:r w:rsidRPr="004B04A0">
        <w:rPr>
          <w:lang w:eastAsia="en-US"/>
        </w:rPr>
        <w:t xml:space="preserve">sua substantia; si </w:t>
      </w:r>
      <w:r w:rsidRPr="004B04A0">
        <w:t>igitur intellectus per</w:t>
      </w:r>
      <w:r>
        <w:t xml:space="preserve"> </w:t>
      </w:r>
      <w:r w:rsidRPr="004B04A0">
        <w:t xml:space="preserve">suam substantiam perficiat corpus, eius operatio non </w:t>
      </w:r>
      <w:r w:rsidRPr="004B04A0">
        <w:rPr>
          <w:lang w:eastAsia="en-US"/>
        </w:rPr>
        <w:t xml:space="preserve">potest esse nisi </w:t>
      </w:r>
      <w:r w:rsidRPr="004B04A0">
        <w:t xml:space="preserve">in corpore; quare in operando necessario utetur corpore, cum potentia, </w:t>
      </w:r>
      <w:r w:rsidRPr="004B04A0">
        <w:rPr>
          <w:lang w:eastAsia="en-US"/>
        </w:rPr>
        <w:t xml:space="preserve">a </w:t>
      </w:r>
      <w:r w:rsidRPr="004B04A0">
        <w:t xml:space="preserve">qua egreditur operatio, non </w:t>
      </w:r>
      <w:r w:rsidRPr="004B04A0">
        <w:rPr>
          <w:lang w:eastAsia="en-US"/>
        </w:rPr>
        <w:t xml:space="preserve">sit </w:t>
      </w:r>
      <w:r w:rsidRPr="004B04A0">
        <w:t xml:space="preserve">simplicior </w:t>
      </w:r>
      <w:r w:rsidRPr="004B04A0">
        <w:rPr>
          <w:lang w:eastAsia="en-US"/>
        </w:rPr>
        <w:t xml:space="preserve">sua substantia, nam </w:t>
      </w:r>
      <w:r w:rsidRPr="004B04A0">
        <w:t xml:space="preserve">actus, </w:t>
      </w:r>
      <w:r w:rsidRPr="004B04A0">
        <w:rPr>
          <w:lang w:eastAsia="en-US"/>
        </w:rPr>
        <w:t xml:space="preserve">qui </w:t>
      </w:r>
      <w:r w:rsidRPr="004B04A0">
        <w:t>per substantiam suam est actus corporis, est actus organicus; quare etc.</w:t>
      </w:r>
      <w:r>
        <w:t>“ (</w:t>
      </w:r>
      <w:r w:rsidRPr="08BF3B3D">
        <w:t>QIIIDA</w:t>
      </w:r>
      <w:r w:rsidRPr="004B04A0">
        <w:t>, q. 7</w:t>
      </w:r>
      <w:r>
        <w:rPr>
          <w:lang w:val="cs-CZ"/>
        </w:rPr>
        <w:t>;</w:t>
      </w:r>
      <w:r w:rsidRPr="004B04A0">
        <w:t xml:space="preserve"> ed. Bazán, p. 23.18‒24</w:t>
      </w:r>
      <w:r>
        <w:rPr>
          <w:noProof/>
        </w:rPr>
        <w:fldChar w:fldCharType="begin"/>
      </w:r>
      <w:r>
        <w:instrText xml:space="preserve"> XE "</w:instrText>
      </w:r>
      <w:r>
        <w:rPr>
          <w:lang w:val="cs-CZ"/>
        </w:rPr>
        <w:instrText>Siger:</w:instrText>
      </w:r>
      <w:r>
        <w:rPr>
          <w:i/>
          <w:noProof/>
        </w:rPr>
        <w:instrText xml:space="preserve">Quaestiones in tertium </w:instrText>
      </w:r>
      <w:r>
        <w:rPr>
          <w:i/>
          <w:noProof/>
          <w:lang w:val="cs-CZ"/>
        </w:rPr>
        <w:instrText>D</w:instrText>
      </w:r>
      <w:r w:rsidRPr="00A118E7">
        <w:rPr>
          <w:i/>
          <w:noProof/>
        </w:rPr>
        <w:instrText>e anima</w:instrText>
      </w:r>
      <w:r w:rsidRPr="00A118E7">
        <w:rPr>
          <w:noProof/>
          <w:lang w:val="cs-CZ"/>
        </w:rPr>
        <w:instrText xml:space="preserve"> </w:instrText>
      </w:r>
      <w:r>
        <w:rPr>
          <w:noProof/>
        </w:rPr>
        <w:instrText>2</w:instrText>
      </w:r>
      <w:r>
        <w:rPr>
          <w:noProof/>
          <w:lang w:val="cs-CZ"/>
        </w:rPr>
        <w:instrText>3</w:instrText>
      </w:r>
      <w:r>
        <w:rPr>
          <w:noProof/>
        </w:rPr>
        <w:instrText>.1</w:instrText>
      </w:r>
      <w:r>
        <w:rPr>
          <w:noProof/>
          <w:lang w:val="cs-CZ"/>
        </w:rPr>
        <w:instrText>8</w:instrText>
      </w:r>
      <w:r>
        <w:rPr>
          <w:noProof/>
        </w:rPr>
        <w:instrText>‒</w:instrText>
      </w:r>
      <w:r>
        <w:rPr>
          <w:noProof/>
          <w:lang w:val="cs-CZ"/>
        </w:rPr>
        <w:instrText>2</w:instrText>
      </w:r>
      <w:r w:rsidRPr="00A118E7">
        <w:rPr>
          <w:noProof/>
        </w:rPr>
        <w:instrText>4</w:instrText>
      </w:r>
      <w:r>
        <w:instrText xml:space="preserve">" </w:instrText>
      </w:r>
      <w:r>
        <w:rPr>
          <w:noProof/>
        </w:rPr>
        <w:fldChar w:fldCharType="end"/>
      </w:r>
      <w:r>
        <w:t>)</w:t>
      </w:r>
    </w:p>
  </w:footnote>
  <w:footnote w:id="346">
    <w:p w:rsidR="00971E82" w:rsidRPr="00F277A0" w:rsidRDefault="00971E82" w:rsidP="08163013">
      <w:pPr>
        <w:pStyle w:val="Textpoznpodarou"/>
        <w:rPr>
          <w:lang w:val="cs-CZ"/>
        </w:rPr>
      </w:pPr>
      <w:r>
        <w:rPr>
          <w:rStyle w:val="Znakapoznpodarou"/>
        </w:rPr>
        <w:footnoteRef/>
      </w:r>
      <w:r>
        <w:rPr>
          <w:lang w:val="cs-CZ"/>
        </w:rPr>
        <w:t xml:space="preserve"> </w:t>
      </w:r>
      <w:r w:rsidRPr="00273106">
        <w:rPr>
          <w:noProof/>
        </w:rPr>
        <w:t>„Quidam volunt quod substantia animae intellectivae sit hominis forma, potentia tamen animae intellectivae sit separata, non materiae perfectio nec organum habens. Et ad hanc positionem inducitur ex hoc sic ponens: unde enim homo intelligit oportet esse hominis formam; unde autem intelligit separatum est, non habens materiam et organum cuius sit perfectio, sicut sentire et amare, est potentia a materia separata. Sed haec positio stare non potest. Cum enim intellectiva anima sit hominis forma et perfectio, sicut rei veritas est, non potest esse potentia et operatio separata.“ (</w:t>
      </w:r>
      <w:r>
        <w:rPr>
          <w:i/>
          <w:noProof/>
        </w:rPr>
        <w:t>Quaestiones</w:t>
      </w:r>
      <w:r w:rsidRPr="00273106">
        <w:rPr>
          <w:i/>
          <w:noProof/>
        </w:rPr>
        <w:t xml:space="preserve"> super Librum de causis</w:t>
      </w:r>
      <w:r w:rsidRPr="00273106">
        <w:rPr>
          <w:noProof/>
        </w:rPr>
        <w:t>, q. 26</w:t>
      </w:r>
      <w:r>
        <w:rPr>
          <w:noProof/>
          <w:lang w:val="cs-CZ"/>
        </w:rPr>
        <w:t>;</w:t>
      </w:r>
      <w:r w:rsidRPr="00273106">
        <w:rPr>
          <w:noProof/>
        </w:rPr>
        <w:t xml:space="preserve"> ed. Marlasca, p. 105.65‒74</w:t>
      </w:r>
      <w:r>
        <w:rPr>
          <w:noProof/>
        </w:rPr>
        <w:fldChar w:fldCharType="begin"/>
      </w:r>
      <w:r>
        <w:instrText xml:space="preserve"> XE "</w:instrText>
      </w:r>
      <w:r>
        <w:rPr>
          <w:lang w:val="cs-CZ"/>
        </w:rPr>
        <w:instrText>Siger:</w:instrText>
      </w:r>
      <w:r>
        <w:rPr>
          <w:i/>
          <w:noProof/>
        </w:rPr>
        <w:instrText>Quaestiones</w:instrText>
      </w:r>
      <w:r w:rsidRPr="00E554F6">
        <w:rPr>
          <w:i/>
          <w:noProof/>
        </w:rPr>
        <w:instrText xml:space="preserve"> super Librum de causis</w:instrText>
      </w:r>
      <w:r w:rsidRPr="00E554F6">
        <w:rPr>
          <w:noProof/>
        </w:rPr>
        <w:instrText xml:space="preserve"> 105.65‒74</w:instrText>
      </w:r>
      <w:r>
        <w:instrText xml:space="preserve">" </w:instrText>
      </w:r>
      <w:r>
        <w:rPr>
          <w:noProof/>
        </w:rPr>
        <w:fldChar w:fldCharType="end"/>
      </w:r>
      <w:r w:rsidRPr="00273106">
        <w:rPr>
          <w:noProof/>
        </w:rPr>
        <w:t>)</w:t>
      </w:r>
    </w:p>
  </w:footnote>
  <w:footnote w:id="347">
    <w:p w:rsidR="00971E82" w:rsidRPr="007645E0" w:rsidRDefault="00971E82" w:rsidP="08163013">
      <w:pPr>
        <w:pStyle w:val="Textpoznpodarou"/>
      </w:pPr>
      <w:r>
        <w:rPr>
          <w:rStyle w:val="Znakapoznpodarou"/>
        </w:rPr>
        <w:footnoteRef/>
      </w:r>
      <w:r>
        <w:t xml:space="preserve"> „Quod enim est subsistens, dicitur hoc aliquid. Anima autem non est hoc aliquid, </w:t>
      </w:r>
      <w:r>
        <w:rPr>
          <w:szCs w:val="24"/>
        </w:rPr>
        <w:t xml:space="preserve">sed </w:t>
      </w:r>
      <w:r>
        <w:t xml:space="preserve">compositum </w:t>
      </w:r>
      <w:r>
        <w:rPr>
          <w:szCs w:val="24"/>
        </w:rPr>
        <w:t xml:space="preserve">ex </w:t>
      </w:r>
      <w:r>
        <w:t xml:space="preserve">anima et corpore. </w:t>
      </w:r>
      <w:r w:rsidRPr="007645E0">
        <w:t>Ergo anima non est aliquid subsistens</w:t>
      </w:r>
      <w:r>
        <w:t xml:space="preserve">.“ (ST </w:t>
      </w:r>
      <w:r>
        <w:rPr>
          <w:lang w:val="cs-CZ"/>
        </w:rPr>
        <w:t xml:space="preserve">I, q. </w:t>
      </w:r>
      <w:r>
        <w:t>75</w:t>
      </w:r>
      <w:r>
        <w:rPr>
          <w:lang w:val="cs-CZ"/>
        </w:rPr>
        <w:t xml:space="preserve">, a. </w:t>
      </w:r>
      <w:r w:rsidRPr="007645E0">
        <w:t>2, arg. 1</w:t>
      </w:r>
      <w:r>
        <w:rPr>
          <w:lang w:val="cs-CZ"/>
        </w:rPr>
        <w:t>; ed. Leonina 5, 196</w:t>
      </w:r>
      <w:r>
        <w:rPr>
          <w:lang w:val="cs-CZ"/>
        </w:rPr>
        <w:fldChar w:fldCharType="begin"/>
      </w:r>
      <w:r>
        <w:instrText xml:space="preserve"> XE "</w:instrText>
      </w:r>
      <w:r>
        <w:rPr>
          <w:lang w:val="cs-CZ"/>
        </w:rPr>
        <w:instrText>Akvinský:</w:instrText>
      </w:r>
      <w:r w:rsidRPr="002E0D39">
        <w:instrText xml:space="preserve">ST </w:instrText>
      </w:r>
      <w:r w:rsidRPr="002E0D39">
        <w:rPr>
          <w:lang w:val="cs-CZ"/>
        </w:rPr>
        <w:instrText>I</w:instrText>
      </w:r>
      <w:r>
        <w:rPr>
          <w:lang w:val="cs-CZ"/>
        </w:rPr>
        <w:instrText>.75.2</w:instrText>
      </w:r>
      <w:r>
        <w:instrText xml:space="preserve">" </w:instrText>
      </w:r>
      <w:r>
        <w:rPr>
          <w:lang w:val="cs-CZ"/>
        </w:rPr>
        <w:fldChar w:fldCharType="end"/>
      </w:r>
      <w:r w:rsidRPr="007645E0">
        <w:t>)</w:t>
      </w:r>
    </w:p>
  </w:footnote>
  <w:footnote w:id="348">
    <w:p w:rsidR="00971E82" w:rsidRPr="002B6E26" w:rsidRDefault="00971E82" w:rsidP="08163013">
      <w:pPr>
        <w:pStyle w:val="Textpoznpodarou"/>
        <w:rPr>
          <w:lang w:val="cs-CZ"/>
        </w:rPr>
      </w:pPr>
      <w:r>
        <w:rPr>
          <w:rStyle w:val="Znakapoznpodarou"/>
        </w:rPr>
        <w:footnoteRef/>
      </w:r>
      <w:r>
        <w:t xml:space="preserve"> </w:t>
      </w:r>
      <w:r w:rsidRPr="00273106">
        <w:rPr>
          <w:noProof/>
        </w:rPr>
        <w:t>„Ideo aliter dicendum est, quod anima intellectiva est corporis perfectio et forma, non sic tamen quod potentia eius sit separata, immo cum eius substantia sit actus et perfectio ipsius materiae sic etiam et eius potentia.“ (</w:t>
      </w:r>
      <w:r>
        <w:rPr>
          <w:i/>
          <w:noProof/>
        </w:rPr>
        <w:t>Quaestiones</w:t>
      </w:r>
      <w:r w:rsidRPr="00273106">
        <w:rPr>
          <w:i/>
          <w:noProof/>
        </w:rPr>
        <w:t xml:space="preserve"> super Librum de causis</w:t>
      </w:r>
      <w:r>
        <w:rPr>
          <w:noProof/>
        </w:rPr>
        <w:t>, q. 26</w:t>
      </w:r>
      <w:r>
        <w:rPr>
          <w:noProof/>
          <w:lang w:val="cs-CZ"/>
        </w:rPr>
        <w:t xml:space="preserve">; </w:t>
      </w:r>
      <w:r w:rsidRPr="00273106">
        <w:rPr>
          <w:noProof/>
        </w:rPr>
        <w:t>ed. Marlasca, p. 106.106‒109</w:t>
      </w:r>
      <w:r>
        <w:rPr>
          <w:noProof/>
        </w:rPr>
        <w:fldChar w:fldCharType="begin"/>
      </w:r>
      <w:r>
        <w:instrText xml:space="preserve"> XE "</w:instrText>
      </w:r>
      <w:r>
        <w:rPr>
          <w:lang w:val="cs-CZ"/>
        </w:rPr>
        <w:instrText>Siger:</w:instrText>
      </w:r>
      <w:r>
        <w:rPr>
          <w:i/>
          <w:noProof/>
        </w:rPr>
        <w:instrText>Quaestiones</w:instrText>
      </w:r>
      <w:r w:rsidRPr="00E008DB">
        <w:rPr>
          <w:i/>
          <w:noProof/>
        </w:rPr>
        <w:instrText xml:space="preserve"> super Librum de causis</w:instrText>
      </w:r>
      <w:r w:rsidRPr="00E008DB">
        <w:rPr>
          <w:noProof/>
        </w:rPr>
        <w:instrText xml:space="preserve"> 106.106‒109</w:instrText>
      </w:r>
      <w:r>
        <w:instrText xml:space="preserve">" </w:instrText>
      </w:r>
      <w:r>
        <w:rPr>
          <w:noProof/>
        </w:rPr>
        <w:fldChar w:fldCharType="end"/>
      </w:r>
      <w:r w:rsidRPr="00273106">
        <w:rPr>
          <w:noProof/>
        </w:rPr>
        <w:t>)</w:t>
      </w:r>
    </w:p>
  </w:footnote>
  <w:footnote w:id="349">
    <w:p w:rsidR="00971E82" w:rsidRPr="00FD54C4" w:rsidRDefault="00971E82" w:rsidP="08163013">
      <w:pPr>
        <w:pStyle w:val="Textpoznpodarou"/>
        <w:rPr>
          <w:lang w:val="cs-CZ"/>
        </w:rPr>
      </w:pPr>
      <w:r>
        <w:rPr>
          <w:rStyle w:val="Znakapoznpodarou"/>
        </w:rPr>
        <w:footnoteRef/>
      </w:r>
      <w:r>
        <w:t xml:space="preserve"> </w:t>
      </w:r>
      <w:r w:rsidRPr="00273106">
        <w:rPr>
          <w:rStyle w:val="ref"/>
          <w:rFonts w:eastAsia="Times"/>
          <w:lang w:val="cs-CZ"/>
        </w:rPr>
        <w:t>„</w:t>
      </w:r>
      <w:r w:rsidRPr="00273106">
        <w:rPr>
          <w:noProof/>
        </w:rPr>
        <w:t xml:space="preserve">Quod patet ex hoc quod dicit in III de anima, incipiens tractare de intellectu possibili: </w:t>
      </w:r>
      <w:r w:rsidRPr="00273106">
        <w:rPr>
          <w:i/>
          <w:iCs/>
          <w:noProof/>
        </w:rPr>
        <w:t>de parte autem animae, qua cognoscit anima et sapit, considerandum est</w:t>
      </w:r>
      <w:r w:rsidRPr="00273106">
        <w:rPr>
          <w:noProof/>
        </w:rPr>
        <w:t xml:space="preserve"> etc.; et iterum: </w:t>
      </w:r>
      <w:r w:rsidRPr="00273106">
        <w:rPr>
          <w:bCs/>
          <w:i/>
          <w:iCs/>
          <w:noProof/>
        </w:rPr>
        <w:t>dico autem intellectum possibilem, quo intelligit anima</w:t>
      </w:r>
      <w:r w:rsidRPr="00273106">
        <w:rPr>
          <w:bCs/>
          <w:noProof/>
        </w:rPr>
        <w:t>. Si autem intellectus</w:t>
      </w:r>
      <w:r w:rsidRPr="00273106">
        <w:rPr>
          <w:noProof/>
        </w:rPr>
        <w:t xml:space="preserve"> </w:t>
      </w:r>
      <w:r w:rsidRPr="00273106">
        <w:rPr>
          <w:bCs/>
          <w:noProof/>
        </w:rPr>
        <w:t>possibilis esset substantia separata, impossibile esset quod eo intelligeret homo:</w:t>
      </w:r>
      <w:r w:rsidRPr="00273106">
        <w:rPr>
          <w:noProof/>
        </w:rPr>
        <w:t xml:space="preserve"> non enim est possibile, si aliqua substantia operatur aliquam operationem, quod illa operatio sit alterius substantiae ab ea diversa.“ (</w:t>
      </w:r>
      <w:bookmarkStart w:id="61" w:name="64513"/>
      <w:r>
        <w:rPr>
          <w:rStyle w:val="ref"/>
          <w:rFonts w:eastAsia="Times"/>
          <w:i/>
          <w:lang w:val="cs-CZ"/>
        </w:rPr>
        <w:t>Quaestiones</w:t>
      </w:r>
      <w:r w:rsidRPr="00273106">
        <w:rPr>
          <w:rStyle w:val="ref"/>
          <w:rFonts w:eastAsia="Times"/>
          <w:i/>
          <w:lang w:val="cs-CZ"/>
        </w:rPr>
        <w:t xml:space="preserve"> </w:t>
      </w:r>
      <w:r>
        <w:rPr>
          <w:rStyle w:val="ref"/>
          <w:rFonts w:eastAsia="Times"/>
          <w:i/>
          <w:lang w:val="cs-CZ"/>
        </w:rPr>
        <w:t>disputatae D</w:t>
      </w:r>
      <w:r w:rsidRPr="00273106">
        <w:rPr>
          <w:rStyle w:val="ref"/>
          <w:rFonts w:eastAsia="Times"/>
          <w:i/>
          <w:lang w:val="cs-CZ"/>
        </w:rPr>
        <w:t>e anima</w:t>
      </w:r>
      <w:r w:rsidRPr="00273106">
        <w:rPr>
          <w:rStyle w:val="ref"/>
          <w:rFonts w:eastAsia="Times"/>
          <w:lang w:val="cs-CZ"/>
        </w:rPr>
        <w:t xml:space="preserve">, </w:t>
      </w:r>
      <w:r>
        <w:rPr>
          <w:rStyle w:val="ref"/>
          <w:rFonts w:eastAsia="Times"/>
          <w:lang w:val="cs-CZ"/>
        </w:rPr>
        <w:t xml:space="preserve">q. unica, </w:t>
      </w:r>
      <w:r w:rsidRPr="00273106">
        <w:rPr>
          <w:rStyle w:val="ref"/>
          <w:rFonts w:eastAsia="Times"/>
          <w:lang w:val="cs-CZ"/>
        </w:rPr>
        <w:t>a. 2</w:t>
      </w:r>
      <w:bookmarkEnd w:id="61"/>
      <w:r w:rsidRPr="00273106">
        <w:rPr>
          <w:rStyle w:val="ref"/>
          <w:rFonts w:eastAsia="Times"/>
          <w:lang w:val="cs-CZ"/>
        </w:rPr>
        <w:t>, resp.</w:t>
      </w:r>
      <w:r>
        <w:rPr>
          <w:rStyle w:val="ref"/>
          <w:rFonts w:eastAsia="Times"/>
          <w:lang w:val="cs-CZ"/>
        </w:rPr>
        <w:t>; ed. Marietti, p. 287</w:t>
      </w:r>
      <w:r>
        <w:rPr>
          <w:rStyle w:val="ref"/>
          <w:rFonts w:eastAsia="Times"/>
          <w:i/>
          <w:lang w:val="cs-CZ"/>
        </w:rPr>
        <w:fldChar w:fldCharType="begin"/>
      </w:r>
      <w:r>
        <w:instrText xml:space="preserve"> XE "</w:instrText>
      </w:r>
      <w:r>
        <w:rPr>
          <w:lang w:val="cs-CZ"/>
        </w:rPr>
        <w:instrText>Akvinský:</w:instrText>
      </w:r>
      <w:r>
        <w:rPr>
          <w:rStyle w:val="ref"/>
          <w:rFonts w:eastAsia="Times"/>
          <w:i/>
          <w:lang w:val="cs-CZ"/>
        </w:rPr>
        <w:instrText>Quaestiones</w:instrText>
      </w:r>
      <w:r w:rsidRPr="00416E14">
        <w:rPr>
          <w:rStyle w:val="ref"/>
          <w:rFonts w:eastAsia="Times"/>
          <w:i/>
          <w:lang w:val="cs-CZ"/>
        </w:rPr>
        <w:instrText xml:space="preserve"> disputat</w:instrText>
      </w:r>
      <w:r>
        <w:rPr>
          <w:rStyle w:val="ref"/>
          <w:rFonts w:eastAsia="Times"/>
          <w:i/>
          <w:lang w:val="cs-CZ"/>
        </w:rPr>
        <w:instrText>a</w:instrText>
      </w:r>
      <w:r w:rsidRPr="00416E14">
        <w:rPr>
          <w:rStyle w:val="ref"/>
          <w:rFonts w:eastAsia="Times"/>
          <w:i/>
          <w:lang w:val="cs-CZ"/>
        </w:rPr>
        <w:instrText>e de anima</w:instrText>
      </w:r>
      <w:r>
        <w:rPr>
          <w:rStyle w:val="ref"/>
          <w:rFonts w:eastAsia="Times"/>
          <w:i/>
          <w:lang w:val="cs-CZ"/>
        </w:rPr>
        <w:instrText xml:space="preserve"> </w:instrText>
      </w:r>
      <w:r>
        <w:rPr>
          <w:rStyle w:val="ref"/>
          <w:rFonts w:eastAsia="Times"/>
          <w:lang w:val="cs-CZ"/>
        </w:rPr>
        <w:instrText>287</w:instrText>
      </w:r>
      <w:r>
        <w:instrText xml:space="preserve">" </w:instrText>
      </w:r>
      <w:r>
        <w:rPr>
          <w:rStyle w:val="ref"/>
          <w:rFonts w:eastAsia="Times"/>
          <w:i/>
          <w:lang w:val="cs-CZ"/>
        </w:rPr>
        <w:fldChar w:fldCharType="end"/>
      </w:r>
      <w:r w:rsidRPr="00273106">
        <w:rPr>
          <w:noProof/>
        </w:rPr>
        <w:t>)</w:t>
      </w:r>
    </w:p>
  </w:footnote>
  <w:footnote w:id="350">
    <w:p w:rsidR="00971E82" w:rsidRPr="009D1BAA" w:rsidRDefault="00971E82" w:rsidP="08163013">
      <w:pPr>
        <w:pStyle w:val="Textpoznpodarou"/>
      </w:pPr>
      <w:r>
        <w:rPr>
          <w:rStyle w:val="Znakapoznpodarou"/>
        </w:rPr>
        <w:footnoteRef/>
      </w:r>
      <w:r>
        <w:rPr>
          <w:lang w:val="cs-CZ"/>
        </w:rPr>
        <w:t xml:space="preserve"> </w:t>
      </w:r>
      <w:r>
        <w:t>„</w:t>
      </w:r>
      <w:r>
        <w:rPr>
          <w:lang w:val="cs-CZ"/>
        </w:rPr>
        <w:t>I</w:t>
      </w:r>
      <w:r w:rsidRPr="009D1BAA">
        <w:t>deo cum tam agens quam speculativus intellectus comparantur ad possibilem intellectum, agens erit simpliciter forma, et speculativus erit non simpl</w:t>
      </w:r>
      <w:r>
        <w:t>iciter forma, sed ut instrumentum</w:t>
      </w:r>
      <w:r w:rsidRPr="009D1BAA">
        <w:t>: ni</w:t>
      </w:r>
      <w:r>
        <w:t>si enim ita ponamus, non evade</w:t>
      </w:r>
      <w:r w:rsidRPr="009D1BAA">
        <w:t>mus obje</w:t>
      </w:r>
      <w:r>
        <w:t>ctionem inductam contra Avicen</w:t>
      </w:r>
      <w:r w:rsidRPr="009D1BAA">
        <w:t>nam, quia cum agens sit una et simplex essentia, n</w:t>
      </w:r>
      <w:r>
        <w:t>on potest esse causa distinctarum specierum in speculando</w:t>
      </w:r>
      <w:r w:rsidRPr="009D1BAA">
        <w:t>: et ideo speculativus est ut instrumentum ejus ad distinguendum intellectum possibilem.</w:t>
      </w:r>
      <w:r>
        <w:t>“ (</w:t>
      </w:r>
      <w:r w:rsidRPr="009D1BAA">
        <w:rPr>
          <w:i/>
        </w:rPr>
        <w:t>In III De anima</w:t>
      </w:r>
      <w:r>
        <w:t>, tract. 3</w:t>
      </w:r>
      <w:r>
        <w:rPr>
          <w:lang w:val="cs-CZ"/>
        </w:rPr>
        <w:t xml:space="preserve">; </w:t>
      </w:r>
      <w:r>
        <w:t>ed. Borgnet</w:t>
      </w:r>
      <w:r>
        <w:rPr>
          <w:lang w:val="cs-CZ"/>
        </w:rPr>
        <w:t xml:space="preserve"> </w:t>
      </w:r>
      <w:r>
        <w:t>5, 387a</w:t>
      </w:r>
      <w:r>
        <w:fldChar w:fldCharType="begin"/>
      </w:r>
      <w:r>
        <w:instrText xml:space="preserve"> XE "</w:instrText>
      </w:r>
      <w:r>
        <w:rPr>
          <w:lang w:val="cs-CZ"/>
        </w:rPr>
        <w:instrText>Albert:</w:instrText>
      </w:r>
      <w:r>
        <w:rPr>
          <w:i/>
          <w:lang w:val="cs-CZ"/>
        </w:rPr>
        <w:instrText xml:space="preserve">Liber </w:instrText>
      </w:r>
      <w:r w:rsidRPr="00356E01">
        <w:rPr>
          <w:i/>
        </w:rPr>
        <w:instrText>III De anima</w:instrText>
      </w:r>
      <w:r w:rsidRPr="00356E01">
        <w:instrText xml:space="preserve"> 387a</w:instrText>
      </w:r>
      <w:r>
        <w:instrText xml:space="preserve">" </w:instrText>
      </w:r>
      <w:r>
        <w:fldChar w:fldCharType="end"/>
      </w:r>
      <w:r>
        <w:t>)</w:t>
      </w:r>
    </w:p>
  </w:footnote>
  <w:footnote w:id="351">
    <w:p w:rsidR="00971E82" w:rsidRPr="000525FC" w:rsidRDefault="00971E82" w:rsidP="08163013">
      <w:pPr>
        <w:pStyle w:val="Textpoznpodarou"/>
        <w:rPr>
          <w:lang w:val="cs-CZ"/>
        </w:rPr>
      </w:pPr>
      <w:r>
        <w:rPr>
          <w:rStyle w:val="Znakapoznpodarou"/>
        </w:rPr>
        <w:footnoteRef/>
      </w:r>
      <w:r>
        <w:t xml:space="preserve"> „Dicunt enim ea esse vera secundum philosophiam, sed non secundum fidem catholicam, quasi sint due contrarie veritates, et quasi contra veritatem sacre scripture sit veritas in dictis gentilium dampnatorum, de quibus scriptum est: </w:t>
      </w:r>
      <w:r w:rsidRPr="00BA0E02">
        <w:rPr>
          <w:i/>
        </w:rPr>
        <w:t>Perdam sapientiam sapientium</w:t>
      </w:r>
      <w:r>
        <w:t xml:space="preserve"> [</w:t>
      </w:r>
      <w:r w:rsidRPr="089E7A9C">
        <w:t xml:space="preserve">1 Co </w:t>
      </w:r>
      <w:r w:rsidRPr="089E7A9C">
        <w:rPr>
          <w:iCs/>
        </w:rPr>
        <w:t>1:19</w:t>
      </w:r>
      <w:r>
        <w:t>], quia vera sapientia perdit falsam sapientiam.“ (</w:t>
      </w:r>
      <w:r>
        <w:rPr>
          <w:i/>
          <w:iCs/>
        </w:rPr>
        <w:t>Chartularium I</w:t>
      </w:r>
      <w:r>
        <w:t>, no. 473, p. 543</w:t>
      </w:r>
      <w:r>
        <w:fldChar w:fldCharType="begin"/>
      </w:r>
      <w:r>
        <w:instrText xml:space="preserve"> XE "</w:instrText>
      </w:r>
      <w:r w:rsidRPr="00B32072">
        <w:rPr>
          <w:i/>
          <w:iCs/>
        </w:rPr>
        <w:instrText xml:space="preserve">Chartularium </w:instrText>
      </w:r>
      <w:r>
        <w:rPr>
          <w:i/>
          <w:iCs/>
        </w:rPr>
        <w:instrText>I</w:instrText>
      </w:r>
      <w:r>
        <w:instrText xml:space="preserve">, no. 473, p. 543" </w:instrText>
      </w:r>
      <w:r>
        <w:fldChar w:fldCharType="end"/>
      </w:r>
      <w:r>
        <w:t>)</w:t>
      </w:r>
    </w:p>
  </w:footnote>
  <w:footnote w:id="352">
    <w:p w:rsidR="00971E82" w:rsidRPr="082E5EB2" w:rsidRDefault="00971E82" w:rsidP="08D76E7C">
      <w:pPr>
        <w:pStyle w:val="Textpoznpodarou"/>
      </w:pPr>
      <w:r w:rsidRPr="082E5EB2">
        <w:rPr>
          <w:rStyle w:val="Znakapoznpodarou"/>
        </w:rPr>
        <w:footnoteRef/>
      </w:r>
      <w:r w:rsidRPr="082E5EB2">
        <w:t xml:space="preserve"> „If someone asks: “Now that you have discussed in detail the teachings of these [philosophers], do you [also] say decisively that they hold unbelief (</w:t>
      </w:r>
      <w:r w:rsidRPr="082E5EB2">
        <w:rPr>
          <w:i/>
        </w:rPr>
        <w:t>kufr</w:t>
      </w:r>
      <w:r w:rsidRPr="082E5EB2">
        <w:t xml:space="preserve">) and that the killing of someone who upholds their convictions is obligatory?” We answer: Pronouncing them unbelievers must be done in three questions. One of them is the question of the world’s preeternity and their saying that the substances are all pre-eternal. The second is their statement that God’s knowledge does not encompass the temporally created particulars among individual [existents]. The third is their denial of the resurrection of bodies and assembly of bodies [on Judgment Day]. These three teachings do not agree with Islam in any way.“ (Al-Ghazālī, </w:t>
      </w:r>
      <w:r w:rsidRPr="082E5EB2">
        <w:rPr>
          <w:i/>
        </w:rPr>
        <w:t>Tahāfut</w:t>
      </w:r>
      <w:r w:rsidRPr="082E5EB2">
        <w:t xml:space="preserve"> 376.2–10</w:t>
      </w:r>
      <w:r>
        <w:fldChar w:fldCharType="begin"/>
      </w:r>
      <w:r>
        <w:instrText xml:space="preserve"> XE "</w:instrText>
      </w:r>
      <w:r w:rsidRPr="086E485A">
        <w:instrText>Al-Ghazālī:</w:instrText>
      </w:r>
      <w:r w:rsidRPr="086E485A">
        <w:rPr>
          <w:i/>
        </w:rPr>
        <w:instrText>Tahāfut</w:instrText>
      </w:r>
      <w:r w:rsidRPr="086E485A">
        <w:instrText xml:space="preserve"> 376.2–10</w:instrText>
      </w:r>
      <w:r>
        <w:instrText xml:space="preserve">" </w:instrText>
      </w:r>
      <w:r>
        <w:fldChar w:fldCharType="end"/>
      </w:r>
      <w:r>
        <w:t>; trad</w:t>
      </w:r>
      <w:r>
        <w:rPr>
          <w:lang w:val="cs-CZ"/>
        </w:rPr>
        <w:t>.</w:t>
      </w:r>
      <w:r w:rsidRPr="082E5EB2">
        <w:t xml:space="preserve"> Griffel 2009, 101)</w:t>
      </w:r>
    </w:p>
  </w:footnote>
  <w:footnote w:id="353">
    <w:p w:rsidR="00971E82" w:rsidRPr="0092061C" w:rsidRDefault="00971E82" w:rsidP="001A6993">
      <w:pPr>
        <w:pStyle w:val="Textpoznpodarou"/>
      </w:pPr>
      <w:r>
        <w:rPr>
          <w:rStyle w:val="Znakapoznpodarou"/>
        </w:rPr>
        <w:footnoteRef/>
      </w:r>
      <w:r>
        <w:t xml:space="preserve"> „Ad primum ergo dicendum quod intellectus noster speciem intelligibilem abstrahit a principiis individuantibus, unde species intelligibilis nostri intellectus non potest esse similitudo principiorum individualium. Et propter hoc, intellectus noster singularia non cognoscit.“ (ST </w:t>
      </w:r>
      <w:r>
        <w:rPr>
          <w:rStyle w:val="ref"/>
          <w:rFonts w:eastAsia="Times"/>
        </w:rPr>
        <w:t>I, q. 14</w:t>
      </w:r>
      <w:r>
        <w:rPr>
          <w:rStyle w:val="ref"/>
          <w:rFonts w:eastAsia="Times"/>
          <w:lang w:val="cs-CZ"/>
        </w:rPr>
        <w:t>,</w:t>
      </w:r>
      <w:r>
        <w:rPr>
          <w:rStyle w:val="ref"/>
          <w:rFonts w:eastAsia="Times"/>
        </w:rPr>
        <w:t xml:space="preserve"> a. 11, ad 1</w:t>
      </w:r>
      <w:r>
        <w:rPr>
          <w:rStyle w:val="ref"/>
          <w:rFonts w:eastAsia="Times"/>
          <w:lang w:val="cs-CZ"/>
        </w:rPr>
        <w:t>; ed. Leonina 4, 183</w:t>
      </w:r>
      <w:r>
        <w:rPr>
          <w:rStyle w:val="ref"/>
          <w:rFonts w:eastAsia="Times"/>
        </w:rPr>
        <w:fldChar w:fldCharType="begin"/>
      </w:r>
      <w:r>
        <w:instrText xml:space="preserve"> XE "</w:instrText>
      </w:r>
      <w:r>
        <w:rPr>
          <w:lang w:val="cs-CZ"/>
        </w:rPr>
        <w:instrText>Akvinský:</w:instrText>
      </w:r>
      <w:r w:rsidRPr="00236931">
        <w:instrText xml:space="preserve">ST </w:instrText>
      </w:r>
      <w:r w:rsidRPr="00236931">
        <w:rPr>
          <w:rStyle w:val="ref"/>
          <w:rFonts w:eastAsia="Times"/>
        </w:rPr>
        <w:instrText>I</w:instrText>
      </w:r>
      <w:r>
        <w:rPr>
          <w:rStyle w:val="ref"/>
          <w:rFonts w:eastAsia="Times"/>
          <w:lang w:val="cs-CZ"/>
        </w:rPr>
        <w:instrText>.14.11</w:instrText>
      </w:r>
      <w:r>
        <w:instrText xml:space="preserve">" </w:instrText>
      </w:r>
      <w:r>
        <w:rPr>
          <w:rStyle w:val="ref"/>
          <w:rFonts w:eastAsia="Times"/>
        </w:rPr>
        <w:fldChar w:fldCharType="end"/>
      </w:r>
      <w:r>
        <w:rPr>
          <w:rStyle w:val="ref"/>
          <w:rFonts w:eastAsia="Times"/>
        </w:rPr>
        <w:t>)</w:t>
      </w:r>
    </w:p>
  </w:footnote>
  <w:footnote w:id="354">
    <w:p w:rsidR="00971E82" w:rsidRPr="00411C2D" w:rsidRDefault="00971E82" w:rsidP="001A6993">
      <w:pPr>
        <w:pStyle w:val="Textpoznpodarou"/>
        <w:rPr>
          <w:rStyle w:val="TextpoznpodarouChar"/>
          <w:rFonts w:eastAsia="Times"/>
        </w:rPr>
      </w:pPr>
      <w:r w:rsidRPr="00A673FB">
        <w:rPr>
          <w:rStyle w:val="Znakapoznpodarou"/>
        </w:rPr>
        <w:footnoteRef/>
      </w:r>
      <w:r w:rsidRPr="00A673FB">
        <w:t xml:space="preserve"> </w:t>
      </w:r>
      <w:r w:rsidRPr="00EE0D2E">
        <w:rPr>
          <w:rStyle w:val="TextpoznpodarouChar"/>
          <w:rFonts w:eastAsia="Times"/>
        </w:rPr>
        <w:t>„Sic ergo puto quod intellectus cognoscat rei substantiam per speciem collectam, quae non facit intuitionem, sed est quodam modo terminus arguitivae cognitionis.“</w:t>
      </w:r>
      <w:r w:rsidRPr="00EE0D2E">
        <w:rPr>
          <w:rStyle w:val="TextpoznpodarouChar"/>
          <w:rFonts w:eastAsia="NewAster"/>
        </w:rPr>
        <w:t xml:space="preserve"> (</w:t>
      </w:r>
      <w:r w:rsidRPr="009B426C">
        <w:rPr>
          <w:rStyle w:val="TextpoznpodarouChar"/>
          <w:rFonts w:eastAsia="Times"/>
          <w:i/>
        </w:rPr>
        <w:t xml:space="preserve">Quaestiones </w:t>
      </w:r>
      <w:r>
        <w:rPr>
          <w:rStyle w:val="TextpoznpodarouChar"/>
          <w:rFonts w:eastAsia="Times"/>
          <w:i/>
          <w:lang w:val="cs-CZ"/>
        </w:rPr>
        <w:t>disputatae D</w:t>
      </w:r>
      <w:r w:rsidRPr="009B426C">
        <w:rPr>
          <w:rStyle w:val="TextpoznpodarouChar"/>
          <w:rFonts w:eastAsia="Times"/>
          <w:i/>
        </w:rPr>
        <w:t>e cognitione</w:t>
      </w:r>
      <w:r w:rsidRPr="00EE0D2E">
        <w:rPr>
          <w:rStyle w:val="TextpoznpodarouChar"/>
          <w:rFonts w:eastAsia="Times"/>
        </w:rPr>
        <w:t>, q. 5</w:t>
      </w:r>
      <w:r>
        <w:rPr>
          <w:rStyle w:val="TextpoznpodarouChar"/>
          <w:rFonts w:eastAsia="Times"/>
          <w:lang w:val="cs-CZ"/>
        </w:rPr>
        <w:t>;</w:t>
      </w:r>
      <w:r w:rsidRPr="00EE0D2E">
        <w:rPr>
          <w:rStyle w:val="TextpoznpodarouChar"/>
          <w:rFonts w:eastAsia="Times"/>
        </w:rPr>
        <w:t xml:space="preserve"> ed. </w:t>
      </w:r>
      <w:r w:rsidRPr="00EE0D2E">
        <w:rPr>
          <w:rStyle w:val="TextpoznpodarouChar"/>
          <w:rFonts w:eastAsia="NewAster"/>
        </w:rPr>
        <w:t>D</w:t>
      </w:r>
      <w:r>
        <w:rPr>
          <w:rStyle w:val="TextpoznpodarouChar"/>
          <w:rFonts w:eastAsia="NewAster"/>
        </w:rPr>
        <w:t>elorme</w:t>
      </w:r>
      <w:r w:rsidRPr="00EE0D2E">
        <w:rPr>
          <w:rStyle w:val="TextpoznpodarouChar"/>
          <w:rFonts w:eastAsia="NewAster"/>
        </w:rPr>
        <w:t xml:space="preserve">, p. </w:t>
      </w:r>
      <w:r>
        <w:rPr>
          <w:rStyle w:val="TextpoznpodarouChar"/>
          <w:rFonts w:eastAsia="NewAster"/>
        </w:rPr>
        <w:t>271</w:t>
      </w:r>
      <w:r>
        <w:rPr>
          <w:rStyle w:val="TextpoznpodarouChar"/>
          <w:rFonts w:eastAsia="NewAster"/>
        </w:rPr>
        <w:fldChar w:fldCharType="begin"/>
      </w:r>
      <w:r>
        <w:instrText xml:space="preserve"> XE "</w:instrText>
      </w:r>
      <w:r>
        <w:rPr>
          <w:lang w:val="cs-CZ"/>
        </w:rPr>
        <w:instrText>Vital du Four</w:instrText>
      </w:r>
      <w:r>
        <w:rPr>
          <w:rStyle w:val="TextpoznpodarouChar"/>
          <w:rFonts w:eastAsia="Times"/>
          <w:i/>
          <w:lang w:val="cs-CZ"/>
        </w:rPr>
        <w:instrText>:</w:instrText>
      </w:r>
      <w:r w:rsidRPr="00C60A47">
        <w:rPr>
          <w:rStyle w:val="TextpoznpodarouChar"/>
          <w:rFonts w:eastAsia="Times"/>
          <w:i/>
        </w:rPr>
        <w:instrText>Q</w:instrText>
      </w:r>
      <w:r>
        <w:rPr>
          <w:rStyle w:val="TextpoznpodarouChar"/>
          <w:rFonts w:eastAsia="Times"/>
          <w:i/>
          <w:lang w:val="cs-CZ"/>
        </w:rPr>
        <w:instrText>.D.</w:instrText>
      </w:r>
      <w:r>
        <w:rPr>
          <w:rStyle w:val="TextpoznpodarouChar"/>
          <w:rFonts w:eastAsia="Times"/>
          <w:i/>
        </w:rPr>
        <w:instrText xml:space="preserve"> </w:instrText>
      </w:r>
      <w:r>
        <w:rPr>
          <w:rStyle w:val="TextpoznpodarouChar"/>
          <w:rFonts w:eastAsia="Times"/>
          <w:i/>
          <w:lang w:val="cs-CZ"/>
        </w:rPr>
        <w:instrText>D</w:instrText>
      </w:r>
      <w:r w:rsidRPr="00C60A47">
        <w:rPr>
          <w:rStyle w:val="TextpoznpodarouChar"/>
          <w:rFonts w:eastAsia="Times"/>
          <w:i/>
        </w:rPr>
        <w:instrText>e cognitione</w:instrText>
      </w:r>
      <w:r>
        <w:rPr>
          <w:rStyle w:val="TextpoznpodarouChar"/>
          <w:rFonts w:eastAsia="Times"/>
          <w:i/>
          <w:lang w:val="cs-CZ"/>
        </w:rPr>
        <w:instrText xml:space="preserve"> </w:instrText>
      </w:r>
      <w:r w:rsidRPr="00C60A47">
        <w:rPr>
          <w:rStyle w:val="TextpoznpodarouChar"/>
          <w:rFonts w:eastAsia="NewAster"/>
        </w:rPr>
        <w:instrText>271</w:instrText>
      </w:r>
      <w:r>
        <w:instrText xml:space="preserve">" </w:instrText>
      </w:r>
      <w:r>
        <w:rPr>
          <w:rStyle w:val="TextpoznpodarouChar"/>
          <w:rFonts w:eastAsia="NewAster"/>
        </w:rPr>
        <w:fldChar w:fldCharType="end"/>
      </w:r>
      <w:r w:rsidRPr="00EE0D2E">
        <w:rPr>
          <w:rStyle w:val="TextpoznpodarouChar"/>
          <w:rFonts w:eastAsia="NewAster"/>
        </w:rPr>
        <w:t>)</w:t>
      </w:r>
      <w:r>
        <w:rPr>
          <w:rStyle w:val="TextpoznpodarouChar"/>
          <w:rFonts w:eastAsia="NewAster"/>
        </w:rPr>
        <w:t>. K problému abstrakce ve františkánských školách kolem 1300 viz Aurélien, 2007.</w:t>
      </w:r>
    </w:p>
  </w:footnote>
  <w:footnote w:id="355">
    <w:p w:rsidR="00971E82" w:rsidRPr="00B50FD2" w:rsidRDefault="00971E82" w:rsidP="001A6993">
      <w:pPr>
        <w:pStyle w:val="Textpoznpodarou"/>
        <w:rPr>
          <w:color w:val="000000"/>
          <w:lang w:val="cs-CZ"/>
        </w:rPr>
      </w:pPr>
      <w:r>
        <w:rPr>
          <w:rStyle w:val="Znakapoznpodarou"/>
        </w:rPr>
        <w:footnoteRef/>
      </w:r>
      <w:r>
        <w:t xml:space="preserve"> </w:t>
      </w:r>
      <w:r>
        <w:rPr>
          <w:lang w:val="cs-CZ"/>
        </w:rPr>
        <w:t>„P</w:t>
      </w:r>
      <w:r>
        <w:rPr>
          <w:color w:val="000000"/>
          <w:lang w:val="la"/>
        </w:rPr>
        <w:t>er intellectum cognoscimus nos cognoscere singulare, sed cognoscere cognitionem singularis dependet ex cognitione singularis, ergo per intellectum cognoscimus singulare</w:t>
      </w:r>
      <w:r>
        <w:rPr>
          <w:color w:val="000000"/>
          <w:lang w:val="cs-CZ"/>
        </w:rPr>
        <w:t>.“ (</w:t>
      </w:r>
      <w:r w:rsidRPr="00B50FD2">
        <w:rPr>
          <w:i/>
          <w:color w:val="000000"/>
          <w:lang w:val="cs-CZ"/>
        </w:rPr>
        <w:t>In II Sent</w:t>
      </w:r>
      <w:r>
        <w:rPr>
          <w:color w:val="000000"/>
          <w:lang w:val="cs-CZ"/>
        </w:rPr>
        <w:t xml:space="preserve">., dist. 24, a. 3, q. 4, ad 4; cit. </w:t>
      </w:r>
      <w:proofErr w:type="gramStart"/>
      <w:r>
        <w:rPr>
          <w:color w:val="000000"/>
          <w:lang w:val="cs-CZ"/>
        </w:rPr>
        <w:t>podle</w:t>
      </w:r>
      <w:proofErr w:type="gramEnd"/>
      <w:r>
        <w:rPr>
          <w:color w:val="000000"/>
          <w:lang w:val="cs-CZ"/>
        </w:rPr>
        <w:t xml:space="preserve"> Simonin 1930, 298</w:t>
      </w:r>
      <w:r>
        <w:rPr>
          <w:color w:val="000000"/>
          <w:lang w:val="cs-CZ"/>
        </w:rPr>
        <w:fldChar w:fldCharType="begin"/>
      </w:r>
      <w:r>
        <w:instrText xml:space="preserve"> XE "</w:instrText>
      </w:r>
      <w:r w:rsidRPr="00726AC7">
        <w:instrText>Ricardi de Mediavilla</w:instrText>
      </w:r>
      <w:r>
        <w:rPr>
          <w:rStyle w:val="st"/>
          <w:lang w:val="cs-CZ"/>
        </w:rPr>
        <w:instrText>:</w:instrText>
      </w:r>
      <w:r w:rsidRPr="00B53752">
        <w:rPr>
          <w:i/>
          <w:color w:val="000000"/>
          <w:lang w:val="cs-CZ"/>
        </w:rPr>
        <w:instrText>In II Sent</w:instrText>
      </w:r>
      <w:r>
        <w:rPr>
          <w:i/>
          <w:color w:val="000000"/>
          <w:lang w:val="cs-CZ"/>
        </w:rPr>
        <w:instrText xml:space="preserve">. </w:instrText>
      </w:r>
      <w:r w:rsidRPr="00B53752">
        <w:rPr>
          <w:color w:val="000000"/>
          <w:lang w:val="cs-CZ"/>
        </w:rPr>
        <w:instrText>298</w:instrText>
      </w:r>
      <w:r>
        <w:instrText xml:space="preserve">" </w:instrText>
      </w:r>
      <w:r>
        <w:rPr>
          <w:color w:val="000000"/>
          <w:lang w:val="cs-CZ"/>
        </w:rPr>
        <w:fldChar w:fldCharType="end"/>
      </w:r>
      <w:r>
        <w:rPr>
          <w:color w:val="000000"/>
          <w:lang w:val="cs-CZ"/>
        </w:rPr>
        <w:t>)</w:t>
      </w:r>
    </w:p>
  </w:footnote>
  <w:footnote w:id="356">
    <w:p w:rsidR="00971E82" w:rsidRPr="00C4015D" w:rsidRDefault="00971E82" w:rsidP="08163013">
      <w:pPr>
        <w:pStyle w:val="Textpoznpodarou"/>
        <w:rPr>
          <w:noProof/>
          <w:lang w:val="cs-CZ"/>
        </w:rPr>
      </w:pPr>
      <w:r>
        <w:rPr>
          <w:rStyle w:val="Znakapoznpodarou"/>
        </w:rPr>
        <w:footnoteRef/>
      </w:r>
      <w:r>
        <w:t xml:space="preserve"> </w:t>
      </w:r>
      <w:r w:rsidRPr="00273106">
        <w:rPr>
          <w:noProof/>
        </w:rPr>
        <w:t>„Materia et forma sunt rami voluntatis. Praeter hoc autem impossibile est aliquid dicere, donec scias scientiam materiae et formae et voluntatis.“  (</w:t>
      </w:r>
      <w:r w:rsidRPr="00273106">
        <w:rPr>
          <w:i/>
          <w:noProof/>
        </w:rPr>
        <w:t>Avencebrolis Fons Vitae</w:t>
      </w:r>
      <w:r w:rsidRPr="00273106">
        <w:rPr>
          <w:noProof/>
        </w:rPr>
        <w:t xml:space="preserve"> I.7‒8., ed. Bäumker, p. 10.20‒23</w:t>
      </w:r>
      <w:r>
        <w:rPr>
          <w:noProof/>
        </w:rPr>
        <w:fldChar w:fldCharType="begin"/>
      </w:r>
      <w:r>
        <w:instrText xml:space="preserve"> XE "</w:instrText>
      </w:r>
      <w:r>
        <w:rPr>
          <w:noProof/>
          <w:lang w:val="cs-CZ"/>
        </w:rPr>
        <w:instrText>Avicebron:</w:instrText>
      </w:r>
      <w:r w:rsidRPr="001E0A70">
        <w:rPr>
          <w:i/>
          <w:noProof/>
        </w:rPr>
        <w:instrText>Avencebrolis Fons Vitae</w:instrText>
      </w:r>
      <w:r w:rsidRPr="001E0A70">
        <w:rPr>
          <w:noProof/>
        </w:rPr>
        <w:instrText xml:space="preserve"> 10.20‒23</w:instrText>
      </w:r>
      <w:r>
        <w:instrText xml:space="preserve">" </w:instrText>
      </w:r>
      <w:r>
        <w:rPr>
          <w:noProof/>
        </w:rPr>
        <w:fldChar w:fldCharType="end"/>
      </w:r>
      <w:r w:rsidRPr="00273106">
        <w:rPr>
          <w:noProof/>
        </w:rPr>
        <w:t>)</w:t>
      </w:r>
    </w:p>
  </w:footnote>
  <w:footnote w:id="357">
    <w:p w:rsidR="00971E82" w:rsidRPr="08E61FF1" w:rsidRDefault="00971E82" w:rsidP="08E61FF1">
      <w:pPr>
        <w:pStyle w:val="Textpoznpodarou"/>
      </w:pPr>
      <w:r w:rsidRPr="08E61FF1">
        <w:rPr>
          <w:rStyle w:val="Znakapoznpodarou"/>
        </w:rPr>
        <w:footnoteRef/>
      </w:r>
      <w:r w:rsidRPr="08E61FF1">
        <w:t xml:space="preserve"> </w:t>
      </w:r>
      <w:r w:rsidRPr="08E61FF1">
        <w:rPr>
          <w:rStyle w:val="Zkladntextdkovn0pt"/>
          <w:rFonts w:ascii="Calibri" w:hAnsi="Calibri" w:cs="Times New Roman"/>
          <w:color w:val="auto"/>
          <w:spacing w:val="0"/>
          <w:sz w:val="20"/>
          <w:szCs w:val="20"/>
          <w:u w:val="none"/>
          <w:lang w:val="x-none"/>
        </w:rPr>
        <w:t>„Once they had left their homeland they remained homeless, once they had left their state they became stateless; once they had been deprived of their human rights they were rightless, the scum of the earth.“ (Arendt 1962, 267)</w:t>
      </w:r>
    </w:p>
  </w:footnote>
  <w:footnote w:id="358">
    <w:p w:rsidR="00971E82" w:rsidRPr="00026C13" w:rsidRDefault="00971E82" w:rsidP="005D017C">
      <w:pPr>
        <w:pStyle w:val="Textpoznpodarou"/>
        <w:rPr>
          <w:lang w:val="cs-CZ"/>
        </w:rPr>
      </w:pPr>
      <w:r>
        <w:rPr>
          <w:rStyle w:val="Znakapoznpodarou"/>
        </w:rPr>
        <w:footnoteRef/>
      </w:r>
      <w:r>
        <w:t xml:space="preserve"> </w:t>
      </w:r>
      <w:r>
        <w:rPr>
          <w:lang w:val="cs-CZ"/>
        </w:rPr>
        <w:t>„</w:t>
      </w:r>
      <w:r w:rsidRPr="00026C13">
        <w:rPr>
          <w:lang w:val="cs-CZ"/>
        </w:rPr>
        <w:t>Das Kriterium für Ideologie und Utopie ist die Verwirklichung. Ideen, von denen es sich nachträglich herausstellte, dass sie über einer</w:t>
      </w:r>
      <w:r>
        <w:rPr>
          <w:lang w:val="cs-CZ"/>
        </w:rPr>
        <w:t xml:space="preserve"> </w:t>
      </w:r>
      <w:r w:rsidRPr="00026C13">
        <w:rPr>
          <w:lang w:val="cs-CZ"/>
        </w:rPr>
        <w:t>gewesenen oder aufstrebenden Lebensordnung nur als verdeckende Vorstellungen schwebten, waren Ideologien; was von ihnen in der</w:t>
      </w:r>
      <w:r>
        <w:rPr>
          <w:lang w:val="cs-CZ"/>
        </w:rPr>
        <w:t xml:space="preserve"> </w:t>
      </w:r>
      <w:r w:rsidRPr="00026C13">
        <w:rPr>
          <w:lang w:val="cs-CZ"/>
        </w:rPr>
        <w:t>nächsten gewordenen Lebensordnung adäquat verwirklichbar wurde, war relative Utopie.</w:t>
      </w:r>
      <w:r>
        <w:rPr>
          <w:lang w:val="cs-CZ"/>
        </w:rPr>
        <w:t>“ (Mannheim [1929] 1995, 178‒79)</w:t>
      </w:r>
    </w:p>
  </w:footnote>
  <w:footnote w:id="359">
    <w:p w:rsidR="00971E82" w:rsidRPr="088D5268" w:rsidRDefault="00971E82" w:rsidP="088D5268">
      <w:pPr>
        <w:pStyle w:val="Textpoznpodarou"/>
      </w:pPr>
      <w:r w:rsidRPr="088D5268">
        <w:rPr>
          <w:rStyle w:val="Znakapoznpodarou"/>
        </w:rPr>
        <w:footnoteRef/>
      </w:r>
      <w:r w:rsidRPr="088D5268">
        <w:t xml:space="preserve"> „On this scale </w:t>
      </w:r>
      <w:r w:rsidRPr="088D5268">
        <w:rPr>
          <w:rStyle w:val="Zkladntext1"/>
          <w:rFonts w:ascii="Calibri" w:eastAsia="Century Schoolbook" w:hAnsi="Calibri"/>
          <w:color w:val="auto"/>
          <w:spacing w:val="0"/>
          <w:sz w:val="20"/>
          <w:szCs w:val="20"/>
          <w:u w:val="none"/>
          <w:lang w:val="x-none"/>
        </w:rPr>
        <w:t>Olivi clearly count as a voluntarist</w:t>
      </w:r>
      <w:r w:rsidRPr="088D5268">
        <w:t xml:space="preserve">. As we have seen, </w:t>
      </w:r>
      <w:r w:rsidRPr="088D5268">
        <w:rPr>
          <w:rStyle w:val="Zkladntext1"/>
          <w:rFonts w:ascii="Calibri" w:eastAsia="Century Schoolbook" w:hAnsi="Calibri"/>
          <w:color w:val="auto"/>
          <w:spacing w:val="0"/>
          <w:sz w:val="20"/>
          <w:szCs w:val="20"/>
          <w:u w:val="none"/>
          <w:lang w:val="x-none"/>
        </w:rPr>
        <w:t>he explains freedom of choice in terms of the will's capacity to be a sel</w:t>
      </w:r>
      <w:r w:rsidRPr="088D5268">
        <w:t xml:space="preserve">f mover. For Olivi, </w:t>
      </w:r>
      <w:r w:rsidRPr="088D5268">
        <w:rPr>
          <w:rStyle w:val="Zkladntext1"/>
          <w:rFonts w:ascii="Calibri" w:eastAsia="Century Schoolbook" w:hAnsi="Calibri"/>
          <w:color w:val="auto"/>
          <w:spacing w:val="0"/>
          <w:sz w:val="20"/>
          <w:szCs w:val="20"/>
          <w:u w:val="none"/>
          <w:lang w:val="x-none"/>
        </w:rPr>
        <w:t xml:space="preserve">the scholastic power of </w:t>
      </w:r>
      <w:r w:rsidRPr="088D5268">
        <w:rPr>
          <w:rStyle w:val="ZkladntextKurzvadkovn0pt"/>
          <w:rFonts w:ascii="Calibri" w:eastAsia="Times" w:hAnsi="Calibri"/>
          <w:iCs w:val="0"/>
          <w:color w:val="auto"/>
          <w:spacing w:val="0"/>
          <w:sz w:val="20"/>
          <w:szCs w:val="20"/>
          <w:u w:val="none"/>
          <w:lang w:val="x-none"/>
        </w:rPr>
        <w:t>liberum arbitrium</w:t>
      </w:r>
      <w:r w:rsidRPr="088D5268">
        <w:rPr>
          <w:rStyle w:val="Zkladntext1"/>
          <w:rFonts w:ascii="Calibri" w:eastAsia="Century Schoolbook" w:hAnsi="Calibri"/>
          <w:color w:val="auto"/>
          <w:spacing w:val="0"/>
          <w:sz w:val="20"/>
          <w:szCs w:val="20"/>
          <w:u w:val="none"/>
          <w:lang w:val="x-none"/>
        </w:rPr>
        <w:t xml:space="preserve"> (free decision) is entirely a power on the side of will, and this may seem dramatically different from</w:t>
      </w:r>
      <w:r w:rsidRPr="088D5268">
        <w:t xml:space="preserve"> </w:t>
      </w:r>
      <w:r w:rsidRPr="088D5268">
        <w:rPr>
          <w:rStyle w:val="Zkladntext1"/>
          <w:rFonts w:ascii="Calibri" w:eastAsia="Century Schoolbook" w:hAnsi="Calibri"/>
          <w:color w:val="auto"/>
          <w:spacing w:val="0"/>
          <w:sz w:val="20"/>
          <w:szCs w:val="20"/>
          <w:u w:val="none"/>
          <w:lang w:val="x-none"/>
        </w:rPr>
        <w:t>how other scholastics understand</w:t>
      </w:r>
      <w:r w:rsidRPr="088D5268">
        <w:rPr>
          <w:rStyle w:val="ZkladntextKurzvadkovn0pt"/>
          <w:rFonts w:ascii="Calibri" w:eastAsia="Times" w:hAnsi="Calibri"/>
          <w:i w:val="0"/>
          <w:iCs w:val="0"/>
          <w:color w:val="auto"/>
          <w:spacing w:val="0"/>
          <w:sz w:val="20"/>
          <w:szCs w:val="20"/>
          <w:u w:val="none"/>
          <w:lang w:val="x-none"/>
        </w:rPr>
        <w:t xml:space="preserve"> </w:t>
      </w:r>
      <w:r w:rsidRPr="088D5268">
        <w:rPr>
          <w:rStyle w:val="ZkladntextKurzvadkovn0pt"/>
          <w:rFonts w:ascii="Calibri" w:eastAsia="Times" w:hAnsi="Calibri"/>
          <w:iCs w:val="0"/>
          <w:color w:val="auto"/>
          <w:spacing w:val="0"/>
          <w:sz w:val="20"/>
          <w:szCs w:val="20"/>
          <w:u w:val="none"/>
          <w:lang w:val="x-none"/>
        </w:rPr>
        <w:t>liberum arbitrium</w:t>
      </w:r>
      <w:r w:rsidRPr="088D5268">
        <w:t>.“ (Pasnau 1999, 18)</w:t>
      </w:r>
    </w:p>
  </w:footnote>
  <w:footnote w:id="360">
    <w:p w:rsidR="00971E82" w:rsidRPr="00021D69" w:rsidRDefault="00971E82" w:rsidP="08163013">
      <w:pPr>
        <w:pStyle w:val="Textpoznpodarou"/>
        <w:rPr>
          <w:noProof/>
          <w:lang w:val="cs-CZ"/>
        </w:rPr>
      </w:pPr>
      <w:r>
        <w:rPr>
          <w:rStyle w:val="Znakapoznpodarou"/>
        </w:rPr>
        <w:footnoteRef/>
      </w:r>
      <w:r>
        <w:t xml:space="preserve"> </w:t>
      </w:r>
      <w:r w:rsidRPr="00273106">
        <w:rPr>
          <w:noProof/>
        </w:rPr>
        <w:t xml:space="preserve">„In memoria autem ponimus species illas ad quas conspiciendas convertitur intellectus tanquam ad sua objecta. Convenit tamen memoria cum intellectu in susceptibilitate expressionum intellectualium.“ </w:t>
      </w:r>
      <w:r w:rsidRPr="00273106">
        <w:rPr>
          <w:rStyle w:val="FontStyle116"/>
          <w:rFonts w:eastAsia="Sylfaen"/>
          <w:noProof/>
          <w:lang w:val="cs-CZ"/>
        </w:rPr>
        <w:t>(</w:t>
      </w:r>
      <w:r>
        <w:rPr>
          <w:i/>
          <w:noProof/>
        </w:rPr>
        <w:t>Quaestiones in secundum librum Sententiarum</w:t>
      </w:r>
      <w:r w:rsidRPr="00273106">
        <w:rPr>
          <w:noProof/>
        </w:rPr>
        <w:t>, q. 58, resp., ad 4; ed. Jansen, t. II, 485</w:t>
      </w:r>
      <w:r>
        <w:rPr>
          <w:noProof/>
        </w:rPr>
        <w:fldChar w:fldCharType="begin"/>
      </w:r>
      <w:r>
        <w:instrText xml:space="preserve"> XE "</w:instrText>
      </w:r>
      <w:r>
        <w:rPr>
          <w:lang w:val="cs-CZ"/>
        </w:rPr>
        <w:instrText>Olivi:</w:instrText>
      </w:r>
      <w:r>
        <w:rPr>
          <w:i/>
          <w:noProof/>
        </w:rPr>
        <w:instrText>Quaestiones in secundum librum Sententiarum</w:instrText>
      </w:r>
      <w:r w:rsidRPr="0082182F">
        <w:rPr>
          <w:noProof/>
        </w:rPr>
        <w:instrText xml:space="preserve"> 485</w:instrText>
      </w:r>
      <w:r>
        <w:instrText xml:space="preserve">" </w:instrText>
      </w:r>
      <w:r>
        <w:rPr>
          <w:noProof/>
        </w:rPr>
        <w:fldChar w:fldCharType="end"/>
      </w:r>
      <w:r w:rsidRPr="00273106">
        <w:rPr>
          <w:rStyle w:val="FontStyle116"/>
          <w:rFonts w:eastAsia="Sylfaen"/>
          <w:noProof/>
          <w:lang w:val="cs-CZ"/>
        </w:rPr>
        <w:t>)</w:t>
      </w:r>
    </w:p>
  </w:footnote>
  <w:footnote w:id="361">
    <w:p w:rsidR="00971E82" w:rsidRPr="08672A6A" w:rsidRDefault="00971E82" w:rsidP="009E668C">
      <w:pPr>
        <w:pStyle w:val="Textpoznpodarou"/>
      </w:pPr>
      <w:r w:rsidRPr="08672A6A">
        <w:rPr>
          <w:rStyle w:val="Znakapoznpodarou"/>
        </w:rPr>
        <w:footnoteRef/>
      </w:r>
      <w:r w:rsidRPr="08672A6A">
        <w:t xml:space="preserve"> </w:t>
      </w:r>
      <w:r w:rsidRPr="08672A6A">
        <w:rPr>
          <w:rStyle w:val="FontStyle127"/>
          <w:rFonts w:ascii="Calibri" w:eastAsia="Georgia" w:hAnsi="Calibri"/>
          <w:sz w:val="20"/>
          <w:szCs w:val="20"/>
        </w:rPr>
        <w:t>„In hominibus vero est aliter, quia ipsae potentiae habent duplicem materiam, spiritualem scilicet et corporalem, et ideo, sicut ipsae principalius existunt in sua materia spirituali et secundario in materia corporali, sic et ipsi actus et species principalius existunt in materia spirituali, secundario vero in corporali; non enim sunt in materia spirituali absolute, sed prout habent ordinem et colligantiam ad materiam corporalem.“ (</w:t>
      </w:r>
      <w:r w:rsidRPr="08672A6A">
        <w:rPr>
          <w:i/>
        </w:rPr>
        <w:t>Quaestiones in secundum librum Sententiarum</w:t>
      </w:r>
      <w:r w:rsidRPr="08672A6A">
        <w:t>, q. 58, resp.; ed. Jansen, t. II, p. 513</w:t>
      </w:r>
      <w:r w:rsidRPr="08672A6A">
        <w:fldChar w:fldCharType="begin"/>
      </w:r>
      <w:r w:rsidRPr="08672A6A">
        <w:instrText xml:space="preserve"> XE "Olivi:</w:instrText>
      </w:r>
      <w:r w:rsidRPr="08672A6A">
        <w:rPr>
          <w:i/>
        </w:rPr>
        <w:instrText>Quaestiones in secundum librum Sententiarum</w:instrText>
      </w:r>
      <w:r w:rsidRPr="08672A6A">
        <w:instrText xml:space="preserve"> 513" </w:instrText>
      </w:r>
      <w:r w:rsidRPr="08672A6A">
        <w:fldChar w:fldCharType="end"/>
      </w:r>
      <w:r w:rsidRPr="08672A6A">
        <w:rPr>
          <w:rStyle w:val="FontStyle127"/>
          <w:rFonts w:ascii="Calibri" w:eastAsia="Georgia" w:hAnsi="Calibri"/>
          <w:sz w:val="20"/>
          <w:szCs w:val="20"/>
        </w:rPr>
        <w:t>)</w:t>
      </w:r>
    </w:p>
  </w:footnote>
  <w:footnote w:id="362">
    <w:p w:rsidR="00971E82" w:rsidRPr="00F85A0A" w:rsidRDefault="00971E82" w:rsidP="08163013">
      <w:pPr>
        <w:pStyle w:val="Textpoznpodarou"/>
      </w:pPr>
      <w:r>
        <w:rPr>
          <w:rStyle w:val="Znakapoznpodarou"/>
        </w:rPr>
        <w:footnoteRef/>
      </w:r>
      <w:r>
        <w:t xml:space="preserve"> </w:t>
      </w:r>
      <w:r w:rsidRPr="0004048A">
        <w:t>„</w:t>
      </w:r>
      <w:r w:rsidRPr="0004048A">
        <w:rPr>
          <w:rFonts w:eastAsia="Constantia"/>
        </w:rPr>
        <w:t xml:space="preserve">Quia sicut formae posteriores quae habent naturalem ordinem et consequentiam ad priores non possunt recipi in materia, nisi prius </w:t>
      </w:r>
      <w:r w:rsidRPr="0004048A">
        <w:t>sit informata formis prio</w:t>
      </w:r>
      <w:r w:rsidRPr="0004048A">
        <w:rPr>
          <w:rFonts w:eastAsia="Constantia"/>
        </w:rPr>
        <w:t>ribus</w:t>
      </w:r>
      <w:r w:rsidRPr="0004048A">
        <w:t>,</w:t>
      </w:r>
      <w:r w:rsidRPr="0004048A">
        <w:rPr>
          <w:rFonts w:eastAsia="Constantia"/>
        </w:rPr>
        <w:t xml:space="preserve"> sic nec actus possunt recipi in organis</w:t>
      </w:r>
      <w:r w:rsidRPr="0004048A">
        <w:t>, nisi prout sunt informata</w:t>
      </w:r>
      <w:r>
        <w:t>..</w:t>
      </w:r>
      <w:r w:rsidRPr="0004048A">
        <w:rPr>
          <w:rFonts w:eastAsia="Constantia"/>
        </w:rPr>
        <w:t>.“</w:t>
      </w:r>
      <w:r>
        <w:rPr>
          <w:rStyle w:val="FontStyle127"/>
          <w:rFonts w:eastAsia="Constantia"/>
        </w:rPr>
        <w:t xml:space="preserve"> (</w:t>
      </w:r>
      <w:r>
        <w:rPr>
          <w:i/>
        </w:rPr>
        <w:t>Quaestiones in secundum librum Sententiarum</w:t>
      </w:r>
      <w:r>
        <w:t xml:space="preserve">, q. 58, resp.; </w:t>
      </w:r>
      <w:r w:rsidRPr="00756846">
        <w:t>ed. Jansen, t. II, p.</w:t>
      </w:r>
      <w:r>
        <w:t xml:space="preserve"> 513</w:t>
      </w:r>
      <w:r>
        <w:rPr>
          <w:noProof/>
        </w:rPr>
        <w:fldChar w:fldCharType="begin"/>
      </w:r>
      <w:r>
        <w:instrText xml:space="preserve"> XE "</w:instrText>
      </w:r>
      <w:r>
        <w:rPr>
          <w:lang w:val="cs-CZ"/>
        </w:rPr>
        <w:instrText>Olivi:</w:instrText>
      </w:r>
      <w:r>
        <w:rPr>
          <w:i/>
          <w:noProof/>
        </w:rPr>
        <w:instrText>Quaestiones in secundum librum Sententiarum</w:instrText>
      </w:r>
      <w:r>
        <w:rPr>
          <w:noProof/>
        </w:rPr>
        <w:instrText xml:space="preserve"> </w:instrText>
      </w:r>
      <w:r>
        <w:rPr>
          <w:noProof/>
          <w:lang w:val="cs-CZ"/>
        </w:rPr>
        <w:instrText>513</w:instrText>
      </w:r>
      <w:r>
        <w:instrText xml:space="preserve">" </w:instrText>
      </w:r>
      <w:r>
        <w:rPr>
          <w:noProof/>
        </w:rPr>
        <w:fldChar w:fldCharType="end"/>
      </w:r>
      <w:r>
        <w:rPr>
          <w:rStyle w:val="FontStyle127"/>
          <w:rFonts w:eastAsia="Constantia"/>
        </w:rPr>
        <w:t>)</w:t>
      </w:r>
    </w:p>
  </w:footnote>
  <w:footnote w:id="363">
    <w:p w:rsidR="00971E82" w:rsidRPr="00433EB7" w:rsidRDefault="00971E82" w:rsidP="08163013">
      <w:pPr>
        <w:pStyle w:val="Textpoznpodarou"/>
        <w:rPr>
          <w:lang w:val="cs-CZ"/>
        </w:rPr>
      </w:pPr>
      <w:r>
        <w:rPr>
          <w:rStyle w:val="Znakapoznpodarou"/>
        </w:rPr>
        <w:footnoteRef/>
      </w:r>
      <w:r>
        <w:t xml:space="preserve"> </w:t>
      </w:r>
      <w:r>
        <w:rPr>
          <w:noProof/>
        </w:rPr>
        <w:t>„</w:t>
      </w:r>
      <w:r>
        <w:rPr>
          <w:noProof/>
          <w:lang w:val="cs-CZ"/>
        </w:rPr>
        <w:t>I</w:t>
      </w:r>
      <w:r w:rsidRPr="00273106">
        <w:rPr>
          <w:noProof/>
        </w:rPr>
        <w:t>psa [sc. materia] sic est ens quod eius actualitati non repugnat esse in potentia et esse indeterminatum; sed potius hoc convenit sibi essentialiter, esse scilicet in potentia, non respectu sui, sed respectu aliorum quae in ea possunt fieri.“  (</w:t>
      </w:r>
      <w:r>
        <w:rPr>
          <w:i/>
          <w:noProof/>
        </w:rPr>
        <w:t>Quaestiones in secundum librum Sententiarum</w:t>
      </w:r>
      <w:r w:rsidRPr="00273106">
        <w:rPr>
          <w:noProof/>
        </w:rPr>
        <w:t>, q. 16; ed. Jansen, t. I,</w:t>
      </w:r>
      <w:r w:rsidRPr="00273106">
        <w:rPr>
          <w:rFonts w:eastAsia="Sylfaen"/>
          <w:noProof/>
        </w:rPr>
        <w:t xml:space="preserve"> </w:t>
      </w:r>
      <w:r>
        <w:rPr>
          <w:rFonts w:eastAsia="Sylfaen"/>
          <w:noProof/>
        </w:rPr>
        <w:t xml:space="preserve">p. </w:t>
      </w:r>
      <w:r w:rsidRPr="00273106">
        <w:rPr>
          <w:rFonts w:eastAsia="Sylfaen"/>
          <w:noProof/>
        </w:rPr>
        <w:t>309</w:t>
      </w:r>
      <w:r>
        <w:rPr>
          <w:rFonts w:eastAsia="Sylfaen"/>
          <w:noProof/>
        </w:rPr>
        <w:fldChar w:fldCharType="begin"/>
      </w:r>
      <w:r>
        <w:instrText xml:space="preserve"> XE "</w:instrText>
      </w:r>
      <w:r>
        <w:rPr>
          <w:lang w:val="cs-CZ"/>
        </w:rPr>
        <w:instrText>Olivi:</w:instrText>
      </w:r>
      <w:r>
        <w:rPr>
          <w:i/>
          <w:noProof/>
        </w:rPr>
        <w:instrText>Quaestiones in secundum librum Sententiarum</w:instrText>
      </w:r>
      <w:r w:rsidRPr="002B7087">
        <w:rPr>
          <w:rFonts w:eastAsia="Sylfaen"/>
          <w:noProof/>
        </w:rPr>
        <w:instrText xml:space="preserve"> 309</w:instrText>
      </w:r>
      <w:r>
        <w:instrText xml:space="preserve">" </w:instrText>
      </w:r>
      <w:r>
        <w:rPr>
          <w:rFonts w:eastAsia="Sylfaen"/>
          <w:noProof/>
        </w:rPr>
        <w:fldChar w:fldCharType="end"/>
      </w:r>
      <w:r w:rsidRPr="00273106">
        <w:rPr>
          <w:noProof/>
        </w:rPr>
        <w:t>)</w:t>
      </w:r>
    </w:p>
  </w:footnote>
  <w:footnote w:id="364">
    <w:p w:rsidR="00971E82" w:rsidRPr="001A3FD3" w:rsidRDefault="00971E82" w:rsidP="08163013">
      <w:pPr>
        <w:pStyle w:val="Textpoznpodarou"/>
      </w:pPr>
      <w:r>
        <w:rPr>
          <w:rStyle w:val="Znakapoznpodarou"/>
        </w:rPr>
        <w:footnoteRef/>
      </w:r>
      <w:r>
        <w:t xml:space="preserve"> „Est autem haec diffinitio potestatis facta secundum usum, non secundum proprietatem potestatis: quidquid enim aliquomodo potest, hac diffinitione potestetais potest; ut lignum potest incidi, et homo potest incidere...“ (</w:t>
      </w:r>
      <w:r w:rsidRPr="0024381A">
        <w:rPr>
          <w:i/>
        </w:rPr>
        <w:t xml:space="preserve">Liber </w:t>
      </w:r>
      <w:r>
        <w:rPr>
          <w:i/>
        </w:rPr>
        <w:t>d</w:t>
      </w:r>
      <w:r w:rsidRPr="0024381A">
        <w:rPr>
          <w:i/>
        </w:rPr>
        <w:t>e voluntate</w:t>
      </w:r>
      <w:r>
        <w:rPr>
          <w:lang w:val="cs-CZ"/>
        </w:rPr>
        <w:t xml:space="preserve">; </w:t>
      </w:r>
      <w:r>
        <w:t>PL 158, 490A</w:t>
      </w:r>
      <w:r>
        <w:fldChar w:fldCharType="begin"/>
      </w:r>
      <w:r>
        <w:instrText xml:space="preserve"> XE "</w:instrText>
      </w:r>
      <w:r>
        <w:rPr>
          <w:lang w:val="cs-CZ"/>
        </w:rPr>
        <w:instrText>Anselm:</w:instrText>
      </w:r>
      <w:r w:rsidRPr="00D632C4">
        <w:rPr>
          <w:i/>
        </w:rPr>
        <w:instrText>Liber de voluntate</w:instrText>
      </w:r>
      <w:r w:rsidRPr="00D632C4">
        <w:instrText xml:space="preserve"> </w:instrText>
      </w:r>
      <w:r>
        <w:instrText xml:space="preserve">PL 158, 490A" </w:instrText>
      </w:r>
      <w:r>
        <w:fldChar w:fldCharType="end"/>
      </w:r>
      <w:r>
        <w:t>)</w:t>
      </w:r>
    </w:p>
  </w:footnote>
  <w:footnote w:id="365">
    <w:p w:rsidR="00971E82" w:rsidRPr="003013EE" w:rsidRDefault="00971E82" w:rsidP="08163013">
      <w:pPr>
        <w:pStyle w:val="Textpoznpodarou"/>
      </w:pPr>
      <w:r>
        <w:rPr>
          <w:rStyle w:val="Znakapoznpodarou"/>
        </w:rPr>
        <w:footnoteRef/>
      </w:r>
      <w:r>
        <w:t xml:space="preserve"> </w:t>
      </w:r>
      <w:r>
        <w:rPr>
          <w:rStyle w:val="TextpoznpodarouChar"/>
          <w:rFonts w:eastAsia="Times"/>
        </w:rPr>
        <w:t>„</w:t>
      </w:r>
      <w:r w:rsidRPr="003013EE">
        <w:rPr>
          <w:rStyle w:val="TextpoznpodarouChar"/>
          <w:rFonts w:eastAsia="Times"/>
        </w:rPr>
        <w:t>Quando igitur dicit Anselmus quod voluntas non movet se nisi per suos habitus seu affectiones: nomine habitus oportebit intelligi non solum habitus superadditos, sed etiam ipsam essentiam libertatis, prout est ad aliqua obiecta sibi connaturalia quasi per modum habitualem determinate, quamvis ad verificationem verbi praedicti adhuc amplius oporteat addi.“ (</w:t>
      </w:r>
      <w:r>
        <w:rPr>
          <w:rStyle w:val="TextpoznpodarouChar"/>
          <w:rFonts w:eastAsia="Times"/>
          <w:i/>
        </w:rPr>
        <w:t>Quaestiones in secundum librum Sententiarum</w:t>
      </w:r>
      <w:r w:rsidRPr="003013EE">
        <w:rPr>
          <w:rStyle w:val="TextpoznpodarouChar"/>
          <w:rFonts w:eastAsia="Times"/>
        </w:rPr>
        <w:t>, q. 57, ad 28; ed. Jansen, t. II, p. 376</w:t>
      </w:r>
      <w:r>
        <w:rPr>
          <w:rStyle w:val="TextpoznpodarouChar"/>
          <w:rFonts w:eastAsia="Times"/>
        </w:rPr>
        <w:fldChar w:fldCharType="begin"/>
      </w:r>
      <w:r>
        <w:instrText xml:space="preserve"> XE "</w:instrText>
      </w:r>
      <w:r>
        <w:rPr>
          <w:lang w:val="cs-CZ"/>
        </w:rPr>
        <w:instrText>Olivi:</w:instrText>
      </w:r>
      <w:r>
        <w:rPr>
          <w:rStyle w:val="TextpoznpodarouChar"/>
          <w:rFonts w:eastAsia="Times"/>
          <w:i/>
        </w:rPr>
        <w:instrText>Quaestiones in secundum librum Sententiarum</w:instrText>
      </w:r>
      <w:r w:rsidRPr="00747022">
        <w:rPr>
          <w:rStyle w:val="TextpoznpodarouChar"/>
          <w:rFonts w:eastAsia="Times"/>
        </w:rPr>
        <w:instrText xml:space="preserve"> 376</w:instrText>
      </w:r>
      <w:r>
        <w:instrText xml:space="preserve">" </w:instrText>
      </w:r>
      <w:r>
        <w:rPr>
          <w:rStyle w:val="TextpoznpodarouChar"/>
          <w:rFonts w:eastAsia="Times"/>
        </w:rPr>
        <w:fldChar w:fldCharType="end"/>
      </w:r>
      <w:r w:rsidRPr="003013EE">
        <w:rPr>
          <w:rStyle w:val="TextpoznpodarouChar"/>
          <w:rFonts w:eastAsia="Times"/>
        </w:rPr>
        <w:t>)</w:t>
      </w:r>
    </w:p>
  </w:footnote>
  <w:footnote w:id="366">
    <w:p w:rsidR="00971E82" w:rsidRPr="008D53CB" w:rsidRDefault="00971E82" w:rsidP="08163013">
      <w:pPr>
        <w:pStyle w:val="Textpoznpodarou"/>
      </w:pPr>
      <w:r>
        <w:rPr>
          <w:rStyle w:val="Znakapoznpodarou"/>
        </w:rPr>
        <w:footnoteRef/>
      </w:r>
      <w:r>
        <w:t xml:space="preserve"> </w:t>
      </w:r>
      <w:r w:rsidRPr="008D53CB">
        <w:t>„</w:t>
      </w:r>
      <w:r w:rsidRPr="008D53CB">
        <w:rPr>
          <w:rFonts w:eastAsia="Sylfaen"/>
        </w:rPr>
        <w:t xml:space="preserve">Unde et ab Anselmo, in libro </w:t>
      </w:r>
      <w:r w:rsidRPr="008D53CB">
        <w:t xml:space="preserve">De libertate arbitrii, </w:t>
      </w:r>
      <w:r w:rsidRPr="008D53CB">
        <w:rPr>
          <w:rFonts w:eastAsia="Sylfaen"/>
        </w:rPr>
        <w:t xml:space="preserve">iustitia per quam intelligit rectitudinem virtutum et gratiae ponitur esse in potestate liberi arbitrii, ita quod potest eam servare et deserere. Quod non posset esse verum, si a gratia et virtutibus haberet moveri et regi et ita quod ipsum non posset eas movere et regere seu voluntatem ut ipsis informatam.“ </w:t>
      </w:r>
      <w:r w:rsidRPr="008D53CB">
        <w:t>(Quaestiones in secundum librum Sententiarum, q. 57, resp., ad 27; ed. Jansen, t. II, p. 374</w:t>
      </w:r>
      <w:r w:rsidRPr="008D53CB">
        <w:rPr>
          <w:rFonts w:eastAsia="Times"/>
        </w:rPr>
        <w:fldChar w:fldCharType="begin"/>
      </w:r>
      <w:r w:rsidRPr="008D53CB">
        <w:instrText xml:space="preserve"> XE "Olivi:</w:instrText>
      </w:r>
      <w:r w:rsidRPr="008D53CB">
        <w:rPr>
          <w:rFonts w:eastAsia="Times"/>
        </w:rPr>
        <w:instrText>Quaestiones in secundum librum Sententiarum 374</w:instrText>
      </w:r>
      <w:r w:rsidRPr="008D53CB">
        <w:instrText xml:space="preserve">" </w:instrText>
      </w:r>
      <w:r w:rsidRPr="008D53CB">
        <w:rPr>
          <w:rFonts w:eastAsia="Times"/>
        </w:rPr>
        <w:fldChar w:fldCharType="end"/>
      </w:r>
      <w:r w:rsidRPr="008D53CB">
        <w:t>)</w:t>
      </w:r>
    </w:p>
  </w:footnote>
  <w:footnote w:id="367">
    <w:p w:rsidR="00971E82" w:rsidRPr="002B59DD" w:rsidRDefault="00971E82" w:rsidP="08163013">
      <w:pPr>
        <w:pStyle w:val="Textpoznpodarou"/>
        <w:rPr>
          <w:lang w:val="cs-CZ"/>
        </w:rPr>
      </w:pPr>
      <w:r>
        <w:rPr>
          <w:rStyle w:val="Znakapoznpodarou"/>
        </w:rPr>
        <w:footnoteRef/>
      </w:r>
      <w:r>
        <w:t xml:space="preserve"> </w:t>
      </w:r>
      <w:r>
        <w:rPr>
          <w:lang w:val="cs-CZ"/>
        </w:rPr>
        <w:t>Viz např. Akvinského tezi přebírající Albertovo pojetí extenze spekulativního intelektu do praktického podle  CMDA (</w:t>
      </w:r>
      <w:r w:rsidRPr="00CB303A">
        <w:rPr>
          <w:i/>
        </w:rPr>
        <w:t>intellectus speculativus extensione fit practicus</w:t>
      </w:r>
      <w:r>
        <w:rPr>
          <w:rStyle w:val="ref"/>
          <w:rFonts w:eastAsia="Times"/>
          <w:lang w:val="cs-CZ"/>
        </w:rPr>
        <w:t xml:space="preserve">; </w:t>
      </w:r>
      <w:r>
        <w:rPr>
          <w:rStyle w:val="ref"/>
          <w:rFonts w:eastAsia="Times"/>
        </w:rPr>
        <w:t>S</w:t>
      </w:r>
      <w:r>
        <w:rPr>
          <w:rStyle w:val="ref"/>
          <w:rFonts w:eastAsia="Times"/>
          <w:lang w:val="cs-CZ"/>
        </w:rPr>
        <w:t xml:space="preserve">T </w:t>
      </w:r>
      <w:r>
        <w:rPr>
          <w:rStyle w:val="ref"/>
          <w:rFonts w:eastAsia="Times"/>
        </w:rPr>
        <w:t>II</w:t>
      </w:r>
      <w:r>
        <w:rPr>
          <w:rStyle w:val="ref"/>
          <w:rFonts w:eastAsia="Times"/>
          <w:lang w:val="cs-CZ"/>
        </w:rPr>
        <w:t>-</w:t>
      </w:r>
      <w:r>
        <w:rPr>
          <w:rStyle w:val="ref"/>
          <w:rFonts w:eastAsia="Times"/>
        </w:rPr>
        <w:t>II, q. 4</w:t>
      </w:r>
      <w:r>
        <w:rPr>
          <w:rStyle w:val="ref"/>
          <w:rFonts w:eastAsia="Times"/>
          <w:lang w:val="cs-CZ"/>
        </w:rPr>
        <w:t>,</w:t>
      </w:r>
      <w:r>
        <w:rPr>
          <w:rStyle w:val="ref"/>
          <w:rFonts w:eastAsia="Times"/>
        </w:rPr>
        <w:t xml:space="preserve"> a. 2</w:t>
      </w:r>
      <w:r>
        <w:rPr>
          <w:rStyle w:val="ref"/>
          <w:rFonts w:eastAsia="Times"/>
          <w:lang w:val="cs-CZ"/>
        </w:rPr>
        <w:t>,</w:t>
      </w:r>
      <w:r>
        <w:rPr>
          <w:rStyle w:val="ref"/>
          <w:rFonts w:eastAsia="Times"/>
        </w:rPr>
        <w:t xml:space="preserve"> ad 3</w:t>
      </w:r>
      <w:r>
        <w:rPr>
          <w:rStyle w:val="ref"/>
          <w:rFonts w:eastAsia="Times"/>
          <w:lang w:val="cs-CZ"/>
        </w:rPr>
        <w:t>; ed. Leonina 8, 45</w:t>
      </w:r>
      <w:r>
        <w:rPr>
          <w:rStyle w:val="ref"/>
          <w:rFonts w:eastAsia="Times"/>
          <w:lang w:val="cs-CZ"/>
        </w:rPr>
        <w:fldChar w:fldCharType="begin"/>
      </w:r>
      <w:r>
        <w:instrText xml:space="preserve"> XE "</w:instrText>
      </w:r>
      <w:r>
        <w:rPr>
          <w:lang w:val="cs-CZ"/>
        </w:rPr>
        <w:instrText>Akvinský:</w:instrText>
      </w:r>
      <w:r w:rsidRPr="00DC7007">
        <w:rPr>
          <w:rStyle w:val="ref"/>
          <w:rFonts w:eastAsia="Times"/>
        </w:rPr>
        <w:instrText>S</w:instrText>
      </w:r>
      <w:r w:rsidRPr="00DC7007">
        <w:rPr>
          <w:rStyle w:val="ref"/>
          <w:rFonts w:eastAsia="Times"/>
          <w:lang w:val="cs-CZ"/>
        </w:rPr>
        <w:instrText xml:space="preserve">T </w:instrText>
      </w:r>
      <w:r w:rsidRPr="00DC7007">
        <w:rPr>
          <w:rStyle w:val="ref"/>
          <w:rFonts w:eastAsia="Times"/>
        </w:rPr>
        <w:instrText>II</w:instrText>
      </w:r>
      <w:r w:rsidRPr="00DC7007">
        <w:rPr>
          <w:rStyle w:val="ref"/>
          <w:rFonts w:eastAsia="Times"/>
          <w:lang w:val="cs-CZ"/>
        </w:rPr>
        <w:instrText>-</w:instrText>
      </w:r>
      <w:r w:rsidRPr="00DC7007">
        <w:rPr>
          <w:rStyle w:val="ref"/>
          <w:rFonts w:eastAsia="Times"/>
        </w:rPr>
        <w:instrText>II</w:instrText>
      </w:r>
      <w:r>
        <w:rPr>
          <w:rStyle w:val="ref"/>
          <w:rFonts w:eastAsia="Times"/>
          <w:lang w:val="cs-CZ"/>
        </w:rPr>
        <w:instrText>.4.2</w:instrText>
      </w:r>
      <w:r>
        <w:instrText xml:space="preserve">" </w:instrText>
      </w:r>
      <w:r>
        <w:rPr>
          <w:rStyle w:val="ref"/>
          <w:rFonts w:eastAsia="Times"/>
          <w:lang w:val="cs-CZ"/>
        </w:rPr>
        <w:fldChar w:fldCharType="end"/>
      </w:r>
      <w:r>
        <w:rPr>
          <w:rStyle w:val="ref"/>
          <w:rFonts w:eastAsia="Times"/>
          <w:lang w:val="cs-CZ"/>
        </w:rPr>
        <w:t xml:space="preserve">). Nebo pojetí Pechama podle druhého averroismu platné pro aktivní intelekt </w:t>
      </w:r>
      <w:r w:rsidRPr="00045362">
        <w:rPr>
          <w:rStyle w:val="ref"/>
          <w:rFonts w:eastAsia="Times"/>
          <w:lang w:val="cs-CZ"/>
        </w:rPr>
        <w:t>(</w:t>
      </w:r>
      <w:r w:rsidRPr="00CB303A">
        <w:rPr>
          <w:i/>
        </w:rPr>
        <w:t xml:space="preserve">intellectus </w:t>
      </w:r>
      <w:r w:rsidRPr="00CB303A">
        <w:rPr>
          <w:i/>
          <w:lang w:val="cs-CZ"/>
        </w:rPr>
        <w:t>agens</w:t>
      </w:r>
      <w:r w:rsidRPr="00CB303A">
        <w:rPr>
          <w:i/>
        </w:rPr>
        <w:t xml:space="preserve"> extensione fit practicus</w:t>
      </w:r>
      <w:r>
        <w:rPr>
          <w:lang w:val="cs-CZ"/>
        </w:rPr>
        <w:t>;</w:t>
      </w:r>
      <w:r w:rsidRPr="00045362">
        <w:rPr>
          <w:rStyle w:val="ref"/>
          <w:rFonts w:eastAsia="Times"/>
          <w:i/>
          <w:lang w:val="cs-CZ"/>
        </w:rPr>
        <w:t xml:space="preserve"> </w:t>
      </w:r>
      <w:r>
        <w:rPr>
          <w:rStyle w:val="ref"/>
          <w:rFonts w:eastAsia="Times"/>
          <w:i/>
          <w:lang w:val="cs-CZ"/>
        </w:rPr>
        <w:t>Quaestiones tractantes De anima</w:t>
      </w:r>
      <w:r>
        <w:rPr>
          <w:rStyle w:val="ref"/>
          <w:rFonts w:eastAsia="Times"/>
          <w:lang w:val="cs-CZ"/>
        </w:rPr>
        <w:t xml:space="preserve">, q. 6, </w:t>
      </w:r>
      <w:proofErr w:type="gramStart"/>
      <w:r>
        <w:rPr>
          <w:rStyle w:val="ref"/>
          <w:rFonts w:eastAsia="Times"/>
          <w:lang w:val="cs-CZ"/>
        </w:rPr>
        <w:t>contra</w:t>
      </w:r>
      <w:proofErr w:type="gramEnd"/>
      <w:r>
        <w:rPr>
          <w:rStyle w:val="ref"/>
          <w:rFonts w:eastAsia="Times"/>
          <w:lang w:val="cs-CZ"/>
        </w:rPr>
        <w:t xml:space="preserve">; </w:t>
      </w:r>
      <w:r>
        <w:t>ed. Spettmann</w:t>
      </w:r>
      <w:r>
        <w:rPr>
          <w:rStyle w:val="ref"/>
          <w:rFonts w:eastAsia="Times"/>
          <w:lang w:val="cs-CZ"/>
        </w:rPr>
        <w:t>, pp. 72.37‒73.1</w:t>
      </w:r>
      <w:r>
        <w:rPr>
          <w:rStyle w:val="ref"/>
          <w:rFonts w:eastAsia="Times"/>
          <w:lang w:val="cs-CZ"/>
        </w:rPr>
        <w:fldChar w:fldCharType="begin"/>
      </w:r>
      <w:r>
        <w:instrText xml:space="preserve"> XE "</w:instrText>
      </w:r>
      <w:r>
        <w:rPr>
          <w:lang w:val="cs-CZ"/>
        </w:rPr>
        <w:instrText>Pecham:</w:instrText>
      </w:r>
      <w:r>
        <w:rPr>
          <w:rStyle w:val="ref"/>
          <w:rFonts w:eastAsia="Times"/>
          <w:i/>
          <w:lang w:val="cs-CZ"/>
        </w:rPr>
        <w:instrText>Quaestiones tractantes De anima</w:instrText>
      </w:r>
      <w:r w:rsidRPr="003B7447">
        <w:rPr>
          <w:rStyle w:val="ref"/>
          <w:rFonts w:eastAsia="Times"/>
          <w:lang w:val="cs-CZ"/>
        </w:rPr>
        <w:instrText xml:space="preserve"> 72.37‒73.1</w:instrText>
      </w:r>
      <w:r>
        <w:instrText xml:space="preserve">" </w:instrText>
      </w:r>
      <w:r>
        <w:rPr>
          <w:rStyle w:val="ref"/>
          <w:rFonts w:eastAsia="Times"/>
          <w:lang w:val="cs-CZ"/>
        </w:rPr>
        <w:fldChar w:fldCharType="end"/>
      </w:r>
      <w:r>
        <w:rPr>
          <w:rStyle w:val="ref"/>
          <w:rFonts w:eastAsia="Times"/>
          <w:lang w:val="cs-CZ"/>
        </w:rPr>
        <w:t>)</w:t>
      </w:r>
      <w:r>
        <w:rPr>
          <w:lang w:val="cs-CZ"/>
        </w:rPr>
        <w:t xml:space="preserve">. </w:t>
      </w:r>
    </w:p>
  </w:footnote>
  <w:footnote w:id="368">
    <w:p w:rsidR="00971E82" w:rsidRPr="084155AB" w:rsidRDefault="00971E82" w:rsidP="084155AB">
      <w:pPr>
        <w:pStyle w:val="Textpoznpodarou"/>
      </w:pPr>
      <w:r w:rsidRPr="084155AB">
        <w:rPr>
          <w:rStyle w:val="Znakapoznpodarou"/>
        </w:rPr>
        <w:footnoteRef/>
      </w:r>
      <w:r w:rsidRPr="084155AB">
        <w:t xml:space="preserve"> </w:t>
      </w:r>
      <w:r w:rsidRPr="084155AB">
        <w:rPr>
          <w:rStyle w:val="FontStyle116"/>
          <w:rFonts w:ascii="Calibri" w:hAnsi="Calibri"/>
          <w:sz w:val="20"/>
          <w:szCs w:val="20"/>
        </w:rPr>
        <w:t>„Actus qui est velle est perfectio ipsius potentiae, et ita ante ipsum erat in potentia etiam es</w:t>
      </w:r>
      <w:r w:rsidRPr="084155AB">
        <w:rPr>
          <w:rStyle w:val="FontStyle116"/>
          <w:rFonts w:ascii="Calibri" w:hAnsi="Calibri"/>
          <w:sz w:val="20"/>
          <w:szCs w:val="20"/>
        </w:rPr>
        <w:softHyphen/>
        <w:t>sentiali ad hanc perfectionem in se recipiendam: dicendum quod divisio ilia, prout fuit data ab Aristotele, non fuit data in hoc respectu.“ (</w:t>
      </w:r>
      <w:r w:rsidRPr="084155AB">
        <w:rPr>
          <w:i/>
        </w:rPr>
        <w:t>Quaestiones in secundum librum Sententiarum</w:t>
      </w:r>
      <w:r w:rsidRPr="084155AB">
        <w:t>, q. 57, resp., ad 9; ed. Jansen, t. II, p. 347</w:t>
      </w:r>
      <w:r w:rsidRPr="084155AB">
        <w:fldChar w:fldCharType="begin"/>
      </w:r>
      <w:r w:rsidRPr="084155AB">
        <w:instrText xml:space="preserve"> XE "Olivi:</w:instrText>
      </w:r>
      <w:r w:rsidRPr="084155AB">
        <w:rPr>
          <w:i/>
        </w:rPr>
        <w:instrText>Quaestiones in secundum librum Sententiarum</w:instrText>
      </w:r>
      <w:r w:rsidRPr="084155AB">
        <w:instrText xml:space="preserve"> 347" </w:instrText>
      </w:r>
      <w:r w:rsidRPr="084155AB">
        <w:fldChar w:fldCharType="end"/>
      </w:r>
      <w:r w:rsidRPr="084155AB">
        <w:rPr>
          <w:rStyle w:val="FontStyle116"/>
          <w:rFonts w:ascii="Calibri" w:hAnsi="Calibri"/>
          <w:sz w:val="20"/>
          <w:szCs w:val="20"/>
        </w:rPr>
        <w:t>)</w:t>
      </w:r>
    </w:p>
  </w:footnote>
  <w:footnote w:id="369">
    <w:p w:rsidR="00971E82" w:rsidRPr="08F53293" w:rsidRDefault="00971E82" w:rsidP="08F53293">
      <w:pPr>
        <w:pStyle w:val="Textpoznpodarou"/>
        <w:rPr>
          <w:rFonts w:eastAsia="Sylfaen"/>
        </w:rPr>
      </w:pPr>
      <w:r w:rsidRPr="08F53293">
        <w:rPr>
          <w:rStyle w:val="Znakapoznpodarou"/>
        </w:rPr>
        <w:footnoteRef/>
      </w:r>
      <w:r w:rsidRPr="08F53293">
        <w:t xml:space="preserve"> „</w:t>
      </w:r>
      <w:r w:rsidRPr="08F53293">
        <w:rPr>
          <w:rStyle w:val="FontStyle116"/>
          <w:rFonts w:ascii="Calibri" w:eastAsia="Sylfaen" w:hAnsi="Calibri"/>
          <w:sz w:val="20"/>
          <w:szCs w:val="20"/>
        </w:rPr>
        <w:t>Secundum omnem enim statum, scilicet, gloriae, innocentiae, gratiae et poenae possunt mentes nostrae reflecti immediate super se absque adiutorio alicuius phantasmatis, immo potius ad hoc phantasmata eas impediunt quam iuvent, sicut in quaestione an anima possit se intelligere per se et immediate plenius habet tangi. Nec curo si Aristoteles et eius sequaces contrarium dicant.“ (</w:t>
      </w:r>
      <w:r w:rsidRPr="08E72BB1">
        <w:rPr>
          <w:i/>
        </w:rPr>
        <w:t>Quaestiones in secundum librum Sententiarum</w:t>
      </w:r>
      <w:r w:rsidRPr="08F53293">
        <w:t>, q. 57, resp., ad 20; ed. Jansen, t. II, p. 365</w:t>
      </w:r>
      <w:r w:rsidRPr="08F53293">
        <w:rPr>
          <w:rStyle w:val="TextpoznpodarouChar"/>
          <w:rFonts w:eastAsia="Times"/>
        </w:rPr>
        <w:fldChar w:fldCharType="begin"/>
      </w:r>
      <w:r w:rsidRPr="08F53293">
        <w:instrText xml:space="preserve"> XE "Olivi:</w:instrText>
      </w:r>
      <w:r w:rsidRPr="08F53293">
        <w:rPr>
          <w:rStyle w:val="TextpoznpodarouChar"/>
          <w:rFonts w:eastAsia="Times"/>
          <w:i/>
        </w:rPr>
        <w:instrText>Quaestiones in secundum librum Sententiarum</w:instrText>
      </w:r>
      <w:r w:rsidRPr="08F53293">
        <w:rPr>
          <w:rStyle w:val="TextpoznpodarouChar"/>
          <w:rFonts w:eastAsia="Times"/>
        </w:rPr>
        <w:instrText xml:space="preserve"> 365</w:instrText>
      </w:r>
      <w:r w:rsidRPr="08F53293">
        <w:instrText xml:space="preserve">" </w:instrText>
      </w:r>
      <w:r w:rsidRPr="08F53293">
        <w:rPr>
          <w:rStyle w:val="TextpoznpodarouChar"/>
          <w:rFonts w:eastAsia="Times"/>
        </w:rPr>
        <w:fldChar w:fldCharType="end"/>
      </w:r>
      <w:r w:rsidRPr="08F53293">
        <w:rPr>
          <w:rStyle w:val="FontStyle116"/>
          <w:rFonts w:ascii="Calibri" w:eastAsia="Sylfaen" w:hAnsi="Calibri"/>
          <w:sz w:val="20"/>
          <w:szCs w:val="20"/>
        </w:rPr>
        <w:t>)</w:t>
      </w:r>
    </w:p>
  </w:footnote>
  <w:footnote w:id="370">
    <w:p w:rsidR="00971E82" w:rsidRPr="00930396" w:rsidRDefault="00971E82" w:rsidP="08163013">
      <w:pPr>
        <w:pStyle w:val="Textpoznpodarou"/>
        <w:rPr>
          <w:lang w:val="cs-CZ"/>
        </w:rPr>
      </w:pPr>
      <w:r>
        <w:rPr>
          <w:rStyle w:val="Znakapoznpodarou"/>
        </w:rPr>
        <w:footnoteRef/>
      </w:r>
      <w:r>
        <w:t xml:space="preserve"> „Omnis enim actus trahit a sua causa effectiva rationes suae essentiae essentialissimas et nobilissimas. Summae autem rationes quae sunt in actibus mentis nostrae sunt ratio vitae seu vivi et simplicitatis et intellectualitatis et consimiles.“</w:t>
      </w:r>
      <w:r>
        <w:rPr>
          <w:lang w:val="cs-CZ"/>
        </w:rPr>
        <w:t xml:space="preserve"> </w:t>
      </w:r>
      <w:r w:rsidRPr="000E095E">
        <w:t>(</w:t>
      </w:r>
      <w:r>
        <w:rPr>
          <w:i/>
        </w:rPr>
        <w:t>Quaestiones in secundum librum Sententiarum</w:t>
      </w:r>
      <w:r w:rsidRPr="000E095E">
        <w:t>, q. 58, i</w:t>
      </w:r>
      <w:r>
        <w:t xml:space="preserve">tem </w:t>
      </w:r>
      <w:r>
        <w:rPr>
          <w:lang w:val="cs-CZ"/>
        </w:rPr>
        <w:t>3</w:t>
      </w:r>
      <w:r>
        <w:t xml:space="preserve">; ed. Jansen, t. II, p. </w:t>
      </w:r>
      <w:r w:rsidRPr="003B57AC">
        <w:t>412</w:t>
      </w:r>
      <w:r>
        <w:fldChar w:fldCharType="begin"/>
      </w:r>
      <w:r>
        <w:instrText xml:space="preserve"> XE "</w:instrText>
      </w:r>
      <w:r>
        <w:rPr>
          <w:lang w:val="cs-CZ"/>
        </w:rPr>
        <w:instrText>Olivi:</w:instrText>
      </w:r>
      <w:r>
        <w:rPr>
          <w:i/>
        </w:rPr>
        <w:instrText>Quaestiones in secundum librum Sententiarum</w:instrText>
      </w:r>
      <w:r w:rsidRPr="008E0BBD">
        <w:instrText xml:space="preserve"> 412</w:instrText>
      </w:r>
      <w:r>
        <w:instrText xml:space="preserve">" </w:instrText>
      </w:r>
      <w:r>
        <w:fldChar w:fldCharType="end"/>
      </w:r>
      <w:r w:rsidRPr="000E095E">
        <w:t>)</w:t>
      </w:r>
    </w:p>
  </w:footnote>
  <w:footnote w:id="371">
    <w:p w:rsidR="00971E82" w:rsidRPr="08E7470F" w:rsidRDefault="00971E82" w:rsidP="003A2CA4">
      <w:pPr>
        <w:pStyle w:val="Textpoznpodarou"/>
      </w:pPr>
      <w:r>
        <w:rPr>
          <w:rStyle w:val="Znakapoznpodarou"/>
        </w:rPr>
        <w:footnoteRef/>
      </w:r>
      <w:r>
        <w:t xml:space="preserve"> „</w:t>
      </w:r>
      <w:r w:rsidRPr="08C23A77">
        <w:t>Sicut intellectus per prima principia, quae sunt actus ejus, exit de potentia ad cognitionem conclusionum respectu quarum fuit in potentia et ita idem educit se de potentia ad actum, sed non secundum idem, ita voluntas est in actu et determinata respectu boni communiter vel ultimi finis, per cujus actum exit de potentia volendi hoc vel illud propositum cum consilio rationis.</w:t>
      </w:r>
      <w:r>
        <w:t>“ (</w:t>
      </w:r>
      <w:r>
        <w:rPr>
          <w:i/>
        </w:rPr>
        <w:t>Quaestiones</w:t>
      </w:r>
      <w:r w:rsidRPr="08C23A77">
        <w:rPr>
          <w:i/>
        </w:rPr>
        <w:t xml:space="preserve"> disputatae</w:t>
      </w:r>
      <w:r w:rsidRPr="08C23A77">
        <w:t>, q. 4, resp.</w:t>
      </w:r>
      <w:r>
        <w:t>; ed. Longpré, p. 41</w:t>
      </w:r>
      <w:r>
        <w:fldChar w:fldCharType="begin"/>
      </w:r>
      <w:r>
        <w:instrText xml:space="preserve"> XE "</w:instrText>
      </w:r>
      <w:r>
        <w:rPr>
          <w:lang w:val="cs-CZ"/>
        </w:rPr>
        <w:instrText xml:space="preserve">Gualterus </w:instrText>
      </w:r>
      <w:r w:rsidRPr="00273106">
        <w:instrText>Brugensis</w:instrText>
      </w:r>
      <w:r>
        <w:rPr>
          <w:i/>
          <w:lang w:val="cs-CZ"/>
        </w:rPr>
        <w:instrText>:</w:instrText>
      </w:r>
      <w:r>
        <w:rPr>
          <w:i/>
        </w:rPr>
        <w:instrText>Quaestiones</w:instrText>
      </w:r>
      <w:r w:rsidRPr="00E85560">
        <w:rPr>
          <w:i/>
        </w:rPr>
        <w:instrText xml:space="preserve"> disputatae</w:instrText>
      </w:r>
      <w:r w:rsidRPr="00E85560">
        <w:instrText xml:space="preserve"> 41</w:instrText>
      </w:r>
      <w:r>
        <w:instrText xml:space="preserve">" </w:instrText>
      </w:r>
      <w:r>
        <w:fldChar w:fldCharType="end"/>
      </w:r>
      <w:r>
        <w:t>)</w:t>
      </w:r>
    </w:p>
  </w:footnote>
  <w:footnote w:id="372">
    <w:p w:rsidR="00971E82" w:rsidRPr="082712FC" w:rsidRDefault="00971E82" w:rsidP="003A2CA4">
      <w:pPr>
        <w:pStyle w:val="Textpoznpodarou"/>
      </w:pPr>
      <w:r w:rsidRPr="082712FC">
        <w:rPr>
          <w:rStyle w:val="Znakapoznpodarou"/>
        </w:rPr>
        <w:footnoteRef/>
      </w:r>
      <w:r w:rsidRPr="082712FC">
        <w:t xml:space="preserve"> „</w:t>
      </w:r>
      <w:r w:rsidRPr="082712FC">
        <w:rPr>
          <w:rStyle w:val="FontStyle116"/>
          <w:rFonts w:ascii="Calibri" w:eastAsia="Sylfaen" w:hAnsi="Calibri"/>
          <w:sz w:val="20"/>
          <w:szCs w:val="20"/>
        </w:rPr>
        <w:t xml:space="preserve">Praeterea, si sunt ab alio quam a nobis, non poterunt fieri in nobis ab aliquo agente cuius virtus et aspectus non attingit intimissime interiora nostrae mentis, quia nihil nobis intimius quam actus nostrae mentis et quam intrinseca principia eorum; in tantum enim sunt nobis intimi quod non possunt videri nobis nolentibus ab alio quam a Deo.“ </w:t>
      </w:r>
      <w:r w:rsidRPr="082712FC">
        <w:t>(</w:t>
      </w:r>
      <w:r w:rsidRPr="082712FC">
        <w:rPr>
          <w:i/>
        </w:rPr>
        <w:t>Quaestiones in secundum librum Sententiarum</w:t>
      </w:r>
      <w:r w:rsidRPr="082712FC">
        <w:t>, q. 58, item 4; ed. Jansen, t. II, p. 413</w:t>
      </w:r>
      <w:r w:rsidRPr="082712FC">
        <w:fldChar w:fldCharType="begin"/>
      </w:r>
      <w:r w:rsidRPr="082712FC">
        <w:instrText xml:space="preserve"> XE "Olivi:</w:instrText>
      </w:r>
      <w:r w:rsidRPr="082712FC">
        <w:rPr>
          <w:i/>
        </w:rPr>
        <w:instrText>Quaestiones in secundum librum Sententiarum</w:instrText>
      </w:r>
      <w:r w:rsidRPr="082712FC">
        <w:instrText xml:space="preserve"> 413" </w:instrText>
      </w:r>
      <w:r w:rsidRPr="082712FC">
        <w:fldChar w:fldCharType="end"/>
      </w:r>
      <w:r w:rsidRPr="082712FC">
        <w:t>)</w:t>
      </w:r>
    </w:p>
  </w:footnote>
  <w:footnote w:id="373">
    <w:p w:rsidR="00971E82" w:rsidRPr="088F062C" w:rsidRDefault="00971E82" w:rsidP="088F062C">
      <w:pPr>
        <w:pStyle w:val="Textpoznpodarou"/>
      </w:pPr>
      <w:r w:rsidRPr="088F062C">
        <w:rPr>
          <w:rStyle w:val="Znakapoznpodarou"/>
        </w:rPr>
        <w:footnoteRef/>
      </w:r>
      <w:r w:rsidRPr="088F062C">
        <w:t xml:space="preserve"> </w:t>
      </w:r>
      <w:r w:rsidRPr="088F062C">
        <w:rPr>
          <w:rStyle w:val="FontStyle116"/>
          <w:rFonts w:ascii="Calibri" w:hAnsi="Calibri"/>
          <w:sz w:val="20"/>
          <w:szCs w:val="20"/>
        </w:rPr>
        <w:t>„Si enim omnis forma substantialis, in quantum talis, est aliquo modo virtus activa vel saltem habet aliquam potentiam activam a se originatam et respectu sui quasi instrumentalem: impossibile est quin summa omnium formarum creatarum hoc habeat. Sed forma substantialis mentis nostrae in qua potissimum gradum tenet forma substantialis nostrae voluntatis seu libertatis est summa inter formas substantiates creatas.“ (</w:t>
      </w:r>
      <w:r w:rsidRPr="088F062C">
        <w:rPr>
          <w:i/>
        </w:rPr>
        <w:t>Quaestiones in secundum librum Sententiarum</w:t>
      </w:r>
      <w:r w:rsidRPr="088F062C">
        <w:t>, q. 58; ed. Jansen, t. II, p. 411</w:t>
      </w:r>
      <w:r w:rsidRPr="088F062C">
        <w:fldChar w:fldCharType="begin"/>
      </w:r>
      <w:r w:rsidRPr="088F062C">
        <w:instrText xml:space="preserve"> XE "Olivi:</w:instrText>
      </w:r>
      <w:r w:rsidRPr="088F062C">
        <w:rPr>
          <w:i/>
        </w:rPr>
        <w:instrText>Quaestiones in secundum librum Sententiarum</w:instrText>
      </w:r>
      <w:r w:rsidRPr="088F062C">
        <w:instrText xml:space="preserve"> 411" </w:instrText>
      </w:r>
      <w:r w:rsidRPr="088F062C">
        <w:fldChar w:fldCharType="end"/>
      </w:r>
      <w:r w:rsidRPr="088F062C">
        <w:rPr>
          <w:rStyle w:val="FontStyle116"/>
          <w:rFonts w:ascii="Calibri" w:hAnsi="Calibri"/>
          <w:sz w:val="20"/>
          <w:szCs w:val="20"/>
        </w:rPr>
        <w:t>)</w:t>
      </w:r>
    </w:p>
  </w:footnote>
  <w:footnote w:id="374">
    <w:p w:rsidR="00971E82" w:rsidRPr="0881089B" w:rsidRDefault="00971E82" w:rsidP="0881089B">
      <w:pPr>
        <w:pStyle w:val="Textpoznpodarou"/>
      </w:pPr>
      <w:r w:rsidRPr="0881089B">
        <w:rPr>
          <w:rStyle w:val="Znakapoznpodarou"/>
        </w:rPr>
        <w:footnoteRef/>
      </w:r>
      <w:r w:rsidRPr="0881089B">
        <w:t xml:space="preserve"> </w:t>
      </w:r>
      <w:r w:rsidRPr="0881089B">
        <w:rPr>
          <w:rStyle w:val="FontStyle116"/>
          <w:rFonts w:ascii="Calibri" w:hAnsi="Calibri"/>
          <w:sz w:val="20"/>
          <w:szCs w:val="20"/>
        </w:rPr>
        <w:t xml:space="preserve">„Et hoc modo falsum est consequens praedictae conditionalis, et quantum ad hoc non est verum quod causa eodem modo se haberet ad esse sui effectus et ad eius non esse.“ </w:t>
      </w:r>
      <w:r w:rsidRPr="0881089B">
        <w:rPr>
          <w:rStyle w:val="FontStyle116"/>
          <w:rFonts w:ascii="Calibri" w:eastAsia="Sylfaen" w:hAnsi="Calibri"/>
          <w:sz w:val="20"/>
          <w:szCs w:val="20"/>
        </w:rPr>
        <w:t>(</w:t>
      </w:r>
      <w:r w:rsidRPr="0881089B">
        <w:rPr>
          <w:i/>
        </w:rPr>
        <w:t>Quaestiones in secundum librum Sententiarum</w:t>
      </w:r>
      <w:r w:rsidRPr="0881089B">
        <w:t>, q. 57, resp., ad 7; ed. Jansen, t. II, 345</w:t>
      </w:r>
      <w:r w:rsidRPr="0881089B">
        <w:fldChar w:fldCharType="begin"/>
      </w:r>
      <w:r w:rsidRPr="0881089B">
        <w:instrText xml:space="preserve"> XE "Olivi:</w:instrText>
      </w:r>
      <w:r w:rsidRPr="0881089B">
        <w:rPr>
          <w:i/>
        </w:rPr>
        <w:instrText>Quaestiones in secundum librum Sententiarum</w:instrText>
      </w:r>
      <w:r w:rsidRPr="0881089B">
        <w:instrText xml:space="preserve"> 345" </w:instrText>
      </w:r>
      <w:r w:rsidRPr="0881089B">
        <w:fldChar w:fldCharType="end"/>
      </w:r>
      <w:r w:rsidRPr="0881089B">
        <w:rPr>
          <w:rStyle w:val="FontStyle116"/>
          <w:rFonts w:ascii="Calibri" w:eastAsia="Sylfaen" w:hAnsi="Calibri"/>
          <w:sz w:val="20"/>
          <w:szCs w:val="20"/>
        </w:rPr>
        <w:t>)</w:t>
      </w:r>
    </w:p>
  </w:footnote>
  <w:footnote w:id="375">
    <w:p w:rsidR="00971E82" w:rsidRPr="0881089B" w:rsidRDefault="00971E82" w:rsidP="0881089B">
      <w:pPr>
        <w:pStyle w:val="Textpoznpodarou"/>
      </w:pPr>
      <w:r w:rsidRPr="0881089B">
        <w:rPr>
          <w:rStyle w:val="Znakapoznpodarou"/>
        </w:rPr>
        <w:footnoteRef/>
      </w:r>
      <w:r w:rsidRPr="0881089B">
        <w:t xml:space="preserve"> </w:t>
      </w:r>
      <w:r w:rsidRPr="0881089B">
        <w:rPr>
          <w:rStyle w:val="FontStyle116"/>
          <w:rFonts w:ascii="Calibri" w:hAnsi="Calibri"/>
          <w:sz w:val="20"/>
          <w:szCs w:val="20"/>
        </w:rPr>
        <w:t xml:space="preserve">„Licet enim secundum se et secundum suam virtutem effectivam non se habeat aliter ad ipsa, tamen secundum facere et non facere multo aliter se habet ad ea.“ </w:t>
      </w:r>
      <w:r w:rsidRPr="0881089B">
        <w:rPr>
          <w:rStyle w:val="FontStyle116"/>
          <w:rFonts w:ascii="Calibri" w:eastAsia="Sylfaen" w:hAnsi="Calibri"/>
          <w:sz w:val="20"/>
          <w:szCs w:val="20"/>
        </w:rPr>
        <w:t>(</w:t>
      </w:r>
      <w:r w:rsidRPr="0881089B">
        <w:rPr>
          <w:i/>
        </w:rPr>
        <w:t>Quaestiones in secundum librum Sententiarum</w:t>
      </w:r>
      <w:r w:rsidRPr="0881089B">
        <w:t>, q. 57, resp., ad 7; ed. Jansen, t. II, 345</w:t>
      </w:r>
      <w:r w:rsidRPr="0881089B">
        <w:fldChar w:fldCharType="begin"/>
      </w:r>
      <w:r w:rsidRPr="0881089B">
        <w:instrText xml:space="preserve"> XE "Olivi:</w:instrText>
      </w:r>
      <w:r w:rsidRPr="0881089B">
        <w:rPr>
          <w:i/>
        </w:rPr>
        <w:instrText>Quaestiones in secundum librum Sententiarum</w:instrText>
      </w:r>
      <w:r w:rsidRPr="0881089B">
        <w:instrText xml:space="preserve"> 345" </w:instrText>
      </w:r>
      <w:r w:rsidRPr="0881089B">
        <w:fldChar w:fldCharType="end"/>
      </w:r>
      <w:r w:rsidRPr="0881089B">
        <w:rPr>
          <w:rStyle w:val="FontStyle116"/>
          <w:rFonts w:ascii="Calibri" w:eastAsia="Sylfaen" w:hAnsi="Calibri"/>
          <w:sz w:val="20"/>
          <w:szCs w:val="20"/>
        </w:rPr>
        <w:t>)</w:t>
      </w:r>
    </w:p>
  </w:footnote>
  <w:footnote w:id="376">
    <w:p w:rsidR="00971E82" w:rsidRPr="00EE78B8" w:rsidRDefault="00971E82" w:rsidP="08163013">
      <w:pPr>
        <w:pStyle w:val="Textpoznpodarou"/>
        <w:rPr>
          <w:lang w:val="cs-CZ"/>
        </w:rPr>
      </w:pPr>
      <w:r>
        <w:rPr>
          <w:rStyle w:val="Znakapoznpodarou"/>
        </w:rPr>
        <w:footnoteRef/>
      </w:r>
      <w:r>
        <w:t xml:space="preserve"> </w:t>
      </w:r>
      <w:r w:rsidRPr="00120AFC">
        <w:t xml:space="preserve">„Ratio enim essendi a causa vel non essendi potest significare virtutem effectivam et sufficientem ipsius causae. Et hoc modo verum est consequens primae conditionalis. Vel potest significare ordinem ipsius effectus et factionis eius seu exitus secundum quem se habet ad suam causam seu potius secundum quem est a sua causa, quia ille ordo potius dicit esse ab quam esse ad. Et hoc modo falsura est consequens praedictae conditionalis, et quantum ad hoc non est verum quod causa eodem modo se haberet ad esse sui effectus et ad eius non esse.“ </w:t>
      </w:r>
      <w:r w:rsidRPr="00273106">
        <w:rPr>
          <w:noProof/>
        </w:rPr>
        <w:t>(</w:t>
      </w:r>
      <w:r>
        <w:rPr>
          <w:i/>
          <w:noProof/>
        </w:rPr>
        <w:t>Quaestiones in secundum librum Sententiarum</w:t>
      </w:r>
      <w:r w:rsidRPr="00273106">
        <w:rPr>
          <w:noProof/>
        </w:rPr>
        <w:t xml:space="preserve">, q. 58, solutio; ed. Jansen, t. II, </w:t>
      </w:r>
      <w:r>
        <w:rPr>
          <w:noProof/>
          <w:lang w:val="cs-CZ"/>
        </w:rPr>
        <w:t xml:space="preserve">p. </w:t>
      </w:r>
      <w:r w:rsidRPr="00273106">
        <w:rPr>
          <w:noProof/>
        </w:rPr>
        <w:t>345</w:t>
      </w:r>
      <w:r>
        <w:rPr>
          <w:noProof/>
        </w:rPr>
        <w:fldChar w:fldCharType="begin"/>
      </w:r>
      <w:r>
        <w:instrText xml:space="preserve"> XE "</w:instrText>
      </w:r>
      <w:r>
        <w:rPr>
          <w:lang w:val="cs-CZ"/>
        </w:rPr>
        <w:instrText>Olivi:</w:instrText>
      </w:r>
      <w:r>
        <w:rPr>
          <w:i/>
          <w:noProof/>
        </w:rPr>
        <w:instrText>Quaestiones in secundum librum Sententiarum</w:instrText>
      </w:r>
      <w:r w:rsidRPr="00227A8A">
        <w:rPr>
          <w:noProof/>
          <w:lang w:val="cs-CZ"/>
        </w:rPr>
        <w:instrText xml:space="preserve"> </w:instrText>
      </w:r>
      <w:r w:rsidRPr="00227A8A">
        <w:rPr>
          <w:noProof/>
        </w:rPr>
        <w:instrText>345</w:instrText>
      </w:r>
      <w:r>
        <w:instrText xml:space="preserve">" </w:instrText>
      </w:r>
      <w:r>
        <w:rPr>
          <w:noProof/>
        </w:rPr>
        <w:fldChar w:fldCharType="end"/>
      </w:r>
      <w:r w:rsidRPr="00273106">
        <w:rPr>
          <w:noProof/>
        </w:rPr>
        <w:t>)</w:t>
      </w:r>
    </w:p>
  </w:footnote>
  <w:footnote w:id="377">
    <w:p w:rsidR="00971E82" w:rsidRPr="003962DF" w:rsidRDefault="00971E82" w:rsidP="08163013">
      <w:pPr>
        <w:pStyle w:val="Textpoznpodarou"/>
      </w:pPr>
      <w:r>
        <w:rPr>
          <w:rStyle w:val="Znakapoznpodarou"/>
        </w:rPr>
        <w:footnoteRef/>
      </w:r>
      <w:r>
        <w:t xml:space="preserve"> „Sed illud quod est prius simpliciter et secundum naturae ordinem, est perfectius, sic enim actus est prior potentia. Et hoc modo intellectus est prior voluntate, sicut motivum mobili, et activum passivo, bonum enim intellectum movet voluntatem.“ (</w:t>
      </w:r>
      <w:bookmarkStart w:id="74" w:name="31893"/>
      <w:r>
        <w:t xml:space="preserve">ST I, </w:t>
      </w:r>
      <w:r>
        <w:rPr>
          <w:rStyle w:val="ref"/>
          <w:rFonts w:eastAsia="Times"/>
        </w:rPr>
        <w:t>q. 82, a. 3, ad 2</w:t>
      </w:r>
      <w:bookmarkEnd w:id="74"/>
      <w:r>
        <w:rPr>
          <w:rStyle w:val="ref"/>
          <w:rFonts w:eastAsia="Times"/>
          <w:lang w:val="cs-CZ"/>
        </w:rPr>
        <w:t>; ed. Leonina 5, 299</w:t>
      </w:r>
      <w:r>
        <w:fldChar w:fldCharType="begin"/>
      </w:r>
      <w:r>
        <w:instrText xml:space="preserve"> XE "</w:instrText>
      </w:r>
      <w:r>
        <w:rPr>
          <w:lang w:val="cs-CZ"/>
        </w:rPr>
        <w:instrText>Akvinský:</w:instrText>
      </w:r>
      <w:r w:rsidRPr="001959E4">
        <w:instrText>ST I</w:instrText>
      </w:r>
      <w:r>
        <w:rPr>
          <w:lang w:val="cs-CZ"/>
        </w:rPr>
        <w:instrText>.82.3</w:instrText>
      </w:r>
      <w:r>
        <w:instrText xml:space="preserve">" </w:instrText>
      </w:r>
      <w:r>
        <w:fldChar w:fldCharType="end"/>
      </w:r>
      <w:r>
        <w:t>)</w:t>
      </w:r>
    </w:p>
  </w:footnote>
  <w:footnote w:id="378">
    <w:p w:rsidR="00971E82" w:rsidRPr="08505FC5" w:rsidRDefault="00971E82" w:rsidP="08505FC5">
      <w:pPr>
        <w:pStyle w:val="Textpoznpodarou"/>
      </w:pPr>
      <w:r w:rsidRPr="08505FC5">
        <w:rPr>
          <w:rStyle w:val="Znakapoznpodarou"/>
        </w:rPr>
        <w:footnoteRef/>
      </w:r>
      <w:r w:rsidRPr="08505FC5">
        <w:t xml:space="preserve"> </w:t>
      </w:r>
      <w:r w:rsidRPr="08505FC5">
        <w:rPr>
          <w:rStyle w:val="FontStyle116"/>
          <w:rFonts w:ascii="Calibri" w:hAnsi="Calibri"/>
          <w:sz w:val="20"/>
          <w:szCs w:val="20"/>
        </w:rPr>
        <w:t>„Illi enim actus quos intime sentimus esse a nobis et quos summe sentimus esse in potestate nostra dicere quod non sunt a nobis est negare omnem sensum intimum et certissimum nobis. Si autem non sunt a nostra forma substantiali per se et immediate sive immediantibus aliquibus potentiis a se originatis, tunc quasi omnino per accidens dicentur esse a nobis, quia tunc aut erunt solum ab obiectis aut ab aliquibus accidentibus non plus radicatis in nobis quam lumen infusum aeri radicetur in aere.“ (</w:t>
      </w:r>
      <w:r w:rsidRPr="08505FC5">
        <w:rPr>
          <w:i/>
        </w:rPr>
        <w:t>Quaestiones in secundum librum Sententiarum</w:t>
      </w:r>
      <w:r w:rsidRPr="08505FC5">
        <w:t>, q. 58, item 4; ed. Jansen, t. II, 413</w:t>
      </w:r>
      <w:r w:rsidRPr="08505FC5">
        <w:fldChar w:fldCharType="begin"/>
      </w:r>
      <w:r w:rsidRPr="08505FC5">
        <w:instrText xml:space="preserve"> XE "Olivi:</w:instrText>
      </w:r>
      <w:r w:rsidRPr="08390D2A">
        <w:rPr>
          <w:i/>
        </w:rPr>
        <w:instrText>Quaestiones in secundum librum Sententiarum</w:instrText>
      </w:r>
      <w:r w:rsidRPr="08505FC5">
        <w:instrText xml:space="preserve"> 413" </w:instrText>
      </w:r>
      <w:r w:rsidRPr="08505FC5">
        <w:fldChar w:fldCharType="end"/>
      </w:r>
      <w:r w:rsidRPr="08505FC5">
        <w:rPr>
          <w:rStyle w:val="FontStyle116"/>
          <w:rFonts w:ascii="Calibri" w:hAnsi="Calibri"/>
          <w:sz w:val="20"/>
          <w:szCs w:val="20"/>
        </w:rPr>
        <w:t>)</w:t>
      </w:r>
    </w:p>
  </w:footnote>
  <w:footnote w:id="379">
    <w:p w:rsidR="00971E82" w:rsidRPr="008172AA" w:rsidRDefault="00971E82" w:rsidP="08163013">
      <w:pPr>
        <w:pStyle w:val="Textpoznpodarou"/>
      </w:pPr>
      <w:r>
        <w:rPr>
          <w:rStyle w:val="Znakapoznpodarou"/>
        </w:rPr>
        <w:footnoteRef/>
      </w:r>
      <w:r>
        <w:t xml:space="preserve"> „</w:t>
      </w:r>
      <w:r w:rsidRPr="008172AA">
        <w:t>Nos enim manifestissime experimur in nobis quod mens nostra tam per cogitationem quam per amorem reflectitur seu convertitur ad se directe et immediate tanquam ad obiectum sui ipsius directum et immediatum. Sed nulla virtus potest se reflectere immediate super se, nisi habeat libertatem.</w:t>
      </w:r>
      <w:r>
        <w:t>“ (</w:t>
      </w:r>
      <w:r>
        <w:rPr>
          <w:i/>
        </w:rPr>
        <w:t>Quaestiones in secundum librum Sententiarum</w:t>
      </w:r>
      <w:r>
        <w:t>, q. 57;</w:t>
      </w:r>
      <w:r w:rsidRPr="00756846">
        <w:t xml:space="preserve"> ed. Jansen, t. II, p. </w:t>
      </w:r>
      <w:r>
        <w:t>324</w:t>
      </w:r>
      <w:r>
        <w:fldChar w:fldCharType="begin"/>
      </w:r>
      <w:r>
        <w:instrText xml:space="preserve"> XE "</w:instrText>
      </w:r>
      <w:r>
        <w:rPr>
          <w:lang w:val="cs-CZ"/>
        </w:rPr>
        <w:instrText>Olivi:</w:instrText>
      </w:r>
      <w:r>
        <w:rPr>
          <w:i/>
        </w:rPr>
        <w:instrText>Quaestiones in secundum librum Sententiarum</w:instrText>
      </w:r>
      <w:r w:rsidRPr="00C36B43">
        <w:instrText xml:space="preserve"> </w:instrText>
      </w:r>
      <w:r>
        <w:rPr>
          <w:lang w:val="cs-CZ"/>
        </w:rPr>
        <w:instrText>324</w:instrText>
      </w:r>
      <w:r>
        <w:instrText xml:space="preserve">" </w:instrText>
      </w:r>
      <w:r>
        <w:fldChar w:fldCharType="end"/>
      </w:r>
      <w:r>
        <w:t>)</w:t>
      </w:r>
    </w:p>
  </w:footnote>
  <w:footnote w:id="380">
    <w:p w:rsidR="00971E82" w:rsidRPr="0815690F" w:rsidRDefault="00971E82" w:rsidP="0815690F">
      <w:pPr>
        <w:pStyle w:val="Textpoznpodarou"/>
      </w:pPr>
      <w:r w:rsidRPr="0815690F">
        <w:rPr>
          <w:rStyle w:val="Znakapoznpodarou"/>
        </w:rPr>
        <w:footnoteRef/>
      </w:r>
      <w:r w:rsidRPr="0815690F">
        <w:t xml:space="preserve"> </w:t>
      </w:r>
      <w:r w:rsidRPr="0815690F">
        <w:rPr>
          <w:rStyle w:val="FontStyle116"/>
          <w:rFonts w:ascii="Calibri" w:hAnsi="Calibri"/>
          <w:sz w:val="20"/>
          <w:szCs w:val="20"/>
        </w:rPr>
        <w:t>„Voluntas dicitur habere libertatem primo et per se, quia id quod operatur tanquam a se et non quasi ab alio applicata et mota, sed potius ipsa se ipsam applicat ad opus. Secundario vero dicitur libera, quia potest in utramque partem oppositorum; hoc autem idcirco dixi secundario, quia in hoc non habet libertatem nisi ex eo quod hoc sibi convenit per hoc quod operatur quasi a se et non ut ab alio applicata.“ (</w:t>
      </w:r>
      <w:r w:rsidRPr="0815690F">
        <w:rPr>
          <w:i/>
        </w:rPr>
        <w:t>Quaestiones in secundum librum Sententiarum</w:t>
      </w:r>
      <w:r w:rsidRPr="0815690F">
        <w:t>, q. 57, resp., ad 27; ed. Jansen, t. II,</w:t>
      </w:r>
      <w:r w:rsidRPr="0815690F">
        <w:rPr>
          <w:rFonts w:eastAsia="Sylfaen"/>
        </w:rPr>
        <w:t xml:space="preserve"> p. 358</w:t>
      </w:r>
      <w:r w:rsidRPr="0815690F">
        <w:rPr>
          <w:rFonts w:eastAsia="Sylfaen"/>
        </w:rPr>
        <w:fldChar w:fldCharType="begin"/>
      </w:r>
      <w:r w:rsidRPr="0815690F">
        <w:instrText xml:space="preserve"> XE "Olivi:</w:instrText>
      </w:r>
      <w:r w:rsidRPr="0815690F">
        <w:rPr>
          <w:i/>
        </w:rPr>
        <w:instrText>Quaestiones in secundum librum Sententiarum</w:instrText>
      </w:r>
      <w:r w:rsidRPr="0815690F">
        <w:rPr>
          <w:rFonts w:eastAsia="Sylfaen"/>
        </w:rPr>
        <w:instrText xml:space="preserve"> 358</w:instrText>
      </w:r>
      <w:r w:rsidRPr="0815690F">
        <w:instrText xml:space="preserve">" </w:instrText>
      </w:r>
      <w:r w:rsidRPr="0815690F">
        <w:rPr>
          <w:rFonts w:eastAsia="Sylfaen"/>
        </w:rPr>
        <w:fldChar w:fldCharType="end"/>
      </w:r>
      <w:r w:rsidRPr="0815690F">
        <w:rPr>
          <w:rStyle w:val="FontStyle116"/>
          <w:rFonts w:ascii="Calibri" w:hAnsi="Calibri"/>
          <w:sz w:val="20"/>
          <w:szCs w:val="20"/>
        </w:rPr>
        <w:t>)</w:t>
      </w:r>
    </w:p>
  </w:footnote>
  <w:footnote w:id="381">
    <w:p w:rsidR="00971E82" w:rsidRPr="089E5B39" w:rsidRDefault="00971E82" w:rsidP="089E5B39">
      <w:pPr>
        <w:pStyle w:val="Textpoznpodarou"/>
      </w:pPr>
      <w:r w:rsidRPr="089E5B39">
        <w:rPr>
          <w:rStyle w:val="Znakapoznpodarou"/>
        </w:rPr>
        <w:footnoteRef/>
      </w:r>
      <w:r w:rsidRPr="089E5B39">
        <w:rPr>
          <w:rStyle w:val="FontStyle116"/>
          <w:rFonts w:ascii="Calibri" w:eastAsia="Sylfaen" w:hAnsi="Calibri"/>
          <w:sz w:val="20"/>
          <w:szCs w:val="20"/>
        </w:rPr>
        <w:t xml:space="preserve"> „Sicut etiam in sequenti quaestione ostendetur, voluntas, saltem prout est libera, nihil penitus recipit ab intellectu et eius actu nec exigitur ad eius actum nisi pro sola repraesentatione obiecti. Praeterea, cum Aristoteles dictum suum non probet, sed solum supponat: credere dictum hominis infidelis abs</w:t>
      </w:r>
      <w:r w:rsidRPr="089E5B39">
        <w:rPr>
          <w:rStyle w:val="FontStyle116"/>
          <w:rFonts w:ascii="Calibri" w:eastAsia="Sylfaen" w:hAnsi="Calibri"/>
          <w:sz w:val="20"/>
          <w:szCs w:val="20"/>
        </w:rPr>
        <w:softHyphen/>
        <w:t>que omni probatione in periculum fidei christianae et contra rationem expresse videtur esse actus magnae infidelitatis et magnae dementiae.“ (</w:t>
      </w:r>
      <w:r w:rsidRPr="089E5B39">
        <w:rPr>
          <w:i/>
        </w:rPr>
        <w:t>Quaestiones in secundum librum Sententiarum</w:t>
      </w:r>
      <w:r w:rsidRPr="089E5B39">
        <w:t>, q. 57, resp., ad 12; ed. Jansen, t. II, p. 354</w:t>
      </w:r>
      <w:r w:rsidRPr="089E5B39">
        <w:fldChar w:fldCharType="begin"/>
      </w:r>
      <w:r w:rsidRPr="089E5B39">
        <w:instrText xml:space="preserve"> XE "Olivi:</w:instrText>
      </w:r>
      <w:r w:rsidRPr="089E5B39">
        <w:rPr>
          <w:i/>
        </w:rPr>
        <w:instrText>Quaestiones in secundum librum Sententiarum</w:instrText>
      </w:r>
      <w:r w:rsidRPr="089E5B39">
        <w:instrText xml:space="preserve"> 354" </w:instrText>
      </w:r>
      <w:r w:rsidRPr="089E5B39">
        <w:fldChar w:fldCharType="end"/>
      </w:r>
      <w:r w:rsidRPr="089E5B39">
        <w:rPr>
          <w:rStyle w:val="FontStyle116"/>
          <w:rFonts w:ascii="Calibri" w:eastAsia="Sylfaen" w:hAnsi="Calibri"/>
          <w:sz w:val="20"/>
          <w:szCs w:val="20"/>
        </w:rPr>
        <w:t>)</w:t>
      </w:r>
    </w:p>
  </w:footnote>
  <w:footnote w:id="382">
    <w:p w:rsidR="00971E82" w:rsidRPr="088C3124" w:rsidRDefault="00971E82" w:rsidP="088C3124">
      <w:pPr>
        <w:pStyle w:val="Textpoznpodarou"/>
      </w:pPr>
      <w:r w:rsidRPr="088C3124">
        <w:rPr>
          <w:rStyle w:val="Znakapoznpodarou"/>
        </w:rPr>
        <w:footnoteRef/>
      </w:r>
      <w:r w:rsidRPr="088C3124">
        <w:t xml:space="preserve"> </w:t>
      </w:r>
      <w:r w:rsidRPr="088C3124">
        <w:rPr>
          <w:rStyle w:val="FontStyle116"/>
          <w:rFonts w:ascii="Calibri" w:hAnsi="Calibri"/>
          <w:sz w:val="20"/>
          <w:szCs w:val="20"/>
        </w:rPr>
        <w:t>„Non habeo autem in proposito pro inconvenienti, immo pro magna veritate quod praesente causa sufficiente et in quantum tali effectus possit non esse; sed bene haberem pro inconvenienti, si causa sufficiente et dante esse suo effectui simul, dum dat, posset effectus non esse.“ (</w:t>
      </w:r>
      <w:r w:rsidRPr="088C3124">
        <w:rPr>
          <w:i/>
        </w:rPr>
        <w:t>Quaestiones in secundum librum Sententiarum</w:t>
      </w:r>
      <w:r w:rsidRPr="088C3124">
        <w:t>, q. 57, resp. ad 7; ed. Jansen, t. II, 344</w:t>
      </w:r>
      <w:r w:rsidRPr="088C3124">
        <w:fldChar w:fldCharType="begin"/>
      </w:r>
      <w:r w:rsidRPr="088C3124">
        <w:instrText xml:space="preserve"> XE "Olivi:</w:instrText>
      </w:r>
      <w:r w:rsidRPr="088C3124">
        <w:rPr>
          <w:i/>
        </w:rPr>
        <w:instrText>Quaestiones in secundum librum Sententiarum</w:instrText>
      </w:r>
      <w:r w:rsidRPr="088C3124">
        <w:instrText xml:space="preserve"> 344" </w:instrText>
      </w:r>
      <w:r w:rsidRPr="088C3124">
        <w:fldChar w:fldCharType="end"/>
      </w:r>
      <w:r w:rsidRPr="088C3124">
        <w:rPr>
          <w:rStyle w:val="FontStyle116"/>
          <w:rFonts w:ascii="Calibri" w:hAnsi="Calibri"/>
          <w:sz w:val="20"/>
          <w:szCs w:val="20"/>
        </w:rPr>
        <w:t>)</w:t>
      </w:r>
    </w:p>
  </w:footnote>
  <w:footnote w:id="383">
    <w:p w:rsidR="00971E82" w:rsidRPr="08EC7554" w:rsidRDefault="00971E82" w:rsidP="08EC7554">
      <w:pPr>
        <w:pStyle w:val="Textpoznpodarou"/>
      </w:pPr>
      <w:r w:rsidRPr="08EC7554">
        <w:rPr>
          <w:rStyle w:val="Znakapoznpodarou"/>
        </w:rPr>
        <w:footnoteRef/>
      </w:r>
      <w:r w:rsidRPr="08EC7554">
        <w:rPr>
          <w:rStyle w:val="FontStyle116"/>
          <w:rFonts w:ascii="Calibri" w:eastAsia="Sylfaen" w:hAnsi="Calibri"/>
          <w:sz w:val="20"/>
          <w:szCs w:val="20"/>
        </w:rPr>
        <w:t xml:space="preserve"> „Totus enim vigor formalis ipsius voluntatis dilatatur ad obiectum quadam dilatatione spirituali et unitur et quasi imbibitur ipsi obiecto, et sic de aliis modis se habendi spiritualibus quos sensibiliter in actibus et habitibus nostrae mentis experimur.“ (</w:t>
      </w:r>
      <w:r w:rsidRPr="08EC7554">
        <w:rPr>
          <w:i/>
        </w:rPr>
        <w:t>Quaestiones in secundum librum Sententiarum</w:t>
      </w:r>
      <w:r w:rsidRPr="08EC7554">
        <w:t>, q. 58; solutio, ad 10; ed. Jansen, t. II, p. 432</w:t>
      </w:r>
      <w:r w:rsidRPr="08EC7554">
        <w:fldChar w:fldCharType="begin"/>
      </w:r>
      <w:r w:rsidRPr="08EC7554">
        <w:instrText xml:space="preserve"> XE "Olivi:</w:instrText>
      </w:r>
      <w:r w:rsidRPr="08EC7554">
        <w:rPr>
          <w:i/>
        </w:rPr>
        <w:instrText>Quaestiones in secundum librum Sententiarum</w:instrText>
      </w:r>
      <w:r w:rsidRPr="08EC7554">
        <w:instrText xml:space="preserve"> 432" </w:instrText>
      </w:r>
      <w:r w:rsidRPr="08EC7554">
        <w:fldChar w:fldCharType="end"/>
      </w:r>
      <w:r w:rsidRPr="08EC7554">
        <w:rPr>
          <w:rStyle w:val="FontStyle116"/>
          <w:rFonts w:ascii="Calibri" w:eastAsia="Sylfaen" w:hAnsi="Calibri"/>
          <w:sz w:val="20"/>
          <w:szCs w:val="20"/>
        </w:rPr>
        <w:t xml:space="preserve">) </w:t>
      </w:r>
    </w:p>
  </w:footnote>
  <w:footnote w:id="384">
    <w:p w:rsidR="00971E82" w:rsidRPr="088B5734" w:rsidRDefault="00971E82" w:rsidP="088B5734">
      <w:pPr>
        <w:pStyle w:val="Textpoznpodarou"/>
      </w:pPr>
      <w:r w:rsidRPr="088B5734">
        <w:rPr>
          <w:rStyle w:val="Znakapoznpodarou"/>
        </w:rPr>
        <w:footnoteRef/>
      </w:r>
      <w:r w:rsidRPr="088B5734">
        <w:t xml:space="preserve"> </w:t>
      </w:r>
      <w:r w:rsidRPr="088B5734">
        <w:rPr>
          <w:rStyle w:val="FontStyle116"/>
          <w:rFonts w:ascii="Calibri" w:hAnsi="Calibri"/>
          <w:sz w:val="20"/>
          <w:szCs w:val="20"/>
        </w:rPr>
        <w:t>„Et etiam si in ipso actu posset poni realis distinctio inter suam essentiam et inter huiusmodi ordinem seu similitudinem quam habet cum obiecto, sicut est realis distinctio inter essentiam voluntatis et suos aspectus: tunc esset quasi totum simile hinc et inde, quia essentia ipsorum actuum absque tali ordine et similitudine cogitata omnino est unius rationis et naturae in omnibus actibus voluntatis; quoniam, in quantum talis, non est nisi quaedam similitudo analoga ipsius voluntatis participans formam seu naturam ipsius voluntatis per quandam analogiam...“ (</w:t>
      </w:r>
      <w:r w:rsidRPr="088B5734">
        <w:rPr>
          <w:i/>
        </w:rPr>
        <w:t>Quaestiones in secundum librum Sententiarum</w:t>
      </w:r>
      <w:r w:rsidRPr="088B5734">
        <w:t>, q. 58, s</w:t>
      </w:r>
      <w:r w:rsidRPr="088B5734">
        <w:rPr>
          <w:rStyle w:val="FontStyle116"/>
          <w:rFonts w:ascii="Calibri" w:hAnsi="Calibri"/>
          <w:sz w:val="20"/>
          <w:szCs w:val="20"/>
        </w:rPr>
        <w:t xml:space="preserve">olutio, ad 2; </w:t>
      </w:r>
      <w:r w:rsidRPr="088B5734">
        <w:t>ed. Jansen, t. II,</w:t>
      </w:r>
      <w:r w:rsidRPr="088B5734">
        <w:rPr>
          <w:rStyle w:val="FontStyle116"/>
          <w:rFonts w:ascii="Calibri" w:hAnsi="Calibri"/>
          <w:sz w:val="20"/>
          <w:szCs w:val="20"/>
        </w:rPr>
        <w:t xml:space="preserve"> p. 417</w:t>
      </w:r>
      <w:r w:rsidRPr="088B5734">
        <w:rPr>
          <w:rStyle w:val="FontStyle116"/>
          <w:rFonts w:ascii="Calibri" w:hAnsi="Calibri"/>
          <w:sz w:val="20"/>
          <w:szCs w:val="20"/>
        </w:rPr>
        <w:fldChar w:fldCharType="begin"/>
      </w:r>
      <w:r w:rsidRPr="088B5734">
        <w:instrText xml:space="preserve"> XE "Olivi:</w:instrText>
      </w:r>
      <w:r w:rsidRPr="088B5734">
        <w:rPr>
          <w:i/>
        </w:rPr>
        <w:instrText>Quaestiones in secundum librum Sententiarum</w:instrText>
      </w:r>
      <w:r w:rsidRPr="088B5734">
        <w:rPr>
          <w:rStyle w:val="FontStyle116"/>
          <w:rFonts w:ascii="Calibri" w:hAnsi="Calibri"/>
          <w:sz w:val="20"/>
          <w:szCs w:val="20"/>
        </w:rPr>
        <w:instrText xml:space="preserve"> 417</w:instrText>
      </w:r>
      <w:r w:rsidRPr="088B5734">
        <w:instrText xml:space="preserve">" </w:instrText>
      </w:r>
      <w:r w:rsidRPr="088B5734">
        <w:rPr>
          <w:rStyle w:val="FontStyle116"/>
          <w:rFonts w:ascii="Calibri" w:hAnsi="Calibri"/>
          <w:sz w:val="20"/>
          <w:szCs w:val="20"/>
        </w:rPr>
        <w:fldChar w:fldCharType="end"/>
      </w:r>
      <w:r w:rsidRPr="088B5734">
        <w:rPr>
          <w:rStyle w:val="FontStyle116"/>
          <w:rFonts w:ascii="Calibri" w:hAnsi="Calibri"/>
          <w:sz w:val="20"/>
          <w:szCs w:val="20"/>
        </w:rPr>
        <w:t>)</w:t>
      </w:r>
    </w:p>
  </w:footnote>
  <w:footnote w:id="385">
    <w:p w:rsidR="00971E82" w:rsidRPr="006015F5" w:rsidRDefault="00971E82" w:rsidP="08163013">
      <w:pPr>
        <w:pStyle w:val="Textpoznpodarou"/>
        <w:rPr>
          <w:lang w:val="cs-CZ"/>
        </w:rPr>
      </w:pPr>
      <w:r>
        <w:rPr>
          <w:rStyle w:val="Znakapoznpodarou"/>
        </w:rPr>
        <w:footnoteRef/>
      </w:r>
      <w:r>
        <w:t xml:space="preserve"> </w:t>
      </w:r>
      <w:r w:rsidRPr="006015F5">
        <w:t>„Alio vero modo, quia si rationi divinae voluntatis convenit libertas proprie et per se, si voluntas intellectualis super omnia imitatur eam tanquam quaedam emanatio eius sibi simillima: ergo imitatur et participat libertatem ipsius super omne aliud genus entis quod sit vel esse possit.“ (</w:t>
      </w:r>
      <w:r>
        <w:rPr>
          <w:i/>
        </w:rPr>
        <w:t>Quaestiones in secundum librum Sententiarum</w:t>
      </w:r>
      <w:r w:rsidRPr="006015F5">
        <w:t>, q. 57; ed. Jansen, t. II,</w:t>
      </w:r>
      <w:r w:rsidRPr="006015F5">
        <w:rPr>
          <w:rStyle w:val="FontStyle116"/>
        </w:rPr>
        <w:t xml:space="preserve"> </w:t>
      </w:r>
      <w:r>
        <w:rPr>
          <w:rStyle w:val="FontStyle116"/>
          <w:lang w:val="cs-CZ"/>
        </w:rPr>
        <w:t xml:space="preserve">p. </w:t>
      </w:r>
      <w:r w:rsidRPr="006015F5">
        <w:rPr>
          <w:rStyle w:val="FontStyle116"/>
        </w:rPr>
        <w:t>333</w:t>
      </w:r>
      <w:r>
        <w:rPr>
          <w:rStyle w:val="FontStyle116"/>
        </w:rPr>
        <w:fldChar w:fldCharType="begin"/>
      </w:r>
      <w:r>
        <w:instrText xml:space="preserve"> XE "</w:instrText>
      </w:r>
      <w:r>
        <w:rPr>
          <w:lang w:val="cs-CZ"/>
        </w:rPr>
        <w:instrText>Olivi:</w:instrText>
      </w:r>
      <w:r>
        <w:rPr>
          <w:i/>
        </w:rPr>
        <w:instrText>Quaestiones in secundum librum Sententiarum</w:instrText>
      </w:r>
      <w:r w:rsidRPr="00970E09">
        <w:rPr>
          <w:rStyle w:val="FontStyle116"/>
          <w:lang w:val="cs-CZ"/>
        </w:rPr>
        <w:instrText xml:space="preserve"> </w:instrText>
      </w:r>
      <w:r w:rsidRPr="00970E09">
        <w:rPr>
          <w:rStyle w:val="FontStyle116"/>
        </w:rPr>
        <w:instrText>333</w:instrText>
      </w:r>
      <w:r>
        <w:instrText xml:space="preserve">" </w:instrText>
      </w:r>
      <w:r>
        <w:rPr>
          <w:rStyle w:val="FontStyle116"/>
        </w:rPr>
        <w:fldChar w:fldCharType="end"/>
      </w:r>
      <w:r>
        <w:rPr>
          <w:lang w:val="cs-CZ"/>
        </w:rPr>
        <w:t>)</w:t>
      </w:r>
    </w:p>
  </w:footnote>
  <w:footnote w:id="386">
    <w:p w:rsidR="00971E82" w:rsidRPr="005371BE" w:rsidRDefault="00971E82" w:rsidP="08163013">
      <w:pPr>
        <w:pStyle w:val="Textpoznpodarou"/>
      </w:pPr>
      <w:r>
        <w:rPr>
          <w:rStyle w:val="Znakapoznpodarou"/>
        </w:rPr>
        <w:footnoteRef/>
      </w:r>
      <w:r>
        <w:t xml:space="preserve"> „</w:t>
      </w:r>
      <w:r w:rsidRPr="005371BE">
        <w:t>Quod ideo dico quia iustum pretium rerum quandoque non est punctaliter determinatum, sed magis in quadam aestimatione consistit, ita quod modica additio vel minutio non videtur tollere aequalitatem iustitiae.</w:t>
      </w:r>
      <w:r>
        <w:t xml:space="preserve">“ (ST II-II, </w:t>
      </w:r>
      <w:r>
        <w:rPr>
          <w:rStyle w:val="ref"/>
          <w:rFonts w:eastAsia="Times"/>
        </w:rPr>
        <w:t>q. 77, a. 1, ad 1</w:t>
      </w:r>
      <w:r>
        <w:rPr>
          <w:rStyle w:val="ref"/>
          <w:rFonts w:eastAsia="Times"/>
          <w:lang w:val="cs-CZ"/>
        </w:rPr>
        <w:t>; ed. Leonina 9, 148</w:t>
      </w:r>
      <w:r>
        <w:fldChar w:fldCharType="begin"/>
      </w:r>
      <w:r>
        <w:instrText xml:space="preserve"> XE "</w:instrText>
      </w:r>
      <w:r>
        <w:rPr>
          <w:lang w:val="cs-CZ"/>
        </w:rPr>
        <w:instrText>Akvinský:</w:instrText>
      </w:r>
      <w:r w:rsidRPr="0037522A">
        <w:instrText>ST II-II.77</w:instrText>
      </w:r>
      <w:r>
        <w:rPr>
          <w:lang w:val="cs-CZ"/>
        </w:rPr>
        <w:instrText>.1</w:instrText>
      </w:r>
      <w:r>
        <w:instrText xml:space="preserve">" </w:instrText>
      </w:r>
      <w:r>
        <w:fldChar w:fldCharType="end"/>
      </w:r>
      <w:r>
        <w:rPr>
          <w:rStyle w:val="ref"/>
          <w:rFonts w:eastAsia="Times"/>
        </w:rPr>
        <w:t>)</w:t>
      </w:r>
    </w:p>
  </w:footnote>
  <w:footnote w:id="387">
    <w:p w:rsidR="00971E82" w:rsidRPr="004D48DB" w:rsidRDefault="00971E82" w:rsidP="08163013">
      <w:pPr>
        <w:pStyle w:val="Textpoznpodarou"/>
        <w:rPr>
          <w:lang w:val="cs-CZ"/>
        </w:rPr>
      </w:pPr>
      <w:r>
        <w:rPr>
          <w:rStyle w:val="Znakapoznpodarou"/>
        </w:rPr>
        <w:footnoteRef/>
      </w:r>
      <w:r>
        <w:t xml:space="preserve"> </w:t>
      </w:r>
      <w:r>
        <w:rPr>
          <w:lang w:val="cs-CZ"/>
        </w:rPr>
        <w:t>„</w:t>
      </w:r>
      <w:r w:rsidRPr="00BE495C">
        <w:rPr>
          <w:lang w:val="cs-CZ"/>
        </w:rPr>
        <w:t>Predictorum autem radicalis ratio est quia periculum tollens usuram, debet apud lucrantem ex eo includere dominium et usum rei</w:t>
      </w:r>
      <w:r>
        <w:rPr>
          <w:lang w:val="cs-CZ"/>
        </w:rPr>
        <w:t xml:space="preserve"> </w:t>
      </w:r>
      <w:r w:rsidRPr="00BE495C">
        <w:rPr>
          <w:lang w:val="cs-CZ"/>
        </w:rPr>
        <w:t>periclitans.</w:t>
      </w:r>
      <w:r>
        <w:rPr>
          <w:lang w:val="cs-CZ"/>
        </w:rPr>
        <w:t>“ (</w:t>
      </w:r>
      <w:r w:rsidRPr="00B5184A">
        <w:rPr>
          <w:rStyle w:val="fn"/>
          <w:rFonts w:eastAsia="SimHei"/>
          <w:i/>
        </w:rPr>
        <w:t>De emptionibus et venditionibus, de usuris, de restitionibus</w:t>
      </w:r>
      <w:r>
        <w:rPr>
          <w:lang w:val="cs-CZ"/>
        </w:rPr>
        <w:t xml:space="preserve">, ed. </w:t>
      </w:r>
      <w:r>
        <w:rPr>
          <w:rStyle w:val="Siln"/>
          <w:b w:val="0"/>
          <w:bCs/>
        </w:rPr>
        <w:t>Todeschini</w:t>
      </w:r>
      <w:r>
        <w:rPr>
          <w:lang w:val="cs-CZ"/>
        </w:rPr>
        <w:t>, p. 81</w:t>
      </w:r>
      <w:r>
        <w:rPr>
          <w:lang w:val="cs-CZ"/>
        </w:rPr>
        <w:fldChar w:fldCharType="begin"/>
      </w:r>
      <w:r>
        <w:instrText xml:space="preserve"> XE "</w:instrText>
      </w:r>
      <w:r>
        <w:rPr>
          <w:lang w:val="cs-CZ"/>
        </w:rPr>
        <w:instrText>Olivi:</w:instrText>
      </w:r>
      <w:r w:rsidRPr="00276F2B">
        <w:rPr>
          <w:rStyle w:val="fn"/>
          <w:rFonts w:eastAsia="SimHei"/>
          <w:i/>
        </w:rPr>
        <w:instrText>De emptionibus et venditionibus, de usuris, de restitionibus</w:instrText>
      </w:r>
      <w:r w:rsidRPr="00276F2B">
        <w:rPr>
          <w:lang w:val="cs-CZ"/>
        </w:rPr>
        <w:instrText xml:space="preserve"> 81</w:instrText>
      </w:r>
      <w:r>
        <w:instrText xml:space="preserve">" </w:instrText>
      </w:r>
      <w:r>
        <w:rPr>
          <w:lang w:val="cs-CZ"/>
        </w:rPr>
        <w:fldChar w:fldCharType="end"/>
      </w:r>
      <w:r>
        <w:rPr>
          <w:lang w:val="cs-CZ"/>
        </w:rPr>
        <w:t>)</w:t>
      </w:r>
    </w:p>
  </w:footnote>
  <w:footnote w:id="388">
    <w:p w:rsidR="00971E82" w:rsidRPr="00545DA2" w:rsidRDefault="00971E82" w:rsidP="08163013">
      <w:pPr>
        <w:pStyle w:val="Textpoznpodarou"/>
        <w:rPr>
          <w:lang w:val="cs-CZ"/>
        </w:rPr>
      </w:pPr>
      <w:r>
        <w:rPr>
          <w:rStyle w:val="Znakapoznpodarou"/>
        </w:rPr>
        <w:footnoteRef/>
      </w:r>
      <w:r>
        <w:t xml:space="preserve"> „Ulterius sciendum, quod licet contractus meretricius sit respectu suae materiae vitiosus, nihilominus ipsa fidelitas, quae includitur in observantia pacti, non est vitiosa, sed bona. Licet etiam mulier corpus vendat sive locet ad usum nefarium, locat tamen rem suam; et ideo vere facit pretium locationis corporis sui: atque ita absque ejus consensu non licet illud alteri dare, im</w:t>
      </w:r>
      <w:r>
        <w:rPr>
          <w:lang w:val="cs-CZ"/>
        </w:rPr>
        <w:t>m</w:t>
      </w:r>
      <w:r>
        <w:t>o est sibi solvendum.“ (</w:t>
      </w:r>
      <w:bookmarkStart w:id="77" w:name="90311"/>
      <w:r w:rsidRPr="00D301FB">
        <w:rPr>
          <w:rStyle w:val="ref"/>
          <w:rFonts w:eastAsia="Times"/>
          <w:i/>
        </w:rPr>
        <w:t>Postilla in libros Geneseos</w:t>
      </w:r>
      <w:bookmarkEnd w:id="77"/>
      <w:r>
        <w:t>, cap. 38</w:t>
      </w:r>
      <w:r>
        <w:rPr>
          <w:lang w:val="cs-CZ"/>
        </w:rPr>
        <w:t>; ed. Antverpiae 1573, p. 146a</w:t>
      </w:r>
      <w:r>
        <w:rPr>
          <w:lang w:val="cs-CZ"/>
        </w:rPr>
        <w:fldChar w:fldCharType="begin"/>
      </w:r>
      <w:r>
        <w:instrText xml:space="preserve"> XE "</w:instrText>
      </w:r>
      <w:r>
        <w:rPr>
          <w:lang w:val="cs-CZ"/>
        </w:rPr>
        <w:instrText>Olivi:</w:instrText>
      </w:r>
      <w:r w:rsidRPr="003A1B46">
        <w:rPr>
          <w:rStyle w:val="ref"/>
          <w:rFonts w:eastAsia="Times"/>
          <w:i/>
        </w:rPr>
        <w:instrText>Postilla in libros Geneseos</w:instrText>
      </w:r>
      <w:r>
        <w:rPr>
          <w:rStyle w:val="ref"/>
          <w:rFonts w:eastAsia="Times"/>
          <w:i/>
          <w:lang w:val="cs-CZ"/>
        </w:rPr>
        <w:instrText xml:space="preserve"> </w:instrText>
      </w:r>
      <w:r w:rsidRPr="003A1B46">
        <w:rPr>
          <w:lang w:val="cs-CZ"/>
        </w:rPr>
        <w:instrText>146a</w:instrText>
      </w:r>
      <w:r>
        <w:instrText xml:space="preserve">" </w:instrText>
      </w:r>
      <w:r>
        <w:rPr>
          <w:lang w:val="cs-CZ"/>
        </w:rPr>
        <w:fldChar w:fldCharType="end"/>
      </w:r>
      <w:r>
        <w:t>)</w:t>
      </w:r>
    </w:p>
  </w:footnote>
  <w:footnote w:id="389">
    <w:p w:rsidR="00971E82" w:rsidRPr="08C21F07" w:rsidRDefault="00971E82" w:rsidP="08163013">
      <w:pPr>
        <w:pStyle w:val="Textpoznpodarou"/>
        <w:rPr>
          <w:lang w:val="cs-CZ"/>
        </w:rPr>
      </w:pPr>
      <w:r>
        <w:rPr>
          <w:rStyle w:val="Znakapoznpodarou"/>
        </w:rPr>
        <w:footnoteRef/>
      </w:r>
      <w:r>
        <w:t xml:space="preserve"> </w:t>
      </w:r>
      <w:r>
        <w:rPr>
          <w:lang w:val="cs-CZ"/>
        </w:rPr>
        <w:t>„</w:t>
      </w:r>
      <w:r>
        <w:t xml:space="preserve">Though the Earth, and all inferior Creatures be common to all Men, yet every Man has a </w:t>
      </w:r>
      <w:r>
        <w:rPr>
          <w:i/>
          <w:iCs/>
        </w:rPr>
        <w:t>Property</w:t>
      </w:r>
      <w:r>
        <w:t xml:space="preserve"> in his own </w:t>
      </w:r>
      <w:r>
        <w:rPr>
          <w:i/>
          <w:iCs/>
        </w:rPr>
        <w:t>Person</w:t>
      </w:r>
      <w:r>
        <w:t xml:space="preserve">. This no Body has any Right to but himself. The </w:t>
      </w:r>
      <w:r>
        <w:rPr>
          <w:i/>
          <w:iCs/>
        </w:rPr>
        <w:t>Labour</w:t>
      </w:r>
      <w:r>
        <w:t xml:space="preserve"> of his Body, and the </w:t>
      </w:r>
      <w:r>
        <w:rPr>
          <w:i/>
          <w:iCs/>
        </w:rPr>
        <w:t>Work</w:t>
      </w:r>
      <w:r>
        <w:t xml:space="preserve"> of his Hands, we may say, are properly his. </w:t>
      </w:r>
      <w:r>
        <w:t xml:space="preserve">Whatsoever then he removes out of the State that Nature hath provided, and left it in, he hath mixed his </w:t>
      </w:r>
      <w:r>
        <w:rPr>
          <w:i/>
          <w:iCs/>
        </w:rPr>
        <w:t>Labour</w:t>
      </w:r>
      <w:r>
        <w:t xml:space="preserve"> with, and joyned to it something that is his own, and thereby makes it his </w:t>
      </w:r>
      <w:r>
        <w:rPr>
          <w:i/>
          <w:iCs/>
        </w:rPr>
        <w:t>Property</w:t>
      </w:r>
      <w:r>
        <w:t>.</w:t>
      </w:r>
      <w:r>
        <w:rPr>
          <w:lang w:val="cs-CZ"/>
        </w:rPr>
        <w:t>“ (</w:t>
      </w:r>
      <w:r w:rsidRPr="08C21F07">
        <w:rPr>
          <w:rStyle w:val="Nzev1"/>
          <w:i/>
        </w:rPr>
        <w:t>Second Treatise</w:t>
      </w:r>
      <w:r w:rsidRPr="08C21F07">
        <w:rPr>
          <w:rStyle w:val="Nzev1"/>
          <w:i/>
          <w:lang w:val="cs-CZ"/>
        </w:rPr>
        <w:t xml:space="preserve"> </w:t>
      </w:r>
      <w:r w:rsidRPr="08C21F07">
        <w:rPr>
          <w:rStyle w:val="Nzev1"/>
          <w:i/>
        </w:rPr>
        <w:t>of</w:t>
      </w:r>
      <w:r w:rsidRPr="08C21F07">
        <w:rPr>
          <w:rStyle w:val="Nzev1"/>
          <w:i/>
          <w:lang w:val="cs-CZ"/>
        </w:rPr>
        <w:t xml:space="preserve"> </w:t>
      </w:r>
      <w:r w:rsidRPr="08C21F07">
        <w:rPr>
          <w:rStyle w:val="fs150"/>
          <w:i/>
        </w:rPr>
        <w:t xml:space="preserve">Civil </w:t>
      </w:r>
      <w:proofErr w:type="gramStart"/>
      <w:r w:rsidRPr="08C21F07">
        <w:rPr>
          <w:rStyle w:val="fs150"/>
          <w:i/>
        </w:rPr>
        <w:t>Government</w:t>
      </w:r>
      <w:r>
        <w:rPr>
          <w:rStyle w:val="fs150"/>
          <w:lang w:val="cs-CZ"/>
        </w:rPr>
        <w:t xml:space="preserve"> </w:t>
      </w:r>
      <w:r>
        <w:rPr>
          <w:lang w:val="cs-CZ"/>
        </w:rPr>
        <w:t>V.27</w:t>
      </w:r>
      <w:proofErr w:type="gramEnd"/>
      <w:r>
        <w:rPr>
          <w:lang w:val="cs-CZ"/>
        </w:rPr>
        <w:t xml:space="preserve">, ed. </w:t>
      </w:r>
      <w:r>
        <w:rPr>
          <w:rStyle w:val="addmd"/>
        </w:rPr>
        <w:t>Macpherson</w:t>
      </w:r>
      <w:r>
        <w:rPr>
          <w:rStyle w:val="addmd"/>
          <w:lang w:val="cs-CZ"/>
        </w:rPr>
        <w:t>,</w:t>
      </w:r>
      <w:r>
        <w:rPr>
          <w:lang w:val="cs-CZ"/>
        </w:rPr>
        <w:t xml:space="preserve"> p. 19</w:t>
      </w:r>
      <w:r>
        <w:rPr>
          <w:lang w:val="cs-CZ"/>
        </w:rPr>
        <w:fldChar w:fldCharType="begin"/>
      </w:r>
      <w:r>
        <w:instrText xml:space="preserve"> XE "</w:instrText>
      </w:r>
      <w:r>
        <w:rPr>
          <w:lang w:val="cs-CZ"/>
        </w:rPr>
        <w:instrText>Locke:</w:instrText>
      </w:r>
      <w:r w:rsidRPr="08484C68">
        <w:rPr>
          <w:rStyle w:val="Nzev1"/>
          <w:i/>
        </w:rPr>
        <w:instrText>Second Treatise</w:instrText>
      </w:r>
      <w:r w:rsidRPr="08484C68">
        <w:rPr>
          <w:rStyle w:val="Nzev1"/>
          <w:i/>
          <w:lang w:val="cs-CZ"/>
        </w:rPr>
        <w:instrText xml:space="preserve"> </w:instrText>
      </w:r>
      <w:r w:rsidRPr="08484C68">
        <w:rPr>
          <w:rStyle w:val="Nzev1"/>
          <w:i/>
        </w:rPr>
        <w:instrText>of</w:instrText>
      </w:r>
      <w:r w:rsidRPr="08484C68">
        <w:rPr>
          <w:rStyle w:val="Nzev1"/>
          <w:i/>
          <w:lang w:val="cs-CZ"/>
        </w:rPr>
        <w:instrText xml:space="preserve"> </w:instrText>
      </w:r>
      <w:r w:rsidRPr="08484C68">
        <w:rPr>
          <w:rStyle w:val="fs150"/>
          <w:i/>
        </w:rPr>
        <w:instrText>Civil Government</w:instrText>
      </w:r>
      <w:r w:rsidRPr="08484C68">
        <w:rPr>
          <w:rStyle w:val="fs150"/>
          <w:lang w:val="cs-CZ"/>
        </w:rPr>
        <w:instrText xml:space="preserve"> </w:instrText>
      </w:r>
      <w:r>
        <w:rPr>
          <w:lang w:val="cs-CZ"/>
        </w:rPr>
        <w:instrText>5</w:instrText>
      </w:r>
      <w:r w:rsidRPr="08484C68">
        <w:rPr>
          <w:lang w:val="cs-CZ"/>
        </w:rPr>
        <w:instrText>.27</w:instrText>
      </w:r>
      <w:r>
        <w:instrText xml:space="preserve">" </w:instrText>
      </w:r>
      <w:r>
        <w:rPr>
          <w:lang w:val="cs-CZ"/>
        </w:rPr>
        <w:fldChar w:fldCharType="end"/>
      </w:r>
      <w:r>
        <w:rPr>
          <w:lang w:val="cs-CZ"/>
        </w:rPr>
        <w:t>)</w:t>
      </w:r>
    </w:p>
  </w:footnote>
  <w:footnote w:id="390">
    <w:p w:rsidR="00971E82" w:rsidRPr="00C652C3" w:rsidRDefault="00971E82" w:rsidP="08163013">
      <w:pPr>
        <w:pStyle w:val="Textpoznpodarou"/>
      </w:pPr>
      <w:r>
        <w:rPr>
          <w:rStyle w:val="Znakapoznpodarou"/>
        </w:rPr>
        <w:footnoteRef/>
      </w:r>
      <w:r>
        <w:rPr>
          <w:lang w:val="cs-CZ"/>
        </w:rPr>
        <w:t xml:space="preserve"> „</w:t>
      </w:r>
      <w:r w:rsidRPr="00C652C3">
        <w:rPr>
          <w:szCs w:val="28"/>
        </w:rPr>
        <w:t>Thus modern property lost its worldly character and was located in the person himself, that is, in what an individual could lose only along with his life.</w:t>
      </w:r>
      <w:r>
        <w:rPr>
          <w:szCs w:val="28"/>
          <w:lang w:val="cs-CZ"/>
        </w:rPr>
        <w:t>“ (Arendt 1958, 70)</w:t>
      </w:r>
    </w:p>
  </w:footnote>
  <w:footnote w:id="391">
    <w:p w:rsidR="00971E82" w:rsidRPr="085B0B53" w:rsidRDefault="00971E82" w:rsidP="085B0B53">
      <w:pPr>
        <w:pStyle w:val="Textpoznpodarou"/>
      </w:pPr>
      <w:r w:rsidRPr="085B0B53">
        <w:rPr>
          <w:rStyle w:val="Znakapoznpodarou"/>
        </w:rPr>
        <w:footnoteRef/>
      </w:r>
      <w:r w:rsidRPr="085B0B53">
        <w:t xml:space="preserve"> </w:t>
      </w:r>
      <w:r w:rsidRPr="085B0B53">
        <w:rPr>
          <w:rStyle w:val="FontStyle116"/>
          <w:rFonts w:ascii="Calibri" w:hAnsi="Calibri"/>
          <w:sz w:val="20"/>
          <w:szCs w:val="20"/>
        </w:rPr>
        <w:t xml:space="preserve">„Ipsa igitur, in quantum est potens libere agere et in quantum non est ad hoc potens, non est alia et alia secundum substantiam et speciem, sed solum alio et alio modo se habens.“ </w:t>
      </w:r>
      <w:r w:rsidRPr="085B0B53">
        <w:t>(</w:t>
      </w:r>
      <w:r w:rsidRPr="085B0B53">
        <w:rPr>
          <w:i/>
        </w:rPr>
        <w:t>Quaestiones in secundum librum Sententiarum</w:t>
      </w:r>
      <w:r w:rsidRPr="085B0B53">
        <w:t>, q. 58; solutio, ad 9; ed. Jansen, t. II, p. 429</w:t>
      </w:r>
      <w:r w:rsidRPr="085B0B53">
        <w:fldChar w:fldCharType="begin"/>
      </w:r>
      <w:r w:rsidRPr="085B0B53">
        <w:instrText xml:space="preserve"> XE "Olivi:</w:instrText>
      </w:r>
      <w:r w:rsidRPr="085B0B53">
        <w:rPr>
          <w:i/>
        </w:rPr>
        <w:instrText>Quaestiones in secundum librum Sententiarum</w:instrText>
      </w:r>
      <w:r w:rsidRPr="085B0B53">
        <w:instrText xml:space="preserve"> p. 429" </w:instrText>
      </w:r>
      <w:r w:rsidRPr="085B0B53">
        <w:fldChar w:fldCharType="end"/>
      </w:r>
      <w:r w:rsidRPr="085B0B53">
        <w:t xml:space="preserve">) </w:t>
      </w:r>
    </w:p>
  </w:footnote>
  <w:footnote w:id="392">
    <w:p w:rsidR="00971E82" w:rsidRPr="00B356B7" w:rsidRDefault="00971E82" w:rsidP="08163013">
      <w:pPr>
        <w:pStyle w:val="Textpoznpodarou"/>
      </w:pPr>
      <w:r>
        <w:rPr>
          <w:rStyle w:val="Znakapoznpodarou"/>
        </w:rPr>
        <w:footnoteRef/>
      </w:r>
      <w:r>
        <w:t xml:space="preserve"> „</w:t>
      </w:r>
      <w:r w:rsidRPr="006078A7">
        <w:t>Quod enim intellectus agens primo et immediate agat aliquid sive aliquam dispositionem vel virtutem circa phantasmata ipsa, qua phantasmata quae prius erant potentia intelligibilia fiant actu intelligibilia sive in actu moventia intellectum possibilem, non videtur.</w:t>
      </w:r>
      <w:r>
        <w:t>“ (</w:t>
      </w:r>
      <w:r w:rsidRPr="00E628FF">
        <w:rPr>
          <w:i/>
        </w:rPr>
        <w:t>Quodlibet</w:t>
      </w:r>
      <w:r>
        <w:t xml:space="preserve"> V, q.  10; ed. Wulf, p. 36</w:t>
      </w:r>
      <w:r>
        <w:fldChar w:fldCharType="begin"/>
      </w:r>
      <w:r>
        <w:instrText xml:space="preserve"> XE "</w:instrText>
      </w:r>
      <w:r w:rsidRPr="00273106">
        <w:rPr>
          <w:rStyle w:val="st"/>
        </w:rPr>
        <w:instrText>Godefroid de Fontaines</w:instrText>
      </w:r>
      <w:r>
        <w:rPr>
          <w:i/>
          <w:lang w:val="cs-CZ"/>
        </w:rPr>
        <w:instrText>:</w:instrText>
      </w:r>
      <w:r w:rsidRPr="00F66F83">
        <w:rPr>
          <w:i/>
        </w:rPr>
        <w:instrText>Quodlibet</w:instrText>
      </w:r>
      <w:r>
        <w:instrText xml:space="preserve"> </w:instrText>
      </w:r>
      <w:r>
        <w:rPr>
          <w:lang w:val="cs-CZ"/>
        </w:rPr>
        <w:instrText>5.</w:instrText>
      </w:r>
      <w:r w:rsidRPr="00F66F83">
        <w:instrText>36</w:instrText>
      </w:r>
      <w:r>
        <w:instrText xml:space="preserve">" </w:instrText>
      </w:r>
      <w:r>
        <w:fldChar w:fldCharType="end"/>
      </w:r>
      <w:r>
        <w:t>)</w:t>
      </w:r>
    </w:p>
  </w:footnote>
  <w:footnote w:id="393">
    <w:p w:rsidR="00971E82" w:rsidRPr="00EC44BA" w:rsidRDefault="00971E82" w:rsidP="08163013">
      <w:pPr>
        <w:pStyle w:val="Textpoznpodarou"/>
      </w:pPr>
      <w:r>
        <w:rPr>
          <w:rStyle w:val="Znakapoznpodarou"/>
        </w:rPr>
        <w:footnoteRef/>
      </w:r>
      <w:r>
        <w:t xml:space="preserve"> </w:t>
      </w:r>
      <w:r>
        <w:rPr>
          <w:color w:val="000000"/>
        </w:rPr>
        <w:t>„</w:t>
      </w:r>
      <w:r>
        <w:rPr>
          <w:color w:val="000000"/>
          <w:lang w:val="cs-CZ"/>
        </w:rPr>
        <w:t>O</w:t>
      </w:r>
      <w:r w:rsidRPr="00E628FF">
        <w:rPr>
          <w:color w:val="000000"/>
        </w:rPr>
        <w:t>mnis dispositio possibilis esse in phantasmate vel in phantastico est singulare et modum singularis habens, cum tali autem dispositione non potest phantasma movere intellectum, ideo videtur dice</w:t>
      </w:r>
      <w:r>
        <w:rPr>
          <w:color w:val="000000"/>
        </w:rPr>
        <w:t>ndum quod huiusmodi actio vel op</w:t>
      </w:r>
      <w:r w:rsidRPr="00E628FF">
        <w:rPr>
          <w:color w:val="000000"/>
        </w:rPr>
        <w:t>eratio intellectus agentis non est positiva sic quod faciat aliquam dispositionem positivam et formalem subjective in phantasmate.</w:t>
      </w:r>
      <w:r>
        <w:rPr>
          <w:color w:val="000000"/>
        </w:rPr>
        <w:t xml:space="preserve">“ </w:t>
      </w:r>
      <w:r>
        <w:t>(</w:t>
      </w:r>
      <w:r w:rsidRPr="00E628FF">
        <w:rPr>
          <w:i/>
        </w:rPr>
        <w:t>Quodlibet</w:t>
      </w:r>
      <w:r>
        <w:t xml:space="preserve"> V, q.  10; ed. Wulf, p. 37</w:t>
      </w:r>
      <w:r>
        <w:fldChar w:fldCharType="begin"/>
      </w:r>
      <w:r>
        <w:instrText xml:space="preserve"> XE "</w:instrText>
      </w:r>
      <w:r w:rsidRPr="00273106">
        <w:rPr>
          <w:rStyle w:val="st"/>
        </w:rPr>
        <w:instrText>Godefroid de Fontaines</w:instrText>
      </w:r>
      <w:r>
        <w:rPr>
          <w:i/>
          <w:lang w:val="cs-CZ"/>
        </w:rPr>
        <w:instrText>:</w:instrText>
      </w:r>
      <w:r w:rsidRPr="00F66F83">
        <w:rPr>
          <w:i/>
        </w:rPr>
        <w:instrText>Quodlibet</w:instrText>
      </w:r>
      <w:r>
        <w:instrText xml:space="preserve"> </w:instrText>
      </w:r>
      <w:r>
        <w:rPr>
          <w:lang w:val="cs-CZ"/>
        </w:rPr>
        <w:instrText>5.</w:instrText>
      </w:r>
      <w:r>
        <w:instrText>3</w:instrText>
      </w:r>
      <w:r>
        <w:rPr>
          <w:lang w:val="cs-CZ"/>
        </w:rPr>
        <w:instrText>7</w:instrText>
      </w:r>
      <w:r>
        <w:instrText xml:space="preserve">" </w:instrText>
      </w:r>
      <w:r>
        <w:fldChar w:fldCharType="end"/>
      </w:r>
      <w:r>
        <w:t>)</w:t>
      </w:r>
    </w:p>
  </w:footnote>
  <w:footnote w:id="394">
    <w:p w:rsidR="00971E82" w:rsidRPr="000B2E55" w:rsidRDefault="00971E82" w:rsidP="08163013">
      <w:pPr>
        <w:pStyle w:val="Textpoznpodarou"/>
        <w:rPr>
          <w:lang w:val="cs-CZ"/>
        </w:rPr>
      </w:pPr>
      <w:r>
        <w:rPr>
          <w:rStyle w:val="Znakapoznpodarou"/>
        </w:rPr>
        <w:footnoteRef/>
      </w:r>
      <w:r>
        <w:t xml:space="preserve"> </w:t>
      </w:r>
      <w:r>
        <w:rPr>
          <w:noProof/>
        </w:rPr>
        <w:t>„</w:t>
      </w:r>
      <w:r>
        <w:rPr>
          <w:noProof/>
          <w:lang w:val="cs-CZ"/>
        </w:rPr>
        <w:t>P</w:t>
      </w:r>
      <w:r w:rsidRPr="00273106">
        <w:rPr>
          <w:noProof/>
        </w:rPr>
        <w:t>rimus conceptus communissimus, et communis ad conceptum vanum, quo concipitur saltem modo privatorio id, cui nihil natum est respondere in re, ut est conceptus fictitius chimaerae vel hircocervi, et ad conceptum verum, quo concipitur modo positivo...“ (</w:t>
      </w:r>
      <w:r w:rsidRPr="00273106">
        <w:rPr>
          <w:i/>
          <w:noProof/>
        </w:rPr>
        <w:t>Quodlibet</w:t>
      </w:r>
      <w:r w:rsidRPr="00273106">
        <w:rPr>
          <w:noProof/>
        </w:rPr>
        <w:t xml:space="preserve"> V, q.</w:t>
      </w:r>
      <w:r>
        <w:rPr>
          <w:noProof/>
        </w:rPr>
        <w:t xml:space="preserve"> 2; ed. Venetiis 1613, p. 228</w:t>
      </w:r>
      <w:r>
        <w:rPr>
          <w:noProof/>
        </w:rPr>
        <w:fldChar w:fldCharType="begin"/>
      </w:r>
      <w:r>
        <w:instrText xml:space="preserve"> XE "</w:instrText>
      </w:r>
      <w:r>
        <w:rPr>
          <w:lang w:val="cs-CZ"/>
        </w:rPr>
        <w:instrText>Gandavus:</w:instrText>
      </w:r>
      <w:r w:rsidRPr="0066314D">
        <w:rPr>
          <w:i/>
          <w:noProof/>
        </w:rPr>
        <w:instrText>Quodlibet</w:instrText>
      </w:r>
      <w:r>
        <w:rPr>
          <w:noProof/>
        </w:rPr>
        <w:instrText xml:space="preserve"> </w:instrText>
      </w:r>
      <w:r>
        <w:rPr>
          <w:noProof/>
          <w:lang w:val="cs-CZ"/>
        </w:rPr>
        <w:instrText>5.</w:instrText>
      </w:r>
      <w:r>
        <w:rPr>
          <w:noProof/>
        </w:rPr>
        <w:instrText>228</w:instrText>
      </w:r>
      <w:r>
        <w:instrText xml:space="preserve">" </w:instrText>
      </w:r>
      <w:r>
        <w:rPr>
          <w:noProof/>
        </w:rPr>
        <w:fldChar w:fldCharType="end"/>
      </w:r>
      <w:r w:rsidRPr="00273106">
        <w:rPr>
          <w:noProof/>
        </w:rPr>
        <w:t>)</w:t>
      </w:r>
    </w:p>
  </w:footnote>
  <w:footnote w:id="395">
    <w:p w:rsidR="00971E82" w:rsidRPr="004C6497" w:rsidRDefault="00971E82" w:rsidP="08163013">
      <w:pPr>
        <w:pStyle w:val="Textpoznpodarou"/>
        <w:rPr>
          <w:lang w:val="cs-CZ"/>
        </w:rPr>
      </w:pPr>
      <w:r>
        <w:rPr>
          <w:rStyle w:val="Znakapoznpodarou"/>
        </w:rPr>
        <w:footnoteRef/>
      </w:r>
      <w:r>
        <w:rPr>
          <w:lang w:val="cs-CZ"/>
        </w:rPr>
        <w:t xml:space="preserve"> </w:t>
      </w:r>
      <w:r w:rsidRPr="00273106">
        <w:rPr>
          <w:noProof/>
        </w:rPr>
        <w:t>„</w:t>
      </w:r>
      <w:r>
        <w:rPr>
          <w:noProof/>
          <w:lang w:val="cs-CZ"/>
        </w:rPr>
        <w:t>(...) quod p</w:t>
      </w:r>
      <w:r w:rsidRPr="00273106">
        <w:rPr>
          <w:noProof/>
        </w:rPr>
        <w:t xml:space="preserve">rimus inquam conceptus communissimus et communis ad illum conceptum et ad istum, est conceptus quo concipitur res a reor reris dicta, quae continet sub se rem imaginariam, quae est purum non ens, quia neque ens per essentiam, neque natum esse per existentiam.“ </w:t>
      </w:r>
      <w:r w:rsidRPr="00D56FF3">
        <w:rPr>
          <w:rFonts w:eastAsia="Times"/>
        </w:rPr>
        <w:t>(</w:t>
      </w:r>
      <w:r w:rsidRPr="00D56FF3">
        <w:rPr>
          <w:rFonts w:eastAsia="Times"/>
          <w:i/>
        </w:rPr>
        <w:t>Quodlibet</w:t>
      </w:r>
      <w:r w:rsidRPr="00D56FF3">
        <w:t xml:space="preserve"> V, q. 2; ed.</w:t>
      </w:r>
      <w:r>
        <w:rPr>
          <w:noProof/>
        </w:rPr>
        <w:t xml:space="preserve"> Venetiis 1613, p. 22</w:t>
      </w:r>
      <w:r>
        <w:rPr>
          <w:noProof/>
          <w:lang w:val="cs-CZ"/>
        </w:rPr>
        <w:t>8</w:t>
      </w:r>
      <w:r>
        <w:rPr>
          <w:noProof/>
        </w:rPr>
        <w:fldChar w:fldCharType="begin"/>
      </w:r>
      <w:r>
        <w:instrText xml:space="preserve"> XE "</w:instrText>
      </w:r>
      <w:r>
        <w:rPr>
          <w:lang w:val="cs-CZ"/>
        </w:rPr>
        <w:instrText>Gandavus:</w:instrText>
      </w:r>
      <w:r w:rsidRPr="0066314D">
        <w:rPr>
          <w:i/>
          <w:noProof/>
        </w:rPr>
        <w:instrText>Quodlibet</w:instrText>
      </w:r>
      <w:r>
        <w:rPr>
          <w:noProof/>
        </w:rPr>
        <w:instrText xml:space="preserve"> </w:instrText>
      </w:r>
      <w:r>
        <w:rPr>
          <w:noProof/>
          <w:lang w:val="cs-CZ"/>
        </w:rPr>
        <w:instrText>5.</w:instrText>
      </w:r>
      <w:r w:rsidRPr="0066314D">
        <w:rPr>
          <w:noProof/>
        </w:rPr>
        <w:instrText>22</w:instrText>
      </w:r>
      <w:r>
        <w:rPr>
          <w:noProof/>
          <w:lang w:val="cs-CZ"/>
        </w:rPr>
        <w:instrText>8</w:instrText>
      </w:r>
      <w:r>
        <w:instrText xml:space="preserve">" </w:instrText>
      </w:r>
      <w:r>
        <w:rPr>
          <w:noProof/>
        </w:rPr>
        <w:fldChar w:fldCharType="end"/>
      </w:r>
      <w:r w:rsidRPr="00273106">
        <w:rPr>
          <w:noProof/>
        </w:rPr>
        <w:t>)</w:t>
      </w:r>
    </w:p>
  </w:footnote>
  <w:footnote w:id="396">
    <w:p w:rsidR="00971E82" w:rsidRPr="00D478EE" w:rsidRDefault="00971E82" w:rsidP="08163013">
      <w:pPr>
        <w:pStyle w:val="Textpoznpodarou"/>
      </w:pPr>
      <w:r>
        <w:rPr>
          <w:rStyle w:val="Znakapoznpodarou"/>
        </w:rPr>
        <w:footnoteRef/>
      </w:r>
      <w:r>
        <w:t xml:space="preserve"> </w:t>
      </w:r>
      <w:r w:rsidRPr="00D478EE">
        <w:t xml:space="preserve">„Res enim quaecumque sive existens sive non existens, si habet </w:t>
      </w:r>
      <w:r w:rsidRPr="00D478EE">
        <w:rPr>
          <w:rFonts w:eastAsia="Times"/>
        </w:rPr>
        <w:t>esse</w:t>
      </w:r>
      <w:r w:rsidRPr="00D478EE">
        <w:t xml:space="preserve"> in deo secundum exemplarem rationem, non solum dicitur quod est res dicta a reor reris, sed etiam </w:t>
      </w:r>
      <w:r w:rsidRPr="00D478EE">
        <w:rPr>
          <w:rFonts w:eastAsia="Times"/>
        </w:rPr>
        <w:t xml:space="preserve">quod sit natura et </w:t>
      </w:r>
      <w:r w:rsidRPr="00D478EE">
        <w:t>essentia aliqua, et ideo dicitur res a ratitudine.“</w:t>
      </w:r>
      <w:r w:rsidRPr="00D478EE">
        <w:rPr>
          <w:rFonts w:eastAsia="Times"/>
        </w:rPr>
        <w:t xml:space="preserve"> (</w:t>
      </w:r>
      <w:r w:rsidRPr="00D478EE">
        <w:rPr>
          <w:rFonts w:eastAsia="Times"/>
          <w:i/>
        </w:rPr>
        <w:t>Quodlibet</w:t>
      </w:r>
      <w:r w:rsidRPr="00D478EE">
        <w:t xml:space="preserve"> V, </w:t>
      </w:r>
      <w:r>
        <w:t>q. 2; ed. Venetiis 1613, p. 229</w:t>
      </w:r>
      <w:r>
        <w:rPr>
          <w:noProof/>
        </w:rPr>
        <w:fldChar w:fldCharType="begin"/>
      </w:r>
      <w:r>
        <w:instrText xml:space="preserve"> XE "</w:instrText>
      </w:r>
      <w:r>
        <w:rPr>
          <w:lang w:val="cs-CZ"/>
        </w:rPr>
        <w:instrText>Gandavus:</w:instrText>
      </w:r>
      <w:r w:rsidRPr="0066314D">
        <w:rPr>
          <w:i/>
          <w:noProof/>
        </w:rPr>
        <w:instrText>Quodlibet</w:instrText>
      </w:r>
      <w:r>
        <w:rPr>
          <w:noProof/>
        </w:rPr>
        <w:instrText xml:space="preserve"> </w:instrText>
      </w:r>
      <w:r>
        <w:rPr>
          <w:noProof/>
          <w:lang w:val="cs-CZ"/>
        </w:rPr>
        <w:instrText>5.</w:instrText>
      </w:r>
      <w:r w:rsidRPr="0066314D">
        <w:rPr>
          <w:noProof/>
        </w:rPr>
        <w:instrText>22</w:instrText>
      </w:r>
      <w:r>
        <w:rPr>
          <w:noProof/>
          <w:lang w:val="cs-CZ"/>
        </w:rPr>
        <w:instrText>9</w:instrText>
      </w:r>
      <w:r>
        <w:instrText xml:space="preserve">" </w:instrText>
      </w:r>
      <w:r>
        <w:rPr>
          <w:noProof/>
        </w:rPr>
        <w:fldChar w:fldCharType="end"/>
      </w:r>
      <w:r w:rsidRPr="00D478EE">
        <w:t>)</w:t>
      </w:r>
    </w:p>
  </w:footnote>
  <w:footnote w:id="397">
    <w:p w:rsidR="00971E82" w:rsidRPr="00F73486" w:rsidRDefault="00971E82" w:rsidP="08163013">
      <w:pPr>
        <w:pStyle w:val="Textpoznpodarou"/>
      </w:pPr>
      <w:r>
        <w:rPr>
          <w:rStyle w:val="Znakapoznpodarou"/>
        </w:rPr>
        <w:footnoteRef/>
      </w:r>
      <w:r>
        <w:t xml:space="preserve"> </w:t>
      </w:r>
      <w:r w:rsidRPr="004F6F5C">
        <w:rPr>
          <w:rStyle w:val="TextpoznpodarouChar"/>
          <w:rFonts w:eastAsia="Times"/>
        </w:rPr>
        <w:t>„Quod est quia oportet ut sit res esse in primis, deinde vivum, postea homo.“ (</w:t>
      </w:r>
      <w:r w:rsidRPr="004F6F5C">
        <w:rPr>
          <w:rStyle w:val="TextpoznpodarouChar"/>
          <w:rFonts w:eastAsia="Times"/>
          <w:i/>
        </w:rPr>
        <w:t>Liber de causis</w:t>
      </w:r>
      <w:r>
        <w:rPr>
          <w:rStyle w:val="TextpoznpodarouChar"/>
          <w:rFonts w:eastAsia="Times"/>
        </w:rPr>
        <w:t xml:space="preserve"> I, ed. </w:t>
      </w:r>
      <w:r>
        <w:rPr>
          <w:rStyle w:val="TextpoznpodarouChar"/>
          <w:rFonts w:eastAsia="Times"/>
          <w:lang w:val="cs-CZ"/>
        </w:rPr>
        <w:t xml:space="preserve">digitalis </w:t>
      </w:r>
      <w:r>
        <w:rPr>
          <w:rStyle w:val="TextpoznpodarouChar"/>
          <w:rFonts w:eastAsia="Times"/>
        </w:rPr>
        <w:t>Pattin‒Zimmermann</w:t>
      </w:r>
      <w:r w:rsidRPr="004F6F5C">
        <w:rPr>
          <w:rStyle w:val="TextpoznpodarouChar"/>
          <w:rFonts w:eastAsia="Times"/>
        </w:rPr>
        <w:t xml:space="preserve">, § </w:t>
      </w:r>
      <w:r w:rsidRPr="00F73486">
        <w:t>7</w:t>
      </w:r>
      <w:r>
        <w:rPr>
          <w:rStyle w:val="TextpoznpodarouChar"/>
          <w:rFonts w:eastAsia="Times"/>
          <w:i/>
        </w:rPr>
        <w:fldChar w:fldCharType="begin"/>
      </w:r>
      <w:r>
        <w:instrText xml:space="preserve"> XE "</w:instrText>
      </w:r>
      <w:r w:rsidRPr="00C46BD8">
        <w:rPr>
          <w:i/>
        </w:rPr>
        <w:instrText>Liber de causis</w:instrText>
      </w:r>
      <w:r>
        <w:rPr>
          <w:i/>
          <w:lang w:val="cs-CZ"/>
        </w:rPr>
        <w:instrText xml:space="preserve"> </w:instrText>
      </w:r>
      <w:r w:rsidRPr="00677510">
        <w:rPr>
          <w:lang w:val="cs-CZ"/>
        </w:rPr>
        <w:instrText>1.7</w:instrText>
      </w:r>
      <w:r>
        <w:instrText xml:space="preserve">" </w:instrText>
      </w:r>
      <w:r>
        <w:rPr>
          <w:rStyle w:val="TextpoznpodarouChar"/>
          <w:rFonts w:eastAsia="Times"/>
          <w:i/>
        </w:rPr>
        <w:fldChar w:fldCharType="end"/>
      </w:r>
      <w:r w:rsidRPr="00F73486">
        <w:t>)</w:t>
      </w:r>
    </w:p>
  </w:footnote>
  <w:footnote w:id="398">
    <w:p w:rsidR="00971E82" w:rsidRPr="00F73486" w:rsidRDefault="00971E82" w:rsidP="08163013">
      <w:pPr>
        <w:pStyle w:val="Textpoznpodarou"/>
      </w:pPr>
      <w:r>
        <w:rPr>
          <w:rStyle w:val="Znakapoznpodarou"/>
        </w:rPr>
        <w:footnoteRef/>
      </w:r>
      <w:r>
        <w:t xml:space="preserve"> </w:t>
      </w:r>
      <w:r w:rsidRPr="007D3E17">
        <w:t>„Quod si aliquis dicat: possibile est ut sit generata ex re alia, dicemus: si possibile est ut substantia stans per essentiam suam sit generata ex re alia, procul dubio</w:t>
      </w:r>
      <w:r>
        <w:t xml:space="preserve"> </w:t>
      </w:r>
      <w:r w:rsidRPr="007D3E17">
        <w:t>est substantia illa diminuta, indigens ut compleat eam illud ex</w:t>
      </w:r>
      <w:r>
        <w:t xml:space="preserve"> </w:t>
      </w:r>
      <w:r w:rsidRPr="007D3E17">
        <w:t>quo</w:t>
      </w:r>
      <w:r>
        <w:t xml:space="preserve"> </w:t>
      </w:r>
      <w:r w:rsidRPr="007D3E17">
        <w:t>generatur.“</w:t>
      </w:r>
      <w:r>
        <w:t xml:space="preserve"> (</w:t>
      </w:r>
      <w:r w:rsidRPr="004F6F5C">
        <w:rPr>
          <w:rStyle w:val="TextpoznpodarouChar"/>
          <w:rFonts w:eastAsia="Times"/>
          <w:i/>
        </w:rPr>
        <w:t>Liber de causis</w:t>
      </w:r>
      <w:r>
        <w:rPr>
          <w:rStyle w:val="TextpoznpodarouChar"/>
          <w:rFonts w:eastAsia="Times"/>
        </w:rPr>
        <w:t xml:space="preserve"> </w:t>
      </w:r>
      <w:r>
        <w:t>XIV</w:t>
      </w:r>
      <w:r>
        <w:rPr>
          <w:rStyle w:val="TextpoznpodarouChar"/>
          <w:rFonts w:eastAsia="Times"/>
          <w:lang w:val="cs-CZ"/>
        </w:rPr>
        <w:t>;</w:t>
      </w:r>
      <w:r>
        <w:rPr>
          <w:rStyle w:val="TextpoznpodarouChar"/>
          <w:rFonts w:eastAsia="Times"/>
        </w:rPr>
        <w:t xml:space="preserve"> ed. </w:t>
      </w:r>
      <w:r>
        <w:rPr>
          <w:rStyle w:val="TextpoznpodarouChar"/>
          <w:rFonts w:eastAsia="Times"/>
          <w:lang w:val="cs-CZ"/>
        </w:rPr>
        <w:t xml:space="preserve">digitalis </w:t>
      </w:r>
      <w:r>
        <w:rPr>
          <w:rStyle w:val="TextpoznpodarouChar"/>
          <w:rFonts w:eastAsia="Times"/>
        </w:rPr>
        <w:t>Pattin‒Zimmermann</w:t>
      </w:r>
      <w:r>
        <w:t>, § 182</w:t>
      </w:r>
      <w:r>
        <w:rPr>
          <w:rStyle w:val="TextpoznpodarouChar"/>
          <w:rFonts w:eastAsia="Times"/>
          <w:i/>
        </w:rPr>
        <w:fldChar w:fldCharType="begin"/>
      </w:r>
      <w:r>
        <w:instrText xml:space="preserve"> XE "</w:instrText>
      </w:r>
      <w:r w:rsidRPr="00C46BD8">
        <w:rPr>
          <w:i/>
        </w:rPr>
        <w:instrText>Liber de causis</w:instrText>
      </w:r>
      <w:r>
        <w:rPr>
          <w:i/>
          <w:lang w:val="cs-CZ"/>
        </w:rPr>
        <w:instrText xml:space="preserve"> </w:instrText>
      </w:r>
      <w:r w:rsidRPr="00677510">
        <w:rPr>
          <w:lang w:val="cs-CZ"/>
        </w:rPr>
        <w:instrText>14.182</w:instrText>
      </w:r>
      <w:r>
        <w:instrText xml:space="preserve">" </w:instrText>
      </w:r>
      <w:r>
        <w:rPr>
          <w:rStyle w:val="TextpoznpodarouChar"/>
          <w:rFonts w:eastAsia="Times"/>
          <w:i/>
        </w:rPr>
        <w:fldChar w:fldCharType="end"/>
      </w:r>
      <w:r>
        <w:t>)</w:t>
      </w:r>
    </w:p>
  </w:footnote>
  <w:footnote w:id="399">
    <w:p w:rsidR="00971E82" w:rsidRPr="00F73486" w:rsidRDefault="00971E82" w:rsidP="08163013">
      <w:pPr>
        <w:pStyle w:val="Textpoznpodarou"/>
      </w:pPr>
      <w:r>
        <w:rPr>
          <w:rStyle w:val="Znakapoznpodarou"/>
        </w:rPr>
        <w:footnoteRef/>
      </w:r>
      <w:r>
        <w:rPr>
          <w:lang w:val="cs-CZ"/>
        </w:rPr>
        <w:t xml:space="preserve"> </w:t>
      </w:r>
      <w:r>
        <w:t>„Omnis sciens qui scit essentiam suam est rediens ad essentiam suam reditione completa.“ (</w:t>
      </w:r>
      <w:r w:rsidRPr="004F6F5C">
        <w:rPr>
          <w:rStyle w:val="TextpoznpodarouChar"/>
          <w:rFonts w:eastAsia="Times"/>
          <w:i/>
        </w:rPr>
        <w:t>Liber de causis</w:t>
      </w:r>
      <w:r>
        <w:rPr>
          <w:rStyle w:val="TextpoznpodarouChar"/>
          <w:rFonts w:eastAsia="Times"/>
        </w:rPr>
        <w:t xml:space="preserve"> </w:t>
      </w:r>
      <w:r>
        <w:t>XIV</w:t>
      </w:r>
      <w:r>
        <w:rPr>
          <w:lang w:val="cs-CZ"/>
        </w:rPr>
        <w:t>;</w:t>
      </w:r>
      <w:r>
        <w:rPr>
          <w:rStyle w:val="TextpoznpodarouChar"/>
          <w:rFonts w:eastAsia="Times"/>
        </w:rPr>
        <w:t xml:space="preserve"> ed. </w:t>
      </w:r>
      <w:r>
        <w:rPr>
          <w:rStyle w:val="TextpoznpodarouChar"/>
          <w:rFonts w:eastAsia="Times"/>
          <w:lang w:val="cs-CZ"/>
        </w:rPr>
        <w:t xml:space="preserve">digitalis </w:t>
      </w:r>
      <w:r>
        <w:rPr>
          <w:rStyle w:val="TextpoznpodarouChar"/>
          <w:rFonts w:eastAsia="Times"/>
        </w:rPr>
        <w:t>Pattin‒Zimmermann</w:t>
      </w:r>
      <w:r>
        <w:t>, § 124</w:t>
      </w:r>
      <w:r>
        <w:rPr>
          <w:rStyle w:val="TextpoznpodarouChar"/>
          <w:rFonts w:eastAsia="Times"/>
          <w:i/>
        </w:rPr>
        <w:fldChar w:fldCharType="begin"/>
      </w:r>
      <w:r>
        <w:instrText xml:space="preserve"> XE "</w:instrText>
      </w:r>
      <w:r w:rsidRPr="00C46BD8">
        <w:rPr>
          <w:i/>
        </w:rPr>
        <w:instrText>Liber de causis</w:instrText>
      </w:r>
      <w:r>
        <w:rPr>
          <w:lang w:val="cs-CZ"/>
        </w:rPr>
        <w:instrText xml:space="preserve"> 14.124</w:instrText>
      </w:r>
      <w:r>
        <w:instrText xml:space="preserve">" </w:instrText>
      </w:r>
      <w:r>
        <w:rPr>
          <w:rStyle w:val="TextpoznpodarouChar"/>
          <w:rFonts w:eastAsia="Times"/>
          <w:i/>
        </w:rPr>
        <w:fldChar w:fldCharType="end"/>
      </w:r>
      <w:r>
        <w:t>)</w:t>
      </w:r>
    </w:p>
  </w:footnote>
  <w:footnote w:id="400">
    <w:p w:rsidR="00971E82" w:rsidRPr="00B531A5" w:rsidRDefault="00971E82" w:rsidP="08163013">
      <w:pPr>
        <w:pStyle w:val="Textpoznpodarou"/>
        <w:rPr>
          <w:lang w:val="cs-CZ"/>
        </w:rPr>
      </w:pPr>
      <w:r>
        <w:rPr>
          <w:rStyle w:val="Znakapoznpodarou"/>
        </w:rPr>
        <w:footnoteRef/>
      </w:r>
      <w:r>
        <w:t xml:space="preserve"> </w:t>
      </w:r>
      <w:r w:rsidRPr="00273106">
        <w:rPr>
          <w:noProof/>
        </w:rPr>
        <w:t>„</w:t>
      </w:r>
      <w:r>
        <w:rPr>
          <w:noProof/>
        </w:rPr>
        <w:t>I</w:t>
      </w:r>
      <w:r w:rsidRPr="00273106">
        <w:rPr>
          <w:noProof/>
        </w:rPr>
        <w:t>n formis creans specificis, ut specificae sunt, ratio individuationis ipsarum, qua determinantur in suppositis, et quae est ratio constitutiva suppositi, est negatio qua forma ipsa, quae ex se est specifica in esse rationis, ut est terminus factionis, facta est individua omnino in supposito.“ (</w:t>
      </w:r>
      <w:r w:rsidRPr="00273106">
        <w:rPr>
          <w:i/>
          <w:noProof/>
        </w:rPr>
        <w:t>Quodlibet</w:t>
      </w:r>
      <w:r w:rsidRPr="00273106">
        <w:rPr>
          <w:noProof/>
        </w:rPr>
        <w:t xml:space="preserve"> V.8</w:t>
      </w:r>
      <w:r>
        <w:rPr>
          <w:noProof/>
          <w:lang w:val="cs-CZ"/>
        </w:rPr>
        <w:t>;</w:t>
      </w:r>
      <w:r>
        <w:rPr>
          <w:noProof/>
        </w:rPr>
        <w:t xml:space="preserve"> ed. Venetiis 1613, p. 246</w:t>
      </w:r>
      <w:r>
        <w:rPr>
          <w:noProof/>
        </w:rPr>
        <w:fldChar w:fldCharType="begin"/>
      </w:r>
      <w:r>
        <w:instrText xml:space="preserve"> XE "</w:instrText>
      </w:r>
      <w:r>
        <w:rPr>
          <w:lang w:val="cs-CZ"/>
        </w:rPr>
        <w:instrText>Gandavus:</w:instrText>
      </w:r>
      <w:r w:rsidRPr="00A669D0">
        <w:rPr>
          <w:i/>
          <w:noProof/>
        </w:rPr>
        <w:instrText>Quodlibet</w:instrText>
      </w:r>
      <w:r>
        <w:rPr>
          <w:noProof/>
        </w:rPr>
        <w:instrText xml:space="preserve"> </w:instrText>
      </w:r>
      <w:r>
        <w:rPr>
          <w:noProof/>
          <w:lang w:val="cs-CZ"/>
        </w:rPr>
        <w:instrText>5</w:instrText>
      </w:r>
      <w:r>
        <w:rPr>
          <w:noProof/>
        </w:rPr>
        <w:instrText>.246</w:instrText>
      </w:r>
      <w:r>
        <w:instrText xml:space="preserve">" </w:instrText>
      </w:r>
      <w:r>
        <w:rPr>
          <w:noProof/>
        </w:rPr>
        <w:fldChar w:fldCharType="end"/>
      </w:r>
      <w:r w:rsidRPr="00273106">
        <w:rPr>
          <w:noProof/>
        </w:rPr>
        <w:t>)</w:t>
      </w:r>
    </w:p>
  </w:footnote>
  <w:footnote w:id="401">
    <w:p w:rsidR="00971E82" w:rsidRPr="00905FE9" w:rsidRDefault="00971E82" w:rsidP="08163013">
      <w:pPr>
        <w:pStyle w:val="Textpoznpodarou"/>
        <w:rPr>
          <w:lang w:val="cs-CZ"/>
        </w:rPr>
      </w:pPr>
      <w:r>
        <w:rPr>
          <w:rStyle w:val="Znakapoznpodarou"/>
        </w:rPr>
        <w:footnoteRef/>
      </w:r>
      <w:r>
        <w:t xml:space="preserve"> </w:t>
      </w:r>
      <w:r w:rsidRPr="00273106">
        <w:rPr>
          <w:noProof/>
        </w:rPr>
        <w:t>„Quae quidem negatio non est simplex, sed duplex, quia est removens ad intra omnem plurificabilitatem, et diversitatem, et ab extra omnem identitatem, ut dicatur ita haec, quod tantum haec, non habedo scilicet, intra se possibilitatem ad esse aliud et aliud, sicut habet forma speciei, et iterum tantum haec, quod non fit alioqua aliarum suae speciei.“ (</w:t>
      </w:r>
      <w:r w:rsidRPr="00273106">
        <w:rPr>
          <w:i/>
          <w:noProof/>
        </w:rPr>
        <w:t>Quodlibet</w:t>
      </w:r>
      <w:r w:rsidRPr="00273106">
        <w:rPr>
          <w:noProof/>
        </w:rPr>
        <w:t xml:space="preserve"> V.8</w:t>
      </w:r>
      <w:r>
        <w:rPr>
          <w:noProof/>
          <w:lang w:val="cs-CZ"/>
        </w:rPr>
        <w:t>;</w:t>
      </w:r>
      <w:r>
        <w:rPr>
          <w:noProof/>
        </w:rPr>
        <w:t xml:space="preserve"> ed. Venetiis 1613, p. 246</w:t>
      </w:r>
      <w:r>
        <w:rPr>
          <w:noProof/>
        </w:rPr>
        <w:fldChar w:fldCharType="begin"/>
      </w:r>
      <w:r>
        <w:instrText xml:space="preserve"> XE "</w:instrText>
      </w:r>
      <w:r>
        <w:rPr>
          <w:lang w:val="cs-CZ"/>
        </w:rPr>
        <w:instrText>Gandavus:</w:instrText>
      </w:r>
      <w:r w:rsidRPr="00BB4088">
        <w:rPr>
          <w:i/>
          <w:noProof/>
        </w:rPr>
        <w:instrText>Quodlibet</w:instrText>
      </w:r>
      <w:r w:rsidRPr="00BB4088">
        <w:rPr>
          <w:noProof/>
        </w:rPr>
        <w:instrText xml:space="preserve"> </w:instrText>
      </w:r>
      <w:r>
        <w:rPr>
          <w:noProof/>
          <w:lang w:val="cs-CZ"/>
        </w:rPr>
        <w:instrText>5.</w:instrText>
      </w:r>
      <w:r>
        <w:rPr>
          <w:noProof/>
        </w:rPr>
        <w:instrText>246</w:instrText>
      </w:r>
      <w:r>
        <w:instrText xml:space="preserve">" </w:instrText>
      </w:r>
      <w:r>
        <w:rPr>
          <w:noProof/>
        </w:rPr>
        <w:fldChar w:fldCharType="end"/>
      </w:r>
      <w:r w:rsidRPr="00273106">
        <w:rPr>
          <w:noProof/>
        </w:rPr>
        <w:t>)</w:t>
      </w:r>
    </w:p>
  </w:footnote>
  <w:footnote w:id="402">
    <w:p w:rsidR="00971E82" w:rsidRPr="003742E4" w:rsidRDefault="00971E82" w:rsidP="08163013">
      <w:pPr>
        <w:pStyle w:val="Textpoznpodarou"/>
        <w:rPr>
          <w:lang w:val="cs-CZ"/>
        </w:rPr>
      </w:pPr>
      <w:r>
        <w:rPr>
          <w:rStyle w:val="Znakapoznpodarou"/>
        </w:rPr>
        <w:footnoteRef/>
      </w:r>
      <w:r>
        <w:rPr>
          <w:lang w:val="cs-CZ"/>
        </w:rPr>
        <w:t xml:space="preserve"> </w:t>
      </w:r>
      <w:r w:rsidRPr="00523829">
        <w:t>„Qui enim se figuram percipere ait, nil aliud eo indicat, quam se rem determinatam, et quo pacto ea sit determinata, concipere. Haec ergo determinatio rem iuxta suum esse non pertinet; sed e contra est eius non-esse. Quia ergo figura non aliud quam determinatio, et determinatio negatio est, non poterit, ut dictum, aliud quam negatio esse.</w:t>
      </w:r>
      <w:r>
        <w:rPr>
          <w:lang w:val="cs-CZ"/>
        </w:rPr>
        <w:t>“</w:t>
      </w:r>
      <w:r w:rsidRPr="00523829">
        <w:t xml:space="preserve"> (</w:t>
      </w:r>
      <w:r>
        <w:rPr>
          <w:lang w:val="cs-CZ"/>
        </w:rPr>
        <w:t xml:space="preserve">Spinoza, </w:t>
      </w:r>
      <w:r w:rsidRPr="003742E4">
        <w:rPr>
          <w:i/>
          <w:lang w:val="cs-CZ"/>
        </w:rPr>
        <w:t>Opera</w:t>
      </w:r>
      <w:r w:rsidRPr="004A3209">
        <w:rPr>
          <w:lang w:val="cs-CZ"/>
        </w:rPr>
        <w:t xml:space="preserve"> </w:t>
      </w:r>
      <w:r>
        <w:rPr>
          <w:lang w:val="cs-CZ"/>
        </w:rPr>
        <w:t>IV; ed. Gebhardt, p. 240.10‒15</w:t>
      </w:r>
      <w:r>
        <w:rPr>
          <w:lang w:val="cs-CZ"/>
        </w:rPr>
        <w:fldChar w:fldCharType="begin"/>
      </w:r>
      <w:r>
        <w:instrText xml:space="preserve"> XE "</w:instrText>
      </w:r>
      <w:r w:rsidRPr="00935288">
        <w:rPr>
          <w:lang w:val="cs-CZ"/>
        </w:rPr>
        <w:instrText>Spinoza</w:instrText>
      </w:r>
      <w:r>
        <w:rPr>
          <w:lang w:val="cs-CZ"/>
        </w:rPr>
        <w:instrText>:</w:instrText>
      </w:r>
      <w:r w:rsidRPr="00935288">
        <w:rPr>
          <w:lang w:val="cs-CZ"/>
        </w:rPr>
        <w:instrText xml:space="preserve"> </w:instrText>
      </w:r>
      <w:r w:rsidRPr="00935288">
        <w:rPr>
          <w:i/>
          <w:lang w:val="cs-CZ"/>
        </w:rPr>
        <w:instrText>Opera</w:instrText>
      </w:r>
      <w:r>
        <w:rPr>
          <w:i/>
          <w:lang w:val="cs-CZ"/>
        </w:rPr>
        <w:instrText xml:space="preserve"> </w:instrText>
      </w:r>
      <w:r w:rsidRPr="006D5997">
        <w:rPr>
          <w:lang w:val="cs-CZ"/>
        </w:rPr>
        <w:instrText>4.</w:instrText>
      </w:r>
      <w:r w:rsidRPr="00935288">
        <w:rPr>
          <w:lang w:val="cs-CZ"/>
        </w:rPr>
        <w:instrText>240.10‒15</w:instrText>
      </w:r>
      <w:r>
        <w:instrText xml:space="preserve">" </w:instrText>
      </w:r>
      <w:r>
        <w:rPr>
          <w:lang w:val="cs-CZ"/>
        </w:rPr>
        <w:fldChar w:fldCharType="end"/>
      </w:r>
      <w:r>
        <w:t>)</w:t>
      </w:r>
    </w:p>
  </w:footnote>
  <w:footnote w:id="403">
    <w:p w:rsidR="00971E82" w:rsidRPr="0087759D" w:rsidRDefault="00971E82" w:rsidP="08163013">
      <w:pPr>
        <w:pStyle w:val="Textpoznpodarou"/>
      </w:pPr>
      <w:r>
        <w:rPr>
          <w:rStyle w:val="Znakapoznpodarou"/>
        </w:rPr>
        <w:footnoteRef/>
      </w:r>
      <w:r>
        <w:t xml:space="preserve"> „</w:t>
      </w:r>
      <w:r w:rsidRPr="0087759D">
        <w:rPr>
          <w:rStyle w:val="TextpoznpodarouChar"/>
          <w:rFonts w:eastAsia="Times"/>
        </w:rPr>
        <w:t xml:space="preserve">Die Bestimmtheit ist die Negation als affirmativ gesetzt, ist der Satz des Spinoza: </w:t>
      </w:r>
      <w:r w:rsidRPr="0087759D">
        <w:rPr>
          <w:rStyle w:val="TextpoznpodarouChar"/>
          <w:rFonts w:eastAsia="Times"/>
          <w:i/>
        </w:rPr>
        <w:t>Omnis determinatio est negatio</w:t>
      </w:r>
      <w:r w:rsidRPr="0087759D">
        <w:rPr>
          <w:rStyle w:val="TextpoznpodarouChar"/>
          <w:rFonts w:eastAsia="Times"/>
        </w:rPr>
        <w:t>. Dieser Satz ist von unendlicher Wichtigkeit; nur ist die Negation als solche die formlose Abstraktion; der spekulativen Philosophie muß aber nicht schuld gegeben werden, daß ihr die Negation oder das Nichts ein Letztes sei; dies ist es ihr soweni</w:t>
      </w:r>
      <w:r>
        <w:rPr>
          <w:rStyle w:val="TextpoznpodarouChar"/>
          <w:rFonts w:eastAsia="Times"/>
        </w:rPr>
        <w:t>g als die Realität das Wahrhafte</w:t>
      </w:r>
      <w:r>
        <w:t>.</w:t>
      </w:r>
      <w:r>
        <w:rPr>
          <w:lang w:val="cs-CZ"/>
        </w:rPr>
        <w:t>“</w:t>
      </w:r>
      <w:r>
        <w:t xml:space="preserve"> (Hegel 5, 121</w:t>
      </w:r>
      <w:r>
        <w:fldChar w:fldCharType="begin"/>
      </w:r>
      <w:r>
        <w:instrText xml:space="preserve"> XE "Hegel:</w:instrText>
      </w:r>
      <w:r w:rsidRPr="00AE6124">
        <w:rPr>
          <w:i/>
        </w:rPr>
        <w:instrText>Wissenchaft der Logik</w:instrText>
      </w:r>
      <w:r>
        <w:instrText xml:space="preserve"> </w:instrText>
      </w:r>
      <w:r>
        <w:rPr>
          <w:lang w:val="cs-CZ"/>
        </w:rPr>
        <w:instrText>5.</w:instrText>
      </w:r>
      <w:r>
        <w:instrText>1</w:instrText>
      </w:r>
      <w:r>
        <w:rPr>
          <w:lang w:val="cs-CZ"/>
        </w:rPr>
        <w:instrText>2</w:instrText>
      </w:r>
      <w:r>
        <w:instrText xml:space="preserve">1" </w:instrText>
      </w:r>
      <w:r>
        <w:fldChar w:fldCharType="end"/>
      </w:r>
      <w:r>
        <w:t>)</w:t>
      </w:r>
    </w:p>
  </w:footnote>
  <w:footnote w:id="404">
    <w:p w:rsidR="00971E82" w:rsidRPr="00905FE9" w:rsidRDefault="00971E82" w:rsidP="08163013">
      <w:pPr>
        <w:pStyle w:val="Textpoznpodarou"/>
        <w:rPr>
          <w:lang w:val="cs-CZ"/>
        </w:rPr>
      </w:pPr>
      <w:r>
        <w:rPr>
          <w:rStyle w:val="Znakapoznpodarou"/>
        </w:rPr>
        <w:footnoteRef/>
      </w:r>
      <w:r>
        <w:t xml:space="preserve"> </w:t>
      </w:r>
      <w:r w:rsidRPr="00273106">
        <w:rPr>
          <w:noProof/>
        </w:rPr>
        <w:t>„Et haec duplex negatio omnino formaliter ratione, formae determinat qua determinatione supra essentiam formae constituitur suppositum absolutum quod vere dicitur hoc aliquid, quasi tantum hoc, et non aliud, nec intra se, nec extra, et sic nullo modo aliud quid.“ (</w:t>
      </w:r>
      <w:r w:rsidRPr="00273106">
        <w:rPr>
          <w:i/>
          <w:noProof/>
        </w:rPr>
        <w:t>Quodlibet</w:t>
      </w:r>
      <w:r w:rsidRPr="00273106">
        <w:rPr>
          <w:noProof/>
        </w:rPr>
        <w:t xml:space="preserve"> V.8</w:t>
      </w:r>
      <w:r>
        <w:rPr>
          <w:noProof/>
          <w:lang w:val="cs-CZ"/>
        </w:rPr>
        <w:t>;</w:t>
      </w:r>
      <w:r>
        <w:rPr>
          <w:noProof/>
        </w:rPr>
        <w:t xml:space="preserve"> ed. Venetiis 1613, p. 246</w:t>
      </w:r>
      <w:r>
        <w:rPr>
          <w:noProof/>
        </w:rPr>
        <w:fldChar w:fldCharType="begin"/>
      </w:r>
      <w:r>
        <w:instrText xml:space="preserve"> XE "</w:instrText>
      </w:r>
      <w:r>
        <w:rPr>
          <w:lang w:val="cs-CZ"/>
        </w:rPr>
        <w:instrText>Gandavus:</w:instrText>
      </w:r>
      <w:r w:rsidRPr="00F61E09">
        <w:rPr>
          <w:i/>
          <w:noProof/>
        </w:rPr>
        <w:instrText>Quodlibet</w:instrText>
      </w:r>
      <w:r w:rsidRPr="00F61E09">
        <w:rPr>
          <w:noProof/>
        </w:rPr>
        <w:instrText xml:space="preserve"> </w:instrText>
      </w:r>
      <w:r>
        <w:rPr>
          <w:noProof/>
          <w:lang w:val="cs-CZ"/>
        </w:rPr>
        <w:instrText>5.</w:instrText>
      </w:r>
      <w:r>
        <w:rPr>
          <w:noProof/>
        </w:rPr>
        <w:instrText>246</w:instrText>
      </w:r>
      <w:r>
        <w:instrText xml:space="preserve">" </w:instrText>
      </w:r>
      <w:r>
        <w:rPr>
          <w:noProof/>
        </w:rPr>
        <w:fldChar w:fldCharType="end"/>
      </w:r>
      <w:r w:rsidRPr="00273106">
        <w:rPr>
          <w:noProof/>
        </w:rPr>
        <w:t>)</w:t>
      </w:r>
    </w:p>
  </w:footnote>
  <w:footnote w:id="405">
    <w:p w:rsidR="00971E82" w:rsidRPr="00C54886" w:rsidRDefault="00971E82" w:rsidP="000529D7">
      <w:pPr>
        <w:pStyle w:val="Textpoznpodarou"/>
        <w:rPr>
          <w:noProof/>
          <w:lang w:val="cs-CZ"/>
        </w:rPr>
      </w:pPr>
      <w:r>
        <w:rPr>
          <w:rStyle w:val="Znakapoznpodarou"/>
        </w:rPr>
        <w:footnoteRef/>
      </w:r>
      <w:r>
        <w:t xml:space="preserve"> </w:t>
      </w:r>
      <w:r w:rsidRPr="00273106">
        <w:rPr>
          <w:noProof/>
        </w:rPr>
        <w:t>„</w:t>
      </w:r>
      <w:r>
        <w:t>Si enim homo ex puris naturalibus sine omni speciali illustratione divina poterit attingere ad cognitione primorum principiorum speculabilium, similiter er ex puris naturalibus sine sine omni speciali illustratione divina poterit attingere ad cognitioneme omnium conclusionum sequentium post principia.</w:t>
      </w:r>
      <w:r w:rsidRPr="00273106">
        <w:rPr>
          <w:noProof/>
        </w:rPr>
        <w:t>“ (</w:t>
      </w:r>
      <w:r w:rsidRPr="00273106">
        <w:rPr>
          <w:i/>
          <w:noProof/>
        </w:rPr>
        <w:t>Summa</w:t>
      </w:r>
      <w:r w:rsidRPr="00273106">
        <w:rPr>
          <w:noProof/>
        </w:rPr>
        <w:t xml:space="preserve">, a. 1, </w:t>
      </w:r>
      <w:r>
        <w:rPr>
          <w:noProof/>
        </w:rPr>
        <w:t>q. 2, solutio; ed. Wilson, p. 3</w:t>
      </w:r>
      <w:r>
        <w:rPr>
          <w:noProof/>
          <w:lang w:val="cs-CZ"/>
        </w:rPr>
        <w:t>1</w:t>
      </w:r>
      <w:r>
        <w:rPr>
          <w:noProof/>
        </w:rPr>
        <w:t>.</w:t>
      </w:r>
      <w:r>
        <w:rPr>
          <w:noProof/>
          <w:lang w:val="cs-CZ"/>
        </w:rPr>
        <w:t>49</w:t>
      </w:r>
      <w:r w:rsidRPr="00273106">
        <w:rPr>
          <w:noProof/>
        </w:rPr>
        <w:t>‒</w:t>
      </w:r>
      <w:r>
        <w:rPr>
          <w:noProof/>
          <w:lang w:val="cs-CZ"/>
        </w:rPr>
        <w:t>54</w:t>
      </w:r>
      <w:r>
        <w:rPr>
          <w:noProof/>
        </w:rPr>
        <w:fldChar w:fldCharType="begin"/>
      </w:r>
      <w:r>
        <w:instrText xml:space="preserve"> XE "Gandavus:</w:instrText>
      </w:r>
      <w:r w:rsidRPr="00800EDD">
        <w:rPr>
          <w:i/>
          <w:noProof/>
        </w:rPr>
        <w:instrText>Summa</w:instrText>
      </w:r>
      <w:r>
        <w:rPr>
          <w:i/>
          <w:noProof/>
        </w:rPr>
        <w:instrText xml:space="preserve"> </w:instrText>
      </w:r>
      <w:r>
        <w:rPr>
          <w:noProof/>
        </w:rPr>
        <w:instrText>31.49‒54</w:instrText>
      </w:r>
      <w:r>
        <w:instrText xml:space="preserve">" </w:instrText>
      </w:r>
      <w:r>
        <w:rPr>
          <w:noProof/>
        </w:rPr>
        <w:fldChar w:fldCharType="end"/>
      </w:r>
      <w:r w:rsidRPr="00273106">
        <w:rPr>
          <w:noProof/>
        </w:rPr>
        <w:t>)</w:t>
      </w:r>
    </w:p>
  </w:footnote>
  <w:footnote w:id="406">
    <w:p w:rsidR="00971E82" w:rsidRPr="00114B06" w:rsidRDefault="00971E82" w:rsidP="08163013">
      <w:pPr>
        <w:pStyle w:val="Textpoznpodarou"/>
        <w:rPr>
          <w:lang w:val="cs-CZ"/>
        </w:rPr>
      </w:pPr>
      <w:r>
        <w:rPr>
          <w:rStyle w:val="Znakapoznpodarou"/>
        </w:rPr>
        <w:footnoteRef/>
      </w:r>
      <w:r>
        <w:t xml:space="preserve"> </w:t>
      </w:r>
      <w:r w:rsidRPr="00273106">
        <w:rPr>
          <w:noProof/>
        </w:rPr>
        <w:t>„Cognitione igitur intellectiva de re creata duplex potest haberi cognitio: una qua praecise scitur sive cognoscitur simplici intelligentia id quod res est; alia qua scitur et cognoscitur intelligentia componente et dividente veritas ipsius rei.“ (</w:t>
      </w:r>
      <w:r w:rsidRPr="00273106">
        <w:rPr>
          <w:i/>
          <w:noProof/>
        </w:rPr>
        <w:t>Summa</w:t>
      </w:r>
      <w:r w:rsidRPr="00273106">
        <w:rPr>
          <w:noProof/>
        </w:rPr>
        <w:t>, a. 1, q. 2, solutio; ed. Wilson, p. 36.155‒</w:t>
      </w:r>
      <w:r>
        <w:rPr>
          <w:noProof/>
          <w:lang w:val="cs-CZ"/>
        </w:rPr>
        <w:t>5</w:t>
      </w:r>
      <w:r w:rsidRPr="00273106">
        <w:rPr>
          <w:noProof/>
        </w:rPr>
        <w:t>8</w:t>
      </w:r>
      <w:r>
        <w:rPr>
          <w:noProof/>
        </w:rPr>
        <w:fldChar w:fldCharType="begin"/>
      </w:r>
      <w:r>
        <w:instrText xml:space="preserve"> XE "</w:instrText>
      </w:r>
      <w:r>
        <w:rPr>
          <w:lang w:val="cs-CZ"/>
        </w:rPr>
        <w:instrText>Gandavus:</w:instrText>
      </w:r>
      <w:r w:rsidRPr="00800EDD">
        <w:rPr>
          <w:i/>
          <w:noProof/>
        </w:rPr>
        <w:instrText>Summa</w:instrText>
      </w:r>
      <w:r>
        <w:rPr>
          <w:i/>
          <w:noProof/>
          <w:lang w:val="cs-CZ"/>
        </w:rPr>
        <w:instrText xml:space="preserve"> </w:instrText>
      </w:r>
      <w:r>
        <w:rPr>
          <w:noProof/>
        </w:rPr>
        <w:instrText>3</w:instrText>
      </w:r>
      <w:r>
        <w:rPr>
          <w:noProof/>
          <w:lang w:val="cs-CZ"/>
        </w:rPr>
        <w:instrText>6</w:instrText>
      </w:r>
      <w:r>
        <w:rPr>
          <w:noProof/>
        </w:rPr>
        <w:instrText>.1</w:instrText>
      </w:r>
      <w:r>
        <w:rPr>
          <w:noProof/>
          <w:lang w:val="cs-CZ"/>
        </w:rPr>
        <w:instrText>55</w:instrText>
      </w:r>
      <w:r w:rsidRPr="00800EDD">
        <w:rPr>
          <w:noProof/>
        </w:rPr>
        <w:instrText>‒</w:instrText>
      </w:r>
      <w:r>
        <w:rPr>
          <w:noProof/>
          <w:lang w:val="cs-CZ"/>
        </w:rPr>
        <w:instrText>5</w:instrText>
      </w:r>
      <w:r w:rsidRPr="00800EDD">
        <w:rPr>
          <w:noProof/>
        </w:rPr>
        <w:instrText>8</w:instrText>
      </w:r>
      <w:r>
        <w:instrText xml:space="preserve">" </w:instrText>
      </w:r>
      <w:r>
        <w:rPr>
          <w:noProof/>
        </w:rPr>
        <w:fldChar w:fldCharType="end"/>
      </w:r>
      <w:r w:rsidRPr="00273106">
        <w:rPr>
          <w:noProof/>
        </w:rPr>
        <w:t>)</w:t>
      </w:r>
    </w:p>
  </w:footnote>
  <w:footnote w:id="407">
    <w:p w:rsidR="00971E82" w:rsidRPr="00480042" w:rsidRDefault="00971E82" w:rsidP="08163013">
      <w:pPr>
        <w:pStyle w:val="Textpoznpodarou"/>
        <w:rPr>
          <w:noProof/>
          <w:lang w:val="cs-CZ"/>
        </w:rPr>
      </w:pPr>
      <w:r>
        <w:rPr>
          <w:rStyle w:val="Znakapoznpodarou"/>
        </w:rPr>
        <w:footnoteRef/>
      </w:r>
      <w:r>
        <w:t xml:space="preserve"> </w:t>
      </w:r>
      <w:r w:rsidRPr="002920F8">
        <w:t>„Quia igitur verum dicit intentionem rei in respectu ad suum exemplar, quae non est prima, sed secundaria, ens autem dicit intentionem rei p</w:t>
      </w:r>
      <w:r w:rsidRPr="002920F8">
        <w:rPr>
          <w:rFonts w:eastAsia="Times"/>
        </w:rPr>
        <w:t>rim</w:t>
      </w:r>
      <w:r w:rsidRPr="002920F8">
        <w:t>a</w:t>
      </w:r>
      <w:r w:rsidRPr="002920F8">
        <w:rPr>
          <w:rFonts w:eastAsia="Times"/>
        </w:rPr>
        <w:t>m</w:t>
      </w:r>
      <w:r w:rsidRPr="002920F8">
        <w:t xml:space="preserve"> et absolutam, id quod est ens et verum in re bene potest apprehendi ab intellectu absque hoc quod intentio veritatis eius ab ipso apprehendatur. Intentio enim veritatis in re apprehendi non potest nisi apprehendendo conformitatem eius ad suum exemplar; intentio vero entis apprehenditur in re absoluta sine omni tali respectu.“</w:t>
      </w:r>
      <w:r w:rsidRPr="00273106">
        <w:rPr>
          <w:noProof/>
        </w:rPr>
        <w:t xml:space="preserve"> (</w:t>
      </w:r>
      <w:r w:rsidRPr="00273106">
        <w:rPr>
          <w:i/>
          <w:noProof/>
        </w:rPr>
        <w:t>Summa</w:t>
      </w:r>
      <w:r w:rsidRPr="00273106">
        <w:rPr>
          <w:noProof/>
        </w:rPr>
        <w:t>, a. 1, q. 2, solutio; ed. Wilson, p. 39.205‒11</w:t>
      </w:r>
      <w:r>
        <w:rPr>
          <w:noProof/>
        </w:rPr>
        <w:fldChar w:fldCharType="begin"/>
      </w:r>
      <w:r>
        <w:instrText xml:space="preserve"> XE "</w:instrText>
      </w:r>
      <w:r>
        <w:rPr>
          <w:lang w:val="cs-CZ"/>
        </w:rPr>
        <w:instrText>Gandavus:</w:instrText>
      </w:r>
      <w:r w:rsidRPr="00800EDD">
        <w:rPr>
          <w:i/>
          <w:noProof/>
        </w:rPr>
        <w:instrText>Summa</w:instrText>
      </w:r>
      <w:r>
        <w:rPr>
          <w:i/>
          <w:noProof/>
          <w:lang w:val="cs-CZ"/>
        </w:rPr>
        <w:instrText xml:space="preserve"> </w:instrText>
      </w:r>
      <w:r>
        <w:rPr>
          <w:noProof/>
        </w:rPr>
        <w:instrText>3</w:instrText>
      </w:r>
      <w:r>
        <w:rPr>
          <w:noProof/>
          <w:lang w:val="cs-CZ"/>
        </w:rPr>
        <w:instrText>9</w:instrText>
      </w:r>
      <w:r>
        <w:rPr>
          <w:noProof/>
        </w:rPr>
        <w:instrText>.</w:instrText>
      </w:r>
      <w:r>
        <w:rPr>
          <w:noProof/>
          <w:lang w:val="cs-CZ"/>
        </w:rPr>
        <w:instrText>205</w:instrText>
      </w:r>
      <w:r>
        <w:rPr>
          <w:noProof/>
        </w:rPr>
        <w:instrText>‒</w:instrText>
      </w:r>
      <w:r>
        <w:rPr>
          <w:noProof/>
          <w:lang w:val="cs-CZ"/>
        </w:rPr>
        <w:instrText>11</w:instrText>
      </w:r>
      <w:r>
        <w:instrText xml:space="preserve">" </w:instrText>
      </w:r>
      <w:r>
        <w:rPr>
          <w:noProof/>
        </w:rPr>
        <w:fldChar w:fldCharType="end"/>
      </w:r>
      <w:r w:rsidRPr="00273106">
        <w:rPr>
          <w:noProof/>
        </w:rPr>
        <w:t>)</w:t>
      </w:r>
    </w:p>
  </w:footnote>
  <w:footnote w:id="408">
    <w:p w:rsidR="00971E82" w:rsidRPr="008912A6" w:rsidRDefault="00971E82" w:rsidP="08163013">
      <w:pPr>
        <w:pStyle w:val="Textpoznpodarou"/>
      </w:pPr>
      <w:r>
        <w:rPr>
          <w:rStyle w:val="Znakapoznpodarou"/>
        </w:rPr>
        <w:footnoteRef/>
      </w:r>
      <w:r>
        <w:t xml:space="preserve"> „</w:t>
      </w:r>
      <w:r>
        <w:rPr>
          <w:lang w:val="cs-CZ"/>
        </w:rPr>
        <w:t>N</w:t>
      </w:r>
      <w:r w:rsidRPr="00727D6E">
        <w:t>on sunt in cognitione intellectus nostri ut obiecta cognita et operata ab intellectu, sed ut obiecta agentia intellectum et facientia ut intellectus noster sit intellectus secundum actum, per quod se ipsa faciunt esse in esse cognito intellectus, quod non facerent nisi ex se secundum actum essent entia vera, respectu quorum intellectus quodam modo est ens in potentia, sic enim ista eadem entia respectu entis quod Deus est, sunt diminuta entia, non tamen sic diminuta sicut sunt entia operata ab intellectu nostro, quia illa nullo modo nata sunt habere aliquod esse verum extra intellectum praeter esse cognitum quod habent in intellectu.</w:t>
      </w:r>
      <w:r>
        <w:t>“ (</w:t>
      </w:r>
      <w:r w:rsidRPr="00774898">
        <w:rPr>
          <w:i/>
        </w:rPr>
        <w:t>Quodlibet</w:t>
      </w:r>
      <w:r>
        <w:t xml:space="preserve"> </w:t>
      </w:r>
      <w:r w:rsidRPr="00CC5EED">
        <w:t>IX</w:t>
      </w:r>
      <w:r>
        <w:t>, q. 2, solutio; ed. Macken, p. 31.39‒47</w:t>
      </w:r>
      <w:r>
        <w:fldChar w:fldCharType="begin"/>
      </w:r>
      <w:r>
        <w:instrText xml:space="preserve"> XE "</w:instrText>
      </w:r>
      <w:r>
        <w:rPr>
          <w:lang w:val="cs-CZ"/>
        </w:rPr>
        <w:instrText>Gandavus:</w:instrText>
      </w:r>
      <w:r w:rsidRPr="000856E2">
        <w:rPr>
          <w:i/>
        </w:rPr>
        <w:instrText>Quodlibet</w:instrText>
      </w:r>
      <w:r w:rsidRPr="000856E2">
        <w:instrText xml:space="preserve"> </w:instrText>
      </w:r>
      <w:r>
        <w:rPr>
          <w:lang w:val="cs-CZ"/>
        </w:rPr>
        <w:instrText>9.</w:instrText>
      </w:r>
      <w:r w:rsidRPr="000856E2">
        <w:instrText>31.39‒47</w:instrText>
      </w:r>
      <w:r>
        <w:instrText xml:space="preserve">" </w:instrText>
      </w:r>
      <w:r>
        <w:fldChar w:fldCharType="end"/>
      </w:r>
      <w:r>
        <w:t>)</w:t>
      </w:r>
    </w:p>
  </w:footnote>
  <w:footnote w:id="409">
    <w:p w:rsidR="00971E82" w:rsidRPr="006418BA" w:rsidRDefault="00971E82" w:rsidP="08163013">
      <w:pPr>
        <w:pStyle w:val="Textpoznpodarou"/>
        <w:rPr>
          <w:lang w:val="cs-CZ"/>
        </w:rPr>
      </w:pPr>
      <w:r>
        <w:rPr>
          <w:rStyle w:val="Znakapoznpodarou"/>
        </w:rPr>
        <w:footnoteRef/>
      </w:r>
      <w:r>
        <w:t xml:space="preserve"> </w:t>
      </w:r>
      <w:r w:rsidRPr="00273106">
        <w:rPr>
          <w:noProof/>
        </w:rPr>
        <w:t>„Sed quod per tale exemplar acquisitum in nobis habeatur a nobis certa omnino et infallibilis notitia veritatis, hoc omnino est impossibile triplici ratione, quarum prima sumitur ex parte rei de qua exemplar huiusmodi abstractum est, secunda ex parte animae in qua huiusmodi exemplar susceptum est, tertia ex parte ipsius exemplaris quod a re in anima susceptum est.“ (</w:t>
      </w:r>
      <w:r w:rsidRPr="00273106">
        <w:rPr>
          <w:i/>
          <w:noProof/>
        </w:rPr>
        <w:t>Summa</w:t>
      </w:r>
      <w:r w:rsidRPr="00273106">
        <w:rPr>
          <w:noProof/>
        </w:rPr>
        <w:t>, a. 1, q. 2, solutio; ed. Wilson, p. 43.282‒87</w:t>
      </w:r>
      <w:r>
        <w:rPr>
          <w:noProof/>
        </w:rPr>
        <w:fldChar w:fldCharType="begin"/>
      </w:r>
      <w:r>
        <w:instrText xml:space="preserve"> XE "</w:instrText>
      </w:r>
      <w:r>
        <w:rPr>
          <w:lang w:val="cs-CZ"/>
        </w:rPr>
        <w:instrText>Gandavus:</w:instrText>
      </w:r>
      <w:r w:rsidRPr="00025E7A">
        <w:rPr>
          <w:i/>
          <w:noProof/>
        </w:rPr>
        <w:instrText>Summa</w:instrText>
      </w:r>
      <w:r w:rsidRPr="00025E7A">
        <w:rPr>
          <w:noProof/>
        </w:rPr>
        <w:instrText xml:space="preserve"> 43.282‒87</w:instrText>
      </w:r>
      <w:r>
        <w:instrText xml:space="preserve">" </w:instrText>
      </w:r>
      <w:r>
        <w:rPr>
          <w:noProof/>
        </w:rPr>
        <w:fldChar w:fldCharType="end"/>
      </w:r>
      <w:r w:rsidRPr="00273106">
        <w:rPr>
          <w:noProof/>
        </w:rPr>
        <w:t>)</w:t>
      </w:r>
    </w:p>
  </w:footnote>
  <w:footnote w:id="410">
    <w:p w:rsidR="00971E82" w:rsidRPr="00AE5974" w:rsidRDefault="00971E82" w:rsidP="08163013">
      <w:pPr>
        <w:pStyle w:val="Textpoznpodarou"/>
        <w:rPr>
          <w:lang w:val="cs-CZ"/>
        </w:rPr>
      </w:pPr>
      <w:r>
        <w:rPr>
          <w:rStyle w:val="Znakapoznpodarou"/>
        </w:rPr>
        <w:footnoteRef/>
      </w:r>
      <w:r>
        <w:t xml:space="preserve"> </w:t>
      </w:r>
      <w:r>
        <w:rPr>
          <w:lang w:val="cs-CZ"/>
        </w:rPr>
        <w:t>„</w:t>
      </w:r>
      <w:r>
        <w:t>Dico ergo quod haec propositio, Deus est, quantum in se est, per se nota est, quia praedicatum est idem cum subiecto; Deus enim est suum esse, ut infra patebit. Sed quia nos non scimus de Deo quid est, non est nobis per se nota, sed indiget demonstrari per ea quae sunt magis nota quoad nos, et minus nota quoad naturam, scilicet per effectus.</w:t>
      </w:r>
      <w:r>
        <w:rPr>
          <w:lang w:val="cs-CZ"/>
        </w:rPr>
        <w:t xml:space="preserve">“ </w:t>
      </w:r>
      <w:r w:rsidRPr="00273106">
        <w:t xml:space="preserve">(ST </w:t>
      </w:r>
      <w:r w:rsidRPr="00273106">
        <w:rPr>
          <w:rStyle w:val="ref"/>
          <w:rFonts w:eastAsia="Times"/>
        </w:rPr>
        <w:t>I, q. 2, a. 1, resp</w:t>
      </w:r>
      <w:r>
        <w:rPr>
          <w:rStyle w:val="ref"/>
          <w:rFonts w:eastAsia="Times"/>
        </w:rPr>
        <w:t>; ed. Leonina</w:t>
      </w:r>
      <w:r>
        <w:rPr>
          <w:rStyle w:val="ref"/>
          <w:rFonts w:eastAsia="Times"/>
          <w:lang w:val="cs-CZ"/>
        </w:rPr>
        <w:t xml:space="preserve"> 4, 28</w:t>
      </w:r>
      <w:r>
        <w:rPr>
          <w:rStyle w:val="ref"/>
          <w:rFonts w:eastAsia="Times"/>
        </w:rPr>
        <w:fldChar w:fldCharType="begin"/>
      </w:r>
      <w:r>
        <w:instrText xml:space="preserve"> XE "</w:instrText>
      </w:r>
      <w:r>
        <w:rPr>
          <w:lang w:val="cs-CZ"/>
        </w:rPr>
        <w:instrText>Akvinský:</w:instrText>
      </w:r>
      <w:r w:rsidRPr="00196F71">
        <w:instrText xml:space="preserve">ST </w:instrText>
      </w:r>
      <w:r>
        <w:rPr>
          <w:rStyle w:val="ref"/>
          <w:rFonts w:eastAsia="Times"/>
          <w:lang w:val="cs-CZ"/>
        </w:rPr>
        <w:instrText>I.</w:instrText>
      </w:r>
      <w:r w:rsidRPr="00196F71">
        <w:rPr>
          <w:rStyle w:val="ref"/>
          <w:rFonts w:eastAsia="Times"/>
        </w:rPr>
        <w:instrText>2</w:instrText>
      </w:r>
      <w:r>
        <w:rPr>
          <w:rStyle w:val="ref"/>
          <w:rFonts w:eastAsia="Times"/>
          <w:lang w:val="cs-CZ"/>
        </w:rPr>
        <w:instrText>.1</w:instrText>
      </w:r>
      <w:r>
        <w:instrText xml:space="preserve">" </w:instrText>
      </w:r>
      <w:r>
        <w:rPr>
          <w:rStyle w:val="ref"/>
          <w:rFonts w:eastAsia="Times"/>
        </w:rPr>
        <w:fldChar w:fldCharType="end"/>
      </w:r>
      <w:r w:rsidRPr="00273106">
        <w:t>)</w:t>
      </w:r>
    </w:p>
  </w:footnote>
  <w:footnote w:id="411">
    <w:p w:rsidR="00971E82" w:rsidRPr="000A4A70" w:rsidRDefault="00971E82" w:rsidP="08163013">
      <w:pPr>
        <w:pStyle w:val="Textpoznpodarou"/>
        <w:rPr>
          <w:szCs w:val="12"/>
        </w:rPr>
      </w:pPr>
      <w:r>
        <w:rPr>
          <w:rStyle w:val="Znakapoznpodarou"/>
        </w:rPr>
        <w:footnoteRef/>
      </w:r>
      <w:r>
        <w:t xml:space="preserve"> „</w:t>
      </w:r>
      <w:r w:rsidRPr="00BD222E">
        <w:t xml:space="preserve">Unde relatio quae est inter ipsa genus et species non fundatur supra istas res a ratione, sed per naturam quam habet una istarum rerum respectu alterius fundatur relatio supra illas. Sed dicitur res naturalis, cum </w:t>
      </w:r>
      <w:r>
        <w:t>a natura talium rerum causetur.</w:t>
      </w:r>
      <w:r w:rsidRPr="00BD222E">
        <w:t>"</w:t>
      </w:r>
      <w:r>
        <w:t xml:space="preserve"> (</w:t>
      </w:r>
      <w:r>
        <w:rPr>
          <w:i/>
          <w:iCs/>
        </w:rPr>
        <w:t>Quaestiones super Prædicamentis</w:t>
      </w:r>
      <w:r w:rsidRPr="00BD222E">
        <w:rPr>
          <w:iCs/>
        </w:rPr>
        <w:t>,</w:t>
      </w:r>
      <w:r>
        <w:rPr>
          <w:iCs/>
        </w:rPr>
        <w:t xml:space="preserve"> </w:t>
      </w:r>
      <w:r>
        <w:rPr>
          <w:szCs w:val="12"/>
        </w:rPr>
        <w:t xml:space="preserve">q. 47; </w:t>
      </w:r>
      <w:r w:rsidRPr="00BD222E">
        <w:rPr>
          <w:szCs w:val="12"/>
        </w:rPr>
        <w:t xml:space="preserve">ed. Andrews, </w:t>
      </w:r>
      <w:r>
        <w:rPr>
          <w:szCs w:val="12"/>
        </w:rPr>
        <w:t xml:space="preserve">p. </w:t>
      </w:r>
      <w:r w:rsidRPr="00BD222E">
        <w:rPr>
          <w:szCs w:val="12"/>
        </w:rPr>
        <w:t>68</w:t>
      </w:r>
      <w:r>
        <w:rPr>
          <w:szCs w:val="12"/>
        </w:rPr>
        <w:fldChar w:fldCharType="begin"/>
      </w:r>
      <w:r>
        <w:instrText xml:space="preserve"> XE "</w:instrText>
      </w:r>
      <w:r w:rsidRPr="000811E6">
        <w:instrText>Petrus de Alvernia</w:instrText>
      </w:r>
      <w:r>
        <w:rPr>
          <w:i/>
          <w:iCs/>
          <w:lang w:val="cs-CZ"/>
        </w:rPr>
        <w:instrText>:</w:instrText>
      </w:r>
      <w:r w:rsidRPr="00FE3FC9">
        <w:rPr>
          <w:i/>
          <w:iCs/>
        </w:rPr>
        <w:instrText>Quaestiones super Prædicamentis</w:instrText>
      </w:r>
      <w:r w:rsidRPr="00FE3FC9">
        <w:rPr>
          <w:szCs w:val="12"/>
        </w:rPr>
        <w:instrText xml:space="preserve"> 68</w:instrText>
      </w:r>
      <w:r>
        <w:instrText xml:space="preserve">" </w:instrText>
      </w:r>
      <w:r>
        <w:rPr>
          <w:szCs w:val="12"/>
        </w:rPr>
        <w:fldChar w:fldCharType="end"/>
      </w:r>
      <w:r w:rsidRPr="00BD222E">
        <w:rPr>
          <w:szCs w:val="12"/>
        </w:rPr>
        <w:t>)</w:t>
      </w:r>
    </w:p>
  </w:footnote>
  <w:footnote w:id="412">
    <w:p w:rsidR="00971E82" w:rsidRPr="00CF0297" w:rsidRDefault="00971E82" w:rsidP="00CF0297">
      <w:pPr>
        <w:pStyle w:val="Textpoznpodarou"/>
      </w:pPr>
      <w:r w:rsidRPr="00CF0297">
        <w:rPr>
          <w:rStyle w:val="Znakapoznpodarou"/>
        </w:rPr>
        <w:footnoteRef/>
      </w:r>
      <w:r w:rsidRPr="00CF0297">
        <w:t xml:space="preserve"> „Sed solummodo </w:t>
      </w:r>
      <w:r w:rsidRPr="00CF0297">
        <w:rPr>
          <w:rStyle w:val="Zkladntext1"/>
          <w:rFonts w:ascii="Calibri" w:eastAsia="Times" w:hAnsi="Calibri"/>
          <w:color w:val="auto"/>
          <w:spacing w:val="0"/>
          <w:sz w:val="20"/>
          <w:szCs w:val="20"/>
          <w:u w:val="none"/>
          <w:lang w:val="x-none"/>
        </w:rPr>
        <w:t>secundum rationem differunt illa tria in Deo</w:t>
      </w:r>
      <w:r w:rsidRPr="00CF0297">
        <w:t xml:space="preserve">, et sunt idem </w:t>
      </w:r>
      <w:r w:rsidRPr="00CF0297">
        <w:rPr>
          <w:rStyle w:val="Zkladntext1"/>
          <w:rFonts w:ascii="Calibri" w:eastAsia="Times" w:hAnsi="Calibri"/>
          <w:color w:val="auto"/>
          <w:spacing w:val="0"/>
          <w:sz w:val="20"/>
          <w:szCs w:val="20"/>
          <w:u w:val="none"/>
          <w:lang w:val="x-none"/>
        </w:rPr>
        <w:t>respectus secundum rem, differentes solo nomine,</w:t>
      </w:r>
      <w:r w:rsidRPr="00CF0297">
        <w:t xml:space="preserve"> quo dicitur creativus, creaturus et creans.“ (</w:t>
      </w:r>
      <w:r w:rsidRPr="00CF0297">
        <w:rPr>
          <w:i/>
        </w:rPr>
        <w:t>Quodlibet</w:t>
      </w:r>
      <w:r w:rsidRPr="00CF0297">
        <w:t xml:space="preserve"> IX, q. 1, ad arg.; ed. Macken, pp. 8.34‒9.36</w:t>
      </w:r>
      <w:r w:rsidRPr="00CF0297">
        <w:fldChar w:fldCharType="begin"/>
      </w:r>
      <w:r w:rsidRPr="00CF0297">
        <w:instrText xml:space="preserve"> XE "Gandavus:Quodlibet 9.8.34‒9.36" </w:instrText>
      </w:r>
      <w:r w:rsidRPr="00CF0297">
        <w:fldChar w:fldCharType="end"/>
      </w:r>
      <w:r w:rsidRPr="00CF0297">
        <w:t>)</w:t>
      </w:r>
    </w:p>
  </w:footnote>
  <w:footnote w:id="413">
    <w:p w:rsidR="00971E82" w:rsidRPr="00337154" w:rsidRDefault="00971E82" w:rsidP="00337154">
      <w:pPr>
        <w:pStyle w:val="Textpoznpodarou"/>
      </w:pPr>
      <w:r w:rsidRPr="00337154">
        <w:rPr>
          <w:rStyle w:val="Znakapoznpodarou"/>
        </w:rPr>
        <w:footnoteRef/>
      </w:r>
      <w:r w:rsidRPr="00337154">
        <w:t xml:space="preserve"> „Nulla est ibi habitudo neque intelligitur. In quibus enim non est alterum in altero</w:t>
      </w:r>
      <w:r w:rsidRPr="00337154">
        <w:rPr>
          <w:rStyle w:val="Zkladntext3Nekurzvadkovn0pt"/>
          <w:rFonts w:ascii="Calibri" w:eastAsia="Times" w:hAnsi="Calibri" w:cs="Times New Roman"/>
          <w:i w:val="0"/>
          <w:iCs w:val="0"/>
          <w:color w:val="auto"/>
          <w:spacing w:val="0"/>
          <w:sz w:val="20"/>
          <w:szCs w:val="20"/>
          <w:lang w:val="x-none"/>
        </w:rPr>
        <w:t xml:space="preserve">, </w:t>
      </w:r>
      <w:r w:rsidRPr="00337154">
        <w:t>ut habitudo in substantia</w:t>
      </w:r>
      <w:r w:rsidRPr="00337154">
        <w:rPr>
          <w:rStyle w:val="Zkladntext3Nekurzvadkovn0pt"/>
          <w:rFonts w:ascii="Calibri" w:eastAsia="Times" w:hAnsi="Calibri" w:cs="Times New Roman"/>
          <w:i w:val="0"/>
          <w:iCs w:val="0"/>
          <w:color w:val="auto"/>
          <w:spacing w:val="0"/>
          <w:sz w:val="20"/>
          <w:szCs w:val="20"/>
          <w:lang w:val="x-none"/>
        </w:rPr>
        <w:t xml:space="preserve">, </w:t>
      </w:r>
      <w:r w:rsidRPr="00337154">
        <w:t>hoc quidem aliud</w:t>
      </w:r>
      <w:r w:rsidRPr="00337154">
        <w:rPr>
          <w:rStyle w:val="Zkladntext3Nekurzvadkovn0pt"/>
          <w:rFonts w:ascii="Calibri" w:eastAsia="Times" w:hAnsi="Calibri" w:cs="Times New Roman"/>
          <w:i w:val="0"/>
          <w:iCs w:val="0"/>
          <w:color w:val="auto"/>
          <w:spacing w:val="0"/>
          <w:sz w:val="20"/>
          <w:szCs w:val="20"/>
          <w:lang w:val="x-none"/>
        </w:rPr>
        <w:t xml:space="preserve">, illud </w:t>
      </w:r>
      <w:r w:rsidRPr="00337154">
        <w:t>a</w:t>
      </w:r>
      <w:r w:rsidRPr="00337154">
        <w:rPr>
          <w:rStyle w:val="Zkladntext32"/>
          <w:rFonts w:eastAsia="Times" w:cs="Times New Roman"/>
          <w:color w:val="auto"/>
          <w:spacing w:val="0"/>
          <w:sz w:val="20"/>
          <w:szCs w:val="20"/>
          <w:lang w:val="x-none"/>
        </w:rPr>
        <w:t>utem aliud, ut ad invicem aliquo modo se habeant</w:t>
      </w:r>
      <w:r w:rsidRPr="00337154">
        <w:rPr>
          <w:rStyle w:val="Zkladntext3Nekurzvadkovn0pt"/>
          <w:rFonts w:ascii="Calibri" w:eastAsia="Times" w:hAnsi="Calibri" w:cs="Times New Roman"/>
          <w:i w:val="0"/>
          <w:iCs w:val="0"/>
          <w:color w:val="auto"/>
          <w:spacing w:val="0"/>
          <w:sz w:val="20"/>
          <w:szCs w:val="20"/>
          <w:lang w:val="x-none"/>
        </w:rPr>
        <w:t xml:space="preserve">, </w:t>
      </w:r>
      <w:r w:rsidRPr="00337154">
        <w:rPr>
          <w:rStyle w:val="Zkladntext32"/>
          <w:rFonts w:eastAsia="Times" w:cs="Times New Roman"/>
          <w:color w:val="auto"/>
          <w:spacing w:val="0"/>
          <w:sz w:val="20"/>
          <w:szCs w:val="20"/>
          <w:lang w:val="x-none"/>
        </w:rPr>
        <w:t>quomod</w:t>
      </w:r>
      <w:r w:rsidRPr="00337154">
        <w:t>o possibile est in isti</w:t>
      </w:r>
      <w:r w:rsidRPr="00337154">
        <w:rPr>
          <w:rStyle w:val="Zkladntext32"/>
          <w:rFonts w:eastAsia="Times" w:cs="Times New Roman"/>
          <w:color w:val="auto"/>
          <w:spacing w:val="0"/>
          <w:sz w:val="20"/>
          <w:szCs w:val="20"/>
          <w:lang w:val="x-none"/>
        </w:rPr>
        <w:t>s ipsum 'ad aliquid' considerari</w:t>
      </w:r>
      <w:r w:rsidRPr="00337154">
        <w:rPr>
          <w:rStyle w:val="Zkladntext3Nekurzvadkovn0pt"/>
          <w:rFonts w:ascii="Calibri" w:eastAsia="Times" w:hAnsi="Calibri" w:cs="Times New Roman"/>
          <w:i w:val="0"/>
          <w:iCs w:val="0"/>
          <w:color w:val="auto"/>
          <w:spacing w:val="0"/>
          <w:sz w:val="20"/>
          <w:szCs w:val="20"/>
          <w:lang w:val="x-none"/>
        </w:rPr>
        <w:t xml:space="preserve">, </w:t>
      </w:r>
      <w:r w:rsidRPr="00337154">
        <w:rPr>
          <w:rStyle w:val="Zkladntext32"/>
          <w:rFonts w:eastAsia="Times" w:cs="Times New Roman"/>
          <w:color w:val="auto"/>
          <w:spacing w:val="0"/>
          <w:sz w:val="20"/>
          <w:szCs w:val="20"/>
          <w:lang w:val="x-none"/>
        </w:rPr>
        <w:t>nisi secundum aliqua</w:t>
      </w:r>
      <w:r w:rsidRPr="00337154">
        <w:t xml:space="preserve">m </w:t>
      </w:r>
      <w:r w:rsidRPr="00337154">
        <w:rPr>
          <w:rStyle w:val="Zkladntext32"/>
          <w:rFonts w:eastAsia="Times" w:cs="Times New Roman"/>
          <w:color w:val="auto"/>
          <w:spacing w:val="0"/>
          <w:sz w:val="20"/>
          <w:szCs w:val="20"/>
          <w:lang w:val="x-none"/>
        </w:rPr>
        <w:t>analogiam</w:t>
      </w:r>
      <w:r w:rsidRPr="00337154">
        <w:rPr>
          <w:rStyle w:val="Zkladntext3Nekurzvadkovn0pt"/>
          <w:rFonts w:ascii="Calibri" w:eastAsia="Times" w:hAnsi="Calibri" w:cs="Times New Roman"/>
          <w:i w:val="0"/>
          <w:iCs w:val="0"/>
          <w:color w:val="auto"/>
          <w:spacing w:val="0"/>
          <w:sz w:val="20"/>
          <w:szCs w:val="20"/>
          <w:lang w:val="x-none"/>
        </w:rPr>
        <w:t xml:space="preserve">, </w:t>
      </w:r>
      <w:r w:rsidRPr="00337154">
        <w:rPr>
          <w:rStyle w:val="Zkladntext32"/>
          <w:rFonts w:eastAsia="Times" w:cs="Times New Roman"/>
          <w:color w:val="auto"/>
          <w:spacing w:val="0"/>
          <w:sz w:val="20"/>
          <w:szCs w:val="20"/>
          <w:lang w:val="x-none"/>
        </w:rPr>
        <w:t>sicut et causas dicimus ibi et caus</w:t>
      </w:r>
      <w:r w:rsidRPr="00337154">
        <w:t>ata?“ (</w:t>
      </w:r>
      <w:r w:rsidRPr="008E0E54">
        <w:rPr>
          <w:i/>
        </w:rPr>
        <w:t>Quodlibet IX</w:t>
      </w:r>
      <w:r w:rsidRPr="00337154">
        <w:t>, q. 1, ad arg.; ed. Macken, p. 17.47‒51</w:t>
      </w:r>
      <w:r w:rsidRPr="00337154">
        <w:fldChar w:fldCharType="begin"/>
      </w:r>
      <w:r w:rsidRPr="00337154">
        <w:instrText xml:space="preserve"> XE "Gandavus:</w:instrText>
      </w:r>
      <w:r w:rsidRPr="008E0E54">
        <w:rPr>
          <w:i/>
        </w:rPr>
        <w:instrText>Quodlibet</w:instrText>
      </w:r>
      <w:r w:rsidRPr="00337154">
        <w:instrText xml:space="preserve"> 9.17.47‒51" </w:instrText>
      </w:r>
      <w:r w:rsidRPr="00337154">
        <w:fldChar w:fldCharType="end"/>
      </w:r>
      <w:r w:rsidRPr="00337154">
        <w:t>)</w:t>
      </w:r>
    </w:p>
  </w:footnote>
  <w:footnote w:id="414">
    <w:p w:rsidR="00971E82" w:rsidRPr="004B2676" w:rsidRDefault="00971E82" w:rsidP="08163013">
      <w:pPr>
        <w:pStyle w:val="Textpoznpodarou"/>
        <w:rPr>
          <w:noProof/>
          <w:lang w:val="cs-CZ"/>
        </w:rPr>
      </w:pPr>
      <w:r>
        <w:rPr>
          <w:rStyle w:val="Znakapoznpodarou"/>
        </w:rPr>
        <w:footnoteRef/>
      </w:r>
      <w:r>
        <w:t xml:space="preserve"> </w:t>
      </w:r>
      <w:r w:rsidRPr="00273106">
        <w:rPr>
          <w:noProof/>
        </w:rPr>
        <w:t>„</w:t>
      </w:r>
      <w:r>
        <w:rPr>
          <w:noProof/>
          <w:lang w:val="cs-CZ"/>
        </w:rPr>
        <w:t>D</w:t>
      </w:r>
      <w:r w:rsidRPr="00273106">
        <w:rPr>
          <w:noProof/>
        </w:rPr>
        <w:t>eus secundum tertium modum relationis, qui consistit in commensurationibus, essentia sua refertur ad creaturam quia creatura refertur ad ipsum, quoniam sua essentia, ratione qua est essentia simpliciter, est unica mensura omnium creaturarum et id quo simpliciter quantitas et gradus essentiae earum habet cognosci, et hoc per se et ex se. Quod tamen ipsa essentia divina ut mensura per se, cognoscitur determinate quantitas essentiae creaturae secundum gradum determinatum, hoc non est nisi in quantum continet perfectiones earum, secundum quod haec patebunt in sequente quaestione.“ (</w:t>
      </w:r>
      <w:r w:rsidRPr="00273106">
        <w:rPr>
          <w:i/>
          <w:noProof/>
        </w:rPr>
        <w:t>Quodlibet</w:t>
      </w:r>
      <w:r w:rsidRPr="00273106">
        <w:rPr>
          <w:noProof/>
        </w:rPr>
        <w:t xml:space="preserve"> </w:t>
      </w:r>
      <w:r w:rsidRPr="08A132C2">
        <w:rPr>
          <w:noProof/>
        </w:rPr>
        <w:t>IX</w:t>
      </w:r>
      <w:r w:rsidRPr="00273106">
        <w:rPr>
          <w:noProof/>
        </w:rPr>
        <w:t>, q. 1, ad arg.; ed. Macken, p. 24.27‒36</w:t>
      </w:r>
      <w:r>
        <w:rPr>
          <w:noProof/>
        </w:rPr>
        <w:fldChar w:fldCharType="begin"/>
      </w:r>
      <w:r>
        <w:instrText xml:space="preserve"> XE "</w:instrText>
      </w:r>
      <w:r>
        <w:rPr>
          <w:lang w:val="cs-CZ"/>
        </w:rPr>
        <w:instrText>Gandavus:</w:instrText>
      </w:r>
      <w:r w:rsidRPr="006E2579">
        <w:rPr>
          <w:i/>
          <w:noProof/>
        </w:rPr>
        <w:instrText>Quodlibet</w:instrText>
      </w:r>
      <w:r w:rsidRPr="006E2579">
        <w:rPr>
          <w:noProof/>
        </w:rPr>
        <w:instrText xml:space="preserve"> </w:instrText>
      </w:r>
      <w:r>
        <w:rPr>
          <w:noProof/>
          <w:lang w:val="cs-CZ"/>
        </w:rPr>
        <w:instrText>9.</w:instrText>
      </w:r>
      <w:r w:rsidRPr="006E2579">
        <w:rPr>
          <w:noProof/>
        </w:rPr>
        <w:instrText>4.27‒36</w:instrText>
      </w:r>
      <w:r>
        <w:instrText xml:space="preserve">" </w:instrText>
      </w:r>
      <w:r>
        <w:rPr>
          <w:noProof/>
        </w:rPr>
        <w:fldChar w:fldCharType="end"/>
      </w:r>
      <w:r w:rsidRPr="00273106">
        <w:rPr>
          <w:noProof/>
        </w:rPr>
        <w:t>)</w:t>
      </w:r>
    </w:p>
  </w:footnote>
  <w:footnote w:id="415">
    <w:p w:rsidR="00971E82" w:rsidRPr="008A298C" w:rsidRDefault="00971E82" w:rsidP="00E527C5">
      <w:pPr>
        <w:pStyle w:val="Textpoznpodarou"/>
      </w:pPr>
      <w:r>
        <w:rPr>
          <w:rStyle w:val="Znakapoznpodarou"/>
        </w:rPr>
        <w:footnoteRef/>
      </w:r>
      <w:r>
        <w:t xml:space="preserve"> „</w:t>
      </w:r>
      <w:r>
        <w:rPr>
          <w:lang w:val="cs-CZ"/>
        </w:rPr>
        <w:t>N</w:t>
      </w:r>
      <w:r w:rsidRPr="00CD0AA3">
        <w:t>ecesse est ponere ideas plures in Deo, quibus in notitia sua habet</w:t>
      </w:r>
      <w:r>
        <w:t xml:space="preserve"> </w:t>
      </w:r>
      <w:r w:rsidRPr="00CD0AA3">
        <w:t>praesentialiter</w:t>
      </w:r>
      <w:r>
        <w:t>,</w:t>
      </w:r>
      <w:r w:rsidRPr="00CD0AA3">
        <w:t xml:space="preserve"> ut in mundo archetypo, singula praesentia ab aeterno, et quae numquam futura erant in existentia</w:t>
      </w:r>
      <w:r>
        <w:t xml:space="preserve">, </w:t>
      </w:r>
      <w:r w:rsidRPr="00CD0AA3">
        <w:t>possibilia tamen fieri, et quae erant futura, et hoc in esse suo quidditativo quod sunt per suam essentiam per divinam scientiam constitutam.</w:t>
      </w:r>
      <w:r>
        <w:t>“</w:t>
      </w:r>
      <w:r w:rsidRPr="00CD0AA3">
        <w:t xml:space="preserve"> </w:t>
      </w:r>
      <w:r>
        <w:t>(</w:t>
      </w:r>
      <w:r w:rsidRPr="00774898">
        <w:rPr>
          <w:i/>
        </w:rPr>
        <w:t>Quodlibet</w:t>
      </w:r>
      <w:r>
        <w:t xml:space="preserve"> IX, q. 2, solutio; ed. Macken, p. 34.18‒22</w:t>
      </w:r>
      <w:r>
        <w:fldChar w:fldCharType="begin"/>
      </w:r>
      <w:r>
        <w:instrText xml:space="preserve"> XE "</w:instrText>
      </w:r>
      <w:r>
        <w:rPr>
          <w:lang w:val="cs-CZ"/>
        </w:rPr>
        <w:instrText>Gandavus:</w:instrText>
      </w:r>
      <w:r w:rsidRPr="00070F67">
        <w:rPr>
          <w:i/>
        </w:rPr>
        <w:instrText>Quodlibet</w:instrText>
      </w:r>
      <w:r w:rsidRPr="00070F67">
        <w:instrText xml:space="preserve"> </w:instrText>
      </w:r>
      <w:r>
        <w:rPr>
          <w:lang w:val="cs-CZ"/>
        </w:rPr>
        <w:instrText>9.</w:instrText>
      </w:r>
      <w:r w:rsidRPr="00070F67">
        <w:instrText>34.18‒22</w:instrText>
      </w:r>
      <w:r>
        <w:instrText xml:space="preserve">" </w:instrText>
      </w:r>
      <w:r>
        <w:fldChar w:fldCharType="end"/>
      </w:r>
      <w:r>
        <w:t>)</w:t>
      </w:r>
    </w:p>
  </w:footnote>
  <w:footnote w:id="416">
    <w:p w:rsidR="00971E82" w:rsidRPr="00C90ECA" w:rsidRDefault="00971E82" w:rsidP="08163013">
      <w:pPr>
        <w:pStyle w:val="Textpoznpodarou"/>
      </w:pPr>
      <w:r>
        <w:rPr>
          <w:rStyle w:val="Znakapoznpodarou"/>
        </w:rPr>
        <w:footnoteRef/>
      </w:r>
      <w:r>
        <w:t xml:space="preserve"> „Primo modo nihil est obiectum per se divini intelle</w:t>
      </w:r>
      <w:r w:rsidRPr="00973EED">
        <w:t>ctus</w:t>
      </w:r>
      <w:r>
        <w:t>,</w:t>
      </w:r>
      <w:r w:rsidRPr="00973EED">
        <w:t xml:space="preserve"> nisi ipsa divina essentia ut est intelligibile quoddam habens rationem veri, quoniam</w:t>
      </w:r>
      <w:r>
        <w:t>, ut dicit Philosophus in XII</w:t>
      </w:r>
      <w:r w:rsidRPr="00973EED">
        <w:t xml:space="preserve"> </w:t>
      </w:r>
      <w:r w:rsidRPr="00B664F6">
        <w:rPr>
          <w:i/>
        </w:rPr>
        <w:t>Metaphysicae</w:t>
      </w:r>
      <w:r w:rsidRPr="00973EED">
        <w:t xml:space="preserve"> secund</w:t>
      </w:r>
      <w:r>
        <w:t>um expositionem Commentatoris: «</w:t>
      </w:r>
      <w:r w:rsidRPr="00973EED">
        <w:t>Intellectum est perfectio intelligentis, scilicet in quantum movet ipsum ad suam perfectionem quae est intelligere.</w:t>
      </w:r>
      <w:r>
        <w:t xml:space="preserve"> </w:t>
      </w:r>
      <w:r w:rsidRPr="00B664F6">
        <w:t xml:space="preserve">Et sic, </w:t>
      </w:r>
      <w:r w:rsidRPr="00B664F6">
        <w:rPr>
          <w:i/>
        </w:rPr>
        <w:t>si aliud</w:t>
      </w:r>
      <w:r w:rsidRPr="00B664F6">
        <w:t xml:space="preserve"> a sua essentia esset per se obiectum informans divinum intellectum actu intelligendi, </w:t>
      </w:r>
      <w:r w:rsidRPr="00B664F6">
        <w:rPr>
          <w:i/>
        </w:rPr>
        <w:t>tunc substantia sua non esset nobilissima omnium, quia nobilitas non est ei nisi quia perficitur per aliud: quod aliud necesse est ut sit nobilius eo.</w:t>
      </w:r>
      <w:r>
        <w:t>»“ (</w:t>
      </w:r>
      <w:r w:rsidRPr="00774898">
        <w:rPr>
          <w:i/>
        </w:rPr>
        <w:t>Quodlibet</w:t>
      </w:r>
      <w:r>
        <w:t xml:space="preserve"> IX, q. 2, solutio; ed. Macken, p. 27.28‒36</w:t>
      </w:r>
      <w:r>
        <w:fldChar w:fldCharType="begin"/>
      </w:r>
      <w:r>
        <w:instrText xml:space="preserve"> XE "</w:instrText>
      </w:r>
      <w:r>
        <w:rPr>
          <w:lang w:val="cs-CZ"/>
        </w:rPr>
        <w:instrText>Gandavus:</w:instrText>
      </w:r>
      <w:r w:rsidRPr="00DB2628">
        <w:rPr>
          <w:i/>
        </w:rPr>
        <w:instrText>Quodlibet</w:instrText>
      </w:r>
      <w:r w:rsidRPr="00DB2628">
        <w:instrText xml:space="preserve"> </w:instrText>
      </w:r>
      <w:r>
        <w:rPr>
          <w:lang w:val="cs-CZ"/>
        </w:rPr>
        <w:instrText>9.</w:instrText>
      </w:r>
      <w:r w:rsidRPr="00DB2628">
        <w:instrText>27.28‒36</w:instrText>
      </w:r>
      <w:r>
        <w:instrText xml:space="preserve">" </w:instrText>
      </w:r>
      <w:r>
        <w:fldChar w:fldCharType="end"/>
      </w:r>
      <w:r>
        <w:t>)</w:t>
      </w:r>
    </w:p>
  </w:footnote>
  <w:footnote w:id="417">
    <w:p w:rsidR="00971E82" w:rsidRPr="00103161" w:rsidRDefault="00971E82" w:rsidP="08163013">
      <w:pPr>
        <w:pStyle w:val="Textpoznpodarou"/>
        <w:rPr>
          <w:noProof/>
          <w:lang w:val="cs-CZ"/>
        </w:rPr>
      </w:pPr>
      <w:r>
        <w:rPr>
          <w:rStyle w:val="Znakapoznpodarou"/>
        </w:rPr>
        <w:footnoteRef/>
      </w:r>
      <w:r>
        <w:t xml:space="preserve"> </w:t>
      </w:r>
      <w:r w:rsidRPr="00273106">
        <w:rPr>
          <w:noProof/>
        </w:rPr>
        <w:t>„Circa primum istorum modorum, qui consistit in proportione secundum formam, sciendum est quod communicantia in forma possunt communicare ea, puta similia, quadrupliciter: uno modo simpliciter et absolute, nulla praerogativa secundum formam existente in uno super alterum; alio modo in altero eorum existente secundum formam aliqua praerogativa, et hoc tripliciter: vel secundum rationem intentionis, vel secundum rationem imitationis, vel secundum rationem productionis.“ (</w:t>
      </w:r>
      <w:r w:rsidRPr="00273106">
        <w:rPr>
          <w:i/>
          <w:noProof/>
        </w:rPr>
        <w:t>Quodlibet</w:t>
      </w:r>
      <w:r w:rsidRPr="00273106">
        <w:rPr>
          <w:noProof/>
        </w:rPr>
        <w:t xml:space="preserve"> IX, q. 1, ad arg.; ed. Macken, pp. 20.32‒21.40</w:t>
      </w:r>
      <w:r>
        <w:rPr>
          <w:noProof/>
        </w:rPr>
        <w:fldChar w:fldCharType="begin"/>
      </w:r>
      <w:r>
        <w:instrText xml:space="preserve"> XE "</w:instrText>
      </w:r>
      <w:r>
        <w:rPr>
          <w:lang w:val="cs-CZ"/>
        </w:rPr>
        <w:instrText>Gandavus:</w:instrText>
      </w:r>
      <w:r w:rsidRPr="001A72DE">
        <w:rPr>
          <w:i/>
          <w:noProof/>
        </w:rPr>
        <w:instrText>Quodlibet</w:instrText>
      </w:r>
      <w:r w:rsidRPr="001A72DE">
        <w:rPr>
          <w:noProof/>
        </w:rPr>
        <w:instrText xml:space="preserve"> </w:instrText>
      </w:r>
      <w:r>
        <w:rPr>
          <w:noProof/>
          <w:lang w:val="cs-CZ"/>
        </w:rPr>
        <w:instrText>9.</w:instrText>
      </w:r>
      <w:r w:rsidRPr="001A72DE">
        <w:rPr>
          <w:noProof/>
        </w:rPr>
        <w:instrText>20.32‒21.40</w:instrText>
      </w:r>
      <w:r>
        <w:instrText xml:space="preserve">" </w:instrText>
      </w:r>
      <w:r>
        <w:rPr>
          <w:noProof/>
        </w:rPr>
        <w:fldChar w:fldCharType="end"/>
      </w:r>
      <w:r w:rsidRPr="00273106">
        <w:rPr>
          <w:noProof/>
        </w:rPr>
        <w:t>)</w:t>
      </w:r>
    </w:p>
  </w:footnote>
  <w:footnote w:id="418">
    <w:p w:rsidR="00971E82" w:rsidRPr="006C4ED1" w:rsidRDefault="00971E82" w:rsidP="08163013">
      <w:pPr>
        <w:pStyle w:val="Textpoznpodarou"/>
      </w:pPr>
      <w:r>
        <w:rPr>
          <w:rStyle w:val="Znakapoznpodarou"/>
        </w:rPr>
        <w:footnoteRef/>
      </w:r>
      <w:r>
        <w:t xml:space="preserve"> „Modus essendi diversus non necessario infert diversitatem praedicamentorum realem, cum eadem essentia possit in diversis temporibus et suppositis diversos modos essendi habere, et essentia unius generis et maxime generis generalissimi habet modos essendi diversissimos in diversis speciebus...“ (</w:t>
      </w:r>
      <w:r>
        <w:rPr>
          <w:i/>
        </w:rPr>
        <w:t>Quaestiones in secundum librum Sententiarum</w:t>
      </w:r>
      <w:r>
        <w:t>, q. 28; ed. Jansen, t. I</w:t>
      </w:r>
      <w:r w:rsidRPr="00756846">
        <w:t xml:space="preserve">, p. </w:t>
      </w:r>
      <w:r>
        <w:t>486</w:t>
      </w:r>
      <w:r>
        <w:fldChar w:fldCharType="begin"/>
      </w:r>
      <w:r>
        <w:instrText xml:space="preserve"> XE "</w:instrText>
      </w:r>
      <w:r>
        <w:rPr>
          <w:lang w:val="cs-CZ"/>
        </w:rPr>
        <w:instrText>Olivi:</w:instrText>
      </w:r>
      <w:r>
        <w:rPr>
          <w:i/>
        </w:rPr>
        <w:instrText>Quaestiones in secundum librum Sententiarum</w:instrText>
      </w:r>
      <w:r>
        <w:rPr>
          <w:lang w:val="cs-CZ"/>
        </w:rPr>
        <w:instrText xml:space="preserve"> </w:instrText>
      </w:r>
      <w:r w:rsidRPr="003F0DE9">
        <w:instrText>486</w:instrText>
      </w:r>
      <w:r>
        <w:instrText xml:space="preserve">" </w:instrText>
      </w:r>
      <w:r>
        <w:fldChar w:fldCharType="end"/>
      </w:r>
      <w:r>
        <w:t>)</w:t>
      </w:r>
    </w:p>
  </w:footnote>
  <w:footnote w:id="419">
    <w:p w:rsidR="00971E82" w:rsidRPr="00963425" w:rsidRDefault="00971E82" w:rsidP="08163013">
      <w:pPr>
        <w:pStyle w:val="Textpoznpodarou"/>
      </w:pPr>
      <w:r>
        <w:rPr>
          <w:rStyle w:val="Znakapoznpodarou"/>
        </w:rPr>
        <w:footnoteRef/>
      </w:r>
      <w:r>
        <w:t xml:space="preserve"> „</w:t>
      </w:r>
      <w:r w:rsidRPr="00494298">
        <w:t>Ut sunt nomina primae impositionis, dic</w:t>
      </w:r>
      <w:r w:rsidRPr="00494298">
        <w:softHyphen/>
        <w:t xml:space="preserve">itur VII </w:t>
      </w:r>
      <w:r w:rsidRPr="00494298">
        <w:rPr>
          <w:i/>
        </w:rPr>
        <w:t>Metaphysicae</w:t>
      </w:r>
      <w:r w:rsidRPr="00494298">
        <w:t xml:space="preserve"> </w:t>
      </w:r>
      <w:r>
        <w:t>[Met. 1028a18‒20] '</w:t>
      </w:r>
      <w:r w:rsidRPr="00494298">
        <w:t xml:space="preserve">accidentis esse est </w:t>
      </w:r>
      <w:r>
        <w:t>inesse'</w:t>
      </w:r>
      <w:r w:rsidRPr="00494298">
        <w:t>; et h</w:t>
      </w:r>
      <w:r>
        <w:t>oc de accidente reali de quo lo</w:t>
      </w:r>
      <w:r w:rsidRPr="00494298">
        <w:t xml:space="preserve">quitur ibi. </w:t>
      </w:r>
      <w:r>
        <w:rPr>
          <w:color w:val="000000"/>
        </w:rPr>
        <w:t xml:space="preserve">(...) </w:t>
      </w:r>
      <w:r>
        <w:t>Alio modo '</w:t>
      </w:r>
      <w:r w:rsidRPr="009E13D8">
        <w:t>ad</w:t>
      </w:r>
      <w:r>
        <w:t>esse' vel 'abesse'</w:t>
      </w:r>
      <w:r w:rsidRPr="009E13D8">
        <w:t xml:space="preserve"> est nomen secundae impositionis et sig</w:t>
      </w:r>
      <w:r w:rsidRPr="009E13D8">
        <w:softHyphen/>
        <w:t>nificat praedicationem eorum quae sunt extra essentiam subiecti vel alte</w:t>
      </w:r>
      <w:r>
        <w:t>rius generis a subiecto, sicut 'praedicari de'</w:t>
      </w:r>
      <w:r w:rsidRPr="009E13D8">
        <w:t xml:space="preserve"> dicit propriam praedicationem essentialium quae sunt in eodem genere cum subiec</w:t>
      </w:r>
      <w:r>
        <w:t>to</w:t>
      </w:r>
      <w:r w:rsidRPr="00963425">
        <w:t>.“ (</w:t>
      </w:r>
      <w:r w:rsidRPr="00963425">
        <w:rPr>
          <w:i/>
        </w:rPr>
        <w:t xml:space="preserve">Quaestiones in Librum </w:t>
      </w:r>
      <w:r w:rsidRPr="00963425">
        <w:rPr>
          <w:rFonts w:eastAsia="AngsanaUPC"/>
          <w:i/>
        </w:rPr>
        <w:t>Porphirii Isagoge</w:t>
      </w:r>
      <w:r w:rsidRPr="00963425">
        <w:rPr>
          <w:rFonts w:eastAsia="AngsanaUPC"/>
        </w:rPr>
        <w:t xml:space="preserve">, </w:t>
      </w:r>
      <w:r w:rsidRPr="00963425">
        <w:t>q. 35, n. 8; ed. Opera philosophica [OPh] I, 221.7‒13</w:t>
      </w:r>
      <w:r w:rsidRPr="00963425">
        <w:fldChar w:fldCharType="begin"/>
      </w:r>
      <w:r w:rsidRPr="00963425">
        <w:instrText xml:space="preserve"> XE "Scotus:</w:instrText>
      </w:r>
      <w:r w:rsidRPr="00963425">
        <w:rPr>
          <w:i/>
        </w:rPr>
        <w:instrText xml:space="preserve">Quaestiones in Librum </w:instrText>
      </w:r>
      <w:r w:rsidRPr="00963425">
        <w:rPr>
          <w:rFonts w:eastAsia="AngsanaUPC"/>
          <w:i/>
        </w:rPr>
        <w:instrText>Porphirii Isagoge</w:instrText>
      </w:r>
      <w:r w:rsidRPr="00963425">
        <w:instrText xml:space="preserve"> 221.7‒13" </w:instrText>
      </w:r>
      <w:r w:rsidRPr="00963425">
        <w:fldChar w:fldCharType="end"/>
      </w:r>
      <w:r w:rsidRPr="00963425">
        <w:t>)</w:t>
      </w:r>
    </w:p>
  </w:footnote>
  <w:footnote w:id="420">
    <w:p w:rsidR="00971E82" w:rsidRPr="00192CEC" w:rsidRDefault="00971E82" w:rsidP="08163013">
      <w:pPr>
        <w:pStyle w:val="Textpoznpodarou"/>
      </w:pPr>
      <w:r>
        <w:rPr>
          <w:rStyle w:val="Znakapoznpodarou"/>
        </w:rPr>
        <w:footnoteRef/>
      </w:r>
      <w:r>
        <w:t xml:space="preserve"> „</w:t>
      </w:r>
      <w:r w:rsidRPr="009360CE">
        <w:t>Dicitur ad quaestionem quod decem praedicamenta possunt dupliciter considerari: uno modo in quantum sunt entia; alio modo in quantum considerantur a ratione, sive in quantum aliqua proprietas causata ab intellectu eis attribuitur. Prim</w:t>
      </w:r>
      <w:r>
        <w:t>o modo de eis considerat metaphy</w:t>
      </w:r>
      <w:r w:rsidRPr="009360CE">
        <w:t>sicus; subiectum</w:t>
      </w:r>
      <w:r>
        <w:fldChar w:fldCharType="begin"/>
      </w:r>
      <w:r>
        <w:instrText xml:space="preserve"> XE "</w:instrText>
      </w:r>
      <w:r w:rsidRPr="00360013">
        <w:rPr>
          <w:i/>
        </w:rPr>
        <w:instrText>subiectum:</w:instrText>
      </w:r>
      <w:r w:rsidRPr="00360013">
        <w:instrText>třetího druhu</w:instrText>
      </w:r>
      <w:r>
        <w:instrText xml:space="preserve">" </w:instrText>
      </w:r>
      <w:r>
        <w:fldChar w:fldCharType="end"/>
      </w:r>
      <w:r w:rsidRPr="009360CE">
        <w:t xml:space="preserve"> enim eius primum est ens in quantum ens.</w:t>
      </w:r>
      <w:r>
        <w:t>“ (</w:t>
      </w:r>
      <w:r>
        <w:rPr>
          <w:i/>
        </w:rPr>
        <w:t>Quaestiones</w:t>
      </w:r>
      <w:r w:rsidRPr="001A7A96">
        <w:rPr>
          <w:i/>
        </w:rPr>
        <w:t xml:space="preserve"> super Praedicamenta Aristotelis</w:t>
      </w:r>
      <w:r>
        <w:t xml:space="preserve">, q. 2, no. 5‒6; </w:t>
      </w:r>
      <w:r w:rsidRPr="00A53296">
        <w:t>O</w:t>
      </w:r>
      <w:r>
        <w:t>Ph I, 258.11‒16</w:t>
      </w:r>
      <w:r>
        <w:fldChar w:fldCharType="begin"/>
      </w:r>
      <w:r>
        <w:instrText xml:space="preserve"> XE "</w:instrText>
      </w:r>
      <w:r>
        <w:rPr>
          <w:lang w:val="cs-CZ"/>
        </w:rPr>
        <w:instrText>Scotus:</w:instrText>
      </w:r>
      <w:r>
        <w:rPr>
          <w:i/>
        </w:rPr>
        <w:instrText>Quaestiones</w:instrText>
      </w:r>
      <w:r w:rsidRPr="006844CE">
        <w:rPr>
          <w:i/>
        </w:rPr>
        <w:instrText xml:space="preserve"> super Praedicamenta Aristotelis</w:instrText>
      </w:r>
      <w:r>
        <w:rPr>
          <w:i/>
          <w:lang w:val="cs-CZ"/>
        </w:rPr>
        <w:instrText xml:space="preserve"> </w:instrText>
      </w:r>
      <w:r w:rsidRPr="006844CE">
        <w:instrText>258.11‒16</w:instrText>
      </w:r>
      <w:r>
        <w:instrText xml:space="preserve">" </w:instrText>
      </w:r>
      <w:r>
        <w:fldChar w:fldCharType="end"/>
      </w:r>
      <w:r>
        <w:t>)</w:t>
      </w:r>
    </w:p>
  </w:footnote>
  <w:footnote w:id="421">
    <w:p w:rsidR="00971E82" w:rsidRPr="00E7662D" w:rsidRDefault="00971E82" w:rsidP="08163013">
      <w:pPr>
        <w:pStyle w:val="Textpoznpodarou"/>
        <w:rPr>
          <w:noProof/>
          <w:lang w:val="cs-CZ"/>
        </w:rPr>
      </w:pPr>
      <w:r>
        <w:rPr>
          <w:rStyle w:val="Znakapoznpodarou"/>
        </w:rPr>
        <w:footnoteRef/>
      </w:r>
      <w:r>
        <w:t xml:space="preserve"> </w:t>
      </w:r>
      <w:r w:rsidRPr="00273106">
        <w:rPr>
          <w:noProof/>
        </w:rPr>
        <w:t xml:space="preserve">„Sed cum ista decem non sint subiectum unius scientiae realis, scilicet metaphysicae, nisi in quantum est in istis unum primum ad quod alia attribuantur, ut habetur IV </w:t>
      </w:r>
      <w:r w:rsidRPr="00273106">
        <w:rPr>
          <w:i/>
          <w:noProof/>
        </w:rPr>
        <w:t>Metaphysicae</w:t>
      </w:r>
      <w:r w:rsidRPr="00273106">
        <w:rPr>
          <w:noProof/>
        </w:rPr>
        <w:t>; et in quantum considerantur a ratione nullum est ad quod attribuantur, quomodo sunt unum subiectum?“ (</w:t>
      </w:r>
      <w:r>
        <w:rPr>
          <w:i/>
          <w:noProof/>
        </w:rPr>
        <w:t>Quaestiones</w:t>
      </w:r>
      <w:r w:rsidRPr="00273106">
        <w:rPr>
          <w:i/>
          <w:noProof/>
        </w:rPr>
        <w:t xml:space="preserve"> super Praedicamenta Aristotelis</w:t>
      </w:r>
      <w:r w:rsidRPr="00273106">
        <w:rPr>
          <w:noProof/>
        </w:rPr>
        <w:t xml:space="preserve">, q. 2, no. 8; OPh I, </w:t>
      </w:r>
      <w:r>
        <w:rPr>
          <w:noProof/>
          <w:lang w:val="cs-CZ"/>
        </w:rPr>
        <w:t xml:space="preserve">pp. </w:t>
      </w:r>
      <w:r w:rsidRPr="00273106">
        <w:rPr>
          <w:noProof/>
        </w:rPr>
        <w:t>259.14‒260.12</w:t>
      </w:r>
      <w:r>
        <w:rPr>
          <w:noProof/>
        </w:rPr>
        <w:fldChar w:fldCharType="begin"/>
      </w:r>
      <w:r>
        <w:instrText xml:space="preserve"> XE "</w:instrText>
      </w:r>
      <w:r>
        <w:rPr>
          <w:lang w:val="cs-CZ"/>
        </w:rPr>
        <w:instrText>Scotus:</w:instrText>
      </w:r>
      <w:r>
        <w:rPr>
          <w:i/>
          <w:noProof/>
        </w:rPr>
        <w:instrText>Quaestiones</w:instrText>
      </w:r>
      <w:r w:rsidRPr="00BE436E">
        <w:rPr>
          <w:i/>
          <w:noProof/>
        </w:rPr>
        <w:instrText xml:space="preserve"> super Praedicamenta Aristotelis</w:instrText>
      </w:r>
      <w:r>
        <w:rPr>
          <w:i/>
          <w:noProof/>
          <w:lang w:val="cs-CZ"/>
        </w:rPr>
        <w:instrText xml:space="preserve"> </w:instrText>
      </w:r>
      <w:r w:rsidRPr="00BE436E">
        <w:rPr>
          <w:noProof/>
        </w:rPr>
        <w:instrText>259.14‒260.12</w:instrText>
      </w:r>
      <w:r>
        <w:instrText xml:space="preserve">" </w:instrText>
      </w:r>
      <w:r>
        <w:rPr>
          <w:noProof/>
        </w:rPr>
        <w:fldChar w:fldCharType="end"/>
      </w:r>
      <w:r w:rsidRPr="00273106">
        <w:rPr>
          <w:noProof/>
        </w:rPr>
        <w:t>)</w:t>
      </w:r>
    </w:p>
  </w:footnote>
  <w:footnote w:id="422">
    <w:p w:rsidR="00971E82" w:rsidRPr="00C86EDA" w:rsidRDefault="00971E82" w:rsidP="08163013">
      <w:pPr>
        <w:pStyle w:val="Textpoznpodarou"/>
      </w:pPr>
      <w:r>
        <w:rPr>
          <w:rStyle w:val="Znakapoznpodarou"/>
        </w:rPr>
        <w:footnoteRef/>
      </w:r>
      <w:r>
        <w:t xml:space="preserve"> „</w:t>
      </w:r>
      <w:r w:rsidRPr="00B5059E">
        <w:t>Hic potest dici quod illa non est interpretatio albi, quia 'album' tantum significat formam sub uno modo significandi. Sed hoc totum 'albedo ut concernens' significat formam sub duobus modis oppositis, quia 'albedo' significat formam sub uno modo, et 'ut concernens' dicit alium modum oppositum.</w:t>
      </w:r>
      <w:r>
        <w:t>“ (</w:t>
      </w:r>
      <w:r>
        <w:rPr>
          <w:i/>
          <w:noProof/>
        </w:rPr>
        <w:t>Quaestiones</w:t>
      </w:r>
      <w:r w:rsidRPr="00273106">
        <w:rPr>
          <w:i/>
          <w:noProof/>
        </w:rPr>
        <w:t xml:space="preserve"> super Praedicamenta Aristotelis</w:t>
      </w:r>
      <w:r>
        <w:t>, q. 8, no. 33; OPh I, 324.7‒11</w:t>
      </w:r>
      <w:r>
        <w:rPr>
          <w:noProof/>
        </w:rPr>
        <w:fldChar w:fldCharType="begin"/>
      </w:r>
      <w:r>
        <w:instrText xml:space="preserve"> XE "</w:instrText>
      </w:r>
      <w:r>
        <w:rPr>
          <w:lang w:val="cs-CZ"/>
        </w:rPr>
        <w:instrText>Scotus:</w:instrText>
      </w:r>
      <w:r>
        <w:rPr>
          <w:i/>
          <w:noProof/>
        </w:rPr>
        <w:instrText>Quaestiones</w:instrText>
      </w:r>
      <w:r w:rsidRPr="00BE436E">
        <w:rPr>
          <w:i/>
          <w:noProof/>
        </w:rPr>
        <w:instrText xml:space="preserve"> super Praedicamenta Aristotelis</w:instrText>
      </w:r>
      <w:r>
        <w:rPr>
          <w:i/>
          <w:noProof/>
          <w:lang w:val="cs-CZ"/>
        </w:rPr>
        <w:instrText xml:space="preserve"> </w:instrText>
      </w:r>
      <w:r>
        <w:rPr>
          <w:noProof/>
          <w:lang w:val="cs-CZ"/>
        </w:rPr>
        <w:instrText>324</w:instrText>
      </w:r>
      <w:r w:rsidRPr="00BE436E">
        <w:rPr>
          <w:noProof/>
        </w:rPr>
        <w:instrText>.</w:instrText>
      </w:r>
      <w:r>
        <w:rPr>
          <w:noProof/>
          <w:lang w:val="cs-CZ"/>
        </w:rPr>
        <w:instrText>7</w:instrText>
      </w:r>
      <w:r w:rsidRPr="00BE436E">
        <w:rPr>
          <w:noProof/>
        </w:rPr>
        <w:instrText>‒</w:instrText>
      </w:r>
      <w:r>
        <w:rPr>
          <w:noProof/>
          <w:lang w:val="cs-CZ"/>
        </w:rPr>
        <w:instrText>11</w:instrText>
      </w:r>
      <w:r>
        <w:instrText xml:space="preserve">" </w:instrText>
      </w:r>
      <w:r>
        <w:rPr>
          <w:noProof/>
        </w:rPr>
        <w:fldChar w:fldCharType="end"/>
      </w:r>
      <w:r>
        <w:t xml:space="preserve">) </w:t>
      </w:r>
    </w:p>
  </w:footnote>
  <w:footnote w:id="423">
    <w:p w:rsidR="00971E82" w:rsidRPr="00B51951" w:rsidRDefault="00971E82" w:rsidP="000565E2">
      <w:pPr>
        <w:pStyle w:val="Textpoznpodarou"/>
      </w:pPr>
      <w:r>
        <w:rPr>
          <w:rStyle w:val="Znakapoznpodarou"/>
        </w:rPr>
        <w:footnoteRef/>
      </w:r>
      <w:r>
        <w:t xml:space="preserve"> „</w:t>
      </w:r>
      <w:r>
        <w:rPr>
          <w:lang w:val="cs-CZ"/>
        </w:rPr>
        <w:t>S</w:t>
      </w:r>
      <w:r>
        <w:t>ed ens inquantum est ens est obiectum primum intellectus, per Avicennam; igitur est univocum (</w:t>
      </w:r>
      <w:r>
        <w:rPr>
          <w:i/>
          <w:noProof/>
        </w:rPr>
        <w:t>Quaestiones</w:t>
      </w:r>
      <w:r w:rsidRPr="00273106">
        <w:rPr>
          <w:i/>
          <w:noProof/>
        </w:rPr>
        <w:t xml:space="preserve"> super Praedicamenta Aristotelis</w:t>
      </w:r>
      <w:r>
        <w:t>, q. 4, no. 13; OPh. I, 276.16‒17)...Item Avicenna dicit: qui dicit ens, non dicit substatiam nec accidens.“  (</w:t>
      </w:r>
      <w:r>
        <w:rPr>
          <w:lang w:val="cs-CZ"/>
        </w:rPr>
        <w:t xml:space="preserve">ibid, </w:t>
      </w:r>
      <w:r>
        <w:t>no. 14; OPh I, 277.5‒6</w:t>
      </w:r>
      <w:r>
        <w:rPr>
          <w:noProof/>
        </w:rPr>
        <w:fldChar w:fldCharType="begin"/>
      </w:r>
      <w:r>
        <w:instrText xml:space="preserve"> XE "</w:instrText>
      </w:r>
      <w:r>
        <w:rPr>
          <w:lang w:val="cs-CZ"/>
        </w:rPr>
        <w:instrText>Scotus:</w:instrText>
      </w:r>
      <w:r>
        <w:rPr>
          <w:i/>
          <w:noProof/>
        </w:rPr>
        <w:instrText>Quaestiones</w:instrText>
      </w:r>
      <w:r w:rsidRPr="00BE436E">
        <w:rPr>
          <w:i/>
          <w:noProof/>
        </w:rPr>
        <w:instrText xml:space="preserve"> super Praedicamenta Aristotelis</w:instrText>
      </w:r>
      <w:r>
        <w:rPr>
          <w:i/>
          <w:noProof/>
          <w:lang w:val="cs-CZ"/>
        </w:rPr>
        <w:instrText xml:space="preserve"> </w:instrText>
      </w:r>
      <w:r>
        <w:rPr>
          <w:noProof/>
        </w:rPr>
        <w:instrText>2</w:instrText>
      </w:r>
      <w:r>
        <w:rPr>
          <w:noProof/>
          <w:lang w:val="cs-CZ"/>
        </w:rPr>
        <w:instrText>77</w:instrText>
      </w:r>
      <w:r w:rsidRPr="00BE436E">
        <w:rPr>
          <w:noProof/>
        </w:rPr>
        <w:instrText>.</w:instrText>
      </w:r>
      <w:r>
        <w:rPr>
          <w:noProof/>
          <w:lang w:val="cs-CZ"/>
        </w:rPr>
        <w:instrText>5</w:instrText>
      </w:r>
      <w:r w:rsidRPr="00BE436E">
        <w:rPr>
          <w:noProof/>
        </w:rPr>
        <w:instrText>‒6</w:instrText>
      </w:r>
      <w:r>
        <w:instrText xml:space="preserve">" </w:instrText>
      </w:r>
      <w:r>
        <w:rPr>
          <w:noProof/>
        </w:rPr>
        <w:fldChar w:fldCharType="end"/>
      </w:r>
      <w:r>
        <w:t>)</w:t>
      </w:r>
    </w:p>
  </w:footnote>
  <w:footnote w:id="424">
    <w:p w:rsidR="00971E82" w:rsidRPr="007E6397" w:rsidRDefault="00971E82" w:rsidP="08163013">
      <w:pPr>
        <w:pStyle w:val="Textpoznpodarou"/>
      </w:pPr>
      <w:r>
        <w:rPr>
          <w:rStyle w:val="Znakapoznpodarou"/>
        </w:rPr>
        <w:footnoteRef/>
      </w:r>
      <w:r>
        <w:t xml:space="preserve"> „</w:t>
      </w:r>
      <w:r w:rsidRPr="007E6397">
        <w:t xml:space="preserve">Item, omnis multitudo est reducibilis ad unitatem, per Auctorem </w:t>
      </w:r>
      <w:r w:rsidRPr="007E6397">
        <w:rPr>
          <w:i/>
        </w:rPr>
        <w:t>De causis</w:t>
      </w:r>
      <w:r w:rsidRPr="007E6397">
        <w:t xml:space="preserve">. Sed substantia et accidens sunt multa quia diversa, ut patet per Aristotelem X </w:t>
      </w:r>
      <w:r w:rsidRPr="007E6397">
        <w:rPr>
          <w:i/>
        </w:rPr>
        <w:t>Metaphysicae</w:t>
      </w:r>
      <w:r w:rsidRPr="007E6397">
        <w:t xml:space="preserve"> dicentem quod 'omne ens est omni enti idem vel diversum'. Ergo illa multa reducuntur ad aliquod unum. Nihil videtur illud nisi ens; ergo etc.</w:t>
      </w:r>
      <w:r>
        <w:t>“ (</w:t>
      </w:r>
      <w:r>
        <w:rPr>
          <w:i/>
          <w:noProof/>
        </w:rPr>
        <w:t>Quaestiones</w:t>
      </w:r>
      <w:r w:rsidRPr="00273106">
        <w:rPr>
          <w:i/>
          <w:noProof/>
        </w:rPr>
        <w:t xml:space="preserve"> super Praedicamenta Aristotelis</w:t>
      </w:r>
      <w:r>
        <w:t>, q. 4, no. 8; OPh I, 274.15‒20</w:t>
      </w:r>
      <w:r>
        <w:fldChar w:fldCharType="begin"/>
      </w:r>
      <w:r>
        <w:instrText xml:space="preserve"> XE "</w:instrText>
      </w:r>
      <w:r>
        <w:rPr>
          <w:lang w:val="cs-CZ"/>
        </w:rPr>
        <w:instrText>Scotus:</w:instrText>
      </w:r>
      <w:r>
        <w:rPr>
          <w:i/>
          <w:noProof/>
        </w:rPr>
        <w:instrText>Quaestiones</w:instrText>
      </w:r>
      <w:r w:rsidRPr="007D58C8">
        <w:rPr>
          <w:i/>
          <w:noProof/>
        </w:rPr>
        <w:instrText xml:space="preserve"> super Praedicamenta Aristotelis</w:instrText>
      </w:r>
      <w:r>
        <w:rPr>
          <w:i/>
          <w:noProof/>
          <w:lang w:val="cs-CZ"/>
        </w:rPr>
        <w:instrText xml:space="preserve"> </w:instrText>
      </w:r>
      <w:r w:rsidRPr="007D58C8">
        <w:instrText>274.15‒20</w:instrText>
      </w:r>
      <w:r>
        <w:instrText xml:space="preserve">" </w:instrText>
      </w:r>
      <w:r>
        <w:fldChar w:fldCharType="end"/>
      </w:r>
      <w:r>
        <w:t>)</w:t>
      </w:r>
    </w:p>
  </w:footnote>
  <w:footnote w:id="425">
    <w:p w:rsidR="00971E82" w:rsidRPr="00974AF9" w:rsidRDefault="00971E82" w:rsidP="08163013">
      <w:pPr>
        <w:pStyle w:val="Textpoznpodarou"/>
        <w:rPr>
          <w:lang w:val="cs-CZ"/>
        </w:rPr>
      </w:pPr>
      <w:r>
        <w:rPr>
          <w:rStyle w:val="Znakapoznpodarou"/>
        </w:rPr>
        <w:footnoteRef/>
      </w:r>
      <w:r>
        <w:t xml:space="preserve"> </w:t>
      </w:r>
      <w:r w:rsidRPr="00273106">
        <w:rPr>
          <w:noProof/>
        </w:rPr>
        <w:t xml:space="preserve">„Quia, ut dicit </w:t>
      </w:r>
      <w:r>
        <w:rPr>
          <w:noProof/>
        </w:rPr>
        <w:t>Aristotel</w:t>
      </w:r>
      <w:r>
        <w:rPr>
          <w:noProof/>
          <w:lang w:val="cs-CZ"/>
        </w:rPr>
        <w:t>e</w:t>
      </w:r>
      <w:r w:rsidRPr="00273106">
        <w:rPr>
          <w:noProof/>
        </w:rPr>
        <w:t xml:space="preserve">s in principio VII </w:t>
      </w:r>
      <w:r w:rsidRPr="00273106">
        <w:rPr>
          <w:i/>
          <w:noProof/>
        </w:rPr>
        <w:t>Metaphysicae</w:t>
      </w:r>
      <w:r>
        <w:rPr>
          <w:noProof/>
        </w:rPr>
        <w:t>, '</w:t>
      </w:r>
      <w:r w:rsidRPr="00273106">
        <w:rPr>
          <w:noProof/>
        </w:rPr>
        <w:t xml:space="preserve">substantia est </w:t>
      </w:r>
      <w:r>
        <w:rPr>
          <w:noProof/>
        </w:rPr>
        <w:t>primum omnium entium cognitione'</w:t>
      </w:r>
      <w:r w:rsidRPr="00273106">
        <w:rPr>
          <w:noProof/>
        </w:rPr>
        <w:t>, quod non intelligitur de prioritate temporis sed naturae, scilicet quod cognitio eius est perfectissima. Auctoritas Avicennae potest concedi vera, sic quod accipit 'ens' pro uno significato quod est primum, scilicet substantia.“ (</w:t>
      </w:r>
      <w:r>
        <w:rPr>
          <w:i/>
          <w:noProof/>
        </w:rPr>
        <w:t>Quaestiones</w:t>
      </w:r>
      <w:r w:rsidRPr="00273106">
        <w:rPr>
          <w:i/>
          <w:noProof/>
        </w:rPr>
        <w:t xml:space="preserve"> super Praedicamenta Aristotelis</w:t>
      </w:r>
      <w:r w:rsidRPr="00273106">
        <w:rPr>
          <w:noProof/>
        </w:rPr>
        <w:t>, q. 4, no. 53; OPh. I, 290.5‒10</w:t>
      </w:r>
      <w:r>
        <w:rPr>
          <w:noProof/>
        </w:rPr>
        <w:fldChar w:fldCharType="begin"/>
      </w:r>
      <w:r>
        <w:instrText xml:space="preserve"> XE "</w:instrText>
      </w:r>
      <w:r>
        <w:rPr>
          <w:lang w:val="cs-CZ"/>
        </w:rPr>
        <w:instrText>Scotus:</w:instrText>
      </w:r>
      <w:r>
        <w:rPr>
          <w:i/>
          <w:noProof/>
        </w:rPr>
        <w:instrText>Quaestiones</w:instrText>
      </w:r>
      <w:r w:rsidRPr="006D5DD5">
        <w:rPr>
          <w:i/>
          <w:noProof/>
        </w:rPr>
        <w:instrText xml:space="preserve"> super Praedicamenta Aristotelis</w:instrText>
      </w:r>
      <w:r>
        <w:rPr>
          <w:i/>
          <w:noProof/>
          <w:lang w:val="cs-CZ"/>
        </w:rPr>
        <w:instrText xml:space="preserve"> </w:instrText>
      </w:r>
      <w:r w:rsidRPr="006D5DD5">
        <w:rPr>
          <w:noProof/>
        </w:rPr>
        <w:instrText>290.5‒10</w:instrText>
      </w:r>
      <w:r>
        <w:instrText xml:space="preserve">" </w:instrText>
      </w:r>
      <w:r>
        <w:rPr>
          <w:noProof/>
        </w:rPr>
        <w:fldChar w:fldCharType="end"/>
      </w:r>
      <w:r w:rsidRPr="00273106">
        <w:rPr>
          <w:noProof/>
        </w:rPr>
        <w:t>)</w:t>
      </w:r>
    </w:p>
  </w:footnote>
  <w:footnote w:id="426">
    <w:p w:rsidR="00971E82" w:rsidRPr="00781941" w:rsidRDefault="00971E82" w:rsidP="004B552D">
      <w:pPr>
        <w:pStyle w:val="Textpoznpodarou"/>
        <w:rPr>
          <w:lang w:val="cs-CZ"/>
        </w:rPr>
      </w:pPr>
      <w:r>
        <w:rPr>
          <w:rStyle w:val="Znakapoznpodarou"/>
        </w:rPr>
        <w:footnoteRef/>
      </w:r>
      <w:r>
        <w:t xml:space="preserve"> </w:t>
      </w:r>
      <w:r>
        <w:rPr>
          <w:lang w:val="cs-CZ"/>
        </w:rPr>
        <w:t>„</w:t>
      </w:r>
      <w:r w:rsidRPr="00781941">
        <w:t>Vel forte quod duplex est ratio a qua hoc nomen 'substantia' imponitur, scilicet subsistendi et substandi. 'Ens' autem imponitur ab actu essendi. Sed actus essendi videtur ratio simplicior quam actus substandi. Et ideo 'ens' primo occurit intellectui quoad rationem a qua est nominis impositio, quia est simplicissima. Sed quoad essentiam significatam, 'substantia' intelligitur q</w:t>
      </w:r>
      <w:r>
        <w:t>uando 'ens' primo intelligitur.</w:t>
      </w:r>
      <w:r>
        <w:rPr>
          <w:lang w:val="cs-CZ"/>
        </w:rPr>
        <w:t>“</w:t>
      </w:r>
      <w:r w:rsidRPr="00781941">
        <w:t xml:space="preserve"> (</w:t>
      </w:r>
      <w:r>
        <w:rPr>
          <w:i/>
          <w:noProof/>
        </w:rPr>
        <w:t>Quaestiones</w:t>
      </w:r>
      <w:r w:rsidRPr="00273106">
        <w:rPr>
          <w:i/>
          <w:noProof/>
        </w:rPr>
        <w:t xml:space="preserve"> super Praedicamenta Aristotelis</w:t>
      </w:r>
      <w:r>
        <w:t>, q. 4, no. 54; OPh I, 290.11‒</w:t>
      </w:r>
      <w:r w:rsidRPr="00781941">
        <w:t>17</w:t>
      </w:r>
      <w:r>
        <w:fldChar w:fldCharType="begin"/>
      </w:r>
      <w:r>
        <w:instrText xml:space="preserve"> XE "</w:instrText>
      </w:r>
      <w:r>
        <w:rPr>
          <w:lang w:val="cs-CZ"/>
        </w:rPr>
        <w:instrText>Scotus:</w:instrText>
      </w:r>
      <w:r>
        <w:rPr>
          <w:i/>
          <w:noProof/>
        </w:rPr>
        <w:instrText>Quaestiones</w:instrText>
      </w:r>
      <w:r w:rsidRPr="00BE0BB2">
        <w:rPr>
          <w:i/>
          <w:noProof/>
        </w:rPr>
        <w:instrText xml:space="preserve"> super Praedicamenta Aristotelis</w:instrText>
      </w:r>
      <w:r>
        <w:rPr>
          <w:i/>
          <w:noProof/>
          <w:lang w:val="cs-CZ"/>
        </w:rPr>
        <w:instrText xml:space="preserve"> </w:instrText>
      </w:r>
      <w:r w:rsidRPr="00BE0BB2">
        <w:instrText>290.11‒17</w:instrText>
      </w:r>
      <w:r>
        <w:instrText xml:space="preserve">" </w:instrText>
      </w:r>
      <w:r>
        <w:fldChar w:fldCharType="end"/>
      </w:r>
      <w:r w:rsidRPr="00781941">
        <w:t>)</w:t>
      </w:r>
    </w:p>
  </w:footnote>
  <w:footnote w:id="427">
    <w:p w:rsidR="00971E82" w:rsidRPr="00B82C79" w:rsidRDefault="00971E82" w:rsidP="08163013">
      <w:pPr>
        <w:pStyle w:val="Textpoznpodarou"/>
      </w:pPr>
      <w:r>
        <w:rPr>
          <w:rStyle w:val="Znakapoznpodarou"/>
        </w:rPr>
        <w:footnoteRef/>
      </w:r>
      <w:r>
        <w:t xml:space="preserve"> „</w:t>
      </w:r>
      <w:r w:rsidRPr="00B82C79">
        <w:t>Igitur nullum esse habet secunda substantia in prima. Secundum igitur istam expositionem absolute dicetur 'destructis primis, nullum aliorum destrui</w:t>
      </w:r>
      <w:r>
        <w:t>' [</w:t>
      </w:r>
      <w:r w:rsidRPr="00B82C79">
        <w:rPr>
          <w:i/>
        </w:rPr>
        <w:t>Cat</w:t>
      </w:r>
      <w:r>
        <w:t>. 2b5‒6</w:t>
      </w:r>
      <w:r>
        <w:fldChar w:fldCharType="begin"/>
      </w:r>
      <w:r>
        <w:instrText xml:space="preserve"> XE "</w:instrText>
      </w:r>
      <w:r>
        <w:rPr>
          <w:lang w:val="cs-CZ"/>
        </w:rPr>
        <w:instrText>Aristoteles:</w:instrText>
      </w:r>
      <w:r w:rsidRPr="00B70FD2">
        <w:rPr>
          <w:i/>
        </w:rPr>
        <w:instrText>Cat</w:instrText>
      </w:r>
      <w:r w:rsidRPr="00B70FD2">
        <w:instrText>. 2b5‒6</w:instrText>
      </w:r>
      <w:r>
        <w:instrText xml:space="preserve">" </w:instrText>
      </w:r>
      <w:r>
        <w:fldChar w:fldCharType="end"/>
      </w:r>
      <w:r>
        <w:t>]</w:t>
      </w:r>
      <w:r w:rsidRPr="00B82C79">
        <w:t xml:space="preserve">. Hoc confirmatur per hoc quod </w:t>
      </w:r>
      <w:r>
        <w:t>Aristoteles</w:t>
      </w:r>
      <w:r w:rsidRPr="00B82C79">
        <w:t>, loquens de secunda sub</w:t>
      </w:r>
      <w:r>
        <w:t>stantia et accidentibus, dicit 'omnia alia a prima' [</w:t>
      </w:r>
      <w:r w:rsidRPr="00B82C79">
        <w:rPr>
          <w:i/>
        </w:rPr>
        <w:t>Cat</w:t>
      </w:r>
      <w:r>
        <w:t>. 2b4‒5</w:t>
      </w:r>
      <w:r>
        <w:fldChar w:fldCharType="begin"/>
      </w:r>
      <w:r>
        <w:instrText xml:space="preserve"> XE "</w:instrText>
      </w:r>
      <w:r>
        <w:rPr>
          <w:lang w:val="cs-CZ"/>
        </w:rPr>
        <w:instrText>Aristoteles:</w:instrText>
      </w:r>
      <w:r w:rsidRPr="00B70FD2">
        <w:rPr>
          <w:i/>
        </w:rPr>
        <w:instrText>Cat</w:instrText>
      </w:r>
      <w:r>
        <w:instrText>. 2b</w:instrText>
      </w:r>
      <w:r>
        <w:rPr>
          <w:lang w:val="cs-CZ"/>
        </w:rPr>
        <w:instrText>4</w:instrText>
      </w:r>
      <w:r>
        <w:instrText>‒</w:instrText>
      </w:r>
      <w:r>
        <w:rPr>
          <w:lang w:val="cs-CZ"/>
        </w:rPr>
        <w:instrText>5</w:instrText>
      </w:r>
      <w:r>
        <w:instrText xml:space="preserve">" </w:instrText>
      </w:r>
      <w:r>
        <w:fldChar w:fldCharType="end"/>
      </w:r>
      <w:r>
        <w:t>]</w:t>
      </w:r>
      <w:r w:rsidRPr="00B82C79">
        <w:t>. Sed haec, in quantum habent esse in prima, non sunt alia.</w:t>
      </w:r>
      <w:r>
        <w:t xml:space="preserve"> </w:t>
      </w:r>
      <w:r w:rsidRPr="00B82C79">
        <w:t>Igitur non loquitur de illis in quantum habent esse in prima substantia.</w:t>
      </w:r>
      <w:r>
        <w:t>“ (</w:t>
      </w:r>
      <w:r>
        <w:rPr>
          <w:i/>
          <w:noProof/>
        </w:rPr>
        <w:t>Quaestiones</w:t>
      </w:r>
      <w:r w:rsidRPr="00273106">
        <w:rPr>
          <w:i/>
          <w:noProof/>
        </w:rPr>
        <w:t xml:space="preserve"> super Praedicamenta Aristotelis</w:t>
      </w:r>
      <w:r>
        <w:t>, q. 13, no. 19; OPh I, 370.4‒10</w:t>
      </w:r>
      <w:r>
        <w:fldChar w:fldCharType="begin"/>
      </w:r>
      <w:r>
        <w:instrText xml:space="preserve"> XE "</w:instrText>
      </w:r>
      <w:r>
        <w:rPr>
          <w:lang w:val="cs-CZ"/>
        </w:rPr>
        <w:instrText>Scotus:</w:instrText>
      </w:r>
      <w:r>
        <w:rPr>
          <w:i/>
          <w:noProof/>
        </w:rPr>
        <w:instrText>Quaestiones</w:instrText>
      </w:r>
      <w:r w:rsidRPr="008076BB">
        <w:rPr>
          <w:i/>
          <w:noProof/>
        </w:rPr>
        <w:instrText xml:space="preserve"> super Praedicamenta Aristotelis</w:instrText>
      </w:r>
      <w:r>
        <w:rPr>
          <w:i/>
          <w:noProof/>
          <w:lang w:val="cs-CZ"/>
        </w:rPr>
        <w:instrText xml:space="preserve"> </w:instrText>
      </w:r>
      <w:r w:rsidRPr="008076BB">
        <w:instrText>370.4‒10</w:instrText>
      </w:r>
      <w:r>
        <w:instrText xml:space="preserve">" </w:instrText>
      </w:r>
      <w:r>
        <w:fldChar w:fldCharType="end"/>
      </w:r>
      <w:r>
        <w:t>)</w:t>
      </w:r>
    </w:p>
  </w:footnote>
  <w:footnote w:id="428">
    <w:p w:rsidR="00971E82" w:rsidRPr="08714CF2" w:rsidRDefault="00971E82" w:rsidP="08163013">
      <w:pPr>
        <w:pStyle w:val="Textpoznpodarou"/>
        <w:rPr>
          <w:lang w:val="cs-CZ"/>
        </w:rPr>
      </w:pPr>
      <w:r>
        <w:rPr>
          <w:rStyle w:val="Znakapoznpodarou"/>
        </w:rPr>
        <w:footnoteRef/>
      </w:r>
      <w:r>
        <w:t xml:space="preserve"> </w:t>
      </w:r>
      <w:r>
        <w:rPr>
          <w:lang w:val="cs-CZ"/>
        </w:rPr>
        <w:t>„...</w:t>
      </w:r>
      <w:r w:rsidRPr="08714CF2">
        <w:rPr>
          <w:szCs w:val="28"/>
        </w:rPr>
        <w:t xml:space="preserve">ergo haec conclusio est peripatetica, quam proinde recipiunt unanimiter </w:t>
      </w:r>
      <w:r>
        <w:rPr>
          <w:szCs w:val="28"/>
          <w:lang w:val="cs-CZ"/>
        </w:rPr>
        <w:t>T</w:t>
      </w:r>
      <w:r w:rsidRPr="08714CF2">
        <w:rPr>
          <w:szCs w:val="28"/>
        </w:rPr>
        <w:t xml:space="preserve">homistae, et Scotistae contra Nominales cum D. Tho. de </w:t>
      </w:r>
      <w:proofErr w:type="gramStart"/>
      <w:r w:rsidRPr="08714CF2">
        <w:rPr>
          <w:szCs w:val="28"/>
        </w:rPr>
        <w:t>Ente</w:t>
      </w:r>
      <w:proofErr w:type="gramEnd"/>
      <w:r w:rsidRPr="08714CF2">
        <w:rPr>
          <w:szCs w:val="28"/>
        </w:rPr>
        <w:t>, et essentia c. 4. et opusc. 55. et 56. Scoto 2. d. 3. q. 1. et 7. Met. q. 13. Probatur quoque evidenti</w:t>
      </w:r>
      <w:r>
        <w:rPr>
          <w:szCs w:val="28"/>
          <w:lang w:val="cs-CZ"/>
        </w:rPr>
        <w:t xml:space="preserve"> </w:t>
      </w:r>
      <w:r w:rsidRPr="08714CF2">
        <w:rPr>
          <w:szCs w:val="28"/>
        </w:rPr>
        <w:t>ratione ipsam declarando. Nam per universalia in essendo hic intelligimus solum naturas communes, per</w:t>
      </w:r>
      <w:r>
        <w:rPr>
          <w:szCs w:val="28"/>
          <w:lang w:val="cs-CZ"/>
        </w:rPr>
        <w:t xml:space="preserve"> </w:t>
      </w:r>
      <w:r w:rsidRPr="08714CF2">
        <w:rPr>
          <w:szCs w:val="28"/>
        </w:rPr>
        <w:t>quas individua a parte rei conveniunt, et assimilantur, sed tales naturas reperiri ipsas experientia docet,</w:t>
      </w:r>
      <w:r>
        <w:rPr>
          <w:szCs w:val="28"/>
          <w:lang w:val="cs-CZ"/>
        </w:rPr>
        <w:t xml:space="preserve"> </w:t>
      </w:r>
      <w:r w:rsidRPr="08714CF2">
        <w:rPr>
          <w:szCs w:val="28"/>
        </w:rPr>
        <w:t>nam per humanitatem Petrus convenit cum Paulo, non cum Bucephalo, per animalitatem convenit cum</w:t>
      </w:r>
      <w:r>
        <w:rPr>
          <w:szCs w:val="28"/>
          <w:lang w:val="cs-CZ"/>
        </w:rPr>
        <w:t xml:space="preserve"> </w:t>
      </w:r>
      <w:r w:rsidRPr="08714CF2">
        <w:rPr>
          <w:szCs w:val="28"/>
        </w:rPr>
        <w:t>Bucephalo, non cum lapide, ergo etc.</w:t>
      </w:r>
      <w:r>
        <w:rPr>
          <w:szCs w:val="28"/>
          <w:lang w:val="cs-CZ"/>
        </w:rPr>
        <w:t xml:space="preserve">“ </w:t>
      </w:r>
      <w:r w:rsidRPr="00AD18D4">
        <w:rPr>
          <w:lang w:val="fr-FR"/>
        </w:rPr>
        <w:t>(</w:t>
      </w:r>
      <w:r>
        <w:rPr>
          <w:rStyle w:val="txt12"/>
          <w:rFonts w:eastAsia="Batang"/>
          <w:i/>
          <w:iCs/>
        </w:rPr>
        <w:t>Disputationes Metaphysicae</w:t>
      </w:r>
      <w:r>
        <w:rPr>
          <w:rStyle w:val="txt12"/>
          <w:rFonts w:eastAsia="Batang"/>
        </w:rPr>
        <w:t xml:space="preserve"> </w:t>
      </w:r>
      <w:r>
        <w:rPr>
          <w:color w:val="000000"/>
          <w:lang w:val="cs-CZ"/>
        </w:rPr>
        <w:t>8</w:t>
      </w:r>
      <w:r>
        <w:rPr>
          <w:color w:val="000000"/>
        </w:rPr>
        <w:t>.</w:t>
      </w:r>
      <w:r>
        <w:rPr>
          <w:color w:val="000000"/>
          <w:lang w:val="cs-CZ"/>
        </w:rPr>
        <w:t>1</w:t>
      </w:r>
      <w:r>
        <w:rPr>
          <w:color w:val="000000"/>
        </w:rPr>
        <w:t>.</w:t>
      </w:r>
      <w:r>
        <w:rPr>
          <w:color w:val="000000"/>
          <w:lang w:val="cs-CZ"/>
        </w:rPr>
        <w:t>1</w:t>
      </w:r>
      <w:r>
        <w:rPr>
          <w:color w:val="000000"/>
        </w:rPr>
        <w:fldChar w:fldCharType="begin"/>
      </w:r>
      <w:r>
        <w:instrText xml:space="preserve"> XE "</w:instrText>
      </w:r>
      <w:r>
        <w:rPr>
          <w:lang w:val="cs-CZ"/>
        </w:rPr>
        <w:instrText>Suárez:</w:instrText>
      </w:r>
      <w:r w:rsidRPr="00995FD6">
        <w:rPr>
          <w:rStyle w:val="txt12"/>
          <w:rFonts w:eastAsia="Batang"/>
          <w:i/>
          <w:iCs/>
        </w:rPr>
        <w:instrText>Disputationes Metaphysicae</w:instrText>
      </w:r>
      <w:r w:rsidRPr="00995FD6">
        <w:rPr>
          <w:rStyle w:val="txt12"/>
          <w:rFonts w:eastAsia="Batang"/>
        </w:rPr>
        <w:instrText xml:space="preserve"> </w:instrText>
      </w:r>
      <w:r>
        <w:rPr>
          <w:color w:val="000000"/>
          <w:lang w:val="cs-CZ"/>
        </w:rPr>
        <w:instrText>8</w:instrText>
      </w:r>
      <w:r>
        <w:rPr>
          <w:color w:val="000000"/>
        </w:rPr>
        <w:instrText>.</w:instrText>
      </w:r>
      <w:r>
        <w:rPr>
          <w:color w:val="000000"/>
          <w:lang w:val="cs-CZ"/>
        </w:rPr>
        <w:instrText>1</w:instrText>
      </w:r>
      <w:r>
        <w:rPr>
          <w:color w:val="000000"/>
        </w:rPr>
        <w:instrText>.</w:instrText>
      </w:r>
      <w:r>
        <w:rPr>
          <w:color w:val="000000"/>
          <w:lang w:val="cs-CZ"/>
        </w:rPr>
        <w:instrText>1</w:instrText>
      </w:r>
      <w:r>
        <w:instrText xml:space="preserve">" </w:instrText>
      </w:r>
      <w:r>
        <w:rPr>
          <w:color w:val="000000"/>
        </w:rPr>
        <w:fldChar w:fldCharType="end"/>
      </w:r>
      <w:r>
        <w:rPr>
          <w:color w:val="000000"/>
        </w:rPr>
        <w:t>, editio digitalis Renemann et. al.</w:t>
      </w:r>
      <w:r>
        <w:t>)</w:t>
      </w:r>
    </w:p>
  </w:footnote>
  <w:footnote w:id="429">
    <w:p w:rsidR="00971E82" w:rsidRPr="08311E76" w:rsidRDefault="00971E82" w:rsidP="08163013">
      <w:pPr>
        <w:pStyle w:val="Textpoznpodarou"/>
        <w:rPr>
          <w:noProof/>
          <w:lang w:val="cs-CZ"/>
        </w:rPr>
      </w:pPr>
      <w:r>
        <w:rPr>
          <w:rStyle w:val="Znakapoznpodarou"/>
        </w:rPr>
        <w:footnoteRef/>
      </w:r>
      <w:r>
        <w:t xml:space="preserve"> </w:t>
      </w:r>
      <w:r>
        <w:rPr>
          <w:rStyle w:val="addmd"/>
          <w:noProof/>
          <w:lang w:val="cs-CZ"/>
        </w:rPr>
        <w:t>„De secundo articulo est dicendum, in quo expresse sibi contradico, n</w:t>
      </w:r>
      <w:r w:rsidRPr="00273106">
        <w:rPr>
          <w:rStyle w:val="addmd"/>
          <w:noProof/>
          <w:lang w:val="cs-CZ"/>
        </w:rPr>
        <w:t>on concipitur Deus in conceptu communi analogo sibi et creaturae, sed in conceptu communi univoco sibi et creaturae, ita quod ens et bonum et sapientia dicta de Deo et creatura univoce dicuntur de eis, et non dicunt duos conceptus.</w:t>
      </w:r>
      <w:r>
        <w:rPr>
          <w:rStyle w:val="addmd"/>
          <w:noProof/>
          <w:lang w:val="cs-CZ"/>
        </w:rPr>
        <w:t>“</w:t>
      </w:r>
      <w:r w:rsidRPr="00273106">
        <w:rPr>
          <w:rStyle w:val="addmd"/>
          <w:noProof/>
          <w:lang w:val="cs-CZ"/>
        </w:rPr>
        <w:t xml:space="preserve"> (</w:t>
      </w:r>
      <w:r w:rsidRPr="008C2D4A">
        <w:rPr>
          <w:i/>
          <w:noProof/>
        </w:rPr>
        <w:t>Lectura I</w:t>
      </w:r>
      <w:r w:rsidRPr="00273106">
        <w:rPr>
          <w:noProof/>
        </w:rPr>
        <w:t xml:space="preserve">, dist. 3, pars 1, q. 1‒2, no. 21; </w:t>
      </w:r>
      <w:r>
        <w:rPr>
          <w:noProof/>
        </w:rPr>
        <w:t xml:space="preserve">ed. </w:t>
      </w:r>
      <w:r w:rsidRPr="00273106">
        <w:rPr>
          <w:noProof/>
        </w:rPr>
        <w:t>Vat</w:t>
      </w:r>
      <w:r>
        <w:rPr>
          <w:noProof/>
        </w:rPr>
        <w:t>icana</w:t>
      </w:r>
      <w:r w:rsidRPr="00273106">
        <w:rPr>
          <w:noProof/>
        </w:rPr>
        <w:t xml:space="preserve"> XVI, 232.14‒18</w:t>
      </w:r>
      <w:r>
        <w:rPr>
          <w:noProof/>
        </w:rPr>
        <w:fldChar w:fldCharType="begin"/>
      </w:r>
      <w:r>
        <w:instrText xml:space="preserve"> XE "</w:instrText>
      </w:r>
      <w:r>
        <w:rPr>
          <w:lang w:val="cs-CZ"/>
        </w:rPr>
        <w:instrText>Scotus:</w:instrText>
      </w:r>
      <w:r w:rsidRPr="007C4A4F">
        <w:rPr>
          <w:i/>
          <w:noProof/>
        </w:rPr>
        <w:instrText>Lect</w:instrText>
      </w:r>
      <w:r w:rsidRPr="007C4A4F">
        <w:rPr>
          <w:i/>
          <w:noProof/>
          <w:lang w:val="cs-CZ"/>
        </w:rPr>
        <w:instrText>ura</w:instrText>
      </w:r>
      <w:r>
        <w:rPr>
          <w:noProof/>
        </w:rPr>
        <w:instrText xml:space="preserve"> </w:instrText>
      </w:r>
      <w:r>
        <w:rPr>
          <w:noProof/>
          <w:lang w:val="cs-CZ"/>
        </w:rPr>
        <w:instrText>1.</w:instrText>
      </w:r>
      <w:r w:rsidRPr="007C4A4F">
        <w:rPr>
          <w:noProof/>
        </w:rPr>
        <w:instrText>232.14‒18</w:instrText>
      </w:r>
      <w:r>
        <w:instrText xml:space="preserve">" </w:instrText>
      </w:r>
      <w:r>
        <w:rPr>
          <w:noProof/>
        </w:rPr>
        <w:fldChar w:fldCharType="end"/>
      </w:r>
      <w:r w:rsidRPr="00273106">
        <w:rPr>
          <w:rStyle w:val="addmd"/>
          <w:noProof/>
          <w:lang w:val="cs-CZ"/>
        </w:rPr>
        <w:t>)</w:t>
      </w:r>
    </w:p>
  </w:footnote>
  <w:footnote w:id="430">
    <w:p w:rsidR="00971E82" w:rsidRPr="081F0473" w:rsidRDefault="00971E82" w:rsidP="08163013">
      <w:pPr>
        <w:pStyle w:val="Textpoznpodarou"/>
        <w:rPr>
          <w:noProof/>
          <w:lang w:val="cs-CZ"/>
        </w:rPr>
      </w:pPr>
      <w:r>
        <w:rPr>
          <w:rStyle w:val="Znakapoznpodarou"/>
        </w:rPr>
        <w:footnoteRef/>
      </w:r>
      <w:r>
        <w:t xml:space="preserve"> </w:t>
      </w:r>
      <w:r w:rsidRPr="00273106">
        <w:rPr>
          <w:noProof/>
        </w:rPr>
        <w:t>„</w:t>
      </w:r>
      <w:r w:rsidRPr="081F0473">
        <w:rPr>
          <w:noProof/>
        </w:rPr>
        <w:t xml:space="preserve">(...) et secundum Philosophum III </w:t>
      </w:r>
      <w:r w:rsidRPr="081F0473">
        <w:rPr>
          <w:i/>
          <w:noProof/>
        </w:rPr>
        <w:t>De anima</w:t>
      </w:r>
      <w:r w:rsidRPr="081F0473">
        <w:rPr>
          <w:noProof/>
        </w:rPr>
        <w:t xml:space="preserve">, 'anima de se est sicut tabula nuda' etc.; et dico quod nullum conceptum 'de alio' potest intellectus nudus facere in se, quia dicunt </w:t>
      </w:r>
      <w:r w:rsidRPr="081F0473">
        <w:rPr>
          <w:i/>
          <w:noProof/>
        </w:rPr>
        <w:t>aliqui</w:t>
      </w:r>
      <w:r w:rsidRPr="081F0473">
        <w:rPr>
          <w:noProof/>
        </w:rPr>
        <w:t xml:space="preserve"> quod conceptum 'de se' potest, quia sibi semper praesens est; ergo si ille conceptus dictus de Deo analogus sit, alius a conceptu dicto de creatura, ad hoc quod sit in intellectu nostro oportet ponere aliquam causam aliam ab intellectu; illa autem causa non pot</w:t>
      </w:r>
      <w:r>
        <w:rPr>
          <w:noProof/>
        </w:rPr>
        <w:t>est esse aliquid quod est moti</w:t>
      </w:r>
      <w:r w:rsidRPr="081F0473">
        <w:rPr>
          <w:noProof/>
        </w:rPr>
        <w:t>vum intellectus nostri pro statu isto, ut probabitur; ergo nihil erit causa eius, et ita nihil intelligemus de Deo, nisi Deus velit imprimere sicut sibi placet.</w:t>
      </w:r>
      <w:r>
        <w:rPr>
          <w:noProof/>
          <w:lang w:val="cs-CZ"/>
        </w:rPr>
        <w:t>“</w:t>
      </w:r>
      <w:r w:rsidRPr="00273106">
        <w:rPr>
          <w:noProof/>
        </w:rPr>
        <w:t xml:space="preserve"> (</w:t>
      </w:r>
      <w:r w:rsidRPr="008C2D4A">
        <w:rPr>
          <w:i/>
          <w:noProof/>
        </w:rPr>
        <w:t>Lectura I</w:t>
      </w:r>
      <w:r w:rsidRPr="00273106">
        <w:rPr>
          <w:noProof/>
        </w:rPr>
        <w:t xml:space="preserve">, dist. 3, pars 1, q. 1‒2, no. 26; </w:t>
      </w:r>
      <w:r>
        <w:rPr>
          <w:noProof/>
        </w:rPr>
        <w:t xml:space="preserve">ed. </w:t>
      </w:r>
      <w:r w:rsidRPr="00273106">
        <w:rPr>
          <w:noProof/>
        </w:rPr>
        <w:t>Vat</w:t>
      </w:r>
      <w:r>
        <w:rPr>
          <w:noProof/>
        </w:rPr>
        <w:t>icana XVI, 234.</w:t>
      </w:r>
      <w:r>
        <w:rPr>
          <w:noProof/>
          <w:lang w:val="cs-CZ"/>
        </w:rPr>
        <w:t>6</w:t>
      </w:r>
      <w:r>
        <w:rPr>
          <w:noProof/>
        </w:rPr>
        <w:t>‒1</w:t>
      </w:r>
      <w:r>
        <w:rPr>
          <w:noProof/>
          <w:lang w:val="cs-CZ"/>
        </w:rPr>
        <w:t>7</w:t>
      </w:r>
      <w:r>
        <w:rPr>
          <w:noProof/>
        </w:rPr>
        <w:fldChar w:fldCharType="begin"/>
      </w:r>
      <w:r>
        <w:instrText xml:space="preserve"> XE "</w:instrText>
      </w:r>
      <w:r>
        <w:rPr>
          <w:lang w:val="cs-CZ"/>
        </w:rPr>
        <w:instrText>Scotus:</w:instrText>
      </w:r>
      <w:r w:rsidRPr="007C4A4F">
        <w:rPr>
          <w:i/>
          <w:noProof/>
        </w:rPr>
        <w:instrText>Lect</w:instrText>
      </w:r>
      <w:r w:rsidRPr="007C4A4F">
        <w:rPr>
          <w:i/>
          <w:noProof/>
          <w:lang w:val="cs-CZ"/>
        </w:rPr>
        <w:instrText>ura</w:instrText>
      </w:r>
      <w:r>
        <w:rPr>
          <w:noProof/>
        </w:rPr>
        <w:instrText xml:space="preserve"> </w:instrText>
      </w:r>
      <w:r>
        <w:rPr>
          <w:noProof/>
          <w:lang w:val="cs-CZ"/>
        </w:rPr>
        <w:instrText>1.</w:instrText>
      </w:r>
      <w:r>
        <w:rPr>
          <w:noProof/>
        </w:rPr>
        <w:instrText>23</w:instrText>
      </w:r>
      <w:r>
        <w:rPr>
          <w:noProof/>
          <w:lang w:val="cs-CZ"/>
        </w:rPr>
        <w:instrText>4</w:instrText>
      </w:r>
      <w:r>
        <w:rPr>
          <w:noProof/>
        </w:rPr>
        <w:instrText>.</w:instrText>
      </w:r>
      <w:r>
        <w:rPr>
          <w:noProof/>
          <w:lang w:val="cs-CZ"/>
        </w:rPr>
        <w:instrText>6</w:instrText>
      </w:r>
      <w:r>
        <w:rPr>
          <w:noProof/>
        </w:rPr>
        <w:instrText>‒1</w:instrText>
      </w:r>
      <w:r>
        <w:rPr>
          <w:noProof/>
          <w:lang w:val="cs-CZ"/>
        </w:rPr>
        <w:instrText>7</w:instrText>
      </w:r>
      <w:r>
        <w:instrText xml:space="preserve">" </w:instrText>
      </w:r>
      <w:r>
        <w:rPr>
          <w:noProof/>
        </w:rPr>
        <w:fldChar w:fldCharType="end"/>
      </w:r>
      <w:r w:rsidRPr="00273106">
        <w:rPr>
          <w:noProof/>
        </w:rPr>
        <w:t>)</w:t>
      </w:r>
    </w:p>
  </w:footnote>
  <w:footnote w:id="431">
    <w:p w:rsidR="00971E82" w:rsidRPr="00357EED" w:rsidRDefault="00971E82" w:rsidP="08163013">
      <w:pPr>
        <w:pStyle w:val="Textpoznpodarou"/>
        <w:rPr>
          <w:lang w:val="cs-CZ"/>
        </w:rPr>
      </w:pPr>
      <w:r>
        <w:rPr>
          <w:rStyle w:val="Znakapoznpodarou"/>
        </w:rPr>
        <w:footnoteRef/>
      </w:r>
      <w:r>
        <w:t xml:space="preserve"> </w:t>
      </w:r>
      <w:r>
        <w:rPr>
          <w:lang w:val="cs-CZ"/>
        </w:rPr>
        <w:t>„</w:t>
      </w:r>
      <w:r>
        <w:t xml:space="preserve">Nam sicut nobis per se notum est quod totum sua parte sit maius, sic videntibus ipsam divinam essentiam per se notissimum est Deum esse, ex hoc quod sua essentia est suum esse. Sed quia eius essentiam videre non possumus, ad eius esse cognoscendum non per seipsum, sed </w:t>
      </w:r>
      <w:r w:rsidRPr="00357EED">
        <w:t>per eius effectus</w:t>
      </w:r>
      <w:r>
        <w:t xml:space="preserve"> pervenimus.</w:t>
      </w:r>
      <w:r>
        <w:rPr>
          <w:lang w:val="cs-CZ"/>
        </w:rPr>
        <w:t>“ (</w:t>
      </w:r>
      <w:r w:rsidRPr="00357EED">
        <w:rPr>
          <w:i/>
          <w:lang w:val="cs-CZ"/>
        </w:rPr>
        <w:t>Summa c</w:t>
      </w:r>
      <w:r w:rsidRPr="00357EED">
        <w:rPr>
          <w:rStyle w:val="ref"/>
          <w:rFonts w:eastAsia="Times"/>
          <w:i/>
        </w:rPr>
        <w:t>ontra Gentiles</w:t>
      </w:r>
      <w:r>
        <w:rPr>
          <w:rStyle w:val="ref"/>
          <w:rFonts w:eastAsia="Times"/>
        </w:rPr>
        <w:t>, lib. 1</w:t>
      </w:r>
      <w:r>
        <w:rPr>
          <w:rStyle w:val="ref"/>
          <w:rFonts w:eastAsia="Times"/>
          <w:lang w:val="cs-CZ"/>
        </w:rPr>
        <w:t xml:space="preserve">, </w:t>
      </w:r>
      <w:r>
        <w:rPr>
          <w:rStyle w:val="ref"/>
          <w:rFonts w:eastAsia="Times"/>
        </w:rPr>
        <w:t>cap. 11</w:t>
      </w:r>
      <w:r>
        <w:rPr>
          <w:rStyle w:val="ref"/>
          <w:rFonts w:eastAsia="Times"/>
          <w:lang w:val="cs-CZ"/>
        </w:rPr>
        <w:t xml:space="preserve">, </w:t>
      </w:r>
      <w:r>
        <w:rPr>
          <w:rStyle w:val="ref"/>
          <w:rFonts w:eastAsia="Times"/>
        </w:rPr>
        <w:t>n. 4</w:t>
      </w:r>
      <w:r>
        <w:rPr>
          <w:rStyle w:val="ref"/>
          <w:rFonts w:eastAsia="Times"/>
          <w:lang w:val="cs-CZ"/>
        </w:rPr>
        <w:t>; ed. Leonina 13, 25</w:t>
      </w:r>
      <w:r>
        <w:rPr>
          <w:rStyle w:val="ref"/>
          <w:rFonts w:eastAsia="Times"/>
          <w:lang w:val="cs-CZ"/>
        </w:rPr>
        <w:fldChar w:fldCharType="begin"/>
      </w:r>
      <w:r>
        <w:instrText xml:space="preserve"> XE "</w:instrText>
      </w:r>
      <w:r w:rsidRPr="00107992">
        <w:rPr>
          <w:lang w:val="cs-CZ"/>
        </w:rPr>
        <w:instrText>Akvinský</w:instrText>
      </w:r>
      <w:r>
        <w:rPr>
          <w:i/>
          <w:lang w:val="cs-CZ"/>
        </w:rPr>
        <w:instrText>:</w:instrText>
      </w:r>
      <w:r w:rsidRPr="00357EED">
        <w:rPr>
          <w:i/>
          <w:lang w:val="cs-CZ"/>
        </w:rPr>
        <w:instrText xml:space="preserve">Summa </w:instrText>
      </w:r>
      <w:r w:rsidRPr="00605226">
        <w:rPr>
          <w:i/>
          <w:lang w:val="cs-CZ"/>
        </w:rPr>
        <w:instrText>c</w:instrText>
      </w:r>
      <w:r w:rsidRPr="00605226">
        <w:rPr>
          <w:rStyle w:val="ref"/>
          <w:rFonts w:eastAsia="Times"/>
          <w:i/>
        </w:rPr>
        <w:instrText>ontra Gentiles</w:instrText>
      </w:r>
      <w:r>
        <w:rPr>
          <w:rStyle w:val="ref"/>
          <w:rFonts w:eastAsia="Times"/>
          <w:lang w:val="cs-CZ"/>
        </w:rPr>
        <w:instrText xml:space="preserve"> I.11.4</w:instrText>
      </w:r>
      <w:r>
        <w:instrText xml:space="preserve">" </w:instrText>
      </w:r>
      <w:r>
        <w:rPr>
          <w:rStyle w:val="ref"/>
          <w:rFonts w:eastAsia="Times"/>
          <w:lang w:val="cs-CZ"/>
        </w:rPr>
        <w:fldChar w:fldCharType="end"/>
      </w:r>
      <w:r>
        <w:rPr>
          <w:lang w:val="cs-CZ"/>
        </w:rPr>
        <w:t>)</w:t>
      </w:r>
    </w:p>
  </w:footnote>
  <w:footnote w:id="432">
    <w:p w:rsidR="00971E82" w:rsidRPr="00DB12D8" w:rsidRDefault="00971E82" w:rsidP="08163013">
      <w:pPr>
        <w:pStyle w:val="Textpoznpodarou"/>
        <w:rPr>
          <w:lang w:val="cs-CZ"/>
        </w:rPr>
      </w:pPr>
      <w:r>
        <w:rPr>
          <w:rStyle w:val="Znakapoznpodarou"/>
        </w:rPr>
        <w:footnoteRef/>
      </w:r>
      <w:r>
        <w:t xml:space="preserve"> </w:t>
      </w:r>
      <w:r w:rsidRPr="00273106">
        <w:rPr>
          <w:noProof/>
        </w:rPr>
        <w:t>„Item, contra Philosophum arguo, si dicatur praedicto modo. Experimur quod quando cognoscimus causam in universali, naturaliter desideramus scire in particulari, et etiam quando cognoscimus effectum, desideramus scire causam; ergo intellectus cognoscens Deum in universali, naturaliter desiderat scire in particulari.“ (</w:t>
      </w:r>
      <w:r w:rsidRPr="008C2D4A">
        <w:rPr>
          <w:i/>
          <w:noProof/>
        </w:rPr>
        <w:t>Lectura I</w:t>
      </w:r>
      <w:r w:rsidRPr="00273106">
        <w:rPr>
          <w:noProof/>
        </w:rPr>
        <w:t xml:space="preserve">, dist. 3, pars 1, q. 1‒2, no. 42; </w:t>
      </w:r>
      <w:r>
        <w:rPr>
          <w:noProof/>
        </w:rPr>
        <w:t xml:space="preserve">ed. </w:t>
      </w:r>
      <w:r w:rsidRPr="00273106">
        <w:rPr>
          <w:noProof/>
        </w:rPr>
        <w:t>Vat</w:t>
      </w:r>
      <w:r>
        <w:rPr>
          <w:noProof/>
        </w:rPr>
        <w:t>icana</w:t>
      </w:r>
      <w:r w:rsidRPr="00273106">
        <w:rPr>
          <w:noProof/>
        </w:rPr>
        <w:t xml:space="preserve"> XVI, 241.7‒11</w:t>
      </w:r>
      <w:r>
        <w:rPr>
          <w:noProof/>
        </w:rPr>
        <w:fldChar w:fldCharType="begin"/>
      </w:r>
      <w:r>
        <w:instrText xml:space="preserve"> XE "</w:instrText>
      </w:r>
      <w:r>
        <w:rPr>
          <w:lang w:val="cs-CZ"/>
        </w:rPr>
        <w:instrText>Scotus:</w:instrText>
      </w:r>
      <w:r w:rsidRPr="0050494D">
        <w:rPr>
          <w:i/>
          <w:noProof/>
        </w:rPr>
        <w:instrText>Lectura</w:instrText>
      </w:r>
      <w:r>
        <w:rPr>
          <w:noProof/>
        </w:rPr>
        <w:instrText xml:space="preserve"> </w:instrText>
      </w:r>
      <w:r>
        <w:rPr>
          <w:noProof/>
          <w:lang w:val="cs-CZ"/>
        </w:rPr>
        <w:instrText>1.</w:instrText>
      </w:r>
      <w:r w:rsidRPr="0050494D">
        <w:rPr>
          <w:noProof/>
        </w:rPr>
        <w:instrText>241.7‒11</w:instrText>
      </w:r>
      <w:r>
        <w:instrText xml:space="preserve">" </w:instrText>
      </w:r>
      <w:r>
        <w:rPr>
          <w:noProof/>
        </w:rPr>
        <w:fldChar w:fldCharType="end"/>
      </w:r>
      <w:r w:rsidRPr="00273106">
        <w:rPr>
          <w:noProof/>
        </w:rPr>
        <w:t>)</w:t>
      </w:r>
    </w:p>
  </w:footnote>
  <w:footnote w:id="433">
    <w:p w:rsidR="00971E82" w:rsidRPr="00D846BF" w:rsidRDefault="00971E82" w:rsidP="08163013">
      <w:pPr>
        <w:pStyle w:val="Textpoznpodarou"/>
      </w:pPr>
      <w:r>
        <w:rPr>
          <w:rStyle w:val="Znakapoznpodarou"/>
        </w:rPr>
        <w:footnoteRef/>
      </w:r>
      <w:r>
        <w:t xml:space="preserve"> </w:t>
      </w:r>
      <w:r w:rsidRPr="00D846BF">
        <w:rPr>
          <w:rStyle w:val="TextpoznpodarouChar"/>
          <w:rFonts w:eastAsia="Times"/>
        </w:rPr>
        <w:t>„Si conceptus entis infiniti sit conceptus perfectissimus quem de Deo concipimus, quomodo deven</w:t>
      </w:r>
      <w:r>
        <w:rPr>
          <w:rStyle w:val="TextpoznpodarouChar"/>
          <w:rFonts w:eastAsia="Times"/>
        </w:rPr>
        <w:t>imus in cognitionem eius?“ (</w:t>
      </w:r>
      <w:r w:rsidRPr="008C2D4A">
        <w:rPr>
          <w:rStyle w:val="TextpoznpodarouChar"/>
          <w:rFonts w:eastAsia="Times"/>
          <w:i/>
          <w:lang w:val="cs-CZ"/>
        </w:rPr>
        <w:t>Lectura I</w:t>
      </w:r>
      <w:r w:rsidRPr="00273106">
        <w:rPr>
          <w:noProof/>
        </w:rPr>
        <w:t>, dist. 3, pars 1, q. 1‒2,</w:t>
      </w:r>
      <w:r>
        <w:rPr>
          <w:rStyle w:val="TextpoznpodarouChar"/>
          <w:rFonts w:eastAsia="Times"/>
          <w:lang w:val="cs-CZ"/>
        </w:rPr>
        <w:t xml:space="preserve"> </w:t>
      </w:r>
      <w:r>
        <w:rPr>
          <w:rStyle w:val="TextpoznpodarouChar"/>
          <w:rFonts w:eastAsia="Times"/>
        </w:rPr>
        <w:t>no. 54</w:t>
      </w:r>
      <w:r>
        <w:rPr>
          <w:rStyle w:val="TextpoznpodarouChar"/>
          <w:rFonts w:eastAsia="Times"/>
          <w:lang w:val="cs-CZ"/>
        </w:rPr>
        <w:t xml:space="preserve">; ed. Vaticana </w:t>
      </w:r>
      <w:r w:rsidRPr="00273106">
        <w:rPr>
          <w:noProof/>
        </w:rPr>
        <w:t>XVI</w:t>
      </w:r>
      <w:r>
        <w:rPr>
          <w:rStyle w:val="TextpoznpodarouChar"/>
          <w:rFonts w:eastAsia="Times"/>
          <w:lang w:val="cs-CZ"/>
        </w:rPr>
        <w:t>,</w:t>
      </w:r>
      <w:r w:rsidRPr="00D846BF">
        <w:rPr>
          <w:rStyle w:val="TextpoznpodarouChar"/>
          <w:rFonts w:eastAsia="Times"/>
        </w:rPr>
        <w:t xml:space="preserve"> p. 245.1‒3</w:t>
      </w:r>
      <w:r>
        <w:rPr>
          <w:noProof/>
        </w:rPr>
        <w:fldChar w:fldCharType="begin"/>
      </w:r>
      <w:r>
        <w:instrText xml:space="preserve"> XE "</w:instrText>
      </w:r>
      <w:r>
        <w:rPr>
          <w:lang w:val="cs-CZ"/>
        </w:rPr>
        <w:instrText>Scotus:</w:instrText>
      </w:r>
      <w:r w:rsidRPr="0050494D">
        <w:rPr>
          <w:i/>
          <w:noProof/>
        </w:rPr>
        <w:instrText>Lectura</w:instrText>
      </w:r>
      <w:r>
        <w:rPr>
          <w:noProof/>
        </w:rPr>
        <w:instrText xml:space="preserve"> </w:instrText>
      </w:r>
      <w:r>
        <w:rPr>
          <w:noProof/>
          <w:lang w:val="cs-CZ"/>
        </w:rPr>
        <w:instrText>1.</w:instrText>
      </w:r>
      <w:r>
        <w:rPr>
          <w:noProof/>
        </w:rPr>
        <w:instrText>24</w:instrText>
      </w:r>
      <w:r>
        <w:rPr>
          <w:noProof/>
          <w:lang w:val="cs-CZ"/>
        </w:rPr>
        <w:instrText>5</w:instrText>
      </w:r>
      <w:r>
        <w:rPr>
          <w:noProof/>
        </w:rPr>
        <w:instrText>.</w:instrText>
      </w:r>
      <w:r>
        <w:rPr>
          <w:noProof/>
          <w:lang w:val="cs-CZ"/>
        </w:rPr>
        <w:instrText>1</w:instrText>
      </w:r>
      <w:r>
        <w:rPr>
          <w:noProof/>
        </w:rPr>
        <w:instrText>‒</w:instrText>
      </w:r>
      <w:r>
        <w:rPr>
          <w:noProof/>
          <w:lang w:val="cs-CZ"/>
        </w:rPr>
        <w:instrText>3</w:instrText>
      </w:r>
      <w:r>
        <w:instrText xml:space="preserve">" </w:instrText>
      </w:r>
      <w:r>
        <w:rPr>
          <w:noProof/>
        </w:rPr>
        <w:fldChar w:fldCharType="end"/>
      </w:r>
      <w:r w:rsidRPr="00D846BF">
        <w:rPr>
          <w:rStyle w:val="TextpoznpodarouChar"/>
          <w:rFonts w:eastAsia="Times"/>
        </w:rPr>
        <w:t>)</w:t>
      </w:r>
    </w:p>
  </w:footnote>
  <w:footnote w:id="434">
    <w:p w:rsidR="00971E82" w:rsidRPr="0005132C" w:rsidRDefault="00971E82" w:rsidP="08163013">
      <w:pPr>
        <w:pStyle w:val="Textpoznpodarou"/>
        <w:rPr>
          <w:noProof/>
          <w:lang w:val="cs-CZ"/>
        </w:rPr>
      </w:pPr>
      <w:r>
        <w:rPr>
          <w:rStyle w:val="Znakapoznpodarou"/>
        </w:rPr>
        <w:footnoteRef/>
      </w:r>
      <w:r>
        <w:t xml:space="preserve"> </w:t>
      </w:r>
      <w:r w:rsidRPr="00273106">
        <w:rPr>
          <w:noProof/>
        </w:rPr>
        <w:t>„Unde si Deus destrueret solis substantiam et conservaret eius lumen, eodem modo multiplicaretur species luminis ad intellectum et esset activum in intellectu sicut si esset in substantia, et eodem modo tunc intellectus suffoderet ad speciem substantiae sicut modo. Sed hoc posito non posset suffodere ad speciem substantiae, quia non est ibi, cum substantia destruatur, per positum. Ideo nec nunc suffodit ad speciem substantiae quando accidens est in substantia et multiplicatur species substantiae.“ (</w:t>
      </w:r>
      <w:r w:rsidRPr="008C2D4A">
        <w:rPr>
          <w:i/>
          <w:noProof/>
        </w:rPr>
        <w:t>Lectura I</w:t>
      </w:r>
      <w:r w:rsidRPr="00273106">
        <w:rPr>
          <w:noProof/>
        </w:rPr>
        <w:t xml:space="preserve">, dist. 3, pars 1, q. 1‒2, no. 54; </w:t>
      </w:r>
      <w:r>
        <w:rPr>
          <w:noProof/>
        </w:rPr>
        <w:t xml:space="preserve">ed. </w:t>
      </w:r>
      <w:r w:rsidRPr="00273106">
        <w:rPr>
          <w:noProof/>
        </w:rPr>
        <w:t>Vat</w:t>
      </w:r>
      <w:r>
        <w:rPr>
          <w:noProof/>
        </w:rPr>
        <w:t>icana</w:t>
      </w:r>
      <w:r w:rsidRPr="00273106">
        <w:rPr>
          <w:noProof/>
        </w:rPr>
        <w:t xml:space="preserve"> XVI, 245.17‒25</w:t>
      </w:r>
      <w:r>
        <w:rPr>
          <w:noProof/>
        </w:rPr>
        <w:fldChar w:fldCharType="begin"/>
      </w:r>
      <w:r>
        <w:instrText xml:space="preserve"> XE "</w:instrText>
      </w:r>
      <w:r>
        <w:rPr>
          <w:lang w:val="cs-CZ"/>
        </w:rPr>
        <w:instrText>Scotus:</w:instrText>
      </w:r>
      <w:r w:rsidRPr="0050494D">
        <w:rPr>
          <w:i/>
          <w:noProof/>
        </w:rPr>
        <w:instrText>Lectura</w:instrText>
      </w:r>
      <w:r>
        <w:rPr>
          <w:noProof/>
        </w:rPr>
        <w:instrText xml:space="preserve"> </w:instrText>
      </w:r>
      <w:r>
        <w:rPr>
          <w:noProof/>
          <w:lang w:val="cs-CZ"/>
        </w:rPr>
        <w:instrText>1.</w:instrText>
      </w:r>
      <w:r>
        <w:rPr>
          <w:noProof/>
        </w:rPr>
        <w:instrText>24</w:instrText>
      </w:r>
      <w:r>
        <w:rPr>
          <w:noProof/>
          <w:lang w:val="cs-CZ"/>
        </w:rPr>
        <w:instrText>5</w:instrText>
      </w:r>
      <w:r w:rsidRPr="0050494D">
        <w:rPr>
          <w:noProof/>
        </w:rPr>
        <w:instrText>.</w:instrText>
      </w:r>
      <w:r>
        <w:rPr>
          <w:noProof/>
          <w:lang w:val="cs-CZ"/>
        </w:rPr>
        <w:instrText>1</w:instrText>
      </w:r>
      <w:r>
        <w:rPr>
          <w:noProof/>
        </w:rPr>
        <w:instrText>7‒</w:instrText>
      </w:r>
      <w:r>
        <w:rPr>
          <w:noProof/>
          <w:lang w:val="cs-CZ"/>
        </w:rPr>
        <w:instrText>25</w:instrText>
      </w:r>
      <w:r>
        <w:instrText xml:space="preserve">" </w:instrText>
      </w:r>
      <w:r>
        <w:rPr>
          <w:noProof/>
        </w:rPr>
        <w:fldChar w:fldCharType="end"/>
      </w:r>
      <w:r w:rsidRPr="00273106">
        <w:rPr>
          <w:noProof/>
        </w:rPr>
        <w:t>)</w:t>
      </w:r>
    </w:p>
  </w:footnote>
  <w:footnote w:id="435">
    <w:p w:rsidR="00971E82" w:rsidRPr="00FC0D2D" w:rsidRDefault="00971E82" w:rsidP="005F6EE4">
      <w:pPr>
        <w:pStyle w:val="Textpoznpodarou"/>
        <w:rPr>
          <w:lang w:val="cs-CZ"/>
        </w:rPr>
      </w:pPr>
      <w:r>
        <w:rPr>
          <w:rStyle w:val="Znakapoznpodarou"/>
        </w:rPr>
        <w:footnoteRef/>
      </w:r>
      <w:r>
        <w:rPr>
          <w:lang w:val="cs-CZ"/>
        </w:rPr>
        <w:t xml:space="preserve"> </w:t>
      </w:r>
      <w:r>
        <w:rPr>
          <w:rFonts w:cs="TimesNewRomanPSMT"/>
          <w:szCs w:val="24"/>
        </w:rPr>
        <w:t>„</w:t>
      </w:r>
      <w:r w:rsidRPr="003646C3">
        <w:rPr>
          <w:rFonts w:cs="TimesNewRomanPSMT"/>
          <w:i/>
          <w:szCs w:val="24"/>
        </w:rPr>
        <w:t>Transzendenz ist ein immanenter, innerhalb des ego sich konstituierender Seinscharakter</w:t>
      </w:r>
      <w:r w:rsidRPr="003646C3">
        <w:rPr>
          <w:rFonts w:cs="TimesNewRomanPSMT"/>
          <w:szCs w:val="24"/>
        </w:rPr>
        <w:t>. Jeder erdenkliche Sinn, jedes erdenkliche Sein,</w:t>
      </w:r>
      <w:r>
        <w:rPr>
          <w:rFonts w:cs="TimesNewRomanPSMT"/>
          <w:szCs w:val="24"/>
        </w:rPr>
        <w:t xml:space="preserve"> </w:t>
      </w:r>
      <w:r w:rsidRPr="003646C3">
        <w:rPr>
          <w:rFonts w:cs="TimesNewRomanPSMT"/>
          <w:szCs w:val="24"/>
        </w:rPr>
        <w:t>ob es immanent oder transzendent heißt, fällt in den Bereich der transzendentalen Subjektivität. Ein Außerhalb derselben ist ein Widersinn, sie ist die universale, absolute Konkretion.</w:t>
      </w:r>
      <w:r>
        <w:rPr>
          <w:rFonts w:cs="TimesNewRomanPSMT"/>
          <w:szCs w:val="24"/>
        </w:rPr>
        <w:t>“ (</w:t>
      </w:r>
      <w:r w:rsidRPr="00B05C92">
        <w:rPr>
          <w:rFonts w:cs="TimesNewRomanPSMT"/>
          <w:i/>
          <w:szCs w:val="24"/>
        </w:rPr>
        <w:t xml:space="preserve">Cartesianische Mediationen und </w:t>
      </w:r>
      <w:r w:rsidRPr="003646C3">
        <w:rPr>
          <w:rFonts w:cs="TimesNewRomanPSMT"/>
          <w:i/>
          <w:szCs w:val="24"/>
        </w:rPr>
        <w:t>Pariser Vorträge</w:t>
      </w:r>
      <w:r>
        <w:rPr>
          <w:rFonts w:cs="TimesNewRomanPSMT"/>
          <w:szCs w:val="24"/>
        </w:rPr>
        <w:t>; Husserliana I, ed. Strasser, p. 31.32‒36</w:t>
      </w:r>
      <w:r>
        <w:rPr>
          <w:rFonts w:cs="TimesNewRomanPSMT"/>
          <w:szCs w:val="24"/>
        </w:rPr>
        <w:fldChar w:fldCharType="begin"/>
      </w:r>
      <w:r>
        <w:instrText xml:space="preserve"> XE "</w:instrText>
      </w:r>
      <w:r>
        <w:rPr>
          <w:lang w:val="cs-CZ"/>
        </w:rPr>
        <w:instrText>Husserl:</w:instrText>
      </w:r>
      <w:r w:rsidRPr="00420117">
        <w:rPr>
          <w:rFonts w:cs="TimesNewRomanPSMT"/>
          <w:i/>
          <w:szCs w:val="24"/>
        </w:rPr>
        <w:instrText>Cartesianische Mediationen und Pariser Vorträge</w:instrText>
      </w:r>
      <w:r w:rsidRPr="00420117">
        <w:rPr>
          <w:rFonts w:cs="TimesNewRomanPSMT"/>
          <w:szCs w:val="24"/>
        </w:rPr>
        <w:instrText xml:space="preserve"> 31.32‒36</w:instrText>
      </w:r>
      <w:r>
        <w:instrText xml:space="preserve">" </w:instrText>
      </w:r>
      <w:r>
        <w:rPr>
          <w:rFonts w:cs="TimesNewRomanPSMT"/>
          <w:szCs w:val="24"/>
        </w:rPr>
        <w:fldChar w:fldCharType="end"/>
      </w:r>
      <w:r>
        <w:rPr>
          <w:rFonts w:cs="TimesNewRomanPSMT"/>
          <w:szCs w:val="24"/>
        </w:rPr>
        <w:t>)</w:t>
      </w:r>
    </w:p>
  </w:footnote>
  <w:footnote w:id="436">
    <w:p w:rsidR="00971E82" w:rsidRPr="00294792" w:rsidRDefault="00971E82" w:rsidP="08163013">
      <w:pPr>
        <w:pStyle w:val="Textpoznpodarou"/>
      </w:pPr>
      <w:r>
        <w:rPr>
          <w:rStyle w:val="Znakapoznpodarou"/>
        </w:rPr>
        <w:footnoteRef/>
      </w:r>
      <w:r>
        <w:t xml:space="preserve"> „Quod autem haec idea realitatem objectivam hanc vel illam contineat potius quam aliam, hoc profecto habere debet ab aliqua causa in qua tantumdem fit ad minimum realitatis formalis quantum ipsa continet objectivae. Si enim ponamus aliquid in idea reperiri, quod non fueri in ejus causa, hoc igitur habet a nihilo...“ (</w:t>
      </w:r>
      <w:r w:rsidRPr="001A4C28">
        <w:rPr>
          <w:i/>
        </w:rPr>
        <w:t xml:space="preserve">Meditationes de </w:t>
      </w:r>
      <w:r>
        <w:rPr>
          <w:i/>
        </w:rPr>
        <w:t>prima philosophia</w:t>
      </w:r>
      <w:r w:rsidRPr="001A4C28">
        <w:t xml:space="preserve">, </w:t>
      </w:r>
      <w:r>
        <w:t xml:space="preserve">meditatio </w:t>
      </w:r>
      <w:r w:rsidRPr="001A4C28">
        <w:t>III</w:t>
      </w:r>
      <w:r>
        <w:t>; ed. Tannery</w:t>
      </w:r>
      <w:r>
        <w:rPr>
          <w:lang w:val="cs-CZ"/>
        </w:rPr>
        <w:t xml:space="preserve"> 7, </w:t>
      </w:r>
      <w:r>
        <w:t>41.20‒26</w:t>
      </w:r>
      <w:r>
        <w:fldChar w:fldCharType="begin"/>
      </w:r>
      <w:r>
        <w:instrText xml:space="preserve"> XE "</w:instrText>
      </w:r>
      <w:r>
        <w:rPr>
          <w:lang w:val="cs-CZ"/>
        </w:rPr>
        <w:instrText>Descartes:</w:instrText>
      </w:r>
      <w:r w:rsidRPr="00685926">
        <w:rPr>
          <w:i/>
        </w:rPr>
        <w:instrText>Meditationes de prima philosophia</w:instrText>
      </w:r>
      <w:r>
        <w:rPr>
          <w:lang w:val="cs-CZ"/>
        </w:rPr>
        <w:instrText xml:space="preserve"> </w:instrText>
      </w:r>
      <w:r w:rsidRPr="00685926">
        <w:instrText>41.20‒26</w:instrText>
      </w:r>
      <w:r>
        <w:instrText xml:space="preserve">" </w:instrText>
      </w:r>
      <w:r>
        <w:fldChar w:fldCharType="end"/>
      </w:r>
      <w:r>
        <w:t>)</w:t>
      </w:r>
    </w:p>
  </w:footnote>
  <w:footnote w:id="437">
    <w:p w:rsidR="00971E82" w:rsidRPr="00D323B6" w:rsidRDefault="00971E82" w:rsidP="08163013">
      <w:pPr>
        <w:pStyle w:val="Textpoznpodarou"/>
        <w:rPr>
          <w:lang w:val="cs-CZ"/>
        </w:rPr>
      </w:pPr>
      <w:r>
        <w:rPr>
          <w:rStyle w:val="Znakapoznpodarou"/>
        </w:rPr>
        <w:footnoteRef/>
      </w:r>
      <w:r>
        <w:t xml:space="preserve"> </w:t>
      </w:r>
      <w:r w:rsidRPr="00273106">
        <w:rPr>
          <w:noProof/>
        </w:rPr>
        <w:t xml:space="preserve">„Ideo dico quod intellectus noster cognoscit Deum esse ens infinitum, summum bonum, et huiusmodi, isto modo: nam conceptus entis includitur in conceptu creaturae; intellectus igitur in concipiendo hoc ens, ut album aut lapidem, ascendendo et abstrahendo potest cognoscere </w:t>
      </w:r>
      <w:r>
        <w:rPr>
          <w:noProof/>
        </w:rPr>
        <w:t>intentionem entis, ibi sistendo</w:t>
      </w:r>
      <w:r>
        <w:rPr>
          <w:noProof/>
          <w:lang w:val="cs-CZ"/>
        </w:rPr>
        <w:t>; (...)</w:t>
      </w:r>
      <w:r w:rsidRPr="00273106">
        <w:rPr>
          <w:noProof/>
        </w:rPr>
        <w:t>“ (</w:t>
      </w:r>
      <w:r w:rsidRPr="008C2D4A">
        <w:rPr>
          <w:i/>
          <w:noProof/>
        </w:rPr>
        <w:t>Lectura I</w:t>
      </w:r>
      <w:r w:rsidRPr="00273106">
        <w:rPr>
          <w:noProof/>
        </w:rPr>
        <w:t xml:space="preserve">, dist. 3, pars 1, q. 1‒2, no. 56; </w:t>
      </w:r>
      <w:r>
        <w:rPr>
          <w:noProof/>
        </w:rPr>
        <w:t xml:space="preserve">ed. </w:t>
      </w:r>
      <w:r w:rsidRPr="00273106">
        <w:rPr>
          <w:noProof/>
        </w:rPr>
        <w:t>Vat</w:t>
      </w:r>
      <w:r>
        <w:rPr>
          <w:noProof/>
        </w:rPr>
        <w:t>icana</w:t>
      </w:r>
      <w:r w:rsidRPr="00273106">
        <w:rPr>
          <w:noProof/>
        </w:rPr>
        <w:t xml:space="preserve"> XVI, 246.14‒20</w:t>
      </w:r>
      <w:r>
        <w:rPr>
          <w:noProof/>
        </w:rPr>
        <w:fldChar w:fldCharType="begin"/>
      </w:r>
      <w:r>
        <w:instrText xml:space="preserve"> XE "</w:instrText>
      </w:r>
      <w:r>
        <w:rPr>
          <w:lang w:val="cs-CZ"/>
        </w:rPr>
        <w:instrText>Scotus:</w:instrText>
      </w:r>
      <w:r w:rsidRPr="005D298D">
        <w:rPr>
          <w:i/>
          <w:noProof/>
        </w:rPr>
        <w:instrText>Lectura</w:instrText>
      </w:r>
      <w:r w:rsidRPr="005D298D">
        <w:rPr>
          <w:noProof/>
        </w:rPr>
        <w:instrText xml:space="preserve"> </w:instrText>
      </w:r>
      <w:r>
        <w:rPr>
          <w:noProof/>
          <w:lang w:val="cs-CZ"/>
        </w:rPr>
        <w:instrText>1.</w:instrText>
      </w:r>
      <w:r w:rsidRPr="005D298D">
        <w:rPr>
          <w:noProof/>
        </w:rPr>
        <w:instrText>246.14‒20</w:instrText>
      </w:r>
      <w:r>
        <w:instrText xml:space="preserve">" </w:instrText>
      </w:r>
      <w:r>
        <w:rPr>
          <w:noProof/>
        </w:rPr>
        <w:fldChar w:fldCharType="end"/>
      </w:r>
      <w:r w:rsidRPr="00273106">
        <w:rPr>
          <w:noProof/>
        </w:rPr>
        <w:t>)</w:t>
      </w:r>
    </w:p>
  </w:footnote>
  <w:footnote w:id="438">
    <w:p w:rsidR="00971E82" w:rsidRPr="0010723F" w:rsidRDefault="00971E82" w:rsidP="08163013">
      <w:pPr>
        <w:pStyle w:val="Textpoznpodarou"/>
      </w:pPr>
      <w:r>
        <w:rPr>
          <w:rStyle w:val="Znakapoznpodarou"/>
        </w:rPr>
        <w:footnoteRef/>
      </w:r>
      <w:r>
        <w:t xml:space="preserve"> „</w:t>
      </w:r>
      <w:r w:rsidRPr="0010723F">
        <w:t>Habitus autem dependet ab obiecto et intellectu, et intellectus suus non est eiusdem rationis cum intellectu nostro, et ideo nec habitus suus cum habitu nostro; unde habitus suus est infinitus, noster autem finitus.</w:t>
      </w:r>
      <w:r>
        <w:t>“ (</w:t>
      </w:r>
      <w:r w:rsidRPr="008C2D4A">
        <w:rPr>
          <w:i/>
          <w:noProof/>
        </w:rPr>
        <w:t>Lectura I</w:t>
      </w:r>
      <w:r w:rsidRPr="00273106">
        <w:rPr>
          <w:noProof/>
        </w:rPr>
        <w:t>, dist. 3, pars 1, q. 1‒2,</w:t>
      </w:r>
      <w:r>
        <w:t xml:space="preserve"> no. 63</w:t>
      </w:r>
      <w:r>
        <w:rPr>
          <w:lang w:val="cs-CZ"/>
        </w:rPr>
        <w:t>;</w:t>
      </w:r>
      <w:r>
        <w:t xml:space="preserve"> </w:t>
      </w:r>
      <w:r>
        <w:rPr>
          <w:lang w:val="cs-CZ"/>
        </w:rPr>
        <w:t xml:space="preserve">ed. Vaticana XVI, </w:t>
      </w:r>
      <w:r>
        <w:t>p. 248.16‒19</w:t>
      </w:r>
      <w:r>
        <w:rPr>
          <w:noProof/>
        </w:rPr>
        <w:fldChar w:fldCharType="begin"/>
      </w:r>
      <w:r>
        <w:instrText xml:space="preserve"> XE "</w:instrText>
      </w:r>
      <w:r>
        <w:rPr>
          <w:lang w:val="cs-CZ"/>
        </w:rPr>
        <w:instrText>Scotus:</w:instrText>
      </w:r>
      <w:r w:rsidRPr="005D298D">
        <w:rPr>
          <w:i/>
          <w:noProof/>
        </w:rPr>
        <w:instrText>Lectura</w:instrText>
      </w:r>
      <w:r w:rsidRPr="005D298D">
        <w:rPr>
          <w:noProof/>
        </w:rPr>
        <w:instrText xml:space="preserve"> </w:instrText>
      </w:r>
      <w:r>
        <w:rPr>
          <w:noProof/>
          <w:lang w:val="cs-CZ"/>
        </w:rPr>
        <w:instrText>1.</w:instrText>
      </w:r>
      <w:r>
        <w:rPr>
          <w:noProof/>
        </w:rPr>
        <w:instrText>24</w:instrText>
      </w:r>
      <w:r>
        <w:rPr>
          <w:noProof/>
          <w:lang w:val="cs-CZ"/>
        </w:rPr>
        <w:instrText>8</w:instrText>
      </w:r>
      <w:r>
        <w:rPr>
          <w:noProof/>
        </w:rPr>
        <w:instrText>.1</w:instrText>
      </w:r>
      <w:r>
        <w:rPr>
          <w:noProof/>
          <w:lang w:val="cs-CZ"/>
        </w:rPr>
        <w:instrText>6</w:instrText>
      </w:r>
      <w:r>
        <w:rPr>
          <w:noProof/>
        </w:rPr>
        <w:instrText>‒</w:instrText>
      </w:r>
      <w:r>
        <w:rPr>
          <w:noProof/>
          <w:lang w:val="cs-CZ"/>
        </w:rPr>
        <w:instrText>19</w:instrText>
      </w:r>
      <w:r>
        <w:instrText xml:space="preserve">" </w:instrText>
      </w:r>
      <w:r>
        <w:rPr>
          <w:noProof/>
        </w:rPr>
        <w:fldChar w:fldCharType="end"/>
      </w:r>
      <w:r>
        <w:t>)</w:t>
      </w:r>
    </w:p>
  </w:footnote>
  <w:footnote w:id="439">
    <w:p w:rsidR="00971E82" w:rsidRPr="00683D89" w:rsidRDefault="00971E82" w:rsidP="08163013">
      <w:pPr>
        <w:pStyle w:val="Textpoznpodarou"/>
        <w:rPr>
          <w:lang w:val="cs-CZ"/>
        </w:rPr>
      </w:pPr>
      <w:r>
        <w:rPr>
          <w:rStyle w:val="Znakapoznpodarou"/>
        </w:rPr>
        <w:footnoteRef/>
      </w:r>
      <w:r>
        <w:t xml:space="preserve"> „</w:t>
      </w:r>
      <w:r w:rsidRPr="005E31C4">
        <w:t>Ad aliud, quando arguitur quod 'i</w:t>
      </w:r>
      <w:r>
        <w:t>nfinitum unde infinitum, est ignotum'</w:t>
      </w:r>
      <w:r w:rsidRPr="005E31C4">
        <w:t>, dicendum quod duplex est infinitum, scilicet infinitum in actu et infinitum in potentia. Infinitum in potentia est nobis ignotum et non a nobis cognoscibile, quia intellectus intelligens hoc post hoc, numquam intelliget infinitum in potentia.</w:t>
      </w:r>
      <w:r>
        <w:t>“ (</w:t>
      </w:r>
      <w:r w:rsidRPr="008C2D4A">
        <w:rPr>
          <w:i/>
          <w:noProof/>
        </w:rPr>
        <w:t>Lectura I</w:t>
      </w:r>
      <w:r w:rsidRPr="00273106">
        <w:rPr>
          <w:noProof/>
        </w:rPr>
        <w:t>, dist. 3, pars 1, q. 1‒2,</w:t>
      </w:r>
      <w:r>
        <w:t xml:space="preserve"> no. 60</w:t>
      </w:r>
      <w:r>
        <w:rPr>
          <w:lang w:val="cs-CZ"/>
        </w:rPr>
        <w:t xml:space="preserve">; ed. Vaticana XVI, </w:t>
      </w:r>
      <w:r>
        <w:t>p. 247.24‒28</w:t>
      </w:r>
      <w:r>
        <w:rPr>
          <w:noProof/>
        </w:rPr>
        <w:fldChar w:fldCharType="begin"/>
      </w:r>
      <w:r>
        <w:instrText xml:space="preserve"> XE "</w:instrText>
      </w:r>
      <w:r>
        <w:rPr>
          <w:lang w:val="cs-CZ"/>
        </w:rPr>
        <w:instrText>Scotus:</w:instrText>
      </w:r>
      <w:r w:rsidRPr="005D298D">
        <w:rPr>
          <w:i/>
          <w:noProof/>
        </w:rPr>
        <w:instrText>Lectura</w:instrText>
      </w:r>
      <w:r w:rsidRPr="005D298D">
        <w:rPr>
          <w:noProof/>
        </w:rPr>
        <w:instrText xml:space="preserve"> </w:instrText>
      </w:r>
      <w:r>
        <w:rPr>
          <w:noProof/>
          <w:lang w:val="cs-CZ"/>
        </w:rPr>
        <w:instrText>1.</w:instrText>
      </w:r>
      <w:r>
        <w:rPr>
          <w:noProof/>
        </w:rPr>
        <w:instrText>24</w:instrText>
      </w:r>
      <w:r>
        <w:rPr>
          <w:noProof/>
          <w:lang w:val="cs-CZ"/>
        </w:rPr>
        <w:instrText>7</w:instrText>
      </w:r>
      <w:r>
        <w:rPr>
          <w:noProof/>
        </w:rPr>
        <w:instrText>.</w:instrText>
      </w:r>
      <w:r>
        <w:rPr>
          <w:noProof/>
          <w:lang w:val="cs-CZ"/>
        </w:rPr>
        <w:instrText>2</w:instrText>
      </w:r>
      <w:r>
        <w:rPr>
          <w:noProof/>
        </w:rPr>
        <w:instrText>4‒2</w:instrText>
      </w:r>
      <w:r>
        <w:rPr>
          <w:noProof/>
          <w:lang w:val="cs-CZ"/>
        </w:rPr>
        <w:instrText>8</w:instrText>
      </w:r>
      <w:r>
        <w:instrText xml:space="preserve">" </w:instrText>
      </w:r>
      <w:r>
        <w:rPr>
          <w:noProof/>
        </w:rPr>
        <w:fldChar w:fldCharType="end"/>
      </w:r>
      <w:r>
        <w:t>)</w:t>
      </w:r>
    </w:p>
  </w:footnote>
  <w:footnote w:id="440">
    <w:p w:rsidR="00971E82" w:rsidRPr="00907742" w:rsidRDefault="00971E82" w:rsidP="08163013">
      <w:pPr>
        <w:pStyle w:val="Textpoznpodarou"/>
        <w:rPr>
          <w:noProof/>
          <w:lang w:val="cs-CZ"/>
        </w:rPr>
      </w:pPr>
      <w:r>
        <w:rPr>
          <w:rStyle w:val="Znakapoznpodarou"/>
        </w:rPr>
        <w:footnoteRef/>
      </w:r>
      <w:r>
        <w:t xml:space="preserve"> </w:t>
      </w:r>
      <w:r w:rsidRPr="00273106">
        <w:rPr>
          <w:noProof/>
        </w:rPr>
        <w:t>„Conceptus simplex qui concipitur una intellectione et uno actu intelligendi, est duplex, scilicet conceptus simpliciter simplex et conceptus non simpliciter simplex. Conceptus autem simpliciter simplex est ille conceptus qui non est resolubilis in alios conceptus priores; conceptus autem non simpliciter simplex est ille qui est resolubilis in conceptus priores, ut conceptus hominis resolvitur in conceptum generis et differentiae.“ (</w:t>
      </w:r>
      <w:r w:rsidRPr="008C2D4A">
        <w:rPr>
          <w:i/>
          <w:noProof/>
        </w:rPr>
        <w:t>Lectura I</w:t>
      </w:r>
      <w:r w:rsidRPr="00273106">
        <w:rPr>
          <w:noProof/>
        </w:rPr>
        <w:t xml:space="preserve">, dist. 3, pars 1, q. 1‒2, no. 68; </w:t>
      </w:r>
      <w:r>
        <w:rPr>
          <w:noProof/>
        </w:rPr>
        <w:t xml:space="preserve">ed. </w:t>
      </w:r>
      <w:r w:rsidRPr="00273106">
        <w:rPr>
          <w:noProof/>
        </w:rPr>
        <w:t>Vat</w:t>
      </w:r>
      <w:r>
        <w:rPr>
          <w:noProof/>
        </w:rPr>
        <w:t>icana</w:t>
      </w:r>
      <w:r w:rsidRPr="00273106">
        <w:rPr>
          <w:noProof/>
        </w:rPr>
        <w:t xml:space="preserve"> XVI,</w:t>
      </w:r>
      <w:r>
        <w:rPr>
          <w:noProof/>
          <w:lang w:val="cs-CZ"/>
        </w:rPr>
        <w:t xml:space="preserve"> p.</w:t>
      </w:r>
      <w:r w:rsidRPr="00273106">
        <w:rPr>
          <w:noProof/>
        </w:rPr>
        <w:t xml:space="preserve"> 250.1‒9</w:t>
      </w:r>
      <w:r>
        <w:rPr>
          <w:noProof/>
        </w:rPr>
        <w:fldChar w:fldCharType="begin"/>
      </w:r>
      <w:r>
        <w:instrText xml:space="preserve"> XE "</w:instrText>
      </w:r>
      <w:r>
        <w:rPr>
          <w:lang w:val="cs-CZ"/>
        </w:rPr>
        <w:instrText>Scotus:</w:instrText>
      </w:r>
      <w:r w:rsidRPr="00C03260">
        <w:rPr>
          <w:i/>
          <w:noProof/>
        </w:rPr>
        <w:instrText>Lectura</w:instrText>
      </w:r>
      <w:r w:rsidRPr="00C03260">
        <w:rPr>
          <w:noProof/>
        </w:rPr>
        <w:instrText xml:space="preserve"> </w:instrText>
      </w:r>
      <w:r>
        <w:rPr>
          <w:noProof/>
          <w:lang w:val="cs-CZ"/>
        </w:rPr>
        <w:instrText>1.</w:instrText>
      </w:r>
      <w:r w:rsidRPr="00C03260">
        <w:rPr>
          <w:noProof/>
        </w:rPr>
        <w:instrText>250.1‒9</w:instrText>
      </w:r>
      <w:r>
        <w:instrText xml:space="preserve">" </w:instrText>
      </w:r>
      <w:r>
        <w:rPr>
          <w:noProof/>
        </w:rPr>
        <w:fldChar w:fldCharType="end"/>
      </w:r>
      <w:r w:rsidRPr="00273106">
        <w:rPr>
          <w:noProof/>
        </w:rPr>
        <w:t>)</w:t>
      </w:r>
    </w:p>
  </w:footnote>
  <w:footnote w:id="441">
    <w:p w:rsidR="00971E82" w:rsidRPr="00EF4CC9" w:rsidRDefault="00971E82" w:rsidP="08163013">
      <w:pPr>
        <w:pStyle w:val="Textpoznpodarou"/>
        <w:rPr>
          <w:lang w:val="cs-CZ"/>
        </w:rPr>
      </w:pPr>
      <w:r>
        <w:rPr>
          <w:rStyle w:val="Znakapoznpodarou"/>
        </w:rPr>
        <w:footnoteRef/>
      </w:r>
      <w:r>
        <w:t xml:space="preserve"> „</w:t>
      </w:r>
      <w:r>
        <w:rPr>
          <w:lang w:val="cs-CZ"/>
        </w:rPr>
        <w:t>I</w:t>
      </w:r>
      <w:r w:rsidRPr="001E47B4">
        <w:t>gitur prius acquiritur cognitio confusa quam determinata, praecipue cum intellectus noster procedat de imperfecto ad perfectum. Et hoc verum est. Sed tamen non sequitur quod confusum sit nobis primo cognitum cognitione confusa. Unde patet quod totus ordo cognitionis confusae praecedit totum ordinem cognitionis distinctae secundum prioritatem originis.</w:t>
      </w:r>
      <w:r>
        <w:t>“ (</w:t>
      </w:r>
      <w:r w:rsidRPr="008C2D4A">
        <w:rPr>
          <w:i/>
          <w:noProof/>
        </w:rPr>
        <w:t>Lectura I</w:t>
      </w:r>
      <w:r w:rsidRPr="00273106">
        <w:rPr>
          <w:noProof/>
        </w:rPr>
        <w:t xml:space="preserve">, dist. 3, pars 1, q. 1‒2, </w:t>
      </w:r>
      <w:r>
        <w:rPr>
          <w:noProof/>
        </w:rPr>
        <w:t xml:space="preserve">no. </w:t>
      </w:r>
      <w:r>
        <w:rPr>
          <w:noProof/>
          <w:lang w:val="cs-CZ"/>
        </w:rPr>
        <w:t>79</w:t>
      </w:r>
      <w:r>
        <w:rPr>
          <w:noProof/>
        </w:rPr>
        <w:t xml:space="preserve">; ed. </w:t>
      </w:r>
      <w:r w:rsidRPr="00273106">
        <w:rPr>
          <w:noProof/>
        </w:rPr>
        <w:t>Vat</w:t>
      </w:r>
      <w:r>
        <w:rPr>
          <w:noProof/>
        </w:rPr>
        <w:t>icana XVI</w:t>
      </w:r>
      <w:r>
        <w:t>, p. 254.14‒20</w:t>
      </w:r>
      <w:r>
        <w:fldChar w:fldCharType="begin"/>
      </w:r>
      <w:r>
        <w:instrText xml:space="preserve"> XE "</w:instrText>
      </w:r>
      <w:r>
        <w:rPr>
          <w:lang w:val="cs-CZ"/>
        </w:rPr>
        <w:instrText>Scotus:</w:instrText>
      </w:r>
      <w:r w:rsidRPr="009A5A18">
        <w:rPr>
          <w:i/>
          <w:noProof/>
        </w:rPr>
        <w:instrText>Lectura</w:instrText>
      </w:r>
      <w:r w:rsidRPr="009A5A18">
        <w:rPr>
          <w:noProof/>
        </w:rPr>
        <w:instrText xml:space="preserve"> </w:instrText>
      </w:r>
      <w:r>
        <w:rPr>
          <w:noProof/>
          <w:lang w:val="cs-CZ"/>
        </w:rPr>
        <w:instrText>1.</w:instrText>
      </w:r>
      <w:r w:rsidRPr="009A5A18">
        <w:instrText>254.14‒20</w:instrText>
      </w:r>
      <w:r>
        <w:instrText xml:space="preserve">" </w:instrText>
      </w:r>
      <w:r>
        <w:fldChar w:fldCharType="end"/>
      </w:r>
      <w:r>
        <w:t>)</w:t>
      </w:r>
    </w:p>
  </w:footnote>
  <w:footnote w:id="442">
    <w:p w:rsidR="00971E82" w:rsidRPr="00110B96" w:rsidRDefault="00971E82" w:rsidP="08163013">
      <w:pPr>
        <w:pStyle w:val="Textpoznpodarou"/>
        <w:rPr>
          <w:lang w:val="cs-CZ"/>
        </w:rPr>
      </w:pPr>
      <w:r>
        <w:rPr>
          <w:rStyle w:val="Znakapoznpodarou"/>
        </w:rPr>
        <w:footnoteRef/>
      </w:r>
      <w:r>
        <w:t xml:space="preserve"> </w:t>
      </w:r>
      <w:r w:rsidRPr="00273106">
        <w:rPr>
          <w:noProof/>
        </w:rPr>
        <w:t>„Secundum quod praemitto est quod aliud est aliquid esse confusum cognitum, et aliud est esse confuse cognitum; et aliud est confusum cognoscere et confuse cognoscere.“ (</w:t>
      </w:r>
      <w:r w:rsidRPr="008C2D4A">
        <w:rPr>
          <w:i/>
          <w:noProof/>
        </w:rPr>
        <w:t>Lectura I</w:t>
      </w:r>
      <w:r w:rsidRPr="00273106">
        <w:rPr>
          <w:noProof/>
        </w:rPr>
        <w:t xml:space="preserve">, dist. 3, pars 1, q. 1‒2, </w:t>
      </w:r>
      <w:r>
        <w:rPr>
          <w:noProof/>
        </w:rPr>
        <w:t>no. 69</w:t>
      </w:r>
      <w:r>
        <w:rPr>
          <w:noProof/>
          <w:lang w:val="cs-CZ"/>
        </w:rPr>
        <w:t xml:space="preserve">; </w:t>
      </w:r>
      <w:r>
        <w:rPr>
          <w:noProof/>
        </w:rPr>
        <w:t xml:space="preserve">ed. </w:t>
      </w:r>
      <w:r w:rsidRPr="00273106">
        <w:rPr>
          <w:noProof/>
        </w:rPr>
        <w:t>Vat</w:t>
      </w:r>
      <w:r>
        <w:rPr>
          <w:noProof/>
        </w:rPr>
        <w:t>icana</w:t>
      </w:r>
      <w:r w:rsidRPr="00273106">
        <w:rPr>
          <w:noProof/>
        </w:rPr>
        <w:t xml:space="preserve"> XVI, </w:t>
      </w:r>
      <w:r>
        <w:rPr>
          <w:noProof/>
        </w:rPr>
        <w:t>p. 250.13‒15</w:t>
      </w:r>
      <w:r>
        <w:rPr>
          <w:noProof/>
        </w:rPr>
        <w:fldChar w:fldCharType="begin"/>
      </w:r>
      <w:r>
        <w:instrText xml:space="preserve"> XE "</w:instrText>
      </w:r>
      <w:r>
        <w:rPr>
          <w:lang w:val="cs-CZ"/>
        </w:rPr>
        <w:instrText>Scotus:</w:instrText>
      </w:r>
      <w:r w:rsidRPr="00ED7808">
        <w:rPr>
          <w:i/>
          <w:noProof/>
        </w:rPr>
        <w:instrText>Lectura</w:instrText>
      </w:r>
      <w:r w:rsidRPr="00ED7808">
        <w:rPr>
          <w:noProof/>
        </w:rPr>
        <w:instrText xml:space="preserve"> </w:instrText>
      </w:r>
      <w:r>
        <w:rPr>
          <w:noProof/>
          <w:lang w:val="cs-CZ"/>
        </w:rPr>
        <w:instrText>1.</w:instrText>
      </w:r>
      <w:r w:rsidRPr="00ED7808">
        <w:rPr>
          <w:noProof/>
        </w:rPr>
        <w:instrText>250.13‒15</w:instrText>
      </w:r>
      <w:r>
        <w:instrText xml:space="preserve">" </w:instrText>
      </w:r>
      <w:r>
        <w:rPr>
          <w:noProof/>
        </w:rPr>
        <w:fldChar w:fldCharType="end"/>
      </w:r>
      <w:r>
        <w:rPr>
          <w:noProof/>
          <w:lang w:val="cs-CZ"/>
        </w:rPr>
        <w:t>)</w:t>
      </w:r>
    </w:p>
  </w:footnote>
  <w:footnote w:id="443">
    <w:p w:rsidR="00971E82" w:rsidRPr="00D670C9" w:rsidRDefault="00971E82" w:rsidP="08163013">
      <w:pPr>
        <w:pStyle w:val="Textpoznpodarou"/>
        <w:rPr>
          <w:noProof/>
          <w:lang w:val="cs-CZ"/>
        </w:rPr>
      </w:pPr>
      <w:r>
        <w:rPr>
          <w:rStyle w:val="Znakapoznpodarou"/>
        </w:rPr>
        <w:footnoteRef/>
      </w:r>
      <w:r>
        <w:t xml:space="preserve"> </w:t>
      </w:r>
      <w:r w:rsidRPr="00273106">
        <w:rPr>
          <w:noProof/>
        </w:rPr>
        <w:t>„Et sic ens, licet sit confusum cognitum, non tamen confuse cognoscitur, quia non habet per quod potest distingui in plura aut priora; et ideo ens non potest indistin</w:t>
      </w:r>
      <w:r>
        <w:rPr>
          <w:noProof/>
        </w:rPr>
        <w:t>cte et confuse cognosci.“ (ibid</w:t>
      </w:r>
      <w:r>
        <w:rPr>
          <w:noProof/>
          <w:lang w:val="cs-CZ"/>
        </w:rPr>
        <w:t>;</w:t>
      </w:r>
      <w:r w:rsidRPr="00273106">
        <w:rPr>
          <w:noProof/>
        </w:rPr>
        <w:t xml:space="preserve"> </w:t>
      </w:r>
      <w:r>
        <w:rPr>
          <w:noProof/>
        </w:rPr>
        <w:t xml:space="preserve">ed. </w:t>
      </w:r>
      <w:r w:rsidRPr="00273106">
        <w:rPr>
          <w:noProof/>
        </w:rPr>
        <w:t>Vat</w:t>
      </w:r>
      <w:r>
        <w:rPr>
          <w:noProof/>
        </w:rPr>
        <w:t>icana</w:t>
      </w:r>
      <w:r w:rsidRPr="00273106">
        <w:rPr>
          <w:noProof/>
        </w:rPr>
        <w:t xml:space="preserve"> XVI</w:t>
      </w:r>
      <w:r>
        <w:rPr>
          <w:noProof/>
          <w:lang w:val="cs-CZ"/>
        </w:rPr>
        <w:t xml:space="preserve">, </w:t>
      </w:r>
      <w:r w:rsidRPr="00273106">
        <w:rPr>
          <w:noProof/>
        </w:rPr>
        <w:t>p. 250.15‒27</w:t>
      </w:r>
      <w:r>
        <w:rPr>
          <w:noProof/>
        </w:rPr>
        <w:fldChar w:fldCharType="begin"/>
      </w:r>
      <w:r>
        <w:instrText xml:space="preserve"> XE "</w:instrText>
      </w:r>
      <w:r>
        <w:rPr>
          <w:lang w:val="cs-CZ"/>
        </w:rPr>
        <w:instrText>Scotus:</w:instrText>
      </w:r>
      <w:r w:rsidRPr="00ED7808">
        <w:rPr>
          <w:i/>
          <w:noProof/>
        </w:rPr>
        <w:instrText>Lectura</w:instrText>
      </w:r>
      <w:r w:rsidRPr="00ED7808">
        <w:rPr>
          <w:noProof/>
        </w:rPr>
        <w:instrText xml:space="preserve"> </w:instrText>
      </w:r>
      <w:r>
        <w:rPr>
          <w:noProof/>
          <w:lang w:val="cs-CZ"/>
        </w:rPr>
        <w:instrText>1.</w:instrText>
      </w:r>
      <w:r>
        <w:rPr>
          <w:noProof/>
        </w:rPr>
        <w:instrText>250.1</w:instrText>
      </w:r>
      <w:r>
        <w:rPr>
          <w:noProof/>
          <w:lang w:val="cs-CZ"/>
        </w:rPr>
        <w:instrText>5</w:instrText>
      </w:r>
      <w:r>
        <w:rPr>
          <w:noProof/>
        </w:rPr>
        <w:instrText>‒1</w:instrText>
      </w:r>
      <w:r>
        <w:rPr>
          <w:noProof/>
          <w:lang w:val="cs-CZ"/>
        </w:rPr>
        <w:instrText>7</w:instrText>
      </w:r>
      <w:r>
        <w:instrText xml:space="preserve">" </w:instrText>
      </w:r>
      <w:r>
        <w:rPr>
          <w:noProof/>
        </w:rPr>
        <w:fldChar w:fldCharType="end"/>
      </w:r>
      <w:r w:rsidRPr="00273106">
        <w:rPr>
          <w:noProof/>
        </w:rPr>
        <w:t>)</w:t>
      </w:r>
    </w:p>
  </w:footnote>
  <w:footnote w:id="444">
    <w:p w:rsidR="00971E82" w:rsidRPr="00D9142E" w:rsidRDefault="00971E82" w:rsidP="08163013">
      <w:pPr>
        <w:pStyle w:val="Textpoznpodarou"/>
        <w:rPr>
          <w:noProof/>
          <w:lang w:val="cs-CZ"/>
        </w:rPr>
      </w:pPr>
      <w:r>
        <w:rPr>
          <w:rStyle w:val="Znakapoznpodarou"/>
        </w:rPr>
        <w:footnoteRef/>
      </w:r>
      <w:r>
        <w:rPr>
          <w:lang w:val="cs-CZ"/>
        </w:rPr>
        <w:t xml:space="preserve"> </w:t>
      </w:r>
      <w:r w:rsidRPr="00273106">
        <w:rPr>
          <w:noProof/>
        </w:rPr>
        <w:t>„Circa solutionem secundae quaestionis, quae quaerit 'quid sit primum cognitum a nobis', sic est procedendum: primo est videndum quid sit primo cognitum primitate originis et generationis; secundo, quid sit primo cognitum primitate perfectionis; tertio, quid sit primo cognitum primitate adaequationis.“ (</w:t>
      </w:r>
      <w:r w:rsidRPr="008C2D4A">
        <w:rPr>
          <w:i/>
          <w:noProof/>
        </w:rPr>
        <w:t>Lectura I</w:t>
      </w:r>
      <w:r w:rsidRPr="00273106">
        <w:rPr>
          <w:noProof/>
        </w:rPr>
        <w:t xml:space="preserve">, dist. 3, pars 1, q. 1‒2, </w:t>
      </w:r>
      <w:r>
        <w:rPr>
          <w:noProof/>
        </w:rPr>
        <w:t xml:space="preserve">no. 66; ed. </w:t>
      </w:r>
      <w:r w:rsidRPr="00273106">
        <w:rPr>
          <w:noProof/>
        </w:rPr>
        <w:t>Vat</w:t>
      </w:r>
      <w:r>
        <w:rPr>
          <w:noProof/>
        </w:rPr>
        <w:t>icana</w:t>
      </w:r>
      <w:r w:rsidRPr="00273106">
        <w:rPr>
          <w:noProof/>
        </w:rPr>
        <w:t xml:space="preserve"> XVI,</w:t>
      </w:r>
      <w:r>
        <w:rPr>
          <w:noProof/>
        </w:rPr>
        <w:t xml:space="preserve"> </w:t>
      </w:r>
      <w:r w:rsidRPr="00273106">
        <w:rPr>
          <w:noProof/>
        </w:rPr>
        <w:t>p. 249.16‒20</w:t>
      </w:r>
      <w:r>
        <w:rPr>
          <w:noProof/>
        </w:rPr>
        <w:fldChar w:fldCharType="begin"/>
      </w:r>
      <w:r>
        <w:instrText xml:space="preserve"> XE "</w:instrText>
      </w:r>
      <w:r>
        <w:rPr>
          <w:lang w:val="cs-CZ"/>
        </w:rPr>
        <w:instrText>Scotus:</w:instrText>
      </w:r>
      <w:r w:rsidRPr="00ED7808">
        <w:rPr>
          <w:i/>
          <w:noProof/>
        </w:rPr>
        <w:instrText>Lectura</w:instrText>
      </w:r>
      <w:r w:rsidRPr="00ED7808">
        <w:rPr>
          <w:noProof/>
        </w:rPr>
        <w:instrText xml:space="preserve"> </w:instrText>
      </w:r>
      <w:r>
        <w:rPr>
          <w:noProof/>
          <w:lang w:val="cs-CZ"/>
        </w:rPr>
        <w:instrText>1.249</w:instrText>
      </w:r>
      <w:r>
        <w:rPr>
          <w:noProof/>
        </w:rPr>
        <w:instrText>.1</w:instrText>
      </w:r>
      <w:r>
        <w:rPr>
          <w:noProof/>
          <w:lang w:val="cs-CZ"/>
        </w:rPr>
        <w:instrText>6</w:instrText>
      </w:r>
      <w:r>
        <w:rPr>
          <w:noProof/>
        </w:rPr>
        <w:instrText>‒</w:instrText>
      </w:r>
      <w:r>
        <w:rPr>
          <w:noProof/>
          <w:lang w:val="cs-CZ"/>
        </w:rPr>
        <w:instrText>20</w:instrText>
      </w:r>
      <w:r>
        <w:instrText xml:space="preserve">" </w:instrText>
      </w:r>
      <w:r>
        <w:rPr>
          <w:noProof/>
        </w:rPr>
        <w:fldChar w:fldCharType="end"/>
      </w:r>
      <w:r w:rsidRPr="00273106">
        <w:rPr>
          <w:noProof/>
        </w:rPr>
        <w:t>)</w:t>
      </w:r>
    </w:p>
  </w:footnote>
  <w:footnote w:id="445">
    <w:p w:rsidR="00971E82" w:rsidRPr="001F7BBB" w:rsidRDefault="00971E82" w:rsidP="08163013">
      <w:pPr>
        <w:pStyle w:val="Textpoznpodarou"/>
        <w:rPr>
          <w:lang w:val="cs-CZ"/>
        </w:rPr>
      </w:pPr>
      <w:r>
        <w:rPr>
          <w:rStyle w:val="Znakapoznpodarou"/>
        </w:rPr>
        <w:footnoteRef/>
      </w:r>
      <w:r>
        <w:t xml:space="preserve"> </w:t>
      </w:r>
      <w:r w:rsidRPr="00273106">
        <w:rPr>
          <w:noProof/>
        </w:rPr>
        <w:t>„Secundo dico quod ens est primum, ordine originis et generationis, quod cognoscitur cognitione distincta. Probatio: ens non potest cognosci nisi distincte, quia non est resolubile in plures conceptus priores: sed ad hoc quod aliquid distincte cognoscatur cognitione distincta, oportet quod ens praecognoscatur, quia in omni conceptu est ens.“ (</w:t>
      </w:r>
      <w:r w:rsidRPr="008C2D4A">
        <w:rPr>
          <w:i/>
          <w:noProof/>
        </w:rPr>
        <w:t>Lectura I</w:t>
      </w:r>
      <w:r w:rsidRPr="00273106">
        <w:rPr>
          <w:noProof/>
        </w:rPr>
        <w:t xml:space="preserve">, dist. 3, pars 1, q. 1‒2, </w:t>
      </w:r>
      <w:r>
        <w:rPr>
          <w:noProof/>
        </w:rPr>
        <w:t xml:space="preserve">no. </w:t>
      </w:r>
      <w:r>
        <w:rPr>
          <w:noProof/>
          <w:lang w:val="cs-CZ"/>
        </w:rPr>
        <w:t>75</w:t>
      </w:r>
      <w:r>
        <w:rPr>
          <w:noProof/>
        </w:rPr>
        <w:t xml:space="preserve">; ed. </w:t>
      </w:r>
      <w:r w:rsidRPr="00273106">
        <w:rPr>
          <w:noProof/>
        </w:rPr>
        <w:t>Vat</w:t>
      </w:r>
      <w:r>
        <w:rPr>
          <w:noProof/>
        </w:rPr>
        <w:t>icana</w:t>
      </w:r>
      <w:r w:rsidRPr="00273106">
        <w:rPr>
          <w:noProof/>
        </w:rPr>
        <w:t xml:space="preserve"> XVI,</w:t>
      </w:r>
      <w:r>
        <w:rPr>
          <w:noProof/>
        </w:rPr>
        <w:t xml:space="preserve"> p. 252.26‒</w:t>
      </w:r>
      <w:r w:rsidRPr="00273106">
        <w:rPr>
          <w:noProof/>
        </w:rPr>
        <w:t>31</w:t>
      </w:r>
      <w:r>
        <w:rPr>
          <w:noProof/>
        </w:rPr>
        <w:fldChar w:fldCharType="begin"/>
      </w:r>
      <w:r>
        <w:instrText xml:space="preserve"> XE "</w:instrText>
      </w:r>
      <w:r>
        <w:rPr>
          <w:lang w:val="cs-CZ"/>
        </w:rPr>
        <w:instrText>Scotus:</w:instrText>
      </w:r>
      <w:r w:rsidRPr="00ED7808">
        <w:rPr>
          <w:i/>
          <w:noProof/>
        </w:rPr>
        <w:instrText>Lectura</w:instrText>
      </w:r>
      <w:r w:rsidRPr="00ED7808">
        <w:rPr>
          <w:noProof/>
        </w:rPr>
        <w:instrText xml:space="preserve"> </w:instrText>
      </w:r>
      <w:r>
        <w:rPr>
          <w:noProof/>
          <w:lang w:val="cs-CZ"/>
        </w:rPr>
        <w:instrText>1.</w:instrText>
      </w:r>
      <w:r>
        <w:rPr>
          <w:noProof/>
        </w:rPr>
        <w:instrText>25</w:instrText>
      </w:r>
      <w:r>
        <w:rPr>
          <w:noProof/>
          <w:lang w:val="cs-CZ"/>
        </w:rPr>
        <w:instrText>2</w:instrText>
      </w:r>
      <w:r>
        <w:rPr>
          <w:noProof/>
        </w:rPr>
        <w:instrText>.</w:instrText>
      </w:r>
      <w:r>
        <w:rPr>
          <w:noProof/>
          <w:lang w:val="cs-CZ"/>
        </w:rPr>
        <w:instrText>26</w:instrText>
      </w:r>
      <w:r>
        <w:rPr>
          <w:noProof/>
        </w:rPr>
        <w:instrText>‒</w:instrText>
      </w:r>
      <w:r>
        <w:rPr>
          <w:noProof/>
          <w:lang w:val="cs-CZ"/>
        </w:rPr>
        <w:instrText>31</w:instrText>
      </w:r>
      <w:r>
        <w:instrText xml:space="preserve">" </w:instrText>
      </w:r>
      <w:r>
        <w:rPr>
          <w:noProof/>
        </w:rPr>
        <w:fldChar w:fldCharType="end"/>
      </w:r>
      <w:r w:rsidRPr="00273106">
        <w:rPr>
          <w:noProof/>
        </w:rPr>
        <w:t>)</w:t>
      </w:r>
    </w:p>
  </w:footnote>
  <w:footnote w:id="446">
    <w:p w:rsidR="00971E82" w:rsidRPr="0028348F" w:rsidRDefault="00971E82" w:rsidP="08163013">
      <w:pPr>
        <w:pStyle w:val="Textpoznpodarou"/>
        <w:rPr>
          <w:lang w:val="cs-CZ"/>
        </w:rPr>
      </w:pPr>
      <w:r>
        <w:rPr>
          <w:rStyle w:val="Znakapoznpodarou"/>
        </w:rPr>
        <w:footnoteRef/>
      </w:r>
      <w:r>
        <w:t xml:space="preserve"> „</w:t>
      </w:r>
      <w:r w:rsidRPr="00751A12">
        <w:t xml:space="preserve">Et confirmatur: metaphysica, licet sit ultima ordine doctrinae, tamen est prima ordine distinctae cognitionis, sicut vult Avicenna, ubi supra; sed metaphysica est de ente et de aliis communibus; igitur ens erit primo distincte cognitum. </w:t>
      </w:r>
      <w:r>
        <w:t xml:space="preserve">Unde geometria </w:t>
      </w:r>
      <w:r w:rsidRPr="00A12583">
        <w:t xml:space="preserve">cognoscit de linea quod sit longitudo sine latitudine; nec oportet geometricum scire utrum sit quantitas, sed hoc habet metaphysicus dicere, cuius est certificare principia aliarum scientiarum. </w:t>
      </w:r>
      <w:r w:rsidRPr="00751A12">
        <w:t>Unde metaphysica est prima in ordine distinctae cognitionis, sed est ultima in ordine doctrinae.</w:t>
      </w:r>
      <w:r>
        <w:t>“ (</w:t>
      </w:r>
      <w:r w:rsidRPr="008C2D4A">
        <w:rPr>
          <w:i/>
          <w:noProof/>
        </w:rPr>
        <w:t>Lectura I</w:t>
      </w:r>
      <w:r w:rsidRPr="00273106">
        <w:rPr>
          <w:noProof/>
        </w:rPr>
        <w:t xml:space="preserve">, dist. 3, pars 1, q. 1‒2, </w:t>
      </w:r>
      <w:r>
        <w:rPr>
          <w:noProof/>
        </w:rPr>
        <w:t xml:space="preserve">no. </w:t>
      </w:r>
      <w:r>
        <w:rPr>
          <w:noProof/>
          <w:lang w:val="cs-CZ"/>
        </w:rPr>
        <w:t>76</w:t>
      </w:r>
      <w:r>
        <w:rPr>
          <w:noProof/>
        </w:rPr>
        <w:t xml:space="preserve">; ed. </w:t>
      </w:r>
      <w:r w:rsidRPr="00273106">
        <w:rPr>
          <w:noProof/>
        </w:rPr>
        <w:t>Vat</w:t>
      </w:r>
      <w:r>
        <w:rPr>
          <w:noProof/>
        </w:rPr>
        <w:t>icana XVI</w:t>
      </w:r>
      <w:r>
        <w:t>, p. 253.6‒14</w:t>
      </w:r>
      <w:r>
        <w:rPr>
          <w:noProof/>
        </w:rPr>
        <w:fldChar w:fldCharType="begin"/>
      </w:r>
      <w:r>
        <w:instrText xml:space="preserve"> XE "</w:instrText>
      </w:r>
      <w:r>
        <w:rPr>
          <w:lang w:val="cs-CZ"/>
        </w:rPr>
        <w:instrText>Scotus:</w:instrText>
      </w:r>
      <w:r w:rsidRPr="00ED7808">
        <w:rPr>
          <w:i/>
          <w:noProof/>
        </w:rPr>
        <w:instrText>Lectura</w:instrText>
      </w:r>
      <w:r w:rsidRPr="00ED7808">
        <w:rPr>
          <w:noProof/>
        </w:rPr>
        <w:instrText xml:space="preserve"> </w:instrText>
      </w:r>
      <w:r>
        <w:rPr>
          <w:noProof/>
          <w:lang w:val="cs-CZ"/>
        </w:rPr>
        <w:instrText>1.</w:instrText>
      </w:r>
      <w:r>
        <w:rPr>
          <w:noProof/>
        </w:rPr>
        <w:instrText>25</w:instrText>
      </w:r>
      <w:r>
        <w:rPr>
          <w:noProof/>
          <w:lang w:val="cs-CZ"/>
        </w:rPr>
        <w:instrText>3</w:instrText>
      </w:r>
      <w:r>
        <w:rPr>
          <w:noProof/>
        </w:rPr>
        <w:instrText>.</w:instrText>
      </w:r>
      <w:r>
        <w:rPr>
          <w:noProof/>
          <w:lang w:val="cs-CZ"/>
        </w:rPr>
        <w:instrText>6</w:instrText>
      </w:r>
      <w:r>
        <w:rPr>
          <w:noProof/>
        </w:rPr>
        <w:instrText>‒1</w:instrText>
      </w:r>
      <w:r>
        <w:rPr>
          <w:noProof/>
          <w:lang w:val="cs-CZ"/>
        </w:rPr>
        <w:instrText>4</w:instrText>
      </w:r>
      <w:r>
        <w:instrText xml:space="preserve">" </w:instrText>
      </w:r>
      <w:r>
        <w:rPr>
          <w:noProof/>
        </w:rPr>
        <w:fldChar w:fldCharType="end"/>
      </w:r>
      <w:r>
        <w:t>)</w:t>
      </w:r>
    </w:p>
  </w:footnote>
  <w:footnote w:id="447">
    <w:p w:rsidR="00971E82" w:rsidRPr="00197B44" w:rsidRDefault="00971E82" w:rsidP="08163013">
      <w:pPr>
        <w:pStyle w:val="Textpoznpodarou"/>
        <w:rPr>
          <w:noProof/>
          <w:lang w:val="cs-CZ"/>
        </w:rPr>
      </w:pPr>
      <w:r>
        <w:rPr>
          <w:rStyle w:val="Znakapoznpodarou"/>
        </w:rPr>
        <w:footnoteRef/>
      </w:r>
      <w:r>
        <w:t xml:space="preserve"> </w:t>
      </w:r>
      <w:r w:rsidRPr="00273106">
        <w:rPr>
          <w:noProof/>
        </w:rPr>
        <w:t>„Sicut igitur potentia simpliciter in rebus nihil includit actualitatis et actus non includit essentialiter potentiam, ita ille conceptus potentialis ad quem ultimo stat resolutio, non includit conceptum actualem, nec e contra; et manifestum est quod resolutio stat ad ens; ergo oportet quod ens non includatur in illo actuali ad quod stat resolutio in 'quid'; et iterum, cum illi conceptus sint primo diversi, ens non includitur essentialiter in utroque illorum.“ (</w:t>
      </w:r>
      <w:r w:rsidRPr="008C2D4A">
        <w:rPr>
          <w:i/>
          <w:noProof/>
        </w:rPr>
        <w:t>Lectura I</w:t>
      </w:r>
      <w:r w:rsidRPr="00273106">
        <w:rPr>
          <w:noProof/>
        </w:rPr>
        <w:t xml:space="preserve">, dist. 3, pars 1, q. 1‒2, no. 101; </w:t>
      </w:r>
      <w:r>
        <w:rPr>
          <w:noProof/>
          <w:lang w:val="cs-CZ"/>
        </w:rPr>
        <w:t xml:space="preserve">ed. </w:t>
      </w:r>
      <w:r w:rsidRPr="00273106">
        <w:rPr>
          <w:noProof/>
        </w:rPr>
        <w:t>Vat</w:t>
      </w:r>
      <w:r>
        <w:rPr>
          <w:noProof/>
          <w:lang w:val="cs-CZ"/>
        </w:rPr>
        <w:t>icana</w:t>
      </w:r>
      <w:r w:rsidRPr="00273106">
        <w:rPr>
          <w:noProof/>
        </w:rPr>
        <w:t xml:space="preserve"> XVI, </w:t>
      </w:r>
      <w:r>
        <w:rPr>
          <w:noProof/>
        </w:rPr>
        <w:t>p. 262.22‒</w:t>
      </w:r>
      <w:r w:rsidRPr="00273106">
        <w:rPr>
          <w:noProof/>
        </w:rPr>
        <w:t>27</w:t>
      </w:r>
      <w:r>
        <w:rPr>
          <w:noProof/>
        </w:rPr>
        <w:fldChar w:fldCharType="begin"/>
      </w:r>
      <w:r>
        <w:instrText xml:space="preserve"> XE "</w:instrText>
      </w:r>
      <w:r>
        <w:rPr>
          <w:lang w:val="cs-CZ"/>
        </w:rPr>
        <w:instrText>Scotus:</w:instrText>
      </w:r>
      <w:r w:rsidRPr="00ED7808">
        <w:rPr>
          <w:i/>
          <w:noProof/>
        </w:rPr>
        <w:instrText>Lectura</w:instrText>
      </w:r>
      <w:r w:rsidRPr="00ED7808">
        <w:rPr>
          <w:noProof/>
        </w:rPr>
        <w:instrText xml:space="preserve"> </w:instrText>
      </w:r>
      <w:r>
        <w:rPr>
          <w:noProof/>
          <w:lang w:val="cs-CZ"/>
        </w:rPr>
        <w:instrText>1.</w:instrText>
      </w:r>
      <w:r>
        <w:rPr>
          <w:noProof/>
        </w:rPr>
        <w:instrText>2</w:instrText>
      </w:r>
      <w:r>
        <w:rPr>
          <w:noProof/>
          <w:lang w:val="cs-CZ"/>
        </w:rPr>
        <w:instrText>62</w:instrText>
      </w:r>
      <w:r>
        <w:rPr>
          <w:noProof/>
        </w:rPr>
        <w:instrText>.</w:instrText>
      </w:r>
      <w:r>
        <w:rPr>
          <w:noProof/>
          <w:lang w:val="cs-CZ"/>
        </w:rPr>
        <w:instrText>22</w:instrText>
      </w:r>
      <w:r>
        <w:rPr>
          <w:noProof/>
        </w:rPr>
        <w:instrText>‒</w:instrText>
      </w:r>
      <w:r>
        <w:rPr>
          <w:noProof/>
          <w:lang w:val="cs-CZ"/>
        </w:rPr>
        <w:instrText>27</w:instrText>
      </w:r>
      <w:r>
        <w:instrText xml:space="preserve">" </w:instrText>
      </w:r>
      <w:r>
        <w:rPr>
          <w:noProof/>
        </w:rPr>
        <w:fldChar w:fldCharType="end"/>
      </w:r>
      <w:r w:rsidRPr="00273106">
        <w:rPr>
          <w:noProof/>
        </w:rPr>
        <w:t>)</w:t>
      </w:r>
    </w:p>
  </w:footnote>
  <w:footnote w:id="448">
    <w:p w:rsidR="00971E82" w:rsidRPr="003B3724" w:rsidRDefault="00971E82" w:rsidP="08163013">
      <w:pPr>
        <w:pStyle w:val="Textpoznpodarou"/>
        <w:rPr>
          <w:lang w:val="cs-CZ"/>
        </w:rPr>
      </w:pPr>
      <w:r>
        <w:rPr>
          <w:rStyle w:val="Znakapoznpodarou"/>
        </w:rPr>
        <w:footnoteRef/>
      </w:r>
      <w:r>
        <w:t xml:space="preserve"> Hermeneutika </w:t>
      </w:r>
      <w:r>
        <w:rPr>
          <w:lang w:val="cs-CZ"/>
        </w:rPr>
        <w:t>dějinnosti</w:t>
      </w:r>
      <w:r>
        <w:rPr>
          <w:lang w:val="cs-CZ"/>
        </w:rPr>
        <w:fldChar w:fldCharType="begin"/>
      </w:r>
      <w:r>
        <w:instrText xml:space="preserve"> XE "</w:instrText>
      </w:r>
      <w:r w:rsidRPr="007A085E">
        <w:instrText>hermeneutika:dějinnosti</w:instrText>
      </w:r>
      <w:r>
        <w:instrText xml:space="preserve">" </w:instrText>
      </w:r>
      <w:r>
        <w:rPr>
          <w:lang w:val="cs-CZ"/>
        </w:rPr>
        <w:fldChar w:fldCharType="end"/>
      </w:r>
      <w:r>
        <w:rPr>
          <w:lang w:val="cs-CZ"/>
        </w:rPr>
        <w:t xml:space="preserve"> </w:t>
      </w:r>
      <w:r>
        <w:t xml:space="preserve">vysvětluje </w:t>
      </w:r>
      <w:r>
        <w:rPr>
          <w:lang w:val="cs-CZ"/>
        </w:rPr>
        <w:t xml:space="preserve">vznik </w:t>
      </w:r>
      <w:r>
        <w:t xml:space="preserve">moderny </w:t>
      </w:r>
      <w:r>
        <w:rPr>
          <w:lang w:val="cs-CZ"/>
        </w:rPr>
        <w:t>na základě nového pojetí lidské přirozenosti, jejíž nedějinný pohyb založil dějiny novověku v nulovém bodě, odkud se rozběhly formy objektivní dedukce. Č</w:t>
      </w:r>
      <w:r>
        <w:t xml:space="preserve">istě konceptuální pohyb přirozenosti v hlavních teoriích společenské smlouvy, zejména v pojmu </w:t>
      </w:r>
      <w:r w:rsidRPr="08B87971">
        <w:rPr>
          <w:i/>
        </w:rPr>
        <w:t>perfectibi</w:t>
      </w:r>
      <w:r>
        <w:rPr>
          <w:i/>
        </w:rPr>
        <w:t>li</w:t>
      </w:r>
      <w:r w:rsidRPr="08B87971">
        <w:rPr>
          <w:i/>
        </w:rPr>
        <w:t>té</w:t>
      </w:r>
      <w:r>
        <w:rPr>
          <w:i/>
        </w:rPr>
        <w:fldChar w:fldCharType="begin"/>
      </w:r>
      <w:r>
        <w:instrText xml:space="preserve"> XE "</w:instrText>
      </w:r>
      <w:r w:rsidRPr="008853A4">
        <w:instrText>humanismus</w:instrText>
      </w:r>
      <w:r w:rsidRPr="00E60035">
        <w:rPr>
          <w:i/>
        </w:rPr>
        <w:instrText>:perfectibilité</w:instrText>
      </w:r>
      <w:r>
        <w:instrText xml:space="preserve">" </w:instrText>
      </w:r>
      <w:r>
        <w:rPr>
          <w:i/>
        </w:rPr>
        <w:fldChar w:fldCharType="end"/>
      </w:r>
      <w:r>
        <w:t xml:space="preserve"> (J. J. Rousseau</w:t>
      </w:r>
      <w:r>
        <w:fldChar w:fldCharType="begin"/>
      </w:r>
      <w:r>
        <w:instrText xml:space="preserve"> XE "</w:instrText>
      </w:r>
      <w:r w:rsidRPr="006F0860">
        <w:instrText>Rousseau, J. J.</w:instrText>
      </w:r>
      <w:r>
        <w:instrText xml:space="preserve">" </w:instrText>
      </w:r>
      <w:r>
        <w:fldChar w:fldCharType="end"/>
      </w:r>
      <w:r>
        <w:t>). Rozběhnutím společenského, politického a civ</w:t>
      </w:r>
      <w:r>
        <w:rPr>
          <w:lang w:val="cs-CZ"/>
        </w:rPr>
        <w:t>i</w:t>
      </w:r>
      <w:r>
        <w:t>lizačního vývoje člověka z bodu nula, čili proměnou konceptuální přirozenosti vzniká u Kanta epocha postmoderního osvícenství, v níž člověk produkuje veškerý smysl</w:t>
      </w:r>
      <w:r>
        <w:rPr>
          <w:lang w:val="cs-CZ"/>
        </w:rPr>
        <w:t xml:space="preserve"> </w:t>
      </w:r>
      <w:r>
        <w:t xml:space="preserve">sám ze sebe (Umlauf 2010, </w:t>
      </w:r>
      <w:r>
        <w:rPr>
          <w:lang w:val="cs-CZ"/>
        </w:rPr>
        <w:t>kap. 6.1</w:t>
      </w:r>
      <w:r>
        <w:t>).</w:t>
      </w:r>
    </w:p>
  </w:footnote>
  <w:footnote w:id="449">
    <w:p w:rsidR="00971E82" w:rsidRPr="00282F4F" w:rsidRDefault="00971E82" w:rsidP="08163013">
      <w:pPr>
        <w:pStyle w:val="Textpoznpodarou"/>
        <w:rPr>
          <w:lang w:val="cs-CZ"/>
        </w:rPr>
      </w:pPr>
      <w:r w:rsidRPr="00282F4F">
        <w:rPr>
          <w:rStyle w:val="Znakapoznpodarou"/>
        </w:rPr>
        <w:footnoteRef/>
      </w:r>
      <w:r w:rsidRPr="00282F4F">
        <w:t xml:space="preserve"> „</w:t>
      </w:r>
      <w:r>
        <w:rPr>
          <w:rStyle w:val="CitaceChar"/>
          <w:lang w:val="cs-CZ"/>
        </w:rPr>
        <w:t>S</w:t>
      </w:r>
      <w:r w:rsidRPr="00282F4F">
        <w:rPr>
          <w:rStyle w:val="CitaceChar"/>
        </w:rPr>
        <w:t>ubstantia habet aliquid formale quod non est formaliter entitas sed modus entis, quia aliter</w:t>
      </w:r>
      <w:r w:rsidRPr="00282F4F">
        <w:t xml:space="preserve">, si illud esset formaliter ens, conveniret in ente cum alia differentia, et non eodem distingueretur sed alio, ‒ set sic ultra in infinitum.“ </w:t>
      </w:r>
      <w:r w:rsidRPr="00282F4F">
        <w:rPr>
          <w:rStyle w:val="CitaceChar"/>
        </w:rPr>
        <w:t>(</w:t>
      </w:r>
      <w:r w:rsidRPr="008C2D4A">
        <w:rPr>
          <w:i/>
        </w:rPr>
        <w:t>Lectura I</w:t>
      </w:r>
      <w:r w:rsidRPr="00282F4F">
        <w:t>, dist. 3, pars 1, q. 1‒2</w:t>
      </w:r>
      <w:r w:rsidRPr="00282F4F">
        <w:rPr>
          <w:rStyle w:val="CitaceChar"/>
        </w:rPr>
        <w:t xml:space="preserve">, no. 122; </w:t>
      </w:r>
      <w:r>
        <w:rPr>
          <w:rStyle w:val="CitaceChar"/>
          <w:lang w:val="cs-CZ"/>
        </w:rPr>
        <w:t xml:space="preserve">ed. </w:t>
      </w:r>
      <w:r w:rsidRPr="00282F4F">
        <w:rPr>
          <w:rStyle w:val="CitaceChar"/>
        </w:rPr>
        <w:t>Vat</w:t>
      </w:r>
      <w:r>
        <w:rPr>
          <w:rStyle w:val="CitaceChar"/>
          <w:lang w:val="cs-CZ"/>
        </w:rPr>
        <w:t>icana</w:t>
      </w:r>
      <w:r w:rsidRPr="00282F4F">
        <w:rPr>
          <w:rStyle w:val="CitaceChar"/>
        </w:rPr>
        <w:t xml:space="preserve"> XVI, </w:t>
      </w:r>
      <w:r>
        <w:rPr>
          <w:rStyle w:val="CitaceChar"/>
          <w:lang w:val="cs-CZ"/>
        </w:rPr>
        <w:t xml:space="preserve">p. </w:t>
      </w:r>
      <w:r w:rsidRPr="00282F4F">
        <w:rPr>
          <w:rStyle w:val="CitaceChar"/>
        </w:rPr>
        <w:t>272.1‒2</w:t>
      </w:r>
      <w:r>
        <w:rPr>
          <w:noProof/>
        </w:rPr>
        <w:fldChar w:fldCharType="begin"/>
      </w:r>
      <w:r>
        <w:instrText xml:space="preserve"> XE "</w:instrText>
      </w:r>
      <w:r>
        <w:rPr>
          <w:lang w:val="cs-CZ"/>
        </w:rPr>
        <w:instrText>Scotus:</w:instrText>
      </w:r>
      <w:r w:rsidRPr="00ED7808">
        <w:rPr>
          <w:i/>
          <w:noProof/>
        </w:rPr>
        <w:instrText>Lectura</w:instrText>
      </w:r>
      <w:r w:rsidRPr="00ED7808">
        <w:rPr>
          <w:noProof/>
        </w:rPr>
        <w:instrText xml:space="preserve"> </w:instrText>
      </w:r>
      <w:r>
        <w:rPr>
          <w:noProof/>
          <w:lang w:val="cs-CZ"/>
        </w:rPr>
        <w:instrText>1.</w:instrText>
      </w:r>
      <w:r>
        <w:rPr>
          <w:noProof/>
        </w:rPr>
        <w:instrText>2</w:instrText>
      </w:r>
      <w:r>
        <w:rPr>
          <w:noProof/>
          <w:lang w:val="cs-CZ"/>
        </w:rPr>
        <w:instrText>70</w:instrText>
      </w:r>
      <w:r>
        <w:rPr>
          <w:noProof/>
        </w:rPr>
        <w:instrText>.1‒</w:instrText>
      </w:r>
      <w:r>
        <w:rPr>
          <w:noProof/>
          <w:lang w:val="cs-CZ"/>
        </w:rPr>
        <w:instrText>2</w:instrText>
      </w:r>
      <w:r>
        <w:instrText xml:space="preserve">" </w:instrText>
      </w:r>
      <w:r>
        <w:rPr>
          <w:noProof/>
        </w:rPr>
        <w:fldChar w:fldCharType="end"/>
      </w:r>
      <w:r w:rsidRPr="00282F4F">
        <w:rPr>
          <w:rStyle w:val="CitaceChar"/>
        </w:rPr>
        <w:t>)</w:t>
      </w:r>
    </w:p>
  </w:footnote>
  <w:footnote w:id="450">
    <w:p w:rsidR="00971E82" w:rsidRPr="00CE2CBE" w:rsidRDefault="00971E82" w:rsidP="08163013">
      <w:pPr>
        <w:pStyle w:val="Textpoznpodarou"/>
      </w:pPr>
      <w:r>
        <w:rPr>
          <w:rStyle w:val="Znakapoznpodarou"/>
        </w:rPr>
        <w:footnoteRef/>
      </w:r>
      <w:r>
        <w:t xml:space="preserve">  „</w:t>
      </w:r>
      <w:r w:rsidRPr="00CE2CBE">
        <w:t xml:space="preserve">Sed oppositum 'accidentis per accidens' non repugnat subiecto pro aliquo instanti; et ideo voluntas volens </w:t>
      </w:r>
      <w:r w:rsidRPr="00CE2CBE">
        <w:rPr>
          <w:i/>
        </w:rPr>
        <w:t>a</w:t>
      </w:r>
      <w:r w:rsidRPr="00CE2CBE">
        <w:t xml:space="preserve"> in hoc instanti et pro hoc instanti, potest nolle </w:t>
      </w:r>
      <w:r w:rsidRPr="00CE2CBE">
        <w:rPr>
          <w:i/>
        </w:rPr>
        <w:t>a</w:t>
      </w:r>
      <w:r w:rsidRPr="00CE2CBE">
        <w:t xml:space="preserve"> in eodem et pro eodem. Et est haec possibilitas logica respec</w:t>
      </w:r>
      <w:r>
        <w:t>tu extremorum non repugnantium.“ (</w:t>
      </w:r>
      <w:r w:rsidRPr="008C2D4A">
        <w:rPr>
          <w:i/>
        </w:rPr>
        <w:t>Lectura I</w:t>
      </w:r>
      <w:r>
        <w:t xml:space="preserve">, dist. 39, q. 1‒5, no. 50; </w:t>
      </w:r>
      <w:r>
        <w:rPr>
          <w:lang w:val="cs-CZ"/>
        </w:rPr>
        <w:t xml:space="preserve">ed. </w:t>
      </w:r>
      <w:r>
        <w:t>Vat</w:t>
      </w:r>
      <w:r>
        <w:rPr>
          <w:lang w:val="cs-CZ"/>
        </w:rPr>
        <w:t>icana</w:t>
      </w:r>
      <w:r>
        <w:t xml:space="preserve">  XVII, </w:t>
      </w:r>
      <w:r>
        <w:rPr>
          <w:lang w:val="cs-CZ"/>
        </w:rPr>
        <w:t xml:space="preserve">p. </w:t>
      </w:r>
      <w:r>
        <w:t>495.10‒14</w:t>
      </w:r>
      <w:r>
        <w:rPr>
          <w:noProof/>
        </w:rPr>
        <w:fldChar w:fldCharType="begin"/>
      </w:r>
      <w:r>
        <w:instrText xml:space="preserve"> XE "</w:instrText>
      </w:r>
      <w:r>
        <w:rPr>
          <w:lang w:val="cs-CZ"/>
        </w:rPr>
        <w:instrText>Scotus:</w:instrText>
      </w:r>
      <w:r w:rsidRPr="00ED7808">
        <w:rPr>
          <w:i/>
          <w:noProof/>
        </w:rPr>
        <w:instrText>Lectura</w:instrText>
      </w:r>
      <w:r w:rsidRPr="00ED7808">
        <w:rPr>
          <w:noProof/>
        </w:rPr>
        <w:instrText xml:space="preserve"> </w:instrText>
      </w:r>
      <w:r>
        <w:rPr>
          <w:noProof/>
          <w:lang w:val="cs-CZ"/>
        </w:rPr>
        <w:instrText>1.495</w:instrText>
      </w:r>
      <w:r>
        <w:rPr>
          <w:noProof/>
        </w:rPr>
        <w:instrText>.1</w:instrText>
      </w:r>
      <w:r>
        <w:rPr>
          <w:noProof/>
          <w:lang w:val="cs-CZ"/>
        </w:rPr>
        <w:instrText>0</w:instrText>
      </w:r>
      <w:r>
        <w:rPr>
          <w:noProof/>
        </w:rPr>
        <w:instrText>‒1</w:instrText>
      </w:r>
      <w:r>
        <w:rPr>
          <w:noProof/>
          <w:lang w:val="cs-CZ"/>
        </w:rPr>
        <w:instrText>4</w:instrText>
      </w:r>
      <w:r>
        <w:instrText xml:space="preserve">" </w:instrText>
      </w:r>
      <w:r>
        <w:rPr>
          <w:noProof/>
        </w:rPr>
        <w:fldChar w:fldCharType="end"/>
      </w:r>
      <w:r>
        <w:t>).</w:t>
      </w:r>
    </w:p>
  </w:footnote>
  <w:footnote w:id="451">
    <w:p w:rsidR="00971E82" w:rsidRPr="00C41FF9" w:rsidRDefault="00971E82" w:rsidP="08163013">
      <w:pPr>
        <w:pStyle w:val="Textpoznpodarou"/>
        <w:rPr>
          <w:lang w:val="cs-CZ"/>
        </w:rPr>
      </w:pPr>
      <w:r>
        <w:rPr>
          <w:rStyle w:val="Znakapoznpodarou"/>
        </w:rPr>
        <w:footnoteRef/>
      </w:r>
      <w:r>
        <w:t xml:space="preserve"> </w:t>
      </w:r>
      <w:r>
        <w:rPr>
          <w:noProof/>
        </w:rPr>
        <w:t>„</w:t>
      </w:r>
      <w:r>
        <w:rPr>
          <w:noProof/>
          <w:lang w:val="cs-CZ"/>
        </w:rPr>
        <w:t>I</w:t>
      </w:r>
      <w:r w:rsidRPr="00273106">
        <w:rPr>
          <w:noProof/>
        </w:rPr>
        <w:t>ntellectus divinus videt veritatem alicuius complexionis factam et operatam a voluntate (quam veritatem immediate sibi repraesentat essentia sua), quae non relucet sub ratione factibilis in essentia nisi postquam determinatum sit a voluntate divina.“ (</w:t>
      </w:r>
      <w:r w:rsidRPr="008C2D4A">
        <w:rPr>
          <w:i/>
          <w:noProof/>
        </w:rPr>
        <w:t>Lectura I</w:t>
      </w:r>
      <w:r w:rsidRPr="00273106">
        <w:rPr>
          <w:noProof/>
        </w:rPr>
        <w:t xml:space="preserve">, dist. 39, q. 1‒5, no. 65; </w:t>
      </w:r>
      <w:r>
        <w:rPr>
          <w:noProof/>
        </w:rPr>
        <w:t xml:space="preserve">ed. </w:t>
      </w:r>
      <w:r w:rsidRPr="00273106">
        <w:rPr>
          <w:noProof/>
        </w:rPr>
        <w:t>Vat</w:t>
      </w:r>
      <w:r>
        <w:rPr>
          <w:noProof/>
        </w:rPr>
        <w:t>icana</w:t>
      </w:r>
      <w:r w:rsidRPr="00273106">
        <w:rPr>
          <w:noProof/>
        </w:rPr>
        <w:t xml:space="preserve">  XVII, </w:t>
      </w:r>
      <w:r>
        <w:rPr>
          <w:noProof/>
        </w:rPr>
        <w:t xml:space="preserve">p. </w:t>
      </w:r>
      <w:r w:rsidRPr="00273106">
        <w:rPr>
          <w:noProof/>
        </w:rPr>
        <w:t>501.21‒25</w:t>
      </w:r>
      <w:r>
        <w:rPr>
          <w:noProof/>
        </w:rPr>
        <w:fldChar w:fldCharType="begin"/>
      </w:r>
      <w:r>
        <w:instrText xml:space="preserve"> XE "</w:instrText>
      </w:r>
      <w:r>
        <w:rPr>
          <w:lang w:val="cs-CZ"/>
        </w:rPr>
        <w:instrText>Scotus:</w:instrText>
      </w:r>
      <w:r w:rsidRPr="00ED7808">
        <w:rPr>
          <w:i/>
          <w:noProof/>
        </w:rPr>
        <w:instrText>Lectura</w:instrText>
      </w:r>
      <w:r w:rsidRPr="00ED7808">
        <w:rPr>
          <w:noProof/>
        </w:rPr>
        <w:instrText xml:space="preserve"> </w:instrText>
      </w:r>
      <w:r>
        <w:rPr>
          <w:noProof/>
          <w:lang w:val="cs-CZ"/>
        </w:rPr>
        <w:instrText>1.</w:instrText>
      </w:r>
      <w:r w:rsidRPr="00ED7808">
        <w:rPr>
          <w:noProof/>
        </w:rPr>
        <w:instrText>50</w:instrText>
      </w:r>
      <w:r>
        <w:rPr>
          <w:noProof/>
          <w:lang w:val="cs-CZ"/>
        </w:rPr>
        <w:instrText>1</w:instrText>
      </w:r>
      <w:r>
        <w:rPr>
          <w:noProof/>
        </w:rPr>
        <w:instrText>.</w:instrText>
      </w:r>
      <w:r>
        <w:rPr>
          <w:noProof/>
          <w:lang w:val="cs-CZ"/>
        </w:rPr>
        <w:instrText>21</w:instrText>
      </w:r>
      <w:r>
        <w:rPr>
          <w:noProof/>
        </w:rPr>
        <w:instrText>‒</w:instrText>
      </w:r>
      <w:r>
        <w:rPr>
          <w:noProof/>
          <w:lang w:val="cs-CZ"/>
        </w:rPr>
        <w:instrText>25</w:instrText>
      </w:r>
      <w:r>
        <w:instrText xml:space="preserve">" </w:instrText>
      </w:r>
      <w:r>
        <w:rPr>
          <w:noProof/>
        </w:rPr>
        <w:fldChar w:fldCharType="end"/>
      </w:r>
      <w:r w:rsidRPr="00273106">
        <w:rPr>
          <w:noProof/>
        </w:rPr>
        <w:t>)</w:t>
      </w:r>
    </w:p>
  </w:footnote>
  <w:footnote w:id="452">
    <w:p w:rsidR="00971E82" w:rsidRPr="00C866AF" w:rsidRDefault="00971E82" w:rsidP="08163013">
      <w:pPr>
        <w:pStyle w:val="Textpoznpodarou"/>
      </w:pPr>
      <w:r>
        <w:rPr>
          <w:rStyle w:val="Znakapoznpodarou"/>
        </w:rPr>
        <w:footnoteRef/>
      </w:r>
      <w:r>
        <w:t xml:space="preserve"> </w:t>
      </w:r>
      <w:r w:rsidRPr="00C866AF">
        <w:t>„Si dicas quod lux increata cum intellectu et obiecto causet istam veritatem sinceram, haec est opinio communis, quae ponit lucem aeternam sicut 'causam remotam' causare omnem certam veritatem.“ (</w:t>
      </w:r>
      <w:r w:rsidRPr="008C2D4A">
        <w:rPr>
          <w:i/>
        </w:rPr>
        <w:t>Ordinatio I</w:t>
      </w:r>
      <w:r w:rsidRPr="00C866AF">
        <w:t>, dist. 3, pars 1, q. 4, no. 260; ed. Vaticana III, p. 159.7‒10</w:t>
      </w:r>
      <w:r>
        <w:fldChar w:fldCharType="begin"/>
      </w:r>
      <w:r>
        <w:instrText xml:space="preserve"> XE "</w:instrText>
      </w:r>
      <w:r>
        <w:rPr>
          <w:lang w:val="cs-CZ"/>
        </w:rPr>
        <w:instrText>Scotus:</w:instrText>
      </w:r>
      <w:r w:rsidRPr="00BC7ADB">
        <w:rPr>
          <w:i/>
        </w:rPr>
        <w:instrText>Ordinatio</w:instrText>
      </w:r>
      <w:r>
        <w:instrText xml:space="preserve"> </w:instrText>
      </w:r>
      <w:r>
        <w:rPr>
          <w:lang w:val="cs-CZ"/>
        </w:rPr>
        <w:instrText>1.</w:instrText>
      </w:r>
      <w:r w:rsidRPr="00BC7ADB">
        <w:instrText>159.7‒10</w:instrText>
      </w:r>
      <w:r>
        <w:instrText xml:space="preserve">" </w:instrText>
      </w:r>
      <w:r>
        <w:fldChar w:fldCharType="end"/>
      </w:r>
      <w:r w:rsidRPr="00C866AF">
        <w:t>)</w:t>
      </w:r>
    </w:p>
  </w:footnote>
  <w:footnote w:id="453">
    <w:p w:rsidR="00971E82" w:rsidRPr="00EA1BA1" w:rsidRDefault="00971E82" w:rsidP="08163013">
      <w:pPr>
        <w:pStyle w:val="Textpoznpodarou"/>
        <w:rPr>
          <w:lang w:val="cs-CZ"/>
        </w:rPr>
      </w:pPr>
      <w:r>
        <w:rPr>
          <w:rStyle w:val="Znakapoznpodarou"/>
        </w:rPr>
        <w:footnoteRef/>
      </w:r>
      <w:r>
        <w:t xml:space="preserve"> </w:t>
      </w:r>
      <w:r w:rsidRPr="00273106">
        <w:rPr>
          <w:rStyle w:val="addmd"/>
          <w:noProof/>
          <w:lang w:val="cs-CZ"/>
        </w:rPr>
        <w:t>„Aut lux aeterna, quam dicis necessariam ad habendum sinceram veritatem, causat aliquid prius naturaliter actu, aut non. Si sic, aut igitur in obiecto, aut in intellectu: non in obiecto, quia obiectum in quantum habet 'esse' in intellectu, non habet 'esse' reale sed tantum intentionale, igitur non est capax alicuius accidentis realis.“ (</w:t>
      </w:r>
      <w:r w:rsidRPr="008C2D4A">
        <w:rPr>
          <w:rStyle w:val="addmd"/>
          <w:i/>
          <w:noProof/>
          <w:lang w:val="cs-CZ"/>
        </w:rPr>
        <w:t>Ordinatio I</w:t>
      </w:r>
      <w:r w:rsidRPr="00273106">
        <w:rPr>
          <w:rStyle w:val="addmd"/>
          <w:noProof/>
          <w:lang w:val="cs-CZ"/>
        </w:rPr>
        <w:t xml:space="preserve">, dist. 3, pars 1, q. 4, no. 260; </w:t>
      </w:r>
      <w:r>
        <w:rPr>
          <w:rStyle w:val="addmd"/>
          <w:noProof/>
          <w:lang w:val="cs-CZ"/>
        </w:rPr>
        <w:t xml:space="preserve">ed. </w:t>
      </w:r>
      <w:r w:rsidRPr="00273106">
        <w:rPr>
          <w:rStyle w:val="addmd"/>
          <w:noProof/>
          <w:lang w:val="cs-CZ"/>
        </w:rPr>
        <w:t>Vat</w:t>
      </w:r>
      <w:r>
        <w:rPr>
          <w:rStyle w:val="addmd"/>
          <w:noProof/>
          <w:lang w:val="cs-CZ"/>
        </w:rPr>
        <w:t>icana</w:t>
      </w:r>
      <w:r w:rsidRPr="00273106">
        <w:rPr>
          <w:rStyle w:val="addmd"/>
          <w:noProof/>
          <w:lang w:val="cs-CZ"/>
        </w:rPr>
        <w:t xml:space="preserve"> III, </w:t>
      </w:r>
      <w:r>
        <w:rPr>
          <w:rStyle w:val="addmd"/>
          <w:noProof/>
          <w:lang w:val="cs-CZ"/>
        </w:rPr>
        <w:t xml:space="preserve">p. </w:t>
      </w:r>
      <w:r w:rsidRPr="00273106">
        <w:rPr>
          <w:rStyle w:val="addmd"/>
          <w:noProof/>
          <w:lang w:val="cs-CZ"/>
        </w:rPr>
        <w:t>158.3‒6</w:t>
      </w:r>
      <w:r>
        <w:fldChar w:fldCharType="begin"/>
      </w:r>
      <w:r>
        <w:instrText xml:space="preserve"> XE "</w:instrText>
      </w:r>
      <w:r>
        <w:rPr>
          <w:lang w:val="cs-CZ"/>
        </w:rPr>
        <w:instrText>Scotus:</w:instrText>
      </w:r>
      <w:r w:rsidRPr="00BC7ADB">
        <w:rPr>
          <w:i/>
        </w:rPr>
        <w:instrText>Ordinatio</w:instrText>
      </w:r>
      <w:r>
        <w:instrText xml:space="preserve"> </w:instrText>
      </w:r>
      <w:r>
        <w:rPr>
          <w:lang w:val="cs-CZ"/>
        </w:rPr>
        <w:instrText>1.</w:instrText>
      </w:r>
      <w:r>
        <w:instrText>15</w:instrText>
      </w:r>
      <w:r>
        <w:rPr>
          <w:lang w:val="cs-CZ"/>
        </w:rPr>
        <w:instrText>8</w:instrText>
      </w:r>
      <w:r>
        <w:instrText>.</w:instrText>
      </w:r>
      <w:r>
        <w:rPr>
          <w:lang w:val="cs-CZ"/>
        </w:rPr>
        <w:instrText>3</w:instrText>
      </w:r>
      <w:r>
        <w:instrText>‒</w:instrText>
      </w:r>
      <w:r>
        <w:rPr>
          <w:lang w:val="cs-CZ"/>
        </w:rPr>
        <w:instrText>6</w:instrText>
      </w:r>
      <w:r>
        <w:instrText xml:space="preserve">" </w:instrText>
      </w:r>
      <w:r>
        <w:fldChar w:fldCharType="end"/>
      </w:r>
      <w:r w:rsidRPr="00273106">
        <w:rPr>
          <w:rStyle w:val="addmd"/>
          <w:noProof/>
          <w:lang w:val="cs-CZ"/>
        </w:rPr>
        <w:t>)</w:t>
      </w:r>
    </w:p>
  </w:footnote>
  <w:footnote w:id="454">
    <w:p w:rsidR="00971E82" w:rsidRPr="00A607B7" w:rsidRDefault="00971E82" w:rsidP="009828C4">
      <w:pPr>
        <w:pStyle w:val="Textpoznpodarou"/>
        <w:rPr>
          <w:lang w:val="cs-CZ"/>
        </w:rPr>
      </w:pPr>
      <w:r>
        <w:rPr>
          <w:rStyle w:val="Znakapoznpodarou"/>
        </w:rPr>
        <w:footnoteRef/>
      </w:r>
      <w:r>
        <w:t xml:space="preserve"> </w:t>
      </w:r>
      <w:r w:rsidRPr="00273106">
        <w:rPr>
          <w:noProof/>
        </w:rPr>
        <w:t xml:space="preserve">„Ad intellectum primi dico quod omnia intelligibilia actu intellectus divini habent 'esse intelligibile', et in eis omnes veritates de eis relucent, ita quod intellectus intelligens ea et virtute eorum intelligens necessarias veritates de eis, videt in eis sicut in obiectis </w:t>
      </w:r>
      <w:r>
        <w:rPr>
          <w:noProof/>
        </w:rPr>
        <w:t>istas veritates necessarias.</w:t>
      </w:r>
      <w:r w:rsidRPr="00273106">
        <w:rPr>
          <w:noProof/>
        </w:rPr>
        <w:t>“ (</w:t>
      </w:r>
      <w:r w:rsidRPr="008C2D4A">
        <w:rPr>
          <w:rStyle w:val="addmd"/>
          <w:i/>
          <w:noProof/>
          <w:lang w:val="cs-CZ"/>
        </w:rPr>
        <w:t>Ordinatio I</w:t>
      </w:r>
      <w:r w:rsidRPr="00273106">
        <w:rPr>
          <w:rStyle w:val="addmd"/>
          <w:noProof/>
          <w:lang w:val="cs-CZ"/>
        </w:rPr>
        <w:t>, dist. 3, pars 1, q. 4</w:t>
      </w:r>
      <w:r>
        <w:rPr>
          <w:rStyle w:val="addmd"/>
        </w:rPr>
        <w:t>,</w:t>
      </w:r>
      <w:r w:rsidRPr="00273106">
        <w:rPr>
          <w:noProof/>
        </w:rPr>
        <w:t xml:space="preserve"> no. 262</w:t>
      </w:r>
      <w:r>
        <w:rPr>
          <w:noProof/>
        </w:rPr>
        <w:t>; ed. Vaticana III</w:t>
      </w:r>
      <w:r w:rsidRPr="00273106">
        <w:rPr>
          <w:noProof/>
        </w:rPr>
        <w:t>, p. 160.8‒1</w:t>
      </w:r>
      <w:r>
        <w:rPr>
          <w:noProof/>
          <w:lang w:val="cs-CZ"/>
        </w:rPr>
        <w:t>2</w:t>
      </w:r>
      <w:r>
        <w:fldChar w:fldCharType="begin"/>
      </w:r>
      <w:r>
        <w:instrText xml:space="preserve"> XE "</w:instrText>
      </w:r>
      <w:r>
        <w:rPr>
          <w:lang w:val="cs-CZ"/>
        </w:rPr>
        <w:instrText>Scotus:</w:instrText>
      </w:r>
      <w:r w:rsidRPr="00BC7ADB">
        <w:rPr>
          <w:i/>
        </w:rPr>
        <w:instrText>Ordinatio</w:instrText>
      </w:r>
      <w:r>
        <w:instrText xml:space="preserve"> </w:instrText>
      </w:r>
      <w:r>
        <w:rPr>
          <w:lang w:val="cs-CZ"/>
        </w:rPr>
        <w:instrText>1.160</w:instrText>
      </w:r>
      <w:r>
        <w:instrText>.</w:instrText>
      </w:r>
      <w:r>
        <w:rPr>
          <w:lang w:val="cs-CZ"/>
        </w:rPr>
        <w:instrText>8</w:instrText>
      </w:r>
      <w:r>
        <w:instrText>‒</w:instrText>
      </w:r>
      <w:r>
        <w:rPr>
          <w:lang w:val="cs-CZ"/>
        </w:rPr>
        <w:instrText>12</w:instrText>
      </w:r>
      <w:r>
        <w:instrText xml:space="preserve">" </w:instrText>
      </w:r>
      <w:r>
        <w:fldChar w:fldCharType="end"/>
      </w:r>
      <w:r w:rsidRPr="00273106">
        <w:rPr>
          <w:noProof/>
        </w:rPr>
        <w:t>)</w:t>
      </w:r>
    </w:p>
  </w:footnote>
  <w:footnote w:id="455">
    <w:p w:rsidR="00971E82" w:rsidRPr="089041BE" w:rsidRDefault="00971E82" w:rsidP="008B37C7">
      <w:pPr>
        <w:pStyle w:val="Textpoznpodarou"/>
        <w:rPr>
          <w:lang w:val="cs-CZ"/>
        </w:rPr>
      </w:pPr>
      <w:r>
        <w:rPr>
          <w:rStyle w:val="Znakapoznpodarou"/>
        </w:rPr>
        <w:footnoteRef/>
      </w:r>
      <w:r>
        <w:t xml:space="preserve"> </w:t>
      </w:r>
      <w:r>
        <w:rPr>
          <w:lang w:val="cs-CZ"/>
        </w:rPr>
        <w:t>„</w:t>
      </w:r>
      <w:r>
        <w:rPr>
          <w:noProof/>
        </w:rPr>
        <w:t>Il</w:t>
      </w:r>
      <w:r>
        <w:rPr>
          <w:noProof/>
          <w:lang w:val="cs-CZ"/>
        </w:rPr>
        <w:t>l</w:t>
      </w:r>
      <w:r w:rsidRPr="00273106">
        <w:rPr>
          <w:noProof/>
        </w:rPr>
        <w:t>a autem in quantum sunt obiecta secundaria intellectus divini, sunt 'veritates', quia conformes suo exemplari, intellectui scilicet divino, et sunt 'lux', quia manifestae, et sunt immutabiles, ibi, et necessariae. Sed aeternae sunt secundum quid, quia 'aeternitas' est condicio exsistentis, et illa non habent exsistentiam nisi secundum quid.“ (</w:t>
      </w:r>
      <w:r w:rsidRPr="008C2D4A">
        <w:rPr>
          <w:rStyle w:val="addmd"/>
          <w:i/>
          <w:noProof/>
          <w:lang w:val="cs-CZ"/>
        </w:rPr>
        <w:t>Ordinatio I</w:t>
      </w:r>
      <w:r w:rsidRPr="00273106">
        <w:rPr>
          <w:rStyle w:val="addmd"/>
          <w:noProof/>
          <w:lang w:val="cs-CZ"/>
        </w:rPr>
        <w:t>, dist. 3, pars 1, q. 4</w:t>
      </w:r>
      <w:r>
        <w:rPr>
          <w:rStyle w:val="addmd"/>
        </w:rPr>
        <w:t>,</w:t>
      </w:r>
      <w:r w:rsidRPr="00273106">
        <w:rPr>
          <w:noProof/>
        </w:rPr>
        <w:t xml:space="preserve"> no. 262</w:t>
      </w:r>
      <w:r>
        <w:rPr>
          <w:noProof/>
        </w:rPr>
        <w:t>; ed. Vaticana III, p. 160.</w:t>
      </w:r>
      <w:r>
        <w:rPr>
          <w:noProof/>
          <w:lang w:val="cs-CZ"/>
        </w:rPr>
        <w:t>13</w:t>
      </w:r>
      <w:r w:rsidRPr="00273106">
        <w:rPr>
          <w:noProof/>
        </w:rPr>
        <w:t>‒19</w:t>
      </w:r>
      <w:r>
        <w:fldChar w:fldCharType="begin"/>
      </w:r>
      <w:r>
        <w:instrText xml:space="preserve"> XE "</w:instrText>
      </w:r>
      <w:r>
        <w:rPr>
          <w:lang w:val="cs-CZ"/>
        </w:rPr>
        <w:instrText>Scotus:</w:instrText>
      </w:r>
      <w:r w:rsidRPr="00BC7ADB">
        <w:rPr>
          <w:i/>
        </w:rPr>
        <w:instrText>Ordinatio</w:instrText>
      </w:r>
      <w:r>
        <w:instrText xml:space="preserve"> </w:instrText>
      </w:r>
      <w:r>
        <w:rPr>
          <w:lang w:val="cs-CZ"/>
        </w:rPr>
        <w:instrText>1.160</w:instrText>
      </w:r>
      <w:r>
        <w:instrText>.</w:instrText>
      </w:r>
      <w:r>
        <w:rPr>
          <w:lang w:val="cs-CZ"/>
        </w:rPr>
        <w:instrText>13</w:instrText>
      </w:r>
      <w:r>
        <w:instrText>‒</w:instrText>
      </w:r>
      <w:r>
        <w:rPr>
          <w:lang w:val="cs-CZ"/>
        </w:rPr>
        <w:instrText>19</w:instrText>
      </w:r>
      <w:r>
        <w:instrText xml:space="preserve">" </w:instrText>
      </w:r>
      <w:r>
        <w:fldChar w:fldCharType="end"/>
      </w:r>
      <w:r w:rsidRPr="00273106">
        <w:rPr>
          <w:noProof/>
        </w:rPr>
        <w:t>)</w:t>
      </w:r>
    </w:p>
  </w:footnote>
  <w:footnote w:id="456">
    <w:p w:rsidR="00971E82" w:rsidRPr="004E7D2E" w:rsidRDefault="00971E82" w:rsidP="08163013">
      <w:pPr>
        <w:pStyle w:val="Textpoznpodarou"/>
        <w:rPr>
          <w:lang w:val="cs-CZ"/>
        </w:rPr>
      </w:pPr>
      <w:r>
        <w:rPr>
          <w:rStyle w:val="Znakapoznpodarou"/>
        </w:rPr>
        <w:footnoteRef/>
      </w:r>
      <w:r>
        <w:t xml:space="preserve"> </w:t>
      </w:r>
      <w:r w:rsidRPr="00273106">
        <w:rPr>
          <w:noProof/>
        </w:rPr>
        <w:t>„Quantum ad tertium modum, videmus in luce aeterna sicut in causa obiecti in se: nam intellectus divinus producit ista actu suo in 'esse intelligibili', et actu suo dat huic obiecto 'esse' tale et illi tale, et per consequens dat eis talem rationem obiecti ‒ per quas rationes post movent intellectum ad cognitionem certam.“ (</w:t>
      </w:r>
      <w:r w:rsidRPr="008C2D4A">
        <w:rPr>
          <w:rStyle w:val="addmd"/>
          <w:i/>
          <w:noProof/>
          <w:lang w:val="cs-CZ"/>
        </w:rPr>
        <w:t>Ordinatio I</w:t>
      </w:r>
      <w:r w:rsidRPr="00273106">
        <w:rPr>
          <w:rStyle w:val="addmd"/>
          <w:noProof/>
          <w:lang w:val="cs-CZ"/>
        </w:rPr>
        <w:t>, dist. 3, pars 1, q. 4</w:t>
      </w:r>
      <w:r>
        <w:rPr>
          <w:rStyle w:val="addmd"/>
        </w:rPr>
        <w:t>,</w:t>
      </w:r>
      <w:r>
        <w:rPr>
          <w:noProof/>
        </w:rPr>
        <w:t xml:space="preserve"> no. 266; ed. Vaticana III</w:t>
      </w:r>
      <w:r w:rsidRPr="00273106">
        <w:rPr>
          <w:noProof/>
        </w:rPr>
        <w:t>, p. 162.14‒19</w:t>
      </w:r>
      <w:r>
        <w:rPr>
          <w:noProof/>
        </w:rPr>
        <w:fldChar w:fldCharType="begin"/>
      </w:r>
      <w:r>
        <w:instrText xml:space="preserve"> XE "</w:instrText>
      </w:r>
      <w:r>
        <w:rPr>
          <w:lang w:val="cs-CZ"/>
        </w:rPr>
        <w:instrText>Scotus:</w:instrText>
      </w:r>
      <w:r w:rsidRPr="00A91119">
        <w:rPr>
          <w:rStyle w:val="addmd"/>
          <w:i/>
          <w:noProof/>
          <w:lang w:val="cs-CZ"/>
        </w:rPr>
        <w:instrText>Ordinatio</w:instrText>
      </w:r>
      <w:r w:rsidRPr="00A91119">
        <w:rPr>
          <w:rStyle w:val="addmd"/>
          <w:noProof/>
          <w:lang w:val="cs-CZ"/>
        </w:rPr>
        <w:instrText xml:space="preserve"> </w:instrText>
      </w:r>
      <w:r>
        <w:rPr>
          <w:rStyle w:val="addmd"/>
          <w:noProof/>
          <w:lang w:val="cs-CZ"/>
        </w:rPr>
        <w:instrText>1.</w:instrText>
      </w:r>
      <w:r w:rsidRPr="00A91119">
        <w:rPr>
          <w:noProof/>
        </w:rPr>
        <w:instrText>162.14‒19</w:instrText>
      </w:r>
      <w:r>
        <w:instrText xml:space="preserve">" </w:instrText>
      </w:r>
      <w:r>
        <w:rPr>
          <w:noProof/>
        </w:rPr>
        <w:fldChar w:fldCharType="end"/>
      </w:r>
      <w:r w:rsidRPr="00273106">
        <w:rPr>
          <w:noProof/>
        </w:rPr>
        <w:t>)</w:t>
      </w:r>
    </w:p>
  </w:footnote>
  <w:footnote w:id="457">
    <w:p w:rsidR="00971E82" w:rsidRPr="00FE2216" w:rsidRDefault="00971E82" w:rsidP="08163013">
      <w:pPr>
        <w:pStyle w:val="Textpoznpodarou"/>
      </w:pPr>
      <w:r w:rsidRPr="00FE2216">
        <w:rPr>
          <w:rStyle w:val="Znakapoznpodarou"/>
        </w:rPr>
        <w:footnoteRef/>
      </w:r>
      <w:r w:rsidRPr="00FE2216">
        <w:t xml:space="preserve"> </w:t>
      </w:r>
      <w:r w:rsidRPr="00FE2216">
        <w:rPr>
          <w:rStyle w:val="CitaceChar"/>
        </w:rPr>
        <w:t>„Dico autem 'proportionaliter repraesentare' quando ratio illius repraesentantis non est formaliter in Deo, sed aliquid proportionale illi rationi...“ (</w:t>
      </w:r>
      <w:r w:rsidRPr="008C2D4A">
        <w:rPr>
          <w:rStyle w:val="CitaceChar"/>
          <w:i/>
        </w:rPr>
        <w:t>Ordinatio I</w:t>
      </w:r>
      <w:r w:rsidRPr="00FE2216">
        <w:rPr>
          <w:rStyle w:val="CitaceChar"/>
        </w:rPr>
        <w:t>, dist. 3, pars 2, q. unica, no. 300; ed. Vaticana III, p. 182.17‒19</w:t>
      </w:r>
      <w:r>
        <w:rPr>
          <w:rStyle w:val="CitaceChar"/>
        </w:rPr>
        <w:fldChar w:fldCharType="begin"/>
      </w:r>
      <w:r>
        <w:instrText xml:space="preserve"> XE "</w:instrText>
      </w:r>
      <w:r>
        <w:rPr>
          <w:lang w:val="cs-CZ"/>
        </w:rPr>
        <w:instrText>Scotus:</w:instrText>
      </w:r>
      <w:r w:rsidRPr="00375F9D">
        <w:rPr>
          <w:rStyle w:val="CitaceChar"/>
          <w:i/>
        </w:rPr>
        <w:instrText>Ordinatio</w:instrText>
      </w:r>
      <w:r w:rsidRPr="00375F9D">
        <w:rPr>
          <w:rStyle w:val="CitaceChar"/>
        </w:rPr>
        <w:instrText xml:space="preserve"> </w:instrText>
      </w:r>
      <w:r>
        <w:rPr>
          <w:rStyle w:val="CitaceChar"/>
          <w:lang w:val="cs-CZ"/>
        </w:rPr>
        <w:instrText>1.</w:instrText>
      </w:r>
      <w:r w:rsidRPr="00375F9D">
        <w:rPr>
          <w:rStyle w:val="CitaceChar"/>
        </w:rPr>
        <w:instrText>182.17‒19</w:instrText>
      </w:r>
      <w:r>
        <w:instrText xml:space="preserve">" </w:instrText>
      </w:r>
      <w:r>
        <w:rPr>
          <w:rStyle w:val="CitaceChar"/>
        </w:rPr>
        <w:fldChar w:fldCharType="end"/>
      </w:r>
      <w:r w:rsidRPr="00FE2216">
        <w:rPr>
          <w:rStyle w:val="CitaceChar"/>
        </w:rPr>
        <w:t>)</w:t>
      </w:r>
    </w:p>
  </w:footnote>
  <w:footnote w:id="458">
    <w:p w:rsidR="00971E82" w:rsidRPr="08E34C14" w:rsidRDefault="00971E82" w:rsidP="00FB44AE">
      <w:pPr>
        <w:pStyle w:val="Textpoznpodarou"/>
      </w:pPr>
      <w:r>
        <w:rPr>
          <w:rStyle w:val="Znakapoznpodarou"/>
        </w:rPr>
        <w:footnoteRef/>
      </w:r>
      <w:r>
        <w:t xml:space="preserve"> „</w:t>
      </w:r>
      <w:r w:rsidRPr="08050C56">
        <w:t xml:space="preserve">Quantum ad tertium articulum dicitur, secundum Boethium </w:t>
      </w:r>
      <w:r w:rsidRPr="08E34C14">
        <w:rPr>
          <w:i/>
        </w:rPr>
        <w:t>De hebdomadibus</w:t>
      </w:r>
      <w:r>
        <w:t>, quod «</w:t>
      </w:r>
      <w:r w:rsidRPr="08050C56">
        <w:t>diversum est 'quo est</w:t>
      </w:r>
      <w:r>
        <w:t>' et 'quod est'»</w:t>
      </w:r>
      <w:r w:rsidRPr="08050C56">
        <w:t>, quia il</w:t>
      </w:r>
      <w:r>
        <w:t>lud quo aliquid est dicitur 'rat</w:t>
      </w:r>
      <w:r w:rsidRPr="08050C56">
        <w:t>itudo' eiu</w:t>
      </w:r>
      <w:r>
        <w:t>s, quo autem ipsum est 'quod est</w:t>
      </w:r>
      <w:r w:rsidRPr="08050C56">
        <w:t>' vel 'quid' dicitur 'aliquitas' eius.</w:t>
      </w:r>
      <w:r>
        <w:t xml:space="preserve">“ </w:t>
      </w:r>
      <w:r w:rsidRPr="08E34C14">
        <w:t>(</w:t>
      </w:r>
      <w:r w:rsidRPr="008C2D4A">
        <w:rPr>
          <w:rFonts w:eastAsia="Times"/>
          <w:i/>
        </w:rPr>
        <w:t>Ordinatio I</w:t>
      </w:r>
      <w:r w:rsidRPr="089E48CF">
        <w:rPr>
          <w:rFonts w:eastAsia="Times"/>
        </w:rPr>
        <w:t>, dist. 3, pars 2, q. unica</w:t>
      </w:r>
      <w:r>
        <w:rPr>
          <w:rFonts w:eastAsia="Times"/>
        </w:rPr>
        <w:t xml:space="preserve">, no. 302; </w:t>
      </w:r>
      <w:r>
        <w:rPr>
          <w:rFonts w:eastAsia="Times"/>
          <w:lang w:val="cs-CZ"/>
        </w:rPr>
        <w:t xml:space="preserve">ed. </w:t>
      </w:r>
      <w:r>
        <w:rPr>
          <w:rFonts w:eastAsia="Times"/>
        </w:rPr>
        <w:t>Vat</w:t>
      </w:r>
      <w:r>
        <w:rPr>
          <w:rFonts w:eastAsia="Times"/>
          <w:lang w:val="cs-CZ"/>
        </w:rPr>
        <w:t>icana</w:t>
      </w:r>
      <w:r>
        <w:rPr>
          <w:rFonts w:eastAsia="Times"/>
        </w:rPr>
        <w:t xml:space="preserve"> III, </w:t>
      </w:r>
      <w:r>
        <w:rPr>
          <w:rFonts w:eastAsia="Times"/>
          <w:lang w:val="cs-CZ"/>
        </w:rPr>
        <w:t xml:space="preserve">p. </w:t>
      </w:r>
      <w:r w:rsidRPr="08E34C14">
        <w:rPr>
          <w:rFonts w:eastAsia="Times"/>
        </w:rPr>
        <w:t>184.14‒17</w:t>
      </w:r>
      <w:r w:rsidRPr="008253E8">
        <w:rPr>
          <w:rFonts w:eastAsia="Times"/>
        </w:rPr>
        <w:fldChar w:fldCharType="begin"/>
      </w:r>
      <w:r w:rsidRPr="008253E8">
        <w:instrText xml:space="preserve"> XE "Scotus:</w:instrText>
      </w:r>
      <w:r w:rsidRPr="008253E8">
        <w:rPr>
          <w:rFonts w:eastAsia="Times"/>
          <w:i/>
        </w:rPr>
        <w:instrText>Ordinatio</w:instrText>
      </w:r>
      <w:r w:rsidRPr="008253E8">
        <w:rPr>
          <w:rFonts w:eastAsia="Times"/>
        </w:rPr>
        <w:instrText xml:space="preserve"> 1.</w:instrText>
      </w:r>
      <w:r>
        <w:rPr>
          <w:rFonts w:eastAsia="Times"/>
          <w:lang w:val="cs-CZ"/>
        </w:rPr>
        <w:instrText>184.14</w:instrText>
      </w:r>
      <w:r w:rsidRPr="008253E8">
        <w:rPr>
          <w:rFonts w:eastAsia="Times"/>
        </w:rPr>
        <w:instrText>‒</w:instrText>
      </w:r>
      <w:r>
        <w:rPr>
          <w:lang w:val="cs-CZ"/>
        </w:rPr>
        <w:instrText>17</w:instrText>
      </w:r>
      <w:r w:rsidRPr="008253E8">
        <w:instrText xml:space="preserve">" </w:instrText>
      </w:r>
      <w:r w:rsidRPr="008253E8">
        <w:rPr>
          <w:rFonts w:eastAsia="Times"/>
        </w:rPr>
        <w:fldChar w:fldCharType="end"/>
      </w:r>
      <w:r w:rsidRPr="08E34C14">
        <w:t>)</w:t>
      </w:r>
    </w:p>
  </w:footnote>
  <w:footnote w:id="459">
    <w:p w:rsidR="00971E82" w:rsidRPr="08CA6318" w:rsidRDefault="00971E82" w:rsidP="08163013">
      <w:pPr>
        <w:pStyle w:val="Textpoznpodarou"/>
      </w:pPr>
      <w:r>
        <w:rPr>
          <w:rStyle w:val="Znakapoznpodarou"/>
        </w:rPr>
        <w:footnoteRef/>
      </w:r>
      <w:r>
        <w:t xml:space="preserve"> „</w:t>
      </w:r>
      <w:r w:rsidRPr="08CA6318">
        <w:t xml:space="preserve">Modus ponitur iste: secundum Avicennam V </w:t>
      </w:r>
      <w:r w:rsidRPr="08CA6318">
        <w:rPr>
          <w:i/>
        </w:rPr>
        <w:t>Metaphysicae</w:t>
      </w:r>
      <w:r>
        <w:t>, 'humanitas est tantum humanitas'</w:t>
      </w:r>
      <w:r w:rsidRPr="08CA6318">
        <w:t>; ergo ratio</w:t>
      </w:r>
      <w:r>
        <w:t xml:space="preserve"> humanitatis non est res rata, ‒</w:t>
      </w:r>
      <w:r w:rsidRPr="08CA6318">
        <w:t xml:space="preserve"> ergo oportet quod aliquo alio extra rationem formalem humanitatis sit ens ratum.</w:t>
      </w:r>
      <w:r>
        <w:t xml:space="preserve">“ </w:t>
      </w:r>
      <w:r w:rsidRPr="08E34C14">
        <w:t>(</w:t>
      </w:r>
      <w:r w:rsidRPr="008C2D4A">
        <w:rPr>
          <w:rFonts w:eastAsia="Times"/>
          <w:i/>
        </w:rPr>
        <w:t>Ordinatio I</w:t>
      </w:r>
      <w:r w:rsidRPr="089E48CF">
        <w:rPr>
          <w:rFonts w:eastAsia="Times"/>
        </w:rPr>
        <w:t>, dist. 3, pars 2, q. unica</w:t>
      </w:r>
      <w:r w:rsidRPr="08E34C14">
        <w:rPr>
          <w:rFonts w:eastAsia="Times"/>
        </w:rPr>
        <w:t>,</w:t>
      </w:r>
      <w:r w:rsidRPr="08CA6318">
        <w:rPr>
          <w:rFonts w:eastAsia="Times"/>
        </w:rPr>
        <w:t xml:space="preserve"> no. 30</w:t>
      </w:r>
      <w:r>
        <w:rPr>
          <w:rFonts w:eastAsia="Times"/>
        </w:rPr>
        <w:t>3</w:t>
      </w:r>
      <w:r>
        <w:rPr>
          <w:rFonts w:eastAsia="Times"/>
          <w:lang w:val="cs-CZ"/>
        </w:rPr>
        <w:t xml:space="preserve">; ed. </w:t>
      </w:r>
      <w:r>
        <w:rPr>
          <w:rFonts w:eastAsia="Times"/>
        </w:rPr>
        <w:t>Vat</w:t>
      </w:r>
      <w:r>
        <w:rPr>
          <w:rFonts w:eastAsia="Times"/>
          <w:lang w:val="cs-CZ"/>
        </w:rPr>
        <w:t>icana</w:t>
      </w:r>
      <w:r>
        <w:rPr>
          <w:rFonts w:eastAsia="Times"/>
        </w:rPr>
        <w:t xml:space="preserve"> III</w:t>
      </w:r>
      <w:r>
        <w:rPr>
          <w:rFonts w:eastAsia="Times"/>
          <w:lang w:val="cs-CZ"/>
        </w:rPr>
        <w:t xml:space="preserve">, </w:t>
      </w:r>
      <w:r w:rsidRPr="08CA6318">
        <w:rPr>
          <w:rFonts w:eastAsia="Times"/>
        </w:rPr>
        <w:t>p. 18</w:t>
      </w:r>
      <w:r>
        <w:rPr>
          <w:rFonts w:eastAsia="Times"/>
        </w:rPr>
        <w:t>5.3</w:t>
      </w:r>
      <w:r w:rsidRPr="08CA6318">
        <w:rPr>
          <w:rFonts w:eastAsia="Times"/>
        </w:rPr>
        <w:t>‒7</w:t>
      </w:r>
      <w:r w:rsidRPr="008253E8">
        <w:rPr>
          <w:rFonts w:eastAsia="Times"/>
        </w:rPr>
        <w:fldChar w:fldCharType="begin"/>
      </w:r>
      <w:r w:rsidRPr="008253E8">
        <w:instrText xml:space="preserve"> XE "Scotus:</w:instrText>
      </w:r>
      <w:r w:rsidRPr="008253E8">
        <w:rPr>
          <w:rFonts w:eastAsia="Times"/>
          <w:i/>
        </w:rPr>
        <w:instrText>Ordinatio</w:instrText>
      </w:r>
      <w:r w:rsidRPr="008253E8">
        <w:rPr>
          <w:rFonts w:eastAsia="Times"/>
        </w:rPr>
        <w:instrText xml:space="preserve"> 1.</w:instrText>
      </w:r>
      <w:r>
        <w:rPr>
          <w:rFonts w:eastAsia="Times"/>
          <w:lang w:val="cs-CZ"/>
        </w:rPr>
        <w:instrText>185.3</w:instrText>
      </w:r>
      <w:r w:rsidRPr="008253E8">
        <w:rPr>
          <w:rFonts w:eastAsia="Times"/>
        </w:rPr>
        <w:instrText>‒</w:instrText>
      </w:r>
      <w:r>
        <w:rPr>
          <w:lang w:val="cs-CZ"/>
        </w:rPr>
        <w:instrText>7</w:instrText>
      </w:r>
      <w:r w:rsidRPr="008253E8">
        <w:instrText xml:space="preserve">" </w:instrText>
      </w:r>
      <w:r w:rsidRPr="008253E8">
        <w:rPr>
          <w:rFonts w:eastAsia="Times"/>
        </w:rPr>
        <w:fldChar w:fldCharType="end"/>
      </w:r>
      <w:r w:rsidRPr="08E34C14">
        <w:t>)</w:t>
      </w:r>
    </w:p>
  </w:footnote>
  <w:footnote w:id="460">
    <w:p w:rsidR="00971E82" w:rsidRPr="00477676" w:rsidRDefault="00971E82" w:rsidP="08163013">
      <w:pPr>
        <w:pStyle w:val="Textpoznpodarou"/>
        <w:rPr>
          <w:lang w:val="cs-CZ"/>
        </w:rPr>
      </w:pPr>
      <w:r>
        <w:rPr>
          <w:rStyle w:val="Znakapoznpodarou"/>
        </w:rPr>
        <w:footnoteRef/>
      </w:r>
      <w:r>
        <w:t xml:space="preserve"> </w:t>
      </w:r>
      <w:r w:rsidRPr="00477676">
        <w:t>„Arguitur etiam quod illud quo formaliter est ratitudo eius, sit respectus vestigialis, et hoc primo sic: quidquid includitur in per se intellectu alicuius in quantum tale, est illud quo ipsum est tale, vel idem formaliter quod ipsum in quantum est tale; sed respectus vestigialis includitur in ratione cuiuslibet entis rati; ergo etc.“ (</w:t>
      </w:r>
      <w:r w:rsidRPr="008C2D4A">
        <w:rPr>
          <w:rStyle w:val="CitaceChar"/>
          <w:i/>
        </w:rPr>
        <w:t>Ordinatio I</w:t>
      </w:r>
      <w:r w:rsidRPr="00477676">
        <w:rPr>
          <w:rStyle w:val="CitaceChar"/>
        </w:rPr>
        <w:t>, dist. 3, pars 2, q. unica</w:t>
      </w:r>
      <w:r w:rsidRPr="00477676">
        <w:t>, no. 304; ed. Vaticana III, p. 185.8‒13</w:t>
      </w:r>
      <w:r w:rsidRPr="008253E8">
        <w:rPr>
          <w:rFonts w:eastAsia="Times"/>
        </w:rPr>
        <w:fldChar w:fldCharType="begin"/>
      </w:r>
      <w:r w:rsidRPr="008253E8">
        <w:instrText xml:space="preserve"> XE "Scotus:</w:instrText>
      </w:r>
      <w:r w:rsidRPr="008253E8">
        <w:rPr>
          <w:rFonts w:eastAsia="Times"/>
          <w:i/>
        </w:rPr>
        <w:instrText>Ordinatio</w:instrText>
      </w:r>
      <w:r w:rsidRPr="008253E8">
        <w:rPr>
          <w:rFonts w:eastAsia="Times"/>
        </w:rPr>
        <w:instrText xml:space="preserve"> 1.</w:instrText>
      </w:r>
      <w:r>
        <w:rPr>
          <w:rFonts w:eastAsia="Times"/>
          <w:lang w:val="cs-CZ"/>
        </w:rPr>
        <w:instrText>185.8</w:instrText>
      </w:r>
      <w:r w:rsidRPr="008253E8">
        <w:rPr>
          <w:rFonts w:eastAsia="Times"/>
        </w:rPr>
        <w:instrText>‒</w:instrText>
      </w:r>
      <w:r>
        <w:rPr>
          <w:lang w:val="cs-CZ"/>
        </w:rPr>
        <w:instrText>13</w:instrText>
      </w:r>
      <w:r w:rsidRPr="008253E8">
        <w:instrText xml:space="preserve">" </w:instrText>
      </w:r>
      <w:r w:rsidRPr="008253E8">
        <w:rPr>
          <w:rFonts w:eastAsia="Times"/>
        </w:rPr>
        <w:fldChar w:fldCharType="end"/>
      </w:r>
      <w:r w:rsidRPr="00477676">
        <w:t>)</w:t>
      </w:r>
    </w:p>
  </w:footnote>
  <w:footnote w:id="461">
    <w:p w:rsidR="00971E82" w:rsidRPr="00F62120" w:rsidRDefault="00971E82" w:rsidP="00A02203">
      <w:pPr>
        <w:pStyle w:val="Textpoznpodarou"/>
        <w:rPr>
          <w:lang w:val="cs-CZ"/>
        </w:rPr>
      </w:pPr>
      <w:r>
        <w:rPr>
          <w:rStyle w:val="Znakapoznpodarou"/>
        </w:rPr>
        <w:footnoteRef/>
      </w:r>
      <w:r>
        <w:t xml:space="preserve"> </w:t>
      </w:r>
      <w:r w:rsidRPr="00273106">
        <w:rPr>
          <w:noProof/>
        </w:rPr>
        <w:t xml:space="preserve">„Si arguitur contra istam opinionem, per Averroem XI </w:t>
      </w:r>
      <w:r w:rsidRPr="00273106">
        <w:rPr>
          <w:i/>
          <w:noProof/>
        </w:rPr>
        <w:t>Metaphysicae</w:t>
      </w:r>
      <w:r w:rsidRPr="00273106">
        <w:rPr>
          <w:noProof/>
        </w:rPr>
        <w:t xml:space="preserve">, quod 'relatio habet debilissimum esse', ergo non est nec potest esse formaliter ratitudo entis rati, ‒ dicitur quod duplex est relatio: quaedam accidentalis, quaedam substantialis. Et accipitur ista distinctio relationis a Simplicio </w:t>
      </w:r>
      <w:r w:rsidRPr="00273106">
        <w:rPr>
          <w:i/>
          <w:noProof/>
        </w:rPr>
        <w:t>Super praedicamenta</w:t>
      </w:r>
      <w:r w:rsidRPr="00273106">
        <w:rPr>
          <w:noProof/>
        </w:rPr>
        <w:t>, ubi vult quod aliqua 'in' non constituunt praedicamenta, sicut alia, pro eo quod aliqui respectus sunt essentiales sive substantiales, aliqui non sed accidentales. Dicunt igitur quod dictum Commentatoris verum est de relatione accidentali, non de substantiali.“ (</w:t>
      </w:r>
      <w:r w:rsidRPr="008C2D4A">
        <w:rPr>
          <w:rStyle w:val="CitaceChar"/>
          <w:i/>
        </w:rPr>
        <w:t>Ordinatio I</w:t>
      </w:r>
      <w:r w:rsidRPr="00477676">
        <w:rPr>
          <w:rStyle w:val="CitaceChar"/>
        </w:rPr>
        <w:t>, dist. 3, pars 2, q. unica</w:t>
      </w:r>
      <w:r>
        <w:t>, no. 30</w:t>
      </w:r>
      <w:r>
        <w:rPr>
          <w:lang w:val="cs-CZ"/>
        </w:rPr>
        <w:t>8</w:t>
      </w:r>
      <w:r>
        <w:t>; ed. Vaticana III, p. 18</w:t>
      </w:r>
      <w:r>
        <w:rPr>
          <w:lang w:val="cs-CZ"/>
        </w:rPr>
        <w:t>7</w:t>
      </w:r>
      <w:r>
        <w:t>.</w:t>
      </w:r>
      <w:r>
        <w:rPr>
          <w:lang w:val="cs-CZ"/>
        </w:rPr>
        <w:t>6</w:t>
      </w:r>
      <w:r>
        <w:t>‒1</w:t>
      </w:r>
      <w:r>
        <w:rPr>
          <w:lang w:val="cs-CZ"/>
        </w:rPr>
        <w:t>5</w:t>
      </w:r>
      <w:r>
        <w:rPr>
          <w:lang w:val="cs-CZ"/>
        </w:rPr>
        <w:fldChar w:fldCharType="begin"/>
      </w:r>
      <w:r>
        <w:instrText xml:space="preserve"> XE "</w:instrText>
      </w:r>
      <w:r>
        <w:rPr>
          <w:lang w:val="cs-CZ"/>
        </w:rPr>
        <w:instrText>Scotus:</w:instrText>
      </w:r>
      <w:r w:rsidRPr="009F0BB1">
        <w:rPr>
          <w:rStyle w:val="CitaceChar"/>
          <w:i/>
        </w:rPr>
        <w:instrText>Ordinatio</w:instrText>
      </w:r>
      <w:r>
        <w:rPr>
          <w:rStyle w:val="CitaceChar"/>
        </w:rPr>
        <w:instrText xml:space="preserve"> </w:instrText>
      </w:r>
      <w:r>
        <w:rPr>
          <w:rStyle w:val="CitaceChar"/>
          <w:lang w:val="cs-CZ"/>
        </w:rPr>
        <w:instrText>1.</w:instrText>
      </w:r>
      <w:r w:rsidRPr="009F0BB1">
        <w:instrText>18</w:instrText>
      </w:r>
      <w:r w:rsidRPr="009F0BB1">
        <w:rPr>
          <w:lang w:val="cs-CZ"/>
        </w:rPr>
        <w:instrText>7</w:instrText>
      </w:r>
      <w:r w:rsidRPr="009F0BB1">
        <w:instrText>.</w:instrText>
      </w:r>
      <w:r w:rsidRPr="009F0BB1">
        <w:rPr>
          <w:lang w:val="cs-CZ"/>
        </w:rPr>
        <w:instrText>6</w:instrText>
      </w:r>
      <w:r w:rsidRPr="009F0BB1">
        <w:instrText>‒1</w:instrText>
      </w:r>
      <w:r w:rsidRPr="009F0BB1">
        <w:rPr>
          <w:lang w:val="cs-CZ"/>
        </w:rPr>
        <w:instrText>5</w:instrText>
      </w:r>
      <w:r>
        <w:instrText xml:space="preserve">" </w:instrText>
      </w:r>
      <w:r>
        <w:rPr>
          <w:lang w:val="cs-CZ"/>
        </w:rPr>
        <w:fldChar w:fldCharType="end"/>
      </w:r>
      <w:r w:rsidRPr="00273106">
        <w:rPr>
          <w:noProof/>
        </w:rPr>
        <w:t>)</w:t>
      </w:r>
    </w:p>
  </w:footnote>
  <w:footnote w:id="462">
    <w:p w:rsidR="00971E82" w:rsidRPr="08CC0083" w:rsidRDefault="00971E82" w:rsidP="08163013">
      <w:pPr>
        <w:pStyle w:val="Textpoznpodarou"/>
      </w:pPr>
      <w:r>
        <w:rPr>
          <w:rStyle w:val="Znakapoznpodarou"/>
        </w:rPr>
        <w:footnoteRef/>
      </w:r>
      <w:r>
        <w:t xml:space="preserve"> „</w:t>
      </w:r>
      <w:r w:rsidRPr="08CC0083">
        <w:t>Si secundo modo intelligatur ens ratum, dico quod homo est ex se ens ratum, quia formaliter ex se non repugnat sibi esse: sicut enim cuicumque aliquid repugnat, repugnat ei formaliter ex ratione eius, ita cui non repugnat formaliter, non repugnat propter rationem ipsius; et si homini de se repugnaret esse, per nullum respectum advenientem posset ei non repugnare.</w:t>
      </w:r>
      <w:r>
        <w:t>“ (</w:t>
      </w:r>
      <w:r w:rsidRPr="008C2D4A">
        <w:rPr>
          <w:i/>
        </w:rPr>
        <w:t>Ordinatio I</w:t>
      </w:r>
      <w:r>
        <w:t xml:space="preserve">, dist. 36, q. unica, no. 50; </w:t>
      </w:r>
      <w:r>
        <w:rPr>
          <w:lang w:val="cs-CZ"/>
        </w:rPr>
        <w:t xml:space="preserve">ed. </w:t>
      </w:r>
      <w:r>
        <w:t>Vat</w:t>
      </w:r>
      <w:r>
        <w:rPr>
          <w:lang w:val="cs-CZ"/>
        </w:rPr>
        <w:t>icana</w:t>
      </w:r>
      <w:r>
        <w:t xml:space="preserve"> VI, p. 291.1‒6</w:t>
      </w:r>
      <w:r>
        <w:fldChar w:fldCharType="begin"/>
      </w:r>
      <w:r>
        <w:instrText xml:space="preserve"> XE "</w:instrText>
      </w:r>
      <w:r>
        <w:rPr>
          <w:lang w:val="cs-CZ"/>
        </w:rPr>
        <w:instrText>Scotus:</w:instrText>
      </w:r>
      <w:r w:rsidRPr="00DF5D31">
        <w:rPr>
          <w:i/>
        </w:rPr>
        <w:instrText>Ord</w:instrText>
      </w:r>
      <w:r w:rsidRPr="00DF5D31">
        <w:rPr>
          <w:i/>
          <w:lang w:val="cs-CZ"/>
        </w:rPr>
        <w:instrText>inatio</w:instrText>
      </w:r>
      <w:r w:rsidRPr="00DF5D31">
        <w:instrText xml:space="preserve"> </w:instrText>
      </w:r>
      <w:r>
        <w:rPr>
          <w:lang w:val="cs-CZ"/>
        </w:rPr>
        <w:instrText>1.</w:instrText>
      </w:r>
      <w:r w:rsidRPr="00DF5D31">
        <w:instrText>291.1‒6</w:instrText>
      </w:r>
      <w:r>
        <w:instrText xml:space="preserve">" </w:instrText>
      </w:r>
      <w:r>
        <w:fldChar w:fldCharType="end"/>
      </w:r>
      <w:r>
        <w:t>)</w:t>
      </w:r>
    </w:p>
  </w:footnote>
  <w:footnote w:id="463">
    <w:p w:rsidR="00971E82" w:rsidRPr="081C6C26" w:rsidRDefault="00971E82" w:rsidP="08163013">
      <w:pPr>
        <w:pStyle w:val="Textpoznpodarou"/>
        <w:rPr>
          <w:rStyle w:val="TextpoznpodarouChar"/>
          <w:rFonts w:eastAsia="Times"/>
        </w:rPr>
      </w:pPr>
      <w:r>
        <w:rPr>
          <w:rStyle w:val="Znakapoznpodarou"/>
        </w:rPr>
        <w:footnoteRef/>
      </w:r>
      <w:r>
        <w:t xml:space="preserve"> „</w:t>
      </w:r>
      <w:r>
        <w:rPr>
          <w:lang w:val="cs-CZ"/>
        </w:rPr>
        <w:t>N</w:t>
      </w:r>
      <w:r w:rsidRPr="0868771D">
        <w:t>ihil secundum ipsum formaliter est activum relatione, quia relatio non est principium agendi; ergo ratitudo non est relatio. Item, secundum ipsum nulla creatura in quantum rata differt specie ab illo 'esse' quod est Deus; sed ipsum 'esse' quod est Deus, secundum o</w:t>
      </w:r>
      <w:r>
        <w:t xml:space="preserve">mnem opinionem est absolutum...“ </w:t>
      </w:r>
      <w:r w:rsidRPr="081C6C26">
        <w:rPr>
          <w:rStyle w:val="TextpoznpodarouChar"/>
          <w:rFonts w:eastAsia="Times"/>
        </w:rPr>
        <w:t>(</w:t>
      </w:r>
      <w:r w:rsidRPr="008C2D4A">
        <w:rPr>
          <w:i/>
        </w:rPr>
        <w:t>Ordinatio I</w:t>
      </w:r>
      <w:r>
        <w:t>, dist. 3, pars 2, q. unica</w:t>
      </w:r>
      <w:r w:rsidRPr="081C6C26">
        <w:rPr>
          <w:rStyle w:val="TextpoznpodarouChar"/>
          <w:rFonts w:eastAsia="Times"/>
        </w:rPr>
        <w:t>,</w:t>
      </w:r>
      <w:r>
        <w:rPr>
          <w:rStyle w:val="TextpoznpodarouChar"/>
          <w:rFonts w:eastAsia="Times"/>
        </w:rPr>
        <w:t xml:space="preserve"> no. 320‒321; </w:t>
      </w:r>
      <w:r>
        <w:rPr>
          <w:rStyle w:val="TextpoznpodarouChar"/>
          <w:rFonts w:eastAsia="Times"/>
          <w:lang w:val="cs-CZ"/>
        </w:rPr>
        <w:t xml:space="preserve">ed. </w:t>
      </w:r>
      <w:r>
        <w:rPr>
          <w:rStyle w:val="TextpoznpodarouChar"/>
          <w:rFonts w:eastAsia="Times"/>
        </w:rPr>
        <w:t>Vat</w:t>
      </w:r>
      <w:r>
        <w:rPr>
          <w:rStyle w:val="TextpoznpodarouChar"/>
          <w:rFonts w:eastAsia="Times"/>
          <w:lang w:val="cs-CZ"/>
        </w:rPr>
        <w:t>icana</w:t>
      </w:r>
      <w:r>
        <w:rPr>
          <w:rStyle w:val="TextpoznpodarouChar"/>
          <w:rFonts w:eastAsia="Times"/>
        </w:rPr>
        <w:t xml:space="preserve"> III, p. 194</w:t>
      </w:r>
      <w:r w:rsidRPr="081C6C26">
        <w:rPr>
          <w:rStyle w:val="TextpoznpodarouChar"/>
          <w:rFonts w:eastAsia="Times"/>
        </w:rPr>
        <w:t>.</w:t>
      </w:r>
      <w:r>
        <w:rPr>
          <w:rStyle w:val="TextpoznpodarouChar"/>
          <w:rFonts w:eastAsia="Times"/>
        </w:rPr>
        <w:t>1</w:t>
      </w:r>
      <w:r w:rsidRPr="081C6C26">
        <w:rPr>
          <w:rStyle w:val="TextpoznpodarouChar"/>
          <w:rFonts w:eastAsia="Times"/>
        </w:rPr>
        <w:t>‒</w:t>
      </w:r>
      <w:r>
        <w:rPr>
          <w:rStyle w:val="TextpoznpodarouChar"/>
          <w:rFonts w:eastAsia="Times"/>
        </w:rPr>
        <w:t>6</w:t>
      </w:r>
      <w:r>
        <w:fldChar w:fldCharType="begin"/>
      </w:r>
      <w:r>
        <w:instrText xml:space="preserve"> XE "</w:instrText>
      </w:r>
      <w:r>
        <w:rPr>
          <w:lang w:val="cs-CZ"/>
        </w:rPr>
        <w:instrText>Scotus:</w:instrText>
      </w:r>
      <w:r w:rsidRPr="00DF5D31">
        <w:rPr>
          <w:i/>
        </w:rPr>
        <w:instrText>Ord</w:instrText>
      </w:r>
      <w:r w:rsidRPr="00DF5D31">
        <w:rPr>
          <w:i/>
          <w:lang w:val="cs-CZ"/>
        </w:rPr>
        <w:instrText>inatio</w:instrText>
      </w:r>
      <w:r w:rsidRPr="00DF5D31">
        <w:instrText xml:space="preserve"> </w:instrText>
      </w:r>
      <w:r>
        <w:rPr>
          <w:lang w:val="cs-CZ"/>
        </w:rPr>
        <w:instrText>1.194</w:instrText>
      </w:r>
      <w:r w:rsidRPr="00DF5D31">
        <w:instrText>.1‒6</w:instrText>
      </w:r>
      <w:r>
        <w:instrText xml:space="preserve">" </w:instrText>
      </w:r>
      <w:r>
        <w:fldChar w:fldCharType="end"/>
      </w:r>
      <w:r w:rsidRPr="081C6C26">
        <w:rPr>
          <w:rStyle w:val="TextpoznpodarouChar"/>
          <w:rFonts w:eastAsia="Times"/>
        </w:rPr>
        <w:t>)</w:t>
      </w:r>
    </w:p>
  </w:footnote>
  <w:footnote w:id="464">
    <w:p w:rsidR="00971E82" w:rsidRPr="00CE6B67" w:rsidRDefault="00971E82" w:rsidP="08163013">
      <w:pPr>
        <w:pStyle w:val="Textpoznpodarou"/>
        <w:rPr>
          <w:noProof/>
          <w:lang w:val="cs-CZ"/>
        </w:rPr>
      </w:pPr>
      <w:r>
        <w:rPr>
          <w:rStyle w:val="Znakapoznpodarou"/>
        </w:rPr>
        <w:footnoteRef/>
      </w:r>
      <w:r>
        <w:t xml:space="preserve"> </w:t>
      </w:r>
      <w:r>
        <w:rPr>
          <w:noProof/>
        </w:rPr>
        <w:t>„</w:t>
      </w:r>
      <w:r>
        <w:rPr>
          <w:noProof/>
          <w:lang w:val="cs-CZ"/>
        </w:rPr>
        <w:t>Q</w:t>
      </w:r>
      <w:r w:rsidRPr="00273106">
        <w:rPr>
          <w:noProof/>
        </w:rPr>
        <w:t>uia lapis in quantum lapis, participat ipsum 'esse', ita quod lapis, positus in entitate rata, de necessitate et 'per se secundo modo' habet respectum participationis, sine qua ipsum 'esse' includit contradictionem, sicut subjectum esse sine propria passione, vel fundamentum necessarium relationis esse sine relatione, posito termino illius relationis.“ (</w:t>
      </w:r>
      <w:r w:rsidRPr="008C2D4A">
        <w:rPr>
          <w:i/>
          <w:noProof/>
        </w:rPr>
        <w:t>Ordinatio I</w:t>
      </w:r>
      <w:r w:rsidRPr="00273106">
        <w:rPr>
          <w:noProof/>
        </w:rPr>
        <w:t xml:space="preserve">, dist. 3, pars 2, q. unica, no. 326; </w:t>
      </w:r>
      <w:r>
        <w:rPr>
          <w:noProof/>
          <w:lang w:val="cs-CZ"/>
        </w:rPr>
        <w:t xml:space="preserve">ed. </w:t>
      </w:r>
      <w:r w:rsidRPr="00273106">
        <w:rPr>
          <w:noProof/>
        </w:rPr>
        <w:t>Vat</w:t>
      </w:r>
      <w:r>
        <w:rPr>
          <w:noProof/>
          <w:lang w:val="cs-CZ"/>
        </w:rPr>
        <w:t>icana</w:t>
      </w:r>
      <w:r w:rsidRPr="00273106">
        <w:rPr>
          <w:noProof/>
        </w:rPr>
        <w:t xml:space="preserve"> III, </w:t>
      </w:r>
      <w:r>
        <w:rPr>
          <w:noProof/>
          <w:lang w:val="cs-CZ"/>
        </w:rPr>
        <w:t xml:space="preserve">p. </w:t>
      </w:r>
      <w:r w:rsidRPr="00273106">
        <w:rPr>
          <w:noProof/>
        </w:rPr>
        <w:t>197.5‒9</w:t>
      </w:r>
      <w:r>
        <w:fldChar w:fldCharType="begin"/>
      </w:r>
      <w:r>
        <w:instrText xml:space="preserve"> XE "</w:instrText>
      </w:r>
      <w:r>
        <w:rPr>
          <w:lang w:val="cs-CZ"/>
        </w:rPr>
        <w:instrText>Scotus:</w:instrText>
      </w:r>
      <w:r w:rsidRPr="00DF5D31">
        <w:rPr>
          <w:i/>
        </w:rPr>
        <w:instrText>Ord</w:instrText>
      </w:r>
      <w:r w:rsidRPr="00DF5D31">
        <w:rPr>
          <w:i/>
          <w:lang w:val="cs-CZ"/>
        </w:rPr>
        <w:instrText>inatio</w:instrText>
      </w:r>
      <w:r w:rsidRPr="00DF5D31">
        <w:instrText xml:space="preserve"> </w:instrText>
      </w:r>
      <w:r>
        <w:rPr>
          <w:lang w:val="cs-CZ"/>
        </w:rPr>
        <w:instrText>1.197</w:instrText>
      </w:r>
      <w:r>
        <w:instrText>.</w:instrText>
      </w:r>
      <w:r>
        <w:rPr>
          <w:lang w:val="cs-CZ"/>
        </w:rPr>
        <w:instrText>5</w:instrText>
      </w:r>
      <w:r>
        <w:instrText>‒</w:instrText>
      </w:r>
      <w:r>
        <w:rPr>
          <w:lang w:val="cs-CZ"/>
        </w:rPr>
        <w:instrText>9</w:instrText>
      </w:r>
      <w:r>
        <w:instrText xml:space="preserve">" </w:instrText>
      </w:r>
      <w:r>
        <w:fldChar w:fldCharType="end"/>
      </w:r>
      <w:r w:rsidRPr="00273106">
        <w:rPr>
          <w:noProof/>
        </w:rPr>
        <w:t>)</w:t>
      </w:r>
    </w:p>
  </w:footnote>
  <w:footnote w:id="465">
    <w:p w:rsidR="00971E82" w:rsidRPr="00FF5A54" w:rsidRDefault="00971E82" w:rsidP="08163013">
      <w:pPr>
        <w:pStyle w:val="Textpoznpodarou"/>
        <w:rPr>
          <w:noProof/>
          <w:lang w:val="cs-CZ"/>
        </w:rPr>
      </w:pPr>
      <w:r>
        <w:rPr>
          <w:rStyle w:val="Znakapoznpodarou"/>
        </w:rPr>
        <w:footnoteRef/>
      </w:r>
      <w:r>
        <w:t xml:space="preserve"> </w:t>
      </w:r>
      <w:r w:rsidRPr="00273106">
        <w:rPr>
          <w:noProof/>
        </w:rPr>
        <w:t>„</w:t>
      </w:r>
      <w:r>
        <w:rPr>
          <w:noProof/>
          <w:lang w:val="cs-CZ"/>
        </w:rPr>
        <w:t>I</w:t>
      </w:r>
      <w:r w:rsidRPr="00273106">
        <w:rPr>
          <w:noProof/>
        </w:rPr>
        <w:t>n primo instanti naturae est ens quod est ipsum 'esse', scilicet Deus: in secundo, est lapis ens ratum, absolutum, quod nec intelligitur tunc participans nec non-participans, in tertio, est ipsa participatio, respectus quidam, consequens ad ipsum lapidem.“ (</w:t>
      </w:r>
      <w:r w:rsidRPr="008C2D4A">
        <w:rPr>
          <w:i/>
          <w:noProof/>
        </w:rPr>
        <w:t>Ordinatio I</w:t>
      </w:r>
      <w:r w:rsidRPr="00273106">
        <w:rPr>
          <w:noProof/>
        </w:rPr>
        <w:t xml:space="preserve">, dist. 3, pars 2, q. unica, no. 326; </w:t>
      </w:r>
      <w:r>
        <w:rPr>
          <w:noProof/>
        </w:rPr>
        <w:t xml:space="preserve">ed. </w:t>
      </w:r>
      <w:r w:rsidRPr="00273106">
        <w:rPr>
          <w:noProof/>
        </w:rPr>
        <w:t>Vat</w:t>
      </w:r>
      <w:r>
        <w:rPr>
          <w:noProof/>
        </w:rPr>
        <w:t>icana</w:t>
      </w:r>
      <w:r w:rsidRPr="00273106">
        <w:rPr>
          <w:noProof/>
        </w:rPr>
        <w:t xml:space="preserve"> III, </w:t>
      </w:r>
      <w:r>
        <w:rPr>
          <w:noProof/>
        </w:rPr>
        <w:t xml:space="preserve">p. </w:t>
      </w:r>
      <w:r w:rsidRPr="00273106">
        <w:rPr>
          <w:noProof/>
        </w:rPr>
        <w:t>197.10‒14</w:t>
      </w:r>
      <w:r>
        <w:fldChar w:fldCharType="begin"/>
      </w:r>
      <w:r>
        <w:instrText xml:space="preserve"> XE "</w:instrText>
      </w:r>
      <w:r>
        <w:rPr>
          <w:lang w:val="cs-CZ"/>
        </w:rPr>
        <w:instrText>Scotus:</w:instrText>
      </w:r>
      <w:r w:rsidRPr="00DF5D31">
        <w:rPr>
          <w:i/>
        </w:rPr>
        <w:instrText>Ord</w:instrText>
      </w:r>
      <w:r w:rsidRPr="00DF5D31">
        <w:rPr>
          <w:i/>
          <w:lang w:val="cs-CZ"/>
        </w:rPr>
        <w:instrText>inatio</w:instrText>
      </w:r>
      <w:r w:rsidRPr="00DF5D31">
        <w:instrText xml:space="preserve"> </w:instrText>
      </w:r>
      <w:r>
        <w:rPr>
          <w:lang w:val="cs-CZ"/>
        </w:rPr>
        <w:instrText>1.197</w:instrText>
      </w:r>
      <w:r w:rsidRPr="00DF5D31">
        <w:instrText>.1</w:instrText>
      </w:r>
      <w:r>
        <w:rPr>
          <w:lang w:val="cs-CZ"/>
        </w:rPr>
        <w:instrText>0</w:instrText>
      </w:r>
      <w:r>
        <w:instrText>‒</w:instrText>
      </w:r>
      <w:r>
        <w:rPr>
          <w:lang w:val="cs-CZ"/>
        </w:rPr>
        <w:instrText>14</w:instrText>
      </w:r>
      <w:r>
        <w:instrText xml:space="preserve">" </w:instrText>
      </w:r>
      <w:r>
        <w:fldChar w:fldCharType="end"/>
      </w:r>
      <w:r w:rsidRPr="00273106">
        <w:rPr>
          <w:noProof/>
        </w:rPr>
        <w:t>)</w:t>
      </w:r>
    </w:p>
  </w:footnote>
  <w:footnote w:id="466">
    <w:p w:rsidR="00971E82" w:rsidRPr="08D65B44" w:rsidRDefault="00971E82" w:rsidP="08163013">
      <w:pPr>
        <w:pStyle w:val="Textpoznpodarou"/>
      </w:pPr>
      <w:r>
        <w:rPr>
          <w:rStyle w:val="Znakapoznpodarou"/>
        </w:rPr>
        <w:footnoteRef/>
      </w:r>
      <w:r>
        <w:t xml:space="preserve"> „E</w:t>
      </w:r>
      <w:r w:rsidRPr="08D65B44">
        <w:t>x hoc ergo manifesto, scilicet quod intellectus potest intelligere universale, accipio hanc propositionem: 'intellectus potest habere obiectum actu universale, per se sibi praesens in ratione obiecti, prius naturaliter quam intelligat'. Ex hoc sequitur propositum, quod in illo priore habet obiectum praesens in specie intelligibili, et ita habet speciem intelligibilem priorem actu.</w:t>
      </w:r>
      <w:r>
        <w:t>“ (</w:t>
      </w:r>
      <w:r w:rsidRPr="008C2D4A">
        <w:rPr>
          <w:i/>
        </w:rPr>
        <w:t>Ordinatio I</w:t>
      </w:r>
      <w:r>
        <w:t xml:space="preserve">, dist. 3, pars 3, q. 1, no. 349; </w:t>
      </w:r>
      <w:r>
        <w:rPr>
          <w:lang w:val="cs-CZ"/>
        </w:rPr>
        <w:t xml:space="preserve">ed. </w:t>
      </w:r>
      <w:r>
        <w:t>Vat</w:t>
      </w:r>
      <w:r>
        <w:rPr>
          <w:lang w:val="cs-CZ"/>
        </w:rPr>
        <w:t>icana</w:t>
      </w:r>
      <w:r>
        <w:t xml:space="preserve"> III, </w:t>
      </w:r>
      <w:r>
        <w:rPr>
          <w:lang w:val="cs-CZ"/>
        </w:rPr>
        <w:t xml:space="preserve">p. </w:t>
      </w:r>
      <w:r>
        <w:t>210.3‒8</w:t>
      </w:r>
      <w:r>
        <w:fldChar w:fldCharType="begin"/>
      </w:r>
      <w:r>
        <w:instrText xml:space="preserve"> XE "</w:instrText>
      </w:r>
      <w:r>
        <w:rPr>
          <w:lang w:val="cs-CZ"/>
        </w:rPr>
        <w:instrText>Scotus:</w:instrText>
      </w:r>
      <w:r w:rsidRPr="00DF5D31">
        <w:rPr>
          <w:i/>
        </w:rPr>
        <w:instrText>Ord</w:instrText>
      </w:r>
      <w:r w:rsidRPr="00DF5D31">
        <w:rPr>
          <w:i/>
          <w:lang w:val="cs-CZ"/>
        </w:rPr>
        <w:instrText>inatio</w:instrText>
      </w:r>
      <w:r w:rsidRPr="00DF5D31">
        <w:instrText xml:space="preserve"> </w:instrText>
      </w:r>
      <w:r>
        <w:rPr>
          <w:lang w:val="cs-CZ"/>
        </w:rPr>
        <w:instrText>1.</w:instrText>
      </w:r>
      <w:r>
        <w:instrText>2</w:instrText>
      </w:r>
      <w:r>
        <w:rPr>
          <w:lang w:val="cs-CZ"/>
        </w:rPr>
        <w:instrText>10</w:instrText>
      </w:r>
      <w:r>
        <w:instrText>.</w:instrText>
      </w:r>
      <w:r>
        <w:rPr>
          <w:lang w:val="cs-CZ"/>
        </w:rPr>
        <w:instrText>3</w:instrText>
      </w:r>
      <w:r>
        <w:instrText>‒</w:instrText>
      </w:r>
      <w:r>
        <w:rPr>
          <w:lang w:val="cs-CZ"/>
        </w:rPr>
        <w:instrText>8</w:instrText>
      </w:r>
      <w:r>
        <w:instrText xml:space="preserve">" </w:instrText>
      </w:r>
      <w:r>
        <w:fldChar w:fldCharType="end"/>
      </w:r>
      <w:r>
        <w:t>)</w:t>
      </w:r>
    </w:p>
  </w:footnote>
  <w:footnote w:id="467">
    <w:p w:rsidR="00971E82" w:rsidRPr="08073E38" w:rsidRDefault="00971E82" w:rsidP="08163013">
      <w:pPr>
        <w:pStyle w:val="Textpoznpodarou"/>
      </w:pPr>
      <w:r>
        <w:rPr>
          <w:rStyle w:val="Znakapoznpodarou"/>
        </w:rPr>
        <w:footnoteRef/>
      </w:r>
      <w:r>
        <w:t xml:space="preserve"> „</w:t>
      </w:r>
      <w:r w:rsidRPr="08073E38">
        <w:t>Sed intelligere obiectum sub ratione universalis et singularis requirit duplicem rationem repraesentativam vel repraesentandi, et est respectu duplicis rationis 'repraesentabilis' formaliter; ergo idem manens idem, non repraesentat sic et sic: ergo phantasma, quod de se repraesentat obiectum sub ratione singularis, non potest repraesentare ipsum sub ratione universalis.</w:t>
      </w:r>
      <w:r>
        <w:t>“ (</w:t>
      </w:r>
      <w:r w:rsidRPr="008C2D4A">
        <w:rPr>
          <w:i/>
        </w:rPr>
        <w:t>Ordinatio I</w:t>
      </w:r>
      <w:r>
        <w:t>, dist. 3, pars 3, q. 1, no. 352</w:t>
      </w:r>
      <w:r>
        <w:rPr>
          <w:lang w:val="cs-CZ"/>
        </w:rPr>
        <w:t xml:space="preserve">; ed. </w:t>
      </w:r>
      <w:r>
        <w:t>Vat</w:t>
      </w:r>
      <w:r>
        <w:rPr>
          <w:lang w:val="cs-CZ"/>
        </w:rPr>
        <w:t>icana</w:t>
      </w:r>
      <w:r>
        <w:t xml:space="preserve"> III</w:t>
      </w:r>
      <w:r>
        <w:rPr>
          <w:lang w:val="cs-CZ"/>
        </w:rPr>
        <w:t xml:space="preserve">, </w:t>
      </w:r>
      <w:r>
        <w:t>p. 212.2‒7</w:t>
      </w:r>
      <w:r>
        <w:fldChar w:fldCharType="begin"/>
      </w:r>
      <w:r>
        <w:instrText xml:space="preserve"> XE "</w:instrText>
      </w:r>
      <w:r>
        <w:rPr>
          <w:lang w:val="cs-CZ"/>
        </w:rPr>
        <w:instrText>Scotus:</w:instrText>
      </w:r>
      <w:r w:rsidRPr="00DF5D31">
        <w:rPr>
          <w:i/>
        </w:rPr>
        <w:instrText>Ord</w:instrText>
      </w:r>
      <w:r w:rsidRPr="00DF5D31">
        <w:rPr>
          <w:i/>
          <w:lang w:val="cs-CZ"/>
        </w:rPr>
        <w:instrText>inatio</w:instrText>
      </w:r>
      <w:r w:rsidRPr="00DF5D31">
        <w:instrText xml:space="preserve"> </w:instrText>
      </w:r>
      <w:r>
        <w:rPr>
          <w:lang w:val="cs-CZ"/>
        </w:rPr>
        <w:instrText>1.</w:instrText>
      </w:r>
      <w:r>
        <w:instrText>2</w:instrText>
      </w:r>
      <w:r>
        <w:rPr>
          <w:lang w:val="cs-CZ"/>
        </w:rPr>
        <w:instrText>12</w:instrText>
      </w:r>
      <w:r>
        <w:instrText>.</w:instrText>
      </w:r>
      <w:r>
        <w:rPr>
          <w:lang w:val="cs-CZ"/>
        </w:rPr>
        <w:instrText>2</w:instrText>
      </w:r>
      <w:r>
        <w:instrText>‒</w:instrText>
      </w:r>
      <w:r>
        <w:rPr>
          <w:lang w:val="cs-CZ"/>
        </w:rPr>
        <w:instrText>7</w:instrText>
      </w:r>
      <w:r>
        <w:instrText xml:space="preserve">" </w:instrText>
      </w:r>
      <w:r>
        <w:fldChar w:fldCharType="end"/>
      </w:r>
      <w:r>
        <w:t>)</w:t>
      </w:r>
    </w:p>
  </w:footnote>
  <w:footnote w:id="468">
    <w:p w:rsidR="00971E82" w:rsidRPr="086C155A" w:rsidRDefault="00971E82" w:rsidP="08163013">
      <w:pPr>
        <w:pStyle w:val="Textpoznpodarou"/>
      </w:pPr>
      <w:r>
        <w:rPr>
          <w:rStyle w:val="Znakapoznpodarou"/>
        </w:rPr>
        <w:footnoteRef/>
      </w:r>
      <w:r>
        <w:t xml:space="preserve"> „</w:t>
      </w:r>
      <w:r w:rsidRPr="086C155A">
        <w:t>Cum ultra deducis quod intellectio 'non est motus rei ad animam', non sequitur, quia impressio speciei est quidam motus rei ad animam, quatenus res habet 'esse' in illa specie; intellectio etiam sequens impressam speciem, est motus rei ad animam, quatenus per intellectionem obiectum habet 'esse' in anima actualiter cognitum, quod prius tantum habuit 'esse' habitualiter.</w:t>
      </w:r>
      <w:r>
        <w:t>“ (</w:t>
      </w:r>
      <w:r w:rsidRPr="008C2D4A">
        <w:rPr>
          <w:i/>
        </w:rPr>
        <w:t>Ordinatio I</w:t>
      </w:r>
      <w:r>
        <w:t xml:space="preserve">, dist. 3, pars 3, q. 1, no. 387; </w:t>
      </w:r>
      <w:r>
        <w:rPr>
          <w:lang w:val="cs-CZ"/>
        </w:rPr>
        <w:t xml:space="preserve">ed. </w:t>
      </w:r>
      <w:r>
        <w:t>Vat</w:t>
      </w:r>
      <w:r>
        <w:rPr>
          <w:lang w:val="cs-CZ"/>
        </w:rPr>
        <w:t>icana</w:t>
      </w:r>
      <w:r>
        <w:t xml:space="preserve"> III, </w:t>
      </w:r>
      <w:r>
        <w:rPr>
          <w:lang w:val="cs-CZ"/>
        </w:rPr>
        <w:t xml:space="preserve">p. </w:t>
      </w:r>
      <w:r>
        <w:t>235.10‒15</w:t>
      </w:r>
      <w:r>
        <w:fldChar w:fldCharType="begin"/>
      </w:r>
      <w:r>
        <w:instrText xml:space="preserve"> XE "</w:instrText>
      </w:r>
      <w:r>
        <w:rPr>
          <w:lang w:val="cs-CZ"/>
        </w:rPr>
        <w:instrText>Scotus:</w:instrText>
      </w:r>
      <w:r w:rsidRPr="00DF5D31">
        <w:rPr>
          <w:i/>
        </w:rPr>
        <w:instrText>Ord</w:instrText>
      </w:r>
      <w:r w:rsidRPr="00DF5D31">
        <w:rPr>
          <w:i/>
          <w:lang w:val="cs-CZ"/>
        </w:rPr>
        <w:instrText>inatio</w:instrText>
      </w:r>
      <w:r w:rsidRPr="00DF5D31">
        <w:instrText xml:space="preserve"> </w:instrText>
      </w:r>
      <w:r>
        <w:rPr>
          <w:lang w:val="cs-CZ"/>
        </w:rPr>
        <w:instrText>1.</w:instrText>
      </w:r>
      <w:r>
        <w:instrText>2</w:instrText>
      </w:r>
      <w:r>
        <w:rPr>
          <w:lang w:val="cs-CZ"/>
        </w:rPr>
        <w:instrText>35</w:instrText>
      </w:r>
      <w:r w:rsidRPr="00DF5D31">
        <w:instrText>.1</w:instrText>
      </w:r>
      <w:r>
        <w:rPr>
          <w:lang w:val="cs-CZ"/>
        </w:rPr>
        <w:instrText>0</w:instrText>
      </w:r>
      <w:r>
        <w:instrText>‒</w:instrText>
      </w:r>
      <w:r>
        <w:rPr>
          <w:lang w:val="cs-CZ"/>
        </w:rPr>
        <w:instrText>15</w:instrText>
      </w:r>
      <w:r>
        <w:instrText xml:space="preserve">" </w:instrText>
      </w:r>
      <w:r>
        <w:fldChar w:fldCharType="end"/>
      </w:r>
      <w:r>
        <w:t>)</w:t>
      </w:r>
    </w:p>
  </w:footnote>
  <w:footnote w:id="469">
    <w:p w:rsidR="00971E82" w:rsidRPr="08A00C69" w:rsidRDefault="00971E82" w:rsidP="08163013">
      <w:pPr>
        <w:pStyle w:val="Textpoznpodarou"/>
      </w:pPr>
      <w:r>
        <w:rPr>
          <w:rStyle w:val="Znakapoznpodarou"/>
        </w:rPr>
        <w:footnoteRef/>
      </w:r>
      <w:r>
        <w:rPr>
          <w:lang w:val="cs-CZ"/>
        </w:rPr>
        <w:t xml:space="preserve"> </w:t>
      </w:r>
      <w:r w:rsidRPr="08A00C69">
        <w:t>„Die Farbe der dinglichen Rückseite ist nicht als eine ganz bestimmte Farbe vorgezeichnet, wenn da</w:t>
      </w:r>
      <w:r>
        <w:t xml:space="preserve">s Ding uns noch unbekannt ist; (...) </w:t>
      </w:r>
      <w:r w:rsidRPr="08A00C69">
        <w:t>‚eine Farbe’ ist aber doch vorgezeichnet, und eventuell noch mehr.“ (</w:t>
      </w:r>
      <w:r w:rsidRPr="084C4A2A">
        <w:rPr>
          <w:i/>
        </w:rPr>
        <w:t>Erfahrung und Urteil</w:t>
      </w:r>
      <w:r w:rsidRPr="08A00C69">
        <w:t xml:space="preserve">, </w:t>
      </w:r>
      <w:r>
        <w:t xml:space="preserve">ed. Landgrebe, </w:t>
      </w:r>
      <w:r w:rsidRPr="08A00C69">
        <w:t>p. 105</w:t>
      </w:r>
      <w:r>
        <w:fldChar w:fldCharType="begin"/>
      </w:r>
      <w:r>
        <w:instrText xml:space="preserve"> XE "</w:instrText>
      </w:r>
      <w:r>
        <w:rPr>
          <w:lang w:val="cs-CZ"/>
        </w:rPr>
        <w:instrText>Husserl:</w:instrText>
      </w:r>
      <w:r w:rsidRPr="004603D7">
        <w:rPr>
          <w:i/>
        </w:rPr>
        <w:instrText>Erfahrung und Urtei</w:instrText>
      </w:r>
      <w:r>
        <w:rPr>
          <w:i/>
          <w:lang w:val="cs-CZ"/>
        </w:rPr>
        <w:instrText>l</w:instrText>
      </w:r>
      <w:r w:rsidRPr="004603D7">
        <w:instrText xml:space="preserve"> 105</w:instrText>
      </w:r>
      <w:r>
        <w:instrText xml:space="preserve">" </w:instrText>
      </w:r>
      <w:r>
        <w:fldChar w:fldCharType="end"/>
      </w:r>
      <w:r w:rsidRPr="08A00C69">
        <w:t>).</w:t>
      </w:r>
    </w:p>
  </w:footnote>
  <w:footnote w:id="470">
    <w:p w:rsidR="00971E82" w:rsidRPr="08613B87" w:rsidRDefault="00971E82" w:rsidP="08163013">
      <w:pPr>
        <w:pStyle w:val="Textpoznpodarou"/>
      </w:pPr>
      <w:r>
        <w:rPr>
          <w:rStyle w:val="Znakapoznpodarou"/>
        </w:rPr>
        <w:footnoteRef/>
      </w:r>
      <w:r>
        <w:t xml:space="preserve"> „</w:t>
      </w:r>
      <w:r w:rsidRPr="089E2A45">
        <w:t>Et si velis quaerere aliquod esse verum huius obiecti ut sic, nullum est quaerere nisi 'secundum quid', nisi quod istud 'esse secundum quid' reducitur ad aliquod esse sim</w:t>
      </w:r>
      <w:r>
        <w:t>pliciter, quod est esse ipsius int</w:t>
      </w:r>
      <w:r w:rsidRPr="089E2A45">
        <w:t>ellectionis; sed istud 'esse simpliciter'</w:t>
      </w:r>
      <w:r>
        <w:t xml:space="preserve"> non est formaliter esse eiu</w:t>
      </w:r>
      <w:r w:rsidRPr="089E2A45">
        <w:t>s qu</w:t>
      </w:r>
      <w:r>
        <w:t>od dicitur 'esse secundum quid</w:t>
      </w:r>
      <w:r w:rsidRPr="089E2A45">
        <w:t>'</w:t>
      </w:r>
      <w:r>
        <w:t>, sed est eius terminative vel</w:t>
      </w:r>
      <w:r w:rsidRPr="089E2A45">
        <w:t xml:space="preserve"> principiative</w:t>
      </w:r>
      <w:r>
        <w:t>...“ (</w:t>
      </w:r>
      <w:r w:rsidRPr="008C2D4A">
        <w:rPr>
          <w:i/>
        </w:rPr>
        <w:t>Ordinatio I</w:t>
      </w:r>
      <w:r>
        <w:t xml:space="preserve">, dist. 36, q. unica, no. 46; </w:t>
      </w:r>
      <w:r>
        <w:rPr>
          <w:lang w:val="cs-CZ"/>
        </w:rPr>
        <w:t xml:space="preserve">ed. </w:t>
      </w:r>
      <w:r>
        <w:t>Vat</w:t>
      </w:r>
      <w:r>
        <w:rPr>
          <w:lang w:val="cs-CZ"/>
        </w:rPr>
        <w:t>icana</w:t>
      </w:r>
      <w:r>
        <w:t xml:space="preserve"> VI, </w:t>
      </w:r>
      <w:r>
        <w:rPr>
          <w:lang w:val="cs-CZ"/>
        </w:rPr>
        <w:t xml:space="preserve">p. </w:t>
      </w:r>
      <w:r>
        <w:t>289.6‒14</w:t>
      </w:r>
      <w:r>
        <w:fldChar w:fldCharType="begin"/>
      </w:r>
      <w:r>
        <w:instrText xml:space="preserve"> XE "</w:instrText>
      </w:r>
      <w:r>
        <w:rPr>
          <w:lang w:val="cs-CZ"/>
        </w:rPr>
        <w:instrText>Scotus:</w:instrText>
      </w:r>
      <w:r w:rsidRPr="00792440">
        <w:rPr>
          <w:i/>
        </w:rPr>
        <w:instrText>Ord</w:instrText>
      </w:r>
      <w:r w:rsidRPr="00792440">
        <w:rPr>
          <w:i/>
          <w:lang w:val="cs-CZ"/>
        </w:rPr>
        <w:instrText>inatio</w:instrText>
      </w:r>
      <w:r>
        <w:instrText xml:space="preserve"> </w:instrText>
      </w:r>
      <w:r>
        <w:rPr>
          <w:lang w:val="cs-CZ"/>
        </w:rPr>
        <w:instrText>1.28</w:instrText>
      </w:r>
      <w:r w:rsidRPr="00792440">
        <w:instrText>9.6‒14</w:instrText>
      </w:r>
      <w:r>
        <w:instrText xml:space="preserve">" </w:instrText>
      </w:r>
      <w:r>
        <w:fldChar w:fldCharType="end"/>
      </w:r>
      <w:r>
        <w:t>)</w:t>
      </w:r>
    </w:p>
  </w:footnote>
  <w:footnote w:id="471">
    <w:p w:rsidR="00971E82" w:rsidRDefault="00971E82" w:rsidP="00D731C9">
      <w:pPr>
        <w:pStyle w:val="Textpoznpodarou"/>
      </w:pPr>
      <w:r>
        <w:rPr>
          <w:rStyle w:val="Znakapoznpodarou"/>
          <w:rFonts w:eastAsia="Times"/>
        </w:rPr>
        <w:footnoteRef/>
      </w:r>
      <w:r>
        <w:t xml:space="preserve"> „Da aber Erfahrung </w:t>
      </w:r>
      <w:r>
        <w:rPr>
          <w:i/>
        </w:rPr>
        <w:t>ein Erkenntnis der Objekte durch Wahrnehmungen</w:t>
      </w:r>
      <w:r>
        <w:t xml:space="preserve"> ist, folglich das Verhältnis im Dasein des Mannigfaltigen, nicht wie es in der Zeit zusammengestellt wird, sondern wie es </w:t>
      </w:r>
      <w:r>
        <w:rPr>
          <w:i/>
        </w:rPr>
        <w:t>objektiv in der Zeit ist</w:t>
      </w:r>
      <w:r>
        <w:t xml:space="preserve">, in ihr vorgestellt werden soll, </w:t>
      </w:r>
      <w:r>
        <w:rPr>
          <w:i/>
        </w:rPr>
        <w:t>die Zeit selbst aber nicht wahrgenommen werden kann</w:t>
      </w:r>
      <w:r>
        <w:t xml:space="preserve">, so kann die Bestimmung der Existenz der Objekte in der Zeit nur durch ihre Verbindung in der Zeit überhaupt, mithin </w:t>
      </w:r>
      <w:r>
        <w:rPr>
          <w:i/>
        </w:rPr>
        <w:t>nur durch a priori verknüpfende Begriffe</w:t>
      </w:r>
      <w:r>
        <w:t>, geschehen.“ (KdRV, B 219</w:t>
      </w:r>
      <w:r>
        <w:fldChar w:fldCharType="begin"/>
      </w:r>
      <w:r>
        <w:instrText xml:space="preserve"> XE "</w:instrText>
      </w:r>
      <w:r>
        <w:rPr>
          <w:lang w:val="cs-CZ"/>
        </w:rPr>
        <w:instrText>Kant:</w:instrText>
      </w:r>
      <w:r>
        <w:instrText xml:space="preserve">KdRV, B 219" </w:instrText>
      </w:r>
      <w:r>
        <w:fldChar w:fldCharType="end"/>
      </w:r>
      <w:r>
        <w:rPr>
          <w:lang w:val="cs-CZ"/>
        </w:rPr>
        <w:t>; všechna zdůraznění kurzívou jsou moje</w:t>
      </w:r>
      <w:r>
        <w:t>)</w:t>
      </w:r>
    </w:p>
  </w:footnote>
  <w:footnote w:id="472">
    <w:p w:rsidR="00971E82" w:rsidRDefault="00971E82" w:rsidP="00D731C9">
      <w:pPr>
        <w:pStyle w:val="Textpoznpodarou"/>
      </w:pPr>
      <w:r>
        <w:rPr>
          <w:rStyle w:val="Znakapoznpodarou"/>
          <w:rFonts w:eastAsia="Times"/>
        </w:rPr>
        <w:footnoteRef/>
      </w:r>
      <w:r>
        <w:t xml:space="preserve"> „Alle Erscheinungen stehen, ihrem Dasein nach, a priori unter Regeln der Bestimmung ihres Verhältnisses untereinander in einer Zeit.“ (KdRV, B 220</w:t>
      </w:r>
      <w:r>
        <w:fldChar w:fldCharType="begin"/>
      </w:r>
      <w:r>
        <w:instrText xml:space="preserve"> XE "</w:instrText>
      </w:r>
      <w:r>
        <w:rPr>
          <w:lang w:val="cs-CZ"/>
        </w:rPr>
        <w:instrText>Kant:</w:instrText>
      </w:r>
      <w:r>
        <w:instrText>KdRV, B 2</w:instrText>
      </w:r>
      <w:r>
        <w:rPr>
          <w:lang w:val="cs-CZ"/>
        </w:rPr>
        <w:instrText>20</w:instrText>
      </w:r>
      <w:r>
        <w:instrText xml:space="preserve">" </w:instrText>
      </w:r>
      <w:r>
        <w:fldChar w:fldCharType="end"/>
      </w:r>
      <w:r>
        <w:t>)</w:t>
      </w:r>
    </w:p>
  </w:footnote>
  <w:footnote w:id="473">
    <w:p w:rsidR="00971E82" w:rsidRDefault="00971E82" w:rsidP="00D731C9">
      <w:pPr>
        <w:pStyle w:val="Textpoznpodarou"/>
        <w:rPr>
          <w:lang w:val="cs-CZ"/>
        </w:rPr>
      </w:pPr>
      <w:r>
        <w:rPr>
          <w:rStyle w:val="Znakapoznpodarou"/>
          <w:rFonts w:eastAsia="Times"/>
        </w:rPr>
        <w:footnoteRef/>
      </w:r>
      <w:r>
        <w:t xml:space="preserve"> </w:t>
      </w:r>
      <w:r>
        <w:rPr>
          <w:lang w:val="cs-CZ"/>
        </w:rPr>
        <w:t>„D</w:t>
      </w:r>
      <w:r>
        <w:t xml:space="preserve">as Gemüt könnte sich unmöglich die Identität seiner selbst in der Mannigfaltigkeit seiner Vorstellungen, und zwar a priori, denken, wenn es nicht die Identität seiner Handlung vor Augen </w:t>
      </w:r>
      <w:proofErr w:type="gramStart"/>
      <w:r>
        <w:t>hätte</w:t>
      </w:r>
      <w:r>
        <w:rPr>
          <w:lang w:val="cs-CZ"/>
        </w:rPr>
        <w:t>...“</w:t>
      </w:r>
      <w:proofErr w:type="gramEnd"/>
      <w:r>
        <w:rPr>
          <w:lang w:val="cs-CZ"/>
        </w:rPr>
        <w:t xml:space="preserve"> (</w:t>
      </w:r>
      <w:r>
        <w:t>KdRV, A 108</w:t>
      </w:r>
      <w:r>
        <w:fldChar w:fldCharType="begin"/>
      </w:r>
      <w:r>
        <w:instrText xml:space="preserve"> XE "</w:instrText>
      </w:r>
      <w:r>
        <w:rPr>
          <w:lang w:val="cs-CZ"/>
        </w:rPr>
        <w:instrText>Kant:</w:instrText>
      </w:r>
      <w:r>
        <w:instrText xml:space="preserve">KdRV, </w:instrText>
      </w:r>
      <w:r>
        <w:rPr>
          <w:lang w:val="cs-CZ"/>
        </w:rPr>
        <w:instrText>A</w:instrText>
      </w:r>
      <w:r>
        <w:instrText xml:space="preserve"> </w:instrText>
      </w:r>
      <w:r>
        <w:rPr>
          <w:lang w:val="cs-CZ"/>
        </w:rPr>
        <w:instrText>108</w:instrText>
      </w:r>
      <w:r>
        <w:instrText xml:space="preserve">" </w:instrText>
      </w:r>
      <w:r>
        <w:fldChar w:fldCharType="end"/>
      </w:r>
      <w:r>
        <w:rPr>
          <w:lang w:val="cs-CZ"/>
        </w:rPr>
        <w:t>)</w:t>
      </w:r>
    </w:p>
  </w:footnote>
  <w:footnote w:id="474">
    <w:p w:rsidR="00971E82" w:rsidRPr="004E1220" w:rsidRDefault="00971E82" w:rsidP="001F26B9">
      <w:pPr>
        <w:pStyle w:val="Textpoznpodarou"/>
        <w:rPr>
          <w:lang w:val="cs-CZ"/>
        </w:rPr>
      </w:pPr>
      <w:r>
        <w:rPr>
          <w:rStyle w:val="Znakapoznpodarou"/>
        </w:rPr>
        <w:footnoteRef/>
      </w:r>
      <w:r>
        <w:t xml:space="preserve"> </w:t>
      </w:r>
      <w:r>
        <w:rPr>
          <w:lang w:val="cs-CZ"/>
        </w:rPr>
        <w:t>„</w:t>
      </w:r>
      <w:r>
        <w:rPr>
          <w:rStyle w:val="srexcerpt"/>
          <w:rFonts w:eastAsia="Georgia"/>
        </w:rPr>
        <w:t xml:space="preserve">Beweis: selbst die Schwächsten der </w:t>
      </w:r>
      <w:r>
        <w:rPr>
          <w:rStyle w:val="Zvraznn"/>
        </w:rPr>
        <w:t>Schwachen</w:t>
      </w:r>
      <w:r>
        <w:rPr>
          <w:rStyle w:val="srexcerpt"/>
          <w:rFonts w:eastAsia="Georgia"/>
        </w:rPr>
        <w:t xml:space="preserve">, die Metaphysiker und Scholastiker werden über ihn noch Herr, — sie spinnen um ihn herum, in ihn hinein, bis er ihr Abbild, eine Spinne wird. </w:t>
      </w:r>
      <w:r>
        <w:rPr>
          <w:rStyle w:val="srexcerpt"/>
          <w:rFonts w:eastAsia="Georgia"/>
        </w:rPr>
        <w:t>Nunmehr spinnt er die Welt aus sich heraus, nunmehr wird er zum ewigen Metaphysikus, nunmehr wird er „Geist“ „purer Geist“… der christliche Gottesbegriff — Gott als Krankengott, Gott als Spinne, Gott als Geist — ist der niedrigste Gottesbegriff, der auf Erden erreicht wurde: er stellt den Höhepunkt der décadence in der absteigenden Entwicklung der Gottesidee dar.</w:t>
      </w:r>
      <w:r>
        <w:rPr>
          <w:rStyle w:val="srexcerpt"/>
          <w:rFonts w:eastAsia="Georgia"/>
          <w:lang w:val="cs-CZ"/>
        </w:rPr>
        <w:t>“ (</w:t>
      </w:r>
      <w:r w:rsidRPr="004E1220">
        <w:rPr>
          <w:rStyle w:val="srexcerpt"/>
          <w:rFonts w:eastAsia="Georgia"/>
          <w:i/>
          <w:lang w:val="cs-CZ"/>
        </w:rPr>
        <w:t>Nachgelassene Fragmente</w:t>
      </w:r>
      <w:r>
        <w:rPr>
          <w:rStyle w:val="srexcerpt"/>
          <w:rFonts w:eastAsia="Georgia"/>
          <w:lang w:val="cs-CZ"/>
        </w:rPr>
        <w:t xml:space="preserve">, </w:t>
      </w:r>
      <w:proofErr w:type="gramStart"/>
      <w:r w:rsidRPr="004E1220">
        <w:rPr>
          <w:rStyle w:val="srexcerpt"/>
          <w:rFonts w:eastAsia="Georgia"/>
          <w:lang w:val="cs-CZ"/>
        </w:rPr>
        <w:t>Mai</w:t>
      </w:r>
      <w:proofErr w:type="gramEnd"/>
      <w:r w:rsidRPr="004E1220">
        <w:rPr>
          <w:rStyle w:val="srexcerpt"/>
          <w:rFonts w:eastAsia="Georgia"/>
          <w:lang w:val="cs-CZ"/>
        </w:rPr>
        <w:t>–</w:t>
      </w:r>
      <w:proofErr w:type="gramStart"/>
      <w:r w:rsidRPr="004E1220">
        <w:rPr>
          <w:rStyle w:val="srexcerpt"/>
          <w:rFonts w:eastAsia="Georgia"/>
          <w:lang w:val="cs-CZ"/>
        </w:rPr>
        <w:t>Juni</w:t>
      </w:r>
      <w:proofErr w:type="gramEnd"/>
      <w:r w:rsidRPr="004E1220">
        <w:rPr>
          <w:rStyle w:val="srexcerpt"/>
          <w:rFonts w:eastAsia="Georgia"/>
          <w:lang w:val="cs-CZ"/>
        </w:rPr>
        <w:t xml:space="preserve"> 1888;</w:t>
      </w:r>
      <w:r>
        <w:rPr>
          <w:rStyle w:val="srexcerpt"/>
          <w:rFonts w:eastAsia="Georgia"/>
          <w:lang w:val="cs-CZ"/>
        </w:rPr>
        <w:t xml:space="preserve"> KSA </w:t>
      </w:r>
      <w:r>
        <w:t>NF-1888</w:t>
      </w:r>
      <w:r>
        <w:rPr>
          <w:lang w:val="cs-CZ"/>
        </w:rPr>
        <w:t xml:space="preserve">, no. </w:t>
      </w:r>
      <w:r>
        <w:t>17[4]</w:t>
      </w:r>
      <w:r>
        <w:fldChar w:fldCharType="begin"/>
      </w:r>
      <w:r>
        <w:instrText xml:space="preserve"> XE "</w:instrText>
      </w:r>
      <w:r>
        <w:rPr>
          <w:lang w:val="cs-CZ"/>
        </w:rPr>
        <w:instrText>Nietzsche:</w:instrText>
      </w:r>
      <w:r w:rsidRPr="08B900C2">
        <w:rPr>
          <w:rStyle w:val="srexcerpt"/>
          <w:rFonts w:eastAsia="Georgia"/>
          <w:i/>
          <w:lang w:val="cs-CZ"/>
        </w:rPr>
        <w:instrText>Nachgelassene Fragmente</w:instrText>
      </w:r>
      <w:r>
        <w:rPr>
          <w:rStyle w:val="srexcerpt"/>
          <w:rFonts w:eastAsia="Georgia"/>
          <w:i/>
          <w:lang w:val="cs-CZ"/>
        </w:rPr>
        <w:instrText xml:space="preserve"> </w:instrText>
      </w:r>
      <w:r w:rsidRPr="08B900C2">
        <w:instrText>NF-1888</w:instrText>
      </w:r>
      <w:r>
        <w:rPr>
          <w:lang w:val="cs-CZ"/>
        </w:rPr>
        <w:instrText xml:space="preserve">, </w:instrText>
      </w:r>
      <w:r w:rsidRPr="08B900C2">
        <w:instrText>17[4]</w:instrText>
      </w:r>
      <w:r>
        <w:instrText xml:space="preserve">" </w:instrText>
      </w:r>
      <w:r>
        <w:fldChar w:fldCharType="end"/>
      </w:r>
      <w:r>
        <w:rPr>
          <w:rStyle w:val="srexcerpt"/>
          <w:rFonts w:eastAsia="Georgia"/>
          <w:lang w:val="cs-CZ"/>
        </w:rPr>
        <w:t>)</w:t>
      </w:r>
    </w:p>
  </w:footnote>
  <w:footnote w:id="475">
    <w:p w:rsidR="00971E82" w:rsidRPr="08662ED7" w:rsidRDefault="00971E82" w:rsidP="08163013">
      <w:pPr>
        <w:pStyle w:val="Textpoznpodarou"/>
        <w:rPr>
          <w:lang w:val="cs-CZ"/>
        </w:rPr>
      </w:pPr>
      <w:r>
        <w:rPr>
          <w:rStyle w:val="Znakapoznpodarou"/>
        </w:rPr>
        <w:footnoteRef/>
      </w:r>
      <w:r>
        <w:t xml:space="preserve"> </w:t>
      </w:r>
      <w:r w:rsidRPr="08680376">
        <w:rPr>
          <w:rStyle w:val="TextpoznpodarouChar"/>
          <w:rFonts w:eastAsia="Times"/>
        </w:rPr>
        <w:t xml:space="preserve">„Dico quod intentio </w:t>
      </w:r>
      <w:r>
        <w:rPr>
          <w:rStyle w:val="TextpoznpodarouChar"/>
          <w:rFonts w:eastAsia="Times"/>
        </w:rPr>
        <w:t xml:space="preserve">Commentatoris est, III De anima, </w:t>
      </w:r>
      <w:r w:rsidRPr="08680376">
        <w:rPr>
          <w:rStyle w:val="TextpoznpodarouChar"/>
          <w:rFonts w:eastAsia="Times"/>
        </w:rPr>
        <w:t>quod sunt duae intelligentiae distinctae realiter quae non sunt in homine sicut perfectiones in perfectibili sed solum sicut motores corporis, sicut ponit intelligendam moventem caelum coniungi cum caelo sicut motorem cum mobili. Et ipse in hoc negandus est a christianis.“</w:t>
      </w:r>
      <w:r>
        <w:rPr>
          <w:rStyle w:val="TextpoznpodarouChar"/>
          <w:rFonts w:eastAsia="Times"/>
          <w:lang w:val="cs-CZ"/>
        </w:rPr>
        <w:t xml:space="preserve"> </w:t>
      </w:r>
      <w:r w:rsidRPr="08680376">
        <w:rPr>
          <w:rStyle w:val="TextpoznpodarouChar"/>
          <w:rFonts w:eastAsia="Times"/>
        </w:rPr>
        <w:t>(</w:t>
      </w:r>
      <w:r w:rsidRPr="008C2D4A">
        <w:rPr>
          <w:rStyle w:val="TextpoznpodarouChar"/>
          <w:rFonts w:eastAsia="Times"/>
          <w:i/>
          <w:lang w:val="cs-CZ"/>
        </w:rPr>
        <w:t>Ordinatio I</w:t>
      </w:r>
      <w:r>
        <w:rPr>
          <w:rStyle w:val="TextpoznpodarouChar"/>
          <w:rFonts w:eastAsia="Times"/>
          <w:lang w:val="cs-CZ"/>
        </w:rPr>
        <w:t xml:space="preserve">I, q. 20; </w:t>
      </w:r>
      <w:r w:rsidRPr="08680376">
        <w:rPr>
          <w:rStyle w:val="TextpoznpodarouChar"/>
          <w:rFonts w:eastAsia="Times"/>
        </w:rPr>
        <w:t>OTh 5, p. 442.17‒22)</w:t>
      </w:r>
      <w:r>
        <w:rPr>
          <w:rStyle w:val="TextpoznpodarouChar"/>
          <w:rFonts w:eastAsia="Times"/>
        </w:rPr>
        <w:fldChar w:fldCharType="begin"/>
      </w:r>
      <w:r>
        <w:instrText xml:space="preserve"> XE "</w:instrText>
      </w:r>
      <w:r w:rsidRPr="08EB0AF2">
        <w:rPr>
          <w:rStyle w:val="TextpoznpodarouChar"/>
          <w:rFonts w:eastAsia="Times"/>
          <w:lang w:val="cs-CZ"/>
        </w:rPr>
        <w:instrText>Ockham:</w:instrText>
      </w:r>
      <w:r w:rsidRPr="08EB0AF2">
        <w:rPr>
          <w:rStyle w:val="TextpoznpodarouChar"/>
          <w:rFonts w:eastAsia="Times"/>
          <w:i/>
        </w:rPr>
        <w:instrText>Ordinatio</w:instrText>
      </w:r>
      <w:r w:rsidRPr="08EB0AF2">
        <w:rPr>
          <w:rStyle w:val="TextpoznpodarouChar"/>
          <w:rFonts w:eastAsia="Times"/>
        </w:rPr>
        <w:instrText xml:space="preserve"> </w:instrText>
      </w:r>
      <w:r w:rsidRPr="08EB0AF2">
        <w:rPr>
          <w:rStyle w:val="TextpoznpodarouChar"/>
          <w:rFonts w:eastAsia="Times"/>
          <w:lang w:val="cs-CZ"/>
        </w:rPr>
        <w:instrText>2.</w:instrText>
      </w:r>
      <w:r w:rsidRPr="08EB0AF2">
        <w:rPr>
          <w:rStyle w:val="TextpoznpodarouChar"/>
          <w:rFonts w:eastAsia="Times"/>
        </w:rPr>
        <w:instrText>442.17‒22</w:instrText>
      </w:r>
      <w:r>
        <w:instrText xml:space="preserve">" </w:instrText>
      </w:r>
      <w:r>
        <w:rPr>
          <w:rStyle w:val="TextpoznpodarouChar"/>
          <w:rFonts w:eastAsia="Times"/>
        </w:rPr>
        <w:fldChar w:fldCharType="end"/>
      </w:r>
    </w:p>
  </w:footnote>
  <w:footnote w:id="476">
    <w:p w:rsidR="00971E82" w:rsidRPr="00B81413" w:rsidRDefault="00971E82" w:rsidP="08163013">
      <w:pPr>
        <w:pStyle w:val="Textpoznpodarou"/>
        <w:rPr>
          <w:lang w:val="cs-CZ"/>
        </w:rPr>
      </w:pPr>
      <w:r>
        <w:rPr>
          <w:rStyle w:val="Znakapoznpodarou"/>
        </w:rPr>
        <w:footnoteRef/>
      </w:r>
      <w:r>
        <w:t xml:space="preserve"> </w:t>
      </w:r>
      <w:r w:rsidRPr="00273106">
        <w:rPr>
          <w:noProof/>
        </w:rPr>
        <w:t>„Qui vult tenere opinionem Commentatoris potest dicere quod intellectus possibilis est prima perfectio hominis et intellectio, quae est actus secundus, est ultima perfectio hominis. Et tunc potest dici quod intellectus possibilis est in quolibet homine per specialem unionem sive assumptionem, quam unionem vocat Commentator 'copulationem'. Et propter istam unionem potest homo sufficienter dici intelligens [et] rationalis.“ (</w:t>
      </w:r>
      <w:r>
        <w:rPr>
          <w:i/>
          <w:noProof/>
        </w:rPr>
        <w:t>Quaestiones</w:t>
      </w:r>
      <w:r w:rsidRPr="00273106">
        <w:rPr>
          <w:i/>
          <w:noProof/>
        </w:rPr>
        <w:t xml:space="preserve"> variae</w:t>
      </w:r>
      <w:r w:rsidRPr="00273106">
        <w:rPr>
          <w:noProof/>
        </w:rPr>
        <w:t>, q. 6, a. 7; OTh 8, 239.47‒53</w:t>
      </w:r>
      <w:r>
        <w:rPr>
          <w:noProof/>
        </w:rPr>
        <w:fldChar w:fldCharType="begin"/>
      </w:r>
      <w:r>
        <w:instrText xml:space="preserve"> XE "</w:instrText>
      </w:r>
      <w:r>
        <w:rPr>
          <w:lang w:val="cs-CZ"/>
        </w:rPr>
        <w:instrText>Ockham:</w:instrText>
      </w:r>
      <w:r>
        <w:rPr>
          <w:i/>
          <w:noProof/>
        </w:rPr>
        <w:instrText>Quaestiones</w:instrText>
      </w:r>
      <w:r w:rsidRPr="00EA7304">
        <w:rPr>
          <w:i/>
          <w:noProof/>
        </w:rPr>
        <w:instrText xml:space="preserve"> variae</w:instrText>
      </w:r>
      <w:r w:rsidRPr="00EA7304">
        <w:rPr>
          <w:noProof/>
        </w:rPr>
        <w:instrText xml:space="preserve"> 239.47‒53</w:instrText>
      </w:r>
      <w:r>
        <w:instrText xml:space="preserve">" </w:instrText>
      </w:r>
      <w:r>
        <w:rPr>
          <w:noProof/>
        </w:rPr>
        <w:fldChar w:fldCharType="end"/>
      </w:r>
      <w:r w:rsidRPr="00273106">
        <w:rPr>
          <w:noProof/>
        </w:rPr>
        <w:t>)</w:t>
      </w:r>
    </w:p>
  </w:footnote>
  <w:footnote w:id="477">
    <w:p w:rsidR="00971E82" w:rsidRPr="00C83665" w:rsidRDefault="00971E82" w:rsidP="08163013">
      <w:pPr>
        <w:pStyle w:val="Textpoznpodarou"/>
        <w:rPr>
          <w:lang w:val="cs-CZ"/>
        </w:rPr>
      </w:pPr>
      <w:r>
        <w:rPr>
          <w:rStyle w:val="Znakapoznpodarou"/>
        </w:rPr>
        <w:footnoteRef/>
      </w:r>
      <w:r>
        <w:t xml:space="preserve"> </w:t>
      </w:r>
      <w:r w:rsidRPr="00273106">
        <w:rPr>
          <w:noProof/>
        </w:rPr>
        <w:t>„Et haec videtur esse intentio Commentatoris quia ponit quod intellectio causatur a phantasmate effective et intellectu, et per consequens quod unum phantasma potest esse in uno homine et non in alio. Et in illo in quo non est illud phantasma, deficit causa partialis requisita ad intellectionem, et per consequens in illo non potest esse intellectio phantasmatis.“ (</w:t>
      </w:r>
      <w:r>
        <w:rPr>
          <w:i/>
          <w:noProof/>
        </w:rPr>
        <w:t>Quaestiones</w:t>
      </w:r>
      <w:r w:rsidRPr="00273106">
        <w:rPr>
          <w:i/>
          <w:noProof/>
        </w:rPr>
        <w:t xml:space="preserve"> variae</w:t>
      </w:r>
      <w:r>
        <w:rPr>
          <w:noProof/>
        </w:rPr>
        <w:t>, q. 6, a. 7; OTh 8,</w:t>
      </w:r>
      <w:r>
        <w:rPr>
          <w:noProof/>
          <w:lang w:val="cs-CZ"/>
        </w:rPr>
        <w:t xml:space="preserve"> </w:t>
      </w:r>
      <w:r w:rsidRPr="00273106">
        <w:rPr>
          <w:noProof/>
        </w:rPr>
        <w:t>240.71‒76</w:t>
      </w:r>
      <w:r>
        <w:rPr>
          <w:noProof/>
        </w:rPr>
        <w:fldChar w:fldCharType="begin"/>
      </w:r>
      <w:r>
        <w:instrText xml:space="preserve"> XE "</w:instrText>
      </w:r>
      <w:r>
        <w:rPr>
          <w:lang w:val="cs-CZ"/>
        </w:rPr>
        <w:instrText>Ockham:</w:instrText>
      </w:r>
      <w:r>
        <w:rPr>
          <w:i/>
          <w:noProof/>
        </w:rPr>
        <w:instrText>Quaestiones</w:instrText>
      </w:r>
      <w:r w:rsidRPr="00EA7304">
        <w:rPr>
          <w:i/>
          <w:noProof/>
        </w:rPr>
        <w:instrText xml:space="preserve"> variae</w:instrText>
      </w:r>
      <w:r>
        <w:rPr>
          <w:noProof/>
        </w:rPr>
        <w:instrText xml:space="preserve"> 2</w:instrText>
      </w:r>
      <w:r>
        <w:rPr>
          <w:noProof/>
          <w:lang w:val="cs-CZ"/>
        </w:rPr>
        <w:instrText>40</w:instrText>
      </w:r>
      <w:r>
        <w:rPr>
          <w:noProof/>
        </w:rPr>
        <w:instrText>.</w:instrText>
      </w:r>
      <w:r w:rsidRPr="00EA7304">
        <w:rPr>
          <w:noProof/>
        </w:rPr>
        <w:instrText>7</w:instrText>
      </w:r>
      <w:r>
        <w:rPr>
          <w:noProof/>
          <w:lang w:val="cs-CZ"/>
        </w:rPr>
        <w:instrText>1</w:instrText>
      </w:r>
      <w:r w:rsidRPr="00EA7304">
        <w:rPr>
          <w:noProof/>
        </w:rPr>
        <w:instrText>‒</w:instrText>
      </w:r>
      <w:r>
        <w:rPr>
          <w:noProof/>
          <w:lang w:val="cs-CZ"/>
        </w:rPr>
        <w:instrText>76</w:instrText>
      </w:r>
      <w:r>
        <w:instrText xml:space="preserve">" </w:instrText>
      </w:r>
      <w:r>
        <w:rPr>
          <w:noProof/>
        </w:rPr>
        <w:fldChar w:fldCharType="end"/>
      </w:r>
      <w:r w:rsidRPr="00273106">
        <w:rPr>
          <w:noProof/>
        </w:rPr>
        <w:t>)</w:t>
      </w:r>
    </w:p>
  </w:footnote>
  <w:footnote w:id="478">
    <w:p w:rsidR="00971E82" w:rsidRPr="00CC41C4" w:rsidRDefault="00971E82" w:rsidP="08163013">
      <w:pPr>
        <w:pStyle w:val="Textpoznpodarou"/>
        <w:rPr>
          <w:noProof/>
          <w:lang w:val="cs-CZ"/>
        </w:rPr>
      </w:pPr>
      <w:r>
        <w:rPr>
          <w:rStyle w:val="Znakapoznpodarou"/>
        </w:rPr>
        <w:footnoteRef/>
      </w:r>
      <w:r>
        <w:t xml:space="preserve"> </w:t>
      </w:r>
      <w:r w:rsidRPr="00273106">
        <w:rPr>
          <w:noProof/>
        </w:rPr>
        <w:t>„Circa secundum sunt duae difficultates: una, supposito quod intelligamus illo intellectu tamquam per formam corporis vel potentiam intellectivam; alia est, supposito quod intellectus sit in nobis solum sicut motor corporis et non sicut forma.“ (</w:t>
      </w:r>
      <w:r w:rsidRPr="00273106">
        <w:rPr>
          <w:i/>
          <w:noProof/>
        </w:rPr>
        <w:t>Quodlibet</w:t>
      </w:r>
      <w:r>
        <w:rPr>
          <w:noProof/>
        </w:rPr>
        <w:t xml:space="preserve"> I, q. 11; OTh 9, </w:t>
      </w:r>
      <w:r w:rsidRPr="00273106">
        <w:rPr>
          <w:noProof/>
        </w:rPr>
        <w:t>66.18‒21</w:t>
      </w:r>
      <w:r>
        <w:rPr>
          <w:noProof/>
        </w:rPr>
        <w:fldChar w:fldCharType="begin"/>
      </w:r>
      <w:r>
        <w:instrText xml:space="preserve"> XE "</w:instrText>
      </w:r>
      <w:r>
        <w:rPr>
          <w:lang w:val="cs-CZ"/>
        </w:rPr>
        <w:instrText>Ockham:</w:instrText>
      </w:r>
      <w:r w:rsidRPr="00B75286">
        <w:rPr>
          <w:i/>
          <w:noProof/>
        </w:rPr>
        <w:instrText xml:space="preserve"> </w:instrText>
      </w:r>
      <w:r w:rsidRPr="00273106">
        <w:rPr>
          <w:i/>
          <w:noProof/>
        </w:rPr>
        <w:instrText>Quodlibet</w:instrText>
      </w:r>
      <w:r>
        <w:rPr>
          <w:noProof/>
        </w:rPr>
        <w:instrText xml:space="preserve"> </w:instrText>
      </w:r>
      <w:r>
        <w:rPr>
          <w:noProof/>
          <w:lang w:val="cs-CZ"/>
        </w:rPr>
        <w:instrText>1.</w:instrText>
      </w:r>
      <w:r w:rsidRPr="00273106">
        <w:rPr>
          <w:noProof/>
        </w:rPr>
        <w:instrText>66.18‒21</w:instrText>
      </w:r>
      <w:r>
        <w:instrText xml:space="preserve"> " </w:instrText>
      </w:r>
      <w:r>
        <w:rPr>
          <w:noProof/>
        </w:rPr>
        <w:fldChar w:fldCharType="end"/>
      </w:r>
      <w:r w:rsidRPr="00273106">
        <w:rPr>
          <w:noProof/>
        </w:rPr>
        <w:t>)</w:t>
      </w:r>
    </w:p>
  </w:footnote>
  <w:footnote w:id="479">
    <w:p w:rsidR="00971E82" w:rsidRPr="00933EB8" w:rsidRDefault="00971E82" w:rsidP="08163013">
      <w:pPr>
        <w:pStyle w:val="Textpoznpodarou"/>
        <w:rPr>
          <w:noProof/>
          <w:lang w:val="cs-CZ"/>
        </w:rPr>
      </w:pPr>
      <w:r>
        <w:rPr>
          <w:rStyle w:val="Znakapoznpodarou"/>
        </w:rPr>
        <w:footnoteRef/>
      </w:r>
      <w:r>
        <w:t xml:space="preserve"> </w:t>
      </w:r>
      <w:r w:rsidRPr="00273106">
        <w:rPr>
          <w:noProof/>
        </w:rPr>
        <w:t>„Si dicis quod talis diversitas potest contingere propter diversam copulationem intellectus cum phantasmatibus, contra: propter diversam copulationem non possunt contraria esse in eodem subiecto primo, quia phantasmata non se habent nisi effective ad illa quae recipiuntur in intellectu: sed praedicta contraria sunt in intellectu subiective, igitur etc.“ (</w:t>
      </w:r>
      <w:r w:rsidRPr="00273106">
        <w:rPr>
          <w:i/>
          <w:noProof/>
        </w:rPr>
        <w:t>Quodlibet</w:t>
      </w:r>
      <w:r w:rsidRPr="00273106">
        <w:rPr>
          <w:noProof/>
        </w:rPr>
        <w:t xml:space="preserve"> I, q. 11; OTh 9,  67.33‒38</w:t>
      </w:r>
      <w:r>
        <w:rPr>
          <w:noProof/>
        </w:rPr>
        <w:fldChar w:fldCharType="begin"/>
      </w:r>
      <w:r>
        <w:instrText xml:space="preserve"> XE "</w:instrText>
      </w:r>
      <w:r>
        <w:rPr>
          <w:lang w:val="cs-CZ"/>
        </w:rPr>
        <w:instrText>Ockham:</w:instrText>
      </w:r>
      <w:r w:rsidRPr="00400156">
        <w:rPr>
          <w:i/>
          <w:noProof/>
        </w:rPr>
        <w:instrText>Quodlibet</w:instrText>
      </w:r>
      <w:r w:rsidRPr="00400156">
        <w:rPr>
          <w:noProof/>
        </w:rPr>
        <w:instrText xml:space="preserve"> </w:instrText>
      </w:r>
      <w:r>
        <w:rPr>
          <w:noProof/>
          <w:lang w:val="cs-CZ"/>
        </w:rPr>
        <w:instrText>1.</w:instrText>
      </w:r>
      <w:r w:rsidRPr="00400156">
        <w:rPr>
          <w:noProof/>
        </w:rPr>
        <w:instrText>67.33‒38</w:instrText>
      </w:r>
      <w:r>
        <w:instrText xml:space="preserve">" </w:instrText>
      </w:r>
      <w:r>
        <w:rPr>
          <w:noProof/>
        </w:rPr>
        <w:fldChar w:fldCharType="end"/>
      </w:r>
      <w:r w:rsidRPr="00273106">
        <w:rPr>
          <w:noProof/>
        </w:rPr>
        <w:t>)</w:t>
      </w:r>
    </w:p>
  </w:footnote>
  <w:footnote w:id="480">
    <w:p w:rsidR="00971E82" w:rsidRPr="00F51CD6" w:rsidRDefault="00971E82" w:rsidP="08163013">
      <w:pPr>
        <w:pStyle w:val="Textpoznpodarou"/>
        <w:rPr>
          <w:lang w:val="cs-CZ"/>
        </w:rPr>
      </w:pPr>
      <w:r>
        <w:rPr>
          <w:rStyle w:val="Znakapoznpodarou"/>
        </w:rPr>
        <w:footnoteRef/>
      </w:r>
      <w:r>
        <w:t xml:space="preserve"> </w:t>
      </w:r>
      <w:r w:rsidRPr="00273106">
        <w:rPr>
          <w:noProof/>
        </w:rPr>
        <w:t>„Et quando dicitur quod intellectus agens facit de intelligibili in potentia intelligibile in actu, dico quod haec propositio non invenitur a Philosopho, nec a Commentatore, sed ista: quod intellectus agens facit de intellecto in potentia intellectum in actu. Et hoc est verum, quia facit intellectionem per quam aliquid est in actu intellectum quod prius fuit in potentia intellectum.“ (</w:t>
      </w:r>
      <w:r w:rsidRPr="00273106">
        <w:rPr>
          <w:i/>
          <w:noProof/>
        </w:rPr>
        <w:t>Reportatio</w:t>
      </w:r>
      <w:r>
        <w:rPr>
          <w:noProof/>
        </w:rPr>
        <w:t xml:space="preserve"> II, q. 12‒13; OTh 5, </w:t>
      </w:r>
      <w:r w:rsidRPr="00273106">
        <w:rPr>
          <w:noProof/>
        </w:rPr>
        <w:t>305.4‒10</w:t>
      </w:r>
      <w:r>
        <w:rPr>
          <w:noProof/>
        </w:rPr>
        <w:fldChar w:fldCharType="begin"/>
      </w:r>
      <w:r>
        <w:instrText xml:space="preserve"> XE "</w:instrText>
      </w:r>
      <w:r>
        <w:rPr>
          <w:lang w:val="cs-CZ"/>
        </w:rPr>
        <w:instrText>Ockham:</w:instrText>
      </w:r>
      <w:r w:rsidRPr="0054325B">
        <w:rPr>
          <w:i/>
          <w:noProof/>
        </w:rPr>
        <w:instrText>Reportatio</w:instrText>
      </w:r>
      <w:r w:rsidRPr="0054325B">
        <w:rPr>
          <w:noProof/>
        </w:rPr>
        <w:instrText xml:space="preserve"> </w:instrText>
      </w:r>
      <w:r>
        <w:rPr>
          <w:noProof/>
          <w:lang w:val="cs-CZ"/>
        </w:rPr>
        <w:instrText>2.</w:instrText>
      </w:r>
      <w:r w:rsidRPr="0054325B">
        <w:rPr>
          <w:noProof/>
        </w:rPr>
        <w:instrText>305.4‒10</w:instrText>
      </w:r>
      <w:r>
        <w:instrText xml:space="preserve">" </w:instrText>
      </w:r>
      <w:r>
        <w:rPr>
          <w:noProof/>
        </w:rPr>
        <w:fldChar w:fldCharType="end"/>
      </w:r>
      <w:r w:rsidRPr="00273106">
        <w:rPr>
          <w:noProof/>
        </w:rPr>
        <w:t>)</w:t>
      </w:r>
    </w:p>
  </w:footnote>
  <w:footnote w:id="481">
    <w:p w:rsidR="00971E82" w:rsidRPr="08EF533C" w:rsidRDefault="00971E82" w:rsidP="08163013">
      <w:pPr>
        <w:pStyle w:val="Textpoznpodarou"/>
      </w:pPr>
      <w:r>
        <w:rPr>
          <w:rStyle w:val="Znakapoznpodarou"/>
        </w:rPr>
        <w:footnoteRef/>
      </w:r>
      <w:r>
        <w:rPr>
          <w:lang w:val="cs-CZ"/>
        </w:rPr>
        <w:t xml:space="preserve"> </w:t>
      </w:r>
      <w:r>
        <w:t>„</w:t>
      </w:r>
      <w:r w:rsidRPr="08EF533C">
        <w:t>Hoc tamen teneo, quod nullum universale, nisi forte sit universale per voluntariam institutionem, est aliquid exsistens quocumque modo extra animam, sed omne illud quod est universale praedicabile de pluribus ex natura sua est in mente vel subiective vel obiective, et quod nullum universale est de essentia seu quidditate cuiuscumque substantiae.</w:t>
      </w:r>
      <w:r>
        <w:t>“ (</w:t>
      </w:r>
      <w:r w:rsidRPr="008C2D4A">
        <w:rPr>
          <w:i/>
        </w:rPr>
        <w:t>Ordinatio I</w:t>
      </w:r>
      <w:r>
        <w:t>, dist. 2, q. 9; OTh 2, 291.18‒292.1</w:t>
      </w:r>
      <w:r>
        <w:fldChar w:fldCharType="begin"/>
      </w:r>
      <w:r>
        <w:instrText xml:space="preserve"> XE "</w:instrText>
      </w:r>
      <w:r>
        <w:rPr>
          <w:lang w:val="cs-CZ"/>
        </w:rPr>
        <w:instrText>Ockham:</w:instrText>
      </w:r>
      <w:r w:rsidRPr="00EB2E70">
        <w:rPr>
          <w:i/>
        </w:rPr>
        <w:instrText>Ordinatio</w:instrText>
      </w:r>
      <w:r w:rsidRPr="00EB2E70">
        <w:instrText xml:space="preserve"> </w:instrText>
      </w:r>
      <w:r>
        <w:rPr>
          <w:lang w:val="cs-CZ"/>
        </w:rPr>
        <w:instrText>1.</w:instrText>
      </w:r>
      <w:r w:rsidRPr="00EB2E70">
        <w:instrText>291.18‒292.1</w:instrText>
      </w:r>
      <w:r>
        <w:instrText xml:space="preserve">" </w:instrText>
      </w:r>
      <w:r>
        <w:fldChar w:fldCharType="end"/>
      </w:r>
      <w:r>
        <w:t>)</w:t>
      </w:r>
    </w:p>
  </w:footnote>
  <w:footnote w:id="482">
    <w:p w:rsidR="00971E82" w:rsidRPr="006F2FF2" w:rsidRDefault="00971E82" w:rsidP="08163013">
      <w:pPr>
        <w:pStyle w:val="Textpoznpodarou"/>
        <w:rPr>
          <w:noProof/>
          <w:lang w:val="cs-CZ"/>
        </w:rPr>
      </w:pPr>
      <w:r>
        <w:rPr>
          <w:rStyle w:val="Znakapoznpodarou"/>
        </w:rPr>
        <w:footnoteRef/>
      </w:r>
      <w:r>
        <w:t xml:space="preserve"> </w:t>
      </w:r>
      <w:r w:rsidRPr="00273106">
        <w:rPr>
          <w:noProof/>
        </w:rPr>
        <w:t>„Potest tamen persuaderi, quia ad omnem motum localem et alterationem sufficiunt dispositiones corporis et illa quae experimur in nobis, sicut manifeste patet, scilicet cognitio et volitio.“ (</w:t>
      </w:r>
      <w:r w:rsidRPr="00273106">
        <w:rPr>
          <w:i/>
          <w:noProof/>
        </w:rPr>
        <w:t>Quodlibet</w:t>
      </w:r>
      <w:r w:rsidRPr="00273106">
        <w:rPr>
          <w:noProof/>
        </w:rPr>
        <w:t xml:space="preserve"> I, q. 11; OTh 9,  68.50‒53</w:t>
      </w:r>
      <w:r>
        <w:rPr>
          <w:noProof/>
        </w:rPr>
        <w:fldChar w:fldCharType="begin"/>
      </w:r>
      <w:r>
        <w:instrText xml:space="preserve"> XE "</w:instrText>
      </w:r>
      <w:r>
        <w:rPr>
          <w:lang w:val="cs-CZ"/>
        </w:rPr>
        <w:instrText>Ockham:</w:instrText>
      </w:r>
      <w:r w:rsidRPr="00857722">
        <w:rPr>
          <w:i/>
          <w:noProof/>
        </w:rPr>
        <w:instrText>Quodlibet</w:instrText>
      </w:r>
      <w:r w:rsidRPr="00857722">
        <w:rPr>
          <w:noProof/>
        </w:rPr>
        <w:instrText xml:space="preserve"> </w:instrText>
      </w:r>
      <w:r>
        <w:rPr>
          <w:noProof/>
          <w:lang w:val="cs-CZ"/>
        </w:rPr>
        <w:instrText>1.</w:instrText>
      </w:r>
      <w:r w:rsidRPr="00857722">
        <w:rPr>
          <w:noProof/>
        </w:rPr>
        <w:instrText>68.50‒53</w:instrText>
      </w:r>
      <w:r>
        <w:instrText xml:space="preserve">" </w:instrText>
      </w:r>
      <w:r>
        <w:rPr>
          <w:noProof/>
        </w:rPr>
        <w:fldChar w:fldCharType="end"/>
      </w:r>
      <w:r w:rsidRPr="00273106">
        <w:rPr>
          <w:noProof/>
        </w:rPr>
        <w:t>)</w:t>
      </w:r>
    </w:p>
  </w:footnote>
  <w:footnote w:id="483">
    <w:p w:rsidR="00971E82" w:rsidRPr="00340460" w:rsidRDefault="00971E82" w:rsidP="08163013">
      <w:pPr>
        <w:pStyle w:val="Textpoznpodarou"/>
        <w:rPr>
          <w:noProof/>
          <w:lang w:val="cs-CZ"/>
        </w:rPr>
      </w:pPr>
      <w:r>
        <w:rPr>
          <w:rStyle w:val="Znakapoznpodarou"/>
        </w:rPr>
        <w:footnoteRef/>
      </w:r>
      <w:r>
        <w:t xml:space="preserve"> </w:t>
      </w:r>
      <w:r>
        <w:rPr>
          <w:noProof/>
        </w:rPr>
        <w:t xml:space="preserve"> „</w:t>
      </w:r>
      <w:r>
        <w:rPr>
          <w:noProof/>
          <w:lang w:val="cs-CZ"/>
        </w:rPr>
        <w:t>(...) h</w:t>
      </w:r>
      <w:r w:rsidRPr="00273106">
        <w:rPr>
          <w:noProof/>
        </w:rPr>
        <w:t>omo in primo instanti in quo est, non haberet intellectum sibi copulatum et unitum quia tunc non habet phantasma quod abstrahitur a rebus.“ (</w:t>
      </w:r>
      <w:r>
        <w:rPr>
          <w:i/>
          <w:noProof/>
        </w:rPr>
        <w:t>Quaestiones</w:t>
      </w:r>
      <w:r w:rsidRPr="00273106">
        <w:rPr>
          <w:i/>
          <w:noProof/>
        </w:rPr>
        <w:t xml:space="preserve"> variae</w:t>
      </w:r>
      <w:r w:rsidRPr="00273106">
        <w:rPr>
          <w:noProof/>
        </w:rPr>
        <w:t>, q. 6, a. 7; OTh 8,  238.30‒33</w:t>
      </w:r>
      <w:r>
        <w:rPr>
          <w:noProof/>
        </w:rPr>
        <w:fldChar w:fldCharType="begin"/>
      </w:r>
      <w:r>
        <w:instrText xml:space="preserve"> XE "</w:instrText>
      </w:r>
      <w:r>
        <w:rPr>
          <w:lang w:val="cs-CZ"/>
        </w:rPr>
        <w:instrText>Ockham:</w:instrText>
      </w:r>
      <w:r>
        <w:rPr>
          <w:i/>
          <w:noProof/>
        </w:rPr>
        <w:instrText>Quaestiones</w:instrText>
      </w:r>
      <w:r w:rsidRPr="00662DAB">
        <w:rPr>
          <w:i/>
          <w:noProof/>
        </w:rPr>
        <w:instrText xml:space="preserve"> variae</w:instrText>
      </w:r>
      <w:r>
        <w:rPr>
          <w:i/>
          <w:noProof/>
          <w:lang w:val="cs-CZ"/>
        </w:rPr>
        <w:instrText xml:space="preserve"> </w:instrText>
      </w:r>
      <w:r w:rsidRPr="00662DAB">
        <w:rPr>
          <w:noProof/>
        </w:rPr>
        <w:instrText>238.30‒33</w:instrText>
      </w:r>
      <w:r>
        <w:instrText xml:space="preserve">" </w:instrText>
      </w:r>
      <w:r>
        <w:rPr>
          <w:noProof/>
        </w:rPr>
        <w:fldChar w:fldCharType="end"/>
      </w:r>
      <w:r w:rsidRPr="00273106">
        <w:rPr>
          <w:noProof/>
        </w:rPr>
        <w:t>)</w:t>
      </w:r>
    </w:p>
  </w:footnote>
  <w:footnote w:id="484">
    <w:p w:rsidR="00971E82" w:rsidRPr="007F47FC" w:rsidRDefault="00971E82" w:rsidP="08163013">
      <w:pPr>
        <w:pStyle w:val="Textpoznpodarou"/>
        <w:rPr>
          <w:noProof/>
          <w:lang w:val="cs-CZ"/>
        </w:rPr>
      </w:pPr>
      <w:r>
        <w:rPr>
          <w:rStyle w:val="Znakapoznpodarou"/>
        </w:rPr>
        <w:footnoteRef/>
      </w:r>
      <w:r>
        <w:t xml:space="preserve"> </w:t>
      </w:r>
      <w:r w:rsidRPr="00273106">
        <w:rPr>
          <w:noProof/>
        </w:rPr>
        <w:t>„Assumptum patet secundum Philosophum, III De anima, ubi dicit quod aliter est intellectus in potentia ante addiscere vel invenire quam post. Quia ante est in potentia essentiali, et post, quando per aliquem actum aliquis habitus derelinquitur, tunc est in potentia accidentali ad actum consimilem. Igitur intellectus per habitum generatum ex actu est in potentia accidentali. Unde nunquam experitur aliquis se esse in potentia accidentali respectu cognitionis nisi post intellectionem.“ (</w:t>
      </w:r>
      <w:r w:rsidRPr="00273106">
        <w:rPr>
          <w:i/>
          <w:noProof/>
        </w:rPr>
        <w:t>Reportatio</w:t>
      </w:r>
      <w:r w:rsidRPr="00273106">
        <w:rPr>
          <w:noProof/>
        </w:rPr>
        <w:t xml:space="preserve"> II, q. 12‒13; </w:t>
      </w:r>
      <w:r>
        <w:rPr>
          <w:noProof/>
        </w:rPr>
        <w:t>OTh 5,</w:t>
      </w:r>
      <w:r>
        <w:rPr>
          <w:noProof/>
          <w:lang w:val="cs-CZ"/>
        </w:rPr>
        <w:t xml:space="preserve"> </w:t>
      </w:r>
      <w:r w:rsidRPr="00273106">
        <w:rPr>
          <w:noProof/>
        </w:rPr>
        <w:t>271.12‒20</w:t>
      </w:r>
      <w:r>
        <w:rPr>
          <w:noProof/>
        </w:rPr>
        <w:fldChar w:fldCharType="begin"/>
      </w:r>
      <w:r>
        <w:instrText xml:space="preserve"> XE "</w:instrText>
      </w:r>
      <w:r>
        <w:rPr>
          <w:lang w:val="cs-CZ"/>
        </w:rPr>
        <w:instrText>Ockham:</w:instrText>
      </w:r>
      <w:r w:rsidRPr="00BE05B3">
        <w:rPr>
          <w:i/>
          <w:noProof/>
        </w:rPr>
        <w:instrText>Reportatio</w:instrText>
      </w:r>
      <w:r w:rsidRPr="00BE05B3">
        <w:rPr>
          <w:noProof/>
        </w:rPr>
        <w:instrText xml:space="preserve"> </w:instrText>
      </w:r>
      <w:r>
        <w:rPr>
          <w:noProof/>
          <w:lang w:val="cs-CZ"/>
        </w:rPr>
        <w:instrText>2.</w:instrText>
      </w:r>
      <w:r w:rsidRPr="00BE05B3">
        <w:rPr>
          <w:noProof/>
        </w:rPr>
        <w:instrText>271.12‒20</w:instrText>
      </w:r>
      <w:r>
        <w:instrText xml:space="preserve">" </w:instrText>
      </w:r>
      <w:r>
        <w:rPr>
          <w:noProof/>
        </w:rPr>
        <w:fldChar w:fldCharType="end"/>
      </w:r>
      <w:r w:rsidRPr="00273106">
        <w:rPr>
          <w:noProof/>
        </w:rPr>
        <w:t>)</w:t>
      </w:r>
    </w:p>
  </w:footnote>
  <w:footnote w:id="485">
    <w:p w:rsidR="00971E82" w:rsidRPr="080C59F6" w:rsidRDefault="00971E82" w:rsidP="08163013">
      <w:pPr>
        <w:pStyle w:val="Textpoznpodarou"/>
      </w:pPr>
      <w:r>
        <w:rPr>
          <w:rStyle w:val="Znakapoznpodarou"/>
        </w:rPr>
        <w:footnoteRef/>
      </w:r>
      <w:r>
        <w:t xml:space="preserve"> „</w:t>
      </w:r>
      <w:r>
        <w:rPr>
          <w:lang w:val="cs-CZ"/>
        </w:rPr>
        <w:t>S</w:t>
      </w:r>
      <w:r w:rsidRPr="08842F7E">
        <w:t>ecund</w:t>
      </w:r>
      <w:r>
        <w:t>um Philosophum III De anima: '</w:t>
      </w:r>
      <w:r w:rsidRPr="08842F7E">
        <w:t>Anima est sicut tabul</w:t>
      </w:r>
      <w:r>
        <w:t>a nuda in qua nihil depingitur.'</w:t>
      </w:r>
      <w:r w:rsidRPr="08842F7E">
        <w:t xml:space="preserve"> Sed si esset habitus principiorum secundum inchoationem, non esset sic, quia a natura sua haberet habitum, licet secundum esse imperfectum.</w:t>
      </w:r>
      <w:r>
        <w:t>“ (</w:t>
      </w:r>
      <w:r w:rsidRPr="08842F7E">
        <w:rPr>
          <w:i/>
        </w:rPr>
        <w:t>Reportatio</w:t>
      </w:r>
      <w:r>
        <w:t xml:space="preserve"> III, q. 12; OTh 6,</w:t>
      </w:r>
      <w:r>
        <w:rPr>
          <w:lang w:val="cs-CZ"/>
        </w:rPr>
        <w:t xml:space="preserve"> </w:t>
      </w:r>
      <w:r>
        <w:t>394.7‒10</w:t>
      </w:r>
      <w:r>
        <w:fldChar w:fldCharType="begin"/>
      </w:r>
      <w:r>
        <w:instrText xml:space="preserve"> XE "</w:instrText>
      </w:r>
      <w:r>
        <w:rPr>
          <w:lang w:val="cs-CZ"/>
        </w:rPr>
        <w:instrText>Ockham:</w:instrText>
      </w:r>
      <w:r w:rsidRPr="001045CB">
        <w:rPr>
          <w:i/>
        </w:rPr>
        <w:instrText>Reportatio</w:instrText>
      </w:r>
      <w:r w:rsidRPr="001045CB">
        <w:instrText xml:space="preserve"> </w:instrText>
      </w:r>
      <w:r>
        <w:rPr>
          <w:lang w:val="cs-CZ"/>
        </w:rPr>
        <w:instrText>3.</w:instrText>
      </w:r>
      <w:r w:rsidRPr="001045CB">
        <w:instrText>394.7‒10</w:instrText>
      </w:r>
      <w:r>
        <w:instrText xml:space="preserve">" </w:instrText>
      </w:r>
      <w:r>
        <w:fldChar w:fldCharType="end"/>
      </w:r>
      <w:r>
        <w:t>)</w:t>
      </w:r>
    </w:p>
  </w:footnote>
  <w:footnote w:id="486">
    <w:p w:rsidR="00971E82" w:rsidRPr="00D62B4E" w:rsidRDefault="00971E82" w:rsidP="08163013">
      <w:pPr>
        <w:pStyle w:val="Textpoznpodarou"/>
        <w:rPr>
          <w:lang w:val="cs-CZ"/>
        </w:rPr>
      </w:pPr>
      <w:r>
        <w:rPr>
          <w:rStyle w:val="Znakapoznpodarou"/>
        </w:rPr>
        <w:footnoteRef/>
      </w:r>
      <w:r>
        <w:t xml:space="preserve"> </w:t>
      </w:r>
      <w:r w:rsidRPr="00273106">
        <w:rPr>
          <w:noProof/>
        </w:rPr>
        <w:t>„Sed illud quod reducit intellectum de potentia essentiali ad accidentalem non</w:t>
      </w:r>
      <w:r>
        <w:rPr>
          <w:noProof/>
        </w:rPr>
        <w:t xml:space="preserve"> potest esse habitus. Tum quia </w:t>
      </w:r>
      <w:r w:rsidRPr="00273106">
        <w:rPr>
          <w:noProof/>
        </w:rPr>
        <w:t>habitus praesupponit actum, et per consequens praesupponit intellectum reductum de potentia essentiali. Tum quia habitus non est nisi respectu complexorum...“ (</w:t>
      </w:r>
      <w:r w:rsidRPr="00273106">
        <w:rPr>
          <w:i/>
          <w:noProof/>
        </w:rPr>
        <w:t>Reportatio</w:t>
      </w:r>
      <w:r>
        <w:rPr>
          <w:noProof/>
        </w:rPr>
        <w:t xml:space="preserve"> II, q. 12‒13; OTh 5, </w:t>
      </w:r>
      <w:r w:rsidRPr="00273106">
        <w:rPr>
          <w:noProof/>
        </w:rPr>
        <w:t>283.4‒8</w:t>
      </w:r>
      <w:r>
        <w:rPr>
          <w:noProof/>
        </w:rPr>
        <w:fldChar w:fldCharType="begin"/>
      </w:r>
      <w:r>
        <w:instrText xml:space="preserve"> XE "</w:instrText>
      </w:r>
      <w:r>
        <w:rPr>
          <w:lang w:val="cs-CZ"/>
        </w:rPr>
        <w:instrText>Ockham:</w:instrText>
      </w:r>
      <w:r w:rsidRPr="007A74AD">
        <w:rPr>
          <w:i/>
          <w:noProof/>
        </w:rPr>
        <w:instrText>Reportatio</w:instrText>
      </w:r>
      <w:r w:rsidRPr="007A74AD">
        <w:rPr>
          <w:noProof/>
        </w:rPr>
        <w:instrText xml:space="preserve"> </w:instrText>
      </w:r>
      <w:r>
        <w:rPr>
          <w:noProof/>
          <w:lang w:val="cs-CZ"/>
        </w:rPr>
        <w:instrText>2.</w:instrText>
      </w:r>
      <w:r w:rsidRPr="007A74AD">
        <w:rPr>
          <w:noProof/>
        </w:rPr>
        <w:instrText>283.4‒8</w:instrText>
      </w:r>
      <w:r>
        <w:instrText xml:space="preserve">" </w:instrText>
      </w:r>
      <w:r>
        <w:rPr>
          <w:noProof/>
        </w:rPr>
        <w:fldChar w:fldCharType="end"/>
      </w:r>
      <w:r w:rsidRPr="00273106">
        <w:rPr>
          <w:noProof/>
        </w:rPr>
        <w:t>)</w:t>
      </w:r>
    </w:p>
  </w:footnote>
  <w:footnote w:id="487">
    <w:p w:rsidR="00971E82" w:rsidRPr="00642A81" w:rsidRDefault="00971E82" w:rsidP="08163013">
      <w:pPr>
        <w:pStyle w:val="Textpoznpodarou"/>
        <w:rPr>
          <w:lang w:val="cs-CZ"/>
        </w:rPr>
      </w:pPr>
      <w:r>
        <w:rPr>
          <w:rStyle w:val="Znakapoznpodarou"/>
        </w:rPr>
        <w:footnoteRef/>
      </w:r>
      <w:r>
        <w:t xml:space="preserve"> </w:t>
      </w:r>
      <w:r w:rsidRPr="00273106">
        <w:rPr>
          <w:noProof/>
        </w:rPr>
        <w:t>„Item, omnia illa quae possunt salvari per speciem, possunt salvari per habitum; igitur habitus requiritur et</w:t>
      </w:r>
      <w:r>
        <w:rPr>
          <w:noProof/>
        </w:rPr>
        <w:t xml:space="preserve"> species superfluit.“ (</w:t>
      </w:r>
      <w:r w:rsidRPr="00273106">
        <w:rPr>
          <w:i/>
          <w:noProof/>
        </w:rPr>
        <w:t>Reportatio</w:t>
      </w:r>
      <w:r>
        <w:rPr>
          <w:noProof/>
        </w:rPr>
        <w:t xml:space="preserve"> II, q. 12‒13; OTh 5,</w:t>
      </w:r>
      <w:r>
        <w:rPr>
          <w:noProof/>
          <w:lang w:val="cs-CZ"/>
        </w:rPr>
        <w:t xml:space="preserve"> </w:t>
      </w:r>
      <w:r w:rsidRPr="00273106">
        <w:rPr>
          <w:noProof/>
        </w:rPr>
        <w:t>272.3‒4</w:t>
      </w:r>
      <w:r>
        <w:rPr>
          <w:noProof/>
        </w:rPr>
        <w:fldChar w:fldCharType="begin"/>
      </w:r>
      <w:r>
        <w:instrText xml:space="preserve"> XE "</w:instrText>
      </w:r>
      <w:r>
        <w:rPr>
          <w:lang w:val="cs-CZ"/>
        </w:rPr>
        <w:instrText>Ockham:</w:instrText>
      </w:r>
      <w:r w:rsidRPr="00E83773">
        <w:rPr>
          <w:i/>
          <w:noProof/>
        </w:rPr>
        <w:instrText>Reportatio</w:instrText>
      </w:r>
      <w:r w:rsidRPr="00E83773">
        <w:rPr>
          <w:noProof/>
        </w:rPr>
        <w:instrText xml:space="preserve"> </w:instrText>
      </w:r>
      <w:r>
        <w:rPr>
          <w:noProof/>
          <w:lang w:val="cs-CZ"/>
        </w:rPr>
        <w:instrText>2.</w:instrText>
      </w:r>
      <w:r w:rsidRPr="00E83773">
        <w:rPr>
          <w:noProof/>
        </w:rPr>
        <w:instrText>272.3‒4</w:instrText>
      </w:r>
      <w:r>
        <w:instrText xml:space="preserve">" </w:instrText>
      </w:r>
      <w:r>
        <w:rPr>
          <w:noProof/>
        </w:rPr>
        <w:fldChar w:fldCharType="end"/>
      </w:r>
      <w:r w:rsidRPr="00273106">
        <w:rPr>
          <w:noProof/>
        </w:rPr>
        <w:t>)</w:t>
      </w:r>
    </w:p>
  </w:footnote>
  <w:footnote w:id="488">
    <w:p w:rsidR="00971E82" w:rsidRPr="000552EA" w:rsidRDefault="00971E82" w:rsidP="08163013">
      <w:pPr>
        <w:pStyle w:val="Textpoznpodarou"/>
        <w:rPr>
          <w:noProof/>
          <w:lang w:val="cs-CZ"/>
        </w:rPr>
      </w:pPr>
      <w:r>
        <w:rPr>
          <w:rStyle w:val="Znakapoznpodarou"/>
        </w:rPr>
        <w:footnoteRef/>
      </w:r>
      <w:r>
        <w:t xml:space="preserve"> </w:t>
      </w:r>
      <w:r w:rsidRPr="00273106">
        <w:rPr>
          <w:noProof/>
        </w:rPr>
        <w:t>„Immo ista sunt nomina primae intentionis quia quando supponunt personaliter, supponunt tantum pro rebus et verificantur de nominibus rerum quando illa nomina supponunt pro suis significatis et non pro se ipsis nec pro aliis a suis significatis. Unde ista non est vera 'homo est singularis' nisi pro re et non pro aliqua intentione secunda.“ (</w:t>
      </w:r>
      <w:r w:rsidRPr="008C2D4A">
        <w:rPr>
          <w:i/>
          <w:noProof/>
        </w:rPr>
        <w:t>Ordinatio I</w:t>
      </w:r>
      <w:r>
        <w:rPr>
          <w:noProof/>
        </w:rPr>
        <w:t xml:space="preserve">, dist. 23, q. unica; OTh 4, </w:t>
      </w:r>
      <w:r w:rsidRPr="00273106">
        <w:rPr>
          <w:noProof/>
        </w:rPr>
        <w:t>67.1‒6</w:t>
      </w:r>
      <w:r>
        <w:rPr>
          <w:noProof/>
        </w:rPr>
        <w:fldChar w:fldCharType="begin"/>
      </w:r>
      <w:r>
        <w:instrText xml:space="preserve"> XE "</w:instrText>
      </w:r>
      <w:r>
        <w:rPr>
          <w:lang w:val="cs-CZ"/>
        </w:rPr>
        <w:instrText>Ockham:</w:instrText>
      </w:r>
      <w:r w:rsidRPr="00125E5A">
        <w:rPr>
          <w:i/>
          <w:noProof/>
        </w:rPr>
        <w:instrText>Ordinatio</w:instrText>
      </w:r>
      <w:r>
        <w:rPr>
          <w:noProof/>
        </w:rPr>
        <w:instrText xml:space="preserve"> </w:instrText>
      </w:r>
      <w:r>
        <w:rPr>
          <w:noProof/>
          <w:lang w:val="cs-CZ"/>
        </w:rPr>
        <w:instrText>1.</w:instrText>
      </w:r>
      <w:r w:rsidRPr="00125E5A">
        <w:rPr>
          <w:noProof/>
        </w:rPr>
        <w:instrText>67.1‒6</w:instrText>
      </w:r>
      <w:r>
        <w:instrText xml:space="preserve">" </w:instrText>
      </w:r>
      <w:r>
        <w:rPr>
          <w:noProof/>
        </w:rPr>
        <w:fldChar w:fldCharType="end"/>
      </w:r>
      <w:r w:rsidRPr="00273106">
        <w:rPr>
          <w:noProof/>
        </w:rPr>
        <w:t>)</w:t>
      </w:r>
    </w:p>
  </w:footnote>
  <w:footnote w:id="489">
    <w:p w:rsidR="00971E82" w:rsidRPr="083E61E2" w:rsidRDefault="00971E82" w:rsidP="08163013">
      <w:pPr>
        <w:pStyle w:val="Textpoznpodarou"/>
      </w:pPr>
      <w:r>
        <w:rPr>
          <w:rStyle w:val="Znakapoznpodarou"/>
        </w:rPr>
        <w:footnoteRef/>
      </w:r>
      <w:r>
        <w:rPr>
          <w:lang w:val="cs-CZ"/>
        </w:rPr>
        <w:t xml:space="preserve"> </w:t>
      </w:r>
      <w:r>
        <w:t>„</w:t>
      </w:r>
      <w:r w:rsidRPr="083E61E2">
        <w:t xml:space="preserve">Nam huiusmodi </w:t>
      </w:r>
      <w:r>
        <w:t>nomina 'homo', 'animal', 'leo'</w:t>
      </w:r>
      <w:r w:rsidRPr="083E61E2">
        <w:t>, et universaliter omnia nomina primae intentionis significant primo et principaliter ipsas res extra, sicut haec vox 'homo' significat</w:t>
      </w:r>
      <w:r>
        <w:t xml:space="preserve"> primo omnes homines, et 'animal</w:t>
      </w:r>
      <w:r w:rsidRPr="083E61E2">
        <w:t>' significat primo omnia animalia, et sic de alis. Et ideo termini quando supponunt pro rebus supponunt significative et personaliter.</w:t>
      </w:r>
      <w:r>
        <w:t>“ (</w:t>
      </w:r>
      <w:r w:rsidRPr="083E61E2">
        <w:rPr>
          <w:i/>
        </w:rPr>
        <w:t>Expositio in librum Peri hermeneias Aristotelis</w:t>
      </w:r>
      <w:r>
        <w:t xml:space="preserve">, § 12; OPh </w:t>
      </w:r>
      <w:r>
        <w:rPr>
          <w:lang w:val="cs-CZ"/>
        </w:rPr>
        <w:t>2</w:t>
      </w:r>
      <w:r>
        <w:t>, 502.18‒23</w:t>
      </w:r>
      <w:r>
        <w:fldChar w:fldCharType="begin"/>
      </w:r>
      <w:r>
        <w:instrText xml:space="preserve"> XE "</w:instrText>
      </w:r>
      <w:r>
        <w:rPr>
          <w:lang w:val="cs-CZ"/>
        </w:rPr>
        <w:instrText>Ockham:</w:instrText>
      </w:r>
      <w:r w:rsidRPr="005C51D0">
        <w:rPr>
          <w:i/>
        </w:rPr>
        <w:instrText>Expositio in librum Peri hermeneias Aristotelis</w:instrText>
      </w:r>
      <w:r>
        <w:rPr>
          <w:i/>
          <w:lang w:val="cs-CZ"/>
        </w:rPr>
        <w:instrText xml:space="preserve"> </w:instrText>
      </w:r>
      <w:r w:rsidRPr="005C51D0">
        <w:instrText>502.18‒23</w:instrText>
      </w:r>
      <w:r>
        <w:instrText xml:space="preserve">" </w:instrText>
      </w:r>
      <w:r>
        <w:fldChar w:fldCharType="end"/>
      </w:r>
      <w:r>
        <w:t>)</w:t>
      </w:r>
    </w:p>
  </w:footnote>
  <w:footnote w:id="490">
    <w:p w:rsidR="00971E82" w:rsidRPr="08FE5784" w:rsidRDefault="00971E82" w:rsidP="08163013">
      <w:pPr>
        <w:pStyle w:val="Textpoznpodarou"/>
      </w:pPr>
      <w:r w:rsidRPr="08752739">
        <w:rPr>
          <w:rStyle w:val="Znakapoznpodarou"/>
        </w:rPr>
        <w:footnoteRef/>
      </w:r>
      <w:r w:rsidRPr="08FE5784">
        <w:t xml:space="preserve"> „Confirmatur, quia si illa natura quae est in Sorte vere est communis, igitur cum destructo Sorte destruatur quodlibet essentiale sibi, sequitur quod aliquod commune vere destruatur </w:t>
      </w:r>
      <w:r w:rsidRPr="08FE5784">
        <w:rPr>
          <w:szCs w:val="23"/>
        </w:rPr>
        <w:t xml:space="preserve">et adnihiletur; </w:t>
      </w:r>
      <w:r w:rsidRPr="08FE5784">
        <w:rPr>
          <w:szCs w:val="25"/>
        </w:rPr>
        <w:t xml:space="preserve">sed </w:t>
      </w:r>
      <w:r w:rsidRPr="08FE5784">
        <w:rPr>
          <w:szCs w:val="21"/>
        </w:rPr>
        <w:t xml:space="preserve">certum </w:t>
      </w:r>
      <w:r w:rsidRPr="08FE5784">
        <w:rPr>
          <w:szCs w:val="23"/>
        </w:rPr>
        <w:t xml:space="preserve">est quod remanet aliquod commune ex quo remanet individuum. Et ex </w:t>
      </w:r>
      <w:r w:rsidRPr="08FE5784">
        <w:rPr>
          <w:szCs w:val="26"/>
        </w:rPr>
        <w:t xml:space="preserve">tali </w:t>
      </w:r>
      <w:r w:rsidRPr="08FE5784">
        <w:rPr>
          <w:szCs w:val="23"/>
        </w:rPr>
        <w:t>contradictione contingit</w:t>
      </w:r>
      <w:r w:rsidRPr="08FE5784">
        <w:rPr>
          <w:szCs w:val="14"/>
        </w:rPr>
        <w:t xml:space="preserve"> </w:t>
      </w:r>
      <w:r w:rsidRPr="08FE5784">
        <w:rPr>
          <w:szCs w:val="23"/>
        </w:rPr>
        <w:t>inferre distinctionem realem, secundum eos.“</w:t>
      </w:r>
      <w:r w:rsidRPr="08FE5784">
        <w:t xml:space="preserve"> (</w:t>
      </w:r>
      <w:r w:rsidRPr="008C2D4A">
        <w:rPr>
          <w:i/>
        </w:rPr>
        <w:t>Ordinatio I</w:t>
      </w:r>
      <w:r w:rsidRPr="08FE5784">
        <w:t>, dist. 2, q. 6; OTh 2, 183.15‒20</w:t>
      </w:r>
      <w:r w:rsidRPr="08FE5784">
        <w:fldChar w:fldCharType="begin"/>
      </w:r>
      <w:r w:rsidRPr="08FE5784">
        <w:instrText xml:space="preserve"> XE "Ockham:Ordinatio 1.</w:instrText>
      </w:r>
      <w:r>
        <w:instrText>183.1</w:instrText>
      </w:r>
      <w:r>
        <w:rPr>
          <w:lang w:val="cs-CZ"/>
        </w:rPr>
        <w:instrText>5</w:instrText>
      </w:r>
      <w:r>
        <w:instrText>‒</w:instrText>
      </w:r>
      <w:r>
        <w:rPr>
          <w:lang w:val="cs-CZ"/>
        </w:rPr>
        <w:instrText>20</w:instrText>
      </w:r>
      <w:r w:rsidRPr="08FE5784">
        <w:instrText xml:space="preserve">" </w:instrText>
      </w:r>
      <w:r w:rsidRPr="08FE5784">
        <w:fldChar w:fldCharType="end"/>
      </w:r>
      <w:r w:rsidRPr="08FE5784">
        <w:t>)</w:t>
      </w:r>
    </w:p>
  </w:footnote>
  <w:footnote w:id="491">
    <w:p w:rsidR="00971E82" w:rsidRPr="006D0FEB" w:rsidRDefault="00971E82" w:rsidP="00953C9B">
      <w:pPr>
        <w:pStyle w:val="Textpoznpodarou"/>
        <w:rPr>
          <w:lang w:val="cs-CZ"/>
        </w:rPr>
      </w:pPr>
      <w:r>
        <w:rPr>
          <w:rStyle w:val="Znakapoznpodarou"/>
        </w:rPr>
        <w:footnoteRef/>
      </w:r>
      <w:r>
        <w:t xml:space="preserve"> </w:t>
      </w:r>
      <w:r w:rsidRPr="00273106">
        <w:rPr>
          <w:noProof/>
        </w:rPr>
        <w:t>„Et si dicatur quod Sortes supponit pro uno composito ex natura et differentia individuali, quod compositum sustentat naturam, hoc non valet, quia sicut inferius ostendetur, nullum est tale compositum.“ (</w:t>
      </w:r>
      <w:r w:rsidRPr="00273106">
        <w:rPr>
          <w:i/>
          <w:noProof/>
        </w:rPr>
        <w:t>Summa logicae</w:t>
      </w:r>
      <w:r>
        <w:rPr>
          <w:noProof/>
        </w:rPr>
        <w:t xml:space="preserve"> I.7; OPh 1,</w:t>
      </w:r>
      <w:r>
        <w:rPr>
          <w:noProof/>
          <w:lang w:val="cs-CZ"/>
        </w:rPr>
        <w:t xml:space="preserve"> </w:t>
      </w:r>
      <w:r w:rsidRPr="00273106">
        <w:rPr>
          <w:noProof/>
        </w:rPr>
        <w:t>26.93‒96</w:t>
      </w:r>
      <w:r>
        <w:rPr>
          <w:noProof/>
        </w:rPr>
        <w:fldChar w:fldCharType="begin"/>
      </w:r>
      <w:r>
        <w:instrText xml:space="preserve"> XE "</w:instrText>
      </w:r>
      <w:r>
        <w:rPr>
          <w:lang w:val="cs-CZ"/>
        </w:rPr>
        <w:instrText>Ockham:</w:instrText>
      </w:r>
      <w:r w:rsidRPr="000245EC">
        <w:rPr>
          <w:i/>
          <w:noProof/>
        </w:rPr>
        <w:instrText>Summa logicae</w:instrText>
      </w:r>
      <w:r w:rsidRPr="000245EC">
        <w:rPr>
          <w:noProof/>
        </w:rPr>
        <w:instrText xml:space="preserve"> </w:instrText>
      </w:r>
      <w:r>
        <w:rPr>
          <w:noProof/>
          <w:lang w:val="cs-CZ"/>
        </w:rPr>
        <w:instrText>1.</w:instrText>
      </w:r>
      <w:r w:rsidRPr="000245EC">
        <w:rPr>
          <w:noProof/>
        </w:rPr>
        <w:instrText>26.93‒96</w:instrText>
      </w:r>
      <w:r>
        <w:instrText xml:space="preserve">" </w:instrText>
      </w:r>
      <w:r>
        <w:rPr>
          <w:noProof/>
        </w:rPr>
        <w:fldChar w:fldCharType="end"/>
      </w:r>
      <w:r w:rsidRPr="00273106">
        <w:rPr>
          <w:noProof/>
        </w:rPr>
        <w:t>)</w:t>
      </w:r>
    </w:p>
  </w:footnote>
  <w:footnote w:id="492">
    <w:p w:rsidR="00971E82" w:rsidRPr="0049260D" w:rsidRDefault="00971E82" w:rsidP="08163013">
      <w:pPr>
        <w:pStyle w:val="Textpoznpodarou"/>
        <w:rPr>
          <w:lang w:val="cs-CZ"/>
        </w:rPr>
      </w:pPr>
      <w:r>
        <w:rPr>
          <w:rStyle w:val="Znakapoznpodarou"/>
        </w:rPr>
        <w:footnoteRef/>
      </w:r>
      <w:r>
        <w:t xml:space="preserve"> </w:t>
      </w:r>
      <w:r w:rsidRPr="00273106">
        <w:rPr>
          <w:noProof/>
        </w:rPr>
        <w:t>„Sed nullam naturam individuam sustentat, quia quaelibet natura individua includit talem differentiam, secundum istos, et ita unum compositum ex natura et differentia individuali sustentaret unum compositum ex natura et differentia individuali, quod est absurdum.“ (</w:t>
      </w:r>
      <w:r w:rsidRPr="00273106">
        <w:rPr>
          <w:i/>
          <w:noProof/>
        </w:rPr>
        <w:t>Summa logicae</w:t>
      </w:r>
      <w:r>
        <w:rPr>
          <w:noProof/>
        </w:rPr>
        <w:t xml:space="preserve"> I.7; OPh 1, </w:t>
      </w:r>
      <w:r w:rsidRPr="00273106">
        <w:rPr>
          <w:noProof/>
        </w:rPr>
        <w:t>26.98‒101</w:t>
      </w:r>
      <w:r>
        <w:rPr>
          <w:noProof/>
        </w:rPr>
        <w:fldChar w:fldCharType="begin"/>
      </w:r>
      <w:r>
        <w:instrText xml:space="preserve"> XE "</w:instrText>
      </w:r>
      <w:r>
        <w:rPr>
          <w:lang w:val="cs-CZ"/>
        </w:rPr>
        <w:instrText>Ockham:</w:instrText>
      </w:r>
      <w:r w:rsidRPr="007703F0">
        <w:rPr>
          <w:i/>
          <w:noProof/>
        </w:rPr>
        <w:instrText>Summa logicae</w:instrText>
      </w:r>
      <w:r w:rsidRPr="007703F0">
        <w:rPr>
          <w:noProof/>
        </w:rPr>
        <w:instrText xml:space="preserve"> </w:instrText>
      </w:r>
      <w:r>
        <w:rPr>
          <w:noProof/>
          <w:lang w:val="cs-CZ"/>
        </w:rPr>
        <w:instrText>1.</w:instrText>
      </w:r>
      <w:r w:rsidRPr="007703F0">
        <w:rPr>
          <w:noProof/>
        </w:rPr>
        <w:instrText>26.98‒101</w:instrText>
      </w:r>
      <w:r>
        <w:instrText xml:space="preserve">" </w:instrText>
      </w:r>
      <w:r>
        <w:rPr>
          <w:noProof/>
        </w:rPr>
        <w:fldChar w:fldCharType="end"/>
      </w:r>
      <w:r w:rsidRPr="00273106">
        <w:rPr>
          <w:noProof/>
        </w:rPr>
        <w:t>)</w:t>
      </w:r>
    </w:p>
  </w:footnote>
  <w:footnote w:id="493">
    <w:p w:rsidR="00971E82" w:rsidRPr="00D119CC" w:rsidRDefault="00971E82" w:rsidP="08163013">
      <w:pPr>
        <w:pStyle w:val="Textpoznpodarou"/>
        <w:rPr>
          <w:lang w:val="cs-CZ"/>
        </w:rPr>
      </w:pPr>
      <w:r>
        <w:rPr>
          <w:rStyle w:val="Znakapoznpodarou"/>
        </w:rPr>
        <w:footnoteRef/>
      </w:r>
      <w:r>
        <w:t xml:space="preserve"> </w:t>
      </w:r>
      <w:r w:rsidRPr="00273106">
        <w:rPr>
          <w:noProof/>
        </w:rPr>
        <w:t>„Sed nullum tale commune movet potentiam sensitivam: tum quia non est in re, ‒ sicut ostensum est prius</w:t>
      </w:r>
      <w:r>
        <w:rPr>
          <w:noProof/>
          <w:lang w:val="cs-CZ"/>
        </w:rPr>
        <w:t> </w:t>
      </w:r>
      <w:r w:rsidRPr="00273106">
        <w:rPr>
          <w:noProof/>
        </w:rPr>
        <w:t>‒, tum quia sensus tantum est particularium et nullo modo universalium.“ (</w:t>
      </w:r>
      <w:r w:rsidRPr="008C2D4A">
        <w:rPr>
          <w:i/>
          <w:noProof/>
        </w:rPr>
        <w:t>Ordinatio I</w:t>
      </w:r>
      <w:r>
        <w:rPr>
          <w:noProof/>
        </w:rPr>
        <w:t xml:space="preserve">, dist. 35, q. 3; OTh 4, </w:t>
      </w:r>
      <w:r w:rsidRPr="00273106">
        <w:rPr>
          <w:noProof/>
        </w:rPr>
        <w:t>452.17‒21</w:t>
      </w:r>
      <w:r>
        <w:rPr>
          <w:noProof/>
        </w:rPr>
        <w:fldChar w:fldCharType="begin"/>
      </w:r>
      <w:r>
        <w:instrText xml:space="preserve"> XE "</w:instrText>
      </w:r>
      <w:r>
        <w:rPr>
          <w:lang w:val="cs-CZ"/>
        </w:rPr>
        <w:instrText>Ockham:</w:instrText>
      </w:r>
      <w:r w:rsidRPr="004E4F99">
        <w:rPr>
          <w:i/>
          <w:noProof/>
        </w:rPr>
        <w:instrText>Ordinatio</w:instrText>
      </w:r>
      <w:r w:rsidRPr="004E4F99">
        <w:rPr>
          <w:noProof/>
        </w:rPr>
        <w:instrText xml:space="preserve"> </w:instrText>
      </w:r>
      <w:r>
        <w:rPr>
          <w:noProof/>
          <w:lang w:val="cs-CZ"/>
        </w:rPr>
        <w:instrText>1.</w:instrText>
      </w:r>
      <w:r w:rsidRPr="004E4F99">
        <w:rPr>
          <w:noProof/>
        </w:rPr>
        <w:instrText>452.17‒21</w:instrText>
      </w:r>
      <w:r>
        <w:instrText xml:space="preserve">" </w:instrText>
      </w:r>
      <w:r>
        <w:rPr>
          <w:noProof/>
        </w:rPr>
        <w:fldChar w:fldCharType="end"/>
      </w:r>
      <w:r w:rsidRPr="00273106">
        <w:rPr>
          <w:noProof/>
        </w:rPr>
        <w:t>)</w:t>
      </w:r>
    </w:p>
  </w:footnote>
  <w:footnote w:id="494">
    <w:p w:rsidR="00971E82" w:rsidRPr="00AF517D" w:rsidRDefault="00971E82" w:rsidP="08163013">
      <w:pPr>
        <w:pStyle w:val="Textpoznpodarou"/>
        <w:rPr>
          <w:noProof/>
          <w:lang w:val="cs-CZ"/>
        </w:rPr>
      </w:pPr>
      <w:r>
        <w:rPr>
          <w:rStyle w:val="Znakapoznpodarou"/>
        </w:rPr>
        <w:footnoteRef/>
      </w:r>
      <w:r>
        <w:t xml:space="preserve"> </w:t>
      </w:r>
      <w:r w:rsidRPr="00273106">
        <w:rPr>
          <w:noProof/>
        </w:rPr>
        <w:t>„Similiter, secundum istos, nihil movet intellectum possibilem ad intellectionem immediate nisi species intelligibilis et intellectus agens. Et tamen ista non sunt praecise obiectum intellectus possibilis immo alia sunt aeque per se obiecta.“ (</w:t>
      </w:r>
      <w:r w:rsidRPr="008C2D4A">
        <w:rPr>
          <w:i/>
          <w:noProof/>
        </w:rPr>
        <w:t>Ordinatio I</w:t>
      </w:r>
      <w:r>
        <w:rPr>
          <w:noProof/>
        </w:rPr>
        <w:t xml:space="preserve">, dist. 35, q. 3; OTh 4, </w:t>
      </w:r>
      <w:r w:rsidRPr="00273106">
        <w:rPr>
          <w:noProof/>
        </w:rPr>
        <w:t>452.9‒13</w:t>
      </w:r>
      <w:r>
        <w:rPr>
          <w:noProof/>
        </w:rPr>
        <w:fldChar w:fldCharType="begin"/>
      </w:r>
      <w:r>
        <w:instrText xml:space="preserve"> XE "</w:instrText>
      </w:r>
      <w:r>
        <w:rPr>
          <w:lang w:val="cs-CZ"/>
        </w:rPr>
        <w:instrText>Ockham:</w:instrText>
      </w:r>
      <w:r w:rsidRPr="006D63F4">
        <w:rPr>
          <w:i/>
          <w:noProof/>
        </w:rPr>
        <w:instrText>Ordinatio</w:instrText>
      </w:r>
      <w:r>
        <w:rPr>
          <w:noProof/>
        </w:rPr>
        <w:instrText xml:space="preserve"> </w:instrText>
      </w:r>
      <w:r>
        <w:rPr>
          <w:noProof/>
          <w:lang w:val="cs-CZ"/>
        </w:rPr>
        <w:instrText>1.</w:instrText>
      </w:r>
      <w:r w:rsidRPr="006D63F4">
        <w:rPr>
          <w:noProof/>
        </w:rPr>
        <w:instrText>452.9‒13</w:instrText>
      </w:r>
      <w:r>
        <w:instrText xml:space="preserve">" </w:instrText>
      </w:r>
      <w:r>
        <w:rPr>
          <w:noProof/>
        </w:rPr>
        <w:fldChar w:fldCharType="end"/>
      </w:r>
      <w:r w:rsidRPr="00273106">
        <w:rPr>
          <w:noProof/>
        </w:rPr>
        <w:t>)</w:t>
      </w:r>
    </w:p>
  </w:footnote>
  <w:footnote w:id="495">
    <w:p w:rsidR="00971E82" w:rsidRPr="00763F3B" w:rsidRDefault="00971E82" w:rsidP="08163013">
      <w:pPr>
        <w:pStyle w:val="Textpoznpodarou"/>
        <w:rPr>
          <w:noProof/>
          <w:lang w:val="cs-CZ"/>
        </w:rPr>
      </w:pPr>
      <w:r>
        <w:rPr>
          <w:rStyle w:val="Znakapoznpodarou"/>
        </w:rPr>
        <w:footnoteRef/>
      </w:r>
      <w:r>
        <w:t xml:space="preserve"> </w:t>
      </w:r>
      <w:r w:rsidRPr="00273106">
        <w:rPr>
          <w:noProof/>
        </w:rPr>
        <w:t>„Sed rei absolutae importatae per passionem non est alia causa realis nisi extrinseca, propter simplicitatem ipsius. Igitur definitio, quae est medium, sumitur a causa extrinseca, et per consequens non est definitio formalis de qua iste loquitur.“ (</w:t>
      </w:r>
      <w:r w:rsidRPr="008C2D4A">
        <w:rPr>
          <w:i/>
          <w:noProof/>
        </w:rPr>
        <w:t>Ordinatio I</w:t>
      </w:r>
      <w:r>
        <w:rPr>
          <w:noProof/>
        </w:rPr>
        <w:t xml:space="preserve">, prologus, q. 5; OTh I, </w:t>
      </w:r>
      <w:r w:rsidRPr="00273106">
        <w:rPr>
          <w:noProof/>
        </w:rPr>
        <w:t>164.2‒6</w:t>
      </w:r>
      <w:r>
        <w:rPr>
          <w:noProof/>
        </w:rPr>
        <w:fldChar w:fldCharType="begin"/>
      </w:r>
      <w:r>
        <w:instrText xml:space="preserve"> XE "</w:instrText>
      </w:r>
      <w:r>
        <w:rPr>
          <w:lang w:val="cs-CZ"/>
        </w:rPr>
        <w:instrText>Ockham:</w:instrText>
      </w:r>
      <w:r w:rsidRPr="0044138F">
        <w:rPr>
          <w:i/>
          <w:noProof/>
        </w:rPr>
        <w:instrText>Ordinatio</w:instrText>
      </w:r>
      <w:r w:rsidRPr="0044138F">
        <w:rPr>
          <w:noProof/>
        </w:rPr>
        <w:instrText xml:space="preserve"> </w:instrText>
      </w:r>
      <w:r>
        <w:rPr>
          <w:noProof/>
          <w:lang w:val="cs-CZ"/>
        </w:rPr>
        <w:instrText>1.</w:instrText>
      </w:r>
      <w:r w:rsidRPr="0044138F">
        <w:rPr>
          <w:noProof/>
        </w:rPr>
        <w:instrText>164.2‒6</w:instrText>
      </w:r>
      <w:r>
        <w:instrText xml:space="preserve">" </w:instrText>
      </w:r>
      <w:r>
        <w:rPr>
          <w:noProof/>
        </w:rPr>
        <w:fldChar w:fldCharType="end"/>
      </w:r>
      <w:r w:rsidRPr="00273106">
        <w:rPr>
          <w:noProof/>
        </w:rPr>
        <w:t>)</w:t>
      </w:r>
    </w:p>
  </w:footnote>
  <w:footnote w:id="496">
    <w:p w:rsidR="00971E82" w:rsidRPr="08630A90" w:rsidRDefault="00971E82" w:rsidP="08163013">
      <w:pPr>
        <w:pStyle w:val="Textpoznpodarou"/>
      </w:pPr>
      <w:r>
        <w:rPr>
          <w:rStyle w:val="Znakapoznpodarou"/>
        </w:rPr>
        <w:footnoteRef/>
      </w:r>
      <w:r>
        <w:rPr>
          <w:lang w:val="cs-CZ"/>
        </w:rPr>
        <w:t xml:space="preserve"> </w:t>
      </w:r>
      <w:r>
        <w:t>„</w:t>
      </w:r>
      <w:r w:rsidRPr="08630A90">
        <w:t>Circa primum dico quod suppositum est ens completum, incommunicabile per identitatem, nulli natum inhaerere, et a nullo sustentatum. Per primum, scilicet per 'ens completum', excluditur omnis pars tam essentialis quam integralis, quia neutra est ens completum.</w:t>
      </w:r>
      <w:r>
        <w:t>“ (</w:t>
      </w:r>
      <w:r w:rsidRPr="08630A90">
        <w:rPr>
          <w:i/>
        </w:rPr>
        <w:t>Quodlibet</w:t>
      </w:r>
      <w:r>
        <w:t xml:space="preserve"> IV, q. 7, a. 1; OTh 9, 328.11‒15</w:t>
      </w:r>
      <w:r>
        <w:fldChar w:fldCharType="begin"/>
      </w:r>
      <w:r>
        <w:instrText xml:space="preserve"> XE "</w:instrText>
      </w:r>
      <w:r>
        <w:rPr>
          <w:lang w:val="cs-CZ"/>
        </w:rPr>
        <w:instrText>Ockham:</w:instrText>
      </w:r>
      <w:r w:rsidRPr="00C3231D">
        <w:rPr>
          <w:i/>
        </w:rPr>
        <w:instrText>Quodlibet</w:instrText>
      </w:r>
      <w:r w:rsidRPr="00C3231D">
        <w:instrText xml:space="preserve"> </w:instrText>
      </w:r>
      <w:r>
        <w:rPr>
          <w:lang w:val="cs-CZ"/>
        </w:rPr>
        <w:instrText>4.32</w:instrText>
      </w:r>
      <w:r w:rsidRPr="00C3231D">
        <w:instrText>8.11‒15</w:instrText>
      </w:r>
      <w:r>
        <w:instrText xml:space="preserve">" </w:instrText>
      </w:r>
      <w:r>
        <w:fldChar w:fldCharType="end"/>
      </w:r>
      <w:r>
        <w:t>)</w:t>
      </w:r>
    </w:p>
  </w:footnote>
  <w:footnote w:id="497">
    <w:p w:rsidR="00971E82" w:rsidRPr="00816D93" w:rsidRDefault="00971E82" w:rsidP="08163013">
      <w:pPr>
        <w:pStyle w:val="Textpoznpodarou"/>
        <w:rPr>
          <w:noProof/>
          <w:lang w:val="cs-CZ"/>
        </w:rPr>
      </w:pPr>
      <w:r>
        <w:rPr>
          <w:rStyle w:val="Znakapoznpodarou"/>
        </w:rPr>
        <w:footnoteRef/>
      </w:r>
      <w:r>
        <w:t xml:space="preserve"> </w:t>
      </w:r>
      <w:r w:rsidRPr="00273106">
        <w:rPr>
          <w:noProof/>
        </w:rPr>
        <w:t>„Item, si species ponatur necessario requiri ad cognitionem intuitivam sicut causa eius efficiens, cum illa species possit conservari in absentia obiecti, posset causare naturaliter cognitionem intuitivam in absentia rei, quod falsum est et contra experientiam.“ (</w:t>
      </w:r>
      <w:r w:rsidRPr="00273106">
        <w:rPr>
          <w:i/>
          <w:noProof/>
        </w:rPr>
        <w:t>Reportatio</w:t>
      </w:r>
      <w:r>
        <w:rPr>
          <w:noProof/>
        </w:rPr>
        <w:t xml:space="preserve"> II, qq. 12-13; OTh 5, </w:t>
      </w:r>
      <w:r w:rsidRPr="00273106">
        <w:rPr>
          <w:noProof/>
        </w:rPr>
        <w:t>269.16‒19</w:t>
      </w:r>
      <w:r>
        <w:rPr>
          <w:noProof/>
        </w:rPr>
        <w:fldChar w:fldCharType="begin"/>
      </w:r>
      <w:r>
        <w:instrText xml:space="preserve"> XE "</w:instrText>
      </w:r>
      <w:r>
        <w:rPr>
          <w:lang w:val="cs-CZ"/>
        </w:rPr>
        <w:instrText>Ockham:</w:instrText>
      </w:r>
      <w:r w:rsidRPr="00521277">
        <w:rPr>
          <w:i/>
          <w:noProof/>
        </w:rPr>
        <w:instrText>Reportatio</w:instrText>
      </w:r>
      <w:r w:rsidRPr="00521277">
        <w:rPr>
          <w:noProof/>
        </w:rPr>
        <w:instrText xml:space="preserve"> </w:instrText>
      </w:r>
      <w:r>
        <w:rPr>
          <w:noProof/>
          <w:lang w:val="cs-CZ"/>
        </w:rPr>
        <w:instrText>2.</w:instrText>
      </w:r>
      <w:r w:rsidRPr="00521277">
        <w:rPr>
          <w:noProof/>
        </w:rPr>
        <w:instrText>269.16‒19</w:instrText>
      </w:r>
      <w:r>
        <w:instrText xml:space="preserve">" </w:instrText>
      </w:r>
      <w:r>
        <w:rPr>
          <w:noProof/>
        </w:rPr>
        <w:fldChar w:fldCharType="end"/>
      </w:r>
      <w:r w:rsidRPr="00273106">
        <w:rPr>
          <w:noProof/>
        </w:rPr>
        <w:t>)</w:t>
      </w:r>
    </w:p>
  </w:footnote>
  <w:footnote w:id="498">
    <w:p w:rsidR="00971E82" w:rsidRPr="08BB361D" w:rsidRDefault="00971E82" w:rsidP="08163013">
      <w:pPr>
        <w:pStyle w:val="Textpoznpodarou"/>
      </w:pPr>
      <w:r>
        <w:rPr>
          <w:rStyle w:val="Znakapoznpodarou"/>
        </w:rPr>
        <w:footnoteRef/>
      </w:r>
      <w:r>
        <w:t xml:space="preserve"> „</w:t>
      </w:r>
      <w:r w:rsidRPr="086F0DA2">
        <w:t>Necesse est ut lux non sit necessaria</w:t>
      </w:r>
      <w:r w:rsidRPr="08BB361D">
        <w:t xml:space="preserve"> nisi in essendo colores moventes diaphanum nisi secundum quod dat diaphano formam quae recipit motum a colore, scilicet illuminationem.</w:t>
      </w:r>
      <w:r>
        <w:t>“ (</w:t>
      </w:r>
      <w:r w:rsidRPr="08637489">
        <w:rPr>
          <w:i/>
        </w:rPr>
        <w:t>Reportatio</w:t>
      </w:r>
      <w:r>
        <w:t xml:space="preserve"> III, q. 2; OTh 6, 69.10‒13</w:t>
      </w:r>
      <w:r>
        <w:fldChar w:fldCharType="begin"/>
      </w:r>
      <w:r>
        <w:instrText xml:space="preserve"> XE "</w:instrText>
      </w:r>
      <w:r>
        <w:rPr>
          <w:lang w:val="cs-CZ"/>
        </w:rPr>
        <w:instrText>Ockham:</w:instrText>
      </w:r>
      <w:r w:rsidRPr="00123A29">
        <w:rPr>
          <w:i/>
        </w:rPr>
        <w:instrText>Reportatio</w:instrText>
      </w:r>
      <w:r w:rsidRPr="00123A29">
        <w:instrText xml:space="preserve"> </w:instrText>
      </w:r>
      <w:r>
        <w:rPr>
          <w:lang w:val="cs-CZ"/>
        </w:rPr>
        <w:instrText>3.</w:instrText>
      </w:r>
      <w:r w:rsidRPr="00123A29">
        <w:instrText>69.10‒13</w:instrText>
      </w:r>
      <w:r>
        <w:instrText xml:space="preserve">" </w:instrText>
      </w:r>
      <w:r>
        <w:fldChar w:fldCharType="end"/>
      </w:r>
      <w:r>
        <w:t>)</w:t>
      </w:r>
    </w:p>
  </w:footnote>
  <w:footnote w:id="499">
    <w:p w:rsidR="00971E82" w:rsidRPr="00714457" w:rsidRDefault="00971E82" w:rsidP="08163013">
      <w:pPr>
        <w:pStyle w:val="Textpoznpodarou"/>
        <w:rPr>
          <w:lang w:val="cs-CZ"/>
        </w:rPr>
      </w:pPr>
      <w:r>
        <w:rPr>
          <w:rStyle w:val="Znakapoznpodarou"/>
        </w:rPr>
        <w:footnoteRef/>
      </w:r>
      <w:r>
        <w:t xml:space="preserve"> </w:t>
      </w:r>
      <w:r w:rsidRPr="00273106">
        <w:rPr>
          <w:noProof/>
        </w:rPr>
        <w:t>„Item, color exsistit in obiecto visibili pure materialiter, in oculo autem exsistit immaterialiter; sed in medio exsistit aliquo modo immaterialiter et spiritualiter. Cum igitur natura procedit per media determinata, et purum materiale non agit in immateriale, igitur obiectum sensibile non immediate agit in sensum sed species in medio, quia potentia visiva cognoscit immaterialiter, et per consequens nihil materiale potest eam immediate immutare.“ (</w:t>
      </w:r>
      <w:r w:rsidRPr="00273106">
        <w:rPr>
          <w:i/>
          <w:noProof/>
        </w:rPr>
        <w:t>Reportatio</w:t>
      </w:r>
      <w:r w:rsidRPr="00273106">
        <w:rPr>
          <w:noProof/>
        </w:rPr>
        <w:t xml:space="preserve"> </w:t>
      </w:r>
      <w:r>
        <w:rPr>
          <w:noProof/>
        </w:rPr>
        <w:t xml:space="preserve">III, q. 2; OTh 6, </w:t>
      </w:r>
      <w:r w:rsidRPr="00273106">
        <w:rPr>
          <w:noProof/>
        </w:rPr>
        <w:t>45.3‒10</w:t>
      </w:r>
      <w:r>
        <w:rPr>
          <w:noProof/>
        </w:rPr>
        <w:fldChar w:fldCharType="begin"/>
      </w:r>
      <w:r>
        <w:instrText xml:space="preserve"> XE "</w:instrText>
      </w:r>
      <w:r>
        <w:rPr>
          <w:lang w:val="cs-CZ"/>
        </w:rPr>
        <w:instrText>Ockham:</w:instrText>
      </w:r>
      <w:r w:rsidRPr="00141A55">
        <w:rPr>
          <w:i/>
          <w:noProof/>
        </w:rPr>
        <w:instrText>Reportatio</w:instrText>
      </w:r>
      <w:r w:rsidRPr="00141A55">
        <w:rPr>
          <w:noProof/>
        </w:rPr>
        <w:instrText xml:space="preserve"> </w:instrText>
      </w:r>
      <w:r>
        <w:rPr>
          <w:noProof/>
          <w:lang w:val="cs-CZ"/>
        </w:rPr>
        <w:instrText>3.</w:instrText>
      </w:r>
      <w:r w:rsidRPr="00141A55">
        <w:rPr>
          <w:noProof/>
        </w:rPr>
        <w:instrText>45.3‒10</w:instrText>
      </w:r>
      <w:r>
        <w:instrText xml:space="preserve">" </w:instrText>
      </w:r>
      <w:r>
        <w:rPr>
          <w:noProof/>
        </w:rPr>
        <w:fldChar w:fldCharType="end"/>
      </w:r>
      <w:r w:rsidRPr="00273106">
        <w:rPr>
          <w:noProof/>
        </w:rPr>
        <w:t>)</w:t>
      </w:r>
    </w:p>
  </w:footnote>
  <w:footnote w:id="500">
    <w:p w:rsidR="00971E82" w:rsidRPr="08AC0253" w:rsidRDefault="00971E82" w:rsidP="08163013">
      <w:pPr>
        <w:pStyle w:val="Textpoznpodarou"/>
      </w:pPr>
      <w:r>
        <w:rPr>
          <w:rStyle w:val="Znakapoznpodarou"/>
        </w:rPr>
        <w:footnoteRef/>
      </w:r>
      <w:r>
        <w:rPr>
          <w:lang w:val="cs-CZ"/>
        </w:rPr>
        <w:t xml:space="preserve"> </w:t>
      </w:r>
      <w:r>
        <w:t>„Item, commento 10  [CMDA III.10</w:t>
      </w:r>
      <w:r>
        <w:rPr>
          <w:lang w:val="cs-CZ"/>
        </w:rPr>
        <w:t xml:space="preserve">; </w:t>
      </w:r>
      <w:r>
        <w:t>423.14‒424.17</w:t>
      </w:r>
      <w:r>
        <w:fldChar w:fldCharType="begin"/>
      </w:r>
      <w:r>
        <w:instrText xml:space="preserve"> XE "</w:instrText>
      </w:r>
      <w:r>
        <w:rPr>
          <w:lang w:val="cs-CZ"/>
        </w:rPr>
        <w:instrText>Averroes:</w:instrText>
      </w:r>
      <w:r w:rsidRPr="00D450EB">
        <w:instrText>CMDA 423.14‒424.17</w:instrText>
      </w:r>
      <w:r>
        <w:instrText xml:space="preserve">" </w:instrText>
      </w:r>
      <w:r>
        <w:fldChar w:fldCharType="end"/>
      </w:r>
      <w:r>
        <w:t xml:space="preserve">], dicit quod </w:t>
      </w:r>
      <w:r w:rsidRPr="08AC0253">
        <w:t>necesse est ut proportio quae est intentioni</w:t>
      </w:r>
      <w:r>
        <w:t>s ad intentionem, scilicet indi</w:t>
      </w:r>
      <w:r w:rsidRPr="08AC0253">
        <w:t>vidualis ad universalem, sit sicut proportio virtutis comprehendentis alteram illarum ad virtutem comprehendentem alteram</w:t>
      </w:r>
      <w:r>
        <w:t>.“ (</w:t>
      </w:r>
      <w:r w:rsidRPr="008C2D4A">
        <w:rPr>
          <w:i/>
        </w:rPr>
        <w:t>Ordinatio I</w:t>
      </w:r>
      <w:r>
        <w:t>, dist. 3, q. 6; OTh 2, 487.4‒7</w:t>
      </w:r>
      <w:r>
        <w:fldChar w:fldCharType="begin"/>
      </w:r>
      <w:r>
        <w:instrText xml:space="preserve"> XE "</w:instrText>
      </w:r>
      <w:r>
        <w:rPr>
          <w:lang w:val="cs-CZ"/>
        </w:rPr>
        <w:instrText>Ockham:</w:instrText>
      </w:r>
      <w:r w:rsidRPr="00BD06B7">
        <w:rPr>
          <w:i/>
        </w:rPr>
        <w:instrText>Ordinatio</w:instrText>
      </w:r>
      <w:r w:rsidRPr="00BD06B7">
        <w:instrText xml:space="preserve"> </w:instrText>
      </w:r>
      <w:r>
        <w:rPr>
          <w:lang w:val="cs-CZ"/>
        </w:rPr>
        <w:instrText>1.</w:instrText>
      </w:r>
      <w:r w:rsidRPr="00BD06B7">
        <w:instrText>487.4‒7</w:instrText>
      </w:r>
      <w:r>
        <w:instrText xml:space="preserve">" </w:instrText>
      </w:r>
      <w:r>
        <w:fldChar w:fldCharType="end"/>
      </w:r>
      <w:r>
        <w:t>)</w:t>
      </w:r>
    </w:p>
  </w:footnote>
  <w:footnote w:id="501">
    <w:p w:rsidR="00971E82" w:rsidRPr="00137EA0" w:rsidRDefault="00971E82" w:rsidP="08163013">
      <w:pPr>
        <w:pStyle w:val="Textpoznpodarou"/>
        <w:rPr>
          <w:noProof/>
          <w:lang w:val="cs-CZ"/>
        </w:rPr>
      </w:pPr>
      <w:r>
        <w:rPr>
          <w:rStyle w:val="Znakapoznpodarou"/>
        </w:rPr>
        <w:footnoteRef/>
      </w:r>
      <w:r>
        <w:t xml:space="preserve"> </w:t>
      </w:r>
      <w:r w:rsidRPr="00273106">
        <w:rPr>
          <w:noProof/>
        </w:rPr>
        <w:t>„Color non exsistit in potentia [visiva] immaterialiter, quia si ibi reciperetur ita reciperetur in materia et extenderetur sicut in obiecto. Et eodem modo est de colore in medio, quia ibi exsistit pure materialiter sicut in obiecto et non intentionaliter nec spiritualiter. Tamen potest dici quod in potentia [visiva] exsistit immaterialiter, vel quia forma recepta in potentia est alterius rationis a forma exsistente in obiecto.“ (</w:t>
      </w:r>
      <w:r w:rsidRPr="00273106">
        <w:rPr>
          <w:i/>
          <w:noProof/>
        </w:rPr>
        <w:t>Reportatio</w:t>
      </w:r>
      <w:r w:rsidRPr="00273106">
        <w:rPr>
          <w:noProof/>
        </w:rPr>
        <w:t xml:space="preserve"> III, q. 2; OTh 6, 66.14‒67.2</w:t>
      </w:r>
      <w:r>
        <w:rPr>
          <w:noProof/>
        </w:rPr>
        <w:fldChar w:fldCharType="begin"/>
      </w:r>
      <w:r>
        <w:instrText xml:space="preserve"> XE "</w:instrText>
      </w:r>
      <w:r>
        <w:rPr>
          <w:lang w:val="cs-CZ"/>
        </w:rPr>
        <w:instrText>Ockham:</w:instrText>
      </w:r>
      <w:r w:rsidRPr="00202CB4">
        <w:rPr>
          <w:i/>
          <w:noProof/>
        </w:rPr>
        <w:instrText>Reportatio</w:instrText>
      </w:r>
      <w:r w:rsidRPr="00202CB4">
        <w:rPr>
          <w:noProof/>
        </w:rPr>
        <w:instrText xml:space="preserve"> </w:instrText>
      </w:r>
      <w:r>
        <w:rPr>
          <w:noProof/>
          <w:lang w:val="cs-CZ"/>
        </w:rPr>
        <w:instrText>3.</w:instrText>
      </w:r>
      <w:r w:rsidRPr="00202CB4">
        <w:rPr>
          <w:noProof/>
        </w:rPr>
        <w:instrText>66.14‒67.2</w:instrText>
      </w:r>
      <w:r>
        <w:instrText xml:space="preserve">" </w:instrText>
      </w:r>
      <w:r>
        <w:rPr>
          <w:noProof/>
        </w:rPr>
        <w:fldChar w:fldCharType="end"/>
      </w:r>
      <w:r w:rsidRPr="00273106">
        <w:rPr>
          <w:noProof/>
        </w:rPr>
        <w:t>)</w:t>
      </w:r>
    </w:p>
  </w:footnote>
  <w:footnote w:id="502">
    <w:p w:rsidR="00971E82" w:rsidRPr="005C422F" w:rsidRDefault="00971E82" w:rsidP="08163013">
      <w:pPr>
        <w:pStyle w:val="Textpoznpodarou"/>
        <w:rPr>
          <w:noProof/>
          <w:lang w:val="cs-CZ"/>
        </w:rPr>
      </w:pPr>
      <w:r>
        <w:rPr>
          <w:rStyle w:val="Znakapoznpodarou"/>
        </w:rPr>
        <w:footnoteRef/>
      </w:r>
      <w:r>
        <w:t xml:space="preserve"> </w:t>
      </w:r>
      <w:r w:rsidRPr="00273106">
        <w:rPr>
          <w:noProof/>
        </w:rPr>
        <w:t>„Et si Deus suspenderet actionem solis respectu illius luminis, tunc non posset sol causare calorem, quia non potest illud causare nisi mediante lumine.“ (</w:t>
      </w:r>
      <w:r w:rsidRPr="00273106">
        <w:rPr>
          <w:i/>
          <w:noProof/>
        </w:rPr>
        <w:t>Reportatio</w:t>
      </w:r>
      <w:r w:rsidRPr="00273106">
        <w:rPr>
          <w:noProof/>
        </w:rPr>
        <w:t xml:space="preserve"> III, q. 2; OTh 6, 55.12‒15</w:t>
      </w:r>
      <w:r>
        <w:rPr>
          <w:noProof/>
        </w:rPr>
        <w:fldChar w:fldCharType="begin"/>
      </w:r>
      <w:r>
        <w:instrText xml:space="preserve"> XE "</w:instrText>
      </w:r>
      <w:r>
        <w:rPr>
          <w:lang w:val="cs-CZ"/>
        </w:rPr>
        <w:instrText>Ockham:</w:instrText>
      </w:r>
      <w:r w:rsidRPr="00346170">
        <w:rPr>
          <w:i/>
          <w:noProof/>
        </w:rPr>
        <w:instrText>Reportatio</w:instrText>
      </w:r>
      <w:r w:rsidRPr="00346170">
        <w:rPr>
          <w:noProof/>
        </w:rPr>
        <w:instrText xml:space="preserve"> </w:instrText>
      </w:r>
      <w:r>
        <w:rPr>
          <w:noProof/>
          <w:lang w:val="cs-CZ"/>
        </w:rPr>
        <w:instrText>3.</w:instrText>
      </w:r>
      <w:r w:rsidRPr="00346170">
        <w:rPr>
          <w:noProof/>
        </w:rPr>
        <w:instrText>55.12‒15</w:instrText>
      </w:r>
      <w:r>
        <w:instrText xml:space="preserve">" </w:instrText>
      </w:r>
      <w:r>
        <w:rPr>
          <w:noProof/>
        </w:rPr>
        <w:fldChar w:fldCharType="end"/>
      </w:r>
      <w:r w:rsidRPr="00273106">
        <w:rPr>
          <w:noProof/>
        </w:rPr>
        <w:t>)</w:t>
      </w:r>
    </w:p>
  </w:footnote>
  <w:footnote w:id="503">
    <w:p w:rsidR="00971E82" w:rsidRPr="08090F6F" w:rsidRDefault="00971E82" w:rsidP="08163013">
      <w:pPr>
        <w:pStyle w:val="Textpoznpodarou"/>
      </w:pPr>
      <w:r>
        <w:rPr>
          <w:rStyle w:val="Znakapoznpodarou"/>
        </w:rPr>
        <w:footnoteRef/>
      </w:r>
      <w:r>
        <w:t xml:space="preserve"> „</w:t>
      </w:r>
      <w:r w:rsidRPr="08090F6F">
        <w:t>Unde absolute loquendo non requiritur necessario ad cognitionem intuitivam alia praesentia nisi quod possit actum intuitivum terminare. Et cum hoc stat quod obiectum sit nihil, vel quod sit</w:t>
      </w:r>
      <w:r>
        <w:t xml:space="preserve"> distans per maximam distantiam.“ (</w:t>
      </w:r>
      <w:r w:rsidRPr="08726297">
        <w:rPr>
          <w:i/>
        </w:rPr>
        <w:t>Reportatio</w:t>
      </w:r>
      <w:r>
        <w:t xml:space="preserve"> II, qq.</w:t>
      </w:r>
      <w:r>
        <w:rPr>
          <w:lang w:val="cs-CZ"/>
        </w:rPr>
        <w:t xml:space="preserve"> </w:t>
      </w:r>
      <w:r>
        <w:t>12‒13; OTh 5,</w:t>
      </w:r>
      <w:r>
        <w:rPr>
          <w:lang w:val="cs-CZ"/>
        </w:rPr>
        <w:t xml:space="preserve"> </w:t>
      </w:r>
      <w:r>
        <w:t>259.</w:t>
      </w:r>
      <w:r>
        <w:rPr>
          <w:lang w:val="cs-CZ"/>
        </w:rPr>
        <w:t>10</w:t>
      </w:r>
      <w:r>
        <w:t>‒1</w:t>
      </w:r>
      <w:r>
        <w:rPr>
          <w:lang w:val="cs-CZ"/>
        </w:rPr>
        <w:t>3</w:t>
      </w:r>
      <w:r>
        <w:fldChar w:fldCharType="begin"/>
      </w:r>
      <w:r>
        <w:instrText xml:space="preserve"> XE "</w:instrText>
      </w:r>
      <w:r>
        <w:rPr>
          <w:lang w:val="cs-CZ"/>
        </w:rPr>
        <w:instrText>Ockham:</w:instrText>
      </w:r>
      <w:r w:rsidRPr="00452242">
        <w:rPr>
          <w:i/>
        </w:rPr>
        <w:instrText>Reportatio</w:instrText>
      </w:r>
      <w:r w:rsidRPr="00452242">
        <w:instrText xml:space="preserve"> </w:instrText>
      </w:r>
      <w:r>
        <w:rPr>
          <w:lang w:val="cs-CZ"/>
        </w:rPr>
        <w:instrText>2.</w:instrText>
      </w:r>
      <w:r>
        <w:instrText>259.</w:instrText>
      </w:r>
      <w:r>
        <w:rPr>
          <w:lang w:val="cs-CZ"/>
        </w:rPr>
        <w:instrText>10</w:instrText>
      </w:r>
      <w:r>
        <w:instrText>‒1</w:instrText>
      </w:r>
      <w:r>
        <w:rPr>
          <w:lang w:val="cs-CZ"/>
        </w:rPr>
        <w:instrText>3</w:instrText>
      </w:r>
      <w:r>
        <w:instrText xml:space="preserve">" </w:instrText>
      </w:r>
      <w:r>
        <w:fldChar w:fldCharType="end"/>
      </w:r>
      <w:r>
        <w:t>)</w:t>
      </w:r>
    </w:p>
  </w:footnote>
  <w:footnote w:id="504">
    <w:p w:rsidR="00971E82" w:rsidRPr="009A3975" w:rsidRDefault="00971E82" w:rsidP="08163013">
      <w:pPr>
        <w:pStyle w:val="Textpoznpodarou"/>
        <w:rPr>
          <w:noProof/>
          <w:lang w:val="cs-CZ"/>
        </w:rPr>
      </w:pPr>
      <w:r>
        <w:rPr>
          <w:rStyle w:val="Znakapoznpodarou"/>
        </w:rPr>
        <w:footnoteRef/>
      </w:r>
      <w:r>
        <w:t xml:space="preserve"> </w:t>
      </w:r>
      <w:r w:rsidRPr="00273106">
        <w:rPr>
          <w:noProof/>
        </w:rPr>
        <w:t>„Eodem modo per cognitionem intuitivam possum iudicare rem non esse quando non est. Sed ista cognitio non potest esse naturalis, quia talis cognitio nunquam est, nec conservatur naturaliter, nisi obiecto praesente et exsistente. Ideo ista cognitio intuitiva naturalis corrumpitur per absentiam obiecti.“ (</w:t>
      </w:r>
      <w:r w:rsidRPr="00273106">
        <w:rPr>
          <w:i/>
          <w:noProof/>
        </w:rPr>
        <w:t>Reportatio</w:t>
      </w:r>
      <w:r w:rsidRPr="00273106">
        <w:rPr>
          <w:noProof/>
        </w:rPr>
        <w:t xml:space="preserve"> </w:t>
      </w:r>
      <w:r>
        <w:rPr>
          <w:noProof/>
        </w:rPr>
        <w:t>II, qq. 12‒13; OTh 5, 259.1</w:t>
      </w:r>
      <w:r>
        <w:rPr>
          <w:noProof/>
          <w:lang w:val="cs-CZ"/>
        </w:rPr>
        <w:t>9</w:t>
      </w:r>
      <w:r>
        <w:rPr>
          <w:noProof/>
        </w:rPr>
        <w:t>‒</w:t>
      </w:r>
      <w:r>
        <w:rPr>
          <w:noProof/>
          <w:lang w:val="cs-CZ"/>
        </w:rPr>
        <w:t>23</w:t>
      </w:r>
      <w:r>
        <w:rPr>
          <w:noProof/>
        </w:rPr>
        <w:fldChar w:fldCharType="begin"/>
      </w:r>
      <w:r>
        <w:instrText xml:space="preserve"> XE "</w:instrText>
      </w:r>
      <w:r>
        <w:rPr>
          <w:lang w:val="cs-CZ"/>
        </w:rPr>
        <w:instrText>Ockham:</w:instrText>
      </w:r>
      <w:r w:rsidRPr="000B54B4">
        <w:rPr>
          <w:i/>
          <w:noProof/>
        </w:rPr>
        <w:instrText>Reportatio</w:instrText>
      </w:r>
      <w:r w:rsidRPr="000B54B4">
        <w:rPr>
          <w:noProof/>
        </w:rPr>
        <w:instrText xml:space="preserve"> </w:instrText>
      </w:r>
      <w:r>
        <w:rPr>
          <w:noProof/>
          <w:lang w:val="cs-CZ"/>
        </w:rPr>
        <w:instrText>2.</w:instrText>
      </w:r>
      <w:r>
        <w:rPr>
          <w:noProof/>
        </w:rPr>
        <w:instrText>259.1</w:instrText>
      </w:r>
      <w:r>
        <w:rPr>
          <w:noProof/>
          <w:lang w:val="cs-CZ"/>
        </w:rPr>
        <w:instrText>9</w:instrText>
      </w:r>
      <w:r>
        <w:rPr>
          <w:noProof/>
        </w:rPr>
        <w:instrText>‒</w:instrText>
      </w:r>
      <w:r>
        <w:rPr>
          <w:noProof/>
          <w:lang w:val="cs-CZ"/>
        </w:rPr>
        <w:instrText>23</w:instrText>
      </w:r>
      <w:r>
        <w:instrText xml:space="preserve">" </w:instrText>
      </w:r>
      <w:r>
        <w:rPr>
          <w:noProof/>
        </w:rPr>
        <w:fldChar w:fldCharType="end"/>
      </w:r>
      <w:r w:rsidRPr="00273106">
        <w:rPr>
          <w:noProof/>
        </w:rPr>
        <w:t>)</w:t>
      </w:r>
    </w:p>
  </w:footnote>
  <w:footnote w:id="505">
    <w:p w:rsidR="00971E82" w:rsidRPr="009F58DF" w:rsidRDefault="00971E82" w:rsidP="08163013">
      <w:pPr>
        <w:pStyle w:val="Textpoznpodarou"/>
        <w:rPr>
          <w:noProof/>
          <w:lang w:val="cs-CZ"/>
        </w:rPr>
      </w:pPr>
      <w:r>
        <w:rPr>
          <w:rStyle w:val="Znakapoznpodarou"/>
        </w:rPr>
        <w:footnoteRef/>
      </w:r>
      <w:r>
        <w:t xml:space="preserve"> </w:t>
      </w:r>
      <w:r w:rsidRPr="00273106">
        <w:rPr>
          <w:noProof/>
        </w:rPr>
        <w:t>„Haec propositio fuit vera ab aeterno 'Deus praedestinavit Petrum', igitur non potest esse falsa; igitur est necessaria. Nego consequentiam, quia multae propositiones fuerunt verae ab aeterno quae modo sunt falsae, sicut ista fuit vera ab aeterno 'mundus non est', et tamen modo est falsa. Ita dico: licet ista fuerit vera ab aeterno 'Deus praedestinavit Petrum', tamen potest esse falsa et potest numquam fuisse vera.“ (</w:t>
      </w:r>
      <w:r w:rsidRPr="00273106">
        <w:rPr>
          <w:i/>
          <w:noProof/>
        </w:rPr>
        <w:t>Tractatus de praedestinatione et de praescientia divina</w:t>
      </w:r>
      <w:r>
        <w:rPr>
          <w:noProof/>
        </w:rPr>
        <w:t xml:space="preserve">, q. 1, ad 4; OPh </w:t>
      </w:r>
      <w:r>
        <w:rPr>
          <w:noProof/>
          <w:lang w:val="cs-CZ"/>
        </w:rPr>
        <w:t>2</w:t>
      </w:r>
      <w:r w:rsidRPr="00273106">
        <w:rPr>
          <w:noProof/>
        </w:rPr>
        <w:t>,</w:t>
      </w:r>
      <w:r>
        <w:rPr>
          <w:noProof/>
        </w:rPr>
        <w:t xml:space="preserve"> </w:t>
      </w:r>
      <w:r w:rsidRPr="00273106">
        <w:rPr>
          <w:noProof/>
        </w:rPr>
        <w:t>510.96‒102</w:t>
      </w:r>
      <w:r>
        <w:rPr>
          <w:noProof/>
        </w:rPr>
        <w:fldChar w:fldCharType="begin"/>
      </w:r>
      <w:r>
        <w:instrText xml:space="preserve"> XE "</w:instrText>
      </w:r>
      <w:r>
        <w:rPr>
          <w:lang w:val="cs-CZ"/>
        </w:rPr>
        <w:instrText>Ockham:</w:instrText>
      </w:r>
      <w:r w:rsidRPr="00C74038">
        <w:rPr>
          <w:i/>
          <w:noProof/>
        </w:rPr>
        <w:instrText>Tractatus de praedestinatione et de praescientia divina</w:instrText>
      </w:r>
      <w:r w:rsidRPr="00C74038">
        <w:rPr>
          <w:noProof/>
        </w:rPr>
        <w:instrText xml:space="preserve"> 510.96‒102</w:instrText>
      </w:r>
      <w:r>
        <w:instrText xml:space="preserve">" </w:instrText>
      </w:r>
      <w:r>
        <w:rPr>
          <w:noProof/>
        </w:rPr>
        <w:fldChar w:fldCharType="end"/>
      </w:r>
      <w:r w:rsidRPr="00273106">
        <w:rPr>
          <w:noProof/>
        </w:rPr>
        <w:t>)</w:t>
      </w:r>
    </w:p>
  </w:footnote>
  <w:footnote w:id="506">
    <w:p w:rsidR="00971E82" w:rsidRPr="003F04F6" w:rsidRDefault="00971E82" w:rsidP="00F56896">
      <w:pPr>
        <w:pStyle w:val="Textpoznpodarou"/>
        <w:rPr>
          <w:lang w:val="cs-CZ"/>
        </w:rPr>
      </w:pPr>
      <w:r w:rsidRPr="00095AC4">
        <w:rPr>
          <w:rStyle w:val="Znakapoznpodarou"/>
        </w:rPr>
        <w:footnoteRef/>
      </w:r>
      <w:r>
        <w:t xml:space="preserve"> </w:t>
      </w:r>
      <w:r w:rsidRPr="00095AC4">
        <w:t xml:space="preserve">„Et haec quidem quae iam diximus, locum aliquem haberent etiamsi daremus, quod sine summo scelere dari nequit, non esse Deum, aut non curari ab eo negotia humana.“ </w:t>
      </w:r>
      <w:r>
        <w:t>(</w:t>
      </w:r>
      <w:r w:rsidRPr="00095AC4">
        <w:rPr>
          <w:i/>
        </w:rPr>
        <w:t>De jure belli ac pacis</w:t>
      </w:r>
      <w:r>
        <w:t xml:space="preserve">, </w:t>
      </w:r>
      <w:r w:rsidRPr="00AB4FD8">
        <w:rPr>
          <w:i/>
        </w:rPr>
        <w:t xml:space="preserve">Prolegomena </w:t>
      </w:r>
      <w:r>
        <w:t>11</w:t>
      </w:r>
      <w:r>
        <w:rPr>
          <w:lang w:val="cs-CZ"/>
        </w:rPr>
        <w:t>;</w:t>
      </w:r>
      <w:r>
        <w:t xml:space="preserve"> ed. Molhyusen</w:t>
      </w:r>
      <w:r>
        <w:rPr>
          <w:lang w:val="cs-CZ"/>
        </w:rPr>
        <w:t xml:space="preserve">, p. </w:t>
      </w:r>
      <w:r>
        <w:t>7</w:t>
      </w:r>
      <w:r>
        <w:fldChar w:fldCharType="begin"/>
      </w:r>
      <w:r>
        <w:instrText xml:space="preserve"> XE "</w:instrText>
      </w:r>
      <w:r>
        <w:rPr>
          <w:lang w:val="cs-CZ"/>
        </w:rPr>
        <w:instrText>Grotius:</w:instrText>
      </w:r>
      <w:r w:rsidRPr="0098050E">
        <w:rPr>
          <w:i/>
        </w:rPr>
        <w:instrText>De jure belli ac pacis</w:instrText>
      </w:r>
      <w:r w:rsidRPr="0098050E">
        <w:instrText xml:space="preserve">, </w:instrText>
      </w:r>
      <w:r w:rsidRPr="0098050E">
        <w:rPr>
          <w:i/>
        </w:rPr>
        <w:instrText xml:space="preserve">Prolegomena </w:instrText>
      </w:r>
      <w:r w:rsidRPr="0098050E">
        <w:instrText>7</w:instrText>
      </w:r>
      <w:r>
        <w:instrText xml:space="preserve">" </w:instrText>
      </w:r>
      <w:r>
        <w:fldChar w:fldCharType="end"/>
      </w:r>
      <w:r>
        <w:t>)</w:t>
      </w:r>
    </w:p>
  </w:footnote>
  <w:footnote w:id="507">
    <w:p w:rsidR="00971E82" w:rsidRPr="0000383E" w:rsidRDefault="00971E82" w:rsidP="00F56896">
      <w:pPr>
        <w:pStyle w:val="Textpoznpodarou"/>
        <w:rPr>
          <w:lang w:val="cs-CZ"/>
        </w:rPr>
      </w:pPr>
      <w:r>
        <w:rPr>
          <w:rStyle w:val="Znakapoznpodarou"/>
        </w:rPr>
        <w:footnoteRef/>
      </w:r>
      <w:r>
        <w:t xml:space="preserve"> </w:t>
      </w:r>
      <w:r>
        <w:rPr>
          <w:lang w:val="cs-CZ"/>
        </w:rPr>
        <w:t>„</w:t>
      </w:r>
      <w:r w:rsidRPr="0000383E">
        <w:rPr>
          <w:lang w:val="cs-CZ"/>
        </w:rPr>
        <w:t xml:space="preserve">Und wir können nicht redlich sein, ohne zu erkennen, daß </w:t>
      </w:r>
      <w:r>
        <w:rPr>
          <w:lang w:val="cs-CZ"/>
        </w:rPr>
        <w:t>wir in der Welt leben müssen - 'etsi deus non daretur'</w:t>
      </w:r>
      <w:r w:rsidRPr="0000383E">
        <w:rPr>
          <w:lang w:val="cs-CZ"/>
        </w:rPr>
        <w:t>. Und eben dies erkennen wir - vor Gott! Gott selbst zwingt uns zu dieser Erkenntnis. So führt uns unser Mündigwerden zu einer wahrhaftigeren Erkenntnis unserer Lage vor Gott. Gott gibt uns zu wissen, daß wir leben müssen als solche, die mit dem Leben ohne Gott fertig werden. Der Gott, der mit uns ist, ist der Gott, der u</w:t>
      </w:r>
      <w:r>
        <w:rPr>
          <w:lang w:val="cs-CZ"/>
        </w:rPr>
        <w:t>ns verläßt (Markus 15:34</w:t>
      </w:r>
      <w:r w:rsidRPr="0000383E">
        <w:rPr>
          <w:lang w:val="cs-CZ"/>
        </w:rPr>
        <w:t>)! Der Gott, der uns in der Welt leben läßt ohne die Arbeitshypothese Gott, ist der Gott, vor dem wir dauernd stehen. Vor und mit Gott leben wir ohne Gott.</w:t>
      </w:r>
      <w:r>
        <w:rPr>
          <w:lang w:val="cs-CZ"/>
        </w:rPr>
        <w:t>“</w:t>
      </w:r>
      <w:r w:rsidRPr="0000383E">
        <w:rPr>
          <w:lang w:val="cs-CZ"/>
        </w:rPr>
        <w:t xml:space="preserve"> </w:t>
      </w:r>
      <w:r>
        <w:rPr>
          <w:lang w:val="cs-CZ"/>
        </w:rPr>
        <w:t>(</w:t>
      </w:r>
      <w:r w:rsidRPr="0043489F">
        <w:rPr>
          <w:lang w:val="cs-CZ"/>
        </w:rPr>
        <w:t xml:space="preserve">Dietrich Bonhoeffer, Brief vom </w:t>
      </w:r>
      <w:proofErr w:type="gramStart"/>
      <w:r w:rsidRPr="0043489F">
        <w:rPr>
          <w:lang w:val="cs-CZ"/>
        </w:rPr>
        <w:t>16.07.</w:t>
      </w:r>
      <w:r>
        <w:rPr>
          <w:lang w:val="cs-CZ"/>
        </w:rPr>
        <w:t>19</w:t>
      </w:r>
      <w:r w:rsidRPr="0043489F">
        <w:rPr>
          <w:lang w:val="cs-CZ"/>
        </w:rPr>
        <w:t>44</w:t>
      </w:r>
      <w:proofErr w:type="gramEnd"/>
      <w:r>
        <w:rPr>
          <w:lang w:val="cs-CZ"/>
        </w:rPr>
        <w:t xml:space="preserve">; </w:t>
      </w:r>
      <w:r w:rsidRPr="0043489F">
        <w:rPr>
          <w:i/>
          <w:color w:val="000000"/>
          <w:lang w:val="de-DE"/>
        </w:rPr>
        <w:t>Widerstand und Ergebung</w:t>
      </w:r>
      <w:r>
        <w:rPr>
          <w:lang w:val="cs-CZ"/>
        </w:rPr>
        <w:t xml:space="preserve">, ed. </w:t>
      </w:r>
      <w:r w:rsidRPr="08380853">
        <w:rPr>
          <w:color w:val="000000"/>
          <w:lang w:val="en-US"/>
        </w:rPr>
        <w:t>Bethge</w:t>
      </w:r>
      <w:r>
        <w:rPr>
          <w:lang w:val="cs-CZ"/>
        </w:rPr>
        <w:t>, p. 393.21‒27)</w:t>
      </w:r>
    </w:p>
  </w:footnote>
  <w:footnote w:id="508">
    <w:p w:rsidR="00971E82" w:rsidRDefault="00971E82" w:rsidP="00677B56">
      <w:pPr>
        <w:pStyle w:val="Textpoznpodarou"/>
        <w:rPr>
          <w:szCs w:val="14"/>
          <w:lang w:val="cs-CZ"/>
        </w:rPr>
      </w:pPr>
      <w:r>
        <w:rPr>
          <w:rStyle w:val="Znakapoznpodarou"/>
          <w:rFonts w:eastAsia="Times"/>
        </w:rPr>
        <w:footnoteRef/>
      </w:r>
      <w:r>
        <w:t xml:space="preserve"> </w:t>
      </w:r>
      <w:r>
        <w:rPr>
          <w:lang w:val="cs-CZ"/>
        </w:rPr>
        <w:t>„Das Wesen der Aufklärung ist die Alternative, deren Unausweichlichkeit die der Herrschaft ist. Die Menschen hatten immer zu wählen zwischen ihrer Unterwerfung unter Natur oder der Natur unter das Selbst. Mit der Ausbreitung der bürgerlichen Warenwirtschaft wird der dunkle Horizont des Mythos von der Sonne der kalkulierenden Vernunft aufgehellt, unter deren eisigen Strahlen die Saat der neuen Barbarei heranreift.“ (</w:t>
      </w:r>
      <w:r>
        <w:t>Horkheimer&amp;Adorno 2000</w:t>
      </w:r>
      <w:r>
        <w:rPr>
          <w:lang w:val="cs-CZ"/>
        </w:rPr>
        <w:t>, 45–46)</w:t>
      </w:r>
    </w:p>
  </w:footnote>
  <w:footnote w:id="509">
    <w:p w:rsidR="00971E82" w:rsidRPr="003717EC" w:rsidRDefault="00971E82" w:rsidP="00E12055">
      <w:pPr>
        <w:pStyle w:val="Textpoznpodarou"/>
      </w:pPr>
      <w:r>
        <w:rPr>
          <w:rStyle w:val="Znakapoznpodarou"/>
        </w:rPr>
        <w:footnoteRef/>
      </w:r>
      <w:r>
        <w:t xml:space="preserve"> „</w:t>
      </w:r>
      <w:r w:rsidRPr="003717EC">
        <w:t>It is this</w:t>
      </w:r>
      <w:r w:rsidRPr="003717EC">
        <w:rPr>
          <w:i/>
        </w:rPr>
        <w:t xml:space="preserve"> </w:t>
      </w:r>
      <w:r w:rsidRPr="003717EC">
        <w:rPr>
          <w:rFonts w:eastAsia="Fd705617-Identity-H"/>
          <w:i/>
        </w:rPr>
        <w:t>historico-physiological character of the evidence</w:t>
      </w:r>
      <w:r w:rsidRPr="003717EC">
        <w:rPr>
          <w:rFonts w:eastAsia="Fd705617-Identity-H"/>
        </w:rPr>
        <w:t xml:space="preserve">, </w:t>
      </w:r>
      <w:r w:rsidRPr="003717EC">
        <w:t>the fact that it</w:t>
      </w:r>
      <w:r>
        <w:t xml:space="preserve"> </w:t>
      </w:r>
      <w:r w:rsidRPr="003717EC">
        <w:t xml:space="preserve">does not merely describe some objective state of affairs </w:t>
      </w:r>
      <w:r w:rsidRPr="003717EC">
        <w:rPr>
          <w:rFonts w:eastAsia="Fd705617-Identity-H"/>
          <w:i/>
        </w:rPr>
        <w:t>but also</w:t>
      </w:r>
      <w:r w:rsidRPr="003717EC">
        <w:rPr>
          <w:i/>
        </w:rPr>
        <w:t xml:space="preserve"> expresses subject</w:t>
      </w:r>
      <w:r w:rsidRPr="003717EC">
        <w:rPr>
          <w:rFonts w:eastAsia="Fd705617-Identity-H"/>
          <w:i/>
        </w:rPr>
        <w:t xml:space="preserve">ive, mythical, and long-forgotten views </w:t>
      </w:r>
      <w:r w:rsidRPr="003717EC">
        <w:rPr>
          <w:i/>
        </w:rPr>
        <w:t>concerning this state of affairs</w:t>
      </w:r>
      <w:r w:rsidRPr="003717EC">
        <w:t>, that forces us to take a fresh look at methodology. It</w:t>
      </w:r>
      <w:r>
        <w:t xml:space="preserve"> </w:t>
      </w:r>
      <w:r w:rsidRPr="003717EC">
        <w:t>shows that it would be extremely imprudent to let the evidence judge</w:t>
      </w:r>
      <w:r>
        <w:t xml:space="preserve"> </w:t>
      </w:r>
      <w:r w:rsidRPr="003717EC">
        <w:t>our theories directly and without any further ado.</w:t>
      </w:r>
      <w:r>
        <w:t>“</w:t>
      </w:r>
      <w:r w:rsidRPr="003717EC">
        <w:t xml:space="preserve"> </w:t>
      </w:r>
      <w:r>
        <w:t>(</w:t>
      </w:r>
      <w:r>
        <w:rPr>
          <w:rStyle w:val="st"/>
        </w:rPr>
        <w:t>Feyerabend</w:t>
      </w:r>
      <w:r>
        <w:t xml:space="preserve"> 1993, 52; </w:t>
      </w:r>
      <w:r>
        <w:rPr>
          <w:lang w:val="cs-CZ"/>
        </w:rPr>
        <w:t>kurzíva v originále</w:t>
      </w:r>
      <w:r>
        <w:t>)</w:t>
      </w:r>
    </w:p>
  </w:footnote>
  <w:footnote w:id="510">
    <w:p w:rsidR="00971E82" w:rsidRPr="00961A91" w:rsidRDefault="00971E82" w:rsidP="08163013">
      <w:pPr>
        <w:pStyle w:val="Textpoznpodarou"/>
        <w:rPr>
          <w:lang w:val="cs-CZ"/>
        </w:rPr>
      </w:pPr>
      <w:r>
        <w:rPr>
          <w:rStyle w:val="Znakapoznpodarou"/>
        </w:rPr>
        <w:footnoteRef/>
      </w:r>
      <w:r>
        <w:t xml:space="preserve"> </w:t>
      </w:r>
      <w:r>
        <w:rPr>
          <w:lang w:val="cs-CZ"/>
        </w:rPr>
        <w:t>„</w:t>
      </w:r>
      <w:r w:rsidRPr="00961A91">
        <w:t>It is only those educated people who did believe in diabolism, therefore, who imposed distinctively learned notions upon the substratum of popular belief. This latter group of intellectuals was significant because of the effect they had on judicial proceedings. Even if they were numerically unimportant in 1300 (and they probably were), they seem to have increased dramatically by 1500. In any event, it is their ideas that call for separate attention.</w:t>
      </w:r>
      <w:r>
        <w:rPr>
          <w:lang w:val="cs-CZ"/>
        </w:rPr>
        <w:t>“ (</w:t>
      </w:r>
      <w:r>
        <w:t>Kieckhefer</w:t>
      </w:r>
      <w:r>
        <w:rPr>
          <w:lang w:val="cs-CZ"/>
        </w:rPr>
        <w:t xml:space="preserve"> 1976, 75)</w:t>
      </w:r>
    </w:p>
  </w:footnote>
  <w:footnote w:id="511">
    <w:p w:rsidR="00971E82" w:rsidRPr="00863263" w:rsidRDefault="00971E82" w:rsidP="08163013">
      <w:pPr>
        <w:pStyle w:val="Textpoznpodarou"/>
        <w:rPr>
          <w:lang w:val="cs-CZ"/>
        </w:rPr>
      </w:pPr>
      <w:r>
        <w:rPr>
          <w:rStyle w:val="Znakapoznpodarou"/>
        </w:rPr>
        <w:footnoteRef/>
      </w:r>
      <w:r>
        <w:t xml:space="preserve"> </w:t>
      </w:r>
      <w:r>
        <w:rPr>
          <w:lang w:val="cs-CZ"/>
        </w:rPr>
        <w:t xml:space="preserve">Již zmíněný sicilský král </w:t>
      </w:r>
      <w:r w:rsidRPr="003D3D68">
        <w:rPr>
          <w:bCs/>
        </w:rPr>
        <w:t>Fridrich II. Štaufský</w:t>
      </w:r>
      <w:r>
        <w:rPr>
          <w:lang w:val="cs-CZ"/>
        </w:rPr>
        <w:t xml:space="preserve"> (</w:t>
      </w:r>
      <w:r>
        <w:t>1194‒1250</w:t>
      </w:r>
      <w:r>
        <w:rPr>
          <w:lang w:val="cs-CZ"/>
        </w:rPr>
        <w:t>) podporoval na svém dvoře Sicilskou školu překladatelů odlišnou od Toledské školy. Tento osvícený panovník byl první evropský vládce, který výslovně zakázal ordálové soudy, protože byly iracionální. Jeho osoba a činy se později staly známým objektem démonizace.</w:t>
      </w:r>
    </w:p>
  </w:footnote>
  <w:footnote w:id="512">
    <w:p w:rsidR="00971E82" w:rsidRPr="08434C0C" w:rsidRDefault="00971E82">
      <w:pPr>
        <w:pStyle w:val="Textpoznpodarou"/>
        <w:rPr>
          <w:lang w:val="cs-CZ"/>
        </w:rPr>
      </w:pPr>
      <w:r>
        <w:rPr>
          <w:rStyle w:val="Znakapoznpodarou"/>
        </w:rPr>
        <w:footnoteRef/>
      </w:r>
      <w:r>
        <w:t xml:space="preserve"> </w:t>
      </w:r>
      <w:r>
        <w:rPr>
          <w:lang w:val="cs-CZ"/>
        </w:rPr>
        <w:t xml:space="preserve">„De Wier à Cyrano de Bergerac, on dira par exemple, qu'on ne doit croire, dans les aveux des « sorciers », que ce qui est « possible ». Mais comment déterminer, pour l'homme ou pour les choses, le possible?“ (Certeau </w:t>
      </w:r>
      <w:r>
        <w:t>1973,</w:t>
      </w:r>
      <w:r>
        <w:rPr>
          <w:lang w:val="cs-CZ"/>
        </w:rPr>
        <w:t xml:space="preserve"> 29)</w:t>
      </w:r>
    </w:p>
  </w:footnote>
  <w:footnote w:id="513">
    <w:p w:rsidR="00971E82" w:rsidRPr="00D93D8C" w:rsidRDefault="00971E82" w:rsidP="08163013">
      <w:pPr>
        <w:pStyle w:val="Textpoznpodarou"/>
        <w:rPr>
          <w:lang w:val="cs-CZ"/>
        </w:rPr>
      </w:pPr>
      <w:r>
        <w:rPr>
          <w:rStyle w:val="Znakapoznpodarou"/>
        </w:rPr>
        <w:footnoteRef/>
      </w:r>
      <w:r>
        <w:t xml:space="preserve"> </w:t>
      </w:r>
      <w:r>
        <w:rPr>
          <w:lang w:val="cs-CZ"/>
        </w:rPr>
        <w:t xml:space="preserve">Služebná </w:t>
      </w:r>
      <w:r>
        <w:t>Catillon</w:t>
      </w:r>
      <w:r>
        <w:rPr>
          <w:lang w:val="cs-CZ"/>
        </w:rPr>
        <w:t xml:space="preserve"> </w:t>
      </w:r>
      <w:r>
        <w:t>Repond</w:t>
      </w:r>
      <w:r>
        <w:fldChar w:fldCharType="begin"/>
      </w:r>
      <w:r>
        <w:instrText xml:space="preserve"> XE "</w:instrText>
      </w:r>
      <w:r w:rsidRPr="00BD69EE">
        <w:instrText>Catillon</w:instrText>
      </w:r>
      <w:r>
        <w:rPr>
          <w:lang w:val="cs-CZ"/>
        </w:rPr>
        <w:instrText xml:space="preserve">, </w:instrText>
      </w:r>
      <w:r w:rsidRPr="00BD69EE">
        <w:instrText>R</w:instrText>
      </w:r>
      <w:r>
        <w:rPr>
          <w:lang w:val="cs-CZ"/>
        </w:rPr>
        <w:instrText>.</w:instrText>
      </w:r>
      <w:r>
        <w:instrText xml:space="preserve">" </w:instrText>
      </w:r>
      <w:r>
        <w:fldChar w:fldCharType="end"/>
      </w:r>
      <w:r>
        <w:rPr>
          <w:lang w:val="cs-CZ"/>
        </w:rPr>
        <w:t>, p</w:t>
      </w:r>
      <w:r>
        <w:t>oslední evropská „čarodějnice“</w:t>
      </w:r>
      <w:r>
        <w:rPr>
          <w:lang w:val="cs-CZ"/>
        </w:rPr>
        <w:t>,</w:t>
      </w:r>
      <w:r>
        <w:t xml:space="preserve"> byla upálena ve švýcarském Fribourgu roce 1731.</w:t>
      </w:r>
      <w:r>
        <w:rPr>
          <w:lang w:val="cs-CZ"/>
        </w:rPr>
        <w:t xml:space="preserve"> </w:t>
      </w:r>
      <w:r>
        <w:t xml:space="preserve">Ve Švýcarsku </w:t>
      </w:r>
      <w:r>
        <w:rPr>
          <w:lang w:val="cs-CZ"/>
        </w:rPr>
        <w:t>od</w:t>
      </w:r>
      <w:r>
        <w:t xml:space="preserve">soudila protestantská inkvizice celkem 10 tis. osob z celkového počtu </w:t>
      </w:r>
      <w:r>
        <w:rPr>
          <w:lang w:val="cs-CZ"/>
        </w:rPr>
        <w:t xml:space="preserve">asi </w:t>
      </w:r>
      <w:r>
        <w:t>60 tis. v celé Evropě.</w:t>
      </w:r>
      <w:r>
        <w:rPr>
          <w:lang w:val="cs-CZ"/>
        </w:rPr>
        <w:t xml:space="preserve"> </w:t>
      </w:r>
      <w:r>
        <w:t>Protestantský Fribourg vynikal v mučení čarodějnic a v letech 1429‒1731 jen v tomto městě bylo dáno před soud 500</w:t>
      </w:r>
      <w:r>
        <w:rPr>
          <w:lang w:val="cs-CZ"/>
        </w:rPr>
        <w:t xml:space="preserve"> obětí</w:t>
      </w:r>
      <w:r>
        <w:t>. Mezi nimi bylo 70‒80 % žen a poprava následovala v 60 % případů</w:t>
      </w:r>
      <w:r>
        <w:rPr>
          <w:lang w:val="cs-CZ"/>
        </w:rPr>
        <w:t xml:space="preserve"> (</w:t>
      </w:r>
      <w:r>
        <w:t>Kieckhefer</w:t>
      </w:r>
      <w:r>
        <w:rPr>
          <w:lang w:val="cs-CZ"/>
        </w:rPr>
        <w:t xml:space="preserve"> 1976, 106‒47).</w:t>
      </w:r>
      <w:r>
        <w:t xml:space="preserve"> </w:t>
      </w:r>
    </w:p>
  </w:footnote>
  <w:footnote w:id="514">
    <w:p w:rsidR="00971E82" w:rsidRPr="00F17ACA" w:rsidRDefault="00971E82" w:rsidP="00777EC1">
      <w:pPr>
        <w:pStyle w:val="Textpoznpodarou"/>
        <w:rPr>
          <w:lang w:val="cs-CZ"/>
        </w:rPr>
      </w:pPr>
      <w:r>
        <w:rPr>
          <w:rStyle w:val="Znakapoznpodarou"/>
        </w:rPr>
        <w:footnoteRef/>
      </w:r>
      <w:r>
        <w:rPr>
          <w:lang w:val="cs-CZ"/>
        </w:rPr>
        <w:t xml:space="preserve"> Spojené státy j</w:t>
      </w:r>
      <w:r>
        <w:t>ako nejrozvinutější demokracie Západu definitivně zakázaly obchod s otroky až 13. dodatkem k Ústavě (1865).</w:t>
      </w:r>
      <w:r>
        <w:rPr>
          <w:lang w:val="cs-CZ"/>
        </w:rPr>
        <w:t xml:space="preserve"> Mnohé vyspělé východní civilizace (Indie, Čína, Persie) oficiálně zakazovaly otroctví už od 3. století před Kristem a v křesťanské Evropě to byly od 10. století nejprve Benátky.</w:t>
      </w:r>
    </w:p>
  </w:footnote>
  <w:footnote w:id="515">
    <w:p w:rsidR="00971E82" w:rsidRPr="08386BAC" w:rsidRDefault="00971E82" w:rsidP="08163013">
      <w:pPr>
        <w:pStyle w:val="Textpoznpodarou"/>
      </w:pPr>
      <w:r>
        <w:rPr>
          <w:rStyle w:val="Znakapoznpodarou"/>
        </w:rPr>
        <w:footnoteRef/>
      </w:r>
      <w:r>
        <w:t xml:space="preserve"> </w:t>
      </w:r>
      <w:r w:rsidRPr="08386BAC">
        <w:t>„Nam si eciam nunc in statu nature corrupte, uidelicet multiplicata iam hominum malicia, essent omnia communia, dissiparentur omnia et dissolueretur res publica. Si eciam homo homini non preeeset pre defectu iustitie, genus humanum sese mutua cede laceraret.</w:t>
      </w:r>
      <w:r>
        <w:t>“</w:t>
      </w:r>
      <w:r w:rsidRPr="08386BAC">
        <w:t xml:space="preserve">  (</w:t>
      </w:r>
      <w:r w:rsidRPr="08386BAC">
        <w:rPr>
          <w:i/>
        </w:rPr>
        <w:t>Vincentii Belvacensis De morali principiis institutione</w:t>
      </w:r>
      <w:r w:rsidRPr="08386BAC">
        <w:t xml:space="preserve">, </w:t>
      </w:r>
      <w:r>
        <w:t>ed.</w:t>
      </w:r>
      <w:r>
        <w:rPr>
          <w:lang w:val="cs-CZ"/>
        </w:rPr>
        <w:t xml:space="preserve"> Schneider</w:t>
      </w:r>
      <w:r>
        <w:t xml:space="preserve">, </w:t>
      </w:r>
      <w:r w:rsidRPr="08386BAC">
        <w:t>p. 18</w:t>
      </w:r>
      <w:r>
        <w:t>.</w:t>
      </w:r>
      <w:r w:rsidRPr="08386BAC">
        <w:t>30</w:t>
      </w:r>
      <w:r>
        <w:t>‒</w:t>
      </w:r>
      <w:r w:rsidRPr="08386BAC">
        <w:t>35</w:t>
      </w:r>
      <w:r>
        <w:fldChar w:fldCharType="begin"/>
      </w:r>
      <w:r>
        <w:instrText xml:space="preserve"> XE "</w:instrText>
      </w:r>
      <w:r w:rsidRPr="00273106">
        <w:instrText>Vincent de Beauvais</w:instrText>
      </w:r>
      <w:r>
        <w:rPr>
          <w:i/>
          <w:lang w:val="cs-CZ"/>
        </w:rPr>
        <w:instrText>:</w:instrText>
      </w:r>
      <w:r w:rsidRPr="00983813">
        <w:rPr>
          <w:i/>
        </w:rPr>
        <w:instrText>Vincentii Belvacensis De morali principiis institutione</w:instrText>
      </w:r>
      <w:r>
        <w:rPr>
          <w:i/>
          <w:lang w:val="cs-CZ"/>
        </w:rPr>
        <w:instrText xml:space="preserve"> </w:instrText>
      </w:r>
      <w:r w:rsidRPr="00983813">
        <w:instrText>18.30‒35</w:instrText>
      </w:r>
      <w:r>
        <w:instrText xml:space="preserve">" </w:instrText>
      </w:r>
      <w:r>
        <w:fldChar w:fldCharType="end"/>
      </w:r>
      <w:r w:rsidRPr="08386BAC">
        <w:t>)</w:t>
      </w:r>
    </w:p>
  </w:footnote>
  <w:footnote w:id="516">
    <w:p w:rsidR="00971E82" w:rsidRPr="00FE0EA4" w:rsidRDefault="00971E82" w:rsidP="08163013">
      <w:pPr>
        <w:pStyle w:val="Textpoznpodarou"/>
      </w:pPr>
      <w:r>
        <w:rPr>
          <w:rStyle w:val="Znakapoznpodarou"/>
        </w:rPr>
        <w:footnoteRef/>
      </w:r>
      <w:r>
        <w:t xml:space="preserve"> </w:t>
      </w:r>
      <w:r>
        <w:rPr>
          <w:lang w:val="cs-CZ"/>
        </w:rPr>
        <w:t>„</w:t>
      </w:r>
      <w:r w:rsidRPr="004C736B">
        <w:t xml:space="preserve">Huiusmodi ergo regni ministerium, ut a </w:t>
      </w:r>
      <w:r>
        <w:rPr>
          <w:lang w:val="cs-CZ"/>
        </w:rPr>
        <w:t>t</w:t>
      </w:r>
      <w:r w:rsidRPr="004C736B">
        <w:t xml:space="preserve">errenis spiritualia essent discreta, non terrenis regibus sed sacerdotibus est commissum, et precipue summo sacerdoti successori Petri, Christi uicario Romano Pontifici, cui omnes reges populi Christiani oportet esse </w:t>
      </w:r>
      <w:r>
        <w:t xml:space="preserve">subiectos sicut ipsi Domino </w:t>
      </w:r>
      <w:r w:rsidRPr="004C736B">
        <w:t xml:space="preserve">Ihesu Christo. </w:t>
      </w:r>
      <w:r w:rsidRPr="004C736B">
        <w:t>Sic enim, ut dictum est, ei ad quem ultimi finis pertinet cura subdi debent illi ad quos pertinet cura antecedentium finium, et eius imperio dirigi.</w:t>
      </w:r>
      <w:r>
        <w:rPr>
          <w:lang w:val="cs-CZ"/>
        </w:rPr>
        <w:t>“ (</w:t>
      </w:r>
      <w:r w:rsidRPr="00EE235F">
        <w:rPr>
          <w:i/>
          <w:lang w:val="cs-CZ"/>
        </w:rPr>
        <w:t>De regno</w:t>
      </w:r>
      <w:r>
        <w:rPr>
          <w:lang w:val="cs-CZ"/>
        </w:rPr>
        <w:t xml:space="preserve"> </w:t>
      </w:r>
      <w:proofErr w:type="gramStart"/>
      <w:r>
        <w:rPr>
          <w:lang w:val="cs-CZ"/>
        </w:rPr>
        <w:t>II.3;</w:t>
      </w:r>
      <w:proofErr w:type="gramEnd"/>
      <w:r>
        <w:rPr>
          <w:lang w:val="cs-CZ"/>
        </w:rPr>
        <w:t xml:space="preserve"> ed. Leonina 42, 466.110‒19</w:t>
      </w:r>
      <w:r>
        <w:rPr>
          <w:lang w:val="cs-CZ"/>
        </w:rPr>
        <w:fldChar w:fldCharType="begin"/>
      </w:r>
      <w:r>
        <w:instrText xml:space="preserve"> XE "</w:instrText>
      </w:r>
      <w:r>
        <w:rPr>
          <w:lang w:val="cs-CZ"/>
        </w:rPr>
        <w:instrText>Akvinský:</w:instrText>
      </w:r>
      <w:r w:rsidRPr="004C71C2">
        <w:rPr>
          <w:i/>
          <w:lang w:val="cs-CZ"/>
        </w:rPr>
        <w:instrText>De regno</w:instrText>
      </w:r>
      <w:r>
        <w:rPr>
          <w:lang w:val="cs-CZ"/>
        </w:rPr>
        <w:instrText xml:space="preserve"> 466.110‒19</w:instrText>
      </w:r>
      <w:r>
        <w:instrText xml:space="preserve">" </w:instrText>
      </w:r>
      <w:r>
        <w:rPr>
          <w:lang w:val="cs-CZ"/>
        </w:rPr>
        <w:fldChar w:fldCharType="end"/>
      </w:r>
      <w:r>
        <w:rPr>
          <w:lang w:val="cs-CZ"/>
        </w:rPr>
        <w:t>)</w:t>
      </w:r>
    </w:p>
  </w:footnote>
  <w:footnote w:id="517">
    <w:p w:rsidR="00971E82" w:rsidRPr="089C12E3" w:rsidRDefault="00971E82" w:rsidP="0013626E">
      <w:pPr>
        <w:pStyle w:val="Textpoznpodarou"/>
      </w:pPr>
      <w:r>
        <w:rPr>
          <w:rStyle w:val="Znakapoznpodarou"/>
        </w:rPr>
        <w:footnoteRef/>
      </w:r>
      <w:r>
        <w:t xml:space="preserve"> „Boniface VIII spoke of the role of the emperor and characterized him in these words: '(Rex Romanorum)</w:t>
      </w:r>
      <w:r>
        <w:rPr>
          <w:lang w:val="cs-CZ"/>
        </w:rPr>
        <w:t xml:space="preserve"> </w:t>
      </w:r>
      <w:r>
        <w:t xml:space="preserve">est sol sicut monarcha, qui habet omnes illuminare et spiritualem potestatem defendere, quia ipse est datus et missus ad laudem bonorum et ad vindictam malefactorum'.“ (Ullmann 1949, 7) </w:t>
      </w:r>
    </w:p>
  </w:footnote>
  <w:footnote w:id="518">
    <w:p w:rsidR="00971E82" w:rsidRPr="08597CC8" w:rsidRDefault="00971E82" w:rsidP="08163013">
      <w:pPr>
        <w:pStyle w:val="Textpoznpodarou"/>
      </w:pPr>
      <w:r>
        <w:rPr>
          <w:rStyle w:val="Znakapoznpodarou"/>
        </w:rPr>
        <w:footnoteRef/>
      </w:r>
      <w:r>
        <w:t xml:space="preserve"> „</w:t>
      </w:r>
      <w:r w:rsidRPr="008214D6">
        <w:t>Non sic autem fideles laici sic habent ex jure divino, quod subsint in temporalibus uni monarchae supremo, sed ex naturali instinctu, qui ex Deo est, habent, quod civiliter et in communitate vivant, et per consequens, ut ad bene vivendum in communi rectores eligant diversos quidem, secu</w:t>
      </w:r>
      <w:r>
        <w:t>ndum diversitates communitatum.“</w:t>
      </w:r>
      <w:r w:rsidRPr="008214D6">
        <w:t xml:space="preserve"> </w:t>
      </w:r>
      <w:r>
        <w:t>(</w:t>
      </w:r>
      <w:r w:rsidRPr="008214D6">
        <w:t xml:space="preserve">Johannes Quidort, </w:t>
      </w:r>
      <w:r w:rsidRPr="008214D6">
        <w:rPr>
          <w:i/>
        </w:rPr>
        <w:t>De Potestate Papali et Regia</w:t>
      </w:r>
      <w:r>
        <w:rPr>
          <w:i/>
        </w:rPr>
        <w:t xml:space="preserve">; </w:t>
      </w:r>
      <w:r w:rsidRPr="0821161C">
        <w:t>cit. podle</w:t>
      </w:r>
      <w:r w:rsidRPr="008214D6">
        <w:t xml:space="preserve"> Ullmann 1949, 16</w:t>
      </w:r>
      <w:r>
        <w:fldChar w:fldCharType="begin"/>
      </w:r>
      <w:r>
        <w:instrText xml:space="preserve"> XE "</w:instrText>
      </w:r>
      <w:r w:rsidRPr="00BD49FA">
        <w:instrText>Quidort</w:instrText>
      </w:r>
      <w:r>
        <w:rPr>
          <w:lang w:val="cs-CZ"/>
        </w:rPr>
        <w:instrText>:</w:instrText>
      </w:r>
      <w:r w:rsidRPr="00BD49FA">
        <w:rPr>
          <w:i/>
        </w:rPr>
        <w:instrText>De Potestate Papali et Regia</w:instrText>
      </w:r>
      <w:r w:rsidRPr="00BD49FA">
        <w:instrText xml:space="preserve"> 16</w:instrText>
      </w:r>
      <w:r>
        <w:instrText xml:space="preserve">" </w:instrText>
      </w:r>
      <w:r>
        <w:fldChar w:fldCharType="end"/>
      </w:r>
      <w:r w:rsidRPr="008214D6">
        <w:t>).</w:t>
      </w:r>
    </w:p>
  </w:footnote>
  <w:footnote w:id="519">
    <w:p w:rsidR="00971E82" w:rsidRPr="08A27BF9" w:rsidRDefault="00971E82" w:rsidP="08163013">
      <w:pPr>
        <w:pStyle w:val="Textpoznpodarou"/>
      </w:pPr>
      <w:r>
        <w:rPr>
          <w:rStyle w:val="Znakapoznpodarou"/>
        </w:rPr>
        <w:footnoteRef/>
      </w:r>
      <w:r>
        <w:t xml:space="preserve"> „Et huic sententie concordat Averrois in comento super hiis que </w:t>
      </w:r>
      <w:r>
        <w:rPr>
          <w:i/>
          <w:iCs/>
        </w:rPr>
        <w:t>De anima</w:t>
      </w:r>
      <w:r>
        <w:t>. Potentia etiam intellectiva, de qua loquor, non solum est ad formas universales aut speties, sed etiam per quandam extensionem ad particulares: unde solet dici quod intellectus speculativus extensione fit practicus, cuius finis est agere atque facere.“ (</w:t>
      </w:r>
      <w:r w:rsidRPr="08A27BF9">
        <w:rPr>
          <w:i/>
        </w:rPr>
        <w:t>Monarchia</w:t>
      </w:r>
      <w:r>
        <w:t xml:space="preserve"> 1.3.9</w:t>
      </w:r>
      <w:r>
        <w:fldChar w:fldCharType="begin"/>
      </w:r>
      <w:r>
        <w:instrText xml:space="preserve"> XE "</w:instrText>
      </w:r>
      <w:r>
        <w:rPr>
          <w:lang w:val="cs-CZ"/>
        </w:rPr>
        <w:instrText>Dante:</w:instrText>
      </w:r>
      <w:r w:rsidRPr="084A4E0B">
        <w:rPr>
          <w:i/>
        </w:rPr>
        <w:instrText>Monarchia</w:instrText>
      </w:r>
      <w:r w:rsidRPr="084A4E0B">
        <w:instrText xml:space="preserve"> 1.3.9</w:instrText>
      </w:r>
      <w:r>
        <w:instrText xml:space="preserve">" </w:instrText>
      </w:r>
      <w:r>
        <w:fldChar w:fldCharType="end"/>
      </w:r>
      <w:r>
        <w:rPr>
          <w:lang w:val="cs-CZ"/>
        </w:rPr>
        <w:t xml:space="preserve">, ed. digitalis </w:t>
      </w:r>
      <w:r w:rsidRPr="00CB399C">
        <w:rPr>
          <w:i/>
          <w:lang w:val="cs-CZ"/>
        </w:rPr>
        <w:t>Dante Project</w:t>
      </w:r>
      <w:r>
        <w:t>)</w:t>
      </w:r>
    </w:p>
  </w:footnote>
  <w:footnote w:id="520">
    <w:p w:rsidR="00971E82" w:rsidRPr="009A1D80" w:rsidRDefault="00971E82" w:rsidP="08163013">
      <w:pPr>
        <w:pStyle w:val="Textpoznpodarou"/>
        <w:rPr>
          <w:lang w:val="cs-CZ"/>
        </w:rPr>
      </w:pPr>
      <w:r>
        <w:rPr>
          <w:rStyle w:val="Znakapoznpodarou"/>
        </w:rPr>
        <w:footnoteRef/>
      </w:r>
      <w:r>
        <w:rPr>
          <w:rFonts w:eastAsia="Arial"/>
        </w:rPr>
        <w:t xml:space="preserve"> </w:t>
      </w:r>
      <w:r w:rsidRPr="08A62AE6">
        <w:rPr>
          <w:rFonts w:eastAsia="Arial"/>
        </w:rPr>
        <w:t xml:space="preserve">Engelbertus Admontensis. </w:t>
      </w:r>
      <w:r w:rsidRPr="08A62AE6">
        <w:rPr>
          <w:rFonts w:eastAsia="Arial"/>
          <w:i/>
        </w:rPr>
        <w:t>De ortu et fine Romani imperii liber</w:t>
      </w:r>
      <w:r w:rsidRPr="08A62AE6">
        <w:rPr>
          <w:rFonts w:eastAsia="Arial"/>
        </w:rPr>
        <w:t xml:space="preserve">, </w:t>
      </w:r>
      <w:r>
        <w:rPr>
          <w:rFonts w:eastAsia="Arial"/>
        </w:rPr>
        <w:t xml:space="preserve">ed. </w:t>
      </w:r>
      <w:r w:rsidRPr="08A62AE6">
        <w:rPr>
          <w:rStyle w:val="st"/>
        </w:rPr>
        <w:t>Kaspar Brusch</w:t>
      </w:r>
      <w:r>
        <w:rPr>
          <w:rStyle w:val="st"/>
        </w:rPr>
        <w:t xml:space="preserve">, Basileae, 1553. </w:t>
      </w:r>
      <w:r>
        <w:rPr>
          <w:rStyle w:val="st"/>
          <w:lang w:val="cs-CZ"/>
        </w:rPr>
        <w:t>P</w:t>
      </w:r>
      <w:r>
        <w:t>aginace</w:t>
      </w:r>
      <w:r>
        <w:rPr>
          <w:lang w:val="cs-CZ"/>
        </w:rPr>
        <w:t xml:space="preserve"> je podle digitalizovaného manuskriptu </w:t>
      </w:r>
      <w:r w:rsidRPr="08A62AE6">
        <w:rPr>
          <w:rFonts w:eastAsia="Arial"/>
        </w:rPr>
        <w:t>Bayerische Staatsbibliothek (</w:t>
      </w:r>
      <w:r w:rsidRPr="08365AAC">
        <w:rPr>
          <w:rFonts w:eastAsia="Arial"/>
        </w:rPr>
        <w:t>Project ID</w:t>
      </w:r>
      <w:r>
        <w:rPr>
          <w:rFonts w:eastAsia="Arial"/>
        </w:rPr>
        <w:t xml:space="preserve">: </w:t>
      </w:r>
      <w:r>
        <w:t>VD16 E 1211</w:t>
      </w:r>
      <w:r w:rsidRPr="08A62AE6">
        <w:rPr>
          <w:rFonts w:eastAsia="Arial"/>
        </w:rPr>
        <w:t>)</w:t>
      </w:r>
      <w:r>
        <w:rPr>
          <w:rFonts w:eastAsia="Arial"/>
          <w:lang w:val="cs-CZ"/>
        </w:rPr>
        <w:t>.</w:t>
      </w:r>
    </w:p>
  </w:footnote>
  <w:footnote w:id="521">
    <w:p w:rsidR="00971E82" w:rsidRPr="083B70A8" w:rsidRDefault="00971E82" w:rsidP="08163013">
      <w:pPr>
        <w:pStyle w:val="Textpoznpodarou"/>
      </w:pPr>
      <w:r>
        <w:rPr>
          <w:rStyle w:val="Znakapoznpodarou"/>
        </w:rPr>
        <w:footnoteRef/>
      </w:r>
      <w:r>
        <w:t xml:space="preserve"> Kapitola </w:t>
      </w:r>
      <w:r w:rsidRPr="001B5907">
        <w:t>LXIX</w:t>
      </w:r>
      <w:r>
        <w:rPr>
          <w:i/>
        </w:rPr>
        <w:t xml:space="preserve"> </w:t>
      </w:r>
      <w:r>
        <w:t>(</w:t>
      </w:r>
      <w:r>
        <w:rPr>
          <w:i/>
        </w:rPr>
        <w:t>De maioritate et obedientia</w:t>
      </w:r>
      <w:r>
        <w:t>) je citována podle</w:t>
      </w:r>
      <w:r>
        <w:rPr>
          <w:lang w:val="cs-CZ"/>
        </w:rPr>
        <w:t xml:space="preserve"> </w:t>
      </w:r>
      <w:r w:rsidRPr="083B70A8">
        <w:rPr>
          <w:i/>
        </w:rPr>
        <w:t>Concilia</w:t>
      </w:r>
      <w:r>
        <w:rPr>
          <w:i/>
        </w:rPr>
        <w:t xml:space="preserve">, Liber I </w:t>
      </w:r>
      <w:r>
        <w:t>(</w:t>
      </w:r>
      <w:r>
        <w:rPr>
          <w:rFonts w:eastAsia="Arial"/>
        </w:rPr>
        <w:t>Romae</w:t>
      </w:r>
      <w:r>
        <w:rPr>
          <w:rFonts w:eastAsia="Arial"/>
          <w:lang w:val="cs-CZ"/>
        </w:rPr>
        <w:t xml:space="preserve">, </w:t>
      </w:r>
      <w:r w:rsidRPr="083B70A8">
        <w:rPr>
          <w:rFonts w:eastAsia="Arial"/>
        </w:rPr>
        <w:t>1478</w:t>
      </w:r>
      <w:r>
        <w:t xml:space="preserve">) uloženého a digitalizovaného v </w:t>
      </w:r>
      <w:r>
        <w:rPr>
          <w:rFonts w:eastAsia="Arial"/>
        </w:rPr>
        <w:t>Bayerische Staatsbibliothek (</w:t>
      </w:r>
      <w:r w:rsidRPr="08365AAC">
        <w:rPr>
          <w:rFonts w:eastAsia="Arial"/>
        </w:rPr>
        <w:t>Project ID</w:t>
      </w:r>
      <w:r w:rsidRPr="08A312DF">
        <w:rPr>
          <w:rFonts w:eastAsia="Arial"/>
        </w:rPr>
        <w:t xml:space="preserve">: </w:t>
      </w:r>
      <w:r w:rsidRPr="08A312DF">
        <w:t>BDR-BV035794233-61976</w:t>
      </w:r>
      <w:r>
        <w:rPr>
          <w:rFonts w:eastAsia="Arial"/>
        </w:rPr>
        <w:t>). Paginace kap. 69 je dána podle digitalizovaných stránek rukopisu (</w:t>
      </w:r>
      <w:r w:rsidRPr="082274A1">
        <w:rPr>
          <w:rFonts w:eastAsia="Arial"/>
          <w:i/>
        </w:rPr>
        <w:t>Bildnummer</w:t>
      </w:r>
      <w:r>
        <w:rPr>
          <w:rFonts w:eastAsia="Arial"/>
        </w:rPr>
        <w:t xml:space="preserve"> 101‒104) ve dvou sloupcích (a, b).</w:t>
      </w:r>
    </w:p>
  </w:footnote>
  <w:footnote w:id="522">
    <w:p w:rsidR="00971E82" w:rsidRPr="00505D21" w:rsidRDefault="00971E82" w:rsidP="08163013">
      <w:pPr>
        <w:pStyle w:val="Textpoznpodarou"/>
        <w:rPr>
          <w:noProof/>
          <w:lang w:val="cs-CZ"/>
        </w:rPr>
      </w:pPr>
      <w:r>
        <w:rPr>
          <w:rStyle w:val="Znakapoznpodarou"/>
        </w:rPr>
        <w:footnoteRef/>
      </w:r>
      <w:r>
        <w:t xml:space="preserve"> </w:t>
      </w:r>
      <w:r w:rsidRPr="00273106">
        <w:rPr>
          <w:noProof/>
        </w:rPr>
        <w:t>„Et intellectus per quem agitur (et est cogitativus operativus) differt a speculativo in perfectione et fine. Finis enim speculativi est scire tantum, operativi autem operari.“ (CMDA III.49</w:t>
      </w:r>
      <w:r>
        <w:rPr>
          <w:noProof/>
          <w:lang w:val="cs-CZ"/>
        </w:rPr>
        <w:t>;</w:t>
      </w:r>
      <w:r w:rsidRPr="00273106">
        <w:rPr>
          <w:noProof/>
        </w:rPr>
        <w:t xml:space="preserve"> 517.10‒12</w:t>
      </w:r>
      <w:r>
        <w:rPr>
          <w:noProof/>
        </w:rPr>
        <w:fldChar w:fldCharType="begin"/>
      </w:r>
      <w:r>
        <w:instrText xml:space="preserve"> XE "</w:instrText>
      </w:r>
      <w:r>
        <w:rPr>
          <w:lang w:val="cs-CZ"/>
        </w:rPr>
        <w:instrText>Averroes:</w:instrText>
      </w:r>
      <w:r w:rsidRPr="008052A5">
        <w:rPr>
          <w:noProof/>
        </w:rPr>
        <w:instrText>CMDA</w:instrText>
      </w:r>
      <w:r>
        <w:rPr>
          <w:noProof/>
          <w:lang w:val="cs-CZ"/>
        </w:rPr>
        <w:instrText xml:space="preserve"> </w:instrText>
      </w:r>
      <w:r w:rsidRPr="008052A5">
        <w:rPr>
          <w:noProof/>
        </w:rPr>
        <w:instrText>517.10‒12</w:instrText>
      </w:r>
      <w:r>
        <w:instrText xml:space="preserve">" </w:instrText>
      </w:r>
      <w:r>
        <w:rPr>
          <w:noProof/>
        </w:rPr>
        <w:fldChar w:fldCharType="end"/>
      </w:r>
      <w:r w:rsidRPr="00273106">
        <w:rPr>
          <w:noProof/>
        </w:rPr>
        <w:t>)</w:t>
      </w:r>
    </w:p>
  </w:footnote>
  <w:footnote w:id="523">
    <w:p w:rsidR="00971E82" w:rsidRPr="003E42E7" w:rsidRDefault="00971E82" w:rsidP="08163013">
      <w:pPr>
        <w:pStyle w:val="Textpoznpodarou"/>
        <w:rPr>
          <w:noProof/>
          <w:lang w:val="cs-CZ"/>
        </w:rPr>
      </w:pPr>
      <w:r>
        <w:rPr>
          <w:rStyle w:val="Znakapoznpodarou"/>
        </w:rPr>
        <w:footnoteRef/>
      </w:r>
      <w:r>
        <w:t xml:space="preserve"> </w:t>
      </w:r>
      <w:r w:rsidRPr="00273106">
        <w:rPr>
          <w:rStyle w:val="addmd"/>
          <w:noProof/>
          <w:lang w:val="cs-CZ"/>
        </w:rPr>
        <w:t>„Et consuevit dici, quod speculativus per extensionem fit practicus, propter illud verbum Aristotelis in tertio de Anima, ubi dicit: «Amplius extendente se intellectu et dicente intelligibilia fugere aut imitari, non movetur, sed secundum desiderium agit, ut inabstinens.»“ (</w:t>
      </w:r>
      <w:r w:rsidRPr="00273106">
        <w:rPr>
          <w:rStyle w:val="addmd"/>
          <w:i/>
          <w:noProof/>
          <w:lang w:val="cs-CZ"/>
        </w:rPr>
        <w:t>De homine</w:t>
      </w:r>
      <w:r w:rsidRPr="00273106">
        <w:rPr>
          <w:rStyle w:val="addmd"/>
          <w:noProof/>
          <w:lang w:val="cs-CZ"/>
        </w:rPr>
        <w:t>, q. 63, a</w:t>
      </w:r>
      <w:r>
        <w:rPr>
          <w:rStyle w:val="addmd"/>
          <w:noProof/>
          <w:lang w:val="cs-CZ"/>
        </w:rPr>
        <w:t>. 4; ed. Borgnet  35, 543b</w:t>
      </w:r>
      <w:r>
        <w:rPr>
          <w:rStyle w:val="addmd"/>
          <w:noProof/>
          <w:lang w:val="cs-CZ"/>
        </w:rPr>
        <w:fldChar w:fldCharType="begin"/>
      </w:r>
      <w:r>
        <w:instrText xml:space="preserve"> XE "</w:instrText>
      </w:r>
      <w:r>
        <w:rPr>
          <w:lang w:val="cs-CZ"/>
        </w:rPr>
        <w:instrText>Albert:</w:instrText>
      </w:r>
      <w:r w:rsidRPr="00573EB8">
        <w:rPr>
          <w:rStyle w:val="addmd"/>
          <w:i/>
          <w:noProof/>
          <w:lang w:val="cs-CZ"/>
        </w:rPr>
        <w:instrText>De homine</w:instrText>
      </w:r>
      <w:r>
        <w:rPr>
          <w:rStyle w:val="addmd"/>
          <w:noProof/>
          <w:lang w:val="cs-CZ"/>
        </w:rPr>
        <w:instrText xml:space="preserve"> 543</w:instrText>
      </w:r>
      <w:r w:rsidRPr="00573EB8">
        <w:rPr>
          <w:rStyle w:val="addmd"/>
          <w:noProof/>
          <w:lang w:val="cs-CZ"/>
        </w:rPr>
        <w:instrText>b</w:instrText>
      </w:r>
      <w:r>
        <w:instrText xml:space="preserve">" </w:instrText>
      </w:r>
      <w:r>
        <w:rPr>
          <w:rStyle w:val="addmd"/>
          <w:noProof/>
          <w:lang w:val="cs-CZ"/>
        </w:rPr>
        <w:fldChar w:fldCharType="end"/>
      </w:r>
      <w:r>
        <w:rPr>
          <w:rStyle w:val="addmd"/>
          <w:noProof/>
          <w:lang w:val="cs-CZ"/>
        </w:rPr>
        <w:t>)</w:t>
      </w:r>
    </w:p>
  </w:footnote>
  <w:footnote w:id="524">
    <w:p w:rsidR="00971E82" w:rsidRPr="00FD6608" w:rsidRDefault="00971E82" w:rsidP="08163013">
      <w:pPr>
        <w:pStyle w:val="Textpoznpodarou"/>
        <w:rPr>
          <w:noProof/>
          <w:lang w:val="cs-CZ"/>
        </w:rPr>
      </w:pPr>
      <w:r>
        <w:rPr>
          <w:rStyle w:val="Znakapoznpodarou"/>
        </w:rPr>
        <w:footnoteRef/>
      </w:r>
      <w:r>
        <w:t xml:space="preserve"> </w:t>
      </w:r>
      <w:r w:rsidRPr="00273106">
        <w:rPr>
          <w:rStyle w:val="addmd"/>
          <w:noProof/>
          <w:lang w:val="cs-CZ"/>
        </w:rPr>
        <w:t xml:space="preserve">„Sed tunc quaeritur, Quas sit ista extensio? Et dicunt quidam, quod sit a ratione veri in rationem boni vel mali, secundum quod videtur Philosophus dicere in </w:t>
      </w:r>
      <w:r w:rsidRPr="00273106">
        <w:rPr>
          <w:rStyle w:val="addmd"/>
          <w:i/>
          <w:noProof/>
          <w:lang w:val="cs-CZ"/>
        </w:rPr>
        <w:t>Ethicis</w:t>
      </w:r>
      <w:r w:rsidRPr="00273106">
        <w:rPr>
          <w:rStyle w:val="addmd"/>
          <w:noProof/>
          <w:lang w:val="cs-CZ"/>
        </w:rPr>
        <w:t>, quod opus ethicum non est contemplandi gratia, sed ut boni fiamus.“ (</w:t>
      </w:r>
      <w:r w:rsidRPr="00273106">
        <w:rPr>
          <w:rStyle w:val="addmd"/>
          <w:i/>
          <w:noProof/>
          <w:lang w:val="cs-CZ"/>
        </w:rPr>
        <w:t>De homine</w:t>
      </w:r>
      <w:r w:rsidRPr="00273106">
        <w:rPr>
          <w:rStyle w:val="addmd"/>
          <w:noProof/>
          <w:lang w:val="cs-CZ"/>
        </w:rPr>
        <w:t>, q. 63, a</w:t>
      </w:r>
      <w:r>
        <w:rPr>
          <w:rStyle w:val="addmd"/>
          <w:noProof/>
          <w:lang w:val="cs-CZ"/>
        </w:rPr>
        <w:t>. 4; ed. Borgnet  35, 543b</w:t>
      </w:r>
      <w:r>
        <w:rPr>
          <w:rStyle w:val="addmd"/>
          <w:noProof/>
          <w:lang w:val="cs-CZ"/>
        </w:rPr>
        <w:fldChar w:fldCharType="begin"/>
      </w:r>
      <w:r>
        <w:instrText xml:space="preserve"> XE "</w:instrText>
      </w:r>
      <w:r>
        <w:rPr>
          <w:lang w:val="cs-CZ"/>
        </w:rPr>
        <w:instrText>Albert:</w:instrText>
      </w:r>
      <w:r w:rsidRPr="00AC5439">
        <w:rPr>
          <w:rStyle w:val="addmd"/>
          <w:i/>
          <w:noProof/>
          <w:lang w:val="cs-CZ"/>
        </w:rPr>
        <w:instrText>De homine</w:instrText>
      </w:r>
      <w:r>
        <w:rPr>
          <w:rStyle w:val="addmd"/>
          <w:noProof/>
          <w:lang w:val="cs-CZ"/>
        </w:rPr>
        <w:instrText xml:space="preserve"> 543</w:instrText>
      </w:r>
      <w:r w:rsidRPr="00AC5439">
        <w:rPr>
          <w:rStyle w:val="addmd"/>
          <w:noProof/>
          <w:lang w:val="cs-CZ"/>
        </w:rPr>
        <w:instrText>b</w:instrText>
      </w:r>
      <w:r>
        <w:instrText xml:space="preserve">" </w:instrText>
      </w:r>
      <w:r>
        <w:rPr>
          <w:rStyle w:val="addmd"/>
          <w:noProof/>
          <w:lang w:val="cs-CZ"/>
        </w:rPr>
        <w:fldChar w:fldCharType="end"/>
      </w:r>
      <w:r>
        <w:rPr>
          <w:rStyle w:val="addmd"/>
          <w:noProof/>
          <w:lang w:val="cs-CZ"/>
        </w:rPr>
        <w:t>)</w:t>
      </w:r>
    </w:p>
  </w:footnote>
  <w:footnote w:id="525">
    <w:p w:rsidR="00971E82" w:rsidRPr="08CD7377" w:rsidRDefault="00971E82" w:rsidP="08163013">
      <w:pPr>
        <w:pStyle w:val="Textpoznpodarou"/>
      </w:pPr>
      <w:r>
        <w:rPr>
          <w:rStyle w:val="Znakapoznpodarou"/>
        </w:rPr>
        <w:footnoteRef/>
      </w:r>
      <w:r>
        <w:t xml:space="preserve"> „</w:t>
      </w:r>
      <w:r w:rsidRPr="08CD7377">
        <w:rPr>
          <w:rStyle w:val="addmd"/>
        </w:rPr>
        <w:t>Wie ist nun hier praktischer Gebrauch der reinen Vernunft mit dem theoretischen eben derselben in Ansehung der Grenzbestimmung ihres Vermögens zu vereinigen?</w:t>
      </w:r>
      <w:r>
        <w:rPr>
          <w:rStyle w:val="addmd"/>
        </w:rPr>
        <w:t>“ (KdPV</w:t>
      </w:r>
      <w:r>
        <w:rPr>
          <w:rStyle w:val="addmd"/>
          <w:lang w:val="cs-CZ"/>
        </w:rPr>
        <w:t xml:space="preserve"> </w:t>
      </w:r>
      <w:r>
        <w:rPr>
          <w:rStyle w:val="addmd"/>
        </w:rPr>
        <w:t>50</w:t>
      </w:r>
      <w:r>
        <w:rPr>
          <w:rStyle w:val="addmd"/>
        </w:rPr>
        <w:fldChar w:fldCharType="begin"/>
      </w:r>
      <w:r>
        <w:instrText xml:space="preserve"> XE "</w:instrText>
      </w:r>
      <w:r>
        <w:rPr>
          <w:lang w:val="cs-CZ"/>
        </w:rPr>
        <w:instrText>Kant:</w:instrText>
      </w:r>
      <w:r w:rsidRPr="000F0C32">
        <w:rPr>
          <w:rStyle w:val="addmd"/>
        </w:rPr>
        <w:instrText>KdPV</w:instrText>
      </w:r>
      <w:r w:rsidRPr="000F0C32">
        <w:rPr>
          <w:rStyle w:val="addmd"/>
          <w:lang w:val="cs-CZ"/>
        </w:rPr>
        <w:instrText xml:space="preserve"> </w:instrText>
      </w:r>
      <w:r w:rsidRPr="000F0C32">
        <w:rPr>
          <w:rStyle w:val="addmd"/>
        </w:rPr>
        <w:instrText>50</w:instrText>
      </w:r>
      <w:r>
        <w:instrText xml:space="preserve">" </w:instrText>
      </w:r>
      <w:r>
        <w:rPr>
          <w:rStyle w:val="addmd"/>
        </w:rPr>
        <w:fldChar w:fldCharType="end"/>
      </w:r>
      <w:r>
        <w:rPr>
          <w:rStyle w:val="addmd"/>
        </w:rPr>
        <w:t>)</w:t>
      </w:r>
    </w:p>
  </w:footnote>
  <w:footnote w:id="526">
    <w:p w:rsidR="00971E82" w:rsidRPr="08BE18E2" w:rsidRDefault="00971E82" w:rsidP="08163013">
      <w:pPr>
        <w:pStyle w:val="Textpoznpodarou"/>
      </w:pPr>
      <w:r>
        <w:rPr>
          <w:rStyle w:val="Znakapoznpodarou"/>
        </w:rPr>
        <w:footnoteRef/>
      </w:r>
      <w:r>
        <w:t xml:space="preserve"> „</w:t>
      </w:r>
      <w:r>
        <w:rPr>
          <w:lang w:val="cs-CZ"/>
        </w:rPr>
        <w:t>N</w:t>
      </w:r>
      <w:r w:rsidRPr="08BE18E2">
        <w:t>otandum quod uirtus intellectualis est per admirationem formarum a Primo et Eius contemplationem, consuetudinalis uero per asseruationem et dominationem potentiarum inferiarum uel motuum carnalium</w:t>
      </w:r>
      <w:r>
        <w:t>...“ (</w:t>
      </w:r>
      <w:r w:rsidRPr="08BE18E2">
        <w:t xml:space="preserve">ms. </w:t>
      </w:r>
      <w:r w:rsidRPr="08BE18E2">
        <w:rPr>
          <w:i/>
        </w:rPr>
        <w:t>Ripoll</w:t>
      </w:r>
      <w:r w:rsidRPr="08BE18E2">
        <w:t xml:space="preserve"> 109</w:t>
      </w:r>
      <w:r>
        <w:t>, cit. podle Buffon 2007, 118</w:t>
      </w:r>
      <w:r>
        <w:fldChar w:fldCharType="begin"/>
      </w:r>
      <w:r>
        <w:instrText xml:space="preserve"> XE "</w:instrText>
      </w:r>
      <w:r w:rsidRPr="00754D78">
        <w:rPr>
          <w:i/>
        </w:rPr>
        <w:instrText>Guide de l'étudiant parisien</w:instrText>
      </w:r>
      <w:r>
        <w:rPr>
          <w:lang w:val="cs-CZ"/>
        </w:rPr>
        <w:instrText xml:space="preserve"> 118</w:instrText>
      </w:r>
      <w:r>
        <w:instrText xml:space="preserve">" </w:instrText>
      </w:r>
      <w:r>
        <w:fldChar w:fldCharType="end"/>
      </w:r>
      <w:r>
        <w:t>)</w:t>
      </w:r>
    </w:p>
  </w:footnote>
  <w:footnote w:id="527">
    <w:p w:rsidR="00971E82" w:rsidRPr="004B620A" w:rsidRDefault="00971E82" w:rsidP="08163013">
      <w:pPr>
        <w:pStyle w:val="Textpoznpodarou"/>
        <w:rPr>
          <w:rStyle w:val="Znakapoznpodarou"/>
        </w:rPr>
      </w:pPr>
      <w:r w:rsidRPr="004B620A">
        <w:rPr>
          <w:rStyle w:val="Znakapoznpodarou"/>
        </w:rPr>
        <w:footnoteRef/>
      </w:r>
      <w:r w:rsidRPr="004B620A">
        <w:rPr>
          <w:rStyle w:val="Znakapoznpodarou"/>
        </w:rPr>
        <w:t xml:space="preserve"> </w:t>
      </w:r>
      <w:r>
        <w:t xml:space="preserve"> „</w:t>
      </w:r>
      <w:r w:rsidRPr="00DC2C07">
        <w:t xml:space="preserve">Le </w:t>
      </w:r>
      <w:r w:rsidRPr="00DC2C07">
        <w:rPr>
          <w:szCs w:val="19"/>
        </w:rPr>
        <w:t xml:space="preserve">reste </w:t>
      </w:r>
      <w:r w:rsidRPr="00DC2C07">
        <w:rPr>
          <w:szCs w:val="18"/>
        </w:rPr>
        <w:t xml:space="preserve">de </w:t>
      </w:r>
      <w:r w:rsidRPr="00DC2C07">
        <w:t xml:space="preserve">l'oeuvre permet </w:t>
      </w:r>
      <w:r w:rsidRPr="00DC2C07">
        <w:rPr>
          <w:szCs w:val="23"/>
        </w:rPr>
        <w:t>d'affirmer</w:t>
      </w:r>
      <w:r>
        <w:rPr>
          <w:szCs w:val="23"/>
        </w:rPr>
        <w:t xml:space="preserve"> </w:t>
      </w:r>
      <w:r w:rsidRPr="00DC2C07">
        <w:t xml:space="preserve">que </w:t>
      </w:r>
      <w:r w:rsidRPr="00DC2C07">
        <w:rPr>
          <w:szCs w:val="22"/>
        </w:rPr>
        <w:t xml:space="preserve">l'auteur </w:t>
      </w:r>
      <w:r w:rsidRPr="00DC2C07">
        <w:t xml:space="preserve">du </w:t>
      </w:r>
      <w:r w:rsidRPr="001F212F">
        <w:rPr>
          <w:i/>
        </w:rPr>
        <w:t xml:space="preserve">Commentaire </w:t>
      </w:r>
      <w:r w:rsidRPr="001F212F">
        <w:rPr>
          <w:i/>
          <w:szCs w:val="19"/>
        </w:rPr>
        <w:t xml:space="preserve">de </w:t>
      </w:r>
      <w:r w:rsidRPr="001F212F">
        <w:rPr>
          <w:i/>
          <w:szCs w:val="22"/>
        </w:rPr>
        <w:t>Paris</w:t>
      </w:r>
      <w:r w:rsidRPr="00DC2C07">
        <w:rPr>
          <w:szCs w:val="22"/>
        </w:rPr>
        <w:t xml:space="preserve"> </w:t>
      </w:r>
      <w:r w:rsidRPr="00DC2C07">
        <w:t>semble envisager la possibilité pour</w:t>
      </w:r>
      <w:r>
        <w:t xml:space="preserve"> </w:t>
      </w:r>
      <w:r w:rsidRPr="00DC2C07">
        <w:rPr>
          <w:szCs w:val="22"/>
        </w:rPr>
        <w:t xml:space="preserve">l'homme </w:t>
      </w:r>
      <w:r w:rsidRPr="00DC2C07">
        <w:rPr>
          <w:szCs w:val="19"/>
        </w:rPr>
        <w:t xml:space="preserve">de </w:t>
      </w:r>
      <w:r w:rsidRPr="00DC2C07">
        <w:rPr>
          <w:szCs w:val="23"/>
        </w:rPr>
        <w:t xml:space="preserve">s'unir </w:t>
      </w:r>
      <w:r w:rsidRPr="00DC2C07">
        <w:rPr>
          <w:szCs w:val="16"/>
        </w:rPr>
        <w:t xml:space="preserve">à </w:t>
      </w:r>
      <w:r w:rsidRPr="00DC2C07">
        <w:t xml:space="preserve">Dieu par </w:t>
      </w:r>
      <w:r w:rsidRPr="00DC2C07">
        <w:rPr>
          <w:szCs w:val="19"/>
        </w:rPr>
        <w:t xml:space="preserve">une </w:t>
      </w:r>
      <w:r w:rsidRPr="00DC2C07">
        <w:t xml:space="preserve">certaine 'contemplation amoureuse', </w:t>
      </w:r>
      <w:r w:rsidRPr="00DC2C07">
        <w:rPr>
          <w:szCs w:val="23"/>
        </w:rPr>
        <w:t xml:space="preserve">fruit </w:t>
      </w:r>
      <w:r w:rsidRPr="00DC2C07">
        <w:rPr>
          <w:szCs w:val="19"/>
        </w:rPr>
        <w:t>de</w:t>
      </w:r>
      <w:r>
        <w:rPr>
          <w:szCs w:val="19"/>
        </w:rPr>
        <w:t xml:space="preserve"> </w:t>
      </w:r>
      <w:r w:rsidRPr="00DC2C07">
        <w:rPr>
          <w:szCs w:val="23"/>
        </w:rPr>
        <w:t xml:space="preserve">l'activité </w:t>
      </w:r>
      <w:r w:rsidRPr="00DC2C07">
        <w:rPr>
          <w:szCs w:val="22"/>
        </w:rPr>
        <w:t xml:space="preserve">conjointe </w:t>
      </w:r>
      <w:r w:rsidRPr="00DC2C07">
        <w:t xml:space="preserve">d'une connaissance </w:t>
      </w:r>
      <w:r w:rsidRPr="00DC2C07">
        <w:rPr>
          <w:szCs w:val="22"/>
        </w:rPr>
        <w:t>intuitive (</w:t>
      </w:r>
      <w:r w:rsidRPr="001F212F">
        <w:rPr>
          <w:i/>
          <w:szCs w:val="22"/>
        </w:rPr>
        <w:t xml:space="preserve">cognitio </w:t>
      </w:r>
      <w:r w:rsidRPr="001F212F">
        <w:rPr>
          <w:i/>
          <w:szCs w:val="19"/>
        </w:rPr>
        <w:t xml:space="preserve">sine </w:t>
      </w:r>
      <w:r w:rsidRPr="001F212F">
        <w:rPr>
          <w:i/>
        </w:rPr>
        <w:t>phantasmate</w:t>
      </w:r>
      <w:r w:rsidRPr="00DC2C07">
        <w:t>)</w:t>
      </w:r>
      <w:r>
        <w:t xml:space="preserve"> </w:t>
      </w:r>
      <w:r w:rsidRPr="00DC2C07">
        <w:rPr>
          <w:szCs w:val="19"/>
        </w:rPr>
        <w:t xml:space="preserve">et </w:t>
      </w:r>
      <w:r w:rsidRPr="00DC2C07">
        <w:t xml:space="preserve">d'une connaissance </w:t>
      </w:r>
      <w:r w:rsidRPr="00DC2C07">
        <w:rPr>
          <w:szCs w:val="22"/>
        </w:rPr>
        <w:t>affective (</w:t>
      </w:r>
      <w:r w:rsidRPr="001F212F">
        <w:rPr>
          <w:i/>
          <w:szCs w:val="22"/>
        </w:rPr>
        <w:t xml:space="preserve">cognitio </w:t>
      </w:r>
      <w:r w:rsidRPr="001F212F">
        <w:rPr>
          <w:i/>
          <w:szCs w:val="19"/>
        </w:rPr>
        <w:t xml:space="preserve">cum </w:t>
      </w:r>
      <w:r w:rsidRPr="001F212F">
        <w:rPr>
          <w:i/>
        </w:rPr>
        <w:t>affectu</w:t>
      </w:r>
      <w:r w:rsidRPr="00DC2C07">
        <w:t>)</w:t>
      </w:r>
      <w:r>
        <w:t xml:space="preserve">.“ (Zavattero 2007, 317). </w:t>
      </w:r>
    </w:p>
  </w:footnote>
  <w:footnote w:id="528">
    <w:p w:rsidR="00971E82" w:rsidRPr="08F94B82" w:rsidRDefault="00971E82" w:rsidP="08163013">
      <w:pPr>
        <w:pStyle w:val="Textpoznpodarou"/>
      </w:pPr>
      <w:r>
        <w:rPr>
          <w:rStyle w:val="Znakapoznpodarou"/>
        </w:rPr>
        <w:footnoteRef/>
      </w:r>
      <w:r>
        <w:t xml:space="preserve"> „</w:t>
      </w:r>
      <w:r>
        <w:rPr>
          <w:lang w:val="cs-CZ"/>
        </w:rPr>
        <w:t>A</w:t>
      </w:r>
      <w:r w:rsidRPr="08F94B82">
        <w:rPr>
          <w:rFonts w:eastAsia="TeXGyreTermes-Regular"/>
        </w:rPr>
        <w:t>nima secundum partem speculatiuam habet duplicem naturam, unam</w:t>
      </w:r>
      <w:r w:rsidRPr="08F94B82">
        <w:t xml:space="preserve"> </w:t>
      </w:r>
      <w:r w:rsidRPr="08F94B82">
        <w:rPr>
          <w:rFonts w:eastAsia="TeXGyreTermes-Regular"/>
        </w:rPr>
        <w:t>secundum quam comparatur ad superiora et hec uocatur intellectus agens, aliam</w:t>
      </w:r>
      <w:r w:rsidRPr="08F94B82">
        <w:t xml:space="preserve"> </w:t>
      </w:r>
      <w:r w:rsidRPr="08F94B82">
        <w:rPr>
          <w:rFonts w:eastAsia="TeXGyreTermes-Regular"/>
        </w:rPr>
        <w:t>habet secundum quam comparatur ad inferiora et hec uocatur intellectus possibilis</w:t>
      </w:r>
      <w:r w:rsidRPr="08F94B82">
        <w:t xml:space="preserve"> </w:t>
      </w:r>
      <w:r w:rsidRPr="08F94B82">
        <w:rPr>
          <w:rFonts w:eastAsia="TeXGyreTermes-Regular"/>
        </w:rPr>
        <w:t>et secundum intellectum agentem semper est in anima ueritas, secundum</w:t>
      </w:r>
      <w:r w:rsidRPr="08F94B82">
        <w:t xml:space="preserve"> </w:t>
      </w:r>
      <w:r w:rsidRPr="08F94B82">
        <w:rPr>
          <w:rFonts w:eastAsia="TeXGyreTermes-Regular"/>
        </w:rPr>
        <w:t>possibilem non, similiter ex parte intellectus pr</w:t>
      </w:r>
      <w:r w:rsidRPr="08F94B82">
        <w:t>actici sunt iste diuerse nature</w:t>
      </w:r>
      <w:r w:rsidRPr="08F94B82">
        <w:rPr>
          <w:rFonts w:eastAsia="TeXGyreTermes-Regular"/>
        </w:rPr>
        <w:t>: una</w:t>
      </w:r>
      <w:r w:rsidRPr="08F94B82">
        <w:t xml:space="preserve"> </w:t>
      </w:r>
      <w:r w:rsidRPr="08F94B82">
        <w:rPr>
          <w:rFonts w:eastAsia="TeXGyreTermes-Regular"/>
        </w:rPr>
        <w:t>que respondet intellectui agenti et hec uocatur superior pars intellectus practici,</w:t>
      </w:r>
      <w:r w:rsidRPr="08F94B82">
        <w:t xml:space="preserve"> </w:t>
      </w:r>
      <w:r w:rsidRPr="08F94B82">
        <w:rPr>
          <w:rFonts w:eastAsia="TeXGyreTermes-Regular"/>
        </w:rPr>
        <w:t>alia respondet intellectui possibili et uocatur inferior pars intellectus practici, et</w:t>
      </w:r>
      <w:r w:rsidRPr="08F94B82">
        <w:t xml:space="preserve"> </w:t>
      </w:r>
      <w:r w:rsidRPr="08F94B82">
        <w:rPr>
          <w:rFonts w:eastAsia="TeXGyreTermes-Regular"/>
        </w:rPr>
        <w:t>pars superior semper est ad bonum, inferior non</w:t>
      </w:r>
      <w:r w:rsidRPr="08F94B82">
        <w:t>...“ (</w:t>
      </w:r>
      <w:r w:rsidRPr="08F94B82">
        <w:rPr>
          <w:i/>
        </w:rPr>
        <w:t xml:space="preserve">Lectura in Ethicam novam </w:t>
      </w:r>
      <w:r w:rsidRPr="08F94B82">
        <w:rPr>
          <w:rFonts w:eastAsia="TeXGyreTermes-Regular"/>
          <w:i/>
        </w:rPr>
        <w:t xml:space="preserve">du </w:t>
      </w:r>
      <w:r w:rsidRPr="08F94B82">
        <w:rPr>
          <w:i/>
        </w:rPr>
        <w:t>Commentaire de Paris</w:t>
      </w:r>
      <w:r w:rsidRPr="08F94B82">
        <w:t xml:space="preserve">, </w:t>
      </w:r>
      <w:r w:rsidRPr="08F94B82">
        <w:rPr>
          <w:rFonts w:eastAsia="TeXGyreTermes-Regular"/>
          <w:szCs w:val="16"/>
        </w:rPr>
        <w:t>Le prologue</w:t>
      </w:r>
      <w:r>
        <w:rPr>
          <w:rFonts w:eastAsia="TeXGyreTermes-Regular"/>
          <w:szCs w:val="16"/>
        </w:rPr>
        <w:t>;</w:t>
      </w:r>
      <w:r w:rsidRPr="08F94B82">
        <w:rPr>
          <w:rFonts w:eastAsia="TeXGyreTermes-Regular"/>
          <w:szCs w:val="16"/>
        </w:rPr>
        <w:t xml:space="preserve"> </w:t>
      </w:r>
      <w:r w:rsidRPr="08F94B82">
        <w:t xml:space="preserve">ed. </w:t>
      </w:r>
      <w:r w:rsidRPr="08F94B82">
        <w:rPr>
          <w:rFonts w:eastAsia="TeXGyreTermes-Regular"/>
          <w:szCs w:val="16"/>
        </w:rPr>
        <w:t>Zavattero, p. 24.169‒25.179</w:t>
      </w:r>
      <w:r>
        <w:rPr>
          <w:i/>
        </w:rPr>
        <w:fldChar w:fldCharType="begin"/>
      </w:r>
      <w:r>
        <w:instrText xml:space="preserve"> XE "</w:instrText>
      </w:r>
      <w:r w:rsidRPr="00C32695">
        <w:rPr>
          <w:i/>
        </w:rPr>
        <w:instrText xml:space="preserve">Lectura in Ethicam novam </w:instrText>
      </w:r>
      <w:r w:rsidRPr="00C32695">
        <w:rPr>
          <w:rFonts w:eastAsia="TeXGyreTermes-Regular"/>
          <w:i/>
        </w:rPr>
        <w:instrText xml:space="preserve">du </w:instrText>
      </w:r>
      <w:r w:rsidRPr="00C32695">
        <w:rPr>
          <w:i/>
        </w:rPr>
        <w:instrText>Commentaire de Paris</w:instrText>
      </w:r>
      <w:r>
        <w:rPr>
          <w:i/>
          <w:lang w:val="cs-CZ"/>
        </w:rPr>
        <w:instrText xml:space="preserve"> </w:instrText>
      </w:r>
      <w:r w:rsidRPr="08F94B82">
        <w:rPr>
          <w:rFonts w:eastAsia="TeXGyreTermes-Regular"/>
          <w:szCs w:val="16"/>
        </w:rPr>
        <w:instrText>24.169‒25.179</w:instrText>
      </w:r>
      <w:r>
        <w:instrText xml:space="preserve">" </w:instrText>
      </w:r>
      <w:r>
        <w:rPr>
          <w:i/>
        </w:rPr>
        <w:fldChar w:fldCharType="end"/>
      </w:r>
      <w:r w:rsidRPr="08F94B82">
        <w:t>)</w:t>
      </w:r>
    </w:p>
  </w:footnote>
  <w:footnote w:id="529">
    <w:p w:rsidR="00971E82" w:rsidRPr="0804479D" w:rsidRDefault="00971E82" w:rsidP="08163013">
      <w:pPr>
        <w:pStyle w:val="Textpoznpodarou"/>
      </w:pPr>
      <w:r>
        <w:rPr>
          <w:rStyle w:val="Znakapoznpodarou"/>
        </w:rPr>
        <w:footnoteRef/>
      </w:r>
      <w:r>
        <w:t xml:space="preserve"> „</w:t>
      </w:r>
      <w:r w:rsidRPr="08AF14DE">
        <w:t>Ad quod dicendum est quod uirtus intellectualis est uirtus secundum quam coniungitur anima superiori essentie a qua nata est perfici. Coniungitur autem superiori essentie per intellectum tantum contemplatione et affectu animi. Virtus intellectualis inchoatur a contemplatione et perficitur in affectu. Est enim in contemplatione summi boni cum dilection</w:t>
      </w:r>
      <w:r>
        <w:t>e</w:t>
      </w:r>
      <w:r w:rsidRPr="08AF14DE">
        <w:t xml:space="preserve"> eiusdem et quia sola operatione ipsius intellectus, quantum est de uirtute hominis, perficitur, 'merito' intellectualis nuncupatur.</w:t>
      </w:r>
      <w:r>
        <w:t>“ (</w:t>
      </w:r>
      <w:r w:rsidRPr="08F57E47">
        <w:rPr>
          <w:i/>
        </w:rPr>
        <w:t>Commentarium Abrincense</w:t>
      </w:r>
      <w:r>
        <w:t xml:space="preserve">, </w:t>
      </w:r>
      <w:r w:rsidRPr="0804479D">
        <w:t xml:space="preserve">Bibl. Munich, </w:t>
      </w:r>
      <w:r>
        <w:t>ms. 232, f</w:t>
      </w:r>
      <w:r>
        <w:rPr>
          <w:lang w:val="cs-CZ"/>
        </w:rPr>
        <w:t>ol.</w:t>
      </w:r>
      <w:r>
        <w:t xml:space="preserve"> 91r-91</w:t>
      </w:r>
      <w:r w:rsidRPr="0804479D">
        <w:t>v</w:t>
      </w:r>
      <w:r>
        <w:t>; ed. Buffon 2007, 122</w:t>
      </w:r>
      <w:r>
        <w:rPr>
          <w:i/>
        </w:rPr>
        <w:fldChar w:fldCharType="begin"/>
      </w:r>
      <w:r>
        <w:instrText xml:space="preserve"> XE "</w:instrText>
      </w:r>
      <w:r w:rsidRPr="00941FB3">
        <w:rPr>
          <w:i/>
        </w:rPr>
        <w:instrText>Commentarium Abrincense</w:instrText>
      </w:r>
      <w:r>
        <w:rPr>
          <w:i/>
          <w:lang w:val="cs-CZ"/>
        </w:rPr>
        <w:instrText xml:space="preserve"> </w:instrText>
      </w:r>
      <w:r w:rsidRPr="00700F13">
        <w:rPr>
          <w:lang w:val="cs-CZ"/>
        </w:rPr>
        <w:instrText>122</w:instrText>
      </w:r>
      <w:r>
        <w:instrText xml:space="preserve">" </w:instrText>
      </w:r>
      <w:r>
        <w:rPr>
          <w:i/>
        </w:rPr>
        <w:fldChar w:fldCharType="end"/>
      </w:r>
      <w:r>
        <w:t>)</w:t>
      </w:r>
    </w:p>
  </w:footnote>
  <w:footnote w:id="530">
    <w:p w:rsidR="00971E82" w:rsidRPr="08A46382" w:rsidRDefault="00971E82" w:rsidP="08163013">
      <w:pPr>
        <w:pStyle w:val="Textpoznpodarou"/>
      </w:pPr>
      <w:r>
        <w:rPr>
          <w:rStyle w:val="Znakapoznpodarou"/>
        </w:rPr>
        <w:footnoteRef/>
      </w:r>
      <w:r>
        <w:t xml:space="preserve"> „</w:t>
      </w:r>
      <w:r w:rsidRPr="088D4A2C">
        <w:t>Ad ultimum dico quod Aristotiles non ponit hic diuisionem uirtutis nisi</w:t>
      </w:r>
      <w:r>
        <w:t xml:space="preserve"> secundum quod inest anime unite</w:t>
      </w:r>
      <w:r w:rsidRPr="088D4A2C">
        <w:t xml:space="preserve"> corpori. Hec autem uirtus uel est consuetudinalis siue ciuilis, uel purgatoria uel intellectualis. Virtus uero purgati animi est uirtus que quidem inest anime tantum post separationem anime a corpore. Virtus uero exemplaris est uirtus incausata que est ipsum Primum. Et ideo de hiis duabus non facit hic mentionem. Non enim diuidit hic uirtutem uniuersaliter, set eam que est anime in coniuncto</w:t>
      </w:r>
      <w:r>
        <w:t>.“ (</w:t>
      </w:r>
      <w:r w:rsidRPr="08B5105B">
        <w:rPr>
          <w:i/>
        </w:rPr>
        <w:t>Pseudo-Peckham</w:t>
      </w:r>
      <w:r w:rsidRPr="088D4A2C">
        <w:t>, Lectio 22, q. 2, §</w:t>
      </w:r>
      <w:r>
        <w:t xml:space="preserve"> </w:t>
      </w:r>
      <w:r w:rsidRPr="088D4A2C">
        <w:t>16</w:t>
      </w:r>
      <w:r>
        <w:t>; ed. Buffon 2007, 293</w:t>
      </w:r>
      <w:r>
        <w:fldChar w:fldCharType="begin"/>
      </w:r>
      <w:r>
        <w:instrText xml:space="preserve"> XE "</w:instrText>
      </w:r>
      <w:r w:rsidRPr="00273106">
        <w:rPr>
          <w:i/>
        </w:rPr>
        <w:instrText>Commentarium in Ethicam Nouam et Veterem</w:instrText>
      </w:r>
      <w:r>
        <w:instrText xml:space="preserve"> </w:instrText>
      </w:r>
      <w:r>
        <w:rPr>
          <w:lang w:val="cs-CZ"/>
        </w:rPr>
        <w:instrText>293</w:instrText>
      </w:r>
      <w:r>
        <w:instrText xml:space="preserve">" </w:instrText>
      </w:r>
      <w:r>
        <w:fldChar w:fldCharType="end"/>
      </w:r>
      <w:r>
        <w:t>)</w:t>
      </w:r>
    </w:p>
  </w:footnote>
  <w:footnote w:id="531">
    <w:p w:rsidR="00971E82" w:rsidRPr="00F210F1" w:rsidRDefault="00971E82" w:rsidP="08163013">
      <w:pPr>
        <w:pStyle w:val="Textpoznpodarou"/>
        <w:rPr>
          <w:noProof/>
          <w:lang w:val="cs-CZ"/>
        </w:rPr>
      </w:pPr>
      <w:r>
        <w:rPr>
          <w:rStyle w:val="Znakapoznpodarou"/>
        </w:rPr>
        <w:footnoteRef/>
      </w:r>
      <w:r>
        <w:t xml:space="preserve"> </w:t>
      </w:r>
      <w:r w:rsidRPr="00273106">
        <w:rPr>
          <w:noProof/>
        </w:rPr>
        <w:t>„Aliter potest haberi diuisio hoc modo, ut habetur in tertio De anima: «secantur sensus et scientie in res», et ideo secundum diuisionem rerum erit diuisio scientiarum.“ (</w:t>
      </w:r>
      <w:r w:rsidRPr="00273106">
        <w:rPr>
          <w:i/>
          <w:noProof/>
        </w:rPr>
        <w:t>Pseudo-Peckham</w:t>
      </w:r>
      <w:r w:rsidRPr="00273106">
        <w:rPr>
          <w:noProof/>
        </w:rPr>
        <w:t>, prologus</w:t>
      </w:r>
      <w:r>
        <w:rPr>
          <w:noProof/>
        </w:rPr>
        <w:t>, § 3; ed. Buffon 2007, 220‒</w:t>
      </w:r>
      <w:r w:rsidRPr="00273106">
        <w:rPr>
          <w:noProof/>
        </w:rPr>
        <w:t>21</w:t>
      </w:r>
      <w:r>
        <w:fldChar w:fldCharType="begin"/>
      </w:r>
      <w:r>
        <w:instrText xml:space="preserve"> XE "</w:instrText>
      </w:r>
      <w:r>
        <w:rPr>
          <w:lang w:val="cs-CZ"/>
        </w:rPr>
        <w:instrText>Pseudo-Peckham:</w:instrText>
      </w:r>
      <w:r w:rsidRPr="00273106">
        <w:rPr>
          <w:i/>
        </w:rPr>
        <w:instrText>Commentarium in Ethicam Nouam et Veterem</w:instrText>
      </w:r>
      <w:r>
        <w:instrText xml:space="preserve"> </w:instrText>
      </w:r>
      <w:r>
        <w:rPr>
          <w:lang w:val="cs-CZ"/>
        </w:rPr>
        <w:instrText>220‒21</w:instrText>
      </w:r>
      <w:r>
        <w:instrText xml:space="preserve">" </w:instrText>
      </w:r>
      <w:r>
        <w:fldChar w:fldCharType="end"/>
      </w:r>
      <w:r w:rsidRPr="00273106">
        <w:rPr>
          <w:noProof/>
        </w:rPr>
        <w:t>)</w:t>
      </w:r>
    </w:p>
  </w:footnote>
  <w:footnote w:id="532">
    <w:p w:rsidR="00971E82" w:rsidRPr="00D72A72" w:rsidRDefault="00971E82" w:rsidP="08163013">
      <w:pPr>
        <w:pStyle w:val="Textpoznpodarou"/>
        <w:rPr>
          <w:lang w:val="cs-CZ"/>
        </w:rPr>
      </w:pPr>
      <w:r>
        <w:rPr>
          <w:rStyle w:val="Znakapoznpodarou"/>
        </w:rPr>
        <w:footnoteRef/>
      </w:r>
      <w:r>
        <w:t xml:space="preserve"> </w:t>
      </w:r>
      <w:r w:rsidRPr="00273106">
        <w:rPr>
          <w:noProof/>
        </w:rPr>
        <w:t>„Est ergo moralis scientia proprie de bono, siue de rebus prout sunt ab opere nostro. Et ideo, cum scientia essentialiter recipiat diuisionem secundum diuisionem eius de quo est, diuiditur moralis scientia uel philosophia essentialiter secundum diuisionem boni.“ (</w:t>
      </w:r>
      <w:r w:rsidRPr="00273106">
        <w:rPr>
          <w:i/>
          <w:noProof/>
        </w:rPr>
        <w:t>Pseudo-Peckham</w:t>
      </w:r>
      <w:r w:rsidRPr="00273106">
        <w:rPr>
          <w:noProof/>
        </w:rPr>
        <w:t>, Prologus, § 3; ed. Buffon 2007, 17</w:t>
      </w:r>
      <w:r>
        <w:fldChar w:fldCharType="begin"/>
      </w:r>
      <w:r>
        <w:instrText xml:space="preserve"> XE "</w:instrText>
      </w:r>
      <w:r>
        <w:rPr>
          <w:lang w:val="cs-CZ"/>
        </w:rPr>
        <w:instrText>Pseudo-Peckham:</w:instrText>
      </w:r>
      <w:r w:rsidRPr="00273106">
        <w:rPr>
          <w:i/>
        </w:rPr>
        <w:instrText>Commentarium in Ethicam Nouam et Veterem</w:instrText>
      </w:r>
      <w:r>
        <w:instrText xml:space="preserve"> </w:instrText>
      </w:r>
      <w:r>
        <w:rPr>
          <w:lang w:val="cs-CZ"/>
        </w:rPr>
        <w:instrText>17</w:instrText>
      </w:r>
      <w:r>
        <w:instrText xml:space="preserve">" </w:instrText>
      </w:r>
      <w:r>
        <w:fldChar w:fldCharType="end"/>
      </w:r>
      <w:r w:rsidRPr="00273106">
        <w:rPr>
          <w:noProof/>
        </w:rPr>
        <w:t>)</w:t>
      </w:r>
    </w:p>
  </w:footnote>
  <w:footnote w:id="533">
    <w:p w:rsidR="00971E82" w:rsidRPr="082E5DB2" w:rsidRDefault="00971E82" w:rsidP="08163013">
      <w:pPr>
        <w:pStyle w:val="Textpoznpodarou"/>
      </w:pPr>
      <w:r>
        <w:rPr>
          <w:rStyle w:val="Znakapoznpodarou"/>
        </w:rPr>
        <w:footnoteRef/>
      </w:r>
      <w:r>
        <w:t xml:space="preserve"> „</w:t>
      </w:r>
      <w:r w:rsidRPr="08F0377E">
        <w:t>Item, uerum accipitur a causa formali, bonum uero a causa finali. Set finalis est causa causarum et omnes alias causas antecedit, et ita formalem. Quare et bonum antecedit uerum</w:t>
      </w:r>
      <w:r>
        <w:t xml:space="preserve">.“ </w:t>
      </w:r>
      <w:r>
        <w:rPr>
          <w:rStyle w:val="addmd"/>
        </w:rPr>
        <w:t>(</w:t>
      </w:r>
      <w:r w:rsidRPr="08B5105B">
        <w:rPr>
          <w:i/>
        </w:rPr>
        <w:t>Pseudo-Peckham</w:t>
      </w:r>
      <w:r>
        <w:rPr>
          <w:rStyle w:val="addmd"/>
        </w:rPr>
        <w:t xml:space="preserve">, Prologus, q. 1, § 17; </w:t>
      </w:r>
      <w:r w:rsidRPr="08B23DB8">
        <w:rPr>
          <w:rStyle w:val="addmd"/>
        </w:rPr>
        <w:t>Buff</w:t>
      </w:r>
      <w:r>
        <w:rPr>
          <w:rStyle w:val="addmd"/>
        </w:rPr>
        <w:t>on 2007, 31</w:t>
      </w:r>
      <w:r>
        <w:fldChar w:fldCharType="begin"/>
      </w:r>
      <w:r>
        <w:instrText xml:space="preserve"> XE "</w:instrText>
      </w:r>
      <w:r>
        <w:rPr>
          <w:lang w:val="cs-CZ"/>
        </w:rPr>
        <w:instrText>Pseudo-Peckham:</w:instrText>
      </w:r>
      <w:r w:rsidRPr="00273106">
        <w:rPr>
          <w:i/>
        </w:rPr>
        <w:instrText>Commentarium in Ethicam Nouam et Veterem</w:instrText>
      </w:r>
      <w:r>
        <w:instrText xml:space="preserve"> </w:instrText>
      </w:r>
      <w:r>
        <w:rPr>
          <w:lang w:val="cs-CZ"/>
        </w:rPr>
        <w:instrText>31</w:instrText>
      </w:r>
      <w:r>
        <w:instrText xml:space="preserve">" </w:instrText>
      </w:r>
      <w:r>
        <w:fldChar w:fldCharType="end"/>
      </w:r>
      <w:r>
        <w:rPr>
          <w:rStyle w:val="addmd"/>
        </w:rPr>
        <w:t>)</w:t>
      </w:r>
    </w:p>
  </w:footnote>
  <w:footnote w:id="534">
    <w:p w:rsidR="00971E82" w:rsidRPr="084A74BB" w:rsidRDefault="00971E82" w:rsidP="08163013">
      <w:pPr>
        <w:pStyle w:val="Textpoznpodarou"/>
      </w:pPr>
      <w:r>
        <w:rPr>
          <w:rStyle w:val="Znakapoznpodarou"/>
        </w:rPr>
        <w:footnoteRef/>
      </w:r>
      <w:r>
        <w:t xml:space="preserve"> </w:t>
      </w:r>
      <w:r w:rsidRPr="084A74BB">
        <w:rPr>
          <w:rStyle w:val="TextpoznpodarouChar"/>
          <w:rFonts w:eastAsia="Times"/>
        </w:rPr>
        <w:t>„Ad aliud dicendum quod finis dicitur causa causarum non quia precedat secundum esse, set quia precedit in mouendo eo modo quo mouet, et quia ipsa habita quies est. Est ergo prior aliis tempore in quantum mouet suo modo, et est prior dignitate et completione in quantum finit et terminat motum et indigentiam omnium.“ (</w:t>
      </w:r>
      <w:r w:rsidRPr="08B5105B">
        <w:rPr>
          <w:i/>
        </w:rPr>
        <w:t>Pseudo-Peckham</w:t>
      </w:r>
      <w:r w:rsidRPr="084A74BB">
        <w:rPr>
          <w:rStyle w:val="TextpoznpodarouChar"/>
          <w:rFonts w:eastAsia="Times"/>
        </w:rPr>
        <w:t>, Prolo</w:t>
      </w:r>
      <w:r>
        <w:rPr>
          <w:rStyle w:val="TextpoznpodarouChar"/>
          <w:rFonts w:eastAsia="Times"/>
        </w:rPr>
        <w:t>gus, q. 1, § 24; Buffon 2007, 230</w:t>
      </w:r>
      <w:r>
        <w:fldChar w:fldCharType="begin"/>
      </w:r>
      <w:r>
        <w:instrText xml:space="preserve"> XE "</w:instrText>
      </w:r>
      <w:r>
        <w:rPr>
          <w:lang w:val="cs-CZ"/>
        </w:rPr>
        <w:instrText>Pseudo-Peckham:</w:instrText>
      </w:r>
      <w:r w:rsidRPr="00273106">
        <w:rPr>
          <w:i/>
        </w:rPr>
        <w:instrText>Commentarium in Ethicam Nouam et Veterem</w:instrText>
      </w:r>
      <w:r>
        <w:instrText xml:space="preserve"> </w:instrText>
      </w:r>
      <w:r>
        <w:rPr>
          <w:lang w:val="cs-CZ"/>
        </w:rPr>
        <w:instrText>230</w:instrText>
      </w:r>
      <w:r>
        <w:instrText xml:space="preserve">" </w:instrText>
      </w:r>
      <w:r>
        <w:fldChar w:fldCharType="end"/>
      </w:r>
      <w:r w:rsidRPr="084A74BB">
        <w:rPr>
          <w:rStyle w:val="TextpoznpodarouChar"/>
          <w:rFonts w:eastAsia="Times"/>
        </w:rPr>
        <w:t>)</w:t>
      </w:r>
    </w:p>
  </w:footnote>
  <w:footnote w:id="535">
    <w:p w:rsidR="00971E82" w:rsidRPr="00C67297" w:rsidRDefault="00971E82" w:rsidP="08163013">
      <w:pPr>
        <w:pStyle w:val="Textpoznpodarou"/>
        <w:rPr>
          <w:lang w:val="cs-CZ"/>
        </w:rPr>
      </w:pPr>
      <w:r>
        <w:rPr>
          <w:rStyle w:val="Znakapoznpodarou"/>
        </w:rPr>
        <w:footnoteRef/>
      </w:r>
      <w:r>
        <w:t xml:space="preserve"> </w:t>
      </w:r>
      <w:r w:rsidRPr="00273106">
        <w:rPr>
          <w:rStyle w:val="addmd"/>
          <w:noProof/>
          <w:lang w:val="cs-CZ"/>
        </w:rPr>
        <w:t>„Et similiter ex parte virtutis intellectivae, intellectus per eandem virtutem, primo recipiendo speciem boni inquantum bonum actuale est, apprehendit et cognoscit bonum actuale, et sic est intellectus practicus.“ (</w:t>
      </w:r>
      <w:r w:rsidRPr="00273106">
        <w:rPr>
          <w:rStyle w:val="addmd"/>
          <w:i/>
          <w:noProof/>
          <w:lang w:val="cs-CZ"/>
        </w:rPr>
        <w:t xml:space="preserve">In </w:t>
      </w:r>
      <w:r>
        <w:rPr>
          <w:rStyle w:val="addmd"/>
          <w:i/>
          <w:noProof/>
          <w:lang w:val="cs-CZ"/>
        </w:rPr>
        <w:t>De anima</w:t>
      </w:r>
      <w:r w:rsidRPr="00273106">
        <w:rPr>
          <w:rStyle w:val="addmd"/>
          <w:i/>
          <w:noProof/>
          <w:lang w:val="cs-CZ"/>
        </w:rPr>
        <w:t xml:space="preserve"> III</w:t>
      </w:r>
      <w:r w:rsidRPr="00273106">
        <w:rPr>
          <w:rStyle w:val="addmd"/>
          <w:noProof/>
          <w:lang w:val="cs-CZ"/>
        </w:rPr>
        <w:t xml:space="preserve">, </w:t>
      </w:r>
      <w:r>
        <w:rPr>
          <w:rStyle w:val="addmd"/>
          <w:noProof/>
          <w:lang w:val="cs-CZ"/>
        </w:rPr>
        <w:t xml:space="preserve">10.17; </w:t>
      </w:r>
      <w:r w:rsidRPr="00273106">
        <w:rPr>
          <w:noProof/>
        </w:rPr>
        <w:t xml:space="preserve">ed. </w:t>
      </w:r>
      <w:r w:rsidRPr="00C67297">
        <w:rPr>
          <w:noProof/>
        </w:rPr>
        <w:t xml:space="preserve">RRP, </w:t>
      </w:r>
      <w:r w:rsidRPr="00273106">
        <w:rPr>
          <w:rStyle w:val="addmd"/>
          <w:noProof/>
          <w:lang w:val="cs-CZ"/>
        </w:rPr>
        <w:t>10.</w:t>
      </w:r>
      <w:r>
        <w:rPr>
          <w:rStyle w:val="addmd"/>
          <w:noProof/>
          <w:lang w:val="cs-CZ"/>
        </w:rPr>
        <w:t>17.</w:t>
      </w:r>
      <w:r w:rsidRPr="00273106">
        <w:rPr>
          <w:rStyle w:val="addmd"/>
          <w:noProof/>
          <w:lang w:val="cs-CZ"/>
        </w:rPr>
        <w:t>Q2</w:t>
      </w:r>
      <w:r>
        <w:rPr>
          <w:rStyle w:val="addmd"/>
          <w:noProof/>
          <w:lang w:val="cs-CZ"/>
        </w:rPr>
        <w:fldChar w:fldCharType="begin"/>
      </w:r>
      <w:r>
        <w:instrText xml:space="preserve"> XE "</w:instrText>
      </w:r>
      <w:r>
        <w:rPr>
          <w:lang w:val="cs-CZ"/>
        </w:rPr>
        <w:instrText>Rufus:</w:instrText>
      </w:r>
      <w:r w:rsidRPr="00BF37D7">
        <w:rPr>
          <w:rStyle w:val="addmd"/>
          <w:i/>
          <w:noProof/>
          <w:lang w:val="cs-CZ"/>
        </w:rPr>
        <w:instrText>In De anima</w:instrText>
      </w:r>
      <w:r w:rsidRPr="00BF37D7">
        <w:rPr>
          <w:noProof/>
        </w:rPr>
        <w:instrText xml:space="preserve"> </w:instrText>
      </w:r>
      <w:r w:rsidRPr="00BF37D7">
        <w:rPr>
          <w:rStyle w:val="addmd"/>
          <w:noProof/>
          <w:lang w:val="cs-CZ"/>
        </w:rPr>
        <w:instrText>17.Q2</w:instrText>
      </w:r>
      <w:r>
        <w:instrText xml:space="preserve">" </w:instrText>
      </w:r>
      <w:r>
        <w:rPr>
          <w:rStyle w:val="addmd"/>
          <w:noProof/>
          <w:lang w:val="cs-CZ"/>
        </w:rPr>
        <w:fldChar w:fldCharType="end"/>
      </w:r>
      <w:r w:rsidRPr="00273106">
        <w:rPr>
          <w:rStyle w:val="addmd"/>
          <w:noProof/>
          <w:lang w:val="cs-CZ"/>
        </w:rPr>
        <w:t>)</w:t>
      </w:r>
    </w:p>
  </w:footnote>
  <w:footnote w:id="536">
    <w:p w:rsidR="00971E82" w:rsidRPr="08F336EC" w:rsidRDefault="00971E82" w:rsidP="08163013">
      <w:pPr>
        <w:pStyle w:val="Textpoznpodarou"/>
      </w:pPr>
      <w:r>
        <w:rPr>
          <w:rStyle w:val="Znakapoznpodarou"/>
        </w:rPr>
        <w:footnoteRef/>
      </w:r>
      <w:r>
        <w:t xml:space="preserve"> „Dicendum quod intellectus, eo quod coniunctus est imaginationi, aliquo modo afficitur et inficitur ex affectionibus imaginationis et sensus.</w:t>
      </w:r>
      <w:r w:rsidRPr="08F336EC">
        <w:t xml:space="preserve"> Unde ipse intellectus non de se sed secundum quod in homine est afficitur bono nunc et in ipso delectatur. Cum igitur offerantur intellectui bonum nunc et bonum simpliciter, imitatur quandoque bonum nunc, quia ipso afficitur.</w:t>
      </w:r>
      <w:r>
        <w:t>“ (</w:t>
      </w:r>
      <w:r>
        <w:rPr>
          <w:rStyle w:val="addmd"/>
          <w:i/>
        </w:rPr>
        <w:t xml:space="preserve">In DA </w:t>
      </w:r>
      <w:r w:rsidRPr="08017BE7">
        <w:rPr>
          <w:rStyle w:val="addmd"/>
          <w:i/>
        </w:rPr>
        <w:t>III</w:t>
      </w:r>
      <w:r>
        <w:rPr>
          <w:rStyle w:val="addmd"/>
        </w:rPr>
        <w:t>, 10.18</w:t>
      </w:r>
      <w:r>
        <w:rPr>
          <w:rStyle w:val="addmd"/>
          <w:lang w:val="cs-CZ"/>
        </w:rPr>
        <w:t>;</w:t>
      </w:r>
      <w:r w:rsidRPr="08017BE7">
        <w:rPr>
          <w:rStyle w:val="addmd"/>
        </w:rPr>
        <w:t xml:space="preserve"> </w:t>
      </w:r>
      <w:r>
        <w:t xml:space="preserve">ed. </w:t>
      </w:r>
      <w:r>
        <w:rPr>
          <w:rStyle w:val="TextpoznpodarouChar"/>
          <w:rFonts w:eastAsia="Times"/>
        </w:rPr>
        <w:t xml:space="preserve">RRP, </w:t>
      </w:r>
      <w:r>
        <w:rPr>
          <w:rStyle w:val="addmd"/>
        </w:rPr>
        <w:t>10.Q3</w:t>
      </w:r>
      <w:r>
        <w:rPr>
          <w:rStyle w:val="addmd"/>
          <w:noProof/>
          <w:lang w:val="cs-CZ"/>
        </w:rPr>
        <w:fldChar w:fldCharType="begin"/>
      </w:r>
      <w:r>
        <w:instrText xml:space="preserve"> XE "</w:instrText>
      </w:r>
      <w:r>
        <w:rPr>
          <w:lang w:val="cs-CZ"/>
        </w:rPr>
        <w:instrText>Rufus:</w:instrText>
      </w:r>
      <w:r>
        <w:rPr>
          <w:rStyle w:val="addmd"/>
          <w:i/>
        </w:rPr>
        <w:instrText xml:space="preserve">In DA </w:instrText>
      </w:r>
      <w:r w:rsidRPr="08017BE7">
        <w:rPr>
          <w:rStyle w:val="addmd"/>
          <w:i/>
        </w:rPr>
        <w:instrText>III</w:instrText>
      </w:r>
      <w:r w:rsidRPr="00BF37D7">
        <w:rPr>
          <w:noProof/>
        </w:rPr>
        <w:instrText xml:space="preserve"> </w:instrText>
      </w:r>
      <w:r>
        <w:rPr>
          <w:rStyle w:val="addmd"/>
          <w:noProof/>
          <w:lang w:val="cs-CZ"/>
        </w:rPr>
        <w:instrText>10</w:instrText>
      </w:r>
      <w:r w:rsidRPr="00BF37D7">
        <w:rPr>
          <w:rStyle w:val="addmd"/>
          <w:noProof/>
          <w:lang w:val="cs-CZ"/>
        </w:rPr>
        <w:instrText>.</w:instrText>
      </w:r>
      <w:r>
        <w:rPr>
          <w:rStyle w:val="addmd"/>
          <w:noProof/>
          <w:lang w:val="cs-CZ"/>
        </w:rPr>
        <w:instrText>Q3</w:instrText>
      </w:r>
      <w:r>
        <w:instrText xml:space="preserve">" </w:instrText>
      </w:r>
      <w:r>
        <w:rPr>
          <w:rStyle w:val="addmd"/>
          <w:noProof/>
          <w:lang w:val="cs-CZ"/>
        </w:rPr>
        <w:fldChar w:fldCharType="end"/>
      </w:r>
      <w:r>
        <w:t>)</w:t>
      </w:r>
    </w:p>
  </w:footnote>
  <w:footnote w:id="537">
    <w:p w:rsidR="00971E82" w:rsidRPr="082531F7" w:rsidRDefault="00971E82" w:rsidP="08163013">
      <w:pPr>
        <w:pStyle w:val="Textpoznpodarou"/>
      </w:pPr>
      <w:r>
        <w:rPr>
          <w:rStyle w:val="Znakapoznpodarou"/>
        </w:rPr>
        <w:footnoteRef/>
      </w:r>
      <w:r>
        <w:t xml:space="preserve"> „</w:t>
      </w:r>
      <w:r w:rsidRPr="082531F7">
        <w:t>Intellectus non potest cogi ab imaginatione, eo quod superadditur ei ut eius perfectio. Si igitur imaginationi subiciatur, subiciet se ipsum et non subicietur ab imaginatione. Sed constat quod in subiciendo se peccat. Igitur se ipso peccat, cum ipse intellectus se subiciat.</w:t>
      </w:r>
      <w:r>
        <w:t>“ (</w:t>
      </w:r>
      <w:r>
        <w:rPr>
          <w:rStyle w:val="addmd"/>
          <w:i/>
        </w:rPr>
        <w:t xml:space="preserve">In DA </w:t>
      </w:r>
      <w:r w:rsidRPr="08017BE7">
        <w:rPr>
          <w:rStyle w:val="addmd"/>
          <w:i/>
        </w:rPr>
        <w:t>III</w:t>
      </w:r>
      <w:r>
        <w:rPr>
          <w:rStyle w:val="addmd"/>
        </w:rPr>
        <w:t>, 10.18</w:t>
      </w:r>
      <w:r>
        <w:rPr>
          <w:rStyle w:val="addmd"/>
          <w:lang w:val="cs-CZ"/>
        </w:rPr>
        <w:t>;</w:t>
      </w:r>
      <w:r w:rsidRPr="08017BE7">
        <w:rPr>
          <w:rStyle w:val="addmd"/>
        </w:rPr>
        <w:t xml:space="preserve"> </w:t>
      </w:r>
      <w:r>
        <w:t xml:space="preserve">ed. </w:t>
      </w:r>
      <w:r>
        <w:rPr>
          <w:rStyle w:val="TextpoznpodarouChar"/>
          <w:rFonts w:eastAsia="Times"/>
        </w:rPr>
        <w:t xml:space="preserve">RRP, </w:t>
      </w:r>
      <w:r>
        <w:rPr>
          <w:rStyle w:val="addmd"/>
        </w:rPr>
        <w:t>10.Q3</w:t>
      </w:r>
      <w:r>
        <w:rPr>
          <w:rStyle w:val="addmd"/>
          <w:noProof/>
          <w:lang w:val="cs-CZ"/>
        </w:rPr>
        <w:fldChar w:fldCharType="begin"/>
      </w:r>
      <w:r>
        <w:instrText xml:space="preserve"> XE "</w:instrText>
      </w:r>
      <w:r>
        <w:rPr>
          <w:lang w:val="cs-CZ"/>
        </w:rPr>
        <w:instrText>Rufus:</w:instrText>
      </w:r>
      <w:r>
        <w:rPr>
          <w:rStyle w:val="addmd"/>
          <w:i/>
        </w:rPr>
        <w:instrText xml:space="preserve">In DA </w:instrText>
      </w:r>
      <w:r w:rsidRPr="08017BE7">
        <w:rPr>
          <w:rStyle w:val="addmd"/>
          <w:i/>
        </w:rPr>
        <w:instrText>III</w:instrText>
      </w:r>
      <w:r w:rsidRPr="00BF37D7">
        <w:rPr>
          <w:noProof/>
        </w:rPr>
        <w:instrText xml:space="preserve"> </w:instrText>
      </w:r>
      <w:r>
        <w:rPr>
          <w:rStyle w:val="addmd"/>
          <w:noProof/>
          <w:lang w:val="cs-CZ"/>
        </w:rPr>
        <w:instrText>10</w:instrText>
      </w:r>
      <w:r w:rsidRPr="00BF37D7">
        <w:rPr>
          <w:rStyle w:val="addmd"/>
          <w:noProof/>
          <w:lang w:val="cs-CZ"/>
        </w:rPr>
        <w:instrText>.</w:instrText>
      </w:r>
      <w:r>
        <w:rPr>
          <w:rStyle w:val="addmd"/>
          <w:noProof/>
          <w:lang w:val="cs-CZ"/>
        </w:rPr>
        <w:instrText>Q3</w:instrText>
      </w:r>
      <w:r>
        <w:instrText xml:space="preserve">" </w:instrText>
      </w:r>
      <w:r>
        <w:rPr>
          <w:rStyle w:val="addmd"/>
          <w:noProof/>
          <w:lang w:val="cs-CZ"/>
        </w:rPr>
        <w:fldChar w:fldCharType="end"/>
      </w:r>
      <w:r>
        <w:t>)</w:t>
      </w:r>
    </w:p>
  </w:footnote>
  <w:footnote w:id="538">
    <w:p w:rsidR="00971E82" w:rsidRPr="08C669B1" w:rsidRDefault="00971E82" w:rsidP="08163013">
      <w:pPr>
        <w:pStyle w:val="Textpoznpodarou"/>
      </w:pPr>
      <w:r>
        <w:rPr>
          <w:rStyle w:val="Znakapoznpodarou"/>
        </w:rPr>
        <w:footnoteRef/>
      </w:r>
      <w:r>
        <w:t xml:space="preserve"> „</w:t>
      </w:r>
      <w:r w:rsidRPr="08C669B1">
        <w:rPr>
          <w:rStyle w:val="Znakapoznpodarou"/>
        </w:rPr>
        <w:t>Intellectus igitur appetitivus non de se, sed secundum quod sibi unit imaginationem in appetendo, mediante imaginatione movet organa corporea et consequenter ipsum animal localiter.</w:t>
      </w:r>
      <w:r>
        <w:rPr>
          <w:rStyle w:val="Znakapoznpodarou"/>
        </w:rPr>
        <w:t>“</w:t>
      </w:r>
      <w:r>
        <w:t xml:space="preserve"> (</w:t>
      </w:r>
      <w:r>
        <w:rPr>
          <w:rStyle w:val="addmd"/>
          <w:i/>
        </w:rPr>
        <w:t xml:space="preserve">In DA </w:t>
      </w:r>
      <w:r w:rsidRPr="08017BE7">
        <w:rPr>
          <w:rStyle w:val="addmd"/>
          <w:i/>
        </w:rPr>
        <w:t>III</w:t>
      </w:r>
      <w:r>
        <w:rPr>
          <w:rStyle w:val="addmd"/>
        </w:rPr>
        <w:t>, 10.17</w:t>
      </w:r>
      <w:r>
        <w:rPr>
          <w:rStyle w:val="addmd"/>
          <w:lang w:val="cs-CZ"/>
        </w:rPr>
        <w:t>;</w:t>
      </w:r>
      <w:r w:rsidRPr="08017BE7">
        <w:rPr>
          <w:rStyle w:val="addmd"/>
        </w:rPr>
        <w:t xml:space="preserve"> </w:t>
      </w:r>
      <w:r>
        <w:t xml:space="preserve">ed. </w:t>
      </w:r>
      <w:r>
        <w:rPr>
          <w:rStyle w:val="TextpoznpodarouChar"/>
          <w:rFonts w:eastAsia="Times"/>
        </w:rPr>
        <w:t xml:space="preserve">RRP, </w:t>
      </w:r>
      <w:r>
        <w:rPr>
          <w:rStyle w:val="addmd"/>
        </w:rPr>
        <w:t>10.Q2</w:t>
      </w:r>
      <w:r>
        <w:rPr>
          <w:rStyle w:val="addmd"/>
          <w:noProof/>
          <w:lang w:val="cs-CZ"/>
        </w:rPr>
        <w:fldChar w:fldCharType="begin"/>
      </w:r>
      <w:r>
        <w:instrText xml:space="preserve"> XE "</w:instrText>
      </w:r>
      <w:r>
        <w:rPr>
          <w:lang w:val="cs-CZ"/>
        </w:rPr>
        <w:instrText>Rufus:</w:instrText>
      </w:r>
      <w:r>
        <w:rPr>
          <w:rStyle w:val="addmd"/>
          <w:i/>
        </w:rPr>
        <w:instrText xml:space="preserve">In DA </w:instrText>
      </w:r>
      <w:r w:rsidRPr="08017BE7">
        <w:rPr>
          <w:rStyle w:val="addmd"/>
          <w:i/>
        </w:rPr>
        <w:instrText>III</w:instrText>
      </w:r>
      <w:r w:rsidRPr="00BF37D7">
        <w:rPr>
          <w:noProof/>
        </w:rPr>
        <w:instrText xml:space="preserve"> </w:instrText>
      </w:r>
      <w:r>
        <w:rPr>
          <w:rStyle w:val="addmd"/>
          <w:noProof/>
          <w:lang w:val="cs-CZ"/>
        </w:rPr>
        <w:instrText>10</w:instrText>
      </w:r>
      <w:r w:rsidRPr="00BF37D7">
        <w:rPr>
          <w:rStyle w:val="addmd"/>
          <w:noProof/>
          <w:lang w:val="cs-CZ"/>
        </w:rPr>
        <w:instrText>.Q2</w:instrText>
      </w:r>
      <w:r>
        <w:instrText xml:space="preserve">" </w:instrText>
      </w:r>
      <w:r>
        <w:rPr>
          <w:rStyle w:val="addmd"/>
          <w:noProof/>
          <w:lang w:val="cs-CZ"/>
        </w:rPr>
        <w:fldChar w:fldCharType="end"/>
      </w:r>
      <w:r>
        <w:t>)</w:t>
      </w:r>
    </w:p>
  </w:footnote>
  <w:footnote w:id="539">
    <w:p w:rsidR="00971E82" w:rsidRPr="00ED2914" w:rsidRDefault="00971E82" w:rsidP="08163013">
      <w:pPr>
        <w:pStyle w:val="Textpoznpodarou"/>
        <w:rPr>
          <w:noProof/>
          <w:lang w:val="cs-CZ"/>
        </w:rPr>
      </w:pPr>
      <w:r>
        <w:rPr>
          <w:rStyle w:val="Znakapoznpodarou"/>
        </w:rPr>
        <w:footnoteRef/>
      </w:r>
      <w:r>
        <w:t xml:space="preserve"> </w:t>
      </w:r>
      <w:r w:rsidRPr="00273106">
        <w:rPr>
          <w:noProof/>
        </w:rPr>
        <w:t>„Obiectum intellectus practici est forma rei sive res non in se prout ens est, sed inquantum per speciem suam apprehenditur ab intellectu secundum quod res illa extendit se in operationem; sed sub hac ratione dicitur res bona; igitur bonum inquantum bonum actuale est obiectum practici intellectus.“ (</w:t>
      </w:r>
      <w:r w:rsidRPr="00273106">
        <w:rPr>
          <w:rStyle w:val="addmd"/>
          <w:i/>
          <w:noProof/>
          <w:lang w:val="cs-CZ"/>
        </w:rPr>
        <w:t>In DA III</w:t>
      </w:r>
      <w:r w:rsidRPr="00273106">
        <w:rPr>
          <w:rStyle w:val="addmd"/>
          <w:noProof/>
          <w:lang w:val="cs-CZ"/>
        </w:rPr>
        <w:t xml:space="preserve">, </w:t>
      </w:r>
      <w:r>
        <w:rPr>
          <w:rStyle w:val="addmd"/>
          <w:noProof/>
          <w:lang w:val="cs-CZ"/>
        </w:rPr>
        <w:t>10.17;</w:t>
      </w:r>
      <w:r w:rsidRPr="00273106">
        <w:rPr>
          <w:rStyle w:val="addmd"/>
          <w:noProof/>
          <w:lang w:val="cs-CZ"/>
        </w:rPr>
        <w:t xml:space="preserve"> </w:t>
      </w:r>
      <w:r w:rsidRPr="00273106">
        <w:rPr>
          <w:noProof/>
        </w:rPr>
        <w:t xml:space="preserve">ed. </w:t>
      </w:r>
      <w:r w:rsidRPr="00ED2914">
        <w:rPr>
          <w:noProof/>
        </w:rPr>
        <w:t xml:space="preserve">RRP, </w:t>
      </w:r>
      <w:r w:rsidRPr="00273106">
        <w:rPr>
          <w:rStyle w:val="addmd"/>
          <w:noProof/>
          <w:lang w:val="cs-CZ"/>
        </w:rPr>
        <w:t>10.Q2</w:t>
      </w:r>
      <w:r>
        <w:rPr>
          <w:rStyle w:val="addmd"/>
          <w:noProof/>
          <w:lang w:val="cs-CZ"/>
        </w:rPr>
        <w:fldChar w:fldCharType="begin"/>
      </w:r>
      <w:r>
        <w:instrText xml:space="preserve"> XE "</w:instrText>
      </w:r>
      <w:r>
        <w:rPr>
          <w:lang w:val="cs-CZ"/>
        </w:rPr>
        <w:instrText>Rufus:</w:instrText>
      </w:r>
      <w:r>
        <w:rPr>
          <w:rStyle w:val="addmd"/>
          <w:i/>
        </w:rPr>
        <w:instrText xml:space="preserve">In DA </w:instrText>
      </w:r>
      <w:r w:rsidRPr="08017BE7">
        <w:rPr>
          <w:rStyle w:val="addmd"/>
          <w:i/>
        </w:rPr>
        <w:instrText>III</w:instrText>
      </w:r>
      <w:r w:rsidRPr="00BF37D7">
        <w:rPr>
          <w:rStyle w:val="addmd"/>
          <w:i/>
          <w:noProof/>
          <w:lang w:val="cs-CZ"/>
        </w:rPr>
        <w:instrText xml:space="preserve"> </w:instrText>
      </w:r>
      <w:r>
        <w:rPr>
          <w:rStyle w:val="addmd"/>
          <w:noProof/>
          <w:lang w:val="cs-CZ"/>
        </w:rPr>
        <w:instrText>10</w:instrText>
      </w:r>
      <w:r w:rsidRPr="00BF37D7">
        <w:rPr>
          <w:rStyle w:val="addmd"/>
          <w:noProof/>
          <w:lang w:val="cs-CZ"/>
        </w:rPr>
        <w:instrText>.Q2</w:instrText>
      </w:r>
      <w:r>
        <w:instrText xml:space="preserve">" </w:instrText>
      </w:r>
      <w:r>
        <w:rPr>
          <w:rStyle w:val="addmd"/>
          <w:noProof/>
          <w:lang w:val="cs-CZ"/>
        </w:rPr>
        <w:fldChar w:fldCharType="end"/>
      </w:r>
      <w:r w:rsidRPr="00273106">
        <w:rPr>
          <w:noProof/>
        </w:rPr>
        <w:t>)</w:t>
      </w:r>
    </w:p>
  </w:footnote>
  <w:footnote w:id="540">
    <w:p w:rsidR="00971E82" w:rsidRPr="00873BA1" w:rsidRDefault="00971E82" w:rsidP="08163013">
      <w:pPr>
        <w:pStyle w:val="Textpoznpodarou"/>
        <w:rPr>
          <w:noProof/>
          <w:lang w:val="cs-CZ"/>
        </w:rPr>
      </w:pPr>
      <w:r>
        <w:rPr>
          <w:rStyle w:val="Znakapoznpodarou"/>
        </w:rPr>
        <w:footnoteRef/>
      </w:r>
      <w:r>
        <w:t xml:space="preserve"> </w:t>
      </w:r>
      <w:r w:rsidRPr="00273106">
        <w:rPr>
          <w:noProof/>
        </w:rPr>
        <w:t>„Dicit enim Philosophus, quod nihil movet nisi in quantum est appetitivum. Cum ergo intellectus practicus sit movens, non videbitur hoc sufficere, quod extendat se in rationem boni tantum.“ (</w:t>
      </w:r>
      <w:r w:rsidRPr="00273106">
        <w:rPr>
          <w:rStyle w:val="addmd"/>
          <w:i/>
          <w:noProof/>
          <w:lang w:val="cs-CZ"/>
        </w:rPr>
        <w:t>De homine</w:t>
      </w:r>
      <w:r w:rsidRPr="00273106">
        <w:rPr>
          <w:rStyle w:val="addmd"/>
          <w:noProof/>
          <w:lang w:val="cs-CZ"/>
        </w:rPr>
        <w:t xml:space="preserve">, q. 63, a. 4, sed contra 1; </w:t>
      </w:r>
      <w:r>
        <w:rPr>
          <w:rStyle w:val="addmd"/>
          <w:noProof/>
          <w:lang w:val="cs-CZ"/>
        </w:rPr>
        <w:t>ed. Borgnet  35</w:t>
      </w:r>
      <w:r w:rsidRPr="00273106">
        <w:rPr>
          <w:rStyle w:val="addmd"/>
          <w:noProof/>
          <w:lang w:val="cs-CZ"/>
        </w:rPr>
        <w:t>, 544a</w:t>
      </w:r>
      <w:r>
        <w:rPr>
          <w:rStyle w:val="addmd"/>
          <w:noProof/>
          <w:lang w:val="cs-CZ"/>
        </w:rPr>
        <w:fldChar w:fldCharType="begin"/>
      </w:r>
      <w:r>
        <w:instrText xml:space="preserve"> XE "</w:instrText>
      </w:r>
      <w:r>
        <w:rPr>
          <w:lang w:val="cs-CZ"/>
        </w:rPr>
        <w:instrText>Albert:</w:instrText>
      </w:r>
      <w:r w:rsidRPr="00634010">
        <w:rPr>
          <w:rStyle w:val="addmd"/>
          <w:i/>
          <w:noProof/>
          <w:lang w:val="cs-CZ"/>
        </w:rPr>
        <w:instrText>De homine</w:instrText>
      </w:r>
      <w:r w:rsidRPr="00634010">
        <w:rPr>
          <w:rStyle w:val="addmd"/>
          <w:noProof/>
          <w:lang w:val="cs-CZ"/>
        </w:rPr>
        <w:instrText xml:space="preserve"> 544a</w:instrText>
      </w:r>
      <w:r>
        <w:instrText xml:space="preserve">" </w:instrText>
      </w:r>
      <w:r>
        <w:rPr>
          <w:rStyle w:val="addmd"/>
          <w:noProof/>
          <w:lang w:val="cs-CZ"/>
        </w:rPr>
        <w:fldChar w:fldCharType="end"/>
      </w:r>
      <w:r w:rsidRPr="00273106">
        <w:rPr>
          <w:noProof/>
        </w:rPr>
        <w:t>)</w:t>
      </w:r>
    </w:p>
  </w:footnote>
  <w:footnote w:id="541">
    <w:p w:rsidR="00971E82" w:rsidRPr="08941AB7" w:rsidRDefault="00971E82" w:rsidP="08163013">
      <w:pPr>
        <w:pStyle w:val="Textpoznpodarou"/>
      </w:pPr>
      <w:r>
        <w:rPr>
          <w:rStyle w:val="Znakapoznpodarou"/>
        </w:rPr>
        <w:footnoteRef/>
      </w:r>
      <w:r>
        <w:t xml:space="preserve"> „Nec fit ibi extensio ad particularia, nec ad appetitum, eo quod speculativus nihil actuale considerat, ut dicit Philosophus.“ (</w:t>
      </w:r>
      <w:r w:rsidRPr="00273106">
        <w:rPr>
          <w:rStyle w:val="addmd"/>
          <w:i/>
          <w:noProof/>
          <w:lang w:val="cs-CZ"/>
        </w:rPr>
        <w:t>De homine</w:t>
      </w:r>
      <w:r>
        <w:rPr>
          <w:rStyle w:val="addmd"/>
          <w:noProof/>
          <w:lang w:val="cs-CZ"/>
        </w:rPr>
        <w:t>, q. 63, a. 4</w:t>
      </w:r>
      <w:r>
        <w:t xml:space="preserve">, </w:t>
      </w:r>
      <w:r w:rsidRPr="082549BD">
        <w:rPr>
          <w:rStyle w:val="addmd"/>
        </w:rPr>
        <w:t>solutio</w:t>
      </w:r>
      <w:r>
        <w:rPr>
          <w:rStyle w:val="addmd"/>
        </w:rPr>
        <w:t xml:space="preserve">; </w:t>
      </w:r>
      <w:r>
        <w:rPr>
          <w:rStyle w:val="addmd"/>
          <w:noProof/>
          <w:lang w:val="cs-CZ"/>
        </w:rPr>
        <w:t>ed. Borgnet  35</w:t>
      </w:r>
      <w:r>
        <w:rPr>
          <w:rStyle w:val="addmd"/>
        </w:rPr>
        <w:t>, 544b</w:t>
      </w:r>
      <w:r>
        <w:rPr>
          <w:rStyle w:val="addmd"/>
          <w:noProof/>
          <w:lang w:val="cs-CZ"/>
        </w:rPr>
        <w:fldChar w:fldCharType="begin"/>
      </w:r>
      <w:r>
        <w:instrText xml:space="preserve"> XE "</w:instrText>
      </w:r>
      <w:r>
        <w:rPr>
          <w:lang w:val="cs-CZ"/>
        </w:rPr>
        <w:instrText>Albert:</w:instrText>
      </w:r>
      <w:r w:rsidRPr="00634010">
        <w:rPr>
          <w:rStyle w:val="addmd"/>
          <w:i/>
          <w:noProof/>
          <w:lang w:val="cs-CZ"/>
        </w:rPr>
        <w:instrText>De homine</w:instrText>
      </w:r>
      <w:r>
        <w:rPr>
          <w:rStyle w:val="addmd"/>
          <w:noProof/>
          <w:lang w:val="cs-CZ"/>
        </w:rPr>
        <w:instrText xml:space="preserve"> 544b</w:instrText>
      </w:r>
      <w:r>
        <w:instrText xml:space="preserve">" </w:instrText>
      </w:r>
      <w:r>
        <w:rPr>
          <w:rStyle w:val="addmd"/>
          <w:noProof/>
          <w:lang w:val="cs-CZ"/>
        </w:rPr>
        <w:fldChar w:fldCharType="end"/>
      </w:r>
      <w:r>
        <w:t>)</w:t>
      </w:r>
    </w:p>
  </w:footnote>
  <w:footnote w:id="542">
    <w:p w:rsidR="00971E82" w:rsidRPr="081F7DA6" w:rsidRDefault="00971E82" w:rsidP="08163013">
      <w:pPr>
        <w:pStyle w:val="Textpoznpodarou"/>
      </w:pPr>
      <w:r>
        <w:rPr>
          <w:rStyle w:val="Znakapoznpodarou"/>
        </w:rPr>
        <w:footnoteRef/>
      </w:r>
      <w:r>
        <w:t xml:space="preserve"> </w:t>
      </w:r>
      <w:r w:rsidRPr="001F6B03">
        <w:t>„Quare potius dicatur extendi a vero in bonum, quam e converso? (...) Quare in practicis non sit reflexa intelligentia sicut est in theoricis?“</w:t>
      </w:r>
      <w:r>
        <w:rPr>
          <w:rStyle w:val="Znakapoznpodarou"/>
        </w:rPr>
        <w:t xml:space="preserve"> (</w:t>
      </w:r>
      <w:r w:rsidRPr="00273106">
        <w:rPr>
          <w:rStyle w:val="addmd"/>
          <w:i/>
          <w:noProof/>
          <w:lang w:val="cs-CZ"/>
        </w:rPr>
        <w:t>De homine</w:t>
      </w:r>
      <w:r>
        <w:rPr>
          <w:rStyle w:val="addmd"/>
          <w:noProof/>
          <w:lang w:val="cs-CZ"/>
        </w:rPr>
        <w:t>, q. 63, a. 4</w:t>
      </w:r>
      <w:r>
        <w:t xml:space="preserve">, </w:t>
      </w:r>
      <w:r>
        <w:rPr>
          <w:rStyle w:val="addmd"/>
        </w:rPr>
        <w:t xml:space="preserve">sed contra 2, 3; </w:t>
      </w:r>
      <w:r>
        <w:rPr>
          <w:rStyle w:val="addmd"/>
          <w:noProof/>
          <w:lang w:val="cs-CZ"/>
        </w:rPr>
        <w:t>ed. Borgnet  35</w:t>
      </w:r>
      <w:r w:rsidRPr="00273106">
        <w:rPr>
          <w:rStyle w:val="addmd"/>
          <w:noProof/>
          <w:lang w:val="cs-CZ"/>
        </w:rPr>
        <w:t xml:space="preserve">, </w:t>
      </w:r>
      <w:r>
        <w:rPr>
          <w:rStyle w:val="addmd"/>
        </w:rPr>
        <w:t>544a</w:t>
      </w:r>
      <w:r>
        <w:rPr>
          <w:rStyle w:val="addmd"/>
          <w:noProof/>
          <w:lang w:val="cs-CZ"/>
        </w:rPr>
        <w:fldChar w:fldCharType="begin"/>
      </w:r>
      <w:r>
        <w:instrText xml:space="preserve"> XE "</w:instrText>
      </w:r>
      <w:r>
        <w:rPr>
          <w:lang w:val="cs-CZ"/>
        </w:rPr>
        <w:instrText>Albert:</w:instrText>
      </w:r>
      <w:r w:rsidRPr="00634010">
        <w:rPr>
          <w:rStyle w:val="addmd"/>
          <w:i/>
          <w:noProof/>
          <w:lang w:val="cs-CZ"/>
        </w:rPr>
        <w:instrText>De homine</w:instrText>
      </w:r>
      <w:r w:rsidRPr="00634010">
        <w:rPr>
          <w:rStyle w:val="addmd"/>
          <w:noProof/>
          <w:lang w:val="cs-CZ"/>
        </w:rPr>
        <w:instrText xml:space="preserve"> 544a</w:instrText>
      </w:r>
      <w:r>
        <w:instrText xml:space="preserve">" </w:instrText>
      </w:r>
      <w:r>
        <w:rPr>
          <w:rStyle w:val="addmd"/>
          <w:noProof/>
          <w:lang w:val="cs-CZ"/>
        </w:rPr>
        <w:fldChar w:fldCharType="end"/>
      </w:r>
      <w:r>
        <w:rPr>
          <w:rStyle w:val="addmd"/>
        </w:rPr>
        <w:t>)</w:t>
      </w:r>
    </w:p>
  </w:footnote>
  <w:footnote w:id="543">
    <w:p w:rsidR="00971E82" w:rsidRPr="08574A8C" w:rsidRDefault="00971E82" w:rsidP="08163013">
      <w:pPr>
        <w:pStyle w:val="Textpoznpodarou"/>
      </w:pPr>
      <w:r>
        <w:rPr>
          <w:rStyle w:val="Znakapoznpodarou"/>
        </w:rPr>
        <w:footnoteRef/>
      </w:r>
      <w:r>
        <w:rPr>
          <w:lang w:val="cs-CZ"/>
        </w:rPr>
        <w:t xml:space="preserve"> </w:t>
      </w:r>
      <w:r>
        <w:t>„</w:t>
      </w:r>
      <w:r w:rsidRPr="08574A8C">
        <w:t>Die praktische Regel ist also unbedingt, mithin als kategorisch praktischer Satz a priori vorgestellt, wodurch der Wille schlechterdings und unmittelbar (durch die praktische Regel selbst, die also hier Gesetz ist) objectiv bestimmt wird. Denn reine, an sich praktische Vernunft ist hier unmittelbar gesetzgebend.</w:t>
      </w:r>
      <w:r>
        <w:t>“ (KdPV 31</w:t>
      </w:r>
      <w:r>
        <w:fldChar w:fldCharType="begin"/>
      </w:r>
      <w:r>
        <w:instrText xml:space="preserve"> XE "</w:instrText>
      </w:r>
      <w:r>
        <w:rPr>
          <w:lang w:val="cs-CZ"/>
        </w:rPr>
        <w:instrText>Kant:</w:instrText>
      </w:r>
      <w:r w:rsidRPr="00365365">
        <w:instrText>KdPV 31</w:instrText>
      </w:r>
      <w:r>
        <w:instrText xml:space="preserve">" </w:instrText>
      </w:r>
      <w:r>
        <w:fldChar w:fldCharType="end"/>
      </w:r>
      <w:r>
        <w:t>)</w:t>
      </w:r>
    </w:p>
  </w:footnote>
  <w:footnote w:id="544">
    <w:p w:rsidR="00971E82" w:rsidRPr="00FE7495" w:rsidRDefault="00971E82" w:rsidP="08163013">
      <w:pPr>
        <w:pStyle w:val="Textpoznpodarou"/>
        <w:rPr>
          <w:noProof/>
          <w:lang w:val="cs-CZ"/>
        </w:rPr>
      </w:pPr>
      <w:r>
        <w:rPr>
          <w:rStyle w:val="Znakapoznpodarou"/>
        </w:rPr>
        <w:footnoteRef/>
      </w:r>
      <w:r>
        <w:t xml:space="preserve"> </w:t>
      </w:r>
      <w:r w:rsidRPr="00273106">
        <w:rPr>
          <w:noProof/>
        </w:rPr>
        <w:t>„</w:t>
      </w:r>
      <w:r>
        <w:rPr>
          <w:noProof/>
          <w:lang w:val="cs-CZ"/>
        </w:rPr>
        <w:t>Ad aliud dicendum, quod b</w:t>
      </w:r>
      <w:r w:rsidRPr="00273106">
        <w:rPr>
          <w:noProof/>
        </w:rPr>
        <w:t>onum est post verum in intellectu: verum enim est in ratione speciei universalis, bonum autem in particularibus operum. Et propter hoc necesse est extendi intellectum ultra id quod est intellectus proprium: proprium enim suum in quantum est intellectus, est stare in universali: sed si deberet esse practicus, necesse est extendi ad particularia in quibus est ipsa praxis.“ (</w:t>
      </w:r>
      <w:r w:rsidRPr="00273106">
        <w:rPr>
          <w:rStyle w:val="addmd"/>
          <w:i/>
          <w:noProof/>
          <w:lang w:val="cs-CZ"/>
        </w:rPr>
        <w:t>De homine</w:t>
      </w:r>
      <w:r w:rsidRPr="00273106">
        <w:rPr>
          <w:rStyle w:val="addmd"/>
          <w:noProof/>
          <w:lang w:val="cs-CZ"/>
        </w:rPr>
        <w:t>, q. 63, a. 4</w:t>
      </w:r>
      <w:r w:rsidRPr="00273106">
        <w:rPr>
          <w:noProof/>
        </w:rPr>
        <w:t xml:space="preserve">, </w:t>
      </w:r>
      <w:r w:rsidRPr="00273106">
        <w:rPr>
          <w:rStyle w:val="addmd"/>
          <w:noProof/>
          <w:lang w:val="cs-CZ"/>
        </w:rPr>
        <w:t xml:space="preserve">solutio, ad 2; </w:t>
      </w:r>
      <w:r>
        <w:rPr>
          <w:rStyle w:val="addmd"/>
          <w:noProof/>
          <w:lang w:val="cs-CZ"/>
        </w:rPr>
        <w:t xml:space="preserve">ed. Borgnet  35, </w:t>
      </w:r>
      <w:r w:rsidRPr="00273106">
        <w:rPr>
          <w:rStyle w:val="addmd"/>
          <w:noProof/>
          <w:lang w:val="cs-CZ"/>
        </w:rPr>
        <w:t>544b</w:t>
      </w:r>
      <w:r>
        <w:rPr>
          <w:rStyle w:val="addmd"/>
          <w:noProof/>
          <w:lang w:val="cs-CZ"/>
        </w:rPr>
        <w:fldChar w:fldCharType="begin"/>
      </w:r>
      <w:r>
        <w:instrText xml:space="preserve"> XE "</w:instrText>
      </w:r>
      <w:r>
        <w:rPr>
          <w:lang w:val="cs-CZ"/>
        </w:rPr>
        <w:instrText>Albert:</w:instrText>
      </w:r>
      <w:r w:rsidRPr="00634010">
        <w:rPr>
          <w:rStyle w:val="addmd"/>
          <w:i/>
          <w:noProof/>
          <w:lang w:val="cs-CZ"/>
        </w:rPr>
        <w:instrText>De homine</w:instrText>
      </w:r>
      <w:r>
        <w:rPr>
          <w:rStyle w:val="addmd"/>
          <w:noProof/>
          <w:lang w:val="cs-CZ"/>
        </w:rPr>
        <w:instrText xml:space="preserve"> 544b</w:instrText>
      </w:r>
      <w:r>
        <w:instrText xml:space="preserve">" </w:instrText>
      </w:r>
      <w:r>
        <w:rPr>
          <w:rStyle w:val="addmd"/>
          <w:noProof/>
          <w:lang w:val="cs-CZ"/>
        </w:rPr>
        <w:fldChar w:fldCharType="end"/>
      </w:r>
      <w:r w:rsidRPr="00273106">
        <w:rPr>
          <w:noProof/>
        </w:rPr>
        <w:t>)</w:t>
      </w:r>
    </w:p>
  </w:footnote>
  <w:footnote w:id="545">
    <w:p w:rsidR="00971E82" w:rsidRPr="002F5181" w:rsidRDefault="00971E82" w:rsidP="08163013">
      <w:pPr>
        <w:pStyle w:val="Textpoznpodarou"/>
        <w:rPr>
          <w:lang w:val="cs-CZ"/>
        </w:rPr>
      </w:pPr>
      <w:r>
        <w:rPr>
          <w:rStyle w:val="Znakapoznpodarou"/>
        </w:rPr>
        <w:footnoteRef/>
      </w:r>
      <w:r>
        <w:t xml:space="preserve"> „</w:t>
      </w:r>
      <w:r w:rsidRPr="08C06E5B">
        <w:t xml:space="preserve">Virtue, then, </w:t>
      </w:r>
      <w:r w:rsidRPr="08C06E5B">
        <w:rPr>
          <w:szCs w:val="10"/>
        </w:rPr>
        <w:t xml:space="preserve">is </w:t>
      </w:r>
      <w:r w:rsidRPr="08C06E5B">
        <w:rPr>
          <w:szCs w:val="16"/>
        </w:rPr>
        <w:t xml:space="preserve">a </w:t>
      </w:r>
      <w:r w:rsidRPr="08C06E5B">
        <w:rPr>
          <w:szCs w:val="13"/>
        </w:rPr>
        <w:t xml:space="preserve">state </w:t>
      </w:r>
      <w:r w:rsidRPr="08C06E5B">
        <w:rPr>
          <w:szCs w:val="15"/>
        </w:rPr>
        <w:t xml:space="preserve">of character </w:t>
      </w:r>
      <w:r w:rsidRPr="08C06E5B">
        <w:rPr>
          <w:szCs w:val="16"/>
        </w:rPr>
        <w:t xml:space="preserve">concerned with </w:t>
      </w:r>
      <w:r w:rsidRPr="08C06E5B">
        <w:t>choice,</w:t>
      </w:r>
      <w:r>
        <w:t xml:space="preserve"> </w:t>
      </w:r>
      <w:r w:rsidRPr="08C06E5B">
        <w:rPr>
          <w:szCs w:val="15"/>
        </w:rPr>
        <w:t xml:space="preserve">lying </w:t>
      </w:r>
      <w:r w:rsidRPr="08C06E5B">
        <w:rPr>
          <w:szCs w:val="12"/>
        </w:rPr>
        <w:t xml:space="preserve">in </w:t>
      </w:r>
      <w:r w:rsidRPr="08C06E5B">
        <w:rPr>
          <w:szCs w:val="15"/>
        </w:rPr>
        <w:t xml:space="preserve">a </w:t>
      </w:r>
      <w:r w:rsidRPr="08C06E5B">
        <w:rPr>
          <w:szCs w:val="16"/>
        </w:rPr>
        <w:t xml:space="preserve">mean, </w:t>
      </w:r>
      <w:r w:rsidRPr="08C06E5B">
        <w:rPr>
          <w:szCs w:val="7"/>
        </w:rPr>
        <w:t xml:space="preserve">i. </w:t>
      </w:r>
      <w:r w:rsidRPr="08C06E5B">
        <w:rPr>
          <w:szCs w:val="10"/>
        </w:rPr>
        <w:t xml:space="preserve">e. </w:t>
      </w:r>
      <w:r w:rsidRPr="08C06E5B">
        <w:rPr>
          <w:szCs w:val="15"/>
        </w:rPr>
        <w:t xml:space="preserve">the </w:t>
      </w:r>
      <w:r w:rsidRPr="08C06E5B">
        <w:rPr>
          <w:szCs w:val="19"/>
        </w:rPr>
        <w:t xml:space="preserve">mean </w:t>
      </w:r>
      <w:r w:rsidRPr="08C06E5B">
        <w:rPr>
          <w:szCs w:val="13"/>
        </w:rPr>
        <w:t xml:space="preserve">relative to </w:t>
      </w:r>
      <w:r w:rsidRPr="08C06E5B">
        <w:rPr>
          <w:szCs w:val="12"/>
        </w:rPr>
        <w:t>us</w:t>
      </w:r>
      <w:r>
        <w:rPr>
          <w:szCs w:val="12"/>
          <w:lang w:val="cs-CZ"/>
        </w:rPr>
        <w:t xml:space="preserve"> </w:t>
      </w:r>
      <w:r w:rsidRPr="002F5181">
        <w:rPr>
          <w:szCs w:val="12"/>
        </w:rPr>
        <w:t>(</w:t>
      </w:r>
      <w:r w:rsidRPr="002F5181">
        <w:rPr>
          <w:szCs w:val="24"/>
        </w:rPr>
        <w:t xml:space="preserve">ἐν μεσότητι οὖσα </w:t>
      </w:r>
      <w:r w:rsidRPr="002F5181">
        <w:t>τῇ πρὸς ἡμᾶς</w:t>
      </w:r>
      <w:r w:rsidRPr="002F5181">
        <w:rPr>
          <w:szCs w:val="24"/>
        </w:rPr>
        <w:t>)</w:t>
      </w:r>
      <w:r w:rsidRPr="08C06E5B">
        <w:rPr>
          <w:szCs w:val="12"/>
        </w:rPr>
        <w:t xml:space="preserve">, </w:t>
      </w:r>
      <w:r w:rsidRPr="08C06E5B">
        <w:rPr>
          <w:szCs w:val="13"/>
        </w:rPr>
        <w:t xml:space="preserve">this </w:t>
      </w:r>
      <w:r>
        <w:rPr>
          <w:szCs w:val="15"/>
        </w:rPr>
        <w:t xml:space="preserve">being </w:t>
      </w:r>
      <w:r w:rsidRPr="08C06E5B">
        <w:rPr>
          <w:szCs w:val="16"/>
        </w:rPr>
        <w:t xml:space="preserve">determined </w:t>
      </w:r>
      <w:r w:rsidRPr="08C06E5B">
        <w:rPr>
          <w:szCs w:val="18"/>
        </w:rPr>
        <w:t xml:space="preserve">by </w:t>
      </w:r>
      <w:r w:rsidRPr="08C06E5B">
        <w:rPr>
          <w:szCs w:val="15"/>
        </w:rPr>
        <w:t xml:space="preserve">a </w:t>
      </w:r>
      <w:r w:rsidRPr="08C06E5B">
        <w:t xml:space="preserve">rational </w:t>
      </w:r>
      <w:r w:rsidRPr="08C06E5B">
        <w:rPr>
          <w:szCs w:val="13"/>
        </w:rPr>
        <w:t>principle</w:t>
      </w:r>
      <w:r>
        <w:rPr>
          <w:szCs w:val="13"/>
          <w:lang w:val="cs-CZ"/>
        </w:rPr>
        <w:t xml:space="preserve"> (</w:t>
      </w:r>
      <w:r>
        <w:t>ὡρισμένῃ λόγῳ</w:t>
      </w:r>
      <w:r>
        <w:rPr>
          <w:szCs w:val="13"/>
          <w:lang w:val="cs-CZ"/>
        </w:rPr>
        <w:t>)</w:t>
      </w:r>
      <w:r w:rsidRPr="08C06E5B">
        <w:rPr>
          <w:szCs w:val="13"/>
        </w:rPr>
        <w:t xml:space="preserve">, </w:t>
      </w:r>
      <w:r w:rsidRPr="08C06E5B">
        <w:rPr>
          <w:szCs w:val="17"/>
        </w:rPr>
        <w:t xml:space="preserve">and </w:t>
      </w:r>
      <w:r w:rsidRPr="08C06E5B">
        <w:rPr>
          <w:szCs w:val="18"/>
        </w:rPr>
        <w:t xml:space="preserve">by </w:t>
      </w:r>
      <w:r w:rsidRPr="08C06E5B">
        <w:t xml:space="preserve">that principle </w:t>
      </w:r>
      <w:r w:rsidRPr="08C06E5B">
        <w:rPr>
          <w:szCs w:val="18"/>
        </w:rPr>
        <w:t>by</w:t>
      </w:r>
      <w:r>
        <w:rPr>
          <w:szCs w:val="18"/>
        </w:rPr>
        <w:t xml:space="preserve"> </w:t>
      </w:r>
      <w:r w:rsidRPr="08C06E5B">
        <w:rPr>
          <w:szCs w:val="16"/>
        </w:rPr>
        <w:t xml:space="preserve">which </w:t>
      </w:r>
      <w:r w:rsidRPr="08C06E5B">
        <w:rPr>
          <w:szCs w:val="15"/>
        </w:rPr>
        <w:t xml:space="preserve">the </w:t>
      </w:r>
      <w:r w:rsidRPr="08C06E5B">
        <w:t xml:space="preserve">man </w:t>
      </w:r>
      <w:r w:rsidRPr="08C06E5B">
        <w:rPr>
          <w:szCs w:val="15"/>
        </w:rPr>
        <w:t xml:space="preserve">of </w:t>
      </w:r>
      <w:r w:rsidRPr="08C06E5B">
        <w:t xml:space="preserve">practical </w:t>
      </w:r>
      <w:r w:rsidRPr="08C06E5B">
        <w:rPr>
          <w:szCs w:val="18"/>
        </w:rPr>
        <w:t xml:space="preserve">wisdom </w:t>
      </w:r>
      <w:r w:rsidRPr="08C06E5B">
        <w:rPr>
          <w:szCs w:val="17"/>
        </w:rPr>
        <w:t xml:space="preserve">would </w:t>
      </w:r>
      <w:r w:rsidRPr="08C06E5B">
        <w:rPr>
          <w:szCs w:val="16"/>
        </w:rPr>
        <w:t xml:space="preserve">determine </w:t>
      </w:r>
      <w:r w:rsidRPr="08C06E5B">
        <w:rPr>
          <w:szCs w:val="9"/>
        </w:rPr>
        <w:t>it</w:t>
      </w:r>
      <w:r>
        <w:rPr>
          <w:szCs w:val="9"/>
          <w:lang w:val="cs-CZ"/>
        </w:rPr>
        <w:t xml:space="preserve"> (</w:t>
      </w:r>
      <w:r w:rsidRPr="002F5181">
        <w:t>ὁ φρόνιμος ὁρίσειεν</w:t>
      </w:r>
      <w:r>
        <w:rPr>
          <w:szCs w:val="9"/>
          <w:lang w:val="cs-CZ"/>
        </w:rPr>
        <w:t>)</w:t>
      </w:r>
      <w:r w:rsidRPr="08C06E5B">
        <w:rPr>
          <w:szCs w:val="9"/>
        </w:rPr>
        <w:t>.</w:t>
      </w:r>
      <w:r>
        <w:rPr>
          <w:szCs w:val="9"/>
          <w:lang w:val="cs-CZ"/>
        </w:rPr>
        <w:t>“</w:t>
      </w:r>
      <w:r w:rsidRPr="08C06E5B">
        <w:rPr>
          <w:rStyle w:val="addmd"/>
        </w:rPr>
        <w:t xml:space="preserve"> (E.N. </w:t>
      </w:r>
      <w:r>
        <w:rPr>
          <w:rStyle w:val="addmd"/>
        </w:rPr>
        <w:t xml:space="preserve">II.6, </w:t>
      </w:r>
      <w:r w:rsidRPr="08C06E5B">
        <w:t>1106b36</w:t>
      </w:r>
      <w:r>
        <w:t>‒</w:t>
      </w:r>
      <w:r w:rsidRPr="08C06E5B">
        <w:t>1107a2</w:t>
      </w:r>
      <w:r>
        <w:fldChar w:fldCharType="begin"/>
      </w:r>
      <w:r>
        <w:instrText xml:space="preserve"> XE "</w:instrText>
      </w:r>
      <w:r>
        <w:rPr>
          <w:lang w:val="cs-CZ"/>
        </w:rPr>
        <w:instrText>Aristoteles:</w:instrText>
      </w:r>
      <w:r w:rsidRPr="005214C7">
        <w:rPr>
          <w:rStyle w:val="addmd"/>
        </w:rPr>
        <w:instrText xml:space="preserve">E.N. </w:instrText>
      </w:r>
      <w:r>
        <w:instrText>1106b36‒</w:instrText>
      </w:r>
      <w:r w:rsidRPr="005214C7">
        <w:instrText>1107a2</w:instrText>
      </w:r>
      <w:r>
        <w:instrText xml:space="preserve">" </w:instrText>
      </w:r>
      <w:r>
        <w:fldChar w:fldCharType="end"/>
      </w:r>
      <w:r>
        <w:t>; AW 9, trad. Ross</w:t>
      </w:r>
      <w:r>
        <w:rPr>
          <w:rStyle w:val="addmd"/>
        </w:rPr>
        <w:t>)</w:t>
      </w:r>
    </w:p>
  </w:footnote>
  <w:footnote w:id="546">
    <w:p w:rsidR="00971E82" w:rsidRPr="00075AD9" w:rsidRDefault="00971E82" w:rsidP="08163013">
      <w:pPr>
        <w:pStyle w:val="Textpoznpodarou"/>
        <w:rPr>
          <w:lang w:val="cs-CZ"/>
        </w:rPr>
      </w:pPr>
      <w:r>
        <w:rPr>
          <w:rStyle w:val="Znakapoznpodarou"/>
        </w:rPr>
        <w:footnoteRef/>
      </w:r>
      <w:r>
        <w:t xml:space="preserve"> </w:t>
      </w:r>
      <w:r>
        <w:rPr>
          <w:rStyle w:val="addmd"/>
          <w:noProof/>
          <w:lang w:val="cs-CZ"/>
        </w:rPr>
        <w:t>„</w:t>
      </w:r>
      <w:r w:rsidRPr="00273106">
        <w:rPr>
          <w:rStyle w:val="addmd"/>
          <w:noProof/>
          <w:lang w:val="cs-CZ"/>
        </w:rPr>
        <w:t xml:space="preserve">Secunda est, quod practicus intellectus habet formam operativam rei, et per hoc componitur cum re operata: dicit enim Aristoteles in VII </w:t>
      </w:r>
      <w:r w:rsidRPr="00273106">
        <w:rPr>
          <w:rStyle w:val="addmd"/>
          <w:i/>
          <w:noProof/>
          <w:lang w:val="cs-CZ"/>
        </w:rPr>
        <w:t>Metaphysicae</w:t>
      </w:r>
      <w:r w:rsidRPr="00273106">
        <w:rPr>
          <w:rStyle w:val="addmd"/>
          <w:noProof/>
          <w:lang w:val="cs-CZ"/>
        </w:rPr>
        <w:t xml:space="preserve">, quod sanitas quae inducitur in aegro, est a sanitate quae est in anima medici, et dicitur </w:t>
      </w:r>
      <w:r w:rsidRPr="00273106">
        <w:rPr>
          <w:rStyle w:val="addmd"/>
          <w:i/>
          <w:noProof/>
          <w:lang w:val="cs-CZ"/>
        </w:rPr>
        <w:t>forma compositionis</w:t>
      </w:r>
      <w:r w:rsidRPr="00273106">
        <w:rPr>
          <w:rStyle w:val="addmd"/>
          <w:noProof/>
          <w:lang w:val="cs-CZ"/>
        </w:rPr>
        <w:t xml:space="preserve">. Forma vero quae est in intellectu speculativo, non est ad rem, sed a re per abstractionem, et ideo dicitur </w:t>
      </w:r>
      <w:r w:rsidRPr="00273106">
        <w:rPr>
          <w:rStyle w:val="addmd"/>
          <w:i/>
          <w:noProof/>
          <w:lang w:val="cs-CZ"/>
        </w:rPr>
        <w:t>forma abstractionis</w:t>
      </w:r>
      <w:r w:rsidRPr="00273106">
        <w:rPr>
          <w:rStyle w:val="addmd"/>
          <w:noProof/>
          <w:lang w:val="cs-CZ"/>
        </w:rPr>
        <w:t>.“ (</w:t>
      </w:r>
      <w:r w:rsidRPr="00273106">
        <w:rPr>
          <w:rStyle w:val="addmd"/>
          <w:i/>
          <w:noProof/>
          <w:lang w:val="cs-CZ"/>
        </w:rPr>
        <w:t>De homine</w:t>
      </w:r>
      <w:r w:rsidRPr="00273106">
        <w:rPr>
          <w:rStyle w:val="addmd"/>
          <w:noProof/>
          <w:lang w:val="cs-CZ"/>
        </w:rPr>
        <w:t>, q. 63, a. 4</w:t>
      </w:r>
      <w:r w:rsidRPr="00273106">
        <w:rPr>
          <w:noProof/>
        </w:rPr>
        <w:t xml:space="preserve">, </w:t>
      </w:r>
      <w:r w:rsidRPr="00273106">
        <w:rPr>
          <w:rStyle w:val="addmd"/>
          <w:noProof/>
          <w:lang w:val="cs-CZ"/>
        </w:rPr>
        <w:t xml:space="preserve">solutio, ad 6; </w:t>
      </w:r>
      <w:r>
        <w:rPr>
          <w:rStyle w:val="addmd"/>
          <w:noProof/>
          <w:lang w:val="cs-CZ"/>
        </w:rPr>
        <w:t xml:space="preserve">ed. Borgnet  35, </w:t>
      </w:r>
      <w:r w:rsidRPr="00273106">
        <w:rPr>
          <w:rStyle w:val="addmd"/>
          <w:noProof/>
          <w:lang w:val="cs-CZ"/>
        </w:rPr>
        <w:t>545b</w:t>
      </w:r>
      <w:r>
        <w:rPr>
          <w:rStyle w:val="addmd"/>
          <w:noProof/>
          <w:lang w:val="cs-CZ"/>
        </w:rPr>
        <w:fldChar w:fldCharType="begin"/>
      </w:r>
      <w:r>
        <w:instrText xml:space="preserve"> XE "</w:instrText>
      </w:r>
      <w:r>
        <w:rPr>
          <w:lang w:val="cs-CZ"/>
        </w:rPr>
        <w:instrText>Albert:</w:instrText>
      </w:r>
      <w:r w:rsidRPr="00E3047F">
        <w:rPr>
          <w:rStyle w:val="addmd"/>
          <w:i/>
          <w:noProof/>
          <w:lang w:val="cs-CZ"/>
        </w:rPr>
        <w:instrText>De homine</w:instrText>
      </w:r>
      <w:r>
        <w:rPr>
          <w:rStyle w:val="addmd"/>
          <w:i/>
          <w:noProof/>
          <w:lang w:val="cs-CZ"/>
        </w:rPr>
        <w:instrText xml:space="preserve"> </w:instrText>
      </w:r>
      <w:r w:rsidRPr="00E3047F">
        <w:rPr>
          <w:rStyle w:val="addmd"/>
          <w:noProof/>
          <w:lang w:val="cs-CZ"/>
        </w:rPr>
        <w:instrText>545b</w:instrText>
      </w:r>
      <w:r>
        <w:instrText xml:space="preserve">" </w:instrText>
      </w:r>
      <w:r>
        <w:rPr>
          <w:rStyle w:val="addmd"/>
          <w:noProof/>
          <w:lang w:val="cs-CZ"/>
        </w:rPr>
        <w:fldChar w:fldCharType="end"/>
      </w:r>
      <w:r w:rsidRPr="00273106">
        <w:rPr>
          <w:rStyle w:val="addmd"/>
          <w:noProof/>
          <w:lang w:val="cs-CZ"/>
        </w:rPr>
        <w:t>)</w:t>
      </w:r>
    </w:p>
  </w:footnote>
  <w:footnote w:id="547">
    <w:p w:rsidR="00971E82" w:rsidRPr="006B04C4" w:rsidRDefault="00971E82" w:rsidP="08163013">
      <w:pPr>
        <w:pStyle w:val="Textpoznpodarou"/>
        <w:rPr>
          <w:lang w:val="cs-CZ"/>
        </w:rPr>
      </w:pPr>
      <w:r>
        <w:rPr>
          <w:rStyle w:val="Znakapoznpodarou"/>
        </w:rPr>
        <w:footnoteRef/>
      </w:r>
      <w:r>
        <w:t xml:space="preserve"> </w:t>
      </w:r>
      <w:r w:rsidRPr="00273106">
        <w:rPr>
          <w:rStyle w:val="addmd"/>
          <w:noProof/>
          <w:lang w:val="cs-CZ"/>
        </w:rPr>
        <w:t xml:space="preserve">„Et quando videt et cognoscit illud verum quod suiipsius est communicativum, tunc intellectus speculativus extensione fit practicus, et movetur tunc sine medio ad diligendum ipsum. Set non est necesse esse medium, quia sufficienter sine medio diligitur, quia speculatur ille idem practicus per medium. </w:t>
      </w:r>
      <w:r w:rsidRPr="00273106">
        <w:rPr>
          <w:noProof/>
          <w:szCs w:val="16"/>
        </w:rPr>
        <w:t xml:space="preserve">Ideo </w:t>
      </w:r>
      <w:r w:rsidRPr="00273106">
        <w:rPr>
          <w:noProof/>
          <w:szCs w:val="18"/>
        </w:rPr>
        <w:t xml:space="preserve">ex </w:t>
      </w:r>
      <w:r w:rsidRPr="00273106">
        <w:rPr>
          <w:noProof/>
          <w:szCs w:val="16"/>
        </w:rPr>
        <w:t xml:space="preserve">consequenti </w:t>
      </w:r>
      <w:r w:rsidRPr="00273106">
        <w:rPr>
          <w:noProof/>
          <w:szCs w:val="14"/>
        </w:rPr>
        <w:t xml:space="preserve">est </w:t>
      </w:r>
      <w:r w:rsidRPr="00273106">
        <w:rPr>
          <w:noProof/>
          <w:szCs w:val="19"/>
        </w:rPr>
        <w:t xml:space="preserve">medium </w:t>
      </w:r>
      <w:r w:rsidRPr="00273106">
        <w:rPr>
          <w:noProof/>
          <w:szCs w:val="13"/>
        </w:rPr>
        <w:t xml:space="preserve">in </w:t>
      </w:r>
      <w:r w:rsidRPr="00273106">
        <w:rPr>
          <w:noProof/>
          <w:szCs w:val="15"/>
        </w:rPr>
        <w:t xml:space="preserve">via </w:t>
      </w:r>
      <w:r w:rsidRPr="00273106">
        <w:rPr>
          <w:noProof/>
          <w:szCs w:val="14"/>
        </w:rPr>
        <w:t xml:space="preserve">diligendi </w:t>
      </w:r>
      <w:r w:rsidRPr="00273106">
        <w:rPr>
          <w:noProof/>
          <w:szCs w:val="16"/>
        </w:rPr>
        <w:t xml:space="preserve">per </w:t>
      </w:r>
      <w:r w:rsidRPr="00273106">
        <w:rPr>
          <w:noProof/>
          <w:szCs w:val="19"/>
        </w:rPr>
        <w:t xml:space="preserve">medium </w:t>
      </w:r>
      <w:r w:rsidRPr="00273106">
        <w:rPr>
          <w:noProof/>
          <w:szCs w:val="13"/>
        </w:rPr>
        <w:t xml:space="preserve">in </w:t>
      </w:r>
      <w:r w:rsidRPr="00273106">
        <w:rPr>
          <w:noProof/>
          <w:szCs w:val="15"/>
        </w:rPr>
        <w:t>via speculandi...“</w:t>
      </w:r>
      <w:r w:rsidRPr="00273106">
        <w:rPr>
          <w:rStyle w:val="addmd"/>
          <w:noProof/>
          <w:lang w:val="cs-CZ"/>
        </w:rPr>
        <w:t xml:space="preserve"> (</w:t>
      </w:r>
      <w:r>
        <w:rPr>
          <w:i/>
        </w:rPr>
        <w:t>Quaestiones</w:t>
      </w:r>
      <w:r w:rsidRPr="00482F9A">
        <w:rPr>
          <w:i/>
        </w:rPr>
        <w:t xml:space="preserve"> altere supra libros prime philosophie Aristotelis</w:t>
      </w:r>
      <w:r>
        <w:rPr>
          <w:bCs/>
          <w:i/>
          <w:noProof/>
          <w:lang w:val="cs-CZ"/>
        </w:rPr>
        <w:t xml:space="preserve">, </w:t>
      </w:r>
      <w:r>
        <w:rPr>
          <w:bCs/>
          <w:noProof/>
          <w:lang w:val="cs-CZ"/>
        </w:rPr>
        <w:t xml:space="preserve">lib. II; ed. </w:t>
      </w:r>
      <w:r>
        <w:rPr>
          <w:rStyle w:val="addmd"/>
          <w:noProof/>
          <w:lang w:val="cs-CZ"/>
        </w:rPr>
        <w:t>Steele, OHI 10, 35.16‒22</w:t>
      </w:r>
      <w:r>
        <w:fldChar w:fldCharType="begin"/>
      </w:r>
      <w:r>
        <w:instrText xml:space="preserve"> XE "</w:instrText>
      </w:r>
      <w:r>
        <w:rPr>
          <w:lang w:val="cs-CZ"/>
        </w:rPr>
        <w:instrText>Bacon:</w:instrText>
      </w:r>
      <w:r>
        <w:rPr>
          <w:i/>
        </w:rPr>
        <w:instrText>Quaestiones</w:instrText>
      </w:r>
      <w:r w:rsidRPr="00482F9A">
        <w:rPr>
          <w:i/>
        </w:rPr>
        <w:instrText xml:space="preserve"> altere supra libros prime philosophie Aristotelis</w:instrText>
      </w:r>
      <w:r>
        <w:rPr>
          <w:i/>
          <w:lang w:val="cs-CZ"/>
        </w:rPr>
        <w:instrText xml:space="preserve"> </w:instrText>
      </w:r>
      <w:r>
        <w:rPr>
          <w:lang w:val="cs-CZ"/>
        </w:rPr>
        <w:instrText>35.16</w:instrText>
      </w:r>
      <w:r>
        <w:instrText>‒2</w:instrText>
      </w:r>
      <w:r w:rsidRPr="08A83305">
        <w:instrText>2</w:instrText>
      </w:r>
      <w:r>
        <w:instrText xml:space="preserve">" </w:instrText>
      </w:r>
      <w:r>
        <w:fldChar w:fldCharType="end"/>
      </w:r>
      <w:r w:rsidRPr="00273106">
        <w:rPr>
          <w:rStyle w:val="addmd"/>
          <w:noProof/>
          <w:lang w:val="cs-CZ"/>
        </w:rPr>
        <w:t>)</w:t>
      </w:r>
    </w:p>
  </w:footnote>
  <w:footnote w:id="548">
    <w:p w:rsidR="00971E82" w:rsidRPr="087029C5" w:rsidRDefault="00971E82" w:rsidP="08163013">
      <w:pPr>
        <w:pStyle w:val="Textpoznpodarou"/>
      </w:pPr>
      <w:r w:rsidRPr="087029C5">
        <w:rPr>
          <w:rStyle w:val="Znakapoznpodarou"/>
        </w:rPr>
        <w:footnoteRef/>
      </w:r>
      <w:r>
        <w:t xml:space="preserve"> „</w:t>
      </w:r>
      <w:r w:rsidRPr="087029C5">
        <w:t>Praeterea, apostolus dicit, 1 Tim 1, 9: lex non est justo posita. Sed philosophus dicit in fine Ethic. quod haec fuit necessitas constituendi reges et alios principes, ad leges condendas habentes vim coactivam ad virtutis actus, quam sermo persuasivus sapientum non habet. Ergo si omnes justitiam in qua conditi sunt, ser</w:t>
      </w:r>
      <w:r>
        <w:t>vassent, praelatio non fuisset.“</w:t>
      </w:r>
      <w:r w:rsidRPr="087029C5">
        <w:rPr>
          <w:rStyle w:val="ref"/>
          <w:rFonts w:eastAsia="Times"/>
        </w:rPr>
        <w:t xml:space="preserve"> (</w:t>
      </w:r>
      <w:r w:rsidRPr="087029C5">
        <w:rPr>
          <w:rStyle w:val="ref"/>
          <w:rFonts w:eastAsia="Times"/>
          <w:i/>
        </w:rPr>
        <w:t>Super II Sent</w:t>
      </w:r>
      <w:r w:rsidRPr="087029C5">
        <w:rPr>
          <w:rStyle w:val="ref"/>
          <w:rFonts w:eastAsia="Times"/>
        </w:rPr>
        <w:t xml:space="preserve">., dist. 44, q. 1, a. 3, arg. 4; </w:t>
      </w:r>
      <w:r>
        <w:t>ed. Mandonett, p. 1121.19</w:t>
      </w:r>
      <w:r w:rsidRPr="087029C5">
        <w:t>–24</w:t>
      </w:r>
      <w:r>
        <w:fldChar w:fldCharType="begin"/>
      </w:r>
      <w:r>
        <w:instrText xml:space="preserve"> XE "</w:instrText>
      </w:r>
      <w:r>
        <w:rPr>
          <w:lang w:val="cs-CZ"/>
        </w:rPr>
        <w:instrText>Akvinský:</w:instrText>
      </w:r>
      <w:r w:rsidRPr="00EF0D9D">
        <w:rPr>
          <w:rStyle w:val="ref"/>
          <w:rFonts w:eastAsia="Times"/>
          <w:i/>
        </w:rPr>
        <w:instrText>Super II Sent</w:instrText>
      </w:r>
      <w:r w:rsidRPr="00EF0D9D">
        <w:rPr>
          <w:rStyle w:val="ref"/>
          <w:rFonts w:eastAsia="Times"/>
        </w:rPr>
        <w:instrText>.</w:instrText>
      </w:r>
      <w:r w:rsidRPr="00EF0D9D">
        <w:instrText xml:space="preserve"> 1121.19–24</w:instrText>
      </w:r>
      <w:r>
        <w:instrText xml:space="preserve">" </w:instrText>
      </w:r>
      <w:r>
        <w:fldChar w:fldCharType="end"/>
      </w:r>
      <w:r w:rsidRPr="087029C5">
        <w:t>)</w:t>
      </w:r>
    </w:p>
  </w:footnote>
  <w:footnote w:id="549">
    <w:p w:rsidR="00971E82" w:rsidRPr="08611C39" w:rsidRDefault="00971E82" w:rsidP="00F13D97">
      <w:pPr>
        <w:pStyle w:val="Textpoznpodarou"/>
        <w:rPr>
          <w:sz w:val="26"/>
        </w:rPr>
      </w:pPr>
      <w:r>
        <w:rPr>
          <w:rStyle w:val="Znakapoznpodarou"/>
        </w:rPr>
        <w:footnoteRef/>
      </w:r>
      <w:r>
        <w:t xml:space="preserve"> „Sed quia veritas prima, quae est fidei obiectum, est finis omnium desideriorum et actionum nostrarum, </w:t>
      </w:r>
      <w:r>
        <w:rPr>
          <w:rStyle w:val="aur"/>
        </w:rPr>
        <w:t>ut</w:t>
      </w:r>
      <w:r>
        <w:t xml:space="preserve"> </w:t>
      </w:r>
      <w:r>
        <w:rPr>
          <w:rStyle w:val="aur"/>
        </w:rPr>
        <w:t>patet</w:t>
      </w:r>
      <w:r>
        <w:t xml:space="preserve"> </w:t>
      </w:r>
      <w:r>
        <w:rPr>
          <w:rStyle w:val="aur"/>
        </w:rPr>
        <w:t>per</w:t>
      </w:r>
      <w:r>
        <w:t xml:space="preserve"> </w:t>
      </w:r>
      <w:r>
        <w:rPr>
          <w:rStyle w:val="aur"/>
        </w:rPr>
        <w:t>Augustinum,</w:t>
      </w:r>
      <w:r>
        <w:t xml:space="preserve"> </w:t>
      </w:r>
      <w:r>
        <w:rPr>
          <w:rStyle w:val="aur"/>
        </w:rPr>
        <w:t>in</w:t>
      </w:r>
      <w:r>
        <w:t xml:space="preserve"> </w:t>
      </w:r>
      <w:r>
        <w:rPr>
          <w:rStyle w:val="aur"/>
        </w:rPr>
        <w:t>I</w:t>
      </w:r>
      <w:r>
        <w:t xml:space="preserve"> </w:t>
      </w:r>
      <w:r>
        <w:rPr>
          <w:rStyle w:val="aur"/>
        </w:rPr>
        <w:t>de</w:t>
      </w:r>
      <w:r>
        <w:t xml:space="preserve"> </w:t>
      </w:r>
      <w:r>
        <w:rPr>
          <w:rStyle w:val="aur"/>
        </w:rPr>
        <w:t>Trin.</w:t>
      </w:r>
      <w:r>
        <w:t xml:space="preserve"> inde est quod per dilectionem operatur. </w:t>
      </w:r>
      <w:r>
        <w:rPr>
          <w:rStyle w:val="aus"/>
          <w:rFonts w:eastAsia="Times"/>
        </w:rPr>
        <w:t>Sicut</w:t>
      </w:r>
      <w:r>
        <w:t xml:space="preserve"> </w:t>
      </w:r>
      <w:r>
        <w:rPr>
          <w:rStyle w:val="aus"/>
          <w:rFonts w:eastAsia="Times"/>
        </w:rPr>
        <w:t>etiam</w:t>
      </w:r>
      <w:r>
        <w:t xml:space="preserve"> </w:t>
      </w:r>
      <w:r>
        <w:rPr>
          <w:rStyle w:val="aus"/>
          <w:rFonts w:eastAsia="Times"/>
        </w:rPr>
        <w:t>intellectus</w:t>
      </w:r>
      <w:r>
        <w:t xml:space="preserve"> </w:t>
      </w:r>
      <w:r>
        <w:rPr>
          <w:rStyle w:val="aus"/>
          <w:rFonts w:eastAsia="Times"/>
        </w:rPr>
        <w:t>speculativus</w:t>
      </w:r>
      <w:r>
        <w:t xml:space="preserve"> </w:t>
      </w:r>
      <w:r w:rsidRPr="08611C39">
        <w:t>extensione fit practicus</w:t>
      </w:r>
      <w:r>
        <w:rPr>
          <w:rStyle w:val="aus"/>
          <w:rFonts w:eastAsia="Times"/>
          <w:b/>
          <w:bCs/>
        </w:rPr>
        <w:t>,</w:t>
      </w:r>
      <w:r>
        <w:t xml:space="preserve"> </w:t>
      </w:r>
      <w:r>
        <w:rPr>
          <w:rStyle w:val="aur"/>
        </w:rPr>
        <w:t>ut</w:t>
      </w:r>
      <w:r>
        <w:t xml:space="preserve"> </w:t>
      </w:r>
      <w:r>
        <w:rPr>
          <w:rStyle w:val="aur"/>
        </w:rPr>
        <w:t>dicitur</w:t>
      </w:r>
      <w:r>
        <w:t xml:space="preserve"> </w:t>
      </w:r>
      <w:r>
        <w:rPr>
          <w:rStyle w:val="aur"/>
        </w:rPr>
        <w:t>in</w:t>
      </w:r>
      <w:r>
        <w:t xml:space="preserve"> </w:t>
      </w:r>
      <w:r>
        <w:rPr>
          <w:rStyle w:val="aur"/>
        </w:rPr>
        <w:t>III</w:t>
      </w:r>
      <w:r>
        <w:t xml:space="preserve"> </w:t>
      </w:r>
      <w:r>
        <w:rPr>
          <w:rStyle w:val="aur"/>
        </w:rPr>
        <w:t>de</w:t>
      </w:r>
      <w:r>
        <w:t xml:space="preserve"> </w:t>
      </w:r>
      <w:r>
        <w:rPr>
          <w:rStyle w:val="aur"/>
        </w:rPr>
        <w:t xml:space="preserve">anima.“ </w:t>
      </w:r>
      <w:r>
        <w:rPr>
          <w:rStyle w:val="aur"/>
          <w:sz w:val="26"/>
        </w:rPr>
        <w:t>(</w:t>
      </w:r>
      <w:r>
        <w:rPr>
          <w:rStyle w:val="ref"/>
          <w:rFonts w:eastAsia="Times"/>
        </w:rPr>
        <w:t>ST II-II, q. 4, a. 2, ad 3</w:t>
      </w:r>
      <w:r>
        <w:rPr>
          <w:rStyle w:val="ref"/>
          <w:rFonts w:eastAsia="Times"/>
          <w:lang w:val="cs-CZ"/>
        </w:rPr>
        <w:t>; ed. Leonina 8, 45</w:t>
      </w:r>
      <w:r>
        <w:rPr>
          <w:rStyle w:val="ref"/>
          <w:rFonts w:eastAsia="Times"/>
        </w:rPr>
        <w:fldChar w:fldCharType="begin"/>
      </w:r>
      <w:r>
        <w:instrText xml:space="preserve"> XE "</w:instrText>
      </w:r>
      <w:r>
        <w:rPr>
          <w:lang w:val="cs-CZ"/>
        </w:rPr>
        <w:instrText>Akvinský:</w:instrText>
      </w:r>
      <w:r w:rsidRPr="00703835">
        <w:rPr>
          <w:rStyle w:val="ref"/>
          <w:rFonts w:eastAsia="Times"/>
        </w:rPr>
        <w:instrText>ST II-II</w:instrText>
      </w:r>
      <w:r>
        <w:rPr>
          <w:rStyle w:val="ref"/>
          <w:rFonts w:eastAsia="Times"/>
          <w:lang w:val="cs-CZ"/>
        </w:rPr>
        <w:instrText>.</w:instrText>
      </w:r>
      <w:r w:rsidRPr="00703835">
        <w:rPr>
          <w:rStyle w:val="ref"/>
          <w:rFonts w:eastAsia="Times"/>
        </w:rPr>
        <w:instrText>4</w:instrText>
      </w:r>
      <w:r>
        <w:rPr>
          <w:rStyle w:val="ref"/>
          <w:rFonts w:eastAsia="Times"/>
          <w:lang w:val="cs-CZ"/>
        </w:rPr>
        <w:instrText>.2</w:instrText>
      </w:r>
      <w:r>
        <w:instrText xml:space="preserve">" </w:instrText>
      </w:r>
      <w:r>
        <w:rPr>
          <w:rStyle w:val="ref"/>
          <w:rFonts w:eastAsia="Times"/>
        </w:rPr>
        <w:fldChar w:fldCharType="end"/>
      </w:r>
      <w:r>
        <w:rPr>
          <w:rStyle w:val="aur"/>
          <w:sz w:val="26"/>
        </w:rPr>
        <w:t>)</w:t>
      </w:r>
    </w:p>
  </w:footnote>
  <w:footnote w:id="550">
    <w:p w:rsidR="00971E82" w:rsidRPr="0849571E" w:rsidRDefault="00971E82" w:rsidP="08163013">
      <w:pPr>
        <w:pStyle w:val="Textpoznpodarou"/>
      </w:pPr>
      <w:r>
        <w:rPr>
          <w:rStyle w:val="Znakapoznpodarou"/>
        </w:rPr>
        <w:footnoteRef/>
      </w:r>
      <w:r>
        <w:t xml:space="preserve"> „</w:t>
      </w:r>
      <w:r w:rsidRPr="0849571E">
        <w:t>Cum enim substantia virtutis sit medium: medium autem virtutis determinatum sit quoad nos et non simpliciter: universalis propositio de medio virtutis accipi non potest.</w:t>
      </w:r>
      <w:r>
        <w:t>“ (</w:t>
      </w:r>
      <w:r w:rsidRPr="08475B52">
        <w:rPr>
          <w:i/>
        </w:rPr>
        <w:t>Ethicorum</w:t>
      </w:r>
      <w:r>
        <w:t xml:space="preserve"> I, tract. I, c. 2; ed. Borgnet 7, 3a</w:t>
      </w:r>
      <w:r>
        <w:fldChar w:fldCharType="begin"/>
      </w:r>
      <w:r>
        <w:instrText xml:space="preserve"> XE "</w:instrText>
      </w:r>
      <w:r>
        <w:rPr>
          <w:lang w:val="cs-CZ"/>
        </w:rPr>
        <w:instrText>Albert:</w:instrText>
      </w:r>
      <w:r>
        <w:rPr>
          <w:i/>
        </w:rPr>
        <w:instrText>Ethic</w:instrText>
      </w:r>
      <w:r>
        <w:rPr>
          <w:i/>
          <w:lang w:val="cs-CZ"/>
        </w:rPr>
        <w:instrText xml:space="preserve">a </w:instrText>
      </w:r>
      <w:r w:rsidRPr="005805CF">
        <w:rPr>
          <w:lang w:val="cs-CZ"/>
        </w:rPr>
        <w:instrText>1</w:instrText>
      </w:r>
      <w:r>
        <w:rPr>
          <w:i/>
          <w:lang w:val="cs-CZ"/>
        </w:rPr>
        <w:instrText>.</w:instrText>
      </w:r>
      <w:r w:rsidRPr="00684267">
        <w:instrText>3a</w:instrText>
      </w:r>
      <w:r>
        <w:instrText xml:space="preserve">" </w:instrText>
      </w:r>
      <w:r>
        <w:fldChar w:fldCharType="end"/>
      </w:r>
      <w:r>
        <w:t>)</w:t>
      </w:r>
    </w:p>
  </w:footnote>
  <w:footnote w:id="551">
    <w:p w:rsidR="00971E82" w:rsidRPr="08F15185" w:rsidRDefault="00971E82" w:rsidP="08163013">
      <w:pPr>
        <w:pStyle w:val="Textpoznpodarou"/>
      </w:pPr>
      <w:r>
        <w:rPr>
          <w:rStyle w:val="Znakapoznpodarou"/>
        </w:rPr>
        <w:footnoteRef/>
      </w:r>
      <w:r>
        <w:t xml:space="preserve"> „Cum actus peccati et virtutis sit secundum electionem, electio autem est appetitus praeconsiliati, consilium vero est quaedam inquisitio; necesse est quod in quolibet actu virtutis vel peccati sit quaedam deductio quasi </w:t>
      </w:r>
      <w:r w:rsidRPr="08F15185">
        <w:rPr>
          <w:bCs/>
        </w:rPr>
        <w:t>syllogistica</w:t>
      </w:r>
      <w:r>
        <w:rPr>
          <w:b/>
          <w:bCs/>
        </w:rPr>
        <w:t>;</w:t>
      </w:r>
      <w:r>
        <w:t xml:space="preserve"> sed tamen aliter syllogizat temperatus, aliter intemperatus; aliter continens, aliter incontinens. Temperatus enim movetur tantum secundum iudicium rationis; unde utitur syllogismo trium propositionum; quasi sic deducens: nulla fornicatio est committenda, hic actus est fornicatio, ergo non est faciendus.“ (</w:t>
      </w:r>
      <w:r w:rsidRPr="08F15185">
        <w:rPr>
          <w:rStyle w:val="ref"/>
          <w:rFonts w:eastAsia="Times"/>
          <w:i/>
        </w:rPr>
        <w:t>De malo</w:t>
      </w:r>
      <w:r>
        <w:rPr>
          <w:rStyle w:val="ref"/>
          <w:rFonts w:eastAsia="Times"/>
        </w:rPr>
        <w:t xml:space="preserve">, q. 3, a. 9, ad 7; </w:t>
      </w:r>
      <w:r>
        <w:rPr>
          <w:rStyle w:val="ref"/>
          <w:rFonts w:eastAsia="Times"/>
          <w:lang w:val="cs-CZ"/>
        </w:rPr>
        <w:t>ed. Leonina 23, 87.253‒64</w:t>
      </w:r>
      <w:r>
        <w:rPr>
          <w:rStyle w:val="ref"/>
          <w:rFonts w:eastAsia="Times"/>
          <w:i/>
        </w:rPr>
        <w:fldChar w:fldCharType="begin"/>
      </w:r>
      <w:r>
        <w:instrText xml:space="preserve"> XE "</w:instrText>
      </w:r>
      <w:r w:rsidRPr="00E35A83">
        <w:instrText>A</w:instrText>
      </w:r>
      <w:r>
        <w:rPr>
          <w:lang w:val="cs-CZ"/>
        </w:rPr>
        <w:instrText>kvinský:</w:instrText>
      </w:r>
      <w:r w:rsidRPr="00E35A83">
        <w:rPr>
          <w:rStyle w:val="ref"/>
          <w:rFonts w:eastAsia="Times"/>
          <w:i/>
        </w:rPr>
        <w:instrText>De malo</w:instrText>
      </w:r>
      <w:r>
        <w:instrText xml:space="preserve">" </w:instrText>
      </w:r>
      <w:r>
        <w:rPr>
          <w:rStyle w:val="ref"/>
          <w:rFonts w:eastAsia="Times"/>
          <w:i/>
        </w:rPr>
        <w:fldChar w:fldCharType="end"/>
      </w:r>
      <w:r>
        <w:t>)</w:t>
      </w:r>
    </w:p>
  </w:footnote>
  <w:footnote w:id="552">
    <w:p w:rsidR="00971E82" w:rsidRPr="0841715F" w:rsidRDefault="00971E82" w:rsidP="08163013">
      <w:pPr>
        <w:pStyle w:val="Textpoznpodarou"/>
        <w:rPr>
          <w:lang w:val="en-US"/>
        </w:rPr>
      </w:pPr>
      <w:r>
        <w:rPr>
          <w:rStyle w:val="Znakapoznpodarou"/>
        </w:rPr>
        <w:footnoteRef/>
      </w:r>
      <w:r>
        <w:t xml:space="preserve"> </w:t>
      </w:r>
      <w:r>
        <w:t xml:space="preserve">„Pierre Dubois [Petrus de Bosco] nous déclare qu’il avait entendu Siger, à Paris, déterminer cette question de la </w:t>
      </w:r>
      <w:r>
        <w:rPr>
          <w:i/>
        </w:rPr>
        <w:t>Politique</w:t>
      </w:r>
      <w:r>
        <w:t xml:space="preserve"> d’Aristote: qu’il est de beaucoup préférable pour l’État d’être régi par de justes lois que par des hommes honnêtes.“</w:t>
      </w:r>
      <w:r w:rsidRPr="08FF5E9B">
        <w:t xml:space="preserve"> </w:t>
      </w:r>
      <w:proofErr w:type="gramStart"/>
      <w:r w:rsidRPr="0841715F">
        <w:rPr>
          <w:lang w:val="en-US"/>
        </w:rPr>
        <w:t>(Mandonnet 1911, 141).</w:t>
      </w:r>
      <w:proofErr w:type="gramEnd"/>
    </w:p>
  </w:footnote>
  <w:footnote w:id="553">
    <w:p w:rsidR="00971E82" w:rsidRPr="080B13E7" w:rsidRDefault="00971E82" w:rsidP="00041D11">
      <w:pPr>
        <w:pStyle w:val="Textpoznpodarou"/>
        <w:rPr>
          <w:lang w:val="cs-CZ"/>
        </w:rPr>
      </w:pPr>
      <w:r>
        <w:rPr>
          <w:rStyle w:val="Znakapoznpodarou"/>
        </w:rPr>
        <w:footnoteRef/>
      </w:r>
      <w:r>
        <w:rPr>
          <w:lang w:val="cs-CZ"/>
        </w:rPr>
        <w:t xml:space="preserve"> </w:t>
      </w:r>
      <w:r w:rsidRPr="080B13E7">
        <w:t>„The traditional Arab social structure was exclusively based on kin. The individual lived as a member of the kin group, and for it. The verse of Durayd ibn al-Simmah (d. 630 AD) is quite clear: ‘I am but one of [the tribe of] Ghazlyah, if it strays, I stray, and if Ghazlyah leads the right way, I lead the right way’</w:t>
      </w:r>
      <w:r>
        <w:rPr>
          <w:lang w:val="cs-CZ"/>
        </w:rPr>
        <w:t xml:space="preserve"> (...)</w:t>
      </w:r>
      <w:r w:rsidRPr="080B13E7">
        <w:t>. The kin bond is vivified by kin solidarity (</w:t>
      </w:r>
      <w:r w:rsidRPr="080B13E7">
        <w:rPr>
          <w:i/>
          <w:vertAlign w:val="superscript"/>
        </w:rPr>
        <w:t>c</w:t>
      </w:r>
      <w:r w:rsidRPr="080B13E7">
        <w:rPr>
          <w:i/>
        </w:rPr>
        <w:t>asabiyah</w:t>
      </w:r>
      <w:r>
        <w:t>), which is ‒</w:t>
      </w:r>
      <w:r w:rsidRPr="080B13E7">
        <w:t xml:space="preserve"> accordi</w:t>
      </w:r>
      <w:r>
        <w:t>ng to ibn Khaldun (d. 1406 AD) ‒</w:t>
      </w:r>
      <w:r w:rsidRPr="080B13E7">
        <w:t xml:space="preserve"> the fundamental bond of human society and the basic motivat</w:t>
      </w:r>
      <w:r w:rsidRPr="080B13E7">
        <w:softHyphen/>
        <w:t>ing force of history.</w:t>
      </w:r>
      <w:r>
        <w:rPr>
          <w:lang w:val="cs-CZ"/>
        </w:rPr>
        <w:t>“ (Parolin 2009, 26)</w:t>
      </w:r>
    </w:p>
  </w:footnote>
  <w:footnote w:id="554">
    <w:p w:rsidR="00971E82" w:rsidRPr="0856338D" w:rsidRDefault="00971E82" w:rsidP="08163013">
      <w:pPr>
        <w:pStyle w:val="Textpoznpodarou"/>
      </w:pPr>
      <w:r>
        <w:rPr>
          <w:rStyle w:val="Znakapoznpodarou"/>
        </w:rPr>
        <w:footnoteRef/>
      </w:r>
      <w:r>
        <w:t xml:space="preserve"> „</w:t>
      </w:r>
      <w:r w:rsidRPr="0856338D">
        <w:t>It w</w:t>
      </w:r>
      <w:r>
        <w:t xml:space="preserve">as His single supreme ordinance ‒ the </w:t>
      </w:r>
      <w:r w:rsidRPr="084A472A">
        <w:rPr>
          <w:i/>
        </w:rPr>
        <w:t>lex aeterna</w:t>
      </w:r>
      <w:r>
        <w:t xml:space="preserve"> ‒ </w:t>
      </w:r>
      <w:r w:rsidRPr="0856338D">
        <w:t>which permeated and directed this plurality (</w:t>
      </w:r>
      <w:r w:rsidRPr="0856338D">
        <w:rPr>
          <w:i/>
        </w:rPr>
        <w:t>multitudo</w:t>
      </w:r>
      <w:r>
        <w:t>), in order '</w:t>
      </w:r>
      <w:r w:rsidRPr="0856338D">
        <w:t>that all things be</w:t>
      </w:r>
      <w:r>
        <w:t xml:space="preserve"> most orderly' (</w:t>
      </w:r>
      <w:r w:rsidRPr="0856338D">
        <w:rPr>
          <w:i/>
        </w:rPr>
        <w:t>ut omnia sint ordinatissima</w:t>
      </w:r>
      <w:r>
        <w:t xml:space="preserve">). </w:t>
      </w:r>
      <w:r w:rsidRPr="0856338D">
        <w:t xml:space="preserve"> Conversely, all multiplicity had its source in this oneness, in the Absolute One (</w:t>
      </w:r>
      <w:r w:rsidRPr="0856338D">
        <w:rPr>
          <w:i/>
        </w:rPr>
        <w:t>omnis multitudo derivatur ab uno</w:t>
      </w:r>
      <w:r w:rsidRPr="0856338D">
        <w:t>), to Whom it ultimately returns and to Whom it remains</w:t>
      </w:r>
      <w:r>
        <w:t xml:space="preserve"> e</w:t>
      </w:r>
      <w:r w:rsidRPr="0856338D">
        <w:t>ternally</w:t>
      </w:r>
      <w:r>
        <w:t xml:space="preserve"> s</w:t>
      </w:r>
      <w:r w:rsidRPr="0856338D">
        <w:t>ubordinated</w:t>
      </w:r>
      <w:r>
        <w:t xml:space="preserve"> (</w:t>
      </w:r>
      <w:r w:rsidRPr="0856338D">
        <w:rPr>
          <w:i/>
        </w:rPr>
        <w:t>ordinatio ad unum</w:t>
      </w:r>
      <w:r w:rsidRPr="0856338D">
        <w:t>), according</w:t>
      </w:r>
      <w:r>
        <w:t xml:space="preserve"> </w:t>
      </w:r>
      <w:r w:rsidRPr="0856338D">
        <w:t>to the words of St. John (</w:t>
      </w:r>
      <w:r>
        <w:rPr>
          <w:lang w:val="cs-CZ"/>
        </w:rPr>
        <w:t xml:space="preserve">Jn </w:t>
      </w:r>
      <w:r w:rsidRPr="0856338D">
        <w:t>17:11</w:t>
      </w:r>
      <w:r>
        <w:fldChar w:fldCharType="begin"/>
      </w:r>
      <w:r>
        <w:instrText xml:space="preserve"> XE "</w:instrText>
      </w:r>
      <w:r>
        <w:rPr>
          <w:lang w:val="cs-CZ"/>
        </w:rPr>
        <w:instrText>Nový zákon:</w:instrText>
      </w:r>
      <w:r w:rsidRPr="08AC182E">
        <w:rPr>
          <w:i/>
          <w:lang w:val="cs-CZ"/>
        </w:rPr>
        <w:instrText>Jn</w:instrText>
      </w:r>
      <w:r w:rsidRPr="00AA5777">
        <w:rPr>
          <w:lang w:val="cs-CZ"/>
        </w:rPr>
        <w:instrText xml:space="preserve"> </w:instrText>
      </w:r>
      <w:r>
        <w:instrText>17</w:instrText>
      </w:r>
      <w:r>
        <w:rPr>
          <w:lang w:val="cs-CZ"/>
        </w:rPr>
        <w:instrText>.</w:instrText>
      </w:r>
      <w:r w:rsidRPr="00AA5777">
        <w:instrText>11</w:instrText>
      </w:r>
      <w:r>
        <w:instrText xml:space="preserve">" </w:instrText>
      </w:r>
      <w:r>
        <w:fldChar w:fldCharType="end"/>
      </w:r>
      <w:r w:rsidRPr="0856338D">
        <w:t>).</w:t>
      </w:r>
      <w:r>
        <w:t>“ (Chroust 1947, 427‒28)</w:t>
      </w:r>
    </w:p>
  </w:footnote>
  <w:footnote w:id="555">
    <w:p w:rsidR="00971E82" w:rsidRPr="085479C6" w:rsidRDefault="00971E82" w:rsidP="08163013">
      <w:pPr>
        <w:pStyle w:val="Textpoznpodarou"/>
      </w:pPr>
      <w:r>
        <w:rPr>
          <w:rStyle w:val="Znakapoznpodarou"/>
        </w:rPr>
        <w:footnoteRef/>
      </w:r>
      <w:r>
        <w:t xml:space="preserve"> „Thus John of Paris claimed outright that '</w:t>
      </w:r>
      <w:r w:rsidRPr="0891646D">
        <w:rPr>
          <w:i/>
        </w:rPr>
        <w:t>whereas in the Church oneness is required by divine law, the faithful laity, moved by a natural instinct, . . . should live in different states</w:t>
      </w:r>
      <w:r>
        <w:t>'. For '</w:t>
      </w:r>
      <w:r w:rsidRPr="0891646D">
        <w:rPr>
          <w:i/>
        </w:rPr>
        <w:t>only within each particular realm need there be unity</w:t>
      </w:r>
      <w:r>
        <w:t>' in the sense of oneness.“ (Chroust 1947, 444)</w:t>
      </w:r>
    </w:p>
  </w:footnote>
  <w:footnote w:id="556">
    <w:p w:rsidR="00971E82" w:rsidRPr="088B54CA" w:rsidRDefault="00971E82" w:rsidP="08163013">
      <w:pPr>
        <w:pStyle w:val="Textpoznpodarou"/>
        <w:rPr>
          <w:lang w:val="cs-CZ"/>
        </w:rPr>
      </w:pPr>
      <w:r>
        <w:rPr>
          <w:rStyle w:val="Znakapoznpodarou"/>
        </w:rPr>
        <w:footnoteRef/>
      </w:r>
      <w:r>
        <w:t xml:space="preserve"> </w:t>
      </w:r>
      <w:r>
        <w:rPr>
          <w:lang w:val="cs-CZ"/>
        </w:rPr>
        <w:t xml:space="preserve">Kniha je věnována Dantemu, ale Dante dal </w:t>
      </w:r>
      <w:r>
        <w:t>Brunett</w:t>
      </w:r>
      <w:r>
        <w:rPr>
          <w:lang w:val="cs-CZ"/>
        </w:rPr>
        <w:t xml:space="preserve">a jako politického odpůrce Dantovy frakce Ghibellinů do pekla za hříchy proti přirozenosti. Klíčový citát převzatý z dále citované pasáže </w:t>
      </w:r>
      <w:r w:rsidRPr="0891530F">
        <w:rPr>
          <w:i/>
          <w:lang w:val="cs-CZ"/>
        </w:rPr>
        <w:t>Politiky</w:t>
      </w:r>
      <w:r>
        <w:rPr>
          <w:lang w:val="cs-CZ"/>
        </w:rPr>
        <w:t xml:space="preserve"> </w:t>
      </w:r>
      <w:proofErr w:type="gramStart"/>
      <w:r>
        <w:rPr>
          <w:lang w:val="cs-CZ"/>
        </w:rPr>
        <w:t>III.10</w:t>
      </w:r>
      <w:proofErr w:type="gramEnd"/>
      <w:r>
        <w:rPr>
          <w:lang w:val="cs-CZ"/>
        </w:rPr>
        <w:t xml:space="preserve"> zní takto: „</w:t>
      </w:r>
      <w:r>
        <w:t>Seignourie sont de trios manieres: l’une est</w:t>
      </w:r>
      <w:r>
        <w:rPr>
          <w:lang w:val="cs-CZ"/>
        </w:rPr>
        <w:t xml:space="preserve"> </w:t>
      </w:r>
      <w:r>
        <w:t>des rois, la segonde est des hons, la tierce est des communes, laquele est la trés meilleur</w:t>
      </w:r>
      <w:r>
        <w:rPr>
          <w:lang w:val="cs-CZ"/>
        </w:rPr>
        <w:t xml:space="preserve"> </w:t>
      </w:r>
      <w:r>
        <w:t>entre ces autres.” (</w:t>
      </w:r>
      <w:r w:rsidRPr="08D72D3C">
        <w:rPr>
          <w:i/>
        </w:rPr>
        <w:t xml:space="preserve">Li Livres dou </w:t>
      </w:r>
      <w:r w:rsidRPr="08C02329">
        <w:rPr>
          <w:i/>
        </w:rPr>
        <w:t>Tresor</w:t>
      </w:r>
      <w:r w:rsidRPr="08D00C22">
        <w:t xml:space="preserve"> II.44.1</w:t>
      </w:r>
      <w:r>
        <w:fldChar w:fldCharType="begin"/>
      </w:r>
      <w:r>
        <w:instrText xml:space="preserve"> XE "</w:instrText>
      </w:r>
      <w:r w:rsidRPr="08B30DB1">
        <w:instrText>Latini, B</w:instrText>
      </w:r>
      <w:r>
        <w:rPr>
          <w:lang w:val="cs-CZ"/>
        </w:rPr>
        <w:instrText>runetto</w:instrText>
      </w:r>
      <w:r w:rsidRPr="08B30DB1">
        <w:instrText>:</w:instrText>
      </w:r>
      <w:r w:rsidRPr="089C5823">
        <w:rPr>
          <w:i/>
        </w:rPr>
        <w:instrText xml:space="preserve">Li Livres dou </w:instrText>
      </w:r>
      <w:r w:rsidRPr="081734BB">
        <w:rPr>
          <w:i/>
        </w:rPr>
        <w:instrText>Tresor</w:instrText>
      </w:r>
      <w:r w:rsidRPr="089C5823">
        <w:instrText xml:space="preserve"> </w:instrText>
      </w:r>
      <w:r>
        <w:rPr>
          <w:lang w:val="cs-CZ"/>
        </w:rPr>
        <w:instrText>179</w:instrText>
      </w:r>
      <w:r>
        <w:instrText xml:space="preserve">" </w:instrText>
      </w:r>
      <w:r>
        <w:fldChar w:fldCharType="end"/>
      </w:r>
      <w:r w:rsidRPr="08D00C22">
        <w:t>, ed. Baldwin&amp;Barrette, p. 179)</w:t>
      </w:r>
    </w:p>
  </w:footnote>
  <w:footnote w:id="557">
    <w:p w:rsidR="00971E82" w:rsidRPr="00A86CA3" w:rsidRDefault="00971E82" w:rsidP="08163013">
      <w:pPr>
        <w:pStyle w:val="Textpoznpodarou"/>
        <w:rPr>
          <w:noProof/>
          <w:lang w:val="cs-CZ"/>
        </w:rPr>
      </w:pPr>
      <w:r>
        <w:rPr>
          <w:rStyle w:val="Znakapoznpodarou"/>
        </w:rPr>
        <w:footnoteRef/>
      </w:r>
      <w:r>
        <w:t xml:space="preserve"> </w:t>
      </w:r>
      <w:r w:rsidRPr="00273106">
        <w:rPr>
          <w:noProof/>
        </w:rPr>
        <w:t>„Et ratio est</w:t>
      </w:r>
      <w:r>
        <w:rPr>
          <w:noProof/>
          <w:lang w:val="cs-CZ"/>
        </w:rPr>
        <w:t>,</w:t>
      </w:r>
      <w:r w:rsidRPr="00273106">
        <w:rPr>
          <w:noProof/>
        </w:rPr>
        <w:t xml:space="preserve"> quia politici contendunt ad perfectionem virtutis moralis et felicitatem civilem: Philosophi autem contendunt ad perfectionem virtutis intellectualis et felicitatem contemplativam sive intellectualem.“ (</w:t>
      </w:r>
      <w:r w:rsidRPr="00273106">
        <w:rPr>
          <w:i/>
          <w:noProof/>
        </w:rPr>
        <w:t xml:space="preserve">Politicorum Libri </w:t>
      </w:r>
      <w:r w:rsidRPr="00273106">
        <w:rPr>
          <w:noProof/>
        </w:rPr>
        <w:t>V</w:t>
      </w:r>
      <w:r>
        <w:rPr>
          <w:noProof/>
        </w:rPr>
        <w:t xml:space="preserve">II, c. 2; ed. Borgnet  8, </w:t>
      </w:r>
      <w:r w:rsidRPr="00273106">
        <w:rPr>
          <w:noProof/>
        </w:rPr>
        <w:t>634a</w:t>
      </w:r>
      <w:r>
        <w:rPr>
          <w:noProof/>
        </w:rPr>
        <w:fldChar w:fldCharType="begin"/>
      </w:r>
      <w:r>
        <w:instrText xml:space="preserve"> XE "</w:instrText>
      </w:r>
      <w:r>
        <w:rPr>
          <w:lang w:val="cs-CZ"/>
        </w:rPr>
        <w:instrText>Albert:</w:instrText>
      </w:r>
      <w:r w:rsidRPr="00954D85">
        <w:rPr>
          <w:i/>
          <w:noProof/>
        </w:rPr>
        <w:instrText xml:space="preserve">Politicorum Libri </w:instrText>
      </w:r>
      <w:r>
        <w:rPr>
          <w:noProof/>
          <w:lang w:val="cs-CZ"/>
        </w:rPr>
        <w:instrText>6</w:instrText>
      </w:r>
      <w:r w:rsidRPr="00954D85">
        <w:rPr>
          <w:noProof/>
        </w:rPr>
        <w:instrText>34a</w:instrText>
      </w:r>
      <w:r>
        <w:instrText xml:space="preserve">" </w:instrText>
      </w:r>
      <w:r>
        <w:rPr>
          <w:noProof/>
        </w:rPr>
        <w:fldChar w:fldCharType="end"/>
      </w:r>
      <w:r w:rsidRPr="00273106">
        <w:rPr>
          <w:noProof/>
        </w:rPr>
        <w:t>)</w:t>
      </w:r>
    </w:p>
  </w:footnote>
  <w:footnote w:id="558">
    <w:p w:rsidR="00971E82" w:rsidRPr="008F2300" w:rsidRDefault="00971E82" w:rsidP="08163013">
      <w:pPr>
        <w:pStyle w:val="Textpoznpodarou"/>
        <w:rPr>
          <w:lang w:val="cs-CZ"/>
        </w:rPr>
      </w:pPr>
      <w:r>
        <w:rPr>
          <w:rStyle w:val="Znakapoznpodarou"/>
        </w:rPr>
        <w:footnoteRef/>
      </w:r>
      <w:r>
        <w:t xml:space="preserve"> </w:t>
      </w:r>
      <w:r w:rsidRPr="00273106">
        <w:rPr>
          <w:noProof/>
        </w:rPr>
        <w:t>„</w:t>
      </w:r>
      <w:r>
        <w:rPr>
          <w:noProof/>
          <w:lang w:val="cs-CZ"/>
        </w:rPr>
        <w:t>Quia ergo o</w:t>
      </w:r>
      <w:r w:rsidRPr="00273106">
        <w:rPr>
          <w:noProof/>
        </w:rPr>
        <w:t>mnium confessio est, quod eadem est felicitas hominis et civitatis, quaecumque illa sit, relinquitur quod de duobus sit inquirendum.“ (</w:t>
      </w:r>
      <w:r w:rsidRPr="00273106">
        <w:rPr>
          <w:i/>
          <w:noProof/>
        </w:rPr>
        <w:t xml:space="preserve">Politicorum Libri </w:t>
      </w:r>
      <w:r w:rsidRPr="00273106">
        <w:rPr>
          <w:noProof/>
        </w:rPr>
        <w:t xml:space="preserve">VII, c. 2; </w:t>
      </w:r>
      <w:r>
        <w:rPr>
          <w:noProof/>
        </w:rPr>
        <w:t xml:space="preserve">ed. Borgnet  </w:t>
      </w:r>
      <w:r w:rsidRPr="00273106">
        <w:rPr>
          <w:noProof/>
        </w:rPr>
        <w:t>8,</w:t>
      </w:r>
      <w:r>
        <w:rPr>
          <w:noProof/>
        </w:rPr>
        <w:t xml:space="preserve"> 632a</w:t>
      </w:r>
      <w:r>
        <w:rPr>
          <w:noProof/>
        </w:rPr>
        <w:fldChar w:fldCharType="begin"/>
      </w:r>
      <w:r>
        <w:instrText xml:space="preserve"> XE "</w:instrText>
      </w:r>
      <w:r>
        <w:rPr>
          <w:lang w:val="cs-CZ"/>
        </w:rPr>
        <w:instrText>Albert:</w:instrText>
      </w:r>
      <w:r w:rsidRPr="00954D85">
        <w:rPr>
          <w:i/>
          <w:noProof/>
        </w:rPr>
        <w:instrText xml:space="preserve">Politicorum Libri </w:instrText>
      </w:r>
      <w:r>
        <w:rPr>
          <w:noProof/>
          <w:lang w:val="cs-CZ"/>
        </w:rPr>
        <w:instrText>6</w:instrText>
      </w:r>
      <w:r>
        <w:rPr>
          <w:noProof/>
        </w:rPr>
        <w:instrText>3</w:instrText>
      </w:r>
      <w:r>
        <w:rPr>
          <w:noProof/>
          <w:lang w:val="cs-CZ"/>
        </w:rPr>
        <w:instrText>2</w:instrText>
      </w:r>
      <w:r w:rsidRPr="00954D85">
        <w:rPr>
          <w:noProof/>
        </w:rPr>
        <w:instrText>a</w:instrText>
      </w:r>
      <w:r>
        <w:instrText xml:space="preserve">" </w:instrText>
      </w:r>
      <w:r>
        <w:rPr>
          <w:noProof/>
        </w:rPr>
        <w:fldChar w:fldCharType="end"/>
      </w:r>
      <w:r>
        <w:rPr>
          <w:noProof/>
        </w:rPr>
        <w:t>)</w:t>
      </w:r>
    </w:p>
  </w:footnote>
  <w:footnote w:id="559">
    <w:p w:rsidR="00971E82" w:rsidRPr="08371BCD" w:rsidRDefault="00971E82" w:rsidP="08163013">
      <w:pPr>
        <w:pStyle w:val="Textpoznpodarou"/>
      </w:pPr>
      <w:r>
        <w:rPr>
          <w:rStyle w:val="Znakapoznpodarou"/>
        </w:rPr>
        <w:footnoteRef/>
      </w:r>
      <w:r>
        <w:rPr>
          <w:lang w:val="cs-CZ"/>
        </w:rPr>
        <w:t xml:space="preserve"> </w:t>
      </w:r>
      <w:r>
        <w:t>„</w:t>
      </w:r>
      <w:r w:rsidRPr="08C055E9">
        <w:t xml:space="preserve">Die praktische Regel ist also unbedingt, mithin als kategorisch praktischer Satz </w:t>
      </w:r>
      <w:r w:rsidRPr="08C055E9">
        <w:rPr>
          <w:i/>
        </w:rPr>
        <w:t>a priori</w:t>
      </w:r>
      <w:r w:rsidRPr="08C055E9">
        <w:t xml:space="preserve"> vorgestellt, wodurch der Wille schlechterdings und unmittelbar (durch die praktische Regel selbst, die also hier Gesetz ist) objectiv bestimmt wird. Denn </w:t>
      </w:r>
      <w:r w:rsidRPr="08C055E9">
        <w:rPr>
          <w:i/>
        </w:rPr>
        <w:t>reine, an sich praktische Vernunft</w:t>
      </w:r>
      <w:r w:rsidRPr="08C055E9">
        <w:t xml:space="preserve"> ist hier unmittelbar gesetzgebend.</w:t>
      </w:r>
      <w:r>
        <w:t>“ (KdPV</w:t>
      </w:r>
      <w:r>
        <w:rPr>
          <w:lang w:val="cs-CZ"/>
        </w:rPr>
        <w:t xml:space="preserve"> </w:t>
      </w:r>
      <w:r>
        <w:t>31</w:t>
      </w:r>
      <w:r>
        <w:fldChar w:fldCharType="begin"/>
      </w:r>
      <w:r>
        <w:instrText xml:space="preserve"> XE "</w:instrText>
      </w:r>
      <w:r>
        <w:rPr>
          <w:lang w:val="cs-CZ"/>
        </w:rPr>
        <w:instrText>Kant:</w:instrText>
      </w:r>
      <w:r w:rsidRPr="00285115">
        <w:instrText>KdPV</w:instrText>
      </w:r>
      <w:r w:rsidRPr="00285115">
        <w:rPr>
          <w:lang w:val="cs-CZ"/>
        </w:rPr>
        <w:instrText xml:space="preserve"> </w:instrText>
      </w:r>
      <w:r w:rsidRPr="00285115">
        <w:instrText>31</w:instrText>
      </w:r>
      <w:r>
        <w:instrText xml:space="preserve">" </w:instrText>
      </w:r>
      <w:r>
        <w:fldChar w:fldCharType="end"/>
      </w:r>
      <w:r>
        <w:t>)</w:t>
      </w:r>
      <w:r w:rsidRPr="08E662F4">
        <w:t xml:space="preserve"> </w:t>
      </w:r>
    </w:p>
  </w:footnote>
  <w:footnote w:id="560">
    <w:p w:rsidR="00971E82" w:rsidRPr="08094F20" w:rsidRDefault="00971E82" w:rsidP="08163013">
      <w:pPr>
        <w:pStyle w:val="Textpoznpodarou"/>
      </w:pPr>
      <w:r>
        <w:rPr>
          <w:rStyle w:val="Znakapoznpodarou"/>
        </w:rPr>
        <w:footnoteRef/>
      </w:r>
      <w:r>
        <w:t xml:space="preserve"> „</w:t>
      </w:r>
      <w:r w:rsidRPr="08984B4F">
        <w:t>Objections may be urged against all the aspirants to political power</w:t>
      </w:r>
      <w:r>
        <w:t xml:space="preserve"> (</w:t>
      </w:r>
      <w:r w:rsidRPr="08304060">
        <w:t>ἔστι δὲ ἀπορία τις πρὸς ἅπαντας τοὺς διαμφισβητοῦντας περὶ τῶν πολιτικῶν τιμῶν</w:t>
      </w:r>
      <w:r>
        <w:rPr>
          <w:lang w:val="cs-CZ"/>
        </w:rPr>
        <w:t>).“</w:t>
      </w:r>
      <w:r>
        <w:t xml:space="preserve"> </w:t>
      </w:r>
      <w:r>
        <w:rPr>
          <w:lang w:val="cs-CZ"/>
        </w:rPr>
        <w:t>(</w:t>
      </w:r>
      <w:r w:rsidRPr="08094F20">
        <w:rPr>
          <w:i/>
        </w:rPr>
        <w:t>Pol</w:t>
      </w:r>
      <w:r>
        <w:t>.</w:t>
      </w:r>
      <w:r w:rsidRPr="08094F20">
        <w:t xml:space="preserve"> 1283b13‒14</w:t>
      </w:r>
      <w:r>
        <w:fldChar w:fldCharType="begin"/>
      </w:r>
      <w:r>
        <w:instrText xml:space="preserve"> XE "Aristoteles:</w:instrText>
      </w:r>
      <w:r w:rsidRPr="00187453">
        <w:instrText>Pol.</w:instrText>
      </w:r>
      <w:r>
        <w:instrText xml:space="preserve"> 128</w:instrText>
      </w:r>
      <w:r>
        <w:rPr>
          <w:lang w:val="cs-CZ"/>
        </w:rPr>
        <w:instrText>3b</w:instrText>
      </w:r>
      <w:r>
        <w:instrText>1</w:instrText>
      </w:r>
      <w:r>
        <w:rPr>
          <w:lang w:val="cs-CZ"/>
        </w:rPr>
        <w:instrText>3‒14</w:instrText>
      </w:r>
      <w:r>
        <w:instrText xml:space="preserve">" </w:instrText>
      </w:r>
      <w:r>
        <w:fldChar w:fldCharType="end"/>
      </w:r>
      <w:r>
        <w:t>,</w:t>
      </w:r>
      <w:r>
        <w:rPr>
          <w:lang w:val="cs-CZ"/>
        </w:rPr>
        <w:t xml:space="preserve"> </w:t>
      </w:r>
      <w:r>
        <w:t>trad. Jowett</w:t>
      </w:r>
      <w:r>
        <w:rPr>
          <w:lang w:val="cs-CZ"/>
        </w:rPr>
        <w:t>, WA 10</w:t>
      </w:r>
      <w:r w:rsidRPr="08094F20">
        <w:t>).</w:t>
      </w:r>
    </w:p>
  </w:footnote>
  <w:footnote w:id="561">
    <w:p w:rsidR="00971E82" w:rsidRPr="084D331C" w:rsidRDefault="00971E82" w:rsidP="08163013">
      <w:pPr>
        <w:pStyle w:val="Textpoznpodarou"/>
      </w:pPr>
      <w:r>
        <w:rPr>
          <w:rStyle w:val="Znakapoznpodarou"/>
        </w:rPr>
        <w:footnoteRef/>
      </w:r>
      <w:r>
        <w:t xml:space="preserve"> „</w:t>
      </w:r>
      <w:r w:rsidRPr="084D331C">
        <w:t xml:space="preserve">Primo igitur diffinit quid sit regnabile, id est, regno aptum, dicens: </w:t>
      </w:r>
      <w:r w:rsidRPr="084D331C">
        <w:rPr>
          <w:i/>
        </w:rPr>
        <w:t>Primo autem determinandum</w:t>
      </w:r>
      <w:r w:rsidRPr="084D331C">
        <w:t xml:space="preserve">, est scilicet, </w:t>
      </w:r>
      <w:r w:rsidRPr="084D331C">
        <w:rPr>
          <w:i/>
        </w:rPr>
        <w:t>quid sit regnabile, et quid aristocraticum, et quid democraticum</w:t>
      </w:r>
      <w:r w:rsidRPr="084D331C">
        <w:t>.</w:t>
      </w:r>
      <w:r>
        <w:t>“ (</w:t>
      </w:r>
      <w:r>
        <w:rPr>
          <w:i/>
        </w:rPr>
        <w:t>Politicorum Libri</w:t>
      </w:r>
      <w:r w:rsidRPr="08552BEA">
        <w:rPr>
          <w:i/>
        </w:rPr>
        <w:t xml:space="preserve"> </w:t>
      </w:r>
      <w:r>
        <w:t>III, c. 10; ed. Borgnet  8, 309a</w:t>
      </w:r>
      <w:r>
        <w:fldChar w:fldCharType="begin"/>
      </w:r>
      <w:r>
        <w:instrText xml:space="preserve"> XE "</w:instrText>
      </w:r>
      <w:r>
        <w:rPr>
          <w:lang w:val="cs-CZ"/>
        </w:rPr>
        <w:instrText>Albert:</w:instrText>
      </w:r>
      <w:r w:rsidRPr="004B18E6">
        <w:rPr>
          <w:i/>
        </w:rPr>
        <w:instrText xml:space="preserve">Politicorum Libri </w:instrText>
      </w:r>
      <w:r>
        <w:rPr>
          <w:lang w:val="cs-CZ"/>
        </w:rPr>
        <w:instrText>3</w:instrText>
      </w:r>
      <w:r w:rsidRPr="004B18E6">
        <w:instrText>09a</w:instrText>
      </w:r>
      <w:r>
        <w:instrText xml:space="preserve">" </w:instrText>
      </w:r>
      <w:r>
        <w:fldChar w:fldCharType="end"/>
      </w:r>
      <w:r>
        <w:t>)</w:t>
      </w:r>
    </w:p>
  </w:footnote>
  <w:footnote w:id="562">
    <w:p w:rsidR="00971E82" w:rsidRPr="08915FB6" w:rsidRDefault="00971E82" w:rsidP="08163013">
      <w:pPr>
        <w:pStyle w:val="Textpoznpodarou"/>
      </w:pPr>
      <w:r>
        <w:rPr>
          <w:rStyle w:val="Znakapoznpodarou"/>
        </w:rPr>
        <w:footnoteRef/>
      </w:r>
      <w:r>
        <w:t xml:space="preserve"> „Men are free ‒</w:t>
      </w:r>
      <w:r w:rsidRPr="08915FB6">
        <w:t xml:space="preserve"> as distinguished from their p</w:t>
      </w:r>
      <w:r>
        <w:t>ossessing the gift for freedom ‒</w:t>
      </w:r>
      <w:r w:rsidRPr="08915FB6">
        <w:t xml:space="preserve"> as long as they act, neither before nor after; for to be free and to act are the same.</w:t>
      </w:r>
      <w:r>
        <w:t>“ (Arendt 196</w:t>
      </w:r>
      <w:r>
        <w:rPr>
          <w:lang w:val="cs-CZ"/>
        </w:rPr>
        <w:t>1</w:t>
      </w:r>
      <w:r>
        <w:t>, 153)</w:t>
      </w:r>
    </w:p>
  </w:footnote>
  <w:footnote w:id="563">
    <w:p w:rsidR="00971E82" w:rsidRPr="005B2D7C" w:rsidRDefault="00971E82" w:rsidP="08163013">
      <w:pPr>
        <w:pStyle w:val="Textpoznpodarou"/>
        <w:rPr>
          <w:noProof/>
          <w:lang w:val="cs-CZ"/>
        </w:rPr>
      </w:pPr>
      <w:r>
        <w:rPr>
          <w:rStyle w:val="Znakapoznpodarou"/>
        </w:rPr>
        <w:footnoteRef/>
      </w:r>
      <w:r>
        <w:t xml:space="preserve"> </w:t>
      </w:r>
      <w:r w:rsidRPr="00273106">
        <w:rPr>
          <w:noProof/>
        </w:rPr>
        <w:t>„</w:t>
      </w:r>
      <w:r>
        <w:rPr>
          <w:noProof/>
          <w:lang w:val="cs-CZ"/>
        </w:rPr>
        <w:t xml:space="preserve">Et manifestat intentionem quaestionis, ut melius intelligatur quid intendit, ibi, </w:t>
      </w:r>
      <w:r w:rsidRPr="08471E48">
        <w:rPr>
          <w:i/>
          <w:noProof/>
        </w:rPr>
        <w:t xml:space="preserve">Regnabile quidem igitur est talis multitudo, quae nata est ferre </w:t>
      </w:r>
      <w:r>
        <w:rPr>
          <w:i/>
          <w:noProof/>
        </w:rPr>
        <w:t>genus</w:t>
      </w:r>
      <w:r w:rsidRPr="08471E48">
        <w:rPr>
          <w:i/>
          <w:noProof/>
        </w:rPr>
        <w:t xml:space="preserve"> superexcellens secundum virtutem ad praesulatum politicum</w:t>
      </w:r>
      <w:r w:rsidRPr="00273106">
        <w:rPr>
          <w:noProof/>
        </w:rPr>
        <w:t>. Et dicitur hic regnabile non a rege, sed regno. Rex enim regnativus est, non regnabilis</w:t>
      </w:r>
      <w:r>
        <w:rPr>
          <w:noProof/>
          <w:lang w:val="cs-CZ"/>
        </w:rPr>
        <w:t>..</w:t>
      </w:r>
      <w:r w:rsidRPr="00273106">
        <w:rPr>
          <w:noProof/>
        </w:rPr>
        <w:t>.“ (</w:t>
      </w:r>
      <w:r w:rsidRPr="00273106">
        <w:rPr>
          <w:i/>
          <w:noProof/>
        </w:rPr>
        <w:t xml:space="preserve">Politicorum Libri </w:t>
      </w:r>
      <w:r w:rsidRPr="00273106">
        <w:rPr>
          <w:noProof/>
        </w:rPr>
        <w:t>II</w:t>
      </w:r>
      <w:r>
        <w:rPr>
          <w:noProof/>
        </w:rPr>
        <w:t xml:space="preserve">I, c. 10; ed. Borgnet  8, </w:t>
      </w:r>
      <w:r w:rsidRPr="00273106">
        <w:rPr>
          <w:noProof/>
        </w:rPr>
        <w:t>309b</w:t>
      </w:r>
      <w:r>
        <w:rPr>
          <w:noProof/>
        </w:rPr>
        <w:fldChar w:fldCharType="begin"/>
      </w:r>
      <w:r>
        <w:instrText xml:space="preserve"> XE "</w:instrText>
      </w:r>
      <w:r>
        <w:rPr>
          <w:lang w:val="cs-CZ"/>
        </w:rPr>
        <w:instrText>Albert:</w:instrText>
      </w:r>
      <w:r>
        <w:rPr>
          <w:i/>
          <w:noProof/>
        </w:rPr>
        <w:instrText>Politicorum Libri</w:instrText>
      </w:r>
      <w:r>
        <w:rPr>
          <w:i/>
          <w:noProof/>
          <w:lang w:val="cs-CZ"/>
        </w:rPr>
        <w:instrText xml:space="preserve"> </w:instrText>
      </w:r>
      <w:r>
        <w:rPr>
          <w:noProof/>
          <w:lang w:val="cs-CZ"/>
        </w:rPr>
        <w:instrText>3</w:instrText>
      </w:r>
      <w:r w:rsidRPr="00F46CA6">
        <w:rPr>
          <w:noProof/>
        </w:rPr>
        <w:instrText>09b</w:instrText>
      </w:r>
      <w:r>
        <w:instrText xml:space="preserve">" </w:instrText>
      </w:r>
      <w:r>
        <w:rPr>
          <w:noProof/>
        </w:rPr>
        <w:fldChar w:fldCharType="end"/>
      </w:r>
      <w:r w:rsidRPr="00273106">
        <w:rPr>
          <w:noProof/>
        </w:rPr>
        <w:t>)</w:t>
      </w:r>
    </w:p>
  </w:footnote>
  <w:footnote w:id="564">
    <w:p w:rsidR="00971E82" w:rsidRPr="084972EE" w:rsidRDefault="00971E82" w:rsidP="08163013">
      <w:pPr>
        <w:pStyle w:val="Textpoznpodarou"/>
      </w:pPr>
      <w:r>
        <w:rPr>
          <w:rStyle w:val="Znakapoznpodarou"/>
        </w:rPr>
        <w:footnoteRef/>
      </w:r>
      <w:r>
        <w:t xml:space="preserve"> „</w:t>
      </w:r>
      <w:r w:rsidRPr="084972EE">
        <w:t>Ejusmodi universalis huijus symbiosis ac regni administratores et rectores universalis consociationis corpus, seu totum et universum populum, a quo constituti sunt</w:t>
      </w:r>
      <w:r>
        <w:t>,</w:t>
      </w:r>
      <w:r w:rsidRPr="084972EE">
        <w:t xml:space="preserve"> repraesentant, ejusque personam gerunt in iis</w:t>
      </w:r>
      <w:r>
        <w:t>...“</w:t>
      </w:r>
      <w:r w:rsidRPr="084972EE">
        <w:t xml:space="preserve"> (</w:t>
      </w:r>
      <w:r w:rsidRPr="08741256">
        <w:rPr>
          <w:i/>
        </w:rPr>
        <w:t>Politica methodice digesta</w:t>
      </w:r>
      <w:r w:rsidRPr="084972EE">
        <w:t>, cap. 18</w:t>
      </w:r>
      <w:r>
        <w:rPr>
          <w:lang w:val="cs-CZ"/>
        </w:rPr>
        <w:t xml:space="preserve">; ed. </w:t>
      </w:r>
      <w:r w:rsidRPr="084972EE">
        <w:t>Amhem 1617</w:t>
      </w:r>
      <w:r>
        <w:rPr>
          <w:lang w:val="cs-CZ"/>
        </w:rPr>
        <w:t xml:space="preserve">, p. </w:t>
      </w:r>
      <w:r w:rsidRPr="084972EE">
        <w:t>199</w:t>
      </w:r>
      <w:r>
        <w:fldChar w:fldCharType="begin"/>
      </w:r>
      <w:r>
        <w:instrText xml:space="preserve"> XE "</w:instrText>
      </w:r>
      <w:r>
        <w:rPr>
          <w:lang w:val="cs-CZ"/>
        </w:rPr>
        <w:instrText>Althusius:</w:instrText>
      </w:r>
      <w:r w:rsidRPr="00C859C8">
        <w:rPr>
          <w:i/>
        </w:rPr>
        <w:instrText>Politica methodice digesta</w:instrText>
      </w:r>
      <w:r>
        <w:rPr>
          <w:lang w:val="cs-CZ"/>
        </w:rPr>
        <w:instrText xml:space="preserve"> </w:instrText>
      </w:r>
      <w:r w:rsidRPr="00C859C8">
        <w:instrText>199</w:instrText>
      </w:r>
      <w:r>
        <w:instrText xml:space="preserve">" </w:instrText>
      </w:r>
      <w:r>
        <w:fldChar w:fldCharType="end"/>
      </w:r>
      <w:r w:rsidRPr="084972EE">
        <w:t>)</w:t>
      </w:r>
    </w:p>
  </w:footnote>
  <w:footnote w:id="565">
    <w:p w:rsidR="00971E82" w:rsidRPr="085F3AFF" w:rsidRDefault="00971E82" w:rsidP="08163013">
      <w:pPr>
        <w:pStyle w:val="Textpoznpodarou"/>
        <w:rPr>
          <w:lang w:val="cs-CZ"/>
        </w:rPr>
      </w:pPr>
      <w:r>
        <w:rPr>
          <w:rStyle w:val="Znakapoznpodarou"/>
        </w:rPr>
        <w:footnoteRef/>
      </w:r>
      <w:r>
        <w:t xml:space="preserve"> „</w:t>
      </w:r>
      <w:r w:rsidRPr="08F85CD9">
        <w:t>Difficillimum autem est venire ad medium, maxime propter hoc, quia operationes et passiones nostras in singularibus sunt circumstantiarum, qui nulli uni communes sunt cum alio.</w:t>
      </w:r>
      <w:r>
        <w:t>“ (</w:t>
      </w:r>
      <w:r w:rsidRPr="08475B52">
        <w:rPr>
          <w:i/>
        </w:rPr>
        <w:t>Ethicorum</w:t>
      </w:r>
      <w:r>
        <w:t xml:space="preserve"> II, tract. II, c. 1</w:t>
      </w:r>
      <w:r>
        <w:rPr>
          <w:lang w:val="cs-CZ"/>
        </w:rPr>
        <w:t>1</w:t>
      </w:r>
      <w:r>
        <w:t>; ed. Borgnet  7, 193a</w:t>
      </w:r>
      <w:r>
        <w:fldChar w:fldCharType="begin"/>
      </w:r>
      <w:r>
        <w:instrText xml:space="preserve"> XE "</w:instrText>
      </w:r>
      <w:r>
        <w:rPr>
          <w:lang w:val="cs-CZ"/>
        </w:rPr>
        <w:instrText>Albert:</w:instrText>
      </w:r>
      <w:r>
        <w:rPr>
          <w:i/>
        </w:rPr>
        <w:instrText>Ethi</w:instrText>
      </w:r>
      <w:r>
        <w:rPr>
          <w:i/>
          <w:lang w:val="cs-CZ"/>
        </w:rPr>
        <w:instrText>ca</w:instrText>
      </w:r>
      <w:r>
        <w:rPr>
          <w:lang w:val="cs-CZ"/>
        </w:rPr>
        <w:instrText xml:space="preserve"> </w:instrText>
      </w:r>
      <w:r w:rsidRPr="000725DC">
        <w:instrText>193a</w:instrText>
      </w:r>
      <w:r>
        <w:instrText xml:space="preserve">" </w:instrText>
      </w:r>
      <w:r>
        <w:fldChar w:fldCharType="end"/>
      </w:r>
      <w:r>
        <w:t>)</w:t>
      </w:r>
      <w:r>
        <w:rPr>
          <w:lang w:val="cs-CZ"/>
        </w:rPr>
        <w:t xml:space="preserve"> Podobnou pasáž najdeme hned v úvodu dané kapitoly (ibid, 191a</w:t>
      </w:r>
      <w:r>
        <w:fldChar w:fldCharType="begin"/>
      </w:r>
      <w:r>
        <w:instrText xml:space="preserve"> XE "</w:instrText>
      </w:r>
      <w:r>
        <w:rPr>
          <w:lang w:val="cs-CZ"/>
        </w:rPr>
        <w:instrText>Albert:</w:instrText>
      </w:r>
      <w:r>
        <w:rPr>
          <w:i/>
        </w:rPr>
        <w:instrText>Ethi</w:instrText>
      </w:r>
      <w:r>
        <w:rPr>
          <w:i/>
          <w:lang w:val="cs-CZ"/>
        </w:rPr>
        <w:instrText>ca</w:instrText>
      </w:r>
      <w:r>
        <w:rPr>
          <w:lang w:val="cs-CZ"/>
        </w:rPr>
        <w:instrText xml:space="preserve"> </w:instrText>
      </w:r>
      <w:r>
        <w:instrText>19</w:instrText>
      </w:r>
      <w:r>
        <w:rPr>
          <w:lang w:val="cs-CZ"/>
        </w:rPr>
        <w:instrText>1</w:instrText>
      </w:r>
      <w:r w:rsidRPr="000725DC">
        <w:instrText>a</w:instrText>
      </w:r>
      <w:r>
        <w:instrText xml:space="preserve">" </w:instrText>
      </w:r>
      <w:r>
        <w:fldChar w:fldCharType="end"/>
      </w:r>
      <w:r>
        <w:rPr>
          <w:lang w:val="cs-CZ"/>
        </w:rPr>
        <w:t xml:space="preserve">). </w:t>
      </w:r>
    </w:p>
  </w:footnote>
  <w:footnote w:id="566">
    <w:p w:rsidR="00971E82" w:rsidRPr="004C35B6" w:rsidRDefault="00971E82" w:rsidP="08163013">
      <w:pPr>
        <w:pStyle w:val="Textpoznpodarou"/>
        <w:rPr>
          <w:noProof/>
          <w:lang w:val="cs-CZ"/>
        </w:rPr>
      </w:pPr>
      <w:r>
        <w:rPr>
          <w:rStyle w:val="Znakapoznpodarou"/>
        </w:rPr>
        <w:footnoteRef/>
      </w:r>
      <w:r>
        <w:t xml:space="preserve"> </w:t>
      </w:r>
      <w:r>
        <w:rPr>
          <w:noProof/>
        </w:rPr>
        <w:t>„</w:t>
      </w:r>
      <w:r>
        <w:rPr>
          <w:noProof/>
          <w:lang w:val="cs-CZ"/>
        </w:rPr>
        <w:t xml:space="preserve">Ex hoc concludit, ibi, </w:t>
      </w:r>
      <w:r w:rsidRPr="08A714C6">
        <w:rPr>
          <w:i/>
          <w:noProof/>
          <w:lang w:val="cs-CZ"/>
        </w:rPr>
        <w:t>Quare palam, j</w:t>
      </w:r>
      <w:r w:rsidRPr="08A714C6">
        <w:rPr>
          <w:i/>
          <w:noProof/>
        </w:rPr>
        <w:t>ustum quaerentes, medium quaerunt</w:t>
      </w:r>
      <w:r>
        <w:rPr>
          <w:i/>
          <w:noProof/>
          <w:lang w:val="cs-CZ"/>
        </w:rPr>
        <w:t xml:space="preserve"> </w:t>
      </w:r>
      <w:r w:rsidRPr="00273106">
        <w:rPr>
          <w:noProof/>
        </w:rPr>
        <w:t xml:space="preserve">: et sic dicit in </w:t>
      </w:r>
      <w:r w:rsidRPr="00273106">
        <w:rPr>
          <w:i/>
          <w:noProof/>
        </w:rPr>
        <w:t>Ethicis</w:t>
      </w:r>
      <w:r w:rsidRPr="00273106">
        <w:rPr>
          <w:noProof/>
        </w:rPr>
        <w:t xml:space="preserve">: «Medium invenire difficilimum est, facillimum autem declinare a medio»:  et ideo assumendum esse scientem leges. Et dicit, quod est illud medium, ibi, </w:t>
      </w:r>
      <w:r w:rsidRPr="00273106">
        <w:rPr>
          <w:i/>
          <w:noProof/>
        </w:rPr>
        <w:t>Lex enim ipsum medium</w:t>
      </w:r>
      <w:r w:rsidRPr="00273106">
        <w:rPr>
          <w:noProof/>
        </w:rPr>
        <w:t xml:space="preserve">: determinando enim justum, determinat et medium: quia justum medium est, ut dicit in quinto </w:t>
      </w:r>
      <w:r w:rsidRPr="00273106">
        <w:rPr>
          <w:i/>
          <w:noProof/>
        </w:rPr>
        <w:t>Ethicorum</w:t>
      </w:r>
      <w:r w:rsidRPr="00273106">
        <w:rPr>
          <w:noProof/>
        </w:rPr>
        <w:t>.“ (</w:t>
      </w:r>
      <w:r w:rsidRPr="00273106">
        <w:rPr>
          <w:i/>
          <w:noProof/>
        </w:rPr>
        <w:t xml:space="preserve">Politicorum Libri </w:t>
      </w:r>
      <w:r w:rsidRPr="00273106">
        <w:rPr>
          <w:noProof/>
        </w:rPr>
        <w:t>III, c. 10; ed. Borgnet</w:t>
      </w:r>
      <w:r>
        <w:rPr>
          <w:noProof/>
        </w:rPr>
        <w:t xml:space="preserve"> 8, </w:t>
      </w:r>
      <w:r w:rsidRPr="00273106">
        <w:rPr>
          <w:noProof/>
        </w:rPr>
        <w:t>307a</w:t>
      </w:r>
      <w:r>
        <w:rPr>
          <w:noProof/>
        </w:rPr>
        <w:fldChar w:fldCharType="begin"/>
      </w:r>
      <w:r>
        <w:instrText xml:space="preserve"> XE "</w:instrText>
      </w:r>
      <w:r>
        <w:rPr>
          <w:lang w:val="cs-CZ"/>
        </w:rPr>
        <w:instrText>Albert:</w:instrText>
      </w:r>
      <w:r w:rsidRPr="008176E5">
        <w:rPr>
          <w:i/>
          <w:noProof/>
        </w:rPr>
        <w:instrText xml:space="preserve">Politicorum Libri </w:instrText>
      </w:r>
      <w:r w:rsidRPr="008176E5">
        <w:rPr>
          <w:noProof/>
        </w:rPr>
        <w:instrText>307a</w:instrText>
      </w:r>
      <w:r>
        <w:instrText xml:space="preserve">" </w:instrText>
      </w:r>
      <w:r>
        <w:rPr>
          <w:noProof/>
        </w:rPr>
        <w:fldChar w:fldCharType="end"/>
      </w:r>
      <w:r w:rsidRPr="00273106">
        <w:rPr>
          <w:noProof/>
        </w:rPr>
        <w:t>)</w:t>
      </w:r>
    </w:p>
  </w:footnote>
  <w:footnote w:id="567">
    <w:p w:rsidR="00971E82" w:rsidRPr="00213519" w:rsidRDefault="00971E82" w:rsidP="08163013">
      <w:pPr>
        <w:pStyle w:val="Textpoznpodarou"/>
        <w:rPr>
          <w:lang w:val="cs-CZ"/>
        </w:rPr>
      </w:pPr>
      <w:r>
        <w:rPr>
          <w:rStyle w:val="Znakapoznpodarou"/>
        </w:rPr>
        <w:footnoteRef/>
      </w:r>
      <w:r>
        <w:t xml:space="preserve"> Podle Leforta je s</w:t>
      </w:r>
      <w:r w:rsidRPr="00E60E2E">
        <w:t xml:space="preserve">ymbolická reprezentace demokracie </w:t>
      </w:r>
      <w:r>
        <w:t>(</w:t>
      </w:r>
      <w:r w:rsidRPr="08951756">
        <w:rPr>
          <w:i/>
        </w:rPr>
        <w:t>le politique</w:t>
      </w:r>
      <w:r>
        <w:rPr>
          <w:i/>
        </w:rPr>
        <w:fldChar w:fldCharType="begin"/>
      </w:r>
      <w:r>
        <w:instrText xml:space="preserve"> XE "</w:instrText>
      </w:r>
      <w:r>
        <w:rPr>
          <w:lang w:val="cs-CZ"/>
        </w:rPr>
        <w:instrText>medium:</w:instrText>
      </w:r>
      <w:r w:rsidRPr="00A971C3">
        <w:rPr>
          <w:i/>
        </w:rPr>
        <w:instrText>le politique</w:instrText>
      </w:r>
      <w:r>
        <w:instrText xml:space="preserve">" </w:instrText>
      </w:r>
      <w:r>
        <w:rPr>
          <w:i/>
        </w:rPr>
        <w:fldChar w:fldCharType="end"/>
      </w:r>
      <w:r>
        <w:t>) zajímavá tím, že neumožňuje stabilní reprezentaci pomocí nějaké viditelné substance, jako bylo tělo krále nebo tělo totalitního vůdce. Moderní demokracie se odlišuje od všech politických formací tím, že místo moci se mlčky uznává jako prázdné, protože je nelze trvale a jednou provždy zaplnit žádnou totalitní reprezentací, ale pouze zastupitelsky (</w:t>
      </w:r>
      <w:r w:rsidRPr="08951756">
        <w:rPr>
          <w:i/>
        </w:rPr>
        <w:t>la politique</w:t>
      </w:r>
      <w:r>
        <w:t xml:space="preserve">). Klasické </w:t>
      </w:r>
      <w:r>
        <w:rPr>
          <w:lang w:val="cs-CZ"/>
        </w:rPr>
        <w:t xml:space="preserve">Lefortovo </w:t>
      </w:r>
      <w:r>
        <w:t>vyjádření zní: „</w:t>
      </w:r>
      <w:r w:rsidRPr="08E7725F">
        <w:t xml:space="preserve">Le lieu du pouvoir devient un </w:t>
      </w:r>
      <w:r w:rsidRPr="08E7725F">
        <w:rPr>
          <w:i/>
        </w:rPr>
        <w:t>lieu vide</w:t>
      </w:r>
      <w:r>
        <w:rPr>
          <w:i/>
        </w:rPr>
        <w:t>.“</w:t>
      </w:r>
      <w:r>
        <w:t xml:space="preserve"> (Lefort 1986b, 25)</w:t>
      </w:r>
    </w:p>
  </w:footnote>
  <w:footnote w:id="568">
    <w:p w:rsidR="00971E82" w:rsidRPr="08B230E8" w:rsidRDefault="00971E82" w:rsidP="08163013">
      <w:pPr>
        <w:pStyle w:val="Textpoznpodarou"/>
      </w:pPr>
      <w:r>
        <w:rPr>
          <w:rStyle w:val="Znakapoznpodarou"/>
        </w:rPr>
        <w:footnoteRef/>
      </w:r>
      <w:r>
        <w:t xml:space="preserve"> „</w:t>
      </w:r>
      <w:r w:rsidRPr="08B230E8">
        <w:t>Homo autem dominus operationum suarum non est nisi per voluntatem. Intellectu enim bene compellitur ad concedendum verum ex principiis demonstrationum, sed in voluntate penitus liber est et causa sui. Oportet igitur quod etiam virtutes quae intellectuales dicuntur, secundum quod sunt de numero laudabilium bonorum, a voluntate sicut a causa procedant.</w:t>
      </w:r>
      <w:r>
        <w:t>“ (</w:t>
      </w:r>
      <w:r w:rsidRPr="0874140F">
        <w:rPr>
          <w:i/>
        </w:rPr>
        <w:t>Ethica</w:t>
      </w:r>
      <w:r w:rsidRPr="08B230E8">
        <w:t xml:space="preserve"> II, tract.</w:t>
      </w:r>
      <w:r>
        <w:t xml:space="preserve"> 1, c</w:t>
      </w:r>
      <w:r w:rsidRPr="08B230E8">
        <w:t>. 1</w:t>
      </w:r>
      <w:r>
        <w:t xml:space="preserve">; ed. Borgnet  7, </w:t>
      </w:r>
      <w:r w:rsidRPr="08B230E8">
        <w:t>150a</w:t>
      </w:r>
      <w:r>
        <w:fldChar w:fldCharType="begin"/>
      </w:r>
      <w:r>
        <w:instrText xml:space="preserve"> XE "</w:instrText>
      </w:r>
      <w:r>
        <w:rPr>
          <w:lang w:val="cs-CZ"/>
        </w:rPr>
        <w:instrText>Albert:</w:instrText>
      </w:r>
      <w:r w:rsidRPr="009F4472">
        <w:rPr>
          <w:i/>
        </w:rPr>
        <w:instrText>Ethica</w:instrText>
      </w:r>
      <w:r w:rsidRPr="009F4472">
        <w:instrText xml:space="preserve"> 150a</w:instrText>
      </w:r>
      <w:r>
        <w:instrText xml:space="preserve">" </w:instrText>
      </w:r>
      <w:r>
        <w:fldChar w:fldCharType="end"/>
      </w:r>
      <w:r>
        <w:t>)</w:t>
      </w:r>
    </w:p>
  </w:footnote>
  <w:footnote w:id="569">
    <w:p w:rsidR="00971E82" w:rsidRPr="00BA541E" w:rsidRDefault="00971E82" w:rsidP="08163013">
      <w:pPr>
        <w:pStyle w:val="Textpoznpodarou"/>
        <w:rPr>
          <w:lang w:val="cs-CZ"/>
        </w:rPr>
      </w:pPr>
      <w:r>
        <w:rPr>
          <w:rStyle w:val="Znakapoznpodarou"/>
        </w:rPr>
        <w:footnoteRef/>
      </w:r>
      <w:r>
        <w:t xml:space="preserve"> </w:t>
      </w:r>
      <w:r>
        <w:rPr>
          <w:noProof/>
        </w:rPr>
        <w:t>„</w:t>
      </w:r>
      <w:r>
        <w:rPr>
          <w:noProof/>
          <w:lang w:val="cs-CZ"/>
        </w:rPr>
        <w:t xml:space="preserve">Et dicit rationem, ibi, </w:t>
      </w:r>
      <w:r w:rsidRPr="00805444">
        <w:rPr>
          <w:i/>
          <w:noProof/>
          <w:lang w:val="cs-CZ"/>
        </w:rPr>
        <w:t>Putantes</w:t>
      </w:r>
      <w:r>
        <w:rPr>
          <w:noProof/>
          <w:lang w:val="cs-CZ"/>
        </w:rPr>
        <w:t xml:space="preserve">, id et, quia </w:t>
      </w:r>
      <w:r w:rsidRPr="00273106">
        <w:rPr>
          <w:noProof/>
        </w:rPr>
        <w:t xml:space="preserve">putant </w:t>
      </w:r>
      <w:r w:rsidRPr="00273106">
        <w:rPr>
          <w:i/>
          <w:noProof/>
        </w:rPr>
        <w:t>vitam liberi alteram quamdam esse a politica, et omnium esse eligibilissimam</w:t>
      </w:r>
      <w:r w:rsidRPr="00273106">
        <w:rPr>
          <w:noProof/>
        </w:rPr>
        <w:t xml:space="preserve">, id est, quia putant quod vita hominis liberi sit omnium eligibilissima: et liberi vita est, quae nulli subjacet, sed sui causa est. </w:t>
      </w:r>
      <w:r w:rsidRPr="00273106">
        <w:rPr>
          <w:i/>
          <w:noProof/>
        </w:rPr>
        <w:t>Hi autem</w:t>
      </w:r>
      <w:r w:rsidRPr="00273106">
        <w:rPr>
          <w:noProof/>
        </w:rPr>
        <w:t xml:space="preserve">, id est, alii, </w:t>
      </w:r>
      <w:r w:rsidRPr="00273106">
        <w:rPr>
          <w:i/>
          <w:noProof/>
        </w:rPr>
        <w:t>hanc</w:t>
      </w:r>
      <w:r w:rsidRPr="00273106">
        <w:rPr>
          <w:noProof/>
        </w:rPr>
        <w:t xml:space="preserve"> scilicet politicam, </w:t>
      </w:r>
      <w:r>
        <w:rPr>
          <w:i/>
          <w:noProof/>
        </w:rPr>
        <w:t>opti</w:t>
      </w:r>
      <w:r w:rsidRPr="00273106">
        <w:rPr>
          <w:i/>
          <w:noProof/>
        </w:rPr>
        <w:t>mam</w:t>
      </w:r>
      <w:r w:rsidRPr="00273106">
        <w:rPr>
          <w:noProof/>
        </w:rPr>
        <w:t xml:space="preserve"> esse dicunt.“ (</w:t>
      </w:r>
      <w:r w:rsidRPr="00273106">
        <w:rPr>
          <w:i/>
          <w:noProof/>
        </w:rPr>
        <w:t xml:space="preserve">Politicorum Libri </w:t>
      </w:r>
      <w:r>
        <w:rPr>
          <w:noProof/>
        </w:rPr>
        <w:t xml:space="preserve">VII, c. 2; ed. Borgnet 8, </w:t>
      </w:r>
      <w:r w:rsidRPr="00273106">
        <w:rPr>
          <w:noProof/>
        </w:rPr>
        <w:t>638b</w:t>
      </w:r>
      <w:r>
        <w:rPr>
          <w:noProof/>
        </w:rPr>
        <w:fldChar w:fldCharType="begin"/>
      </w:r>
      <w:r>
        <w:instrText xml:space="preserve"> XE "</w:instrText>
      </w:r>
      <w:r>
        <w:rPr>
          <w:lang w:val="cs-CZ"/>
        </w:rPr>
        <w:instrText>Albert:</w:instrText>
      </w:r>
      <w:r w:rsidRPr="00CA01FC">
        <w:rPr>
          <w:i/>
          <w:noProof/>
        </w:rPr>
        <w:instrText xml:space="preserve">Politicorum Libri </w:instrText>
      </w:r>
      <w:r>
        <w:rPr>
          <w:noProof/>
          <w:lang w:val="cs-CZ"/>
        </w:rPr>
        <w:instrText>6</w:instrText>
      </w:r>
      <w:r w:rsidRPr="00CA01FC">
        <w:rPr>
          <w:noProof/>
        </w:rPr>
        <w:instrText>38b</w:instrText>
      </w:r>
      <w:r>
        <w:instrText xml:space="preserve">" </w:instrText>
      </w:r>
      <w:r>
        <w:rPr>
          <w:noProof/>
        </w:rPr>
        <w:fldChar w:fldCharType="end"/>
      </w:r>
      <w:r w:rsidRPr="00273106">
        <w:rPr>
          <w:noProof/>
        </w:rPr>
        <w:t>)</w:t>
      </w:r>
    </w:p>
  </w:footnote>
  <w:footnote w:id="570">
    <w:p w:rsidR="00971E82" w:rsidRPr="089317E3" w:rsidRDefault="00971E82" w:rsidP="08163013">
      <w:pPr>
        <w:pStyle w:val="Textpoznpodarou"/>
      </w:pPr>
      <w:r>
        <w:rPr>
          <w:rStyle w:val="Znakapoznpodarou"/>
        </w:rPr>
        <w:footnoteRef/>
      </w:r>
      <w:r>
        <w:t xml:space="preserve"> „</w:t>
      </w:r>
      <w:r w:rsidRPr="084D04DC">
        <w:t>Et hujus ratio est, quia homo bonus in lege peritus applicat particularibus quod lex praecipit in universali.</w:t>
      </w:r>
      <w:r>
        <w:t>“ (</w:t>
      </w:r>
      <w:r>
        <w:rPr>
          <w:i/>
        </w:rPr>
        <w:t>Politicorum Libri</w:t>
      </w:r>
      <w:r w:rsidRPr="08552BEA">
        <w:rPr>
          <w:i/>
        </w:rPr>
        <w:t xml:space="preserve"> </w:t>
      </w:r>
      <w:r>
        <w:t>III, c. 10; ed. Borgnet 8, 308a</w:t>
      </w:r>
      <w:r>
        <w:fldChar w:fldCharType="begin"/>
      </w:r>
      <w:r>
        <w:instrText xml:space="preserve"> XE "</w:instrText>
      </w:r>
      <w:r>
        <w:rPr>
          <w:lang w:val="cs-CZ"/>
        </w:rPr>
        <w:instrText>Albert:</w:instrText>
      </w:r>
      <w:r w:rsidRPr="007D0E29">
        <w:rPr>
          <w:i/>
        </w:rPr>
        <w:instrText xml:space="preserve">Politicorum Libri </w:instrText>
      </w:r>
      <w:r>
        <w:rPr>
          <w:lang w:val="cs-CZ"/>
        </w:rPr>
        <w:instrText>3</w:instrText>
      </w:r>
      <w:r w:rsidRPr="007D0E29">
        <w:instrText>08a</w:instrText>
      </w:r>
      <w:r>
        <w:instrText xml:space="preserve">" </w:instrText>
      </w:r>
      <w:r>
        <w:fldChar w:fldCharType="end"/>
      </w:r>
      <w:r>
        <w:t>)</w:t>
      </w:r>
    </w:p>
  </w:footnote>
  <w:footnote w:id="571">
    <w:p w:rsidR="00971E82" w:rsidRPr="005009BE" w:rsidRDefault="00971E82" w:rsidP="08163013">
      <w:pPr>
        <w:pStyle w:val="Textpoznpodarou"/>
        <w:rPr>
          <w:noProof/>
          <w:lang w:val="cs-CZ"/>
        </w:rPr>
      </w:pPr>
      <w:r>
        <w:rPr>
          <w:rStyle w:val="Znakapoznpodarou"/>
        </w:rPr>
        <w:footnoteRef/>
      </w:r>
      <w:r>
        <w:t xml:space="preserve"> </w:t>
      </w:r>
      <w:r w:rsidRPr="00273106">
        <w:rPr>
          <w:noProof/>
        </w:rPr>
        <w:t xml:space="preserve">„Et fundant se super hoc quod dicitur in principio </w:t>
      </w:r>
      <w:r w:rsidRPr="00273106">
        <w:rPr>
          <w:i/>
          <w:noProof/>
        </w:rPr>
        <w:t>Ethicorum</w:t>
      </w:r>
      <w:r w:rsidRPr="00273106">
        <w:rPr>
          <w:noProof/>
        </w:rPr>
        <w:t>, quod «divinum est hoc, scilicet quod est hominis: divinius quod est civitatis, divinissimum autem quod est gentis.»“ (</w:t>
      </w:r>
      <w:r w:rsidRPr="00273106">
        <w:rPr>
          <w:i/>
          <w:noProof/>
        </w:rPr>
        <w:t xml:space="preserve">Politicorum Libri </w:t>
      </w:r>
      <w:r w:rsidRPr="00273106">
        <w:rPr>
          <w:noProof/>
        </w:rPr>
        <w:t xml:space="preserve">VII, c. 2; </w:t>
      </w:r>
      <w:r>
        <w:rPr>
          <w:noProof/>
        </w:rPr>
        <w:t xml:space="preserve">ed. Borgnet 8, </w:t>
      </w:r>
      <w:r w:rsidRPr="00273106">
        <w:rPr>
          <w:noProof/>
        </w:rPr>
        <w:t>634b</w:t>
      </w:r>
      <w:r>
        <w:fldChar w:fldCharType="begin"/>
      </w:r>
      <w:r>
        <w:instrText xml:space="preserve"> XE "</w:instrText>
      </w:r>
      <w:r>
        <w:rPr>
          <w:lang w:val="cs-CZ"/>
        </w:rPr>
        <w:instrText>Albert:</w:instrText>
      </w:r>
      <w:r w:rsidRPr="007D0E29">
        <w:rPr>
          <w:i/>
        </w:rPr>
        <w:instrText xml:space="preserve">Politicorum Libri </w:instrText>
      </w:r>
      <w:r>
        <w:rPr>
          <w:lang w:val="cs-CZ"/>
        </w:rPr>
        <w:instrText>634b</w:instrText>
      </w:r>
      <w:r>
        <w:instrText xml:space="preserve">" </w:instrText>
      </w:r>
      <w:r>
        <w:fldChar w:fldCharType="end"/>
      </w:r>
      <w:r w:rsidRPr="00273106">
        <w:rPr>
          <w:noProof/>
        </w:rPr>
        <w:t>)</w:t>
      </w:r>
    </w:p>
  </w:footnote>
  <w:footnote w:id="572">
    <w:p w:rsidR="00971E82" w:rsidRPr="08E13E14" w:rsidRDefault="00971E82" w:rsidP="08163013">
      <w:pPr>
        <w:pStyle w:val="Textpoznpodarou"/>
      </w:pPr>
      <w:r>
        <w:rPr>
          <w:rStyle w:val="Znakapoznpodarou"/>
        </w:rPr>
        <w:footnoteRef/>
      </w:r>
      <w:r>
        <w:t xml:space="preserve"> „Amplius, humana universitas est quoddam totum ad quasdam partes, et est quedam pars ad quoddam totum. Est enim quoddam totum ad regna particularia et ad gentes, ut superiora ostendunt; et est quedam pars ad totum universum. Et hoc est de se manifestum.“ (</w:t>
      </w:r>
      <w:r w:rsidRPr="08E13E14">
        <w:rPr>
          <w:i/>
        </w:rPr>
        <w:t>Monarchia</w:t>
      </w:r>
      <w:r>
        <w:t xml:space="preserve"> </w:t>
      </w:r>
      <w:r>
        <w:rPr>
          <w:lang w:val="cs-CZ"/>
        </w:rPr>
        <w:t>1</w:t>
      </w:r>
      <w:r>
        <w:t>.7.1</w:t>
      </w:r>
      <w:r>
        <w:fldChar w:fldCharType="begin"/>
      </w:r>
      <w:r>
        <w:instrText xml:space="preserve"> XE "</w:instrText>
      </w:r>
      <w:r>
        <w:rPr>
          <w:lang w:val="cs-CZ"/>
        </w:rPr>
        <w:instrText>Dante:</w:instrText>
      </w:r>
      <w:r w:rsidRPr="006463C1">
        <w:rPr>
          <w:i/>
        </w:rPr>
        <w:instrText>Monarchia</w:instrText>
      </w:r>
      <w:r>
        <w:instrText xml:space="preserve"> </w:instrText>
      </w:r>
      <w:r>
        <w:rPr>
          <w:lang w:val="cs-CZ"/>
        </w:rPr>
        <w:instrText>1</w:instrText>
      </w:r>
      <w:r w:rsidRPr="006463C1">
        <w:instrText>.7.1</w:instrText>
      </w:r>
      <w:r>
        <w:instrText xml:space="preserve">" </w:instrText>
      </w:r>
      <w:r>
        <w:fldChar w:fldCharType="end"/>
      </w:r>
      <w:r>
        <w:rPr>
          <w:lang w:val="cs-CZ"/>
        </w:rPr>
        <w:t xml:space="preserve">, ed. digitalis </w:t>
      </w:r>
      <w:r w:rsidRPr="00CB399C">
        <w:rPr>
          <w:i/>
          <w:lang w:val="cs-CZ"/>
        </w:rPr>
        <w:t>Dante Project</w:t>
      </w:r>
      <w:r>
        <w:t xml:space="preserve">)   </w:t>
      </w:r>
    </w:p>
  </w:footnote>
  <w:footnote w:id="573">
    <w:p w:rsidR="00971E82" w:rsidRPr="085C5477" w:rsidRDefault="00971E82" w:rsidP="08163013">
      <w:pPr>
        <w:pStyle w:val="Textpoznpodarou"/>
      </w:pPr>
      <w:r>
        <w:rPr>
          <w:rStyle w:val="Znakapoznpodarou"/>
        </w:rPr>
        <w:footnoteRef/>
      </w:r>
      <w:r>
        <w:t xml:space="preserve"> „</w:t>
      </w:r>
      <w:r w:rsidRPr="08475B52">
        <w:t>Urbanitatis enim potestas aut accipitur in se, aut in partibus. Si in se, fundatur in bono divinissimo: et sic est in ordine ad unum, qui bonum totius gentis praevalet gube</w:t>
      </w:r>
      <w:r>
        <w:t>r</w:t>
      </w:r>
      <w:r w:rsidRPr="08475B52">
        <w:t>nare: et tunc est regnum sive monarchia.</w:t>
      </w:r>
      <w:r>
        <w:t>“ (</w:t>
      </w:r>
      <w:r w:rsidRPr="08475B52">
        <w:rPr>
          <w:i/>
        </w:rPr>
        <w:t>Ethicorum</w:t>
      </w:r>
      <w:r>
        <w:t xml:space="preserve"> VIII, tract. III, c. 2; ed. Borgnet  7, 540a</w:t>
      </w:r>
      <w:r>
        <w:fldChar w:fldCharType="begin"/>
      </w:r>
      <w:r>
        <w:instrText xml:space="preserve"> XE "</w:instrText>
      </w:r>
      <w:r>
        <w:rPr>
          <w:lang w:val="cs-CZ"/>
        </w:rPr>
        <w:instrText>Albert:</w:instrText>
      </w:r>
      <w:r>
        <w:rPr>
          <w:i/>
        </w:rPr>
        <w:instrText>Ethic</w:instrText>
      </w:r>
      <w:r>
        <w:rPr>
          <w:i/>
          <w:lang w:val="cs-CZ"/>
        </w:rPr>
        <w:instrText>a</w:instrText>
      </w:r>
      <w:r w:rsidRPr="00443A82">
        <w:instrText xml:space="preserve"> </w:instrText>
      </w:r>
      <w:r>
        <w:instrText>54</w:instrText>
      </w:r>
      <w:r>
        <w:rPr>
          <w:lang w:val="cs-CZ"/>
        </w:rPr>
        <w:instrText>0</w:instrText>
      </w:r>
      <w:r w:rsidRPr="00443A82">
        <w:instrText>a</w:instrText>
      </w:r>
      <w:r>
        <w:instrText xml:space="preserve">" </w:instrText>
      </w:r>
      <w:r>
        <w:fldChar w:fldCharType="end"/>
      </w:r>
      <w:r>
        <w:t>)</w:t>
      </w:r>
    </w:p>
  </w:footnote>
  <w:footnote w:id="574">
    <w:p w:rsidR="00971E82" w:rsidRPr="08053FAE" w:rsidRDefault="00971E82" w:rsidP="08163013">
      <w:pPr>
        <w:pStyle w:val="Textpoznpodarou"/>
      </w:pPr>
      <w:r>
        <w:rPr>
          <w:rStyle w:val="Znakapoznpodarou"/>
        </w:rPr>
        <w:footnoteRef/>
      </w:r>
      <w:r>
        <w:t xml:space="preserve"> „</w:t>
      </w:r>
      <w:r w:rsidRPr="08484C90">
        <w:t>Rex ergo erit secundum naturae ordinem, qui omnium bonorum adeptione virtutem regnandi adeptus est secundum ultimum et optimum talis potestatis.</w:t>
      </w:r>
      <w:r>
        <w:t>“ (</w:t>
      </w:r>
      <w:r w:rsidRPr="08475B52">
        <w:rPr>
          <w:i/>
        </w:rPr>
        <w:t>Ethicorum</w:t>
      </w:r>
      <w:r>
        <w:t xml:space="preserve"> VIII, tract. III, c. 2; ed. Borgnet  7, 541a</w:t>
      </w:r>
      <w:r>
        <w:fldChar w:fldCharType="begin"/>
      </w:r>
      <w:r>
        <w:instrText xml:space="preserve"> XE "</w:instrText>
      </w:r>
      <w:r>
        <w:rPr>
          <w:lang w:val="cs-CZ"/>
        </w:rPr>
        <w:instrText>Albert:</w:instrText>
      </w:r>
      <w:r>
        <w:rPr>
          <w:i/>
        </w:rPr>
        <w:instrText>Ethic</w:instrText>
      </w:r>
      <w:r>
        <w:rPr>
          <w:i/>
          <w:lang w:val="cs-CZ"/>
        </w:rPr>
        <w:instrText>a</w:instrText>
      </w:r>
      <w:r w:rsidRPr="00443A82">
        <w:instrText xml:space="preserve"> </w:instrText>
      </w:r>
      <w:r>
        <w:instrText>54</w:instrText>
      </w:r>
      <w:r>
        <w:rPr>
          <w:lang w:val="cs-CZ"/>
        </w:rPr>
        <w:instrText>1</w:instrText>
      </w:r>
      <w:r w:rsidRPr="00443A82">
        <w:instrText>a</w:instrText>
      </w:r>
      <w:r>
        <w:instrText xml:space="preserve">" </w:instrText>
      </w:r>
      <w:r>
        <w:fldChar w:fldCharType="end"/>
      </w:r>
      <w:r>
        <w:t>)</w:t>
      </w:r>
    </w:p>
  </w:footnote>
  <w:footnote w:id="575">
    <w:p w:rsidR="00971E82" w:rsidRPr="000107C4" w:rsidRDefault="00971E82" w:rsidP="08163013">
      <w:pPr>
        <w:pStyle w:val="Textpoznpodarou"/>
        <w:rPr>
          <w:lang w:val="en-US"/>
        </w:rPr>
      </w:pPr>
      <w:r>
        <w:rPr>
          <w:rStyle w:val="Znakapoznpodarou"/>
        </w:rPr>
        <w:footnoteRef/>
      </w:r>
      <w:r>
        <w:t xml:space="preserve"> „Primo quidem quantum ad bene vivere: ad quod unusquisque affert suam partem, sicut videmus in qualibet communitate, quod unus servit communitati de uno officio, alius de alio, et sic omnes communiter bene vivunt. </w:t>
      </w:r>
      <w:r>
        <w:rPr>
          <w:i/>
          <w:iCs/>
        </w:rPr>
        <w:t>Hoc igitur</w:t>
      </w:r>
      <w:r>
        <w:t>, scilicet bene vivere, maxime est finis civitatis vel politiae et communiter quantum ad omnes et sigillatim quantum ad unumquemque. Secundo utilis est vita communis etiam propter ipsum vivere, dum unus in communitate vitae existentium alii subvenit ad sustentationem vitae et contra pericula mortis.“ (</w:t>
      </w:r>
      <w:bookmarkStart w:id="112" w:name="79420"/>
      <w:r w:rsidRPr="00100EB1">
        <w:rPr>
          <w:i/>
        </w:rPr>
        <w:t>In Libros Politicorum Aristotelis Expositio</w:t>
      </w:r>
      <w:r>
        <w:rPr>
          <w:rStyle w:val="ref"/>
          <w:rFonts w:eastAsia="Times"/>
        </w:rPr>
        <w:t xml:space="preserve">, lib. 3, lect. 5, no. </w:t>
      </w:r>
      <w:bookmarkEnd w:id="112"/>
      <w:r>
        <w:rPr>
          <w:rStyle w:val="ref"/>
          <w:rFonts w:eastAsia="Times"/>
        </w:rPr>
        <w:t>4</w:t>
      </w:r>
      <w:r>
        <w:rPr>
          <w:rStyle w:val="ref"/>
          <w:rFonts w:eastAsia="Times"/>
          <w:lang w:val="cs-CZ"/>
        </w:rPr>
        <w:t xml:space="preserve">; ed. </w:t>
      </w:r>
      <w:r>
        <w:t>Marietti</w:t>
      </w:r>
      <w:r w:rsidRPr="007E5E02">
        <w:t xml:space="preserve">, </w:t>
      </w:r>
      <w:r>
        <w:rPr>
          <w:lang w:val="cs-CZ"/>
        </w:rPr>
        <w:t>p. 137</w:t>
      </w:r>
      <w:r>
        <w:rPr>
          <w:i/>
        </w:rPr>
        <w:fldChar w:fldCharType="begin"/>
      </w:r>
      <w:r>
        <w:instrText xml:space="preserve"> XE "</w:instrText>
      </w:r>
      <w:r>
        <w:rPr>
          <w:lang w:val="cs-CZ"/>
        </w:rPr>
        <w:instrText>Akvinský:</w:instrText>
      </w:r>
      <w:r w:rsidRPr="00170375">
        <w:rPr>
          <w:i/>
        </w:rPr>
        <w:instrText>In Libros Politicorum Aristotelis Expositio</w:instrText>
      </w:r>
      <w:r>
        <w:rPr>
          <w:i/>
          <w:lang w:val="cs-CZ"/>
        </w:rPr>
        <w:instrText xml:space="preserve"> </w:instrText>
      </w:r>
      <w:r w:rsidRPr="00685901">
        <w:rPr>
          <w:lang w:val="cs-CZ"/>
        </w:rPr>
        <w:instrText>137</w:instrText>
      </w:r>
      <w:r>
        <w:instrText xml:space="preserve">" </w:instrText>
      </w:r>
      <w:r>
        <w:rPr>
          <w:i/>
        </w:rPr>
        <w:fldChar w:fldCharType="end"/>
      </w:r>
      <w:r>
        <w:rPr>
          <w:lang w:val="cs-CZ"/>
        </w:rPr>
        <w:t>)</w:t>
      </w:r>
      <w:r>
        <w:t xml:space="preserve"> </w:t>
      </w:r>
    </w:p>
  </w:footnote>
  <w:footnote w:id="576">
    <w:p w:rsidR="00971E82" w:rsidRPr="003B4CE6" w:rsidRDefault="00971E82" w:rsidP="00D76A67">
      <w:pPr>
        <w:pStyle w:val="Textpoznpodarou"/>
        <w:rPr>
          <w:lang w:val="cs-CZ"/>
        </w:rPr>
      </w:pPr>
      <w:r w:rsidRPr="003B4CE6">
        <w:rPr>
          <w:rStyle w:val="Znakapoznpodarou"/>
        </w:rPr>
        <w:footnoteRef/>
      </w:r>
      <w:r w:rsidRPr="003B4CE6">
        <w:t xml:space="preserve"> „This definition of political liberty as a potential freedom from politics is not urged upon us merely by our most recent experiences; it has played a large part in the history of political theory. We need go no farther than the political thinkers of the seventeenth and eighteenth centuries, who more often than not simply identified political freedom with security. The highest purpose of politics, “the end of government,” was the guaranty of security; security, in turn, made freedom possible, and the word “freedom” designated a quintessence of activities which occurred outside the pol</w:t>
      </w:r>
      <w:r>
        <w:t>itical realm.</w:t>
      </w:r>
      <w:r>
        <w:rPr>
          <w:lang w:val="cs-CZ"/>
        </w:rPr>
        <w:t>“ (Arendt 1961, 149)</w:t>
      </w:r>
    </w:p>
  </w:footnote>
  <w:footnote w:id="577">
    <w:p w:rsidR="00971E82" w:rsidRPr="08B42EBD" w:rsidRDefault="00971E82" w:rsidP="08163013">
      <w:pPr>
        <w:pStyle w:val="Textpoznpodarou"/>
      </w:pPr>
      <w:r>
        <w:rPr>
          <w:rStyle w:val="Znakapoznpodarou"/>
        </w:rPr>
        <w:footnoteRef/>
      </w:r>
      <w:r>
        <w:t xml:space="preserve"> „</w:t>
      </w:r>
      <w:r w:rsidRPr="083428A9">
        <w:t xml:space="preserve">Nam Aristoteles 7. Polyt. cap. </w:t>
      </w:r>
      <w:r w:rsidRPr="083428A9">
        <w:rPr>
          <w:i/>
        </w:rPr>
        <w:t>utrum autem</w:t>
      </w:r>
      <w:r w:rsidRPr="083428A9">
        <w:t xml:space="preserve"> manifeste dicit, quod eadem est felicitas unius hominis, et totius Civitatis; et dicit, quod hoc omnes communiter opinantur; nam, qui dicunt</w:t>
      </w:r>
      <w:r>
        <w:rPr>
          <w:lang w:val="cs-CZ"/>
        </w:rPr>
        <w:t>u</w:t>
      </w:r>
      <w:r w:rsidRPr="083428A9">
        <w:t>r unum hominem esse felicem propter divitias, dicuntur Civitatem, si fuerit dives, esse felicem.</w:t>
      </w:r>
      <w:r>
        <w:t>“</w:t>
      </w:r>
      <w:r w:rsidRPr="083428A9">
        <w:t xml:space="preserve"> </w:t>
      </w:r>
      <w:r>
        <w:t>(</w:t>
      </w:r>
      <w:r>
        <w:rPr>
          <w:i/>
        </w:rPr>
        <w:t>Contro Dante</w:t>
      </w:r>
      <w:r>
        <w:t xml:space="preserve"> 1</w:t>
      </w:r>
      <w:r>
        <w:rPr>
          <w:lang w:val="cs-CZ"/>
        </w:rPr>
        <w:t xml:space="preserve">; </w:t>
      </w:r>
      <w:r>
        <w:t>ed. Jarro, p. 4</w:t>
      </w:r>
      <w:r>
        <w:fldChar w:fldCharType="begin"/>
      </w:r>
      <w:r>
        <w:instrText xml:space="preserve"> XE "</w:instrText>
      </w:r>
      <w:r>
        <w:rPr>
          <w:lang w:val="cs-CZ"/>
        </w:rPr>
        <w:instrText>Vernani:</w:instrText>
      </w:r>
      <w:r w:rsidRPr="00D66C0A">
        <w:rPr>
          <w:i/>
        </w:rPr>
        <w:instrText>Contro Dante</w:instrText>
      </w:r>
      <w:r w:rsidRPr="00D66C0A">
        <w:instrText xml:space="preserve"> 4</w:instrText>
      </w:r>
      <w:r>
        <w:instrText xml:space="preserve">" </w:instrText>
      </w:r>
      <w:r>
        <w:fldChar w:fldCharType="end"/>
      </w:r>
      <w:r>
        <w:t>)</w:t>
      </w:r>
    </w:p>
  </w:footnote>
  <w:footnote w:id="578">
    <w:p w:rsidR="00971E82" w:rsidRDefault="00971E82" w:rsidP="08163013">
      <w:pPr>
        <w:pStyle w:val="Textpoznpodarou"/>
        <w:rPr>
          <w:lang w:val="en-GB"/>
        </w:rPr>
      </w:pPr>
      <w:r>
        <w:rPr>
          <w:rStyle w:val="Znakapoznpodarou"/>
        </w:rPr>
        <w:footnoteRef/>
      </w:r>
      <w:r>
        <w:t xml:space="preserve"> „Folgende Maximen des gemeinen Menschenverstandes gehören zwar nicht hierher, als Teile der Geschmackskritik, können aber doch zur Erläuterung ihrer Grundsätze dienen. Es sind folgende: 1. Selbstdenken; 2. An der Stelle jedes andern denken; 3. Jederzeit mit sich selbst einstimmig denken. </w:t>
      </w:r>
      <w:r>
        <w:t xml:space="preserve">Die erste ist die Maxime der </w:t>
      </w:r>
      <w:r>
        <w:rPr>
          <w:i/>
        </w:rPr>
        <w:t>vorurteilsfreien</w:t>
      </w:r>
      <w:r>
        <w:t xml:space="preserve">, die zweite der </w:t>
      </w:r>
      <w:r>
        <w:rPr>
          <w:i/>
          <w:iCs/>
        </w:rPr>
        <w:t>erweiterten</w:t>
      </w:r>
      <w:r>
        <w:t xml:space="preserve">, die dritte der </w:t>
      </w:r>
      <w:r>
        <w:rPr>
          <w:i/>
        </w:rPr>
        <w:t>konsequenten</w:t>
      </w:r>
      <w:r>
        <w:t xml:space="preserve"> Denkungsart.“ </w:t>
      </w:r>
      <w:proofErr w:type="gramStart"/>
      <w:r>
        <w:rPr>
          <w:lang w:val="en-GB"/>
        </w:rPr>
        <w:t>(KdU 294</w:t>
      </w:r>
      <w:r w:rsidRPr="08A9706A">
        <w:fldChar w:fldCharType="begin"/>
      </w:r>
      <w:r w:rsidRPr="08A9706A">
        <w:instrText xml:space="preserve"> XE "Kant</w:instrText>
      </w:r>
      <w:r>
        <w:instrText xml:space="preserve">:KdU </w:instrText>
      </w:r>
      <w:r w:rsidRPr="08A9706A">
        <w:instrText xml:space="preserve">294" </w:instrText>
      </w:r>
      <w:r w:rsidRPr="08A9706A">
        <w:fldChar w:fldCharType="end"/>
      </w:r>
      <w:r>
        <w:rPr>
          <w:lang w:val="en-GB"/>
        </w:rPr>
        <w:t>).</w:t>
      </w:r>
      <w:proofErr w:type="gramEnd"/>
    </w:p>
  </w:footnote>
  <w:footnote w:id="579">
    <w:p w:rsidR="00971E82" w:rsidRPr="00611263" w:rsidRDefault="00971E82" w:rsidP="08163013">
      <w:pPr>
        <w:pStyle w:val="Textpoznpodarou"/>
        <w:rPr>
          <w:lang w:val="cs-CZ"/>
        </w:rPr>
      </w:pPr>
      <w:r>
        <w:rPr>
          <w:rStyle w:val="Znakapoznpodarou"/>
        </w:rPr>
        <w:footnoteRef/>
      </w:r>
      <w:r>
        <w:t xml:space="preserve"> </w:t>
      </w:r>
      <w:r w:rsidRPr="00273106">
        <w:rPr>
          <w:noProof/>
        </w:rPr>
        <w:t>„Contra istam opinionem ostendo quod practica non distinguitur a speculativa fine, id est per causam finalem, ita scilicet quod habeat distinctam causam finalem a causa finali speculativae, sed idem simpliciter potest esse causa finalis utriusque.“ (</w:t>
      </w:r>
      <w:r w:rsidRPr="008C2D4A">
        <w:rPr>
          <w:i/>
          <w:noProof/>
        </w:rPr>
        <w:t>Ordinatio I</w:t>
      </w:r>
      <w:r w:rsidRPr="00273106">
        <w:rPr>
          <w:noProof/>
        </w:rPr>
        <w:t>, libe</w:t>
      </w:r>
      <w:r>
        <w:rPr>
          <w:noProof/>
        </w:rPr>
        <w:t xml:space="preserve">r I, prologus, q. 11; OTh 1, </w:t>
      </w:r>
      <w:r w:rsidRPr="00273106">
        <w:rPr>
          <w:noProof/>
        </w:rPr>
        <w:t>304.15‒18</w:t>
      </w:r>
      <w:r>
        <w:rPr>
          <w:noProof/>
        </w:rPr>
        <w:fldChar w:fldCharType="begin"/>
      </w:r>
      <w:r>
        <w:instrText xml:space="preserve"> XE "</w:instrText>
      </w:r>
      <w:r>
        <w:rPr>
          <w:lang w:val="cs-CZ"/>
        </w:rPr>
        <w:instrText>Ockham:</w:instrText>
      </w:r>
      <w:r w:rsidRPr="00992AA3">
        <w:rPr>
          <w:i/>
          <w:noProof/>
        </w:rPr>
        <w:instrText>Ordinatio</w:instrText>
      </w:r>
      <w:r w:rsidRPr="00992AA3">
        <w:rPr>
          <w:noProof/>
        </w:rPr>
        <w:instrText xml:space="preserve"> </w:instrText>
      </w:r>
      <w:r>
        <w:rPr>
          <w:noProof/>
          <w:lang w:val="cs-CZ"/>
        </w:rPr>
        <w:instrText>1.</w:instrText>
      </w:r>
      <w:r w:rsidRPr="00992AA3">
        <w:rPr>
          <w:noProof/>
        </w:rPr>
        <w:instrText>304.15‒18</w:instrText>
      </w:r>
      <w:r>
        <w:instrText xml:space="preserve">" </w:instrText>
      </w:r>
      <w:r>
        <w:rPr>
          <w:noProof/>
        </w:rPr>
        <w:fldChar w:fldCharType="end"/>
      </w:r>
      <w:r w:rsidRPr="00273106">
        <w:rPr>
          <w:noProof/>
        </w:rPr>
        <w:t>)</w:t>
      </w:r>
    </w:p>
  </w:footnote>
  <w:footnote w:id="580">
    <w:p w:rsidR="00971E82" w:rsidRPr="00E7188F" w:rsidRDefault="00971E82" w:rsidP="08163013">
      <w:pPr>
        <w:pStyle w:val="Textpoznpodarou"/>
        <w:rPr>
          <w:noProof/>
          <w:lang w:val="cs-CZ"/>
        </w:rPr>
      </w:pPr>
      <w:r>
        <w:rPr>
          <w:rStyle w:val="Znakapoznpodarou"/>
        </w:rPr>
        <w:footnoteRef/>
      </w:r>
      <w:r>
        <w:t xml:space="preserve"> </w:t>
      </w:r>
      <w:r w:rsidRPr="00273106">
        <w:rPr>
          <w:noProof/>
        </w:rPr>
        <w:t>„Ideo dico quod recta ratio est obiectum actus virtuosi; et ex hoc quod requiritur ad actum virtuosum tamquam obiectum in esse reali, sequitur quod habet causalitatem effectivam respectu actus virtuosi...“ (</w:t>
      </w:r>
      <w:r>
        <w:rPr>
          <w:i/>
          <w:noProof/>
        </w:rPr>
        <w:t>Quaestiones</w:t>
      </w:r>
      <w:r>
        <w:rPr>
          <w:noProof/>
        </w:rPr>
        <w:t>, q. 7, a. 4; OTh 8, 394.443‒</w:t>
      </w:r>
      <w:r w:rsidRPr="00273106">
        <w:rPr>
          <w:noProof/>
        </w:rPr>
        <w:t>46</w:t>
      </w:r>
      <w:r>
        <w:rPr>
          <w:noProof/>
        </w:rPr>
        <w:fldChar w:fldCharType="begin"/>
      </w:r>
      <w:r>
        <w:instrText xml:space="preserve"> XE "</w:instrText>
      </w:r>
      <w:r>
        <w:rPr>
          <w:lang w:val="cs-CZ"/>
        </w:rPr>
        <w:instrText>Ockham:</w:instrText>
      </w:r>
      <w:r>
        <w:rPr>
          <w:i/>
          <w:noProof/>
        </w:rPr>
        <w:instrText>Quaestiones</w:instrText>
      </w:r>
      <w:r w:rsidRPr="00266B16">
        <w:rPr>
          <w:noProof/>
        </w:rPr>
        <w:instrText xml:space="preserve"> 394.443‒46</w:instrText>
      </w:r>
      <w:r>
        <w:instrText xml:space="preserve">" </w:instrText>
      </w:r>
      <w:r>
        <w:rPr>
          <w:noProof/>
        </w:rPr>
        <w:fldChar w:fldCharType="end"/>
      </w:r>
      <w:r w:rsidRPr="00273106">
        <w:rPr>
          <w:noProof/>
        </w:rPr>
        <w:t>)</w:t>
      </w:r>
    </w:p>
  </w:footnote>
  <w:footnote w:id="581">
    <w:p w:rsidR="00971E82" w:rsidRPr="00855D8B" w:rsidRDefault="00971E82" w:rsidP="08163013">
      <w:pPr>
        <w:pStyle w:val="Textpoznpodarou"/>
        <w:rPr>
          <w:lang w:val="cs-CZ"/>
        </w:rPr>
      </w:pPr>
      <w:r>
        <w:rPr>
          <w:rStyle w:val="Znakapoznpodarou"/>
        </w:rPr>
        <w:footnoteRef/>
      </w:r>
      <w:r>
        <w:t xml:space="preserve"> </w:t>
      </w:r>
      <w:r w:rsidRPr="00273106">
        <w:rPr>
          <w:noProof/>
        </w:rPr>
        <w:t>„Ad istud dicit Scotus quod 'definitio prudentiae debet intelligi de habitu activo proximo, qualis est habitus adquisitus ex actibus. Unde sicut ars se habet circa factibilia ad habitum experimenti, ita circa agibilia se habet scientia moralis ad habitum prudentiae, quia habitus artis et scientiae moralis sunt remoti ad dirigendum, quia universales'...“ (</w:t>
      </w:r>
      <w:r w:rsidRPr="08314C5F">
        <w:rPr>
          <w:i/>
        </w:rPr>
        <w:t>De distintione inter notitiam speculativam et practicam</w:t>
      </w:r>
      <w:r>
        <w:rPr>
          <w:noProof/>
          <w:lang w:val="cs-CZ"/>
        </w:rPr>
        <w:t xml:space="preserve">; </w:t>
      </w:r>
      <w:r>
        <w:rPr>
          <w:noProof/>
        </w:rPr>
        <w:t xml:space="preserve">OTh 1, </w:t>
      </w:r>
      <w:r w:rsidRPr="00273106">
        <w:rPr>
          <w:noProof/>
        </w:rPr>
        <w:t>317.14‒19</w:t>
      </w:r>
      <w:r>
        <w:rPr>
          <w:noProof/>
        </w:rPr>
        <w:fldChar w:fldCharType="begin"/>
      </w:r>
      <w:r>
        <w:instrText xml:space="preserve"> XE "</w:instrText>
      </w:r>
      <w:r>
        <w:rPr>
          <w:lang w:val="cs-CZ"/>
        </w:rPr>
        <w:instrText>Ockham:</w:instrText>
      </w:r>
      <w:r w:rsidRPr="00F239D6">
        <w:rPr>
          <w:i/>
          <w:noProof/>
        </w:rPr>
        <w:instrText>Ordinatio</w:instrText>
      </w:r>
      <w:r w:rsidRPr="00F239D6">
        <w:rPr>
          <w:noProof/>
        </w:rPr>
        <w:instrText xml:space="preserve"> </w:instrText>
      </w:r>
      <w:r>
        <w:rPr>
          <w:noProof/>
          <w:lang w:val="cs-CZ"/>
        </w:rPr>
        <w:instrText>1.</w:instrText>
      </w:r>
      <w:r w:rsidRPr="00F239D6">
        <w:rPr>
          <w:noProof/>
        </w:rPr>
        <w:instrText>317.14‒19</w:instrText>
      </w:r>
      <w:r>
        <w:instrText xml:space="preserve">" </w:instrText>
      </w:r>
      <w:r>
        <w:rPr>
          <w:noProof/>
        </w:rPr>
        <w:fldChar w:fldCharType="end"/>
      </w:r>
      <w:r w:rsidRPr="00273106">
        <w:rPr>
          <w:noProof/>
        </w:rPr>
        <w:t>)</w:t>
      </w:r>
    </w:p>
  </w:footnote>
  <w:footnote w:id="582">
    <w:p w:rsidR="00971E82" w:rsidRPr="00985F19" w:rsidRDefault="00971E82" w:rsidP="08163013">
      <w:pPr>
        <w:pStyle w:val="Textpoznpodarou"/>
        <w:rPr>
          <w:lang w:val="cs-CZ"/>
        </w:rPr>
      </w:pPr>
      <w:r>
        <w:rPr>
          <w:rStyle w:val="Znakapoznpodarou"/>
        </w:rPr>
        <w:footnoteRef/>
      </w:r>
      <w:r>
        <w:t xml:space="preserve"> </w:t>
      </w:r>
      <w:r w:rsidRPr="00273106">
        <w:rPr>
          <w:noProof/>
        </w:rPr>
        <w:t>„</w:t>
      </w:r>
      <w:r>
        <w:rPr>
          <w:noProof/>
          <w:lang w:val="cs-CZ"/>
        </w:rPr>
        <w:t>(...) d</w:t>
      </w:r>
      <w:r w:rsidRPr="00273106">
        <w:rPr>
          <w:noProof/>
        </w:rPr>
        <w:t>ico quod habitus universalis immediate dirigit, non tamen totaliter sed partialiter tantum, quia praeter habitus universales requiritur notitia rei singularis quae debet dirigi, vel circa quod debet aliqua potentia operari.“ (</w:t>
      </w:r>
      <w:r w:rsidRPr="00273106">
        <w:rPr>
          <w:i/>
          <w:noProof/>
        </w:rPr>
        <w:t>Ordinatio</w:t>
      </w:r>
      <w:r w:rsidRPr="00273106">
        <w:rPr>
          <w:noProof/>
        </w:rPr>
        <w:t>, libe</w:t>
      </w:r>
      <w:r>
        <w:rPr>
          <w:noProof/>
        </w:rPr>
        <w:t xml:space="preserve">r I, prologus, q. 12; OTh 1, </w:t>
      </w:r>
      <w:r w:rsidRPr="00273106">
        <w:rPr>
          <w:noProof/>
        </w:rPr>
        <w:t>356.15‒20</w:t>
      </w:r>
      <w:r>
        <w:rPr>
          <w:noProof/>
        </w:rPr>
        <w:fldChar w:fldCharType="begin"/>
      </w:r>
      <w:r>
        <w:instrText xml:space="preserve"> XE "</w:instrText>
      </w:r>
      <w:r>
        <w:rPr>
          <w:lang w:val="cs-CZ"/>
        </w:rPr>
        <w:instrText>Ockham:</w:instrText>
      </w:r>
      <w:r w:rsidRPr="003D0A59">
        <w:rPr>
          <w:i/>
          <w:noProof/>
        </w:rPr>
        <w:instrText>Ordinatio</w:instrText>
      </w:r>
      <w:r>
        <w:rPr>
          <w:i/>
          <w:noProof/>
          <w:lang w:val="cs-CZ"/>
        </w:rPr>
        <w:instrText xml:space="preserve"> </w:instrText>
      </w:r>
      <w:r w:rsidRPr="007A2FB3">
        <w:rPr>
          <w:noProof/>
          <w:lang w:val="cs-CZ"/>
        </w:rPr>
        <w:instrText>1</w:instrText>
      </w:r>
      <w:r>
        <w:rPr>
          <w:i/>
          <w:noProof/>
          <w:lang w:val="cs-CZ"/>
        </w:rPr>
        <w:instrText>.</w:instrText>
      </w:r>
      <w:r w:rsidRPr="003D0A59">
        <w:rPr>
          <w:noProof/>
        </w:rPr>
        <w:instrText>356.15‒20</w:instrText>
      </w:r>
      <w:r>
        <w:instrText xml:space="preserve">" </w:instrText>
      </w:r>
      <w:r>
        <w:rPr>
          <w:noProof/>
        </w:rPr>
        <w:fldChar w:fldCharType="end"/>
      </w:r>
      <w:r w:rsidRPr="00273106">
        <w:rPr>
          <w:noProof/>
        </w:rPr>
        <w:t>)</w:t>
      </w:r>
    </w:p>
  </w:footnote>
  <w:footnote w:id="583">
    <w:p w:rsidR="00971E82" w:rsidRPr="08EA00E1" w:rsidRDefault="00971E82" w:rsidP="08163013">
      <w:pPr>
        <w:pStyle w:val="Textpoznpodarou"/>
      </w:pPr>
      <w:r>
        <w:rPr>
          <w:rStyle w:val="Znakapoznpodarou"/>
        </w:rPr>
        <w:footnoteRef/>
      </w:r>
      <w:r>
        <w:t xml:space="preserve"> „</w:t>
      </w:r>
      <w:r w:rsidRPr="08EA00E1">
        <w:t>Ista autem praxis dividitur in praxim virtuosam et vitiosam, quia utraque istarum est in potestate nostra. Praxis autem virtuosa potest sic describi: praxis virtuosa est operatio exsistens in potestate voluntatis, nata elici conformiter rationi rectae ad hoc quod sit recta.</w:t>
      </w:r>
      <w:r>
        <w:t>“ (</w:t>
      </w:r>
      <w:r w:rsidRPr="008C2D4A">
        <w:rPr>
          <w:i/>
        </w:rPr>
        <w:t>Ordinatio I</w:t>
      </w:r>
      <w:r>
        <w:t>, liber I, prologus, q. 10; OTh 1, 293.1‒5</w:t>
      </w:r>
      <w:r>
        <w:rPr>
          <w:noProof/>
        </w:rPr>
        <w:fldChar w:fldCharType="begin"/>
      </w:r>
      <w:r>
        <w:instrText xml:space="preserve"> XE "</w:instrText>
      </w:r>
      <w:r>
        <w:rPr>
          <w:lang w:val="cs-CZ"/>
        </w:rPr>
        <w:instrText>Ockham:</w:instrText>
      </w:r>
      <w:r w:rsidRPr="003D0A59">
        <w:rPr>
          <w:i/>
          <w:noProof/>
        </w:rPr>
        <w:instrText>Ordinatio</w:instrText>
      </w:r>
      <w:r>
        <w:rPr>
          <w:i/>
          <w:noProof/>
          <w:lang w:val="cs-CZ"/>
        </w:rPr>
        <w:instrText xml:space="preserve"> </w:instrText>
      </w:r>
      <w:r w:rsidRPr="007A2FB3">
        <w:rPr>
          <w:noProof/>
          <w:lang w:val="cs-CZ"/>
        </w:rPr>
        <w:instrText>1</w:instrText>
      </w:r>
      <w:r>
        <w:rPr>
          <w:i/>
          <w:noProof/>
          <w:lang w:val="cs-CZ"/>
        </w:rPr>
        <w:instrText>.</w:instrText>
      </w:r>
      <w:r>
        <w:rPr>
          <w:noProof/>
          <w:lang w:val="cs-CZ"/>
        </w:rPr>
        <w:instrText>293</w:instrText>
      </w:r>
      <w:r>
        <w:rPr>
          <w:noProof/>
        </w:rPr>
        <w:instrText>.1‒</w:instrText>
      </w:r>
      <w:r>
        <w:rPr>
          <w:noProof/>
          <w:lang w:val="cs-CZ"/>
        </w:rPr>
        <w:instrText>5</w:instrText>
      </w:r>
      <w:r>
        <w:instrText xml:space="preserve">" </w:instrText>
      </w:r>
      <w:r>
        <w:rPr>
          <w:noProof/>
        </w:rPr>
        <w:fldChar w:fldCharType="end"/>
      </w:r>
      <w:r>
        <w:t>)</w:t>
      </w:r>
    </w:p>
  </w:footnote>
  <w:footnote w:id="584">
    <w:p w:rsidR="00971E82" w:rsidRPr="004C15AF" w:rsidRDefault="00971E82" w:rsidP="08163013">
      <w:pPr>
        <w:pStyle w:val="Textpoznpodarou"/>
        <w:rPr>
          <w:noProof/>
          <w:lang w:val="cs-CZ"/>
        </w:rPr>
      </w:pPr>
      <w:r>
        <w:rPr>
          <w:rStyle w:val="Znakapoznpodarou"/>
        </w:rPr>
        <w:footnoteRef/>
      </w:r>
      <w:r>
        <w:t xml:space="preserve"> </w:t>
      </w:r>
      <w:r w:rsidRPr="00273106">
        <w:rPr>
          <w:noProof/>
        </w:rPr>
        <w:t>„Tamen pro intentione Philosophi sciendum quod finis ‒ qui debet secundum rectam rationem intendi ‒ scientiae practicae est veritas, sicut est finis scientiae speculativae. Sed finis ultimus scientiae speculativae est veritas, finis autem ultimus scientiae practicae non est veritas sed opus.“ (</w:t>
      </w:r>
      <w:r w:rsidRPr="008C2D4A">
        <w:rPr>
          <w:i/>
          <w:noProof/>
        </w:rPr>
        <w:t>Ordinatio I</w:t>
      </w:r>
      <w:r w:rsidRPr="00273106">
        <w:rPr>
          <w:noProof/>
        </w:rPr>
        <w:t>, libe</w:t>
      </w:r>
      <w:r>
        <w:rPr>
          <w:noProof/>
        </w:rPr>
        <w:t xml:space="preserve">r I, prologus, q. 11; OTh 1, </w:t>
      </w:r>
      <w:r w:rsidRPr="00273106">
        <w:rPr>
          <w:noProof/>
        </w:rPr>
        <w:t>323.12‒16</w:t>
      </w:r>
      <w:r>
        <w:rPr>
          <w:noProof/>
        </w:rPr>
        <w:fldChar w:fldCharType="begin"/>
      </w:r>
      <w:r>
        <w:instrText xml:space="preserve"> XE "</w:instrText>
      </w:r>
      <w:r>
        <w:rPr>
          <w:lang w:val="cs-CZ"/>
        </w:rPr>
        <w:instrText>Ockham:</w:instrText>
      </w:r>
      <w:r w:rsidRPr="005B2490">
        <w:rPr>
          <w:i/>
          <w:noProof/>
        </w:rPr>
        <w:instrText>Ordinatio</w:instrText>
      </w:r>
      <w:r w:rsidRPr="005B2490">
        <w:rPr>
          <w:noProof/>
        </w:rPr>
        <w:instrText xml:space="preserve"> </w:instrText>
      </w:r>
      <w:r>
        <w:rPr>
          <w:noProof/>
          <w:lang w:val="cs-CZ"/>
        </w:rPr>
        <w:instrText>1.</w:instrText>
      </w:r>
      <w:r w:rsidRPr="005B2490">
        <w:rPr>
          <w:noProof/>
        </w:rPr>
        <w:instrText>323.12‒16</w:instrText>
      </w:r>
      <w:r>
        <w:instrText xml:space="preserve">" </w:instrText>
      </w:r>
      <w:r>
        <w:rPr>
          <w:noProof/>
        </w:rPr>
        <w:fldChar w:fldCharType="end"/>
      </w:r>
      <w:r w:rsidRPr="00273106">
        <w:rPr>
          <w:noProof/>
        </w:rPr>
        <w:t>)</w:t>
      </w:r>
    </w:p>
  </w:footnote>
  <w:footnote w:id="585">
    <w:p w:rsidR="00971E82" w:rsidRPr="00EF50C8" w:rsidRDefault="00971E82" w:rsidP="08163013">
      <w:pPr>
        <w:pStyle w:val="Textpoznpodarou"/>
        <w:rPr>
          <w:noProof/>
          <w:lang w:val="cs-CZ"/>
        </w:rPr>
      </w:pPr>
      <w:r>
        <w:rPr>
          <w:rStyle w:val="Znakapoznpodarou"/>
        </w:rPr>
        <w:footnoteRef/>
      </w:r>
      <w:r>
        <w:t xml:space="preserve"> </w:t>
      </w:r>
      <w:r w:rsidRPr="00273106">
        <w:rPr>
          <w:noProof/>
        </w:rPr>
        <w:t>„Arguendo contra praedictam opinionem, primo ostendam quod secundum usum auctorum libertas, secundum quod distinguitur contra principium naturale activum, est quaedam contingentia vel indifferentia; ex quo sequitur quod libertas non stat cum necessitate. Secundo arguam in speciali contra modum salvandi aliter libertatem in voluntate quam in alio principio necessario activo.“ (</w:t>
      </w:r>
      <w:r w:rsidRPr="00273106">
        <w:rPr>
          <w:i/>
          <w:noProof/>
        </w:rPr>
        <w:t>Ordinatio</w:t>
      </w:r>
      <w:r w:rsidRPr="00273106">
        <w:rPr>
          <w:noProof/>
        </w:rPr>
        <w:t>, lib</w:t>
      </w:r>
      <w:r>
        <w:rPr>
          <w:noProof/>
        </w:rPr>
        <w:t xml:space="preserve">er I, dist. 10, q. 2; OTh 3, </w:t>
      </w:r>
      <w:r w:rsidRPr="00273106">
        <w:rPr>
          <w:noProof/>
        </w:rPr>
        <w:t>335.16‒22</w:t>
      </w:r>
      <w:r>
        <w:rPr>
          <w:noProof/>
        </w:rPr>
        <w:fldChar w:fldCharType="begin"/>
      </w:r>
      <w:r>
        <w:instrText xml:space="preserve"> XE "</w:instrText>
      </w:r>
      <w:r>
        <w:rPr>
          <w:lang w:val="cs-CZ"/>
        </w:rPr>
        <w:instrText>Ockham:</w:instrText>
      </w:r>
      <w:r w:rsidRPr="001D5900">
        <w:rPr>
          <w:i/>
          <w:noProof/>
        </w:rPr>
        <w:instrText>Ordinatio</w:instrText>
      </w:r>
      <w:r>
        <w:rPr>
          <w:i/>
          <w:noProof/>
          <w:lang w:val="cs-CZ"/>
        </w:rPr>
        <w:instrText xml:space="preserve"> </w:instrText>
      </w:r>
      <w:r w:rsidRPr="000E2881">
        <w:rPr>
          <w:noProof/>
          <w:lang w:val="cs-CZ"/>
        </w:rPr>
        <w:instrText>1</w:instrText>
      </w:r>
      <w:r>
        <w:rPr>
          <w:i/>
          <w:noProof/>
          <w:lang w:val="cs-CZ"/>
        </w:rPr>
        <w:instrText>.</w:instrText>
      </w:r>
      <w:r w:rsidRPr="001D5900">
        <w:rPr>
          <w:noProof/>
        </w:rPr>
        <w:instrText>335.16‒22</w:instrText>
      </w:r>
      <w:r>
        <w:instrText xml:space="preserve">" </w:instrText>
      </w:r>
      <w:r>
        <w:rPr>
          <w:noProof/>
        </w:rPr>
        <w:fldChar w:fldCharType="end"/>
      </w:r>
      <w:r w:rsidRPr="00273106">
        <w:rPr>
          <w:noProof/>
        </w:rPr>
        <w:t>)</w:t>
      </w:r>
    </w:p>
  </w:footnote>
  <w:footnote w:id="586">
    <w:p w:rsidR="00971E82" w:rsidRDefault="00971E82" w:rsidP="006308E2">
      <w:pPr>
        <w:pStyle w:val="Textpoznpodarou"/>
      </w:pPr>
      <w:r>
        <w:rPr>
          <w:rStyle w:val="Znakapoznpodarou"/>
        </w:rPr>
        <w:footnoteRef/>
      </w:r>
      <w:r>
        <w:t xml:space="preserve"> „</w:t>
      </w:r>
      <w:r>
        <w:rPr>
          <w:rFonts w:eastAsia="AGaramondPro-Regular"/>
        </w:rPr>
        <w:t>Wie die alten V</w:t>
      </w:r>
      <w:r>
        <w:rPr>
          <w:rFonts w:eastAsia="AGaramondPro-Regular" w:hint="eastAsia"/>
        </w:rPr>
        <w:t>ö</w:t>
      </w:r>
      <w:r>
        <w:rPr>
          <w:rFonts w:eastAsia="AGaramondPro-Regular"/>
        </w:rPr>
        <w:t xml:space="preserve">lker ihre Vorgeschichte in der Imagination erlebten, in der Mythologie, so haben wir Deutsche unsre Nachgeschichte im Gedanken erlebt, in der </w:t>
      </w:r>
      <w:r w:rsidRPr="00451DF0">
        <w:rPr>
          <w:rFonts w:eastAsia="AGaramondPro-Regular"/>
          <w:i/>
        </w:rPr>
        <w:t>Philosophie</w:t>
      </w:r>
      <w:r>
        <w:rPr>
          <w:rFonts w:eastAsia="AGaramondPro-Regular"/>
        </w:rPr>
        <w:t xml:space="preserve">. Wir sind </w:t>
      </w:r>
      <w:r w:rsidRPr="00451DF0">
        <w:rPr>
          <w:rFonts w:eastAsia="AGaramondPro-Regular"/>
          <w:i/>
        </w:rPr>
        <w:t>philosophische</w:t>
      </w:r>
      <w:r>
        <w:rPr>
          <w:rFonts w:eastAsia="AGaramondPro-Regular"/>
        </w:rPr>
        <w:t xml:space="preserve"> Zeitgenossen der Gegenwart, ohne ihre </w:t>
      </w:r>
      <w:r w:rsidRPr="00451DF0">
        <w:rPr>
          <w:rFonts w:eastAsia="AGaramondPro-Regular"/>
          <w:i/>
        </w:rPr>
        <w:t>historischen</w:t>
      </w:r>
      <w:r>
        <w:rPr>
          <w:rFonts w:eastAsia="AGaramondPro-Regular"/>
        </w:rPr>
        <w:t xml:space="preserve"> Zeitgenossen zu sein. Die deutsche Philosophie ist die </w:t>
      </w:r>
      <w:r w:rsidRPr="00451DF0">
        <w:rPr>
          <w:rFonts w:eastAsia="AGaramondPro-Regular"/>
          <w:i/>
        </w:rPr>
        <w:t>ideale Verl</w:t>
      </w:r>
      <w:r w:rsidRPr="00451DF0">
        <w:rPr>
          <w:rFonts w:eastAsia="AGaramondPro-Regular" w:hint="eastAsia"/>
          <w:i/>
        </w:rPr>
        <w:t>ä</w:t>
      </w:r>
      <w:r w:rsidRPr="00451DF0">
        <w:rPr>
          <w:rFonts w:eastAsia="AGaramondPro-Regular"/>
          <w:i/>
        </w:rPr>
        <w:t>ngerung</w:t>
      </w:r>
      <w:r>
        <w:rPr>
          <w:rFonts w:eastAsia="AGaramondPro-Regular"/>
        </w:rPr>
        <w:t xml:space="preserve"> der deutschen Geschichte</w:t>
      </w:r>
      <w:r w:rsidRPr="003D237D">
        <w:rPr>
          <w:rFonts w:eastAsia="AGaramondPro-Regular"/>
        </w:rPr>
        <w:t xml:space="preserve">.“ (Marx </w:t>
      </w:r>
      <w:r>
        <w:rPr>
          <w:rFonts w:eastAsia="AGaramondPro-Regular"/>
        </w:rPr>
        <w:t>1</w:t>
      </w:r>
      <w:r w:rsidRPr="003D237D">
        <w:rPr>
          <w:rFonts w:eastAsia="AGaramondPro-Regular"/>
        </w:rPr>
        <w:t>, 383)</w:t>
      </w:r>
    </w:p>
  </w:footnote>
  <w:footnote w:id="587">
    <w:p w:rsidR="00971E82" w:rsidRPr="08130BCF" w:rsidRDefault="00971E82" w:rsidP="08163013">
      <w:pPr>
        <w:pStyle w:val="Textpoznpodarou"/>
        <w:rPr>
          <w:lang w:val="cs-CZ"/>
        </w:rPr>
      </w:pPr>
      <w:r>
        <w:rPr>
          <w:rStyle w:val="Znakapoznpodarou"/>
        </w:rPr>
        <w:footnoteRef/>
      </w:r>
      <w:r>
        <w:t xml:space="preserve"> </w:t>
      </w:r>
      <w:r>
        <w:rPr>
          <w:lang w:val="cs-CZ"/>
        </w:rPr>
        <w:t>„</w:t>
      </w:r>
      <w:r>
        <w:t>Aber die analytische Einheit und Tautologie der praktischen Vernunft ist nicht nur etwas Überflüssiges, sondern in der Wendung, welche sie erhält, etwas Falsches, und sie muß als das Prinzip der Unsittlichkeit erkannt werden.</w:t>
      </w:r>
      <w:r>
        <w:rPr>
          <w:lang w:val="cs-CZ"/>
        </w:rPr>
        <w:t>“ (</w:t>
      </w:r>
      <w:r w:rsidRPr="08130BCF">
        <w:rPr>
          <w:i/>
        </w:rPr>
        <w:t>Über die wissenschaftlichen Behandlungsarten des Naturrechts, seine Stelle in der praktischen Philosophie und sein Verhältnis zu den positiven Rechtswissenschaften</w:t>
      </w:r>
      <w:r>
        <w:rPr>
          <w:lang w:val="cs-CZ"/>
        </w:rPr>
        <w:t xml:space="preserve">, kap. </w:t>
      </w:r>
      <w:r>
        <w:t>II</w:t>
      </w:r>
      <w:r>
        <w:rPr>
          <w:lang w:val="cs-CZ"/>
        </w:rPr>
        <w:t>;</w:t>
      </w:r>
      <w:r>
        <w:t xml:space="preserve"> Hegel 2, 46</w:t>
      </w:r>
      <w:r>
        <w:rPr>
          <w:lang w:val="cs-CZ"/>
        </w:rPr>
        <w:t>3).</w:t>
      </w:r>
      <w:r>
        <w:fldChar w:fldCharType="begin"/>
      </w:r>
      <w:r>
        <w:instrText xml:space="preserve"> XE "Hegel:</w:instrText>
      </w:r>
      <w:r w:rsidRPr="00EB6610">
        <w:rPr>
          <w:i/>
        </w:rPr>
        <w:instrText>Über die wissenschaftlichen Behandlungsarten des Naturrechts</w:instrText>
      </w:r>
      <w:r>
        <w:instrText xml:space="preserve"> </w:instrText>
      </w:r>
      <w:r>
        <w:rPr>
          <w:lang w:val="cs-CZ"/>
        </w:rPr>
        <w:instrText>2.</w:instrText>
      </w:r>
      <w:r>
        <w:instrText>46</w:instrText>
      </w:r>
      <w:r>
        <w:rPr>
          <w:lang w:val="cs-CZ"/>
        </w:rPr>
        <w:instrText>3</w:instrText>
      </w:r>
      <w:r>
        <w:instrText xml:space="preserve">" </w:instrText>
      </w:r>
      <w:r>
        <w:fldChar w:fldCharType="end"/>
      </w:r>
    </w:p>
  </w:footnote>
  <w:footnote w:id="588">
    <w:p w:rsidR="00971E82" w:rsidRPr="08C809CD" w:rsidRDefault="00971E82" w:rsidP="08163013">
      <w:pPr>
        <w:pStyle w:val="Textpoznpodarou"/>
      </w:pPr>
      <w:r>
        <w:rPr>
          <w:rStyle w:val="Znakapoznpodarou"/>
        </w:rPr>
        <w:footnoteRef/>
      </w:r>
      <w:r>
        <w:t xml:space="preserve"> Dílo </w:t>
      </w:r>
      <w:r w:rsidRPr="08C809CD">
        <w:rPr>
          <w:i/>
        </w:rPr>
        <w:t>Dialogus</w:t>
      </w:r>
      <w:r>
        <w:t xml:space="preserve"> citujeme podle kritické edice </w:t>
      </w:r>
      <w:r w:rsidRPr="08C809CD">
        <w:rPr>
          <w:i/>
        </w:rPr>
        <w:t xml:space="preserve">Auctores Britannici Medii Aevi </w:t>
      </w:r>
      <w:r>
        <w:t xml:space="preserve">průběžně vydávané v digitální formě: </w:t>
      </w:r>
      <w:r w:rsidRPr="08C809CD">
        <w:rPr>
          <w:i/>
        </w:rPr>
        <w:t>William of Ockham: Dialogus. Latin Text and English Translation. Edited by John Kilcullen, John Scott, George Knysh, Volker Leppin, Jan Ballweg, Karl Ubl, Semih Heinen</w:t>
      </w:r>
      <w:r w:rsidRPr="08C809CD">
        <w:t>.</w:t>
      </w:r>
      <w:r>
        <w:t xml:space="preserve"> Dělení textu sleduje ediční plán rozdělený do tří dílů (Dial. 1‒3) a dvou traktátů, které obsahuje jak druhý (2.1‒2), tak i třetí díl (3.1‒2). Pak následuje </w:t>
      </w:r>
      <w:r>
        <w:rPr>
          <w:lang w:val="cs-CZ"/>
        </w:rPr>
        <w:t xml:space="preserve">číslo knihy, </w:t>
      </w:r>
      <w:r>
        <w:t>kapitoly a paginace kritické edice pod zkratkou „ed. ABMA“.</w:t>
      </w:r>
    </w:p>
  </w:footnote>
  <w:footnote w:id="589">
    <w:p w:rsidR="00971E82" w:rsidRPr="00822DBF" w:rsidRDefault="00971E82" w:rsidP="08163013">
      <w:pPr>
        <w:pStyle w:val="Textpoznpodarou"/>
        <w:rPr>
          <w:noProof/>
          <w:lang w:val="cs-CZ"/>
        </w:rPr>
      </w:pPr>
      <w:r>
        <w:rPr>
          <w:rStyle w:val="Znakapoznpodarou"/>
        </w:rPr>
        <w:footnoteRef/>
      </w:r>
      <w:r>
        <w:t xml:space="preserve"> </w:t>
      </w:r>
      <w:r w:rsidRPr="00273106">
        <w:rPr>
          <w:noProof/>
        </w:rPr>
        <w:t>„Unde pro tota communitate mortalium dixit dominus ad primos parentes: 'Replete terram et subicite eam et dominamini piscibus maris.' Ergo communitas mortalium non debet privari iure suo super imperium absque consensu suo.“ (</w:t>
      </w:r>
      <w:r w:rsidRPr="00273106">
        <w:rPr>
          <w:i/>
          <w:noProof/>
        </w:rPr>
        <w:t>Dialogus</w:t>
      </w:r>
      <w:r w:rsidRPr="00273106">
        <w:rPr>
          <w:noProof/>
        </w:rPr>
        <w:t xml:space="preserve"> 3.2, lib. 1, cap. 31; ed. ABMA, pp. 122.66‒123.69</w:t>
      </w:r>
      <w:r>
        <w:rPr>
          <w:noProof/>
        </w:rPr>
        <w:fldChar w:fldCharType="begin"/>
      </w:r>
      <w:r>
        <w:instrText xml:space="preserve"> XE "</w:instrText>
      </w:r>
      <w:r>
        <w:rPr>
          <w:lang w:val="cs-CZ"/>
        </w:rPr>
        <w:instrText>Ockham:</w:instrText>
      </w:r>
      <w:r w:rsidRPr="00F26C48">
        <w:rPr>
          <w:i/>
          <w:noProof/>
        </w:rPr>
        <w:instrText>Dialogus</w:instrText>
      </w:r>
      <w:r>
        <w:rPr>
          <w:i/>
          <w:noProof/>
          <w:lang w:val="cs-CZ"/>
        </w:rPr>
        <w:instrText xml:space="preserve"> </w:instrText>
      </w:r>
      <w:r w:rsidRPr="004A55F9">
        <w:rPr>
          <w:noProof/>
          <w:lang w:val="cs-CZ"/>
        </w:rPr>
        <w:instrText>3.2</w:instrText>
      </w:r>
      <w:r>
        <w:rPr>
          <w:noProof/>
          <w:lang w:val="cs-CZ"/>
        </w:rPr>
        <w:instrText>.</w:instrText>
      </w:r>
      <w:r w:rsidRPr="00F26C48">
        <w:rPr>
          <w:noProof/>
        </w:rPr>
        <w:instrText>122.66‒123.69</w:instrText>
      </w:r>
      <w:r>
        <w:instrText xml:space="preserve">" </w:instrText>
      </w:r>
      <w:r>
        <w:rPr>
          <w:noProof/>
        </w:rPr>
        <w:fldChar w:fldCharType="end"/>
      </w:r>
      <w:r w:rsidRPr="00273106">
        <w:rPr>
          <w:noProof/>
        </w:rPr>
        <w:t>)</w:t>
      </w:r>
    </w:p>
  </w:footnote>
  <w:footnote w:id="590">
    <w:p w:rsidR="00971E82" w:rsidRPr="00D43B52" w:rsidRDefault="00971E82" w:rsidP="08163013">
      <w:pPr>
        <w:pStyle w:val="Textpoznpodarou"/>
        <w:rPr>
          <w:noProof/>
          <w:lang w:val="cs-CZ"/>
        </w:rPr>
      </w:pPr>
      <w:r>
        <w:rPr>
          <w:rStyle w:val="Znakapoznpodarou"/>
        </w:rPr>
        <w:footnoteRef/>
      </w:r>
      <w:r>
        <w:t xml:space="preserve"> </w:t>
      </w:r>
      <w:r w:rsidRPr="00273106">
        <w:rPr>
          <w:noProof/>
        </w:rPr>
        <w:t>„Respondetur quod potestas transferendi imperium uno modo vel alio principalissime est apud universitatem mortalium, sicut apud ipsam est principalissime potestas constituendi imperium. Quare si universitas mortalium vellet posset Romanum imperium de quacumque gente transferre in aliam.“  (</w:t>
      </w:r>
      <w:r w:rsidRPr="00273106">
        <w:rPr>
          <w:i/>
          <w:noProof/>
        </w:rPr>
        <w:t>Dialogus</w:t>
      </w:r>
      <w:r w:rsidRPr="00273106">
        <w:rPr>
          <w:noProof/>
        </w:rPr>
        <w:t xml:space="preserve"> 3.2, lib. 1, cap. 29; ed. ABMA, p. 115.28‒33</w:t>
      </w:r>
      <w:r>
        <w:rPr>
          <w:noProof/>
        </w:rPr>
        <w:fldChar w:fldCharType="begin"/>
      </w:r>
      <w:r>
        <w:instrText xml:space="preserve"> XE "</w:instrText>
      </w:r>
      <w:r>
        <w:rPr>
          <w:lang w:val="cs-CZ"/>
        </w:rPr>
        <w:instrText>Ockham:</w:instrText>
      </w:r>
      <w:r w:rsidRPr="005D5E36">
        <w:rPr>
          <w:i/>
          <w:noProof/>
        </w:rPr>
        <w:instrText>Dialogus</w:instrText>
      </w:r>
      <w:r w:rsidRPr="005D5E36">
        <w:rPr>
          <w:noProof/>
        </w:rPr>
        <w:instrText xml:space="preserve"> 3.2</w:instrText>
      </w:r>
      <w:r>
        <w:rPr>
          <w:noProof/>
          <w:lang w:val="cs-CZ"/>
        </w:rPr>
        <w:instrText>.</w:instrText>
      </w:r>
      <w:r w:rsidRPr="005D5E36">
        <w:rPr>
          <w:noProof/>
        </w:rPr>
        <w:instrText>115.28‒33</w:instrText>
      </w:r>
      <w:r>
        <w:instrText xml:space="preserve">" </w:instrText>
      </w:r>
      <w:r>
        <w:rPr>
          <w:noProof/>
        </w:rPr>
        <w:fldChar w:fldCharType="end"/>
      </w:r>
      <w:r w:rsidRPr="00273106">
        <w:rPr>
          <w:noProof/>
        </w:rPr>
        <w:t>)</w:t>
      </w:r>
    </w:p>
  </w:footnote>
  <w:footnote w:id="591">
    <w:p w:rsidR="00971E82" w:rsidRPr="08E9173E" w:rsidRDefault="00971E82" w:rsidP="08163013">
      <w:pPr>
        <w:pStyle w:val="Textpoznpodarou"/>
      </w:pPr>
      <w:r>
        <w:rPr>
          <w:rStyle w:val="Znakapoznpodarou"/>
        </w:rPr>
        <w:footnoteRef/>
      </w:r>
      <w:r>
        <w:t xml:space="preserve"> „</w:t>
      </w:r>
      <w:r>
        <w:rPr>
          <w:lang w:val="cs-CZ"/>
        </w:rPr>
        <w:t>P</w:t>
      </w:r>
      <w:r w:rsidRPr="08E9173E">
        <w:t>apa auctoritate papali sibi data a Christo non intromittit se de imperio vacante im</w:t>
      </w:r>
      <w:r>
        <w:t>perio, sed quod intromittit se ‒ si rite faciat intromittit se ‒</w:t>
      </w:r>
      <w:r w:rsidRPr="08E9173E">
        <w:t xml:space="preserve"> auctoritate Romanorum vel electorum, ad quos vel ad cunctos electores spectat principaliter supplere defectum imperii vacante imperio, qui potestatem suam transferre  possunt in papam.</w:t>
      </w:r>
      <w:r>
        <w:t>“ (</w:t>
      </w:r>
      <w:r w:rsidRPr="08CE6E79">
        <w:rPr>
          <w:i/>
        </w:rPr>
        <w:t>Dialogus</w:t>
      </w:r>
      <w:r>
        <w:t xml:space="preserve"> 3.2, lib. 1, cap. 22; ed. ABMA, p. 83.8‒13</w:t>
      </w:r>
      <w:r>
        <w:rPr>
          <w:noProof/>
        </w:rPr>
        <w:fldChar w:fldCharType="begin"/>
      </w:r>
      <w:r>
        <w:instrText xml:space="preserve"> XE "</w:instrText>
      </w:r>
      <w:r>
        <w:rPr>
          <w:lang w:val="cs-CZ"/>
        </w:rPr>
        <w:instrText>Ockham:</w:instrText>
      </w:r>
      <w:r w:rsidRPr="005D5E36">
        <w:rPr>
          <w:i/>
          <w:noProof/>
        </w:rPr>
        <w:instrText>Dialogus</w:instrText>
      </w:r>
      <w:r w:rsidRPr="005D5E36">
        <w:rPr>
          <w:noProof/>
        </w:rPr>
        <w:instrText xml:space="preserve"> 3.2</w:instrText>
      </w:r>
      <w:r>
        <w:rPr>
          <w:noProof/>
          <w:lang w:val="cs-CZ"/>
        </w:rPr>
        <w:instrText>.</w:instrText>
      </w:r>
      <w:r>
        <w:instrText xml:space="preserve">83.8‒13 " </w:instrText>
      </w:r>
      <w:r>
        <w:rPr>
          <w:noProof/>
        </w:rPr>
        <w:fldChar w:fldCharType="end"/>
      </w:r>
      <w:r>
        <w:t>)</w:t>
      </w:r>
    </w:p>
  </w:footnote>
  <w:footnote w:id="592">
    <w:p w:rsidR="00971E82" w:rsidRPr="08606665" w:rsidRDefault="00971E82" w:rsidP="08163013">
      <w:pPr>
        <w:pStyle w:val="Textpoznpodarou"/>
      </w:pPr>
      <w:r>
        <w:rPr>
          <w:rStyle w:val="Znakapoznpodarou"/>
        </w:rPr>
        <w:footnoteRef/>
      </w:r>
      <w:r>
        <w:t xml:space="preserve"> „</w:t>
      </w:r>
      <w:r w:rsidRPr="08606665">
        <w:t>Nam non poterant sibi dare omne ius quod habebat imperator Romanus nec omne ius quod habebant senatores vel prefectus urbis. Et ita iura particularia personarum vel congregacionum seu collegiorum aut communitatum particularium non poterant transferre in papam.</w:t>
      </w:r>
      <w:r>
        <w:t>“ (</w:t>
      </w:r>
      <w:r w:rsidRPr="08CE6E79">
        <w:rPr>
          <w:i/>
        </w:rPr>
        <w:t>Dialogus</w:t>
      </w:r>
      <w:r>
        <w:t xml:space="preserve"> 3.2, lib. 1, cap. 30; ed. ABMA, p. 118.18‒21</w:t>
      </w:r>
      <w:r>
        <w:fldChar w:fldCharType="begin"/>
      </w:r>
      <w:r>
        <w:instrText xml:space="preserve"> XE "</w:instrText>
      </w:r>
      <w:r>
        <w:rPr>
          <w:lang w:val="cs-CZ"/>
        </w:rPr>
        <w:instrText>Ockham:</w:instrText>
      </w:r>
      <w:r w:rsidRPr="005D5E36">
        <w:rPr>
          <w:i/>
          <w:noProof/>
        </w:rPr>
        <w:instrText>Dialogus</w:instrText>
      </w:r>
      <w:r w:rsidRPr="005D5E36">
        <w:rPr>
          <w:noProof/>
        </w:rPr>
        <w:instrText xml:space="preserve"> 3.2</w:instrText>
      </w:r>
      <w:r>
        <w:rPr>
          <w:noProof/>
          <w:lang w:val="cs-CZ"/>
        </w:rPr>
        <w:instrText>.</w:instrText>
      </w:r>
      <w:r w:rsidRPr="0039089D">
        <w:instrText>118.18‒21</w:instrText>
      </w:r>
      <w:r>
        <w:instrText xml:space="preserve">" </w:instrText>
      </w:r>
      <w:r>
        <w:fldChar w:fldCharType="end"/>
      </w:r>
      <w:r>
        <w:t>)</w:t>
      </w:r>
    </w:p>
  </w:footnote>
  <w:footnote w:id="593">
    <w:p w:rsidR="00971E82" w:rsidRPr="08187EFC" w:rsidRDefault="00971E82" w:rsidP="08163013">
      <w:pPr>
        <w:pStyle w:val="Textpoznpodarou"/>
      </w:pPr>
      <w:r>
        <w:rPr>
          <w:rStyle w:val="Znakapoznpodarou"/>
        </w:rPr>
        <w:footnoteRef/>
      </w:r>
      <w:r>
        <w:t xml:space="preserve"> „</w:t>
      </w:r>
      <w:r w:rsidRPr="08187EFC">
        <w:t xml:space="preserve">Ad quartam rationem respondetur quod papa non potest deponere imperatorem ratione papatus sicut nec ratione papatus potest deponere regem Francie. Sed sicut Zacharias papa regem Francorum auctoritate </w:t>
      </w:r>
      <w:r>
        <w:t>populi regni illius deposuit...“ (</w:t>
      </w:r>
      <w:r w:rsidRPr="08187EFC">
        <w:rPr>
          <w:i/>
        </w:rPr>
        <w:t>Dialogus</w:t>
      </w:r>
      <w:r>
        <w:t xml:space="preserve"> 1, lib. 6, cap. 10;  ed. ABMA, p. 33.63‒70</w:t>
      </w:r>
      <w:r>
        <w:fldChar w:fldCharType="begin"/>
      </w:r>
      <w:r>
        <w:instrText xml:space="preserve"> XE "</w:instrText>
      </w:r>
      <w:r>
        <w:rPr>
          <w:lang w:val="cs-CZ"/>
        </w:rPr>
        <w:instrText>Ockham:</w:instrText>
      </w:r>
      <w:r w:rsidRPr="005D5E36">
        <w:rPr>
          <w:i/>
          <w:noProof/>
        </w:rPr>
        <w:instrText>Dialogus</w:instrText>
      </w:r>
      <w:r>
        <w:rPr>
          <w:noProof/>
        </w:rPr>
        <w:instrText xml:space="preserve"> </w:instrText>
      </w:r>
      <w:r>
        <w:rPr>
          <w:noProof/>
          <w:lang w:val="cs-CZ"/>
        </w:rPr>
        <w:instrText>1</w:instrText>
      </w:r>
      <w:r w:rsidRPr="005D5E36">
        <w:rPr>
          <w:noProof/>
        </w:rPr>
        <w:instrText>.</w:instrText>
      </w:r>
      <w:r w:rsidRPr="003C633C">
        <w:instrText>33.63‒70</w:instrText>
      </w:r>
      <w:r>
        <w:instrText xml:space="preserve">" </w:instrText>
      </w:r>
      <w:r>
        <w:fldChar w:fldCharType="end"/>
      </w:r>
      <w:r>
        <w:t>)</w:t>
      </w:r>
    </w:p>
  </w:footnote>
  <w:footnote w:id="594">
    <w:p w:rsidR="00971E82" w:rsidRPr="008E1792" w:rsidRDefault="00971E82" w:rsidP="08163013">
      <w:pPr>
        <w:pStyle w:val="Textpoznpodarou"/>
        <w:rPr>
          <w:noProof/>
          <w:lang w:val="cs-CZ"/>
        </w:rPr>
      </w:pPr>
      <w:r>
        <w:rPr>
          <w:rStyle w:val="Znakapoznpodarou"/>
        </w:rPr>
        <w:footnoteRef/>
      </w:r>
      <w:r>
        <w:t xml:space="preserve"> </w:t>
      </w:r>
      <w:r w:rsidRPr="00273106">
        <w:rPr>
          <w:noProof/>
        </w:rPr>
        <w:t>„Respondetur quod exercitus non facit imperatorem nisi auctoritate populi Romani. (...) Ergo imperium non est a papa. Discipulus: Per istam racionem imperium non est a populo Romano sed ab exercitu. Magister: Respondetur quod exercitus non facit imperatorem nisi auctoritate populi Romani.“ (</w:t>
      </w:r>
      <w:r w:rsidRPr="00273106">
        <w:rPr>
          <w:i/>
          <w:noProof/>
        </w:rPr>
        <w:t>Dialogus</w:t>
      </w:r>
      <w:r w:rsidRPr="00273106">
        <w:rPr>
          <w:noProof/>
        </w:rPr>
        <w:t xml:space="preserve"> 3.2, lib. 1, cap. 28; ed. ABMA, p. 112.10‒15</w:t>
      </w:r>
      <w:r>
        <w:rPr>
          <w:noProof/>
        </w:rPr>
        <w:fldChar w:fldCharType="begin"/>
      </w:r>
      <w:r>
        <w:instrText xml:space="preserve"> XE "</w:instrText>
      </w:r>
      <w:r>
        <w:rPr>
          <w:lang w:val="cs-CZ"/>
        </w:rPr>
        <w:instrText>Ockham:</w:instrText>
      </w:r>
      <w:r w:rsidRPr="005D5E36">
        <w:rPr>
          <w:i/>
          <w:noProof/>
        </w:rPr>
        <w:instrText>Dialogus</w:instrText>
      </w:r>
      <w:r w:rsidRPr="005D5E36">
        <w:rPr>
          <w:noProof/>
        </w:rPr>
        <w:instrText xml:space="preserve"> 3.2</w:instrText>
      </w:r>
      <w:r>
        <w:rPr>
          <w:noProof/>
          <w:lang w:val="cs-CZ"/>
        </w:rPr>
        <w:instrText>.</w:instrText>
      </w:r>
      <w:r w:rsidRPr="006339E3">
        <w:rPr>
          <w:noProof/>
        </w:rPr>
        <w:instrText>112.10‒15</w:instrText>
      </w:r>
      <w:r>
        <w:instrText xml:space="preserve">" </w:instrText>
      </w:r>
      <w:r>
        <w:rPr>
          <w:noProof/>
        </w:rPr>
        <w:fldChar w:fldCharType="end"/>
      </w:r>
      <w:r w:rsidRPr="00273106">
        <w:rPr>
          <w:noProof/>
        </w:rPr>
        <w:t>)</w:t>
      </w:r>
    </w:p>
  </w:footnote>
  <w:footnote w:id="595">
    <w:p w:rsidR="00971E82" w:rsidRPr="08671FCA" w:rsidRDefault="00971E82" w:rsidP="08163013">
      <w:pPr>
        <w:pStyle w:val="Textpoznpodarou"/>
      </w:pPr>
      <w:r>
        <w:rPr>
          <w:rStyle w:val="Znakapoznpodarou"/>
        </w:rPr>
        <w:footnoteRef/>
      </w:r>
      <w:r>
        <w:t xml:space="preserve"> „</w:t>
      </w:r>
      <w:r w:rsidRPr="08671FCA">
        <w:t>Sed electus in imperatorem seu regem Romanorum non est pro regno Romano subiectus pape cum pro regno Romano non sit vasallus pape. Ergo administrare debet licet non presentaverit eleccionem suam pape.</w:t>
      </w:r>
      <w:r>
        <w:t>“ (</w:t>
      </w:r>
      <w:r w:rsidRPr="08CE6E79">
        <w:rPr>
          <w:i/>
        </w:rPr>
        <w:t>Dialogus</w:t>
      </w:r>
      <w:r>
        <w:t xml:space="preserve"> 3.2, lib. 2, cap. 29; ed. ABMA, p. 200.36‒40</w:t>
      </w:r>
      <w:r>
        <w:fldChar w:fldCharType="begin"/>
      </w:r>
      <w:r>
        <w:instrText xml:space="preserve"> XE "</w:instrText>
      </w:r>
      <w:r>
        <w:rPr>
          <w:lang w:val="cs-CZ"/>
        </w:rPr>
        <w:instrText>Ockham:</w:instrText>
      </w:r>
      <w:r w:rsidRPr="005D5E36">
        <w:rPr>
          <w:i/>
          <w:noProof/>
        </w:rPr>
        <w:instrText>Dialogus</w:instrText>
      </w:r>
      <w:r w:rsidRPr="005D5E36">
        <w:rPr>
          <w:noProof/>
        </w:rPr>
        <w:instrText xml:space="preserve"> 3.2</w:instrText>
      </w:r>
      <w:r>
        <w:rPr>
          <w:noProof/>
          <w:lang w:val="cs-CZ"/>
        </w:rPr>
        <w:instrText>.</w:instrText>
      </w:r>
      <w:r w:rsidRPr="00D0110E">
        <w:instrText>200.36‒40</w:instrText>
      </w:r>
      <w:r>
        <w:instrText xml:space="preserve">" </w:instrText>
      </w:r>
      <w:r>
        <w:fldChar w:fldCharType="end"/>
      </w:r>
      <w:r>
        <w:t>)</w:t>
      </w:r>
    </w:p>
  </w:footnote>
  <w:footnote w:id="596">
    <w:p w:rsidR="00971E82" w:rsidRPr="08FE1893" w:rsidRDefault="00971E82" w:rsidP="08163013">
      <w:pPr>
        <w:pStyle w:val="Textpoznpodarou"/>
      </w:pPr>
      <w:r>
        <w:rPr>
          <w:rStyle w:val="Znakapoznpodarou"/>
        </w:rPr>
        <w:footnoteRef/>
      </w:r>
      <w:r>
        <w:t xml:space="preserve"> „</w:t>
      </w:r>
      <w:r w:rsidRPr="0865590F">
        <w:t>Ergo nullam potestatem accepit beatur Petrus a Christo super Romanum imperium quam non accepit super Franciam et alia regna. Quare si ex potestate data beato Petro a Christo papa potest transferre Romanum imperium de gente in gentem poterit eadem potestate transferre regnum Francie de gente in gentem.</w:t>
      </w:r>
      <w:r>
        <w:t>“ (</w:t>
      </w:r>
      <w:r w:rsidRPr="08CE6E79">
        <w:rPr>
          <w:i/>
        </w:rPr>
        <w:t>Dialogus</w:t>
      </w:r>
      <w:r>
        <w:t xml:space="preserve"> 3.2, lib. 2, cap. 20; ed. ABMA, p. 75.32‒36</w:t>
      </w:r>
      <w:r>
        <w:fldChar w:fldCharType="begin"/>
      </w:r>
      <w:r>
        <w:instrText xml:space="preserve"> XE "</w:instrText>
      </w:r>
      <w:r>
        <w:rPr>
          <w:lang w:val="cs-CZ"/>
        </w:rPr>
        <w:instrText>Ockham:</w:instrText>
      </w:r>
      <w:r w:rsidRPr="005D5E36">
        <w:rPr>
          <w:i/>
          <w:noProof/>
        </w:rPr>
        <w:instrText>Dialogus</w:instrText>
      </w:r>
      <w:r w:rsidRPr="005D5E36">
        <w:rPr>
          <w:noProof/>
        </w:rPr>
        <w:instrText xml:space="preserve"> 3.2</w:instrText>
      </w:r>
      <w:r>
        <w:rPr>
          <w:noProof/>
          <w:lang w:val="cs-CZ"/>
        </w:rPr>
        <w:instrText>.</w:instrText>
      </w:r>
      <w:r w:rsidRPr="001319A7">
        <w:instrText>75.32‒36</w:instrText>
      </w:r>
      <w:r>
        <w:instrText xml:space="preserve">" </w:instrText>
      </w:r>
      <w:r>
        <w:fldChar w:fldCharType="end"/>
      </w:r>
      <w:r>
        <w:t>)</w:t>
      </w:r>
    </w:p>
  </w:footnote>
  <w:footnote w:id="597">
    <w:p w:rsidR="00971E82" w:rsidRPr="08B056CA" w:rsidRDefault="00971E82" w:rsidP="08163013">
      <w:pPr>
        <w:pStyle w:val="Textpoznpodarou"/>
      </w:pPr>
      <w:r>
        <w:rPr>
          <w:rStyle w:val="Znakapoznpodarou"/>
        </w:rPr>
        <w:footnoteRef/>
      </w:r>
      <w:r>
        <w:t xml:space="preserve"> „Romanum autem imperium acquisivit ius et dominium super alia regna per potenciam gladii. Ergo et per potenciam gladii potuit perdere idem ius et dominium.“ (</w:t>
      </w:r>
      <w:r w:rsidRPr="08CE6E79">
        <w:rPr>
          <w:i/>
        </w:rPr>
        <w:t>Dialogus</w:t>
      </w:r>
      <w:r>
        <w:t xml:space="preserve"> 3.2, lib. 2, cap. 5; ed. ABMA, p. 136.78‒82</w:t>
      </w:r>
      <w:r>
        <w:fldChar w:fldCharType="begin"/>
      </w:r>
      <w:r>
        <w:instrText xml:space="preserve"> XE "</w:instrText>
      </w:r>
      <w:r>
        <w:rPr>
          <w:lang w:val="cs-CZ"/>
        </w:rPr>
        <w:instrText>Ockham:</w:instrText>
      </w:r>
      <w:r w:rsidRPr="005D5E36">
        <w:rPr>
          <w:i/>
          <w:noProof/>
        </w:rPr>
        <w:instrText>Dialogus</w:instrText>
      </w:r>
      <w:r w:rsidRPr="005D5E36">
        <w:rPr>
          <w:noProof/>
        </w:rPr>
        <w:instrText xml:space="preserve"> 3.2</w:instrText>
      </w:r>
      <w:r>
        <w:rPr>
          <w:noProof/>
          <w:lang w:val="cs-CZ"/>
        </w:rPr>
        <w:instrText>.</w:instrText>
      </w:r>
      <w:r w:rsidRPr="00DA5637">
        <w:instrText>136.78‒82</w:instrText>
      </w:r>
      <w:r>
        <w:instrText xml:space="preserve">" </w:instrText>
      </w:r>
      <w:r>
        <w:fldChar w:fldCharType="end"/>
      </w:r>
      <w:r>
        <w:t>)</w:t>
      </w:r>
    </w:p>
  </w:footnote>
  <w:footnote w:id="598">
    <w:p w:rsidR="00971E82" w:rsidRPr="08307A24" w:rsidRDefault="00971E82" w:rsidP="08163013">
      <w:pPr>
        <w:pStyle w:val="Textpoznpodarou"/>
      </w:pPr>
      <w:r>
        <w:rPr>
          <w:rStyle w:val="Znakapoznpodarou"/>
        </w:rPr>
        <w:footnoteRef/>
      </w:r>
      <w:r>
        <w:t xml:space="preserve"> „</w:t>
      </w:r>
      <w:r w:rsidRPr="08EF19EC">
        <w:t>Christus dedit caput communitati fidelium; sed non nisi beatum Petrum. Ergo Petrus fuit constitutus a Christo caput universorum fidelium.</w:t>
      </w:r>
      <w:r>
        <w:t>“ (</w:t>
      </w:r>
      <w:r w:rsidRPr="08CE6E79">
        <w:rPr>
          <w:i/>
        </w:rPr>
        <w:t>Dialogus</w:t>
      </w:r>
      <w:r>
        <w:t xml:space="preserve"> 3.2, lib. 1, cap. 14; ed. ABMA, p. 153.14‒16</w:t>
      </w:r>
      <w:r>
        <w:fldChar w:fldCharType="begin"/>
      </w:r>
      <w:r>
        <w:instrText xml:space="preserve"> XE "</w:instrText>
      </w:r>
      <w:r>
        <w:rPr>
          <w:lang w:val="cs-CZ"/>
        </w:rPr>
        <w:instrText>Ockham:</w:instrText>
      </w:r>
      <w:r w:rsidRPr="005D5E36">
        <w:rPr>
          <w:i/>
          <w:noProof/>
        </w:rPr>
        <w:instrText>Dialogus</w:instrText>
      </w:r>
      <w:r w:rsidRPr="005D5E36">
        <w:rPr>
          <w:noProof/>
        </w:rPr>
        <w:instrText xml:space="preserve"> 3.2</w:instrText>
      </w:r>
      <w:r>
        <w:rPr>
          <w:noProof/>
          <w:lang w:val="cs-CZ"/>
        </w:rPr>
        <w:instrText>.</w:instrText>
      </w:r>
      <w:r w:rsidRPr="00BB24C6">
        <w:instrText>153.14‒16</w:instrText>
      </w:r>
      <w:r>
        <w:instrText xml:space="preserve">" </w:instrText>
      </w:r>
      <w:r>
        <w:fldChar w:fldCharType="end"/>
      </w:r>
      <w:r>
        <w:t>)</w:t>
      </w:r>
    </w:p>
  </w:footnote>
  <w:footnote w:id="599">
    <w:p w:rsidR="00971E82" w:rsidRPr="08183E72" w:rsidRDefault="00971E82" w:rsidP="08163013">
      <w:pPr>
        <w:pStyle w:val="Textpoznpodarou"/>
      </w:pPr>
      <w:r>
        <w:rPr>
          <w:rStyle w:val="Znakapoznpodarou"/>
        </w:rPr>
        <w:footnoteRef/>
      </w:r>
      <w:r>
        <w:t xml:space="preserve"> </w:t>
      </w:r>
      <w:r>
        <w:rPr>
          <w:szCs w:val="24"/>
        </w:rPr>
        <w:t>„</w:t>
      </w:r>
      <w:r w:rsidRPr="08183E72">
        <w:rPr>
          <w:szCs w:val="24"/>
        </w:rPr>
        <w:t>Christus autem omnes divitias necessarias ad iurisdictionem coactivam exercendam quo ad dominium penitus abdicavit, victu et vestitu contentus. Adiutorio etiam divitum ad eandem iurisdictionem exercendam minime utebatur. Ergo coactivam iurisdictionem in quantum homo mortalis non habuit.</w:t>
      </w:r>
      <w:r>
        <w:rPr>
          <w:szCs w:val="24"/>
        </w:rPr>
        <w:t xml:space="preserve">“ </w:t>
      </w:r>
      <w:r>
        <w:t>(</w:t>
      </w:r>
      <w:r w:rsidRPr="08187EFC">
        <w:rPr>
          <w:i/>
        </w:rPr>
        <w:t>Dialogus</w:t>
      </w:r>
      <w:r>
        <w:t xml:space="preserve"> 1, lib. 6, cap. 3;  ed. ABMA, p. 9.42‒49</w:t>
      </w:r>
      <w:r>
        <w:fldChar w:fldCharType="begin"/>
      </w:r>
      <w:r>
        <w:instrText xml:space="preserve"> XE "</w:instrText>
      </w:r>
      <w:r>
        <w:rPr>
          <w:lang w:val="cs-CZ"/>
        </w:rPr>
        <w:instrText>Ockham:</w:instrText>
      </w:r>
      <w:r w:rsidRPr="005D5E36">
        <w:rPr>
          <w:i/>
          <w:noProof/>
        </w:rPr>
        <w:instrText>Dialogus</w:instrText>
      </w:r>
      <w:r>
        <w:rPr>
          <w:noProof/>
        </w:rPr>
        <w:instrText xml:space="preserve"> </w:instrText>
      </w:r>
      <w:r>
        <w:rPr>
          <w:noProof/>
          <w:lang w:val="cs-CZ"/>
        </w:rPr>
        <w:instrText>1.</w:instrText>
      </w:r>
      <w:r w:rsidRPr="00515758">
        <w:instrText>9.42‒49</w:instrText>
      </w:r>
      <w:r>
        <w:instrText xml:space="preserve">" </w:instrText>
      </w:r>
      <w:r>
        <w:fldChar w:fldCharType="end"/>
      </w:r>
      <w:r>
        <w:t>)</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F0B01D42"/>
    <w:lvl w:ilvl="0">
      <w:start w:val="1"/>
      <w:numFmt w:val="bullet"/>
      <w:pStyle w:val="Seznamsodrkami"/>
      <w:lvlText w:val=""/>
      <w:lvlJc w:val="left"/>
      <w:pPr>
        <w:tabs>
          <w:tab w:val="num" w:pos="360"/>
        </w:tabs>
        <w:ind w:left="360" w:hanging="360"/>
      </w:pPr>
      <w:rPr>
        <w:rFonts w:ascii="Symbol" w:hAnsi="Symbol" w:hint="default"/>
      </w:rPr>
    </w:lvl>
  </w:abstractNum>
  <w:abstractNum w:abstractNumId="1">
    <w:nsid w:val="00000001"/>
    <w:multiLevelType w:val="multilevel"/>
    <w:tmpl w:val="00000001"/>
    <w:lvl w:ilvl="0">
      <w:start w:val="1"/>
      <w:numFmt w:val="none"/>
      <w:lvlText w:val=""/>
      <w:lvlJc w:val="left"/>
      <w:pPr>
        <w:tabs>
          <w:tab w:val="num" w:pos="432"/>
        </w:tabs>
      </w:pPr>
    </w:lvl>
    <w:lvl w:ilvl="1">
      <w:start w:val="1"/>
      <w:numFmt w:val="none"/>
      <w:lvlText w:val=""/>
      <w:lvlJc w:val="left"/>
      <w:pPr>
        <w:tabs>
          <w:tab w:val="num" w:pos="576"/>
        </w:tabs>
      </w:pPr>
    </w:lvl>
    <w:lvl w:ilvl="2">
      <w:start w:val="1"/>
      <w:numFmt w:val="none"/>
      <w:lvlText w:val=""/>
      <w:lvlJc w:val="left"/>
      <w:pPr>
        <w:tabs>
          <w:tab w:val="num" w:pos="720"/>
        </w:tabs>
      </w:pPr>
    </w:lvl>
    <w:lvl w:ilvl="3">
      <w:start w:val="1"/>
      <w:numFmt w:val="none"/>
      <w:lvlText w:val=""/>
      <w:lvlJc w:val="left"/>
      <w:pPr>
        <w:tabs>
          <w:tab w:val="num" w:pos="864"/>
        </w:tabs>
      </w:pPr>
    </w:lvl>
    <w:lvl w:ilvl="4">
      <w:start w:val="1"/>
      <w:numFmt w:val="none"/>
      <w:lvlText w:val=""/>
      <w:lvlJc w:val="left"/>
      <w:pPr>
        <w:tabs>
          <w:tab w:val="num" w:pos="1008"/>
        </w:tabs>
      </w:pPr>
    </w:lvl>
    <w:lvl w:ilvl="5">
      <w:start w:val="1"/>
      <w:numFmt w:val="none"/>
      <w:pStyle w:val="Nadpis6"/>
      <w:lvlText w:val=""/>
      <w:lvlJc w:val="left"/>
      <w:pPr>
        <w:tabs>
          <w:tab w:val="num" w:pos="1152"/>
        </w:tabs>
      </w:pPr>
    </w:lvl>
    <w:lvl w:ilvl="6">
      <w:start w:val="1"/>
      <w:numFmt w:val="none"/>
      <w:pStyle w:val="Nadpis7"/>
      <w:lvlText w:val=""/>
      <w:lvlJc w:val="left"/>
      <w:pPr>
        <w:tabs>
          <w:tab w:val="num" w:pos="1296"/>
        </w:tabs>
      </w:pPr>
    </w:lvl>
    <w:lvl w:ilvl="7">
      <w:start w:val="1"/>
      <w:numFmt w:val="none"/>
      <w:pStyle w:val="Nadpis8"/>
      <w:lvlText w:val=""/>
      <w:lvlJc w:val="left"/>
      <w:pPr>
        <w:tabs>
          <w:tab w:val="num" w:pos="1440"/>
        </w:tabs>
      </w:pPr>
    </w:lvl>
    <w:lvl w:ilvl="8">
      <w:start w:val="1"/>
      <w:numFmt w:val="none"/>
      <w:pStyle w:val="Nadpis9"/>
      <w:lvlText w:val=""/>
      <w:lvlJc w:val="left"/>
      <w:pPr>
        <w:tabs>
          <w:tab w:val="num" w:pos="1584"/>
        </w:tabs>
      </w:pPr>
    </w:lvl>
  </w:abstractNum>
  <w:abstractNum w:abstractNumId="2">
    <w:nsid w:val="00000002"/>
    <w:multiLevelType w:val="singleLevel"/>
    <w:tmpl w:val="00000002"/>
    <w:name w:val="WW8Num1"/>
    <w:lvl w:ilvl="0">
      <w:start w:val="1"/>
      <w:numFmt w:val="bullet"/>
      <w:lvlText w:val=""/>
      <w:lvlJc w:val="left"/>
      <w:pPr>
        <w:tabs>
          <w:tab w:val="num" w:pos="360"/>
        </w:tabs>
      </w:pPr>
      <w:rPr>
        <w:rFonts w:ascii="Symbol" w:hAnsi="Symbol"/>
      </w:rPr>
    </w:lvl>
  </w:abstractNum>
  <w:abstractNum w:abstractNumId="3">
    <w:nsid w:val="00000003"/>
    <w:multiLevelType w:val="singleLevel"/>
    <w:tmpl w:val="00000003"/>
    <w:name w:val="WW8Num2"/>
    <w:lvl w:ilvl="0">
      <w:start w:val="1"/>
      <w:numFmt w:val="bullet"/>
      <w:lvlText w:val=""/>
      <w:lvlJc w:val="left"/>
      <w:pPr>
        <w:tabs>
          <w:tab w:val="num" w:pos="720"/>
        </w:tabs>
      </w:pPr>
      <w:rPr>
        <w:rFonts w:ascii="Symbol" w:hAnsi="Symbol"/>
      </w:rPr>
    </w:lvl>
  </w:abstractNum>
  <w:abstractNum w:abstractNumId="4">
    <w:nsid w:val="00000004"/>
    <w:multiLevelType w:val="singleLevel"/>
    <w:tmpl w:val="00000004"/>
    <w:name w:val="WW8Num22"/>
    <w:lvl w:ilvl="0">
      <w:start w:val="1"/>
      <w:numFmt w:val="decimal"/>
      <w:lvlText w:val="%1."/>
      <w:lvlJc w:val="left"/>
      <w:pPr>
        <w:tabs>
          <w:tab w:val="num" w:pos="720"/>
        </w:tabs>
        <w:ind w:left="720" w:hanging="360"/>
      </w:pPr>
    </w:lvl>
  </w:abstractNum>
  <w:abstractNum w:abstractNumId="5">
    <w:nsid w:val="024132FC"/>
    <w:multiLevelType w:val="hybridMultilevel"/>
    <w:tmpl w:val="5E4AD25C"/>
    <w:lvl w:ilvl="0" w:tplc="04050001">
      <w:start w:val="1"/>
      <w:numFmt w:val="bullet"/>
      <w:lvlText w:val=""/>
      <w:lvlJc w:val="left"/>
      <w:pPr>
        <w:ind w:left="1117" w:hanging="360"/>
      </w:pPr>
      <w:rPr>
        <w:rFonts w:ascii="Symbol" w:hAnsi="Symbol" w:hint="default"/>
      </w:rPr>
    </w:lvl>
    <w:lvl w:ilvl="1" w:tplc="04050003" w:tentative="1">
      <w:start w:val="1"/>
      <w:numFmt w:val="bullet"/>
      <w:lvlText w:val="o"/>
      <w:lvlJc w:val="left"/>
      <w:pPr>
        <w:ind w:left="1837" w:hanging="360"/>
      </w:pPr>
      <w:rPr>
        <w:rFonts w:ascii="Courier New" w:hAnsi="Courier New" w:cs="Courier New" w:hint="default"/>
      </w:rPr>
    </w:lvl>
    <w:lvl w:ilvl="2" w:tplc="04050005" w:tentative="1">
      <w:start w:val="1"/>
      <w:numFmt w:val="bullet"/>
      <w:lvlText w:val=""/>
      <w:lvlJc w:val="left"/>
      <w:pPr>
        <w:ind w:left="2557" w:hanging="360"/>
      </w:pPr>
      <w:rPr>
        <w:rFonts w:ascii="Wingdings" w:hAnsi="Wingdings" w:hint="default"/>
      </w:rPr>
    </w:lvl>
    <w:lvl w:ilvl="3" w:tplc="04050001" w:tentative="1">
      <w:start w:val="1"/>
      <w:numFmt w:val="bullet"/>
      <w:lvlText w:val=""/>
      <w:lvlJc w:val="left"/>
      <w:pPr>
        <w:ind w:left="3277" w:hanging="360"/>
      </w:pPr>
      <w:rPr>
        <w:rFonts w:ascii="Symbol" w:hAnsi="Symbol" w:hint="default"/>
      </w:rPr>
    </w:lvl>
    <w:lvl w:ilvl="4" w:tplc="04050003" w:tentative="1">
      <w:start w:val="1"/>
      <w:numFmt w:val="bullet"/>
      <w:lvlText w:val="o"/>
      <w:lvlJc w:val="left"/>
      <w:pPr>
        <w:ind w:left="3997" w:hanging="360"/>
      </w:pPr>
      <w:rPr>
        <w:rFonts w:ascii="Courier New" w:hAnsi="Courier New" w:cs="Courier New" w:hint="default"/>
      </w:rPr>
    </w:lvl>
    <w:lvl w:ilvl="5" w:tplc="04050005" w:tentative="1">
      <w:start w:val="1"/>
      <w:numFmt w:val="bullet"/>
      <w:lvlText w:val=""/>
      <w:lvlJc w:val="left"/>
      <w:pPr>
        <w:ind w:left="4717" w:hanging="360"/>
      </w:pPr>
      <w:rPr>
        <w:rFonts w:ascii="Wingdings" w:hAnsi="Wingdings" w:hint="default"/>
      </w:rPr>
    </w:lvl>
    <w:lvl w:ilvl="6" w:tplc="04050001" w:tentative="1">
      <w:start w:val="1"/>
      <w:numFmt w:val="bullet"/>
      <w:lvlText w:val=""/>
      <w:lvlJc w:val="left"/>
      <w:pPr>
        <w:ind w:left="5437" w:hanging="360"/>
      </w:pPr>
      <w:rPr>
        <w:rFonts w:ascii="Symbol" w:hAnsi="Symbol" w:hint="default"/>
      </w:rPr>
    </w:lvl>
    <w:lvl w:ilvl="7" w:tplc="04050003" w:tentative="1">
      <w:start w:val="1"/>
      <w:numFmt w:val="bullet"/>
      <w:lvlText w:val="o"/>
      <w:lvlJc w:val="left"/>
      <w:pPr>
        <w:ind w:left="6157" w:hanging="360"/>
      </w:pPr>
      <w:rPr>
        <w:rFonts w:ascii="Courier New" w:hAnsi="Courier New" w:cs="Courier New" w:hint="default"/>
      </w:rPr>
    </w:lvl>
    <w:lvl w:ilvl="8" w:tplc="04050005" w:tentative="1">
      <w:start w:val="1"/>
      <w:numFmt w:val="bullet"/>
      <w:lvlText w:val=""/>
      <w:lvlJc w:val="left"/>
      <w:pPr>
        <w:ind w:left="6877" w:hanging="360"/>
      </w:pPr>
      <w:rPr>
        <w:rFonts w:ascii="Wingdings" w:hAnsi="Wingdings" w:hint="default"/>
      </w:rPr>
    </w:lvl>
  </w:abstractNum>
  <w:abstractNum w:abstractNumId="6">
    <w:nsid w:val="13211499"/>
    <w:multiLevelType w:val="hybridMultilevel"/>
    <w:tmpl w:val="CBB0C2F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nsid w:val="16B30C17"/>
    <w:multiLevelType w:val="hybridMultilevel"/>
    <w:tmpl w:val="E326B26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nsid w:val="2BE51B8D"/>
    <w:multiLevelType w:val="hybridMultilevel"/>
    <w:tmpl w:val="32D2043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nsid w:val="2F896813"/>
    <w:multiLevelType w:val="hybridMultilevel"/>
    <w:tmpl w:val="E5A0C802"/>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
    <w:nsid w:val="41800F73"/>
    <w:multiLevelType w:val="hybridMultilevel"/>
    <w:tmpl w:val="D1E6F42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nsid w:val="518D5347"/>
    <w:multiLevelType w:val="hybridMultilevel"/>
    <w:tmpl w:val="64B4BDE0"/>
    <w:lvl w:ilvl="0" w:tplc="408E15F2">
      <w:numFmt w:val="bullet"/>
      <w:lvlText w:val=""/>
      <w:lvlJc w:val="left"/>
      <w:pPr>
        <w:ind w:left="720" w:hanging="360"/>
      </w:pPr>
      <w:rPr>
        <w:rFonts w:ascii="Symbol" w:eastAsia="Calibri" w:hAnsi="Symbol" w:cs="Times New Roman" w:hint="default"/>
        <w:strike w:val="0"/>
        <w:dstrike w:val="0"/>
        <w:u w:val="none"/>
        <w:effect w:val="none"/>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2">
    <w:nsid w:val="519347D5"/>
    <w:multiLevelType w:val="hybridMultilevel"/>
    <w:tmpl w:val="E9505D7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nsid w:val="61D20FD8"/>
    <w:multiLevelType w:val="hybridMultilevel"/>
    <w:tmpl w:val="17C09F7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nsid w:val="62757050"/>
    <w:multiLevelType w:val="hybridMultilevel"/>
    <w:tmpl w:val="DFE88C3E"/>
    <w:lvl w:ilvl="0" w:tplc="04050001">
      <w:start w:val="1"/>
      <w:numFmt w:val="bullet"/>
      <w:lvlText w:val=""/>
      <w:lvlJc w:val="left"/>
      <w:pPr>
        <w:ind w:left="1117" w:hanging="360"/>
      </w:pPr>
      <w:rPr>
        <w:rFonts w:ascii="Symbol" w:hAnsi="Symbol" w:hint="default"/>
      </w:rPr>
    </w:lvl>
    <w:lvl w:ilvl="1" w:tplc="04050003" w:tentative="1">
      <w:start w:val="1"/>
      <w:numFmt w:val="bullet"/>
      <w:lvlText w:val="o"/>
      <w:lvlJc w:val="left"/>
      <w:pPr>
        <w:ind w:left="1837" w:hanging="360"/>
      </w:pPr>
      <w:rPr>
        <w:rFonts w:ascii="Courier New" w:hAnsi="Courier New" w:cs="Courier New" w:hint="default"/>
      </w:rPr>
    </w:lvl>
    <w:lvl w:ilvl="2" w:tplc="04050005" w:tentative="1">
      <w:start w:val="1"/>
      <w:numFmt w:val="bullet"/>
      <w:lvlText w:val=""/>
      <w:lvlJc w:val="left"/>
      <w:pPr>
        <w:ind w:left="2557" w:hanging="360"/>
      </w:pPr>
      <w:rPr>
        <w:rFonts w:ascii="Wingdings" w:hAnsi="Wingdings" w:hint="default"/>
      </w:rPr>
    </w:lvl>
    <w:lvl w:ilvl="3" w:tplc="04050001" w:tentative="1">
      <w:start w:val="1"/>
      <w:numFmt w:val="bullet"/>
      <w:lvlText w:val=""/>
      <w:lvlJc w:val="left"/>
      <w:pPr>
        <w:ind w:left="3277" w:hanging="360"/>
      </w:pPr>
      <w:rPr>
        <w:rFonts w:ascii="Symbol" w:hAnsi="Symbol" w:hint="default"/>
      </w:rPr>
    </w:lvl>
    <w:lvl w:ilvl="4" w:tplc="04050003" w:tentative="1">
      <w:start w:val="1"/>
      <w:numFmt w:val="bullet"/>
      <w:lvlText w:val="o"/>
      <w:lvlJc w:val="left"/>
      <w:pPr>
        <w:ind w:left="3997" w:hanging="360"/>
      </w:pPr>
      <w:rPr>
        <w:rFonts w:ascii="Courier New" w:hAnsi="Courier New" w:cs="Courier New" w:hint="default"/>
      </w:rPr>
    </w:lvl>
    <w:lvl w:ilvl="5" w:tplc="04050005" w:tentative="1">
      <w:start w:val="1"/>
      <w:numFmt w:val="bullet"/>
      <w:lvlText w:val=""/>
      <w:lvlJc w:val="left"/>
      <w:pPr>
        <w:ind w:left="4717" w:hanging="360"/>
      </w:pPr>
      <w:rPr>
        <w:rFonts w:ascii="Wingdings" w:hAnsi="Wingdings" w:hint="default"/>
      </w:rPr>
    </w:lvl>
    <w:lvl w:ilvl="6" w:tplc="04050001" w:tentative="1">
      <w:start w:val="1"/>
      <w:numFmt w:val="bullet"/>
      <w:lvlText w:val=""/>
      <w:lvlJc w:val="left"/>
      <w:pPr>
        <w:ind w:left="5437" w:hanging="360"/>
      </w:pPr>
      <w:rPr>
        <w:rFonts w:ascii="Symbol" w:hAnsi="Symbol" w:hint="default"/>
      </w:rPr>
    </w:lvl>
    <w:lvl w:ilvl="7" w:tplc="04050003" w:tentative="1">
      <w:start w:val="1"/>
      <w:numFmt w:val="bullet"/>
      <w:lvlText w:val="o"/>
      <w:lvlJc w:val="left"/>
      <w:pPr>
        <w:ind w:left="6157" w:hanging="360"/>
      </w:pPr>
      <w:rPr>
        <w:rFonts w:ascii="Courier New" w:hAnsi="Courier New" w:cs="Courier New" w:hint="default"/>
      </w:rPr>
    </w:lvl>
    <w:lvl w:ilvl="8" w:tplc="04050005" w:tentative="1">
      <w:start w:val="1"/>
      <w:numFmt w:val="bullet"/>
      <w:lvlText w:val=""/>
      <w:lvlJc w:val="left"/>
      <w:pPr>
        <w:ind w:left="6877" w:hanging="360"/>
      </w:pPr>
      <w:rPr>
        <w:rFonts w:ascii="Wingdings" w:hAnsi="Wingdings" w:hint="default"/>
      </w:rPr>
    </w:lvl>
  </w:abstractNum>
  <w:abstractNum w:abstractNumId="15">
    <w:nsid w:val="6F1A186F"/>
    <w:multiLevelType w:val="hybridMultilevel"/>
    <w:tmpl w:val="27B0F12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nsid w:val="718559D4"/>
    <w:multiLevelType w:val="hybridMultilevel"/>
    <w:tmpl w:val="E3B8AE5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nsid w:val="71FB6EB4"/>
    <w:multiLevelType w:val="hybridMultilevel"/>
    <w:tmpl w:val="6EDECAB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1"/>
  </w:num>
  <w:num w:numId="2">
    <w:abstractNumId w:val="0"/>
  </w:num>
  <w:num w:numId="3">
    <w:abstractNumId w:val="16"/>
  </w:num>
  <w:num w:numId="4">
    <w:abstractNumId w:val="6"/>
  </w:num>
  <w:num w:numId="5">
    <w:abstractNumId w:val="12"/>
  </w:num>
  <w:num w:numId="6">
    <w:abstractNumId w:val="9"/>
  </w:num>
  <w:num w:numId="7">
    <w:abstractNumId w:val="7"/>
  </w:num>
  <w:num w:numId="8">
    <w:abstractNumId w:val="13"/>
  </w:num>
  <w:num w:numId="9">
    <w:abstractNumId w:val="8"/>
  </w:num>
  <w:num w:numId="10">
    <w:abstractNumId w:val="14"/>
  </w:num>
  <w:num w:numId="11">
    <w:abstractNumId w:val="17"/>
  </w:num>
  <w:num w:numId="12">
    <w:abstractNumId w:val="15"/>
  </w:num>
  <w:num w:numId="13">
    <w:abstractNumId w:val="5"/>
  </w:num>
  <w:num w:numId="14">
    <w:abstractNumId w:val="10"/>
  </w:num>
  <w:num w:numId="15">
    <w:abstractNumId w:val="11"/>
    <w:lvlOverride w:ilvl="0"/>
    <w:lvlOverride w:ilvl="1"/>
    <w:lvlOverride w:ilvl="2"/>
    <w:lvlOverride w:ilvl="3"/>
    <w:lvlOverride w:ilvl="4"/>
    <w:lvlOverride w:ilvl="5"/>
    <w:lvlOverride w:ilvl="6"/>
    <w:lvlOverride w:ilvl="7"/>
    <w:lvlOverride w:ilvl="8"/>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60"/>
  <w:hideSpellingErrors/>
  <w:activeWritingStyle w:appName="MSWord" w:lang="de-DE" w:vendorID="64" w:dllVersion="131078" w:nlCheck="1" w:checkStyle="0"/>
  <w:activeWritingStyle w:appName="MSWord" w:lang="en-US" w:vendorID="64" w:dllVersion="131078" w:nlCheck="1" w:checkStyle="0"/>
  <w:activeWritingStyle w:appName="MSWord" w:lang="fr-FR" w:vendorID="64" w:dllVersion="131078" w:nlCheck="1" w:checkStyle="0"/>
  <w:activeWritingStyle w:appName="MSWord" w:lang="en-GB" w:vendorID="64" w:dllVersion="131078" w:nlCheck="1" w:checkStyle="0"/>
  <w:activeWritingStyle w:appName="MSWord" w:lang="de-LU" w:vendorID="64" w:dllVersion="131078" w:nlCheck="1" w:checkStyle="0"/>
  <w:proofState w:grammar="clean"/>
  <w:stylePaneFormatFilter w:val="1001" w:allStyles="1" w:customStyles="0" w:latentStyles="0" w:stylesInUse="0" w:headingStyles="0" w:numberingStyles="0" w:tableStyles="0" w:directFormattingOnRuns="0" w:directFormattingOnParagraphs="0" w:directFormattingOnNumbering="0" w:directFormattingOnTables="0" w:clearFormatting="1" w:top3HeadingStyles="0" w:visibleStyles="0" w:alternateStyleNames="0"/>
  <w:stylePaneSortMethod w:val="0000"/>
  <w:revisionView w:markup="0"/>
  <w:doNotTrackMoves/>
  <w:defaultTabStop w:val="397"/>
  <w:hyphenationZone w:val="425"/>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34817"/>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0E2050"/>
    <w:rsid w:val="00000085"/>
    <w:rsid w:val="000000B9"/>
    <w:rsid w:val="000000C6"/>
    <w:rsid w:val="000000C9"/>
    <w:rsid w:val="000000DD"/>
    <w:rsid w:val="000000F7"/>
    <w:rsid w:val="00000110"/>
    <w:rsid w:val="00000113"/>
    <w:rsid w:val="00000121"/>
    <w:rsid w:val="00000150"/>
    <w:rsid w:val="000001BC"/>
    <w:rsid w:val="000001D9"/>
    <w:rsid w:val="00000219"/>
    <w:rsid w:val="00000255"/>
    <w:rsid w:val="00000276"/>
    <w:rsid w:val="000002A1"/>
    <w:rsid w:val="00000344"/>
    <w:rsid w:val="0000037C"/>
    <w:rsid w:val="000003E0"/>
    <w:rsid w:val="000003EF"/>
    <w:rsid w:val="00000410"/>
    <w:rsid w:val="00000415"/>
    <w:rsid w:val="000004BB"/>
    <w:rsid w:val="000004C3"/>
    <w:rsid w:val="00000592"/>
    <w:rsid w:val="00000611"/>
    <w:rsid w:val="00000616"/>
    <w:rsid w:val="0000065F"/>
    <w:rsid w:val="00000669"/>
    <w:rsid w:val="00000690"/>
    <w:rsid w:val="000006DE"/>
    <w:rsid w:val="00000775"/>
    <w:rsid w:val="0000077B"/>
    <w:rsid w:val="00000783"/>
    <w:rsid w:val="0000079F"/>
    <w:rsid w:val="000007C9"/>
    <w:rsid w:val="00000843"/>
    <w:rsid w:val="000008A7"/>
    <w:rsid w:val="00000929"/>
    <w:rsid w:val="00000935"/>
    <w:rsid w:val="00000947"/>
    <w:rsid w:val="000009AE"/>
    <w:rsid w:val="000009B2"/>
    <w:rsid w:val="00000A13"/>
    <w:rsid w:val="00000A23"/>
    <w:rsid w:val="00000A4A"/>
    <w:rsid w:val="00000A7C"/>
    <w:rsid w:val="00000A80"/>
    <w:rsid w:val="00000A89"/>
    <w:rsid w:val="00000AD9"/>
    <w:rsid w:val="00000B10"/>
    <w:rsid w:val="00000B1F"/>
    <w:rsid w:val="00000B69"/>
    <w:rsid w:val="00000B9B"/>
    <w:rsid w:val="00000BAD"/>
    <w:rsid w:val="00000BDE"/>
    <w:rsid w:val="00000BEF"/>
    <w:rsid w:val="00000C35"/>
    <w:rsid w:val="00000C71"/>
    <w:rsid w:val="00000CC7"/>
    <w:rsid w:val="00000CCC"/>
    <w:rsid w:val="00000CD5"/>
    <w:rsid w:val="00000D04"/>
    <w:rsid w:val="00000D3C"/>
    <w:rsid w:val="00000D52"/>
    <w:rsid w:val="00000D68"/>
    <w:rsid w:val="00000D69"/>
    <w:rsid w:val="00000DAA"/>
    <w:rsid w:val="00000E3F"/>
    <w:rsid w:val="00000EAB"/>
    <w:rsid w:val="00000EDF"/>
    <w:rsid w:val="00000F40"/>
    <w:rsid w:val="00000FEA"/>
    <w:rsid w:val="00000FFE"/>
    <w:rsid w:val="0000104D"/>
    <w:rsid w:val="000010F3"/>
    <w:rsid w:val="00001155"/>
    <w:rsid w:val="00001191"/>
    <w:rsid w:val="000011EE"/>
    <w:rsid w:val="00001240"/>
    <w:rsid w:val="0000128C"/>
    <w:rsid w:val="000012B8"/>
    <w:rsid w:val="000012C1"/>
    <w:rsid w:val="000012D6"/>
    <w:rsid w:val="0000131A"/>
    <w:rsid w:val="00001347"/>
    <w:rsid w:val="00001363"/>
    <w:rsid w:val="000013C6"/>
    <w:rsid w:val="000013CE"/>
    <w:rsid w:val="000013EE"/>
    <w:rsid w:val="000013F5"/>
    <w:rsid w:val="0000140E"/>
    <w:rsid w:val="0000141E"/>
    <w:rsid w:val="00001467"/>
    <w:rsid w:val="000014AC"/>
    <w:rsid w:val="000014B7"/>
    <w:rsid w:val="000014BC"/>
    <w:rsid w:val="000014C7"/>
    <w:rsid w:val="0000156A"/>
    <w:rsid w:val="00001570"/>
    <w:rsid w:val="00001573"/>
    <w:rsid w:val="00001581"/>
    <w:rsid w:val="00001584"/>
    <w:rsid w:val="0000158E"/>
    <w:rsid w:val="0000158F"/>
    <w:rsid w:val="000015D6"/>
    <w:rsid w:val="000015F7"/>
    <w:rsid w:val="00001657"/>
    <w:rsid w:val="0000166D"/>
    <w:rsid w:val="000016AA"/>
    <w:rsid w:val="00001744"/>
    <w:rsid w:val="000017DE"/>
    <w:rsid w:val="00001854"/>
    <w:rsid w:val="00001863"/>
    <w:rsid w:val="00001875"/>
    <w:rsid w:val="000018B9"/>
    <w:rsid w:val="000018D7"/>
    <w:rsid w:val="000018F2"/>
    <w:rsid w:val="00001921"/>
    <w:rsid w:val="0000195F"/>
    <w:rsid w:val="0000197F"/>
    <w:rsid w:val="00001982"/>
    <w:rsid w:val="000019B0"/>
    <w:rsid w:val="000019B4"/>
    <w:rsid w:val="00001A24"/>
    <w:rsid w:val="00001A67"/>
    <w:rsid w:val="00001A97"/>
    <w:rsid w:val="00001AB2"/>
    <w:rsid w:val="00001AB9"/>
    <w:rsid w:val="00001ABE"/>
    <w:rsid w:val="00001B29"/>
    <w:rsid w:val="00001B9C"/>
    <w:rsid w:val="00001BF1"/>
    <w:rsid w:val="00001C04"/>
    <w:rsid w:val="00001C62"/>
    <w:rsid w:val="00001C71"/>
    <w:rsid w:val="00001C96"/>
    <w:rsid w:val="00001CF0"/>
    <w:rsid w:val="00001D49"/>
    <w:rsid w:val="00001D74"/>
    <w:rsid w:val="00001D87"/>
    <w:rsid w:val="00001D91"/>
    <w:rsid w:val="00001DEF"/>
    <w:rsid w:val="00001E06"/>
    <w:rsid w:val="00001E72"/>
    <w:rsid w:val="00001E75"/>
    <w:rsid w:val="00001E84"/>
    <w:rsid w:val="00001EB3"/>
    <w:rsid w:val="00001EF1"/>
    <w:rsid w:val="00001F49"/>
    <w:rsid w:val="00001F51"/>
    <w:rsid w:val="00001F7E"/>
    <w:rsid w:val="00002025"/>
    <w:rsid w:val="00002045"/>
    <w:rsid w:val="0000204B"/>
    <w:rsid w:val="00002079"/>
    <w:rsid w:val="00002082"/>
    <w:rsid w:val="000020A1"/>
    <w:rsid w:val="00002166"/>
    <w:rsid w:val="0000216E"/>
    <w:rsid w:val="00002197"/>
    <w:rsid w:val="000021A9"/>
    <w:rsid w:val="000021B1"/>
    <w:rsid w:val="000021D6"/>
    <w:rsid w:val="00002214"/>
    <w:rsid w:val="000022B5"/>
    <w:rsid w:val="000022CF"/>
    <w:rsid w:val="000022D2"/>
    <w:rsid w:val="000022E5"/>
    <w:rsid w:val="00002361"/>
    <w:rsid w:val="00002369"/>
    <w:rsid w:val="00002390"/>
    <w:rsid w:val="000023D9"/>
    <w:rsid w:val="000023DE"/>
    <w:rsid w:val="0000241E"/>
    <w:rsid w:val="00002441"/>
    <w:rsid w:val="0000247D"/>
    <w:rsid w:val="00002495"/>
    <w:rsid w:val="000024BD"/>
    <w:rsid w:val="0000252C"/>
    <w:rsid w:val="00002546"/>
    <w:rsid w:val="0000256F"/>
    <w:rsid w:val="00002576"/>
    <w:rsid w:val="00002586"/>
    <w:rsid w:val="00002592"/>
    <w:rsid w:val="000025ED"/>
    <w:rsid w:val="000025F6"/>
    <w:rsid w:val="000025FF"/>
    <w:rsid w:val="00002624"/>
    <w:rsid w:val="000026D7"/>
    <w:rsid w:val="00002731"/>
    <w:rsid w:val="00002762"/>
    <w:rsid w:val="000028B5"/>
    <w:rsid w:val="000028CB"/>
    <w:rsid w:val="000028E6"/>
    <w:rsid w:val="00002909"/>
    <w:rsid w:val="0000294A"/>
    <w:rsid w:val="00002A0A"/>
    <w:rsid w:val="00002A17"/>
    <w:rsid w:val="00002A6F"/>
    <w:rsid w:val="00002A70"/>
    <w:rsid w:val="00002AB2"/>
    <w:rsid w:val="00002AB5"/>
    <w:rsid w:val="00002AD1"/>
    <w:rsid w:val="00002ADF"/>
    <w:rsid w:val="00002B16"/>
    <w:rsid w:val="00002B1C"/>
    <w:rsid w:val="00002B8E"/>
    <w:rsid w:val="00002B9C"/>
    <w:rsid w:val="00002BD9"/>
    <w:rsid w:val="00002C33"/>
    <w:rsid w:val="00002C38"/>
    <w:rsid w:val="00002C45"/>
    <w:rsid w:val="00002C64"/>
    <w:rsid w:val="00002C84"/>
    <w:rsid w:val="00002C8A"/>
    <w:rsid w:val="00002CE5"/>
    <w:rsid w:val="00002CEE"/>
    <w:rsid w:val="00002D1D"/>
    <w:rsid w:val="00002D24"/>
    <w:rsid w:val="00002D2A"/>
    <w:rsid w:val="00002DA5"/>
    <w:rsid w:val="00002DDE"/>
    <w:rsid w:val="00002E95"/>
    <w:rsid w:val="00002EC7"/>
    <w:rsid w:val="00002F39"/>
    <w:rsid w:val="00002F57"/>
    <w:rsid w:val="00002F5E"/>
    <w:rsid w:val="00002FAF"/>
    <w:rsid w:val="00002FBA"/>
    <w:rsid w:val="00002FBD"/>
    <w:rsid w:val="00003038"/>
    <w:rsid w:val="00003065"/>
    <w:rsid w:val="000030AA"/>
    <w:rsid w:val="000030C3"/>
    <w:rsid w:val="000030D5"/>
    <w:rsid w:val="000030E7"/>
    <w:rsid w:val="00003105"/>
    <w:rsid w:val="00003173"/>
    <w:rsid w:val="00003188"/>
    <w:rsid w:val="000031BF"/>
    <w:rsid w:val="000031CF"/>
    <w:rsid w:val="000031DB"/>
    <w:rsid w:val="0000328D"/>
    <w:rsid w:val="0000329F"/>
    <w:rsid w:val="0000331C"/>
    <w:rsid w:val="0000340A"/>
    <w:rsid w:val="0000342D"/>
    <w:rsid w:val="000034AB"/>
    <w:rsid w:val="000034B7"/>
    <w:rsid w:val="000034E5"/>
    <w:rsid w:val="000034FF"/>
    <w:rsid w:val="0000351F"/>
    <w:rsid w:val="00003570"/>
    <w:rsid w:val="000035D4"/>
    <w:rsid w:val="000035E8"/>
    <w:rsid w:val="000035EA"/>
    <w:rsid w:val="00003614"/>
    <w:rsid w:val="0000362C"/>
    <w:rsid w:val="00003697"/>
    <w:rsid w:val="000036A5"/>
    <w:rsid w:val="00003700"/>
    <w:rsid w:val="0000374F"/>
    <w:rsid w:val="000037C2"/>
    <w:rsid w:val="000037D4"/>
    <w:rsid w:val="000037D6"/>
    <w:rsid w:val="000037DE"/>
    <w:rsid w:val="00003829"/>
    <w:rsid w:val="0000383E"/>
    <w:rsid w:val="00003855"/>
    <w:rsid w:val="00003861"/>
    <w:rsid w:val="00003868"/>
    <w:rsid w:val="000038D3"/>
    <w:rsid w:val="0000399C"/>
    <w:rsid w:val="000039A4"/>
    <w:rsid w:val="000039CC"/>
    <w:rsid w:val="000039D9"/>
    <w:rsid w:val="000039FB"/>
    <w:rsid w:val="000039FC"/>
    <w:rsid w:val="00003A4E"/>
    <w:rsid w:val="00003A82"/>
    <w:rsid w:val="00003AD9"/>
    <w:rsid w:val="00003AF7"/>
    <w:rsid w:val="00003B92"/>
    <w:rsid w:val="00003C54"/>
    <w:rsid w:val="00003CBB"/>
    <w:rsid w:val="00003CBD"/>
    <w:rsid w:val="00003CD9"/>
    <w:rsid w:val="00003CE3"/>
    <w:rsid w:val="00003D13"/>
    <w:rsid w:val="00003DC0"/>
    <w:rsid w:val="00003DDB"/>
    <w:rsid w:val="00003DDF"/>
    <w:rsid w:val="00003EA7"/>
    <w:rsid w:val="00003EC4"/>
    <w:rsid w:val="00003EC6"/>
    <w:rsid w:val="00003F6F"/>
    <w:rsid w:val="00003F72"/>
    <w:rsid w:val="00003FD5"/>
    <w:rsid w:val="00003FE5"/>
    <w:rsid w:val="00003FE8"/>
    <w:rsid w:val="00004089"/>
    <w:rsid w:val="000040AA"/>
    <w:rsid w:val="000040F5"/>
    <w:rsid w:val="00004100"/>
    <w:rsid w:val="00004139"/>
    <w:rsid w:val="0000418C"/>
    <w:rsid w:val="000041B0"/>
    <w:rsid w:val="000041F3"/>
    <w:rsid w:val="00004217"/>
    <w:rsid w:val="00004231"/>
    <w:rsid w:val="00004292"/>
    <w:rsid w:val="00004294"/>
    <w:rsid w:val="000042A9"/>
    <w:rsid w:val="000042B2"/>
    <w:rsid w:val="00004312"/>
    <w:rsid w:val="00004315"/>
    <w:rsid w:val="00004370"/>
    <w:rsid w:val="000043B0"/>
    <w:rsid w:val="000043CD"/>
    <w:rsid w:val="000043F3"/>
    <w:rsid w:val="00004420"/>
    <w:rsid w:val="000044EB"/>
    <w:rsid w:val="00004540"/>
    <w:rsid w:val="00004565"/>
    <w:rsid w:val="0000458E"/>
    <w:rsid w:val="000045D1"/>
    <w:rsid w:val="000045EA"/>
    <w:rsid w:val="000045ED"/>
    <w:rsid w:val="000045F2"/>
    <w:rsid w:val="0000463B"/>
    <w:rsid w:val="0000463C"/>
    <w:rsid w:val="0000468A"/>
    <w:rsid w:val="000046BA"/>
    <w:rsid w:val="000046CC"/>
    <w:rsid w:val="000046F8"/>
    <w:rsid w:val="00004772"/>
    <w:rsid w:val="000047BF"/>
    <w:rsid w:val="000047EC"/>
    <w:rsid w:val="000047F5"/>
    <w:rsid w:val="00004820"/>
    <w:rsid w:val="000048BD"/>
    <w:rsid w:val="000048D8"/>
    <w:rsid w:val="000048DB"/>
    <w:rsid w:val="000048EC"/>
    <w:rsid w:val="00004915"/>
    <w:rsid w:val="0000496C"/>
    <w:rsid w:val="00004973"/>
    <w:rsid w:val="000049C9"/>
    <w:rsid w:val="000049DC"/>
    <w:rsid w:val="000049E8"/>
    <w:rsid w:val="00004A5A"/>
    <w:rsid w:val="00004A71"/>
    <w:rsid w:val="00004A9D"/>
    <w:rsid w:val="00004A9F"/>
    <w:rsid w:val="00004AAE"/>
    <w:rsid w:val="00004AB8"/>
    <w:rsid w:val="00004ABD"/>
    <w:rsid w:val="00004AE6"/>
    <w:rsid w:val="00004AEC"/>
    <w:rsid w:val="00004B07"/>
    <w:rsid w:val="00004B2E"/>
    <w:rsid w:val="00004B69"/>
    <w:rsid w:val="00004BC2"/>
    <w:rsid w:val="00004C49"/>
    <w:rsid w:val="00004CB6"/>
    <w:rsid w:val="00004D13"/>
    <w:rsid w:val="00004D98"/>
    <w:rsid w:val="00004DA9"/>
    <w:rsid w:val="00004DE7"/>
    <w:rsid w:val="00004DEE"/>
    <w:rsid w:val="00004DF8"/>
    <w:rsid w:val="00004E30"/>
    <w:rsid w:val="00004E4E"/>
    <w:rsid w:val="00004E67"/>
    <w:rsid w:val="00004EA0"/>
    <w:rsid w:val="00004F25"/>
    <w:rsid w:val="00004F35"/>
    <w:rsid w:val="00004F42"/>
    <w:rsid w:val="00004F4A"/>
    <w:rsid w:val="00004F81"/>
    <w:rsid w:val="00004FBE"/>
    <w:rsid w:val="00004FDB"/>
    <w:rsid w:val="00004FF2"/>
    <w:rsid w:val="00004FF6"/>
    <w:rsid w:val="00005083"/>
    <w:rsid w:val="00005209"/>
    <w:rsid w:val="0000527C"/>
    <w:rsid w:val="0000527D"/>
    <w:rsid w:val="000052C6"/>
    <w:rsid w:val="00005317"/>
    <w:rsid w:val="000053D2"/>
    <w:rsid w:val="000053EA"/>
    <w:rsid w:val="00005455"/>
    <w:rsid w:val="000054B1"/>
    <w:rsid w:val="000054B5"/>
    <w:rsid w:val="000054D0"/>
    <w:rsid w:val="0000553B"/>
    <w:rsid w:val="0000555E"/>
    <w:rsid w:val="00005565"/>
    <w:rsid w:val="00005580"/>
    <w:rsid w:val="00005591"/>
    <w:rsid w:val="0000559A"/>
    <w:rsid w:val="000055E2"/>
    <w:rsid w:val="00005638"/>
    <w:rsid w:val="00005639"/>
    <w:rsid w:val="0000565D"/>
    <w:rsid w:val="000056C3"/>
    <w:rsid w:val="000056D1"/>
    <w:rsid w:val="00005708"/>
    <w:rsid w:val="00005729"/>
    <w:rsid w:val="00005751"/>
    <w:rsid w:val="00005755"/>
    <w:rsid w:val="0000576E"/>
    <w:rsid w:val="0000578A"/>
    <w:rsid w:val="000057ED"/>
    <w:rsid w:val="00005819"/>
    <w:rsid w:val="00005828"/>
    <w:rsid w:val="000058CB"/>
    <w:rsid w:val="00005937"/>
    <w:rsid w:val="0000594E"/>
    <w:rsid w:val="0000594F"/>
    <w:rsid w:val="00005972"/>
    <w:rsid w:val="0000598E"/>
    <w:rsid w:val="000059B1"/>
    <w:rsid w:val="000059D3"/>
    <w:rsid w:val="000059E1"/>
    <w:rsid w:val="00005A31"/>
    <w:rsid w:val="00005A3D"/>
    <w:rsid w:val="00005A8E"/>
    <w:rsid w:val="00005AB2"/>
    <w:rsid w:val="00005AB9"/>
    <w:rsid w:val="00005AEA"/>
    <w:rsid w:val="00005B1E"/>
    <w:rsid w:val="00005B28"/>
    <w:rsid w:val="00005B37"/>
    <w:rsid w:val="00005B6C"/>
    <w:rsid w:val="00005B75"/>
    <w:rsid w:val="00005B8E"/>
    <w:rsid w:val="00005BA3"/>
    <w:rsid w:val="00005BDD"/>
    <w:rsid w:val="00005C57"/>
    <w:rsid w:val="00005C81"/>
    <w:rsid w:val="00005CB0"/>
    <w:rsid w:val="00005CC8"/>
    <w:rsid w:val="00005D0D"/>
    <w:rsid w:val="00005D15"/>
    <w:rsid w:val="00005D2D"/>
    <w:rsid w:val="00005D30"/>
    <w:rsid w:val="00005E01"/>
    <w:rsid w:val="00005E52"/>
    <w:rsid w:val="00005E66"/>
    <w:rsid w:val="00005E73"/>
    <w:rsid w:val="00005EB6"/>
    <w:rsid w:val="00005F23"/>
    <w:rsid w:val="00005F78"/>
    <w:rsid w:val="00005FAD"/>
    <w:rsid w:val="00005FD6"/>
    <w:rsid w:val="00005FE1"/>
    <w:rsid w:val="00006056"/>
    <w:rsid w:val="00006058"/>
    <w:rsid w:val="0000605D"/>
    <w:rsid w:val="0000609B"/>
    <w:rsid w:val="00006152"/>
    <w:rsid w:val="00006153"/>
    <w:rsid w:val="00006174"/>
    <w:rsid w:val="000061EA"/>
    <w:rsid w:val="00006236"/>
    <w:rsid w:val="000062C9"/>
    <w:rsid w:val="00006322"/>
    <w:rsid w:val="00006358"/>
    <w:rsid w:val="00006373"/>
    <w:rsid w:val="00006406"/>
    <w:rsid w:val="00006486"/>
    <w:rsid w:val="000064D6"/>
    <w:rsid w:val="000064F6"/>
    <w:rsid w:val="000064FB"/>
    <w:rsid w:val="0000657D"/>
    <w:rsid w:val="00006582"/>
    <w:rsid w:val="000065A2"/>
    <w:rsid w:val="00006643"/>
    <w:rsid w:val="00006652"/>
    <w:rsid w:val="00006668"/>
    <w:rsid w:val="00006674"/>
    <w:rsid w:val="000066B2"/>
    <w:rsid w:val="000066C8"/>
    <w:rsid w:val="000066F1"/>
    <w:rsid w:val="0000672F"/>
    <w:rsid w:val="00006730"/>
    <w:rsid w:val="00006776"/>
    <w:rsid w:val="0000677F"/>
    <w:rsid w:val="000067C9"/>
    <w:rsid w:val="000067E9"/>
    <w:rsid w:val="000067FA"/>
    <w:rsid w:val="00006808"/>
    <w:rsid w:val="00006832"/>
    <w:rsid w:val="0000683C"/>
    <w:rsid w:val="0000685B"/>
    <w:rsid w:val="0000685F"/>
    <w:rsid w:val="000068E0"/>
    <w:rsid w:val="000068F0"/>
    <w:rsid w:val="0000691F"/>
    <w:rsid w:val="0000698A"/>
    <w:rsid w:val="000069BD"/>
    <w:rsid w:val="000069C1"/>
    <w:rsid w:val="000069EF"/>
    <w:rsid w:val="00006A24"/>
    <w:rsid w:val="00006A3C"/>
    <w:rsid w:val="00006A5C"/>
    <w:rsid w:val="00006A7C"/>
    <w:rsid w:val="00006AC7"/>
    <w:rsid w:val="00006AD8"/>
    <w:rsid w:val="00006AE2"/>
    <w:rsid w:val="00006B0B"/>
    <w:rsid w:val="00006B3A"/>
    <w:rsid w:val="00006B3C"/>
    <w:rsid w:val="00006BDF"/>
    <w:rsid w:val="00006BF6"/>
    <w:rsid w:val="00006C00"/>
    <w:rsid w:val="00006C59"/>
    <w:rsid w:val="00006C5E"/>
    <w:rsid w:val="00006C61"/>
    <w:rsid w:val="00006C71"/>
    <w:rsid w:val="00006C98"/>
    <w:rsid w:val="00006CBB"/>
    <w:rsid w:val="00006CD1"/>
    <w:rsid w:val="00006D67"/>
    <w:rsid w:val="00006D76"/>
    <w:rsid w:val="00006DA5"/>
    <w:rsid w:val="00006DAF"/>
    <w:rsid w:val="00006DB6"/>
    <w:rsid w:val="00006DD8"/>
    <w:rsid w:val="00006E10"/>
    <w:rsid w:val="00006E2D"/>
    <w:rsid w:val="00006E89"/>
    <w:rsid w:val="00006EC2"/>
    <w:rsid w:val="00006EEB"/>
    <w:rsid w:val="00006EED"/>
    <w:rsid w:val="00006F3A"/>
    <w:rsid w:val="00006F5B"/>
    <w:rsid w:val="00006F7D"/>
    <w:rsid w:val="00006FB5"/>
    <w:rsid w:val="00007003"/>
    <w:rsid w:val="00007018"/>
    <w:rsid w:val="00007045"/>
    <w:rsid w:val="00007058"/>
    <w:rsid w:val="0000707B"/>
    <w:rsid w:val="000070BE"/>
    <w:rsid w:val="000070D8"/>
    <w:rsid w:val="000070ED"/>
    <w:rsid w:val="000070F1"/>
    <w:rsid w:val="0000713A"/>
    <w:rsid w:val="0000717D"/>
    <w:rsid w:val="000071A4"/>
    <w:rsid w:val="000071CB"/>
    <w:rsid w:val="000071FA"/>
    <w:rsid w:val="00007218"/>
    <w:rsid w:val="00007244"/>
    <w:rsid w:val="00007281"/>
    <w:rsid w:val="000072B9"/>
    <w:rsid w:val="000072BA"/>
    <w:rsid w:val="000072E0"/>
    <w:rsid w:val="0000730F"/>
    <w:rsid w:val="00007311"/>
    <w:rsid w:val="00007338"/>
    <w:rsid w:val="0000733E"/>
    <w:rsid w:val="0000734A"/>
    <w:rsid w:val="00007369"/>
    <w:rsid w:val="000073D4"/>
    <w:rsid w:val="000073E7"/>
    <w:rsid w:val="000073EE"/>
    <w:rsid w:val="000073FE"/>
    <w:rsid w:val="00007408"/>
    <w:rsid w:val="0000740C"/>
    <w:rsid w:val="00007410"/>
    <w:rsid w:val="0000741B"/>
    <w:rsid w:val="00007527"/>
    <w:rsid w:val="00007552"/>
    <w:rsid w:val="0000755F"/>
    <w:rsid w:val="0000758A"/>
    <w:rsid w:val="000075C5"/>
    <w:rsid w:val="000075EB"/>
    <w:rsid w:val="00007699"/>
    <w:rsid w:val="000076DD"/>
    <w:rsid w:val="000076E2"/>
    <w:rsid w:val="00007702"/>
    <w:rsid w:val="00007796"/>
    <w:rsid w:val="000077F4"/>
    <w:rsid w:val="00007859"/>
    <w:rsid w:val="00007886"/>
    <w:rsid w:val="000078A9"/>
    <w:rsid w:val="00007936"/>
    <w:rsid w:val="00007964"/>
    <w:rsid w:val="00007978"/>
    <w:rsid w:val="0000797E"/>
    <w:rsid w:val="00007989"/>
    <w:rsid w:val="000079A7"/>
    <w:rsid w:val="000079A9"/>
    <w:rsid w:val="000079B3"/>
    <w:rsid w:val="000079E6"/>
    <w:rsid w:val="00007A42"/>
    <w:rsid w:val="00007ADF"/>
    <w:rsid w:val="00007AFF"/>
    <w:rsid w:val="00007B31"/>
    <w:rsid w:val="00007B6D"/>
    <w:rsid w:val="00007BAA"/>
    <w:rsid w:val="00007BBF"/>
    <w:rsid w:val="00007BE1"/>
    <w:rsid w:val="00007C46"/>
    <w:rsid w:val="00007C85"/>
    <w:rsid w:val="00007CE1"/>
    <w:rsid w:val="00007D29"/>
    <w:rsid w:val="00007D38"/>
    <w:rsid w:val="00007D93"/>
    <w:rsid w:val="00007D95"/>
    <w:rsid w:val="00007DAE"/>
    <w:rsid w:val="00007DC5"/>
    <w:rsid w:val="00007DC7"/>
    <w:rsid w:val="00007DE6"/>
    <w:rsid w:val="00007DF9"/>
    <w:rsid w:val="00007E27"/>
    <w:rsid w:val="00007E93"/>
    <w:rsid w:val="00007EA9"/>
    <w:rsid w:val="00007F25"/>
    <w:rsid w:val="00007FCF"/>
    <w:rsid w:val="00007FD2"/>
    <w:rsid w:val="0001003B"/>
    <w:rsid w:val="00010098"/>
    <w:rsid w:val="000100ED"/>
    <w:rsid w:val="000100F7"/>
    <w:rsid w:val="0001018B"/>
    <w:rsid w:val="000101E4"/>
    <w:rsid w:val="0001021C"/>
    <w:rsid w:val="00010334"/>
    <w:rsid w:val="0001037A"/>
    <w:rsid w:val="0001038C"/>
    <w:rsid w:val="000103C1"/>
    <w:rsid w:val="000103E0"/>
    <w:rsid w:val="0001043E"/>
    <w:rsid w:val="0001048A"/>
    <w:rsid w:val="000104A9"/>
    <w:rsid w:val="000104CD"/>
    <w:rsid w:val="000104F1"/>
    <w:rsid w:val="00010557"/>
    <w:rsid w:val="0001055C"/>
    <w:rsid w:val="00010565"/>
    <w:rsid w:val="00010578"/>
    <w:rsid w:val="0001059D"/>
    <w:rsid w:val="000105BF"/>
    <w:rsid w:val="000105DC"/>
    <w:rsid w:val="000105EA"/>
    <w:rsid w:val="00010625"/>
    <w:rsid w:val="0001062E"/>
    <w:rsid w:val="00010783"/>
    <w:rsid w:val="000107C4"/>
    <w:rsid w:val="000107D5"/>
    <w:rsid w:val="00010825"/>
    <w:rsid w:val="00010857"/>
    <w:rsid w:val="000108FC"/>
    <w:rsid w:val="00010921"/>
    <w:rsid w:val="0001097D"/>
    <w:rsid w:val="00010985"/>
    <w:rsid w:val="00010A2D"/>
    <w:rsid w:val="00010A5B"/>
    <w:rsid w:val="00010AB6"/>
    <w:rsid w:val="00010ACD"/>
    <w:rsid w:val="00010B19"/>
    <w:rsid w:val="00010B78"/>
    <w:rsid w:val="00010BAE"/>
    <w:rsid w:val="00010BB5"/>
    <w:rsid w:val="00010BBE"/>
    <w:rsid w:val="00010BC2"/>
    <w:rsid w:val="00010BC9"/>
    <w:rsid w:val="00010BDB"/>
    <w:rsid w:val="00010BFB"/>
    <w:rsid w:val="00010C41"/>
    <w:rsid w:val="00010C42"/>
    <w:rsid w:val="00010C5B"/>
    <w:rsid w:val="00010C89"/>
    <w:rsid w:val="00010C8E"/>
    <w:rsid w:val="00010CB5"/>
    <w:rsid w:val="00010CBB"/>
    <w:rsid w:val="00010CFB"/>
    <w:rsid w:val="00010DA2"/>
    <w:rsid w:val="00010DB8"/>
    <w:rsid w:val="00010DD3"/>
    <w:rsid w:val="00010E15"/>
    <w:rsid w:val="00010E22"/>
    <w:rsid w:val="00010E23"/>
    <w:rsid w:val="00010E36"/>
    <w:rsid w:val="00010E5C"/>
    <w:rsid w:val="00010E86"/>
    <w:rsid w:val="00010E94"/>
    <w:rsid w:val="00010EA4"/>
    <w:rsid w:val="00010EF4"/>
    <w:rsid w:val="00010EFF"/>
    <w:rsid w:val="00010F41"/>
    <w:rsid w:val="00010F82"/>
    <w:rsid w:val="00010FE4"/>
    <w:rsid w:val="00011010"/>
    <w:rsid w:val="00011027"/>
    <w:rsid w:val="00011044"/>
    <w:rsid w:val="0001104F"/>
    <w:rsid w:val="00011090"/>
    <w:rsid w:val="000110A5"/>
    <w:rsid w:val="000110F0"/>
    <w:rsid w:val="000110FB"/>
    <w:rsid w:val="000111A8"/>
    <w:rsid w:val="000111D1"/>
    <w:rsid w:val="00011222"/>
    <w:rsid w:val="0001124B"/>
    <w:rsid w:val="0001124C"/>
    <w:rsid w:val="00011271"/>
    <w:rsid w:val="00011283"/>
    <w:rsid w:val="000112A5"/>
    <w:rsid w:val="000112CC"/>
    <w:rsid w:val="000112EA"/>
    <w:rsid w:val="000112F2"/>
    <w:rsid w:val="0001136D"/>
    <w:rsid w:val="000113F6"/>
    <w:rsid w:val="00011406"/>
    <w:rsid w:val="00011423"/>
    <w:rsid w:val="0001142E"/>
    <w:rsid w:val="0001143C"/>
    <w:rsid w:val="0001148F"/>
    <w:rsid w:val="00011514"/>
    <w:rsid w:val="00011532"/>
    <w:rsid w:val="0001154B"/>
    <w:rsid w:val="00011552"/>
    <w:rsid w:val="00011595"/>
    <w:rsid w:val="000115CB"/>
    <w:rsid w:val="000115E4"/>
    <w:rsid w:val="00011695"/>
    <w:rsid w:val="0001169D"/>
    <w:rsid w:val="000116B0"/>
    <w:rsid w:val="000116FA"/>
    <w:rsid w:val="00011719"/>
    <w:rsid w:val="0001172F"/>
    <w:rsid w:val="0001174A"/>
    <w:rsid w:val="00011761"/>
    <w:rsid w:val="00011770"/>
    <w:rsid w:val="000117A6"/>
    <w:rsid w:val="000117DD"/>
    <w:rsid w:val="000117ED"/>
    <w:rsid w:val="00011815"/>
    <w:rsid w:val="000118B0"/>
    <w:rsid w:val="000118E8"/>
    <w:rsid w:val="000118F7"/>
    <w:rsid w:val="0001199E"/>
    <w:rsid w:val="000119AB"/>
    <w:rsid w:val="00011A03"/>
    <w:rsid w:val="00011A4E"/>
    <w:rsid w:val="00011AAB"/>
    <w:rsid w:val="00011AAD"/>
    <w:rsid w:val="00011AC1"/>
    <w:rsid w:val="00011B29"/>
    <w:rsid w:val="00011B3C"/>
    <w:rsid w:val="00011B81"/>
    <w:rsid w:val="00011B87"/>
    <w:rsid w:val="00011BB5"/>
    <w:rsid w:val="00011BF5"/>
    <w:rsid w:val="00011C4D"/>
    <w:rsid w:val="00011CCE"/>
    <w:rsid w:val="00011D1B"/>
    <w:rsid w:val="00011D55"/>
    <w:rsid w:val="00011DD4"/>
    <w:rsid w:val="00011DEA"/>
    <w:rsid w:val="00011E0C"/>
    <w:rsid w:val="00011EDC"/>
    <w:rsid w:val="00011F0E"/>
    <w:rsid w:val="00011F24"/>
    <w:rsid w:val="00011F41"/>
    <w:rsid w:val="00012020"/>
    <w:rsid w:val="00012021"/>
    <w:rsid w:val="00012046"/>
    <w:rsid w:val="00012057"/>
    <w:rsid w:val="00012065"/>
    <w:rsid w:val="0001207B"/>
    <w:rsid w:val="000120B0"/>
    <w:rsid w:val="00012109"/>
    <w:rsid w:val="00012135"/>
    <w:rsid w:val="000121E7"/>
    <w:rsid w:val="000122BA"/>
    <w:rsid w:val="000122BF"/>
    <w:rsid w:val="000122D1"/>
    <w:rsid w:val="000122D5"/>
    <w:rsid w:val="0001234F"/>
    <w:rsid w:val="0001236C"/>
    <w:rsid w:val="0001240C"/>
    <w:rsid w:val="00012491"/>
    <w:rsid w:val="00012511"/>
    <w:rsid w:val="00012519"/>
    <w:rsid w:val="00012523"/>
    <w:rsid w:val="00012552"/>
    <w:rsid w:val="0001255E"/>
    <w:rsid w:val="000125C6"/>
    <w:rsid w:val="000125E2"/>
    <w:rsid w:val="00012618"/>
    <w:rsid w:val="0001262A"/>
    <w:rsid w:val="0001262F"/>
    <w:rsid w:val="00012631"/>
    <w:rsid w:val="00012674"/>
    <w:rsid w:val="000126B9"/>
    <w:rsid w:val="000126CA"/>
    <w:rsid w:val="00012788"/>
    <w:rsid w:val="000127A9"/>
    <w:rsid w:val="000127D0"/>
    <w:rsid w:val="00012817"/>
    <w:rsid w:val="0001285F"/>
    <w:rsid w:val="0001293E"/>
    <w:rsid w:val="000129C3"/>
    <w:rsid w:val="00012A01"/>
    <w:rsid w:val="00012A31"/>
    <w:rsid w:val="00012A5B"/>
    <w:rsid w:val="00012ABA"/>
    <w:rsid w:val="00012AC1"/>
    <w:rsid w:val="00012AD5"/>
    <w:rsid w:val="00012B45"/>
    <w:rsid w:val="00012BD9"/>
    <w:rsid w:val="00012C1B"/>
    <w:rsid w:val="00012CFF"/>
    <w:rsid w:val="00012D1A"/>
    <w:rsid w:val="00012D69"/>
    <w:rsid w:val="00012DE2"/>
    <w:rsid w:val="00012DFF"/>
    <w:rsid w:val="00012E03"/>
    <w:rsid w:val="00012EB1"/>
    <w:rsid w:val="00012EF2"/>
    <w:rsid w:val="00012F37"/>
    <w:rsid w:val="00012FA8"/>
    <w:rsid w:val="00012FAE"/>
    <w:rsid w:val="00013017"/>
    <w:rsid w:val="0001304F"/>
    <w:rsid w:val="00013058"/>
    <w:rsid w:val="0001306A"/>
    <w:rsid w:val="00013075"/>
    <w:rsid w:val="000130B7"/>
    <w:rsid w:val="000130BD"/>
    <w:rsid w:val="000130EB"/>
    <w:rsid w:val="00013107"/>
    <w:rsid w:val="00013169"/>
    <w:rsid w:val="0001316D"/>
    <w:rsid w:val="00013174"/>
    <w:rsid w:val="00013295"/>
    <w:rsid w:val="000132A0"/>
    <w:rsid w:val="000132EF"/>
    <w:rsid w:val="00013335"/>
    <w:rsid w:val="000133D5"/>
    <w:rsid w:val="000133DE"/>
    <w:rsid w:val="00013461"/>
    <w:rsid w:val="000134B0"/>
    <w:rsid w:val="0001351D"/>
    <w:rsid w:val="0001358A"/>
    <w:rsid w:val="000135ED"/>
    <w:rsid w:val="000135FB"/>
    <w:rsid w:val="00013631"/>
    <w:rsid w:val="0001365C"/>
    <w:rsid w:val="000136C0"/>
    <w:rsid w:val="000136DD"/>
    <w:rsid w:val="0001374E"/>
    <w:rsid w:val="0001378E"/>
    <w:rsid w:val="000137B5"/>
    <w:rsid w:val="000137E3"/>
    <w:rsid w:val="00013848"/>
    <w:rsid w:val="0001385F"/>
    <w:rsid w:val="0001386F"/>
    <w:rsid w:val="000138BC"/>
    <w:rsid w:val="00013997"/>
    <w:rsid w:val="000139CC"/>
    <w:rsid w:val="00013A1C"/>
    <w:rsid w:val="00013A2D"/>
    <w:rsid w:val="00013A32"/>
    <w:rsid w:val="00013A67"/>
    <w:rsid w:val="00013ABF"/>
    <w:rsid w:val="00013AF5"/>
    <w:rsid w:val="00013AF6"/>
    <w:rsid w:val="00013B17"/>
    <w:rsid w:val="00013B1B"/>
    <w:rsid w:val="00013BA6"/>
    <w:rsid w:val="00013BF4"/>
    <w:rsid w:val="00013C14"/>
    <w:rsid w:val="00013C2E"/>
    <w:rsid w:val="00013C37"/>
    <w:rsid w:val="00013CE4"/>
    <w:rsid w:val="00013D76"/>
    <w:rsid w:val="00013D7B"/>
    <w:rsid w:val="00013DAE"/>
    <w:rsid w:val="00013DC1"/>
    <w:rsid w:val="00013DF3"/>
    <w:rsid w:val="00013E11"/>
    <w:rsid w:val="00013E1A"/>
    <w:rsid w:val="00013E28"/>
    <w:rsid w:val="00013E2F"/>
    <w:rsid w:val="00013E46"/>
    <w:rsid w:val="00013E5F"/>
    <w:rsid w:val="00013EB2"/>
    <w:rsid w:val="00013ED8"/>
    <w:rsid w:val="00013EF6"/>
    <w:rsid w:val="00013F17"/>
    <w:rsid w:val="00013F23"/>
    <w:rsid w:val="00013F3A"/>
    <w:rsid w:val="00013FD3"/>
    <w:rsid w:val="00013FE1"/>
    <w:rsid w:val="0001403D"/>
    <w:rsid w:val="00014067"/>
    <w:rsid w:val="00014094"/>
    <w:rsid w:val="000140CF"/>
    <w:rsid w:val="000140E2"/>
    <w:rsid w:val="000140FB"/>
    <w:rsid w:val="0001419A"/>
    <w:rsid w:val="000141E0"/>
    <w:rsid w:val="00014205"/>
    <w:rsid w:val="00014213"/>
    <w:rsid w:val="00014221"/>
    <w:rsid w:val="0001424E"/>
    <w:rsid w:val="00014290"/>
    <w:rsid w:val="000142E6"/>
    <w:rsid w:val="000142F7"/>
    <w:rsid w:val="0001430E"/>
    <w:rsid w:val="0001433C"/>
    <w:rsid w:val="000143BA"/>
    <w:rsid w:val="000143F2"/>
    <w:rsid w:val="00014442"/>
    <w:rsid w:val="00014508"/>
    <w:rsid w:val="000145BA"/>
    <w:rsid w:val="000146B0"/>
    <w:rsid w:val="000146B5"/>
    <w:rsid w:val="000146CF"/>
    <w:rsid w:val="0001472B"/>
    <w:rsid w:val="00014754"/>
    <w:rsid w:val="00014777"/>
    <w:rsid w:val="0001479A"/>
    <w:rsid w:val="000147C9"/>
    <w:rsid w:val="0001480F"/>
    <w:rsid w:val="0001481E"/>
    <w:rsid w:val="0001482F"/>
    <w:rsid w:val="00014849"/>
    <w:rsid w:val="00014866"/>
    <w:rsid w:val="000148BD"/>
    <w:rsid w:val="00014914"/>
    <w:rsid w:val="0001495E"/>
    <w:rsid w:val="00014998"/>
    <w:rsid w:val="000149AD"/>
    <w:rsid w:val="000149B4"/>
    <w:rsid w:val="000149CB"/>
    <w:rsid w:val="000149DF"/>
    <w:rsid w:val="00014A57"/>
    <w:rsid w:val="00014A58"/>
    <w:rsid w:val="00014A6E"/>
    <w:rsid w:val="00014A9C"/>
    <w:rsid w:val="00014AA1"/>
    <w:rsid w:val="00014ABF"/>
    <w:rsid w:val="00014AF9"/>
    <w:rsid w:val="00014B09"/>
    <w:rsid w:val="00014B2A"/>
    <w:rsid w:val="00014B31"/>
    <w:rsid w:val="00014B46"/>
    <w:rsid w:val="00014B4F"/>
    <w:rsid w:val="00014B5C"/>
    <w:rsid w:val="00014B5D"/>
    <w:rsid w:val="00014B69"/>
    <w:rsid w:val="00014B76"/>
    <w:rsid w:val="00014B97"/>
    <w:rsid w:val="00014C06"/>
    <w:rsid w:val="00014C0C"/>
    <w:rsid w:val="00014C6E"/>
    <w:rsid w:val="00014C8D"/>
    <w:rsid w:val="00014CCC"/>
    <w:rsid w:val="00014D03"/>
    <w:rsid w:val="00014D20"/>
    <w:rsid w:val="00014DA9"/>
    <w:rsid w:val="00014E05"/>
    <w:rsid w:val="00014E1C"/>
    <w:rsid w:val="00014E34"/>
    <w:rsid w:val="00014E4A"/>
    <w:rsid w:val="00014E5F"/>
    <w:rsid w:val="00014ECD"/>
    <w:rsid w:val="00014ED2"/>
    <w:rsid w:val="00014F49"/>
    <w:rsid w:val="00014F52"/>
    <w:rsid w:val="00014FBF"/>
    <w:rsid w:val="00014FCD"/>
    <w:rsid w:val="00014FDE"/>
    <w:rsid w:val="00015014"/>
    <w:rsid w:val="0001502C"/>
    <w:rsid w:val="000150BC"/>
    <w:rsid w:val="00015175"/>
    <w:rsid w:val="0001517D"/>
    <w:rsid w:val="000151FD"/>
    <w:rsid w:val="0001522E"/>
    <w:rsid w:val="0001529F"/>
    <w:rsid w:val="000152CA"/>
    <w:rsid w:val="000152EE"/>
    <w:rsid w:val="00015352"/>
    <w:rsid w:val="0001535B"/>
    <w:rsid w:val="00015362"/>
    <w:rsid w:val="00015376"/>
    <w:rsid w:val="000153C1"/>
    <w:rsid w:val="00015430"/>
    <w:rsid w:val="00015459"/>
    <w:rsid w:val="00015467"/>
    <w:rsid w:val="00015490"/>
    <w:rsid w:val="000154A4"/>
    <w:rsid w:val="0001554F"/>
    <w:rsid w:val="00015564"/>
    <w:rsid w:val="00015593"/>
    <w:rsid w:val="000155B1"/>
    <w:rsid w:val="000155D0"/>
    <w:rsid w:val="000155E8"/>
    <w:rsid w:val="000155F1"/>
    <w:rsid w:val="000155F7"/>
    <w:rsid w:val="00015693"/>
    <w:rsid w:val="000156C3"/>
    <w:rsid w:val="00015735"/>
    <w:rsid w:val="0001573E"/>
    <w:rsid w:val="00015808"/>
    <w:rsid w:val="00015830"/>
    <w:rsid w:val="000158D4"/>
    <w:rsid w:val="0001590A"/>
    <w:rsid w:val="00015952"/>
    <w:rsid w:val="000159F3"/>
    <w:rsid w:val="000159FE"/>
    <w:rsid w:val="00015A71"/>
    <w:rsid w:val="00015A76"/>
    <w:rsid w:val="00015AF8"/>
    <w:rsid w:val="00015B2E"/>
    <w:rsid w:val="00015B3D"/>
    <w:rsid w:val="00015B8D"/>
    <w:rsid w:val="00015BB5"/>
    <w:rsid w:val="00015C18"/>
    <w:rsid w:val="00015C2F"/>
    <w:rsid w:val="00015C45"/>
    <w:rsid w:val="00015C64"/>
    <w:rsid w:val="00015C90"/>
    <w:rsid w:val="00015CCC"/>
    <w:rsid w:val="00015CCD"/>
    <w:rsid w:val="00015CDF"/>
    <w:rsid w:val="00015CF9"/>
    <w:rsid w:val="00015D09"/>
    <w:rsid w:val="00015D39"/>
    <w:rsid w:val="00015D74"/>
    <w:rsid w:val="00015DBC"/>
    <w:rsid w:val="00015DCD"/>
    <w:rsid w:val="00015DDC"/>
    <w:rsid w:val="00015E4A"/>
    <w:rsid w:val="00015E5B"/>
    <w:rsid w:val="00015E73"/>
    <w:rsid w:val="00015E8B"/>
    <w:rsid w:val="00015ECD"/>
    <w:rsid w:val="00015ED9"/>
    <w:rsid w:val="00015F40"/>
    <w:rsid w:val="0001601D"/>
    <w:rsid w:val="00016048"/>
    <w:rsid w:val="000160E3"/>
    <w:rsid w:val="00016108"/>
    <w:rsid w:val="0001610D"/>
    <w:rsid w:val="00016111"/>
    <w:rsid w:val="00016132"/>
    <w:rsid w:val="0001617E"/>
    <w:rsid w:val="00016184"/>
    <w:rsid w:val="000161FF"/>
    <w:rsid w:val="0001623A"/>
    <w:rsid w:val="0001628B"/>
    <w:rsid w:val="0001630B"/>
    <w:rsid w:val="0001636D"/>
    <w:rsid w:val="00016371"/>
    <w:rsid w:val="0001638B"/>
    <w:rsid w:val="00016408"/>
    <w:rsid w:val="0001645E"/>
    <w:rsid w:val="00016490"/>
    <w:rsid w:val="000164A0"/>
    <w:rsid w:val="000164BF"/>
    <w:rsid w:val="000164C4"/>
    <w:rsid w:val="000164EB"/>
    <w:rsid w:val="0001655E"/>
    <w:rsid w:val="0001657B"/>
    <w:rsid w:val="000166A6"/>
    <w:rsid w:val="000166EF"/>
    <w:rsid w:val="00016702"/>
    <w:rsid w:val="00016725"/>
    <w:rsid w:val="0001677B"/>
    <w:rsid w:val="00016781"/>
    <w:rsid w:val="00016789"/>
    <w:rsid w:val="000167A4"/>
    <w:rsid w:val="000167AC"/>
    <w:rsid w:val="000167D9"/>
    <w:rsid w:val="00016816"/>
    <w:rsid w:val="00016832"/>
    <w:rsid w:val="00016846"/>
    <w:rsid w:val="00016868"/>
    <w:rsid w:val="00016904"/>
    <w:rsid w:val="00016943"/>
    <w:rsid w:val="0001695B"/>
    <w:rsid w:val="00016A49"/>
    <w:rsid w:val="00016A4A"/>
    <w:rsid w:val="00016A68"/>
    <w:rsid w:val="00016A79"/>
    <w:rsid w:val="00016A9B"/>
    <w:rsid w:val="00016AB3"/>
    <w:rsid w:val="00016B02"/>
    <w:rsid w:val="00016B27"/>
    <w:rsid w:val="00016B46"/>
    <w:rsid w:val="00016B6E"/>
    <w:rsid w:val="00016C08"/>
    <w:rsid w:val="00016C37"/>
    <w:rsid w:val="00016CAD"/>
    <w:rsid w:val="00016CE2"/>
    <w:rsid w:val="00016D43"/>
    <w:rsid w:val="00016D7F"/>
    <w:rsid w:val="00016DAC"/>
    <w:rsid w:val="00016DE8"/>
    <w:rsid w:val="00016E0B"/>
    <w:rsid w:val="00016E39"/>
    <w:rsid w:val="00016EDD"/>
    <w:rsid w:val="00016EE8"/>
    <w:rsid w:val="00016EF5"/>
    <w:rsid w:val="00016F0A"/>
    <w:rsid w:val="00016F16"/>
    <w:rsid w:val="00016F44"/>
    <w:rsid w:val="00016F64"/>
    <w:rsid w:val="00016FFD"/>
    <w:rsid w:val="0001703E"/>
    <w:rsid w:val="0001705B"/>
    <w:rsid w:val="0001706D"/>
    <w:rsid w:val="0001708F"/>
    <w:rsid w:val="00017090"/>
    <w:rsid w:val="000170AC"/>
    <w:rsid w:val="000170CA"/>
    <w:rsid w:val="000170D2"/>
    <w:rsid w:val="0001714D"/>
    <w:rsid w:val="000171D1"/>
    <w:rsid w:val="000172AF"/>
    <w:rsid w:val="00017328"/>
    <w:rsid w:val="00017331"/>
    <w:rsid w:val="0001733C"/>
    <w:rsid w:val="00017374"/>
    <w:rsid w:val="00017386"/>
    <w:rsid w:val="000173BC"/>
    <w:rsid w:val="000173CA"/>
    <w:rsid w:val="00017407"/>
    <w:rsid w:val="00017482"/>
    <w:rsid w:val="00017483"/>
    <w:rsid w:val="000174BB"/>
    <w:rsid w:val="000174DF"/>
    <w:rsid w:val="00017510"/>
    <w:rsid w:val="00017565"/>
    <w:rsid w:val="00017575"/>
    <w:rsid w:val="00017582"/>
    <w:rsid w:val="000175D2"/>
    <w:rsid w:val="00017615"/>
    <w:rsid w:val="00017649"/>
    <w:rsid w:val="000176B5"/>
    <w:rsid w:val="000176F4"/>
    <w:rsid w:val="000176F6"/>
    <w:rsid w:val="00017740"/>
    <w:rsid w:val="00017744"/>
    <w:rsid w:val="00017752"/>
    <w:rsid w:val="0001780B"/>
    <w:rsid w:val="00017829"/>
    <w:rsid w:val="0001783C"/>
    <w:rsid w:val="0001788E"/>
    <w:rsid w:val="000178AE"/>
    <w:rsid w:val="000178DE"/>
    <w:rsid w:val="0001794C"/>
    <w:rsid w:val="00017A21"/>
    <w:rsid w:val="00017AF1"/>
    <w:rsid w:val="00017B66"/>
    <w:rsid w:val="00017B83"/>
    <w:rsid w:val="00017C43"/>
    <w:rsid w:val="00017C53"/>
    <w:rsid w:val="00017C93"/>
    <w:rsid w:val="00017D26"/>
    <w:rsid w:val="00017D28"/>
    <w:rsid w:val="00017D3D"/>
    <w:rsid w:val="00017D57"/>
    <w:rsid w:val="00017D6E"/>
    <w:rsid w:val="00017D79"/>
    <w:rsid w:val="00017D7F"/>
    <w:rsid w:val="00017DA2"/>
    <w:rsid w:val="00017E12"/>
    <w:rsid w:val="00017E72"/>
    <w:rsid w:val="00017F11"/>
    <w:rsid w:val="00017FAB"/>
    <w:rsid w:val="00017FAD"/>
    <w:rsid w:val="00017FB1"/>
    <w:rsid w:val="00017FBF"/>
    <w:rsid w:val="0002001C"/>
    <w:rsid w:val="000200CE"/>
    <w:rsid w:val="000200D5"/>
    <w:rsid w:val="00020175"/>
    <w:rsid w:val="000201BA"/>
    <w:rsid w:val="000201C4"/>
    <w:rsid w:val="00020229"/>
    <w:rsid w:val="00020240"/>
    <w:rsid w:val="00020259"/>
    <w:rsid w:val="00020266"/>
    <w:rsid w:val="0002028C"/>
    <w:rsid w:val="0002029D"/>
    <w:rsid w:val="000202BD"/>
    <w:rsid w:val="000202EA"/>
    <w:rsid w:val="000202FD"/>
    <w:rsid w:val="000202FF"/>
    <w:rsid w:val="00020312"/>
    <w:rsid w:val="00020315"/>
    <w:rsid w:val="00020343"/>
    <w:rsid w:val="0002035E"/>
    <w:rsid w:val="0002041B"/>
    <w:rsid w:val="0002044A"/>
    <w:rsid w:val="00020472"/>
    <w:rsid w:val="000204BE"/>
    <w:rsid w:val="0002051B"/>
    <w:rsid w:val="00020527"/>
    <w:rsid w:val="0002056D"/>
    <w:rsid w:val="0002057D"/>
    <w:rsid w:val="00020591"/>
    <w:rsid w:val="00020598"/>
    <w:rsid w:val="000205C2"/>
    <w:rsid w:val="000205C5"/>
    <w:rsid w:val="0002060E"/>
    <w:rsid w:val="00020675"/>
    <w:rsid w:val="00020712"/>
    <w:rsid w:val="00020748"/>
    <w:rsid w:val="00020765"/>
    <w:rsid w:val="00020768"/>
    <w:rsid w:val="0002077B"/>
    <w:rsid w:val="000207E8"/>
    <w:rsid w:val="000207E9"/>
    <w:rsid w:val="0002080B"/>
    <w:rsid w:val="00020866"/>
    <w:rsid w:val="00020899"/>
    <w:rsid w:val="00020917"/>
    <w:rsid w:val="00020934"/>
    <w:rsid w:val="00020960"/>
    <w:rsid w:val="000209B0"/>
    <w:rsid w:val="000209CA"/>
    <w:rsid w:val="000209D7"/>
    <w:rsid w:val="000209DC"/>
    <w:rsid w:val="00020A07"/>
    <w:rsid w:val="00020A0B"/>
    <w:rsid w:val="00020A0C"/>
    <w:rsid w:val="00020A3B"/>
    <w:rsid w:val="00020A62"/>
    <w:rsid w:val="00020A8E"/>
    <w:rsid w:val="00020AA1"/>
    <w:rsid w:val="00020ABC"/>
    <w:rsid w:val="00020B0F"/>
    <w:rsid w:val="00020BBB"/>
    <w:rsid w:val="00020C0E"/>
    <w:rsid w:val="00020C25"/>
    <w:rsid w:val="00020C30"/>
    <w:rsid w:val="00020C4F"/>
    <w:rsid w:val="00020C53"/>
    <w:rsid w:val="00020CAA"/>
    <w:rsid w:val="00020CAC"/>
    <w:rsid w:val="00020CB6"/>
    <w:rsid w:val="00020CD2"/>
    <w:rsid w:val="00020D3E"/>
    <w:rsid w:val="00020D5D"/>
    <w:rsid w:val="00020D89"/>
    <w:rsid w:val="00020D9D"/>
    <w:rsid w:val="00020DCF"/>
    <w:rsid w:val="00020E68"/>
    <w:rsid w:val="00020E93"/>
    <w:rsid w:val="00020EB5"/>
    <w:rsid w:val="00020ECB"/>
    <w:rsid w:val="00020F14"/>
    <w:rsid w:val="00020F1A"/>
    <w:rsid w:val="00020F36"/>
    <w:rsid w:val="00021057"/>
    <w:rsid w:val="0002109E"/>
    <w:rsid w:val="000210CB"/>
    <w:rsid w:val="000210E1"/>
    <w:rsid w:val="00021163"/>
    <w:rsid w:val="00021164"/>
    <w:rsid w:val="00021170"/>
    <w:rsid w:val="00021190"/>
    <w:rsid w:val="00021194"/>
    <w:rsid w:val="000211B3"/>
    <w:rsid w:val="000211E8"/>
    <w:rsid w:val="000211F0"/>
    <w:rsid w:val="00021275"/>
    <w:rsid w:val="000212A2"/>
    <w:rsid w:val="000212C9"/>
    <w:rsid w:val="0002133A"/>
    <w:rsid w:val="00021344"/>
    <w:rsid w:val="00021453"/>
    <w:rsid w:val="0002146C"/>
    <w:rsid w:val="000214BE"/>
    <w:rsid w:val="00021516"/>
    <w:rsid w:val="00021517"/>
    <w:rsid w:val="00021550"/>
    <w:rsid w:val="0002156E"/>
    <w:rsid w:val="00021583"/>
    <w:rsid w:val="00021593"/>
    <w:rsid w:val="000215BF"/>
    <w:rsid w:val="000215CB"/>
    <w:rsid w:val="000216C8"/>
    <w:rsid w:val="00021715"/>
    <w:rsid w:val="00021739"/>
    <w:rsid w:val="00021758"/>
    <w:rsid w:val="0002175A"/>
    <w:rsid w:val="00021778"/>
    <w:rsid w:val="00021851"/>
    <w:rsid w:val="00021898"/>
    <w:rsid w:val="000218A5"/>
    <w:rsid w:val="000218C3"/>
    <w:rsid w:val="000218DA"/>
    <w:rsid w:val="0002191A"/>
    <w:rsid w:val="0002191B"/>
    <w:rsid w:val="0002197D"/>
    <w:rsid w:val="00021988"/>
    <w:rsid w:val="000219EF"/>
    <w:rsid w:val="00021AC6"/>
    <w:rsid w:val="00021AE5"/>
    <w:rsid w:val="00021B40"/>
    <w:rsid w:val="00021B44"/>
    <w:rsid w:val="00021BD0"/>
    <w:rsid w:val="00021BF7"/>
    <w:rsid w:val="00021C01"/>
    <w:rsid w:val="00021C16"/>
    <w:rsid w:val="00021C2A"/>
    <w:rsid w:val="00021C8D"/>
    <w:rsid w:val="00021C9A"/>
    <w:rsid w:val="00021CA2"/>
    <w:rsid w:val="00021CEF"/>
    <w:rsid w:val="00021CFF"/>
    <w:rsid w:val="00021D0E"/>
    <w:rsid w:val="00021D69"/>
    <w:rsid w:val="00021D86"/>
    <w:rsid w:val="00021DFC"/>
    <w:rsid w:val="00021E30"/>
    <w:rsid w:val="00021E5C"/>
    <w:rsid w:val="00021EAD"/>
    <w:rsid w:val="00021EC0"/>
    <w:rsid w:val="00021F07"/>
    <w:rsid w:val="00021F2A"/>
    <w:rsid w:val="00021F58"/>
    <w:rsid w:val="00021F61"/>
    <w:rsid w:val="00021FBE"/>
    <w:rsid w:val="00022010"/>
    <w:rsid w:val="0002202D"/>
    <w:rsid w:val="00022040"/>
    <w:rsid w:val="00022054"/>
    <w:rsid w:val="00022071"/>
    <w:rsid w:val="000220AF"/>
    <w:rsid w:val="000220E5"/>
    <w:rsid w:val="0002212C"/>
    <w:rsid w:val="0002214B"/>
    <w:rsid w:val="000221F2"/>
    <w:rsid w:val="000221F6"/>
    <w:rsid w:val="00022203"/>
    <w:rsid w:val="0002222C"/>
    <w:rsid w:val="00022267"/>
    <w:rsid w:val="00022289"/>
    <w:rsid w:val="000222AB"/>
    <w:rsid w:val="000222DD"/>
    <w:rsid w:val="000223A9"/>
    <w:rsid w:val="000223DD"/>
    <w:rsid w:val="00022409"/>
    <w:rsid w:val="00022430"/>
    <w:rsid w:val="0002246F"/>
    <w:rsid w:val="00022514"/>
    <w:rsid w:val="00022537"/>
    <w:rsid w:val="00022565"/>
    <w:rsid w:val="00022569"/>
    <w:rsid w:val="0002259A"/>
    <w:rsid w:val="000225A7"/>
    <w:rsid w:val="000225C2"/>
    <w:rsid w:val="000225E8"/>
    <w:rsid w:val="000226AC"/>
    <w:rsid w:val="000226B6"/>
    <w:rsid w:val="000226B7"/>
    <w:rsid w:val="000226F1"/>
    <w:rsid w:val="00022709"/>
    <w:rsid w:val="00022742"/>
    <w:rsid w:val="0002274D"/>
    <w:rsid w:val="00022756"/>
    <w:rsid w:val="000227B3"/>
    <w:rsid w:val="0002281D"/>
    <w:rsid w:val="00022826"/>
    <w:rsid w:val="00022862"/>
    <w:rsid w:val="000228AF"/>
    <w:rsid w:val="000228B7"/>
    <w:rsid w:val="00022906"/>
    <w:rsid w:val="00022934"/>
    <w:rsid w:val="00022958"/>
    <w:rsid w:val="00022965"/>
    <w:rsid w:val="00022989"/>
    <w:rsid w:val="00022999"/>
    <w:rsid w:val="00022A1F"/>
    <w:rsid w:val="00022A3E"/>
    <w:rsid w:val="00022A68"/>
    <w:rsid w:val="00022A7E"/>
    <w:rsid w:val="00022B19"/>
    <w:rsid w:val="00022B1D"/>
    <w:rsid w:val="00022B6E"/>
    <w:rsid w:val="00022B9F"/>
    <w:rsid w:val="00022C36"/>
    <w:rsid w:val="00022C3C"/>
    <w:rsid w:val="00022C76"/>
    <w:rsid w:val="00022C9B"/>
    <w:rsid w:val="00022CB5"/>
    <w:rsid w:val="00022CD3"/>
    <w:rsid w:val="00022CDE"/>
    <w:rsid w:val="00022CF5"/>
    <w:rsid w:val="00022DC5"/>
    <w:rsid w:val="00022DCA"/>
    <w:rsid w:val="00022DE7"/>
    <w:rsid w:val="00022DFD"/>
    <w:rsid w:val="00022E14"/>
    <w:rsid w:val="00022E26"/>
    <w:rsid w:val="00022E91"/>
    <w:rsid w:val="00022EC0"/>
    <w:rsid w:val="00022ECA"/>
    <w:rsid w:val="00022F02"/>
    <w:rsid w:val="00022F10"/>
    <w:rsid w:val="00022F13"/>
    <w:rsid w:val="00022F20"/>
    <w:rsid w:val="00022F5E"/>
    <w:rsid w:val="00022F8C"/>
    <w:rsid w:val="00023033"/>
    <w:rsid w:val="00023050"/>
    <w:rsid w:val="0002310E"/>
    <w:rsid w:val="000231AD"/>
    <w:rsid w:val="000231E4"/>
    <w:rsid w:val="00023220"/>
    <w:rsid w:val="00023225"/>
    <w:rsid w:val="00023275"/>
    <w:rsid w:val="00023315"/>
    <w:rsid w:val="00023336"/>
    <w:rsid w:val="000233BC"/>
    <w:rsid w:val="0002348B"/>
    <w:rsid w:val="00023492"/>
    <w:rsid w:val="000234A2"/>
    <w:rsid w:val="000234E8"/>
    <w:rsid w:val="0002350E"/>
    <w:rsid w:val="00023636"/>
    <w:rsid w:val="000236DE"/>
    <w:rsid w:val="00023737"/>
    <w:rsid w:val="00023756"/>
    <w:rsid w:val="0002381B"/>
    <w:rsid w:val="00023829"/>
    <w:rsid w:val="0002386D"/>
    <w:rsid w:val="00023891"/>
    <w:rsid w:val="0002389D"/>
    <w:rsid w:val="000238C7"/>
    <w:rsid w:val="00023900"/>
    <w:rsid w:val="00023928"/>
    <w:rsid w:val="00023966"/>
    <w:rsid w:val="000239E8"/>
    <w:rsid w:val="00023A00"/>
    <w:rsid w:val="00023A09"/>
    <w:rsid w:val="00023A57"/>
    <w:rsid w:val="00023A7E"/>
    <w:rsid w:val="00023AC2"/>
    <w:rsid w:val="00023B79"/>
    <w:rsid w:val="00023BAB"/>
    <w:rsid w:val="00023BBD"/>
    <w:rsid w:val="00023BDC"/>
    <w:rsid w:val="00023BF1"/>
    <w:rsid w:val="00023C0D"/>
    <w:rsid w:val="00023C43"/>
    <w:rsid w:val="00023C4E"/>
    <w:rsid w:val="00023C51"/>
    <w:rsid w:val="00023C91"/>
    <w:rsid w:val="00023DAC"/>
    <w:rsid w:val="00023DB2"/>
    <w:rsid w:val="00023E12"/>
    <w:rsid w:val="00023E2B"/>
    <w:rsid w:val="00023E9B"/>
    <w:rsid w:val="00023EA8"/>
    <w:rsid w:val="00023ED7"/>
    <w:rsid w:val="00023F5A"/>
    <w:rsid w:val="00023F67"/>
    <w:rsid w:val="00023F80"/>
    <w:rsid w:val="00023FEA"/>
    <w:rsid w:val="00023FFB"/>
    <w:rsid w:val="00024070"/>
    <w:rsid w:val="00024087"/>
    <w:rsid w:val="000240B5"/>
    <w:rsid w:val="000240BB"/>
    <w:rsid w:val="00024100"/>
    <w:rsid w:val="0002411A"/>
    <w:rsid w:val="0002412B"/>
    <w:rsid w:val="00024155"/>
    <w:rsid w:val="00024175"/>
    <w:rsid w:val="0002417D"/>
    <w:rsid w:val="000241B0"/>
    <w:rsid w:val="000241CA"/>
    <w:rsid w:val="000241DC"/>
    <w:rsid w:val="000241F0"/>
    <w:rsid w:val="000241F8"/>
    <w:rsid w:val="000241FA"/>
    <w:rsid w:val="00024200"/>
    <w:rsid w:val="00024224"/>
    <w:rsid w:val="0002424E"/>
    <w:rsid w:val="0002425B"/>
    <w:rsid w:val="00024310"/>
    <w:rsid w:val="00024375"/>
    <w:rsid w:val="0002438E"/>
    <w:rsid w:val="000243C6"/>
    <w:rsid w:val="000243E6"/>
    <w:rsid w:val="0002444F"/>
    <w:rsid w:val="0002446E"/>
    <w:rsid w:val="000244EA"/>
    <w:rsid w:val="00024505"/>
    <w:rsid w:val="00024516"/>
    <w:rsid w:val="000245B3"/>
    <w:rsid w:val="000245DF"/>
    <w:rsid w:val="000245E6"/>
    <w:rsid w:val="000245FF"/>
    <w:rsid w:val="00024621"/>
    <w:rsid w:val="00024625"/>
    <w:rsid w:val="00024635"/>
    <w:rsid w:val="00024650"/>
    <w:rsid w:val="00024674"/>
    <w:rsid w:val="000246A1"/>
    <w:rsid w:val="000246A6"/>
    <w:rsid w:val="000246D7"/>
    <w:rsid w:val="00024749"/>
    <w:rsid w:val="000247A5"/>
    <w:rsid w:val="000247E5"/>
    <w:rsid w:val="000247F6"/>
    <w:rsid w:val="00024820"/>
    <w:rsid w:val="00024822"/>
    <w:rsid w:val="00024843"/>
    <w:rsid w:val="00024849"/>
    <w:rsid w:val="00024888"/>
    <w:rsid w:val="00024891"/>
    <w:rsid w:val="00024900"/>
    <w:rsid w:val="0002492A"/>
    <w:rsid w:val="000249BA"/>
    <w:rsid w:val="00024A12"/>
    <w:rsid w:val="00024A52"/>
    <w:rsid w:val="00024A5E"/>
    <w:rsid w:val="00024A7F"/>
    <w:rsid w:val="00024ABE"/>
    <w:rsid w:val="00024AC6"/>
    <w:rsid w:val="00024AD7"/>
    <w:rsid w:val="00024AD9"/>
    <w:rsid w:val="00024B26"/>
    <w:rsid w:val="00024B28"/>
    <w:rsid w:val="00024B31"/>
    <w:rsid w:val="00024BD5"/>
    <w:rsid w:val="00024BFB"/>
    <w:rsid w:val="00024C29"/>
    <w:rsid w:val="00024C2D"/>
    <w:rsid w:val="00024C56"/>
    <w:rsid w:val="00024C75"/>
    <w:rsid w:val="00024CB3"/>
    <w:rsid w:val="00024D53"/>
    <w:rsid w:val="00024D5A"/>
    <w:rsid w:val="00024D66"/>
    <w:rsid w:val="00024DE4"/>
    <w:rsid w:val="00024DF4"/>
    <w:rsid w:val="00024DF8"/>
    <w:rsid w:val="00024E1D"/>
    <w:rsid w:val="00024E3C"/>
    <w:rsid w:val="00024E61"/>
    <w:rsid w:val="00024EFF"/>
    <w:rsid w:val="00024F1D"/>
    <w:rsid w:val="00024F28"/>
    <w:rsid w:val="00024F9B"/>
    <w:rsid w:val="00024FFC"/>
    <w:rsid w:val="0002500A"/>
    <w:rsid w:val="0002501A"/>
    <w:rsid w:val="0002501E"/>
    <w:rsid w:val="00025043"/>
    <w:rsid w:val="00025071"/>
    <w:rsid w:val="000250A9"/>
    <w:rsid w:val="000250D1"/>
    <w:rsid w:val="000250F1"/>
    <w:rsid w:val="000250FD"/>
    <w:rsid w:val="00025184"/>
    <w:rsid w:val="00025242"/>
    <w:rsid w:val="000252FC"/>
    <w:rsid w:val="000252FF"/>
    <w:rsid w:val="0002530E"/>
    <w:rsid w:val="00025353"/>
    <w:rsid w:val="00025374"/>
    <w:rsid w:val="000253C8"/>
    <w:rsid w:val="000253F3"/>
    <w:rsid w:val="00025470"/>
    <w:rsid w:val="00025486"/>
    <w:rsid w:val="00025495"/>
    <w:rsid w:val="0002549F"/>
    <w:rsid w:val="000254C9"/>
    <w:rsid w:val="000254EC"/>
    <w:rsid w:val="00025566"/>
    <w:rsid w:val="0002559C"/>
    <w:rsid w:val="000255A0"/>
    <w:rsid w:val="000255E6"/>
    <w:rsid w:val="00025604"/>
    <w:rsid w:val="00025632"/>
    <w:rsid w:val="00025642"/>
    <w:rsid w:val="00025696"/>
    <w:rsid w:val="000256FD"/>
    <w:rsid w:val="00025729"/>
    <w:rsid w:val="0002572F"/>
    <w:rsid w:val="0002579B"/>
    <w:rsid w:val="000257FA"/>
    <w:rsid w:val="00025809"/>
    <w:rsid w:val="0002586F"/>
    <w:rsid w:val="000258C8"/>
    <w:rsid w:val="000258DE"/>
    <w:rsid w:val="000258FA"/>
    <w:rsid w:val="000259C7"/>
    <w:rsid w:val="000259E0"/>
    <w:rsid w:val="000259ED"/>
    <w:rsid w:val="000259FB"/>
    <w:rsid w:val="00025A66"/>
    <w:rsid w:val="00025AC3"/>
    <w:rsid w:val="00025AD9"/>
    <w:rsid w:val="00025B18"/>
    <w:rsid w:val="00025B26"/>
    <w:rsid w:val="00025C09"/>
    <w:rsid w:val="00025C12"/>
    <w:rsid w:val="00025C59"/>
    <w:rsid w:val="00025CC3"/>
    <w:rsid w:val="00025CDD"/>
    <w:rsid w:val="00025D2B"/>
    <w:rsid w:val="00025D33"/>
    <w:rsid w:val="00025D42"/>
    <w:rsid w:val="00025D4D"/>
    <w:rsid w:val="00025D60"/>
    <w:rsid w:val="00025E07"/>
    <w:rsid w:val="00025E35"/>
    <w:rsid w:val="00025E50"/>
    <w:rsid w:val="00025EDD"/>
    <w:rsid w:val="00025F11"/>
    <w:rsid w:val="0002600F"/>
    <w:rsid w:val="0002606B"/>
    <w:rsid w:val="00026099"/>
    <w:rsid w:val="00026122"/>
    <w:rsid w:val="00026172"/>
    <w:rsid w:val="00026193"/>
    <w:rsid w:val="000261B5"/>
    <w:rsid w:val="000261E1"/>
    <w:rsid w:val="000262AA"/>
    <w:rsid w:val="000262E6"/>
    <w:rsid w:val="00026371"/>
    <w:rsid w:val="000263D6"/>
    <w:rsid w:val="00026447"/>
    <w:rsid w:val="00026475"/>
    <w:rsid w:val="0002652D"/>
    <w:rsid w:val="0002652E"/>
    <w:rsid w:val="0002652F"/>
    <w:rsid w:val="000265A3"/>
    <w:rsid w:val="000265B7"/>
    <w:rsid w:val="000265FF"/>
    <w:rsid w:val="0002668D"/>
    <w:rsid w:val="00026691"/>
    <w:rsid w:val="000266A5"/>
    <w:rsid w:val="000266D7"/>
    <w:rsid w:val="000266E8"/>
    <w:rsid w:val="0002678B"/>
    <w:rsid w:val="00026798"/>
    <w:rsid w:val="000267B9"/>
    <w:rsid w:val="000267C7"/>
    <w:rsid w:val="0002680E"/>
    <w:rsid w:val="00026871"/>
    <w:rsid w:val="00026897"/>
    <w:rsid w:val="00026899"/>
    <w:rsid w:val="00026967"/>
    <w:rsid w:val="00026969"/>
    <w:rsid w:val="00026974"/>
    <w:rsid w:val="0002697F"/>
    <w:rsid w:val="000269AA"/>
    <w:rsid w:val="000269C9"/>
    <w:rsid w:val="000269CB"/>
    <w:rsid w:val="00026A06"/>
    <w:rsid w:val="00026A0B"/>
    <w:rsid w:val="00026A1E"/>
    <w:rsid w:val="00026A27"/>
    <w:rsid w:val="00026A56"/>
    <w:rsid w:val="00026A84"/>
    <w:rsid w:val="00026A91"/>
    <w:rsid w:val="00026B1E"/>
    <w:rsid w:val="00026BAB"/>
    <w:rsid w:val="00026C03"/>
    <w:rsid w:val="00026C13"/>
    <w:rsid w:val="00026C16"/>
    <w:rsid w:val="00026C2D"/>
    <w:rsid w:val="00026C41"/>
    <w:rsid w:val="00026C42"/>
    <w:rsid w:val="00026CE9"/>
    <w:rsid w:val="00026CF7"/>
    <w:rsid w:val="00026D3B"/>
    <w:rsid w:val="00026D3F"/>
    <w:rsid w:val="00026DBA"/>
    <w:rsid w:val="00026DCF"/>
    <w:rsid w:val="00026E13"/>
    <w:rsid w:val="00026E20"/>
    <w:rsid w:val="00026E5B"/>
    <w:rsid w:val="00026E81"/>
    <w:rsid w:val="00026EA6"/>
    <w:rsid w:val="00026ED8"/>
    <w:rsid w:val="00026ED9"/>
    <w:rsid w:val="00026FBE"/>
    <w:rsid w:val="00026FDE"/>
    <w:rsid w:val="00026FFE"/>
    <w:rsid w:val="00027006"/>
    <w:rsid w:val="00027120"/>
    <w:rsid w:val="0002712F"/>
    <w:rsid w:val="00027147"/>
    <w:rsid w:val="000271B1"/>
    <w:rsid w:val="000271C8"/>
    <w:rsid w:val="000271E8"/>
    <w:rsid w:val="000271F7"/>
    <w:rsid w:val="00027214"/>
    <w:rsid w:val="00027247"/>
    <w:rsid w:val="00027275"/>
    <w:rsid w:val="0002729F"/>
    <w:rsid w:val="000273CA"/>
    <w:rsid w:val="000273D3"/>
    <w:rsid w:val="000273D4"/>
    <w:rsid w:val="000273E2"/>
    <w:rsid w:val="00027401"/>
    <w:rsid w:val="00027425"/>
    <w:rsid w:val="00027435"/>
    <w:rsid w:val="00027438"/>
    <w:rsid w:val="00027497"/>
    <w:rsid w:val="000274B0"/>
    <w:rsid w:val="000274D6"/>
    <w:rsid w:val="00027508"/>
    <w:rsid w:val="00027533"/>
    <w:rsid w:val="00027593"/>
    <w:rsid w:val="000275BE"/>
    <w:rsid w:val="000275D8"/>
    <w:rsid w:val="000275DE"/>
    <w:rsid w:val="0002761B"/>
    <w:rsid w:val="0002761C"/>
    <w:rsid w:val="00027621"/>
    <w:rsid w:val="00027642"/>
    <w:rsid w:val="0002764E"/>
    <w:rsid w:val="000276B2"/>
    <w:rsid w:val="000276D0"/>
    <w:rsid w:val="0002774E"/>
    <w:rsid w:val="000277E6"/>
    <w:rsid w:val="00027832"/>
    <w:rsid w:val="000278AD"/>
    <w:rsid w:val="00027930"/>
    <w:rsid w:val="00027954"/>
    <w:rsid w:val="0002798F"/>
    <w:rsid w:val="000279A5"/>
    <w:rsid w:val="000279C3"/>
    <w:rsid w:val="00027A28"/>
    <w:rsid w:val="00027A5A"/>
    <w:rsid w:val="00027A62"/>
    <w:rsid w:val="00027A7D"/>
    <w:rsid w:val="00027A98"/>
    <w:rsid w:val="00027AA6"/>
    <w:rsid w:val="00027AB2"/>
    <w:rsid w:val="00027ADC"/>
    <w:rsid w:val="00027AE2"/>
    <w:rsid w:val="00027B50"/>
    <w:rsid w:val="00027B75"/>
    <w:rsid w:val="00027BBA"/>
    <w:rsid w:val="00027C16"/>
    <w:rsid w:val="00027C96"/>
    <w:rsid w:val="00027CAE"/>
    <w:rsid w:val="00027CC0"/>
    <w:rsid w:val="00027CE9"/>
    <w:rsid w:val="00027CFF"/>
    <w:rsid w:val="00027D30"/>
    <w:rsid w:val="00027D49"/>
    <w:rsid w:val="00027D51"/>
    <w:rsid w:val="00027D6F"/>
    <w:rsid w:val="00027D75"/>
    <w:rsid w:val="00027D8E"/>
    <w:rsid w:val="00027D9C"/>
    <w:rsid w:val="00027EC7"/>
    <w:rsid w:val="00027ECF"/>
    <w:rsid w:val="00027EFE"/>
    <w:rsid w:val="00027F39"/>
    <w:rsid w:val="00027F49"/>
    <w:rsid w:val="00027F54"/>
    <w:rsid w:val="00027F71"/>
    <w:rsid w:val="00027F9C"/>
    <w:rsid w:val="00027FB5"/>
    <w:rsid w:val="00030056"/>
    <w:rsid w:val="00030081"/>
    <w:rsid w:val="000300E8"/>
    <w:rsid w:val="00030110"/>
    <w:rsid w:val="00030209"/>
    <w:rsid w:val="00030254"/>
    <w:rsid w:val="00030275"/>
    <w:rsid w:val="00030288"/>
    <w:rsid w:val="000302B4"/>
    <w:rsid w:val="0003030D"/>
    <w:rsid w:val="0003031C"/>
    <w:rsid w:val="0003034B"/>
    <w:rsid w:val="0003034D"/>
    <w:rsid w:val="00030356"/>
    <w:rsid w:val="00030383"/>
    <w:rsid w:val="0003038F"/>
    <w:rsid w:val="000303A3"/>
    <w:rsid w:val="00030449"/>
    <w:rsid w:val="00030463"/>
    <w:rsid w:val="00030496"/>
    <w:rsid w:val="000304A2"/>
    <w:rsid w:val="000304CF"/>
    <w:rsid w:val="0003054F"/>
    <w:rsid w:val="00030553"/>
    <w:rsid w:val="000305A1"/>
    <w:rsid w:val="000305E5"/>
    <w:rsid w:val="00030622"/>
    <w:rsid w:val="00030671"/>
    <w:rsid w:val="000306AA"/>
    <w:rsid w:val="000306C0"/>
    <w:rsid w:val="000306C8"/>
    <w:rsid w:val="0003073D"/>
    <w:rsid w:val="00030744"/>
    <w:rsid w:val="00030770"/>
    <w:rsid w:val="00030771"/>
    <w:rsid w:val="00030783"/>
    <w:rsid w:val="00030797"/>
    <w:rsid w:val="0003079B"/>
    <w:rsid w:val="00030805"/>
    <w:rsid w:val="0003080B"/>
    <w:rsid w:val="00030857"/>
    <w:rsid w:val="00030876"/>
    <w:rsid w:val="000308B3"/>
    <w:rsid w:val="000308FE"/>
    <w:rsid w:val="00030910"/>
    <w:rsid w:val="0003091B"/>
    <w:rsid w:val="00030977"/>
    <w:rsid w:val="00030988"/>
    <w:rsid w:val="00030997"/>
    <w:rsid w:val="000309AC"/>
    <w:rsid w:val="000309D1"/>
    <w:rsid w:val="000309F4"/>
    <w:rsid w:val="00030A04"/>
    <w:rsid w:val="00030A07"/>
    <w:rsid w:val="00030A4A"/>
    <w:rsid w:val="00030AB7"/>
    <w:rsid w:val="00030AD3"/>
    <w:rsid w:val="00030AE0"/>
    <w:rsid w:val="00030B15"/>
    <w:rsid w:val="00030B61"/>
    <w:rsid w:val="00030B81"/>
    <w:rsid w:val="00030B9B"/>
    <w:rsid w:val="00030C41"/>
    <w:rsid w:val="00030C45"/>
    <w:rsid w:val="00030CAD"/>
    <w:rsid w:val="00030CB8"/>
    <w:rsid w:val="00030D08"/>
    <w:rsid w:val="00030DA9"/>
    <w:rsid w:val="00030E23"/>
    <w:rsid w:val="00030EA5"/>
    <w:rsid w:val="00030EEA"/>
    <w:rsid w:val="00030F72"/>
    <w:rsid w:val="00030F83"/>
    <w:rsid w:val="00030FA5"/>
    <w:rsid w:val="00030FC5"/>
    <w:rsid w:val="00031002"/>
    <w:rsid w:val="0003103D"/>
    <w:rsid w:val="0003107C"/>
    <w:rsid w:val="00031096"/>
    <w:rsid w:val="000310C3"/>
    <w:rsid w:val="00031121"/>
    <w:rsid w:val="00031123"/>
    <w:rsid w:val="00031136"/>
    <w:rsid w:val="00031149"/>
    <w:rsid w:val="0003117F"/>
    <w:rsid w:val="00031196"/>
    <w:rsid w:val="000311A5"/>
    <w:rsid w:val="000311C6"/>
    <w:rsid w:val="0003121A"/>
    <w:rsid w:val="00031267"/>
    <w:rsid w:val="000312BE"/>
    <w:rsid w:val="000312ED"/>
    <w:rsid w:val="00031378"/>
    <w:rsid w:val="0003137D"/>
    <w:rsid w:val="00031418"/>
    <w:rsid w:val="000314C5"/>
    <w:rsid w:val="00031515"/>
    <w:rsid w:val="0003153E"/>
    <w:rsid w:val="0003155B"/>
    <w:rsid w:val="000315D2"/>
    <w:rsid w:val="00031615"/>
    <w:rsid w:val="00031647"/>
    <w:rsid w:val="0003167E"/>
    <w:rsid w:val="0003169D"/>
    <w:rsid w:val="0003171F"/>
    <w:rsid w:val="00031753"/>
    <w:rsid w:val="00031763"/>
    <w:rsid w:val="0003189B"/>
    <w:rsid w:val="000318C2"/>
    <w:rsid w:val="00031972"/>
    <w:rsid w:val="00031986"/>
    <w:rsid w:val="000319DD"/>
    <w:rsid w:val="000319F6"/>
    <w:rsid w:val="00031A12"/>
    <w:rsid w:val="00031A44"/>
    <w:rsid w:val="00031AB4"/>
    <w:rsid w:val="00031B57"/>
    <w:rsid w:val="00031B6E"/>
    <w:rsid w:val="00031C05"/>
    <w:rsid w:val="00031CAE"/>
    <w:rsid w:val="00031CE9"/>
    <w:rsid w:val="00031D4B"/>
    <w:rsid w:val="00031D5A"/>
    <w:rsid w:val="00031D69"/>
    <w:rsid w:val="00031E0B"/>
    <w:rsid w:val="00031E64"/>
    <w:rsid w:val="00031E83"/>
    <w:rsid w:val="00031EAF"/>
    <w:rsid w:val="00031F7B"/>
    <w:rsid w:val="00031FD9"/>
    <w:rsid w:val="0003204A"/>
    <w:rsid w:val="00032057"/>
    <w:rsid w:val="00032084"/>
    <w:rsid w:val="000320D4"/>
    <w:rsid w:val="000320E8"/>
    <w:rsid w:val="00032101"/>
    <w:rsid w:val="0003214F"/>
    <w:rsid w:val="00032170"/>
    <w:rsid w:val="000321AB"/>
    <w:rsid w:val="000321F5"/>
    <w:rsid w:val="00032221"/>
    <w:rsid w:val="00032223"/>
    <w:rsid w:val="0003222E"/>
    <w:rsid w:val="0003228A"/>
    <w:rsid w:val="000322A3"/>
    <w:rsid w:val="000322A7"/>
    <w:rsid w:val="000322E6"/>
    <w:rsid w:val="000322F5"/>
    <w:rsid w:val="000322F8"/>
    <w:rsid w:val="0003231D"/>
    <w:rsid w:val="0003232E"/>
    <w:rsid w:val="00032363"/>
    <w:rsid w:val="000323B3"/>
    <w:rsid w:val="0003243C"/>
    <w:rsid w:val="00032448"/>
    <w:rsid w:val="0003245B"/>
    <w:rsid w:val="0003247B"/>
    <w:rsid w:val="0003255D"/>
    <w:rsid w:val="0003257F"/>
    <w:rsid w:val="00032632"/>
    <w:rsid w:val="0003265E"/>
    <w:rsid w:val="0003266E"/>
    <w:rsid w:val="000326BF"/>
    <w:rsid w:val="000326C3"/>
    <w:rsid w:val="0003271D"/>
    <w:rsid w:val="00032744"/>
    <w:rsid w:val="0003275B"/>
    <w:rsid w:val="0003275C"/>
    <w:rsid w:val="000327A2"/>
    <w:rsid w:val="000327C2"/>
    <w:rsid w:val="000327C6"/>
    <w:rsid w:val="0003283F"/>
    <w:rsid w:val="0003284B"/>
    <w:rsid w:val="00032907"/>
    <w:rsid w:val="0003291E"/>
    <w:rsid w:val="000329AA"/>
    <w:rsid w:val="000329BC"/>
    <w:rsid w:val="00032A0D"/>
    <w:rsid w:val="00032A17"/>
    <w:rsid w:val="00032A49"/>
    <w:rsid w:val="00032A52"/>
    <w:rsid w:val="00032A9A"/>
    <w:rsid w:val="00032AA6"/>
    <w:rsid w:val="00032AAE"/>
    <w:rsid w:val="00032B22"/>
    <w:rsid w:val="00032B5A"/>
    <w:rsid w:val="00032BAE"/>
    <w:rsid w:val="00032BB0"/>
    <w:rsid w:val="00032BE4"/>
    <w:rsid w:val="00032C27"/>
    <w:rsid w:val="00032C55"/>
    <w:rsid w:val="00032C72"/>
    <w:rsid w:val="00032C7B"/>
    <w:rsid w:val="00032C7F"/>
    <w:rsid w:val="00032CD5"/>
    <w:rsid w:val="00032D52"/>
    <w:rsid w:val="00032DA6"/>
    <w:rsid w:val="00032DFA"/>
    <w:rsid w:val="00032E01"/>
    <w:rsid w:val="00032E1D"/>
    <w:rsid w:val="00032E3C"/>
    <w:rsid w:val="00032E4E"/>
    <w:rsid w:val="00032E6B"/>
    <w:rsid w:val="00032E8A"/>
    <w:rsid w:val="00032E96"/>
    <w:rsid w:val="00032E9A"/>
    <w:rsid w:val="00032EF8"/>
    <w:rsid w:val="00032F39"/>
    <w:rsid w:val="00032FF9"/>
    <w:rsid w:val="00032FFB"/>
    <w:rsid w:val="0003303A"/>
    <w:rsid w:val="0003304A"/>
    <w:rsid w:val="00033056"/>
    <w:rsid w:val="000330A3"/>
    <w:rsid w:val="0003313F"/>
    <w:rsid w:val="0003315D"/>
    <w:rsid w:val="00033161"/>
    <w:rsid w:val="000331E2"/>
    <w:rsid w:val="000331E6"/>
    <w:rsid w:val="000331E7"/>
    <w:rsid w:val="000331EF"/>
    <w:rsid w:val="00033262"/>
    <w:rsid w:val="00033294"/>
    <w:rsid w:val="000332CD"/>
    <w:rsid w:val="000332D3"/>
    <w:rsid w:val="0003332B"/>
    <w:rsid w:val="00033354"/>
    <w:rsid w:val="000333B8"/>
    <w:rsid w:val="0003346C"/>
    <w:rsid w:val="000334A8"/>
    <w:rsid w:val="000334C5"/>
    <w:rsid w:val="000334E6"/>
    <w:rsid w:val="00033515"/>
    <w:rsid w:val="00033554"/>
    <w:rsid w:val="0003356C"/>
    <w:rsid w:val="0003359C"/>
    <w:rsid w:val="000335D2"/>
    <w:rsid w:val="000335F1"/>
    <w:rsid w:val="0003365F"/>
    <w:rsid w:val="0003368C"/>
    <w:rsid w:val="000336A9"/>
    <w:rsid w:val="00033714"/>
    <w:rsid w:val="00033775"/>
    <w:rsid w:val="0003377E"/>
    <w:rsid w:val="0003380E"/>
    <w:rsid w:val="0003385E"/>
    <w:rsid w:val="00033887"/>
    <w:rsid w:val="00033899"/>
    <w:rsid w:val="0003389B"/>
    <w:rsid w:val="000338E8"/>
    <w:rsid w:val="000338EE"/>
    <w:rsid w:val="000338FE"/>
    <w:rsid w:val="000339A1"/>
    <w:rsid w:val="000339D3"/>
    <w:rsid w:val="00033AD8"/>
    <w:rsid w:val="00033BD5"/>
    <w:rsid w:val="00033C22"/>
    <w:rsid w:val="00033C45"/>
    <w:rsid w:val="00033C4B"/>
    <w:rsid w:val="00033C73"/>
    <w:rsid w:val="00033C74"/>
    <w:rsid w:val="00033C84"/>
    <w:rsid w:val="00033D79"/>
    <w:rsid w:val="00033DA2"/>
    <w:rsid w:val="00033DAC"/>
    <w:rsid w:val="00033DC1"/>
    <w:rsid w:val="00033E23"/>
    <w:rsid w:val="00033E46"/>
    <w:rsid w:val="00033EAD"/>
    <w:rsid w:val="00033EE0"/>
    <w:rsid w:val="00033F18"/>
    <w:rsid w:val="00033F7E"/>
    <w:rsid w:val="00033F89"/>
    <w:rsid w:val="00034002"/>
    <w:rsid w:val="00034009"/>
    <w:rsid w:val="0003400D"/>
    <w:rsid w:val="00034031"/>
    <w:rsid w:val="00034033"/>
    <w:rsid w:val="00034073"/>
    <w:rsid w:val="00034082"/>
    <w:rsid w:val="00034096"/>
    <w:rsid w:val="0003409F"/>
    <w:rsid w:val="000340A0"/>
    <w:rsid w:val="000340B2"/>
    <w:rsid w:val="000340E6"/>
    <w:rsid w:val="0003410C"/>
    <w:rsid w:val="00034155"/>
    <w:rsid w:val="0003419C"/>
    <w:rsid w:val="0003420A"/>
    <w:rsid w:val="00034221"/>
    <w:rsid w:val="0003426D"/>
    <w:rsid w:val="000342CC"/>
    <w:rsid w:val="000342D4"/>
    <w:rsid w:val="00034320"/>
    <w:rsid w:val="00034326"/>
    <w:rsid w:val="00034329"/>
    <w:rsid w:val="00034361"/>
    <w:rsid w:val="000343EA"/>
    <w:rsid w:val="0003442F"/>
    <w:rsid w:val="00034462"/>
    <w:rsid w:val="0003447C"/>
    <w:rsid w:val="0003447E"/>
    <w:rsid w:val="000344E0"/>
    <w:rsid w:val="000344F2"/>
    <w:rsid w:val="0003454A"/>
    <w:rsid w:val="0003454E"/>
    <w:rsid w:val="000345A4"/>
    <w:rsid w:val="0003461D"/>
    <w:rsid w:val="00034642"/>
    <w:rsid w:val="0003464B"/>
    <w:rsid w:val="0003467E"/>
    <w:rsid w:val="00034693"/>
    <w:rsid w:val="00034699"/>
    <w:rsid w:val="000346E8"/>
    <w:rsid w:val="00034707"/>
    <w:rsid w:val="00034709"/>
    <w:rsid w:val="00034737"/>
    <w:rsid w:val="0003473A"/>
    <w:rsid w:val="00034770"/>
    <w:rsid w:val="0003480A"/>
    <w:rsid w:val="00034814"/>
    <w:rsid w:val="00034816"/>
    <w:rsid w:val="0003483B"/>
    <w:rsid w:val="00034888"/>
    <w:rsid w:val="000348CB"/>
    <w:rsid w:val="00034942"/>
    <w:rsid w:val="0003494B"/>
    <w:rsid w:val="0003494C"/>
    <w:rsid w:val="0003499D"/>
    <w:rsid w:val="000349B9"/>
    <w:rsid w:val="000349D9"/>
    <w:rsid w:val="000349DD"/>
    <w:rsid w:val="00034A28"/>
    <w:rsid w:val="00034A8D"/>
    <w:rsid w:val="00034AE0"/>
    <w:rsid w:val="00034B38"/>
    <w:rsid w:val="00034B46"/>
    <w:rsid w:val="00034B50"/>
    <w:rsid w:val="00034B7D"/>
    <w:rsid w:val="00034B9A"/>
    <w:rsid w:val="00034BCA"/>
    <w:rsid w:val="00034BE4"/>
    <w:rsid w:val="00034C3C"/>
    <w:rsid w:val="00034C45"/>
    <w:rsid w:val="00034C5E"/>
    <w:rsid w:val="00034CB3"/>
    <w:rsid w:val="00034CDC"/>
    <w:rsid w:val="00034D55"/>
    <w:rsid w:val="00034D97"/>
    <w:rsid w:val="00034DDB"/>
    <w:rsid w:val="00034DDF"/>
    <w:rsid w:val="00034DF0"/>
    <w:rsid w:val="00034E2C"/>
    <w:rsid w:val="00034E6A"/>
    <w:rsid w:val="00034E9B"/>
    <w:rsid w:val="00034EC8"/>
    <w:rsid w:val="00034ECB"/>
    <w:rsid w:val="00034F26"/>
    <w:rsid w:val="00034F80"/>
    <w:rsid w:val="00034F88"/>
    <w:rsid w:val="00035012"/>
    <w:rsid w:val="00035025"/>
    <w:rsid w:val="000350EC"/>
    <w:rsid w:val="000350F0"/>
    <w:rsid w:val="00035138"/>
    <w:rsid w:val="0003517A"/>
    <w:rsid w:val="000351FA"/>
    <w:rsid w:val="00035215"/>
    <w:rsid w:val="00035222"/>
    <w:rsid w:val="00035279"/>
    <w:rsid w:val="00035298"/>
    <w:rsid w:val="000352FC"/>
    <w:rsid w:val="00035337"/>
    <w:rsid w:val="00035353"/>
    <w:rsid w:val="00035365"/>
    <w:rsid w:val="0003542C"/>
    <w:rsid w:val="00035440"/>
    <w:rsid w:val="0003549B"/>
    <w:rsid w:val="000354A2"/>
    <w:rsid w:val="000354B6"/>
    <w:rsid w:val="000354D1"/>
    <w:rsid w:val="000354F5"/>
    <w:rsid w:val="00035570"/>
    <w:rsid w:val="00035579"/>
    <w:rsid w:val="000355AE"/>
    <w:rsid w:val="000355F4"/>
    <w:rsid w:val="00035648"/>
    <w:rsid w:val="0003564D"/>
    <w:rsid w:val="00035663"/>
    <w:rsid w:val="000356DA"/>
    <w:rsid w:val="000356EE"/>
    <w:rsid w:val="000356F7"/>
    <w:rsid w:val="00035741"/>
    <w:rsid w:val="0003574C"/>
    <w:rsid w:val="000357B5"/>
    <w:rsid w:val="00035800"/>
    <w:rsid w:val="00035807"/>
    <w:rsid w:val="0003581A"/>
    <w:rsid w:val="00035833"/>
    <w:rsid w:val="00035849"/>
    <w:rsid w:val="0003587B"/>
    <w:rsid w:val="000358EB"/>
    <w:rsid w:val="00035910"/>
    <w:rsid w:val="0003593C"/>
    <w:rsid w:val="0003595D"/>
    <w:rsid w:val="00035996"/>
    <w:rsid w:val="00035A74"/>
    <w:rsid w:val="00035B23"/>
    <w:rsid w:val="00035B95"/>
    <w:rsid w:val="00035BBC"/>
    <w:rsid w:val="00035BCA"/>
    <w:rsid w:val="00035BE2"/>
    <w:rsid w:val="00035C45"/>
    <w:rsid w:val="00035C5F"/>
    <w:rsid w:val="00035C66"/>
    <w:rsid w:val="00035CBA"/>
    <w:rsid w:val="00035D3C"/>
    <w:rsid w:val="00035D6F"/>
    <w:rsid w:val="00035DC7"/>
    <w:rsid w:val="00035E11"/>
    <w:rsid w:val="00035E58"/>
    <w:rsid w:val="00035E84"/>
    <w:rsid w:val="00035EA2"/>
    <w:rsid w:val="00035EB5"/>
    <w:rsid w:val="00035ED6"/>
    <w:rsid w:val="00035F17"/>
    <w:rsid w:val="00035F4D"/>
    <w:rsid w:val="00035F5F"/>
    <w:rsid w:val="00035FA1"/>
    <w:rsid w:val="00035FB3"/>
    <w:rsid w:val="00035FB4"/>
    <w:rsid w:val="00035FB7"/>
    <w:rsid w:val="00035FD5"/>
    <w:rsid w:val="00035FFC"/>
    <w:rsid w:val="00036010"/>
    <w:rsid w:val="0003601D"/>
    <w:rsid w:val="0003602A"/>
    <w:rsid w:val="00036045"/>
    <w:rsid w:val="00036091"/>
    <w:rsid w:val="00036096"/>
    <w:rsid w:val="000360B6"/>
    <w:rsid w:val="000360E9"/>
    <w:rsid w:val="0003612A"/>
    <w:rsid w:val="0003613C"/>
    <w:rsid w:val="00036143"/>
    <w:rsid w:val="000361B4"/>
    <w:rsid w:val="000361C6"/>
    <w:rsid w:val="000361CA"/>
    <w:rsid w:val="00036207"/>
    <w:rsid w:val="0003627B"/>
    <w:rsid w:val="000362A5"/>
    <w:rsid w:val="000362B9"/>
    <w:rsid w:val="000362C4"/>
    <w:rsid w:val="00036312"/>
    <w:rsid w:val="000363A0"/>
    <w:rsid w:val="000363C8"/>
    <w:rsid w:val="000363CB"/>
    <w:rsid w:val="000363EE"/>
    <w:rsid w:val="00036438"/>
    <w:rsid w:val="0003644D"/>
    <w:rsid w:val="00036476"/>
    <w:rsid w:val="00036495"/>
    <w:rsid w:val="000364EB"/>
    <w:rsid w:val="00036541"/>
    <w:rsid w:val="0003655D"/>
    <w:rsid w:val="00036586"/>
    <w:rsid w:val="000365EA"/>
    <w:rsid w:val="000365EC"/>
    <w:rsid w:val="000366A8"/>
    <w:rsid w:val="000366AD"/>
    <w:rsid w:val="000366B9"/>
    <w:rsid w:val="000366C0"/>
    <w:rsid w:val="000366DD"/>
    <w:rsid w:val="00036713"/>
    <w:rsid w:val="000367AA"/>
    <w:rsid w:val="000367BB"/>
    <w:rsid w:val="00036814"/>
    <w:rsid w:val="00036847"/>
    <w:rsid w:val="000368A1"/>
    <w:rsid w:val="000368CD"/>
    <w:rsid w:val="000368F9"/>
    <w:rsid w:val="00036906"/>
    <w:rsid w:val="0003691C"/>
    <w:rsid w:val="0003698F"/>
    <w:rsid w:val="000369B0"/>
    <w:rsid w:val="000369CA"/>
    <w:rsid w:val="000369CE"/>
    <w:rsid w:val="00036A39"/>
    <w:rsid w:val="00036A80"/>
    <w:rsid w:val="00036AB1"/>
    <w:rsid w:val="00036AD4"/>
    <w:rsid w:val="00036AF5"/>
    <w:rsid w:val="00036B9C"/>
    <w:rsid w:val="00036BD9"/>
    <w:rsid w:val="00036BDF"/>
    <w:rsid w:val="00036BE3"/>
    <w:rsid w:val="00036BEB"/>
    <w:rsid w:val="00036C3E"/>
    <w:rsid w:val="00036C5E"/>
    <w:rsid w:val="00036C99"/>
    <w:rsid w:val="00036CA1"/>
    <w:rsid w:val="00036CC4"/>
    <w:rsid w:val="00036CDA"/>
    <w:rsid w:val="00036CEE"/>
    <w:rsid w:val="00036D11"/>
    <w:rsid w:val="00036D5E"/>
    <w:rsid w:val="00036D62"/>
    <w:rsid w:val="00036D72"/>
    <w:rsid w:val="00036D87"/>
    <w:rsid w:val="00036E1C"/>
    <w:rsid w:val="00036E73"/>
    <w:rsid w:val="00036E81"/>
    <w:rsid w:val="00036EE1"/>
    <w:rsid w:val="00037042"/>
    <w:rsid w:val="00037082"/>
    <w:rsid w:val="000370E0"/>
    <w:rsid w:val="00037102"/>
    <w:rsid w:val="00037129"/>
    <w:rsid w:val="00037185"/>
    <w:rsid w:val="000371A7"/>
    <w:rsid w:val="000371C2"/>
    <w:rsid w:val="000372FA"/>
    <w:rsid w:val="0003733D"/>
    <w:rsid w:val="000373B4"/>
    <w:rsid w:val="000373BA"/>
    <w:rsid w:val="000373D3"/>
    <w:rsid w:val="00037409"/>
    <w:rsid w:val="00037433"/>
    <w:rsid w:val="000374B0"/>
    <w:rsid w:val="00037561"/>
    <w:rsid w:val="0003757A"/>
    <w:rsid w:val="000375C3"/>
    <w:rsid w:val="00037653"/>
    <w:rsid w:val="00037665"/>
    <w:rsid w:val="00037698"/>
    <w:rsid w:val="000376DF"/>
    <w:rsid w:val="0003772B"/>
    <w:rsid w:val="00037737"/>
    <w:rsid w:val="00037770"/>
    <w:rsid w:val="000377BE"/>
    <w:rsid w:val="000377BF"/>
    <w:rsid w:val="000377F5"/>
    <w:rsid w:val="0003781F"/>
    <w:rsid w:val="00037827"/>
    <w:rsid w:val="0003784A"/>
    <w:rsid w:val="0003785C"/>
    <w:rsid w:val="000378BC"/>
    <w:rsid w:val="000378C4"/>
    <w:rsid w:val="000378E4"/>
    <w:rsid w:val="0003792F"/>
    <w:rsid w:val="00037938"/>
    <w:rsid w:val="0003795E"/>
    <w:rsid w:val="00037986"/>
    <w:rsid w:val="00037A38"/>
    <w:rsid w:val="00037A4F"/>
    <w:rsid w:val="00037A74"/>
    <w:rsid w:val="00037A8A"/>
    <w:rsid w:val="00037AF2"/>
    <w:rsid w:val="00037B3B"/>
    <w:rsid w:val="00037B81"/>
    <w:rsid w:val="00037BCE"/>
    <w:rsid w:val="00037BDC"/>
    <w:rsid w:val="00037BF4"/>
    <w:rsid w:val="00037C18"/>
    <w:rsid w:val="00037C1F"/>
    <w:rsid w:val="00037C5A"/>
    <w:rsid w:val="00037CCD"/>
    <w:rsid w:val="00037CFC"/>
    <w:rsid w:val="00037D51"/>
    <w:rsid w:val="00037DC4"/>
    <w:rsid w:val="00037E87"/>
    <w:rsid w:val="00037E8F"/>
    <w:rsid w:val="00037EA3"/>
    <w:rsid w:val="00037EA7"/>
    <w:rsid w:val="00037EE8"/>
    <w:rsid w:val="00037F09"/>
    <w:rsid w:val="00037F14"/>
    <w:rsid w:val="00037F31"/>
    <w:rsid w:val="00037FD7"/>
    <w:rsid w:val="00037FF5"/>
    <w:rsid w:val="0004000E"/>
    <w:rsid w:val="0004001C"/>
    <w:rsid w:val="00040034"/>
    <w:rsid w:val="0004003E"/>
    <w:rsid w:val="00040047"/>
    <w:rsid w:val="00040075"/>
    <w:rsid w:val="000400AF"/>
    <w:rsid w:val="000400F3"/>
    <w:rsid w:val="00040102"/>
    <w:rsid w:val="0004011A"/>
    <w:rsid w:val="000401FC"/>
    <w:rsid w:val="0004020D"/>
    <w:rsid w:val="00040231"/>
    <w:rsid w:val="000402AE"/>
    <w:rsid w:val="000402BF"/>
    <w:rsid w:val="000402DF"/>
    <w:rsid w:val="0004030D"/>
    <w:rsid w:val="00040311"/>
    <w:rsid w:val="00040319"/>
    <w:rsid w:val="0004031C"/>
    <w:rsid w:val="0004034E"/>
    <w:rsid w:val="0004037A"/>
    <w:rsid w:val="00040392"/>
    <w:rsid w:val="000403AA"/>
    <w:rsid w:val="000403E8"/>
    <w:rsid w:val="000403FB"/>
    <w:rsid w:val="00040410"/>
    <w:rsid w:val="00040420"/>
    <w:rsid w:val="0004048A"/>
    <w:rsid w:val="00040499"/>
    <w:rsid w:val="000404B8"/>
    <w:rsid w:val="000404D4"/>
    <w:rsid w:val="000404DE"/>
    <w:rsid w:val="000404E0"/>
    <w:rsid w:val="0004051E"/>
    <w:rsid w:val="00040520"/>
    <w:rsid w:val="00040564"/>
    <w:rsid w:val="00040580"/>
    <w:rsid w:val="0004058F"/>
    <w:rsid w:val="000405F5"/>
    <w:rsid w:val="00040693"/>
    <w:rsid w:val="000406F7"/>
    <w:rsid w:val="000406FB"/>
    <w:rsid w:val="00040765"/>
    <w:rsid w:val="000407B3"/>
    <w:rsid w:val="000407D2"/>
    <w:rsid w:val="0004084A"/>
    <w:rsid w:val="0004086D"/>
    <w:rsid w:val="0004088E"/>
    <w:rsid w:val="000408D4"/>
    <w:rsid w:val="000408F2"/>
    <w:rsid w:val="00040901"/>
    <w:rsid w:val="0004090C"/>
    <w:rsid w:val="00040915"/>
    <w:rsid w:val="00040921"/>
    <w:rsid w:val="00040930"/>
    <w:rsid w:val="00040940"/>
    <w:rsid w:val="0004094D"/>
    <w:rsid w:val="000409A0"/>
    <w:rsid w:val="000409AD"/>
    <w:rsid w:val="00040A86"/>
    <w:rsid w:val="00040AED"/>
    <w:rsid w:val="00040B3D"/>
    <w:rsid w:val="00040B52"/>
    <w:rsid w:val="00040B99"/>
    <w:rsid w:val="00040BDE"/>
    <w:rsid w:val="00040CB0"/>
    <w:rsid w:val="00040D2A"/>
    <w:rsid w:val="00040D35"/>
    <w:rsid w:val="00040D46"/>
    <w:rsid w:val="00040E94"/>
    <w:rsid w:val="00040EB4"/>
    <w:rsid w:val="00040F08"/>
    <w:rsid w:val="00040F1C"/>
    <w:rsid w:val="00040F3B"/>
    <w:rsid w:val="00040F69"/>
    <w:rsid w:val="00040FA9"/>
    <w:rsid w:val="00040FBE"/>
    <w:rsid w:val="00040FEB"/>
    <w:rsid w:val="00041015"/>
    <w:rsid w:val="00041043"/>
    <w:rsid w:val="00041057"/>
    <w:rsid w:val="00041066"/>
    <w:rsid w:val="00041067"/>
    <w:rsid w:val="0004107C"/>
    <w:rsid w:val="000410BC"/>
    <w:rsid w:val="000410E3"/>
    <w:rsid w:val="0004114C"/>
    <w:rsid w:val="00041154"/>
    <w:rsid w:val="00041174"/>
    <w:rsid w:val="000411C8"/>
    <w:rsid w:val="00041229"/>
    <w:rsid w:val="0004128A"/>
    <w:rsid w:val="000412C8"/>
    <w:rsid w:val="0004132B"/>
    <w:rsid w:val="00041345"/>
    <w:rsid w:val="00041365"/>
    <w:rsid w:val="00041369"/>
    <w:rsid w:val="0004138B"/>
    <w:rsid w:val="00041395"/>
    <w:rsid w:val="000413FB"/>
    <w:rsid w:val="000414F2"/>
    <w:rsid w:val="00041504"/>
    <w:rsid w:val="0004150A"/>
    <w:rsid w:val="00041559"/>
    <w:rsid w:val="000415BA"/>
    <w:rsid w:val="000415D1"/>
    <w:rsid w:val="00041729"/>
    <w:rsid w:val="0004173E"/>
    <w:rsid w:val="000417C4"/>
    <w:rsid w:val="000417EB"/>
    <w:rsid w:val="00041814"/>
    <w:rsid w:val="00041825"/>
    <w:rsid w:val="00041849"/>
    <w:rsid w:val="0004184B"/>
    <w:rsid w:val="00041851"/>
    <w:rsid w:val="0004185D"/>
    <w:rsid w:val="0004187A"/>
    <w:rsid w:val="00041881"/>
    <w:rsid w:val="000418FB"/>
    <w:rsid w:val="00041998"/>
    <w:rsid w:val="000419A4"/>
    <w:rsid w:val="000419F9"/>
    <w:rsid w:val="00041A20"/>
    <w:rsid w:val="00041A83"/>
    <w:rsid w:val="00041A95"/>
    <w:rsid w:val="00041B11"/>
    <w:rsid w:val="00041B1C"/>
    <w:rsid w:val="00041B50"/>
    <w:rsid w:val="00041BAA"/>
    <w:rsid w:val="00041BBA"/>
    <w:rsid w:val="00041BE7"/>
    <w:rsid w:val="00041BFE"/>
    <w:rsid w:val="00041C08"/>
    <w:rsid w:val="00041C20"/>
    <w:rsid w:val="00041C57"/>
    <w:rsid w:val="00041C68"/>
    <w:rsid w:val="00041C91"/>
    <w:rsid w:val="00041CA6"/>
    <w:rsid w:val="00041CB1"/>
    <w:rsid w:val="00041CDE"/>
    <w:rsid w:val="00041CEA"/>
    <w:rsid w:val="00041D11"/>
    <w:rsid w:val="00041DED"/>
    <w:rsid w:val="00041E00"/>
    <w:rsid w:val="00041E0E"/>
    <w:rsid w:val="00041E15"/>
    <w:rsid w:val="00041E92"/>
    <w:rsid w:val="00041EE0"/>
    <w:rsid w:val="00041F16"/>
    <w:rsid w:val="00041F59"/>
    <w:rsid w:val="00041FAF"/>
    <w:rsid w:val="00042041"/>
    <w:rsid w:val="00042060"/>
    <w:rsid w:val="0004206C"/>
    <w:rsid w:val="00042089"/>
    <w:rsid w:val="000420A7"/>
    <w:rsid w:val="000420C8"/>
    <w:rsid w:val="000420D6"/>
    <w:rsid w:val="000420E2"/>
    <w:rsid w:val="000421A2"/>
    <w:rsid w:val="000421FB"/>
    <w:rsid w:val="00042206"/>
    <w:rsid w:val="00042228"/>
    <w:rsid w:val="00042239"/>
    <w:rsid w:val="00042262"/>
    <w:rsid w:val="000422FA"/>
    <w:rsid w:val="00042301"/>
    <w:rsid w:val="0004233C"/>
    <w:rsid w:val="000423AB"/>
    <w:rsid w:val="000423D9"/>
    <w:rsid w:val="0004247C"/>
    <w:rsid w:val="000424A8"/>
    <w:rsid w:val="000424DC"/>
    <w:rsid w:val="00042549"/>
    <w:rsid w:val="000425B4"/>
    <w:rsid w:val="000425D3"/>
    <w:rsid w:val="00042636"/>
    <w:rsid w:val="00042644"/>
    <w:rsid w:val="000426B4"/>
    <w:rsid w:val="000426B6"/>
    <w:rsid w:val="000426F8"/>
    <w:rsid w:val="00042712"/>
    <w:rsid w:val="00042752"/>
    <w:rsid w:val="0004277C"/>
    <w:rsid w:val="000427A8"/>
    <w:rsid w:val="00042879"/>
    <w:rsid w:val="000428A0"/>
    <w:rsid w:val="00042903"/>
    <w:rsid w:val="00042910"/>
    <w:rsid w:val="00042922"/>
    <w:rsid w:val="0004296B"/>
    <w:rsid w:val="000429AD"/>
    <w:rsid w:val="000429D0"/>
    <w:rsid w:val="000429DD"/>
    <w:rsid w:val="000429E1"/>
    <w:rsid w:val="00042A0E"/>
    <w:rsid w:val="00042A97"/>
    <w:rsid w:val="00042AAB"/>
    <w:rsid w:val="00042AB2"/>
    <w:rsid w:val="00042ADB"/>
    <w:rsid w:val="00042B00"/>
    <w:rsid w:val="00042BC7"/>
    <w:rsid w:val="00042BCF"/>
    <w:rsid w:val="00042BDD"/>
    <w:rsid w:val="00042BDE"/>
    <w:rsid w:val="00042BE7"/>
    <w:rsid w:val="00042C26"/>
    <w:rsid w:val="00042C95"/>
    <w:rsid w:val="00042CA0"/>
    <w:rsid w:val="00042CE7"/>
    <w:rsid w:val="00042D11"/>
    <w:rsid w:val="00042D16"/>
    <w:rsid w:val="00042D41"/>
    <w:rsid w:val="00042D82"/>
    <w:rsid w:val="00042DB2"/>
    <w:rsid w:val="00042DBD"/>
    <w:rsid w:val="00042DFA"/>
    <w:rsid w:val="00042EB4"/>
    <w:rsid w:val="00042ECA"/>
    <w:rsid w:val="00042F22"/>
    <w:rsid w:val="00042F4F"/>
    <w:rsid w:val="00042F65"/>
    <w:rsid w:val="00042F94"/>
    <w:rsid w:val="00042FBA"/>
    <w:rsid w:val="00043007"/>
    <w:rsid w:val="00043015"/>
    <w:rsid w:val="0004306E"/>
    <w:rsid w:val="000430AC"/>
    <w:rsid w:val="000430D1"/>
    <w:rsid w:val="000430D3"/>
    <w:rsid w:val="000430F9"/>
    <w:rsid w:val="00043137"/>
    <w:rsid w:val="00043198"/>
    <w:rsid w:val="000431D2"/>
    <w:rsid w:val="000431E7"/>
    <w:rsid w:val="00043294"/>
    <w:rsid w:val="000432EF"/>
    <w:rsid w:val="00043324"/>
    <w:rsid w:val="00043335"/>
    <w:rsid w:val="0004336C"/>
    <w:rsid w:val="00043393"/>
    <w:rsid w:val="0004344E"/>
    <w:rsid w:val="000434EB"/>
    <w:rsid w:val="00043512"/>
    <w:rsid w:val="00043536"/>
    <w:rsid w:val="00043565"/>
    <w:rsid w:val="000435A4"/>
    <w:rsid w:val="000435F2"/>
    <w:rsid w:val="000435F5"/>
    <w:rsid w:val="00043600"/>
    <w:rsid w:val="00043797"/>
    <w:rsid w:val="000437D5"/>
    <w:rsid w:val="00043810"/>
    <w:rsid w:val="0004386B"/>
    <w:rsid w:val="00043898"/>
    <w:rsid w:val="000438C5"/>
    <w:rsid w:val="000438CC"/>
    <w:rsid w:val="000438ED"/>
    <w:rsid w:val="00043904"/>
    <w:rsid w:val="00043949"/>
    <w:rsid w:val="0004394C"/>
    <w:rsid w:val="00043951"/>
    <w:rsid w:val="00043953"/>
    <w:rsid w:val="0004399C"/>
    <w:rsid w:val="00043A05"/>
    <w:rsid w:val="00043A24"/>
    <w:rsid w:val="00043A6E"/>
    <w:rsid w:val="00043AAD"/>
    <w:rsid w:val="00043ABB"/>
    <w:rsid w:val="00043AF0"/>
    <w:rsid w:val="00043B0B"/>
    <w:rsid w:val="00043B91"/>
    <w:rsid w:val="00043C09"/>
    <w:rsid w:val="00043C24"/>
    <w:rsid w:val="00043D16"/>
    <w:rsid w:val="00043D80"/>
    <w:rsid w:val="00043DA4"/>
    <w:rsid w:val="00043DB7"/>
    <w:rsid w:val="00043DC6"/>
    <w:rsid w:val="00043DFD"/>
    <w:rsid w:val="00043E2B"/>
    <w:rsid w:val="00043EF0"/>
    <w:rsid w:val="00043F44"/>
    <w:rsid w:val="00044069"/>
    <w:rsid w:val="00044076"/>
    <w:rsid w:val="000440D7"/>
    <w:rsid w:val="000440DB"/>
    <w:rsid w:val="000440F2"/>
    <w:rsid w:val="0004411A"/>
    <w:rsid w:val="000441E1"/>
    <w:rsid w:val="000441E9"/>
    <w:rsid w:val="00044230"/>
    <w:rsid w:val="000442CE"/>
    <w:rsid w:val="00044315"/>
    <w:rsid w:val="00044335"/>
    <w:rsid w:val="0004433E"/>
    <w:rsid w:val="00044354"/>
    <w:rsid w:val="000443E2"/>
    <w:rsid w:val="000443EC"/>
    <w:rsid w:val="00044404"/>
    <w:rsid w:val="0004441A"/>
    <w:rsid w:val="0004442F"/>
    <w:rsid w:val="00044487"/>
    <w:rsid w:val="000444B9"/>
    <w:rsid w:val="0004452E"/>
    <w:rsid w:val="00044563"/>
    <w:rsid w:val="0004459C"/>
    <w:rsid w:val="000445BA"/>
    <w:rsid w:val="000445C3"/>
    <w:rsid w:val="000445D4"/>
    <w:rsid w:val="00044698"/>
    <w:rsid w:val="0004469C"/>
    <w:rsid w:val="000446F8"/>
    <w:rsid w:val="0004474A"/>
    <w:rsid w:val="00044780"/>
    <w:rsid w:val="000447D8"/>
    <w:rsid w:val="0004481F"/>
    <w:rsid w:val="00044824"/>
    <w:rsid w:val="0004483C"/>
    <w:rsid w:val="0004485E"/>
    <w:rsid w:val="0004486A"/>
    <w:rsid w:val="00044871"/>
    <w:rsid w:val="00044892"/>
    <w:rsid w:val="000448B9"/>
    <w:rsid w:val="000448C8"/>
    <w:rsid w:val="00044936"/>
    <w:rsid w:val="000449E0"/>
    <w:rsid w:val="00044A0B"/>
    <w:rsid w:val="00044A37"/>
    <w:rsid w:val="00044AF5"/>
    <w:rsid w:val="00044B57"/>
    <w:rsid w:val="00044B73"/>
    <w:rsid w:val="00044BFC"/>
    <w:rsid w:val="00044C5E"/>
    <w:rsid w:val="00044C91"/>
    <w:rsid w:val="00044C92"/>
    <w:rsid w:val="00044CA2"/>
    <w:rsid w:val="00044CE1"/>
    <w:rsid w:val="00044CEA"/>
    <w:rsid w:val="00044D12"/>
    <w:rsid w:val="00044D37"/>
    <w:rsid w:val="00044D55"/>
    <w:rsid w:val="00044D6F"/>
    <w:rsid w:val="00044D7C"/>
    <w:rsid w:val="00044D87"/>
    <w:rsid w:val="00044DAA"/>
    <w:rsid w:val="00044DB0"/>
    <w:rsid w:val="00044DB2"/>
    <w:rsid w:val="00044DD7"/>
    <w:rsid w:val="00044DE5"/>
    <w:rsid w:val="00044E5E"/>
    <w:rsid w:val="00044E69"/>
    <w:rsid w:val="00044EF8"/>
    <w:rsid w:val="00044F10"/>
    <w:rsid w:val="00045009"/>
    <w:rsid w:val="00045075"/>
    <w:rsid w:val="000450A0"/>
    <w:rsid w:val="000450B1"/>
    <w:rsid w:val="000450B9"/>
    <w:rsid w:val="000450BA"/>
    <w:rsid w:val="000450BD"/>
    <w:rsid w:val="000450D3"/>
    <w:rsid w:val="0004513F"/>
    <w:rsid w:val="000451E9"/>
    <w:rsid w:val="000451FD"/>
    <w:rsid w:val="00045222"/>
    <w:rsid w:val="00045279"/>
    <w:rsid w:val="0004528C"/>
    <w:rsid w:val="000452ED"/>
    <w:rsid w:val="0004530C"/>
    <w:rsid w:val="0004531B"/>
    <w:rsid w:val="00045362"/>
    <w:rsid w:val="00045378"/>
    <w:rsid w:val="000453C3"/>
    <w:rsid w:val="00045452"/>
    <w:rsid w:val="00045460"/>
    <w:rsid w:val="000454EF"/>
    <w:rsid w:val="00045521"/>
    <w:rsid w:val="00045573"/>
    <w:rsid w:val="00045574"/>
    <w:rsid w:val="00045588"/>
    <w:rsid w:val="000455B6"/>
    <w:rsid w:val="00045643"/>
    <w:rsid w:val="0004564A"/>
    <w:rsid w:val="000456AF"/>
    <w:rsid w:val="000456D3"/>
    <w:rsid w:val="00045736"/>
    <w:rsid w:val="00045738"/>
    <w:rsid w:val="0004574A"/>
    <w:rsid w:val="00045777"/>
    <w:rsid w:val="000457B0"/>
    <w:rsid w:val="000457BD"/>
    <w:rsid w:val="000457C9"/>
    <w:rsid w:val="000457E6"/>
    <w:rsid w:val="0004582A"/>
    <w:rsid w:val="0004594C"/>
    <w:rsid w:val="0004595E"/>
    <w:rsid w:val="00045971"/>
    <w:rsid w:val="00045981"/>
    <w:rsid w:val="00045987"/>
    <w:rsid w:val="00045997"/>
    <w:rsid w:val="0004599E"/>
    <w:rsid w:val="000459C1"/>
    <w:rsid w:val="000459C3"/>
    <w:rsid w:val="000459C6"/>
    <w:rsid w:val="00045A0B"/>
    <w:rsid w:val="00045A1B"/>
    <w:rsid w:val="00045A33"/>
    <w:rsid w:val="00045AB2"/>
    <w:rsid w:val="00045AF9"/>
    <w:rsid w:val="00045B23"/>
    <w:rsid w:val="00045B4B"/>
    <w:rsid w:val="00045BBE"/>
    <w:rsid w:val="00045C10"/>
    <w:rsid w:val="00045C1B"/>
    <w:rsid w:val="00045C84"/>
    <w:rsid w:val="00045CB4"/>
    <w:rsid w:val="00045D3D"/>
    <w:rsid w:val="00045D61"/>
    <w:rsid w:val="00045D66"/>
    <w:rsid w:val="00045DD9"/>
    <w:rsid w:val="00045E01"/>
    <w:rsid w:val="00045E06"/>
    <w:rsid w:val="00045E18"/>
    <w:rsid w:val="00045E4A"/>
    <w:rsid w:val="00045E5A"/>
    <w:rsid w:val="00045EAF"/>
    <w:rsid w:val="00045F29"/>
    <w:rsid w:val="00045F2F"/>
    <w:rsid w:val="00045F6E"/>
    <w:rsid w:val="00045F7F"/>
    <w:rsid w:val="00045F8A"/>
    <w:rsid w:val="00045FA5"/>
    <w:rsid w:val="00046045"/>
    <w:rsid w:val="0004606D"/>
    <w:rsid w:val="0004610C"/>
    <w:rsid w:val="0004610D"/>
    <w:rsid w:val="00046125"/>
    <w:rsid w:val="00046157"/>
    <w:rsid w:val="0004615F"/>
    <w:rsid w:val="00046198"/>
    <w:rsid w:val="00046291"/>
    <w:rsid w:val="000462FB"/>
    <w:rsid w:val="00046304"/>
    <w:rsid w:val="0004642E"/>
    <w:rsid w:val="0004648C"/>
    <w:rsid w:val="00046587"/>
    <w:rsid w:val="000465DB"/>
    <w:rsid w:val="000465F8"/>
    <w:rsid w:val="00046634"/>
    <w:rsid w:val="00046635"/>
    <w:rsid w:val="0004663D"/>
    <w:rsid w:val="00046645"/>
    <w:rsid w:val="00046759"/>
    <w:rsid w:val="000467C2"/>
    <w:rsid w:val="000467DF"/>
    <w:rsid w:val="0004681C"/>
    <w:rsid w:val="0004685E"/>
    <w:rsid w:val="0004685F"/>
    <w:rsid w:val="00046871"/>
    <w:rsid w:val="0004687A"/>
    <w:rsid w:val="000468B1"/>
    <w:rsid w:val="000468EF"/>
    <w:rsid w:val="00046901"/>
    <w:rsid w:val="00046943"/>
    <w:rsid w:val="00046953"/>
    <w:rsid w:val="0004695A"/>
    <w:rsid w:val="0004697F"/>
    <w:rsid w:val="00046A46"/>
    <w:rsid w:val="00046A8D"/>
    <w:rsid w:val="00046AAC"/>
    <w:rsid w:val="00046AD2"/>
    <w:rsid w:val="00046ADE"/>
    <w:rsid w:val="00046B5B"/>
    <w:rsid w:val="00046B97"/>
    <w:rsid w:val="00046C97"/>
    <w:rsid w:val="00046CB3"/>
    <w:rsid w:val="00046CBE"/>
    <w:rsid w:val="00046CE1"/>
    <w:rsid w:val="00046D02"/>
    <w:rsid w:val="00046D7A"/>
    <w:rsid w:val="00046DA0"/>
    <w:rsid w:val="00046DA5"/>
    <w:rsid w:val="00046DB5"/>
    <w:rsid w:val="00046DFB"/>
    <w:rsid w:val="00046E1E"/>
    <w:rsid w:val="00046E3D"/>
    <w:rsid w:val="00046E7B"/>
    <w:rsid w:val="00046E8C"/>
    <w:rsid w:val="00046F4A"/>
    <w:rsid w:val="0004702A"/>
    <w:rsid w:val="00047044"/>
    <w:rsid w:val="0004705D"/>
    <w:rsid w:val="00047063"/>
    <w:rsid w:val="0004707C"/>
    <w:rsid w:val="00047086"/>
    <w:rsid w:val="00047088"/>
    <w:rsid w:val="00047095"/>
    <w:rsid w:val="000470B6"/>
    <w:rsid w:val="000470BB"/>
    <w:rsid w:val="0004711E"/>
    <w:rsid w:val="00047140"/>
    <w:rsid w:val="00047151"/>
    <w:rsid w:val="0004716D"/>
    <w:rsid w:val="0004717F"/>
    <w:rsid w:val="000471C8"/>
    <w:rsid w:val="000471DD"/>
    <w:rsid w:val="000471DF"/>
    <w:rsid w:val="000471F7"/>
    <w:rsid w:val="0004723C"/>
    <w:rsid w:val="0004723D"/>
    <w:rsid w:val="00047245"/>
    <w:rsid w:val="00047281"/>
    <w:rsid w:val="000472F7"/>
    <w:rsid w:val="00047328"/>
    <w:rsid w:val="00047331"/>
    <w:rsid w:val="0004734B"/>
    <w:rsid w:val="00047370"/>
    <w:rsid w:val="000473BB"/>
    <w:rsid w:val="0004740B"/>
    <w:rsid w:val="00047422"/>
    <w:rsid w:val="00047428"/>
    <w:rsid w:val="00047430"/>
    <w:rsid w:val="0004745C"/>
    <w:rsid w:val="00047467"/>
    <w:rsid w:val="000474C3"/>
    <w:rsid w:val="000474EF"/>
    <w:rsid w:val="000474FC"/>
    <w:rsid w:val="000474FD"/>
    <w:rsid w:val="00047527"/>
    <w:rsid w:val="0004752A"/>
    <w:rsid w:val="0004754C"/>
    <w:rsid w:val="0004756C"/>
    <w:rsid w:val="000475BD"/>
    <w:rsid w:val="000475C8"/>
    <w:rsid w:val="0004762A"/>
    <w:rsid w:val="0004767A"/>
    <w:rsid w:val="000476B2"/>
    <w:rsid w:val="0004771D"/>
    <w:rsid w:val="00047737"/>
    <w:rsid w:val="00047761"/>
    <w:rsid w:val="00047796"/>
    <w:rsid w:val="000477C3"/>
    <w:rsid w:val="000477CD"/>
    <w:rsid w:val="000477DA"/>
    <w:rsid w:val="000477DB"/>
    <w:rsid w:val="000477E8"/>
    <w:rsid w:val="00047808"/>
    <w:rsid w:val="00047883"/>
    <w:rsid w:val="0004789A"/>
    <w:rsid w:val="000478A9"/>
    <w:rsid w:val="000478DF"/>
    <w:rsid w:val="000478EF"/>
    <w:rsid w:val="000478FC"/>
    <w:rsid w:val="0004796D"/>
    <w:rsid w:val="0004799D"/>
    <w:rsid w:val="000479AB"/>
    <w:rsid w:val="000479BA"/>
    <w:rsid w:val="000479E7"/>
    <w:rsid w:val="00047A2F"/>
    <w:rsid w:val="00047A35"/>
    <w:rsid w:val="00047A76"/>
    <w:rsid w:val="00047AF5"/>
    <w:rsid w:val="00047B25"/>
    <w:rsid w:val="00047B5F"/>
    <w:rsid w:val="00047B69"/>
    <w:rsid w:val="00047BB1"/>
    <w:rsid w:val="00047BD2"/>
    <w:rsid w:val="00047BF8"/>
    <w:rsid w:val="00047C58"/>
    <w:rsid w:val="00047C76"/>
    <w:rsid w:val="00047CE6"/>
    <w:rsid w:val="00047CF2"/>
    <w:rsid w:val="00047D0F"/>
    <w:rsid w:val="00047D19"/>
    <w:rsid w:val="00047D4D"/>
    <w:rsid w:val="00047D71"/>
    <w:rsid w:val="00047D7A"/>
    <w:rsid w:val="00047D7D"/>
    <w:rsid w:val="00047DBA"/>
    <w:rsid w:val="00047DC0"/>
    <w:rsid w:val="00047DC5"/>
    <w:rsid w:val="00047DCE"/>
    <w:rsid w:val="00047E7D"/>
    <w:rsid w:val="00047ECB"/>
    <w:rsid w:val="00047EE7"/>
    <w:rsid w:val="00047F06"/>
    <w:rsid w:val="00047F33"/>
    <w:rsid w:val="00047F63"/>
    <w:rsid w:val="00047F83"/>
    <w:rsid w:val="00050036"/>
    <w:rsid w:val="0005006A"/>
    <w:rsid w:val="000500AC"/>
    <w:rsid w:val="000500BD"/>
    <w:rsid w:val="00050103"/>
    <w:rsid w:val="0005015D"/>
    <w:rsid w:val="00050245"/>
    <w:rsid w:val="00050255"/>
    <w:rsid w:val="00050296"/>
    <w:rsid w:val="0005029A"/>
    <w:rsid w:val="000502E7"/>
    <w:rsid w:val="00050307"/>
    <w:rsid w:val="00050329"/>
    <w:rsid w:val="000503AB"/>
    <w:rsid w:val="000503BE"/>
    <w:rsid w:val="00050404"/>
    <w:rsid w:val="00050458"/>
    <w:rsid w:val="00050485"/>
    <w:rsid w:val="0005049B"/>
    <w:rsid w:val="000504FE"/>
    <w:rsid w:val="0005052B"/>
    <w:rsid w:val="00050532"/>
    <w:rsid w:val="00050538"/>
    <w:rsid w:val="00050590"/>
    <w:rsid w:val="000505C7"/>
    <w:rsid w:val="000505DA"/>
    <w:rsid w:val="0005060D"/>
    <w:rsid w:val="00050628"/>
    <w:rsid w:val="00050657"/>
    <w:rsid w:val="00050675"/>
    <w:rsid w:val="0005067F"/>
    <w:rsid w:val="0005068E"/>
    <w:rsid w:val="0005068F"/>
    <w:rsid w:val="00050714"/>
    <w:rsid w:val="00050719"/>
    <w:rsid w:val="00050720"/>
    <w:rsid w:val="00050728"/>
    <w:rsid w:val="00050749"/>
    <w:rsid w:val="00050796"/>
    <w:rsid w:val="000507EF"/>
    <w:rsid w:val="00050897"/>
    <w:rsid w:val="0005099B"/>
    <w:rsid w:val="000509B9"/>
    <w:rsid w:val="000509C9"/>
    <w:rsid w:val="000509FA"/>
    <w:rsid w:val="000509FE"/>
    <w:rsid w:val="00050A46"/>
    <w:rsid w:val="00050A55"/>
    <w:rsid w:val="00050A8C"/>
    <w:rsid w:val="00050A96"/>
    <w:rsid w:val="00050AA8"/>
    <w:rsid w:val="00050ADA"/>
    <w:rsid w:val="00050B04"/>
    <w:rsid w:val="00050B43"/>
    <w:rsid w:val="00050B69"/>
    <w:rsid w:val="00050BC5"/>
    <w:rsid w:val="00050C02"/>
    <w:rsid w:val="00050C03"/>
    <w:rsid w:val="00050C43"/>
    <w:rsid w:val="00050C4B"/>
    <w:rsid w:val="00050C92"/>
    <w:rsid w:val="00050CAC"/>
    <w:rsid w:val="00050CC2"/>
    <w:rsid w:val="00050CD5"/>
    <w:rsid w:val="00050CDB"/>
    <w:rsid w:val="00050CDC"/>
    <w:rsid w:val="00050D0B"/>
    <w:rsid w:val="00050D37"/>
    <w:rsid w:val="00050D46"/>
    <w:rsid w:val="00050D50"/>
    <w:rsid w:val="00050E30"/>
    <w:rsid w:val="00050E34"/>
    <w:rsid w:val="00050E3C"/>
    <w:rsid w:val="00050E8A"/>
    <w:rsid w:val="00050EE7"/>
    <w:rsid w:val="00050EED"/>
    <w:rsid w:val="00050F02"/>
    <w:rsid w:val="00050F3D"/>
    <w:rsid w:val="00050F63"/>
    <w:rsid w:val="00050F9F"/>
    <w:rsid w:val="00051030"/>
    <w:rsid w:val="0005105D"/>
    <w:rsid w:val="0005106F"/>
    <w:rsid w:val="000510C1"/>
    <w:rsid w:val="000510F5"/>
    <w:rsid w:val="000510FE"/>
    <w:rsid w:val="00051108"/>
    <w:rsid w:val="00051154"/>
    <w:rsid w:val="0005116C"/>
    <w:rsid w:val="0005119D"/>
    <w:rsid w:val="000511B4"/>
    <w:rsid w:val="000511B9"/>
    <w:rsid w:val="0005122F"/>
    <w:rsid w:val="0005123E"/>
    <w:rsid w:val="00051261"/>
    <w:rsid w:val="0005127E"/>
    <w:rsid w:val="00051297"/>
    <w:rsid w:val="000512C2"/>
    <w:rsid w:val="000512F6"/>
    <w:rsid w:val="000512FD"/>
    <w:rsid w:val="00051315"/>
    <w:rsid w:val="0005132C"/>
    <w:rsid w:val="0005134E"/>
    <w:rsid w:val="000513A2"/>
    <w:rsid w:val="000513FD"/>
    <w:rsid w:val="00051408"/>
    <w:rsid w:val="0005140E"/>
    <w:rsid w:val="00051453"/>
    <w:rsid w:val="0005145E"/>
    <w:rsid w:val="00051475"/>
    <w:rsid w:val="0005156A"/>
    <w:rsid w:val="0005159F"/>
    <w:rsid w:val="00051611"/>
    <w:rsid w:val="0005161D"/>
    <w:rsid w:val="000516BD"/>
    <w:rsid w:val="000516ED"/>
    <w:rsid w:val="00051714"/>
    <w:rsid w:val="000517CC"/>
    <w:rsid w:val="000517F7"/>
    <w:rsid w:val="00051885"/>
    <w:rsid w:val="000518A2"/>
    <w:rsid w:val="000518CC"/>
    <w:rsid w:val="000518E0"/>
    <w:rsid w:val="00051905"/>
    <w:rsid w:val="00051912"/>
    <w:rsid w:val="00051961"/>
    <w:rsid w:val="000519B8"/>
    <w:rsid w:val="00051A01"/>
    <w:rsid w:val="00051A61"/>
    <w:rsid w:val="00051B3A"/>
    <w:rsid w:val="00051B64"/>
    <w:rsid w:val="00051B65"/>
    <w:rsid w:val="00051B83"/>
    <w:rsid w:val="00051BD7"/>
    <w:rsid w:val="00051C01"/>
    <w:rsid w:val="00051C5E"/>
    <w:rsid w:val="00051C7D"/>
    <w:rsid w:val="00051C81"/>
    <w:rsid w:val="00051C9D"/>
    <w:rsid w:val="00051CA6"/>
    <w:rsid w:val="00051CAA"/>
    <w:rsid w:val="00051CED"/>
    <w:rsid w:val="00051D02"/>
    <w:rsid w:val="00051D1A"/>
    <w:rsid w:val="00051D20"/>
    <w:rsid w:val="00051D7B"/>
    <w:rsid w:val="00051D81"/>
    <w:rsid w:val="00051DAF"/>
    <w:rsid w:val="00051DD6"/>
    <w:rsid w:val="00051E46"/>
    <w:rsid w:val="00051E7E"/>
    <w:rsid w:val="00051E8A"/>
    <w:rsid w:val="00051F00"/>
    <w:rsid w:val="00051F17"/>
    <w:rsid w:val="00051F3C"/>
    <w:rsid w:val="00051F83"/>
    <w:rsid w:val="00051F9F"/>
    <w:rsid w:val="00051FE3"/>
    <w:rsid w:val="00051FE9"/>
    <w:rsid w:val="0005204C"/>
    <w:rsid w:val="00052066"/>
    <w:rsid w:val="000520E8"/>
    <w:rsid w:val="000520EB"/>
    <w:rsid w:val="0005215B"/>
    <w:rsid w:val="00052168"/>
    <w:rsid w:val="0005216A"/>
    <w:rsid w:val="00052171"/>
    <w:rsid w:val="00052178"/>
    <w:rsid w:val="00052193"/>
    <w:rsid w:val="000521B8"/>
    <w:rsid w:val="000521C2"/>
    <w:rsid w:val="000521CD"/>
    <w:rsid w:val="000521D8"/>
    <w:rsid w:val="000521FE"/>
    <w:rsid w:val="00052218"/>
    <w:rsid w:val="00052225"/>
    <w:rsid w:val="00052227"/>
    <w:rsid w:val="00052267"/>
    <w:rsid w:val="000522CC"/>
    <w:rsid w:val="00052448"/>
    <w:rsid w:val="00052468"/>
    <w:rsid w:val="00052483"/>
    <w:rsid w:val="0005248B"/>
    <w:rsid w:val="0005249E"/>
    <w:rsid w:val="000524B4"/>
    <w:rsid w:val="000524B5"/>
    <w:rsid w:val="000524FE"/>
    <w:rsid w:val="00052525"/>
    <w:rsid w:val="00052554"/>
    <w:rsid w:val="00052579"/>
    <w:rsid w:val="0005257C"/>
    <w:rsid w:val="0005259D"/>
    <w:rsid w:val="000525C1"/>
    <w:rsid w:val="000525DF"/>
    <w:rsid w:val="000525E8"/>
    <w:rsid w:val="000525FC"/>
    <w:rsid w:val="00052611"/>
    <w:rsid w:val="00052629"/>
    <w:rsid w:val="00052635"/>
    <w:rsid w:val="00052655"/>
    <w:rsid w:val="00052659"/>
    <w:rsid w:val="00052680"/>
    <w:rsid w:val="000526CF"/>
    <w:rsid w:val="000526D4"/>
    <w:rsid w:val="00052734"/>
    <w:rsid w:val="00052772"/>
    <w:rsid w:val="00052784"/>
    <w:rsid w:val="000527B7"/>
    <w:rsid w:val="000527F2"/>
    <w:rsid w:val="000528F8"/>
    <w:rsid w:val="00052930"/>
    <w:rsid w:val="0005294C"/>
    <w:rsid w:val="00052975"/>
    <w:rsid w:val="0005297B"/>
    <w:rsid w:val="000529B4"/>
    <w:rsid w:val="000529D7"/>
    <w:rsid w:val="00052A0E"/>
    <w:rsid w:val="00052A17"/>
    <w:rsid w:val="00052A6A"/>
    <w:rsid w:val="00052B1E"/>
    <w:rsid w:val="00052B2C"/>
    <w:rsid w:val="00052BA1"/>
    <w:rsid w:val="00052BC9"/>
    <w:rsid w:val="00052C12"/>
    <w:rsid w:val="00052C2A"/>
    <w:rsid w:val="00052C3A"/>
    <w:rsid w:val="00052C6B"/>
    <w:rsid w:val="00052C9D"/>
    <w:rsid w:val="00052CB1"/>
    <w:rsid w:val="00052D2E"/>
    <w:rsid w:val="00052D51"/>
    <w:rsid w:val="00052D86"/>
    <w:rsid w:val="00052D9C"/>
    <w:rsid w:val="00052DE6"/>
    <w:rsid w:val="00052E53"/>
    <w:rsid w:val="00052E84"/>
    <w:rsid w:val="00052E99"/>
    <w:rsid w:val="00052ED8"/>
    <w:rsid w:val="00052EFC"/>
    <w:rsid w:val="00052F03"/>
    <w:rsid w:val="00052F24"/>
    <w:rsid w:val="00052F5E"/>
    <w:rsid w:val="00052FD3"/>
    <w:rsid w:val="00053041"/>
    <w:rsid w:val="00053059"/>
    <w:rsid w:val="0005306E"/>
    <w:rsid w:val="0005309A"/>
    <w:rsid w:val="000530C6"/>
    <w:rsid w:val="000530D2"/>
    <w:rsid w:val="000530E0"/>
    <w:rsid w:val="000530FF"/>
    <w:rsid w:val="0005312F"/>
    <w:rsid w:val="000531B2"/>
    <w:rsid w:val="000531B4"/>
    <w:rsid w:val="000531C3"/>
    <w:rsid w:val="000531DA"/>
    <w:rsid w:val="00053224"/>
    <w:rsid w:val="0005323A"/>
    <w:rsid w:val="00053257"/>
    <w:rsid w:val="00053297"/>
    <w:rsid w:val="000532CC"/>
    <w:rsid w:val="000532E8"/>
    <w:rsid w:val="000532EF"/>
    <w:rsid w:val="000533B8"/>
    <w:rsid w:val="000533C5"/>
    <w:rsid w:val="000533E8"/>
    <w:rsid w:val="0005345E"/>
    <w:rsid w:val="000534F7"/>
    <w:rsid w:val="0005352B"/>
    <w:rsid w:val="0005354E"/>
    <w:rsid w:val="00053592"/>
    <w:rsid w:val="000535F9"/>
    <w:rsid w:val="00053636"/>
    <w:rsid w:val="00053662"/>
    <w:rsid w:val="0005375A"/>
    <w:rsid w:val="00053776"/>
    <w:rsid w:val="00053782"/>
    <w:rsid w:val="000537E0"/>
    <w:rsid w:val="00053829"/>
    <w:rsid w:val="00053919"/>
    <w:rsid w:val="00053966"/>
    <w:rsid w:val="0005398B"/>
    <w:rsid w:val="000539C0"/>
    <w:rsid w:val="000539D0"/>
    <w:rsid w:val="000539F5"/>
    <w:rsid w:val="00053A0D"/>
    <w:rsid w:val="00053A4C"/>
    <w:rsid w:val="00053A66"/>
    <w:rsid w:val="00053AAF"/>
    <w:rsid w:val="00053B11"/>
    <w:rsid w:val="00053B44"/>
    <w:rsid w:val="00053B5F"/>
    <w:rsid w:val="00053B74"/>
    <w:rsid w:val="00053BDA"/>
    <w:rsid w:val="00053C3E"/>
    <w:rsid w:val="00053CEB"/>
    <w:rsid w:val="00053CF3"/>
    <w:rsid w:val="00053D00"/>
    <w:rsid w:val="00053D1D"/>
    <w:rsid w:val="00053DA0"/>
    <w:rsid w:val="00053DC5"/>
    <w:rsid w:val="00053DDD"/>
    <w:rsid w:val="00053DEA"/>
    <w:rsid w:val="00053E25"/>
    <w:rsid w:val="00053E50"/>
    <w:rsid w:val="00053E69"/>
    <w:rsid w:val="00053E9F"/>
    <w:rsid w:val="00053EB7"/>
    <w:rsid w:val="00053F01"/>
    <w:rsid w:val="00053F22"/>
    <w:rsid w:val="00053F56"/>
    <w:rsid w:val="00053FC0"/>
    <w:rsid w:val="00054064"/>
    <w:rsid w:val="00054089"/>
    <w:rsid w:val="0005417C"/>
    <w:rsid w:val="000541AB"/>
    <w:rsid w:val="00054222"/>
    <w:rsid w:val="00054252"/>
    <w:rsid w:val="00054276"/>
    <w:rsid w:val="0005428C"/>
    <w:rsid w:val="000542A3"/>
    <w:rsid w:val="000542BB"/>
    <w:rsid w:val="000542E7"/>
    <w:rsid w:val="00054304"/>
    <w:rsid w:val="00054313"/>
    <w:rsid w:val="0005433D"/>
    <w:rsid w:val="00054360"/>
    <w:rsid w:val="00054383"/>
    <w:rsid w:val="000543B4"/>
    <w:rsid w:val="000543DD"/>
    <w:rsid w:val="000543F5"/>
    <w:rsid w:val="0005443E"/>
    <w:rsid w:val="00054483"/>
    <w:rsid w:val="000544A5"/>
    <w:rsid w:val="000544EF"/>
    <w:rsid w:val="00054504"/>
    <w:rsid w:val="00054546"/>
    <w:rsid w:val="00054557"/>
    <w:rsid w:val="0005457C"/>
    <w:rsid w:val="00054622"/>
    <w:rsid w:val="00054655"/>
    <w:rsid w:val="00054690"/>
    <w:rsid w:val="000546A7"/>
    <w:rsid w:val="000546DD"/>
    <w:rsid w:val="000546DE"/>
    <w:rsid w:val="0005470B"/>
    <w:rsid w:val="00054765"/>
    <w:rsid w:val="00054784"/>
    <w:rsid w:val="000547A5"/>
    <w:rsid w:val="000547F0"/>
    <w:rsid w:val="000547F3"/>
    <w:rsid w:val="00054891"/>
    <w:rsid w:val="000548BA"/>
    <w:rsid w:val="00054939"/>
    <w:rsid w:val="00054961"/>
    <w:rsid w:val="0005497D"/>
    <w:rsid w:val="00054980"/>
    <w:rsid w:val="000549B9"/>
    <w:rsid w:val="00054A0C"/>
    <w:rsid w:val="00054A16"/>
    <w:rsid w:val="00054A58"/>
    <w:rsid w:val="00054A86"/>
    <w:rsid w:val="00054A87"/>
    <w:rsid w:val="00054A91"/>
    <w:rsid w:val="00054A9B"/>
    <w:rsid w:val="00054B57"/>
    <w:rsid w:val="00054BE3"/>
    <w:rsid w:val="00054C7B"/>
    <w:rsid w:val="00054CC9"/>
    <w:rsid w:val="00054CCD"/>
    <w:rsid w:val="00054D19"/>
    <w:rsid w:val="00054D69"/>
    <w:rsid w:val="00054DEB"/>
    <w:rsid w:val="00054E25"/>
    <w:rsid w:val="00054E37"/>
    <w:rsid w:val="00054E38"/>
    <w:rsid w:val="00054E58"/>
    <w:rsid w:val="00054E5D"/>
    <w:rsid w:val="00054E65"/>
    <w:rsid w:val="00054E6A"/>
    <w:rsid w:val="00054E77"/>
    <w:rsid w:val="00054EA1"/>
    <w:rsid w:val="00054EA4"/>
    <w:rsid w:val="00054EA7"/>
    <w:rsid w:val="00054EC4"/>
    <w:rsid w:val="00054ECC"/>
    <w:rsid w:val="00054F01"/>
    <w:rsid w:val="00054F0B"/>
    <w:rsid w:val="00054F22"/>
    <w:rsid w:val="00054F28"/>
    <w:rsid w:val="00054F65"/>
    <w:rsid w:val="00054FDE"/>
    <w:rsid w:val="00055005"/>
    <w:rsid w:val="00055029"/>
    <w:rsid w:val="0005503F"/>
    <w:rsid w:val="000550A8"/>
    <w:rsid w:val="000550EA"/>
    <w:rsid w:val="000551A1"/>
    <w:rsid w:val="000551CD"/>
    <w:rsid w:val="0005522E"/>
    <w:rsid w:val="00055276"/>
    <w:rsid w:val="000552C5"/>
    <w:rsid w:val="000552DC"/>
    <w:rsid w:val="000552EA"/>
    <w:rsid w:val="00055301"/>
    <w:rsid w:val="0005534A"/>
    <w:rsid w:val="0005535B"/>
    <w:rsid w:val="0005537C"/>
    <w:rsid w:val="00055388"/>
    <w:rsid w:val="000553A1"/>
    <w:rsid w:val="000553C2"/>
    <w:rsid w:val="000553FF"/>
    <w:rsid w:val="0005541C"/>
    <w:rsid w:val="00055473"/>
    <w:rsid w:val="0005547B"/>
    <w:rsid w:val="000554AC"/>
    <w:rsid w:val="000554EA"/>
    <w:rsid w:val="0005552F"/>
    <w:rsid w:val="00055559"/>
    <w:rsid w:val="00055579"/>
    <w:rsid w:val="00055584"/>
    <w:rsid w:val="00055585"/>
    <w:rsid w:val="000555A1"/>
    <w:rsid w:val="000555AE"/>
    <w:rsid w:val="000555FD"/>
    <w:rsid w:val="00055613"/>
    <w:rsid w:val="00055614"/>
    <w:rsid w:val="00055672"/>
    <w:rsid w:val="00055686"/>
    <w:rsid w:val="00055699"/>
    <w:rsid w:val="000556A7"/>
    <w:rsid w:val="000556BC"/>
    <w:rsid w:val="000556CD"/>
    <w:rsid w:val="000556E7"/>
    <w:rsid w:val="00055740"/>
    <w:rsid w:val="00055793"/>
    <w:rsid w:val="000557A8"/>
    <w:rsid w:val="0005583D"/>
    <w:rsid w:val="0005589F"/>
    <w:rsid w:val="000558BE"/>
    <w:rsid w:val="0005595B"/>
    <w:rsid w:val="00055968"/>
    <w:rsid w:val="0005596B"/>
    <w:rsid w:val="0005596C"/>
    <w:rsid w:val="000559AF"/>
    <w:rsid w:val="000559BA"/>
    <w:rsid w:val="000559C1"/>
    <w:rsid w:val="00055A2F"/>
    <w:rsid w:val="00055A6F"/>
    <w:rsid w:val="00055A98"/>
    <w:rsid w:val="00055AC9"/>
    <w:rsid w:val="00055AF1"/>
    <w:rsid w:val="00055B49"/>
    <w:rsid w:val="00055B69"/>
    <w:rsid w:val="00055B88"/>
    <w:rsid w:val="00055B8E"/>
    <w:rsid w:val="00055B97"/>
    <w:rsid w:val="00055BA7"/>
    <w:rsid w:val="00055BC7"/>
    <w:rsid w:val="00055C85"/>
    <w:rsid w:val="00055CCB"/>
    <w:rsid w:val="00055D00"/>
    <w:rsid w:val="00055D4A"/>
    <w:rsid w:val="00055D97"/>
    <w:rsid w:val="00055D9C"/>
    <w:rsid w:val="00055DAA"/>
    <w:rsid w:val="00055DB5"/>
    <w:rsid w:val="00055DBC"/>
    <w:rsid w:val="00055DCC"/>
    <w:rsid w:val="00055DF1"/>
    <w:rsid w:val="00055E2B"/>
    <w:rsid w:val="00055E74"/>
    <w:rsid w:val="00055E8C"/>
    <w:rsid w:val="00055EA2"/>
    <w:rsid w:val="00055EC0"/>
    <w:rsid w:val="00055EDD"/>
    <w:rsid w:val="00055EDF"/>
    <w:rsid w:val="00055FAB"/>
    <w:rsid w:val="00055FCA"/>
    <w:rsid w:val="00055FD4"/>
    <w:rsid w:val="00055FF3"/>
    <w:rsid w:val="00055FFB"/>
    <w:rsid w:val="0005602E"/>
    <w:rsid w:val="00056053"/>
    <w:rsid w:val="000560A5"/>
    <w:rsid w:val="000560CB"/>
    <w:rsid w:val="000560CD"/>
    <w:rsid w:val="000560D6"/>
    <w:rsid w:val="000560F1"/>
    <w:rsid w:val="0005617F"/>
    <w:rsid w:val="000561AE"/>
    <w:rsid w:val="000561CA"/>
    <w:rsid w:val="000561D4"/>
    <w:rsid w:val="000561E7"/>
    <w:rsid w:val="00056205"/>
    <w:rsid w:val="00056250"/>
    <w:rsid w:val="0005629D"/>
    <w:rsid w:val="000562B9"/>
    <w:rsid w:val="000562FC"/>
    <w:rsid w:val="00056315"/>
    <w:rsid w:val="00056343"/>
    <w:rsid w:val="00056380"/>
    <w:rsid w:val="000563BB"/>
    <w:rsid w:val="00056465"/>
    <w:rsid w:val="00056498"/>
    <w:rsid w:val="000564A9"/>
    <w:rsid w:val="000564D0"/>
    <w:rsid w:val="000564D5"/>
    <w:rsid w:val="000564E1"/>
    <w:rsid w:val="00056522"/>
    <w:rsid w:val="00056526"/>
    <w:rsid w:val="000565E2"/>
    <w:rsid w:val="0005660C"/>
    <w:rsid w:val="00056633"/>
    <w:rsid w:val="0005666D"/>
    <w:rsid w:val="0005669A"/>
    <w:rsid w:val="000566EC"/>
    <w:rsid w:val="00056767"/>
    <w:rsid w:val="0005676F"/>
    <w:rsid w:val="00056797"/>
    <w:rsid w:val="000567D8"/>
    <w:rsid w:val="00056806"/>
    <w:rsid w:val="0005680C"/>
    <w:rsid w:val="0005681B"/>
    <w:rsid w:val="0005682F"/>
    <w:rsid w:val="00056845"/>
    <w:rsid w:val="000568CA"/>
    <w:rsid w:val="00056932"/>
    <w:rsid w:val="0005693B"/>
    <w:rsid w:val="0005697C"/>
    <w:rsid w:val="000569A2"/>
    <w:rsid w:val="000569B8"/>
    <w:rsid w:val="000569D4"/>
    <w:rsid w:val="00056A35"/>
    <w:rsid w:val="00056A4B"/>
    <w:rsid w:val="00056A4D"/>
    <w:rsid w:val="00056A8C"/>
    <w:rsid w:val="00056A8D"/>
    <w:rsid w:val="00056AB2"/>
    <w:rsid w:val="00056B4A"/>
    <w:rsid w:val="00056B4B"/>
    <w:rsid w:val="00056B74"/>
    <w:rsid w:val="00056B93"/>
    <w:rsid w:val="00056B97"/>
    <w:rsid w:val="00056BE4"/>
    <w:rsid w:val="00056C25"/>
    <w:rsid w:val="00056C26"/>
    <w:rsid w:val="00056CB4"/>
    <w:rsid w:val="00056D03"/>
    <w:rsid w:val="00056D15"/>
    <w:rsid w:val="00056D25"/>
    <w:rsid w:val="00056D38"/>
    <w:rsid w:val="00056D8A"/>
    <w:rsid w:val="00056D8E"/>
    <w:rsid w:val="00056DB5"/>
    <w:rsid w:val="00056DF3"/>
    <w:rsid w:val="00056E00"/>
    <w:rsid w:val="00056E0D"/>
    <w:rsid w:val="00056E4C"/>
    <w:rsid w:val="00056E5D"/>
    <w:rsid w:val="00056E98"/>
    <w:rsid w:val="00056EB8"/>
    <w:rsid w:val="00056EDC"/>
    <w:rsid w:val="00056F6E"/>
    <w:rsid w:val="00056FA0"/>
    <w:rsid w:val="00056FBF"/>
    <w:rsid w:val="00056FF2"/>
    <w:rsid w:val="00057005"/>
    <w:rsid w:val="0005700C"/>
    <w:rsid w:val="00057010"/>
    <w:rsid w:val="000570DB"/>
    <w:rsid w:val="000570E5"/>
    <w:rsid w:val="000570E7"/>
    <w:rsid w:val="000570F2"/>
    <w:rsid w:val="00057101"/>
    <w:rsid w:val="00057162"/>
    <w:rsid w:val="0005716F"/>
    <w:rsid w:val="000571B5"/>
    <w:rsid w:val="00057202"/>
    <w:rsid w:val="00057234"/>
    <w:rsid w:val="00057249"/>
    <w:rsid w:val="00057262"/>
    <w:rsid w:val="0005729C"/>
    <w:rsid w:val="000572C5"/>
    <w:rsid w:val="0005731B"/>
    <w:rsid w:val="00057324"/>
    <w:rsid w:val="00057328"/>
    <w:rsid w:val="0005733C"/>
    <w:rsid w:val="0005734F"/>
    <w:rsid w:val="00057356"/>
    <w:rsid w:val="00057362"/>
    <w:rsid w:val="000573BB"/>
    <w:rsid w:val="000573E5"/>
    <w:rsid w:val="00057423"/>
    <w:rsid w:val="00057483"/>
    <w:rsid w:val="000574AE"/>
    <w:rsid w:val="000574B8"/>
    <w:rsid w:val="000574BF"/>
    <w:rsid w:val="000574F2"/>
    <w:rsid w:val="00057537"/>
    <w:rsid w:val="0005756D"/>
    <w:rsid w:val="000575A3"/>
    <w:rsid w:val="000575AD"/>
    <w:rsid w:val="0005760B"/>
    <w:rsid w:val="0005760C"/>
    <w:rsid w:val="00057612"/>
    <w:rsid w:val="00057637"/>
    <w:rsid w:val="000576CD"/>
    <w:rsid w:val="0005770B"/>
    <w:rsid w:val="00057794"/>
    <w:rsid w:val="00057797"/>
    <w:rsid w:val="000577BD"/>
    <w:rsid w:val="000577CD"/>
    <w:rsid w:val="000577D3"/>
    <w:rsid w:val="000577E1"/>
    <w:rsid w:val="00057856"/>
    <w:rsid w:val="0005787F"/>
    <w:rsid w:val="000578AE"/>
    <w:rsid w:val="000578DB"/>
    <w:rsid w:val="000578EF"/>
    <w:rsid w:val="0005799E"/>
    <w:rsid w:val="0005799F"/>
    <w:rsid w:val="000579C4"/>
    <w:rsid w:val="00057A1C"/>
    <w:rsid w:val="00057A37"/>
    <w:rsid w:val="00057A47"/>
    <w:rsid w:val="00057AE3"/>
    <w:rsid w:val="00057AF0"/>
    <w:rsid w:val="00057B05"/>
    <w:rsid w:val="00057B07"/>
    <w:rsid w:val="00057BE5"/>
    <w:rsid w:val="00057BF0"/>
    <w:rsid w:val="00057C67"/>
    <w:rsid w:val="00057CBE"/>
    <w:rsid w:val="00057CDA"/>
    <w:rsid w:val="00057D00"/>
    <w:rsid w:val="00057D52"/>
    <w:rsid w:val="00057D8A"/>
    <w:rsid w:val="00057DA3"/>
    <w:rsid w:val="00057DC5"/>
    <w:rsid w:val="00057DD3"/>
    <w:rsid w:val="00057DE6"/>
    <w:rsid w:val="00057E09"/>
    <w:rsid w:val="00057E0D"/>
    <w:rsid w:val="00057E78"/>
    <w:rsid w:val="00057E85"/>
    <w:rsid w:val="00057EDC"/>
    <w:rsid w:val="00057EFB"/>
    <w:rsid w:val="00057F39"/>
    <w:rsid w:val="00057F92"/>
    <w:rsid w:val="00060045"/>
    <w:rsid w:val="000600D5"/>
    <w:rsid w:val="0006011E"/>
    <w:rsid w:val="00060167"/>
    <w:rsid w:val="000601B9"/>
    <w:rsid w:val="000601D3"/>
    <w:rsid w:val="00060204"/>
    <w:rsid w:val="0006023E"/>
    <w:rsid w:val="00060273"/>
    <w:rsid w:val="000602DB"/>
    <w:rsid w:val="00060321"/>
    <w:rsid w:val="0006032B"/>
    <w:rsid w:val="00060371"/>
    <w:rsid w:val="00060381"/>
    <w:rsid w:val="000603F8"/>
    <w:rsid w:val="0006040B"/>
    <w:rsid w:val="0006040E"/>
    <w:rsid w:val="00060467"/>
    <w:rsid w:val="00060477"/>
    <w:rsid w:val="0006049B"/>
    <w:rsid w:val="000604B9"/>
    <w:rsid w:val="000604DE"/>
    <w:rsid w:val="00060563"/>
    <w:rsid w:val="00060575"/>
    <w:rsid w:val="0006057F"/>
    <w:rsid w:val="00060584"/>
    <w:rsid w:val="0006059A"/>
    <w:rsid w:val="000605A9"/>
    <w:rsid w:val="000605D6"/>
    <w:rsid w:val="000605F5"/>
    <w:rsid w:val="00060619"/>
    <w:rsid w:val="00060659"/>
    <w:rsid w:val="0006068A"/>
    <w:rsid w:val="00060749"/>
    <w:rsid w:val="00060758"/>
    <w:rsid w:val="000607C2"/>
    <w:rsid w:val="0006083E"/>
    <w:rsid w:val="0006085B"/>
    <w:rsid w:val="0006089B"/>
    <w:rsid w:val="000608EA"/>
    <w:rsid w:val="000609B1"/>
    <w:rsid w:val="00060A61"/>
    <w:rsid w:val="00060A76"/>
    <w:rsid w:val="00060A8F"/>
    <w:rsid w:val="00060AA6"/>
    <w:rsid w:val="00060AB6"/>
    <w:rsid w:val="00060B45"/>
    <w:rsid w:val="00060B85"/>
    <w:rsid w:val="00060B88"/>
    <w:rsid w:val="00060C48"/>
    <w:rsid w:val="00060C52"/>
    <w:rsid w:val="00060C5F"/>
    <w:rsid w:val="00060C64"/>
    <w:rsid w:val="00060CEF"/>
    <w:rsid w:val="00060D10"/>
    <w:rsid w:val="00060D7B"/>
    <w:rsid w:val="00060DB0"/>
    <w:rsid w:val="00060E59"/>
    <w:rsid w:val="00060E9C"/>
    <w:rsid w:val="00060EAB"/>
    <w:rsid w:val="00060EB2"/>
    <w:rsid w:val="00060EF6"/>
    <w:rsid w:val="00060EF8"/>
    <w:rsid w:val="00060F1B"/>
    <w:rsid w:val="00060F3B"/>
    <w:rsid w:val="00060F52"/>
    <w:rsid w:val="00060F90"/>
    <w:rsid w:val="00060FE7"/>
    <w:rsid w:val="00061023"/>
    <w:rsid w:val="00061036"/>
    <w:rsid w:val="00061046"/>
    <w:rsid w:val="00061047"/>
    <w:rsid w:val="00061068"/>
    <w:rsid w:val="00061074"/>
    <w:rsid w:val="00061108"/>
    <w:rsid w:val="00061168"/>
    <w:rsid w:val="0006119E"/>
    <w:rsid w:val="000611B0"/>
    <w:rsid w:val="000611D5"/>
    <w:rsid w:val="000611ED"/>
    <w:rsid w:val="0006124E"/>
    <w:rsid w:val="00061251"/>
    <w:rsid w:val="0006126E"/>
    <w:rsid w:val="0006129A"/>
    <w:rsid w:val="000612B3"/>
    <w:rsid w:val="000612D0"/>
    <w:rsid w:val="000612EB"/>
    <w:rsid w:val="00061320"/>
    <w:rsid w:val="00061324"/>
    <w:rsid w:val="0006132D"/>
    <w:rsid w:val="00061338"/>
    <w:rsid w:val="000613BC"/>
    <w:rsid w:val="000613FB"/>
    <w:rsid w:val="00061453"/>
    <w:rsid w:val="0006145E"/>
    <w:rsid w:val="00061480"/>
    <w:rsid w:val="00061488"/>
    <w:rsid w:val="00061490"/>
    <w:rsid w:val="0006149D"/>
    <w:rsid w:val="000614CB"/>
    <w:rsid w:val="000614E1"/>
    <w:rsid w:val="00061584"/>
    <w:rsid w:val="000615B6"/>
    <w:rsid w:val="000615BB"/>
    <w:rsid w:val="000615E7"/>
    <w:rsid w:val="000615F6"/>
    <w:rsid w:val="00061600"/>
    <w:rsid w:val="00061609"/>
    <w:rsid w:val="00061623"/>
    <w:rsid w:val="00061654"/>
    <w:rsid w:val="00061666"/>
    <w:rsid w:val="00061678"/>
    <w:rsid w:val="00061683"/>
    <w:rsid w:val="0006168B"/>
    <w:rsid w:val="000616B9"/>
    <w:rsid w:val="000616D2"/>
    <w:rsid w:val="000616D3"/>
    <w:rsid w:val="000616D4"/>
    <w:rsid w:val="00061739"/>
    <w:rsid w:val="0006173B"/>
    <w:rsid w:val="00061786"/>
    <w:rsid w:val="000617B2"/>
    <w:rsid w:val="00061832"/>
    <w:rsid w:val="00061842"/>
    <w:rsid w:val="0006184F"/>
    <w:rsid w:val="00061857"/>
    <w:rsid w:val="0006189E"/>
    <w:rsid w:val="000618C4"/>
    <w:rsid w:val="000618DC"/>
    <w:rsid w:val="000618DD"/>
    <w:rsid w:val="000618FE"/>
    <w:rsid w:val="0006191E"/>
    <w:rsid w:val="0006197C"/>
    <w:rsid w:val="0006197D"/>
    <w:rsid w:val="000619AD"/>
    <w:rsid w:val="000619DC"/>
    <w:rsid w:val="00061A40"/>
    <w:rsid w:val="00061A52"/>
    <w:rsid w:val="00061A88"/>
    <w:rsid w:val="00061A9E"/>
    <w:rsid w:val="00061AAC"/>
    <w:rsid w:val="00061AEB"/>
    <w:rsid w:val="00061AF1"/>
    <w:rsid w:val="00061B0E"/>
    <w:rsid w:val="00061B1B"/>
    <w:rsid w:val="00061BB3"/>
    <w:rsid w:val="00061BE3"/>
    <w:rsid w:val="00061C1B"/>
    <w:rsid w:val="00061C6A"/>
    <w:rsid w:val="00061CEA"/>
    <w:rsid w:val="00061D28"/>
    <w:rsid w:val="00061D61"/>
    <w:rsid w:val="00061DBD"/>
    <w:rsid w:val="00061DCC"/>
    <w:rsid w:val="00061DD0"/>
    <w:rsid w:val="00061DFC"/>
    <w:rsid w:val="00061E08"/>
    <w:rsid w:val="00061ED2"/>
    <w:rsid w:val="00061EF2"/>
    <w:rsid w:val="00061F0A"/>
    <w:rsid w:val="00061F1B"/>
    <w:rsid w:val="00061F45"/>
    <w:rsid w:val="00061F53"/>
    <w:rsid w:val="00061F6B"/>
    <w:rsid w:val="00061F71"/>
    <w:rsid w:val="00061F77"/>
    <w:rsid w:val="00061FE5"/>
    <w:rsid w:val="000620A4"/>
    <w:rsid w:val="000620BB"/>
    <w:rsid w:val="0006210C"/>
    <w:rsid w:val="00062153"/>
    <w:rsid w:val="0006217F"/>
    <w:rsid w:val="000621D9"/>
    <w:rsid w:val="000621DA"/>
    <w:rsid w:val="00062206"/>
    <w:rsid w:val="0006223F"/>
    <w:rsid w:val="0006225A"/>
    <w:rsid w:val="00062265"/>
    <w:rsid w:val="000622A7"/>
    <w:rsid w:val="00062386"/>
    <w:rsid w:val="00062416"/>
    <w:rsid w:val="00062467"/>
    <w:rsid w:val="0006249E"/>
    <w:rsid w:val="000624A7"/>
    <w:rsid w:val="000624D2"/>
    <w:rsid w:val="000624DA"/>
    <w:rsid w:val="00062510"/>
    <w:rsid w:val="0006251A"/>
    <w:rsid w:val="00062575"/>
    <w:rsid w:val="00062613"/>
    <w:rsid w:val="00062669"/>
    <w:rsid w:val="0006269C"/>
    <w:rsid w:val="000626CC"/>
    <w:rsid w:val="00062713"/>
    <w:rsid w:val="0006276F"/>
    <w:rsid w:val="000627CF"/>
    <w:rsid w:val="0006280D"/>
    <w:rsid w:val="00062821"/>
    <w:rsid w:val="00062833"/>
    <w:rsid w:val="00062834"/>
    <w:rsid w:val="0006292F"/>
    <w:rsid w:val="00062954"/>
    <w:rsid w:val="00062A31"/>
    <w:rsid w:val="00062ACA"/>
    <w:rsid w:val="00062ACB"/>
    <w:rsid w:val="00062AE5"/>
    <w:rsid w:val="00062B57"/>
    <w:rsid w:val="00062B7E"/>
    <w:rsid w:val="00062BD1"/>
    <w:rsid w:val="00062C26"/>
    <w:rsid w:val="00062C4E"/>
    <w:rsid w:val="00062C75"/>
    <w:rsid w:val="00062C77"/>
    <w:rsid w:val="00062C7D"/>
    <w:rsid w:val="00062CA4"/>
    <w:rsid w:val="00062D01"/>
    <w:rsid w:val="00062D15"/>
    <w:rsid w:val="00062D1C"/>
    <w:rsid w:val="00062D1F"/>
    <w:rsid w:val="00062DA5"/>
    <w:rsid w:val="00062E85"/>
    <w:rsid w:val="00062E8A"/>
    <w:rsid w:val="00062ECD"/>
    <w:rsid w:val="00062F18"/>
    <w:rsid w:val="00062F35"/>
    <w:rsid w:val="00062F3D"/>
    <w:rsid w:val="00062F7F"/>
    <w:rsid w:val="00062F81"/>
    <w:rsid w:val="00062FA2"/>
    <w:rsid w:val="0006303C"/>
    <w:rsid w:val="0006304A"/>
    <w:rsid w:val="000630FF"/>
    <w:rsid w:val="00063108"/>
    <w:rsid w:val="0006310C"/>
    <w:rsid w:val="00063139"/>
    <w:rsid w:val="00063149"/>
    <w:rsid w:val="0006315D"/>
    <w:rsid w:val="0006316B"/>
    <w:rsid w:val="00063189"/>
    <w:rsid w:val="0006318A"/>
    <w:rsid w:val="0006320A"/>
    <w:rsid w:val="00063211"/>
    <w:rsid w:val="0006321B"/>
    <w:rsid w:val="00063290"/>
    <w:rsid w:val="000632C4"/>
    <w:rsid w:val="00063304"/>
    <w:rsid w:val="00063315"/>
    <w:rsid w:val="00063338"/>
    <w:rsid w:val="0006334B"/>
    <w:rsid w:val="00063374"/>
    <w:rsid w:val="00063394"/>
    <w:rsid w:val="0006343A"/>
    <w:rsid w:val="0006345D"/>
    <w:rsid w:val="00063495"/>
    <w:rsid w:val="000634AE"/>
    <w:rsid w:val="000634B7"/>
    <w:rsid w:val="000634C9"/>
    <w:rsid w:val="000634E7"/>
    <w:rsid w:val="00063519"/>
    <w:rsid w:val="00063572"/>
    <w:rsid w:val="00063599"/>
    <w:rsid w:val="0006360D"/>
    <w:rsid w:val="000636A4"/>
    <w:rsid w:val="000636E2"/>
    <w:rsid w:val="0006374F"/>
    <w:rsid w:val="0006376F"/>
    <w:rsid w:val="000637CB"/>
    <w:rsid w:val="0006381A"/>
    <w:rsid w:val="0006388D"/>
    <w:rsid w:val="0006398B"/>
    <w:rsid w:val="000639BA"/>
    <w:rsid w:val="000639CF"/>
    <w:rsid w:val="000639DC"/>
    <w:rsid w:val="00063A47"/>
    <w:rsid w:val="00063A75"/>
    <w:rsid w:val="00063AA5"/>
    <w:rsid w:val="00063B61"/>
    <w:rsid w:val="00063BA9"/>
    <w:rsid w:val="00063BCE"/>
    <w:rsid w:val="00063BFC"/>
    <w:rsid w:val="00063C17"/>
    <w:rsid w:val="00063C7A"/>
    <w:rsid w:val="00063C97"/>
    <w:rsid w:val="00063C98"/>
    <w:rsid w:val="00063C99"/>
    <w:rsid w:val="00063D35"/>
    <w:rsid w:val="00063D82"/>
    <w:rsid w:val="00063DF3"/>
    <w:rsid w:val="00063E04"/>
    <w:rsid w:val="00063E4E"/>
    <w:rsid w:val="00063E4F"/>
    <w:rsid w:val="00063E80"/>
    <w:rsid w:val="00063F03"/>
    <w:rsid w:val="00063F0E"/>
    <w:rsid w:val="00063F41"/>
    <w:rsid w:val="00063F81"/>
    <w:rsid w:val="00063F87"/>
    <w:rsid w:val="00064007"/>
    <w:rsid w:val="0006403F"/>
    <w:rsid w:val="00064046"/>
    <w:rsid w:val="00064051"/>
    <w:rsid w:val="0006405F"/>
    <w:rsid w:val="000640BB"/>
    <w:rsid w:val="00064142"/>
    <w:rsid w:val="00064158"/>
    <w:rsid w:val="000641D7"/>
    <w:rsid w:val="00064282"/>
    <w:rsid w:val="000642A2"/>
    <w:rsid w:val="000642F4"/>
    <w:rsid w:val="00064314"/>
    <w:rsid w:val="00064326"/>
    <w:rsid w:val="0006436F"/>
    <w:rsid w:val="0006437B"/>
    <w:rsid w:val="000643B6"/>
    <w:rsid w:val="000643C8"/>
    <w:rsid w:val="000644D1"/>
    <w:rsid w:val="00064515"/>
    <w:rsid w:val="0006453A"/>
    <w:rsid w:val="0006455E"/>
    <w:rsid w:val="00064560"/>
    <w:rsid w:val="000645BA"/>
    <w:rsid w:val="000645EC"/>
    <w:rsid w:val="00064650"/>
    <w:rsid w:val="0006468C"/>
    <w:rsid w:val="000646B1"/>
    <w:rsid w:val="000646B9"/>
    <w:rsid w:val="000646C8"/>
    <w:rsid w:val="000646D6"/>
    <w:rsid w:val="000646DE"/>
    <w:rsid w:val="00064710"/>
    <w:rsid w:val="000647AB"/>
    <w:rsid w:val="00064817"/>
    <w:rsid w:val="0006481F"/>
    <w:rsid w:val="00064861"/>
    <w:rsid w:val="00064868"/>
    <w:rsid w:val="0006488B"/>
    <w:rsid w:val="000648BB"/>
    <w:rsid w:val="000648C0"/>
    <w:rsid w:val="00064929"/>
    <w:rsid w:val="0006494A"/>
    <w:rsid w:val="0006496E"/>
    <w:rsid w:val="000649AE"/>
    <w:rsid w:val="000649C2"/>
    <w:rsid w:val="000649FB"/>
    <w:rsid w:val="00064A43"/>
    <w:rsid w:val="00064A94"/>
    <w:rsid w:val="00064A9D"/>
    <w:rsid w:val="00064AAA"/>
    <w:rsid w:val="00064B0B"/>
    <w:rsid w:val="00064B4F"/>
    <w:rsid w:val="00064B63"/>
    <w:rsid w:val="00064B76"/>
    <w:rsid w:val="00064B94"/>
    <w:rsid w:val="00064B9E"/>
    <w:rsid w:val="00064BB5"/>
    <w:rsid w:val="00064BD3"/>
    <w:rsid w:val="00064BD6"/>
    <w:rsid w:val="00064C79"/>
    <w:rsid w:val="00064CAE"/>
    <w:rsid w:val="00064CEE"/>
    <w:rsid w:val="00064CF5"/>
    <w:rsid w:val="00064CFC"/>
    <w:rsid w:val="00064D35"/>
    <w:rsid w:val="00064D4F"/>
    <w:rsid w:val="00064D51"/>
    <w:rsid w:val="00064D64"/>
    <w:rsid w:val="00064D86"/>
    <w:rsid w:val="00064DE0"/>
    <w:rsid w:val="00064DEA"/>
    <w:rsid w:val="00064DEE"/>
    <w:rsid w:val="00064E6B"/>
    <w:rsid w:val="00064E90"/>
    <w:rsid w:val="00064E98"/>
    <w:rsid w:val="00064E9C"/>
    <w:rsid w:val="00064ECE"/>
    <w:rsid w:val="00064EDD"/>
    <w:rsid w:val="00064F43"/>
    <w:rsid w:val="00064F72"/>
    <w:rsid w:val="00064F7D"/>
    <w:rsid w:val="00065007"/>
    <w:rsid w:val="0006506A"/>
    <w:rsid w:val="00065084"/>
    <w:rsid w:val="000650A4"/>
    <w:rsid w:val="00065171"/>
    <w:rsid w:val="000651A3"/>
    <w:rsid w:val="000651A7"/>
    <w:rsid w:val="000651B9"/>
    <w:rsid w:val="000651CB"/>
    <w:rsid w:val="00065205"/>
    <w:rsid w:val="00065242"/>
    <w:rsid w:val="00065287"/>
    <w:rsid w:val="00065297"/>
    <w:rsid w:val="000652AC"/>
    <w:rsid w:val="00065315"/>
    <w:rsid w:val="0006536A"/>
    <w:rsid w:val="00065381"/>
    <w:rsid w:val="000653E9"/>
    <w:rsid w:val="0006544D"/>
    <w:rsid w:val="0006546F"/>
    <w:rsid w:val="00065478"/>
    <w:rsid w:val="000654C9"/>
    <w:rsid w:val="000654D9"/>
    <w:rsid w:val="000654F5"/>
    <w:rsid w:val="00065505"/>
    <w:rsid w:val="0006552C"/>
    <w:rsid w:val="00065541"/>
    <w:rsid w:val="00065549"/>
    <w:rsid w:val="00065563"/>
    <w:rsid w:val="00065573"/>
    <w:rsid w:val="00065586"/>
    <w:rsid w:val="000655FA"/>
    <w:rsid w:val="00065600"/>
    <w:rsid w:val="0006563B"/>
    <w:rsid w:val="00065653"/>
    <w:rsid w:val="00065676"/>
    <w:rsid w:val="000656E6"/>
    <w:rsid w:val="00065766"/>
    <w:rsid w:val="0006576B"/>
    <w:rsid w:val="0006577A"/>
    <w:rsid w:val="0006577E"/>
    <w:rsid w:val="000657CD"/>
    <w:rsid w:val="00065827"/>
    <w:rsid w:val="00065852"/>
    <w:rsid w:val="0006587F"/>
    <w:rsid w:val="00065897"/>
    <w:rsid w:val="00065900"/>
    <w:rsid w:val="0006591E"/>
    <w:rsid w:val="00065927"/>
    <w:rsid w:val="00065931"/>
    <w:rsid w:val="00065935"/>
    <w:rsid w:val="00065993"/>
    <w:rsid w:val="000659B7"/>
    <w:rsid w:val="00065A04"/>
    <w:rsid w:val="00065A0E"/>
    <w:rsid w:val="00065A14"/>
    <w:rsid w:val="00065AFE"/>
    <w:rsid w:val="00065B35"/>
    <w:rsid w:val="00065B43"/>
    <w:rsid w:val="00065BBE"/>
    <w:rsid w:val="00065BE0"/>
    <w:rsid w:val="00065BF6"/>
    <w:rsid w:val="00065C43"/>
    <w:rsid w:val="00065CC1"/>
    <w:rsid w:val="00065CD1"/>
    <w:rsid w:val="00065CDE"/>
    <w:rsid w:val="00065D33"/>
    <w:rsid w:val="00065DFE"/>
    <w:rsid w:val="00065E4B"/>
    <w:rsid w:val="00065E4F"/>
    <w:rsid w:val="00065E93"/>
    <w:rsid w:val="00065E9C"/>
    <w:rsid w:val="00065EA0"/>
    <w:rsid w:val="00065EA6"/>
    <w:rsid w:val="0006601B"/>
    <w:rsid w:val="00066049"/>
    <w:rsid w:val="00066091"/>
    <w:rsid w:val="000660B2"/>
    <w:rsid w:val="000660F6"/>
    <w:rsid w:val="00066132"/>
    <w:rsid w:val="00066174"/>
    <w:rsid w:val="000661AA"/>
    <w:rsid w:val="000661CD"/>
    <w:rsid w:val="000661E0"/>
    <w:rsid w:val="00066214"/>
    <w:rsid w:val="0006622E"/>
    <w:rsid w:val="0006624B"/>
    <w:rsid w:val="000662BC"/>
    <w:rsid w:val="000662F6"/>
    <w:rsid w:val="000662FD"/>
    <w:rsid w:val="00066389"/>
    <w:rsid w:val="000663C0"/>
    <w:rsid w:val="00066405"/>
    <w:rsid w:val="00066455"/>
    <w:rsid w:val="0006646F"/>
    <w:rsid w:val="00066491"/>
    <w:rsid w:val="00066496"/>
    <w:rsid w:val="000664F7"/>
    <w:rsid w:val="0006653E"/>
    <w:rsid w:val="000665B6"/>
    <w:rsid w:val="000665C2"/>
    <w:rsid w:val="000665C9"/>
    <w:rsid w:val="00066655"/>
    <w:rsid w:val="0006669D"/>
    <w:rsid w:val="000666B8"/>
    <w:rsid w:val="0006670E"/>
    <w:rsid w:val="0006672F"/>
    <w:rsid w:val="0006674E"/>
    <w:rsid w:val="00066813"/>
    <w:rsid w:val="0006684A"/>
    <w:rsid w:val="00066876"/>
    <w:rsid w:val="00066893"/>
    <w:rsid w:val="00066895"/>
    <w:rsid w:val="000668DB"/>
    <w:rsid w:val="00066967"/>
    <w:rsid w:val="0006699E"/>
    <w:rsid w:val="000669B8"/>
    <w:rsid w:val="000669BA"/>
    <w:rsid w:val="00066A10"/>
    <w:rsid w:val="00066A22"/>
    <w:rsid w:val="00066A49"/>
    <w:rsid w:val="00066A58"/>
    <w:rsid w:val="00066AF5"/>
    <w:rsid w:val="00066B0F"/>
    <w:rsid w:val="00066B74"/>
    <w:rsid w:val="00066C31"/>
    <w:rsid w:val="00066C64"/>
    <w:rsid w:val="00066C75"/>
    <w:rsid w:val="00066CCE"/>
    <w:rsid w:val="00066D02"/>
    <w:rsid w:val="00066D44"/>
    <w:rsid w:val="00066D70"/>
    <w:rsid w:val="00066D82"/>
    <w:rsid w:val="00066DF4"/>
    <w:rsid w:val="00066E91"/>
    <w:rsid w:val="00066ED0"/>
    <w:rsid w:val="00066ED4"/>
    <w:rsid w:val="00066F04"/>
    <w:rsid w:val="00066F08"/>
    <w:rsid w:val="00066F0F"/>
    <w:rsid w:val="00066F36"/>
    <w:rsid w:val="00066FE4"/>
    <w:rsid w:val="00067016"/>
    <w:rsid w:val="00067037"/>
    <w:rsid w:val="0006706C"/>
    <w:rsid w:val="000670E2"/>
    <w:rsid w:val="0006711A"/>
    <w:rsid w:val="00067169"/>
    <w:rsid w:val="00067180"/>
    <w:rsid w:val="00067236"/>
    <w:rsid w:val="0006723E"/>
    <w:rsid w:val="0006723F"/>
    <w:rsid w:val="0006725F"/>
    <w:rsid w:val="00067281"/>
    <w:rsid w:val="000672D7"/>
    <w:rsid w:val="000672D8"/>
    <w:rsid w:val="000672DE"/>
    <w:rsid w:val="0006736F"/>
    <w:rsid w:val="00067378"/>
    <w:rsid w:val="00067470"/>
    <w:rsid w:val="000674D3"/>
    <w:rsid w:val="000674F6"/>
    <w:rsid w:val="000674F9"/>
    <w:rsid w:val="0006751F"/>
    <w:rsid w:val="00067562"/>
    <w:rsid w:val="00067564"/>
    <w:rsid w:val="0006759E"/>
    <w:rsid w:val="000675B4"/>
    <w:rsid w:val="000675C8"/>
    <w:rsid w:val="0006761C"/>
    <w:rsid w:val="00067644"/>
    <w:rsid w:val="00067660"/>
    <w:rsid w:val="0006768E"/>
    <w:rsid w:val="00067724"/>
    <w:rsid w:val="00067778"/>
    <w:rsid w:val="0006779C"/>
    <w:rsid w:val="0006779F"/>
    <w:rsid w:val="000677BF"/>
    <w:rsid w:val="000677C3"/>
    <w:rsid w:val="000677CD"/>
    <w:rsid w:val="0006780C"/>
    <w:rsid w:val="00067813"/>
    <w:rsid w:val="00067899"/>
    <w:rsid w:val="000678A6"/>
    <w:rsid w:val="000678FD"/>
    <w:rsid w:val="00067904"/>
    <w:rsid w:val="00067944"/>
    <w:rsid w:val="00067965"/>
    <w:rsid w:val="00067997"/>
    <w:rsid w:val="000679C0"/>
    <w:rsid w:val="000679CA"/>
    <w:rsid w:val="000679ED"/>
    <w:rsid w:val="000679F3"/>
    <w:rsid w:val="000679FD"/>
    <w:rsid w:val="00067A17"/>
    <w:rsid w:val="00067A4F"/>
    <w:rsid w:val="00067A78"/>
    <w:rsid w:val="00067A85"/>
    <w:rsid w:val="00067AC3"/>
    <w:rsid w:val="00067B3B"/>
    <w:rsid w:val="00067B59"/>
    <w:rsid w:val="00067BF6"/>
    <w:rsid w:val="00067C2C"/>
    <w:rsid w:val="00067C56"/>
    <w:rsid w:val="00067CA8"/>
    <w:rsid w:val="00067CD8"/>
    <w:rsid w:val="00067CDF"/>
    <w:rsid w:val="00067CE4"/>
    <w:rsid w:val="00067CEA"/>
    <w:rsid w:val="00067CED"/>
    <w:rsid w:val="00067DC6"/>
    <w:rsid w:val="00067DF5"/>
    <w:rsid w:val="00067DF7"/>
    <w:rsid w:val="00067E97"/>
    <w:rsid w:val="00067EAB"/>
    <w:rsid w:val="00067F1A"/>
    <w:rsid w:val="00067F31"/>
    <w:rsid w:val="00067F91"/>
    <w:rsid w:val="00067FC0"/>
    <w:rsid w:val="00067FFC"/>
    <w:rsid w:val="00070011"/>
    <w:rsid w:val="0007005A"/>
    <w:rsid w:val="0007005F"/>
    <w:rsid w:val="00070094"/>
    <w:rsid w:val="00070126"/>
    <w:rsid w:val="00070145"/>
    <w:rsid w:val="00070150"/>
    <w:rsid w:val="00070154"/>
    <w:rsid w:val="00070158"/>
    <w:rsid w:val="000701C7"/>
    <w:rsid w:val="000701F5"/>
    <w:rsid w:val="00070265"/>
    <w:rsid w:val="000702AD"/>
    <w:rsid w:val="00070329"/>
    <w:rsid w:val="00070356"/>
    <w:rsid w:val="00070389"/>
    <w:rsid w:val="000703C6"/>
    <w:rsid w:val="00070412"/>
    <w:rsid w:val="00070415"/>
    <w:rsid w:val="00070420"/>
    <w:rsid w:val="0007044F"/>
    <w:rsid w:val="00070453"/>
    <w:rsid w:val="0007045D"/>
    <w:rsid w:val="0007055A"/>
    <w:rsid w:val="00070564"/>
    <w:rsid w:val="000705AA"/>
    <w:rsid w:val="000705AD"/>
    <w:rsid w:val="000705CD"/>
    <w:rsid w:val="000705F5"/>
    <w:rsid w:val="00070676"/>
    <w:rsid w:val="00070681"/>
    <w:rsid w:val="000706F8"/>
    <w:rsid w:val="00070708"/>
    <w:rsid w:val="0007072D"/>
    <w:rsid w:val="00070797"/>
    <w:rsid w:val="000707BD"/>
    <w:rsid w:val="000707C9"/>
    <w:rsid w:val="000707DF"/>
    <w:rsid w:val="00070807"/>
    <w:rsid w:val="00070814"/>
    <w:rsid w:val="00070837"/>
    <w:rsid w:val="00070842"/>
    <w:rsid w:val="000708A1"/>
    <w:rsid w:val="000708C2"/>
    <w:rsid w:val="000708F4"/>
    <w:rsid w:val="000708FC"/>
    <w:rsid w:val="0007092A"/>
    <w:rsid w:val="00070933"/>
    <w:rsid w:val="0007097D"/>
    <w:rsid w:val="000709EC"/>
    <w:rsid w:val="000709EF"/>
    <w:rsid w:val="000709F4"/>
    <w:rsid w:val="00070A75"/>
    <w:rsid w:val="00070AF9"/>
    <w:rsid w:val="00070B18"/>
    <w:rsid w:val="00070B88"/>
    <w:rsid w:val="00070B97"/>
    <w:rsid w:val="00070BCD"/>
    <w:rsid w:val="00070BE8"/>
    <w:rsid w:val="00070D45"/>
    <w:rsid w:val="00070D4D"/>
    <w:rsid w:val="00070D5A"/>
    <w:rsid w:val="00070D7F"/>
    <w:rsid w:val="00070DAB"/>
    <w:rsid w:val="00070DF5"/>
    <w:rsid w:val="00070E0E"/>
    <w:rsid w:val="00070E22"/>
    <w:rsid w:val="00070E26"/>
    <w:rsid w:val="00070E42"/>
    <w:rsid w:val="00070E47"/>
    <w:rsid w:val="00070E8B"/>
    <w:rsid w:val="00070ED5"/>
    <w:rsid w:val="00070F09"/>
    <w:rsid w:val="00070F80"/>
    <w:rsid w:val="00070F90"/>
    <w:rsid w:val="00070F93"/>
    <w:rsid w:val="00070FA8"/>
    <w:rsid w:val="00070FCC"/>
    <w:rsid w:val="00071009"/>
    <w:rsid w:val="00071022"/>
    <w:rsid w:val="0007107C"/>
    <w:rsid w:val="00071096"/>
    <w:rsid w:val="000710AB"/>
    <w:rsid w:val="000710E7"/>
    <w:rsid w:val="00071111"/>
    <w:rsid w:val="0007114F"/>
    <w:rsid w:val="0007115A"/>
    <w:rsid w:val="0007117D"/>
    <w:rsid w:val="000711AE"/>
    <w:rsid w:val="000711AF"/>
    <w:rsid w:val="000711D2"/>
    <w:rsid w:val="00071202"/>
    <w:rsid w:val="00071256"/>
    <w:rsid w:val="0007132A"/>
    <w:rsid w:val="0007133D"/>
    <w:rsid w:val="00071367"/>
    <w:rsid w:val="0007136A"/>
    <w:rsid w:val="000713A6"/>
    <w:rsid w:val="00071430"/>
    <w:rsid w:val="0007146E"/>
    <w:rsid w:val="000714F1"/>
    <w:rsid w:val="00071508"/>
    <w:rsid w:val="00071542"/>
    <w:rsid w:val="000715B2"/>
    <w:rsid w:val="000715DD"/>
    <w:rsid w:val="00071612"/>
    <w:rsid w:val="00071627"/>
    <w:rsid w:val="00071663"/>
    <w:rsid w:val="000716E0"/>
    <w:rsid w:val="00071708"/>
    <w:rsid w:val="00071723"/>
    <w:rsid w:val="00071742"/>
    <w:rsid w:val="000717B4"/>
    <w:rsid w:val="000717EA"/>
    <w:rsid w:val="000717F6"/>
    <w:rsid w:val="00071801"/>
    <w:rsid w:val="00071819"/>
    <w:rsid w:val="00071882"/>
    <w:rsid w:val="0007191C"/>
    <w:rsid w:val="00071959"/>
    <w:rsid w:val="00071983"/>
    <w:rsid w:val="000719A1"/>
    <w:rsid w:val="000719FD"/>
    <w:rsid w:val="000719FE"/>
    <w:rsid w:val="00071AAA"/>
    <w:rsid w:val="00071AAB"/>
    <w:rsid w:val="00071AC1"/>
    <w:rsid w:val="00071AD6"/>
    <w:rsid w:val="00071B11"/>
    <w:rsid w:val="00071B21"/>
    <w:rsid w:val="00071B8F"/>
    <w:rsid w:val="00071B93"/>
    <w:rsid w:val="00071BFF"/>
    <w:rsid w:val="00071C2E"/>
    <w:rsid w:val="00071C5E"/>
    <w:rsid w:val="00071C6E"/>
    <w:rsid w:val="00071C9A"/>
    <w:rsid w:val="00071CA7"/>
    <w:rsid w:val="00071CB4"/>
    <w:rsid w:val="00071CCE"/>
    <w:rsid w:val="00071CEC"/>
    <w:rsid w:val="00071D04"/>
    <w:rsid w:val="00071D24"/>
    <w:rsid w:val="00071D50"/>
    <w:rsid w:val="00071DAA"/>
    <w:rsid w:val="00071E30"/>
    <w:rsid w:val="00071E36"/>
    <w:rsid w:val="00071E55"/>
    <w:rsid w:val="00071E79"/>
    <w:rsid w:val="00071E94"/>
    <w:rsid w:val="00071EBE"/>
    <w:rsid w:val="00071EF2"/>
    <w:rsid w:val="00071EFE"/>
    <w:rsid w:val="00071EFF"/>
    <w:rsid w:val="00071F1A"/>
    <w:rsid w:val="00071F27"/>
    <w:rsid w:val="00071F4A"/>
    <w:rsid w:val="00071F76"/>
    <w:rsid w:val="00071F8C"/>
    <w:rsid w:val="00071FCF"/>
    <w:rsid w:val="00072035"/>
    <w:rsid w:val="0007203F"/>
    <w:rsid w:val="000720D9"/>
    <w:rsid w:val="00072130"/>
    <w:rsid w:val="00072137"/>
    <w:rsid w:val="00072145"/>
    <w:rsid w:val="0007217B"/>
    <w:rsid w:val="00072220"/>
    <w:rsid w:val="00072253"/>
    <w:rsid w:val="000722C7"/>
    <w:rsid w:val="00072318"/>
    <w:rsid w:val="00072347"/>
    <w:rsid w:val="0007236F"/>
    <w:rsid w:val="0007238A"/>
    <w:rsid w:val="0007241D"/>
    <w:rsid w:val="00072423"/>
    <w:rsid w:val="000724FA"/>
    <w:rsid w:val="0007255F"/>
    <w:rsid w:val="0007256D"/>
    <w:rsid w:val="00072582"/>
    <w:rsid w:val="00072585"/>
    <w:rsid w:val="000725D4"/>
    <w:rsid w:val="0007264A"/>
    <w:rsid w:val="00072652"/>
    <w:rsid w:val="000726D6"/>
    <w:rsid w:val="00072736"/>
    <w:rsid w:val="00072785"/>
    <w:rsid w:val="000727C4"/>
    <w:rsid w:val="000727E4"/>
    <w:rsid w:val="000728E7"/>
    <w:rsid w:val="00072948"/>
    <w:rsid w:val="0007294C"/>
    <w:rsid w:val="0007295B"/>
    <w:rsid w:val="000729AD"/>
    <w:rsid w:val="000729BC"/>
    <w:rsid w:val="000729C4"/>
    <w:rsid w:val="00072A09"/>
    <w:rsid w:val="00072A11"/>
    <w:rsid w:val="00072A37"/>
    <w:rsid w:val="00072A48"/>
    <w:rsid w:val="00072A74"/>
    <w:rsid w:val="00072ADB"/>
    <w:rsid w:val="00072B19"/>
    <w:rsid w:val="00072B71"/>
    <w:rsid w:val="00072B74"/>
    <w:rsid w:val="00072B9A"/>
    <w:rsid w:val="00072BB1"/>
    <w:rsid w:val="00072C04"/>
    <w:rsid w:val="00072C23"/>
    <w:rsid w:val="00072C36"/>
    <w:rsid w:val="00072C5A"/>
    <w:rsid w:val="00072C77"/>
    <w:rsid w:val="00072CB7"/>
    <w:rsid w:val="00072D5A"/>
    <w:rsid w:val="00072D7C"/>
    <w:rsid w:val="00072DC5"/>
    <w:rsid w:val="00072E1D"/>
    <w:rsid w:val="00072E48"/>
    <w:rsid w:val="00072F02"/>
    <w:rsid w:val="00072F16"/>
    <w:rsid w:val="0007303B"/>
    <w:rsid w:val="00073097"/>
    <w:rsid w:val="000730ED"/>
    <w:rsid w:val="000730FD"/>
    <w:rsid w:val="00073141"/>
    <w:rsid w:val="0007319B"/>
    <w:rsid w:val="000731FB"/>
    <w:rsid w:val="0007321F"/>
    <w:rsid w:val="00073221"/>
    <w:rsid w:val="0007326C"/>
    <w:rsid w:val="000732A3"/>
    <w:rsid w:val="000732F9"/>
    <w:rsid w:val="0007331B"/>
    <w:rsid w:val="00073370"/>
    <w:rsid w:val="00073393"/>
    <w:rsid w:val="000733F3"/>
    <w:rsid w:val="000733FA"/>
    <w:rsid w:val="0007341B"/>
    <w:rsid w:val="0007341C"/>
    <w:rsid w:val="00073443"/>
    <w:rsid w:val="00073445"/>
    <w:rsid w:val="00073509"/>
    <w:rsid w:val="0007352F"/>
    <w:rsid w:val="00073559"/>
    <w:rsid w:val="00073581"/>
    <w:rsid w:val="000735AA"/>
    <w:rsid w:val="000735DE"/>
    <w:rsid w:val="00073608"/>
    <w:rsid w:val="00073659"/>
    <w:rsid w:val="00073670"/>
    <w:rsid w:val="0007369F"/>
    <w:rsid w:val="000736AC"/>
    <w:rsid w:val="000736BF"/>
    <w:rsid w:val="000736D7"/>
    <w:rsid w:val="000736EB"/>
    <w:rsid w:val="00073782"/>
    <w:rsid w:val="00073787"/>
    <w:rsid w:val="00073795"/>
    <w:rsid w:val="000737C1"/>
    <w:rsid w:val="000737C9"/>
    <w:rsid w:val="000737DA"/>
    <w:rsid w:val="00073806"/>
    <w:rsid w:val="00073813"/>
    <w:rsid w:val="000738AE"/>
    <w:rsid w:val="000738C1"/>
    <w:rsid w:val="000738E1"/>
    <w:rsid w:val="00073908"/>
    <w:rsid w:val="000739B9"/>
    <w:rsid w:val="00073A15"/>
    <w:rsid w:val="00073A30"/>
    <w:rsid w:val="00073A43"/>
    <w:rsid w:val="00073AC5"/>
    <w:rsid w:val="00073AD6"/>
    <w:rsid w:val="00073BF3"/>
    <w:rsid w:val="00073C09"/>
    <w:rsid w:val="00073C52"/>
    <w:rsid w:val="00073C61"/>
    <w:rsid w:val="00073C78"/>
    <w:rsid w:val="00073CC0"/>
    <w:rsid w:val="00073CC4"/>
    <w:rsid w:val="00073CC6"/>
    <w:rsid w:val="00073CD2"/>
    <w:rsid w:val="00073CFD"/>
    <w:rsid w:val="00073D1C"/>
    <w:rsid w:val="00073D34"/>
    <w:rsid w:val="00073D42"/>
    <w:rsid w:val="00073D81"/>
    <w:rsid w:val="00073D8C"/>
    <w:rsid w:val="00073DA2"/>
    <w:rsid w:val="00073E0B"/>
    <w:rsid w:val="00073E53"/>
    <w:rsid w:val="00073E61"/>
    <w:rsid w:val="00073E65"/>
    <w:rsid w:val="00073E8A"/>
    <w:rsid w:val="00073E94"/>
    <w:rsid w:val="00073ED9"/>
    <w:rsid w:val="00073EF6"/>
    <w:rsid w:val="00073EFA"/>
    <w:rsid w:val="00073F05"/>
    <w:rsid w:val="00073F26"/>
    <w:rsid w:val="00073F39"/>
    <w:rsid w:val="00073FBA"/>
    <w:rsid w:val="00073FD3"/>
    <w:rsid w:val="00073FD9"/>
    <w:rsid w:val="00073FE3"/>
    <w:rsid w:val="00074001"/>
    <w:rsid w:val="0007402A"/>
    <w:rsid w:val="000740B7"/>
    <w:rsid w:val="000740CF"/>
    <w:rsid w:val="000740D2"/>
    <w:rsid w:val="000740DD"/>
    <w:rsid w:val="0007414F"/>
    <w:rsid w:val="0007418B"/>
    <w:rsid w:val="000741C6"/>
    <w:rsid w:val="0007422B"/>
    <w:rsid w:val="00074273"/>
    <w:rsid w:val="0007429A"/>
    <w:rsid w:val="000742C3"/>
    <w:rsid w:val="000742E1"/>
    <w:rsid w:val="00074307"/>
    <w:rsid w:val="00074338"/>
    <w:rsid w:val="0007437E"/>
    <w:rsid w:val="00074389"/>
    <w:rsid w:val="000743E8"/>
    <w:rsid w:val="000743F7"/>
    <w:rsid w:val="00074408"/>
    <w:rsid w:val="00074409"/>
    <w:rsid w:val="0007447E"/>
    <w:rsid w:val="00074488"/>
    <w:rsid w:val="0007448D"/>
    <w:rsid w:val="000744A6"/>
    <w:rsid w:val="000744A8"/>
    <w:rsid w:val="000744AA"/>
    <w:rsid w:val="0007451F"/>
    <w:rsid w:val="00074576"/>
    <w:rsid w:val="000745BE"/>
    <w:rsid w:val="000745BF"/>
    <w:rsid w:val="000745F2"/>
    <w:rsid w:val="00074650"/>
    <w:rsid w:val="00074659"/>
    <w:rsid w:val="00074668"/>
    <w:rsid w:val="000746CC"/>
    <w:rsid w:val="000746E6"/>
    <w:rsid w:val="00074719"/>
    <w:rsid w:val="00074726"/>
    <w:rsid w:val="0007474A"/>
    <w:rsid w:val="000747AD"/>
    <w:rsid w:val="000747C6"/>
    <w:rsid w:val="000747D2"/>
    <w:rsid w:val="000747EB"/>
    <w:rsid w:val="00074872"/>
    <w:rsid w:val="00074879"/>
    <w:rsid w:val="00074893"/>
    <w:rsid w:val="000748D2"/>
    <w:rsid w:val="00074906"/>
    <w:rsid w:val="00074930"/>
    <w:rsid w:val="00074935"/>
    <w:rsid w:val="00074992"/>
    <w:rsid w:val="00074A00"/>
    <w:rsid w:val="00074A6F"/>
    <w:rsid w:val="00074A9E"/>
    <w:rsid w:val="00074AB4"/>
    <w:rsid w:val="00074AD3"/>
    <w:rsid w:val="00074B23"/>
    <w:rsid w:val="00074B53"/>
    <w:rsid w:val="00074B7B"/>
    <w:rsid w:val="00074BF0"/>
    <w:rsid w:val="00074C68"/>
    <w:rsid w:val="00074CA1"/>
    <w:rsid w:val="00074CB2"/>
    <w:rsid w:val="00074CB5"/>
    <w:rsid w:val="00074CC4"/>
    <w:rsid w:val="00074CCC"/>
    <w:rsid w:val="00074CF9"/>
    <w:rsid w:val="00074D0B"/>
    <w:rsid w:val="00074D5D"/>
    <w:rsid w:val="00074D89"/>
    <w:rsid w:val="00074DB0"/>
    <w:rsid w:val="00074DF2"/>
    <w:rsid w:val="00074E52"/>
    <w:rsid w:val="00074F3A"/>
    <w:rsid w:val="00074F65"/>
    <w:rsid w:val="00074F83"/>
    <w:rsid w:val="00074FA1"/>
    <w:rsid w:val="00074FB1"/>
    <w:rsid w:val="00074FC1"/>
    <w:rsid w:val="00074FED"/>
    <w:rsid w:val="0007509F"/>
    <w:rsid w:val="0007511A"/>
    <w:rsid w:val="00075122"/>
    <w:rsid w:val="00075135"/>
    <w:rsid w:val="00075139"/>
    <w:rsid w:val="0007517E"/>
    <w:rsid w:val="000751B8"/>
    <w:rsid w:val="000751BF"/>
    <w:rsid w:val="000751DC"/>
    <w:rsid w:val="00075220"/>
    <w:rsid w:val="000752A9"/>
    <w:rsid w:val="0007531D"/>
    <w:rsid w:val="0007534C"/>
    <w:rsid w:val="00075380"/>
    <w:rsid w:val="0007539C"/>
    <w:rsid w:val="000753AA"/>
    <w:rsid w:val="00075468"/>
    <w:rsid w:val="000754D0"/>
    <w:rsid w:val="00075539"/>
    <w:rsid w:val="000755C3"/>
    <w:rsid w:val="000755CA"/>
    <w:rsid w:val="00075643"/>
    <w:rsid w:val="0007568D"/>
    <w:rsid w:val="000756DE"/>
    <w:rsid w:val="00075747"/>
    <w:rsid w:val="00075777"/>
    <w:rsid w:val="00075783"/>
    <w:rsid w:val="00075792"/>
    <w:rsid w:val="000757A3"/>
    <w:rsid w:val="000757DD"/>
    <w:rsid w:val="000757FB"/>
    <w:rsid w:val="0007584B"/>
    <w:rsid w:val="000758BA"/>
    <w:rsid w:val="000758C6"/>
    <w:rsid w:val="00075906"/>
    <w:rsid w:val="0007594C"/>
    <w:rsid w:val="00075964"/>
    <w:rsid w:val="000759C4"/>
    <w:rsid w:val="00075A1B"/>
    <w:rsid w:val="00075A28"/>
    <w:rsid w:val="00075A29"/>
    <w:rsid w:val="00075AA4"/>
    <w:rsid w:val="00075AAD"/>
    <w:rsid w:val="00075ABA"/>
    <w:rsid w:val="00075AC9"/>
    <w:rsid w:val="00075AD9"/>
    <w:rsid w:val="00075AEC"/>
    <w:rsid w:val="00075B12"/>
    <w:rsid w:val="00075B21"/>
    <w:rsid w:val="00075B39"/>
    <w:rsid w:val="00075BA0"/>
    <w:rsid w:val="00075BC9"/>
    <w:rsid w:val="00075C37"/>
    <w:rsid w:val="00075C72"/>
    <w:rsid w:val="00075C83"/>
    <w:rsid w:val="00075C85"/>
    <w:rsid w:val="00075CA4"/>
    <w:rsid w:val="00075CDD"/>
    <w:rsid w:val="00075D5B"/>
    <w:rsid w:val="00075E08"/>
    <w:rsid w:val="00075E37"/>
    <w:rsid w:val="00075F22"/>
    <w:rsid w:val="00075F4B"/>
    <w:rsid w:val="00075F5C"/>
    <w:rsid w:val="00075F71"/>
    <w:rsid w:val="00075F7B"/>
    <w:rsid w:val="00075FCC"/>
    <w:rsid w:val="00076010"/>
    <w:rsid w:val="00076021"/>
    <w:rsid w:val="00076089"/>
    <w:rsid w:val="0007612B"/>
    <w:rsid w:val="0007616B"/>
    <w:rsid w:val="0007617C"/>
    <w:rsid w:val="0007626C"/>
    <w:rsid w:val="00076339"/>
    <w:rsid w:val="00076383"/>
    <w:rsid w:val="00076439"/>
    <w:rsid w:val="000764B0"/>
    <w:rsid w:val="000764B7"/>
    <w:rsid w:val="000764CA"/>
    <w:rsid w:val="00076507"/>
    <w:rsid w:val="00076517"/>
    <w:rsid w:val="00076538"/>
    <w:rsid w:val="0007656D"/>
    <w:rsid w:val="000765B5"/>
    <w:rsid w:val="000765BE"/>
    <w:rsid w:val="000765E5"/>
    <w:rsid w:val="000765E6"/>
    <w:rsid w:val="000765EE"/>
    <w:rsid w:val="000765F9"/>
    <w:rsid w:val="0007661A"/>
    <w:rsid w:val="00076693"/>
    <w:rsid w:val="000766E5"/>
    <w:rsid w:val="000766FF"/>
    <w:rsid w:val="00076785"/>
    <w:rsid w:val="0007678A"/>
    <w:rsid w:val="000767A5"/>
    <w:rsid w:val="000767B3"/>
    <w:rsid w:val="000767C0"/>
    <w:rsid w:val="000767D4"/>
    <w:rsid w:val="000767FA"/>
    <w:rsid w:val="00076810"/>
    <w:rsid w:val="00076824"/>
    <w:rsid w:val="0007683F"/>
    <w:rsid w:val="00076843"/>
    <w:rsid w:val="000768D2"/>
    <w:rsid w:val="00076935"/>
    <w:rsid w:val="0007694A"/>
    <w:rsid w:val="00076987"/>
    <w:rsid w:val="00076989"/>
    <w:rsid w:val="000769A8"/>
    <w:rsid w:val="000769C7"/>
    <w:rsid w:val="000769FB"/>
    <w:rsid w:val="00076A17"/>
    <w:rsid w:val="00076A3A"/>
    <w:rsid w:val="00076A7D"/>
    <w:rsid w:val="00076ADE"/>
    <w:rsid w:val="00076B06"/>
    <w:rsid w:val="00076B31"/>
    <w:rsid w:val="00076B5E"/>
    <w:rsid w:val="00076BCB"/>
    <w:rsid w:val="00076BDB"/>
    <w:rsid w:val="00076BED"/>
    <w:rsid w:val="00076C06"/>
    <w:rsid w:val="00076C62"/>
    <w:rsid w:val="00076C6D"/>
    <w:rsid w:val="00076CCA"/>
    <w:rsid w:val="00076CEE"/>
    <w:rsid w:val="00076D10"/>
    <w:rsid w:val="00076D67"/>
    <w:rsid w:val="00076E19"/>
    <w:rsid w:val="00076E6D"/>
    <w:rsid w:val="00076E8D"/>
    <w:rsid w:val="00076E92"/>
    <w:rsid w:val="00076ED4"/>
    <w:rsid w:val="00076F1F"/>
    <w:rsid w:val="00076F66"/>
    <w:rsid w:val="00076F67"/>
    <w:rsid w:val="00077032"/>
    <w:rsid w:val="0007712A"/>
    <w:rsid w:val="00077192"/>
    <w:rsid w:val="000771AF"/>
    <w:rsid w:val="000771C7"/>
    <w:rsid w:val="000771E4"/>
    <w:rsid w:val="00077224"/>
    <w:rsid w:val="0007729D"/>
    <w:rsid w:val="000772B8"/>
    <w:rsid w:val="000772C2"/>
    <w:rsid w:val="00077318"/>
    <w:rsid w:val="0007731F"/>
    <w:rsid w:val="0007733C"/>
    <w:rsid w:val="0007735E"/>
    <w:rsid w:val="000773D4"/>
    <w:rsid w:val="00077400"/>
    <w:rsid w:val="0007744E"/>
    <w:rsid w:val="00077545"/>
    <w:rsid w:val="00077636"/>
    <w:rsid w:val="00077691"/>
    <w:rsid w:val="00077695"/>
    <w:rsid w:val="000776D7"/>
    <w:rsid w:val="000776FC"/>
    <w:rsid w:val="0007772B"/>
    <w:rsid w:val="00077736"/>
    <w:rsid w:val="0007776E"/>
    <w:rsid w:val="00077788"/>
    <w:rsid w:val="000777C9"/>
    <w:rsid w:val="00077861"/>
    <w:rsid w:val="000778A2"/>
    <w:rsid w:val="000778A8"/>
    <w:rsid w:val="00077955"/>
    <w:rsid w:val="00077963"/>
    <w:rsid w:val="0007799A"/>
    <w:rsid w:val="000779B3"/>
    <w:rsid w:val="000779F2"/>
    <w:rsid w:val="00077A92"/>
    <w:rsid w:val="00077A9D"/>
    <w:rsid w:val="00077AB3"/>
    <w:rsid w:val="00077ACA"/>
    <w:rsid w:val="00077AF6"/>
    <w:rsid w:val="00077AFB"/>
    <w:rsid w:val="00077B3C"/>
    <w:rsid w:val="00077B62"/>
    <w:rsid w:val="00077B67"/>
    <w:rsid w:val="00077B79"/>
    <w:rsid w:val="00077BAA"/>
    <w:rsid w:val="00077C4A"/>
    <w:rsid w:val="00077C4F"/>
    <w:rsid w:val="00077C6D"/>
    <w:rsid w:val="00077C7F"/>
    <w:rsid w:val="00077CFF"/>
    <w:rsid w:val="00077D2B"/>
    <w:rsid w:val="00077D4F"/>
    <w:rsid w:val="00077D5A"/>
    <w:rsid w:val="00077D6F"/>
    <w:rsid w:val="00077D74"/>
    <w:rsid w:val="00077D96"/>
    <w:rsid w:val="00077DB6"/>
    <w:rsid w:val="00077DF9"/>
    <w:rsid w:val="00077E2B"/>
    <w:rsid w:val="00077EAB"/>
    <w:rsid w:val="00077EC2"/>
    <w:rsid w:val="00077EE0"/>
    <w:rsid w:val="00077EE4"/>
    <w:rsid w:val="00077F09"/>
    <w:rsid w:val="00077F18"/>
    <w:rsid w:val="00077F7A"/>
    <w:rsid w:val="00077FC2"/>
    <w:rsid w:val="00077FCC"/>
    <w:rsid w:val="0008003B"/>
    <w:rsid w:val="0008004C"/>
    <w:rsid w:val="0008005F"/>
    <w:rsid w:val="000800C4"/>
    <w:rsid w:val="000800CA"/>
    <w:rsid w:val="00080158"/>
    <w:rsid w:val="00080185"/>
    <w:rsid w:val="000801BB"/>
    <w:rsid w:val="000801C4"/>
    <w:rsid w:val="0008026E"/>
    <w:rsid w:val="000802BD"/>
    <w:rsid w:val="000802BE"/>
    <w:rsid w:val="000802C4"/>
    <w:rsid w:val="0008035E"/>
    <w:rsid w:val="00080365"/>
    <w:rsid w:val="000803A1"/>
    <w:rsid w:val="00080413"/>
    <w:rsid w:val="00080453"/>
    <w:rsid w:val="00080478"/>
    <w:rsid w:val="000804FA"/>
    <w:rsid w:val="0008050D"/>
    <w:rsid w:val="00080518"/>
    <w:rsid w:val="00080528"/>
    <w:rsid w:val="0008054C"/>
    <w:rsid w:val="0008055A"/>
    <w:rsid w:val="0008057B"/>
    <w:rsid w:val="000805C0"/>
    <w:rsid w:val="000805E2"/>
    <w:rsid w:val="000805E5"/>
    <w:rsid w:val="00080622"/>
    <w:rsid w:val="0008064D"/>
    <w:rsid w:val="00080651"/>
    <w:rsid w:val="0008066D"/>
    <w:rsid w:val="00080696"/>
    <w:rsid w:val="000806B1"/>
    <w:rsid w:val="000806D8"/>
    <w:rsid w:val="000806DB"/>
    <w:rsid w:val="00080776"/>
    <w:rsid w:val="0008078B"/>
    <w:rsid w:val="00080849"/>
    <w:rsid w:val="00080877"/>
    <w:rsid w:val="00080879"/>
    <w:rsid w:val="0008088B"/>
    <w:rsid w:val="000808C1"/>
    <w:rsid w:val="000808E2"/>
    <w:rsid w:val="00080901"/>
    <w:rsid w:val="00080906"/>
    <w:rsid w:val="00080940"/>
    <w:rsid w:val="00080946"/>
    <w:rsid w:val="000809BE"/>
    <w:rsid w:val="000809CA"/>
    <w:rsid w:val="00080A1E"/>
    <w:rsid w:val="00080AE1"/>
    <w:rsid w:val="00080AE4"/>
    <w:rsid w:val="00080B5E"/>
    <w:rsid w:val="00080B6E"/>
    <w:rsid w:val="00080B83"/>
    <w:rsid w:val="00080C9B"/>
    <w:rsid w:val="00080CC6"/>
    <w:rsid w:val="00080D36"/>
    <w:rsid w:val="00080D50"/>
    <w:rsid w:val="00080D59"/>
    <w:rsid w:val="00080DA7"/>
    <w:rsid w:val="00080DBE"/>
    <w:rsid w:val="00080DFF"/>
    <w:rsid w:val="00080E21"/>
    <w:rsid w:val="00080E32"/>
    <w:rsid w:val="00080E73"/>
    <w:rsid w:val="00080EA4"/>
    <w:rsid w:val="00080EAC"/>
    <w:rsid w:val="00080F3B"/>
    <w:rsid w:val="00080FA1"/>
    <w:rsid w:val="00080FC4"/>
    <w:rsid w:val="00080FCA"/>
    <w:rsid w:val="00080FF6"/>
    <w:rsid w:val="00081046"/>
    <w:rsid w:val="0008116D"/>
    <w:rsid w:val="000811EC"/>
    <w:rsid w:val="00081216"/>
    <w:rsid w:val="0008122D"/>
    <w:rsid w:val="00081248"/>
    <w:rsid w:val="00081264"/>
    <w:rsid w:val="000812BB"/>
    <w:rsid w:val="000812CD"/>
    <w:rsid w:val="000812E1"/>
    <w:rsid w:val="000812F3"/>
    <w:rsid w:val="0008134F"/>
    <w:rsid w:val="0008139A"/>
    <w:rsid w:val="000813BD"/>
    <w:rsid w:val="0008140C"/>
    <w:rsid w:val="0008142F"/>
    <w:rsid w:val="00081441"/>
    <w:rsid w:val="00081442"/>
    <w:rsid w:val="000814BC"/>
    <w:rsid w:val="000814EA"/>
    <w:rsid w:val="00081539"/>
    <w:rsid w:val="00081571"/>
    <w:rsid w:val="000815BC"/>
    <w:rsid w:val="00081629"/>
    <w:rsid w:val="00081689"/>
    <w:rsid w:val="000816B8"/>
    <w:rsid w:val="000816C9"/>
    <w:rsid w:val="00081723"/>
    <w:rsid w:val="00081730"/>
    <w:rsid w:val="000817BC"/>
    <w:rsid w:val="000817C2"/>
    <w:rsid w:val="000817D5"/>
    <w:rsid w:val="00081832"/>
    <w:rsid w:val="00081834"/>
    <w:rsid w:val="0008183A"/>
    <w:rsid w:val="00081852"/>
    <w:rsid w:val="00081857"/>
    <w:rsid w:val="0008186D"/>
    <w:rsid w:val="00081872"/>
    <w:rsid w:val="000818F6"/>
    <w:rsid w:val="00081917"/>
    <w:rsid w:val="0008192C"/>
    <w:rsid w:val="0008194E"/>
    <w:rsid w:val="00081972"/>
    <w:rsid w:val="00081987"/>
    <w:rsid w:val="000819A8"/>
    <w:rsid w:val="000819C2"/>
    <w:rsid w:val="000819CE"/>
    <w:rsid w:val="000819D9"/>
    <w:rsid w:val="00081A81"/>
    <w:rsid w:val="00081A82"/>
    <w:rsid w:val="00081AA9"/>
    <w:rsid w:val="00081AD2"/>
    <w:rsid w:val="00081B00"/>
    <w:rsid w:val="00081B05"/>
    <w:rsid w:val="00081B1B"/>
    <w:rsid w:val="00081B51"/>
    <w:rsid w:val="00081B79"/>
    <w:rsid w:val="00081BE5"/>
    <w:rsid w:val="00081C0A"/>
    <w:rsid w:val="00081C10"/>
    <w:rsid w:val="00081CC3"/>
    <w:rsid w:val="00081CDC"/>
    <w:rsid w:val="00081CE8"/>
    <w:rsid w:val="00081CEA"/>
    <w:rsid w:val="00081CF3"/>
    <w:rsid w:val="00081D18"/>
    <w:rsid w:val="00081D6D"/>
    <w:rsid w:val="00081D9D"/>
    <w:rsid w:val="00081DA2"/>
    <w:rsid w:val="00081DAB"/>
    <w:rsid w:val="00081E57"/>
    <w:rsid w:val="00081EE3"/>
    <w:rsid w:val="00081F07"/>
    <w:rsid w:val="00081F8F"/>
    <w:rsid w:val="00081FA6"/>
    <w:rsid w:val="00081FCE"/>
    <w:rsid w:val="00082067"/>
    <w:rsid w:val="00082116"/>
    <w:rsid w:val="00082143"/>
    <w:rsid w:val="0008214A"/>
    <w:rsid w:val="0008217F"/>
    <w:rsid w:val="000821C5"/>
    <w:rsid w:val="000821FF"/>
    <w:rsid w:val="00082214"/>
    <w:rsid w:val="0008230F"/>
    <w:rsid w:val="00082330"/>
    <w:rsid w:val="00082341"/>
    <w:rsid w:val="00082370"/>
    <w:rsid w:val="00082408"/>
    <w:rsid w:val="00082479"/>
    <w:rsid w:val="000824DB"/>
    <w:rsid w:val="0008258E"/>
    <w:rsid w:val="000825A3"/>
    <w:rsid w:val="0008262B"/>
    <w:rsid w:val="000826AA"/>
    <w:rsid w:val="000826C1"/>
    <w:rsid w:val="000826FC"/>
    <w:rsid w:val="00082729"/>
    <w:rsid w:val="00082738"/>
    <w:rsid w:val="0008279F"/>
    <w:rsid w:val="000827AA"/>
    <w:rsid w:val="000827EA"/>
    <w:rsid w:val="00082809"/>
    <w:rsid w:val="0008284B"/>
    <w:rsid w:val="000828B0"/>
    <w:rsid w:val="0008292D"/>
    <w:rsid w:val="00082935"/>
    <w:rsid w:val="00082946"/>
    <w:rsid w:val="00082980"/>
    <w:rsid w:val="000829B1"/>
    <w:rsid w:val="00082A45"/>
    <w:rsid w:val="00082A90"/>
    <w:rsid w:val="00082AC1"/>
    <w:rsid w:val="00082B3A"/>
    <w:rsid w:val="00082B3B"/>
    <w:rsid w:val="00082B3D"/>
    <w:rsid w:val="00082B4A"/>
    <w:rsid w:val="00082BA6"/>
    <w:rsid w:val="00082BBD"/>
    <w:rsid w:val="00082BCE"/>
    <w:rsid w:val="00082C2B"/>
    <w:rsid w:val="00082CA6"/>
    <w:rsid w:val="00082D97"/>
    <w:rsid w:val="00082DBA"/>
    <w:rsid w:val="00082E2F"/>
    <w:rsid w:val="00082E3D"/>
    <w:rsid w:val="00082E41"/>
    <w:rsid w:val="00082E67"/>
    <w:rsid w:val="00082E6E"/>
    <w:rsid w:val="00082E8F"/>
    <w:rsid w:val="00082EA8"/>
    <w:rsid w:val="00082EAA"/>
    <w:rsid w:val="00082EC6"/>
    <w:rsid w:val="00082ECF"/>
    <w:rsid w:val="00082ED4"/>
    <w:rsid w:val="00082EF7"/>
    <w:rsid w:val="00082F13"/>
    <w:rsid w:val="00082F15"/>
    <w:rsid w:val="00082F65"/>
    <w:rsid w:val="00082F83"/>
    <w:rsid w:val="0008301D"/>
    <w:rsid w:val="0008302B"/>
    <w:rsid w:val="00083042"/>
    <w:rsid w:val="00083072"/>
    <w:rsid w:val="000830CA"/>
    <w:rsid w:val="000830DA"/>
    <w:rsid w:val="0008312F"/>
    <w:rsid w:val="00083175"/>
    <w:rsid w:val="00083187"/>
    <w:rsid w:val="00083204"/>
    <w:rsid w:val="00083206"/>
    <w:rsid w:val="00083229"/>
    <w:rsid w:val="0008326C"/>
    <w:rsid w:val="00083270"/>
    <w:rsid w:val="0008332C"/>
    <w:rsid w:val="0008336A"/>
    <w:rsid w:val="00083381"/>
    <w:rsid w:val="000833B2"/>
    <w:rsid w:val="000833FE"/>
    <w:rsid w:val="0008342D"/>
    <w:rsid w:val="0008346A"/>
    <w:rsid w:val="000834BB"/>
    <w:rsid w:val="000834EE"/>
    <w:rsid w:val="00083539"/>
    <w:rsid w:val="000835A4"/>
    <w:rsid w:val="000835A9"/>
    <w:rsid w:val="000835F7"/>
    <w:rsid w:val="0008360A"/>
    <w:rsid w:val="00083632"/>
    <w:rsid w:val="0008365B"/>
    <w:rsid w:val="00083667"/>
    <w:rsid w:val="000836F0"/>
    <w:rsid w:val="000836FE"/>
    <w:rsid w:val="00083710"/>
    <w:rsid w:val="00083768"/>
    <w:rsid w:val="000837D1"/>
    <w:rsid w:val="000837DB"/>
    <w:rsid w:val="00083807"/>
    <w:rsid w:val="00083836"/>
    <w:rsid w:val="00083854"/>
    <w:rsid w:val="000838D4"/>
    <w:rsid w:val="00083914"/>
    <w:rsid w:val="0008398A"/>
    <w:rsid w:val="000839A5"/>
    <w:rsid w:val="000839E8"/>
    <w:rsid w:val="000839F0"/>
    <w:rsid w:val="00083A57"/>
    <w:rsid w:val="00083A6B"/>
    <w:rsid w:val="00083A9A"/>
    <w:rsid w:val="00083AB1"/>
    <w:rsid w:val="00083B11"/>
    <w:rsid w:val="00083BBB"/>
    <w:rsid w:val="00083BE5"/>
    <w:rsid w:val="00083C49"/>
    <w:rsid w:val="00083C80"/>
    <w:rsid w:val="00083C8E"/>
    <w:rsid w:val="00083C96"/>
    <w:rsid w:val="00083CD7"/>
    <w:rsid w:val="00083CDC"/>
    <w:rsid w:val="00083CFB"/>
    <w:rsid w:val="00083D2A"/>
    <w:rsid w:val="00083D2B"/>
    <w:rsid w:val="00083D33"/>
    <w:rsid w:val="00083D37"/>
    <w:rsid w:val="00083DAA"/>
    <w:rsid w:val="00083E60"/>
    <w:rsid w:val="00083EC9"/>
    <w:rsid w:val="00083EE6"/>
    <w:rsid w:val="00083F98"/>
    <w:rsid w:val="00083FAC"/>
    <w:rsid w:val="00083FDF"/>
    <w:rsid w:val="00084044"/>
    <w:rsid w:val="00084077"/>
    <w:rsid w:val="000840BF"/>
    <w:rsid w:val="000840D6"/>
    <w:rsid w:val="00084135"/>
    <w:rsid w:val="00084241"/>
    <w:rsid w:val="00084255"/>
    <w:rsid w:val="00084285"/>
    <w:rsid w:val="000842E1"/>
    <w:rsid w:val="00084305"/>
    <w:rsid w:val="00084381"/>
    <w:rsid w:val="0008442C"/>
    <w:rsid w:val="0008448C"/>
    <w:rsid w:val="000844C0"/>
    <w:rsid w:val="00084503"/>
    <w:rsid w:val="0008453A"/>
    <w:rsid w:val="0008454D"/>
    <w:rsid w:val="00084553"/>
    <w:rsid w:val="00084564"/>
    <w:rsid w:val="0008457B"/>
    <w:rsid w:val="000845D6"/>
    <w:rsid w:val="000845E1"/>
    <w:rsid w:val="000845EA"/>
    <w:rsid w:val="00084629"/>
    <w:rsid w:val="00084636"/>
    <w:rsid w:val="00084665"/>
    <w:rsid w:val="0008471A"/>
    <w:rsid w:val="0008475A"/>
    <w:rsid w:val="00084768"/>
    <w:rsid w:val="0008479E"/>
    <w:rsid w:val="000847B6"/>
    <w:rsid w:val="000847E8"/>
    <w:rsid w:val="000847F7"/>
    <w:rsid w:val="00084801"/>
    <w:rsid w:val="00084832"/>
    <w:rsid w:val="0008485E"/>
    <w:rsid w:val="000848BB"/>
    <w:rsid w:val="000848E3"/>
    <w:rsid w:val="0008490C"/>
    <w:rsid w:val="00084922"/>
    <w:rsid w:val="0008492D"/>
    <w:rsid w:val="00084944"/>
    <w:rsid w:val="00084956"/>
    <w:rsid w:val="00084972"/>
    <w:rsid w:val="0008498A"/>
    <w:rsid w:val="000849C9"/>
    <w:rsid w:val="00084A47"/>
    <w:rsid w:val="00084A80"/>
    <w:rsid w:val="00084A99"/>
    <w:rsid w:val="00084ACA"/>
    <w:rsid w:val="00084B00"/>
    <w:rsid w:val="00084B3E"/>
    <w:rsid w:val="00084B40"/>
    <w:rsid w:val="00084B6D"/>
    <w:rsid w:val="00084B75"/>
    <w:rsid w:val="00084B8C"/>
    <w:rsid w:val="00084B9F"/>
    <w:rsid w:val="00084BAF"/>
    <w:rsid w:val="00084C03"/>
    <w:rsid w:val="00084C15"/>
    <w:rsid w:val="00084C86"/>
    <w:rsid w:val="00084CD4"/>
    <w:rsid w:val="00084D37"/>
    <w:rsid w:val="00084E01"/>
    <w:rsid w:val="00084E13"/>
    <w:rsid w:val="00084E3A"/>
    <w:rsid w:val="00084E62"/>
    <w:rsid w:val="00084E8D"/>
    <w:rsid w:val="00084E94"/>
    <w:rsid w:val="00084EA7"/>
    <w:rsid w:val="00084F57"/>
    <w:rsid w:val="00084F61"/>
    <w:rsid w:val="00084F67"/>
    <w:rsid w:val="00084F77"/>
    <w:rsid w:val="00085014"/>
    <w:rsid w:val="0008501B"/>
    <w:rsid w:val="0008509C"/>
    <w:rsid w:val="000850A7"/>
    <w:rsid w:val="000850DD"/>
    <w:rsid w:val="000850FC"/>
    <w:rsid w:val="0008511A"/>
    <w:rsid w:val="0008512F"/>
    <w:rsid w:val="0008514E"/>
    <w:rsid w:val="000851A6"/>
    <w:rsid w:val="000851D0"/>
    <w:rsid w:val="000851E1"/>
    <w:rsid w:val="000851E2"/>
    <w:rsid w:val="00085213"/>
    <w:rsid w:val="00085217"/>
    <w:rsid w:val="000852D4"/>
    <w:rsid w:val="000852D5"/>
    <w:rsid w:val="00085362"/>
    <w:rsid w:val="0008536C"/>
    <w:rsid w:val="00085372"/>
    <w:rsid w:val="00085394"/>
    <w:rsid w:val="000853E8"/>
    <w:rsid w:val="0008544C"/>
    <w:rsid w:val="0008545C"/>
    <w:rsid w:val="0008547C"/>
    <w:rsid w:val="000854C8"/>
    <w:rsid w:val="000854DC"/>
    <w:rsid w:val="000854FA"/>
    <w:rsid w:val="00085571"/>
    <w:rsid w:val="000855EA"/>
    <w:rsid w:val="000855FC"/>
    <w:rsid w:val="00085613"/>
    <w:rsid w:val="00085672"/>
    <w:rsid w:val="00085687"/>
    <w:rsid w:val="0008568A"/>
    <w:rsid w:val="000856BF"/>
    <w:rsid w:val="000856C7"/>
    <w:rsid w:val="000856F5"/>
    <w:rsid w:val="00085746"/>
    <w:rsid w:val="000857B5"/>
    <w:rsid w:val="00085816"/>
    <w:rsid w:val="00085840"/>
    <w:rsid w:val="00085855"/>
    <w:rsid w:val="0008587E"/>
    <w:rsid w:val="00085885"/>
    <w:rsid w:val="0008589C"/>
    <w:rsid w:val="0008591E"/>
    <w:rsid w:val="00085934"/>
    <w:rsid w:val="0008593D"/>
    <w:rsid w:val="00085959"/>
    <w:rsid w:val="000859A4"/>
    <w:rsid w:val="000859B3"/>
    <w:rsid w:val="000859F5"/>
    <w:rsid w:val="00085A10"/>
    <w:rsid w:val="00085A70"/>
    <w:rsid w:val="00085A85"/>
    <w:rsid w:val="00085ABE"/>
    <w:rsid w:val="00085ADA"/>
    <w:rsid w:val="00085AE8"/>
    <w:rsid w:val="00085AEB"/>
    <w:rsid w:val="00085AF8"/>
    <w:rsid w:val="00085B12"/>
    <w:rsid w:val="00085B15"/>
    <w:rsid w:val="00085B43"/>
    <w:rsid w:val="00085B6D"/>
    <w:rsid w:val="00085B9D"/>
    <w:rsid w:val="00085BB5"/>
    <w:rsid w:val="00085BE0"/>
    <w:rsid w:val="00085BF1"/>
    <w:rsid w:val="00085C98"/>
    <w:rsid w:val="00085CC0"/>
    <w:rsid w:val="00085CC3"/>
    <w:rsid w:val="00085DC6"/>
    <w:rsid w:val="00085DDB"/>
    <w:rsid w:val="00085DF2"/>
    <w:rsid w:val="00085E0E"/>
    <w:rsid w:val="00085E5B"/>
    <w:rsid w:val="00085EBD"/>
    <w:rsid w:val="00085ECD"/>
    <w:rsid w:val="00085F4C"/>
    <w:rsid w:val="00085F6E"/>
    <w:rsid w:val="00085F86"/>
    <w:rsid w:val="00085FA2"/>
    <w:rsid w:val="00085FC6"/>
    <w:rsid w:val="00085FEF"/>
    <w:rsid w:val="0008603A"/>
    <w:rsid w:val="00086082"/>
    <w:rsid w:val="00086085"/>
    <w:rsid w:val="000860A3"/>
    <w:rsid w:val="000860AA"/>
    <w:rsid w:val="000860CF"/>
    <w:rsid w:val="000860E8"/>
    <w:rsid w:val="00086149"/>
    <w:rsid w:val="0008614D"/>
    <w:rsid w:val="000861B4"/>
    <w:rsid w:val="000861B5"/>
    <w:rsid w:val="000861B7"/>
    <w:rsid w:val="00086229"/>
    <w:rsid w:val="00086248"/>
    <w:rsid w:val="0008626A"/>
    <w:rsid w:val="0008627D"/>
    <w:rsid w:val="000862A1"/>
    <w:rsid w:val="000862D3"/>
    <w:rsid w:val="0008633A"/>
    <w:rsid w:val="00086367"/>
    <w:rsid w:val="00086377"/>
    <w:rsid w:val="00086393"/>
    <w:rsid w:val="000863A4"/>
    <w:rsid w:val="000863DB"/>
    <w:rsid w:val="00086406"/>
    <w:rsid w:val="00086461"/>
    <w:rsid w:val="0008646B"/>
    <w:rsid w:val="0008648C"/>
    <w:rsid w:val="000864EB"/>
    <w:rsid w:val="00086514"/>
    <w:rsid w:val="0008654B"/>
    <w:rsid w:val="00086573"/>
    <w:rsid w:val="000865EC"/>
    <w:rsid w:val="00086616"/>
    <w:rsid w:val="0008664F"/>
    <w:rsid w:val="000866A7"/>
    <w:rsid w:val="000866BC"/>
    <w:rsid w:val="0008670C"/>
    <w:rsid w:val="00086732"/>
    <w:rsid w:val="00086738"/>
    <w:rsid w:val="0008677C"/>
    <w:rsid w:val="000867B1"/>
    <w:rsid w:val="000867CE"/>
    <w:rsid w:val="00086818"/>
    <w:rsid w:val="00086854"/>
    <w:rsid w:val="00086946"/>
    <w:rsid w:val="00086966"/>
    <w:rsid w:val="00086972"/>
    <w:rsid w:val="00086994"/>
    <w:rsid w:val="0008699D"/>
    <w:rsid w:val="00086A02"/>
    <w:rsid w:val="00086A24"/>
    <w:rsid w:val="00086A9B"/>
    <w:rsid w:val="00086AA9"/>
    <w:rsid w:val="00086B40"/>
    <w:rsid w:val="00086B66"/>
    <w:rsid w:val="00086B80"/>
    <w:rsid w:val="00086BC3"/>
    <w:rsid w:val="00086BF0"/>
    <w:rsid w:val="00086BFE"/>
    <w:rsid w:val="00086C06"/>
    <w:rsid w:val="00086C5F"/>
    <w:rsid w:val="00086CBE"/>
    <w:rsid w:val="00086CD8"/>
    <w:rsid w:val="00086CDA"/>
    <w:rsid w:val="00086D03"/>
    <w:rsid w:val="00086D67"/>
    <w:rsid w:val="00086D88"/>
    <w:rsid w:val="00086DCC"/>
    <w:rsid w:val="00086E97"/>
    <w:rsid w:val="00086E9E"/>
    <w:rsid w:val="00086EE1"/>
    <w:rsid w:val="00086EE2"/>
    <w:rsid w:val="00086F1F"/>
    <w:rsid w:val="00086F62"/>
    <w:rsid w:val="00086F63"/>
    <w:rsid w:val="00087069"/>
    <w:rsid w:val="000870A6"/>
    <w:rsid w:val="000870AB"/>
    <w:rsid w:val="000870AD"/>
    <w:rsid w:val="000870CA"/>
    <w:rsid w:val="000870FB"/>
    <w:rsid w:val="00087108"/>
    <w:rsid w:val="00087125"/>
    <w:rsid w:val="00087156"/>
    <w:rsid w:val="00087159"/>
    <w:rsid w:val="00087160"/>
    <w:rsid w:val="0008717E"/>
    <w:rsid w:val="000871C0"/>
    <w:rsid w:val="00087218"/>
    <w:rsid w:val="00087239"/>
    <w:rsid w:val="0008723D"/>
    <w:rsid w:val="00087246"/>
    <w:rsid w:val="0008724C"/>
    <w:rsid w:val="000872BD"/>
    <w:rsid w:val="00087301"/>
    <w:rsid w:val="00087330"/>
    <w:rsid w:val="000873CE"/>
    <w:rsid w:val="000873F4"/>
    <w:rsid w:val="000874A8"/>
    <w:rsid w:val="000874C5"/>
    <w:rsid w:val="000874D2"/>
    <w:rsid w:val="000874D8"/>
    <w:rsid w:val="000874DD"/>
    <w:rsid w:val="000874F1"/>
    <w:rsid w:val="00087506"/>
    <w:rsid w:val="00087526"/>
    <w:rsid w:val="0008756F"/>
    <w:rsid w:val="0008758F"/>
    <w:rsid w:val="000875B4"/>
    <w:rsid w:val="000875C0"/>
    <w:rsid w:val="000875CC"/>
    <w:rsid w:val="000875E9"/>
    <w:rsid w:val="00087625"/>
    <w:rsid w:val="000876CD"/>
    <w:rsid w:val="000876E5"/>
    <w:rsid w:val="00087700"/>
    <w:rsid w:val="0008774B"/>
    <w:rsid w:val="000877D8"/>
    <w:rsid w:val="000878C7"/>
    <w:rsid w:val="000878F0"/>
    <w:rsid w:val="000878F4"/>
    <w:rsid w:val="000878F8"/>
    <w:rsid w:val="00087987"/>
    <w:rsid w:val="000879BA"/>
    <w:rsid w:val="000879DC"/>
    <w:rsid w:val="000879E3"/>
    <w:rsid w:val="00087A24"/>
    <w:rsid w:val="00087A74"/>
    <w:rsid w:val="00087AC7"/>
    <w:rsid w:val="00087B41"/>
    <w:rsid w:val="00087BC0"/>
    <w:rsid w:val="00087BCE"/>
    <w:rsid w:val="00087D87"/>
    <w:rsid w:val="00087E2D"/>
    <w:rsid w:val="00087E8C"/>
    <w:rsid w:val="00087EC8"/>
    <w:rsid w:val="00087ED1"/>
    <w:rsid w:val="00087EED"/>
    <w:rsid w:val="00087F18"/>
    <w:rsid w:val="00087F38"/>
    <w:rsid w:val="00087F54"/>
    <w:rsid w:val="00087F75"/>
    <w:rsid w:val="00087FA5"/>
    <w:rsid w:val="00087FAC"/>
    <w:rsid w:val="00087FD7"/>
    <w:rsid w:val="00087FFC"/>
    <w:rsid w:val="0009002E"/>
    <w:rsid w:val="00090032"/>
    <w:rsid w:val="0009004C"/>
    <w:rsid w:val="00090063"/>
    <w:rsid w:val="0009006D"/>
    <w:rsid w:val="000900B7"/>
    <w:rsid w:val="000900C1"/>
    <w:rsid w:val="000900E0"/>
    <w:rsid w:val="000900E1"/>
    <w:rsid w:val="00090119"/>
    <w:rsid w:val="00090121"/>
    <w:rsid w:val="00090144"/>
    <w:rsid w:val="00090146"/>
    <w:rsid w:val="0009015D"/>
    <w:rsid w:val="0009018A"/>
    <w:rsid w:val="0009019B"/>
    <w:rsid w:val="000901E1"/>
    <w:rsid w:val="000901F8"/>
    <w:rsid w:val="0009020A"/>
    <w:rsid w:val="00090217"/>
    <w:rsid w:val="00090235"/>
    <w:rsid w:val="0009025F"/>
    <w:rsid w:val="000902DF"/>
    <w:rsid w:val="000902E0"/>
    <w:rsid w:val="000902F1"/>
    <w:rsid w:val="00090327"/>
    <w:rsid w:val="0009033A"/>
    <w:rsid w:val="000903AA"/>
    <w:rsid w:val="000903C8"/>
    <w:rsid w:val="000903D2"/>
    <w:rsid w:val="00090408"/>
    <w:rsid w:val="0009040B"/>
    <w:rsid w:val="00090411"/>
    <w:rsid w:val="0009043F"/>
    <w:rsid w:val="00090461"/>
    <w:rsid w:val="00090465"/>
    <w:rsid w:val="0009046E"/>
    <w:rsid w:val="0009047F"/>
    <w:rsid w:val="00090504"/>
    <w:rsid w:val="00090528"/>
    <w:rsid w:val="0009056B"/>
    <w:rsid w:val="00090610"/>
    <w:rsid w:val="00090659"/>
    <w:rsid w:val="0009067E"/>
    <w:rsid w:val="000906AC"/>
    <w:rsid w:val="000906D2"/>
    <w:rsid w:val="000906E0"/>
    <w:rsid w:val="000906F7"/>
    <w:rsid w:val="00090713"/>
    <w:rsid w:val="0009071C"/>
    <w:rsid w:val="0009073A"/>
    <w:rsid w:val="0009076F"/>
    <w:rsid w:val="0009077F"/>
    <w:rsid w:val="000907F1"/>
    <w:rsid w:val="00090817"/>
    <w:rsid w:val="0009082C"/>
    <w:rsid w:val="00090834"/>
    <w:rsid w:val="00090862"/>
    <w:rsid w:val="00090865"/>
    <w:rsid w:val="00090866"/>
    <w:rsid w:val="00090936"/>
    <w:rsid w:val="00090979"/>
    <w:rsid w:val="0009097C"/>
    <w:rsid w:val="0009097E"/>
    <w:rsid w:val="0009098E"/>
    <w:rsid w:val="00090994"/>
    <w:rsid w:val="0009099B"/>
    <w:rsid w:val="000909E4"/>
    <w:rsid w:val="00090A02"/>
    <w:rsid w:val="00090A0C"/>
    <w:rsid w:val="00090AA9"/>
    <w:rsid w:val="00090ABF"/>
    <w:rsid w:val="00090AE0"/>
    <w:rsid w:val="00090B3C"/>
    <w:rsid w:val="00090B6F"/>
    <w:rsid w:val="00090B71"/>
    <w:rsid w:val="00090BAE"/>
    <w:rsid w:val="00090BE6"/>
    <w:rsid w:val="00090BE8"/>
    <w:rsid w:val="00090C11"/>
    <w:rsid w:val="00090CAA"/>
    <w:rsid w:val="00090CEA"/>
    <w:rsid w:val="00090D4B"/>
    <w:rsid w:val="00090D64"/>
    <w:rsid w:val="00090D91"/>
    <w:rsid w:val="00090DBC"/>
    <w:rsid w:val="00090DD7"/>
    <w:rsid w:val="00090E23"/>
    <w:rsid w:val="00090E2B"/>
    <w:rsid w:val="00090E40"/>
    <w:rsid w:val="00090E44"/>
    <w:rsid w:val="00090E6E"/>
    <w:rsid w:val="00090EA9"/>
    <w:rsid w:val="00090EC0"/>
    <w:rsid w:val="00090ED9"/>
    <w:rsid w:val="00090EDE"/>
    <w:rsid w:val="00090F24"/>
    <w:rsid w:val="00090F57"/>
    <w:rsid w:val="00090F5F"/>
    <w:rsid w:val="00090F8D"/>
    <w:rsid w:val="00090F96"/>
    <w:rsid w:val="00090FA7"/>
    <w:rsid w:val="00090FBA"/>
    <w:rsid w:val="00090FDE"/>
    <w:rsid w:val="00091067"/>
    <w:rsid w:val="0009109C"/>
    <w:rsid w:val="000910A0"/>
    <w:rsid w:val="000910A6"/>
    <w:rsid w:val="000910B1"/>
    <w:rsid w:val="000910B3"/>
    <w:rsid w:val="000910DE"/>
    <w:rsid w:val="000910F3"/>
    <w:rsid w:val="00091140"/>
    <w:rsid w:val="00091141"/>
    <w:rsid w:val="000911B0"/>
    <w:rsid w:val="000911D6"/>
    <w:rsid w:val="000911E3"/>
    <w:rsid w:val="000911E5"/>
    <w:rsid w:val="00091328"/>
    <w:rsid w:val="00091334"/>
    <w:rsid w:val="0009135F"/>
    <w:rsid w:val="0009138E"/>
    <w:rsid w:val="0009139F"/>
    <w:rsid w:val="000913F8"/>
    <w:rsid w:val="000913FD"/>
    <w:rsid w:val="0009143F"/>
    <w:rsid w:val="0009144B"/>
    <w:rsid w:val="0009145F"/>
    <w:rsid w:val="000914C6"/>
    <w:rsid w:val="000914CE"/>
    <w:rsid w:val="000914E4"/>
    <w:rsid w:val="000914EA"/>
    <w:rsid w:val="000915D0"/>
    <w:rsid w:val="0009160C"/>
    <w:rsid w:val="00091646"/>
    <w:rsid w:val="0009165B"/>
    <w:rsid w:val="00091708"/>
    <w:rsid w:val="0009171D"/>
    <w:rsid w:val="0009171F"/>
    <w:rsid w:val="00091729"/>
    <w:rsid w:val="00091769"/>
    <w:rsid w:val="000917C5"/>
    <w:rsid w:val="000917C7"/>
    <w:rsid w:val="000917EB"/>
    <w:rsid w:val="0009180D"/>
    <w:rsid w:val="0009180E"/>
    <w:rsid w:val="00091814"/>
    <w:rsid w:val="00091843"/>
    <w:rsid w:val="00091847"/>
    <w:rsid w:val="00091866"/>
    <w:rsid w:val="0009186C"/>
    <w:rsid w:val="00091874"/>
    <w:rsid w:val="00091886"/>
    <w:rsid w:val="000918B7"/>
    <w:rsid w:val="000918DF"/>
    <w:rsid w:val="000918F2"/>
    <w:rsid w:val="000918FF"/>
    <w:rsid w:val="00091941"/>
    <w:rsid w:val="00091996"/>
    <w:rsid w:val="000919DB"/>
    <w:rsid w:val="00091A62"/>
    <w:rsid w:val="00091A66"/>
    <w:rsid w:val="00091A69"/>
    <w:rsid w:val="00091A99"/>
    <w:rsid w:val="00091AA7"/>
    <w:rsid w:val="00091AE3"/>
    <w:rsid w:val="00091AEC"/>
    <w:rsid w:val="00091B61"/>
    <w:rsid w:val="00091B6A"/>
    <w:rsid w:val="00091BD5"/>
    <w:rsid w:val="00091BF4"/>
    <w:rsid w:val="00091C6D"/>
    <w:rsid w:val="00091C79"/>
    <w:rsid w:val="00091D82"/>
    <w:rsid w:val="00091D97"/>
    <w:rsid w:val="00091E4D"/>
    <w:rsid w:val="00091F04"/>
    <w:rsid w:val="00091F23"/>
    <w:rsid w:val="00092026"/>
    <w:rsid w:val="0009202D"/>
    <w:rsid w:val="0009207A"/>
    <w:rsid w:val="00092091"/>
    <w:rsid w:val="00092146"/>
    <w:rsid w:val="000921B3"/>
    <w:rsid w:val="0009227E"/>
    <w:rsid w:val="00092295"/>
    <w:rsid w:val="000922C6"/>
    <w:rsid w:val="000922E9"/>
    <w:rsid w:val="00092311"/>
    <w:rsid w:val="00092349"/>
    <w:rsid w:val="0009237A"/>
    <w:rsid w:val="000923BD"/>
    <w:rsid w:val="000923C6"/>
    <w:rsid w:val="000923EC"/>
    <w:rsid w:val="00092417"/>
    <w:rsid w:val="00092452"/>
    <w:rsid w:val="00092459"/>
    <w:rsid w:val="000924F3"/>
    <w:rsid w:val="00092524"/>
    <w:rsid w:val="0009258F"/>
    <w:rsid w:val="000925C2"/>
    <w:rsid w:val="000925C8"/>
    <w:rsid w:val="000925D5"/>
    <w:rsid w:val="000925F6"/>
    <w:rsid w:val="00092624"/>
    <w:rsid w:val="00092655"/>
    <w:rsid w:val="0009265D"/>
    <w:rsid w:val="0009266B"/>
    <w:rsid w:val="0009266E"/>
    <w:rsid w:val="0009271A"/>
    <w:rsid w:val="00092736"/>
    <w:rsid w:val="00092738"/>
    <w:rsid w:val="0009273C"/>
    <w:rsid w:val="00092782"/>
    <w:rsid w:val="0009279B"/>
    <w:rsid w:val="000927B3"/>
    <w:rsid w:val="000927E8"/>
    <w:rsid w:val="0009281B"/>
    <w:rsid w:val="00092825"/>
    <w:rsid w:val="0009286F"/>
    <w:rsid w:val="00092897"/>
    <w:rsid w:val="00092898"/>
    <w:rsid w:val="0009289C"/>
    <w:rsid w:val="000928DD"/>
    <w:rsid w:val="00092914"/>
    <w:rsid w:val="0009291E"/>
    <w:rsid w:val="0009291F"/>
    <w:rsid w:val="00092920"/>
    <w:rsid w:val="000929B7"/>
    <w:rsid w:val="00092AB5"/>
    <w:rsid w:val="00092AD4"/>
    <w:rsid w:val="00092AE5"/>
    <w:rsid w:val="00092B43"/>
    <w:rsid w:val="00092B73"/>
    <w:rsid w:val="00092B89"/>
    <w:rsid w:val="00092BC9"/>
    <w:rsid w:val="00092CB2"/>
    <w:rsid w:val="00092CB4"/>
    <w:rsid w:val="00092CC2"/>
    <w:rsid w:val="00092CD2"/>
    <w:rsid w:val="00092CE0"/>
    <w:rsid w:val="00092CEC"/>
    <w:rsid w:val="00092D22"/>
    <w:rsid w:val="00092D60"/>
    <w:rsid w:val="00092D6D"/>
    <w:rsid w:val="00092D90"/>
    <w:rsid w:val="00092E15"/>
    <w:rsid w:val="00092E7D"/>
    <w:rsid w:val="00092EA5"/>
    <w:rsid w:val="00092EBE"/>
    <w:rsid w:val="00092EE4"/>
    <w:rsid w:val="00092F1A"/>
    <w:rsid w:val="00092F21"/>
    <w:rsid w:val="00092F25"/>
    <w:rsid w:val="00092F27"/>
    <w:rsid w:val="00092FA4"/>
    <w:rsid w:val="00092FB8"/>
    <w:rsid w:val="00092FCC"/>
    <w:rsid w:val="00092FE9"/>
    <w:rsid w:val="0009303F"/>
    <w:rsid w:val="00093056"/>
    <w:rsid w:val="000930CC"/>
    <w:rsid w:val="00093101"/>
    <w:rsid w:val="00093102"/>
    <w:rsid w:val="00093142"/>
    <w:rsid w:val="0009317B"/>
    <w:rsid w:val="00093185"/>
    <w:rsid w:val="000931D1"/>
    <w:rsid w:val="000931F4"/>
    <w:rsid w:val="00093205"/>
    <w:rsid w:val="0009322F"/>
    <w:rsid w:val="00093235"/>
    <w:rsid w:val="0009323D"/>
    <w:rsid w:val="00093250"/>
    <w:rsid w:val="00093256"/>
    <w:rsid w:val="00093259"/>
    <w:rsid w:val="000932E6"/>
    <w:rsid w:val="000932F7"/>
    <w:rsid w:val="0009332A"/>
    <w:rsid w:val="000933B2"/>
    <w:rsid w:val="000933C3"/>
    <w:rsid w:val="0009340B"/>
    <w:rsid w:val="00093448"/>
    <w:rsid w:val="000934B5"/>
    <w:rsid w:val="000934B6"/>
    <w:rsid w:val="000934DF"/>
    <w:rsid w:val="0009352B"/>
    <w:rsid w:val="0009358F"/>
    <w:rsid w:val="0009359C"/>
    <w:rsid w:val="000935C1"/>
    <w:rsid w:val="000935F1"/>
    <w:rsid w:val="00093608"/>
    <w:rsid w:val="00093638"/>
    <w:rsid w:val="00093675"/>
    <w:rsid w:val="0009367D"/>
    <w:rsid w:val="000936C0"/>
    <w:rsid w:val="000936E0"/>
    <w:rsid w:val="00093738"/>
    <w:rsid w:val="0009378E"/>
    <w:rsid w:val="0009379D"/>
    <w:rsid w:val="000937E2"/>
    <w:rsid w:val="000937EB"/>
    <w:rsid w:val="00093842"/>
    <w:rsid w:val="00093847"/>
    <w:rsid w:val="000938D3"/>
    <w:rsid w:val="000938DB"/>
    <w:rsid w:val="000938DD"/>
    <w:rsid w:val="000938E4"/>
    <w:rsid w:val="00093938"/>
    <w:rsid w:val="000939A4"/>
    <w:rsid w:val="000939C5"/>
    <w:rsid w:val="000939C6"/>
    <w:rsid w:val="00093A5A"/>
    <w:rsid w:val="00093A69"/>
    <w:rsid w:val="00093AEA"/>
    <w:rsid w:val="00093B36"/>
    <w:rsid w:val="00093B65"/>
    <w:rsid w:val="00093BE9"/>
    <w:rsid w:val="00093C01"/>
    <w:rsid w:val="00093C04"/>
    <w:rsid w:val="00093C22"/>
    <w:rsid w:val="00093C89"/>
    <w:rsid w:val="00093CB7"/>
    <w:rsid w:val="00093CC3"/>
    <w:rsid w:val="00093D2C"/>
    <w:rsid w:val="00093D2E"/>
    <w:rsid w:val="00093D63"/>
    <w:rsid w:val="00093D84"/>
    <w:rsid w:val="00093DD8"/>
    <w:rsid w:val="00093DF4"/>
    <w:rsid w:val="00093E1D"/>
    <w:rsid w:val="00093E52"/>
    <w:rsid w:val="00093E65"/>
    <w:rsid w:val="00093E77"/>
    <w:rsid w:val="00093ECB"/>
    <w:rsid w:val="00093F11"/>
    <w:rsid w:val="00093F4D"/>
    <w:rsid w:val="00094056"/>
    <w:rsid w:val="00094085"/>
    <w:rsid w:val="000940CE"/>
    <w:rsid w:val="000940DA"/>
    <w:rsid w:val="0009415E"/>
    <w:rsid w:val="0009416B"/>
    <w:rsid w:val="0009416C"/>
    <w:rsid w:val="000941B8"/>
    <w:rsid w:val="000941FB"/>
    <w:rsid w:val="0009421E"/>
    <w:rsid w:val="00094270"/>
    <w:rsid w:val="0009430D"/>
    <w:rsid w:val="00094325"/>
    <w:rsid w:val="00094351"/>
    <w:rsid w:val="00094357"/>
    <w:rsid w:val="000943F9"/>
    <w:rsid w:val="00094487"/>
    <w:rsid w:val="000944AA"/>
    <w:rsid w:val="000944FE"/>
    <w:rsid w:val="00094500"/>
    <w:rsid w:val="00094503"/>
    <w:rsid w:val="00094548"/>
    <w:rsid w:val="00094565"/>
    <w:rsid w:val="00094575"/>
    <w:rsid w:val="00094577"/>
    <w:rsid w:val="0009459E"/>
    <w:rsid w:val="000945F2"/>
    <w:rsid w:val="00094628"/>
    <w:rsid w:val="0009462C"/>
    <w:rsid w:val="00094667"/>
    <w:rsid w:val="000946CC"/>
    <w:rsid w:val="000946CF"/>
    <w:rsid w:val="000947E5"/>
    <w:rsid w:val="00094837"/>
    <w:rsid w:val="00094860"/>
    <w:rsid w:val="00094867"/>
    <w:rsid w:val="000948AF"/>
    <w:rsid w:val="000948C1"/>
    <w:rsid w:val="000948C2"/>
    <w:rsid w:val="000948CC"/>
    <w:rsid w:val="0009490E"/>
    <w:rsid w:val="0009491E"/>
    <w:rsid w:val="000949CB"/>
    <w:rsid w:val="000949F0"/>
    <w:rsid w:val="00094A05"/>
    <w:rsid w:val="00094A0B"/>
    <w:rsid w:val="00094A3A"/>
    <w:rsid w:val="00094A4A"/>
    <w:rsid w:val="00094A6D"/>
    <w:rsid w:val="00094ACF"/>
    <w:rsid w:val="00094B22"/>
    <w:rsid w:val="00094B31"/>
    <w:rsid w:val="00094B45"/>
    <w:rsid w:val="00094B5B"/>
    <w:rsid w:val="00094B68"/>
    <w:rsid w:val="00094B73"/>
    <w:rsid w:val="00094BEF"/>
    <w:rsid w:val="00094CB3"/>
    <w:rsid w:val="00094CD9"/>
    <w:rsid w:val="00094D1A"/>
    <w:rsid w:val="00094D29"/>
    <w:rsid w:val="00094D3C"/>
    <w:rsid w:val="00094D4B"/>
    <w:rsid w:val="00094DCC"/>
    <w:rsid w:val="00094DE8"/>
    <w:rsid w:val="00094E06"/>
    <w:rsid w:val="00094E56"/>
    <w:rsid w:val="00094E69"/>
    <w:rsid w:val="00094E6A"/>
    <w:rsid w:val="00094E7F"/>
    <w:rsid w:val="00094EB3"/>
    <w:rsid w:val="00094EC2"/>
    <w:rsid w:val="00094F73"/>
    <w:rsid w:val="00094F8B"/>
    <w:rsid w:val="000950A0"/>
    <w:rsid w:val="000950A5"/>
    <w:rsid w:val="000950E1"/>
    <w:rsid w:val="000950E8"/>
    <w:rsid w:val="00095135"/>
    <w:rsid w:val="00095143"/>
    <w:rsid w:val="0009518B"/>
    <w:rsid w:val="000951A4"/>
    <w:rsid w:val="000951B4"/>
    <w:rsid w:val="000951C8"/>
    <w:rsid w:val="00095200"/>
    <w:rsid w:val="0009523F"/>
    <w:rsid w:val="00095246"/>
    <w:rsid w:val="00095266"/>
    <w:rsid w:val="000952B7"/>
    <w:rsid w:val="000952F8"/>
    <w:rsid w:val="000952FD"/>
    <w:rsid w:val="00095311"/>
    <w:rsid w:val="00095318"/>
    <w:rsid w:val="00095335"/>
    <w:rsid w:val="0009533F"/>
    <w:rsid w:val="0009536F"/>
    <w:rsid w:val="00095435"/>
    <w:rsid w:val="0009549B"/>
    <w:rsid w:val="000954AB"/>
    <w:rsid w:val="00095512"/>
    <w:rsid w:val="00095523"/>
    <w:rsid w:val="00095551"/>
    <w:rsid w:val="00095558"/>
    <w:rsid w:val="00095569"/>
    <w:rsid w:val="00095586"/>
    <w:rsid w:val="0009558B"/>
    <w:rsid w:val="000955A8"/>
    <w:rsid w:val="000955EB"/>
    <w:rsid w:val="000955EE"/>
    <w:rsid w:val="000955FF"/>
    <w:rsid w:val="00095625"/>
    <w:rsid w:val="0009567D"/>
    <w:rsid w:val="000956D5"/>
    <w:rsid w:val="000956F6"/>
    <w:rsid w:val="0009577B"/>
    <w:rsid w:val="000958AF"/>
    <w:rsid w:val="00095955"/>
    <w:rsid w:val="0009596B"/>
    <w:rsid w:val="00095980"/>
    <w:rsid w:val="000959F9"/>
    <w:rsid w:val="00095A00"/>
    <w:rsid w:val="00095A13"/>
    <w:rsid w:val="00095A2B"/>
    <w:rsid w:val="00095A61"/>
    <w:rsid w:val="00095A8D"/>
    <w:rsid w:val="00095AC4"/>
    <w:rsid w:val="00095AC9"/>
    <w:rsid w:val="00095B23"/>
    <w:rsid w:val="00095B2C"/>
    <w:rsid w:val="00095B77"/>
    <w:rsid w:val="00095B96"/>
    <w:rsid w:val="00095C06"/>
    <w:rsid w:val="00095C3F"/>
    <w:rsid w:val="00095C5C"/>
    <w:rsid w:val="00095C8E"/>
    <w:rsid w:val="00095CA5"/>
    <w:rsid w:val="00095CE6"/>
    <w:rsid w:val="00095D23"/>
    <w:rsid w:val="00095D4D"/>
    <w:rsid w:val="00095D7C"/>
    <w:rsid w:val="00095DB7"/>
    <w:rsid w:val="00095DCA"/>
    <w:rsid w:val="00095DD6"/>
    <w:rsid w:val="00095E2F"/>
    <w:rsid w:val="00095E62"/>
    <w:rsid w:val="00095E64"/>
    <w:rsid w:val="00095EDC"/>
    <w:rsid w:val="00095F34"/>
    <w:rsid w:val="00095F36"/>
    <w:rsid w:val="00095F38"/>
    <w:rsid w:val="00095F43"/>
    <w:rsid w:val="00095F66"/>
    <w:rsid w:val="00095F7A"/>
    <w:rsid w:val="00096004"/>
    <w:rsid w:val="0009601D"/>
    <w:rsid w:val="00096060"/>
    <w:rsid w:val="000960E5"/>
    <w:rsid w:val="000960FD"/>
    <w:rsid w:val="00096135"/>
    <w:rsid w:val="00096150"/>
    <w:rsid w:val="000961CC"/>
    <w:rsid w:val="000961DF"/>
    <w:rsid w:val="00096273"/>
    <w:rsid w:val="000962A5"/>
    <w:rsid w:val="0009631E"/>
    <w:rsid w:val="00096358"/>
    <w:rsid w:val="00096369"/>
    <w:rsid w:val="00096390"/>
    <w:rsid w:val="000963B8"/>
    <w:rsid w:val="000963CF"/>
    <w:rsid w:val="000963D2"/>
    <w:rsid w:val="000963E4"/>
    <w:rsid w:val="000963F3"/>
    <w:rsid w:val="0009642D"/>
    <w:rsid w:val="00096453"/>
    <w:rsid w:val="000964F7"/>
    <w:rsid w:val="00096560"/>
    <w:rsid w:val="0009659B"/>
    <w:rsid w:val="000965F8"/>
    <w:rsid w:val="00096611"/>
    <w:rsid w:val="0009661D"/>
    <w:rsid w:val="00096647"/>
    <w:rsid w:val="0009667B"/>
    <w:rsid w:val="000966A2"/>
    <w:rsid w:val="000966FD"/>
    <w:rsid w:val="00096711"/>
    <w:rsid w:val="000967EF"/>
    <w:rsid w:val="00096817"/>
    <w:rsid w:val="0009683E"/>
    <w:rsid w:val="0009685C"/>
    <w:rsid w:val="00096874"/>
    <w:rsid w:val="00096889"/>
    <w:rsid w:val="000968E3"/>
    <w:rsid w:val="000969BD"/>
    <w:rsid w:val="000969E6"/>
    <w:rsid w:val="000969FC"/>
    <w:rsid w:val="00096A11"/>
    <w:rsid w:val="00096A5A"/>
    <w:rsid w:val="00096A63"/>
    <w:rsid w:val="00096B0E"/>
    <w:rsid w:val="00096B36"/>
    <w:rsid w:val="00096B37"/>
    <w:rsid w:val="00096B59"/>
    <w:rsid w:val="00096B81"/>
    <w:rsid w:val="00096C57"/>
    <w:rsid w:val="00096C77"/>
    <w:rsid w:val="00096C88"/>
    <w:rsid w:val="00096CCF"/>
    <w:rsid w:val="00096D15"/>
    <w:rsid w:val="00096D40"/>
    <w:rsid w:val="00096D7B"/>
    <w:rsid w:val="00096D81"/>
    <w:rsid w:val="00096D8C"/>
    <w:rsid w:val="00096E0F"/>
    <w:rsid w:val="00096E36"/>
    <w:rsid w:val="00096F6B"/>
    <w:rsid w:val="00096FB2"/>
    <w:rsid w:val="0009707D"/>
    <w:rsid w:val="000970C5"/>
    <w:rsid w:val="00097143"/>
    <w:rsid w:val="0009715E"/>
    <w:rsid w:val="000971B3"/>
    <w:rsid w:val="000971B8"/>
    <w:rsid w:val="000971D3"/>
    <w:rsid w:val="00097235"/>
    <w:rsid w:val="00097264"/>
    <w:rsid w:val="00097269"/>
    <w:rsid w:val="00097287"/>
    <w:rsid w:val="000972B1"/>
    <w:rsid w:val="000972F6"/>
    <w:rsid w:val="00097349"/>
    <w:rsid w:val="00097359"/>
    <w:rsid w:val="00097382"/>
    <w:rsid w:val="00097397"/>
    <w:rsid w:val="000973C8"/>
    <w:rsid w:val="000973F2"/>
    <w:rsid w:val="000973FE"/>
    <w:rsid w:val="0009746F"/>
    <w:rsid w:val="0009748E"/>
    <w:rsid w:val="000974AE"/>
    <w:rsid w:val="0009755C"/>
    <w:rsid w:val="000975AF"/>
    <w:rsid w:val="000975B9"/>
    <w:rsid w:val="000975E9"/>
    <w:rsid w:val="000975FC"/>
    <w:rsid w:val="000976D9"/>
    <w:rsid w:val="000976E2"/>
    <w:rsid w:val="00097719"/>
    <w:rsid w:val="000977B8"/>
    <w:rsid w:val="000977DE"/>
    <w:rsid w:val="0009780C"/>
    <w:rsid w:val="0009789C"/>
    <w:rsid w:val="00097966"/>
    <w:rsid w:val="000979BF"/>
    <w:rsid w:val="000979D0"/>
    <w:rsid w:val="000979E4"/>
    <w:rsid w:val="00097A0E"/>
    <w:rsid w:val="00097A60"/>
    <w:rsid w:val="00097A8F"/>
    <w:rsid w:val="00097AAB"/>
    <w:rsid w:val="00097AC0"/>
    <w:rsid w:val="00097B07"/>
    <w:rsid w:val="00097B1F"/>
    <w:rsid w:val="00097B31"/>
    <w:rsid w:val="00097B3A"/>
    <w:rsid w:val="00097B5B"/>
    <w:rsid w:val="00097B9D"/>
    <w:rsid w:val="00097BD0"/>
    <w:rsid w:val="00097BD4"/>
    <w:rsid w:val="00097BEA"/>
    <w:rsid w:val="00097BFD"/>
    <w:rsid w:val="00097BFF"/>
    <w:rsid w:val="00097C82"/>
    <w:rsid w:val="00097C8D"/>
    <w:rsid w:val="00097CAC"/>
    <w:rsid w:val="00097CB8"/>
    <w:rsid w:val="00097D01"/>
    <w:rsid w:val="00097D2E"/>
    <w:rsid w:val="00097D31"/>
    <w:rsid w:val="00097D3A"/>
    <w:rsid w:val="00097D48"/>
    <w:rsid w:val="00097D89"/>
    <w:rsid w:val="00097D8E"/>
    <w:rsid w:val="00097DEC"/>
    <w:rsid w:val="00097E2B"/>
    <w:rsid w:val="00097E63"/>
    <w:rsid w:val="00097E93"/>
    <w:rsid w:val="00097EA3"/>
    <w:rsid w:val="00097EBA"/>
    <w:rsid w:val="00097EBD"/>
    <w:rsid w:val="00097EFD"/>
    <w:rsid w:val="00097F37"/>
    <w:rsid w:val="00097F7C"/>
    <w:rsid w:val="000A0072"/>
    <w:rsid w:val="000A00B8"/>
    <w:rsid w:val="000A00DB"/>
    <w:rsid w:val="000A00F5"/>
    <w:rsid w:val="000A00FB"/>
    <w:rsid w:val="000A012F"/>
    <w:rsid w:val="000A0158"/>
    <w:rsid w:val="000A0194"/>
    <w:rsid w:val="000A01D9"/>
    <w:rsid w:val="000A01F1"/>
    <w:rsid w:val="000A023A"/>
    <w:rsid w:val="000A0247"/>
    <w:rsid w:val="000A0262"/>
    <w:rsid w:val="000A0274"/>
    <w:rsid w:val="000A0280"/>
    <w:rsid w:val="000A0284"/>
    <w:rsid w:val="000A028F"/>
    <w:rsid w:val="000A02C2"/>
    <w:rsid w:val="000A02C7"/>
    <w:rsid w:val="000A03E0"/>
    <w:rsid w:val="000A03EB"/>
    <w:rsid w:val="000A0456"/>
    <w:rsid w:val="000A04AA"/>
    <w:rsid w:val="000A04FF"/>
    <w:rsid w:val="000A0518"/>
    <w:rsid w:val="000A051A"/>
    <w:rsid w:val="000A053D"/>
    <w:rsid w:val="000A058B"/>
    <w:rsid w:val="000A0594"/>
    <w:rsid w:val="000A05B2"/>
    <w:rsid w:val="000A05C5"/>
    <w:rsid w:val="000A05D2"/>
    <w:rsid w:val="000A060A"/>
    <w:rsid w:val="000A0621"/>
    <w:rsid w:val="000A064C"/>
    <w:rsid w:val="000A06B6"/>
    <w:rsid w:val="000A06C7"/>
    <w:rsid w:val="000A072B"/>
    <w:rsid w:val="000A0755"/>
    <w:rsid w:val="000A0793"/>
    <w:rsid w:val="000A07B7"/>
    <w:rsid w:val="000A082B"/>
    <w:rsid w:val="000A0836"/>
    <w:rsid w:val="000A083A"/>
    <w:rsid w:val="000A08AC"/>
    <w:rsid w:val="000A08DC"/>
    <w:rsid w:val="000A08EC"/>
    <w:rsid w:val="000A0997"/>
    <w:rsid w:val="000A0A18"/>
    <w:rsid w:val="000A0A50"/>
    <w:rsid w:val="000A0A6D"/>
    <w:rsid w:val="000A0A7E"/>
    <w:rsid w:val="000A0A80"/>
    <w:rsid w:val="000A0A81"/>
    <w:rsid w:val="000A0A9E"/>
    <w:rsid w:val="000A0AE4"/>
    <w:rsid w:val="000A0B0C"/>
    <w:rsid w:val="000A0B69"/>
    <w:rsid w:val="000A0B84"/>
    <w:rsid w:val="000A0BB9"/>
    <w:rsid w:val="000A0BC0"/>
    <w:rsid w:val="000A0BEC"/>
    <w:rsid w:val="000A0C6A"/>
    <w:rsid w:val="000A0C97"/>
    <w:rsid w:val="000A0CB8"/>
    <w:rsid w:val="000A0CD8"/>
    <w:rsid w:val="000A0CF6"/>
    <w:rsid w:val="000A0D38"/>
    <w:rsid w:val="000A0D62"/>
    <w:rsid w:val="000A0D7A"/>
    <w:rsid w:val="000A0E66"/>
    <w:rsid w:val="000A0E8C"/>
    <w:rsid w:val="000A0EA7"/>
    <w:rsid w:val="000A0EF7"/>
    <w:rsid w:val="000A0F1E"/>
    <w:rsid w:val="000A0F5B"/>
    <w:rsid w:val="000A0F67"/>
    <w:rsid w:val="000A0FB7"/>
    <w:rsid w:val="000A0FD0"/>
    <w:rsid w:val="000A0FE3"/>
    <w:rsid w:val="000A105B"/>
    <w:rsid w:val="000A10CB"/>
    <w:rsid w:val="000A10FC"/>
    <w:rsid w:val="000A1105"/>
    <w:rsid w:val="000A110A"/>
    <w:rsid w:val="000A112D"/>
    <w:rsid w:val="000A1132"/>
    <w:rsid w:val="000A1156"/>
    <w:rsid w:val="000A11A3"/>
    <w:rsid w:val="000A11F0"/>
    <w:rsid w:val="000A1244"/>
    <w:rsid w:val="000A125E"/>
    <w:rsid w:val="000A12D8"/>
    <w:rsid w:val="000A131C"/>
    <w:rsid w:val="000A1365"/>
    <w:rsid w:val="000A1384"/>
    <w:rsid w:val="000A13A7"/>
    <w:rsid w:val="000A13B9"/>
    <w:rsid w:val="000A13BE"/>
    <w:rsid w:val="000A13CD"/>
    <w:rsid w:val="000A14A3"/>
    <w:rsid w:val="000A14BE"/>
    <w:rsid w:val="000A14D2"/>
    <w:rsid w:val="000A1518"/>
    <w:rsid w:val="000A156B"/>
    <w:rsid w:val="000A157E"/>
    <w:rsid w:val="000A1586"/>
    <w:rsid w:val="000A1594"/>
    <w:rsid w:val="000A1662"/>
    <w:rsid w:val="000A167F"/>
    <w:rsid w:val="000A16AA"/>
    <w:rsid w:val="000A16DE"/>
    <w:rsid w:val="000A1771"/>
    <w:rsid w:val="000A1781"/>
    <w:rsid w:val="000A17E2"/>
    <w:rsid w:val="000A17F6"/>
    <w:rsid w:val="000A18C7"/>
    <w:rsid w:val="000A194C"/>
    <w:rsid w:val="000A195D"/>
    <w:rsid w:val="000A1980"/>
    <w:rsid w:val="000A19AF"/>
    <w:rsid w:val="000A19B3"/>
    <w:rsid w:val="000A1A04"/>
    <w:rsid w:val="000A1A1F"/>
    <w:rsid w:val="000A1A71"/>
    <w:rsid w:val="000A1A8E"/>
    <w:rsid w:val="000A1AAF"/>
    <w:rsid w:val="000A1AE5"/>
    <w:rsid w:val="000A1B14"/>
    <w:rsid w:val="000A1B35"/>
    <w:rsid w:val="000A1B75"/>
    <w:rsid w:val="000A1BE1"/>
    <w:rsid w:val="000A1C5C"/>
    <w:rsid w:val="000A1C84"/>
    <w:rsid w:val="000A1CEE"/>
    <w:rsid w:val="000A1CF6"/>
    <w:rsid w:val="000A1D03"/>
    <w:rsid w:val="000A1D1E"/>
    <w:rsid w:val="000A1D73"/>
    <w:rsid w:val="000A1D8A"/>
    <w:rsid w:val="000A1DA5"/>
    <w:rsid w:val="000A1DAC"/>
    <w:rsid w:val="000A1E06"/>
    <w:rsid w:val="000A1E3F"/>
    <w:rsid w:val="000A1E5A"/>
    <w:rsid w:val="000A1E7F"/>
    <w:rsid w:val="000A1F2A"/>
    <w:rsid w:val="000A1F39"/>
    <w:rsid w:val="000A1F62"/>
    <w:rsid w:val="000A1FB8"/>
    <w:rsid w:val="000A1FE5"/>
    <w:rsid w:val="000A1FF9"/>
    <w:rsid w:val="000A2019"/>
    <w:rsid w:val="000A203F"/>
    <w:rsid w:val="000A2064"/>
    <w:rsid w:val="000A208F"/>
    <w:rsid w:val="000A212D"/>
    <w:rsid w:val="000A2145"/>
    <w:rsid w:val="000A218A"/>
    <w:rsid w:val="000A2196"/>
    <w:rsid w:val="000A22D3"/>
    <w:rsid w:val="000A22E3"/>
    <w:rsid w:val="000A22F5"/>
    <w:rsid w:val="000A2302"/>
    <w:rsid w:val="000A230E"/>
    <w:rsid w:val="000A2322"/>
    <w:rsid w:val="000A2343"/>
    <w:rsid w:val="000A234B"/>
    <w:rsid w:val="000A236D"/>
    <w:rsid w:val="000A23CE"/>
    <w:rsid w:val="000A2435"/>
    <w:rsid w:val="000A24C3"/>
    <w:rsid w:val="000A250E"/>
    <w:rsid w:val="000A2512"/>
    <w:rsid w:val="000A2574"/>
    <w:rsid w:val="000A25A3"/>
    <w:rsid w:val="000A25C2"/>
    <w:rsid w:val="000A25CE"/>
    <w:rsid w:val="000A260C"/>
    <w:rsid w:val="000A261B"/>
    <w:rsid w:val="000A2633"/>
    <w:rsid w:val="000A2646"/>
    <w:rsid w:val="000A26DD"/>
    <w:rsid w:val="000A26F7"/>
    <w:rsid w:val="000A2716"/>
    <w:rsid w:val="000A273D"/>
    <w:rsid w:val="000A274C"/>
    <w:rsid w:val="000A2765"/>
    <w:rsid w:val="000A27DB"/>
    <w:rsid w:val="000A2811"/>
    <w:rsid w:val="000A2815"/>
    <w:rsid w:val="000A281E"/>
    <w:rsid w:val="000A283F"/>
    <w:rsid w:val="000A2851"/>
    <w:rsid w:val="000A2875"/>
    <w:rsid w:val="000A28E6"/>
    <w:rsid w:val="000A293A"/>
    <w:rsid w:val="000A2979"/>
    <w:rsid w:val="000A297A"/>
    <w:rsid w:val="000A29B5"/>
    <w:rsid w:val="000A29F5"/>
    <w:rsid w:val="000A2A9C"/>
    <w:rsid w:val="000A2AE8"/>
    <w:rsid w:val="000A2B24"/>
    <w:rsid w:val="000A2B26"/>
    <w:rsid w:val="000A2B53"/>
    <w:rsid w:val="000A2B67"/>
    <w:rsid w:val="000A2B98"/>
    <w:rsid w:val="000A2BD8"/>
    <w:rsid w:val="000A2BE9"/>
    <w:rsid w:val="000A2C11"/>
    <w:rsid w:val="000A2C62"/>
    <w:rsid w:val="000A2CC9"/>
    <w:rsid w:val="000A2CD3"/>
    <w:rsid w:val="000A2CD6"/>
    <w:rsid w:val="000A2CE1"/>
    <w:rsid w:val="000A2CE5"/>
    <w:rsid w:val="000A2D44"/>
    <w:rsid w:val="000A2D47"/>
    <w:rsid w:val="000A2D5E"/>
    <w:rsid w:val="000A2DE7"/>
    <w:rsid w:val="000A2E5F"/>
    <w:rsid w:val="000A2E63"/>
    <w:rsid w:val="000A2EAD"/>
    <w:rsid w:val="000A2F2C"/>
    <w:rsid w:val="000A2F31"/>
    <w:rsid w:val="000A2F3B"/>
    <w:rsid w:val="000A2F50"/>
    <w:rsid w:val="000A2F83"/>
    <w:rsid w:val="000A2F8E"/>
    <w:rsid w:val="000A2FA2"/>
    <w:rsid w:val="000A2FAF"/>
    <w:rsid w:val="000A3073"/>
    <w:rsid w:val="000A30BC"/>
    <w:rsid w:val="000A30E1"/>
    <w:rsid w:val="000A3219"/>
    <w:rsid w:val="000A3243"/>
    <w:rsid w:val="000A3269"/>
    <w:rsid w:val="000A32DE"/>
    <w:rsid w:val="000A3312"/>
    <w:rsid w:val="000A3336"/>
    <w:rsid w:val="000A333A"/>
    <w:rsid w:val="000A3384"/>
    <w:rsid w:val="000A33A5"/>
    <w:rsid w:val="000A33B6"/>
    <w:rsid w:val="000A33E6"/>
    <w:rsid w:val="000A3434"/>
    <w:rsid w:val="000A3453"/>
    <w:rsid w:val="000A3493"/>
    <w:rsid w:val="000A34AF"/>
    <w:rsid w:val="000A34F3"/>
    <w:rsid w:val="000A35B3"/>
    <w:rsid w:val="000A35EE"/>
    <w:rsid w:val="000A360D"/>
    <w:rsid w:val="000A3664"/>
    <w:rsid w:val="000A3763"/>
    <w:rsid w:val="000A378F"/>
    <w:rsid w:val="000A3794"/>
    <w:rsid w:val="000A37A1"/>
    <w:rsid w:val="000A37C3"/>
    <w:rsid w:val="000A37DB"/>
    <w:rsid w:val="000A3833"/>
    <w:rsid w:val="000A38D1"/>
    <w:rsid w:val="000A38EA"/>
    <w:rsid w:val="000A390B"/>
    <w:rsid w:val="000A392E"/>
    <w:rsid w:val="000A39F1"/>
    <w:rsid w:val="000A39F6"/>
    <w:rsid w:val="000A3A3C"/>
    <w:rsid w:val="000A3A6B"/>
    <w:rsid w:val="000A3AC8"/>
    <w:rsid w:val="000A3AE6"/>
    <w:rsid w:val="000A3B24"/>
    <w:rsid w:val="000A3B7D"/>
    <w:rsid w:val="000A3B8B"/>
    <w:rsid w:val="000A3B9F"/>
    <w:rsid w:val="000A3BBC"/>
    <w:rsid w:val="000A3C5C"/>
    <w:rsid w:val="000A3C7F"/>
    <w:rsid w:val="000A3C9A"/>
    <w:rsid w:val="000A3CF0"/>
    <w:rsid w:val="000A3CF2"/>
    <w:rsid w:val="000A3CF9"/>
    <w:rsid w:val="000A3E15"/>
    <w:rsid w:val="000A3E37"/>
    <w:rsid w:val="000A3E3D"/>
    <w:rsid w:val="000A3ED4"/>
    <w:rsid w:val="000A3EF3"/>
    <w:rsid w:val="000A3F23"/>
    <w:rsid w:val="000A3F30"/>
    <w:rsid w:val="000A3F5C"/>
    <w:rsid w:val="000A3FCC"/>
    <w:rsid w:val="000A3FDB"/>
    <w:rsid w:val="000A4033"/>
    <w:rsid w:val="000A408C"/>
    <w:rsid w:val="000A4108"/>
    <w:rsid w:val="000A4145"/>
    <w:rsid w:val="000A4165"/>
    <w:rsid w:val="000A41B0"/>
    <w:rsid w:val="000A41DA"/>
    <w:rsid w:val="000A4244"/>
    <w:rsid w:val="000A427B"/>
    <w:rsid w:val="000A4282"/>
    <w:rsid w:val="000A42A1"/>
    <w:rsid w:val="000A42F7"/>
    <w:rsid w:val="000A4306"/>
    <w:rsid w:val="000A4399"/>
    <w:rsid w:val="000A43B0"/>
    <w:rsid w:val="000A43EF"/>
    <w:rsid w:val="000A440D"/>
    <w:rsid w:val="000A4473"/>
    <w:rsid w:val="000A44F1"/>
    <w:rsid w:val="000A44F3"/>
    <w:rsid w:val="000A450D"/>
    <w:rsid w:val="000A458C"/>
    <w:rsid w:val="000A45A1"/>
    <w:rsid w:val="000A45D8"/>
    <w:rsid w:val="000A46FF"/>
    <w:rsid w:val="000A4777"/>
    <w:rsid w:val="000A478B"/>
    <w:rsid w:val="000A4794"/>
    <w:rsid w:val="000A47BE"/>
    <w:rsid w:val="000A4829"/>
    <w:rsid w:val="000A4889"/>
    <w:rsid w:val="000A48D1"/>
    <w:rsid w:val="000A4972"/>
    <w:rsid w:val="000A4A08"/>
    <w:rsid w:val="000A4A3A"/>
    <w:rsid w:val="000A4A40"/>
    <w:rsid w:val="000A4A4B"/>
    <w:rsid w:val="000A4A63"/>
    <w:rsid w:val="000A4A70"/>
    <w:rsid w:val="000A4AA3"/>
    <w:rsid w:val="000A4B12"/>
    <w:rsid w:val="000A4B3F"/>
    <w:rsid w:val="000A4B67"/>
    <w:rsid w:val="000A4BCF"/>
    <w:rsid w:val="000A4BD2"/>
    <w:rsid w:val="000A4BE6"/>
    <w:rsid w:val="000A4CB4"/>
    <w:rsid w:val="000A4D39"/>
    <w:rsid w:val="000A4D3A"/>
    <w:rsid w:val="000A4D4C"/>
    <w:rsid w:val="000A4DCE"/>
    <w:rsid w:val="000A4DD2"/>
    <w:rsid w:val="000A4DD9"/>
    <w:rsid w:val="000A4E06"/>
    <w:rsid w:val="000A4E07"/>
    <w:rsid w:val="000A4E7F"/>
    <w:rsid w:val="000A4E8A"/>
    <w:rsid w:val="000A4E91"/>
    <w:rsid w:val="000A4E9D"/>
    <w:rsid w:val="000A4EDE"/>
    <w:rsid w:val="000A4FF8"/>
    <w:rsid w:val="000A5010"/>
    <w:rsid w:val="000A5040"/>
    <w:rsid w:val="000A504E"/>
    <w:rsid w:val="000A5050"/>
    <w:rsid w:val="000A5096"/>
    <w:rsid w:val="000A50CA"/>
    <w:rsid w:val="000A50F0"/>
    <w:rsid w:val="000A5110"/>
    <w:rsid w:val="000A513B"/>
    <w:rsid w:val="000A5144"/>
    <w:rsid w:val="000A517A"/>
    <w:rsid w:val="000A518D"/>
    <w:rsid w:val="000A519B"/>
    <w:rsid w:val="000A51DC"/>
    <w:rsid w:val="000A51DD"/>
    <w:rsid w:val="000A51EC"/>
    <w:rsid w:val="000A5218"/>
    <w:rsid w:val="000A524E"/>
    <w:rsid w:val="000A528D"/>
    <w:rsid w:val="000A5291"/>
    <w:rsid w:val="000A52C2"/>
    <w:rsid w:val="000A52F5"/>
    <w:rsid w:val="000A53B9"/>
    <w:rsid w:val="000A5403"/>
    <w:rsid w:val="000A5430"/>
    <w:rsid w:val="000A545A"/>
    <w:rsid w:val="000A5480"/>
    <w:rsid w:val="000A54B6"/>
    <w:rsid w:val="000A5562"/>
    <w:rsid w:val="000A5594"/>
    <w:rsid w:val="000A559D"/>
    <w:rsid w:val="000A55AC"/>
    <w:rsid w:val="000A55BD"/>
    <w:rsid w:val="000A55C8"/>
    <w:rsid w:val="000A55CE"/>
    <w:rsid w:val="000A5613"/>
    <w:rsid w:val="000A5617"/>
    <w:rsid w:val="000A5648"/>
    <w:rsid w:val="000A564D"/>
    <w:rsid w:val="000A5650"/>
    <w:rsid w:val="000A56CA"/>
    <w:rsid w:val="000A56E0"/>
    <w:rsid w:val="000A5769"/>
    <w:rsid w:val="000A57B3"/>
    <w:rsid w:val="000A584C"/>
    <w:rsid w:val="000A5853"/>
    <w:rsid w:val="000A585E"/>
    <w:rsid w:val="000A5877"/>
    <w:rsid w:val="000A5883"/>
    <w:rsid w:val="000A58B9"/>
    <w:rsid w:val="000A594D"/>
    <w:rsid w:val="000A5957"/>
    <w:rsid w:val="000A598E"/>
    <w:rsid w:val="000A59BC"/>
    <w:rsid w:val="000A5A60"/>
    <w:rsid w:val="000A5AC3"/>
    <w:rsid w:val="000A5AF3"/>
    <w:rsid w:val="000A5B99"/>
    <w:rsid w:val="000A5C1A"/>
    <w:rsid w:val="000A5C4A"/>
    <w:rsid w:val="000A5D1C"/>
    <w:rsid w:val="000A5D31"/>
    <w:rsid w:val="000A5D86"/>
    <w:rsid w:val="000A5E52"/>
    <w:rsid w:val="000A5E5E"/>
    <w:rsid w:val="000A5ED8"/>
    <w:rsid w:val="000A5F37"/>
    <w:rsid w:val="000A5F3E"/>
    <w:rsid w:val="000A5F52"/>
    <w:rsid w:val="000A5FEE"/>
    <w:rsid w:val="000A603A"/>
    <w:rsid w:val="000A603B"/>
    <w:rsid w:val="000A606A"/>
    <w:rsid w:val="000A60F9"/>
    <w:rsid w:val="000A6125"/>
    <w:rsid w:val="000A618A"/>
    <w:rsid w:val="000A618C"/>
    <w:rsid w:val="000A6206"/>
    <w:rsid w:val="000A6256"/>
    <w:rsid w:val="000A6258"/>
    <w:rsid w:val="000A628E"/>
    <w:rsid w:val="000A6294"/>
    <w:rsid w:val="000A62C2"/>
    <w:rsid w:val="000A62C8"/>
    <w:rsid w:val="000A62E6"/>
    <w:rsid w:val="000A6381"/>
    <w:rsid w:val="000A63A8"/>
    <w:rsid w:val="000A63C4"/>
    <w:rsid w:val="000A63DB"/>
    <w:rsid w:val="000A63E1"/>
    <w:rsid w:val="000A6400"/>
    <w:rsid w:val="000A647D"/>
    <w:rsid w:val="000A64C9"/>
    <w:rsid w:val="000A64E7"/>
    <w:rsid w:val="000A6508"/>
    <w:rsid w:val="000A653D"/>
    <w:rsid w:val="000A654F"/>
    <w:rsid w:val="000A6599"/>
    <w:rsid w:val="000A65AF"/>
    <w:rsid w:val="000A65B4"/>
    <w:rsid w:val="000A65BF"/>
    <w:rsid w:val="000A65C7"/>
    <w:rsid w:val="000A660F"/>
    <w:rsid w:val="000A6615"/>
    <w:rsid w:val="000A6621"/>
    <w:rsid w:val="000A663D"/>
    <w:rsid w:val="000A664C"/>
    <w:rsid w:val="000A664F"/>
    <w:rsid w:val="000A6653"/>
    <w:rsid w:val="000A66BE"/>
    <w:rsid w:val="000A66C7"/>
    <w:rsid w:val="000A66D7"/>
    <w:rsid w:val="000A6722"/>
    <w:rsid w:val="000A6767"/>
    <w:rsid w:val="000A67E8"/>
    <w:rsid w:val="000A67EE"/>
    <w:rsid w:val="000A6821"/>
    <w:rsid w:val="000A6865"/>
    <w:rsid w:val="000A6895"/>
    <w:rsid w:val="000A68B0"/>
    <w:rsid w:val="000A68C5"/>
    <w:rsid w:val="000A68E2"/>
    <w:rsid w:val="000A6902"/>
    <w:rsid w:val="000A6908"/>
    <w:rsid w:val="000A696C"/>
    <w:rsid w:val="000A69B7"/>
    <w:rsid w:val="000A6A0C"/>
    <w:rsid w:val="000A6A57"/>
    <w:rsid w:val="000A6AC2"/>
    <w:rsid w:val="000A6AC7"/>
    <w:rsid w:val="000A6AD5"/>
    <w:rsid w:val="000A6B74"/>
    <w:rsid w:val="000A6BEE"/>
    <w:rsid w:val="000A6C04"/>
    <w:rsid w:val="000A6C3D"/>
    <w:rsid w:val="000A6C8A"/>
    <w:rsid w:val="000A6CB9"/>
    <w:rsid w:val="000A6CF1"/>
    <w:rsid w:val="000A6D4C"/>
    <w:rsid w:val="000A6D84"/>
    <w:rsid w:val="000A6D8E"/>
    <w:rsid w:val="000A6D93"/>
    <w:rsid w:val="000A6DA1"/>
    <w:rsid w:val="000A6DCB"/>
    <w:rsid w:val="000A6DEC"/>
    <w:rsid w:val="000A6E54"/>
    <w:rsid w:val="000A6E58"/>
    <w:rsid w:val="000A6E9C"/>
    <w:rsid w:val="000A6E9D"/>
    <w:rsid w:val="000A6EA1"/>
    <w:rsid w:val="000A6EA8"/>
    <w:rsid w:val="000A6EAA"/>
    <w:rsid w:val="000A6EB6"/>
    <w:rsid w:val="000A6EC4"/>
    <w:rsid w:val="000A6EC5"/>
    <w:rsid w:val="000A6EDC"/>
    <w:rsid w:val="000A6EE3"/>
    <w:rsid w:val="000A6EE4"/>
    <w:rsid w:val="000A6EE8"/>
    <w:rsid w:val="000A6F15"/>
    <w:rsid w:val="000A6F17"/>
    <w:rsid w:val="000A6F4F"/>
    <w:rsid w:val="000A6FBC"/>
    <w:rsid w:val="000A6FD2"/>
    <w:rsid w:val="000A707E"/>
    <w:rsid w:val="000A70CC"/>
    <w:rsid w:val="000A70DD"/>
    <w:rsid w:val="000A70EC"/>
    <w:rsid w:val="000A70F5"/>
    <w:rsid w:val="000A70F9"/>
    <w:rsid w:val="000A7106"/>
    <w:rsid w:val="000A7136"/>
    <w:rsid w:val="000A715B"/>
    <w:rsid w:val="000A71F1"/>
    <w:rsid w:val="000A7208"/>
    <w:rsid w:val="000A7259"/>
    <w:rsid w:val="000A7263"/>
    <w:rsid w:val="000A7296"/>
    <w:rsid w:val="000A72C0"/>
    <w:rsid w:val="000A72CC"/>
    <w:rsid w:val="000A72F5"/>
    <w:rsid w:val="000A7306"/>
    <w:rsid w:val="000A7321"/>
    <w:rsid w:val="000A739A"/>
    <w:rsid w:val="000A74AB"/>
    <w:rsid w:val="000A74D8"/>
    <w:rsid w:val="000A74EA"/>
    <w:rsid w:val="000A74F8"/>
    <w:rsid w:val="000A753D"/>
    <w:rsid w:val="000A758E"/>
    <w:rsid w:val="000A7620"/>
    <w:rsid w:val="000A764C"/>
    <w:rsid w:val="000A76A7"/>
    <w:rsid w:val="000A76BE"/>
    <w:rsid w:val="000A76CA"/>
    <w:rsid w:val="000A76CB"/>
    <w:rsid w:val="000A76DB"/>
    <w:rsid w:val="000A76F8"/>
    <w:rsid w:val="000A776A"/>
    <w:rsid w:val="000A77BA"/>
    <w:rsid w:val="000A785F"/>
    <w:rsid w:val="000A7873"/>
    <w:rsid w:val="000A788A"/>
    <w:rsid w:val="000A78D4"/>
    <w:rsid w:val="000A795A"/>
    <w:rsid w:val="000A796E"/>
    <w:rsid w:val="000A798E"/>
    <w:rsid w:val="000A79C2"/>
    <w:rsid w:val="000A7A0C"/>
    <w:rsid w:val="000A7A0F"/>
    <w:rsid w:val="000A7A42"/>
    <w:rsid w:val="000A7A76"/>
    <w:rsid w:val="000A7AB5"/>
    <w:rsid w:val="000A7AB8"/>
    <w:rsid w:val="000A7B9D"/>
    <w:rsid w:val="000A7BAB"/>
    <w:rsid w:val="000A7BDF"/>
    <w:rsid w:val="000A7C07"/>
    <w:rsid w:val="000A7C0E"/>
    <w:rsid w:val="000A7C3F"/>
    <w:rsid w:val="000A7C40"/>
    <w:rsid w:val="000A7CA0"/>
    <w:rsid w:val="000A7CD4"/>
    <w:rsid w:val="000A7CD8"/>
    <w:rsid w:val="000A7D1D"/>
    <w:rsid w:val="000A7D23"/>
    <w:rsid w:val="000A7D25"/>
    <w:rsid w:val="000A7D27"/>
    <w:rsid w:val="000A7D29"/>
    <w:rsid w:val="000A7D3B"/>
    <w:rsid w:val="000A7D69"/>
    <w:rsid w:val="000A7D99"/>
    <w:rsid w:val="000A7DC5"/>
    <w:rsid w:val="000A7DE4"/>
    <w:rsid w:val="000A7E1E"/>
    <w:rsid w:val="000A7E5F"/>
    <w:rsid w:val="000A7EA1"/>
    <w:rsid w:val="000A7EB9"/>
    <w:rsid w:val="000A7EF0"/>
    <w:rsid w:val="000A7F53"/>
    <w:rsid w:val="000A7FA0"/>
    <w:rsid w:val="000A7FB8"/>
    <w:rsid w:val="000B002C"/>
    <w:rsid w:val="000B002F"/>
    <w:rsid w:val="000B003A"/>
    <w:rsid w:val="000B0064"/>
    <w:rsid w:val="000B0080"/>
    <w:rsid w:val="000B0088"/>
    <w:rsid w:val="000B00F8"/>
    <w:rsid w:val="000B0117"/>
    <w:rsid w:val="000B0164"/>
    <w:rsid w:val="000B0180"/>
    <w:rsid w:val="000B01C6"/>
    <w:rsid w:val="000B01FD"/>
    <w:rsid w:val="000B0227"/>
    <w:rsid w:val="000B02C6"/>
    <w:rsid w:val="000B02D8"/>
    <w:rsid w:val="000B02FD"/>
    <w:rsid w:val="000B0363"/>
    <w:rsid w:val="000B03AF"/>
    <w:rsid w:val="000B03C5"/>
    <w:rsid w:val="000B048C"/>
    <w:rsid w:val="000B0525"/>
    <w:rsid w:val="000B0552"/>
    <w:rsid w:val="000B0562"/>
    <w:rsid w:val="000B057F"/>
    <w:rsid w:val="000B0586"/>
    <w:rsid w:val="000B059E"/>
    <w:rsid w:val="000B05AA"/>
    <w:rsid w:val="000B05E8"/>
    <w:rsid w:val="000B0647"/>
    <w:rsid w:val="000B0657"/>
    <w:rsid w:val="000B0679"/>
    <w:rsid w:val="000B06CE"/>
    <w:rsid w:val="000B06FD"/>
    <w:rsid w:val="000B0710"/>
    <w:rsid w:val="000B071A"/>
    <w:rsid w:val="000B079E"/>
    <w:rsid w:val="000B0807"/>
    <w:rsid w:val="000B083A"/>
    <w:rsid w:val="000B0863"/>
    <w:rsid w:val="000B087E"/>
    <w:rsid w:val="000B08AD"/>
    <w:rsid w:val="000B08E1"/>
    <w:rsid w:val="000B08F2"/>
    <w:rsid w:val="000B0927"/>
    <w:rsid w:val="000B0982"/>
    <w:rsid w:val="000B0985"/>
    <w:rsid w:val="000B09C2"/>
    <w:rsid w:val="000B09C9"/>
    <w:rsid w:val="000B09E5"/>
    <w:rsid w:val="000B0A27"/>
    <w:rsid w:val="000B0A3A"/>
    <w:rsid w:val="000B0A64"/>
    <w:rsid w:val="000B0A76"/>
    <w:rsid w:val="000B0A90"/>
    <w:rsid w:val="000B0AEA"/>
    <w:rsid w:val="000B0B0B"/>
    <w:rsid w:val="000B0B10"/>
    <w:rsid w:val="000B0B74"/>
    <w:rsid w:val="000B0C3C"/>
    <w:rsid w:val="000B0C74"/>
    <w:rsid w:val="000B0CBB"/>
    <w:rsid w:val="000B0CCC"/>
    <w:rsid w:val="000B0CCE"/>
    <w:rsid w:val="000B0D2F"/>
    <w:rsid w:val="000B0D6E"/>
    <w:rsid w:val="000B0D9D"/>
    <w:rsid w:val="000B0E0D"/>
    <w:rsid w:val="000B0E2A"/>
    <w:rsid w:val="000B0E56"/>
    <w:rsid w:val="000B0E96"/>
    <w:rsid w:val="000B0EC7"/>
    <w:rsid w:val="000B0F0A"/>
    <w:rsid w:val="000B0F34"/>
    <w:rsid w:val="000B0F5D"/>
    <w:rsid w:val="000B0F5E"/>
    <w:rsid w:val="000B0F7D"/>
    <w:rsid w:val="000B0FA8"/>
    <w:rsid w:val="000B0FF3"/>
    <w:rsid w:val="000B1051"/>
    <w:rsid w:val="000B106F"/>
    <w:rsid w:val="000B10A6"/>
    <w:rsid w:val="000B10E8"/>
    <w:rsid w:val="000B1129"/>
    <w:rsid w:val="000B11D3"/>
    <w:rsid w:val="000B11DB"/>
    <w:rsid w:val="000B1224"/>
    <w:rsid w:val="000B1238"/>
    <w:rsid w:val="000B1240"/>
    <w:rsid w:val="000B12A1"/>
    <w:rsid w:val="000B12AD"/>
    <w:rsid w:val="000B12BE"/>
    <w:rsid w:val="000B1353"/>
    <w:rsid w:val="000B13A2"/>
    <w:rsid w:val="000B13C9"/>
    <w:rsid w:val="000B142A"/>
    <w:rsid w:val="000B1431"/>
    <w:rsid w:val="000B1477"/>
    <w:rsid w:val="000B147A"/>
    <w:rsid w:val="000B1499"/>
    <w:rsid w:val="000B14DF"/>
    <w:rsid w:val="000B151B"/>
    <w:rsid w:val="000B1535"/>
    <w:rsid w:val="000B1552"/>
    <w:rsid w:val="000B1589"/>
    <w:rsid w:val="000B15B0"/>
    <w:rsid w:val="000B15B5"/>
    <w:rsid w:val="000B16DE"/>
    <w:rsid w:val="000B1719"/>
    <w:rsid w:val="000B1792"/>
    <w:rsid w:val="000B1801"/>
    <w:rsid w:val="000B181A"/>
    <w:rsid w:val="000B1844"/>
    <w:rsid w:val="000B1858"/>
    <w:rsid w:val="000B185C"/>
    <w:rsid w:val="000B1955"/>
    <w:rsid w:val="000B196B"/>
    <w:rsid w:val="000B1988"/>
    <w:rsid w:val="000B19E0"/>
    <w:rsid w:val="000B19ED"/>
    <w:rsid w:val="000B1A2D"/>
    <w:rsid w:val="000B1A4E"/>
    <w:rsid w:val="000B1A53"/>
    <w:rsid w:val="000B1AA0"/>
    <w:rsid w:val="000B1AD1"/>
    <w:rsid w:val="000B1AE3"/>
    <w:rsid w:val="000B1B0A"/>
    <w:rsid w:val="000B1BEB"/>
    <w:rsid w:val="000B1C3F"/>
    <w:rsid w:val="000B1C4C"/>
    <w:rsid w:val="000B1C69"/>
    <w:rsid w:val="000B1C7C"/>
    <w:rsid w:val="000B1CBF"/>
    <w:rsid w:val="000B1D09"/>
    <w:rsid w:val="000B1D69"/>
    <w:rsid w:val="000B1D82"/>
    <w:rsid w:val="000B1E09"/>
    <w:rsid w:val="000B1E1F"/>
    <w:rsid w:val="000B1E20"/>
    <w:rsid w:val="000B1E6A"/>
    <w:rsid w:val="000B1E79"/>
    <w:rsid w:val="000B1E83"/>
    <w:rsid w:val="000B1EBD"/>
    <w:rsid w:val="000B1EC8"/>
    <w:rsid w:val="000B1EF4"/>
    <w:rsid w:val="000B1F9C"/>
    <w:rsid w:val="000B1FB1"/>
    <w:rsid w:val="000B1FD1"/>
    <w:rsid w:val="000B200B"/>
    <w:rsid w:val="000B201C"/>
    <w:rsid w:val="000B202B"/>
    <w:rsid w:val="000B2043"/>
    <w:rsid w:val="000B2161"/>
    <w:rsid w:val="000B21D5"/>
    <w:rsid w:val="000B21D9"/>
    <w:rsid w:val="000B2225"/>
    <w:rsid w:val="000B2240"/>
    <w:rsid w:val="000B2241"/>
    <w:rsid w:val="000B22B7"/>
    <w:rsid w:val="000B22F4"/>
    <w:rsid w:val="000B235D"/>
    <w:rsid w:val="000B2396"/>
    <w:rsid w:val="000B23BD"/>
    <w:rsid w:val="000B2415"/>
    <w:rsid w:val="000B245C"/>
    <w:rsid w:val="000B256B"/>
    <w:rsid w:val="000B2581"/>
    <w:rsid w:val="000B2587"/>
    <w:rsid w:val="000B25BF"/>
    <w:rsid w:val="000B261B"/>
    <w:rsid w:val="000B265E"/>
    <w:rsid w:val="000B26A2"/>
    <w:rsid w:val="000B26C0"/>
    <w:rsid w:val="000B26D5"/>
    <w:rsid w:val="000B276D"/>
    <w:rsid w:val="000B2778"/>
    <w:rsid w:val="000B27B6"/>
    <w:rsid w:val="000B27CD"/>
    <w:rsid w:val="000B27DD"/>
    <w:rsid w:val="000B27E7"/>
    <w:rsid w:val="000B285C"/>
    <w:rsid w:val="000B2884"/>
    <w:rsid w:val="000B2893"/>
    <w:rsid w:val="000B28D7"/>
    <w:rsid w:val="000B28DB"/>
    <w:rsid w:val="000B28F1"/>
    <w:rsid w:val="000B2902"/>
    <w:rsid w:val="000B2951"/>
    <w:rsid w:val="000B295E"/>
    <w:rsid w:val="000B2A75"/>
    <w:rsid w:val="000B2A9E"/>
    <w:rsid w:val="000B2B5A"/>
    <w:rsid w:val="000B2BBA"/>
    <w:rsid w:val="000B2C1A"/>
    <w:rsid w:val="000B2C33"/>
    <w:rsid w:val="000B2C9F"/>
    <w:rsid w:val="000B2D0F"/>
    <w:rsid w:val="000B2D20"/>
    <w:rsid w:val="000B2D9F"/>
    <w:rsid w:val="000B2DA0"/>
    <w:rsid w:val="000B2DD0"/>
    <w:rsid w:val="000B2DD1"/>
    <w:rsid w:val="000B2E11"/>
    <w:rsid w:val="000B2E48"/>
    <w:rsid w:val="000B2E55"/>
    <w:rsid w:val="000B2E85"/>
    <w:rsid w:val="000B2EA7"/>
    <w:rsid w:val="000B2ED6"/>
    <w:rsid w:val="000B2F6B"/>
    <w:rsid w:val="000B2F77"/>
    <w:rsid w:val="000B2FDE"/>
    <w:rsid w:val="000B3001"/>
    <w:rsid w:val="000B3050"/>
    <w:rsid w:val="000B30A1"/>
    <w:rsid w:val="000B30F3"/>
    <w:rsid w:val="000B30F8"/>
    <w:rsid w:val="000B3104"/>
    <w:rsid w:val="000B3112"/>
    <w:rsid w:val="000B312D"/>
    <w:rsid w:val="000B319C"/>
    <w:rsid w:val="000B3214"/>
    <w:rsid w:val="000B32FC"/>
    <w:rsid w:val="000B3335"/>
    <w:rsid w:val="000B3385"/>
    <w:rsid w:val="000B339E"/>
    <w:rsid w:val="000B33DE"/>
    <w:rsid w:val="000B3428"/>
    <w:rsid w:val="000B3452"/>
    <w:rsid w:val="000B3468"/>
    <w:rsid w:val="000B34B4"/>
    <w:rsid w:val="000B3500"/>
    <w:rsid w:val="000B353E"/>
    <w:rsid w:val="000B355D"/>
    <w:rsid w:val="000B3561"/>
    <w:rsid w:val="000B3563"/>
    <w:rsid w:val="000B3582"/>
    <w:rsid w:val="000B358E"/>
    <w:rsid w:val="000B35B4"/>
    <w:rsid w:val="000B35B8"/>
    <w:rsid w:val="000B35E8"/>
    <w:rsid w:val="000B363B"/>
    <w:rsid w:val="000B36DD"/>
    <w:rsid w:val="000B36E2"/>
    <w:rsid w:val="000B37AA"/>
    <w:rsid w:val="000B380F"/>
    <w:rsid w:val="000B3834"/>
    <w:rsid w:val="000B383F"/>
    <w:rsid w:val="000B3840"/>
    <w:rsid w:val="000B38B7"/>
    <w:rsid w:val="000B38CC"/>
    <w:rsid w:val="000B3927"/>
    <w:rsid w:val="000B39E5"/>
    <w:rsid w:val="000B39EB"/>
    <w:rsid w:val="000B39EF"/>
    <w:rsid w:val="000B3A15"/>
    <w:rsid w:val="000B3A2F"/>
    <w:rsid w:val="000B3A7E"/>
    <w:rsid w:val="000B3AD4"/>
    <w:rsid w:val="000B3AFC"/>
    <w:rsid w:val="000B3B08"/>
    <w:rsid w:val="000B3B0E"/>
    <w:rsid w:val="000B3B27"/>
    <w:rsid w:val="000B3B38"/>
    <w:rsid w:val="000B3B53"/>
    <w:rsid w:val="000B3B56"/>
    <w:rsid w:val="000B3C23"/>
    <w:rsid w:val="000B3C45"/>
    <w:rsid w:val="000B3C9C"/>
    <w:rsid w:val="000B3CAD"/>
    <w:rsid w:val="000B3D16"/>
    <w:rsid w:val="000B3D42"/>
    <w:rsid w:val="000B3DA9"/>
    <w:rsid w:val="000B3E19"/>
    <w:rsid w:val="000B3E55"/>
    <w:rsid w:val="000B3E56"/>
    <w:rsid w:val="000B3E5D"/>
    <w:rsid w:val="000B3E6A"/>
    <w:rsid w:val="000B3E8E"/>
    <w:rsid w:val="000B3EEA"/>
    <w:rsid w:val="000B3F02"/>
    <w:rsid w:val="000B3FA1"/>
    <w:rsid w:val="000B400D"/>
    <w:rsid w:val="000B40AF"/>
    <w:rsid w:val="000B40B1"/>
    <w:rsid w:val="000B4117"/>
    <w:rsid w:val="000B4118"/>
    <w:rsid w:val="000B4182"/>
    <w:rsid w:val="000B41B4"/>
    <w:rsid w:val="000B41B5"/>
    <w:rsid w:val="000B41E8"/>
    <w:rsid w:val="000B4209"/>
    <w:rsid w:val="000B4299"/>
    <w:rsid w:val="000B42A5"/>
    <w:rsid w:val="000B42E2"/>
    <w:rsid w:val="000B4331"/>
    <w:rsid w:val="000B43B7"/>
    <w:rsid w:val="000B43BA"/>
    <w:rsid w:val="000B43DF"/>
    <w:rsid w:val="000B43FE"/>
    <w:rsid w:val="000B4417"/>
    <w:rsid w:val="000B4461"/>
    <w:rsid w:val="000B44A7"/>
    <w:rsid w:val="000B44AA"/>
    <w:rsid w:val="000B44BA"/>
    <w:rsid w:val="000B44CF"/>
    <w:rsid w:val="000B44E3"/>
    <w:rsid w:val="000B4508"/>
    <w:rsid w:val="000B4511"/>
    <w:rsid w:val="000B452D"/>
    <w:rsid w:val="000B4548"/>
    <w:rsid w:val="000B4597"/>
    <w:rsid w:val="000B45DF"/>
    <w:rsid w:val="000B45E0"/>
    <w:rsid w:val="000B4604"/>
    <w:rsid w:val="000B4626"/>
    <w:rsid w:val="000B4637"/>
    <w:rsid w:val="000B46A8"/>
    <w:rsid w:val="000B46B4"/>
    <w:rsid w:val="000B46C1"/>
    <w:rsid w:val="000B4743"/>
    <w:rsid w:val="000B474C"/>
    <w:rsid w:val="000B4759"/>
    <w:rsid w:val="000B4799"/>
    <w:rsid w:val="000B47C2"/>
    <w:rsid w:val="000B4811"/>
    <w:rsid w:val="000B482E"/>
    <w:rsid w:val="000B4841"/>
    <w:rsid w:val="000B4865"/>
    <w:rsid w:val="000B48A2"/>
    <w:rsid w:val="000B48A5"/>
    <w:rsid w:val="000B48E8"/>
    <w:rsid w:val="000B4901"/>
    <w:rsid w:val="000B49E0"/>
    <w:rsid w:val="000B4A0A"/>
    <w:rsid w:val="000B4A13"/>
    <w:rsid w:val="000B4A4F"/>
    <w:rsid w:val="000B4A65"/>
    <w:rsid w:val="000B4B25"/>
    <w:rsid w:val="000B4B58"/>
    <w:rsid w:val="000B4B67"/>
    <w:rsid w:val="000B4B6E"/>
    <w:rsid w:val="000B4B7B"/>
    <w:rsid w:val="000B4BB5"/>
    <w:rsid w:val="000B4BBE"/>
    <w:rsid w:val="000B4C3A"/>
    <w:rsid w:val="000B4C6F"/>
    <w:rsid w:val="000B4CBA"/>
    <w:rsid w:val="000B4D1F"/>
    <w:rsid w:val="000B4D37"/>
    <w:rsid w:val="000B4D5C"/>
    <w:rsid w:val="000B4D64"/>
    <w:rsid w:val="000B4D9F"/>
    <w:rsid w:val="000B4DAF"/>
    <w:rsid w:val="000B4DBF"/>
    <w:rsid w:val="000B4DC0"/>
    <w:rsid w:val="000B4DED"/>
    <w:rsid w:val="000B4DEE"/>
    <w:rsid w:val="000B4E03"/>
    <w:rsid w:val="000B4E29"/>
    <w:rsid w:val="000B4E5B"/>
    <w:rsid w:val="000B4E61"/>
    <w:rsid w:val="000B4E68"/>
    <w:rsid w:val="000B4E94"/>
    <w:rsid w:val="000B4EB0"/>
    <w:rsid w:val="000B4EFB"/>
    <w:rsid w:val="000B4F22"/>
    <w:rsid w:val="000B4FD9"/>
    <w:rsid w:val="000B4FDB"/>
    <w:rsid w:val="000B4FF6"/>
    <w:rsid w:val="000B50B2"/>
    <w:rsid w:val="000B50D1"/>
    <w:rsid w:val="000B512E"/>
    <w:rsid w:val="000B5174"/>
    <w:rsid w:val="000B5178"/>
    <w:rsid w:val="000B5179"/>
    <w:rsid w:val="000B517F"/>
    <w:rsid w:val="000B519C"/>
    <w:rsid w:val="000B525E"/>
    <w:rsid w:val="000B526C"/>
    <w:rsid w:val="000B527D"/>
    <w:rsid w:val="000B52C2"/>
    <w:rsid w:val="000B52DE"/>
    <w:rsid w:val="000B52F2"/>
    <w:rsid w:val="000B5398"/>
    <w:rsid w:val="000B53A5"/>
    <w:rsid w:val="000B53C6"/>
    <w:rsid w:val="000B541A"/>
    <w:rsid w:val="000B546D"/>
    <w:rsid w:val="000B5473"/>
    <w:rsid w:val="000B5476"/>
    <w:rsid w:val="000B54DD"/>
    <w:rsid w:val="000B5516"/>
    <w:rsid w:val="000B5536"/>
    <w:rsid w:val="000B5561"/>
    <w:rsid w:val="000B559F"/>
    <w:rsid w:val="000B55D5"/>
    <w:rsid w:val="000B55E6"/>
    <w:rsid w:val="000B55FD"/>
    <w:rsid w:val="000B5679"/>
    <w:rsid w:val="000B5697"/>
    <w:rsid w:val="000B56CF"/>
    <w:rsid w:val="000B56E3"/>
    <w:rsid w:val="000B5708"/>
    <w:rsid w:val="000B575B"/>
    <w:rsid w:val="000B5760"/>
    <w:rsid w:val="000B5780"/>
    <w:rsid w:val="000B57B9"/>
    <w:rsid w:val="000B57C3"/>
    <w:rsid w:val="000B57E9"/>
    <w:rsid w:val="000B5815"/>
    <w:rsid w:val="000B582A"/>
    <w:rsid w:val="000B5832"/>
    <w:rsid w:val="000B5842"/>
    <w:rsid w:val="000B5866"/>
    <w:rsid w:val="000B5898"/>
    <w:rsid w:val="000B58A5"/>
    <w:rsid w:val="000B58AC"/>
    <w:rsid w:val="000B5917"/>
    <w:rsid w:val="000B5964"/>
    <w:rsid w:val="000B59AB"/>
    <w:rsid w:val="000B59C0"/>
    <w:rsid w:val="000B5A01"/>
    <w:rsid w:val="000B5A44"/>
    <w:rsid w:val="000B5AC5"/>
    <w:rsid w:val="000B5B4F"/>
    <w:rsid w:val="000B5B96"/>
    <w:rsid w:val="000B5BDC"/>
    <w:rsid w:val="000B5CA1"/>
    <w:rsid w:val="000B5D96"/>
    <w:rsid w:val="000B5DB2"/>
    <w:rsid w:val="000B5DF8"/>
    <w:rsid w:val="000B5E38"/>
    <w:rsid w:val="000B5E89"/>
    <w:rsid w:val="000B5EAC"/>
    <w:rsid w:val="000B5EBD"/>
    <w:rsid w:val="000B5F3C"/>
    <w:rsid w:val="000B5F42"/>
    <w:rsid w:val="000B5F53"/>
    <w:rsid w:val="000B5F6C"/>
    <w:rsid w:val="000B5FCA"/>
    <w:rsid w:val="000B5FDF"/>
    <w:rsid w:val="000B5FFE"/>
    <w:rsid w:val="000B6023"/>
    <w:rsid w:val="000B6072"/>
    <w:rsid w:val="000B6077"/>
    <w:rsid w:val="000B60A2"/>
    <w:rsid w:val="000B60B4"/>
    <w:rsid w:val="000B60D6"/>
    <w:rsid w:val="000B617F"/>
    <w:rsid w:val="000B6254"/>
    <w:rsid w:val="000B6260"/>
    <w:rsid w:val="000B62B7"/>
    <w:rsid w:val="000B62EE"/>
    <w:rsid w:val="000B6311"/>
    <w:rsid w:val="000B632E"/>
    <w:rsid w:val="000B6352"/>
    <w:rsid w:val="000B63DD"/>
    <w:rsid w:val="000B63EB"/>
    <w:rsid w:val="000B6412"/>
    <w:rsid w:val="000B642A"/>
    <w:rsid w:val="000B645E"/>
    <w:rsid w:val="000B6514"/>
    <w:rsid w:val="000B6560"/>
    <w:rsid w:val="000B65C7"/>
    <w:rsid w:val="000B65DD"/>
    <w:rsid w:val="000B65E3"/>
    <w:rsid w:val="000B6603"/>
    <w:rsid w:val="000B6636"/>
    <w:rsid w:val="000B6664"/>
    <w:rsid w:val="000B666F"/>
    <w:rsid w:val="000B66B8"/>
    <w:rsid w:val="000B673B"/>
    <w:rsid w:val="000B67B7"/>
    <w:rsid w:val="000B686B"/>
    <w:rsid w:val="000B6874"/>
    <w:rsid w:val="000B6921"/>
    <w:rsid w:val="000B6944"/>
    <w:rsid w:val="000B6951"/>
    <w:rsid w:val="000B69A3"/>
    <w:rsid w:val="000B69A5"/>
    <w:rsid w:val="000B69F2"/>
    <w:rsid w:val="000B6A05"/>
    <w:rsid w:val="000B6A12"/>
    <w:rsid w:val="000B6A34"/>
    <w:rsid w:val="000B6A4C"/>
    <w:rsid w:val="000B6A7B"/>
    <w:rsid w:val="000B6AD2"/>
    <w:rsid w:val="000B6AE0"/>
    <w:rsid w:val="000B6B10"/>
    <w:rsid w:val="000B6B3F"/>
    <w:rsid w:val="000B6B6D"/>
    <w:rsid w:val="000B6B9A"/>
    <w:rsid w:val="000B6BD9"/>
    <w:rsid w:val="000B6C2B"/>
    <w:rsid w:val="000B6C30"/>
    <w:rsid w:val="000B6C42"/>
    <w:rsid w:val="000B6C93"/>
    <w:rsid w:val="000B6CCC"/>
    <w:rsid w:val="000B6CD6"/>
    <w:rsid w:val="000B6CE3"/>
    <w:rsid w:val="000B6D01"/>
    <w:rsid w:val="000B6D18"/>
    <w:rsid w:val="000B6D3A"/>
    <w:rsid w:val="000B6D58"/>
    <w:rsid w:val="000B6D69"/>
    <w:rsid w:val="000B6D88"/>
    <w:rsid w:val="000B6D97"/>
    <w:rsid w:val="000B6D9C"/>
    <w:rsid w:val="000B6DBD"/>
    <w:rsid w:val="000B6DC2"/>
    <w:rsid w:val="000B6E38"/>
    <w:rsid w:val="000B6EA4"/>
    <w:rsid w:val="000B6EA7"/>
    <w:rsid w:val="000B6EAD"/>
    <w:rsid w:val="000B6EB3"/>
    <w:rsid w:val="000B6EFC"/>
    <w:rsid w:val="000B6F20"/>
    <w:rsid w:val="000B6FB1"/>
    <w:rsid w:val="000B6FCA"/>
    <w:rsid w:val="000B7016"/>
    <w:rsid w:val="000B7088"/>
    <w:rsid w:val="000B708D"/>
    <w:rsid w:val="000B7181"/>
    <w:rsid w:val="000B71D0"/>
    <w:rsid w:val="000B71F7"/>
    <w:rsid w:val="000B7258"/>
    <w:rsid w:val="000B7296"/>
    <w:rsid w:val="000B72B0"/>
    <w:rsid w:val="000B72E6"/>
    <w:rsid w:val="000B7302"/>
    <w:rsid w:val="000B7304"/>
    <w:rsid w:val="000B7357"/>
    <w:rsid w:val="000B7385"/>
    <w:rsid w:val="000B73B6"/>
    <w:rsid w:val="000B7419"/>
    <w:rsid w:val="000B7455"/>
    <w:rsid w:val="000B74A2"/>
    <w:rsid w:val="000B74BE"/>
    <w:rsid w:val="000B74C0"/>
    <w:rsid w:val="000B74E7"/>
    <w:rsid w:val="000B7500"/>
    <w:rsid w:val="000B7644"/>
    <w:rsid w:val="000B7648"/>
    <w:rsid w:val="000B766B"/>
    <w:rsid w:val="000B7699"/>
    <w:rsid w:val="000B76A7"/>
    <w:rsid w:val="000B76DA"/>
    <w:rsid w:val="000B7712"/>
    <w:rsid w:val="000B7745"/>
    <w:rsid w:val="000B77F4"/>
    <w:rsid w:val="000B7864"/>
    <w:rsid w:val="000B788C"/>
    <w:rsid w:val="000B7897"/>
    <w:rsid w:val="000B7966"/>
    <w:rsid w:val="000B7972"/>
    <w:rsid w:val="000B799E"/>
    <w:rsid w:val="000B7A90"/>
    <w:rsid w:val="000B7AC8"/>
    <w:rsid w:val="000B7AD6"/>
    <w:rsid w:val="000B7ADB"/>
    <w:rsid w:val="000B7AE0"/>
    <w:rsid w:val="000B7AE1"/>
    <w:rsid w:val="000B7B0E"/>
    <w:rsid w:val="000B7BA8"/>
    <w:rsid w:val="000B7BE9"/>
    <w:rsid w:val="000B7BF1"/>
    <w:rsid w:val="000B7BFB"/>
    <w:rsid w:val="000B7C3A"/>
    <w:rsid w:val="000B7C6B"/>
    <w:rsid w:val="000B7C73"/>
    <w:rsid w:val="000B7C92"/>
    <w:rsid w:val="000B7CB1"/>
    <w:rsid w:val="000B7CE5"/>
    <w:rsid w:val="000B7D02"/>
    <w:rsid w:val="000B7D5C"/>
    <w:rsid w:val="000B7D73"/>
    <w:rsid w:val="000B7D7F"/>
    <w:rsid w:val="000B7DC4"/>
    <w:rsid w:val="000B7DC9"/>
    <w:rsid w:val="000B7E26"/>
    <w:rsid w:val="000B7E5B"/>
    <w:rsid w:val="000B7EF3"/>
    <w:rsid w:val="000B7F77"/>
    <w:rsid w:val="000B7F7F"/>
    <w:rsid w:val="000B7F9C"/>
    <w:rsid w:val="000B7FB0"/>
    <w:rsid w:val="000B7FCC"/>
    <w:rsid w:val="000B7FFD"/>
    <w:rsid w:val="000C0004"/>
    <w:rsid w:val="000C0080"/>
    <w:rsid w:val="000C00B3"/>
    <w:rsid w:val="000C00BE"/>
    <w:rsid w:val="000C0107"/>
    <w:rsid w:val="000C01A8"/>
    <w:rsid w:val="000C01F5"/>
    <w:rsid w:val="000C0201"/>
    <w:rsid w:val="000C0277"/>
    <w:rsid w:val="000C0301"/>
    <w:rsid w:val="000C0336"/>
    <w:rsid w:val="000C039E"/>
    <w:rsid w:val="000C03B0"/>
    <w:rsid w:val="000C03B3"/>
    <w:rsid w:val="000C03BB"/>
    <w:rsid w:val="000C03D0"/>
    <w:rsid w:val="000C03DB"/>
    <w:rsid w:val="000C041C"/>
    <w:rsid w:val="000C0440"/>
    <w:rsid w:val="000C0466"/>
    <w:rsid w:val="000C047F"/>
    <w:rsid w:val="000C0493"/>
    <w:rsid w:val="000C04A2"/>
    <w:rsid w:val="000C04AF"/>
    <w:rsid w:val="000C04CC"/>
    <w:rsid w:val="000C0500"/>
    <w:rsid w:val="000C052B"/>
    <w:rsid w:val="000C0545"/>
    <w:rsid w:val="000C05C3"/>
    <w:rsid w:val="000C05F9"/>
    <w:rsid w:val="000C06B0"/>
    <w:rsid w:val="000C074C"/>
    <w:rsid w:val="000C0750"/>
    <w:rsid w:val="000C0765"/>
    <w:rsid w:val="000C0789"/>
    <w:rsid w:val="000C07AE"/>
    <w:rsid w:val="000C07EB"/>
    <w:rsid w:val="000C07FE"/>
    <w:rsid w:val="000C0816"/>
    <w:rsid w:val="000C082D"/>
    <w:rsid w:val="000C083C"/>
    <w:rsid w:val="000C0874"/>
    <w:rsid w:val="000C0881"/>
    <w:rsid w:val="000C0889"/>
    <w:rsid w:val="000C0920"/>
    <w:rsid w:val="000C0943"/>
    <w:rsid w:val="000C0A40"/>
    <w:rsid w:val="000C0B0C"/>
    <w:rsid w:val="000C0B95"/>
    <w:rsid w:val="000C0BB2"/>
    <w:rsid w:val="000C0BDA"/>
    <w:rsid w:val="000C0BE6"/>
    <w:rsid w:val="000C0BFB"/>
    <w:rsid w:val="000C0C19"/>
    <w:rsid w:val="000C0C48"/>
    <w:rsid w:val="000C0C5D"/>
    <w:rsid w:val="000C0C8D"/>
    <w:rsid w:val="000C0CEF"/>
    <w:rsid w:val="000C0CF2"/>
    <w:rsid w:val="000C0CF4"/>
    <w:rsid w:val="000C0D00"/>
    <w:rsid w:val="000C0D07"/>
    <w:rsid w:val="000C0D5E"/>
    <w:rsid w:val="000C0D6E"/>
    <w:rsid w:val="000C0D6F"/>
    <w:rsid w:val="000C0D7B"/>
    <w:rsid w:val="000C0E02"/>
    <w:rsid w:val="000C0E05"/>
    <w:rsid w:val="000C0E1E"/>
    <w:rsid w:val="000C0E25"/>
    <w:rsid w:val="000C0E39"/>
    <w:rsid w:val="000C0E56"/>
    <w:rsid w:val="000C0E57"/>
    <w:rsid w:val="000C0E60"/>
    <w:rsid w:val="000C0E6A"/>
    <w:rsid w:val="000C0E78"/>
    <w:rsid w:val="000C0EA3"/>
    <w:rsid w:val="000C0EDB"/>
    <w:rsid w:val="000C0EE4"/>
    <w:rsid w:val="000C0EE9"/>
    <w:rsid w:val="000C0EEE"/>
    <w:rsid w:val="000C0F95"/>
    <w:rsid w:val="000C1035"/>
    <w:rsid w:val="000C103D"/>
    <w:rsid w:val="000C1074"/>
    <w:rsid w:val="000C107C"/>
    <w:rsid w:val="000C10FA"/>
    <w:rsid w:val="000C118A"/>
    <w:rsid w:val="000C11A4"/>
    <w:rsid w:val="000C11A9"/>
    <w:rsid w:val="000C11EE"/>
    <w:rsid w:val="000C125A"/>
    <w:rsid w:val="000C1271"/>
    <w:rsid w:val="000C1299"/>
    <w:rsid w:val="000C12B5"/>
    <w:rsid w:val="000C12D5"/>
    <w:rsid w:val="000C12D9"/>
    <w:rsid w:val="000C1322"/>
    <w:rsid w:val="000C133F"/>
    <w:rsid w:val="000C1405"/>
    <w:rsid w:val="000C140E"/>
    <w:rsid w:val="000C1584"/>
    <w:rsid w:val="000C1589"/>
    <w:rsid w:val="000C15CD"/>
    <w:rsid w:val="000C15DA"/>
    <w:rsid w:val="000C15FF"/>
    <w:rsid w:val="000C1650"/>
    <w:rsid w:val="000C169A"/>
    <w:rsid w:val="000C16C8"/>
    <w:rsid w:val="000C16CB"/>
    <w:rsid w:val="000C16D7"/>
    <w:rsid w:val="000C1729"/>
    <w:rsid w:val="000C172D"/>
    <w:rsid w:val="000C1739"/>
    <w:rsid w:val="000C1748"/>
    <w:rsid w:val="000C1785"/>
    <w:rsid w:val="000C183A"/>
    <w:rsid w:val="000C187D"/>
    <w:rsid w:val="000C18C7"/>
    <w:rsid w:val="000C18E7"/>
    <w:rsid w:val="000C18ED"/>
    <w:rsid w:val="000C19BA"/>
    <w:rsid w:val="000C19BD"/>
    <w:rsid w:val="000C19E8"/>
    <w:rsid w:val="000C1A0B"/>
    <w:rsid w:val="000C1A1F"/>
    <w:rsid w:val="000C1A2F"/>
    <w:rsid w:val="000C1A38"/>
    <w:rsid w:val="000C1A4B"/>
    <w:rsid w:val="000C1A8F"/>
    <w:rsid w:val="000C1AAC"/>
    <w:rsid w:val="000C1AD0"/>
    <w:rsid w:val="000C1B9A"/>
    <w:rsid w:val="000C1BC5"/>
    <w:rsid w:val="000C1BF1"/>
    <w:rsid w:val="000C1C06"/>
    <w:rsid w:val="000C1C3B"/>
    <w:rsid w:val="000C1C3C"/>
    <w:rsid w:val="000C1C9E"/>
    <w:rsid w:val="000C1CCF"/>
    <w:rsid w:val="000C1CF9"/>
    <w:rsid w:val="000C1D24"/>
    <w:rsid w:val="000C1DB5"/>
    <w:rsid w:val="000C1DFC"/>
    <w:rsid w:val="000C1E2F"/>
    <w:rsid w:val="000C1E55"/>
    <w:rsid w:val="000C1EC7"/>
    <w:rsid w:val="000C1EE4"/>
    <w:rsid w:val="000C1F24"/>
    <w:rsid w:val="000C1F2A"/>
    <w:rsid w:val="000C1F48"/>
    <w:rsid w:val="000C1F8C"/>
    <w:rsid w:val="000C1FC1"/>
    <w:rsid w:val="000C2006"/>
    <w:rsid w:val="000C200B"/>
    <w:rsid w:val="000C202F"/>
    <w:rsid w:val="000C2066"/>
    <w:rsid w:val="000C20BD"/>
    <w:rsid w:val="000C2113"/>
    <w:rsid w:val="000C2180"/>
    <w:rsid w:val="000C21B0"/>
    <w:rsid w:val="000C21BF"/>
    <w:rsid w:val="000C21D2"/>
    <w:rsid w:val="000C221E"/>
    <w:rsid w:val="000C222D"/>
    <w:rsid w:val="000C2279"/>
    <w:rsid w:val="000C229D"/>
    <w:rsid w:val="000C22C7"/>
    <w:rsid w:val="000C230B"/>
    <w:rsid w:val="000C2337"/>
    <w:rsid w:val="000C2361"/>
    <w:rsid w:val="000C2398"/>
    <w:rsid w:val="000C23B0"/>
    <w:rsid w:val="000C2424"/>
    <w:rsid w:val="000C243E"/>
    <w:rsid w:val="000C252C"/>
    <w:rsid w:val="000C253A"/>
    <w:rsid w:val="000C256C"/>
    <w:rsid w:val="000C2594"/>
    <w:rsid w:val="000C25A1"/>
    <w:rsid w:val="000C25EB"/>
    <w:rsid w:val="000C2617"/>
    <w:rsid w:val="000C2648"/>
    <w:rsid w:val="000C264B"/>
    <w:rsid w:val="000C2668"/>
    <w:rsid w:val="000C26B4"/>
    <w:rsid w:val="000C2758"/>
    <w:rsid w:val="000C2759"/>
    <w:rsid w:val="000C275B"/>
    <w:rsid w:val="000C27AD"/>
    <w:rsid w:val="000C27D3"/>
    <w:rsid w:val="000C27E2"/>
    <w:rsid w:val="000C27FA"/>
    <w:rsid w:val="000C282B"/>
    <w:rsid w:val="000C283F"/>
    <w:rsid w:val="000C2886"/>
    <w:rsid w:val="000C291E"/>
    <w:rsid w:val="000C2941"/>
    <w:rsid w:val="000C299E"/>
    <w:rsid w:val="000C29C7"/>
    <w:rsid w:val="000C29DB"/>
    <w:rsid w:val="000C29EF"/>
    <w:rsid w:val="000C2A1C"/>
    <w:rsid w:val="000C2A1D"/>
    <w:rsid w:val="000C2A73"/>
    <w:rsid w:val="000C2AD2"/>
    <w:rsid w:val="000C2ADF"/>
    <w:rsid w:val="000C2B3B"/>
    <w:rsid w:val="000C2B58"/>
    <w:rsid w:val="000C2B5C"/>
    <w:rsid w:val="000C2C33"/>
    <w:rsid w:val="000C2C79"/>
    <w:rsid w:val="000C2CA7"/>
    <w:rsid w:val="000C2CC3"/>
    <w:rsid w:val="000C2D3B"/>
    <w:rsid w:val="000C2D54"/>
    <w:rsid w:val="000C2D6B"/>
    <w:rsid w:val="000C2D89"/>
    <w:rsid w:val="000C2DAD"/>
    <w:rsid w:val="000C2E13"/>
    <w:rsid w:val="000C2E50"/>
    <w:rsid w:val="000C2E9D"/>
    <w:rsid w:val="000C2ECF"/>
    <w:rsid w:val="000C2EF5"/>
    <w:rsid w:val="000C2F11"/>
    <w:rsid w:val="000C2F5D"/>
    <w:rsid w:val="000C2FB9"/>
    <w:rsid w:val="000C2FD4"/>
    <w:rsid w:val="000C302C"/>
    <w:rsid w:val="000C3063"/>
    <w:rsid w:val="000C306B"/>
    <w:rsid w:val="000C308B"/>
    <w:rsid w:val="000C30CF"/>
    <w:rsid w:val="000C30D4"/>
    <w:rsid w:val="000C30DE"/>
    <w:rsid w:val="000C3103"/>
    <w:rsid w:val="000C3116"/>
    <w:rsid w:val="000C317C"/>
    <w:rsid w:val="000C319A"/>
    <w:rsid w:val="000C31DE"/>
    <w:rsid w:val="000C31E5"/>
    <w:rsid w:val="000C3202"/>
    <w:rsid w:val="000C326C"/>
    <w:rsid w:val="000C326E"/>
    <w:rsid w:val="000C3298"/>
    <w:rsid w:val="000C33B3"/>
    <w:rsid w:val="000C33C6"/>
    <w:rsid w:val="000C34DA"/>
    <w:rsid w:val="000C353F"/>
    <w:rsid w:val="000C358C"/>
    <w:rsid w:val="000C35E2"/>
    <w:rsid w:val="000C362D"/>
    <w:rsid w:val="000C3647"/>
    <w:rsid w:val="000C3672"/>
    <w:rsid w:val="000C367B"/>
    <w:rsid w:val="000C369D"/>
    <w:rsid w:val="000C36A7"/>
    <w:rsid w:val="000C36C8"/>
    <w:rsid w:val="000C36DD"/>
    <w:rsid w:val="000C36F9"/>
    <w:rsid w:val="000C3700"/>
    <w:rsid w:val="000C3707"/>
    <w:rsid w:val="000C3774"/>
    <w:rsid w:val="000C3783"/>
    <w:rsid w:val="000C37A5"/>
    <w:rsid w:val="000C37CA"/>
    <w:rsid w:val="000C3843"/>
    <w:rsid w:val="000C38A3"/>
    <w:rsid w:val="000C38C7"/>
    <w:rsid w:val="000C38F8"/>
    <w:rsid w:val="000C3901"/>
    <w:rsid w:val="000C3929"/>
    <w:rsid w:val="000C392D"/>
    <w:rsid w:val="000C3930"/>
    <w:rsid w:val="000C3977"/>
    <w:rsid w:val="000C39C0"/>
    <w:rsid w:val="000C39E8"/>
    <w:rsid w:val="000C3A27"/>
    <w:rsid w:val="000C3ACC"/>
    <w:rsid w:val="000C3AD8"/>
    <w:rsid w:val="000C3AFD"/>
    <w:rsid w:val="000C3BD1"/>
    <w:rsid w:val="000C3BD9"/>
    <w:rsid w:val="000C3BFE"/>
    <w:rsid w:val="000C3C5D"/>
    <w:rsid w:val="000C3C8C"/>
    <w:rsid w:val="000C3CE3"/>
    <w:rsid w:val="000C3D04"/>
    <w:rsid w:val="000C3D14"/>
    <w:rsid w:val="000C3D2B"/>
    <w:rsid w:val="000C3D74"/>
    <w:rsid w:val="000C3DF3"/>
    <w:rsid w:val="000C3E06"/>
    <w:rsid w:val="000C3E29"/>
    <w:rsid w:val="000C3E4E"/>
    <w:rsid w:val="000C3E7A"/>
    <w:rsid w:val="000C3E88"/>
    <w:rsid w:val="000C3EA9"/>
    <w:rsid w:val="000C3EAE"/>
    <w:rsid w:val="000C3EC7"/>
    <w:rsid w:val="000C3ED0"/>
    <w:rsid w:val="000C3F44"/>
    <w:rsid w:val="000C3F81"/>
    <w:rsid w:val="000C3F85"/>
    <w:rsid w:val="000C3F8D"/>
    <w:rsid w:val="000C3FA3"/>
    <w:rsid w:val="000C3FC1"/>
    <w:rsid w:val="000C3FC5"/>
    <w:rsid w:val="000C4076"/>
    <w:rsid w:val="000C40BA"/>
    <w:rsid w:val="000C40E8"/>
    <w:rsid w:val="000C413C"/>
    <w:rsid w:val="000C4179"/>
    <w:rsid w:val="000C4184"/>
    <w:rsid w:val="000C4195"/>
    <w:rsid w:val="000C4205"/>
    <w:rsid w:val="000C423D"/>
    <w:rsid w:val="000C4249"/>
    <w:rsid w:val="000C42F2"/>
    <w:rsid w:val="000C433E"/>
    <w:rsid w:val="000C4349"/>
    <w:rsid w:val="000C4350"/>
    <w:rsid w:val="000C4357"/>
    <w:rsid w:val="000C43C5"/>
    <w:rsid w:val="000C43CE"/>
    <w:rsid w:val="000C440A"/>
    <w:rsid w:val="000C4448"/>
    <w:rsid w:val="000C455F"/>
    <w:rsid w:val="000C45BA"/>
    <w:rsid w:val="000C4657"/>
    <w:rsid w:val="000C4683"/>
    <w:rsid w:val="000C472B"/>
    <w:rsid w:val="000C4753"/>
    <w:rsid w:val="000C4760"/>
    <w:rsid w:val="000C47C6"/>
    <w:rsid w:val="000C484C"/>
    <w:rsid w:val="000C485D"/>
    <w:rsid w:val="000C487E"/>
    <w:rsid w:val="000C48DC"/>
    <w:rsid w:val="000C490F"/>
    <w:rsid w:val="000C4925"/>
    <w:rsid w:val="000C4994"/>
    <w:rsid w:val="000C49B7"/>
    <w:rsid w:val="000C49E8"/>
    <w:rsid w:val="000C4A1C"/>
    <w:rsid w:val="000C4A20"/>
    <w:rsid w:val="000C4A4D"/>
    <w:rsid w:val="000C4A78"/>
    <w:rsid w:val="000C4A7A"/>
    <w:rsid w:val="000C4A9D"/>
    <w:rsid w:val="000C4AA5"/>
    <w:rsid w:val="000C4AB5"/>
    <w:rsid w:val="000C4AC2"/>
    <w:rsid w:val="000C4AF5"/>
    <w:rsid w:val="000C4B08"/>
    <w:rsid w:val="000C4B2E"/>
    <w:rsid w:val="000C4B7B"/>
    <w:rsid w:val="000C4B80"/>
    <w:rsid w:val="000C4C0F"/>
    <w:rsid w:val="000C4CA3"/>
    <w:rsid w:val="000C4CB0"/>
    <w:rsid w:val="000C4CC9"/>
    <w:rsid w:val="000C4CEF"/>
    <w:rsid w:val="000C4D0C"/>
    <w:rsid w:val="000C4D27"/>
    <w:rsid w:val="000C4D3D"/>
    <w:rsid w:val="000C4D94"/>
    <w:rsid w:val="000C4DDA"/>
    <w:rsid w:val="000C4DEB"/>
    <w:rsid w:val="000C4EA9"/>
    <w:rsid w:val="000C4EF5"/>
    <w:rsid w:val="000C4F2E"/>
    <w:rsid w:val="000C4F5E"/>
    <w:rsid w:val="000C4F89"/>
    <w:rsid w:val="000C4FA7"/>
    <w:rsid w:val="000C4FC8"/>
    <w:rsid w:val="000C4FE6"/>
    <w:rsid w:val="000C5018"/>
    <w:rsid w:val="000C5044"/>
    <w:rsid w:val="000C50FD"/>
    <w:rsid w:val="000C5107"/>
    <w:rsid w:val="000C51BF"/>
    <w:rsid w:val="000C51CF"/>
    <w:rsid w:val="000C51EF"/>
    <w:rsid w:val="000C5215"/>
    <w:rsid w:val="000C5221"/>
    <w:rsid w:val="000C522C"/>
    <w:rsid w:val="000C522E"/>
    <w:rsid w:val="000C5232"/>
    <w:rsid w:val="000C523A"/>
    <w:rsid w:val="000C524E"/>
    <w:rsid w:val="000C528F"/>
    <w:rsid w:val="000C52B8"/>
    <w:rsid w:val="000C52DE"/>
    <w:rsid w:val="000C52FF"/>
    <w:rsid w:val="000C531F"/>
    <w:rsid w:val="000C5340"/>
    <w:rsid w:val="000C5362"/>
    <w:rsid w:val="000C53A0"/>
    <w:rsid w:val="000C53A8"/>
    <w:rsid w:val="000C53CA"/>
    <w:rsid w:val="000C5412"/>
    <w:rsid w:val="000C5444"/>
    <w:rsid w:val="000C5458"/>
    <w:rsid w:val="000C54A1"/>
    <w:rsid w:val="000C550D"/>
    <w:rsid w:val="000C553F"/>
    <w:rsid w:val="000C55B6"/>
    <w:rsid w:val="000C5624"/>
    <w:rsid w:val="000C562F"/>
    <w:rsid w:val="000C5687"/>
    <w:rsid w:val="000C56BC"/>
    <w:rsid w:val="000C56D3"/>
    <w:rsid w:val="000C56F5"/>
    <w:rsid w:val="000C570C"/>
    <w:rsid w:val="000C5755"/>
    <w:rsid w:val="000C5759"/>
    <w:rsid w:val="000C5767"/>
    <w:rsid w:val="000C577B"/>
    <w:rsid w:val="000C57A7"/>
    <w:rsid w:val="000C57D7"/>
    <w:rsid w:val="000C57DB"/>
    <w:rsid w:val="000C57F2"/>
    <w:rsid w:val="000C5805"/>
    <w:rsid w:val="000C5820"/>
    <w:rsid w:val="000C5828"/>
    <w:rsid w:val="000C585C"/>
    <w:rsid w:val="000C585E"/>
    <w:rsid w:val="000C5897"/>
    <w:rsid w:val="000C58CC"/>
    <w:rsid w:val="000C58D5"/>
    <w:rsid w:val="000C59A1"/>
    <w:rsid w:val="000C59F1"/>
    <w:rsid w:val="000C59FB"/>
    <w:rsid w:val="000C5A01"/>
    <w:rsid w:val="000C5A12"/>
    <w:rsid w:val="000C5A29"/>
    <w:rsid w:val="000C5A6D"/>
    <w:rsid w:val="000C5A71"/>
    <w:rsid w:val="000C5A9D"/>
    <w:rsid w:val="000C5BB1"/>
    <w:rsid w:val="000C5BB4"/>
    <w:rsid w:val="000C5BDC"/>
    <w:rsid w:val="000C5C28"/>
    <w:rsid w:val="000C5C2C"/>
    <w:rsid w:val="000C5C52"/>
    <w:rsid w:val="000C5C53"/>
    <w:rsid w:val="000C5C64"/>
    <w:rsid w:val="000C5C81"/>
    <w:rsid w:val="000C5C9E"/>
    <w:rsid w:val="000C5CE9"/>
    <w:rsid w:val="000C5CEF"/>
    <w:rsid w:val="000C5D18"/>
    <w:rsid w:val="000C5D65"/>
    <w:rsid w:val="000C5D68"/>
    <w:rsid w:val="000C5D80"/>
    <w:rsid w:val="000C5DA1"/>
    <w:rsid w:val="000C5DA5"/>
    <w:rsid w:val="000C5DF6"/>
    <w:rsid w:val="000C5E01"/>
    <w:rsid w:val="000C5EDA"/>
    <w:rsid w:val="000C5F18"/>
    <w:rsid w:val="000C5FD6"/>
    <w:rsid w:val="000C6041"/>
    <w:rsid w:val="000C6070"/>
    <w:rsid w:val="000C6090"/>
    <w:rsid w:val="000C610B"/>
    <w:rsid w:val="000C611B"/>
    <w:rsid w:val="000C61A0"/>
    <w:rsid w:val="000C61B6"/>
    <w:rsid w:val="000C61CD"/>
    <w:rsid w:val="000C61F0"/>
    <w:rsid w:val="000C621F"/>
    <w:rsid w:val="000C622F"/>
    <w:rsid w:val="000C6248"/>
    <w:rsid w:val="000C62CE"/>
    <w:rsid w:val="000C62E6"/>
    <w:rsid w:val="000C631F"/>
    <w:rsid w:val="000C634D"/>
    <w:rsid w:val="000C6364"/>
    <w:rsid w:val="000C63AD"/>
    <w:rsid w:val="000C63FD"/>
    <w:rsid w:val="000C6404"/>
    <w:rsid w:val="000C6429"/>
    <w:rsid w:val="000C642B"/>
    <w:rsid w:val="000C647A"/>
    <w:rsid w:val="000C6485"/>
    <w:rsid w:val="000C64A9"/>
    <w:rsid w:val="000C64AF"/>
    <w:rsid w:val="000C64D4"/>
    <w:rsid w:val="000C64E7"/>
    <w:rsid w:val="000C651C"/>
    <w:rsid w:val="000C6530"/>
    <w:rsid w:val="000C657F"/>
    <w:rsid w:val="000C65B6"/>
    <w:rsid w:val="000C65EE"/>
    <w:rsid w:val="000C660A"/>
    <w:rsid w:val="000C6677"/>
    <w:rsid w:val="000C66F0"/>
    <w:rsid w:val="000C673A"/>
    <w:rsid w:val="000C6777"/>
    <w:rsid w:val="000C67A9"/>
    <w:rsid w:val="000C6831"/>
    <w:rsid w:val="000C683B"/>
    <w:rsid w:val="000C685B"/>
    <w:rsid w:val="000C6876"/>
    <w:rsid w:val="000C6889"/>
    <w:rsid w:val="000C68D1"/>
    <w:rsid w:val="000C68FA"/>
    <w:rsid w:val="000C68FF"/>
    <w:rsid w:val="000C6906"/>
    <w:rsid w:val="000C6910"/>
    <w:rsid w:val="000C6934"/>
    <w:rsid w:val="000C69D3"/>
    <w:rsid w:val="000C6A09"/>
    <w:rsid w:val="000C6A27"/>
    <w:rsid w:val="000C6A2E"/>
    <w:rsid w:val="000C6A4C"/>
    <w:rsid w:val="000C6A7D"/>
    <w:rsid w:val="000C6A8A"/>
    <w:rsid w:val="000C6ABE"/>
    <w:rsid w:val="000C6AF7"/>
    <w:rsid w:val="000C6B25"/>
    <w:rsid w:val="000C6BC9"/>
    <w:rsid w:val="000C6BEB"/>
    <w:rsid w:val="000C6C10"/>
    <w:rsid w:val="000C6C11"/>
    <w:rsid w:val="000C6C90"/>
    <w:rsid w:val="000C6CBE"/>
    <w:rsid w:val="000C6CDD"/>
    <w:rsid w:val="000C6CE6"/>
    <w:rsid w:val="000C6D05"/>
    <w:rsid w:val="000C6D3D"/>
    <w:rsid w:val="000C6D55"/>
    <w:rsid w:val="000C6D66"/>
    <w:rsid w:val="000C6D71"/>
    <w:rsid w:val="000C6D9C"/>
    <w:rsid w:val="000C6DA9"/>
    <w:rsid w:val="000C6DD2"/>
    <w:rsid w:val="000C6DE0"/>
    <w:rsid w:val="000C6E51"/>
    <w:rsid w:val="000C6EB3"/>
    <w:rsid w:val="000C6F21"/>
    <w:rsid w:val="000C6F42"/>
    <w:rsid w:val="000C6F43"/>
    <w:rsid w:val="000C6F64"/>
    <w:rsid w:val="000C6FB8"/>
    <w:rsid w:val="000C7038"/>
    <w:rsid w:val="000C706D"/>
    <w:rsid w:val="000C708B"/>
    <w:rsid w:val="000C708F"/>
    <w:rsid w:val="000C70A0"/>
    <w:rsid w:val="000C70CA"/>
    <w:rsid w:val="000C7132"/>
    <w:rsid w:val="000C720D"/>
    <w:rsid w:val="000C7214"/>
    <w:rsid w:val="000C7215"/>
    <w:rsid w:val="000C72EC"/>
    <w:rsid w:val="000C730E"/>
    <w:rsid w:val="000C733E"/>
    <w:rsid w:val="000C7342"/>
    <w:rsid w:val="000C7351"/>
    <w:rsid w:val="000C73A5"/>
    <w:rsid w:val="000C73AB"/>
    <w:rsid w:val="000C7450"/>
    <w:rsid w:val="000C7484"/>
    <w:rsid w:val="000C74E6"/>
    <w:rsid w:val="000C759D"/>
    <w:rsid w:val="000C75A7"/>
    <w:rsid w:val="000C75B3"/>
    <w:rsid w:val="000C7606"/>
    <w:rsid w:val="000C761E"/>
    <w:rsid w:val="000C7649"/>
    <w:rsid w:val="000C766F"/>
    <w:rsid w:val="000C768E"/>
    <w:rsid w:val="000C76A4"/>
    <w:rsid w:val="000C76F3"/>
    <w:rsid w:val="000C774A"/>
    <w:rsid w:val="000C77A9"/>
    <w:rsid w:val="000C7885"/>
    <w:rsid w:val="000C78A4"/>
    <w:rsid w:val="000C7931"/>
    <w:rsid w:val="000C7944"/>
    <w:rsid w:val="000C7953"/>
    <w:rsid w:val="000C7986"/>
    <w:rsid w:val="000C7991"/>
    <w:rsid w:val="000C79B9"/>
    <w:rsid w:val="000C79D5"/>
    <w:rsid w:val="000C79E0"/>
    <w:rsid w:val="000C7A01"/>
    <w:rsid w:val="000C7A15"/>
    <w:rsid w:val="000C7A1D"/>
    <w:rsid w:val="000C7A84"/>
    <w:rsid w:val="000C7AC0"/>
    <w:rsid w:val="000C7ACB"/>
    <w:rsid w:val="000C7ACC"/>
    <w:rsid w:val="000C7AE9"/>
    <w:rsid w:val="000C7B09"/>
    <w:rsid w:val="000C7B12"/>
    <w:rsid w:val="000C7B65"/>
    <w:rsid w:val="000C7B6B"/>
    <w:rsid w:val="000C7CF7"/>
    <w:rsid w:val="000C7D16"/>
    <w:rsid w:val="000C7D3A"/>
    <w:rsid w:val="000C7D43"/>
    <w:rsid w:val="000C7DA2"/>
    <w:rsid w:val="000C7DA8"/>
    <w:rsid w:val="000C7DCA"/>
    <w:rsid w:val="000C7DD8"/>
    <w:rsid w:val="000C7DFD"/>
    <w:rsid w:val="000C7E54"/>
    <w:rsid w:val="000C7EB9"/>
    <w:rsid w:val="000C7ED6"/>
    <w:rsid w:val="000C7F04"/>
    <w:rsid w:val="000C7F28"/>
    <w:rsid w:val="000C7F7D"/>
    <w:rsid w:val="000C7F81"/>
    <w:rsid w:val="000C7F91"/>
    <w:rsid w:val="000C7FDD"/>
    <w:rsid w:val="000C7FE7"/>
    <w:rsid w:val="000C7FF7"/>
    <w:rsid w:val="000D003D"/>
    <w:rsid w:val="000D0041"/>
    <w:rsid w:val="000D005A"/>
    <w:rsid w:val="000D006C"/>
    <w:rsid w:val="000D0075"/>
    <w:rsid w:val="000D00A0"/>
    <w:rsid w:val="000D00D1"/>
    <w:rsid w:val="000D01AC"/>
    <w:rsid w:val="000D01CB"/>
    <w:rsid w:val="000D01D0"/>
    <w:rsid w:val="000D0219"/>
    <w:rsid w:val="000D0292"/>
    <w:rsid w:val="000D02D8"/>
    <w:rsid w:val="000D032E"/>
    <w:rsid w:val="000D03C8"/>
    <w:rsid w:val="000D03CF"/>
    <w:rsid w:val="000D040F"/>
    <w:rsid w:val="000D0414"/>
    <w:rsid w:val="000D0421"/>
    <w:rsid w:val="000D0422"/>
    <w:rsid w:val="000D046C"/>
    <w:rsid w:val="000D0471"/>
    <w:rsid w:val="000D04B0"/>
    <w:rsid w:val="000D04E7"/>
    <w:rsid w:val="000D04E9"/>
    <w:rsid w:val="000D04ED"/>
    <w:rsid w:val="000D04EE"/>
    <w:rsid w:val="000D0503"/>
    <w:rsid w:val="000D0506"/>
    <w:rsid w:val="000D053D"/>
    <w:rsid w:val="000D060A"/>
    <w:rsid w:val="000D0624"/>
    <w:rsid w:val="000D0633"/>
    <w:rsid w:val="000D0653"/>
    <w:rsid w:val="000D065B"/>
    <w:rsid w:val="000D0685"/>
    <w:rsid w:val="000D06FB"/>
    <w:rsid w:val="000D0708"/>
    <w:rsid w:val="000D0746"/>
    <w:rsid w:val="000D079A"/>
    <w:rsid w:val="000D07BB"/>
    <w:rsid w:val="000D07D6"/>
    <w:rsid w:val="000D07E6"/>
    <w:rsid w:val="000D0811"/>
    <w:rsid w:val="000D0885"/>
    <w:rsid w:val="000D0890"/>
    <w:rsid w:val="000D0945"/>
    <w:rsid w:val="000D0956"/>
    <w:rsid w:val="000D0957"/>
    <w:rsid w:val="000D09A0"/>
    <w:rsid w:val="000D0A80"/>
    <w:rsid w:val="000D0AF9"/>
    <w:rsid w:val="000D0B19"/>
    <w:rsid w:val="000D0BBD"/>
    <w:rsid w:val="000D0BFC"/>
    <w:rsid w:val="000D0C00"/>
    <w:rsid w:val="000D0D44"/>
    <w:rsid w:val="000D0D52"/>
    <w:rsid w:val="000D0D6E"/>
    <w:rsid w:val="000D0D83"/>
    <w:rsid w:val="000D0DBE"/>
    <w:rsid w:val="000D0DCC"/>
    <w:rsid w:val="000D0E48"/>
    <w:rsid w:val="000D0E4D"/>
    <w:rsid w:val="000D0EC9"/>
    <w:rsid w:val="000D0F51"/>
    <w:rsid w:val="000D0F77"/>
    <w:rsid w:val="000D0F7B"/>
    <w:rsid w:val="000D0FC4"/>
    <w:rsid w:val="000D0FDB"/>
    <w:rsid w:val="000D0FF4"/>
    <w:rsid w:val="000D1005"/>
    <w:rsid w:val="000D1016"/>
    <w:rsid w:val="000D104D"/>
    <w:rsid w:val="000D107F"/>
    <w:rsid w:val="000D1092"/>
    <w:rsid w:val="000D10A0"/>
    <w:rsid w:val="000D10C3"/>
    <w:rsid w:val="000D110F"/>
    <w:rsid w:val="000D1110"/>
    <w:rsid w:val="000D1140"/>
    <w:rsid w:val="000D115E"/>
    <w:rsid w:val="000D115F"/>
    <w:rsid w:val="000D116A"/>
    <w:rsid w:val="000D1175"/>
    <w:rsid w:val="000D11F0"/>
    <w:rsid w:val="000D11FF"/>
    <w:rsid w:val="000D121E"/>
    <w:rsid w:val="000D1274"/>
    <w:rsid w:val="000D128E"/>
    <w:rsid w:val="000D1309"/>
    <w:rsid w:val="000D1339"/>
    <w:rsid w:val="000D1383"/>
    <w:rsid w:val="000D13C1"/>
    <w:rsid w:val="000D13CA"/>
    <w:rsid w:val="000D13CC"/>
    <w:rsid w:val="000D1410"/>
    <w:rsid w:val="000D142E"/>
    <w:rsid w:val="000D1457"/>
    <w:rsid w:val="000D1478"/>
    <w:rsid w:val="000D14DA"/>
    <w:rsid w:val="000D151D"/>
    <w:rsid w:val="000D1554"/>
    <w:rsid w:val="000D159A"/>
    <w:rsid w:val="000D15A3"/>
    <w:rsid w:val="000D15BD"/>
    <w:rsid w:val="000D1625"/>
    <w:rsid w:val="000D16D8"/>
    <w:rsid w:val="000D16DC"/>
    <w:rsid w:val="000D16E3"/>
    <w:rsid w:val="000D1723"/>
    <w:rsid w:val="000D1728"/>
    <w:rsid w:val="000D175E"/>
    <w:rsid w:val="000D177B"/>
    <w:rsid w:val="000D17E0"/>
    <w:rsid w:val="000D182F"/>
    <w:rsid w:val="000D1892"/>
    <w:rsid w:val="000D18C5"/>
    <w:rsid w:val="000D18F1"/>
    <w:rsid w:val="000D1943"/>
    <w:rsid w:val="000D196E"/>
    <w:rsid w:val="000D1994"/>
    <w:rsid w:val="000D19A3"/>
    <w:rsid w:val="000D19B4"/>
    <w:rsid w:val="000D19DA"/>
    <w:rsid w:val="000D19DF"/>
    <w:rsid w:val="000D19EC"/>
    <w:rsid w:val="000D1A4D"/>
    <w:rsid w:val="000D1A4E"/>
    <w:rsid w:val="000D1A67"/>
    <w:rsid w:val="000D1A94"/>
    <w:rsid w:val="000D1ABD"/>
    <w:rsid w:val="000D1AEA"/>
    <w:rsid w:val="000D1B19"/>
    <w:rsid w:val="000D1B61"/>
    <w:rsid w:val="000D1BE7"/>
    <w:rsid w:val="000D1BF3"/>
    <w:rsid w:val="000D1CE8"/>
    <w:rsid w:val="000D1D47"/>
    <w:rsid w:val="000D1D61"/>
    <w:rsid w:val="000D1D62"/>
    <w:rsid w:val="000D1D8F"/>
    <w:rsid w:val="000D1DB2"/>
    <w:rsid w:val="000D1DF0"/>
    <w:rsid w:val="000D1DF9"/>
    <w:rsid w:val="000D1E62"/>
    <w:rsid w:val="000D1E6A"/>
    <w:rsid w:val="000D1EC4"/>
    <w:rsid w:val="000D1EEB"/>
    <w:rsid w:val="000D1F53"/>
    <w:rsid w:val="000D1F7D"/>
    <w:rsid w:val="000D1F8D"/>
    <w:rsid w:val="000D1F90"/>
    <w:rsid w:val="000D1F92"/>
    <w:rsid w:val="000D1FA2"/>
    <w:rsid w:val="000D2040"/>
    <w:rsid w:val="000D2086"/>
    <w:rsid w:val="000D20B3"/>
    <w:rsid w:val="000D20D9"/>
    <w:rsid w:val="000D20F6"/>
    <w:rsid w:val="000D214F"/>
    <w:rsid w:val="000D2154"/>
    <w:rsid w:val="000D218C"/>
    <w:rsid w:val="000D21B1"/>
    <w:rsid w:val="000D2208"/>
    <w:rsid w:val="000D2230"/>
    <w:rsid w:val="000D2257"/>
    <w:rsid w:val="000D228B"/>
    <w:rsid w:val="000D2291"/>
    <w:rsid w:val="000D22E5"/>
    <w:rsid w:val="000D22FA"/>
    <w:rsid w:val="000D2310"/>
    <w:rsid w:val="000D2355"/>
    <w:rsid w:val="000D2380"/>
    <w:rsid w:val="000D23B1"/>
    <w:rsid w:val="000D23D2"/>
    <w:rsid w:val="000D23FF"/>
    <w:rsid w:val="000D2409"/>
    <w:rsid w:val="000D240E"/>
    <w:rsid w:val="000D2496"/>
    <w:rsid w:val="000D24BA"/>
    <w:rsid w:val="000D24BF"/>
    <w:rsid w:val="000D24C1"/>
    <w:rsid w:val="000D24DB"/>
    <w:rsid w:val="000D24F1"/>
    <w:rsid w:val="000D25BA"/>
    <w:rsid w:val="000D25E9"/>
    <w:rsid w:val="000D2612"/>
    <w:rsid w:val="000D2617"/>
    <w:rsid w:val="000D262E"/>
    <w:rsid w:val="000D2640"/>
    <w:rsid w:val="000D2685"/>
    <w:rsid w:val="000D26AE"/>
    <w:rsid w:val="000D26D3"/>
    <w:rsid w:val="000D2700"/>
    <w:rsid w:val="000D2732"/>
    <w:rsid w:val="000D2768"/>
    <w:rsid w:val="000D27BA"/>
    <w:rsid w:val="000D27CF"/>
    <w:rsid w:val="000D27D7"/>
    <w:rsid w:val="000D2839"/>
    <w:rsid w:val="000D284C"/>
    <w:rsid w:val="000D2911"/>
    <w:rsid w:val="000D2934"/>
    <w:rsid w:val="000D294A"/>
    <w:rsid w:val="000D294F"/>
    <w:rsid w:val="000D298A"/>
    <w:rsid w:val="000D2992"/>
    <w:rsid w:val="000D29B4"/>
    <w:rsid w:val="000D29C9"/>
    <w:rsid w:val="000D29CA"/>
    <w:rsid w:val="000D29E9"/>
    <w:rsid w:val="000D2A4C"/>
    <w:rsid w:val="000D2ABD"/>
    <w:rsid w:val="000D2ACE"/>
    <w:rsid w:val="000D2AE0"/>
    <w:rsid w:val="000D2B0C"/>
    <w:rsid w:val="000D2B3A"/>
    <w:rsid w:val="000D2B6A"/>
    <w:rsid w:val="000D2BD4"/>
    <w:rsid w:val="000D2C48"/>
    <w:rsid w:val="000D2C5D"/>
    <w:rsid w:val="000D2CA0"/>
    <w:rsid w:val="000D2CCC"/>
    <w:rsid w:val="000D2D13"/>
    <w:rsid w:val="000D2D19"/>
    <w:rsid w:val="000D2D28"/>
    <w:rsid w:val="000D2D3A"/>
    <w:rsid w:val="000D2D3E"/>
    <w:rsid w:val="000D2D65"/>
    <w:rsid w:val="000D2D76"/>
    <w:rsid w:val="000D2D78"/>
    <w:rsid w:val="000D2D8C"/>
    <w:rsid w:val="000D2EA6"/>
    <w:rsid w:val="000D2EAA"/>
    <w:rsid w:val="000D2F39"/>
    <w:rsid w:val="000D2F71"/>
    <w:rsid w:val="000D2FA1"/>
    <w:rsid w:val="000D2FA9"/>
    <w:rsid w:val="000D2FC6"/>
    <w:rsid w:val="000D3029"/>
    <w:rsid w:val="000D3051"/>
    <w:rsid w:val="000D30CD"/>
    <w:rsid w:val="000D30F7"/>
    <w:rsid w:val="000D30FE"/>
    <w:rsid w:val="000D3160"/>
    <w:rsid w:val="000D319C"/>
    <w:rsid w:val="000D324B"/>
    <w:rsid w:val="000D32A8"/>
    <w:rsid w:val="000D32A9"/>
    <w:rsid w:val="000D32CF"/>
    <w:rsid w:val="000D32DD"/>
    <w:rsid w:val="000D32E1"/>
    <w:rsid w:val="000D32E7"/>
    <w:rsid w:val="000D3358"/>
    <w:rsid w:val="000D33BA"/>
    <w:rsid w:val="000D33CA"/>
    <w:rsid w:val="000D33D8"/>
    <w:rsid w:val="000D33E5"/>
    <w:rsid w:val="000D33F9"/>
    <w:rsid w:val="000D3403"/>
    <w:rsid w:val="000D3425"/>
    <w:rsid w:val="000D3428"/>
    <w:rsid w:val="000D344A"/>
    <w:rsid w:val="000D3459"/>
    <w:rsid w:val="000D3479"/>
    <w:rsid w:val="000D3498"/>
    <w:rsid w:val="000D34B4"/>
    <w:rsid w:val="000D3514"/>
    <w:rsid w:val="000D353B"/>
    <w:rsid w:val="000D3575"/>
    <w:rsid w:val="000D35D9"/>
    <w:rsid w:val="000D3637"/>
    <w:rsid w:val="000D3658"/>
    <w:rsid w:val="000D3685"/>
    <w:rsid w:val="000D3690"/>
    <w:rsid w:val="000D3698"/>
    <w:rsid w:val="000D36A1"/>
    <w:rsid w:val="000D36D8"/>
    <w:rsid w:val="000D36F0"/>
    <w:rsid w:val="000D374A"/>
    <w:rsid w:val="000D374D"/>
    <w:rsid w:val="000D3792"/>
    <w:rsid w:val="000D37A0"/>
    <w:rsid w:val="000D37D4"/>
    <w:rsid w:val="000D38C3"/>
    <w:rsid w:val="000D38D6"/>
    <w:rsid w:val="000D38DE"/>
    <w:rsid w:val="000D3910"/>
    <w:rsid w:val="000D393E"/>
    <w:rsid w:val="000D3A62"/>
    <w:rsid w:val="000D3A6D"/>
    <w:rsid w:val="000D3AC7"/>
    <w:rsid w:val="000D3AD6"/>
    <w:rsid w:val="000D3B31"/>
    <w:rsid w:val="000D3B6E"/>
    <w:rsid w:val="000D3BE2"/>
    <w:rsid w:val="000D3C2C"/>
    <w:rsid w:val="000D3C66"/>
    <w:rsid w:val="000D3CFA"/>
    <w:rsid w:val="000D3CFB"/>
    <w:rsid w:val="000D3D04"/>
    <w:rsid w:val="000D3D89"/>
    <w:rsid w:val="000D3DB0"/>
    <w:rsid w:val="000D3E38"/>
    <w:rsid w:val="000D3E39"/>
    <w:rsid w:val="000D3E48"/>
    <w:rsid w:val="000D3E78"/>
    <w:rsid w:val="000D3EA6"/>
    <w:rsid w:val="000D3EBD"/>
    <w:rsid w:val="000D3EC2"/>
    <w:rsid w:val="000D3F0F"/>
    <w:rsid w:val="000D3F1B"/>
    <w:rsid w:val="000D3FF3"/>
    <w:rsid w:val="000D3FF8"/>
    <w:rsid w:val="000D403E"/>
    <w:rsid w:val="000D40E8"/>
    <w:rsid w:val="000D40FE"/>
    <w:rsid w:val="000D4142"/>
    <w:rsid w:val="000D417B"/>
    <w:rsid w:val="000D41E0"/>
    <w:rsid w:val="000D41E8"/>
    <w:rsid w:val="000D4213"/>
    <w:rsid w:val="000D4224"/>
    <w:rsid w:val="000D4264"/>
    <w:rsid w:val="000D426F"/>
    <w:rsid w:val="000D427C"/>
    <w:rsid w:val="000D42B1"/>
    <w:rsid w:val="000D42B5"/>
    <w:rsid w:val="000D42D4"/>
    <w:rsid w:val="000D42F3"/>
    <w:rsid w:val="000D431E"/>
    <w:rsid w:val="000D4333"/>
    <w:rsid w:val="000D4335"/>
    <w:rsid w:val="000D4344"/>
    <w:rsid w:val="000D4392"/>
    <w:rsid w:val="000D43A8"/>
    <w:rsid w:val="000D43CA"/>
    <w:rsid w:val="000D43D5"/>
    <w:rsid w:val="000D43E3"/>
    <w:rsid w:val="000D44B6"/>
    <w:rsid w:val="000D44BE"/>
    <w:rsid w:val="000D455B"/>
    <w:rsid w:val="000D45E7"/>
    <w:rsid w:val="000D4616"/>
    <w:rsid w:val="000D465D"/>
    <w:rsid w:val="000D46B8"/>
    <w:rsid w:val="000D46D8"/>
    <w:rsid w:val="000D471B"/>
    <w:rsid w:val="000D4728"/>
    <w:rsid w:val="000D4729"/>
    <w:rsid w:val="000D4788"/>
    <w:rsid w:val="000D4813"/>
    <w:rsid w:val="000D4846"/>
    <w:rsid w:val="000D4851"/>
    <w:rsid w:val="000D48AD"/>
    <w:rsid w:val="000D48B2"/>
    <w:rsid w:val="000D4904"/>
    <w:rsid w:val="000D4913"/>
    <w:rsid w:val="000D4920"/>
    <w:rsid w:val="000D497F"/>
    <w:rsid w:val="000D4A5C"/>
    <w:rsid w:val="000D4A6C"/>
    <w:rsid w:val="000D4AF9"/>
    <w:rsid w:val="000D4B27"/>
    <w:rsid w:val="000D4B37"/>
    <w:rsid w:val="000D4B48"/>
    <w:rsid w:val="000D4BC7"/>
    <w:rsid w:val="000D4BF5"/>
    <w:rsid w:val="000D4C19"/>
    <w:rsid w:val="000D4C2E"/>
    <w:rsid w:val="000D4C69"/>
    <w:rsid w:val="000D4CF1"/>
    <w:rsid w:val="000D4D19"/>
    <w:rsid w:val="000D4D1B"/>
    <w:rsid w:val="000D4D2E"/>
    <w:rsid w:val="000D4D3D"/>
    <w:rsid w:val="000D4D53"/>
    <w:rsid w:val="000D4D73"/>
    <w:rsid w:val="000D4EC5"/>
    <w:rsid w:val="000D4ECC"/>
    <w:rsid w:val="000D4EEE"/>
    <w:rsid w:val="000D4F4E"/>
    <w:rsid w:val="000D4F56"/>
    <w:rsid w:val="000D4F57"/>
    <w:rsid w:val="000D4F59"/>
    <w:rsid w:val="000D4F8C"/>
    <w:rsid w:val="000D4FC1"/>
    <w:rsid w:val="000D4FC2"/>
    <w:rsid w:val="000D4FE5"/>
    <w:rsid w:val="000D5012"/>
    <w:rsid w:val="000D5069"/>
    <w:rsid w:val="000D50A8"/>
    <w:rsid w:val="000D50F8"/>
    <w:rsid w:val="000D5175"/>
    <w:rsid w:val="000D51C0"/>
    <w:rsid w:val="000D51C3"/>
    <w:rsid w:val="000D51EA"/>
    <w:rsid w:val="000D520F"/>
    <w:rsid w:val="000D5239"/>
    <w:rsid w:val="000D528D"/>
    <w:rsid w:val="000D52CD"/>
    <w:rsid w:val="000D52DF"/>
    <w:rsid w:val="000D532F"/>
    <w:rsid w:val="000D5335"/>
    <w:rsid w:val="000D53A1"/>
    <w:rsid w:val="000D53DF"/>
    <w:rsid w:val="000D53E2"/>
    <w:rsid w:val="000D53F2"/>
    <w:rsid w:val="000D5438"/>
    <w:rsid w:val="000D5459"/>
    <w:rsid w:val="000D545D"/>
    <w:rsid w:val="000D5487"/>
    <w:rsid w:val="000D54A5"/>
    <w:rsid w:val="000D54AE"/>
    <w:rsid w:val="000D54E5"/>
    <w:rsid w:val="000D554A"/>
    <w:rsid w:val="000D55E3"/>
    <w:rsid w:val="000D55F1"/>
    <w:rsid w:val="000D55FC"/>
    <w:rsid w:val="000D5681"/>
    <w:rsid w:val="000D568E"/>
    <w:rsid w:val="000D56EF"/>
    <w:rsid w:val="000D5724"/>
    <w:rsid w:val="000D5771"/>
    <w:rsid w:val="000D577D"/>
    <w:rsid w:val="000D57AB"/>
    <w:rsid w:val="000D57B0"/>
    <w:rsid w:val="000D57F7"/>
    <w:rsid w:val="000D5818"/>
    <w:rsid w:val="000D5837"/>
    <w:rsid w:val="000D5883"/>
    <w:rsid w:val="000D5890"/>
    <w:rsid w:val="000D58AD"/>
    <w:rsid w:val="000D58B8"/>
    <w:rsid w:val="000D58D3"/>
    <w:rsid w:val="000D58EA"/>
    <w:rsid w:val="000D5954"/>
    <w:rsid w:val="000D5955"/>
    <w:rsid w:val="000D595E"/>
    <w:rsid w:val="000D5987"/>
    <w:rsid w:val="000D5A55"/>
    <w:rsid w:val="000D5ABA"/>
    <w:rsid w:val="000D5B48"/>
    <w:rsid w:val="000D5B4D"/>
    <w:rsid w:val="000D5B52"/>
    <w:rsid w:val="000D5B5C"/>
    <w:rsid w:val="000D5BA0"/>
    <w:rsid w:val="000D5C18"/>
    <w:rsid w:val="000D5C46"/>
    <w:rsid w:val="000D5C7B"/>
    <w:rsid w:val="000D5D3B"/>
    <w:rsid w:val="000D5D44"/>
    <w:rsid w:val="000D5DBB"/>
    <w:rsid w:val="000D5E2B"/>
    <w:rsid w:val="000D5E35"/>
    <w:rsid w:val="000D5E45"/>
    <w:rsid w:val="000D5E89"/>
    <w:rsid w:val="000D5EB7"/>
    <w:rsid w:val="000D5F1F"/>
    <w:rsid w:val="000D5F2E"/>
    <w:rsid w:val="000D5F3B"/>
    <w:rsid w:val="000D5FA4"/>
    <w:rsid w:val="000D6048"/>
    <w:rsid w:val="000D606F"/>
    <w:rsid w:val="000D60B0"/>
    <w:rsid w:val="000D6101"/>
    <w:rsid w:val="000D611C"/>
    <w:rsid w:val="000D611F"/>
    <w:rsid w:val="000D6170"/>
    <w:rsid w:val="000D6256"/>
    <w:rsid w:val="000D62A0"/>
    <w:rsid w:val="000D6306"/>
    <w:rsid w:val="000D63A0"/>
    <w:rsid w:val="000D63A3"/>
    <w:rsid w:val="000D63C7"/>
    <w:rsid w:val="000D63D1"/>
    <w:rsid w:val="000D63E5"/>
    <w:rsid w:val="000D6411"/>
    <w:rsid w:val="000D642F"/>
    <w:rsid w:val="000D6453"/>
    <w:rsid w:val="000D64EA"/>
    <w:rsid w:val="000D6505"/>
    <w:rsid w:val="000D6579"/>
    <w:rsid w:val="000D65B9"/>
    <w:rsid w:val="000D65BC"/>
    <w:rsid w:val="000D65D1"/>
    <w:rsid w:val="000D65FC"/>
    <w:rsid w:val="000D662D"/>
    <w:rsid w:val="000D6660"/>
    <w:rsid w:val="000D6664"/>
    <w:rsid w:val="000D668B"/>
    <w:rsid w:val="000D6691"/>
    <w:rsid w:val="000D66F2"/>
    <w:rsid w:val="000D673D"/>
    <w:rsid w:val="000D6762"/>
    <w:rsid w:val="000D6782"/>
    <w:rsid w:val="000D6788"/>
    <w:rsid w:val="000D67D9"/>
    <w:rsid w:val="000D6848"/>
    <w:rsid w:val="000D6933"/>
    <w:rsid w:val="000D6946"/>
    <w:rsid w:val="000D6980"/>
    <w:rsid w:val="000D6990"/>
    <w:rsid w:val="000D6AF0"/>
    <w:rsid w:val="000D6AF9"/>
    <w:rsid w:val="000D6B4D"/>
    <w:rsid w:val="000D6B5D"/>
    <w:rsid w:val="000D6BA3"/>
    <w:rsid w:val="000D6BCB"/>
    <w:rsid w:val="000D6C16"/>
    <w:rsid w:val="000D6C4F"/>
    <w:rsid w:val="000D6C52"/>
    <w:rsid w:val="000D6C5A"/>
    <w:rsid w:val="000D6C63"/>
    <w:rsid w:val="000D6C6C"/>
    <w:rsid w:val="000D6CEF"/>
    <w:rsid w:val="000D6CFC"/>
    <w:rsid w:val="000D6CFF"/>
    <w:rsid w:val="000D6D24"/>
    <w:rsid w:val="000D6D4E"/>
    <w:rsid w:val="000D6D67"/>
    <w:rsid w:val="000D6DBD"/>
    <w:rsid w:val="000D6DCC"/>
    <w:rsid w:val="000D6DCD"/>
    <w:rsid w:val="000D6E32"/>
    <w:rsid w:val="000D6E38"/>
    <w:rsid w:val="000D6E5F"/>
    <w:rsid w:val="000D6E78"/>
    <w:rsid w:val="000D6E8F"/>
    <w:rsid w:val="000D6EC6"/>
    <w:rsid w:val="000D6EE8"/>
    <w:rsid w:val="000D6F13"/>
    <w:rsid w:val="000D6F33"/>
    <w:rsid w:val="000D6FA3"/>
    <w:rsid w:val="000D6FBF"/>
    <w:rsid w:val="000D6FD4"/>
    <w:rsid w:val="000D6FDE"/>
    <w:rsid w:val="000D7054"/>
    <w:rsid w:val="000D705D"/>
    <w:rsid w:val="000D7088"/>
    <w:rsid w:val="000D7157"/>
    <w:rsid w:val="000D7170"/>
    <w:rsid w:val="000D718C"/>
    <w:rsid w:val="000D7226"/>
    <w:rsid w:val="000D7284"/>
    <w:rsid w:val="000D729B"/>
    <w:rsid w:val="000D72C8"/>
    <w:rsid w:val="000D7314"/>
    <w:rsid w:val="000D73A3"/>
    <w:rsid w:val="000D741E"/>
    <w:rsid w:val="000D746A"/>
    <w:rsid w:val="000D7475"/>
    <w:rsid w:val="000D7482"/>
    <w:rsid w:val="000D748B"/>
    <w:rsid w:val="000D751F"/>
    <w:rsid w:val="000D753A"/>
    <w:rsid w:val="000D7541"/>
    <w:rsid w:val="000D7543"/>
    <w:rsid w:val="000D7578"/>
    <w:rsid w:val="000D75A9"/>
    <w:rsid w:val="000D75CF"/>
    <w:rsid w:val="000D770D"/>
    <w:rsid w:val="000D770E"/>
    <w:rsid w:val="000D77CE"/>
    <w:rsid w:val="000D77E0"/>
    <w:rsid w:val="000D77EE"/>
    <w:rsid w:val="000D788D"/>
    <w:rsid w:val="000D7893"/>
    <w:rsid w:val="000D790B"/>
    <w:rsid w:val="000D793A"/>
    <w:rsid w:val="000D794E"/>
    <w:rsid w:val="000D7958"/>
    <w:rsid w:val="000D7980"/>
    <w:rsid w:val="000D7984"/>
    <w:rsid w:val="000D79A8"/>
    <w:rsid w:val="000D79CD"/>
    <w:rsid w:val="000D79DF"/>
    <w:rsid w:val="000D79F0"/>
    <w:rsid w:val="000D7A0B"/>
    <w:rsid w:val="000D7A0E"/>
    <w:rsid w:val="000D7A40"/>
    <w:rsid w:val="000D7A8F"/>
    <w:rsid w:val="000D7AD8"/>
    <w:rsid w:val="000D7AFF"/>
    <w:rsid w:val="000D7B86"/>
    <w:rsid w:val="000D7BA6"/>
    <w:rsid w:val="000D7C91"/>
    <w:rsid w:val="000D7CA1"/>
    <w:rsid w:val="000D7CAB"/>
    <w:rsid w:val="000D7CD7"/>
    <w:rsid w:val="000D7CFF"/>
    <w:rsid w:val="000D7D10"/>
    <w:rsid w:val="000D7D51"/>
    <w:rsid w:val="000D7D6C"/>
    <w:rsid w:val="000D7DA8"/>
    <w:rsid w:val="000D7DA9"/>
    <w:rsid w:val="000D7DCC"/>
    <w:rsid w:val="000D7DD8"/>
    <w:rsid w:val="000D7E15"/>
    <w:rsid w:val="000D7E1D"/>
    <w:rsid w:val="000D7E47"/>
    <w:rsid w:val="000D7E8E"/>
    <w:rsid w:val="000D7E9E"/>
    <w:rsid w:val="000D7EC1"/>
    <w:rsid w:val="000D7EC5"/>
    <w:rsid w:val="000D7EF7"/>
    <w:rsid w:val="000D7F03"/>
    <w:rsid w:val="000D7F21"/>
    <w:rsid w:val="000D7F89"/>
    <w:rsid w:val="000D7F9B"/>
    <w:rsid w:val="000E0011"/>
    <w:rsid w:val="000E009B"/>
    <w:rsid w:val="000E00C8"/>
    <w:rsid w:val="000E0102"/>
    <w:rsid w:val="000E0111"/>
    <w:rsid w:val="000E0155"/>
    <w:rsid w:val="000E015F"/>
    <w:rsid w:val="000E016D"/>
    <w:rsid w:val="000E0179"/>
    <w:rsid w:val="000E01C6"/>
    <w:rsid w:val="000E0277"/>
    <w:rsid w:val="000E0297"/>
    <w:rsid w:val="000E031C"/>
    <w:rsid w:val="000E0362"/>
    <w:rsid w:val="000E0363"/>
    <w:rsid w:val="000E0396"/>
    <w:rsid w:val="000E03AB"/>
    <w:rsid w:val="000E03C9"/>
    <w:rsid w:val="000E03E8"/>
    <w:rsid w:val="000E0418"/>
    <w:rsid w:val="000E0427"/>
    <w:rsid w:val="000E0447"/>
    <w:rsid w:val="000E048E"/>
    <w:rsid w:val="000E04BE"/>
    <w:rsid w:val="000E04DC"/>
    <w:rsid w:val="000E050E"/>
    <w:rsid w:val="000E0515"/>
    <w:rsid w:val="000E0526"/>
    <w:rsid w:val="000E058A"/>
    <w:rsid w:val="000E0670"/>
    <w:rsid w:val="000E06BF"/>
    <w:rsid w:val="000E0723"/>
    <w:rsid w:val="000E073C"/>
    <w:rsid w:val="000E07C2"/>
    <w:rsid w:val="000E0802"/>
    <w:rsid w:val="000E08B6"/>
    <w:rsid w:val="000E08D3"/>
    <w:rsid w:val="000E08D8"/>
    <w:rsid w:val="000E090D"/>
    <w:rsid w:val="000E0949"/>
    <w:rsid w:val="000E094E"/>
    <w:rsid w:val="000E095E"/>
    <w:rsid w:val="000E097B"/>
    <w:rsid w:val="000E097E"/>
    <w:rsid w:val="000E09E6"/>
    <w:rsid w:val="000E0A44"/>
    <w:rsid w:val="000E0A88"/>
    <w:rsid w:val="000E0B2A"/>
    <w:rsid w:val="000E0B54"/>
    <w:rsid w:val="000E0BC5"/>
    <w:rsid w:val="000E0C04"/>
    <w:rsid w:val="000E0C11"/>
    <w:rsid w:val="000E0C54"/>
    <w:rsid w:val="000E0C74"/>
    <w:rsid w:val="000E0C81"/>
    <w:rsid w:val="000E0C82"/>
    <w:rsid w:val="000E0C9C"/>
    <w:rsid w:val="000E0CBA"/>
    <w:rsid w:val="000E0CC1"/>
    <w:rsid w:val="000E0D29"/>
    <w:rsid w:val="000E0D32"/>
    <w:rsid w:val="000E0D37"/>
    <w:rsid w:val="000E0D5D"/>
    <w:rsid w:val="000E0D74"/>
    <w:rsid w:val="000E0D7F"/>
    <w:rsid w:val="000E0DD9"/>
    <w:rsid w:val="000E0E32"/>
    <w:rsid w:val="000E0E95"/>
    <w:rsid w:val="000E0EC0"/>
    <w:rsid w:val="000E0EE7"/>
    <w:rsid w:val="000E0F21"/>
    <w:rsid w:val="000E0F3C"/>
    <w:rsid w:val="000E0F5A"/>
    <w:rsid w:val="000E0F7A"/>
    <w:rsid w:val="000E0F8A"/>
    <w:rsid w:val="000E0F9B"/>
    <w:rsid w:val="000E0FA5"/>
    <w:rsid w:val="000E0FAF"/>
    <w:rsid w:val="000E0FDC"/>
    <w:rsid w:val="000E1012"/>
    <w:rsid w:val="000E1058"/>
    <w:rsid w:val="000E105C"/>
    <w:rsid w:val="000E105E"/>
    <w:rsid w:val="000E1076"/>
    <w:rsid w:val="000E1087"/>
    <w:rsid w:val="000E1094"/>
    <w:rsid w:val="000E10B7"/>
    <w:rsid w:val="000E10C1"/>
    <w:rsid w:val="000E1149"/>
    <w:rsid w:val="000E1175"/>
    <w:rsid w:val="000E117B"/>
    <w:rsid w:val="000E1184"/>
    <w:rsid w:val="000E1195"/>
    <w:rsid w:val="000E11F9"/>
    <w:rsid w:val="000E1229"/>
    <w:rsid w:val="000E1287"/>
    <w:rsid w:val="000E12D6"/>
    <w:rsid w:val="000E12E1"/>
    <w:rsid w:val="000E1313"/>
    <w:rsid w:val="000E1331"/>
    <w:rsid w:val="000E137A"/>
    <w:rsid w:val="000E13B0"/>
    <w:rsid w:val="000E13C0"/>
    <w:rsid w:val="000E1401"/>
    <w:rsid w:val="000E1413"/>
    <w:rsid w:val="000E143E"/>
    <w:rsid w:val="000E1454"/>
    <w:rsid w:val="000E14FB"/>
    <w:rsid w:val="000E154E"/>
    <w:rsid w:val="000E1594"/>
    <w:rsid w:val="000E1684"/>
    <w:rsid w:val="000E16FE"/>
    <w:rsid w:val="000E1725"/>
    <w:rsid w:val="000E1726"/>
    <w:rsid w:val="000E17CE"/>
    <w:rsid w:val="000E1809"/>
    <w:rsid w:val="000E180F"/>
    <w:rsid w:val="000E184E"/>
    <w:rsid w:val="000E1859"/>
    <w:rsid w:val="000E185B"/>
    <w:rsid w:val="000E1864"/>
    <w:rsid w:val="000E1873"/>
    <w:rsid w:val="000E18D9"/>
    <w:rsid w:val="000E18E6"/>
    <w:rsid w:val="000E1908"/>
    <w:rsid w:val="000E1912"/>
    <w:rsid w:val="000E1930"/>
    <w:rsid w:val="000E197A"/>
    <w:rsid w:val="000E19D1"/>
    <w:rsid w:val="000E19DF"/>
    <w:rsid w:val="000E1A0D"/>
    <w:rsid w:val="000E1A5B"/>
    <w:rsid w:val="000E1A60"/>
    <w:rsid w:val="000E1B59"/>
    <w:rsid w:val="000E1B5F"/>
    <w:rsid w:val="000E1B64"/>
    <w:rsid w:val="000E1BA3"/>
    <w:rsid w:val="000E1BCB"/>
    <w:rsid w:val="000E1C2C"/>
    <w:rsid w:val="000E1C81"/>
    <w:rsid w:val="000E1C82"/>
    <w:rsid w:val="000E1CFB"/>
    <w:rsid w:val="000E1D65"/>
    <w:rsid w:val="000E1D90"/>
    <w:rsid w:val="000E1DD7"/>
    <w:rsid w:val="000E1DEC"/>
    <w:rsid w:val="000E1EAF"/>
    <w:rsid w:val="000E1F1C"/>
    <w:rsid w:val="000E2009"/>
    <w:rsid w:val="000E2050"/>
    <w:rsid w:val="000E205E"/>
    <w:rsid w:val="000E2075"/>
    <w:rsid w:val="000E208A"/>
    <w:rsid w:val="000E2094"/>
    <w:rsid w:val="000E20B6"/>
    <w:rsid w:val="000E20BB"/>
    <w:rsid w:val="000E20DE"/>
    <w:rsid w:val="000E211E"/>
    <w:rsid w:val="000E2181"/>
    <w:rsid w:val="000E225B"/>
    <w:rsid w:val="000E231C"/>
    <w:rsid w:val="000E2345"/>
    <w:rsid w:val="000E2368"/>
    <w:rsid w:val="000E2388"/>
    <w:rsid w:val="000E23B4"/>
    <w:rsid w:val="000E23C7"/>
    <w:rsid w:val="000E2417"/>
    <w:rsid w:val="000E2488"/>
    <w:rsid w:val="000E24A1"/>
    <w:rsid w:val="000E24B8"/>
    <w:rsid w:val="000E250C"/>
    <w:rsid w:val="000E255E"/>
    <w:rsid w:val="000E25D4"/>
    <w:rsid w:val="000E2645"/>
    <w:rsid w:val="000E2683"/>
    <w:rsid w:val="000E26BC"/>
    <w:rsid w:val="000E26BD"/>
    <w:rsid w:val="000E274E"/>
    <w:rsid w:val="000E2779"/>
    <w:rsid w:val="000E277D"/>
    <w:rsid w:val="000E27D3"/>
    <w:rsid w:val="000E27F2"/>
    <w:rsid w:val="000E2816"/>
    <w:rsid w:val="000E282F"/>
    <w:rsid w:val="000E2881"/>
    <w:rsid w:val="000E28D6"/>
    <w:rsid w:val="000E2915"/>
    <w:rsid w:val="000E2944"/>
    <w:rsid w:val="000E2982"/>
    <w:rsid w:val="000E2A53"/>
    <w:rsid w:val="000E2A54"/>
    <w:rsid w:val="000E2AAB"/>
    <w:rsid w:val="000E2AC5"/>
    <w:rsid w:val="000E2AC8"/>
    <w:rsid w:val="000E2B08"/>
    <w:rsid w:val="000E2B9B"/>
    <w:rsid w:val="000E2BBF"/>
    <w:rsid w:val="000E2BF8"/>
    <w:rsid w:val="000E2C2B"/>
    <w:rsid w:val="000E2CA9"/>
    <w:rsid w:val="000E2CC0"/>
    <w:rsid w:val="000E2CD4"/>
    <w:rsid w:val="000E2CD7"/>
    <w:rsid w:val="000E2D30"/>
    <w:rsid w:val="000E2E08"/>
    <w:rsid w:val="000E2E17"/>
    <w:rsid w:val="000E2E53"/>
    <w:rsid w:val="000E2E64"/>
    <w:rsid w:val="000E2E7D"/>
    <w:rsid w:val="000E2EB3"/>
    <w:rsid w:val="000E2EC4"/>
    <w:rsid w:val="000E2EC7"/>
    <w:rsid w:val="000E2F51"/>
    <w:rsid w:val="000E2F88"/>
    <w:rsid w:val="000E30CC"/>
    <w:rsid w:val="000E30CD"/>
    <w:rsid w:val="000E3163"/>
    <w:rsid w:val="000E3199"/>
    <w:rsid w:val="000E319D"/>
    <w:rsid w:val="000E31F9"/>
    <w:rsid w:val="000E31FA"/>
    <w:rsid w:val="000E3248"/>
    <w:rsid w:val="000E331C"/>
    <w:rsid w:val="000E33CE"/>
    <w:rsid w:val="000E33D8"/>
    <w:rsid w:val="000E346E"/>
    <w:rsid w:val="000E35C0"/>
    <w:rsid w:val="000E35EE"/>
    <w:rsid w:val="000E3620"/>
    <w:rsid w:val="000E3695"/>
    <w:rsid w:val="000E369E"/>
    <w:rsid w:val="000E36C9"/>
    <w:rsid w:val="000E3718"/>
    <w:rsid w:val="000E3726"/>
    <w:rsid w:val="000E3753"/>
    <w:rsid w:val="000E3785"/>
    <w:rsid w:val="000E3790"/>
    <w:rsid w:val="000E37C4"/>
    <w:rsid w:val="000E3864"/>
    <w:rsid w:val="000E386D"/>
    <w:rsid w:val="000E389F"/>
    <w:rsid w:val="000E38F5"/>
    <w:rsid w:val="000E38F6"/>
    <w:rsid w:val="000E3929"/>
    <w:rsid w:val="000E392B"/>
    <w:rsid w:val="000E3963"/>
    <w:rsid w:val="000E3967"/>
    <w:rsid w:val="000E396E"/>
    <w:rsid w:val="000E39D0"/>
    <w:rsid w:val="000E39E1"/>
    <w:rsid w:val="000E3A42"/>
    <w:rsid w:val="000E3A47"/>
    <w:rsid w:val="000E3A8E"/>
    <w:rsid w:val="000E3A8F"/>
    <w:rsid w:val="000E3B09"/>
    <w:rsid w:val="000E3BBB"/>
    <w:rsid w:val="000E3C67"/>
    <w:rsid w:val="000E3CAF"/>
    <w:rsid w:val="000E3CB9"/>
    <w:rsid w:val="000E3D42"/>
    <w:rsid w:val="000E3D43"/>
    <w:rsid w:val="000E3D52"/>
    <w:rsid w:val="000E3D68"/>
    <w:rsid w:val="000E3D71"/>
    <w:rsid w:val="000E3E27"/>
    <w:rsid w:val="000E3E3D"/>
    <w:rsid w:val="000E3E61"/>
    <w:rsid w:val="000E3E9A"/>
    <w:rsid w:val="000E3ED9"/>
    <w:rsid w:val="000E3EDB"/>
    <w:rsid w:val="000E3EEB"/>
    <w:rsid w:val="000E3F35"/>
    <w:rsid w:val="000E3FAB"/>
    <w:rsid w:val="000E3FC3"/>
    <w:rsid w:val="000E3FDE"/>
    <w:rsid w:val="000E3FE1"/>
    <w:rsid w:val="000E3FFB"/>
    <w:rsid w:val="000E4024"/>
    <w:rsid w:val="000E404A"/>
    <w:rsid w:val="000E4064"/>
    <w:rsid w:val="000E407E"/>
    <w:rsid w:val="000E40D8"/>
    <w:rsid w:val="000E414B"/>
    <w:rsid w:val="000E4161"/>
    <w:rsid w:val="000E418B"/>
    <w:rsid w:val="000E41A2"/>
    <w:rsid w:val="000E41B2"/>
    <w:rsid w:val="000E41B4"/>
    <w:rsid w:val="000E41EE"/>
    <w:rsid w:val="000E4223"/>
    <w:rsid w:val="000E424E"/>
    <w:rsid w:val="000E4296"/>
    <w:rsid w:val="000E4331"/>
    <w:rsid w:val="000E4365"/>
    <w:rsid w:val="000E4368"/>
    <w:rsid w:val="000E436D"/>
    <w:rsid w:val="000E43C9"/>
    <w:rsid w:val="000E43DA"/>
    <w:rsid w:val="000E4459"/>
    <w:rsid w:val="000E44AD"/>
    <w:rsid w:val="000E450C"/>
    <w:rsid w:val="000E4589"/>
    <w:rsid w:val="000E45B6"/>
    <w:rsid w:val="000E45D7"/>
    <w:rsid w:val="000E461E"/>
    <w:rsid w:val="000E4620"/>
    <w:rsid w:val="000E4675"/>
    <w:rsid w:val="000E4682"/>
    <w:rsid w:val="000E46A0"/>
    <w:rsid w:val="000E46AD"/>
    <w:rsid w:val="000E46D9"/>
    <w:rsid w:val="000E46F8"/>
    <w:rsid w:val="000E4769"/>
    <w:rsid w:val="000E4772"/>
    <w:rsid w:val="000E4776"/>
    <w:rsid w:val="000E477E"/>
    <w:rsid w:val="000E47F1"/>
    <w:rsid w:val="000E482D"/>
    <w:rsid w:val="000E4844"/>
    <w:rsid w:val="000E485A"/>
    <w:rsid w:val="000E48B4"/>
    <w:rsid w:val="000E48C8"/>
    <w:rsid w:val="000E492E"/>
    <w:rsid w:val="000E4944"/>
    <w:rsid w:val="000E496E"/>
    <w:rsid w:val="000E49A9"/>
    <w:rsid w:val="000E49D3"/>
    <w:rsid w:val="000E4A2D"/>
    <w:rsid w:val="000E4A5D"/>
    <w:rsid w:val="000E4A9B"/>
    <w:rsid w:val="000E4AFA"/>
    <w:rsid w:val="000E4B4D"/>
    <w:rsid w:val="000E4BBB"/>
    <w:rsid w:val="000E4BF7"/>
    <w:rsid w:val="000E4C32"/>
    <w:rsid w:val="000E4C35"/>
    <w:rsid w:val="000E4C37"/>
    <w:rsid w:val="000E4C56"/>
    <w:rsid w:val="000E4C58"/>
    <w:rsid w:val="000E4C99"/>
    <w:rsid w:val="000E4CCA"/>
    <w:rsid w:val="000E4CD3"/>
    <w:rsid w:val="000E4D0C"/>
    <w:rsid w:val="000E4DB8"/>
    <w:rsid w:val="000E4DBA"/>
    <w:rsid w:val="000E4E12"/>
    <w:rsid w:val="000E4E1D"/>
    <w:rsid w:val="000E4E3D"/>
    <w:rsid w:val="000E4EBE"/>
    <w:rsid w:val="000E4EC4"/>
    <w:rsid w:val="000E4ED4"/>
    <w:rsid w:val="000E4F15"/>
    <w:rsid w:val="000E4F22"/>
    <w:rsid w:val="000E4F24"/>
    <w:rsid w:val="000E4F3B"/>
    <w:rsid w:val="000E4F40"/>
    <w:rsid w:val="000E4F41"/>
    <w:rsid w:val="000E4F4C"/>
    <w:rsid w:val="000E4F4D"/>
    <w:rsid w:val="000E4F73"/>
    <w:rsid w:val="000E4F79"/>
    <w:rsid w:val="000E4FA9"/>
    <w:rsid w:val="000E4FB9"/>
    <w:rsid w:val="000E504F"/>
    <w:rsid w:val="000E509B"/>
    <w:rsid w:val="000E50AC"/>
    <w:rsid w:val="000E50B1"/>
    <w:rsid w:val="000E50D9"/>
    <w:rsid w:val="000E510D"/>
    <w:rsid w:val="000E5111"/>
    <w:rsid w:val="000E513E"/>
    <w:rsid w:val="000E5169"/>
    <w:rsid w:val="000E518E"/>
    <w:rsid w:val="000E5194"/>
    <w:rsid w:val="000E51A8"/>
    <w:rsid w:val="000E51DC"/>
    <w:rsid w:val="000E5241"/>
    <w:rsid w:val="000E52C3"/>
    <w:rsid w:val="000E5301"/>
    <w:rsid w:val="000E5309"/>
    <w:rsid w:val="000E533B"/>
    <w:rsid w:val="000E5343"/>
    <w:rsid w:val="000E538C"/>
    <w:rsid w:val="000E53AE"/>
    <w:rsid w:val="000E53C9"/>
    <w:rsid w:val="000E5469"/>
    <w:rsid w:val="000E54C2"/>
    <w:rsid w:val="000E54D6"/>
    <w:rsid w:val="000E54EF"/>
    <w:rsid w:val="000E551C"/>
    <w:rsid w:val="000E552A"/>
    <w:rsid w:val="000E5595"/>
    <w:rsid w:val="000E55E5"/>
    <w:rsid w:val="000E55F4"/>
    <w:rsid w:val="000E5605"/>
    <w:rsid w:val="000E561A"/>
    <w:rsid w:val="000E5633"/>
    <w:rsid w:val="000E5638"/>
    <w:rsid w:val="000E564E"/>
    <w:rsid w:val="000E5665"/>
    <w:rsid w:val="000E568F"/>
    <w:rsid w:val="000E56A3"/>
    <w:rsid w:val="000E56D4"/>
    <w:rsid w:val="000E5737"/>
    <w:rsid w:val="000E5773"/>
    <w:rsid w:val="000E5787"/>
    <w:rsid w:val="000E57CD"/>
    <w:rsid w:val="000E5838"/>
    <w:rsid w:val="000E583A"/>
    <w:rsid w:val="000E5847"/>
    <w:rsid w:val="000E5876"/>
    <w:rsid w:val="000E5893"/>
    <w:rsid w:val="000E590E"/>
    <w:rsid w:val="000E59AE"/>
    <w:rsid w:val="000E59CF"/>
    <w:rsid w:val="000E5A42"/>
    <w:rsid w:val="000E5A6D"/>
    <w:rsid w:val="000E5A76"/>
    <w:rsid w:val="000E5AA7"/>
    <w:rsid w:val="000E5AB3"/>
    <w:rsid w:val="000E5ACD"/>
    <w:rsid w:val="000E5ADC"/>
    <w:rsid w:val="000E5B0E"/>
    <w:rsid w:val="000E5B6B"/>
    <w:rsid w:val="000E5B7B"/>
    <w:rsid w:val="000E5B90"/>
    <w:rsid w:val="000E5B97"/>
    <w:rsid w:val="000E5BBD"/>
    <w:rsid w:val="000E5BCE"/>
    <w:rsid w:val="000E5BD3"/>
    <w:rsid w:val="000E5BE5"/>
    <w:rsid w:val="000E5BF2"/>
    <w:rsid w:val="000E5C2E"/>
    <w:rsid w:val="000E5C76"/>
    <w:rsid w:val="000E5C80"/>
    <w:rsid w:val="000E5D3D"/>
    <w:rsid w:val="000E5D49"/>
    <w:rsid w:val="000E5D95"/>
    <w:rsid w:val="000E5DA0"/>
    <w:rsid w:val="000E5DC9"/>
    <w:rsid w:val="000E5E08"/>
    <w:rsid w:val="000E5E21"/>
    <w:rsid w:val="000E5E2F"/>
    <w:rsid w:val="000E5E41"/>
    <w:rsid w:val="000E5EC0"/>
    <w:rsid w:val="000E5EF9"/>
    <w:rsid w:val="000E5F0C"/>
    <w:rsid w:val="000E5F3C"/>
    <w:rsid w:val="000E5F40"/>
    <w:rsid w:val="000E5F7D"/>
    <w:rsid w:val="000E5FA7"/>
    <w:rsid w:val="000E5FC5"/>
    <w:rsid w:val="000E5FD7"/>
    <w:rsid w:val="000E6075"/>
    <w:rsid w:val="000E60CE"/>
    <w:rsid w:val="000E6110"/>
    <w:rsid w:val="000E612A"/>
    <w:rsid w:val="000E614C"/>
    <w:rsid w:val="000E61C9"/>
    <w:rsid w:val="000E628A"/>
    <w:rsid w:val="000E6293"/>
    <w:rsid w:val="000E62A8"/>
    <w:rsid w:val="000E636E"/>
    <w:rsid w:val="000E63C5"/>
    <w:rsid w:val="000E63D9"/>
    <w:rsid w:val="000E6503"/>
    <w:rsid w:val="000E650F"/>
    <w:rsid w:val="000E6524"/>
    <w:rsid w:val="000E6538"/>
    <w:rsid w:val="000E656E"/>
    <w:rsid w:val="000E65BD"/>
    <w:rsid w:val="000E65DE"/>
    <w:rsid w:val="000E65F1"/>
    <w:rsid w:val="000E664F"/>
    <w:rsid w:val="000E6730"/>
    <w:rsid w:val="000E6756"/>
    <w:rsid w:val="000E6775"/>
    <w:rsid w:val="000E677D"/>
    <w:rsid w:val="000E6784"/>
    <w:rsid w:val="000E67C3"/>
    <w:rsid w:val="000E6815"/>
    <w:rsid w:val="000E6818"/>
    <w:rsid w:val="000E6824"/>
    <w:rsid w:val="000E6849"/>
    <w:rsid w:val="000E6873"/>
    <w:rsid w:val="000E687A"/>
    <w:rsid w:val="000E6887"/>
    <w:rsid w:val="000E68C1"/>
    <w:rsid w:val="000E692E"/>
    <w:rsid w:val="000E6948"/>
    <w:rsid w:val="000E6950"/>
    <w:rsid w:val="000E6968"/>
    <w:rsid w:val="000E696F"/>
    <w:rsid w:val="000E69A4"/>
    <w:rsid w:val="000E69B7"/>
    <w:rsid w:val="000E69E9"/>
    <w:rsid w:val="000E6A40"/>
    <w:rsid w:val="000E6A68"/>
    <w:rsid w:val="000E6A74"/>
    <w:rsid w:val="000E6A78"/>
    <w:rsid w:val="000E6A7C"/>
    <w:rsid w:val="000E6A80"/>
    <w:rsid w:val="000E6AB1"/>
    <w:rsid w:val="000E6AB6"/>
    <w:rsid w:val="000E6B6A"/>
    <w:rsid w:val="000E6B90"/>
    <w:rsid w:val="000E6BDC"/>
    <w:rsid w:val="000E6C30"/>
    <w:rsid w:val="000E6C5F"/>
    <w:rsid w:val="000E6C6C"/>
    <w:rsid w:val="000E6C76"/>
    <w:rsid w:val="000E6C87"/>
    <w:rsid w:val="000E6C98"/>
    <w:rsid w:val="000E6CDA"/>
    <w:rsid w:val="000E6D79"/>
    <w:rsid w:val="000E6D80"/>
    <w:rsid w:val="000E6D8C"/>
    <w:rsid w:val="000E6DB8"/>
    <w:rsid w:val="000E6DDA"/>
    <w:rsid w:val="000E6DF4"/>
    <w:rsid w:val="000E6E08"/>
    <w:rsid w:val="000E6E0A"/>
    <w:rsid w:val="000E6E18"/>
    <w:rsid w:val="000E6E9B"/>
    <w:rsid w:val="000E6EAD"/>
    <w:rsid w:val="000E6EAF"/>
    <w:rsid w:val="000E6F34"/>
    <w:rsid w:val="000E6F7A"/>
    <w:rsid w:val="000E6F8E"/>
    <w:rsid w:val="000E6FE3"/>
    <w:rsid w:val="000E7031"/>
    <w:rsid w:val="000E705D"/>
    <w:rsid w:val="000E707F"/>
    <w:rsid w:val="000E70D8"/>
    <w:rsid w:val="000E7130"/>
    <w:rsid w:val="000E7148"/>
    <w:rsid w:val="000E715E"/>
    <w:rsid w:val="000E7173"/>
    <w:rsid w:val="000E717E"/>
    <w:rsid w:val="000E719F"/>
    <w:rsid w:val="000E71A0"/>
    <w:rsid w:val="000E72AB"/>
    <w:rsid w:val="000E72D7"/>
    <w:rsid w:val="000E72E1"/>
    <w:rsid w:val="000E733F"/>
    <w:rsid w:val="000E7341"/>
    <w:rsid w:val="000E7393"/>
    <w:rsid w:val="000E73E6"/>
    <w:rsid w:val="000E73F0"/>
    <w:rsid w:val="000E73FC"/>
    <w:rsid w:val="000E740D"/>
    <w:rsid w:val="000E7495"/>
    <w:rsid w:val="000E7510"/>
    <w:rsid w:val="000E7551"/>
    <w:rsid w:val="000E75A9"/>
    <w:rsid w:val="000E7665"/>
    <w:rsid w:val="000E7686"/>
    <w:rsid w:val="000E7690"/>
    <w:rsid w:val="000E76A0"/>
    <w:rsid w:val="000E76AE"/>
    <w:rsid w:val="000E770B"/>
    <w:rsid w:val="000E774B"/>
    <w:rsid w:val="000E7794"/>
    <w:rsid w:val="000E7799"/>
    <w:rsid w:val="000E77D9"/>
    <w:rsid w:val="000E77FF"/>
    <w:rsid w:val="000E782C"/>
    <w:rsid w:val="000E784F"/>
    <w:rsid w:val="000E78AD"/>
    <w:rsid w:val="000E78F0"/>
    <w:rsid w:val="000E7908"/>
    <w:rsid w:val="000E7952"/>
    <w:rsid w:val="000E7984"/>
    <w:rsid w:val="000E79A9"/>
    <w:rsid w:val="000E7A57"/>
    <w:rsid w:val="000E7A85"/>
    <w:rsid w:val="000E7AC2"/>
    <w:rsid w:val="000E7AF2"/>
    <w:rsid w:val="000E7B7E"/>
    <w:rsid w:val="000E7BB1"/>
    <w:rsid w:val="000E7C0B"/>
    <w:rsid w:val="000E7C0C"/>
    <w:rsid w:val="000E7C6A"/>
    <w:rsid w:val="000E7C71"/>
    <w:rsid w:val="000E7C84"/>
    <w:rsid w:val="000E7C89"/>
    <w:rsid w:val="000E7C99"/>
    <w:rsid w:val="000E7CCE"/>
    <w:rsid w:val="000E7CD7"/>
    <w:rsid w:val="000E7CED"/>
    <w:rsid w:val="000E7D4C"/>
    <w:rsid w:val="000E7D5E"/>
    <w:rsid w:val="000E7DA3"/>
    <w:rsid w:val="000E7E1E"/>
    <w:rsid w:val="000E7E43"/>
    <w:rsid w:val="000E7E5C"/>
    <w:rsid w:val="000E7EEB"/>
    <w:rsid w:val="000E7F15"/>
    <w:rsid w:val="000E7F17"/>
    <w:rsid w:val="000E7F4A"/>
    <w:rsid w:val="000E7F65"/>
    <w:rsid w:val="000E7F80"/>
    <w:rsid w:val="000F0008"/>
    <w:rsid w:val="000F0027"/>
    <w:rsid w:val="000F002C"/>
    <w:rsid w:val="000F0042"/>
    <w:rsid w:val="000F005C"/>
    <w:rsid w:val="000F0062"/>
    <w:rsid w:val="000F0068"/>
    <w:rsid w:val="000F0081"/>
    <w:rsid w:val="000F0094"/>
    <w:rsid w:val="000F009F"/>
    <w:rsid w:val="000F00A1"/>
    <w:rsid w:val="000F00B6"/>
    <w:rsid w:val="000F00E4"/>
    <w:rsid w:val="000F00E8"/>
    <w:rsid w:val="000F0101"/>
    <w:rsid w:val="000F0141"/>
    <w:rsid w:val="000F0194"/>
    <w:rsid w:val="000F01AB"/>
    <w:rsid w:val="000F01C5"/>
    <w:rsid w:val="000F01C6"/>
    <w:rsid w:val="000F01DA"/>
    <w:rsid w:val="000F01E8"/>
    <w:rsid w:val="000F0238"/>
    <w:rsid w:val="000F0293"/>
    <w:rsid w:val="000F02CF"/>
    <w:rsid w:val="000F02FC"/>
    <w:rsid w:val="000F035A"/>
    <w:rsid w:val="000F0377"/>
    <w:rsid w:val="000F0378"/>
    <w:rsid w:val="000F0396"/>
    <w:rsid w:val="000F03E1"/>
    <w:rsid w:val="000F03E2"/>
    <w:rsid w:val="000F03F8"/>
    <w:rsid w:val="000F0420"/>
    <w:rsid w:val="000F0434"/>
    <w:rsid w:val="000F04BB"/>
    <w:rsid w:val="000F0527"/>
    <w:rsid w:val="000F053F"/>
    <w:rsid w:val="000F05AE"/>
    <w:rsid w:val="000F05ED"/>
    <w:rsid w:val="000F061A"/>
    <w:rsid w:val="000F0634"/>
    <w:rsid w:val="000F063D"/>
    <w:rsid w:val="000F064E"/>
    <w:rsid w:val="000F068F"/>
    <w:rsid w:val="000F06A3"/>
    <w:rsid w:val="000F06C0"/>
    <w:rsid w:val="000F06D2"/>
    <w:rsid w:val="000F06ED"/>
    <w:rsid w:val="000F07A2"/>
    <w:rsid w:val="000F07AD"/>
    <w:rsid w:val="000F07D4"/>
    <w:rsid w:val="000F0812"/>
    <w:rsid w:val="000F08A8"/>
    <w:rsid w:val="000F08AE"/>
    <w:rsid w:val="000F0910"/>
    <w:rsid w:val="000F0920"/>
    <w:rsid w:val="000F0957"/>
    <w:rsid w:val="000F0971"/>
    <w:rsid w:val="000F0983"/>
    <w:rsid w:val="000F0994"/>
    <w:rsid w:val="000F0A27"/>
    <w:rsid w:val="000F0A69"/>
    <w:rsid w:val="000F0A88"/>
    <w:rsid w:val="000F0AFC"/>
    <w:rsid w:val="000F0B1C"/>
    <w:rsid w:val="000F0B49"/>
    <w:rsid w:val="000F0B56"/>
    <w:rsid w:val="000F0B6A"/>
    <w:rsid w:val="000F0BC3"/>
    <w:rsid w:val="000F0BCF"/>
    <w:rsid w:val="000F0C2C"/>
    <w:rsid w:val="000F0C37"/>
    <w:rsid w:val="000F0C7D"/>
    <w:rsid w:val="000F0CD9"/>
    <w:rsid w:val="000F0CFB"/>
    <w:rsid w:val="000F0D1C"/>
    <w:rsid w:val="000F0D48"/>
    <w:rsid w:val="000F0D6B"/>
    <w:rsid w:val="000F0DE8"/>
    <w:rsid w:val="000F0E19"/>
    <w:rsid w:val="000F0E27"/>
    <w:rsid w:val="000F0E29"/>
    <w:rsid w:val="000F0E85"/>
    <w:rsid w:val="000F0E8C"/>
    <w:rsid w:val="000F0EBC"/>
    <w:rsid w:val="000F0F35"/>
    <w:rsid w:val="000F0F3F"/>
    <w:rsid w:val="000F0F59"/>
    <w:rsid w:val="000F0F93"/>
    <w:rsid w:val="000F0FAB"/>
    <w:rsid w:val="000F0FCA"/>
    <w:rsid w:val="000F0FE5"/>
    <w:rsid w:val="000F0FEF"/>
    <w:rsid w:val="000F1023"/>
    <w:rsid w:val="000F1155"/>
    <w:rsid w:val="000F119E"/>
    <w:rsid w:val="000F11A8"/>
    <w:rsid w:val="000F1210"/>
    <w:rsid w:val="000F1220"/>
    <w:rsid w:val="000F122B"/>
    <w:rsid w:val="000F123D"/>
    <w:rsid w:val="000F1251"/>
    <w:rsid w:val="000F1252"/>
    <w:rsid w:val="000F12B5"/>
    <w:rsid w:val="000F12D5"/>
    <w:rsid w:val="000F12ED"/>
    <w:rsid w:val="000F12FE"/>
    <w:rsid w:val="000F1301"/>
    <w:rsid w:val="000F130A"/>
    <w:rsid w:val="000F1314"/>
    <w:rsid w:val="000F13BD"/>
    <w:rsid w:val="000F142D"/>
    <w:rsid w:val="000F147D"/>
    <w:rsid w:val="000F148D"/>
    <w:rsid w:val="000F149B"/>
    <w:rsid w:val="000F1567"/>
    <w:rsid w:val="000F1584"/>
    <w:rsid w:val="000F1589"/>
    <w:rsid w:val="000F15FE"/>
    <w:rsid w:val="000F160B"/>
    <w:rsid w:val="000F16A1"/>
    <w:rsid w:val="000F16A8"/>
    <w:rsid w:val="000F16C2"/>
    <w:rsid w:val="000F16E4"/>
    <w:rsid w:val="000F16EB"/>
    <w:rsid w:val="000F16FB"/>
    <w:rsid w:val="000F171A"/>
    <w:rsid w:val="000F1740"/>
    <w:rsid w:val="000F1757"/>
    <w:rsid w:val="000F1760"/>
    <w:rsid w:val="000F1783"/>
    <w:rsid w:val="000F17C9"/>
    <w:rsid w:val="000F17F0"/>
    <w:rsid w:val="000F185C"/>
    <w:rsid w:val="000F186D"/>
    <w:rsid w:val="000F1872"/>
    <w:rsid w:val="000F18A9"/>
    <w:rsid w:val="000F18AB"/>
    <w:rsid w:val="000F18B2"/>
    <w:rsid w:val="000F1919"/>
    <w:rsid w:val="000F198C"/>
    <w:rsid w:val="000F19C8"/>
    <w:rsid w:val="000F1A04"/>
    <w:rsid w:val="000F1A9B"/>
    <w:rsid w:val="000F1AD5"/>
    <w:rsid w:val="000F1B1E"/>
    <w:rsid w:val="000F1C07"/>
    <w:rsid w:val="000F1C4E"/>
    <w:rsid w:val="000F1D7D"/>
    <w:rsid w:val="000F1D7E"/>
    <w:rsid w:val="000F1DF5"/>
    <w:rsid w:val="000F1E02"/>
    <w:rsid w:val="000F1E28"/>
    <w:rsid w:val="000F1E71"/>
    <w:rsid w:val="000F1E84"/>
    <w:rsid w:val="000F1EE4"/>
    <w:rsid w:val="000F1F48"/>
    <w:rsid w:val="000F200E"/>
    <w:rsid w:val="000F2011"/>
    <w:rsid w:val="000F2066"/>
    <w:rsid w:val="000F2070"/>
    <w:rsid w:val="000F20E6"/>
    <w:rsid w:val="000F214F"/>
    <w:rsid w:val="000F2154"/>
    <w:rsid w:val="000F21BF"/>
    <w:rsid w:val="000F2204"/>
    <w:rsid w:val="000F2300"/>
    <w:rsid w:val="000F2324"/>
    <w:rsid w:val="000F2364"/>
    <w:rsid w:val="000F2366"/>
    <w:rsid w:val="000F23D9"/>
    <w:rsid w:val="000F23E1"/>
    <w:rsid w:val="000F23E3"/>
    <w:rsid w:val="000F240D"/>
    <w:rsid w:val="000F241D"/>
    <w:rsid w:val="000F2466"/>
    <w:rsid w:val="000F24A3"/>
    <w:rsid w:val="000F24A4"/>
    <w:rsid w:val="000F24FA"/>
    <w:rsid w:val="000F2517"/>
    <w:rsid w:val="000F2589"/>
    <w:rsid w:val="000F25DF"/>
    <w:rsid w:val="000F25EA"/>
    <w:rsid w:val="000F25EB"/>
    <w:rsid w:val="000F2612"/>
    <w:rsid w:val="000F26A3"/>
    <w:rsid w:val="000F27D0"/>
    <w:rsid w:val="000F27DA"/>
    <w:rsid w:val="000F287F"/>
    <w:rsid w:val="000F2885"/>
    <w:rsid w:val="000F2896"/>
    <w:rsid w:val="000F28F3"/>
    <w:rsid w:val="000F2920"/>
    <w:rsid w:val="000F2968"/>
    <w:rsid w:val="000F2986"/>
    <w:rsid w:val="000F2994"/>
    <w:rsid w:val="000F29C3"/>
    <w:rsid w:val="000F29F6"/>
    <w:rsid w:val="000F2A27"/>
    <w:rsid w:val="000F2A60"/>
    <w:rsid w:val="000F2AA8"/>
    <w:rsid w:val="000F2B30"/>
    <w:rsid w:val="000F2B66"/>
    <w:rsid w:val="000F2B9E"/>
    <w:rsid w:val="000F2BA1"/>
    <w:rsid w:val="000F2C6A"/>
    <w:rsid w:val="000F2C95"/>
    <w:rsid w:val="000F2CA2"/>
    <w:rsid w:val="000F2CC3"/>
    <w:rsid w:val="000F2CD5"/>
    <w:rsid w:val="000F2D03"/>
    <w:rsid w:val="000F2D2B"/>
    <w:rsid w:val="000F2D61"/>
    <w:rsid w:val="000F2D76"/>
    <w:rsid w:val="000F2DA0"/>
    <w:rsid w:val="000F2DD5"/>
    <w:rsid w:val="000F2E04"/>
    <w:rsid w:val="000F2E4C"/>
    <w:rsid w:val="000F2E6B"/>
    <w:rsid w:val="000F2E81"/>
    <w:rsid w:val="000F2F64"/>
    <w:rsid w:val="000F2FEB"/>
    <w:rsid w:val="000F3069"/>
    <w:rsid w:val="000F3072"/>
    <w:rsid w:val="000F313C"/>
    <w:rsid w:val="000F315A"/>
    <w:rsid w:val="000F3167"/>
    <w:rsid w:val="000F3182"/>
    <w:rsid w:val="000F31C9"/>
    <w:rsid w:val="000F31DC"/>
    <w:rsid w:val="000F320F"/>
    <w:rsid w:val="000F3227"/>
    <w:rsid w:val="000F3250"/>
    <w:rsid w:val="000F3265"/>
    <w:rsid w:val="000F326E"/>
    <w:rsid w:val="000F327D"/>
    <w:rsid w:val="000F32AE"/>
    <w:rsid w:val="000F32B6"/>
    <w:rsid w:val="000F3323"/>
    <w:rsid w:val="000F3351"/>
    <w:rsid w:val="000F3369"/>
    <w:rsid w:val="000F3381"/>
    <w:rsid w:val="000F3392"/>
    <w:rsid w:val="000F33D0"/>
    <w:rsid w:val="000F3410"/>
    <w:rsid w:val="000F3419"/>
    <w:rsid w:val="000F3426"/>
    <w:rsid w:val="000F342C"/>
    <w:rsid w:val="000F344F"/>
    <w:rsid w:val="000F3472"/>
    <w:rsid w:val="000F34DF"/>
    <w:rsid w:val="000F350F"/>
    <w:rsid w:val="000F3622"/>
    <w:rsid w:val="000F364D"/>
    <w:rsid w:val="000F3659"/>
    <w:rsid w:val="000F36FC"/>
    <w:rsid w:val="000F36FF"/>
    <w:rsid w:val="000F3700"/>
    <w:rsid w:val="000F3736"/>
    <w:rsid w:val="000F3816"/>
    <w:rsid w:val="000F3821"/>
    <w:rsid w:val="000F3829"/>
    <w:rsid w:val="000F3893"/>
    <w:rsid w:val="000F3907"/>
    <w:rsid w:val="000F3913"/>
    <w:rsid w:val="000F3991"/>
    <w:rsid w:val="000F3995"/>
    <w:rsid w:val="000F39E8"/>
    <w:rsid w:val="000F3A07"/>
    <w:rsid w:val="000F3A0B"/>
    <w:rsid w:val="000F3A3F"/>
    <w:rsid w:val="000F3A6B"/>
    <w:rsid w:val="000F3ACC"/>
    <w:rsid w:val="000F3ADD"/>
    <w:rsid w:val="000F3B0B"/>
    <w:rsid w:val="000F3B15"/>
    <w:rsid w:val="000F3B68"/>
    <w:rsid w:val="000F3BCA"/>
    <w:rsid w:val="000F3BCE"/>
    <w:rsid w:val="000F3C07"/>
    <w:rsid w:val="000F3C4B"/>
    <w:rsid w:val="000F3CA5"/>
    <w:rsid w:val="000F3CB4"/>
    <w:rsid w:val="000F3CDC"/>
    <w:rsid w:val="000F3D32"/>
    <w:rsid w:val="000F3D63"/>
    <w:rsid w:val="000F3D9E"/>
    <w:rsid w:val="000F3DA7"/>
    <w:rsid w:val="000F3DD2"/>
    <w:rsid w:val="000F3DF9"/>
    <w:rsid w:val="000F3E02"/>
    <w:rsid w:val="000F3E16"/>
    <w:rsid w:val="000F3E83"/>
    <w:rsid w:val="000F3EA0"/>
    <w:rsid w:val="000F3EA2"/>
    <w:rsid w:val="000F3EC0"/>
    <w:rsid w:val="000F3F22"/>
    <w:rsid w:val="000F3F49"/>
    <w:rsid w:val="000F3FD8"/>
    <w:rsid w:val="000F3FE3"/>
    <w:rsid w:val="000F3FEA"/>
    <w:rsid w:val="000F3FF1"/>
    <w:rsid w:val="000F4017"/>
    <w:rsid w:val="000F40D3"/>
    <w:rsid w:val="000F4104"/>
    <w:rsid w:val="000F413C"/>
    <w:rsid w:val="000F4143"/>
    <w:rsid w:val="000F415B"/>
    <w:rsid w:val="000F415F"/>
    <w:rsid w:val="000F42C7"/>
    <w:rsid w:val="000F42FD"/>
    <w:rsid w:val="000F430C"/>
    <w:rsid w:val="000F4317"/>
    <w:rsid w:val="000F431D"/>
    <w:rsid w:val="000F4380"/>
    <w:rsid w:val="000F4386"/>
    <w:rsid w:val="000F43DB"/>
    <w:rsid w:val="000F43E6"/>
    <w:rsid w:val="000F4401"/>
    <w:rsid w:val="000F4431"/>
    <w:rsid w:val="000F44C8"/>
    <w:rsid w:val="000F453B"/>
    <w:rsid w:val="000F457B"/>
    <w:rsid w:val="000F4594"/>
    <w:rsid w:val="000F45FA"/>
    <w:rsid w:val="000F4619"/>
    <w:rsid w:val="000F466C"/>
    <w:rsid w:val="000F4725"/>
    <w:rsid w:val="000F472E"/>
    <w:rsid w:val="000F473A"/>
    <w:rsid w:val="000F47D6"/>
    <w:rsid w:val="000F4809"/>
    <w:rsid w:val="000F4843"/>
    <w:rsid w:val="000F4848"/>
    <w:rsid w:val="000F4849"/>
    <w:rsid w:val="000F48B8"/>
    <w:rsid w:val="000F48BE"/>
    <w:rsid w:val="000F48EA"/>
    <w:rsid w:val="000F48EF"/>
    <w:rsid w:val="000F4910"/>
    <w:rsid w:val="000F4959"/>
    <w:rsid w:val="000F4973"/>
    <w:rsid w:val="000F4978"/>
    <w:rsid w:val="000F49DC"/>
    <w:rsid w:val="000F49FA"/>
    <w:rsid w:val="000F4A3F"/>
    <w:rsid w:val="000F4A81"/>
    <w:rsid w:val="000F4AD7"/>
    <w:rsid w:val="000F4B0D"/>
    <w:rsid w:val="000F4B79"/>
    <w:rsid w:val="000F4B85"/>
    <w:rsid w:val="000F4BBD"/>
    <w:rsid w:val="000F4BCD"/>
    <w:rsid w:val="000F4BDB"/>
    <w:rsid w:val="000F4C17"/>
    <w:rsid w:val="000F4C2E"/>
    <w:rsid w:val="000F4CC1"/>
    <w:rsid w:val="000F4CE2"/>
    <w:rsid w:val="000F4CF1"/>
    <w:rsid w:val="000F4D1F"/>
    <w:rsid w:val="000F4D29"/>
    <w:rsid w:val="000F4DBA"/>
    <w:rsid w:val="000F4DEE"/>
    <w:rsid w:val="000F4E4B"/>
    <w:rsid w:val="000F4E76"/>
    <w:rsid w:val="000F4E80"/>
    <w:rsid w:val="000F4EA5"/>
    <w:rsid w:val="000F4EB8"/>
    <w:rsid w:val="000F4EE3"/>
    <w:rsid w:val="000F4EEA"/>
    <w:rsid w:val="000F4EF7"/>
    <w:rsid w:val="000F4F3D"/>
    <w:rsid w:val="000F4F4E"/>
    <w:rsid w:val="000F4F7A"/>
    <w:rsid w:val="000F4FDA"/>
    <w:rsid w:val="000F4FE3"/>
    <w:rsid w:val="000F4FE6"/>
    <w:rsid w:val="000F502E"/>
    <w:rsid w:val="000F505C"/>
    <w:rsid w:val="000F5064"/>
    <w:rsid w:val="000F509B"/>
    <w:rsid w:val="000F5140"/>
    <w:rsid w:val="000F515C"/>
    <w:rsid w:val="000F51A3"/>
    <w:rsid w:val="000F51A4"/>
    <w:rsid w:val="000F51BC"/>
    <w:rsid w:val="000F5244"/>
    <w:rsid w:val="000F5257"/>
    <w:rsid w:val="000F525E"/>
    <w:rsid w:val="000F5261"/>
    <w:rsid w:val="000F526F"/>
    <w:rsid w:val="000F5270"/>
    <w:rsid w:val="000F52C3"/>
    <w:rsid w:val="000F52CE"/>
    <w:rsid w:val="000F52D4"/>
    <w:rsid w:val="000F52DB"/>
    <w:rsid w:val="000F52FF"/>
    <w:rsid w:val="000F5345"/>
    <w:rsid w:val="000F5346"/>
    <w:rsid w:val="000F535E"/>
    <w:rsid w:val="000F5369"/>
    <w:rsid w:val="000F53CD"/>
    <w:rsid w:val="000F53E6"/>
    <w:rsid w:val="000F541B"/>
    <w:rsid w:val="000F5426"/>
    <w:rsid w:val="000F5486"/>
    <w:rsid w:val="000F5509"/>
    <w:rsid w:val="000F555C"/>
    <w:rsid w:val="000F55A0"/>
    <w:rsid w:val="000F55D0"/>
    <w:rsid w:val="000F55DB"/>
    <w:rsid w:val="000F55DF"/>
    <w:rsid w:val="000F55E7"/>
    <w:rsid w:val="000F55F5"/>
    <w:rsid w:val="000F5631"/>
    <w:rsid w:val="000F5668"/>
    <w:rsid w:val="000F572E"/>
    <w:rsid w:val="000F573F"/>
    <w:rsid w:val="000F57C7"/>
    <w:rsid w:val="000F580D"/>
    <w:rsid w:val="000F5811"/>
    <w:rsid w:val="000F5816"/>
    <w:rsid w:val="000F581A"/>
    <w:rsid w:val="000F5850"/>
    <w:rsid w:val="000F5861"/>
    <w:rsid w:val="000F589D"/>
    <w:rsid w:val="000F58A6"/>
    <w:rsid w:val="000F58FD"/>
    <w:rsid w:val="000F5943"/>
    <w:rsid w:val="000F59DE"/>
    <w:rsid w:val="000F5A1A"/>
    <w:rsid w:val="000F5A1E"/>
    <w:rsid w:val="000F5A6D"/>
    <w:rsid w:val="000F5B0F"/>
    <w:rsid w:val="000F5B32"/>
    <w:rsid w:val="000F5B40"/>
    <w:rsid w:val="000F5B73"/>
    <w:rsid w:val="000F5BA7"/>
    <w:rsid w:val="000F5BC5"/>
    <w:rsid w:val="000F5C00"/>
    <w:rsid w:val="000F5C58"/>
    <w:rsid w:val="000F5C8A"/>
    <w:rsid w:val="000F5C9F"/>
    <w:rsid w:val="000F5CDF"/>
    <w:rsid w:val="000F5D0E"/>
    <w:rsid w:val="000F5D54"/>
    <w:rsid w:val="000F5D70"/>
    <w:rsid w:val="000F5D81"/>
    <w:rsid w:val="000F5DCE"/>
    <w:rsid w:val="000F5E5C"/>
    <w:rsid w:val="000F5E7B"/>
    <w:rsid w:val="000F5EB1"/>
    <w:rsid w:val="000F5EC2"/>
    <w:rsid w:val="000F5F65"/>
    <w:rsid w:val="000F5F93"/>
    <w:rsid w:val="000F5FA3"/>
    <w:rsid w:val="000F5FBA"/>
    <w:rsid w:val="000F5FEE"/>
    <w:rsid w:val="000F6015"/>
    <w:rsid w:val="000F603F"/>
    <w:rsid w:val="000F6048"/>
    <w:rsid w:val="000F6052"/>
    <w:rsid w:val="000F608E"/>
    <w:rsid w:val="000F60D3"/>
    <w:rsid w:val="000F6118"/>
    <w:rsid w:val="000F617E"/>
    <w:rsid w:val="000F61E5"/>
    <w:rsid w:val="000F620A"/>
    <w:rsid w:val="000F6290"/>
    <w:rsid w:val="000F62BC"/>
    <w:rsid w:val="000F6309"/>
    <w:rsid w:val="000F6388"/>
    <w:rsid w:val="000F6392"/>
    <w:rsid w:val="000F63B2"/>
    <w:rsid w:val="000F63B3"/>
    <w:rsid w:val="000F6410"/>
    <w:rsid w:val="000F6424"/>
    <w:rsid w:val="000F6442"/>
    <w:rsid w:val="000F64A9"/>
    <w:rsid w:val="000F64EB"/>
    <w:rsid w:val="000F6535"/>
    <w:rsid w:val="000F656D"/>
    <w:rsid w:val="000F6578"/>
    <w:rsid w:val="000F657D"/>
    <w:rsid w:val="000F659C"/>
    <w:rsid w:val="000F65D6"/>
    <w:rsid w:val="000F6658"/>
    <w:rsid w:val="000F66A5"/>
    <w:rsid w:val="000F66E4"/>
    <w:rsid w:val="000F66F1"/>
    <w:rsid w:val="000F66F9"/>
    <w:rsid w:val="000F67CA"/>
    <w:rsid w:val="000F67DB"/>
    <w:rsid w:val="000F67EC"/>
    <w:rsid w:val="000F6814"/>
    <w:rsid w:val="000F6838"/>
    <w:rsid w:val="000F6850"/>
    <w:rsid w:val="000F6867"/>
    <w:rsid w:val="000F6899"/>
    <w:rsid w:val="000F68A4"/>
    <w:rsid w:val="000F68FD"/>
    <w:rsid w:val="000F6903"/>
    <w:rsid w:val="000F691B"/>
    <w:rsid w:val="000F698D"/>
    <w:rsid w:val="000F69A7"/>
    <w:rsid w:val="000F69D8"/>
    <w:rsid w:val="000F6A52"/>
    <w:rsid w:val="000F6A57"/>
    <w:rsid w:val="000F6A97"/>
    <w:rsid w:val="000F6A9E"/>
    <w:rsid w:val="000F6B12"/>
    <w:rsid w:val="000F6B36"/>
    <w:rsid w:val="000F6B4D"/>
    <w:rsid w:val="000F6BAE"/>
    <w:rsid w:val="000F6BE4"/>
    <w:rsid w:val="000F6C5F"/>
    <w:rsid w:val="000F6C97"/>
    <w:rsid w:val="000F6CD4"/>
    <w:rsid w:val="000F6CDB"/>
    <w:rsid w:val="000F6D32"/>
    <w:rsid w:val="000F6D3E"/>
    <w:rsid w:val="000F6D44"/>
    <w:rsid w:val="000F6D53"/>
    <w:rsid w:val="000F6D56"/>
    <w:rsid w:val="000F6D65"/>
    <w:rsid w:val="000F6D74"/>
    <w:rsid w:val="000F6D96"/>
    <w:rsid w:val="000F6DA2"/>
    <w:rsid w:val="000F6DAB"/>
    <w:rsid w:val="000F6DD6"/>
    <w:rsid w:val="000F6E24"/>
    <w:rsid w:val="000F6E5E"/>
    <w:rsid w:val="000F6FE5"/>
    <w:rsid w:val="000F701E"/>
    <w:rsid w:val="000F7092"/>
    <w:rsid w:val="000F7179"/>
    <w:rsid w:val="000F719C"/>
    <w:rsid w:val="000F71B1"/>
    <w:rsid w:val="000F71DA"/>
    <w:rsid w:val="000F721B"/>
    <w:rsid w:val="000F7285"/>
    <w:rsid w:val="000F72BB"/>
    <w:rsid w:val="000F72DF"/>
    <w:rsid w:val="000F733F"/>
    <w:rsid w:val="000F737E"/>
    <w:rsid w:val="000F73DB"/>
    <w:rsid w:val="000F7406"/>
    <w:rsid w:val="000F7468"/>
    <w:rsid w:val="000F746F"/>
    <w:rsid w:val="000F7496"/>
    <w:rsid w:val="000F74A9"/>
    <w:rsid w:val="000F7544"/>
    <w:rsid w:val="000F754F"/>
    <w:rsid w:val="000F759C"/>
    <w:rsid w:val="000F75E3"/>
    <w:rsid w:val="000F760D"/>
    <w:rsid w:val="000F7612"/>
    <w:rsid w:val="000F7637"/>
    <w:rsid w:val="000F763C"/>
    <w:rsid w:val="000F770D"/>
    <w:rsid w:val="000F772A"/>
    <w:rsid w:val="000F77E8"/>
    <w:rsid w:val="000F780C"/>
    <w:rsid w:val="000F782F"/>
    <w:rsid w:val="000F7837"/>
    <w:rsid w:val="000F7843"/>
    <w:rsid w:val="000F7889"/>
    <w:rsid w:val="000F7890"/>
    <w:rsid w:val="000F78A0"/>
    <w:rsid w:val="000F7925"/>
    <w:rsid w:val="000F792A"/>
    <w:rsid w:val="000F7940"/>
    <w:rsid w:val="000F7970"/>
    <w:rsid w:val="000F7989"/>
    <w:rsid w:val="000F79C5"/>
    <w:rsid w:val="000F7A43"/>
    <w:rsid w:val="000F7AA2"/>
    <w:rsid w:val="000F7AAA"/>
    <w:rsid w:val="000F7ABD"/>
    <w:rsid w:val="000F7AC9"/>
    <w:rsid w:val="000F7B42"/>
    <w:rsid w:val="000F7B53"/>
    <w:rsid w:val="000F7BBA"/>
    <w:rsid w:val="000F7BBB"/>
    <w:rsid w:val="000F7BE8"/>
    <w:rsid w:val="000F7C34"/>
    <w:rsid w:val="000F7C3B"/>
    <w:rsid w:val="000F7C77"/>
    <w:rsid w:val="000F7CFE"/>
    <w:rsid w:val="000F7D8B"/>
    <w:rsid w:val="000F7DAB"/>
    <w:rsid w:val="000F7DB2"/>
    <w:rsid w:val="000F7DC0"/>
    <w:rsid w:val="000F7DEE"/>
    <w:rsid w:val="000F7DFF"/>
    <w:rsid w:val="000F7E71"/>
    <w:rsid w:val="000F7E9C"/>
    <w:rsid w:val="000F7EC5"/>
    <w:rsid w:val="000F7ECC"/>
    <w:rsid w:val="000F7EEE"/>
    <w:rsid w:val="000F7F4C"/>
    <w:rsid w:val="000F7F69"/>
    <w:rsid w:val="000F7F8F"/>
    <w:rsid w:val="000F7FB0"/>
    <w:rsid w:val="000F7FB8"/>
    <w:rsid w:val="000F7FD9"/>
    <w:rsid w:val="00100002"/>
    <w:rsid w:val="00100024"/>
    <w:rsid w:val="00100037"/>
    <w:rsid w:val="001000B6"/>
    <w:rsid w:val="001000EC"/>
    <w:rsid w:val="00100104"/>
    <w:rsid w:val="00100164"/>
    <w:rsid w:val="001001D0"/>
    <w:rsid w:val="001001D3"/>
    <w:rsid w:val="001001F3"/>
    <w:rsid w:val="00100213"/>
    <w:rsid w:val="00100281"/>
    <w:rsid w:val="0010028A"/>
    <w:rsid w:val="00100296"/>
    <w:rsid w:val="001002E4"/>
    <w:rsid w:val="0010033C"/>
    <w:rsid w:val="0010036D"/>
    <w:rsid w:val="00100441"/>
    <w:rsid w:val="0010046C"/>
    <w:rsid w:val="001004AC"/>
    <w:rsid w:val="0010050B"/>
    <w:rsid w:val="00100538"/>
    <w:rsid w:val="00100595"/>
    <w:rsid w:val="001005A5"/>
    <w:rsid w:val="001005AB"/>
    <w:rsid w:val="001005EA"/>
    <w:rsid w:val="001005F7"/>
    <w:rsid w:val="001006B4"/>
    <w:rsid w:val="001006E2"/>
    <w:rsid w:val="001006F5"/>
    <w:rsid w:val="0010076E"/>
    <w:rsid w:val="0010078E"/>
    <w:rsid w:val="00100792"/>
    <w:rsid w:val="001007F2"/>
    <w:rsid w:val="00100828"/>
    <w:rsid w:val="00100836"/>
    <w:rsid w:val="0010084A"/>
    <w:rsid w:val="001008AA"/>
    <w:rsid w:val="001008D1"/>
    <w:rsid w:val="0010094F"/>
    <w:rsid w:val="001009AD"/>
    <w:rsid w:val="001009BB"/>
    <w:rsid w:val="001009DC"/>
    <w:rsid w:val="00100A89"/>
    <w:rsid w:val="00100AA7"/>
    <w:rsid w:val="00100AF5"/>
    <w:rsid w:val="00100B26"/>
    <w:rsid w:val="00100B39"/>
    <w:rsid w:val="00100B51"/>
    <w:rsid w:val="00100B97"/>
    <w:rsid w:val="00100BDD"/>
    <w:rsid w:val="00100BE3"/>
    <w:rsid w:val="00100C35"/>
    <w:rsid w:val="00100C36"/>
    <w:rsid w:val="00100C55"/>
    <w:rsid w:val="00100CE7"/>
    <w:rsid w:val="00100D71"/>
    <w:rsid w:val="00100DB9"/>
    <w:rsid w:val="00100E05"/>
    <w:rsid w:val="00100EB1"/>
    <w:rsid w:val="00100EBC"/>
    <w:rsid w:val="00100F1C"/>
    <w:rsid w:val="00100F31"/>
    <w:rsid w:val="00100F40"/>
    <w:rsid w:val="00100F92"/>
    <w:rsid w:val="00100FDA"/>
    <w:rsid w:val="001010D4"/>
    <w:rsid w:val="001010FE"/>
    <w:rsid w:val="00101112"/>
    <w:rsid w:val="00101115"/>
    <w:rsid w:val="00101119"/>
    <w:rsid w:val="0010112C"/>
    <w:rsid w:val="00101174"/>
    <w:rsid w:val="0010125D"/>
    <w:rsid w:val="00101274"/>
    <w:rsid w:val="0010130E"/>
    <w:rsid w:val="00101323"/>
    <w:rsid w:val="0010134E"/>
    <w:rsid w:val="00101350"/>
    <w:rsid w:val="001013B2"/>
    <w:rsid w:val="001013E7"/>
    <w:rsid w:val="00101423"/>
    <w:rsid w:val="0010147C"/>
    <w:rsid w:val="001014B7"/>
    <w:rsid w:val="001014D1"/>
    <w:rsid w:val="001014D4"/>
    <w:rsid w:val="001014F0"/>
    <w:rsid w:val="00101568"/>
    <w:rsid w:val="00101584"/>
    <w:rsid w:val="001015C1"/>
    <w:rsid w:val="001015D9"/>
    <w:rsid w:val="00101647"/>
    <w:rsid w:val="0010167D"/>
    <w:rsid w:val="00101686"/>
    <w:rsid w:val="001016A2"/>
    <w:rsid w:val="001016B8"/>
    <w:rsid w:val="00101723"/>
    <w:rsid w:val="0010173C"/>
    <w:rsid w:val="00101744"/>
    <w:rsid w:val="0010176D"/>
    <w:rsid w:val="0010177C"/>
    <w:rsid w:val="001017A3"/>
    <w:rsid w:val="001017DF"/>
    <w:rsid w:val="00101832"/>
    <w:rsid w:val="00101837"/>
    <w:rsid w:val="00101862"/>
    <w:rsid w:val="00101863"/>
    <w:rsid w:val="00101873"/>
    <w:rsid w:val="00101892"/>
    <w:rsid w:val="0010193F"/>
    <w:rsid w:val="00101A33"/>
    <w:rsid w:val="00101A53"/>
    <w:rsid w:val="00101A77"/>
    <w:rsid w:val="00101A9A"/>
    <w:rsid w:val="00101AF8"/>
    <w:rsid w:val="00101B19"/>
    <w:rsid w:val="00101B47"/>
    <w:rsid w:val="00101B51"/>
    <w:rsid w:val="00101B63"/>
    <w:rsid w:val="00101B6F"/>
    <w:rsid w:val="00101BA2"/>
    <w:rsid w:val="00101BE7"/>
    <w:rsid w:val="00101BF3"/>
    <w:rsid w:val="00101C62"/>
    <w:rsid w:val="00101CD0"/>
    <w:rsid w:val="00101D27"/>
    <w:rsid w:val="00101D32"/>
    <w:rsid w:val="00101D36"/>
    <w:rsid w:val="00101D3A"/>
    <w:rsid w:val="00101D60"/>
    <w:rsid w:val="00101D7B"/>
    <w:rsid w:val="00101DCB"/>
    <w:rsid w:val="00101DE5"/>
    <w:rsid w:val="00101E53"/>
    <w:rsid w:val="00101E92"/>
    <w:rsid w:val="00101EC4"/>
    <w:rsid w:val="00101EC9"/>
    <w:rsid w:val="00101F07"/>
    <w:rsid w:val="00101F16"/>
    <w:rsid w:val="00101F62"/>
    <w:rsid w:val="00101F93"/>
    <w:rsid w:val="00101FAE"/>
    <w:rsid w:val="00101FC4"/>
    <w:rsid w:val="00102020"/>
    <w:rsid w:val="001020C1"/>
    <w:rsid w:val="00102109"/>
    <w:rsid w:val="00102188"/>
    <w:rsid w:val="001021C4"/>
    <w:rsid w:val="001021D3"/>
    <w:rsid w:val="0010220F"/>
    <w:rsid w:val="0010221E"/>
    <w:rsid w:val="00102264"/>
    <w:rsid w:val="00102334"/>
    <w:rsid w:val="0010236A"/>
    <w:rsid w:val="001023C4"/>
    <w:rsid w:val="00102449"/>
    <w:rsid w:val="00102499"/>
    <w:rsid w:val="001024A1"/>
    <w:rsid w:val="001024FB"/>
    <w:rsid w:val="00102503"/>
    <w:rsid w:val="00102568"/>
    <w:rsid w:val="00102571"/>
    <w:rsid w:val="00102582"/>
    <w:rsid w:val="0010258C"/>
    <w:rsid w:val="00102598"/>
    <w:rsid w:val="001025BF"/>
    <w:rsid w:val="00102627"/>
    <w:rsid w:val="00102658"/>
    <w:rsid w:val="0010269D"/>
    <w:rsid w:val="0010270F"/>
    <w:rsid w:val="0010271B"/>
    <w:rsid w:val="00102736"/>
    <w:rsid w:val="0010278D"/>
    <w:rsid w:val="00102814"/>
    <w:rsid w:val="00102834"/>
    <w:rsid w:val="001028A9"/>
    <w:rsid w:val="001028DB"/>
    <w:rsid w:val="001028EE"/>
    <w:rsid w:val="00102930"/>
    <w:rsid w:val="001029DD"/>
    <w:rsid w:val="00102A29"/>
    <w:rsid w:val="00102A34"/>
    <w:rsid w:val="00102A60"/>
    <w:rsid w:val="00102A63"/>
    <w:rsid w:val="00102AE5"/>
    <w:rsid w:val="00102AF3"/>
    <w:rsid w:val="00102B7F"/>
    <w:rsid w:val="00102BC1"/>
    <w:rsid w:val="00102BD0"/>
    <w:rsid w:val="00102C1D"/>
    <w:rsid w:val="00102C44"/>
    <w:rsid w:val="00102CCA"/>
    <w:rsid w:val="00102D08"/>
    <w:rsid w:val="00102D11"/>
    <w:rsid w:val="00102D1B"/>
    <w:rsid w:val="00102E3E"/>
    <w:rsid w:val="00102E8E"/>
    <w:rsid w:val="00102E96"/>
    <w:rsid w:val="00102EDF"/>
    <w:rsid w:val="00102EE8"/>
    <w:rsid w:val="00102EF4"/>
    <w:rsid w:val="00102F0B"/>
    <w:rsid w:val="00102F19"/>
    <w:rsid w:val="00102F4B"/>
    <w:rsid w:val="00102FD6"/>
    <w:rsid w:val="00102FE4"/>
    <w:rsid w:val="00102FF2"/>
    <w:rsid w:val="00103040"/>
    <w:rsid w:val="0010304A"/>
    <w:rsid w:val="0010308C"/>
    <w:rsid w:val="00103099"/>
    <w:rsid w:val="001030A7"/>
    <w:rsid w:val="001030C4"/>
    <w:rsid w:val="001030E8"/>
    <w:rsid w:val="001030FF"/>
    <w:rsid w:val="0010315D"/>
    <w:rsid w:val="00103161"/>
    <w:rsid w:val="0010317C"/>
    <w:rsid w:val="00103194"/>
    <w:rsid w:val="0010319B"/>
    <w:rsid w:val="00103211"/>
    <w:rsid w:val="00103218"/>
    <w:rsid w:val="0010321F"/>
    <w:rsid w:val="00103247"/>
    <w:rsid w:val="0010324D"/>
    <w:rsid w:val="00103255"/>
    <w:rsid w:val="00103266"/>
    <w:rsid w:val="0010330E"/>
    <w:rsid w:val="00103389"/>
    <w:rsid w:val="001033C3"/>
    <w:rsid w:val="001033C8"/>
    <w:rsid w:val="001033CD"/>
    <w:rsid w:val="001033D4"/>
    <w:rsid w:val="001033E2"/>
    <w:rsid w:val="001033ED"/>
    <w:rsid w:val="00103411"/>
    <w:rsid w:val="00103459"/>
    <w:rsid w:val="00103463"/>
    <w:rsid w:val="00103489"/>
    <w:rsid w:val="00103523"/>
    <w:rsid w:val="00103562"/>
    <w:rsid w:val="001035A8"/>
    <w:rsid w:val="0010360E"/>
    <w:rsid w:val="00103666"/>
    <w:rsid w:val="0010368A"/>
    <w:rsid w:val="001036AD"/>
    <w:rsid w:val="001036B2"/>
    <w:rsid w:val="001036D5"/>
    <w:rsid w:val="00103736"/>
    <w:rsid w:val="0010376A"/>
    <w:rsid w:val="0010379B"/>
    <w:rsid w:val="001037BE"/>
    <w:rsid w:val="001037C2"/>
    <w:rsid w:val="001037C8"/>
    <w:rsid w:val="001037EB"/>
    <w:rsid w:val="0010381F"/>
    <w:rsid w:val="00103862"/>
    <w:rsid w:val="001038A0"/>
    <w:rsid w:val="001038A1"/>
    <w:rsid w:val="001038F2"/>
    <w:rsid w:val="00103904"/>
    <w:rsid w:val="00103905"/>
    <w:rsid w:val="001039B6"/>
    <w:rsid w:val="00103A08"/>
    <w:rsid w:val="00103A0C"/>
    <w:rsid w:val="00103A12"/>
    <w:rsid w:val="00103A4F"/>
    <w:rsid w:val="00103AE0"/>
    <w:rsid w:val="00103B1E"/>
    <w:rsid w:val="00103B29"/>
    <w:rsid w:val="00103B32"/>
    <w:rsid w:val="00103B53"/>
    <w:rsid w:val="00103B57"/>
    <w:rsid w:val="00103B77"/>
    <w:rsid w:val="00103C1A"/>
    <w:rsid w:val="00103C42"/>
    <w:rsid w:val="00103C43"/>
    <w:rsid w:val="00103C6F"/>
    <w:rsid w:val="00103CAA"/>
    <w:rsid w:val="00103D10"/>
    <w:rsid w:val="00103D11"/>
    <w:rsid w:val="00103D34"/>
    <w:rsid w:val="00103D51"/>
    <w:rsid w:val="00103D6F"/>
    <w:rsid w:val="00103E28"/>
    <w:rsid w:val="00103E35"/>
    <w:rsid w:val="00103E49"/>
    <w:rsid w:val="00103E55"/>
    <w:rsid w:val="00103EDE"/>
    <w:rsid w:val="00103F5F"/>
    <w:rsid w:val="00103F63"/>
    <w:rsid w:val="00103F67"/>
    <w:rsid w:val="00103F80"/>
    <w:rsid w:val="00103FB3"/>
    <w:rsid w:val="00103FDA"/>
    <w:rsid w:val="00103FEA"/>
    <w:rsid w:val="00103FF6"/>
    <w:rsid w:val="0010401A"/>
    <w:rsid w:val="00104028"/>
    <w:rsid w:val="0010408E"/>
    <w:rsid w:val="001040D2"/>
    <w:rsid w:val="001040EE"/>
    <w:rsid w:val="00104149"/>
    <w:rsid w:val="0010415A"/>
    <w:rsid w:val="00104176"/>
    <w:rsid w:val="00104192"/>
    <w:rsid w:val="001041A2"/>
    <w:rsid w:val="001041B8"/>
    <w:rsid w:val="001041C1"/>
    <w:rsid w:val="001041DC"/>
    <w:rsid w:val="00104215"/>
    <w:rsid w:val="0010421E"/>
    <w:rsid w:val="00104244"/>
    <w:rsid w:val="0010426F"/>
    <w:rsid w:val="001042DE"/>
    <w:rsid w:val="001042E2"/>
    <w:rsid w:val="0010433D"/>
    <w:rsid w:val="0010434B"/>
    <w:rsid w:val="0010437F"/>
    <w:rsid w:val="001043A2"/>
    <w:rsid w:val="001043DE"/>
    <w:rsid w:val="00104437"/>
    <w:rsid w:val="00104444"/>
    <w:rsid w:val="00104478"/>
    <w:rsid w:val="001044E7"/>
    <w:rsid w:val="001044F0"/>
    <w:rsid w:val="00104556"/>
    <w:rsid w:val="00104596"/>
    <w:rsid w:val="0010459F"/>
    <w:rsid w:val="001045E7"/>
    <w:rsid w:val="001045F6"/>
    <w:rsid w:val="00104612"/>
    <w:rsid w:val="0010461C"/>
    <w:rsid w:val="00104647"/>
    <w:rsid w:val="001046AF"/>
    <w:rsid w:val="001046C3"/>
    <w:rsid w:val="001046F2"/>
    <w:rsid w:val="0010478E"/>
    <w:rsid w:val="001047CD"/>
    <w:rsid w:val="00104852"/>
    <w:rsid w:val="00104949"/>
    <w:rsid w:val="00104982"/>
    <w:rsid w:val="00104994"/>
    <w:rsid w:val="00104A93"/>
    <w:rsid w:val="00104AC3"/>
    <w:rsid w:val="00104B1B"/>
    <w:rsid w:val="00104B27"/>
    <w:rsid w:val="00104B4B"/>
    <w:rsid w:val="00104BB4"/>
    <w:rsid w:val="00104BCC"/>
    <w:rsid w:val="00104BF2"/>
    <w:rsid w:val="00104C06"/>
    <w:rsid w:val="00104C30"/>
    <w:rsid w:val="00104C81"/>
    <w:rsid w:val="00104C85"/>
    <w:rsid w:val="00104CEB"/>
    <w:rsid w:val="00104D06"/>
    <w:rsid w:val="00104D18"/>
    <w:rsid w:val="00104DAA"/>
    <w:rsid w:val="00104DAF"/>
    <w:rsid w:val="00104DB7"/>
    <w:rsid w:val="00104DE4"/>
    <w:rsid w:val="00104E18"/>
    <w:rsid w:val="00104E19"/>
    <w:rsid w:val="00104E54"/>
    <w:rsid w:val="00104E5F"/>
    <w:rsid w:val="00104E84"/>
    <w:rsid w:val="00104EC8"/>
    <w:rsid w:val="00104EEC"/>
    <w:rsid w:val="00104F02"/>
    <w:rsid w:val="00104F5A"/>
    <w:rsid w:val="00104F66"/>
    <w:rsid w:val="00104F6C"/>
    <w:rsid w:val="00104F6F"/>
    <w:rsid w:val="00104FA0"/>
    <w:rsid w:val="00104FDA"/>
    <w:rsid w:val="00104FF5"/>
    <w:rsid w:val="00105019"/>
    <w:rsid w:val="00105042"/>
    <w:rsid w:val="0010506E"/>
    <w:rsid w:val="001050B6"/>
    <w:rsid w:val="001050D0"/>
    <w:rsid w:val="001050D3"/>
    <w:rsid w:val="001050F3"/>
    <w:rsid w:val="00105105"/>
    <w:rsid w:val="00105146"/>
    <w:rsid w:val="00105178"/>
    <w:rsid w:val="0010524C"/>
    <w:rsid w:val="0010526E"/>
    <w:rsid w:val="00105290"/>
    <w:rsid w:val="001052C6"/>
    <w:rsid w:val="001052F3"/>
    <w:rsid w:val="00105369"/>
    <w:rsid w:val="001053DB"/>
    <w:rsid w:val="001053E6"/>
    <w:rsid w:val="0010544D"/>
    <w:rsid w:val="00105451"/>
    <w:rsid w:val="0010545A"/>
    <w:rsid w:val="0010546E"/>
    <w:rsid w:val="001054DE"/>
    <w:rsid w:val="001054EC"/>
    <w:rsid w:val="00105502"/>
    <w:rsid w:val="0010559D"/>
    <w:rsid w:val="001055A2"/>
    <w:rsid w:val="001055D4"/>
    <w:rsid w:val="001055FD"/>
    <w:rsid w:val="00105658"/>
    <w:rsid w:val="0010568C"/>
    <w:rsid w:val="0010574F"/>
    <w:rsid w:val="00105772"/>
    <w:rsid w:val="001057D0"/>
    <w:rsid w:val="001057DE"/>
    <w:rsid w:val="001057F4"/>
    <w:rsid w:val="00105809"/>
    <w:rsid w:val="00105855"/>
    <w:rsid w:val="0010585C"/>
    <w:rsid w:val="00105887"/>
    <w:rsid w:val="001058C4"/>
    <w:rsid w:val="0010593E"/>
    <w:rsid w:val="0010594A"/>
    <w:rsid w:val="0010595E"/>
    <w:rsid w:val="00105A55"/>
    <w:rsid w:val="00105A71"/>
    <w:rsid w:val="00105ADC"/>
    <w:rsid w:val="00105B2A"/>
    <w:rsid w:val="00105B39"/>
    <w:rsid w:val="00105B53"/>
    <w:rsid w:val="00105B5D"/>
    <w:rsid w:val="00105B63"/>
    <w:rsid w:val="00105BB9"/>
    <w:rsid w:val="00105C0B"/>
    <w:rsid w:val="00105D54"/>
    <w:rsid w:val="00105D59"/>
    <w:rsid w:val="00105D66"/>
    <w:rsid w:val="00105D75"/>
    <w:rsid w:val="00105DA4"/>
    <w:rsid w:val="00105DCA"/>
    <w:rsid w:val="00105DCD"/>
    <w:rsid w:val="00105DD0"/>
    <w:rsid w:val="00105E33"/>
    <w:rsid w:val="00105E65"/>
    <w:rsid w:val="00105E8A"/>
    <w:rsid w:val="00105E93"/>
    <w:rsid w:val="00105EF8"/>
    <w:rsid w:val="00105F30"/>
    <w:rsid w:val="00105F4A"/>
    <w:rsid w:val="00105F50"/>
    <w:rsid w:val="00105F5B"/>
    <w:rsid w:val="00105FB1"/>
    <w:rsid w:val="00105FC7"/>
    <w:rsid w:val="0010604E"/>
    <w:rsid w:val="0010606E"/>
    <w:rsid w:val="001060B0"/>
    <w:rsid w:val="001060FD"/>
    <w:rsid w:val="00106103"/>
    <w:rsid w:val="0010610A"/>
    <w:rsid w:val="00106175"/>
    <w:rsid w:val="00106190"/>
    <w:rsid w:val="001061A0"/>
    <w:rsid w:val="001061A7"/>
    <w:rsid w:val="001061AD"/>
    <w:rsid w:val="001061FB"/>
    <w:rsid w:val="00106215"/>
    <w:rsid w:val="0010622C"/>
    <w:rsid w:val="0010623E"/>
    <w:rsid w:val="00106299"/>
    <w:rsid w:val="001062A1"/>
    <w:rsid w:val="00106313"/>
    <w:rsid w:val="001063D6"/>
    <w:rsid w:val="0010641C"/>
    <w:rsid w:val="00106459"/>
    <w:rsid w:val="00106464"/>
    <w:rsid w:val="001064A6"/>
    <w:rsid w:val="001064AA"/>
    <w:rsid w:val="001064B5"/>
    <w:rsid w:val="001064D9"/>
    <w:rsid w:val="00106504"/>
    <w:rsid w:val="0010650D"/>
    <w:rsid w:val="0010655B"/>
    <w:rsid w:val="00106586"/>
    <w:rsid w:val="001065D1"/>
    <w:rsid w:val="0010662F"/>
    <w:rsid w:val="00106647"/>
    <w:rsid w:val="00106680"/>
    <w:rsid w:val="0010669B"/>
    <w:rsid w:val="00106758"/>
    <w:rsid w:val="001067B8"/>
    <w:rsid w:val="00106815"/>
    <w:rsid w:val="00106846"/>
    <w:rsid w:val="0010684B"/>
    <w:rsid w:val="00106854"/>
    <w:rsid w:val="00106866"/>
    <w:rsid w:val="0010686B"/>
    <w:rsid w:val="00106882"/>
    <w:rsid w:val="00106894"/>
    <w:rsid w:val="00106936"/>
    <w:rsid w:val="00106959"/>
    <w:rsid w:val="00106971"/>
    <w:rsid w:val="001069AC"/>
    <w:rsid w:val="001069BC"/>
    <w:rsid w:val="001069D2"/>
    <w:rsid w:val="001069FD"/>
    <w:rsid w:val="00106A28"/>
    <w:rsid w:val="00106A62"/>
    <w:rsid w:val="00106B28"/>
    <w:rsid w:val="00106B77"/>
    <w:rsid w:val="00106BC4"/>
    <w:rsid w:val="00106BFA"/>
    <w:rsid w:val="00106C35"/>
    <w:rsid w:val="00106C71"/>
    <w:rsid w:val="00106C7C"/>
    <w:rsid w:val="00106C96"/>
    <w:rsid w:val="00106CBE"/>
    <w:rsid w:val="00106CE4"/>
    <w:rsid w:val="00106D16"/>
    <w:rsid w:val="00106D90"/>
    <w:rsid w:val="00106DD7"/>
    <w:rsid w:val="00106DE3"/>
    <w:rsid w:val="00106DE5"/>
    <w:rsid w:val="00106DE9"/>
    <w:rsid w:val="00106DF2"/>
    <w:rsid w:val="00106E32"/>
    <w:rsid w:val="00106E59"/>
    <w:rsid w:val="00106E5B"/>
    <w:rsid w:val="00106E5C"/>
    <w:rsid w:val="00106E84"/>
    <w:rsid w:val="00106EA4"/>
    <w:rsid w:val="00106EA9"/>
    <w:rsid w:val="00106EE1"/>
    <w:rsid w:val="00106F04"/>
    <w:rsid w:val="00106F34"/>
    <w:rsid w:val="00106F57"/>
    <w:rsid w:val="00106F5F"/>
    <w:rsid w:val="00107004"/>
    <w:rsid w:val="00107019"/>
    <w:rsid w:val="0010707E"/>
    <w:rsid w:val="001070DA"/>
    <w:rsid w:val="001070FF"/>
    <w:rsid w:val="00107119"/>
    <w:rsid w:val="001071E9"/>
    <w:rsid w:val="00107214"/>
    <w:rsid w:val="0010722D"/>
    <w:rsid w:val="0010723D"/>
    <w:rsid w:val="0010723F"/>
    <w:rsid w:val="00107255"/>
    <w:rsid w:val="00107260"/>
    <w:rsid w:val="00107278"/>
    <w:rsid w:val="00107288"/>
    <w:rsid w:val="001072E0"/>
    <w:rsid w:val="001072E9"/>
    <w:rsid w:val="00107358"/>
    <w:rsid w:val="00107368"/>
    <w:rsid w:val="00107392"/>
    <w:rsid w:val="00107395"/>
    <w:rsid w:val="001073E4"/>
    <w:rsid w:val="00107428"/>
    <w:rsid w:val="00107440"/>
    <w:rsid w:val="0010745D"/>
    <w:rsid w:val="0010751F"/>
    <w:rsid w:val="00107592"/>
    <w:rsid w:val="001075A0"/>
    <w:rsid w:val="001075B0"/>
    <w:rsid w:val="001075EC"/>
    <w:rsid w:val="001075FE"/>
    <w:rsid w:val="0010763B"/>
    <w:rsid w:val="001076F9"/>
    <w:rsid w:val="0010772D"/>
    <w:rsid w:val="00107748"/>
    <w:rsid w:val="00107753"/>
    <w:rsid w:val="0010775B"/>
    <w:rsid w:val="00107789"/>
    <w:rsid w:val="001077B0"/>
    <w:rsid w:val="001077BB"/>
    <w:rsid w:val="00107809"/>
    <w:rsid w:val="0010781A"/>
    <w:rsid w:val="0010781E"/>
    <w:rsid w:val="001078A5"/>
    <w:rsid w:val="001078BE"/>
    <w:rsid w:val="001078BF"/>
    <w:rsid w:val="001078FD"/>
    <w:rsid w:val="00107919"/>
    <w:rsid w:val="00107962"/>
    <w:rsid w:val="0010796E"/>
    <w:rsid w:val="00107992"/>
    <w:rsid w:val="00107A0C"/>
    <w:rsid w:val="00107A1E"/>
    <w:rsid w:val="00107A30"/>
    <w:rsid w:val="00107A50"/>
    <w:rsid w:val="00107B28"/>
    <w:rsid w:val="00107B41"/>
    <w:rsid w:val="00107B5F"/>
    <w:rsid w:val="00107B8A"/>
    <w:rsid w:val="00107B9E"/>
    <w:rsid w:val="00107BC7"/>
    <w:rsid w:val="00107BED"/>
    <w:rsid w:val="00107C33"/>
    <w:rsid w:val="00107C3F"/>
    <w:rsid w:val="00107C49"/>
    <w:rsid w:val="00107C91"/>
    <w:rsid w:val="00107CAC"/>
    <w:rsid w:val="00107CE6"/>
    <w:rsid w:val="00107D0D"/>
    <w:rsid w:val="00107D41"/>
    <w:rsid w:val="00107DB4"/>
    <w:rsid w:val="00107DBB"/>
    <w:rsid w:val="00107DD9"/>
    <w:rsid w:val="00107E63"/>
    <w:rsid w:val="00107E74"/>
    <w:rsid w:val="00107E8A"/>
    <w:rsid w:val="00107EA4"/>
    <w:rsid w:val="00107ED0"/>
    <w:rsid w:val="00107EFF"/>
    <w:rsid w:val="00107FD3"/>
    <w:rsid w:val="00107FE1"/>
    <w:rsid w:val="00110002"/>
    <w:rsid w:val="001100F3"/>
    <w:rsid w:val="0011015A"/>
    <w:rsid w:val="00110163"/>
    <w:rsid w:val="0011019E"/>
    <w:rsid w:val="001101AB"/>
    <w:rsid w:val="0011023C"/>
    <w:rsid w:val="0011025B"/>
    <w:rsid w:val="001102D8"/>
    <w:rsid w:val="00110396"/>
    <w:rsid w:val="001103C4"/>
    <w:rsid w:val="00110415"/>
    <w:rsid w:val="00110439"/>
    <w:rsid w:val="0011044D"/>
    <w:rsid w:val="001104CA"/>
    <w:rsid w:val="001104D3"/>
    <w:rsid w:val="0011058B"/>
    <w:rsid w:val="001105B8"/>
    <w:rsid w:val="001105DE"/>
    <w:rsid w:val="0011063E"/>
    <w:rsid w:val="00110673"/>
    <w:rsid w:val="0011067D"/>
    <w:rsid w:val="00110684"/>
    <w:rsid w:val="001106B0"/>
    <w:rsid w:val="001106CE"/>
    <w:rsid w:val="001106E0"/>
    <w:rsid w:val="001106F7"/>
    <w:rsid w:val="001106FE"/>
    <w:rsid w:val="0011075B"/>
    <w:rsid w:val="0011079C"/>
    <w:rsid w:val="001107BB"/>
    <w:rsid w:val="0011084B"/>
    <w:rsid w:val="00110852"/>
    <w:rsid w:val="00110903"/>
    <w:rsid w:val="0011091F"/>
    <w:rsid w:val="0011099D"/>
    <w:rsid w:val="001109D5"/>
    <w:rsid w:val="001109E9"/>
    <w:rsid w:val="001109EB"/>
    <w:rsid w:val="00110A5C"/>
    <w:rsid w:val="00110A91"/>
    <w:rsid w:val="00110B3F"/>
    <w:rsid w:val="00110B48"/>
    <w:rsid w:val="00110B55"/>
    <w:rsid w:val="00110B96"/>
    <w:rsid w:val="00110BC1"/>
    <w:rsid w:val="00110C24"/>
    <w:rsid w:val="00110C84"/>
    <w:rsid w:val="00110C9A"/>
    <w:rsid w:val="00110CE1"/>
    <w:rsid w:val="00110CF8"/>
    <w:rsid w:val="00110D5E"/>
    <w:rsid w:val="00110DF3"/>
    <w:rsid w:val="00110E42"/>
    <w:rsid w:val="00110E55"/>
    <w:rsid w:val="00110E7D"/>
    <w:rsid w:val="00110E80"/>
    <w:rsid w:val="00110EC9"/>
    <w:rsid w:val="00110ECA"/>
    <w:rsid w:val="00110F17"/>
    <w:rsid w:val="00110F3D"/>
    <w:rsid w:val="00110FF0"/>
    <w:rsid w:val="0011101B"/>
    <w:rsid w:val="0011102C"/>
    <w:rsid w:val="0011109C"/>
    <w:rsid w:val="001110F4"/>
    <w:rsid w:val="00111183"/>
    <w:rsid w:val="001111E4"/>
    <w:rsid w:val="0011122D"/>
    <w:rsid w:val="00111255"/>
    <w:rsid w:val="00111289"/>
    <w:rsid w:val="0011128C"/>
    <w:rsid w:val="00111325"/>
    <w:rsid w:val="00111391"/>
    <w:rsid w:val="001113B9"/>
    <w:rsid w:val="001114B6"/>
    <w:rsid w:val="001114E1"/>
    <w:rsid w:val="001114E7"/>
    <w:rsid w:val="0011152B"/>
    <w:rsid w:val="00111598"/>
    <w:rsid w:val="001115C3"/>
    <w:rsid w:val="001115C7"/>
    <w:rsid w:val="00111637"/>
    <w:rsid w:val="00111689"/>
    <w:rsid w:val="0011168B"/>
    <w:rsid w:val="001116A5"/>
    <w:rsid w:val="001116B7"/>
    <w:rsid w:val="001116FF"/>
    <w:rsid w:val="0011170B"/>
    <w:rsid w:val="001117A3"/>
    <w:rsid w:val="00111808"/>
    <w:rsid w:val="001118B4"/>
    <w:rsid w:val="001118CA"/>
    <w:rsid w:val="001118EB"/>
    <w:rsid w:val="00111907"/>
    <w:rsid w:val="00111924"/>
    <w:rsid w:val="0011192F"/>
    <w:rsid w:val="00111951"/>
    <w:rsid w:val="0011196C"/>
    <w:rsid w:val="0011196D"/>
    <w:rsid w:val="0011197F"/>
    <w:rsid w:val="001119BE"/>
    <w:rsid w:val="001119DE"/>
    <w:rsid w:val="001119E8"/>
    <w:rsid w:val="00111A30"/>
    <w:rsid w:val="00111A6D"/>
    <w:rsid w:val="00111A9B"/>
    <w:rsid w:val="00111AFC"/>
    <w:rsid w:val="00111BC1"/>
    <w:rsid w:val="00111BC2"/>
    <w:rsid w:val="00111BDC"/>
    <w:rsid w:val="00111BF9"/>
    <w:rsid w:val="00111C0F"/>
    <w:rsid w:val="00111C62"/>
    <w:rsid w:val="00111C87"/>
    <w:rsid w:val="00111CD0"/>
    <w:rsid w:val="00111CFB"/>
    <w:rsid w:val="00111D2A"/>
    <w:rsid w:val="00111D35"/>
    <w:rsid w:val="00111D42"/>
    <w:rsid w:val="00111D50"/>
    <w:rsid w:val="00111D6B"/>
    <w:rsid w:val="00111D8D"/>
    <w:rsid w:val="00111DAB"/>
    <w:rsid w:val="00111DC8"/>
    <w:rsid w:val="00111DFA"/>
    <w:rsid w:val="00111E7E"/>
    <w:rsid w:val="00111EA0"/>
    <w:rsid w:val="00111EB4"/>
    <w:rsid w:val="00111EB9"/>
    <w:rsid w:val="00111EE0"/>
    <w:rsid w:val="00111EEA"/>
    <w:rsid w:val="00111EEC"/>
    <w:rsid w:val="00111F47"/>
    <w:rsid w:val="00111F5C"/>
    <w:rsid w:val="00111FA0"/>
    <w:rsid w:val="00111FB2"/>
    <w:rsid w:val="00111FCC"/>
    <w:rsid w:val="00112027"/>
    <w:rsid w:val="0011204A"/>
    <w:rsid w:val="00112057"/>
    <w:rsid w:val="001120CD"/>
    <w:rsid w:val="0011213E"/>
    <w:rsid w:val="00112190"/>
    <w:rsid w:val="001121A3"/>
    <w:rsid w:val="001121B1"/>
    <w:rsid w:val="0011222E"/>
    <w:rsid w:val="00112248"/>
    <w:rsid w:val="0011226D"/>
    <w:rsid w:val="0011227F"/>
    <w:rsid w:val="00112293"/>
    <w:rsid w:val="0011232A"/>
    <w:rsid w:val="0011235D"/>
    <w:rsid w:val="001123A0"/>
    <w:rsid w:val="001123C7"/>
    <w:rsid w:val="001123E5"/>
    <w:rsid w:val="00112450"/>
    <w:rsid w:val="00112494"/>
    <w:rsid w:val="0011249A"/>
    <w:rsid w:val="001124E3"/>
    <w:rsid w:val="00112503"/>
    <w:rsid w:val="001125B9"/>
    <w:rsid w:val="00112646"/>
    <w:rsid w:val="00112685"/>
    <w:rsid w:val="00112689"/>
    <w:rsid w:val="0011269E"/>
    <w:rsid w:val="001126BB"/>
    <w:rsid w:val="001126DC"/>
    <w:rsid w:val="001126E9"/>
    <w:rsid w:val="00112748"/>
    <w:rsid w:val="00112774"/>
    <w:rsid w:val="0011279A"/>
    <w:rsid w:val="001127DB"/>
    <w:rsid w:val="00112818"/>
    <w:rsid w:val="00112859"/>
    <w:rsid w:val="00112860"/>
    <w:rsid w:val="0011287D"/>
    <w:rsid w:val="001129B6"/>
    <w:rsid w:val="00112A0A"/>
    <w:rsid w:val="00112A27"/>
    <w:rsid w:val="00112A50"/>
    <w:rsid w:val="00112A78"/>
    <w:rsid w:val="00112A83"/>
    <w:rsid w:val="00112B1F"/>
    <w:rsid w:val="00112B3C"/>
    <w:rsid w:val="00112B43"/>
    <w:rsid w:val="00112B46"/>
    <w:rsid w:val="00112B6C"/>
    <w:rsid w:val="00112C12"/>
    <w:rsid w:val="00112C33"/>
    <w:rsid w:val="00112C52"/>
    <w:rsid w:val="00112C65"/>
    <w:rsid w:val="00112D39"/>
    <w:rsid w:val="00112D7F"/>
    <w:rsid w:val="00112D9E"/>
    <w:rsid w:val="00112E46"/>
    <w:rsid w:val="00112EA9"/>
    <w:rsid w:val="00112F13"/>
    <w:rsid w:val="00112F1E"/>
    <w:rsid w:val="00112F44"/>
    <w:rsid w:val="00112F7E"/>
    <w:rsid w:val="00112FDF"/>
    <w:rsid w:val="00113009"/>
    <w:rsid w:val="0011306C"/>
    <w:rsid w:val="0011306D"/>
    <w:rsid w:val="0011308F"/>
    <w:rsid w:val="00113091"/>
    <w:rsid w:val="001130A5"/>
    <w:rsid w:val="001130CF"/>
    <w:rsid w:val="001130D4"/>
    <w:rsid w:val="0011312B"/>
    <w:rsid w:val="0011315A"/>
    <w:rsid w:val="00113167"/>
    <w:rsid w:val="001131A2"/>
    <w:rsid w:val="0011323F"/>
    <w:rsid w:val="00113249"/>
    <w:rsid w:val="00113284"/>
    <w:rsid w:val="001132DC"/>
    <w:rsid w:val="001132FC"/>
    <w:rsid w:val="00113316"/>
    <w:rsid w:val="001133FC"/>
    <w:rsid w:val="0011341C"/>
    <w:rsid w:val="00113479"/>
    <w:rsid w:val="0011349B"/>
    <w:rsid w:val="001134BD"/>
    <w:rsid w:val="001134FB"/>
    <w:rsid w:val="001135B6"/>
    <w:rsid w:val="001135FB"/>
    <w:rsid w:val="00113614"/>
    <w:rsid w:val="0011366D"/>
    <w:rsid w:val="00113686"/>
    <w:rsid w:val="001136A5"/>
    <w:rsid w:val="001136EB"/>
    <w:rsid w:val="00113709"/>
    <w:rsid w:val="00113732"/>
    <w:rsid w:val="00113735"/>
    <w:rsid w:val="00113737"/>
    <w:rsid w:val="00113782"/>
    <w:rsid w:val="001137B8"/>
    <w:rsid w:val="001137BE"/>
    <w:rsid w:val="001137C1"/>
    <w:rsid w:val="001137D6"/>
    <w:rsid w:val="001137F0"/>
    <w:rsid w:val="001137F5"/>
    <w:rsid w:val="00113824"/>
    <w:rsid w:val="00113853"/>
    <w:rsid w:val="00113890"/>
    <w:rsid w:val="001138D8"/>
    <w:rsid w:val="001138E5"/>
    <w:rsid w:val="001138F2"/>
    <w:rsid w:val="00113922"/>
    <w:rsid w:val="00113940"/>
    <w:rsid w:val="00113A11"/>
    <w:rsid w:val="00113A45"/>
    <w:rsid w:val="00113AE6"/>
    <w:rsid w:val="00113B20"/>
    <w:rsid w:val="00113B5C"/>
    <w:rsid w:val="00113BBA"/>
    <w:rsid w:val="00113BC7"/>
    <w:rsid w:val="00113BD5"/>
    <w:rsid w:val="00113C8A"/>
    <w:rsid w:val="00113C96"/>
    <w:rsid w:val="00113CD5"/>
    <w:rsid w:val="00113D31"/>
    <w:rsid w:val="00113D7D"/>
    <w:rsid w:val="00113D7E"/>
    <w:rsid w:val="00113DC5"/>
    <w:rsid w:val="00113E14"/>
    <w:rsid w:val="00113E5D"/>
    <w:rsid w:val="00113EE3"/>
    <w:rsid w:val="00113F1D"/>
    <w:rsid w:val="00113F43"/>
    <w:rsid w:val="00113F89"/>
    <w:rsid w:val="00113FC8"/>
    <w:rsid w:val="00113FFF"/>
    <w:rsid w:val="00114004"/>
    <w:rsid w:val="0011402C"/>
    <w:rsid w:val="0011404E"/>
    <w:rsid w:val="00114064"/>
    <w:rsid w:val="0011407B"/>
    <w:rsid w:val="001140B7"/>
    <w:rsid w:val="001140B8"/>
    <w:rsid w:val="0011410A"/>
    <w:rsid w:val="0011414C"/>
    <w:rsid w:val="00114158"/>
    <w:rsid w:val="0011416E"/>
    <w:rsid w:val="00114269"/>
    <w:rsid w:val="00114287"/>
    <w:rsid w:val="0011428B"/>
    <w:rsid w:val="001142AC"/>
    <w:rsid w:val="001142D4"/>
    <w:rsid w:val="001142FF"/>
    <w:rsid w:val="00114333"/>
    <w:rsid w:val="00114335"/>
    <w:rsid w:val="0011434A"/>
    <w:rsid w:val="0011435C"/>
    <w:rsid w:val="0011438D"/>
    <w:rsid w:val="00114479"/>
    <w:rsid w:val="001144B9"/>
    <w:rsid w:val="001144E6"/>
    <w:rsid w:val="00114551"/>
    <w:rsid w:val="001145AB"/>
    <w:rsid w:val="001145CC"/>
    <w:rsid w:val="001145D0"/>
    <w:rsid w:val="001145F4"/>
    <w:rsid w:val="00114613"/>
    <w:rsid w:val="00114663"/>
    <w:rsid w:val="00114668"/>
    <w:rsid w:val="001146A3"/>
    <w:rsid w:val="001146B3"/>
    <w:rsid w:val="001146DE"/>
    <w:rsid w:val="00114705"/>
    <w:rsid w:val="00114725"/>
    <w:rsid w:val="0011478F"/>
    <w:rsid w:val="00114797"/>
    <w:rsid w:val="0011479A"/>
    <w:rsid w:val="001147AC"/>
    <w:rsid w:val="001147CE"/>
    <w:rsid w:val="0011483C"/>
    <w:rsid w:val="00114969"/>
    <w:rsid w:val="0011497A"/>
    <w:rsid w:val="001149D9"/>
    <w:rsid w:val="001149DD"/>
    <w:rsid w:val="00114A4F"/>
    <w:rsid w:val="00114A55"/>
    <w:rsid w:val="00114A75"/>
    <w:rsid w:val="00114AAB"/>
    <w:rsid w:val="00114AF2"/>
    <w:rsid w:val="00114B06"/>
    <w:rsid w:val="00114B76"/>
    <w:rsid w:val="00114B9E"/>
    <w:rsid w:val="00114BB7"/>
    <w:rsid w:val="00114BF9"/>
    <w:rsid w:val="00114C21"/>
    <w:rsid w:val="00114C28"/>
    <w:rsid w:val="00114CCC"/>
    <w:rsid w:val="00114CE8"/>
    <w:rsid w:val="00114CEE"/>
    <w:rsid w:val="00114CFB"/>
    <w:rsid w:val="00114D1E"/>
    <w:rsid w:val="00114D5B"/>
    <w:rsid w:val="00114DA5"/>
    <w:rsid w:val="00114DF6"/>
    <w:rsid w:val="00114E08"/>
    <w:rsid w:val="00114E2D"/>
    <w:rsid w:val="00114E62"/>
    <w:rsid w:val="00114E7C"/>
    <w:rsid w:val="00114E9C"/>
    <w:rsid w:val="00114F0B"/>
    <w:rsid w:val="00114F2B"/>
    <w:rsid w:val="00114F33"/>
    <w:rsid w:val="00114F6D"/>
    <w:rsid w:val="00114F94"/>
    <w:rsid w:val="00114F96"/>
    <w:rsid w:val="00114FD0"/>
    <w:rsid w:val="00114FD8"/>
    <w:rsid w:val="00114FD9"/>
    <w:rsid w:val="0011501D"/>
    <w:rsid w:val="0011506F"/>
    <w:rsid w:val="0011507C"/>
    <w:rsid w:val="001150B1"/>
    <w:rsid w:val="001150B2"/>
    <w:rsid w:val="001150FA"/>
    <w:rsid w:val="0011510E"/>
    <w:rsid w:val="00115125"/>
    <w:rsid w:val="00115130"/>
    <w:rsid w:val="00115147"/>
    <w:rsid w:val="0011514B"/>
    <w:rsid w:val="001151C3"/>
    <w:rsid w:val="00115231"/>
    <w:rsid w:val="00115235"/>
    <w:rsid w:val="00115267"/>
    <w:rsid w:val="00115270"/>
    <w:rsid w:val="001152F3"/>
    <w:rsid w:val="0011530D"/>
    <w:rsid w:val="0011533C"/>
    <w:rsid w:val="001153C1"/>
    <w:rsid w:val="0011547C"/>
    <w:rsid w:val="00115489"/>
    <w:rsid w:val="001154F7"/>
    <w:rsid w:val="00115517"/>
    <w:rsid w:val="00115580"/>
    <w:rsid w:val="0011559D"/>
    <w:rsid w:val="001155EF"/>
    <w:rsid w:val="00115606"/>
    <w:rsid w:val="00115645"/>
    <w:rsid w:val="001156FA"/>
    <w:rsid w:val="00115745"/>
    <w:rsid w:val="00115763"/>
    <w:rsid w:val="0011582D"/>
    <w:rsid w:val="00115850"/>
    <w:rsid w:val="00115869"/>
    <w:rsid w:val="001158C6"/>
    <w:rsid w:val="0011594A"/>
    <w:rsid w:val="00115982"/>
    <w:rsid w:val="001159A4"/>
    <w:rsid w:val="001159E2"/>
    <w:rsid w:val="00115A40"/>
    <w:rsid w:val="00115A65"/>
    <w:rsid w:val="00115A66"/>
    <w:rsid w:val="00115ACE"/>
    <w:rsid w:val="00115B20"/>
    <w:rsid w:val="00115B62"/>
    <w:rsid w:val="00115BA0"/>
    <w:rsid w:val="00115C28"/>
    <w:rsid w:val="00115C50"/>
    <w:rsid w:val="00115C80"/>
    <w:rsid w:val="00115CC5"/>
    <w:rsid w:val="00115CCA"/>
    <w:rsid w:val="00115D90"/>
    <w:rsid w:val="00115DC8"/>
    <w:rsid w:val="00115DEA"/>
    <w:rsid w:val="00115E25"/>
    <w:rsid w:val="00115E47"/>
    <w:rsid w:val="00115E91"/>
    <w:rsid w:val="00115ECF"/>
    <w:rsid w:val="00115EFD"/>
    <w:rsid w:val="00115F1B"/>
    <w:rsid w:val="00115F21"/>
    <w:rsid w:val="00115F75"/>
    <w:rsid w:val="00115F9E"/>
    <w:rsid w:val="00115FB8"/>
    <w:rsid w:val="001160B0"/>
    <w:rsid w:val="0011614E"/>
    <w:rsid w:val="0011615A"/>
    <w:rsid w:val="001161B6"/>
    <w:rsid w:val="001161CE"/>
    <w:rsid w:val="00116261"/>
    <w:rsid w:val="00116276"/>
    <w:rsid w:val="00116288"/>
    <w:rsid w:val="0011628F"/>
    <w:rsid w:val="0011633C"/>
    <w:rsid w:val="00116370"/>
    <w:rsid w:val="001163CD"/>
    <w:rsid w:val="00116481"/>
    <w:rsid w:val="001164BB"/>
    <w:rsid w:val="00116540"/>
    <w:rsid w:val="001165FC"/>
    <w:rsid w:val="001166DF"/>
    <w:rsid w:val="001166FF"/>
    <w:rsid w:val="00116714"/>
    <w:rsid w:val="00116744"/>
    <w:rsid w:val="00116760"/>
    <w:rsid w:val="00116783"/>
    <w:rsid w:val="001167A7"/>
    <w:rsid w:val="001167D2"/>
    <w:rsid w:val="0011681B"/>
    <w:rsid w:val="00116827"/>
    <w:rsid w:val="0011685D"/>
    <w:rsid w:val="0011685E"/>
    <w:rsid w:val="001168A4"/>
    <w:rsid w:val="001168F1"/>
    <w:rsid w:val="00116907"/>
    <w:rsid w:val="00116945"/>
    <w:rsid w:val="00116969"/>
    <w:rsid w:val="00116972"/>
    <w:rsid w:val="0011698A"/>
    <w:rsid w:val="00116AA1"/>
    <w:rsid w:val="00116AB4"/>
    <w:rsid w:val="00116B38"/>
    <w:rsid w:val="00116B6E"/>
    <w:rsid w:val="00116BAC"/>
    <w:rsid w:val="00116BE0"/>
    <w:rsid w:val="00116C31"/>
    <w:rsid w:val="00116C3E"/>
    <w:rsid w:val="00116C40"/>
    <w:rsid w:val="00116C79"/>
    <w:rsid w:val="00116C99"/>
    <w:rsid w:val="00116CBF"/>
    <w:rsid w:val="00116CCA"/>
    <w:rsid w:val="00116D2B"/>
    <w:rsid w:val="00116D9D"/>
    <w:rsid w:val="00116DCC"/>
    <w:rsid w:val="00116DD7"/>
    <w:rsid w:val="00116DD9"/>
    <w:rsid w:val="00116E00"/>
    <w:rsid w:val="00116E4E"/>
    <w:rsid w:val="00116E59"/>
    <w:rsid w:val="00116E5D"/>
    <w:rsid w:val="00116E73"/>
    <w:rsid w:val="00116EE3"/>
    <w:rsid w:val="00116EE4"/>
    <w:rsid w:val="00116EE8"/>
    <w:rsid w:val="00116F26"/>
    <w:rsid w:val="00117031"/>
    <w:rsid w:val="00117054"/>
    <w:rsid w:val="00117073"/>
    <w:rsid w:val="001170D4"/>
    <w:rsid w:val="00117127"/>
    <w:rsid w:val="00117153"/>
    <w:rsid w:val="00117157"/>
    <w:rsid w:val="001171B4"/>
    <w:rsid w:val="001171D0"/>
    <w:rsid w:val="00117227"/>
    <w:rsid w:val="00117269"/>
    <w:rsid w:val="001172BB"/>
    <w:rsid w:val="001172D5"/>
    <w:rsid w:val="001172F0"/>
    <w:rsid w:val="0011732B"/>
    <w:rsid w:val="00117383"/>
    <w:rsid w:val="00117399"/>
    <w:rsid w:val="001173B4"/>
    <w:rsid w:val="001173C0"/>
    <w:rsid w:val="001173D1"/>
    <w:rsid w:val="00117412"/>
    <w:rsid w:val="0011743D"/>
    <w:rsid w:val="0011748E"/>
    <w:rsid w:val="001175C5"/>
    <w:rsid w:val="001175E8"/>
    <w:rsid w:val="001175FF"/>
    <w:rsid w:val="0011760F"/>
    <w:rsid w:val="00117623"/>
    <w:rsid w:val="0011768A"/>
    <w:rsid w:val="001176A1"/>
    <w:rsid w:val="001176B1"/>
    <w:rsid w:val="001176EA"/>
    <w:rsid w:val="00117751"/>
    <w:rsid w:val="0011776D"/>
    <w:rsid w:val="0011777F"/>
    <w:rsid w:val="001177F1"/>
    <w:rsid w:val="00117873"/>
    <w:rsid w:val="001178C5"/>
    <w:rsid w:val="001178D5"/>
    <w:rsid w:val="001178DD"/>
    <w:rsid w:val="00117902"/>
    <w:rsid w:val="00117929"/>
    <w:rsid w:val="00117932"/>
    <w:rsid w:val="001179A5"/>
    <w:rsid w:val="001179BA"/>
    <w:rsid w:val="00117A0A"/>
    <w:rsid w:val="00117A53"/>
    <w:rsid w:val="00117A57"/>
    <w:rsid w:val="00117A62"/>
    <w:rsid w:val="00117A78"/>
    <w:rsid w:val="00117A7C"/>
    <w:rsid w:val="00117A86"/>
    <w:rsid w:val="00117AB5"/>
    <w:rsid w:val="00117B6A"/>
    <w:rsid w:val="00117B7F"/>
    <w:rsid w:val="00117BAE"/>
    <w:rsid w:val="00117BC4"/>
    <w:rsid w:val="00117C6C"/>
    <w:rsid w:val="00117D3D"/>
    <w:rsid w:val="00117DCD"/>
    <w:rsid w:val="00117E23"/>
    <w:rsid w:val="00117E3C"/>
    <w:rsid w:val="00117E9F"/>
    <w:rsid w:val="00117EB1"/>
    <w:rsid w:val="00117EC7"/>
    <w:rsid w:val="00117EDD"/>
    <w:rsid w:val="00117F24"/>
    <w:rsid w:val="00117F79"/>
    <w:rsid w:val="00117F88"/>
    <w:rsid w:val="00117FBE"/>
    <w:rsid w:val="0012005A"/>
    <w:rsid w:val="0012007B"/>
    <w:rsid w:val="001200D9"/>
    <w:rsid w:val="00120136"/>
    <w:rsid w:val="00120149"/>
    <w:rsid w:val="0012019F"/>
    <w:rsid w:val="00120211"/>
    <w:rsid w:val="00120230"/>
    <w:rsid w:val="00120246"/>
    <w:rsid w:val="001202A7"/>
    <w:rsid w:val="001202E1"/>
    <w:rsid w:val="001202F5"/>
    <w:rsid w:val="00120339"/>
    <w:rsid w:val="00120388"/>
    <w:rsid w:val="0012043E"/>
    <w:rsid w:val="00120457"/>
    <w:rsid w:val="001204D4"/>
    <w:rsid w:val="001204DB"/>
    <w:rsid w:val="001204FE"/>
    <w:rsid w:val="001205A9"/>
    <w:rsid w:val="001205DD"/>
    <w:rsid w:val="0012065D"/>
    <w:rsid w:val="0012073E"/>
    <w:rsid w:val="0012075F"/>
    <w:rsid w:val="001207A0"/>
    <w:rsid w:val="001207F8"/>
    <w:rsid w:val="001207FB"/>
    <w:rsid w:val="00120846"/>
    <w:rsid w:val="00120850"/>
    <w:rsid w:val="0012088C"/>
    <w:rsid w:val="001208C7"/>
    <w:rsid w:val="0012090C"/>
    <w:rsid w:val="00120939"/>
    <w:rsid w:val="0012098A"/>
    <w:rsid w:val="0012098F"/>
    <w:rsid w:val="00120991"/>
    <w:rsid w:val="001209B9"/>
    <w:rsid w:val="001209D7"/>
    <w:rsid w:val="001209EE"/>
    <w:rsid w:val="001209F7"/>
    <w:rsid w:val="001209FA"/>
    <w:rsid w:val="00120A16"/>
    <w:rsid w:val="00120A1E"/>
    <w:rsid w:val="00120A3F"/>
    <w:rsid w:val="00120A84"/>
    <w:rsid w:val="00120ACA"/>
    <w:rsid w:val="00120AFC"/>
    <w:rsid w:val="00120B2B"/>
    <w:rsid w:val="00120B46"/>
    <w:rsid w:val="00120B51"/>
    <w:rsid w:val="00120B5B"/>
    <w:rsid w:val="00120C14"/>
    <w:rsid w:val="00120C52"/>
    <w:rsid w:val="00120C80"/>
    <w:rsid w:val="00120CA7"/>
    <w:rsid w:val="00120D07"/>
    <w:rsid w:val="00120D4B"/>
    <w:rsid w:val="00120D8C"/>
    <w:rsid w:val="00120DFE"/>
    <w:rsid w:val="00120E3E"/>
    <w:rsid w:val="00120F15"/>
    <w:rsid w:val="00120F4E"/>
    <w:rsid w:val="00120F56"/>
    <w:rsid w:val="00120F7B"/>
    <w:rsid w:val="00120FBA"/>
    <w:rsid w:val="00120FBD"/>
    <w:rsid w:val="00120FC8"/>
    <w:rsid w:val="00120FD9"/>
    <w:rsid w:val="00120FF4"/>
    <w:rsid w:val="00121007"/>
    <w:rsid w:val="00121131"/>
    <w:rsid w:val="00121153"/>
    <w:rsid w:val="001211A9"/>
    <w:rsid w:val="001211B2"/>
    <w:rsid w:val="00121204"/>
    <w:rsid w:val="001212C3"/>
    <w:rsid w:val="001212E1"/>
    <w:rsid w:val="001212E6"/>
    <w:rsid w:val="001212E8"/>
    <w:rsid w:val="001212FF"/>
    <w:rsid w:val="0012134F"/>
    <w:rsid w:val="0012135B"/>
    <w:rsid w:val="0012138F"/>
    <w:rsid w:val="00121398"/>
    <w:rsid w:val="001213B5"/>
    <w:rsid w:val="001213C5"/>
    <w:rsid w:val="001213FB"/>
    <w:rsid w:val="00121456"/>
    <w:rsid w:val="0012145B"/>
    <w:rsid w:val="0012146B"/>
    <w:rsid w:val="00121498"/>
    <w:rsid w:val="001214A9"/>
    <w:rsid w:val="001214B9"/>
    <w:rsid w:val="00121502"/>
    <w:rsid w:val="0012159A"/>
    <w:rsid w:val="001215AB"/>
    <w:rsid w:val="001215F9"/>
    <w:rsid w:val="00121623"/>
    <w:rsid w:val="0012164E"/>
    <w:rsid w:val="00121659"/>
    <w:rsid w:val="0012166B"/>
    <w:rsid w:val="0012169A"/>
    <w:rsid w:val="001216C1"/>
    <w:rsid w:val="00121707"/>
    <w:rsid w:val="00121756"/>
    <w:rsid w:val="00121773"/>
    <w:rsid w:val="0012178D"/>
    <w:rsid w:val="001217E7"/>
    <w:rsid w:val="00121875"/>
    <w:rsid w:val="001218A8"/>
    <w:rsid w:val="001218F1"/>
    <w:rsid w:val="00121905"/>
    <w:rsid w:val="0012191C"/>
    <w:rsid w:val="00121955"/>
    <w:rsid w:val="0012198A"/>
    <w:rsid w:val="001219B4"/>
    <w:rsid w:val="001219CC"/>
    <w:rsid w:val="00121A5D"/>
    <w:rsid w:val="00121A82"/>
    <w:rsid w:val="00121A89"/>
    <w:rsid w:val="00121B7F"/>
    <w:rsid w:val="00121B8E"/>
    <w:rsid w:val="00121BA5"/>
    <w:rsid w:val="00121C38"/>
    <w:rsid w:val="00121C57"/>
    <w:rsid w:val="00121C7F"/>
    <w:rsid w:val="00121C80"/>
    <w:rsid w:val="00121C8F"/>
    <w:rsid w:val="00121C9F"/>
    <w:rsid w:val="00121CE0"/>
    <w:rsid w:val="00121D07"/>
    <w:rsid w:val="00121D1C"/>
    <w:rsid w:val="00121D2B"/>
    <w:rsid w:val="00121DCD"/>
    <w:rsid w:val="00121DF8"/>
    <w:rsid w:val="00121E56"/>
    <w:rsid w:val="00121E5D"/>
    <w:rsid w:val="00121E7A"/>
    <w:rsid w:val="00121EE0"/>
    <w:rsid w:val="00121F5E"/>
    <w:rsid w:val="00121F9B"/>
    <w:rsid w:val="00121FB1"/>
    <w:rsid w:val="00121FDA"/>
    <w:rsid w:val="00122001"/>
    <w:rsid w:val="00122046"/>
    <w:rsid w:val="00122089"/>
    <w:rsid w:val="0012208E"/>
    <w:rsid w:val="00122096"/>
    <w:rsid w:val="001220A0"/>
    <w:rsid w:val="00122150"/>
    <w:rsid w:val="00122170"/>
    <w:rsid w:val="00122178"/>
    <w:rsid w:val="0012219F"/>
    <w:rsid w:val="00122277"/>
    <w:rsid w:val="00122288"/>
    <w:rsid w:val="001222B3"/>
    <w:rsid w:val="0012232B"/>
    <w:rsid w:val="0012232D"/>
    <w:rsid w:val="00122340"/>
    <w:rsid w:val="0012238A"/>
    <w:rsid w:val="001223B5"/>
    <w:rsid w:val="00122414"/>
    <w:rsid w:val="0012242C"/>
    <w:rsid w:val="00122459"/>
    <w:rsid w:val="0012248D"/>
    <w:rsid w:val="00122493"/>
    <w:rsid w:val="001224C9"/>
    <w:rsid w:val="001224F3"/>
    <w:rsid w:val="0012250A"/>
    <w:rsid w:val="00122563"/>
    <w:rsid w:val="00122577"/>
    <w:rsid w:val="001225AF"/>
    <w:rsid w:val="001225F9"/>
    <w:rsid w:val="0012261E"/>
    <w:rsid w:val="00122628"/>
    <w:rsid w:val="001226F2"/>
    <w:rsid w:val="001226F9"/>
    <w:rsid w:val="00122701"/>
    <w:rsid w:val="00122754"/>
    <w:rsid w:val="0012276E"/>
    <w:rsid w:val="00122783"/>
    <w:rsid w:val="00122798"/>
    <w:rsid w:val="001228D2"/>
    <w:rsid w:val="0012290F"/>
    <w:rsid w:val="0012291D"/>
    <w:rsid w:val="00122952"/>
    <w:rsid w:val="00122955"/>
    <w:rsid w:val="00122961"/>
    <w:rsid w:val="00122968"/>
    <w:rsid w:val="0012297B"/>
    <w:rsid w:val="001229CD"/>
    <w:rsid w:val="001229D7"/>
    <w:rsid w:val="00122A5C"/>
    <w:rsid w:val="00122A64"/>
    <w:rsid w:val="00122AB7"/>
    <w:rsid w:val="00122ACE"/>
    <w:rsid w:val="00122B69"/>
    <w:rsid w:val="00122BF1"/>
    <w:rsid w:val="00122C06"/>
    <w:rsid w:val="00122C78"/>
    <w:rsid w:val="00122C8E"/>
    <w:rsid w:val="00122CAD"/>
    <w:rsid w:val="00122CE8"/>
    <w:rsid w:val="00122CF2"/>
    <w:rsid w:val="00122D23"/>
    <w:rsid w:val="00122DC1"/>
    <w:rsid w:val="00122DC8"/>
    <w:rsid w:val="00122E03"/>
    <w:rsid w:val="00122E70"/>
    <w:rsid w:val="00122EB6"/>
    <w:rsid w:val="00122F8F"/>
    <w:rsid w:val="00122F90"/>
    <w:rsid w:val="00122FD6"/>
    <w:rsid w:val="00123002"/>
    <w:rsid w:val="0012304A"/>
    <w:rsid w:val="00123057"/>
    <w:rsid w:val="0012306A"/>
    <w:rsid w:val="00123117"/>
    <w:rsid w:val="0012313F"/>
    <w:rsid w:val="00123142"/>
    <w:rsid w:val="0012314D"/>
    <w:rsid w:val="0012315E"/>
    <w:rsid w:val="00123197"/>
    <w:rsid w:val="001231B4"/>
    <w:rsid w:val="001231EC"/>
    <w:rsid w:val="001231F5"/>
    <w:rsid w:val="00123220"/>
    <w:rsid w:val="0012327E"/>
    <w:rsid w:val="001232CD"/>
    <w:rsid w:val="00123397"/>
    <w:rsid w:val="001233DA"/>
    <w:rsid w:val="001233DD"/>
    <w:rsid w:val="001233FE"/>
    <w:rsid w:val="00123403"/>
    <w:rsid w:val="0012341E"/>
    <w:rsid w:val="001234A0"/>
    <w:rsid w:val="001234A8"/>
    <w:rsid w:val="0012351B"/>
    <w:rsid w:val="0012352A"/>
    <w:rsid w:val="00123596"/>
    <w:rsid w:val="0012359B"/>
    <w:rsid w:val="001235A6"/>
    <w:rsid w:val="001235A8"/>
    <w:rsid w:val="001235C7"/>
    <w:rsid w:val="001235CA"/>
    <w:rsid w:val="001235D0"/>
    <w:rsid w:val="001235D5"/>
    <w:rsid w:val="0012362D"/>
    <w:rsid w:val="0012367B"/>
    <w:rsid w:val="001237CD"/>
    <w:rsid w:val="00123805"/>
    <w:rsid w:val="0012386E"/>
    <w:rsid w:val="0012389D"/>
    <w:rsid w:val="001238AE"/>
    <w:rsid w:val="0012394E"/>
    <w:rsid w:val="0012397A"/>
    <w:rsid w:val="001239DF"/>
    <w:rsid w:val="00123A03"/>
    <w:rsid w:val="00123A41"/>
    <w:rsid w:val="00123A61"/>
    <w:rsid w:val="00123AD4"/>
    <w:rsid w:val="00123AEC"/>
    <w:rsid w:val="00123B06"/>
    <w:rsid w:val="00123B0A"/>
    <w:rsid w:val="00123B0E"/>
    <w:rsid w:val="00123B20"/>
    <w:rsid w:val="00123B43"/>
    <w:rsid w:val="00123B51"/>
    <w:rsid w:val="00123B5C"/>
    <w:rsid w:val="00123BD2"/>
    <w:rsid w:val="00123C10"/>
    <w:rsid w:val="00123C8A"/>
    <w:rsid w:val="00123C8F"/>
    <w:rsid w:val="00123CD5"/>
    <w:rsid w:val="00123D64"/>
    <w:rsid w:val="00123D6A"/>
    <w:rsid w:val="00123DF3"/>
    <w:rsid w:val="00123E48"/>
    <w:rsid w:val="00123E81"/>
    <w:rsid w:val="00123F13"/>
    <w:rsid w:val="00123F3C"/>
    <w:rsid w:val="00123FB4"/>
    <w:rsid w:val="00123FEF"/>
    <w:rsid w:val="00124015"/>
    <w:rsid w:val="00124051"/>
    <w:rsid w:val="00124059"/>
    <w:rsid w:val="00124075"/>
    <w:rsid w:val="00124098"/>
    <w:rsid w:val="001240B1"/>
    <w:rsid w:val="001240BC"/>
    <w:rsid w:val="001240BD"/>
    <w:rsid w:val="001240C3"/>
    <w:rsid w:val="001241DB"/>
    <w:rsid w:val="0012428F"/>
    <w:rsid w:val="001242DE"/>
    <w:rsid w:val="001242F3"/>
    <w:rsid w:val="00124321"/>
    <w:rsid w:val="00124391"/>
    <w:rsid w:val="001243F5"/>
    <w:rsid w:val="00124412"/>
    <w:rsid w:val="001244C4"/>
    <w:rsid w:val="001244EC"/>
    <w:rsid w:val="00124575"/>
    <w:rsid w:val="00124595"/>
    <w:rsid w:val="0012459C"/>
    <w:rsid w:val="001245F9"/>
    <w:rsid w:val="00124656"/>
    <w:rsid w:val="00124716"/>
    <w:rsid w:val="00124728"/>
    <w:rsid w:val="00124867"/>
    <w:rsid w:val="00124877"/>
    <w:rsid w:val="001248BD"/>
    <w:rsid w:val="001248DE"/>
    <w:rsid w:val="0012491C"/>
    <w:rsid w:val="0012496C"/>
    <w:rsid w:val="00124971"/>
    <w:rsid w:val="0012499B"/>
    <w:rsid w:val="001249E7"/>
    <w:rsid w:val="00124A0E"/>
    <w:rsid w:val="00124A25"/>
    <w:rsid w:val="00124A28"/>
    <w:rsid w:val="00124A5D"/>
    <w:rsid w:val="00124A8D"/>
    <w:rsid w:val="00124AAF"/>
    <w:rsid w:val="00124AB6"/>
    <w:rsid w:val="00124AFC"/>
    <w:rsid w:val="00124B15"/>
    <w:rsid w:val="00124B2A"/>
    <w:rsid w:val="00124B5C"/>
    <w:rsid w:val="00124B67"/>
    <w:rsid w:val="00124B8E"/>
    <w:rsid w:val="00124BD0"/>
    <w:rsid w:val="00124C19"/>
    <w:rsid w:val="00124C64"/>
    <w:rsid w:val="00124CE5"/>
    <w:rsid w:val="00124CEC"/>
    <w:rsid w:val="00124D07"/>
    <w:rsid w:val="00124D52"/>
    <w:rsid w:val="00124D65"/>
    <w:rsid w:val="00124D91"/>
    <w:rsid w:val="00124D9B"/>
    <w:rsid w:val="00124E08"/>
    <w:rsid w:val="00124E13"/>
    <w:rsid w:val="00124E18"/>
    <w:rsid w:val="00124E22"/>
    <w:rsid w:val="00124E26"/>
    <w:rsid w:val="00124E4E"/>
    <w:rsid w:val="00124E97"/>
    <w:rsid w:val="00124EA9"/>
    <w:rsid w:val="00124EB0"/>
    <w:rsid w:val="00124ECB"/>
    <w:rsid w:val="00124EE0"/>
    <w:rsid w:val="00124EF2"/>
    <w:rsid w:val="00124EFC"/>
    <w:rsid w:val="00124F0B"/>
    <w:rsid w:val="00124F20"/>
    <w:rsid w:val="00124F36"/>
    <w:rsid w:val="00124F4F"/>
    <w:rsid w:val="00124F71"/>
    <w:rsid w:val="00124F77"/>
    <w:rsid w:val="00124FD8"/>
    <w:rsid w:val="00124FDB"/>
    <w:rsid w:val="00125029"/>
    <w:rsid w:val="0012503F"/>
    <w:rsid w:val="0012509C"/>
    <w:rsid w:val="001250B3"/>
    <w:rsid w:val="00125126"/>
    <w:rsid w:val="00125128"/>
    <w:rsid w:val="00125139"/>
    <w:rsid w:val="0012516A"/>
    <w:rsid w:val="001251EA"/>
    <w:rsid w:val="001251F6"/>
    <w:rsid w:val="00125285"/>
    <w:rsid w:val="001252D3"/>
    <w:rsid w:val="00125348"/>
    <w:rsid w:val="0012534E"/>
    <w:rsid w:val="00125361"/>
    <w:rsid w:val="0012536F"/>
    <w:rsid w:val="001253C9"/>
    <w:rsid w:val="001253EE"/>
    <w:rsid w:val="001253FB"/>
    <w:rsid w:val="00125411"/>
    <w:rsid w:val="0012545E"/>
    <w:rsid w:val="00125461"/>
    <w:rsid w:val="001254B8"/>
    <w:rsid w:val="001254F3"/>
    <w:rsid w:val="001255A0"/>
    <w:rsid w:val="001255A2"/>
    <w:rsid w:val="0012562E"/>
    <w:rsid w:val="00125673"/>
    <w:rsid w:val="0012569D"/>
    <w:rsid w:val="001256A4"/>
    <w:rsid w:val="001256BC"/>
    <w:rsid w:val="001256BD"/>
    <w:rsid w:val="001256CB"/>
    <w:rsid w:val="001256E0"/>
    <w:rsid w:val="0012570D"/>
    <w:rsid w:val="00125722"/>
    <w:rsid w:val="00125723"/>
    <w:rsid w:val="0012573A"/>
    <w:rsid w:val="0012579B"/>
    <w:rsid w:val="00125802"/>
    <w:rsid w:val="0012581E"/>
    <w:rsid w:val="001258A2"/>
    <w:rsid w:val="001258DA"/>
    <w:rsid w:val="001258F7"/>
    <w:rsid w:val="00125919"/>
    <w:rsid w:val="00125927"/>
    <w:rsid w:val="00125938"/>
    <w:rsid w:val="00125952"/>
    <w:rsid w:val="001259CE"/>
    <w:rsid w:val="001259E7"/>
    <w:rsid w:val="001259F2"/>
    <w:rsid w:val="00125A39"/>
    <w:rsid w:val="00125A78"/>
    <w:rsid w:val="00125A80"/>
    <w:rsid w:val="00125A94"/>
    <w:rsid w:val="00125AF2"/>
    <w:rsid w:val="00125B45"/>
    <w:rsid w:val="00125B76"/>
    <w:rsid w:val="00125BB1"/>
    <w:rsid w:val="00125C0A"/>
    <w:rsid w:val="00125C3A"/>
    <w:rsid w:val="00125D10"/>
    <w:rsid w:val="00125D15"/>
    <w:rsid w:val="00125D21"/>
    <w:rsid w:val="00125D22"/>
    <w:rsid w:val="00125D81"/>
    <w:rsid w:val="00125DD7"/>
    <w:rsid w:val="00125E29"/>
    <w:rsid w:val="00125E6F"/>
    <w:rsid w:val="00125EA8"/>
    <w:rsid w:val="00125ECC"/>
    <w:rsid w:val="00125F47"/>
    <w:rsid w:val="00125F68"/>
    <w:rsid w:val="00125F98"/>
    <w:rsid w:val="00125FC4"/>
    <w:rsid w:val="00125FEA"/>
    <w:rsid w:val="00125FFE"/>
    <w:rsid w:val="00126033"/>
    <w:rsid w:val="00126056"/>
    <w:rsid w:val="001260A2"/>
    <w:rsid w:val="001260A3"/>
    <w:rsid w:val="0012612D"/>
    <w:rsid w:val="0012612F"/>
    <w:rsid w:val="0012616C"/>
    <w:rsid w:val="001261BA"/>
    <w:rsid w:val="001261BC"/>
    <w:rsid w:val="00126281"/>
    <w:rsid w:val="00126288"/>
    <w:rsid w:val="0012628C"/>
    <w:rsid w:val="0012628D"/>
    <w:rsid w:val="001262F6"/>
    <w:rsid w:val="00126301"/>
    <w:rsid w:val="001263E5"/>
    <w:rsid w:val="001263FB"/>
    <w:rsid w:val="001263FE"/>
    <w:rsid w:val="00126414"/>
    <w:rsid w:val="0012644D"/>
    <w:rsid w:val="0012655A"/>
    <w:rsid w:val="001265A3"/>
    <w:rsid w:val="001265EE"/>
    <w:rsid w:val="001265F7"/>
    <w:rsid w:val="00126607"/>
    <w:rsid w:val="0012668D"/>
    <w:rsid w:val="001266C7"/>
    <w:rsid w:val="001266C8"/>
    <w:rsid w:val="001266C9"/>
    <w:rsid w:val="001267A8"/>
    <w:rsid w:val="001267D2"/>
    <w:rsid w:val="001267E5"/>
    <w:rsid w:val="001267E7"/>
    <w:rsid w:val="001267EE"/>
    <w:rsid w:val="00126851"/>
    <w:rsid w:val="001268BA"/>
    <w:rsid w:val="001268C3"/>
    <w:rsid w:val="001268E0"/>
    <w:rsid w:val="001268F9"/>
    <w:rsid w:val="0012690F"/>
    <w:rsid w:val="00126944"/>
    <w:rsid w:val="001269BD"/>
    <w:rsid w:val="00126A17"/>
    <w:rsid w:val="00126A25"/>
    <w:rsid w:val="00126B22"/>
    <w:rsid w:val="00126B3B"/>
    <w:rsid w:val="00126B40"/>
    <w:rsid w:val="00126B5A"/>
    <w:rsid w:val="00126B71"/>
    <w:rsid w:val="00126B74"/>
    <w:rsid w:val="00126B83"/>
    <w:rsid w:val="00126BCE"/>
    <w:rsid w:val="00126C00"/>
    <w:rsid w:val="00126C14"/>
    <w:rsid w:val="00126C44"/>
    <w:rsid w:val="00126C55"/>
    <w:rsid w:val="00126C79"/>
    <w:rsid w:val="00126D3A"/>
    <w:rsid w:val="00126D61"/>
    <w:rsid w:val="00126D9F"/>
    <w:rsid w:val="00126DA7"/>
    <w:rsid w:val="00126DBC"/>
    <w:rsid w:val="00126DEF"/>
    <w:rsid w:val="00126DF5"/>
    <w:rsid w:val="00126E21"/>
    <w:rsid w:val="00126E73"/>
    <w:rsid w:val="00126E7A"/>
    <w:rsid w:val="00126E82"/>
    <w:rsid w:val="00126ED5"/>
    <w:rsid w:val="00126F16"/>
    <w:rsid w:val="00126F33"/>
    <w:rsid w:val="00126F51"/>
    <w:rsid w:val="00126F54"/>
    <w:rsid w:val="00126F77"/>
    <w:rsid w:val="00126FA4"/>
    <w:rsid w:val="00126FA9"/>
    <w:rsid w:val="00126FBD"/>
    <w:rsid w:val="00126FBF"/>
    <w:rsid w:val="00127008"/>
    <w:rsid w:val="00127027"/>
    <w:rsid w:val="00127043"/>
    <w:rsid w:val="00127046"/>
    <w:rsid w:val="0012704B"/>
    <w:rsid w:val="00127080"/>
    <w:rsid w:val="001270BB"/>
    <w:rsid w:val="001270FC"/>
    <w:rsid w:val="0012720A"/>
    <w:rsid w:val="00127243"/>
    <w:rsid w:val="0012725B"/>
    <w:rsid w:val="001272B7"/>
    <w:rsid w:val="001272EC"/>
    <w:rsid w:val="00127355"/>
    <w:rsid w:val="00127373"/>
    <w:rsid w:val="001273BE"/>
    <w:rsid w:val="001273CF"/>
    <w:rsid w:val="001273DF"/>
    <w:rsid w:val="00127421"/>
    <w:rsid w:val="00127423"/>
    <w:rsid w:val="00127463"/>
    <w:rsid w:val="0012746F"/>
    <w:rsid w:val="00127485"/>
    <w:rsid w:val="001274DE"/>
    <w:rsid w:val="001274ED"/>
    <w:rsid w:val="00127501"/>
    <w:rsid w:val="00127514"/>
    <w:rsid w:val="00127539"/>
    <w:rsid w:val="00127587"/>
    <w:rsid w:val="00127595"/>
    <w:rsid w:val="0012761E"/>
    <w:rsid w:val="0012762D"/>
    <w:rsid w:val="00127678"/>
    <w:rsid w:val="0012768E"/>
    <w:rsid w:val="001276C1"/>
    <w:rsid w:val="001276F9"/>
    <w:rsid w:val="00127752"/>
    <w:rsid w:val="00127761"/>
    <w:rsid w:val="00127768"/>
    <w:rsid w:val="001277A5"/>
    <w:rsid w:val="001277C9"/>
    <w:rsid w:val="001277D9"/>
    <w:rsid w:val="00127815"/>
    <w:rsid w:val="00127887"/>
    <w:rsid w:val="001278AF"/>
    <w:rsid w:val="001278F3"/>
    <w:rsid w:val="0012793C"/>
    <w:rsid w:val="00127987"/>
    <w:rsid w:val="001279A5"/>
    <w:rsid w:val="001279B3"/>
    <w:rsid w:val="00127A27"/>
    <w:rsid w:val="00127A51"/>
    <w:rsid w:val="00127A6B"/>
    <w:rsid w:val="00127A7B"/>
    <w:rsid w:val="00127A93"/>
    <w:rsid w:val="00127ADC"/>
    <w:rsid w:val="00127B0F"/>
    <w:rsid w:val="00127B17"/>
    <w:rsid w:val="00127B36"/>
    <w:rsid w:val="00127B6F"/>
    <w:rsid w:val="00127B90"/>
    <w:rsid w:val="00127B96"/>
    <w:rsid w:val="00127BD4"/>
    <w:rsid w:val="00127BE1"/>
    <w:rsid w:val="00127BFA"/>
    <w:rsid w:val="00127C01"/>
    <w:rsid w:val="00127C1F"/>
    <w:rsid w:val="00127C4D"/>
    <w:rsid w:val="00127C62"/>
    <w:rsid w:val="00127C73"/>
    <w:rsid w:val="00127CA7"/>
    <w:rsid w:val="00127CCC"/>
    <w:rsid w:val="00127D04"/>
    <w:rsid w:val="00127D23"/>
    <w:rsid w:val="00127D5B"/>
    <w:rsid w:val="00127D7F"/>
    <w:rsid w:val="00127D82"/>
    <w:rsid w:val="00127DA5"/>
    <w:rsid w:val="00127DF4"/>
    <w:rsid w:val="00127E04"/>
    <w:rsid w:val="00127E06"/>
    <w:rsid w:val="00127E92"/>
    <w:rsid w:val="00127EB0"/>
    <w:rsid w:val="00127EF3"/>
    <w:rsid w:val="00127F54"/>
    <w:rsid w:val="00127F77"/>
    <w:rsid w:val="00127FA1"/>
    <w:rsid w:val="00130001"/>
    <w:rsid w:val="00130042"/>
    <w:rsid w:val="0013007E"/>
    <w:rsid w:val="001300E9"/>
    <w:rsid w:val="00130104"/>
    <w:rsid w:val="00130116"/>
    <w:rsid w:val="00130126"/>
    <w:rsid w:val="00130134"/>
    <w:rsid w:val="00130151"/>
    <w:rsid w:val="00130180"/>
    <w:rsid w:val="001301CB"/>
    <w:rsid w:val="001302BD"/>
    <w:rsid w:val="001302E5"/>
    <w:rsid w:val="0013031A"/>
    <w:rsid w:val="0013034C"/>
    <w:rsid w:val="0013039C"/>
    <w:rsid w:val="00130437"/>
    <w:rsid w:val="00130440"/>
    <w:rsid w:val="0013045B"/>
    <w:rsid w:val="0013047C"/>
    <w:rsid w:val="001304D3"/>
    <w:rsid w:val="001304E2"/>
    <w:rsid w:val="00130507"/>
    <w:rsid w:val="0013052C"/>
    <w:rsid w:val="0013054F"/>
    <w:rsid w:val="001305A1"/>
    <w:rsid w:val="001305B1"/>
    <w:rsid w:val="001305C3"/>
    <w:rsid w:val="00130613"/>
    <w:rsid w:val="0013061C"/>
    <w:rsid w:val="00130644"/>
    <w:rsid w:val="00130666"/>
    <w:rsid w:val="00130717"/>
    <w:rsid w:val="0013075C"/>
    <w:rsid w:val="00130768"/>
    <w:rsid w:val="00130772"/>
    <w:rsid w:val="0013081D"/>
    <w:rsid w:val="00130828"/>
    <w:rsid w:val="0013082F"/>
    <w:rsid w:val="00130854"/>
    <w:rsid w:val="0013085A"/>
    <w:rsid w:val="00130883"/>
    <w:rsid w:val="00130885"/>
    <w:rsid w:val="00130947"/>
    <w:rsid w:val="00130956"/>
    <w:rsid w:val="00130961"/>
    <w:rsid w:val="00130A2F"/>
    <w:rsid w:val="00130AB2"/>
    <w:rsid w:val="00130ACD"/>
    <w:rsid w:val="00130AD7"/>
    <w:rsid w:val="00130B04"/>
    <w:rsid w:val="00130B2B"/>
    <w:rsid w:val="00130B3D"/>
    <w:rsid w:val="00130B6E"/>
    <w:rsid w:val="00130BD3"/>
    <w:rsid w:val="00130C03"/>
    <w:rsid w:val="00130C54"/>
    <w:rsid w:val="00130C8A"/>
    <w:rsid w:val="00130C91"/>
    <w:rsid w:val="00130CB6"/>
    <w:rsid w:val="00130CCF"/>
    <w:rsid w:val="00130CF8"/>
    <w:rsid w:val="00130D65"/>
    <w:rsid w:val="00130D90"/>
    <w:rsid w:val="00130DC4"/>
    <w:rsid w:val="00130DDF"/>
    <w:rsid w:val="00130DF3"/>
    <w:rsid w:val="00130DFD"/>
    <w:rsid w:val="00130E2C"/>
    <w:rsid w:val="00130E30"/>
    <w:rsid w:val="00130E90"/>
    <w:rsid w:val="00130EB1"/>
    <w:rsid w:val="00130EE1"/>
    <w:rsid w:val="00130F11"/>
    <w:rsid w:val="00130F5B"/>
    <w:rsid w:val="00130F99"/>
    <w:rsid w:val="00130FB9"/>
    <w:rsid w:val="00130FD3"/>
    <w:rsid w:val="00130FDD"/>
    <w:rsid w:val="00131056"/>
    <w:rsid w:val="00131069"/>
    <w:rsid w:val="001310C1"/>
    <w:rsid w:val="001310C9"/>
    <w:rsid w:val="001310FF"/>
    <w:rsid w:val="00131111"/>
    <w:rsid w:val="00131152"/>
    <w:rsid w:val="001311C8"/>
    <w:rsid w:val="001311D7"/>
    <w:rsid w:val="001311F9"/>
    <w:rsid w:val="00131200"/>
    <w:rsid w:val="0013121F"/>
    <w:rsid w:val="00131224"/>
    <w:rsid w:val="00131289"/>
    <w:rsid w:val="00131293"/>
    <w:rsid w:val="001312B5"/>
    <w:rsid w:val="001312FB"/>
    <w:rsid w:val="00131321"/>
    <w:rsid w:val="0013134B"/>
    <w:rsid w:val="001313EC"/>
    <w:rsid w:val="0013141B"/>
    <w:rsid w:val="00131464"/>
    <w:rsid w:val="001314C5"/>
    <w:rsid w:val="001314D2"/>
    <w:rsid w:val="00131532"/>
    <w:rsid w:val="0013153D"/>
    <w:rsid w:val="00131560"/>
    <w:rsid w:val="001315C0"/>
    <w:rsid w:val="001315DB"/>
    <w:rsid w:val="001315E9"/>
    <w:rsid w:val="001315FF"/>
    <w:rsid w:val="00131610"/>
    <w:rsid w:val="0013164D"/>
    <w:rsid w:val="00131697"/>
    <w:rsid w:val="001316C3"/>
    <w:rsid w:val="001316E9"/>
    <w:rsid w:val="001316F8"/>
    <w:rsid w:val="0013170E"/>
    <w:rsid w:val="0013173F"/>
    <w:rsid w:val="00131740"/>
    <w:rsid w:val="00131747"/>
    <w:rsid w:val="00131773"/>
    <w:rsid w:val="001317CA"/>
    <w:rsid w:val="00131802"/>
    <w:rsid w:val="001318CA"/>
    <w:rsid w:val="0013191F"/>
    <w:rsid w:val="001319A6"/>
    <w:rsid w:val="001319C1"/>
    <w:rsid w:val="001319DD"/>
    <w:rsid w:val="001319F7"/>
    <w:rsid w:val="00131AA9"/>
    <w:rsid w:val="00131AC5"/>
    <w:rsid w:val="00131AC9"/>
    <w:rsid w:val="00131AD5"/>
    <w:rsid w:val="00131AF2"/>
    <w:rsid w:val="00131B07"/>
    <w:rsid w:val="00131B26"/>
    <w:rsid w:val="00131B65"/>
    <w:rsid w:val="00131BB4"/>
    <w:rsid w:val="00131BD9"/>
    <w:rsid w:val="00131C28"/>
    <w:rsid w:val="00131C99"/>
    <w:rsid w:val="00131CA6"/>
    <w:rsid w:val="00131CDF"/>
    <w:rsid w:val="00131CE6"/>
    <w:rsid w:val="00131D04"/>
    <w:rsid w:val="00131D09"/>
    <w:rsid w:val="00131D7C"/>
    <w:rsid w:val="00131DA7"/>
    <w:rsid w:val="00131DED"/>
    <w:rsid w:val="00131E08"/>
    <w:rsid w:val="00131E19"/>
    <w:rsid w:val="00131E5B"/>
    <w:rsid w:val="00131E73"/>
    <w:rsid w:val="00131E9B"/>
    <w:rsid w:val="00131EB7"/>
    <w:rsid w:val="00131EE4"/>
    <w:rsid w:val="00131F15"/>
    <w:rsid w:val="00131F4C"/>
    <w:rsid w:val="00131F72"/>
    <w:rsid w:val="00131F94"/>
    <w:rsid w:val="00131FA3"/>
    <w:rsid w:val="00131FCC"/>
    <w:rsid w:val="00131FEB"/>
    <w:rsid w:val="00132014"/>
    <w:rsid w:val="00132050"/>
    <w:rsid w:val="00132067"/>
    <w:rsid w:val="0013206B"/>
    <w:rsid w:val="001320C8"/>
    <w:rsid w:val="001320CF"/>
    <w:rsid w:val="001320DF"/>
    <w:rsid w:val="00132160"/>
    <w:rsid w:val="0013216A"/>
    <w:rsid w:val="00132183"/>
    <w:rsid w:val="001321B7"/>
    <w:rsid w:val="001321D9"/>
    <w:rsid w:val="001321E4"/>
    <w:rsid w:val="00132236"/>
    <w:rsid w:val="0013226F"/>
    <w:rsid w:val="001322D1"/>
    <w:rsid w:val="00132321"/>
    <w:rsid w:val="00132337"/>
    <w:rsid w:val="001323F9"/>
    <w:rsid w:val="001324AC"/>
    <w:rsid w:val="001324E6"/>
    <w:rsid w:val="00132568"/>
    <w:rsid w:val="001325A5"/>
    <w:rsid w:val="001325CF"/>
    <w:rsid w:val="001325D6"/>
    <w:rsid w:val="001325F5"/>
    <w:rsid w:val="00132619"/>
    <w:rsid w:val="001326BC"/>
    <w:rsid w:val="001326D9"/>
    <w:rsid w:val="001326F1"/>
    <w:rsid w:val="00132734"/>
    <w:rsid w:val="0013277D"/>
    <w:rsid w:val="001327B9"/>
    <w:rsid w:val="001327BC"/>
    <w:rsid w:val="001327BF"/>
    <w:rsid w:val="00132895"/>
    <w:rsid w:val="0013289B"/>
    <w:rsid w:val="00132984"/>
    <w:rsid w:val="00132A0F"/>
    <w:rsid w:val="00132A2A"/>
    <w:rsid w:val="00132ABB"/>
    <w:rsid w:val="00132ACF"/>
    <w:rsid w:val="00132ADD"/>
    <w:rsid w:val="00132B79"/>
    <w:rsid w:val="00132BA0"/>
    <w:rsid w:val="00132BAA"/>
    <w:rsid w:val="00132C03"/>
    <w:rsid w:val="00132C2A"/>
    <w:rsid w:val="00132CCB"/>
    <w:rsid w:val="00132CD9"/>
    <w:rsid w:val="00132D81"/>
    <w:rsid w:val="00132DD0"/>
    <w:rsid w:val="00132DD6"/>
    <w:rsid w:val="00132E08"/>
    <w:rsid w:val="00132E73"/>
    <w:rsid w:val="00132E92"/>
    <w:rsid w:val="00132E9F"/>
    <w:rsid w:val="00132EAD"/>
    <w:rsid w:val="00132ED6"/>
    <w:rsid w:val="00132F32"/>
    <w:rsid w:val="00132F37"/>
    <w:rsid w:val="00132F5B"/>
    <w:rsid w:val="00132F5E"/>
    <w:rsid w:val="00132F83"/>
    <w:rsid w:val="00133014"/>
    <w:rsid w:val="0013307F"/>
    <w:rsid w:val="001330C8"/>
    <w:rsid w:val="001330D4"/>
    <w:rsid w:val="001330D8"/>
    <w:rsid w:val="001330F6"/>
    <w:rsid w:val="0013312F"/>
    <w:rsid w:val="0013316A"/>
    <w:rsid w:val="0013317C"/>
    <w:rsid w:val="0013317F"/>
    <w:rsid w:val="0013319A"/>
    <w:rsid w:val="001331A7"/>
    <w:rsid w:val="001331B0"/>
    <w:rsid w:val="001331D9"/>
    <w:rsid w:val="00133239"/>
    <w:rsid w:val="0013323E"/>
    <w:rsid w:val="00133260"/>
    <w:rsid w:val="0013326B"/>
    <w:rsid w:val="001332EB"/>
    <w:rsid w:val="00133315"/>
    <w:rsid w:val="00133320"/>
    <w:rsid w:val="00133326"/>
    <w:rsid w:val="00133360"/>
    <w:rsid w:val="001333E1"/>
    <w:rsid w:val="0013342F"/>
    <w:rsid w:val="0013345D"/>
    <w:rsid w:val="00133479"/>
    <w:rsid w:val="00133486"/>
    <w:rsid w:val="00133507"/>
    <w:rsid w:val="00133529"/>
    <w:rsid w:val="0013353D"/>
    <w:rsid w:val="00133543"/>
    <w:rsid w:val="001335C3"/>
    <w:rsid w:val="001335FD"/>
    <w:rsid w:val="00133674"/>
    <w:rsid w:val="001336C1"/>
    <w:rsid w:val="001336C5"/>
    <w:rsid w:val="00133762"/>
    <w:rsid w:val="00133765"/>
    <w:rsid w:val="001337B4"/>
    <w:rsid w:val="00133857"/>
    <w:rsid w:val="001338C3"/>
    <w:rsid w:val="0013390B"/>
    <w:rsid w:val="00133923"/>
    <w:rsid w:val="0013394D"/>
    <w:rsid w:val="0013399D"/>
    <w:rsid w:val="001339BB"/>
    <w:rsid w:val="001339EF"/>
    <w:rsid w:val="00133A1A"/>
    <w:rsid w:val="00133A60"/>
    <w:rsid w:val="00133A91"/>
    <w:rsid w:val="00133AAB"/>
    <w:rsid w:val="00133AAD"/>
    <w:rsid w:val="00133ABA"/>
    <w:rsid w:val="00133AE8"/>
    <w:rsid w:val="00133AFD"/>
    <w:rsid w:val="00133B57"/>
    <w:rsid w:val="00133B86"/>
    <w:rsid w:val="00133BA2"/>
    <w:rsid w:val="00133BDE"/>
    <w:rsid w:val="00133C59"/>
    <w:rsid w:val="00133C97"/>
    <w:rsid w:val="00133CA9"/>
    <w:rsid w:val="00133CBA"/>
    <w:rsid w:val="00133CCC"/>
    <w:rsid w:val="00133CD7"/>
    <w:rsid w:val="00133CEE"/>
    <w:rsid w:val="00133D08"/>
    <w:rsid w:val="00133D0E"/>
    <w:rsid w:val="00133D1E"/>
    <w:rsid w:val="00133D74"/>
    <w:rsid w:val="00133E29"/>
    <w:rsid w:val="00133E2B"/>
    <w:rsid w:val="00133E38"/>
    <w:rsid w:val="00133E5A"/>
    <w:rsid w:val="00133E5F"/>
    <w:rsid w:val="00133EAA"/>
    <w:rsid w:val="00133ED1"/>
    <w:rsid w:val="00133EE6"/>
    <w:rsid w:val="00133F0A"/>
    <w:rsid w:val="00133F14"/>
    <w:rsid w:val="00133FB6"/>
    <w:rsid w:val="00133FC7"/>
    <w:rsid w:val="00133FD9"/>
    <w:rsid w:val="00133FE7"/>
    <w:rsid w:val="0013400B"/>
    <w:rsid w:val="00134070"/>
    <w:rsid w:val="001340D3"/>
    <w:rsid w:val="001340E9"/>
    <w:rsid w:val="00134114"/>
    <w:rsid w:val="0013419E"/>
    <w:rsid w:val="001341C2"/>
    <w:rsid w:val="0013425A"/>
    <w:rsid w:val="001342A3"/>
    <w:rsid w:val="001342FE"/>
    <w:rsid w:val="00134318"/>
    <w:rsid w:val="0013432D"/>
    <w:rsid w:val="00134332"/>
    <w:rsid w:val="00134347"/>
    <w:rsid w:val="0013435F"/>
    <w:rsid w:val="0013439A"/>
    <w:rsid w:val="00134403"/>
    <w:rsid w:val="0013444C"/>
    <w:rsid w:val="00134485"/>
    <w:rsid w:val="0013448E"/>
    <w:rsid w:val="001344FA"/>
    <w:rsid w:val="00134584"/>
    <w:rsid w:val="001345BA"/>
    <w:rsid w:val="001345CA"/>
    <w:rsid w:val="001346F6"/>
    <w:rsid w:val="00134705"/>
    <w:rsid w:val="00134717"/>
    <w:rsid w:val="00134731"/>
    <w:rsid w:val="0013473B"/>
    <w:rsid w:val="00134748"/>
    <w:rsid w:val="00134780"/>
    <w:rsid w:val="0013479B"/>
    <w:rsid w:val="0013479D"/>
    <w:rsid w:val="001347B2"/>
    <w:rsid w:val="001347DF"/>
    <w:rsid w:val="001347EE"/>
    <w:rsid w:val="001347F0"/>
    <w:rsid w:val="0013480C"/>
    <w:rsid w:val="00134851"/>
    <w:rsid w:val="00134876"/>
    <w:rsid w:val="0013489C"/>
    <w:rsid w:val="001348FB"/>
    <w:rsid w:val="00134904"/>
    <w:rsid w:val="00134910"/>
    <w:rsid w:val="001349C1"/>
    <w:rsid w:val="00134A10"/>
    <w:rsid w:val="00134AB2"/>
    <w:rsid w:val="00134AD5"/>
    <w:rsid w:val="00134B06"/>
    <w:rsid w:val="00134B92"/>
    <w:rsid w:val="00134BE4"/>
    <w:rsid w:val="00134C4A"/>
    <w:rsid w:val="00134CA5"/>
    <w:rsid w:val="00134D5B"/>
    <w:rsid w:val="00134D66"/>
    <w:rsid w:val="00134E0E"/>
    <w:rsid w:val="00134E26"/>
    <w:rsid w:val="00134E3D"/>
    <w:rsid w:val="00134E49"/>
    <w:rsid w:val="00134E8E"/>
    <w:rsid w:val="00134EB1"/>
    <w:rsid w:val="00134F81"/>
    <w:rsid w:val="00134FB8"/>
    <w:rsid w:val="00135048"/>
    <w:rsid w:val="00135094"/>
    <w:rsid w:val="001350E9"/>
    <w:rsid w:val="00135113"/>
    <w:rsid w:val="00135124"/>
    <w:rsid w:val="00135140"/>
    <w:rsid w:val="00135160"/>
    <w:rsid w:val="001351AB"/>
    <w:rsid w:val="001351B4"/>
    <w:rsid w:val="001351E8"/>
    <w:rsid w:val="00135238"/>
    <w:rsid w:val="00135288"/>
    <w:rsid w:val="0013529F"/>
    <w:rsid w:val="001352CB"/>
    <w:rsid w:val="0013530E"/>
    <w:rsid w:val="00135320"/>
    <w:rsid w:val="00135326"/>
    <w:rsid w:val="00135395"/>
    <w:rsid w:val="00135399"/>
    <w:rsid w:val="001353B1"/>
    <w:rsid w:val="001353C3"/>
    <w:rsid w:val="001353DC"/>
    <w:rsid w:val="0013540C"/>
    <w:rsid w:val="00135433"/>
    <w:rsid w:val="00135441"/>
    <w:rsid w:val="00135474"/>
    <w:rsid w:val="0013548B"/>
    <w:rsid w:val="0013549D"/>
    <w:rsid w:val="00135500"/>
    <w:rsid w:val="00135571"/>
    <w:rsid w:val="0013558F"/>
    <w:rsid w:val="00135591"/>
    <w:rsid w:val="001355D5"/>
    <w:rsid w:val="001355DB"/>
    <w:rsid w:val="001355E9"/>
    <w:rsid w:val="00135607"/>
    <w:rsid w:val="0013560F"/>
    <w:rsid w:val="00135611"/>
    <w:rsid w:val="001356DD"/>
    <w:rsid w:val="001356EB"/>
    <w:rsid w:val="00135763"/>
    <w:rsid w:val="0013577C"/>
    <w:rsid w:val="0013578B"/>
    <w:rsid w:val="001357C5"/>
    <w:rsid w:val="001357E9"/>
    <w:rsid w:val="00135857"/>
    <w:rsid w:val="00135876"/>
    <w:rsid w:val="00135895"/>
    <w:rsid w:val="00135896"/>
    <w:rsid w:val="00135898"/>
    <w:rsid w:val="00135901"/>
    <w:rsid w:val="00135910"/>
    <w:rsid w:val="00135921"/>
    <w:rsid w:val="0013593C"/>
    <w:rsid w:val="00135980"/>
    <w:rsid w:val="001359EE"/>
    <w:rsid w:val="00135A77"/>
    <w:rsid w:val="00135AB7"/>
    <w:rsid w:val="00135B00"/>
    <w:rsid w:val="00135B58"/>
    <w:rsid w:val="00135B73"/>
    <w:rsid w:val="00135B93"/>
    <w:rsid w:val="00135BAE"/>
    <w:rsid w:val="00135BD7"/>
    <w:rsid w:val="00135C0E"/>
    <w:rsid w:val="00135C50"/>
    <w:rsid w:val="00135CD3"/>
    <w:rsid w:val="00135CE1"/>
    <w:rsid w:val="00135D10"/>
    <w:rsid w:val="00135D87"/>
    <w:rsid w:val="00135D8C"/>
    <w:rsid w:val="00135DA9"/>
    <w:rsid w:val="00135E08"/>
    <w:rsid w:val="00135E14"/>
    <w:rsid w:val="00135E88"/>
    <w:rsid w:val="00135EB3"/>
    <w:rsid w:val="00135EBE"/>
    <w:rsid w:val="00135EE5"/>
    <w:rsid w:val="00135F09"/>
    <w:rsid w:val="00135F50"/>
    <w:rsid w:val="00135F79"/>
    <w:rsid w:val="00135FA6"/>
    <w:rsid w:val="00135FCE"/>
    <w:rsid w:val="0013602B"/>
    <w:rsid w:val="00136033"/>
    <w:rsid w:val="00136045"/>
    <w:rsid w:val="001360A4"/>
    <w:rsid w:val="001360E3"/>
    <w:rsid w:val="00136109"/>
    <w:rsid w:val="001361C6"/>
    <w:rsid w:val="001361D6"/>
    <w:rsid w:val="001361DD"/>
    <w:rsid w:val="00136220"/>
    <w:rsid w:val="0013622B"/>
    <w:rsid w:val="00136248"/>
    <w:rsid w:val="0013626E"/>
    <w:rsid w:val="0013627C"/>
    <w:rsid w:val="001362B4"/>
    <w:rsid w:val="001362F5"/>
    <w:rsid w:val="001362F7"/>
    <w:rsid w:val="0013630A"/>
    <w:rsid w:val="00136370"/>
    <w:rsid w:val="0013637D"/>
    <w:rsid w:val="001363A6"/>
    <w:rsid w:val="00136464"/>
    <w:rsid w:val="0013658F"/>
    <w:rsid w:val="00136646"/>
    <w:rsid w:val="00136648"/>
    <w:rsid w:val="00136663"/>
    <w:rsid w:val="00136682"/>
    <w:rsid w:val="0013668E"/>
    <w:rsid w:val="00136796"/>
    <w:rsid w:val="001367A2"/>
    <w:rsid w:val="001367A4"/>
    <w:rsid w:val="001368D7"/>
    <w:rsid w:val="001368DD"/>
    <w:rsid w:val="001368EC"/>
    <w:rsid w:val="001368F5"/>
    <w:rsid w:val="0013690C"/>
    <w:rsid w:val="00136946"/>
    <w:rsid w:val="0013694F"/>
    <w:rsid w:val="001369AE"/>
    <w:rsid w:val="001369FF"/>
    <w:rsid w:val="00136A20"/>
    <w:rsid w:val="00136AC9"/>
    <w:rsid w:val="00136ACA"/>
    <w:rsid w:val="00136AEE"/>
    <w:rsid w:val="00136B01"/>
    <w:rsid w:val="00136B11"/>
    <w:rsid w:val="00136B14"/>
    <w:rsid w:val="00136B23"/>
    <w:rsid w:val="00136B32"/>
    <w:rsid w:val="00136B59"/>
    <w:rsid w:val="00136B91"/>
    <w:rsid w:val="00136BAE"/>
    <w:rsid w:val="00136BB3"/>
    <w:rsid w:val="00136BC5"/>
    <w:rsid w:val="00136C23"/>
    <w:rsid w:val="00136C43"/>
    <w:rsid w:val="00136CB0"/>
    <w:rsid w:val="00136CD4"/>
    <w:rsid w:val="00136CF8"/>
    <w:rsid w:val="00136D61"/>
    <w:rsid w:val="00136D6F"/>
    <w:rsid w:val="00136D83"/>
    <w:rsid w:val="00136D87"/>
    <w:rsid w:val="00136D8F"/>
    <w:rsid w:val="00136DB5"/>
    <w:rsid w:val="00136DBC"/>
    <w:rsid w:val="00136DFF"/>
    <w:rsid w:val="00136E11"/>
    <w:rsid w:val="00136E32"/>
    <w:rsid w:val="00136E3E"/>
    <w:rsid w:val="00136E61"/>
    <w:rsid w:val="00136EB4"/>
    <w:rsid w:val="00136EBA"/>
    <w:rsid w:val="00136ED5"/>
    <w:rsid w:val="00136EE8"/>
    <w:rsid w:val="00136F28"/>
    <w:rsid w:val="00136F32"/>
    <w:rsid w:val="00136FA6"/>
    <w:rsid w:val="00136FCC"/>
    <w:rsid w:val="00137005"/>
    <w:rsid w:val="001370CB"/>
    <w:rsid w:val="001370D7"/>
    <w:rsid w:val="001370EB"/>
    <w:rsid w:val="00137121"/>
    <w:rsid w:val="00137126"/>
    <w:rsid w:val="00137133"/>
    <w:rsid w:val="0013714E"/>
    <w:rsid w:val="00137175"/>
    <w:rsid w:val="001371A8"/>
    <w:rsid w:val="001371C0"/>
    <w:rsid w:val="001371C7"/>
    <w:rsid w:val="001371E5"/>
    <w:rsid w:val="00137208"/>
    <w:rsid w:val="0013724F"/>
    <w:rsid w:val="001372AE"/>
    <w:rsid w:val="001372C7"/>
    <w:rsid w:val="001372E2"/>
    <w:rsid w:val="001373C9"/>
    <w:rsid w:val="001373F8"/>
    <w:rsid w:val="00137409"/>
    <w:rsid w:val="0013741C"/>
    <w:rsid w:val="00137438"/>
    <w:rsid w:val="0013743F"/>
    <w:rsid w:val="00137443"/>
    <w:rsid w:val="00137452"/>
    <w:rsid w:val="00137483"/>
    <w:rsid w:val="001374AB"/>
    <w:rsid w:val="001374CB"/>
    <w:rsid w:val="001374E4"/>
    <w:rsid w:val="001374F7"/>
    <w:rsid w:val="00137544"/>
    <w:rsid w:val="0013754A"/>
    <w:rsid w:val="0013759D"/>
    <w:rsid w:val="001375BC"/>
    <w:rsid w:val="00137635"/>
    <w:rsid w:val="001376B7"/>
    <w:rsid w:val="001376CC"/>
    <w:rsid w:val="001376D2"/>
    <w:rsid w:val="001376D3"/>
    <w:rsid w:val="001376F6"/>
    <w:rsid w:val="0013770B"/>
    <w:rsid w:val="00137736"/>
    <w:rsid w:val="0013774A"/>
    <w:rsid w:val="0013776A"/>
    <w:rsid w:val="001377D9"/>
    <w:rsid w:val="001377F1"/>
    <w:rsid w:val="001377F3"/>
    <w:rsid w:val="001377F7"/>
    <w:rsid w:val="00137881"/>
    <w:rsid w:val="001378A1"/>
    <w:rsid w:val="001379C7"/>
    <w:rsid w:val="001379FF"/>
    <w:rsid w:val="00137A1E"/>
    <w:rsid w:val="00137A31"/>
    <w:rsid w:val="00137A88"/>
    <w:rsid w:val="00137AED"/>
    <w:rsid w:val="00137B4E"/>
    <w:rsid w:val="00137B75"/>
    <w:rsid w:val="00137B8A"/>
    <w:rsid w:val="00137B92"/>
    <w:rsid w:val="00137BD6"/>
    <w:rsid w:val="00137BEB"/>
    <w:rsid w:val="00137C52"/>
    <w:rsid w:val="00137C7C"/>
    <w:rsid w:val="00137C8D"/>
    <w:rsid w:val="00137CAE"/>
    <w:rsid w:val="00137CE3"/>
    <w:rsid w:val="00137CE9"/>
    <w:rsid w:val="00137D11"/>
    <w:rsid w:val="00137D17"/>
    <w:rsid w:val="00137D64"/>
    <w:rsid w:val="00137D66"/>
    <w:rsid w:val="00137DB2"/>
    <w:rsid w:val="00137DD3"/>
    <w:rsid w:val="00137E70"/>
    <w:rsid w:val="00137E7B"/>
    <w:rsid w:val="00137EA0"/>
    <w:rsid w:val="00137EFC"/>
    <w:rsid w:val="00137F03"/>
    <w:rsid w:val="00137F05"/>
    <w:rsid w:val="00137F2A"/>
    <w:rsid w:val="00137F72"/>
    <w:rsid w:val="00137F75"/>
    <w:rsid w:val="00137F99"/>
    <w:rsid w:val="00137F9E"/>
    <w:rsid w:val="00137FB5"/>
    <w:rsid w:val="00137FE8"/>
    <w:rsid w:val="00137FF6"/>
    <w:rsid w:val="00140009"/>
    <w:rsid w:val="0014003B"/>
    <w:rsid w:val="0014006A"/>
    <w:rsid w:val="00140090"/>
    <w:rsid w:val="001400CA"/>
    <w:rsid w:val="001400DE"/>
    <w:rsid w:val="0014013F"/>
    <w:rsid w:val="00140221"/>
    <w:rsid w:val="00140237"/>
    <w:rsid w:val="00140257"/>
    <w:rsid w:val="00140284"/>
    <w:rsid w:val="0014029C"/>
    <w:rsid w:val="0014029E"/>
    <w:rsid w:val="0014035B"/>
    <w:rsid w:val="00140399"/>
    <w:rsid w:val="00140414"/>
    <w:rsid w:val="0014043F"/>
    <w:rsid w:val="00140482"/>
    <w:rsid w:val="00140498"/>
    <w:rsid w:val="001404EC"/>
    <w:rsid w:val="00140588"/>
    <w:rsid w:val="001405B4"/>
    <w:rsid w:val="001405B7"/>
    <w:rsid w:val="00140634"/>
    <w:rsid w:val="00140659"/>
    <w:rsid w:val="00140680"/>
    <w:rsid w:val="00140695"/>
    <w:rsid w:val="001406A2"/>
    <w:rsid w:val="001406CE"/>
    <w:rsid w:val="001406D7"/>
    <w:rsid w:val="001406E5"/>
    <w:rsid w:val="00140780"/>
    <w:rsid w:val="00140784"/>
    <w:rsid w:val="001407A6"/>
    <w:rsid w:val="001407E4"/>
    <w:rsid w:val="001407EC"/>
    <w:rsid w:val="00140881"/>
    <w:rsid w:val="00140890"/>
    <w:rsid w:val="001408EA"/>
    <w:rsid w:val="001408F8"/>
    <w:rsid w:val="00140948"/>
    <w:rsid w:val="001409A2"/>
    <w:rsid w:val="001409E2"/>
    <w:rsid w:val="00140A04"/>
    <w:rsid w:val="00140A40"/>
    <w:rsid w:val="00140AD6"/>
    <w:rsid w:val="00140B0C"/>
    <w:rsid w:val="00140B2E"/>
    <w:rsid w:val="00140B99"/>
    <w:rsid w:val="00140BB6"/>
    <w:rsid w:val="00140BD9"/>
    <w:rsid w:val="00140BE3"/>
    <w:rsid w:val="00140C25"/>
    <w:rsid w:val="00140C38"/>
    <w:rsid w:val="00140C4C"/>
    <w:rsid w:val="00140C6A"/>
    <w:rsid w:val="00140CD3"/>
    <w:rsid w:val="00140CDF"/>
    <w:rsid w:val="00140D1A"/>
    <w:rsid w:val="00140D5A"/>
    <w:rsid w:val="00140D6F"/>
    <w:rsid w:val="00140DBB"/>
    <w:rsid w:val="00140E16"/>
    <w:rsid w:val="00140E3E"/>
    <w:rsid w:val="00140E62"/>
    <w:rsid w:val="00140EC7"/>
    <w:rsid w:val="00140ED6"/>
    <w:rsid w:val="00140ED7"/>
    <w:rsid w:val="00140EEC"/>
    <w:rsid w:val="00140FAE"/>
    <w:rsid w:val="00140FC2"/>
    <w:rsid w:val="00140FDF"/>
    <w:rsid w:val="00140FE4"/>
    <w:rsid w:val="00141053"/>
    <w:rsid w:val="001410DF"/>
    <w:rsid w:val="00141111"/>
    <w:rsid w:val="001411E6"/>
    <w:rsid w:val="00141244"/>
    <w:rsid w:val="00141253"/>
    <w:rsid w:val="00141257"/>
    <w:rsid w:val="00141296"/>
    <w:rsid w:val="001412B3"/>
    <w:rsid w:val="001412DD"/>
    <w:rsid w:val="0014143C"/>
    <w:rsid w:val="00141451"/>
    <w:rsid w:val="00141471"/>
    <w:rsid w:val="001414A1"/>
    <w:rsid w:val="001414B2"/>
    <w:rsid w:val="001414D0"/>
    <w:rsid w:val="001415B4"/>
    <w:rsid w:val="001415B6"/>
    <w:rsid w:val="001415C0"/>
    <w:rsid w:val="001415D6"/>
    <w:rsid w:val="001415F7"/>
    <w:rsid w:val="0014168E"/>
    <w:rsid w:val="001416E2"/>
    <w:rsid w:val="00141721"/>
    <w:rsid w:val="00141727"/>
    <w:rsid w:val="00141728"/>
    <w:rsid w:val="001417A0"/>
    <w:rsid w:val="001417B4"/>
    <w:rsid w:val="001417FD"/>
    <w:rsid w:val="00141828"/>
    <w:rsid w:val="0014182E"/>
    <w:rsid w:val="0014183D"/>
    <w:rsid w:val="001418A4"/>
    <w:rsid w:val="0014191B"/>
    <w:rsid w:val="0014191C"/>
    <w:rsid w:val="00141938"/>
    <w:rsid w:val="00141945"/>
    <w:rsid w:val="0014195F"/>
    <w:rsid w:val="0014198A"/>
    <w:rsid w:val="00141A14"/>
    <w:rsid w:val="00141A75"/>
    <w:rsid w:val="00141A8B"/>
    <w:rsid w:val="00141A90"/>
    <w:rsid w:val="00141B06"/>
    <w:rsid w:val="00141B2A"/>
    <w:rsid w:val="00141B90"/>
    <w:rsid w:val="00141BE0"/>
    <w:rsid w:val="00141C27"/>
    <w:rsid w:val="00141C70"/>
    <w:rsid w:val="00141CEC"/>
    <w:rsid w:val="00141CED"/>
    <w:rsid w:val="00141D02"/>
    <w:rsid w:val="00141D0F"/>
    <w:rsid w:val="00141D48"/>
    <w:rsid w:val="00141D4E"/>
    <w:rsid w:val="00141D8F"/>
    <w:rsid w:val="00141D92"/>
    <w:rsid w:val="00141DD1"/>
    <w:rsid w:val="00141DD2"/>
    <w:rsid w:val="00141E41"/>
    <w:rsid w:val="00141E60"/>
    <w:rsid w:val="00141E7B"/>
    <w:rsid w:val="00141EC9"/>
    <w:rsid w:val="00141EE6"/>
    <w:rsid w:val="00141F44"/>
    <w:rsid w:val="00141F71"/>
    <w:rsid w:val="00141F81"/>
    <w:rsid w:val="00141FA1"/>
    <w:rsid w:val="00141FA3"/>
    <w:rsid w:val="00141FE7"/>
    <w:rsid w:val="00141FEF"/>
    <w:rsid w:val="001420E5"/>
    <w:rsid w:val="0014219E"/>
    <w:rsid w:val="001421E6"/>
    <w:rsid w:val="0014221C"/>
    <w:rsid w:val="0014222F"/>
    <w:rsid w:val="00142242"/>
    <w:rsid w:val="00142278"/>
    <w:rsid w:val="001422C5"/>
    <w:rsid w:val="001422CA"/>
    <w:rsid w:val="001422DA"/>
    <w:rsid w:val="001422EA"/>
    <w:rsid w:val="00142365"/>
    <w:rsid w:val="001423D7"/>
    <w:rsid w:val="00142461"/>
    <w:rsid w:val="001424B7"/>
    <w:rsid w:val="001424CA"/>
    <w:rsid w:val="0014250A"/>
    <w:rsid w:val="00142523"/>
    <w:rsid w:val="001425B8"/>
    <w:rsid w:val="001425DA"/>
    <w:rsid w:val="00142603"/>
    <w:rsid w:val="0014261B"/>
    <w:rsid w:val="0014261D"/>
    <w:rsid w:val="0014265E"/>
    <w:rsid w:val="00142664"/>
    <w:rsid w:val="001426D3"/>
    <w:rsid w:val="00142729"/>
    <w:rsid w:val="00142737"/>
    <w:rsid w:val="00142789"/>
    <w:rsid w:val="001427A5"/>
    <w:rsid w:val="001427A8"/>
    <w:rsid w:val="001427A9"/>
    <w:rsid w:val="001427CD"/>
    <w:rsid w:val="0014280D"/>
    <w:rsid w:val="0014280F"/>
    <w:rsid w:val="00142856"/>
    <w:rsid w:val="0014286A"/>
    <w:rsid w:val="0014288E"/>
    <w:rsid w:val="001428AC"/>
    <w:rsid w:val="001428B3"/>
    <w:rsid w:val="001428D2"/>
    <w:rsid w:val="001428F4"/>
    <w:rsid w:val="0014292D"/>
    <w:rsid w:val="00142942"/>
    <w:rsid w:val="00142944"/>
    <w:rsid w:val="00142961"/>
    <w:rsid w:val="00142A35"/>
    <w:rsid w:val="00142A47"/>
    <w:rsid w:val="00142A59"/>
    <w:rsid w:val="00142A8C"/>
    <w:rsid w:val="00142A98"/>
    <w:rsid w:val="00142ABA"/>
    <w:rsid w:val="00142B17"/>
    <w:rsid w:val="00142B8B"/>
    <w:rsid w:val="00142BF7"/>
    <w:rsid w:val="00142C1D"/>
    <w:rsid w:val="00142D26"/>
    <w:rsid w:val="00142E29"/>
    <w:rsid w:val="00142E2C"/>
    <w:rsid w:val="00142E52"/>
    <w:rsid w:val="00142E57"/>
    <w:rsid w:val="00142EE3"/>
    <w:rsid w:val="00142EEC"/>
    <w:rsid w:val="00142F21"/>
    <w:rsid w:val="00142F74"/>
    <w:rsid w:val="00142F83"/>
    <w:rsid w:val="00142FC8"/>
    <w:rsid w:val="00142FF5"/>
    <w:rsid w:val="00142FF9"/>
    <w:rsid w:val="0014304D"/>
    <w:rsid w:val="00143056"/>
    <w:rsid w:val="00143161"/>
    <w:rsid w:val="00143167"/>
    <w:rsid w:val="00143177"/>
    <w:rsid w:val="00143193"/>
    <w:rsid w:val="001431C1"/>
    <w:rsid w:val="0014321E"/>
    <w:rsid w:val="0014321F"/>
    <w:rsid w:val="0014324B"/>
    <w:rsid w:val="00143251"/>
    <w:rsid w:val="00143279"/>
    <w:rsid w:val="00143299"/>
    <w:rsid w:val="001432F4"/>
    <w:rsid w:val="0014331F"/>
    <w:rsid w:val="00143441"/>
    <w:rsid w:val="00143450"/>
    <w:rsid w:val="0014347F"/>
    <w:rsid w:val="001434CF"/>
    <w:rsid w:val="001434DD"/>
    <w:rsid w:val="00143509"/>
    <w:rsid w:val="00143520"/>
    <w:rsid w:val="00143527"/>
    <w:rsid w:val="0014357D"/>
    <w:rsid w:val="001435BB"/>
    <w:rsid w:val="001435D5"/>
    <w:rsid w:val="001435E0"/>
    <w:rsid w:val="00143662"/>
    <w:rsid w:val="00143668"/>
    <w:rsid w:val="00143685"/>
    <w:rsid w:val="001436BD"/>
    <w:rsid w:val="0014377C"/>
    <w:rsid w:val="00143798"/>
    <w:rsid w:val="0014379A"/>
    <w:rsid w:val="001437BA"/>
    <w:rsid w:val="001437D8"/>
    <w:rsid w:val="00143802"/>
    <w:rsid w:val="0014382E"/>
    <w:rsid w:val="0014384D"/>
    <w:rsid w:val="001438D3"/>
    <w:rsid w:val="001438EA"/>
    <w:rsid w:val="00143922"/>
    <w:rsid w:val="00143957"/>
    <w:rsid w:val="001439D2"/>
    <w:rsid w:val="00143A03"/>
    <w:rsid w:val="00143A28"/>
    <w:rsid w:val="00143A4D"/>
    <w:rsid w:val="00143A98"/>
    <w:rsid w:val="00143AB9"/>
    <w:rsid w:val="00143B24"/>
    <w:rsid w:val="00143B3A"/>
    <w:rsid w:val="00143B76"/>
    <w:rsid w:val="00143BD4"/>
    <w:rsid w:val="00143C54"/>
    <w:rsid w:val="00143C56"/>
    <w:rsid w:val="00143C5D"/>
    <w:rsid w:val="00143CAA"/>
    <w:rsid w:val="00143CB0"/>
    <w:rsid w:val="00143CC4"/>
    <w:rsid w:val="00143CCF"/>
    <w:rsid w:val="00143D2B"/>
    <w:rsid w:val="00143E74"/>
    <w:rsid w:val="00143EF1"/>
    <w:rsid w:val="00143F03"/>
    <w:rsid w:val="00143F2A"/>
    <w:rsid w:val="00143F53"/>
    <w:rsid w:val="00143F5B"/>
    <w:rsid w:val="00143F81"/>
    <w:rsid w:val="00144008"/>
    <w:rsid w:val="0014402A"/>
    <w:rsid w:val="00144038"/>
    <w:rsid w:val="00144039"/>
    <w:rsid w:val="00144045"/>
    <w:rsid w:val="0014408D"/>
    <w:rsid w:val="001440AA"/>
    <w:rsid w:val="001440B1"/>
    <w:rsid w:val="001440C1"/>
    <w:rsid w:val="001440E4"/>
    <w:rsid w:val="0014415C"/>
    <w:rsid w:val="0014416B"/>
    <w:rsid w:val="0014417D"/>
    <w:rsid w:val="001441A5"/>
    <w:rsid w:val="001441D6"/>
    <w:rsid w:val="001442C7"/>
    <w:rsid w:val="001442E4"/>
    <w:rsid w:val="0014430E"/>
    <w:rsid w:val="0014437B"/>
    <w:rsid w:val="00144416"/>
    <w:rsid w:val="00144458"/>
    <w:rsid w:val="0014451D"/>
    <w:rsid w:val="00144528"/>
    <w:rsid w:val="00144567"/>
    <w:rsid w:val="001445E9"/>
    <w:rsid w:val="001445F8"/>
    <w:rsid w:val="0014460C"/>
    <w:rsid w:val="0014462E"/>
    <w:rsid w:val="00144694"/>
    <w:rsid w:val="001446A3"/>
    <w:rsid w:val="001446E5"/>
    <w:rsid w:val="001446E9"/>
    <w:rsid w:val="00144702"/>
    <w:rsid w:val="0014470C"/>
    <w:rsid w:val="00144711"/>
    <w:rsid w:val="0014472F"/>
    <w:rsid w:val="0014475A"/>
    <w:rsid w:val="00144764"/>
    <w:rsid w:val="00144774"/>
    <w:rsid w:val="0014478A"/>
    <w:rsid w:val="0014478B"/>
    <w:rsid w:val="00144817"/>
    <w:rsid w:val="001448DC"/>
    <w:rsid w:val="001448E7"/>
    <w:rsid w:val="001448F0"/>
    <w:rsid w:val="00144931"/>
    <w:rsid w:val="0014493D"/>
    <w:rsid w:val="001449F2"/>
    <w:rsid w:val="00144A5C"/>
    <w:rsid w:val="00144A6B"/>
    <w:rsid w:val="00144A6F"/>
    <w:rsid w:val="00144A91"/>
    <w:rsid w:val="00144AB0"/>
    <w:rsid w:val="00144AF1"/>
    <w:rsid w:val="00144B32"/>
    <w:rsid w:val="00144B51"/>
    <w:rsid w:val="00144C3B"/>
    <w:rsid w:val="00144C70"/>
    <w:rsid w:val="00144C7D"/>
    <w:rsid w:val="00144C87"/>
    <w:rsid w:val="00144CE8"/>
    <w:rsid w:val="00144CF2"/>
    <w:rsid w:val="00144D0A"/>
    <w:rsid w:val="00144D42"/>
    <w:rsid w:val="00144D77"/>
    <w:rsid w:val="00144D94"/>
    <w:rsid w:val="00144E1D"/>
    <w:rsid w:val="00144E6E"/>
    <w:rsid w:val="00144E7C"/>
    <w:rsid w:val="00144E8B"/>
    <w:rsid w:val="00144F16"/>
    <w:rsid w:val="00144F5F"/>
    <w:rsid w:val="00144FE3"/>
    <w:rsid w:val="00144FEA"/>
    <w:rsid w:val="00144FED"/>
    <w:rsid w:val="00144FF4"/>
    <w:rsid w:val="0014508A"/>
    <w:rsid w:val="001450B0"/>
    <w:rsid w:val="0014512A"/>
    <w:rsid w:val="00145197"/>
    <w:rsid w:val="001451A7"/>
    <w:rsid w:val="001451E5"/>
    <w:rsid w:val="001451ED"/>
    <w:rsid w:val="0014520E"/>
    <w:rsid w:val="00145213"/>
    <w:rsid w:val="0014523E"/>
    <w:rsid w:val="0014525B"/>
    <w:rsid w:val="00145262"/>
    <w:rsid w:val="0014529E"/>
    <w:rsid w:val="001452D3"/>
    <w:rsid w:val="00145307"/>
    <w:rsid w:val="0014536D"/>
    <w:rsid w:val="001453B7"/>
    <w:rsid w:val="00145437"/>
    <w:rsid w:val="00145491"/>
    <w:rsid w:val="001454F9"/>
    <w:rsid w:val="00145579"/>
    <w:rsid w:val="001455CE"/>
    <w:rsid w:val="001455E1"/>
    <w:rsid w:val="001455E3"/>
    <w:rsid w:val="00145610"/>
    <w:rsid w:val="0014563B"/>
    <w:rsid w:val="00145652"/>
    <w:rsid w:val="00145662"/>
    <w:rsid w:val="00145672"/>
    <w:rsid w:val="00145684"/>
    <w:rsid w:val="00145685"/>
    <w:rsid w:val="001456A6"/>
    <w:rsid w:val="001456D1"/>
    <w:rsid w:val="001456E8"/>
    <w:rsid w:val="00145799"/>
    <w:rsid w:val="001457B0"/>
    <w:rsid w:val="001457EB"/>
    <w:rsid w:val="00145802"/>
    <w:rsid w:val="00145836"/>
    <w:rsid w:val="00145851"/>
    <w:rsid w:val="00145859"/>
    <w:rsid w:val="0014587C"/>
    <w:rsid w:val="00145883"/>
    <w:rsid w:val="001458C5"/>
    <w:rsid w:val="00145912"/>
    <w:rsid w:val="0014593E"/>
    <w:rsid w:val="00145953"/>
    <w:rsid w:val="001459D0"/>
    <w:rsid w:val="00145A0D"/>
    <w:rsid w:val="00145A88"/>
    <w:rsid w:val="00145ADF"/>
    <w:rsid w:val="00145B15"/>
    <w:rsid w:val="00145B7E"/>
    <w:rsid w:val="00145BB7"/>
    <w:rsid w:val="00145BE3"/>
    <w:rsid w:val="00145C54"/>
    <w:rsid w:val="00145C91"/>
    <w:rsid w:val="00145C98"/>
    <w:rsid w:val="00145CB5"/>
    <w:rsid w:val="00145CB9"/>
    <w:rsid w:val="00145D02"/>
    <w:rsid w:val="00145D33"/>
    <w:rsid w:val="00145D40"/>
    <w:rsid w:val="00145DEA"/>
    <w:rsid w:val="00145E91"/>
    <w:rsid w:val="00145E98"/>
    <w:rsid w:val="00145EF3"/>
    <w:rsid w:val="00145EF4"/>
    <w:rsid w:val="00145EF7"/>
    <w:rsid w:val="00145F1D"/>
    <w:rsid w:val="00145F3E"/>
    <w:rsid w:val="00145F4E"/>
    <w:rsid w:val="00145F52"/>
    <w:rsid w:val="00145FD1"/>
    <w:rsid w:val="0014604D"/>
    <w:rsid w:val="001460A4"/>
    <w:rsid w:val="001460EE"/>
    <w:rsid w:val="001460F1"/>
    <w:rsid w:val="001461CC"/>
    <w:rsid w:val="001461D0"/>
    <w:rsid w:val="00146215"/>
    <w:rsid w:val="0014623E"/>
    <w:rsid w:val="0014627D"/>
    <w:rsid w:val="0014634F"/>
    <w:rsid w:val="0014637C"/>
    <w:rsid w:val="0014639F"/>
    <w:rsid w:val="001463C0"/>
    <w:rsid w:val="001463CA"/>
    <w:rsid w:val="001463DD"/>
    <w:rsid w:val="0014641E"/>
    <w:rsid w:val="00146465"/>
    <w:rsid w:val="001464AD"/>
    <w:rsid w:val="001464B6"/>
    <w:rsid w:val="001464C7"/>
    <w:rsid w:val="001464F0"/>
    <w:rsid w:val="0014650E"/>
    <w:rsid w:val="00146534"/>
    <w:rsid w:val="0014654E"/>
    <w:rsid w:val="0014655D"/>
    <w:rsid w:val="0014655E"/>
    <w:rsid w:val="0014655F"/>
    <w:rsid w:val="00146597"/>
    <w:rsid w:val="001465AC"/>
    <w:rsid w:val="001465CA"/>
    <w:rsid w:val="001465F8"/>
    <w:rsid w:val="0014660C"/>
    <w:rsid w:val="00146620"/>
    <w:rsid w:val="0014663F"/>
    <w:rsid w:val="0014666F"/>
    <w:rsid w:val="00146673"/>
    <w:rsid w:val="001466A5"/>
    <w:rsid w:val="001466A7"/>
    <w:rsid w:val="001466DE"/>
    <w:rsid w:val="0014671D"/>
    <w:rsid w:val="001467B6"/>
    <w:rsid w:val="001467EC"/>
    <w:rsid w:val="001467F0"/>
    <w:rsid w:val="0014681A"/>
    <w:rsid w:val="00146839"/>
    <w:rsid w:val="00146892"/>
    <w:rsid w:val="001468E7"/>
    <w:rsid w:val="00146928"/>
    <w:rsid w:val="0014697B"/>
    <w:rsid w:val="00146A1A"/>
    <w:rsid w:val="00146A22"/>
    <w:rsid w:val="00146A2D"/>
    <w:rsid w:val="00146A96"/>
    <w:rsid w:val="00146B22"/>
    <w:rsid w:val="00146B26"/>
    <w:rsid w:val="00146B28"/>
    <w:rsid w:val="00146B2E"/>
    <w:rsid w:val="00146B8E"/>
    <w:rsid w:val="00146C0C"/>
    <w:rsid w:val="00146C6D"/>
    <w:rsid w:val="00146CA6"/>
    <w:rsid w:val="00146CFE"/>
    <w:rsid w:val="00146D01"/>
    <w:rsid w:val="00146D8E"/>
    <w:rsid w:val="00146D8F"/>
    <w:rsid w:val="00146D94"/>
    <w:rsid w:val="00146DDB"/>
    <w:rsid w:val="00146DDC"/>
    <w:rsid w:val="00146E06"/>
    <w:rsid w:val="00146E31"/>
    <w:rsid w:val="00146E50"/>
    <w:rsid w:val="00146E52"/>
    <w:rsid w:val="00146F01"/>
    <w:rsid w:val="00146F14"/>
    <w:rsid w:val="00146F83"/>
    <w:rsid w:val="00146F90"/>
    <w:rsid w:val="00146FDF"/>
    <w:rsid w:val="00146FF0"/>
    <w:rsid w:val="00146FF5"/>
    <w:rsid w:val="00147013"/>
    <w:rsid w:val="0014701F"/>
    <w:rsid w:val="00147062"/>
    <w:rsid w:val="00147077"/>
    <w:rsid w:val="001470A0"/>
    <w:rsid w:val="001470A6"/>
    <w:rsid w:val="001470C6"/>
    <w:rsid w:val="00147166"/>
    <w:rsid w:val="001471E2"/>
    <w:rsid w:val="001471FC"/>
    <w:rsid w:val="00147263"/>
    <w:rsid w:val="00147283"/>
    <w:rsid w:val="001472AE"/>
    <w:rsid w:val="001472C8"/>
    <w:rsid w:val="00147347"/>
    <w:rsid w:val="0014735A"/>
    <w:rsid w:val="0014739B"/>
    <w:rsid w:val="0014739C"/>
    <w:rsid w:val="001473A3"/>
    <w:rsid w:val="001473B2"/>
    <w:rsid w:val="00147438"/>
    <w:rsid w:val="00147471"/>
    <w:rsid w:val="00147506"/>
    <w:rsid w:val="0014757E"/>
    <w:rsid w:val="00147596"/>
    <w:rsid w:val="001475B8"/>
    <w:rsid w:val="001475D9"/>
    <w:rsid w:val="001475DD"/>
    <w:rsid w:val="00147605"/>
    <w:rsid w:val="0014765C"/>
    <w:rsid w:val="00147693"/>
    <w:rsid w:val="001476C2"/>
    <w:rsid w:val="001476FF"/>
    <w:rsid w:val="0014775C"/>
    <w:rsid w:val="00147787"/>
    <w:rsid w:val="001477EE"/>
    <w:rsid w:val="001477FA"/>
    <w:rsid w:val="00147803"/>
    <w:rsid w:val="0014780A"/>
    <w:rsid w:val="00147851"/>
    <w:rsid w:val="00147897"/>
    <w:rsid w:val="001478AE"/>
    <w:rsid w:val="00147924"/>
    <w:rsid w:val="00147944"/>
    <w:rsid w:val="00147990"/>
    <w:rsid w:val="001479A4"/>
    <w:rsid w:val="001479CC"/>
    <w:rsid w:val="00147A2A"/>
    <w:rsid w:val="00147A34"/>
    <w:rsid w:val="00147A39"/>
    <w:rsid w:val="00147A68"/>
    <w:rsid w:val="00147AC3"/>
    <w:rsid w:val="00147AE7"/>
    <w:rsid w:val="00147AF2"/>
    <w:rsid w:val="00147AFD"/>
    <w:rsid w:val="00147B09"/>
    <w:rsid w:val="00147B13"/>
    <w:rsid w:val="00147BBD"/>
    <w:rsid w:val="00147BDD"/>
    <w:rsid w:val="00147BE6"/>
    <w:rsid w:val="00147BF9"/>
    <w:rsid w:val="00147C2D"/>
    <w:rsid w:val="00147C2E"/>
    <w:rsid w:val="00147C58"/>
    <w:rsid w:val="00147CCA"/>
    <w:rsid w:val="00147CE6"/>
    <w:rsid w:val="00147CF4"/>
    <w:rsid w:val="00147CFE"/>
    <w:rsid w:val="00147D37"/>
    <w:rsid w:val="00147D90"/>
    <w:rsid w:val="00147DDB"/>
    <w:rsid w:val="00147DFE"/>
    <w:rsid w:val="00147E1B"/>
    <w:rsid w:val="00147E4E"/>
    <w:rsid w:val="00147F2C"/>
    <w:rsid w:val="00147F2F"/>
    <w:rsid w:val="00147F34"/>
    <w:rsid w:val="00147F44"/>
    <w:rsid w:val="00147F50"/>
    <w:rsid w:val="00147F8F"/>
    <w:rsid w:val="00147F96"/>
    <w:rsid w:val="0015006E"/>
    <w:rsid w:val="001500C5"/>
    <w:rsid w:val="001500D6"/>
    <w:rsid w:val="0015010A"/>
    <w:rsid w:val="0015010F"/>
    <w:rsid w:val="00150125"/>
    <w:rsid w:val="0015015A"/>
    <w:rsid w:val="00150187"/>
    <w:rsid w:val="001501C1"/>
    <w:rsid w:val="00150202"/>
    <w:rsid w:val="0015021B"/>
    <w:rsid w:val="0015021F"/>
    <w:rsid w:val="00150243"/>
    <w:rsid w:val="0015024D"/>
    <w:rsid w:val="00150258"/>
    <w:rsid w:val="00150267"/>
    <w:rsid w:val="0015027F"/>
    <w:rsid w:val="001502AF"/>
    <w:rsid w:val="001502BA"/>
    <w:rsid w:val="0015031D"/>
    <w:rsid w:val="00150322"/>
    <w:rsid w:val="00150333"/>
    <w:rsid w:val="00150369"/>
    <w:rsid w:val="00150373"/>
    <w:rsid w:val="00150387"/>
    <w:rsid w:val="001503A2"/>
    <w:rsid w:val="001503DC"/>
    <w:rsid w:val="001503F4"/>
    <w:rsid w:val="00150406"/>
    <w:rsid w:val="0015044A"/>
    <w:rsid w:val="00150473"/>
    <w:rsid w:val="00150475"/>
    <w:rsid w:val="0015047F"/>
    <w:rsid w:val="001504C7"/>
    <w:rsid w:val="001504FF"/>
    <w:rsid w:val="00150514"/>
    <w:rsid w:val="0015056E"/>
    <w:rsid w:val="00150579"/>
    <w:rsid w:val="001505C3"/>
    <w:rsid w:val="001505D7"/>
    <w:rsid w:val="0015060F"/>
    <w:rsid w:val="0015065A"/>
    <w:rsid w:val="00150688"/>
    <w:rsid w:val="0015068B"/>
    <w:rsid w:val="00150697"/>
    <w:rsid w:val="00150709"/>
    <w:rsid w:val="00150746"/>
    <w:rsid w:val="00150771"/>
    <w:rsid w:val="0015077F"/>
    <w:rsid w:val="001507D0"/>
    <w:rsid w:val="00150807"/>
    <w:rsid w:val="00150825"/>
    <w:rsid w:val="0015082B"/>
    <w:rsid w:val="0015086D"/>
    <w:rsid w:val="001508A9"/>
    <w:rsid w:val="001508CD"/>
    <w:rsid w:val="001508FC"/>
    <w:rsid w:val="00150935"/>
    <w:rsid w:val="0015096F"/>
    <w:rsid w:val="00150980"/>
    <w:rsid w:val="001509A7"/>
    <w:rsid w:val="001509AF"/>
    <w:rsid w:val="001509D1"/>
    <w:rsid w:val="001509F9"/>
    <w:rsid w:val="00150A09"/>
    <w:rsid w:val="00150A27"/>
    <w:rsid w:val="00150A38"/>
    <w:rsid w:val="00150A4D"/>
    <w:rsid w:val="00150A67"/>
    <w:rsid w:val="00150A8E"/>
    <w:rsid w:val="00150A9C"/>
    <w:rsid w:val="00150AA5"/>
    <w:rsid w:val="00150BE6"/>
    <w:rsid w:val="00150C40"/>
    <w:rsid w:val="00150C49"/>
    <w:rsid w:val="00150CA9"/>
    <w:rsid w:val="00150CC6"/>
    <w:rsid w:val="00150D2C"/>
    <w:rsid w:val="00150DAB"/>
    <w:rsid w:val="00150DB7"/>
    <w:rsid w:val="00150DD5"/>
    <w:rsid w:val="00150DD6"/>
    <w:rsid w:val="00150DDF"/>
    <w:rsid w:val="00150E00"/>
    <w:rsid w:val="00150E1C"/>
    <w:rsid w:val="00150EAD"/>
    <w:rsid w:val="00150EBD"/>
    <w:rsid w:val="00150EDD"/>
    <w:rsid w:val="00150EEE"/>
    <w:rsid w:val="00150F17"/>
    <w:rsid w:val="00150F37"/>
    <w:rsid w:val="00150F6D"/>
    <w:rsid w:val="00150F97"/>
    <w:rsid w:val="00151018"/>
    <w:rsid w:val="0015104D"/>
    <w:rsid w:val="00151055"/>
    <w:rsid w:val="001510C8"/>
    <w:rsid w:val="001510FC"/>
    <w:rsid w:val="00151145"/>
    <w:rsid w:val="00151147"/>
    <w:rsid w:val="001511A0"/>
    <w:rsid w:val="001511B5"/>
    <w:rsid w:val="001511C1"/>
    <w:rsid w:val="001511D3"/>
    <w:rsid w:val="0015120D"/>
    <w:rsid w:val="0015123B"/>
    <w:rsid w:val="00151248"/>
    <w:rsid w:val="0015127E"/>
    <w:rsid w:val="001512BB"/>
    <w:rsid w:val="001512CE"/>
    <w:rsid w:val="001512FD"/>
    <w:rsid w:val="0015133F"/>
    <w:rsid w:val="00151368"/>
    <w:rsid w:val="0015139A"/>
    <w:rsid w:val="001513BD"/>
    <w:rsid w:val="001513FF"/>
    <w:rsid w:val="00151400"/>
    <w:rsid w:val="00151437"/>
    <w:rsid w:val="0015143A"/>
    <w:rsid w:val="0015145D"/>
    <w:rsid w:val="001514E9"/>
    <w:rsid w:val="001514F1"/>
    <w:rsid w:val="0015151D"/>
    <w:rsid w:val="0015156C"/>
    <w:rsid w:val="0015163B"/>
    <w:rsid w:val="00151672"/>
    <w:rsid w:val="001516B9"/>
    <w:rsid w:val="001516BA"/>
    <w:rsid w:val="001516CB"/>
    <w:rsid w:val="001516CF"/>
    <w:rsid w:val="00151716"/>
    <w:rsid w:val="00151718"/>
    <w:rsid w:val="00151762"/>
    <w:rsid w:val="001517A4"/>
    <w:rsid w:val="001517B2"/>
    <w:rsid w:val="001517B9"/>
    <w:rsid w:val="001517D2"/>
    <w:rsid w:val="00151802"/>
    <w:rsid w:val="00151838"/>
    <w:rsid w:val="0015187F"/>
    <w:rsid w:val="001518AB"/>
    <w:rsid w:val="0015190F"/>
    <w:rsid w:val="0015192A"/>
    <w:rsid w:val="00151968"/>
    <w:rsid w:val="0015197E"/>
    <w:rsid w:val="001519BC"/>
    <w:rsid w:val="001519CB"/>
    <w:rsid w:val="00151AD6"/>
    <w:rsid w:val="00151AF1"/>
    <w:rsid w:val="00151AFB"/>
    <w:rsid w:val="00151B4C"/>
    <w:rsid w:val="00151B56"/>
    <w:rsid w:val="00151B96"/>
    <w:rsid w:val="00151BD4"/>
    <w:rsid w:val="00151BF7"/>
    <w:rsid w:val="00151BFD"/>
    <w:rsid w:val="00151C0B"/>
    <w:rsid w:val="00151CC6"/>
    <w:rsid w:val="00151CD5"/>
    <w:rsid w:val="00151CE0"/>
    <w:rsid w:val="00151D30"/>
    <w:rsid w:val="00151DCF"/>
    <w:rsid w:val="00151E41"/>
    <w:rsid w:val="00151E96"/>
    <w:rsid w:val="00151ECA"/>
    <w:rsid w:val="00151EDD"/>
    <w:rsid w:val="00151EFB"/>
    <w:rsid w:val="00151F58"/>
    <w:rsid w:val="00151F9F"/>
    <w:rsid w:val="00151FAC"/>
    <w:rsid w:val="00151FC7"/>
    <w:rsid w:val="00151FED"/>
    <w:rsid w:val="00152005"/>
    <w:rsid w:val="0015200E"/>
    <w:rsid w:val="00152063"/>
    <w:rsid w:val="001520FF"/>
    <w:rsid w:val="00152154"/>
    <w:rsid w:val="001521CE"/>
    <w:rsid w:val="001521D3"/>
    <w:rsid w:val="00152241"/>
    <w:rsid w:val="0015229E"/>
    <w:rsid w:val="001522E0"/>
    <w:rsid w:val="001522E4"/>
    <w:rsid w:val="001522F2"/>
    <w:rsid w:val="0015232B"/>
    <w:rsid w:val="0015233E"/>
    <w:rsid w:val="00152352"/>
    <w:rsid w:val="00152356"/>
    <w:rsid w:val="0015235E"/>
    <w:rsid w:val="001523BD"/>
    <w:rsid w:val="001523E4"/>
    <w:rsid w:val="00152440"/>
    <w:rsid w:val="00152454"/>
    <w:rsid w:val="00152477"/>
    <w:rsid w:val="00152486"/>
    <w:rsid w:val="00152520"/>
    <w:rsid w:val="00152547"/>
    <w:rsid w:val="00152576"/>
    <w:rsid w:val="0015260D"/>
    <w:rsid w:val="0015266A"/>
    <w:rsid w:val="0015275B"/>
    <w:rsid w:val="00152762"/>
    <w:rsid w:val="0015276D"/>
    <w:rsid w:val="00152773"/>
    <w:rsid w:val="00152885"/>
    <w:rsid w:val="001528A4"/>
    <w:rsid w:val="001528CE"/>
    <w:rsid w:val="001528EE"/>
    <w:rsid w:val="00152903"/>
    <w:rsid w:val="00152909"/>
    <w:rsid w:val="00152957"/>
    <w:rsid w:val="001529E3"/>
    <w:rsid w:val="00152A31"/>
    <w:rsid w:val="00152A3B"/>
    <w:rsid w:val="00152A8C"/>
    <w:rsid w:val="00152A91"/>
    <w:rsid w:val="00152AD9"/>
    <w:rsid w:val="00152AF5"/>
    <w:rsid w:val="00152B1E"/>
    <w:rsid w:val="00152B43"/>
    <w:rsid w:val="00152B73"/>
    <w:rsid w:val="00152BAC"/>
    <w:rsid w:val="00152BCC"/>
    <w:rsid w:val="00152BFE"/>
    <w:rsid w:val="00152C40"/>
    <w:rsid w:val="00152C72"/>
    <w:rsid w:val="00152C99"/>
    <w:rsid w:val="00152CA2"/>
    <w:rsid w:val="00152CAC"/>
    <w:rsid w:val="00152CD0"/>
    <w:rsid w:val="00152D15"/>
    <w:rsid w:val="00152D49"/>
    <w:rsid w:val="00152D75"/>
    <w:rsid w:val="00152D95"/>
    <w:rsid w:val="00152DB3"/>
    <w:rsid w:val="00152DDC"/>
    <w:rsid w:val="00152DE7"/>
    <w:rsid w:val="00152DEA"/>
    <w:rsid w:val="00152DF0"/>
    <w:rsid w:val="00152E2A"/>
    <w:rsid w:val="00152E31"/>
    <w:rsid w:val="00152F05"/>
    <w:rsid w:val="00152F25"/>
    <w:rsid w:val="00152F43"/>
    <w:rsid w:val="00152F5C"/>
    <w:rsid w:val="00152F80"/>
    <w:rsid w:val="0015300A"/>
    <w:rsid w:val="00153010"/>
    <w:rsid w:val="00153112"/>
    <w:rsid w:val="00153155"/>
    <w:rsid w:val="001531B9"/>
    <w:rsid w:val="001531DB"/>
    <w:rsid w:val="001531FB"/>
    <w:rsid w:val="001531FC"/>
    <w:rsid w:val="0015320A"/>
    <w:rsid w:val="0015324C"/>
    <w:rsid w:val="00153274"/>
    <w:rsid w:val="001532F3"/>
    <w:rsid w:val="00153336"/>
    <w:rsid w:val="001534A1"/>
    <w:rsid w:val="001534BB"/>
    <w:rsid w:val="001534CF"/>
    <w:rsid w:val="0015352C"/>
    <w:rsid w:val="00153555"/>
    <w:rsid w:val="00153572"/>
    <w:rsid w:val="001535FB"/>
    <w:rsid w:val="00153640"/>
    <w:rsid w:val="0015371B"/>
    <w:rsid w:val="00153720"/>
    <w:rsid w:val="0015378C"/>
    <w:rsid w:val="001537C3"/>
    <w:rsid w:val="001537E8"/>
    <w:rsid w:val="0015381A"/>
    <w:rsid w:val="00153855"/>
    <w:rsid w:val="00153865"/>
    <w:rsid w:val="001538A9"/>
    <w:rsid w:val="001538C5"/>
    <w:rsid w:val="0015391C"/>
    <w:rsid w:val="00153922"/>
    <w:rsid w:val="0015393A"/>
    <w:rsid w:val="0015396A"/>
    <w:rsid w:val="001539AE"/>
    <w:rsid w:val="001539E0"/>
    <w:rsid w:val="00153A48"/>
    <w:rsid w:val="00153A61"/>
    <w:rsid w:val="00153AA6"/>
    <w:rsid w:val="00153AAD"/>
    <w:rsid w:val="00153AF0"/>
    <w:rsid w:val="00153B00"/>
    <w:rsid w:val="00153B30"/>
    <w:rsid w:val="00153B43"/>
    <w:rsid w:val="00153B45"/>
    <w:rsid w:val="00153B60"/>
    <w:rsid w:val="00153B6D"/>
    <w:rsid w:val="00153B7C"/>
    <w:rsid w:val="00153BCC"/>
    <w:rsid w:val="00153BD6"/>
    <w:rsid w:val="00153C75"/>
    <w:rsid w:val="00153C8C"/>
    <w:rsid w:val="00153C90"/>
    <w:rsid w:val="00153CF0"/>
    <w:rsid w:val="00153D12"/>
    <w:rsid w:val="00153D21"/>
    <w:rsid w:val="00153D46"/>
    <w:rsid w:val="00153D7A"/>
    <w:rsid w:val="00153DA3"/>
    <w:rsid w:val="00153E2C"/>
    <w:rsid w:val="00153E7D"/>
    <w:rsid w:val="00153EA4"/>
    <w:rsid w:val="00153EEA"/>
    <w:rsid w:val="00153F07"/>
    <w:rsid w:val="00153F4A"/>
    <w:rsid w:val="00153F7B"/>
    <w:rsid w:val="00153F85"/>
    <w:rsid w:val="00153F99"/>
    <w:rsid w:val="00153FA7"/>
    <w:rsid w:val="00153FCD"/>
    <w:rsid w:val="00153FD4"/>
    <w:rsid w:val="00154051"/>
    <w:rsid w:val="001540BE"/>
    <w:rsid w:val="001540DA"/>
    <w:rsid w:val="0015416C"/>
    <w:rsid w:val="00154201"/>
    <w:rsid w:val="0015422B"/>
    <w:rsid w:val="00154245"/>
    <w:rsid w:val="0015424D"/>
    <w:rsid w:val="001542EF"/>
    <w:rsid w:val="00154307"/>
    <w:rsid w:val="0015437C"/>
    <w:rsid w:val="001543E4"/>
    <w:rsid w:val="00154422"/>
    <w:rsid w:val="0015442A"/>
    <w:rsid w:val="0015443B"/>
    <w:rsid w:val="0015444F"/>
    <w:rsid w:val="00154466"/>
    <w:rsid w:val="001544AF"/>
    <w:rsid w:val="001544C8"/>
    <w:rsid w:val="00154554"/>
    <w:rsid w:val="001545D0"/>
    <w:rsid w:val="00154602"/>
    <w:rsid w:val="00154645"/>
    <w:rsid w:val="00154655"/>
    <w:rsid w:val="00154663"/>
    <w:rsid w:val="001546D1"/>
    <w:rsid w:val="001546D6"/>
    <w:rsid w:val="00154712"/>
    <w:rsid w:val="00154784"/>
    <w:rsid w:val="001547EF"/>
    <w:rsid w:val="001547FB"/>
    <w:rsid w:val="0015483A"/>
    <w:rsid w:val="00154895"/>
    <w:rsid w:val="001548DC"/>
    <w:rsid w:val="001548F6"/>
    <w:rsid w:val="00154958"/>
    <w:rsid w:val="0015499C"/>
    <w:rsid w:val="001549D0"/>
    <w:rsid w:val="00154A20"/>
    <w:rsid w:val="00154A3D"/>
    <w:rsid w:val="00154AA0"/>
    <w:rsid w:val="00154AD1"/>
    <w:rsid w:val="00154ADF"/>
    <w:rsid w:val="00154B17"/>
    <w:rsid w:val="00154BFE"/>
    <w:rsid w:val="00154C43"/>
    <w:rsid w:val="00154C4B"/>
    <w:rsid w:val="00154C5C"/>
    <w:rsid w:val="00154C6E"/>
    <w:rsid w:val="00154C92"/>
    <w:rsid w:val="00154C93"/>
    <w:rsid w:val="00154CA2"/>
    <w:rsid w:val="00154DA6"/>
    <w:rsid w:val="00154DC7"/>
    <w:rsid w:val="00154DF9"/>
    <w:rsid w:val="00154E5C"/>
    <w:rsid w:val="00154E70"/>
    <w:rsid w:val="00154E7B"/>
    <w:rsid w:val="00154EAB"/>
    <w:rsid w:val="00154F2D"/>
    <w:rsid w:val="00154F68"/>
    <w:rsid w:val="00154F70"/>
    <w:rsid w:val="00155047"/>
    <w:rsid w:val="00155085"/>
    <w:rsid w:val="001550FD"/>
    <w:rsid w:val="0015510E"/>
    <w:rsid w:val="00155122"/>
    <w:rsid w:val="001551C3"/>
    <w:rsid w:val="00155236"/>
    <w:rsid w:val="00155243"/>
    <w:rsid w:val="00155275"/>
    <w:rsid w:val="001552E5"/>
    <w:rsid w:val="0015532F"/>
    <w:rsid w:val="001553DC"/>
    <w:rsid w:val="00155444"/>
    <w:rsid w:val="00155459"/>
    <w:rsid w:val="00155498"/>
    <w:rsid w:val="001554AB"/>
    <w:rsid w:val="001554AF"/>
    <w:rsid w:val="001554C6"/>
    <w:rsid w:val="001554D8"/>
    <w:rsid w:val="001555AD"/>
    <w:rsid w:val="001555F4"/>
    <w:rsid w:val="00155650"/>
    <w:rsid w:val="00155675"/>
    <w:rsid w:val="0015574D"/>
    <w:rsid w:val="00155756"/>
    <w:rsid w:val="0015578B"/>
    <w:rsid w:val="001557DE"/>
    <w:rsid w:val="001557FA"/>
    <w:rsid w:val="00155828"/>
    <w:rsid w:val="00155889"/>
    <w:rsid w:val="001558C0"/>
    <w:rsid w:val="001558DE"/>
    <w:rsid w:val="00155909"/>
    <w:rsid w:val="0015596D"/>
    <w:rsid w:val="001559A1"/>
    <w:rsid w:val="00155A08"/>
    <w:rsid w:val="00155A22"/>
    <w:rsid w:val="00155A56"/>
    <w:rsid w:val="00155A66"/>
    <w:rsid w:val="00155A8D"/>
    <w:rsid w:val="00155AAE"/>
    <w:rsid w:val="00155ABF"/>
    <w:rsid w:val="00155AF1"/>
    <w:rsid w:val="00155B19"/>
    <w:rsid w:val="00155B37"/>
    <w:rsid w:val="00155B7A"/>
    <w:rsid w:val="00155B88"/>
    <w:rsid w:val="00155B8C"/>
    <w:rsid w:val="00155BA9"/>
    <w:rsid w:val="00155BE6"/>
    <w:rsid w:val="00155C21"/>
    <w:rsid w:val="00155C55"/>
    <w:rsid w:val="00155C5F"/>
    <w:rsid w:val="00155CAE"/>
    <w:rsid w:val="00155CB6"/>
    <w:rsid w:val="00155CC3"/>
    <w:rsid w:val="00155CE7"/>
    <w:rsid w:val="00155D12"/>
    <w:rsid w:val="00155D2E"/>
    <w:rsid w:val="00155DAF"/>
    <w:rsid w:val="00155DB5"/>
    <w:rsid w:val="00155DCE"/>
    <w:rsid w:val="00155DFE"/>
    <w:rsid w:val="00155EB9"/>
    <w:rsid w:val="00155F00"/>
    <w:rsid w:val="00155F07"/>
    <w:rsid w:val="00155F34"/>
    <w:rsid w:val="00155F42"/>
    <w:rsid w:val="00155F4B"/>
    <w:rsid w:val="00155F51"/>
    <w:rsid w:val="00155F87"/>
    <w:rsid w:val="00155FFD"/>
    <w:rsid w:val="00156021"/>
    <w:rsid w:val="00156059"/>
    <w:rsid w:val="001560C0"/>
    <w:rsid w:val="001560D3"/>
    <w:rsid w:val="001560D4"/>
    <w:rsid w:val="001560F6"/>
    <w:rsid w:val="0015617B"/>
    <w:rsid w:val="00156188"/>
    <w:rsid w:val="001561CC"/>
    <w:rsid w:val="0015622A"/>
    <w:rsid w:val="0015623D"/>
    <w:rsid w:val="00156284"/>
    <w:rsid w:val="001562D0"/>
    <w:rsid w:val="001562DC"/>
    <w:rsid w:val="001562FA"/>
    <w:rsid w:val="00156312"/>
    <w:rsid w:val="00156317"/>
    <w:rsid w:val="0015636A"/>
    <w:rsid w:val="001563AA"/>
    <w:rsid w:val="001563B7"/>
    <w:rsid w:val="00156484"/>
    <w:rsid w:val="0015649A"/>
    <w:rsid w:val="001564C7"/>
    <w:rsid w:val="001564DC"/>
    <w:rsid w:val="001564EC"/>
    <w:rsid w:val="00156509"/>
    <w:rsid w:val="00156512"/>
    <w:rsid w:val="0015651C"/>
    <w:rsid w:val="0015652E"/>
    <w:rsid w:val="00156592"/>
    <w:rsid w:val="0015659C"/>
    <w:rsid w:val="001565C3"/>
    <w:rsid w:val="001565D2"/>
    <w:rsid w:val="001565DB"/>
    <w:rsid w:val="001565EC"/>
    <w:rsid w:val="001565F6"/>
    <w:rsid w:val="00156634"/>
    <w:rsid w:val="00156639"/>
    <w:rsid w:val="001566AB"/>
    <w:rsid w:val="00156704"/>
    <w:rsid w:val="0015671A"/>
    <w:rsid w:val="00156746"/>
    <w:rsid w:val="0015676C"/>
    <w:rsid w:val="00156781"/>
    <w:rsid w:val="00156784"/>
    <w:rsid w:val="001567A7"/>
    <w:rsid w:val="00156897"/>
    <w:rsid w:val="0015691C"/>
    <w:rsid w:val="0015693A"/>
    <w:rsid w:val="0015695E"/>
    <w:rsid w:val="0015697E"/>
    <w:rsid w:val="00156995"/>
    <w:rsid w:val="001569BB"/>
    <w:rsid w:val="001569C1"/>
    <w:rsid w:val="00156A32"/>
    <w:rsid w:val="00156A38"/>
    <w:rsid w:val="00156A6E"/>
    <w:rsid w:val="00156A72"/>
    <w:rsid w:val="00156AB3"/>
    <w:rsid w:val="00156AC7"/>
    <w:rsid w:val="00156AD6"/>
    <w:rsid w:val="00156B14"/>
    <w:rsid w:val="00156B98"/>
    <w:rsid w:val="00156C43"/>
    <w:rsid w:val="00156C8A"/>
    <w:rsid w:val="00156C8B"/>
    <w:rsid w:val="00156CEC"/>
    <w:rsid w:val="00156D68"/>
    <w:rsid w:val="00156D97"/>
    <w:rsid w:val="00156DB4"/>
    <w:rsid w:val="00156DF9"/>
    <w:rsid w:val="00156E04"/>
    <w:rsid w:val="00156E85"/>
    <w:rsid w:val="00156EEF"/>
    <w:rsid w:val="00156F16"/>
    <w:rsid w:val="00156F2C"/>
    <w:rsid w:val="00156F44"/>
    <w:rsid w:val="00156F62"/>
    <w:rsid w:val="00156FCF"/>
    <w:rsid w:val="00156FF7"/>
    <w:rsid w:val="00157069"/>
    <w:rsid w:val="0015709B"/>
    <w:rsid w:val="00157126"/>
    <w:rsid w:val="0015715E"/>
    <w:rsid w:val="00157180"/>
    <w:rsid w:val="00157182"/>
    <w:rsid w:val="0015718F"/>
    <w:rsid w:val="001571D3"/>
    <w:rsid w:val="001571DC"/>
    <w:rsid w:val="00157207"/>
    <w:rsid w:val="00157299"/>
    <w:rsid w:val="001572AE"/>
    <w:rsid w:val="001572DA"/>
    <w:rsid w:val="001572EC"/>
    <w:rsid w:val="001572FB"/>
    <w:rsid w:val="00157354"/>
    <w:rsid w:val="00157356"/>
    <w:rsid w:val="0015735D"/>
    <w:rsid w:val="001573B4"/>
    <w:rsid w:val="001573CA"/>
    <w:rsid w:val="00157486"/>
    <w:rsid w:val="001574CE"/>
    <w:rsid w:val="0015751C"/>
    <w:rsid w:val="00157522"/>
    <w:rsid w:val="0015752E"/>
    <w:rsid w:val="00157545"/>
    <w:rsid w:val="0015756D"/>
    <w:rsid w:val="00157572"/>
    <w:rsid w:val="001575B6"/>
    <w:rsid w:val="0015765C"/>
    <w:rsid w:val="00157664"/>
    <w:rsid w:val="0015768C"/>
    <w:rsid w:val="00157699"/>
    <w:rsid w:val="001576AA"/>
    <w:rsid w:val="001576AE"/>
    <w:rsid w:val="001576C4"/>
    <w:rsid w:val="00157711"/>
    <w:rsid w:val="00157729"/>
    <w:rsid w:val="00157746"/>
    <w:rsid w:val="00157788"/>
    <w:rsid w:val="001577A5"/>
    <w:rsid w:val="001577A6"/>
    <w:rsid w:val="001577DE"/>
    <w:rsid w:val="00157822"/>
    <w:rsid w:val="00157850"/>
    <w:rsid w:val="00157872"/>
    <w:rsid w:val="001578F8"/>
    <w:rsid w:val="00157922"/>
    <w:rsid w:val="00157957"/>
    <w:rsid w:val="00157970"/>
    <w:rsid w:val="00157976"/>
    <w:rsid w:val="00157979"/>
    <w:rsid w:val="0015797E"/>
    <w:rsid w:val="00157A05"/>
    <w:rsid w:val="00157A06"/>
    <w:rsid w:val="00157A1D"/>
    <w:rsid w:val="00157A51"/>
    <w:rsid w:val="00157AC2"/>
    <w:rsid w:val="00157AED"/>
    <w:rsid w:val="00157B82"/>
    <w:rsid w:val="00157B87"/>
    <w:rsid w:val="00157BAD"/>
    <w:rsid w:val="00157BEA"/>
    <w:rsid w:val="00157C28"/>
    <w:rsid w:val="00157C5D"/>
    <w:rsid w:val="00157CB2"/>
    <w:rsid w:val="00157CB6"/>
    <w:rsid w:val="00157CD9"/>
    <w:rsid w:val="00157D15"/>
    <w:rsid w:val="00157D34"/>
    <w:rsid w:val="00157D5B"/>
    <w:rsid w:val="00157D69"/>
    <w:rsid w:val="00157E5B"/>
    <w:rsid w:val="00157E63"/>
    <w:rsid w:val="00157E6E"/>
    <w:rsid w:val="00157E8C"/>
    <w:rsid w:val="00157EE7"/>
    <w:rsid w:val="00157F0A"/>
    <w:rsid w:val="00157F21"/>
    <w:rsid w:val="00157F37"/>
    <w:rsid w:val="00157F50"/>
    <w:rsid w:val="00157F72"/>
    <w:rsid w:val="00157F78"/>
    <w:rsid w:val="00157F84"/>
    <w:rsid w:val="00157F9C"/>
    <w:rsid w:val="00157FA6"/>
    <w:rsid w:val="00157FD2"/>
    <w:rsid w:val="001600B0"/>
    <w:rsid w:val="001600B3"/>
    <w:rsid w:val="001600D3"/>
    <w:rsid w:val="001600FF"/>
    <w:rsid w:val="0016011B"/>
    <w:rsid w:val="00160184"/>
    <w:rsid w:val="001601A8"/>
    <w:rsid w:val="001601BE"/>
    <w:rsid w:val="001601C8"/>
    <w:rsid w:val="001601E3"/>
    <w:rsid w:val="001601F1"/>
    <w:rsid w:val="00160217"/>
    <w:rsid w:val="0016021C"/>
    <w:rsid w:val="00160244"/>
    <w:rsid w:val="0016027E"/>
    <w:rsid w:val="001602C3"/>
    <w:rsid w:val="001602E1"/>
    <w:rsid w:val="001602F3"/>
    <w:rsid w:val="00160356"/>
    <w:rsid w:val="001603B0"/>
    <w:rsid w:val="00160408"/>
    <w:rsid w:val="00160461"/>
    <w:rsid w:val="00160497"/>
    <w:rsid w:val="00160579"/>
    <w:rsid w:val="0016059D"/>
    <w:rsid w:val="00160605"/>
    <w:rsid w:val="00160615"/>
    <w:rsid w:val="0016067C"/>
    <w:rsid w:val="001606AF"/>
    <w:rsid w:val="001606D3"/>
    <w:rsid w:val="001606EF"/>
    <w:rsid w:val="0016070B"/>
    <w:rsid w:val="0016081E"/>
    <w:rsid w:val="00160906"/>
    <w:rsid w:val="00160919"/>
    <w:rsid w:val="0016097D"/>
    <w:rsid w:val="001609B9"/>
    <w:rsid w:val="001609E3"/>
    <w:rsid w:val="00160A2B"/>
    <w:rsid w:val="00160A2C"/>
    <w:rsid w:val="00160A5D"/>
    <w:rsid w:val="00160AE3"/>
    <w:rsid w:val="00160B02"/>
    <w:rsid w:val="00160B60"/>
    <w:rsid w:val="00160B80"/>
    <w:rsid w:val="00160B85"/>
    <w:rsid w:val="00160C05"/>
    <w:rsid w:val="00160C49"/>
    <w:rsid w:val="00160C6E"/>
    <w:rsid w:val="00160CC0"/>
    <w:rsid w:val="00160D3C"/>
    <w:rsid w:val="00160DE2"/>
    <w:rsid w:val="00160E12"/>
    <w:rsid w:val="00160E23"/>
    <w:rsid w:val="00160E79"/>
    <w:rsid w:val="00160E81"/>
    <w:rsid w:val="00160ECA"/>
    <w:rsid w:val="00160EF5"/>
    <w:rsid w:val="00160F54"/>
    <w:rsid w:val="00160F69"/>
    <w:rsid w:val="00160F7B"/>
    <w:rsid w:val="00160FAF"/>
    <w:rsid w:val="0016100C"/>
    <w:rsid w:val="001610A3"/>
    <w:rsid w:val="00161103"/>
    <w:rsid w:val="00161123"/>
    <w:rsid w:val="00161190"/>
    <w:rsid w:val="001611A6"/>
    <w:rsid w:val="001611E7"/>
    <w:rsid w:val="0016120E"/>
    <w:rsid w:val="00161233"/>
    <w:rsid w:val="00161245"/>
    <w:rsid w:val="00161295"/>
    <w:rsid w:val="001612B7"/>
    <w:rsid w:val="0016135C"/>
    <w:rsid w:val="001613CE"/>
    <w:rsid w:val="00161409"/>
    <w:rsid w:val="00161413"/>
    <w:rsid w:val="0016145B"/>
    <w:rsid w:val="001614C4"/>
    <w:rsid w:val="001614D2"/>
    <w:rsid w:val="00161502"/>
    <w:rsid w:val="001615A7"/>
    <w:rsid w:val="001615F6"/>
    <w:rsid w:val="00161635"/>
    <w:rsid w:val="0016163F"/>
    <w:rsid w:val="001616EC"/>
    <w:rsid w:val="00161726"/>
    <w:rsid w:val="00161736"/>
    <w:rsid w:val="001617A4"/>
    <w:rsid w:val="001617AF"/>
    <w:rsid w:val="0016181A"/>
    <w:rsid w:val="0016182A"/>
    <w:rsid w:val="0016183A"/>
    <w:rsid w:val="00161848"/>
    <w:rsid w:val="00161906"/>
    <w:rsid w:val="00161910"/>
    <w:rsid w:val="0016191C"/>
    <w:rsid w:val="00161927"/>
    <w:rsid w:val="00161957"/>
    <w:rsid w:val="0016195F"/>
    <w:rsid w:val="00161A0D"/>
    <w:rsid w:val="00161A4A"/>
    <w:rsid w:val="00161A53"/>
    <w:rsid w:val="00161A9A"/>
    <w:rsid w:val="00161AAD"/>
    <w:rsid w:val="00161AB6"/>
    <w:rsid w:val="00161AF1"/>
    <w:rsid w:val="00161B28"/>
    <w:rsid w:val="00161B39"/>
    <w:rsid w:val="00161B65"/>
    <w:rsid w:val="00161B70"/>
    <w:rsid w:val="00161B90"/>
    <w:rsid w:val="00161C03"/>
    <w:rsid w:val="00161C06"/>
    <w:rsid w:val="00161C33"/>
    <w:rsid w:val="00161C3C"/>
    <w:rsid w:val="00161C54"/>
    <w:rsid w:val="00161C7F"/>
    <w:rsid w:val="00161CCA"/>
    <w:rsid w:val="00161CD5"/>
    <w:rsid w:val="00161E9D"/>
    <w:rsid w:val="00161F15"/>
    <w:rsid w:val="00161F37"/>
    <w:rsid w:val="00161FCD"/>
    <w:rsid w:val="00162004"/>
    <w:rsid w:val="0016201E"/>
    <w:rsid w:val="00162057"/>
    <w:rsid w:val="00162077"/>
    <w:rsid w:val="00162078"/>
    <w:rsid w:val="001620C4"/>
    <w:rsid w:val="001620E7"/>
    <w:rsid w:val="00162127"/>
    <w:rsid w:val="0016213F"/>
    <w:rsid w:val="0016218C"/>
    <w:rsid w:val="001621A2"/>
    <w:rsid w:val="001621A5"/>
    <w:rsid w:val="001621EC"/>
    <w:rsid w:val="00162212"/>
    <w:rsid w:val="00162237"/>
    <w:rsid w:val="00162284"/>
    <w:rsid w:val="00162286"/>
    <w:rsid w:val="001622DC"/>
    <w:rsid w:val="00162308"/>
    <w:rsid w:val="0016230B"/>
    <w:rsid w:val="0016236A"/>
    <w:rsid w:val="00162384"/>
    <w:rsid w:val="0016239E"/>
    <w:rsid w:val="001623C3"/>
    <w:rsid w:val="001623EE"/>
    <w:rsid w:val="00162428"/>
    <w:rsid w:val="00162489"/>
    <w:rsid w:val="001624C0"/>
    <w:rsid w:val="001624F7"/>
    <w:rsid w:val="0016253E"/>
    <w:rsid w:val="001625BA"/>
    <w:rsid w:val="00162606"/>
    <w:rsid w:val="00162607"/>
    <w:rsid w:val="0016260D"/>
    <w:rsid w:val="0016267E"/>
    <w:rsid w:val="001626CF"/>
    <w:rsid w:val="00162731"/>
    <w:rsid w:val="00162733"/>
    <w:rsid w:val="0016278D"/>
    <w:rsid w:val="0016279B"/>
    <w:rsid w:val="00162832"/>
    <w:rsid w:val="0016289C"/>
    <w:rsid w:val="001628FF"/>
    <w:rsid w:val="00162901"/>
    <w:rsid w:val="00162922"/>
    <w:rsid w:val="0016298D"/>
    <w:rsid w:val="00162997"/>
    <w:rsid w:val="0016299C"/>
    <w:rsid w:val="001629B0"/>
    <w:rsid w:val="001629D0"/>
    <w:rsid w:val="001629FA"/>
    <w:rsid w:val="00162A8A"/>
    <w:rsid w:val="00162B6B"/>
    <w:rsid w:val="00162B6E"/>
    <w:rsid w:val="00162BBA"/>
    <w:rsid w:val="00162BEA"/>
    <w:rsid w:val="00162BFD"/>
    <w:rsid w:val="00162C16"/>
    <w:rsid w:val="00162CC2"/>
    <w:rsid w:val="00162D1D"/>
    <w:rsid w:val="00162D47"/>
    <w:rsid w:val="00162D6B"/>
    <w:rsid w:val="00162D8F"/>
    <w:rsid w:val="00162DA7"/>
    <w:rsid w:val="00162DB5"/>
    <w:rsid w:val="00162DBE"/>
    <w:rsid w:val="00162DCC"/>
    <w:rsid w:val="00162DCE"/>
    <w:rsid w:val="00162DD7"/>
    <w:rsid w:val="00162DE7"/>
    <w:rsid w:val="00162E01"/>
    <w:rsid w:val="00162E8B"/>
    <w:rsid w:val="00162EAE"/>
    <w:rsid w:val="00162EF4"/>
    <w:rsid w:val="00162EF8"/>
    <w:rsid w:val="00162F0C"/>
    <w:rsid w:val="00162F26"/>
    <w:rsid w:val="00162F52"/>
    <w:rsid w:val="00162F7C"/>
    <w:rsid w:val="00162F81"/>
    <w:rsid w:val="00162FAC"/>
    <w:rsid w:val="00163025"/>
    <w:rsid w:val="00163054"/>
    <w:rsid w:val="001630D4"/>
    <w:rsid w:val="001630EB"/>
    <w:rsid w:val="001630F7"/>
    <w:rsid w:val="001631B7"/>
    <w:rsid w:val="001631CB"/>
    <w:rsid w:val="001631CF"/>
    <w:rsid w:val="001631DB"/>
    <w:rsid w:val="001631E0"/>
    <w:rsid w:val="00163228"/>
    <w:rsid w:val="0016322E"/>
    <w:rsid w:val="00163284"/>
    <w:rsid w:val="001632A3"/>
    <w:rsid w:val="001632B3"/>
    <w:rsid w:val="001632B8"/>
    <w:rsid w:val="001632C7"/>
    <w:rsid w:val="00163329"/>
    <w:rsid w:val="0016335C"/>
    <w:rsid w:val="00163366"/>
    <w:rsid w:val="00163375"/>
    <w:rsid w:val="001633D2"/>
    <w:rsid w:val="001633E0"/>
    <w:rsid w:val="001633F1"/>
    <w:rsid w:val="00163465"/>
    <w:rsid w:val="00163494"/>
    <w:rsid w:val="001634A5"/>
    <w:rsid w:val="001634B3"/>
    <w:rsid w:val="001634FA"/>
    <w:rsid w:val="00163503"/>
    <w:rsid w:val="00163507"/>
    <w:rsid w:val="00163528"/>
    <w:rsid w:val="0016353C"/>
    <w:rsid w:val="0016356C"/>
    <w:rsid w:val="0016358C"/>
    <w:rsid w:val="0016359D"/>
    <w:rsid w:val="001635BD"/>
    <w:rsid w:val="001635D9"/>
    <w:rsid w:val="001635DE"/>
    <w:rsid w:val="0016361E"/>
    <w:rsid w:val="0016362E"/>
    <w:rsid w:val="00163652"/>
    <w:rsid w:val="00163678"/>
    <w:rsid w:val="001636A1"/>
    <w:rsid w:val="001636F5"/>
    <w:rsid w:val="0016375D"/>
    <w:rsid w:val="001637AD"/>
    <w:rsid w:val="001637C2"/>
    <w:rsid w:val="001637EF"/>
    <w:rsid w:val="0016383A"/>
    <w:rsid w:val="00163871"/>
    <w:rsid w:val="0016389A"/>
    <w:rsid w:val="001638B6"/>
    <w:rsid w:val="001638C6"/>
    <w:rsid w:val="001638E9"/>
    <w:rsid w:val="0016393C"/>
    <w:rsid w:val="00163986"/>
    <w:rsid w:val="00163992"/>
    <w:rsid w:val="001639C6"/>
    <w:rsid w:val="00163A14"/>
    <w:rsid w:val="00163A4B"/>
    <w:rsid w:val="00163A5B"/>
    <w:rsid w:val="00163AA2"/>
    <w:rsid w:val="00163AB3"/>
    <w:rsid w:val="00163AF0"/>
    <w:rsid w:val="00163B04"/>
    <w:rsid w:val="00163B11"/>
    <w:rsid w:val="00163B2D"/>
    <w:rsid w:val="00163B77"/>
    <w:rsid w:val="00163BB0"/>
    <w:rsid w:val="00163BF6"/>
    <w:rsid w:val="00163C09"/>
    <w:rsid w:val="00163C3E"/>
    <w:rsid w:val="00163C5F"/>
    <w:rsid w:val="00163CA5"/>
    <w:rsid w:val="00163CBC"/>
    <w:rsid w:val="00163D02"/>
    <w:rsid w:val="00163D27"/>
    <w:rsid w:val="00163D80"/>
    <w:rsid w:val="00163D8D"/>
    <w:rsid w:val="00163D91"/>
    <w:rsid w:val="00163DC3"/>
    <w:rsid w:val="00163EA0"/>
    <w:rsid w:val="00163EA9"/>
    <w:rsid w:val="00163F21"/>
    <w:rsid w:val="00163F2E"/>
    <w:rsid w:val="00163F46"/>
    <w:rsid w:val="00163F4E"/>
    <w:rsid w:val="00164065"/>
    <w:rsid w:val="001640C3"/>
    <w:rsid w:val="0016414E"/>
    <w:rsid w:val="00164196"/>
    <w:rsid w:val="0016419B"/>
    <w:rsid w:val="001641A7"/>
    <w:rsid w:val="001641B9"/>
    <w:rsid w:val="001641C9"/>
    <w:rsid w:val="001641D8"/>
    <w:rsid w:val="00164249"/>
    <w:rsid w:val="00164319"/>
    <w:rsid w:val="0016433B"/>
    <w:rsid w:val="0016438B"/>
    <w:rsid w:val="00164393"/>
    <w:rsid w:val="0016439D"/>
    <w:rsid w:val="001643C2"/>
    <w:rsid w:val="00164405"/>
    <w:rsid w:val="00164414"/>
    <w:rsid w:val="00164423"/>
    <w:rsid w:val="0016442F"/>
    <w:rsid w:val="0016444B"/>
    <w:rsid w:val="0016444E"/>
    <w:rsid w:val="001644AB"/>
    <w:rsid w:val="00164514"/>
    <w:rsid w:val="001645DF"/>
    <w:rsid w:val="00164629"/>
    <w:rsid w:val="00164688"/>
    <w:rsid w:val="0016468C"/>
    <w:rsid w:val="001646BC"/>
    <w:rsid w:val="001646BD"/>
    <w:rsid w:val="001646CA"/>
    <w:rsid w:val="001646DD"/>
    <w:rsid w:val="001646EC"/>
    <w:rsid w:val="00164741"/>
    <w:rsid w:val="001647B2"/>
    <w:rsid w:val="001647E3"/>
    <w:rsid w:val="001647EB"/>
    <w:rsid w:val="00164821"/>
    <w:rsid w:val="00164823"/>
    <w:rsid w:val="00164847"/>
    <w:rsid w:val="0016489E"/>
    <w:rsid w:val="001648B5"/>
    <w:rsid w:val="001648C7"/>
    <w:rsid w:val="001648FA"/>
    <w:rsid w:val="00164903"/>
    <w:rsid w:val="00164915"/>
    <w:rsid w:val="0016491C"/>
    <w:rsid w:val="00164988"/>
    <w:rsid w:val="001649AB"/>
    <w:rsid w:val="001649D5"/>
    <w:rsid w:val="001649E4"/>
    <w:rsid w:val="001649F9"/>
    <w:rsid w:val="00164A0B"/>
    <w:rsid w:val="00164A17"/>
    <w:rsid w:val="00164A5C"/>
    <w:rsid w:val="00164A78"/>
    <w:rsid w:val="00164B21"/>
    <w:rsid w:val="00164BEA"/>
    <w:rsid w:val="00164C0C"/>
    <w:rsid w:val="00164C1A"/>
    <w:rsid w:val="00164C6D"/>
    <w:rsid w:val="00164CA8"/>
    <w:rsid w:val="00164E0E"/>
    <w:rsid w:val="00164E59"/>
    <w:rsid w:val="00164E71"/>
    <w:rsid w:val="00164F0D"/>
    <w:rsid w:val="00164F1C"/>
    <w:rsid w:val="00164F20"/>
    <w:rsid w:val="00164F5C"/>
    <w:rsid w:val="00164FAC"/>
    <w:rsid w:val="00164FB3"/>
    <w:rsid w:val="00164FD5"/>
    <w:rsid w:val="00164FE6"/>
    <w:rsid w:val="00164FFD"/>
    <w:rsid w:val="00165033"/>
    <w:rsid w:val="00165044"/>
    <w:rsid w:val="00165060"/>
    <w:rsid w:val="0016507F"/>
    <w:rsid w:val="0016508A"/>
    <w:rsid w:val="001650B3"/>
    <w:rsid w:val="001650DF"/>
    <w:rsid w:val="001650F2"/>
    <w:rsid w:val="00165106"/>
    <w:rsid w:val="0016518C"/>
    <w:rsid w:val="00165231"/>
    <w:rsid w:val="00165252"/>
    <w:rsid w:val="00165258"/>
    <w:rsid w:val="0016525F"/>
    <w:rsid w:val="00165286"/>
    <w:rsid w:val="001652C1"/>
    <w:rsid w:val="001652F4"/>
    <w:rsid w:val="00165301"/>
    <w:rsid w:val="00165358"/>
    <w:rsid w:val="001653AE"/>
    <w:rsid w:val="001653B2"/>
    <w:rsid w:val="001653F2"/>
    <w:rsid w:val="001653FC"/>
    <w:rsid w:val="00165446"/>
    <w:rsid w:val="0016544F"/>
    <w:rsid w:val="001654D6"/>
    <w:rsid w:val="001654F0"/>
    <w:rsid w:val="00165537"/>
    <w:rsid w:val="001655CF"/>
    <w:rsid w:val="00165664"/>
    <w:rsid w:val="0016567E"/>
    <w:rsid w:val="001656EA"/>
    <w:rsid w:val="0016570F"/>
    <w:rsid w:val="0016576F"/>
    <w:rsid w:val="00165770"/>
    <w:rsid w:val="0016579E"/>
    <w:rsid w:val="001657A4"/>
    <w:rsid w:val="001657CD"/>
    <w:rsid w:val="00165856"/>
    <w:rsid w:val="001658FC"/>
    <w:rsid w:val="0016591E"/>
    <w:rsid w:val="00165945"/>
    <w:rsid w:val="00165988"/>
    <w:rsid w:val="001659B2"/>
    <w:rsid w:val="001659D9"/>
    <w:rsid w:val="00165AD8"/>
    <w:rsid w:val="00165AD9"/>
    <w:rsid w:val="00165AE4"/>
    <w:rsid w:val="00165AE7"/>
    <w:rsid w:val="00165B29"/>
    <w:rsid w:val="00165B92"/>
    <w:rsid w:val="00165BC3"/>
    <w:rsid w:val="00165BD0"/>
    <w:rsid w:val="00165BF0"/>
    <w:rsid w:val="00165C96"/>
    <w:rsid w:val="00165CA8"/>
    <w:rsid w:val="00165CEE"/>
    <w:rsid w:val="00165D17"/>
    <w:rsid w:val="00165D3D"/>
    <w:rsid w:val="00165D41"/>
    <w:rsid w:val="00165DD6"/>
    <w:rsid w:val="00165DEE"/>
    <w:rsid w:val="00165E46"/>
    <w:rsid w:val="00165E4B"/>
    <w:rsid w:val="00165E5A"/>
    <w:rsid w:val="00165E84"/>
    <w:rsid w:val="00165EB4"/>
    <w:rsid w:val="00165EDD"/>
    <w:rsid w:val="00165EDF"/>
    <w:rsid w:val="00165F2C"/>
    <w:rsid w:val="00165F3A"/>
    <w:rsid w:val="00165F42"/>
    <w:rsid w:val="00165F5E"/>
    <w:rsid w:val="00165FBF"/>
    <w:rsid w:val="00165FE6"/>
    <w:rsid w:val="00166058"/>
    <w:rsid w:val="0016605A"/>
    <w:rsid w:val="0016608C"/>
    <w:rsid w:val="0016609B"/>
    <w:rsid w:val="001660A2"/>
    <w:rsid w:val="001660DD"/>
    <w:rsid w:val="0016610D"/>
    <w:rsid w:val="0016611C"/>
    <w:rsid w:val="0016613B"/>
    <w:rsid w:val="00166146"/>
    <w:rsid w:val="0016617B"/>
    <w:rsid w:val="00166188"/>
    <w:rsid w:val="001661C0"/>
    <w:rsid w:val="001661C1"/>
    <w:rsid w:val="001661CD"/>
    <w:rsid w:val="0016620D"/>
    <w:rsid w:val="00166222"/>
    <w:rsid w:val="00166290"/>
    <w:rsid w:val="00166296"/>
    <w:rsid w:val="001662D8"/>
    <w:rsid w:val="00166327"/>
    <w:rsid w:val="0016633B"/>
    <w:rsid w:val="0016636B"/>
    <w:rsid w:val="0016637F"/>
    <w:rsid w:val="00166390"/>
    <w:rsid w:val="001663E2"/>
    <w:rsid w:val="00166435"/>
    <w:rsid w:val="001664AD"/>
    <w:rsid w:val="001664B0"/>
    <w:rsid w:val="0016653D"/>
    <w:rsid w:val="00166573"/>
    <w:rsid w:val="0016657B"/>
    <w:rsid w:val="0016657E"/>
    <w:rsid w:val="001665B0"/>
    <w:rsid w:val="001665ED"/>
    <w:rsid w:val="00166608"/>
    <w:rsid w:val="0016662C"/>
    <w:rsid w:val="0016662D"/>
    <w:rsid w:val="00166644"/>
    <w:rsid w:val="0016665D"/>
    <w:rsid w:val="001666BF"/>
    <w:rsid w:val="001666F1"/>
    <w:rsid w:val="00166789"/>
    <w:rsid w:val="001667BC"/>
    <w:rsid w:val="001667F8"/>
    <w:rsid w:val="00166810"/>
    <w:rsid w:val="0016686A"/>
    <w:rsid w:val="0016688E"/>
    <w:rsid w:val="001668AC"/>
    <w:rsid w:val="001668CD"/>
    <w:rsid w:val="001668E7"/>
    <w:rsid w:val="00166964"/>
    <w:rsid w:val="001669B6"/>
    <w:rsid w:val="00166A8A"/>
    <w:rsid w:val="00166A97"/>
    <w:rsid w:val="00166AB0"/>
    <w:rsid w:val="00166AB1"/>
    <w:rsid w:val="00166ADC"/>
    <w:rsid w:val="00166B14"/>
    <w:rsid w:val="00166BB1"/>
    <w:rsid w:val="00166BF6"/>
    <w:rsid w:val="00166C52"/>
    <w:rsid w:val="00166C64"/>
    <w:rsid w:val="00166C9F"/>
    <w:rsid w:val="00166CB8"/>
    <w:rsid w:val="00166CF8"/>
    <w:rsid w:val="00166D0F"/>
    <w:rsid w:val="00166D4F"/>
    <w:rsid w:val="00166D61"/>
    <w:rsid w:val="00166DF6"/>
    <w:rsid w:val="00166E8D"/>
    <w:rsid w:val="00166E92"/>
    <w:rsid w:val="00166EC1"/>
    <w:rsid w:val="00166ED3"/>
    <w:rsid w:val="00166EE3"/>
    <w:rsid w:val="00166EEA"/>
    <w:rsid w:val="00166F68"/>
    <w:rsid w:val="00166FB2"/>
    <w:rsid w:val="00166FC9"/>
    <w:rsid w:val="00166FD7"/>
    <w:rsid w:val="00166FE2"/>
    <w:rsid w:val="00166FE4"/>
    <w:rsid w:val="0016708D"/>
    <w:rsid w:val="001670A4"/>
    <w:rsid w:val="001670BC"/>
    <w:rsid w:val="0016713E"/>
    <w:rsid w:val="001671BF"/>
    <w:rsid w:val="001671F4"/>
    <w:rsid w:val="00167247"/>
    <w:rsid w:val="00167250"/>
    <w:rsid w:val="00167258"/>
    <w:rsid w:val="00167285"/>
    <w:rsid w:val="001672D0"/>
    <w:rsid w:val="00167309"/>
    <w:rsid w:val="001673E9"/>
    <w:rsid w:val="001673F6"/>
    <w:rsid w:val="00167412"/>
    <w:rsid w:val="00167427"/>
    <w:rsid w:val="00167466"/>
    <w:rsid w:val="001674AB"/>
    <w:rsid w:val="00167507"/>
    <w:rsid w:val="0016750E"/>
    <w:rsid w:val="0016750F"/>
    <w:rsid w:val="00167524"/>
    <w:rsid w:val="00167551"/>
    <w:rsid w:val="00167561"/>
    <w:rsid w:val="00167564"/>
    <w:rsid w:val="00167569"/>
    <w:rsid w:val="001675BC"/>
    <w:rsid w:val="001675C5"/>
    <w:rsid w:val="001675CA"/>
    <w:rsid w:val="001675F8"/>
    <w:rsid w:val="00167626"/>
    <w:rsid w:val="00167629"/>
    <w:rsid w:val="0016765B"/>
    <w:rsid w:val="001676B5"/>
    <w:rsid w:val="00167726"/>
    <w:rsid w:val="00167776"/>
    <w:rsid w:val="00167779"/>
    <w:rsid w:val="001677C2"/>
    <w:rsid w:val="001677E6"/>
    <w:rsid w:val="00167804"/>
    <w:rsid w:val="0016787D"/>
    <w:rsid w:val="00167881"/>
    <w:rsid w:val="00167891"/>
    <w:rsid w:val="001678AE"/>
    <w:rsid w:val="00167901"/>
    <w:rsid w:val="0016791F"/>
    <w:rsid w:val="00167926"/>
    <w:rsid w:val="00167986"/>
    <w:rsid w:val="001679B0"/>
    <w:rsid w:val="001679C0"/>
    <w:rsid w:val="001679F4"/>
    <w:rsid w:val="00167A5D"/>
    <w:rsid w:val="00167A5F"/>
    <w:rsid w:val="00167ACF"/>
    <w:rsid w:val="00167AD5"/>
    <w:rsid w:val="00167B34"/>
    <w:rsid w:val="00167B4D"/>
    <w:rsid w:val="00167B8A"/>
    <w:rsid w:val="00167B9E"/>
    <w:rsid w:val="00167BC2"/>
    <w:rsid w:val="00167C03"/>
    <w:rsid w:val="00167CA3"/>
    <w:rsid w:val="00167CC6"/>
    <w:rsid w:val="00167CF3"/>
    <w:rsid w:val="00167D04"/>
    <w:rsid w:val="00167D2A"/>
    <w:rsid w:val="00167D44"/>
    <w:rsid w:val="00167D46"/>
    <w:rsid w:val="00167DAE"/>
    <w:rsid w:val="00167DC2"/>
    <w:rsid w:val="00167DFA"/>
    <w:rsid w:val="00167E07"/>
    <w:rsid w:val="00167E16"/>
    <w:rsid w:val="00167E37"/>
    <w:rsid w:val="00167E3D"/>
    <w:rsid w:val="00167E4B"/>
    <w:rsid w:val="00167E50"/>
    <w:rsid w:val="00167EBC"/>
    <w:rsid w:val="00167F11"/>
    <w:rsid w:val="00167F51"/>
    <w:rsid w:val="00167FC6"/>
    <w:rsid w:val="00167FEB"/>
    <w:rsid w:val="00170011"/>
    <w:rsid w:val="00170059"/>
    <w:rsid w:val="001700C5"/>
    <w:rsid w:val="001700CA"/>
    <w:rsid w:val="00170108"/>
    <w:rsid w:val="0017017F"/>
    <w:rsid w:val="00170187"/>
    <w:rsid w:val="001701BF"/>
    <w:rsid w:val="001701C6"/>
    <w:rsid w:val="001701FC"/>
    <w:rsid w:val="00170248"/>
    <w:rsid w:val="001702B3"/>
    <w:rsid w:val="00170327"/>
    <w:rsid w:val="0017036B"/>
    <w:rsid w:val="001703BB"/>
    <w:rsid w:val="001703D4"/>
    <w:rsid w:val="00170408"/>
    <w:rsid w:val="00170427"/>
    <w:rsid w:val="001704A4"/>
    <w:rsid w:val="00170541"/>
    <w:rsid w:val="001705D2"/>
    <w:rsid w:val="001705DD"/>
    <w:rsid w:val="00170627"/>
    <w:rsid w:val="00170629"/>
    <w:rsid w:val="0017063F"/>
    <w:rsid w:val="00170688"/>
    <w:rsid w:val="001706BF"/>
    <w:rsid w:val="0017073A"/>
    <w:rsid w:val="001707C3"/>
    <w:rsid w:val="00170824"/>
    <w:rsid w:val="0017084F"/>
    <w:rsid w:val="0017086E"/>
    <w:rsid w:val="00170894"/>
    <w:rsid w:val="00170952"/>
    <w:rsid w:val="001709FA"/>
    <w:rsid w:val="001709FD"/>
    <w:rsid w:val="001709FF"/>
    <w:rsid w:val="00170A52"/>
    <w:rsid w:val="00170AD5"/>
    <w:rsid w:val="00170B68"/>
    <w:rsid w:val="00170B6E"/>
    <w:rsid w:val="00170B76"/>
    <w:rsid w:val="00170BFA"/>
    <w:rsid w:val="00170C1E"/>
    <w:rsid w:val="00170CBD"/>
    <w:rsid w:val="00170CC7"/>
    <w:rsid w:val="00170CE9"/>
    <w:rsid w:val="00170D0E"/>
    <w:rsid w:val="00170D23"/>
    <w:rsid w:val="00170D59"/>
    <w:rsid w:val="00170D5D"/>
    <w:rsid w:val="00170DAE"/>
    <w:rsid w:val="00170DED"/>
    <w:rsid w:val="00170E7E"/>
    <w:rsid w:val="00170EA0"/>
    <w:rsid w:val="00170F5D"/>
    <w:rsid w:val="00170FB1"/>
    <w:rsid w:val="0017102F"/>
    <w:rsid w:val="00171066"/>
    <w:rsid w:val="0017107A"/>
    <w:rsid w:val="001710A8"/>
    <w:rsid w:val="001710B2"/>
    <w:rsid w:val="001710C5"/>
    <w:rsid w:val="001710D8"/>
    <w:rsid w:val="001710F7"/>
    <w:rsid w:val="00171115"/>
    <w:rsid w:val="00171126"/>
    <w:rsid w:val="00171133"/>
    <w:rsid w:val="0017118E"/>
    <w:rsid w:val="001711AC"/>
    <w:rsid w:val="00171203"/>
    <w:rsid w:val="00171257"/>
    <w:rsid w:val="00171288"/>
    <w:rsid w:val="001712F1"/>
    <w:rsid w:val="0017139C"/>
    <w:rsid w:val="0017147D"/>
    <w:rsid w:val="001714BF"/>
    <w:rsid w:val="00171525"/>
    <w:rsid w:val="0017153F"/>
    <w:rsid w:val="0017158F"/>
    <w:rsid w:val="001715AA"/>
    <w:rsid w:val="001715B6"/>
    <w:rsid w:val="00171638"/>
    <w:rsid w:val="0017164F"/>
    <w:rsid w:val="0017166A"/>
    <w:rsid w:val="0017167A"/>
    <w:rsid w:val="001716C6"/>
    <w:rsid w:val="001716E6"/>
    <w:rsid w:val="0017173F"/>
    <w:rsid w:val="00171752"/>
    <w:rsid w:val="0017176C"/>
    <w:rsid w:val="00171788"/>
    <w:rsid w:val="001717F6"/>
    <w:rsid w:val="00171800"/>
    <w:rsid w:val="00171837"/>
    <w:rsid w:val="00171867"/>
    <w:rsid w:val="00171873"/>
    <w:rsid w:val="0017189F"/>
    <w:rsid w:val="00171918"/>
    <w:rsid w:val="00171929"/>
    <w:rsid w:val="00171977"/>
    <w:rsid w:val="0017199A"/>
    <w:rsid w:val="001719B8"/>
    <w:rsid w:val="001719E1"/>
    <w:rsid w:val="001719F0"/>
    <w:rsid w:val="00171A8C"/>
    <w:rsid w:val="00171AD6"/>
    <w:rsid w:val="00171B29"/>
    <w:rsid w:val="00171B97"/>
    <w:rsid w:val="00171C13"/>
    <w:rsid w:val="00171C3C"/>
    <w:rsid w:val="00171C46"/>
    <w:rsid w:val="00171CA1"/>
    <w:rsid w:val="00171CB2"/>
    <w:rsid w:val="00171CCC"/>
    <w:rsid w:val="00171CDE"/>
    <w:rsid w:val="00171CF9"/>
    <w:rsid w:val="00171D87"/>
    <w:rsid w:val="00171D8C"/>
    <w:rsid w:val="00171DAA"/>
    <w:rsid w:val="00171DB1"/>
    <w:rsid w:val="00171E4D"/>
    <w:rsid w:val="00171E66"/>
    <w:rsid w:val="00171E81"/>
    <w:rsid w:val="00171E89"/>
    <w:rsid w:val="00171F27"/>
    <w:rsid w:val="00171FCE"/>
    <w:rsid w:val="0017202F"/>
    <w:rsid w:val="0017203E"/>
    <w:rsid w:val="0017209C"/>
    <w:rsid w:val="001720F9"/>
    <w:rsid w:val="001720FA"/>
    <w:rsid w:val="0017215F"/>
    <w:rsid w:val="00172189"/>
    <w:rsid w:val="0017219D"/>
    <w:rsid w:val="001721D7"/>
    <w:rsid w:val="00172299"/>
    <w:rsid w:val="00172305"/>
    <w:rsid w:val="00172319"/>
    <w:rsid w:val="0017231D"/>
    <w:rsid w:val="00172336"/>
    <w:rsid w:val="00172343"/>
    <w:rsid w:val="001723F0"/>
    <w:rsid w:val="00172451"/>
    <w:rsid w:val="001724F2"/>
    <w:rsid w:val="0017251E"/>
    <w:rsid w:val="0017256A"/>
    <w:rsid w:val="0017257E"/>
    <w:rsid w:val="00172588"/>
    <w:rsid w:val="001725B3"/>
    <w:rsid w:val="00172655"/>
    <w:rsid w:val="00172668"/>
    <w:rsid w:val="001726A4"/>
    <w:rsid w:val="001726F5"/>
    <w:rsid w:val="0017270E"/>
    <w:rsid w:val="00172722"/>
    <w:rsid w:val="0017274D"/>
    <w:rsid w:val="00172755"/>
    <w:rsid w:val="001727B0"/>
    <w:rsid w:val="001727B2"/>
    <w:rsid w:val="001727B8"/>
    <w:rsid w:val="001727C8"/>
    <w:rsid w:val="001727CB"/>
    <w:rsid w:val="001727CF"/>
    <w:rsid w:val="0017280A"/>
    <w:rsid w:val="00172816"/>
    <w:rsid w:val="0017285D"/>
    <w:rsid w:val="001728B3"/>
    <w:rsid w:val="001728BC"/>
    <w:rsid w:val="001728D2"/>
    <w:rsid w:val="0017292D"/>
    <w:rsid w:val="0017295C"/>
    <w:rsid w:val="00172991"/>
    <w:rsid w:val="001729AB"/>
    <w:rsid w:val="001729C6"/>
    <w:rsid w:val="001729FB"/>
    <w:rsid w:val="00172A0F"/>
    <w:rsid w:val="00172A6D"/>
    <w:rsid w:val="00172AD9"/>
    <w:rsid w:val="00172B24"/>
    <w:rsid w:val="00172B2D"/>
    <w:rsid w:val="00172C83"/>
    <w:rsid w:val="00172C9C"/>
    <w:rsid w:val="00172CBF"/>
    <w:rsid w:val="00172CD6"/>
    <w:rsid w:val="00172CDA"/>
    <w:rsid w:val="00172D50"/>
    <w:rsid w:val="00172D6F"/>
    <w:rsid w:val="00172DCA"/>
    <w:rsid w:val="00172E12"/>
    <w:rsid w:val="00172E57"/>
    <w:rsid w:val="00172EA4"/>
    <w:rsid w:val="00172EDE"/>
    <w:rsid w:val="00172EFF"/>
    <w:rsid w:val="00172F65"/>
    <w:rsid w:val="00172F81"/>
    <w:rsid w:val="00172FC2"/>
    <w:rsid w:val="00172FD1"/>
    <w:rsid w:val="0017303A"/>
    <w:rsid w:val="00173072"/>
    <w:rsid w:val="001730D1"/>
    <w:rsid w:val="00173125"/>
    <w:rsid w:val="001731F1"/>
    <w:rsid w:val="00173271"/>
    <w:rsid w:val="001732AF"/>
    <w:rsid w:val="00173332"/>
    <w:rsid w:val="0017334D"/>
    <w:rsid w:val="00173403"/>
    <w:rsid w:val="001734BF"/>
    <w:rsid w:val="00173500"/>
    <w:rsid w:val="0017352D"/>
    <w:rsid w:val="00173541"/>
    <w:rsid w:val="001735FD"/>
    <w:rsid w:val="0017361F"/>
    <w:rsid w:val="0017365D"/>
    <w:rsid w:val="0017368E"/>
    <w:rsid w:val="001736CA"/>
    <w:rsid w:val="001736E2"/>
    <w:rsid w:val="001736F5"/>
    <w:rsid w:val="00173724"/>
    <w:rsid w:val="00173765"/>
    <w:rsid w:val="00173785"/>
    <w:rsid w:val="001737D9"/>
    <w:rsid w:val="00173820"/>
    <w:rsid w:val="0017383B"/>
    <w:rsid w:val="00173842"/>
    <w:rsid w:val="001738EA"/>
    <w:rsid w:val="001738F4"/>
    <w:rsid w:val="00173913"/>
    <w:rsid w:val="00173922"/>
    <w:rsid w:val="00173944"/>
    <w:rsid w:val="00173964"/>
    <w:rsid w:val="001739C1"/>
    <w:rsid w:val="00173A18"/>
    <w:rsid w:val="00173A51"/>
    <w:rsid w:val="00173AA5"/>
    <w:rsid w:val="00173AC8"/>
    <w:rsid w:val="00173B2D"/>
    <w:rsid w:val="00173C10"/>
    <w:rsid w:val="00173C20"/>
    <w:rsid w:val="00173C3B"/>
    <w:rsid w:val="00173C81"/>
    <w:rsid w:val="00173C93"/>
    <w:rsid w:val="00173CB5"/>
    <w:rsid w:val="00173CC7"/>
    <w:rsid w:val="00173D93"/>
    <w:rsid w:val="00173DF2"/>
    <w:rsid w:val="00173E1C"/>
    <w:rsid w:val="00173E36"/>
    <w:rsid w:val="00173E42"/>
    <w:rsid w:val="00173E8E"/>
    <w:rsid w:val="00173EC5"/>
    <w:rsid w:val="00173F83"/>
    <w:rsid w:val="00173FAA"/>
    <w:rsid w:val="00174003"/>
    <w:rsid w:val="00174060"/>
    <w:rsid w:val="00174066"/>
    <w:rsid w:val="001740A8"/>
    <w:rsid w:val="001740DF"/>
    <w:rsid w:val="00174113"/>
    <w:rsid w:val="00174125"/>
    <w:rsid w:val="0017414C"/>
    <w:rsid w:val="001741A4"/>
    <w:rsid w:val="001741E7"/>
    <w:rsid w:val="0017422D"/>
    <w:rsid w:val="0017423F"/>
    <w:rsid w:val="00174279"/>
    <w:rsid w:val="001742F0"/>
    <w:rsid w:val="001742FF"/>
    <w:rsid w:val="0017432F"/>
    <w:rsid w:val="00174351"/>
    <w:rsid w:val="00174381"/>
    <w:rsid w:val="0017439F"/>
    <w:rsid w:val="001743D9"/>
    <w:rsid w:val="00174419"/>
    <w:rsid w:val="0017442D"/>
    <w:rsid w:val="00174437"/>
    <w:rsid w:val="00174482"/>
    <w:rsid w:val="001744D3"/>
    <w:rsid w:val="0017468C"/>
    <w:rsid w:val="001746A6"/>
    <w:rsid w:val="001746A9"/>
    <w:rsid w:val="001746B8"/>
    <w:rsid w:val="001746F5"/>
    <w:rsid w:val="00174713"/>
    <w:rsid w:val="00174723"/>
    <w:rsid w:val="00174733"/>
    <w:rsid w:val="0017479E"/>
    <w:rsid w:val="001747AD"/>
    <w:rsid w:val="001747B4"/>
    <w:rsid w:val="001747F0"/>
    <w:rsid w:val="00174813"/>
    <w:rsid w:val="00174828"/>
    <w:rsid w:val="00174878"/>
    <w:rsid w:val="0017488E"/>
    <w:rsid w:val="001748C3"/>
    <w:rsid w:val="001748EE"/>
    <w:rsid w:val="00174919"/>
    <w:rsid w:val="0017493F"/>
    <w:rsid w:val="0017494C"/>
    <w:rsid w:val="00174994"/>
    <w:rsid w:val="00174998"/>
    <w:rsid w:val="001749ED"/>
    <w:rsid w:val="00174A0A"/>
    <w:rsid w:val="00174A0B"/>
    <w:rsid w:val="00174A39"/>
    <w:rsid w:val="00174A45"/>
    <w:rsid w:val="00174A4D"/>
    <w:rsid w:val="00174A6D"/>
    <w:rsid w:val="00174ABD"/>
    <w:rsid w:val="00174B1B"/>
    <w:rsid w:val="00174B4B"/>
    <w:rsid w:val="00174B57"/>
    <w:rsid w:val="00174B68"/>
    <w:rsid w:val="00174BC7"/>
    <w:rsid w:val="00174C04"/>
    <w:rsid w:val="00174C20"/>
    <w:rsid w:val="00174C3C"/>
    <w:rsid w:val="00174C78"/>
    <w:rsid w:val="00174CDF"/>
    <w:rsid w:val="00174D88"/>
    <w:rsid w:val="00174DA7"/>
    <w:rsid w:val="00174DD7"/>
    <w:rsid w:val="00174DF5"/>
    <w:rsid w:val="00174E1B"/>
    <w:rsid w:val="00174E42"/>
    <w:rsid w:val="00174E96"/>
    <w:rsid w:val="00174E9B"/>
    <w:rsid w:val="00174ECA"/>
    <w:rsid w:val="00174EEA"/>
    <w:rsid w:val="00174EED"/>
    <w:rsid w:val="00174F1A"/>
    <w:rsid w:val="00174F22"/>
    <w:rsid w:val="00174F34"/>
    <w:rsid w:val="00174F6C"/>
    <w:rsid w:val="00174F75"/>
    <w:rsid w:val="00174FE7"/>
    <w:rsid w:val="00175026"/>
    <w:rsid w:val="00175047"/>
    <w:rsid w:val="00175074"/>
    <w:rsid w:val="0017508A"/>
    <w:rsid w:val="001750B2"/>
    <w:rsid w:val="001750E7"/>
    <w:rsid w:val="001751E3"/>
    <w:rsid w:val="0017522D"/>
    <w:rsid w:val="00175235"/>
    <w:rsid w:val="00175279"/>
    <w:rsid w:val="00175284"/>
    <w:rsid w:val="0017529F"/>
    <w:rsid w:val="001752C2"/>
    <w:rsid w:val="001752E1"/>
    <w:rsid w:val="0017536C"/>
    <w:rsid w:val="00175389"/>
    <w:rsid w:val="00175420"/>
    <w:rsid w:val="001754A1"/>
    <w:rsid w:val="001754D9"/>
    <w:rsid w:val="00175503"/>
    <w:rsid w:val="00175507"/>
    <w:rsid w:val="00175526"/>
    <w:rsid w:val="00175555"/>
    <w:rsid w:val="00175568"/>
    <w:rsid w:val="001755DE"/>
    <w:rsid w:val="0017561B"/>
    <w:rsid w:val="0017568E"/>
    <w:rsid w:val="001756DD"/>
    <w:rsid w:val="00175719"/>
    <w:rsid w:val="00175797"/>
    <w:rsid w:val="001757AB"/>
    <w:rsid w:val="001757AC"/>
    <w:rsid w:val="001757B8"/>
    <w:rsid w:val="001757D2"/>
    <w:rsid w:val="001757D6"/>
    <w:rsid w:val="001757E5"/>
    <w:rsid w:val="00175804"/>
    <w:rsid w:val="00175844"/>
    <w:rsid w:val="001758E3"/>
    <w:rsid w:val="001758F0"/>
    <w:rsid w:val="001759AE"/>
    <w:rsid w:val="00175A25"/>
    <w:rsid w:val="00175AB3"/>
    <w:rsid w:val="00175ACB"/>
    <w:rsid w:val="00175AD9"/>
    <w:rsid w:val="00175ADF"/>
    <w:rsid w:val="00175AF8"/>
    <w:rsid w:val="00175B11"/>
    <w:rsid w:val="00175B9A"/>
    <w:rsid w:val="00175B9F"/>
    <w:rsid w:val="00175BDB"/>
    <w:rsid w:val="00175BDC"/>
    <w:rsid w:val="00175BEF"/>
    <w:rsid w:val="00175C09"/>
    <w:rsid w:val="00175C4F"/>
    <w:rsid w:val="00175C68"/>
    <w:rsid w:val="00175C7C"/>
    <w:rsid w:val="00175CA7"/>
    <w:rsid w:val="00175CBB"/>
    <w:rsid w:val="00175CED"/>
    <w:rsid w:val="00175D03"/>
    <w:rsid w:val="00175D06"/>
    <w:rsid w:val="00175D10"/>
    <w:rsid w:val="00175D2D"/>
    <w:rsid w:val="00175E0D"/>
    <w:rsid w:val="00175E5E"/>
    <w:rsid w:val="00175EA7"/>
    <w:rsid w:val="00175EBC"/>
    <w:rsid w:val="00175ED4"/>
    <w:rsid w:val="00175EF1"/>
    <w:rsid w:val="00175F20"/>
    <w:rsid w:val="00175F5B"/>
    <w:rsid w:val="0017600D"/>
    <w:rsid w:val="00176050"/>
    <w:rsid w:val="00176065"/>
    <w:rsid w:val="00176081"/>
    <w:rsid w:val="00176113"/>
    <w:rsid w:val="001761AA"/>
    <w:rsid w:val="001761C3"/>
    <w:rsid w:val="0017622F"/>
    <w:rsid w:val="001762A8"/>
    <w:rsid w:val="001762AC"/>
    <w:rsid w:val="001762AE"/>
    <w:rsid w:val="00176314"/>
    <w:rsid w:val="00176323"/>
    <w:rsid w:val="0017632D"/>
    <w:rsid w:val="0017636D"/>
    <w:rsid w:val="00176372"/>
    <w:rsid w:val="00176376"/>
    <w:rsid w:val="00176381"/>
    <w:rsid w:val="00176389"/>
    <w:rsid w:val="0017641D"/>
    <w:rsid w:val="00176434"/>
    <w:rsid w:val="00176443"/>
    <w:rsid w:val="00176497"/>
    <w:rsid w:val="00176511"/>
    <w:rsid w:val="00176566"/>
    <w:rsid w:val="00176589"/>
    <w:rsid w:val="001765AB"/>
    <w:rsid w:val="00176600"/>
    <w:rsid w:val="0017661D"/>
    <w:rsid w:val="0017664B"/>
    <w:rsid w:val="00176689"/>
    <w:rsid w:val="001766B5"/>
    <w:rsid w:val="001766C9"/>
    <w:rsid w:val="001766CC"/>
    <w:rsid w:val="001766EB"/>
    <w:rsid w:val="0017672E"/>
    <w:rsid w:val="0017673B"/>
    <w:rsid w:val="0017674E"/>
    <w:rsid w:val="001767D5"/>
    <w:rsid w:val="001767FB"/>
    <w:rsid w:val="00176850"/>
    <w:rsid w:val="00176863"/>
    <w:rsid w:val="0017695C"/>
    <w:rsid w:val="001769BC"/>
    <w:rsid w:val="00176A17"/>
    <w:rsid w:val="00176A23"/>
    <w:rsid w:val="00176A66"/>
    <w:rsid w:val="00176A8F"/>
    <w:rsid w:val="00176A97"/>
    <w:rsid w:val="00176AB7"/>
    <w:rsid w:val="00176ABF"/>
    <w:rsid w:val="00176B25"/>
    <w:rsid w:val="00176B49"/>
    <w:rsid w:val="00176B6B"/>
    <w:rsid w:val="00176C5A"/>
    <w:rsid w:val="00176C68"/>
    <w:rsid w:val="00176C9D"/>
    <w:rsid w:val="00176D0C"/>
    <w:rsid w:val="00176D17"/>
    <w:rsid w:val="00176E30"/>
    <w:rsid w:val="00176E47"/>
    <w:rsid w:val="00176E7D"/>
    <w:rsid w:val="00176E8B"/>
    <w:rsid w:val="00176E8F"/>
    <w:rsid w:val="00176E92"/>
    <w:rsid w:val="00176E93"/>
    <w:rsid w:val="00176ECC"/>
    <w:rsid w:val="00176F27"/>
    <w:rsid w:val="00176F6E"/>
    <w:rsid w:val="00176F93"/>
    <w:rsid w:val="00176FC7"/>
    <w:rsid w:val="00176FEE"/>
    <w:rsid w:val="00177001"/>
    <w:rsid w:val="0017704A"/>
    <w:rsid w:val="0017704C"/>
    <w:rsid w:val="00177058"/>
    <w:rsid w:val="0017708B"/>
    <w:rsid w:val="0017709A"/>
    <w:rsid w:val="001770B1"/>
    <w:rsid w:val="001770E5"/>
    <w:rsid w:val="0017710C"/>
    <w:rsid w:val="0017714B"/>
    <w:rsid w:val="00177164"/>
    <w:rsid w:val="00177185"/>
    <w:rsid w:val="001771C5"/>
    <w:rsid w:val="00177212"/>
    <w:rsid w:val="0017721A"/>
    <w:rsid w:val="00177220"/>
    <w:rsid w:val="00177228"/>
    <w:rsid w:val="00177250"/>
    <w:rsid w:val="00177274"/>
    <w:rsid w:val="0017727E"/>
    <w:rsid w:val="0017729D"/>
    <w:rsid w:val="001772AD"/>
    <w:rsid w:val="001772CC"/>
    <w:rsid w:val="001772CD"/>
    <w:rsid w:val="00177308"/>
    <w:rsid w:val="00177331"/>
    <w:rsid w:val="00177414"/>
    <w:rsid w:val="00177450"/>
    <w:rsid w:val="0017745F"/>
    <w:rsid w:val="001774D7"/>
    <w:rsid w:val="0017764D"/>
    <w:rsid w:val="00177678"/>
    <w:rsid w:val="001776B6"/>
    <w:rsid w:val="001776BB"/>
    <w:rsid w:val="001776E4"/>
    <w:rsid w:val="00177725"/>
    <w:rsid w:val="00177741"/>
    <w:rsid w:val="00177742"/>
    <w:rsid w:val="00177799"/>
    <w:rsid w:val="001777B3"/>
    <w:rsid w:val="001777B5"/>
    <w:rsid w:val="001777CA"/>
    <w:rsid w:val="0017783F"/>
    <w:rsid w:val="00177854"/>
    <w:rsid w:val="001778B7"/>
    <w:rsid w:val="00177975"/>
    <w:rsid w:val="001779C4"/>
    <w:rsid w:val="001779DF"/>
    <w:rsid w:val="001779FC"/>
    <w:rsid w:val="00177A07"/>
    <w:rsid w:val="00177A4E"/>
    <w:rsid w:val="00177A5C"/>
    <w:rsid w:val="00177A90"/>
    <w:rsid w:val="00177ABB"/>
    <w:rsid w:val="00177ABD"/>
    <w:rsid w:val="00177ABE"/>
    <w:rsid w:val="00177AF9"/>
    <w:rsid w:val="00177B00"/>
    <w:rsid w:val="00177B37"/>
    <w:rsid w:val="00177B83"/>
    <w:rsid w:val="00177B92"/>
    <w:rsid w:val="00177BC3"/>
    <w:rsid w:val="00177BC4"/>
    <w:rsid w:val="00177BDA"/>
    <w:rsid w:val="00177C15"/>
    <w:rsid w:val="00177C3D"/>
    <w:rsid w:val="00177CE7"/>
    <w:rsid w:val="00177CFD"/>
    <w:rsid w:val="00177D40"/>
    <w:rsid w:val="00177D6C"/>
    <w:rsid w:val="00177E2D"/>
    <w:rsid w:val="00177EF4"/>
    <w:rsid w:val="00177F22"/>
    <w:rsid w:val="00177FC4"/>
    <w:rsid w:val="00180012"/>
    <w:rsid w:val="001800FC"/>
    <w:rsid w:val="00180120"/>
    <w:rsid w:val="0018015C"/>
    <w:rsid w:val="0018016F"/>
    <w:rsid w:val="00180175"/>
    <w:rsid w:val="0018024D"/>
    <w:rsid w:val="00180260"/>
    <w:rsid w:val="00180285"/>
    <w:rsid w:val="001802CA"/>
    <w:rsid w:val="001802D3"/>
    <w:rsid w:val="00180319"/>
    <w:rsid w:val="0018032D"/>
    <w:rsid w:val="00180330"/>
    <w:rsid w:val="0018039F"/>
    <w:rsid w:val="001803BA"/>
    <w:rsid w:val="0018041E"/>
    <w:rsid w:val="00180459"/>
    <w:rsid w:val="00180480"/>
    <w:rsid w:val="00180499"/>
    <w:rsid w:val="00180543"/>
    <w:rsid w:val="00180586"/>
    <w:rsid w:val="0018059C"/>
    <w:rsid w:val="001805A4"/>
    <w:rsid w:val="001805BC"/>
    <w:rsid w:val="001805F1"/>
    <w:rsid w:val="0018065B"/>
    <w:rsid w:val="00180685"/>
    <w:rsid w:val="001806A6"/>
    <w:rsid w:val="001806AD"/>
    <w:rsid w:val="001806B7"/>
    <w:rsid w:val="00180710"/>
    <w:rsid w:val="00180757"/>
    <w:rsid w:val="00180760"/>
    <w:rsid w:val="00180763"/>
    <w:rsid w:val="0018077A"/>
    <w:rsid w:val="00180795"/>
    <w:rsid w:val="0018079A"/>
    <w:rsid w:val="0018081C"/>
    <w:rsid w:val="00180893"/>
    <w:rsid w:val="001808BF"/>
    <w:rsid w:val="00180902"/>
    <w:rsid w:val="0018091A"/>
    <w:rsid w:val="00180985"/>
    <w:rsid w:val="00180998"/>
    <w:rsid w:val="00180A6C"/>
    <w:rsid w:val="00180AAF"/>
    <w:rsid w:val="00180B17"/>
    <w:rsid w:val="00180BC8"/>
    <w:rsid w:val="00180BE2"/>
    <w:rsid w:val="00180C48"/>
    <w:rsid w:val="00180CA0"/>
    <w:rsid w:val="00180CFB"/>
    <w:rsid w:val="00180D01"/>
    <w:rsid w:val="00180D57"/>
    <w:rsid w:val="00180D98"/>
    <w:rsid w:val="00180DC5"/>
    <w:rsid w:val="00180DE6"/>
    <w:rsid w:val="00180E63"/>
    <w:rsid w:val="00180EB6"/>
    <w:rsid w:val="00180EC9"/>
    <w:rsid w:val="00180EE5"/>
    <w:rsid w:val="00180EFE"/>
    <w:rsid w:val="00180F1F"/>
    <w:rsid w:val="00180F3C"/>
    <w:rsid w:val="00180F9E"/>
    <w:rsid w:val="00180FB4"/>
    <w:rsid w:val="00180FB9"/>
    <w:rsid w:val="00180FC0"/>
    <w:rsid w:val="00180FE1"/>
    <w:rsid w:val="00181001"/>
    <w:rsid w:val="00181037"/>
    <w:rsid w:val="001810CC"/>
    <w:rsid w:val="001810E1"/>
    <w:rsid w:val="0018110B"/>
    <w:rsid w:val="0018111E"/>
    <w:rsid w:val="001811AA"/>
    <w:rsid w:val="001811B6"/>
    <w:rsid w:val="001811C0"/>
    <w:rsid w:val="00181208"/>
    <w:rsid w:val="00181215"/>
    <w:rsid w:val="00181230"/>
    <w:rsid w:val="00181259"/>
    <w:rsid w:val="00181295"/>
    <w:rsid w:val="00181296"/>
    <w:rsid w:val="0018129F"/>
    <w:rsid w:val="001812B9"/>
    <w:rsid w:val="001812C1"/>
    <w:rsid w:val="001812D4"/>
    <w:rsid w:val="00181308"/>
    <w:rsid w:val="00181319"/>
    <w:rsid w:val="00181398"/>
    <w:rsid w:val="001813FD"/>
    <w:rsid w:val="00181406"/>
    <w:rsid w:val="00181416"/>
    <w:rsid w:val="00181449"/>
    <w:rsid w:val="0018144F"/>
    <w:rsid w:val="00181450"/>
    <w:rsid w:val="00181468"/>
    <w:rsid w:val="0018146C"/>
    <w:rsid w:val="001814A2"/>
    <w:rsid w:val="001814A5"/>
    <w:rsid w:val="001814D7"/>
    <w:rsid w:val="001814DF"/>
    <w:rsid w:val="00181536"/>
    <w:rsid w:val="00181542"/>
    <w:rsid w:val="00181590"/>
    <w:rsid w:val="001815DD"/>
    <w:rsid w:val="00181600"/>
    <w:rsid w:val="00181634"/>
    <w:rsid w:val="00181639"/>
    <w:rsid w:val="0018166A"/>
    <w:rsid w:val="00181699"/>
    <w:rsid w:val="001816B6"/>
    <w:rsid w:val="001816D1"/>
    <w:rsid w:val="001816E8"/>
    <w:rsid w:val="001816F9"/>
    <w:rsid w:val="00181721"/>
    <w:rsid w:val="00181754"/>
    <w:rsid w:val="00181773"/>
    <w:rsid w:val="00181783"/>
    <w:rsid w:val="001817CD"/>
    <w:rsid w:val="001817D5"/>
    <w:rsid w:val="001817DA"/>
    <w:rsid w:val="00181809"/>
    <w:rsid w:val="00181895"/>
    <w:rsid w:val="001818DC"/>
    <w:rsid w:val="00181909"/>
    <w:rsid w:val="00181957"/>
    <w:rsid w:val="00181995"/>
    <w:rsid w:val="001819AD"/>
    <w:rsid w:val="001819AF"/>
    <w:rsid w:val="001819F0"/>
    <w:rsid w:val="001819F3"/>
    <w:rsid w:val="00181A6A"/>
    <w:rsid w:val="00181A91"/>
    <w:rsid w:val="00181ABC"/>
    <w:rsid w:val="00181AD1"/>
    <w:rsid w:val="00181B5C"/>
    <w:rsid w:val="00181B94"/>
    <w:rsid w:val="00181C01"/>
    <w:rsid w:val="00181C46"/>
    <w:rsid w:val="00181C86"/>
    <w:rsid w:val="00181C87"/>
    <w:rsid w:val="00181C95"/>
    <w:rsid w:val="00181CED"/>
    <w:rsid w:val="00181CEE"/>
    <w:rsid w:val="00181D43"/>
    <w:rsid w:val="00181D92"/>
    <w:rsid w:val="00181E26"/>
    <w:rsid w:val="00181E2D"/>
    <w:rsid w:val="00181E68"/>
    <w:rsid w:val="00181E6D"/>
    <w:rsid w:val="00181ED3"/>
    <w:rsid w:val="00181EE8"/>
    <w:rsid w:val="00181F2B"/>
    <w:rsid w:val="00181F2E"/>
    <w:rsid w:val="00181F64"/>
    <w:rsid w:val="00181FAA"/>
    <w:rsid w:val="00182009"/>
    <w:rsid w:val="00182069"/>
    <w:rsid w:val="0018206E"/>
    <w:rsid w:val="00182070"/>
    <w:rsid w:val="00182073"/>
    <w:rsid w:val="00182074"/>
    <w:rsid w:val="00182080"/>
    <w:rsid w:val="00182091"/>
    <w:rsid w:val="001820D0"/>
    <w:rsid w:val="001820D7"/>
    <w:rsid w:val="001820DA"/>
    <w:rsid w:val="001820DD"/>
    <w:rsid w:val="00182103"/>
    <w:rsid w:val="00182126"/>
    <w:rsid w:val="00182140"/>
    <w:rsid w:val="00182164"/>
    <w:rsid w:val="0018216E"/>
    <w:rsid w:val="00182197"/>
    <w:rsid w:val="001821AC"/>
    <w:rsid w:val="001821AD"/>
    <w:rsid w:val="001821C9"/>
    <w:rsid w:val="001821D3"/>
    <w:rsid w:val="0018224A"/>
    <w:rsid w:val="0018227C"/>
    <w:rsid w:val="00182295"/>
    <w:rsid w:val="001822E2"/>
    <w:rsid w:val="001822F0"/>
    <w:rsid w:val="00182359"/>
    <w:rsid w:val="00182365"/>
    <w:rsid w:val="00182394"/>
    <w:rsid w:val="0018239D"/>
    <w:rsid w:val="001823A3"/>
    <w:rsid w:val="00182450"/>
    <w:rsid w:val="001824BB"/>
    <w:rsid w:val="001824FE"/>
    <w:rsid w:val="00182513"/>
    <w:rsid w:val="00182558"/>
    <w:rsid w:val="0018258F"/>
    <w:rsid w:val="001825B4"/>
    <w:rsid w:val="001825E4"/>
    <w:rsid w:val="001826EA"/>
    <w:rsid w:val="0018271A"/>
    <w:rsid w:val="001827BA"/>
    <w:rsid w:val="00182843"/>
    <w:rsid w:val="0018288D"/>
    <w:rsid w:val="001828FF"/>
    <w:rsid w:val="00182910"/>
    <w:rsid w:val="00182911"/>
    <w:rsid w:val="00182964"/>
    <w:rsid w:val="00182A16"/>
    <w:rsid w:val="00182A5C"/>
    <w:rsid w:val="00182A97"/>
    <w:rsid w:val="00182ACA"/>
    <w:rsid w:val="00182ACE"/>
    <w:rsid w:val="00182AEB"/>
    <w:rsid w:val="00182AFB"/>
    <w:rsid w:val="00182AFF"/>
    <w:rsid w:val="00182B3E"/>
    <w:rsid w:val="00182B5F"/>
    <w:rsid w:val="00182B85"/>
    <w:rsid w:val="00182BB1"/>
    <w:rsid w:val="00182C09"/>
    <w:rsid w:val="00182C0B"/>
    <w:rsid w:val="00182C3D"/>
    <w:rsid w:val="00182C3F"/>
    <w:rsid w:val="00182C59"/>
    <w:rsid w:val="00182C67"/>
    <w:rsid w:val="00182C98"/>
    <w:rsid w:val="00182CA5"/>
    <w:rsid w:val="00182CB8"/>
    <w:rsid w:val="00182CFB"/>
    <w:rsid w:val="00182DB1"/>
    <w:rsid w:val="00182DE3"/>
    <w:rsid w:val="00182E52"/>
    <w:rsid w:val="00182E96"/>
    <w:rsid w:val="00182E9D"/>
    <w:rsid w:val="00182EB8"/>
    <w:rsid w:val="00182F58"/>
    <w:rsid w:val="0018309E"/>
    <w:rsid w:val="001830DA"/>
    <w:rsid w:val="001830E6"/>
    <w:rsid w:val="001830E7"/>
    <w:rsid w:val="00183100"/>
    <w:rsid w:val="00183106"/>
    <w:rsid w:val="00183108"/>
    <w:rsid w:val="00183112"/>
    <w:rsid w:val="00183171"/>
    <w:rsid w:val="00183188"/>
    <w:rsid w:val="001831DD"/>
    <w:rsid w:val="001831FF"/>
    <w:rsid w:val="00183251"/>
    <w:rsid w:val="00183265"/>
    <w:rsid w:val="0018327D"/>
    <w:rsid w:val="00183294"/>
    <w:rsid w:val="001832B2"/>
    <w:rsid w:val="00183377"/>
    <w:rsid w:val="00183391"/>
    <w:rsid w:val="0018339B"/>
    <w:rsid w:val="001833E7"/>
    <w:rsid w:val="001833F9"/>
    <w:rsid w:val="00183424"/>
    <w:rsid w:val="001834E6"/>
    <w:rsid w:val="001834EB"/>
    <w:rsid w:val="00183512"/>
    <w:rsid w:val="00183527"/>
    <w:rsid w:val="0018356F"/>
    <w:rsid w:val="00183607"/>
    <w:rsid w:val="00183626"/>
    <w:rsid w:val="00183630"/>
    <w:rsid w:val="00183642"/>
    <w:rsid w:val="00183644"/>
    <w:rsid w:val="0018364F"/>
    <w:rsid w:val="00183657"/>
    <w:rsid w:val="00183659"/>
    <w:rsid w:val="001836A6"/>
    <w:rsid w:val="001836D8"/>
    <w:rsid w:val="00183703"/>
    <w:rsid w:val="00183710"/>
    <w:rsid w:val="0018371C"/>
    <w:rsid w:val="001837DB"/>
    <w:rsid w:val="001837FF"/>
    <w:rsid w:val="001838BA"/>
    <w:rsid w:val="00183919"/>
    <w:rsid w:val="0018392E"/>
    <w:rsid w:val="001839AA"/>
    <w:rsid w:val="001839B9"/>
    <w:rsid w:val="00183A04"/>
    <w:rsid w:val="00183A12"/>
    <w:rsid w:val="00183A25"/>
    <w:rsid w:val="00183A5D"/>
    <w:rsid w:val="00183A65"/>
    <w:rsid w:val="00183A7A"/>
    <w:rsid w:val="00183A97"/>
    <w:rsid w:val="00183AB7"/>
    <w:rsid w:val="00183AF4"/>
    <w:rsid w:val="00183B4D"/>
    <w:rsid w:val="00183B72"/>
    <w:rsid w:val="00183B85"/>
    <w:rsid w:val="00183BB5"/>
    <w:rsid w:val="00183BC0"/>
    <w:rsid w:val="00183BC8"/>
    <w:rsid w:val="00183BE1"/>
    <w:rsid w:val="00183BF5"/>
    <w:rsid w:val="00183C71"/>
    <w:rsid w:val="00183D34"/>
    <w:rsid w:val="00183D98"/>
    <w:rsid w:val="00183DE6"/>
    <w:rsid w:val="00183DEE"/>
    <w:rsid w:val="00183DFC"/>
    <w:rsid w:val="00183E18"/>
    <w:rsid w:val="00183E1D"/>
    <w:rsid w:val="00183E61"/>
    <w:rsid w:val="00183F68"/>
    <w:rsid w:val="00183F84"/>
    <w:rsid w:val="00183FA8"/>
    <w:rsid w:val="00183FCC"/>
    <w:rsid w:val="00184046"/>
    <w:rsid w:val="0018407C"/>
    <w:rsid w:val="00184174"/>
    <w:rsid w:val="00184196"/>
    <w:rsid w:val="001841C5"/>
    <w:rsid w:val="0018426C"/>
    <w:rsid w:val="0018428B"/>
    <w:rsid w:val="001842CC"/>
    <w:rsid w:val="0018434E"/>
    <w:rsid w:val="0018439C"/>
    <w:rsid w:val="001843E1"/>
    <w:rsid w:val="001843EC"/>
    <w:rsid w:val="00184409"/>
    <w:rsid w:val="0018441A"/>
    <w:rsid w:val="00184486"/>
    <w:rsid w:val="00184496"/>
    <w:rsid w:val="001844AD"/>
    <w:rsid w:val="00184532"/>
    <w:rsid w:val="001845BC"/>
    <w:rsid w:val="00184607"/>
    <w:rsid w:val="0018461C"/>
    <w:rsid w:val="0018462F"/>
    <w:rsid w:val="0018465B"/>
    <w:rsid w:val="00184660"/>
    <w:rsid w:val="00184681"/>
    <w:rsid w:val="001846D7"/>
    <w:rsid w:val="001846F6"/>
    <w:rsid w:val="001847EF"/>
    <w:rsid w:val="00184807"/>
    <w:rsid w:val="0018480B"/>
    <w:rsid w:val="00184818"/>
    <w:rsid w:val="0018489A"/>
    <w:rsid w:val="00184932"/>
    <w:rsid w:val="001849C9"/>
    <w:rsid w:val="001849FC"/>
    <w:rsid w:val="001849FE"/>
    <w:rsid w:val="00184A30"/>
    <w:rsid w:val="00184A4E"/>
    <w:rsid w:val="00184AB5"/>
    <w:rsid w:val="00184AB9"/>
    <w:rsid w:val="00184AFF"/>
    <w:rsid w:val="00184B2F"/>
    <w:rsid w:val="00184BE4"/>
    <w:rsid w:val="00184BE5"/>
    <w:rsid w:val="00184C04"/>
    <w:rsid w:val="00184C0B"/>
    <w:rsid w:val="00184C36"/>
    <w:rsid w:val="00184C6A"/>
    <w:rsid w:val="00184CB9"/>
    <w:rsid w:val="00184CC6"/>
    <w:rsid w:val="00184D34"/>
    <w:rsid w:val="00184D5F"/>
    <w:rsid w:val="00184E4D"/>
    <w:rsid w:val="00184E53"/>
    <w:rsid w:val="00184EC2"/>
    <w:rsid w:val="00184ED0"/>
    <w:rsid w:val="00184EE2"/>
    <w:rsid w:val="00184EFA"/>
    <w:rsid w:val="00184F33"/>
    <w:rsid w:val="00184F79"/>
    <w:rsid w:val="00184F85"/>
    <w:rsid w:val="00185033"/>
    <w:rsid w:val="0018503A"/>
    <w:rsid w:val="00185049"/>
    <w:rsid w:val="0018508F"/>
    <w:rsid w:val="001850B1"/>
    <w:rsid w:val="00185137"/>
    <w:rsid w:val="00185257"/>
    <w:rsid w:val="0018527E"/>
    <w:rsid w:val="00185287"/>
    <w:rsid w:val="0018529F"/>
    <w:rsid w:val="001852FD"/>
    <w:rsid w:val="00185334"/>
    <w:rsid w:val="00185342"/>
    <w:rsid w:val="00185344"/>
    <w:rsid w:val="00185345"/>
    <w:rsid w:val="00185370"/>
    <w:rsid w:val="001854CB"/>
    <w:rsid w:val="001854FA"/>
    <w:rsid w:val="001855DA"/>
    <w:rsid w:val="00185647"/>
    <w:rsid w:val="0018567E"/>
    <w:rsid w:val="00185734"/>
    <w:rsid w:val="00185740"/>
    <w:rsid w:val="001857DB"/>
    <w:rsid w:val="001857F8"/>
    <w:rsid w:val="00185811"/>
    <w:rsid w:val="0018586A"/>
    <w:rsid w:val="00185894"/>
    <w:rsid w:val="00185896"/>
    <w:rsid w:val="0018589A"/>
    <w:rsid w:val="0018589C"/>
    <w:rsid w:val="001858AE"/>
    <w:rsid w:val="001858CB"/>
    <w:rsid w:val="001858CD"/>
    <w:rsid w:val="00185939"/>
    <w:rsid w:val="00185984"/>
    <w:rsid w:val="0018599C"/>
    <w:rsid w:val="0018599D"/>
    <w:rsid w:val="001859AF"/>
    <w:rsid w:val="001859B3"/>
    <w:rsid w:val="001859B6"/>
    <w:rsid w:val="001859F6"/>
    <w:rsid w:val="00185A05"/>
    <w:rsid w:val="00185A1B"/>
    <w:rsid w:val="00185A3C"/>
    <w:rsid w:val="00185A76"/>
    <w:rsid w:val="00185A91"/>
    <w:rsid w:val="00185B39"/>
    <w:rsid w:val="00185B95"/>
    <w:rsid w:val="00185BA0"/>
    <w:rsid w:val="00185C14"/>
    <w:rsid w:val="00185D0F"/>
    <w:rsid w:val="00185D14"/>
    <w:rsid w:val="00185D59"/>
    <w:rsid w:val="00185DA2"/>
    <w:rsid w:val="00185E20"/>
    <w:rsid w:val="00185E4D"/>
    <w:rsid w:val="00185E85"/>
    <w:rsid w:val="00185E96"/>
    <w:rsid w:val="00185F37"/>
    <w:rsid w:val="00185F6E"/>
    <w:rsid w:val="00185F6F"/>
    <w:rsid w:val="00186043"/>
    <w:rsid w:val="00186069"/>
    <w:rsid w:val="00186076"/>
    <w:rsid w:val="0018608A"/>
    <w:rsid w:val="00186094"/>
    <w:rsid w:val="001860CD"/>
    <w:rsid w:val="001860D7"/>
    <w:rsid w:val="001860E1"/>
    <w:rsid w:val="00186129"/>
    <w:rsid w:val="0018619A"/>
    <w:rsid w:val="00186212"/>
    <w:rsid w:val="00186245"/>
    <w:rsid w:val="0018625C"/>
    <w:rsid w:val="00186269"/>
    <w:rsid w:val="0018627A"/>
    <w:rsid w:val="0018629D"/>
    <w:rsid w:val="001862D7"/>
    <w:rsid w:val="00186317"/>
    <w:rsid w:val="0018635B"/>
    <w:rsid w:val="00186465"/>
    <w:rsid w:val="00186472"/>
    <w:rsid w:val="00186473"/>
    <w:rsid w:val="00186486"/>
    <w:rsid w:val="001864AA"/>
    <w:rsid w:val="00186508"/>
    <w:rsid w:val="00186511"/>
    <w:rsid w:val="00186576"/>
    <w:rsid w:val="001865DE"/>
    <w:rsid w:val="001865F7"/>
    <w:rsid w:val="00186620"/>
    <w:rsid w:val="0018662D"/>
    <w:rsid w:val="00186638"/>
    <w:rsid w:val="00186661"/>
    <w:rsid w:val="0018666C"/>
    <w:rsid w:val="001866BB"/>
    <w:rsid w:val="001866BC"/>
    <w:rsid w:val="001866CA"/>
    <w:rsid w:val="001866E1"/>
    <w:rsid w:val="00186719"/>
    <w:rsid w:val="001867AC"/>
    <w:rsid w:val="00186855"/>
    <w:rsid w:val="001868BB"/>
    <w:rsid w:val="001868C1"/>
    <w:rsid w:val="001868CF"/>
    <w:rsid w:val="00186915"/>
    <w:rsid w:val="00186929"/>
    <w:rsid w:val="00186933"/>
    <w:rsid w:val="00186960"/>
    <w:rsid w:val="001869C4"/>
    <w:rsid w:val="00186B25"/>
    <w:rsid w:val="00186B79"/>
    <w:rsid w:val="00186BD4"/>
    <w:rsid w:val="00186BF7"/>
    <w:rsid w:val="00186C10"/>
    <w:rsid w:val="00186CA4"/>
    <w:rsid w:val="00186CAA"/>
    <w:rsid w:val="00186CB6"/>
    <w:rsid w:val="00186CBA"/>
    <w:rsid w:val="00186CD4"/>
    <w:rsid w:val="00186D31"/>
    <w:rsid w:val="00186DB0"/>
    <w:rsid w:val="00186DC7"/>
    <w:rsid w:val="00186DED"/>
    <w:rsid w:val="00186DF6"/>
    <w:rsid w:val="00186E5B"/>
    <w:rsid w:val="00186E89"/>
    <w:rsid w:val="00186ED6"/>
    <w:rsid w:val="00186EF5"/>
    <w:rsid w:val="00186EFB"/>
    <w:rsid w:val="00186F08"/>
    <w:rsid w:val="00186F77"/>
    <w:rsid w:val="00186F7E"/>
    <w:rsid w:val="00186F98"/>
    <w:rsid w:val="00186FB1"/>
    <w:rsid w:val="00186FDA"/>
    <w:rsid w:val="00187020"/>
    <w:rsid w:val="0018707D"/>
    <w:rsid w:val="001870F8"/>
    <w:rsid w:val="00187139"/>
    <w:rsid w:val="0018715C"/>
    <w:rsid w:val="00187287"/>
    <w:rsid w:val="001872F1"/>
    <w:rsid w:val="001873A6"/>
    <w:rsid w:val="00187431"/>
    <w:rsid w:val="00187439"/>
    <w:rsid w:val="00187443"/>
    <w:rsid w:val="00187451"/>
    <w:rsid w:val="0018745F"/>
    <w:rsid w:val="00187463"/>
    <w:rsid w:val="001874FD"/>
    <w:rsid w:val="00187537"/>
    <w:rsid w:val="0018753F"/>
    <w:rsid w:val="001875D8"/>
    <w:rsid w:val="001875EA"/>
    <w:rsid w:val="00187625"/>
    <w:rsid w:val="0018769D"/>
    <w:rsid w:val="001876CA"/>
    <w:rsid w:val="001876F5"/>
    <w:rsid w:val="00187717"/>
    <w:rsid w:val="0018773A"/>
    <w:rsid w:val="0018775D"/>
    <w:rsid w:val="0018782C"/>
    <w:rsid w:val="00187845"/>
    <w:rsid w:val="00187868"/>
    <w:rsid w:val="0018787A"/>
    <w:rsid w:val="001878DF"/>
    <w:rsid w:val="001878FB"/>
    <w:rsid w:val="00187931"/>
    <w:rsid w:val="00187967"/>
    <w:rsid w:val="00187972"/>
    <w:rsid w:val="001879C0"/>
    <w:rsid w:val="001879E8"/>
    <w:rsid w:val="00187A1E"/>
    <w:rsid w:val="00187A8C"/>
    <w:rsid w:val="00187AD6"/>
    <w:rsid w:val="00187AE0"/>
    <w:rsid w:val="00187B0A"/>
    <w:rsid w:val="00187B8A"/>
    <w:rsid w:val="00187BA8"/>
    <w:rsid w:val="00187BAF"/>
    <w:rsid w:val="00187BEA"/>
    <w:rsid w:val="00187C2A"/>
    <w:rsid w:val="00187C31"/>
    <w:rsid w:val="00187C43"/>
    <w:rsid w:val="00187C8D"/>
    <w:rsid w:val="00187CCE"/>
    <w:rsid w:val="00187CD2"/>
    <w:rsid w:val="00187D00"/>
    <w:rsid w:val="00187D28"/>
    <w:rsid w:val="00187D48"/>
    <w:rsid w:val="00187D53"/>
    <w:rsid w:val="00187D92"/>
    <w:rsid w:val="00187DC5"/>
    <w:rsid w:val="00187E01"/>
    <w:rsid w:val="00187E3C"/>
    <w:rsid w:val="00187E7E"/>
    <w:rsid w:val="00187E81"/>
    <w:rsid w:val="00187E8B"/>
    <w:rsid w:val="00187EBA"/>
    <w:rsid w:val="00187ED7"/>
    <w:rsid w:val="00187EE3"/>
    <w:rsid w:val="00187F38"/>
    <w:rsid w:val="00187F92"/>
    <w:rsid w:val="00187FC4"/>
    <w:rsid w:val="00187FED"/>
    <w:rsid w:val="00187FF7"/>
    <w:rsid w:val="00190009"/>
    <w:rsid w:val="0019001F"/>
    <w:rsid w:val="0019005B"/>
    <w:rsid w:val="00190086"/>
    <w:rsid w:val="001900B6"/>
    <w:rsid w:val="001900EA"/>
    <w:rsid w:val="001900F6"/>
    <w:rsid w:val="00190133"/>
    <w:rsid w:val="0019013C"/>
    <w:rsid w:val="00190189"/>
    <w:rsid w:val="001901C4"/>
    <w:rsid w:val="0019022C"/>
    <w:rsid w:val="00190245"/>
    <w:rsid w:val="00190261"/>
    <w:rsid w:val="001902A2"/>
    <w:rsid w:val="001903BE"/>
    <w:rsid w:val="0019042D"/>
    <w:rsid w:val="001904F2"/>
    <w:rsid w:val="00190505"/>
    <w:rsid w:val="0019051C"/>
    <w:rsid w:val="0019051E"/>
    <w:rsid w:val="00190524"/>
    <w:rsid w:val="0019055B"/>
    <w:rsid w:val="00190584"/>
    <w:rsid w:val="00190591"/>
    <w:rsid w:val="00190599"/>
    <w:rsid w:val="00190603"/>
    <w:rsid w:val="0019061A"/>
    <w:rsid w:val="00190620"/>
    <w:rsid w:val="00190638"/>
    <w:rsid w:val="00190652"/>
    <w:rsid w:val="001906D4"/>
    <w:rsid w:val="001906FC"/>
    <w:rsid w:val="00190700"/>
    <w:rsid w:val="0019071A"/>
    <w:rsid w:val="00190741"/>
    <w:rsid w:val="0019076C"/>
    <w:rsid w:val="00190775"/>
    <w:rsid w:val="0019083D"/>
    <w:rsid w:val="0019083E"/>
    <w:rsid w:val="001908E7"/>
    <w:rsid w:val="00190918"/>
    <w:rsid w:val="00190938"/>
    <w:rsid w:val="00190999"/>
    <w:rsid w:val="001909E6"/>
    <w:rsid w:val="00190A07"/>
    <w:rsid w:val="00190A69"/>
    <w:rsid w:val="00190A84"/>
    <w:rsid w:val="00190AA6"/>
    <w:rsid w:val="00190AAD"/>
    <w:rsid w:val="00190AB1"/>
    <w:rsid w:val="00190B7A"/>
    <w:rsid w:val="00190B7E"/>
    <w:rsid w:val="00190BAA"/>
    <w:rsid w:val="00190BD2"/>
    <w:rsid w:val="00190BF7"/>
    <w:rsid w:val="00190C17"/>
    <w:rsid w:val="00190C2C"/>
    <w:rsid w:val="00190C4C"/>
    <w:rsid w:val="00190C8A"/>
    <w:rsid w:val="00190C92"/>
    <w:rsid w:val="00190C94"/>
    <w:rsid w:val="00190C9B"/>
    <w:rsid w:val="00190CEA"/>
    <w:rsid w:val="00190CFE"/>
    <w:rsid w:val="00190D05"/>
    <w:rsid w:val="00190D20"/>
    <w:rsid w:val="00190D3D"/>
    <w:rsid w:val="00190D6D"/>
    <w:rsid w:val="00190D7F"/>
    <w:rsid w:val="00190DC8"/>
    <w:rsid w:val="00190DD6"/>
    <w:rsid w:val="00190E40"/>
    <w:rsid w:val="00190E5F"/>
    <w:rsid w:val="00190E79"/>
    <w:rsid w:val="00190E7B"/>
    <w:rsid w:val="00190EA4"/>
    <w:rsid w:val="00190EAC"/>
    <w:rsid w:val="00190EE4"/>
    <w:rsid w:val="00190EFE"/>
    <w:rsid w:val="00190F21"/>
    <w:rsid w:val="00190F5F"/>
    <w:rsid w:val="00190F65"/>
    <w:rsid w:val="00190F73"/>
    <w:rsid w:val="00190F75"/>
    <w:rsid w:val="00190FC1"/>
    <w:rsid w:val="00190FC6"/>
    <w:rsid w:val="0019105D"/>
    <w:rsid w:val="0019108D"/>
    <w:rsid w:val="001910CD"/>
    <w:rsid w:val="001910FA"/>
    <w:rsid w:val="0019110D"/>
    <w:rsid w:val="00191128"/>
    <w:rsid w:val="0019114D"/>
    <w:rsid w:val="0019119A"/>
    <w:rsid w:val="001911B4"/>
    <w:rsid w:val="001911BB"/>
    <w:rsid w:val="001911D6"/>
    <w:rsid w:val="00191201"/>
    <w:rsid w:val="00191221"/>
    <w:rsid w:val="0019125F"/>
    <w:rsid w:val="00191269"/>
    <w:rsid w:val="0019135B"/>
    <w:rsid w:val="0019137B"/>
    <w:rsid w:val="00191440"/>
    <w:rsid w:val="00191452"/>
    <w:rsid w:val="00191479"/>
    <w:rsid w:val="00191489"/>
    <w:rsid w:val="0019154E"/>
    <w:rsid w:val="001915ED"/>
    <w:rsid w:val="0019163D"/>
    <w:rsid w:val="001916BB"/>
    <w:rsid w:val="001916DB"/>
    <w:rsid w:val="001916FA"/>
    <w:rsid w:val="00191702"/>
    <w:rsid w:val="0019171D"/>
    <w:rsid w:val="0019173D"/>
    <w:rsid w:val="001917CB"/>
    <w:rsid w:val="001917D6"/>
    <w:rsid w:val="001917E7"/>
    <w:rsid w:val="001917FE"/>
    <w:rsid w:val="0019189B"/>
    <w:rsid w:val="001918A5"/>
    <w:rsid w:val="001918C2"/>
    <w:rsid w:val="00191919"/>
    <w:rsid w:val="0019195F"/>
    <w:rsid w:val="00191978"/>
    <w:rsid w:val="001919AA"/>
    <w:rsid w:val="001919C4"/>
    <w:rsid w:val="00191A10"/>
    <w:rsid w:val="00191A73"/>
    <w:rsid w:val="00191AAD"/>
    <w:rsid w:val="00191ABD"/>
    <w:rsid w:val="00191AF1"/>
    <w:rsid w:val="00191B09"/>
    <w:rsid w:val="00191B0B"/>
    <w:rsid w:val="00191B29"/>
    <w:rsid w:val="00191B37"/>
    <w:rsid w:val="00191B4B"/>
    <w:rsid w:val="00191B97"/>
    <w:rsid w:val="00191BBF"/>
    <w:rsid w:val="00191BCF"/>
    <w:rsid w:val="00191BD4"/>
    <w:rsid w:val="00191C0A"/>
    <w:rsid w:val="00191C89"/>
    <w:rsid w:val="00191D19"/>
    <w:rsid w:val="00191D34"/>
    <w:rsid w:val="00191D54"/>
    <w:rsid w:val="00191DEB"/>
    <w:rsid w:val="00191E0F"/>
    <w:rsid w:val="00191E52"/>
    <w:rsid w:val="00191EA2"/>
    <w:rsid w:val="00191ED4"/>
    <w:rsid w:val="00191EDC"/>
    <w:rsid w:val="00191F24"/>
    <w:rsid w:val="00191F2E"/>
    <w:rsid w:val="00191F42"/>
    <w:rsid w:val="00192004"/>
    <w:rsid w:val="0019205F"/>
    <w:rsid w:val="00192077"/>
    <w:rsid w:val="00192081"/>
    <w:rsid w:val="0019209E"/>
    <w:rsid w:val="001920C1"/>
    <w:rsid w:val="001920C8"/>
    <w:rsid w:val="001920D6"/>
    <w:rsid w:val="001920EC"/>
    <w:rsid w:val="00192113"/>
    <w:rsid w:val="00192146"/>
    <w:rsid w:val="00192160"/>
    <w:rsid w:val="00192179"/>
    <w:rsid w:val="001921DE"/>
    <w:rsid w:val="001921EB"/>
    <w:rsid w:val="0019220D"/>
    <w:rsid w:val="0019223B"/>
    <w:rsid w:val="00192272"/>
    <w:rsid w:val="0019227D"/>
    <w:rsid w:val="001922C4"/>
    <w:rsid w:val="00192307"/>
    <w:rsid w:val="00192313"/>
    <w:rsid w:val="0019231C"/>
    <w:rsid w:val="0019232F"/>
    <w:rsid w:val="00192340"/>
    <w:rsid w:val="00192345"/>
    <w:rsid w:val="001923C6"/>
    <w:rsid w:val="001923DF"/>
    <w:rsid w:val="00192433"/>
    <w:rsid w:val="0019247D"/>
    <w:rsid w:val="0019249A"/>
    <w:rsid w:val="001924C7"/>
    <w:rsid w:val="001924E0"/>
    <w:rsid w:val="0019252D"/>
    <w:rsid w:val="0019255A"/>
    <w:rsid w:val="00192594"/>
    <w:rsid w:val="001925AA"/>
    <w:rsid w:val="001925D9"/>
    <w:rsid w:val="001925F0"/>
    <w:rsid w:val="00192635"/>
    <w:rsid w:val="00192685"/>
    <w:rsid w:val="00192711"/>
    <w:rsid w:val="00192761"/>
    <w:rsid w:val="00192770"/>
    <w:rsid w:val="001927B1"/>
    <w:rsid w:val="001927C3"/>
    <w:rsid w:val="001927E5"/>
    <w:rsid w:val="00192854"/>
    <w:rsid w:val="00192865"/>
    <w:rsid w:val="0019289D"/>
    <w:rsid w:val="001928A5"/>
    <w:rsid w:val="001928B1"/>
    <w:rsid w:val="001928FA"/>
    <w:rsid w:val="00192952"/>
    <w:rsid w:val="001929BB"/>
    <w:rsid w:val="001929CE"/>
    <w:rsid w:val="00192A15"/>
    <w:rsid w:val="00192A22"/>
    <w:rsid w:val="00192A26"/>
    <w:rsid w:val="00192A9C"/>
    <w:rsid w:val="00192AA1"/>
    <w:rsid w:val="00192B30"/>
    <w:rsid w:val="00192B31"/>
    <w:rsid w:val="00192B41"/>
    <w:rsid w:val="00192B70"/>
    <w:rsid w:val="00192C0E"/>
    <w:rsid w:val="00192C27"/>
    <w:rsid w:val="00192C75"/>
    <w:rsid w:val="00192C78"/>
    <w:rsid w:val="00192C8D"/>
    <w:rsid w:val="00192CD2"/>
    <w:rsid w:val="00192CE1"/>
    <w:rsid w:val="00192CEC"/>
    <w:rsid w:val="00192CF8"/>
    <w:rsid w:val="00192D36"/>
    <w:rsid w:val="00192D61"/>
    <w:rsid w:val="00192DA8"/>
    <w:rsid w:val="00192DAF"/>
    <w:rsid w:val="00192DC4"/>
    <w:rsid w:val="00192DFE"/>
    <w:rsid w:val="00192E1D"/>
    <w:rsid w:val="00192E2E"/>
    <w:rsid w:val="00192E56"/>
    <w:rsid w:val="00192E65"/>
    <w:rsid w:val="00192E67"/>
    <w:rsid w:val="00192EB1"/>
    <w:rsid w:val="00192EB8"/>
    <w:rsid w:val="00192ED3"/>
    <w:rsid w:val="00192EFB"/>
    <w:rsid w:val="00192F96"/>
    <w:rsid w:val="00192FA4"/>
    <w:rsid w:val="00192FF8"/>
    <w:rsid w:val="00193008"/>
    <w:rsid w:val="0019302E"/>
    <w:rsid w:val="00193095"/>
    <w:rsid w:val="00193149"/>
    <w:rsid w:val="00193184"/>
    <w:rsid w:val="0019319F"/>
    <w:rsid w:val="001931A2"/>
    <w:rsid w:val="001931E7"/>
    <w:rsid w:val="00193219"/>
    <w:rsid w:val="001932BD"/>
    <w:rsid w:val="001932F6"/>
    <w:rsid w:val="00193350"/>
    <w:rsid w:val="00193380"/>
    <w:rsid w:val="001933BC"/>
    <w:rsid w:val="001933F7"/>
    <w:rsid w:val="00193421"/>
    <w:rsid w:val="0019348F"/>
    <w:rsid w:val="001934BF"/>
    <w:rsid w:val="001934C9"/>
    <w:rsid w:val="001934FE"/>
    <w:rsid w:val="00193503"/>
    <w:rsid w:val="0019355B"/>
    <w:rsid w:val="00193588"/>
    <w:rsid w:val="001935B7"/>
    <w:rsid w:val="0019363E"/>
    <w:rsid w:val="00193654"/>
    <w:rsid w:val="001936BB"/>
    <w:rsid w:val="0019372C"/>
    <w:rsid w:val="0019374E"/>
    <w:rsid w:val="0019375D"/>
    <w:rsid w:val="001937AA"/>
    <w:rsid w:val="001937BB"/>
    <w:rsid w:val="001937CB"/>
    <w:rsid w:val="001937DD"/>
    <w:rsid w:val="001937FA"/>
    <w:rsid w:val="00193838"/>
    <w:rsid w:val="0019385D"/>
    <w:rsid w:val="00193893"/>
    <w:rsid w:val="001938AA"/>
    <w:rsid w:val="001938E0"/>
    <w:rsid w:val="0019391D"/>
    <w:rsid w:val="00193960"/>
    <w:rsid w:val="00193993"/>
    <w:rsid w:val="001939E4"/>
    <w:rsid w:val="001939EA"/>
    <w:rsid w:val="001939FD"/>
    <w:rsid w:val="00193A00"/>
    <w:rsid w:val="00193A34"/>
    <w:rsid w:val="00193ACB"/>
    <w:rsid w:val="00193AF7"/>
    <w:rsid w:val="00193B13"/>
    <w:rsid w:val="00193B1B"/>
    <w:rsid w:val="00193B36"/>
    <w:rsid w:val="00193B4B"/>
    <w:rsid w:val="00193BD6"/>
    <w:rsid w:val="00193C01"/>
    <w:rsid w:val="00193C16"/>
    <w:rsid w:val="00193CB3"/>
    <w:rsid w:val="00193CC1"/>
    <w:rsid w:val="00193D60"/>
    <w:rsid w:val="00193D7A"/>
    <w:rsid w:val="00193D85"/>
    <w:rsid w:val="00193DB3"/>
    <w:rsid w:val="00193DD2"/>
    <w:rsid w:val="00193E00"/>
    <w:rsid w:val="00193E26"/>
    <w:rsid w:val="00193E30"/>
    <w:rsid w:val="00193F09"/>
    <w:rsid w:val="00193F11"/>
    <w:rsid w:val="00193F1F"/>
    <w:rsid w:val="00193F75"/>
    <w:rsid w:val="00193F81"/>
    <w:rsid w:val="00193F82"/>
    <w:rsid w:val="00193F94"/>
    <w:rsid w:val="00194031"/>
    <w:rsid w:val="0019406B"/>
    <w:rsid w:val="001940B4"/>
    <w:rsid w:val="001940F7"/>
    <w:rsid w:val="0019410D"/>
    <w:rsid w:val="0019413A"/>
    <w:rsid w:val="00194167"/>
    <w:rsid w:val="0019418E"/>
    <w:rsid w:val="00194195"/>
    <w:rsid w:val="001941B4"/>
    <w:rsid w:val="001941C6"/>
    <w:rsid w:val="001941CB"/>
    <w:rsid w:val="001941DD"/>
    <w:rsid w:val="001941E8"/>
    <w:rsid w:val="001941EC"/>
    <w:rsid w:val="001941F6"/>
    <w:rsid w:val="0019428D"/>
    <w:rsid w:val="0019436D"/>
    <w:rsid w:val="00194383"/>
    <w:rsid w:val="001943C3"/>
    <w:rsid w:val="0019441C"/>
    <w:rsid w:val="0019441D"/>
    <w:rsid w:val="0019449C"/>
    <w:rsid w:val="001944A2"/>
    <w:rsid w:val="001944EF"/>
    <w:rsid w:val="001944F8"/>
    <w:rsid w:val="0019451A"/>
    <w:rsid w:val="0019455D"/>
    <w:rsid w:val="00194562"/>
    <w:rsid w:val="00194574"/>
    <w:rsid w:val="001945E0"/>
    <w:rsid w:val="001946EC"/>
    <w:rsid w:val="001946F3"/>
    <w:rsid w:val="00194707"/>
    <w:rsid w:val="00194769"/>
    <w:rsid w:val="00194782"/>
    <w:rsid w:val="001947AC"/>
    <w:rsid w:val="001947B2"/>
    <w:rsid w:val="001947BD"/>
    <w:rsid w:val="001947BE"/>
    <w:rsid w:val="001947C8"/>
    <w:rsid w:val="001947E3"/>
    <w:rsid w:val="00194852"/>
    <w:rsid w:val="00194853"/>
    <w:rsid w:val="0019486B"/>
    <w:rsid w:val="0019498E"/>
    <w:rsid w:val="00194A3F"/>
    <w:rsid w:val="00194A44"/>
    <w:rsid w:val="00194A47"/>
    <w:rsid w:val="00194A7B"/>
    <w:rsid w:val="00194AD6"/>
    <w:rsid w:val="00194B2D"/>
    <w:rsid w:val="00194B50"/>
    <w:rsid w:val="00194B81"/>
    <w:rsid w:val="00194BB9"/>
    <w:rsid w:val="00194BC0"/>
    <w:rsid w:val="00194BEA"/>
    <w:rsid w:val="00194C18"/>
    <w:rsid w:val="00194C66"/>
    <w:rsid w:val="00194CE8"/>
    <w:rsid w:val="00194D04"/>
    <w:rsid w:val="00194D76"/>
    <w:rsid w:val="00194DB0"/>
    <w:rsid w:val="00194DCD"/>
    <w:rsid w:val="00194DE1"/>
    <w:rsid w:val="00194E42"/>
    <w:rsid w:val="00194E43"/>
    <w:rsid w:val="00194E4C"/>
    <w:rsid w:val="00194E66"/>
    <w:rsid w:val="00194E86"/>
    <w:rsid w:val="00194EAE"/>
    <w:rsid w:val="00194EC9"/>
    <w:rsid w:val="00194F5B"/>
    <w:rsid w:val="00194F91"/>
    <w:rsid w:val="00194FA2"/>
    <w:rsid w:val="00194FB5"/>
    <w:rsid w:val="00194FD2"/>
    <w:rsid w:val="00194FE1"/>
    <w:rsid w:val="00194FFE"/>
    <w:rsid w:val="00195040"/>
    <w:rsid w:val="0019504D"/>
    <w:rsid w:val="0019505E"/>
    <w:rsid w:val="0019507C"/>
    <w:rsid w:val="001950A1"/>
    <w:rsid w:val="001950B0"/>
    <w:rsid w:val="001950CA"/>
    <w:rsid w:val="001950F3"/>
    <w:rsid w:val="00195146"/>
    <w:rsid w:val="00195190"/>
    <w:rsid w:val="0019523B"/>
    <w:rsid w:val="00195244"/>
    <w:rsid w:val="00195246"/>
    <w:rsid w:val="00195274"/>
    <w:rsid w:val="0019528A"/>
    <w:rsid w:val="001952EB"/>
    <w:rsid w:val="00195323"/>
    <w:rsid w:val="00195330"/>
    <w:rsid w:val="00195348"/>
    <w:rsid w:val="0019539D"/>
    <w:rsid w:val="00195451"/>
    <w:rsid w:val="001954B6"/>
    <w:rsid w:val="001954F9"/>
    <w:rsid w:val="00195501"/>
    <w:rsid w:val="0019552B"/>
    <w:rsid w:val="0019557C"/>
    <w:rsid w:val="00195584"/>
    <w:rsid w:val="0019558E"/>
    <w:rsid w:val="00195622"/>
    <w:rsid w:val="00195648"/>
    <w:rsid w:val="0019564C"/>
    <w:rsid w:val="0019567F"/>
    <w:rsid w:val="00195749"/>
    <w:rsid w:val="00195752"/>
    <w:rsid w:val="0019575C"/>
    <w:rsid w:val="00195794"/>
    <w:rsid w:val="001957A3"/>
    <w:rsid w:val="001957D5"/>
    <w:rsid w:val="00195815"/>
    <w:rsid w:val="00195818"/>
    <w:rsid w:val="00195846"/>
    <w:rsid w:val="00195847"/>
    <w:rsid w:val="0019585C"/>
    <w:rsid w:val="0019588B"/>
    <w:rsid w:val="001958F6"/>
    <w:rsid w:val="00195A03"/>
    <w:rsid w:val="00195A54"/>
    <w:rsid w:val="00195A78"/>
    <w:rsid w:val="00195B0A"/>
    <w:rsid w:val="00195B3C"/>
    <w:rsid w:val="00195B47"/>
    <w:rsid w:val="00195B4F"/>
    <w:rsid w:val="00195B57"/>
    <w:rsid w:val="00195B59"/>
    <w:rsid w:val="00195B8E"/>
    <w:rsid w:val="00195B8F"/>
    <w:rsid w:val="00195BD0"/>
    <w:rsid w:val="00195BDB"/>
    <w:rsid w:val="00195C7C"/>
    <w:rsid w:val="00195C92"/>
    <w:rsid w:val="00195C9F"/>
    <w:rsid w:val="00195CD9"/>
    <w:rsid w:val="00195CE9"/>
    <w:rsid w:val="00195D1C"/>
    <w:rsid w:val="00195D46"/>
    <w:rsid w:val="00195D55"/>
    <w:rsid w:val="00195D73"/>
    <w:rsid w:val="00195D80"/>
    <w:rsid w:val="00195DE6"/>
    <w:rsid w:val="00195E27"/>
    <w:rsid w:val="00195EB1"/>
    <w:rsid w:val="00195EEA"/>
    <w:rsid w:val="00195F3A"/>
    <w:rsid w:val="00195F7D"/>
    <w:rsid w:val="00195F8F"/>
    <w:rsid w:val="00195FA1"/>
    <w:rsid w:val="00195FC9"/>
    <w:rsid w:val="00195FFA"/>
    <w:rsid w:val="00196072"/>
    <w:rsid w:val="00196084"/>
    <w:rsid w:val="001960DD"/>
    <w:rsid w:val="00196101"/>
    <w:rsid w:val="00196123"/>
    <w:rsid w:val="0019617A"/>
    <w:rsid w:val="001961A9"/>
    <w:rsid w:val="001961C1"/>
    <w:rsid w:val="001961D8"/>
    <w:rsid w:val="0019620E"/>
    <w:rsid w:val="00196288"/>
    <w:rsid w:val="001962F6"/>
    <w:rsid w:val="0019634D"/>
    <w:rsid w:val="00196361"/>
    <w:rsid w:val="001963BF"/>
    <w:rsid w:val="00196434"/>
    <w:rsid w:val="0019644B"/>
    <w:rsid w:val="0019648B"/>
    <w:rsid w:val="001964B7"/>
    <w:rsid w:val="0019651B"/>
    <w:rsid w:val="00196566"/>
    <w:rsid w:val="00196591"/>
    <w:rsid w:val="0019659A"/>
    <w:rsid w:val="00196600"/>
    <w:rsid w:val="0019665D"/>
    <w:rsid w:val="001966B5"/>
    <w:rsid w:val="001966D1"/>
    <w:rsid w:val="00196710"/>
    <w:rsid w:val="00196723"/>
    <w:rsid w:val="0019673F"/>
    <w:rsid w:val="00196788"/>
    <w:rsid w:val="001967A3"/>
    <w:rsid w:val="00196807"/>
    <w:rsid w:val="00196879"/>
    <w:rsid w:val="00196880"/>
    <w:rsid w:val="001968BA"/>
    <w:rsid w:val="001968BF"/>
    <w:rsid w:val="001968DA"/>
    <w:rsid w:val="00196914"/>
    <w:rsid w:val="00196932"/>
    <w:rsid w:val="00196A41"/>
    <w:rsid w:val="00196A70"/>
    <w:rsid w:val="00196A8E"/>
    <w:rsid w:val="00196AC7"/>
    <w:rsid w:val="00196C37"/>
    <w:rsid w:val="00196CCA"/>
    <w:rsid w:val="00196CF9"/>
    <w:rsid w:val="00196CFB"/>
    <w:rsid w:val="00196D06"/>
    <w:rsid w:val="00196D48"/>
    <w:rsid w:val="00196D58"/>
    <w:rsid w:val="00196D72"/>
    <w:rsid w:val="00196DE8"/>
    <w:rsid w:val="00196E01"/>
    <w:rsid w:val="00196E65"/>
    <w:rsid w:val="00196E83"/>
    <w:rsid w:val="00196EC5"/>
    <w:rsid w:val="00196F0A"/>
    <w:rsid w:val="00196F16"/>
    <w:rsid w:val="00196F18"/>
    <w:rsid w:val="00196F26"/>
    <w:rsid w:val="00196F2A"/>
    <w:rsid w:val="00196F44"/>
    <w:rsid w:val="00196F8C"/>
    <w:rsid w:val="00196FA6"/>
    <w:rsid w:val="00196FED"/>
    <w:rsid w:val="00197037"/>
    <w:rsid w:val="00197081"/>
    <w:rsid w:val="0019708A"/>
    <w:rsid w:val="0019709E"/>
    <w:rsid w:val="00197185"/>
    <w:rsid w:val="001971D3"/>
    <w:rsid w:val="001971F4"/>
    <w:rsid w:val="001971F9"/>
    <w:rsid w:val="00197211"/>
    <w:rsid w:val="0019727A"/>
    <w:rsid w:val="001972A1"/>
    <w:rsid w:val="00197349"/>
    <w:rsid w:val="0019734B"/>
    <w:rsid w:val="001973BD"/>
    <w:rsid w:val="001973CF"/>
    <w:rsid w:val="001973D0"/>
    <w:rsid w:val="001973F6"/>
    <w:rsid w:val="00197403"/>
    <w:rsid w:val="0019741C"/>
    <w:rsid w:val="00197425"/>
    <w:rsid w:val="001974DF"/>
    <w:rsid w:val="00197509"/>
    <w:rsid w:val="00197571"/>
    <w:rsid w:val="001975A5"/>
    <w:rsid w:val="001975A8"/>
    <w:rsid w:val="001975BF"/>
    <w:rsid w:val="001975EB"/>
    <w:rsid w:val="00197607"/>
    <w:rsid w:val="0019760A"/>
    <w:rsid w:val="0019766A"/>
    <w:rsid w:val="00197675"/>
    <w:rsid w:val="00197742"/>
    <w:rsid w:val="0019776E"/>
    <w:rsid w:val="001977AE"/>
    <w:rsid w:val="001977CB"/>
    <w:rsid w:val="001977E2"/>
    <w:rsid w:val="00197820"/>
    <w:rsid w:val="0019783D"/>
    <w:rsid w:val="00197867"/>
    <w:rsid w:val="00197877"/>
    <w:rsid w:val="0019788A"/>
    <w:rsid w:val="001978E7"/>
    <w:rsid w:val="001978F0"/>
    <w:rsid w:val="0019793C"/>
    <w:rsid w:val="0019795F"/>
    <w:rsid w:val="001979A9"/>
    <w:rsid w:val="001979ED"/>
    <w:rsid w:val="00197A0A"/>
    <w:rsid w:val="00197AE0"/>
    <w:rsid w:val="00197AE7"/>
    <w:rsid w:val="00197B3F"/>
    <w:rsid w:val="00197B44"/>
    <w:rsid w:val="00197B5C"/>
    <w:rsid w:val="00197B69"/>
    <w:rsid w:val="00197B70"/>
    <w:rsid w:val="00197BC9"/>
    <w:rsid w:val="00197C22"/>
    <w:rsid w:val="00197D73"/>
    <w:rsid w:val="00197DF8"/>
    <w:rsid w:val="00197E1F"/>
    <w:rsid w:val="00197E2E"/>
    <w:rsid w:val="00197E38"/>
    <w:rsid w:val="00197E3D"/>
    <w:rsid w:val="00197E56"/>
    <w:rsid w:val="00197EA8"/>
    <w:rsid w:val="00197EC7"/>
    <w:rsid w:val="00197ED4"/>
    <w:rsid w:val="00197EEB"/>
    <w:rsid w:val="00197EFE"/>
    <w:rsid w:val="00197FEB"/>
    <w:rsid w:val="001A0009"/>
    <w:rsid w:val="001A0013"/>
    <w:rsid w:val="001A002E"/>
    <w:rsid w:val="001A0073"/>
    <w:rsid w:val="001A0074"/>
    <w:rsid w:val="001A0099"/>
    <w:rsid w:val="001A00DA"/>
    <w:rsid w:val="001A00DD"/>
    <w:rsid w:val="001A01B6"/>
    <w:rsid w:val="001A01FE"/>
    <w:rsid w:val="001A0216"/>
    <w:rsid w:val="001A022A"/>
    <w:rsid w:val="001A022D"/>
    <w:rsid w:val="001A0250"/>
    <w:rsid w:val="001A0251"/>
    <w:rsid w:val="001A0260"/>
    <w:rsid w:val="001A0294"/>
    <w:rsid w:val="001A02DB"/>
    <w:rsid w:val="001A0313"/>
    <w:rsid w:val="001A032F"/>
    <w:rsid w:val="001A033F"/>
    <w:rsid w:val="001A0387"/>
    <w:rsid w:val="001A0397"/>
    <w:rsid w:val="001A03BB"/>
    <w:rsid w:val="001A03E9"/>
    <w:rsid w:val="001A0414"/>
    <w:rsid w:val="001A04E8"/>
    <w:rsid w:val="001A04ED"/>
    <w:rsid w:val="001A050C"/>
    <w:rsid w:val="001A0560"/>
    <w:rsid w:val="001A058D"/>
    <w:rsid w:val="001A05A7"/>
    <w:rsid w:val="001A05D8"/>
    <w:rsid w:val="001A0627"/>
    <w:rsid w:val="001A0677"/>
    <w:rsid w:val="001A0685"/>
    <w:rsid w:val="001A069B"/>
    <w:rsid w:val="001A06D5"/>
    <w:rsid w:val="001A07AA"/>
    <w:rsid w:val="001A07AF"/>
    <w:rsid w:val="001A07D2"/>
    <w:rsid w:val="001A081D"/>
    <w:rsid w:val="001A08AB"/>
    <w:rsid w:val="001A08F3"/>
    <w:rsid w:val="001A0917"/>
    <w:rsid w:val="001A0939"/>
    <w:rsid w:val="001A0948"/>
    <w:rsid w:val="001A095F"/>
    <w:rsid w:val="001A0970"/>
    <w:rsid w:val="001A09B0"/>
    <w:rsid w:val="001A09C3"/>
    <w:rsid w:val="001A09D5"/>
    <w:rsid w:val="001A0A06"/>
    <w:rsid w:val="001A0A0F"/>
    <w:rsid w:val="001A0A1D"/>
    <w:rsid w:val="001A0A67"/>
    <w:rsid w:val="001A0A8E"/>
    <w:rsid w:val="001A0A94"/>
    <w:rsid w:val="001A0A97"/>
    <w:rsid w:val="001A0AAF"/>
    <w:rsid w:val="001A0B00"/>
    <w:rsid w:val="001A0B05"/>
    <w:rsid w:val="001A0B35"/>
    <w:rsid w:val="001A0B65"/>
    <w:rsid w:val="001A0B8A"/>
    <w:rsid w:val="001A0BB4"/>
    <w:rsid w:val="001A0BBB"/>
    <w:rsid w:val="001A0BE2"/>
    <w:rsid w:val="001A0C39"/>
    <w:rsid w:val="001A0C5A"/>
    <w:rsid w:val="001A0C5E"/>
    <w:rsid w:val="001A0C79"/>
    <w:rsid w:val="001A0CB2"/>
    <w:rsid w:val="001A0D0E"/>
    <w:rsid w:val="001A0DA4"/>
    <w:rsid w:val="001A0DB1"/>
    <w:rsid w:val="001A0E27"/>
    <w:rsid w:val="001A0E74"/>
    <w:rsid w:val="001A0E7C"/>
    <w:rsid w:val="001A0EC2"/>
    <w:rsid w:val="001A0F32"/>
    <w:rsid w:val="001A0F3C"/>
    <w:rsid w:val="001A0F65"/>
    <w:rsid w:val="001A0F94"/>
    <w:rsid w:val="001A0F95"/>
    <w:rsid w:val="001A0FAF"/>
    <w:rsid w:val="001A0FFA"/>
    <w:rsid w:val="001A100F"/>
    <w:rsid w:val="001A1034"/>
    <w:rsid w:val="001A1099"/>
    <w:rsid w:val="001A10C8"/>
    <w:rsid w:val="001A114A"/>
    <w:rsid w:val="001A1151"/>
    <w:rsid w:val="001A115F"/>
    <w:rsid w:val="001A11C9"/>
    <w:rsid w:val="001A1216"/>
    <w:rsid w:val="001A121C"/>
    <w:rsid w:val="001A1228"/>
    <w:rsid w:val="001A123E"/>
    <w:rsid w:val="001A129C"/>
    <w:rsid w:val="001A1391"/>
    <w:rsid w:val="001A13B0"/>
    <w:rsid w:val="001A13EB"/>
    <w:rsid w:val="001A14BD"/>
    <w:rsid w:val="001A1502"/>
    <w:rsid w:val="001A1510"/>
    <w:rsid w:val="001A1512"/>
    <w:rsid w:val="001A1569"/>
    <w:rsid w:val="001A156F"/>
    <w:rsid w:val="001A1573"/>
    <w:rsid w:val="001A15A8"/>
    <w:rsid w:val="001A15C4"/>
    <w:rsid w:val="001A15CB"/>
    <w:rsid w:val="001A15D5"/>
    <w:rsid w:val="001A15D8"/>
    <w:rsid w:val="001A1638"/>
    <w:rsid w:val="001A1643"/>
    <w:rsid w:val="001A16E2"/>
    <w:rsid w:val="001A16F2"/>
    <w:rsid w:val="001A16FD"/>
    <w:rsid w:val="001A171C"/>
    <w:rsid w:val="001A174E"/>
    <w:rsid w:val="001A179C"/>
    <w:rsid w:val="001A17DA"/>
    <w:rsid w:val="001A1818"/>
    <w:rsid w:val="001A181D"/>
    <w:rsid w:val="001A182D"/>
    <w:rsid w:val="001A18A6"/>
    <w:rsid w:val="001A18B2"/>
    <w:rsid w:val="001A18BA"/>
    <w:rsid w:val="001A18BC"/>
    <w:rsid w:val="001A18F0"/>
    <w:rsid w:val="001A1934"/>
    <w:rsid w:val="001A1942"/>
    <w:rsid w:val="001A1977"/>
    <w:rsid w:val="001A199C"/>
    <w:rsid w:val="001A19D4"/>
    <w:rsid w:val="001A19F4"/>
    <w:rsid w:val="001A1A03"/>
    <w:rsid w:val="001A1A8B"/>
    <w:rsid w:val="001A1A8E"/>
    <w:rsid w:val="001A1A91"/>
    <w:rsid w:val="001A1AA7"/>
    <w:rsid w:val="001A1AAE"/>
    <w:rsid w:val="001A1ACE"/>
    <w:rsid w:val="001A1C2F"/>
    <w:rsid w:val="001A1C42"/>
    <w:rsid w:val="001A1C5D"/>
    <w:rsid w:val="001A1C6D"/>
    <w:rsid w:val="001A1C71"/>
    <w:rsid w:val="001A1CB8"/>
    <w:rsid w:val="001A1CC1"/>
    <w:rsid w:val="001A1D59"/>
    <w:rsid w:val="001A1DC9"/>
    <w:rsid w:val="001A1DDF"/>
    <w:rsid w:val="001A1E6B"/>
    <w:rsid w:val="001A1E7B"/>
    <w:rsid w:val="001A1ECF"/>
    <w:rsid w:val="001A1ED2"/>
    <w:rsid w:val="001A1F47"/>
    <w:rsid w:val="001A1F72"/>
    <w:rsid w:val="001A1FA4"/>
    <w:rsid w:val="001A1FAB"/>
    <w:rsid w:val="001A1FAC"/>
    <w:rsid w:val="001A2013"/>
    <w:rsid w:val="001A2043"/>
    <w:rsid w:val="001A2084"/>
    <w:rsid w:val="001A20CF"/>
    <w:rsid w:val="001A2132"/>
    <w:rsid w:val="001A2178"/>
    <w:rsid w:val="001A217D"/>
    <w:rsid w:val="001A21C4"/>
    <w:rsid w:val="001A21CE"/>
    <w:rsid w:val="001A2212"/>
    <w:rsid w:val="001A2292"/>
    <w:rsid w:val="001A22E2"/>
    <w:rsid w:val="001A2368"/>
    <w:rsid w:val="001A23E3"/>
    <w:rsid w:val="001A2424"/>
    <w:rsid w:val="001A244B"/>
    <w:rsid w:val="001A2452"/>
    <w:rsid w:val="001A2463"/>
    <w:rsid w:val="001A2483"/>
    <w:rsid w:val="001A2546"/>
    <w:rsid w:val="001A2563"/>
    <w:rsid w:val="001A25D1"/>
    <w:rsid w:val="001A2610"/>
    <w:rsid w:val="001A266D"/>
    <w:rsid w:val="001A2679"/>
    <w:rsid w:val="001A2702"/>
    <w:rsid w:val="001A275A"/>
    <w:rsid w:val="001A27A5"/>
    <w:rsid w:val="001A27B1"/>
    <w:rsid w:val="001A27BE"/>
    <w:rsid w:val="001A27C1"/>
    <w:rsid w:val="001A2841"/>
    <w:rsid w:val="001A284B"/>
    <w:rsid w:val="001A2879"/>
    <w:rsid w:val="001A289C"/>
    <w:rsid w:val="001A2911"/>
    <w:rsid w:val="001A2932"/>
    <w:rsid w:val="001A2941"/>
    <w:rsid w:val="001A2965"/>
    <w:rsid w:val="001A2966"/>
    <w:rsid w:val="001A29B6"/>
    <w:rsid w:val="001A29BB"/>
    <w:rsid w:val="001A29BF"/>
    <w:rsid w:val="001A29C1"/>
    <w:rsid w:val="001A2A84"/>
    <w:rsid w:val="001A2A93"/>
    <w:rsid w:val="001A2B33"/>
    <w:rsid w:val="001A2B68"/>
    <w:rsid w:val="001A2BD2"/>
    <w:rsid w:val="001A2BF5"/>
    <w:rsid w:val="001A2C0E"/>
    <w:rsid w:val="001A2C8F"/>
    <w:rsid w:val="001A2D25"/>
    <w:rsid w:val="001A2D67"/>
    <w:rsid w:val="001A2E4B"/>
    <w:rsid w:val="001A2E4E"/>
    <w:rsid w:val="001A2E53"/>
    <w:rsid w:val="001A2E80"/>
    <w:rsid w:val="001A2E97"/>
    <w:rsid w:val="001A2EA4"/>
    <w:rsid w:val="001A2EB5"/>
    <w:rsid w:val="001A2ECC"/>
    <w:rsid w:val="001A2ED0"/>
    <w:rsid w:val="001A2F2B"/>
    <w:rsid w:val="001A2FD4"/>
    <w:rsid w:val="001A2FFE"/>
    <w:rsid w:val="001A304A"/>
    <w:rsid w:val="001A3097"/>
    <w:rsid w:val="001A309E"/>
    <w:rsid w:val="001A30A7"/>
    <w:rsid w:val="001A3106"/>
    <w:rsid w:val="001A3163"/>
    <w:rsid w:val="001A3193"/>
    <w:rsid w:val="001A3199"/>
    <w:rsid w:val="001A31B8"/>
    <w:rsid w:val="001A324F"/>
    <w:rsid w:val="001A326A"/>
    <w:rsid w:val="001A32CB"/>
    <w:rsid w:val="001A336F"/>
    <w:rsid w:val="001A33C4"/>
    <w:rsid w:val="001A33F2"/>
    <w:rsid w:val="001A3425"/>
    <w:rsid w:val="001A3426"/>
    <w:rsid w:val="001A3462"/>
    <w:rsid w:val="001A3542"/>
    <w:rsid w:val="001A3555"/>
    <w:rsid w:val="001A367B"/>
    <w:rsid w:val="001A3688"/>
    <w:rsid w:val="001A36FD"/>
    <w:rsid w:val="001A371F"/>
    <w:rsid w:val="001A3720"/>
    <w:rsid w:val="001A375C"/>
    <w:rsid w:val="001A3765"/>
    <w:rsid w:val="001A3780"/>
    <w:rsid w:val="001A378D"/>
    <w:rsid w:val="001A3820"/>
    <w:rsid w:val="001A3822"/>
    <w:rsid w:val="001A3827"/>
    <w:rsid w:val="001A3831"/>
    <w:rsid w:val="001A384F"/>
    <w:rsid w:val="001A3874"/>
    <w:rsid w:val="001A38FA"/>
    <w:rsid w:val="001A393E"/>
    <w:rsid w:val="001A3946"/>
    <w:rsid w:val="001A394D"/>
    <w:rsid w:val="001A395F"/>
    <w:rsid w:val="001A3981"/>
    <w:rsid w:val="001A39EF"/>
    <w:rsid w:val="001A3A30"/>
    <w:rsid w:val="001A3A32"/>
    <w:rsid w:val="001A3A78"/>
    <w:rsid w:val="001A3B04"/>
    <w:rsid w:val="001A3B42"/>
    <w:rsid w:val="001A3B48"/>
    <w:rsid w:val="001A3B7F"/>
    <w:rsid w:val="001A3BD9"/>
    <w:rsid w:val="001A3BEE"/>
    <w:rsid w:val="001A3C8E"/>
    <w:rsid w:val="001A3CC4"/>
    <w:rsid w:val="001A3CD3"/>
    <w:rsid w:val="001A3CE5"/>
    <w:rsid w:val="001A3CF8"/>
    <w:rsid w:val="001A3CFE"/>
    <w:rsid w:val="001A3D1B"/>
    <w:rsid w:val="001A3D2F"/>
    <w:rsid w:val="001A3D77"/>
    <w:rsid w:val="001A3DBE"/>
    <w:rsid w:val="001A3DE7"/>
    <w:rsid w:val="001A3DF1"/>
    <w:rsid w:val="001A3E57"/>
    <w:rsid w:val="001A3E79"/>
    <w:rsid w:val="001A3E83"/>
    <w:rsid w:val="001A3EE7"/>
    <w:rsid w:val="001A3EFE"/>
    <w:rsid w:val="001A3F13"/>
    <w:rsid w:val="001A3FAE"/>
    <w:rsid w:val="001A3FB3"/>
    <w:rsid w:val="001A3FD3"/>
    <w:rsid w:val="001A3FDD"/>
    <w:rsid w:val="001A40FC"/>
    <w:rsid w:val="001A411D"/>
    <w:rsid w:val="001A4128"/>
    <w:rsid w:val="001A4174"/>
    <w:rsid w:val="001A418F"/>
    <w:rsid w:val="001A41A1"/>
    <w:rsid w:val="001A41A7"/>
    <w:rsid w:val="001A41AA"/>
    <w:rsid w:val="001A41BE"/>
    <w:rsid w:val="001A41D5"/>
    <w:rsid w:val="001A4201"/>
    <w:rsid w:val="001A4216"/>
    <w:rsid w:val="001A42EA"/>
    <w:rsid w:val="001A430E"/>
    <w:rsid w:val="001A4317"/>
    <w:rsid w:val="001A43E7"/>
    <w:rsid w:val="001A43FF"/>
    <w:rsid w:val="001A4442"/>
    <w:rsid w:val="001A44B0"/>
    <w:rsid w:val="001A44EF"/>
    <w:rsid w:val="001A4500"/>
    <w:rsid w:val="001A4525"/>
    <w:rsid w:val="001A4528"/>
    <w:rsid w:val="001A454C"/>
    <w:rsid w:val="001A4553"/>
    <w:rsid w:val="001A460F"/>
    <w:rsid w:val="001A468A"/>
    <w:rsid w:val="001A4695"/>
    <w:rsid w:val="001A4696"/>
    <w:rsid w:val="001A46F1"/>
    <w:rsid w:val="001A4754"/>
    <w:rsid w:val="001A47D1"/>
    <w:rsid w:val="001A47E6"/>
    <w:rsid w:val="001A480F"/>
    <w:rsid w:val="001A481D"/>
    <w:rsid w:val="001A482E"/>
    <w:rsid w:val="001A483B"/>
    <w:rsid w:val="001A484B"/>
    <w:rsid w:val="001A48A3"/>
    <w:rsid w:val="001A4910"/>
    <w:rsid w:val="001A491A"/>
    <w:rsid w:val="001A4930"/>
    <w:rsid w:val="001A4996"/>
    <w:rsid w:val="001A49D5"/>
    <w:rsid w:val="001A49DA"/>
    <w:rsid w:val="001A49F9"/>
    <w:rsid w:val="001A4A0A"/>
    <w:rsid w:val="001A4A10"/>
    <w:rsid w:val="001A4A88"/>
    <w:rsid w:val="001A4A95"/>
    <w:rsid w:val="001A4AA5"/>
    <w:rsid w:val="001A4ACA"/>
    <w:rsid w:val="001A4B42"/>
    <w:rsid w:val="001A4B63"/>
    <w:rsid w:val="001A4B78"/>
    <w:rsid w:val="001A4B8B"/>
    <w:rsid w:val="001A4BA8"/>
    <w:rsid w:val="001A4BC3"/>
    <w:rsid w:val="001A4BCB"/>
    <w:rsid w:val="001A4BF9"/>
    <w:rsid w:val="001A4C28"/>
    <w:rsid w:val="001A4CA0"/>
    <w:rsid w:val="001A4CD2"/>
    <w:rsid w:val="001A4CD8"/>
    <w:rsid w:val="001A4CEC"/>
    <w:rsid w:val="001A4D87"/>
    <w:rsid w:val="001A4E89"/>
    <w:rsid w:val="001A4EFD"/>
    <w:rsid w:val="001A4FA8"/>
    <w:rsid w:val="001A4FCF"/>
    <w:rsid w:val="001A500B"/>
    <w:rsid w:val="001A5121"/>
    <w:rsid w:val="001A5194"/>
    <w:rsid w:val="001A51B4"/>
    <w:rsid w:val="001A51EB"/>
    <w:rsid w:val="001A51F9"/>
    <w:rsid w:val="001A5245"/>
    <w:rsid w:val="001A52D7"/>
    <w:rsid w:val="001A52DB"/>
    <w:rsid w:val="001A52DC"/>
    <w:rsid w:val="001A52EC"/>
    <w:rsid w:val="001A52ED"/>
    <w:rsid w:val="001A52F3"/>
    <w:rsid w:val="001A52FC"/>
    <w:rsid w:val="001A5338"/>
    <w:rsid w:val="001A5347"/>
    <w:rsid w:val="001A5397"/>
    <w:rsid w:val="001A53C9"/>
    <w:rsid w:val="001A53D6"/>
    <w:rsid w:val="001A5422"/>
    <w:rsid w:val="001A5477"/>
    <w:rsid w:val="001A5491"/>
    <w:rsid w:val="001A54B8"/>
    <w:rsid w:val="001A551A"/>
    <w:rsid w:val="001A5572"/>
    <w:rsid w:val="001A559D"/>
    <w:rsid w:val="001A5640"/>
    <w:rsid w:val="001A569F"/>
    <w:rsid w:val="001A56A3"/>
    <w:rsid w:val="001A56DC"/>
    <w:rsid w:val="001A570A"/>
    <w:rsid w:val="001A576F"/>
    <w:rsid w:val="001A5775"/>
    <w:rsid w:val="001A577E"/>
    <w:rsid w:val="001A57A9"/>
    <w:rsid w:val="001A57C2"/>
    <w:rsid w:val="001A580F"/>
    <w:rsid w:val="001A5847"/>
    <w:rsid w:val="001A5859"/>
    <w:rsid w:val="001A585D"/>
    <w:rsid w:val="001A58A0"/>
    <w:rsid w:val="001A58D0"/>
    <w:rsid w:val="001A58EC"/>
    <w:rsid w:val="001A590F"/>
    <w:rsid w:val="001A595B"/>
    <w:rsid w:val="001A5968"/>
    <w:rsid w:val="001A596B"/>
    <w:rsid w:val="001A5977"/>
    <w:rsid w:val="001A5987"/>
    <w:rsid w:val="001A5997"/>
    <w:rsid w:val="001A5998"/>
    <w:rsid w:val="001A59AA"/>
    <w:rsid w:val="001A59C4"/>
    <w:rsid w:val="001A59C9"/>
    <w:rsid w:val="001A59E6"/>
    <w:rsid w:val="001A59FA"/>
    <w:rsid w:val="001A5A66"/>
    <w:rsid w:val="001A5A6E"/>
    <w:rsid w:val="001A5A9D"/>
    <w:rsid w:val="001A5ACD"/>
    <w:rsid w:val="001A5B31"/>
    <w:rsid w:val="001A5B5E"/>
    <w:rsid w:val="001A5BC7"/>
    <w:rsid w:val="001A5BDE"/>
    <w:rsid w:val="001A5BF3"/>
    <w:rsid w:val="001A5C1B"/>
    <w:rsid w:val="001A5CB3"/>
    <w:rsid w:val="001A5CE2"/>
    <w:rsid w:val="001A5CE5"/>
    <w:rsid w:val="001A5D05"/>
    <w:rsid w:val="001A5D14"/>
    <w:rsid w:val="001A5D37"/>
    <w:rsid w:val="001A5D4D"/>
    <w:rsid w:val="001A5DCC"/>
    <w:rsid w:val="001A5DE6"/>
    <w:rsid w:val="001A5E55"/>
    <w:rsid w:val="001A5E5D"/>
    <w:rsid w:val="001A5EA0"/>
    <w:rsid w:val="001A5EA5"/>
    <w:rsid w:val="001A5EBF"/>
    <w:rsid w:val="001A5FBF"/>
    <w:rsid w:val="001A5FC0"/>
    <w:rsid w:val="001A5FFF"/>
    <w:rsid w:val="001A601E"/>
    <w:rsid w:val="001A606A"/>
    <w:rsid w:val="001A60C4"/>
    <w:rsid w:val="001A614E"/>
    <w:rsid w:val="001A6169"/>
    <w:rsid w:val="001A61DD"/>
    <w:rsid w:val="001A6204"/>
    <w:rsid w:val="001A6210"/>
    <w:rsid w:val="001A6227"/>
    <w:rsid w:val="001A627C"/>
    <w:rsid w:val="001A62D8"/>
    <w:rsid w:val="001A62F5"/>
    <w:rsid w:val="001A631E"/>
    <w:rsid w:val="001A6338"/>
    <w:rsid w:val="001A635D"/>
    <w:rsid w:val="001A6371"/>
    <w:rsid w:val="001A6374"/>
    <w:rsid w:val="001A639C"/>
    <w:rsid w:val="001A63AF"/>
    <w:rsid w:val="001A63BC"/>
    <w:rsid w:val="001A63EA"/>
    <w:rsid w:val="001A6449"/>
    <w:rsid w:val="001A6491"/>
    <w:rsid w:val="001A64C9"/>
    <w:rsid w:val="001A64CA"/>
    <w:rsid w:val="001A65CA"/>
    <w:rsid w:val="001A65CB"/>
    <w:rsid w:val="001A6639"/>
    <w:rsid w:val="001A6684"/>
    <w:rsid w:val="001A6696"/>
    <w:rsid w:val="001A66CA"/>
    <w:rsid w:val="001A66D7"/>
    <w:rsid w:val="001A6700"/>
    <w:rsid w:val="001A6789"/>
    <w:rsid w:val="001A681F"/>
    <w:rsid w:val="001A6832"/>
    <w:rsid w:val="001A6846"/>
    <w:rsid w:val="001A68E4"/>
    <w:rsid w:val="001A693A"/>
    <w:rsid w:val="001A695B"/>
    <w:rsid w:val="001A696B"/>
    <w:rsid w:val="001A6972"/>
    <w:rsid w:val="001A698B"/>
    <w:rsid w:val="001A6993"/>
    <w:rsid w:val="001A6995"/>
    <w:rsid w:val="001A69CA"/>
    <w:rsid w:val="001A69E5"/>
    <w:rsid w:val="001A6A61"/>
    <w:rsid w:val="001A6A6C"/>
    <w:rsid w:val="001A6A8B"/>
    <w:rsid w:val="001A6AF6"/>
    <w:rsid w:val="001A6B0C"/>
    <w:rsid w:val="001A6B1A"/>
    <w:rsid w:val="001A6B6D"/>
    <w:rsid w:val="001A6B9F"/>
    <w:rsid w:val="001A6C05"/>
    <w:rsid w:val="001A6D3C"/>
    <w:rsid w:val="001A6D5B"/>
    <w:rsid w:val="001A6D81"/>
    <w:rsid w:val="001A6DA7"/>
    <w:rsid w:val="001A6DAF"/>
    <w:rsid w:val="001A6DBA"/>
    <w:rsid w:val="001A6DC3"/>
    <w:rsid w:val="001A6EE2"/>
    <w:rsid w:val="001A6EF2"/>
    <w:rsid w:val="001A6F72"/>
    <w:rsid w:val="001A6F8B"/>
    <w:rsid w:val="001A6FA5"/>
    <w:rsid w:val="001A7005"/>
    <w:rsid w:val="001A7011"/>
    <w:rsid w:val="001A7021"/>
    <w:rsid w:val="001A702B"/>
    <w:rsid w:val="001A7045"/>
    <w:rsid w:val="001A70A5"/>
    <w:rsid w:val="001A7113"/>
    <w:rsid w:val="001A7185"/>
    <w:rsid w:val="001A719A"/>
    <w:rsid w:val="001A71BF"/>
    <w:rsid w:val="001A71D4"/>
    <w:rsid w:val="001A722F"/>
    <w:rsid w:val="001A7308"/>
    <w:rsid w:val="001A7311"/>
    <w:rsid w:val="001A734F"/>
    <w:rsid w:val="001A744B"/>
    <w:rsid w:val="001A7455"/>
    <w:rsid w:val="001A75C5"/>
    <w:rsid w:val="001A75E1"/>
    <w:rsid w:val="001A766C"/>
    <w:rsid w:val="001A7682"/>
    <w:rsid w:val="001A76A0"/>
    <w:rsid w:val="001A76B8"/>
    <w:rsid w:val="001A76F2"/>
    <w:rsid w:val="001A7758"/>
    <w:rsid w:val="001A7766"/>
    <w:rsid w:val="001A7770"/>
    <w:rsid w:val="001A778D"/>
    <w:rsid w:val="001A77DA"/>
    <w:rsid w:val="001A77ED"/>
    <w:rsid w:val="001A77FD"/>
    <w:rsid w:val="001A7820"/>
    <w:rsid w:val="001A787C"/>
    <w:rsid w:val="001A78C8"/>
    <w:rsid w:val="001A78F4"/>
    <w:rsid w:val="001A7984"/>
    <w:rsid w:val="001A799B"/>
    <w:rsid w:val="001A799C"/>
    <w:rsid w:val="001A799F"/>
    <w:rsid w:val="001A79DD"/>
    <w:rsid w:val="001A7A05"/>
    <w:rsid w:val="001A7A18"/>
    <w:rsid w:val="001A7A38"/>
    <w:rsid w:val="001A7A65"/>
    <w:rsid w:val="001A7A96"/>
    <w:rsid w:val="001A7A9B"/>
    <w:rsid w:val="001A7AD0"/>
    <w:rsid w:val="001A7B05"/>
    <w:rsid w:val="001A7B3B"/>
    <w:rsid w:val="001A7B67"/>
    <w:rsid w:val="001A7B80"/>
    <w:rsid w:val="001A7B84"/>
    <w:rsid w:val="001A7B94"/>
    <w:rsid w:val="001A7BD6"/>
    <w:rsid w:val="001A7BEC"/>
    <w:rsid w:val="001A7BED"/>
    <w:rsid w:val="001A7C16"/>
    <w:rsid w:val="001A7C1D"/>
    <w:rsid w:val="001A7C68"/>
    <w:rsid w:val="001A7C7F"/>
    <w:rsid w:val="001A7C95"/>
    <w:rsid w:val="001A7D23"/>
    <w:rsid w:val="001A7D89"/>
    <w:rsid w:val="001A7DE5"/>
    <w:rsid w:val="001A7DF2"/>
    <w:rsid w:val="001A7E06"/>
    <w:rsid w:val="001A7E21"/>
    <w:rsid w:val="001A7E50"/>
    <w:rsid w:val="001A7E51"/>
    <w:rsid w:val="001A7EA5"/>
    <w:rsid w:val="001A7EEB"/>
    <w:rsid w:val="001A7EF4"/>
    <w:rsid w:val="001A7F13"/>
    <w:rsid w:val="001A7F17"/>
    <w:rsid w:val="001A7F1F"/>
    <w:rsid w:val="001A7F6A"/>
    <w:rsid w:val="001A7F78"/>
    <w:rsid w:val="001A7FBA"/>
    <w:rsid w:val="001A7FBE"/>
    <w:rsid w:val="001B004A"/>
    <w:rsid w:val="001B00A8"/>
    <w:rsid w:val="001B00AC"/>
    <w:rsid w:val="001B00D2"/>
    <w:rsid w:val="001B012B"/>
    <w:rsid w:val="001B0139"/>
    <w:rsid w:val="001B015A"/>
    <w:rsid w:val="001B0161"/>
    <w:rsid w:val="001B0164"/>
    <w:rsid w:val="001B017C"/>
    <w:rsid w:val="001B0193"/>
    <w:rsid w:val="001B01A9"/>
    <w:rsid w:val="001B01E5"/>
    <w:rsid w:val="001B01ED"/>
    <w:rsid w:val="001B0219"/>
    <w:rsid w:val="001B0262"/>
    <w:rsid w:val="001B0265"/>
    <w:rsid w:val="001B02A6"/>
    <w:rsid w:val="001B02D3"/>
    <w:rsid w:val="001B02D4"/>
    <w:rsid w:val="001B02E1"/>
    <w:rsid w:val="001B02FF"/>
    <w:rsid w:val="001B030D"/>
    <w:rsid w:val="001B034C"/>
    <w:rsid w:val="001B040E"/>
    <w:rsid w:val="001B043A"/>
    <w:rsid w:val="001B048A"/>
    <w:rsid w:val="001B04C3"/>
    <w:rsid w:val="001B04E7"/>
    <w:rsid w:val="001B0503"/>
    <w:rsid w:val="001B050F"/>
    <w:rsid w:val="001B0520"/>
    <w:rsid w:val="001B0536"/>
    <w:rsid w:val="001B0667"/>
    <w:rsid w:val="001B0719"/>
    <w:rsid w:val="001B0740"/>
    <w:rsid w:val="001B0743"/>
    <w:rsid w:val="001B0747"/>
    <w:rsid w:val="001B0775"/>
    <w:rsid w:val="001B080A"/>
    <w:rsid w:val="001B0868"/>
    <w:rsid w:val="001B0881"/>
    <w:rsid w:val="001B0960"/>
    <w:rsid w:val="001B096A"/>
    <w:rsid w:val="001B0985"/>
    <w:rsid w:val="001B09F3"/>
    <w:rsid w:val="001B09F7"/>
    <w:rsid w:val="001B0A6B"/>
    <w:rsid w:val="001B0AD1"/>
    <w:rsid w:val="001B0B31"/>
    <w:rsid w:val="001B0B36"/>
    <w:rsid w:val="001B0B78"/>
    <w:rsid w:val="001B0BB5"/>
    <w:rsid w:val="001B0BBB"/>
    <w:rsid w:val="001B0BE8"/>
    <w:rsid w:val="001B0BEA"/>
    <w:rsid w:val="001B0C9D"/>
    <w:rsid w:val="001B0CDB"/>
    <w:rsid w:val="001B0D4C"/>
    <w:rsid w:val="001B0DCB"/>
    <w:rsid w:val="001B0E03"/>
    <w:rsid w:val="001B0E3F"/>
    <w:rsid w:val="001B0E4B"/>
    <w:rsid w:val="001B0EA5"/>
    <w:rsid w:val="001B0F91"/>
    <w:rsid w:val="001B0FBE"/>
    <w:rsid w:val="001B0FC4"/>
    <w:rsid w:val="001B0FE1"/>
    <w:rsid w:val="001B1011"/>
    <w:rsid w:val="001B1020"/>
    <w:rsid w:val="001B1026"/>
    <w:rsid w:val="001B1037"/>
    <w:rsid w:val="001B10BF"/>
    <w:rsid w:val="001B10E0"/>
    <w:rsid w:val="001B1122"/>
    <w:rsid w:val="001B11DD"/>
    <w:rsid w:val="001B1245"/>
    <w:rsid w:val="001B1290"/>
    <w:rsid w:val="001B1298"/>
    <w:rsid w:val="001B12BF"/>
    <w:rsid w:val="001B12CD"/>
    <w:rsid w:val="001B13A7"/>
    <w:rsid w:val="001B13CE"/>
    <w:rsid w:val="001B142E"/>
    <w:rsid w:val="001B1453"/>
    <w:rsid w:val="001B1490"/>
    <w:rsid w:val="001B14AE"/>
    <w:rsid w:val="001B14CE"/>
    <w:rsid w:val="001B14D5"/>
    <w:rsid w:val="001B14D9"/>
    <w:rsid w:val="001B14EA"/>
    <w:rsid w:val="001B14EC"/>
    <w:rsid w:val="001B1502"/>
    <w:rsid w:val="001B1569"/>
    <w:rsid w:val="001B156E"/>
    <w:rsid w:val="001B159B"/>
    <w:rsid w:val="001B161C"/>
    <w:rsid w:val="001B165C"/>
    <w:rsid w:val="001B16BA"/>
    <w:rsid w:val="001B16C4"/>
    <w:rsid w:val="001B170D"/>
    <w:rsid w:val="001B173F"/>
    <w:rsid w:val="001B1770"/>
    <w:rsid w:val="001B17BC"/>
    <w:rsid w:val="001B17C3"/>
    <w:rsid w:val="001B17DD"/>
    <w:rsid w:val="001B1829"/>
    <w:rsid w:val="001B182E"/>
    <w:rsid w:val="001B1831"/>
    <w:rsid w:val="001B1832"/>
    <w:rsid w:val="001B1945"/>
    <w:rsid w:val="001B198E"/>
    <w:rsid w:val="001B1995"/>
    <w:rsid w:val="001B19AF"/>
    <w:rsid w:val="001B19E0"/>
    <w:rsid w:val="001B19EA"/>
    <w:rsid w:val="001B1A12"/>
    <w:rsid w:val="001B1A3D"/>
    <w:rsid w:val="001B1AAA"/>
    <w:rsid w:val="001B1AD5"/>
    <w:rsid w:val="001B1B12"/>
    <w:rsid w:val="001B1B1B"/>
    <w:rsid w:val="001B1B39"/>
    <w:rsid w:val="001B1B63"/>
    <w:rsid w:val="001B1C0C"/>
    <w:rsid w:val="001B1C37"/>
    <w:rsid w:val="001B1C3B"/>
    <w:rsid w:val="001B1C51"/>
    <w:rsid w:val="001B1D01"/>
    <w:rsid w:val="001B1D06"/>
    <w:rsid w:val="001B1D69"/>
    <w:rsid w:val="001B1E04"/>
    <w:rsid w:val="001B1E16"/>
    <w:rsid w:val="001B1E21"/>
    <w:rsid w:val="001B1E5D"/>
    <w:rsid w:val="001B1EDE"/>
    <w:rsid w:val="001B1EE0"/>
    <w:rsid w:val="001B1EF9"/>
    <w:rsid w:val="001B1F40"/>
    <w:rsid w:val="001B1FFA"/>
    <w:rsid w:val="001B200D"/>
    <w:rsid w:val="001B2044"/>
    <w:rsid w:val="001B209E"/>
    <w:rsid w:val="001B20BB"/>
    <w:rsid w:val="001B2109"/>
    <w:rsid w:val="001B2113"/>
    <w:rsid w:val="001B2157"/>
    <w:rsid w:val="001B21D0"/>
    <w:rsid w:val="001B21F7"/>
    <w:rsid w:val="001B220A"/>
    <w:rsid w:val="001B2213"/>
    <w:rsid w:val="001B221F"/>
    <w:rsid w:val="001B2289"/>
    <w:rsid w:val="001B22D4"/>
    <w:rsid w:val="001B22F7"/>
    <w:rsid w:val="001B2302"/>
    <w:rsid w:val="001B233D"/>
    <w:rsid w:val="001B2350"/>
    <w:rsid w:val="001B235A"/>
    <w:rsid w:val="001B23C5"/>
    <w:rsid w:val="001B23C7"/>
    <w:rsid w:val="001B23D3"/>
    <w:rsid w:val="001B23D5"/>
    <w:rsid w:val="001B2499"/>
    <w:rsid w:val="001B24A2"/>
    <w:rsid w:val="001B24C7"/>
    <w:rsid w:val="001B24E5"/>
    <w:rsid w:val="001B24F2"/>
    <w:rsid w:val="001B2528"/>
    <w:rsid w:val="001B256A"/>
    <w:rsid w:val="001B2584"/>
    <w:rsid w:val="001B25AF"/>
    <w:rsid w:val="001B25E0"/>
    <w:rsid w:val="001B25EB"/>
    <w:rsid w:val="001B262A"/>
    <w:rsid w:val="001B2668"/>
    <w:rsid w:val="001B2671"/>
    <w:rsid w:val="001B26E2"/>
    <w:rsid w:val="001B26E4"/>
    <w:rsid w:val="001B26F2"/>
    <w:rsid w:val="001B272E"/>
    <w:rsid w:val="001B2739"/>
    <w:rsid w:val="001B2760"/>
    <w:rsid w:val="001B27F0"/>
    <w:rsid w:val="001B280B"/>
    <w:rsid w:val="001B282C"/>
    <w:rsid w:val="001B289F"/>
    <w:rsid w:val="001B28F9"/>
    <w:rsid w:val="001B2960"/>
    <w:rsid w:val="001B29BE"/>
    <w:rsid w:val="001B2A2E"/>
    <w:rsid w:val="001B2A60"/>
    <w:rsid w:val="001B2AE0"/>
    <w:rsid w:val="001B2AF3"/>
    <w:rsid w:val="001B2B31"/>
    <w:rsid w:val="001B2B5A"/>
    <w:rsid w:val="001B2B6F"/>
    <w:rsid w:val="001B2BB9"/>
    <w:rsid w:val="001B2C3A"/>
    <w:rsid w:val="001B2C6D"/>
    <w:rsid w:val="001B2C8B"/>
    <w:rsid w:val="001B2CA6"/>
    <w:rsid w:val="001B2CCC"/>
    <w:rsid w:val="001B2CE4"/>
    <w:rsid w:val="001B2CF0"/>
    <w:rsid w:val="001B2D26"/>
    <w:rsid w:val="001B2D54"/>
    <w:rsid w:val="001B2D78"/>
    <w:rsid w:val="001B2D7E"/>
    <w:rsid w:val="001B2D90"/>
    <w:rsid w:val="001B2D99"/>
    <w:rsid w:val="001B2DBB"/>
    <w:rsid w:val="001B2E12"/>
    <w:rsid w:val="001B2E4F"/>
    <w:rsid w:val="001B2F24"/>
    <w:rsid w:val="001B2F36"/>
    <w:rsid w:val="001B2FCD"/>
    <w:rsid w:val="001B2FD8"/>
    <w:rsid w:val="001B3005"/>
    <w:rsid w:val="001B3046"/>
    <w:rsid w:val="001B3063"/>
    <w:rsid w:val="001B307C"/>
    <w:rsid w:val="001B30B3"/>
    <w:rsid w:val="001B30BF"/>
    <w:rsid w:val="001B30DA"/>
    <w:rsid w:val="001B30EC"/>
    <w:rsid w:val="001B3115"/>
    <w:rsid w:val="001B3139"/>
    <w:rsid w:val="001B3168"/>
    <w:rsid w:val="001B318D"/>
    <w:rsid w:val="001B318E"/>
    <w:rsid w:val="001B3243"/>
    <w:rsid w:val="001B3270"/>
    <w:rsid w:val="001B3272"/>
    <w:rsid w:val="001B3315"/>
    <w:rsid w:val="001B3322"/>
    <w:rsid w:val="001B338F"/>
    <w:rsid w:val="001B33D7"/>
    <w:rsid w:val="001B33E3"/>
    <w:rsid w:val="001B3407"/>
    <w:rsid w:val="001B3420"/>
    <w:rsid w:val="001B3436"/>
    <w:rsid w:val="001B3454"/>
    <w:rsid w:val="001B349B"/>
    <w:rsid w:val="001B34E0"/>
    <w:rsid w:val="001B3522"/>
    <w:rsid w:val="001B352B"/>
    <w:rsid w:val="001B354F"/>
    <w:rsid w:val="001B359A"/>
    <w:rsid w:val="001B35A2"/>
    <w:rsid w:val="001B35F1"/>
    <w:rsid w:val="001B35F2"/>
    <w:rsid w:val="001B3616"/>
    <w:rsid w:val="001B3676"/>
    <w:rsid w:val="001B36EF"/>
    <w:rsid w:val="001B36F9"/>
    <w:rsid w:val="001B3717"/>
    <w:rsid w:val="001B3762"/>
    <w:rsid w:val="001B3777"/>
    <w:rsid w:val="001B3866"/>
    <w:rsid w:val="001B3867"/>
    <w:rsid w:val="001B387B"/>
    <w:rsid w:val="001B38BF"/>
    <w:rsid w:val="001B38D1"/>
    <w:rsid w:val="001B38D7"/>
    <w:rsid w:val="001B38E8"/>
    <w:rsid w:val="001B38F9"/>
    <w:rsid w:val="001B393B"/>
    <w:rsid w:val="001B394B"/>
    <w:rsid w:val="001B3955"/>
    <w:rsid w:val="001B39C2"/>
    <w:rsid w:val="001B39D3"/>
    <w:rsid w:val="001B3A34"/>
    <w:rsid w:val="001B3B35"/>
    <w:rsid w:val="001B3BA1"/>
    <w:rsid w:val="001B3BA9"/>
    <w:rsid w:val="001B3BD9"/>
    <w:rsid w:val="001B3BDF"/>
    <w:rsid w:val="001B3C2B"/>
    <w:rsid w:val="001B3C3D"/>
    <w:rsid w:val="001B3C4F"/>
    <w:rsid w:val="001B3C52"/>
    <w:rsid w:val="001B3C73"/>
    <w:rsid w:val="001B3C7B"/>
    <w:rsid w:val="001B3D88"/>
    <w:rsid w:val="001B3D8E"/>
    <w:rsid w:val="001B3D90"/>
    <w:rsid w:val="001B3D9A"/>
    <w:rsid w:val="001B3DC1"/>
    <w:rsid w:val="001B3DD9"/>
    <w:rsid w:val="001B3DE3"/>
    <w:rsid w:val="001B3DE8"/>
    <w:rsid w:val="001B3DF7"/>
    <w:rsid w:val="001B3E7B"/>
    <w:rsid w:val="001B3E98"/>
    <w:rsid w:val="001B3EDC"/>
    <w:rsid w:val="001B3F03"/>
    <w:rsid w:val="001B3F1A"/>
    <w:rsid w:val="001B3F24"/>
    <w:rsid w:val="001B3F51"/>
    <w:rsid w:val="001B3F5E"/>
    <w:rsid w:val="001B3FDF"/>
    <w:rsid w:val="001B3FF5"/>
    <w:rsid w:val="001B4015"/>
    <w:rsid w:val="001B402B"/>
    <w:rsid w:val="001B4074"/>
    <w:rsid w:val="001B4078"/>
    <w:rsid w:val="001B4088"/>
    <w:rsid w:val="001B4098"/>
    <w:rsid w:val="001B40FE"/>
    <w:rsid w:val="001B40FF"/>
    <w:rsid w:val="001B417C"/>
    <w:rsid w:val="001B41C1"/>
    <w:rsid w:val="001B4244"/>
    <w:rsid w:val="001B4248"/>
    <w:rsid w:val="001B4257"/>
    <w:rsid w:val="001B4259"/>
    <w:rsid w:val="001B4273"/>
    <w:rsid w:val="001B42F2"/>
    <w:rsid w:val="001B43BB"/>
    <w:rsid w:val="001B43D7"/>
    <w:rsid w:val="001B4411"/>
    <w:rsid w:val="001B444B"/>
    <w:rsid w:val="001B44BD"/>
    <w:rsid w:val="001B44E2"/>
    <w:rsid w:val="001B4514"/>
    <w:rsid w:val="001B4546"/>
    <w:rsid w:val="001B455A"/>
    <w:rsid w:val="001B45AD"/>
    <w:rsid w:val="001B45D5"/>
    <w:rsid w:val="001B4643"/>
    <w:rsid w:val="001B464D"/>
    <w:rsid w:val="001B466D"/>
    <w:rsid w:val="001B46E9"/>
    <w:rsid w:val="001B470F"/>
    <w:rsid w:val="001B477B"/>
    <w:rsid w:val="001B47C0"/>
    <w:rsid w:val="001B47EC"/>
    <w:rsid w:val="001B4859"/>
    <w:rsid w:val="001B4875"/>
    <w:rsid w:val="001B4897"/>
    <w:rsid w:val="001B48A0"/>
    <w:rsid w:val="001B49CD"/>
    <w:rsid w:val="001B49D4"/>
    <w:rsid w:val="001B49DF"/>
    <w:rsid w:val="001B49FF"/>
    <w:rsid w:val="001B4A64"/>
    <w:rsid w:val="001B4A6C"/>
    <w:rsid w:val="001B4AFB"/>
    <w:rsid w:val="001B4B0D"/>
    <w:rsid w:val="001B4B11"/>
    <w:rsid w:val="001B4B4C"/>
    <w:rsid w:val="001B4BB2"/>
    <w:rsid w:val="001B4BC9"/>
    <w:rsid w:val="001B4BE0"/>
    <w:rsid w:val="001B4C1E"/>
    <w:rsid w:val="001B4C71"/>
    <w:rsid w:val="001B4C9A"/>
    <w:rsid w:val="001B4CE1"/>
    <w:rsid w:val="001B4D28"/>
    <w:rsid w:val="001B4D29"/>
    <w:rsid w:val="001B4D66"/>
    <w:rsid w:val="001B4DA1"/>
    <w:rsid w:val="001B4DEB"/>
    <w:rsid w:val="001B4E0F"/>
    <w:rsid w:val="001B4E14"/>
    <w:rsid w:val="001B4E3B"/>
    <w:rsid w:val="001B4E3C"/>
    <w:rsid w:val="001B4E64"/>
    <w:rsid w:val="001B4ECC"/>
    <w:rsid w:val="001B4F2A"/>
    <w:rsid w:val="001B4F30"/>
    <w:rsid w:val="001B4FF4"/>
    <w:rsid w:val="001B4FFD"/>
    <w:rsid w:val="001B5020"/>
    <w:rsid w:val="001B505C"/>
    <w:rsid w:val="001B5070"/>
    <w:rsid w:val="001B5079"/>
    <w:rsid w:val="001B5092"/>
    <w:rsid w:val="001B50F6"/>
    <w:rsid w:val="001B519D"/>
    <w:rsid w:val="001B51C3"/>
    <w:rsid w:val="001B5201"/>
    <w:rsid w:val="001B523E"/>
    <w:rsid w:val="001B5276"/>
    <w:rsid w:val="001B5280"/>
    <w:rsid w:val="001B5282"/>
    <w:rsid w:val="001B534D"/>
    <w:rsid w:val="001B538D"/>
    <w:rsid w:val="001B539E"/>
    <w:rsid w:val="001B53BA"/>
    <w:rsid w:val="001B53C5"/>
    <w:rsid w:val="001B541C"/>
    <w:rsid w:val="001B5425"/>
    <w:rsid w:val="001B545A"/>
    <w:rsid w:val="001B549B"/>
    <w:rsid w:val="001B54BE"/>
    <w:rsid w:val="001B5534"/>
    <w:rsid w:val="001B55D7"/>
    <w:rsid w:val="001B5655"/>
    <w:rsid w:val="001B5679"/>
    <w:rsid w:val="001B568B"/>
    <w:rsid w:val="001B5691"/>
    <w:rsid w:val="001B56DB"/>
    <w:rsid w:val="001B56F8"/>
    <w:rsid w:val="001B5706"/>
    <w:rsid w:val="001B5779"/>
    <w:rsid w:val="001B57A6"/>
    <w:rsid w:val="001B57AF"/>
    <w:rsid w:val="001B57BE"/>
    <w:rsid w:val="001B5803"/>
    <w:rsid w:val="001B5842"/>
    <w:rsid w:val="001B584B"/>
    <w:rsid w:val="001B587F"/>
    <w:rsid w:val="001B5907"/>
    <w:rsid w:val="001B5917"/>
    <w:rsid w:val="001B591C"/>
    <w:rsid w:val="001B593D"/>
    <w:rsid w:val="001B5968"/>
    <w:rsid w:val="001B597B"/>
    <w:rsid w:val="001B5997"/>
    <w:rsid w:val="001B599D"/>
    <w:rsid w:val="001B59E3"/>
    <w:rsid w:val="001B59E5"/>
    <w:rsid w:val="001B5A27"/>
    <w:rsid w:val="001B5A7D"/>
    <w:rsid w:val="001B5AA2"/>
    <w:rsid w:val="001B5B04"/>
    <w:rsid w:val="001B5B63"/>
    <w:rsid w:val="001B5BDC"/>
    <w:rsid w:val="001B5BFA"/>
    <w:rsid w:val="001B5C03"/>
    <w:rsid w:val="001B5C57"/>
    <w:rsid w:val="001B5D59"/>
    <w:rsid w:val="001B5DE2"/>
    <w:rsid w:val="001B5DEF"/>
    <w:rsid w:val="001B5E4F"/>
    <w:rsid w:val="001B5E9C"/>
    <w:rsid w:val="001B5EAE"/>
    <w:rsid w:val="001B5EC5"/>
    <w:rsid w:val="001B5ED1"/>
    <w:rsid w:val="001B5F1F"/>
    <w:rsid w:val="001B5F67"/>
    <w:rsid w:val="001B5FC4"/>
    <w:rsid w:val="001B601C"/>
    <w:rsid w:val="001B6033"/>
    <w:rsid w:val="001B6053"/>
    <w:rsid w:val="001B6082"/>
    <w:rsid w:val="001B60DB"/>
    <w:rsid w:val="001B60DF"/>
    <w:rsid w:val="001B612A"/>
    <w:rsid w:val="001B6146"/>
    <w:rsid w:val="001B615A"/>
    <w:rsid w:val="001B615D"/>
    <w:rsid w:val="001B61E8"/>
    <w:rsid w:val="001B61F0"/>
    <w:rsid w:val="001B620B"/>
    <w:rsid w:val="001B6212"/>
    <w:rsid w:val="001B6213"/>
    <w:rsid w:val="001B623D"/>
    <w:rsid w:val="001B624C"/>
    <w:rsid w:val="001B624D"/>
    <w:rsid w:val="001B6260"/>
    <w:rsid w:val="001B62C0"/>
    <w:rsid w:val="001B62C5"/>
    <w:rsid w:val="001B6341"/>
    <w:rsid w:val="001B6358"/>
    <w:rsid w:val="001B63A8"/>
    <w:rsid w:val="001B63C6"/>
    <w:rsid w:val="001B6425"/>
    <w:rsid w:val="001B64B8"/>
    <w:rsid w:val="001B6521"/>
    <w:rsid w:val="001B65D2"/>
    <w:rsid w:val="001B65DF"/>
    <w:rsid w:val="001B6675"/>
    <w:rsid w:val="001B667C"/>
    <w:rsid w:val="001B66A1"/>
    <w:rsid w:val="001B66A9"/>
    <w:rsid w:val="001B66B9"/>
    <w:rsid w:val="001B66D2"/>
    <w:rsid w:val="001B670A"/>
    <w:rsid w:val="001B672B"/>
    <w:rsid w:val="001B677A"/>
    <w:rsid w:val="001B67C7"/>
    <w:rsid w:val="001B67F9"/>
    <w:rsid w:val="001B680F"/>
    <w:rsid w:val="001B6882"/>
    <w:rsid w:val="001B68B4"/>
    <w:rsid w:val="001B690A"/>
    <w:rsid w:val="001B6922"/>
    <w:rsid w:val="001B6948"/>
    <w:rsid w:val="001B6994"/>
    <w:rsid w:val="001B69C5"/>
    <w:rsid w:val="001B6A36"/>
    <w:rsid w:val="001B6A39"/>
    <w:rsid w:val="001B6AAE"/>
    <w:rsid w:val="001B6B49"/>
    <w:rsid w:val="001B6B4B"/>
    <w:rsid w:val="001B6B7B"/>
    <w:rsid w:val="001B6BAC"/>
    <w:rsid w:val="001B6C98"/>
    <w:rsid w:val="001B6CD4"/>
    <w:rsid w:val="001B6CE2"/>
    <w:rsid w:val="001B6D6B"/>
    <w:rsid w:val="001B6DD0"/>
    <w:rsid w:val="001B6DE2"/>
    <w:rsid w:val="001B6E03"/>
    <w:rsid w:val="001B6E13"/>
    <w:rsid w:val="001B6E3C"/>
    <w:rsid w:val="001B6E79"/>
    <w:rsid w:val="001B6EF1"/>
    <w:rsid w:val="001B6EF3"/>
    <w:rsid w:val="001B6F4D"/>
    <w:rsid w:val="001B6FB2"/>
    <w:rsid w:val="001B7028"/>
    <w:rsid w:val="001B7091"/>
    <w:rsid w:val="001B709D"/>
    <w:rsid w:val="001B70A6"/>
    <w:rsid w:val="001B7155"/>
    <w:rsid w:val="001B716C"/>
    <w:rsid w:val="001B7183"/>
    <w:rsid w:val="001B7195"/>
    <w:rsid w:val="001B71B4"/>
    <w:rsid w:val="001B71DA"/>
    <w:rsid w:val="001B7263"/>
    <w:rsid w:val="001B7292"/>
    <w:rsid w:val="001B72FC"/>
    <w:rsid w:val="001B736D"/>
    <w:rsid w:val="001B738F"/>
    <w:rsid w:val="001B739D"/>
    <w:rsid w:val="001B73B1"/>
    <w:rsid w:val="001B73C5"/>
    <w:rsid w:val="001B73ED"/>
    <w:rsid w:val="001B740B"/>
    <w:rsid w:val="001B741D"/>
    <w:rsid w:val="001B7462"/>
    <w:rsid w:val="001B7481"/>
    <w:rsid w:val="001B748B"/>
    <w:rsid w:val="001B74B3"/>
    <w:rsid w:val="001B74B4"/>
    <w:rsid w:val="001B755C"/>
    <w:rsid w:val="001B759C"/>
    <w:rsid w:val="001B75BC"/>
    <w:rsid w:val="001B7632"/>
    <w:rsid w:val="001B7668"/>
    <w:rsid w:val="001B768D"/>
    <w:rsid w:val="001B76E2"/>
    <w:rsid w:val="001B76F8"/>
    <w:rsid w:val="001B7730"/>
    <w:rsid w:val="001B7752"/>
    <w:rsid w:val="001B7779"/>
    <w:rsid w:val="001B77A7"/>
    <w:rsid w:val="001B77C6"/>
    <w:rsid w:val="001B77ED"/>
    <w:rsid w:val="001B7831"/>
    <w:rsid w:val="001B7836"/>
    <w:rsid w:val="001B7841"/>
    <w:rsid w:val="001B7873"/>
    <w:rsid w:val="001B793F"/>
    <w:rsid w:val="001B7956"/>
    <w:rsid w:val="001B7986"/>
    <w:rsid w:val="001B79E5"/>
    <w:rsid w:val="001B7A51"/>
    <w:rsid w:val="001B7AD5"/>
    <w:rsid w:val="001B7AFA"/>
    <w:rsid w:val="001B7B49"/>
    <w:rsid w:val="001B7B60"/>
    <w:rsid w:val="001B7B73"/>
    <w:rsid w:val="001B7BE4"/>
    <w:rsid w:val="001B7BE7"/>
    <w:rsid w:val="001B7BEE"/>
    <w:rsid w:val="001B7C15"/>
    <w:rsid w:val="001B7C37"/>
    <w:rsid w:val="001B7C3A"/>
    <w:rsid w:val="001B7C8E"/>
    <w:rsid w:val="001B7CA8"/>
    <w:rsid w:val="001B7CCD"/>
    <w:rsid w:val="001B7CEA"/>
    <w:rsid w:val="001B7D12"/>
    <w:rsid w:val="001B7D66"/>
    <w:rsid w:val="001B7D7F"/>
    <w:rsid w:val="001B7DE1"/>
    <w:rsid w:val="001B7E26"/>
    <w:rsid w:val="001B7E38"/>
    <w:rsid w:val="001B7EB0"/>
    <w:rsid w:val="001B7F52"/>
    <w:rsid w:val="001B7F67"/>
    <w:rsid w:val="001B7F98"/>
    <w:rsid w:val="001B7FD0"/>
    <w:rsid w:val="001C001F"/>
    <w:rsid w:val="001C002C"/>
    <w:rsid w:val="001C0033"/>
    <w:rsid w:val="001C0090"/>
    <w:rsid w:val="001C00BA"/>
    <w:rsid w:val="001C0118"/>
    <w:rsid w:val="001C011C"/>
    <w:rsid w:val="001C013E"/>
    <w:rsid w:val="001C0175"/>
    <w:rsid w:val="001C01D4"/>
    <w:rsid w:val="001C01DF"/>
    <w:rsid w:val="001C0204"/>
    <w:rsid w:val="001C0267"/>
    <w:rsid w:val="001C02B2"/>
    <w:rsid w:val="001C02D6"/>
    <w:rsid w:val="001C031F"/>
    <w:rsid w:val="001C036E"/>
    <w:rsid w:val="001C03A2"/>
    <w:rsid w:val="001C03C7"/>
    <w:rsid w:val="001C03E2"/>
    <w:rsid w:val="001C03EC"/>
    <w:rsid w:val="001C03FE"/>
    <w:rsid w:val="001C0493"/>
    <w:rsid w:val="001C04C2"/>
    <w:rsid w:val="001C04C5"/>
    <w:rsid w:val="001C0507"/>
    <w:rsid w:val="001C050C"/>
    <w:rsid w:val="001C0519"/>
    <w:rsid w:val="001C0557"/>
    <w:rsid w:val="001C058E"/>
    <w:rsid w:val="001C05E9"/>
    <w:rsid w:val="001C0630"/>
    <w:rsid w:val="001C0651"/>
    <w:rsid w:val="001C0668"/>
    <w:rsid w:val="001C0691"/>
    <w:rsid w:val="001C06B0"/>
    <w:rsid w:val="001C06D7"/>
    <w:rsid w:val="001C06E6"/>
    <w:rsid w:val="001C0727"/>
    <w:rsid w:val="001C073A"/>
    <w:rsid w:val="001C073E"/>
    <w:rsid w:val="001C074F"/>
    <w:rsid w:val="001C0771"/>
    <w:rsid w:val="001C0823"/>
    <w:rsid w:val="001C085F"/>
    <w:rsid w:val="001C0872"/>
    <w:rsid w:val="001C0884"/>
    <w:rsid w:val="001C0895"/>
    <w:rsid w:val="001C08E3"/>
    <w:rsid w:val="001C08F0"/>
    <w:rsid w:val="001C08F8"/>
    <w:rsid w:val="001C095F"/>
    <w:rsid w:val="001C09BA"/>
    <w:rsid w:val="001C09E4"/>
    <w:rsid w:val="001C09FE"/>
    <w:rsid w:val="001C0A98"/>
    <w:rsid w:val="001C0AA5"/>
    <w:rsid w:val="001C0AE2"/>
    <w:rsid w:val="001C0B1F"/>
    <w:rsid w:val="001C0B4D"/>
    <w:rsid w:val="001C0B5C"/>
    <w:rsid w:val="001C0BA6"/>
    <w:rsid w:val="001C0BC8"/>
    <w:rsid w:val="001C0BF2"/>
    <w:rsid w:val="001C0BF8"/>
    <w:rsid w:val="001C0C1B"/>
    <w:rsid w:val="001C0C40"/>
    <w:rsid w:val="001C0C77"/>
    <w:rsid w:val="001C0C82"/>
    <w:rsid w:val="001C0CAB"/>
    <w:rsid w:val="001C0D3E"/>
    <w:rsid w:val="001C0D44"/>
    <w:rsid w:val="001C0D60"/>
    <w:rsid w:val="001C0DB0"/>
    <w:rsid w:val="001C0E19"/>
    <w:rsid w:val="001C0E5A"/>
    <w:rsid w:val="001C0ED4"/>
    <w:rsid w:val="001C0EE2"/>
    <w:rsid w:val="001C0F2C"/>
    <w:rsid w:val="001C0F56"/>
    <w:rsid w:val="001C0F58"/>
    <w:rsid w:val="001C0F72"/>
    <w:rsid w:val="001C0FC0"/>
    <w:rsid w:val="001C1054"/>
    <w:rsid w:val="001C1061"/>
    <w:rsid w:val="001C1079"/>
    <w:rsid w:val="001C10B2"/>
    <w:rsid w:val="001C111F"/>
    <w:rsid w:val="001C114F"/>
    <w:rsid w:val="001C118A"/>
    <w:rsid w:val="001C119D"/>
    <w:rsid w:val="001C11BD"/>
    <w:rsid w:val="001C11F3"/>
    <w:rsid w:val="001C1226"/>
    <w:rsid w:val="001C12D6"/>
    <w:rsid w:val="001C132C"/>
    <w:rsid w:val="001C137B"/>
    <w:rsid w:val="001C13C8"/>
    <w:rsid w:val="001C13D4"/>
    <w:rsid w:val="001C140E"/>
    <w:rsid w:val="001C1435"/>
    <w:rsid w:val="001C14A9"/>
    <w:rsid w:val="001C14AB"/>
    <w:rsid w:val="001C15B2"/>
    <w:rsid w:val="001C15F6"/>
    <w:rsid w:val="001C1604"/>
    <w:rsid w:val="001C16D1"/>
    <w:rsid w:val="001C16FF"/>
    <w:rsid w:val="001C1718"/>
    <w:rsid w:val="001C1723"/>
    <w:rsid w:val="001C1724"/>
    <w:rsid w:val="001C1756"/>
    <w:rsid w:val="001C1768"/>
    <w:rsid w:val="001C1779"/>
    <w:rsid w:val="001C17EA"/>
    <w:rsid w:val="001C17FD"/>
    <w:rsid w:val="001C1808"/>
    <w:rsid w:val="001C1850"/>
    <w:rsid w:val="001C18A7"/>
    <w:rsid w:val="001C1906"/>
    <w:rsid w:val="001C1948"/>
    <w:rsid w:val="001C1958"/>
    <w:rsid w:val="001C1975"/>
    <w:rsid w:val="001C1987"/>
    <w:rsid w:val="001C1A44"/>
    <w:rsid w:val="001C1A4C"/>
    <w:rsid w:val="001C1AB4"/>
    <w:rsid w:val="001C1B4E"/>
    <w:rsid w:val="001C1B7E"/>
    <w:rsid w:val="001C1BC8"/>
    <w:rsid w:val="001C1BE9"/>
    <w:rsid w:val="001C1C0D"/>
    <w:rsid w:val="001C1C4D"/>
    <w:rsid w:val="001C1C61"/>
    <w:rsid w:val="001C1C89"/>
    <w:rsid w:val="001C1CB9"/>
    <w:rsid w:val="001C1D29"/>
    <w:rsid w:val="001C1D4C"/>
    <w:rsid w:val="001C1D4F"/>
    <w:rsid w:val="001C1DBE"/>
    <w:rsid w:val="001C1E41"/>
    <w:rsid w:val="001C1E93"/>
    <w:rsid w:val="001C1ECC"/>
    <w:rsid w:val="001C1F02"/>
    <w:rsid w:val="001C1F17"/>
    <w:rsid w:val="001C1F41"/>
    <w:rsid w:val="001C1F42"/>
    <w:rsid w:val="001C1F88"/>
    <w:rsid w:val="001C1FFE"/>
    <w:rsid w:val="001C209D"/>
    <w:rsid w:val="001C20A2"/>
    <w:rsid w:val="001C20D0"/>
    <w:rsid w:val="001C20F3"/>
    <w:rsid w:val="001C2194"/>
    <w:rsid w:val="001C2214"/>
    <w:rsid w:val="001C22AD"/>
    <w:rsid w:val="001C22C6"/>
    <w:rsid w:val="001C22D6"/>
    <w:rsid w:val="001C22FF"/>
    <w:rsid w:val="001C2389"/>
    <w:rsid w:val="001C2390"/>
    <w:rsid w:val="001C239A"/>
    <w:rsid w:val="001C2403"/>
    <w:rsid w:val="001C24B2"/>
    <w:rsid w:val="001C24BB"/>
    <w:rsid w:val="001C24C8"/>
    <w:rsid w:val="001C2503"/>
    <w:rsid w:val="001C250A"/>
    <w:rsid w:val="001C2559"/>
    <w:rsid w:val="001C2590"/>
    <w:rsid w:val="001C25A4"/>
    <w:rsid w:val="001C25E2"/>
    <w:rsid w:val="001C25F0"/>
    <w:rsid w:val="001C2608"/>
    <w:rsid w:val="001C264E"/>
    <w:rsid w:val="001C2659"/>
    <w:rsid w:val="001C2670"/>
    <w:rsid w:val="001C2682"/>
    <w:rsid w:val="001C26C0"/>
    <w:rsid w:val="001C26F4"/>
    <w:rsid w:val="001C26FE"/>
    <w:rsid w:val="001C2773"/>
    <w:rsid w:val="001C27EF"/>
    <w:rsid w:val="001C2802"/>
    <w:rsid w:val="001C2850"/>
    <w:rsid w:val="001C286E"/>
    <w:rsid w:val="001C288A"/>
    <w:rsid w:val="001C28FE"/>
    <w:rsid w:val="001C2926"/>
    <w:rsid w:val="001C292B"/>
    <w:rsid w:val="001C2931"/>
    <w:rsid w:val="001C295A"/>
    <w:rsid w:val="001C297D"/>
    <w:rsid w:val="001C29A2"/>
    <w:rsid w:val="001C2A09"/>
    <w:rsid w:val="001C2A2D"/>
    <w:rsid w:val="001C2A32"/>
    <w:rsid w:val="001C2A8C"/>
    <w:rsid w:val="001C2A96"/>
    <w:rsid w:val="001C2ABB"/>
    <w:rsid w:val="001C2B05"/>
    <w:rsid w:val="001C2B13"/>
    <w:rsid w:val="001C2B6E"/>
    <w:rsid w:val="001C2BA0"/>
    <w:rsid w:val="001C2BB1"/>
    <w:rsid w:val="001C2BEB"/>
    <w:rsid w:val="001C2C0C"/>
    <w:rsid w:val="001C2C0D"/>
    <w:rsid w:val="001C2C10"/>
    <w:rsid w:val="001C2C3C"/>
    <w:rsid w:val="001C2CAD"/>
    <w:rsid w:val="001C2CE3"/>
    <w:rsid w:val="001C2D11"/>
    <w:rsid w:val="001C2D2D"/>
    <w:rsid w:val="001C2D3A"/>
    <w:rsid w:val="001C2D4D"/>
    <w:rsid w:val="001C2D6E"/>
    <w:rsid w:val="001C2D84"/>
    <w:rsid w:val="001C2DA8"/>
    <w:rsid w:val="001C2DC0"/>
    <w:rsid w:val="001C2EA3"/>
    <w:rsid w:val="001C2EBD"/>
    <w:rsid w:val="001C2EC7"/>
    <w:rsid w:val="001C2EF8"/>
    <w:rsid w:val="001C2F08"/>
    <w:rsid w:val="001C2F3A"/>
    <w:rsid w:val="001C2F6C"/>
    <w:rsid w:val="001C2F83"/>
    <w:rsid w:val="001C2FC4"/>
    <w:rsid w:val="001C3001"/>
    <w:rsid w:val="001C301D"/>
    <w:rsid w:val="001C3043"/>
    <w:rsid w:val="001C30A7"/>
    <w:rsid w:val="001C30F6"/>
    <w:rsid w:val="001C30FA"/>
    <w:rsid w:val="001C3148"/>
    <w:rsid w:val="001C316C"/>
    <w:rsid w:val="001C3175"/>
    <w:rsid w:val="001C31DC"/>
    <w:rsid w:val="001C31F4"/>
    <w:rsid w:val="001C31F5"/>
    <w:rsid w:val="001C3204"/>
    <w:rsid w:val="001C321C"/>
    <w:rsid w:val="001C323A"/>
    <w:rsid w:val="001C32BA"/>
    <w:rsid w:val="001C32E9"/>
    <w:rsid w:val="001C3301"/>
    <w:rsid w:val="001C334D"/>
    <w:rsid w:val="001C3374"/>
    <w:rsid w:val="001C33A0"/>
    <w:rsid w:val="001C345C"/>
    <w:rsid w:val="001C346F"/>
    <w:rsid w:val="001C34C2"/>
    <w:rsid w:val="001C34EE"/>
    <w:rsid w:val="001C3516"/>
    <w:rsid w:val="001C3546"/>
    <w:rsid w:val="001C35BF"/>
    <w:rsid w:val="001C360D"/>
    <w:rsid w:val="001C3637"/>
    <w:rsid w:val="001C3658"/>
    <w:rsid w:val="001C36EB"/>
    <w:rsid w:val="001C3700"/>
    <w:rsid w:val="001C3703"/>
    <w:rsid w:val="001C3757"/>
    <w:rsid w:val="001C3785"/>
    <w:rsid w:val="001C378D"/>
    <w:rsid w:val="001C37B0"/>
    <w:rsid w:val="001C37D7"/>
    <w:rsid w:val="001C3843"/>
    <w:rsid w:val="001C385A"/>
    <w:rsid w:val="001C3886"/>
    <w:rsid w:val="001C3889"/>
    <w:rsid w:val="001C3899"/>
    <w:rsid w:val="001C389F"/>
    <w:rsid w:val="001C3953"/>
    <w:rsid w:val="001C397A"/>
    <w:rsid w:val="001C39B4"/>
    <w:rsid w:val="001C39BD"/>
    <w:rsid w:val="001C39EA"/>
    <w:rsid w:val="001C39F3"/>
    <w:rsid w:val="001C3A35"/>
    <w:rsid w:val="001C3A4A"/>
    <w:rsid w:val="001C3A61"/>
    <w:rsid w:val="001C3A66"/>
    <w:rsid w:val="001C3A6F"/>
    <w:rsid w:val="001C3A9D"/>
    <w:rsid w:val="001C3AC9"/>
    <w:rsid w:val="001C3ACA"/>
    <w:rsid w:val="001C3ADE"/>
    <w:rsid w:val="001C3B1C"/>
    <w:rsid w:val="001C3B79"/>
    <w:rsid w:val="001C3BA1"/>
    <w:rsid w:val="001C3BAE"/>
    <w:rsid w:val="001C3BDE"/>
    <w:rsid w:val="001C3BF3"/>
    <w:rsid w:val="001C3C8B"/>
    <w:rsid w:val="001C3C8C"/>
    <w:rsid w:val="001C3CC8"/>
    <w:rsid w:val="001C3CDF"/>
    <w:rsid w:val="001C3CFA"/>
    <w:rsid w:val="001C3D3B"/>
    <w:rsid w:val="001C3DB8"/>
    <w:rsid w:val="001C3DD7"/>
    <w:rsid w:val="001C3DDF"/>
    <w:rsid w:val="001C3DE3"/>
    <w:rsid w:val="001C3E24"/>
    <w:rsid w:val="001C3E2A"/>
    <w:rsid w:val="001C3EE3"/>
    <w:rsid w:val="001C3EE6"/>
    <w:rsid w:val="001C3F34"/>
    <w:rsid w:val="001C3F4E"/>
    <w:rsid w:val="001C3F98"/>
    <w:rsid w:val="001C3FCD"/>
    <w:rsid w:val="001C3FD4"/>
    <w:rsid w:val="001C3FD6"/>
    <w:rsid w:val="001C4010"/>
    <w:rsid w:val="001C4099"/>
    <w:rsid w:val="001C4106"/>
    <w:rsid w:val="001C41A7"/>
    <w:rsid w:val="001C41BB"/>
    <w:rsid w:val="001C4202"/>
    <w:rsid w:val="001C4230"/>
    <w:rsid w:val="001C4236"/>
    <w:rsid w:val="001C42BD"/>
    <w:rsid w:val="001C4301"/>
    <w:rsid w:val="001C431C"/>
    <w:rsid w:val="001C4339"/>
    <w:rsid w:val="001C43B8"/>
    <w:rsid w:val="001C441F"/>
    <w:rsid w:val="001C4426"/>
    <w:rsid w:val="001C4454"/>
    <w:rsid w:val="001C445C"/>
    <w:rsid w:val="001C446B"/>
    <w:rsid w:val="001C4489"/>
    <w:rsid w:val="001C44CA"/>
    <w:rsid w:val="001C44D4"/>
    <w:rsid w:val="001C44EB"/>
    <w:rsid w:val="001C44F7"/>
    <w:rsid w:val="001C44F9"/>
    <w:rsid w:val="001C451C"/>
    <w:rsid w:val="001C458F"/>
    <w:rsid w:val="001C45A0"/>
    <w:rsid w:val="001C45C0"/>
    <w:rsid w:val="001C45C1"/>
    <w:rsid w:val="001C4600"/>
    <w:rsid w:val="001C4631"/>
    <w:rsid w:val="001C464B"/>
    <w:rsid w:val="001C465A"/>
    <w:rsid w:val="001C4662"/>
    <w:rsid w:val="001C4669"/>
    <w:rsid w:val="001C4681"/>
    <w:rsid w:val="001C46AC"/>
    <w:rsid w:val="001C46BB"/>
    <w:rsid w:val="001C46C1"/>
    <w:rsid w:val="001C46C7"/>
    <w:rsid w:val="001C46DF"/>
    <w:rsid w:val="001C46F0"/>
    <w:rsid w:val="001C4788"/>
    <w:rsid w:val="001C47F4"/>
    <w:rsid w:val="001C4824"/>
    <w:rsid w:val="001C48EA"/>
    <w:rsid w:val="001C490C"/>
    <w:rsid w:val="001C492A"/>
    <w:rsid w:val="001C4965"/>
    <w:rsid w:val="001C499B"/>
    <w:rsid w:val="001C49CE"/>
    <w:rsid w:val="001C49E4"/>
    <w:rsid w:val="001C4A65"/>
    <w:rsid w:val="001C4A6D"/>
    <w:rsid w:val="001C4A99"/>
    <w:rsid w:val="001C4AA9"/>
    <w:rsid w:val="001C4AEF"/>
    <w:rsid w:val="001C4B1C"/>
    <w:rsid w:val="001C4B21"/>
    <w:rsid w:val="001C4B2D"/>
    <w:rsid w:val="001C4B44"/>
    <w:rsid w:val="001C4B87"/>
    <w:rsid w:val="001C4B8A"/>
    <w:rsid w:val="001C4BA5"/>
    <w:rsid w:val="001C4BC5"/>
    <w:rsid w:val="001C4BD8"/>
    <w:rsid w:val="001C4C0C"/>
    <w:rsid w:val="001C4C12"/>
    <w:rsid w:val="001C4C3B"/>
    <w:rsid w:val="001C4C8B"/>
    <w:rsid w:val="001C4C92"/>
    <w:rsid w:val="001C4CC4"/>
    <w:rsid w:val="001C4D0A"/>
    <w:rsid w:val="001C4DAC"/>
    <w:rsid w:val="001C4DD7"/>
    <w:rsid w:val="001C4DD9"/>
    <w:rsid w:val="001C4DF2"/>
    <w:rsid w:val="001C4DFA"/>
    <w:rsid w:val="001C4DFC"/>
    <w:rsid w:val="001C4E02"/>
    <w:rsid w:val="001C4E10"/>
    <w:rsid w:val="001C4E53"/>
    <w:rsid w:val="001C4E8B"/>
    <w:rsid w:val="001C4E97"/>
    <w:rsid w:val="001C4EF6"/>
    <w:rsid w:val="001C4F21"/>
    <w:rsid w:val="001C4F23"/>
    <w:rsid w:val="001C4F64"/>
    <w:rsid w:val="001C4F65"/>
    <w:rsid w:val="001C4F8A"/>
    <w:rsid w:val="001C4FA4"/>
    <w:rsid w:val="001C5009"/>
    <w:rsid w:val="001C504C"/>
    <w:rsid w:val="001C50BB"/>
    <w:rsid w:val="001C50CA"/>
    <w:rsid w:val="001C5112"/>
    <w:rsid w:val="001C5121"/>
    <w:rsid w:val="001C5141"/>
    <w:rsid w:val="001C5145"/>
    <w:rsid w:val="001C5147"/>
    <w:rsid w:val="001C5193"/>
    <w:rsid w:val="001C51A3"/>
    <w:rsid w:val="001C51B2"/>
    <w:rsid w:val="001C5227"/>
    <w:rsid w:val="001C5247"/>
    <w:rsid w:val="001C5278"/>
    <w:rsid w:val="001C5325"/>
    <w:rsid w:val="001C532B"/>
    <w:rsid w:val="001C536B"/>
    <w:rsid w:val="001C53EF"/>
    <w:rsid w:val="001C53F5"/>
    <w:rsid w:val="001C542C"/>
    <w:rsid w:val="001C543B"/>
    <w:rsid w:val="001C545D"/>
    <w:rsid w:val="001C5479"/>
    <w:rsid w:val="001C554F"/>
    <w:rsid w:val="001C556E"/>
    <w:rsid w:val="001C5576"/>
    <w:rsid w:val="001C557B"/>
    <w:rsid w:val="001C5694"/>
    <w:rsid w:val="001C56B7"/>
    <w:rsid w:val="001C56C8"/>
    <w:rsid w:val="001C5766"/>
    <w:rsid w:val="001C57BF"/>
    <w:rsid w:val="001C57E0"/>
    <w:rsid w:val="001C580C"/>
    <w:rsid w:val="001C58D5"/>
    <w:rsid w:val="001C5992"/>
    <w:rsid w:val="001C599D"/>
    <w:rsid w:val="001C5A9C"/>
    <w:rsid w:val="001C5AF5"/>
    <w:rsid w:val="001C5B3D"/>
    <w:rsid w:val="001C5B86"/>
    <w:rsid w:val="001C5B98"/>
    <w:rsid w:val="001C5BCB"/>
    <w:rsid w:val="001C5BFF"/>
    <w:rsid w:val="001C5C07"/>
    <w:rsid w:val="001C5C16"/>
    <w:rsid w:val="001C5C36"/>
    <w:rsid w:val="001C5C49"/>
    <w:rsid w:val="001C5C58"/>
    <w:rsid w:val="001C5C9B"/>
    <w:rsid w:val="001C5CB0"/>
    <w:rsid w:val="001C5CF8"/>
    <w:rsid w:val="001C5D0D"/>
    <w:rsid w:val="001C5D10"/>
    <w:rsid w:val="001C5D46"/>
    <w:rsid w:val="001C5D48"/>
    <w:rsid w:val="001C5D8D"/>
    <w:rsid w:val="001C5DC7"/>
    <w:rsid w:val="001C5DD6"/>
    <w:rsid w:val="001C5E27"/>
    <w:rsid w:val="001C5E6B"/>
    <w:rsid w:val="001C5E7B"/>
    <w:rsid w:val="001C5EC0"/>
    <w:rsid w:val="001C5EE5"/>
    <w:rsid w:val="001C5F07"/>
    <w:rsid w:val="001C5F59"/>
    <w:rsid w:val="001C5F5D"/>
    <w:rsid w:val="001C5F6A"/>
    <w:rsid w:val="001C5F7B"/>
    <w:rsid w:val="001C5F98"/>
    <w:rsid w:val="001C5FAD"/>
    <w:rsid w:val="001C5FDC"/>
    <w:rsid w:val="001C601F"/>
    <w:rsid w:val="001C6028"/>
    <w:rsid w:val="001C6051"/>
    <w:rsid w:val="001C606C"/>
    <w:rsid w:val="001C60C4"/>
    <w:rsid w:val="001C60C8"/>
    <w:rsid w:val="001C6109"/>
    <w:rsid w:val="001C6120"/>
    <w:rsid w:val="001C61B9"/>
    <w:rsid w:val="001C6294"/>
    <w:rsid w:val="001C629B"/>
    <w:rsid w:val="001C6307"/>
    <w:rsid w:val="001C632A"/>
    <w:rsid w:val="001C633B"/>
    <w:rsid w:val="001C6353"/>
    <w:rsid w:val="001C635C"/>
    <w:rsid w:val="001C6389"/>
    <w:rsid w:val="001C6418"/>
    <w:rsid w:val="001C641F"/>
    <w:rsid w:val="001C64AB"/>
    <w:rsid w:val="001C64C2"/>
    <w:rsid w:val="001C64DF"/>
    <w:rsid w:val="001C6512"/>
    <w:rsid w:val="001C6542"/>
    <w:rsid w:val="001C658A"/>
    <w:rsid w:val="001C65E7"/>
    <w:rsid w:val="001C6639"/>
    <w:rsid w:val="001C6653"/>
    <w:rsid w:val="001C6679"/>
    <w:rsid w:val="001C667B"/>
    <w:rsid w:val="001C6684"/>
    <w:rsid w:val="001C6699"/>
    <w:rsid w:val="001C66B2"/>
    <w:rsid w:val="001C66B8"/>
    <w:rsid w:val="001C670A"/>
    <w:rsid w:val="001C672F"/>
    <w:rsid w:val="001C6733"/>
    <w:rsid w:val="001C674F"/>
    <w:rsid w:val="001C675A"/>
    <w:rsid w:val="001C67D7"/>
    <w:rsid w:val="001C6832"/>
    <w:rsid w:val="001C6833"/>
    <w:rsid w:val="001C684E"/>
    <w:rsid w:val="001C687F"/>
    <w:rsid w:val="001C689C"/>
    <w:rsid w:val="001C68AD"/>
    <w:rsid w:val="001C68F4"/>
    <w:rsid w:val="001C693F"/>
    <w:rsid w:val="001C6977"/>
    <w:rsid w:val="001C69E9"/>
    <w:rsid w:val="001C69EC"/>
    <w:rsid w:val="001C6A0E"/>
    <w:rsid w:val="001C6A13"/>
    <w:rsid w:val="001C6A71"/>
    <w:rsid w:val="001C6AA0"/>
    <w:rsid w:val="001C6ACA"/>
    <w:rsid w:val="001C6AD6"/>
    <w:rsid w:val="001C6B0A"/>
    <w:rsid w:val="001C6B17"/>
    <w:rsid w:val="001C6B5A"/>
    <w:rsid w:val="001C6B7C"/>
    <w:rsid w:val="001C6BCF"/>
    <w:rsid w:val="001C6C1A"/>
    <w:rsid w:val="001C6C1B"/>
    <w:rsid w:val="001C6CE1"/>
    <w:rsid w:val="001C6CFE"/>
    <w:rsid w:val="001C6D02"/>
    <w:rsid w:val="001C6D47"/>
    <w:rsid w:val="001C6D5E"/>
    <w:rsid w:val="001C6D9E"/>
    <w:rsid w:val="001C6DFC"/>
    <w:rsid w:val="001C6DFD"/>
    <w:rsid w:val="001C6E18"/>
    <w:rsid w:val="001C6E24"/>
    <w:rsid w:val="001C6E3F"/>
    <w:rsid w:val="001C6E5F"/>
    <w:rsid w:val="001C6EA5"/>
    <w:rsid w:val="001C6EA8"/>
    <w:rsid w:val="001C6EAE"/>
    <w:rsid w:val="001C6F36"/>
    <w:rsid w:val="001C6F63"/>
    <w:rsid w:val="001C6F77"/>
    <w:rsid w:val="001C6FCC"/>
    <w:rsid w:val="001C709C"/>
    <w:rsid w:val="001C70C6"/>
    <w:rsid w:val="001C71C3"/>
    <w:rsid w:val="001C71D4"/>
    <w:rsid w:val="001C7212"/>
    <w:rsid w:val="001C7226"/>
    <w:rsid w:val="001C726E"/>
    <w:rsid w:val="001C72B2"/>
    <w:rsid w:val="001C72CE"/>
    <w:rsid w:val="001C7498"/>
    <w:rsid w:val="001C759D"/>
    <w:rsid w:val="001C75A1"/>
    <w:rsid w:val="001C75B9"/>
    <w:rsid w:val="001C75DF"/>
    <w:rsid w:val="001C75F2"/>
    <w:rsid w:val="001C7624"/>
    <w:rsid w:val="001C7634"/>
    <w:rsid w:val="001C764F"/>
    <w:rsid w:val="001C76D4"/>
    <w:rsid w:val="001C76D5"/>
    <w:rsid w:val="001C7723"/>
    <w:rsid w:val="001C7763"/>
    <w:rsid w:val="001C778B"/>
    <w:rsid w:val="001C77E2"/>
    <w:rsid w:val="001C780E"/>
    <w:rsid w:val="001C7822"/>
    <w:rsid w:val="001C784D"/>
    <w:rsid w:val="001C7899"/>
    <w:rsid w:val="001C7919"/>
    <w:rsid w:val="001C795C"/>
    <w:rsid w:val="001C79FB"/>
    <w:rsid w:val="001C7A96"/>
    <w:rsid w:val="001C7B09"/>
    <w:rsid w:val="001C7B94"/>
    <w:rsid w:val="001C7BC4"/>
    <w:rsid w:val="001C7BD6"/>
    <w:rsid w:val="001C7BF0"/>
    <w:rsid w:val="001C7C04"/>
    <w:rsid w:val="001C7C36"/>
    <w:rsid w:val="001C7C54"/>
    <w:rsid w:val="001C7C61"/>
    <w:rsid w:val="001C7C76"/>
    <w:rsid w:val="001C7C7D"/>
    <w:rsid w:val="001C7C81"/>
    <w:rsid w:val="001C7C8E"/>
    <w:rsid w:val="001C7CB4"/>
    <w:rsid w:val="001C7CD1"/>
    <w:rsid w:val="001C7CD4"/>
    <w:rsid w:val="001C7D24"/>
    <w:rsid w:val="001C7D25"/>
    <w:rsid w:val="001C7D58"/>
    <w:rsid w:val="001C7D79"/>
    <w:rsid w:val="001C7DDD"/>
    <w:rsid w:val="001C7DFD"/>
    <w:rsid w:val="001C7E09"/>
    <w:rsid w:val="001C7E0C"/>
    <w:rsid w:val="001C7E0F"/>
    <w:rsid w:val="001C7E14"/>
    <w:rsid w:val="001C7E69"/>
    <w:rsid w:val="001C7E97"/>
    <w:rsid w:val="001C7EAE"/>
    <w:rsid w:val="001C7EF6"/>
    <w:rsid w:val="001C7F67"/>
    <w:rsid w:val="001C7F88"/>
    <w:rsid w:val="001C7F94"/>
    <w:rsid w:val="001C7FAF"/>
    <w:rsid w:val="001D0009"/>
    <w:rsid w:val="001D00F2"/>
    <w:rsid w:val="001D0108"/>
    <w:rsid w:val="001D014D"/>
    <w:rsid w:val="001D0173"/>
    <w:rsid w:val="001D0198"/>
    <w:rsid w:val="001D01BE"/>
    <w:rsid w:val="001D020C"/>
    <w:rsid w:val="001D029D"/>
    <w:rsid w:val="001D02BA"/>
    <w:rsid w:val="001D02C6"/>
    <w:rsid w:val="001D0309"/>
    <w:rsid w:val="001D0322"/>
    <w:rsid w:val="001D0323"/>
    <w:rsid w:val="001D0326"/>
    <w:rsid w:val="001D0349"/>
    <w:rsid w:val="001D0362"/>
    <w:rsid w:val="001D0391"/>
    <w:rsid w:val="001D03C6"/>
    <w:rsid w:val="001D03D8"/>
    <w:rsid w:val="001D03DB"/>
    <w:rsid w:val="001D0406"/>
    <w:rsid w:val="001D0487"/>
    <w:rsid w:val="001D0496"/>
    <w:rsid w:val="001D04C1"/>
    <w:rsid w:val="001D0552"/>
    <w:rsid w:val="001D055C"/>
    <w:rsid w:val="001D05C3"/>
    <w:rsid w:val="001D0658"/>
    <w:rsid w:val="001D069C"/>
    <w:rsid w:val="001D06AF"/>
    <w:rsid w:val="001D06F3"/>
    <w:rsid w:val="001D0753"/>
    <w:rsid w:val="001D0778"/>
    <w:rsid w:val="001D077C"/>
    <w:rsid w:val="001D07A8"/>
    <w:rsid w:val="001D07DB"/>
    <w:rsid w:val="001D081B"/>
    <w:rsid w:val="001D082A"/>
    <w:rsid w:val="001D0872"/>
    <w:rsid w:val="001D087D"/>
    <w:rsid w:val="001D08B9"/>
    <w:rsid w:val="001D090D"/>
    <w:rsid w:val="001D0984"/>
    <w:rsid w:val="001D09AC"/>
    <w:rsid w:val="001D09F5"/>
    <w:rsid w:val="001D0A10"/>
    <w:rsid w:val="001D0A44"/>
    <w:rsid w:val="001D0AA6"/>
    <w:rsid w:val="001D0B30"/>
    <w:rsid w:val="001D0BBA"/>
    <w:rsid w:val="001D0BFA"/>
    <w:rsid w:val="001D0C0B"/>
    <w:rsid w:val="001D0C2A"/>
    <w:rsid w:val="001D0C2E"/>
    <w:rsid w:val="001D0C2F"/>
    <w:rsid w:val="001D0C45"/>
    <w:rsid w:val="001D0C4D"/>
    <w:rsid w:val="001D0C57"/>
    <w:rsid w:val="001D0CBC"/>
    <w:rsid w:val="001D0CF1"/>
    <w:rsid w:val="001D0D61"/>
    <w:rsid w:val="001D0D6F"/>
    <w:rsid w:val="001D0D87"/>
    <w:rsid w:val="001D0DA4"/>
    <w:rsid w:val="001D0DAC"/>
    <w:rsid w:val="001D0DB8"/>
    <w:rsid w:val="001D0DCD"/>
    <w:rsid w:val="001D0DD5"/>
    <w:rsid w:val="001D0E2C"/>
    <w:rsid w:val="001D0E79"/>
    <w:rsid w:val="001D0ED9"/>
    <w:rsid w:val="001D0F16"/>
    <w:rsid w:val="001D0F24"/>
    <w:rsid w:val="001D0F27"/>
    <w:rsid w:val="001D0F4F"/>
    <w:rsid w:val="001D0FB2"/>
    <w:rsid w:val="001D100E"/>
    <w:rsid w:val="001D1015"/>
    <w:rsid w:val="001D1025"/>
    <w:rsid w:val="001D1058"/>
    <w:rsid w:val="001D107C"/>
    <w:rsid w:val="001D109D"/>
    <w:rsid w:val="001D10A7"/>
    <w:rsid w:val="001D110D"/>
    <w:rsid w:val="001D1125"/>
    <w:rsid w:val="001D113F"/>
    <w:rsid w:val="001D1160"/>
    <w:rsid w:val="001D11E4"/>
    <w:rsid w:val="001D11F0"/>
    <w:rsid w:val="001D1208"/>
    <w:rsid w:val="001D122A"/>
    <w:rsid w:val="001D12E1"/>
    <w:rsid w:val="001D12E4"/>
    <w:rsid w:val="001D1360"/>
    <w:rsid w:val="001D1389"/>
    <w:rsid w:val="001D139E"/>
    <w:rsid w:val="001D13AC"/>
    <w:rsid w:val="001D13C9"/>
    <w:rsid w:val="001D1430"/>
    <w:rsid w:val="001D147F"/>
    <w:rsid w:val="001D14EE"/>
    <w:rsid w:val="001D155A"/>
    <w:rsid w:val="001D159D"/>
    <w:rsid w:val="001D15AD"/>
    <w:rsid w:val="001D15C2"/>
    <w:rsid w:val="001D15E5"/>
    <w:rsid w:val="001D15F4"/>
    <w:rsid w:val="001D1615"/>
    <w:rsid w:val="001D1637"/>
    <w:rsid w:val="001D1651"/>
    <w:rsid w:val="001D16A4"/>
    <w:rsid w:val="001D16BA"/>
    <w:rsid w:val="001D16E5"/>
    <w:rsid w:val="001D1718"/>
    <w:rsid w:val="001D173C"/>
    <w:rsid w:val="001D1747"/>
    <w:rsid w:val="001D175D"/>
    <w:rsid w:val="001D1770"/>
    <w:rsid w:val="001D179E"/>
    <w:rsid w:val="001D17BE"/>
    <w:rsid w:val="001D17C7"/>
    <w:rsid w:val="001D1813"/>
    <w:rsid w:val="001D18EB"/>
    <w:rsid w:val="001D194C"/>
    <w:rsid w:val="001D194F"/>
    <w:rsid w:val="001D1A1D"/>
    <w:rsid w:val="001D1A37"/>
    <w:rsid w:val="001D1A93"/>
    <w:rsid w:val="001D1AEF"/>
    <w:rsid w:val="001D1AF8"/>
    <w:rsid w:val="001D1B32"/>
    <w:rsid w:val="001D1B3E"/>
    <w:rsid w:val="001D1B43"/>
    <w:rsid w:val="001D1B63"/>
    <w:rsid w:val="001D1B80"/>
    <w:rsid w:val="001D1B89"/>
    <w:rsid w:val="001D1B96"/>
    <w:rsid w:val="001D1BB1"/>
    <w:rsid w:val="001D1BE2"/>
    <w:rsid w:val="001D1CA5"/>
    <w:rsid w:val="001D1CBD"/>
    <w:rsid w:val="001D1CBE"/>
    <w:rsid w:val="001D1CDC"/>
    <w:rsid w:val="001D1CE4"/>
    <w:rsid w:val="001D1CEC"/>
    <w:rsid w:val="001D1DA0"/>
    <w:rsid w:val="001D1DA7"/>
    <w:rsid w:val="001D1DA9"/>
    <w:rsid w:val="001D1E00"/>
    <w:rsid w:val="001D1E01"/>
    <w:rsid w:val="001D1E08"/>
    <w:rsid w:val="001D1E9B"/>
    <w:rsid w:val="001D1F02"/>
    <w:rsid w:val="001D1F18"/>
    <w:rsid w:val="001D1F2F"/>
    <w:rsid w:val="001D1F84"/>
    <w:rsid w:val="001D1FA1"/>
    <w:rsid w:val="001D1FA7"/>
    <w:rsid w:val="001D1FBE"/>
    <w:rsid w:val="001D2006"/>
    <w:rsid w:val="001D205B"/>
    <w:rsid w:val="001D20DC"/>
    <w:rsid w:val="001D21AD"/>
    <w:rsid w:val="001D220D"/>
    <w:rsid w:val="001D2262"/>
    <w:rsid w:val="001D22D7"/>
    <w:rsid w:val="001D230C"/>
    <w:rsid w:val="001D2316"/>
    <w:rsid w:val="001D23D4"/>
    <w:rsid w:val="001D23D7"/>
    <w:rsid w:val="001D23F5"/>
    <w:rsid w:val="001D241A"/>
    <w:rsid w:val="001D241D"/>
    <w:rsid w:val="001D243A"/>
    <w:rsid w:val="001D2442"/>
    <w:rsid w:val="001D249D"/>
    <w:rsid w:val="001D24A4"/>
    <w:rsid w:val="001D24B8"/>
    <w:rsid w:val="001D259A"/>
    <w:rsid w:val="001D259F"/>
    <w:rsid w:val="001D25C6"/>
    <w:rsid w:val="001D262D"/>
    <w:rsid w:val="001D2655"/>
    <w:rsid w:val="001D2666"/>
    <w:rsid w:val="001D266B"/>
    <w:rsid w:val="001D26AD"/>
    <w:rsid w:val="001D26E9"/>
    <w:rsid w:val="001D277C"/>
    <w:rsid w:val="001D286E"/>
    <w:rsid w:val="001D287E"/>
    <w:rsid w:val="001D28A1"/>
    <w:rsid w:val="001D28ED"/>
    <w:rsid w:val="001D2909"/>
    <w:rsid w:val="001D297B"/>
    <w:rsid w:val="001D297F"/>
    <w:rsid w:val="001D2987"/>
    <w:rsid w:val="001D29A6"/>
    <w:rsid w:val="001D29C5"/>
    <w:rsid w:val="001D29D3"/>
    <w:rsid w:val="001D2A62"/>
    <w:rsid w:val="001D2A7E"/>
    <w:rsid w:val="001D2A98"/>
    <w:rsid w:val="001D2AAE"/>
    <w:rsid w:val="001D2B30"/>
    <w:rsid w:val="001D2B32"/>
    <w:rsid w:val="001D2B3B"/>
    <w:rsid w:val="001D2B72"/>
    <w:rsid w:val="001D2B93"/>
    <w:rsid w:val="001D2BD9"/>
    <w:rsid w:val="001D2BFB"/>
    <w:rsid w:val="001D2C01"/>
    <w:rsid w:val="001D2C41"/>
    <w:rsid w:val="001D2C4B"/>
    <w:rsid w:val="001D2C80"/>
    <w:rsid w:val="001D2CAF"/>
    <w:rsid w:val="001D2CB6"/>
    <w:rsid w:val="001D2CCA"/>
    <w:rsid w:val="001D2CF9"/>
    <w:rsid w:val="001D2D34"/>
    <w:rsid w:val="001D2D83"/>
    <w:rsid w:val="001D2DB8"/>
    <w:rsid w:val="001D2DD0"/>
    <w:rsid w:val="001D2DD8"/>
    <w:rsid w:val="001D2DDD"/>
    <w:rsid w:val="001D2E50"/>
    <w:rsid w:val="001D2E70"/>
    <w:rsid w:val="001D2E8C"/>
    <w:rsid w:val="001D2E91"/>
    <w:rsid w:val="001D2EB7"/>
    <w:rsid w:val="001D2F36"/>
    <w:rsid w:val="001D2F3A"/>
    <w:rsid w:val="001D2F58"/>
    <w:rsid w:val="001D2F7F"/>
    <w:rsid w:val="001D2FC2"/>
    <w:rsid w:val="001D3053"/>
    <w:rsid w:val="001D3096"/>
    <w:rsid w:val="001D30D2"/>
    <w:rsid w:val="001D30EE"/>
    <w:rsid w:val="001D311B"/>
    <w:rsid w:val="001D314D"/>
    <w:rsid w:val="001D319A"/>
    <w:rsid w:val="001D31BA"/>
    <w:rsid w:val="001D3210"/>
    <w:rsid w:val="001D321E"/>
    <w:rsid w:val="001D3287"/>
    <w:rsid w:val="001D32CF"/>
    <w:rsid w:val="001D3302"/>
    <w:rsid w:val="001D332D"/>
    <w:rsid w:val="001D335B"/>
    <w:rsid w:val="001D33E6"/>
    <w:rsid w:val="001D33EC"/>
    <w:rsid w:val="001D33FC"/>
    <w:rsid w:val="001D340E"/>
    <w:rsid w:val="001D3455"/>
    <w:rsid w:val="001D3472"/>
    <w:rsid w:val="001D34A4"/>
    <w:rsid w:val="001D34FF"/>
    <w:rsid w:val="001D354C"/>
    <w:rsid w:val="001D3564"/>
    <w:rsid w:val="001D35A6"/>
    <w:rsid w:val="001D35B4"/>
    <w:rsid w:val="001D35BA"/>
    <w:rsid w:val="001D35F0"/>
    <w:rsid w:val="001D361A"/>
    <w:rsid w:val="001D365E"/>
    <w:rsid w:val="001D367E"/>
    <w:rsid w:val="001D36B0"/>
    <w:rsid w:val="001D36BD"/>
    <w:rsid w:val="001D36E1"/>
    <w:rsid w:val="001D3704"/>
    <w:rsid w:val="001D3706"/>
    <w:rsid w:val="001D3766"/>
    <w:rsid w:val="001D377B"/>
    <w:rsid w:val="001D3783"/>
    <w:rsid w:val="001D3794"/>
    <w:rsid w:val="001D37C0"/>
    <w:rsid w:val="001D37CB"/>
    <w:rsid w:val="001D37CE"/>
    <w:rsid w:val="001D37FC"/>
    <w:rsid w:val="001D3899"/>
    <w:rsid w:val="001D38B5"/>
    <w:rsid w:val="001D3967"/>
    <w:rsid w:val="001D3975"/>
    <w:rsid w:val="001D39A1"/>
    <w:rsid w:val="001D39D6"/>
    <w:rsid w:val="001D39EF"/>
    <w:rsid w:val="001D39FC"/>
    <w:rsid w:val="001D3A0B"/>
    <w:rsid w:val="001D3A6B"/>
    <w:rsid w:val="001D3A79"/>
    <w:rsid w:val="001D3B2A"/>
    <w:rsid w:val="001D3B38"/>
    <w:rsid w:val="001D3B80"/>
    <w:rsid w:val="001D3BAA"/>
    <w:rsid w:val="001D3BDD"/>
    <w:rsid w:val="001D3BEB"/>
    <w:rsid w:val="001D3C5E"/>
    <w:rsid w:val="001D3C6F"/>
    <w:rsid w:val="001D3C7C"/>
    <w:rsid w:val="001D3C7D"/>
    <w:rsid w:val="001D3C95"/>
    <w:rsid w:val="001D3CC4"/>
    <w:rsid w:val="001D3D11"/>
    <w:rsid w:val="001D3D20"/>
    <w:rsid w:val="001D3D27"/>
    <w:rsid w:val="001D3D39"/>
    <w:rsid w:val="001D3D51"/>
    <w:rsid w:val="001D3D56"/>
    <w:rsid w:val="001D3D6C"/>
    <w:rsid w:val="001D3DA1"/>
    <w:rsid w:val="001D3DCA"/>
    <w:rsid w:val="001D3DCF"/>
    <w:rsid w:val="001D3DE0"/>
    <w:rsid w:val="001D3DF3"/>
    <w:rsid w:val="001D3E10"/>
    <w:rsid w:val="001D3EFB"/>
    <w:rsid w:val="001D3F04"/>
    <w:rsid w:val="001D3F19"/>
    <w:rsid w:val="001D3F23"/>
    <w:rsid w:val="001D3F4F"/>
    <w:rsid w:val="001D3FBD"/>
    <w:rsid w:val="001D3FBE"/>
    <w:rsid w:val="001D4037"/>
    <w:rsid w:val="001D4071"/>
    <w:rsid w:val="001D4072"/>
    <w:rsid w:val="001D408D"/>
    <w:rsid w:val="001D40E8"/>
    <w:rsid w:val="001D4164"/>
    <w:rsid w:val="001D41A1"/>
    <w:rsid w:val="001D429B"/>
    <w:rsid w:val="001D42EF"/>
    <w:rsid w:val="001D430E"/>
    <w:rsid w:val="001D4368"/>
    <w:rsid w:val="001D436C"/>
    <w:rsid w:val="001D4387"/>
    <w:rsid w:val="001D43B9"/>
    <w:rsid w:val="001D43D8"/>
    <w:rsid w:val="001D43EC"/>
    <w:rsid w:val="001D443B"/>
    <w:rsid w:val="001D44D2"/>
    <w:rsid w:val="001D44EF"/>
    <w:rsid w:val="001D4506"/>
    <w:rsid w:val="001D4562"/>
    <w:rsid w:val="001D45C5"/>
    <w:rsid w:val="001D45E2"/>
    <w:rsid w:val="001D461F"/>
    <w:rsid w:val="001D462F"/>
    <w:rsid w:val="001D4668"/>
    <w:rsid w:val="001D4697"/>
    <w:rsid w:val="001D46A1"/>
    <w:rsid w:val="001D46C7"/>
    <w:rsid w:val="001D46EA"/>
    <w:rsid w:val="001D4763"/>
    <w:rsid w:val="001D47ED"/>
    <w:rsid w:val="001D47F2"/>
    <w:rsid w:val="001D483F"/>
    <w:rsid w:val="001D4847"/>
    <w:rsid w:val="001D48B7"/>
    <w:rsid w:val="001D48D5"/>
    <w:rsid w:val="001D48F0"/>
    <w:rsid w:val="001D4987"/>
    <w:rsid w:val="001D49ED"/>
    <w:rsid w:val="001D4A03"/>
    <w:rsid w:val="001D4A23"/>
    <w:rsid w:val="001D4A4D"/>
    <w:rsid w:val="001D4AD7"/>
    <w:rsid w:val="001D4B70"/>
    <w:rsid w:val="001D4BAB"/>
    <w:rsid w:val="001D4BCD"/>
    <w:rsid w:val="001D4BF1"/>
    <w:rsid w:val="001D4C04"/>
    <w:rsid w:val="001D4C07"/>
    <w:rsid w:val="001D4C35"/>
    <w:rsid w:val="001D4C63"/>
    <w:rsid w:val="001D4C69"/>
    <w:rsid w:val="001D4C6C"/>
    <w:rsid w:val="001D4CB3"/>
    <w:rsid w:val="001D4D2F"/>
    <w:rsid w:val="001D4D3C"/>
    <w:rsid w:val="001D4D8F"/>
    <w:rsid w:val="001D4DA1"/>
    <w:rsid w:val="001D4DA6"/>
    <w:rsid w:val="001D4DAD"/>
    <w:rsid w:val="001D4E54"/>
    <w:rsid w:val="001D4E59"/>
    <w:rsid w:val="001D4E7C"/>
    <w:rsid w:val="001D4E82"/>
    <w:rsid w:val="001D4EBD"/>
    <w:rsid w:val="001D4EC3"/>
    <w:rsid w:val="001D4EDA"/>
    <w:rsid w:val="001D4EF7"/>
    <w:rsid w:val="001D4F30"/>
    <w:rsid w:val="001D4FE2"/>
    <w:rsid w:val="001D4FE6"/>
    <w:rsid w:val="001D4FED"/>
    <w:rsid w:val="001D5022"/>
    <w:rsid w:val="001D509F"/>
    <w:rsid w:val="001D50F3"/>
    <w:rsid w:val="001D5124"/>
    <w:rsid w:val="001D513A"/>
    <w:rsid w:val="001D5155"/>
    <w:rsid w:val="001D51E4"/>
    <w:rsid w:val="001D51F0"/>
    <w:rsid w:val="001D51F2"/>
    <w:rsid w:val="001D5203"/>
    <w:rsid w:val="001D521A"/>
    <w:rsid w:val="001D5248"/>
    <w:rsid w:val="001D52A3"/>
    <w:rsid w:val="001D531D"/>
    <w:rsid w:val="001D5371"/>
    <w:rsid w:val="001D5397"/>
    <w:rsid w:val="001D53A2"/>
    <w:rsid w:val="001D53B8"/>
    <w:rsid w:val="001D53F3"/>
    <w:rsid w:val="001D5428"/>
    <w:rsid w:val="001D542F"/>
    <w:rsid w:val="001D544C"/>
    <w:rsid w:val="001D5451"/>
    <w:rsid w:val="001D54AD"/>
    <w:rsid w:val="001D54AE"/>
    <w:rsid w:val="001D54C5"/>
    <w:rsid w:val="001D54C6"/>
    <w:rsid w:val="001D551E"/>
    <w:rsid w:val="001D555E"/>
    <w:rsid w:val="001D55D4"/>
    <w:rsid w:val="001D5622"/>
    <w:rsid w:val="001D563C"/>
    <w:rsid w:val="001D5644"/>
    <w:rsid w:val="001D5658"/>
    <w:rsid w:val="001D5680"/>
    <w:rsid w:val="001D5686"/>
    <w:rsid w:val="001D569C"/>
    <w:rsid w:val="001D56A8"/>
    <w:rsid w:val="001D56B9"/>
    <w:rsid w:val="001D56D2"/>
    <w:rsid w:val="001D5703"/>
    <w:rsid w:val="001D5707"/>
    <w:rsid w:val="001D5726"/>
    <w:rsid w:val="001D5737"/>
    <w:rsid w:val="001D5738"/>
    <w:rsid w:val="001D573E"/>
    <w:rsid w:val="001D5741"/>
    <w:rsid w:val="001D576F"/>
    <w:rsid w:val="001D578B"/>
    <w:rsid w:val="001D578E"/>
    <w:rsid w:val="001D57C3"/>
    <w:rsid w:val="001D57E8"/>
    <w:rsid w:val="001D57EB"/>
    <w:rsid w:val="001D5818"/>
    <w:rsid w:val="001D583B"/>
    <w:rsid w:val="001D583F"/>
    <w:rsid w:val="001D587B"/>
    <w:rsid w:val="001D5888"/>
    <w:rsid w:val="001D5922"/>
    <w:rsid w:val="001D593F"/>
    <w:rsid w:val="001D59B2"/>
    <w:rsid w:val="001D59BE"/>
    <w:rsid w:val="001D59F4"/>
    <w:rsid w:val="001D5A5F"/>
    <w:rsid w:val="001D5AA3"/>
    <w:rsid w:val="001D5AD0"/>
    <w:rsid w:val="001D5B18"/>
    <w:rsid w:val="001D5B27"/>
    <w:rsid w:val="001D5B2C"/>
    <w:rsid w:val="001D5B3E"/>
    <w:rsid w:val="001D5B8E"/>
    <w:rsid w:val="001D5BAD"/>
    <w:rsid w:val="001D5BE8"/>
    <w:rsid w:val="001D5CE8"/>
    <w:rsid w:val="001D5D10"/>
    <w:rsid w:val="001D5DB6"/>
    <w:rsid w:val="001D5DD2"/>
    <w:rsid w:val="001D5E72"/>
    <w:rsid w:val="001D5F15"/>
    <w:rsid w:val="001D5F45"/>
    <w:rsid w:val="001D5F6F"/>
    <w:rsid w:val="001D5FB9"/>
    <w:rsid w:val="001D5FDC"/>
    <w:rsid w:val="001D6004"/>
    <w:rsid w:val="001D6096"/>
    <w:rsid w:val="001D60FC"/>
    <w:rsid w:val="001D6135"/>
    <w:rsid w:val="001D6177"/>
    <w:rsid w:val="001D6208"/>
    <w:rsid w:val="001D6218"/>
    <w:rsid w:val="001D621D"/>
    <w:rsid w:val="001D6249"/>
    <w:rsid w:val="001D626C"/>
    <w:rsid w:val="001D627D"/>
    <w:rsid w:val="001D6281"/>
    <w:rsid w:val="001D628A"/>
    <w:rsid w:val="001D6345"/>
    <w:rsid w:val="001D634A"/>
    <w:rsid w:val="001D6381"/>
    <w:rsid w:val="001D63A1"/>
    <w:rsid w:val="001D63AE"/>
    <w:rsid w:val="001D63C2"/>
    <w:rsid w:val="001D63C4"/>
    <w:rsid w:val="001D63F0"/>
    <w:rsid w:val="001D63FE"/>
    <w:rsid w:val="001D6434"/>
    <w:rsid w:val="001D6449"/>
    <w:rsid w:val="001D649B"/>
    <w:rsid w:val="001D6503"/>
    <w:rsid w:val="001D6536"/>
    <w:rsid w:val="001D6545"/>
    <w:rsid w:val="001D6584"/>
    <w:rsid w:val="001D65A7"/>
    <w:rsid w:val="001D65C3"/>
    <w:rsid w:val="001D65CE"/>
    <w:rsid w:val="001D6607"/>
    <w:rsid w:val="001D66C2"/>
    <w:rsid w:val="001D6702"/>
    <w:rsid w:val="001D675B"/>
    <w:rsid w:val="001D6816"/>
    <w:rsid w:val="001D682D"/>
    <w:rsid w:val="001D6854"/>
    <w:rsid w:val="001D688F"/>
    <w:rsid w:val="001D6892"/>
    <w:rsid w:val="001D68CF"/>
    <w:rsid w:val="001D6912"/>
    <w:rsid w:val="001D6982"/>
    <w:rsid w:val="001D6984"/>
    <w:rsid w:val="001D698C"/>
    <w:rsid w:val="001D69A2"/>
    <w:rsid w:val="001D69A9"/>
    <w:rsid w:val="001D6A95"/>
    <w:rsid w:val="001D6A9B"/>
    <w:rsid w:val="001D6AEC"/>
    <w:rsid w:val="001D6B4D"/>
    <w:rsid w:val="001D6B60"/>
    <w:rsid w:val="001D6BB9"/>
    <w:rsid w:val="001D6BD1"/>
    <w:rsid w:val="001D6C1A"/>
    <w:rsid w:val="001D6CDC"/>
    <w:rsid w:val="001D6D6C"/>
    <w:rsid w:val="001D6D71"/>
    <w:rsid w:val="001D6DA0"/>
    <w:rsid w:val="001D6E0D"/>
    <w:rsid w:val="001D6E19"/>
    <w:rsid w:val="001D6E56"/>
    <w:rsid w:val="001D6E74"/>
    <w:rsid w:val="001D6EF0"/>
    <w:rsid w:val="001D6F12"/>
    <w:rsid w:val="001D6F4C"/>
    <w:rsid w:val="001D6F4F"/>
    <w:rsid w:val="001D6F5E"/>
    <w:rsid w:val="001D6F68"/>
    <w:rsid w:val="001D6F7C"/>
    <w:rsid w:val="001D6F94"/>
    <w:rsid w:val="001D6F96"/>
    <w:rsid w:val="001D6FD6"/>
    <w:rsid w:val="001D7008"/>
    <w:rsid w:val="001D70A9"/>
    <w:rsid w:val="001D70AF"/>
    <w:rsid w:val="001D7212"/>
    <w:rsid w:val="001D7223"/>
    <w:rsid w:val="001D7306"/>
    <w:rsid w:val="001D7313"/>
    <w:rsid w:val="001D732C"/>
    <w:rsid w:val="001D7353"/>
    <w:rsid w:val="001D7372"/>
    <w:rsid w:val="001D737D"/>
    <w:rsid w:val="001D738C"/>
    <w:rsid w:val="001D73CD"/>
    <w:rsid w:val="001D73FC"/>
    <w:rsid w:val="001D7481"/>
    <w:rsid w:val="001D74DD"/>
    <w:rsid w:val="001D74E7"/>
    <w:rsid w:val="001D7574"/>
    <w:rsid w:val="001D75A7"/>
    <w:rsid w:val="001D75C1"/>
    <w:rsid w:val="001D75D2"/>
    <w:rsid w:val="001D75DA"/>
    <w:rsid w:val="001D7601"/>
    <w:rsid w:val="001D7602"/>
    <w:rsid w:val="001D7618"/>
    <w:rsid w:val="001D7632"/>
    <w:rsid w:val="001D7648"/>
    <w:rsid w:val="001D7667"/>
    <w:rsid w:val="001D7669"/>
    <w:rsid w:val="001D766F"/>
    <w:rsid w:val="001D7688"/>
    <w:rsid w:val="001D76B2"/>
    <w:rsid w:val="001D76BE"/>
    <w:rsid w:val="001D76DE"/>
    <w:rsid w:val="001D76F1"/>
    <w:rsid w:val="001D76FC"/>
    <w:rsid w:val="001D7728"/>
    <w:rsid w:val="001D77BC"/>
    <w:rsid w:val="001D77D0"/>
    <w:rsid w:val="001D7805"/>
    <w:rsid w:val="001D7847"/>
    <w:rsid w:val="001D785D"/>
    <w:rsid w:val="001D786B"/>
    <w:rsid w:val="001D78D5"/>
    <w:rsid w:val="001D796C"/>
    <w:rsid w:val="001D79AE"/>
    <w:rsid w:val="001D7A0F"/>
    <w:rsid w:val="001D7A23"/>
    <w:rsid w:val="001D7BB1"/>
    <w:rsid w:val="001D7BB2"/>
    <w:rsid w:val="001D7BFD"/>
    <w:rsid w:val="001D7C0B"/>
    <w:rsid w:val="001D7C4D"/>
    <w:rsid w:val="001D7CEC"/>
    <w:rsid w:val="001D7D1E"/>
    <w:rsid w:val="001D7D4D"/>
    <w:rsid w:val="001D7D92"/>
    <w:rsid w:val="001D7DA5"/>
    <w:rsid w:val="001D7DB1"/>
    <w:rsid w:val="001D7DF8"/>
    <w:rsid w:val="001D7E56"/>
    <w:rsid w:val="001D7E68"/>
    <w:rsid w:val="001D7E74"/>
    <w:rsid w:val="001D7E9A"/>
    <w:rsid w:val="001D7EA5"/>
    <w:rsid w:val="001D7EA9"/>
    <w:rsid w:val="001D7F39"/>
    <w:rsid w:val="001D7F92"/>
    <w:rsid w:val="001D7FAE"/>
    <w:rsid w:val="001D7FF6"/>
    <w:rsid w:val="001E0006"/>
    <w:rsid w:val="001E0028"/>
    <w:rsid w:val="001E00AD"/>
    <w:rsid w:val="001E00D0"/>
    <w:rsid w:val="001E00DB"/>
    <w:rsid w:val="001E0170"/>
    <w:rsid w:val="001E0183"/>
    <w:rsid w:val="001E0205"/>
    <w:rsid w:val="001E0236"/>
    <w:rsid w:val="001E0274"/>
    <w:rsid w:val="001E027E"/>
    <w:rsid w:val="001E030B"/>
    <w:rsid w:val="001E0383"/>
    <w:rsid w:val="001E03AB"/>
    <w:rsid w:val="001E03BF"/>
    <w:rsid w:val="001E03CD"/>
    <w:rsid w:val="001E03D6"/>
    <w:rsid w:val="001E03EE"/>
    <w:rsid w:val="001E0442"/>
    <w:rsid w:val="001E04D8"/>
    <w:rsid w:val="001E0525"/>
    <w:rsid w:val="001E0539"/>
    <w:rsid w:val="001E0573"/>
    <w:rsid w:val="001E0593"/>
    <w:rsid w:val="001E059F"/>
    <w:rsid w:val="001E05C6"/>
    <w:rsid w:val="001E05D0"/>
    <w:rsid w:val="001E05D7"/>
    <w:rsid w:val="001E05DE"/>
    <w:rsid w:val="001E05F5"/>
    <w:rsid w:val="001E061D"/>
    <w:rsid w:val="001E062A"/>
    <w:rsid w:val="001E0640"/>
    <w:rsid w:val="001E0649"/>
    <w:rsid w:val="001E064A"/>
    <w:rsid w:val="001E0658"/>
    <w:rsid w:val="001E06DC"/>
    <w:rsid w:val="001E06E6"/>
    <w:rsid w:val="001E06FD"/>
    <w:rsid w:val="001E07B1"/>
    <w:rsid w:val="001E07C2"/>
    <w:rsid w:val="001E07EA"/>
    <w:rsid w:val="001E07EE"/>
    <w:rsid w:val="001E081C"/>
    <w:rsid w:val="001E0830"/>
    <w:rsid w:val="001E086B"/>
    <w:rsid w:val="001E08D7"/>
    <w:rsid w:val="001E0952"/>
    <w:rsid w:val="001E0958"/>
    <w:rsid w:val="001E096F"/>
    <w:rsid w:val="001E097D"/>
    <w:rsid w:val="001E0982"/>
    <w:rsid w:val="001E09AC"/>
    <w:rsid w:val="001E0A98"/>
    <w:rsid w:val="001E0A9E"/>
    <w:rsid w:val="001E0AAA"/>
    <w:rsid w:val="001E0AC6"/>
    <w:rsid w:val="001E0AF6"/>
    <w:rsid w:val="001E0AFA"/>
    <w:rsid w:val="001E0B3E"/>
    <w:rsid w:val="001E0B77"/>
    <w:rsid w:val="001E0B7B"/>
    <w:rsid w:val="001E0B98"/>
    <w:rsid w:val="001E0BFB"/>
    <w:rsid w:val="001E0C20"/>
    <w:rsid w:val="001E0C63"/>
    <w:rsid w:val="001E0CB1"/>
    <w:rsid w:val="001E0CBB"/>
    <w:rsid w:val="001E0CFD"/>
    <w:rsid w:val="001E0D64"/>
    <w:rsid w:val="001E0D88"/>
    <w:rsid w:val="001E0D90"/>
    <w:rsid w:val="001E0E44"/>
    <w:rsid w:val="001E0EC8"/>
    <w:rsid w:val="001E0F56"/>
    <w:rsid w:val="001E0F5A"/>
    <w:rsid w:val="001E104D"/>
    <w:rsid w:val="001E1078"/>
    <w:rsid w:val="001E10B5"/>
    <w:rsid w:val="001E10C0"/>
    <w:rsid w:val="001E10E2"/>
    <w:rsid w:val="001E115C"/>
    <w:rsid w:val="001E118E"/>
    <w:rsid w:val="001E1197"/>
    <w:rsid w:val="001E11B0"/>
    <w:rsid w:val="001E11D2"/>
    <w:rsid w:val="001E11E2"/>
    <w:rsid w:val="001E1205"/>
    <w:rsid w:val="001E1223"/>
    <w:rsid w:val="001E1228"/>
    <w:rsid w:val="001E128B"/>
    <w:rsid w:val="001E128F"/>
    <w:rsid w:val="001E129D"/>
    <w:rsid w:val="001E12BF"/>
    <w:rsid w:val="001E12D5"/>
    <w:rsid w:val="001E12FF"/>
    <w:rsid w:val="001E1314"/>
    <w:rsid w:val="001E1335"/>
    <w:rsid w:val="001E1363"/>
    <w:rsid w:val="001E1380"/>
    <w:rsid w:val="001E142A"/>
    <w:rsid w:val="001E1440"/>
    <w:rsid w:val="001E1451"/>
    <w:rsid w:val="001E1454"/>
    <w:rsid w:val="001E14C2"/>
    <w:rsid w:val="001E14EB"/>
    <w:rsid w:val="001E152D"/>
    <w:rsid w:val="001E1532"/>
    <w:rsid w:val="001E155A"/>
    <w:rsid w:val="001E1565"/>
    <w:rsid w:val="001E15C7"/>
    <w:rsid w:val="001E15CD"/>
    <w:rsid w:val="001E1642"/>
    <w:rsid w:val="001E1650"/>
    <w:rsid w:val="001E1682"/>
    <w:rsid w:val="001E168A"/>
    <w:rsid w:val="001E16C0"/>
    <w:rsid w:val="001E16F9"/>
    <w:rsid w:val="001E1707"/>
    <w:rsid w:val="001E171C"/>
    <w:rsid w:val="001E1723"/>
    <w:rsid w:val="001E1773"/>
    <w:rsid w:val="001E17A6"/>
    <w:rsid w:val="001E188D"/>
    <w:rsid w:val="001E188E"/>
    <w:rsid w:val="001E18C9"/>
    <w:rsid w:val="001E18FB"/>
    <w:rsid w:val="001E192D"/>
    <w:rsid w:val="001E1987"/>
    <w:rsid w:val="001E19AB"/>
    <w:rsid w:val="001E19D5"/>
    <w:rsid w:val="001E1AB8"/>
    <w:rsid w:val="001E1B4D"/>
    <w:rsid w:val="001E1B5F"/>
    <w:rsid w:val="001E1B8E"/>
    <w:rsid w:val="001E1B97"/>
    <w:rsid w:val="001E1B9C"/>
    <w:rsid w:val="001E1C0D"/>
    <w:rsid w:val="001E1C34"/>
    <w:rsid w:val="001E1C51"/>
    <w:rsid w:val="001E1C5E"/>
    <w:rsid w:val="001E1C62"/>
    <w:rsid w:val="001E1C6E"/>
    <w:rsid w:val="001E1C9F"/>
    <w:rsid w:val="001E1CA7"/>
    <w:rsid w:val="001E1CCE"/>
    <w:rsid w:val="001E1CD6"/>
    <w:rsid w:val="001E1D16"/>
    <w:rsid w:val="001E1D19"/>
    <w:rsid w:val="001E1D93"/>
    <w:rsid w:val="001E1DD4"/>
    <w:rsid w:val="001E1DED"/>
    <w:rsid w:val="001E1E24"/>
    <w:rsid w:val="001E1E84"/>
    <w:rsid w:val="001E1EB5"/>
    <w:rsid w:val="001E1EEB"/>
    <w:rsid w:val="001E1F5D"/>
    <w:rsid w:val="001E1F63"/>
    <w:rsid w:val="001E1F8A"/>
    <w:rsid w:val="001E2012"/>
    <w:rsid w:val="001E2085"/>
    <w:rsid w:val="001E2098"/>
    <w:rsid w:val="001E20DE"/>
    <w:rsid w:val="001E20E7"/>
    <w:rsid w:val="001E20F0"/>
    <w:rsid w:val="001E2115"/>
    <w:rsid w:val="001E215C"/>
    <w:rsid w:val="001E2186"/>
    <w:rsid w:val="001E21A7"/>
    <w:rsid w:val="001E21B4"/>
    <w:rsid w:val="001E225F"/>
    <w:rsid w:val="001E2275"/>
    <w:rsid w:val="001E22A0"/>
    <w:rsid w:val="001E22A6"/>
    <w:rsid w:val="001E2383"/>
    <w:rsid w:val="001E2386"/>
    <w:rsid w:val="001E241B"/>
    <w:rsid w:val="001E2428"/>
    <w:rsid w:val="001E243C"/>
    <w:rsid w:val="001E246E"/>
    <w:rsid w:val="001E247A"/>
    <w:rsid w:val="001E2519"/>
    <w:rsid w:val="001E257B"/>
    <w:rsid w:val="001E2590"/>
    <w:rsid w:val="001E25A4"/>
    <w:rsid w:val="001E25CD"/>
    <w:rsid w:val="001E25DC"/>
    <w:rsid w:val="001E25ED"/>
    <w:rsid w:val="001E25F7"/>
    <w:rsid w:val="001E26BB"/>
    <w:rsid w:val="001E26C3"/>
    <w:rsid w:val="001E26F6"/>
    <w:rsid w:val="001E2714"/>
    <w:rsid w:val="001E2739"/>
    <w:rsid w:val="001E2773"/>
    <w:rsid w:val="001E2782"/>
    <w:rsid w:val="001E27AD"/>
    <w:rsid w:val="001E2838"/>
    <w:rsid w:val="001E286F"/>
    <w:rsid w:val="001E2890"/>
    <w:rsid w:val="001E28A8"/>
    <w:rsid w:val="001E28F7"/>
    <w:rsid w:val="001E2913"/>
    <w:rsid w:val="001E2919"/>
    <w:rsid w:val="001E291F"/>
    <w:rsid w:val="001E292F"/>
    <w:rsid w:val="001E2932"/>
    <w:rsid w:val="001E29A3"/>
    <w:rsid w:val="001E29C4"/>
    <w:rsid w:val="001E29D1"/>
    <w:rsid w:val="001E29DF"/>
    <w:rsid w:val="001E2A36"/>
    <w:rsid w:val="001E2A3B"/>
    <w:rsid w:val="001E2A9B"/>
    <w:rsid w:val="001E2AC3"/>
    <w:rsid w:val="001E2AD9"/>
    <w:rsid w:val="001E2AE4"/>
    <w:rsid w:val="001E2AF1"/>
    <w:rsid w:val="001E2B09"/>
    <w:rsid w:val="001E2B75"/>
    <w:rsid w:val="001E2B87"/>
    <w:rsid w:val="001E2BDB"/>
    <w:rsid w:val="001E2BE6"/>
    <w:rsid w:val="001E2C3B"/>
    <w:rsid w:val="001E2C55"/>
    <w:rsid w:val="001E2CBC"/>
    <w:rsid w:val="001E2CF3"/>
    <w:rsid w:val="001E2D1E"/>
    <w:rsid w:val="001E2D40"/>
    <w:rsid w:val="001E2DC1"/>
    <w:rsid w:val="001E2DD7"/>
    <w:rsid w:val="001E2E01"/>
    <w:rsid w:val="001E2E29"/>
    <w:rsid w:val="001E2EB7"/>
    <w:rsid w:val="001E2ED9"/>
    <w:rsid w:val="001E2EE7"/>
    <w:rsid w:val="001E2F5D"/>
    <w:rsid w:val="001E2F76"/>
    <w:rsid w:val="001E2FB7"/>
    <w:rsid w:val="001E2FDD"/>
    <w:rsid w:val="001E3012"/>
    <w:rsid w:val="001E3021"/>
    <w:rsid w:val="001E303B"/>
    <w:rsid w:val="001E3043"/>
    <w:rsid w:val="001E304C"/>
    <w:rsid w:val="001E308D"/>
    <w:rsid w:val="001E309B"/>
    <w:rsid w:val="001E30A5"/>
    <w:rsid w:val="001E30C4"/>
    <w:rsid w:val="001E30EA"/>
    <w:rsid w:val="001E30F5"/>
    <w:rsid w:val="001E3154"/>
    <w:rsid w:val="001E317B"/>
    <w:rsid w:val="001E3195"/>
    <w:rsid w:val="001E31A1"/>
    <w:rsid w:val="001E31EC"/>
    <w:rsid w:val="001E3331"/>
    <w:rsid w:val="001E3343"/>
    <w:rsid w:val="001E339A"/>
    <w:rsid w:val="001E33C1"/>
    <w:rsid w:val="001E33C2"/>
    <w:rsid w:val="001E33E1"/>
    <w:rsid w:val="001E3432"/>
    <w:rsid w:val="001E3488"/>
    <w:rsid w:val="001E3498"/>
    <w:rsid w:val="001E34A7"/>
    <w:rsid w:val="001E3516"/>
    <w:rsid w:val="001E3548"/>
    <w:rsid w:val="001E359A"/>
    <w:rsid w:val="001E35A4"/>
    <w:rsid w:val="001E35CA"/>
    <w:rsid w:val="001E3603"/>
    <w:rsid w:val="001E362F"/>
    <w:rsid w:val="001E36A2"/>
    <w:rsid w:val="001E3731"/>
    <w:rsid w:val="001E377A"/>
    <w:rsid w:val="001E37BA"/>
    <w:rsid w:val="001E37E3"/>
    <w:rsid w:val="001E3855"/>
    <w:rsid w:val="001E38D9"/>
    <w:rsid w:val="001E395B"/>
    <w:rsid w:val="001E3978"/>
    <w:rsid w:val="001E399C"/>
    <w:rsid w:val="001E3A11"/>
    <w:rsid w:val="001E3A30"/>
    <w:rsid w:val="001E3AF7"/>
    <w:rsid w:val="001E3B4A"/>
    <w:rsid w:val="001E3B4C"/>
    <w:rsid w:val="001E3B55"/>
    <w:rsid w:val="001E3BDA"/>
    <w:rsid w:val="001E3BFF"/>
    <w:rsid w:val="001E3C17"/>
    <w:rsid w:val="001E3CA6"/>
    <w:rsid w:val="001E3D0F"/>
    <w:rsid w:val="001E3D1E"/>
    <w:rsid w:val="001E3D80"/>
    <w:rsid w:val="001E3D86"/>
    <w:rsid w:val="001E3D9F"/>
    <w:rsid w:val="001E3DC6"/>
    <w:rsid w:val="001E3DE0"/>
    <w:rsid w:val="001E3DF4"/>
    <w:rsid w:val="001E3E16"/>
    <w:rsid w:val="001E3E19"/>
    <w:rsid w:val="001E3E30"/>
    <w:rsid w:val="001E3E64"/>
    <w:rsid w:val="001E3EA7"/>
    <w:rsid w:val="001E3EB2"/>
    <w:rsid w:val="001E3EE6"/>
    <w:rsid w:val="001E3FA2"/>
    <w:rsid w:val="001E3FB4"/>
    <w:rsid w:val="001E3FE5"/>
    <w:rsid w:val="001E3FE8"/>
    <w:rsid w:val="001E401A"/>
    <w:rsid w:val="001E40C1"/>
    <w:rsid w:val="001E40E6"/>
    <w:rsid w:val="001E40EA"/>
    <w:rsid w:val="001E410C"/>
    <w:rsid w:val="001E412D"/>
    <w:rsid w:val="001E4146"/>
    <w:rsid w:val="001E4161"/>
    <w:rsid w:val="001E416A"/>
    <w:rsid w:val="001E4173"/>
    <w:rsid w:val="001E41CE"/>
    <w:rsid w:val="001E41D1"/>
    <w:rsid w:val="001E41E8"/>
    <w:rsid w:val="001E4204"/>
    <w:rsid w:val="001E4222"/>
    <w:rsid w:val="001E425F"/>
    <w:rsid w:val="001E435C"/>
    <w:rsid w:val="001E440E"/>
    <w:rsid w:val="001E443E"/>
    <w:rsid w:val="001E446B"/>
    <w:rsid w:val="001E448A"/>
    <w:rsid w:val="001E44C3"/>
    <w:rsid w:val="001E44C6"/>
    <w:rsid w:val="001E44CE"/>
    <w:rsid w:val="001E44E5"/>
    <w:rsid w:val="001E4539"/>
    <w:rsid w:val="001E456D"/>
    <w:rsid w:val="001E459A"/>
    <w:rsid w:val="001E45BE"/>
    <w:rsid w:val="001E45C0"/>
    <w:rsid w:val="001E45C7"/>
    <w:rsid w:val="001E460A"/>
    <w:rsid w:val="001E463A"/>
    <w:rsid w:val="001E4642"/>
    <w:rsid w:val="001E4685"/>
    <w:rsid w:val="001E46DD"/>
    <w:rsid w:val="001E46E6"/>
    <w:rsid w:val="001E46F7"/>
    <w:rsid w:val="001E4702"/>
    <w:rsid w:val="001E4722"/>
    <w:rsid w:val="001E475A"/>
    <w:rsid w:val="001E475F"/>
    <w:rsid w:val="001E47B1"/>
    <w:rsid w:val="001E47B4"/>
    <w:rsid w:val="001E4804"/>
    <w:rsid w:val="001E4812"/>
    <w:rsid w:val="001E4845"/>
    <w:rsid w:val="001E4883"/>
    <w:rsid w:val="001E4894"/>
    <w:rsid w:val="001E48A9"/>
    <w:rsid w:val="001E490E"/>
    <w:rsid w:val="001E4938"/>
    <w:rsid w:val="001E493E"/>
    <w:rsid w:val="001E4970"/>
    <w:rsid w:val="001E497C"/>
    <w:rsid w:val="001E4981"/>
    <w:rsid w:val="001E4A2C"/>
    <w:rsid w:val="001E4AB8"/>
    <w:rsid w:val="001E4ACF"/>
    <w:rsid w:val="001E4AD2"/>
    <w:rsid w:val="001E4B62"/>
    <w:rsid w:val="001E4B7A"/>
    <w:rsid w:val="001E4BB5"/>
    <w:rsid w:val="001E4BD6"/>
    <w:rsid w:val="001E4C46"/>
    <w:rsid w:val="001E4C54"/>
    <w:rsid w:val="001E4CE0"/>
    <w:rsid w:val="001E4CE3"/>
    <w:rsid w:val="001E4D24"/>
    <w:rsid w:val="001E4D68"/>
    <w:rsid w:val="001E4D6B"/>
    <w:rsid w:val="001E4D82"/>
    <w:rsid w:val="001E4D8A"/>
    <w:rsid w:val="001E4DC4"/>
    <w:rsid w:val="001E4DC5"/>
    <w:rsid w:val="001E4DD6"/>
    <w:rsid w:val="001E4DE0"/>
    <w:rsid w:val="001E4E14"/>
    <w:rsid w:val="001E4E59"/>
    <w:rsid w:val="001E4E71"/>
    <w:rsid w:val="001E4ECC"/>
    <w:rsid w:val="001E4ED4"/>
    <w:rsid w:val="001E4F28"/>
    <w:rsid w:val="001E4F29"/>
    <w:rsid w:val="001E4F5F"/>
    <w:rsid w:val="001E5053"/>
    <w:rsid w:val="001E5056"/>
    <w:rsid w:val="001E50B5"/>
    <w:rsid w:val="001E50F8"/>
    <w:rsid w:val="001E5167"/>
    <w:rsid w:val="001E517E"/>
    <w:rsid w:val="001E51B5"/>
    <w:rsid w:val="001E51C6"/>
    <w:rsid w:val="001E528E"/>
    <w:rsid w:val="001E536C"/>
    <w:rsid w:val="001E53F7"/>
    <w:rsid w:val="001E5459"/>
    <w:rsid w:val="001E546E"/>
    <w:rsid w:val="001E5492"/>
    <w:rsid w:val="001E54EF"/>
    <w:rsid w:val="001E5533"/>
    <w:rsid w:val="001E557C"/>
    <w:rsid w:val="001E5581"/>
    <w:rsid w:val="001E55AC"/>
    <w:rsid w:val="001E55BA"/>
    <w:rsid w:val="001E55F8"/>
    <w:rsid w:val="001E5632"/>
    <w:rsid w:val="001E5639"/>
    <w:rsid w:val="001E56B7"/>
    <w:rsid w:val="001E570F"/>
    <w:rsid w:val="001E5726"/>
    <w:rsid w:val="001E5737"/>
    <w:rsid w:val="001E5792"/>
    <w:rsid w:val="001E57CF"/>
    <w:rsid w:val="001E5837"/>
    <w:rsid w:val="001E5858"/>
    <w:rsid w:val="001E5886"/>
    <w:rsid w:val="001E58DD"/>
    <w:rsid w:val="001E58F2"/>
    <w:rsid w:val="001E598B"/>
    <w:rsid w:val="001E59D4"/>
    <w:rsid w:val="001E5A39"/>
    <w:rsid w:val="001E5A6C"/>
    <w:rsid w:val="001E5A99"/>
    <w:rsid w:val="001E5ABF"/>
    <w:rsid w:val="001E5AFE"/>
    <w:rsid w:val="001E5B05"/>
    <w:rsid w:val="001E5B3D"/>
    <w:rsid w:val="001E5B77"/>
    <w:rsid w:val="001E5BAD"/>
    <w:rsid w:val="001E5BD1"/>
    <w:rsid w:val="001E5BFE"/>
    <w:rsid w:val="001E5C43"/>
    <w:rsid w:val="001E5CB0"/>
    <w:rsid w:val="001E5CDD"/>
    <w:rsid w:val="001E5CF1"/>
    <w:rsid w:val="001E5D27"/>
    <w:rsid w:val="001E5D2D"/>
    <w:rsid w:val="001E5D83"/>
    <w:rsid w:val="001E5D9A"/>
    <w:rsid w:val="001E5DC9"/>
    <w:rsid w:val="001E5E06"/>
    <w:rsid w:val="001E5E0D"/>
    <w:rsid w:val="001E5E4D"/>
    <w:rsid w:val="001E5E7A"/>
    <w:rsid w:val="001E5EFC"/>
    <w:rsid w:val="001E5F0D"/>
    <w:rsid w:val="001E5FAE"/>
    <w:rsid w:val="001E606D"/>
    <w:rsid w:val="001E60BD"/>
    <w:rsid w:val="001E61AD"/>
    <w:rsid w:val="001E61AE"/>
    <w:rsid w:val="001E61CB"/>
    <w:rsid w:val="001E627A"/>
    <w:rsid w:val="001E6298"/>
    <w:rsid w:val="001E62A0"/>
    <w:rsid w:val="001E62BA"/>
    <w:rsid w:val="001E6319"/>
    <w:rsid w:val="001E6345"/>
    <w:rsid w:val="001E634C"/>
    <w:rsid w:val="001E6362"/>
    <w:rsid w:val="001E63EC"/>
    <w:rsid w:val="001E63F8"/>
    <w:rsid w:val="001E645C"/>
    <w:rsid w:val="001E6465"/>
    <w:rsid w:val="001E646A"/>
    <w:rsid w:val="001E6491"/>
    <w:rsid w:val="001E64B9"/>
    <w:rsid w:val="001E6506"/>
    <w:rsid w:val="001E650C"/>
    <w:rsid w:val="001E653C"/>
    <w:rsid w:val="001E655A"/>
    <w:rsid w:val="001E655D"/>
    <w:rsid w:val="001E657B"/>
    <w:rsid w:val="001E6592"/>
    <w:rsid w:val="001E659C"/>
    <w:rsid w:val="001E65ED"/>
    <w:rsid w:val="001E65F9"/>
    <w:rsid w:val="001E6655"/>
    <w:rsid w:val="001E6658"/>
    <w:rsid w:val="001E6694"/>
    <w:rsid w:val="001E66F1"/>
    <w:rsid w:val="001E66F8"/>
    <w:rsid w:val="001E67F3"/>
    <w:rsid w:val="001E6819"/>
    <w:rsid w:val="001E6850"/>
    <w:rsid w:val="001E6851"/>
    <w:rsid w:val="001E685C"/>
    <w:rsid w:val="001E68E5"/>
    <w:rsid w:val="001E6901"/>
    <w:rsid w:val="001E690D"/>
    <w:rsid w:val="001E6931"/>
    <w:rsid w:val="001E693D"/>
    <w:rsid w:val="001E696E"/>
    <w:rsid w:val="001E6971"/>
    <w:rsid w:val="001E699E"/>
    <w:rsid w:val="001E6AD5"/>
    <w:rsid w:val="001E6AE7"/>
    <w:rsid w:val="001E6B29"/>
    <w:rsid w:val="001E6B30"/>
    <w:rsid w:val="001E6B7B"/>
    <w:rsid w:val="001E6BA4"/>
    <w:rsid w:val="001E6BB5"/>
    <w:rsid w:val="001E6BC3"/>
    <w:rsid w:val="001E6C4D"/>
    <w:rsid w:val="001E6C9B"/>
    <w:rsid w:val="001E6CCD"/>
    <w:rsid w:val="001E6CDB"/>
    <w:rsid w:val="001E6CDE"/>
    <w:rsid w:val="001E6CF0"/>
    <w:rsid w:val="001E6D42"/>
    <w:rsid w:val="001E6D8F"/>
    <w:rsid w:val="001E6DA7"/>
    <w:rsid w:val="001E6DDD"/>
    <w:rsid w:val="001E6E43"/>
    <w:rsid w:val="001E6E49"/>
    <w:rsid w:val="001E6E5C"/>
    <w:rsid w:val="001E6E89"/>
    <w:rsid w:val="001E6E8D"/>
    <w:rsid w:val="001E6E9D"/>
    <w:rsid w:val="001E6ECB"/>
    <w:rsid w:val="001E6F02"/>
    <w:rsid w:val="001E6F1C"/>
    <w:rsid w:val="001E6FAF"/>
    <w:rsid w:val="001E7057"/>
    <w:rsid w:val="001E7071"/>
    <w:rsid w:val="001E707B"/>
    <w:rsid w:val="001E70C6"/>
    <w:rsid w:val="001E70FB"/>
    <w:rsid w:val="001E7152"/>
    <w:rsid w:val="001E717C"/>
    <w:rsid w:val="001E718B"/>
    <w:rsid w:val="001E71A1"/>
    <w:rsid w:val="001E72DB"/>
    <w:rsid w:val="001E7324"/>
    <w:rsid w:val="001E732D"/>
    <w:rsid w:val="001E7343"/>
    <w:rsid w:val="001E7344"/>
    <w:rsid w:val="001E7351"/>
    <w:rsid w:val="001E73B1"/>
    <w:rsid w:val="001E73BB"/>
    <w:rsid w:val="001E73DC"/>
    <w:rsid w:val="001E7402"/>
    <w:rsid w:val="001E747B"/>
    <w:rsid w:val="001E7498"/>
    <w:rsid w:val="001E74AE"/>
    <w:rsid w:val="001E755F"/>
    <w:rsid w:val="001E758C"/>
    <w:rsid w:val="001E75B4"/>
    <w:rsid w:val="001E75B5"/>
    <w:rsid w:val="001E75F3"/>
    <w:rsid w:val="001E7632"/>
    <w:rsid w:val="001E7749"/>
    <w:rsid w:val="001E774F"/>
    <w:rsid w:val="001E7790"/>
    <w:rsid w:val="001E7792"/>
    <w:rsid w:val="001E77BF"/>
    <w:rsid w:val="001E77C7"/>
    <w:rsid w:val="001E77DD"/>
    <w:rsid w:val="001E780B"/>
    <w:rsid w:val="001E7817"/>
    <w:rsid w:val="001E7831"/>
    <w:rsid w:val="001E7847"/>
    <w:rsid w:val="001E7851"/>
    <w:rsid w:val="001E7887"/>
    <w:rsid w:val="001E7890"/>
    <w:rsid w:val="001E78A3"/>
    <w:rsid w:val="001E78BB"/>
    <w:rsid w:val="001E78D0"/>
    <w:rsid w:val="001E78D3"/>
    <w:rsid w:val="001E7932"/>
    <w:rsid w:val="001E797C"/>
    <w:rsid w:val="001E79AB"/>
    <w:rsid w:val="001E79DF"/>
    <w:rsid w:val="001E7A57"/>
    <w:rsid w:val="001E7A6B"/>
    <w:rsid w:val="001E7ACD"/>
    <w:rsid w:val="001E7AE5"/>
    <w:rsid w:val="001E7B32"/>
    <w:rsid w:val="001E7B36"/>
    <w:rsid w:val="001E7B51"/>
    <w:rsid w:val="001E7B69"/>
    <w:rsid w:val="001E7B97"/>
    <w:rsid w:val="001E7BA5"/>
    <w:rsid w:val="001E7BAC"/>
    <w:rsid w:val="001E7C18"/>
    <w:rsid w:val="001E7C39"/>
    <w:rsid w:val="001E7C3C"/>
    <w:rsid w:val="001E7C57"/>
    <w:rsid w:val="001E7C84"/>
    <w:rsid w:val="001E7CD0"/>
    <w:rsid w:val="001E7CE0"/>
    <w:rsid w:val="001E7CE8"/>
    <w:rsid w:val="001E7D06"/>
    <w:rsid w:val="001E7D2F"/>
    <w:rsid w:val="001E7D63"/>
    <w:rsid w:val="001E7D67"/>
    <w:rsid w:val="001E7DCE"/>
    <w:rsid w:val="001E7E09"/>
    <w:rsid w:val="001E7E10"/>
    <w:rsid w:val="001E7E13"/>
    <w:rsid w:val="001E7E26"/>
    <w:rsid w:val="001E7E65"/>
    <w:rsid w:val="001E7EAB"/>
    <w:rsid w:val="001F000B"/>
    <w:rsid w:val="001F000D"/>
    <w:rsid w:val="001F0015"/>
    <w:rsid w:val="001F005B"/>
    <w:rsid w:val="001F0091"/>
    <w:rsid w:val="001F009E"/>
    <w:rsid w:val="001F00CA"/>
    <w:rsid w:val="001F00D5"/>
    <w:rsid w:val="001F00E7"/>
    <w:rsid w:val="001F0121"/>
    <w:rsid w:val="001F013F"/>
    <w:rsid w:val="001F01B2"/>
    <w:rsid w:val="001F01F3"/>
    <w:rsid w:val="001F022E"/>
    <w:rsid w:val="001F0233"/>
    <w:rsid w:val="001F02AC"/>
    <w:rsid w:val="001F02B7"/>
    <w:rsid w:val="001F02C4"/>
    <w:rsid w:val="001F02D9"/>
    <w:rsid w:val="001F02E7"/>
    <w:rsid w:val="001F02EA"/>
    <w:rsid w:val="001F02F9"/>
    <w:rsid w:val="001F0303"/>
    <w:rsid w:val="001F0341"/>
    <w:rsid w:val="001F0348"/>
    <w:rsid w:val="001F03EF"/>
    <w:rsid w:val="001F0425"/>
    <w:rsid w:val="001F0434"/>
    <w:rsid w:val="001F050D"/>
    <w:rsid w:val="001F050F"/>
    <w:rsid w:val="001F0542"/>
    <w:rsid w:val="001F0546"/>
    <w:rsid w:val="001F054A"/>
    <w:rsid w:val="001F0564"/>
    <w:rsid w:val="001F05AC"/>
    <w:rsid w:val="001F064F"/>
    <w:rsid w:val="001F06FF"/>
    <w:rsid w:val="001F0725"/>
    <w:rsid w:val="001F075B"/>
    <w:rsid w:val="001F0766"/>
    <w:rsid w:val="001F0796"/>
    <w:rsid w:val="001F0799"/>
    <w:rsid w:val="001F07A9"/>
    <w:rsid w:val="001F07C2"/>
    <w:rsid w:val="001F07D6"/>
    <w:rsid w:val="001F07F0"/>
    <w:rsid w:val="001F07FD"/>
    <w:rsid w:val="001F0805"/>
    <w:rsid w:val="001F0839"/>
    <w:rsid w:val="001F0896"/>
    <w:rsid w:val="001F08B2"/>
    <w:rsid w:val="001F08DC"/>
    <w:rsid w:val="001F0902"/>
    <w:rsid w:val="001F0936"/>
    <w:rsid w:val="001F0949"/>
    <w:rsid w:val="001F097A"/>
    <w:rsid w:val="001F097E"/>
    <w:rsid w:val="001F0993"/>
    <w:rsid w:val="001F09CF"/>
    <w:rsid w:val="001F09D6"/>
    <w:rsid w:val="001F0B4A"/>
    <w:rsid w:val="001F0BC4"/>
    <w:rsid w:val="001F0BC7"/>
    <w:rsid w:val="001F0BC9"/>
    <w:rsid w:val="001F0BD0"/>
    <w:rsid w:val="001F0BF6"/>
    <w:rsid w:val="001F0C1C"/>
    <w:rsid w:val="001F0C26"/>
    <w:rsid w:val="001F0C2B"/>
    <w:rsid w:val="001F0C80"/>
    <w:rsid w:val="001F0C8C"/>
    <w:rsid w:val="001F0CC4"/>
    <w:rsid w:val="001F0CE8"/>
    <w:rsid w:val="001F0CF6"/>
    <w:rsid w:val="001F0D07"/>
    <w:rsid w:val="001F0D23"/>
    <w:rsid w:val="001F0D38"/>
    <w:rsid w:val="001F0DEF"/>
    <w:rsid w:val="001F0EB4"/>
    <w:rsid w:val="001F0F1E"/>
    <w:rsid w:val="001F0F2E"/>
    <w:rsid w:val="001F0F54"/>
    <w:rsid w:val="001F0F78"/>
    <w:rsid w:val="001F0F7C"/>
    <w:rsid w:val="001F0FAA"/>
    <w:rsid w:val="001F0FB3"/>
    <w:rsid w:val="001F0FF4"/>
    <w:rsid w:val="001F1032"/>
    <w:rsid w:val="001F10A3"/>
    <w:rsid w:val="001F10CB"/>
    <w:rsid w:val="001F1125"/>
    <w:rsid w:val="001F1173"/>
    <w:rsid w:val="001F1192"/>
    <w:rsid w:val="001F11B3"/>
    <w:rsid w:val="001F11B9"/>
    <w:rsid w:val="001F11E5"/>
    <w:rsid w:val="001F11EF"/>
    <w:rsid w:val="001F11F7"/>
    <w:rsid w:val="001F1207"/>
    <w:rsid w:val="001F1240"/>
    <w:rsid w:val="001F1263"/>
    <w:rsid w:val="001F12BC"/>
    <w:rsid w:val="001F12C2"/>
    <w:rsid w:val="001F12C4"/>
    <w:rsid w:val="001F1303"/>
    <w:rsid w:val="001F131E"/>
    <w:rsid w:val="001F135A"/>
    <w:rsid w:val="001F136A"/>
    <w:rsid w:val="001F13F4"/>
    <w:rsid w:val="001F143F"/>
    <w:rsid w:val="001F14C1"/>
    <w:rsid w:val="001F14D9"/>
    <w:rsid w:val="001F14F1"/>
    <w:rsid w:val="001F1504"/>
    <w:rsid w:val="001F152F"/>
    <w:rsid w:val="001F1539"/>
    <w:rsid w:val="001F154A"/>
    <w:rsid w:val="001F1583"/>
    <w:rsid w:val="001F1596"/>
    <w:rsid w:val="001F15E6"/>
    <w:rsid w:val="001F15E9"/>
    <w:rsid w:val="001F15F2"/>
    <w:rsid w:val="001F15F4"/>
    <w:rsid w:val="001F1626"/>
    <w:rsid w:val="001F1699"/>
    <w:rsid w:val="001F16A0"/>
    <w:rsid w:val="001F16BF"/>
    <w:rsid w:val="001F16C5"/>
    <w:rsid w:val="001F16DF"/>
    <w:rsid w:val="001F1718"/>
    <w:rsid w:val="001F1743"/>
    <w:rsid w:val="001F175A"/>
    <w:rsid w:val="001F179E"/>
    <w:rsid w:val="001F17EA"/>
    <w:rsid w:val="001F17FA"/>
    <w:rsid w:val="001F17FF"/>
    <w:rsid w:val="001F1846"/>
    <w:rsid w:val="001F1877"/>
    <w:rsid w:val="001F1892"/>
    <w:rsid w:val="001F18A2"/>
    <w:rsid w:val="001F1911"/>
    <w:rsid w:val="001F196D"/>
    <w:rsid w:val="001F19A1"/>
    <w:rsid w:val="001F19BE"/>
    <w:rsid w:val="001F19FA"/>
    <w:rsid w:val="001F1A3C"/>
    <w:rsid w:val="001F1B08"/>
    <w:rsid w:val="001F1B77"/>
    <w:rsid w:val="001F1BE7"/>
    <w:rsid w:val="001F1C51"/>
    <w:rsid w:val="001F1C64"/>
    <w:rsid w:val="001F1C9D"/>
    <w:rsid w:val="001F1CA5"/>
    <w:rsid w:val="001F1CBB"/>
    <w:rsid w:val="001F1CC6"/>
    <w:rsid w:val="001F1CE2"/>
    <w:rsid w:val="001F1D2B"/>
    <w:rsid w:val="001F1D38"/>
    <w:rsid w:val="001F1D70"/>
    <w:rsid w:val="001F1D81"/>
    <w:rsid w:val="001F1E33"/>
    <w:rsid w:val="001F1E6C"/>
    <w:rsid w:val="001F1E80"/>
    <w:rsid w:val="001F1ED9"/>
    <w:rsid w:val="001F1F0B"/>
    <w:rsid w:val="001F1F0D"/>
    <w:rsid w:val="001F1F14"/>
    <w:rsid w:val="001F1F1B"/>
    <w:rsid w:val="001F1F47"/>
    <w:rsid w:val="001F1FB9"/>
    <w:rsid w:val="001F205B"/>
    <w:rsid w:val="001F2082"/>
    <w:rsid w:val="001F20AC"/>
    <w:rsid w:val="001F20B7"/>
    <w:rsid w:val="001F20DA"/>
    <w:rsid w:val="001F20F0"/>
    <w:rsid w:val="001F212F"/>
    <w:rsid w:val="001F2139"/>
    <w:rsid w:val="001F2171"/>
    <w:rsid w:val="001F218C"/>
    <w:rsid w:val="001F2191"/>
    <w:rsid w:val="001F2199"/>
    <w:rsid w:val="001F21AB"/>
    <w:rsid w:val="001F21B0"/>
    <w:rsid w:val="001F21B4"/>
    <w:rsid w:val="001F21B6"/>
    <w:rsid w:val="001F21C5"/>
    <w:rsid w:val="001F21D2"/>
    <w:rsid w:val="001F21F6"/>
    <w:rsid w:val="001F21F8"/>
    <w:rsid w:val="001F220E"/>
    <w:rsid w:val="001F224F"/>
    <w:rsid w:val="001F2293"/>
    <w:rsid w:val="001F229A"/>
    <w:rsid w:val="001F22CE"/>
    <w:rsid w:val="001F22D4"/>
    <w:rsid w:val="001F22DE"/>
    <w:rsid w:val="001F22FF"/>
    <w:rsid w:val="001F230F"/>
    <w:rsid w:val="001F2458"/>
    <w:rsid w:val="001F2493"/>
    <w:rsid w:val="001F24D8"/>
    <w:rsid w:val="001F24DF"/>
    <w:rsid w:val="001F24F2"/>
    <w:rsid w:val="001F254E"/>
    <w:rsid w:val="001F257F"/>
    <w:rsid w:val="001F2591"/>
    <w:rsid w:val="001F2596"/>
    <w:rsid w:val="001F25AB"/>
    <w:rsid w:val="001F2603"/>
    <w:rsid w:val="001F2639"/>
    <w:rsid w:val="001F26B9"/>
    <w:rsid w:val="001F26D0"/>
    <w:rsid w:val="001F26D1"/>
    <w:rsid w:val="001F275B"/>
    <w:rsid w:val="001F27C8"/>
    <w:rsid w:val="001F27FB"/>
    <w:rsid w:val="001F283E"/>
    <w:rsid w:val="001F2857"/>
    <w:rsid w:val="001F28D8"/>
    <w:rsid w:val="001F28E3"/>
    <w:rsid w:val="001F2928"/>
    <w:rsid w:val="001F297A"/>
    <w:rsid w:val="001F298D"/>
    <w:rsid w:val="001F29A1"/>
    <w:rsid w:val="001F29CD"/>
    <w:rsid w:val="001F29E2"/>
    <w:rsid w:val="001F29FA"/>
    <w:rsid w:val="001F2A1F"/>
    <w:rsid w:val="001F2A77"/>
    <w:rsid w:val="001F2B2D"/>
    <w:rsid w:val="001F2B3C"/>
    <w:rsid w:val="001F2B7D"/>
    <w:rsid w:val="001F2B92"/>
    <w:rsid w:val="001F2BB1"/>
    <w:rsid w:val="001F2BD1"/>
    <w:rsid w:val="001F2C1D"/>
    <w:rsid w:val="001F2C20"/>
    <w:rsid w:val="001F2C28"/>
    <w:rsid w:val="001F2C54"/>
    <w:rsid w:val="001F2CAB"/>
    <w:rsid w:val="001F2CB3"/>
    <w:rsid w:val="001F2CC3"/>
    <w:rsid w:val="001F2D0F"/>
    <w:rsid w:val="001F2D1E"/>
    <w:rsid w:val="001F2D74"/>
    <w:rsid w:val="001F2DF7"/>
    <w:rsid w:val="001F2E00"/>
    <w:rsid w:val="001F2EC1"/>
    <w:rsid w:val="001F2F42"/>
    <w:rsid w:val="001F2F48"/>
    <w:rsid w:val="001F2F93"/>
    <w:rsid w:val="001F2FA9"/>
    <w:rsid w:val="001F2FBC"/>
    <w:rsid w:val="001F3030"/>
    <w:rsid w:val="001F304F"/>
    <w:rsid w:val="001F3085"/>
    <w:rsid w:val="001F3094"/>
    <w:rsid w:val="001F3188"/>
    <w:rsid w:val="001F3202"/>
    <w:rsid w:val="001F3211"/>
    <w:rsid w:val="001F3238"/>
    <w:rsid w:val="001F3292"/>
    <w:rsid w:val="001F32DA"/>
    <w:rsid w:val="001F3308"/>
    <w:rsid w:val="001F330A"/>
    <w:rsid w:val="001F3314"/>
    <w:rsid w:val="001F3315"/>
    <w:rsid w:val="001F333C"/>
    <w:rsid w:val="001F3391"/>
    <w:rsid w:val="001F3405"/>
    <w:rsid w:val="001F341A"/>
    <w:rsid w:val="001F3450"/>
    <w:rsid w:val="001F3484"/>
    <w:rsid w:val="001F34CA"/>
    <w:rsid w:val="001F3557"/>
    <w:rsid w:val="001F3567"/>
    <w:rsid w:val="001F3582"/>
    <w:rsid w:val="001F3586"/>
    <w:rsid w:val="001F35A7"/>
    <w:rsid w:val="001F35AE"/>
    <w:rsid w:val="001F36E4"/>
    <w:rsid w:val="001F372D"/>
    <w:rsid w:val="001F377A"/>
    <w:rsid w:val="001F3790"/>
    <w:rsid w:val="001F37D0"/>
    <w:rsid w:val="001F381A"/>
    <w:rsid w:val="001F382F"/>
    <w:rsid w:val="001F3851"/>
    <w:rsid w:val="001F388C"/>
    <w:rsid w:val="001F388D"/>
    <w:rsid w:val="001F389F"/>
    <w:rsid w:val="001F38A4"/>
    <w:rsid w:val="001F38B5"/>
    <w:rsid w:val="001F38BE"/>
    <w:rsid w:val="001F38CB"/>
    <w:rsid w:val="001F391A"/>
    <w:rsid w:val="001F3981"/>
    <w:rsid w:val="001F39A8"/>
    <w:rsid w:val="001F3A60"/>
    <w:rsid w:val="001F3A95"/>
    <w:rsid w:val="001F3ADE"/>
    <w:rsid w:val="001F3B46"/>
    <w:rsid w:val="001F3B7E"/>
    <w:rsid w:val="001F3BCF"/>
    <w:rsid w:val="001F3BDC"/>
    <w:rsid w:val="001F3BDD"/>
    <w:rsid w:val="001F3BEC"/>
    <w:rsid w:val="001F3C4D"/>
    <w:rsid w:val="001F3CC0"/>
    <w:rsid w:val="001F3CDC"/>
    <w:rsid w:val="001F3D2A"/>
    <w:rsid w:val="001F3D31"/>
    <w:rsid w:val="001F3D37"/>
    <w:rsid w:val="001F3D55"/>
    <w:rsid w:val="001F3D5F"/>
    <w:rsid w:val="001F3D80"/>
    <w:rsid w:val="001F3D8C"/>
    <w:rsid w:val="001F3D90"/>
    <w:rsid w:val="001F3DD1"/>
    <w:rsid w:val="001F3E37"/>
    <w:rsid w:val="001F3E4A"/>
    <w:rsid w:val="001F3E7D"/>
    <w:rsid w:val="001F3E7E"/>
    <w:rsid w:val="001F3EE5"/>
    <w:rsid w:val="001F3F51"/>
    <w:rsid w:val="001F3F55"/>
    <w:rsid w:val="001F3F85"/>
    <w:rsid w:val="001F3FB4"/>
    <w:rsid w:val="001F3FB6"/>
    <w:rsid w:val="001F3FC9"/>
    <w:rsid w:val="001F400F"/>
    <w:rsid w:val="001F4035"/>
    <w:rsid w:val="001F4049"/>
    <w:rsid w:val="001F40B0"/>
    <w:rsid w:val="001F4115"/>
    <w:rsid w:val="001F41CA"/>
    <w:rsid w:val="001F41DC"/>
    <w:rsid w:val="001F4246"/>
    <w:rsid w:val="001F428C"/>
    <w:rsid w:val="001F4292"/>
    <w:rsid w:val="001F429B"/>
    <w:rsid w:val="001F42BD"/>
    <w:rsid w:val="001F42D8"/>
    <w:rsid w:val="001F42F5"/>
    <w:rsid w:val="001F4349"/>
    <w:rsid w:val="001F4353"/>
    <w:rsid w:val="001F4399"/>
    <w:rsid w:val="001F43AA"/>
    <w:rsid w:val="001F441C"/>
    <w:rsid w:val="001F442B"/>
    <w:rsid w:val="001F446A"/>
    <w:rsid w:val="001F447E"/>
    <w:rsid w:val="001F4482"/>
    <w:rsid w:val="001F4510"/>
    <w:rsid w:val="001F4537"/>
    <w:rsid w:val="001F4569"/>
    <w:rsid w:val="001F456A"/>
    <w:rsid w:val="001F4577"/>
    <w:rsid w:val="001F45D8"/>
    <w:rsid w:val="001F4616"/>
    <w:rsid w:val="001F4649"/>
    <w:rsid w:val="001F467A"/>
    <w:rsid w:val="001F4681"/>
    <w:rsid w:val="001F4730"/>
    <w:rsid w:val="001F4749"/>
    <w:rsid w:val="001F4760"/>
    <w:rsid w:val="001F4823"/>
    <w:rsid w:val="001F482E"/>
    <w:rsid w:val="001F486C"/>
    <w:rsid w:val="001F488C"/>
    <w:rsid w:val="001F489B"/>
    <w:rsid w:val="001F48D6"/>
    <w:rsid w:val="001F48D8"/>
    <w:rsid w:val="001F48E2"/>
    <w:rsid w:val="001F4923"/>
    <w:rsid w:val="001F4970"/>
    <w:rsid w:val="001F49C3"/>
    <w:rsid w:val="001F49D4"/>
    <w:rsid w:val="001F4AE7"/>
    <w:rsid w:val="001F4AF8"/>
    <w:rsid w:val="001F4B3B"/>
    <w:rsid w:val="001F4B60"/>
    <w:rsid w:val="001F4B83"/>
    <w:rsid w:val="001F4BE0"/>
    <w:rsid w:val="001F4BFC"/>
    <w:rsid w:val="001F4C08"/>
    <w:rsid w:val="001F4D40"/>
    <w:rsid w:val="001F4D59"/>
    <w:rsid w:val="001F4D5C"/>
    <w:rsid w:val="001F4D73"/>
    <w:rsid w:val="001F4D97"/>
    <w:rsid w:val="001F4DB9"/>
    <w:rsid w:val="001F4E3F"/>
    <w:rsid w:val="001F4E4C"/>
    <w:rsid w:val="001F4E53"/>
    <w:rsid w:val="001F4E68"/>
    <w:rsid w:val="001F4ED7"/>
    <w:rsid w:val="001F4EFD"/>
    <w:rsid w:val="001F4F1E"/>
    <w:rsid w:val="001F4F2A"/>
    <w:rsid w:val="001F4F40"/>
    <w:rsid w:val="001F4F4D"/>
    <w:rsid w:val="001F4F5D"/>
    <w:rsid w:val="001F4F8E"/>
    <w:rsid w:val="001F5000"/>
    <w:rsid w:val="001F503C"/>
    <w:rsid w:val="001F5040"/>
    <w:rsid w:val="001F5057"/>
    <w:rsid w:val="001F505E"/>
    <w:rsid w:val="001F50AB"/>
    <w:rsid w:val="001F50D0"/>
    <w:rsid w:val="001F50F7"/>
    <w:rsid w:val="001F5108"/>
    <w:rsid w:val="001F5129"/>
    <w:rsid w:val="001F5148"/>
    <w:rsid w:val="001F517B"/>
    <w:rsid w:val="001F51B0"/>
    <w:rsid w:val="001F51BD"/>
    <w:rsid w:val="001F51E7"/>
    <w:rsid w:val="001F51FA"/>
    <w:rsid w:val="001F5234"/>
    <w:rsid w:val="001F52A4"/>
    <w:rsid w:val="001F52CC"/>
    <w:rsid w:val="001F531A"/>
    <w:rsid w:val="001F534B"/>
    <w:rsid w:val="001F53C8"/>
    <w:rsid w:val="001F543D"/>
    <w:rsid w:val="001F546E"/>
    <w:rsid w:val="001F5559"/>
    <w:rsid w:val="001F561D"/>
    <w:rsid w:val="001F5684"/>
    <w:rsid w:val="001F568A"/>
    <w:rsid w:val="001F5714"/>
    <w:rsid w:val="001F5769"/>
    <w:rsid w:val="001F577B"/>
    <w:rsid w:val="001F57D8"/>
    <w:rsid w:val="001F57E2"/>
    <w:rsid w:val="001F57EC"/>
    <w:rsid w:val="001F5804"/>
    <w:rsid w:val="001F581E"/>
    <w:rsid w:val="001F5860"/>
    <w:rsid w:val="001F5885"/>
    <w:rsid w:val="001F5949"/>
    <w:rsid w:val="001F594C"/>
    <w:rsid w:val="001F594E"/>
    <w:rsid w:val="001F5972"/>
    <w:rsid w:val="001F59D9"/>
    <w:rsid w:val="001F59DE"/>
    <w:rsid w:val="001F5A03"/>
    <w:rsid w:val="001F5A0D"/>
    <w:rsid w:val="001F5A4C"/>
    <w:rsid w:val="001F5A8E"/>
    <w:rsid w:val="001F5AFF"/>
    <w:rsid w:val="001F5B0F"/>
    <w:rsid w:val="001F5B19"/>
    <w:rsid w:val="001F5B36"/>
    <w:rsid w:val="001F5B71"/>
    <w:rsid w:val="001F5B8A"/>
    <w:rsid w:val="001F5BAF"/>
    <w:rsid w:val="001F5BB8"/>
    <w:rsid w:val="001F5C17"/>
    <w:rsid w:val="001F5C87"/>
    <w:rsid w:val="001F5C8D"/>
    <w:rsid w:val="001F5CCE"/>
    <w:rsid w:val="001F5CE5"/>
    <w:rsid w:val="001F5D1B"/>
    <w:rsid w:val="001F5D27"/>
    <w:rsid w:val="001F5D3F"/>
    <w:rsid w:val="001F5D70"/>
    <w:rsid w:val="001F5DBD"/>
    <w:rsid w:val="001F5DDB"/>
    <w:rsid w:val="001F5DEE"/>
    <w:rsid w:val="001F5E0B"/>
    <w:rsid w:val="001F5E43"/>
    <w:rsid w:val="001F5E69"/>
    <w:rsid w:val="001F5E6E"/>
    <w:rsid w:val="001F5F12"/>
    <w:rsid w:val="001F5F19"/>
    <w:rsid w:val="001F5F5B"/>
    <w:rsid w:val="001F6047"/>
    <w:rsid w:val="001F604E"/>
    <w:rsid w:val="001F6051"/>
    <w:rsid w:val="001F6064"/>
    <w:rsid w:val="001F606A"/>
    <w:rsid w:val="001F60BF"/>
    <w:rsid w:val="001F60C4"/>
    <w:rsid w:val="001F60EC"/>
    <w:rsid w:val="001F6129"/>
    <w:rsid w:val="001F615E"/>
    <w:rsid w:val="001F619B"/>
    <w:rsid w:val="001F61DE"/>
    <w:rsid w:val="001F61E7"/>
    <w:rsid w:val="001F61F1"/>
    <w:rsid w:val="001F61F6"/>
    <w:rsid w:val="001F6230"/>
    <w:rsid w:val="001F62CF"/>
    <w:rsid w:val="001F62F6"/>
    <w:rsid w:val="001F62F9"/>
    <w:rsid w:val="001F6360"/>
    <w:rsid w:val="001F6374"/>
    <w:rsid w:val="001F63AB"/>
    <w:rsid w:val="001F63CF"/>
    <w:rsid w:val="001F63DF"/>
    <w:rsid w:val="001F63F8"/>
    <w:rsid w:val="001F6429"/>
    <w:rsid w:val="001F6496"/>
    <w:rsid w:val="001F64EB"/>
    <w:rsid w:val="001F650A"/>
    <w:rsid w:val="001F651F"/>
    <w:rsid w:val="001F6597"/>
    <w:rsid w:val="001F65B7"/>
    <w:rsid w:val="001F65DE"/>
    <w:rsid w:val="001F663E"/>
    <w:rsid w:val="001F6643"/>
    <w:rsid w:val="001F664A"/>
    <w:rsid w:val="001F66C3"/>
    <w:rsid w:val="001F66DA"/>
    <w:rsid w:val="001F66EE"/>
    <w:rsid w:val="001F66FD"/>
    <w:rsid w:val="001F6739"/>
    <w:rsid w:val="001F673A"/>
    <w:rsid w:val="001F6787"/>
    <w:rsid w:val="001F67C8"/>
    <w:rsid w:val="001F6853"/>
    <w:rsid w:val="001F6895"/>
    <w:rsid w:val="001F6899"/>
    <w:rsid w:val="001F690F"/>
    <w:rsid w:val="001F6949"/>
    <w:rsid w:val="001F6970"/>
    <w:rsid w:val="001F6975"/>
    <w:rsid w:val="001F69BB"/>
    <w:rsid w:val="001F69C2"/>
    <w:rsid w:val="001F69FC"/>
    <w:rsid w:val="001F6A1A"/>
    <w:rsid w:val="001F6A1D"/>
    <w:rsid w:val="001F6AF5"/>
    <w:rsid w:val="001F6B03"/>
    <w:rsid w:val="001F6B16"/>
    <w:rsid w:val="001F6BFA"/>
    <w:rsid w:val="001F6C02"/>
    <w:rsid w:val="001F6C08"/>
    <w:rsid w:val="001F6C49"/>
    <w:rsid w:val="001F6C4A"/>
    <w:rsid w:val="001F6CE8"/>
    <w:rsid w:val="001F6CF6"/>
    <w:rsid w:val="001F6D16"/>
    <w:rsid w:val="001F6D4E"/>
    <w:rsid w:val="001F6D6D"/>
    <w:rsid w:val="001F6D70"/>
    <w:rsid w:val="001F6D9B"/>
    <w:rsid w:val="001F6DC1"/>
    <w:rsid w:val="001F6E01"/>
    <w:rsid w:val="001F6E86"/>
    <w:rsid w:val="001F6EAA"/>
    <w:rsid w:val="001F6EB1"/>
    <w:rsid w:val="001F6ECC"/>
    <w:rsid w:val="001F6F17"/>
    <w:rsid w:val="001F6FB4"/>
    <w:rsid w:val="001F7018"/>
    <w:rsid w:val="001F7032"/>
    <w:rsid w:val="001F7058"/>
    <w:rsid w:val="001F706C"/>
    <w:rsid w:val="001F7073"/>
    <w:rsid w:val="001F7078"/>
    <w:rsid w:val="001F707C"/>
    <w:rsid w:val="001F70F9"/>
    <w:rsid w:val="001F710E"/>
    <w:rsid w:val="001F711C"/>
    <w:rsid w:val="001F717D"/>
    <w:rsid w:val="001F71A9"/>
    <w:rsid w:val="001F71DA"/>
    <w:rsid w:val="001F71E4"/>
    <w:rsid w:val="001F7229"/>
    <w:rsid w:val="001F7271"/>
    <w:rsid w:val="001F7314"/>
    <w:rsid w:val="001F733A"/>
    <w:rsid w:val="001F7350"/>
    <w:rsid w:val="001F739F"/>
    <w:rsid w:val="001F73AD"/>
    <w:rsid w:val="001F7447"/>
    <w:rsid w:val="001F7459"/>
    <w:rsid w:val="001F74AC"/>
    <w:rsid w:val="001F74CD"/>
    <w:rsid w:val="001F74D3"/>
    <w:rsid w:val="001F74DA"/>
    <w:rsid w:val="001F74F1"/>
    <w:rsid w:val="001F7524"/>
    <w:rsid w:val="001F757E"/>
    <w:rsid w:val="001F75A0"/>
    <w:rsid w:val="001F75BD"/>
    <w:rsid w:val="001F75D9"/>
    <w:rsid w:val="001F75FE"/>
    <w:rsid w:val="001F76BA"/>
    <w:rsid w:val="001F76D1"/>
    <w:rsid w:val="001F76E0"/>
    <w:rsid w:val="001F7727"/>
    <w:rsid w:val="001F7740"/>
    <w:rsid w:val="001F77EB"/>
    <w:rsid w:val="001F781E"/>
    <w:rsid w:val="001F78BD"/>
    <w:rsid w:val="001F7922"/>
    <w:rsid w:val="001F793C"/>
    <w:rsid w:val="001F7970"/>
    <w:rsid w:val="001F7973"/>
    <w:rsid w:val="001F7982"/>
    <w:rsid w:val="001F79A4"/>
    <w:rsid w:val="001F79CF"/>
    <w:rsid w:val="001F7A49"/>
    <w:rsid w:val="001F7A8E"/>
    <w:rsid w:val="001F7B05"/>
    <w:rsid w:val="001F7B14"/>
    <w:rsid w:val="001F7B37"/>
    <w:rsid w:val="001F7B51"/>
    <w:rsid w:val="001F7BB2"/>
    <w:rsid w:val="001F7BB9"/>
    <w:rsid w:val="001F7BBB"/>
    <w:rsid w:val="001F7BD6"/>
    <w:rsid w:val="001F7BF6"/>
    <w:rsid w:val="001F7C29"/>
    <w:rsid w:val="001F7C45"/>
    <w:rsid w:val="001F7CB5"/>
    <w:rsid w:val="001F7D09"/>
    <w:rsid w:val="001F7D13"/>
    <w:rsid w:val="001F7D18"/>
    <w:rsid w:val="001F7D4B"/>
    <w:rsid w:val="001F7D63"/>
    <w:rsid w:val="001F7D83"/>
    <w:rsid w:val="001F7DAE"/>
    <w:rsid w:val="001F7DCD"/>
    <w:rsid w:val="001F7DF9"/>
    <w:rsid w:val="001F7DFB"/>
    <w:rsid w:val="001F7E14"/>
    <w:rsid w:val="001F7E40"/>
    <w:rsid w:val="001F7E65"/>
    <w:rsid w:val="001F7EC5"/>
    <w:rsid w:val="001F7ED9"/>
    <w:rsid w:val="001F7EDF"/>
    <w:rsid w:val="001F7F04"/>
    <w:rsid w:val="001F7F4F"/>
    <w:rsid w:val="001F7F51"/>
    <w:rsid w:val="001F7F99"/>
    <w:rsid w:val="001F7FC6"/>
    <w:rsid w:val="001F7FF6"/>
    <w:rsid w:val="00200004"/>
    <w:rsid w:val="00200042"/>
    <w:rsid w:val="002000A3"/>
    <w:rsid w:val="00200109"/>
    <w:rsid w:val="002001F6"/>
    <w:rsid w:val="00200208"/>
    <w:rsid w:val="00200218"/>
    <w:rsid w:val="0020021F"/>
    <w:rsid w:val="0020024E"/>
    <w:rsid w:val="00200254"/>
    <w:rsid w:val="00200307"/>
    <w:rsid w:val="00200328"/>
    <w:rsid w:val="00200379"/>
    <w:rsid w:val="00200427"/>
    <w:rsid w:val="00200461"/>
    <w:rsid w:val="00200468"/>
    <w:rsid w:val="0020046A"/>
    <w:rsid w:val="00200485"/>
    <w:rsid w:val="0020049B"/>
    <w:rsid w:val="002004B1"/>
    <w:rsid w:val="002004B8"/>
    <w:rsid w:val="002004CE"/>
    <w:rsid w:val="0020052E"/>
    <w:rsid w:val="0020053A"/>
    <w:rsid w:val="00200583"/>
    <w:rsid w:val="0020059E"/>
    <w:rsid w:val="002005B8"/>
    <w:rsid w:val="002005C4"/>
    <w:rsid w:val="002005CF"/>
    <w:rsid w:val="002005E5"/>
    <w:rsid w:val="00200625"/>
    <w:rsid w:val="0020063B"/>
    <w:rsid w:val="00200649"/>
    <w:rsid w:val="00200677"/>
    <w:rsid w:val="00200695"/>
    <w:rsid w:val="002006B1"/>
    <w:rsid w:val="002006B4"/>
    <w:rsid w:val="0020072C"/>
    <w:rsid w:val="00200750"/>
    <w:rsid w:val="00200776"/>
    <w:rsid w:val="002007A1"/>
    <w:rsid w:val="002007B8"/>
    <w:rsid w:val="002007C7"/>
    <w:rsid w:val="002007EE"/>
    <w:rsid w:val="002008D4"/>
    <w:rsid w:val="002008D5"/>
    <w:rsid w:val="00200904"/>
    <w:rsid w:val="00200967"/>
    <w:rsid w:val="0020099B"/>
    <w:rsid w:val="0020099C"/>
    <w:rsid w:val="00200A17"/>
    <w:rsid w:val="00200A30"/>
    <w:rsid w:val="00200AC6"/>
    <w:rsid w:val="00200BAC"/>
    <w:rsid w:val="00200C06"/>
    <w:rsid w:val="00200C28"/>
    <w:rsid w:val="00200C9D"/>
    <w:rsid w:val="00200CD2"/>
    <w:rsid w:val="00200CDD"/>
    <w:rsid w:val="00200D1A"/>
    <w:rsid w:val="00200DC9"/>
    <w:rsid w:val="00200E00"/>
    <w:rsid w:val="00200E17"/>
    <w:rsid w:val="00200E1A"/>
    <w:rsid w:val="00200E24"/>
    <w:rsid w:val="00200E74"/>
    <w:rsid w:val="00200E7B"/>
    <w:rsid w:val="00200EA5"/>
    <w:rsid w:val="00200EC1"/>
    <w:rsid w:val="00200F12"/>
    <w:rsid w:val="00200F17"/>
    <w:rsid w:val="00200F2F"/>
    <w:rsid w:val="00200F82"/>
    <w:rsid w:val="00201004"/>
    <w:rsid w:val="00201037"/>
    <w:rsid w:val="002010DD"/>
    <w:rsid w:val="002010F6"/>
    <w:rsid w:val="0020120F"/>
    <w:rsid w:val="002012A6"/>
    <w:rsid w:val="00201306"/>
    <w:rsid w:val="0020130C"/>
    <w:rsid w:val="0020130D"/>
    <w:rsid w:val="0020131C"/>
    <w:rsid w:val="00201368"/>
    <w:rsid w:val="0020139C"/>
    <w:rsid w:val="002013B4"/>
    <w:rsid w:val="002013CD"/>
    <w:rsid w:val="00201450"/>
    <w:rsid w:val="00201453"/>
    <w:rsid w:val="002014B7"/>
    <w:rsid w:val="002014C0"/>
    <w:rsid w:val="002014D1"/>
    <w:rsid w:val="002014F2"/>
    <w:rsid w:val="00201587"/>
    <w:rsid w:val="002015AD"/>
    <w:rsid w:val="002015C5"/>
    <w:rsid w:val="002015D4"/>
    <w:rsid w:val="002015E8"/>
    <w:rsid w:val="00201606"/>
    <w:rsid w:val="0020163B"/>
    <w:rsid w:val="00201654"/>
    <w:rsid w:val="002016A5"/>
    <w:rsid w:val="002016FC"/>
    <w:rsid w:val="0020174D"/>
    <w:rsid w:val="0020177B"/>
    <w:rsid w:val="00201807"/>
    <w:rsid w:val="0020180B"/>
    <w:rsid w:val="00201883"/>
    <w:rsid w:val="002018B4"/>
    <w:rsid w:val="002018F6"/>
    <w:rsid w:val="002018FA"/>
    <w:rsid w:val="00201922"/>
    <w:rsid w:val="0020192A"/>
    <w:rsid w:val="00201964"/>
    <w:rsid w:val="00201A03"/>
    <w:rsid w:val="00201A09"/>
    <w:rsid w:val="00201A1C"/>
    <w:rsid w:val="00201A98"/>
    <w:rsid w:val="00201AB9"/>
    <w:rsid w:val="00201B06"/>
    <w:rsid w:val="00201B69"/>
    <w:rsid w:val="00201B94"/>
    <w:rsid w:val="00201BC3"/>
    <w:rsid w:val="00201C59"/>
    <w:rsid w:val="00201CE7"/>
    <w:rsid w:val="00201D0C"/>
    <w:rsid w:val="00201DB2"/>
    <w:rsid w:val="00201DCB"/>
    <w:rsid w:val="00201DD3"/>
    <w:rsid w:val="00201DEF"/>
    <w:rsid w:val="00201DF7"/>
    <w:rsid w:val="00201E27"/>
    <w:rsid w:val="00201E95"/>
    <w:rsid w:val="00201F29"/>
    <w:rsid w:val="00201F31"/>
    <w:rsid w:val="00201F5A"/>
    <w:rsid w:val="00201F5F"/>
    <w:rsid w:val="00201F61"/>
    <w:rsid w:val="00201F87"/>
    <w:rsid w:val="00201F9A"/>
    <w:rsid w:val="00201FBF"/>
    <w:rsid w:val="00201FEA"/>
    <w:rsid w:val="00202006"/>
    <w:rsid w:val="0020202E"/>
    <w:rsid w:val="0020205D"/>
    <w:rsid w:val="00202106"/>
    <w:rsid w:val="00202127"/>
    <w:rsid w:val="002021C4"/>
    <w:rsid w:val="002021C6"/>
    <w:rsid w:val="002021EC"/>
    <w:rsid w:val="00202253"/>
    <w:rsid w:val="00202268"/>
    <w:rsid w:val="0020228E"/>
    <w:rsid w:val="00202376"/>
    <w:rsid w:val="0020237C"/>
    <w:rsid w:val="00202432"/>
    <w:rsid w:val="00202472"/>
    <w:rsid w:val="002024A0"/>
    <w:rsid w:val="002024C2"/>
    <w:rsid w:val="00202555"/>
    <w:rsid w:val="002025C6"/>
    <w:rsid w:val="002025FC"/>
    <w:rsid w:val="00202602"/>
    <w:rsid w:val="0020260A"/>
    <w:rsid w:val="0020260D"/>
    <w:rsid w:val="0020262F"/>
    <w:rsid w:val="00202640"/>
    <w:rsid w:val="00202642"/>
    <w:rsid w:val="00202690"/>
    <w:rsid w:val="0020269F"/>
    <w:rsid w:val="002026A5"/>
    <w:rsid w:val="002026AC"/>
    <w:rsid w:val="00202706"/>
    <w:rsid w:val="00202723"/>
    <w:rsid w:val="00202754"/>
    <w:rsid w:val="002027CD"/>
    <w:rsid w:val="002027F4"/>
    <w:rsid w:val="00202850"/>
    <w:rsid w:val="0020288A"/>
    <w:rsid w:val="002028C2"/>
    <w:rsid w:val="002028E3"/>
    <w:rsid w:val="00202913"/>
    <w:rsid w:val="0020294F"/>
    <w:rsid w:val="0020296A"/>
    <w:rsid w:val="0020296F"/>
    <w:rsid w:val="00202971"/>
    <w:rsid w:val="00202972"/>
    <w:rsid w:val="0020298C"/>
    <w:rsid w:val="00202A81"/>
    <w:rsid w:val="00202A9E"/>
    <w:rsid w:val="00202ACD"/>
    <w:rsid w:val="00202AEB"/>
    <w:rsid w:val="00202AFA"/>
    <w:rsid w:val="00202B99"/>
    <w:rsid w:val="00202BD7"/>
    <w:rsid w:val="00202C01"/>
    <w:rsid w:val="00202C55"/>
    <w:rsid w:val="00202CBA"/>
    <w:rsid w:val="00202CCD"/>
    <w:rsid w:val="00202D16"/>
    <w:rsid w:val="00202D1D"/>
    <w:rsid w:val="00202D9C"/>
    <w:rsid w:val="00202DB4"/>
    <w:rsid w:val="00202DCA"/>
    <w:rsid w:val="00202DCD"/>
    <w:rsid w:val="00202E02"/>
    <w:rsid w:val="00202E18"/>
    <w:rsid w:val="00202E56"/>
    <w:rsid w:val="00202E8F"/>
    <w:rsid w:val="00202EAA"/>
    <w:rsid w:val="00202F30"/>
    <w:rsid w:val="00202F6A"/>
    <w:rsid w:val="00202F8A"/>
    <w:rsid w:val="00202F95"/>
    <w:rsid w:val="00202FCF"/>
    <w:rsid w:val="00203016"/>
    <w:rsid w:val="00203089"/>
    <w:rsid w:val="002030A3"/>
    <w:rsid w:val="002030BE"/>
    <w:rsid w:val="002030DA"/>
    <w:rsid w:val="0020318B"/>
    <w:rsid w:val="00203210"/>
    <w:rsid w:val="0020322B"/>
    <w:rsid w:val="0020322F"/>
    <w:rsid w:val="00203269"/>
    <w:rsid w:val="0020326C"/>
    <w:rsid w:val="0020327D"/>
    <w:rsid w:val="002032AC"/>
    <w:rsid w:val="002032E3"/>
    <w:rsid w:val="0020330F"/>
    <w:rsid w:val="0020331C"/>
    <w:rsid w:val="002033DF"/>
    <w:rsid w:val="0020345C"/>
    <w:rsid w:val="00203465"/>
    <w:rsid w:val="00203478"/>
    <w:rsid w:val="002034BC"/>
    <w:rsid w:val="002034E2"/>
    <w:rsid w:val="0020350F"/>
    <w:rsid w:val="00203524"/>
    <w:rsid w:val="0020352E"/>
    <w:rsid w:val="00203554"/>
    <w:rsid w:val="00203555"/>
    <w:rsid w:val="002035EF"/>
    <w:rsid w:val="002035F4"/>
    <w:rsid w:val="002035F7"/>
    <w:rsid w:val="0020364D"/>
    <w:rsid w:val="00203681"/>
    <w:rsid w:val="002036A3"/>
    <w:rsid w:val="002036C7"/>
    <w:rsid w:val="0020370D"/>
    <w:rsid w:val="0020373E"/>
    <w:rsid w:val="00203767"/>
    <w:rsid w:val="0020379B"/>
    <w:rsid w:val="002037B1"/>
    <w:rsid w:val="002037C1"/>
    <w:rsid w:val="00203825"/>
    <w:rsid w:val="0020386E"/>
    <w:rsid w:val="00203890"/>
    <w:rsid w:val="00203893"/>
    <w:rsid w:val="002038A5"/>
    <w:rsid w:val="002038B2"/>
    <w:rsid w:val="00203935"/>
    <w:rsid w:val="002039F7"/>
    <w:rsid w:val="00203A2B"/>
    <w:rsid w:val="00203A8E"/>
    <w:rsid w:val="00203ADA"/>
    <w:rsid w:val="00203AF1"/>
    <w:rsid w:val="00203B24"/>
    <w:rsid w:val="00203B9B"/>
    <w:rsid w:val="00203BEB"/>
    <w:rsid w:val="00203BEF"/>
    <w:rsid w:val="00203C26"/>
    <w:rsid w:val="00203CBB"/>
    <w:rsid w:val="00203CC0"/>
    <w:rsid w:val="00203CC3"/>
    <w:rsid w:val="00203D01"/>
    <w:rsid w:val="00203D13"/>
    <w:rsid w:val="00203D35"/>
    <w:rsid w:val="00203D3B"/>
    <w:rsid w:val="00203E6C"/>
    <w:rsid w:val="00203EC0"/>
    <w:rsid w:val="00203F61"/>
    <w:rsid w:val="00203F70"/>
    <w:rsid w:val="00203F77"/>
    <w:rsid w:val="00203FA6"/>
    <w:rsid w:val="00203FC1"/>
    <w:rsid w:val="00203FD1"/>
    <w:rsid w:val="0020407C"/>
    <w:rsid w:val="00204092"/>
    <w:rsid w:val="002040A5"/>
    <w:rsid w:val="002040B6"/>
    <w:rsid w:val="002040BF"/>
    <w:rsid w:val="002040D6"/>
    <w:rsid w:val="002040DC"/>
    <w:rsid w:val="002040E0"/>
    <w:rsid w:val="002040F8"/>
    <w:rsid w:val="0020413E"/>
    <w:rsid w:val="00204202"/>
    <w:rsid w:val="0020420A"/>
    <w:rsid w:val="00204250"/>
    <w:rsid w:val="0020428C"/>
    <w:rsid w:val="00204294"/>
    <w:rsid w:val="002042B6"/>
    <w:rsid w:val="002042BD"/>
    <w:rsid w:val="002042CC"/>
    <w:rsid w:val="002042F8"/>
    <w:rsid w:val="00204330"/>
    <w:rsid w:val="00204474"/>
    <w:rsid w:val="002044AB"/>
    <w:rsid w:val="00204507"/>
    <w:rsid w:val="0020450B"/>
    <w:rsid w:val="0020453A"/>
    <w:rsid w:val="00204579"/>
    <w:rsid w:val="00204597"/>
    <w:rsid w:val="00204605"/>
    <w:rsid w:val="00204627"/>
    <w:rsid w:val="0020463F"/>
    <w:rsid w:val="00204646"/>
    <w:rsid w:val="0020464F"/>
    <w:rsid w:val="002046C4"/>
    <w:rsid w:val="002046D7"/>
    <w:rsid w:val="002046F8"/>
    <w:rsid w:val="00204768"/>
    <w:rsid w:val="00204777"/>
    <w:rsid w:val="0020478E"/>
    <w:rsid w:val="00204797"/>
    <w:rsid w:val="002047A8"/>
    <w:rsid w:val="002047E4"/>
    <w:rsid w:val="002047EE"/>
    <w:rsid w:val="00204845"/>
    <w:rsid w:val="0020485D"/>
    <w:rsid w:val="002048B4"/>
    <w:rsid w:val="002048B5"/>
    <w:rsid w:val="0020494C"/>
    <w:rsid w:val="0020497E"/>
    <w:rsid w:val="00204996"/>
    <w:rsid w:val="002049AF"/>
    <w:rsid w:val="002049DA"/>
    <w:rsid w:val="002049F2"/>
    <w:rsid w:val="00204A04"/>
    <w:rsid w:val="00204A10"/>
    <w:rsid w:val="00204B37"/>
    <w:rsid w:val="00204B42"/>
    <w:rsid w:val="00204BD9"/>
    <w:rsid w:val="00204C0B"/>
    <w:rsid w:val="00204C53"/>
    <w:rsid w:val="00204C85"/>
    <w:rsid w:val="00204CB7"/>
    <w:rsid w:val="00204CC8"/>
    <w:rsid w:val="00204CF5"/>
    <w:rsid w:val="00204D87"/>
    <w:rsid w:val="00204D8D"/>
    <w:rsid w:val="00204DC1"/>
    <w:rsid w:val="00204E1B"/>
    <w:rsid w:val="00204EA9"/>
    <w:rsid w:val="00204ECF"/>
    <w:rsid w:val="00204F14"/>
    <w:rsid w:val="00204FD1"/>
    <w:rsid w:val="00204FED"/>
    <w:rsid w:val="00205075"/>
    <w:rsid w:val="00205082"/>
    <w:rsid w:val="00205129"/>
    <w:rsid w:val="002051E6"/>
    <w:rsid w:val="00205201"/>
    <w:rsid w:val="00205219"/>
    <w:rsid w:val="0020523A"/>
    <w:rsid w:val="0020525B"/>
    <w:rsid w:val="00205262"/>
    <w:rsid w:val="002052F0"/>
    <w:rsid w:val="002052FC"/>
    <w:rsid w:val="00205315"/>
    <w:rsid w:val="002053B2"/>
    <w:rsid w:val="002053E4"/>
    <w:rsid w:val="0020544F"/>
    <w:rsid w:val="0020545F"/>
    <w:rsid w:val="00205465"/>
    <w:rsid w:val="00205528"/>
    <w:rsid w:val="00205561"/>
    <w:rsid w:val="00205592"/>
    <w:rsid w:val="002055D0"/>
    <w:rsid w:val="002055FE"/>
    <w:rsid w:val="0020561B"/>
    <w:rsid w:val="00205624"/>
    <w:rsid w:val="00205634"/>
    <w:rsid w:val="0020563B"/>
    <w:rsid w:val="0020566B"/>
    <w:rsid w:val="0020567F"/>
    <w:rsid w:val="002056AC"/>
    <w:rsid w:val="0020570D"/>
    <w:rsid w:val="00205719"/>
    <w:rsid w:val="00205763"/>
    <w:rsid w:val="0020576C"/>
    <w:rsid w:val="0020576D"/>
    <w:rsid w:val="002057B9"/>
    <w:rsid w:val="00205829"/>
    <w:rsid w:val="0020586B"/>
    <w:rsid w:val="002058CE"/>
    <w:rsid w:val="002058D8"/>
    <w:rsid w:val="002058DB"/>
    <w:rsid w:val="002058F7"/>
    <w:rsid w:val="0020592B"/>
    <w:rsid w:val="0020597E"/>
    <w:rsid w:val="002059B8"/>
    <w:rsid w:val="00205A37"/>
    <w:rsid w:val="00205AA2"/>
    <w:rsid w:val="00205AFE"/>
    <w:rsid w:val="00205B07"/>
    <w:rsid w:val="00205BCB"/>
    <w:rsid w:val="00205BF9"/>
    <w:rsid w:val="00205C00"/>
    <w:rsid w:val="00205C42"/>
    <w:rsid w:val="00205C73"/>
    <w:rsid w:val="00205D18"/>
    <w:rsid w:val="00205D34"/>
    <w:rsid w:val="00205D4D"/>
    <w:rsid w:val="00205DB9"/>
    <w:rsid w:val="00205DFE"/>
    <w:rsid w:val="00205E4C"/>
    <w:rsid w:val="00205E8F"/>
    <w:rsid w:val="00205E96"/>
    <w:rsid w:val="00205EA7"/>
    <w:rsid w:val="00205EC8"/>
    <w:rsid w:val="00205ED2"/>
    <w:rsid w:val="00205EE1"/>
    <w:rsid w:val="00205F47"/>
    <w:rsid w:val="00205F8E"/>
    <w:rsid w:val="00205FA6"/>
    <w:rsid w:val="00205FBA"/>
    <w:rsid w:val="00206035"/>
    <w:rsid w:val="0020605C"/>
    <w:rsid w:val="00206104"/>
    <w:rsid w:val="00206110"/>
    <w:rsid w:val="00206121"/>
    <w:rsid w:val="0020616C"/>
    <w:rsid w:val="002061A6"/>
    <w:rsid w:val="002061DE"/>
    <w:rsid w:val="002061EA"/>
    <w:rsid w:val="00206281"/>
    <w:rsid w:val="002062A4"/>
    <w:rsid w:val="002062F7"/>
    <w:rsid w:val="002063B1"/>
    <w:rsid w:val="002063BC"/>
    <w:rsid w:val="0020641C"/>
    <w:rsid w:val="00206425"/>
    <w:rsid w:val="00206470"/>
    <w:rsid w:val="0020647D"/>
    <w:rsid w:val="00206490"/>
    <w:rsid w:val="002064AE"/>
    <w:rsid w:val="002064D4"/>
    <w:rsid w:val="00206507"/>
    <w:rsid w:val="00206567"/>
    <w:rsid w:val="0020658B"/>
    <w:rsid w:val="0020659E"/>
    <w:rsid w:val="002065D2"/>
    <w:rsid w:val="00206613"/>
    <w:rsid w:val="0020661E"/>
    <w:rsid w:val="00206623"/>
    <w:rsid w:val="00206716"/>
    <w:rsid w:val="002067BD"/>
    <w:rsid w:val="002067C0"/>
    <w:rsid w:val="002067D6"/>
    <w:rsid w:val="0020681B"/>
    <w:rsid w:val="00206864"/>
    <w:rsid w:val="00206896"/>
    <w:rsid w:val="002068E8"/>
    <w:rsid w:val="002068E9"/>
    <w:rsid w:val="002068EE"/>
    <w:rsid w:val="00206932"/>
    <w:rsid w:val="002069CE"/>
    <w:rsid w:val="00206A21"/>
    <w:rsid w:val="00206A4E"/>
    <w:rsid w:val="00206AB0"/>
    <w:rsid w:val="00206B15"/>
    <w:rsid w:val="00206BE9"/>
    <w:rsid w:val="00206C29"/>
    <w:rsid w:val="00206C31"/>
    <w:rsid w:val="00206C55"/>
    <w:rsid w:val="00206C5B"/>
    <w:rsid w:val="00206C5F"/>
    <w:rsid w:val="00206CBD"/>
    <w:rsid w:val="00206D0A"/>
    <w:rsid w:val="00206D9C"/>
    <w:rsid w:val="00206DBD"/>
    <w:rsid w:val="00206DC7"/>
    <w:rsid w:val="00206E09"/>
    <w:rsid w:val="00206E12"/>
    <w:rsid w:val="00206E20"/>
    <w:rsid w:val="00206E25"/>
    <w:rsid w:val="00206E36"/>
    <w:rsid w:val="00206E59"/>
    <w:rsid w:val="00206E68"/>
    <w:rsid w:val="00206E7F"/>
    <w:rsid w:val="00206EB3"/>
    <w:rsid w:val="00206EBF"/>
    <w:rsid w:val="00206EF0"/>
    <w:rsid w:val="00206F2B"/>
    <w:rsid w:val="00206F3E"/>
    <w:rsid w:val="00206F47"/>
    <w:rsid w:val="00206F4C"/>
    <w:rsid w:val="00206F91"/>
    <w:rsid w:val="00206FA5"/>
    <w:rsid w:val="00207019"/>
    <w:rsid w:val="00207059"/>
    <w:rsid w:val="0020705F"/>
    <w:rsid w:val="00207083"/>
    <w:rsid w:val="002070C2"/>
    <w:rsid w:val="002070E6"/>
    <w:rsid w:val="002070EA"/>
    <w:rsid w:val="002070F7"/>
    <w:rsid w:val="00207101"/>
    <w:rsid w:val="0020712B"/>
    <w:rsid w:val="0020714B"/>
    <w:rsid w:val="00207189"/>
    <w:rsid w:val="0020718C"/>
    <w:rsid w:val="002071E6"/>
    <w:rsid w:val="002071F0"/>
    <w:rsid w:val="00207224"/>
    <w:rsid w:val="0020722F"/>
    <w:rsid w:val="00207235"/>
    <w:rsid w:val="00207237"/>
    <w:rsid w:val="002072FB"/>
    <w:rsid w:val="00207306"/>
    <w:rsid w:val="0020730E"/>
    <w:rsid w:val="00207392"/>
    <w:rsid w:val="0020744F"/>
    <w:rsid w:val="002074A1"/>
    <w:rsid w:val="002074F0"/>
    <w:rsid w:val="00207507"/>
    <w:rsid w:val="0020754E"/>
    <w:rsid w:val="00207554"/>
    <w:rsid w:val="0020758E"/>
    <w:rsid w:val="002075AE"/>
    <w:rsid w:val="0020761B"/>
    <w:rsid w:val="00207632"/>
    <w:rsid w:val="0020764B"/>
    <w:rsid w:val="00207675"/>
    <w:rsid w:val="0020767C"/>
    <w:rsid w:val="0020768E"/>
    <w:rsid w:val="002076FA"/>
    <w:rsid w:val="002077BA"/>
    <w:rsid w:val="002077C0"/>
    <w:rsid w:val="002077DE"/>
    <w:rsid w:val="00207820"/>
    <w:rsid w:val="0020788F"/>
    <w:rsid w:val="00207961"/>
    <w:rsid w:val="00207972"/>
    <w:rsid w:val="00207975"/>
    <w:rsid w:val="00207977"/>
    <w:rsid w:val="00207985"/>
    <w:rsid w:val="00207988"/>
    <w:rsid w:val="00207989"/>
    <w:rsid w:val="0020798F"/>
    <w:rsid w:val="002079BF"/>
    <w:rsid w:val="002079E6"/>
    <w:rsid w:val="00207A29"/>
    <w:rsid w:val="00207A44"/>
    <w:rsid w:val="00207A5C"/>
    <w:rsid w:val="00207A6F"/>
    <w:rsid w:val="00207A99"/>
    <w:rsid w:val="00207AB2"/>
    <w:rsid w:val="00207AF3"/>
    <w:rsid w:val="00207B29"/>
    <w:rsid w:val="00207B2D"/>
    <w:rsid w:val="00207B2F"/>
    <w:rsid w:val="00207B4C"/>
    <w:rsid w:val="00207B9A"/>
    <w:rsid w:val="00207BA4"/>
    <w:rsid w:val="00207C0D"/>
    <w:rsid w:val="00207C7C"/>
    <w:rsid w:val="00207CB0"/>
    <w:rsid w:val="00207CD7"/>
    <w:rsid w:val="00207D79"/>
    <w:rsid w:val="00207D98"/>
    <w:rsid w:val="00207DEA"/>
    <w:rsid w:val="00207DFD"/>
    <w:rsid w:val="00207E68"/>
    <w:rsid w:val="00207EE8"/>
    <w:rsid w:val="00207F30"/>
    <w:rsid w:val="00207F3C"/>
    <w:rsid w:val="00207FCC"/>
    <w:rsid w:val="00210008"/>
    <w:rsid w:val="00210031"/>
    <w:rsid w:val="00210040"/>
    <w:rsid w:val="00210072"/>
    <w:rsid w:val="00210074"/>
    <w:rsid w:val="002100AB"/>
    <w:rsid w:val="002100AF"/>
    <w:rsid w:val="002100F1"/>
    <w:rsid w:val="00210114"/>
    <w:rsid w:val="00210142"/>
    <w:rsid w:val="00210156"/>
    <w:rsid w:val="0021015F"/>
    <w:rsid w:val="002101EF"/>
    <w:rsid w:val="0021021B"/>
    <w:rsid w:val="0021023E"/>
    <w:rsid w:val="00210269"/>
    <w:rsid w:val="002102A0"/>
    <w:rsid w:val="002102C2"/>
    <w:rsid w:val="002102D3"/>
    <w:rsid w:val="002102ED"/>
    <w:rsid w:val="00210302"/>
    <w:rsid w:val="0021033A"/>
    <w:rsid w:val="00210358"/>
    <w:rsid w:val="00210383"/>
    <w:rsid w:val="0021038D"/>
    <w:rsid w:val="002103A6"/>
    <w:rsid w:val="002103EB"/>
    <w:rsid w:val="002103F9"/>
    <w:rsid w:val="00210410"/>
    <w:rsid w:val="00210444"/>
    <w:rsid w:val="00210449"/>
    <w:rsid w:val="00210454"/>
    <w:rsid w:val="00210467"/>
    <w:rsid w:val="00210496"/>
    <w:rsid w:val="00210511"/>
    <w:rsid w:val="00210581"/>
    <w:rsid w:val="00210583"/>
    <w:rsid w:val="002105A6"/>
    <w:rsid w:val="002105D0"/>
    <w:rsid w:val="00210622"/>
    <w:rsid w:val="0021067D"/>
    <w:rsid w:val="00210689"/>
    <w:rsid w:val="0021068B"/>
    <w:rsid w:val="00210690"/>
    <w:rsid w:val="002106A8"/>
    <w:rsid w:val="002106F8"/>
    <w:rsid w:val="0021075C"/>
    <w:rsid w:val="00210760"/>
    <w:rsid w:val="002107F7"/>
    <w:rsid w:val="00210823"/>
    <w:rsid w:val="00210854"/>
    <w:rsid w:val="00210865"/>
    <w:rsid w:val="00210920"/>
    <w:rsid w:val="00210982"/>
    <w:rsid w:val="002109A6"/>
    <w:rsid w:val="002109E9"/>
    <w:rsid w:val="00210A69"/>
    <w:rsid w:val="00210AE2"/>
    <w:rsid w:val="00210B01"/>
    <w:rsid w:val="00210B04"/>
    <w:rsid w:val="00210BAE"/>
    <w:rsid w:val="00210BB4"/>
    <w:rsid w:val="00210BF0"/>
    <w:rsid w:val="00210C0E"/>
    <w:rsid w:val="00210C53"/>
    <w:rsid w:val="00210C73"/>
    <w:rsid w:val="00210C89"/>
    <w:rsid w:val="00210C8C"/>
    <w:rsid w:val="00210CAC"/>
    <w:rsid w:val="00210CB9"/>
    <w:rsid w:val="00210CD1"/>
    <w:rsid w:val="00210CD4"/>
    <w:rsid w:val="00210D2F"/>
    <w:rsid w:val="00210E0A"/>
    <w:rsid w:val="00210E68"/>
    <w:rsid w:val="00210E82"/>
    <w:rsid w:val="00210E93"/>
    <w:rsid w:val="00210F04"/>
    <w:rsid w:val="00210F1F"/>
    <w:rsid w:val="00210F20"/>
    <w:rsid w:val="00210F54"/>
    <w:rsid w:val="00210F67"/>
    <w:rsid w:val="00210F80"/>
    <w:rsid w:val="00211001"/>
    <w:rsid w:val="0021100B"/>
    <w:rsid w:val="00211063"/>
    <w:rsid w:val="0021107A"/>
    <w:rsid w:val="00211095"/>
    <w:rsid w:val="002110F2"/>
    <w:rsid w:val="0021111F"/>
    <w:rsid w:val="0021113B"/>
    <w:rsid w:val="00211145"/>
    <w:rsid w:val="00211271"/>
    <w:rsid w:val="00211287"/>
    <w:rsid w:val="0021131B"/>
    <w:rsid w:val="00211332"/>
    <w:rsid w:val="002113AD"/>
    <w:rsid w:val="002113CE"/>
    <w:rsid w:val="002113FB"/>
    <w:rsid w:val="00211421"/>
    <w:rsid w:val="00211495"/>
    <w:rsid w:val="002114CD"/>
    <w:rsid w:val="002114F6"/>
    <w:rsid w:val="00211571"/>
    <w:rsid w:val="0021157F"/>
    <w:rsid w:val="0021161E"/>
    <w:rsid w:val="00211623"/>
    <w:rsid w:val="00211694"/>
    <w:rsid w:val="002116AB"/>
    <w:rsid w:val="002116BC"/>
    <w:rsid w:val="002116D2"/>
    <w:rsid w:val="00211736"/>
    <w:rsid w:val="0021175A"/>
    <w:rsid w:val="002117C9"/>
    <w:rsid w:val="002117CD"/>
    <w:rsid w:val="002117CE"/>
    <w:rsid w:val="002117EC"/>
    <w:rsid w:val="002117F9"/>
    <w:rsid w:val="002117FA"/>
    <w:rsid w:val="00211807"/>
    <w:rsid w:val="00211810"/>
    <w:rsid w:val="0021185A"/>
    <w:rsid w:val="00211873"/>
    <w:rsid w:val="00211884"/>
    <w:rsid w:val="00211886"/>
    <w:rsid w:val="0021188F"/>
    <w:rsid w:val="002118AC"/>
    <w:rsid w:val="00211924"/>
    <w:rsid w:val="0021199A"/>
    <w:rsid w:val="002119FE"/>
    <w:rsid w:val="00211A52"/>
    <w:rsid w:val="00211A62"/>
    <w:rsid w:val="00211AF6"/>
    <w:rsid w:val="00211B18"/>
    <w:rsid w:val="00211B81"/>
    <w:rsid w:val="00211B9D"/>
    <w:rsid w:val="00211BA5"/>
    <w:rsid w:val="00211C3F"/>
    <w:rsid w:val="00211C54"/>
    <w:rsid w:val="00211C5F"/>
    <w:rsid w:val="00211C65"/>
    <w:rsid w:val="00211C70"/>
    <w:rsid w:val="00211C76"/>
    <w:rsid w:val="00211CA1"/>
    <w:rsid w:val="00211CD6"/>
    <w:rsid w:val="00211D8D"/>
    <w:rsid w:val="00211DAA"/>
    <w:rsid w:val="00211DCA"/>
    <w:rsid w:val="00211DFA"/>
    <w:rsid w:val="00211E90"/>
    <w:rsid w:val="00211EAA"/>
    <w:rsid w:val="00211F1D"/>
    <w:rsid w:val="00211F2F"/>
    <w:rsid w:val="00211F7D"/>
    <w:rsid w:val="00211F9B"/>
    <w:rsid w:val="00211FA6"/>
    <w:rsid w:val="0021200A"/>
    <w:rsid w:val="0021206C"/>
    <w:rsid w:val="002120A1"/>
    <w:rsid w:val="002120A9"/>
    <w:rsid w:val="002120FB"/>
    <w:rsid w:val="00212107"/>
    <w:rsid w:val="00212136"/>
    <w:rsid w:val="0021213C"/>
    <w:rsid w:val="002121A2"/>
    <w:rsid w:val="002121A9"/>
    <w:rsid w:val="002121BB"/>
    <w:rsid w:val="00212218"/>
    <w:rsid w:val="00212262"/>
    <w:rsid w:val="0021236B"/>
    <w:rsid w:val="00212396"/>
    <w:rsid w:val="0021239B"/>
    <w:rsid w:val="002123C5"/>
    <w:rsid w:val="002123F3"/>
    <w:rsid w:val="002123FA"/>
    <w:rsid w:val="002123FC"/>
    <w:rsid w:val="0021244C"/>
    <w:rsid w:val="00212507"/>
    <w:rsid w:val="00212515"/>
    <w:rsid w:val="00212597"/>
    <w:rsid w:val="00212607"/>
    <w:rsid w:val="0021266F"/>
    <w:rsid w:val="002126DE"/>
    <w:rsid w:val="002126E1"/>
    <w:rsid w:val="0021278A"/>
    <w:rsid w:val="002127A4"/>
    <w:rsid w:val="002127AA"/>
    <w:rsid w:val="00212828"/>
    <w:rsid w:val="0021286C"/>
    <w:rsid w:val="002128A2"/>
    <w:rsid w:val="002128DD"/>
    <w:rsid w:val="0021294D"/>
    <w:rsid w:val="0021296F"/>
    <w:rsid w:val="002129BC"/>
    <w:rsid w:val="00212A0C"/>
    <w:rsid w:val="00212A6B"/>
    <w:rsid w:val="00212AA4"/>
    <w:rsid w:val="00212AB3"/>
    <w:rsid w:val="00212B44"/>
    <w:rsid w:val="00212B6D"/>
    <w:rsid w:val="00212BBB"/>
    <w:rsid w:val="00212BCD"/>
    <w:rsid w:val="00212BCE"/>
    <w:rsid w:val="00212CBC"/>
    <w:rsid w:val="00212D0A"/>
    <w:rsid w:val="00212D28"/>
    <w:rsid w:val="00212D8A"/>
    <w:rsid w:val="00212DEC"/>
    <w:rsid w:val="00212E03"/>
    <w:rsid w:val="00212E2B"/>
    <w:rsid w:val="00212E72"/>
    <w:rsid w:val="00212EAD"/>
    <w:rsid w:val="00212EC7"/>
    <w:rsid w:val="00212EFD"/>
    <w:rsid w:val="00212F15"/>
    <w:rsid w:val="00212F39"/>
    <w:rsid w:val="00212F81"/>
    <w:rsid w:val="00212FDC"/>
    <w:rsid w:val="00212FE5"/>
    <w:rsid w:val="0021302A"/>
    <w:rsid w:val="0021304F"/>
    <w:rsid w:val="002130BC"/>
    <w:rsid w:val="00213106"/>
    <w:rsid w:val="00213114"/>
    <w:rsid w:val="00213153"/>
    <w:rsid w:val="0021319E"/>
    <w:rsid w:val="002131BF"/>
    <w:rsid w:val="00213209"/>
    <w:rsid w:val="0021322A"/>
    <w:rsid w:val="00213274"/>
    <w:rsid w:val="0021328A"/>
    <w:rsid w:val="002132E9"/>
    <w:rsid w:val="00213351"/>
    <w:rsid w:val="00213381"/>
    <w:rsid w:val="00213397"/>
    <w:rsid w:val="002133EA"/>
    <w:rsid w:val="00213405"/>
    <w:rsid w:val="0021340F"/>
    <w:rsid w:val="00213448"/>
    <w:rsid w:val="0021349E"/>
    <w:rsid w:val="002134C2"/>
    <w:rsid w:val="002134FD"/>
    <w:rsid w:val="00213519"/>
    <w:rsid w:val="00213532"/>
    <w:rsid w:val="00213549"/>
    <w:rsid w:val="0021355E"/>
    <w:rsid w:val="0021355F"/>
    <w:rsid w:val="002135B7"/>
    <w:rsid w:val="002135C3"/>
    <w:rsid w:val="002135F4"/>
    <w:rsid w:val="00213620"/>
    <w:rsid w:val="0021362B"/>
    <w:rsid w:val="00213646"/>
    <w:rsid w:val="00213649"/>
    <w:rsid w:val="002136F4"/>
    <w:rsid w:val="0021371D"/>
    <w:rsid w:val="00213730"/>
    <w:rsid w:val="00213756"/>
    <w:rsid w:val="00213791"/>
    <w:rsid w:val="002137AC"/>
    <w:rsid w:val="002137DF"/>
    <w:rsid w:val="00213879"/>
    <w:rsid w:val="002138DA"/>
    <w:rsid w:val="0021394F"/>
    <w:rsid w:val="00213956"/>
    <w:rsid w:val="00213985"/>
    <w:rsid w:val="00213987"/>
    <w:rsid w:val="002139E7"/>
    <w:rsid w:val="002139FF"/>
    <w:rsid w:val="00213A18"/>
    <w:rsid w:val="00213A4C"/>
    <w:rsid w:val="00213A5F"/>
    <w:rsid w:val="00213B11"/>
    <w:rsid w:val="00213B2D"/>
    <w:rsid w:val="00213B7A"/>
    <w:rsid w:val="00213B89"/>
    <w:rsid w:val="00213C13"/>
    <w:rsid w:val="00213C87"/>
    <w:rsid w:val="00213CCE"/>
    <w:rsid w:val="00213D38"/>
    <w:rsid w:val="00213D6D"/>
    <w:rsid w:val="00213D8A"/>
    <w:rsid w:val="00213DE5"/>
    <w:rsid w:val="00213E21"/>
    <w:rsid w:val="00213E38"/>
    <w:rsid w:val="00213EA0"/>
    <w:rsid w:val="00213ED6"/>
    <w:rsid w:val="00213F1D"/>
    <w:rsid w:val="00213F5A"/>
    <w:rsid w:val="00213F6A"/>
    <w:rsid w:val="00213FAE"/>
    <w:rsid w:val="00213FD7"/>
    <w:rsid w:val="00213FE6"/>
    <w:rsid w:val="00213FE7"/>
    <w:rsid w:val="00214006"/>
    <w:rsid w:val="0021402A"/>
    <w:rsid w:val="00214063"/>
    <w:rsid w:val="00214096"/>
    <w:rsid w:val="002140CD"/>
    <w:rsid w:val="0021410D"/>
    <w:rsid w:val="0021411D"/>
    <w:rsid w:val="00214124"/>
    <w:rsid w:val="00214156"/>
    <w:rsid w:val="00214187"/>
    <w:rsid w:val="002141B8"/>
    <w:rsid w:val="002141EE"/>
    <w:rsid w:val="00214231"/>
    <w:rsid w:val="0021428F"/>
    <w:rsid w:val="002142F8"/>
    <w:rsid w:val="00214334"/>
    <w:rsid w:val="00214359"/>
    <w:rsid w:val="0021435C"/>
    <w:rsid w:val="002143F5"/>
    <w:rsid w:val="00214421"/>
    <w:rsid w:val="0021442F"/>
    <w:rsid w:val="0021448F"/>
    <w:rsid w:val="00214495"/>
    <w:rsid w:val="002144A3"/>
    <w:rsid w:val="002144C1"/>
    <w:rsid w:val="0021451D"/>
    <w:rsid w:val="002145BA"/>
    <w:rsid w:val="002145F9"/>
    <w:rsid w:val="002146EC"/>
    <w:rsid w:val="002146ED"/>
    <w:rsid w:val="002146F3"/>
    <w:rsid w:val="0021472C"/>
    <w:rsid w:val="00214787"/>
    <w:rsid w:val="002147A4"/>
    <w:rsid w:val="002147AB"/>
    <w:rsid w:val="00214847"/>
    <w:rsid w:val="002148B1"/>
    <w:rsid w:val="002148D7"/>
    <w:rsid w:val="002148DE"/>
    <w:rsid w:val="002148DF"/>
    <w:rsid w:val="002148F8"/>
    <w:rsid w:val="002149E4"/>
    <w:rsid w:val="00214A38"/>
    <w:rsid w:val="00214A56"/>
    <w:rsid w:val="00214A75"/>
    <w:rsid w:val="00214A7D"/>
    <w:rsid w:val="00214A84"/>
    <w:rsid w:val="00214B6D"/>
    <w:rsid w:val="00214BB9"/>
    <w:rsid w:val="00214BED"/>
    <w:rsid w:val="00214C19"/>
    <w:rsid w:val="00214C4F"/>
    <w:rsid w:val="00214C7E"/>
    <w:rsid w:val="00214C90"/>
    <w:rsid w:val="00214CF4"/>
    <w:rsid w:val="00214D40"/>
    <w:rsid w:val="00214D5A"/>
    <w:rsid w:val="00214D5D"/>
    <w:rsid w:val="00214DEC"/>
    <w:rsid w:val="00214DFA"/>
    <w:rsid w:val="00214E34"/>
    <w:rsid w:val="00214E4D"/>
    <w:rsid w:val="00214E81"/>
    <w:rsid w:val="00214E84"/>
    <w:rsid w:val="00214E8B"/>
    <w:rsid w:val="00214E8F"/>
    <w:rsid w:val="00214E95"/>
    <w:rsid w:val="00214E98"/>
    <w:rsid w:val="00214EC3"/>
    <w:rsid w:val="00214EEB"/>
    <w:rsid w:val="00214F00"/>
    <w:rsid w:val="00214F43"/>
    <w:rsid w:val="00214F90"/>
    <w:rsid w:val="00214FD2"/>
    <w:rsid w:val="0021500A"/>
    <w:rsid w:val="0021504C"/>
    <w:rsid w:val="00215052"/>
    <w:rsid w:val="00215094"/>
    <w:rsid w:val="002150B9"/>
    <w:rsid w:val="002150CC"/>
    <w:rsid w:val="002150E7"/>
    <w:rsid w:val="0021510B"/>
    <w:rsid w:val="00215164"/>
    <w:rsid w:val="002151F2"/>
    <w:rsid w:val="00215265"/>
    <w:rsid w:val="0021526B"/>
    <w:rsid w:val="002152C3"/>
    <w:rsid w:val="002152F0"/>
    <w:rsid w:val="002153AF"/>
    <w:rsid w:val="002153CD"/>
    <w:rsid w:val="00215426"/>
    <w:rsid w:val="0021544E"/>
    <w:rsid w:val="00215462"/>
    <w:rsid w:val="00215465"/>
    <w:rsid w:val="0021549A"/>
    <w:rsid w:val="002154C4"/>
    <w:rsid w:val="002154DF"/>
    <w:rsid w:val="00215555"/>
    <w:rsid w:val="00215567"/>
    <w:rsid w:val="00215577"/>
    <w:rsid w:val="002155C5"/>
    <w:rsid w:val="0021560B"/>
    <w:rsid w:val="00215628"/>
    <w:rsid w:val="00215646"/>
    <w:rsid w:val="00215652"/>
    <w:rsid w:val="00215672"/>
    <w:rsid w:val="002156DD"/>
    <w:rsid w:val="00215718"/>
    <w:rsid w:val="00215733"/>
    <w:rsid w:val="0021578C"/>
    <w:rsid w:val="002157B8"/>
    <w:rsid w:val="002157CC"/>
    <w:rsid w:val="002157F8"/>
    <w:rsid w:val="00215803"/>
    <w:rsid w:val="0021580A"/>
    <w:rsid w:val="00215847"/>
    <w:rsid w:val="00215881"/>
    <w:rsid w:val="002158AA"/>
    <w:rsid w:val="002158CB"/>
    <w:rsid w:val="002158D1"/>
    <w:rsid w:val="00215932"/>
    <w:rsid w:val="00215942"/>
    <w:rsid w:val="00215968"/>
    <w:rsid w:val="00215992"/>
    <w:rsid w:val="00215A1C"/>
    <w:rsid w:val="00215A3A"/>
    <w:rsid w:val="00215A3C"/>
    <w:rsid w:val="00215A5A"/>
    <w:rsid w:val="00215A86"/>
    <w:rsid w:val="00215AB6"/>
    <w:rsid w:val="00215B08"/>
    <w:rsid w:val="00215B14"/>
    <w:rsid w:val="00215B45"/>
    <w:rsid w:val="00215B52"/>
    <w:rsid w:val="00215B5A"/>
    <w:rsid w:val="00215B65"/>
    <w:rsid w:val="00215B6F"/>
    <w:rsid w:val="00215BA5"/>
    <w:rsid w:val="00215BF1"/>
    <w:rsid w:val="00215C2A"/>
    <w:rsid w:val="00215C5D"/>
    <w:rsid w:val="00215C71"/>
    <w:rsid w:val="00215CC3"/>
    <w:rsid w:val="00215CD7"/>
    <w:rsid w:val="00215D13"/>
    <w:rsid w:val="00215D17"/>
    <w:rsid w:val="00215D6B"/>
    <w:rsid w:val="00215D6D"/>
    <w:rsid w:val="00215D75"/>
    <w:rsid w:val="00215D84"/>
    <w:rsid w:val="00215DA2"/>
    <w:rsid w:val="00215DD6"/>
    <w:rsid w:val="00215DE7"/>
    <w:rsid w:val="00215E09"/>
    <w:rsid w:val="00215E6E"/>
    <w:rsid w:val="00215EAF"/>
    <w:rsid w:val="00215EC8"/>
    <w:rsid w:val="00215F11"/>
    <w:rsid w:val="00215FC7"/>
    <w:rsid w:val="00215FE6"/>
    <w:rsid w:val="00215FF8"/>
    <w:rsid w:val="0021600D"/>
    <w:rsid w:val="00216066"/>
    <w:rsid w:val="00216092"/>
    <w:rsid w:val="0021610E"/>
    <w:rsid w:val="00216151"/>
    <w:rsid w:val="0021615A"/>
    <w:rsid w:val="0021615F"/>
    <w:rsid w:val="002161AF"/>
    <w:rsid w:val="002161BB"/>
    <w:rsid w:val="002161C5"/>
    <w:rsid w:val="00216225"/>
    <w:rsid w:val="00216279"/>
    <w:rsid w:val="00216286"/>
    <w:rsid w:val="00216310"/>
    <w:rsid w:val="00216345"/>
    <w:rsid w:val="00216366"/>
    <w:rsid w:val="00216387"/>
    <w:rsid w:val="002163DC"/>
    <w:rsid w:val="00216433"/>
    <w:rsid w:val="00216440"/>
    <w:rsid w:val="00216456"/>
    <w:rsid w:val="0021645A"/>
    <w:rsid w:val="0021645B"/>
    <w:rsid w:val="00216490"/>
    <w:rsid w:val="002164A7"/>
    <w:rsid w:val="002164EA"/>
    <w:rsid w:val="0021652F"/>
    <w:rsid w:val="00216605"/>
    <w:rsid w:val="00216613"/>
    <w:rsid w:val="0021663A"/>
    <w:rsid w:val="0021665B"/>
    <w:rsid w:val="0021668C"/>
    <w:rsid w:val="002166C0"/>
    <w:rsid w:val="002166C4"/>
    <w:rsid w:val="002166CF"/>
    <w:rsid w:val="002166D9"/>
    <w:rsid w:val="00216710"/>
    <w:rsid w:val="0021671E"/>
    <w:rsid w:val="00216783"/>
    <w:rsid w:val="00216887"/>
    <w:rsid w:val="0021688D"/>
    <w:rsid w:val="002168BF"/>
    <w:rsid w:val="002168C2"/>
    <w:rsid w:val="00216907"/>
    <w:rsid w:val="00216909"/>
    <w:rsid w:val="0021693B"/>
    <w:rsid w:val="00216943"/>
    <w:rsid w:val="002169B1"/>
    <w:rsid w:val="00216A02"/>
    <w:rsid w:val="00216A3A"/>
    <w:rsid w:val="00216A3E"/>
    <w:rsid w:val="00216A54"/>
    <w:rsid w:val="00216A7C"/>
    <w:rsid w:val="00216A84"/>
    <w:rsid w:val="00216A9E"/>
    <w:rsid w:val="00216B25"/>
    <w:rsid w:val="00216B3B"/>
    <w:rsid w:val="00216B4D"/>
    <w:rsid w:val="00216B87"/>
    <w:rsid w:val="00216BA3"/>
    <w:rsid w:val="00216C0F"/>
    <w:rsid w:val="00216C5F"/>
    <w:rsid w:val="00216CA3"/>
    <w:rsid w:val="00216D5F"/>
    <w:rsid w:val="00216D68"/>
    <w:rsid w:val="00216DA0"/>
    <w:rsid w:val="00216DDF"/>
    <w:rsid w:val="00216E1F"/>
    <w:rsid w:val="00216E62"/>
    <w:rsid w:val="00216EA0"/>
    <w:rsid w:val="00216EDC"/>
    <w:rsid w:val="00216EF9"/>
    <w:rsid w:val="00216FCC"/>
    <w:rsid w:val="00216FDC"/>
    <w:rsid w:val="00216FE6"/>
    <w:rsid w:val="00216FF5"/>
    <w:rsid w:val="00216FFC"/>
    <w:rsid w:val="00217035"/>
    <w:rsid w:val="00217055"/>
    <w:rsid w:val="00217096"/>
    <w:rsid w:val="002170A9"/>
    <w:rsid w:val="002170DD"/>
    <w:rsid w:val="00217153"/>
    <w:rsid w:val="002171FC"/>
    <w:rsid w:val="00217227"/>
    <w:rsid w:val="0021729D"/>
    <w:rsid w:val="002172AA"/>
    <w:rsid w:val="002172C7"/>
    <w:rsid w:val="002172E5"/>
    <w:rsid w:val="002172F3"/>
    <w:rsid w:val="00217333"/>
    <w:rsid w:val="0021733A"/>
    <w:rsid w:val="00217345"/>
    <w:rsid w:val="00217352"/>
    <w:rsid w:val="00217465"/>
    <w:rsid w:val="00217468"/>
    <w:rsid w:val="002174AE"/>
    <w:rsid w:val="002174E5"/>
    <w:rsid w:val="00217502"/>
    <w:rsid w:val="00217522"/>
    <w:rsid w:val="00217540"/>
    <w:rsid w:val="00217562"/>
    <w:rsid w:val="002175C2"/>
    <w:rsid w:val="002175D4"/>
    <w:rsid w:val="00217621"/>
    <w:rsid w:val="00217664"/>
    <w:rsid w:val="00217668"/>
    <w:rsid w:val="0021769D"/>
    <w:rsid w:val="002176A1"/>
    <w:rsid w:val="0021775D"/>
    <w:rsid w:val="002177B3"/>
    <w:rsid w:val="002177BF"/>
    <w:rsid w:val="002177F3"/>
    <w:rsid w:val="002177FE"/>
    <w:rsid w:val="00217826"/>
    <w:rsid w:val="0021783F"/>
    <w:rsid w:val="00217844"/>
    <w:rsid w:val="00217846"/>
    <w:rsid w:val="00217852"/>
    <w:rsid w:val="00217855"/>
    <w:rsid w:val="0021786A"/>
    <w:rsid w:val="00217874"/>
    <w:rsid w:val="0021787B"/>
    <w:rsid w:val="002178C4"/>
    <w:rsid w:val="00217900"/>
    <w:rsid w:val="0021793E"/>
    <w:rsid w:val="00217941"/>
    <w:rsid w:val="00217947"/>
    <w:rsid w:val="002179B7"/>
    <w:rsid w:val="00217A00"/>
    <w:rsid w:val="00217A05"/>
    <w:rsid w:val="00217AF6"/>
    <w:rsid w:val="00217B02"/>
    <w:rsid w:val="00217B1E"/>
    <w:rsid w:val="00217BA0"/>
    <w:rsid w:val="00217C1C"/>
    <w:rsid w:val="00217C3C"/>
    <w:rsid w:val="00217C7A"/>
    <w:rsid w:val="00217D1C"/>
    <w:rsid w:val="00217D37"/>
    <w:rsid w:val="00217D45"/>
    <w:rsid w:val="00217DBB"/>
    <w:rsid w:val="00217DD3"/>
    <w:rsid w:val="00217DE9"/>
    <w:rsid w:val="00217E29"/>
    <w:rsid w:val="00217ECC"/>
    <w:rsid w:val="00217EF7"/>
    <w:rsid w:val="00217F4F"/>
    <w:rsid w:val="00217FCA"/>
    <w:rsid w:val="00217FF8"/>
    <w:rsid w:val="0022000E"/>
    <w:rsid w:val="00220035"/>
    <w:rsid w:val="002200B4"/>
    <w:rsid w:val="002200DD"/>
    <w:rsid w:val="00220100"/>
    <w:rsid w:val="00220187"/>
    <w:rsid w:val="00220196"/>
    <w:rsid w:val="002201B2"/>
    <w:rsid w:val="002202A1"/>
    <w:rsid w:val="002202A2"/>
    <w:rsid w:val="002202C9"/>
    <w:rsid w:val="002202D1"/>
    <w:rsid w:val="002202D9"/>
    <w:rsid w:val="002202E8"/>
    <w:rsid w:val="00220335"/>
    <w:rsid w:val="00220340"/>
    <w:rsid w:val="00220383"/>
    <w:rsid w:val="00220386"/>
    <w:rsid w:val="0022038F"/>
    <w:rsid w:val="002203D9"/>
    <w:rsid w:val="0022045D"/>
    <w:rsid w:val="002204D5"/>
    <w:rsid w:val="002204E3"/>
    <w:rsid w:val="0022051A"/>
    <w:rsid w:val="0022052C"/>
    <w:rsid w:val="0022055A"/>
    <w:rsid w:val="002205F4"/>
    <w:rsid w:val="00220627"/>
    <w:rsid w:val="0022064D"/>
    <w:rsid w:val="00220656"/>
    <w:rsid w:val="0022065D"/>
    <w:rsid w:val="00220680"/>
    <w:rsid w:val="002206B7"/>
    <w:rsid w:val="002206DD"/>
    <w:rsid w:val="0022070B"/>
    <w:rsid w:val="0022075C"/>
    <w:rsid w:val="0022076F"/>
    <w:rsid w:val="002207BE"/>
    <w:rsid w:val="002207BF"/>
    <w:rsid w:val="002207C0"/>
    <w:rsid w:val="002207E9"/>
    <w:rsid w:val="002207EA"/>
    <w:rsid w:val="00220843"/>
    <w:rsid w:val="002208AF"/>
    <w:rsid w:val="002208F9"/>
    <w:rsid w:val="00220930"/>
    <w:rsid w:val="00220942"/>
    <w:rsid w:val="00220968"/>
    <w:rsid w:val="00220979"/>
    <w:rsid w:val="002209C4"/>
    <w:rsid w:val="002209C7"/>
    <w:rsid w:val="002209EA"/>
    <w:rsid w:val="002209F9"/>
    <w:rsid w:val="00220A39"/>
    <w:rsid w:val="00220A55"/>
    <w:rsid w:val="00220A6F"/>
    <w:rsid w:val="00220ABF"/>
    <w:rsid w:val="00220B0B"/>
    <w:rsid w:val="00220B4D"/>
    <w:rsid w:val="00220B79"/>
    <w:rsid w:val="00220BD6"/>
    <w:rsid w:val="00220BE0"/>
    <w:rsid w:val="00220BF7"/>
    <w:rsid w:val="00220C05"/>
    <w:rsid w:val="00220C5C"/>
    <w:rsid w:val="00220CB3"/>
    <w:rsid w:val="00220CD7"/>
    <w:rsid w:val="00220CD9"/>
    <w:rsid w:val="00220CFF"/>
    <w:rsid w:val="00220D04"/>
    <w:rsid w:val="00220D42"/>
    <w:rsid w:val="00220D4D"/>
    <w:rsid w:val="00220D7C"/>
    <w:rsid w:val="00220D83"/>
    <w:rsid w:val="00220E2F"/>
    <w:rsid w:val="00220E4B"/>
    <w:rsid w:val="00220E83"/>
    <w:rsid w:val="00220F8E"/>
    <w:rsid w:val="0022100A"/>
    <w:rsid w:val="0022100D"/>
    <w:rsid w:val="00221024"/>
    <w:rsid w:val="0022104D"/>
    <w:rsid w:val="00221070"/>
    <w:rsid w:val="00221098"/>
    <w:rsid w:val="002210C8"/>
    <w:rsid w:val="0022112A"/>
    <w:rsid w:val="00221141"/>
    <w:rsid w:val="00221190"/>
    <w:rsid w:val="002211CC"/>
    <w:rsid w:val="002211E9"/>
    <w:rsid w:val="00221254"/>
    <w:rsid w:val="0022133C"/>
    <w:rsid w:val="002213BC"/>
    <w:rsid w:val="002213E1"/>
    <w:rsid w:val="00221444"/>
    <w:rsid w:val="00221495"/>
    <w:rsid w:val="002214A6"/>
    <w:rsid w:val="00221518"/>
    <w:rsid w:val="0022155E"/>
    <w:rsid w:val="00221562"/>
    <w:rsid w:val="00221596"/>
    <w:rsid w:val="002215A0"/>
    <w:rsid w:val="002215D8"/>
    <w:rsid w:val="002215FA"/>
    <w:rsid w:val="00221607"/>
    <w:rsid w:val="00221612"/>
    <w:rsid w:val="00221647"/>
    <w:rsid w:val="00221679"/>
    <w:rsid w:val="0022169E"/>
    <w:rsid w:val="002216F3"/>
    <w:rsid w:val="0022171E"/>
    <w:rsid w:val="0022176F"/>
    <w:rsid w:val="00221794"/>
    <w:rsid w:val="00221797"/>
    <w:rsid w:val="002217B4"/>
    <w:rsid w:val="00221853"/>
    <w:rsid w:val="002218D1"/>
    <w:rsid w:val="00221AED"/>
    <w:rsid w:val="00221B71"/>
    <w:rsid w:val="00221BB3"/>
    <w:rsid w:val="00221C29"/>
    <w:rsid w:val="00221C35"/>
    <w:rsid w:val="00221C48"/>
    <w:rsid w:val="00221C79"/>
    <w:rsid w:val="00221CBB"/>
    <w:rsid w:val="00221CDF"/>
    <w:rsid w:val="00221CE8"/>
    <w:rsid w:val="00221D20"/>
    <w:rsid w:val="00221D37"/>
    <w:rsid w:val="00221D55"/>
    <w:rsid w:val="00221D61"/>
    <w:rsid w:val="00221D7D"/>
    <w:rsid w:val="00221DCC"/>
    <w:rsid w:val="00221EA2"/>
    <w:rsid w:val="00221EBC"/>
    <w:rsid w:val="00221F13"/>
    <w:rsid w:val="00221FD0"/>
    <w:rsid w:val="00221FE8"/>
    <w:rsid w:val="00221FEA"/>
    <w:rsid w:val="0022204B"/>
    <w:rsid w:val="0022204F"/>
    <w:rsid w:val="002220A4"/>
    <w:rsid w:val="002220A9"/>
    <w:rsid w:val="0022210F"/>
    <w:rsid w:val="0022214A"/>
    <w:rsid w:val="00222194"/>
    <w:rsid w:val="002221B7"/>
    <w:rsid w:val="002221D4"/>
    <w:rsid w:val="002221E6"/>
    <w:rsid w:val="00222232"/>
    <w:rsid w:val="002222B5"/>
    <w:rsid w:val="002222C4"/>
    <w:rsid w:val="002222F0"/>
    <w:rsid w:val="00222307"/>
    <w:rsid w:val="00222364"/>
    <w:rsid w:val="0022237A"/>
    <w:rsid w:val="002223A2"/>
    <w:rsid w:val="0022240F"/>
    <w:rsid w:val="00222416"/>
    <w:rsid w:val="0022241A"/>
    <w:rsid w:val="0022242C"/>
    <w:rsid w:val="00222471"/>
    <w:rsid w:val="002224AF"/>
    <w:rsid w:val="002224BD"/>
    <w:rsid w:val="002224E2"/>
    <w:rsid w:val="00222579"/>
    <w:rsid w:val="0022259D"/>
    <w:rsid w:val="0022266D"/>
    <w:rsid w:val="00222726"/>
    <w:rsid w:val="0022277F"/>
    <w:rsid w:val="002227AE"/>
    <w:rsid w:val="00222811"/>
    <w:rsid w:val="0022282C"/>
    <w:rsid w:val="00222837"/>
    <w:rsid w:val="002228D6"/>
    <w:rsid w:val="0022291C"/>
    <w:rsid w:val="00222926"/>
    <w:rsid w:val="00222A5A"/>
    <w:rsid w:val="00222A6D"/>
    <w:rsid w:val="00222A77"/>
    <w:rsid w:val="00222A89"/>
    <w:rsid w:val="00222A95"/>
    <w:rsid w:val="00222ACA"/>
    <w:rsid w:val="00222AF8"/>
    <w:rsid w:val="00222B09"/>
    <w:rsid w:val="00222B0D"/>
    <w:rsid w:val="00222B8A"/>
    <w:rsid w:val="00222BCE"/>
    <w:rsid w:val="00222BE2"/>
    <w:rsid w:val="00222BF6"/>
    <w:rsid w:val="00222BFF"/>
    <w:rsid w:val="00222C59"/>
    <w:rsid w:val="00222C70"/>
    <w:rsid w:val="00222C96"/>
    <w:rsid w:val="00222D4C"/>
    <w:rsid w:val="00222D56"/>
    <w:rsid w:val="00222D67"/>
    <w:rsid w:val="00222D74"/>
    <w:rsid w:val="00222DCC"/>
    <w:rsid w:val="00222E1A"/>
    <w:rsid w:val="00222F3B"/>
    <w:rsid w:val="00222F72"/>
    <w:rsid w:val="00222FC8"/>
    <w:rsid w:val="00222FE9"/>
    <w:rsid w:val="00222FF0"/>
    <w:rsid w:val="00222FF4"/>
    <w:rsid w:val="00222FF9"/>
    <w:rsid w:val="0022301B"/>
    <w:rsid w:val="00223079"/>
    <w:rsid w:val="002230D1"/>
    <w:rsid w:val="00223126"/>
    <w:rsid w:val="00223150"/>
    <w:rsid w:val="00223263"/>
    <w:rsid w:val="00223265"/>
    <w:rsid w:val="0022327A"/>
    <w:rsid w:val="0022332D"/>
    <w:rsid w:val="00223367"/>
    <w:rsid w:val="00223393"/>
    <w:rsid w:val="00223423"/>
    <w:rsid w:val="0022344D"/>
    <w:rsid w:val="00223459"/>
    <w:rsid w:val="002234DA"/>
    <w:rsid w:val="0022352C"/>
    <w:rsid w:val="00223543"/>
    <w:rsid w:val="002235B4"/>
    <w:rsid w:val="002235C0"/>
    <w:rsid w:val="002235DE"/>
    <w:rsid w:val="00223611"/>
    <w:rsid w:val="0022361B"/>
    <w:rsid w:val="00223621"/>
    <w:rsid w:val="0022367B"/>
    <w:rsid w:val="0022367D"/>
    <w:rsid w:val="002236EB"/>
    <w:rsid w:val="00223700"/>
    <w:rsid w:val="0022373E"/>
    <w:rsid w:val="00223768"/>
    <w:rsid w:val="00223769"/>
    <w:rsid w:val="002237A2"/>
    <w:rsid w:val="002237E0"/>
    <w:rsid w:val="0022380C"/>
    <w:rsid w:val="00223830"/>
    <w:rsid w:val="0022385D"/>
    <w:rsid w:val="0022386A"/>
    <w:rsid w:val="00223875"/>
    <w:rsid w:val="0022389F"/>
    <w:rsid w:val="00223913"/>
    <w:rsid w:val="0022396E"/>
    <w:rsid w:val="0022397A"/>
    <w:rsid w:val="00223993"/>
    <w:rsid w:val="002239BB"/>
    <w:rsid w:val="002239CD"/>
    <w:rsid w:val="002239E1"/>
    <w:rsid w:val="002239F9"/>
    <w:rsid w:val="00223A33"/>
    <w:rsid w:val="00223B83"/>
    <w:rsid w:val="00223CA8"/>
    <w:rsid w:val="00223CDC"/>
    <w:rsid w:val="00223CDD"/>
    <w:rsid w:val="00223CFE"/>
    <w:rsid w:val="00223D32"/>
    <w:rsid w:val="00223E71"/>
    <w:rsid w:val="00223E86"/>
    <w:rsid w:val="00223ED5"/>
    <w:rsid w:val="00223EFD"/>
    <w:rsid w:val="00223F54"/>
    <w:rsid w:val="00223FB1"/>
    <w:rsid w:val="00224040"/>
    <w:rsid w:val="00224080"/>
    <w:rsid w:val="002240A3"/>
    <w:rsid w:val="002240B8"/>
    <w:rsid w:val="002240BC"/>
    <w:rsid w:val="002240CE"/>
    <w:rsid w:val="002240D7"/>
    <w:rsid w:val="00224119"/>
    <w:rsid w:val="0022413F"/>
    <w:rsid w:val="00224180"/>
    <w:rsid w:val="002241BF"/>
    <w:rsid w:val="002241EC"/>
    <w:rsid w:val="002241F0"/>
    <w:rsid w:val="002241FD"/>
    <w:rsid w:val="002241FF"/>
    <w:rsid w:val="00224238"/>
    <w:rsid w:val="0022425B"/>
    <w:rsid w:val="00224267"/>
    <w:rsid w:val="0022426B"/>
    <w:rsid w:val="002242E9"/>
    <w:rsid w:val="0022436D"/>
    <w:rsid w:val="00224392"/>
    <w:rsid w:val="002243A3"/>
    <w:rsid w:val="002243D0"/>
    <w:rsid w:val="002243F5"/>
    <w:rsid w:val="00224405"/>
    <w:rsid w:val="00224408"/>
    <w:rsid w:val="0022446E"/>
    <w:rsid w:val="00224476"/>
    <w:rsid w:val="002244CA"/>
    <w:rsid w:val="0022454B"/>
    <w:rsid w:val="00224563"/>
    <w:rsid w:val="00224592"/>
    <w:rsid w:val="00224598"/>
    <w:rsid w:val="0022459E"/>
    <w:rsid w:val="002245EC"/>
    <w:rsid w:val="00224618"/>
    <w:rsid w:val="00224683"/>
    <w:rsid w:val="002246D8"/>
    <w:rsid w:val="0022470F"/>
    <w:rsid w:val="00224716"/>
    <w:rsid w:val="0022472B"/>
    <w:rsid w:val="00224739"/>
    <w:rsid w:val="00224744"/>
    <w:rsid w:val="002247C4"/>
    <w:rsid w:val="00224877"/>
    <w:rsid w:val="00224933"/>
    <w:rsid w:val="00224A4B"/>
    <w:rsid w:val="00224AA1"/>
    <w:rsid w:val="00224AFF"/>
    <w:rsid w:val="00224B21"/>
    <w:rsid w:val="00224B53"/>
    <w:rsid w:val="00224BB1"/>
    <w:rsid w:val="00224BEE"/>
    <w:rsid w:val="00224BF7"/>
    <w:rsid w:val="00224C99"/>
    <w:rsid w:val="00224CA3"/>
    <w:rsid w:val="00224CBD"/>
    <w:rsid w:val="00224CF5"/>
    <w:rsid w:val="00224D30"/>
    <w:rsid w:val="00224D3C"/>
    <w:rsid w:val="00224D53"/>
    <w:rsid w:val="00224D7A"/>
    <w:rsid w:val="00224D82"/>
    <w:rsid w:val="00224DB6"/>
    <w:rsid w:val="00224DBF"/>
    <w:rsid w:val="00224DD2"/>
    <w:rsid w:val="00224EC3"/>
    <w:rsid w:val="00224EC9"/>
    <w:rsid w:val="00224F16"/>
    <w:rsid w:val="00224F3B"/>
    <w:rsid w:val="00224F55"/>
    <w:rsid w:val="00224F65"/>
    <w:rsid w:val="00224F80"/>
    <w:rsid w:val="00224FAA"/>
    <w:rsid w:val="00224FBB"/>
    <w:rsid w:val="00224FC8"/>
    <w:rsid w:val="00224FD6"/>
    <w:rsid w:val="00224FEB"/>
    <w:rsid w:val="00225037"/>
    <w:rsid w:val="00225045"/>
    <w:rsid w:val="0022505D"/>
    <w:rsid w:val="00225088"/>
    <w:rsid w:val="002250E9"/>
    <w:rsid w:val="002250EC"/>
    <w:rsid w:val="0022511C"/>
    <w:rsid w:val="00225133"/>
    <w:rsid w:val="0022513F"/>
    <w:rsid w:val="0022515A"/>
    <w:rsid w:val="0022516D"/>
    <w:rsid w:val="002251ED"/>
    <w:rsid w:val="002251FA"/>
    <w:rsid w:val="00225274"/>
    <w:rsid w:val="002252B0"/>
    <w:rsid w:val="00225306"/>
    <w:rsid w:val="0022531C"/>
    <w:rsid w:val="00225334"/>
    <w:rsid w:val="00225535"/>
    <w:rsid w:val="0022557D"/>
    <w:rsid w:val="002255A8"/>
    <w:rsid w:val="002255BB"/>
    <w:rsid w:val="002255C9"/>
    <w:rsid w:val="0022560F"/>
    <w:rsid w:val="0022564F"/>
    <w:rsid w:val="00225689"/>
    <w:rsid w:val="002256D8"/>
    <w:rsid w:val="0022570E"/>
    <w:rsid w:val="002257B0"/>
    <w:rsid w:val="00225816"/>
    <w:rsid w:val="00225831"/>
    <w:rsid w:val="0022584B"/>
    <w:rsid w:val="0022586E"/>
    <w:rsid w:val="00225879"/>
    <w:rsid w:val="0022596E"/>
    <w:rsid w:val="00225970"/>
    <w:rsid w:val="002259A4"/>
    <w:rsid w:val="002259E5"/>
    <w:rsid w:val="00225A08"/>
    <w:rsid w:val="00225A27"/>
    <w:rsid w:val="00225A39"/>
    <w:rsid w:val="00225A54"/>
    <w:rsid w:val="00225A58"/>
    <w:rsid w:val="00225A68"/>
    <w:rsid w:val="00225ABE"/>
    <w:rsid w:val="00225ACF"/>
    <w:rsid w:val="00225ADF"/>
    <w:rsid w:val="00225AED"/>
    <w:rsid w:val="00225B1D"/>
    <w:rsid w:val="00225B72"/>
    <w:rsid w:val="00225B81"/>
    <w:rsid w:val="00225BCF"/>
    <w:rsid w:val="00225BF1"/>
    <w:rsid w:val="00225C03"/>
    <w:rsid w:val="00225C31"/>
    <w:rsid w:val="00225C48"/>
    <w:rsid w:val="00225C6F"/>
    <w:rsid w:val="00225C8A"/>
    <w:rsid w:val="00225D2D"/>
    <w:rsid w:val="00225D8D"/>
    <w:rsid w:val="00225DA3"/>
    <w:rsid w:val="00225DC9"/>
    <w:rsid w:val="00225DE5"/>
    <w:rsid w:val="00225DF2"/>
    <w:rsid w:val="00225E30"/>
    <w:rsid w:val="00225F12"/>
    <w:rsid w:val="00225F3D"/>
    <w:rsid w:val="00225F4A"/>
    <w:rsid w:val="00226004"/>
    <w:rsid w:val="0022600F"/>
    <w:rsid w:val="0022602A"/>
    <w:rsid w:val="0022602D"/>
    <w:rsid w:val="0022608D"/>
    <w:rsid w:val="00226098"/>
    <w:rsid w:val="002260AA"/>
    <w:rsid w:val="002260DC"/>
    <w:rsid w:val="002260EB"/>
    <w:rsid w:val="002260FC"/>
    <w:rsid w:val="002260FF"/>
    <w:rsid w:val="0022610C"/>
    <w:rsid w:val="00226116"/>
    <w:rsid w:val="00226197"/>
    <w:rsid w:val="002261F0"/>
    <w:rsid w:val="00226212"/>
    <w:rsid w:val="00226293"/>
    <w:rsid w:val="0022629E"/>
    <w:rsid w:val="002262E4"/>
    <w:rsid w:val="00226357"/>
    <w:rsid w:val="002263D8"/>
    <w:rsid w:val="002263F3"/>
    <w:rsid w:val="0022649D"/>
    <w:rsid w:val="00226525"/>
    <w:rsid w:val="0022656D"/>
    <w:rsid w:val="00226578"/>
    <w:rsid w:val="00226589"/>
    <w:rsid w:val="0022658B"/>
    <w:rsid w:val="0022659F"/>
    <w:rsid w:val="002265F7"/>
    <w:rsid w:val="00226611"/>
    <w:rsid w:val="00226631"/>
    <w:rsid w:val="00226636"/>
    <w:rsid w:val="00226645"/>
    <w:rsid w:val="00226667"/>
    <w:rsid w:val="002266E6"/>
    <w:rsid w:val="002266ED"/>
    <w:rsid w:val="002266F1"/>
    <w:rsid w:val="0022671C"/>
    <w:rsid w:val="0022677E"/>
    <w:rsid w:val="0022684D"/>
    <w:rsid w:val="002268BF"/>
    <w:rsid w:val="002268C5"/>
    <w:rsid w:val="002268EC"/>
    <w:rsid w:val="0022690B"/>
    <w:rsid w:val="0022693C"/>
    <w:rsid w:val="00226957"/>
    <w:rsid w:val="0022698D"/>
    <w:rsid w:val="002269BF"/>
    <w:rsid w:val="002269C5"/>
    <w:rsid w:val="002269CB"/>
    <w:rsid w:val="002269EE"/>
    <w:rsid w:val="00226A0F"/>
    <w:rsid w:val="00226A1E"/>
    <w:rsid w:val="00226A30"/>
    <w:rsid w:val="00226A61"/>
    <w:rsid w:val="00226A75"/>
    <w:rsid w:val="00226B0C"/>
    <w:rsid w:val="00226B45"/>
    <w:rsid w:val="00226B70"/>
    <w:rsid w:val="00226B76"/>
    <w:rsid w:val="00226B8F"/>
    <w:rsid w:val="00226C39"/>
    <w:rsid w:val="00226C45"/>
    <w:rsid w:val="00226C51"/>
    <w:rsid w:val="00226C9C"/>
    <w:rsid w:val="00226CF2"/>
    <w:rsid w:val="00226D12"/>
    <w:rsid w:val="00226D27"/>
    <w:rsid w:val="00226D2F"/>
    <w:rsid w:val="00226D42"/>
    <w:rsid w:val="00226D62"/>
    <w:rsid w:val="00226D7F"/>
    <w:rsid w:val="00226DAB"/>
    <w:rsid w:val="00226DB3"/>
    <w:rsid w:val="00226E24"/>
    <w:rsid w:val="00226E85"/>
    <w:rsid w:val="00226E9C"/>
    <w:rsid w:val="00226ECF"/>
    <w:rsid w:val="00226EDD"/>
    <w:rsid w:val="00226F57"/>
    <w:rsid w:val="00226F5C"/>
    <w:rsid w:val="00226F7D"/>
    <w:rsid w:val="00226FAF"/>
    <w:rsid w:val="00226FDB"/>
    <w:rsid w:val="0022701F"/>
    <w:rsid w:val="0022703E"/>
    <w:rsid w:val="00227041"/>
    <w:rsid w:val="00227073"/>
    <w:rsid w:val="002270C6"/>
    <w:rsid w:val="002270DF"/>
    <w:rsid w:val="002270F6"/>
    <w:rsid w:val="0022710B"/>
    <w:rsid w:val="00227142"/>
    <w:rsid w:val="00227146"/>
    <w:rsid w:val="0022715C"/>
    <w:rsid w:val="00227173"/>
    <w:rsid w:val="00227188"/>
    <w:rsid w:val="002271D2"/>
    <w:rsid w:val="0022721D"/>
    <w:rsid w:val="00227289"/>
    <w:rsid w:val="00227292"/>
    <w:rsid w:val="002272AD"/>
    <w:rsid w:val="00227356"/>
    <w:rsid w:val="0022737E"/>
    <w:rsid w:val="00227392"/>
    <w:rsid w:val="002273C1"/>
    <w:rsid w:val="00227418"/>
    <w:rsid w:val="0022743E"/>
    <w:rsid w:val="00227484"/>
    <w:rsid w:val="00227497"/>
    <w:rsid w:val="0022749C"/>
    <w:rsid w:val="002274F0"/>
    <w:rsid w:val="0022753D"/>
    <w:rsid w:val="00227599"/>
    <w:rsid w:val="002275A8"/>
    <w:rsid w:val="00227659"/>
    <w:rsid w:val="0022767F"/>
    <w:rsid w:val="002276B2"/>
    <w:rsid w:val="002276FA"/>
    <w:rsid w:val="00227760"/>
    <w:rsid w:val="00227799"/>
    <w:rsid w:val="0022784F"/>
    <w:rsid w:val="00227876"/>
    <w:rsid w:val="002278BB"/>
    <w:rsid w:val="0022791E"/>
    <w:rsid w:val="0022791F"/>
    <w:rsid w:val="00227940"/>
    <w:rsid w:val="0022799F"/>
    <w:rsid w:val="002279C9"/>
    <w:rsid w:val="002279FA"/>
    <w:rsid w:val="00227A0A"/>
    <w:rsid w:val="00227A26"/>
    <w:rsid w:val="00227A54"/>
    <w:rsid w:val="00227AA4"/>
    <w:rsid w:val="00227AF0"/>
    <w:rsid w:val="00227AFB"/>
    <w:rsid w:val="00227B83"/>
    <w:rsid w:val="00227BAE"/>
    <w:rsid w:val="00227C05"/>
    <w:rsid w:val="00227C57"/>
    <w:rsid w:val="00227C7A"/>
    <w:rsid w:val="00227C85"/>
    <w:rsid w:val="00227D22"/>
    <w:rsid w:val="00227D43"/>
    <w:rsid w:val="00227D6E"/>
    <w:rsid w:val="00227E16"/>
    <w:rsid w:val="00227E53"/>
    <w:rsid w:val="00227E55"/>
    <w:rsid w:val="00227E9C"/>
    <w:rsid w:val="00227EAE"/>
    <w:rsid w:val="00227EE5"/>
    <w:rsid w:val="00227F18"/>
    <w:rsid w:val="00227F53"/>
    <w:rsid w:val="00227F7A"/>
    <w:rsid w:val="00227F7F"/>
    <w:rsid w:val="00227FB6"/>
    <w:rsid w:val="00227FCB"/>
    <w:rsid w:val="00230035"/>
    <w:rsid w:val="0023005C"/>
    <w:rsid w:val="00230061"/>
    <w:rsid w:val="002300AD"/>
    <w:rsid w:val="002300D4"/>
    <w:rsid w:val="00230117"/>
    <w:rsid w:val="002301A2"/>
    <w:rsid w:val="00230212"/>
    <w:rsid w:val="0023021A"/>
    <w:rsid w:val="00230245"/>
    <w:rsid w:val="0023025E"/>
    <w:rsid w:val="00230283"/>
    <w:rsid w:val="002302B5"/>
    <w:rsid w:val="002302BF"/>
    <w:rsid w:val="002302D6"/>
    <w:rsid w:val="002302E4"/>
    <w:rsid w:val="00230337"/>
    <w:rsid w:val="002303BC"/>
    <w:rsid w:val="002304DE"/>
    <w:rsid w:val="002304EF"/>
    <w:rsid w:val="0023054D"/>
    <w:rsid w:val="00230553"/>
    <w:rsid w:val="00230562"/>
    <w:rsid w:val="002305A2"/>
    <w:rsid w:val="002305B0"/>
    <w:rsid w:val="002305B5"/>
    <w:rsid w:val="002305BC"/>
    <w:rsid w:val="002305F0"/>
    <w:rsid w:val="0023062D"/>
    <w:rsid w:val="00230656"/>
    <w:rsid w:val="00230691"/>
    <w:rsid w:val="002306D5"/>
    <w:rsid w:val="002306E2"/>
    <w:rsid w:val="0023070A"/>
    <w:rsid w:val="00230846"/>
    <w:rsid w:val="002308EA"/>
    <w:rsid w:val="00230909"/>
    <w:rsid w:val="0023090E"/>
    <w:rsid w:val="0023096E"/>
    <w:rsid w:val="002309AF"/>
    <w:rsid w:val="002309BE"/>
    <w:rsid w:val="002309CB"/>
    <w:rsid w:val="00230A4D"/>
    <w:rsid w:val="00230A55"/>
    <w:rsid w:val="00230AA8"/>
    <w:rsid w:val="00230AF2"/>
    <w:rsid w:val="00230B0C"/>
    <w:rsid w:val="00230B0E"/>
    <w:rsid w:val="00230B74"/>
    <w:rsid w:val="00230B77"/>
    <w:rsid w:val="00230BB5"/>
    <w:rsid w:val="00230C20"/>
    <w:rsid w:val="00230CB1"/>
    <w:rsid w:val="00230D24"/>
    <w:rsid w:val="00230D87"/>
    <w:rsid w:val="00230DC6"/>
    <w:rsid w:val="00230DDA"/>
    <w:rsid w:val="00230DEB"/>
    <w:rsid w:val="00230E09"/>
    <w:rsid w:val="00230E3A"/>
    <w:rsid w:val="00230E73"/>
    <w:rsid w:val="00230F27"/>
    <w:rsid w:val="00230F4F"/>
    <w:rsid w:val="00230F8C"/>
    <w:rsid w:val="00230FB1"/>
    <w:rsid w:val="00230FE5"/>
    <w:rsid w:val="00231010"/>
    <w:rsid w:val="00231084"/>
    <w:rsid w:val="002310B3"/>
    <w:rsid w:val="002310C4"/>
    <w:rsid w:val="00231121"/>
    <w:rsid w:val="00231144"/>
    <w:rsid w:val="00231166"/>
    <w:rsid w:val="00231171"/>
    <w:rsid w:val="0023119E"/>
    <w:rsid w:val="0023126A"/>
    <w:rsid w:val="00231290"/>
    <w:rsid w:val="00231291"/>
    <w:rsid w:val="002312C3"/>
    <w:rsid w:val="002312D1"/>
    <w:rsid w:val="0023130A"/>
    <w:rsid w:val="00231313"/>
    <w:rsid w:val="00231338"/>
    <w:rsid w:val="0023136A"/>
    <w:rsid w:val="00231396"/>
    <w:rsid w:val="0023143A"/>
    <w:rsid w:val="002314D7"/>
    <w:rsid w:val="00231529"/>
    <w:rsid w:val="00231546"/>
    <w:rsid w:val="00231560"/>
    <w:rsid w:val="0023159C"/>
    <w:rsid w:val="002315A1"/>
    <w:rsid w:val="002315DE"/>
    <w:rsid w:val="002315E8"/>
    <w:rsid w:val="00231601"/>
    <w:rsid w:val="0023160F"/>
    <w:rsid w:val="00231630"/>
    <w:rsid w:val="002316D9"/>
    <w:rsid w:val="0023170B"/>
    <w:rsid w:val="00231756"/>
    <w:rsid w:val="0023178C"/>
    <w:rsid w:val="002317B2"/>
    <w:rsid w:val="002317B6"/>
    <w:rsid w:val="00231837"/>
    <w:rsid w:val="00231845"/>
    <w:rsid w:val="002318A0"/>
    <w:rsid w:val="002318B9"/>
    <w:rsid w:val="002318C0"/>
    <w:rsid w:val="00231932"/>
    <w:rsid w:val="0023197E"/>
    <w:rsid w:val="002319E2"/>
    <w:rsid w:val="00231A1E"/>
    <w:rsid w:val="00231A34"/>
    <w:rsid w:val="00231A39"/>
    <w:rsid w:val="00231ACF"/>
    <w:rsid w:val="00231AE8"/>
    <w:rsid w:val="00231B94"/>
    <w:rsid w:val="00231BD2"/>
    <w:rsid w:val="00231BEA"/>
    <w:rsid w:val="00231C0D"/>
    <w:rsid w:val="00231C9D"/>
    <w:rsid w:val="00231CED"/>
    <w:rsid w:val="00231CF5"/>
    <w:rsid w:val="00231D76"/>
    <w:rsid w:val="00231DFB"/>
    <w:rsid w:val="00231E31"/>
    <w:rsid w:val="00231E8A"/>
    <w:rsid w:val="00231EC6"/>
    <w:rsid w:val="00231ED3"/>
    <w:rsid w:val="00231EEF"/>
    <w:rsid w:val="00231F21"/>
    <w:rsid w:val="00232037"/>
    <w:rsid w:val="0023203D"/>
    <w:rsid w:val="00232047"/>
    <w:rsid w:val="00232065"/>
    <w:rsid w:val="002320BF"/>
    <w:rsid w:val="002320ED"/>
    <w:rsid w:val="00232109"/>
    <w:rsid w:val="00232160"/>
    <w:rsid w:val="0023218B"/>
    <w:rsid w:val="002321BF"/>
    <w:rsid w:val="002321D5"/>
    <w:rsid w:val="002321EE"/>
    <w:rsid w:val="002321F3"/>
    <w:rsid w:val="002321F5"/>
    <w:rsid w:val="002321F7"/>
    <w:rsid w:val="002322C3"/>
    <w:rsid w:val="002322D5"/>
    <w:rsid w:val="00232363"/>
    <w:rsid w:val="0023236B"/>
    <w:rsid w:val="002323D7"/>
    <w:rsid w:val="002323F7"/>
    <w:rsid w:val="00232418"/>
    <w:rsid w:val="0023248E"/>
    <w:rsid w:val="00232501"/>
    <w:rsid w:val="00232553"/>
    <w:rsid w:val="0023261A"/>
    <w:rsid w:val="0023261E"/>
    <w:rsid w:val="00232639"/>
    <w:rsid w:val="0023269C"/>
    <w:rsid w:val="002326DC"/>
    <w:rsid w:val="002326ED"/>
    <w:rsid w:val="0023280D"/>
    <w:rsid w:val="00232815"/>
    <w:rsid w:val="00232873"/>
    <w:rsid w:val="002328D8"/>
    <w:rsid w:val="0023292A"/>
    <w:rsid w:val="0023293F"/>
    <w:rsid w:val="00232946"/>
    <w:rsid w:val="0023299A"/>
    <w:rsid w:val="00232A0C"/>
    <w:rsid w:val="00232A3C"/>
    <w:rsid w:val="00232A51"/>
    <w:rsid w:val="00232AA2"/>
    <w:rsid w:val="00232AA6"/>
    <w:rsid w:val="00232AC4"/>
    <w:rsid w:val="00232B1A"/>
    <w:rsid w:val="00232B23"/>
    <w:rsid w:val="00232BAB"/>
    <w:rsid w:val="00232BAD"/>
    <w:rsid w:val="00232BBA"/>
    <w:rsid w:val="00232BEB"/>
    <w:rsid w:val="00232C6C"/>
    <w:rsid w:val="00232D02"/>
    <w:rsid w:val="00232D11"/>
    <w:rsid w:val="00232D6D"/>
    <w:rsid w:val="00232D6F"/>
    <w:rsid w:val="00232D89"/>
    <w:rsid w:val="00232E78"/>
    <w:rsid w:val="00232E87"/>
    <w:rsid w:val="00232F33"/>
    <w:rsid w:val="00232F59"/>
    <w:rsid w:val="00232FB0"/>
    <w:rsid w:val="00232FB6"/>
    <w:rsid w:val="00232FCA"/>
    <w:rsid w:val="00233003"/>
    <w:rsid w:val="0023302F"/>
    <w:rsid w:val="00233041"/>
    <w:rsid w:val="00233074"/>
    <w:rsid w:val="00233080"/>
    <w:rsid w:val="002330A9"/>
    <w:rsid w:val="002330C8"/>
    <w:rsid w:val="002330E4"/>
    <w:rsid w:val="002330F2"/>
    <w:rsid w:val="00233199"/>
    <w:rsid w:val="0023320C"/>
    <w:rsid w:val="00233251"/>
    <w:rsid w:val="0023326B"/>
    <w:rsid w:val="00233332"/>
    <w:rsid w:val="0023338F"/>
    <w:rsid w:val="0023342A"/>
    <w:rsid w:val="0023349B"/>
    <w:rsid w:val="002334C0"/>
    <w:rsid w:val="002334D4"/>
    <w:rsid w:val="00233510"/>
    <w:rsid w:val="0023351F"/>
    <w:rsid w:val="00233528"/>
    <w:rsid w:val="0023352C"/>
    <w:rsid w:val="00233576"/>
    <w:rsid w:val="002335A3"/>
    <w:rsid w:val="00233632"/>
    <w:rsid w:val="00233688"/>
    <w:rsid w:val="002336AC"/>
    <w:rsid w:val="002336B5"/>
    <w:rsid w:val="002336BC"/>
    <w:rsid w:val="002336C7"/>
    <w:rsid w:val="002336C9"/>
    <w:rsid w:val="002336E4"/>
    <w:rsid w:val="002336FB"/>
    <w:rsid w:val="0023372D"/>
    <w:rsid w:val="0023375D"/>
    <w:rsid w:val="002337C8"/>
    <w:rsid w:val="002337F0"/>
    <w:rsid w:val="00233849"/>
    <w:rsid w:val="00233881"/>
    <w:rsid w:val="002338B2"/>
    <w:rsid w:val="002339B6"/>
    <w:rsid w:val="002339BE"/>
    <w:rsid w:val="002339C3"/>
    <w:rsid w:val="002339E6"/>
    <w:rsid w:val="002339FD"/>
    <w:rsid w:val="00233A21"/>
    <w:rsid w:val="00233A8F"/>
    <w:rsid w:val="00233B05"/>
    <w:rsid w:val="00233B67"/>
    <w:rsid w:val="00233B81"/>
    <w:rsid w:val="00233B9F"/>
    <w:rsid w:val="00233BA0"/>
    <w:rsid w:val="00233BB0"/>
    <w:rsid w:val="00233BB1"/>
    <w:rsid w:val="00233BE7"/>
    <w:rsid w:val="00233C2A"/>
    <w:rsid w:val="00233C2F"/>
    <w:rsid w:val="00233C44"/>
    <w:rsid w:val="00233C64"/>
    <w:rsid w:val="00233C81"/>
    <w:rsid w:val="00233CA4"/>
    <w:rsid w:val="00233CA6"/>
    <w:rsid w:val="00233CC3"/>
    <w:rsid w:val="00233CE1"/>
    <w:rsid w:val="00233D04"/>
    <w:rsid w:val="00233D16"/>
    <w:rsid w:val="00233D1A"/>
    <w:rsid w:val="00233D50"/>
    <w:rsid w:val="00233D52"/>
    <w:rsid w:val="00233DB9"/>
    <w:rsid w:val="00233DD6"/>
    <w:rsid w:val="00233E85"/>
    <w:rsid w:val="00233E8C"/>
    <w:rsid w:val="00233EB1"/>
    <w:rsid w:val="00233EB4"/>
    <w:rsid w:val="00233ECF"/>
    <w:rsid w:val="00233ED9"/>
    <w:rsid w:val="00233F82"/>
    <w:rsid w:val="00233F89"/>
    <w:rsid w:val="00234047"/>
    <w:rsid w:val="0023409E"/>
    <w:rsid w:val="002340B3"/>
    <w:rsid w:val="0023411A"/>
    <w:rsid w:val="002341A4"/>
    <w:rsid w:val="002341F6"/>
    <w:rsid w:val="0023420F"/>
    <w:rsid w:val="00234268"/>
    <w:rsid w:val="0023426F"/>
    <w:rsid w:val="00234315"/>
    <w:rsid w:val="0023437B"/>
    <w:rsid w:val="0023438E"/>
    <w:rsid w:val="00234391"/>
    <w:rsid w:val="002343B1"/>
    <w:rsid w:val="002343C1"/>
    <w:rsid w:val="002343FA"/>
    <w:rsid w:val="0023445B"/>
    <w:rsid w:val="0023446C"/>
    <w:rsid w:val="002344C3"/>
    <w:rsid w:val="002344E4"/>
    <w:rsid w:val="00234534"/>
    <w:rsid w:val="00234551"/>
    <w:rsid w:val="0023458F"/>
    <w:rsid w:val="002345AB"/>
    <w:rsid w:val="002345EA"/>
    <w:rsid w:val="0023461A"/>
    <w:rsid w:val="00234657"/>
    <w:rsid w:val="0023466B"/>
    <w:rsid w:val="002346A6"/>
    <w:rsid w:val="002346AC"/>
    <w:rsid w:val="00234726"/>
    <w:rsid w:val="0023475A"/>
    <w:rsid w:val="00234776"/>
    <w:rsid w:val="00234780"/>
    <w:rsid w:val="002347D2"/>
    <w:rsid w:val="00234836"/>
    <w:rsid w:val="00234851"/>
    <w:rsid w:val="002348DA"/>
    <w:rsid w:val="002348DB"/>
    <w:rsid w:val="00234919"/>
    <w:rsid w:val="0023493E"/>
    <w:rsid w:val="002349B8"/>
    <w:rsid w:val="00234A0A"/>
    <w:rsid w:val="00234A32"/>
    <w:rsid w:val="00234A3E"/>
    <w:rsid w:val="00234A8D"/>
    <w:rsid w:val="00234A90"/>
    <w:rsid w:val="00234B40"/>
    <w:rsid w:val="00234B4F"/>
    <w:rsid w:val="00234B7C"/>
    <w:rsid w:val="00234BA9"/>
    <w:rsid w:val="00234C1C"/>
    <w:rsid w:val="00234C6C"/>
    <w:rsid w:val="00234CF0"/>
    <w:rsid w:val="00234D05"/>
    <w:rsid w:val="00234D0D"/>
    <w:rsid w:val="00234D31"/>
    <w:rsid w:val="00234DBC"/>
    <w:rsid w:val="00234E45"/>
    <w:rsid w:val="00234E5B"/>
    <w:rsid w:val="00234E5C"/>
    <w:rsid w:val="00234E5D"/>
    <w:rsid w:val="00234E79"/>
    <w:rsid w:val="00234ED7"/>
    <w:rsid w:val="00234F12"/>
    <w:rsid w:val="00234F78"/>
    <w:rsid w:val="00234FC6"/>
    <w:rsid w:val="00234FF2"/>
    <w:rsid w:val="0023503E"/>
    <w:rsid w:val="0023504B"/>
    <w:rsid w:val="0023509E"/>
    <w:rsid w:val="002350F5"/>
    <w:rsid w:val="00235123"/>
    <w:rsid w:val="00235163"/>
    <w:rsid w:val="00235165"/>
    <w:rsid w:val="002351DE"/>
    <w:rsid w:val="002351DF"/>
    <w:rsid w:val="0023522F"/>
    <w:rsid w:val="002352CC"/>
    <w:rsid w:val="0023531E"/>
    <w:rsid w:val="00235330"/>
    <w:rsid w:val="0023534C"/>
    <w:rsid w:val="00235428"/>
    <w:rsid w:val="00235449"/>
    <w:rsid w:val="00235462"/>
    <w:rsid w:val="0023547B"/>
    <w:rsid w:val="002354C7"/>
    <w:rsid w:val="002354E4"/>
    <w:rsid w:val="0023553F"/>
    <w:rsid w:val="00235549"/>
    <w:rsid w:val="0023556E"/>
    <w:rsid w:val="002355B7"/>
    <w:rsid w:val="00235641"/>
    <w:rsid w:val="00235643"/>
    <w:rsid w:val="0023564A"/>
    <w:rsid w:val="0023566D"/>
    <w:rsid w:val="002356BE"/>
    <w:rsid w:val="00235723"/>
    <w:rsid w:val="00235750"/>
    <w:rsid w:val="002357D7"/>
    <w:rsid w:val="002357FF"/>
    <w:rsid w:val="00235848"/>
    <w:rsid w:val="002358BB"/>
    <w:rsid w:val="002358C8"/>
    <w:rsid w:val="00235957"/>
    <w:rsid w:val="002359D5"/>
    <w:rsid w:val="002359DE"/>
    <w:rsid w:val="002359F4"/>
    <w:rsid w:val="00235A12"/>
    <w:rsid w:val="00235A3D"/>
    <w:rsid w:val="00235A64"/>
    <w:rsid w:val="00235A9B"/>
    <w:rsid w:val="00235AD6"/>
    <w:rsid w:val="00235B44"/>
    <w:rsid w:val="00235B76"/>
    <w:rsid w:val="00235C3C"/>
    <w:rsid w:val="00235C6E"/>
    <w:rsid w:val="00235CA1"/>
    <w:rsid w:val="00235CC6"/>
    <w:rsid w:val="00235DE3"/>
    <w:rsid w:val="00235DEB"/>
    <w:rsid w:val="00235E9C"/>
    <w:rsid w:val="00235F12"/>
    <w:rsid w:val="00235F80"/>
    <w:rsid w:val="00235F97"/>
    <w:rsid w:val="00235FC2"/>
    <w:rsid w:val="00235FD9"/>
    <w:rsid w:val="00235FDA"/>
    <w:rsid w:val="00236071"/>
    <w:rsid w:val="002360DD"/>
    <w:rsid w:val="002360ED"/>
    <w:rsid w:val="00236106"/>
    <w:rsid w:val="00236128"/>
    <w:rsid w:val="0023612A"/>
    <w:rsid w:val="00236140"/>
    <w:rsid w:val="00236148"/>
    <w:rsid w:val="00236179"/>
    <w:rsid w:val="00236197"/>
    <w:rsid w:val="002361A2"/>
    <w:rsid w:val="002361D1"/>
    <w:rsid w:val="002361EA"/>
    <w:rsid w:val="00236217"/>
    <w:rsid w:val="00236258"/>
    <w:rsid w:val="002362CD"/>
    <w:rsid w:val="002362D6"/>
    <w:rsid w:val="0023632A"/>
    <w:rsid w:val="00236330"/>
    <w:rsid w:val="0023633E"/>
    <w:rsid w:val="00236403"/>
    <w:rsid w:val="00236436"/>
    <w:rsid w:val="0023646A"/>
    <w:rsid w:val="0023646C"/>
    <w:rsid w:val="0023648C"/>
    <w:rsid w:val="0023648E"/>
    <w:rsid w:val="002364AD"/>
    <w:rsid w:val="00236537"/>
    <w:rsid w:val="00236552"/>
    <w:rsid w:val="002365EE"/>
    <w:rsid w:val="00236601"/>
    <w:rsid w:val="00236617"/>
    <w:rsid w:val="00236649"/>
    <w:rsid w:val="00236692"/>
    <w:rsid w:val="002366AF"/>
    <w:rsid w:val="00236714"/>
    <w:rsid w:val="00236744"/>
    <w:rsid w:val="0023675A"/>
    <w:rsid w:val="0023675D"/>
    <w:rsid w:val="00236768"/>
    <w:rsid w:val="002367CE"/>
    <w:rsid w:val="00236850"/>
    <w:rsid w:val="00236859"/>
    <w:rsid w:val="002368AF"/>
    <w:rsid w:val="002368DA"/>
    <w:rsid w:val="002368E7"/>
    <w:rsid w:val="00236950"/>
    <w:rsid w:val="0023697B"/>
    <w:rsid w:val="002369C0"/>
    <w:rsid w:val="002369E6"/>
    <w:rsid w:val="00236AA4"/>
    <w:rsid w:val="00236B05"/>
    <w:rsid w:val="00236B89"/>
    <w:rsid w:val="00236BA2"/>
    <w:rsid w:val="00236BF3"/>
    <w:rsid w:val="00236C28"/>
    <w:rsid w:val="00236C49"/>
    <w:rsid w:val="00236C67"/>
    <w:rsid w:val="00236C6A"/>
    <w:rsid w:val="00236CF2"/>
    <w:rsid w:val="00236CFD"/>
    <w:rsid w:val="00236DA1"/>
    <w:rsid w:val="00236DCA"/>
    <w:rsid w:val="00236E0B"/>
    <w:rsid w:val="00236E8A"/>
    <w:rsid w:val="00236E99"/>
    <w:rsid w:val="00236EA0"/>
    <w:rsid w:val="00236F45"/>
    <w:rsid w:val="00236F92"/>
    <w:rsid w:val="00236F96"/>
    <w:rsid w:val="00236FBA"/>
    <w:rsid w:val="00236FDC"/>
    <w:rsid w:val="00236FF1"/>
    <w:rsid w:val="00237043"/>
    <w:rsid w:val="00237065"/>
    <w:rsid w:val="0023707B"/>
    <w:rsid w:val="00237141"/>
    <w:rsid w:val="00237142"/>
    <w:rsid w:val="002371C8"/>
    <w:rsid w:val="002371FC"/>
    <w:rsid w:val="0023720A"/>
    <w:rsid w:val="00237260"/>
    <w:rsid w:val="00237279"/>
    <w:rsid w:val="00237291"/>
    <w:rsid w:val="00237299"/>
    <w:rsid w:val="002372C4"/>
    <w:rsid w:val="0023730A"/>
    <w:rsid w:val="00237369"/>
    <w:rsid w:val="0023738B"/>
    <w:rsid w:val="002373B9"/>
    <w:rsid w:val="002373DE"/>
    <w:rsid w:val="002373FB"/>
    <w:rsid w:val="0023741A"/>
    <w:rsid w:val="002374C2"/>
    <w:rsid w:val="00237501"/>
    <w:rsid w:val="00237534"/>
    <w:rsid w:val="00237567"/>
    <w:rsid w:val="00237576"/>
    <w:rsid w:val="002375AA"/>
    <w:rsid w:val="002375AB"/>
    <w:rsid w:val="002375BF"/>
    <w:rsid w:val="0023763C"/>
    <w:rsid w:val="0023767D"/>
    <w:rsid w:val="002376CA"/>
    <w:rsid w:val="00237713"/>
    <w:rsid w:val="0023778E"/>
    <w:rsid w:val="00237793"/>
    <w:rsid w:val="0023781D"/>
    <w:rsid w:val="00237853"/>
    <w:rsid w:val="0023789C"/>
    <w:rsid w:val="002378A1"/>
    <w:rsid w:val="002378D6"/>
    <w:rsid w:val="00237927"/>
    <w:rsid w:val="0023793F"/>
    <w:rsid w:val="00237947"/>
    <w:rsid w:val="00237A0D"/>
    <w:rsid w:val="00237A1C"/>
    <w:rsid w:val="00237A4A"/>
    <w:rsid w:val="00237B10"/>
    <w:rsid w:val="00237B53"/>
    <w:rsid w:val="00237B9D"/>
    <w:rsid w:val="00237BA3"/>
    <w:rsid w:val="00237C3C"/>
    <w:rsid w:val="00237C51"/>
    <w:rsid w:val="00237C67"/>
    <w:rsid w:val="00237C71"/>
    <w:rsid w:val="00237D05"/>
    <w:rsid w:val="00237D46"/>
    <w:rsid w:val="00237D64"/>
    <w:rsid w:val="00237E62"/>
    <w:rsid w:val="00237E77"/>
    <w:rsid w:val="00237E96"/>
    <w:rsid w:val="00237E9A"/>
    <w:rsid w:val="00237EC2"/>
    <w:rsid w:val="00237ED5"/>
    <w:rsid w:val="00237EDA"/>
    <w:rsid w:val="00237F73"/>
    <w:rsid w:val="00237FAB"/>
    <w:rsid w:val="00237FAE"/>
    <w:rsid w:val="00237FAF"/>
    <w:rsid w:val="00237FF4"/>
    <w:rsid w:val="00240020"/>
    <w:rsid w:val="00240023"/>
    <w:rsid w:val="0024002D"/>
    <w:rsid w:val="002400BA"/>
    <w:rsid w:val="002400E3"/>
    <w:rsid w:val="002400E4"/>
    <w:rsid w:val="002400EF"/>
    <w:rsid w:val="0024014C"/>
    <w:rsid w:val="0024015B"/>
    <w:rsid w:val="00240192"/>
    <w:rsid w:val="00240199"/>
    <w:rsid w:val="002401BD"/>
    <w:rsid w:val="002401CE"/>
    <w:rsid w:val="002401FB"/>
    <w:rsid w:val="00240214"/>
    <w:rsid w:val="0024023E"/>
    <w:rsid w:val="00240255"/>
    <w:rsid w:val="0024025B"/>
    <w:rsid w:val="002402AD"/>
    <w:rsid w:val="002402B7"/>
    <w:rsid w:val="00240344"/>
    <w:rsid w:val="002403C5"/>
    <w:rsid w:val="002403C8"/>
    <w:rsid w:val="002403CA"/>
    <w:rsid w:val="00240439"/>
    <w:rsid w:val="0024043C"/>
    <w:rsid w:val="00240453"/>
    <w:rsid w:val="0024045F"/>
    <w:rsid w:val="00240474"/>
    <w:rsid w:val="00240493"/>
    <w:rsid w:val="002404B0"/>
    <w:rsid w:val="002404F5"/>
    <w:rsid w:val="002404F9"/>
    <w:rsid w:val="002404FC"/>
    <w:rsid w:val="0024055E"/>
    <w:rsid w:val="0024056A"/>
    <w:rsid w:val="00240583"/>
    <w:rsid w:val="00240584"/>
    <w:rsid w:val="00240650"/>
    <w:rsid w:val="00240691"/>
    <w:rsid w:val="0024069D"/>
    <w:rsid w:val="002406A2"/>
    <w:rsid w:val="002406F3"/>
    <w:rsid w:val="0024072D"/>
    <w:rsid w:val="0024073C"/>
    <w:rsid w:val="0024075F"/>
    <w:rsid w:val="00240772"/>
    <w:rsid w:val="00240796"/>
    <w:rsid w:val="002407EB"/>
    <w:rsid w:val="00240812"/>
    <w:rsid w:val="0024082A"/>
    <w:rsid w:val="002408E5"/>
    <w:rsid w:val="002408FE"/>
    <w:rsid w:val="002408FF"/>
    <w:rsid w:val="00240965"/>
    <w:rsid w:val="002409CC"/>
    <w:rsid w:val="00240A4E"/>
    <w:rsid w:val="00240A7C"/>
    <w:rsid w:val="00240A9F"/>
    <w:rsid w:val="00240AC9"/>
    <w:rsid w:val="00240AF2"/>
    <w:rsid w:val="00240B08"/>
    <w:rsid w:val="00240B30"/>
    <w:rsid w:val="00240B35"/>
    <w:rsid w:val="00240B82"/>
    <w:rsid w:val="00240BC9"/>
    <w:rsid w:val="00240C14"/>
    <w:rsid w:val="00240C44"/>
    <w:rsid w:val="00240C67"/>
    <w:rsid w:val="00240D08"/>
    <w:rsid w:val="00240D4F"/>
    <w:rsid w:val="00240D9A"/>
    <w:rsid w:val="00240DEC"/>
    <w:rsid w:val="00240E13"/>
    <w:rsid w:val="00240E1C"/>
    <w:rsid w:val="00240E73"/>
    <w:rsid w:val="00240ECC"/>
    <w:rsid w:val="00240EE4"/>
    <w:rsid w:val="00240F5A"/>
    <w:rsid w:val="00240F65"/>
    <w:rsid w:val="00240F70"/>
    <w:rsid w:val="00240FCD"/>
    <w:rsid w:val="00241059"/>
    <w:rsid w:val="00241074"/>
    <w:rsid w:val="00241078"/>
    <w:rsid w:val="00241081"/>
    <w:rsid w:val="002410B6"/>
    <w:rsid w:val="002410E2"/>
    <w:rsid w:val="0024113D"/>
    <w:rsid w:val="00241149"/>
    <w:rsid w:val="002411B9"/>
    <w:rsid w:val="00241278"/>
    <w:rsid w:val="0024129C"/>
    <w:rsid w:val="00241339"/>
    <w:rsid w:val="002413A8"/>
    <w:rsid w:val="002413D9"/>
    <w:rsid w:val="0024141E"/>
    <w:rsid w:val="0024142A"/>
    <w:rsid w:val="0024145D"/>
    <w:rsid w:val="00241492"/>
    <w:rsid w:val="00241494"/>
    <w:rsid w:val="002414AA"/>
    <w:rsid w:val="0024150E"/>
    <w:rsid w:val="0024154D"/>
    <w:rsid w:val="0024156B"/>
    <w:rsid w:val="002415F9"/>
    <w:rsid w:val="0024160B"/>
    <w:rsid w:val="00241616"/>
    <w:rsid w:val="0024162F"/>
    <w:rsid w:val="00241657"/>
    <w:rsid w:val="0024166C"/>
    <w:rsid w:val="0024168F"/>
    <w:rsid w:val="0024169D"/>
    <w:rsid w:val="002416C4"/>
    <w:rsid w:val="0024170A"/>
    <w:rsid w:val="00241763"/>
    <w:rsid w:val="00241774"/>
    <w:rsid w:val="00241793"/>
    <w:rsid w:val="002417BA"/>
    <w:rsid w:val="002417D8"/>
    <w:rsid w:val="002417FB"/>
    <w:rsid w:val="0024182B"/>
    <w:rsid w:val="0024182E"/>
    <w:rsid w:val="00241841"/>
    <w:rsid w:val="0024186C"/>
    <w:rsid w:val="002418B2"/>
    <w:rsid w:val="002418BD"/>
    <w:rsid w:val="002419A7"/>
    <w:rsid w:val="002419E7"/>
    <w:rsid w:val="00241A23"/>
    <w:rsid w:val="00241A3A"/>
    <w:rsid w:val="00241A6B"/>
    <w:rsid w:val="00241AC7"/>
    <w:rsid w:val="00241ADC"/>
    <w:rsid w:val="00241B31"/>
    <w:rsid w:val="00241B7C"/>
    <w:rsid w:val="00241C1C"/>
    <w:rsid w:val="00241C55"/>
    <w:rsid w:val="00241C8D"/>
    <w:rsid w:val="00241CC8"/>
    <w:rsid w:val="00241D18"/>
    <w:rsid w:val="00241D62"/>
    <w:rsid w:val="00241D99"/>
    <w:rsid w:val="00241D9D"/>
    <w:rsid w:val="00241DB1"/>
    <w:rsid w:val="00241DC0"/>
    <w:rsid w:val="00241DEF"/>
    <w:rsid w:val="00241E2B"/>
    <w:rsid w:val="00241E59"/>
    <w:rsid w:val="00241E80"/>
    <w:rsid w:val="00241F41"/>
    <w:rsid w:val="00241F58"/>
    <w:rsid w:val="00241FF9"/>
    <w:rsid w:val="00242006"/>
    <w:rsid w:val="00242010"/>
    <w:rsid w:val="0024206D"/>
    <w:rsid w:val="00242081"/>
    <w:rsid w:val="0024208D"/>
    <w:rsid w:val="002420AD"/>
    <w:rsid w:val="002420BF"/>
    <w:rsid w:val="002420CD"/>
    <w:rsid w:val="002420CE"/>
    <w:rsid w:val="002420E8"/>
    <w:rsid w:val="002420F2"/>
    <w:rsid w:val="00242161"/>
    <w:rsid w:val="00242165"/>
    <w:rsid w:val="00242185"/>
    <w:rsid w:val="002421F9"/>
    <w:rsid w:val="00242217"/>
    <w:rsid w:val="0024224B"/>
    <w:rsid w:val="00242281"/>
    <w:rsid w:val="002422D5"/>
    <w:rsid w:val="00242300"/>
    <w:rsid w:val="00242349"/>
    <w:rsid w:val="002423DE"/>
    <w:rsid w:val="002423EF"/>
    <w:rsid w:val="002423F5"/>
    <w:rsid w:val="0024241E"/>
    <w:rsid w:val="00242450"/>
    <w:rsid w:val="00242469"/>
    <w:rsid w:val="00242474"/>
    <w:rsid w:val="0024249D"/>
    <w:rsid w:val="0024249E"/>
    <w:rsid w:val="002424C0"/>
    <w:rsid w:val="002424D5"/>
    <w:rsid w:val="002424DE"/>
    <w:rsid w:val="0024255A"/>
    <w:rsid w:val="00242565"/>
    <w:rsid w:val="00242572"/>
    <w:rsid w:val="002425AF"/>
    <w:rsid w:val="002425BE"/>
    <w:rsid w:val="002425E9"/>
    <w:rsid w:val="00242633"/>
    <w:rsid w:val="00242696"/>
    <w:rsid w:val="002426FC"/>
    <w:rsid w:val="00242706"/>
    <w:rsid w:val="0024272B"/>
    <w:rsid w:val="00242740"/>
    <w:rsid w:val="00242769"/>
    <w:rsid w:val="0024277F"/>
    <w:rsid w:val="0024278C"/>
    <w:rsid w:val="0024279E"/>
    <w:rsid w:val="002427AE"/>
    <w:rsid w:val="002427CD"/>
    <w:rsid w:val="002427E2"/>
    <w:rsid w:val="00242835"/>
    <w:rsid w:val="00242860"/>
    <w:rsid w:val="0024288C"/>
    <w:rsid w:val="002428D8"/>
    <w:rsid w:val="00242912"/>
    <w:rsid w:val="00242977"/>
    <w:rsid w:val="00242984"/>
    <w:rsid w:val="00242997"/>
    <w:rsid w:val="002429B9"/>
    <w:rsid w:val="00242A13"/>
    <w:rsid w:val="00242A51"/>
    <w:rsid w:val="00242B26"/>
    <w:rsid w:val="00242B63"/>
    <w:rsid w:val="00242BA3"/>
    <w:rsid w:val="00242BA9"/>
    <w:rsid w:val="00242BCD"/>
    <w:rsid w:val="00242D26"/>
    <w:rsid w:val="00242D5C"/>
    <w:rsid w:val="00242E0E"/>
    <w:rsid w:val="00242E4B"/>
    <w:rsid w:val="00242E4F"/>
    <w:rsid w:val="00242EE6"/>
    <w:rsid w:val="00242F29"/>
    <w:rsid w:val="00242F36"/>
    <w:rsid w:val="00242F42"/>
    <w:rsid w:val="00242F8C"/>
    <w:rsid w:val="00242FB0"/>
    <w:rsid w:val="00242FE3"/>
    <w:rsid w:val="00243000"/>
    <w:rsid w:val="00243020"/>
    <w:rsid w:val="00243058"/>
    <w:rsid w:val="0024305A"/>
    <w:rsid w:val="00243099"/>
    <w:rsid w:val="002430D3"/>
    <w:rsid w:val="002430EF"/>
    <w:rsid w:val="00243105"/>
    <w:rsid w:val="0024310B"/>
    <w:rsid w:val="00243111"/>
    <w:rsid w:val="00243130"/>
    <w:rsid w:val="0024319A"/>
    <w:rsid w:val="002431BF"/>
    <w:rsid w:val="002431D0"/>
    <w:rsid w:val="002431F9"/>
    <w:rsid w:val="00243216"/>
    <w:rsid w:val="00243224"/>
    <w:rsid w:val="0024323F"/>
    <w:rsid w:val="00243268"/>
    <w:rsid w:val="0024327E"/>
    <w:rsid w:val="00243311"/>
    <w:rsid w:val="0024337E"/>
    <w:rsid w:val="00243458"/>
    <w:rsid w:val="00243497"/>
    <w:rsid w:val="002434A7"/>
    <w:rsid w:val="002434EB"/>
    <w:rsid w:val="00243582"/>
    <w:rsid w:val="002435A9"/>
    <w:rsid w:val="0024362C"/>
    <w:rsid w:val="00243630"/>
    <w:rsid w:val="00243631"/>
    <w:rsid w:val="00243650"/>
    <w:rsid w:val="00243689"/>
    <w:rsid w:val="00243698"/>
    <w:rsid w:val="002436B2"/>
    <w:rsid w:val="002436BA"/>
    <w:rsid w:val="002436EA"/>
    <w:rsid w:val="0024370C"/>
    <w:rsid w:val="002437CA"/>
    <w:rsid w:val="002437DF"/>
    <w:rsid w:val="002437E0"/>
    <w:rsid w:val="002437E2"/>
    <w:rsid w:val="0024381A"/>
    <w:rsid w:val="0024383C"/>
    <w:rsid w:val="0024384D"/>
    <w:rsid w:val="00243865"/>
    <w:rsid w:val="00243877"/>
    <w:rsid w:val="0024387D"/>
    <w:rsid w:val="0024388E"/>
    <w:rsid w:val="00243899"/>
    <w:rsid w:val="002438DC"/>
    <w:rsid w:val="002438FB"/>
    <w:rsid w:val="00243922"/>
    <w:rsid w:val="00243939"/>
    <w:rsid w:val="00243982"/>
    <w:rsid w:val="002439A1"/>
    <w:rsid w:val="002439A7"/>
    <w:rsid w:val="002439E0"/>
    <w:rsid w:val="00243A2F"/>
    <w:rsid w:val="00243A3C"/>
    <w:rsid w:val="00243AA7"/>
    <w:rsid w:val="00243AAD"/>
    <w:rsid w:val="00243ACB"/>
    <w:rsid w:val="00243AD5"/>
    <w:rsid w:val="00243AEE"/>
    <w:rsid w:val="00243B79"/>
    <w:rsid w:val="00243BA0"/>
    <w:rsid w:val="00243BB1"/>
    <w:rsid w:val="00243BC4"/>
    <w:rsid w:val="00243C5D"/>
    <w:rsid w:val="00243C77"/>
    <w:rsid w:val="00243C9F"/>
    <w:rsid w:val="00243CC4"/>
    <w:rsid w:val="00243D72"/>
    <w:rsid w:val="00243DCE"/>
    <w:rsid w:val="00243E06"/>
    <w:rsid w:val="00243E48"/>
    <w:rsid w:val="00243E52"/>
    <w:rsid w:val="00243E69"/>
    <w:rsid w:val="00243E88"/>
    <w:rsid w:val="00243ED2"/>
    <w:rsid w:val="00243ED3"/>
    <w:rsid w:val="00243EE3"/>
    <w:rsid w:val="00243EF6"/>
    <w:rsid w:val="00243F12"/>
    <w:rsid w:val="00243F3B"/>
    <w:rsid w:val="00243F48"/>
    <w:rsid w:val="00243F8F"/>
    <w:rsid w:val="00244000"/>
    <w:rsid w:val="0024404B"/>
    <w:rsid w:val="0024406A"/>
    <w:rsid w:val="0024407A"/>
    <w:rsid w:val="0024407E"/>
    <w:rsid w:val="002440BF"/>
    <w:rsid w:val="002440C3"/>
    <w:rsid w:val="002440CA"/>
    <w:rsid w:val="00244168"/>
    <w:rsid w:val="0024416D"/>
    <w:rsid w:val="00244190"/>
    <w:rsid w:val="00244238"/>
    <w:rsid w:val="00244282"/>
    <w:rsid w:val="002442BF"/>
    <w:rsid w:val="002442D4"/>
    <w:rsid w:val="002442F7"/>
    <w:rsid w:val="00244302"/>
    <w:rsid w:val="00244362"/>
    <w:rsid w:val="00244390"/>
    <w:rsid w:val="002443B0"/>
    <w:rsid w:val="00244444"/>
    <w:rsid w:val="00244464"/>
    <w:rsid w:val="0024448F"/>
    <w:rsid w:val="002444B1"/>
    <w:rsid w:val="00244519"/>
    <w:rsid w:val="00244536"/>
    <w:rsid w:val="00244539"/>
    <w:rsid w:val="00244564"/>
    <w:rsid w:val="00244608"/>
    <w:rsid w:val="0024462F"/>
    <w:rsid w:val="00244631"/>
    <w:rsid w:val="00244660"/>
    <w:rsid w:val="00244661"/>
    <w:rsid w:val="002446B0"/>
    <w:rsid w:val="002446CB"/>
    <w:rsid w:val="0024470D"/>
    <w:rsid w:val="00244749"/>
    <w:rsid w:val="00244766"/>
    <w:rsid w:val="00244849"/>
    <w:rsid w:val="0024485B"/>
    <w:rsid w:val="00244871"/>
    <w:rsid w:val="0024488D"/>
    <w:rsid w:val="00244896"/>
    <w:rsid w:val="00244906"/>
    <w:rsid w:val="00244933"/>
    <w:rsid w:val="00244953"/>
    <w:rsid w:val="0024499C"/>
    <w:rsid w:val="002449BE"/>
    <w:rsid w:val="00244A66"/>
    <w:rsid w:val="00244A7D"/>
    <w:rsid w:val="00244B0F"/>
    <w:rsid w:val="00244B2F"/>
    <w:rsid w:val="00244B34"/>
    <w:rsid w:val="00244B88"/>
    <w:rsid w:val="00244B93"/>
    <w:rsid w:val="00244BB2"/>
    <w:rsid w:val="00244C08"/>
    <w:rsid w:val="00244C16"/>
    <w:rsid w:val="00244C36"/>
    <w:rsid w:val="00244C53"/>
    <w:rsid w:val="00244C5B"/>
    <w:rsid w:val="00244C6A"/>
    <w:rsid w:val="00244CA8"/>
    <w:rsid w:val="00244CFF"/>
    <w:rsid w:val="00244D06"/>
    <w:rsid w:val="00244D09"/>
    <w:rsid w:val="00244D79"/>
    <w:rsid w:val="00244DD9"/>
    <w:rsid w:val="00244DDB"/>
    <w:rsid w:val="00244E70"/>
    <w:rsid w:val="00244EB6"/>
    <w:rsid w:val="00244F10"/>
    <w:rsid w:val="00244F33"/>
    <w:rsid w:val="00244F9E"/>
    <w:rsid w:val="00244FB1"/>
    <w:rsid w:val="00244FF5"/>
    <w:rsid w:val="0024500C"/>
    <w:rsid w:val="00245118"/>
    <w:rsid w:val="0024511B"/>
    <w:rsid w:val="00245161"/>
    <w:rsid w:val="0024518E"/>
    <w:rsid w:val="00245190"/>
    <w:rsid w:val="002451C2"/>
    <w:rsid w:val="002451C3"/>
    <w:rsid w:val="002451D5"/>
    <w:rsid w:val="0024522B"/>
    <w:rsid w:val="00245235"/>
    <w:rsid w:val="00245260"/>
    <w:rsid w:val="0024526E"/>
    <w:rsid w:val="00245278"/>
    <w:rsid w:val="0024528F"/>
    <w:rsid w:val="0024529C"/>
    <w:rsid w:val="002452A8"/>
    <w:rsid w:val="002452D0"/>
    <w:rsid w:val="002452E5"/>
    <w:rsid w:val="002452EE"/>
    <w:rsid w:val="00245333"/>
    <w:rsid w:val="0024535F"/>
    <w:rsid w:val="00245385"/>
    <w:rsid w:val="0024538A"/>
    <w:rsid w:val="002453F9"/>
    <w:rsid w:val="00245422"/>
    <w:rsid w:val="0024542C"/>
    <w:rsid w:val="002454A6"/>
    <w:rsid w:val="002454A9"/>
    <w:rsid w:val="002454B6"/>
    <w:rsid w:val="00245503"/>
    <w:rsid w:val="00245526"/>
    <w:rsid w:val="0024555E"/>
    <w:rsid w:val="00245567"/>
    <w:rsid w:val="0024556E"/>
    <w:rsid w:val="00245578"/>
    <w:rsid w:val="002455C3"/>
    <w:rsid w:val="002455C5"/>
    <w:rsid w:val="00245616"/>
    <w:rsid w:val="0024563A"/>
    <w:rsid w:val="00245664"/>
    <w:rsid w:val="002456A0"/>
    <w:rsid w:val="002456AD"/>
    <w:rsid w:val="002456C4"/>
    <w:rsid w:val="00245743"/>
    <w:rsid w:val="002457BC"/>
    <w:rsid w:val="0024581E"/>
    <w:rsid w:val="00245867"/>
    <w:rsid w:val="00245868"/>
    <w:rsid w:val="0024586A"/>
    <w:rsid w:val="00245874"/>
    <w:rsid w:val="0024588F"/>
    <w:rsid w:val="002458A5"/>
    <w:rsid w:val="002458FD"/>
    <w:rsid w:val="00245905"/>
    <w:rsid w:val="00245913"/>
    <w:rsid w:val="0024597C"/>
    <w:rsid w:val="002459A7"/>
    <w:rsid w:val="002459AD"/>
    <w:rsid w:val="002459C5"/>
    <w:rsid w:val="002459C7"/>
    <w:rsid w:val="002459DB"/>
    <w:rsid w:val="00245A21"/>
    <w:rsid w:val="00245A27"/>
    <w:rsid w:val="00245A5D"/>
    <w:rsid w:val="00245A66"/>
    <w:rsid w:val="00245AA7"/>
    <w:rsid w:val="00245AB0"/>
    <w:rsid w:val="00245ABB"/>
    <w:rsid w:val="00245AE0"/>
    <w:rsid w:val="00245B19"/>
    <w:rsid w:val="00245B75"/>
    <w:rsid w:val="00245C13"/>
    <w:rsid w:val="00245C38"/>
    <w:rsid w:val="00245CAE"/>
    <w:rsid w:val="00245DA1"/>
    <w:rsid w:val="00245E19"/>
    <w:rsid w:val="00245E21"/>
    <w:rsid w:val="00245E3A"/>
    <w:rsid w:val="00245EAE"/>
    <w:rsid w:val="00245EEE"/>
    <w:rsid w:val="00245F2A"/>
    <w:rsid w:val="00245F72"/>
    <w:rsid w:val="00245F77"/>
    <w:rsid w:val="00245FBE"/>
    <w:rsid w:val="00245FEB"/>
    <w:rsid w:val="00245FED"/>
    <w:rsid w:val="00246040"/>
    <w:rsid w:val="002460EA"/>
    <w:rsid w:val="002461AE"/>
    <w:rsid w:val="002461D6"/>
    <w:rsid w:val="002461F6"/>
    <w:rsid w:val="00246225"/>
    <w:rsid w:val="00246238"/>
    <w:rsid w:val="002462C0"/>
    <w:rsid w:val="002462D5"/>
    <w:rsid w:val="0024631B"/>
    <w:rsid w:val="00246320"/>
    <w:rsid w:val="00246390"/>
    <w:rsid w:val="002463B8"/>
    <w:rsid w:val="002463CD"/>
    <w:rsid w:val="002464A5"/>
    <w:rsid w:val="002464C1"/>
    <w:rsid w:val="002464DE"/>
    <w:rsid w:val="00246500"/>
    <w:rsid w:val="0024652D"/>
    <w:rsid w:val="0024653E"/>
    <w:rsid w:val="00246547"/>
    <w:rsid w:val="00246573"/>
    <w:rsid w:val="0024658C"/>
    <w:rsid w:val="002465AF"/>
    <w:rsid w:val="002465EB"/>
    <w:rsid w:val="0024661C"/>
    <w:rsid w:val="0024666A"/>
    <w:rsid w:val="0024666C"/>
    <w:rsid w:val="00246680"/>
    <w:rsid w:val="00246683"/>
    <w:rsid w:val="002466B2"/>
    <w:rsid w:val="00246721"/>
    <w:rsid w:val="002467A8"/>
    <w:rsid w:val="002467BA"/>
    <w:rsid w:val="002467E8"/>
    <w:rsid w:val="002467EA"/>
    <w:rsid w:val="0024683B"/>
    <w:rsid w:val="00246848"/>
    <w:rsid w:val="002468BE"/>
    <w:rsid w:val="002468C7"/>
    <w:rsid w:val="002468CC"/>
    <w:rsid w:val="00246911"/>
    <w:rsid w:val="00246961"/>
    <w:rsid w:val="00246AB7"/>
    <w:rsid w:val="00246AE0"/>
    <w:rsid w:val="00246B00"/>
    <w:rsid w:val="00246B62"/>
    <w:rsid w:val="00246BA9"/>
    <w:rsid w:val="00246BCC"/>
    <w:rsid w:val="00246BCE"/>
    <w:rsid w:val="00246C15"/>
    <w:rsid w:val="00246C38"/>
    <w:rsid w:val="00246C63"/>
    <w:rsid w:val="00246CC3"/>
    <w:rsid w:val="00246D28"/>
    <w:rsid w:val="00246D86"/>
    <w:rsid w:val="00246DA5"/>
    <w:rsid w:val="00246DD5"/>
    <w:rsid w:val="00246DE8"/>
    <w:rsid w:val="00246DFE"/>
    <w:rsid w:val="00246E0A"/>
    <w:rsid w:val="00246E15"/>
    <w:rsid w:val="00246E35"/>
    <w:rsid w:val="00246E3B"/>
    <w:rsid w:val="00246E6C"/>
    <w:rsid w:val="00246F06"/>
    <w:rsid w:val="00246F42"/>
    <w:rsid w:val="00246F66"/>
    <w:rsid w:val="00246F71"/>
    <w:rsid w:val="00246F8A"/>
    <w:rsid w:val="00247009"/>
    <w:rsid w:val="0024700E"/>
    <w:rsid w:val="0024702C"/>
    <w:rsid w:val="00247032"/>
    <w:rsid w:val="00247052"/>
    <w:rsid w:val="002470A5"/>
    <w:rsid w:val="002470AC"/>
    <w:rsid w:val="002470CF"/>
    <w:rsid w:val="00247115"/>
    <w:rsid w:val="00247182"/>
    <w:rsid w:val="00247185"/>
    <w:rsid w:val="002471D8"/>
    <w:rsid w:val="00247254"/>
    <w:rsid w:val="0024727A"/>
    <w:rsid w:val="002472D3"/>
    <w:rsid w:val="00247301"/>
    <w:rsid w:val="00247388"/>
    <w:rsid w:val="002473CF"/>
    <w:rsid w:val="002473D2"/>
    <w:rsid w:val="0024745F"/>
    <w:rsid w:val="002474AE"/>
    <w:rsid w:val="002474BB"/>
    <w:rsid w:val="0024750E"/>
    <w:rsid w:val="002475B8"/>
    <w:rsid w:val="002475BD"/>
    <w:rsid w:val="002475DB"/>
    <w:rsid w:val="00247619"/>
    <w:rsid w:val="0024761F"/>
    <w:rsid w:val="00247662"/>
    <w:rsid w:val="00247668"/>
    <w:rsid w:val="0024766B"/>
    <w:rsid w:val="002476B7"/>
    <w:rsid w:val="002476C4"/>
    <w:rsid w:val="002476FA"/>
    <w:rsid w:val="00247740"/>
    <w:rsid w:val="00247788"/>
    <w:rsid w:val="002477D7"/>
    <w:rsid w:val="00247844"/>
    <w:rsid w:val="0024784D"/>
    <w:rsid w:val="0024786B"/>
    <w:rsid w:val="00247874"/>
    <w:rsid w:val="00247875"/>
    <w:rsid w:val="00247989"/>
    <w:rsid w:val="002479C6"/>
    <w:rsid w:val="002479C7"/>
    <w:rsid w:val="002479D1"/>
    <w:rsid w:val="00247AB4"/>
    <w:rsid w:val="00247BC2"/>
    <w:rsid w:val="00247C0E"/>
    <w:rsid w:val="00247C12"/>
    <w:rsid w:val="00247CBA"/>
    <w:rsid w:val="00247CF0"/>
    <w:rsid w:val="00247CF9"/>
    <w:rsid w:val="00247CFB"/>
    <w:rsid w:val="00247D36"/>
    <w:rsid w:val="00247D42"/>
    <w:rsid w:val="00247D49"/>
    <w:rsid w:val="00247DD4"/>
    <w:rsid w:val="00247E01"/>
    <w:rsid w:val="00247E28"/>
    <w:rsid w:val="00247E80"/>
    <w:rsid w:val="00247E9B"/>
    <w:rsid w:val="00247EAC"/>
    <w:rsid w:val="00247EC6"/>
    <w:rsid w:val="00247EF8"/>
    <w:rsid w:val="00247F0F"/>
    <w:rsid w:val="00250006"/>
    <w:rsid w:val="0025000C"/>
    <w:rsid w:val="0025003A"/>
    <w:rsid w:val="00250041"/>
    <w:rsid w:val="002500A3"/>
    <w:rsid w:val="0025010C"/>
    <w:rsid w:val="00250139"/>
    <w:rsid w:val="00250186"/>
    <w:rsid w:val="00250213"/>
    <w:rsid w:val="00250235"/>
    <w:rsid w:val="00250288"/>
    <w:rsid w:val="002502A7"/>
    <w:rsid w:val="002502D2"/>
    <w:rsid w:val="002502E4"/>
    <w:rsid w:val="002502FD"/>
    <w:rsid w:val="00250334"/>
    <w:rsid w:val="0025046D"/>
    <w:rsid w:val="002504A7"/>
    <w:rsid w:val="00250532"/>
    <w:rsid w:val="0025055D"/>
    <w:rsid w:val="002505B3"/>
    <w:rsid w:val="002505CA"/>
    <w:rsid w:val="00250658"/>
    <w:rsid w:val="002506A4"/>
    <w:rsid w:val="002506C6"/>
    <w:rsid w:val="002506D9"/>
    <w:rsid w:val="0025075D"/>
    <w:rsid w:val="002507AD"/>
    <w:rsid w:val="00250882"/>
    <w:rsid w:val="002508B7"/>
    <w:rsid w:val="002508BB"/>
    <w:rsid w:val="002508DA"/>
    <w:rsid w:val="00250902"/>
    <w:rsid w:val="00250964"/>
    <w:rsid w:val="00250981"/>
    <w:rsid w:val="002509A6"/>
    <w:rsid w:val="002509F7"/>
    <w:rsid w:val="00250A9D"/>
    <w:rsid w:val="00250AB8"/>
    <w:rsid w:val="00250AE1"/>
    <w:rsid w:val="00250B0D"/>
    <w:rsid w:val="00250B4A"/>
    <w:rsid w:val="00250B86"/>
    <w:rsid w:val="00250BB0"/>
    <w:rsid w:val="00250BC6"/>
    <w:rsid w:val="00250BF0"/>
    <w:rsid w:val="00250C08"/>
    <w:rsid w:val="00250C11"/>
    <w:rsid w:val="00250C19"/>
    <w:rsid w:val="00250C71"/>
    <w:rsid w:val="00250C9A"/>
    <w:rsid w:val="00250CBB"/>
    <w:rsid w:val="00250D2D"/>
    <w:rsid w:val="00250DB7"/>
    <w:rsid w:val="00250DE9"/>
    <w:rsid w:val="00250E39"/>
    <w:rsid w:val="00250E45"/>
    <w:rsid w:val="00250E5E"/>
    <w:rsid w:val="00250E67"/>
    <w:rsid w:val="00250E6D"/>
    <w:rsid w:val="00250ED6"/>
    <w:rsid w:val="00250EE7"/>
    <w:rsid w:val="00250EEB"/>
    <w:rsid w:val="00250EF1"/>
    <w:rsid w:val="00250EF2"/>
    <w:rsid w:val="00250F95"/>
    <w:rsid w:val="00250FE2"/>
    <w:rsid w:val="00250FED"/>
    <w:rsid w:val="0025100F"/>
    <w:rsid w:val="00251039"/>
    <w:rsid w:val="00251052"/>
    <w:rsid w:val="002510CE"/>
    <w:rsid w:val="002510D7"/>
    <w:rsid w:val="002510DD"/>
    <w:rsid w:val="0025110F"/>
    <w:rsid w:val="00251118"/>
    <w:rsid w:val="0025114E"/>
    <w:rsid w:val="00251150"/>
    <w:rsid w:val="00251161"/>
    <w:rsid w:val="00251183"/>
    <w:rsid w:val="002511D6"/>
    <w:rsid w:val="002511FC"/>
    <w:rsid w:val="002511FF"/>
    <w:rsid w:val="00251205"/>
    <w:rsid w:val="0025122A"/>
    <w:rsid w:val="0025130B"/>
    <w:rsid w:val="00251328"/>
    <w:rsid w:val="002513CE"/>
    <w:rsid w:val="0025142B"/>
    <w:rsid w:val="002514D8"/>
    <w:rsid w:val="0025150E"/>
    <w:rsid w:val="0025151F"/>
    <w:rsid w:val="00251593"/>
    <w:rsid w:val="002515EE"/>
    <w:rsid w:val="00251638"/>
    <w:rsid w:val="0025163F"/>
    <w:rsid w:val="0025168A"/>
    <w:rsid w:val="002516F0"/>
    <w:rsid w:val="00251725"/>
    <w:rsid w:val="002517DB"/>
    <w:rsid w:val="002517F1"/>
    <w:rsid w:val="00251817"/>
    <w:rsid w:val="0025182F"/>
    <w:rsid w:val="0025187D"/>
    <w:rsid w:val="002518A7"/>
    <w:rsid w:val="002518B9"/>
    <w:rsid w:val="002518E5"/>
    <w:rsid w:val="00251904"/>
    <w:rsid w:val="00251940"/>
    <w:rsid w:val="00251941"/>
    <w:rsid w:val="002519C0"/>
    <w:rsid w:val="00251ABB"/>
    <w:rsid w:val="00251AD8"/>
    <w:rsid w:val="00251AE0"/>
    <w:rsid w:val="00251AEA"/>
    <w:rsid w:val="00251B0A"/>
    <w:rsid w:val="00251B12"/>
    <w:rsid w:val="00251B1F"/>
    <w:rsid w:val="00251B2D"/>
    <w:rsid w:val="00251B4B"/>
    <w:rsid w:val="00251B4D"/>
    <w:rsid w:val="00251BC5"/>
    <w:rsid w:val="00251C01"/>
    <w:rsid w:val="00251C98"/>
    <w:rsid w:val="00251C9D"/>
    <w:rsid w:val="00251CA1"/>
    <w:rsid w:val="00251CC3"/>
    <w:rsid w:val="00251CF2"/>
    <w:rsid w:val="00251D25"/>
    <w:rsid w:val="00251D38"/>
    <w:rsid w:val="00251D75"/>
    <w:rsid w:val="00251D84"/>
    <w:rsid w:val="00251DD2"/>
    <w:rsid w:val="00251DE2"/>
    <w:rsid w:val="00251E33"/>
    <w:rsid w:val="00251E3C"/>
    <w:rsid w:val="00251EBC"/>
    <w:rsid w:val="00251EF4"/>
    <w:rsid w:val="00251EFD"/>
    <w:rsid w:val="00251F25"/>
    <w:rsid w:val="00251F3F"/>
    <w:rsid w:val="0025202A"/>
    <w:rsid w:val="0025207A"/>
    <w:rsid w:val="002520BD"/>
    <w:rsid w:val="002520C5"/>
    <w:rsid w:val="0025211B"/>
    <w:rsid w:val="00252138"/>
    <w:rsid w:val="002521EF"/>
    <w:rsid w:val="00252299"/>
    <w:rsid w:val="002522B5"/>
    <w:rsid w:val="00252329"/>
    <w:rsid w:val="00252352"/>
    <w:rsid w:val="002523A6"/>
    <w:rsid w:val="00252433"/>
    <w:rsid w:val="0025243E"/>
    <w:rsid w:val="00252450"/>
    <w:rsid w:val="0025249A"/>
    <w:rsid w:val="002524A4"/>
    <w:rsid w:val="002524C9"/>
    <w:rsid w:val="002524E7"/>
    <w:rsid w:val="00252515"/>
    <w:rsid w:val="00252520"/>
    <w:rsid w:val="00252525"/>
    <w:rsid w:val="00252536"/>
    <w:rsid w:val="00252540"/>
    <w:rsid w:val="00252544"/>
    <w:rsid w:val="00252549"/>
    <w:rsid w:val="00252562"/>
    <w:rsid w:val="0025256D"/>
    <w:rsid w:val="002525CF"/>
    <w:rsid w:val="002525D2"/>
    <w:rsid w:val="002525F8"/>
    <w:rsid w:val="002525FB"/>
    <w:rsid w:val="0025261C"/>
    <w:rsid w:val="00252638"/>
    <w:rsid w:val="0025266B"/>
    <w:rsid w:val="002526BE"/>
    <w:rsid w:val="002526C6"/>
    <w:rsid w:val="002526E7"/>
    <w:rsid w:val="00252713"/>
    <w:rsid w:val="0025272D"/>
    <w:rsid w:val="00252735"/>
    <w:rsid w:val="0025274D"/>
    <w:rsid w:val="002527CC"/>
    <w:rsid w:val="00252834"/>
    <w:rsid w:val="0025286B"/>
    <w:rsid w:val="00252876"/>
    <w:rsid w:val="0025287D"/>
    <w:rsid w:val="0025289C"/>
    <w:rsid w:val="00252915"/>
    <w:rsid w:val="0025292B"/>
    <w:rsid w:val="00252950"/>
    <w:rsid w:val="0025298C"/>
    <w:rsid w:val="00252993"/>
    <w:rsid w:val="002529C5"/>
    <w:rsid w:val="002529D2"/>
    <w:rsid w:val="00252A03"/>
    <w:rsid w:val="00252A8A"/>
    <w:rsid w:val="00252A99"/>
    <w:rsid w:val="00252AA8"/>
    <w:rsid w:val="00252AAE"/>
    <w:rsid w:val="00252AB2"/>
    <w:rsid w:val="00252AB9"/>
    <w:rsid w:val="00252AD2"/>
    <w:rsid w:val="00252B93"/>
    <w:rsid w:val="00252BA4"/>
    <w:rsid w:val="00252BE0"/>
    <w:rsid w:val="00252C1B"/>
    <w:rsid w:val="00252C1C"/>
    <w:rsid w:val="00252C4A"/>
    <w:rsid w:val="00252C5C"/>
    <w:rsid w:val="00252C7A"/>
    <w:rsid w:val="00252C8F"/>
    <w:rsid w:val="00252C93"/>
    <w:rsid w:val="00252CA1"/>
    <w:rsid w:val="00252CA4"/>
    <w:rsid w:val="00252CB7"/>
    <w:rsid w:val="00252CD7"/>
    <w:rsid w:val="00252CD8"/>
    <w:rsid w:val="00252CDF"/>
    <w:rsid w:val="00252D79"/>
    <w:rsid w:val="00252D84"/>
    <w:rsid w:val="00252E6E"/>
    <w:rsid w:val="00252ECF"/>
    <w:rsid w:val="00252F14"/>
    <w:rsid w:val="00252F48"/>
    <w:rsid w:val="00252FA1"/>
    <w:rsid w:val="00252FB4"/>
    <w:rsid w:val="00252FF4"/>
    <w:rsid w:val="00252FFD"/>
    <w:rsid w:val="00253002"/>
    <w:rsid w:val="00253032"/>
    <w:rsid w:val="0025303B"/>
    <w:rsid w:val="0025309A"/>
    <w:rsid w:val="002530B0"/>
    <w:rsid w:val="0025311F"/>
    <w:rsid w:val="00253149"/>
    <w:rsid w:val="0025316F"/>
    <w:rsid w:val="00253218"/>
    <w:rsid w:val="00253221"/>
    <w:rsid w:val="00253224"/>
    <w:rsid w:val="00253231"/>
    <w:rsid w:val="0025323D"/>
    <w:rsid w:val="0025324D"/>
    <w:rsid w:val="002532DF"/>
    <w:rsid w:val="00253338"/>
    <w:rsid w:val="00253347"/>
    <w:rsid w:val="00253364"/>
    <w:rsid w:val="00253424"/>
    <w:rsid w:val="00253494"/>
    <w:rsid w:val="002534AE"/>
    <w:rsid w:val="002534C2"/>
    <w:rsid w:val="002534D4"/>
    <w:rsid w:val="002534ED"/>
    <w:rsid w:val="00253594"/>
    <w:rsid w:val="00253596"/>
    <w:rsid w:val="002535B7"/>
    <w:rsid w:val="002535F9"/>
    <w:rsid w:val="002535FB"/>
    <w:rsid w:val="00253651"/>
    <w:rsid w:val="00253659"/>
    <w:rsid w:val="0025366F"/>
    <w:rsid w:val="002536A1"/>
    <w:rsid w:val="002536D0"/>
    <w:rsid w:val="002536FB"/>
    <w:rsid w:val="00253702"/>
    <w:rsid w:val="00253754"/>
    <w:rsid w:val="0025375A"/>
    <w:rsid w:val="0025377B"/>
    <w:rsid w:val="00253795"/>
    <w:rsid w:val="00253800"/>
    <w:rsid w:val="00253826"/>
    <w:rsid w:val="00253864"/>
    <w:rsid w:val="0025387C"/>
    <w:rsid w:val="00253893"/>
    <w:rsid w:val="002538C3"/>
    <w:rsid w:val="002538DF"/>
    <w:rsid w:val="00253929"/>
    <w:rsid w:val="00253AFF"/>
    <w:rsid w:val="00253B07"/>
    <w:rsid w:val="00253B09"/>
    <w:rsid w:val="00253B80"/>
    <w:rsid w:val="00253B89"/>
    <w:rsid w:val="00253B8A"/>
    <w:rsid w:val="00253BFE"/>
    <w:rsid w:val="00253C17"/>
    <w:rsid w:val="00253C2A"/>
    <w:rsid w:val="00253C4F"/>
    <w:rsid w:val="00253C6D"/>
    <w:rsid w:val="00253D3D"/>
    <w:rsid w:val="00253DEC"/>
    <w:rsid w:val="00253DF3"/>
    <w:rsid w:val="00253E52"/>
    <w:rsid w:val="00253E61"/>
    <w:rsid w:val="00253E65"/>
    <w:rsid w:val="00253E6A"/>
    <w:rsid w:val="00253EC1"/>
    <w:rsid w:val="00253EDB"/>
    <w:rsid w:val="00253F6C"/>
    <w:rsid w:val="00253F7C"/>
    <w:rsid w:val="00253F98"/>
    <w:rsid w:val="00253FAA"/>
    <w:rsid w:val="00254096"/>
    <w:rsid w:val="002540ED"/>
    <w:rsid w:val="0025416F"/>
    <w:rsid w:val="00254176"/>
    <w:rsid w:val="002541DC"/>
    <w:rsid w:val="002541F8"/>
    <w:rsid w:val="00254206"/>
    <w:rsid w:val="0025421B"/>
    <w:rsid w:val="00254226"/>
    <w:rsid w:val="00254234"/>
    <w:rsid w:val="0025426A"/>
    <w:rsid w:val="00254270"/>
    <w:rsid w:val="002542C2"/>
    <w:rsid w:val="002542E7"/>
    <w:rsid w:val="002542E8"/>
    <w:rsid w:val="00254356"/>
    <w:rsid w:val="0025437C"/>
    <w:rsid w:val="002543DC"/>
    <w:rsid w:val="0025440E"/>
    <w:rsid w:val="00254412"/>
    <w:rsid w:val="0025441B"/>
    <w:rsid w:val="002544CB"/>
    <w:rsid w:val="0025451B"/>
    <w:rsid w:val="00254532"/>
    <w:rsid w:val="00254541"/>
    <w:rsid w:val="0025456A"/>
    <w:rsid w:val="00254598"/>
    <w:rsid w:val="002545B2"/>
    <w:rsid w:val="0025460C"/>
    <w:rsid w:val="0025461F"/>
    <w:rsid w:val="0025466E"/>
    <w:rsid w:val="0025467E"/>
    <w:rsid w:val="002546B0"/>
    <w:rsid w:val="002546C8"/>
    <w:rsid w:val="0025471E"/>
    <w:rsid w:val="00254726"/>
    <w:rsid w:val="00254743"/>
    <w:rsid w:val="00254786"/>
    <w:rsid w:val="002547BA"/>
    <w:rsid w:val="002547C1"/>
    <w:rsid w:val="002547C4"/>
    <w:rsid w:val="00254847"/>
    <w:rsid w:val="0025487C"/>
    <w:rsid w:val="00254889"/>
    <w:rsid w:val="002548D3"/>
    <w:rsid w:val="00254930"/>
    <w:rsid w:val="00254979"/>
    <w:rsid w:val="002549BB"/>
    <w:rsid w:val="00254AAE"/>
    <w:rsid w:val="00254AB8"/>
    <w:rsid w:val="00254AC1"/>
    <w:rsid w:val="00254AF3"/>
    <w:rsid w:val="00254B18"/>
    <w:rsid w:val="00254B36"/>
    <w:rsid w:val="00254B93"/>
    <w:rsid w:val="00254BA2"/>
    <w:rsid w:val="00254BAA"/>
    <w:rsid w:val="00254BB1"/>
    <w:rsid w:val="00254BC2"/>
    <w:rsid w:val="00254BDD"/>
    <w:rsid w:val="00254C90"/>
    <w:rsid w:val="00254CE3"/>
    <w:rsid w:val="00254D0D"/>
    <w:rsid w:val="00254DA4"/>
    <w:rsid w:val="00254DC7"/>
    <w:rsid w:val="00254DE5"/>
    <w:rsid w:val="00254E15"/>
    <w:rsid w:val="00254E25"/>
    <w:rsid w:val="00254E6D"/>
    <w:rsid w:val="00254E76"/>
    <w:rsid w:val="00254EDE"/>
    <w:rsid w:val="00254F1B"/>
    <w:rsid w:val="00254F81"/>
    <w:rsid w:val="00254FD9"/>
    <w:rsid w:val="0025501C"/>
    <w:rsid w:val="00255053"/>
    <w:rsid w:val="00255061"/>
    <w:rsid w:val="002550B9"/>
    <w:rsid w:val="002550CB"/>
    <w:rsid w:val="002550DD"/>
    <w:rsid w:val="0025515F"/>
    <w:rsid w:val="0025516F"/>
    <w:rsid w:val="00255189"/>
    <w:rsid w:val="0025518E"/>
    <w:rsid w:val="002551A3"/>
    <w:rsid w:val="002551BF"/>
    <w:rsid w:val="002551E3"/>
    <w:rsid w:val="0025520E"/>
    <w:rsid w:val="00255297"/>
    <w:rsid w:val="002552A6"/>
    <w:rsid w:val="00255335"/>
    <w:rsid w:val="00255350"/>
    <w:rsid w:val="00255399"/>
    <w:rsid w:val="002553EB"/>
    <w:rsid w:val="00255432"/>
    <w:rsid w:val="0025546B"/>
    <w:rsid w:val="0025549B"/>
    <w:rsid w:val="002554C9"/>
    <w:rsid w:val="002554FF"/>
    <w:rsid w:val="00255510"/>
    <w:rsid w:val="00255514"/>
    <w:rsid w:val="00255519"/>
    <w:rsid w:val="00255557"/>
    <w:rsid w:val="0025559C"/>
    <w:rsid w:val="0025561F"/>
    <w:rsid w:val="0025564A"/>
    <w:rsid w:val="00255681"/>
    <w:rsid w:val="002556EC"/>
    <w:rsid w:val="0025576F"/>
    <w:rsid w:val="0025583E"/>
    <w:rsid w:val="0025584D"/>
    <w:rsid w:val="0025585A"/>
    <w:rsid w:val="00255925"/>
    <w:rsid w:val="00255941"/>
    <w:rsid w:val="00255975"/>
    <w:rsid w:val="00255985"/>
    <w:rsid w:val="002559D8"/>
    <w:rsid w:val="00255A15"/>
    <w:rsid w:val="00255A18"/>
    <w:rsid w:val="00255A93"/>
    <w:rsid w:val="00255B01"/>
    <w:rsid w:val="00255B96"/>
    <w:rsid w:val="00255C7C"/>
    <w:rsid w:val="00255C9E"/>
    <w:rsid w:val="00255CCF"/>
    <w:rsid w:val="00255CD0"/>
    <w:rsid w:val="00255CD8"/>
    <w:rsid w:val="00255CEE"/>
    <w:rsid w:val="00255D0B"/>
    <w:rsid w:val="00255D11"/>
    <w:rsid w:val="00255D30"/>
    <w:rsid w:val="00255D93"/>
    <w:rsid w:val="00255DB0"/>
    <w:rsid w:val="00255DF6"/>
    <w:rsid w:val="00255E13"/>
    <w:rsid w:val="00255E1F"/>
    <w:rsid w:val="00255F30"/>
    <w:rsid w:val="00255F43"/>
    <w:rsid w:val="00255F48"/>
    <w:rsid w:val="00255F6E"/>
    <w:rsid w:val="00255F98"/>
    <w:rsid w:val="00255FC4"/>
    <w:rsid w:val="00255FE1"/>
    <w:rsid w:val="00256027"/>
    <w:rsid w:val="0025603B"/>
    <w:rsid w:val="00256040"/>
    <w:rsid w:val="00256041"/>
    <w:rsid w:val="00256068"/>
    <w:rsid w:val="0025608B"/>
    <w:rsid w:val="00256090"/>
    <w:rsid w:val="002561BD"/>
    <w:rsid w:val="0025620B"/>
    <w:rsid w:val="00256210"/>
    <w:rsid w:val="00256214"/>
    <w:rsid w:val="00256235"/>
    <w:rsid w:val="0025627A"/>
    <w:rsid w:val="002562AA"/>
    <w:rsid w:val="00256354"/>
    <w:rsid w:val="0025635A"/>
    <w:rsid w:val="0025637D"/>
    <w:rsid w:val="002563E1"/>
    <w:rsid w:val="00256452"/>
    <w:rsid w:val="00256463"/>
    <w:rsid w:val="00256473"/>
    <w:rsid w:val="0025649C"/>
    <w:rsid w:val="002564A9"/>
    <w:rsid w:val="002564BC"/>
    <w:rsid w:val="00256509"/>
    <w:rsid w:val="00256561"/>
    <w:rsid w:val="0025657F"/>
    <w:rsid w:val="0025658D"/>
    <w:rsid w:val="00256593"/>
    <w:rsid w:val="002565EA"/>
    <w:rsid w:val="00256618"/>
    <w:rsid w:val="0025662B"/>
    <w:rsid w:val="0025663F"/>
    <w:rsid w:val="0025665A"/>
    <w:rsid w:val="0025665F"/>
    <w:rsid w:val="00256660"/>
    <w:rsid w:val="0025667D"/>
    <w:rsid w:val="0025677F"/>
    <w:rsid w:val="002567A7"/>
    <w:rsid w:val="002567BC"/>
    <w:rsid w:val="002567D8"/>
    <w:rsid w:val="00256810"/>
    <w:rsid w:val="0025682B"/>
    <w:rsid w:val="00256841"/>
    <w:rsid w:val="00256868"/>
    <w:rsid w:val="0025687C"/>
    <w:rsid w:val="002568A2"/>
    <w:rsid w:val="00256963"/>
    <w:rsid w:val="002569DD"/>
    <w:rsid w:val="00256A6F"/>
    <w:rsid w:val="00256AAA"/>
    <w:rsid w:val="00256ABE"/>
    <w:rsid w:val="00256B31"/>
    <w:rsid w:val="00256B33"/>
    <w:rsid w:val="00256B8A"/>
    <w:rsid w:val="00256B9A"/>
    <w:rsid w:val="00256BA3"/>
    <w:rsid w:val="00256BAB"/>
    <w:rsid w:val="00256C3B"/>
    <w:rsid w:val="00256C50"/>
    <w:rsid w:val="00256C52"/>
    <w:rsid w:val="00256C74"/>
    <w:rsid w:val="00256C82"/>
    <w:rsid w:val="00256D0A"/>
    <w:rsid w:val="00256D27"/>
    <w:rsid w:val="00256D56"/>
    <w:rsid w:val="00256D74"/>
    <w:rsid w:val="00256D91"/>
    <w:rsid w:val="00256DD8"/>
    <w:rsid w:val="00256E82"/>
    <w:rsid w:val="00256E9A"/>
    <w:rsid w:val="00256FCD"/>
    <w:rsid w:val="0025701D"/>
    <w:rsid w:val="002570C7"/>
    <w:rsid w:val="00257123"/>
    <w:rsid w:val="00257176"/>
    <w:rsid w:val="00257180"/>
    <w:rsid w:val="002571B8"/>
    <w:rsid w:val="002571C7"/>
    <w:rsid w:val="00257225"/>
    <w:rsid w:val="00257239"/>
    <w:rsid w:val="00257268"/>
    <w:rsid w:val="0025728F"/>
    <w:rsid w:val="002572E8"/>
    <w:rsid w:val="002572EC"/>
    <w:rsid w:val="00257326"/>
    <w:rsid w:val="0025733D"/>
    <w:rsid w:val="00257361"/>
    <w:rsid w:val="00257392"/>
    <w:rsid w:val="002573FF"/>
    <w:rsid w:val="0025741A"/>
    <w:rsid w:val="0025742A"/>
    <w:rsid w:val="0025747B"/>
    <w:rsid w:val="002574D0"/>
    <w:rsid w:val="002574FF"/>
    <w:rsid w:val="00257529"/>
    <w:rsid w:val="00257589"/>
    <w:rsid w:val="002575E9"/>
    <w:rsid w:val="002575EF"/>
    <w:rsid w:val="0025760F"/>
    <w:rsid w:val="00257616"/>
    <w:rsid w:val="002576EC"/>
    <w:rsid w:val="00257701"/>
    <w:rsid w:val="0025772B"/>
    <w:rsid w:val="00257737"/>
    <w:rsid w:val="00257772"/>
    <w:rsid w:val="002577E0"/>
    <w:rsid w:val="002577E7"/>
    <w:rsid w:val="00257826"/>
    <w:rsid w:val="00257848"/>
    <w:rsid w:val="0025784F"/>
    <w:rsid w:val="0025788F"/>
    <w:rsid w:val="002578B4"/>
    <w:rsid w:val="00257920"/>
    <w:rsid w:val="00257986"/>
    <w:rsid w:val="002579C3"/>
    <w:rsid w:val="002579FD"/>
    <w:rsid w:val="00257A68"/>
    <w:rsid w:val="00257A6E"/>
    <w:rsid w:val="00257AD2"/>
    <w:rsid w:val="00257AD3"/>
    <w:rsid w:val="00257B3A"/>
    <w:rsid w:val="00257BA1"/>
    <w:rsid w:val="00257BF9"/>
    <w:rsid w:val="00257C2B"/>
    <w:rsid w:val="00257C83"/>
    <w:rsid w:val="00257C93"/>
    <w:rsid w:val="00257CE2"/>
    <w:rsid w:val="00257CE9"/>
    <w:rsid w:val="00257D2F"/>
    <w:rsid w:val="00257D6E"/>
    <w:rsid w:val="00257D7D"/>
    <w:rsid w:val="00257D9F"/>
    <w:rsid w:val="00257E11"/>
    <w:rsid w:val="00257E32"/>
    <w:rsid w:val="00257E50"/>
    <w:rsid w:val="00257E6C"/>
    <w:rsid w:val="00257E7D"/>
    <w:rsid w:val="00257EC3"/>
    <w:rsid w:val="00257EC7"/>
    <w:rsid w:val="00257F20"/>
    <w:rsid w:val="00257F55"/>
    <w:rsid w:val="00257FB0"/>
    <w:rsid w:val="00257FF5"/>
    <w:rsid w:val="00260059"/>
    <w:rsid w:val="002600B7"/>
    <w:rsid w:val="002600BF"/>
    <w:rsid w:val="002600FF"/>
    <w:rsid w:val="0026010A"/>
    <w:rsid w:val="00260169"/>
    <w:rsid w:val="00260173"/>
    <w:rsid w:val="0026017E"/>
    <w:rsid w:val="00260193"/>
    <w:rsid w:val="002601A3"/>
    <w:rsid w:val="00260239"/>
    <w:rsid w:val="0026025A"/>
    <w:rsid w:val="00260286"/>
    <w:rsid w:val="0026028D"/>
    <w:rsid w:val="00260318"/>
    <w:rsid w:val="00260331"/>
    <w:rsid w:val="00260350"/>
    <w:rsid w:val="0026037B"/>
    <w:rsid w:val="0026037D"/>
    <w:rsid w:val="002603AE"/>
    <w:rsid w:val="002603B0"/>
    <w:rsid w:val="002603C1"/>
    <w:rsid w:val="002603FC"/>
    <w:rsid w:val="00260421"/>
    <w:rsid w:val="00260424"/>
    <w:rsid w:val="00260429"/>
    <w:rsid w:val="00260436"/>
    <w:rsid w:val="00260444"/>
    <w:rsid w:val="002604C4"/>
    <w:rsid w:val="002604F7"/>
    <w:rsid w:val="00260506"/>
    <w:rsid w:val="00260555"/>
    <w:rsid w:val="00260597"/>
    <w:rsid w:val="00260598"/>
    <w:rsid w:val="002605B6"/>
    <w:rsid w:val="0026069C"/>
    <w:rsid w:val="00260731"/>
    <w:rsid w:val="0026075A"/>
    <w:rsid w:val="00260802"/>
    <w:rsid w:val="00260851"/>
    <w:rsid w:val="0026086F"/>
    <w:rsid w:val="002608C1"/>
    <w:rsid w:val="002608F0"/>
    <w:rsid w:val="0026095D"/>
    <w:rsid w:val="002609C5"/>
    <w:rsid w:val="002609DE"/>
    <w:rsid w:val="00260A0A"/>
    <w:rsid w:val="00260A72"/>
    <w:rsid w:val="00260AB7"/>
    <w:rsid w:val="00260ACF"/>
    <w:rsid w:val="00260B70"/>
    <w:rsid w:val="00260BEE"/>
    <w:rsid w:val="00260C34"/>
    <w:rsid w:val="00260C4D"/>
    <w:rsid w:val="00260C57"/>
    <w:rsid w:val="00260D3D"/>
    <w:rsid w:val="00260D6C"/>
    <w:rsid w:val="00260D85"/>
    <w:rsid w:val="00260D9B"/>
    <w:rsid w:val="00260DBC"/>
    <w:rsid w:val="00260DF7"/>
    <w:rsid w:val="00260EB4"/>
    <w:rsid w:val="00260EFE"/>
    <w:rsid w:val="00260F00"/>
    <w:rsid w:val="00260F35"/>
    <w:rsid w:val="00260F3F"/>
    <w:rsid w:val="00260F9C"/>
    <w:rsid w:val="00260FC1"/>
    <w:rsid w:val="00260FD3"/>
    <w:rsid w:val="00260FF5"/>
    <w:rsid w:val="00261014"/>
    <w:rsid w:val="0026101F"/>
    <w:rsid w:val="0026107C"/>
    <w:rsid w:val="00261090"/>
    <w:rsid w:val="002610A3"/>
    <w:rsid w:val="002610A9"/>
    <w:rsid w:val="002610CA"/>
    <w:rsid w:val="00261108"/>
    <w:rsid w:val="00261183"/>
    <w:rsid w:val="0026118A"/>
    <w:rsid w:val="002611A5"/>
    <w:rsid w:val="002611E7"/>
    <w:rsid w:val="00261224"/>
    <w:rsid w:val="0026125C"/>
    <w:rsid w:val="00261310"/>
    <w:rsid w:val="00261383"/>
    <w:rsid w:val="002613AF"/>
    <w:rsid w:val="002613DA"/>
    <w:rsid w:val="002613E5"/>
    <w:rsid w:val="002613EC"/>
    <w:rsid w:val="002613F4"/>
    <w:rsid w:val="00261408"/>
    <w:rsid w:val="0026141A"/>
    <w:rsid w:val="0026144A"/>
    <w:rsid w:val="002614DB"/>
    <w:rsid w:val="002614FF"/>
    <w:rsid w:val="00261517"/>
    <w:rsid w:val="0026151F"/>
    <w:rsid w:val="0026159F"/>
    <w:rsid w:val="002615B1"/>
    <w:rsid w:val="002615C7"/>
    <w:rsid w:val="002615C8"/>
    <w:rsid w:val="002615D9"/>
    <w:rsid w:val="0026160B"/>
    <w:rsid w:val="0026166F"/>
    <w:rsid w:val="002616DB"/>
    <w:rsid w:val="002616EF"/>
    <w:rsid w:val="002616FE"/>
    <w:rsid w:val="00261718"/>
    <w:rsid w:val="0026174D"/>
    <w:rsid w:val="0026177E"/>
    <w:rsid w:val="0026178B"/>
    <w:rsid w:val="00261791"/>
    <w:rsid w:val="002617C9"/>
    <w:rsid w:val="002617CE"/>
    <w:rsid w:val="00261822"/>
    <w:rsid w:val="00261838"/>
    <w:rsid w:val="00261862"/>
    <w:rsid w:val="0026186B"/>
    <w:rsid w:val="0026186F"/>
    <w:rsid w:val="002618F4"/>
    <w:rsid w:val="00261941"/>
    <w:rsid w:val="00261963"/>
    <w:rsid w:val="002619B9"/>
    <w:rsid w:val="002619EA"/>
    <w:rsid w:val="00261A0C"/>
    <w:rsid w:val="00261A49"/>
    <w:rsid w:val="00261AA9"/>
    <w:rsid w:val="00261AB3"/>
    <w:rsid w:val="00261AF0"/>
    <w:rsid w:val="00261B09"/>
    <w:rsid w:val="00261B20"/>
    <w:rsid w:val="00261B2C"/>
    <w:rsid w:val="00261B7E"/>
    <w:rsid w:val="00261BAC"/>
    <w:rsid w:val="00261BB4"/>
    <w:rsid w:val="00261C62"/>
    <w:rsid w:val="00261C8E"/>
    <w:rsid w:val="00261D4A"/>
    <w:rsid w:val="00261D4F"/>
    <w:rsid w:val="00261D70"/>
    <w:rsid w:val="00261E06"/>
    <w:rsid w:val="00261E8A"/>
    <w:rsid w:val="00261EBB"/>
    <w:rsid w:val="00261EE1"/>
    <w:rsid w:val="00261F04"/>
    <w:rsid w:val="00261F4A"/>
    <w:rsid w:val="00261F86"/>
    <w:rsid w:val="00261FBD"/>
    <w:rsid w:val="00262091"/>
    <w:rsid w:val="002620C7"/>
    <w:rsid w:val="002620ED"/>
    <w:rsid w:val="00262114"/>
    <w:rsid w:val="0026211F"/>
    <w:rsid w:val="00262151"/>
    <w:rsid w:val="0026216E"/>
    <w:rsid w:val="002621DE"/>
    <w:rsid w:val="002622D1"/>
    <w:rsid w:val="002622E3"/>
    <w:rsid w:val="002622F1"/>
    <w:rsid w:val="00262321"/>
    <w:rsid w:val="00262335"/>
    <w:rsid w:val="0026233D"/>
    <w:rsid w:val="00262366"/>
    <w:rsid w:val="002623E2"/>
    <w:rsid w:val="00262437"/>
    <w:rsid w:val="0026243E"/>
    <w:rsid w:val="00262452"/>
    <w:rsid w:val="00262482"/>
    <w:rsid w:val="0026248E"/>
    <w:rsid w:val="002624D1"/>
    <w:rsid w:val="00262564"/>
    <w:rsid w:val="00262566"/>
    <w:rsid w:val="0026257C"/>
    <w:rsid w:val="002625B9"/>
    <w:rsid w:val="002625E4"/>
    <w:rsid w:val="00262683"/>
    <w:rsid w:val="002626BA"/>
    <w:rsid w:val="00262752"/>
    <w:rsid w:val="00262758"/>
    <w:rsid w:val="0026278D"/>
    <w:rsid w:val="00262793"/>
    <w:rsid w:val="00262799"/>
    <w:rsid w:val="002627B9"/>
    <w:rsid w:val="002627CC"/>
    <w:rsid w:val="0026284A"/>
    <w:rsid w:val="00262892"/>
    <w:rsid w:val="00262946"/>
    <w:rsid w:val="002629AD"/>
    <w:rsid w:val="002629DF"/>
    <w:rsid w:val="002629F6"/>
    <w:rsid w:val="00262A45"/>
    <w:rsid w:val="00262A49"/>
    <w:rsid w:val="00262A8F"/>
    <w:rsid w:val="00262B0D"/>
    <w:rsid w:val="00262B17"/>
    <w:rsid w:val="00262B50"/>
    <w:rsid w:val="00262B6F"/>
    <w:rsid w:val="00262BFC"/>
    <w:rsid w:val="00262C10"/>
    <w:rsid w:val="00262C50"/>
    <w:rsid w:val="00262C8A"/>
    <w:rsid w:val="00262C9C"/>
    <w:rsid w:val="00262CA5"/>
    <w:rsid w:val="00262CE4"/>
    <w:rsid w:val="00262CF6"/>
    <w:rsid w:val="00262D29"/>
    <w:rsid w:val="00262DEC"/>
    <w:rsid w:val="00262E0E"/>
    <w:rsid w:val="00262E21"/>
    <w:rsid w:val="00262E35"/>
    <w:rsid w:val="00262E66"/>
    <w:rsid w:val="00262E8F"/>
    <w:rsid w:val="00262EB3"/>
    <w:rsid w:val="00262EF0"/>
    <w:rsid w:val="00262F13"/>
    <w:rsid w:val="00262F4F"/>
    <w:rsid w:val="00262F68"/>
    <w:rsid w:val="00262FA2"/>
    <w:rsid w:val="00263005"/>
    <w:rsid w:val="00263052"/>
    <w:rsid w:val="002630D9"/>
    <w:rsid w:val="00263162"/>
    <w:rsid w:val="0026318E"/>
    <w:rsid w:val="002631C1"/>
    <w:rsid w:val="00263217"/>
    <w:rsid w:val="00263220"/>
    <w:rsid w:val="0026325E"/>
    <w:rsid w:val="0026328B"/>
    <w:rsid w:val="002632B1"/>
    <w:rsid w:val="002632C8"/>
    <w:rsid w:val="002632D6"/>
    <w:rsid w:val="002632FE"/>
    <w:rsid w:val="00263331"/>
    <w:rsid w:val="00263460"/>
    <w:rsid w:val="0026347D"/>
    <w:rsid w:val="00263502"/>
    <w:rsid w:val="0026357A"/>
    <w:rsid w:val="00263582"/>
    <w:rsid w:val="00263687"/>
    <w:rsid w:val="0026368E"/>
    <w:rsid w:val="002636A1"/>
    <w:rsid w:val="00263709"/>
    <w:rsid w:val="0026372C"/>
    <w:rsid w:val="00263761"/>
    <w:rsid w:val="00263774"/>
    <w:rsid w:val="002637B7"/>
    <w:rsid w:val="00263810"/>
    <w:rsid w:val="0026381B"/>
    <w:rsid w:val="0026384F"/>
    <w:rsid w:val="00263888"/>
    <w:rsid w:val="002638B0"/>
    <w:rsid w:val="002638C4"/>
    <w:rsid w:val="002638FC"/>
    <w:rsid w:val="002638FE"/>
    <w:rsid w:val="00263912"/>
    <w:rsid w:val="00263929"/>
    <w:rsid w:val="0026394A"/>
    <w:rsid w:val="0026394D"/>
    <w:rsid w:val="00263963"/>
    <w:rsid w:val="002639D1"/>
    <w:rsid w:val="002639E1"/>
    <w:rsid w:val="002639E8"/>
    <w:rsid w:val="00263A04"/>
    <w:rsid w:val="00263A15"/>
    <w:rsid w:val="00263A37"/>
    <w:rsid w:val="00263A6C"/>
    <w:rsid w:val="00263A93"/>
    <w:rsid w:val="00263AA7"/>
    <w:rsid w:val="00263AE8"/>
    <w:rsid w:val="00263B01"/>
    <w:rsid w:val="00263B24"/>
    <w:rsid w:val="00263B60"/>
    <w:rsid w:val="00263B6B"/>
    <w:rsid w:val="00263C1D"/>
    <w:rsid w:val="00263C34"/>
    <w:rsid w:val="00263C5D"/>
    <w:rsid w:val="00263C71"/>
    <w:rsid w:val="00263C7D"/>
    <w:rsid w:val="00263CE2"/>
    <w:rsid w:val="00263D2A"/>
    <w:rsid w:val="00263D9B"/>
    <w:rsid w:val="00263DC5"/>
    <w:rsid w:val="00263DD3"/>
    <w:rsid w:val="00263DFC"/>
    <w:rsid w:val="00263E03"/>
    <w:rsid w:val="00263E42"/>
    <w:rsid w:val="00263EC7"/>
    <w:rsid w:val="00263EE0"/>
    <w:rsid w:val="00263EFE"/>
    <w:rsid w:val="00263F20"/>
    <w:rsid w:val="00263F8A"/>
    <w:rsid w:val="00263F8C"/>
    <w:rsid w:val="00263F95"/>
    <w:rsid w:val="00263FA8"/>
    <w:rsid w:val="00264009"/>
    <w:rsid w:val="0026401A"/>
    <w:rsid w:val="00264128"/>
    <w:rsid w:val="00264171"/>
    <w:rsid w:val="00264174"/>
    <w:rsid w:val="0026419D"/>
    <w:rsid w:val="00264201"/>
    <w:rsid w:val="0026421D"/>
    <w:rsid w:val="00264250"/>
    <w:rsid w:val="002642E1"/>
    <w:rsid w:val="002642E2"/>
    <w:rsid w:val="002642F4"/>
    <w:rsid w:val="002642FA"/>
    <w:rsid w:val="0026432D"/>
    <w:rsid w:val="0026434E"/>
    <w:rsid w:val="002643A4"/>
    <w:rsid w:val="002643A7"/>
    <w:rsid w:val="002643C5"/>
    <w:rsid w:val="002643E1"/>
    <w:rsid w:val="002643FE"/>
    <w:rsid w:val="0026442C"/>
    <w:rsid w:val="00264432"/>
    <w:rsid w:val="002644AF"/>
    <w:rsid w:val="002644FF"/>
    <w:rsid w:val="0026453A"/>
    <w:rsid w:val="00264570"/>
    <w:rsid w:val="00264597"/>
    <w:rsid w:val="002645AB"/>
    <w:rsid w:val="002645CF"/>
    <w:rsid w:val="002645E9"/>
    <w:rsid w:val="002645F2"/>
    <w:rsid w:val="00264637"/>
    <w:rsid w:val="00264639"/>
    <w:rsid w:val="00264671"/>
    <w:rsid w:val="00264699"/>
    <w:rsid w:val="0026470F"/>
    <w:rsid w:val="0026474D"/>
    <w:rsid w:val="00264750"/>
    <w:rsid w:val="002647BD"/>
    <w:rsid w:val="002647CC"/>
    <w:rsid w:val="00264869"/>
    <w:rsid w:val="0026486F"/>
    <w:rsid w:val="0026488C"/>
    <w:rsid w:val="00264895"/>
    <w:rsid w:val="002648C7"/>
    <w:rsid w:val="002648CD"/>
    <w:rsid w:val="002648D3"/>
    <w:rsid w:val="00264939"/>
    <w:rsid w:val="00264990"/>
    <w:rsid w:val="0026499D"/>
    <w:rsid w:val="002649CD"/>
    <w:rsid w:val="00264A11"/>
    <w:rsid w:val="00264A3E"/>
    <w:rsid w:val="00264A5E"/>
    <w:rsid w:val="00264A8F"/>
    <w:rsid w:val="00264AF9"/>
    <w:rsid w:val="00264B13"/>
    <w:rsid w:val="00264B23"/>
    <w:rsid w:val="00264B2A"/>
    <w:rsid w:val="00264B40"/>
    <w:rsid w:val="00264BBA"/>
    <w:rsid w:val="00264BFC"/>
    <w:rsid w:val="00264C09"/>
    <w:rsid w:val="00264C47"/>
    <w:rsid w:val="00264C8A"/>
    <w:rsid w:val="00264C9E"/>
    <w:rsid w:val="00264CA2"/>
    <w:rsid w:val="00264CB6"/>
    <w:rsid w:val="00264D2C"/>
    <w:rsid w:val="00264D34"/>
    <w:rsid w:val="00264D73"/>
    <w:rsid w:val="00264D85"/>
    <w:rsid w:val="00264DBA"/>
    <w:rsid w:val="00264E52"/>
    <w:rsid w:val="00264E73"/>
    <w:rsid w:val="00264ED1"/>
    <w:rsid w:val="00264EF9"/>
    <w:rsid w:val="00264F47"/>
    <w:rsid w:val="00264F4C"/>
    <w:rsid w:val="00264F4D"/>
    <w:rsid w:val="00264F79"/>
    <w:rsid w:val="00264FB7"/>
    <w:rsid w:val="00264FCA"/>
    <w:rsid w:val="0026500D"/>
    <w:rsid w:val="0026504E"/>
    <w:rsid w:val="00265084"/>
    <w:rsid w:val="002650D7"/>
    <w:rsid w:val="0026510A"/>
    <w:rsid w:val="00265116"/>
    <w:rsid w:val="00265121"/>
    <w:rsid w:val="0026512E"/>
    <w:rsid w:val="00265136"/>
    <w:rsid w:val="00265175"/>
    <w:rsid w:val="00265178"/>
    <w:rsid w:val="0026519C"/>
    <w:rsid w:val="002651C6"/>
    <w:rsid w:val="0026520A"/>
    <w:rsid w:val="00265231"/>
    <w:rsid w:val="00265244"/>
    <w:rsid w:val="002652A2"/>
    <w:rsid w:val="002652DA"/>
    <w:rsid w:val="00265334"/>
    <w:rsid w:val="002653C1"/>
    <w:rsid w:val="00265447"/>
    <w:rsid w:val="00265470"/>
    <w:rsid w:val="00265476"/>
    <w:rsid w:val="00265487"/>
    <w:rsid w:val="00265490"/>
    <w:rsid w:val="002654AA"/>
    <w:rsid w:val="002654E7"/>
    <w:rsid w:val="0026553B"/>
    <w:rsid w:val="00265564"/>
    <w:rsid w:val="00265581"/>
    <w:rsid w:val="002655D7"/>
    <w:rsid w:val="002655E2"/>
    <w:rsid w:val="002655EC"/>
    <w:rsid w:val="002655F2"/>
    <w:rsid w:val="00265603"/>
    <w:rsid w:val="0026560F"/>
    <w:rsid w:val="00265619"/>
    <w:rsid w:val="00265632"/>
    <w:rsid w:val="00265633"/>
    <w:rsid w:val="00265686"/>
    <w:rsid w:val="00265736"/>
    <w:rsid w:val="00265737"/>
    <w:rsid w:val="0026575A"/>
    <w:rsid w:val="00265776"/>
    <w:rsid w:val="00265778"/>
    <w:rsid w:val="002657E9"/>
    <w:rsid w:val="00265805"/>
    <w:rsid w:val="00265807"/>
    <w:rsid w:val="0026582C"/>
    <w:rsid w:val="00265843"/>
    <w:rsid w:val="002658AD"/>
    <w:rsid w:val="002658BC"/>
    <w:rsid w:val="002658E9"/>
    <w:rsid w:val="0026592A"/>
    <w:rsid w:val="0026593D"/>
    <w:rsid w:val="00265971"/>
    <w:rsid w:val="0026597E"/>
    <w:rsid w:val="002659A7"/>
    <w:rsid w:val="002659B7"/>
    <w:rsid w:val="002659CC"/>
    <w:rsid w:val="002659D1"/>
    <w:rsid w:val="002659F3"/>
    <w:rsid w:val="00265A0B"/>
    <w:rsid w:val="00265A13"/>
    <w:rsid w:val="00265A21"/>
    <w:rsid w:val="00265A78"/>
    <w:rsid w:val="00265A99"/>
    <w:rsid w:val="00265A9C"/>
    <w:rsid w:val="00265B4F"/>
    <w:rsid w:val="00265B5D"/>
    <w:rsid w:val="00265BB1"/>
    <w:rsid w:val="00265C14"/>
    <w:rsid w:val="00265C31"/>
    <w:rsid w:val="00265C5C"/>
    <w:rsid w:val="00265C84"/>
    <w:rsid w:val="00265C96"/>
    <w:rsid w:val="00265CC6"/>
    <w:rsid w:val="00265CD8"/>
    <w:rsid w:val="00265CFB"/>
    <w:rsid w:val="00265D6B"/>
    <w:rsid w:val="00265D6F"/>
    <w:rsid w:val="00265D97"/>
    <w:rsid w:val="00265DAE"/>
    <w:rsid w:val="00265DCE"/>
    <w:rsid w:val="00265E02"/>
    <w:rsid w:val="00265E5D"/>
    <w:rsid w:val="00265EA3"/>
    <w:rsid w:val="00265EC6"/>
    <w:rsid w:val="00265EED"/>
    <w:rsid w:val="00265F1A"/>
    <w:rsid w:val="00265F26"/>
    <w:rsid w:val="00265F53"/>
    <w:rsid w:val="00265FC9"/>
    <w:rsid w:val="00265FCB"/>
    <w:rsid w:val="00265FF9"/>
    <w:rsid w:val="00266005"/>
    <w:rsid w:val="0026600D"/>
    <w:rsid w:val="00266065"/>
    <w:rsid w:val="002660E8"/>
    <w:rsid w:val="00266110"/>
    <w:rsid w:val="00266138"/>
    <w:rsid w:val="0026614B"/>
    <w:rsid w:val="0026616D"/>
    <w:rsid w:val="0026619C"/>
    <w:rsid w:val="002661A3"/>
    <w:rsid w:val="00266370"/>
    <w:rsid w:val="00266394"/>
    <w:rsid w:val="002663B2"/>
    <w:rsid w:val="002663EF"/>
    <w:rsid w:val="00266406"/>
    <w:rsid w:val="00266419"/>
    <w:rsid w:val="0026642F"/>
    <w:rsid w:val="00266443"/>
    <w:rsid w:val="0026644E"/>
    <w:rsid w:val="002664B1"/>
    <w:rsid w:val="002664BC"/>
    <w:rsid w:val="002664BF"/>
    <w:rsid w:val="002664CC"/>
    <w:rsid w:val="00266511"/>
    <w:rsid w:val="0026653A"/>
    <w:rsid w:val="00266547"/>
    <w:rsid w:val="0026656F"/>
    <w:rsid w:val="0026659E"/>
    <w:rsid w:val="0026659F"/>
    <w:rsid w:val="002665BF"/>
    <w:rsid w:val="0026661D"/>
    <w:rsid w:val="00266650"/>
    <w:rsid w:val="00266652"/>
    <w:rsid w:val="00266686"/>
    <w:rsid w:val="00266701"/>
    <w:rsid w:val="00266724"/>
    <w:rsid w:val="0026675D"/>
    <w:rsid w:val="00266868"/>
    <w:rsid w:val="002668CC"/>
    <w:rsid w:val="002668E4"/>
    <w:rsid w:val="002668F5"/>
    <w:rsid w:val="00266908"/>
    <w:rsid w:val="00266911"/>
    <w:rsid w:val="0026691F"/>
    <w:rsid w:val="00266941"/>
    <w:rsid w:val="0026694F"/>
    <w:rsid w:val="002669C4"/>
    <w:rsid w:val="002669E1"/>
    <w:rsid w:val="002669FB"/>
    <w:rsid w:val="00266A36"/>
    <w:rsid w:val="00266A5E"/>
    <w:rsid w:val="00266A65"/>
    <w:rsid w:val="00266A8D"/>
    <w:rsid w:val="00266A92"/>
    <w:rsid w:val="00266AAC"/>
    <w:rsid w:val="00266AB2"/>
    <w:rsid w:val="00266AD9"/>
    <w:rsid w:val="00266B0A"/>
    <w:rsid w:val="00266B7D"/>
    <w:rsid w:val="00266B80"/>
    <w:rsid w:val="00266B90"/>
    <w:rsid w:val="00266BE4"/>
    <w:rsid w:val="00266C22"/>
    <w:rsid w:val="00266C67"/>
    <w:rsid w:val="00266C84"/>
    <w:rsid w:val="00266C98"/>
    <w:rsid w:val="00266CF7"/>
    <w:rsid w:val="00266D68"/>
    <w:rsid w:val="00266D78"/>
    <w:rsid w:val="00266DB1"/>
    <w:rsid w:val="00266DE3"/>
    <w:rsid w:val="00266E10"/>
    <w:rsid w:val="00266E23"/>
    <w:rsid w:val="00266EC9"/>
    <w:rsid w:val="00266ED6"/>
    <w:rsid w:val="00266EFF"/>
    <w:rsid w:val="00266F68"/>
    <w:rsid w:val="00266FC4"/>
    <w:rsid w:val="00266FD4"/>
    <w:rsid w:val="00266FDE"/>
    <w:rsid w:val="00266FF0"/>
    <w:rsid w:val="00267020"/>
    <w:rsid w:val="0026704C"/>
    <w:rsid w:val="00267063"/>
    <w:rsid w:val="002670DB"/>
    <w:rsid w:val="002670DC"/>
    <w:rsid w:val="00267137"/>
    <w:rsid w:val="0026713C"/>
    <w:rsid w:val="00267162"/>
    <w:rsid w:val="002671D2"/>
    <w:rsid w:val="002671D5"/>
    <w:rsid w:val="00267218"/>
    <w:rsid w:val="00267241"/>
    <w:rsid w:val="0026729F"/>
    <w:rsid w:val="002672A0"/>
    <w:rsid w:val="002672E1"/>
    <w:rsid w:val="00267347"/>
    <w:rsid w:val="002673CA"/>
    <w:rsid w:val="00267486"/>
    <w:rsid w:val="0026748E"/>
    <w:rsid w:val="00267490"/>
    <w:rsid w:val="002674BD"/>
    <w:rsid w:val="0026752F"/>
    <w:rsid w:val="00267601"/>
    <w:rsid w:val="0026763F"/>
    <w:rsid w:val="00267724"/>
    <w:rsid w:val="002677E9"/>
    <w:rsid w:val="002677F5"/>
    <w:rsid w:val="0026781D"/>
    <w:rsid w:val="0026785F"/>
    <w:rsid w:val="00267861"/>
    <w:rsid w:val="00267863"/>
    <w:rsid w:val="0026788A"/>
    <w:rsid w:val="0026788D"/>
    <w:rsid w:val="002678E8"/>
    <w:rsid w:val="00267902"/>
    <w:rsid w:val="0026792E"/>
    <w:rsid w:val="00267942"/>
    <w:rsid w:val="002679C1"/>
    <w:rsid w:val="002679C2"/>
    <w:rsid w:val="002679C3"/>
    <w:rsid w:val="002679C9"/>
    <w:rsid w:val="00267A1B"/>
    <w:rsid w:val="00267A22"/>
    <w:rsid w:val="00267A38"/>
    <w:rsid w:val="00267AC1"/>
    <w:rsid w:val="00267AED"/>
    <w:rsid w:val="00267AFD"/>
    <w:rsid w:val="00267B65"/>
    <w:rsid w:val="00267BB2"/>
    <w:rsid w:val="00267BBA"/>
    <w:rsid w:val="00267BD3"/>
    <w:rsid w:val="00267BE7"/>
    <w:rsid w:val="00267C02"/>
    <w:rsid w:val="00267C04"/>
    <w:rsid w:val="00267C0A"/>
    <w:rsid w:val="00267C20"/>
    <w:rsid w:val="00267C5C"/>
    <w:rsid w:val="00267CCB"/>
    <w:rsid w:val="00267CD7"/>
    <w:rsid w:val="00267D01"/>
    <w:rsid w:val="00267D02"/>
    <w:rsid w:val="00267D13"/>
    <w:rsid w:val="00267D88"/>
    <w:rsid w:val="00267DB1"/>
    <w:rsid w:val="00267DDB"/>
    <w:rsid w:val="00267DE1"/>
    <w:rsid w:val="00267DEB"/>
    <w:rsid w:val="00267E97"/>
    <w:rsid w:val="00267EE7"/>
    <w:rsid w:val="00267EF8"/>
    <w:rsid w:val="00267F19"/>
    <w:rsid w:val="00267F2C"/>
    <w:rsid w:val="00267F40"/>
    <w:rsid w:val="00267F42"/>
    <w:rsid w:val="00267F48"/>
    <w:rsid w:val="00267F54"/>
    <w:rsid w:val="00267F5B"/>
    <w:rsid w:val="00267F6A"/>
    <w:rsid w:val="00267F8F"/>
    <w:rsid w:val="00267FAF"/>
    <w:rsid w:val="00267FD2"/>
    <w:rsid w:val="00267FE3"/>
    <w:rsid w:val="0027003C"/>
    <w:rsid w:val="0027004D"/>
    <w:rsid w:val="0027006A"/>
    <w:rsid w:val="00270073"/>
    <w:rsid w:val="0027009F"/>
    <w:rsid w:val="002700C7"/>
    <w:rsid w:val="002700CE"/>
    <w:rsid w:val="002700D6"/>
    <w:rsid w:val="00270133"/>
    <w:rsid w:val="00270190"/>
    <w:rsid w:val="002701A6"/>
    <w:rsid w:val="002701B6"/>
    <w:rsid w:val="002701DF"/>
    <w:rsid w:val="002701F8"/>
    <w:rsid w:val="00270202"/>
    <w:rsid w:val="00270238"/>
    <w:rsid w:val="002702A3"/>
    <w:rsid w:val="002702BC"/>
    <w:rsid w:val="002702BF"/>
    <w:rsid w:val="00270319"/>
    <w:rsid w:val="0027035F"/>
    <w:rsid w:val="00270374"/>
    <w:rsid w:val="00270395"/>
    <w:rsid w:val="0027039B"/>
    <w:rsid w:val="002703D8"/>
    <w:rsid w:val="002703E7"/>
    <w:rsid w:val="002703FF"/>
    <w:rsid w:val="00270406"/>
    <w:rsid w:val="00270457"/>
    <w:rsid w:val="00270462"/>
    <w:rsid w:val="00270466"/>
    <w:rsid w:val="00270480"/>
    <w:rsid w:val="00270492"/>
    <w:rsid w:val="00270494"/>
    <w:rsid w:val="002704F8"/>
    <w:rsid w:val="0027053F"/>
    <w:rsid w:val="00270541"/>
    <w:rsid w:val="002705F5"/>
    <w:rsid w:val="00270625"/>
    <w:rsid w:val="0027063C"/>
    <w:rsid w:val="0027066A"/>
    <w:rsid w:val="00270722"/>
    <w:rsid w:val="00270756"/>
    <w:rsid w:val="00270795"/>
    <w:rsid w:val="0027080C"/>
    <w:rsid w:val="00270873"/>
    <w:rsid w:val="002708C5"/>
    <w:rsid w:val="00270905"/>
    <w:rsid w:val="00270929"/>
    <w:rsid w:val="0027093D"/>
    <w:rsid w:val="0027094A"/>
    <w:rsid w:val="0027094B"/>
    <w:rsid w:val="0027098C"/>
    <w:rsid w:val="00270992"/>
    <w:rsid w:val="002709F8"/>
    <w:rsid w:val="00270A1F"/>
    <w:rsid w:val="00270A85"/>
    <w:rsid w:val="00270AB5"/>
    <w:rsid w:val="00270ADC"/>
    <w:rsid w:val="00270B3A"/>
    <w:rsid w:val="00270B4B"/>
    <w:rsid w:val="00270B71"/>
    <w:rsid w:val="00270BC3"/>
    <w:rsid w:val="00270C26"/>
    <w:rsid w:val="00270C5E"/>
    <w:rsid w:val="00270C7D"/>
    <w:rsid w:val="00270C88"/>
    <w:rsid w:val="00270CCD"/>
    <w:rsid w:val="00270CD6"/>
    <w:rsid w:val="00270D07"/>
    <w:rsid w:val="00270D29"/>
    <w:rsid w:val="00270D5E"/>
    <w:rsid w:val="00270D97"/>
    <w:rsid w:val="00270DFA"/>
    <w:rsid w:val="00270E08"/>
    <w:rsid w:val="00270E20"/>
    <w:rsid w:val="00270E50"/>
    <w:rsid w:val="00270E8F"/>
    <w:rsid w:val="00270E9B"/>
    <w:rsid w:val="00270F33"/>
    <w:rsid w:val="00270F3F"/>
    <w:rsid w:val="00270F8E"/>
    <w:rsid w:val="00270FB7"/>
    <w:rsid w:val="00271000"/>
    <w:rsid w:val="00271012"/>
    <w:rsid w:val="00271022"/>
    <w:rsid w:val="00271082"/>
    <w:rsid w:val="0027109D"/>
    <w:rsid w:val="002710B3"/>
    <w:rsid w:val="002710B9"/>
    <w:rsid w:val="002710C3"/>
    <w:rsid w:val="002710D2"/>
    <w:rsid w:val="002710D5"/>
    <w:rsid w:val="00271125"/>
    <w:rsid w:val="0027112B"/>
    <w:rsid w:val="0027115E"/>
    <w:rsid w:val="00271179"/>
    <w:rsid w:val="002711B2"/>
    <w:rsid w:val="002711BB"/>
    <w:rsid w:val="002711E4"/>
    <w:rsid w:val="00271210"/>
    <w:rsid w:val="002712E2"/>
    <w:rsid w:val="00271302"/>
    <w:rsid w:val="0027130F"/>
    <w:rsid w:val="00271340"/>
    <w:rsid w:val="0027135F"/>
    <w:rsid w:val="00271361"/>
    <w:rsid w:val="00271379"/>
    <w:rsid w:val="00271396"/>
    <w:rsid w:val="002713B7"/>
    <w:rsid w:val="00271475"/>
    <w:rsid w:val="002714E7"/>
    <w:rsid w:val="0027150C"/>
    <w:rsid w:val="00271514"/>
    <w:rsid w:val="00271549"/>
    <w:rsid w:val="00271574"/>
    <w:rsid w:val="002715BB"/>
    <w:rsid w:val="002715D5"/>
    <w:rsid w:val="002715EC"/>
    <w:rsid w:val="0027160A"/>
    <w:rsid w:val="00271614"/>
    <w:rsid w:val="00271621"/>
    <w:rsid w:val="0027162A"/>
    <w:rsid w:val="00271640"/>
    <w:rsid w:val="00271658"/>
    <w:rsid w:val="00271687"/>
    <w:rsid w:val="002716B1"/>
    <w:rsid w:val="002716E9"/>
    <w:rsid w:val="00271707"/>
    <w:rsid w:val="0027171D"/>
    <w:rsid w:val="0027172D"/>
    <w:rsid w:val="00271792"/>
    <w:rsid w:val="002717AB"/>
    <w:rsid w:val="002717F5"/>
    <w:rsid w:val="00271853"/>
    <w:rsid w:val="00271866"/>
    <w:rsid w:val="0027187A"/>
    <w:rsid w:val="00271881"/>
    <w:rsid w:val="002718B4"/>
    <w:rsid w:val="002718F5"/>
    <w:rsid w:val="00271900"/>
    <w:rsid w:val="00271913"/>
    <w:rsid w:val="00271926"/>
    <w:rsid w:val="00271987"/>
    <w:rsid w:val="00271991"/>
    <w:rsid w:val="00271A14"/>
    <w:rsid w:val="00271A83"/>
    <w:rsid w:val="00271A90"/>
    <w:rsid w:val="00271AB1"/>
    <w:rsid w:val="00271AC3"/>
    <w:rsid w:val="00271AE8"/>
    <w:rsid w:val="00271B89"/>
    <w:rsid w:val="00271C22"/>
    <w:rsid w:val="00271C60"/>
    <w:rsid w:val="00271C6D"/>
    <w:rsid w:val="00271C71"/>
    <w:rsid w:val="00271CC0"/>
    <w:rsid w:val="00271CD3"/>
    <w:rsid w:val="00271CF5"/>
    <w:rsid w:val="00271D9D"/>
    <w:rsid w:val="00271DD6"/>
    <w:rsid w:val="00271E73"/>
    <w:rsid w:val="00271E82"/>
    <w:rsid w:val="00271EC9"/>
    <w:rsid w:val="00271F60"/>
    <w:rsid w:val="00271F81"/>
    <w:rsid w:val="00271F8D"/>
    <w:rsid w:val="00271FC9"/>
    <w:rsid w:val="00272035"/>
    <w:rsid w:val="0027205D"/>
    <w:rsid w:val="0027208D"/>
    <w:rsid w:val="0027209E"/>
    <w:rsid w:val="002720BF"/>
    <w:rsid w:val="00272105"/>
    <w:rsid w:val="0027212A"/>
    <w:rsid w:val="0027216F"/>
    <w:rsid w:val="002721BB"/>
    <w:rsid w:val="002721E8"/>
    <w:rsid w:val="0027223C"/>
    <w:rsid w:val="0027228D"/>
    <w:rsid w:val="0027229E"/>
    <w:rsid w:val="002722A6"/>
    <w:rsid w:val="00272307"/>
    <w:rsid w:val="0027232E"/>
    <w:rsid w:val="0027234E"/>
    <w:rsid w:val="0027236E"/>
    <w:rsid w:val="0027238F"/>
    <w:rsid w:val="00272419"/>
    <w:rsid w:val="0027242B"/>
    <w:rsid w:val="00272485"/>
    <w:rsid w:val="002724C1"/>
    <w:rsid w:val="002724E4"/>
    <w:rsid w:val="002724F4"/>
    <w:rsid w:val="0027252D"/>
    <w:rsid w:val="00272536"/>
    <w:rsid w:val="00272556"/>
    <w:rsid w:val="002725B2"/>
    <w:rsid w:val="002725DF"/>
    <w:rsid w:val="002725F5"/>
    <w:rsid w:val="002725FA"/>
    <w:rsid w:val="00272659"/>
    <w:rsid w:val="00272667"/>
    <w:rsid w:val="002726AB"/>
    <w:rsid w:val="002726B1"/>
    <w:rsid w:val="002726BD"/>
    <w:rsid w:val="0027270D"/>
    <w:rsid w:val="00272716"/>
    <w:rsid w:val="00272740"/>
    <w:rsid w:val="002727B9"/>
    <w:rsid w:val="0027280F"/>
    <w:rsid w:val="00272828"/>
    <w:rsid w:val="00272883"/>
    <w:rsid w:val="002728A2"/>
    <w:rsid w:val="002728B5"/>
    <w:rsid w:val="002728F7"/>
    <w:rsid w:val="0027290A"/>
    <w:rsid w:val="00272967"/>
    <w:rsid w:val="0027297A"/>
    <w:rsid w:val="00272A01"/>
    <w:rsid w:val="00272A2E"/>
    <w:rsid w:val="00272A2F"/>
    <w:rsid w:val="00272A34"/>
    <w:rsid w:val="00272A65"/>
    <w:rsid w:val="00272ACC"/>
    <w:rsid w:val="00272ADB"/>
    <w:rsid w:val="00272AE6"/>
    <w:rsid w:val="00272B74"/>
    <w:rsid w:val="00272C06"/>
    <w:rsid w:val="00272C51"/>
    <w:rsid w:val="00272C95"/>
    <w:rsid w:val="00272CDD"/>
    <w:rsid w:val="00272D7B"/>
    <w:rsid w:val="00272DBA"/>
    <w:rsid w:val="00272E0A"/>
    <w:rsid w:val="00272E3D"/>
    <w:rsid w:val="00272E76"/>
    <w:rsid w:val="00272EAC"/>
    <w:rsid w:val="00272EB5"/>
    <w:rsid w:val="00272ED3"/>
    <w:rsid w:val="00272EEE"/>
    <w:rsid w:val="00272F48"/>
    <w:rsid w:val="00272FBC"/>
    <w:rsid w:val="00272FC0"/>
    <w:rsid w:val="00272FC2"/>
    <w:rsid w:val="00272FF7"/>
    <w:rsid w:val="00272FFC"/>
    <w:rsid w:val="00273001"/>
    <w:rsid w:val="0027301E"/>
    <w:rsid w:val="0027302A"/>
    <w:rsid w:val="00273080"/>
    <w:rsid w:val="00273104"/>
    <w:rsid w:val="00273106"/>
    <w:rsid w:val="00273109"/>
    <w:rsid w:val="00273110"/>
    <w:rsid w:val="0027314C"/>
    <w:rsid w:val="0027314D"/>
    <w:rsid w:val="002731C0"/>
    <w:rsid w:val="002731C5"/>
    <w:rsid w:val="0027323C"/>
    <w:rsid w:val="002732E4"/>
    <w:rsid w:val="002732E8"/>
    <w:rsid w:val="0027336C"/>
    <w:rsid w:val="00273386"/>
    <w:rsid w:val="002733BD"/>
    <w:rsid w:val="0027340E"/>
    <w:rsid w:val="00273448"/>
    <w:rsid w:val="00273486"/>
    <w:rsid w:val="0027348B"/>
    <w:rsid w:val="0027348D"/>
    <w:rsid w:val="0027348E"/>
    <w:rsid w:val="002734B4"/>
    <w:rsid w:val="002734B9"/>
    <w:rsid w:val="0027350F"/>
    <w:rsid w:val="00273536"/>
    <w:rsid w:val="0027357E"/>
    <w:rsid w:val="002735AD"/>
    <w:rsid w:val="002735E4"/>
    <w:rsid w:val="00273602"/>
    <w:rsid w:val="00273662"/>
    <w:rsid w:val="00273666"/>
    <w:rsid w:val="00273680"/>
    <w:rsid w:val="002736AD"/>
    <w:rsid w:val="002736EB"/>
    <w:rsid w:val="0027371D"/>
    <w:rsid w:val="00273763"/>
    <w:rsid w:val="0027376D"/>
    <w:rsid w:val="002737B1"/>
    <w:rsid w:val="002737BD"/>
    <w:rsid w:val="00273831"/>
    <w:rsid w:val="0027383D"/>
    <w:rsid w:val="00273850"/>
    <w:rsid w:val="00273889"/>
    <w:rsid w:val="002738BE"/>
    <w:rsid w:val="002738E1"/>
    <w:rsid w:val="00273901"/>
    <w:rsid w:val="00273909"/>
    <w:rsid w:val="00273912"/>
    <w:rsid w:val="0027395A"/>
    <w:rsid w:val="0027397D"/>
    <w:rsid w:val="002739AF"/>
    <w:rsid w:val="002739C1"/>
    <w:rsid w:val="002739F6"/>
    <w:rsid w:val="00273A2A"/>
    <w:rsid w:val="00273A62"/>
    <w:rsid w:val="00273A6E"/>
    <w:rsid w:val="00273A79"/>
    <w:rsid w:val="00273A7A"/>
    <w:rsid w:val="00273A91"/>
    <w:rsid w:val="00273A92"/>
    <w:rsid w:val="00273AA7"/>
    <w:rsid w:val="00273AC6"/>
    <w:rsid w:val="00273AE7"/>
    <w:rsid w:val="00273AEC"/>
    <w:rsid w:val="00273B59"/>
    <w:rsid w:val="00273B67"/>
    <w:rsid w:val="00273B76"/>
    <w:rsid w:val="00273BA7"/>
    <w:rsid w:val="00273BBB"/>
    <w:rsid w:val="00273BE4"/>
    <w:rsid w:val="00273C00"/>
    <w:rsid w:val="00273C27"/>
    <w:rsid w:val="00273CA2"/>
    <w:rsid w:val="00273CC2"/>
    <w:rsid w:val="00273CDB"/>
    <w:rsid w:val="00273CE5"/>
    <w:rsid w:val="00273D1D"/>
    <w:rsid w:val="00273D21"/>
    <w:rsid w:val="00273D2D"/>
    <w:rsid w:val="00273D3A"/>
    <w:rsid w:val="00273D55"/>
    <w:rsid w:val="00273D72"/>
    <w:rsid w:val="00273D98"/>
    <w:rsid w:val="00273DA7"/>
    <w:rsid w:val="00273DB2"/>
    <w:rsid w:val="00273DDF"/>
    <w:rsid w:val="00273E0C"/>
    <w:rsid w:val="00273E0E"/>
    <w:rsid w:val="00273E27"/>
    <w:rsid w:val="00273E4C"/>
    <w:rsid w:val="00273EA2"/>
    <w:rsid w:val="00273EA5"/>
    <w:rsid w:val="00273F64"/>
    <w:rsid w:val="00273F70"/>
    <w:rsid w:val="00273F82"/>
    <w:rsid w:val="00273FA4"/>
    <w:rsid w:val="00273FCC"/>
    <w:rsid w:val="0027405C"/>
    <w:rsid w:val="002740A8"/>
    <w:rsid w:val="00274125"/>
    <w:rsid w:val="0027414B"/>
    <w:rsid w:val="002741A9"/>
    <w:rsid w:val="002741CC"/>
    <w:rsid w:val="00274200"/>
    <w:rsid w:val="0027426C"/>
    <w:rsid w:val="002742B1"/>
    <w:rsid w:val="002742E4"/>
    <w:rsid w:val="002742F2"/>
    <w:rsid w:val="00274314"/>
    <w:rsid w:val="0027435D"/>
    <w:rsid w:val="00274386"/>
    <w:rsid w:val="00274424"/>
    <w:rsid w:val="0027449F"/>
    <w:rsid w:val="002744AD"/>
    <w:rsid w:val="002744C3"/>
    <w:rsid w:val="002744ED"/>
    <w:rsid w:val="0027457B"/>
    <w:rsid w:val="00274589"/>
    <w:rsid w:val="002745C3"/>
    <w:rsid w:val="00274609"/>
    <w:rsid w:val="00274615"/>
    <w:rsid w:val="00274645"/>
    <w:rsid w:val="00274657"/>
    <w:rsid w:val="00274666"/>
    <w:rsid w:val="00274694"/>
    <w:rsid w:val="002746A3"/>
    <w:rsid w:val="002746B1"/>
    <w:rsid w:val="00274713"/>
    <w:rsid w:val="002747BF"/>
    <w:rsid w:val="002747F4"/>
    <w:rsid w:val="00274851"/>
    <w:rsid w:val="00274858"/>
    <w:rsid w:val="00274877"/>
    <w:rsid w:val="00274908"/>
    <w:rsid w:val="0027494D"/>
    <w:rsid w:val="0027495E"/>
    <w:rsid w:val="00274981"/>
    <w:rsid w:val="0027498E"/>
    <w:rsid w:val="002749B8"/>
    <w:rsid w:val="002749D7"/>
    <w:rsid w:val="002749F2"/>
    <w:rsid w:val="00274A40"/>
    <w:rsid w:val="00274AE4"/>
    <w:rsid w:val="00274AE5"/>
    <w:rsid w:val="00274B1D"/>
    <w:rsid w:val="00274B6A"/>
    <w:rsid w:val="00274BAF"/>
    <w:rsid w:val="00274BC3"/>
    <w:rsid w:val="00274C3C"/>
    <w:rsid w:val="00274C8E"/>
    <w:rsid w:val="00274D09"/>
    <w:rsid w:val="00274D53"/>
    <w:rsid w:val="00274D5A"/>
    <w:rsid w:val="00274D7B"/>
    <w:rsid w:val="00274DEB"/>
    <w:rsid w:val="00274DF8"/>
    <w:rsid w:val="00274E28"/>
    <w:rsid w:val="00274E40"/>
    <w:rsid w:val="00274E80"/>
    <w:rsid w:val="00274E9F"/>
    <w:rsid w:val="00274EE2"/>
    <w:rsid w:val="00274EED"/>
    <w:rsid w:val="00274F09"/>
    <w:rsid w:val="00274F0C"/>
    <w:rsid w:val="00274F0D"/>
    <w:rsid w:val="00274F4F"/>
    <w:rsid w:val="00274F5D"/>
    <w:rsid w:val="00274F67"/>
    <w:rsid w:val="00274F8C"/>
    <w:rsid w:val="00274FA0"/>
    <w:rsid w:val="00274FA4"/>
    <w:rsid w:val="00274FDD"/>
    <w:rsid w:val="0027500A"/>
    <w:rsid w:val="00275129"/>
    <w:rsid w:val="00275133"/>
    <w:rsid w:val="00275187"/>
    <w:rsid w:val="0027518B"/>
    <w:rsid w:val="002751BA"/>
    <w:rsid w:val="002751C2"/>
    <w:rsid w:val="002751EC"/>
    <w:rsid w:val="00275237"/>
    <w:rsid w:val="00275254"/>
    <w:rsid w:val="00275279"/>
    <w:rsid w:val="002752CD"/>
    <w:rsid w:val="00275356"/>
    <w:rsid w:val="0027535C"/>
    <w:rsid w:val="0027536D"/>
    <w:rsid w:val="002753CB"/>
    <w:rsid w:val="002753E8"/>
    <w:rsid w:val="002753F0"/>
    <w:rsid w:val="00275426"/>
    <w:rsid w:val="0027542C"/>
    <w:rsid w:val="00275472"/>
    <w:rsid w:val="002754B1"/>
    <w:rsid w:val="002754D0"/>
    <w:rsid w:val="002754DF"/>
    <w:rsid w:val="002754E4"/>
    <w:rsid w:val="002754F8"/>
    <w:rsid w:val="00275538"/>
    <w:rsid w:val="00275548"/>
    <w:rsid w:val="00275593"/>
    <w:rsid w:val="002755FE"/>
    <w:rsid w:val="0027563D"/>
    <w:rsid w:val="00275659"/>
    <w:rsid w:val="00275674"/>
    <w:rsid w:val="00275676"/>
    <w:rsid w:val="0027568A"/>
    <w:rsid w:val="00275693"/>
    <w:rsid w:val="002756AD"/>
    <w:rsid w:val="002756EE"/>
    <w:rsid w:val="00275719"/>
    <w:rsid w:val="002757F2"/>
    <w:rsid w:val="00275802"/>
    <w:rsid w:val="002758CB"/>
    <w:rsid w:val="002758D5"/>
    <w:rsid w:val="002758FA"/>
    <w:rsid w:val="00275977"/>
    <w:rsid w:val="002759EC"/>
    <w:rsid w:val="00275A58"/>
    <w:rsid w:val="00275AAA"/>
    <w:rsid w:val="00275ABC"/>
    <w:rsid w:val="00275AE5"/>
    <w:rsid w:val="00275B37"/>
    <w:rsid w:val="00275B5A"/>
    <w:rsid w:val="00275B73"/>
    <w:rsid w:val="00275B7F"/>
    <w:rsid w:val="00275B95"/>
    <w:rsid w:val="00275B9D"/>
    <w:rsid w:val="00275BE5"/>
    <w:rsid w:val="00275C15"/>
    <w:rsid w:val="00275C3C"/>
    <w:rsid w:val="00275C44"/>
    <w:rsid w:val="00275C4B"/>
    <w:rsid w:val="00275C66"/>
    <w:rsid w:val="00275C9F"/>
    <w:rsid w:val="00275CC1"/>
    <w:rsid w:val="00275CC3"/>
    <w:rsid w:val="00275CEE"/>
    <w:rsid w:val="00275D1B"/>
    <w:rsid w:val="00275D33"/>
    <w:rsid w:val="00275D56"/>
    <w:rsid w:val="00275D67"/>
    <w:rsid w:val="00275D83"/>
    <w:rsid w:val="00275DA9"/>
    <w:rsid w:val="00275DE9"/>
    <w:rsid w:val="00275E3B"/>
    <w:rsid w:val="00275E49"/>
    <w:rsid w:val="00275E7F"/>
    <w:rsid w:val="00275ECB"/>
    <w:rsid w:val="00275F16"/>
    <w:rsid w:val="00275F91"/>
    <w:rsid w:val="00275F96"/>
    <w:rsid w:val="00275FC0"/>
    <w:rsid w:val="00275FD0"/>
    <w:rsid w:val="0027602E"/>
    <w:rsid w:val="00276072"/>
    <w:rsid w:val="0027607D"/>
    <w:rsid w:val="002760E5"/>
    <w:rsid w:val="00276102"/>
    <w:rsid w:val="0027610C"/>
    <w:rsid w:val="002761D9"/>
    <w:rsid w:val="002761F4"/>
    <w:rsid w:val="0027621B"/>
    <w:rsid w:val="00276237"/>
    <w:rsid w:val="00276270"/>
    <w:rsid w:val="002762AD"/>
    <w:rsid w:val="002762D4"/>
    <w:rsid w:val="00276318"/>
    <w:rsid w:val="00276335"/>
    <w:rsid w:val="0027634C"/>
    <w:rsid w:val="00276367"/>
    <w:rsid w:val="002763E9"/>
    <w:rsid w:val="00276416"/>
    <w:rsid w:val="00276427"/>
    <w:rsid w:val="00276492"/>
    <w:rsid w:val="002764B3"/>
    <w:rsid w:val="002764ED"/>
    <w:rsid w:val="00276505"/>
    <w:rsid w:val="00276573"/>
    <w:rsid w:val="0027657E"/>
    <w:rsid w:val="00276581"/>
    <w:rsid w:val="0027658D"/>
    <w:rsid w:val="002765BB"/>
    <w:rsid w:val="002765E6"/>
    <w:rsid w:val="002765F3"/>
    <w:rsid w:val="002765F4"/>
    <w:rsid w:val="00276620"/>
    <w:rsid w:val="00276652"/>
    <w:rsid w:val="00276677"/>
    <w:rsid w:val="002766D4"/>
    <w:rsid w:val="00276712"/>
    <w:rsid w:val="0027673D"/>
    <w:rsid w:val="0027675E"/>
    <w:rsid w:val="00276765"/>
    <w:rsid w:val="002767C0"/>
    <w:rsid w:val="00276803"/>
    <w:rsid w:val="002768F4"/>
    <w:rsid w:val="002768F8"/>
    <w:rsid w:val="00276A09"/>
    <w:rsid w:val="00276A37"/>
    <w:rsid w:val="00276A50"/>
    <w:rsid w:val="00276A53"/>
    <w:rsid w:val="00276A5B"/>
    <w:rsid w:val="00276A5F"/>
    <w:rsid w:val="00276A68"/>
    <w:rsid w:val="00276A6C"/>
    <w:rsid w:val="00276B09"/>
    <w:rsid w:val="00276B20"/>
    <w:rsid w:val="00276B66"/>
    <w:rsid w:val="00276B95"/>
    <w:rsid w:val="00276BA8"/>
    <w:rsid w:val="00276BEC"/>
    <w:rsid w:val="00276C0D"/>
    <w:rsid w:val="00276C3C"/>
    <w:rsid w:val="00276C42"/>
    <w:rsid w:val="00276C6B"/>
    <w:rsid w:val="00276C73"/>
    <w:rsid w:val="00276CAA"/>
    <w:rsid w:val="00276CC4"/>
    <w:rsid w:val="00276CD2"/>
    <w:rsid w:val="00276CD4"/>
    <w:rsid w:val="00276D01"/>
    <w:rsid w:val="00276DBA"/>
    <w:rsid w:val="00276DBF"/>
    <w:rsid w:val="00276DC8"/>
    <w:rsid w:val="00276DD4"/>
    <w:rsid w:val="00276DDB"/>
    <w:rsid w:val="00276E18"/>
    <w:rsid w:val="00276E38"/>
    <w:rsid w:val="00276E97"/>
    <w:rsid w:val="00276EAC"/>
    <w:rsid w:val="00276ED1"/>
    <w:rsid w:val="00276F0F"/>
    <w:rsid w:val="00276F31"/>
    <w:rsid w:val="00276F84"/>
    <w:rsid w:val="00276FBA"/>
    <w:rsid w:val="00276FDC"/>
    <w:rsid w:val="00277005"/>
    <w:rsid w:val="0027701E"/>
    <w:rsid w:val="0027704D"/>
    <w:rsid w:val="0027708A"/>
    <w:rsid w:val="002770A7"/>
    <w:rsid w:val="002770B9"/>
    <w:rsid w:val="002770D8"/>
    <w:rsid w:val="002770F7"/>
    <w:rsid w:val="0027710A"/>
    <w:rsid w:val="0027711D"/>
    <w:rsid w:val="0027718D"/>
    <w:rsid w:val="002771E5"/>
    <w:rsid w:val="002771E7"/>
    <w:rsid w:val="00277209"/>
    <w:rsid w:val="0027726B"/>
    <w:rsid w:val="00277395"/>
    <w:rsid w:val="002773E6"/>
    <w:rsid w:val="0027745D"/>
    <w:rsid w:val="002774B3"/>
    <w:rsid w:val="002774CD"/>
    <w:rsid w:val="0027750F"/>
    <w:rsid w:val="00277522"/>
    <w:rsid w:val="0027754C"/>
    <w:rsid w:val="0027762C"/>
    <w:rsid w:val="0027766B"/>
    <w:rsid w:val="002776AB"/>
    <w:rsid w:val="00277767"/>
    <w:rsid w:val="00277786"/>
    <w:rsid w:val="0027781B"/>
    <w:rsid w:val="00277838"/>
    <w:rsid w:val="0027785E"/>
    <w:rsid w:val="002778B1"/>
    <w:rsid w:val="002778F3"/>
    <w:rsid w:val="00277923"/>
    <w:rsid w:val="0027793A"/>
    <w:rsid w:val="00277979"/>
    <w:rsid w:val="00277996"/>
    <w:rsid w:val="002779DF"/>
    <w:rsid w:val="002779E2"/>
    <w:rsid w:val="00277A00"/>
    <w:rsid w:val="00277A86"/>
    <w:rsid w:val="00277A9A"/>
    <w:rsid w:val="00277AB3"/>
    <w:rsid w:val="00277AE5"/>
    <w:rsid w:val="00277B17"/>
    <w:rsid w:val="00277B18"/>
    <w:rsid w:val="00277B2F"/>
    <w:rsid w:val="00277B3B"/>
    <w:rsid w:val="00277B4C"/>
    <w:rsid w:val="00277B8E"/>
    <w:rsid w:val="00277B8F"/>
    <w:rsid w:val="00277BDD"/>
    <w:rsid w:val="00277C20"/>
    <w:rsid w:val="00277C3F"/>
    <w:rsid w:val="00277C67"/>
    <w:rsid w:val="00277CC5"/>
    <w:rsid w:val="00277CD9"/>
    <w:rsid w:val="00277D3C"/>
    <w:rsid w:val="00277D46"/>
    <w:rsid w:val="00277D61"/>
    <w:rsid w:val="00277D65"/>
    <w:rsid w:val="00277D80"/>
    <w:rsid w:val="00277DD7"/>
    <w:rsid w:val="00277DDF"/>
    <w:rsid w:val="00277DF3"/>
    <w:rsid w:val="00277E09"/>
    <w:rsid w:val="00277E0B"/>
    <w:rsid w:val="00277E17"/>
    <w:rsid w:val="00277F00"/>
    <w:rsid w:val="00277F03"/>
    <w:rsid w:val="00277F6C"/>
    <w:rsid w:val="00277F96"/>
    <w:rsid w:val="00277FDA"/>
    <w:rsid w:val="00280035"/>
    <w:rsid w:val="00280088"/>
    <w:rsid w:val="002800D5"/>
    <w:rsid w:val="0028012A"/>
    <w:rsid w:val="0028014F"/>
    <w:rsid w:val="00280182"/>
    <w:rsid w:val="00280198"/>
    <w:rsid w:val="0028019D"/>
    <w:rsid w:val="0028019E"/>
    <w:rsid w:val="002801D3"/>
    <w:rsid w:val="00280231"/>
    <w:rsid w:val="00280246"/>
    <w:rsid w:val="002802A1"/>
    <w:rsid w:val="002802D0"/>
    <w:rsid w:val="00280310"/>
    <w:rsid w:val="00280343"/>
    <w:rsid w:val="00280377"/>
    <w:rsid w:val="00280390"/>
    <w:rsid w:val="002803BF"/>
    <w:rsid w:val="002803E9"/>
    <w:rsid w:val="002803EE"/>
    <w:rsid w:val="0028041A"/>
    <w:rsid w:val="0028042D"/>
    <w:rsid w:val="0028045F"/>
    <w:rsid w:val="0028047F"/>
    <w:rsid w:val="002804C6"/>
    <w:rsid w:val="002804F7"/>
    <w:rsid w:val="00280515"/>
    <w:rsid w:val="00280519"/>
    <w:rsid w:val="0028057A"/>
    <w:rsid w:val="00280590"/>
    <w:rsid w:val="00280599"/>
    <w:rsid w:val="002805CA"/>
    <w:rsid w:val="002805F0"/>
    <w:rsid w:val="00280600"/>
    <w:rsid w:val="0028068C"/>
    <w:rsid w:val="00280690"/>
    <w:rsid w:val="002806B2"/>
    <w:rsid w:val="002806BC"/>
    <w:rsid w:val="0028074C"/>
    <w:rsid w:val="002807DC"/>
    <w:rsid w:val="00280839"/>
    <w:rsid w:val="0028084C"/>
    <w:rsid w:val="0028086C"/>
    <w:rsid w:val="002808CF"/>
    <w:rsid w:val="00280977"/>
    <w:rsid w:val="00280981"/>
    <w:rsid w:val="00280991"/>
    <w:rsid w:val="002809E5"/>
    <w:rsid w:val="002809FB"/>
    <w:rsid w:val="00280A60"/>
    <w:rsid w:val="00280A6C"/>
    <w:rsid w:val="00280A8B"/>
    <w:rsid w:val="00280B1D"/>
    <w:rsid w:val="00280B2B"/>
    <w:rsid w:val="00280B2C"/>
    <w:rsid w:val="00280B6A"/>
    <w:rsid w:val="00280BD1"/>
    <w:rsid w:val="00280C80"/>
    <w:rsid w:val="00280C8C"/>
    <w:rsid w:val="00280CB9"/>
    <w:rsid w:val="00280CE9"/>
    <w:rsid w:val="00280D22"/>
    <w:rsid w:val="00280D33"/>
    <w:rsid w:val="00280D50"/>
    <w:rsid w:val="00280D74"/>
    <w:rsid w:val="00280D9F"/>
    <w:rsid w:val="00280DD4"/>
    <w:rsid w:val="00280E0A"/>
    <w:rsid w:val="00280E35"/>
    <w:rsid w:val="00280E70"/>
    <w:rsid w:val="00280EB3"/>
    <w:rsid w:val="00280F23"/>
    <w:rsid w:val="00280F36"/>
    <w:rsid w:val="00280F66"/>
    <w:rsid w:val="00280FA0"/>
    <w:rsid w:val="00280FEB"/>
    <w:rsid w:val="00281004"/>
    <w:rsid w:val="0028102F"/>
    <w:rsid w:val="00281035"/>
    <w:rsid w:val="0028103F"/>
    <w:rsid w:val="0028104A"/>
    <w:rsid w:val="0028107E"/>
    <w:rsid w:val="002810A3"/>
    <w:rsid w:val="002810BD"/>
    <w:rsid w:val="00281158"/>
    <w:rsid w:val="002812BC"/>
    <w:rsid w:val="0028132A"/>
    <w:rsid w:val="00281384"/>
    <w:rsid w:val="00281390"/>
    <w:rsid w:val="0028139F"/>
    <w:rsid w:val="0028141E"/>
    <w:rsid w:val="00281445"/>
    <w:rsid w:val="0028148E"/>
    <w:rsid w:val="002814A6"/>
    <w:rsid w:val="002814B3"/>
    <w:rsid w:val="0028158B"/>
    <w:rsid w:val="0028158C"/>
    <w:rsid w:val="0028159D"/>
    <w:rsid w:val="002815A3"/>
    <w:rsid w:val="00281619"/>
    <w:rsid w:val="002816A7"/>
    <w:rsid w:val="00281712"/>
    <w:rsid w:val="00281735"/>
    <w:rsid w:val="00281738"/>
    <w:rsid w:val="00281747"/>
    <w:rsid w:val="002817B1"/>
    <w:rsid w:val="002817B6"/>
    <w:rsid w:val="00281830"/>
    <w:rsid w:val="0028187B"/>
    <w:rsid w:val="002818A3"/>
    <w:rsid w:val="002818AC"/>
    <w:rsid w:val="00281942"/>
    <w:rsid w:val="00281944"/>
    <w:rsid w:val="00281994"/>
    <w:rsid w:val="002819AF"/>
    <w:rsid w:val="00281A1E"/>
    <w:rsid w:val="00281A30"/>
    <w:rsid w:val="00281A36"/>
    <w:rsid w:val="00281A88"/>
    <w:rsid w:val="00281AC7"/>
    <w:rsid w:val="00281B11"/>
    <w:rsid w:val="00281B96"/>
    <w:rsid w:val="00281B97"/>
    <w:rsid w:val="00281BD5"/>
    <w:rsid w:val="00281C22"/>
    <w:rsid w:val="00281C46"/>
    <w:rsid w:val="00281C93"/>
    <w:rsid w:val="00281CD2"/>
    <w:rsid w:val="00281CDD"/>
    <w:rsid w:val="00281CE9"/>
    <w:rsid w:val="00281D2D"/>
    <w:rsid w:val="00281D5F"/>
    <w:rsid w:val="00281D70"/>
    <w:rsid w:val="00281DCE"/>
    <w:rsid w:val="00281DF3"/>
    <w:rsid w:val="00281E01"/>
    <w:rsid w:val="00281E17"/>
    <w:rsid w:val="00281E23"/>
    <w:rsid w:val="00281E27"/>
    <w:rsid w:val="00281E52"/>
    <w:rsid w:val="00281E7B"/>
    <w:rsid w:val="00281F2F"/>
    <w:rsid w:val="00281F4C"/>
    <w:rsid w:val="00281F87"/>
    <w:rsid w:val="00281F90"/>
    <w:rsid w:val="00281F92"/>
    <w:rsid w:val="00281F93"/>
    <w:rsid w:val="00281F97"/>
    <w:rsid w:val="00282072"/>
    <w:rsid w:val="002820EB"/>
    <w:rsid w:val="0028213D"/>
    <w:rsid w:val="0028214C"/>
    <w:rsid w:val="00282150"/>
    <w:rsid w:val="00282165"/>
    <w:rsid w:val="00282173"/>
    <w:rsid w:val="00282208"/>
    <w:rsid w:val="0028224A"/>
    <w:rsid w:val="0028226C"/>
    <w:rsid w:val="0028228F"/>
    <w:rsid w:val="0028229F"/>
    <w:rsid w:val="002822B9"/>
    <w:rsid w:val="002822CD"/>
    <w:rsid w:val="002822E2"/>
    <w:rsid w:val="0028237E"/>
    <w:rsid w:val="00282388"/>
    <w:rsid w:val="002823A7"/>
    <w:rsid w:val="002823D2"/>
    <w:rsid w:val="002823F0"/>
    <w:rsid w:val="00282403"/>
    <w:rsid w:val="00282414"/>
    <w:rsid w:val="0028242A"/>
    <w:rsid w:val="00282450"/>
    <w:rsid w:val="0028249C"/>
    <w:rsid w:val="0028249F"/>
    <w:rsid w:val="002824AE"/>
    <w:rsid w:val="002824EC"/>
    <w:rsid w:val="0028254A"/>
    <w:rsid w:val="0028254C"/>
    <w:rsid w:val="00282554"/>
    <w:rsid w:val="002825B0"/>
    <w:rsid w:val="002825BB"/>
    <w:rsid w:val="002825DA"/>
    <w:rsid w:val="00282634"/>
    <w:rsid w:val="0028263C"/>
    <w:rsid w:val="00282659"/>
    <w:rsid w:val="002826B6"/>
    <w:rsid w:val="002826F5"/>
    <w:rsid w:val="0028271D"/>
    <w:rsid w:val="00282836"/>
    <w:rsid w:val="00282842"/>
    <w:rsid w:val="00282882"/>
    <w:rsid w:val="0028288F"/>
    <w:rsid w:val="0028295F"/>
    <w:rsid w:val="0028296C"/>
    <w:rsid w:val="0028298F"/>
    <w:rsid w:val="0028299C"/>
    <w:rsid w:val="002829B5"/>
    <w:rsid w:val="002829C0"/>
    <w:rsid w:val="002829C1"/>
    <w:rsid w:val="002829EF"/>
    <w:rsid w:val="00282A01"/>
    <w:rsid w:val="00282A3B"/>
    <w:rsid w:val="00282A8C"/>
    <w:rsid w:val="00282AB2"/>
    <w:rsid w:val="00282AC7"/>
    <w:rsid w:val="00282ACF"/>
    <w:rsid w:val="00282AE7"/>
    <w:rsid w:val="00282AF5"/>
    <w:rsid w:val="00282B0D"/>
    <w:rsid w:val="00282B24"/>
    <w:rsid w:val="00282B3F"/>
    <w:rsid w:val="00282B95"/>
    <w:rsid w:val="00282BF7"/>
    <w:rsid w:val="00282CAD"/>
    <w:rsid w:val="00282CE6"/>
    <w:rsid w:val="00282D01"/>
    <w:rsid w:val="00282D92"/>
    <w:rsid w:val="00282DA7"/>
    <w:rsid w:val="00282E21"/>
    <w:rsid w:val="00282E32"/>
    <w:rsid w:val="00282E6B"/>
    <w:rsid w:val="00282E80"/>
    <w:rsid w:val="00282EB1"/>
    <w:rsid w:val="00282F12"/>
    <w:rsid w:val="00282F4F"/>
    <w:rsid w:val="00282F69"/>
    <w:rsid w:val="00282F71"/>
    <w:rsid w:val="00282FA7"/>
    <w:rsid w:val="00282FAE"/>
    <w:rsid w:val="00282FEB"/>
    <w:rsid w:val="00283088"/>
    <w:rsid w:val="0028308E"/>
    <w:rsid w:val="00283091"/>
    <w:rsid w:val="0028309A"/>
    <w:rsid w:val="0028312C"/>
    <w:rsid w:val="0028314D"/>
    <w:rsid w:val="0028319D"/>
    <w:rsid w:val="002831A0"/>
    <w:rsid w:val="002831F7"/>
    <w:rsid w:val="00283282"/>
    <w:rsid w:val="00283294"/>
    <w:rsid w:val="002832A6"/>
    <w:rsid w:val="0028330B"/>
    <w:rsid w:val="00283323"/>
    <w:rsid w:val="00283394"/>
    <w:rsid w:val="002833F9"/>
    <w:rsid w:val="00283428"/>
    <w:rsid w:val="00283439"/>
    <w:rsid w:val="00283443"/>
    <w:rsid w:val="0028348F"/>
    <w:rsid w:val="002834BE"/>
    <w:rsid w:val="002834DB"/>
    <w:rsid w:val="002834E4"/>
    <w:rsid w:val="0028350A"/>
    <w:rsid w:val="0028358A"/>
    <w:rsid w:val="002835AA"/>
    <w:rsid w:val="0028361F"/>
    <w:rsid w:val="00283620"/>
    <w:rsid w:val="0028364D"/>
    <w:rsid w:val="00283668"/>
    <w:rsid w:val="002836A0"/>
    <w:rsid w:val="002836B5"/>
    <w:rsid w:val="002836EF"/>
    <w:rsid w:val="002836FF"/>
    <w:rsid w:val="00283791"/>
    <w:rsid w:val="0028379C"/>
    <w:rsid w:val="00283859"/>
    <w:rsid w:val="00283863"/>
    <w:rsid w:val="00283868"/>
    <w:rsid w:val="00283892"/>
    <w:rsid w:val="00283893"/>
    <w:rsid w:val="002838CD"/>
    <w:rsid w:val="002838DB"/>
    <w:rsid w:val="002838F3"/>
    <w:rsid w:val="00283918"/>
    <w:rsid w:val="00283925"/>
    <w:rsid w:val="00283978"/>
    <w:rsid w:val="002839B0"/>
    <w:rsid w:val="002839ED"/>
    <w:rsid w:val="00283A60"/>
    <w:rsid w:val="00283A9B"/>
    <w:rsid w:val="00283AB3"/>
    <w:rsid w:val="00283AFB"/>
    <w:rsid w:val="00283B6E"/>
    <w:rsid w:val="00283B8A"/>
    <w:rsid w:val="00283BCF"/>
    <w:rsid w:val="00283C6C"/>
    <w:rsid w:val="00283D31"/>
    <w:rsid w:val="00283D32"/>
    <w:rsid w:val="00283D40"/>
    <w:rsid w:val="00283D84"/>
    <w:rsid w:val="00283D9A"/>
    <w:rsid w:val="00283DAC"/>
    <w:rsid w:val="00283DCC"/>
    <w:rsid w:val="00283DF0"/>
    <w:rsid w:val="00283DFD"/>
    <w:rsid w:val="00283DFF"/>
    <w:rsid w:val="00283E56"/>
    <w:rsid w:val="00283EA5"/>
    <w:rsid w:val="00283EC8"/>
    <w:rsid w:val="00283EC9"/>
    <w:rsid w:val="00283F24"/>
    <w:rsid w:val="00283F2D"/>
    <w:rsid w:val="00283F38"/>
    <w:rsid w:val="00283F4F"/>
    <w:rsid w:val="00283F66"/>
    <w:rsid w:val="00283FC7"/>
    <w:rsid w:val="0028404F"/>
    <w:rsid w:val="00284084"/>
    <w:rsid w:val="002840AC"/>
    <w:rsid w:val="002840BF"/>
    <w:rsid w:val="002840EF"/>
    <w:rsid w:val="0028411C"/>
    <w:rsid w:val="00284126"/>
    <w:rsid w:val="00284171"/>
    <w:rsid w:val="00284194"/>
    <w:rsid w:val="002841A2"/>
    <w:rsid w:val="002841AD"/>
    <w:rsid w:val="002841E6"/>
    <w:rsid w:val="00284215"/>
    <w:rsid w:val="002842B3"/>
    <w:rsid w:val="00284365"/>
    <w:rsid w:val="0028439E"/>
    <w:rsid w:val="002843CF"/>
    <w:rsid w:val="002843ED"/>
    <w:rsid w:val="00284410"/>
    <w:rsid w:val="0028449E"/>
    <w:rsid w:val="0028455E"/>
    <w:rsid w:val="0028456F"/>
    <w:rsid w:val="00284585"/>
    <w:rsid w:val="002845EC"/>
    <w:rsid w:val="00284632"/>
    <w:rsid w:val="0028463E"/>
    <w:rsid w:val="00284642"/>
    <w:rsid w:val="00284649"/>
    <w:rsid w:val="0028467F"/>
    <w:rsid w:val="002846AA"/>
    <w:rsid w:val="002846DF"/>
    <w:rsid w:val="00284732"/>
    <w:rsid w:val="002847E4"/>
    <w:rsid w:val="00284822"/>
    <w:rsid w:val="00284843"/>
    <w:rsid w:val="0028484D"/>
    <w:rsid w:val="002848C2"/>
    <w:rsid w:val="002848CB"/>
    <w:rsid w:val="002848D7"/>
    <w:rsid w:val="00284902"/>
    <w:rsid w:val="002849ED"/>
    <w:rsid w:val="00284A38"/>
    <w:rsid w:val="00284A3D"/>
    <w:rsid w:val="00284A67"/>
    <w:rsid w:val="00284AA3"/>
    <w:rsid w:val="00284B01"/>
    <w:rsid w:val="00284B3A"/>
    <w:rsid w:val="00284B78"/>
    <w:rsid w:val="00284B91"/>
    <w:rsid w:val="00284B92"/>
    <w:rsid w:val="00284BBA"/>
    <w:rsid w:val="00284C40"/>
    <w:rsid w:val="00284C45"/>
    <w:rsid w:val="00284C56"/>
    <w:rsid w:val="00284C95"/>
    <w:rsid w:val="00284D02"/>
    <w:rsid w:val="00284D16"/>
    <w:rsid w:val="00284D28"/>
    <w:rsid w:val="00284D56"/>
    <w:rsid w:val="00284D78"/>
    <w:rsid w:val="00284D8D"/>
    <w:rsid w:val="00284DA8"/>
    <w:rsid w:val="00284DBA"/>
    <w:rsid w:val="00284E2B"/>
    <w:rsid w:val="00284E54"/>
    <w:rsid w:val="00284EE6"/>
    <w:rsid w:val="00284F3B"/>
    <w:rsid w:val="00284F4B"/>
    <w:rsid w:val="00284F62"/>
    <w:rsid w:val="00285025"/>
    <w:rsid w:val="00285040"/>
    <w:rsid w:val="002850B7"/>
    <w:rsid w:val="002850BD"/>
    <w:rsid w:val="002850C6"/>
    <w:rsid w:val="0028510D"/>
    <w:rsid w:val="00285126"/>
    <w:rsid w:val="0028515E"/>
    <w:rsid w:val="00285181"/>
    <w:rsid w:val="002851D8"/>
    <w:rsid w:val="00285218"/>
    <w:rsid w:val="00285247"/>
    <w:rsid w:val="00285257"/>
    <w:rsid w:val="00285262"/>
    <w:rsid w:val="00285280"/>
    <w:rsid w:val="002852B6"/>
    <w:rsid w:val="002852DD"/>
    <w:rsid w:val="0028532D"/>
    <w:rsid w:val="0028534E"/>
    <w:rsid w:val="00285356"/>
    <w:rsid w:val="0028537C"/>
    <w:rsid w:val="002853A5"/>
    <w:rsid w:val="0028542B"/>
    <w:rsid w:val="0028544C"/>
    <w:rsid w:val="00285473"/>
    <w:rsid w:val="0028549A"/>
    <w:rsid w:val="002854C4"/>
    <w:rsid w:val="00285582"/>
    <w:rsid w:val="0028560B"/>
    <w:rsid w:val="00285647"/>
    <w:rsid w:val="00285664"/>
    <w:rsid w:val="002856D2"/>
    <w:rsid w:val="0028576E"/>
    <w:rsid w:val="002857B2"/>
    <w:rsid w:val="002857BD"/>
    <w:rsid w:val="002857C0"/>
    <w:rsid w:val="002857E2"/>
    <w:rsid w:val="002857F0"/>
    <w:rsid w:val="00285819"/>
    <w:rsid w:val="0028582D"/>
    <w:rsid w:val="002858CB"/>
    <w:rsid w:val="002858FE"/>
    <w:rsid w:val="00285912"/>
    <w:rsid w:val="00285918"/>
    <w:rsid w:val="00285948"/>
    <w:rsid w:val="00285963"/>
    <w:rsid w:val="002859BB"/>
    <w:rsid w:val="002859C6"/>
    <w:rsid w:val="00285A18"/>
    <w:rsid w:val="00285A1E"/>
    <w:rsid w:val="00285A3C"/>
    <w:rsid w:val="00285A59"/>
    <w:rsid w:val="00285A60"/>
    <w:rsid w:val="00285B02"/>
    <w:rsid w:val="00285B0C"/>
    <w:rsid w:val="00285B20"/>
    <w:rsid w:val="00285B4B"/>
    <w:rsid w:val="00285B8D"/>
    <w:rsid w:val="00285BB6"/>
    <w:rsid w:val="00285BDA"/>
    <w:rsid w:val="00285C48"/>
    <w:rsid w:val="00285C59"/>
    <w:rsid w:val="00285C91"/>
    <w:rsid w:val="00285C92"/>
    <w:rsid w:val="00285CAD"/>
    <w:rsid w:val="00285CEE"/>
    <w:rsid w:val="00285CF2"/>
    <w:rsid w:val="00285D06"/>
    <w:rsid w:val="00285D3D"/>
    <w:rsid w:val="00285E0E"/>
    <w:rsid w:val="00285E28"/>
    <w:rsid w:val="00285E6F"/>
    <w:rsid w:val="00285ED4"/>
    <w:rsid w:val="00285F12"/>
    <w:rsid w:val="00285F8D"/>
    <w:rsid w:val="00285FA3"/>
    <w:rsid w:val="00285FB1"/>
    <w:rsid w:val="00285FBE"/>
    <w:rsid w:val="00285FFA"/>
    <w:rsid w:val="00286050"/>
    <w:rsid w:val="002860B3"/>
    <w:rsid w:val="002860C7"/>
    <w:rsid w:val="00286117"/>
    <w:rsid w:val="0028611F"/>
    <w:rsid w:val="00286145"/>
    <w:rsid w:val="0028618A"/>
    <w:rsid w:val="002861A6"/>
    <w:rsid w:val="002861C3"/>
    <w:rsid w:val="00286229"/>
    <w:rsid w:val="002862EF"/>
    <w:rsid w:val="00286339"/>
    <w:rsid w:val="002863AB"/>
    <w:rsid w:val="002863DD"/>
    <w:rsid w:val="002863EA"/>
    <w:rsid w:val="002863F8"/>
    <w:rsid w:val="00286439"/>
    <w:rsid w:val="0028643A"/>
    <w:rsid w:val="0028646B"/>
    <w:rsid w:val="0028648D"/>
    <w:rsid w:val="002864E5"/>
    <w:rsid w:val="0028654A"/>
    <w:rsid w:val="0028656F"/>
    <w:rsid w:val="00286608"/>
    <w:rsid w:val="00286655"/>
    <w:rsid w:val="00286657"/>
    <w:rsid w:val="00286744"/>
    <w:rsid w:val="002867C4"/>
    <w:rsid w:val="002867E1"/>
    <w:rsid w:val="00286820"/>
    <w:rsid w:val="002868F6"/>
    <w:rsid w:val="00286909"/>
    <w:rsid w:val="0028691A"/>
    <w:rsid w:val="00286943"/>
    <w:rsid w:val="0028696A"/>
    <w:rsid w:val="00286A3F"/>
    <w:rsid w:val="00286A89"/>
    <w:rsid w:val="00286AC0"/>
    <w:rsid w:val="00286B33"/>
    <w:rsid w:val="00286B41"/>
    <w:rsid w:val="00286B86"/>
    <w:rsid w:val="00286B94"/>
    <w:rsid w:val="00286B9D"/>
    <w:rsid w:val="00286BA2"/>
    <w:rsid w:val="00286BAE"/>
    <w:rsid w:val="00286BDD"/>
    <w:rsid w:val="00286C0A"/>
    <w:rsid w:val="00286D01"/>
    <w:rsid w:val="00286D1D"/>
    <w:rsid w:val="00286D28"/>
    <w:rsid w:val="00286DD6"/>
    <w:rsid w:val="00286DD8"/>
    <w:rsid w:val="00286E05"/>
    <w:rsid w:val="00286E29"/>
    <w:rsid w:val="00286E2D"/>
    <w:rsid w:val="00286E44"/>
    <w:rsid w:val="00286E56"/>
    <w:rsid w:val="00286F20"/>
    <w:rsid w:val="00286F71"/>
    <w:rsid w:val="00286F7B"/>
    <w:rsid w:val="00286F8F"/>
    <w:rsid w:val="00286FA7"/>
    <w:rsid w:val="00286FC5"/>
    <w:rsid w:val="00286FE4"/>
    <w:rsid w:val="00287057"/>
    <w:rsid w:val="00287061"/>
    <w:rsid w:val="002870E3"/>
    <w:rsid w:val="0028712A"/>
    <w:rsid w:val="0028712D"/>
    <w:rsid w:val="00287131"/>
    <w:rsid w:val="00287147"/>
    <w:rsid w:val="0028719C"/>
    <w:rsid w:val="002871A1"/>
    <w:rsid w:val="002871AE"/>
    <w:rsid w:val="002871B9"/>
    <w:rsid w:val="002871DC"/>
    <w:rsid w:val="002871DD"/>
    <w:rsid w:val="00287298"/>
    <w:rsid w:val="00287313"/>
    <w:rsid w:val="00287332"/>
    <w:rsid w:val="00287372"/>
    <w:rsid w:val="0028742A"/>
    <w:rsid w:val="0028746A"/>
    <w:rsid w:val="002874B5"/>
    <w:rsid w:val="002874C1"/>
    <w:rsid w:val="002874C5"/>
    <w:rsid w:val="0028754A"/>
    <w:rsid w:val="0028756E"/>
    <w:rsid w:val="0028757B"/>
    <w:rsid w:val="0028759D"/>
    <w:rsid w:val="002875DA"/>
    <w:rsid w:val="002875E2"/>
    <w:rsid w:val="002875F6"/>
    <w:rsid w:val="00287610"/>
    <w:rsid w:val="0028761F"/>
    <w:rsid w:val="002876A6"/>
    <w:rsid w:val="002876C7"/>
    <w:rsid w:val="002876D9"/>
    <w:rsid w:val="002876FA"/>
    <w:rsid w:val="00287733"/>
    <w:rsid w:val="002877D6"/>
    <w:rsid w:val="002877D7"/>
    <w:rsid w:val="002877E0"/>
    <w:rsid w:val="0028785C"/>
    <w:rsid w:val="00287860"/>
    <w:rsid w:val="00287886"/>
    <w:rsid w:val="002878C1"/>
    <w:rsid w:val="00287921"/>
    <w:rsid w:val="0028792C"/>
    <w:rsid w:val="00287936"/>
    <w:rsid w:val="0028794D"/>
    <w:rsid w:val="002879FA"/>
    <w:rsid w:val="00287A12"/>
    <w:rsid w:val="00287A3D"/>
    <w:rsid w:val="00287A6F"/>
    <w:rsid w:val="00287A8F"/>
    <w:rsid w:val="00287AB8"/>
    <w:rsid w:val="00287AD5"/>
    <w:rsid w:val="00287B5E"/>
    <w:rsid w:val="00287B63"/>
    <w:rsid w:val="00287B7D"/>
    <w:rsid w:val="00287BD6"/>
    <w:rsid w:val="00287BEA"/>
    <w:rsid w:val="00287C52"/>
    <w:rsid w:val="00287C96"/>
    <w:rsid w:val="00287CBC"/>
    <w:rsid w:val="00287CE2"/>
    <w:rsid w:val="00287D22"/>
    <w:rsid w:val="00287D2C"/>
    <w:rsid w:val="00287D58"/>
    <w:rsid w:val="00287D59"/>
    <w:rsid w:val="00287D77"/>
    <w:rsid w:val="00287D95"/>
    <w:rsid w:val="00287D99"/>
    <w:rsid w:val="00287DC5"/>
    <w:rsid w:val="00287E13"/>
    <w:rsid w:val="00287E3C"/>
    <w:rsid w:val="00287EEE"/>
    <w:rsid w:val="00287F4D"/>
    <w:rsid w:val="00287F55"/>
    <w:rsid w:val="00287FA7"/>
    <w:rsid w:val="00287FE5"/>
    <w:rsid w:val="00287FF7"/>
    <w:rsid w:val="00290065"/>
    <w:rsid w:val="0029007A"/>
    <w:rsid w:val="00290088"/>
    <w:rsid w:val="002900AC"/>
    <w:rsid w:val="002900F5"/>
    <w:rsid w:val="0029018C"/>
    <w:rsid w:val="002901EF"/>
    <w:rsid w:val="0029021B"/>
    <w:rsid w:val="002902CE"/>
    <w:rsid w:val="0029038D"/>
    <w:rsid w:val="002903BD"/>
    <w:rsid w:val="002903D0"/>
    <w:rsid w:val="002903D7"/>
    <w:rsid w:val="00290436"/>
    <w:rsid w:val="00290448"/>
    <w:rsid w:val="0029047D"/>
    <w:rsid w:val="002904A1"/>
    <w:rsid w:val="002904F0"/>
    <w:rsid w:val="00290523"/>
    <w:rsid w:val="00290527"/>
    <w:rsid w:val="00290545"/>
    <w:rsid w:val="00290559"/>
    <w:rsid w:val="00290583"/>
    <w:rsid w:val="002905EE"/>
    <w:rsid w:val="002905F3"/>
    <w:rsid w:val="00290612"/>
    <w:rsid w:val="0029065C"/>
    <w:rsid w:val="002906A1"/>
    <w:rsid w:val="002906C8"/>
    <w:rsid w:val="00290768"/>
    <w:rsid w:val="002907F3"/>
    <w:rsid w:val="0029082C"/>
    <w:rsid w:val="0029084A"/>
    <w:rsid w:val="00290886"/>
    <w:rsid w:val="00290897"/>
    <w:rsid w:val="002908DB"/>
    <w:rsid w:val="002908F2"/>
    <w:rsid w:val="002908F7"/>
    <w:rsid w:val="002909C9"/>
    <w:rsid w:val="00290A0A"/>
    <w:rsid w:val="00290A17"/>
    <w:rsid w:val="00290AA4"/>
    <w:rsid w:val="00290AC1"/>
    <w:rsid w:val="00290AE3"/>
    <w:rsid w:val="00290AFB"/>
    <w:rsid w:val="00290B1C"/>
    <w:rsid w:val="00290BE1"/>
    <w:rsid w:val="00290C14"/>
    <w:rsid w:val="00290C96"/>
    <w:rsid w:val="00290CB3"/>
    <w:rsid w:val="00290CD3"/>
    <w:rsid w:val="00290CF7"/>
    <w:rsid w:val="00290D31"/>
    <w:rsid w:val="00290D45"/>
    <w:rsid w:val="00290D83"/>
    <w:rsid w:val="00290DBB"/>
    <w:rsid w:val="00290DE6"/>
    <w:rsid w:val="00290DE7"/>
    <w:rsid w:val="00290E68"/>
    <w:rsid w:val="00290F89"/>
    <w:rsid w:val="0029105D"/>
    <w:rsid w:val="002910B8"/>
    <w:rsid w:val="002910C3"/>
    <w:rsid w:val="002910E8"/>
    <w:rsid w:val="002910FF"/>
    <w:rsid w:val="00291101"/>
    <w:rsid w:val="0029110D"/>
    <w:rsid w:val="00291132"/>
    <w:rsid w:val="00291134"/>
    <w:rsid w:val="002911A0"/>
    <w:rsid w:val="002911BA"/>
    <w:rsid w:val="002911D4"/>
    <w:rsid w:val="00291276"/>
    <w:rsid w:val="00291277"/>
    <w:rsid w:val="00291278"/>
    <w:rsid w:val="002912CC"/>
    <w:rsid w:val="00291315"/>
    <w:rsid w:val="00291353"/>
    <w:rsid w:val="0029138A"/>
    <w:rsid w:val="002913F4"/>
    <w:rsid w:val="00291405"/>
    <w:rsid w:val="00291419"/>
    <w:rsid w:val="00291423"/>
    <w:rsid w:val="00291450"/>
    <w:rsid w:val="00291485"/>
    <w:rsid w:val="00291493"/>
    <w:rsid w:val="002914B5"/>
    <w:rsid w:val="002914BF"/>
    <w:rsid w:val="002914C2"/>
    <w:rsid w:val="002914C3"/>
    <w:rsid w:val="002914EC"/>
    <w:rsid w:val="00291516"/>
    <w:rsid w:val="00291540"/>
    <w:rsid w:val="0029156F"/>
    <w:rsid w:val="002915A7"/>
    <w:rsid w:val="002915E6"/>
    <w:rsid w:val="002915F5"/>
    <w:rsid w:val="00291636"/>
    <w:rsid w:val="00291637"/>
    <w:rsid w:val="002916A7"/>
    <w:rsid w:val="002916CF"/>
    <w:rsid w:val="002916EB"/>
    <w:rsid w:val="00291708"/>
    <w:rsid w:val="00291710"/>
    <w:rsid w:val="00291747"/>
    <w:rsid w:val="00291779"/>
    <w:rsid w:val="002917C7"/>
    <w:rsid w:val="002917D3"/>
    <w:rsid w:val="002917DD"/>
    <w:rsid w:val="002917EA"/>
    <w:rsid w:val="00291817"/>
    <w:rsid w:val="00291818"/>
    <w:rsid w:val="0029181D"/>
    <w:rsid w:val="0029188F"/>
    <w:rsid w:val="002918E6"/>
    <w:rsid w:val="00291922"/>
    <w:rsid w:val="00291931"/>
    <w:rsid w:val="0029199D"/>
    <w:rsid w:val="002919A6"/>
    <w:rsid w:val="002919BB"/>
    <w:rsid w:val="002919DA"/>
    <w:rsid w:val="002919DC"/>
    <w:rsid w:val="00291A38"/>
    <w:rsid w:val="00291A68"/>
    <w:rsid w:val="00291AEF"/>
    <w:rsid w:val="00291B1B"/>
    <w:rsid w:val="00291B84"/>
    <w:rsid w:val="00291B95"/>
    <w:rsid w:val="00291BD1"/>
    <w:rsid w:val="00291C1C"/>
    <w:rsid w:val="00291C67"/>
    <w:rsid w:val="00291C8C"/>
    <w:rsid w:val="00291CC2"/>
    <w:rsid w:val="00291D3D"/>
    <w:rsid w:val="00291D47"/>
    <w:rsid w:val="00291D75"/>
    <w:rsid w:val="00291E01"/>
    <w:rsid w:val="00291E21"/>
    <w:rsid w:val="00291E44"/>
    <w:rsid w:val="00291E56"/>
    <w:rsid w:val="00291EA6"/>
    <w:rsid w:val="00291EB0"/>
    <w:rsid w:val="00291ED9"/>
    <w:rsid w:val="00291EE1"/>
    <w:rsid w:val="00291F17"/>
    <w:rsid w:val="00291F2E"/>
    <w:rsid w:val="00291FC1"/>
    <w:rsid w:val="00291FDE"/>
    <w:rsid w:val="00291FE9"/>
    <w:rsid w:val="00292035"/>
    <w:rsid w:val="0029205F"/>
    <w:rsid w:val="00292098"/>
    <w:rsid w:val="002920A2"/>
    <w:rsid w:val="002920BF"/>
    <w:rsid w:val="002920E7"/>
    <w:rsid w:val="002920F8"/>
    <w:rsid w:val="00292103"/>
    <w:rsid w:val="002921B6"/>
    <w:rsid w:val="00292218"/>
    <w:rsid w:val="0029223B"/>
    <w:rsid w:val="00292264"/>
    <w:rsid w:val="00292283"/>
    <w:rsid w:val="00292285"/>
    <w:rsid w:val="0029228D"/>
    <w:rsid w:val="0029228E"/>
    <w:rsid w:val="002922E0"/>
    <w:rsid w:val="002922F8"/>
    <w:rsid w:val="0029231E"/>
    <w:rsid w:val="00292352"/>
    <w:rsid w:val="0029236B"/>
    <w:rsid w:val="00292380"/>
    <w:rsid w:val="0029239E"/>
    <w:rsid w:val="002923A0"/>
    <w:rsid w:val="002923B6"/>
    <w:rsid w:val="002923CD"/>
    <w:rsid w:val="00292403"/>
    <w:rsid w:val="00292462"/>
    <w:rsid w:val="0029246C"/>
    <w:rsid w:val="002924AE"/>
    <w:rsid w:val="002924BC"/>
    <w:rsid w:val="002924F9"/>
    <w:rsid w:val="00292572"/>
    <w:rsid w:val="00292614"/>
    <w:rsid w:val="00292660"/>
    <w:rsid w:val="002926AE"/>
    <w:rsid w:val="002926CE"/>
    <w:rsid w:val="00292777"/>
    <w:rsid w:val="00292790"/>
    <w:rsid w:val="002927C3"/>
    <w:rsid w:val="002927F3"/>
    <w:rsid w:val="00292841"/>
    <w:rsid w:val="002928AB"/>
    <w:rsid w:val="00292915"/>
    <w:rsid w:val="00292922"/>
    <w:rsid w:val="00292928"/>
    <w:rsid w:val="002929AC"/>
    <w:rsid w:val="002929AD"/>
    <w:rsid w:val="002929BF"/>
    <w:rsid w:val="002929EA"/>
    <w:rsid w:val="00292A88"/>
    <w:rsid w:val="00292A8F"/>
    <w:rsid w:val="00292B42"/>
    <w:rsid w:val="00292B6A"/>
    <w:rsid w:val="00292C29"/>
    <w:rsid w:val="00292C36"/>
    <w:rsid w:val="00292C3E"/>
    <w:rsid w:val="00292C7F"/>
    <w:rsid w:val="00292C9B"/>
    <w:rsid w:val="00292D61"/>
    <w:rsid w:val="00292D64"/>
    <w:rsid w:val="00292D66"/>
    <w:rsid w:val="00292DB0"/>
    <w:rsid w:val="00292E61"/>
    <w:rsid w:val="00292E6C"/>
    <w:rsid w:val="00292E9D"/>
    <w:rsid w:val="00292EB8"/>
    <w:rsid w:val="00292F2F"/>
    <w:rsid w:val="00292F43"/>
    <w:rsid w:val="00292F64"/>
    <w:rsid w:val="00292FC8"/>
    <w:rsid w:val="00292FF1"/>
    <w:rsid w:val="00293081"/>
    <w:rsid w:val="002930A4"/>
    <w:rsid w:val="002930A8"/>
    <w:rsid w:val="002930C1"/>
    <w:rsid w:val="002930CF"/>
    <w:rsid w:val="002930F4"/>
    <w:rsid w:val="002930FE"/>
    <w:rsid w:val="00293104"/>
    <w:rsid w:val="0029311D"/>
    <w:rsid w:val="00293125"/>
    <w:rsid w:val="002931E2"/>
    <w:rsid w:val="002931F1"/>
    <w:rsid w:val="0029320F"/>
    <w:rsid w:val="00293250"/>
    <w:rsid w:val="002932B5"/>
    <w:rsid w:val="00293315"/>
    <w:rsid w:val="0029332A"/>
    <w:rsid w:val="0029334E"/>
    <w:rsid w:val="0029337C"/>
    <w:rsid w:val="002933D4"/>
    <w:rsid w:val="002933ED"/>
    <w:rsid w:val="002933F1"/>
    <w:rsid w:val="00293421"/>
    <w:rsid w:val="00293422"/>
    <w:rsid w:val="0029342E"/>
    <w:rsid w:val="00293495"/>
    <w:rsid w:val="002934A2"/>
    <w:rsid w:val="002934AB"/>
    <w:rsid w:val="00293533"/>
    <w:rsid w:val="002935BA"/>
    <w:rsid w:val="00293634"/>
    <w:rsid w:val="00293649"/>
    <w:rsid w:val="00293690"/>
    <w:rsid w:val="00293694"/>
    <w:rsid w:val="002936BA"/>
    <w:rsid w:val="002936BC"/>
    <w:rsid w:val="002936DF"/>
    <w:rsid w:val="00293783"/>
    <w:rsid w:val="002937AA"/>
    <w:rsid w:val="002937AB"/>
    <w:rsid w:val="002937AF"/>
    <w:rsid w:val="002937B0"/>
    <w:rsid w:val="002937C2"/>
    <w:rsid w:val="002937D2"/>
    <w:rsid w:val="002937F6"/>
    <w:rsid w:val="00293817"/>
    <w:rsid w:val="00293840"/>
    <w:rsid w:val="0029387C"/>
    <w:rsid w:val="002938AA"/>
    <w:rsid w:val="002938F8"/>
    <w:rsid w:val="002938FD"/>
    <w:rsid w:val="0029392D"/>
    <w:rsid w:val="0029393F"/>
    <w:rsid w:val="00293944"/>
    <w:rsid w:val="00293960"/>
    <w:rsid w:val="00293977"/>
    <w:rsid w:val="0029397E"/>
    <w:rsid w:val="00293993"/>
    <w:rsid w:val="002939A8"/>
    <w:rsid w:val="002939A9"/>
    <w:rsid w:val="002939AA"/>
    <w:rsid w:val="002939AE"/>
    <w:rsid w:val="002939F4"/>
    <w:rsid w:val="00293A36"/>
    <w:rsid w:val="00293A47"/>
    <w:rsid w:val="00293A56"/>
    <w:rsid w:val="00293A97"/>
    <w:rsid w:val="00293AF0"/>
    <w:rsid w:val="00293C1C"/>
    <w:rsid w:val="00293CDE"/>
    <w:rsid w:val="00293D36"/>
    <w:rsid w:val="00293D63"/>
    <w:rsid w:val="00293D95"/>
    <w:rsid w:val="00293DD5"/>
    <w:rsid w:val="00293DDC"/>
    <w:rsid w:val="00293E0B"/>
    <w:rsid w:val="00293ECA"/>
    <w:rsid w:val="00293F55"/>
    <w:rsid w:val="00293FCD"/>
    <w:rsid w:val="00293FE4"/>
    <w:rsid w:val="00294020"/>
    <w:rsid w:val="00294056"/>
    <w:rsid w:val="00294061"/>
    <w:rsid w:val="00294065"/>
    <w:rsid w:val="00294158"/>
    <w:rsid w:val="0029420B"/>
    <w:rsid w:val="00294239"/>
    <w:rsid w:val="00294245"/>
    <w:rsid w:val="00294277"/>
    <w:rsid w:val="00294284"/>
    <w:rsid w:val="00294322"/>
    <w:rsid w:val="00294326"/>
    <w:rsid w:val="00294398"/>
    <w:rsid w:val="00294399"/>
    <w:rsid w:val="002943DE"/>
    <w:rsid w:val="00294418"/>
    <w:rsid w:val="002944ED"/>
    <w:rsid w:val="002944F6"/>
    <w:rsid w:val="00294525"/>
    <w:rsid w:val="00294526"/>
    <w:rsid w:val="00294536"/>
    <w:rsid w:val="00294538"/>
    <w:rsid w:val="0029453C"/>
    <w:rsid w:val="0029455F"/>
    <w:rsid w:val="0029457F"/>
    <w:rsid w:val="0029459F"/>
    <w:rsid w:val="00294607"/>
    <w:rsid w:val="00294635"/>
    <w:rsid w:val="002946E6"/>
    <w:rsid w:val="00294792"/>
    <w:rsid w:val="002947E9"/>
    <w:rsid w:val="00294838"/>
    <w:rsid w:val="0029486C"/>
    <w:rsid w:val="00294872"/>
    <w:rsid w:val="00294889"/>
    <w:rsid w:val="00294897"/>
    <w:rsid w:val="002948C3"/>
    <w:rsid w:val="002948C8"/>
    <w:rsid w:val="00294966"/>
    <w:rsid w:val="002949ED"/>
    <w:rsid w:val="00294A12"/>
    <w:rsid w:val="00294A1A"/>
    <w:rsid w:val="00294A21"/>
    <w:rsid w:val="00294A26"/>
    <w:rsid w:val="00294A4F"/>
    <w:rsid w:val="00294AD0"/>
    <w:rsid w:val="00294AD6"/>
    <w:rsid w:val="00294B0B"/>
    <w:rsid w:val="00294B0D"/>
    <w:rsid w:val="00294B25"/>
    <w:rsid w:val="00294B76"/>
    <w:rsid w:val="00294B7B"/>
    <w:rsid w:val="00294B7E"/>
    <w:rsid w:val="00294BBB"/>
    <w:rsid w:val="00294BF7"/>
    <w:rsid w:val="00294C1F"/>
    <w:rsid w:val="00294CEB"/>
    <w:rsid w:val="00294D2A"/>
    <w:rsid w:val="00294D70"/>
    <w:rsid w:val="00294DFB"/>
    <w:rsid w:val="00294E1C"/>
    <w:rsid w:val="00294E6D"/>
    <w:rsid w:val="00294ECB"/>
    <w:rsid w:val="00294F15"/>
    <w:rsid w:val="00294F75"/>
    <w:rsid w:val="00294FA0"/>
    <w:rsid w:val="00294FA1"/>
    <w:rsid w:val="00294FC0"/>
    <w:rsid w:val="00294FCB"/>
    <w:rsid w:val="00294FE7"/>
    <w:rsid w:val="00294FE9"/>
    <w:rsid w:val="00294FF1"/>
    <w:rsid w:val="00295061"/>
    <w:rsid w:val="00295063"/>
    <w:rsid w:val="00295068"/>
    <w:rsid w:val="00295147"/>
    <w:rsid w:val="0029515D"/>
    <w:rsid w:val="002951A0"/>
    <w:rsid w:val="002951FF"/>
    <w:rsid w:val="00295232"/>
    <w:rsid w:val="00295259"/>
    <w:rsid w:val="0029527D"/>
    <w:rsid w:val="00295345"/>
    <w:rsid w:val="00295378"/>
    <w:rsid w:val="00295389"/>
    <w:rsid w:val="00295409"/>
    <w:rsid w:val="00295447"/>
    <w:rsid w:val="00295475"/>
    <w:rsid w:val="00295478"/>
    <w:rsid w:val="002954D4"/>
    <w:rsid w:val="00295534"/>
    <w:rsid w:val="0029555E"/>
    <w:rsid w:val="00295565"/>
    <w:rsid w:val="00295567"/>
    <w:rsid w:val="002955DD"/>
    <w:rsid w:val="002955ED"/>
    <w:rsid w:val="002955F1"/>
    <w:rsid w:val="002955FD"/>
    <w:rsid w:val="00295647"/>
    <w:rsid w:val="00295649"/>
    <w:rsid w:val="0029566B"/>
    <w:rsid w:val="00295696"/>
    <w:rsid w:val="002956A6"/>
    <w:rsid w:val="002956C6"/>
    <w:rsid w:val="002956D1"/>
    <w:rsid w:val="002956F6"/>
    <w:rsid w:val="002956FD"/>
    <w:rsid w:val="00295716"/>
    <w:rsid w:val="0029577F"/>
    <w:rsid w:val="002957E0"/>
    <w:rsid w:val="00295853"/>
    <w:rsid w:val="00295862"/>
    <w:rsid w:val="0029588E"/>
    <w:rsid w:val="002958CA"/>
    <w:rsid w:val="002958F2"/>
    <w:rsid w:val="00295903"/>
    <w:rsid w:val="00295919"/>
    <w:rsid w:val="00295924"/>
    <w:rsid w:val="00295970"/>
    <w:rsid w:val="002959A3"/>
    <w:rsid w:val="00295A02"/>
    <w:rsid w:val="00295A12"/>
    <w:rsid w:val="00295A8D"/>
    <w:rsid w:val="00295AB3"/>
    <w:rsid w:val="00295AF0"/>
    <w:rsid w:val="00295BC9"/>
    <w:rsid w:val="00295C01"/>
    <w:rsid w:val="00295C07"/>
    <w:rsid w:val="00295C11"/>
    <w:rsid w:val="00295C56"/>
    <w:rsid w:val="00295C9F"/>
    <w:rsid w:val="00295CF9"/>
    <w:rsid w:val="00295D43"/>
    <w:rsid w:val="00295D56"/>
    <w:rsid w:val="00295DA7"/>
    <w:rsid w:val="00295DE7"/>
    <w:rsid w:val="00295E0D"/>
    <w:rsid w:val="00295ED5"/>
    <w:rsid w:val="00295F2A"/>
    <w:rsid w:val="00295F4B"/>
    <w:rsid w:val="00295F70"/>
    <w:rsid w:val="00295FB4"/>
    <w:rsid w:val="00295FE8"/>
    <w:rsid w:val="00296023"/>
    <w:rsid w:val="00296037"/>
    <w:rsid w:val="00296063"/>
    <w:rsid w:val="0029607B"/>
    <w:rsid w:val="0029607E"/>
    <w:rsid w:val="00296156"/>
    <w:rsid w:val="0029615F"/>
    <w:rsid w:val="0029616F"/>
    <w:rsid w:val="002961D3"/>
    <w:rsid w:val="002961D8"/>
    <w:rsid w:val="002962D3"/>
    <w:rsid w:val="002962D9"/>
    <w:rsid w:val="002962DA"/>
    <w:rsid w:val="00296364"/>
    <w:rsid w:val="002963DE"/>
    <w:rsid w:val="00296421"/>
    <w:rsid w:val="00296450"/>
    <w:rsid w:val="00296464"/>
    <w:rsid w:val="0029647C"/>
    <w:rsid w:val="00296481"/>
    <w:rsid w:val="002964A2"/>
    <w:rsid w:val="002964A5"/>
    <w:rsid w:val="002964B8"/>
    <w:rsid w:val="002964FA"/>
    <w:rsid w:val="00296510"/>
    <w:rsid w:val="00296536"/>
    <w:rsid w:val="0029653F"/>
    <w:rsid w:val="0029658C"/>
    <w:rsid w:val="002965A8"/>
    <w:rsid w:val="00296602"/>
    <w:rsid w:val="0029661E"/>
    <w:rsid w:val="00296634"/>
    <w:rsid w:val="00296685"/>
    <w:rsid w:val="002966D8"/>
    <w:rsid w:val="002966DB"/>
    <w:rsid w:val="002966E2"/>
    <w:rsid w:val="002966FD"/>
    <w:rsid w:val="0029670C"/>
    <w:rsid w:val="0029672A"/>
    <w:rsid w:val="00296739"/>
    <w:rsid w:val="00296756"/>
    <w:rsid w:val="0029675C"/>
    <w:rsid w:val="0029677E"/>
    <w:rsid w:val="002967C9"/>
    <w:rsid w:val="002967FF"/>
    <w:rsid w:val="00296865"/>
    <w:rsid w:val="002968E3"/>
    <w:rsid w:val="00296973"/>
    <w:rsid w:val="002969E1"/>
    <w:rsid w:val="002969F4"/>
    <w:rsid w:val="00296A06"/>
    <w:rsid w:val="00296A31"/>
    <w:rsid w:val="00296A51"/>
    <w:rsid w:val="00296A67"/>
    <w:rsid w:val="00296AA5"/>
    <w:rsid w:val="00296B32"/>
    <w:rsid w:val="00296B97"/>
    <w:rsid w:val="00296BAA"/>
    <w:rsid w:val="00296BE1"/>
    <w:rsid w:val="00296BF1"/>
    <w:rsid w:val="00296C26"/>
    <w:rsid w:val="00296C36"/>
    <w:rsid w:val="00296C61"/>
    <w:rsid w:val="00296C6B"/>
    <w:rsid w:val="00296C6C"/>
    <w:rsid w:val="00296CDD"/>
    <w:rsid w:val="00296CED"/>
    <w:rsid w:val="00296CF7"/>
    <w:rsid w:val="00296CFC"/>
    <w:rsid w:val="00296D0A"/>
    <w:rsid w:val="00296D2E"/>
    <w:rsid w:val="00296DBD"/>
    <w:rsid w:val="00296E41"/>
    <w:rsid w:val="00296E4A"/>
    <w:rsid w:val="00296E4F"/>
    <w:rsid w:val="00296E69"/>
    <w:rsid w:val="00296E95"/>
    <w:rsid w:val="00296EA9"/>
    <w:rsid w:val="00296F15"/>
    <w:rsid w:val="00296F6D"/>
    <w:rsid w:val="00296F6F"/>
    <w:rsid w:val="00296F82"/>
    <w:rsid w:val="00296FA9"/>
    <w:rsid w:val="00296FF3"/>
    <w:rsid w:val="00296FFA"/>
    <w:rsid w:val="00297009"/>
    <w:rsid w:val="00297039"/>
    <w:rsid w:val="0029704D"/>
    <w:rsid w:val="0029705D"/>
    <w:rsid w:val="002970C7"/>
    <w:rsid w:val="002970D3"/>
    <w:rsid w:val="00297113"/>
    <w:rsid w:val="00297131"/>
    <w:rsid w:val="00297137"/>
    <w:rsid w:val="00297173"/>
    <w:rsid w:val="0029718F"/>
    <w:rsid w:val="00297206"/>
    <w:rsid w:val="00297235"/>
    <w:rsid w:val="00297295"/>
    <w:rsid w:val="00297320"/>
    <w:rsid w:val="00297366"/>
    <w:rsid w:val="002973F6"/>
    <w:rsid w:val="00297400"/>
    <w:rsid w:val="0029743E"/>
    <w:rsid w:val="002974A7"/>
    <w:rsid w:val="002974C7"/>
    <w:rsid w:val="002974F6"/>
    <w:rsid w:val="00297505"/>
    <w:rsid w:val="00297515"/>
    <w:rsid w:val="00297525"/>
    <w:rsid w:val="00297557"/>
    <w:rsid w:val="00297568"/>
    <w:rsid w:val="00297580"/>
    <w:rsid w:val="00297643"/>
    <w:rsid w:val="00297666"/>
    <w:rsid w:val="00297686"/>
    <w:rsid w:val="0029769B"/>
    <w:rsid w:val="002976BB"/>
    <w:rsid w:val="00297706"/>
    <w:rsid w:val="0029772E"/>
    <w:rsid w:val="00297747"/>
    <w:rsid w:val="0029774E"/>
    <w:rsid w:val="00297761"/>
    <w:rsid w:val="0029778E"/>
    <w:rsid w:val="002977B0"/>
    <w:rsid w:val="002978B9"/>
    <w:rsid w:val="002978F9"/>
    <w:rsid w:val="0029793A"/>
    <w:rsid w:val="00297940"/>
    <w:rsid w:val="00297976"/>
    <w:rsid w:val="00297983"/>
    <w:rsid w:val="002979C2"/>
    <w:rsid w:val="00297A5D"/>
    <w:rsid w:val="00297AF7"/>
    <w:rsid w:val="00297B72"/>
    <w:rsid w:val="00297BB2"/>
    <w:rsid w:val="00297BDA"/>
    <w:rsid w:val="00297C03"/>
    <w:rsid w:val="00297C96"/>
    <w:rsid w:val="00297CAF"/>
    <w:rsid w:val="00297CC9"/>
    <w:rsid w:val="00297D12"/>
    <w:rsid w:val="00297D4D"/>
    <w:rsid w:val="00297D66"/>
    <w:rsid w:val="00297DC6"/>
    <w:rsid w:val="00297E47"/>
    <w:rsid w:val="00297ED0"/>
    <w:rsid w:val="00297EF9"/>
    <w:rsid w:val="00297F22"/>
    <w:rsid w:val="00297F5E"/>
    <w:rsid w:val="00297F63"/>
    <w:rsid w:val="002A009C"/>
    <w:rsid w:val="002A012E"/>
    <w:rsid w:val="002A01A4"/>
    <w:rsid w:val="002A01CE"/>
    <w:rsid w:val="002A01D4"/>
    <w:rsid w:val="002A0269"/>
    <w:rsid w:val="002A02AD"/>
    <w:rsid w:val="002A02C1"/>
    <w:rsid w:val="002A02D5"/>
    <w:rsid w:val="002A02FB"/>
    <w:rsid w:val="002A0338"/>
    <w:rsid w:val="002A03AE"/>
    <w:rsid w:val="002A0402"/>
    <w:rsid w:val="002A0479"/>
    <w:rsid w:val="002A04A4"/>
    <w:rsid w:val="002A04CE"/>
    <w:rsid w:val="002A0529"/>
    <w:rsid w:val="002A0561"/>
    <w:rsid w:val="002A0615"/>
    <w:rsid w:val="002A061A"/>
    <w:rsid w:val="002A0623"/>
    <w:rsid w:val="002A063C"/>
    <w:rsid w:val="002A065E"/>
    <w:rsid w:val="002A06BE"/>
    <w:rsid w:val="002A0716"/>
    <w:rsid w:val="002A0739"/>
    <w:rsid w:val="002A0749"/>
    <w:rsid w:val="002A0755"/>
    <w:rsid w:val="002A075D"/>
    <w:rsid w:val="002A07B4"/>
    <w:rsid w:val="002A085C"/>
    <w:rsid w:val="002A0860"/>
    <w:rsid w:val="002A0866"/>
    <w:rsid w:val="002A0885"/>
    <w:rsid w:val="002A08FD"/>
    <w:rsid w:val="002A092E"/>
    <w:rsid w:val="002A0946"/>
    <w:rsid w:val="002A0955"/>
    <w:rsid w:val="002A0997"/>
    <w:rsid w:val="002A09B7"/>
    <w:rsid w:val="002A09E0"/>
    <w:rsid w:val="002A09E6"/>
    <w:rsid w:val="002A09EF"/>
    <w:rsid w:val="002A09F1"/>
    <w:rsid w:val="002A0A12"/>
    <w:rsid w:val="002A0A22"/>
    <w:rsid w:val="002A0A76"/>
    <w:rsid w:val="002A0A8A"/>
    <w:rsid w:val="002A0A9A"/>
    <w:rsid w:val="002A0B55"/>
    <w:rsid w:val="002A0B56"/>
    <w:rsid w:val="002A0B77"/>
    <w:rsid w:val="002A0BA2"/>
    <w:rsid w:val="002A0BDE"/>
    <w:rsid w:val="002A0BF4"/>
    <w:rsid w:val="002A0C75"/>
    <w:rsid w:val="002A0CE5"/>
    <w:rsid w:val="002A0CEB"/>
    <w:rsid w:val="002A0D45"/>
    <w:rsid w:val="002A0D63"/>
    <w:rsid w:val="002A0E64"/>
    <w:rsid w:val="002A0E85"/>
    <w:rsid w:val="002A0E97"/>
    <w:rsid w:val="002A0EDB"/>
    <w:rsid w:val="002A0F08"/>
    <w:rsid w:val="002A0F98"/>
    <w:rsid w:val="002A0FA3"/>
    <w:rsid w:val="002A1008"/>
    <w:rsid w:val="002A1089"/>
    <w:rsid w:val="002A1090"/>
    <w:rsid w:val="002A10B1"/>
    <w:rsid w:val="002A10C2"/>
    <w:rsid w:val="002A1157"/>
    <w:rsid w:val="002A117F"/>
    <w:rsid w:val="002A1194"/>
    <w:rsid w:val="002A1196"/>
    <w:rsid w:val="002A11B7"/>
    <w:rsid w:val="002A11F5"/>
    <w:rsid w:val="002A125E"/>
    <w:rsid w:val="002A126A"/>
    <w:rsid w:val="002A12D6"/>
    <w:rsid w:val="002A12FA"/>
    <w:rsid w:val="002A1308"/>
    <w:rsid w:val="002A1324"/>
    <w:rsid w:val="002A1328"/>
    <w:rsid w:val="002A134D"/>
    <w:rsid w:val="002A137C"/>
    <w:rsid w:val="002A137E"/>
    <w:rsid w:val="002A13D3"/>
    <w:rsid w:val="002A13E6"/>
    <w:rsid w:val="002A13E9"/>
    <w:rsid w:val="002A13F3"/>
    <w:rsid w:val="002A1418"/>
    <w:rsid w:val="002A1460"/>
    <w:rsid w:val="002A147A"/>
    <w:rsid w:val="002A14B3"/>
    <w:rsid w:val="002A152C"/>
    <w:rsid w:val="002A1533"/>
    <w:rsid w:val="002A1557"/>
    <w:rsid w:val="002A1558"/>
    <w:rsid w:val="002A1560"/>
    <w:rsid w:val="002A1566"/>
    <w:rsid w:val="002A159A"/>
    <w:rsid w:val="002A15A5"/>
    <w:rsid w:val="002A15D8"/>
    <w:rsid w:val="002A160E"/>
    <w:rsid w:val="002A1637"/>
    <w:rsid w:val="002A1657"/>
    <w:rsid w:val="002A16A3"/>
    <w:rsid w:val="002A16BE"/>
    <w:rsid w:val="002A1702"/>
    <w:rsid w:val="002A174E"/>
    <w:rsid w:val="002A17AB"/>
    <w:rsid w:val="002A17EF"/>
    <w:rsid w:val="002A1889"/>
    <w:rsid w:val="002A189F"/>
    <w:rsid w:val="002A18B2"/>
    <w:rsid w:val="002A190C"/>
    <w:rsid w:val="002A1961"/>
    <w:rsid w:val="002A19AF"/>
    <w:rsid w:val="002A19EE"/>
    <w:rsid w:val="002A1A5B"/>
    <w:rsid w:val="002A1A80"/>
    <w:rsid w:val="002A1A8A"/>
    <w:rsid w:val="002A1AB3"/>
    <w:rsid w:val="002A1AD8"/>
    <w:rsid w:val="002A1AE4"/>
    <w:rsid w:val="002A1B82"/>
    <w:rsid w:val="002A1BD6"/>
    <w:rsid w:val="002A1BF6"/>
    <w:rsid w:val="002A1BF9"/>
    <w:rsid w:val="002A1C15"/>
    <w:rsid w:val="002A1C3C"/>
    <w:rsid w:val="002A1CB9"/>
    <w:rsid w:val="002A1CBD"/>
    <w:rsid w:val="002A1CEF"/>
    <w:rsid w:val="002A1D39"/>
    <w:rsid w:val="002A1DA9"/>
    <w:rsid w:val="002A1DE5"/>
    <w:rsid w:val="002A1E5B"/>
    <w:rsid w:val="002A1E81"/>
    <w:rsid w:val="002A1E93"/>
    <w:rsid w:val="002A1E9B"/>
    <w:rsid w:val="002A1F33"/>
    <w:rsid w:val="002A1F67"/>
    <w:rsid w:val="002A1F98"/>
    <w:rsid w:val="002A1FDA"/>
    <w:rsid w:val="002A1FE3"/>
    <w:rsid w:val="002A1FFE"/>
    <w:rsid w:val="002A2010"/>
    <w:rsid w:val="002A2017"/>
    <w:rsid w:val="002A2028"/>
    <w:rsid w:val="002A205B"/>
    <w:rsid w:val="002A208D"/>
    <w:rsid w:val="002A20E3"/>
    <w:rsid w:val="002A20F7"/>
    <w:rsid w:val="002A2154"/>
    <w:rsid w:val="002A2167"/>
    <w:rsid w:val="002A216D"/>
    <w:rsid w:val="002A2186"/>
    <w:rsid w:val="002A218F"/>
    <w:rsid w:val="002A219A"/>
    <w:rsid w:val="002A21AE"/>
    <w:rsid w:val="002A220A"/>
    <w:rsid w:val="002A2210"/>
    <w:rsid w:val="002A2233"/>
    <w:rsid w:val="002A2246"/>
    <w:rsid w:val="002A22A2"/>
    <w:rsid w:val="002A22B3"/>
    <w:rsid w:val="002A22C6"/>
    <w:rsid w:val="002A22CD"/>
    <w:rsid w:val="002A22E4"/>
    <w:rsid w:val="002A232F"/>
    <w:rsid w:val="002A234F"/>
    <w:rsid w:val="002A235E"/>
    <w:rsid w:val="002A2398"/>
    <w:rsid w:val="002A23A9"/>
    <w:rsid w:val="002A2410"/>
    <w:rsid w:val="002A2478"/>
    <w:rsid w:val="002A24A0"/>
    <w:rsid w:val="002A24B7"/>
    <w:rsid w:val="002A24C0"/>
    <w:rsid w:val="002A24F5"/>
    <w:rsid w:val="002A24F6"/>
    <w:rsid w:val="002A24F7"/>
    <w:rsid w:val="002A2546"/>
    <w:rsid w:val="002A254A"/>
    <w:rsid w:val="002A2571"/>
    <w:rsid w:val="002A25B7"/>
    <w:rsid w:val="002A261C"/>
    <w:rsid w:val="002A264A"/>
    <w:rsid w:val="002A2655"/>
    <w:rsid w:val="002A2682"/>
    <w:rsid w:val="002A26EC"/>
    <w:rsid w:val="002A272B"/>
    <w:rsid w:val="002A2732"/>
    <w:rsid w:val="002A2736"/>
    <w:rsid w:val="002A2759"/>
    <w:rsid w:val="002A276F"/>
    <w:rsid w:val="002A27CD"/>
    <w:rsid w:val="002A2810"/>
    <w:rsid w:val="002A2840"/>
    <w:rsid w:val="002A2844"/>
    <w:rsid w:val="002A28CF"/>
    <w:rsid w:val="002A28FD"/>
    <w:rsid w:val="002A2931"/>
    <w:rsid w:val="002A2937"/>
    <w:rsid w:val="002A295B"/>
    <w:rsid w:val="002A29A9"/>
    <w:rsid w:val="002A2A0E"/>
    <w:rsid w:val="002A2A16"/>
    <w:rsid w:val="002A2A3C"/>
    <w:rsid w:val="002A2B2F"/>
    <w:rsid w:val="002A2B31"/>
    <w:rsid w:val="002A2B49"/>
    <w:rsid w:val="002A2B5E"/>
    <w:rsid w:val="002A2B75"/>
    <w:rsid w:val="002A2BAD"/>
    <w:rsid w:val="002A2C33"/>
    <w:rsid w:val="002A2C42"/>
    <w:rsid w:val="002A2C55"/>
    <w:rsid w:val="002A2C9D"/>
    <w:rsid w:val="002A2CCD"/>
    <w:rsid w:val="002A2D1C"/>
    <w:rsid w:val="002A2D3F"/>
    <w:rsid w:val="002A2E13"/>
    <w:rsid w:val="002A2E60"/>
    <w:rsid w:val="002A2E92"/>
    <w:rsid w:val="002A2EAC"/>
    <w:rsid w:val="002A2F07"/>
    <w:rsid w:val="002A2F12"/>
    <w:rsid w:val="002A2F2B"/>
    <w:rsid w:val="002A2FD9"/>
    <w:rsid w:val="002A2FF9"/>
    <w:rsid w:val="002A3023"/>
    <w:rsid w:val="002A3040"/>
    <w:rsid w:val="002A318F"/>
    <w:rsid w:val="002A31EB"/>
    <w:rsid w:val="002A3217"/>
    <w:rsid w:val="002A322E"/>
    <w:rsid w:val="002A323C"/>
    <w:rsid w:val="002A3293"/>
    <w:rsid w:val="002A32A1"/>
    <w:rsid w:val="002A32EB"/>
    <w:rsid w:val="002A32FC"/>
    <w:rsid w:val="002A330D"/>
    <w:rsid w:val="002A3331"/>
    <w:rsid w:val="002A335F"/>
    <w:rsid w:val="002A3389"/>
    <w:rsid w:val="002A338F"/>
    <w:rsid w:val="002A33EA"/>
    <w:rsid w:val="002A33FB"/>
    <w:rsid w:val="002A3449"/>
    <w:rsid w:val="002A34AA"/>
    <w:rsid w:val="002A34B9"/>
    <w:rsid w:val="002A358C"/>
    <w:rsid w:val="002A358D"/>
    <w:rsid w:val="002A35E0"/>
    <w:rsid w:val="002A35E3"/>
    <w:rsid w:val="002A3623"/>
    <w:rsid w:val="002A3626"/>
    <w:rsid w:val="002A3627"/>
    <w:rsid w:val="002A3661"/>
    <w:rsid w:val="002A3663"/>
    <w:rsid w:val="002A3676"/>
    <w:rsid w:val="002A3698"/>
    <w:rsid w:val="002A36AC"/>
    <w:rsid w:val="002A36BE"/>
    <w:rsid w:val="002A3731"/>
    <w:rsid w:val="002A3768"/>
    <w:rsid w:val="002A37D8"/>
    <w:rsid w:val="002A37FB"/>
    <w:rsid w:val="002A3874"/>
    <w:rsid w:val="002A38BD"/>
    <w:rsid w:val="002A390A"/>
    <w:rsid w:val="002A3925"/>
    <w:rsid w:val="002A3948"/>
    <w:rsid w:val="002A397E"/>
    <w:rsid w:val="002A3991"/>
    <w:rsid w:val="002A399F"/>
    <w:rsid w:val="002A3A0B"/>
    <w:rsid w:val="002A3A3A"/>
    <w:rsid w:val="002A3A85"/>
    <w:rsid w:val="002A3A88"/>
    <w:rsid w:val="002A3AAE"/>
    <w:rsid w:val="002A3AC6"/>
    <w:rsid w:val="002A3ADC"/>
    <w:rsid w:val="002A3AEA"/>
    <w:rsid w:val="002A3B4F"/>
    <w:rsid w:val="002A3B51"/>
    <w:rsid w:val="002A3B64"/>
    <w:rsid w:val="002A3B75"/>
    <w:rsid w:val="002A3B9A"/>
    <w:rsid w:val="002A3BA5"/>
    <w:rsid w:val="002A3BDE"/>
    <w:rsid w:val="002A3BEE"/>
    <w:rsid w:val="002A3C06"/>
    <w:rsid w:val="002A3C10"/>
    <w:rsid w:val="002A3C28"/>
    <w:rsid w:val="002A3C56"/>
    <w:rsid w:val="002A3C63"/>
    <w:rsid w:val="002A3C75"/>
    <w:rsid w:val="002A3CD1"/>
    <w:rsid w:val="002A3CFA"/>
    <w:rsid w:val="002A3D1B"/>
    <w:rsid w:val="002A3E03"/>
    <w:rsid w:val="002A3E39"/>
    <w:rsid w:val="002A3E5A"/>
    <w:rsid w:val="002A3E67"/>
    <w:rsid w:val="002A3E90"/>
    <w:rsid w:val="002A3F17"/>
    <w:rsid w:val="002A3F4B"/>
    <w:rsid w:val="002A3F54"/>
    <w:rsid w:val="002A3F85"/>
    <w:rsid w:val="002A3F89"/>
    <w:rsid w:val="002A3FF1"/>
    <w:rsid w:val="002A4016"/>
    <w:rsid w:val="002A401F"/>
    <w:rsid w:val="002A4041"/>
    <w:rsid w:val="002A4046"/>
    <w:rsid w:val="002A40CE"/>
    <w:rsid w:val="002A40DA"/>
    <w:rsid w:val="002A40E4"/>
    <w:rsid w:val="002A4176"/>
    <w:rsid w:val="002A4214"/>
    <w:rsid w:val="002A4215"/>
    <w:rsid w:val="002A4247"/>
    <w:rsid w:val="002A4258"/>
    <w:rsid w:val="002A42C3"/>
    <w:rsid w:val="002A4363"/>
    <w:rsid w:val="002A4378"/>
    <w:rsid w:val="002A43F4"/>
    <w:rsid w:val="002A4400"/>
    <w:rsid w:val="002A440D"/>
    <w:rsid w:val="002A445C"/>
    <w:rsid w:val="002A44C7"/>
    <w:rsid w:val="002A4524"/>
    <w:rsid w:val="002A452A"/>
    <w:rsid w:val="002A4558"/>
    <w:rsid w:val="002A45AD"/>
    <w:rsid w:val="002A45EC"/>
    <w:rsid w:val="002A4639"/>
    <w:rsid w:val="002A46FA"/>
    <w:rsid w:val="002A474C"/>
    <w:rsid w:val="002A47D8"/>
    <w:rsid w:val="002A47F0"/>
    <w:rsid w:val="002A47FE"/>
    <w:rsid w:val="002A4826"/>
    <w:rsid w:val="002A483A"/>
    <w:rsid w:val="002A4844"/>
    <w:rsid w:val="002A4878"/>
    <w:rsid w:val="002A48B3"/>
    <w:rsid w:val="002A48FA"/>
    <w:rsid w:val="002A4913"/>
    <w:rsid w:val="002A4928"/>
    <w:rsid w:val="002A49AE"/>
    <w:rsid w:val="002A49B9"/>
    <w:rsid w:val="002A49C7"/>
    <w:rsid w:val="002A49F1"/>
    <w:rsid w:val="002A4A1F"/>
    <w:rsid w:val="002A4A76"/>
    <w:rsid w:val="002A4AA8"/>
    <w:rsid w:val="002A4B86"/>
    <w:rsid w:val="002A4B8D"/>
    <w:rsid w:val="002A4BFC"/>
    <w:rsid w:val="002A4C18"/>
    <w:rsid w:val="002A4C5E"/>
    <w:rsid w:val="002A4C97"/>
    <w:rsid w:val="002A4CA8"/>
    <w:rsid w:val="002A4D06"/>
    <w:rsid w:val="002A4D44"/>
    <w:rsid w:val="002A4D78"/>
    <w:rsid w:val="002A4E06"/>
    <w:rsid w:val="002A4E50"/>
    <w:rsid w:val="002A4E7C"/>
    <w:rsid w:val="002A4EB6"/>
    <w:rsid w:val="002A4FB7"/>
    <w:rsid w:val="002A5058"/>
    <w:rsid w:val="002A50E1"/>
    <w:rsid w:val="002A50FE"/>
    <w:rsid w:val="002A513F"/>
    <w:rsid w:val="002A5149"/>
    <w:rsid w:val="002A5188"/>
    <w:rsid w:val="002A5190"/>
    <w:rsid w:val="002A51DD"/>
    <w:rsid w:val="002A5201"/>
    <w:rsid w:val="002A522E"/>
    <w:rsid w:val="002A5264"/>
    <w:rsid w:val="002A5268"/>
    <w:rsid w:val="002A527D"/>
    <w:rsid w:val="002A5317"/>
    <w:rsid w:val="002A5333"/>
    <w:rsid w:val="002A5336"/>
    <w:rsid w:val="002A538E"/>
    <w:rsid w:val="002A5397"/>
    <w:rsid w:val="002A53AB"/>
    <w:rsid w:val="002A54AA"/>
    <w:rsid w:val="002A54C1"/>
    <w:rsid w:val="002A54EB"/>
    <w:rsid w:val="002A54FC"/>
    <w:rsid w:val="002A551A"/>
    <w:rsid w:val="002A5567"/>
    <w:rsid w:val="002A557D"/>
    <w:rsid w:val="002A55E0"/>
    <w:rsid w:val="002A56AB"/>
    <w:rsid w:val="002A56B1"/>
    <w:rsid w:val="002A56BB"/>
    <w:rsid w:val="002A56CC"/>
    <w:rsid w:val="002A56DB"/>
    <w:rsid w:val="002A56E8"/>
    <w:rsid w:val="002A5707"/>
    <w:rsid w:val="002A5718"/>
    <w:rsid w:val="002A5720"/>
    <w:rsid w:val="002A57A0"/>
    <w:rsid w:val="002A57B1"/>
    <w:rsid w:val="002A5858"/>
    <w:rsid w:val="002A586E"/>
    <w:rsid w:val="002A5882"/>
    <w:rsid w:val="002A5894"/>
    <w:rsid w:val="002A58AE"/>
    <w:rsid w:val="002A58B6"/>
    <w:rsid w:val="002A58C2"/>
    <w:rsid w:val="002A58D4"/>
    <w:rsid w:val="002A594A"/>
    <w:rsid w:val="002A5985"/>
    <w:rsid w:val="002A5A38"/>
    <w:rsid w:val="002A5B0F"/>
    <w:rsid w:val="002A5B1E"/>
    <w:rsid w:val="002A5B46"/>
    <w:rsid w:val="002A5B64"/>
    <w:rsid w:val="002A5B76"/>
    <w:rsid w:val="002A5BBC"/>
    <w:rsid w:val="002A5BD9"/>
    <w:rsid w:val="002A5C61"/>
    <w:rsid w:val="002A5C68"/>
    <w:rsid w:val="002A5C98"/>
    <w:rsid w:val="002A5C9F"/>
    <w:rsid w:val="002A5CD5"/>
    <w:rsid w:val="002A5CE4"/>
    <w:rsid w:val="002A5CEB"/>
    <w:rsid w:val="002A5CF3"/>
    <w:rsid w:val="002A5CFE"/>
    <w:rsid w:val="002A5D14"/>
    <w:rsid w:val="002A5D25"/>
    <w:rsid w:val="002A5D30"/>
    <w:rsid w:val="002A5D70"/>
    <w:rsid w:val="002A5D7B"/>
    <w:rsid w:val="002A5DBD"/>
    <w:rsid w:val="002A5E0C"/>
    <w:rsid w:val="002A5E20"/>
    <w:rsid w:val="002A5E2C"/>
    <w:rsid w:val="002A5E5F"/>
    <w:rsid w:val="002A5E7E"/>
    <w:rsid w:val="002A5E9D"/>
    <w:rsid w:val="002A5ECC"/>
    <w:rsid w:val="002A5F2C"/>
    <w:rsid w:val="002A5F61"/>
    <w:rsid w:val="002A5FEC"/>
    <w:rsid w:val="002A6052"/>
    <w:rsid w:val="002A6177"/>
    <w:rsid w:val="002A61AD"/>
    <w:rsid w:val="002A61B4"/>
    <w:rsid w:val="002A61DF"/>
    <w:rsid w:val="002A6209"/>
    <w:rsid w:val="002A6228"/>
    <w:rsid w:val="002A622C"/>
    <w:rsid w:val="002A6249"/>
    <w:rsid w:val="002A628E"/>
    <w:rsid w:val="002A635A"/>
    <w:rsid w:val="002A63C5"/>
    <w:rsid w:val="002A640C"/>
    <w:rsid w:val="002A6428"/>
    <w:rsid w:val="002A6451"/>
    <w:rsid w:val="002A64D1"/>
    <w:rsid w:val="002A64FB"/>
    <w:rsid w:val="002A6529"/>
    <w:rsid w:val="002A652D"/>
    <w:rsid w:val="002A657D"/>
    <w:rsid w:val="002A658F"/>
    <w:rsid w:val="002A663C"/>
    <w:rsid w:val="002A668C"/>
    <w:rsid w:val="002A66D3"/>
    <w:rsid w:val="002A6746"/>
    <w:rsid w:val="002A674F"/>
    <w:rsid w:val="002A6757"/>
    <w:rsid w:val="002A67A2"/>
    <w:rsid w:val="002A67AC"/>
    <w:rsid w:val="002A67CB"/>
    <w:rsid w:val="002A67CF"/>
    <w:rsid w:val="002A6801"/>
    <w:rsid w:val="002A6811"/>
    <w:rsid w:val="002A6836"/>
    <w:rsid w:val="002A6839"/>
    <w:rsid w:val="002A6862"/>
    <w:rsid w:val="002A6873"/>
    <w:rsid w:val="002A687F"/>
    <w:rsid w:val="002A6885"/>
    <w:rsid w:val="002A6890"/>
    <w:rsid w:val="002A68A2"/>
    <w:rsid w:val="002A68F5"/>
    <w:rsid w:val="002A68FD"/>
    <w:rsid w:val="002A696E"/>
    <w:rsid w:val="002A69C4"/>
    <w:rsid w:val="002A6A3D"/>
    <w:rsid w:val="002A6A44"/>
    <w:rsid w:val="002A6A80"/>
    <w:rsid w:val="002A6A81"/>
    <w:rsid w:val="002A6AA3"/>
    <w:rsid w:val="002A6AE2"/>
    <w:rsid w:val="002A6AF6"/>
    <w:rsid w:val="002A6B02"/>
    <w:rsid w:val="002A6B0F"/>
    <w:rsid w:val="002A6B5B"/>
    <w:rsid w:val="002A6B98"/>
    <w:rsid w:val="002A6BBB"/>
    <w:rsid w:val="002A6C14"/>
    <w:rsid w:val="002A6C3B"/>
    <w:rsid w:val="002A6C67"/>
    <w:rsid w:val="002A6C71"/>
    <w:rsid w:val="002A6D1E"/>
    <w:rsid w:val="002A6D68"/>
    <w:rsid w:val="002A6DEA"/>
    <w:rsid w:val="002A6E01"/>
    <w:rsid w:val="002A6E48"/>
    <w:rsid w:val="002A6E60"/>
    <w:rsid w:val="002A6EAC"/>
    <w:rsid w:val="002A6EBC"/>
    <w:rsid w:val="002A6F08"/>
    <w:rsid w:val="002A6F68"/>
    <w:rsid w:val="002A6F6A"/>
    <w:rsid w:val="002A6F82"/>
    <w:rsid w:val="002A6F9E"/>
    <w:rsid w:val="002A6FAD"/>
    <w:rsid w:val="002A6FB3"/>
    <w:rsid w:val="002A6FD1"/>
    <w:rsid w:val="002A6FE0"/>
    <w:rsid w:val="002A6FF9"/>
    <w:rsid w:val="002A701D"/>
    <w:rsid w:val="002A7042"/>
    <w:rsid w:val="002A7089"/>
    <w:rsid w:val="002A708E"/>
    <w:rsid w:val="002A70FB"/>
    <w:rsid w:val="002A7110"/>
    <w:rsid w:val="002A7119"/>
    <w:rsid w:val="002A7127"/>
    <w:rsid w:val="002A713F"/>
    <w:rsid w:val="002A714E"/>
    <w:rsid w:val="002A7153"/>
    <w:rsid w:val="002A7166"/>
    <w:rsid w:val="002A71AE"/>
    <w:rsid w:val="002A71BC"/>
    <w:rsid w:val="002A71D1"/>
    <w:rsid w:val="002A7229"/>
    <w:rsid w:val="002A727F"/>
    <w:rsid w:val="002A7288"/>
    <w:rsid w:val="002A72D3"/>
    <w:rsid w:val="002A7337"/>
    <w:rsid w:val="002A738C"/>
    <w:rsid w:val="002A7393"/>
    <w:rsid w:val="002A7399"/>
    <w:rsid w:val="002A73EB"/>
    <w:rsid w:val="002A74A5"/>
    <w:rsid w:val="002A74C2"/>
    <w:rsid w:val="002A74D2"/>
    <w:rsid w:val="002A74EA"/>
    <w:rsid w:val="002A758C"/>
    <w:rsid w:val="002A7664"/>
    <w:rsid w:val="002A7669"/>
    <w:rsid w:val="002A767D"/>
    <w:rsid w:val="002A76E4"/>
    <w:rsid w:val="002A76EB"/>
    <w:rsid w:val="002A76F2"/>
    <w:rsid w:val="002A7747"/>
    <w:rsid w:val="002A774D"/>
    <w:rsid w:val="002A778B"/>
    <w:rsid w:val="002A77BD"/>
    <w:rsid w:val="002A77D8"/>
    <w:rsid w:val="002A789A"/>
    <w:rsid w:val="002A78AE"/>
    <w:rsid w:val="002A790A"/>
    <w:rsid w:val="002A794D"/>
    <w:rsid w:val="002A796B"/>
    <w:rsid w:val="002A796D"/>
    <w:rsid w:val="002A7983"/>
    <w:rsid w:val="002A79B6"/>
    <w:rsid w:val="002A7A0F"/>
    <w:rsid w:val="002A7AAF"/>
    <w:rsid w:val="002A7AD8"/>
    <w:rsid w:val="002A7B25"/>
    <w:rsid w:val="002A7B58"/>
    <w:rsid w:val="002A7BC1"/>
    <w:rsid w:val="002A7BF6"/>
    <w:rsid w:val="002A7C06"/>
    <w:rsid w:val="002A7C09"/>
    <w:rsid w:val="002A7CFD"/>
    <w:rsid w:val="002A7D3C"/>
    <w:rsid w:val="002A7D49"/>
    <w:rsid w:val="002A7D5F"/>
    <w:rsid w:val="002A7DC9"/>
    <w:rsid w:val="002A7DD6"/>
    <w:rsid w:val="002A7DDA"/>
    <w:rsid w:val="002A7E17"/>
    <w:rsid w:val="002A7E25"/>
    <w:rsid w:val="002A7E85"/>
    <w:rsid w:val="002A7EA6"/>
    <w:rsid w:val="002A7F3A"/>
    <w:rsid w:val="002B0008"/>
    <w:rsid w:val="002B0086"/>
    <w:rsid w:val="002B009E"/>
    <w:rsid w:val="002B00A1"/>
    <w:rsid w:val="002B00B9"/>
    <w:rsid w:val="002B00E1"/>
    <w:rsid w:val="002B0100"/>
    <w:rsid w:val="002B013D"/>
    <w:rsid w:val="002B0148"/>
    <w:rsid w:val="002B0183"/>
    <w:rsid w:val="002B01AC"/>
    <w:rsid w:val="002B01C7"/>
    <w:rsid w:val="002B030F"/>
    <w:rsid w:val="002B0337"/>
    <w:rsid w:val="002B0354"/>
    <w:rsid w:val="002B0370"/>
    <w:rsid w:val="002B03A5"/>
    <w:rsid w:val="002B03DC"/>
    <w:rsid w:val="002B03E2"/>
    <w:rsid w:val="002B042F"/>
    <w:rsid w:val="002B0472"/>
    <w:rsid w:val="002B0478"/>
    <w:rsid w:val="002B0481"/>
    <w:rsid w:val="002B0493"/>
    <w:rsid w:val="002B04D5"/>
    <w:rsid w:val="002B04E9"/>
    <w:rsid w:val="002B0534"/>
    <w:rsid w:val="002B0567"/>
    <w:rsid w:val="002B056D"/>
    <w:rsid w:val="002B0584"/>
    <w:rsid w:val="002B05D1"/>
    <w:rsid w:val="002B062E"/>
    <w:rsid w:val="002B0643"/>
    <w:rsid w:val="002B06D3"/>
    <w:rsid w:val="002B06ED"/>
    <w:rsid w:val="002B0769"/>
    <w:rsid w:val="002B07B0"/>
    <w:rsid w:val="002B07B5"/>
    <w:rsid w:val="002B07CF"/>
    <w:rsid w:val="002B07D7"/>
    <w:rsid w:val="002B0802"/>
    <w:rsid w:val="002B0822"/>
    <w:rsid w:val="002B082D"/>
    <w:rsid w:val="002B085F"/>
    <w:rsid w:val="002B08BD"/>
    <w:rsid w:val="002B08ED"/>
    <w:rsid w:val="002B08F7"/>
    <w:rsid w:val="002B0902"/>
    <w:rsid w:val="002B09D2"/>
    <w:rsid w:val="002B09F5"/>
    <w:rsid w:val="002B0A1B"/>
    <w:rsid w:val="002B0A21"/>
    <w:rsid w:val="002B0A9E"/>
    <w:rsid w:val="002B0AAD"/>
    <w:rsid w:val="002B0B02"/>
    <w:rsid w:val="002B0B2C"/>
    <w:rsid w:val="002B0B3E"/>
    <w:rsid w:val="002B0C2A"/>
    <w:rsid w:val="002B0CBE"/>
    <w:rsid w:val="002B0D10"/>
    <w:rsid w:val="002B0D5C"/>
    <w:rsid w:val="002B0D6B"/>
    <w:rsid w:val="002B0D6E"/>
    <w:rsid w:val="002B0D7C"/>
    <w:rsid w:val="002B0DBD"/>
    <w:rsid w:val="002B0DFB"/>
    <w:rsid w:val="002B0E07"/>
    <w:rsid w:val="002B0E0F"/>
    <w:rsid w:val="002B0E24"/>
    <w:rsid w:val="002B0E67"/>
    <w:rsid w:val="002B0E98"/>
    <w:rsid w:val="002B0E99"/>
    <w:rsid w:val="002B0EAD"/>
    <w:rsid w:val="002B0EE8"/>
    <w:rsid w:val="002B0EFB"/>
    <w:rsid w:val="002B0F74"/>
    <w:rsid w:val="002B0F87"/>
    <w:rsid w:val="002B0FA7"/>
    <w:rsid w:val="002B0FCB"/>
    <w:rsid w:val="002B0FD5"/>
    <w:rsid w:val="002B0FE1"/>
    <w:rsid w:val="002B101B"/>
    <w:rsid w:val="002B1020"/>
    <w:rsid w:val="002B102D"/>
    <w:rsid w:val="002B1043"/>
    <w:rsid w:val="002B10C7"/>
    <w:rsid w:val="002B10F4"/>
    <w:rsid w:val="002B1109"/>
    <w:rsid w:val="002B117C"/>
    <w:rsid w:val="002B11B8"/>
    <w:rsid w:val="002B11BC"/>
    <w:rsid w:val="002B11E3"/>
    <w:rsid w:val="002B1241"/>
    <w:rsid w:val="002B124B"/>
    <w:rsid w:val="002B1255"/>
    <w:rsid w:val="002B125B"/>
    <w:rsid w:val="002B1267"/>
    <w:rsid w:val="002B129D"/>
    <w:rsid w:val="002B12B9"/>
    <w:rsid w:val="002B1370"/>
    <w:rsid w:val="002B141D"/>
    <w:rsid w:val="002B14D7"/>
    <w:rsid w:val="002B155B"/>
    <w:rsid w:val="002B15B9"/>
    <w:rsid w:val="002B16BD"/>
    <w:rsid w:val="002B16F4"/>
    <w:rsid w:val="002B1706"/>
    <w:rsid w:val="002B1711"/>
    <w:rsid w:val="002B1736"/>
    <w:rsid w:val="002B1753"/>
    <w:rsid w:val="002B1759"/>
    <w:rsid w:val="002B175D"/>
    <w:rsid w:val="002B17A9"/>
    <w:rsid w:val="002B17CD"/>
    <w:rsid w:val="002B17EF"/>
    <w:rsid w:val="002B1827"/>
    <w:rsid w:val="002B1839"/>
    <w:rsid w:val="002B184D"/>
    <w:rsid w:val="002B185B"/>
    <w:rsid w:val="002B1889"/>
    <w:rsid w:val="002B1891"/>
    <w:rsid w:val="002B1899"/>
    <w:rsid w:val="002B18D5"/>
    <w:rsid w:val="002B18ED"/>
    <w:rsid w:val="002B196F"/>
    <w:rsid w:val="002B1988"/>
    <w:rsid w:val="002B1994"/>
    <w:rsid w:val="002B19A3"/>
    <w:rsid w:val="002B19C4"/>
    <w:rsid w:val="002B19DC"/>
    <w:rsid w:val="002B1A08"/>
    <w:rsid w:val="002B1A0F"/>
    <w:rsid w:val="002B1A74"/>
    <w:rsid w:val="002B1AF5"/>
    <w:rsid w:val="002B1B04"/>
    <w:rsid w:val="002B1B22"/>
    <w:rsid w:val="002B1B3A"/>
    <w:rsid w:val="002B1B4A"/>
    <w:rsid w:val="002B1B4D"/>
    <w:rsid w:val="002B1B60"/>
    <w:rsid w:val="002B1B8E"/>
    <w:rsid w:val="002B1B94"/>
    <w:rsid w:val="002B1BA3"/>
    <w:rsid w:val="002B1BDE"/>
    <w:rsid w:val="002B1BEB"/>
    <w:rsid w:val="002B1D19"/>
    <w:rsid w:val="002B1D33"/>
    <w:rsid w:val="002B1D46"/>
    <w:rsid w:val="002B1D6A"/>
    <w:rsid w:val="002B1D6E"/>
    <w:rsid w:val="002B1DAC"/>
    <w:rsid w:val="002B1E25"/>
    <w:rsid w:val="002B1E61"/>
    <w:rsid w:val="002B1E95"/>
    <w:rsid w:val="002B1EBB"/>
    <w:rsid w:val="002B1EEA"/>
    <w:rsid w:val="002B1F02"/>
    <w:rsid w:val="002B1F18"/>
    <w:rsid w:val="002B1F34"/>
    <w:rsid w:val="002B1F67"/>
    <w:rsid w:val="002B1FA1"/>
    <w:rsid w:val="002B2022"/>
    <w:rsid w:val="002B2063"/>
    <w:rsid w:val="002B206B"/>
    <w:rsid w:val="002B20A1"/>
    <w:rsid w:val="002B20FF"/>
    <w:rsid w:val="002B2154"/>
    <w:rsid w:val="002B21A8"/>
    <w:rsid w:val="002B21CC"/>
    <w:rsid w:val="002B21F6"/>
    <w:rsid w:val="002B2206"/>
    <w:rsid w:val="002B2227"/>
    <w:rsid w:val="002B2249"/>
    <w:rsid w:val="002B226A"/>
    <w:rsid w:val="002B2294"/>
    <w:rsid w:val="002B2308"/>
    <w:rsid w:val="002B230E"/>
    <w:rsid w:val="002B23BA"/>
    <w:rsid w:val="002B23FF"/>
    <w:rsid w:val="002B2417"/>
    <w:rsid w:val="002B2418"/>
    <w:rsid w:val="002B2421"/>
    <w:rsid w:val="002B242B"/>
    <w:rsid w:val="002B2462"/>
    <w:rsid w:val="002B2475"/>
    <w:rsid w:val="002B247C"/>
    <w:rsid w:val="002B2488"/>
    <w:rsid w:val="002B24CD"/>
    <w:rsid w:val="002B2514"/>
    <w:rsid w:val="002B256B"/>
    <w:rsid w:val="002B256D"/>
    <w:rsid w:val="002B25AD"/>
    <w:rsid w:val="002B26D0"/>
    <w:rsid w:val="002B2749"/>
    <w:rsid w:val="002B2797"/>
    <w:rsid w:val="002B27A0"/>
    <w:rsid w:val="002B27D8"/>
    <w:rsid w:val="002B27DF"/>
    <w:rsid w:val="002B27F4"/>
    <w:rsid w:val="002B281A"/>
    <w:rsid w:val="002B281E"/>
    <w:rsid w:val="002B282F"/>
    <w:rsid w:val="002B287D"/>
    <w:rsid w:val="002B2883"/>
    <w:rsid w:val="002B28DD"/>
    <w:rsid w:val="002B28F1"/>
    <w:rsid w:val="002B290D"/>
    <w:rsid w:val="002B2949"/>
    <w:rsid w:val="002B294A"/>
    <w:rsid w:val="002B2957"/>
    <w:rsid w:val="002B296D"/>
    <w:rsid w:val="002B296E"/>
    <w:rsid w:val="002B29CE"/>
    <w:rsid w:val="002B2A24"/>
    <w:rsid w:val="002B2A49"/>
    <w:rsid w:val="002B2A62"/>
    <w:rsid w:val="002B2A78"/>
    <w:rsid w:val="002B2A7B"/>
    <w:rsid w:val="002B2AA1"/>
    <w:rsid w:val="002B2B1F"/>
    <w:rsid w:val="002B2B25"/>
    <w:rsid w:val="002B2B2F"/>
    <w:rsid w:val="002B2B37"/>
    <w:rsid w:val="002B2B45"/>
    <w:rsid w:val="002B2BA9"/>
    <w:rsid w:val="002B2BB0"/>
    <w:rsid w:val="002B2C86"/>
    <w:rsid w:val="002B2CE3"/>
    <w:rsid w:val="002B2D5C"/>
    <w:rsid w:val="002B2E23"/>
    <w:rsid w:val="002B2E30"/>
    <w:rsid w:val="002B2E4B"/>
    <w:rsid w:val="002B2E83"/>
    <w:rsid w:val="002B2E85"/>
    <w:rsid w:val="002B2EA3"/>
    <w:rsid w:val="002B2F39"/>
    <w:rsid w:val="002B2FA0"/>
    <w:rsid w:val="002B3041"/>
    <w:rsid w:val="002B306F"/>
    <w:rsid w:val="002B30AF"/>
    <w:rsid w:val="002B3109"/>
    <w:rsid w:val="002B3147"/>
    <w:rsid w:val="002B3188"/>
    <w:rsid w:val="002B3199"/>
    <w:rsid w:val="002B31DE"/>
    <w:rsid w:val="002B3225"/>
    <w:rsid w:val="002B32A9"/>
    <w:rsid w:val="002B32C3"/>
    <w:rsid w:val="002B32E9"/>
    <w:rsid w:val="002B336F"/>
    <w:rsid w:val="002B3423"/>
    <w:rsid w:val="002B3488"/>
    <w:rsid w:val="002B349D"/>
    <w:rsid w:val="002B34DA"/>
    <w:rsid w:val="002B34F6"/>
    <w:rsid w:val="002B357A"/>
    <w:rsid w:val="002B35A8"/>
    <w:rsid w:val="002B35BB"/>
    <w:rsid w:val="002B367B"/>
    <w:rsid w:val="002B368B"/>
    <w:rsid w:val="002B3695"/>
    <w:rsid w:val="002B3698"/>
    <w:rsid w:val="002B36F6"/>
    <w:rsid w:val="002B3703"/>
    <w:rsid w:val="002B372B"/>
    <w:rsid w:val="002B3752"/>
    <w:rsid w:val="002B3755"/>
    <w:rsid w:val="002B375F"/>
    <w:rsid w:val="002B3771"/>
    <w:rsid w:val="002B37BE"/>
    <w:rsid w:val="002B37CC"/>
    <w:rsid w:val="002B380B"/>
    <w:rsid w:val="002B382A"/>
    <w:rsid w:val="002B3837"/>
    <w:rsid w:val="002B3866"/>
    <w:rsid w:val="002B38FA"/>
    <w:rsid w:val="002B394E"/>
    <w:rsid w:val="002B3970"/>
    <w:rsid w:val="002B398E"/>
    <w:rsid w:val="002B3996"/>
    <w:rsid w:val="002B39AE"/>
    <w:rsid w:val="002B3ACB"/>
    <w:rsid w:val="002B3B33"/>
    <w:rsid w:val="002B3B4D"/>
    <w:rsid w:val="002B3B9D"/>
    <w:rsid w:val="002B3BA8"/>
    <w:rsid w:val="002B3BAA"/>
    <w:rsid w:val="002B3C17"/>
    <w:rsid w:val="002B3C1E"/>
    <w:rsid w:val="002B3C7B"/>
    <w:rsid w:val="002B3C8D"/>
    <w:rsid w:val="002B3CB0"/>
    <w:rsid w:val="002B3CC7"/>
    <w:rsid w:val="002B3CCB"/>
    <w:rsid w:val="002B3CDE"/>
    <w:rsid w:val="002B3D16"/>
    <w:rsid w:val="002B3D5F"/>
    <w:rsid w:val="002B3D68"/>
    <w:rsid w:val="002B3D73"/>
    <w:rsid w:val="002B3D90"/>
    <w:rsid w:val="002B3E23"/>
    <w:rsid w:val="002B3E3C"/>
    <w:rsid w:val="002B3E3F"/>
    <w:rsid w:val="002B3EF5"/>
    <w:rsid w:val="002B3FB6"/>
    <w:rsid w:val="002B3FBB"/>
    <w:rsid w:val="002B3FDB"/>
    <w:rsid w:val="002B402C"/>
    <w:rsid w:val="002B402D"/>
    <w:rsid w:val="002B402F"/>
    <w:rsid w:val="002B403B"/>
    <w:rsid w:val="002B4082"/>
    <w:rsid w:val="002B4096"/>
    <w:rsid w:val="002B40DE"/>
    <w:rsid w:val="002B40EA"/>
    <w:rsid w:val="002B40F8"/>
    <w:rsid w:val="002B41F8"/>
    <w:rsid w:val="002B4246"/>
    <w:rsid w:val="002B424E"/>
    <w:rsid w:val="002B4255"/>
    <w:rsid w:val="002B4259"/>
    <w:rsid w:val="002B4271"/>
    <w:rsid w:val="002B4296"/>
    <w:rsid w:val="002B429D"/>
    <w:rsid w:val="002B42B9"/>
    <w:rsid w:val="002B42CB"/>
    <w:rsid w:val="002B42F0"/>
    <w:rsid w:val="002B42F2"/>
    <w:rsid w:val="002B42FD"/>
    <w:rsid w:val="002B4304"/>
    <w:rsid w:val="002B431B"/>
    <w:rsid w:val="002B433E"/>
    <w:rsid w:val="002B4342"/>
    <w:rsid w:val="002B43C2"/>
    <w:rsid w:val="002B43FE"/>
    <w:rsid w:val="002B440C"/>
    <w:rsid w:val="002B442B"/>
    <w:rsid w:val="002B4436"/>
    <w:rsid w:val="002B4445"/>
    <w:rsid w:val="002B444A"/>
    <w:rsid w:val="002B4455"/>
    <w:rsid w:val="002B44D8"/>
    <w:rsid w:val="002B44ED"/>
    <w:rsid w:val="002B44F7"/>
    <w:rsid w:val="002B44FE"/>
    <w:rsid w:val="002B453D"/>
    <w:rsid w:val="002B45A4"/>
    <w:rsid w:val="002B46D4"/>
    <w:rsid w:val="002B46FD"/>
    <w:rsid w:val="002B4702"/>
    <w:rsid w:val="002B4706"/>
    <w:rsid w:val="002B478C"/>
    <w:rsid w:val="002B47D3"/>
    <w:rsid w:val="002B47F7"/>
    <w:rsid w:val="002B4841"/>
    <w:rsid w:val="002B48AE"/>
    <w:rsid w:val="002B48EF"/>
    <w:rsid w:val="002B48FB"/>
    <w:rsid w:val="002B48FF"/>
    <w:rsid w:val="002B492D"/>
    <w:rsid w:val="002B493A"/>
    <w:rsid w:val="002B4968"/>
    <w:rsid w:val="002B4985"/>
    <w:rsid w:val="002B498B"/>
    <w:rsid w:val="002B49A4"/>
    <w:rsid w:val="002B49B2"/>
    <w:rsid w:val="002B49D0"/>
    <w:rsid w:val="002B49EA"/>
    <w:rsid w:val="002B49F5"/>
    <w:rsid w:val="002B4A0F"/>
    <w:rsid w:val="002B4A17"/>
    <w:rsid w:val="002B4A34"/>
    <w:rsid w:val="002B4AA4"/>
    <w:rsid w:val="002B4ADC"/>
    <w:rsid w:val="002B4B4E"/>
    <w:rsid w:val="002B4B71"/>
    <w:rsid w:val="002B4B76"/>
    <w:rsid w:val="002B4BA6"/>
    <w:rsid w:val="002B4C83"/>
    <w:rsid w:val="002B4D07"/>
    <w:rsid w:val="002B4D87"/>
    <w:rsid w:val="002B4DCE"/>
    <w:rsid w:val="002B4DD7"/>
    <w:rsid w:val="002B4E25"/>
    <w:rsid w:val="002B4E27"/>
    <w:rsid w:val="002B4E44"/>
    <w:rsid w:val="002B4E57"/>
    <w:rsid w:val="002B4E67"/>
    <w:rsid w:val="002B4EAE"/>
    <w:rsid w:val="002B4ECE"/>
    <w:rsid w:val="002B4EF6"/>
    <w:rsid w:val="002B4F8C"/>
    <w:rsid w:val="002B4F96"/>
    <w:rsid w:val="002B4F99"/>
    <w:rsid w:val="002B4FAF"/>
    <w:rsid w:val="002B4FBE"/>
    <w:rsid w:val="002B4FEC"/>
    <w:rsid w:val="002B5024"/>
    <w:rsid w:val="002B5064"/>
    <w:rsid w:val="002B50B5"/>
    <w:rsid w:val="002B5104"/>
    <w:rsid w:val="002B5117"/>
    <w:rsid w:val="002B511A"/>
    <w:rsid w:val="002B5142"/>
    <w:rsid w:val="002B5148"/>
    <w:rsid w:val="002B51B7"/>
    <w:rsid w:val="002B520A"/>
    <w:rsid w:val="002B52C2"/>
    <w:rsid w:val="002B52C8"/>
    <w:rsid w:val="002B52DE"/>
    <w:rsid w:val="002B5311"/>
    <w:rsid w:val="002B532F"/>
    <w:rsid w:val="002B5376"/>
    <w:rsid w:val="002B53F0"/>
    <w:rsid w:val="002B5405"/>
    <w:rsid w:val="002B5414"/>
    <w:rsid w:val="002B543D"/>
    <w:rsid w:val="002B544C"/>
    <w:rsid w:val="002B5485"/>
    <w:rsid w:val="002B54B9"/>
    <w:rsid w:val="002B54D4"/>
    <w:rsid w:val="002B5504"/>
    <w:rsid w:val="002B5511"/>
    <w:rsid w:val="002B551B"/>
    <w:rsid w:val="002B55BB"/>
    <w:rsid w:val="002B55C0"/>
    <w:rsid w:val="002B55CF"/>
    <w:rsid w:val="002B55DE"/>
    <w:rsid w:val="002B55E8"/>
    <w:rsid w:val="002B5605"/>
    <w:rsid w:val="002B5684"/>
    <w:rsid w:val="002B56DB"/>
    <w:rsid w:val="002B56E0"/>
    <w:rsid w:val="002B5781"/>
    <w:rsid w:val="002B57B3"/>
    <w:rsid w:val="002B57E2"/>
    <w:rsid w:val="002B5832"/>
    <w:rsid w:val="002B58B3"/>
    <w:rsid w:val="002B58C6"/>
    <w:rsid w:val="002B58D4"/>
    <w:rsid w:val="002B58D5"/>
    <w:rsid w:val="002B5933"/>
    <w:rsid w:val="002B5942"/>
    <w:rsid w:val="002B5974"/>
    <w:rsid w:val="002B599E"/>
    <w:rsid w:val="002B59DD"/>
    <w:rsid w:val="002B5A13"/>
    <w:rsid w:val="002B5A1F"/>
    <w:rsid w:val="002B5A66"/>
    <w:rsid w:val="002B5A7E"/>
    <w:rsid w:val="002B5A80"/>
    <w:rsid w:val="002B5AB1"/>
    <w:rsid w:val="002B5AEF"/>
    <w:rsid w:val="002B5AFE"/>
    <w:rsid w:val="002B5B7B"/>
    <w:rsid w:val="002B5B97"/>
    <w:rsid w:val="002B5BBE"/>
    <w:rsid w:val="002B5C32"/>
    <w:rsid w:val="002B5C44"/>
    <w:rsid w:val="002B5C74"/>
    <w:rsid w:val="002B5D09"/>
    <w:rsid w:val="002B5D2E"/>
    <w:rsid w:val="002B5D32"/>
    <w:rsid w:val="002B5DAD"/>
    <w:rsid w:val="002B5DDC"/>
    <w:rsid w:val="002B5E08"/>
    <w:rsid w:val="002B5E14"/>
    <w:rsid w:val="002B5E44"/>
    <w:rsid w:val="002B5E94"/>
    <w:rsid w:val="002B5F21"/>
    <w:rsid w:val="002B5F9D"/>
    <w:rsid w:val="002B6055"/>
    <w:rsid w:val="002B6087"/>
    <w:rsid w:val="002B612A"/>
    <w:rsid w:val="002B614B"/>
    <w:rsid w:val="002B6181"/>
    <w:rsid w:val="002B61A3"/>
    <w:rsid w:val="002B61A4"/>
    <w:rsid w:val="002B61C7"/>
    <w:rsid w:val="002B61F7"/>
    <w:rsid w:val="002B6203"/>
    <w:rsid w:val="002B622A"/>
    <w:rsid w:val="002B629D"/>
    <w:rsid w:val="002B62F1"/>
    <w:rsid w:val="002B62FC"/>
    <w:rsid w:val="002B633D"/>
    <w:rsid w:val="002B6392"/>
    <w:rsid w:val="002B6399"/>
    <w:rsid w:val="002B63AE"/>
    <w:rsid w:val="002B6426"/>
    <w:rsid w:val="002B6463"/>
    <w:rsid w:val="002B6499"/>
    <w:rsid w:val="002B64E4"/>
    <w:rsid w:val="002B64F1"/>
    <w:rsid w:val="002B6598"/>
    <w:rsid w:val="002B65A6"/>
    <w:rsid w:val="002B65F9"/>
    <w:rsid w:val="002B6619"/>
    <w:rsid w:val="002B6641"/>
    <w:rsid w:val="002B66A3"/>
    <w:rsid w:val="002B66B0"/>
    <w:rsid w:val="002B66D6"/>
    <w:rsid w:val="002B6703"/>
    <w:rsid w:val="002B6716"/>
    <w:rsid w:val="002B6727"/>
    <w:rsid w:val="002B6772"/>
    <w:rsid w:val="002B6784"/>
    <w:rsid w:val="002B678A"/>
    <w:rsid w:val="002B67CA"/>
    <w:rsid w:val="002B67DB"/>
    <w:rsid w:val="002B67E0"/>
    <w:rsid w:val="002B6823"/>
    <w:rsid w:val="002B683E"/>
    <w:rsid w:val="002B6842"/>
    <w:rsid w:val="002B684F"/>
    <w:rsid w:val="002B6857"/>
    <w:rsid w:val="002B6894"/>
    <w:rsid w:val="002B68E1"/>
    <w:rsid w:val="002B6906"/>
    <w:rsid w:val="002B6931"/>
    <w:rsid w:val="002B6946"/>
    <w:rsid w:val="002B694A"/>
    <w:rsid w:val="002B695B"/>
    <w:rsid w:val="002B695E"/>
    <w:rsid w:val="002B696D"/>
    <w:rsid w:val="002B697F"/>
    <w:rsid w:val="002B69E8"/>
    <w:rsid w:val="002B6A11"/>
    <w:rsid w:val="002B6A2E"/>
    <w:rsid w:val="002B6A45"/>
    <w:rsid w:val="002B6A73"/>
    <w:rsid w:val="002B6B17"/>
    <w:rsid w:val="002B6B22"/>
    <w:rsid w:val="002B6B50"/>
    <w:rsid w:val="002B6B79"/>
    <w:rsid w:val="002B6BC0"/>
    <w:rsid w:val="002B6C04"/>
    <w:rsid w:val="002B6C4F"/>
    <w:rsid w:val="002B6C61"/>
    <w:rsid w:val="002B6CDC"/>
    <w:rsid w:val="002B6CF5"/>
    <w:rsid w:val="002B6D14"/>
    <w:rsid w:val="002B6D15"/>
    <w:rsid w:val="002B6DF7"/>
    <w:rsid w:val="002B6E19"/>
    <w:rsid w:val="002B6E26"/>
    <w:rsid w:val="002B6E66"/>
    <w:rsid w:val="002B6E7E"/>
    <w:rsid w:val="002B6E95"/>
    <w:rsid w:val="002B6EC8"/>
    <w:rsid w:val="002B6F09"/>
    <w:rsid w:val="002B6F19"/>
    <w:rsid w:val="002B6F51"/>
    <w:rsid w:val="002B706F"/>
    <w:rsid w:val="002B70D3"/>
    <w:rsid w:val="002B7113"/>
    <w:rsid w:val="002B714F"/>
    <w:rsid w:val="002B71A0"/>
    <w:rsid w:val="002B7275"/>
    <w:rsid w:val="002B72E8"/>
    <w:rsid w:val="002B72F1"/>
    <w:rsid w:val="002B733E"/>
    <w:rsid w:val="002B736A"/>
    <w:rsid w:val="002B7391"/>
    <w:rsid w:val="002B73C7"/>
    <w:rsid w:val="002B73CF"/>
    <w:rsid w:val="002B73F4"/>
    <w:rsid w:val="002B73F6"/>
    <w:rsid w:val="002B7401"/>
    <w:rsid w:val="002B743E"/>
    <w:rsid w:val="002B74A6"/>
    <w:rsid w:val="002B74A9"/>
    <w:rsid w:val="002B74AB"/>
    <w:rsid w:val="002B74B8"/>
    <w:rsid w:val="002B750A"/>
    <w:rsid w:val="002B7519"/>
    <w:rsid w:val="002B7529"/>
    <w:rsid w:val="002B752A"/>
    <w:rsid w:val="002B7581"/>
    <w:rsid w:val="002B75A0"/>
    <w:rsid w:val="002B75B2"/>
    <w:rsid w:val="002B75B4"/>
    <w:rsid w:val="002B7606"/>
    <w:rsid w:val="002B7654"/>
    <w:rsid w:val="002B7656"/>
    <w:rsid w:val="002B7662"/>
    <w:rsid w:val="002B76DB"/>
    <w:rsid w:val="002B771A"/>
    <w:rsid w:val="002B773C"/>
    <w:rsid w:val="002B779C"/>
    <w:rsid w:val="002B77AB"/>
    <w:rsid w:val="002B77E3"/>
    <w:rsid w:val="002B77FB"/>
    <w:rsid w:val="002B7850"/>
    <w:rsid w:val="002B785F"/>
    <w:rsid w:val="002B78AE"/>
    <w:rsid w:val="002B78D0"/>
    <w:rsid w:val="002B78ED"/>
    <w:rsid w:val="002B7904"/>
    <w:rsid w:val="002B792E"/>
    <w:rsid w:val="002B79A7"/>
    <w:rsid w:val="002B7A4C"/>
    <w:rsid w:val="002B7A56"/>
    <w:rsid w:val="002B7A59"/>
    <w:rsid w:val="002B7A67"/>
    <w:rsid w:val="002B7A7F"/>
    <w:rsid w:val="002B7A81"/>
    <w:rsid w:val="002B7A88"/>
    <w:rsid w:val="002B7BCD"/>
    <w:rsid w:val="002B7C27"/>
    <w:rsid w:val="002B7C35"/>
    <w:rsid w:val="002B7CED"/>
    <w:rsid w:val="002B7CF2"/>
    <w:rsid w:val="002B7D0A"/>
    <w:rsid w:val="002B7D22"/>
    <w:rsid w:val="002B7D29"/>
    <w:rsid w:val="002B7D2B"/>
    <w:rsid w:val="002B7D64"/>
    <w:rsid w:val="002B7DCE"/>
    <w:rsid w:val="002B7DDA"/>
    <w:rsid w:val="002B7E53"/>
    <w:rsid w:val="002B7E67"/>
    <w:rsid w:val="002B7E93"/>
    <w:rsid w:val="002B7F5F"/>
    <w:rsid w:val="002B7FCB"/>
    <w:rsid w:val="002C000F"/>
    <w:rsid w:val="002C0043"/>
    <w:rsid w:val="002C00EA"/>
    <w:rsid w:val="002C0175"/>
    <w:rsid w:val="002C0180"/>
    <w:rsid w:val="002C01B2"/>
    <w:rsid w:val="002C01EC"/>
    <w:rsid w:val="002C0204"/>
    <w:rsid w:val="002C0222"/>
    <w:rsid w:val="002C0242"/>
    <w:rsid w:val="002C0260"/>
    <w:rsid w:val="002C0266"/>
    <w:rsid w:val="002C02D9"/>
    <w:rsid w:val="002C0312"/>
    <w:rsid w:val="002C039D"/>
    <w:rsid w:val="002C03AE"/>
    <w:rsid w:val="002C03F7"/>
    <w:rsid w:val="002C043C"/>
    <w:rsid w:val="002C044C"/>
    <w:rsid w:val="002C0491"/>
    <w:rsid w:val="002C04A5"/>
    <w:rsid w:val="002C04C5"/>
    <w:rsid w:val="002C04E3"/>
    <w:rsid w:val="002C051C"/>
    <w:rsid w:val="002C053F"/>
    <w:rsid w:val="002C05A5"/>
    <w:rsid w:val="002C05F9"/>
    <w:rsid w:val="002C067E"/>
    <w:rsid w:val="002C068F"/>
    <w:rsid w:val="002C06B3"/>
    <w:rsid w:val="002C06B4"/>
    <w:rsid w:val="002C06BA"/>
    <w:rsid w:val="002C06DA"/>
    <w:rsid w:val="002C06EA"/>
    <w:rsid w:val="002C06F2"/>
    <w:rsid w:val="002C072E"/>
    <w:rsid w:val="002C0757"/>
    <w:rsid w:val="002C07AE"/>
    <w:rsid w:val="002C084A"/>
    <w:rsid w:val="002C084F"/>
    <w:rsid w:val="002C0882"/>
    <w:rsid w:val="002C08E0"/>
    <w:rsid w:val="002C0902"/>
    <w:rsid w:val="002C093C"/>
    <w:rsid w:val="002C0972"/>
    <w:rsid w:val="002C099E"/>
    <w:rsid w:val="002C0A31"/>
    <w:rsid w:val="002C0A4A"/>
    <w:rsid w:val="002C0A82"/>
    <w:rsid w:val="002C0A94"/>
    <w:rsid w:val="002C0B69"/>
    <w:rsid w:val="002C0B7F"/>
    <w:rsid w:val="002C0B90"/>
    <w:rsid w:val="002C0BC7"/>
    <w:rsid w:val="002C0C52"/>
    <w:rsid w:val="002C0CD1"/>
    <w:rsid w:val="002C0CE3"/>
    <w:rsid w:val="002C0CE6"/>
    <w:rsid w:val="002C0CFB"/>
    <w:rsid w:val="002C0D7E"/>
    <w:rsid w:val="002C0DDE"/>
    <w:rsid w:val="002C0DFC"/>
    <w:rsid w:val="002C0E18"/>
    <w:rsid w:val="002C0E29"/>
    <w:rsid w:val="002C0E43"/>
    <w:rsid w:val="002C0E49"/>
    <w:rsid w:val="002C0E50"/>
    <w:rsid w:val="002C0E5C"/>
    <w:rsid w:val="002C0E74"/>
    <w:rsid w:val="002C0EFB"/>
    <w:rsid w:val="002C0F23"/>
    <w:rsid w:val="002C0F70"/>
    <w:rsid w:val="002C0F8F"/>
    <w:rsid w:val="002C1038"/>
    <w:rsid w:val="002C104B"/>
    <w:rsid w:val="002C1063"/>
    <w:rsid w:val="002C10A3"/>
    <w:rsid w:val="002C10F1"/>
    <w:rsid w:val="002C111F"/>
    <w:rsid w:val="002C1188"/>
    <w:rsid w:val="002C11AD"/>
    <w:rsid w:val="002C11C3"/>
    <w:rsid w:val="002C11EB"/>
    <w:rsid w:val="002C1239"/>
    <w:rsid w:val="002C1288"/>
    <w:rsid w:val="002C130D"/>
    <w:rsid w:val="002C1346"/>
    <w:rsid w:val="002C1387"/>
    <w:rsid w:val="002C13B1"/>
    <w:rsid w:val="002C13E9"/>
    <w:rsid w:val="002C1402"/>
    <w:rsid w:val="002C141F"/>
    <w:rsid w:val="002C146E"/>
    <w:rsid w:val="002C14DD"/>
    <w:rsid w:val="002C1540"/>
    <w:rsid w:val="002C155B"/>
    <w:rsid w:val="002C15B8"/>
    <w:rsid w:val="002C15C1"/>
    <w:rsid w:val="002C1622"/>
    <w:rsid w:val="002C1646"/>
    <w:rsid w:val="002C1691"/>
    <w:rsid w:val="002C16FA"/>
    <w:rsid w:val="002C1762"/>
    <w:rsid w:val="002C177A"/>
    <w:rsid w:val="002C18B6"/>
    <w:rsid w:val="002C18D3"/>
    <w:rsid w:val="002C191F"/>
    <w:rsid w:val="002C199E"/>
    <w:rsid w:val="002C1A07"/>
    <w:rsid w:val="002C1A11"/>
    <w:rsid w:val="002C1A7F"/>
    <w:rsid w:val="002C1AAD"/>
    <w:rsid w:val="002C1AD0"/>
    <w:rsid w:val="002C1AFC"/>
    <w:rsid w:val="002C1BAA"/>
    <w:rsid w:val="002C1BDB"/>
    <w:rsid w:val="002C1BF5"/>
    <w:rsid w:val="002C1C22"/>
    <w:rsid w:val="002C1C44"/>
    <w:rsid w:val="002C1C6B"/>
    <w:rsid w:val="002C1C7F"/>
    <w:rsid w:val="002C1C99"/>
    <w:rsid w:val="002C1CD9"/>
    <w:rsid w:val="002C1CEA"/>
    <w:rsid w:val="002C1CFD"/>
    <w:rsid w:val="002C1D1B"/>
    <w:rsid w:val="002C1D2B"/>
    <w:rsid w:val="002C1D4D"/>
    <w:rsid w:val="002C1D4E"/>
    <w:rsid w:val="002C1D6E"/>
    <w:rsid w:val="002C1D8C"/>
    <w:rsid w:val="002C1DCF"/>
    <w:rsid w:val="002C1DFF"/>
    <w:rsid w:val="002C1E1A"/>
    <w:rsid w:val="002C1E2F"/>
    <w:rsid w:val="002C1E36"/>
    <w:rsid w:val="002C1E69"/>
    <w:rsid w:val="002C1E87"/>
    <w:rsid w:val="002C1EC7"/>
    <w:rsid w:val="002C1F2B"/>
    <w:rsid w:val="002C1F85"/>
    <w:rsid w:val="002C1FD0"/>
    <w:rsid w:val="002C1FFF"/>
    <w:rsid w:val="002C2005"/>
    <w:rsid w:val="002C206D"/>
    <w:rsid w:val="002C20BD"/>
    <w:rsid w:val="002C20D1"/>
    <w:rsid w:val="002C211E"/>
    <w:rsid w:val="002C21B7"/>
    <w:rsid w:val="002C21E8"/>
    <w:rsid w:val="002C2212"/>
    <w:rsid w:val="002C2247"/>
    <w:rsid w:val="002C22B5"/>
    <w:rsid w:val="002C22F8"/>
    <w:rsid w:val="002C2322"/>
    <w:rsid w:val="002C235C"/>
    <w:rsid w:val="002C235F"/>
    <w:rsid w:val="002C2371"/>
    <w:rsid w:val="002C2374"/>
    <w:rsid w:val="002C23CA"/>
    <w:rsid w:val="002C23EA"/>
    <w:rsid w:val="002C240B"/>
    <w:rsid w:val="002C242B"/>
    <w:rsid w:val="002C2430"/>
    <w:rsid w:val="002C2465"/>
    <w:rsid w:val="002C2540"/>
    <w:rsid w:val="002C25E1"/>
    <w:rsid w:val="002C25F6"/>
    <w:rsid w:val="002C2607"/>
    <w:rsid w:val="002C2688"/>
    <w:rsid w:val="002C26EF"/>
    <w:rsid w:val="002C26F9"/>
    <w:rsid w:val="002C2773"/>
    <w:rsid w:val="002C277D"/>
    <w:rsid w:val="002C278F"/>
    <w:rsid w:val="002C27AF"/>
    <w:rsid w:val="002C27CD"/>
    <w:rsid w:val="002C27DD"/>
    <w:rsid w:val="002C2888"/>
    <w:rsid w:val="002C28C8"/>
    <w:rsid w:val="002C28D5"/>
    <w:rsid w:val="002C2942"/>
    <w:rsid w:val="002C296D"/>
    <w:rsid w:val="002C297C"/>
    <w:rsid w:val="002C29AC"/>
    <w:rsid w:val="002C29B7"/>
    <w:rsid w:val="002C2A14"/>
    <w:rsid w:val="002C2AD3"/>
    <w:rsid w:val="002C2AF4"/>
    <w:rsid w:val="002C2AF6"/>
    <w:rsid w:val="002C2B38"/>
    <w:rsid w:val="002C2B9B"/>
    <w:rsid w:val="002C2BAA"/>
    <w:rsid w:val="002C2C30"/>
    <w:rsid w:val="002C2C36"/>
    <w:rsid w:val="002C2C83"/>
    <w:rsid w:val="002C2C8D"/>
    <w:rsid w:val="002C2D0C"/>
    <w:rsid w:val="002C2D0D"/>
    <w:rsid w:val="002C2D10"/>
    <w:rsid w:val="002C2D49"/>
    <w:rsid w:val="002C2D9E"/>
    <w:rsid w:val="002C2DB4"/>
    <w:rsid w:val="002C2DD9"/>
    <w:rsid w:val="002C2E0C"/>
    <w:rsid w:val="002C2E4D"/>
    <w:rsid w:val="002C2E58"/>
    <w:rsid w:val="002C2E69"/>
    <w:rsid w:val="002C2E80"/>
    <w:rsid w:val="002C2E97"/>
    <w:rsid w:val="002C2F7A"/>
    <w:rsid w:val="002C3022"/>
    <w:rsid w:val="002C3037"/>
    <w:rsid w:val="002C3052"/>
    <w:rsid w:val="002C306F"/>
    <w:rsid w:val="002C308D"/>
    <w:rsid w:val="002C30AC"/>
    <w:rsid w:val="002C3105"/>
    <w:rsid w:val="002C314C"/>
    <w:rsid w:val="002C31F7"/>
    <w:rsid w:val="002C321B"/>
    <w:rsid w:val="002C3263"/>
    <w:rsid w:val="002C326D"/>
    <w:rsid w:val="002C329B"/>
    <w:rsid w:val="002C32A6"/>
    <w:rsid w:val="002C32AF"/>
    <w:rsid w:val="002C3312"/>
    <w:rsid w:val="002C337F"/>
    <w:rsid w:val="002C33A3"/>
    <w:rsid w:val="002C33D3"/>
    <w:rsid w:val="002C3407"/>
    <w:rsid w:val="002C3411"/>
    <w:rsid w:val="002C3443"/>
    <w:rsid w:val="002C3499"/>
    <w:rsid w:val="002C34EB"/>
    <w:rsid w:val="002C3524"/>
    <w:rsid w:val="002C3564"/>
    <w:rsid w:val="002C3579"/>
    <w:rsid w:val="002C3597"/>
    <w:rsid w:val="002C35C7"/>
    <w:rsid w:val="002C35EB"/>
    <w:rsid w:val="002C366D"/>
    <w:rsid w:val="002C36BD"/>
    <w:rsid w:val="002C36ED"/>
    <w:rsid w:val="002C3733"/>
    <w:rsid w:val="002C3754"/>
    <w:rsid w:val="002C3756"/>
    <w:rsid w:val="002C3767"/>
    <w:rsid w:val="002C3768"/>
    <w:rsid w:val="002C3811"/>
    <w:rsid w:val="002C383D"/>
    <w:rsid w:val="002C3849"/>
    <w:rsid w:val="002C38BB"/>
    <w:rsid w:val="002C38EF"/>
    <w:rsid w:val="002C3984"/>
    <w:rsid w:val="002C398E"/>
    <w:rsid w:val="002C39A5"/>
    <w:rsid w:val="002C39AB"/>
    <w:rsid w:val="002C39BC"/>
    <w:rsid w:val="002C39C0"/>
    <w:rsid w:val="002C39CE"/>
    <w:rsid w:val="002C39DC"/>
    <w:rsid w:val="002C39F4"/>
    <w:rsid w:val="002C3A00"/>
    <w:rsid w:val="002C3A2E"/>
    <w:rsid w:val="002C3A9E"/>
    <w:rsid w:val="002C3AB8"/>
    <w:rsid w:val="002C3B9C"/>
    <w:rsid w:val="002C3BB0"/>
    <w:rsid w:val="002C3BB5"/>
    <w:rsid w:val="002C3BD3"/>
    <w:rsid w:val="002C3BE3"/>
    <w:rsid w:val="002C3C3F"/>
    <w:rsid w:val="002C3C83"/>
    <w:rsid w:val="002C3C95"/>
    <w:rsid w:val="002C3CE0"/>
    <w:rsid w:val="002C3D01"/>
    <w:rsid w:val="002C3D7F"/>
    <w:rsid w:val="002C3D8A"/>
    <w:rsid w:val="002C3DD8"/>
    <w:rsid w:val="002C3E60"/>
    <w:rsid w:val="002C3EA2"/>
    <w:rsid w:val="002C3F71"/>
    <w:rsid w:val="002C3F78"/>
    <w:rsid w:val="002C3F96"/>
    <w:rsid w:val="002C3FA2"/>
    <w:rsid w:val="002C3FB7"/>
    <w:rsid w:val="002C4007"/>
    <w:rsid w:val="002C4028"/>
    <w:rsid w:val="002C4067"/>
    <w:rsid w:val="002C4082"/>
    <w:rsid w:val="002C40CD"/>
    <w:rsid w:val="002C4107"/>
    <w:rsid w:val="002C4112"/>
    <w:rsid w:val="002C411A"/>
    <w:rsid w:val="002C41A0"/>
    <w:rsid w:val="002C41F4"/>
    <w:rsid w:val="002C424B"/>
    <w:rsid w:val="002C4309"/>
    <w:rsid w:val="002C430A"/>
    <w:rsid w:val="002C4372"/>
    <w:rsid w:val="002C4385"/>
    <w:rsid w:val="002C43AE"/>
    <w:rsid w:val="002C43E9"/>
    <w:rsid w:val="002C43EF"/>
    <w:rsid w:val="002C4451"/>
    <w:rsid w:val="002C4492"/>
    <w:rsid w:val="002C4497"/>
    <w:rsid w:val="002C455B"/>
    <w:rsid w:val="002C4571"/>
    <w:rsid w:val="002C4664"/>
    <w:rsid w:val="002C468A"/>
    <w:rsid w:val="002C4708"/>
    <w:rsid w:val="002C4739"/>
    <w:rsid w:val="002C47BC"/>
    <w:rsid w:val="002C47DB"/>
    <w:rsid w:val="002C47E1"/>
    <w:rsid w:val="002C47E4"/>
    <w:rsid w:val="002C4808"/>
    <w:rsid w:val="002C4817"/>
    <w:rsid w:val="002C4875"/>
    <w:rsid w:val="002C487A"/>
    <w:rsid w:val="002C488E"/>
    <w:rsid w:val="002C48C1"/>
    <w:rsid w:val="002C4954"/>
    <w:rsid w:val="002C4966"/>
    <w:rsid w:val="002C4992"/>
    <w:rsid w:val="002C49D2"/>
    <w:rsid w:val="002C4A56"/>
    <w:rsid w:val="002C4A96"/>
    <w:rsid w:val="002C4B40"/>
    <w:rsid w:val="002C4B84"/>
    <w:rsid w:val="002C4B9A"/>
    <w:rsid w:val="002C4BBE"/>
    <w:rsid w:val="002C4C46"/>
    <w:rsid w:val="002C4C76"/>
    <w:rsid w:val="002C4CBC"/>
    <w:rsid w:val="002C4CEE"/>
    <w:rsid w:val="002C4D48"/>
    <w:rsid w:val="002C4D50"/>
    <w:rsid w:val="002C4D61"/>
    <w:rsid w:val="002C4DFA"/>
    <w:rsid w:val="002C4E0E"/>
    <w:rsid w:val="002C4EE2"/>
    <w:rsid w:val="002C4EE9"/>
    <w:rsid w:val="002C4F9E"/>
    <w:rsid w:val="002C4FAE"/>
    <w:rsid w:val="002C505C"/>
    <w:rsid w:val="002C5099"/>
    <w:rsid w:val="002C50BD"/>
    <w:rsid w:val="002C50FD"/>
    <w:rsid w:val="002C5102"/>
    <w:rsid w:val="002C5104"/>
    <w:rsid w:val="002C5105"/>
    <w:rsid w:val="002C5117"/>
    <w:rsid w:val="002C512B"/>
    <w:rsid w:val="002C5153"/>
    <w:rsid w:val="002C51B7"/>
    <w:rsid w:val="002C51D7"/>
    <w:rsid w:val="002C51F2"/>
    <w:rsid w:val="002C520C"/>
    <w:rsid w:val="002C522A"/>
    <w:rsid w:val="002C5232"/>
    <w:rsid w:val="002C52B1"/>
    <w:rsid w:val="002C52CF"/>
    <w:rsid w:val="002C52FD"/>
    <w:rsid w:val="002C530B"/>
    <w:rsid w:val="002C5323"/>
    <w:rsid w:val="002C5333"/>
    <w:rsid w:val="002C5338"/>
    <w:rsid w:val="002C5347"/>
    <w:rsid w:val="002C534A"/>
    <w:rsid w:val="002C539F"/>
    <w:rsid w:val="002C5400"/>
    <w:rsid w:val="002C548F"/>
    <w:rsid w:val="002C54E2"/>
    <w:rsid w:val="002C5519"/>
    <w:rsid w:val="002C553B"/>
    <w:rsid w:val="002C55B5"/>
    <w:rsid w:val="002C55C5"/>
    <w:rsid w:val="002C55F6"/>
    <w:rsid w:val="002C566F"/>
    <w:rsid w:val="002C56ED"/>
    <w:rsid w:val="002C572B"/>
    <w:rsid w:val="002C5777"/>
    <w:rsid w:val="002C57F9"/>
    <w:rsid w:val="002C581C"/>
    <w:rsid w:val="002C58BC"/>
    <w:rsid w:val="002C58DD"/>
    <w:rsid w:val="002C5962"/>
    <w:rsid w:val="002C5966"/>
    <w:rsid w:val="002C599E"/>
    <w:rsid w:val="002C59A0"/>
    <w:rsid w:val="002C5A9E"/>
    <w:rsid w:val="002C5B30"/>
    <w:rsid w:val="002C5B45"/>
    <w:rsid w:val="002C5B60"/>
    <w:rsid w:val="002C5BEE"/>
    <w:rsid w:val="002C5C6B"/>
    <w:rsid w:val="002C5C7A"/>
    <w:rsid w:val="002C5CD0"/>
    <w:rsid w:val="002C5CE1"/>
    <w:rsid w:val="002C5D1D"/>
    <w:rsid w:val="002C5D25"/>
    <w:rsid w:val="002C5D91"/>
    <w:rsid w:val="002C5DC0"/>
    <w:rsid w:val="002C5E33"/>
    <w:rsid w:val="002C5E83"/>
    <w:rsid w:val="002C5E9A"/>
    <w:rsid w:val="002C5EEE"/>
    <w:rsid w:val="002C5EFF"/>
    <w:rsid w:val="002C5F33"/>
    <w:rsid w:val="002C5F43"/>
    <w:rsid w:val="002C5F95"/>
    <w:rsid w:val="002C5F99"/>
    <w:rsid w:val="002C5FA9"/>
    <w:rsid w:val="002C5FB7"/>
    <w:rsid w:val="002C6013"/>
    <w:rsid w:val="002C601C"/>
    <w:rsid w:val="002C6038"/>
    <w:rsid w:val="002C60A6"/>
    <w:rsid w:val="002C60ED"/>
    <w:rsid w:val="002C611D"/>
    <w:rsid w:val="002C6180"/>
    <w:rsid w:val="002C61FE"/>
    <w:rsid w:val="002C62CE"/>
    <w:rsid w:val="002C62ED"/>
    <w:rsid w:val="002C6305"/>
    <w:rsid w:val="002C6360"/>
    <w:rsid w:val="002C6362"/>
    <w:rsid w:val="002C63A8"/>
    <w:rsid w:val="002C646D"/>
    <w:rsid w:val="002C64FA"/>
    <w:rsid w:val="002C650F"/>
    <w:rsid w:val="002C6569"/>
    <w:rsid w:val="002C65A8"/>
    <w:rsid w:val="002C65B9"/>
    <w:rsid w:val="002C6637"/>
    <w:rsid w:val="002C663E"/>
    <w:rsid w:val="002C6641"/>
    <w:rsid w:val="002C6651"/>
    <w:rsid w:val="002C665F"/>
    <w:rsid w:val="002C6695"/>
    <w:rsid w:val="002C66AA"/>
    <w:rsid w:val="002C66CE"/>
    <w:rsid w:val="002C66D4"/>
    <w:rsid w:val="002C6720"/>
    <w:rsid w:val="002C672F"/>
    <w:rsid w:val="002C674E"/>
    <w:rsid w:val="002C675F"/>
    <w:rsid w:val="002C6771"/>
    <w:rsid w:val="002C67EA"/>
    <w:rsid w:val="002C6824"/>
    <w:rsid w:val="002C682E"/>
    <w:rsid w:val="002C687D"/>
    <w:rsid w:val="002C68F4"/>
    <w:rsid w:val="002C69FF"/>
    <w:rsid w:val="002C6A6F"/>
    <w:rsid w:val="002C6A74"/>
    <w:rsid w:val="002C6AB7"/>
    <w:rsid w:val="002C6B1D"/>
    <w:rsid w:val="002C6B49"/>
    <w:rsid w:val="002C6B64"/>
    <w:rsid w:val="002C6B90"/>
    <w:rsid w:val="002C6B97"/>
    <w:rsid w:val="002C6CAC"/>
    <w:rsid w:val="002C6CB8"/>
    <w:rsid w:val="002C6D1F"/>
    <w:rsid w:val="002C6DA0"/>
    <w:rsid w:val="002C6DAB"/>
    <w:rsid w:val="002C6DE6"/>
    <w:rsid w:val="002C6DEC"/>
    <w:rsid w:val="002C6DEE"/>
    <w:rsid w:val="002C6E10"/>
    <w:rsid w:val="002C6F00"/>
    <w:rsid w:val="002C6F15"/>
    <w:rsid w:val="002C6F9E"/>
    <w:rsid w:val="002C6FB0"/>
    <w:rsid w:val="002C6FCA"/>
    <w:rsid w:val="002C6FDD"/>
    <w:rsid w:val="002C6FEB"/>
    <w:rsid w:val="002C709A"/>
    <w:rsid w:val="002C70BE"/>
    <w:rsid w:val="002C70D6"/>
    <w:rsid w:val="002C70FE"/>
    <w:rsid w:val="002C712A"/>
    <w:rsid w:val="002C7160"/>
    <w:rsid w:val="002C7164"/>
    <w:rsid w:val="002C7200"/>
    <w:rsid w:val="002C7236"/>
    <w:rsid w:val="002C7255"/>
    <w:rsid w:val="002C72AA"/>
    <w:rsid w:val="002C72D7"/>
    <w:rsid w:val="002C72D8"/>
    <w:rsid w:val="002C72F1"/>
    <w:rsid w:val="002C7311"/>
    <w:rsid w:val="002C732B"/>
    <w:rsid w:val="002C7469"/>
    <w:rsid w:val="002C746B"/>
    <w:rsid w:val="002C7484"/>
    <w:rsid w:val="002C7499"/>
    <w:rsid w:val="002C74BE"/>
    <w:rsid w:val="002C74F1"/>
    <w:rsid w:val="002C7529"/>
    <w:rsid w:val="002C7534"/>
    <w:rsid w:val="002C7542"/>
    <w:rsid w:val="002C754D"/>
    <w:rsid w:val="002C7570"/>
    <w:rsid w:val="002C75E3"/>
    <w:rsid w:val="002C75FC"/>
    <w:rsid w:val="002C761A"/>
    <w:rsid w:val="002C766F"/>
    <w:rsid w:val="002C7687"/>
    <w:rsid w:val="002C76E1"/>
    <w:rsid w:val="002C76F2"/>
    <w:rsid w:val="002C770E"/>
    <w:rsid w:val="002C772C"/>
    <w:rsid w:val="002C7748"/>
    <w:rsid w:val="002C776E"/>
    <w:rsid w:val="002C77B9"/>
    <w:rsid w:val="002C77CB"/>
    <w:rsid w:val="002C77E4"/>
    <w:rsid w:val="002C7819"/>
    <w:rsid w:val="002C786F"/>
    <w:rsid w:val="002C78B3"/>
    <w:rsid w:val="002C78FA"/>
    <w:rsid w:val="002C7942"/>
    <w:rsid w:val="002C794A"/>
    <w:rsid w:val="002C799F"/>
    <w:rsid w:val="002C79E5"/>
    <w:rsid w:val="002C79F2"/>
    <w:rsid w:val="002C7AA7"/>
    <w:rsid w:val="002C7AAE"/>
    <w:rsid w:val="002C7AD5"/>
    <w:rsid w:val="002C7B12"/>
    <w:rsid w:val="002C7B38"/>
    <w:rsid w:val="002C7B48"/>
    <w:rsid w:val="002C7B57"/>
    <w:rsid w:val="002C7BDA"/>
    <w:rsid w:val="002C7C12"/>
    <w:rsid w:val="002C7C66"/>
    <w:rsid w:val="002C7CFF"/>
    <w:rsid w:val="002C7D2D"/>
    <w:rsid w:val="002C7D44"/>
    <w:rsid w:val="002C7D49"/>
    <w:rsid w:val="002C7D60"/>
    <w:rsid w:val="002C7D63"/>
    <w:rsid w:val="002C7D70"/>
    <w:rsid w:val="002C7DB1"/>
    <w:rsid w:val="002C7DD8"/>
    <w:rsid w:val="002C7DFB"/>
    <w:rsid w:val="002C7E39"/>
    <w:rsid w:val="002C7F59"/>
    <w:rsid w:val="002C7F63"/>
    <w:rsid w:val="002C7F9E"/>
    <w:rsid w:val="002D0000"/>
    <w:rsid w:val="002D0023"/>
    <w:rsid w:val="002D0048"/>
    <w:rsid w:val="002D0051"/>
    <w:rsid w:val="002D0077"/>
    <w:rsid w:val="002D00F5"/>
    <w:rsid w:val="002D0106"/>
    <w:rsid w:val="002D0131"/>
    <w:rsid w:val="002D0132"/>
    <w:rsid w:val="002D0133"/>
    <w:rsid w:val="002D013E"/>
    <w:rsid w:val="002D01AC"/>
    <w:rsid w:val="002D01E6"/>
    <w:rsid w:val="002D01EE"/>
    <w:rsid w:val="002D025F"/>
    <w:rsid w:val="002D027D"/>
    <w:rsid w:val="002D02CA"/>
    <w:rsid w:val="002D02D8"/>
    <w:rsid w:val="002D02DC"/>
    <w:rsid w:val="002D031D"/>
    <w:rsid w:val="002D036D"/>
    <w:rsid w:val="002D0371"/>
    <w:rsid w:val="002D0384"/>
    <w:rsid w:val="002D0394"/>
    <w:rsid w:val="002D0421"/>
    <w:rsid w:val="002D0431"/>
    <w:rsid w:val="002D048B"/>
    <w:rsid w:val="002D0496"/>
    <w:rsid w:val="002D049A"/>
    <w:rsid w:val="002D0550"/>
    <w:rsid w:val="002D05EF"/>
    <w:rsid w:val="002D061A"/>
    <w:rsid w:val="002D064E"/>
    <w:rsid w:val="002D064F"/>
    <w:rsid w:val="002D06D6"/>
    <w:rsid w:val="002D0713"/>
    <w:rsid w:val="002D0771"/>
    <w:rsid w:val="002D07C5"/>
    <w:rsid w:val="002D07E6"/>
    <w:rsid w:val="002D081D"/>
    <w:rsid w:val="002D0834"/>
    <w:rsid w:val="002D0843"/>
    <w:rsid w:val="002D0876"/>
    <w:rsid w:val="002D08AA"/>
    <w:rsid w:val="002D08B0"/>
    <w:rsid w:val="002D08E4"/>
    <w:rsid w:val="002D08F3"/>
    <w:rsid w:val="002D095B"/>
    <w:rsid w:val="002D0969"/>
    <w:rsid w:val="002D098C"/>
    <w:rsid w:val="002D09B1"/>
    <w:rsid w:val="002D09BC"/>
    <w:rsid w:val="002D09D9"/>
    <w:rsid w:val="002D0A0B"/>
    <w:rsid w:val="002D0A47"/>
    <w:rsid w:val="002D0A4B"/>
    <w:rsid w:val="002D0AB4"/>
    <w:rsid w:val="002D0B46"/>
    <w:rsid w:val="002D0B51"/>
    <w:rsid w:val="002D0BA3"/>
    <w:rsid w:val="002D0BD1"/>
    <w:rsid w:val="002D0C17"/>
    <w:rsid w:val="002D0C29"/>
    <w:rsid w:val="002D0CA2"/>
    <w:rsid w:val="002D0D02"/>
    <w:rsid w:val="002D0DA5"/>
    <w:rsid w:val="002D0DAF"/>
    <w:rsid w:val="002D0DF3"/>
    <w:rsid w:val="002D0E45"/>
    <w:rsid w:val="002D0E59"/>
    <w:rsid w:val="002D0E5C"/>
    <w:rsid w:val="002D0EF2"/>
    <w:rsid w:val="002D0F21"/>
    <w:rsid w:val="002D0F52"/>
    <w:rsid w:val="002D0F57"/>
    <w:rsid w:val="002D0F7D"/>
    <w:rsid w:val="002D0F91"/>
    <w:rsid w:val="002D102D"/>
    <w:rsid w:val="002D1032"/>
    <w:rsid w:val="002D103D"/>
    <w:rsid w:val="002D104B"/>
    <w:rsid w:val="002D106C"/>
    <w:rsid w:val="002D10BA"/>
    <w:rsid w:val="002D1171"/>
    <w:rsid w:val="002D11E6"/>
    <w:rsid w:val="002D122B"/>
    <w:rsid w:val="002D122D"/>
    <w:rsid w:val="002D1239"/>
    <w:rsid w:val="002D12A9"/>
    <w:rsid w:val="002D12AF"/>
    <w:rsid w:val="002D12C6"/>
    <w:rsid w:val="002D12DA"/>
    <w:rsid w:val="002D1307"/>
    <w:rsid w:val="002D13F7"/>
    <w:rsid w:val="002D1439"/>
    <w:rsid w:val="002D149A"/>
    <w:rsid w:val="002D14A1"/>
    <w:rsid w:val="002D14AF"/>
    <w:rsid w:val="002D14CD"/>
    <w:rsid w:val="002D14FA"/>
    <w:rsid w:val="002D1531"/>
    <w:rsid w:val="002D1584"/>
    <w:rsid w:val="002D15D7"/>
    <w:rsid w:val="002D15E3"/>
    <w:rsid w:val="002D15FE"/>
    <w:rsid w:val="002D168B"/>
    <w:rsid w:val="002D16A2"/>
    <w:rsid w:val="002D1710"/>
    <w:rsid w:val="002D17A6"/>
    <w:rsid w:val="002D17DF"/>
    <w:rsid w:val="002D1844"/>
    <w:rsid w:val="002D186F"/>
    <w:rsid w:val="002D18B8"/>
    <w:rsid w:val="002D18E4"/>
    <w:rsid w:val="002D18EE"/>
    <w:rsid w:val="002D18F3"/>
    <w:rsid w:val="002D1948"/>
    <w:rsid w:val="002D1949"/>
    <w:rsid w:val="002D194E"/>
    <w:rsid w:val="002D1992"/>
    <w:rsid w:val="002D1A6E"/>
    <w:rsid w:val="002D1AFA"/>
    <w:rsid w:val="002D1B7F"/>
    <w:rsid w:val="002D1BB4"/>
    <w:rsid w:val="002D1C12"/>
    <w:rsid w:val="002D1C24"/>
    <w:rsid w:val="002D1C69"/>
    <w:rsid w:val="002D1C79"/>
    <w:rsid w:val="002D1C83"/>
    <w:rsid w:val="002D1C93"/>
    <w:rsid w:val="002D1CC8"/>
    <w:rsid w:val="002D1CDB"/>
    <w:rsid w:val="002D1DAF"/>
    <w:rsid w:val="002D1DCE"/>
    <w:rsid w:val="002D1EB4"/>
    <w:rsid w:val="002D1F20"/>
    <w:rsid w:val="002D1F4C"/>
    <w:rsid w:val="002D1FB4"/>
    <w:rsid w:val="002D1FCB"/>
    <w:rsid w:val="002D1FDF"/>
    <w:rsid w:val="002D2040"/>
    <w:rsid w:val="002D205D"/>
    <w:rsid w:val="002D206F"/>
    <w:rsid w:val="002D20E9"/>
    <w:rsid w:val="002D2119"/>
    <w:rsid w:val="002D213F"/>
    <w:rsid w:val="002D215F"/>
    <w:rsid w:val="002D216A"/>
    <w:rsid w:val="002D2210"/>
    <w:rsid w:val="002D2287"/>
    <w:rsid w:val="002D22E8"/>
    <w:rsid w:val="002D22F2"/>
    <w:rsid w:val="002D231B"/>
    <w:rsid w:val="002D232E"/>
    <w:rsid w:val="002D239F"/>
    <w:rsid w:val="002D23B8"/>
    <w:rsid w:val="002D24F0"/>
    <w:rsid w:val="002D24F9"/>
    <w:rsid w:val="002D2526"/>
    <w:rsid w:val="002D256F"/>
    <w:rsid w:val="002D259D"/>
    <w:rsid w:val="002D25E7"/>
    <w:rsid w:val="002D2647"/>
    <w:rsid w:val="002D264C"/>
    <w:rsid w:val="002D26B1"/>
    <w:rsid w:val="002D287F"/>
    <w:rsid w:val="002D2898"/>
    <w:rsid w:val="002D2899"/>
    <w:rsid w:val="002D289D"/>
    <w:rsid w:val="002D28CA"/>
    <w:rsid w:val="002D2933"/>
    <w:rsid w:val="002D29AB"/>
    <w:rsid w:val="002D29C3"/>
    <w:rsid w:val="002D29CB"/>
    <w:rsid w:val="002D2A47"/>
    <w:rsid w:val="002D2A9D"/>
    <w:rsid w:val="002D2ADF"/>
    <w:rsid w:val="002D2B16"/>
    <w:rsid w:val="002D2B99"/>
    <w:rsid w:val="002D2BD0"/>
    <w:rsid w:val="002D2BF3"/>
    <w:rsid w:val="002D2C02"/>
    <w:rsid w:val="002D2C04"/>
    <w:rsid w:val="002D2C15"/>
    <w:rsid w:val="002D2C42"/>
    <w:rsid w:val="002D2CAD"/>
    <w:rsid w:val="002D2CB7"/>
    <w:rsid w:val="002D2CE3"/>
    <w:rsid w:val="002D2CF3"/>
    <w:rsid w:val="002D2D7B"/>
    <w:rsid w:val="002D2D87"/>
    <w:rsid w:val="002D2D9A"/>
    <w:rsid w:val="002D2DA8"/>
    <w:rsid w:val="002D2DC4"/>
    <w:rsid w:val="002D2DD9"/>
    <w:rsid w:val="002D2E26"/>
    <w:rsid w:val="002D2E2C"/>
    <w:rsid w:val="002D2E34"/>
    <w:rsid w:val="002D2E55"/>
    <w:rsid w:val="002D2E5D"/>
    <w:rsid w:val="002D2E8B"/>
    <w:rsid w:val="002D2EA7"/>
    <w:rsid w:val="002D2EB4"/>
    <w:rsid w:val="002D2EBA"/>
    <w:rsid w:val="002D2EDF"/>
    <w:rsid w:val="002D2F03"/>
    <w:rsid w:val="002D2F8C"/>
    <w:rsid w:val="002D2FB5"/>
    <w:rsid w:val="002D2FEF"/>
    <w:rsid w:val="002D3053"/>
    <w:rsid w:val="002D3056"/>
    <w:rsid w:val="002D305C"/>
    <w:rsid w:val="002D3069"/>
    <w:rsid w:val="002D30C6"/>
    <w:rsid w:val="002D30FA"/>
    <w:rsid w:val="002D3117"/>
    <w:rsid w:val="002D312C"/>
    <w:rsid w:val="002D312D"/>
    <w:rsid w:val="002D318E"/>
    <w:rsid w:val="002D31D9"/>
    <w:rsid w:val="002D3230"/>
    <w:rsid w:val="002D3251"/>
    <w:rsid w:val="002D327C"/>
    <w:rsid w:val="002D3285"/>
    <w:rsid w:val="002D32B0"/>
    <w:rsid w:val="002D32B6"/>
    <w:rsid w:val="002D32BF"/>
    <w:rsid w:val="002D32C6"/>
    <w:rsid w:val="002D3325"/>
    <w:rsid w:val="002D3334"/>
    <w:rsid w:val="002D3354"/>
    <w:rsid w:val="002D3391"/>
    <w:rsid w:val="002D33DE"/>
    <w:rsid w:val="002D3423"/>
    <w:rsid w:val="002D344B"/>
    <w:rsid w:val="002D3490"/>
    <w:rsid w:val="002D34C5"/>
    <w:rsid w:val="002D34C9"/>
    <w:rsid w:val="002D34F4"/>
    <w:rsid w:val="002D3502"/>
    <w:rsid w:val="002D364D"/>
    <w:rsid w:val="002D369D"/>
    <w:rsid w:val="002D36BB"/>
    <w:rsid w:val="002D36F2"/>
    <w:rsid w:val="002D371D"/>
    <w:rsid w:val="002D37BE"/>
    <w:rsid w:val="002D37F6"/>
    <w:rsid w:val="002D3823"/>
    <w:rsid w:val="002D38AF"/>
    <w:rsid w:val="002D38B4"/>
    <w:rsid w:val="002D38B7"/>
    <w:rsid w:val="002D38C2"/>
    <w:rsid w:val="002D38CE"/>
    <w:rsid w:val="002D3913"/>
    <w:rsid w:val="002D3932"/>
    <w:rsid w:val="002D393D"/>
    <w:rsid w:val="002D3943"/>
    <w:rsid w:val="002D3978"/>
    <w:rsid w:val="002D39A5"/>
    <w:rsid w:val="002D3A48"/>
    <w:rsid w:val="002D3A8A"/>
    <w:rsid w:val="002D3A9E"/>
    <w:rsid w:val="002D3ABE"/>
    <w:rsid w:val="002D3AD9"/>
    <w:rsid w:val="002D3B05"/>
    <w:rsid w:val="002D3B48"/>
    <w:rsid w:val="002D3B86"/>
    <w:rsid w:val="002D3B95"/>
    <w:rsid w:val="002D3BB6"/>
    <w:rsid w:val="002D3BDC"/>
    <w:rsid w:val="002D3BEB"/>
    <w:rsid w:val="002D3C25"/>
    <w:rsid w:val="002D3C31"/>
    <w:rsid w:val="002D3C34"/>
    <w:rsid w:val="002D3C3F"/>
    <w:rsid w:val="002D3C55"/>
    <w:rsid w:val="002D3C76"/>
    <w:rsid w:val="002D3C7C"/>
    <w:rsid w:val="002D3C88"/>
    <w:rsid w:val="002D3CA2"/>
    <w:rsid w:val="002D3CCD"/>
    <w:rsid w:val="002D3D34"/>
    <w:rsid w:val="002D3D4C"/>
    <w:rsid w:val="002D3D4F"/>
    <w:rsid w:val="002D3D89"/>
    <w:rsid w:val="002D3D8B"/>
    <w:rsid w:val="002D3DAD"/>
    <w:rsid w:val="002D3DBD"/>
    <w:rsid w:val="002D3DEF"/>
    <w:rsid w:val="002D3E04"/>
    <w:rsid w:val="002D3E49"/>
    <w:rsid w:val="002D3E8C"/>
    <w:rsid w:val="002D3E94"/>
    <w:rsid w:val="002D3EB4"/>
    <w:rsid w:val="002D3ED3"/>
    <w:rsid w:val="002D3EE9"/>
    <w:rsid w:val="002D3F00"/>
    <w:rsid w:val="002D3F24"/>
    <w:rsid w:val="002D3F58"/>
    <w:rsid w:val="002D3F76"/>
    <w:rsid w:val="002D4003"/>
    <w:rsid w:val="002D4059"/>
    <w:rsid w:val="002D4076"/>
    <w:rsid w:val="002D40CC"/>
    <w:rsid w:val="002D418A"/>
    <w:rsid w:val="002D41B6"/>
    <w:rsid w:val="002D4273"/>
    <w:rsid w:val="002D427B"/>
    <w:rsid w:val="002D427E"/>
    <w:rsid w:val="002D429F"/>
    <w:rsid w:val="002D42B9"/>
    <w:rsid w:val="002D42FA"/>
    <w:rsid w:val="002D434D"/>
    <w:rsid w:val="002D43CB"/>
    <w:rsid w:val="002D4487"/>
    <w:rsid w:val="002D44AB"/>
    <w:rsid w:val="002D4565"/>
    <w:rsid w:val="002D45B3"/>
    <w:rsid w:val="002D45E4"/>
    <w:rsid w:val="002D4635"/>
    <w:rsid w:val="002D46E4"/>
    <w:rsid w:val="002D47D2"/>
    <w:rsid w:val="002D47D6"/>
    <w:rsid w:val="002D47E0"/>
    <w:rsid w:val="002D480A"/>
    <w:rsid w:val="002D4827"/>
    <w:rsid w:val="002D487A"/>
    <w:rsid w:val="002D48B5"/>
    <w:rsid w:val="002D48DA"/>
    <w:rsid w:val="002D490F"/>
    <w:rsid w:val="002D4992"/>
    <w:rsid w:val="002D4996"/>
    <w:rsid w:val="002D49C2"/>
    <w:rsid w:val="002D49E7"/>
    <w:rsid w:val="002D4A00"/>
    <w:rsid w:val="002D4A22"/>
    <w:rsid w:val="002D4A9D"/>
    <w:rsid w:val="002D4B20"/>
    <w:rsid w:val="002D4B2F"/>
    <w:rsid w:val="002D4B34"/>
    <w:rsid w:val="002D4B6D"/>
    <w:rsid w:val="002D4B77"/>
    <w:rsid w:val="002D4BA1"/>
    <w:rsid w:val="002D4BBB"/>
    <w:rsid w:val="002D4BDA"/>
    <w:rsid w:val="002D4C39"/>
    <w:rsid w:val="002D4C7B"/>
    <w:rsid w:val="002D4C85"/>
    <w:rsid w:val="002D4C9B"/>
    <w:rsid w:val="002D4CE6"/>
    <w:rsid w:val="002D4D00"/>
    <w:rsid w:val="002D4D12"/>
    <w:rsid w:val="002D4D16"/>
    <w:rsid w:val="002D4D42"/>
    <w:rsid w:val="002D4D70"/>
    <w:rsid w:val="002D4D7A"/>
    <w:rsid w:val="002D4D8B"/>
    <w:rsid w:val="002D4D9E"/>
    <w:rsid w:val="002D4E7A"/>
    <w:rsid w:val="002D4E81"/>
    <w:rsid w:val="002D4EA8"/>
    <w:rsid w:val="002D4EAE"/>
    <w:rsid w:val="002D4EC1"/>
    <w:rsid w:val="002D4EC4"/>
    <w:rsid w:val="002D4ECE"/>
    <w:rsid w:val="002D4FA2"/>
    <w:rsid w:val="002D5024"/>
    <w:rsid w:val="002D503C"/>
    <w:rsid w:val="002D506A"/>
    <w:rsid w:val="002D5121"/>
    <w:rsid w:val="002D5131"/>
    <w:rsid w:val="002D516D"/>
    <w:rsid w:val="002D519A"/>
    <w:rsid w:val="002D51A4"/>
    <w:rsid w:val="002D5207"/>
    <w:rsid w:val="002D5209"/>
    <w:rsid w:val="002D5311"/>
    <w:rsid w:val="002D531E"/>
    <w:rsid w:val="002D535C"/>
    <w:rsid w:val="002D5390"/>
    <w:rsid w:val="002D5394"/>
    <w:rsid w:val="002D53D8"/>
    <w:rsid w:val="002D5405"/>
    <w:rsid w:val="002D5422"/>
    <w:rsid w:val="002D5448"/>
    <w:rsid w:val="002D54A0"/>
    <w:rsid w:val="002D54E6"/>
    <w:rsid w:val="002D5510"/>
    <w:rsid w:val="002D5517"/>
    <w:rsid w:val="002D553F"/>
    <w:rsid w:val="002D55C3"/>
    <w:rsid w:val="002D562F"/>
    <w:rsid w:val="002D5662"/>
    <w:rsid w:val="002D5667"/>
    <w:rsid w:val="002D569F"/>
    <w:rsid w:val="002D56DF"/>
    <w:rsid w:val="002D56F0"/>
    <w:rsid w:val="002D56F9"/>
    <w:rsid w:val="002D5725"/>
    <w:rsid w:val="002D572A"/>
    <w:rsid w:val="002D572B"/>
    <w:rsid w:val="002D573B"/>
    <w:rsid w:val="002D5762"/>
    <w:rsid w:val="002D5764"/>
    <w:rsid w:val="002D5769"/>
    <w:rsid w:val="002D578B"/>
    <w:rsid w:val="002D5803"/>
    <w:rsid w:val="002D5831"/>
    <w:rsid w:val="002D5834"/>
    <w:rsid w:val="002D584C"/>
    <w:rsid w:val="002D58A2"/>
    <w:rsid w:val="002D591C"/>
    <w:rsid w:val="002D59C5"/>
    <w:rsid w:val="002D59FC"/>
    <w:rsid w:val="002D5A53"/>
    <w:rsid w:val="002D5A70"/>
    <w:rsid w:val="002D5A87"/>
    <w:rsid w:val="002D5A92"/>
    <w:rsid w:val="002D5AE9"/>
    <w:rsid w:val="002D5B35"/>
    <w:rsid w:val="002D5BF9"/>
    <w:rsid w:val="002D5BFF"/>
    <w:rsid w:val="002D5C42"/>
    <w:rsid w:val="002D5C98"/>
    <w:rsid w:val="002D5C99"/>
    <w:rsid w:val="002D5D3F"/>
    <w:rsid w:val="002D5DC3"/>
    <w:rsid w:val="002D5E49"/>
    <w:rsid w:val="002D5EB1"/>
    <w:rsid w:val="002D5EC9"/>
    <w:rsid w:val="002D5EE7"/>
    <w:rsid w:val="002D5F0F"/>
    <w:rsid w:val="002D5F12"/>
    <w:rsid w:val="002D5F21"/>
    <w:rsid w:val="002D5F5B"/>
    <w:rsid w:val="002D5F63"/>
    <w:rsid w:val="002D5F64"/>
    <w:rsid w:val="002D5FC6"/>
    <w:rsid w:val="002D60CF"/>
    <w:rsid w:val="002D6113"/>
    <w:rsid w:val="002D6129"/>
    <w:rsid w:val="002D617F"/>
    <w:rsid w:val="002D61CB"/>
    <w:rsid w:val="002D620B"/>
    <w:rsid w:val="002D6221"/>
    <w:rsid w:val="002D6268"/>
    <w:rsid w:val="002D6276"/>
    <w:rsid w:val="002D62D9"/>
    <w:rsid w:val="002D635D"/>
    <w:rsid w:val="002D63A8"/>
    <w:rsid w:val="002D63B6"/>
    <w:rsid w:val="002D6408"/>
    <w:rsid w:val="002D646A"/>
    <w:rsid w:val="002D6473"/>
    <w:rsid w:val="002D648D"/>
    <w:rsid w:val="002D64B2"/>
    <w:rsid w:val="002D64C8"/>
    <w:rsid w:val="002D64CA"/>
    <w:rsid w:val="002D64D6"/>
    <w:rsid w:val="002D6513"/>
    <w:rsid w:val="002D6551"/>
    <w:rsid w:val="002D6574"/>
    <w:rsid w:val="002D6644"/>
    <w:rsid w:val="002D664A"/>
    <w:rsid w:val="002D6672"/>
    <w:rsid w:val="002D6682"/>
    <w:rsid w:val="002D66A3"/>
    <w:rsid w:val="002D671A"/>
    <w:rsid w:val="002D6779"/>
    <w:rsid w:val="002D67C8"/>
    <w:rsid w:val="002D67E8"/>
    <w:rsid w:val="002D67F1"/>
    <w:rsid w:val="002D6805"/>
    <w:rsid w:val="002D6807"/>
    <w:rsid w:val="002D681C"/>
    <w:rsid w:val="002D68B1"/>
    <w:rsid w:val="002D68C8"/>
    <w:rsid w:val="002D68FB"/>
    <w:rsid w:val="002D690B"/>
    <w:rsid w:val="002D6983"/>
    <w:rsid w:val="002D69D7"/>
    <w:rsid w:val="002D6A16"/>
    <w:rsid w:val="002D6A53"/>
    <w:rsid w:val="002D6A56"/>
    <w:rsid w:val="002D6A57"/>
    <w:rsid w:val="002D6AF0"/>
    <w:rsid w:val="002D6B7C"/>
    <w:rsid w:val="002D6BE5"/>
    <w:rsid w:val="002D6C1F"/>
    <w:rsid w:val="002D6C31"/>
    <w:rsid w:val="002D6C5D"/>
    <w:rsid w:val="002D6C97"/>
    <w:rsid w:val="002D6CAA"/>
    <w:rsid w:val="002D6D82"/>
    <w:rsid w:val="002D6DBF"/>
    <w:rsid w:val="002D6DD3"/>
    <w:rsid w:val="002D6E2F"/>
    <w:rsid w:val="002D6E8D"/>
    <w:rsid w:val="002D6EDE"/>
    <w:rsid w:val="002D6EEE"/>
    <w:rsid w:val="002D6F60"/>
    <w:rsid w:val="002D6F81"/>
    <w:rsid w:val="002D6FC3"/>
    <w:rsid w:val="002D7074"/>
    <w:rsid w:val="002D7095"/>
    <w:rsid w:val="002D70A5"/>
    <w:rsid w:val="002D70E8"/>
    <w:rsid w:val="002D7141"/>
    <w:rsid w:val="002D71F1"/>
    <w:rsid w:val="002D71FE"/>
    <w:rsid w:val="002D7245"/>
    <w:rsid w:val="002D736D"/>
    <w:rsid w:val="002D73AA"/>
    <w:rsid w:val="002D73D4"/>
    <w:rsid w:val="002D73D7"/>
    <w:rsid w:val="002D73F9"/>
    <w:rsid w:val="002D7469"/>
    <w:rsid w:val="002D748A"/>
    <w:rsid w:val="002D7492"/>
    <w:rsid w:val="002D74B2"/>
    <w:rsid w:val="002D7517"/>
    <w:rsid w:val="002D752C"/>
    <w:rsid w:val="002D7589"/>
    <w:rsid w:val="002D758B"/>
    <w:rsid w:val="002D75B5"/>
    <w:rsid w:val="002D75C2"/>
    <w:rsid w:val="002D75E0"/>
    <w:rsid w:val="002D7609"/>
    <w:rsid w:val="002D761D"/>
    <w:rsid w:val="002D762C"/>
    <w:rsid w:val="002D7654"/>
    <w:rsid w:val="002D7682"/>
    <w:rsid w:val="002D7744"/>
    <w:rsid w:val="002D7746"/>
    <w:rsid w:val="002D775D"/>
    <w:rsid w:val="002D77A2"/>
    <w:rsid w:val="002D77AB"/>
    <w:rsid w:val="002D77C5"/>
    <w:rsid w:val="002D78C1"/>
    <w:rsid w:val="002D7912"/>
    <w:rsid w:val="002D7949"/>
    <w:rsid w:val="002D795F"/>
    <w:rsid w:val="002D7987"/>
    <w:rsid w:val="002D79D4"/>
    <w:rsid w:val="002D79DE"/>
    <w:rsid w:val="002D79E0"/>
    <w:rsid w:val="002D79E2"/>
    <w:rsid w:val="002D79F8"/>
    <w:rsid w:val="002D7A1F"/>
    <w:rsid w:val="002D7A2E"/>
    <w:rsid w:val="002D7AB9"/>
    <w:rsid w:val="002D7AC6"/>
    <w:rsid w:val="002D7ACA"/>
    <w:rsid w:val="002D7B52"/>
    <w:rsid w:val="002D7B64"/>
    <w:rsid w:val="002D7B6D"/>
    <w:rsid w:val="002D7C07"/>
    <w:rsid w:val="002D7C12"/>
    <w:rsid w:val="002D7C40"/>
    <w:rsid w:val="002D7C6C"/>
    <w:rsid w:val="002D7CB3"/>
    <w:rsid w:val="002D7CEF"/>
    <w:rsid w:val="002D7CF0"/>
    <w:rsid w:val="002D7CF1"/>
    <w:rsid w:val="002D7D6D"/>
    <w:rsid w:val="002D7DD0"/>
    <w:rsid w:val="002D7DE6"/>
    <w:rsid w:val="002D7E4D"/>
    <w:rsid w:val="002D7E67"/>
    <w:rsid w:val="002D7E8B"/>
    <w:rsid w:val="002D7EC8"/>
    <w:rsid w:val="002D7ED7"/>
    <w:rsid w:val="002D7EE9"/>
    <w:rsid w:val="002D7F1C"/>
    <w:rsid w:val="002D7F3A"/>
    <w:rsid w:val="002D7F40"/>
    <w:rsid w:val="002D7F7B"/>
    <w:rsid w:val="002D7FBE"/>
    <w:rsid w:val="002D7FF5"/>
    <w:rsid w:val="002E003F"/>
    <w:rsid w:val="002E0057"/>
    <w:rsid w:val="002E0071"/>
    <w:rsid w:val="002E008D"/>
    <w:rsid w:val="002E00F8"/>
    <w:rsid w:val="002E0114"/>
    <w:rsid w:val="002E017F"/>
    <w:rsid w:val="002E01A1"/>
    <w:rsid w:val="002E01A7"/>
    <w:rsid w:val="002E01D3"/>
    <w:rsid w:val="002E01E6"/>
    <w:rsid w:val="002E020A"/>
    <w:rsid w:val="002E024F"/>
    <w:rsid w:val="002E028C"/>
    <w:rsid w:val="002E02A7"/>
    <w:rsid w:val="002E02B3"/>
    <w:rsid w:val="002E030C"/>
    <w:rsid w:val="002E031B"/>
    <w:rsid w:val="002E031E"/>
    <w:rsid w:val="002E0326"/>
    <w:rsid w:val="002E032A"/>
    <w:rsid w:val="002E032B"/>
    <w:rsid w:val="002E035E"/>
    <w:rsid w:val="002E0373"/>
    <w:rsid w:val="002E03A6"/>
    <w:rsid w:val="002E03BD"/>
    <w:rsid w:val="002E03CE"/>
    <w:rsid w:val="002E03D3"/>
    <w:rsid w:val="002E03DD"/>
    <w:rsid w:val="002E03F2"/>
    <w:rsid w:val="002E047C"/>
    <w:rsid w:val="002E04A3"/>
    <w:rsid w:val="002E04B9"/>
    <w:rsid w:val="002E04DD"/>
    <w:rsid w:val="002E04F9"/>
    <w:rsid w:val="002E0520"/>
    <w:rsid w:val="002E0521"/>
    <w:rsid w:val="002E0538"/>
    <w:rsid w:val="002E05A1"/>
    <w:rsid w:val="002E05A7"/>
    <w:rsid w:val="002E0604"/>
    <w:rsid w:val="002E0662"/>
    <w:rsid w:val="002E0677"/>
    <w:rsid w:val="002E0680"/>
    <w:rsid w:val="002E06B0"/>
    <w:rsid w:val="002E06BA"/>
    <w:rsid w:val="002E06C9"/>
    <w:rsid w:val="002E06DF"/>
    <w:rsid w:val="002E06E9"/>
    <w:rsid w:val="002E074A"/>
    <w:rsid w:val="002E074B"/>
    <w:rsid w:val="002E078F"/>
    <w:rsid w:val="002E07EF"/>
    <w:rsid w:val="002E07FE"/>
    <w:rsid w:val="002E0854"/>
    <w:rsid w:val="002E087D"/>
    <w:rsid w:val="002E088C"/>
    <w:rsid w:val="002E08CA"/>
    <w:rsid w:val="002E08E7"/>
    <w:rsid w:val="002E0916"/>
    <w:rsid w:val="002E091D"/>
    <w:rsid w:val="002E0953"/>
    <w:rsid w:val="002E0987"/>
    <w:rsid w:val="002E0990"/>
    <w:rsid w:val="002E0A02"/>
    <w:rsid w:val="002E0A0C"/>
    <w:rsid w:val="002E0A7B"/>
    <w:rsid w:val="002E0A80"/>
    <w:rsid w:val="002E0A97"/>
    <w:rsid w:val="002E0B40"/>
    <w:rsid w:val="002E0B48"/>
    <w:rsid w:val="002E0B65"/>
    <w:rsid w:val="002E0BAF"/>
    <w:rsid w:val="002E0BC0"/>
    <w:rsid w:val="002E0BDE"/>
    <w:rsid w:val="002E0C0B"/>
    <w:rsid w:val="002E0C2D"/>
    <w:rsid w:val="002E0C81"/>
    <w:rsid w:val="002E0C91"/>
    <w:rsid w:val="002E0D86"/>
    <w:rsid w:val="002E0DBB"/>
    <w:rsid w:val="002E0E46"/>
    <w:rsid w:val="002E0E4D"/>
    <w:rsid w:val="002E0E88"/>
    <w:rsid w:val="002E0EB2"/>
    <w:rsid w:val="002E0EB8"/>
    <w:rsid w:val="002E0F36"/>
    <w:rsid w:val="002E0F6B"/>
    <w:rsid w:val="002E0FA7"/>
    <w:rsid w:val="002E0FD2"/>
    <w:rsid w:val="002E0FE1"/>
    <w:rsid w:val="002E100F"/>
    <w:rsid w:val="002E104A"/>
    <w:rsid w:val="002E1062"/>
    <w:rsid w:val="002E1071"/>
    <w:rsid w:val="002E1077"/>
    <w:rsid w:val="002E108A"/>
    <w:rsid w:val="002E1094"/>
    <w:rsid w:val="002E112D"/>
    <w:rsid w:val="002E115B"/>
    <w:rsid w:val="002E117F"/>
    <w:rsid w:val="002E11A1"/>
    <w:rsid w:val="002E11BC"/>
    <w:rsid w:val="002E11DF"/>
    <w:rsid w:val="002E1208"/>
    <w:rsid w:val="002E1260"/>
    <w:rsid w:val="002E126B"/>
    <w:rsid w:val="002E1292"/>
    <w:rsid w:val="002E1347"/>
    <w:rsid w:val="002E138E"/>
    <w:rsid w:val="002E13B6"/>
    <w:rsid w:val="002E13C9"/>
    <w:rsid w:val="002E1462"/>
    <w:rsid w:val="002E146D"/>
    <w:rsid w:val="002E148B"/>
    <w:rsid w:val="002E1498"/>
    <w:rsid w:val="002E14A2"/>
    <w:rsid w:val="002E14A3"/>
    <w:rsid w:val="002E14C6"/>
    <w:rsid w:val="002E14CF"/>
    <w:rsid w:val="002E1578"/>
    <w:rsid w:val="002E1616"/>
    <w:rsid w:val="002E161F"/>
    <w:rsid w:val="002E1732"/>
    <w:rsid w:val="002E1785"/>
    <w:rsid w:val="002E17A7"/>
    <w:rsid w:val="002E17CD"/>
    <w:rsid w:val="002E17E0"/>
    <w:rsid w:val="002E17EC"/>
    <w:rsid w:val="002E17EE"/>
    <w:rsid w:val="002E1830"/>
    <w:rsid w:val="002E1878"/>
    <w:rsid w:val="002E18C1"/>
    <w:rsid w:val="002E18C6"/>
    <w:rsid w:val="002E18FD"/>
    <w:rsid w:val="002E1948"/>
    <w:rsid w:val="002E1958"/>
    <w:rsid w:val="002E1972"/>
    <w:rsid w:val="002E19E6"/>
    <w:rsid w:val="002E1A43"/>
    <w:rsid w:val="002E1A70"/>
    <w:rsid w:val="002E1A73"/>
    <w:rsid w:val="002E1AAB"/>
    <w:rsid w:val="002E1C9B"/>
    <w:rsid w:val="002E1D8A"/>
    <w:rsid w:val="002E1D8C"/>
    <w:rsid w:val="002E1DD9"/>
    <w:rsid w:val="002E1EC1"/>
    <w:rsid w:val="002E1EEA"/>
    <w:rsid w:val="002E1F02"/>
    <w:rsid w:val="002E1F43"/>
    <w:rsid w:val="002E200A"/>
    <w:rsid w:val="002E2086"/>
    <w:rsid w:val="002E2108"/>
    <w:rsid w:val="002E210B"/>
    <w:rsid w:val="002E212D"/>
    <w:rsid w:val="002E2134"/>
    <w:rsid w:val="002E213D"/>
    <w:rsid w:val="002E2176"/>
    <w:rsid w:val="002E2198"/>
    <w:rsid w:val="002E21BB"/>
    <w:rsid w:val="002E21BC"/>
    <w:rsid w:val="002E21C6"/>
    <w:rsid w:val="002E2205"/>
    <w:rsid w:val="002E2261"/>
    <w:rsid w:val="002E2298"/>
    <w:rsid w:val="002E229E"/>
    <w:rsid w:val="002E22F3"/>
    <w:rsid w:val="002E2370"/>
    <w:rsid w:val="002E238C"/>
    <w:rsid w:val="002E2434"/>
    <w:rsid w:val="002E247C"/>
    <w:rsid w:val="002E2492"/>
    <w:rsid w:val="002E2499"/>
    <w:rsid w:val="002E2513"/>
    <w:rsid w:val="002E2517"/>
    <w:rsid w:val="002E2526"/>
    <w:rsid w:val="002E2532"/>
    <w:rsid w:val="002E25A7"/>
    <w:rsid w:val="002E25F9"/>
    <w:rsid w:val="002E2612"/>
    <w:rsid w:val="002E2616"/>
    <w:rsid w:val="002E2676"/>
    <w:rsid w:val="002E267F"/>
    <w:rsid w:val="002E2680"/>
    <w:rsid w:val="002E26C7"/>
    <w:rsid w:val="002E26F2"/>
    <w:rsid w:val="002E2713"/>
    <w:rsid w:val="002E2731"/>
    <w:rsid w:val="002E275E"/>
    <w:rsid w:val="002E27C4"/>
    <w:rsid w:val="002E2829"/>
    <w:rsid w:val="002E284B"/>
    <w:rsid w:val="002E284C"/>
    <w:rsid w:val="002E286D"/>
    <w:rsid w:val="002E28AC"/>
    <w:rsid w:val="002E28B6"/>
    <w:rsid w:val="002E293A"/>
    <w:rsid w:val="002E2974"/>
    <w:rsid w:val="002E29B7"/>
    <w:rsid w:val="002E2A19"/>
    <w:rsid w:val="002E2A1C"/>
    <w:rsid w:val="002E2A1F"/>
    <w:rsid w:val="002E2A32"/>
    <w:rsid w:val="002E2A6F"/>
    <w:rsid w:val="002E2A81"/>
    <w:rsid w:val="002E2A90"/>
    <w:rsid w:val="002E2AD1"/>
    <w:rsid w:val="002E2AEF"/>
    <w:rsid w:val="002E2AF5"/>
    <w:rsid w:val="002E2B10"/>
    <w:rsid w:val="002E2B26"/>
    <w:rsid w:val="002E2B2E"/>
    <w:rsid w:val="002E2B40"/>
    <w:rsid w:val="002E2B78"/>
    <w:rsid w:val="002E2B90"/>
    <w:rsid w:val="002E2BC6"/>
    <w:rsid w:val="002E2BEC"/>
    <w:rsid w:val="002E2C50"/>
    <w:rsid w:val="002E2C57"/>
    <w:rsid w:val="002E2CCC"/>
    <w:rsid w:val="002E2CD7"/>
    <w:rsid w:val="002E2CF7"/>
    <w:rsid w:val="002E2D06"/>
    <w:rsid w:val="002E2D0A"/>
    <w:rsid w:val="002E2D4E"/>
    <w:rsid w:val="002E2DAF"/>
    <w:rsid w:val="002E2DDA"/>
    <w:rsid w:val="002E2E09"/>
    <w:rsid w:val="002E2E39"/>
    <w:rsid w:val="002E2E45"/>
    <w:rsid w:val="002E2E58"/>
    <w:rsid w:val="002E2F0D"/>
    <w:rsid w:val="002E2F1C"/>
    <w:rsid w:val="002E2F29"/>
    <w:rsid w:val="002E2F58"/>
    <w:rsid w:val="002E2F59"/>
    <w:rsid w:val="002E2F65"/>
    <w:rsid w:val="002E2FC1"/>
    <w:rsid w:val="002E2FDC"/>
    <w:rsid w:val="002E3047"/>
    <w:rsid w:val="002E3065"/>
    <w:rsid w:val="002E30D2"/>
    <w:rsid w:val="002E30ED"/>
    <w:rsid w:val="002E312C"/>
    <w:rsid w:val="002E31BD"/>
    <w:rsid w:val="002E31D7"/>
    <w:rsid w:val="002E3206"/>
    <w:rsid w:val="002E3213"/>
    <w:rsid w:val="002E3220"/>
    <w:rsid w:val="002E32C8"/>
    <w:rsid w:val="002E32DA"/>
    <w:rsid w:val="002E333F"/>
    <w:rsid w:val="002E338A"/>
    <w:rsid w:val="002E33B4"/>
    <w:rsid w:val="002E33EF"/>
    <w:rsid w:val="002E344D"/>
    <w:rsid w:val="002E346F"/>
    <w:rsid w:val="002E348A"/>
    <w:rsid w:val="002E34C2"/>
    <w:rsid w:val="002E34DF"/>
    <w:rsid w:val="002E34FD"/>
    <w:rsid w:val="002E3520"/>
    <w:rsid w:val="002E3529"/>
    <w:rsid w:val="002E3546"/>
    <w:rsid w:val="002E3548"/>
    <w:rsid w:val="002E3552"/>
    <w:rsid w:val="002E3573"/>
    <w:rsid w:val="002E357C"/>
    <w:rsid w:val="002E359D"/>
    <w:rsid w:val="002E35F7"/>
    <w:rsid w:val="002E3699"/>
    <w:rsid w:val="002E3720"/>
    <w:rsid w:val="002E372E"/>
    <w:rsid w:val="002E37D6"/>
    <w:rsid w:val="002E37FA"/>
    <w:rsid w:val="002E384B"/>
    <w:rsid w:val="002E3870"/>
    <w:rsid w:val="002E3899"/>
    <w:rsid w:val="002E38A0"/>
    <w:rsid w:val="002E3907"/>
    <w:rsid w:val="002E390A"/>
    <w:rsid w:val="002E3946"/>
    <w:rsid w:val="002E3968"/>
    <w:rsid w:val="002E399A"/>
    <w:rsid w:val="002E39E6"/>
    <w:rsid w:val="002E3A44"/>
    <w:rsid w:val="002E3A5D"/>
    <w:rsid w:val="002E3B62"/>
    <w:rsid w:val="002E3B90"/>
    <w:rsid w:val="002E3BC9"/>
    <w:rsid w:val="002E3BF0"/>
    <w:rsid w:val="002E3BF9"/>
    <w:rsid w:val="002E3C5E"/>
    <w:rsid w:val="002E3C89"/>
    <w:rsid w:val="002E3C9B"/>
    <w:rsid w:val="002E3CC0"/>
    <w:rsid w:val="002E3D61"/>
    <w:rsid w:val="002E3DAA"/>
    <w:rsid w:val="002E3DAD"/>
    <w:rsid w:val="002E3DBC"/>
    <w:rsid w:val="002E3DE6"/>
    <w:rsid w:val="002E3E0E"/>
    <w:rsid w:val="002E3E2C"/>
    <w:rsid w:val="002E3E5F"/>
    <w:rsid w:val="002E3E88"/>
    <w:rsid w:val="002E3EC0"/>
    <w:rsid w:val="002E3ED3"/>
    <w:rsid w:val="002E3EEB"/>
    <w:rsid w:val="002E3F2C"/>
    <w:rsid w:val="002E3F57"/>
    <w:rsid w:val="002E3FA8"/>
    <w:rsid w:val="002E3FAA"/>
    <w:rsid w:val="002E3FF2"/>
    <w:rsid w:val="002E4018"/>
    <w:rsid w:val="002E404C"/>
    <w:rsid w:val="002E404F"/>
    <w:rsid w:val="002E4050"/>
    <w:rsid w:val="002E4063"/>
    <w:rsid w:val="002E40D0"/>
    <w:rsid w:val="002E410F"/>
    <w:rsid w:val="002E416A"/>
    <w:rsid w:val="002E4173"/>
    <w:rsid w:val="002E4189"/>
    <w:rsid w:val="002E41A0"/>
    <w:rsid w:val="002E420A"/>
    <w:rsid w:val="002E423A"/>
    <w:rsid w:val="002E42B9"/>
    <w:rsid w:val="002E4369"/>
    <w:rsid w:val="002E43D3"/>
    <w:rsid w:val="002E4429"/>
    <w:rsid w:val="002E4463"/>
    <w:rsid w:val="002E4489"/>
    <w:rsid w:val="002E4496"/>
    <w:rsid w:val="002E449A"/>
    <w:rsid w:val="002E44F3"/>
    <w:rsid w:val="002E4505"/>
    <w:rsid w:val="002E4537"/>
    <w:rsid w:val="002E454E"/>
    <w:rsid w:val="002E4559"/>
    <w:rsid w:val="002E45D1"/>
    <w:rsid w:val="002E4635"/>
    <w:rsid w:val="002E4654"/>
    <w:rsid w:val="002E465F"/>
    <w:rsid w:val="002E4668"/>
    <w:rsid w:val="002E466A"/>
    <w:rsid w:val="002E4684"/>
    <w:rsid w:val="002E46F7"/>
    <w:rsid w:val="002E476E"/>
    <w:rsid w:val="002E4788"/>
    <w:rsid w:val="002E4821"/>
    <w:rsid w:val="002E4845"/>
    <w:rsid w:val="002E4896"/>
    <w:rsid w:val="002E48CD"/>
    <w:rsid w:val="002E4915"/>
    <w:rsid w:val="002E4923"/>
    <w:rsid w:val="002E4993"/>
    <w:rsid w:val="002E49B4"/>
    <w:rsid w:val="002E49CF"/>
    <w:rsid w:val="002E49D8"/>
    <w:rsid w:val="002E49F8"/>
    <w:rsid w:val="002E4AB7"/>
    <w:rsid w:val="002E4B71"/>
    <w:rsid w:val="002E4BD8"/>
    <w:rsid w:val="002E4C6E"/>
    <w:rsid w:val="002E4C7C"/>
    <w:rsid w:val="002E4CAA"/>
    <w:rsid w:val="002E4CC2"/>
    <w:rsid w:val="002E4CE9"/>
    <w:rsid w:val="002E4D04"/>
    <w:rsid w:val="002E4D24"/>
    <w:rsid w:val="002E4D2F"/>
    <w:rsid w:val="002E4D4F"/>
    <w:rsid w:val="002E4D8A"/>
    <w:rsid w:val="002E4DA4"/>
    <w:rsid w:val="002E4DB2"/>
    <w:rsid w:val="002E4DB8"/>
    <w:rsid w:val="002E4DC0"/>
    <w:rsid w:val="002E4DCF"/>
    <w:rsid w:val="002E4E02"/>
    <w:rsid w:val="002E4E08"/>
    <w:rsid w:val="002E4E89"/>
    <w:rsid w:val="002E4EB4"/>
    <w:rsid w:val="002E4F3D"/>
    <w:rsid w:val="002E4F52"/>
    <w:rsid w:val="002E4FB5"/>
    <w:rsid w:val="002E4FCA"/>
    <w:rsid w:val="002E4FE8"/>
    <w:rsid w:val="002E4FF2"/>
    <w:rsid w:val="002E5013"/>
    <w:rsid w:val="002E5080"/>
    <w:rsid w:val="002E50A5"/>
    <w:rsid w:val="002E50BA"/>
    <w:rsid w:val="002E50D4"/>
    <w:rsid w:val="002E50DA"/>
    <w:rsid w:val="002E50E7"/>
    <w:rsid w:val="002E50EF"/>
    <w:rsid w:val="002E5120"/>
    <w:rsid w:val="002E512D"/>
    <w:rsid w:val="002E513E"/>
    <w:rsid w:val="002E5163"/>
    <w:rsid w:val="002E519F"/>
    <w:rsid w:val="002E51CB"/>
    <w:rsid w:val="002E51F0"/>
    <w:rsid w:val="002E5236"/>
    <w:rsid w:val="002E524F"/>
    <w:rsid w:val="002E52AD"/>
    <w:rsid w:val="002E52AF"/>
    <w:rsid w:val="002E52B2"/>
    <w:rsid w:val="002E5317"/>
    <w:rsid w:val="002E5319"/>
    <w:rsid w:val="002E5337"/>
    <w:rsid w:val="002E533D"/>
    <w:rsid w:val="002E5391"/>
    <w:rsid w:val="002E53BB"/>
    <w:rsid w:val="002E53EE"/>
    <w:rsid w:val="002E54A1"/>
    <w:rsid w:val="002E54A3"/>
    <w:rsid w:val="002E54E4"/>
    <w:rsid w:val="002E54E5"/>
    <w:rsid w:val="002E550D"/>
    <w:rsid w:val="002E5521"/>
    <w:rsid w:val="002E5557"/>
    <w:rsid w:val="002E5594"/>
    <w:rsid w:val="002E55B9"/>
    <w:rsid w:val="002E5639"/>
    <w:rsid w:val="002E5659"/>
    <w:rsid w:val="002E565A"/>
    <w:rsid w:val="002E5673"/>
    <w:rsid w:val="002E5679"/>
    <w:rsid w:val="002E5708"/>
    <w:rsid w:val="002E5738"/>
    <w:rsid w:val="002E5742"/>
    <w:rsid w:val="002E57A4"/>
    <w:rsid w:val="002E57B1"/>
    <w:rsid w:val="002E57E5"/>
    <w:rsid w:val="002E5824"/>
    <w:rsid w:val="002E5834"/>
    <w:rsid w:val="002E583E"/>
    <w:rsid w:val="002E583F"/>
    <w:rsid w:val="002E585A"/>
    <w:rsid w:val="002E58A4"/>
    <w:rsid w:val="002E58AC"/>
    <w:rsid w:val="002E58B5"/>
    <w:rsid w:val="002E5929"/>
    <w:rsid w:val="002E594C"/>
    <w:rsid w:val="002E595D"/>
    <w:rsid w:val="002E59A0"/>
    <w:rsid w:val="002E59B2"/>
    <w:rsid w:val="002E59E5"/>
    <w:rsid w:val="002E5A15"/>
    <w:rsid w:val="002E5A4A"/>
    <w:rsid w:val="002E5A54"/>
    <w:rsid w:val="002E5AC6"/>
    <w:rsid w:val="002E5AFF"/>
    <w:rsid w:val="002E5B24"/>
    <w:rsid w:val="002E5B35"/>
    <w:rsid w:val="002E5B4B"/>
    <w:rsid w:val="002E5B5A"/>
    <w:rsid w:val="002E5B62"/>
    <w:rsid w:val="002E5B74"/>
    <w:rsid w:val="002E5B80"/>
    <w:rsid w:val="002E5BA3"/>
    <w:rsid w:val="002E5BF9"/>
    <w:rsid w:val="002E5C02"/>
    <w:rsid w:val="002E5C4C"/>
    <w:rsid w:val="002E5C98"/>
    <w:rsid w:val="002E5CB5"/>
    <w:rsid w:val="002E5D3C"/>
    <w:rsid w:val="002E5D53"/>
    <w:rsid w:val="002E5D60"/>
    <w:rsid w:val="002E5D74"/>
    <w:rsid w:val="002E5DC9"/>
    <w:rsid w:val="002E5E03"/>
    <w:rsid w:val="002E5E23"/>
    <w:rsid w:val="002E5E28"/>
    <w:rsid w:val="002E5E4C"/>
    <w:rsid w:val="002E5E5E"/>
    <w:rsid w:val="002E5EF5"/>
    <w:rsid w:val="002E5F07"/>
    <w:rsid w:val="002E5F3B"/>
    <w:rsid w:val="002E5FB8"/>
    <w:rsid w:val="002E5FCC"/>
    <w:rsid w:val="002E6019"/>
    <w:rsid w:val="002E601B"/>
    <w:rsid w:val="002E606B"/>
    <w:rsid w:val="002E610B"/>
    <w:rsid w:val="002E610E"/>
    <w:rsid w:val="002E615A"/>
    <w:rsid w:val="002E619E"/>
    <w:rsid w:val="002E61B3"/>
    <w:rsid w:val="002E61E4"/>
    <w:rsid w:val="002E621E"/>
    <w:rsid w:val="002E6258"/>
    <w:rsid w:val="002E62CC"/>
    <w:rsid w:val="002E635E"/>
    <w:rsid w:val="002E6366"/>
    <w:rsid w:val="002E6370"/>
    <w:rsid w:val="002E637D"/>
    <w:rsid w:val="002E638C"/>
    <w:rsid w:val="002E639A"/>
    <w:rsid w:val="002E63A1"/>
    <w:rsid w:val="002E63E2"/>
    <w:rsid w:val="002E6450"/>
    <w:rsid w:val="002E6479"/>
    <w:rsid w:val="002E64E1"/>
    <w:rsid w:val="002E650E"/>
    <w:rsid w:val="002E6510"/>
    <w:rsid w:val="002E6520"/>
    <w:rsid w:val="002E6529"/>
    <w:rsid w:val="002E6544"/>
    <w:rsid w:val="002E6593"/>
    <w:rsid w:val="002E65A2"/>
    <w:rsid w:val="002E65A8"/>
    <w:rsid w:val="002E65BB"/>
    <w:rsid w:val="002E65D9"/>
    <w:rsid w:val="002E65EA"/>
    <w:rsid w:val="002E6616"/>
    <w:rsid w:val="002E66AD"/>
    <w:rsid w:val="002E66D7"/>
    <w:rsid w:val="002E66E1"/>
    <w:rsid w:val="002E66FF"/>
    <w:rsid w:val="002E6711"/>
    <w:rsid w:val="002E6847"/>
    <w:rsid w:val="002E6903"/>
    <w:rsid w:val="002E696E"/>
    <w:rsid w:val="002E6984"/>
    <w:rsid w:val="002E69EA"/>
    <w:rsid w:val="002E69F0"/>
    <w:rsid w:val="002E6A15"/>
    <w:rsid w:val="002E6A29"/>
    <w:rsid w:val="002E6A44"/>
    <w:rsid w:val="002E6AA9"/>
    <w:rsid w:val="002E6AB3"/>
    <w:rsid w:val="002E6BAA"/>
    <w:rsid w:val="002E6C5D"/>
    <w:rsid w:val="002E6C92"/>
    <w:rsid w:val="002E6CE6"/>
    <w:rsid w:val="002E6D08"/>
    <w:rsid w:val="002E6D57"/>
    <w:rsid w:val="002E6DAC"/>
    <w:rsid w:val="002E6DDD"/>
    <w:rsid w:val="002E6E2E"/>
    <w:rsid w:val="002E6E42"/>
    <w:rsid w:val="002E6EC0"/>
    <w:rsid w:val="002E6EE9"/>
    <w:rsid w:val="002E6F67"/>
    <w:rsid w:val="002E6F7E"/>
    <w:rsid w:val="002E6FA9"/>
    <w:rsid w:val="002E6FBE"/>
    <w:rsid w:val="002E7098"/>
    <w:rsid w:val="002E709C"/>
    <w:rsid w:val="002E70AC"/>
    <w:rsid w:val="002E70DB"/>
    <w:rsid w:val="002E70E0"/>
    <w:rsid w:val="002E70E1"/>
    <w:rsid w:val="002E711F"/>
    <w:rsid w:val="002E7172"/>
    <w:rsid w:val="002E71EC"/>
    <w:rsid w:val="002E7207"/>
    <w:rsid w:val="002E7233"/>
    <w:rsid w:val="002E7237"/>
    <w:rsid w:val="002E7348"/>
    <w:rsid w:val="002E73B3"/>
    <w:rsid w:val="002E73FA"/>
    <w:rsid w:val="002E7408"/>
    <w:rsid w:val="002E745F"/>
    <w:rsid w:val="002E7475"/>
    <w:rsid w:val="002E7508"/>
    <w:rsid w:val="002E7520"/>
    <w:rsid w:val="002E755A"/>
    <w:rsid w:val="002E7569"/>
    <w:rsid w:val="002E758A"/>
    <w:rsid w:val="002E762F"/>
    <w:rsid w:val="002E7668"/>
    <w:rsid w:val="002E769D"/>
    <w:rsid w:val="002E76A6"/>
    <w:rsid w:val="002E778D"/>
    <w:rsid w:val="002E7794"/>
    <w:rsid w:val="002E77EC"/>
    <w:rsid w:val="002E77EE"/>
    <w:rsid w:val="002E787C"/>
    <w:rsid w:val="002E789E"/>
    <w:rsid w:val="002E78C3"/>
    <w:rsid w:val="002E7941"/>
    <w:rsid w:val="002E79B6"/>
    <w:rsid w:val="002E79EB"/>
    <w:rsid w:val="002E7A2C"/>
    <w:rsid w:val="002E7A7A"/>
    <w:rsid w:val="002E7A7C"/>
    <w:rsid w:val="002E7A90"/>
    <w:rsid w:val="002E7A96"/>
    <w:rsid w:val="002E7AE4"/>
    <w:rsid w:val="002E7B17"/>
    <w:rsid w:val="002E7B24"/>
    <w:rsid w:val="002E7B34"/>
    <w:rsid w:val="002E7B35"/>
    <w:rsid w:val="002E7B6E"/>
    <w:rsid w:val="002E7B7C"/>
    <w:rsid w:val="002E7BFB"/>
    <w:rsid w:val="002E7C94"/>
    <w:rsid w:val="002E7CD3"/>
    <w:rsid w:val="002E7CFA"/>
    <w:rsid w:val="002E7D53"/>
    <w:rsid w:val="002E7D7F"/>
    <w:rsid w:val="002E7DB4"/>
    <w:rsid w:val="002E7EB7"/>
    <w:rsid w:val="002E7EC4"/>
    <w:rsid w:val="002E7ED3"/>
    <w:rsid w:val="002E7EF7"/>
    <w:rsid w:val="002E7F01"/>
    <w:rsid w:val="002E7F2B"/>
    <w:rsid w:val="002E7F44"/>
    <w:rsid w:val="002E7F57"/>
    <w:rsid w:val="002E7F5C"/>
    <w:rsid w:val="002E7F89"/>
    <w:rsid w:val="002E7F95"/>
    <w:rsid w:val="002E7FAF"/>
    <w:rsid w:val="002E7FDB"/>
    <w:rsid w:val="002F00BF"/>
    <w:rsid w:val="002F00C8"/>
    <w:rsid w:val="002F00E0"/>
    <w:rsid w:val="002F00FA"/>
    <w:rsid w:val="002F0135"/>
    <w:rsid w:val="002F014C"/>
    <w:rsid w:val="002F0201"/>
    <w:rsid w:val="002F022D"/>
    <w:rsid w:val="002F0239"/>
    <w:rsid w:val="002F0244"/>
    <w:rsid w:val="002F0251"/>
    <w:rsid w:val="002F02B9"/>
    <w:rsid w:val="002F02E1"/>
    <w:rsid w:val="002F0359"/>
    <w:rsid w:val="002F03A2"/>
    <w:rsid w:val="002F03F8"/>
    <w:rsid w:val="002F03FC"/>
    <w:rsid w:val="002F047B"/>
    <w:rsid w:val="002F0488"/>
    <w:rsid w:val="002F049E"/>
    <w:rsid w:val="002F04ED"/>
    <w:rsid w:val="002F0511"/>
    <w:rsid w:val="002F0533"/>
    <w:rsid w:val="002F057E"/>
    <w:rsid w:val="002F05E4"/>
    <w:rsid w:val="002F05E6"/>
    <w:rsid w:val="002F05F4"/>
    <w:rsid w:val="002F06A1"/>
    <w:rsid w:val="002F06BF"/>
    <w:rsid w:val="002F06C0"/>
    <w:rsid w:val="002F06C1"/>
    <w:rsid w:val="002F06ED"/>
    <w:rsid w:val="002F06FF"/>
    <w:rsid w:val="002F0715"/>
    <w:rsid w:val="002F074B"/>
    <w:rsid w:val="002F0756"/>
    <w:rsid w:val="002F07B3"/>
    <w:rsid w:val="002F07CE"/>
    <w:rsid w:val="002F07F4"/>
    <w:rsid w:val="002F0816"/>
    <w:rsid w:val="002F0819"/>
    <w:rsid w:val="002F083B"/>
    <w:rsid w:val="002F083E"/>
    <w:rsid w:val="002F085D"/>
    <w:rsid w:val="002F0860"/>
    <w:rsid w:val="002F08DE"/>
    <w:rsid w:val="002F08FE"/>
    <w:rsid w:val="002F091F"/>
    <w:rsid w:val="002F094D"/>
    <w:rsid w:val="002F0978"/>
    <w:rsid w:val="002F09C6"/>
    <w:rsid w:val="002F0A08"/>
    <w:rsid w:val="002F0A1E"/>
    <w:rsid w:val="002F0A3B"/>
    <w:rsid w:val="002F0A41"/>
    <w:rsid w:val="002F0A69"/>
    <w:rsid w:val="002F0ACB"/>
    <w:rsid w:val="002F0AE9"/>
    <w:rsid w:val="002F0B14"/>
    <w:rsid w:val="002F0B23"/>
    <w:rsid w:val="002F0B2E"/>
    <w:rsid w:val="002F0B35"/>
    <w:rsid w:val="002F0B87"/>
    <w:rsid w:val="002F0B9E"/>
    <w:rsid w:val="002F0BAA"/>
    <w:rsid w:val="002F0BE1"/>
    <w:rsid w:val="002F0BFE"/>
    <w:rsid w:val="002F0C3D"/>
    <w:rsid w:val="002F0CDD"/>
    <w:rsid w:val="002F0D16"/>
    <w:rsid w:val="002F0D17"/>
    <w:rsid w:val="002F0D30"/>
    <w:rsid w:val="002F0D35"/>
    <w:rsid w:val="002F0DB7"/>
    <w:rsid w:val="002F0DD5"/>
    <w:rsid w:val="002F0DD7"/>
    <w:rsid w:val="002F0E82"/>
    <w:rsid w:val="002F0E8E"/>
    <w:rsid w:val="002F0EB2"/>
    <w:rsid w:val="002F0F2B"/>
    <w:rsid w:val="002F0F2C"/>
    <w:rsid w:val="002F0F41"/>
    <w:rsid w:val="002F100E"/>
    <w:rsid w:val="002F1015"/>
    <w:rsid w:val="002F1118"/>
    <w:rsid w:val="002F1163"/>
    <w:rsid w:val="002F1178"/>
    <w:rsid w:val="002F117C"/>
    <w:rsid w:val="002F1187"/>
    <w:rsid w:val="002F11CC"/>
    <w:rsid w:val="002F1238"/>
    <w:rsid w:val="002F1260"/>
    <w:rsid w:val="002F126F"/>
    <w:rsid w:val="002F1270"/>
    <w:rsid w:val="002F1276"/>
    <w:rsid w:val="002F1292"/>
    <w:rsid w:val="002F12A0"/>
    <w:rsid w:val="002F12A6"/>
    <w:rsid w:val="002F12F1"/>
    <w:rsid w:val="002F1313"/>
    <w:rsid w:val="002F1365"/>
    <w:rsid w:val="002F1376"/>
    <w:rsid w:val="002F1398"/>
    <w:rsid w:val="002F13A6"/>
    <w:rsid w:val="002F13AF"/>
    <w:rsid w:val="002F13FA"/>
    <w:rsid w:val="002F1414"/>
    <w:rsid w:val="002F14AE"/>
    <w:rsid w:val="002F14C0"/>
    <w:rsid w:val="002F14EB"/>
    <w:rsid w:val="002F1508"/>
    <w:rsid w:val="002F1570"/>
    <w:rsid w:val="002F1583"/>
    <w:rsid w:val="002F15F2"/>
    <w:rsid w:val="002F15F8"/>
    <w:rsid w:val="002F162E"/>
    <w:rsid w:val="002F164E"/>
    <w:rsid w:val="002F166A"/>
    <w:rsid w:val="002F166E"/>
    <w:rsid w:val="002F166F"/>
    <w:rsid w:val="002F176A"/>
    <w:rsid w:val="002F1773"/>
    <w:rsid w:val="002F17A8"/>
    <w:rsid w:val="002F17D4"/>
    <w:rsid w:val="002F17F4"/>
    <w:rsid w:val="002F1827"/>
    <w:rsid w:val="002F18C0"/>
    <w:rsid w:val="002F18D5"/>
    <w:rsid w:val="002F18D9"/>
    <w:rsid w:val="002F1960"/>
    <w:rsid w:val="002F1979"/>
    <w:rsid w:val="002F1A0F"/>
    <w:rsid w:val="002F1AB6"/>
    <w:rsid w:val="002F1AF9"/>
    <w:rsid w:val="002F1AFC"/>
    <w:rsid w:val="002F1B84"/>
    <w:rsid w:val="002F1BAF"/>
    <w:rsid w:val="002F1BC1"/>
    <w:rsid w:val="002F1BF4"/>
    <w:rsid w:val="002F1C06"/>
    <w:rsid w:val="002F1C8C"/>
    <w:rsid w:val="002F1C92"/>
    <w:rsid w:val="002F1CA1"/>
    <w:rsid w:val="002F1CB3"/>
    <w:rsid w:val="002F1CB9"/>
    <w:rsid w:val="002F1CEB"/>
    <w:rsid w:val="002F1CFB"/>
    <w:rsid w:val="002F1CFD"/>
    <w:rsid w:val="002F1D21"/>
    <w:rsid w:val="002F1D4B"/>
    <w:rsid w:val="002F1D7D"/>
    <w:rsid w:val="002F1D94"/>
    <w:rsid w:val="002F1E0B"/>
    <w:rsid w:val="002F1EAF"/>
    <w:rsid w:val="002F1EB5"/>
    <w:rsid w:val="002F1EDF"/>
    <w:rsid w:val="002F1EF7"/>
    <w:rsid w:val="002F1F69"/>
    <w:rsid w:val="002F1F71"/>
    <w:rsid w:val="002F1FE9"/>
    <w:rsid w:val="002F1FEE"/>
    <w:rsid w:val="002F2006"/>
    <w:rsid w:val="002F2067"/>
    <w:rsid w:val="002F207F"/>
    <w:rsid w:val="002F20A9"/>
    <w:rsid w:val="002F20E6"/>
    <w:rsid w:val="002F20F9"/>
    <w:rsid w:val="002F2109"/>
    <w:rsid w:val="002F2122"/>
    <w:rsid w:val="002F2189"/>
    <w:rsid w:val="002F21B8"/>
    <w:rsid w:val="002F21C0"/>
    <w:rsid w:val="002F21F6"/>
    <w:rsid w:val="002F2200"/>
    <w:rsid w:val="002F2226"/>
    <w:rsid w:val="002F2279"/>
    <w:rsid w:val="002F227C"/>
    <w:rsid w:val="002F22D5"/>
    <w:rsid w:val="002F22E3"/>
    <w:rsid w:val="002F230F"/>
    <w:rsid w:val="002F2399"/>
    <w:rsid w:val="002F23C2"/>
    <w:rsid w:val="002F23CF"/>
    <w:rsid w:val="002F23EB"/>
    <w:rsid w:val="002F2470"/>
    <w:rsid w:val="002F24E5"/>
    <w:rsid w:val="002F2563"/>
    <w:rsid w:val="002F256A"/>
    <w:rsid w:val="002F25AA"/>
    <w:rsid w:val="002F2603"/>
    <w:rsid w:val="002F2651"/>
    <w:rsid w:val="002F2663"/>
    <w:rsid w:val="002F2666"/>
    <w:rsid w:val="002F2669"/>
    <w:rsid w:val="002F2700"/>
    <w:rsid w:val="002F270D"/>
    <w:rsid w:val="002F2715"/>
    <w:rsid w:val="002F2723"/>
    <w:rsid w:val="002F2729"/>
    <w:rsid w:val="002F2762"/>
    <w:rsid w:val="002F27F8"/>
    <w:rsid w:val="002F27F9"/>
    <w:rsid w:val="002F2822"/>
    <w:rsid w:val="002F2867"/>
    <w:rsid w:val="002F28C5"/>
    <w:rsid w:val="002F28C7"/>
    <w:rsid w:val="002F290B"/>
    <w:rsid w:val="002F2972"/>
    <w:rsid w:val="002F29C3"/>
    <w:rsid w:val="002F2A04"/>
    <w:rsid w:val="002F2A62"/>
    <w:rsid w:val="002F2B88"/>
    <w:rsid w:val="002F2B97"/>
    <w:rsid w:val="002F2BB6"/>
    <w:rsid w:val="002F2C83"/>
    <w:rsid w:val="002F2C99"/>
    <w:rsid w:val="002F2CA8"/>
    <w:rsid w:val="002F2D14"/>
    <w:rsid w:val="002F2D24"/>
    <w:rsid w:val="002F2D51"/>
    <w:rsid w:val="002F2D86"/>
    <w:rsid w:val="002F2E4C"/>
    <w:rsid w:val="002F2EE5"/>
    <w:rsid w:val="002F2F27"/>
    <w:rsid w:val="002F2FC8"/>
    <w:rsid w:val="002F2FEF"/>
    <w:rsid w:val="002F300E"/>
    <w:rsid w:val="002F3042"/>
    <w:rsid w:val="002F30F2"/>
    <w:rsid w:val="002F30F5"/>
    <w:rsid w:val="002F3172"/>
    <w:rsid w:val="002F3176"/>
    <w:rsid w:val="002F31F4"/>
    <w:rsid w:val="002F31FD"/>
    <w:rsid w:val="002F323E"/>
    <w:rsid w:val="002F32F5"/>
    <w:rsid w:val="002F332A"/>
    <w:rsid w:val="002F3336"/>
    <w:rsid w:val="002F334A"/>
    <w:rsid w:val="002F3368"/>
    <w:rsid w:val="002F3397"/>
    <w:rsid w:val="002F33A1"/>
    <w:rsid w:val="002F33AE"/>
    <w:rsid w:val="002F33EE"/>
    <w:rsid w:val="002F341E"/>
    <w:rsid w:val="002F3420"/>
    <w:rsid w:val="002F3425"/>
    <w:rsid w:val="002F3428"/>
    <w:rsid w:val="002F347E"/>
    <w:rsid w:val="002F348B"/>
    <w:rsid w:val="002F34D7"/>
    <w:rsid w:val="002F358A"/>
    <w:rsid w:val="002F35A8"/>
    <w:rsid w:val="002F35AF"/>
    <w:rsid w:val="002F35CF"/>
    <w:rsid w:val="002F35FA"/>
    <w:rsid w:val="002F35FD"/>
    <w:rsid w:val="002F3600"/>
    <w:rsid w:val="002F3626"/>
    <w:rsid w:val="002F3641"/>
    <w:rsid w:val="002F36AE"/>
    <w:rsid w:val="002F36F1"/>
    <w:rsid w:val="002F36FA"/>
    <w:rsid w:val="002F3727"/>
    <w:rsid w:val="002F3747"/>
    <w:rsid w:val="002F374D"/>
    <w:rsid w:val="002F37A5"/>
    <w:rsid w:val="002F37C9"/>
    <w:rsid w:val="002F382A"/>
    <w:rsid w:val="002F38B3"/>
    <w:rsid w:val="002F38B5"/>
    <w:rsid w:val="002F38EA"/>
    <w:rsid w:val="002F38F3"/>
    <w:rsid w:val="002F3913"/>
    <w:rsid w:val="002F3994"/>
    <w:rsid w:val="002F39AD"/>
    <w:rsid w:val="002F3A07"/>
    <w:rsid w:val="002F3A91"/>
    <w:rsid w:val="002F3A93"/>
    <w:rsid w:val="002F3A9A"/>
    <w:rsid w:val="002F3AB4"/>
    <w:rsid w:val="002F3AC5"/>
    <w:rsid w:val="002F3AD6"/>
    <w:rsid w:val="002F3B1B"/>
    <w:rsid w:val="002F3B3B"/>
    <w:rsid w:val="002F3B66"/>
    <w:rsid w:val="002F3B83"/>
    <w:rsid w:val="002F3BE3"/>
    <w:rsid w:val="002F3BEB"/>
    <w:rsid w:val="002F3BFC"/>
    <w:rsid w:val="002F3BFF"/>
    <w:rsid w:val="002F3C47"/>
    <w:rsid w:val="002F3D1C"/>
    <w:rsid w:val="002F3D8F"/>
    <w:rsid w:val="002F3DBF"/>
    <w:rsid w:val="002F3E2D"/>
    <w:rsid w:val="002F3E6C"/>
    <w:rsid w:val="002F3E84"/>
    <w:rsid w:val="002F3EE7"/>
    <w:rsid w:val="002F3F13"/>
    <w:rsid w:val="002F3F34"/>
    <w:rsid w:val="002F3F3A"/>
    <w:rsid w:val="002F3FD3"/>
    <w:rsid w:val="002F3FDE"/>
    <w:rsid w:val="002F405F"/>
    <w:rsid w:val="002F40F2"/>
    <w:rsid w:val="002F41D5"/>
    <w:rsid w:val="002F41F8"/>
    <w:rsid w:val="002F423E"/>
    <w:rsid w:val="002F4270"/>
    <w:rsid w:val="002F4294"/>
    <w:rsid w:val="002F4301"/>
    <w:rsid w:val="002F4380"/>
    <w:rsid w:val="002F4411"/>
    <w:rsid w:val="002F4435"/>
    <w:rsid w:val="002F445D"/>
    <w:rsid w:val="002F4473"/>
    <w:rsid w:val="002F4493"/>
    <w:rsid w:val="002F44B6"/>
    <w:rsid w:val="002F454B"/>
    <w:rsid w:val="002F4556"/>
    <w:rsid w:val="002F45B8"/>
    <w:rsid w:val="002F45BB"/>
    <w:rsid w:val="002F45F0"/>
    <w:rsid w:val="002F4617"/>
    <w:rsid w:val="002F463E"/>
    <w:rsid w:val="002F4652"/>
    <w:rsid w:val="002F46A4"/>
    <w:rsid w:val="002F46C1"/>
    <w:rsid w:val="002F46E2"/>
    <w:rsid w:val="002F4703"/>
    <w:rsid w:val="002F473B"/>
    <w:rsid w:val="002F473F"/>
    <w:rsid w:val="002F4761"/>
    <w:rsid w:val="002F477D"/>
    <w:rsid w:val="002F4802"/>
    <w:rsid w:val="002F4833"/>
    <w:rsid w:val="002F4846"/>
    <w:rsid w:val="002F484C"/>
    <w:rsid w:val="002F487A"/>
    <w:rsid w:val="002F48B1"/>
    <w:rsid w:val="002F48CF"/>
    <w:rsid w:val="002F490A"/>
    <w:rsid w:val="002F4973"/>
    <w:rsid w:val="002F49A3"/>
    <w:rsid w:val="002F49AF"/>
    <w:rsid w:val="002F49F2"/>
    <w:rsid w:val="002F4A46"/>
    <w:rsid w:val="002F4AB2"/>
    <w:rsid w:val="002F4AF6"/>
    <w:rsid w:val="002F4B18"/>
    <w:rsid w:val="002F4B60"/>
    <w:rsid w:val="002F4BD6"/>
    <w:rsid w:val="002F4BE5"/>
    <w:rsid w:val="002F4C00"/>
    <w:rsid w:val="002F4C24"/>
    <w:rsid w:val="002F4C55"/>
    <w:rsid w:val="002F4C66"/>
    <w:rsid w:val="002F4C85"/>
    <w:rsid w:val="002F4CF9"/>
    <w:rsid w:val="002F4D2C"/>
    <w:rsid w:val="002F4D93"/>
    <w:rsid w:val="002F4D9A"/>
    <w:rsid w:val="002F4DDE"/>
    <w:rsid w:val="002F4E0A"/>
    <w:rsid w:val="002F4E1A"/>
    <w:rsid w:val="002F4EBC"/>
    <w:rsid w:val="002F4EFB"/>
    <w:rsid w:val="002F4F31"/>
    <w:rsid w:val="002F4F49"/>
    <w:rsid w:val="002F4F82"/>
    <w:rsid w:val="002F4FA4"/>
    <w:rsid w:val="002F4FB2"/>
    <w:rsid w:val="002F50B8"/>
    <w:rsid w:val="002F50BF"/>
    <w:rsid w:val="002F50E8"/>
    <w:rsid w:val="002F50EE"/>
    <w:rsid w:val="002F50F4"/>
    <w:rsid w:val="002F5116"/>
    <w:rsid w:val="002F5117"/>
    <w:rsid w:val="002F5181"/>
    <w:rsid w:val="002F519A"/>
    <w:rsid w:val="002F5205"/>
    <w:rsid w:val="002F52DA"/>
    <w:rsid w:val="002F534F"/>
    <w:rsid w:val="002F5378"/>
    <w:rsid w:val="002F5389"/>
    <w:rsid w:val="002F5413"/>
    <w:rsid w:val="002F543C"/>
    <w:rsid w:val="002F5440"/>
    <w:rsid w:val="002F5509"/>
    <w:rsid w:val="002F5520"/>
    <w:rsid w:val="002F552D"/>
    <w:rsid w:val="002F5544"/>
    <w:rsid w:val="002F556F"/>
    <w:rsid w:val="002F558D"/>
    <w:rsid w:val="002F55CB"/>
    <w:rsid w:val="002F5630"/>
    <w:rsid w:val="002F5651"/>
    <w:rsid w:val="002F567E"/>
    <w:rsid w:val="002F56E1"/>
    <w:rsid w:val="002F5709"/>
    <w:rsid w:val="002F5714"/>
    <w:rsid w:val="002F576B"/>
    <w:rsid w:val="002F57AA"/>
    <w:rsid w:val="002F5863"/>
    <w:rsid w:val="002F5897"/>
    <w:rsid w:val="002F58AE"/>
    <w:rsid w:val="002F58C0"/>
    <w:rsid w:val="002F5917"/>
    <w:rsid w:val="002F5994"/>
    <w:rsid w:val="002F59A4"/>
    <w:rsid w:val="002F59D1"/>
    <w:rsid w:val="002F5A57"/>
    <w:rsid w:val="002F5AB6"/>
    <w:rsid w:val="002F5AD2"/>
    <w:rsid w:val="002F5B18"/>
    <w:rsid w:val="002F5B32"/>
    <w:rsid w:val="002F5B9C"/>
    <w:rsid w:val="002F5BF3"/>
    <w:rsid w:val="002F5BF5"/>
    <w:rsid w:val="002F5C2B"/>
    <w:rsid w:val="002F5C47"/>
    <w:rsid w:val="002F5C56"/>
    <w:rsid w:val="002F5C76"/>
    <w:rsid w:val="002F5C8E"/>
    <w:rsid w:val="002F5CA4"/>
    <w:rsid w:val="002F5CB2"/>
    <w:rsid w:val="002F5CB9"/>
    <w:rsid w:val="002F5CC0"/>
    <w:rsid w:val="002F5CF0"/>
    <w:rsid w:val="002F5D0A"/>
    <w:rsid w:val="002F5D29"/>
    <w:rsid w:val="002F5D34"/>
    <w:rsid w:val="002F5D40"/>
    <w:rsid w:val="002F5D54"/>
    <w:rsid w:val="002F5D5A"/>
    <w:rsid w:val="002F5DBF"/>
    <w:rsid w:val="002F5DC6"/>
    <w:rsid w:val="002F5E0D"/>
    <w:rsid w:val="002F5EA9"/>
    <w:rsid w:val="002F5EF0"/>
    <w:rsid w:val="002F5F96"/>
    <w:rsid w:val="002F5F9A"/>
    <w:rsid w:val="002F6015"/>
    <w:rsid w:val="002F6024"/>
    <w:rsid w:val="002F6047"/>
    <w:rsid w:val="002F6068"/>
    <w:rsid w:val="002F6098"/>
    <w:rsid w:val="002F60C7"/>
    <w:rsid w:val="002F60CB"/>
    <w:rsid w:val="002F621E"/>
    <w:rsid w:val="002F626E"/>
    <w:rsid w:val="002F6279"/>
    <w:rsid w:val="002F6292"/>
    <w:rsid w:val="002F62A4"/>
    <w:rsid w:val="002F62EA"/>
    <w:rsid w:val="002F6323"/>
    <w:rsid w:val="002F633D"/>
    <w:rsid w:val="002F6341"/>
    <w:rsid w:val="002F635D"/>
    <w:rsid w:val="002F63BF"/>
    <w:rsid w:val="002F63D2"/>
    <w:rsid w:val="002F63D6"/>
    <w:rsid w:val="002F6457"/>
    <w:rsid w:val="002F64C0"/>
    <w:rsid w:val="002F65A9"/>
    <w:rsid w:val="002F65E6"/>
    <w:rsid w:val="002F65FE"/>
    <w:rsid w:val="002F6608"/>
    <w:rsid w:val="002F663C"/>
    <w:rsid w:val="002F66D4"/>
    <w:rsid w:val="002F66FD"/>
    <w:rsid w:val="002F6704"/>
    <w:rsid w:val="002F6789"/>
    <w:rsid w:val="002F67D3"/>
    <w:rsid w:val="002F67D4"/>
    <w:rsid w:val="002F6815"/>
    <w:rsid w:val="002F683A"/>
    <w:rsid w:val="002F684D"/>
    <w:rsid w:val="002F6863"/>
    <w:rsid w:val="002F68CE"/>
    <w:rsid w:val="002F68ED"/>
    <w:rsid w:val="002F6906"/>
    <w:rsid w:val="002F690A"/>
    <w:rsid w:val="002F693B"/>
    <w:rsid w:val="002F699F"/>
    <w:rsid w:val="002F69A9"/>
    <w:rsid w:val="002F6A38"/>
    <w:rsid w:val="002F6A3C"/>
    <w:rsid w:val="002F6A94"/>
    <w:rsid w:val="002F6AD4"/>
    <w:rsid w:val="002F6ADD"/>
    <w:rsid w:val="002F6B44"/>
    <w:rsid w:val="002F6B60"/>
    <w:rsid w:val="002F6C73"/>
    <w:rsid w:val="002F6C80"/>
    <w:rsid w:val="002F6D26"/>
    <w:rsid w:val="002F6D42"/>
    <w:rsid w:val="002F6D74"/>
    <w:rsid w:val="002F6D97"/>
    <w:rsid w:val="002F6DA8"/>
    <w:rsid w:val="002F6DCB"/>
    <w:rsid w:val="002F6DE4"/>
    <w:rsid w:val="002F6E59"/>
    <w:rsid w:val="002F6E83"/>
    <w:rsid w:val="002F6EDD"/>
    <w:rsid w:val="002F6F3A"/>
    <w:rsid w:val="002F6F61"/>
    <w:rsid w:val="002F7025"/>
    <w:rsid w:val="002F708D"/>
    <w:rsid w:val="002F70C9"/>
    <w:rsid w:val="002F70D3"/>
    <w:rsid w:val="002F7101"/>
    <w:rsid w:val="002F7105"/>
    <w:rsid w:val="002F7126"/>
    <w:rsid w:val="002F7132"/>
    <w:rsid w:val="002F713D"/>
    <w:rsid w:val="002F7200"/>
    <w:rsid w:val="002F7239"/>
    <w:rsid w:val="002F7268"/>
    <w:rsid w:val="002F726E"/>
    <w:rsid w:val="002F7286"/>
    <w:rsid w:val="002F72A1"/>
    <w:rsid w:val="002F72BE"/>
    <w:rsid w:val="002F72EF"/>
    <w:rsid w:val="002F72FC"/>
    <w:rsid w:val="002F72FE"/>
    <w:rsid w:val="002F7357"/>
    <w:rsid w:val="002F736A"/>
    <w:rsid w:val="002F7373"/>
    <w:rsid w:val="002F73B9"/>
    <w:rsid w:val="002F7431"/>
    <w:rsid w:val="002F7440"/>
    <w:rsid w:val="002F7451"/>
    <w:rsid w:val="002F7486"/>
    <w:rsid w:val="002F7495"/>
    <w:rsid w:val="002F749D"/>
    <w:rsid w:val="002F74A0"/>
    <w:rsid w:val="002F7537"/>
    <w:rsid w:val="002F75F7"/>
    <w:rsid w:val="002F763E"/>
    <w:rsid w:val="002F766A"/>
    <w:rsid w:val="002F76FB"/>
    <w:rsid w:val="002F77A6"/>
    <w:rsid w:val="002F77BE"/>
    <w:rsid w:val="002F7823"/>
    <w:rsid w:val="002F785B"/>
    <w:rsid w:val="002F78CE"/>
    <w:rsid w:val="002F78FE"/>
    <w:rsid w:val="002F7914"/>
    <w:rsid w:val="002F7939"/>
    <w:rsid w:val="002F7962"/>
    <w:rsid w:val="002F7965"/>
    <w:rsid w:val="002F7982"/>
    <w:rsid w:val="002F7994"/>
    <w:rsid w:val="002F7999"/>
    <w:rsid w:val="002F79F1"/>
    <w:rsid w:val="002F7A01"/>
    <w:rsid w:val="002F7A06"/>
    <w:rsid w:val="002F7A30"/>
    <w:rsid w:val="002F7A3B"/>
    <w:rsid w:val="002F7A45"/>
    <w:rsid w:val="002F7A68"/>
    <w:rsid w:val="002F7A90"/>
    <w:rsid w:val="002F7AFA"/>
    <w:rsid w:val="002F7B13"/>
    <w:rsid w:val="002F7B2C"/>
    <w:rsid w:val="002F7B2F"/>
    <w:rsid w:val="002F7B47"/>
    <w:rsid w:val="002F7B68"/>
    <w:rsid w:val="002F7BF6"/>
    <w:rsid w:val="002F7C08"/>
    <w:rsid w:val="002F7C98"/>
    <w:rsid w:val="002F7D90"/>
    <w:rsid w:val="002F7E00"/>
    <w:rsid w:val="002F7E17"/>
    <w:rsid w:val="002F7E36"/>
    <w:rsid w:val="002F7EDE"/>
    <w:rsid w:val="002F7EE1"/>
    <w:rsid w:val="002F7F0A"/>
    <w:rsid w:val="002F7F28"/>
    <w:rsid w:val="002F7FDB"/>
    <w:rsid w:val="002F7FE5"/>
    <w:rsid w:val="002F7FF2"/>
    <w:rsid w:val="002F7FF8"/>
    <w:rsid w:val="00300002"/>
    <w:rsid w:val="00300011"/>
    <w:rsid w:val="00300077"/>
    <w:rsid w:val="0030009B"/>
    <w:rsid w:val="003000DE"/>
    <w:rsid w:val="0030011C"/>
    <w:rsid w:val="00300149"/>
    <w:rsid w:val="00300189"/>
    <w:rsid w:val="003001F1"/>
    <w:rsid w:val="0030020A"/>
    <w:rsid w:val="00300217"/>
    <w:rsid w:val="00300228"/>
    <w:rsid w:val="00300252"/>
    <w:rsid w:val="003002A0"/>
    <w:rsid w:val="00300300"/>
    <w:rsid w:val="0030039A"/>
    <w:rsid w:val="00300465"/>
    <w:rsid w:val="003004D5"/>
    <w:rsid w:val="00300512"/>
    <w:rsid w:val="00300569"/>
    <w:rsid w:val="0030056D"/>
    <w:rsid w:val="00300588"/>
    <w:rsid w:val="003005AA"/>
    <w:rsid w:val="003005C0"/>
    <w:rsid w:val="003005CC"/>
    <w:rsid w:val="003005D6"/>
    <w:rsid w:val="00300618"/>
    <w:rsid w:val="0030064E"/>
    <w:rsid w:val="00300651"/>
    <w:rsid w:val="00300667"/>
    <w:rsid w:val="00300668"/>
    <w:rsid w:val="0030068B"/>
    <w:rsid w:val="0030068F"/>
    <w:rsid w:val="003006B2"/>
    <w:rsid w:val="003006D2"/>
    <w:rsid w:val="00300717"/>
    <w:rsid w:val="00300721"/>
    <w:rsid w:val="0030074E"/>
    <w:rsid w:val="00300761"/>
    <w:rsid w:val="003007AA"/>
    <w:rsid w:val="003007C3"/>
    <w:rsid w:val="003007C7"/>
    <w:rsid w:val="00300869"/>
    <w:rsid w:val="00300878"/>
    <w:rsid w:val="00300884"/>
    <w:rsid w:val="003008C5"/>
    <w:rsid w:val="003008FD"/>
    <w:rsid w:val="00300970"/>
    <w:rsid w:val="00300980"/>
    <w:rsid w:val="003009BB"/>
    <w:rsid w:val="003009C9"/>
    <w:rsid w:val="003009E5"/>
    <w:rsid w:val="003009FB"/>
    <w:rsid w:val="00300ABC"/>
    <w:rsid w:val="00300ABE"/>
    <w:rsid w:val="00300AD5"/>
    <w:rsid w:val="00300B76"/>
    <w:rsid w:val="00300BBA"/>
    <w:rsid w:val="00300BD8"/>
    <w:rsid w:val="00300C14"/>
    <w:rsid w:val="00300C4B"/>
    <w:rsid w:val="00300C62"/>
    <w:rsid w:val="00300C9F"/>
    <w:rsid w:val="00300CC6"/>
    <w:rsid w:val="00300CDA"/>
    <w:rsid w:val="00300D1A"/>
    <w:rsid w:val="00300D6E"/>
    <w:rsid w:val="00300DB0"/>
    <w:rsid w:val="00300DD4"/>
    <w:rsid w:val="00300E01"/>
    <w:rsid w:val="00300E39"/>
    <w:rsid w:val="00300E7C"/>
    <w:rsid w:val="00300F06"/>
    <w:rsid w:val="00300F57"/>
    <w:rsid w:val="00300F5B"/>
    <w:rsid w:val="00300F6F"/>
    <w:rsid w:val="00300F83"/>
    <w:rsid w:val="00300FC2"/>
    <w:rsid w:val="00300FD0"/>
    <w:rsid w:val="00300FE4"/>
    <w:rsid w:val="00301058"/>
    <w:rsid w:val="00301097"/>
    <w:rsid w:val="003010CC"/>
    <w:rsid w:val="00301218"/>
    <w:rsid w:val="0030125E"/>
    <w:rsid w:val="00301302"/>
    <w:rsid w:val="0030132E"/>
    <w:rsid w:val="0030138F"/>
    <w:rsid w:val="003013A3"/>
    <w:rsid w:val="003013DB"/>
    <w:rsid w:val="003013EE"/>
    <w:rsid w:val="00301452"/>
    <w:rsid w:val="0030145E"/>
    <w:rsid w:val="00301468"/>
    <w:rsid w:val="003014CE"/>
    <w:rsid w:val="003014F0"/>
    <w:rsid w:val="00301503"/>
    <w:rsid w:val="0030151A"/>
    <w:rsid w:val="00301521"/>
    <w:rsid w:val="0030153F"/>
    <w:rsid w:val="00301573"/>
    <w:rsid w:val="003015BE"/>
    <w:rsid w:val="003015C4"/>
    <w:rsid w:val="003015DF"/>
    <w:rsid w:val="003015E2"/>
    <w:rsid w:val="003015FA"/>
    <w:rsid w:val="00301610"/>
    <w:rsid w:val="0030166C"/>
    <w:rsid w:val="00301677"/>
    <w:rsid w:val="003016E4"/>
    <w:rsid w:val="0030172A"/>
    <w:rsid w:val="00301735"/>
    <w:rsid w:val="00301744"/>
    <w:rsid w:val="00301749"/>
    <w:rsid w:val="003017B7"/>
    <w:rsid w:val="003017D2"/>
    <w:rsid w:val="003017EE"/>
    <w:rsid w:val="00301856"/>
    <w:rsid w:val="0030188B"/>
    <w:rsid w:val="003018C0"/>
    <w:rsid w:val="003018CB"/>
    <w:rsid w:val="00301912"/>
    <w:rsid w:val="0030195F"/>
    <w:rsid w:val="003019CF"/>
    <w:rsid w:val="00301A2F"/>
    <w:rsid w:val="00301A8E"/>
    <w:rsid w:val="00301AAC"/>
    <w:rsid w:val="00301AC2"/>
    <w:rsid w:val="00301AD9"/>
    <w:rsid w:val="00301B09"/>
    <w:rsid w:val="00301B31"/>
    <w:rsid w:val="00301B8E"/>
    <w:rsid w:val="00301C3F"/>
    <w:rsid w:val="00301C6E"/>
    <w:rsid w:val="00301CA8"/>
    <w:rsid w:val="00301CC6"/>
    <w:rsid w:val="00301D16"/>
    <w:rsid w:val="00301D2C"/>
    <w:rsid w:val="00301D64"/>
    <w:rsid w:val="00301DA5"/>
    <w:rsid w:val="00301DAD"/>
    <w:rsid w:val="00301E0F"/>
    <w:rsid w:val="00301E34"/>
    <w:rsid w:val="00301E4E"/>
    <w:rsid w:val="00301E64"/>
    <w:rsid w:val="00301E98"/>
    <w:rsid w:val="00301E9B"/>
    <w:rsid w:val="00301F00"/>
    <w:rsid w:val="00301F09"/>
    <w:rsid w:val="00301F40"/>
    <w:rsid w:val="00301F42"/>
    <w:rsid w:val="00301F57"/>
    <w:rsid w:val="00301FC6"/>
    <w:rsid w:val="00301FFD"/>
    <w:rsid w:val="0030202C"/>
    <w:rsid w:val="0030205F"/>
    <w:rsid w:val="0030206F"/>
    <w:rsid w:val="00302099"/>
    <w:rsid w:val="003020A3"/>
    <w:rsid w:val="003020C0"/>
    <w:rsid w:val="003020C6"/>
    <w:rsid w:val="003020E2"/>
    <w:rsid w:val="00302114"/>
    <w:rsid w:val="0030217B"/>
    <w:rsid w:val="003021BB"/>
    <w:rsid w:val="003021DF"/>
    <w:rsid w:val="003021FA"/>
    <w:rsid w:val="003021FC"/>
    <w:rsid w:val="0030223F"/>
    <w:rsid w:val="0030224B"/>
    <w:rsid w:val="00302258"/>
    <w:rsid w:val="00302283"/>
    <w:rsid w:val="0030229F"/>
    <w:rsid w:val="003022FB"/>
    <w:rsid w:val="00302372"/>
    <w:rsid w:val="00302382"/>
    <w:rsid w:val="003023A3"/>
    <w:rsid w:val="00302401"/>
    <w:rsid w:val="0030241F"/>
    <w:rsid w:val="00302497"/>
    <w:rsid w:val="003024C6"/>
    <w:rsid w:val="003024C9"/>
    <w:rsid w:val="003024E1"/>
    <w:rsid w:val="003024F6"/>
    <w:rsid w:val="003024FB"/>
    <w:rsid w:val="00302582"/>
    <w:rsid w:val="0030259C"/>
    <w:rsid w:val="00302621"/>
    <w:rsid w:val="00302627"/>
    <w:rsid w:val="003026E1"/>
    <w:rsid w:val="0030275D"/>
    <w:rsid w:val="00302767"/>
    <w:rsid w:val="0030279B"/>
    <w:rsid w:val="003027A7"/>
    <w:rsid w:val="0030285D"/>
    <w:rsid w:val="003028AC"/>
    <w:rsid w:val="003028F1"/>
    <w:rsid w:val="00302908"/>
    <w:rsid w:val="00302952"/>
    <w:rsid w:val="0030297B"/>
    <w:rsid w:val="00302998"/>
    <w:rsid w:val="00302A2D"/>
    <w:rsid w:val="00302A6E"/>
    <w:rsid w:val="00302A87"/>
    <w:rsid w:val="00302AB3"/>
    <w:rsid w:val="00302AE6"/>
    <w:rsid w:val="00302AEF"/>
    <w:rsid w:val="00302B4B"/>
    <w:rsid w:val="00302B91"/>
    <w:rsid w:val="00302BA1"/>
    <w:rsid w:val="00302BE3"/>
    <w:rsid w:val="00302BE7"/>
    <w:rsid w:val="00302C0F"/>
    <w:rsid w:val="00302C40"/>
    <w:rsid w:val="00302C74"/>
    <w:rsid w:val="00302C7A"/>
    <w:rsid w:val="00302C7D"/>
    <w:rsid w:val="00302C87"/>
    <w:rsid w:val="00302D1F"/>
    <w:rsid w:val="00302D30"/>
    <w:rsid w:val="00302D43"/>
    <w:rsid w:val="00302D7D"/>
    <w:rsid w:val="00302DDE"/>
    <w:rsid w:val="00302DEA"/>
    <w:rsid w:val="00302E51"/>
    <w:rsid w:val="00302E82"/>
    <w:rsid w:val="00302EEC"/>
    <w:rsid w:val="00302F2C"/>
    <w:rsid w:val="00302FE6"/>
    <w:rsid w:val="00303042"/>
    <w:rsid w:val="003030AC"/>
    <w:rsid w:val="003030DB"/>
    <w:rsid w:val="003030E9"/>
    <w:rsid w:val="0030310B"/>
    <w:rsid w:val="00303141"/>
    <w:rsid w:val="0030314C"/>
    <w:rsid w:val="00303159"/>
    <w:rsid w:val="00303173"/>
    <w:rsid w:val="0030321F"/>
    <w:rsid w:val="00303224"/>
    <w:rsid w:val="00303272"/>
    <w:rsid w:val="00303317"/>
    <w:rsid w:val="0030332E"/>
    <w:rsid w:val="0030332F"/>
    <w:rsid w:val="0030337F"/>
    <w:rsid w:val="00303395"/>
    <w:rsid w:val="00303399"/>
    <w:rsid w:val="003033FD"/>
    <w:rsid w:val="00303474"/>
    <w:rsid w:val="00303480"/>
    <w:rsid w:val="003034CB"/>
    <w:rsid w:val="00303500"/>
    <w:rsid w:val="0030350E"/>
    <w:rsid w:val="00303534"/>
    <w:rsid w:val="003035AA"/>
    <w:rsid w:val="003035B1"/>
    <w:rsid w:val="003035CB"/>
    <w:rsid w:val="003035DB"/>
    <w:rsid w:val="003035FC"/>
    <w:rsid w:val="0030362F"/>
    <w:rsid w:val="0030363D"/>
    <w:rsid w:val="00303641"/>
    <w:rsid w:val="00303649"/>
    <w:rsid w:val="003036BB"/>
    <w:rsid w:val="003036C3"/>
    <w:rsid w:val="003036DA"/>
    <w:rsid w:val="0030371B"/>
    <w:rsid w:val="00303726"/>
    <w:rsid w:val="00303746"/>
    <w:rsid w:val="00303766"/>
    <w:rsid w:val="00303777"/>
    <w:rsid w:val="003037B1"/>
    <w:rsid w:val="003037CD"/>
    <w:rsid w:val="003037E9"/>
    <w:rsid w:val="0030380E"/>
    <w:rsid w:val="00303870"/>
    <w:rsid w:val="003038BB"/>
    <w:rsid w:val="003038E5"/>
    <w:rsid w:val="003038EE"/>
    <w:rsid w:val="00303907"/>
    <w:rsid w:val="00303940"/>
    <w:rsid w:val="003039A7"/>
    <w:rsid w:val="00303A03"/>
    <w:rsid w:val="00303A13"/>
    <w:rsid w:val="00303A94"/>
    <w:rsid w:val="00303A97"/>
    <w:rsid w:val="00303AAB"/>
    <w:rsid w:val="00303B0D"/>
    <w:rsid w:val="00303B13"/>
    <w:rsid w:val="00303B22"/>
    <w:rsid w:val="00303B2B"/>
    <w:rsid w:val="00303BB6"/>
    <w:rsid w:val="00303BC5"/>
    <w:rsid w:val="00303C43"/>
    <w:rsid w:val="00303C6F"/>
    <w:rsid w:val="00303CC4"/>
    <w:rsid w:val="00303CEB"/>
    <w:rsid w:val="00303CF1"/>
    <w:rsid w:val="00303D71"/>
    <w:rsid w:val="00303DC7"/>
    <w:rsid w:val="00303DD3"/>
    <w:rsid w:val="00303DF0"/>
    <w:rsid w:val="00303E25"/>
    <w:rsid w:val="00303E42"/>
    <w:rsid w:val="00303E61"/>
    <w:rsid w:val="00303E8B"/>
    <w:rsid w:val="00303EA9"/>
    <w:rsid w:val="00303F58"/>
    <w:rsid w:val="00303F68"/>
    <w:rsid w:val="00303FF6"/>
    <w:rsid w:val="0030400A"/>
    <w:rsid w:val="00304016"/>
    <w:rsid w:val="003040A9"/>
    <w:rsid w:val="003040B6"/>
    <w:rsid w:val="0030416F"/>
    <w:rsid w:val="003041EB"/>
    <w:rsid w:val="00304276"/>
    <w:rsid w:val="003042C6"/>
    <w:rsid w:val="0030433F"/>
    <w:rsid w:val="003043AC"/>
    <w:rsid w:val="003043DD"/>
    <w:rsid w:val="003043E3"/>
    <w:rsid w:val="0030442A"/>
    <w:rsid w:val="0030445C"/>
    <w:rsid w:val="00304462"/>
    <w:rsid w:val="0030446A"/>
    <w:rsid w:val="0030447E"/>
    <w:rsid w:val="00304490"/>
    <w:rsid w:val="00304534"/>
    <w:rsid w:val="0030455A"/>
    <w:rsid w:val="0030457F"/>
    <w:rsid w:val="003045F4"/>
    <w:rsid w:val="0030460A"/>
    <w:rsid w:val="0030460E"/>
    <w:rsid w:val="0030465B"/>
    <w:rsid w:val="0030473C"/>
    <w:rsid w:val="0030473D"/>
    <w:rsid w:val="00304780"/>
    <w:rsid w:val="00304794"/>
    <w:rsid w:val="0030479C"/>
    <w:rsid w:val="003047BF"/>
    <w:rsid w:val="003047E9"/>
    <w:rsid w:val="0030481C"/>
    <w:rsid w:val="0030483A"/>
    <w:rsid w:val="00304894"/>
    <w:rsid w:val="003048E4"/>
    <w:rsid w:val="003048F2"/>
    <w:rsid w:val="00304908"/>
    <w:rsid w:val="00304925"/>
    <w:rsid w:val="00304928"/>
    <w:rsid w:val="00304956"/>
    <w:rsid w:val="00304976"/>
    <w:rsid w:val="003049ED"/>
    <w:rsid w:val="00304A08"/>
    <w:rsid w:val="00304A09"/>
    <w:rsid w:val="00304A0E"/>
    <w:rsid w:val="00304A2E"/>
    <w:rsid w:val="00304A30"/>
    <w:rsid w:val="00304AB1"/>
    <w:rsid w:val="00304AE9"/>
    <w:rsid w:val="00304B71"/>
    <w:rsid w:val="00304B82"/>
    <w:rsid w:val="00304B96"/>
    <w:rsid w:val="00304C1B"/>
    <w:rsid w:val="00304CE1"/>
    <w:rsid w:val="00304CF5"/>
    <w:rsid w:val="00304DB0"/>
    <w:rsid w:val="00304E31"/>
    <w:rsid w:val="00304E4F"/>
    <w:rsid w:val="00304E5F"/>
    <w:rsid w:val="00304E6C"/>
    <w:rsid w:val="00304E90"/>
    <w:rsid w:val="00304EF6"/>
    <w:rsid w:val="00304F0C"/>
    <w:rsid w:val="00304FCD"/>
    <w:rsid w:val="0030500D"/>
    <w:rsid w:val="00305012"/>
    <w:rsid w:val="00305077"/>
    <w:rsid w:val="003050A4"/>
    <w:rsid w:val="003050B6"/>
    <w:rsid w:val="003050C4"/>
    <w:rsid w:val="003050FB"/>
    <w:rsid w:val="003050FE"/>
    <w:rsid w:val="0030510E"/>
    <w:rsid w:val="0030512C"/>
    <w:rsid w:val="00305244"/>
    <w:rsid w:val="0030529A"/>
    <w:rsid w:val="003052AE"/>
    <w:rsid w:val="00305318"/>
    <w:rsid w:val="00305358"/>
    <w:rsid w:val="00305390"/>
    <w:rsid w:val="00305391"/>
    <w:rsid w:val="003053D0"/>
    <w:rsid w:val="0030540F"/>
    <w:rsid w:val="00305436"/>
    <w:rsid w:val="003054C2"/>
    <w:rsid w:val="003054E5"/>
    <w:rsid w:val="00305550"/>
    <w:rsid w:val="00305588"/>
    <w:rsid w:val="003055E6"/>
    <w:rsid w:val="00305610"/>
    <w:rsid w:val="0030561E"/>
    <w:rsid w:val="0030562F"/>
    <w:rsid w:val="0030568B"/>
    <w:rsid w:val="003056A6"/>
    <w:rsid w:val="0030570E"/>
    <w:rsid w:val="0030573C"/>
    <w:rsid w:val="0030575B"/>
    <w:rsid w:val="00305790"/>
    <w:rsid w:val="003057BC"/>
    <w:rsid w:val="003057F6"/>
    <w:rsid w:val="00305840"/>
    <w:rsid w:val="003058AE"/>
    <w:rsid w:val="003058D0"/>
    <w:rsid w:val="003058DD"/>
    <w:rsid w:val="00305955"/>
    <w:rsid w:val="00305959"/>
    <w:rsid w:val="00305990"/>
    <w:rsid w:val="003059F1"/>
    <w:rsid w:val="00305A63"/>
    <w:rsid w:val="00305A8A"/>
    <w:rsid w:val="00305AD6"/>
    <w:rsid w:val="00305AE2"/>
    <w:rsid w:val="00305B17"/>
    <w:rsid w:val="00305BD6"/>
    <w:rsid w:val="00305C5F"/>
    <w:rsid w:val="00305C78"/>
    <w:rsid w:val="00305CBA"/>
    <w:rsid w:val="00305D4A"/>
    <w:rsid w:val="00305D89"/>
    <w:rsid w:val="00305DF0"/>
    <w:rsid w:val="00305E0D"/>
    <w:rsid w:val="00305E65"/>
    <w:rsid w:val="00305EE5"/>
    <w:rsid w:val="00305F0F"/>
    <w:rsid w:val="00305F22"/>
    <w:rsid w:val="00305F51"/>
    <w:rsid w:val="00305F5A"/>
    <w:rsid w:val="00306003"/>
    <w:rsid w:val="0030604F"/>
    <w:rsid w:val="00306087"/>
    <w:rsid w:val="00306109"/>
    <w:rsid w:val="0030610A"/>
    <w:rsid w:val="0030617B"/>
    <w:rsid w:val="0030617D"/>
    <w:rsid w:val="003061B7"/>
    <w:rsid w:val="00306205"/>
    <w:rsid w:val="0030628A"/>
    <w:rsid w:val="003062A8"/>
    <w:rsid w:val="0030633A"/>
    <w:rsid w:val="003063CA"/>
    <w:rsid w:val="003063CB"/>
    <w:rsid w:val="00306432"/>
    <w:rsid w:val="0030644E"/>
    <w:rsid w:val="00306456"/>
    <w:rsid w:val="00306473"/>
    <w:rsid w:val="003064AE"/>
    <w:rsid w:val="003064B9"/>
    <w:rsid w:val="00306507"/>
    <w:rsid w:val="00306524"/>
    <w:rsid w:val="0030658B"/>
    <w:rsid w:val="003065B0"/>
    <w:rsid w:val="003065CE"/>
    <w:rsid w:val="003065F6"/>
    <w:rsid w:val="00306655"/>
    <w:rsid w:val="0030665D"/>
    <w:rsid w:val="0030668F"/>
    <w:rsid w:val="003066B1"/>
    <w:rsid w:val="003066DB"/>
    <w:rsid w:val="003066EC"/>
    <w:rsid w:val="003066F3"/>
    <w:rsid w:val="00306716"/>
    <w:rsid w:val="00306751"/>
    <w:rsid w:val="0030675D"/>
    <w:rsid w:val="003067A7"/>
    <w:rsid w:val="0030680C"/>
    <w:rsid w:val="00306867"/>
    <w:rsid w:val="00306876"/>
    <w:rsid w:val="0030687D"/>
    <w:rsid w:val="003068E6"/>
    <w:rsid w:val="0030696B"/>
    <w:rsid w:val="0030697F"/>
    <w:rsid w:val="00306994"/>
    <w:rsid w:val="003069A2"/>
    <w:rsid w:val="003069AB"/>
    <w:rsid w:val="003069CC"/>
    <w:rsid w:val="003069F3"/>
    <w:rsid w:val="00306A00"/>
    <w:rsid w:val="00306A0B"/>
    <w:rsid w:val="00306A14"/>
    <w:rsid w:val="00306A5D"/>
    <w:rsid w:val="00306AF0"/>
    <w:rsid w:val="00306B5C"/>
    <w:rsid w:val="00306BFA"/>
    <w:rsid w:val="00306BFC"/>
    <w:rsid w:val="00306CD6"/>
    <w:rsid w:val="00306D25"/>
    <w:rsid w:val="00306D3E"/>
    <w:rsid w:val="00306D41"/>
    <w:rsid w:val="00306D9D"/>
    <w:rsid w:val="00306DCF"/>
    <w:rsid w:val="00306E8C"/>
    <w:rsid w:val="00306EC5"/>
    <w:rsid w:val="00306F4F"/>
    <w:rsid w:val="00306F73"/>
    <w:rsid w:val="00306F88"/>
    <w:rsid w:val="00306FBD"/>
    <w:rsid w:val="00307019"/>
    <w:rsid w:val="0030701A"/>
    <w:rsid w:val="00307028"/>
    <w:rsid w:val="0030703E"/>
    <w:rsid w:val="00307041"/>
    <w:rsid w:val="00307081"/>
    <w:rsid w:val="00307131"/>
    <w:rsid w:val="00307144"/>
    <w:rsid w:val="0030714E"/>
    <w:rsid w:val="00307150"/>
    <w:rsid w:val="00307179"/>
    <w:rsid w:val="00307194"/>
    <w:rsid w:val="003071D7"/>
    <w:rsid w:val="00307221"/>
    <w:rsid w:val="00307226"/>
    <w:rsid w:val="00307257"/>
    <w:rsid w:val="00307259"/>
    <w:rsid w:val="0030727E"/>
    <w:rsid w:val="0030728B"/>
    <w:rsid w:val="003072B2"/>
    <w:rsid w:val="003072C3"/>
    <w:rsid w:val="003072E8"/>
    <w:rsid w:val="00307335"/>
    <w:rsid w:val="00307365"/>
    <w:rsid w:val="003073EE"/>
    <w:rsid w:val="00307413"/>
    <w:rsid w:val="00307429"/>
    <w:rsid w:val="00307448"/>
    <w:rsid w:val="0030749C"/>
    <w:rsid w:val="003074D4"/>
    <w:rsid w:val="0030757A"/>
    <w:rsid w:val="0030759A"/>
    <w:rsid w:val="00307658"/>
    <w:rsid w:val="003076BA"/>
    <w:rsid w:val="003077E4"/>
    <w:rsid w:val="0030781A"/>
    <w:rsid w:val="0030784A"/>
    <w:rsid w:val="0030786C"/>
    <w:rsid w:val="00307870"/>
    <w:rsid w:val="00307886"/>
    <w:rsid w:val="003078AF"/>
    <w:rsid w:val="003078B6"/>
    <w:rsid w:val="003078C3"/>
    <w:rsid w:val="003078CD"/>
    <w:rsid w:val="003078DF"/>
    <w:rsid w:val="003078EC"/>
    <w:rsid w:val="0030790E"/>
    <w:rsid w:val="003079D9"/>
    <w:rsid w:val="003079F2"/>
    <w:rsid w:val="00307A7D"/>
    <w:rsid w:val="00307A93"/>
    <w:rsid w:val="00307AD2"/>
    <w:rsid w:val="00307AD3"/>
    <w:rsid w:val="00307AFD"/>
    <w:rsid w:val="00307B11"/>
    <w:rsid w:val="00307B3B"/>
    <w:rsid w:val="00307B47"/>
    <w:rsid w:val="00307B68"/>
    <w:rsid w:val="00307B6C"/>
    <w:rsid w:val="00307B70"/>
    <w:rsid w:val="00307C12"/>
    <w:rsid w:val="00307C37"/>
    <w:rsid w:val="00307C5F"/>
    <w:rsid w:val="00307CA7"/>
    <w:rsid w:val="00307CA8"/>
    <w:rsid w:val="00307CC7"/>
    <w:rsid w:val="00307CFC"/>
    <w:rsid w:val="00307D19"/>
    <w:rsid w:val="00307D41"/>
    <w:rsid w:val="00307D43"/>
    <w:rsid w:val="00307DEC"/>
    <w:rsid w:val="00307E04"/>
    <w:rsid w:val="00307E0C"/>
    <w:rsid w:val="00307E88"/>
    <w:rsid w:val="00307EB9"/>
    <w:rsid w:val="00307EE1"/>
    <w:rsid w:val="00307F04"/>
    <w:rsid w:val="00307F21"/>
    <w:rsid w:val="00307F54"/>
    <w:rsid w:val="00307F87"/>
    <w:rsid w:val="00307FA9"/>
    <w:rsid w:val="00307FD2"/>
    <w:rsid w:val="00310012"/>
    <w:rsid w:val="00310018"/>
    <w:rsid w:val="0031001F"/>
    <w:rsid w:val="0031008C"/>
    <w:rsid w:val="003100A9"/>
    <w:rsid w:val="003100B7"/>
    <w:rsid w:val="0031015C"/>
    <w:rsid w:val="00310234"/>
    <w:rsid w:val="003102F8"/>
    <w:rsid w:val="0031031A"/>
    <w:rsid w:val="00310369"/>
    <w:rsid w:val="00310390"/>
    <w:rsid w:val="00310396"/>
    <w:rsid w:val="003103D2"/>
    <w:rsid w:val="003103EA"/>
    <w:rsid w:val="003103FE"/>
    <w:rsid w:val="0031043D"/>
    <w:rsid w:val="00310466"/>
    <w:rsid w:val="00310477"/>
    <w:rsid w:val="003104B3"/>
    <w:rsid w:val="0031053D"/>
    <w:rsid w:val="0031058D"/>
    <w:rsid w:val="003105A3"/>
    <w:rsid w:val="00310647"/>
    <w:rsid w:val="00310650"/>
    <w:rsid w:val="00310652"/>
    <w:rsid w:val="00310721"/>
    <w:rsid w:val="003107A9"/>
    <w:rsid w:val="003107C3"/>
    <w:rsid w:val="003107F1"/>
    <w:rsid w:val="00310817"/>
    <w:rsid w:val="003108B5"/>
    <w:rsid w:val="003108F4"/>
    <w:rsid w:val="003108FD"/>
    <w:rsid w:val="0031090E"/>
    <w:rsid w:val="00310943"/>
    <w:rsid w:val="00310989"/>
    <w:rsid w:val="0031098D"/>
    <w:rsid w:val="00310A23"/>
    <w:rsid w:val="00310A28"/>
    <w:rsid w:val="00310A3D"/>
    <w:rsid w:val="00310A5D"/>
    <w:rsid w:val="00310AE4"/>
    <w:rsid w:val="00310B2D"/>
    <w:rsid w:val="00310B53"/>
    <w:rsid w:val="00310B5E"/>
    <w:rsid w:val="00310BC9"/>
    <w:rsid w:val="00310C8E"/>
    <w:rsid w:val="00310CE5"/>
    <w:rsid w:val="00310D08"/>
    <w:rsid w:val="00310D37"/>
    <w:rsid w:val="00310D53"/>
    <w:rsid w:val="00310D72"/>
    <w:rsid w:val="00310DBC"/>
    <w:rsid w:val="00310DD4"/>
    <w:rsid w:val="00310DDB"/>
    <w:rsid w:val="00310DF9"/>
    <w:rsid w:val="00310E29"/>
    <w:rsid w:val="00310E3A"/>
    <w:rsid w:val="00310E57"/>
    <w:rsid w:val="00310E72"/>
    <w:rsid w:val="00310E93"/>
    <w:rsid w:val="00310EFB"/>
    <w:rsid w:val="00310F24"/>
    <w:rsid w:val="00310F51"/>
    <w:rsid w:val="00310F57"/>
    <w:rsid w:val="00310F96"/>
    <w:rsid w:val="00310FD6"/>
    <w:rsid w:val="00310FF4"/>
    <w:rsid w:val="00311086"/>
    <w:rsid w:val="003110BE"/>
    <w:rsid w:val="00311109"/>
    <w:rsid w:val="00311119"/>
    <w:rsid w:val="0031111A"/>
    <w:rsid w:val="0031112E"/>
    <w:rsid w:val="00311197"/>
    <w:rsid w:val="003111A2"/>
    <w:rsid w:val="003111D5"/>
    <w:rsid w:val="003111E5"/>
    <w:rsid w:val="0031121F"/>
    <w:rsid w:val="00311235"/>
    <w:rsid w:val="00311240"/>
    <w:rsid w:val="00311243"/>
    <w:rsid w:val="00311268"/>
    <w:rsid w:val="0031128A"/>
    <w:rsid w:val="003112A4"/>
    <w:rsid w:val="003112A8"/>
    <w:rsid w:val="00311310"/>
    <w:rsid w:val="00311332"/>
    <w:rsid w:val="0031135E"/>
    <w:rsid w:val="003113B7"/>
    <w:rsid w:val="0031140A"/>
    <w:rsid w:val="00311428"/>
    <w:rsid w:val="00311435"/>
    <w:rsid w:val="00311437"/>
    <w:rsid w:val="0031144B"/>
    <w:rsid w:val="00311461"/>
    <w:rsid w:val="003114BE"/>
    <w:rsid w:val="003114C3"/>
    <w:rsid w:val="003114D2"/>
    <w:rsid w:val="003114FA"/>
    <w:rsid w:val="0031150D"/>
    <w:rsid w:val="00311530"/>
    <w:rsid w:val="00311549"/>
    <w:rsid w:val="0031158D"/>
    <w:rsid w:val="003115C9"/>
    <w:rsid w:val="003115E7"/>
    <w:rsid w:val="00311645"/>
    <w:rsid w:val="00311647"/>
    <w:rsid w:val="00311648"/>
    <w:rsid w:val="00311672"/>
    <w:rsid w:val="003116BD"/>
    <w:rsid w:val="003116FC"/>
    <w:rsid w:val="00311736"/>
    <w:rsid w:val="00311742"/>
    <w:rsid w:val="003117A2"/>
    <w:rsid w:val="003117AF"/>
    <w:rsid w:val="003117B7"/>
    <w:rsid w:val="003117D4"/>
    <w:rsid w:val="0031180E"/>
    <w:rsid w:val="0031181E"/>
    <w:rsid w:val="0031183D"/>
    <w:rsid w:val="00311852"/>
    <w:rsid w:val="00311863"/>
    <w:rsid w:val="00311882"/>
    <w:rsid w:val="003118D1"/>
    <w:rsid w:val="003119A9"/>
    <w:rsid w:val="003119D8"/>
    <w:rsid w:val="00311AA2"/>
    <w:rsid w:val="00311AEC"/>
    <w:rsid w:val="00311B62"/>
    <w:rsid w:val="00311B70"/>
    <w:rsid w:val="00311BBE"/>
    <w:rsid w:val="00311BF7"/>
    <w:rsid w:val="00311C2C"/>
    <w:rsid w:val="00311C5D"/>
    <w:rsid w:val="00311C67"/>
    <w:rsid w:val="00311C98"/>
    <w:rsid w:val="00311CAB"/>
    <w:rsid w:val="00311CCC"/>
    <w:rsid w:val="00311CF4"/>
    <w:rsid w:val="00311D06"/>
    <w:rsid w:val="00311D19"/>
    <w:rsid w:val="00311D5B"/>
    <w:rsid w:val="00311DF2"/>
    <w:rsid w:val="00311E57"/>
    <w:rsid w:val="00311E5C"/>
    <w:rsid w:val="00311E68"/>
    <w:rsid w:val="00311EC4"/>
    <w:rsid w:val="00311EF9"/>
    <w:rsid w:val="00311F01"/>
    <w:rsid w:val="00311F59"/>
    <w:rsid w:val="00311F5E"/>
    <w:rsid w:val="00311F93"/>
    <w:rsid w:val="00311FF6"/>
    <w:rsid w:val="00312012"/>
    <w:rsid w:val="00312055"/>
    <w:rsid w:val="0031206F"/>
    <w:rsid w:val="003120BF"/>
    <w:rsid w:val="003120C9"/>
    <w:rsid w:val="003120FE"/>
    <w:rsid w:val="0031213F"/>
    <w:rsid w:val="0031216F"/>
    <w:rsid w:val="00312176"/>
    <w:rsid w:val="00312186"/>
    <w:rsid w:val="003121A4"/>
    <w:rsid w:val="003121AB"/>
    <w:rsid w:val="003121F4"/>
    <w:rsid w:val="003121F9"/>
    <w:rsid w:val="003121FF"/>
    <w:rsid w:val="00312216"/>
    <w:rsid w:val="00312220"/>
    <w:rsid w:val="00312248"/>
    <w:rsid w:val="0031225D"/>
    <w:rsid w:val="0031227C"/>
    <w:rsid w:val="003122C3"/>
    <w:rsid w:val="003123C9"/>
    <w:rsid w:val="003123D5"/>
    <w:rsid w:val="003123E7"/>
    <w:rsid w:val="00312416"/>
    <w:rsid w:val="0031241A"/>
    <w:rsid w:val="00312431"/>
    <w:rsid w:val="0031243C"/>
    <w:rsid w:val="00312440"/>
    <w:rsid w:val="00312471"/>
    <w:rsid w:val="0031247B"/>
    <w:rsid w:val="003124DD"/>
    <w:rsid w:val="00312508"/>
    <w:rsid w:val="0031250B"/>
    <w:rsid w:val="00312527"/>
    <w:rsid w:val="00312565"/>
    <w:rsid w:val="003125CC"/>
    <w:rsid w:val="003125EE"/>
    <w:rsid w:val="003125EF"/>
    <w:rsid w:val="00312607"/>
    <w:rsid w:val="00312622"/>
    <w:rsid w:val="00312642"/>
    <w:rsid w:val="0031264C"/>
    <w:rsid w:val="0031268C"/>
    <w:rsid w:val="003126DF"/>
    <w:rsid w:val="0031271C"/>
    <w:rsid w:val="0031275E"/>
    <w:rsid w:val="00312776"/>
    <w:rsid w:val="00312783"/>
    <w:rsid w:val="003127D3"/>
    <w:rsid w:val="00312829"/>
    <w:rsid w:val="00312879"/>
    <w:rsid w:val="003128AD"/>
    <w:rsid w:val="003128B9"/>
    <w:rsid w:val="003128D8"/>
    <w:rsid w:val="003128DF"/>
    <w:rsid w:val="003128F0"/>
    <w:rsid w:val="00312914"/>
    <w:rsid w:val="00312972"/>
    <w:rsid w:val="003129A8"/>
    <w:rsid w:val="003129B0"/>
    <w:rsid w:val="003129BC"/>
    <w:rsid w:val="003129F6"/>
    <w:rsid w:val="00312A11"/>
    <w:rsid w:val="00312A6E"/>
    <w:rsid w:val="00312A9F"/>
    <w:rsid w:val="00312AA4"/>
    <w:rsid w:val="00312AB5"/>
    <w:rsid w:val="00312AD6"/>
    <w:rsid w:val="00312B17"/>
    <w:rsid w:val="00312B5B"/>
    <w:rsid w:val="00312B6E"/>
    <w:rsid w:val="00312B91"/>
    <w:rsid w:val="00312C40"/>
    <w:rsid w:val="00312CA9"/>
    <w:rsid w:val="00312CD8"/>
    <w:rsid w:val="00312DB7"/>
    <w:rsid w:val="00312E3A"/>
    <w:rsid w:val="00312E43"/>
    <w:rsid w:val="00312E6E"/>
    <w:rsid w:val="00312EF6"/>
    <w:rsid w:val="00312F1C"/>
    <w:rsid w:val="00312F44"/>
    <w:rsid w:val="00312F7B"/>
    <w:rsid w:val="00312FBF"/>
    <w:rsid w:val="00313027"/>
    <w:rsid w:val="0031302C"/>
    <w:rsid w:val="0031303C"/>
    <w:rsid w:val="0031305C"/>
    <w:rsid w:val="00313079"/>
    <w:rsid w:val="003130E6"/>
    <w:rsid w:val="003130E7"/>
    <w:rsid w:val="003130F7"/>
    <w:rsid w:val="00313167"/>
    <w:rsid w:val="003131A6"/>
    <w:rsid w:val="003131C5"/>
    <w:rsid w:val="00313224"/>
    <w:rsid w:val="0031325C"/>
    <w:rsid w:val="0031327E"/>
    <w:rsid w:val="003132A2"/>
    <w:rsid w:val="00313368"/>
    <w:rsid w:val="0031336A"/>
    <w:rsid w:val="00313377"/>
    <w:rsid w:val="00313394"/>
    <w:rsid w:val="003133D2"/>
    <w:rsid w:val="00313409"/>
    <w:rsid w:val="0031346B"/>
    <w:rsid w:val="003134FE"/>
    <w:rsid w:val="00313511"/>
    <w:rsid w:val="003135C1"/>
    <w:rsid w:val="003135E4"/>
    <w:rsid w:val="003135E9"/>
    <w:rsid w:val="003135F8"/>
    <w:rsid w:val="0031361B"/>
    <w:rsid w:val="00313635"/>
    <w:rsid w:val="00313637"/>
    <w:rsid w:val="0031363E"/>
    <w:rsid w:val="003136D3"/>
    <w:rsid w:val="003136EE"/>
    <w:rsid w:val="003137F9"/>
    <w:rsid w:val="00313908"/>
    <w:rsid w:val="0031392E"/>
    <w:rsid w:val="003139FB"/>
    <w:rsid w:val="00313A15"/>
    <w:rsid w:val="00313A2B"/>
    <w:rsid w:val="00313A7D"/>
    <w:rsid w:val="00313ACA"/>
    <w:rsid w:val="00313B1A"/>
    <w:rsid w:val="00313B4A"/>
    <w:rsid w:val="00313BAC"/>
    <w:rsid w:val="00313BAF"/>
    <w:rsid w:val="00313BC6"/>
    <w:rsid w:val="00313BE8"/>
    <w:rsid w:val="00313C2B"/>
    <w:rsid w:val="00313C41"/>
    <w:rsid w:val="00313C8C"/>
    <w:rsid w:val="00313CBA"/>
    <w:rsid w:val="00313CD0"/>
    <w:rsid w:val="00313CEF"/>
    <w:rsid w:val="00313D61"/>
    <w:rsid w:val="00313D75"/>
    <w:rsid w:val="00313D8A"/>
    <w:rsid w:val="00313DA7"/>
    <w:rsid w:val="00313DB6"/>
    <w:rsid w:val="00313DEE"/>
    <w:rsid w:val="00313E48"/>
    <w:rsid w:val="00313E52"/>
    <w:rsid w:val="00313EA6"/>
    <w:rsid w:val="00313F41"/>
    <w:rsid w:val="00313F46"/>
    <w:rsid w:val="00313FAB"/>
    <w:rsid w:val="00313FEF"/>
    <w:rsid w:val="003140A0"/>
    <w:rsid w:val="003140D6"/>
    <w:rsid w:val="003140EC"/>
    <w:rsid w:val="0031413A"/>
    <w:rsid w:val="00314144"/>
    <w:rsid w:val="00314190"/>
    <w:rsid w:val="00314203"/>
    <w:rsid w:val="0031429A"/>
    <w:rsid w:val="0031429E"/>
    <w:rsid w:val="003142A3"/>
    <w:rsid w:val="003142F1"/>
    <w:rsid w:val="00314308"/>
    <w:rsid w:val="0031431A"/>
    <w:rsid w:val="00314344"/>
    <w:rsid w:val="00314356"/>
    <w:rsid w:val="0031438C"/>
    <w:rsid w:val="003143BA"/>
    <w:rsid w:val="003143D8"/>
    <w:rsid w:val="003143F0"/>
    <w:rsid w:val="00314415"/>
    <w:rsid w:val="003144C2"/>
    <w:rsid w:val="003144E7"/>
    <w:rsid w:val="003144EC"/>
    <w:rsid w:val="0031454F"/>
    <w:rsid w:val="00314586"/>
    <w:rsid w:val="0031464B"/>
    <w:rsid w:val="00314665"/>
    <w:rsid w:val="00314667"/>
    <w:rsid w:val="00314674"/>
    <w:rsid w:val="0031468A"/>
    <w:rsid w:val="0031469B"/>
    <w:rsid w:val="003146DA"/>
    <w:rsid w:val="00314714"/>
    <w:rsid w:val="00314778"/>
    <w:rsid w:val="003147A4"/>
    <w:rsid w:val="003147F2"/>
    <w:rsid w:val="0031485D"/>
    <w:rsid w:val="0031487B"/>
    <w:rsid w:val="00314891"/>
    <w:rsid w:val="003148BC"/>
    <w:rsid w:val="003148C8"/>
    <w:rsid w:val="003148D9"/>
    <w:rsid w:val="003148FC"/>
    <w:rsid w:val="00314919"/>
    <w:rsid w:val="0031493C"/>
    <w:rsid w:val="00314946"/>
    <w:rsid w:val="00314952"/>
    <w:rsid w:val="00314987"/>
    <w:rsid w:val="003149A8"/>
    <w:rsid w:val="003149BD"/>
    <w:rsid w:val="003149D6"/>
    <w:rsid w:val="00314A36"/>
    <w:rsid w:val="00314A6E"/>
    <w:rsid w:val="00314A98"/>
    <w:rsid w:val="00314AA1"/>
    <w:rsid w:val="00314AAA"/>
    <w:rsid w:val="00314B34"/>
    <w:rsid w:val="00314B3C"/>
    <w:rsid w:val="00314BF9"/>
    <w:rsid w:val="00314C69"/>
    <w:rsid w:val="00314C74"/>
    <w:rsid w:val="00314C99"/>
    <w:rsid w:val="00314D03"/>
    <w:rsid w:val="00314D2F"/>
    <w:rsid w:val="00314D9B"/>
    <w:rsid w:val="00314EFF"/>
    <w:rsid w:val="00314F54"/>
    <w:rsid w:val="00314F7F"/>
    <w:rsid w:val="00314F8C"/>
    <w:rsid w:val="00314FCF"/>
    <w:rsid w:val="00314FD3"/>
    <w:rsid w:val="00314FDA"/>
    <w:rsid w:val="0031500F"/>
    <w:rsid w:val="003150BF"/>
    <w:rsid w:val="0031518A"/>
    <w:rsid w:val="003151C1"/>
    <w:rsid w:val="003151E8"/>
    <w:rsid w:val="00315260"/>
    <w:rsid w:val="0031528D"/>
    <w:rsid w:val="00315299"/>
    <w:rsid w:val="003152B6"/>
    <w:rsid w:val="003152D8"/>
    <w:rsid w:val="003152E3"/>
    <w:rsid w:val="00315315"/>
    <w:rsid w:val="00315326"/>
    <w:rsid w:val="00315356"/>
    <w:rsid w:val="0031535E"/>
    <w:rsid w:val="00315370"/>
    <w:rsid w:val="00315401"/>
    <w:rsid w:val="00315406"/>
    <w:rsid w:val="00315414"/>
    <w:rsid w:val="0031547C"/>
    <w:rsid w:val="00315493"/>
    <w:rsid w:val="003154AA"/>
    <w:rsid w:val="003154EC"/>
    <w:rsid w:val="0031550E"/>
    <w:rsid w:val="00315546"/>
    <w:rsid w:val="0031556D"/>
    <w:rsid w:val="00315570"/>
    <w:rsid w:val="00315590"/>
    <w:rsid w:val="00315591"/>
    <w:rsid w:val="003155C6"/>
    <w:rsid w:val="00315615"/>
    <w:rsid w:val="00315631"/>
    <w:rsid w:val="0031564F"/>
    <w:rsid w:val="003156CE"/>
    <w:rsid w:val="00315737"/>
    <w:rsid w:val="003157B0"/>
    <w:rsid w:val="003157F8"/>
    <w:rsid w:val="00315835"/>
    <w:rsid w:val="00315877"/>
    <w:rsid w:val="003158F0"/>
    <w:rsid w:val="0031591A"/>
    <w:rsid w:val="0031591E"/>
    <w:rsid w:val="003159CF"/>
    <w:rsid w:val="00315A34"/>
    <w:rsid w:val="00315A59"/>
    <w:rsid w:val="00315A63"/>
    <w:rsid w:val="00315A75"/>
    <w:rsid w:val="00315AC5"/>
    <w:rsid w:val="00315B0A"/>
    <w:rsid w:val="00315B1D"/>
    <w:rsid w:val="00315B26"/>
    <w:rsid w:val="00315B44"/>
    <w:rsid w:val="00315B90"/>
    <w:rsid w:val="00315B9B"/>
    <w:rsid w:val="00315C03"/>
    <w:rsid w:val="00315C0F"/>
    <w:rsid w:val="00315C4B"/>
    <w:rsid w:val="00315CB3"/>
    <w:rsid w:val="00315CB5"/>
    <w:rsid w:val="00315CD6"/>
    <w:rsid w:val="00315CF6"/>
    <w:rsid w:val="00315D54"/>
    <w:rsid w:val="00315D55"/>
    <w:rsid w:val="00315D5A"/>
    <w:rsid w:val="00315D5B"/>
    <w:rsid w:val="00315D79"/>
    <w:rsid w:val="00315DB2"/>
    <w:rsid w:val="00315DC4"/>
    <w:rsid w:val="00315DF8"/>
    <w:rsid w:val="00315E4B"/>
    <w:rsid w:val="00315E8B"/>
    <w:rsid w:val="00315EB2"/>
    <w:rsid w:val="00315EB6"/>
    <w:rsid w:val="00315ECC"/>
    <w:rsid w:val="00315EE6"/>
    <w:rsid w:val="00315EEF"/>
    <w:rsid w:val="00315FC7"/>
    <w:rsid w:val="00315FD3"/>
    <w:rsid w:val="00315FDC"/>
    <w:rsid w:val="00315FE6"/>
    <w:rsid w:val="00316041"/>
    <w:rsid w:val="0031609A"/>
    <w:rsid w:val="003160B3"/>
    <w:rsid w:val="003160B6"/>
    <w:rsid w:val="003160C9"/>
    <w:rsid w:val="003160CD"/>
    <w:rsid w:val="003160FB"/>
    <w:rsid w:val="00316121"/>
    <w:rsid w:val="00316146"/>
    <w:rsid w:val="003161EC"/>
    <w:rsid w:val="00316247"/>
    <w:rsid w:val="0031624B"/>
    <w:rsid w:val="0031629B"/>
    <w:rsid w:val="0031629F"/>
    <w:rsid w:val="003162BD"/>
    <w:rsid w:val="003162C7"/>
    <w:rsid w:val="00316330"/>
    <w:rsid w:val="00316344"/>
    <w:rsid w:val="00316354"/>
    <w:rsid w:val="00316365"/>
    <w:rsid w:val="003163A5"/>
    <w:rsid w:val="003163CC"/>
    <w:rsid w:val="003163ED"/>
    <w:rsid w:val="0031646D"/>
    <w:rsid w:val="0031647C"/>
    <w:rsid w:val="0031648A"/>
    <w:rsid w:val="003164B3"/>
    <w:rsid w:val="003164BD"/>
    <w:rsid w:val="0031650B"/>
    <w:rsid w:val="0031650C"/>
    <w:rsid w:val="0031652D"/>
    <w:rsid w:val="003165A1"/>
    <w:rsid w:val="003165A3"/>
    <w:rsid w:val="003165B2"/>
    <w:rsid w:val="003165C1"/>
    <w:rsid w:val="003165D8"/>
    <w:rsid w:val="003165E7"/>
    <w:rsid w:val="00316695"/>
    <w:rsid w:val="0031674D"/>
    <w:rsid w:val="0031677D"/>
    <w:rsid w:val="0031679F"/>
    <w:rsid w:val="00316800"/>
    <w:rsid w:val="00316801"/>
    <w:rsid w:val="0031689C"/>
    <w:rsid w:val="003168FB"/>
    <w:rsid w:val="00316923"/>
    <w:rsid w:val="00316962"/>
    <w:rsid w:val="00316A19"/>
    <w:rsid w:val="00316A30"/>
    <w:rsid w:val="00316A3E"/>
    <w:rsid w:val="00316A40"/>
    <w:rsid w:val="00316A80"/>
    <w:rsid w:val="00316A8C"/>
    <w:rsid w:val="00316A90"/>
    <w:rsid w:val="00316AAF"/>
    <w:rsid w:val="00316AB1"/>
    <w:rsid w:val="00316ACD"/>
    <w:rsid w:val="00316BB1"/>
    <w:rsid w:val="00316C33"/>
    <w:rsid w:val="00316CC1"/>
    <w:rsid w:val="00316D2F"/>
    <w:rsid w:val="00316D61"/>
    <w:rsid w:val="00316DB6"/>
    <w:rsid w:val="00316DE7"/>
    <w:rsid w:val="00316E11"/>
    <w:rsid w:val="00316E12"/>
    <w:rsid w:val="00316E41"/>
    <w:rsid w:val="00316E49"/>
    <w:rsid w:val="00316E57"/>
    <w:rsid w:val="00316EEB"/>
    <w:rsid w:val="00316F00"/>
    <w:rsid w:val="00316F36"/>
    <w:rsid w:val="00316F73"/>
    <w:rsid w:val="00316F76"/>
    <w:rsid w:val="00316F91"/>
    <w:rsid w:val="00316FF3"/>
    <w:rsid w:val="0031705D"/>
    <w:rsid w:val="003170C6"/>
    <w:rsid w:val="003170D2"/>
    <w:rsid w:val="003170D5"/>
    <w:rsid w:val="0031712A"/>
    <w:rsid w:val="00317173"/>
    <w:rsid w:val="0031719D"/>
    <w:rsid w:val="003171F3"/>
    <w:rsid w:val="00317236"/>
    <w:rsid w:val="003173A3"/>
    <w:rsid w:val="003173D1"/>
    <w:rsid w:val="0031741F"/>
    <w:rsid w:val="00317430"/>
    <w:rsid w:val="0031745B"/>
    <w:rsid w:val="00317473"/>
    <w:rsid w:val="003174FD"/>
    <w:rsid w:val="0031753C"/>
    <w:rsid w:val="00317598"/>
    <w:rsid w:val="003175BA"/>
    <w:rsid w:val="003175F4"/>
    <w:rsid w:val="003176D7"/>
    <w:rsid w:val="00317724"/>
    <w:rsid w:val="00317729"/>
    <w:rsid w:val="00317745"/>
    <w:rsid w:val="0031774E"/>
    <w:rsid w:val="00317754"/>
    <w:rsid w:val="0031779C"/>
    <w:rsid w:val="003177AF"/>
    <w:rsid w:val="003177CC"/>
    <w:rsid w:val="003177D6"/>
    <w:rsid w:val="003177DB"/>
    <w:rsid w:val="003177EB"/>
    <w:rsid w:val="00317829"/>
    <w:rsid w:val="0031783B"/>
    <w:rsid w:val="00317860"/>
    <w:rsid w:val="00317873"/>
    <w:rsid w:val="00317890"/>
    <w:rsid w:val="00317897"/>
    <w:rsid w:val="00317955"/>
    <w:rsid w:val="0031797A"/>
    <w:rsid w:val="00317985"/>
    <w:rsid w:val="0031798E"/>
    <w:rsid w:val="00317991"/>
    <w:rsid w:val="00317998"/>
    <w:rsid w:val="0031799F"/>
    <w:rsid w:val="003179BC"/>
    <w:rsid w:val="003179C4"/>
    <w:rsid w:val="003179E1"/>
    <w:rsid w:val="00317A36"/>
    <w:rsid w:val="00317A63"/>
    <w:rsid w:val="00317AAF"/>
    <w:rsid w:val="00317AB7"/>
    <w:rsid w:val="00317AC4"/>
    <w:rsid w:val="00317B23"/>
    <w:rsid w:val="00317B6E"/>
    <w:rsid w:val="00317C71"/>
    <w:rsid w:val="00317CAB"/>
    <w:rsid w:val="00317D22"/>
    <w:rsid w:val="00317DB5"/>
    <w:rsid w:val="00317E2B"/>
    <w:rsid w:val="00317E49"/>
    <w:rsid w:val="00317E8A"/>
    <w:rsid w:val="00317E9F"/>
    <w:rsid w:val="00317EE5"/>
    <w:rsid w:val="00317F12"/>
    <w:rsid w:val="00317F4E"/>
    <w:rsid w:val="00317F5E"/>
    <w:rsid w:val="00317F6A"/>
    <w:rsid w:val="00317F7B"/>
    <w:rsid w:val="00317F81"/>
    <w:rsid w:val="00317FC0"/>
    <w:rsid w:val="00317FC3"/>
    <w:rsid w:val="00317FE1"/>
    <w:rsid w:val="00320006"/>
    <w:rsid w:val="00320028"/>
    <w:rsid w:val="0032005A"/>
    <w:rsid w:val="00320062"/>
    <w:rsid w:val="00320080"/>
    <w:rsid w:val="003200D1"/>
    <w:rsid w:val="003200E8"/>
    <w:rsid w:val="003200F3"/>
    <w:rsid w:val="0032016F"/>
    <w:rsid w:val="00320179"/>
    <w:rsid w:val="00320235"/>
    <w:rsid w:val="00320261"/>
    <w:rsid w:val="003202E1"/>
    <w:rsid w:val="0032036F"/>
    <w:rsid w:val="00320373"/>
    <w:rsid w:val="00320379"/>
    <w:rsid w:val="003203A7"/>
    <w:rsid w:val="00320418"/>
    <w:rsid w:val="00320433"/>
    <w:rsid w:val="00320436"/>
    <w:rsid w:val="0032046E"/>
    <w:rsid w:val="00320473"/>
    <w:rsid w:val="00320554"/>
    <w:rsid w:val="0032057C"/>
    <w:rsid w:val="003205C6"/>
    <w:rsid w:val="00320618"/>
    <w:rsid w:val="00320629"/>
    <w:rsid w:val="00320663"/>
    <w:rsid w:val="00320679"/>
    <w:rsid w:val="00320681"/>
    <w:rsid w:val="00320693"/>
    <w:rsid w:val="003206AA"/>
    <w:rsid w:val="003206D1"/>
    <w:rsid w:val="003206E8"/>
    <w:rsid w:val="003206F3"/>
    <w:rsid w:val="003206FE"/>
    <w:rsid w:val="00320717"/>
    <w:rsid w:val="00320779"/>
    <w:rsid w:val="0032077F"/>
    <w:rsid w:val="003207A8"/>
    <w:rsid w:val="00320807"/>
    <w:rsid w:val="0032082A"/>
    <w:rsid w:val="0032084E"/>
    <w:rsid w:val="00320869"/>
    <w:rsid w:val="0032086D"/>
    <w:rsid w:val="00320888"/>
    <w:rsid w:val="0032089C"/>
    <w:rsid w:val="00320901"/>
    <w:rsid w:val="0032092C"/>
    <w:rsid w:val="00320A1A"/>
    <w:rsid w:val="00320A40"/>
    <w:rsid w:val="00320A53"/>
    <w:rsid w:val="00320A61"/>
    <w:rsid w:val="00320AB0"/>
    <w:rsid w:val="00320ABA"/>
    <w:rsid w:val="00320ABB"/>
    <w:rsid w:val="00320AF7"/>
    <w:rsid w:val="00320B7C"/>
    <w:rsid w:val="00320CCB"/>
    <w:rsid w:val="00320D5B"/>
    <w:rsid w:val="00320D60"/>
    <w:rsid w:val="00320DC7"/>
    <w:rsid w:val="00320DE0"/>
    <w:rsid w:val="00320E67"/>
    <w:rsid w:val="00320E78"/>
    <w:rsid w:val="00320E93"/>
    <w:rsid w:val="00320E9C"/>
    <w:rsid w:val="00320EB1"/>
    <w:rsid w:val="00320EB3"/>
    <w:rsid w:val="00320ED1"/>
    <w:rsid w:val="00320F33"/>
    <w:rsid w:val="00320F3C"/>
    <w:rsid w:val="00320F45"/>
    <w:rsid w:val="00320F5E"/>
    <w:rsid w:val="00320F6B"/>
    <w:rsid w:val="00320F85"/>
    <w:rsid w:val="00320F8A"/>
    <w:rsid w:val="00320F9B"/>
    <w:rsid w:val="0032111A"/>
    <w:rsid w:val="00321125"/>
    <w:rsid w:val="00321167"/>
    <w:rsid w:val="0032117F"/>
    <w:rsid w:val="00321187"/>
    <w:rsid w:val="0032119B"/>
    <w:rsid w:val="003211B5"/>
    <w:rsid w:val="00321242"/>
    <w:rsid w:val="00321261"/>
    <w:rsid w:val="00321283"/>
    <w:rsid w:val="00321321"/>
    <w:rsid w:val="00321369"/>
    <w:rsid w:val="00321387"/>
    <w:rsid w:val="003213B5"/>
    <w:rsid w:val="003213BA"/>
    <w:rsid w:val="003213F1"/>
    <w:rsid w:val="0032149E"/>
    <w:rsid w:val="003214A1"/>
    <w:rsid w:val="003214AE"/>
    <w:rsid w:val="003214D3"/>
    <w:rsid w:val="003214D5"/>
    <w:rsid w:val="003214E0"/>
    <w:rsid w:val="003214FD"/>
    <w:rsid w:val="00321532"/>
    <w:rsid w:val="0032154D"/>
    <w:rsid w:val="0032156A"/>
    <w:rsid w:val="003215BE"/>
    <w:rsid w:val="00321604"/>
    <w:rsid w:val="00321612"/>
    <w:rsid w:val="0032162C"/>
    <w:rsid w:val="00321631"/>
    <w:rsid w:val="0032165A"/>
    <w:rsid w:val="00321666"/>
    <w:rsid w:val="00321671"/>
    <w:rsid w:val="0032168E"/>
    <w:rsid w:val="0032168F"/>
    <w:rsid w:val="003216D1"/>
    <w:rsid w:val="003216F1"/>
    <w:rsid w:val="00321753"/>
    <w:rsid w:val="0032175A"/>
    <w:rsid w:val="003217A6"/>
    <w:rsid w:val="003217ED"/>
    <w:rsid w:val="00321816"/>
    <w:rsid w:val="00321837"/>
    <w:rsid w:val="0032183B"/>
    <w:rsid w:val="00321863"/>
    <w:rsid w:val="00321889"/>
    <w:rsid w:val="003218DE"/>
    <w:rsid w:val="003218E4"/>
    <w:rsid w:val="003218F4"/>
    <w:rsid w:val="003219F7"/>
    <w:rsid w:val="003219FE"/>
    <w:rsid w:val="00321A2E"/>
    <w:rsid w:val="00321A44"/>
    <w:rsid w:val="00321AAC"/>
    <w:rsid w:val="00321AFF"/>
    <w:rsid w:val="00321B08"/>
    <w:rsid w:val="00321B37"/>
    <w:rsid w:val="00321B5C"/>
    <w:rsid w:val="00321B77"/>
    <w:rsid w:val="00321B97"/>
    <w:rsid w:val="00321BC8"/>
    <w:rsid w:val="00321BDB"/>
    <w:rsid w:val="00321C20"/>
    <w:rsid w:val="00321CAE"/>
    <w:rsid w:val="00321D45"/>
    <w:rsid w:val="00321D80"/>
    <w:rsid w:val="00321DC7"/>
    <w:rsid w:val="00321DDE"/>
    <w:rsid w:val="00321E1E"/>
    <w:rsid w:val="00321E39"/>
    <w:rsid w:val="00321E5D"/>
    <w:rsid w:val="00321E9B"/>
    <w:rsid w:val="00321EC6"/>
    <w:rsid w:val="00321ED8"/>
    <w:rsid w:val="00321ED9"/>
    <w:rsid w:val="00321EE1"/>
    <w:rsid w:val="00321F46"/>
    <w:rsid w:val="00321F6C"/>
    <w:rsid w:val="00321FA7"/>
    <w:rsid w:val="00321FB9"/>
    <w:rsid w:val="00321FCC"/>
    <w:rsid w:val="00321FE7"/>
    <w:rsid w:val="003220BA"/>
    <w:rsid w:val="003220C1"/>
    <w:rsid w:val="003220C8"/>
    <w:rsid w:val="00322107"/>
    <w:rsid w:val="00322155"/>
    <w:rsid w:val="00322199"/>
    <w:rsid w:val="0032221B"/>
    <w:rsid w:val="00322239"/>
    <w:rsid w:val="00322340"/>
    <w:rsid w:val="0032238E"/>
    <w:rsid w:val="003223AF"/>
    <w:rsid w:val="003223D8"/>
    <w:rsid w:val="003223E6"/>
    <w:rsid w:val="003223F7"/>
    <w:rsid w:val="0032243D"/>
    <w:rsid w:val="00322456"/>
    <w:rsid w:val="0032245D"/>
    <w:rsid w:val="00322461"/>
    <w:rsid w:val="00322468"/>
    <w:rsid w:val="0032246E"/>
    <w:rsid w:val="00322472"/>
    <w:rsid w:val="00322474"/>
    <w:rsid w:val="00322511"/>
    <w:rsid w:val="0032257A"/>
    <w:rsid w:val="00322592"/>
    <w:rsid w:val="00322604"/>
    <w:rsid w:val="00322606"/>
    <w:rsid w:val="00322627"/>
    <w:rsid w:val="003226B6"/>
    <w:rsid w:val="003226C7"/>
    <w:rsid w:val="0032273A"/>
    <w:rsid w:val="0032276E"/>
    <w:rsid w:val="00322771"/>
    <w:rsid w:val="00322772"/>
    <w:rsid w:val="00322791"/>
    <w:rsid w:val="00322792"/>
    <w:rsid w:val="00322798"/>
    <w:rsid w:val="0032279C"/>
    <w:rsid w:val="0032280A"/>
    <w:rsid w:val="00322812"/>
    <w:rsid w:val="00322866"/>
    <w:rsid w:val="0032289E"/>
    <w:rsid w:val="003228AD"/>
    <w:rsid w:val="003228D2"/>
    <w:rsid w:val="0032291C"/>
    <w:rsid w:val="00322924"/>
    <w:rsid w:val="0032295F"/>
    <w:rsid w:val="00322964"/>
    <w:rsid w:val="00322971"/>
    <w:rsid w:val="003229BB"/>
    <w:rsid w:val="003229FD"/>
    <w:rsid w:val="00322A11"/>
    <w:rsid w:val="00322A79"/>
    <w:rsid w:val="00322AC8"/>
    <w:rsid w:val="00322AD8"/>
    <w:rsid w:val="00322B22"/>
    <w:rsid w:val="00322B95"/>
    <w:rsid w:val="00322BB1"/>
    <w:rsid w:val="00322BB3"/>
    <w:rsid w:val="00322BF9"/>
    <w:rsid w:val="00322C56"/>
    <w:rsid w:val="00322C5A"/>
    <w:rsid w:val="00322C7C"/>
    <w:rsid w:val="00322C81"/>
    <w:rsid w:val="00322CA7"/>
    <w:rsid w:val="00322CB0"/>
    <w:rsid w:val="00322CE0"/>
    <w:rsid w:val="00322D25"/>
    <w:rsid w:val="00322D54"/>
    <w:rsid w:val="00322D6F"/>
    <w:rsid w:val="00322D84"/>
    <w:rsid w:val="00322DB1"/>
    <w:rsid w:val="00322DCB"/>
    <w:rsid w:val="00322DDA"/>
    <w:rsid w:val="00322E18"/>
    <w:rsid w:val="00322E3A"/>
    <w:rsid w:val="00322E51"/>
    <w:rsid w:val="00322E5E"/>
    <w:rsid w:val="00322F57"/>
    <w:rsid w:val="00322F7B"/>
    <w:rsid w:val="00322F9F"/>
    <w:rsid w:val="00322FA3"/>
    <w:rsid w:val="00322FB3"/>
    <w:rsid w:val="00323069"/>
    <w:rsid w:val="003230EC"/>
    <w:rsid w:val="00323178"/>
    <w:rsid w:val="0032319F"/>
    <w:rsid w:val="003231EA"/>
    <w:rsid w:val="00323207"/>
    <w:rsid w:val="0032321A"/>
    <w:rsid w:val="00323284"/>
    <w:rsid w:val="003232B9"/>
    <w:rsid w:val="00323317"/>
    <w:rsid w:val="0032334C"/>
    <w:rsid w:val="0032336A"/>
    <w:rsid w:val="0032336C"/>
    <w:rsid w:val="00323381"/>
    <w:rsid w:val="00323391"/>
    <w:rsid w:val="00323392"/>
    <w:rsid w:val="003233D3"/>
    <w:rsid w:val="003233F6"/>
    <w:rsid w:val="00323432"/>
    <w:rsid w:val="0032345E"/>
    <w:rsid w:val="00323469"/>
    <w:rsid w:val="00323470"/>
    <w:rsid w:val="00323475"/>
    <w:rsid w:val="00323477"/>
    <w:rsid w:val="0032349A"/>
    <w:rsid w:val="003234A2"/>
    <w:rsid w:val="003234D7"/>
    <w:rsid w:val="003234DC"/>
    <w:rsid w:val="003234EF"/>
    <w:rsid w:val="00323519"/>
    <w:rsid w:val="00323523"/>
    <w:rsid w:val="00323525"/>
    <w:rsid w:val="0032353A"/>
    <w:rsid w:val="00323541"/>
    <w:rsid w:val="0032359B"/>
    <w:rsid w:val="003235CC"/>
    <w:rsid w:val="003235D4"/>
    <w:rsid w:val="00323641"/>
    <w:rsid w:val="00323667"/>
    <w:rsid w:val="0032366D"/>
    <w:rsid w:val="0032366E"/>
    <w:rsid w:val="0032368C"/>
    <w:rsid w:val="003236C1"/>
    <w:rsid w:val="003236CD"/>
    <w:rsid w:val="003236DF"/>
    <w:rsid w:val="00323730"/>
    <w:rsid w:val="00323764"/>
    <w:rsid w:val="0032377A"/>
    <w:rsid w:val="003237E8"/>
    <w:rsid w:val="003237EB"/>
    <w:rsid w:val="00323820"/>
    <w:rsid w:val="00323830"/>
    <w:rsid w:val="0032386A"/>
    <w:rsid w:val="003238E3"/>
    <w:rsid w:val="003238F9"/>
    <w:rsid w:val="00323916"/>
    <w:rsid w:val="00323921"/>
    <w:rsid w:val="00323925"/>
    <w:rsid w:val="00323951"/>
    <w:rsid w:val="00323955"/>
    <w:rsid w:val="0032399F"/>
    <w:rsid w:val="003239C2"/>
    <w:rsid w:val="003239EB"/>
    <w:rsid w:val="00323A11"/>
    <w:rsid w:val="00323A1B"/>
    <w:rsid w:val="00323A2E"/>
    <w:rsid w:val="00323A4F"/>
    <w:rsid w:val="00323B02"/>
    <w:rsid w:val="00323B1B"/>
    <w:rsid w:val="00323B9E"/>
    <w:rsid w:val="00323BCB"/>
    <w:rsid w:val="00323BD1"/>
    <w:rsid w:val="00323BDF"/>
    <w:rsid w:val="00323BF1"/>
    <w:rsid w:val="00323C15"/>
    <w:rsid w:val="00323C5F"/>
    <w:rsid w:val="00323C60"/>
    <w:rsid w:val="00323C83"/>
    <w:rsid w:val="00323C9B"/>
    <w:rsid w:val="00323CA1"/>
    <w:rsid w:val="00323DCD"/>
    <w:rsid w:val="00323E15"/>
    <w:rsid w:val="00323E29"/>
    <w:rsid w:val="00323E99"/>
    <w:rsid w:val="00323EB2"/>
    <w:rsid w:val="00323EF3"/>
    <w:rsid w:val="00323F14"/>
    <w:rsid w:val="00323F32"/>
    <w:rsid w:val="00323F55"/>
    <w:rsid w:val="00323FBC"/>
    <w:rsid w:val="00324009"/>
    <w:rsid w:val="00324067"/>
    <w:rsid w:val="00324095"/>
    <w:rsid w:val="003240B4"/>
    <w:rsid w:val="003240E2"/>
    <w:rsid w:val="00324105"/>
    <w:rsid w:val="00324161"/>
    <w:rsid w:val="00324192"/>
    <w:rsid w:val="00324196"/>
    <w:rsid w:val="003241D3"/>
    <w:rsid w:val="003241E5"/>
    <w:rsid w:val="003241F5"/>
    <w:rsid w:val="00324301"/>
    <w:rsid w:val="00324315"/>
    <w:rsid w:val="0032436A"/>
    <w:rsid w:val="003243A4"/>
    <w:rsid w:val="003243DC"/>
    <w:rsid w:val="003243E8"/>
    <w:rsid w:val="0032449E"/>
    <w:rsid w:val="003244B1"/>
    <w:rsid w:val="00324545"/>
    <w:rsid w:val="003245A3"/>
    <w:rsid w:val="003245E0"/>
    <w:rsid w:val="003245EC"/>
    <w:rsid w:val="00324601"/>
    <w:rsid w:val="0032461A"/>
    <w:rsid w:val="00324664"/>
    <w:rsid w:val="00324670"/>
    <w:rsid w:val="003246BA"/>
    <w:rsid w:val="0032471D"/>
    <w:rsid w:val="0032473A"/>
    <w:rsid w:val="00324767"/>
    <w:rsid w:val="00324768"/>
    <w:rsid w:val="0032477A"/>
    <w:rsid w:val="00324790"/>
    <w:rsid w:val="003247BB"/>
    <w:rsid w:val="0032483C"/>
    <w:rsid w:val="00324883"/>
    <w:rsid w:val="00324904"/>
    <w:rsid w:val="00324908"/>
    <w:rsid w:val="00324941"/>
    <w:rsid w:val="00324949"/>
    <w:rsid w:val="003249D0"/>
    <w:rsid w:val="003249DE"/>
    <w:rsid w:val="003249E1"/>
    <w:rsid w:val="003249F6"/>
    <w:rsid w:val="00324A18"/>
    <w:rsid w:val="00324A26"/>
    <w:rsid w:val="00324A71"/>
    <w:rsid w:val="00324A82"/>
    <w:rsid w:val="00324B18"/>
    <w:rsid w:val="00324B47"/>
    <w:rsid w:val="00324B4A"/>
    <w:rsid w:val="00324B7C"/>
    <w:rsid w:val="00324B9E"/>
    <w:rsid w:val="00324BE8"/>
    <w:rsid w:val="00324C15"/>
    <w:rsid w:val="00324C7D"/>
    <w:rsid w:val="00324CBE"/>
    <w:rsid w:val="00324CF0"/>
    <w:rsid w:val="00324CFA"/>
    <w:rsid w:val="00324D2E"/>
    <w:rsid w:val="00324D30"/>
    <w:rsid w:val="00324DC6"/>
    <w:rsid w:val="00324E5A"/>
    <w:rsid w:val="00324E81"/>
    <w:rsid w:val="00324E88"/>
    <w:rsid w:val="00324EA0"/>
    <w:rsid w:val="00324EE4"/>
    <w:rsid w:val="00324F1A"/>
    <w:rsid w:val="00324F27"/>
    <w:rsid w:val="00324F7C"/>
    <w:rsid w:val="00324FC9"/>
    <w:rsid w:val="00324FFC"/>
    <w:rsid w:val="00325025"/>
    <w:rsid w:val="00325026"/>
    <w:rsid w:val="0032504C"/>
    <w:rsid w:val="0032505B"/>
    <w:rsid w:val="00325061"/>
    <w:rsid w:val="003250B7"/>
    <w:rsid w:val="003250DF"/>
    <w:rsid w:val="0032511C"/>
    <w:rsid w:val="00325183"/>
    <w:rsid w:val="00325186"/>
    <w:rsid w:val="003251E3"/>
    <w:rsid w:val="00325201"/>
    <w:rsid w:val="0032524B"/>
    <w:rsid w:val="0032532E"/>
    <w:rsid w:val="0032534D"/>
    <w:rsid w:val="00325397"/>
    <w:rsid w:val="0032544E"/>
    <w:rsid w:val="0032544F"/>
    <w:rsid w:val="003254C8"/>
    <w:rsid w:val="003254C9"/>
    <w:rsid w:val="003254EE"/>
    <w:rsid w:val="003254FD"/>
    <w:rsid w:val="003255B5"/>
    <w:rsid w:val="0032561F"/>
    <w:rsid w:val="00325629"/>
    <w:rsid w:val="00325645"/>
    <w:rsid w:val="00325671"/>
    <w:rsid w:val="003256E2"/>
    <w:rsid w:val="0032570F"/>
    <w:rsid w:val="00325721"/>
    <w:rsid w:val="00325769"/>
    <w:rsid w:val="0032577B"/>
    <w:rsid w:val="0032578B"/>
    <w:rsid w:val="0032579E"/>
    <w:rsid w:val="003257BF"/>
    <w:rsid w:val="003257EB"/>
    <w:rsid w:val="00325858"/>
    <w:rsid w:val="00325892"/>
    <w:rsid w:val="003258B3"/>
    <w:rsid w:val="003258EA"/>
    <w:rsid w:val="00325938"/>
    <w:rsid w:val="00325942"/>
    <w:rsid w:val="00325988"/>
    <w:rsid w:val="003259AD"/>
    <w:rsid w:val="003259BB"/>
    <w:rsid w:val="003259FF"/>
    <w:rsid w:val="00325A45"/>
    <w:rsid w:val="00325B4B"/>
    <w:rsid w:val="00325BB6"/>
    <w:rsid w:val="00325BCA"/>
    <w:rsid w:val="00325BD8"/>
    <w:rsid w:val="00325BDA"/>
    <w:rsid w:val="00325C35"/>
    <w:rsid w:val="00325C54"/>
    <w:rsid w:val="00325C59"/>
    <w:rsid w:val="00325CDD"/>
    <w:rsid w:val="00325CEA"/>
    <w:rsid w:val="00325D78"/>
    <w:rsid w:val="00325DDB"/>
    <w:rsid w:val="00325DFA"/>
    <w:rsid w:val="00325E65"/>
    <w:rsid w:val="00325E96"/>
    <w:rsid w:val="00325E9F"/>
    <w:rsid w:val="00325EC1"/>
    <w:rsid w:val="00325EE6"/>
    <w:rsid w:val="00325EF1"/>
    <w:rsid w:val="00325FB8"/>
    <w:rsid w:val="00326035"/>
    <w:rsid w:val="0032605C"/>
    <w:rsid w:val="0032609A"/>
    <w:rsid w:val="003260B6"/>
    <w:rsid w:val="003260BE"/>
    <w:rsid w:val="00326148"/>
    <w:rsid w:val="003261C0"/>
    <w:rsid w:val="00326264"/>
    <w:rsid w:val="0032629C"/>
    <w:rsid w:val="003262C3"/>
    <w:rsid w:val="0032632A"/>
    <w:rsid w:val="0032633B"/>
    <w:rsid w:val="0032634E"/>
    <w:rsid w:val="00326380"/>
    <w:rsid w:val="0032643F"/>
    <w:rsid w:val="00326468"/>
    <w:rsid w:val="0032647A"/>
    <w:rsid w:val="0032647F"/>
    <w:rsid w:val="0032653F"/>
    <w:rsid w:val="00326610"/>
    <w:rsid w:val="00326657"/>
    <w:rsid w:val="00326729"/>
    <w:rsid w:val="00326792"/>
    <w:rsid w:val="00326794"/>
    <w:rsid w:val="003267C1"/>
    <w:rsid w:val="003267FE"/>
    <w:rsid w:val="00326804"/>
    <w:rsid w:val="00326821"/>
    <w:rsid w:val="003268C3"/>
    <w:rsid w:val="003268C4"/>
    <w:rsid w:val="00326918"/>
    <w:rsid w:val="00326960"/>
    <w:rsid w:val="003269F6"/>
    <w:rsid w:val="00326A34"/>
    <w:rsid w:val="00326A53"/>
    <w:rsid w:val="00326AB4"/>
    <w:rsid w:val="00326B20"/>
    <w:rsid w:val="00326BD6"/>
    <w:rsid w:val="00326C19"/>
    <w:rsid w:val="00326C60"/>
    <w:rsid w:val="00326C67"/>
    <w:rsid w:val="00326C8B"/>
    <w:rsid w:val="00326CA3"/>
    <w:rsid w:val="00326D3B"/>
    <w:rsid w:val="00326D51"/>
    <w:rsid w:val="00326D6C"/>
    <w:rsid w:val="00326D83"/>
    <w:rsid w:val="00326D94"/>
    <w:rsid w:val="00326DAA"/>
    <w:rsid w:val="00326DB1"/>
    <w:rsid w:val="00326DF0"/>
    <w:rsid w:val="00326E5C"/>
    <w:rsid w:val="00326E70"/>
    <w:rsid w:val="00326E7F"/>
    <w:rsid w:val="00326EDD"/>
    <w:rsid w:val="00326F22"/>
    <w:rsid w:val="00326F62"/>
    <w:rsid w:val="00326F86"/>
    <w:rsid w:val="00326FC5"/>
    <w:rsid w:val="00326FD5"/>
    <w:rsid w:val="00326FED"/>
    <w:rsid w:val="00326FF2"/>
    <w:rsid w:val="00327009"/>
    <w:rsid w:val="00327011"/>
    <w:rsid w:val="00327089"/>
    <w:rsid w:val="00327134"/>
    <w:rsid w:val="003271B3"/>
    <w:rsid w:val="003271C7"/>
    <w:rsid w:val="003271CC"/>
    <w:rsid w:val="00327272"/>
    <w:rsid w:val="00327285"/>
    <w:rsid w:val="003272AA"/>
    <w:rsid w:val="003272BC"/>
    <w:rsid w:val="00327317"/>
    <w:rsid w:val="0032731F"/>
    <w:rsid w:val="00327320"/>
    <w:rsid w:val="00327347"/>
    <w:rsid w:val="00327364"/>
    <w:rsid w:val="0032737B"/>
    <w:rsid w:val="0032742A"/>
    <w:rsid w:val="00327495"/>
    <w:rsid w:val="003274AE"/>
    <w:rsid w:val="003274FD"/>
    <w:rsid w:val="00327524"/>
    <w:rsid w:val="0032753D"/>
    <w:rsid w:val="003275B2"/>
    <w:rsid w:val="003275C6"/>
    <w:rsid w:val="003275DB"/>
    <w:rsid w:val="003275EA"/>
    <w:rsid w:val="00327621"/>
    <w:rsid w:val="0032762A"/>
    <w:rsid w:val="00327652"/>
    <w:rsid w:val="00327696"/>
    <w:rsid w:val="00327709"/>
    <w:rsid w:val="00327739"/>
    <w:rsid w:val="00327749"/>
    <w:rsid w:val="00327794"/>
    <w:rsid w:val="003277EA"/>
    <w:rsid w:val="0032780F"/>
    <w:rsid w:val="00327818"/>
    <w:rsid w:val="00327841"/>
    <w:rsid w:val="003278CB"/>
    <w:rsid w:val="003278E7"/>
    <w:rsid w:val="00327914"/>
    <w:rsid w:val="00327942"/>
    <w:rsid w:val="00327980"/>
    <w:rsid w:val="003279A6"/>
    <w:rsid w:val="003279DE"/>
    <w:rsid w:val="003279E1"/>
    <w:rsid w:val="003279F5"/>
    <w:rsid w:val="00327A01"/>
    <w:rsid w:val="00327A59"/>
    <w:rsid w:val="00327A77"/>
    <w:rsid w:val="00327A96"/>
    <w:rsid w:val="00327B0F"/>
    <w:rsid w:val="00327B48"/>
    <w:rsid w:val="00327B54"/>
    <w:rsid w:val="00327B74"/>
    <w:rsid w:val="00327B7F"/>
    <w:rsid w:val="00327BAD"/>
    <w:rsid w:val="00327BD9"/>
    <w:rsid w:val="00327BE2"/>
    <w:rsid w:val="00327C25"/>
    <w:rsid w:val="00327C87"/>
    <w:rsid w:val="00327C99"/>
    <w:rsid w:val="00327CAE"/>
    <w:rsid w:val="00327CAF"/>
    <w:rsid w:val="00327CB0"/>
    <w:rsid w:val="00327CC0"/>
    <w:rsid w:val="00327CCC"/>
    <w:rsid w:val="00327D2A"/>
    <w:rsid w:val="00327D36"/>
    <w:rsid w:val="00327D64"/>
    <w:rsid w:val="00327E3D"/>
    <w:rsid w:val="00327E6C"/>
    <w:rsid w:val="00327EF5"/>
    <w:rsid w:val="00327F10"/>
    <w:rsid w:val="00327F2C"/>
    <w:rsid w:val="00327F94"/>
    <w:rsid w:val="00327FA2"/>
    <w:rsid w:val="00327FC7"/>
    <w:rsid w:val="00327FD4"/>
    <w:rsid w:val="00330022"/>
    <w:rsid w:val="00330044"/>
    <w:rsid w:val="0033008A"/>
    <w:rsid w:val="003300C3"/>
    <w:rsid w:val="003300F6"/>
    <w:rsid w:val="00330102"/>
    <w:rsid w:val="0033013B"/>
    <w:rsid w:val="003301FC"/>
    <w:rsid w:val="00330253"/>
    <w:rsid w:val="0033026B"/>
    <w:rsid w:val="003302A7"/>
    <w:rsid w:val="003302AE"/>
    <w:rsid w:val="00330320"/>
    <w:rsid w:val="0033036D"/>
    <w:rsid w:val="00330386"/>
    <w:rsid w:val="003303AA"/>
    <w:rsid w:val="00330400"/>
    <w:rsid w:val="00330406"/>
    <w:rsid w:val="00330425"/>
    <w:rsid w:val="00330429"/>
    <w:rsid w:val="0033045F"/>
    <w:rsid w:val="0033046B"/>
    <w:rsid w:val="003304A3"/>
    <w:rsid w:val="0033052E"/>
    <w:rsid w:val="0033058E"/>
    <w:rsid w:val="003305C2"/>
    <w:rsid w:val="0033065F"/>
    <w:rsid w:val="00330695"/>
    <w:rsid w:val="003306F7"/>
    <w:rsid w:val="0033072C"/>
    <w:rsid w:val="0033072F"/>
    <w:rsid w:val="0033074C"/>
    <w:rsid w:val="0033075B"/>
    <w:rsid w:val="00330791"/>
    <w:rsid w:val="0033079E"/>
    <w:rsid w:val="003307AA"/>
    <w:rsid w:val="003307FF"/>
    <w:rsid w:val="0033080C"/>
    <w:rsid w:val="0033087A"/>
    <w:rsid w:val="0033089F"/>
    <w:rsid w:val="003308EE"/>
    <w:rsid w:val="00330907"/>
    <w:rsid w:val="00330944"/>
    <w:rsid w:val="00330968"/>
    <w:rsid w:val="003309B7"/>
    <w:rsid w:val="00330A48"/>
    <w:rsid w:val="00330A59"/>
    <w:rsid w:val="00330A64"/>
    <w:rsid w:val="00330A6D"/>
    <w:rsid w:val="00330A6E"/>
    <w:rsid w:val="00330A7C"/>
    <w:rsid w:val="00330B51"/>
    <w:rsid w:val="00330BE2"/>
    <w:rsid w:val="00330C3D"/>
    <w:rsid w:val="00330C6F"/>
    <w:rsid w:val="00330C8A"/>
    <w:rsid w:val="00330CF9"/>
    <w:rsid w:val="00330D11"/>
    <w:rsid w:val="00330D12"/>
    <w:rsid w:val="00330D16"/>
    <w:rsid w:val="00330D3A"/>
    <w:rsid w:val="00330D43"/>
    <w:rsid w:val="00330D46"/>
    <w:rsid w:val="00330D72"/>
    <w:rsid w:val="00330D7D"/>
    <w:rsid w:val="00330DAB"/>
    <w:rsid w:val="00330DD8"/>
    <w:rsid w:val="00330DD9"/>
    <w:rsid w:val="00330E28"/>
    <w:rsid w:val="00330EA0"/>
    <w:rsid w:val="00330EF0"/>
    <w:rsid w:val="00330F1A"/>
    <w:rsid w:val="00330F5B"/>
    <w:rsid w:val="00330F9B"/>
    <w:rsid w:val="00330FC9"/>
    <w:rsid w:val="00331010"/>
    <w:rsid w:val="00331041"/>
    <w:rsid w:val="00331052"/>
    <w:rsid w:val="00331078"/>
    <w:rsid w:val="0033107A"/>
    <w:rsid w:val="003310AC"/>
    <w:rsid w:val="00331116"/>
    <w:rsid w:val="00331121"/>
    <w:rsid w:val="0033112B"/>
    <w:rsid w:val="0033119A"/>
    <w:rsid w:val="003311B2"/>
    <w:rsid w:val="003311CB"/>
    <w:rsid w:val="00331209"/>
    <w:rsid w:val="0033121B"/>
    <w:rsid w:val="00331252"/>
    <w:rsid w:val="00331305"/>
    <w:rsid w:val="00331319"/>
    <w:rsid w:val="0033131A"/>
    <w:rsid w:val="0033133E"/>
    <w:rsid w:val="00331357"/>
    <w:rsid w:val="00331366"/>
    <w:rsid w:val="0033141E"/>
    <w:rsid w:val="003314B0"/>
    <w:rsid w:val="003314FA"/>
    <w:rsid w:val="00331546"/>
    <w:rsid w:val="0033154C"/>
    <w:rsid w:val="00331554"/>
    <w:rsid w:val="00331576"/>
    <w:rsid w:val="00331599"/>
    <w:rsid w:val="003315CB"/>
    <w:rsid w:val="003315DF"/>
    <w:rsid w:val="003315FC"/>
    <w:rsid w:val="0033160B"/>
    <w:rsid w:val="00331618"/>
    <w:rsid w:val="00331663"/>
    <w:rsid w:val="0033167C"/>
    <w:rsid w:val="003316AD"/>
    <w:rsid w:val="0033171C"/>
    <w:rsid w:val="00331722"/>
    <w:rsid w:val="00331759"/>
    <w:rsid w:val="00331793"/>
    <w:rsid w:val="003317C1"/>
    <w:rsid w:val="00331821"/>
    <w:rsid w:val="00331866"/>
    <w:rsid w:val="00331926"/>
    <w:rsid w:val="00331927"/>
    <w:rsid w:val="00331A0F"/>
    <w:rsid w:val="00331A1A"/>
    <w:rsid w:val="00331A3D"/>
    <w:rsid w:val="00331A59"/>
    <w:rsid w:val="00331A70"/>
    <w:rsid w:val="00331A83"/>
    <w:rsid w:val="00331AA0"/>
    <w:rsid w:val="00331AAE"/>
    <w:rsid w:val="00331B5A"/>
    <w:rsid w:val="00331B61"/>
    <w:rsid w:val="00331B6E"/>
    <w:rsid w:val="00331B95"/>
    <w:rsid w:val="00331BDD"/>
    <w:rsid w:val="00331BF5"/>
    <w:rsid w:val="00331C25"/>
    <w:rsid w:val="00331C58"/>
    <w:rsid w:val="00331CA5"/>
    <w:rsid w:val="00331D29"/>
    <w:rsid w:val="00331D3E"/>
    <w:rsid w:val="00331D55"/>
    <w:rsid w:val="00331D88"/>
    <w:rsid w:val="00331DB4"/>
    <w:rsid w:val="00331DEF"/>
    <w:rsid w:val="00331DFA"/>
    <w:rsid w:val="00331E20"/>
    <w:rsid w:val="00331E26"/>
    <w:rsid w:val="00331E69"/>
    <w:rsid w:val="00331E77"/>
    <w:rsid w:val="00331E92"/>
    <w:rsid w:val="00331EEF"/>
    <w:rsid w:val="00331F37"/>
    <w:rsid w:val="00331F40"/>
    <w:rsid w:val="00331F66"/>
    <w:rsid w:val="00331F75"/>
    <w:rsid w:val="00331FD8"/>
    <w:rsid w:val="00332033"/>
    <w:rsid w:val="00332064"/>
    <w:rsid w:val="0033206A"/>
    <w:rsid w:val="003320A7"/>
    <w:rsid w:val="003321A1"/>
    <w:rsid w:val="003321BE"/>
    <w:rsid w:val="003321E1"/>
    <w:rsid w:val="003321EC"/>
    <w:rsid w:val="00332269"/>
    <w:rsid w:val="00332288"/>
    <w:rsid w:val="0033231E"/>
    <w:rsid w:val="00332321"/>
    <w:rsid w:val="00332353"/>
    <w:rsid w:val="0033235B"/>
    <w:rsid w:val="003323C8"/>
    <w:rsid w:val="003323CD"/>
    <w:rsid w:val="00332481"/>
    <w:rsid w:val="003324B6"/>
    <w:rsid w:val="003324C8"/>
    <w:rsid w:val="003324D7"/>
    <w:rsid w:val="003324EB"/>
    <w:rsid w:val="00332607"/>
    <w:rsid w:val="00332618"/>
    <w:rsid w:val="003326AB"/>
    <w:rsid w:val="003326B4"/>
    <w:rsid w:val="003326C3"/>
    <w:rsid w:val="003326F0"/>
    <w:rsid w:val="00332701"/>
    <w:rsid w:val="0033270A"/>
    <w:rsid w:val="00332784"/>
    <w:rsid w:val="003327B1"/>
    <w:rsid w:val="003327E7"/>
    <w:rsid w:val="0033282B"/>
    <w:rsid w:val="0033287F"/>
    <w:rsid w:val="003328B6"/>
    <w:rsid w:val="003328BF"/>
    <w:rsid w:val="003328E9"/>
    <w:rsid w:val="00332924"/>
    <w:rsid w:val="0033292C"/>
    <w:rsid w:val="0033295F"/>
    <w:rsid w:val="003329B2"/>
    <w:rsid w:val="00332A4E"/>
    <w:rsid w:val="00332A8C"/>
    <w:rsid w:val="00332AA8"/>
    <w:rsid w:val="00332AF0"/>
    <w:rsid w:val="00332B2F"/>
    <w:rsid w:val="00332B77"/>
    <w:rsid w:val="00332B91"/>
    <w:rsid w:val="00332BD9"/>
    <w:rsid w:val="00332BE2"/>
    <w:rsid w:val="00332BEB"/>
    <w:rsid w:val="00332C19"/>
    <w:rsid w:val="00332C4C"/>
    <w:rsid w:val="00332C56"/>
    <w:rsid w:val="00332C6C"/>
    <w:rsid w:val="00332CAA"/>
    <w:rsid w:val="00332CB8"/>
    <w:rsid w:val="00332D65"/>
    <w:rsid w:val="00332DC0"/>
    <w:rsid w:val="00332DC9"/>
    <w:rsid w:val="00332E28"/>
    <w:rsid w:val="00332E4E"/>
    <w:rsid w:val="00332E6E"/>
    <w:rsid w:val="00332E8F"/>
    <w:rsid w:val="00332E96"/>
    <w:rsid w:val="00332EE5"/>
    <w:rsid w:val="00332EEF"/>
    <w:rsid w:val="00332EF1"/>
    <w:rsid w:val="00332EFC"/>
    <w:rsid w:val="00332F5F"/>
    <w:rsid w:val="00332F76"/>
    <w:rsid w:val="00332F8C"/>
    <w:rsid w:val="00333090"/>
    <w:rsid w:val="003330AF"/>
    <w:rsid w:val="003330B2"/>
    <w:rsid w:val="003330D2"/>
    <w:rsid w:val="003330E8"/>
    <w:rsid w:val="003330F4"/>
    <w:rsid w:val="003330F8"/>
    <w:rsid w:val="00333104"/>
    <w:rsid w:val="0033314D"/>
    <w:rsid w:val="00333184"/>
    <w:rsid w:val="00333185"/>
    <w:rsid w:val="003331A2"/>
    <w:rsid w:val="003331F1"/>
    <w:rsid w:val="003332C0"/>
    <w:rsid w:val="003332DA"/>
    <w:rsid w:val="00333309"/>
    <w:rsid w:val="00333332"/>
    <w:rsid w:val="0033334C"/>
    <w:rsid w:val="003333A5"/>
    <w:rsid w:val="00333416"/>
    <w:rsid w:val="0033344B"/>
    <w:rsid w:val="00333463"/>
    <w:rsid w:val="003334DC"/>
    <w:rsid w:val="00333535"/>
    <w:rsid w:val="00333591"/>
    <w:rsid w:val="003335DB"/>
    <w:rsid w:val="003335E4"/>
    <w:rsid w:val="003335E8"/>
    <w:rsid w:val="0033360D"/>
    <w:rsid w:val="00333630"/>
    <w:rsid w:val="0033366B"/>
    <w:rsid w:val="00333682"/>
    <w:rsid w:val="0033368D"/>
    <w:rsid w:val="0033370E"/>
    <w:rsid w:val="00333753"/>
    <w:rsid w:val="00333779"/>
    <w:rsid w:val="00333794"/>
    <w:rsid w:val="0033379B"/>
    <w:rsid w:val="00333822"/>
    <w:rsid w:val="00333824"/>
    <w:rsid w:val="0033382F"/>
    <w:rsid w:val="00333865"/>
    <w:rsid w:val="00333867"/>
    <w:rsid w:val="003338E4"/>
    <w:rsid w:val="0033393A"/>
    <w:rsid w:val="0033394D"/>
    <w:rsid w:val="00333966"/>
    <w:rsid w:val="00333986"/>
    <w:rsid w:val="00333996"/>
    <w:rsid w:val="003339E9"/>
    <w:rsid w:val="00333A0C"/>
    <w:rsid w:val="00333A1B"/>
    <w:rsid w:val="00333A2C"/>
    <w:rsid w:val="00333A4C"/>
    <w:rsid w:val="00333A57"/>
    <w:rsid w:val="00333A86"/>
    <w:rsid w:val="00333ACC"/>
    <w:rsid w:val="00333B15"/>
    <w:rsid w:val="00333B4F"/>
    <w:rsid w:val="00333B51"/>
    <w:rsid w:val="00333B6D"/>
    <w:rsid w:val="00333B8C"/>
    <w:rsid w:val="00333BC2"/>
    <w:rsid w:val="00333C45"/>
    <w:rsid w:val="00333C8B"/>
    <w:rsid w:val="00333CF3"/>
    <w:rsid w:val="00333CFF"/>
    <w:rsid w:val="00333D72"/>
    <w:rsid w:val="00333DBB"/>
    <w:rsid w:val="00333E00"/>
    <w:rsid w:val="00333ED9"/>
    <w:rsid w:val="00333F58"/>
    <w:rsid w:val="00333FE9"/>
    <w:rsid w:val="00333FEC"/>
    <w:rsid w:val="00333FF5"/>
    <w:rsid w:val="0033401B"/>
    <w:rsid w:val="0033405C"/>
    <w:rsid w:val="003340A2"/>
    <w:rsid w:val="003340FB"/>
    <w:rsid w:val="00334117"/>
    <w:rsid w:val="0033413A"/>
    <w:rsid w:val="0033415D"/>
    <w:rsid w:val="0033421B"/>
    <w:rsid w:val="00334227"/>
    <w:rsid w:val="00334240"/>
    <w:rsid w:val="00334265"/>
    <w:rsid w:val="00334266"/>
    <w:rsid w:val="00334267"/>
    <w:rsid w:val="00334271"/>
    <w:rsid w:val="00334282"/>
    <w:rsid w:val="003342A7"/>
    <w:rsid w:val="003342FB"/>
    <w:rsid w:val="00334319"/>
    <w:rsid w:val="00334323"/>
    <w:rsid w:val="0033432A"/>
    <w:rsid w:val="00334335"/>
    <w:rsid w:val="0033435F"/>
    <w:rsid w:val="00334377"/>
    <w:rsid w:val="0033437A"/>
    <w:rsid w:val="003343D8"/>
    <w:rsid w:val="003343D9"/>
    <w:rsid w:val="0033441C"/>
    <w:rsid w:val="00334438"/>
    <w:rsid w:val="0033444B"/>
    <w:rsid w:val="0033445E"/>
    <w:rsid w:val="00334495"/>
    <w:rsid w:val="003344A2"/>
    <w:rsid w:val="003344FD"/>
    <w:rsid w:val="0033451D"/>
    <w:rsid w:val="0033451E"/>
    <w:rsid w:val="00334520"/>
    <w:rsid w:val="00334570"/>
    <w:rsid w:val="003345C4"/>
    <w:rsid w:val="003345D9"/>
    <w:rsid w:val="003345E5"/>
    <w:rsid w:val="0033460F"/>
    <w:rsid w:val="0033464D"/>
    <w:rsid w:val="0033464F"/>
    <w:rsid w:val="003346A0"/>
    <w:rsid w:val="003346BB"/>
    <w:rsid w:val="003346C8"/>
    <w:rsid w:val="003346ED"/>
    <w:rsid w:val="003347A4"/>
    <w:rsid w:val="003347F5"/>
    <w:rsid w:val="00334810"/>
    <w:rsid w:val="00334812"/>
    <w:rsid w:val="0033481D"/>
    <w:rsid w:val="003348AB"/>
    <w:rsid w:val="00334908"/>
    <w:rsid w:val="00334934"/>
    <w:rsid w:val="00334946"/>
    <w:rsid w:val="00334970"/>
    <w:rsid w:val="003349AD"/>
    <w:rsid w:val="003349E4"/>
    <w:rsid w:val="003349F7"/>
    <w:rsid w:val="00334A18"/>
    <w:rsid w:val="00334A4F"/>
    <w:rsid w:val="00334A7A"/>
    <w:rsid w:val="00334A80"/>
    <w:rsid w:val="00334A85"/>
    <w:rsid w:val="00334AB1"/>
    <w:rsid w:val="00334ACC"/>
    <w:rsid w:val="00334AF5"/>
    <w:rsid w:val="00334B44"/>
    <w:rsid w:val="00334B60"/>
    <w:rsid w:val="00334BC7"/>
    <w:rsid w:val="00334BCA"/>
    <w:rsid w:val="00334BEA"/>
    <w:rsid w:val="00334C4F"/>
    <w:rsid w:val="00334C74"/>
    <w:rsid w:val="00334C97"/>
    <w:rsid w:val="00334CAE"/>
    <w:rsid w:val="00334CE4"/>
    <w:rsid w:val="00334CEA"/>
    <w:rsid w:val="00334D6C"/>
    <w:rsid w:val="00334D8F"/>
    <w:rsid w:val="00334DD8"/>
    <w:rsid w:val="00334E4F"/>
    <w:rsid w:val="00334E5F"/>
    <w:rsid w:val="00334E6E"/>
    <w:rsid w:val="00334EC7"/>
    <w:rsid w:val="00334F70"/>
    <w:rsid w:val="00334F8E"/>
    <w:rsid w:val="00334FC7"/>
    <w:rsid w:val="00334FEC"/>
    <w:rsid w:val="00335079"/>
    <w:rsid w:val="00335084"/>
    <w:rsid w:val="00335093"/>
    <w:rsid w:val="003350B7"/>
    <w:rsid w:val="00335109"/>
    <w:rsid w:val="003351A3"/>
    <w:rsid w:val="00335215"/>
    <w:rsid w:val="0033521D"/>
    <w:rsid w:val="0033522D"/>
    <w:rsid w:val="00335232"/>
    <w:rsid w:val="0033523E"/>
    <w:rsid w:val="00335257"/>
    <w:rsid w:val="00335263"/>
    <w:rsid w:val="00335275"/>
    <w:rsid w:val="003352A8"/>
    <w:rsid w:val="003352BD"/>
    <w:rsid w:val="003352DC"/>
    <w:rsid w:val="00335415"/>
    <w:rsid w:val="0033542B"/>
    <w:rsid w:val="00335475"/>
    <w:rsid w:val="00335488"/>
    <w:rsid w:val="003354C2"/>
    <w:rsid w:val="00335500"/>
    <w:rsid w:val="0033550E"/>
    <w:rsid w:val="00335577"/>
    <w:rsid w:val="00335588"/>
    <w:rsid w:val="003355B5"/>
    <w:rsid w:val="003355D7"/>
    <w:rsid w:val="003355DB"/>
    <w:rsid w:val="0033565A"/>
    <w:rsid w:val="00335729"/>
    <w:rsid w:val="0033573E"/>
    <w:rsid w:val="00335756"/>
    <w:rsid w:val="003357B8"/>
    <w:rsid w:val="003357DF"/>
    <w:rsid w:val="003357E1"/>
    <w:rsid w:val="00335806"/>
    <w:rsid w:val="0033581A"/>
    <w:rsid w:val="00335831"/>
    <w:rsid w:val="0033586A"/>
    <w:rsid w:val="003358E5"/>
    <w:rsid w:val="0033590D"/>
    <w:rsid w:val="00335918"/>
    <w:rsid w:val="00335947"/>
    <w:rsid w:val="0033594C"/>
    <w:rsid w:val="00335955"/>
    <w:rsid w:val="0033597F"/>
    <w:rsid w:val="003359A7"/>
    <w:rsid w:val="00335A1E"/>
    <w:rsid w:val="00335ABA"/>
    <w:rsid w:val="00335AD4"/>
    <w:rsid w:val="00335B1F"/>
    <w:rsid w:val="00335B23"/>
    <w:rsid w:val="00335B3F"/>
    <w:rsid w:val="00335BAD"/>
    <w:rsid w:val="00335BDE"/>
    <w:rsid w:val="00335BE2"/>
    <w:rsid w:val="00335C0D"/>
    <w:rsid w:val="00335C26"/>
    <w:rsid w:val="00335C3A"/>
    <w:rsid w:val="00335C4A"/>
    <w:rsid w:val="00335C60"/>
    <w:rsid w:val="00335C6C"/>
    <w:rsid w:val="00335C73"/>
    <w:rsid w:val="00335C76"/>
    <w:rsid w:val="00335C92"/>
    <w:rsid w:val="00335CC5"/>
    <w:rsid w:val="00335CF3"/>
    <w:rsid w:val="00335CFE"/>
    <w:rsid w:val="00335D0C"/>
    <w:rsid w:val="00335D1E"/>
    <w:rsid w:val="00335D24"/>
    <w:rsid w:val="00335D51"/>
    <w:rsid w:val="00335D9E"/>
    <w:rsid w:val="00335DA0"/>
    <w:rsid w:val="00335DAB"/>
    <w:rsid w:val="00335DCD"/>
    <w:rsid w:val="00335E7A"/>
    <w:rsid w:val="00335E99"/>
    <w:rsid w:val="00335EB8"/>
    <w:rsid w:val="00335EE6"/>
    <w:rsid w:val="00335FA6"/>
    <w:rsid w:val="00335FC8"/>
    <w:rsid w:val="00336001"/>
    <w:rsid w:val="00336089"/>
    <w:rsid w:val="003360C9"/>
    <w:rsid w:val="003360F9"/>
    <w:rsid w:val="00336169"/>
    <w:rsid w:val="00336172"/>
    <w:rsid w:val="003361A1"/>
    <w:rsid w:val="003361B8"/>
    <w:rsid w:val="003361CF"/>
    <w:rsid w:val="00336225"/>
    <w:rsid w:val="00336268"/>
    <w:rsid w:val="00336299"/>
    <w:rsid w:val="003362D5"/>
    <w:rsid w:val="003362D8"/>
    <w:rsid w:val="0033631E"/>
    <w:rsid w:val="00336322"/>
    <w:rsid w:val="00336368"/>
    <w:rsid w:val="003363D0"/>
    <w:rsid w:val="00336404"/>
    <w:rsid w:val="0033649C"/>
    <w:rsid w:val="003364CE"/>
    <w:rsid w:val="003364D2"/>
    <w:rsid w:val="003364EC"/>
    <w:rsid w:val="003364FE"/>
    <w:rsid w:val="00336507"/>
    <w:rsid w:val="0033651A"/>
    <w:rsid w:val="0033651E"/>
    <w:rsid w:val="00336541"/>
    <w:rsid w:val="00336591"/>
    <w:rsid w:val="003365E5"/>
    <w:rsid w:val="00336617"/>
    <w:rsid w:val="0033664B"/>
    <w:rsid w:val="0033667E"/>
    <w:rsid w:val="00336692"/>
    <w:rsid w:val="003366CB"/>
    <w:rsid w:val="003366D1"/>
    <w:rsid w:val="00336715"/>
    <w:rsid w:val="0033674A"/>
    <w:rsid w:val="0033676C"/>
    <w:rsid w:val="003367E2"/>
    <w:rsid w:val="003367F7"/>
    <w:rsid w:val="003368A2"/>
    <w:rsid w:val="003368D0"/>
    <w:rsid w:val="003368E3"/>
    <w:rsid w:val="00336927"/>
    <w:rsid w:val="00336971"/>
    <w:rsid w:val="00336A19"/>
    <w:rsid w:val="00336A1B"/>
    <w:rsid w:val="00336A56"/>
    <w:rsid w:val="00336A9E"/>
    <w:rsid w:val="00336AB0"/>
    <w:rsid w:val="00336B3C"/>
    <w:rsid w:val="00336B4C"/>
    <w:rsid w:val="00336B54"/>
    <w:rsid w:val="00336B67"/>
    <w:rsid w:val="00336B8C"/>
    <w:rsid w:val="00336BE8"/>
    <w:rsid w:val="00336C38"/>
    <w:rsid w:val="00336CB1"/>
    <w:rsid w:val="00336CC6"/>
    <w:rsid w:val="00336CD1"/>
    <w:rsid w:val="00336D2E"/>
    <w:rsid w:val="00336D37"/>
    <w:rsid w:val="00336D6E"/>
    <w:rsid w:val="00336DD1"/>
    <w:rsid w:val="00336E0B"/>
    <w:rsid w:val="00336E10"/>
    <w:rsid w:val="00336E1E"/>
    <w:rsid w:val="00336E41"/>
    <w:rsid w:val="00336E5B"/>
    <w:rsid w:val="00336E6D"/>
    <w:rsid w:val="00336E7C"/>
    <w:rsid w:val="00336E95"/>
    <w:rsid w:val="00336EB8"/>
    <w:rsid w:val="00336EDC"/>
    <w:rsid w:val="00336EF0"/>
    <w:rsid w:val="00336F26"/>
    <w:rsid w:val="00336F85"/>
    <w:rsid w:val="00336FB1"/>
    <w:rsid w:val="00336FD4"/>
    <w:rsid w:val="00337000"/>
    <w:rsid w:val="0033702C"/>
    <w:rsid w:val="003370B7"/>
    <w:rsid w:val="003370BD"/>
    <w:rsid w:val="003370C1"/>
    <w:rsid w:val="003370FB"/>
    <w:rsid w:val="00337145"/>
    <w:rsid w:val="00337154"/>
    <w:rsid w:val="0033717C"/>
    <w:rsid w:val="003371FB"/>
    <w:rsid w:val="0033720A"/>
    <w:rsid w:val="0033722E"/>
    <w:rsid w:val="00337259"/>
    <w:rsid w:val="00337265"/>
    <w:rsid w:val="00337270"/>
    <w:rsid w:val="00337277"/>
    <w:rsid w:val="00337291"/>
    <w:rsid w:val="00337297"/>
    <w:rsid w:val="003372A4"/>
    <w:rsid w:val="0033734B"/>
    <w:rsid w:val="0033734F"/>
    <w:rsid w:val="00337439"/>
    <w:rsid w:val="0033743F"/>
    <w:rsid w:val="0033744F"/>
    <w:rsid w:val="0033749E"/>
    <w:rsid w:val="003374B3"/>
    <w:rsid w:val="003374EF"/>
    <w:rsid w:val="0033753D"/>
    <w:rsid w:val="00337582"/>
    <w:rsid w:val="003375C7"/>
    <w:rsid w:val="003375D1"/>
    <w:rsid w:val="003376A0"/>
    <w:rsid w:val="003376BE"/>
    <w:rsid w:val="003376C0"/>
    <w:rsid w:val="00337703"/>
    <w:rsid w:val="0033772C"/>
    <w:rsid w:val="00337746"/>
    <w:rsid w:val="003377B9"/>
    <w:rsid w:val="003377D8"/>
    <w:rsid w:val="003377E1"/>
    <w:rsid w:val="003377F5"/>
    <w:rsid w:val="00337838"/>
    <w:rsid w:val="003378B9"/>
    <w:rsid w:val="003378C3"/>
    <w:rsid w:val="003378E0"/>
    <w:rsid w:val="00337932"/>
    <w:rsid w:val="00337960"/>
    <w:rsid w:val="0033797B"/>
    <w:rsid w:val="0033798E"/>
    <w:rsid w:val="003379A1"/>
    <w:rsid w:val="003379BD"/>
    <w:rsid w:val="003379FD"/>
    <w:rsid w:val="00337A02"/>
    <w:rsid w:val="00337A05"/>
    <w:rsid w:val="00337A85"/>
    <w:rsid w:val="00337A94"/>
    <w:rsid w:val="00337AAF"/>
    <w:rsid w:val="00337AFA"/>
    <w:rsid w:val="00337B01"/>
    <w:rsid w:val="00337B5B"/>
    <w:rsid w:val="00337B9C"/>
    <w:rsid w:val="00337BA1"/>
    <w:rsid w:val="00337BB6"/>
    <w:rsid w:val="00337BC7"/>
    <w:rsid w:val="00337BD7"/>
    <w:rsid w:val="00337BF8"/>
    <w:rsid w:val="00337C02"/>
    <w:rsid w:val="00337C2B"/>
    <w:rsid w:val="00337C3A"/>
    <w:rsid w:val="00337CB3"/>
    <w:rsid w:val="00337CC1"/>
    <w:rsid w:val="00337CCA"/>
    <w:rsid w:val="00337CD7"/>
    <w:rsid w:val="00337CF7"/>
    <w:rsid w:val="00337D24"/>
    <w:rsid w:val="00337DC8"/>
    <w:rsid w:val="00337E48"/>
    <w:rsid w:val="00337E76"/>
    <w:rsid w:val="00337E93"/>
    <w:rsid w:val="00337EAB"/>
    <w:rsid w:val="00337EC7"/>
    <w:rsid w:val="00337F69"/>
    <w:rsid w:val="00337F72"/>
    <w:rsid w:val="00337F77"/>
    <w:rsid w:val="00337F88"/>
    <w:rsid w:val="00337F8F"/>
    <w:rsid w:val="00337FC4"/>
    <w:rsid w:val="00337FD6"/>
    <w:rsid w:val="00340001"/>
    <w:rsid w:val="00340008"/>
    <w:rsid w:val="0034004E"/>
    <w:rsid w:val="0034009C"/>
    <w:rsid w:val="003400CB"/>
    <w:rsid w:val="00340167"/>
    <w:rsid w:val="00340176"/>
    <w:rsid w:val="00340199"/>
    <w:rsid w:val="003401B3"/>
    <w:rsid w:val="003401E1"/>
    <w:rsid w:val="00340201"/>
    <w:rsid w:val="00340239"/>
    <w:rsid w:val="0034026B"/>
    <w:rsid w:val="00340284"/>
    <w:rsid w:val="003402C7"/>
    <w:rsid w:val="003402C9"/>
    <w:rsid w:val="003402F2"/>
    <w:rsid w:val="00340301"/>
    <w:rsid w:val="00340302"/>
    <w:rsid w:val="00340303"/>
    <w:rsid w:val="00340312"/>
    <w:rsid w:val="00340322"/>
    <w:rsid w:val="0034035B"/>
    <w:rsid w:val="00340375"/>
    <w:rsid w:val="003403B8"/>
    <w:rsid w:val="003403BE"/>
    <w:rsid w:val="003403D4"/>
    <w:rsid w:val="003403E4"/>
    <w:rsid w:val="0034040C"/>
    <w:rsid w:val="00340460"/>
    <w:rsid w:val="00340495"/>
    <w:rsid w:val="003404DD"/>
    <w:rsid w:val="00340542"/>
    <w:rsid w:val="00340551"/>
    <w:rsid w:val="0034055A"/>
    <w:rsid w:val="00340580"/>
    <w:rsid w:val="003405A0"/>
    <w:rsid w:val="003405BD"/>
    <w:rsid w:val="003405CF"/>
    <w:rsid w:val="003405E0"/>
    <w:rsid w:val="003406ED"/>
    <w:rsid w:val="00340710"/>
    <w:rsid w:val="00340722"/>
    <w:rsid w:val="00340732"/>
    <w:rsid w:val="00340784"/>
    <w:rsid w:val="0034079C"/>
    <w:rsid w:val="003407D6"/>
    <w:rsid w:val="003407ED"/>
    <w:rsid w:val="003407F6"/>
    <w:rsid w:val="00340843"/>
    <w:rsid w:val="00340847"/>
    <w:rsid w:val="003408A7"/>
    <w:rsid w:val="003408F3"/>
    <w:rsid w:val="003408F6"/>
    <w:rsid w:val="00340925"/>
    <w:rsid w:val="00340944"/>
    <w:rsid w:val="0034098A"/>
    <w:rsid w:val="003409B8"/>
    <w:rsid w:val="00340A17"/>
    <w:rsid w:val="00340A7A"/>
    <w:rsid w:val="00340A90"/>
    <w:rsid w:val="00340A9F"/>
    <w:rsid w:val="00340ADA"/>
    <w:rsid w:val="00340AE0"/>
    <w:rsid w:val="00340B06"/>
    <w:rsid w:val="00340B23"/>
    <w:rsid w:val="00340B36"/>
    <w:rsid w:val="00340B63"/>
    <w:rsid w:val="00340B8F"/>
    <w:rsid w:val="00340BA1"/>
    <w:rsid w:val="00340C2E"/>
    <w:rsid w:val="00340CAA"/>
    <w:rsid w:val="00340CC0"/>
    <w:rsid w:val="00340CF1"/>
    <w:rsid w:val="00340CF2"/>
    <w:rsid w:val="00340D05"/>
    <w:rsid w:val="00340DDA"/>
    <w:rsid w:val="00340E37"/>
    <w:rsid w:val="00340E3B"/>
    <w:rsid w:val="00340E7E"/>
    <w:rsid w:val="00340EFC"/>
    <w:rsid w:val="00340F16"/>
    <w:rsid w:val="00340F1A"/>
    <w:rsid w:val="00340F36"/>
    <w:rsid w:val="00340F4E"/>
    <w:rsid w:val="00340F7A"/>
    <w:rsid w:val="00340F83"/>
    <w:rsid w:val="00340F92"/>
    <w:rsid w:val="0034101C"/>
    <w:rsid w:val="00341095"/>
    <w:rsid w:val="003410A8"/>
    <w:rsid w:val="003410A9"/>
    <w:rsid w:val="003410C9"/>
    <w:rsid w:val="0034110B"/>
    <w:rsid w:val="0034116A"/>
    <w:rsid w:val="003411A1"/>
    <w:rsid w:val="00341240"/>
    <w:rsid w:val="00341262"/>
    <w:rsid w:val="00341273"/>
    <w:rsid w:val="003412A0"/>
    <w:rsid w:val="003412BB"/>
    <w:rsid w:val="003412E6"/>
    <w:rsid w:val="0034130B"/>
    <w:rsid w:val="00341378"/>
    <w:rsid w:val="00341380"/>
    <w:rsid w:val="003413D5"/>
    <w:rsid w:val="003413E6"/>
    <w:rsid w:val="003413F7"/>
    <w:rsid w:val="00341403"/>
    <w:rsid w:val="0034141C"/>
    <w:rsid w:val="003414B5"/>
    <w:rsid w:val="003414C1"/>
    <w:rsid w:val="00341506"/>
    <w:rsid w:val="00341536"/>
    <w:rsid w:val="00341537"/>
    <w:rsid w:val="0034153C"/>
    <w:rsid w:val="00341541"/>
    <w:rsid w:val="00341564"/>
    <w:rsid w:val="003415A7"/>
    <w:rsid w:val="003415FE"/>
    <w:rsid w:val="00341610"/>
    <w:rsid w:val="00341647"/>
    <w:rsid w:val="0034164E"/>
    <w:rsid w:val="00341678"/>
    <w:rsid w:val="003416AC"/>
    <w:rsid w:val="003416B0"/>
    <w:rsid w:val="003416ED"/>
    <w:rsid w:val="00341751"/>
    <w:rsid w:val="0034178B"/>
    <w:rsid w:val="003417CA"/>
    <w:rsid w:val="003417E4"/>
    <w:rsid w:val="00341809"/>
    <w:rsid w:val="00341826"/>
    <w:rsid w:val="0034182B"/>
    <w:rsid w:val="00341857"/>
    <w:rsid w:val="003418ED"/>
    <w:rsid w:val="0034191B"/>
    <w:rsid w:val="00341942"/>
    <w:rsid w:val="00341967"/>
    <w:rsid w:val="003419AA"/>
    <w:rsid w:val="003419AC"/>
    <w:rsid w:val="00341A68"/>
    <w:rsid w:val="00341AF7"/>
    <w:rsid w:val="00341B46"/>
    <w:rsid w:val="00341BC6"/>
    <w:rsid w:val="00341C0E"/>
    <w:rsid w:val="00341C55"/>
    <w:rsid w:val="00341C65"/>
    <w:rsid w:val="00341CD8"/>
    <w:rsid w:val="00341D02"/>
    <w:rsid w:val="00341D2A"/>
    <w:rsid w:val="00341D4B"/>
    <w:rsid w:val="00341DA3"/>
    <w:rsid w:val="00341DC6"/>
    <w:rsid w:val="00341E4D"/>
    <w:rsid w:val="00341E86"/>
    <w:rsid w:val="00341EBA"/>
    <w:rsid w:val="00341F28"/>
    <w:rsid w:val="0034204C"/>
    <w:rsid w:val="003420B2"/>
    <w:rsid w:val="003420C4"/>
    <w:rsid w:val="003420C6"/>
    <w:rsid w:val="003420D5"/>
    <w:rsid w:val="0034210F"/>
    <w:rsid w:val="00342135"/>
    <w:rsid w:val="003421D9"/>
    <w:rsid w:val="0034222A"/>
    <w:rsid w:val="0034222E"/>
    <w:rsid w:val="00342274"/>
    <w:rsid w:val="003422E1"/>
    <w:rsid w:val="003422F9"/>
    <w:rsid w:val="00342302"/>
    <w:rsid w:val="00342372"/>
    <w:rsid w:val="00342388"/>
    <w:rsid w:val="00342394"/>
    <w:rsid w:val="0034241E"/>
    <w:rsid w:val="0034242E"/>
    <w:rsid w:val="0034246F"/>
    <w:rsid w:val="00342479"/>
    <w:rsid w:val="003424C4"/>
    <w:rsid w:val="00342511"/>
    <w:rsid w:val="0034254E"/>
    <w:rsid w:val="003425C5"/>
    <w:rsid w:val="003425CA"/>
    <w:rsid w:val="003425D1"/>
    <w:rsid w:val="00342604"/>
    <w:rsid w:val="00342650"/>
    <w:rsid w:val="00342674"/>
    <w:rsid w:val="0034269F"/>
    <w:rsid w:val="003426B8"/>
    <w:rsid w:val="003426D3"/>
    <w:rsid w:val="003426EF"/>
    <w:rsid w:val="00342775"/>
    <w:rsid w:val="0034277B"/>
    <w:rsid w:val="003427B4"/>
    <w:rsid w:val="003427C5"/>
    <w:rsid w:val="0034280C"/>
    <w:rsid w:val="0034281F"/>
    <w:rsid w:val="00342837"/>
    <w:rsid w:val="00342886"/>
    <w:rsid w:val="003428F3"/>
    <w:rsid w:val="0034290F"/>
    <w:rsid w:val="0034292B"/>
    <w:rsid w:val="00342960"/>
    <w:rsid w:val="0034297B"/>
    <w:rsid w:val="00342990"/>
    <w:rsid w:val="003429B0"/>
    <w:rsid w:val="003429D6"/>
    <w:rsid w:val="003429F0"/>
    <w:rsid w:val="003429F1"/>
    <w:rsid w:val="003429FA"/>
    <w:rsid w:val="00342A13"/>
    <w:rsid w:val="00342A16"/>
    <w:rsid w:val="00342A22"/>
    <w:rsid w:val="00342AA4"/>
    <w:rsid w:val="00342B22"/>
    <w:rsid w:val="00342B74"/>
    <w:rsid w:val="00342B77"/>
    <w:rsid w:val="00342BE2"/>
    <w:rsid w:val="00342C38"/>
    <w:rsid w:val="00342CA7"/>
    <w:rsid w:val="00342CBE"/>
    <w:rsid w:val="00342CE1"/>
    <w:rsid w:val="00342CE2"/>
    <w:rsid w:val="00342CEC"/>
    <w:rsid w:val="00342D21"/>
    <w:rsid w:val="00342D4F"/>
    <w:rsid w:val="00342D67"/>
    <w:rsid w:val="00342D90"/>
    <w:rsid w:val="00342E02"/>
    <w:rsid w:val="00342E62"/>
    <w:rsid w:val="00342E66"/>
    <w:rsid w:val="00342E77"/>
    <w:rsid w:val="00342EA3"/>
    <w:rsid w:val="00342EA6"/>
    <w:rsid w:val="00342EAA"/>
    <w:rsid w:val="00342EAB"/>
    <w:rsid w:val="00342EBD"/>
    <w:rsid w:val="00342EC0"/>
    <w:rsid w:val="00342ED3"/>
    <w:rsid w:val="00342F13"/>
    <w:rsid w:val="00342FDF"/>
    <w:rsid w:val="00342FE2"/>
    <w:rsid w:val="0034302E"/>
    <w:rsid w:val="0034310B"/>
    <w:rsid w:val="003431D8"/>
    <w:rsid w:val="00343286"/>
    <w:rsid w:val="003432AA"/>
    <w:rsid w:val="003432D3"/>
    <w:rsid w:val="003432E1"/>
    <w:rsid w:val="00343320"/>
    <w:rsid w:val="0034332E"/>
    <w:rsid w:val="0034336E"/>
    <w:rsid w:val="003433C0"/>
    <w:rsid w:val="0034342B"/>
    <w:rsid w:val="00343444"/>
    <w:rsid w:val="00343470"/>
    <w:rsid w:val="00343471"/>
    <w:rsid w:val="00343482"/>
    <w:rsid w:val="003434C3"/>
    <w:rsid w:val="003434F0"/>
    <w:rsid w:val="00343543"/>
    <w:rsid w:val="0034357F"/>
    <w:rsid w:val="003435F7"/>
    <w:rsid w:val="00343616"/>
    <w:rsid w:val="0034365F"/>
    <w:rsid w:val="00343674"/>
    <w:rsid w:val="003436DE"/>
    <w:rsid w:val="00343761"/>
    <w:rsid w:val="0034376E"/>
    <w:rsid w:val="0034379B"/>
    <w:rsid w:val="003437A8"/>
    <w:rsid w:val="003437AB"/>
    <w:rsid w:val="003437C4"/>
    <w:rsid w:val="003437DF"/>
    <w:rsid w:val="003437E7"/>
    <w:rsid w:val="00343839"/>
    <w:rsid w:val="00343995"/>
    <w:rsid w:val="003439A8"/>
    <w:rsid w:val="003439BC"/>
    <w:rsid w:val="003439F2"/>
    <w:rsid w:val="00343A5F"/>
    <w:rsid w:val="00343A9A"/>
    <w:rsid w:val="00343ABD"/>
    <w:rsid w:val="00343AD2"/>
    <w:rsid w:val="00343AD8"/>
    <w:rsid w:val="00343B17"/>
    <w:rsid w:val="00343B20"/>
    <w:rsid w:val="00343B49"/>
    <w:rsid w:val="00343BBC"/>
    <w:rsid w:val="00343BC2"/>
    <w:rsid w:val="00343C1D"/>
    <w:rsid w:val="00343C2F"/>
    <w:rsid w:val="00343CCE"/>
    <w:rsid w:val="00343D37"/>
    <w:rsid w:val="00343D77"/>
    <w:rsid w:val="00343DAB"/>
    <w:rsid w:val="00343DAE"/>
    <w:rsid w:val="00343E2E"/>
    <w:rsid w:val="00343E60"/>
    <w:rsid w:val="00343EDD"/>
    <w:rsid w:val="00343F17"/>
    <w:rsid w:val="00343F4B"/>
    <w:rsid w:val="00343F50"/>
    <w:rsid w:val="00343FB0"/>
    <w:rsid w:val="0034400A"/>
    <w:rsid w:val="0034401B"/>
    <w:rsid w:val="00344029"/>
    <w:rsid w:val="00344032"/>
    <w:rsid w:val="003440B3"/>
    <w:rsid w:val="003440B5"/>
    <w:rsid w:val="003440CC"/>
    <w:rsid w:val="00344150"/>
    <w:rsid w:val="0034415C"/>
    <w:rsid w:val="003441AE"/>
    <w:rsid w:val="003441DF"/>
    <w:rsid w:val="00344259"/>
    <w:rsid w:val="00344274"/>
    <w:rsid w:val="003442BC"/>
    <w:rsid w:val="003442F2"/>
    <w:rsid w:val="00344301"/>
    <w:rsid w:val="003443AD"/>
    <w:rsid w:val="003443B7"/>
    <w:rsid w:val="003443D9"/>
    <w:rsid w:val="003443EB"/>
    <w:rsid w:val="0034445A"/>
    <w:rsid w:val="0034446D"/>
    <w:rsid w:val="00344475"/>
    <w:rsid w:val="00344488"/>
    <w:rsid w:val="003444A4"/>
    <w:rsid w:val="003444C2"/>
    <w:rsid w:val="003444C9"/>
    <w:rsid w:val="003444E4"/>
    <w:rsid w:val="0034451A"/>
    <w:rsid w:val="00344532"/>
    <w:rsid w:val="0034455C"/>
    <w:rsid w:val="0034456B"/>
    <w:rsid w:val="00344572"/>
    <w:rsid w:val="0034457C"/>
    <w:rsid w:val="003445AF"/>
    <w:rsid w:val="003445DA"/>
    <w:rsid w:val="003445EB"/>
    <w:rsid w:val="00344660"/>
    <w:rsid w:val="00344671"/>
    <w:rsid w:val="0034467B"/>
    <w:rsid w:val="003446A4"/>
    <w:rsid w:val="003446BD"/>
    <w:rsid w:val="003446D7"/>
    <w:rsid w:val="00344716"/>
    <w:rsid w:val="0034472E"/>
    <w:rsid w:val="00344781"/>
    <w:rsid w:val="003447A3"/>
    <w:rsid w:val="003447A8"/>
    <w:rsid w:val="003447C4"/>
    <w:rsid w:val="00344816"/>
    <w:rsid w:val="00344828"/>
    <w:rsid w:val="00344833"/>
    <w:rsid w:val="0034488B"/>
    <w:rsid w:val="0034489D"/>
    <w:rsid w:val="003448A4"/>
    <w:rsid w:val="003448AD"/>
    <w:rsid w:val="003448C1"/>
    <w:rsid w:val="003448F8"/>
    <w:rsid w:val="003448FC"/>
    <w:rsid w:val="00344979"/>
    <w:rsid w:val="0034498F"/>
    <w:rsid w:val="0034499C"/>
    <w:rsid w:val="003449F7"/>
    <w:rsid w:val="00344A22"/>
    <w:rsid w:val="00344A24"/>
    <w:rsid w:val="00344A79"/>
    <w:rsid w:val="00344A85"/>
    <w:rsid w:val="00344A9C"/>
    <w:rsid w:val="00344B1D"/>
    <w:rsid w:val="00344B31"/>
    <w:rsid w:val="00344B3D"/>
    <w:rsid w:val="00344B74"/>
    <w:rsid w:val="00344BA8"/>
    <w:rsid w:val="00344BC8"/>
    <w:rsid w:val="00344BE0"/>
    <w:rsid w:val="00344BF3"/>
    <w:rsid w:val="00344C1A"/>
    <w:rsid w:val="00344C61"/>
    <w:rsid w:val="00344CED"/>
    <w:rsid w:val="00344CF6"/>
    <w:rsid w:val="00344D62"/>
    <w:rsid w:val="00344D6C"/>
    <w:rsid w:val="00344DAB"/>
    <w:rsid w:val="00344E39"/>
    <w:rsid w:val="00344E5A"/>
    <w:rsid w:val="00344EC6"/>
    <w:rsid w:val="00344F26"/>
    <w:rsid w:val="00344FEE"/>
    <w:rsid w:val="0034506F"/>
    <w:rsid w:val="003451BE"/>
    <w:rsid w:val="003451D5"/>
    <w:rsid w:val="0034520A"/>
    <w:rsid w:val="0034529F"/>
    <w:rsid w:val="003452BE"/>
    <w:rsid w:val="003452DF"/>
    <w:rsid w:val="003452E6"/>
    <w:rsid w:val="003452F2"/>
    <w:rsid w:val="00345302"/>
    <w:rsid w:val="0034532A"/>
    <w:rsid w:val="00345359"/>
    <w:rsid w:val="00345399"/>
    <w:rsid w:val="0034539B"/>
    <w:rsid w:val="00345471"/>
    <w:rsid w:val="003454CC"/>
    <w:rsid w:val="003454E1"/>
    <w:rsid w:val="00345503"/>
    <w:rsid w:val="00345514"/>
    <w:rsid w:val="0034556D"/>
    <w:rsid w:val="00345582"/>
    <w:rsid w:val="003455AF"/>
    <w:rsid w:val="00345639"/>
    <w:rsid w:val="00345651"/>
    <w:rsid w:val="003456DA"/>
    <w:rsid w:val="003456DD"/>
    <w:rsid w:val="003456F4"/>
    <w:rsid w:val="003457E6"/>
    <w:rsid w:val="0034581F"/>
    <w:rsid w:val="0034582A"/>
    <w:rsid w:val="003458DA"/>
    <w:rsid w:val="003458EB"/>
    <w:rsid w:val="003458F5"/>
    <w:rsid w:val="00345923"/>
    <w:rsid w:val="0034593B"/>
    <w:rsid w:val="00345953"/>
    <w:rsid w:val="003459AE"/>
    <w:rsid w:val="003459E8"/>
    <w:rsid w:val="00345A0C"/>
    <w:rsid w:val="00345A14"/>
    <w:rsid w:val="00345A1F"/>
    <w:rsid w:val="00345A86"/>
    <w:rsid w:val="00345A8F"/>
    <w:rsid w:val="00345AEB"/>
    <w:rsid w:val="00345B48"/>
    <w:rsid w:val="00345B80"/>
    <w:rsid w:val="00345BB9"/>
    <w:rsid w:val="00345C75"/>
    <w:rsid w:val="00345C83"/>
    <w:rsid w:val="00345CA8"/>
    <w:rsid w:val="00345D20"/>
    <w:rsid w:val="00345D28"/>
    <w:rsid w:val="00345D4A"/>
    <w:rsid w:val="00345D5D"/>
    <w:rsid w:val="00345DAE"/>
    <w:rsid w:val="00345DCE"/>
    <w:rsid w:val="00345DF0"/>
    <w:rsid w:val="00345E37"/>
    <w:rsid w:val="00345E67"/>
    <w:rsid w:val="00345E87"/>
    <w:rsid w:val="00345E89"/>
    <w:rsid w:val="00345EA8"/>
    <w:rsid w:val="00345EAB"/>
    <w:rsid w:val="00345EC7"/>
    <w:rsid w:val="00345EDF"/>
    <w:rsid w:val="00345F21"/>
    <w:rsid w:val="00345F3E"/>
    <w:rsid w:val="00345FC0"/>
    <w:rsid w:val="00345FED"/>
    <w:rsid w:val="0034600E"/>
    <w:rsid w:val="0034602F"/>
    <w:rsid w:val="00346030"/>
    <w:rsid w:val="0034603A"/>
    <w:rsid w:val="00346068"/>
    <w:rsid w:val="003460E0"/>
    <w:rsid w:val="00346106"/>
    <w:rsid w:val="00346135"/>
    <w:rsid w:val="00346179"/>
    <w:rsid w:val="0034619B"/>
    <w:rsid w:val="003461AF"/>
    <w:rsid w:val="003461BD"/>
    <w:rsid w:val="003461C1"/>
    <w:rsid w:val="003461CF"/>
    <w:rsid w:val="00346221"/>
    <w:rsid w:val="00346230"/>
    <w:rsid w:val="0034624E"/>
    <w:rsid w:val="0034626A"/>
    <w:rsid w:val="003462A8"/>
    <w:rsid w:val="00346328"/>
    <w:rsid w:val="00346348"/>
    <w:rsid w:val="00346370"/>
    <w:rsid w:val="00346392"/>
    <w:rsid w:val="0034645E"/>
    <w:rsid w:val="003464D2"/>
    <w:rsid w:val="003464D7"/>
    <w:rsid w:val="003464ED"/>
    <w:rsid w:val="00346578"/>
    <w:rsid w:val="003465CD"/>
    <w:rsid w:val="003465E4"/>
    <w:rsid w:val="003465E8"/>
    <w:rsid w:val="003465F9"/>
    <w:rsid w:val="0034661B"/>
    <w:rsid w:val="0034664D"/>
    <w:rsid w:val="00346669"/>
    <w:rsid w:val="00346679"/>
    <w:rsid w:val="0034667E"/>
    <w:rsid w:val="0034668F"/>
    <w:rsid w:val="003466F6"/>
    <w:rsid w:val="00346741"/>
    <w:rsid w:val="00346753"/>
    <w:rsid w:val="00346774"/>
    <w:rsid w:val="003467A8"/>
    <w:rsid w:val="00346818"/>
    <w:rsid w:val="00346845"/>
    <w:rsid w:val="00346861"/>
    <w:rsid w:val="00346891"/>
    <w:rsid w:val="003468AD"/>
    <w:rsid w:val="003468C2"/>
    <w:rsid w:val="00346908"/>
    <w:rsid w:val="00346923"/>
    <w:rsid w:val="0034694F"/>
    <w:rsid w:val="00346982"/>
    <w:rsid w:val="003469D9"/>
    <w:rsid w:val="003469E2"/>
    <w:rsid w:val="00346A38"/>
    <w:rsid w:val="00346AAB"/>
    <w:rsid w:val="00346ADA"/>
    <w:rsid w:val="00346AF7"/>
    <w:rsid w:val="00346B24"/>
    <w:rsid w:val="00346BC6"/>
    <w:rsid w:val="00346BFE"/>
    <w:rsid w:val="00346C0D"/>
    <w:rsid w:val="00346C54"/>
    <w:rsid w:val="00346C55"/>
    <w:rsid w:val="00346C79"/>
    <w:rsid w:val="00346C80"/>
    <w:rsid w:val="00346C8C"/>
    <w:rsid w:val="00346CB2"/>
    <w:rsid w:val="00346CCD"/>
    <w:rsid w:val="00346D25"/>
    <w:rsid w:val="00346D70"/>
    <w:rsid w:val="00346DEA"/>
    <w:rsid w:val="00346E06"/>
    <w:rsid w:val="00346E32"/>
    <w:rsid w:val="00346E69"/>
    <w:rsid w:val="00346EA3"/>
    <w:rsid w:val="00346EBA"/>
    <w:rsid w:val="00346F14"/>
    <w:rsid w:val="00346F3C"/>
    <w:rsid w:val="00346FCA"/>
    <w:rsid w:val="00346FF4"/>
    <w:rsid w:val="00347012"/>
    <w:rsid w:val="00347016"/>
    <w:rsid w:val="00347050"/>
    <w:rsid w:val="00347081"/>
    <w:rsid w:val="003470B6"/>
    <w:rsid w:val="003470E1"/>
    <w:rsid w:val="00347112"/>
    <w:rsid w:val="00347191"/>
    <w:rsid w:val="00347198"/>
    <w:rsid w:val="003471E0"/>
    <w:rsid w:val="00347234"/>
    <w:rsid w:val="00347238"/>
    <w:rsid w:val="00347274"/>
    <w:rsid w:val="00347282"/>
    <w:rsid w:val="003472BE"/>
    <w:rsid w:val="00347307"/>
    <w:rsid w:val="00347313"/>
    <w:rsid w:val="00347314"/>
    <w:rsid w:val="00347321"/>
    <w:rsid w:val="0034737D"/>
    <w:rsid w:val="003473C5"/>
    <w:rsid w:val="003473DD"/>
    <w:rsid w:val="00347412"/>
    <w:rsid w:val="003474C2"/>
    <w:rsid w:val="00347527"/>
    <w:rsid w:val="00347562"/>
    <w:rsid w:val="00347565"/>
    <w:rsid w:val="00347599"/>
    <w:rsid w:val="0034759C"/>
    <w:rsid w:val="003475AE"/>
    <w:rsid w:val="003475B4"/>
    <w:rsid w:val="0034763C"/>
    <w:rsid w:val="00347672"/>
    <w:rsid w:val="003476A0"/>
    <w:rsid w:val="003476A3"/>
    <w:rsid w:val="00347723"/>
    <w:rsid w:val="00347769"/>
    <w:rsid w:val="00347778"/>
    <w:rsid w:val="0034778A"/>
    <w:rsid w:val="003477FF"/>
    <w:rsid w:val="00347809"/>
    <w:rsid w:val="0034783F"/>
    <w:rsid w:val="00347884"/>
    <w:rsid w:val="0034788D"/>
    <w:rsid w:val="003478CC"/>
    <w:rsid w:val="003478F2"/>
    <w:rsid w:val="003478F4"/>
    <w:rsid w:val="00347915"/>
    <w:rsid w:val="0034792C"/>
    <w:rsid w:val="0034793A"/>
    <w:rsid w:val="0034798E"/>
    <w:rsid w:val="00347A1C"/>
    <w:rsid w:val="00347A2F"/>
    <w:rsid w:val="00347A47"/>
    <w:rsid w:val="00347A6F"/>
    <w:rsid w:val="00347A8E"/>
    <w:rsid w:val="00347AA8"/>
    <w:rsid w:val="00347AC7"/>
    <w:rsid w:val="00347B17"/>
    <w:rsid w:val="00347B34"/>
    <w:rsid w:val="00347B72"/>
    <w:rsid w:val="00347B7F"/>
    <w:rsid w:val="00347B80"/>
    <w:rsid w:val="00347B89"/>
    <w:rsid w:val="00347BD8"/>
    <w:rsid w:val="00347C7A"/>
    <w:rsid w:val="00347CC0"/>
    <w:rsid w:val="00347D02"/>
    <w:rsid w:val="00347D23"/>
    <w:rsid w:val="00347D83"/>
    <w:rsid w:val="00347DBD"/>
    <w:rsid w:val="00347DE2"/>
    <w:rsid w:val="00347DF6"/>
    <w:rsid w:val="00347E07"/>
    <w:rsid w:val="00347E6C"/>
    <w:rsid w:val="00347E84"/>
    <w:rsid w:val="00347EBA"/>
    <w:rsid w:val="00347EFA"/>
    <w:rsid w:val="00347F2C"/>
    <w:rsid w:val="00347F46"/>
    <w:rsid w:val="00347F69"/>
    <w:rsid w:val="00347FA0"/>
    <w:rsid w:val="0035007A"/>
    <w:rsid w:val="00350090"/>
    <w:rsid w:val="003500A2"/>
    <w:rsid w:val="003500D1"/>
    <w:rsid w:val="0035016E"/>
    <w:rsid w:val="003501B7"/>
    <w:rsid w:val="003501B9"/>
    <w:rsid w:val="003501BA"/>
    <w:rsid w:val="00350234"/>
    <w:rsid w:val="00350295"/>
    <w:rsid w:val="003502BD"/>
    <w:rsid w:val="003502F2"/>
    <w:rsid w:val="00350387"/>
    <w:rsid w:val="003503B5"/>
    <w:rsid w:val="00350407"/>
    <w:rsid w:val="00350449"/>
    <w:rsid w:val="003504A5"/>
    <w:rsid w:val="003504D9"/>
    <w:rsid w:val="0035052F"/>
    <w:rsid w:val="00350547"/>
    <w:rsid w:val="003505AC"/>
    <w:rsid w:val="003505CB"/>
    <w:rsid w:val="003505D4"/>
    <w:rsid w:val="003505DA"/>
    <w:rsid w:val="0035065E"/>
    <w:rsid w:val="0035069C"/>
    <w:rsid w:val="003506F9"/>
    <w:rsid w:val="00350706"/>
    <w:rsid w:val="00350760"/>
    <w:rsid w:val="00350787"/>
    <w:rsid w:val="0035079E"/>
    <w:rsid w:val="003507B8"/>
    <w:rsid w:val="003507DC"/>
    <w:rsid w:val="00350806"/>
    <w:rsid w:val="0035080D"/>
    <w:rsid w:val="0035088A"/>
    <w:rsid w:val="00350895"/>
    <w:rsid w:val="003508E7"/>
    <w:rsid w:val="00350944"/>
    <w:rsid w:val="00350950"/>
    <w:rsid w:val="0035095C"/>
    <w:rsid w:val="003509C9"/>
    <w:rsid w:val="00350A45"/>
    <w:rsid w:val="00350A72"/>
    <w:rsid w:val="00350AA0"/>
    <w:rsid w:val="00350AD4"/>
    <w:rsid w:val="00350B60"/>
    <w:rsid w:val="00350B96"/>
    <w:rsid w:val="00350B98"/>
    <w:rsid w:val="00350BE8"/>
    <w:rsid w:val="00350BF0"/>
    <w:rsid w:val="00350BF5"/>
    <w:rsid w:val="00350C02"/>
    <w:rsid w:val="00350C14"/>
    <w:rsid w:val="00350C92"/>
    <w:rsid w:val="00350C93"/>
    <w:rsid w:val="00350CA4"/>
    <w:rsid w:val="00350CDA"/>
    <w:rsid w:val="00350D04"/>
    <w:rsid w:val="00350D6B"/>
    <w:rsid w:val="00350DF2"/>
    <w:rsid w:val="00350E4C"/>
    <w:rsid w:val="00350E61"/>
    <w:rsid w:val="00350E8F"/>
    <w:rsid w:val="00350EA4"/>
    <w:rsid w:val="00350ECE"/>
    <w:rsid w:val="00350F4A"/>
    <w:rsid w:val="00350F54"/>
    <w:rsid w:val="00350FB0"/>
    <w:rsid w:val="00350FF8"/>
    <w:rsid w:val="0035101F"/>
    <w:rsid w:val="00351029"/>
    <w:rsid w:val="00351059"/>
    <w:rsid w:val="003510BC"/>
    <w:rsid w:val="003510CC"/>
    <w:rsid w:val="00351130"/>
    <w:rsid w:val="003511A0"/>
    <w:rsid w:val="003511B3"/>
    <w:rsid w:val="003511D5"/>
    <w:rsid w:val="0035120B"/>
    <w:rsid w:val="00351210"/>
    <w:rsid w:val="0035121F"/>
    <w:rsid w:val="0035124C"/>
    <w:rsid w:val="0035126F"/>
    <w:rsid w:val="003512A5"/>
    <w:rsid w:val="003512EE"/>
    <w:rsid w:val="0035133F"/>
    <w:rsid w:val="00351347"/>
    <w:rsid w:val="00351372"/>
    <w:rsid w:val="0035137E"/>
    <w:rsid w:val="003513A8"/>
    <w:rsid w:val="003513E8"/>
    <w:rsid w:val="0035144E"/>
    <w:rsid w:val="00351549"/>
    <w:rsid w:val="00351555"/>
    <w:rsid w:val="00351614"/>
    <w:rsid w:val="00351635"/>
    <w:rsid w:val="00351657"/>
    <w:rsid w:val="00351666"/>
    <w:rsid w:val="003516AE"/>
    <w:rsid w:val="003516C7"/>
    <w:rsid w:val="003516FD"/>
    <w:rsid w:val="00351739"/>
    <w:rsid w:val="00351745"/>
    <w:rsid w:val="00351747"/>
    <w:rsid w:val="00351792"/>
    <w:rsid w:val="003517D5"/>
    <w:rsid w:val="003517F9"/>
    <w:rsid w:val="0035184C"/>
    <w:rsid w:val="00351882"/>
    <w:rsid w:val="003518DF"/>
    <w:rsid w:val="00351918"/>
    <w:rsid w:val="00351961"/>
    <w:rsid w:val="0035196B"/>
    <w:rsid w:val="0035199D"/>
    <w:rsid w:val="003519D8"/>
    <w:rsid w:val="00351A3E"/>
    <w:rsid w:val="00351A47"/>
    <w:rsid w:val="00351A48"/>
    <w:rsid w:val="00351A59"/>
    <w:rsid w:val="00351A5D"/>
    <w:rsid w:val="00351A87"/>
    <w:rsid w:val="00351ACB"/>
    <w:rsid w:val="00351AEA"/>
    <w:rsid w:val="00351AF8"/>
    <w:rsid w:val="00351B01"/>
    <w:rsid w:val="00351B6E"/>
    <w:rsid w:val="00351C26"/>
    <w:rsid w:val="00351C41"/>
    <w:rsid w:val="00351C5E"/>
    <w:rsid w:val="00351C6A"/>
    <w:rsid w:val="00351C82"/>
    <w:rsid w:val="00351C8F"/>
    <w:rsid w:val="00351CAA"/>
    <w:rsid w:val="00351D38"/>
    <w:rsid w:val="00351D3E"/>
    <w:rsid w:val="00351DA5"/>
    <w:rsid w:val="00351DB3"/>
    <w:rsid w:val="00351DB9"/>
    <w:rsid w:val="00351DBD"/>
    <w:rsid w:val="00351DF3"/>
    <w:rsid w:val="00351E44"/>
    <w:rsid w:val="00351E55"/>
    <w:rsid w:val="00351EAC"/>
    <w:rsid w:val="00351EC9"/>
    <w:rsid w:val="00351EE2"/>
    <w:rsid w:val="00351EFA"/>
    <w:rsid w:val="00351F8B"/>
    <w:rsid w:val="00351F93"/>
    <w:rsid w:val="00351FA2"/>
    <w:rsid w:val="00351FAB"/>
    <w:rsid w:val="00352017"/>
    <w:rsid w:val="0035203E"/>
    <w:rsid w:val="00352086"/>
    <w:rsid w:val="003520EB"/>
    <w:rsid w:val="0035214C"/>
    <w:rsid w:val="00352152"/>
    <w:rsid w:val="0035215A"/>
    <w:rsid w:val="00352195"/>
    <w:rsid w:val="00352237"/>
    <w:rsid w:val="00352258"/>
    <w:rsid w:val="00352290"/>
    <w:rsid w:val="003522F5"/>
    <w:rsid w:val="0035231A"/>
    <w:rsid w:val="00352348"/>
    <w:rsid w:val="00352357"/>
    <w:rsid w:val="00352395"/>
    <w:rsid w:val="003523DB"/>
    <w:rsid w:val="003523E5"/>
    <w:rsid w:val="00352457"/>
    <w:rsid w:val="00352462"/>
    <w:rsid w:val="00352469"/>
    <w:rsid w:val="0035247E"/>
    <w:rsid w:val="00352492"/>
    <w:rsid w:val="0035251B"/>
    <w:rsid w:val="0035251D"/>
    <w:rsid w:val="00352551"/>
    <w:rsid w:val="00352565"/>
    <w:rsid w:val="003525BA"/>
    <w:rsid w:val="00352657"/>
    <w:rsid w:val="00352685"/>
    <w:rsid w:val="003526BB"/>
    <w:rsid w:val="003526C9"/>
    <w:rsid w:val="0035271C"/>
    <w:rsid w:val="0035273C"/>
    <w:rsid w:val="00352753"/>
    <w:rsid w:val="00352796"/>
    <w:rsid w:val="003527AA"/>
    <w:rsid w:val="003527BC"/>
    <w:rsid w:val="003527FF"/>
    <w:rsid w:val="0035280A"/>
    <w:rsid w:val="0035282C"/>
    <w:rsid w:val="00352875"/>
    <w:rsid w:val="003528B2"/>
    <w:rsid w:val="003528D6"/>
    <w:rsid w:val="003528D9"/>
    <w:rsid w:val="003528DD"/>
    <w:rsid w:val="003528E7"/>
    <w:rsid w:val="0035295F"/>
    <w:rsid w:val="003529AF"/>
    <w:rsid w:val="003529C4"/>
    <w:rsid w:val="003529C5"/>
    <w:rsid w:val="00352A11"/>
    <w:rsid w:val="00352A23"/>
    <w:rsid w:val="00352A25"/>
    <w:rsid w:val="00352AFE"/>
    <w:rsid w:val="00352B02"/>
    <w:rsid w:val="00352B6D"/>
    <w:rsid w:val="00352BA7"/>
    <w:rsid w:val="00352C2F"/>
    <w:rsid w:val="00352C4C"/>
    <w:rsid w:val="00352C5F"/>
    <w:rsid w:val="00352C7D"/>
    <w:rsid w:val="00352D16"/>
    <w:rsid w:val="00352D1E"/>
    <w:rsid w:val="00352D42"/>
    <w:rsid w:val="00352D44"/>
    <w:rsid w:val="00352D9B"/>
    <w:rsid w:val="00352DEC"/>
    <w:rsid w:val="00352EA8"/>
    <w:rsid w:val="00352EC3"/>
    <w:rsid w:val="00352F25"/>
    <w:rsid w:val="00352F71"/>
    <w:rsid w:val="00352FCD"/>
    <w:rsid w:val="00353058"/>
    <w:rsid w:val="00353059"/>
    <w:rsid w:val="0035306A"/>
    <w:rsid w:val="0035308D"/>
    <w:rsid w:val="003530B0"/>
    <w:rsid w:val="003530BE"/>
    <w:rsid w:val="0035315E"/>
    <w:rsid w:val="0035316F"/>
    <w:rsid w:val="00353190"/>
    <w:rsid w:val="003531C1"/>
    <w:rsid w:val="003531CA"/>
    <w:rsid w:val="00353200"/>
    <w:rsid w:val="00353253"/>
    <w:rsid w:val="003532F3"/>
    <w:rsid w:val="003532F4"/>
    <w:rsid w:val="00353313"/>
    <w:rsid w:val="003533B2"/>
    <w:rsid w:val="003533B5"/>
    <w:rsid w:val="003533E4"/>
    <w:rsid w:val="00353452"/>
    <w:rsid w:val="00353499"/>
    <w:rsid w:val="003534D1"/>
    <w:rsid w:val="00353560"/>
    <w:rsid w:val="003535C4"/>
    <w:rsid w:val="003535C5"/>
    <w:rsid w:val="003535DF"/>
    <w:rsid w:val="00353611"/>
    <w:rsid w:val="0035368B"/>
    <w:rsid w:val="003536A5"/>
    <w:rsid w:val="0035371D"/>
    <w:rsid w:val="003537F7"/>
    <w:rsid w:val="003537FF"/>
    <w:rsid w:val="0035383B"/>
    <w:rsid w:val="003538F8"/>
    <w:rsid w:val="003538FA"/>
    <w:rsid w:val="00353991"/>
    <w:rsid w:val="00353A52"/>
    <w:rsid w:val="00353A55"/>
    <w:rsid w:val="00353AEF"/>
    <w:rsid w:val="00353B15"/>
    <w:rsid w:val="00353B49"/>
    <w:rsid w:val="00353B63"/>
    <w:rsid w:val="00353B79"/>
    <w:rsid w:val="00353C12"/>
    <w:rsid w:val="00353C3F"/>
    <w:rsid w:val="00353C52"/>
    <w:rsid w:val="00353C92"/>
    <w:rsid w:val="00353CEA"/>
    <w:rsid w:val="00353CF1"/>
    <w:rsid w:val="00353CFC"/>
    <w:rsid w:val="00353D23"/>
    <w:rsid w:val="00353D2F"/>
    <w:rsid w:val="00353D51"/>
    <w:rsid w:val="00353D6B"/>
    <w:rsid w:val="00353D71"/>
    <w:rsid w:val="00353D7B"/>
    <w:rsid w:val="00353D97"/>
    <w:rsid w:val="00353E45"/>
    <w:rsid w:val="00353E53"/>
    <w:rsid w:val="00353E7C"/>
    <w:rsid w:val="00353EB2"/>
    <w:rsid w:val="00353EB5"/>
    <w:rsid w:val="00353F2C"/>
    <w:rsid w:val="00353F49"/>
    <w:rsid w:val="00353F8E"/>
    <w:rsid w:val="00353FA9"/>
    <w:rsid w:val="00353FBF"/>
    <w:rsid w:val="00354028"/>
    <w:rsid w:val="0035402C"/>
    <w:rsid w:val="0035404D"/>
    <w:rsid w:val="0035405C"/>
    <w:rsid w:val="0035409B"/>
    <w:rsid w:val="003540C5"/>
    <w:rsid w:val="00354190"/>
    <w:rsid w:val="003541C8"/>
    <w:rsid w:val="003541CE"/>
    <w:rsid w:val="0035420D"/>
    <w:rsid w:val="00354230"/>
    <w:rsid w:val="0035425A"/>
    <w:rsid w:val="0035425D"/>
    <w:rsid w:val="00354291"/>
    <w:rsid w:val="003542B8"/>
    <w:rsid w:val="00354305"/>
    <w:rsid w:val="0035430A"/>
    <w:rsid w:val="00354352"/>
    <w:rsid w:val="003543A8"/>
    <w:rsid w:val="003543C0"/>
    <w:rsid w:val="003543FA"/>
    <w:rsid w:val="0035445A"/>
    <w:rsid w:val="00354461"/>
    <w:rsid w:val="003544B1"/>
    <w:rsid w:val="0035451A"/>
    <w:rsid w:val="00354550"/>
    <w:rsid w:val="00354557"/>
    <w:rsid w:val="0035455D"/>
    <w:rsid w:val="00354560"/>
    <w:rsid w:val="00354571"/>
    <w:rsid w:val="003545B4"/>
    <w:rsid w:val="00354618"/>
    <w:rsid w:val="00354621"/>
    <w:rsid w:val="00354623"/>
    <w:rsid w:val="00354636"/>
    <w:rsid w:val="0035467C"/>
    <w:rsid w:val="00354693"/>
    <w:rsid w:val="0035476B"/>
    <w:rsid w:val="00354792"/>
    <w:rsid w:val="003547CC"/>
    <w:rsid w:val="00354804"/>
    <w:rsid w:val="0035480A"/>
    <w:rsid w:val="00354848"/>
    <w:rsid w:val="0035484D"/>
    <w:rsid w:val="003548A1"/>
    <w:rsid w:val="003548C7"/>
    <w:rsid w:val="003548FE"/>
    <w:rsid w:val="003548FF"/>
    <w:rsid w:val="00354917"/>
    <w:rsid w:val="0035492A"/>
    <w:rsid w:val="0035492D"/>
    <w:rsid w:val="00354963"/>
    <w:rsid w:val="003549B2"/>
    <w:rsid w:val="00354A18"/>
    <w:rsid w:val="00354A22"/>
    <w:rsid w:val="00354A6B"/>
    <w:rsid w:val="00354A6C"/>
    <w:rsid w:val="00354A85"/>
    <w:rsid w:val="00354A8A"/>
    <w:rsid w:val="00354AC5"/>
    <w:rsid w:val="00354AC7"/>
    <w:rsid w:val="00354ADA"/>
    <w:rsid w:val="00354B26"/>
    <w:rsid w:val="00354B3F"/>
    <w:rsid w:val="00354BAF"/>
    <w:rsid w:val="00354BB0"/>
    <w:rsid w:val="00354C38"/>
    <w:rsid w:val="00354C3C"/>
    <w:rsid w:val="00354C7F"/>
    <w:rsid w:val="00354CCC"/>
    <w:rsid w:val="00354D2D"/>
    <w:rsid w:val="00354D80"/>
    <w:rsid w:val="00354D83"/>
    <w:rsid w:val="00354DAC"/>
    <w:rsid w:val="00354DD6"/>
    <w:rsid w:val="00354ED9"/>
    <w:rsid w:val="00354F7A"/>
    <w:rsid w:val="00354FC0"/>
    <w:rsid w:val="00354FEC"/>
    <w:rsid w:val="00355003"/>
    <w:rsid w:val="00355010"/>
    <w:rsid w:val="0035505E"/>
    <w:rsid w:val="003550C4"/>
    <w:rsid w:val="003550C6"/>
    <w:rsid w:val="003550E1"/>
    <w:rsid w:val="003551B9"/>
    <w:rsid w:val="0035521E"/>
    <w:rsid w:val="003552AD"/>
    <w:rsid w:val="0035532D"/>
    <w:rsid w:val="0035533D"/>
    <w:rsid w:val="003553E1"/>
    <w:rsid w:val="0035540E"/>
    <w:rsid w:val="00355440"/>
    <w:rsid w:val="00355455"/>
    <w:rsid w:val="0035549F"/>
    <w:rsid w:val="003554DD"/>
    <w:rsid w:val="003554E7"/>
    <w:rsid w:val="0035550F"/>
    <w:rsid w:val="00355588"/>
    <w:rsid w:val="0035559B"/>
    <w:rsid w:val="003555A2"/>
    <w:rsid w:val="003555C9"/>
    <w:rsid w:val="003555DC"/>
    <w:rsid w:val="00355604"/>
    <w:rsid w:val="00355687"/>
    <w:rsid w:val="003556A0"/>
    <w:rsid w:val="003556AA"/>
    <w:rsid w:val="003556EA"/>
    <w:rsid w:val="00355723"/>
    <w:rsid w:val="00355779"/>
    <w:rsid w:val="003557B8"/>
    <w:rsid w:val="003557DC"/>
    <w:rsid w:val="003557FE"/>
    <w:rsid w:val="003558B8"/>
    <w:rsid w:val="003558CA"/>
    <w:rsid w:val="0035591B"/>
    <w:rsid w:val="00355920"/>
    <w:rsid w:val="0035593D"/>
    <w:rsid w:val="0035596D"/>
    <w:rsid w:val="00355995"/>
    <w:rsid w:val="003559BE"/>
    <w:rsid w:val="003559F4"/>
    <w:rsid w:val="00355A15"/>
    <w:rsid w:val="00355A4D"/>
    <w:rsid w:val="00355A50"/>
    <w:rsid w:val="00355A57"/>
    <w:rsid w:val="00355A7A"/>
    <w:rsid w:val="00355AA6"/>
    <w:rsid w:val="00355B26"/>
    <w:rsid w:val="00355B90"/>
    <w:rsid w:val="00355BBD"/>
    <w:rsid w:val="00355BBF"/>
    <w:rsid w:val="00355BF0"/>
    <w:rsid w:val="00355C34"/>
    <w:rsid w:val="00355CE8"/>
    <w:rsid w:val="00355CFB"/>
    <w:rsid w:val="00355D4D"/>
    <w:rsid w:val="00355D56"/>
    <w:rsid w:val="00355D8A"/>
    <w:rsid w:val="00355E31"/>
    <w:rsid w:val="00355E72"/>
    <w:rsid w:val="00355EC9"/>
    <w:rsid w:val="00355EF3"/>
    <w:rsid w:val="00355F2C"/>
    <w:rsid w:val="00355F2F"/>
    <w:rsid w:val="00355FE6"/>
    <w:rsid w:val="00356036"/>
    <w:rsid w:val="00356037"/>
    <w:rsid w:val="00356062"/>
    <w:rsid w:val="00356088"/>
    <w:rsid w:val="00356092"/>
    <w:rsid w:val="003560A5"/>
    <w:rsid w:val="003560E8"/>
    <w:rsid w:val="003560F8"/>
    <w:rsid w:val="003560FC"/>
    <w:rsid w:val="0035610D"/>
    <w:rsid w:val="0035614F"/>
    <w:rsid w:val="0035616D"/>
    <w:rsid w:val="003561AA"/>
    <w:rsid w:val="003561E3"/>
    <w:rsid w:val="003561FE"/>
    <w:rsid w:val="0035620D"/>
    <w:rsid w:val="0035629B"/>
    <w:rsid w:val="003562AB"/>
    <w:rsid w:val="003562AD"/>
    <w:rsid w:val="00356323"/>
    <w:rsid w:val="003563A2"/>
    <w:rsid w:val="003563A4"/>
    <w:rsid w:val="0035645B"/>
    <w:rsid w:val="0035645F"/>
    <w:rsid w:val="003564B9"/>
    <w:rsid w:val="003564BF"/>
    <w:rsid w:val="003564C6"/>
    <w:rsid w:val="00356503"/>
    <w:rsid w:val="00356535"/>
    <w:rsid w:val="00356551"/>
    <w:rsid w:val="00356568"/>
    <w:rsid w:val="003565AE"/>
    <w:rsid w:val="003565D8"/>
    <w:rsid w:val="003565E7"/>
    <w:rsid w:val="00356614"/>
    <w:rsid w:val="0035661D"/>
    <w:rsid w:val="00356660"/>
    <w:rsid w:val="003566AF"/>
    <w:rsid w:val="003566D3"/>
    <w:rsid w:val="003566E0"/>
    <w:rsid w:val="00356777"/>
    <w:rsid w:val="003567DC"/>
    <w:rsid w:val="003567DF"/>
    <w:rsid w:val="003567E2"/>
    <w:rsid w:val="003567E7"/>
    <w:rsid w:val="003567FC"/>
    <w:rsid w:val="00356808"/>
    <w:rsid w:val="00356823"/>
    <w:rsid w:val="00356888"/>
    <w:rsid w:val="00356899"/>
    <w:rsid w:val="003568E4"/>
    <w:rsid w:val="00356947"/>
    <w:rsid w:val="0035696B"/>
    <w:rsid w:val="0035697A"/>
    <w:rsid w:val="003569EB"/>
    <w:rsid w:val="00356A0B"/>
    <w:rsid w:val="00356A17"/>
    <w:rsid w:val="00356A49"/>
    <w:rsid w:val="00356AAD"/>
    <w:rsid w:val="00356AF6"/>
    <w:rsid w:val="00356BCC"/>
    <w:rsid w:val="00356BEB"/>
    <w:rsid w:val="00356C0B"/>
    <w:rsid w:val="00356C11"/>
    <w:rsid w:val="00356C68"/>
    <w:rsid w:val="00356CB9"/>
    <w:rsid w:val="00356CBE"/>
    <w:rsid w:val="00356CC2"/>
    <w:rsid w:val="00356CF6"/>
    <w:rsid w:val="00356D6B"/>
    <w:rsid w:val="00356D90"/>
    <w:rsid w:val="00356DAC"/>
    <w:rsid w:val="00356DAD"/>
    <w:rsid w:val="00356DDF"/>
    <w:rsid w:val="00356DF6"/>
    <w:rsid w:val="00356E0A"/>
    <w:rsid w:val="00356E29"/>
    <w:rsid w:val="00356E3C"/>
    <w:rsid w:val="00356E6F"/>
    <w:rsid w:val="00356EA4"/>
    <w:rsid w:val="00356EEA"/>
    <w:rsid w:val="00356EF8"/>
    <w:rsid w:val="00356EFC"/>
    <w:rsid w:val="00356FE1"/>
    <w:rsid w:val="00357000"/>
    <w:rsid w:val="00357002"/>
    <w:rsid w:val="00357015"/>
    <w:rsid w:val="0035704E"/>
    <w:rsid w:val="003570B8"/>
    <w:rsid w:val="003571A4"/>
    <w:rsid w:val="003572B8"/>
    <w:rsid w:val="00357379"/>
    <w:rsid w:val="00357394"/>
    <w:rsid w:val="003573F1"/>
    <w:rsid w:val="0035748C"/>
    <w:rsid w:val="003574E8"/>
    <w:rsid w:val="00357500"/>
    <w:rsid w:val="00357503"/>
    <w:rsid w:val="00357525"/>
    <w:rsid w:val="00357594"/>
    <w:rsid w:val="0035759D"/>
    <w:rsid w:val="0035759F"/>
    <w:rsid w:val="003575D5"/>
    <w:rsid w:val="003575E7"/>
    <w:rsid w:val="00357637"/>
    <w:rsid w:val="00357644"/>
    <w:rsid w:val="003576A5"/>
    <w:rsid w:val="003576AD"/>
    <w:rsid w:val="0035771D"/>
    <w:rsid w:val="00357752"/>
    <w:rsid w:val="003577B9"/>
    <w:rsid w:val="003577D1"/>
    <w:rsid w:val="003577EA"/>
    <w:rsid w:val="00357807"/>
    <w:rsid w:val="0035784E"/>
    <w:rsid w:val="0035784F"/>
    <w:rsid w:val="003578A1"/>
    <w:rsid w:val="003578C8"/>
    <w:rsid w:val="00357980"/>
    <w:rsid w:val="00357995"/>
    <w:rsid w:val="00357996"/>
    <w:rsid w:val="003579D7"/>
    <w:rsid w:val="003579F5"/>
    <w:rsid w:val="00357A16"/>
    <w:rsid w:val="00357A46"/>
    <w:rsid w:val="00357A94"/>
    <w:rsid w:val="00357AC8"/>
    <w:rsid w:val="00357ACD"/>
    <w:rsid w:val="00357AFF"/>
    <w:rsid w:val="00357B49"/>
    <w:rsid w:val="00357BA7"/>
    <w:rsid w:val="00357BDE"/>
    <w:rsid w:val="00357C19"/>
    <w:rsid w:val="00357C78"/>
    <w:rsid w:val="00357C80"/>
    <w:rsid w:val="00357CA4"/>
    <w:rsid w:val="00357D2A"/>
    <w:rsid w:val="00357DB3"/>
    <w:rsid w:val="00357DE5"/>
    <w:rsid w:val="00357DF3"/>
    <w:rsid w:val="00357E18"/>
    <w:rsid w:val="00357E1C"/>
    <w:rsid w:val="00357E48"/>
    <w:rsid w:val="00357E57"/>
    <w:rsid w:val="00357E64"/>
    <w:rsid w:val="00357EAB"/>
    <w:rsid w:val="00357EED"/>
    <w:rsid w:val="00357F2E"/>
    <w:rsid w:val="00357F52"/>
    <w:rsid w:val="00357FE3"/>
    <w:rsid w:val="00357FFC"/>
    <w:rsid w:val="0036000D"/>
    <w:rsid w:val="00360030"/>
    <w:rsid w:val="0036004D"/>
    <w:rsid w:val="0036005C"/>
    <w:rsid w:val="00360061"/>
    <w:rsid w:val="00360083"/>
    <w:rsid w:val="003600A1"/>
    <w:rsid w:val="003600B3"/>
    <w:rsid w:val="003600D9"/>
    <w:rsid w:val="003600FB"/>
    <w:rsid w:val="00360117"/>
    <w:rsid w:val="00360123"/>
    <w:rsid w:val="0036016A"/>
    <w:rsid w:val="00360185"/>
    <w:rsid w:val="003601E5"/>
    <w:rsid w:val="00360250"/>
    <w:rsid w:val="003602D6"/>
    <w:rsid w:val="00360353"/>
    <w:rsid w:val="0036035A"/>
    <w:rsid w:val="00360394"/>
    <w:rsid w:val="00360405"/>
    <w:rsid w:val="00360446"/>
    <w:rsid w:val="00360454"/>
    <w:rsid w:val="0036046E"/>
    <w:rsid w:val="0036047F"/>
    <w:rsid w:val="00360482"/>
    <w:rsid w:val="003604AF"/>
    <w:rsid w:val="003604CF"/>
    <w:rsid w:val="0036057D"/>
    <w:rsid w:val="003605BF"/>
    <w:rsid w:val="003605C6"/>
    <w:rsid w:val="0036062C"/>
    <w:rsid w:val="0036067B"/>
    <w:rsid w:val="00360685"/>
    <w:rsid w:val="0036073B"/>
    <w:rsid w:val="0036074B"/>
    <w:rsid w:val="0036075F"/>
    <w:rsid w:val="0036076A"/>
    <w:rsid w:val="0036079F"/>
    <w:rsid w:val="0036081D"/>
    <w:rsid w:val="00360824"/>
    <w:rsid w:val="00360839"/>
    <w:rsid w:val="00360844"/>
    <w:rsid w:val="0036084A"/>
    <w:rsid w:val="00360890"/>
    <w:rsid w:val="003608B4"/>
    <w:rsid w:val="003608D2"/>
    <w:rsid w:val="0036092D"/>
    <w:rsid w:val="0036093B"/>
    <w:rsid w:val="0036095C"/>
    <w:rsid w:val="003609B6"/>
    <w:rsid w:val="003609DA"/>
    <w:rsid w:val="003609E6"/>
    <w:rsid w:val="003609EB"/>
    <w:rsid w:val="00360A38"/>
    <w:rsid w:val="00360C0B"/>
    <w:rsid w:val="00360C2F"/>
    <w:rsid w:val="00360C49"/>
    <w:rsid w:val="00360C93"/>
    <w:rsid w:val="00360CD9"/>
    <w:rsid w:val="00360D09"/>
    <w:rsid w:val="00360D34"/>
    <w:rsid w:val="00360D42"/>
    <w:rsid w:val="00360D5C"/>
    <w:rsid w:val="00360D81"/>
    <w:rsid w:val="00360DA4"/>
    <w:rsid w:val="00360DE7"/>
    <w:rsid w:val="00360DF8"/>
    <w:rsid w:val="00360E11"/>
    <w:rsid w:val="00360E17"/>
    <w:rsid w:val="00360E3A"/>
    <w:rsid w:val="00360E41"/>
    <w:rsid w:val="00360EAC"/>
    <w:rsid w:val="00360F13"/>
    <w:rsid w:val="00360F21"/>
    <w:rsid w:val="00360F30"/>
    <w:rsid w:val="00360F31"/>
    <w:rsid w:val="00360F78"/>
    <w:rsid w:val="00360FBC"/>
    <w:rsid w:val="0036102F"/>
    <w:rsid w:val="0036105C"/>
    <w:rsid w:val="00361061"/>
    <w:rsid w:val="00361064"/>
    <w:rsid w:val="00361081"/>
    <w:rsid w:val="00361082"/>
    <w:rsid w:val="0036108D"/>
    <w:rsid w:val="0036111B"/>
    <w:rsid w:val="00361154"/>
    <w:rsid w:val="003611B9"/>
    <w:rsid w:val="003611EB"/>
    <w:rsid w:val="0036121D"/>
    <w:rsid w:val="00361234"/>
    <w:rsid w:val="003612EE"/>
    <w:rsid w:val="00361347"/>
    <w:rsid w:val="00361367"/>
    <w:rsid w:val="003613A3"/>
    <w:rsid w:val="003613CC"/>
    <w:rsid w:val="00361400"/>
    <w:rsid w:val="0036141D"/>
    <w:rsid w:val="00361428"/>
    <w:rsid w:val="00361480"/>
    <w:rsid w:val="003614EF"/>
    <w:rsid w:val="00361500"/>
    <w:rsid w:val="00361503"/>
    <w:rsid w:val="0036150B"/>
    <w:rsid w:val="0036152E"/>
    <w:rsid w:val="003615C8"/>
    <w:rsid w:val="00361689"/>
    <w:rsid w:val="0036169C"/>
    <w:rsid w:val="00361705"/>
    <w:rsid w:val="0036176B"/>
    <w:rsid w:val="00361840"/>
    <w:rsid w:val="00361869"/>
    <w:rsid w:val="003618AA"/>
    <w:rsid w:val="003618DF"/>
    <w:rsid w:val="00361910"/>
    <w:rsid w:val="00361920"/>
    <w:rsid w:val="00361937"/>
    <w:rsid w:val="00361997"/>
    <w:rsid w:val="00361B7D"/>
    <w:rsid w:val="00361B84"/>
    <w:rsid w:val="00361BA4"/>
    <w:rsid w:val="00361BC7"/>
    <w:rsid w:val="00361BE7"/>
    <w:rsid w:val="00361C05"/>
    <w:rsid w:val="00361C91"/>
    <w:rsid w:val="00361CAF"/>
    <w:rsid w:val="00361CBE"/>
    <w:rsid w:val="00361CE2"/>
    <w:rsid w:val="00361CFC"/>
    <w:rsid w:val="00361D97"/>
    <w:rsid w:val="00361DD2"/>
    <w:rsid w:val="00361DE4"/>
    <w:rsid w:val="00361DF2"/>
    <w:rsid w:val="00361E1B"/>
    <w:rsid w:val="00361E25"/>
    <w:rsid w:val="00361E40"/>
    <w:rsid w:val="00361E6E"/>
    <w:rsid w:val="00361ECD"/>
    <w:rsid w:val="00361F0D"/>
    <w:rsid w:val="00361F0F"/>
    <w:rsid w:val="00361F3A"/>
    <w:rsid w:val="00361F4C"/>
    <w:rsid w:val="00361F5E"/>
    <w:rsid w:val="00361F66"/>
    <w:rsid w:val="00362005"/>
    <w:rsid w:val="00362022"/>
    <w:rsid w:val="0036202B"/>
    <w:rsid w:val="0036204E"/>
    <w:rsid w:val="00362050"/>
    <w:rsid w:val="003620A6"/>
    <w:rsid w:val="003620B8"/>
    <w:rsid w:val="003620D6"/>
    <w:rsid w:val="003620F0"/>
    <w:rsid w:val="003620F8"/>
    <w:rsid w:val="0036212B"/>
    <w:rsid w:val="00362212"/>
    <w:rsid w:val="00362244"/>
    <w:rsid w:val="0036225C"/>
    <w:rsid w:val="003622BB"/>
    <w:rsid w:val="003622E1"/>
    <w:rsid w:val="00362308"/>
    <w:rsid w:val="0036231D"/>
    <w:rsid w:val="00362326"/>
    <w:rsid w:val="00362384"/>
    <w:rsid w:val="003623AF"/>
    <w:rsid w:val="003623B1"/>
    <w:rsid w:val="003623C3"/>
    <w:rsid w:val="0036242F"/>
    <w:rsid w:val="0036245C"/>
    <w:rsid w:val="003624C8"/>
    <w:rsid w:val="003624D8"/>
    <w:rsid w:val="0036251D"/>
    <w:rsid w:val="00362541"/>
    <w:rsid w:val="00362598"/>
    <w:rsid w:val="003625A4"/>
    <w:rsid w:val="003625C7"/>
    <w:rsid w:val="00362662"/>
    <w:rsid w:val="0036268B"/>
    <w:rsid w:val="003626C9"/>
    <w:rsid w:val="003627C7"/>
    <w:rsid w:val="003627D7"/>
    <w:rsid w:val="003627D9"/>
    <w:rsid w:val="0036285F"/>
    <w:rsid w:val="003628DA"/>
    <w:rsid w:val="003628E1"/>
    <w:rsid w:val="003628F3"/>
    <w:rsid w:val="00362944"/>
    <w:rsid w:val="003629AD"/>
    <w:rsid w:val="00362A87"/>
    <w:rsid w:val="00362AB4"/>
    <w:rsid w:val="00362B21"/>
    <w:rsid w:val="00362B4E"/>
    <w:rsid w:val="00362B8B"/>
    <w:rsid w:val="00362BA7"/>
    <w:rsid w:val="00362BC5"/>
    <w:rsid w:val="00362C14"/>
    <w:rsid w:val="00362C3C"/>
    <w:rsid w:val="00362C43"/>
    <w:rsid w:val="00362C5C"/>
    <w:rsid w:val="00362C60"/>
    <w:rsid w:val="00362C9D"/>
    <w:rsid w:val="00362CE1"/>
    <w:rsid w:val="00362CE3"/>
    <w:rsid w:val="00362D14"/>
    <w:rsid w:val="00362D20"/>
    <w:rsid w:val="00362D5B"/>
    <w:rsid w:val="00362D80"/>
    <w:rsid w:val="00362D84"/>
    <w:rsid w:val="00362D94"/>
    <w:rsid w:val="00362DB5"/>
    <w:rsid w:val="00362DB8"/>
    <w:rsid w:val="00362E8E"/>
    <w:rsid w:val="00362E96"/>
    <w:rsid w:val="00362E9C"/>
    <w:rsid w:val="00362EC2"/>
    <w:rsid w:val="00362ED1"/>
    <w:rsid w:val="00362F37"/>
    <w:rsid w:val="00362F55"/>
    <w:rsid w:val="00362FD2"/>
    <w:rsid w:val="00363010"/>
    <w:rsid w:val="003630A9"/>
    <w:rsid w:val="003630F9"/>
    <w:rsid w:val="0036311A"/>
    <w:rsid w:val="00363136"/>
    <w:rsid w:val="00363137"/>
    <w:rsid w:val="00363158"/>
    <w:rsid w:val="003631A9"/>
    <w:rsid w:val="003631AD"/>
    <w:rsid w:val="003631DF"/>
    <w:rsid w:val="003631F9"/>
    <w:rsid w:val="00363212"/>
    <w:rsid w:val="00363242"/>
    <w:rsid w:val="00363257"/>
    <w:rsid w:val="0036325B"/>
    <w:rsid w:val="0036332F"/>
    <w:rsid w:val="00363411"/>
    <w:rsid w:val="0036342A"/>
    <w:rsid w:val="0036343A"/>
    <w:rsid w:val="003634B6"/>
    <w:rsid w:val="003634E3"/>
    <w:rsid w:val="003634EE"/>
    <w:rsid w:val="0036357E"/>
    <w:rsid w:val="0036358B"/>
    <w:rsid w:val="0036359C"/>
    <w:rsid w:val="003635B2"/>
    <w:rsid w:val="00363605"/>
    <w:rsid w:val="00363642"/>
    <w:rsid w:val="003636B0"/>
    <w:rsid w:val="00363712"/>
    <w:rsid w:val="00363738"/>
    <w:rsid w:val="0036374D"/>
    <w:rsid w:val="003637A2"/>
    <w:rsid w:val="003637AF"/>
    <w:rsid w:val="003637E6"/>
    <w:rsid w:val="00363833"/>
    <w:rsid w:val="003638A2"/>
    <w:rsid w:val="003638BC"/>
    <w:rsid w:val="003638C8"/>
    <w:rsid w:val="003638CC"/>
    <w:rsid w:val="003638E6"/>
    <w:rsid w:val="00363931"/>
    <w:rsid w:val="0036393F"/>
    <w:rsid w:val="00363988"/>
    <w:rsid w:val="003639BD"/>
    <w:rsid w:val="003639CD"/>
    <w:rsid w:val="00363A12"/>
    <w:rsid w:val="00363A20"/>
    <w:rsid w:val="00363A68"/>
    <w:rsid w:val="00363A75"/>
    <w:rsid w:val="00363AA3"/>
    <w:rsid w:val="00363AD3"/>
    <w:rsid w:val="00363AFC"/>
    <w:rsid w:val="00363BA5"/>
    <w:rsid w:val="00363BC0"/>
    <w:rsid w:val="00363BC5"/>
    <w:rsid w:val="00363C01"/>
    <w:rsid w:val="00363C1A"/>
    <w:rsid w:val="00363C65"/>
    <w:rsid w:val="00363C95"/>
    <w:rsid w:val="00363CAB"/>
    <w:rsid w:val="00363CCE"/>
    <w:rsid w:val="00363CFD"/>
    <w:rsid w:val="00363D74"/>
    <w:rsid w:val="00363D9C"/>
    <w:rsid w:val="00363DA5"/>
    <w:rsid w:val="00363DC2"/>
    <w:rsid w:val="00363E07"/>
    <w:rsid w:val="00363E28"/>
    <w:rsid w:val="00363E29"/>
    <w:rsid w:val="00363E2F"/>
    <w:rsid w:val="00363E31"/>
    <w:rsid w:val="00363E79"/>
    <w:rsid w:val="00363E85"/>
    <w:rsid w:val="00363EAB"/>
    <w:rsid w:val="00363EBF"/>
    <w:rsid w:val="00363EC8"/>
    <w:rsid w:val="00363F89"/>
    <w:rsid w:val="00363FA6"/>
    <w:rsid w:val="00363FDB"/>
    <w:rsid w:val="00363FF8"/>
    <w:rsid w:val="0036404C"/>
    <w:rsid w:val="00364106"/>
    <w:rsid w:val="003641D2"/>
    <w:rsid w:val="0036420B"/>
    <w:rsid w:val="003642B8"/>
    <w:rsid w:val="003642D6"/>
    <w:rsid w:val="003642EC"/>
    <w:rsid w:val="003642EF"/>
    <w:rsid w:val="0036438E"/>
    <w:rsid w:val="003643B5"/>
    <w:rsid w:val="003643BD"/>
    <w:rsid w:val="003643D7"/>
    <w:rsid w:val="003643DD"/>
    <w:rsid w:val="003643F6"/>
    <w:rsid w:val="0036443A"/>
    <w:rsid w:val="003644AF"/>
    <w:rsid w:val="003644E1"/>
    <w:rsid w:val="003644FC"/>
    <w:rsid w:val="00364545"/>
    <w:rsid w:val="0036454A"/>
    <w:rsid w:val="003645CD"/>
    <w:rsid w:val="003646B3"/>
    <w:rsid w:val="003646C3"/>
    <w:rsid w:val="00364767"/>
    <w:rsid w:val="00364813"/>
    <w:rsid w:val="003648BE"/>
    <w:rsid w:val="003649B4"/>
    <w:rsid w:val="003649D0"/>
    <w:rsid w:val="00364A19"/>
    <w:rsid w:val="00364A34"/>
    <w:rsid w:val="00364A36"/>
    <w:rsid w:val="00364A3D"/>
    <w:rsid w:val="00364A4F"/>
    <w:rsid w:val="00364A50"/>
    <w:rsid w:val="00364A98"/>
    <w:rsid w:val="00364AF7"/>
    <w:rsid w:val="00364B5A"/>
    <w:rsid w:val="00364BFA"/>
    <w:rsid w:val="00364C05"/>
    <w:rsid w:val="00364C6D"/>
    <w:rsid w:val="00364C8E"/>
    <w:rsid w:val="00364C98"/>
    <w:rsid w:val="00364CB9"/>
    <w:rsid w:val="00364CC5"/>
    <w:rsid w:val="00364D4A"/>
    <w:rsid w:val="00364D88"/>
    <w:rsid w:val="00364D9D"/>
    <w:rsid w:val="00364DD5"/>
    <w:rsid w:val="00364E07"/>
    <w:rsid w:val="00364E51"/>
    <w:rsid w:val="00364EA3"/>
    <w:rsid w:val="00364F4E"/>
    <w:rsid w:val="00364F5A"/>
    <w:rsid w:val="00364F72"/>
    <w:rsid w:val="00364FBA"/>
    <w:rsid w:val="00364FEF"/>
    <w:rsid w:val="0036503D"/>
    <w:rsid w:val="0036505D"/>
    <w:rsid w:val="003650BB"/>
    <w:rsid w:val="003650BC"/>
    <w:rsid w:val="003650E4"/>
    <w:rsid w:val="003650E5"/>
    <w:rsid w:val="00365101"/>
    <w:rsid w:val="00365108"/>
    <w:rsid w:val="00365188"/>
    <w:rsid w:val="00365206"/>
    <w:rsid w:val="0036522F"/>
    <w:rsid w:val="00365244"/>
    <w:rsid w:val="00365258"/>
    <w:rsid w:val="00365283"/>
    <w:rsid w:val="00365293"/>
    <w:rsid w:val="003652B6"/>
    <w:rsid w:val="003652B7"/>
    <w:rsid w:val="003652E4"/>
    <w:rsid w:val="0036538F"/>
    <w:rsid w:val="003653AC"/>
    <w:rsid w:val="00365407"/>
    <w:rsid w:val="00365428"/>
    <w:rsid w:val="0036544B"/>
    <w:rsid w:val="0036546D"/>
    <w:rsid w:val="003654E7"/>
    <w:rsid w:val="00365572"/>
    <w:rsid w:val="00365580"/>
    <w:rsid w:val="00365683"/>
    <w:rsid w:val="003656A9"/>
    <w:rsid w:val="003656EA"/>
    <w:rsid w:val="003656FD"/>
    <w:rsid w:val="00365715"/>
    <w:rsid w:val="00365740"/>
    <w:rsid w:val="00365783"/>
    <w:rsid w:val="003657AB"/>
    <w:rsid w:val="003657AC"/>
    <w:rsid w:val="003657B9"/>
    <w:rsid w:val="003657F7"/>
    <w:rsid w:val="0036586A"/>
    <w:rsid w:val="0036587A"/>
    <w:rsid w:val="003658CD"/>
    <w:rsid w:val="003658EE"/>
    <w:rsid w:val="003658F9"/>
    <w:rsid w:val="00365916"/>
    <w:rsid w:val="00365919"/>
    <w:rsid w:val="00365930"/>
    <w:rsid w:val="00365985"/>
    <w:rsid w:val="0036599B"/>
    <w:rsid w:val="003659B4"/>
    <w:rsid w:val="003659D2"/>
    <w:rsid w:val="00365A8B"/>
    <w:rsid w:val="00365ABD"/>
    <w:rsid w:val="00365B25"/>
    <w:rsid w:val="00365B31"/>
    <w:rsid w:val="00365B4B"/>
    <w:rsid w:val="00365B64"/>
    <w:rsid w:val="00365BBF"/>
    <w:rsid w:val="00365BC2"/>
    <w:rsid w:val="00365BE0"/>
    <w:rsid w:val="00365BE6"/>
    <w:rsid w:val="00365C1C"/>
    <w:rsid w:val="00365C2F"/>
    <w:rsid w:val="00365C35"/>
    <w:rsid w:val="00365C83"/>
    <w:rsid w:val="00365CB0"/>
    <w:rsid w:val="00365CBB"/>
    <w:rsid w:val="00365CBD"/>
    <w:rsid w:val="00365CC9"/>
    <w:rsid w:val="00365D8A"/>
    <w:rsid w:val="00365DED"/>
    <w:rsid w:val="00365E29"/>
    <w:rsid w:val="00365E50"/>
    <w:rsid w:val="00365E61"/>
    <w:rsid w:val="00365E98"/>
    <w:rsid w:val="00365ECD"/>
    <w:rsid w:val="00365ED2"/>
    <w:rsid w:val="00365F37"/>
    <w:rsid w:val="00365F49"/>
    <w:rsid w:val="00365F7C"/>
    <w:rsid w:val="0036603A"/>
    <w:rsid w:val="00366057"/>
    <w:rsid w:val="0036606E"/>
    <w:rsid w:val="0036607A"/>
    <w:rsid w:val="003660A5"/>
    <w:rsid w:val="003660BF"/>
    <w:rsid w:val="00366157"/>
    <w:rsid w:val="00366182"/>
    <w:rsid w:val="00366183"/>
    <w:rsid w:val="003661EF"/>
    <w:rsid w:val="00366212"/>
    <w:rsid w:val="0036626B"/>
    <w:rsid w:val="0036629D"/>
    <w:rsid w:val="003662BB"/>
    <w:rsid w:val="003662F2"/>
    <w:rsid w:val="003662FA"/>
    <w:rsid w:val="003662FB"/>
    <w:rsid w:val="00366351"/>
    <w:rsid w:val="0036635B"/>
    <w:rsid w:val="00366360"/>
    <w:rsid w:val="003663C0"/>
    <w:rsid w:val="00366420"/>
    <w:rsid w:val="00366443"/>
    <w:rsid w:val="00366480"/>
    <w:rsid w:val="003664A3"/>
    <w:rsid w:val="003664CB"/>
    <w:rsid w:val="0036651C"/>
    <w:rsid w:val="00366530"/>
    <w:rsid w:val="003665AB"/>
    <w:rsid w:val="003665C6"/>
    <w:rsid w:val="003665DE"/>
    <w:rsid w:val="00366602"/>
    <w:rsid w:val="00366629"/>
    <w:rsid w:val="00366649"/>
    <w:rsid w:val="00366684"/>
    <w:rsid w:val="00366685"/>
    <w:rsid w:val="003666E4"/>
    <w:rsid w:val="00366708"/>
    <w:rsid w:val="00366725"/>
    <w:rsid w:val="0036672F"/>
    <w:rsid w:val="00366780"/>
    <w:rsid w:val="003667A5"/>
    <w:rsid w:val="003667EC"/>
    <w:rsid w:val="003667F4"/>
    <w:rsid w:val="00366856"/>
    <w:rsid w:val="00366868"/>
    <w:rsid w:val="00366945"/>
    <w:rsid w:val="00366955"/>
    <w:rsid w:val="003669C1"/>
    <w:rsid w:val="003669D8"/>
    <w:rsid w:val="003669E7"/>
    <w:rsid w:val="003669F4"/>
    <w:rsid w:val="003669F6"/>
    <w:rsid w:val="00366A07"/>
    <w:rsid w:val="00366A21"/>
    <w:rsid w:val="00366A6A"/>
    <w:rsid w:val="00366A77"/>
    <w:rsid w:val="00366A9F"/>
    <w:rsid w:val="00366AC8"/>
    <w:rsid w:val="00366ACF"/>
    <w:rsid w:val="00366AD4"/>
    <w:rsid w:val="00366B18"/>
    <w:rsid w:val="00366B1C"/>
    <w:rsid w:val="00366B1D"/>
    <w:rsid w:val="00366B64"/>
    <w:rsid w:val="00366B85"/>
    <w:rsid w:val="00366BA0"/>
    <w:rsid w:val="00366BD2"/>
    <w:rsid w:val="00366BD5"/>
    <w:rsid w:val="00366C1B"/>
    <w:rsid w:val="00366C43"/>
    <w:rsid w:val="00366C64"/>
    <w:rsid w:val="00366CAE"/>
    <w:rsid w:val="00366CF8"/>
    <w:rsid w:val="00366D38"/>
    <w:rsid w:val="00366D3E"/>
    <w:rsid w:val="00366D8E"/>
    <w:rsid w:val="00366D99"/>
    <w:rsid w:val="00366DB2"/>
    <w:rsid w:val="00366DCF"/>
    <w:rsid w:val="00366E1E"/>
    <w:rsid w:val="00366E47"/>
    <w:rsid w:val="00366EDE"/>
    <w:rsid w:val="00366F00"/>
    <w:rsid w:val="00366F0E"/>
    <w:rsid w:val="00366F2B"/>
    <w:rsid w:val="00366F48"/>
    <w:rsid w:val="00366F66"/>
    <w:rsid w:val="00366FBC"/>
    <w:rsid w:val="00366FC0"/>
    <w:rsid w:val="00366FCE"/>
    <w:rsid w:val="00367002"/>
    <w:rsid w:val="0036700D"/>
    <w:rsid w:val="0036704D"/>
    <w:rsid w:val="00367078"/>
    <w:rsid w:val="0036709C"/>
    <w:rsid w:val="00367110"/>
    <w:rsid w:val="00367136"/>
    <w:rsid w:val="00367140"/>
    <w:rsid w:val="00367144"/>
    <w:rsid w:val="00367154"/>
    <w:rsid w:val="00367180"/>
    <w:rsid w:val="003671C1"/>
    <w:rsid w:val="0036722B"/>
    <w:rsid w:val="00367245"/>
    <w:rsid w:val="003672B1"/>
    <w:rsid w:val="003672ED"/>
    <w:rsid w:val="003672F7"/>
    <w:rsid w:val="00367308"/>
    <w:rsid w:val="00367315"/>
    <w:rsid w:val="00367382"/>
    <w:rsid w:val="0036738B"/>
    <w:rsid w:val="003673B1"/>
    <w:rsid w:val="003673CD"/>
    <w:rsid w:val="0036748A"/>
    <w:rsid w:val="003674BC"/>
    <w:rsid w:val="003674F6"/>
    <w:rsid w:val="00367612"/>
    <w:rsid w:val="00367622"/>
    <w:rsid w:val="0036767E"/>
    <w:rsid w:val="003676A6"/>
    <w:rsid w:val="00367705"/>
    <w:rsid w:val="00367706"/>
    <w:rsid w:val="00367709"/>
    <w:rsid w:val="00367759"/>
    <w:rsid w:val="0036776C"/>
    <w:rsid w:val="0036777A"/>
    <w:rsid w:val="00367784"/>
    <w:rsid w:val="0036782C"/>
    <w:rsid w:val="00367830"/>
    <w:rsid w:val="0036783B"/>
    <w:rsid w:val="00367844"/>
    <w:rsid w:val="0036784E"/>
    <w:rsid w:val="0036789D"/>
    <w:rsid w:val="003678A1"/>
    <w:rsid w:val="003678C5"/>
    <w:rsid w:val="00367999"/>
    <w:rsid w:val="0036799B"/>
    <w:rsid w:val="00367A53"/>
    <w:rsid w:val="00367A6E"/>
    <w:rsid w:val="00367A88"/>
    <w:rsid w:val="00367B58"/>
    <w:rsid w:val="00367B61"/>
    <w:rsid w:val="00367B67"/>
    <w:rsid w:val="00367B74"/>
    <w:rsid w:val="00367BA6"/>
    <w:rsid w:val="00367BAF"/>
    <w:rsid w:val="00367BDB"/>
    <w:rsid w:val="00367C42"/>
    <w:rsid w:val="00367CA5"/>
    <w:rsid w:val="00367CCB"/>
    <w:rsid w:val="00367CE3"/>
    <w:rsid w:val="00367CF6"/>
    <w:rsid w:val="00367D69"/>
    <w:rsid w:val="00367DEC"/>
    <w:rsid w:val="00367DF0"/>
    <w:rsid w:val="00367E1D"/>
    <w:rsid w:val="00367E90"/>
    <w:rsid w:val="00367ED5"/>
    <w:rsid w:val="00367EFE"/>
    <w:rsid w:val="00367F51"/>
    <w:rsid w:val="00367F73"/>
    <w:rsid w:val="00367F76"/>
    <w:rsid w:val="00367F7B"/>
    <w:rsid w:val="00367FE1"/>
    <w:rsid w:val="0037004D"/>
    <w:rsid w:val="0037004E"/>
    <w:rsid w:val="0037008E"/>
    <w:rsid w:val="0037009B"/>
    <w:rsid w:val="003700AF"/>
    <w:rsid w:val="00370124"/>
    <w:rsid w:val="003701C9"/>
    <w:rsid w:val="003701E7"/>
    <w:rsid w:val="003701F7"/>
    <w:rsid w:val="003701FE"/>
    <w:rsid w:val="0037020E"/>
    <w:rsid w:val="00370217"/>
    <w:rsid w:val="003702E0"/>
    <w:rsid w:val="003702F3"/>
    <w:rsid w:val="00370318"/>
    <w:rsid w:val="0037033A"/>
    <w:rsid w:val="0037038A"/>
    <w:rsid w:val="003703A3"/>
    <w:rsid w:val="003703BE"/>
    <w:rsid w:val="00370409"/>
    <w:rsid w:val="00370464"/>
    <w:rsid w:val="0037047C"/>
    <w:rsid w:val="0037047E"/>
    <w:rsid w:val="003704FC"/>
    <w:rsid w:val="00370504"/>
    <w:rsid w:val="0037050B"/>
    <w:rsid w:val="0037050F"/>
    <w:rsid w:val="00370528"/>
    <w:rsid w:val="00370551"/>
    <w:rsid w:val="0037057B"/>
    <w:rsid w:val="00370605"/>
    <w:rsid w:val="00370699"/>
    <w:rsid w:val="003706DD"/>
    <w:rsid w:val="00370867"/>
    <w:rsid w:val="00370894"/>
    <w:rsid w:val="0037091D"/>
    <w:rsid w:val="0037091E"/>
    <w:rsid w:val="00370941"/>
    <w:rsid w:val="0037095A"/>
    <w:rsid w:val="003709AD"/>
    <w:rsid w:val="00370A61"/>
    <w:rsid w:val="00370A7E"/>
    <w:rsid w:val="00370ABB"/>
    <w:rsid w:val="00370B1C"/>
    <w:rsid w:val="00370C2A"/>
    <w:rsid w:val="00370CA5"/>
    <w:rsid w:val="00370CA6"/>
    <w:rsid w:val="00370CCD"/>
    <w:rsid w:val="00370CD5"/>
    <w:rsid w:val="00370CDF"/>
    <w:rsid w:val="00370D5F"/>
    <w:rsid w:val="00370D6A"/>
    <w:rsid w:val="00370D6C"/>
    <w:rsid w:val="00370DC1"/>
    <w:rsid w:val="00370DC5"/>
    <w:rsid w:val="00370DD9"/>
    <w:rsid w:val="00370E2D"/>
    <w:rsid w:val="00370E39"/>
    <w:rsid w:val="00370E6B"/>
    <w:rsid w:val="00370E8C"/>
    <w:rsid w:val="00370F0A"/>
    <w:rsid w:val="00370FA9"/>
    <w:rsid w:val="00370FD3"/>
    <w:rsid w:val="003710A1"/>
    <w:rsid w:val="0037111E"/>
    <w:rsid w:val="0037114D"/>
    <w:rsid w:val="00371197"/>
    <w:rsid w:val="003711C9"/>
    <w:rsid w:val="00371235"/>
    <w:rsid w:val="00371244"/>
    <w:rsid w:val="003712B5"/>
    <w:rsid w:val="003712CE"/>
    <w:rsid w:val="003712D2"/>
    <w:rsid w:val="00371320"/>
    <w:rsid w:val="0037132F"/>
    <w:rsid w:val="0037134D"/>
    <w:rsid w:val="003713D7"/>
    <w:rsid w:val="0037143A"/>
    <w:rsid w:val="003714A0"/>
    <w:rsid w:val="003714AD"/>
    <w:rsid w:val="003714F2"/>
    <w:rsid w:val="003714FD"/>
    <w:rsid w:val="00371528"/>
    <w:rsid w:val="00371558"/>
    <w:rsid w:val="003715B1"/>
    <w:rsid w:val="0037160A"/>
    <w:rsid w:val="0037161C"/>
    <w:rsid w:val="00371658"/>
    <w:rsid w:val="003716A1"/>
    <w:rsid w:val="003716F0"/>
    <w:rsid w:val="0037171C"/>
    <w:rsid w:val="00371731"/>
    <w:rsid w:val="0037173B"/>
    <w:rsid w:val="003717EC"/>
    <w:rsid w:val="00371818"/>
    <w:rsid w:val="00371942"/>
    <w:rsid w:val="0037198A"/>
    <w:rsid w:val="003719A5"/>
    <w:rsid w:val="003719E1"/>
    <w:rsid w:val="00371A08"/>
    <w:rsid w:val="00371A39"/>
    <w:rsid w:val="00371A64"/>
    <w:rsid w:val="00371A8B"/>
    <w:rsid w:val="00371AA4"/>
    <w:rsid w:val="00371AA9"/>
    <w:rsid w:val="00371ACD"/>
    <w:rsid w:val="00371AFC"/>
    <w:rsid w:val="00371B7C"/>
    <w:rsid w:val="00371B86"/>
    <w:rsid w:val="00371B99"/>
    <w:rsid w:val="00371B9E"/>
    <w:rsid w:val="00371BB4"/>
    <w:rsid w:val="00371C02"/>
    <w:rsid w:val="00371C15"/>
    <w:rsid w:val="00371C39"/>
    <w:rsid w:val="00371C48"/>
    <w:rsid w:val="00371C4E"/>
    <w:rsid w:val="00371C6A"/>
    <w:rsid w:val="00371C79"/>
    <w:rsid w:val="00371C81"/>
    <w:rsid w:val="00371CA2"/>
    <w:rsid w:val="00371D26"/>
    <w:rsid w:val="00371D48"/>
    <w:rsid w:val="00371D6D"/>
    <w:rsid w:val="00371D7C"/>
    <w:rsid w:val="00371DB8"/>
    <w:rsid w:val="00371DE8"/>
    <w:rsid w:val="00371E17"/>
    <w:rsid w:val="00371E2B"/>
    <w:rsid w:val="00371E2E"/>
    <w:rsid w:val="00371E6A"/>
    <w:rsid w:val="00371E75"/>
    <w:rsid w:val="00371E8A"/>
    <w:rsid w:val="00371EC6"/>
    <w:rsid w:val="00371ECD"/>
    <w:rsid w:val="00371ED9"/>
    <w:rsid w:val="00371FAA"/>
    <w:rsid w:val="00371FAE"/>
    <w:rsid w:val="00371FB5"/>
    <w:rsid w:val="00371FB8"/>
    <w:rsid w:val="00371FDE"/>
    <w:rsid w:val="0037201A"/>
    <w:rsid w:val="00372057"/>
    <w:rsid w:val="0037210B"/>
    <w:rsid w:val="0037210D"/>
    <w:rsid w:val="00372119"/>
    <w:rsid w:val="0037213C"/>
    <w:rsid w:val="0037216B"/>
    <w:rsid w:val="003721B8"/>
    <w:rsid w:val="003721D2"/>
    <w:rsid w:val="003721EA"/>
    <w:rsid w:val="003721F5"/>
    <w:rsid w:val="00372212"/>
    <w:rsid w:val="00372223"/>
    <w:rsid w:val="003722D5"/>
    <w:rsid w:val="003722FB"/>
    <w:rsid w:val="00372318"/>
    <w:rsid w:val="0037231D"/>
    <w:rsid w:val="00372329"/>
    <w:rsid w:val="00372384"/>
    <w:rsid w:val="00372420"/>
    <w:rsid w:val="00372427"/>
    <w:rsid w:val="003724A7"/>
    <w:rsid w:val="003724BA"/>
    <w:rsid w:val="003724EA"/>
    <w:rsid w:val="0037251D"/>
    <w:rsid w:val="00372522"/>
    <w:rsid w:val="003725AC"/>
    <w:rsid w:val="003725DF"/>
    <w:rsid w:val="00372602"/>
    <w:rsid w:val="00372661"/>
    <w:rsid w:val="003726AC"/>
    <w:rsid w:val="003726B9"/>
    <w:rsid w:val="003726F7"/>
    <w:rsid w:val="0037271E"/>
    <w:rsid w:val="00372730"/>
    <w:rsid w:val="00372739"/>
    <w:rsid w:val="0037280D"/>
    <w:rsid w:val="00372872"/>
    <w:rsid w:val="00372879"/>
    <w:rsid w:val="00372946"/>
    <w:rsid w:val="003729C1"/>
    <w:rsid w:val="003729E9"/>
    <w:rsid w:val="003729FF"/>
    <w:rsid w:val="00372A2D"/>
    <w:rsid w:val="00372A31"/>
    <w:rsid w:val="00372A3A"/>
    <w:rsid w:val="00372A67"/>
    <w:rsid w:val="00372AB9"/>
    <w:rsid w:val="00372AE0"/>
    <w:rsid w:val="00372AE9"/>
    <w:rsid w:val="00372B1D"/>
    <w:rsid w:val="00372B66"/>
    <w:rsid w:val="00372B72"/>
    <w:rsid w:val="00372BB8"/>
    <w:rsid w:val="00372BF8"/>
    <w:rsid w:val="00372BFB"/>
    <w:rsid w:val="00372C5F"/>
    <w:rsid w:val="00372C87"/>
    <w:rsid w:val="00372C90"/>
    <w:rsid w:val="00372CA6"/>
    <w:rsid w:val="00372CAA"/>
    <w:rsid w:val="00372D02"/>
    <w:rsid w:val="00372D1F"/>
    <w:rsid w:val="00372D55"/>
    <w:rsid w:val="00372D6A"/>
    <w:rsid w:val="00372DA3"/>
    <w:rsid w:val="00372DD0"/>
    <w:rsid w:val="00372E29"/>
    <w:rsid w:val="00372E78"/>
    <w:rsid w:val="00372E82"/>
    <w:rsid w:val="00372EB1"/>
    <w:rsid w:val="00372EB4"/>
    <w:rsid w:val="00372EBC"/>
    <w:rsid w:val="00372EC4"/>
    <w:rsid w:val="00372EDA"/>
    <w:rsid w:val="00372EDD"/>
    <w:rsid w:val="00372EE7"/>
    <w:rsid w:val="00372F03"/>
    <w:rsid w:val="00372F16"/>
    <w:rsid w:val="00372F3D"/>
    <w:rsid w:val="00372F45"/>
    <w:rsid w:val="00372F66"/>
    <w:rsid w:val="00372F6A"/>
    <w:rsid w:val="00372FF4"/>
    <w:rsid w:val="00373019"/>
    <w:rsid w:val="00373020"/>
    <w:rsid w:val="0037305F"/>
    <w:rsid w:val="00373089"/>
    <w:rsid w:val="003730B5"/>
    <w:rsid w:val="003730EC"/>
    <w:rsid w:val="0037311B"/>
    <w:rsid w:val="0037314C"/>
    <w:rsid w:val="00373183"/>
    <w:rsid w:val="00373219"/>
    <w:rsid w:val="0037322A"/>
    <w:rsid w:val="00373265"/>
    <w:rsid w:val="003732B9"/>
    <w:rsid w:val="0037339D"/>
    <w:rsid w:val="003733BC"/>
    <w:rsid w:val="003733D0"/>
    <w:rsid w:val="003733F6"/>
    <w:rsid w:val="00373431"/>
    <w:rsid w:val="00373468"/>
    <w:rsid w:val="003734A1"/>
    <w:rsid w:val="003734DD"/>
    <w:rsid w:val="003734EF"/>
    <w:rsid w:val="00373527"/>
    <w:rsid w:val="00373556"/>
    <w:rsid w:val="00373558"/>
    <w:rsid w:val="0037356D"/>
    <w:rsid w:val="0037358F"/>
    <w:rsid w:val="0037361D"/>
    <w:rsid w:val="00373645"/>
    <w:rsid w:val="003736A4"/>
    <w:rsid w:val="003736F6"/>
    <w:rsid w:val="003736FC"/>
    <w:rsid w:val="00373728"/>
    <w:rsid w:val="0037378F"/>
    <w:rsid w:val="00373799"/>
    <w:rsid w:val="003737C9"/>
    <w:rsid w:val="00373829"/>
    <w:rsid w:val="00373856"/>
    <w:rsid w:val="00373864"/>
    <w:rsid w:val="0037389A"/>
    <w:rsid w:val="003738C2"/>
    <w:rsid w:val="00373936"/>
    <w:rsid w:val="00373943"/>
    <w:rsid w:val="0037394F"/>
    <w:rsid w:val="00373970"/>
    <w:rsid w:val="0037398A"/>
    <w:rsid w:val="00373997"/>
    <w:rsid w:val="003739D2"/>
    <w:rsid w:val="00373A19"/>
    <w:rsid w:val="00373A1F"/>
    <w:rsid w:val="00373AB9"/>
    <w:rsid w:val="00373ACE"/>
    <w:rsid w:val="00373AEE"/>
    <w:rsid w:val="00373B22"/>
    <w:rsid w:val="00373B3F"/>
    <w:rsid w:val="00373B4E"/>
    <w:rsid w:val="00373B66"/>
    <w:rsid w:val="00373B6A"/>
    <w:rsid w:val="00373BAB"/>
    <w:rsid w:val="00373BC4"/>
    <w:rsid w:val="00373BEE"/>
    <w:rsid w:val="00373BFE"/>
    <w:rsid w:val="00373C33"/>
    <w:rsid w:val="00373C8D"/>
    <w:rsid w:val="00373D0C"/>
    <w:rsid w:val="00373D23"/>
    <w:rsid w:val="00373DB5"/>
    <w:rsid w:val="00373DB9"/>
    <w:rsid w:val="00373DD2"/>
    <w:rsid w:val="00373DDD"/>
    <w:rsid w:val="00373E0E"/>
    <w:rsid w:val="00373E6F"/>
    <w:rsid w:val="00373E79"/>
    <w:rsid w:val="00373E82"/>
    <w:rsid w:val="00373E9A"/>
    <w:rsid w:val="00373EBE"/>
    <w:rsid w:val="00373F10"/>
    <w:rsid w:val="00373F3C"/>
    <w:rsid w:val="00373F89"/>
    <w:rsid w:val="00373F93"/>
    <w:rsid w:val="00373F9A"/>
    <w:rsid w:val="00373FD3"/>
    <w:rsid w:val="00373FD9"/>
    <w:rsid w:val="00373FE9"/>
    <w:rsid w:val="00373FF1"/>
    <w:rsid w:val="0037400D"/>
    <w:rsid w:val="00374045"/>
    <w:rsid w:val="00374070"/>
    <w:rsid w:val="003740B1"/>
    <w:rsid w:val="0037415A"/>
    <w:rsid w:val="003741AC"/>
    <w:rsid w:val="003741D8"/>
    <w:rsid w:val="003741FE"/>
    <w:rsid w:val="00374211"/>
    <w:rsid w:val="00374217"/>
    <w:rsid w:val="003742DA"/>
    <w:rsid w:val="003742E4"/>
    <w:rsid w:val="0037433F"/>
    <w:rsid w:val="0037434D"/>
    <w:rsid w:val="00374355"/>
    <w:rsid w:val="0037436D"/>
    <w:rsid w:val="00374371"/>
    <w:rsid w:val="00374389"/>
    <w:rsid w:val="003743D1"/>
    <w:rsid w:val="00374411"/>
    <w:rsid w:val="00374422"/>
    <w:rsid w:val="00374424"/>
    <w:rsid w:val="00374444"/>
    <w:rsid w:val="0037444D"/>
    <w:rsid w:val="00374493"/>
    <w:rsid w:val="003744C6"/>
    <w:rsid w:val="003744DA"/>
    <w:rsid w:val="003744E0"/>
    <w:rsid w:val="0037450E"/>
    <w:rsid w:val="00374566"/>
    <w:rsid w:val="00374572"/>
    <w:rsid w:val="0037457A"/>
    <w:rsid w:val="003745A3"/>
    <w:rsid w:val="003745C5"/>
    <w:rsid w:val="003745E1"/>
    <w:rsid w:val="0037465A"/>
    <w:rsid w:val="003746BB"/>
    <w:rsid w:val="00374740"/>
    <w:rsid w:val="0037476E"/>
    <w:rsid w:val="003747B2"/>
    <w:rsid w:val="00374815"/>
    <w:rsid w:val="0037481C"/>
    <w:rsid w:val="00374845"/>
    <w:rsid w:val="00374894"/>
    <w:rsid w:val="0037489A"/>
    <w:rsid w:val="003748DC"/>
    <w:rsid w:val="00374938"/>
    <w:rsid w:val="0037493F"/>
    <w:rsid w:val="0037495D"/>
    <w:rsid w:val="0037497F"/>
    <w:rsid w:val="00374987"/>
    <w:rsid w:val="0037498C"/>
    <w:rsid w:val="0037498E"/>
    <w:rsid w:val="003749D5"/>
    <w:rsid w:val="00374A15"/>
    <w:rsid w:val="00374A2A"/>
    <w:rsid w:val="00374A61"/>
    <w:rsid w:val="00374AE2"/>
    <w:rsid w:val="00374B73"/>
    <w:rsid w:val="00374B74"/>
    <w:rsid w:val="00374B8D"/>
    <w:rsid w:val="00374C0A"/>
    <w:rsid w:val="00374C75"/>
    <w:rsid w:val="00374C99"/>
    <w:rsid w:val="00374CCC"/>
    <w:rsid w:val="00374D61"/>
    <w:rsid w:val="00374D9A"/>
    <w:rsid w:val="00374D9B"/>
    <w:rsid w:val="00374E18"/>
    <w:rsid w:val="00374E29"/>
    <w:rsid w:val="00374E3B"/>
    <w:rsid w:val="00374E3E"/>
    <w:rsid w:val="00374E74"/>
    <w:rsid w:val="00374E9F"/>
    <w:rsid w:val="00374EF2"/>
    <w:rsid w:val="00374FA6"/>
    <w:rsid w:val="00374FA9"/>
    <w:rsid w:val="00374FAD"/>
    <w:rsid w:val="00375011"/>
    <w:rsid w:val="0037502A"/>
    <w:rsid w:val="00375031"/>
    <w:rsid w:val="003750A6"/>
    <w:rsid w:val="0037513F"/>
    <w:rsid w:val="00375198"/>
    <w:rsid w:val="003751BD"/>
    <w:rsid w:val="003751EC"/>
    <w:rsid w:val="003751F4"/>
    <w:rsid w:val="00375264"/>
    <w:rsid w:val="00375304"/>
    <w:rsid w:val="00375338"/>
    <w:rsid w:val="0037545B"/>
    <w:rsid w:val="00375469"/>
    <w:rsid w:val="0037547B"/>
    <w:rsid w:val="003754E7"/>
    <w:rsid w:val="00375540"/>
    <w:rsid w:val="00375568"/>
    <w:rsid w:val="0037559C"/>
    <w:rsid w:val="003755AB"/>
    <w:rsid w:val="003755BF"/>
    <w:rsid w:val="003755D2"/>
    <w:rsid w:val="0037564F"/>
    <w:rsid w:val="00375665"/>
    <w:rsid w:val="003756CE"/>
    <w:rsid w:val="003756D1"/>
    <w:rsid w:val="0037579E"/>
    <w:rsid w:val="003757DA"/>
    <w:rsid w:val="0037581C"/>
    <w:rsid w:val="00375827"/>
    <w:rsid w:val="0037582C"/>
    <w:rsid w:val="0037587F"/>
    <w:rsid w:val="003758D5"/>
    <w:rsid w:val="00375982"/>
    <w:rsid w:val="003759AB"/>
    <w:rsid w:val="003759E9"/>
    <w:rsid w:val="003759F0"/>
    <w:rsid w:val="00375A3F"/>
    <w:rsid w:val="00375A67"/>
    <w:rsid w:val="00375AB4"/>
    <w:rsid w:val="00375AE8"/>
    <w:rsid w:val="00375B43"/>
    <w:rsid w:val="00375B48"/>
    <w:rsid w:val="00375B51"/>
    <w:rsid w:val="00375B93"/>
    <w:rsid w:val="00375BA5"/>
    <w:rsid w:val="00375BB8"/>
    <w:rsid w:val="00375BEA"/>
    <w:rsid w:val="00375BEB"/>
    <w:rsid w:val="00375BF3"/>
    <w:rsid w:val="00375C4E"/>
    <w:rsid w:val="00375C59"/>
    <w:rsid w:val="00375C70"/>
    <w:rsid w:val="00375CBA"/>
    <w:rsid w:val="00375CD1"/>
    <w:rsid w:val="00375D80"/>
    <w:rsid w:val="00375DC3"/>
    <w:rsid w:val="00375DD6"/>
    <w:rsid w:val="00375DEF"/>
    <w:rsid w:val="00375E1E"/>
    <w:rsid w:val="00375E2F"/>
    <w:rsid w:val="00375E38"/>
    <w:rsid w:val="00375EBF"/>
    <w:rsid w:val="00375EF2"/>
    <w:rsid w:val="00375F61"/>
    <w:rsid w:val="00375F85"/>
    <w:rsid w:val="0037600E"/>
    <w:rsid w:val="00376027"/>
    <w:rsid w:val="00376053"/>
    <w:rsid w:val="00376069"/>
    <w:rsid w:val="00376095"/>
    <w:rsid w:val="003760A7"/>
    <w:rsid w:val="003760BA"/>
    <w:rsid w:val="0037610C"/>
    <w:rsid w:val="00376127"/>
    <w:rsid w:val="00376145"/>
    <w:rsid w:val="00376172"/>
    <w:rsid w:val="0037619C"/>
    <w:rsid w:val="00376280"/>
    <w:rsid w:val="003762E7"/>
    <w:rsid w:val="00376321"/>
    <w:rsid w:val="00376338"/>
    <w:rsid w:val="00376353"/>
    <w:rsid w:val="003763BB"/>
    <w:rsid w:val="003763E9"/>
    <w:rsid w:val="00376455"/>
    <w:rsid w:val="00376458"/>
    <w:rsid w:val="00376466"/>
    <w:rsid w:val="00376494"/>
    <w:rsid w:val="0037650E"/>
    <w:rsid w:val="00376571"/>
    <w:rsid w:val="0037658C"/>
    <w:rsid w:val="003765CA"/>
    <w:rsid w:val="0037660A"/>
    <w:rsid w:val="0037661C"/>
    <w:rsid w:val="0037663C"/>
    <w:rsid w:val="0037664B"/>
    <w:rsid w:val="0037667B"/>
    <w:rsid w:val="0037668E"/>
    <w:rsid w:val="003766EE"/>
    <w:rsid w:val="003766F1"/>
    <w:rsid w:val="00376719"/>
    <w:rsid w:val="0037673D"/>
    <w:rsid w:val="003767B1"/>
    <w:rsid w:val="003767BD"/>
    <w:rsid w:val="003767C4"/>
    <w:rsid w:val="003767F0"/>
    <w:rsid w:val="003767F3"/>
    <w:rsid w:val="00376803"/>
    <w:rsid w:val="00376828"/>
    <w:rsid w:val="0037684A"/>
    <w:rsid w:val="0037685C"/>
    <w:rsid w:val="00376866"/>
    <w:rsid w:val="00376917"/>
    <w:rsid w:val="0037695E"/>
    <w:rsid w:val="00376A03"/>
    <w:rsid w:val="00376A0F"/>
    <w:rsid w:val="00376A28"/>
    <w:rsid w:val="00376A43"/>
    <w:rsid w:val="00376A5C"/>
    <w:rsid w:val="00376ABA"/>
    <w:rsid w:val="00376AE9"/>
    <w:rsid w:val="00376AEC"/>
    <w:rsid w:val="00376AF7"/>
    <w:rsid w:val="00376B01"/>
    <w:rsid w:val="00376B1D"/>
    <w:rsid w:val="00376B27"/>
    <w:rsid w:val="00376B4B"/>
    <w:rsid w:val="00376B7A"/>
    <w:rsid w:val="00376BB4"/>
    <w:rsid w:val="00376BF7"/>
    <w:rsid w:val="00376C95"/>
    <w:rsid w:val="00376CF0"/>
    <w:rsid w:val="00376D05"/>
    <w:rsid w:val="00376D49"/>
    <w:rsid w:val="00376D60"/>
    <w:rsid w:val="00376E5C"/>
    <w:rsid w:val="00376E75"/>
    <w:rsid w:val="00376E80"/>
    <w:rsid w:val="00376EC4"/>
    <w:rsid w:val="00376F42"/>
    <w:rsid w:val="00376F85"/>
    <w:rsid w:val="00376FAF"/>
    <w:rsid w:val="00376FC4"/>
    <w:rsid w:val="00376FCE"/>
    <w:rsid w:val="00376FEF"/>
    <w:rsid w:val="00376FF6"/>
    <w:rsid w:val="0037706E"/>
    <w:rsid w:val="003770D0"/>
    <w:rsid w:val="00377147"/>
    <w:rsid w:val="003771A1"/>
    <w:rsid w:val="003771BB"/>
    <w:rsid w:val="003771EA"/>
    <w:rsid w:val="00377244"/>
    <w:rsid w:val="00377278"/>
    <w:rsid w:val="003772CE"/>
    <w:rsid w:val="003772E8"/>
    <w:rsid w:val="0037730A"/>
    <w:rsid w:val="00377322"/>
    <w:rsid w:val="00377326"/>
    <w:rsid w:val="00377343"/>
    <w:rsid w:val="0037735D"/>
    <w:rsid w:val="0037735E"/>
    <w:rsid w:val="00377375"/>
    <w:rsid w:val="00377386"/>
    <w:rsid w:val="0037740E"/>
    <w:rsid w:val="0037741D"/>
    <w:rsid w:val="00377429"/>
    <w:rsid w:val="0037742C"/>
    <w:rsid w:val="0037744D"/>
    <w:rsid w:val="003774B5"/>
    <w:rsid w:val="003774DF"/>
    <w:rsid w:val="00377520"/>
    <w:rsid w:val="0037752F"/>
    <w:rsid w:val="00377549"/>
    <w:rsid w:val="00377670"/>
    <w:rsid w:val="00377696"/>
    <w:rsid w:val="003776F3"/>
    <w:rsid w:val="00377701"/>
    <w:rsid w:val="0037771F"/>
    <w:rsid w:val="00377737"/>
    <w:rsid w:val="0037774C"/>
    <w:rsid w:val="003777A2"/>
    <w:rsid w:val="00377835"/>
    <w:rsid w:val="0037784F"/>
    <w:rsid w:val="00377855"/>
    <w:rsid w:val="0037785D"/>
    <w:rsid w:val="0037786F"/>
    <w:rsid w:val="00377873"/>
    <w:rsid w:val="00377883"/>
    <w:rsid w:val="003778A2"/>
    <w:rsid w:val="003778F0"/>
    <w:rsid w:val="003779A9"/>
    <w:rsid w:val="003779C2"/>
    <w:rsid w:val="003779F4"/>
    <w:rsid w:val="00377A1A"/>
    <w:rsid w:val="00377A82"/>
    <w:rsid w:val="00377AB8"/>
    <w:rsid w:val="00377AEF"/>
    <w:rsid w:val="00377B0B"/>
    <w:rsid w:val="00377B4A"/>
    <w:rsid w:val="00377B5B"/>
    <w:rsid w:val="00377BB7"/>
    <w:rsid w:val="00377BE5"/>
    <w:rsid w:val="00377C00"/>
    <w:rsid w:val="00377C12"/>
    <w:rsid w:val="00377C13"/>
    <w:rsid w:val="00377C1F"/>
    <w:rsid w:val="00377C2F"/>
    <w:rsid w:val="00377C5A"/>
    <w:rsid w:val="00377CEE"/>
    <w:rsid w:val="00377CFA"/>
    <w:rsid w:val="00377D83"/>
    <w:rsid w:val="00377DFE"/>
    <w:rsid w:val="00377E09"/>
    <w:rsid w:val="00377E0E"/>
    <w:rsid w:val="00377E19"/>
    <w:rsid w:val="00377E28"/>
    <w:rsid w:val="00377EC0"/>
    <w:rsid w:val="00377F4A"/>
    <w:rsid w:val="00377F53"/>
    <w:rsid w:val="00377F9F"/>
    <w:rsid w:val="00377FFC"/>
    <w:rsid w:val="00380033"/>
    <w:rsid w:val="003800C0"/>
    <w:rsid w:val="003800F2"/>
    <w:rsid w:val="00380107"/>
    <w:rsid w:val="0038012C"/>
    <w:rsid w:val="0038013A"/>
    <w:rsid w:val="003801BB"/>
    <w:rsid w:val="00380205"/>
    <w:rsid w:val="0038028A"/>
    <w:rsid w:val="003802ED"/>
    <w:rsid w:val="003802F7"/>
    <w:rsid w:val="00380396"/>
    <w:rsid w:val="003803DF"/>
    <w:rsid w:val="003803E7"/>
    <w:rsid w:val="003803FA"/>
    <w:rsid w:val="0038041C"/>
    <w:rsid w:val="00380443"/>
    <w:rsid w:val="00380478"/>
    <w:rsid w:val="00380486"/>
    <w:rsid w:val="003804AE"/>
    <w:rsid w:val="003804C7"/>
    <w:rsid w:val="003804F7"/>
    <w:rsid w:val="00380536"/>
    <w:rsid w:val="00380537"/>
    <w:rsid w:val="00380563"/>
    <w:rsid w:val="003805C5"/>
    <w:rsid w:val="003805EE"/>
    <w:rsid w:val="00380636"/>
    <w:rsid w:val="00380644"/>
    <w:rsid w:val="00380671"/>
    <w:rsid w:val="003806AB"/>
    <w:rsid w:val="003806E9"/>
    <w:rsid w:val="00380702"/>
    <w:rsid w:val="003807B9"/>
    <w:rsid w:val="00380854"/>
    <w:rsid w:val="00380876"/>
    <w:rsid w:val="0038087F"/>
    <w:rsid w:val="003808A2"/>
    <w:rsid w:val="003808DF"/>
    <w:rsid w:val="00380942"/>
    <w:rsid w:val="0038095A"/>
    <w:rsid w:val="00380969"/>
    <w:rsid w:val="0038097B"/>
    <w:rsid w:val="003809BB"/>
    <w:rsid w:val="00380A32"/>
    <w:rsid w:val="00380A33"/>
    <w:rsid w:val="00380A79"/>
    <w:rsid w:val="00380B60"/>
    <w:rsid w:val="00380B99"/>
    <w:rsid w:val="00380BF2"/>
    <w:rsid w:val="00380C0A"/>
    <w:rsid w:val="00380C5B"/>
    <w:rsid w:val="00380C6A"/>
    <w:rsid w:val="00380CAC"/>
    <w:rsid w:val="00380D00"/>
    <w:rsid w:val="00380D06"/>
    <w:rsid w:val="00380D31"/>
    <w:rsid w:val="00380D73"/>
    <w:rsid w:val="00380DAA"/>
    <w:rsid w:val="00380DF2"/>
    <w:rsid w:val="00380E4D"/>
    <w:rsid w:val="00380E5B"/>
    <w:rsid w:val="00380E5E"/>
    <w:rsid w:val="00380E6A"/>
    <w:rsid w:val="00380E6C"/>
    <w:rsid w:val="00380E6D"/>
    <w:rsid w:val="00380E70"/>
    <w:rsid w:val="00380EFA"/>
    <w:rsid w:val="00380F12"/>
    <w:rsid w:val="00380F5E"/>
    <w:rsid w:val="00380F67"/>
    <w:rsid w:val="00380FCE"/>
    <w:rsid w:val="0038102A"/>
    <w:rsid w:val="00381099"/>
    <w:rsid w:val="003810AA"/>
    <w:rsid w:val="003810C0"/>
    <w:rsid w:val="003810F5"/>
    <w:rsid w:val="00381117"/>
    <w:rsid w:val="00381133"/>
    <w:rsid w:val="00381196"/>
    <w:rsid w:val="003811BD"/>
    <w:rsid w:val="0038127E"/>
    <w:rsid w:val="003812F9"/>
    <w:rsid w:val="003812FB"/>
    <w:rsid w:val="003812FC"/>
    <w:rsid w:val="0038130A"/>
    <w:rsid w:val="00381392"/>
    <w:rsid w:val="00381421"/>
    <w:rsid w:val="0038148D"/>
    <w:rsid w:val="003814A5"/>
    <w:rsid w:val="003814C5"/>
    <w:rsid w:val="003814F4"/>
    <w:rsid w:val="00381503"/>
    <w:rsid w:val="00381583"/>
    <w:rsid w:val="00381593"/>
    <w:rsid w:val="003815C8"/>
    <w:rsid w:val="003815E2"/>
    <w:rsid w:val="0038162C"/>
    <w:rsid w:val="00381637"/>
    <w:rsid w:val="00381652"/>
    <w:rsid w:val="00381676"/>
    <w:rsid w:val="003816EC"/>
    <w:rsid w:val="003816F8"/>
    <w:rsid w:val="00381711"/>
    <w:rsid w:val="0038176E"/>
    <w:rsid w:val="0038178F"/>
    <w:rsid w:val="00381831"/>
    <w:rsid w:val="00381852"/>
    <w:rsid w:val="003818AC"/>
    <w:rsid w:val="003818BB"/>
    <w:rsid w:val="00381910"/>
    <w:rsid w:val="00381941"/>
    <w:rsid w:val="00381950"/>
    <w:rsid w:val="00381965"/>
    <w:rsid w:val="003819E9"/>
    <w:rsid w:val="003819ED"/>
    <w:rsid w:val="00381A74"/>
    <w:rsid w:val="00381AD8"/>
    <w:rsid w:val="00381B7A"/>
    <w:rsid w:val="00381B8B"/>
    <w:rsid w:val="00381BA3"/>
    <w:rsid w:val="00381BC9"/>
    <w:rsid w:val="00381C06"/>
    <w:rsid w:val="00381C0F"/>
    <w:rsid w:val="00381C92"/>
    <w:rsid w:val="00381D0F"/>
    <w:rsid w:val="00381D18"/>
    <w:rsid w:val="00381D3D"/>
    <w:rsid w:val="00381DAB"/>
    <w:rsid w:val="00381DF8"/>
    <w:rsid w:val="00381E29"/>
    <w:rsid w:val="00381E73"/>
    <w:rsid w:val="00381E98"/>
    <w:rsid w:val="00381E9B"/>
    <w:rsid w:val="00381ED3"/>
    <w:rsid w:val="00381ED5"/>
    <w:rsid w:val="00381F03"/>
    <w:rsid w:val="00381F06"/>
    <w:rsid w:val="00381FDC"/>
    <w:rsid w:val="0038203B"/>
    <w:rsid w:val="00382086"/>
    <w:rsid w:val="00382098"/>
    <w:rsid w:val="003820D3"/>
    <w:rsid w:val="0038211D"/>
    <w:rsid w:val="00382152"/>
    <w:rsid w:val="0038222B"/>
    <w:rsid w:val="0038227D"/>
    <w:rsid w:val="00382356"/>
    <w:rsid w:val="00382477"/>
    <w:rsid w:val="003824B7"/>
    <w:rsid w:val="003824BC"/>
    <w:rsid w:val="00382505"/>
    <w:rsid w:val="00382534"/>
    <w:rsid w:val="0038254F"/>
    <w:rsid w:val="00382558"/>
    <w:rsid w:val="0038256A"/>
    <w:rsid w:val="0038257B"/>
    <w:rsid w:val="003825A2"/>
    <w:rsid w:val="003825B9"/>
    <w:rsid w:val="00382612"/>
    <w:rsid w:val="0038264F"/>
    <w:rsid w:val="00382679"/>
    <w:rsid w:val="003826E2"/>
    <w:rsid w:val="00382708"/>
    <w:rsid w:val="00382837"/>
    <w:rsid w:val="00382841"/>
    <w:rsid w:val="00382880"/>
    <w:rsid w:val="003828A1"/>
    <w:rsid w:val="003828A5"/>
    <w:rsid w:val="003828B1"/>
    <w:rsid w:val="003828D5"/>
    <w:rsid w:val="003828DF"/>
    <w:rsid w:val="00382907"/>
    <w:rsid w:val="00382977"/>
    <w:rsid w:val="003829A1"/>
    <w:rsid w:val="003829B6"/>
    <w:rsid w:val="003829BD"/>
    <w:rsid w:val="00382A81"/>
    <w:rsid w:val="00382A8B"/>
    <w:rsid w:val="00382B16"/>
    <w:rsid w:val="00382B6F"/>
    <w:rsid w:val="00382B7C"/>
    <w:rsid w:val="00382B82"/>
    <w:rsid w:val="00382C11"/>
    <w:rsid w:val="00382C20"/>
    <w:rsid w:val="00382C2B"/>
    <w:rsid w:val="00382C3F"/>
    <w:rsid w:val="00382C51"/>
    <w:rsid w:val="00382C58"/>
    <w:rsid w:val="00382C7D"/>
    <w:rsid w:val="00382CB9"/>
    <w:rsid w:val="00382CF1"/>
    <w:rsid w:val="00382D07"/>
    <w:rsid w:val="00382D5A"/>
    <w:rsid w:val="00382DAA"/>
    <w:rsid w:val="00382DC5"/>
    <w:rsid w:val="00382DF0"/>
    <w:rsid w:val="00382EA3"/>
    <w:rsid w:val="00382EA5"/>
    <w:rsid w:val="00382F02"/>
    <w:rsid w:val="00382F1C"/>
    <w:rsid w:val="00382F26"/>
    <w:rsid w:val="00382F42"/>
    <w:rsid w:val="00382F74"/>
    <w:rsid w:val="00382F76"/>
    <w:rsid w:val="0038301A"/>
    <w:rsid w:val="00383021"/>
    <w:rsid w:val="00383037"/>
    <w:rsid w:val="0038307B"/>
    <w:rsid w:val="00383082"/>
    <w:rsid w:val="0038308A"/>
    <w:rsid w:val="00383091"/>
    <w:rsid w:val="00383096"/>
    <w:rsid w:val="0038309F"/>
    <w:rsid w:val="00383120"/>
    <w:rsid w:val="0038318A"/>
    <w:rsid w:val="00383191"/>
    <w:rsid w:val="003831C0"/>
    <w:rsid w:val="003831F3"/>
    <w:rsid w:val="00383369"/>
    <w:rsid w:val="0038336E"/>
    <w:rsid w:val="0038338C"/>
    <w:rsid w:val="003833AB"/>
    <w:rsid w:val="0038340E"/>
    <w:rsid w:val="0038341C"/>
    <w:rsid w:val="0038346C"/>
    <w:rsid w:val="003834B3"/>
    <w:rsid w:val="003834CF"/>
    <w:rsid w:val="003834E2"/>
    <w:rsid w:val="003834F1"/>
    <w:rsid w:val="00383536"/>
    <w:rsid w:val="00383564"/>
    <w:rsid w:val="0038357B"/>
    <w:rsid w:val="00383589"/>
    <w:rsid w:val="003835A5"/>
    <w:rsid w:val="003835B2"/>
    <w:rsid w:val="003835FD"/>
    <w:rsid w:val="00383610"/>
    <w:rsid w:val="00383631"/>
    <w:rsid w:val="0038364C"/>
    <w:rsid w:val="003837A1"/>
    <w:rsid w:val="003837AD"/>
    <w:rsid w:val="003837DF"/>
    <w:rsid w:val="003837FE"/>
    <w:rsid w:val="0038380C"/>
    <w:rsid w:val="0038382A"/>
    <w:rsid w:val="00383877"/>
    <w:rsid w:val="00383880"/>
    <w:rsid w:val="003838A3"/>
    <w:rsid w:val="003838F6"/>
    <w:rsid w:val="00383915"/>
    <w:rsid w:val="0038393A"/>
    <w:rsid w:val="0038397D"/>
    <w:rsid w:val="00383982"/>
    <w:rsid w:val="003839BE"/>
    <w:rsid w:val="00383B5B"/>
    <w:rsid w:val="00383BAC"/>
    <w:rsid w:val="00383BAD"/>
    <w:rsid w:val="00383C13"/>
    <w:rsid w:val="00383C60"/>
    <w:rsid w:val="00383CD4"/>
    <w:rsid w:val="00383CDD"/>
    <w:rsid w:val="00383CF3"/>
    <w:rsid w:val="00383DA9"/>
    <w:rsid w:val="00383DB8"/>
    <w:rsid w:val="00383E07"/>
    <w:rsid w:val="00383E0B"/>
    <w:rsid w:val="00383E17"/>
    <w:rsid w:val="00383E34"/>
    <w:rsid w:val="00383E4E"/>
    <w:rsid w:val="00383E51"/>
    <w:rsid w:val="00383E55"/>
    <w:rsid w:val="00383F93"/>
    <w:rsid w:val="00383FEB"/>
    <w:rsid w:val="00383FFA"/>
    <w:rsid w:val="0038400A"/>
    <w:rsid w:val="00384016"/>
    <w:rsid w:val="003840F3"/>
    <w:rsid w:val="0038410D"/>
    <w:rsid w:val="00384127"/>
    <w:rsid w:val="00384168"/>
    <w:rsid w:val="00384241"/>
    <w:rsid w:val="0038424A"/>
    <w:rsid w:val="00384264"/>
    <w:rsid w:val="0038429F"/>
    <w:rsid w:val="003842AA"/>
    <w:rsid w:val="003842CA"/>
    <w:rsid w:val="00384300"/>
    <w:rsid w:val="00384302"/>
    <w:rsid w:val="00384316"/>
    <w:rsid w:val="0038431A"/>
    <w:rsid w:val="00384343"/>
    <w:rsid w:val="00384359"/>
    <w:rsid w:val="0038438E"/>
    <w:rsid w:val="0038438F"/>
    <w:rsid w:val="003843B9"/>
    <w:rsid w:val="00384476"/>
    <w:rsid w:val="00384480"/>
    <w:rsid w:val="00384481"/>
    <w:rsid w:val="003844A7"/>
    <w:rsid w:val="003844C3"/>
    <w:rsid w:val="003845BE"/>
    <w:rsid w:val="003845CB"/>
    <w:rsid w:val="00384617"/>
    <w:rsid w:val="0038461C"/>
    <w:rsid w:val="0038461F"/>
    <w:rsid w:val="00384648"/>
    <w:rsid w:val="0038464C"/>
    <w:rsid w:val="00384662"/>
    <w:rsid w:val="00384705"/>
    <w:rsid w:val="003847B4"/>
    <w:rsid w:val="00384830"/>
    <w:rsid w:val="00384841"/>
    <w:rsid w:val="0038485B"/>
    <w:rsid w:val="0038486E"/>
    <w:rsid w:val="00384923"/>
    <w:rsid w:val="00384928"/>
    <w:rsid w:val="0038495D"/>
    <w:rsid w:val="0038495F"/>
    <w:rsid w:val="0038496C"/>
    <w:rsid w:val="00384970"/>
    <w:rsid w:val="0038498F"/>
    <w:rsid w:val="003849B9"/>
    <w:rsid w:val="003849D5"/>
    <w:rsid w:val="003849DE"/>
    <w:rsid w:val="003849E2"/>
    <w:rsid w:val="003849E6"/>
    <w:rsid w:val="003849FA"/>
    <w:rsid w:val="00384A09"/>
    <w:rsid w:val="00384A0E"/>
    <w:rsid w:val="00384A9E"/>
    <w:rsid w:val="00384AF3"/>
    <w:rsid w:val="00384B31"/>
    <w:rsid w:val="00384BBD"/>
    <w:rsid w:val="00384C68"/>
    <w:rsid w:val="00384C6B"/>
    <w:rsid w:val="00384C7D"/>
    <w:rsid w:val="00384C94"/>
    <w:rsid w:val="00384CAA"/>
    <w:rsid w:val="00384CB8"/>
    <w:rsid w:val="00384CD7"/>
    <w:rsid w:val="00384CE2"/>
    <w:rsid w:val="00384CF2"/>
    <w:rsid w:val="00384D11"/>
    <w:rsid w:val="00384D78"/>
    <w:rsid w:val="00384D88"/>
    <w:rsid w:val="00384DAF"/>
    <w:rsid w:val="00384DC7"/>
    <w:rsid w:val="00384DD7"/>
    <w:rsid w:val="00384E5E"/>
    <w:rsid w:val="00384E6D"/>
    <w:rsid w:val="00384F10"/>
    <w:rsid w:val="00384F33"/>
    <w:rsid w:val="00384F3C"/>
    <w:rsid w:val="00384FE2"/>
    <w:rsid w:val="00384FF3"/>
    <w:rsid w:val="0038500A"/>
    <w:rsid w:val="00385028"/>
    <w:rsid w:val="00385029"/>
    <w:rsid w:val="00385081"/>
    <w:rsid w:val="003850AB"/>
    <w:rsid w:val="003850D2"/>
    <w:rsid w:val="00385124"/>
    <w:rsid w:val="00385156"/>
    <w:rsid w:val="0038516C"/>
    <w:rsid w:val="00385181"/>
    <w:rsid w:val="003851DC"/>
    <w:rsid w:val="0038524A"/>
    <w:rsid w:val="0038525F"/>
    <w:rsid w:val="003852B5"/>
    <w:rsid w:val="0038533F"/>
    <w:rsid w:val="0038537B"/>
    <w:rsid w:val="003853E1"/>
    <w:rsid w:val="00385406"/>
    <w:rsid w:val="0038540B"/>
    <w:rsid w:val="0038541B"/>
    <w:rsid w:val="0038543F"/>
    <w:rsid w:val="003854BF"/>
    <w:rsid w:val="0038552E"/>
    <w:rsid w:val="00385543"/>
    <w:rsid w:val="00385576"/>
    <w:rsid w:val="003855FC"/>
    <w:rsid w:val="00385600"/>
    <w:rsid w:val="00385634"/>
    <w:rsid w:val="00385645"/>
    <w:rsid w:val="00385694"/>
    <w:rsid w:val="0038570A"/>
    <w:rsid w:val="00385711"/>
    <w:rsid w:val="00385736"/>
    <w:rsid w:val="0038573D"/>
    <w:rsid w:val="0038574F"/>
    <w:rsid w:val="003857A4"/>
    <w:rsid w:val="003857D2"/>
    <w:rsid w:val="003857F2"/>
    <w:rsid w:val="0038581C"/>
    <w:rsid w:val="0038582C"/>
    <w:rsid w:val="00385830"/>
    <w:rsid w:val="00385862"/>
    <w:rsid w:val="0038586C"/>
    <w:rsid w:val="0038587C"/>
    <w:rsid w:val="003858D3"/>
    <w:rsid w:val="003858F0"/>
    <w:rsid w:val="003858FF"/>
    <w:rsid w:val="00385901"/>
    <w:rsid w:val="00385946"/>
    <w:rsid w:val="00385973"/>
    <w:rsid w:val="0038597C"/>
    <w:rsid w:val="0038598C"/>
    <w:rsid w:val="003859D5"/>
    <w:rsid w:val="00385A3B"/>
    <w:rsid w:val="00385A72"/>
    <w:rsid w:val="00385A82"/>
    <w:rsid w:val="00385B44"/>
    <w:rsid w:val="00385B4E"/>
    <w:rsid w:val="00385B89"/>
    <w:rsid w:val="00385C2F"/>
    <w:rsid w:val="00385C38"/>
    <w:rsid w:val="00385C41"/>
    <w:rsid w:val="00385C88"/>
    <w:rsid w:val="00385CD9"/>
    <w:rsid w:val="00385CE8"/>
    <w:rsid w:val="00385D13"/>
    <w:rsid w:val="00385DE6"/>
    <w:rsid w:val="00385DE7"/>
    <w:rsid w:val="00385E12"/>
    <w:rsid w:val="00385E69"/>
    <w:rsid w:val="00385E71"/>
    <w:rsid w:val="00385E89"/>
    <w:rsid w:val="00385EA1"/>
    <w:rsid w:val="00385EA8"/>
    <w:rsid w:val="00385EC8"/>
    <w:rsid w:val="00385EC9"/>
    <w:rsid w:val="00385ECA"/>
    <w:rsid w:val="00385EE6"/>
    <w:rsid w:val="00385F53"/>
    <w:rsid w:val="00385F6B"/>
    <w:rsid w:val="00385FEA"/>
    <w:rsid w:val="00386005"/>
    <w:rsid w:val="0038609F"/>
    <w:rsid w:val="003860FD"/>
    <w:rsid w:val="003860FE"/>
    <w:rsid w:val="0038610A"/>
    <w:rsid w:val="00386149"/>
    <w:rsid w:val="00386171"/>
    <w:rsid w:val="0038617A"/>
    <w:rsid w:val="00386192"/>
    <w:rsid w:val="0038620F"/>
    <w:rsid w:val="0038621F"/>
    <w:rsid w:val="00386236"/>
    <w:rsid w:val="0038624C"/>
    <w:rsid w:val="003862CF"/>
    <w:rsid w:val="003862D0"/>
    <w:rsid w:val="003862DC"/>
    <w:rsid w:val="003862E1"/>
    <w:rsid w:val="003863B2"/>
    <w:rsid w:val="003863EF"/>
    <w:rsid w:val="00386421"/>
    <w:rsid w:val="0038644B"/>
    <w:rsid w:val="00386489"/>
    <w:rsid w:val="003864A8"/>
    <w:rsid w:val="003864AD"/>
    <w:rsid w:val="003864FA"/>
    <w:rsid w:val="00386569"/>
    <w:rsid w:val="003865AC"/>
    <w:rsid w:val="00386630"/>
    <w:rsid w:val="003866B3"/>
    <w:rsid w:val="003866B8"/>
    <w:rsid w:val="003866C5"/>
    <w:rsid w:val="003866E4"/>
    <w:rsid w:val="0038686F"/>
    <w:rsid w:val="00386918"/>
    <w:rsid w:val="00386945"/>
    <w:rsid w:val="00386950"/>
    <w:rsid w:val="00386954"/>
    <w:rsid w:val="00386986"/>
    <w:rsid w:val="003869A4"/>
    <w:rsid w:val="003869E5"/>
    <w:rsid w:val="00386A06"/>
    <w:rsid w:val="00386A26"/>
    <w:rsid w:val="00386A86"/>
    <w:rsid w:val="00386AA0"/>
    <w:rsid w:val="00386AA5"/>
    <w:rsid w:val="00386AEC"/>
    <w:rsid w:val="00386B41"/>
    <w:rsid w:val="00386BB5"/>
    <w:rsid w:val="00386BBA"/>
    <w:rsid w:val="00386BC1"/>
    <w:rsid w:val="00386BF8"/>
    <w:rsid w:val="00386BFB"/>
    <w:rsid w:val="00386C2C"/>
    <w:rsid w:val="00386C2F"/>
    <w:rsid w:val="00386CF5"/>
    <w:rsid w:val="00386D2B"/>
    <w:rsid w:val="00386D7B"/>
    <w:rsid w:val="00386D8B"/>
    <w:rsid w:val="00386DB1"/>
    <w:rsid w:val="00386DB6"/>
    <w:rsid w:val="00386DB7"/>
    <w:rsid w:val="00386DC6"/>
    <w:rsid w:val="00386DDB"/>
    <w:rsid w:val="00386DF0"/>
    <w:rsid w:val="00386E04"/>
    <w:rsid w:val="00386E74"/>
    <w:rsid w:val="00386E8A"/>
    <w:rsid w:val="00386EAF"/>
    <w:rsid w:val="00386ED4"/>
    <w:rsid w:val="00386F01"/>
    <w:rsid w:val="00386F30"/>
    <w:rsid w:val="00387006"/>
    <w:rsid w:val="00387011"/>
    <w:rsid w:val="00387043"/>
    <w:rsid w:val="0038705D"/>
    <w:rsid w:val="00387074"/>
    <w:rsid w:val="00387078"/>
    <w:rsid w:val="00387080"/>
    <w:rsid w:val="00387103"/>
    <w:rsid w:val="00387121"/>
    <w:rsid w:val="0038713C"/>
    <w:rsid w:val="00387149"/>
    <w:rsid w:val="00387160"/>
    <w:rsid w:val="0038716E"/>
    <w:rsid w:val="003872AA"/>
    <w:rsid w:val="003872D1"/>
    <w:rsid w:val="0038736E"/>
    <w:rsid w:val="0038737F"/>
    <w:rsid w:val="00387393"/>
    <w:rsid w:val="003873C6"/>
    <w:rsid w:val="003873D8"/>
    <w:rsid w:val="00387426"/>
    <w:rsid w:val="0038744A"/>
    <w:rsid w:val="00387450"/>
    <w:rsid w:val="00387478"/>
    <w:rsid w:val="003874E5"/>
    <w:rsid w:val="00387549"/>
    <w:rsid w:val="00387552"/>
    <w:rsid w:val="00387578"/>
    <w:rsid w:val="00387588"/>
    <w:rsid w:val="003875F3"/>
    <w:rsid w:val="00387637"/>
    <w:rsid w:val="0038767A"/>
    <w:rsid w:val="003876AB"/>
    <w:rsid w:val="003876E3"/>
    <w:rsid w:val="003876EC"/>
    <w:rsid w:val="003876F4"/>
    <w:rsid w:val="00387701"/>
    <w:rsid w:val="0038775F"/>
    <w:rsid w:val="00387762"/>
    <w:rsid w:val="00387791"/>
    <w:rsid w:val="003877A1"/>
    <w:rsid w:val="003877AB"/>
    <w:rsid w:val="003877B6"/>
    <w:rsid w:val="00387846"/>
    <w:rsid w:val="0038786C"/>
    <w:rsid w:val="00387874"/>
    <w:rsid w:val="003878B6"/>
    <w:rsid w:val="003878BB"/>
    <w:rsid w:val="003878EC"/>
    <w:rsid w:val="00387909"/>
    <w:rsid w:val="00387914"/>
    <w:rsid w:val="00387923"/>
    <w:rsid w:val="003879E7"/>
    <w:rsid w:val="00387A32"/>
    <w:rsid w:val="00387A9E"/>
    <w:rsid w:val="00387A9F"/>
    <w:rsid w:val="00387AF1"/>
    <w:rsid w:val="00387BB6"/>
    <w:rsid w:val="00387BDB"/>
    <w:rsid w:val="00387BEF"/>
    <w:rsid w:val="00387BF8"/>
    <w:rsid w:val="00387C0B"/>
    <w:rsid w:val="00387C43"/>
    <w:rsid w:val="00387C99"/>
    <w:rsid w:val="00387D0A"/>
    <w:rsid w:val="00387D4A"/>
    <w:rsid w:val="00387D51"/>
    <w:rsid w:val="00387D56"/>
    <w:rsid w:val="00387D5B"/>
    <w:rsid w:val="00387DDA"/>
    <w:rsid w:val="00387E03"/>
    <w:rsid w:val="00387E90"/>
    <w:rsid w:val="00387E97"/>
    <w:rsid w:val="00387F09"/>
    <w:rsid w:val="00387FB5"/>
    <w:rsid w:val="00387FD4"/>
    <w:rsid w:val="00390019"/>
    <w:rsid w:val="0039003E"/>
    <w:rsid w:val="003900AF"/>
    <w:rsid w:val="003900BA"/>
    <w:rsid w:val="003900CD"/>
    <w:rsid w:val="003900F3"/>
    <w:rsid w:val="003900F6"/>
    <w:rsid w:val="00390108"/>
    <w:rsid w:val="0039011A"/>
    <w:rsid w:val="00390146"/>
    <w:rsid w:val="0039015B"/>
    <w:rsid w:val="0039017F"/>
    <w:rsid w:val="003901B7"/>
    <w:rsid w:val="003901E4"/>
    <w:rsid w:val="003901FA"/>
    <w:rsid w:val="00390209"/>
    <w:rsid w:val="003902BF"/>
    <w:rsid w:val="003902CE"/>
    <w:rsid w:val="003902D3"/>
    <w:rsid w:val="003902E3"/>
    <w:rsid w:val="00390327"/>
    <w:rsid w:val="0039035A"/>
    <w:rsid w:val="0039037B"/>
    <w:rsid w:val="0039039A"/>
    <w:rsid w:val="003903C1"/>
    <w:rsid w:val="003903E8"/>
    <w:rsid w:val="003903F0"/>
    <w:rsid w:val="00390403"/>
    <w:rsid w:val="00390483"/>
    <w:rsid w:val="003904BF"/>
    <w:rsid w:val="00390528"/>
    <w:rsid w:val="00390563"/>
    <w:rsid w:val="00390593"/>
    <w:rsid w:val="0039067C"/>
    <w:rsid w:val="0039071D"/>
    <w:rsid w:val="00390730"/>
    <w:rsid w:val="00390836"/>
    <w:rsid w:val="0039084D"/>
    <w:rsid w:val="00390869"/>
    <w:rsid w:val="00390893"/>
    <w:rsid w:val="003908DD"/>
    <w:rsid w:val="003908F7"/>
    <w:rsid w:val="0039093D"/>
    <w:rsid w:val="00390999"/>
    <w:rsid w:val="003909B9"/>
    <w:rsid w:val="003909BD"/>
    <w:rsid w:val="00390A48"/>
    <w:rsid w:val="00390ABB"/>
    <w:rsid w:val="00390AF5"/>
    <w:rsid w:val="00390AF6"/>
    <w:rsid w:val="00390B31"/>
    <w:rsid w:val="00390B5F"/>
    <w:rsid w:val="00390B74"/>
    <w:rsid w:val="00390B7B"/>
    <w:rsid w:val="00390BB1"/>
    <w:rsid w:val="00390BC6"/>
    <w:rsid w:val="00390C04"/>
    <w:rsid w:val="00390C29"/>
    <w:rsid w:val="00390C3A"/>
    <w:rsid w:val="00390C80"/>
    <w:rsid w:val="00390CD5"/>
    <w:rsid w:val="00390D30"/>
    <w:rsid w:val="00390D5A"/>
    <w:rsid w:val="00390DBA"/>
    <w:rsid w:val="00390DC8"/>
    <w:rsid w:val="00390DD9"/>
    <w:rsid w:val="00390E4F"/>
    <w:rsid w:val="00390E6A"/>
    <w:rsid w:val="00390ECE"/>
    <w:rsid w:val="00390EE0"/>
    <w:rsid w:val="00390EF6"/>
    <w:rsid w:val="00390F35"/>
    <w:rsid w:val="00390F58"/>
    <w:rsid w:val="00390F79"/>
    <w:rsid w:val="00390F98"/>
    <w:rsid w:val="00390F9F"/>
    <w:rsid w:val="00390FC4"/>
    <w:rsid w:val="00391027"/>
    <w:rsid w:val="00391034"/>
    <w:rsid w:val="00391041"/>
    <w:rsid w:val="00391080"/>
    <w:rsid w:val="003910AC"/>
    <w:rsid w:val="003910BC"/>
    <w:rsid w:val="00391175"/>
    <w:rsid w:val="00391183"/>
    <w:rsid w:val="003911D5"/>
    <w:rsid w:val="003911EE"/>
    <w:rsid w:val="003911F1"/>
    <w:rsid w:val="003911F6"/>
    <w:rsid w:val="0039121A"/>
    <w:rsid w:val="0039123C"/>
    <w:rsid w:val="0039126C"/>
    <w:rsid w:val="003912A8"/>
    <w:rsid w:val="003912CB"/>
    <w:rsid w:val="003913AB"/>
    <w:rsid w:val="003913BA"/>
    <w:rsid w:val="003913E7"/>
    <w:rsid w:val="00391425"/>
    <w:rsid w:val="003914D9"/>
    <w:rsid w:val="003914FE"/>
    <w:rsid w:val="003915AB"/>
    <w:rsid w:val="003915B1"/>
    <w:rsid w:val="003915EE"/>
    <w:rsid w:val="0039163C"/>
    <w:rsid w:val="00391663"/>
    <w:rsid w:val="00391671"/>
    <w:rsid w:val="00391674"/>
    <w:rsid w:val="003916CF"/>
    <w:rsid w:val="00391760"/>
    <w:rsid w:val="00391791"/>
    <w:rsid w:val="00391796"/>
    <w:rsid w:val="003917AF"/>
    <w:rsid w:val="003917EC"/>
    <w:rsid w:val="00391800"/>
    <w:rsid w:val="00391805"/>
    <w:rsid w:val="0039192F"/>
    <w:rsid w:val="003919AC"/>
    <w:rsid w:val="003919CA"/>
    <w:rsid w:val="003919D5"/>
    <w:rsid w:val="00391A7B"/>
    <w:rsid w:val="00391B05"/>
    <w:rsid w:val="00391B58"/>
    <w:rsid w:val="00391B96"/>
    <w:rsid w:val="00391BAC"/>
    <w:rsid w:val="00391BC4"/>
    <w:rsid w:val="00391C04"/>
    <w:rsid w:val="00391C4A"/>
    <w:rsid w:val="00391C67"/>
    <w:rsid w:val="00391CF1"/>
    <w:rsid w:val="00391D05"/>
    <w:rsid w:val="00391D41"/>
    <w:rsid w:val="00391D4C"/>
    <w:rsid w:val="00391D78"/>
    <w:rsid w:val="00391DE8"/>
    <w:rsid w:val="00391DEC"/>
    <w:rsid w:val="00391E0C"/>
    <w:rsid w:val="00391E14"/>
    <w:rsid w:val="00391E66"/>
    <w:rsid w:val="00391EED"/>
    <w:rsid w:val="00391EF3"/>
    <w:rsid w:val="00391F23"/>
    <w:rsid w:val="00391F33"/>
    <w:rsid w:val="00391F54"/>
    <w:rsid w:val="00391F56"/>
    <w:rsid w:val="00391FF7"/>
    <w:rsid w:val="00391FF9"/>
    <w:rsid w:val="0039203E"/>
    <w:rsid w:val="0039207A"/>
    <w:rsid w:val="003920D2"/>
    <w:rsid w:val="00392101"/>
    <w:rsid w:val="0039213B"/>
    <w:rsid w:val="003921E1"/>
    <w:rsid w:val="003921EA"/>
    <w:rsid w:val="0039220F"/>
    <w:rsid w:val="00392212"/>
    <w:rsid w:val="00392250"/>
    <w:rsid w:val="00392270"/>
    <w:rsid w:val="00392305"/>
    <w:rsid w:val="00392307"/>
    <w:rsid w:val="00392319"/>
    <w:rsid w:val="0039232F"/>
    <w:rsid w:val="0039233C"/>
    <w:rsid w:val="00392372"/>
    <w:rsid w:val="003923B0"/>
    <w:rsid w:val="003923ED"/>
    <w:rsid w:val="003923F6"/>
    <w:rsid w:val="003924C0"/>
    <w:rsid w:val="003924C4"/>
    <w:rsid w:val="003924CE"/>
    <w:rsid w:val="003925D7"/>
    <w:rsid w:val="003925F0"/>
    <w:rsid w:val="00392658"/>
    <w:rsid w:val="0039267D"/>
    <w:rsid w:val="003926AA"/>
    <w:rsid w:val="003926AE"/>
    <w:rsid w:val="0039278D"/>
    <w:rsid w:val="003927D4"/>
    <w:rsid w:val="003927D9"/>
    <w:rsid w:val="00392834"/>
    <w:rsid w:val="00392846"/>
    <w:rsid w:val="0039286B"/>
    <w:rsid w:val="003928A7"/>
    <w:rsid w:val="003928BB"/>
    <w:rsid w:val="003928CD"/>
    <w:rsid w:val="00392914"/>
    <w:rsid w:val="00392971"/>
    <w:rsid w:val="003929A3"/>
    <w:rsid w:val="003929A7"/>
    <w:rsid w:val="00392A80"/>
    <w:rsid w:val="00392AAD"/>
    <w:rsid w:val="00392ABD"/>
    <w:rsid w:val="00392AED"/>
    <w:rsid w:val="00392B21"/>
    <w:rsid w:val="00392B23"/>
    <w:rsid w:val="00392B77"/>
    <w:rsid w:val="00392BAD"/>
    <w:rsid w:val="00392BE7"/>
    <w:rsid w:val="00392BEB"/>
    <w:rsid w:val="00392BF6"/>
    <w:rsid w:val="00392D1E"/>
    <w:rsid w:val="00392D5C"/>
    <w:rsid w:val="00392D5D"/>
    <w:rsid w:val="00392DC3"/>
    <w:rsid w:val="00392DC8"/>
    <w:rsid w:val="00392E40"/>
    <w:rsid w:val="00392E71"/>
    <w:rsid w:val="00392E91"/>
    <w:rsid w:val="00392E9E"/>
    <w:rsid w:val="00392ECF"/>
    <w:rsid w:val="00392EFC"/>
    <w:rsid w:val="00392F0A"/>
    <w:rsid w:val="00392F0D"/>
    <w:rsid w:val="00392F11"/>
    <w:rsid w:val="00392FAF"/>
    <w:rsid w:val="00392FD3"/>
    <w:rsid w:val="00393010"/>
    <w:rsid w:val="0039301C"/>
    <w:rsid w:val="00393073"/>
    <w:rsid w:val="00393076"/>
    <w:rsid w:val="0039308C"/>
    <w:rsid w:val="003930BF"/>
    <w:rsid w:val="00393131"/>
    <w:rsid w:val="0039313B"/>
    <w:rsid w:val="00393154"/>
    <w:rsid w:val="003931CE"/>
    <w:rsid w:val="0039324A"/>
    <w:rsid w:val="00393265"/>
    <w:rsid w:val="003932A2"/>
    <w:rsid w:val="0039330D"/>
    <w:rsid w:val="0039330F"/>
    <w:rsid w:val="00393317"/>
    <w:rsid w:val="0039333B"/>
    <w:rsid w:val="00393360"/>
    <w:rsid w:val="0039336E"/>
    <w:rsid w:val="00393374"/>
    <w:rsid w:val="003933A8"/>
    <w:rsid w:val="003933AC"/>
    <w:rsid w:val="0039342A"/>
    <w:rsid w:val="00393440"/>
    <w:rsid w:val="00393485"/>
    <w:rsid w:val="00393489"/>
    <w:rsid w:val="003934BB"/>
    <w:rsid w:val="003934E3"/>
    <w:rsid w:val="0039350C"/>
    <w:rsid w:val="0039352B"/>
    <w:rsid w:val="0039356C"/>
    <w:rsid w:val="003935DF"/>
    <w:rsid w:val="003935EE"/>
    <w:rsid w:val="00393615"/>
    <w:rsid w:val="00393627"/>
    <w:rsid w:val="00393640"/>
    <w:rsid w:val="0039366D"/>
    <w:rsid w:val="00393715"/>
    <w:rsid w:val="00393758"/>
    <w:rsid w:val="0039376F"/>
    <w:rsid w:val="0039379A"/>
    <w:rsid w:val="003937AB"/>
    <w:rsid w:val="003937F6"/>
    <w:rsid w:val="003937F9"/>
    <w:rsid w:val="00393811"/>
    <w:rsid w:val="00393878"/>
    <w:rsid w:val="00393893"/>
    <w:rsid w:val="00393896"/>
    <w:rsid w:val="003938D3"/>
    <w:rsid w:val="003938FA"/>
    <w:rsid w:val="00393915"/>
    <w:rsid w:val="00393961"/>
    <w:rsid w:val="003939BC"/>
    <w:rsid w:val="00393A19"/>
    <w:rsid w:val="00393A1F"/>
    <w:rsid w:val="00393A56"/>
    <w:rsid w:val="00393A85"/>
    <w:rsid w:val="00393A87"/>
    <w:rsid w:val="00393AA0"/>
    <w:rsid w:val="00393AB1"/>
    <w:rsid w:val="00393AFF"/>
    <w:rsid w:val="00393B19"/>
    <w:rsid w:val="00393B28"/>
    <w:rsid w:val="00393B2C"/>
    <w:rsid w:val="00393B73"/>
    <w:rsid w:val="00393B7C"/>
    <w:rsid w:val="00393C25"/>
    <w:rsid w:val="00393C6E"/>
    <w:rsid w:val="00393C8A"/>
    <w:rsid w:val="00393C8E"/>
    <w:rsid w:val="00393D85"/>
    <w:rsid w:val="00393DB5"/>
    <w:rsid w:val="00393E00"/>
    <w:rsid w:val="00393E11"/>
    <w:rsid w:val="00393E21"/>
    <w:rsid w:val="00393E54"/>
    <w:rsid w:val="00393E79"/>
    <w:rsid w:val="00393EC8"/>
    <w:rsid w:val="00393F55"/>
    <w:rsid w:val="00393F69"/>
    <w:rsid w:val="00393FAF"/>
    <w:rsid w:val="00393FD0"/>
    <w:rsid w:val="0039400E"/>
    <w:rsid w:val="00394029"/>
    <w:rsid w:val="0039403D"/>
    <w:rsid w:val="00394050"/>
    <w:rsid w:val="00394075"/>
    <w:rsid w:val="00394076"/>
    <w:rsid w:val="00394088"/>
    <w:rsid w:val="00394092"/>
    <w:rsid w:val="003940FF"/>
    <w:rsid w:val="0039411A"/>
    <w:rsid w:val="00394176"/>
    <w:rsid w:val="003941E0"/>
    <w:rsid w:val="0039423C"/>
    <w:rsid w:val="00394287"/>
    <w:rsid w:val="0039428E"/>
    <w:rsid w:val="003942AB"/>
    <w:rsid w:val="003942C4"/>
    <w:rsid w:val="003942D0"/>
    <w:rsid w:val="00394303"/>
    <w:rsid w:val="00394310"/>
    <w:rsid w:val="00394324"/>
    <w:rsid w:val="00394392"/>
    <w:rsid w:val="00394428"/>
    <w:rsid w:val="00394442"/>
    <w:rsid w:val="00394482"/>
    <w:rsid w:val="0039448D"/>
    <w:rsid w:val="003944B0"/>
    <w:rsid w:val="003944C6"/>
    <w:rsid w:val="00394585"/>
    <w:rsid w:val="003945BF"/>
    <w:rsid w:val="0039462A"/>
    <w:rsid w:val="00394653"/>
    <w:rsid w:val="003946BA"/>
    <w:rsid w:val="00394711"/>
    <w:rsid w:val="00394712"/>
    <w:rsid w:val="003947A7"/>
    <w:rsid w:val="003947C3"/>
    <w:rsid w:val="003947F9"/>
    <w:rsid w:val="0039484A"/>
    <w:rsid w:val="00394855"/>
    <w:rsid w:val="0039486B"/>
    <w:rsid w:val="00394874"/>
    <w:rsid w:val="003948B3"/>
    <w:rsid w:val="003948FE"/>
    <w:rsid w:val="0039492C"/>
    <w:rsid w:val="00394957"/>
    <w:rsid w:val="00394962"/>
    <w:rsid w:val="00394995"/>
    <w:rsid w:val="003949BE"/>
    <w:rsid w:val="003949F5"/>
    <w:rsid w:val="00394A03"/>
    <w:rsid w:val="00394A05"/>
    <w:rsid w:val="00394AC1"/>
    <w:rsid w:val="00394ADA"/>
    <w:rsid w:val="00394AF3"/>
    <w:rsid w:val="00394B06"/>
    <w:rsid w:val="00394B1D"/>
    <w:rsid w:val="00394B79"/>
    <w:rsid w:val="00394C21"/>
    <w:rsid w:val="00394C42"/>
    <w:rsid w:val="00394C9E"/>
    <w:rsid w:val="00394CC1"/>
    <w:rsid w:val="00394D2F"/>
    <w:rsid w:val="00394DB7"/>
    <w:rsid w:val="00394DD4"/>
    <w:rsid w:val="00394DEA"/>
    <w:rsid w:val="00394E98"/>
    <w:rsid w:val="00394EEB"/>
    <w:rsid w:val="00394F5E"/>
    <w:rsid w:val="00394F82"/>
    <w:rsid w:val="00394FD1"/>
    <w:rsid w:val="00395002"/>
    <w:rsid w:val="0039505E"/>
    <w:rsid w:val="00395070"/>
    <w:rsid w:val="00395092"/>
    <w:rsid w:val="003950F2"/>
    <w:rsid w:val="00395118"/>
    <w:rsid w:val="00395144"/>
    <w:rsid w:val="00395172"/>
    <w:rsid w:val="003951BA"/>
    <w:rsid w:val="003951CA"/>
    <w:rsid w:val="00395218"/>
    <w:rsid w:val="0039528F"/>
    <w:rsid w:val="0039529B"/>
    <w:rsid w:val="0039529D"/>
    <w:rsid w:val="0039532A"/>
    <w:rsid w:val="00395352"/>
    <w:rsid w:val="00395396"/>
    <w:rsid w:val="0039543E"/>
    <w:rsid w:val="00395492"/>
    <w:rsid w:val="003954E0"/>
    <w:rsid w:val="00395520"/>
    <w:rsid w:val="00395523"/>
    <w:rsid w:val="00395597"/>
    <w:rsid w:val="00395620"/>
    <w:rsid w:val="00395715"/>
    <w:rsid w:val="00395731"/>
    <w:rsid w:val="00395748"/>
    <w:rsid w:val="00395755"/>
    <w:rsid w:val="0039575C"/>
    <w:rsid w:val="00395781"/>
    <w:rsid w:val="003957E3"/>
    <w:rsid w:val="00395802"/>
    <w:rsid w:val="0039584F"/>
    <w:rsid w:val="00395859"/>
    <w:rsid w:val="00395867"/>
    <w:rsid w:val="00395898"/>
    <w:rsid w:val="003958DB"/>
    <w:rsid w:val="00395901"/>
    <w:rsid w:val="00395911"/>
    <w:rsid w:val="0039592C"/>
    <w:rsid w:val="0039598C"/>
    <w:rsid w:val="003959A2"/>
    <w:rsid w:val="003959AB"/>
    <w:rsid w:val="003959C2"/>
    <w:rsid w:val="003959C3"/>
    <w:rsid w:val="003959E8"/>
    <w:rsid w:val="003959ED"/>
    <w:rsid w:val="00395A11"/>
    <w:rsid w:val="00395A41"/>
    <w:rsid w:val="00395B24"/>
    <w:rsid w:val="00395B3D"/>
    <w:rsid w:val="00395B65"/>
    <w:rsid w:val="00395B6C"/>
    <w:rsid w:val="00395B8F"/>
    <w:rsid w:val="00395C81"/>
    <w:rsid w:val="00395CC8"/>
    <w:rsid w:val="00395D6B"/>
    <w:rsid w:val="00395D7E"/>
    <w:rsid w:val="00395DE2"/>
    <w:rsid w:val="00395E18"/>
    <w:rsid w:val="00395EBE"/>
    <w:rsid w:val="00395EE5"/>
    <w:rsid w:val="00395F31"/>
    <w:rsid w:val="00395F36"/>
    <w:rsid w:val="00395F42"/>
    <w:rsid w:val="00395F73"/>
    <w:rsid w:val="00395F98"/>
    <w:rsid w:val="00395FAD"/>
    <w:rsid w:val="00395FF3"/>
    <w:rsid w:val="0039601A"/>
    <w:rsid w:val="0039604E"/>
    <w:rsid w:val="0039607C"/>
    <w:rsid w:val="00396108"/>
    <w:rsid w:val="00396142"/>
    <w:rsid w:val="00396144"/>
    <w:rsid w:val="003961B4"/>
    <w:rsid w:val="0039620B"/>
    <w:rsid w:val="0039623A"/>
    <w:rsid w:val="0039623E"/>
    <w:rsid w:val="0039623F"/>
    <w:rsid w:val="00396247"/>
    <w:rsid w:val="003962B4"/>
    <w:rsid w:val="003962DF"/>
    <w:rsid w:val="00396301"/>
    <w:rsid w:val="0039630F"/>
    <w:rsid w:val="0039632C"/>
    <w:rsid w:val="00396339"/>
    <w:rsid w:val="0039634C"/>
    <w:rsid w:val="0039637B"/>
    <w:rsid w:val="0039638D"/>
    <w:rsid w:val="00396391"/>
    <w:rsid w:val="00396409"/>
    <w:rsid w:val="0039640D"/>
    <w:rsid w:val="00396465"/>
    <w:rsid w:val="003964A2"/>
    <w:rsid w:val="003964FC"/>
    <w:rsid w:val="00396561"/>
    <w:rsid w:val="0039656B"/>
    <w:rsid w:val="003965D2"/>
    <w:rsid w:val="003965D3"/>
    <w:rsid w:val="00396629"/>
    <w:rsid w:val="003966A5"/>
    <w:rsid w:val="003966BB"/>
    <w:rsid w:val="0039676D"/>
    <w:rsid w:val="0039677F"/>
    <w:rsid w:val="003968B9"/>
    <w:rsid w:val="003968CC"/>
    <w:rsid w:val="003968CE"/>
    <w:rsid w:val="003968D2"/>
    <w:rsid w:val="00396930"/>
    <w:rsid w:val="00396945"/>
    <w:rsid w:val="00396946"/>
    <w:rsid w:val="0039694D"/>
    <w:rsid w:val="00396968"/>
    <w:rsid w:val="003969EC"/>
    <w:rsid w:val="00396B0B"/>
    <w:rsid w:val="00396B48"/>
    <w:rsid w:val="00396B58"/>
    <w:rsid w:val="00396BD3"/>
    <w:rsid w:val="00396CAA"/>
    <w:rsid w:val="00396DAC"/>
    <w:rsid w:val="00396DDB"/>
    <w:rsid w:val="00396DE4"/>
    <w:rsid w:val="00396E3C"/>
    <w:rsid w:val="00396E53"/>
    <w:rsid w:val="00396E68"/>
    <w:rsid w:val="00396EFD"/>
    <w:rsid w:val="00396F02"/>
    <w:rsid w:val="00396F2C"/>
    <w:rsid w:val="00396F85"/>
    <w:rsid w:val="00396F87"/>
    <w:rsid w:val="00396FB7"/>
    <w:rsid w:val="00396FE3"/>
    <w:rsid w:val="0039701B"/>
    <w:rsid w:val="003970CE"/>
    <w:rsid w:val="00397142"/>
    <w:rsid w:val="003971A2"/>
    <w:rsid w:val="003971E3"/>
    <w:rsid w:val="003971FA"/>
    <w:rsid w:val="0039720E"/>
    <w:rsid w:val="00397247"/>
    <w:rsid w:val="00397254"/>
    <w:rsid w:val="00397270"/>
    <w:rsid w:val="00397272"/>
    <w:rsid w:val="00397307"/>
    <w:rsid w:val="00397362"/>
    <w:rsid w:val="0039736B"/>
    <w:rsid w:val="00397396"/>
    <w:rsid w:val="003973CF"/>
    <w:rsid w:val="00397445"/>
    <w:rsid w:val="0039744F"/>
    <w:rsid w:val="00397482"/>
    <w:rsid w:val="003974FB"/>
    <w:rsid w:val="00397521"/>
    <w:rsid w:val="0039753E"/>
    <w:rsid w:val="0039754D"/>
    <w:rsid w:val="003975BB"/>
    <w:rsid w:val="003975ED"/>
    <w:rsid w:val="003975FD"/>
    <w:rsid w:val="0039763E"/>
    <w:rsid w:val="00397660"/>
    <w:rsid w:val="003976B5"/>
    <w:rsid w:val="003976D2"/>
    <w:rsid w:val="003976E1"/>
    <w:rsid w:val="0039772F"/>
    <w:rsid w:val="00397758"/>
    <w:rsid w:val="0039776C"/>
    <w:rsid w:val="00397782"/>
    <w:rsid w:val="003977C1"/>
    <w:rsid w:val="003977D4"/>
    <w:rsid w:val="003977D8"/>
    <w:rsid w:val="003977E5"/>
    <w:rsid w:val="003977EE"/>
    <w:rsid w:val="00397823"/>
    <w:rsid w:val="0039783B"/>
    <w:rsid w:val="003978C3"/>
    <w:rsid w:val="00397908"/>
    <w:rsid w:val="00397937"/>
    <w:rsid w:val="00397971"/>
    <w:rsid w:val="0039799C"/>
    <w:rsid w:val="003979B7"/>
    <w:rsid w:val="003979E4"/>
    <w:rsid w:val="00397A24"/>
    <w:rsid w:val="00397AE3"/>
    <w:rsid w:val="00397B00"/>
    <w:rsid w:val="00397B19"/>
    <w:rsid w:val="00397B4B"/>
    <w:rsid w:val="00397BFB"/>
    <w:rsid w:val="00397BFD"/>
    <w:rsid w:val="00397C12"/>
    <w:rsid w:val="00397D1D"/>
    <w:rsid w:val="00397D39"/>
    <w:rsid w:val="00397D8C"/>
    <w:rsid w:val="00397D96"/>
    <w:rsid w:val="00397DA1"/>
    <w:rsid w:val="00397E06"/>
    <w:rsid w:val="00397E83"/>
    <w:rsid w:val="00397EF8"/>
    <w:rsid w:val="00397F1F"/>
    <w:rsid w:val="00397F3F"/>
    <w:rsid w:val="00397F43"/>
    <w:rsid w:val="00397F8C"/>
    <w:rsid w:val="003A001D"/>
    <w:rsid w:val="003A0022"/>
    <w:rsid w:val="003A002F"/>
    <w:rsid w:val="003A00BA"/>
    <w:rsid w:val="003A00BD"/>
    <w:rsid w:val="003A00D9"/>
    <w:rsid w:val="003A0110"/>
    <w:rsid w:val="003A011F"/>
    <w:rsid w:val="003A017C"/>
    <w:rsid w:val="003A018A"/>
    <w:rsid w:val="003A018C"/>
    <w:rsid w:val="003A020E"/>
    <w:rsid w:val="003A0300"/>
    <w:rsid w:val="003A0309"/>
    <w:rsid w:val="003A03A2"/>
    <w:rsid w:val="003A03C1"/>
    <w:rsid w:val="003A04B3"/>
    <w:rsid w:val="003A04B6"/>
    <w:rsid w:val="003A04FA"/>
    <w:rsid w:val="003A0531"/>
    <w:rsid w:val="003A0590"/>
    <w:rsid w:val="003A05FB"/>
    <w:rsid w:val="003A0637"/>
    <w:rsid w:val="003A06BA"/>
    <w:rsid w:val="003A06E1"/>
    <w:rsid w:val="003A0703"/>
    <w:rsid w:val="003A0756"/>
    <w:rsid w:val="003A0757"/>
    <w:rsid w:val="003A0764"/>
    <w:rsid w:val="003A078B"/>
    <w:rsid w:val="003A07B2"/>
    <w:rsid w:val="003A0815"/>
    <w:rsid w:val="003A086C"/>
    <w:rsid w:val="003A086E"/>
    <w:rsid w:val="003A0879"/>
    <w:rsid w:val="003A08A9"/>
    <w:rsid w:val="003A08D1"/>
    <w:rsid w:val="003A08DB"/>
    <w:rsid w:val="003A0936"/>
    <w:rsid w:val="003A094A"/>
    <w:rsid w:val="003A0991"/>
    <w:rsid w:val="003A0998"/>
    <w:rsid w:val="003A09A2"/>
    <w:rsid w:val="003A09E2"/>
    <w:rsid w:val="003A0A4D"/>
    <w:rsid w:val="003A0A9E"/>
    <w:rsid w:val="003A0ACC"/>
    <w:rsid w:val="003A0AF4"/>
    <w:rsid w:val="003A0B0F"/>
    <w:rsid w:val="003A0B14"/>
    <w:rsid w:val="003A0B3F"/>
    <w:rsid w:val="003A0B41"/>
    <w:rsid w:val="003A0B5D"/>
    <w:rsid w:val="003A0B6E"/>
    <w:rsid w:val="003A0BCF"/>
    <w:rsid w:val="003A0BD8"/>
    <w:rsid w:val="003A0BFC"/>
    <w:rsid w:val="003A0C17"/>
    <w:rsid w:val="003A0C2E"/>
    <w:rsid w:val="003A0C39"/>
    <w:rsid w:val="003A0C6B"/>
    <w:rsid w:val="003A0C7F"/>
    <w:rsid w:val="003A0CDA"/>
    <w:rsid w:val="003A0D1F"/>
    <w:rsid w:val="003A0D95"/>
    <w:rsid w:val="003A0D9D"/>
    <w:rsid w:val="003A0DA1"/>
    <w:rsid w:val="003A0DD7"/>
    <w:rsid w:val="003A0E9B"/>
    <w:rsid w:val="003A0ECC"/>
    <w:rsid w:val="003A0EFD"/>
    <w:rsid w:val="003A0F40"/>
    <w:rsid w:val="003A0F62"/>
    <w:rsid w:val="003A0F6B"/>
    <w:rsid w:val="003A0F8D"/>
    <w:rsid w:val="003A0FB5"/>
    <w:rsid w:val="003A0FB8"/>
    <w:rsid w:val="003A0FF4"/>
    <w:rsid w:val="003A100B"/>
    <w:rsid w:val="003A1020"/>
    <w:rsid w:val="003A105B"/>
    <w:rsid w:val="003A1067"/>
    <w:rsid w:val="003A109E"/>
    <w:rsid w:val="003A10CE"/>
    <w:rsid w:val="003A10FE"/>
    <w:rsid w:val="003A1101"/>
    <w:rsid w:val="003A1148"/>
    <w:rsid w:val="003A1169"/>
    <w:rsid w:val="003A119D"/>
    <w:rsid w:val="003A11B3"/>
    <w:rsid w:val="003A11C1"/>
    <w:rsid w:val="003A11E8"/>
    <w:rsid w:val="003A1355"/>
    <w:rsid w:val="003A1363"/>
    <w:rsid w:val="003A1398"/>
    <w:rsid w:val="003A13A2"/>
    <w:rsid w:val="003A13EE"/>
    <w:rsid w:val="003A1410"/>
    <w:rsid w:val="003A141A"/>
    <w:rsid w:val="003A14E9"/>
    <w:rsid w:val="003A150B"/>
    <w:rsid w:val="003A1564"/>
    <w:rsid w:val="003A15C6"/>
    <w:rsid w:val="003A15E5"/>
    <w:rsid w:val="003A15F4"/>
    <w:rsid w:val="003A162A"/>
    <w:rsid w:val="003A162D"/>
    <w:rsid w:val="003A165E"/>
    <w:rsid w:val="003A167B"/>
    <w:rsid w:val="003A16A6"/>
    <w:rsid w:val="003A16DA"/>
    <w:rsid w:val="003A171A"/>
    <w:rsid w:val="003A1772"/>
    <w:rsid w:val="003A178A"/>
    <w:rsid w:val="003A17C7"/>
    <w:rsid w:val="003A17EB"/>
    <w:rsid w:val="003A17EC"/>
    <w:rsid w:val="003A180B"/>
    <w:rsid w:val="003A181C"/>
    <w:rsid w:val="003A18AF"/>
    <w:rsid w:val="003A1916"/>
    <w:rsid w:val="003A19E0"/>
    <w:rsid w:val="003A1A03"/>
    <w:rsid w:val="003A1A08"/>
    <w:rsid w:val="003A1A6A"/>
    <w:rsid w:val="003A1A79"/>
    <w:rsid w:val="003A1AA7"/>
    <w:rsid w:val="003A1AD0"/>
    <w:rsid w:val="003A1AE9"/>
    <w:rsid w:val="003A1AF4"/>
    <w:rsid w:val="003A1B24"/>
    <w:rsid w:val="003A1B93"/>
    <w:rsid w:val="003A1C60"/>
    <w:rsid w:val="003A1CB0"/>
    <w:rsid w:val="003A1CBC"/>
    <w:rsid w:val="003A1D11"/>
    <w:rsid w:val="003A1D13"/>
    <w:rsid w:val="003A1D17"/>
    <w:rsid w:val="003A1D2C"/>
    <w:rsid w:val="003A1D33"/>
    <w:rsid w:val="003A1D5A"/>
    <w:rsid w:val="003A1DCB"/>
    <w:rsid w:val="003A1E7D"/>
    <w:rsid w:val="003A1E8C"/>
    <w:rsid w:val="003A1E9D"/>
    <w:rsid w:val="003A1EA3"/>
    <w:rsid w:val="003A1EED"/>
    <w:rsid w:val="003A1F26"/>
    <w:rsid w:val="003A1F36"/>
    <w:rsid w:val="003A1F60"/>
    <w:rsid w:val="003A1F77"/>
    <w:rsid w:val="003A1FE6"/>
    <w:rsid w:val="003A201A"/>
    <w:rsid w:val="003A20D3"/>
    <w:rsid w:val="003A2109"/>
    <w:rsid w:val="003A2144"/>
    <w:rsid w:val="003A2145"/>
    <w:rsid w:val="003A214F"/>
    <w:rsid w:val="003A217F"/>
    <w:rsid w:val="003A21AE"/>
    <w:rsid w:val="003A21E8"/>
    <w:rsid w:val="003A2232"/>
    <w:rsid w:val="003A2261"/>
    <w:rsid w:val="003A2276"/>
    <w:rsid w:val="003A228D"/>
    <w:rsid w:val="003A22B1"/>
    <w:rsid w:val="003A22B5"/>
    <w:rsid w:val="003A22C2"/>
    <w:rsid w:val="003A2354"/>
    <w:rsid w:val="003A2358"/>
    <w:rsid w:val="003A2386"/>
    <w:rsid w:val="003A241A"/>
    <w:rsid w:val="003A2436"/>
    <w:rsid w:val="003A246A"/>
    <w:rsid w:val="003A2481"/>
    <w:rsid w:val="003A24B5"/>
    <w:rsid w:val="003A24D5"/>
    <w:rsid w:val="003A24EF"/>
    <w:rsid w:val="003A2503"/>
    <w:rsid w:val="003A2534"/>
    <w:rsid w:val="003A2565"/>
    <w:rsid w:val="003A256D"/>
    <w:rsid w:val="003A259A"/>
    <w:rsid w:val="003A25B5"/>
    <w:rsid w:val="003A25E1"/>
    <w:rsid w:val="003A262F"/>
    <w:rsid w:val="003A2633"/>
    <w:rsid w:val="003A267B"/>
    <w:rsid w:val="003A26EF"/>
    <w:rsid w:val="003A27C2"/>
    <w:rsid w:val="003A2868"/>
    <w:rsid w:val="003A28C1"/>
    <w:rsid w:val="003A2911"/>
    <w:rsid w:val="003A2947"/>
    <w:rsid w:val="003A2970"/>
    <w:rsid w:val="003A2A00"/>
    <w:rsid w:val="003A2A23"/>
    <w:rsid w:val="003A2A57"/>
    <w:rsid w:val="003A2A7C"/>
    <w:rsid w:val="003A2A92"/>
    <w:rsid w:val="003A2ACB"/>
    <w:rsid w:val="003A2AD0"/>
    <w:rsid w:val="003A2AE2"/>
    <w:rsid w:val="003A2B14"/>
    <w:rsid w:val="003A2B60"/>
    <w:rsid w:val="003A2B7E"/>
    <w:rsid w:val="003A2BCD"/>
    <w:rsid w:val="003A2C01"/>
    <w:rsid w:val="003A2C05"/>
    <w:rsid w:val="003A2C57"/>
    <w:rsid w:val="003A2CA4"/>
    <w:rsid w:val="003A2CFA"/>
    <w:rsid w:val="003A2D64"/>
    <w:rsid w:val="003A2DF7"/>
    <w:rsid w:val="003A2E0A"/>
    <w:rsid w:val="003A2E28"/>
    <w:rsid w:val="003A2E2B"/>
    <w:rsid w:val="003A2E2F"/>
    <w:rsid w:val="003A2E30"/>
    <w:rsid w:val="003A2E3D"/>
    <w:rsid w:val="003A2EE9"/>
    <w:rsid w:val="003A2F3D"/>
    <w:rsid w:val="003A2F62"/>
    <w:rsid w:val="003A2F77"/>
    <w:rsid w:val="003A3001"/>
    <w:rsid w:val="003A305D"/>
    <w:rsid w:val="003A3096"/>
    <w:rsid w:val="003A31A9"/>
    <w:rsid w:val="003A31E7"/>
    <w:rsid w:val="003A3200"/>
    <w:rsid w:val="003A3257"/>
    <w:rsid w:val="003A328B"/>
    <w:rsid w:val="003A32B4"/>
    <w:rsid w:val="003A32D8"/>
    <w:rsid w:val="003A32E5"/>
    <w:rsid w:val="003A3304"/>
    <w:rsid w:val="003A330B"/>
    <w:rsid w:val="003A330C"/>
    <w:rsid w:val="003A3344"/>
    <w:rsid w:val="003A3365"/>
    <w:rsid w:val="003A339C"/>
    <w:rsid w:val="003A33B1"/>
    <w:rsid w:val="003A33B5"/>
    <w:rsid w:val="003A33E1"/>
    <w:rsid w:val="003A341F"/>
    <w:rsid w:val="003A3497"/>
    <w:rsid w:val="003A350B"/>
    <w:rsid w:val="003A3518"/>
    <w:rsid w:val="003A353A"/>
    <w:rsid w:val="003A3561"/>
    <w:rsid w:val="003A358D"/>
    <w:rsid w:val="003A35C5"/>
    <w:rsid w:val="003A35DA"/>
    <w:rsid w:val="003A3608"/>
    <w:rsid w:val="003A3612"/>
    <w:rsid w:val="003A3634"/>
    <w:rsid w:val="003A365E"/>
    <w:rsid w:val="003A3684"/>
    <w:rsid w:val="003A36A0"/>
    <w:rsid w:val="003A36A2"/>
    <w:rsid w:val="003A36C4"/>
    <w:rsid w:val="003A36C8"/>
    <w:rsid w:val="003A3809"/>
    <w:rsid w:val="003A3880"/>
    <w:rsid w:val="003A38D2"/>
    <w:rsid w:val="003A38D7"/>
    <w:rsid w:val="003A38FE"/>
    <w:rsid w:val="003A390F"/>
    <w:rsid w:val="003A3990"/>
    <w:rsid w:val="003A3997"/>
    <w:rsid w:val="003A39B7"/>
    <w:rsid w:val="003A39BA"/>
    <w:rsid w:val="003A3A25"/>
    <w:rsid w:val="003A3A2D"/>
    <w:rsid w:val="003A3A66"/>
    <w:rsid w:val="003A3ABD"/>
    <w:rsid w:val="003A3ADC"/>
    <w:rsid w:val="003A3B43"/>
    <w:rsid w:val="003A3B62"/>
    <w:rsid w:val="003A3B63"/>
    <w:rsid w:val="003A3B73"/>
    <w:rsid w:val="003A3B9A"/>
    <w:rsid w:val="003A3BAA"/>
    <w:rsid w:val="003A3BDF"/>
    <w:rsid w:val="003A3BFB"/>
    <w:rsid w:val="003A3C6E"/>
    <w:rsid w:val="003A3C7E"/>
    <w:rsid w:val="003A3CBB"/>
    <w:rsid w:val="003A3CCC"/>
    <w:rsid w:val="003A3CE2"/>
    <w:rsid w:val="003A3CFD"/>
    <w:rsid w:val="003A3D24"/>
    <w:rsid w:val="003A3D2B"/>
    <w:rsid w:val="003A3D3F"/>
    <w:rsid w:val="003A3D44"/>
    <w:rsid w:val="003A3D4C"/>
    <w:rsid w:val="003A3D5F"/>
    <w:rsid w:val="003A3D72"/>
    <w:rsid w:val="003A3D7B"/>
    <w:rsid w:val="003A3DF8"/>
    <w:rsid w:val="003A3E77"/>
    <w:rsid w:val="003A3E8B"/>
    <w:rsid w:val="003A3ED5"/>
    <w:rsid w:val="003A3EE4"/>
    <w:rsid w:val="003A3EFE"/>
    <w:rsid w:val="003A3F3F"/>
    <w:rsid w:val="003A3F7A"/>
    <w:rsid w:val="003A4001"/>
    <w:rsid w:val="003A4086"/>
    <w:rsid w:val="003A40B8"/>
    <w:rsid w:val="003A40BB"/>
    <w:rsid w:val="003A40CC"/>
    <w:rsid w:val="003A40DC"/>
    <w:rsid w:val="003A40FD"/>
    <w:rsid w:val="003A410D"/>
    <w:rsid w:val="003A4119"/>
    <w:rsid w:val="003A4146"/>
    <w:rsid w:val="003A4154"/>
    <w:rsid w:val="003A4178"/>
    <w:rsid w:val="003A41A6"/>
    <w:rsid w:val="003A41AB"/>
    <w:rsid w:val="003A41B5"/>
    <w:rsid w:val="003A41E0"/>
    <w:rsid w:val="003A41E8"/>
    <w:rsid w:val="003A41FC"/>
    <w:rsid w:val="003A420A"/>
    <w:rsid w:val="003A422D"/>
    <w:rsid w:val="003A429B"/>
    <w:rsid w:val="003A430E"/>
    <w:rsid w:val="003A4432"/>
    <w:rsid w:val="003A4451"/>
    <w:rsid w:val="003A4479"/>
    <w:rsid w:val="003A4483"/>
    <w:rsid w:val="003A4498"/>
    <w:rsid w:val="003A4548"/>
    <w:rsid w:val="003A4588"/>
    <w:rsid w:val="003A4594"/>
    <w:rsid w:val="003A45D8"/>
    <w:rsid w:val="003A45DE"/>
    <w:rsid w:val="003A4623"/>
    <w:rsid w:val="003A466C"/>
    <w:rsid w:val="003A4677"/>
    <w:rsid w:val="003A4697"/>
    <w:rsid w:val="003A46E7"/>
    <w:rsid w:val="003A4734"/>
    <w:rsid w:val="003A473B"/>
    <w:rsid w:val="003A473D"/>
    <w:rsid w:val="003A4749"/>
    <w:rsid w:val="003A4769"/>
    <w:rsid w:val="003A476D"/>
    <w:rsid w:val="003A47B9"/>
    <w:rsid w:val="003A47F7"/>
    <w:rsid w:val="003A4827"/>
    <w:rsid w:val="003A482A"/>
    <w:rsid w:val="003A491C"/>
    <w:rsid w:val="003A4940"/>
    <w:rsid w:val="003A4961"/>
    <w:rsid w:val="003A49B2"/>
    <w:rsid w:val="003A49B9"/>
    <w:rsid w:val="003A49F9"/>
    <w:rsid w:val="003A4A72"/>
    <w:rsid w:val="003A4A89"/>
    <w:rsid w:val="003A4AB9"/>
    <w:rsid w:val="003A4AD2"/>
    <w:rsid w:val="003A4B6D"/>
    <w:rsid w:val="003A4B85"/>
    <w:rsid w:val="003A4C5B"/>
    <w:rsid w:val="003A4C74"/>
    <w:rsid w:val="003A4C97"/>
    <w:rsid w:val="003A4CA6"/>
    <w:rsid w:val="003A4CB8"/>
    <w:rsid w:val="003A4CFF"/>
    <w:rsid w:val="003A4E65"/>
    <w:rsid w:val="003A4EFE"/>
    <w:rsid w:val="003A4F1B"/>
    <w:rsid w:val="003A4F1D"/>
    <w:rsid w:val="003A4F57"/>
    <w:rsid w:val="003A4F69"/>
    <w:rsid w:val="003A4FAF"/>
    <w:rsid w:val="003A4FCC"/>
    <w:rsid w:val="003A500D"/>
    <w:rsid w:val="003A501E"/>
    <w:rsid w:val="003A5052"/>
    <w:rsid w:val="003A5076"/>
    <w:rsid w:val="003A5086"/>
    <w:rsid w:val="003A50DA"/>
    <w:rsid w:val="003A50E9"/>
    <w:rsid w:val="003A5100"/>
    <w:rsid w:val="003A513F"/>
    <w:rsid w:val="003A517E"/>
    <w:rsid w:val="003A51B2"/>
    <w:rsid w:val="003A51F4"/>
    <w:rsid w:val="003A5255"/>
    <w:rsid w:val="003A5271"/>
    <w:rsid w:val="003A5279"/>
    <w:rsid w:val="003A52C7"/>
    <w:rsid w:val="003A52CE"/>
    <w:rsid w:val="003A52DF"/>
    <w:rsid w:val="003A52EA"/>
    <w:rsid w:val="003A533A"/>
    <w:rsid w:val="003A5340"/>
    <w:rsid w:val="003A5370"/>
    <w:rsid w:val="003A538E"/>
    <w:rsid w:val="003A53FD"/>
    <w:rsid w:val="003A53FF"/>
    <w:rsid w:val="003A5406"/>
    <w:rsid w:val="003A5445"/>
    <w:rsid w:val="003A544B"/>
    <w:rsid w:val="003A546F"/>
    <w:rsid w:val="003A5490"/>
    <w:rsid w:val="003A549D"/>
    <w:rsid w:val="003A54C2"/>
    <w:rsid w:val="003A54DF"/>
    <w:rsid w:val="003A5533"/>
    <w:rsid w:val="003A55D4"/>
    <w:rsid w:val="003A55FB"/>
    <w:rsid w:val="003A567A"/>
    <w:rsid w:val="003A56CB"/>
    <w:rsid w:val="003A56FD"/>
    <w:rsid w:val="003A570D"/>
    <w:rsid w:val="003A5737"/>
    <w:rsid w:val="003A5747"/>
    <w:rsid w:val="003A5786"/>
    <w:rsid w:val="003A5817"/>
    <w:rsid w:val="003A58A5"/>
    <w:rsid w:val="003A595E"/>
    <w:rsid w:val="003A595F"/>
    <w:rsid w:val="003A5987"/>
    <w:rsid w:val="003A59B2"/>
    <w:rsid w:val="003A59D4"/>
    <w:rsid w:val="003A5A17"/>
    <w:rsid w:val="003A5A66"/>
    <w:rsid w:val="003A5AD1"/>
    <w:rsid w:val="003A5AEF"/>
    <w:rsid w:val="003A5B04"/>
    <w:rsid w:val="003A5B08"/>
    <w:rsid w:val="003A5B5B"/>
    <w:rsid w:val="003A5B63"/>
    <w:rsid w:val="003A5B91"/>
    <w:rsid w:val="003A5BD2"/>
    <w:rsid w:val="003A5BF6"/>
    <w:rsid w:val="003A5C0C"/>
    <w:rsid w:val="003A5C4B"/>
    <w:rsid w:val="003A5C90"/>
    <w:rsid w:val="003A5CA9"/>
    <w:rsid w:val="003A5CE5"/>
    <w:rsid w:val="003A5DA0"/>
    <w:rsid w:val="003A5DE1"/>
    <w:rsid w:val="003A5DF4"/>
    <w:rsid w:val="003A5E40"/>
    <w:rsid w:val="003A5EB2"/>
    <w:rsid w:val="003A5ED3"/>
    <w:rsid w:val="003A5EF1"/>
    <w:rsid w:val="003A5F5E"/>
    <w:rsid w:val="003A5F70"/>
    <w:rsid w:val="003A5F78"/>
    <w:rsid w:val="003A5F90"/>
    <w:rsid w:val="003A5FCD"/>
    <w:rsid w:val="003A5FD6"/>
    <w:rsid w:val="003A6000"/>
    <w:rsid w:val="003A600F"/>
    <w:rsid w:val="003A602F"/>
    <w:rsid w:val="003A604B"/>
    <w:rsid w:val="003A6052"/>
    <w:rsid w:val="003A60EC"/>
    <w:rsid w:val="003A611C"/>
    <w:rsid w:val="003A6137"/>
    <w:rsid w:val="003A616F"/>
    <w:rsid w:val="003A61A7"/>
    <w:rsid w:val="003A61B3"/>
    <w:rsid w:val="003A61F1"/>
    <w:rsid w:val="003A61FF"/>
    <w:rsid w:val="003A624E"/>
    <w:rsid w:val="003A6292"/>
    <w:rsid w:val="003A62A4"/>
    <w:rsid w:val="003A62D6"/>
    <w:rsid w:val="003A62E3"/>
    <w:rsid w:val="003A6303"/>
    <w:rsid w:val="003A64A4"/>
    <w:rsid w:val="003A6580"/>
    <w:rsid w:val="003A659F"/>
    <w:rsid w:val="003A65C4"/>
    <w:rsid w:val="003A65CC"/>
    <w:rsid w:val="003A65D5"/>
    <w:rsid w:val="003A65FF"/>
    <w:rsid w:val="003A661E"/>
    <w:rsid w:val="003A6636"/>
    <w:rsid w:val="003A6688"/>
    <w:rsid w:val="003A6693"/>
    <w:rsid w:val="003A66D7"/>
    <w:rsid w:val="003A66DC"/>
    <w:rsid w:val="003A66E1"/>
    <w:rsid w:val="003A66E6"/>
    <w:rsid w:val="003A67EE"/>
    <w:rsid w:val="003A6817"/>
    <w:rsid w:val="003A681C"/>
    <w:rsid w:val="003A6829"/>
    <w:rsid w:val="003A685F"/>
    <w:rsid w:val="003A68AC"/>
    <w:rsid w:val="003A68D2"/>
    <w:rsid w:val="003A68FE"/>
    <w:rsid w:val="003A6953"/>
    <w:rsid w:val="003A6A16"/>
    <w:rsid w:val="003A6A23"/>
    <w:rsid w:val="003A6A44"/>
    <w:rsid w:val="003A6A50"/>
    <w:rsid w:val="003A6AF5"/>
    <w:rsid w:val="003A6B34"/>
    <w:rsid w:val="003A6B47"/>
    <w:rsid w:val="003A6B4E"/>
    <w:rsid w:val="003A6B57"/>
    <w:rsid w:val="003A6B9B"/>
    <w:rsid w:val="003A6BCA"/>
    <w:rsid w:val="003A6C14"/>
    <w:rsid w:val="003A6C41"/>
    <w:rsid w:val="003A6CAC"/>
    <w:rsid w:val="003A6CDA"/>
    <w:rsid w:val="003A6CFA"/>
    <w:rsid w:val="003A6D00"/>
    <w:rsid w:val="003A6D15"/>
    <w:rsid w:val="003A6D31"/>
    <w:rsid w:val="003A6DBD"/>
    <w:rsid w:val="003A6DD0"/>
    <w:rsid w:val="003A6E40"/>
    <w:rsid w:val="003A6E46"/>
    <w:rsid w:val="003A6E55"/>
    <w:rsid w:val="003A6E6B"/>
    <w:rsid w:val="003A6E7A"/>
    <w:rsid w:val="003A6EFD"/>
    <w:rsid w:val="003A6F0D"/>
    <w:rsid w:val="003A6F0E"/>
    <w:rsid w:val="003A6F29"/>
    <w:rsid w:val="003A6F3B"/>
    <w:rsid w:val="003A6F8F"/>
    <w:rsid w:val="003A6FDB"/>
    <w:rsid w:val="003A6FF6"/>
    <w:rsid w:val="003A6FF7"/>
    <w:rsid w:val="003A700D"/>
    <w:rsid w:val="003A700E"/>
    <w:rsid w:val="003A708B"/>
    <w:rsid w:val="003A70AE"/>
    <w:rsid w:val="003A70AF"/>
    <w:rsid w:val="003A70C7"/>
    <w:rsid w:val="003A70EE"/>
    <w:rsid w:val="003A70EF"/>
    <w:rsid w:val="003A7159"/>
    <w:rsid w:val="003A716A"/>
    <w:rsid w:val="003A71A0"/>
    <w:rsid w:val="003A71E0"/>
    <w:rsid w:val="003A721A"/>
    <w:rsid w:val="003A724A"/>
    <w:rsid w:val="003A725A"/>
    <w:rsid w:val="003A72BE"/>
    <w:rsid w:val="003A72C7"/>
    <w:rsid w:val="003A730B"/>
    <w:rsid w:val="003A731B"/>
    <w:rsid w:val="003A7361"/>
    <w:rsid w:val="003A7373"/>
    <w:rsid w:val="003A737C"/>
    <w:rsid w:val="003A739F"/>
    <w:rsid w:val="003A740F"/>
    <w:rsid w:val="003A742B"/>
    <w:rsid w:val="003A746C"/>
    <w:rsid w:val="003A7490"/>
    <w:rsid w:val="003A7505"/>
    <w:rsid w:val="003A7510"/>
    <w:rsid w:val="003A7542"/>
    <w:rsid w:val="003A7594"/>
    <w:rsid w:val="003A759D"/>
    <w:rsid w:val="003A75A0"/>
    <w:rsid w:val="003A75B0"/>
    <w:rsid w:val="003A75D2"/>
    <w:rsid w:val="003A75EB"/>
    <w:rsid w:val="003A75F3"/>
    <w:rsid w:val="003A763C"/>
    <w:rsid w:val="003A7645"/>
    <w:rsid w:val="003A769D"/>
    <w:rsid w:val="003A76B5"/>
    <w:rsid w:val="003A76D2"/>
    <w:rsid w:val="003A76E1"/>
    <w:rsid w:val="003A7755"/>
    <w:rsid w:val="003A7759"/>
    <w:rsid w:val="003A77C2"/>
    <w:rsid w:val="003A77DD"/>
    <w:rsid w:val="003A783B"/>
    <w:rsid w:val="003A7848"/>
    <w:rsid w:val="003A7875"/>
    <w:rsid w:val="003A7876"/>
    <w:rsid w:val="003A789A"/>
    <w:rsid w:val="003A78D0"/>
    <w:rsid w:val="003A7905"/>
    <w:rsid w:val="003A7947"/>
    <w:rsid w:val="003A794C"/>
    <w:rsid w:val="003A795C"/>
    <w:rsid w:val="003A797E"/>
    <w:rsid w:val="003A798D"/>
    <w:rsid w:val="003A799B"/>
    <w:rsid w:val="003A79BC"/>
    <w:rsid w:val="003A79DA"/>
    <w:rsid w:val="003A7A41"/>
    <w:rsid w:val="003A7A69"/>
    <w:rsid w:val="003A7A6E"/>
    <w:rsid w:val="003A7A72"/>
    <w:rsid w:val="003A7AA2"/>
    <w:rsid w:val="003A7ABA"/>
    <w:rsid w:val="003A7ABD"/>
    <w:rsid w:val="003A7AE8"/>
    <w:rsid w:val="003A7B6D"/>
    <w:rsid w:val="003A7B7A"/>
    <w:rsid w:val="003A7BA3"/>
    <w:rsid w:val="003A7BC5"/>
    <w:rsid w:val="003A7BCF"/>
    <w:rsid w:val="003A7C2B"/>
    <w:rsid w:val="003A7C8B"/>
    <w:rsid w:val="003A7C9B"/>
    <w:rsid w:val="003A7C9C"/>
    <w:rsid w:val="003A7CA2"/>
    <w:rsid w:val="003A7CD6"/>
    <w:rsid w:val="003A7CE9"/>
    <w:rsid w:val="003A7CF7"/>
    <w:rsid w:val="003A7D15"/>
    <w:rsid w:val="003A7D30"/>
    <w:rsid w:val="003A7D72"/>
    <w:rsid w:val="003A7DBC"/>
    <w:rsid w:val="003A7DE7"/>
    <w:rsid w:val="003A7F63"/>
    <w:rsid w:val="003A7F78"/>
    <w:rsid w:val="003A7FB1"/>
    <w:rsid w:val="003B000E"/>
    <w:rsid w:val="003B0063"/>
    <w:rsid w:val="003B009B"/>
    <w:rsid w:val="003B00A3"/>
    <w:rsid w:val="003B011D"/>
    <w:rsid w:val="003B015F"/>
    <w:rsid w:val="003B0174"/>
    <w:rsid w:val="003B0179"/>
    <w:rsid w:val="003B01DB"/>
    <w:rsid w:val="003B01FC"/>
    <w:rsid w:val="003B0208"/>
    <w:rsid w:val="003B023B"/>
    <w:rsid w:val="003B027F"/>
    <w:rsid w:val="003B028C"/>
    <w:rsid w:val="003B0297"/>
    <w:rsid w:val="003B02AD"/>
    <w:rsid w:val="003B02B6"/>
    <w:rsid w:val="003B02DA"/>
    <w:rsid w:val="003B0300"/>
    <w:rsid w:val="003B030E"/>
    <w:rsid w:val="003B0323"/>
    <w:rsid w:val="003B032A"/>
    <w:rsid w:val="003B0398"/>
    <w:rsid w:val="003B03B7"/>
    <w:rsid w:val="003B0427"/>
    <w:rsid w:val="003B043D"/>
    <w:rsid w:val="003B04C4"/>
    <w:rsid w:val="003B04CD"/>
    <w:rsid w:val="003B04D0"/>
    <w:rsid w:val="003B04DC"/>
    <w:rsid w:val="003B04EC"/>
    <w:rsid w:val="003B04EE"/>
    <w:rsid w:val="003B050D"/>
    <w:rsid w:val="003B0516"/>
    <w:rsid w:val="003B058F"/>
    <w:rsid w:val="003B05A8"/>
    <w:rsid w:val="003B05C7"/>
    <w:rsid w:val="003B05E7"/>
    <w:rsid w:val="003B0611"/>
    <w:rsid w:val="003B0643"/>
    <w:rsid w:val="003B0664"/>
    <w:rsid w:val="003B06CD"/>
    <w:rsid w:val="003B06FC"/>
    <w:rsid w:val="003B0726"/>
    <w:rsid w:val="003B073B"/>
    <w:rsid w:val="003B07C2"/>
    <w:rsid w:val="003B0811"/>
    <w:rsid w:val="003B0838"/>
    <w:rsid w:val="003B083F"/>
    <w:rsid w:val="003B0868"/>
    <w:rsid w:val="003B08F3"/>
    <w:rsid w:val="003B0918"/>
    <w:rsid w:val="003B0995"/>
    <w:rsid w:val="003B09CC"/>
    <w:rsid w:val="003B09EF"/>
    <w:rsid w:val="003B0A65"/>
    <w:rsid w:val="003B0A77"/>
    <w:rsid w:val="003B0AA8"/>
    <w:rsid w:val="003B0AB7"/>
    <w:rsid w:val="003B0AE4"/>
    <w:rsid w:val="003B0B21"/>
    <w:rsid w:val="003B0B4A"/>
    <w:rsid w:val="003B0B5E"/>
    <w:rsid w:val="003B0B8E"/>
    <w:rsid w:val="003B0BB6"/>
    <w:rsid w:val="003B0BD5"/>
    <w:rsid w:val="003B0C2C"/>
    <w:rsid w:val="003B0C48"/>
    <w:rsid w:val="003B0C9C"/>
    <w:rsid w:val="003B0CB7"/>
    <w:rsid w:val="003B0CC4"/>
    <w:rsid w:val="003B0CD7"/>
    <w:rsid w:val="003B0D53"/>
    <w:rsid w:val="003B0D5E"/>
    <w:rsid w:val="003B0D94"/>
    <w:rsid w:val="003B0DB7"/>
    <w:rsid w:val="003B0E16"/>
    <w:rsid w:val="003B0E19"/>
    <w:rsid w:val="003B0E20"/>
    <w:rsid w:val="003B0E31"/>
    <w:rsid w:val="003B0E66"/>
    <w:rsid w:val="003B0E92"/>
    <w:rsid w:val="003B0EA1"/>
    <w:rsid w:val="003B0EE0"/>
    <w:rsid w:val="003B0F47"/>
    <w:rsid w:val="003B0F87"/>
    <w:rsid w:val="003B0FB8"/>
    <w:rsid w:val="003B0FE5"/>
    <w:rsid w:val="003B0FEC"/>
    <w:rsid w:val="003B1009"/>
    <w:rsid w:val="003B108D"/>
    <w:rsid w:val="003B10CB"/>
    <w:rsid w:val="003B10D7"/>
    <w:rsid w:val="003B10EE"/>
    <w:rsid w:val="003B1117"/>
    <w:rsid w:val="003B116D"/>
    <w:rsid w:val="003B1170"/>
    <w:rsid w:val="003B11E5"/>
    <w:rsid w:val="003B120A"/>
    <w:rsid w:val="003B1245"/>
    <w:rsid w:val="003B1266"/>
    <w:rsid w:val="003B12A1"/>
    <w:rsid w:val="003B12D2"/>
    <w:rsid w:val="003B12E5"/>
    <w:rsid w:val="003B1325"/>
    <w:rsid w:val="003B1348"/>
    <w:rsid w:val="003B13C7"/>
    <w:rsid w:val="003B1420"/>
    <w:rsid w:val="003B143D"/>
    <w:rsid w:val="003B146E"/>
    <w:rsid w:val="003B14E1"/>
    <w:rsid w:val="003B14F6"/>
    <w:rsid w:val="003B14FB"/>
    <w:rsid w:val="003B151E"/>
    <w:rsid w:val="003B159D"/>
    <w:rsid w:val="003B15A7"/>
    <w:rsid w:val="003B15A8"/>
    <w:rsid w:val="003B15BA"/>
    <w:rsid w:val="003B15CB"/>
    <w:rsid w:val="003B163E"/>
    <w:rsid w:val="003B167C"/>
    <w:rsid w:val="003B1689"/>
    <w:rsid w:val="003B169D"/>
    <w:rsid w:val="003B169F"/>
    <w:rsid w:val="003B16A1"/>
    <w:rsid w:val="003B172F"/>
    <w:rsid w:val="003B174E"/>
    <w:rsid w:val="003B17BD"/>
    <w:rsid w:val="003B17CC"/>
    <w:rsid w:val="003B1818"/>
    <w:rsid w:val="003B181E"/>
    <w:rsid w:val="003B1837"/>
    <w:rsid w:val="003B183B"/>
    <w:rsid w:val="003B186A"/>
    <w:rsid w:val="003B18A1"/>
    <w:rsid w:val="003B18C6"/>
    <w:rsid w:val="003B18E7"/>
    <w:rsid w:val="003B18F0"/>
    <w:rsid w:val="003B1952"/>
    <w:rsid w:val="003B19D0"/>
    <w:rsid w:val="003B19F7"/>
    <w:rsid w:val="003B19F8"/>
    <w:rsid w:val="003B1A24"/>
    <w:rsid w:val="003B1A27"/>
    <w:rsid w:val="003B1A3C"/>
    <w:rsid w:val="003B1A47"/>
    <w:rsid w:val="003B1A8C"/>
    <w:rsid w:val="003B1B4F"/>
    <w:rsid w:val="003B1C1B"/>
    <w:rsid w:val="003B1C3F"/>
    <w:rsid w:val="003B1C45"/>
    <w:rsid w:val="003B1C46"/>
    <w:rsid w:val="003B1C77"/>
    <w:rsid w:val="003B1C87"/>
    <w:rsid w:val="003B1CFB"/>
    <w:rsid w:val="003B1D2A"/>
    <w:rsid w:val="003B1D36"/>
    <w:rsid w:val="003B1DBA"/>
    <w:rsid w:val="003B1DCB"/>
    <w:rsid w:val="003B1E10"/>
    <w:rsid w:val="003B1E12"/>
    <w:rsid w:val="003B1E14"/>
    <w:rsid w:val="003B1E4D"/>
    <w:rsid w:val="003B1E76"/>
    <w:rsid w:val="003B1E80"/>
    <w:rsid w:val="003B1F2A"/>
    <w:rsid w:val="003B1F4B"/>
    <w:rsid w:val="003B1F4C"/>
    <w:rsid w:val="003B1F63"/>
    <w:rsid w:val="003B1F6C"/>
    <w:rsid w:val="003B1FDA"/>
    <w:rsid w:val="003B1FE8"/>
    <w:rsid w:val="003B20B5"/>
    <w:rsid w:val="003B216D"/>
    <w:rsid w:val="003B216F"/>
    <w:rsid w:val="003B2182"/>
    <w:rsid w:val="003B219D"/>
    <w:rsid w:val="003B21D9"/>
    <w:rsid w:val="003B21F5"/>
    <w:rsid w:val="003B2257"/>
    <w:rsid w:val="003B2275"/>
    <w:rsid w:val="003B2285"/>
    <w:rsid w:val="003B2292"/>
    <w:rsid w:val="003B22CB"/>
    <w:rsid w:val="003B22E5"/>
    <w:rsid w:val="003B2357"/>
    <w:rsid w:val="003B237B"/>
    <w:rsid w:val="003B23DF"/>
    <w:rsid w:val="003B2410"/>
    <w:rsid w:val="003B24B5"/>
    <w:rsid w:val="003B255B"/>
    <w:rsid w:val="003B256A"/>
    <w:rsid w:val="003B25BE"/>
    <w:rsid w:val="003B25CF"/>
    <w:rsid w:val="003B2615"/>
    <w:rsid w:val="003B2621"/>
    <w:rsid w:val="003B2624"/>
    <w:rsid w:val="003B2626"/>
    <w:rsid w:val="003B2639"/>
    <w:rsid w:val="003B2656"/>
    <w:rsid w:val="003B269A"/>
    <w:rsid w:val="003B26CF"/>
    <w:rsid w:val="003B26D1"/>
    <w:rsid w:val="003B26D3"/>
    <w:rsid w:val="003B271D"/>
    <w:rsid w:val="003B277D"/>
    <w:rsid w:val="003B2788"/>
    <w:rsid w:val="003B27B7"/>
    <w:rsid w:val="003B27FF"/>
    <w:rsid w:val="003B2802"/>
    <w:rsid w:val="003B2816"/>
    <w:rsid w:val="003B2866"/>
    <w:rsid w:val="003B28AE"/>
    <w:rsid w:val="003B28C5"/>
    <w:rsid w:val="003B28D2"/>
    <w:rsid w:val="003B28EC"/>
    <w:rsid w:val="003B2917"/>
    <w:rsid w:val="003B2924"/>
    <w:rsid w:val="003B297A"/>
    <w:rsid w:val="003B29AB"/>
    <w:rsid w:val="003B29D9"/>
    <w:rsid w:val="003B2A10"/>
    <w:rsid w:val="003B2A15"/>
    <w:rsid w:val="003B2A1A"/>
    <w:rsid w:val="003B2A59"/>
    <w:rsid w:val="003B2A5F"/>
    <w:rsid w:val="003B2AB0"/>
    <w:rsid w:val="003B2B14"/>
    <w:rsid w:val="003B2B38"/>
    <w:rsid w:val="003B2B56"/>
    <w:rsid w:val="003B2B66"/>
    <w:rsid w:val="003B2B71"/>
    <w:rsid w:val="003B2B7D"/>
    <w:rsid w:val="003B2BB9"/>
    <w:rsid w:val="003B2C25"/>
    <w:rsid w:val="003B2C2F"/>
    <w:rsid w:val="003B2C7B"/>
    <w:rsid w:val="003B2C9C"/>
    <w:rsid w:val="003B2CA0"/>
    <w:rsid w:val="003B2CBE"/>
    <w:rsid w:val="003B2CD1"/>
    <w:rsid w:val="003B2CF4"/>
    <w:rsid w:val="003B2CFC"/>
    <w:rsid w:val="003B2D06"/>
    <w:rsid w:val="003B2D1D"/>
    <w:rsid w:val="003B2D22"/>
    <w:rsid w:val="003B2D69"/>
    <w:rsid w:val="003B2DA0"/>
    <w:rsid w:val="003B2DA6"/>
    <w:rsid w:val="003B2DD8"/>
    <w:rsid w:val="003B2E30"/>
    <w:rsid w:val="003B2EB1"/>
    <w:rsid w:val="003B2EE4"/>
    <w:rsid w:val="003B2EF8"/>
    <w:rsid w:val="003B2F28"/>
    <w:rsid w:val="003B2F74"/>
    <w:rsid w:val="003B2FA4"/>
    <w:rsid w:val="003B2FAE"/>
    <w:rsid w:val="003B2FE5"/>
    <w:rsid w:val="003B2FFB"/>
    <w:rsid w:val="003B3006"/>
    <w:rsid w:val="003B3019"/>
    <w:rsid w:val="003B30E4"/>
    <w:rsid w:val="003B3117"/>
    <w:rsid w:val="003B313A"/>
    <w:rsid w:val="003B3170"/>
    <w:rsid w:val="003B317F"/>
    <w:rsid w:val="003B319A"/>
    <w:rsid w:val="003B31AA"/>
    <w:rsid w:val="003B31EF"/>
    <w:rsid w:val="003B323D"/>
    <w:rsid w:val="003B3257"/>
    <w:rsid w:val="003B32E1"/>
    <w:rsid w:val="003B32FB"/>
    <w:rsid w:val="003B333E"/>
    <w:rsid w:val="003B3351"/>
    <w:rsid w:val="003B3391"/>
    <w:rsid w:val="003B33A8"/>
    <w:rsid w:val="003B33AB"/>
    <w:rsid w:val="003B33B0"/>
    <w:rsid w:val="003B33B1"/>
    <w:rsid w:val="003B33F9"/>
    <w:rsid w:val="003B3404"/>
    <w:rsid w:val="003B3443"/>
    <w:rsid w:val="003B3477"/>
    <w:rsid w:val="003B34A4"/>
    <w:rsid w:val="003B3550"/>
    <w:rsid w:val="003B3580"/>
    <w:rsid w:val="003B3585"/>
    <w:rsid w:val="003B362B"/>
    <w:rsid w:val="003B365A"/>
    <w:rsid w:val="003B3696"/>
    <w:rsid w:val="003B36AD"/>
    <w:rsid w:val="003B36B1"/>
    <w:rsid w:val="003B36F0"/>
    <w:rsid w:val="003B3702"/>
    <w:rsid w:val="003B3724"/>
    <w:rsid w:val="003B372E"/>
    <w:rsid w:val="003B3759"/>
    <w:rsid w:val="003B37DA"/>
    <w:rsid w:val="003B381E"/>
    <w:rsid w:val="003B38A1"/>
    <w:rsid w:val="003B38CA"/>
    <w:rsid w:val="003B390C"/>
    <w:rsid w:val="003B3911"/>
    <w:rsid w:val="003B3927"/>
    <w:rsid w:val="003B392D"/>
    <w:rsid w:val="003B393F"/>
    <w:rsid w:val="003B394E"/>
    <w:rsid w:val="003B3961"/>
    <w:rsid w:val="003B39F4"/>
    <w:rsid w:val="003B3A55"/>
    <w:rsid w:val="003B3A98"/>
    <w:rsid w:val="003B3AC8"/>
    <w:rsid w:val="003B3AD2"/>
    <w:rsid w:val="003B3B63"/>
    <w:rsid w:val="003B3B7E"/>
    <w:rsid w:val="003B3C33"/>
    <w:rsid w:val="003B3C81"/>
    <w:rsid w:val="003B3C9C"/>
    <w:rsid w:val="003B3CAA"/>
    <w:rsid w:val="003B3D0C"/>
    <w:rsid w:val="003B3D5F"/>
    <w:rsid w:val="003B3D77"/>
    <w:rsid w:val="003B3D9B"/>
    <w:rsid w:val="003B3DEB"/>
    <w:rsid w:val="003B3E1C"/>
    <w:rsid w:val="003B3ED5"/>
    <w:rsid w:val="003B3F03"/>
    <w:rsid w:val="003B3F17"/>
    <w:rsid w:val="003B3F39"/>
    <w:rsid w:val="003B3F46"/>
    <w:rsid w:val="003B3F8E"/>
    <w:rsid w:val="003B3FC0"/>
    <w:rsid w:val="003B403B"/>
    <w:rsid w:val="003B409D"/>
    <w:rsid w:val="003B40D4"/>
    <w:rsid w:val="003B40D8"/>
    <w:rsid w:val="003B4110"/>
    <w:rsid w:val="003B4114"/>
    <w:rsid w:val="003B4144"/>
    <w:rsid w:val="003B4155"/>
    <w:rsid w:val="003B415E"/>
    <w:rsid w:val="003B4177"/>
    <w:rsid w:val="003B41E7"/>
    <w:rsid w:val="003B4218"/>
    <w:rsid w:val="003B427B"/>
    <w:rsid w:val="003B4282"/>
    <w:rsid w:val="003B42B4"/>
    <w:rsid w:val="003B4324"/>
    <w:rsid w:val="003B4349"/>
    <w:rsid w:val="003B43EF"/>
    <w:rsid w:val="003B4414"/>
    <w:rsid w:val="003B4436"/>
    <w:rsid w:val="003B443F"/>
    <w:rsid w:val="003B4500"/>
    <w:rsid w:val="003B4509"/>
    <w:rsid w:val="003B453C"/>
    <w:rsid w:val="003B4576"/>
    <w:rsid w:val="003B460E"/>
    <w:rsid w:val="003B4620"/>
    <w:rsid w:val="003B4643"/>
    <w:rsid w:val="003B4665"/>
    <w:rsid w:val="003B4691"/>
    <w:rsid w:val="003B46A6"/>
    <w:rsid w:val="003B4723"/>
    <w:rsid w:val="003B472F"/>
    <w:rsid w:val="003B4740"/>
    <w:rsid w:val="003B476D"/>
    <w:rsid w:val="003B4796"/>
    <w:rsid w:val="003B4819"/>
    <w:rsid w:val="003B483D"/>
    <w:rsid w:val="003B484D"/>
    <w:rsid w:val="003B484E"/>
    <w:rsid w:val="003B48EE"/>
    <w:rsid w:val="003B4935"/>
    <w:rsid w:val="003B4947"/>
    <w:rsid w:val="003B494A"/>
    <w:rsid w:val="003B495C"/>
    <w:rsid w:val="003B4975"/>
    <w:rsid w:val="003B4979"/>
    <w:rsid w:val="003B497B"/>
    <w:rsid w:val="003B4995"/>
    <w:rsid w:val="003B49D5"/>
    <w:rsid w:val="003B4AC7"/>
    <w:rsid w:val="003B4AD2"/>
    <w:rsid w:val="003B4AD8"/>
    <w:rsid w:val="003B4AE0"/>
    <w:rsid w:val="003B4B26"/>
    <w:rsid w:val="003B4B53"/>
    <w:rsid w:val="003B4B9F"/>
    <w:rsid w:val="003B4BCB"/>
    <w:rsid w:val="003B4C23"/>
    <w:rsid w:val="003B4C31"/>
    <w:rsid w:val="003B4CC9"/>
    <w:rsid w:val="003B4CD3"/>
    <w:rsid w:val="003B4CE6"/>
    <w:rsid w:val="003B4CF7"/>
    <w:rsid w:val="003B4CFD"/>
    <w:rsid w:val="003B4D08"/>
    <w:rsid w:val="003B4D26"/>
    <w:rsid w:val="003B4D31"/>
    <w:rsid w:val="003B4D6C"/>
    <w:rsid w:val="003B4D94"/>
    <w:rsid w:val="003B4D97"/>
    <w:rsid w:val="003B4DCE"/>
    <w:rsid w:val="003B4E22"/>
    <w:rsid w:val="003B4E39"/>
    <w:rsid w:val="003B4E3A"/>
    <w:rsid w:val="003B4ECF"/>
    <w:rsid w:val="003B4F74"/>
    <w:rsid w:val="003B4FA7"/>
    <w:rsid w:val="003B4FB8"/>
    <w:rsid w:val="003B4FCB"/>
    <w:rsid w:val="003B503C"/>
    <w:rsid w:val="003B5060"/>
    <w:rsid w:val="003B5078"/>
    <w:rsid w:val="003B5094"/>
    <w:rsid w:val="003B5121"/>
    <w:rsid w:val="003B5125"/>
    <w:rsid w:val="003B5138"/>
    <w:rsid w:val="003B514A"/>
    <w:rsid w:val="003B5188"/>
    <w:rsid w:val="003B51C7"/>
    <w:rsid w:val="003B51E0"/>
    <w:rsid w:val="003B5223"/>
    <w:rsid w:val="003B5258"/>
    <w:rsid w:val="003B525C"/>
    <w:rsid w:val="003B529F"/>
    <w:rsid w:val="003B52FD"/>
    <w:rsid w:val="003B5317"/>
    <w:rsid w:val="003B5329"/>
    <w:rsid w:val="003B5363"/>
    <w:rsid w:val="003B536E"/>
    <w:rsid w:val="003B539E"/>
    <w:rsid w:val="003B53BB"/>
    <w:rsid w:val="003B53F5"/>
    <w:rsid w:val="003B5417"/>
    <w:rsid w:val="003B5426"/>
    <w:rsid w:val="003B5429"/>
    <w:rsid w:val="003B547A"/>
    <w:rsid w:val="003B549D"/>
    <w:rsid w:val="003B5503"/>
    <w:rsid w:val="003B554D"/>
    <w:rsid w:val="003B5587"/>
    <w:rsid w:val="003B5589"/>
    <w:rsid w:val="003B5595"/>
    <w:rsid w:val="003B55B8"/>
    <w:rsid w:val="003B55F1"/>
    <w:rsid w:val="003B562D"/>
    <w:rsid w:val="003B565C"/>
    <w:rsid w:val="003B570B"/>
    <w:rsid w:val="003B579B"/>
    <w:rsid w:val="003B57AC"/>
    <w:rsid w:val="003B57BA"/>
    <w:rsid w:val="003B57D9"/>
    <w:rsid w:val="003B5852"/>
    <w:rsid w:val="003B5896"/>
    <w:rsid w:val="003B58E2"/>
    <w:rsid w:val="003B5974"/>
    <w:rsid w:val="003B5977"/>
    <w:rsid w:val="003B597D"/>
    <w:rsid w:val="003B5A04"/>
    <w:rsid w:val="003B5A08"/>
    <w:rsid w:val="003B5A72"/>
    <w:rsid w:val="003B5A86"/>
    <w:rsid w:val="003B5A94"/>
    <w:rsid w:val="003B5A95"/>
    <w:rsid w:val="003B5AB6"/>
    <w:rsid w:val="003B5B0E"/>
    <w:rsid w:val="003B5B40"/>
    <w:rsid w:val="003B5B4E"/>
    <w:rsid w:val="003B5B59"/>
    <w:rsid w:val="003B5B79"/>
    <w:rsid w:val="003B5B7C"/>
    <w:rsid w:val="003B5B8F"/>
    <w:rsid w:val="003B5BE8"/>
    <w:rsid w:val="003B5C11"/>
    <w:rsid w:val="003B5C21"/>
    <w:rsid w:val="003B5CA5"/>
    <w:rsid w:val="003B5CE6"/>
    <w:rsid w:val="003B5D28"/>
    <w:rsid w:val="003B5D7B"/>
    <w:rsid w:val="003B5D80"/>
    <w:rsid w:val="003B5DED"/>
    <w:rsid w:val="003B5E01"/>
    <w:rsid w:val="003B5E81"/>
    <w:rsid w:val="003B5EC3"/>
    <w:rsid w:val="003B5ECA"/>
    <w:rsid w:val="003B5EE1"/>
    <w:rsid w:val="003B5EE6"/>
    <w:rsid w:val="003B5F1C"/>
    <w:rsid w:val="003B5F41"/>
    <w:rsid w:val="003B5F53"/>
    <w:rsid w:val="003B5F99"/>
    <w:rsid w:val="003B5FC0"/>
    <w:rsid w:val="003B5FD4"/>
    <w:rsid w:val="003B5FDB"/>
    <w:rsid w:val="003B6025"/>
    <w:rsid w:val="003B6142"/>
    <w:rsid w:val="003B6146"/>
    <w:rsid w:val="003B6147"/>
    <w:rsid w:val="003B6174"/>
    <w:rsid w:val="003B619D"/>
    <w:rsid w:val="003B6220"/>
    <w:rsid w:val="003B622A"/>
    <w:rsid w:val="003B62B6"/>
    <w:rsid w:val="003B62D9"/>
    <w:rsid w:val="003B638D"/>
    <w:rsid w:val="003B63A3"/>
    <w:rsid w:val="003B6445"/>
    <w:rsid w:val="003B6452"/>
    <w:rsid w:val="003B6466"/>
    <w:rsid w:val="003B653D"/>
    <w:rsid w:val="003B657D"/>
    <w:rsid w:val="003B6598"/>
    <w:rsid w:val="003B664A"/>
    <w:rsid w:val="003B6704"/>
    <w:rsid w:val="003B6710"/>
    <w:rsid w:val="003B671A"/>
    <w:rsid w:val="003B673E"/>
    <w:rsid w:val="003B6740"/>
    <w:rsid w:val="003B67DA"/>
    <w:rsid w:val="003B6805"/>
    <w:rsid w:val="003B680A"/>
    <w:rsid w:val="003B6815"/>
    <w:rsid w:val="003B6849"/>
    <w:rsid w:val="003B6850"/>
    <w:rsid w:val="003B68C2"/>
    <w:rsid w:val="003B68F8"/>
    <w:rsid w:val="003B691A"/>
    <w:rsid w:val="003B691D"/>
    <w:rsid w:val="003B692A"/>
    <w:rsid w:val="003B695E"/>
    <w:rsid w:val="003B69B6"/>
    <w:rsid w:val="003B69DA"/>
    <w:rsid w:val="003B69FE"/>
    <w:rsid w:val="003B6A31"/>
    <w:rsid w:val="003B6B37"/>
    <w:rsid w:val="003B6B59"/>
    <w:rsid w:val="003B6B9D"/>
    <w:rsid w:val="003B6BDD"/>
    <w:rsid w:val="003B6BE1"/>
    <w:rsid w:val="003B6BE2"/>
    <w:rsid w:val="003B6C8C"/>
    <w:rsid w:val="003B6CA8"/>
    <w:rsid w:val="003B6CC2"/>
    <w:rsid w:val="003B6CCC"/>
    <w:rsid w:val="003B6CF5"/>
    <w:rsid w:val="003B6D25"/>
    <w:rsid w:val="003B6D32"/>
    <w:rsid w:val="003B6D45"/>
    <w:rsid w:val="003B6DB2"/>
    <w:rsid w:val="003B6DD4"/>
    <w:rsid w:val="003B6E12"/>
    <w:rsid w:val="003B6E2D"/>
    <w:rsid w:val="003B701F"/>
    <w:rsid w:val="003B70AC"/>
    <w:rsid w:val="003B7113"/>
    <w:rsid w:val="003B7133"/>
    <w:rsid w:val="003B7166"/>
    <w:rsid w:val="003B71A2"/>
    <w:rsid w:val="003B71AB"/>
    <w:rsid w:val="003B71AD"/>
    <w:rsid w:val="003B7275"/>
    <w:rsid w:val="003B72B4"/>
    <w:rsid w:val="003B72BD"/>
    <w:rsid w:val="003B72D1"/>
    <w:rsid w:val="003B730E"/>
    <w:rsid w:val="003B7346"/>
    <w:rsid w:val="003B7393"/>
    <w:rsid w:val="003B73A1"/>
    <w:rsid w:val="003B73E6"/>
    <w:rsid w:val="003B742B"/>
    <w:rsid w:val="003B7454"/>
    <w:rsid w:val="003B74B6"/>
    <w:rsid w:val="003B74BB"/>
    <w:rsid w:val="003B74ED"/>
    <w:rsid w:val="003B7526"/>
    <w:rsid w:val="003B75CB"/>
    <w:rsid w:val="003B75EF"/>
    <w:rsid w:val="003B7629"/>
    <w:rsid w:val="003B763A"/>
    <w:rsid w:val="003B7697"/>
    <w:rsid w:val="003B76AA"/>
    <w:rsid w:val="003B76B0"/>
    <w:rsid w:val="003B76E2"/>
    <w:rsid w:val="003B7704"/>
    <w:rsid w:val="003B771A"/>
    <w:rsid w:val="003B7727"/>
    <w:rsid w:val="003B7755"/>
    <w:rsid w:val="003B7761"/>
    <w:rsid w:val="003B77F5"/>
    <w:rsid w:val="003B780B"/>
    <w:rsid w:val="003B7823"/>
    <w:rsid w:val="003B7856"/>
    <w:rsid w:val="003B7894"/>
    <w:rsid w:val="003B78A8"/>
    <w:rsid w:val="003B78C6"/>
    <w:rsid w:val="003B78EA"/>
    <w:rsid w:val="003B798E"/>
    <w:rsid w:val="003B799A"/>
    <w:rsid w:val="003B79F7"/>
    <w:rsid w:val="003B7A34"/>
    <w:rsid w:val="003B7A65"/>
    <w:rsid w:val="003B7A98"/>
    <w:rsid w:val="003B7A9C"/>
    <w:rsid w:val="003B7ABB"/>
    <w:rsid w:val="003B7AC2"/>
    <w:rsid w:val="003B7AD6"/>
    <w:rsid w:val="003B7B7B"/>
    <w:rsid w:val="003B7C41"/>
    <w:rsid w:val="003B7C75"/>
    <w:rsid w:val="003B7CC3"/>
    <w:rsid w:val="003B7CF7"/>
    <w:rsid w:val="003B7D19"/>
    <w:rsid w:val="003B7DED"/>
    <w:rsid w:val="003B7E0B"/>
    <w:rsid w:val="003B7E16"/>
    <w:rsid w:val="003B7E19"/>
    <w:rsid w:val="003B7E29"/>
    <w:rsid w:val="003B7E72"/>
    <w:rsid w:val="003B7E91"/>
    <w:rsid w:val="003B7E94"/>
    <w:rsid w:val="003B7EB1"/>
    <w:rsid w:val="003B7F48"/>
    <w:rsid w:val="003B7F77"/>
    <w:rsid w:val="003B7FE1"/>
    <w:rsid w:val="003B7FF2"/>
    <w:rsid w:val="003C0021"/>
    <w:rsid w:val="003C002A"/>
    <w:rsid w:val="003C0033"/>
    <w:rsid w:val="003C006B"/>
    <w:rsid w:val="003C0083"/>
    <w:rsid w:val="003C0091"/>
    <w:rsid w:val="003C00B2"/>
    <w:rsid w:val="003C00D6"/>
    <w:rsid w:val="003C00D8"/>
    <w:rsid w:val="003C00DE"/>
    <w:rsid w:val="003C00E0"/>
    <w:rsid w:val="003C0152"/>
    <w:rsid w:val="003C01DA"/>
    <w:rsid w:val="003C0235"/>
    <w:rsid w:val="003C0250"/>
    <w:rsid w:val="003C0262"/>
    <w:rsid w:val="003C028C"/>
    <w:rsid w:val="003C02DE"/>
    <w:rsid w:val="003C02FF"/>
    <w:rsid w:val="003C0319"/>
    <w:rsid w:val="003C035D"/>
    <w:rsid w:val="003C035E"/>
    <w:rsid w:val="003C036C"/>
    <w:rsid w:val="003C0385"/>
    <w:rsid w:val="003C039E"/>
    <w:rsid w:val="003C03C4"/>
    <w:rsid w:val="003C041A"/>
    <w:rsid w:val="003C0435"/>
    <w:rsid w:val="003C0509"/>
    <w:rsid w:val="003C050F"/>
    <w:rsid w:val="003C051A"/>
    <w:rsid w:val="003C05CE"/>
    <w:rsid w:val="003C0643"/>
    <w:rsid w:val="003C0646"/>
    <w:rsid w:val="003C0657"/>
    <w:rsid w:val="003C065E"/>
    <w:rsid w:val="003C06D8"/>
    <w:rsid w:val="003C07AD"/>
    <w:rsid w:val="003C07EE"/>
    <w:rsid w:val="003C07F1"/>
    <w:rsid w:val="003C083C"/>
    <w:rsid w:val="003C08CE"/>
    <w:rsid w:val="003C08DD"/>
    <w:rsid w:val="003C08E9"/>
    <w:rsid w:val="003C0941"/>
    <w:rsid w:val="003C097C"/>
    <w:rsid w:val="003C09B6"/>
    <w:rsid w:val="003C09DB"/>
    <w:rsid w:val="003C0A06"/>
    <w:rsid w:val="003C0A14"/>
    <w:rsid w:val="003C0A29"/>
    <w:rsid w:val="003C0A54"/>
    <w:rsid w:val="003C0A6F"/>
    <w:rsid w:val="003C0ABA"/>
    <w:rsid w:val="003C0AEB"/>
    <w:rsid w:val="003C0AFD"/>
    <w:rsid w:val="003C0B19"/>
    <w:rsid w:val="003C0B20"/>
    <w:rsid w:val="003C0B7A"/>
    <w:rsid w:val="003C0B82"/>
    <w:rsid w:val="003C0C1D"/>
    <w:rsid w:val="003C0C31"/>
    <w:rsid w:val="003C0C7B"/>
    <w:rsid w:val="003C0C95"/>
    <w:rsid w:val="003C0CAD"/>
    <w:rsid w:val="003C0CBE"/>
    <w:rsid w:val="003C0CD2"/>
    <w:rsid w:val="003C0D11"/>
    <w:rsid w:val="003C0D9F"/>
    <w:rsid w:val="003C0DD2"/>
    <w:rsid w:val="003C0E2B"/>
    <w:rsid w:val="003C0E50"/>
    <w:rsid w:val="003C0E5B"/>
    <w:rsid w:val="003C0EAB"/>
    <w:rsid w:val="003C0EB2"/>
    <w:rsid w:val="003C0ECF"/>
    <w:rsid w:val="003C0EDE"/>
    <w:rsid w:val="003C0EE0"/>
    <w:rsid w:val="003C0EFC"/>
    <w:rsid w:val="003C0F77"/>
    <w:rsid w:val="003C0FAC"/>
    <w:rsid w:val="003C0FD3"/>
    <w:rsid w:val="003C0FF3"/>
    <w:rsid w:val="003C1037"/>
    <w:rsid w:val="003C103B"/>
    <w:rsid w:val="003C1059"/>
    <w:rsid w:val="003C10BE"/>
    <w:rsid w:val="003C10C1"/>
    <w:rsid w:val="003C10D0"/>
    <w:rsid w:val="003C10DB"/>
    <w:rsid w:val="003C110F"/>
    <w:rsid w:val="003C1111"/>
    <w:rsid w:val="003C114A"/>
    <w:rsid w:val="003C11B3"/>
    <w:rsid w:val="003C11BF"/>
    <w:rsid w:val="003C1211"/>
    <w:rsid w:val="003C1216"/>
    <w:rsid w:val="003C1257"/>
    <w:rsid w:val="003C1272"/>
    <w:rsid w:val="003C1290"/>
    <w:rsid w:val="003C12A1"/>
    <w:rsid w:val="003C12F0"/>
    <w:rsid w:val="003C1307"/>
    <w:rsid w:val="003C1336"/>
    <w:rsid w:val="003C135D"/>
    <w:rsid w:val="003C1377"/>
    <w:rsid w:val="003C13B3"/>
    <w:rsid w:val="003C13C2"/>
    <w:rsid w:val="003C13EF"/>
    <w:rsid w:val="003C144C"/>
    <w:rsid w:val="003C145C"/>
    <w:rsid w:val="003C146D"/>
    <w:rsid w:val="003C14DF"/>
    <w:rsid w:val="003C1551"/>
    <w:rsid w:val="003C1553"/>
    <w:rsid w:val="003C1575"/>
    <w:rsid w:val="003C157B"/>
    <w:rsid w:val="003C169C"/>
    <w:rsid w:val="003C16DB"/>
    <w:rsid w:val="003C16EA"/>
    <w:rsid w:val="003C16F9"/>
    <w:rsid w:val="003C1792"/>
    <w:rsid w:val="003C17CB"/>
    <w:rsid w:val="003C17D0"/>
    <w:rsid w:val="003C17DC"/>
    <w:rsid w:val="003C181E"/>
    <w:rsid w:val="003C1820"/>
    <w:rsid w:val="003C1861"/>
    <w:rsid w:val="003C1864"/>
    <w:rsid w:val="003C18AB"/>
    <w:rsid w:val="003C1921"/>
    <w:rsid w:val="003C193F"/>
    <w:rsid w:val="003C1987"/>
    <w:rsid w:val="003C19B6"/>
    <w:rsid w:val="003C19BF"/>
    <w:rsid w:val="003C19EE"/>
    <w:rsid w:val="003C1A81"/>
    <w:rsid w:val="003C1AE0"/>
    <w:rsid w:val="003C1B06"/>
    <w:rsid w:val="003C1B12"/>
    <w:rsid w:val="003C1B5F"/>
    <w:rsid w:val="003C1BCF"/>
    <w:rsid w:val="003C1BE6"/>
    <w:rsid w:val="003C1BF2"/>
    <w:rsid w:val="003C1C45"/>
    <w:rsid w:val="003C1C4F"/>
    <w:rsid w:val="003C1CB0"/>
    <w:rsid w:val="003C1CE7"/>
    <w:rsid w:val="003C1D13"/>
    <w:rsid w:val="003C1D3A"/>
    <w:rsid w:val="003C1D46"/>
    <w:rsid w:val="003C1DB1"/>
    <w:rsid w:val="003C1DF8"/>
    <w:rsid w:val="003C1E1C"/>
    <w:rsid w:val="003C1E3A"/>
    <w:rsid w:val="003C1E6A"/>
    <w:rsid w:val="003C1E6D"/>
    <w:rsid w:val="003C1EA9"/>
    <w:rsid w:val="003C1EFC"/>
    <w:rsid w:val="003C1F4D"/>
    <w:rsid w:val="003C1F60"/>
    <w:rsid w:val="003C1FE2"/>
    <w:rsid w:val="003C2016"/>
    <w:rsid w:val="003C206C"/>
    <w:rsid w:val="003C20E7"/>
    <w:rsid w:val="003C20EF"/>
    <w:rsid w:val="003C2103"/>
    <w:rsid w:val="003C210E"/>
    <w:rsid w:val="003C212E"/>
    <w:rsid w:val="003C21BE"/>
    <w:rsid w:val="003C21CD"/>
    <w:rsid w:val="003C2213"/>
    <w:rsid w:val="003C2214"/>
    <w:rsid w:val="003C2225"/>
    <w:rsid w:val="003C2275"/>
    <w:rsid w:val="003C22B0"/>
    <w:rsid w:val="003C22C3"/>
    <w:rsid w:val="003C235A"/>
    <w:rsid w:val="003C2392"/>
    <w:rsid w:val="003C242B"/>
    <w:rsid w:val="003C2435"/>
    <w:rsid w:val="003C2457"/>
    <w:rsid w:val="003C24A4"/>
    <w:rsid w:val="003C24AE"/>
    <w:rsid w:val="003C254B"/>
    <w:rsid w:val="003C2565"/>
    <w:rsid w:val="003C2566"/>
    <w:rsid w:val="003C2570"/>
    <w:rsid w:val="003C25CB"/>
    <w:rsid w:val="003C2638"/>
    <w:rsid w:val="003C267A"/>
    <w:rsid w:val="003C26A0"/>
    <w:rsid w:val="003C26A4"/>
    <w:rsid w:val="003C2731"/>
    <w:rsid w:val="003C27C8"/>
    <w:rsid w:val="003C27DB"/>
    <w:rsid w:val="003C27FA"/>
    <w:rsid w:val="003C2818"/>
    <w:rsid w:val="003C2892"/>
    <w:rsid w:val="003C28A7"/>
    <w:rsid w:val="003C28AD"/>
    <w:rsid w:val="003C2906"/>
    <w:rsid w:val="003C2910"/>
    <w:rsid w:val="003C2983"/>
    <w:rsid w:val="003C29BD"/>
    <w:rsid w:val="003C29C6"/>
    <w:rsid w:val="003C29C9"/>
    <w:rsid w:val="003C2A02"/>
    <w:rsid w:val="003C2A0C"/>
    <w:rsid w:val="003C2A28"/>
    <w:rsid w:val="003C2A41"/>
    <w:rsid w:val="003C2A4A"/>
    <w:rsid w:val="003C2A79"/>
    <w:rsid w:val="003C2A95"/>
    <w:rsid w:val="003C2AF1"/>
    <w:rsid w:val="003C2B0E"/>
    <w:rsid w:val="003C2BBE"/>
    <w:rsid w:val="003C2C15"/>
    <w:rsid w:val="003C2CD2"/>
    <w:rsid w:val="003C2D60"/>
    <w:rsid w:val="003C2D85"/>
    <w:rsid w:val="003C2DC2"/>
    <w:rsid w:val="003C2DE9"/>
    <w:rsid w:val="003C2DEE"/>
    <w:rsid w:val="003C2E1E"/>
    <w:rsid w:val="003C2E5B"/>
    <w:rsid w:val="003C2EE1"/>
    <w:rsid w:val="003C2F29"/>
    <w:rsid w:val="003C2F6F"/>
    <w:rsid w:val="003C2F96"/>
    <w:rsid w:val="003C2FCF"/>
    <w:rsid w:val="003C2FFC"/>
    <w:rsid w:val="003C3003"/>
    <w:rsid w:val="003C3028"/>
    <w:rsid w:val="003C309E"/>
    <w:rsid w:val="003C30B0"/>
    <w:rsid w:val="003C3132"/>
    <w:rsid w:val="003C3150"/>
    <w:rsid w:val="003C31DA"/>
    <w:rsid w:val="003C31FB"/>
    <w:rsid w:val="003C3278"/>
    <w:rsid w:val="003C3382"/>
    <w:rsid w:val="003C33AA"/>
    <w:rsid w:val="003C33CF"/>
    <w:rsid w:val="003C33EC"/>
    <w:rsid w:val="003C3401"/>
    <w:rsid w:val="003C341A"/>
    <w:rsid w:val="003C341F"/>
    <w:rsid w:val="003C3497"/>
    <w:rsid w:val="003C34B4"/>
    <w:rsid w:val="003C34F3"/>
    <w:rsid w:val="003C3568"/>
    <w:rsid w:val="003C3587"/>
    <w:rsid w:val="003C35F5"/>
    <w:rsid w:val="003C362F"/>
    <w:rsid w:val="003C364C"/>
    <w:rsid w:val="003C3655"/>
    <w:rsid w:val="003C3675"/>
    <w:rsid w:val="003C3677"/>
    <w:rsid w:val="003C36F8"/>
    <w:rsid w:val="003C3716"/>
    <w:rsid w:val="003C3748"/>
    <w:rsid w:val="003C3772"/>
    <w:rsid w:val="003C37E0"/>
    <w:rsid w:val="003C37E2"/>
    <w:rsid w:val="003C37E5"/>
    <w:rsid w:val="003C37EE"/>
    <w:rsid w:val="003C381E"/>
    <w:rsid w:val="003C382C"/>
    <w:rsid w:val="003C3852"/>
    <w:rsid w:val="003C3855"/>
    <w:rsid w:val="003C385C"/>
    <w:rsid w:val="003C3872"/>
    <w:rsid w:val="003C38EF"/>
    <w:rsid w:val="003C3906"/>
    <w:rsid w:val="003C3949"/>
    <w:rsid w:val="003C395F"/>
    <w:rsid w:val="003C396D"/>
    <w:rsid w:val="003C3977"/>
    <w:rsid w:val="003C399D"/>
    <w:rsid w:val="003C39AB"/>
    <w:rsid w:val="003C3A15"/>
    <w:rsid w:val="003C3A1F"/>
    <w:rsid w:val="003C3A3C"/>
    <w:rsid w:val="003C3A96"/>
    <w:rsid w:val="003C3AAA"/>
    <w:rsid w:val="003C3ACE"/>
    <w:rsid w:val="003C3AEA"/>
    <w:rsid w:val="003C3B03"/>
    <w:rsid w:val="003C3B27"/>
    <w:rsid w:val="003C3B29"/>
    <w:rsid w:val="003C3B7B"/>
    <w:rsid w:val="003C3B98"/>
    <w:rsid w:val="003C3B9C"/>
    <w:rsid w:val="003C3BF3"/>
    <w:rsid w:val="003C3C03"/>
    <w:rsid w:val="003C3C28"/>
    <w:rsid w:val="003C3C31"/>
    <w:rsid w:val="003C3C48"/>
    <w:rsid w:val="003C3C56"/>
    <w:rsid w:val="003C3C9C"/>
    <w:rsid w:val="003C3CB6"/>
    <w:rsid w:val="003C3CC9"/>
    <w:rsid w:val="003C3CDF"/>
    <w:rsid w:val="003C3CE4"/>
    <w:rsid w:val="003C3D18"/>
    <w:rsid w:val="003C3D61"/>
    <w:rsid w:val="003C3DC0"/>
    <w:rsid w:val="003C3E47"/>
    <w:rsid w:val="003C3EAE"/>
    <w:rsid w:val="003C3F1E"/>
    <w:rsid w:val="003C3F22"/>
    <w:rsid w:val="003C3F37"/>
    <w:rsid w:val="003C3F3C"/>
    <w:rsid w:val="003C3F78"/>
    <w:rsid w:val="003C3F8C"/>
    <w:rsid w:val="003C3F8F"/>
    <w:rsid w:val="003C3FF5"/>
    <w:rsid w:val="003C4005"/>
    <w:rsid w:val="003C4058"/>
    <w:rsid w:val="003C4064"/>
    <w:rsid w:val="003C40B1"/>
    <w:rsid w:val="003C40FA"/>
    <w:rsid w:val="003C40FF"/>
    <w:rsid w:val="003C413C"/>
    <w:rsid w:val="003C4174"/>
    <w:rsid w:val="003C41A6"/>
    <w:rsid w:val="003C41E7"/>
    <w:rsid w:val="003C41F6"/>
    <w:rsid w:val="003C4240"/>
    <w:rsid w:val="003C4282"/>
    <w:rsid w:val="003C429B"/>
    <w:rsid w:val="003C42BB"/>
    <w:rsid w:val="003C42E6"/>
    <w:rsid w:val="003C43E6"/>
    <w:rsid w:val="003C4414"/>
    <w:rsid w:val="003C4434"/>
    <w:rsid w:val="003C4456"/>
    <w:rsid w:val="003C4481"/>
    <w:rsid w:val="003C448F"/>
    <w:rsid w:val="003C44B5"/>
    <w:rsid w:val="003C44DB"/>
    <w:rsid w:val="003C4685"/>
    <w:rsid w:val="003C46D6"/>
    <w:rsid w:val="003C46DC"/>
    <w:rsid w:val="003C4719"/>
    <w:rsid w:val="003C484A"/>
    <w:rsid w:val="003C485D"/>
    <w:rsid w:val="003C4943"/>
    <w:rsid w:val="003C494B"/>
    <w:rsid w:val="003C4A2A"/>
    <w:rsid w:val="003C4A39"/>
    <w:rsid w:val="003C4A4E"/>
    <w:rsid w:val="003C4A7F"/>
    <w:rsid w:val="003C4ABE"/>
    <w:rsid w:val="003C4AF1"/>
    <w:rsid w:val="003C4B33"/>
    <w:rsid w:val="003C4B86"/>
    <w:rsid w:val="003C4B8A"/>
    <w:rsid w:val="003C4B90"/>
    <w:rsid w:val="003C4BA3"/>
    <w:rsid w:val="003C4BAD"/>
    <w:rsid w:val="003C4BF0"/>
    <w:rsid w:val="003C4C70"/>
    <w:rsid w:val="003C4C97"/>
    <w:rsid w:val="003C4C9C"/>
    <w:rsid w:val="003C4D2A"/>
    <w:rsid w:val="003C4D40"/>
    <w:rsid w:val="003C4D88"/>
    <w:rsid w:val="003C4D8D"/>
    <w:rsid w:val="003C4D97"/>
    <w:rsid w:val="003C4DE6"/>
    <w:rsid w:val="003C4E03"/>
    <w:rsid w:val="003C4E18"/>
    <w:rsid w:val="003C4E73"/>
    <w:rsid w:val="003C4EAF"/>
    <w:rsid w:val="003C4ED8"/>
    <w:rsid w:val="003C4FC9"/>
    <w:rsid w:val="003C5034"/>
    <w:rsid w:val="003C505D"/>
    <w:rsid w:val="003C5062"/>
    <w:rsid w:val="003C508E"/>
    <w:rsid w:val="003C509E"/>
    <w:rsid w:val="003C50C0"/>
    <w:rsid w:val="003C51B8"/>
    <w:rsid w:val="003C51EE"/>
    <w:rsid w:val="003C523C"/>
    <w:rsid w:val="003C524F"/>
    <w:rsid w:val="003C52F2"/>
    <w:rsid w:val="003C5367"/>
    <w:rsid w:val="003C53A0"/>
    <w:rsid w:val="003C53E2"/>
    <w:rsid w:val="003C53F4"/>
    <w:rsid w:val="003C540C"/>
    <w:rsid w:val="003C540D"/>
    <w:rsid w:val="003C541A"/>
    <w:rsid w:val="003C541C"/>
    <w:rsid w:val="003C5445"/>
    <w:rsid w:val="003C544E"/>
    <w:rsid w:val="003C54C3"/>
    <w:rsid w:val="003C54E4"/>
    <w:rsid w:val="003C5503"/>
    <w:rsid w:val="003C558D"/>
    <w:rsid w:val="003C55F2"/>
    <w:rsid w:val="003C5607"/>
    <w:rsid w:val="003C5612"/>
    <w:rsid w:val="003C561C"/>
    <w:rsid w:val="003C5630"/>
    <w:rsid w:val="003C5653"/>
    <w:rsid w:val="003C569A"/>
    <w:rsid w:val="003C5755"/>
    <w:rsid w:val="003C577C"/>
    <w:rsid w:val="003C577E"/>
    <w:rsid w:val="003C57A2"/>
    <w:rsid w:val="003C5808"/>
    <w:rsid w:val="003C5832"/>
    <w:rsid w:val="003C5835"/>
    <w:rsid w:val="003C58BF"/>
    <w:rsid w:val="003C58CD"/>
    <w:rsid w:val="003C58EA"/>
    <w:rsid w:val="003C58F3"/>
    <w:rsid w:val="003C594C"/>
    <w:rsid w:val="003C5962"/>
    <w:rsid w:val="003C5985"/>
    <w:rsid w:val="003C5A16"/>
    <w:rsid w:val="003C5A4D"/>
    <w:rsid w:val="003C5A74"/>
    <w:rsid w:val="003C5ACF"/>
    <w:rsid w:val="003C5AEC"/>
    <w:rsid w:val="003C5AFC"/>
    <w:rsid w:val="003C5B01"/>
    <w:rsid w:val="003C5B33"/>
    <w:rsid w:val="003C5BE7"/>
    <w:rsid w:val="003C5C48"/>
    <w:rsid w:val="003C5C80"/>
    <w:rsid w:val="003C5D55"/>
    <w:rsid w:val="003C5D98"/>
    <w:rsid w:val="003C5E05"/>
    <w:rsid w:val="003C5E9B"/>
    <w:rsid w:val="003C5EA2"/>
    <w:rsid w:val="003C5EAD"/>
    <w:rsid w:val="003C5EFB"/>
    <w:rsid w:val="003C5F4E"/>
    <w:rsid w:val="003C5FC8"/>
    <w:rsid w:val="003C5FF3"/>
    <w:rsid w:val="003C6039"/>
    <w:rsid w:val="003C6060"/>
    <w:rsid w:val="003C60E7"/>
    <w:rsid w:val="003C6104"/>
    <w:rsid w:val="003C610C"/>
    <w:rsid w:val="003C6114"/>
    <w:rsid w:val="003C6130"/>
    <w:rsid w:val="003C6157"/>
    <w:rsid w:val="003C6162"/>
    <w:rsid w:val="003C616A"/>
    <w:rsid w:val="003C6198"/>
    <w:rsid w:val="003C6212"/>
    <w:rsid w:val="003C6228"/>
    <w:rsid w:val="003C626F"/>
    <w:rsid w:val="003C62FA"/>
    <w:rsid w:val="003C6345"/>
    <w:rsid w:val="003C6382"/>
    <w:rsid w:val="003C6390"/>
    <w:rsid w:val="003C63BA"/>
    <w:rsid w:val="003C63E9"/>
    <w:rsid w:val="003C63F9"/>
    <w:rsid w:val="003C6462"/>
    <w:rsid w:val="003C648E"/>
    <w:rsid w:val="003C64AC"/>
    <w:rsid w:val="003C64CB"/>
    <w:rsid w:val="003C6557"/>
    <w:rsid w:val="003C6560"/>
    <w:rsid w:val="003C657E"/>
    <w:rsid w:val="003C65C8"/>
    <w:rsid w:val="003C65EA"/>
    <w:rsid w:val="003C66EB"/>
    <w:rsid w:val="003C6774"/>
    <w:rsid w:val="003C67FC"/>
    <w:rsid w:val="003C682E"/>
    <w:rsid w:val="003C683C"/>
    <w:rsid w:val="003C68BE"/>
    <w:rsid w:val="003C68D9"/>
    <w:rsid w:val="003C6913"/>
    <w:rsid w:val="003C6951"/>
    <w:rsid w:val="003C695D"/>
    <w:rsid w:val="003C69B1"/>
    <w:rsid w:val="003C69C2"/>
    <w:rsid w:val="003C6A7B"/>
    <w:rsid w:val="003C6A8A"/>
    <w:rsid w:val="003C6AC2"/>
    <w:rsid w:val="003C6AEF"/>
    <w:rsid w:val="003C6B81"/>
    <w:rsid w:val="003C6BCC"/>
    <w:rsid w:val="003C6C06"/>
    <w:rsid w:val="003C6C34"/>
    <w:rsid w:val="003C6C8C"/>
    <w:rsid w:val="003C6CC2"/>
    <w:rsid w:val="003C6CEC"/>
    <w:rsid w:val="003C6D3A"/>
    <w:rsid w:val="003C6D53"/>
    <w:rsid w:val="003C6D69"/>
    <w:rsid w:val="003C6D7B"/>
    <w:rsid w:val="003C6D8A"/>
    <w:rsid w:val="003C6D95"/>
    <w:rsid w:val="003C6D98"/>
    <w:rsid w:val="003C6DDE"/>
    <w:rsid w:val="003C6DE1"/>
    <w:rsid w:val="003C6E12"/>
    <w:rsid w:val="003C6E27"/>
    <w:rsid w:val="003C6E3C"/>
    <w:rsid w:val="003C6E6E"/>
    <w:rsid w:val="003C6E84"/>
    <w:rsid w:val="003C6E92"/>
    <w:rsid w:val="003C6EC3"/>
    <w:rsid w:val="003C6ED0"/>
    <w:rsid w:val="003C6EF9"/>
    <w:rsid w:val="003C6F2B"/>
    <w:rsid w:val="003C6FAB"/>
    <w:rsid w:val="003C6FDD"/>
    <w:rsid w:val="003C70DF"/>
    <w:rsid w:val="003C7115"/>
    <w:rsid w:val="003C7129"/>
    <w:rsid w:val="003C712C"/>
    <w:rsid w:val="003C7137"/>
    <w:rsid w:val="003C718C"/>
    <w:rsid w:val="003C71A1"/>
    <w:rsid w:val="003C71B3"/>
    <w:rsid w:val="003C7220"/>
    <w:rsid w:val="003C7283"/>
    <w:rsid w:val="003C72D8"/>
    <w:rsid w:val="003C7317"/>
    <w:rsid w:val="003C7371"/>
    <w:rsid w:val="003C73B1"/>
    <w:rsid w:val="003C73CD"/>
    <w:rsid w:val="003C7406"/>
    <w:rsid w:val="003C741D"/>
    <w:rsid w:val="003C7449"/>
    <w:rsid w:val="003C744D"/>
    <w:rsid w:val="003C749A"/>
    <w:rsid w:val="003C7524"/>
    <w:rsid w:val="003C754B"/>
    <w:rsid w:val="003C7567"/>
    <w:rsid w:val="003C7574"/>
    <w:rsid w:val="003C758D"/>
    <w:rsid w:val="003C75A9"/>
    <w:rsid w:val="003C75BF"/>
    <w:rsid w:val="003C75C3"/>
    <w:rsid w:val="003C75DB"/>
    <w:rsid w:val="003C760A"/>
    <w:rsid w:val="003C7616"/>
    <w:rsid w:val="003C7642"/>
    <w:rsid w:val="003C7678"/>
    <w:rsid w:val="003C76B6"/>
    <w:rsid w:val="003C778C"/>
    <w:rsid w:val="003C77C7"/>
    <w:rsid w:val="003C77E9"/>
    <w:rsid w:val="003C7809"/>
    <w:rsid w:val="003C7822"/>
    <w:rsid w:val="003C783E"/>
    <w:rsid w:val="003C7855"/>
    <w:rsid w:val="003C7866"/>
    <w:rsid w:val="003C789F"/>
    <w:rsid w:val="003C78DC"/>
    <w:rsid w:val="003C7912"/>
    <w:rsid w:val="003C7930"/>
    <w:rsid w:val="003C794D"/>
    <w:rsid w:val="003C7973"/>
    <w:rsid w:val="003C79F1"/>
    <w:rsid w:val="003C7A04"/>
    <w:rsid w:val="003C7A4D"/>
    <w:rsid w:val="003C7A59"/>
    <w:rsid w:val="003C7AD1"/>
    <w:rsid w:val="003C7AF7"/>
    <w:rsid w:val="003C7B50"/>
    <w:rsid w:val="003C7B60"/>
    <w:rsid w:val="003C7BB9"/>
    <w:rsid w:val="003C7C3C"/>
    <w:rsid w:val="003C7C90"/>
    <w:rsid w:val="003C7CA3"/>
    <w:rsid w:val="003C7CE6"/>
    <w:rsid w:val="003C7D44"/>
    <w:rsid w:val="003C7D4E"/>
    <w:rsid w:val="003C7D5D"/>
    <w:rsid w:val="003C7D64"/>
    <w:rsid w:val="003C7D74"/>
    <w:rsid w:val="003C7D97"/>
    <w:rsid w:val="003C7DBE"/>
    <w:rsid w:val="003C7DE8"/>
    <w:rsid w:val="003C7DF3"/>
    <w:rsid w:val="003C7E31"/>
    <w:rsid w:val="003C7E3C"/>
    <w:rsid w:val="003C7F47"/>
    <w:rsid w:val="003C7FC0"/>
    <w:rsid w:val="003D0003"/>
    <w:rsid w:val="003D000D"/>
    <w:rsid w:val="003D005C"/>
    <w:rsid w:val="003D008C"/>
    <w:rsid w:val="003D0098"/>
    <w:rsid w:val="003D00C6"/>
    <w:rsid w:val="003D0121"/>
    <w:rsid w:val="003D014B"/>
    <w:rsid w:val="003D0157"/>
    <w:rsid w:val="003D01A4"/>
    <w:rsid w:val="003D01CE"/>
    <w:rsid w:val="003D01EB"/>
    <w:rsid w:val="003D020C"/>
    <w:rsid w:val="003D0261"/>
    <w:rsid w:val="003D02A7"/>
    <w:rsid w:val="003D02AD"/>
    <w:rsid w:val="003D0308"/>
    <w:rsid w:val="003D03B6"/>
    <w:rsid w:val="003D03D2"/>
    <w:rsid w:val="003D041E"/>
    <w:rsid w:val="003D0422"/>
    <w:rsid w:val="003D0437"/>
    <w:rsid w:val="003D0439"/>
    <w:rsid w:val="003D04B4"/>
    <w:rsid w:val="003D058A"/>
    <w:rsid w:val="003D05FF"/>
    <w:rsid w:val="003D06CA"/>
    <w:rsid w:val="003D06F8"/>
    <w:rsid w:val="003D0749"/>
    <w:rsid w:val="003D0761"/>
    <w:rsid w:val="003D07B9"/>
    <w:rsid w:val="003D088F"/>
    <w:rsid w:val="003D08B5"/>
    <w:rsid w:val="003D08D0"/>
    <w:rsid w:val="003D0961"/>
    <w:rsid w:val="003D0962"/>
    <w:rsid w:val="003D096A"/>
    <w:rsid w:val="003D09DA"/>
    <w:rsid w:val="003D0A09"/>
    <w:rsid w:val="003D0A16"/>
    <w:rsid w:val="003D0A8F"/>
    <w:rsid w:val="003D0AE5"/>
    <w:rsid w:val="003D0B36"/>
    <w:rsid w:val="003D0B47"/>
    <w:rsid w:val="003D0BD0"/>
    <w:rsid w:val="003D0BD3"/>
    <w:rsid w:val="003D0C0B"/>
    <w:rsid w:val="003D0C3C"/>
    <w:rsid w:val="003D0C81"/>
    <w:rsid w:val="003D0C97"/>
    <w:rsid w:val="003D0D22"/>
    <w:rsid w:val="003D0D37"/>
    <w:rsid w:val="003D0DA4"/>
    <w:rsid w:val="003D0DE2"/>
    <w:rsid w:val="003D0E16"/>
    <w:rsid w:val="003D0E20"/>
    <w:rsid w:val="003D0E45"/>
    <w:rsid w:val="003D0E74"/>
    <w:rsid w:val="003D0ED3"/>
    <w:rsid w:val="003D0F0B"/>
    <w:rsid w:val="003D0F2A"/>
    <w:rsid w:val="003D0F50"/>
    <w:rsid w:val="003D0F60"/>
    <w:rsid w:val="003D0F6A"/>
    <w:rsid w:val="003D0F70"/>
    <w:rsid w:val="003D0F8A"/>
    <w:rsid w:val="003D0F8B"/>
    <w:rsid w:val="003D0FAE"/>
    <w:rsid w:val="003D0FD6"/>
    <w:rsid w:val="003D1012"/>
    <w:rsid w:val="003D1013"/>
    <w:rsid w:val="003D1047"/>
    <w:rsid w:val="003D1059"/>
    <w:rsid w:val="003D1062"/>
    <w:rsid w:val="003D10DA"/>
    <w:rsid w:val="003D10EA"/>
    <w:rsid w:val="003D10F9"/>
    <w:rsid w:val="003D1129"/>
    <w:rsid w:val="003D116A"/>
    <w:rsid w:val="003D119E"/>
    <w:rsid w:val="003D11D1"/>
    <w:rsid w:val="003D1217"/>
    <w:rsid w:val="003D121A"/>
    <w:rsid w:val="003D1256"/>
    <w:rsid w:val="003D1279"/>
    <w:rsid w:val="003D127C"/>
    <w:rsid w:val="003D12CD"/>
    <w:rsid w:val="003D1313"/>
    <w:rsid w:val="003D1317"/>
    <w:rsid w:val="003D1397"/>
    <w:rsid w:val="003D13D7"/>
    <w:rsid w:val="003D141C"/>
    <w:rsid w:val="003D1434"/>
    <w:rsid w:val="003D1444"/>
    <w:rsid w:val="003D1452"/>
    <w:rsid w:val="003D147D"/>
    <w:rsid w:val="003D1498"/>
    <w:rsid w:val="003D14C3"/>
    <w:rsid w:val="003D14DD"/>
    <w:rsid w:val="003D150D"/>
    <w:rsid w:val="003D1528"/>
    <w:rsid w:val="003D158F"/>
    <w:rsid w:val="003D1627"/>
    <w:rsid w:val="003D1634"/>
    <w:rsid w:val="003D1683"/>
    <w:rsid w:val="003D168A"/>
    <w:rsid w:val="003D16AB"/>
    <w:rsid w:val="003D16D8"/>
    <w:rsid w:val="003D16FF"/>
    <w:rsid w:val="003D1717"/>
    <w:rsid w:val="003D172A"/>
    <w:rsid w:val="003D176C"/>
    <w:rsid w:val="003D17B1"/>
    <w:rsid w:val="003D17F5"/>
    <w:rsid w:val="003D183B"/>
    <w:rsid w:val="003D1842"/>
    <w:rsid w:val="003D187D"/>
    <w:rsid w:val="003D188D"/>
    <w:rsid w:val="003D18B6"/>
    <w:rsid w:val="003D18E1"/>
    <w:rsid w:val="003D18E9"/>
    <w:rsid w:val="003D1903"/>
    <w:rsid w:val="003D192A"/>
    <w:rsid w:val="003D198C"/>
    <w:rsid w:val="003D19C6"/>
    <w:rsid w:val="003D1AD7"/>
    <w:rsid w:val="003D1AEC"/>
    <w:rsid w:val="003D1AF8"/>
    <w:rsid w:val="003D1B63"/>
    <w:rsid w:val="003D1BB1"/>
    <w:rsid w:val="003D1BCB"/>
    <w:rsid w:val="003D1BE4"/>
    <w:rsid w:val="003D1C42"/>
    <w:rsid w:val="003D1C84"/>
    <w:rsid w:val="003D1CB8"/>
    <w:rsid w:val="003D1D16"/>
    <w:rsid w:val="003D1D24"/>
    <w:rsid w:val="003D1D49"/>
    <w:rsid w:val="003D1D4F"/>
    <w:rsid w:val="003D1D70"/>
    <w:rsid w:val="003D1D9D"/>
    <w:rsid w:val="003D1DCF"/>
    <w:rsid w:val="003D1E35"/>
    <w:rsid w:val="003D1E50"/>
    <w:rsid w:val="003D1E76"/>
    <w:rsid w:val="003D1E86"/>
    <w:rsid w:val="003D1EFD"/>
    <w:rsid w:val="003D1F22"/>
    <w:rsid w:val="003D2007"/>
    <w:rsid w:val="003D2049"/>
    <w:rsid w:val="003D204C"/>
    <w:rsid w:val="003D205D"/>
    <w:rsid w:val="003D206A"/>
    <w:rsid w:val="003D20BA"/>
    <w:rsid w:val="003D2106"/>
    <w:rsid w:val="003D2121"/>
    <w:rsid w:val="003D2126"/>
    <w:rsid w:val="003D213B"/>
    <w:rsid w:val="003D2140"/>
    <w:rsid w:val="003D2173"/>
    <w:rsid w:val="003D21F3"/>
    <w:rsid w:val="003D222B"/>
    <w:rsid w:val="003D2240"/>
    <w:rsid w:val="003D2246"/>
    <w:rsid w:val="003D225B"/>
    <w:rsid w:val="003D2276"/>
    <w:rsid w:val="003D22A0"/>
    <w:rsid w:val="003D22CF"/>
    <w:rsid w:val="003D22EC"/>
    <w:rsid w:val="003D238C"/>
    <w:rsid w:val="003D2400"/>
    <w:rsid w:val="003D2449"/>
    <w:rsid w:val="003D2472"/>
    <w:rsid w:val="003D2496"/>
    <w:rsid w:val="003D24D4"/>
    <w:rsid w:val="003D252E"/>
    <w:rsid w:val="003D257F"/>
    <w:rsid w:val="003D25DF"/>
    <w:rsid w:val="003D25E0"/>
    <w:rsid w:val="003D25EE"/>
    <w:rsid w:val="003D2618"/>
    <w:rsid w:val="003D2620"/>
    <w:rsid w:val="003D26E2"/>
    <w:rsid w:val="003D26F2"/>
    <w:rsid w:val="003D2708"/>
    <w:rsid w:val="003D272A"/>
    <w:rsid w:val="003D276B"/>
    <w:rsid w:val="003D2787"/>
    <w:rsid w:val="003D279A"/>
    <w:rsid w:val="003D2863"/>
    <w:rsid w:val="003D288E"/>
    <w:rsid w:val="003D28BA"/>
    <w:rsid w:val="003D28D3"/>
    <w:rsid w:val="003D2938"/>
    <w:rsid w:val="003D2950"/>
    <w:rsid w:val="003D295D"/>
    <w:rsid w:val="003D2981"/>
    <w:rsid w:val="003D29B6"/>
    <w:rsid w:val="003D29CB"/>
    <w:rsid w:val="003D2A24"/>
    <w:rsid w:val="003D2A5E"/>
    <w:rsid w:val="003D2A76"/>
    <w:rsid w:val="003D2A85"/>
    <w:rsid w:val="003D2ACB"/>
    <w:rsid w:val="003D2AF8"/>
    <w:rsid w:val="003D2B84"/>
    <w:rsid w:val="003D2BB4"/>
    <w:rsid w:val="003D2BBA"/>
    <w:rsid w:val="003D2BBB"/>
    <w:rsid w:val="003D2BC3"/>
    <w:rsid w:val="003D2BD2"/>
    <w:rsid w:val="003D2BD5"/>
    <w:rsid w:val="003D2BDE"/>
    <w:rsid w:val="003D2C12"/>
    <w:rsid w:val="003D2C42"/>
    <w:rsid w:val="003D2C5B"/>
    <w:rsid w:val="003D2C84"/>
    <w:rsid w:val="003D2CBD"/>
    <w:rsid w:val="003D2D04"/>
    <w:rsid w:val="003D2D05"/>
    <w:rsid w:val="003D2D09"/>
    <w:rsid w:val="003D2D13"/>
    <w:rsid w:val="003D2D60"/>
    <w:rsid w:val="003D2D93"/>
    <w:rsid w:val="003D2DC3"/>
    <w:rsid w:val="003D2E4A"/>
    <w:rsid w:val="003D2E5D"/>
    <w:rsid w:val="003D2EFB"/>
    <w:rsid w:val="003D2F07"/>
    <w:rsid w:val="003D2F58"/>
    <w:rsid w:val="003D2F90"/>
    <w:rsid w:val="003D304B"/>
    <w:rsid w:val="003D3056"/>
    <w:rsid w:val="003D30A8"/>
    <w:rsid w:val="003D313A"/>
    <w:rsid w:val="003D314B"/>
    <w:rsid w:val="003D317E"/>
    <w:rsid w:val="003D3185"/>
    <w:rsid w:val="003D31AE"/>
    <w:rsid w:val="003D3222"/>
    <w:rsid w:val="003D322F"/>
    <w:rsid w:val="003D32EC"/>
    <w:rsid w:val="003D3308"/>
    <w:rsid w:val="003D3323"/>
    <w:rsid w:val="003D3324"/>
    <w:rsid w:val="003D33D1"/>
    <w:rsid w:val="003D33E4"/>
    <w:rsid w:val="003D3431"/>
    <w:rsid w:val="003D3436"/>
    <w:rsid w:val="003D3441"/>
    <w:rsid w:val="003D34B3"/>
    <w:rsid w:val="003D3540"/>
    <w:rsid w:val="003D3553"/>
    <w:rsid w:val="003D35B6"/>
    <w:rsid w:val="003D35EC"/>
    <w:rsid w:val="003D35FE"/>
    <w:rsid w:val="003D3603"/>
    <w:rsid w:val="003D367F"/>
    <w:rsid w:val="003D36C4"/>
    <w:rsid w:val="003D3727"/>
    <w:rsid w:val="003D376C"/>
    <w:rsid w:val="003D377D"/>
    <w:rsid w:val="003D37B6"/>
    <w:rsid w:val="003D37BA"/>
    <w:rsid w:val="003D37D5"/>
    <w:rsid w:val="003D381B"/>
    <w:rsid w:val="003D383F"/>
    <w:rsid w:val="003D3845"/>
    <w:rsid w:val="003D38A1"/>
    <w:rsid w:val="003D38BD"/>
    <w:rsid w:val="003D3925"/>
    <w:rsid w:val="003D398B"/>
    <w:rsid w:val="003D39CA"/>
    <w:rsid w:val="003D39FD"/>
    <w:rsid w:val="003D3A25"/>
    <w:rsid w:val="003D3A38"/>
    <w:rsid w:val="003D3AC7"/>
    <w:rsid w:val="003D3B2D"/>
    <w:rsid w:val="003D3B45"/>
    <w:rsid w:val="003D3B83"/>
    <w:rsid w:val="003D3B89"/>
    <w:rsid w:val="003D3B90"/>
    <w:rsid w:val="003D3BD2"/>
    <w:rsid w:val="003D3C59"/>
    <w:rsid w:val="003D3C8B"/>
    <w:rsid w:val="003D3D03"/>
    <w:rsid w:val="003D3D15"/>
    <w:rsid w:val="003D3D38"/>
    <w:rsid w:val="003D3D68"/>
    <w:rsid w:val="003D3E01"/>
    <w:rsid w:val="003D3E0D"/>
    <w:rsid w:val="003D3E61"/>
    <w:rsid w:val="003D3E75"/>
    <w:rsid w:val="003D3E85"/>
    <w:rsid w:val="003D3E8C"/>
    <w:rsid w:val="003D3E9C"/>
    <w:rsid w:val="003D3EC3"/>
    <w:rsid w:val="003D3F10"/>
    <w:rsid w:val="003D3F23"/>
    <w:rsid w:val="003D3F5D"/>
    <w:rsid w:val="003D3FF3"/>
    <w:rsid w:val="003D3FF5"/>
    <w:rsid w:val="003D4002"/>
    <w:rsid w:val="003D4033"/>
    <w:rsid w:val="003D406B"/>
    <w:rsid w:val="003D40DB"/>
    <w:rsid w:val="003D40FE"/>
    <w:rsid w:val="003D4119"/>
    <w:rsid w:val="003D416F"/>
    <w:rsid w:val="003D41B1"/>
    <w:rsid w:val="003D4229"/>
    <w:rsid w:val="003D4232"/>
    <w:rsid w:val="003D4256"/>
    <w:rsid w:val="003D425A"/>
    <w:rsid w:val="003D425B"/>
    <w:rsid w:val="003D4336"/>
    <w:rsid w:val="003D4342"/>
    <w:rsid w:val="003D4343"/>
    <w:rsid w:val="003D4374"/>
    <w:rsid w:val="003D437F"/>
    <w:rsid w:val="003D43A4"/>
    <w:rsid w:val="003D43CA"/>
    <w:rsid w:val="003D4440"/>
    <w:rsid w:val="003D448B"/>
    <w:rsid w:val="003D44D0"/>
    <w:rsid w:val="003D4563"/>
    <w:rsid w:val="003D45C7"/>
    <w:rsid w:val="003D45FF"/>
    <w:rsid w:val="003D461E"/>
    <w:rsid w:val="003D4621"/>
    <w:rsid w:val="003D4630"/>
    <w:rsid w:val="003D4697"/>
    <w:rsid w:val="003D471C"/>
    <w:rsid w:val="003D477B"/>
    <w:rsid w:val="003D47AF"/>
    <w:rsid w:val="003D47CF"/>
    <w:rsid w:val="003D47FD"/>
    <w:rsid w:val="003D4834"/>
    <w:rsid w:val="003D484C"/>
    <w:rsid w:val="003D486A"/>
    <w:rsid w:val="003D48A2"/>
    <w:rsid w:val="003D48AA"/>
    <w:rsid w:val="003D4A71"/>
    <w:rsid w:val="003D4ABC"/>
    <w:rsid w:val="003D4ACA"/>
    <w:rsid w:val="003D4AE4"/>
    <w:rsid w:val="003D4AFC"/>
    <w:rsid w:val="003D4B44"/>
    <w:rsid w:val="003D4B93"/>
    <w:rsid w:val="003D4BA8"/>
    <w:rsid w:val="003D4BDC"/>
    <w:rsid w:val="003D4BE2"/>
    <w:rsid w:val="003D4BEA"/>
    <w:rsid w:val="003D4BF6"/>
    <w:rsid w:val="003D4C21"/>
    <w:rsid w:val="003D4C32"/>
    <w:rsid w:val="003D4C5B"/>
    <w:rsid w:val="003D4C61"/>
    <w:rsid w:val="003D4CB4"/>
    <w:rsid w:val="003D4CD1"/>
    <w:rsid w:val="003D4D15"/>
    <w:rsid w:val="003D4D2B"/>
    <w:rsid w:val="003D4DA4"/>
    <w:rsid w:val="003D4DC6"/>
    <w:rsid w:val="003D4DF3"/>
    <w:rsid w:val="003D4E40"/>
    <w:rsid w:val="003D4E47"/>
    <w:rsid w:val="003D4EAE"/>
    <w:rsid w:val="003D4F48"/>
    <w:rsid w:val="003D4FDD"/>
    <w:rsid w:val="003D4FE6"/>
    <w:rsid w:val="003D5008"/>
    <w:rsid w:val="003D5025"/>
    <w:rsid w:val="003D5137"/>
    <w:rsid w:val="003D51AE"/>
    <w:rsid w:val="003D51F9"/>
    <w:rsid w:val="003D51FD"/>
    <w:rsid w:val="003D5245"/>
    <w:rsid w:val="003D5277"/>
    <w:rsid w:val="003D529F"/>
    <w:rsid w:val="003D52A0"/>
    <w:rsid w:val="003D52AB"/>
    <w:rsid w:val="003D52F2"/>
    <w:rsid w:val="003D5318"/>
    <w:rsid w:val="003D531C"/>
    <w:rsid w:val="003D53A7"/>
    <w:rsid w:val="003D549C"/>
    <w:rsid w:val="003D54A9"/>
    <w:rsid w:val="003D54C1"/>
    <w:rsid w:val="003D54FE"/>
    <w:rsid w:val="003D553F"/>
    <w:rsid w:val="003D5588"/>
    <w:rsid w:val="003D5598"/>
    <w:rsid w:val="003D5599"/>
    <w:rsid w:val="003D55CA"/>
    <w:rsid w:val="003D561C"/>
    <w:rsid w:val="003D5638"/>
    <w:rsid w:val="003D5699"/>
    <w:rsid w:val="003D56CE"/>
    <w:rsid w:val="003D5722"/>
    <w:rsid w:val="003D57CD"/>
    <w:rsid w:val="003D57E1"/>
    <w:rsid w:val="003D57F0"/>
    <w:rsid w:val="003D5823"/>
    <w:rsid w:val="003D583A"/>
    <w:rsid w:val="003D5892"/>
    <w:rsid w:val="003D58AA"/>
    <w:rsid w:val="003D5948"/>
    <w:rsid w:val="003D59C1"/>
    <w:rsid w:val="003D5A1E"/>
    <w:rsid w:val="003D5A2E"/>
    <w:rsid w:val="003D5A92"/>
    <w:rsid w:val="003D5AC7"/>
    <w:rsid w:val="003D5AE1"/>
    <w:rsid w:val="003D5AF6"/>
    <w:rsid w:val="003D5AFB"/>
    <w:rsid w:val="003D5B66"/>
    <w:rsid w:val="003D5BC9"/>
    <w:rsid w:val="003D5BDB"/>
    <w:rsid w:val="003D5BF2"/>
    <w:rsid w:val="003D5C13"/>
    <w:rsid w:val="003D5C15"/>
    <w:rsid w:val="003D5C2E"/>
    <w:rsid w:val="003D5C36"/>
    <w:rsid w:val="003D5CAA"/>
    <w:rsid w:val="003D5CAE"/>
    <w:rsid w:val="003D5CBD"/>
    <w:rsid w:val="003D5CC6"/>
    <w:rsid w:val="003D5D18"/>
    <w:rsid w:val="003D5D6C"/>
    <w:rsid w:val="003D5D83"/>
    <w:rsid w:val="003D5DD3"/>
    <w:rsid w:val="003D5DDB"/>
    <w:rsid w:val="003D5E82"/>
    <w:rsid w:val="003D5F10"/>
    <w:rsid w:val="003D5F2C"/>
    <w:rsid w:val="003D5F33"/>
    <w:rsid w:val="003D5FB2"/>
    <w:rsid w:val="003D5FFD"/>
    <w:rsid w:val="003D600D"/>
    <w:rsid w:val="003D6016"/>
    <w:rsid w:val="003D601F"/>
    <w:rsid w:val="003D6036"/>
    <w:rsid w:val="003D60DC"/>
    <w:rsid w:val="003D6106"/>
    <w:rsid w:val="003D6134"/>
    <w:rsid w:val="003D618C"/>
    <w:rsid w:val="003D61E5"/>
    <w:rsid w:val="003D622D"/>
    <w:rsid w:val="003D6256"/>
    <w:rsid w:val="003D6265"/>
    <w:rsid w:val="003D6287"/>
    <w:rsid w:val="003D62A0"/>
    <w:rsid w:val="003D633A"/>
    <w:rsid w:val="003D6382"/>
    <w:rsid w:val="003D63A7"/>
    <w:rsid w:val="003D6434"/>
    <w:rsid w:val="003D643E"/>
    <w:rsid w:val="003D6454"/>
    <w:rsid w:val="003D6477"/>
    <w:rsid w:val="003D6555"/>
    <w:rsid w:val="003D6592"/>
    <w:rsid w:val="003D66D5"/>
    <w:rsid w:val="003D671E"/>
    <w:rsid w:val="003D679D"/>
    <w:rsid w:val="003D67A8"/>
    <w:rsid w:val="003D67D3"/>
    <w:rsid w:val="003D690F"/>
    <w:rsid w:val="003D6928"/>
    <w:rsid w:val="003D692C"/>
    <w:rsid w:val="003D6995"/>
    <w:rsid w:val="003D69B0"/>
    <w:rsid w:val="003D69E9"/>
    <w:rsid w:val="003D6AA0"/>
    <w:rsid w:val="003D6ADD"/>
    <w:rsid w:val="003D6AF5"/>
    <w:rsid w:val="003D6B35"/>
    <w:rsid w:val="003D6B51"/>
    <w:rsid w:val="003D6BDE"/>
    <w:rsid w:val="003D6BE0"/>
    <w:rsid w:val="003D6BE2"/>
    <w:rsid w:val="003D6CA7"/>
    <w:rsid w:val="003D6CAE"/>
    <w:rsid w:val="003D6CCE"/>
    <w:rsid w:val="003D6D12"/>
    <w:rsid w:val="003D6D32"/>
    <w:rsid w:val="003D6D63"/>
    <w:rsid w:val="003D6D6D"/>
    <w:rsid w:val="003D6D88"/>
    <w:rsid w:val="003D6D8E"/>
    <w:rsid w:val="003D6DD5"/>
    <w:rsid w:val="003D6DD9"/>
    <w:rsid w:val="003D6DF6"/>
    <w:rsid w:val="003D6E76"/>
    <w:rsid w:val="003D6F71"/>
    <w:rsid w:val="003D6FC8"/>
    <w:rsid w:val="003D6FFB"/>
    <w:rsid w:val="003D7026"/>
    <w:rsid w:val="003D707A"/>
    <w:rsid w:val="003D7085"/>
    <w:rsid w:val="003D70B1"/>
    <w:rsid w:val="003D70BB"/>
    <w:rsid w:val="003D70F8"/>
    <w:rsid w:val="003D714B"/>
    <w:rsid w:val="003D71E5"/>
    <w:rsid w:val="003D72C1"/>
    <w:rsid w:val="003D7402"/>
    <w:rsid w:val="003D7432"/>
    <w:rsid w:val="003D747F"/>
    <w:rsid w:val="003D7502"/>
    <w:rsid w:val="003D7511"/>
    <w:rsid w:val="003D755A"/>
    <w:rsid w:val="003D75B3"/>
    <w:rsid w:val="003D7669"/>
    <w:rsid w:val="003D76F2"/>
    <w:rsid w:val="003D77B9"/>
    <w:rsid w:val="003D7858"/>
    <w:rsid w:val="003D78B6"/>
    <w:rsid w:val="003D78C0"/>
    <w:rsid w:val="003D7924"/>
    <w:rsid w:val="003D7989"/>
    <w:rsid w:val="003D79EF"/>
    <w:rsid w:val="003D7A59"/>
    <w:rsid w:val="003D7AEE"/>
    <w:rsid w:val="003D7B62"/>
    <w:rsid w:val="003D7B6F"/>
    <w:rsid w:val="003D7BD7"/>
    <w:rsid w:val="003D7BF1"/>
    <w:rsid w:val="003D7BF3"/>
    <w:rsid w:val="003D7C2A"/>
    <w:rsid w:val="003D7C4D"/>
    <w:rsid w:val="003D7CB2"/>
    <w:rsid w:val="003D7CB7"/>
    <w:rsid w:val="003D7CED"/>
    <w:rsid w:val="003D7D8D"/>
    <w:rsid w:val="003D7DB2"/>
    <w:rsid w:val="003D7E1C"/>
    <w:rsid w:val="003D7E31"/>
    <w:rsid w:val="003D7F1B"/>
    <w:rsid w:val="003D7F77"/>
    <w:rsid w:val="003D7FA4"/>
    <w:rsid w:val="003D7FBD"/>
    <w:rsid w:val="003D7FEE"/>
    <w:rsid w:val="003E0057"/>
    <w:rsid w:val="003E00B5"/>
    <w:rsid w:val="003E00C6"/>
    <w:rsid w:val="003E00CB"/>
    <w:rsid w:val="003E0114"/>
    <w:rsid w:val="003E0233"/>
    <w:rsid w:val="003E02A3"/>
    <w:rsid w:val="003E030C"/>
    <w:rsid w:val="003E033C"/>
    <w:rsid w:val="003E0342"/>
    <w:rsid w:val="003E034A"/>
    <w:rsid w:val="003E03F9"/>
    <w:rsid w:val="003E03FD"/>
    <w:rsid w:val="003E0417"/>
    <w:rsid w:val="003E0419"/>
    <w:rsid w:val="003E0520"/>
    <w:rsid w:val="003E0528"/>
    <w:rsid w:val="003E05B2"/>
    <w:rsid w:val="003E05D2"/>
    <w:rsid w:val="003E05FC"/>
    <w:rsid w:val="003E064C"/>
    <w:rsid w:val="003E0665"/>
    <w:rsid w:val="003E06EF"/>
    <w:rsid w:val="003E06F8"/>
    <w:rsid w:val="003E0710"/>
    <w:rsid w:val="003E07A7"/>
    <w:rsid w:val="003E07D5"/>
    <w:rsid w:val="003E082C"/>
    <w:rsid w:val="003E0843"/>
    <w:rsid w:val="003E0851"/>
    <w:rsid w:val="003E08B7"/>
    <w:rsid w:val="003E0945"/>
    <w:rsid w:val="003E0986"/>
    <w:rsid w:val="003E09B1"/>
    <w:rsid w:val="003E09CE"/>
    <w:rsid w:val="003E09F1"/>
    <w:rsid w:val="003E0A3C"/>
    <w:rsid w:val="003E0A5A"/>
    <w:rsid w:val="003E0B4F"/>
    <w:rsid w:val="003E0B6A"/>
    <w:rsid w:val="003E0C31"/>
    <w:rsid w:val="003E0C32"/>
    <w:rsid w:val="003E0C6B"/>
    <w:rsid w:val="003E0CBD"/>
    <w:rsid w:val="003E0CF0"/>
    <w:rsid w:val="003E0D25"/>
    <w:rsid w:val="003E0D29"/>
    <w:rsid w:val="003E0D33"/>
    <w:rsid w:val="003E0D6D"/>
    <w:rsid w:val="003E0E10"/>
    <w:rsid w:val="003E0E72"/>
    <w:rsid w:val="003E0EA7"/>
    <w:rsid w:val="003E0F00"/>
    <w:rsid w:val="003E0F6E"/>
    <w:rsid w:val="003E0F92"/>
    <w:rsid w:val="003E0FE6"/>
    <w:rsid w:val="003E101B"/>
    <w:rsid w:val="003E10B4"/>
    <w:rsid w:val="003E10C1"/>
    <w:rsid w:val="003E10C8"/>
    <w:rsid w:val="003E10ED"/>
    <w:rsid w:val="003E1147"/>
    <w:rsid w:val="003E1188"/>
    <w:rsid w:val="003E1192"/>
    <w:rsid w:val="003E11AD"/>
    <w:rsid w:val="003E1241"/>
    <w:rsid w:val="003E126D"/>
    <w:rsid w:val="003E1273"/>
    <w:rsid w:val="003E12A0"/>
    <w:rsid w:val="003E12EB"/>
    <w:rsid w:val="003E131C"/>
    <w:rsid w:val="003E1320"/>
    <w:rsid w:val="003E1399"/>
    <w:rsid w:val="003E13AF"/>
    <w:rsid w:val="003E13B1"/>
    <w:rsid w:val="003E13B6"/>
    <w:rsid w:val="003E13DA"/>
    <w:rsid w:val="003E13F5"/>
    <w:rsid w:val="003E140E"/>
    <w:rsid w:val="003E1451"/>
    <w:rsid w:val="003E14B6"/>
    <w:rsid w:val="003E14E5"/>
    <w:rsid w:val="003E152A"/>
    <w:rsid w:val="003E157F"/>
    <w:rsid w:val="003E1599"/>
    <w:rsid w:val="003E16B0"/>
    <w:rsid w:val="003E16D6"/>
    <w:rsid w:val="003E172F"/>
    <w:rsid w:val="003E173C"/>
    <w:rsid w:val="003E1753"/>
    <w:rsid w:val="003E177F"/>
    <w:rsid w:val="003E182E"/>
    <w:rsid w:val="003E188A"/>
    <w:rsid w:val="003E1896"/>
    <w:rsid w:val="003E18A6"/>
    <w:rsid w:val="003E18B8"/>
    <w:rsid w:val="003E18BD"/>
    <w:rsid w:val="003E191A"/>
    <w:rsid w:val="003E1945"/>
    <w:rsid w:val="003E1959"/>
    <w:rsid w:val="003E19C5"/>
    <w:rsid w:val="003E19CC"/>
    <w:rsid w:val="003E19FC"/>
    <w:rsid w:val="003E1A16"/>
    <w:rsid w:val="003E1A83"/>
    <w:rsid w:val="003E1AB4"/>
    <w:rsid w:val="003E1AB5"/>
    <w:rsid w:val="003E1B20"/>
    <w:rsid w:val="003E1B64"/>
    <w:rsid w:val="003E1BE4"/>
    <w:rsid w:val="003E1BFB"/>
    <w:rsid w:val="003E1C01"/>
    <w:rsid w:val="003E1C46"/>
    <w:rsid w:val="003E1C5C"/>
    <w:rsid w:val="003E1C8C"/>
    <w:rsid w:val="003E1CBF"/>
    <w:rsid w:val="003E1CDD"/>
    <w:rsid w:val="003E1CFD"/>
    <w:rsid w:val="003E1D2C"/>
    <w:rsid w:val="003E1D51"/>
    <w:rsid w:val="003E1D83"/>
    <w:rsid w:val="003E1E01"/>
    <w:rsid w:val="003E1E24"/>
    <w:rsid w:val="003E1E35"/>
    <w:rsid w:val="003E1F2C"/>
    <w:rsid w:val="003E1F35"/>
    <w:rsid w:val="003E1F7F"/>
    <w:rsid w:val="003E1F8E"/>
    <w:rsid w:val="003E204C"/>
    <w:rsid w:val="003E205C"/>
    <w:rsid w:val="003E2060"/>
    <w:rsid w:val="003E208C"/>
    <w:rsid w:val="003E20AA"/>
    <w:rsid w:val="003E2101"/>
    <w:rsid w:val="003E214C"/>
    <w:rsid w:val="003E2196"/>
    <w:rsid w:val="003E21BC"/>
    <w:rsid w:val="003E21CE"/>
    <w:rsid w:val="003E21E3"/>
    <w:rsid w:val="003E21F6"/>
    <w:rsid w:val="003E228E"/>
    <w:rsid w:val="003E22FA"/>
    <w:rsid w:val="003E22FE"/>
    <w:rsid w:val="003E232F"/>
    <w:rsid w:val="003E234D"/>
    <w:rsid w:val="003E23C5"/>
    <w:rsid w:val="003E2410"/>
    <w:rsid w:val="003E2429"/>
    <w:rsid w:val="003E24B8"/>
    <w:rsid w:val="003E24F4"/>
    <w:rsid w:val="003E2503"/>
    <w:rsid w:val="003E251E"/>
    <w:rsid w:val="003E254B"/>
    <w:rsid w:val="003E25AB"/>
    <w:rsid w:val="003E25FC"/>
    <w:rsid w:val="003E2612"/>
    <w:rsid w:val="003E2627"/>
    <w:rsid w:val="003E2650"/>
    <w:rsid w:val="003E2661"/>
    <w:rsid w:val="003E271D"/>
    <w:rsid w:val="003E2756"/>
    <w:rsid w:val="003E276F"/>
    <w:rsid w:val="003E27A1"/>
    <w:rsid w:val="003E27B1"/>
    <w:rsid w:val="003E27CA"/>
    <w:rsid w:val="003E27D0"/>
    <w:rsid w:val="003E27DE"/>
    <w:rsid w:val="003E2816"/>
    <w:rsid w:val="003E2849"/>
    <w:rsid w:val="003E2894"/>
    <w:rsid w:val="003E28A7"/>
    <w:rsid w:val="003E290C"/>
    <w:rsid w:val="003E2926"/>
    <w:rsid w:val="003E2941"/>
    <w:rsid w:val="003E2991"/>
    <w:rsid w:val="003E2998"/>
    <w:rsid w:val="003E299B"/>
    <w:rsid w:val="003E29C0"/>
    <w:rsid w:val="003E29C4"/>
    <w:rsid w:val="003E2A57"/>
    <w:rsid w:val="003E2A7F"/>
    <w:rsid w:val="003E2AA3"/>
    <w:rsid w:val="003E2AE5"/>
    <w:rsid w:val="003E2B0F"/>
    <w:rsid w:val="003E2B4A"/>
    <w:rsid w:val="003E2B5B"/>
    <w:rsid w:val="003E2B73"/>
    <w:rsid w:val="003E2B8A"/>
    <w:rsid w:val="003E2B90"/>
    <w:rsid w:val="003E2BBD"/>
    <w:rsid w:val="003E2BE1"/>
    <w:rsid w:val="003E2BED"/>
    <w:rsid w:val="003E2C15"/>
    <w:rsid w:val="003E2C1C"/>
    <w:rsid w:val="003E2C3A"/>
    <w:rsid w:val="003E2C74"/>
    <w:rsid w:val="003E2CAC"/>
    <w:rsid w:val="003E2CB1"/>
    <w:rsid w:val="003E2CE4"/>
    <w:rsid w:val="003E2CE7"/>
    <w:rsid w:val="003E2D07"/>
    <w:rsid w:val="003E2D1B"/>
    <w:rsid w:val="003E2D5E"/>
    <w:rsid w:val="003E2D64"/>
    <w:rsid w:val="003E2DF1"/>
    <w:rsid w:val="003E2E90"/>
    <w:rsid w:val="003E2E94"/>
    <w:rsid w:val="003E2EB9"/>
    <w:rsid w:val="003E2EF4"/>
    <w:rsid w:val="003E2F08"/>
    <w:rsid w:val="003E2F35"/>
    <w:rsid w:val="003E2F37"/>
    <w:rsid w:val="003E2F49"/>
    <w:rsid w:val="003E2F9B"/>
    <w:rsid w:val="003E2FAC"/>
    <w:rsid w:val="003E2FC0"/>
    <w:rsid w:val="003E2FDD"/>
    <w:rsid w:val="003E3018"/>
    <w:rsid w:val="003E3036"/>
    <w:rsid w:val="003E3042"/>
    <w:rsid w:val="003E307B"/>
    <w:rsid w:val="003E30AF"/>
    <w:rsid w:val="003E30FC"/>
    <w:rsid w:val="003E314D"/>
    <w:rsid w:val="003E318B"/>
    <w:rsid w:val="003E3191"/>
    <w:rsid w:val="003E3196"/>
    <w:rsid w:val="003E320C"/>
    <w:rsid w:val="003E3213"/>
    <w:rsid w:val="003E3253"/>
    <w:rsid w:val="003E327A"/>
    <w:rsid w:val="003E32CA"/>
    <w:rsid w:val="003E32CE"/>
    <w:rsid w:val="003E32DF"/>
    <w:rsid w:val="003E3300"/>
    <w:rsid w:val="003E3348"/>
    <w:rsid w:val="003E33FD"/>
    <w:rsid w:val="003E3425"/>
    <w:rsid w:val="003E342E"/>
    <w:rsid w:val="003E345D"/>
    <w:rsid w:val="003E34FE"/>
    <w:rsid w:val="003E3532"/>
    <w:rsid w:val="003E354F"/>
    <w:rsid w:val="003E3584"/>
    <w:rsid w:val="003E359B"/>
    <w:rsid w:val="003E35C0"/>
    <w:rsid w:val="003E35C5"/>
    <w:rsid w:val="003E35CC"/>
    <w:rsid w:val="003E35D1"/>
    <w:rsid w:val="003E360D"/>
    <w:rsid w:val="003E360F"/>
    <w:rsid w:val="003E361A"/>
    <w:rsid w:val="003E3644"/>
    <w:rsid w:val="003E367A"/>
    <w:rsid w:val="003E3684"/>
    <w:rsid w:val="003E36F9"/>
    <w:rsid w:val="003E36FD"/>
    <w:rsid w:val="003E3720"/>
    <w:rsid w:val="003E37D1"/>
    <w:rsid w:val="003E37F8"/>
    <w:rsid w:val="003E3843"/>
    <w:rsid w:val="003E3852"/>
    <w:rsid w:val="003E3863"/>
    <w:rsid w:val="003E38BD"/>
    <w:rsid w:val="003E3901"/>
    <w:rsid w:val="003E3906"/>
    <w:rsid w:val="003E3923"/>
    <w:rsid w:val="003E3925"/>
    <w:rsid w:val="003E393E"/>
    <w:rsid w:val="003E3998"/>
    <w:rsid w:val="003E3A0E"/>
    <w:rsid w:val="003E3A3A"/>
    <w:rsid w:val="003E3A76"/>
    <w:rsid w:val="003E3AA0"/>
    <w:rsid w:val="003E3AA2"/>
    <w:rsid w:val="003E3AB7"/>
    <w:rsid w:val="003E3AC0"/>
    <w:rsid w:val="003E3ADC"/>
    <w:rsid w:val="003E3B40"/>
    <w:rsid w:val="003E3B6E"/>
    <w:rsid w:val="003E3C15"/>
    <w:rsid w:val="003E3C68"/>
    <w:rsid w:val="003E3D7F"/>
    <w:rsid w:val="003E3DF5"/>
    <w:rsid w:val="003E3E1E"/>
    <w:rsid w:val="003E3E98"/>
    <w:rsid w:val="003E3EF6"/>
    <w:rsid w:val="003E3F10"/>
    <w:rsid w:val="003E3F69"/>
    <w:rsid w:val="003E407D"/>
    <w:rsid w:val="003E408E"/>
    <w:rsid w:val="003E40CF"/>
    <w:rsid w:val="003E40FB"/>
    <w:rsid w:val="003E4158"/>
    <w:rsid w:val="003E417D"/>
    <w:rsid w:val="003E41D5"/>
    <w:rsid w:val="003E41F4"/>
    <w:rsid w:val="003E420E"/>
    <w:rsid w:val="003E4223"/>
    <w:rsid w:val="003E4296"/>
    <w:rsid w:val="003E429D"/>
    <w:rsid w:val="003E42A3"/>
    <w:rsid w:val="003E42BF"/>
    <w:rsid w:val="003E42E7"/>
    <w:rsid w:val="003E4365"/>
    <w:rsid w:val="003E4398"/>
    <w:rsid w:val="003E43D7"/>
    <w:rsid w:val="003E4404"/>
    <w:rsid w:val="003E4472"/>
    <w:rsid w:val="003E44DC"/>
    <w:rsid w:val="003E44E1"/>
    <w:rsid w:val="003E4536"/>
    <w:rsid w:val="003E4545"/>
    <w:rsid w:val="003E4631"/>
    <w:rsid w:val="003E4648"/>
    <w:rsid w:val="003E4664"/>
    <w:rsid w:val="003E46A0"/>
    <w:rsid w:val="003E46B7"/>
    <w:rsid w:val="003E46BA"/>
    <w:rsid w:val="003E46BF"/>
    <w:rsid w:val="003E46C9"/>
    <w:rsid w:val="003E46E3"/>
    <w:rsid w:val="003E474F"/>
    <w:rsid w:val="003E47AD"/>
    <w:rsid w:val="003E4899"/>
    <w:rsid w:val="003E4929"/>
    <w:rsid w:val="003E49A1"/>
    <w:rsid w:val="003E49A4"/>
    <w:rsid w:val="003E49ED"/>
    <w:rsid w:val="003E49F5"/>
    <w:rsid w:val="003E4A8F"/>
    <w:rsid w:val="003E4AD6"/>
    <w:rsid w:val="003E4B14"/>
    <w:rsid w:val="003E4B62"/>
    <w:rsid w:val="003E4B65"/>
    <w:rsid w:val="003E4BBD"/>
    <w:rsid w:val="003E4BC5"/>
    <w:rsid w:val="003E4BC7"/>
    <w:rsid w:val="003E4C16"/>
    <w:rsid w:val="003E4C69"/>
    <w:rsid w:val="003E4C71"/>
    <w:rsid w:val="003E4C74"/>
    <w:rsid w:val="003E4C92"/>
    <w:rsid w:val="003E4CB9"/>
    <w:rsid w:val="003E4CC5"/>
    <w:rsid w:val="003E4CF3"/>
    <w:rsid w:val="003E4D00"/>
    <w:rsid w:val="003E4D04"/>
    <w:rsid w:val="003E4D07"/>
    <w:rsid w:val="003E4D1A"/>
    <w:rsid w:val="003E4D65"/>
    <w:rsid w:val="003E4D9C"/>
    <w:rsid w:val="003E4DA3"/>
    <w:rsid w:val="003E4DCE"/>
    <w:rsid w:val="003E4E1B"/>
    <w:rsid w:val="003E4E84"/>
    <w:rsid w:val="003E4EAC"/>
    <w:rsid w:val="003E4EBB"/>
    <w:rsid w:val="003E4F10"/>
    <w:rsid w:val="003E4F16"/>
    <w:rsid w:val="003E4F4B"/>
    <w:rsid w:val="003E4F4E"/>
    <w:rsid w:val="003E4F62"/>
    <w:rsid w:val="003E5003"/>
    <w:rsid w:val="003E501C"/>
    <w:rsid w:val="003E5057"/>
    <w:rsid w:val="003E5061"/>
    <w:rsid w:val="003E50B5"/>
    <w:rsid w:val="003E50DB"/>
    <w:rsid w:val="003E50F7"/>
    <w:rsid w:val="003E50FA"/>
    <w:rsid w:val="003E5121"/>
    <w:rsid w:val="003E51B1"/>
    <w:rsid w:val="003E5213"/>
    <w:rsid w:val="003E5232"/>
    <w:rsid w:val="003E5256"/>
    <w:rsid w:val="003E5269"/>
    <w:rsid w:val="003E528A"/>
    <w:rsid w:val="003E52A9"/>
    <w:rsid w:val="003E52BF"/>
    <w:rsid w:val="003E52D9"/>
    <w:rsid w:val="003E52ED"/>
    <w:rsid w:val="003E5366"/>
    <w:rsid w:val="003E536A"/>
    <w:rsid w:val="003E5381"/>
    <w:rsid w:val="003E538B"/>
    <w:rsid w:val="003E53A5"/>
    <w:rsid w:val="003E53BE"/>
    <w:rsid w:val="003E5403"/>
    <w:rsid w:val="003E5409"/>
    <w:rsid w:val="003E540F"/>
    <w:rsid w:val="003E5413"/>
    <w:rsid w:val="003E5469"/>
    <w:rsid w:val="003E54AE"/>
    <w:rsid w:val="003E54DF"/>
    <w:rsid w:val="003E550D"/>
    <w:rsid w:val="003E5511"/>
    <w:rsid w:val="003E5569"/>
    <w:rsid w:val="003E55C6"/>
    <w:rsid w:val="003E55E0"/>
    <w:rsid w:val="003E55E1"/>
    <w:rsid w:val="003E5620"/>
    <w:rsid w:val="003E563D"/>
    <w:rsid w:val="003E565E"/>
    <w:rsid w:val="003E56D8"/>
    <w:rsid w:val="003E572C"/>
    <w:rsid w:val="003E5740"/>
    <w:rsid w:val="003E576D"/>
    <w:rsid w:val="003E5773"/>
    <w:rsid w:val="003E57AF"/>
    <w:rsid w:val="003E57B3"/>
    <w:rsid w:val="003E57DD"/>
    <w:rsid w:val="003E580E"/>
    <w:rsid w:val="003E5836"/>
    <w:rsid w:val="003E5934"/>
    <w:rsid w:val="003E596B"/>
    <w:rsid w:val="003E598C"/>
    <w:rsid w:val="003E5998"/>
    <w:rsid w:val="003E59B3"/>
    <w:rsid w:val="003E59F4"/>
    <w:rsid w:val="003E59F6"/>
    <w:rsid w:val="003E59FB"/>
    <w:rsid w:val="003E5A06"/>
    <w:rsid w:val="003E5A25"/>
    <w:rsid w:val="003E5A30"/>
    <w:rsid w:val="003E5A3A"/>
    <w:rsid w:val="003E5A47"/>
    <w:rsid w:val="003E5AAE"/>
    <w:rsid w:val="003E5AB0"/>
    <w:rsid w:val="003E5AB7"/>
    <w:rsid w:val="003E5AD2"/>
    <w:rsid w:val="003E5AF5"/>
    <w:rsid w:val="003E5B47"/>
    <w:rsid w:val="003E5BAC"/>
    <w:rsid w:val="003E5BD0"/>
    <w:rsid w:val="003E5BD2"/>
    <w:rsid w:val="003E5BDA"/>
    <w:rsid w:val="003E5BF1"/>
    <w:rsid w:val="003E5C35"/>
    <w:rsid w:val="003E5C45"/>
    <w:rsid w:val="003E5C78"/>
    <w:rsid w:val="003E5C89"/>
    <w:rsid w:val="003E5C93"/>
    <w:rsid w:val="003E5CCD"/>
    <w:rsid w:val="003E5CF6"/>
    <w:rsid w:val="003E5DC7"/>
    <w:rsid w:val="003E5DDC"/>
    <w:rsid w:val="003E5E01"/>
    <w:rsid w:val="003E5E28"/>
    <w:rsid w:val="003E5EA4"/>
    <w:rsid w:val="003E5ECA"/>
    <w:rsid w:val="003E5F0E"/>
    <w:rsid w:val="003E5F2D"/>
    <w:rsid w:val="003E5F6F"/>
    <w:rsid w:val="003E5F86"/>
    <w:rsid w:val="003E602E"/>
    <w:rsid w:val="003E608E"/>
    <w:rsid w:val="003E60C2"/>
    <w:rsid w:val="003E60CB"/>
    <w:rsid w:val="003E60E9"/>
    <w:rsid w:val="003E610D"/>
    <w:rsid w:val="003E6116"/>
    <w:rsid w:val="003E6120"/>
    <w:rsid w:val="003E6137"/>
    <w:rsid w:val="003E6152"/>
    <w:rsid w:val="003E618A"/>
    <w:rsid w:val="003E61CF"/>
    <w:rsid w:val="003E61E5"/>
    <w:rsid w:val="003E6304"/>
    <w:rsid w:val="003E630C"/>
    <w:rsid w:val="003E6311"/>
    <w:rsid w:val="003E6347"/>
    <w:rsid w:val="003E63F2"/>
    <w:rsid w:val="003E63FF"/>
    <w:rsid w:val="003E6404"/>
    <w:rsid w:val="003E64E9"/>
    <w:rsid w:val="003E6547"/>
    <w:rsid w:val="003E6558"/>
    <w:rsid w:val="003E65DE"/>
    <w:rsid w:val="003E6697"/>
    <w:rsid w:val="003E669F"/>
    <w:rsid w:val="003E66C8"/>
    <w:rsid w:val="003E6728"/>
    <w:rsid w:val="003E6773"/>
    <w:rsid w:val="003E679A"/>
    <w:rsid w:val="003E67A1"/>
    <w:rsid w:val="003E67B8"/>
    <w:rsid w:val="003E67BD"/>
    <w:rsid w:val="003E67CE"/>
    <w:rsid w:val="003E67E5"/>
    <w:rsid w:val="003E683E"/>
    <w:rsid w:val="003E68D7"/>
    <w:rsid w:val="003E68F0"/>
    <w:rsid w:val="003E6913"/>
    <w:rsid w:val="003E6914"/>
    <w:rsid w:val="003E696A"/>
    <w:rsid w:val="003E6974"/>
    <w:rsid w:val="003E69AB"/>
    <w:rsid w:val="003E6A37"/>
    <w:rsid w:val="003E6B02"/>
    <w:rsid w:val="003E6B2E"/>
    <w:rsid w:val="003E6B8C"/>
    <w:rsid w:val="003E6B91"/>
    <w:rsid w:val="003E6B9A"/>
    <w:rsid w:val="003E6BAD"/>
    <w:rsid w:val="003E6BE4"/>
    <w:rsid w:val="003E6BEA"/>
    <w:rsid w:val="003E6C3B"/>
    <w:rsid w:val="003E6C40"/>
    <w:rsid w:val="003E6C83"/>
    <w:rsid w:val="003E6C8F"/>
    <w:rsid w:val="003E6CAA"/>
    <w:rsid w:val="003E6CBF"/>
    <w:rsid w:val="003E6CCC"/>
    <w:rsid w:val="003E6CF6"/>
    <w:rsid w:val="003E6D78"/>
    <w:rsid w:val="003E6DC3"/>
    <w:rsid w:val="003E6DE6"/>
    <w:rsid w:val="003E6E27"/>
    <w:rsid w:val="003E6E50"/>
    <w:rsid w:val="003E6E70"/>
    <w:rsid w:val="003E6E74"/>
    <w:rsid w:val="003E6E79"/>
    <w:rsid w:val="003E6EDA"/>
    <w:rsid w:val="003E6F04"/>
    <w:rsid w:val="003E6F1B"/>
    <w:rsid w:val="003E6F24"/>
    <w:rsid w:val="003E6F3C"/>
    <w:rsid w:val="003E6F82"/>
    <w:rsid w:val="003E6FB3"/>
    <w:rsid w:val="003E6FD4"/>
    <w:rsid w:val="003E7004"/>
    <w:rsid w:val="003E703D"/>
    <w:rsid w:val="003E7053"/>
    <w:rsid w:val="003E7092"/>
    <w:rsid w:val="003E7134"/>
    <w:rsid w:val="003E7161"/>
    <w:rsid w:val="003E718D"/>
    <w:rsid w:val="003E71A5"/>
    <w:rsid w:val="003E71A7"/>
    <w:rsid w:val="003E7226"/>
    <w:rsid w:val="003E7260"/>
    <w:rsid w:val="003E726A"/>
    <w:rsid w:val="003E735C"/>
    <w:rsid w:val="003E737E"/>
    <w:rsid w:val="003E73B0"/>
    <w:rsid w:val="003E73B7"/>
    <w:rsid w:val="003E73BD"/>
    <w:rsid w:val="003E7414"/>
    <w:rsid w:val="003E7452"/>
    <w:rsid w:val="003E7461"/>
    <w:rsid w:val="003E74AA"/>
    <w:rsid w:val="003E752D"/>
    <w:rsid w:val="003E7583"/>
    <w:rsid w:val="003E75BE"/>
    <w:rsid w:val="003E75FF"/>
    <w:rsid w:val="003E7634"/>
    <w:rsid w:val="003E7658"/>
    <w:rsid w:val="003E76A8"/>
    <w:rsid w:val="003E76D0"/>
    <w:rsid w:val="003E76F6"/>
    <w:rsid w:val="003E7727"/>
    <w:rsid w:val="003E777C"/>
    <w:rsid w:val="003E778F"/>
    <w:rsid w:val="003E7838"/>
    <w:rsid w:val="003E784B"/>
    <w:rsid w:val="003E78BD"/>
    <w:rsid w:val="003E7954"/>
    <w:rsid w:val="003E7A0A"/>
    <w:rsid w:val="003E7A59"/>
    <w:rsid w:val="003E7A8F"/>
    <w:rsid w:val="003E7ACD"/>
    <w:rsid w:val="003E7AD5"/>
    <w:rsid w:val="003E7ADF"/>
    <w:rsid w:val="003E7B36"/>
    <w:rsid w:val="003E7B4D"/>
    <w:rsid w:val="003E7B68"/>
    <w:rsid w:val="003E7B99"/>
    <w:rsid w:val="003E7BDD"/>
    <w:rsid w:val="003E7BF9"/>
    <w:rsid w:val="003E7C37"/>
    <w:rsid w:val="003E7C40"/>
    <w:rsid w:val="003E7C73"/>
    <w:rsid w:val="003E7CAB"/>
    <w:rsid w:val="003E7D21"/>
    <w:rsid w:val="003E7D42"/>
    <w:rsid w:val="003E7D81"/>
    <w:rsid w:val="003E7DFE"/>
    <w:rsid w:val="003E7E24"/>
    <w:rsid w:val="003E7E4D"/>
    <w:rsid w:val="003E7EA0"/>
    <w:rsid w:val="003E7EA3"/>
    <w:rsid w:val="003E7EAA"/>
    <w:rsid w:val="003E7F16"/>
    <w:rsid w:val="003E7F1B"/>
    <w:rsid w:val="003E7F1C"/>
    <w:rsid w:val="003E7F6E"/>
    <w:rsid w:val="003E7FDE"/>
    <w:rsid w:val="003F003F"/>
    <w:rsid w:val="003F005A"/>
    <w:rsid w:val="003F005C"/>
    <w:rsid w:val="003F010C"/>
    <w:rsid w:val="003F0134"/>
    <w:rsid w:val="003F0149"/>
    <w:rsid w:val="003F0154"/>
    <w:rsid w:val="003F016D"/>
    <w:rsid w:val="003F01BA"/>
    <w:rsid w:val="003F01E5"/>
    <w:rsid w:val="003F01E9"/>
    <w:rsid w:val="003F01F9"/>
    <w:rsid w:val="003F021F"/>
    <w:rsid w:val="003F022C"/>
    <w:rsid w:val="003F0251"/>
    <w:rsid w:val="003F0268"/>
    <w:rsid w:val="003F0279"/>
    <w:rsid w:val="003F02A6"/>
    <w:rsid w:val="003F030A"/>
    <w:rsid w:val="003F0341"/>
    <w:rsid w:val="003F035C"/>
    <w:rsid w:val="003F0363"/>
    <w:rsid w:val="003F03AD"/>
    <w:rsid w:val="003F03BA"/>
    <w:rsid w:val="003F03C5"/>
    <w:rsid w:val="003F03CF"/>
    <w:rsid w:val="003F03DC"/>
    <w:rsid w:val="003F03EE"/>
    <w:rsid w:val="003F03FB"/>
    <w:rsid w:val="003F0462"/>
    <w:rsid w:val="003F0469"/>
    <w:rsid w:val="003F04CA"/>
    <w:rsid w:val="003F04CD"/>
    <w:rsid w:val="003F04E9"/>
    <w:rsid w:val="003F04F6"/>
    <w:rsid w:val="003F051C"/>
    <w:rsid w:val="003F053B"/>
    <w:rsid w:val="003F058B"/>
    <w:rsid w:val="003F05F8"/>
    <w:rsid w:val="003F0630"/>
    <w:rsid w:val="003F0650"/>
    <w:rsid w:val="003F0661"/>
    <w:rsid w:val="003F066C"/>
    <w:rsid w:val="003F0677"/>
    <w:rsid w:val="003F068E"/>
    <w:rsid w:val="003F06BE"/>
    <w:rsid w:val="003F06F1"/>
    <w:rsid w:val="003F0738"/>
    <w:rsid w:val="003F0761"/>
    <w:rsid w:val="003F0797"/>
    <w:rsid w:val="003F0825"/>
    <w:rsid w:val="003F086F"/>
    <w:rsid w:val="003F08CA"/>
    <w:rsid w:val="003F08CD"/>
    <w:rsid w:val="003F0904"/>
    <w:rsid w:val="003F098A"/>
    <w:rsid w:val="003F09AF"/>
    <w:rsid w:val="003F0A44"/>
    <w:rsid w:val="003F0A78"/>
    <w:rsid w:val="003F0B22"/>
    <w:rsid w:val="003F0B7E"/>
    <w:rsid w:val="003F0B9E"/>
    <w:rsid w:val="003F0C08"/>
    <w:rsid w:val="003F0C1F"/>
    <w:rsid w:val="003F0D64"/>
    <w:rsid w:val="003F0DB1"/>
    <w:rsid w:val="003F0DD7"/>
    <w:rsid w:val="003F0E3C"/>
    <w:rsid w:val="003F0F22"/>
    <w:rsid w:val="003F0F48"/>
    <w:rsid w:val="003F0F94"/>
    <w:rsid w:val="003F0FBE"/>
    <w:rsid w:val="003F0FC8"/>
    <w:rsid w:val="003F0FCE"/>
    <w:rsid w:val="003F1005"/>
    <w:rsid w:val="003F101D"/>
    <w:rsid w:val="003F111C"/>
    <w:rsid w:val="003F1141"/>
    <w:rsid w:val="003F1154"/>
    <w:rsid w:val="003F1172"/>
    <w:rsid w:val="003F118C"/>
    <w:rsid w:val="003F1198"/>
    <w:rsid w:val="003F120F"/>
    <w:rsid w:val="003F1231"/>
    <w:rsid w:val="003F124E"/>
    <w:rsid w:val="003F128E"/>
    <w:rsid w:val="003F130D"/>
    <w:rsid w:val="003F132D"/>
    <w:rsid w:val="003F1349"/>
    <w:rsid w:val="003F13D7"/>
    <w:rsid w:val="003F13E3"/>
    <w:rsid w:val="003F13F3"/>
    <w:rsid w:val="003F1402"/>
    <w:rsid w:val="003F141F"/>
    <w:rsid w:val="003F1498"/>
    <w:rsid w:val="003F14E3"/>
    <w:rsid w:val="003F1530"/>
    <w:rsid w:val="003F1583"/>
    <w:rsid w:val="003F15B6"/>
    <w:rsid w:val="003F15C5"/>
    <w:rsid w:val="003F15EA"/>
    <w:rsid w:val="003F1616"/>
    <w:rsid w:val="003F1660"/>
    <w:rsid w:val="003F16A5"/>
    <w:rsid w:val="003F16DB"/>
    <w:rsid w:val="003F171D"/>
    <w:rsid w:val="003F173D"/>
    <w:rsid w:val="003F17C0"/>
    <w:rsid w:val="003F17D1"/>
    <w:rsid w:val="003F17E3"/>
    <w:rsid w:val="003F183B"/>
    <w:rsid w:val="003F1845"/>
    <w:rsid w:val="003F1911"/>
    <w:rsid w:val="003F1919"/>
    <w:rsid w:val="003F1958"/>
    <w:rsid w:val="003F1A11"/>
    <w:rsid w:val="003F1A12"/>
    <w:rsid w:val="003F1A6E"/>
    <w:rsid w:val="003F1ABA"/>
    <w:rsid w:val="003F1AD7"/>
    <w:rsid w:val="003F1AFF"/>
    <w:rsid w:val="003F1B09"/>
    <w:rsid w:val="003F1B15"/>
    <w:rsid w:val="003F1B3F"/>
    <w:rsid w:val="003F1B9F"/>
    <w:rsid w:val="003F1BD6"/>
    <w:rsid w:val="003F1BE8"/>
    <w:rsid w:val="003F1BFC"/>
    <w:rsid w:val="003F1C01"/>
    <w:rsid w:val="003F1C0B"/>
    <w:rsid w:val="003F1C1A"/>
    <w:rsid w:val="003F1C5F"/>
    <w:rsid w:val="003F1CA3"/>
    <w:rsid w:val="003F1CAD"/>
    <w:rsid w:val="003F1CC6"/>
    <w:rsid w:val="003F1D39"/>
    <w:rsid w:val="003F1D8D"/>
    <w:rsid w:val="003F1DB9"/>
    <w:rsid w:val="003F1DD5"/>
    <w:rsid w:val="003F1DFF"/>
    <w:rsid w:val="003F1E4D"/>
    <w:rsid w:val="003F1F00"/>
    <w:rsid w:val="003F1F46"/>
    <w:rsid w:val="003F1FAC"/>
    <w:rsid w:val="003F1FE5"/>
    <w:rsid w:val="003F2017"/>
    <w:rsid w:val="003F2039"/>
    <w:rsid w:val="003F20A9"/>
    <w:rsid w:val="003F20F3"/>
    <w:rsid w:val="003F20FD"/>
    <w:rsid w:val="003F2120"/>
    <w:rsid w:val="003F2131"/>
    <w:rsid w:val="003F216B"/>
    <w:rsid w:val="003F21E2"/>
    <w:rsid w:val="003F21E5"/>
    <w:rsid w:val="003F2250"/>
    <w:rsid w:val="003F225F"/>
    <w:rsid w:val="003F226D"/>
    <w:rsid w:val="003F2270"/>
    <w:rsid w:val="003F2296"/>
    <w:rsid w:val="003F22A3"/>
    <w:rsid w:val="003F22C7"/>
    <w:rsid w:val="003F2317"/>
    <w:rsid w:val="003F2334"/>
    <w:rsid w:val="003F2357"/>
    <w:rsid w:val="003F23F0"/>
    <w:rsid w:val="003F2424"/>
    <w:rsid w:val="003F2465"/>
    <w:rsid w:val="003F24C2"/>
    <w:rsid w:val="003F254F"/>
    <w:rsid w:val="003F259E"/>
    <w:rsid w:val="003F25A3"/>
    <w:rsid w:val="003F25DB"/>
    <w:rsid w:val="003F2615"/>
    <w:rsid w:val="003F2650"/>
    <w:rsid w:val="003F26D5"/>
    <w:rsid w:val="003F26F8"/>
    <w:rsid w:val="003F276A"/>
    <w:rsid w:val="003F27E1"/>
    <w:rsid w:val="003F27E7"/>
    <w:rsid w:val="003F2829"/>
    <w:rsid w:val="003F2866"/>
    <w:rsid w:val="003F2887"/>
    <w:rsid w:val="003F288E"/>
    <w:rsid w:val="003F28BF"/>
    <w:rsid w:val="003F28E5"/>
    <w:rsid w:val="003F2932"/>
    <w:rsid w:val="003F2958"/>
    <w:rsid w:val="003F295D"/>
    <w:rsid w:val="003F2983"/>
    <w:rsid w:val="003F29A2"/>
    <w:rsid w:val="003F29A5"/>
    <w:rsid w:val="003F29D2"/>
    <w:rsid w:val="003F2A02"/>
    <w:rsid w:val="003F2A40"/>
    <w:rsid w:val="003F2A62"/>
    <w:rsid w:val="003F2ADF"/>
    <w:rsid w:val="003F2B44"/>
    <w:rsid w:val="003F2B48"/>
    <w:rsid w:val="003F2B6B"/>
    <w:rsid w:val="003F2BC9"/>
    <w:rsid w:val="003F2BF4"/>
    <w:rsid w:val="003F2C5B"/>
    <w:rsid w:val="003F2C72"/>
    <w:rsid w:val="003F2C9E"/>
    <w:rsid w:val="003F2CD0"/>
    <w:rsid w:val="003F2CD2"/>
    <w:rsid w:val="003F2CF5"/>
    <w:rsid w:val="003F2D8C"/>
    <w:rsid w:val="003F2DC4"/>
    <w:rsid w:val="003F2E32"/>
    <w:rsid w:val="003F2E36"/>
    <w:rsid w:val="003F2E43"/>
    <w:rsid w:val="003F2E48"/>
    <w:rsid w:val="003F2E62"/>
    <w:rsid w:val="003F2E6B"/>
    <w:rsid w:val="003F2E7E"/>
    <w:rsid w:val="003F2EA3"/>
    <w:rsid w:val="003F2ED2"/>
    <w:rsid w:val="003F2F82"/>
    <w:rsid w:val="003F2FB3"/>
    <w:rsid w:val="003F2FB9"/>
    <w:rsid w:val="003F2FC3"/>
    <w:rsid w:val="003F2FD7"/>
    <w:rsid w:val="003F2FDF"/>
    <w:rsid w:val="003F2FF6"/>
    <w:rsid w:val="003F3022"/>
    <w:rsid w:val="003F30C7"/>
    <w:rsid w:val="003F30FF"/>
    <w:rsid w:val="003F31A2"/>
    <w:rsid w:val="003F31D3"/>
    <w:rsid w:val="003F326E"/>
    <w:rsid w:val="003F3283"/>
    <w:rsid w:val="003F3358"/>
    <w:rsid w:val="003F337D"/>
    <w:rsid w:val="003F33C1"/>
    <w:rsid w:val="003F3407"/>
    <w:rsid w:val="003F3446"/>
    <w:rsid w:val="003F347F"/>
    <w:rsid w:val="003F3486"/>
    <w:rsid w:val="003F34E8"/>
    <w:rsid w:val="003F3517"/>
    <w:rsid w:val="003F3521"/>
    <w:rsid w:val="003F357C"/>
    <w:rsid w:val="003F35CB"/>
    <w:rsid w:val="003F35D1"/>
    <w:rsid w:val="003F365F"/>
    <w:rsid w:val="003F3740"/>
    <w:rsid w:val="003F3759"/>
    <w:rsid w:val="003F375F"/>
    <w:rsid w:val="003F3791"/>
    <w:rsid w:val="003F37BC"/>
    <w:rsid w:val="003F380B"/>
    <w:rsid w:val="003F3834"/>
    <w:rsid w:val="003F38A3"/>
    <w:rsid w:val="003F38CD"/>
    <w:rsid w:val="003F38ED"/>
    <w:rsid w:val="003F3946"/>
    <w:rsid w:val="003F3958"/>
    <w:rsid w:val="003F3A2F"/>
    <w:rsid w:val="003F3A8E"/>
    <w:rsid w:val="003F3ABF"/>
    <w:rsid w:val="003F3AFD"/>
    <w:rsid w:val="003F3B07"/>
    <w:rsid w:val="003F3B3A"/>
    <w:rsid w:val="003F3B5A"/>
    <w:rsid w:val="003F3BA2"/>
    <w:rsid w:val="003F3BAE"/>
    <w:rsid w:val="003F3BCC"/>
    <w:rsid w:val="003F3BD1"/>
    <w:rsid w:val="003F3C12"/>
    <w:rsid w:val="003F3C62"/>
    <w:rsid w:val="003F3C86"/>
    <w:rsid w:val="003F3CA8"/>
    <w:rsid w:val="003F3CBA"/>
    <w:rsid w:val="003F3D1D"/>
    <w:rsid w:val="003F3DA3"/>
    <w:rsid w:val="003F3DB9"/>
    <w:rsid w:val="003F3DCE"/>
    <w:rsid w:val="003F3DE5"/>
    <w:rsid w:val="003F3E10"/>
    <w:rsid w:val="003F3E4B"/>
    <w:rsid w:val="003F3E59"/>
    <w:rsid w:val="003F3E61"/>
    <w:rsid w:val="003F3E6E"/>
    <w:rsid w:val="003F3E79"/>
    <w:rsid w:val="003F3ED7"/>
    <w:rsid w:val="003F3F7E"/>
    <w:rsid w:val="003F3FB0"/>
    <w:rsid w:val="003F3FEC"/>
    <w:rsid w:val="003F3FF6"/>
    <w:rsid w:val="003F4072"/>
    <w:rsid w:val="003F40CA"/>
    <w:rsid w:val="003F40D6"/>
    <w:rsid w:val="003F40E7"/>
    <w:rsid w:val="003F4110"/>
    <w:rsid w:val="003F4138"/>
    <w:rsid w:val="003F413D"/>
    <w:rsid w:val="003F41C8"/>
    <w:rsid w:val="003F41DC"/>
    <w:rsid w:val="003F41ED"/>
    <w:rsid w:val="003F41F5"/>
    <w:rsid w:val="003F4210"/>
    <w:rsid w:val="003F425F"/>
    <w:rsid w:val="003F42C2"/>
    <w:rsid w:val="003F42CF"/>
    <w:rsid w:val="003F42F1"/>
    <w:rsid w:val="003F434E"/>
    <w:rsid w:val="003F4354"/>
    <w:rsid w:val="003F4363"/>
    <w:rsid w:val="003F43B0"/>
    <w:rsid w:val="003F43E4"/>
    <w:rsid w:val="003F43E9"/>
    <w:rsid w:val="003F447D"/>
    <w:rsid w:val="003F4494"/>
    <w:rsid w:val="003F44BC"/>
    <w:rsid w:val="003F4511"/>
    <w:rsid w:val="003F453C"/>
    <w:rsid w:val="003F4564"/>
    <w:rsid w:val="003F4566"/>
    <w:rsid w:val="003F4596"/>
    <w:rsid w:val="003F45B2"/>
    <w:rsid w:val="003F45B9"/>
    <w:rsid w:val="003F4674"/>
    <w:rsid w:val="003F467F"/>
    <w:rsid w:val="003F4692"/>
    <w:rsid w:val="003F46A5"/>
    <w:rsid w:val="003F46BB"/>
    <w:rsid w:val="003F46D3"/>
    <w:rsid w:val="003F470D"/>
    <w:rsid w:val="003F4751"/>
    <w:rsid w:val="003F475E"/>
    <w:rsid w:val="003F4771"/>
    <w:rsid w:val="003F477F"/>
    <w:rsid w:val="003F4785"/>
    <w:rsid w:val="003F4789"/>
    <w:rsid w:val="003F483C"/>
    <w:rsid w:val="003F483E"/>
    <w:rsid w:val="003F484A"/>
    <w:rsid w:val="003F489E"/>
    <w:rsid w:val="003F48C0"/>
    <w:rsid w:val="003F48D6"/>
    <w:rsid w:val="003F4921"/>
    <w:rsid w:val="003F4928"/>
    <w:rsid w:val="003F492D"/>
    <w:rsid w:val="003F4943"/>
    <w:rsid w:val="003F498D"/>
    <w:rsid w:val="003F4993"/>
    <w:rsid w:val="003F49C1"/>
    <w:rsid w:val="003F4ACC"/>
    <w:rsid w:val="003F4B11"/>
    <w:rsid w:val="003F4BE3"/>
    <w:rsid w:val="003F4BFE"/>
    <w:rsid w:val="003F4C0D"/>
    <w:rsid w:val="003F4C1F"/>
    <w:rsid w:val="003F4C2A"/>
    <w:rsid w:val="003F4C6C"/>
    <w:rsid w:val="003F4C8C"/>
    <w:rsid w:val="003F4CAD"/>
    <w:rsid w:val="003F4CB2"/>
    <w:rsid w:val="003F4D05"/>
    <w:rsid w:val="003F4D3C"/>
    <w:rsid w:val="003F4D51"/>
    <w:rsid w:val="003F4D6D"/>
    <w:rsid w:val="003F4D8F"/>
    <w:rsid w:val="003F4E1C"/>
    <w:rsid w:val="003F4E44"/>
    <w:rsid w:val="003F4E81"/>
    <w:rsid w:val="003F4F32"/>
    <w:rsid w:val="003F4FA8"/>
    <w:rsid w:val="003F5102"/>
    <w:rsid w:val="003F5109"/>
    <w:rsid w:val="003F5152"/>
    <w:rsid w:val="003F528B"/>
    <w:rsid w:val="003F52D6"/>
    <w:rsid w:val="003F5362"/>
    <w:rsid w:val="003F538B"/>
    <w:rsid w:val="003F542F"/>
    <w:rsid w:val="003F5430"/>
    <w:rsid w:val="003F5454"/>
    <w:rsid w:val="003F5467"/>
    <w:rsid w:val="003F5496"/>
    <w:rsid w:val="003F54E3"/>
    <w:rsid w:val="003F551B"/>
    <w:rsid w:val="003F555E"/>
    <w:rsid w:val="003F5589"/>
    <w:rsid w:val="003F5591"/>
    <w:rsid w:val="003F559F"/>
    <w:rsid w:val="003F55C9"/>
    <w:rsid w:val="003F55F2"/>
    <w:rsid w:val="003F560A"/>
    <w:rsid w:val="003F5636"/>
    <w:rsid w:val="003F563F"/>
    <w:rsid w:val="003F565F"/>
    <w:rsid w:val="003F5666"/>
    <w:rsid w:val="003F56B9"/>
    <w:rsid w:val="003F56C0"/>
    <w:rsid w:val="003F56F4"/>
    <w:rsid w:val="003F5704"/>
    <w:rsid w:val="003F575B"/>
    <w:rsid w:val="003F578A"/>
    <w:rsid w:val="003F5791"/>
    <w:rsid w:val="003F57A6"/>
    <w:rsid w:val="003F57AA"/>
    <w:rsid w:val="003F57B5"/>
    <w:rsid w:val="003F57CD"/>
    <w:rsid w:val="003F57E4"/>
    <w:rsid w:val="003F57F0"/>
    <w:rsid w:val="003F57FF"/>
    <w:rsid w:val="003F58A0"/>
    <w:rsid w:val="003F58B6"/>
    <w:rsid w:val="003F593B"/>
    <w:rsid w:val="003F599A"/>
    <w:rsid w:val="003F59AD"/>
    <w:rsid w:val="003F5A02"/>
    <w:rsid w:val="003F5A49"/>
    <w:rsid w:val="003F5AC9"/>
    <w:rsid w:val="003F5ACC"/>
    <w:rsid w:val="003F5B58"/>
    <w:rsid w:val="003F5B76"/>
    <w:rsid w:val="003F5B83"/>
    <w:rsid w:val="003F5B8D"/>
    <w:rsid w:val="003F5BA1"/>
    <w:rsid w:val="003F5BF7"/>
    <w:rsid w:val="003F5C1E"/>
    <w:rsid w:val="003F5C2C"/>
    <w:rsid w:val="003F5CD8"/>
    <w:rsid w:val="003F5D0B"/>
    <w:rsid w:val="003F5D22"/>
    <w:rsid w:val="003F5D70"/>
    <w:rsid w:val="003F5D88"/>
    <w:rsid w:val="003F5D8A"/>
    <w:rsid w:val="003F5DEB"/>
    <w:rsid w:val="003F5DF3"/>
    <w:rsid w:val="003F5E03"/>
    <w:rsid w:val="003F5E0B"/>
    <w:rsid w:val="003F5E35"/>
    <w:rsid w:val="003F5E3B"/>
    <w:rsid w:val="003F5EFB"/>
    <w:rsid w:val="003F5F2B"/>
    <w:rsid w:val="003F5F36"/>
    <w:rsid w:val="003F5F7A"/>
    <w:rsid w:val="003F5F9C"/>
    <w:rsid w:val="003F5FA8"/>
    <w:rsid w:val="003F5FAC"/>
    <w:rsid w:val="003F5FC3"/>
    <w:rsid w:val="003F6037"/>
    <w:rsid w:val="003F6042"/>
    <w:rsid w:val="003F6088"/>
    <w:rsid w:val="003F60C6"/>
    <w:rsid w:val="003F60CD"/>
    <w:rsid w:val="003F60F2"/>
    <w:rsid w:val="003F6124"/>
    <w:rsid w:val="003F6198"/>
    <w:rsid w:val="003F6210"/>
    <w:rsid w:val="003F62FC"/>
    <w:rsid w:val="003F633C"/>
    <w:rsid w:val="003F6380"/>
    <w:rsid w:val="003F6392"/>
    <w:rsid w:val="003F63C5"/>
    <w:rsid w:val="003F63C9"/>
    <w:rsid w:val="003F63CB"/>
    <w:rsid w:val="003F6432"/>
    <w:rsid w:val="003F6446"/>
    <w:rsid w:val="003F6459"/>
    <w:rsid w:val="003F646A"/>
    <w:rsid w:val="003F64B9"/>
    <w:rsid w:val="003F64D5"/>
    <w:rsid w:val="003F64DB"/>
    <w:rsid w:val="003F64F1"/>
    <w:rsid w:val="003F6516"/>
    <w:rsid w:val="003F6589"/>
    <w:rsid w:val="003F65AD"/>
    <w:rsid w:val="003F65EA"/>
    <w:rsid w:val="003F6621"/>
    <w:rsid w:val="003F6652"/>
    <w:rsid w:val="003F6686"/>
    <w:rsid w:val="003F66B4"/>
    <w:rsid w:val="003F66F8"/>
    <w:rsid w:val="003F6743"/>
    <w:rsid w:val="003F6858"/>
    <w:rsid w:val="003F688E"/>
    <w:rsid w:val="003F68B9"/>
    <w:rsid w:val="003F68BA"/>
    <w:rsid w:val="003F6950"/>
    <w:rsid w:val="003F695C"/>
    <w:rsid w:val="003F6965"/>
    <w:rsid w:val="003F6999"/>
    <w:rsid w:val="003F69E8"/>
    <w:rsid w:val="003F6A1C"/>
    <w:rsid w:val="003F6A8B"/>
    <w:rsid w:val="003F6AAC"/>
    <w:rsid w:val="003F6AD3"/>
    <w:rsid w:val="003F6AF4"/>
    <w:rsid w:val="003F6B00"/>
    <w:rsid w:val="003F6B11"/>
    <w:rsid w:val="003F6B2F"/>
    <w:rsid w:val="003F6B7F"/>
    <w:rsid w:val="003F6B84"/>
    <w:rsid w:val="003F6B98"/>
    <w:rsid w:val="003F6BD0"/>
    <w:rsid w:val="003F6BEA"/>
    <w:rsid w:val="003F6C01"/>
    <w:rsid w:val="003F6C04"/>
    <w:rsid w:val="003F6C0A"/>
    <w:rsid w:val="003F6C0E"/>
    <w:rsid w:val="003F6C89"/>
    <w:rsid w:val="003F6D33"/>
    <w:rsid w:val="003F6D35"/>
    <w:rsid w:val="003F6DF5"/>
    <w:rsid w:val="003F6E0E"/>
    <w:rsid w:val="003F6E12"/>
    <w:rsid w:val="003F6E21"/>
    <w:rsid w:val="003F6E4B"/>
    <w:rsid w:val="003F6E89"/>
    <w:rsid w:val="003F6EB5"/>
    <w:rsid w:val="003F6EC2"/>
    <w:rsid w:val="003F6F19"/>
    <w:rsid w:val="003F6F2C"/>
    <w:rsid w:val="003F6F2E"/>
    <w:rsid w:val="003F6F30"/>
    <w:rsid w:val="003F6F4B"/>
    <w:rsid w:val="003F6F52"/>
    <w:rsid w:val="003F6F73"/>
    <w:rsid w:val="003F6F99"/>
    <w:rsid w:val="003F6FB2"/>
    <w:rsid w:val="003F6FD3"/>
    <w:rsid w:val="003F70B4"/>
    <w:rsid w:val="003F70B7"/>
    <w:rsid w:val="003F7144"/>
    <w:rsid w:val="003F7161"/>
    <w:rsid w:val="003F71E1"/>
    <w:rsid w:val="003F71F3"/>
    <w:rsid w:val="003F7204"/>
    <w:rsid w:val="003F7234"/>
    <w:rsid w:val="003F7245"/>
    <w:rsid w:val="003F72AA"/>
    <w:rsid w:val="003F72AE"/>
    <w:rsid w:val="003F736F"/>
    <w:rsid w:val="003F73E6"/>
    <w:rsid w:val="003F741E"/>
    <w:rsid w:val="003F743D"/>
    <w:rsid w:val="003F7464"/>
    <w:rsid w:val="003F74D5"/>
    <w:rsid w:val="003F7541"/>
    <w:rsid w:val="003F7543"/>
    <w:rsid w:val="003F7564"/>
    <w:rsid w:val="003F7598"/>
    <w:rsid w:val="003F75CD"/>
    <w:rsid w:val="003F75D8"/>
    <w:rsid w:val="003F75DA"/>
    <w:rsid w:val="003F75FE"/>
    <w:rsid w:val="003F761C"/>
    <w:rsid w:val="003F7636"/>
    <w:rsid w:val="003F769C"/>
    <w:rsid w:val="003F76F1"/>
    <w:rsid w:val="003F7702"/>
    <w:rsid w:val="003F7705"/>
    <w:rsid w:val="003F7722"/>
    <w:rsid w:val="003F7728"/>
    <w:rsid w:val="003F7749"/>
    <w:rsid w:val="003F7782"/>
    <w:rsid w:val="003F7803"/>
    <w:rsid w:val="003F780D"/>
    <w:rsid w:val="003F789B"/>
    <w:rsid w:val="003F7959"/>
    <w:rsid w:val="003F7962"/>
    <w:rsid w:val="003F797E"/>
    <w:rsid w:val="003F7A48"/>
    <w:rsid w:val="003F7A8C"/>
    <w:rsid w:val="003F7AA4"/>
    <w:rsid w:val="003F7AE8"/>
    <w:rsid w:val="003F7B90"/>
    <w:rsid w:val="003F7BA3"/>
    <w:rsid w:val="003F7BB7"/>
    <w:rsid w:val="003F7BBC"/>
    <w:rsid w:val="003F7C13"/>
    <w:rsid w:val="003F7C1A"/>
    <w:rsid w:val="003F7C42"/>
    <w:rsid w:val="003F7CA5"/>
    <w:rsid w:val="003F7CC6"/>
    <w:rsid w:val="003F7CD3"/>
    <w:rsid w:val="003F7CF8"/>
    <w:rsid w:val="003F7E3A"/>
    <w:rsid w:val="003F7E5E"/>
    <w:rsid w:val="003F7E99"/>
    <w:rsid w:val="003F7E9E"/>
    <w:rsid w:val="003F7EA1"/>
    <w:rsid w:val="003F7ED7"/>
    <w:rsid w:val="003F7EDF"/>
    <w:rsid w:val="003F7EED"/>
    <w:rsid w:val="003F7F1E"/>
    <w:rsid w:val="003F7F25"/>
    <w:rsid w:val="003F7F8E"/>
    <w:rsid w:val="003F7FBA"/>
    <w:rsid w:val="00400030"/>
    <w:rsid w:val="00400048"/>
    <w:rsid w:val="00400071"/>
    <w:rsid w:val="00400077"/>
    <w:rsid w:val="0040007D"/>
    <w:rsid w:val="00400089"/>
    <w:rsid w:val="0040009E"/>
    <w:rsid w:val="004000C3"/>
    <w:rsid w:val="004000FA"/>
    <w:rsid w:val="00400139"/>
    <w:rsid w:val="0040014D"/>
    <w:rsid w:val="0040015F"/>
    <w:rsid w:val="00400170"/>
    <w:rsid w:val="00400225"/>
    <w:rsid w:val="00400239"/>
    <w:rsid w:val="00400264"/>
    <w:rsid w:val="00400267"/>
    <w:rsid w:val="00400293"/>
    <w:rsid w:val="004002A1"/>
    <w:rsid w:val="004002A2"/>
    <w:rsid w:val="004002A6"/>
    <w:rsid w:val="004002B9"/>
    <w:rsid w:val="004002E8"/>
    <w:rsid w:val="004002EA"/>
    <w:rsid w:val="00400302"/>
    <w:rsid w:val="0040030E"/>
    <w:rsid w:val="00400347"/>
    <w:rsid w:val="00400381"/>
    <w:rsid w:val="004003D9"/>
    <w:rsid w:val="00400427"/>
    <w:rsid w:val="0040042C"/>
    <w:rsid w:val="004004C6"/>
    <w:rsid w:val="004004EF"/>
    <w:rsid w:val="0040053C"/>
    <w:rsid w:val="00400542"/>
    <w:rsid w:val="0040058C"/>
    <w:rsid w:val="004005AF"/>
    <w:rsid w:val="004005B4"/>
    <w:rsid w:val="004005B5"/>
    <w:rsid w:val="004005DC"/>
    <w:rsid w:val="0040060E"/>
    <w:rsid w:val="0040068C"/>
    <w:rsid w:val="00400733"/>
    <w:rsid w:val="004007AB"/>
    <w:rsid w:val="004007B4"/>
    <w:rsid w:val="004007C2"/>
    <w:rsid w:val="00400803"/>
    <w:rsid w:val="0040080C"/>
    <w:rsid w:val="00400823"/>
    <w:rsid w:val="0040083D"/>
    <w:rsid w:val="00400862"/>
    <w:rsid w:val="00400918"/>
    <w:rsid w:val="0040093E"/>
    <w:rsid w:val="0040095C"/>
    <w:rsid w:val="0040096D"/>
    <w:rsid w:val="0040098E"/>
    <w:rsid w:val="0040099A"/>
    <w:rsid w:val="004009A0"/>
    <w:rsid w:val="004009E6"/>
    <w:rsid w:val="00400A0B"/>
    <w:rsid w:val="00400A3C"/>
    <w:rsid w:val="00400A47"/>
    <w:rsid w:val="00400A72"/>
    <w:rsid w:val="00400A7C"/>
    <w:rsid w:val="00400A81"/>
    <w:rsid w:val="00400A96"/>
    <w:rsid w:val="00400AA7"/>
    <w:rsid w:val="00400ACB"/>
    <w:rsid w:val="00400B22"/>
    <w:rsid w:val="00400B3C"/>
    <w:rsid w:val="00400B98"/>
    <w:rsid w:val="00400C29"/>
    <w:rsid w:val="00400C2A"/>
    <w:rsid w:val="00400CBA"/>
    <w:rsid w:val="00400CCC"/>
    <w:rsid w:val="00400D06"/>
    <w:rsid w:val="00400D0E"/>
    <w:rsid w:val="00400D27"/>
    <w:rsid w:val="00400D5A"/>
    <w:rsid w:val="00400D87"/>
    <w:rsid w:val="00400D98"/>
    <w:rsid w:val="00400DAB"/>
    <w:rsid w:val="00400DAC"/>
    <w:rsid w:val="00400DF1"/>
    <w:rsid w:val="00400E42"/>
    <w:rsid w:val="00400E7E"/>
    <w:rsid w:val="00400EAB"/>
    <w:rsid w:val="00400F12"/>
    <w:rsid w:val="00400F4A"/>
    <w:rsid w:val="00400F68"/>
    <w:rsid w:val="00400F88"/>
    <w:rsid w:val="00400FA4"/>
    <w:rsid w:val="00400FA9"/>
    <w:rsid w:val="00400FC6"/>
    <w:rsid w:val="00400FDA"/>
    <w:rsid w:val="00401043"/>
    <w:rsid w:val="00401084"/>
    <w:rsid w:val="00401094"/>
    <w:rsid w:val="004010EB"/>
    <w:rsid w:val="004010ED"/>
    <w:rsid w:val="00401179"/>
    <w:rsid w:val="004011B5"/>
    <w:rsid w:val="004011CE"/>
    <w:rsid w:val="004011E8"/>
    <w:rsid w:val="00401218"/>
    <w:rsid w:val="00401239"/>
    <w:rsid w:val="0040128B"/>
    <w:rsid w:val="004012B5"/>
    <w:rsid w:val="004012D2"/>
    <w:rsid w:val="004012DC"/>
    <w:rsid w:val="004012F9"/>
    <w:rsid w:val="00401329"/>
    <w:rsid w:val="00401373"/>
    <w:rsid w:val="004013EF"/>
    <w:rsid w:val="00401420"/>
    <w:rsid w:val="00401421"/>
    <w:rsid w:val="0040149A"/>
    <w:rsid w:val="00401505"/>
    <w:rsid w:val="00401538"/>
    <w:rsid w:val="00401585"/>
    <w:rsid w:val="004015C0"/>
    <w:rsid w:val="004015D1"/>
    <w:rsid w:val="004015EF"/>
    <w:rsid w:val="00401630"/>
    <w:rsid w:val="00401639"/>
    <w:rsid w:val="004016A2"/>
    <w:rsid w:val="004016FA"/>
    <w:rsid w:val="00401700"/>
    <w:rsid w:val="00401732"/>
    <w:rsid w:val="004017AD"/>
    <w:rsid w:val="004017CE"/>
    <w:rsid w:val="004017F8"/>
    <w:rsid w:val="004018A0"/>
    <w:rsid w:val="004018AC"/>
    <w:rsid w:val="004018BF"/>
    <w:rsid w:val="004018F7"/>
    <w:rsid w:val="00401921"/>
    <w:rsid w:val="00401922"/>
    <w:rsid w:val="0040192C"/>
    <w:rsid w:val="004019D8"/>
    <w:rsid w:val="00401A2D"/>
    <w:rsid w:val="00401A66"/>
    <w:rsid w:val="00401A8E"/>
    <w:rsid w:val="00401AAB"/>
    <w:rsid w:val="00401ABC"/>
    <w:rsid w:val="00401AFC"/>
    <w:rsid w:val="00401B56"/>
    <w:rsid w:val="00401B92"/>
    <w:rsid w:val="00401C5F"/>
    <w:rsid w:val="00401C8C"/>
    <w:rsid w:val="00401CF3"/>
    <w:rsid w:val="00401D0B"/>
    <w:rsid w:val="00401D82"/>
    <w:rsid w:val="00401D9E"/>
    <w:rsid w:val="00401DB9"/>
    <w:rsid w:val="00401DE5"/>
    <w:rsid w:val="00401DEB"/>
    <w:rsid w:val="00401E45"/>
    <w:rsid w:val="00401E65"/>
    <w:rsid w:val="00401E99"/>
    <w:rsid w:val="00401EC2"/>
    <w:rsid w:val="00401EC6"/>
    <w:rsid w:val="00401F65"/>
    <w:rsid w:val="00401F6E"/>
    <w:rsid w:val="0040200C"/>
    <w:rsid w:val="0040202A"/>
    <w:rsid w:val="004020BA"/>
    <w:rsid w:val="004020FC"/>
    <w:rsid w:val="00402143"/>
    <w:rsid w:val="0040217F"/>
    <w:rsid w:val="004021C2"/>
    <w:rsid w:val="004021F5"/>
    <w:rsid w:val="00402213"/>
    <w:rsid w:val="00402241"/>
    <w:rsid w:val="00402250"/>
    <w:rsid w:val="00402272"/>
    <w:rsid w:val="0040227C"/>
    <w:rsid w:val="00402298"/>
    <w:rsid w:val="004022AB"/>
    <w:rsid w:val="004022B8"/>
    <w:rsid w:val="004022F5"/>
    <w:rsid w:val="0040238B"/>
    <w:rsid w:val="004023DD"/>
    <w:rsid w:val="004023E1"/>
    <w:rsid w:val="00402400"/>
    <w:rsid w:val="004024D1"/>
    <w:rsid w:val="0040253C"/>
    <w:rsid w:val="00402578"/>
    <w:rsid w:val="00402583"/>
    <w:rsid w:val="0040258D"/>
    <w:rsid w:val="004025AA"/>
    <w:rsid w:val="00402609"/>
    <w:rsid w:val="00402642"/>
    <w:rsid w:val="00402714"/>
    <w:rsid w:val="00402732"/>
    <w:rsid w:val="00402756"/>
    <w:rsid w:val="004027A5"/>
    <w:rsid w:val="004027AC"/>
    <w:rsid w:val="004027B3"/>
    <w:rsid w:val="004027BB"/>
    <w:rsid w:val="004027BD"/>
    <w:rsid w:val="00402890"/>
    <w:rsid w:val="004028DA"/>
    <w:rsid w:val="0040297E"/>
    <w:rsid w:val="00402991"/>
    <w:rsid w:val="004029DC"/>
    <w:rsid w:val="004029EC"/>
    <w:rsid w:val="004029FA"/>
    <w:rsid w:val="00402A38"/>
    <w:rsid w:val="00402AA3"/>
    <w:rsid w:val="00402AD3"/>
    <w:rsid w:val="00402AD8"/>
    <w:rsid w:val="00402AFB"/>
    <w:rsid w:val="00402B19"/>
    <w:rsid w:val="00402B42"/>
    <w:rsid w:val="00402B73"/>
    <w:rsid w:val="00402BF9"/>
    <w:rsid w:val="00402C70"/>
    <w:rsid w:val="00402C8E"/>
    <w:rsid w:val="00402D30"/>
    <w:rsid w:val="00402D3C"/>
    <w:rsid w:val="00402D62"/>
    <w:rsid w:val="00402D94"/>
    <w:rsid w:val="00402D97"/>
    <w:rsid w:val="00402D98"/>
    <w:rsid w:val="00402DBD"/>
    <w:rsid w:val="00402DE7"/>
    <w:rsid w:val="00402DF2"/>
    <w:rsid w:val="00402E0A"/>
    <w:rsid w:val="00402E11"/>
    <w:rsid w:val="00402E21"/>
    <w:rsid w:val="00402EC2"/>
    <w:rsid w:val="00402EF7"/>
    <w:rsid w:val="00402F0C"/>
    <w:rsid w:val="00402F31"/>
    <w:rsid w:val="00402F4C"/>
    <w:rsid w:val="00402F67"/>
    <w:rsid w:val="00402F76"/>
    <w:rsid w:val="00402F8A"/>
    <w:rsid w:val="00402F9B"/>
    <w:rsid w:val="00402FE6"/>
    <w:rsid w:val="004030AE"/>
    <w:rsid w:val="004030E7"/>
    <w:rsid w:val="00403167"/>
    <w:rsid w:val="00403184"/>
    <w:rsid w:val="00403185"/>
    <w:rsid w:val="004031A0"/>
    <w:rsid w:val="004031B5"/>
    <w:rsid w:val="0040320B"/>
    <w:rsid w:val="0040325B"/>
    <w:rsid w:val="00403302"/>
    <w:rsid w:val="0040335D"/>
    <w:rsid w:val="00403360"/>
    <w:rsid w:val="0040338B"/>
    <w:rsid w:val="0040343B"/>
    <w:rsid w:val="004034B2"/>
    <w:rsid w:val="004034C7"/>
    <w:rsid w:val="00403545"/>
    <w:rsid w:val="0040355C"/>
    <w:rsid w:val="00403580"/>
    <w:rsid w:val="00403620"/>
    <w:rsid w:val="00403641"/>
    <w:rsid w:val="0040365B"/>
    <w:rsid w:val="00403681"/>
    <w:rsid w:val="004037D9"/>
    <w:rsid w:val="004037F7"/>
    <w:rsid w:val="004038BC"/>
    <w:rsid w:val="0040391D"/>
    <w:rsid w:val="0040398D"/>
    <w:rsid w:val="0040399A"/>
    <w:rsid w:val="004039E6"/>
    <w:rsid w:val="004039F6"/>
    <w:rsid w:val="00403A2B"/>
    <w:rsid w:val="00403A76"/>
    <w:rsid w:val="00403AC2"/>
    <w:rsid w:val="00403B97"/>
    <w:rsid w:val="00403BCE"/>
    <w:rsid w:val="00403C40"/>
    <w:rsid w:val="00403C5B"/>
    <w:rsid w:val="00403CA8"/>
    <w:rsid w:val="00403CC4"/>
    <w:rsid w:val="00403CC7"/>
    <w:rsid w:val="00403D0E"/>
    <w:rsid w:val="00403D74"/>
    <w:rsid w:val="00403DBD"/>
    <w:rsid w:val="00403E90"/>
    <w:rsid w:val="00403F49"/>
    <w:rsid w:val="00403F72"/>
    <w:rsid w:val="00403FC1"/>
    <w:rsid w:val="00403FCD"/>
    <w:rsid w:val="00403FDA"/>
    <w:rsid w:val="0040400E"/>
    <w:rsid w:val="00404015"/>
    <w:rsid w:val="0040405B"/>
    <w:rsid w:val="0040408C"/>
    <w:rsid w:val="004040C2"/>
    <w:rsid w:val="004040CC"/>
    <w:rsid w:val="00404119"/>
    <w:rsid w:val="00404139"/>
    <w:rsid w:val="0040418B"/>
    <w:rsid w:val="004041DF"/>
    <w:rsid w:val="00404207"/>
    <w:rsid w:val="00404218"/>
    <w:rsid w:val="0040428D"/>
    <w:rsid w:val="00404350"/>
    <w:rsid w:val="00404387"/>
    <w:rsid w:val="004043A8"/>
    <w:rsid w:val="004043C5"/>
    <w:rsid w:val="004043DE"/>
    <w:rsid w:val="004043DF"/>
    <w:rsid w:val="004043F1"/>
    <w:rsid w:val="0040446D"/>
    <w:rsid w:val="00404488"/>
    <w:rsid w:val="004044A5"/>
    <w:rsid w:val="004044B6"/>
    <w:rsid w:val="004044C1"/>
    <w:rsid w:val="004044EF"/>
    <w:rsid w:val="004044F0"/>
    <w:rsid w:val="00404546"/>
    <w:rsid w:val="00404580"/>
    <w:rsid w:val="00404583"/>
    <w:rsid w:val="00404592"/>
    <w:rsid w:val="00404597"/>
    <w:rsid w:val="004045A5"/>
    <w:rsid w:val="004045B4"/>
    <w:rsid w:val="004045FF"/>
    <w:rsid w:val="00404650"/>
    <w:rsid w:val="004046C0"/>
    <w:rsid w:val="004046CA"/>
    <w:rsid w:val="004046D5"/>
    <w:rsid w:val="0040471C"/>
    <w:rsid w:val="00404729"/>
    <w:rsid w:val="0040472D"/>
    <w:rsid w:val="0040474B"/>
    <w:rsid w:val="004047D8"/>
    <w:rsid w:val="004047ED"/>
    <w:rsid w:val="00404810"/>
    <w:rsid w:val="0040482E"/>
    <w:rsid w:val="0040484E"/>
    <w:rsid w:val="00404881"/>
    <w:rsid w:val="0040488D"/>
    <w:rsid w:val="004048B3"/>
    <w:rsid w:val="0040492F"/>
    <w:rsid w:val="0040495D"/>
    <w:rsid w:val="00404979"/>
    <w:rsid w:val="0040499F"/>
    <w:rsid w:val="00404A36"/>
    <w:rsid w:val="00404A53"/>
    <w:rsid w:val="00404AD9"/>
    <w:rsid w:val="00404B97"/>
    <w:rsid w:val="00404C26"/>
    <w:rsid w:val="00404C58"/>
    <w:rsid w:val="00404C7A"/>
    <w:rsid w:val="00404CB4"/>
    <w:rsid w:val="00404CDE"/>
    <w:rsid w:val="00404D0A"/>
    <w:rsid w:val="00404D6A"/>
    <w:rsid w:val="00404D72"/>
    <w:rsid w:val="00404D77"/>
    <w:rsid w:val="00404E1B"/>
    <w:rsid w:val="00404E35"/>
    <w:rsid w:val="00404E68"/>
    <w:rsid w:val="00404E6E"/>
    <w:rsid w:val="00404F14"/>
    <w:rsid w:val="00404F55"/>
    <w:rsid w:val="00404F69"/>
    <w:rsid w:val="00404F87"/>
    <w:rsid w:val="00404F9B"/>
    <w:rsid w:val="00404FDB"/>
    <w:rsid w:val="00405034"/>
    <w:rsid w:val="0040509E"/>
    <w:rsid w:val="004050CB"/>
    <w:rsid w:val="0040514E"/>
    <w:rsid w:val="0040515D"/>
    <w:rsid w:val="0040515F"/>
    <w:rsid w:val="0040517A"/>
    <w:rsid w:val="00405190"/>
    <w:rsid w:val="004051AB"/>
    <w:rsid w:val="004051BB"/>
    <w:rsid w:val="00405202"/>
    <w:rsid w:val="0040520F"/>
    <w:rsid w:val="0040521E"/>
    <w:rsid w:val="004052DC"/>
    <w:rsid w:val="00405321"/>
    <w:rsid w:val="00405358"/>
    <w:rsid w:val="00405397"/>
    <w:rsid w:val="004053D6"/>
    <w:rsid w:val="004053D8"/>
    <w:rsid w:val="00405437"/>
    <w:rsid w:val="0040545D"/>
    <w:rsid w:val="00405490"/>
    <w:rsid w:val="004054AD"/>
    <w:rsid w:val="0040552C"/>
    <w:rsid w:val="0040555C"/>
    <w:rsid w:val="0040556C"/>
    <w:rsid w:val="004055DC"/>
    <w:rsid w:val="00405620"/>
    <w:rsid w:val="00405632"/>
    <w:rsid w:val="00405645"/>
    <w:rsid w:val="00405658"/>
    <w:rsid w:val="004056D2"/>
    <w:rsid w:val="004056EA"/>
    <w:rsid w:val="004056EF"/>
    <w:rsid w:val="00405750"/>
    <w:rsid w:val="004057C7"/>
    <w:rsid w:val="004057C9"/>
    <w:rsid w:val="00405861"/>
    <w:rsid w:val="0040587B"/>
    <w:rsid w:val="0040587D"/>
    <w:rsid w:val="00405899"/>
    <w:rsid w:val="004058DF"/>
    <w:rsid w:val="0040594B"/>
    <w:rsid w:val="004059A0"/>
    <w:rsid w:val="00405A65"/>
    <w:rsid w:val="00405A7D"/>
    <w:rsid w:val="00405B34"/>
    <w:rsid w:val="00405B35"/>
    <w:rsid w:val="00405B8F"/>
    <w:rsid w:val="00405B9F"/>
    <w:rsid w:val="00405BFF"/>
    <w:rsid w:val="00405C31"/>
    <w:rsid w:val="00405C49"/>
    <w:rsid w:val="00405C76"/>
    <w:rsid w:val="00405D17"/>
    <w:rsid w:val="00405D41"/>
    <w:rsid w:val="00405D62"/>
    <w:rsid w:val="00405DAC"/>
    <w:rsid w:val="00405DBA"/>
    <w:rsid w:val="00405DD7"/>
    <w:rsid w:val="00405DED"/>
    <w:rsid w:val="00405E17"/>
    <w:rsid w:val="00405E2D"/>
    <w:rsid w:val="00405EF7"/>
    <w:rsid w:val="00405F16"/>
    <w:rsid w:val="00405F45"/>
    <w:rsid w:val="00405FD5"/>
    <w:rsid w:val="00405FF5"/>
    <w:rsid w:val="00406026"/>
    <w:rsid w:val="00406050"/>
    <w:rsid w:val="0040606A"/>
    <w:rsid w:val="00406078"/>
    <w:rsid w:val="00406085"/>
    <w:rsid w:val="004060F9"/>
    <w:rsid w:val="00406104"/>
    <w:rsid w:val="0040614A"/>
    <w:rsid w:val="004061A4"/>
    <w:rsid w:val="004061B2"/>
    <w:rsid w:val="00406201"/>
    <w:rsid w:val="0040620D"/>
    <w:rsid w:val="00406221"/>
    <w:rsid w:val="004062EA"/>
    <w:rsid w:val="004062F9"/>
    <w:rsid w:val="004063CA"/>
    <w:rsid w:val="004063E7"/>
    <w:rsid w:val="00406498"/>
    <w:rsid w:val="004064A6"/>
    <w:rsid w:val="004064BD"/>
    <w:rsid w:val="004064E8"/>
    <w:rsid w:val="00406521"/>
    <w:rsid w:val="00406526"/>
    <w:rsid w:val="0040655F"/>
    <w:rsid w:val="00406581"/>
    <w:rsid w:val="0040658D"/>
    <w:rsid w:val="00406599"/>
    <w:rsid w:val="004065A8"/>
    <w:rsid w:val="004065E0"/>
    <w:rsid w:val="004065F5"/>
    <w:rsid w:val="0040663C"/>
    <w:rsid w:val="00406651"/>
    <w:rsid w:val="00406672"/>
    <w:rsid w:val="00406697"/>
    <w:rsid w:val="0040670C"/>
    <w:rsid w:val="0040676E"/>
    <w:rsid w:val="0040692E"/>
    <w:rsid w:val="0040695E"/>
    <w:rsid w:val="00406964"/>
    <w:rsid w:val="004069E6"/>
    <w:rsid w:val="00406A50"/>
    <w:rsid w:val="00406AA3"/>
    <w:rsid w:val="00406AA6"/>
    <w:rsid w:val="00406AB6"/>
    <w:rsid w:val="00406AD7"/>
    <w:rsid w:val="00406B54"/>
    <w:rsid w:val="00406B99"/>
    <w:rsid w:val="00406BA3"/>
    <w:rsid w:val="00406BD8"/>
    <w:rsid w:val="00406BD9"/>
    <w:rsid w:val="00406BDF"/>
    <w:rsid w:val="00406BFD"/>
    <w:rsid w:val="00406C36"/>
    <w:rsid w:val="00406C7E"/>
    <w:rsid w:val="00406CF5"/>
    <w:rsid w:val="00406DB9"/>
    <w:rsid w:val="00406DE3"/>
    <w:rsid w:val="00406E10"/>
    <w:rsid w:val="00406E43"/>
    <w:rsid w:val="00406E56"/>
    <w:rsid w:val="00406E7D"/>
    <w:rsid w:val="00406E80"/>
    <w:rsid w:val="00406F15"/>
    <w:rsid w:val="00406F5E"/>
    <w:rsid w:val="00406F73"/>
    <w:rsid w:val="00406FE6"/>
    <w:rsid w:val="00406FF0"/>
    <w:rsid w:val="0040700F"/>
    <w:rsid w:val="00407044"/>
    <w:rsid w:val="00407059"/>
    <w:rsid w:val="004070C4"/>
    <w:rsid w:val="004070CC"/>
    <w:rsid w:val="004070D4"/>
    <w:rsid w:val="0040711C"/>
    <w:rsid w:val="0040717B"/>
    <w:rsid w:val="004071E3"/>
    <w:rsid w:val="00407210"/>
    <w:rsid w:val="00407211"/>
    <w:rsid w:val="00407277"/>
    <w:rsid w:val="00407333"/>
    <w:rsid w:val="00407359"/>
    <w:rsid w:val="00407383"/>
    <w:rsid w:val="0040739E"/>
    <w:rsid w:val="00407428"/>
    <w:rsid w:val="0040748B"/>
    <w:rsid w:val="004074B0"/>
    <w:rsid w:val="004074E2"/>
    <w:rsid w:val="0040752D"/>
    <w:rsid w:val="00407543"/>
    <w:rsid w:val="00407545"/>
    <w:rsid w:val="00407624"/>
    <w:rsid w:val="0040766B"/>
    <w:rsid w:val="0040766F"/>
    <w:rsid w:val="0040767E"/>
    <w:rsid w:val="00407702"/>
    <w:rsid w:val="0040772C"/>
    <w:rsid w:val="0040773B"/>
    <w:rsid w:val="004077BA"/>
    <w:rsid w:val="004077C0"/>
    <w:rsid w:val="004077F4"/>
    <w:rsid w:val="00407879"/>
    <w:rsid w:val="004078D7"/>
    <w:rsid w:val="004078EF"/>
    <w:rsid w:val="00407917"/>
    <w:rsid w:val="0040791E"/>
    <w:rsid w:val="00407936"/>
    <w:rsid w:val="00407959"/>
    <w:rsid w:val="0040798F"/>
    <w:rsid w:val="004079B6"/>
    <w:rsid w:val="004079BD"/>
    <w:rsid w:val="004079C5"/>
    <w:rsid w:val="004079CF"/>
    <w:rsid w:val="004079EB"/>
    <w:rsid w:val="00407A7D"/>
    <w:rsid w:val="00407AA4"/>
    <w:rsid w:val="00407AA7"/>
    <w:rsid w:val="00407B12"/>
    <w:rsid w:val="00407B3E"/>
    <w:rsid w:val="00407BFC"/>
    <w:rsid w:val="00407C0E"/>
    <w:rsid w:val="00407C23"/>
    <w:rsid w:val="00407C5A"/>
    <w:rsid w:val="00407CBC"/>
    <w:rsid w:val="00407D3D"/>
    <w:rsid w:val="00407DC0"/>
    <w:rsid w:val="00407E06"/>
    <w:rsid w:val="00407E51"/>
    <w:rsid w:val="00407E71"/>
    <w:rsid w:val="00407E95"/>
    <w:rsid w:val="00407EBE"/>
    <w:rsid w:val="00407F01"/>
    <w:rsid w:val="00407F14"/>
    <w:rsid w:val="00407F96"/>
    <w:rsid w:val="00407FCC"/>
    <w:rsid w:val="00407FE1"/>
    <w:rsid w:val="00410009"/>
    <w:rsid w:val="0041001F"/>
    <w:rsid w:val="00410095"/>
    <w:rsid w:val="00410096"/>
    <w:rsid w:val="0041010D"/>
    <w:rsid w:val="004101AA"/>
    <w:rsid w:val="004101FE"/>
    <w:rsid w:val="004102AD"/>
    <w:rsid w:val="004102B7"/>
    <w:rsid w:val="004102D2"/>
    <w:rsid w:val="0041030F"/>
    <w:rsid w:val="00410317"/>
    <w:rsid w:val="0041031C"/>
    <w:rsid w:val="00410344"/>
    <w:rsid w:val="00410352"/>
    <w:rsid w:val="004103AD"/>
    <w:rsid w:val="0041049A"/>
    <w:rsid w:val="004104E0"/>
    <w:rsid w:val="0041051B"/>
    <w:rsid w:val="00410561"/>
    <w:rsid w:val="00410584"/>
    <w:rsid w:val="004105CA"/>
    <w:rsid w:val="004105CC"/>
    <w:rsid w:val="004105D9"/>
    <w:rsid w:val="00410659"/>
    <w:rsid w:val="004106E3"/>
    <w:rsid w:val="00410753"/>
    <w:rsid w:val="00410782"/>
    <w:rsid w:val="00410791"/>
    <w:rsid w:val="004107C1"/>
    <w:rsid w:val="004107F0"/>
    <w:rsid w:val="0041088C"/>
    <w:rsid w:val="004108C6"/>
    <w:rsid w:val="004108D1"/>
    <w:rsid w:val="004108D2"/>
    <w:rsid w:val="0041093E"/>
    <w:rsid w:val="004109D4"/>
    <w:rsid w:val="004109F3"/>
    <w:rsid w:val="00410A30"/>
    <w:rsid w:val="00410A34"/>
    <w:rsid w:val="00410A36"/>
    <w:rsid w:val="00410A56"/>
    <w:rsid w:val="00410A58"/>
    <w:rsid w:val="00410A73"/>
    <w:rsid w:val="00410A9D"/>
    <w:rsid w:val="00410AA6"/>
    <w:rsid w:val="00410BAD"/>
    <w:rsid w:val="00410C0D"/>
    <w:rsid w:val="00410C49"/>
    <w:rsid w:val="00410CA4"/>
    <w:rsid w:val="00410D1D"/>
    <w:rsid w:val="00410D93"/>
    <w:rsid w:val="00410DD8"/>
    <w:rsid w:val="00410E24"/>
    <w:rsid w:val="00410EF0"/>
    <w:rsid w:val="00410F0B"/>
    <w:rsid w:val="00410F22"/>
    <w:rsid w:val="00410F32"/>
    <w:rsid w:val="00410F51"/>
    <w:rsid w:val="00410F5A"/>
    <w:rsid w:val="00410F7A"/>
    <w:rsid w:val="00410F9B"/>
    <w:rsid w:val="00410FB7"/>
    <w:rsid w:val="00410FF1"/>
    <w:rsid w:val="00411033"/>
    <w:rsid w:val="00411039"/>
    <w:rsid w:val="00411047"/>
    <w:rsid w:val="00411086"/>
    <w:rsid w:val="004110B0"/>
    <w:rsid w:val="004110D1"/>
    <w:rsid w:val="004110EB"/>
    <w:rsid w:val="00411107"/>
    <w:rsid w:val="0041113E"/>
    <w:rsid w:val="00411171"/>
    <w:rsid w:val="004111CA"/>
    <w:rsid w:val="00411235"/>
    <w:rsid w:val="00411263"/>
    <w:rsid w:val="0041129F"/>
    <w:rsid w:val="004112AF"/>
    <w:rsid w:val="0041136B"/>
    <w:rsid w:val="004113E0"/>
    <w:rsid w:val="004113F2"/>
    <w:rsid w:val="00411403"/>
    <w:rsid w:val="0041143D"/>
    <w:rsid w:val="00411479"/>
    <w:rsid w:val="00411485"/>
    <w:rsid w:val="004114B7"/>
    <w:rsid w:val="00411508"/>
    <w:rsid w:val="00411533"/>
    <w:rsid w:val="004115F1"/>
    <w:rsid w:val="004115F6"/>
    <w:rsid w:val="00411614"/>
    <w:rsid w:val="00411635"/>
    <w:rsid w:val="00411639"/>
    <w:rsid w:val="00411681"/>
    <w:rsid w:val="00411688"/>
    <w:rsid w:val="00411700"/>
    <w:rsid w:val="0041170E"/>
    <w:rsid w:val="0041171E"/>
    <w:rsid w:val="00411722"/>
    <w:rsid w:val="004117FB"/>
    <w:rsid w:val="0041183F"/>
    <w:rsid w:val="00411846"/>
    <w:rsid w:val="004118B5"/>
    <w:rsid w:val="0041190C"/>
    <w:rsid w:val="0041191C"/>
    <w:rsid w:val="00411966"/>
    <w:rsid w:val="004119E0"/>
    <w:rsid w:val="00411A01"/>
    <w:rsid w:val="00411A3D"/>
    <w:rsid w:val="00411A40"/>
    <w:rsid w:val="00411A5B"/>
    <w:rsid w:val="00411A65"/>
    <w:rsid w:val="00411A76"/>
    <w:rsid w:val="00411AD9"/>
    <w:rsid w:val="00411ADF"/>
    <w:rsid w:val="00411AF7"/>
    <w:rsid w:val="00411B70"/>
    <w:rsid w:val="00411B76"/>
    <w:rsid w:val="00411B88"/>
    <w:rsid w:val="00411BA9"/>
    <w:rsid w:val="00411BD9"/>
    <w:rsid w:val="00411C09"/>
    <w:rsid w:val="00411C27"/>
    <w:rsid w:val="00411C2D"/>
    <w:rsid w:val="00411C35"/>
    <w:rsid w:val="00411C78"/>
    <w:rsid w:val="00411C98"/>
    <w:rsid w:val="00411CC8"/>
    <w:rsid w:val="00411CE3"/>
    <w:rsid w:val="00411D31"/>
    <w:rsid w:val="00411E10"/>
    <w:rsid w:val="00411E41"/>
    <w:rsid w:val="00411E81"/>
    <w:rsid w:val="00411E87"/>
    <w:rsid w:val="00411EA1"/>
    <w:rsid w:val="00411EA3"/>
    <w:rsid w:val="00411ED6"/>
    <w:rsid w:val="00411F15"/>
    <w:rsid w:val="00411F3C"/>
    <w:rsid w:val="00411F45"/>
    <w:rsid w:val="00411FB3"/>
    <w:rsid w:val="0041204B"/>
    <w:rsid w:val="004120A5"/>
    <w:rsid w:val="004120A6"/>
    <w:rsid w:val="00412187"/>
    <w:rsid w:val="0041219D"/>
    <w:rsid w:val="00412234"/>
    <w:rsid w:val="00412248"/>
    <w:rsid w:val="00412295"/>
    <w:rsid w:val="00412304"/>
    <w:rsid w:val="00412325"/>
    <w:rsid w:val="00412342"/>
    <w:rsid w:val="0041234F"/>
    <w:rsid w:val="00412374"/>
    <w:rsid w:val="004123A9"/>
    <w:rsid w:val="004123FD"/>
    <w:rsid w:val="00412417"/>
    <w:rsid w:val="0041246E"/>
    <w:rsid w:val="004124A0"/>
    <w:rsid w:val="004124DA"/>
    <w:rsid w:val="004124DE"/>
    <w:rsid w:val="004124E5"/>
    <w:rsid w:val="00412509"/>
    <w:rsid w:val="00412576"/>
    <w:rsid w:val="00412581"/>
    <w:rsid w:val="0041258B"/>
    <w:rsid w:val="004125A0"/>
    <w:rsid w:val="00412643"/>
    <w:rsid w:val="00412645"/>
    <w:rsid w:val="0041266C"/>
    <w:rsid w:val="0041269F"/>
    <w:rsid w:val="004126A3"/>
    <w:rsid w:val="004126BF"/>
    <w:rsid w:val="004126ED"/>
    <w:rsid w:val="00412777"/>
    <w:rsid w:val="004127A0"/>
    <w:rsid w:val="0041280D"/>
    <w:rsid w:val="00412819"/>
    <w:rsid w:val="00412873"/>
    <w:rsid w:val="00412880"/>
    <w:rsid w:val="0041288B"/>
    <w:rsid w:val="004128C6"/>
    <w:rsid w:val="004128F4"/>
    <w:rsid w:val="004128F5"/>
    <w:rsid w:val="00412A1A"/>
    <w:rsid w:val="00412A3D"/>
    <w:rsid w:val="00412A51"/>
    <w:rsid w:val="00412A62"/>
    <w:rsid w:val="00412A6E"/>
    <w:rsid w:val="00412AE4"/>
    <w:rsid w:val="00412B27"/>
    <w:rsid w:val="00412B84"/>
    <w:rsid w:val="00412BA9"/>
    <w:rsid w:val="00412BD7"/>
    <w:rsid w:val="00412BE4"/>
    <w:rsid w:val="00412BFF"/>
    <w:rsid w:val="00412C09"/>
    <w:rsid w:val="00412C17"/>
    <w:rsid w:val="00412C73"/>
    <w:rsid w:val="00412D03"/>
    <w:rsid w:val="00412D22"/>
    <w:rsid w:val="00412D33"/>
    <w:rsid w:val="00412D58"/>
    <w:rsid w:val="00412E45"/>
    <w:rsid w:val="00412E4F"/>
    <w:rsid w:val="00412E5F"/>
    <w:rsid w:val="00412E90"/>
    <w:rsid w:val="00412EB0"/>
    <w:rsid w:val="00412EDF"/>
    <w:rsid w:val="00412EE0"/>
    <w:rsid w:val="00412EEB"/>
    <w:rsid w:val="00412F2D"/>
    <w:rsid w:val="00412F75"/>
    <w:rsid w:val="00412F8F"/>
    <w:rsid w:val="00412FDA"/>
    <w:rsid w:val="00413022"/>
    <w:rsid w:val="00413070"/>
    <w:rsid w:val="00413087"/>
    <w:rsid w:val="0041309E"/>
    <w:rsid w:val="00413120"/>
    <w:rsid w:val="00413131"/>
    <w:rsid w:val="0041316C"/>
    <w:rsid w:val="0041317F"/>
    <w:rsid w:val="0041318B"/>
    <w:rsid w:val="004131A6"/>
    <w:rsid w:val="004131D9"/>
    <w:rsid w:val="004131F3"/>
    <w:rsid w:val="00413221"/>
    <w:rsid w:val="0041322D"/>
    <w:rsid w:val="00413237"/>
    <w:rsid w:val="00413265"/>
    <w:rsid w:val="0041328A"/>
    <w:rsid w:val="004132B1"/>
    <w:rsid w:val="004132E6"/>
    <w:rsid w:val="004132F4"/>
    <w:rsid w:val="00413315"/>
    <w:rsid w:val="00413341"/>
    <w:rsid w:val="00413359"/>
    <w:rsid w:val="00413385"/>
    <w:rsid w:val="004133C7"/>
    <w:rsid w:val="004133C9"/>
    <w:rsid w:val="00413401"/>
    <w:rsid w:val="0041347A"/>
    <w:rsid w:val="004134A3"/>
    <w:rsid w:val="004134C5"/>
    <w:rsid w:val="004134E4"/>
    <w:rsid w:val="00413519"/>
    <w:rsid w:val="0041358B"/>
    <w:rsid w:val="004135A3"/>
    <w:rsid w:val="004135D3"/>
    <w:rsid w:val="00413656"/>
    <w:rsid w:val="00413679"/>
    <w:rsid w:val="0041368E"/>
    <w:rsid w:val="00413730"/>
    <w:rsid w:val="00413780"/>
    <w:rsid w:val="004137BF"/>
    <w:rsid w:val="004137D3"/>
    <w:rsid w:val="004137EF"/>
    <w:rsid w:val="00413813"/>
    <w:rsid w:val="0041384D"/>
    <w:rsid w:val="00413865"/>
    <w:rsid w:val="004138A7"/>
    <w:rsid w:val="004138B0"/>
    <w:rsid w:val="004138C2"/>
    <w:rsid w:val="004138ED"/>
    <w:rsid w:val="0041392A"/>
    <w:rsid w:val="0041396A"/>
    <w:rsid w:val="00413975"/>
    <w:rsid w:val="00413977"/>
    <w:rsid w:val="00413995"/>
    <w:rsid w:val="0041399D"/>
    <w:rsid w:val="004139A6"/>
    <w:rsid w:val="004139D1"/>
    <w:rsid w:val="00413A2C"/>
    <w:rsid w:val="00413A9D"/>
    <w:rsid w:val="00413AA3"/>
    <w:rsid w:val="00413AA8"/>
    <w:rsid w:val="00413AAB"/>
    <w:rsid w:val="00413AF8"/>
    <w:rsid w:val="00413B33"/>
    <w:rsid w:val="00413B46"/>
    <w:rsid w:val="00413BC5"/>
    <w:rsid w:val="00413BF9"/>
    <w:rsid w:val="00413C1E"/>
    <w:rsid w:val="00413C45"/>
    <w:rsid w:val="00413C4E"/>
    <w:rsid w:val="00413C69"/>
    <w:rsid w:val="00413C8A"/>
    <w:rsid w:val="00413CAC"/>
    <w:rsid w:val="00413D3B"/>
    <w:rsid w:val="00413DB7"/>
    <w:rsid w:val="00413DCE"/>
    <w:rsid w:val="00413DDA"/>
    <w:rsid w:val="00413E4C"/>
    <w:rsid w:val="00413EBC"/>
    <w:rsid w:val="00413ECE"/>
    <w:rsid w:val="00413F1B"/>
    <w:rsid w:val="00413F23"/>
    <w:rsid w:val="00413F60"/>
    <w:rsid w:val="00413F6C"/>
    <w:rsid w:val="00413F7F"/>
    <w:rsid w:val="00413F95"/>
    <w:rsid w:val="00414043"/>
    <w:rsid w:val="0041409C"/>
    <w:rsid w:val="004140D1"/>
    <w:rsid w:val="0041414B"/>
    <w:rsid w:val="00414177"/>
    <w:rsid w:val="0041417E"/>
    <w:rsid w:val="004141CC"/>
    <w:rsid w:val="004141D2"/>
    <w:rsid w:val="0041421A"/>
    <w:rsid w:val="00414225"/>
    <w:rsid w:val="00414264"/>
    <w:rsid w:val="004142C6"/>
    <w:rsid w:val="004142DB"/>
    <w:rsid w:val="00414309"/>
    <w:rsid w:val="00414378"/>
    <w:rsid w:val="0041437E"/>
    <w:rsid w:val="0041438D"/>
    <w:rsid w:val="004143B7"/>
    <w:rsid w:val="004143CC"/>
    <w:rsid w:val="004143E5"/>
    <w:rsid w:val="004143F1"/>
    <w:rsid w:val="004143F7"/>
    <w:rsid w:val="00414422"/>
    <w:rsid w:val="0041442B"/>
    <w:rsid w:val="0041449F"/>
    <w:rsid w:val="004144A9"/>
    <w:rsid w:val="004144B7"/>
    <w:rsid w:val="004144D7"/>
    <w:rsid w:val="004144F9"/>
    <w:rsid w:val="0041450A"/>
    <w:rsid w:val="00414532"/>
    <w:rsid w:val="0041455A"/>
    <w:rsid w:val="004145BC"/>
    <w:rsid w:val="004145BE"/>
    <w:rsid w:val="004145BF"/>
    <w:rsid w:val="004145EB"/>
    <w:rsid w:val="00414606"/>
    <w:rsid w:val="0041461B"/>
    <w:rsid w:val="00414629"/>
    <w:rsid w:val="00414632"/>
    <w:rsid w:val="00414699"/>
    <w:rsid w:val="0041469D"/>
    <w:rsid w:val="004146EF"/>
    <w:rsid w:val="004146FB"/>
    <w:rsid w:val="00414706"/>
    <w:rsid w:val="00414736"/>
    <w:rsid w:val="0041473C"/>
    <w:rsid w:val="00414766"/>
    <w:rsid w:val="00414813"/>
    <w:rsid w:val="00414836"/>
    <w:rsid w:val="00414850"/>
    <w:rsid w:val="004148B9"/>
    <w:rsid w:val="004148C8"/>
    <w:rsid w:val="004148F9"/>
    <w:rsid w:val="0041490F"/>
    <w:rsid w:val="0041491A"/>
    <w:rsid w:val="0041492B"/>
    <w:rsid w:val="0041496B"/>
    <w:rsid w:val="00414973"/>
    <w:rsid w:val="00414986"/>
    <w:rsid w:val="00414997"/>
    <w:rsid w:val="0041499C"/>
    <w:rsid w:val="004149A2"/>
    <w:rsid w:val="004149CF"/>
    <w:rsid w:val="004149E3"/>
    <w:rsid w:val="00414A3F"/>
    <w:rsid w:val="00414A93"/>
    <w:rsid w:val="00414A98"/>
    <w:rsid w:val="00414AC3"/>
    <w:rsid w:val="00414ACE"/>
    <w:rsid w:val="00414B1A"/>
    <w:rsid w:val="00414B2A"/>
    <w:rsid w:val="00414B63"/>
    <w:rsid w:val="00414B68"/>
    <w:rsid w:val="00414BB1"/>
    <w:rsid w:val="00414C3E"/>
    <w:rsid w:val="00414C81"/>
    <w:rsid w:val="00414C9C"/>
    <w:rsid w:val="00414CC5"/>
    <w:rsid w:val="00414D29"/>
    <w:rsid w:val="00414D31"/>
    <w:rsid w:val="00414D34"/>
    <w:rsid w:val="00414D5C"/>
    <w:rsid w:val="00414D7D"/>
    <w:rsid w:val="00414DC2"/>
    <w:rsid w:val="00414DDF"/>
    <w:rsid w:val="00414E4D"/>
    <w:rsid w:val="00414EA7"/>
    <w:rsid w:val="00414ED5"/>
    <w:rsid w:val="00414F1A"/>
    <w:rsid w:val="00414F3B"/>
    <w:rsid w:val="00414F6B"/>
    <w:rsid w:val="00414F79"/>
    <w:rsid w:val="00414FE8"/>
    <w:rsid w:val="00414FFE"/>
    <w:rsid w:val="00415066"/>
    <w:rsid w:val="0041506B"/>
    <w:rsid w:val="0041511B"/>
    <w:rsid w:val="00415135"/>
    <w:rsid w:val="00415144"/>
    <w:rsid w:val="00415165"/>
    <w:rsid w:val="00415187"/>
    <w:rsid w:val="00415195"/>
    <w:rsid w:val="0041519E"/>
    <w:rsid w:val="004151C7"/>
    <w:rsid w:val="004151DD"/>
    <w:rsid w:val="004151F3"/>
    <w:rsid w:val="0041528C"/>
    <w:rsid w:val="0041533A"/>
    <w:rsid w:val="00415345"/>
    <w:rsid w:val="0041535E"/>
    <w:rsid w:val="00415361"/>
    <w:rsid w:val="0041536A"/>
    <w:rsid w:val="004153B1"/>
    <w:rsid w:val="004153C1"/>
    <w:rsid w:val="004153E5"/>
    <w:rsid w:val="004153ED"/>
    <w:rsid w:val="004153FF"/>
    <w:rsid w:val="00415433"/>
    <w:rsid w:val="00415470"/>
    <w:rsid w:val="004154CF"/>
    <w:rsid w:val="00415589"/>
    <w:rsid w:val="004155AB"/>
    <w:rsid w:val="00415623"/>
    <w:rsid w:val="00415691"/>
    <w:rsid w:val="004156B9"/>
    <w:rsid w:val="004156BD"/>
    <w:rsid w:val="004156E6"/>
    <w:rsid w:val="0041574C"/>
    <w:rsid w:val="00415753"/>
    <w:rsid w:val="00415776"/>
    <w:rsid w:val="004157FA"/>
    <w:rsid w:val="00415805"/>
    <w:rsid w:val="00415912"/>
    <w:rsid w:val="00415979"/>
    <w:rsid w:val="004159A9"/>
    <w:rsid w:val="004159FB"/>
    <w:rsid w:val="00415A2F"/>
    <w:rsid w:val="00415A3E"/>
    <w:rsid w:val="00415A89"/>
    <w:rsid w:val="00415AB2"/>
    <w:rsid w:val="00415B19"/>
    <w:rsid w:val="00415BB8"/>
    <w:rsid w:val="00415BCB"/>
    <w:rsid w:val="00415BDA"/>
    <w:rsid w:val="00415C9A"/>
    <w:rsid w:val="00415CC4"/>
    <w:rsid w:val="00415D43"/>
    <w:rsid w:val="00415D66"/>
    <w:rsid w:val="00415DA2"/>
    <w:rsid w:val="00415DC4"/>
    <w:rsid w:val="00415DDE"/>
    <w:rsid w:val="00415E81"/>
    <w:rsid w:val="00415EAB"/>
    <w:rsid w:val="00415EB1"/>
    <w:rsid w:val="00415EC5"/>
    <w:rsid w:val="00415EED"/>
    <w:rsid w:val="00415F05"/>
    <w:rsid w:val="00415F62"/>
    <w:rsid w:val="00415FD4"/>
    <w:rsid w:val="00416099"/>
    <w:rsid w:val="004160C6"/>
    <w:rsid w:val="0041610B"/>
    <w:rsid w:val="0041618A"/>
    <w:rsid w:val="004161B6"/>
    <w:rsid w:val="0041620E"/>
    <w:rsid w:val="00416214"/>
    <w:rsid w:val="0041622D"/>
    <w:rsid w:val="0041625B"/>
    <w:rsid w:val="00416295"/>
    <w:rsid w:val="004162CB"/>
    <w:rsid w:val="004162D7"/>
    <w:rsid w:val="004162E9"/>
    <w:rsid w:val="00416363"/>
    <w:rsid w:val="004163EF"/>
    <w:rsid w:val="004163FB"/>
    <w:rsid w:val="00416459"/>
    <w:rsid w:val="0041646B"/>
    <w:rsid w:val="00416501"/>
    <w:rsid w:val="004165C1"/>
    <w:rsid w:val="004165F9"/>
    <w:rsid w:val="00416614"/>
    <w:rsid w:val="0041669E"/>
    <w:rsid w:val="00416734"/>
    <w:rsid w:val="00416745"/>
    <w:rsid w:val="004167B8"/>
    <w:rsid w:val="004167CA"/>
    <w:rsid w:val="004167EE"/>
    <w:rsid w:val="00416843"/>
    <w:rsid w:val="0041684C"/>
    <w:rsid w:val="00416855"/>
    <w:rsid w:val="0041685E"/>
    <w:rsid w:val="0041688E"/>
    <w:rsid w:val="004168B4"/>
    <w:rsid w:val="004168B9"/>
    <w:rsid w:val="00416945"/>
    <w:rsid w:val="0041694D"/>
    <w:rsid w:val="00416965"/>
    <w:rsid w:val="00416996"/>
    <w:rsid w:val="004169AE"/>
    <w:rsid w:val="004169CD"/>
    <w:rsid w:val="004169D7"/>
    <w:rsid w:val="00416A5D"/>
    <w:rsid w:val="00416AAC"/>
    <w:rsid w:val="00416AB6"/>
    <w:rsid w:val="00416B05"/>
    <w:rsid w:val="00416B0D"/>
    <w:rsid w:val="00416B54"/>
    <w:rsid w:val="00416B5E"/>
    <w:rsid w:val="00416C0A"/>
    <w:rsid w:val="00416C36"/>
    <w:rsid w:val="00416CEA"/>
    <w:rsid w:val="00416D00"/>
    <w:rsid w:val="00416D2C"/>
    <w:rsid w:val="00416D83"/>
    <w:rsid w:val="00416DA0"/>
    <w:rsid w:val="00416DB6"/>
    <w:rsid w:val="00416EE6"/>
    <w:rsid w:val="00416EE8"/>
    <w:rsid w:val="00416F1C"/>
    <w:rsid w:val="00416F24"/>
    <w:rsid w:val="00416F5C"/>
    <w:rsid w:val="00417050"/>
    <w:rsid w:val="00417056"/>
    <w:rsid w:val="00417090"/>
    <w:rsid w:val="004170D4"/>
    <w:rsid w:val="00417123"/>
    <w:rsid w:val="00417180"/>
    <w:rsid w:val="004171A3"/>
    <w:rsid w:val="004171F3"/>
    <w:rsid w:val="00417219"/>
    <w:rsid w:val="00417233"/>
    <w:rsid w:val="00417252"/>
    <w:rsid w:val="00417253"/>
    <w:rsid w:val="0041727B"/>
    <w:rsid w:val="004172A5"/>
    <w:rsid w:val="004172D7"/>
    <w:rsid w:val="004172FE"/>
    <w:rsid w:val="00417315"/>
    <w:rsid w:val="00417323"/>
    <w:rsid w:val="004173AC"/>
    <w:rsid w:val="00417447"/>
    <w:rsid w:val="0041745F"/>
    <w:rsid w:val="0041749B"/>
    <w:rsid w:val="0041759A"/>
    <w:rsid w:val="004175A0"/>
    <w:rsid w:val="004175D4"/>
    <w:rsid w:val="00417645"/>
    <w:rsid w:val="00417665"/>
    <w:rsid w:val="0041766E"/>
    <w:rsid w:val="004176D4"/>
    <w:rsid w:val="004176F0"/>
    <w:rsid w:val="004177F2"/>
    <w:rsid w:val="00417851"/>
    <w:rsid w:val="00417865"/>
    <w:rsid w:val="00417874"/>
    <w:rsid w:val="0041787F"/>
    <w:rsid w:val="0041788D"/>
    <w:rsid w:val="004178BC"/>
    <w:rsid w:val="004178CF"/>
    <w:rsid w:val="00417906"/>
    <w:rsid w:val="00417983"/>
    <w:rsid w:val="004179DD"/>
    <w:rsid w:val="004179E9"/>
    <w:rsid w:val="00417A07"/>
    <w:rsid w:val="00417A27"/>
    <w:rsid w:val="00417A5D"/>
    <w:rsid w:val="00417A6B"/>
    <w:rsid w:val="00417A93"/>
    <w:rsid w:val="00417AF6"/>
    <w:rsid w:val="00417AFD"/>
    <w:rsid w:val="00417B05"/>
    <w:rsid w:val="00417B13"/>
    <w:rsid w:val="00417B26"/>
    <w:rsid w:val="00417C57"/>
    <w:rsid w:val="00417C9A"/>
    <w:rsid w:val="00417CFB"/>
    <w:rsid w:val="00417D2D"/>
    <w:rsid w:val="00417D46"/>
    <w:rsid w:val="00417D85"/>
    <w:rsid w:val="00417D8A"/>
    <w:rsid w:val="00417D91"/>
    <w:rsid w:val="00417D9C"/>
    <w:rsid w:val="00417DAE"/>
    <w:rsid w:val="00417DCF"/>
    <w:rsid w:val="00417DD0"/>
    <w:rsid w:val="00417DEF"/>
    <w:rsid w:val="00417EE8"/>
    <w:rsid w:val="00417F06"/>
    <w:rsid w:val="00417F39"/>
    <w:rsid w:val="00417F44"/>
    <w:rsid w:val="00417F77"/>
    <w:rsid w:val="00420031"/>
    <w:rsid w:val="004200F8"/>
    <w:rsid w:val="004200FC"/>
    <w:rsid w:val="004201AB"/>
    <w:rsid w:val="004201EF"/>
    <w:rsid w:val="0042020E"/>
    <w:rsid w:val="00420274"/>
    <w:rsid w:val="00420310"/>
    <w:rsid w:val="0042034C"/>
    <w:rsid w:val="004203A1"/>
    <w:rsid w:val="004203BA"/>
    <w:rsid w:val="004203C3"/>
    <w:rsid w:val="0042043C"/>
    <w:rsid w:val="0042047A"/>
    <w:rsid w:val="0042049B"/>
    <w:rsid w:val="004204D1"/>
    <w:rsid w:val="00420534"/>
    <w:rsid w:val="0042053E"/>
    <w:rsid w:val="00420546"/>
    <w:rsid w:val="00420582"/>
    <w:rsid w:val="004205EB"/>
    <w:rsid w:val="004205ED"/>
    <w:rsid w:val="004205F4"/>
    <w:rsid w:val="0042062E"/>
    <w:rsid w:val="0042065B"/>
    <w:rsid w:val="0042066E"/>
    <w:rsid w:val="0042069F"/>
    <w:rsid w:val="004206A0"/>
    <w:rsid w:val="004206E9"/>
    <w:rsid w:val="0042070E"/>
    <w:rsid w:val="00420712"/>
    <w:rsid w:val="00420762"/>
    <w:rsid w:val="00420771"/>
    <w:rsid w:val="00420786"/>
    <w:rsid w:val="004207D6"/>
    <w:rsid w:val="004207D9"/>
    <w:rsid w:val="0042080E"/>
    <w:rsid w:val="00420884"/>
    <w:rsid w:val="004208D0"/>
    <w:rsid w:val="004208FF"/>
    <w:rsid w:val="00420913"/>
    <w:rsid w:val="00420931"/>
    <w:rsid w:val="0042095A"/>
    <w:rsid w:val="00420974"/>
    <w:rsid w:val="00420977"/>
    <w:rsid w:val="004209B9"/>
    <w:rsid w:val="00420A3F"/>
    <w:rsid w:val="00420A5C"/>
    <w:rsid w:val="00420AFC"/>
    <w:rsid w:val="00420BE9"/>
    <w:rsid w:val="00420BEB"/>
    <w:rsid w:val="00420C2D"/>
    <w:rsid w:val="00420C6A"/>
    <w:rsid w:val="00420D34"/>
    <w:rsid w:val="00420D70"/>
    <w:rsid w:val="00420D89"/>
    <w:rsid w:val="00420DB6"/>
    <w:rsid w:val="00420DDF"/>
    <w:rsid w:val="00420DEC"/>
    <w:rsid w:val="00420E0D"/>
    <w:rsid w:val="00420E19"/>
    <w:rsid w:val="00420E1E"/>
    <w:rsid w:val="00420E3C"/>
    <w:rsid w:val="00420E90"/>
    <w:rsid w:val="00420F0C"/>
    <w:rsid w:val="00420FA6"/>
    <w:rsid w:val="0042101B"/>
    <w:rsid w:val="0042103C"/>
    <w:rsid w:val="00421042"/>
    <w:rsid w:val="00421089"/>
    <w:rsid w:val="004210F1"/>
    <w:rsid w:val="004210F2"/>
    <w:rsid w:val="0042117C"/>
    <w:rsid w:val="004211BC"/>
    <w:rsid w:val="004211DE"/>
    <w:rsid w:val="004211F2"/>
    <w:rsid w:val="00421200"/>
    <w:rsid w:val="0042128A"/>
    <w:rsid w:val="0042129A"/>
    <w:rsid w:val="004212FC"/>
    <w:rsid w:val="00421336"/>
    <w:rsid w:val="004213C2"/>
    <w:rsid w:val="00421488"/>
    <w:rsid w:val="004214E2"/>
    <w:rsid w:val="00421546"/>
    <w:rsid w:val="0042155A"/>
    <w:rsid w:val="00421574"/>
    <w:rsid w:val="00421583"/>
    <w:rsid w:val="004215A6"/>
    <w:rsid w:val="004215A8"/>
    <w:rsid w:val="00421608"/>
    <w:rsid w:val="00421623"/>
    <w:rsid w:val="0042162A"/>
    <w:rsid w:val="004216E9"/>
    <w:rsid w:val="004216EB"/>
    <w:rsid w:val="00421745"/>
    <w:rsid w:val="00421803"/>
    <w:rsid w:val="00421810"/>
    <w:rsid w:val="00421835"/>
    <w:rsid w:val="0042183F"/>
    <w:rsid w:val="00421857"/>
    <w:rsid w:val="0042185A"/>
    <w:rsid w:val="0042189F"/>
    <w:rsid w:val="004218D4"/>
    <w:rsid w:val="004218D7"/>
    <w:rsid w:val="004218F7"/>
    <w:rsid w:val="00421912"/>
    <w:rsid w:val="00421917"/>
    <w:rsid w:val="00421936"/>
    <w:rsid w:val="0042194D"/>
    <w:rsid w:val="00421958"/>
    <w:rsid w:val="00421965"/>
    <w:rsid w:val="00421A02"/>
    <w:rsid w:val="00421A17"/>
    <w:rsid w:val="00421A2B"/>
    <w:rsid w:val="00421A6E"/>
    <w:rsid w:val="00421AA3"/>
    <w:rsid w:val="00421AB7"/>
    <w:rsid w:val="00421AD0"/>
    <w:rsid w:val="00421AD6"/>
    <w:rsid w:val="00421AE1"/>
    <w:rsid w:val="00421B09"/>
    <w:rsid w:val="00421CC1"/>
    <w:rsid w:val="00421D81"/>
    <w:rsid w:val="00421E06"/>
    <w:rsid w:val="00421E85"/>
    <w:rsid w:val="00421EA5"/>
    <w:rsid w:val="00421EC8"/>
    <w:rsid w:val="00421EFC"/>
    <w:rsid w:val="00421F34"/>
    <w:rsid w:val="00421F61"/>
    <w:rsid w:val="00421F72"/>
    <w:rsid w:val="00422055"/>
    <w:rsid w:val="00422125"/>
    <w:rsid w:val="004221BD"/>
    <w:rsid w:val="004221F0"/>
    <w:rsid w:val="00422286"/>
    <w:rsid w:val="00422298"/>
    <w:rsid w:val="004222CB"/>
    <w:rsid w:val="00422344"/>
    <w:rsid w:val="0042238A"/>
    <w:rsid w:val="004223DF"/>
    <w:rsid w:val="004224A1"/>
    <w:rsid w:val="004224BC"/>
    <w:rsid w:val="00422504"/>
    <w:rsid w:val="00422518"/>
    <w:rsid w:val="00422543"/>
    <w:rsid w:val="00422560"/>
    <w:rsid w:val="004225AE"/>
    <w:rsid w:val="004225E3"/>
    <w:rsid w:val="00422672"/>
    <w:rsid w:val="00422683"/>
    <w:rsid w:val="00422692"/>
    <w:rsid w:val="0042269D"/>
    <w:rsid w:val="004226B7"/>
    <w:rsid w:val="004226D4"/>
    <w:rsid w:val="00422713"/>
    <w:rsid w:val="00422761"/>
    <w:rsid w:val="004227AE"/>
    <w:rsid w:val="00422817"/>
    <w:rsid w:val="00422845"/>
    <w:rsid w:val="0042286E"/>
    <w:rsid w:val="00422872"/>
    <w:rsid w:val="00422888"/>
    <w:rsid w:val="004228BA"/>
    <w:rsid w:val="004228FD"/>
    <w:rsid w:val="0042294B"/>
    <w:rsid w:val="00422976"/>
    <w:rsid w:val="004229DB"/>
    <w:rsid w:val="00422A0A"/>
    <w:rsid w:val="00422A0F"/>
    <w:rsid w:val="00422A5E"/>
    <w:rsid w:val="00422A6C"/>
    <w:rsid w:val="00422A71"/>
    <w:rsid w:val="00422A8A"/>
    <w:rsid w:val="00422ADF"/>
    <w:rsid w:val="00422AE4"/>
    <w:rsid w:val="00422B44"/>
    <w:rsid w:val="00422B88"/>
    <w:rsid w:val="00422BDD"/>
    <w:rsid w:val="00422C40"/>
    <w:rsid w:val="00422C99"/>
    <w:rsid w:val="00422C9D"/>
    <w:rsid w:val="00422CCB"/>
    <w:rsid w:val="00422D2F"/>
    <w:rsid w:val="00422D43"/>
    <w:rsid w:val="00422D87"/>
    <w:rsid w:val="00422D96"/>
    <w:rsid w:val="00422E1C"/>
    <w:rsid w:val="00422E61"/>
    <w:rsid w:val="00422E86"/>
    <w:rsid w:val="00422EB9"/>
    <w:rsid w:val="00422F29"/>
    <w:rsid w:val="00422FF9"/>
    <w:rsid w:val="00423032"/>
    <w:rsid w:val="004230B2"/>
    <w:rsid w:val="0042312E"/>
    <w:rsid w:val="00423138"/>
    <w:rsid w:val="00423151"/>
    <w:rsid w:val="00423184"/>
    <w:rsid w:val="004231AD"/>
    <w:rsid w:val="004231BC"/>
    <w:rsid w:val="004231D7"/>
    <w:rsid w:val="004231E1"/>
    <w:rsid w:val="004231EA"/>
    <w:rsid w:val="0042323D"/>
    <w:rsid w:val="00423256"/>
    <w:rsid w:val="00423280"/>
    <w:rsid w:val="004232A7"/>
    <w:rsid w:val="004232BE"/>
    <w:rsid w:val="00423320"/>
    <w:rsid w:val="00423382"/>
    <w:rsid w:val="004233C9"/>
    <w:rsid w:val="004233D7"/>
    <w:rsid w:val="0042348E"/>
    <w:rsid w:val="004234A9"/>
    <w:rsid w:val="004234DF"/>
    <w:rsid w:val="004234E8"/>
    <w:rsid w:val="004234ED"/>
    <w:rsid w:val="0042353B"/>
    <w:rsid w:val="004235F9"/>
    <w:rsid w:val="00423632"/>
    <w:rsid w:val="0042368E"/>
    <w:rsid w:val="004236B1"/>
    <w:rsid w:val="004236B5"/>
    <w:rsid w:val="004236CF"/>
    <w:rsid w:val="00423717"/>
    <w:rsid w:val="00423787"/>
    <w:rsid w:val="00423792"/>
    <w:rsid w:val="0042379B"/>
    <w:rsid w:val="0042386C"/>
    <w:rsid w:val="004238B5"/>
    <w:rsid w:val="004238C0"/>
    <w:rsid w:val="004238EB"/>
    <w:rsid w:val="004238F0"/>
    <w:rsid w:val="00423915"/>
    <w:rsid w:val="00423917"/>
    <w:rsid w:val="0042396E"/>
    <w:rsid w:val="004239B7"/>
    <w:rsid w:val="004239D2"/>
    <w:rsid w:val="004239DD"/>
    <w:rsid w:val="00423A16"/>
    <w:rsid w:val="00423A18"/>
    <w:rsid w:val="00423A3F"/>
    <w:rsid w:val="00423A70"/>
    <w:rsid w:val="00423A83"/>
    <w:rsid w:val="00423AB7"/>
    <w:rsid w:val="00423ABF"/>
    <w:rsid w:val="00423AEA"/>
    <w:rsid w:val="00423B1A"/>
    <w:rsid w:val="00423B4E"/>
    <w:rsid w:val="00423B57"/>
    <w:rsid w:val="00423B8A"/>
    <w:rsid w:val="00423C12"/>
    <w:rsid w:val="00423C53"/>
    <w:rsid w:val="00423C7A"/>
    <w:rsid w:val="00423C8D"/>
    <w:rsid w:val="00423D2C"/>
    <w:rsid w:val="00423D7D"/>
    <w:rsid w:val="00423D80"/>
    <w:rsid w:val="00423D94"/>
    <w:rsid w:val="00423E13"/>
    <w:rsid w:val="00423E67"/>
    <w:rsid w:val="00423E9C"/>
    <w:rsid w:val="00423EC0"/>
    <w:rsid w:val="00423EC8"/>
    <w:rsid w:val="00423EDD"/>
    <w:rsid w:val="00423EE8"/>
    <w:rsid w:val="00423F05"/>
    <w:rsid w:val="00423F1F"/>
    <w:rsid w:val="00423F69"/>
    <w:rsid w:val="00423F77"/>
    <w:rsid w:val="00423F7C"/>
    <w:rsid w:val="00423FA1"/>
    <w:rsid w:val="0042404C"/>
    <w:rsid w:val="00424091"/>
    <w:rsid w:val="004240D1"/>
    <w:rsid w:val="004240D9"/>
    <w:rsid w:val="00424132"/>
    <w:rsid w:val="00424185"/>
    <w:rsid w:val="004241D5"/>
    <w:rsid w:val="004241F5"/>
    <w:rsid w:val="00424223"/>
    <w:rsid w:val="00424259"/>
    <w:rsid w:val="004242B0"/>
    <w:rsid w:val="0042430F"/>
    <w:rsid w:val="00424318"/>
    <w:rsid w:val="00424411"/>
    <w:rsid w:val="00424413"/>
    <w:rsid w:val="0042446C"/>
    <w:rsid w:val="0042448D"/>
    <w:rsid w:val="004244AF"/>
    <w:rsid w:val="004244D8"/>
    <w:rsid w:val="0042455C"/>
    <w:rsid w:val="0042456E"/>
    <w:rsid w:val="004245DA"/>
    <w:rsid w:val="004245F8"/>
    <w:rsid w:val="004245FA"/>
    <w:rsid w:val="00424600"/>
    <w:rsid w:val="0042461C"/>
    <w:rsid w:val="00424632"/>
    <w:rsid w:val="0042467E"/>
    <w:rsid w:val="004246E0"/>
    <w:rsid w:val="004246E2"/>
    <w:rsid w:val="0042470D"/>
    <w:rsid w:val="0042472C"/>
    <w:rsid w:val="004247B5"/>
    <w:rsid w:val="004247D3"/>
    <w:rsid w:val="004247E6"/>
    <w:rsid w:val="00424813"/>
    <w:rsid w:val="0042481B"/>
    <w:rsid w:val="00424820"/>
    <w:rsid w:val="0042483A"/>
    <w:rsid w:val="00424861"/>
    <w:rsid w:val="0042489C"/>
    <w:rsid w:val="004248A7"/>
    <w:rsid w:val="004248D9"/>
    <w:rsid w:val="004248E3"/>
    <w:rsid w:val="004248F3"/>
    <w:rsid w:val="004248FC"/>
    <w:rsid w:val="0042491E"/>
    <w:rsid w:val="00424921"/>
    <w:rsid w:val="00424A2A"/>
    <w:rsid w:val="00424A73"/>
    <w:rsid w:val="00424A97"/>
    <w:rsid w:val="00424AF1"/>
    <w:rsid w:val="00424B60"/>
    <w:rsid w:val="00424B81"/>
    <w:rsid w:val="00424B8D"/>
    <w:rsid w:val="00424BA0"/>
    <w:rsid w:val="00424BBA"/>
    <w:rsid w:val="00424BCD"/>
    <w:rsid w:val="00424C0B"/>
    <w:rsid w:val="00424C15"/>
    <w:rsid w:val="00424C70"/>
    <w:rsid w:val="00424C87"/>
    <w:rsid w:val="00424C97"/>
    <w:rsid w:val="00424CFE"/>
    <w:rsid w:val="00424D65"/>
    <w:rsid w:val="00424DFE"/>
    <w:rsid w:val="00424E01"/>
    <w:rsid w:val="00424E97"/>
    <w:rsid w:val="00424F2B"/>
    <w:rsid w:val="00424F3A"/>
    <w:rsid w:val="00424F4C"/>
    <w:rsid w:val="00424F63"/>
    <w:rsid w:val="00424F9E"/>
    <w:rsid w:val="00424FAC"/>
    <w:rsid w:val="00424FB1"/>
    <w:rsid w:val="00424FD5"/>
    <w:rsid w:val="00425082"/>
    <w:rsid w:val="004250A0"/>
    <w:rsid w:val="004250D4"/>
    <w:rsid w:val="004250EA"/>
    <w:rsid w:val="004251A2"/>
    <w:rsid w:val="004251EC"/>
    <w:rsid w:val="0042529D"/>
    <w:rsid w:val="0042530C"/>
    <w:rsid w:val="0042536F"/>
    <w:rsid w:val="004253E3"/>
    <w:rsid w:val="004253FE"/>
    <w:rsid w:val="0042541D"/>
    <w:rsid w:val="00425424"/>
    <w:rsid w:val="00425432"/>
    <w:rsid w:val="00425434"/>
    <w:rsid w:val="0042546B"/>
    <w:rsid w:val="004254E1"/>
    <w:rsid w:val="00425525"/>
    <w:rsid w:val="00425526"/>
    <w:rsid w:val="0042554B"/>
    <w:rsid w:val="004255D9"/>
    <w:rsid w:val="00425613"/>
    <w:rsid w:val="00425627"/>
    <w:rsid w:val="0042566F"/>
    <w:rsid w:val="00425686"/>
    <w:rsid w:val="004256A0"/>
    <w:rsid w:val="004256E6"/>
    <w:rsid w:val="004256EB"/>
    <w:rsid w:val="004256F3"/>
    <w:rsid w:val="00425708"/>
    <w:rsid w:val="00425734"/>
    <w:rsid w:val="00425750"/>
    <w:rsid w:val="00425779"/>
    <w:rsid w:val="004257C6"/>
    <w:rsid w:val="004257D5"/>
    <w:rsid w:val="004257DE"/>
    <w:rsid w:val="00425811"/>
    <w:rsid w:val="00425812"/>
    <w:rsid w:val="004258A2"/>
    <w:rsid w:val="004258AA"/>
    <w:rsid w:val="004258BB"/>
    <w:rsid w:val="004258FF"/>
    <w:rsid w:val="00425959"/>
    <w:rsid w:val="00425965"/>
    <w:rsid w:val="004259B6"/>
    <w:rsid w:val="004259E6"/>
    <w:rsid w:val="00425A04"/>
    <w:rsid w:val="00425A72"/>
    <w:rsid w:val="00425A9C"/>
    <w:rsid w:val="00425AAF"/>
    <w:rsid w:val="00425AE3"/>
    <w:rsid w:val="00425B2A"/>
    <w:rsid w:val="00425B3B"/>
    <w:rsid w:val="00425B40"/>
    <w:rsid w:val="00425B64"/>
    <w:rsid w:val="00425B71"/>
    <w:rsid w:val="00425B7A"/>
    <w:rsid w:val="00425B97"/>
    <w:rsid w:val="00425B9D"/>
    <w:rsid w:val="00425BB7"/>
    <w:rsid w:val="00425BC5"/>
    <w:rsid w:val="00425C22"/>
    <w:rsid w:val="00425CA1"/>
    <w:rsid w:val="00425CAD"/>
    <w:rsid w:val="00425CC8"/>
    <w:rsid w:val="00425D5C"/>
    <w:rsid w:val="00425DC4"/>
    <w:rsid w:val="00425DDB"/>
    <w:rsid w:val="00425DEE"/>
    <w:rsid w:val="00425E1B"/>
    <w:rsid w:val="00425E20"/>
    <w:rsid w:val="00425E50"/>
    <w:rsid w:val="00425EEF"/>
    <w:rsid w:val="00425F12"/>
    <w:rsid w:val="00425F1A"/>
    <w:rsid w:val="00425F26"/>
    <w:rsid w:val="00425F27"/>
    <w:rsid w:val="00425F78"/>
    <w:rsid w:val="00425F89"/>
    <w:rsid w:val="00425F8D"/>
    <w:rsid w:val="00426032"/>
    <w:rsid w:val="0042603A"/>
    <w:rsid w:val="00426043"/>
    <w:rsid w:val="004260C3"/>
    <w:rsid w:val="0042618D"/>
    <w:rsid w:val="00426190"/>
    <w:rsid w:val="004261E6"/>
    <w:rsid w:val="004262A7"/>
    <w:rsid w:val="004262E5"/>
    <w:rsid w:val="0042634E"/>
    <w:rsid w:val="00426350"/>
    <w:rsid w:val="00426437"/>
    <w:rsid w:val="00426438"/>
    <w:rsid w:val="00426474"/>
    <w:rsid w:val="0042648F"/>
    <w:rsid w:val="00426492"/>
    <w:rsid w:val="004264BD"/>
    <w:rsid w:val="004264D9"/>
    <w:rsid w:val="004264EF"/>
    <w:rsid w:val="00426510"/>
    <w:rsid w:val="0042653E"/>
    <w:rsid w:val="0042656E"/>
    <w:rsid w:val="0042657D"/>
    <w:rsid w:val="004265A9"/>
    <w:rsid w:val="004265C8"/>
    <w:rsid w:val="004265CB"/>
    <w:rsid w:val="004265F4"/>
    <w:rsid w:val="0042664A"/>
    <w:rsid w:val="00426686"/>
    <w:rsid w:val="004266F5"/>
    <w:rsid w:val="0042670D"/>
    <w:rsid w:val="00426720"/>
    <w:rsid w:val="00426733"/>
    <w:rsid w:val="00426746"/>
    <w:rsid w:val="0042677D"/>
    <w:rsid w:val="004267A6"/>
    <w:rsid w:val="004267BB"/>
    <w:rsid w:val="00426807"/>
    <w:rsid w:val="0042680F"/>
    <w:rsid w:val="00426862"/>
    <w:rsid w:val="0042686E"/>
    <w:rsid w:val="0042687D"/>
    <w:rsid w:val="00426890"/>
    <w:rsid w:val="00426891"/>
    <w:rsid w:val="004268C3"/>
    <w:rsid w:val="004268EE"/>
    <w:rsid w:val="0042690D"/>
    <w:rsid w:val="00426955"/>
    <w:rsid w:val="00426963"/>
    <w:rsid w:val="00426972"/>
    <w:rsid w:val="00426980"/>
    <w:rsid w:val="004269C5"/>
    <w:rsid w:val="00426A07"/>
    <w:rsid w:val="00426A1A"/>
    <w:rsid w:val="00426A2E"/>
    <w:rsid w:val="00426A54"/>
    <w:rsid w:val="00426A9E"/>
    <w:rsid w:val="00426AA5"/>
    <w:rsid w:val="00426AF1"/>
    <w:rsid w:val="00426B6D"/>
    <w:rsid w:val="00426B6E"/>
    <w:rsid w:val="00426CA4"/>
    <w:rsid w:val="00426CA8"/>
    <w:rsid w:val="00426CDF"/>
    <w:rsid w:val="00426D25"/>
    <w:rsid w:val="00426D85"/>
    <w:rsid w:val="00426D8A"/>
    <w:rsid w:val="00426D8F"/>
    <w:rsid w:val="00426DC3"/>
    <w:rsid w:val="00426DDB"/>
    <w:rsid w:val="00426EAC"/>
    <w:rsid w:val="00426F44"/>
    <w:rsid w:val="00426F74"/>
    <w:rsid w:val="00426F9C"/>
    <w:rsid w:val="00426FBE"/>
    <w:rsid w:val="0042702E"/>
    <w:rsid w:val="00427045"/>
    <w:rsid w:val="004270BF"/>
    <w:rsid w:val="004270EC"/>
    <w:rsid w:val="00427109"/>
    <w:rsid w:val="0042711D"/>
    <w:rsid w:val="00427130"/>
    <w:rsid w:val="00427156"/>
    <w:rsid w:val="00427167"/>
    <w:rsid w:val="0042718B"/>
    <w:rsid w:val="00427220"/>
    <w:rsid w:val="00427229"/>
    <w:rsid w:val="0042723F"/>
    <w:rsid w:val="0042725C"/>
    <w:rsid w:val="00427264"/>
    <w:rsid w:val="00427270"/>
    <w:rsid w:val="00427287"/>
    <w:rsid w:val="004272BE"/>
    <w:rsid w:val="004272F2"/>
    <w:rsid w:val="004273AF"/>
    <w:rsid w:val="004273C7"/>
    <w:rsid w:val="004273C9"/>
    <w:rsid w:val="004273CE"/>
    <w:rsid w:val="004273EB"/>
    <w:rsid w:val="004273FD"/>
    <w:rsid w:val="00427409"/>
    <w:rsid w:val="00427410"/>
    <w:rsid w:val="00427445"/>
    <w:rsid w:val="00427463"/>
    <w:rsid w:val="00427483"/>
    <w:rsid w:val="004274C8"/>
    <w:rsid w:val="00427538"/>
    <w:rsid w:val="00427547"/>
    <w:rsid w:val="0042754B"/>
    <w:rsid w:val="004275AC"/>
    <w:rsid w:val="004275D9"/>
    <w:rsid w:val="0042761A"/>
    <w:rsid w:val="0042761C"/>
    <w:rsid w:val="00427634"/>
    <w:rsid w:val="00427698"/>
    <w:rsid w:val="004276BC"/>
    <w:rsid w:val="00427746"/>
    <w:rsid w:val="004277B8"/>
    <w:rsid w:val="00427815"/>
    <w:rsid w:val="0042783C"/>
    <w:rsid w:val="00427841"/>
    <w:rsid w:val="00427850"/>
    <w:rsid w:val="00427867"/>
    <w:rsid w:val="00427876"/>
    <w:rsid w:val="00427885"/>
    <w:rsid w:val="004278BD"/>
    <w:rsid w:val="00427973"/>
    <w:rsid w:val="004279A2"/>
    <w:rsid w:val="004279B8"/>
    <w:rsid w:val="00427A14"/>
    <w:rsid w:val="00427A44"/>
    <w:rsid w:val="00427A4D"/>
    <w:rsid w:val="00427A60"/>
    <w:rsid w:val="00427A62"/>
    <w:rsid w:val="00427A75"/>
    <w:rsid w:val="00427AD8"/>
    <w:rsid w:val="00427AE5"/>
    <w:rsid w:val="00427B14"/>
    <w:rsid w:val="00427B94"/>
    <w:rsid w:val="00427BA4"/>
    <w:rsid w:val="00427BBE"/>
    <w:rsid w:val="00427C27"/>
    <w:rsid w:val="00427C93"/>
    <w:rsid w:val="00427C9B"/>
    <w:rsid w:val="00427CB5"/>
    <w:rsid w:val="00427CE2"/>
    <w:rsid w:val="00427CEC"/>
    <w:rsid w:val="00427E05"/>
    <w:rsid w:val="00427E16"/>
    <w:rsid w:val="00427E1E"/>
    <w:rsid w:val="00427E27"/>
    <w:rsid w:val="00427E58"/>
    <w:rsid w:val="00427E98"/>
    <w:rsid w:val="00427EA8"/>
    <w:rsid w:val="00427ECA"/>
    <w:rsid w:val="00427EE3"/>
    <w:rsid w:val="00427F2D"/>
    <w:rsid w:val="00427F30"/>
    <w:rsid w:val="00427F45"/>
    <w:rsid w:val="00427F4F"/>
    <w:rsid w:val="00427F6A"/>
    <w:rsid w:val="00427F71"/>
    <w:rsid w:val="00427F97"/>
    <w:rsid w:val="00427FAD"/>
    <w:rsid w:val="00427FFA"/>
    <w:rsid w:val="0043000C"/>
    <w:rsid w:val="00430014"/>
    <w:rsid w:val="00430032"/>
    <w:rsid w:val="00430065"/>
    <w:rsid w:val="004300EF"/>
    <w:rsid w:val="00430102"/>
    <w:rsid w:val="00430156"/>
    <w:rsid w:val="0043016C"/>
    <w:rsid w:val="004301EA"/>
    <w:rsid w:val="004301F4"/>
    <w:rsid w:val="0043024A"/>
    <w:rsid w:val="0043025E"/>
    <w:rsid w:val="004302BF"/>
    <w:rsid w:val="004302F2"/>
    <w:rsid w:val="00430338"/>
    <w:rsid w:val="0043033A"/>
    <w:rsid w:val="00430384"/>
    <w:rsid w:val="00430391"/>
    <w:rsid w:val="0043039E"/>
    <w:rsid w:val="004303AE"/>
    <w:rsid w:val="004303C3"/>
    <w:rsid w:val="004303FD"/>
    <w:rsid w:val="004304B1"/>
    <w:rsid w:val="004304C5"/>
    <w:rsid w:val="004304D2"/>
    <w:rsid w:val="004304DE"/>
    <w:rsid w:val="004304EE"/>
    <w:rsid w:val="00430518"/>
    <w:rsid w:val="00430560"/>
    <w:rsid w:val="004305AE"/>
    <w:rsid w:val="004305C1"/>
    <w:rsid w:val="004305C8"/>
    <w:rsid w:val="004305CB"/>
    <w:rsid w:val="004305EF"/>
    <w:rsid w:val="0043066C"/>
    <w:rsid w:val="00430682"/>
    <w:rsid w:val="00430702"/>
    <w:rsid w:val="00430736"/>
    <w:rsid w:val="00430763"/>
    <w:rsid w:val="004307A2"/>
    <w:rsid w:val="004307B6"/>
    <w:rsid w:val="00430874"/>
    <w:rsid w:val="00430876"/>
    <w:rsid w:val="00430877"/>
    <w:rsid w:val="004308A7"/>
    <w:rsid w:val="004308F7"/>
    <w:rsid w:val="0043090B"/>
    <w:rsid w:val="00430914"/>
    <w:rsid w:val="00430968"/>
    <w:rsid w:val="004309BC"/>
    <w:rsid w:val="004309CC"/>
    <w:rsid w:val="004309F0"/>
    <w:rsid w:val="004309F6"/>
    <w:rsid w:val="00430A09"/>
    <w:rsid w:val="00430A78"/>
    <w:rsid w:val="00430A88"/>
    <w:rsid w:val="00430B1E"/>
    <w:rsid w:val="00430BBD"/>
    <w:rsid w:val="00430BC4"/>
    <w:rsid w:val="00430C35"/>
    <w:rsid w:val="00430C3A"/>
    <w:rsid w:val="00430C49"/>
    <w:rsid w:val="00430CC1"/>
    <w:rsid w:val="00430CFE"/>
    <w:rsid w:val="00430D41"/>
    <w:rsid w:val="00430D49"/>
    <w:rsid w:val="00430D61"/>
    <w:rsid w:val="00430DB1"/>
    <w:rsid w:val="00430E0D"/>
    <w:rsid w:val="00430E32"/>
    <w:rsid w:val="00430E99"/>
    <w:rsid w:val="00430EAD"/>
    <w:rsid w:val="00430EE4"/>
    <w:rsid w:val="00430F08"/>
    <w:rsid w:val="00430F88"/>
    <w:rsid w:val="00430F8C"/>
    <w:rsid w:val="00430FD2"/>
    <w:rsid w:val="00431037"/>
    <w:rsid w:val="004310B5"/>
    <w:rsid w:val="004310E7"/>
    <w:rsid w:val="004310EB"/>
    <w:rsid w:val="00431130"/>
    <w:rsid w:val="004311A1"/>
    <w:rsid w:val="004311B0"/>
    <w:rsid w:val="004311BD"/>
    <w:rsid w:val="0043123A"/>
    <w:rsid w:val="0043124E"/>
    <w:rsid w:val="00431282"/>
    <w:rsid w:val="00431287"/>
    <w:rsid w:val="004312A4"/>
    <w:rsid w:val="00431309"/>
    <w:rsid w:val="004313C7"/>
    <w:rsid w:val="0043144A"/>
    <w:rsid w:val="00431465"/>
    <w:rsid w:val="004314C1"/>
    <w:rsid w:val="004314C5"/>
    <w:rsid w:val="004314CD"/>
    <w:rsid w:val="00431530"/>
    <w:rsid w:val="0043154E"/>
    <w:rsid w:val="00431551"/>
    <w:rsid w:val="0043159B"/>
    <w:rsid w:val="004315AB"/>
    <w:rsid w:val="004315DE"/>
    <w:rsid w:val="004315E8"/>
    <w:rsid w:val="00431686"/>
    <w:rsid w:val="004316B9"/>
    <w:rsid w:val="004316DD"/>
    <w:rsid w:val="0043178D"/>
    <w:rsid w:val="00431794"/>
    <w:rsid w:val="004317F6"/>
    <w:rsid w:val="00431805"/>
    <w:rsid w:val="00431849"/>
    <w:rsid w:val="0043188A"/>
    <w:rsid w:val="004318D9"/>
    <w:rsid w:val="0043190D"/>
    <w:rsid w:val="00431925"/>
    <w:rsid w:val="00431938"/>
    <w:rsid w:val="0043196C"/>
    <w:rsid w:val="004319BD"/>
    <w:rsid w:val="004319C3"/>
    <w:rsid w:val="00431A4C"/>
    <w:rsid w:val="00431AF5"/>
    <w:rsid w:val="00431B3D"/>
    <w:rsid w:val="00431B4D"/>
    <w:rsid w:val="00431B76"/>
    <w:rsid w:val="00431B8F"/>
    <w:rsid w:val="00431BCC"/>
    <w:rsid w:val="00431BCE"/>
    <w:rsid w:val="00431C6B"/>
    <w:rsid w:val="00431CF4"/>
    <w:rsid w:val="00431D40"/>
    <w:rsid w:val="00431D48"/>
    <w:rsid w:val="00431E20"/>
    <w:rsid w:val="00431E58"/>
    <w:rsid w:val="00431F09"/>
    <w:rsid w:val="00431F0E"/>
    <w:rsid w:val="00431F6C"/>
    <w:rsid w:val="00431FCE"/>
    <w:rsid w:val="00431FF7"/>
    <w:rsid w:val="0043200D"/>
    <w:rsid w:val="00432043"/>
    <w:rsid w:val="00432044"/>
    <w:rsid w:val="0043208D"/>
    <w:rsid w:val="0043209A"/>
    <w:rsid w:val="0043209E"/>
    <w:rsid w:val="004320AA"/>
    <w:rsid w:val="004320B1"/>
    <w:rsid w:val="004320EF"/>
    <w:rsid w:val="004320F2"/>
    <w:rsid w:val="0043212A"/>
    <w:rsid w:val="00432185"/>
    <w:rsid w:val="0043218A"/>
    <w:rsid w:val="004321A9"/>
    <w:rsid w:val="004321BD"/>
    <w:rsid w:val="004321D3"/>
    <w:rsid w:val="0043223C"/>
    <w:rsid w:val="00432260"/>
    <w:rsid w:val="00432275"/>
    <w:rsid w:val="004322FC"/>
    <w:rsid w:val="00432305"/>
    <w:rsid w:val="0043239F"/>
    <w:rsid w:val="004323A3"/>
    <w:rsid w:val="004323CE"/>
    <w:rsid w:val="004323EF"/>
    <w:rsid w:val="00432425"/>
    <w:rsid w:val="00432431"/>
    <w:rsid w:val="00432443"/>
    <w:rsid w:val="0043246C"/>
    <w:rsid w:val="00432474"/>
    <w:rsid w:val="00432488"/>
    <w:rsid w:val="004324A3"/>
    <w:rsid w:val="004324AE"/>
    <w:rsid w:val="004324F0"/>
    <w:rsid w:val="00432514"/>
    <w:rsid w:val="00432539"/>
    <w:rsid w:val="00432589"/>
    <w:rsid w:val="004325C0"/>
    <w:rsid w:val="004325F1"/>
    <w:rsid w:val="00432619"/>
    <w:rsid w:val="0043262A"/>
    <w:rsid w:val="00432632"/>
    <w:rsid w:val="0043265D"/>
    <w:rsid w:val="004326C3"/>
    <w:rsid w:val="004326C5"/>
    <w:rsid w:val="004326E2"/>
    <w:rsid w:val="0043270C"/>
    <w:rsid w:val="00432726"/>
    <w:rsid w:val="004327BD"/>
    <w:rsid w:val="004327BF"/>
    <w:rsid w:val="0043280B"/>
    <w:rsid w:val="0043291C"/>
    <w:rsid w:val="0043291D"/>
    <w:rsid w:val="00432935"/>
    <w:rsid w:val="00432947"/>
    <w:rsid w:val="00432998"/>
    <w:rsid w:val="004329BA"/>
    <w:rsid w:val="004329C8"/>
    <w:rsid w:val="00432A1B"/>
    <w:rsid w:val="00432A9E"/>
    <w:rsid w:val="00432AA5"/>
    <w:rsid w:val="00432AD1"/>
    <w:rsid w:val="00432AE1"/>
    <w:rsid w:val="00432B2A"/>
    <w:rsid w:val="00432B42"/>
    <w:rsid w:val="00432B63"/>
    <w:rsid w:val="00432BC8"/>
    <w:rsid w:val="00432BE3"/>
    <w:rsid w:val="00432BE8"/>
    <w:rsid w:val="00432C84"/>
    <w:rsid w:val="00432D0F"/>
    <w:rsid w:val="00432D15"/>
    <w:rsid w:val="00432D4C"/>
    <w:rsid w:val="00432D51"/>
    <w:rsid w:val="00432D60"/>
    <w:rsid w:val="00432E9C"/>
    <w:rsid w:val="00432EAB"/>
    <w:rsid w:val="00432F15"/>
    <w:rsid w:val="00432F1B"/>
    <w:rsid w:val="00432F5E"/>
    <w:rsid w:val="00432F62"/>
    <w:rsid w:val="00432F76"/>
    <w:rsid w:val="00432FE3"/>
    <w:rsid w:val="00432FFC"/>
    <w:rsid w:val="00432FFE"/>
    <w:rsid w:val="00432FFF"/>
    <w:rsid w:val="00433029"/>
    <w:rsid w:val="0043302D"/>
    <w:rsid w:val="0043307C"/>
    <w:rsid w:val="00433084"/>
    <w:rsid w:val="00433095"/>
    <w:rsid w:val="004330AE"/>
    <w:rsid w:val="004330D2"/>
    <w:rsid w:val="004330D6"/>
    <w:rsid w:val="004331D2"/>
    <w:rsid w:val="004331FE"/>
    <w:rsid w:val="0043324E"/>
    <w:rsid w:val="00433265"/>
    <w:rsid w:val="004332A5"/>
    <w:rsid w:val="004332BC"/>
    <w:rsid w:val="004332F8"/>
    <w:rsid w:val="00433376"/>
    <w:rsid w:val="00433379"/>
    <w:rsid w:val="004334A6"/>
    <w:rsid w:val="004334AC"/>
    <w:rsid w:val="00433542"/>
    <w:rsid w:val="0043354A"/>
    <w:rsid w:val="0043358F"/>
    <w:rsid w:val="0043359E"/>
    <w:rsid w:val="004335B3"/>
    <w:rsid w:val="004335D6"/>
    <w:rsid w:val="004335FF"/>
    <w:rsid w:val="0043362E"/>
    <w:rsid w:val="00433640"/>
    <w:rsid w:val="00433658"/>
    <w:rsid w:val="004336B0"/>
    <w:rsid w:val="00433718"/>
    <w:rsid w:val="00433729"/>
    <w:rsid w:val="00433749"/>
    <w:rsid w:val="00433777"/>
    <w:rsid w:val="0043378E"/>
    <w:rsid w:val="004337E3"/>
    <w:rsid w:val="004337F2"/>
    <w:rsid w:val="0043380C"/>
    <w:rsid w:val="0043383E"/>
    <w:rsid w:val="00433851"/>
    <w:rsid w:val="00433872"/>
    <w:rsid w:val="00433893"/>
    <w:rsid w:val="004338DA"/>
    <w:rsid w:val="004338DD"/>
    <w:rsid w:val="00433914"/>
    <w:rsid w:val="0043395F"/>
    <w:rsid w:val="0043399F"/>
    <w:rsid w:val="004339F0"/>
    <w:rsid w:val="00433A2E"/>
    <w:rsid w:val="00433A46"/>
    <w:rsid w:val="00433A9F"/>
    <w:rsid w:val="00433B1B"/>
    <w:rsid w:val="00433B55"/>
    <w:rsid w:val="00433B6B"/>
    <w:rsid w:val="00433B7E"/>
    <w:rsid w:val="00433B8C"/>
    <w:rsid w:val="00433BAE"/>
    <w:rsid w:val="00433BB9"/>
    <w:rsid w:val="00433C0E"/>
    <w:rsid w:val="00433C6A"/>
    <w:rsid w:val="00433CA1"/>
    <w:rsid w:val="00433CCC"/>
    <w:rsid w:val="00433D0C"/>
    <w:rsid w:val="00433D54"/>
    <w:rsid w:val="00433D5B"/>
    <w:rsid w:val="00433D65"/>
    <w:rsid w:val="00433E38"/>
    <w:rsid w:val="00433E3C"/>
    <w:rsid w:val="00433E43"/>
    <w:rsid w:val="00433E91"/>
    <w:rsid w:val="00433EB7"/>
    <w:rsid w:val="00433EC9"/>
    <w:rsid w:val="00434004"/>
    <w:rsid w:val="004340DE"/>
    <w:rsid w:val="004340F6"/>
    <w:rsid w:val="004341A5"/>
    <w:rsid w:val="004341AC"/>
    <w:rsid w:val="004341C0"/>
    <w:rsid w:val="00434200"/>
    <w:rsid w:val="00434203"/>
    <w:rsid w:val="0043423A"/>
    <w:rsid w:val="00434271"/>
    <w:rsid w:val="004342B2"/>
    <w:rsid w:val="004342B3"/>
    <w:rsid w:val="004342EF"/>
    <w:rsid w:val="00434300"/>
    <w:rsid w:val="0043436C"/>
    <w:rsid w:val="00434371"/>
    <w:rsid w:val="00434375"/>
    <w:rsid w:val="004343CF"/>
    <w:rsid w:val="00434463"/>
    <w:rsid w:val="00434483"/>
    <w:rsid w:val="00434491"/>
    <w:rsid w:val="004344A0"/>
    <w:rsid w:val="00434505"/>
    <w:rsid w:val="0043453A"/>
    <w:rsid w:val="0043453E"/>
    <w:rsid w:val="00434580"/>
    <w:rsid w:val="00434587"/>
    <w:rsid w:val="0043458A"/>
    <w:rsid w:val="004345A0"/>
    <w:rsid w:val="004345A7"/>
    <w:rsid w:val="004345D4"/>
    <w:rsid w:val="004345EC"/>
    <w:rsid w:val="00434648"/>
    <w:rsid w:val="00434670"/>
    <w:rsid w:val="00434674"/>
    <w:rsid w:val="00434699"/>
    <w:rsid w:val="004346C6"/>
    <w:rsid w:val="004346E1"/>
    <w:rsid w:val="00434756"/>
    <w:rsid w:val="00434762"/>
    <w:rsid w:val="004347CF"/>
    <w:rsid w:val="00434806"/>
    <w:rsid w:val="0043486D"/>
    <w:rsid w:val="00434872"/>
    <w:rsid w:val="0043489F"/>
    <w:rsid w:val="004348D6"/>
    <w:rsid w:val="004348E6"/>
    <w:rsid w:val="004348EB"/>
    <w:rsid w:val="00434913"/>
    <w:rsid w:val="00434928"/>
    <w:rsid w:val="00434944"/>
    <w:rsid w:val="00434981"/>
    <w:rsid w:val="004349BF"/>
    <w:rsid w:val="00434A0B"/>
    <w:rsid w:val="00434A25"/>
    <w:rsid w:val="00434A91"/>
    <w:rsid w:val="00434A92"/>
    <w:rsid w:val="00434A93"/>
    <w:rsid w:val="00434AA0"/>
    <w:rsid w:val="00434AA4"/>
    <w:rsid w:val="00434B2C"/>
    <w:rsid w:val="00434B2F"/>
    <w:rsid w:val="00434B62"/>
    <w:rsid w:val="00434BD8"/>
    <w:rsid w:val="00434C2A"/>
    <w:rsid w:val="00434C7C"/>
    <w:rsid w:val="00434C9F"/>
    <w:rsid w:val="00434CD0"/>
    <w:rsid w:val="00434CE6"/>
    <w:rsid w:val="00434D12"/>
    <w:rsid w:val="00434D19"/>
    <w:rsid w:val="00434D6B"/>
    <w:rsid w:val="00434E17"/>
    <w:rsid w:val="00434E60"/>
    <w:rsid w:val="00434E7D"/>
    <w:rsid w:val="00434E91"/>
    <w:rsid w:val="00434EFA"/>
    <w:rsid w:val="00434F09"/>
    <w:rsid w:val="00434F29"/>
    <w:rsid w:val="00434FB3"/>
    <w:rsid w:val="00434FD4"/>
    <w:rsid w:val="00435034"/>
    <w:rsid w:val="00435051"/>
    <w:rsid w:val="0043505D"/>
    <w:rsid w:val="0043507B"/>
    <w:rsid w:val="00435093"/>
    <w:rsid w:val="00435166"/>
    <w:rsid w:val="00435182"/>
    <w:rsid w:val="00435191"/>
    <w:rsid w:val="004351BB"/>
    <w:rsid w:val="004351C7"/>
    <w:rsid w:val="00435205"/>
    <w:rsid w:val="00435218"/>
    <w:rsid w:val="00435239"/>
    <w:rsid w:val="00435294"/>
    <w:rsid w:val="004352BA"/>
    <w:rsid w:val="004352F8"/>
    <w:rsid w:val="00435300"/>
    <w:rsid w:val="00435361"/>
    <w:rsid w:val="00435370"/>
    <w:rsid w:val="004353A1"/>
    <w:rsid w:val="0043542B"/>
    <w:rsid w:val="0043547B"/>
    <w:rsid w:val="00435497"/>
    <w:rsid w:val="004354A1"/>
    <w:rsid w:val="0043552A"/>
    <w:rsid w:val="00435544"/>
    <w:rsid w:val="00435587"/>
    <w:rsid w:val="004355B9"/>
    <w:rsid w:val="004355FC"/>
    <w:rsid w:val="00435605"/>
    <w:rsid w:val="00435628"/>
    <w:rsid w:val="00435641"/>
    <w:rsid w:val="004356D3"/>
    <w:rsid w:val="004356F1"/>
    <w:rsid w:val="00435705"/>
    <w:rsid w:val="00435763"/>
    <w:rsid w:val="0043576A"/>
    <w:rsid w:val="004357F9"/>
    <w:rsid w:val="0043585A"/>
    <w:rsid w:val="004358F7"/>
    <w:rsid w:val="004358F8"/>
    <w:rsid w:val="00435929"/>
    <w:rsid w:val="004359B1"/>
    <w:rsid w:val="004359D7"/>
    <w:rsid w:val="00435A96"/>
    <w:rsid w:val="00435AF8"/>
    <w:rsid w:val="00435B21"/>
    <w:rsid w:val="00435B45"/>
    <w:rsid w:val="00435BBC"/>
    <w:rsid w:val="00435C14"/>
    <w:rsid w:val="00435C36"/>
    <w:rsid w:val="00435C70"/>
    <w:rsid w:val="00435C80"/>
    <w:rsid w:val="00435C83"/>
    <w:rsid w:val="00435CAB"/>
    <w:rsid w:val="00435CB1"/>
    <w:rsid w:val="00435CD2"/>
    <w:rsid w:val="00435DC3"/>
    <w:rsid w:val="00435DF6"/>
    <w:rsid w:val="00435E57"/>
    <w:rsid w:val="00435E68"/>
    <w:rsid w:val="00435F33"/>
    <w:rsid w:val="00435FB3"/>
    <w:rsid w:val="00435FE0"/>
    <w:rsid w:val="0043605D"/>
    <w:rsid w:val="004360D1"/>
    <w:rsid w:val="004360F4"/>
    <w:rsid w:val="00436102"/>
    <w:rsid w:val="0043610B"/>
    <w:rsid w:val="0043617C"/>
    <w:rsid w:val="004361C5"/>
    <w:rsid w:val="004361F0"/>
    <w:rsid w:val="004361F9"/>
    <w:rsid w:val="00436213"/>
    <w:rsid w:val="00436221"/>
    <w:rsid w:val="0043626D"/>
    <w:rsid w:val="004362BB"/>
    <w:rsid w:val="00436305"/>
    <w:rsid w:val="00436338"/>
    <w:rsid w:val="004363AD"/>
    <w:rsid w:val="004363C9"/>
    <w:rsid w:val="00436411"/>
    <w:rsid w:val="00436468"/>
    <w:rsid w:val="0043648C"/>
    <w:rsid w:val="004364A5"/>
    <w:rsid w:val="004365A3"/>
    <w:rsid w:val="004365C4"/>
    <w:rsid w:val="00436621"/>
    <w:rsid w:val="00436665"/>
    <w:rsid w:val="0043668C"/>
    <w:rsid w:val="004366BD"/>
    <w:rsid w:val="004366DB"/>
    <w:rsid w:val="004366E2"/>
    <w:rsid w:val="00436712"/>
    <w:rsid w:val="0043676A"/>
    <w:rsid w:val="00436771"/>
    <w:rsid w:val="00436788"/>
    <w:rsid w:val="004367C2"/>
    <w:rsid w:val="004367E2"/>
    <w:rsid w:val="004367E9"/>
    <w:rsid w:val="00436927"/>
    <w:rsid w:val="0043693F"/>
    <w:rsid w:val="00436963"/>
    <w:rsid w:val="004369A6"/>
    <w:rsid w:val="004369A7"/>
    <w:rsid w:val="004369B8"/>
    <w:rsid w:val="004369C2"/>
    <w:rsid w:val="004369E6"/>
    <w:rsid w:val="00436A0B"/>
    <w:rsid w:val="00436A11"/>
    <w:rsid w:val="00436A14"/>
    <w:rsid w:val="00436A53"/>
    <w:rsid w:val="00436A6B"/>
    <w:rsid w:val="00436AA9"/>
    <w:rsid w:val="00436AF3"/>
    <w:rsid w:val="00436B13"/>
    <w:rsid w:val="00436B1C"/>
    <w:rsid w:val="00436B2E"/>
    <w:rsid w:val="00436B34"/>
    <w:rsid w:val="00436B4B"/>
    <w:rsid w:val="00436B58"/>
    <w:rsid w:val="00436B71"/>
    <w:rsid w:val="00436B85"/>
    <w:rsid w:val="00436C0B"/>
    <w:rsid w:val="00436C14"/>
    <w:rsid w:val="00436C44"/>
    <w:rsid w:val="00436C53"/>
    <w:rsid w:val="00436C6A"/>
    <w:rsid w:val="00436C74"/>
    <w:rsid w:val="00436C81"/>
    <w:rsid w:val="00436C8D"/>
    <w:rsid w:val="00436CCF"/>
    <w:rsid w:val="00436CE2"/>
    <w:rsid w:val="00436CF3"/>
    <w:rsid w:val="00436CF9"/>
    <w:rsid w:val="00436D13"/>
    <w:rsid w:val="00436D2A"/>
    <w:rsid w:val="00436D78"/>
    <w:rsid w:val="00436D98"/>
    <w:rsid w:val="00436DB5"/>
    <w:rsid w:val="00436DC8"/>
    <w:rsid w:val="00436E5B"/>
    <w:rsid w:val="00436E8B"/>
    <w:rsid w:val="00436EAB"/>
    <w:rsid w:val="00436EC3"/>
    <w:rsid w:val="00436F1D"/>
    <w:rsid w:val="00436F24"/>
    <w:rsid w:val="00436F25"/>
    <w:rsid w:val="00436F4C"/>
    <w:rsid w:val="00436F74"/>
    <w:rsid w:val="00436FD5"/>
    <w:rsid w:val="00437000"/>
    <w:rsid w:val="00437040"/>
    <w:rsid w:val="004370BE"/>
    <w:rsid w:val="004370FE"/>
    <w:rsid w:val="0043711B"/>
    <w:rsid w:val="00437152"/>
    <w:rsid w:val="00437158"/>
    <w:rsid w:val="00437185"/>
    <w:rsid w:val="004371A3"/>
    <w:rsid w:val="0043722A"/>
    <w:rsid w:val="004372B6"/>
    <w:rsid w:val="004372C9"/>
    <w:rsid w:val="004372FC"/>
    <w:rsid w:val="0043730E"/>
    <w:rsid w:val="00437320"/>
    <w:rsid w:val="00437372"/>
    <w:rsid w:val="00437398"/>
    <w:rsid w:val="00437406"/>
    <w:rsid w:val="0043740F"/>
    <w:rsid w:val="0043743E"/>
    <w:rsid w:val="00437456"/>
    <w:rsid w:val="00437546"/>
    <w:rsid w:val="0043754A"/>
    <w:rsid w:val="00437558"/>
    <w:rsid w:val="00437578"/>
    <w:rsid w:val="004375D9"/>
    <w:rsid w:val="00437607"/>
    <w:rsid w:val="00437621"/>
    <w:rsid w:val="004376C8"/>
    <w:rsid w:val="004376D7"/>
    <w:rsid w:val="004376DD"/>
    <w:rsid w:val="00437741"/>
    <w:rsid w:val="004377A5"/>
    <w:rsid w:val="004377B5"/>
    <w:rsid w:val="004377BC"/>
    <w:rsid w:val="004377CA"/>
    <w:rsid w:val="004377FF"/>
    <w:rsid w:val="00437834"/>
    <w:rsid w:val="0043784E"/>
    <w:rsid w:val="004378CB"/>
    <w:rsid w:val="004378DC"/>
    <w:rsid w:val="004378DE"/>
    <w:rsid w:val="004378E4"/>
    <w:rsid w:val="004378EB"/>
    <w:rsid w:val="0043790F"/>
    <w:rsid w:val="0043791B"/>
    <w:rsid w:val="00437945"/>
    <w:rsid w:val="00437969"/>
    <w:rsid w:val="00437970"/>
    <w:rsid w:val="004379DC"/>
    <w:rsid w:val="00437A22"/>
    <w:rsid w:val="00437A3A"/>
    <w:rsid w:val="00437A6B"/>
    <w:rsid w:val="00437AB4"/>
    <w:rsid w:val="00437AE1"/>
    <w:rsid w:val="00437AE3"/>
    <w:rsid w:val="00437B1C"/>
    <w:rsid w:val="00437B63"/>
    <w:rsid w:val="00437B7B"/>
    <w:rsid w:val="00437BBF"/>
    <w:rsid w:val="00437BE4"/>
    <w:rsid w:val="00437BE7"/>
    <w:rsid w:val="00437C03"/>
    <w:rsid w:val="00437C48"/>
    <w:rsid w:val="00437CEA"/>
    <w:rsid w:val="00437DEB"/>
    <w:rsid w:val="00437DEC"/>
    <w:rsid w:val="00437DF4"/>
    <w:rsid w:val="00437E8C"/>
    <w:rsid w:val="00437E8F"/>
    <w:rsid w:val="00437E96"/>
    <w:rsid w:val="00437EA6"/>
    <w:rsid w:val="00437F58"/>
    <w:rsid w:val="00437F68"/>
    <w:rsid w:val="00437F6F"/>
    <w:rsid w:val="0044000A"/>
    <w:rsid w:val="00440017"/>
    <w:rsid w:val="00440096"/>
    <w:rsid w:val="004400A9"/>
    <w:rsid w:val="004400BC"/>
    <w:rsid w:val="004400FA"/>
    <w:rsid w:val="00440124"/>
    <w:rsid w:val="00440132"/>
    <w:rsid w:val="0044013F"/>
    <w:rsid w:val="00440178"/>
    <w:rsid w:val="00440189"/>
    <w:rsid w:val="004401AE"/>
    <w:rsid w:val="004401C5"/>
    <w:rsid w:val="00440275"/>
    <w:rsid w:val="0044029B"/>
    <w:rsid w:val="004402A5"/>
    <w:rsid w:val="004402F8"/>
    <w:rsid w:val="00440392"/>
    <w:rsid w:val="004403AA"/>
    <w:rsid w:val="004403B1"/>
    <w:rsid w:val="004403C5"/>
    <w:rsid w:val="004403CA"/>
    <w:rsid w:val="00440435"/>
    <w:rsid w:val="0044046C"/>
    <w:rsid w:val="004404BD"/>
    <w:rsid w:val="00440544"/>
    <w:rsid w:val="0044054B"/>
    <w:rsid w:val="0044059A"/>
    <w:rsid w:val="00440622"/>
    <w:rsid w:val="00440684"/>
    <w:rsid w:val="0044068D"/>
    <w:rsid w:val="0044070E"/>
    <w:rsid w:val="0044078E"/>
    <w:rsid w:val="004407DC"/>
    <w:rsid w:val="00440840"/>
    <w:rsid w:val="00440847"/>
    <w:rsid w:val="004408A4"/>
    <w:rsid w:val="004408B1"/>
    <w:rsid w:val="004408E3"/>
    <w:rsid w:val="00440929"/>
    <w:rsid w:val="004409AB"/>
    <w:rsid w:val="004409D9"/>
    <w:rsid w:val="00440A86"/>
    <w:rsid w:val="00440B0C"/>
    <w:rsid w:val="00440B2B"/>
    <w:rsid w:val="00440B3B"/>
    <w:rsid w:val="00440B54"/>
    <w:rsid w:val="00440B91"/>
    <w:rsid w:val="00440BAC"/>
    <w:rsid w:val="00440CAC"/>
    <w:rsid w:val="00440DF0"/>
    <w:rsid w:val="00440E17"/>
    <w:rsid w:val="00440E49"/>
    <w:rsid w:val="00440E5B"/>
    <w:rsid w:val="00440EBC"/>
    <w:rsid w:val="00440F25"/>
    <w:rsid w:val="00440F68"/>
    <w:rsid w:val="00440FB6"/>
    <w:rsid w:val="00440FED"/>
    <w:rsid w:val="00440FF3"/>
    <w:rsid w:val="00440FFF"/>
    <w:rsid w:val="00441042"/>
    <w:rsid w:val="00441089"/>
    <w:rsid w:val="00441093"/>
    <w:rsid w:val="00441096"/>
    <w:rsid w:val="004410BA"/>
    <w:rsid w:val="004410D7"/>
    <w:rsid w:val="00441111"/>
    <w:rsid w:val="0044112B"/>
    <w:rsid w:val="00441140"/>
    <w:rsid w:val="004411BD"/>
    <w:rsid w:val="004411F1"/>
    <w:rsid w:val="00441204"/>
    <w:rsid w:val="00441266"/>
    <w:rsid w:val="004412E3"/>
    <w:rsid w:val="0044130C"/>
    <w:rsid w:val="0044136E"/>
    <w:rsid w:val="0044138E"/>
    <w:rsid w:val="004413E4"/>
    <w:rsid w:val="00441413"/>
    <w:rsid w:val="00441428"/>
    <w:rsid w:val="00441437"/>
    <w:rsid w:val="0044143A"/>
    <w:rsid w:val="00441451"/>
    <w:rsid w:val="00441458"/>
    <w:rsid w:val="00441461"/>
    <w:rsid w:val="004414AE"/>
    <w:rsid w:val="004414CB"/>
    <w:rsid w:val="004414E4"/>
    <w:rsid w:val="00441515"/>
    <w:rsid w:val="0044151B"/>
    <w:rsid w:val="00441558"/>
    <w:rsid w:val="004415CA"/>
    <w:rsid w:val="004415D3"/>
    <w:rsid w:val="00441601"/>
    <w:rsid w:val="00441608"/>
    <w:rsid w:val="00441616"/>
    <w:rsid w:val="00441765"/>
    <w:rsid w:val="004417D0"/>
    <w:rsid w:val="0044182A"/>
    <w:rsid w:val="0044182D"/>
    <w:rsid w:val="00441858"/>
    <w:rsid w:val="0044185D"/>
    <w:rsid w:val="00441882"/>
    <w:rsid w:val="0044188A"/>
    <w:rsid w:val="00441894"/>
    <w:rsid w:val="004418A4"/>
    <w:rsid w:val="004418BF"/>
    <w:rsid w:val="004418FE"/>
    <w:rsid w:val="004418FF"/>
    <w:rsid w:val="00441979"/>
    <w:rsid w:val="004419AC"/>
    <w:rsid w:val="004419E3"/>
    <w:rsid w:val="00441A0C"/>
    <w:rsid w:val="00441A0E"/>
    <w:rsid w:val="00441A11"/>
    <w:rsid w:val="00441A81"/>
    <w:rsid w:val="00441ABD"/>
    <w:rsid w:val="00441AC5"/>
    <w:rsid w:val="00441AD9"/>
    <w:rsid w:val="00441B82"/>
    <w:rsid w:val="00441C5D"/>
    <w:rsid w:val="00441C6B"/>
    <w:rsid w:val="00441D4F"/>
    <w:rsid w:val="00441D61"/>
    <w:rsid w:val="00441DB5"/>
    <w:rsid w:val="00441DBC"/>
    <w:rsid w:val="00441DF9"/>
    <w:rsid w:val="00441E0D"/>
    <w:rsid w:val="00441E16"/>
    <w:rsid w:val="00441E5F"/>
    <w:rsid w:val="00441E78"/>
    <w:rsid w:val="00441ECB"/>
    <w:rsid w:val="00441F0C"/>
    <w:rsid w:val="00441F28"/>
    <w:rsid w:val="00441F9B"/>
    <w:rsid w:val="00441FC4"/>
    <w:rsid w:val="00441FCB"/>
    <w:rsid w:val="00441FEB"/>
    <w:rsid w:val="00441FFF"/>
    <w:rsid w:val="00442052"/>
    <w:rsid w:val="0044206D"/>
    <w:rsid w:val="004420C5"/>
    <w:rsid w:val="004420E5"/>
    <w:rsid w:val="00442102"/>
    <w:rsid w:val="0044213E"/>
    <w:rsid w:val="00442175"/>
    <w:rsid w:val="00442179"/>
    <w:rsid w:val="00442187"/>
    <w:rsid w:val="0044218E"/>
    <w:rsid w:val="00442196"/>
    <w:rsid w:val="0044219E"/>
    <w:rsid w:val="00442221"/>
    <w:rsid w:val="00442231"/>
    <w:rsid w:val="0044223D"/>
    <w:rsid w:val="00442241"/>
    <w:rsid w:val="0044224A"/>
    <w:rsid w:val="00442282"/>
    <w:rsid w:val="00442285"/>
    <w:rsid w:val="00442286"/>
    <w:rsid w:val="0044229C"/>
    <w:rsid w:val="004422C1"/>
    <w:rsid w:val="004422E4"/>
    <w:rsid w:val="004422FA"/>
    <w:rsid w:val="00442305"/>
    <w:rsid w:val="0044232E"/>
    <w:rsid w:val="00442357"/>
    <w:rsid w:val="00442396"/>
    <w:rsid w:val="004423B6"/>
    <w:rsid w:val="004423DF"/>
    <w:rsid w:val="00442429"/>
    <w:rsid w:val="00442539"/>
    <w:rsid w:val="00442550"/>
    <w:rsid w:val="00442597"/>
    <w:rsid w:val="004425DF"/>
    <w:rsid w:val="004425FA"/>
    <w:rsid w:val="00442601"/>
    <w:rsid w:val="00442651"/>
    <w:rsid w:val="00442696"/>
    <w:rsid w:val="004426E4"/>
    <w:rsid w:val="004426ED"/>
    <w:rsid w:val="0044271A"/>
    <w:rsid w:val="0044272D"/>
    <w:rsid w:val="0044272F"/>
    <w:rsid w:val="00442736"/>
    <w:rsid w:val="0044278C"/>
    <w:rsid w:val="004427C4"/>
    <w:rsid w:val="004427E7"/>
    <w:rsid w:val="004427F2"/>
    <w:rsid w:val="004427F7"/>
    <w:rsid w:val="0044282D"/>
    <w:rsid w:val="00442843"/>
    <w:rsid w:val="0044285A"/>
    <w:rsid w:val="00442879"/>
    <w:rsid w:val="004428B2"/>
    <w:rsid w:val="004428C5"/>
    <w:rsid w:val="00442956"/>
    <w:rsid w:val="00442962"/>
    <w:rsid w:val="00442965"/>
    <w:rsid w:val="00442977"/>
    <w:rsid w:val="004429CE"/>
    <w:rsid w:val="004429E5"/>
    <w:rsid w:val="00442A95"/>
    <w:rsid w:val="00442AAD"/>
    <w:rsid w:val="00442ABA"/>
    <w:rsid w:val="00442AF9"/>
    <w:rsid w:val="00442B29"/>
    <w:rsid w:val="00442B49"/>
    <w:rsid w:val="00442B6F"/>
    <w:rsid w:val="00442B97"/>
    <w:rsid w:val="00442BAB"/>
    <w:rsid w:val="00442C03"/>
    <w:rsid w:val="00442C06"/>
    <w:rsid w:val="00442CC1"/>
    <w:rsid w:val="00442D01"/>
    <w:rsid w:val="00442D51"/>
    <w:rsid w:val="00442D90"/>
    <w:rsid w:val="00442DA5"/>
    <w:rsid w:val="00442DAE"/>
    <w:rsid w:val="00442DE2"/>
    <w:rsid w:val="00442E07"/>
    <w:rsid w:val="00442E28"/>
    <w:rsid w:val="00442E31"/>
    <w:rsid w:val="00442E95"/>
    <w:rsid w:val="00442EE1"/>
    <w:rsid w:val="00442FA4"/>
    <w:rsid w:val="00442FB2"/>
    <w:rsid w:val="00442FF8"/>
    <w:rsid w:val="00443009"/>
    <w:rsid w:val="00443019"/>
    <w:rsid w:val="00443054"/>
    <w:rsid w:val="00443082"/>
    <w:rsid w:val="00443089"/>
    <w:rsid w:val="00443129"/>
    <w:rsid w:val="0044313D"/>
    <w:rsid w:val="00443192"/>
    <w:rsid w:val="00443285"/>
    <w:rsid w:val="004432F3"/>
    <w:rsid w:val="004433B7"/>
    <w:rsid w:val="004433BE"/>
    <w:rsid w:val="004433C4"/>
    <w:rsid w:val="004433FC"/>
    <w:rsid w:val="00443440"/>
    <w:rsid w:val="0044347E"/>
    <w:rsid w:val="0044348A"/>
    <w:rsid w:val="0044348F"/>
    <w:rsid w:val="0044349E"/>
    <w:rsid w:val="0044350E"/>
    <w:rsid w:val="00443549"/>
    <w:rsid w:val="00443573"/>
    <w:rsid w:val="004435AF"/>
    <w:rsid w:val="004435D0"/>
    <w:rsid w:val="004435D6"/>
    <w:rsid w:val="0044360D"/>
    <w:rsid w:val="00443629"/>
    <w:rsid w:val="00443642"/>
    <w:rsid w:val="004436EE"/>
    <w:rsid w:val="004436FD"/>
    <w:rsid w:val="00443720"/>
    <w:rsid w:val="00443732"/>
    <w:rsid w:val="00443739"/>
    <w:rsid w:val="0044374A"/>
    <w:rsid w:val="00443763"/>
    <w:rsid w:val="0044376F"/>
    <w:rsid w:val="004437A1"/>
    <w:rsid w:val="004437B8"/>
    <w:rsid w:val="004437E8"/>
    <w:rsid w:val="00443819"/>
    <w:rsid w:val="0044381D"/>
    <w:rsid w:val="0044386B"/>
    <w:rsid w:val="004438BC"/>
    <w:rsid w:val="00443953"/>
    <w:rsid w:val="00443967"/>
    <w:rsid w:val="00443981"/>
    <w:rsid w:val="004439BE"/>
    <w:rsid w:val="004439D2"/>
    <w:rsid w:val="00443AF9"/>
    <w:rsid w:val="00443B58"/>
    <w:rsid w:val="00443B92"/>
    <w:rsid w:val="00443BEC"/>
    <w:rsid w:val="00443BFF"/>
    <w:rsid w:val="00443CAE"/>
    <w:rsid w:val="00443CDF"/>
    <w:rsid w:val="00443CEA"/>
    <w:rsid w:val="00443D28"/>
    <w:rsid w:val="00443D73"/>
    <w:rsid w:val="00443DBC"/>
    <w:rsid w:val="00443DD3"/>
    <w:rsid w:val="00443E37"/>
    <w:rsid w:val="00443E4E"/>
    <w:rsid w:val="00443E5F"/>
    <w:rsid w:val="00443ED9"/>
    <w:rsid w:val="00443F89"/>
    <w:rsid w:val="00443F95"/>
    <w:rsid w:val="00443FA6"/>
    <w:rsid w:val="0044407A"/>
    <w:rsid w:val="004440AD"/>
    <w:rsid w:val="004440C2"/>
    <w:rsid w:val="004440E3"/>
    <w:rsid w:val="00444103"/>
    <w:rsid w:val="004441BE"/>
    <w:rsid w:val="004441D5"/>
    <w:rsid w:val="004441DD"/>
    <w:rsid w:val="00444251"/>
    <w:rsid w:val="004442E5"/>
    <w:rsid w:val="004442EC"/>
    <w:rsid w:val="00444318"/>
    <w:rsid w:val="00444341"/>
    <w:rsid w:val="0044435A"/>
    <w:rsid w:val="00444394"/>
    <w:rsid w:val="004443B4"/>
    <w:rsid w:val="004443BC"/>
    <w:rsid w:val="004443CA"/>
    <w:rsid w:val="004443F5"/>
    <w:rsid w:val="00444409"/>
    <w:rsid w:val="0044444D"/>
    <w:rsid w:val="0044448D"/>
    <w:rsid w:val="004444A1"/>
    <w:rsid w:val="004444AC"/>
    <w:rsid w:val="004444AF"/>
    <w:rsid w:val="004444FF"/>
    <w:rsid w:val="00444502"/>
    <w:rsid w:val="0044451D"/>
    <w:rsid w:val="00444529"/>
    <w:rsid w:val="00444545"/>
    <w:rsid w:val="0044456D"/>
    <w:rsid w:val="00444572"/>
    <w:rsid w:val="004445B6"/>
    <w:rsid w:val="0044467C"/>
    <w:rsid w:val="004446C1"/>
    <w:rsid w:val="004446FE"/>
    <w:rsid w:val="00444730"/>
    <w:rsid w:val="004447CC"/>
    <w:rsid w:val="00444805"/>
    <w:rsid w:val="00444822"/>
    <w:rsid w:val="00444831"/>
    <w:rsid w:val="004448CA"/>
    <w:rsid w:val="00444920"/>
    <w:rsid w:val="00444954"/>
    <w:rsid w:val="004449AC"/>
    <w:rsid w:val="004449AD"/>
    <w:rsid w:val="004449C9"/>
    <w:rsid w:val="004449DE"/>
    <w:rsid w:val="004449FF"/>
    <w:rsid w:val="00444A10"/>
    <w:rsid w:val="00444A1A"/>
    <w:rsid w:val="00444A2A"/>
    <w:rsid w:val="00444A3D"/>
    <w:rsid w:val="00444A76"/>
    <w:rsid w:val="00444A78"/>
    <w:rsid w:val="00444AF9"/>
    <w:rsid w:val="00444B12"/>
    <w:rsid w:val="00444BD7"/>
    <w:rsid w:val="00444C16"/>
    <w:rsid w:val="00444C31"/>
    <w:rsid w:val="00444C4A"/>
    <w:rsid w:val="00444C60"/>
    <w:rsid w:val="00444C7D"/>
    <w:rsid w:val="00444C8C"/>
    <w:rsid w:val="00444CAE"/>
    <w:rsid w:val="00444D2E"/>
    <w:rsid w:val="00444D40"/>
    <w:rsid w:val="00444D7C"/>
    <w:rsid w:val="00444DAB"/>
    <w:rsid w:val="00444DB4"/>
    <w:rsid w:val="00444E4F"/>
    <w:rsid w:val="00444E6D"/>
    <w:rsid w:val="00444E87"/>
    <w:rsid w:val="00444E91"/>
    <w:rsid w:val="00444E96"/>
    <w:rsid w:val="00444ED1"/>
    <w:rsid w:val="00444F0F"/>
    <w:rsid w:val="00444F16"/>
    <w:rsid w:val="00444FBE"/>
    <w:rsid w:val="00444FC2"/>
    <w:rsid w:val="004450A3"/>
    <w:rsid w:val="004450C9"/>
    <w:rsid w:val="004450FA"/>
    <w:rsid w:val="00445107"/>
    <w:rsid w:val="0044510C"/>
    <w:rsid w:val="00445172"/>
    <w:rsid w:val="00445183"/>
    <w:rsid w:val="004451EE"/>
    <w:rsid w:val="00445210"/>
    <w:rsid w:val="00445280"/>
    <w:rsid w:val="0044528C"/>
    <w:rsid w:val="004452D3"/>
    <w:rsid w:val="004452DC"/>
    <w:rsid w:val="004452FC"/>
    <w:rsid w:val="0044530F"/>
    <w:rsid w:val="0044534B"/>
    <w:rsid w:val="00445367"/>
    <w:rsid w:val="0044537C"/>
    <w:rsid w:val="0044538F"/>
    <w:rsid w:val="004453D7"/>
    <w:rsid w:val="0044541A"/>
    <w:rsid w:val="0044548D"/>
    <w:rsid w:val="0044548F"/>
    <w:rsid w:val="004454B5"/>
    <w:rsid w:val="004454D0"/>
    <w:rsid w:val="004454FA"/>
    <w:rsid w:val="00445531"/>
    <w:rsid w:val="004455D0"/>
    <w:rsid w:val="004455DE"/>
    <w:rsid w:val="0044562A"/>
    <w:rsid w:val="0044562E"/>
    <w:rsid w:val="0044564B"/>
    <w:rsid w:val="0044573E"/>
    <w:rsid w:val="0044574B"/>
    <w:rsid w:val="00445779"/>
    <w:rsid w:val="004457D2"/>
    <w:rsid w:val="004457E5"/>
    <w:rsid w:val="004457F3"/>
    <w:rsid w:val="00445813"/>
    <w:rsid w:val="00445818"/>
    <w:rsid w:val="0044582B"/>
    <w:rsid w:val="00445837"/>
    <w:rsid w:val="0044583E"/>
    <w:rsid w:val="0044584C"/>
    <w:rsid w:val="0044588C"/>
    <w:rsid w:val="00445925"/>
    <w:rsid w:val="0044593E"/>
    <w:rsid w:val="0044598B"/>
    <w:rsid w:val="0044598C"/>
    <w:rsid w:val="00445997"/>
    <w:rsid w:val="004459A1"/>
    <w:rsid w:val="004459AE"/>
    <w:rsid w:val="004459D5"/>
    <w:rsid w:val="00445A18"/>
    <w:rsid w:val="00445A44"/>
    <w:rsid w:val="00445A54"/>
    <w:rsid w:val="00445A62"/>
    <w:rsid w:val="00445AC7"/>
    <w:rsid w:val="00445ACB"/>
    <w:rsid w:val="00445ACD"/>
    <w:rsid w:val="00445B1C"/>
    <w:rsid w:val="00445B45"/>
    <w:rsid w:val="00445B9E"/>
    <w:rsid w:val="00445BDF"/>
    <w:rsid w:val="00445BF7"/>
    <w:rsid w:val="00445C10"/>
    <w:rsid w:val="00445C37"/>
    <w:rsid w:val="00445C48"/>
    <w:rsid w:val="00445C58"/>
    <w:rsid w:val="00445C75"/>
    <w:rsid w:val="00445D1F"/>
    <w:rsid w:val="00445D35"/>
    <w:rsid w:val="00445D4E"/>
    <w:rsid w:val="00445D6E"/>
    <w:rsid w:val="00445DB6"/>
    <w:rsid w:val="00445DC7"/>
    <w:rsid w:val="00445DE5"/>
    <w:rsid w:val="00445E63"/>
    <w:rsid w:val="00445E6C"/>
    <w:rsid w:val="00445E76"/>
    <w:rsid w:val="00445E94"/>
    <w:rsid w:val="00445EAC"/>
    <w:rsid w:val="00445F77"/>
    <w:rsid w:val="00445F82"/>
    <w:rsid w:val="00445FA7"/>
    <w:rsid w:val="00445FB5"/>
    <w:rsid w:val="0044603B"/>
    <w:rsid w:val="00446057"/>
    <w:rsid w:val="004460A2"/>
    <w:rsid w:val="004460B5"/>
    <w:rsid w:val="004460F2"/>
    <w:rsid w:val="004460FB"/>
    <w:rsid w:val="0044612E"/>
    <w:rsid w:val="00446132"/>
    <w:rsid w:val="00446153"/>
    <w:rsid w:val="0044621B"/>
    <w:rsid w:val="004462E0"/>
    <w:rsid w:val="004462E9"/>
    <w:rsid w:val="00446362"/>
    <w:rsid w:val="004463C8"/>
    <w:rsid w:val="00446402"/>
    <w:rsid w:val="0044640B"/>
    <w:rsid w:val="0044643B"/>
    <w:rsid w:val="00446486"/>
    <w:rsid w:val="0044648E"/>
    <w:rsid w:val="004464A1"/>
    <w:rsid w:val="00446506"/>
    <w:rsid w:val="00446520"/>
    <w:rsid w:val="00446599"/>
    <w:rsid w:val="00446673"/>
    <w:rsid w:val="0044667E"/>
    <w:rsid w:val="0044668C"/>
    <w:rsid w:val="00446692"/>
    <w:rsid w:val="004466B5"/>
    <w:rsid w:val="004466BA"/>
    <w:rsid w:val="004466C0"/>
    <w:rsid w:val="004466FC"/>
    <w:rsid w:val="00446723"/>
    <w:rsid w:val="00446776"/>
    <w:rsid w:val="004467CE"/>
    <w:rsid w:val="004467EC"/>
    <w:rsid w:val="004467EE"/>
    <w:rsid w:val="00446837"/>
    <w:rsid w:val="00446860"/>
    <w:rsid w:val="00446866"/>
    <w:rsid w:val="00446889"/>
    <w:rsid w:val="004468A9"/>
    <w:rsid w:val="004468AB"/>
    <w:rsid w:val="00446949"/>
    <w:rsid w:val="00446975"/>
    <w:rsid w:val="0044698F"/>
    <w:rsid w:val="004469A4"/>
    <w:rsid w:val="004469B1"/>
    <w:rsid w:val="004469E5"/>
    <w:rsid w:val="00446A6E"/>
    <w:rsid w:val="00446A77"/>
    <w:rsid w:val="00446A8F"/>
    <w:rsid w:val="00446A9B"/>
    <w:rsid w:val="00446AAB"/>
    <w:rsid w:val="00446B09"/>
    <w:rsid w:val="00446B84"/>
    <w:rsid w:val="00446B9E"/>
    <w:rsid w:val="00446BCE"/>
    <w:rsid w:val="00446C3C"/>
    <w:rsid w:val="00446C49"/>
    <w:rsid w:val="00446C7F"/>
    <w:rsid w:val="00446CEA"/>
    <w:rsid w:val="00446D51"/>
    <w:rsid w:val="00446D6C"/>
    <w:rsid w:val="00446D7D"/>
    <w:rsid w:val="00446DD2"/>
    <w:rsid w:val="00446E07"/>
    <w:rsid w:val="00446E1B"/>
    <w:rsid w:val="00446E22"/>
    <w:rsid w:val="00446E55"/>
    <w:rsid w:val="00446E65"/>
    <w:rsid w:val="00446E6D"/>
    <w:rsid w:val="00446EAC"/>
    <w:rsid w:val="00446ED2"/>
    <w:rsid w:val="00446EF9"/>
    <w:rsid w:val="00446F09"/>
    <w:rsid w:val="00446F19"/>
    <w:rsid w:val="00446F1D"/>
    <w:rsid w:val="00446F82"/>
    <w:rsid w:val="00446F99"/>
    <w:rsid w:val="00446FE5"/>
    <w:rsid w:val="00447010"/>
    <w:rsid w:val="00447094"/>
    <w:rsid w:val="004470EF"/>
    <w:rsid w:val="0044714F"/>
    <w:rsid w:val="0044715D"/>
    <w:rsid w:val="00447193"/>
    <w:rsid w:val="004471ED"/>
    <w:rsid w:val="0044724F"/>
    <w:rsid w:val="004472B0"/>
    <w:rsid w:val="004472E7"/>
    <w:rsid w:val="0044734E"/>
    <w:rsid w:val="004473C0"/>
    <w:rsid w:val="004473C9"/>
    <w:rsid w:val="00447409"/>
    <w:rsid w:val="0044740C"/>
    <w:rsid w:val="0044744A"/>
    <w:rsid w:val="004474CF"/>
    <w:rsid w:val="004474E7"/>
    <w:rsid w:val="004474F0"/>
    <w:rsid w:val="00447518"/>
    <w:rsid w:val="00447532"/>
    <w:rsid w:val="0044757F"/>
    <w:rsid w:val="00447582"/>
    <w:rsid w:val="004475CC"/>
    <w:rsid w:val="004475F2"/>
    <w:rsid w:val="00447606"/>
    <w:rsid w:val="0044761D"/>
    <w:rsid w:val="004476DA"/>
    <w:rsid w:val="004476FE"/>
    <w:rsid w:val="00447746"/>
    <w:rsid w:val="00447772"/>
    <w:rsid w:val="00447833"/>
    <w:rsid w:val="0044783D"/>
    <w:rsid w:val="0044785E"/>
    <w:rsid w:val="004478A5"/>
    <w:rsid w:val="0044791B"/>
    <w:rsid w:val="00447969"/>
    <w:rsid w:val="00447A42"/>
    <w:rsid w:val="00447A4E"/>
    <w:rsid w:val="00447A58"/>
    <w:rsid w:val="00447A66"/>
    <w:rsid w:val="00447AC0"/>
    <w:rsid w:val="00447AC1"/>
    <w:rsid w:val="00447AE6"/>
    <w:rsid w:val="00447B1E"/>
    <w:rsid w:val="00447B2E"/>
    <w:rsid w:val="00447B34"/>
    <w:rsid w:val="00447B3A"/>
    <w:rsid w:val="00447B52"/>
    <w:rsid w:val="00447B5C"/>
    <w:rsid w:val="00447B8B"/>
    <w:rsid w:val="00447BAB"/>
    <w:rsid w:val="00447C00"/>
    <w:rsid w:val="00447C27"/>
    <w:rsid w:val="00447C73"/>
    <w:rsid w:val="00447CA7"/>
    <w:rsid w:val="00447CDF"/>
    <w:rsid w:val="00447D24"/>
    <w:rsid w:val="00447D2B"/>
    <w:rsid w:val="00447D36"/>
    <w:rsid w:val="00447D7E"/>
    <w:rsid w:val="00447D8D"/>
    <w:rsid w:val="00447D9E"/>
    <w:rsid w:val="00447DA9"/>
    <w:rsid w:val="00447DB9"/>
    <w:rsid w:val="00447DBA"/>
    <w:rsid w:val="00447E02"/>
    <w:rsid w:val="00447E32"/>
    <w:rsid w:val="00447EF1"/>
    <w:rsid w:val="00447F0C"/>
    <w:rsid w:val="00447F17"/>
    <w:rsid w:val="00447F55"/>
    <w:rsid w:val="00447F6E"/>
    <w:rsid w:val="00447F7C"/>
    <w:rsid w:val="00447FA2"/>
    <w:rsid w:val="00447FA6"/>
    <w:rsid w:val="00447FA8"/>
    <w:rsid w:val="00447FD6"/>
    <w:rsid w:val="00450061"/>
    <w:rsid w:val="00450062"/>
    <w:rsid w:val="004500AB"/>
    <w:rsid w:val="00450113"/>
    <w:rsid w:val="004501B8"/>
    <w:rsid w:val="004501BD"/>
    <w:rsid w:val="004501BF"/>
    <w:rsid w:val="004501E2"/>
    <w:rsid w:val="00450224"/>
    <w:rsid w:val="00450228"/>
    <w:rsid w:val="0045028F"/>
    <w:rsid w:val="0045029B"/>
    <w:rsid w:val="004502D8"/>
    <w:rsid w:val="0045030E"/>
    <w:rsid w:val="0045033D"/>
    <w:rsid w:val="00450357"/>
    <w:rsid w:val="00450364"/>
    <w:rsid w:val="004503C8"/>
    <w:rsid w:val="004503CE"/>
    <w:rsid w:val="00450441"/>
    <w:rsid w:val="00450443"/>
    <w:rsid w:val="0045046F"/>
    <w:rsid w:val="00450532"/>
    <w:rsid w:val="0045057B"/>
    <w:rsid w:val="00450617"/>
    <w:rsid w:val="00450697"/>
    <w:rsid w:val="0045069C"/>
    <w:rsid w:val="004506DB"/>
    <w:rsid w:val="0045073F"/>
    <w:rsid w:val="0045075A"/>
    <w:rsid w:val="00450779"/>
    <w:rsid w:val="0045078A"/>
    <w:rsid w:val="004507CD"/>
    <w:rsid w:val="004507F2"/>
    <w:rsid w:val="0045087B"/>
    <w:rsid w:val="0045088B"/>
    <w:rsid w:val="00450891"/>
    <w:rsid w:val="004508AC"/>
    <w:rsid w:val="004508B5"/>
    <w:rsid w:val="00450909"/>
    <w:rsid w:val="0045090F"/>
    <w:rsid w:val="00450937"/>
    <w:rsid w:val="00450999"/>
    <w:rsid w:val="004509AD"/>
    <w:rsid w:val="004509BA"/>
    <w:rsid w:val="004509C5"/>
    <w:rsid w:val="004509E9"/>
    <w:rsid w:val="004509FA"/>
    <w:rsid w:val="00450B80"/>
    <w:rsid w:val="00450B8D"/>
    <w:rsid w:val="00450B95"/>
    <w:rsid w:val="00450BAA"/>
    <w:rsid w:val="00450C06"/>
    <w:rsid w:val="00450C23"/>
    <w:rsid w:val="00450C2B"/>
    <w:rsid w:val="00450C52"/>
    <w:rsid w:val="00450C5A"/>
    <w:rsid w:val="00450CA5"/>
    <w:rsid w:val="00450CBE"/>
    <w:rsid w:val="00450D04"/>
    <w:rsid w:val="00450DAE"/>
    <w:rsid w:val="00450DF5"/>
    <w:rsid w:val="00450E09"/>
    <w:rsid w:val="00450E24"/>
    <w:rsid w:val="00450E44"/>
    <w:rsid w:val="00450EED"/>
    <w:rsid w:val="00450F6A"/>
    <w:rsid w:val="00450F8E"/>
    <w:rsid w:val="00450FBE"/>
    <w:rsid w:val="00451038"/>
    <w:rsid w:val="0045103C"/>
    <w:rsid w:val="0045104A"/>
    <w:rsid w:val="0045104D"/>
    <w:rsid w:val="0045106E"/>
    <w:rsid w:val="0045118A"/>
    <w:rsid w:val="0045126E"/>
    <w:rsid w:val="004512FB"/>
    <w:rsid w:val="0045130E"/>
    <w:rsid w:val="00451315"/>
    <w:rsid w:val="0045131F"/>
    <w:rsid w:val="0045134C"/>
    <w:rsid w:val="004513A4"/>
    <w:rsid w:val="004513E8"/>
    <w:rsid w:val="004513E9"/>
    <w:rsid w:val="0045140F"/>
    <w:rsid w:val="0045144D"/>
    <w:rsid w:val="004514AF"/>
    <w:rsid w:val="004514B5"/>
    <w:rsid w:val="004514B7"/>
    <w:rsid w:val="00451514"/>
    <w:rsid w:val="004516B4"/>
    <w:rsid w:val="004516B9"/>
    <w:rsid w:val="00451734"/>
    <w:rsid w:val="00451752"/>
    <w:rsid w:val="00451767"/>
    <w:rsid w:val="00451799"/>
    <w:rsid w:val="004517B3"/>
    <w:rsid w:val="004517BA"/>
    <w:rsid w:val="004517BB"/>
    <w:rsid w:val="004517F2"/>
    <w:rsid w:val="004517F8"/>
    <w:rsid w:val="0045181F"/>
    <w:rsid w:val="0045184C"/>
    <w:rsid w:val="0045186C"/>
    <w:rsid w:val="0045186E"/>
    <w:rsid w:val="00451892"/>
    <w:rsid w:val="00451896"/>
    <w:rsid w:val="004518B8"/>
    <w:rsid w:val="004518E0"/>
    <w:rsid w:val="004518E8"/>
    <w:rsid w:val="00451906"/>
    <w:rsid w:val="00451982"/>
    <w:rsid w:val="004519B0"/>
    <w:rsid w:val="004519C9"/>
    <w:rsid w:val="004519EA"/>
    <w:rsid w:val="00451A0B"/>
    <w:rsid w:val="00451A33"/>
    <w:rsid w:val="00451A58"/>
    <w:rsid w:val="00451ACA"/>
    <w:rsid w:val="00451ADA"/>
    <w:rsid w:val="00451ADB"/>
    <w:rsid w:val="00451AF7"/>
    <w:rsid w:val="00451B34"/>
    <w:rsid w:val="00451B81"/>
    <w:rsid w:val="00451BC7"/>
    <w:rsid w:val="00451C0D"/>
    <w:rsid w:val="00451C26"/>
    <w:rsid w:val="00451C27"/>
    <w:rsid w:val="00451C2D"/>
    <w:rsid w:val="00451CCA"/>
    <w:rsid w:val="00451CD7"/>
    <w:rsid w:val="00451D68"/>
    <w:rsid w:val="00451D9A"/>
    <w:rsid w:val="00451DE0"/>
    <w:rsid w:val="00451DE7"/>
    <w:rsid w:val="00451DF6"/>
    <w:rsid w:val="00451DFF"/>
    <w:rsid w:val="00451F30"/>
    <w:rsid w:val="00451F5C"/>
    <w:rsid w:val="00451F7F"/>
    <w:rsid w:val="00451F9A"/>
    <w:rsid w:val="00451F9E"/>
    <w:rsid w:val="00451FB8"/>
    <w:rsid w:val="00452047"/>
    <w:rsid w:val="0045204C"/>
    <w:rsid w:val="0045206D"/>
    <w:rsid w:val="004520B4"/>
    <w:rsid w:val="004520FA"/>
    <w:rsid w:val="00452166"/>
    <w:rsid w:val="0045219D"/>
    <w:rsid w:val="004521CB"/>
    <w:rsid w:val="00452205"/>
    <w:rsid w:val="004522A7"/>
    <w:rsid w:val="004522D8"/>
    <w:rsid w:val="00452303"/>
    <w:rsid w:val="0045232D"/>
    <w:rsid w:val="00452447"/>
    <w:rsid w:val="00452483"/>
    <w:rsid w:val="00452497"/>
    <w:rsid w:val="0045249F"/>
    <w:rsid w:val="004524B1"/>
    <w:rsid w:val="004524EA"/>
    <w:rsid w:val="004524F6"/>
    <w:rsid w:val="004524F9"/>
    <w:rsid w:val="0045250C"/>
    <w:rsid w:val="00452582"/>
    <w:rsid w:val="004525E8"/>
    <w:rsid w:val="0045260F"/>
    <w:rsid w:val="00452648"/>
    <w:rsid w:val="0045268E"/>
    <w:rsid w:val="004526D5"/>
    <w:rsid w:val="004526DA"/>
    <w:rsid w:val="00452724"/>
    <w:rsid w:val="0045273F"/>
    <w:rsid w:val="00452741"/>
    <w:rsid w:val="004527A3"/>
    <w:rsid w:val="004528AB"/>
    <w:rsid w:val="004528BF"/>
    <w:rsid w:val="004528F1"/>
    <w:rsid w:val="00452955"/>
    <w:rsid w:val="00452986"/>
    <w:rsid w:val="0045299F"/>
    <w:rsid w:val="00452A11"/>
    <w:rsid w:val="00452A2E"/>
    <w:rsid w:val="00452A5B"/>
    <w:rsid w:val="00452A92"/>
    <w:rsid w:val="00452ACD"/>
    <w:rsid w:val="00452AE6"/>
    <w:rsid w:val="00452AFD"/>
    <w:rsid w:val="00452B23"/>
    <w:rsid w:val="00452B4E"/>
    <w:rsid w:val="00452B5D"/>
    <w:rsid w:val="00452B83"/>
    <w:rsid w:val="00452B8C"/>
    <w:rsid w:val="00452B9A"/>
    <w:rsid w:val="00452BC6"/>
    <w:rsid w:val="00452BE5"/>
    <w:rsid w:val="00452BEE"/>
    <w:rsid w:val="00452BF1"/>
    <w:rsid w:val="00452C07"/>
    <w:rsid w:val="00452C50"/>
    <w:rsid w:val="00452CB4"/>
    <w:rsid w:val="00452CDA"/>
    <w:rsid w:val="00452D23"/>
    <w:rsid w:val="00452D27"/>
    <w:rsid w:val="00452D6C"/>
    <w:rsid w:val="00452DFA"/>
    <w:rsid w:val="00452E03"/>
    <w:rsid w:val="00452EAE"/>
    <w:rsid w:val="00452EBC"/>
    <w:rsid w:val="00452EF3"/>
    <w:rsid w:val="00452F0C"/>
    <w:rsid w:val="00452F2F"/>
    <w:rsid w:val="00452F43"/>
    <w:rsid w:val="00452F6A"/>
    <w:rsid w:val="00452F8F"/>
    <w:rsid w:val="0045305C"/>
    <w:rsid w:val="00453069"/>
    <w:rsid w:val="0045308C"/>
    <w:rsid w:val="0045309C"/>
    <w:rsid w:val="004530C2"/>
    <w:rsid w:val="004530E1"/>
    <w:rsid w:val="00453164"/>
    <w:rsid w:val="004531FD"/>
    <w:rsid w:val="00453205"/>
    <w:rsid w:val="00453233"/>
    <w:rsid w:val="00453276"/>
    <w:rsid w:val="004532BC"/>
    <w:rsid w:val="0045331A"/>
    <w:rsid w:val="00453331"/>
    <w:rsid w:val="0045333E"/>
    <w:rsid w:val="004533B5"/>
    <w:rsid w:val="00453412"/>
    <w:rsid w:val="00453436"/>
    <w:rsid w:val="004534B7"/>
    <w:rsid w:val="004534F9"/>
    <w:rsid w:val="00453535"/>
    <w:rsid w:val="0045356F"/>
    <w:rsid w:val="00453595"/>
    <w:rsid w:val="004535D2"/>
    <w:rsid w:val="004535FF"/>
    <w:rsid w:val="0045367E"/>
    <w:rsid w:val="004536C3"/>
    <w:rsid w:val="004536F7"/>
    <w:rsid w:val="00453730"/>
    <w:rsid w:val="0045374D"/>
    <w:rsid w:val="00453751"/>
    <w:rsid w:val="00453789"/>
    <w:rsid w:val="004537C3"/>
    <w:rsid w:val="004537E3"/>
    <w:rsid w:val="004537E5"/>
    <w:rsid w:val="00453816"/>
    <w:rsid w:val="00453832"/>
    <w:rsid w:val="00453876"/>
    <w:rsid w:val="0045387C"/>
    <w:rsid w:val="004538C0"/>
    <w:rsid w:val="00453944"/>
    <w:rsid w:val="00453953"/>
    <w:rsid w:val="0045395B"/>
    <w:rsid w:val="0045395F"/>
    <w:rsid w:val="00453971"/>
    <w:rsid w:val="004539B4"/>
    <w:rsid w:val="004539F4"/>
    <w:rsid w:val="00453A09"/>
    <w:rsid w:val="00453A3D"/>
    <w:rsid w:val="00453AE4"/>
    <w:rsid w:val="00453AE8"/>
    <w:rsid w:val="00453AF9"/>
    <w:rsid w:val="00453B2B"/>
    <w:rsid w:val="00453B35"/>
    <w:rsid w:val="00453B73"/>
    <w:rsid w:val="00453B9C"/>
    <w:rsid w:val="00453B9F"/>
    <w:rsid w:val="00453C45"/>
    <w:rsid w:val="00453C6C"/>
    <w:rsid w:val="00453C7D"/>
    <w:rsid w:val="00453CC6"/>
    <w:rsid w:val="00453CD1"/>
    <w:rsid w:val="00453D04"/>
    <w:rsid w:val="00453D52"/>
    <w:rsid w:val="00453D63"/>
    <w:rsid w:val="00453D8C"/>
    <w:rsid w:val="00453D8E"/>
    <w:rsid w:val="00453D96"/>
    <w:rsid w:val="00453DAC"/>
    <w:rsid w:val="00453E37"/>
    <w:rsid w:val="00453E38"/>
    <w:rsid w:val="00453E43"/>
    <w:rsid w:val="00453E71"/>
    <w:rsid w:val="00453E7A"/>
    <w:rsid w:val="00453E98"/>
    <w:rsid w:val="00453E9F"/>
    <w:rsid w:val="00453F11"/>
    <w:rsid w:val="00453F8D"/>
    <w:rsid w:val="00453F8E"/>
    <w:rsid w:val="00453FB7"/>
    <w:rsid w:val="00453FD0"/>
    <w:rsid w:val="00454005"/>
    <w:rsid w:val="00454056"/>
    <w:rsid w:val="00454096"/>
    <w:rsid w:val="00454097"/>
    <w:rsid w:val="004540B2"/>
    <w:rsid w:val="00454162"/>
    <w:rsid w:val="004541A9"/>
    <w:rsid w:val="0045423D"/>
    <w:rsid w:val="00454298"/>
    <w:rsid w:val="004543A3"/>
    <w:rsid w:val="004543CC"/>
    <w:rsid w:val="004543DA"/>
    <w:rsid w:val="004543EA"/>
    <w:rsid w:val="00454428"/>
    <w:rsid w:val="0045447C"/>
    <w:rsid w:val="004544BC"/>
    <w:rsid w:val="004544E0"/>
    <w:rsid w:val="00454537"/>
    <w:rsid w:val="0045459A"/>
    <w:rsid w:val="0045459C"/>
    <w:rsid w:val="00454600"/>
    <w:rsid w:val="0045460F"/>
    <w:rsid w:val="00454612"/>
    <w:rsid w:val="00454620"/>
    <w:rsid w:val="0045465F"/>
    <w:rsid w:val="0045467C"/>
    <w:rsid w:val="00454685"/>
    <w:rsid w:val="004546B5"/>
    <w:rsid w:val="004546C7"/>
    <w:rsid w:val="004546F0"/>
    <w:rsid w:val="00454722"/>
    <w:rsid w:val="00454759"/>
    <w:rsid w:val="00454778"/>
    <w:rsid w:val="004547B4"/>
    <w:rsid w:val="004547E7"/>
    <w:rsid w:val="00454879"/>
    <w:rsid w:val="004548E1"/>
    <w:rsid w:val="004548E3"/>
    <w:rsid w:val="004548FA"/>
    <w:rsid w:val="00454901"/>
    <w:rsid w:val="0045492A"/>
    <w:rsid w:val="0045494B"/>
    <w:rsid w:val="004549A0"/>
    <w:rsid w:val="004549BC"/>
    <w:rsid w:val="00454A16"/>
    <w:rsid w:val="00454B1C"/>
    <w:rsid w:val="00454B6D"/>
    <w:rsid w:val="00454BB3"/>
    <w:rsid w:val="00454BB8"/>
    <w:rsid w:val="00454BC4"/>
    <w:rsid w:val="00454BF7"/>
    <w:rsid w:val="00454C30"/>
    <w:rsid w:val="00454C37"/>
    <w:rsid w:val="00454C80"/>
    <w:rsid w:val="00454C81"/>
    <w:rsid w:val="00454CB3"/>
    <w:rsid w:val="00454CB6"/>
    <w:rsid w:val="00454CB7"/>
    <w:rsid w:val="00454CF1"/>
    <w:rsid w:val="00454D86"/>
    <w:rsid w:val="00454DC0"/>
    <w:rsid w:val="00454E01"/>
    <w:rsid w:val="00454E47"/>
    <w:rsid w:val="00454E49"/>
    <w:rsid w:val="00454E52"/>
    <w:rsid w:val="00454EF3"/>
    <w:rsid w:val="00454F35"/>
    <w:rsid w:val="00454F81"/>
    <w:rsid w:val="00454FAD"/>
    <w:rsid w:val="00455009"/>
    <w:rsid w:val="004550A8"/>
    <w:rsid w:val="004550F3"/>
    <w:rsid w:val="0045510D"/>
    <w:rsid w:val="00455116"/>
    <w:rsid w:val="00455117"/>
    <w:rsid w:val="0045516A"/>
    <w:rsid w:val="00455208"/>
    <w:rsid w:val="0045520F"/>
    <w:rsid w:val="00455253"/>
    <w:rsid w:val="004552EC"/>
    <w:rsid w:val="00455363"/>
    <w:rsid w:val="0045536E"/>
    <w:rsid w:val="0045538C"/>
    <w:rsid w:val="004553BA"/>
    <w:rsid w:val="00455465"/>
    <w:rsid w:val="00455525"/>
    <w:rsid w:val="0045552C"/>
    <w:rsid w:val="0045554A"/>
    <w:rsid w:val="0045554D"/>
    <w:rsid w:val="0045555A"/>
    <w:rsid w:val="0045558A"/>
    <w:rsid w:val="004555AB"/>
    <w:rsid w:val="00455613"/>
    <w:rsid w:val="0045561E"/>
    <w:rsid w:val="0045565B"/>
    <w:rsid w:val="0045567F"/>
    <w:rsid w:val="00455680"/>
    <w:rsid w:val="004556AC"/>
    <w:rsid w:val="004556BE"/>
    <w:rsid w:val="00455709"/>
    <w:rsid w:val="0045571A"/>
    <w:rsid w:val="00455721"/>
    <w:rsid w:val="00455782"/>
    <w:rsid w:val="0045579F"/>
    <w:rsid w:val="004557A0"/>
    <w:rsid w:val="004557D3"/>
    <w:rsid w:val="004557DA"/>
    <w:rsid w:val="00455847"/>
    <w:rsid w:val="0045584D"/>
    <w:rsid w:val="00455858"/>
    <w:rsid w:val="0045589C"/>
    <w:rsid w:val="004558AD"/>
    <w:rsid w:val="004558FF"/>
    <w:rsid w:val="0045593E"/>
    <w:rsid w:val="0045595C"/>
    <w:rsid w:val="00455992"/>
    <w:rsid w:val="00455A2D"/>
    <w:rsid w:val="00455A62"/>
    <w:rsid w:val="00455A95"/>
    <w:rsid w:val="00455A98"/>
    <w:rsid w:val="00455A9C"/>
    <w:rsid w:val="00455AC8"/>
    <w:rsid w:val="00455AF6"/>
    <w:rsid w:val="00455B0F"/>
    <w:rsid w:val="00455B52"/>
    <w:rsid w:val="00455B88"/>
    <w:rsid w:val="00455BA9"/>
    <w:rsid w:val="00455BBA"/>
    <w:rsid w:val="00455C3E"/>
    <w:rsid w:val="00455C9C"/>
    <w:rsid w:val="00455CB0"/>
    <w:rsid w:val="00455CCC"/>
    <w:rsid w:val="00455D20"/>
    <w:rsid w:val="00455D2C"/>
    <w:rsid w:val="00455D3B"/>
    <w:rsid w:val="00455D65"/>
    <w:rsid w:val="00455DA2"/>
    <w:rsid w:val="00455DBC"/>
    <w:rsid w:val="00455DBF"/>
    <w:rsid w:val="00455DCA"/>
    <w:rsid w:val="00455DDA"/>
    <w:rsid w:val="00455E0C"/>
    <w:rsid w:val="00455E31"/>
    <w:rsid w:val="00455E40"/>
    <w:rsid w:val="00455F2F"/>
    <w:rsid w:val="00455F83"/>
    <w:rsid w:val="00455F95"/>
    <w:rsid w:val="00455F98"/>
    <w:rsid w:val="00455FA8"/>
    <w:rsid w:val="00455FD8"/>
    <w:rsid w:val="00455FFE"/>
    <w:rsid w:val="0045601B"/>
    <w:rsid w:val="00456021"/>
    <w:rsid w:val="00456022"/>
    <w:rsid w:val="00456096"/>
    <w:rsid w:val="00456098"/>
    <w:rsid w:val="004560AF"/>
    <w:rsid w:val="004560E6"/>
    <w:rsid w:val="00456106"/>
    <w:rsid w:val="00456125"/>
    <w:rsid w:val="0045613B"/>
    <w:rsid w:val="0045616D"/>
    <w:rsid w:val="004561B6"/>
    <w:rsid w:val="004561D7"/>
    <w:rsid w:val="00456207"/>
    <w:rsid w:val="00456237"/>
    <w:rsid w:val="0045631D"/>
    <w:rsid w:val="0045634B"/>
    <w:rsid w:val="00456360"/>
    <w:rsid w:val="0045637E"/>
    <w:rsid w:val="0045638C"/>
    <w:rsid w:val="004563A1"/>
    <w:rsid w:val="004563AC"/>
    <w:rsid w:val="00456442"/>
    <w:rsid w:val="00456475"/>
    <w:rsid w:val="00456490"/>
    <w:rsid w:val="004564B3"/>
    <w:rsid w:val="004564B8"/>
    <w:rsid w:val="004564C2"/>
    <w:rsid w:val="004564F9"/>
    <w:rsid w:val="00456516"/>
    <w:rsid w:val="00456581"/>
    <w:rsid w:val="004565B7"/>
    <w:rsid w:val="004565E8"/>
    <w:rsid w:val="004565F0"/>
    <w:rsid w:val="0045665C"/>
    <w:rsid w:val="0045671B"/>
    <w:rsid w:val="00456748"/>
    <w:rsid w:val="00456759"/>
    <w:rsid w:val="004568A0"/>
    <w:rsid w:val="004568ED"/>
    <w:rsid w:val="00456910"/>
    <w:rsid w:val="00456967"/>
    <w:rsid w:val="00456979"/>
    <w:rsid w:val="004569A2"/>
    <w:rsid w:val="004569BC"/>
    <w:rsid w:val="004569E1"/>
    <w:rsid w:val="004569F4"/>
    <w:rsid w:val="00456A4B"/>
    <w:rsid w:val="00456A94"/>
    <w:rsid w:val="00456AC2"/>
    <w:rsid w:val="00456AF0"/>
    <w:rsid w:val="00456AFF"/>
    <w:rsid w:val="00456C03"/>
    <w:rsid w:val="00456C14"/>
    <w:rsid w:val="00456C19"/>
    <w:rsid w:val="00456C5F"/>
    <w:rsid w:val="00456C6E"/>
    <w:rsid w:val="00456C85"/>
    <w:rsid w:val="00456CC9"/>
    <w:rsid w:val="00456D08"/>
    <w:rsid w:val="00456D2E"/>
    <w:rsid w:val="00456EB2"/>
    <w:rsid w:val="00456EC3"/>
    <w:rsid w:val="00456F10"/>
    <w:rsid w:val="00456F69"/>
    <w:rsid w:val="00456F76"/>
    <w:rsid w:val="00456F81"/>
    <w:rsid w:val="00456F88"/>
    <w:rsid w:val="00456FEB"/>
    <w:rsid w:val="00457008"/>
    <w:rsid w:val="00457060"/>
    <w:rsid w:val="00457073"/>
    <w:rsid w:val="0045708F"/>
    <w:rsid w:val="004570A8"/>
    <w:rsid w:val="004570D3"/>
    <w:rsid w:val="00457144"/>
    <w:rsid w:val="0045717B"/>
    <w:rsid w:val="004571D3"/>
    <w:rsid w:val="00457309"/>
    <w:rsid w:val="00457312"/>
    <w:rsid w:val="00457319"/>
    <w:rsid w:val="00457321"/>
    <w:rsid w:val="00457371"/>
    <w:rsid w:val="004573DB"/>
    <w:rsid w:val="004573F6"/>
    <w:rsid w:val="0045742E"/>
    <w:rsid w:val="0045743E"/>
    <w:rsid w:val="00457443"/>
    <w:rsid w:val="004574A5"/>
    <w:rsid w:val="004574B4"/>
    <w:rsid w:val="004574D6"/>
    <w:rsid w:val="00457536"/>
    <w:rsid w:val="0045757B"/>
    <w:rsid w:val="00457586"/>
    <w:rsid w:val="0045758D"/>
    <w:rsid w:val="004575B6"/>
    <w:rsid w:val="004575C6"/>
    <w:rsid w:val="00457602"/>
    <w:rsid w:val="00457668"/>
    <w:rsid w:val="004576BF"/>
    <w:rsid w:val="004576D1"/>
    <w:rsid w:val="00457704"/>
    <w:rsid w:val="004577BD"/>
    <w:rsid w:val="004577E5"/>
    <w:rsid w:val="00457838"/>
    <w:rsid w:val="0045789D"/>
    <w:rsid w:val="0045789E"/>
    <w:rsid w:val="00457903"/>
    <w:rsid w:val="0045792D"/>
    <w:rsid w:val="0045793A"/>
    <w:rsid w:val="00457957"/>
    <w:rsid w:val="0045795C"/>
    <w:rsid w:val="00457987"/>
    <w:rsid w:val="004579E1"/>
    <w:rsid w:val="00457A57"/>
    <w:rsid w:val="00457A5F"/>
    <w:rsid w:val="00457A6C"/>
    <w:rsid w:val="00457A81"/>
    <w:rsid w:val="00457AE6"/>
    <w:rsid w:val="00457AFB"/>
    <w:rsid w:val="00457B55"/>
    <w:rsid w:val="00457B9B"/>
    <w:rsid w:val="00457BC6"/>
    <w:rsid w:val="00457C39"/>
    <w:rsid w:val="00457C98"/>
    <w:rsid w:val="00457C9C"/>
    <w:rsid w:val="00457CB4"/>
    <w:rsid w:val="00457D00"/>
    <w:rsid w:val="00457D3C"/>
    <w:rsid w:val="00457D7E"/>
    <w:rsid w:val="00457D97"/>
    <w:rsid w:val="00457DA6"/>
    <w:rsid w:val="00457DBA"/>
    <w:rsid w:val="00457DF0"/>
    <w:rsid w:val="00457E0F"/>
    <w:rsid w:val="00457E41"/>
    <w:rsid w:val="00457EA5"/>
    <w:rsid w:val="00457EB3"/>
    <w:rsid w:val="00457EDC"/>
    <w:rsid w:val="00457EED"/>
    <w:rsid w:val="00457F8A"/>
    <w:rsid w:val="00457FEA"/>
    <w:rsid w:val="00457FFE"/>
    <w:rsid w:val="00460057"/>
    <w:rsid w:val="00460098"/>
    <w:rsid w:val="0046009A"/>
    <w:rsid w:val="004600A4"/>
    <w:rsid w:val="004600C7"/>
    <w:rsid w:val="004600CF"/>
    <w:rsid w:val="004600F8"/>
    <w:rsid w:val="00460146"/>
    <w:rsid w:val="004601B1"/>
    <w:rsid w:val="004601DA"/>
    <w:rsid w:val="0046020D"/>
    <w:rsid w:val="00460229"/>
    <w:rsid w:val="0046022E"/>
    <w:rsid w:val="0046027E"/>
    <w:rsid w:val="00460299"/>
    <w:rsid w:val="004602B6"/>
    <w:rsid w:val="004602D7"/>
    <w:rsid w:val="004602DF"/>
    <w:rsid w:val="00460358"/>
    <w:rsid w:val="004603D2"/>
    <w:rsid w:val="0046043A"/>
    <w:rsid w:val="0046046A"/>
    <w:rsid w:val="00460497"/>
    <w:rsid w:val="004604A1"/>
    <w:rsid w:val="004604A5"/>
    <w:rsid w:val="004604CA"/>
    <w:rsid w:val="004604ED"/>
    <w:rsid w:val="004605D0"/>
    <w:rsid w:val="004605FD"/>
    <w:rsid w:val="00460619"/>
    <w:rsid w:val="0046063C"/>
    <w:rsid w:val="00460640"/>
    <w:rsid w:val="0046066A"/>
    <w:rsid w:val="0046066E"/>
    <w:rsid w:val="00460678"/>
    <w:rsid w:val="004606E1"/>
    <w:rsid w:val="004606E7"/>
    <w:rsid w:val="00460706"/>
    <w:rsid w:val="0046079C"/>
    <w:rsid w:val="00460802"/>
    <w:rsid w:val="00460818"/>
    <w:rsid w:val="0046081A"/>
    <w:rsid w:val="00460871"/>
    <w:rsid w:val="00460876"/>
    <w:rsid w:val="0046087B"/>
    <w:rsid w:val="00460880"/>
    <w:rsid w:val="0046092D"/>
    <w:rsid w:val="00460970"/>
    <w:rsid w:val="00460971"/>
    <w:rsid w:val="00460992"/>
    <w:rsid w:val="0046099D"/>
    <w:rsid w:val="004609E6"/>
    <w:rsid w:val="004609F0"/>
    <w:rsid w:val="00460A48"/>
    <w:rsid w:val="00460A4C"/>
    <w:rsid w:val="00460AA5"/>
    <w:rsid w:val="00460ABA"/>
    <w:rsid w:val="00460B24"/>
    <w:rsid w:val="00460B44"/>
    <w:rsid w:val="00460B8D"/>
    <w:rsid w:val="00460BBE"/>
    <w:rsid w:val="00460BC9"/>
    <w:rsid w:val="00460BD3"/>
    <w:rsid w:val="00460BDA"/>
    <w:rsid w:val="00460BEA"/>
    <w:rsid w:val="00460C57"/>
    <w:rsid w:val="00460D2B"/>
    <w:rsid w:val="00460DE6"/>
    <w:rsid w:val="00460DFD"/>
    <w:rsid w:val="00460EE0"/>
    <w:rsid w:val="00460EE1"/>
    <w:rsid w:val="00460EF6"/>
    <w:rsid w:val="00460F3D"/>
    <w:rsid w:val="00460F7A"/>
    <w:rsid w:val="00460F8C"/>
    <w:rsid w:val="00460F99"/>
    <w:rsid w:val="00460FC9"/>
    <w:rsid w:val="00461058"/>
    <w:rsid w:val="0046106C"/>
    <w:rsid w:val="00461082"/>
    <w:rsid w:val="004610BE"/>
    <w:rsid w:val="004610CE"/>
    <w:rsid w:val="00461152"/>
    <w:rsid w:val="0046118A"/>
    <w:rsid w:val="004611BF"/>
    <w:rsid w:val="004611CE"/>
    <w:rsid w:val="0046124D"/>
    <w:rsid w:val="00461291"/>
    <w:rsid w:val="004612B0"/>
    <w:rsid w:val="004612B8"/>
    <w:rsid w:val="004612DB"/>
    <w:rsid w:val="00461310"/>
    <w:rsid w:val="00461335"/>
    <w:rsid w:val="004613C2"/>
    <w:rsid w:val="00461445"/>
    <w:rsid w:val="0046145D"/>
    <w:rsid w:val="00461469"/>
    <w:rsid w:val="004614A6"/>
    <w:rsid w:val="004614BD"/>
    <w:rsid w:val="004614F0"/>
    <w:rsid w:val="00461500"/>
    <w:rsid w:val="0046151C"/>
    <w:rsid w:val="0046153C"/>
    <w:rsid w:val="00461554"/>
    <w:rsid w:val="0046155A"/>
    <w:rsid w:val="0046157A"/>
    <w:rsid w:val="004615F9"/>
    <w:rsid w:val="0046165C"/>
    <w:rsid w:val="00461660"/>
    <w:rsid w:val="0046169D"/>
    <w:rsid w:val="00461704"/>
    <w:rsid w:val="00461722"/>
    <w:rsid w:val="00461738"/>
    <w:rsid w:val="00461745"/>
    <w:rsid w:val="00461771"/>
    <w:rsid w:val="00461779"/>
    <w:rsid w:val="00461788"/>
    <w:rsid w:val="0046178E"/>
    <w:rsid w:val="0046181C"/>
    <w:rsid w:val="00461820"/>
    <w:rsid w:val="00461881"/>
    <w:rsid w:val="0046188B"/>
    <w:rsid w:val="004618DF"/>
    <w:rsid w:val="00461948"/>
    <w:rsid w:val="0046194D"/>
    <w:rsid w:val="004619A8"/>
    <w:rsid w:val="00461A22"/>
    <w:rsid w:val="00461A27"/>
    <w:rsid w:val="00461A92"/>
    <w:rsid w:val="00461B02"/>
    <w:rsid w:val="00461B20"/>
    <w:rsid w:val="00461B47"/>
    <w:rsid w:val="00461B6B"/>
    <w:rsid w:val="00461B85"/>
    <w:rsid w:val="00461B9C"/>
    <w:rsid w:val="00461BA4"/>
    <w:rsid w:val="00461BA5"/>
    <w:rsid w:val="00461BAC"/>
    <w:rsid w:val="00461BCF"/>
    <w:rsid w:val="00461BFC"/>
    <w:rsid w:val="00461C78"/>
    <w:rsid w:val="00461C7D"/>
    <w:rsid w:val="00461CB1"/>
    <w:rsid w:val="00461CC7"/>
    <w:rsid w:val="00461D3A"/>
    <w:rsid w:val="00461D74"/>
    <w:rsid w:val="00461D75"/>
    <w:rsid w:val="00461DB0"/>
    <w:rsid w:val="00461DD0"/>
    <w:rsid w:val="00461DE9"/>
    <w:rsid w:val="00461E4B"/>
    <w:rsid w:val="00461EA6"/>
    <w:rsid w:val="00461ECF"/>
    <w:rsid w:val="00461EEF"/>
    <w:rsid w:val="00461EF5"/>
    <w:rsid w:val="00461F6C"/>
    <w:rsid w:val="00461F70"/>
    <w:rsid w:val="00461F9A"/>
    <w:rsid w:val="00461FF5"/>
    <w:rsid w:val="00461FFE"/>
    <w:rsid w:val="00462016"/>
    <w:rsid w:val="0046204F"/>
    <w:rsid w:val="00462087"/>
    <w:rsid w:val="004620D6"/>
    <w:rsid w:val="00462117"/>
    <w:rsid w:val="0046213D"/>
    <w:rsid w:val="00462162"/>
    <w:rsid w:val="0046217C"/>
    <w:rsid w:val="0046219B"/>
    <w:rsid w:val="004621F0"/>
    <w:rsid w:val="00462214"/>
    <w:rsid w:val="00462237"/>
    <w:rsid w:val="0046223C"/>
    <w:rsid w:val="0046224F"/>
    <w:rsid w:val="0046227C"/>
    <w:rsid w:val="004622C1"/>
    <w:rsid w:val="00462396"/>
    <w:rsid w:val="004623A5"/>
    <w:rsid w:val="004623A7"/>
    <w:rsid w:val="004623DF"/>
    <w:rsid w:val="00462418"/>
    <w:rsid w:val="0046242C"/>
    <w:rsid w:val="00462432"/>
    <w:rsid w:val="0046244B"/>
    <w:rsid w:val="00462475"/>
    <w:rsid w:val="00462480"/>
    <w:rsid w:val="004624BA"/>
    <w:rsid w:val="004624CA"/>
    <w:rsid w:val="004624D2"/>
    <w:rsid w:val="004624D8"/>
    <w:rsid w:val="004624DC"/>
    <w:rsid w:val="004624FE"/>
    <w:rsid w:val="00462527"/>
    <w:rsid w:val="00462536"/>
    <w:rsid w:val="0046254B"/>
    <w:rsid w:val="00462571"/>
    <w:rsid w:val="004625FE"/>
    <w:rsid w:val="00462616"/>
    <w:rsid w:val="00462622"/>
    <w:rsid w:val="00462681"/>
    <w:rsid w:val="004626BA"/>
    <w:rsid w:val="0046271C"/>
    <w:rsid w:val="00462735"/>
    <w:rsid w:val="00462779"/>
    <w:rsid w:val="004627A0"/>
    <w:rsid w:val="004627BB"/>
    <w:rsid w:val="004627C5"/>
    <w:rsid w:val="00462804"/>
    <w:rsid w:val="00462888"/>
    <w:rsid w:val="004628E1"/>
    <w:rsid w:val="004628FF"/>
    <w:rsid w:val="00462933"/>
    <w:rsid w:val="00462975"/>
    <w:rsid w:val="0046299F"/>
    <w:rsid w:val="004629AA"/>
    <w:rsid w:val="004629CD"/>
    <w:rsid w:val="004629E0"/>
    <w:rsid w:val="00462A5B"/>
    <w:rsid w:val="00462A71"/>
    <w:rsid w:val="00462A91"/>
    <w:rsid w:val="00462AAA"/>
    <w:rsid w:val="00462B29"/>
    <w:rsid w:val="00462B6D"/>
    <w:rsid w:val="00462BAF"/>
    <w:rsid w:val="00462C23"/>
    <w:rsid w:val="00462C28"/>
    <w:rsid w:val="00462C3D"/>
    <w:rsid w:val="00462C47"/>
    <w:rsid w:val="00462C68"/>
    <w:rsid w:val="00462C77"/>
    <w:rsid w:val="00462CA6"/>
    <w:rsid w:val="00462CA9"/>
    <w:rsid w:val="00462D27"/>
    <w:rsid w:val="00462DBF"/>
    <w:rsid w:val="00462DDD"/>
    <w:rsid w:val="00462E1B"/>
    <w:rsid w:val="00462ECF"/>
    <w:rsid w:val="00462EF7"/>
    <w:rsid w:val="00462F6A"/>
    <w:rsid w:val="00462F70"/>
    <w:rsid w:val="00462F93"/>
    <w:rsid w:val="00462FB1"/>
    <w:rsid w:val="00462FB6"/>
    <w:rsid w:val="00463190"/>
    <w:rsid w:val="00463197"/>
    <w:rsid w:val="00463198"/>
    <w:rsid w:val="004631B0"/>
    <w:rsid w:val="00463222"/>
    <w:rsid w:val="0046324A"/>
    <w:rsid w:val="00463273"/>
    <w:rsid w:val="004632D3"/>
    <w:rsid w:val="004632EA"/>
    <w:rsid w:val="004632ED"/>
    <w:rsid w:val="00463300"/>
    <w:rsid w:val="00463340"/>
    <w:rsid w:val="00463399"/>
    <w:rsid w:val="004633F2"/>
    <w:rsid w:val="004633F5"/>
    <w:rsid w:val="00463450"/>
    <w:rsid w:val="0046345F"/>
    <w:rsid w:val="00463491"/>
    <w:rsid w:val="00463493"/>
    <w:rsid w:val="0046350A"/>
    <w:rsid w:val="0046350B"/>
    <w:rsid w:val="0046356B"/>
    <w:rsid w:val="00463582"/>
    <w:rsid w:val="004636A3"/>
    <w:rsid w:val="004636EB"/>
    <w:rsid w:val="0046374F"/>
    <w:rsid w:val="0046377B"/>
    <w:rsid w:val="00463794"/>
    <w:rsid w:val="0046382C"/>
    <w:rsid w:val="00463853"/>
    <w:rsid w:val="00463867"/>
    <w:rsid w:val="00463907"/>
    <w:rsid w:val="0046393B"/>
    <w:rsid w:val="00463941"/>
    <w:rsid w:val="00463944"/>
    <w:rsid w:val="00463966"/>
    <w:rsid w:val="00463969"/>
    <w:rsid w:val="004639E3"/>
    <w:rsid w:val="00463A3A"/>
    <w:rsid w:val="00463A45"/>
    <w:rsid w:val="00463A5E"/>
    <w:rsid w:val="00463A66"/>
    <w:rsid w:val="00463B50"/>
    <w:rsid w:val="00463BF5"/>
    <w:rsid w:val="00463C1D"/>
    <w:rsid w:val="00463D4E"/>
    <w:rsid w:val="00463D51"/>
    <w:rsid w:val="00463DA6"/>
    <w:rsid w:val="00463DC3"/>
    <w:rsid w:val="00463DDC"/>
    <w:rsid w:val="00463FB1"/>
    <w:rsid w:val="00463FB2"/>
    <w:rsid w:val="00464052"/>
    <w:rsid w:val="0046406F"/>
    <w:rsid w:val="004640AD"/>
    <w:rsid w:val="004640E0"/>
    <w:rsid w:val="00464121"/>
    <w:rsid w:val="00464168"/>
    <w:rsid w:val="004641AF"/>
    <w:rsid w:val="00464207"/>
    <w:rsid w:val="0046423C"/>
    <w:rsid w:val="00464299"/>
    <w:rsid w:val="00464311"/>
    <w:rsid w:val="0046437F"/>
    <w:rsid w:val="0046440C"/>
    <w:rsid w:val="0046442A"/>
    <w:rsid w:val="00464439"/>
    <w:rsid w:val="00464466"/>
    <w:rsid w:val="00464467"/>
    <w:rsid w:val="004644D2"/>
    <w:rsid w:val="00464507"/>
    <w:rsid w:val="0046451F"/>
    <w:rsid w:val="00464525"/>
    <w:rsid w:val="00464578"/>
    <w:rsid w:val="0046457E"/>
    <w:rsid w:val="00464582"/>
    <w:rsid w:val="004645D5"/>
    <w:rsid w:val="004645E9"/>
    <w:rsid w:val="00464731"/>
    <w:rsid w:val="00464742"/>
    <w:rsid w:val="004647D7"/>
    <w:rsid w:val="004647E7"/>
    <w:rsid w:val="00464831"/>
    <w:rsid w:val="00464847"/>
    <w:rsid w:val="0046485F"/>
    <w:rsid w:val="00464897"/>
    <w:rsid w:val="00464898"/>
    <w:rsid w:val="004648C1"/>
    <w:rsid w:val="004648C2"/>
    <w:rsid w:val="004648F4"/>
    <w:rsid w:val="00464922"/>
    <w:rsid w:val="0046493F"/>
    <w:rsid w:val="00464961"/>
    <w:rsid w:val="004649B0"/>
    <w:rsid w:val="004649B9"/>
    <w:rsid w:val="00464A3D"/>
    <w:rsid w:val="00464A5C"/>
    <w:rsid w:val="00464A8C"/>
    <w:rsid w:val="00464A96"/>
    <w:rsid w:val="00464AB8"/>
    <w:rsid w:val="00464B30"/>
    <w:rsid w:val="00464B67"/>
    <w:rsid w:val="00464BB1"/>
    <w:rsid w:val="00464BE6"/>
    <w:rsid w:val="00464BEC"/>
    <w:rsid w:val="00464C12"/>
    <w:rsid w:val="00464C44"/>
    <w:rsid w:val="00464C70"/>
    <w:rsid w:val="00464C88"/>
    <w:rsid w:val="00464C96"/>
    <w:rsid w:val="00464CAD"/>
    <w:rsid w:val="00464CBE"/>
    <w:rsid w:val="00464CCB"/>
    <w:rsid w:val="00464CDC"/>
    <w:rsid w:val="00464D14"/>
    <w:rsid w:val="00464D28"/>
    <w:rsid w:val="00464E26"/>
    <w:rsid w:val="00464E47"/>
    <w:rsid w:val="00464F05"/>
    <w:rsid w:val="00464F26"/>
    <w:rsid w:val="00464F45"/>
    <w:rsid w:val="00464F4B"/>
    <w:rsid w:val="00464F61"/>
    <w:rsid w:val="00464F6E"/>
    <w:rsid w:val="00464F94"/>
    <w:rsid w:val="00464FB1"/>
    <w:rsid w:val="00464FC1"/>
    <w:rsid w:val="00464FDD"/>
    <w:rsid w:val="00464FF0"/>
    <w:rsid w:val="00464FFE"/>
    <w:rsid w:val="00465028"/>
    <w:rsid w:val="0046502C"/>
    <w:rsid w:val="00465082"/>
    <w:rsid w:val="0046508D"/>
    <w:rsid w:val="004650A9"/>
    <w:rsid w:val="004650DC"/>
    <w:rsid w:val="00465107"/>
    <w:rsid w:val="0046512C"/>
    <w:rsid w:val="00465130"/>
    <w:rsid w:val="00465145"/>
    <w:rsid w:val="00465164"/>
    <w:rsid w:val="004651D4"/>
    <w:rsid w:val="00465230"/>
    <w:rsid w:val="004652C5"/>
    <w:rsid w:val="004652E2"/>
    <w:rsid w:val="00465323"/>
    <w:rsid w:val="00465328"/>
    <w:rsid w:val="0046533F"/>
    <w:rsid w:val="0046536F"/>
    <w:rsid w:val="00465409"/>
    <w:rsid w:val="0046540B"/>
    <w:rsid w:val="0046541A"/>
    <w:rsid w:val="00465494"/>
    <w:rsid w:val="004654A5"/>
    <w:rsid w:val="004654AD"/>
    <w:rsid w:val="004654E4"/>
    <w:rsid w:val="00465504"/>
    <w:rsid w:val="0046553D"/>
    <w:rsid w:val="00465562"/>
    <w:rsid w:val="00465568"/>
    <w:rsid w:val="0046557F"/>
    <w:rsid w:val="0046559E"/>
    <w:rsid w:val="0046559F"/>
    <w:rsid w:val="004655B1"/>
    <w:rsid w:val="004655B2"/>
    <w:rsid w:val="004655B6"/>
    <w:rsid w:val="004655D0"/>
    <w:rsid w:val="00465628"/>
    <w:rsid w:val="004656FB"/>
    <w:rsid w:val="00465702"/>
    <w:rsid w:val="0046570A"/>
    <w:rsid w:val="00465769"/>
    <w:rsid w:val="004657AB"/>
    <w:rsid w:val="004657AE"/>
    <w:rsid w:val="004657B0"/>
    <w:rsid w:val="0046580C"/>
    <w:rsid w:val="00465823"/>
    <w:rsid w:val="0046587F"/>
    <w:rsid w:val="00465888"/>
    <w:rsid w:val="004658C8"/>
    <w:rsid w:val="004658F6"/>
    <w:rsid w:val="0046591C"/>
    <w:rsid w:val="00465935"/>
    <w:rsid w:val="00465959"/>
    <w:rsid w:val="004659B2"/>
    <w:rsid w:val="00465A40"/>
    <w:rsid w:val="00465A8F"/>
    <w:rsid w:val="00465B27"/>
    <w:rsid w:val="00465B9E"/>
    <w:rsid w:val="00465BA7"/>
    <w:rsid w:val="00465BEC"/>
    <w:rsid w:val="00465BF8"/>
    <w:rsid w:val="00465C86"/>
    <w:rsid w:val="00465C9E"/>
    <w:rsid w:val="00465CF2"/>
    <w:rsid w:val="00465DA9"/>
    <w:rsid w:val="00465DF6"/>
    <w:rsid w:val="00465E50"/>
    <w:rsid w:val="00465E57"/>
    <w:rsid w:val="00465EA9"/>
    <w:rsid w:val="00465EAF"/>
    <w:rsid w:val="00465ED2"/>
    <w:rsid w:val="00465F0F"/>
    <w:rsid w:val="00465F98"/>
    <w:rsid w:val="00465FBB"/>
    <w:rsid w:val="00465FC9"/>
    <w:rsid w:val="00465FD9"/>
    <w:rsid w:val="0046608E"/>
    <w:rsid w:val="0046609D"/>
    <w:rsid w:val="004660FF"/>
    <w:rsid w:val="00466122"/>
    <w:rsid w:val="0046614F"/>
    <w:rsid w:val="00466181"/>
    <w:rsid w:val="004661CC"/>
    <w:rsid w:val="004661D6"/>
    <w:rsid w:val="0046625E"/>
    <w:rsid w:val="00466325"/>
    <w:rsid w:val="0046632D"/>
    <w:rsid w:val="004663A2"/>
    <w:rsid w:val="004663DB"/>
    <w:rsid w:val="004663F1"/>
    <w:rsid w:val="004663F9"/>
    <w:rsid w:val="00466479"/>
    <w:rsid w:val="004664A9"/>
    <w:rsid w:val="00466540"/>
    <w:rsid w:val="00466548"/>
    <w:rsid w:val="00466596"/>
    <w:rsid w:val="004665DC"/>
    <w:rsid w:val="004665EA"/>
    <w:rsid w:val="00466632"/>
    <w:rsid w:val="004666B6"/>
    <w:rsid w:val="004666DB"/>
    <w:rsid w:val="00466742"/>
    <w:rsid w:val="0046674E"/>
    <w:rsid w:val="0046677A"/>
    <w:rsid w:val="00466787"/>
    <w:rsid w:val="0046680A"/>
    <w:rsid w:val="00466810"/>
    <w:rsid w:val="0046683B"/>
    <w:rsid w:val="00466853"/>
    <w:rsid w:val="0046685C"/>
    <w:rsid w:val="0046690C"/>
    <w:rsid w:val="00466928"/>
    <w:rsid w:val="0046696D"/>
    <w:rsid w:val="00466996"/>
    <w:rsid w:val="0046699B"/>
    <w:rsid w:val="004669FE"/>
    <w:rsid w:val="00466A4C"/>
    <w:rsid w:val="00466A67"/>
    <w:rsid w:val="00466AC5"/>
    <w:rsid w:val="00466B21"/>
    <w:rsid w:val="00466B29"/>
    <w:rsid w:val="00466C0D"/>
    <w:rsid w:val="00466C24"/>
    <w:rsid w:val="00466C28"/>
    <w:rsid w:val="00466C3E"/>
    <w:rsid w:val="00466C88"/>
    <w:rsid w:val="00466C91"/>
    <w:rsid w:val="00466D28"/>
    <w:rsid w:val="00466D58"/>
    <w:rsid w:val="00466D7E"/>
    <w:rsid w:val="00466D8E"/>
    <w:rsid w:val="00466DB1"/>
    <w:rsid w:val="00466DE6"/>
    <w:rsid w:val="00466E22"/>
    <w:rsid w:val="00466F43"/>
    <w:rsid w:val="00466F6B"/>
    <w:rsid w:val="00466FE3"/>
    <w:rsid w:val="00466FF4"/>
    <w:rsid w:val="00467038"/>
    <w:rsid w:val="0046704C"/>
    <w:rsid w:val="00467068"/>
    <w:rsid w:val="00467096"/>
    <w:rsid w:val="004670AE"/>
    <w:rsid w:val="004670BC"/>
    <w:rsid w:val="004670E6"/>
    <w:rsid w:val="00467108"/>
    <w:rsid w:val="00467147"/>
    <w:rsid w:val="0046714D"/>
    <w:rsid w:val="00467198"/>
    <w:rsid w:val="004671AA"/>
    <w:rsid w:val="004671D7"/>
    <w:rsid w:val="004671F6"/>
    <w:rsid w:val="0046720B"/>
    <w:rsid w:val="00467216"/>
    <w:rsid w:val="00467226"/>
    <w:rsid w:val="004672A7"/>
    <w:rsid w:val="004672DD"/>
    <w:rsid w:val="004672F1"/>
    <w:rsid w:val="004672FB"/>
    <w:rsid w:val="0046731C"/>
    <w:rsid w:val="00467328"/>
    <w:rsid w:val="00467335"/>
    <w:rsid w:val="00467381"/>
    <w:rsid w:val="00467385"/>
    <w:rsid w:val="004673DE"/>
    <w:rsid w:val="004674B9"/>
    <w:rsid w:val="004674BB"/>
    <w:rsid w:val="00467502"/>
    <w:rsid w:val="00467506"/>
    <w:rsid w:val="00467518"/>
    <w:rsid w:val="0046756B"/>
    <w:rsid w:val="004675CD"/>
    <w:rsid w:val="004675E5"/>
    <w:rsid w:val="00467646"/>
    <w:rsid w:val="0046765A"/>
    <w:rsid w:val="00467665"/>
    <w:rsid w:val="004676F2"/>
    <w:rsid w:val="00467747"/>
    <w:rsid w:val="0046776D"/>
    <w:rsid w:val="004677A8"/>
    <w:rsid w:val="00467854"/>
    <w:rsid w:val="00467886"/>
    <w:rsid w:val="00467898"/>
    <w:rsid w:val="004678C4"/>
    <w:rsid w:val="0046790E"/>
    <w:rsid w:val="00467963"/>
    <w:rsid w:val="00467964"/>
    <w:rsid w:val="0046798B"/>
    <w:rsid w:val="0046798C"/>
    <w:rsid w:val="00467A2E"/>
    <w:rsid w:val="00467A52"/>
    <w:rsid w:val="00467A74"/>
    <w:rsid w:val="00467AA2"/>
    <w:rsid w:val="00467AC1"/>
    <w:rsid w:val="00467AD6"/>
    <w:rsid w:val="00467B20"/>
    <w:rsid w:val="00467BA8"/>
    <w:rsid w:val="00467C56"/>
    <w:rsid w:val="00467CC3"/>
    <w:rsid w:val="00467CDC"/>
    <w:rsid w:val="00467D19"/>
    <w:rsid w:val="00467DAB"/>
    <w:rsid w:val="00467E28"/>
    <w:rsid w:val="00467E46"/>
    <w:rsid w:val="00467E67"/>
    <w:rsid w:val="00467EDA"/>
    <w:rsid w:val="00467F2F"/>
    <w:rsid w:val="00467F3E"/>
    <w:rsid w:val="00467F5F"/>
    <w:rsid w:val="00467F7A"/>
    <w:rsid w:val="0047004D"/>
    <w:rsid w:val="0047006A"/>
    <w:rsid w:val="004700AB"/>
    <w:rsid w:val="004700B8"/>
    <w:rsid w:val="004700E4"/>
    <w:rsid w:val="00470135"/>
    <w:rsid w:val="00470194"/>
    <w:rsid w:val="004701A8"/>
    <w:rsid w:val="004701C0"/>
    <w:rsid w:val="004701C2"/>
    <w:rsid w:val="004701D3"/>
    <w:rsid w:val="00470234"/>
    <w:rsid w:val="0047026A"/>
    <w:rsid w:val="0047026D"/>
    <w:rsid w:val="004702B3"/>
    <w:rsid w:val="0047034D"/>
    <w:rsid w:val="00470353"/>
    <w:rsid w:val="0047036A"/>
    <w:rsid w:val="0047037C"/>
    <w:rsid w:val="004703D7"/>
    <w:rsid w:val="004703DE"/>
    <w:rsid w:val="004703E2"/>
    <w:rsid w:val="00470414"/>
    <w:rsid w:val="00470416"/>
    <w:rsid w:val="0047041A"/>
    <w:rsid w:val="00470438"/>
    <w:rsid w:val="004704CE"/>
    <w:rsid w:val="004704D3"/>
    <w:rsid w:val="004704F3"/>
    <w:rsid w:val="00470537"/>
    <w:rsid w:val="00470582"/>
    <w:rsid w:val="00470592"/>
    <w:rsid w:val="0047059F"/>
    <w:rsid w:val="004705BC"/>
    <w:rsid w:val="004705E2"/>
    <w:rsid w:val="004705E3"/>
    <w:rsid w:val="0047063F"/>
    <w:rsid w:val="004706A3"/>
    <w:rsid w:val="004706B7"/>
    <w:rsid w:val="00470740"/>
    <w:rsid w:val="0047076B"/>
    <w:rsid w:val="0047077B"/>
    <w:rsid w:val="0047082A"/>
    <w:rsid w:val="00470842"/>
    <w:rsid w:val="00470849"/>
    <w:rsid w:val="0047086D"/>
    <w:rsid w:val="00470877"/>
    <w:rsid w:val="0047087A"/>
    <w:rsid w:val="004708C9"/>
    <w:rsid w:val="004708EE"/>
    <w:rsid w:val="0047093A"/>
    <w:rsid w:val="00470953"/>
    <w:rsid w:val="0047096D"/>
    <w:rsid w:val="004709B2"/>
    <w:rsid w:val="00470A0F"/>
    <w:rsid w:val="00470A3D"/>
    <w:rsid w:val="00470A58"/>
    <w:rsid w:val="00470A73"/>
    <w:rsid w:val="00470A7F"/>
    <w:rsid w:val="00470A97"/>
    <w:rsid w:val="00470A99"/>
    <w:rsid w:val="00470AB1"/>
    <w:rsid w:val="00470AE1"/>
    <w:rsid w:val="00470AE8"/>
    <w:rsid w:val="00470AEA"/>
    <w:rsid w:val="00470AF3"/>
    <w:rsid w:val="00470B20"/>
    <w:rsid w:val="00470B30"/>
    <w:rsid w:val="00470B37"/>
    <w:rsid w:val="00470B76"/>
    <w:rsid w:val="00470C70"/>
    <w:rsid w:val="00470CA3"/>
    <w:rsid w:val="00470D0C"/>
    <w:rsid w:val="00470D0D"/>
    <w:rsid w:val="00470D26"/>
    <w:rsid w:val="00470D9A"/>
    <w:rsid w:val="00470DFF"/>
    <w:rsid w:val="00470E4C"/>
    <w:rsid w:val="00470E5F"/>
    <w:rsid w:val="00470E9C"/>
    <w:rsid w:val="00470F41"/>
    <w:rsid w:val="00470FCE"/>
    <w:rsid w:val="00471060"/>
    <w:rsid w:val="004710BF"/>
    <w:rsid w:val="004711D9"/>
    <w:rsid w:val="004711E1"/>
    <w:rsid w:val="004711FE"/>
    <w:rsid w:val="00471210"/>
    <w:rsid w:val="004712D4"/>
    <w:rsid w:val="004712DA"/>
    <w:rsid w:val="004712FA"/>
    <w:rsid w:val="0047132A"/>
    <w:rsid w:val="0047134B"/>
    <w:rsid w:val="00471369"/>
    <w:rsid w:val="0047141D"/>
    <w:rsid w:val="0047148B"/>
    <w:rsid w:val="0047148F"/>
    <w:rsid w:val="004714AF"/>
    <w:rsid w:val="004714CF"/>
    <w:rsid w:val="00471509"/>
    <w:rsid w:val="0047153C"/>
    <w:rsid w:val="00471550"/>
    <w:rsid w:val="0047157D"/>
    <w:rsid w:val="0047159B"/>
    <w:rsid w:val="004715C3"/>
    <w:rsid w:val="00471601"/>
    <w:rsid w:val="0047160B"/>
    <w:rsid w:val="0047161B"/>
    <w:rsid w:val="00471626"/>
    <w:rsid w:val="0047166C"/>
    <w:rsid w:val="0047167F"/>
    <w:rsid w:val="004716DD"/>
    <w:rsid w:val="0047173F"/>
    <w:rsid w:val="00471762"/>
    <w:rsid w:val="00471786"/>
    <w:rsid w:val="004717CC"/>
    <w:rsid w:val="004717CE"/>
    <w:rsid w:val="00471822"/>
    <w:rsid w:val="00471852"/>
    <w:rsid w:val="00471854"/>
    <w:rsid w:val="00471861"/>
    <w:rsid w:val="0047187C"/>
    <w:rsid w:val="004718D7"/>
    <w:rsid w:val="004718D8"/>
    <w:rsid w:val="004719AD"/>
    <w:rsid w:val="004719B6"/>
    <w:rsid w:val="004719C1"/>
    <w:rsid w:val="004719C3"/>
    <w:rsid w:val="004719F1"/>
    <w:rsid w:val="00471A6E"/>
    <w:rsid w:val="00471A92"/>
    <w:rsid w:val="00471A9D"/>
    <w:rsid w:val="00471B30"/>
    <w:rsid w:val="00471B43"/>
    <w:rsid w:val="00471B60"/>
    <w:rsid w:val="00471B87"/>
    <w:rsid w:val="00471B93"/>
    <w:rsid w:val="00471BB4"/>
    <w:rsid w:val="00471BDD"/>
    <w:rsid w:val="00471C13"/>
    <w:rsid w:val="00471C74"/>
    <w:rsid w:val="00471C84"/>
    <w:rsid w:val="00471C9C"/>
    <w:rsid w:val="00471CEA"/>
    <w:rsid w:val="00471CF3"/>
    <w:rsid w:val="00471CFC"/>
    <w:rsid w:val="00471D2D"/>
    <w:rsid w:val="00471D42"/>
    <w:rsid w:val="00471D52"/>
    <w:rsid w:val="00471D7C"/>
    <w:rsid w:val="00471D82"/>
    <w:rsid w:val="00471D99"/>
    <w:rsid w:val="00471DB5"/>
    <w:rsid w:val="00471DE5"/>
    <w:rsid w:val="00471E0D"/>
    <w:rsid w:val="00471E2B"/>
    <w:rsid w:val="00471E3D"/>
    <w:rsid w:val="00471E44"/>
    <w:rsid w:val="00471E5A"/>
    <w:rsid w:val="00471EC1"/>
    <w:rsid w:val="00471EEB"/>
    <w:rsid w:val="00471EED"/>
    <w:rsid w:val="00471F3A"/>
    <w:rsid w:val="00471F50"/>
    <w:rsid w:val="00471F6D"/>
    <w:rsid w:val="00471FFE"/>
    <w:rsid w:val="0047200A"/>
    <w:rsid w:val="00472018"/>
    <w:rsid w:val="0047202C"/>
    <w:rsid w:val="0047202E"/>
    <w:rsid w:val="00472059"/>
    <w:rsid w:val="00472065"/>
    <w:rsid w:val="004720A1"/>
    <w:rsid w:val="004720AF"/>
    <w:rsid w:val="004720D2"/>
    <w:rsid w:val="004720E7"/>
    <w:rsid w:val="004720F9"/>
    <w:rsid w:val="0047214B"/>
    <w:rsid w:val="00472163"/>
    <w:rsid w:val="0047216E"/>
    <w:rsid w:val="00472181"/>
    <w:rsid w:val="00472196"/>
    <w:rsid w:val="004721D7"/>
    <w:rsid w:val="004721EC"/>
    <w:rsid w:val="004721FB"/>
    <w:rsid w:val="00472224"/>
    <w:rsid w:val="00472267"/>
    <w:rsid w:val="0047233B"/>
    <w:rsid w:val="0047235B"/>
    <w:rsid w:val="00472375"/>
    <w:rsid w:val="004723A3"/>
    <w:rsid w:val="004723B8"/>
    <w:rsid w:val="004723DB"/>
    <w:rsid w:val="004723DC"/>
    <w:rsid w:val="00472406"/>
    <w:rsid w:val="00472471"/>
    <w:rsid w:val="0047247C"/>
    <w:rsid w:val="00472480"/>
    <w:rsid w:val="004724AC"/>
    <w:rsid w:val="004724B0"/>
    <w:rsid w:val="00472518"/>
    <w:rsid w:val="004725BE"/>
    <w:rsid w:val="0047262C"/>
    <w:rsid w:val="004726B0"/>
    <w:rsid w:val="004726C1"/>
    <w:rsid w:val="004726E4"/>
    <w:rsid w:val="00472748"/>
    <w:rsid w:val="00472760"/>
    <w:rsid w:val="00472762"/>
    <w:rsid w:val="00472773"/>
    <w:rsid w:val="004727A4"/>
    <w:rsid w:val="004727BF"/>
    <w:rsid w:val="004727E1"/>
    <w:rsid w:val="004727EA"/>
    <w:rsid w:val="004727FE"/>
    <w:rsid w:val="0047285A"/>
    <w:rsid w:val="004728A7"/>
    <w:rsid w:val="004728C8"/>
    <w:rsid w:val="004728CD"/>
    <w:rsid w:val="00472917"/>
    <w:rsid w:val="0047293A"/>
    <w:rsid w:val="00472946"/>
    <w:rsid w:val="00472A10"/>
    <w:rsid w:val="00472A32"/>
    <w:rsid w:val="00472AA2"/>
    <w:rsid w:val="00472AF2"/>
    <w:rsid w:val="00472B2F"/>
    <w:rsid w:val="00472B30"/>
    <w:rsid w:val="00472B7D"/>
    <w:rsid w:val="00472BF6"/>
    <w:rsid w:val="00472C26"/>
    <w:rsid w:val="00472C69"/>
    <w:rsid w:val="00472C81"/>
    <w:rsid w:val="00472C84"/>
    <w:rsid w:val="00472CA4"/>
    <w:rsid w:val="00472CC3"/>
    <w:rsid w:val="00472CF7"/>
    <w:rsid w:val="00472D29"/>
    <w:rsid w:val="00472D2C"/>
    <w:rsid w:val="00472D5A"/>
    <w:rsid w:val="00472D61"/>
    <w:rsid w:val="00472D88"/>
    <w:rsid w:val="00472DDC"/>
    <w:rsid w:val="00472E0F"/>
    <w:rsid w:val="00472E32"/>
    <w:rsid w:val="00472E72"/>
    <w:rsid w:val="00472E85"/>
    <w:rsid w:val="00472EA8"/>
    <w:rsid w:val="00472EF6"/>
    <w:rsid w:val="00472F2F"/>
    <w:rsid w:val="00472F38"/>
    <w:rsid w:val="00472F66"/>
    <w:rsid w:val="00472F72"/>
    <w:rsid w:val="00472F84"/>
    <w:rsid w:val="00472F9C"/>
    <w:rsid w:val="00472FA2"/>
    <w:rsid w:val="00472FC5"/>
    <w:rsid w:val="00473004"/>
    <w:rsid w:val="00473011"/>
    <w:rsid w:val="00473076"/>
    <w:rsid w:val="004730CB"/>
    <w:rsid w:val="00473105"/>
    <w:rsid w:val="0047312F"/>
    <w:rsid w:val="00473146"/>
    <w:rsid w:val="00473158"/>
    <w:rsid w:val="0047316D"/>
    <w:rsid w:val="00473171"/>
    <w:rsid w:val="00473199"/>
    <w:rsid w:val="004731DB"/>
    <w:rsid w:val="004731FB"/>
    <w:rsid w:val="00473202"/>
    <w:rsid w:val="0047320C"/>
    <w:rsid w:val="00473241"/>
    <w:rsid w:val="004732AE"/>
    <w:rsid w:val="004732B6"/>
    <w:rsid w:val="00473319"/>
    <w:rsid w:val="00473329"/>
    <w:rsid w:val="00473362"/>
    <w:rsid w:val="004733BD"/>
    <w:rsid w:val="004733D1"/>
    <w:rsid w:val="00473427"/>
    <w:rsid w:val="00473471"/>
    <w:rsid w:val="00473489"/>
    <w:rsid w:val="0047348E"/>
    <w:rsid w:val="004734C5"/>
    <w:rsid w:val="004734E9"/>
    <w:rsid w:val="004734EC"/>
    <w:rsid w:val="004734EF"/>
    <w:rsid w:val="004734F1"/>
    <w:rsid w:val="004734F3"/>
    <w:rsid w:val="0047351A"/>
    <w:rsid w:val="004736C0"/>
    <w:rsid w:val="00473729"/>
    <w:rsid w:val="00473745"/>
    <w:rsid w:val="0047374B"/>
    <w:rsid w:val="0047375B"/>
    <w:rsid w:val="00473761"/>
    <w:rsid w:val="00473780"/>
    <w:rsid w:val="00473781"/>
    <w:rsid w:val="004737AB"/>
    <w:rsid w:val="004737FD"/>
    <w:rsid w:val="00473804"/>
    <w:rsid w:val="00473808"/>
    <w:rsid w:val="00473830"/>
    <w:rsid w:val="00473838"/>
    <w:rsid w:val="0047383C"/>
    <w:rsid w:val="0047383E"/>
    <w:rsid w:val="00473861"/>
    <w:rsid w:val="00473862"/>
    <w:rsid w:val="004738E8"/>
    <w:rsid w:val="004738EA"/>
    <w:rsid w:val="00473902"/>
    <w:rsid w:val="0047391A"/>
    <w:rsid w:val="00473937"/>
    <w:rsid w:val="00473951"/>
    <w:rsid w:val="0047395A"/>
    <w:rsid w:val="0047395F"/>
    <w:rsid w:val="00473979"/>
    <w:rsid w:val="004739C8"/>
    <w:rsid w:val="004739E1"/>
    <w:rsid w:val="00473A24"/>
    <w:rsid w:val="00473A2B"/>
    <w:rsid w:val="00473A35"/>
    <w:rsid w:val="00473A62"/>
    <w:rsid w:val="00473AA2"/>
    <w:rsid w:val="00473B03"/>
    <w:rsid w:val="00473B12"/>
    <w:rsid w:val="00473B1A"/>
    <w:rsid w:val="00473B83"/>
    <w:rsid w:val="00473BBC"/>
    <w:rsid w:val="00473D32"/>
    <w:rsid w:val="00473D40"/>
    <w:rsid w:val="00473D57"/>
    <w:rsid w:val="00473D67"/>
    <w:rsid w:val="00473D7E"/>
    <w:rsid w:val="00473EC1"/>
    <w:rsid w:val="00473F32"/>
    <w:rsid w:val="00473F57"/>
    <w:rsid w:val="00473F5A"/>
    <w:rsid w:val="00473F7D"/>
    <w:rsid w:val="00473F9A"/>
    <w:rsid w:val="00473FA2"/>
    <w:rsid w:val="00473FC2"/>
    <w:rsid w:val="00474018"/>
    <w:rsid w:val="0047402B"/>
    <w:rsid w:val="00474071"/>
    <w:rsid w:val="00474087"/>
    <w:rsid w:val="004740F0"/>
    <w:rsid w:val="00474116"/>
    <w:rsid w:val="0047412D"/>
    <w:rsid w:val="004741FD"/>
    <w:rsid w:val="00474221"/>
    <w:rsid w:val="0047424F"/>
    <w:rsid w:val="00474270"/>
    <w:rsid w:val="004742AB"/>
    <w:rsid w:val="00474361"/>
    <w:rsid w:val="0047439F"/>
    <w:rsid w:val="004743DF"/>
    <w:rsid w:val="004743E9"/>
    <w:rsid w:val="00474452"/>
    <w:rsid w:val="00474474"/>
    <w:rsid w:val="00474478"/>
    <w:rsid w:val="00474481"/>
    <w:rsid w:val="00474482"/>
    <w:rsid w:val="00474619"/>
    <w:rsid w:val="00474633"/>
    <w:rsid w:val="00474663"/>
    <w:rsid w:val="00474696"/>
    <w:rsid w:val="004746C6"/>
    <w:rsid w:val="004746CC"/>
    <w:rsid w:val="004746D9"/>
    <w:rsid w:val="004747A0"/>
    <w:rsid w:val="00474895"/>
    <w:rsid w:val="00474921"/>
    <w:rsid w:val="0047495A"/>
    <w:rsid w:val="00474996"/>
    <w:rsid w:val="004749E7"/>
    <w:rsid w:val="004749F8"/>
    <w:rsid w:val="00474A2D"/>
    <w:rsid w:val="00474A3B"/>
    <w:rsid w:val="00474A8C"/>
    <w:rsid w:val="00474AB1"/>
    <w:rsid w:val="00474ABA"/>
    <w:rsid w:val="00474B1B"/>
    <w:rsid w:val="00474B2A"/>
    <w:rsid w:val="00474BBC"/>
    <w:rsid w:val="00474BC5"/>
    <w:rsid w:val="00474C0E"/>
    <w:rsid w:val="00474C11"/>
    <w:rsid w:val="00474C2C"/>
    <w:rsid w:val="00474C74"/>
    <w:rsid w:val="00474C98"/>
    <w:rsid w:val="00474C9D"/>
    <w:rsid w:val="00474D21"/>
    <w:rsid w:val="00474D28"/>
    <w:rsid w:val="00474D65"/>
    <w:rsid w:val="00474E3C"/>
    <w:rsid w:val="00474E4B"/>
    <w:rsid w:val="00474E56"/>
    <w:rsid w:val="00474E63"/>
    <w:rsid w:val="00474E86"/>
    <w:rsid w:val="00474ECE"/>
    <w:rsid w:val="00474ED7"/>
    <w:rsid w:val="00474EE7"/>
    <w:rsid w:val="00474EF6"/>
    <w:rsid w:val="00474F3E"/>
    <w:rsid w:val="00474F6F"/>
    <w:rsid w:val="00474F98"/>
    <w:rsid w:val="00474FB3"/>
    <w:rsid w:val="00474FEF"/>
    <w:rsid w:val="00475056"/>
    <w:rsid w:val="00475081"/>
    <w:rsid w:val="0047508F"/>
    <w:rsid w:val="00475099"/>
    <w:rsid w:val="004750FF"/>
    <w:rsid w:val="0047510D"/>
    <w:rsid w:val="0047512F"/>
    <w:rsid w:val="00475141"/>
    <w:rsid w:val="00475168"/>
    <w:rsid w:val="004751A5"/>
    <w:rsid w:val="004751F5"/>
    <w:rsid w:val="00475201"/>
    <w:rsid w:val="004752AA"/>
    <w:rsid w:val="004752F9"/>
    <w:rsid w:val="00475329"/>
    <w:rsid w:val="0047534A"/>
    <w:rsid w:val="00475367"/>
    <w:rsid w:val="004753D1"/>
    <w:rsid w:val="00475425"/>
    <w:rsid w:val="004754B4"/>
    <w:rsid w:val="004754D8"/>
    <w:rsid w:val="004754E8"/>
    <w:rsid w:val="00475553"/>
    <w:rsid w:val="00475586"/>
    <w:rsid w:val="004755D4"/>
    <w:rsid w:val="004755DE"/>
    <w:rsid w:val="004755FF"/>
    <w:rsid w:val="00475616"/>
    <w:rsid w:val="0047563E"/>
    <w:rsid w:val="00475647"/>
    <w:rsid w:val="00475676"/>
    <w:rsid w:val="0047567D"/>
    <w:rsid w:val="00475680"/>
    <w:rsid w:val="004756DA"/>
    <w:rsid w:val="004756DE"/>
    <w:rsid w:val="00475816"/>
    <w:rsid w:val="0047582E"/>
    <w:rsid w:val="00475848"/>
    <w:rsid w:val="0047588C"/>
    <w:rsid w:val="00475890"/>
    <w:rsid w:val="00475948"/>
    <w:rsid w:val="004759B7"/>
    <w:rsid w:val="004759CC"/>
    <w:rsid w:val="00475A2C"/>
    <w:rsid w:val="00475A5B"/>
    <w:rsid w:val="00475A83"/>
    <w:rsid w:val="00475AA7"/>
    <w:rsid w:val="00475AB7"/>
    <w:rsid w:val="00475ADC"/>
    <w:rsid w:val="00475ADD"/>
    <w:rsid w:val="00475AE4"/>
    <w:rsid w:val="00475AF5"/>
    <w:rsid w:val="00475B0D"/>
    <w:rsid w:val="00475B95"/>
    <w:rsid w:val="00475BBA"/>
    <w:rsid w:val="00475BEF"/>
    <w:rsid w:val="00475C46"/>
    <w:rsid w:val="00475CBE"/>
    <w:rsid w:val="00475D39"/>
    <w:rsid w:val="00475D53"/>
    <w:rsid w:val="00475D58"/>
    <w:rsid w:val="00475D6A"/>
    <w:rsid w:val="00475D7A"/>
    <w:rsid w:val="00475E01"/>
    <w:rsid w:val="00475E96"/>
    <w:rsid w:val="00475ED0"/>
    <w:rsid w:val="00475ED5"/>
    <w:rsid w:val="00475ED6"/>
    <w:rsid w:val="00475F28"/>
    <w:rsid w:val="00475F5A"/>
    <w:rsid w:val="00475F74"/>
    <w:rsid w:val="00475F8E"/>
    <w:rsid w:val="0047602A"/>
    <w:rsid w:val="0047604E"/>
    <w:rsid w:val="00476132"/>
    <w:rsid w:val="004761AD"/>
    <w:rsid w:val="004761BB"/>
    <w:rsid w:val="004761DF"/>
    <w:rsid w:val="004761E8"/>
    <w:rsid w:val="004761FC"/>
    <w:rsid w:val="00476203"/>
    <w:rsid w:val="00476247"/>
    <w:rsid w:val="00476264"/>
    <w:rsid w:val="004762A9"/>
    <w:rsid w:val="004762D9"/>
    <w:rsid w:val="004762DA"/>
    <w:rsid w:val="004762DB"/>
    <w:rsid w:val="004762F0"/>
    <w:rsid w:val="0047630A"/>
    <w:rsid w:val="0047630E"/>
    <w:rsid w:val="00476326"/>
    <w:rsid w:val="0047632B"/>
    <w:rsid w:val="004763C2"/>
    <w:rsid w:val="004763F4"/>
    <w:rsid w:val="004763F8"/>
    <w:rsid w:val="00476466"/>
    <w:rsid w:val="0047647E"/>
    <w:rsid w:val="004764CA"/>
    <w:rsid w:val="004764E9"/>
    <w:rsid w:val="004764EE"/>
    <w:rsid w:val="0047651E"/>
    <w:rsid w:val="00476546"/>
    <w:rsid w:val="00476573"/>
    <w:rsid w:val="00476600"/>
    <w:rsid w:val="00476641"/>
    <w:rsid w:val="00476674"/>
    <w:rsid w:val="004766B1"/>
    <w:rsid w:val="0047671F"/>
    <w:rsid w:val="00476731"/>
    <w:rsid w:val="00476769"/>
    <w:rsid w:val="004767BA"/>
    <w:rsid w:val="00476815"/>
    <w:rsid w:val="00476893"/>
    <w:rsid w:val="004768B6"/>
    <w:rsid w:val="004768DB"/>
    <w:rsid w:val="0047690B"/>
    <w:rsid w:val="0047697F"/>
    <w:rsid w:val="00476A0A"/>
    <w:rsid w:val="00476A0E"/>
    <w:rsid w:val="00476AA5"/>
    <w:rsid w:val="00476AE0"/>
    <w:rsid w:val="00476AE6"/>
    <w:rsid w:val="00476B53"/>
    <w:rsid w:val="00476BC7"/>
    <w:rsid w:val="00476C4B"/>
    <w:rsid w:val="00476C75"/>
    <w:rsid w:val="00476D09"/>
    <w:rsid w:val="00476D2C"/>
    <w:rsid w:val="00476D75"/>
    <w:rsid w:val="00476D7A"/>
    <w:rsid w:val="00476DC1"/>
    <w:rsid w:val="00476E1E"/>
    <w:rsid w:val="00476E55"/>
    <w:rsid w:val="00476EEF"/>
    <w:rsid w:val="00476F00"/>
    <w:rsid w:val="00476F12"/>
    <w:rsid w:val="00476F7B"/>
    <w:rsid w:val="00476F89"/>
    <w:rsid w:val="00476FBC"/>
    <w:rsid w:val="00476FCB"/>
    <w:rsid w:val="00477063"/>
    <w:rsid w:val="00477094"/>
    <w:rsid w:val="004770C8"/>
    <w:rsid w:val="00477110"/>
    <w:rsid w:val="00477139"/>
    <w:rsid w:val="0047718C"/>
    <w:rsid w:val="0047718D"/>
    <w:rsid w:val="0047719F"/>
    <w:rsid w:val="004771B9"/>
    <w:rsid w:val="004771F5"/>
    <w:rsid w:val="00477298"/>
    <w:rsid w:val="004772C3"/>
    <w:rsid w:val="004772EF"/>
    <w:rsid w:val="00477308"/>
    <w:rsid w:val="00477364"/>
    <w:rsid w:val="00477371"/>
    <w:rsid w:val="00477463"/>
    <w:rsid w:val="00477484"/>
    <w:rsid w:val="00477491"/>
    <w:rsid w:val="004774F7"/>
    <w:rsid w:val="004774FF"/>
    <w:rsid w:val="0047753A"/>
    <w:rsid w:val="00477552"/>
    <w:rsid w:val="004775F7"/>
    <w:rsid w:val="00477607"/>
    <w:rsid w:val="00477654"/>
    <w:rsid w:val="00477676"/>
    <w:rsid w:val="004776AC"/>
    <w:rsid w:val="004776C0"/>
    <w:rsid w:val="004776D4"/>
    <w:rsid w:val="00477711"/>
    <w:rsid w:val="0047772E"/>
    <w:rsid w:val="004777BA"/>
    <w:rsid w:val="004777C6"/>
    <w:rsid w:val="0047781D"/>
    <w:rsid w:val="0047782D"/>
    <w:rsid w:val="0047787A"/>
    <w:rsid w:val="004778EC"/>
    <w:rsid w:val="004778FD"/>
    <w:rsid w:val="0047790C"/>
    <w:rsid w:val="00477920"/>
    <w:rsid w:val="0047798B"/>
    <w:rsid w:val="004779A9"/>
    <w:rsid w:val="004779AE"/>
    <w:rsid w:val="004779B5"/>
    <w:rsid w:val="004779B7"/>
    <w:rsid w:val="00477A1D"/>
    <w:rsid w:val="00477A32"/>
    <w:rsid w:val="00477A6E"/>
    <w:rsid w:val="00477A73"/>
    <w:rsid w:val="00477A91"/>
    <w:rsid w:val="00477AA8"/>
    <w:rsid w:val="00477AFB"/>
    <w:rsid w:val="00477B8E"/>
    <w:rsid w:val="00477BB3"/>
    <w:rsid w:val="00477BCE"/>
    <w:rsid w:val="00477BDD"/>
    <w:rsid w:val="00477BF4"/>
    <w:rsid w:val="00477C49"/>
    <w:rsid w:val="00477C54"/>
    <w:rsid w:val="00477C9C"/>
    <w:rsid w:val="00477CFA"/>
    <w:rsid w:val="00477D55"/>
    <w:rsid w:val="00477D77"/>
    <w:rsid w:val="00477D83"/>
    <w:rsid w:val="00477DCC"/>
    <w:rsid w:val="00477DD6"/>
    <w:rsid w:val="00477DE8"/>
    <w:rsid w:val="00477E82"/>
    <w:rsid w:val="00477F32"/>
    <w:rsid w:val="00477F6C"/>
    <w:rsid w:val="00477F88"/>
    <w:rsid w:val="00477FAE"/>
    <w:rsid w:val="00477FE2"/>
    <w:rsid w:val="00477FE6"/>
    <w:rsid w:val="00477FF2"/>
    <w:rsid w:val="00480042"/>
    <w:rsid w:val="00480048"/>
    <w:rsid w:val="00480098"/>
    <w:rsid w:val="004800C5"/>
    <w:rsid w:val="004800E2"/>
    <w:rsid w:val="00480109"/>
    <w:rsid w:val="0048011D"/>
    <w:rsid w:val="00480131"/>
    <w:rsid w:val="00480143"/>
    <w:rsid w:val="00480176"/>
    <w:rsid w:val="00480198"/>
    <w:rsid w:val="004801C9"/>
    <w:rsid w:val="004801FD"/>
    <w:rsid w:val="00480234"/>
    <w:rsid w:val="00480238"/>
    <w:rsid w:val="00480251"/>
    <w:rsid w:val="00480257"/>
    <w:rsid w:val="0048028E"/>
    <w:rsid w:val="004802A7"/>
    <w:rsid w:val="004802FE"/>
    <w:rsid w:val="0048032F"/>
    <w:rsid w:val="0048034D"/>
    <w:rsid w:val="0048037D"/>
    <w:rsid w:val="0048038B"/>
    <w:rsid w:val="0048038D"/>
    <w:rsid w:val="0048038F"/>
    <w:rsid w:val="00480398"/>
    <w:rsid w:val="004803B9"/>
    <w:rsid w:val="004803BD"/>
    <w:rsid w:val="004803C3"/>
    <w:rsid w:val="00480426"/>
    <w:rsid w:val="00480473"/>
    <w:rsid w:val="004804E0"/>
    <w:rsid w:val="004804FD"/>
    <w:rsid w:val="0048050A"/>
    <w:rsid w:val="0048050D"/>
    <w:rsid w:val="0048054C"/>
    <w:rsid w:val="0048056D"/>
    <w:rsid w:val="00480576"/>
    <w:rsid w:val="00480582"/>
    <w:rsid w:val="0048059A"/>
    <w:rsid w:val="00480685"/>
    <w:rsid w:val="0048069C"/>
    <w:rsid w:val="004806B8"/>
    <w:rsid w:val="004807A8"/>
    <w:rsid w:val="004807BB"/>
    <w:rsid w:val="00480807"/>
    <w:rsid w:val="00480810"/>
    <w:rsid w:val="004808B5"/>
    <w:rsid w:val="004808C2"/>
    <w:rsid w:val="004808D3"/>
    <w:rsid w:val="004808FD"/>
    <w:rsid w:val="00480914"/>
    <w:rsid w:val="0048095C"/>
    <w:rsid w:val="004809E8"/>
    <w:rsid w:val="00480A2E"/>
    <w:rsid w:val="00480A59"/>
    <w:rsid w:val="00480A60"/>
    <w:rsid w:val="00480AAB"/>
    <w:rsid w:val="00480AB3"/>
    <w:rsid w:val="00480AF9"/>
    <w:rsid w:val="00480B16"/>
    <w:rsid w:val="00480B3A"/>
    <w:rsid w:val="00480B5F"/>
    <w:rsid w:val="00480B88"/>
    <w:rsid w:val="00480B92"/>
    <w:rsid w:val="00480B97"/>
    <w:rsid w:val="00480BBD"/>
    <w:rsid w:val="00480BDA"/>
    <w:rsid w:val="00480CFE"/>
    <w:rsid w:val="00480D03"/>
    <w:rsid w:val="00480D11"/>
    <w:rsid w:val="00480DCB"/>
    <w:rsid w:val="00480E02"/>
    <w:rsid w:val="00480E58"/>
    <w:rsid w:val="00480E60"/>
    <w:rsid w:val="00480EBF"/>
    <w:rsid w:val="00480EDD"/>
    <w:rsid w:val="00480F47"/>
    <w:rsid w:val="00480FF4"/>
    <w:rsid w:val="00481007"/>
    <w:rsid w:val="0048101C"/>
    <w:rsid w:val="0048102C"/>
    <w:rsid w:val="0048109E"/>
    <w:rsid w:val="0048113D"/>
    <w:rsid w:val="00481154"/>
    <w:rsid w:val="0048118B"/>
    <w:rsid w:val="00481194"/>
    <w:rsid w:val="00481252"/>
    <w:rsid w:val="004812A7"/>
    <w:rsid w:val="004812C6"/>
    <w:rsid w:val="004812CF"/>
    <w:rsid w:val="004812F0"/>
    <w:rsid w:val="004812FF"/>
    <w:rsid w:val="0048132F"/>
    <w:rsid w:val="00481377"/>
    <w:rsid w:val="004813B8"/>
    <w:rsid w:val="004813D9"/>
    <w:rsid w:val="004813E2"/>
    <w:rsid w:val="0048141C"/>
    <w:rsid w:val="00481479"/>
    <w:rsid w:val="004814A0"/>
    <w:rsid w:val="0048156D"/>
    <w:rsid w:val="0048158D"/>
    <w:rsid w:val="004815B2"/>
    <w:rsid w:val="004815BB"/>
    <w:rsid w:val="00481601"/>
    <w:rsid w:val="00481614"/>
    <w:rsid w:val="0048161A"/>
    <w:rsid w:val="004816B5"/>
    <w:rsid w:val="00481700"/>
    <w:rsid w:val="00481743"/>
    <w:rsid w:val="0048175A"/>
    <w:rsid w:val="0048175C"/>
    <w:rsid w:val="00481790"/>
    <w:rsid w:val="004817AD"/>
    <w:rsid w:val="004817CB"/>
    <w:rsid w:val="004817DE"/>
    <w:rsid w:val="004817FD"/>
    <w:rsid w:val="00481813"/>
    <w:rsid w:val="00481832"/>
    <w:rsid w:val="00481837"/>
    <w:rsid w:val="00481842"/>
    <w:rsid w:val="00481862"/>
    <w:rsid w:val="004818A9"/>
    <w:rsid w:val="004818BB"/>
    <w:rsid w:val="004818D0"/>
    <w:rsid w:val="004818E6"/>
    <w:rsid w:val="00481900"/>
    <w:rsid w:val="00481904"/>
    <w:rsid w:val="00481953"/>
    <w:rsid w:val="00481975"/>
    <w:rsid w:val="00481976"/>
    <w:rsid w:val="004819C3"/>
    <w:rsid w:val="004819C8"/>
    <w:rsid w:val="004819D6"/>
    <w:rsid w:val="00481A16"/>
    <w:rsid w:val="00481A86"/>
    <w:rsid w:val="00481B4C"/>
    <w:rsid w:val="00481B8C"/>
    <w:rsid w:val="00481C18"/>
    <w:rsid w:val="00481C29"/>
    <w:rsid w:val="00481C76"/>
    <w:rsid w:val="00481C7A"/>
    <w:rsid w:val="00481C97"/>
    <w:rsid w:val="00481C98"/>
    <w:rsid w:val="00481CD2"/>
    <w:rsid w:val="00481CF0"/>
    <w:rsid w:val="00481CF9"/>
    <w:rsid w:val="00481D0F"/>
    <w:rsid w:val="00481D27"/>
    <w:rsid w:val="00481D4D"/>
    <w:rsid w:val="00481D59"/>
    <w:rsid w:val="00481D77"/>
    <w:rsid w:val="00481D87"/>
    <w:rsid w:val="00481DC9"/>
    <w:rsid w:val="00481DED"/>
    <w:rsid w:val="00481E8E"/>
    <w:rsid w:val="00481F60"/>
    <w:rsid w:val="00481FAC"/>
    <w:rsid w:val="00482055"/>
    <w:rsid w:val="00482083"/>
    <w:rsid w:val="004820E1"/>
    <w:rsid w:val="0048219F"/>
    <w:rsid w:val="00482230"/>
    <w:rsid w:val="0048228A"/>
    <w:rsid w:val="0048229E"/>
    <w:rsid w:val="004822C8"/>
    <w:rsid w:val="004822C9"/>
    <w:rsid w:val="004822CB"/>
    <w:rsid w:val="004822F0"/>
    <w:rsid w:val="00482371"/>
    <w:rsid w:val="004823BD"/>
    <w:rsid w:val="004823F2"/>
    <w:rsid w:val="0048240A"/>
    <w:rsid w:val="00482424"/>
    <w:rsid w:val="00482457"/>
    <w:rsid w:val="00482476"/>
    <w:rsid w:val="004824E5"/>
    <w:rsid w:val="00482565"/>
    <w:rsid w:val="00482575"/>
    <w:rsid w:val="004825F4"/>
    <w:rsid w:val="0048260F"/>
    <w:rsid w:val="00482634"/>
    <w:rsid w:val="0048266D"/>
    <w:rsid w:val="004826AD"/>
    <w:rsid w:val="004826B7"/>
    <w:rsid w:val="004826DF"/>
    <w:rsid w:val="0048271F"/>
    <w:rsid w:val="00482769"/>
    <w:rsid w:val="004827AE"/>
    <w:rsid w:val="004827EC"/>
    <w:rsid w:val="004828AF"/>
    <w:rsid w:val="00482934"/>
    <w:rsid w:val="00482967"/>
    <w:rsid w:val="0048297B"/>
    <w:rsid w:val="00482A11"/>
    <w:rsid w:val="00482A1D"/>
    <w:rsid w:val="00482A20"/>
    <w:rsid w:val="00482A2A"/>
    <w:rsid w:val="00482A6B"/>
    <w:rsid w:val="00482AA7"/>
    <w:rsid w:val="00482AF4"/>
    <w:rsid w:val="00482B31"/>
    <w:rsid w:val="00482B55"/>
    <w:rsid w:val="00482B6E"/>
    <w:rsid w:val="00482B7A"/>
    <w:rsid w:val="00482B92"/>
    <w:rsid w:val="00482BED"/>
    <w:rsid w:val="00482BEF"/>
    <w:rsid w:val="00482BF3"/>
    <w:rsid w:val="00482BF8"/>
    <w:rsid w:val="00482C14"/>
    <w:rsid w:val="00482CB2"/>
    <w:rsid w:val="00482CBD"/>
    <w:rsid w:val="00482D12"/>
    <w:rsid w:val="00482D5A"/>
    <w:rsid w:val="00482DB9"/>
    <w:rsid w:val="00482E2C"/>
    <w:rsid w:val="00482EDE"/>
    <w:rsid w:val="00482F12"/>
    <w:rsid w:val="00482F20"/>
    <w:rsid w:val="00482F54"/>
    <w:rsid w:val="00482F64"/>
    <w:rsid w:val="00482F9A"/>
    <w:rsid w:val="00482FFD"/>
    <w:rsid w:val="00483012"/>
    <w:rsid w:val="00483050"/>
    <w:rsid w:val="00483075"/>
    <w:rsid w:val="0048308F"/>
    <w:rsid w:val="0048309D"/>
    <w:rsid w:val="00483122"/>
    <w:rsid w:val="00483165"/>
    <w:rsid w:val="00483168"/>
    <w:rsid w:val="00483191"/>
    <w:rsid w:val="004831C6"/>
    <w:rsid w:val="0048320C"/>
    <w:rsid w:val="00483223"/>
    <w:rsid w:val="00483238"/>
    <w:rsid w:val="0048325C"/>
    <w:rsid w:val="004832C7"/>
    <w:rsid w:val="004832F8"/>
    <w:rsid w:val="0048336F"/>
    <w:rsid w:val="004833AD"/>
    <w:rsid w:val="004833F8"/>
    <w:rsid w:val="0048341A"/>
    <w:rsid w:val="0048341E"/>
    <w:rsid w:val="0048343F"/>
    <w:rsid w:val="004834FA"/>
    <w:rsid w:val="0048352B"/>
    <w:rsid w:val="00483535"/>
    <w:rsid w:val="00483599"/>
    <w:rsid w:val="004835CB"/>
    <w:rsid w:val="004835D1"/>
    <w:rsid w:val="0048369C"/>
    <w:rsid w:val="004836C7"/>
    <w:rsid w:val="004836EF"/>
    <w:rsid w:val="0048370E"/>
    <w:rsid w:val="00483710"/>
    <w:rsid w:val="00483742"/>
    <w:rsid w:val="0048374F"/>
    <w:rsid w:val="004837AA"/>
    <w:rsid w:val="004837AF"/>
    <w:rsid w:val="004837D5"/>
    <w:rsid w:val="00483814"/>
    <w:rsid w:val="00483825"/>
    <w:rsid w:val="00483836"/>
    <w:rsid w:val="00483888"/>
    <w:rsid w:val="004838EB"/>
    <w:rsid w:val="00483944"/>
    <w:rsid w:val="00483959"/>
    <w:rsid w:val="0048396A"/>
    <w:rsid w:val="00483970"/>
    <w:rsid w:val="00483994"/>
    <w:rsid w:val="004839B7"/>
    <w:rsid w:val="00483A1A"/>
    <w:rsid w:val="00483A26"/>
    <w:rsid w:val="00483A71"/>
    <w:rsid w:val="00483A9D"/>
    <w:rsid w:val="00483B51"/>
    <w:rsid w:val="00483B58"/>
    <w:rsid w:val="00483BF4"/>
    <w:rsid w:val="00483C0B"/>
    <w:rsid w:val="00483C22"/>
    <w:rsid w:val="00483C65"/>
    <w:rsid w:val="00483C90"/>
    <w:rsid w:val="00483D44"/>
    <w:rsid w:val="00483DC7"/>
    <w:rsid w:val="00483DF3"/>
    <w:rsid w:val="00483E15"/>
    <w:rsid w:val="00483E32"/>
    <w:rsid w:val="00483E33"/>
    <w:rsid w:val="00483E80"/>
    <w:rsid w:val="00483EBA"/>
    <w:rsid w:val="00483EDC"/>
    <w:rsid w:val="00483F04"/>
    <w:rsid w:val="00483FB1"/>
    <w:rsid w:val="00483FF0"/>
    <w:rsid w:val="00484025"/>
    <w:rsid w:val="00484029"/>
    <w:rsid w:val="004840A9"/>
    <w:rsid w:val="004840CA"/>
    <w:rsid w:val="004840EF"/>
    <w:rsid w:val="0048414E"/>
    <w:rsid w:val="00484157"/>
    <w:rsid w:val="0048419A"/>
    <w:rsid w:val="004841D9"/>
    <w:rsid w:val="0048420E"/>
    <w:rsid w:val="0048422D"/>
    <w:rsid w:val="0048424D"/>
    <w:rsid w:val="004842CE"/>
    <w:rsid w:val="004843D0"/>
    <w:rsid w:val="004843E7"/>
    <w:rsid w:val="004843F2"/>
    <w:rsid w:val="004843FA"/>
    <w:rsid w:val="00484447"/>
    <w:rsid w:val="00484453"/>
    <w:rsid w:val="00484459"/>
    <w:rsid w:val="004844DE"/>
    <w:rsid w:val="004844E9"/>
    <w:rsid w:val="004844ED"/>
    <w:rsid w:val="00484534"/>
    <w:rsid w:val="00484554"/>
    <w:rsid w:val="0048459D"/>
    <w:rsid w:val="004845AE"/>
    <w:rsid w:val="004845DE"/>
    <w:rsid w:val="004845E5"/>
    <w:rsid w:val="00484618"/>
    <w:rsid w:val="00484623"/>
    <w:rsid w:val="00484632"/>
    <w:rsid w:val="00484680"/>
    <w:rsid w:val="004846B2"/>
    <w:rsid w:val="00484734"/>
    <w:rsid w:val="0048475B"/>
    <w:rsid w:val="004847F3"/>
    <w:rsid w:val="00484829"/>
    <w:rsid w:val="0048485A"/>
    <w:rsid w:val="0048486D"/>
    <w:rsid w:val="004848B9"/>
    <w:rsid w:val="004848E7"/>
    <w:rsid w:val="004848FE"/>
    <w:rsid w:val="00484908"/>
    <w:rsid w:val="00484914"/>
    <w:rsid w:val="00484932"/>
    <w:rsid w:val="00484971"/>
    <w:rsid w:val="00484983"/>
    <w:rsid w:val="004849EA"/>
    <w:rsid w:val="00484A10"/>
    <w:rsid w:val="00484A5A"/>
    <w:rsid w:val="00484A5F"/>
    <w:rsid w:val="00484AE7"/>
    <w:rsid w:val="00484AF2"/>
    <w:rsid w:val="00484AF9"/>
    <w:rsid w:val="00484B2C"/>
    <w:rsid w:val="00484B2D"/>
    <w:rsid w:val="00484BA4"/>
    <w:rsid w:val="00484C60"/>
    <w:rsid w:val="00484C6E"/>
    <w:rsid w:val="00484CA0"/>
    <w:rsid w:val="00484CEF"/>
    <w:rsid w:val="00484D17"/>
    <w:rsid w:val="00484D4D"/>
    <w:rsid w:val="00484E43"/>
    <w:rsid w:val="00484E85"/>
    <w:rsid w:val="00484E8C"/>
    <w:rsid w:val="00484E97"/>
    <w:rsid w:val="00484EB2"/>
    <w:rsid w:val="00484EE5"/>
    <w:rsid w:val="00484EEE"/>
    <w:rsid w:val="00484EF4"/>
    <w:rsid w:val="00484F60"/>
    <w:rsid w:val="00484F64"/>
    <w:rsid w:val="00484F92"/>
    <w:rsid w:val="00484FB3"/>
    <w:rsid w:val="00484FBD"/>
    <w:rsid w:val="00484FC5"/>
    <w:rsid w:val="00484FDF"/>
    <w:rsid w:val="0048505D"/>
    <w:rsid w:val="00485072"/>
    <w:rsid w:val="004850B3"/>
    <w:rsid w:val="00485120"/>
    <w:rsid w:val="00485134"/>
    <w:rsid w:val="0048515D"/>
    <w:rsid w:val="00485186"/>
    <w:rsid w:val="0048520C"/>
    <w:rsid w:val="0048522F"/>
    <w:rsid w:val="00485247"/>
    <w:rsid w:val="0048524D"/>
    <w:rsid w:val="004852E6"/>
    <w:rsid w:val="00485323"/>
    <w:rsid w:val="00485347"/>
    <w:rsid w:val="00485395"/>
    <w:rsid w:val="004853AD"/>
    <w:rsid w:val="004853D3"/>
    <w:rsid w:val="00485402"/>
    <w:rsid w:val="00485423"/>
    <w:rsid w:val="0048543A"/>
    <w:rsid w:val="00485448"/>
    <w:rsid w:val="0048545C"/>
    <w:rsid w:val="0048545D"/>
    <w:rsid w:val="00485463"/>
    <w:rsid w:val="004854AF"/>
    <w:rsid w:val="004854C9"/>
    <w:rsid w:val="004854E5"/>
    <w:rsid w:val="004854EF"/>
    <w:rsid w:val="0048554F"/>
    <w:rsid w:val="0048559D"/>
    <w:rsid w:val="004855E7"/>
    <w:rsid w:val="00485643"/>
    <w:rsid w:val="004856DB"/>
    <w:rsid w:val="0048571A"/>
    <w:rsid w:val="0048571D"/>
    <w:rsid w:val="004857AC"/>
    <w:rsid w:val="004857B6"/>
    <w:rsid w:val="004857DB"/>
    <w:rsid w:val="0048580C"/>
    <w:rsid w:val="00485811"/>
    <w:rsid w:val="00485822"/>
    <w:rsid w:val="004858CB"/>
    <w:rsid w:val="004858DA"/>
    <w:rsid w:val="0048590B"/>
    <w:rsid w:val="00485920"/>
    <w:rsid w:val="0048596B"/>
    <w:rsid w:val="004859B3"/>
    <w:rsid w:val="004859BB"/>
    <w:rsid w:val="004859E5"/>
    <w:rsid w:val="00485A30"/>
    <w:rsid w:val="00485A50"/>
    <w:rsid w:val="00485A52"/>
    <w:rsid w:val="00485A5F"/>
    <w:rsid w:val="00485AD3"/>
    <w:rsid w:val="00485B55"/>
    <w:rsid w:val="00485B9F"/>
    <w:rsid w:val="00485BDD"/>
    <w:rsid w:val="00485BE5"/>
    <w:rsid w:val="00485C08"/>
    <w:rsid w:val="00485C27"/>
    <w:rsid w:val="00485C49"/>
    <w:rsid w:val="00485C6D"/>
    <w:rsid w:val="00485C7F"/>
    <w:rsid w:val="00485C8D"/>
    <w:rsid w:val="00485D7D"/>
    <w:rsid w:val="00485DA7"/>
    <w:rsid w:val="00485DB7"/>
    <w:rsid w:val="00485DBE"/>
    <w:rsid w:val="00485DF8"/>
    <w:rsid w:val="00485E15"/>
    <w:rsid w:val="00485E43"/>
    <w:rsid w:val="00485E6C"/>
    <w:rsid w:val="00485E7F"/>
    <w:rsid w:val="00485EB4"/>
    <w:rsid w:val="00485ECE"/>
    <w:rsid w:val="00485EF9"/>
    <w:rsid w:val="00485F11"/>
    <w:rsid w:val="00485F35"/>
    <w:rsid w:val="00485F62"/>
    <w:rsid w:val="00485F6A"/>
    <w:rsid w:val="00485FEF"/>
    <w:rsid w:val="00486004"/>
    <w:rsid w:val="00486008"/>
    <w:rsid w:val="00486019"/>
    <w:rsid w:val="0048603E"/>
    <w:rsid w:val="004860AE"/>
    <w:rsid w:val="00486132"/>
    <w:rsid w:val="0048616A"/>
    <w:rsid w:val="004861BA"/>
    <w:rsid w:val="004861FD"/>
    <w:rsid w:val="0048628D"/>
    <w:rsid w:val="004862B2"/>
    <w:rsid w:val="004862C3"/>
    <w:rsid w:val="004862EE"/>
    <w:rsid w:val="0048634C"/>
    <w:rsid w:val="00486354"/>
    <w:rsid w:val="0048635B"/>
    <w:rsid w:val="004863B6"/>
    <w:rsid w:val="00486448"/>
    <w:rsid w:val="0048644B"/>
    <w:rsid w:val="00486511"/>
    <w:rsid w:val="004865CD"/>
    <w:rsid w:val="004865DC"/>
    <w:rsid w:val="00486662"/>
    <w:rsid w:val="004866B1"/>
    <w:rsid w:val="004866BC"/>
    <w:rsid w:val="00486713"/>
    <w:rsid w:val="00486718"/>
    <w:rsid w:val="0048671D"/>
    <w:rsid w:val="00486724"/>
    <w:rsid w:val="00486731"/>
    <w:rsid w:val="004867BC"/>
    <w:rsid w:val="00486803"/>
    <w:rsid w:val="0048683D"/>
    <w:rsid w:val="0048688F"/>
    <w:rsid w:val="0048689B"/>
    <w:rsid w:val="0048690B"/>
    <w:rsid w:val="00486933"/>
    <w:rsid w:val="0048697F"/>
    <w:rsid w:val="004869FA"/>
    <w:rsid w:val="00486A2A"/>
    <w:rsid w:val="00486A55"/>
    <w:rsid w:val="00486A6F"/>
    <w:rsid w:val="00486A96"/>
    <w:rsid w:val="00486AA0"/>
    <w:rsid w:val="00486AC9"/>
    <w:rsid w:val="00486AF4"/>
    <w:rsid w:val="00486B13"/>
    <w:rsid w:val="00486B24"/>
    <w:rsid w:val="00486B30"/>
    <w:rsid w:val="00486B43"/>
    <w:rsid w:val="00486B4E"/>
    <w:rsid w:val="00486BCA"/>
    <w:rsid w:val="00486C20"/>
    <w:rsid w:val="00486C85"/>
    <w:rsid w:val="00486CB6"/>
    <w:rsid w:val="00486D0E"/>
    <w:rsid w:val="00486D1B"/>
    <w:rsid w:val="00486D56"/>
    <w:rsid w:val="00486E6D"/>
    <w:rsid w:val="00486E92"/>
    <w:rsid w:val="00486EE9"/>
    <w:rsid w:val="00486F50"/>
    <w:rsid w:val="00486F7D"/>
    <w:rsid w:val="00486FA5"/>
    <w:rsid w:val="00486FC0"/>
    <w:rsid w:val="00487028"/>
    <w:rsid w:val="00487081"/>
    <w:rsid w:val="0048717F"/>
    <w:rsid w:val="00487199"/>
    <w:rsid w:val="004871D3"/>
    <w:rsid w:val="004871E3"/>
    <w:rsid w:val="00487217"/>
    <w:rsid w:val="00487241"/>
    <w:rsid w:val="00487271"/>
    <w:rsid w:val="004872DE"/>
    <w:rsid w:val="00487305"/>
    <w:rsid w:val="00487334"/>
    <w:rsid w:val="00487340"/>
    <w:rsid w:val="0048738B"/>
    <w:rsid w:val="00487390"/>
    <w:rsid w:val="004873A6"/>
    <w:rsid w:val="00487409"/>
    <w:rsid w:val="00487471"/>
    <w:rsid w:val="00487475"/>
    <w:rsid w:val="00487492"/>
    <w:rsid w:val="004875A5"/>
    <w:rsid w:val="004875C7"/>
    <w:rsid w:val="00487701"/>
    <w:rsid w:val="0048770D"/>
    <w:rsid w:val="00487786"/>
    <w:rsid w:val="004877D2"/>
    <w:rsid w:val="004877DD"/>
    <w:rsid w:val="00487844"/>
    <w:rsid w:val="00487861"/>
    <w:rsid w:val="00487896"/>
    <w:rsid w:val="004878A0"/>
    <w:rsid w:val="004878C8"/>
    <w:rsid w:val="004878CA"/>
    <w:rsid w:val="00487907"/>
    <w:rsid w:val="00487952"/>
    <w:rsid w:val="0048798C"/>
    <w:rsid w:val="004879A5"/>
    <w:rsid w:val="004879C1"/>
    <w:rsid w:val="004879F5"/>
    <w:rsid w:val="004879F8"/>
    <w:rsid w:val="00487A3F"/>
    <w:rsid w:val="00487A42"/>
    <w:rsid w:val="00487A49"/>
    <w:rsid w:val="00487A5A"/>
    <w:rsid w:val="00487A7E"/>
    <w:rsid w:val="00487A8B"/>
    <w:rsid w:val="00487AD9"/>
    <w:rsid w:val="00487AE6"/>
    <w:rsid w:val="00487AF4"/>
    <w:rsid w:val="00487B23"/>
    <w:rsid w:val="00487B2F"/>
    <w:rsid w:val="00487C41"/>
    <w:rsid w:val="00487C4E"/>
    <w:rsid w:val="00487CBE"/>
    <w:rsid w:val="00487CD6"/>
    <w:rsid w:val="00487CE2"/>
    <w:rsid w:val="00487D22"/>
    <w:rsid w:val="00487D39"/>
    <w:rsid w:val="00487D73"/>
    <w:rsid w:val="00487D77"/>
    <w:rsid w:val="00487DB2"/>
    <w:rsid w:val="00487DDB"/>
    <w:rsid w:val="00487E18"/>
    <w:rsid w:val="00487E5C"/>
    <w:rsid w:val="00487EDF"/>
    <w:rsid w:val="00487EFC"/>
    <w:rsid w:val="004900A5"/>
    <w:rsid w:val="004900AB"/>
    <w:rsid w:val="004900E2"/>
    <w:rsid w:val="004900EF"/>
    <w:rsid w:val="004901C8"/>
    <w:rsid w:val="004901FF"/>
    <w:rsid w:val="00490244"/>
    <w:rsid w:val="0049027B"/>
    <w:rsid w:val="0049028A"/>
    <w:rsid w:val="0049029A"/>
    <w:rsid w:val="00490364"/>
    <w:rsid w:val="0049039D"/>
    <w:rsid w:val="0049041F"/>
    <w:rsid w:val="00490420"/>
    <w:rsid w:val="00490477"/>
    <w:rsid w:val="00490480"/>
    <w:rsid w:val="0049049F"/>
    <w:rsid w:val="004904EF"/>
    <w:rsid w:val="00490505"/>
    <w:rsid w:val="00490553"/>
    <w:rsid w:val="0049059E"/>
    <w:rsid w:val="004905A9"/>
    <w:rsid w:val="004905D1"/>
    <w:rsid w:val="004905D3"/>
    <w:rsid w:val="004905F9"/>
    <w:rsid w:val="004905FB"/>
    <w:rsid w:val="00490668"/>
    <w:rsid w:val="00490673"/>
    <w:rsid w:val="004906B9"/>
    <w:rsid w:val="0049072A"/>
    <w:rsid w:val="00490779"/>
    <w:rsid w:val="0049077D"/>
    <w:rsid w:val="00490788"/>
    <w:rsid w:val="004907C2"/>
    <w:rsid w:val="004907D2"/>
    <w:rsid w:val="004907FA"/>
    <w:rsid w:val="0049082A"/>
    <w:rsid w:val="00490903"/>
    <w:rsid w:val="00490904"/>
    <w:rsid w:val="0049091B"/>
    <w:rsid w:val="00490963"/>
    <w:rsid w:val="00490967"/>
    <w:rsid w:val="0049096E"/>
    <w:rsid w:val="004909D0"/>
    <w:rsid w:val="004909E3"/>
    <w:rsid w:val="004909EA"/>
    <w:rsid w:val="004909F0"/>
    <w:rsid w:val="00490A37"/>
    <w:rsid w:val="00490A40"/>
    <w:rsid w:val="00490A66"/>
    <w:rsid w:val="00490A98"/>
    <w:rsid w:val="00490A9F"/>
    <w:rsid w:val="00490AC8"/>
    <w:rsid w:val="00490AD1"/>
    <w:rsid w:val="00490B12"/>
    <w:rsid w:val="00490B6A"/>
    <w:rsid w:val="00490B7C"/>
    <w:rsid w:val="00490BA2"/>
    <w:rsid w:val="00490BB9"/>
    <w:rsid w:val="00490BFA"/>
    <w:rsid w:val="00490BFE"/>
    <w:rsid w:val="00490C3D"/>
    <w:rsid w:val="00490C50"/>
    <w:rsid w:val="00490C57"/>
    <w:rsid w:val="00490CE5"/>
    <w:rsid w:val="00490D47"/>
    <w:rsid w:val="00490D8F"/>
    <w:rsid w:val="00490E04"/>
    <w:rsid w:val="00490E1E"/>
    <w:rsid w:val="00490ED9"/>
    <w:rsid w:val="00490EE2"/>
    <w:rsid w:val="00490F4D"/>
    <w:rsid w:val="00490F58"/>
    <w:rsid w:val="00490F5F"/>
    <w:rsid w:val="00490F6C"/>
    <w:rsid w:val="00490F74"/>
    <w:rsid w:val="00490FAC"/>
    <w:rsid w:val="00490FBE"/>
    <w:rsid w:val="00490FE4"/>
    <w:rsid w:val="00491025"/>
    <w:rsid w:val="00491032"/>
    <w:rsid w:val="00491081"/>
    <w:rsid w:val="0049109A"/>
    <w:rsid w:val="004910A3"/>
    <w:rsid w:val="004910AD"/>
    <w:rsid w:val="004910B6"/>
    <w:rsid w:val="004910D6"/>
    <w:rsid w:val="004910DA"/>
    <w:rsid w:val="004910F5"/>
    <w:rsid w:val="0049111C"/>
    <w:rsid w:val="00491156"/>
    <w:rsid w:val="0049118D"/>
    <w:rsid w:val="004911CD"/>
    <w:rsid w:val="0049120B"/>
    <w:rsid w:val="00491212"/>
    <w:rsid w:val="00491225"/>
    <w:rsid w:val="0049122B"/>
    <w:rsid w:val="0049124E"/>
    <w:rsid w:val="004912AB"/>
    <w:rsid w:val="004912E7"/>
    <w:rsid w:val="00491300"/>
    <w:rsid w:val="0049130E"/>
    <w:rsid w:val="00491356"/>
    <w:rsid w:val="0049138A"/>
    <w:rsid w:val="00491445"/>
    <w:rsid w:val="0049148F"/>
    <w:rsid w:val="004914AE"/>
    <w:rsid w:val="0049150C"/>
    <w:rsid w:val="00491592"/>
    <w:rsid w:val="0049159C"/>
    <w:rsid w:val="004915D6"/>
    <w:rsid w:val="004915DD"/>
    <w:rsid w:val="004915E7"/>
    <w:rsid w:val="004915E9"/>
    <w:rsid w:val="00491613"/>
    <w:rsid w:val="00491618"/>
    <w:rsid w:val="00491623"/>
    <w:rsid w:val="00491649"/>
    <w:rsid w:val="00491675"/>
    <w:rsid w:val="0049169C"/>
    <w:rsid w:val="0049169D"/>
    <w:rsid w:val="004916B7"/>
    <w:rsid w:val="004916E5"/>
    <w:rsid w:val="00491718"/>
    <w:rsid w:val="00491734"/>
    <w:rsid w:val="00491748"/>
    <w:rsid w:val="00491793"/>
    <w:rsid w:val="004917AF"/>
    <w:rsid w:val="004917C2"/>
    <w:rsid w:val="004917ED"/>
    <w:rsid w:val="0049182F"/>
    <w:rsid w:val="00491832"/>
    <w:rsid w:val="00491867"/>
    <w:rsid w:val="0049187B"/>
    <w:rsid w:val="00491892"/>
    <w:rsid w:val="004918BD"/>
    <w:rsid w:val="004918C5"/>
    <w:rsid w:val="00491901"/>
    <w:rsid w:val="00491948"/>
    <w:rsid w:val="00491970"/>
    <w:rsid w:val="00491974"/>
    <w:rsid w:val="00491988"/>
    <w:rsid w:val="004919A3"/>
    <w:rsid w:val="00491A9E"/>
    <w:rsid w:val="00491ADB"/>
    <w:rsid w:val="00491AE7"/>
    <w:rsid w:val="00491B9C"/>
    <w:rsid w:val="00491BD3"/>
    <w:rsid w:val="00491BDA"/>
    <w:rsid w:val="00491BE8"/>
    <w:rsid w:val="00491C1D"/>
    <w:rsid w:val="00491C5F"/>
    <w:rsid w:val="00491C71"/>
    <w:rsid w:val="00491C7B"/>
    <w:rsid w:val="00491CAF"/>
    <w:rsid w:val="00491CCD"/>
    <w:rsid w:val="00491D13"/>
    <w:rsid w:val="00491D54"/>
    <w:rsid w:val="00491DA0"/>
    <w:rsid w:val="00491DBC"/>
    <w:rsid w:val="00491E00"/>
    <w:rsid w:val="00491E36"/>
    <w:rsid w:val="00491E69"/>
    <w:rsid w:val="00491E6F"/>
    <w:rsid w:val="00491E93"/>
    <w:rsid w:val="00491EEA"/>
    <w:rsid w:val="00491F0A"/>
    <w:rsid w:val="00491F14"/>
    <w:rsid w:val="00491F25"/>
    <w:rsid w:val="00491F37"/>
    <w:rsid w:val="00491F8E"/>
    <w:rsid w:val="00491FBE"/>
    <w:rsid w:val="00491FCD"/>
    <w:rsid w:val="00492060"/>
    <w:rsid w:val="00492079"/>
    <w:rsid w:val="004920A2"/>
    <w:rsid w:val="004920B4"/>
    <w:rsid w:val="004920CD"/>
    <w:rsid w:val="0049212B"/>
    <w:rsid w:val="00492137"/>
    <w:rsid w:val="00492166"/>
    <w:rsid w:val="00492185"/>
    <w:rsid w:val="004921DC"/>
    <w:rsid w:val="0049221C"/>
    <w:rsid w:val="0049222E"/>
    <w:rsid w:val="00492245"/>
    <w:rsid w:val="0049225F"/>
    <w:rsid w:val="0049233B"/>
    <w:rsid w:val="00492388"/>
    <w:rsid w:val="004923D9"/>
    <w:rsid w:val="00492422"/>
    <w:rsid w:val="0049242B"/>
    <w:rsid w:val="00492481"/>
    <w:rsid w:val="004924AC"/>
    <w:rsid w:val="004924BA"/>
    <w:rsid w:val="00492524"/>
    <w:rsid w:val="0049259F"/>
    <w:rsid w:val="0049260D"/>
    <w:rsid w:val="0049269E"/>
    <w:rsid w:val="004926AA"/>
    <w:rsid w:val="00492711"/>
    <w:rsid w:val="004927A2"/>
    <w:rsid w:val="004927AF"/>
    <w:rsid w:val="004927F9"/>
    <w:rsid w:val="0049288A"/>
    <w:rsid w:val="004928F8"/>
    <w:rsid w:val="00492948"/>
    <w:rsid w:val="00492991"/>
    <w:rsid w:val="004929CA"/>
    <w:rsid w:val="00492A39"/>
    <w:rsid w:val="00492A99"/>
    <w:rsid w:val="00492AE3"/>
    <w:rsid w:val="00492B0E"/>
    <w:rsid w:val="00492B5B"/>
    <w:rsid w:val="00492B61"/>
    <w:rsid w:val="00492B8C"/>
    <w:rsid w:val="00492B99"/>
    <w:rsid w:val="00492BA2"/>
    <w:rsid w:val="00492BD5"/>
    <w:rsid w:val="00492BE3"/>
    <w:rsid w:val="00492C2B"/>
    <w:rsid w:val="00492C40"/>
    <w:rsid w:val="00492C65"/>
    <w:rsid w:val="00492C7F"/>
    <w:rsid w:val="00492C87"/>
    <w:rsid w:val="00492CFA"/>
    <w:rsid w:val="00492D54"/>
    <w:rsid w:val="00492DB7"/>
    <w:rsid w:val="00492DEE"/>
    <w:rsid w:val="00492F32"/>
    <w:rsid w:val="00492F3E"/>
    <w:rsid w:val="00492F56"/>
    <w:rsid w:val="00492F9A"/>
    <w:rsid w:val="0049300C"/>
    <w:rsid w:val="00493018"/>
    <w:rsid w:val="00493063"/>
    <w:rsid w:val="004930DE"/>
    <w:rsid w:val="004930E8"/>
    <w:rsid w:val="004930ED"/>
    <w:rsid w:val="004930F2"/>
    <w:rsid w:val="004932A1"/>
    <w:rsid w:val="004932AE"/>
    <w:rsid w:val="004932CF"/>
    <w:rsid w:val="00493335"/>
    <w:rsid w:val="0049333B"/>
    <w:rsid w:val="00493357"/>
    <w:rsid w:val="00493361"/>
    <w:rsid w:val="00493384"/>
    <w:rsid w:val="004933DF"/>
    <w:rsid w:val="004933E1"/>
    <w:rsid w:val="0049345D"/>
    <w:rsid w:val="00493497"/>
    <w:rsid w:val="004934BB"/>
    <w:rsid w:val="004934BF"/>
    <w:rsid w:val="004935B8"/>
    <w:rsid w:val="004935CC"/>
    <w:rsid w:val="004935EE"/>
    <w:rsid w:val="00493603"/>
    <w:rsid w:val="00493640"/>
    <w:rsid w:val="00493651"/>
    <w:rsid w:val="00493667"/>
    <w:rsid w:val="0049368C"/>
    <w:rsid w:val="004936E5"/>
    <w:rsid w:val="0049372B"/>
    <w:rsid w:val="0049374F"/>
    <w:rsid w:val="00493796"/>
    <w:rsid w:val="00493803"/>
    <w:rsid w:val="0049381C"/>
    <w:rsid w:val="0049382A"/>
    <w:rsid w:val="0049384A"/>
    <w:rsid w:val="004938C5"/>
    <w:rsid w:val="00493919"/>
    <w:rsid w:val="00493944"/>
    <w:rsid w:val="00493993"/>
    <w:rsid w:val="00493A16"/>
    <w:rsid w:val="00493A4F"/>
    <w:rsid w:val="00493A95"/>
    <w:rsid w:val="00493AAD"/>
    <w:rsid w:val="00493B4F"/>
    <w:rsid w:val="00493B55"/>
    <w:rsid w:val="00493B5E"/>
    <w:rsid w:val="00493B6F"/>
    <w:rsid w:val="00493B9E"/>
    <w:rsid w:val="00493BA5"/>
    <w:rsid w:val="00493BE7"/>
    <w:rsid w:val="00493CD6"/>
    <w:rsid w:val="00493D1F"/>
    <w:rsid w:val="00493D64"/>
    <w:rsid w:val="00493D6C"/>
    <w:rsid w:val="00493DCD"/>
    <w:rsid w:val="00493E1D"/>
    <w:rsid w:val="00493E53"/>
    <w:rsid w:val="00493F08"/>
    <w:rsid w:val="00494009"/>
    <w:rsid w:val="0049406F"/>
    <w:rsid w:val="004940B5"/>
    <w:rsid w:val="004940BE"/>
    <w:rsid w:val="00494173"/>
    <w:rsid w:val="0049426B"/>
    <w:rsid w:val="00494298"/>
    <w:rsid w:val="00494322"/>
    <w:rsid w:val="00494354"/>
    <w:rsid w:val="00494397"/>
    <w:rsid w:val="004943A5"/>
    <w:rsid w:val="004943BB"/>
    <w:rsid w:val="004943DE"/>
    <w:rsid w:val="00494401"/>
    <w:rsid w:val="00494414"/>
    <w:rsid w:val="00494433"/>
    <w:rsid w:val="0049444E"/>
    <w:rsid w:val="004944B2"/>
    <w:rsid w:val="004944E3"/>
    <w:rsid w:val="00494515"/>
    <w:rsid w:val="00494552"/>
    <w:rsid w:val="0049455E"/>
    <w:rsid w:val="004945D0"/>
    <w:rsid w:val="00494602"/>
    <w:rsid w:val="0049461E"/>
    <w:rsid w:val="00494667"/>
    <w:rsid w:val="00494698"/>
    <w:rsid w:val="004946CA"/>
    <w:rsid w:val="004946FD"/>
    <w:rsid w:val="0049476C"/>
    <w:rsid w:val="00494779"/>
    <w:rsid w:val="0049478F"/>
    <w:rsid w:val="0049480D"/>
    <w:rsid w:val="004948E0"/>
    <w:rsid w:val="0049496C"/>
    <w:rsid w:val="004949A5"/>
    <w:rsid w:val="004949CC"/>
    <w:rsid w:val="00494A03"/>
    <w:rsid w:val="00494A1E"/>
    <w:rsid w:val="00494AC7"/>
    <w:rsid w:val="00494B1E"/>
    <w:rsid w:val="00494B62"/>
    <w:rsid w:val="00494B73"/>
    <w:rsid w:val="00494BB1"/>
    <w:rsid w:val="00494BB2"/>
    <w:rsid w:val="00494C05"/>
    <w:rsid w:val="00494C60"/>
    <w:rsid w:val="00494C8A"/>
    <w:rsid w:val="00494C91"/>
    <w:rsid w:val="00494CB4"/>
    <w:rsid w:val="00494CE4"/>
    <w:rsid w:val="00494D2C"/>
    <w:rsid w:val="00494D2D"/>
    <w:rsid w:val="00494D57"/>
    <w:rsid w:val="00494D81"/>
    <w:rsid w:val="00494DBB"/>
    <w:rsid w:val="00494E00"/>
    <w:rsid w:val="00494E61"/>
    <w:rsid w:val="00494E62"/>
    <w:rsid w:val="00494E74"/>
    <w:rsid w:val="00494EFA"/>
    <w:rsid w:val="00494F20"/>
    <w:rsid w:val="00494F4D"/>
    <w:rsid w:val="00494F5E"/>
    <w:rsid w:val="00495060"/>
    <w:rsid w:val="004950E5"/>
    <w:rsid w:val="0049511E"/>
    <w:rsid w:val="0049516E"/>
    <w:rsid w:val="004951FD"/>
    <w:rsid w:val="00495231"/>
    <w:rsid w:val="0049533A"/>
    <w:rsid w:val="00495368"/>
    <w:rsid w:val="0049539F"/>
    <w:rsid w:val="00495408"/>
    <w:rsid w:val="00495426"/>
    <w:rsid w:val="00495443"/>
    <w:rsid w:val="00495481"/>
    <w:rsid w:val="004954E8"/>
    <w:rsid w:val="00495516"/>
    <w:rsid w:val="00495549"/>
    <w:rsid w:val="004955B0"/>
    <w:rsid w:val="00495625"/>
    <w:rsid w:val="00495675"/>
    <w:rsid w:val="004956BE"/>
    <w:rsid w:val="004956CA"/>
    <w:rsid w:val="004956E1"/>
    <w:rsid w:val="004956ED"/>
    <w:rsid w:val="0049572C"/>
    <w:rsid w:val="00495737"/>
    <w:rsid w:val="004957CE"/>
    <w:rsid w:val="004957D4"/>
    <w:rsid w:val="004957F7"/>
    <w:rsid w:val="00495804"/>
    <w:rsid w:val="0049583E"/>
    <w:rsid w:val="0049583F"/>
    <w:rsid w:val="004958AF"/>
    <w:rsid w:val="004958B3"/>
    <w:rsid w:val="004958BC"/>
    <w:rsid w:val="004958CD"/>
    <w:rsid w:val="00495935"/>
    <w:rsid w:val="00495943"/>
    <w:rsid w:val="00495949"/>
    <w:rsid w:val="00495973"/>
    <w:rsid w:val="004959B3"/>
    <w:rsid w:val="004959B9"/>
    <w:rsid w:val="00495A0D"/>
    <w:rsid w:val="00495A74"/>
    <w:rsid w:val="00495A80"/>
    <w:rsid w:val="00495A85"/>
    <w:rsid w:val="00495AF7"/>
    <w:rsid w:val="00495B09"/>
    <w:rsid w:val="00495B0D"/>
    <w:rsid w:val="00495B1C"/>
    <w:rsid w:val="00495B49"/>
    <w:rsid w:val="00495B71"/>
    <w:rsid w:val="00495BA0"/>
    <w:rsid w:val="00495BB9"/>
    <w:rsid w:val="00495C5D"/>
    <w:rsid w:val="00495C74"/>
    <w:rsid w:val="00495C79"/>
    <w:rsid w:val="00495CB6"/>
    <w:rsid w:val="00495CDF"/>
    <w:rsid w:val="00495CFA"/>
    <w:rsid w:val="00495D3A"/>
    <w:rsid w:val="00495D85"/>
    <w:rsid w:val="00495DBB"/>
    <w:rsid w:val="00495DE6"/>
    <w:rsid w:val="00495DED"/>
    <w:rsid w:val="00495E09"/>
    <w:rsid w:val="00495E34"/>
    <w:rsid w:val="00495E6C"/>
    <w:rsid w:val="00495E78"/>
    <w:rsid w:val="00495ED5"/>
    <w:rsid w:val="00495ED6"/>
    <w:rsid w:val="00495F4D"/>
    <w:rsid w:val="00495F52"/>
    <w:rsid w:val="00495F81"/>
    <w:rsid w:val="00496006"/>
    <w:rsid w:val="0049602D"/>
    <w:rsid w:val="004960B4"/>
    <w:rsid w:val="004960DB"/>
    <w:rsid w:val="0049610F"/>
    <w:rsid w:val="0049612A"/>
    <w:rsid w:val="0049618F"/>
    <w:rsid w:val="0049619C"/>
    <w:rsid w:val="0049623C"/>
    <w:rsid w:val="0049627C"/>
    <w:rsid w:val="0049627F"/>
    <w:rsid w:val="00496280"/>
    <w:rsid w:val="004962B8"/>
    <w:rsid w:val="00496301"/>
    <w:rsid w:val="00496324"/>
    <w:rsid w:val="00496357"/>
    <w:rsid w:val="00496382"/>
    <w:rsid w:val="004963E4"/>
    <w:rsid w:val="00496455"/>
    <w:rsid w:val="00496481"/>
    <w:rsid w:val="00496510"/>
    <w:rsid w:val="00496516"/>
    <w:rsid w:val="00496534"/>
    <w:rsid w:val="00496576"/>
    <w:rsid w:val="004965D7"/>
    <w:rsid w:val="004965E2"/>
    <w:rsid w:val="004965FB"/>
    <w:rsid w:val="00496631"/>
    <w:rsid w:val="00496632"/>
    <w:rsid w:val="0049664B"/>
    <w:rsid w:val="0049664C"/>
    <w:rsid w:val="0049666C"/>
    <w:rsid w:val="00496676"/>
    <w:rsid w:val="00496699"/>
    <w:rsid w:val="004966B2"/>
    <w:rsid w:val="004966EF"/>
    <w:rsid w:val="00496735"/>
    <w:rsid w:val="0049673F"/>
    <w:rsid w:val="004967BB"/>
    <w:rsid w:val="004967D5"/>
    <w:rsid w:val="004967E6"/>
    <w:rsid w:val="00496813"/>
    <w:rsid w:val="00496892"/>
    <w:rsid w:val="0049689D"/>
    <w:rsid w:val="004968A8"/>
    <w:rsid w:val="00496918"/>
    <w:rsid w:val="00496947"/>
    <w:rsid w:val="00496988"/>
    <w:rsid w:val="0049698C"/>
    <w:rsid w:val="004969AC"/>
    <w:rsid w:val="004969BC"/>
    <w:rsid w:val="00496A2C"/>
    <w:rsid w:val="00496ABF"/>
    <w:rsid w:val="00496AE6"/>
    <w:rsid w:val="00496AF8"/>
    <w:rsid w:val="00496B04"/>
    <w:rsid w:val="00496B14"/>
    <w:rsid w:val="00496B1A"/>
    <w:rsid w:val="00496B5D"/>
    <w:rsid w:val="00496B92"/>
    <w:rsid w:val="00496C1D"/>
    <w:rsid w:val="00496C35"/>
    <w:rsid w:val="00496C83"/>
    <w:rsid w:val="00496C87"/>
    <w:rsid w:val="00496CC0"/>
    <w:rsid w:val="00496CE9"/>
    <w:rsid w:val="00496D3C"/>
    <w:rsid w:val="00496D53"/>
    <w:rsid w:val="00496D70"/>
    <w:rsid w:val="00496D8E"/>
    <w:rsid w:val="00496E0C"/>
    <w:rsid w:val="00496EB7"/>
    <w:rsid w:val="00496F10"/>
    <w:rsid w:val="00496F21"/>
    <w:rsid w:val="00496F9A"/>
    <w:rsid w:val="00496FA8"/>
    <w:rsid w:val="00496FD1"/>
    <w:rsid w:val="00496FD3"/>
    <w:rsid w:val="0049702A"/>
    <w:rsid w:val="00497091"/>
    <w:rsid w:val="004970AC"/>
    <w:rsid w:val="004970DE"/>
    <w:rsid w:val="00497143"/>
    <w:rsid w:val="00497162"/>
    <w:rsid w:val="004971A4"/>
    <w:rsid w:val="004971B3"/>
    <w:rsid w:val="004971B5"/>
    <w:rsid w:val="004971BF"/>
    <w:rsid w:val="004971E9"/>
    <w:rsid w:val="00497253"/>
    <w:rsid w:val="00497255"/>
    <w:rsid w:val="00497297"/>
    <w:rsid w:val="004972AE"/>
    <w:rsid w:val="00497318"/>
    <w:rsid w:val="00497321"/>
    <w:rsid w:val="0049732C"/>
    <w:rsid w:val="0049732D"/>
    <w:rsid w:val="00497331"/>
    <w:rsid w:val="00497364"/>
    <w:rsid w:val="00497377"/>
    <w:rsid w:val="004973BA"/>
    <w:rsid w:val="004973E4"/>
    <w:rsid w:val="00497414"/>
    <w:rsid w:val="00497448"/>
    <w:rsid w:val="004974CF"/>
    <w:rsid w:val="004974EF"/>
    <w:rsid w:val="00497521"/>
    <w:rsid w:val="0049756D"/>
    <w:rsid w:val="0049757F"/>
    <w:rsid w:val="00497593"/>
    <w:rsid w:val="00497596"/>
    <w:rsid w:val="004975FA"/>
    <w:rsid w:val="00497606"/>
    <w:rsid w:val="00497657"/>
    <w:rsid w:val="00497663"/>
    <w:rsid w:val="004976DC"/>
    <w:rsid w:val="00497704"/>
    <w:rsid w:val="00497726"/>
    <w:rsid w:val="0049772B"/>
    <w:rsid w:val="00497730"/>
    <w:rsid w:val="004977E2"/>
    <w:rsid w:val="004977F3"/>
    <w:rsid w:val="0049784E"/>
    <w:rsid w:val="0049787B"/>
    <w:rsid w:val="0049789B"/>
    <w:rsid w:val="004978BC"/>
    <w:rsid w:val="004978EB"/>
    <w:rsid w:val="0049790C"/>
    <w:rsid w:val="004979DB"/>
    <w:rsid w:val="00497A03"/>
    <w:rsid w:val="00497A06"/>
    <w:rsid w:val="00497A32"/>
    <w:rsid w:val="00497A3E"/>
    <w:rsid w:val="00497A61"/>
    <w:rsid w:val="00497A91"/>
    <w:rsid w:val="00497AB3"/>
    <w:rsid w:val="00497AB4"/>
    <w:rsid w:val="00497B21"/>
    <w:rsid w:val="00497B2E"/>
    <w:rsid w:val="00497B35"/>
    <w:rsid w:val="00497BDE"/>
    <w:rsid w:val="00497C44"/>
    <w:rsid w:val="00497C97"/>
    <w:rsid w:val="00497CA0"/>
    <w:rsid w:val="00497D01"/>
    <w:rsid w:val="00497D49"/>
    <w:rsid w:val="00497D69"/>
    <w:rsid w:val="00497D86"/>
    <w:rsid w:val="00497D88"/>
    <w:rsid w:val="00497DDB"/>
    <w:rsid w:val="00497DFE"/>
    <w:rsid w:val="00497EDA"/>
    <w:rsid w:val="00497EED"/>
    <w:rsid w:val="00497F0B"/>
    <w:rsid w:val="00497FA0"/>
    <w:rsid w:val="00497FA5"/>
    <w:rsid w:val="00497FB5"/>
    <w:rsid w:val="00497FB9"/>
    <w:rsid w:val="00497FD7"/>
    <w:rsid w:val="00497FE7"/>
    <w:rsid w:val="004A0006"/>
    <w:rsid w:val="004A0008"/>
    <w:rsid w:val="004A0052"/>
    <w:rsid w:val="004A008F"/>
    <w:rsid w:val="004A010F"/>
    <w:rsid w:val="004A011D"/>
    <w:rsid w:val="004A0172"/>
    <w:rsid w:val="004A01FD"/>
    <w:rsid w:val="004A0207"/>
    <w:rsid w:val="004A023F"/>
    <w:rsid w:val="004A0240"/>
    <w:rsid w:val="004A0255"/>
    <w:rsid w:val="004A0267"/>
    <w:rsid w:val="004A028B"/>
    <w:rsid w:val="004A02B0"/>
    <w:rsid w:val="004A02D9"/>
    <w:rsid w:val="004A0305"/>
    <w:rsid w:val="004A0346"/>
    <w:rsid w:val="004A0350"/>
    <w:rsid w:val="004A04A4"/>
    <w:rsid w:val="004A04BF"/>
    <w:rsid w:val="004A050B"/>
    <w:rsid w:val="004A052F"/>
    <w:rsid w:val="004A055A"/>
    <w:rsid w:val="004A0574"/>
    <w:rsid w:val="004A059B"/>
    <w:rsid w:val="004A05A2"/>
    <w:rsid w:val="004A05AB"/>
    <w:rsid w:val="004A05CC"/>
    <w:rsid w:val="004A05CF"/>
    <w:rsid w:val="004A05E3"/>
    <w:rsid w:val="004A05E8"/>
    <w:rsid w:val="004A060B"/>
    <w:rsid w:val="004A067B"/>
    <w:rsid w:val="004A069A"/>
    <w:rsid w:val="004A0758"/>
    <w:rsid w:val="004A075F"/>
    <w:rsid w:val="004A0785"/>
    <w:rsid w:val="004A085F"/>
    <w:rsid w:val="004A08B9"/>
    <w:rsid w:val="004A0901"/>
    <w:rsid w:val="004A092F"/>
    <w:rsid w:val="004A0933"/>
    <w:rsid w:val="004A0947"/>
    <w:rsid w:val="004A0958"/>
    <w:rsid w:val="004A09EF"/>
    <w:rsid w:val="004A09F3"/>
    <w:rsid w:val="004A0A3E"/>
    <w:rsid w:val="004A0A6F"/>
    <w:rsid w:val="004A0ABF"/>
    <w:rsid w:val="004A0AE9"/>
    <w:rsid w:val="004A0B86"/>
    <w:rsid w:val="004A0B94"/>
    <w:rsid w:val="004A0CD5"/>
    <w:rsid w:val="004A0CFD"/>
    <w:rsid w:val="004A0D58"/>
    <w:rsid w:val="004A0D81"/>
    <w:rsid w:val="004A0DA2"/>
    <w:rsid w:val="004A0E03"/>
    <w:rsid w:val="004A0E3B"/>
    <w:rsid w:val="004A0EB3"/>
    <w:rsid w:val="004A0F26"/>
    <w:rsid w:val="004A0F27"/>
    <w:rsid w:val="004A0F28"/>
    <w:rsid w:val="004A0F49"/>
    <w:rsid w:val="004A0F52"/>
    <w:rsid w:val="004A0FCF"/>
    <w:rsid w:val="004A1003"/>
    <w:rsid w:val="004A102C"/>
    <w:rsid w:val="004A109D"/>
    <w:rsid w:val="004A10CB"/>
    <w:rsid w:val="004A10FB"/>
    <w:rsid w:val="004A1164"/>
    <w:rsid w:val="004A1192"/>
    <w:rsid w:val="004A1198"/>
    <w:rsid w:val="004A119F"/>
    <w:rsid w:val="004A11AD"/>
    <w:rsid w:val="004A11B8"/>
    <w:rsid w:val="004A11BD"/>
    <w:rsid w:val="004A11DC"/>
    <w:rsid w:val="004A1292"/>
    <w:rsid w:val="004A12BC"/>
    <w:rsid w:val="004A12C1"/>
    <w:rsid w:val="004A1323"/>
    <w:rsid w:val="004A134E"/>
    <w:rsid w:val="004A13A6"/>
    <w:rsid w:val="004A13C0"/>
    <w:rsid w:val="004A13C5"/>
    <w:rsid w:val="004A13C6"/>
    <w:rsid w:val="004A13F3"/>
    <w:rsid w:val="004A1409"/>
    <w:rsid w:val="004A1416"/>
    <w:rsid w:val="004A146C"/>
    <w:rsid w:val="004A147A"/>
    <w:rsid w:val="004A1481"/>
    <w:rsid w:val="004A14E9"/>
    <w:rsid w:val="004A155A"/>
    <w:rsid w:val="004A1564"/>
    <w:rsid w:val="004A1589"/>
    <w:rsid w:val="004A1591"/>
    <w:rsid w:val="004A15AF"/>
    <w:rsid w:val="004A15C2"/>
    <w:rsid w:val="004A15E1"/>
    <w:rsid w:val="004A163E"/>
    <w:rsid w:val="004A1658"/>
    <w:rsid w:val="004A165F"/>
    <w:rsid w:val="004A16AD"/>
    <w:rsid w:val="004A16C1"/>
    <w:rsid w:val="004A1712"/>
    <w:rsid w:val="004A1770"/>
    <w:rsid w:val="004A179D"/>
    <w:rsid w:val="004A17BC"/>
    <w:rsid w:val="004A17FB"/>
    <w:rsid w:val="004A1856"/>
    <w:rsid w:val="004A185C"/>
    <w:rsid w:val="004A18E4"/>
    <w:rsid w:val="004A18EF"/>
    <w:rsid w:val="004A18F9"/>
    <w:rsid w:val="004A193F"/>
    <w:rsid w:val="004A1970"/>
    <w:rsid w:val="004A197E"/>
    <w:rsid w:val="004A19B1"/>
    <w:rsid w:val="004A19BA"/>
    <w:rsid w:val="004A19D1"/>
    <w:rsid w:val="004A19E0"/>
    <w:rsid w:val="004A1A37"/>
    <w:rsid w:val="004A1ADC"/>
    <w:rsid w:val="004A1AEC"/>
    <w:rsid w:val="004A1B08"/>
    <w:rsid w:val="004A1B24"/>
    <w:rsid w:val="004A1B6A"/>
    <w:rsid w:val="004A1BD3"/>
    <w:rsid w:val="004A1C04"/>
    <w:rsid w:val="004A1C88"/>
    <w:rsid w:val="004A1C8F"/>
    <w:rsid w:val="004A1D8E"/>
    <w:rsid w:val="004A1D90"/>
    <w:rsid w:val="004A1D9E"/>
    <w:rsid w:val="004A1DB4"/>
    <w:rsid w:val="004A1DFD"/>
    <w:rsid w:val="004A1EC6"/>
    <w:rsid w:val="004A1EE8"/>
    <w:rsid w:val="004A1F18"/>
    <w:rsid w:val="004A1F8E"/>
    <w:rsid w:val="004A1F90"/>
    <w:rsid w:val="004A1F98"/>
    <w:rsid w:val="004A2019"/>
    <w:rsid w:val="004A2074"/>
    <w:rsid w:val="004A20BD"/>
    <w:rsid w:val="004A20C5"/>
    <w:rsid w:val="004A2109"/>
    <w:rsid w:val="004A2112"/>
    <w:rsid w:val="004A2118"/>
    <w:rsid w:val="004A21DB"/>
    <w:rsid w:val="004A2201"/>
    <w:rsid w:val="004A227B"/>
    <w:rsid w:val="004A2295"/>
    <w:rsid w:val="004A22EF"/>
    <w:rsid w:val="004A2308"/>
    <w:rsid w:val="004A233C"/>
    <w:rsid w:val="004A239A"/>
    <w:rsid w:val="004A23A3"/>
    <w:rsid w:val="004A23C3"/>
    <w:rsid w:val="004A23C7"/>
    <w:rsid w:val="004A2428"/>
    <w:rsid w:val="004A2474"/>
    <w:rsid w:val="004A2497"/>
    <w:rsid w:val="004A24A7"/>
    <w:rsid w:val="004A24FA"/>
    <w:rsid w:val="004A2523"/>
    <w:rsid w:val="004A2537"/>
    <w:rsid w:val="004A2543"/>
    <w:rsid w:val="004A254D"/>
    <w:rsid w:val="004A2550"/>
    <w:rsid w:val="004A2576"/>
    <w:rsid w:val="004A258D"/>
    <w:rsid w:val="004A2598"/>
    <w:rsid w:val="004A25E7"/>
    <w:rsid w:val="004A2605"/>
    <w:rsid w:val="004A260D"/>
    <w:rsid w:val="004A266E"/>
    <w:rsid w:val="004A26B0"/>
    <w:rsid w:val="004A26F3"/>
    <w:rsid w:val="004A2706"/>
    <w:rsid w:val="004A2745"/>
    <w:rsid w:val="004A2754"/>
    <w:rsid w:val="004A2758"/>
    <w:rsid w:val="004A275C"/>
    <w:rsid w:val="004A2773"/>
    <w:rsid w:val="004A2784"/>
    <w:rsid w:val="004A27AD"/>
    <w:rsid w:val="004A27D1"/>
    <w:rsid w:val="004A27EE"/>
    <w:rsid w:val="004A281F"/>
    <w:rsid w:val="004A2841"/>
    <w:rsid w:val="004A2870"/>
    <w:rsid w:val="004A288C"/>
    <w:rsid w:val="004A28F5"/>
    <w:rsid w:val="004A2922"/>
    <w:rsid w:val="004A293B"/>
    <w:rsid w:val="004A2960"/>
    <w:rsid w:val="004A2968"/>
    <w:rsid w:val="004A2979"/>
    <w:rsid w:val="004A29BE"/>
    <w:rsid w:val="004A29CC"/>
    <w:rsid w:val="004A29F1"/>
    <w:rsid w:val="004A2A11"/>
    <w:rsid w:val="004A2A15"/>
    <w:rsid w:val="004A2A8F"/>
    <w:rsid w:val="004A2A93"/>
    <w:rsid w:val="004A2AA4"/>
    <w:rsid w:val="004A2AA6"/>
    <w:rsid w:val="004A2BB8"/>
    <w:rsid w:val="004A2BC4"/>
    <w:rsid w:val="004A2BCE"/>
    <w:rsid w:val="004A2BF6"/>
    <w:rsid w:val="004A2C06"/>
    <w:rsid w:val="004A2C25"/>
    <w:rsid w:val="004A2C36"/>
    <w:rsid w:val="004A2C43"/>
    <w:rsid w:val="004A2CA5"/>
    <w:rsid w:val="004A2CBE"/>
    <w:rsid w:val="004A2D42"/>
    <w:rsid w:val="004A2D74"/>
    <w:rsid w:val="004A2D8A"/>
    <w:rsid w:val="004A2DC4"/>
    <w:rsid w:val="004A2E4A"/>
    <w:rsid w:val="004A2E89"/>
    <w:rsid w:val="004A2E95"/>
    <w:rsid w:val="004A2EA3"/>
    <w:rsid w:val="004A2EAA"/>
    <w:rsid w:val="004A2EB2"/>
    <w:rsid w:val="004A2EDB"/>
    <w:rsid w:val="004A2F3C"/>
    <w:rsid w:val="004A2F61"/>
    <w:rsid w:val="004A2FE8"/>
    <w:rsid w:val="004A301A"/>
    <w:rsid w:val="004A3032"/>
    <w:rsid w:val="004A303B"/>
    <w:rsid w:val="004A3043"/>
    <w:rsid w:val="004A3074"/>
    <w:rsid w:val="004A3085"/>
    <w:rsid w:val="004A3182"/>
    <w:rsid w:val="004A3209"/>
    <w:rsid w:val="004A320C"/>
    <w:rsid w:val="004A3218"/>
    <w:rsid w:val="004A3228"/>
    <w:rsid w:val="004A3264"/>
    <w:rsid w:val="004A32A8"/>
    <w:rsid w:val="004A32B2"/>
    <w:rsid w:val="004A33F0"/>
    <w:rsid w:val="004A3456"/>
    <w:rsid w:val="004A3494"/>
    <w:rsid w:val="004A349E"/>
    <w:rsid w:val="004A34A5"/>
    <w:rsid w:val="004A34BA"/>
    <w:rsid w:val="004A34C3"/>
    <w:rsid w:val="004A3505"/>
    <w:rsid w:val="004A354D"/>
    <w:rsid w:val="004A3550"/>
    <w:rsid w:val="004A3563"/>
    <w:rsid w:val="004A3567"/>
    <w:rsid w:val="004A3583"/>
    <w:rsid w:val="004A35B3"/>
    <w:rsid w:val="004A365C"/>
    <w:rsid w:val="004A369F"/>
    <w:rsid w:val="004A36A4"/>
    <w:rsid w:val="004A36C5"/>
    <w:rsid w:val="004A3706"/>
    <w:rsid w:val="004A3726"/>
    <w:rsid w:val="004A37E8"/>
    <w:rsid w:val="004A380B"/>
    <w:rsid w:val="004A3820"/>
    <w:rsid w:val="004A383B"/>
    <w:rsid w:val="004A385A"/>
    <w:rsid w:val="004A3876"/>
    <w:rsid w:val="004A38B4"/>
    <w:rsid w:val="004A38F6"/>
    <w:rsid w:val="004A390B"/>
    <w:rsid w:val="004A3947"/>
    <w:rsid w:val="004A3973"/>
    <w:rsid w:val="004A397C"/>
    <w:rsid w:val="004A39C7"/>
    <w:rsid w:val="004A3A02"/>
    <w:rsid w:val="004A3A67"/>
    <w:rsid w:val="004A3AAC"/>
    <w:rsid w:val="004A3AF5"/>
    <w:rsid w:val="004A3B09"/>
    <w:rsid w:val="004A3B9C"/>
    <w:rsid w:val="004A3BDF"/>
    <w:rsid w:val="004A3BE0"/>
    <w:rsid w:val="004A3C3F"/>
    <w:rsid w:val="004A3C6B"/>
    <w:rsid w:val="004A3C8E"/>
    <w:rsid w:val="004A3D0F"/>
    <w:rsid w:val="004A3D58"/>
    <w:rsid w:val="004A3D77"/>
    <w:rsid w:val="004A3D7F"/>
    <w:rsid w:val="004A3D90"/>
    <w:rsid w:val="004A3DC1"/>
    <w:rsid w:val="004A3E5D"/>
    <w:rsid w:val="004A3E88"/>
    <w:rsid w:val="004A3EBF"/>
    <w:rsid w:val="004A3EC7"/>
    <w:rsid w:val="004A3ECF"/>
    <w:rsid w:val="004A3ED1"/>
    <w:rsid w:val="004A3F05"/>
    <w:rsid w:val="004A3F17"/>
    <w:rsid w:val="004A3FBE"/>
    <w:rsid w:val="004A4012"/>
    <w:rsid w:val="004A4027"/>
    <w:rsid w:val="004A403F"/>
    <w:rsid w:val="004A405C"/>
    <w:rsid w:val="004A40FA"/>
    <w:rsid w:val="004A410B"/>
    <w:rsid w:val="004A41A5"/>
    <w:rsid w:val="004A41CD"/>
    <w:rsid w:val="004A41FB"/>
    <w:rsid w:val="004A421D"/>
    <w:rsid w:val="004A4240"/>
    <w:rsid w:val="004A426A"/>
    <w:rsid w:val="004A427F"/>
    <w:rsid w:val="004A4312"/>
    <w:rsid w:val="004A432A"/>
    <w:rsid w:val="004A4394"/>
    <w:rsid w:val="004A439D"/>
    <w:rsid w:val="004A4492"/>
    <w:rsid w:val="004A449C"/>
    <w:rsid w:val="004A44B0"/>
    <w:rsid w:val="004A44E3"/>
    <w:rsid w:val="004A4503"/>
    <w:rsid w:val="004A4517"/>
    <w:rsid w:val="004A452C"/>
    <w:rsid w:val="004A458D"/>
    <w:rsid w:val="004A4619"/>
    <w:rsid w:val="004A4622"/>
    <w:rsid w:val="004A462B"/>
    <w:rsid w:val="004A4631"/>
    <w:rsid w:val="004A4644"/>
    <w:rsid w:val="004A465E"/>
    <w:rsid w:val="004A4661"/>
    <w:rsid w:val="004A4665"/>
    <w:rsid w:val="004A46BF"/>
    <w:rsid w:val="004A46EA"/>
    <w:rsid w:val="004A4720"/>
    <w:rsid w:val="004A4741"/>
    <w:rsid w:val="004A474B"/>
    <w:rsid w:val="004A47A2"/>
    <w:rsid w:val="004A47F1"/>
    <w:rsid w:val="004A4816"/>
    <w:rsid w:val="004A485B"/>
    <w:rsid w:val="004A4891"/>
    <w:rsid w:val="004A4894"/>
    <w:rsid w:val="004A48B1"/>
    <w:rsid w:val="004A48CC"/>
    <w:rsid w:val="004A48F7"/>
    <w:rsid w:val="004A4960"/>
    <w:rsid w:val="004A4967"/>
    <w:rsid w:val="004A4977"/>
    <w:rsid w:val="004A49DA"/>
    <w:rsid w:val="004A4A42"/>
    <w:rsid w:val="004A4A58"/>
    <w:rsid w:val="004A4A59"/>
    <w:rsid w:val="004A4A7F"/>
    <w:rsid w:val="004A4AB3"/>
    <w:rsid w:val="004A4AC7"/>
    <w:rsid w:val="004A4AE5"/>
    <w:rsid w:val="004A4B8E"/>
    <w:rsid w:val="004A4BA5"/>
    <w:rsid w:val="004A4BEE"/>
    <w:rsid w:val="004A4C90"/>
    <w:rsid w:val="004A4CD4"/>
    <w:rsid w:val="004A4D13"/>
    <w:rsid w:val="004A4D18"/>
    <w:rsid w:val="004A4D80"/>
    <w:rsid w:val="004A4DAD"/>
    <w:rsid w:val="004A4DB6"/>
    <w:rsid w:val="004A4E0A"/>
    <w:rsid w:val="004A4E66"/>
    <w:rsid w:val="004A4EB4"/>
    <w:rsid w:val="004A4EC8"/>
    <w:rsid w:val="004A4EF1"/>
    <w:rsid w:val="004A4EFF"/>
    <w:rsid w:val="004A4F04"/>
    <w:rsid w:val="004A4F16"/>
    <w:rsid w:val="004A4F4A"/>
    <w:rsid w:val="004A4F4D"/>
    <w:rsid w:val="004A4F89"/>
    <w:rsid w:val="004A4FB0"/>
    <w:rsid w:val="004A4FBF"/>
    <w:rsid w:val="004A4FDB"/>
    <w:rsid w:val="004A5097"/>
    <w:rsid w:val="004A50A8"/>
    <w:rsid w:val="004A5141"/>
    <w:rsid w:val="004A519B"/>
    <w:rsid w:val="004A51CD"/>
    <w:rsid w:val="004A521B"/>
    <w:rsid w:val="004A5249"/>
    <w:rsid w:val="004A5267"/>
    <w:rsid w:val="004A5332"/>
    <w:rsid w:val="004A539B"/>
    <w:rsid w:val="004A53DB"/>
    <w:rsid w:val="004A53ED"/>
    <w:rsid w:val="004A54BE"/>
    <w:rsid w:val="004A54C8"/>
    <w:rsid w:val="004A54DC"/>
    <w:rsid w:val="004A54EF"/>
    <w:rsid w:val="004A55F9"/>
    <w:rsid w:val="004A5605"/>
    <w:rsid w:val="004A5644"/>
    <w:rsid w:val="004A565D"/>
    <w:rsid w:val="004A567A"/>
    <w:rsid w:val="004A5698"/>
    <w:rsid w:val="004A56A2"/>
    <w:rsid w:val="004A5706"/>
    <w:rsid w:val="004A5721"/>
    <w:rsid w:val="004A5750"/>
    <w:rsid w:val="004A575E"/>
    <w:rsid w:val="004A576C"/>
    <w:rsid w:val="004A5807"/>
    <w:rsid w:val="004A583A"/>
    <w:rsid w:val="004A5844"/>
    <w:rsid w:val="004A5873"/>
    <w:rsid w:val="004A588B"/>
    <w:rsid w:val="004A5893"/>
    <w:rsid w:val="004A58C5"/>
    <w:rsid w:val="004A58E2"/>
    <w:rsid w:val="004A58F6"/>
    <w:rsid w:val="004A5905"/>
    <w:rsid w:val="004A5914"/>
    <w:rsid w:val="004A59E3"/>
    <w:rsid w:val="004A5A2D"/>
    <w:rsid w:val="004A5A59"/>
    <w:rsid w:val="004A5AD5"/>
    <w:rsid w:val="004A5B9B"/>
    <w:rsid w:val="004A5C25"/>
    <w:rsid w:val="004A5C41"/>
    <w:rsid w:val="004A5C55"/>
    <w:rsid w:val="004A5C8D"/>
    <w:rsid w:val="004A5C9E"/>
    <w:rsid w:val="004A5CB5"/>
    <w:rsid w:val="004A5D24"/>
    <w:rsid w:val="004A5D4F"/>
    <w:rsid w:val="004A5D6B"/>
    <w:rsid w:val="004A5D77"/>
    <w:rsid w:val="004A5D95"/>
    <w:rsid w:val="004A5DE1"/>
    <w:rsid w:val="004A5DFE"/>
    <w:rsid w:val="004A5E16"/>
    <w:rsid w:val="004A5E26"/>
    <w:rsid w:val="004A5EA0"/>
    <w:rsid w:val="004A5EFD"/>
    <w:rsid w:val="004A5F04"/>
    <w:rsid w:val="004A5F14"/>
    <w:rsid w:val="004A5FB7"/>
    <w:rsid w:val="004A6055"/>
    <w:rsid w:val="004A606C"/>
    <w:rsid w:val="004A6105"/>
    <w:rsid w:val="004A6146"/>
    <w:rsid w:val="004A6154"/>
    <w:rsid w:val="004A61B2"/>
    <w:rsid w:val="004A61D2"/>
    <w:rsid w:val="004A627C"/>
    <w:rsid w:val="004A635E"/>
    <w:rsid w:val="004A63D2"/>
    <w:rsid w:val="004A6428"/>
    <w:rsid w:val="004A6430"/>
    <w:rsid w:val="004A6455"/>
    <w:rsid w:val="004A647E"/>
    <w:rsid w:val="004A649C"/>
    <w:rsid w:val="004A64B1"/>
    <w:rsid w:val="004A64C8"/>
    <w:rsid w:val="004A6528"/>
    <w:rsid w:val="004A6564"/>
    <w:rsid w:val="004A6575"/>
    <w:rsid w:val="004A65AA"/>
    <w:rsid w:val="004A65E7"/>
    <w:rsid w:val="004A65EC"/>
    <w:rsid w:val="004A663F"/>
    <w:rsid w:val="004A6647"/>
    <w:rsid w:val="004A6652"/>
    <w:rsid w:val="004A6653"/>
    <w:rsid w:val="004A667B"/>
    <w:rsid w:val="004A6695"/>
    <w:rsid w:val="004A66CF"/>
    <w:rsid w:val="004A6709"/>
    <w:rsid w:val="004A6721"/>
    <w:rsid w:val="004A6724"/>
    <w:rsid w:val="004A67BB"/>
    <w:rsid w:val="004A67DA"/>
    <w:rsid w:val="004A6805"/>
    <w:rsid w:val="004A683F"/>
    <w:rsid w:val="004A6888"/>
    <w:rsid w:val="004A694E"/>
    <w:rsid w:val="004A695F"/>
    <w:rsid w:val="004A6974"/>
    <w:rsid w:val="004A6990"/>
    <w:rsid w:val="004A69AE"/>
    <w:rsid w:val="004A69CD"/>
    <w:rsid w:val="004A6A03"/>
    <w:rsid w:val="004A6A16"/>
    <w:rsid w:val="004A6A63"/>
    <w:rsid w:val="004A6A75"/>
    <w:rsid w:val="004A6AA1"/>
    <w:rsid w:val="004A6ABA"/>
    <w:rsid w:val="004A6ABC"/>
    <w:rsid w:val="004A6AC3"/>
    <w:rsid w:val="004A6ADA"/>
    <w:rsid w:val="004A6B37"/>
    <w:rsid w:val="004A6B64"/>
    <w:rsid w:val="004A6B69"/>
    <w:rsid w:val="004A6BC6"/>
    <w:rsid w:val="004A6BCB"/>
    <w:rsid w:val="004A6BD4"/>
    <w:rsid w:val="004A6BE1"/>
    <w:rsid w:val="004A6C21"/>
    <w:rsid w:val="004A6C36"/>
    <w:rsid w:val="004A6C42"/>
    <w:rsid w:val="004A6C5A"/>
    <w:rsid w:val="004A6C7F"/>
    <w:rsid w:val="004A6CAD"/>
    <w:rsid w:val="004A6CB5"/>
    <w:rsid w:val="004A6CEC"/>
    <w:rsid w:val="004A6D4F"/>
    <w:rsid w:val="004A6D64"/>
    <w:rsid w:val="004A6D73"/>
    <w:rsid w:val="004A6D90"/>
    <w:rsid w:val="004A6DAF"/>
    <w:rsid w:val="004A6DE2"/>
    <w:rsid w:val="004A6DED"/>
    <w:rsid w:val="004A6E01"/>
    <w:rsid w:val="004A6E2F"/>
    <w:rsid w:val="004A6E51"/>
    <w:rsid w:val="004A6E7A"/>
    <w:rsid w:val="004A6E96"/>
    <w:rsid w:val="004A6E9E"/>
    <w:rsid w:val="004A6F72"/>
    <w:rsid w:val="004A6F9C"/>
    <w:rsid w:val="004A6FA5"/>
    <w:rsid w:val="004A6FF7"/>
    <w:rsid w:val="004A7016"/>
    <w:rsid w:val="004A7017"/>
    <w:rsid w:val="004A708B"/>
    <w:rsid w:val="004A70AC"/>
    <w:rsid w:val="004A7207"/>
    <w:rsid w:val="004A7239"/>
    <w:rsid w:val="004A725C"/>
    <w:rsid w:val="004A7271"/>
    <w:rsid w:val="004A72E6"/>
    <w:rsid w:val="004A7322"/>
    <w:rsid w:val="004A733A"/>
    <w:rsid w:val="004A7432"/>
    <w:rsid w:val="004A7457"/>
    <w:rsid w:val="004A745F"/>
    <w:rsid w:val="004A746E"/>
    <w:rsid w:val="004A748E"/>
    <w:rsid w:val="004A7522"/>
    <w:rsid w:val="004A7546"/>
    <w:rsid w:val="004A7552"/>
    <w:rsid w:val="004A755D"/>
    <w:rsid w:val="004A75B2"/>
    <w:rsid w:val="004A75EA"/>
    <w:rsid w:val="004A7620"/>
    <w:rsid w:val="004A7687"/>
    <w:rsid w:val="004A76CA"/>
    <w:rsid w:val="004A76CB"/>
    <w:rsid w:val="004A76E9"/>
    <w:rsid w:val="004A7720"/>
    <w:rsid w:val="004A772E"/>
    <w:rsid w:val="004A774E"/>
    <w:rsid w:val="004A7766"/>
    <w:rsid w:val="004A776A"/>
    <w:rsid w:val="004A778F"/>
    <w:rsid w:val="004A7796"/>
    <w:rsid w:val="004A77A8"/>
    <w:rsid w:val="004A77E4"/>
    <w:rsid w:val="004A780F"/>
    <w:rsid w:val="004A7859"/>
    <w:rsid w:val="004A786B"/>
    <w:rsid w:val="004A7876"/>
    <w:rsid w:val="004A7878"/>
    <w:rsid w:val="004A78A2"/>
    <w:rsid w:val="004A78BD"/>
    <w:rsid w:val="004A78EE"/>
    <w:rsid w:val="004A78F7"/>
    <w:rsid w:val="004A790B"/>
    <w:rsid w:val="004A792F"/>
    <w:rsid w:val="004A7988"/>
    <w:rsid w:val="004A799C"/>
    <w:rsid w:val="004A79AE"/>
    <w:rsid w:val="004A79F4"/>
    <w:rsid w:val="004A7A49"/>
    <w:rsid w:val="004A7A91"/>
    <w:rsid w:val="004A7AFA"/>
    <w:rsid w:val="004A7B0C"/>
    <w:rsid w:val="004A7B1F"/>
    <w:rsid w:val="004A7B4A"/>
    <w:rsid w:val="004A7B70"/>
    <w:rsid w:val="004A7B84"/>
    <w:rsid w:val="004A7BA2"/>
    <w:rsid w:val="004A7BF8"/>
    <w:rsid w:val="004A7C1F"/>
    <w:rsid w:val="004A7CEA"/>
    <w:rsid w:val="004A7CF6"/>
    <w:rsid w:val="004A7CFA"/>
    <w:rsid w:val="004A7D54"/>
    <w:rsid w:val="004A7DEF"/>
    <w:rsid w:val="004A7E43"/>
    <w:rsid w:val="004A7E69"/>
    <w:rsid w:val="004A7E78"/>
    <w:rsid w:val="004A7EFA"/>
    <w:rsid w:val="004A7EFD"/>
    <w:rsid w:val="004A7F08"/>
    <w:rsid w:val="004A7FE7"/>
    <w:rsid w:val="004B0033"/>
    <w:rsid w:val="004B004B"/>
    <w:rsid w:val="004B0060"/>
    <w:rsid w:val="004B0084"/>
    <w:rsid w:val="004B009C"/>
    <w:rsid w:val="004B00B0"/>
    <w:rsid w:val="004B00E4"/>
    <w:rsid w:val="004B0121"/>
    <w:rsid w:val="004B014A"/>
    <w:rsid w:val="004B014F"/>
    <w:rsid w:val="004B017F"/>
    <w:rsid w:val="004B019E"/>
    <w:rsid w:val="004B020F"/>
    <w:rsid w:val="004B0238"/>
    <w:rsid w:val="004B024A"/>
    <w:rsid w:val="004B024B"/>
    <w:rsid w:val="004B0260"/>
    <w:rsid w:val="004B0275"/>
    <w:rsid w:val="004B02BD"/>
    <w:rsid w:val="004B0300"/>
    <w:rsid w:val="004B0306"/>
    <w:rsid w:val="004B0317"/>
    <w:rsid w:val="004B0382"/>
    <w:rsid w:val="004B0385"/>
    <w:rsid w:val="004B0416"/>
    <w:rsid w:val="004B0419"/>
    <w:rsid w:val="004B0427"/>
    <w:rsid w:val="004B044C"/>
    <w:rsid w:val="004B04A0"/>
    <w:rsid w:val="004B04D3"/>
    <w:rsid w:val="004B04E1"/>
    <w:rsid w:val="004B04ED"/>
    <w:rsid w:val="004B0554"/>
    <w:rsid w:val="004B055A"/>
    <w:rsid w:val="004B058E"/>
    <w:rsid w:val="004B0617"/>
    <w:rsid w:val="004B068D"/>
    <w:rsid w:val="004B06A2"/>
    <w:rsid w:val="004B06C8"/>
    <w:rsid w:val="004B0785"/>
    <w:rsid w:val="004B07C4"/>
    <w:rsid w:val="004B086B"/>
    <w:rsid w:val="004B0877"/>
    <w:rsid w:val="004B08F2"/>
    <w:rsid w:val="004B09A7"/>
    <w:rsid w:val="004B09AF"/>
    <w:rsid w:val="004B0A3D"/>
    <w:rsid w:val="004B0A3F"/>
    <w:rsid w:val="004B0B10"/>
    <w:rsid w:val="004B0B14"/>
    <w:rsid w:val="004B0B37"/>
    <w:rsid w:val="004B0B40"/>
    <w:rsid w:val="004B0B45"/>
    <w:rsid w:val="004B0C7F"/>
    <w:rsid w:val="004B0CC1"/>
    <w:rsid w:val="004B0D06"/>
    <w:rsid w:val="004B0D41"/>
    <w:rsid w:val="004B0D8D"/>
    <w:rsid w:val="004B0DD5"/>
    <w:rsid w:val="004B0E1D"/>
    <w:rsid w:val="004B0E80"/>
    <w:rsid w:val="004B0EC9"/>
    <w:rsid w:val="004B0ED0"/>
    <w:rsid w:val="004B0EF5"/>
    <w:rsid w:val="004B0F19"/>
    <w:rsid w:val="004B0FA7"/>
    <w:rsid w:val="004B0FC0"/>
    <w:rsid w:val="004B1092"/>
    <w:rsid w:val="004B10AF"/>
    <w:rsid w:val="004B1173"/>
    <w:rsid w:val="004B1197"/>
    <w:rsid w:val="004B11D5"/>
    <w:rsid w:val="004B11FB"/>
    <w:rsid w:val="004B12AC"/>
    <w:rsid w:val="004B12C5"/>
    <w:rsid w:val="004B12D8"/>
    <w:rsid w:val="004B12DD"/>
    <w:rsid w:val="004B12F3"/>
    <w:rsid w:val="004B12FF"/>
    <w:rsid w:val="004B1328"/>
    <w:rsid w:val="004B1341"/>
    <w:rsid w:val="004B1361"/>
    <w:rsid w:val="004B13A7"/>
    <w:rsid w:val="004B13BC"/>
    <w:rsid w:val="004B141F"/>
    <w:rsid w:val="004B1459"/>
    <w:rsid w:val="004B1496"/>
    <w:rsid w:val="004B14FC"/>
    <w:rsid w:val="004B1512"/>
    <w:rsid w:val="004B1522"/>
    <w:rsid w:val="004B154F"/>
    <w:rsid w:val="004B15F6"/>
    <w:rsid w:val="004B1637"/>
    <w:rsid w:val="004B164A"/>
    <w:rsid w:val="004B1692"/>
    <w:rsid w:val="004B169B"/>
    <w:rsid w:val="004B16C8"/>
    <w:rsid w:val="004B1706"/>
    <w:rsid w:val="004B1775"/>
    <w:rsid w:val="004B1838"/>
    <w:rsid w:val="004B1862"/>
    <w:rsid w:val="004B1896"/>
    <w:rsid w:val="004B18FD"/>
    <w:rsid w:val="004B196D"/>
    <w:rsid w:val="004B1995"/>
    <w:rsid w:val="004B19FA"/>
    <w:rsid w:val="004B1A14"/>
    <w:rsid w:val="004B1A33"/>
    <w:rsid w:val="004B1A4A"/>
    <w:rsid w:val="004B1A69"/>
    <w:rsid w:val="004B1A7A"/>
    <w:rsid w:val="004B1A96"/>
    <w:rsid w:val="004B1ACB"/>
    <w:rsid w:val="004B1AF4"/>
    <w:rsid w:val="004B1B21"/>
    <w:rsid w:val="004B1B72"/>
    <w:rsid w:val="004B1B74"/>
    <w:rsid w:val="004B1B7D"/>
    <w:rsid w:val="004B1BB4"/>
    <w:rsid w:val="004B1BC8"/>
    <w:rsid w:val="004B1C2D"/>
    <w:rsid w:val="004B1CF8"/>
    <w:rsid w:val="004B1D00"/>
    <w:rsid w:val="004B1DEE"/>
    <w:rsid w:val="004B1E0D"/>
    <w:rsid w:val="004B1E37"/>
    <w:rsid w:val="004B1E69"/>
    <w:rsid w:val="004B1EA0"/>
    <w:rsid w:val="004B1EB5"/>
    <w:rsid w:val="004B1F17"/>
    <w:rsid w:val="004B2078"/>
    <w:rsid w:val="004B20A0"/>
    <w:rsid w:val="004B20CE"/>
    <w:rsid w:val="004B2116"/>
    <w:rsid w:val="004B2184"/>
    <w:rsid w:val="004B21EC"/>
    <w:rsid w:val="004B222B"/>
    <w:rsid w:val="004B229D"/>
    <w:rsid w:val="004B22A1"/>
    <w:rsid w:val="004B22C4"/>
    <w:rsid w:val="004B22E5"/>
    <w:rsid w:val="004B22F0"/>
    <w:rsid w:val="004B2309"/>
    <w:rsid w:val="004B231F"/>
    <w:rsid w:val="004B2342"/>
    <w:rsid w:val="004B2359"/>
    <w:rsid w:val="004B23D5"/>
    <w:rsid w:val="004B240C"/>
    <w:rsid w:val="004B2431"/>
    <w:rsid w:val="004B2475"/>
    <w:rsid w:val="004B247A"/>
    <w:rsid w:val="004B2491"/>
    <w:rsid w:val="004B24A7"/>
    <w:rsid w:val="004B24C5"/>
    <w:rsid w:val="004B24D8"/>
    <w:rsid w:val="004B257B"/>
    <w:rsid w:val="004B258F"/>
    <w:rsid w:val="004B25C1"/>
    <w:rsid w:val="004B25DC"/>
    <w:rsid w:val="004B25FB"/>
    <w:rsid w:val="004B2604"/>
    <w:rsid w:val="004B2655"/>
    <w:rsid w:val="004B2676"/>
    <w:rsid w:val="004B26D2"/>
    <w:rsid w:val="004B26FE"/>
    <w:rsid w:val="004B2708"/>
    <w:rsid w:val="004B2718"/>
    <w:rsid w:val="004B2755"/>
    <w:rsid w:val="004B277A"/>
    <w:rsid w:val="004B2790"/>
    <w:rsid w:val="004B282F"/>
    <w:rsid w:val="004B28C7"/>
    <w:rsid w:val="004B28F6"/>
    <w:rsid w:val="004B297A"/>
    <w:rsid w:val="004B2A2C"/>
    <w:rsid w:val="004B2A38"/>
    <w:rsid w:val="004B2AA6"/>
    <w:rsid w:val="004B2ACC"/>
    <w:rsid w:val="004B2AEA"/>
    <w:rsid w:val="004B2AEC"/>
    <w:rsid w:val="004B2B17"/>
    <w:rsid w:val="004B2B2B"/>
    <w:rsid w:val="004B2B32"/>
    <w:rsid w:val="004B2B40"/>
    <w:rsid w:val="004B2B62"/>
    <w:rsid w:val="004B2BC8"/>
    <w:rsid w:val="004B2C85"/>
    <w:rsid w:val="004B2C90"/>
    <w:rsid w:val="004B2E6B"/>
    <w:rsid w:val="004B2E76"/>
    <w:rsid w:val="004B2E7C"/>
    <w:rsid w:val="004B2E8E"/>
    <w:rsid w:val="004B2E99"/>
    <w:rsid w:val="004B2EAF"/>
    <w:rsid w:val="004B2EBC"/>
    <w:rsid w:val="004B2EE1"/>
    <w:rsid w:val="004B2EF7"/>
    <w:rsid w:val="004B2F26"/>
    <w:rsid w:val="004B2F2E"/>
    <w:rsid w:val="004B2F83"/>
    <w:rsid w:val="004B2F8B"/>
    <w:rsid w:val="004B2FD8"/>
    <w:rsid w:val="004B2FF3"/>
    <w:rsid w:val="004B3028"/>
    <w:rsid w:val="004B3038"/>
    <w:rsid w:val="004B3088"/>
    <w:rsid w:val="004B3092"/>
    <w:rsid w:val="004B30AA"/>
    <w:rsid w:val="004B30B0"/>
    <w:rsid w:val="004B30C8"/>
    <w:rsid w:val="004B3107"/>
    <w:rsid w:val="004B3118"/>
    <w:rsid w:val="004B3143"/>
    <w:rsid w:val="004B3147"/>
    <w:rsid w:val="004B3150"/>
    <w:rsid w:val="004B3157"/>
    <w:rsid w:val="004B3200"/>
    <w:rsid w:val="004B3241"/>
    <w:rsid w:val="004B325F"/>
    <w:rsid w:val="004B3274"/>
    <w:rsid w:val="004B32BD"/>
    <w:rsid w:val="004B32CB"/>
    <w:rsid w:val="004B3362"/>
    <w:rsid w:val="004B3399"/>
    <w:rsid w:val="004B339B"/>
    <w:rsid w:val="004B33AF"/>
    <w:rsid w:val="004B3431"/>
    <w:rsid w:val="004B346F"/>
    <w:rsid w:val="004B34AF"/>
    <w:rsid w:val="004B34B7"/>
    <w:rsid w:val="004B34C6"/>
    <w:rsid w:val="004B3503"/>
    <w:rsid w:val="004B3525"/>
    <w:rsid w:val="004B3538"/>
    <w:rsid w:val="004B3542"/>
    <w:rsid w:val="004B355E"/>
    <w:rsid w:val="004B357D"/>
    <w:rsid w:val="004B35BE"/>
    <w:rsid w:val="004B35CE"/>
    <w:rsid w:val="004B360D"/>
    <w:rsid w:val="004B36DC"/>
    <w:rsid w:val="004B36E0"/>
    <w:rsid w:val="004B37F3"/>
    <w:rsid w:val="004B3859"/>
    <w:rsid w:val="004B38A9"/>
    <w:rsid w:val="004B38C0"/>
    <w:rsid w:val="004B38F9"/>
    <w:rsid w:val="004B393B"/>
    <w:rsid w:val="004B3956"/>
    <w:rsid w:val="004B398C"/>
    <w:rsid w:val="004B39BC"/>
    <w:rsid w:val="004B3A46"/>
    <w:rsid w:val="004B3A77"/>
    <w:rsid w:val="004B3A80"/>
    <w:rsid w:val="004B3BA5"/>
    <w:rsid w:val="004B3BAB"/>
    <w:rsid w:val="004B3BF7"/>
    <w:rsid w:val="004B3C31"/>
    <w:rsid w:val="004B3C3D"/>
    <w:rsid w:val="004B3C56"/>
    <w:rsid w:val="004B3CAA"/>
    <w:rsid w:val="004B3CAE"/>
    <w:rsid w:val="004B3D02"/>
    <w:rsid w:val="004B3D2F"/>
    <w:rsid w:val="004B3D53"/>
    <w:rsid w:val="004B3D75"/>
    <w:rsid w:val="004B3E17"/>
    <w:rsid w:val="004B3E1C"/>
    <w:rsid w:val="004B3ED5"/>
    <w:rsid w:val="004B3FAC"/>
    <w:rsid w:val="004B400D"/>
    <w:rsid w:val="004B4081"/>
    <w:rsid w:val="004B4092"/>
    <w:rsid w:val="004B40AD"/>
    <w:rsid w:val="004B40B7"/>
    <w:rsid w:val="004B40F6"/>
    <w:rsid w:val="004B4150"/>
    <w:rsid w:val="004B41AA"/>
    <w:rsid w:val="004B41B0"/>
    <w:rsid w:val="004B42E2"/>
    <w:rsid w:val="004B432B"/>
    <w:rsid w:val="004B434E"/>
    <w:rsid w:val="004B437B"/>
    <w:rsid w:val="004B43DF"/>
    <w:rsid w:val="004B4427"/>
    <w:rsid w:val="004B4483"/>
    <w:rsid w:val="004B44A1"/>
    <w:rsid w:val="004B4515"/>
    <w:rsid w:val="004B45E4"/>
    <w:rsid w:val="004B45E6"/>
    <w:rsid w:val="004B45F9"/>
    <w:rsid w:val="004B4610"/>
    <w:rsid w:val="004B466B"/>
    <w:rsid w:val="004B4676"/>
    <w:rsid w:val="004B46C2"/>
    <w:rsid w:val="004B47AA"/>
    <w:rsid w:val="004B47C7"/>
    <w:rsid w:val="004B47F6"/>
    <w:rsid w:val="004B47FB"/>
    <w:rsid w:val="004B482D"/>
    <w:rsid w:val="004B484C"/>
    <w:rsid w:val="004B4851"/>
    <w:rsid w:val="004B4856"/>
    <w:rsid w:val="004B4892"/>
    <w:rsid w:val="004B49A0"/>
    <w:rsid w:val="004B49B6"/>
    <w:rsid w:val="004B49BC"/>
    <w:rsid w:val="004B49E0"/>
    <w:rsid w:val="004B4A1F"/>
    <w:rsid w:val="004B4AA4"/>
    <w:rsid w:val="004B4AB7"/>
    <w:rsid w:val="004B4ABB"/>
    <w:rsid w:val="004B4B64"/>
    <w:rsid w:val="004B4B6B"/>
    <w:rsid w:val="004B4B8C"/>
    <w:rsid w:val="004B4C26"/>
    <w:rsid w:val="004B4D6D"/>
    <w:rsid w:val="004B4D8D"/>
    <w:rsid w:val="004B4DC7"/>
    <w:rsid w:val="004B4DEE"/>
    <w:rsid w:val="004B4DF9"/>
    <w:rsid w:val="004B4E0B"/>
    <w:rsid w:val="004B4E11"/>
    <w:rsid w:val="004B4E4C"/>
    <w:rsid w:val="004B4ECD"/>
    <w:rsid w:val="004B4EEB"/>
    <w:rsid w:val="004B4F2A"/>
    <w:rsid w:val="004B4F5C"/>
    <w:rsid w:val="004B5009"/>
    <w:rsid w:val="004B5021"/>
    <w:rsid w:val="004B5029"/>
    <w:rsid w:val="004B5031"/>
    <w:rsid w:val="004B503C"/>
    <w:rsid w:val="004B5042"/>
    <w:rsid w:val="004B5067"/>
    <w:rsid w:val="004B50F5"/>
    <w:rsid w:val="004B513E"/>
    <w:rsid w:val="004B5141"/>
    <w:rsid w:val="004B517B"/>
    <w:rsid w:val="004B517C"/>
    <w:rsid w:val="004B519B"/>
    <w:rsid w:val="004B51C0"/>
    <w:rsid w:val="004B51ED"/>
    <w:rsid w:val="004B51F6"/>
    <w:rsid w:val="004B523C"/>
    <w:rsid w:val="004B536D"/>
    <w:rsid w:val="004B5373"/>
    <w:rsid w:val="004B53A9"/>
    <w:rsid w:val="004B53D2"/>
    <w:rsid w:val="004B53E6"/>
    <w:rsid w:val="004B5422"/>
    <w:rsid w:val="004B545B"/>
    <w:rsid w:val="004B546F"/>
    <w:rsid w:val="004B547A"/>
    <w:rsid w:val="004B54E2"/>
    <w:rsid w:val="004B54F2"/>
    <w:rsid w:val="004B5519"/>
    <w:rsid w:val="004B551C"/>
    <w:rsid w:val="004B552A"/>
    <w:rsid w:val="004B552D"/>
    <w:rsid w:val="004B55C2"/>
    <w:rsid w:val="004B55F5"/>
    <w:rsid w:val="004B55F8"/>
    <w:rsid w:val="004B5602"/>
    <w:rsid w:val="004B560E"/>
    <w:rsid w:val="004B562E"/>
    <w:rsid w:val="004B566B"/>
    <w:rsid w:val="004B5679"/>
    <w:rsid w:val="004B5681"/>
    <w:rsid w:val="004B5710"/>
    <w:rsid w:val="004B58D1"/>
    <w:rsid w:val="004B58D7"/>
    <w:rsid w:val="004B593F"/>
    <w:rsid w:val="004B5968"/>
    <w:rsid w:val="004B59A1"/>
    <w:rsid w:val="004B59EF"/>
    <w:rsid w:val="004B5A71"/>
    <w:rsid w:val="004B5A96"/>
    <w:rsid w:val="004B5AEB"/>
    <w:rsid w:val="004B5AFA"/>
    <w:rsid w:val="004B5BA3"/>
    <w:rsid w:val="004B5C4C"/>
    <w:rsid w:val="004B5C73"/>
    <w:rsid w:val="004B5D09"/>
    <w:rsid w:val="004B5D1B"/>
    <w:rsid w:val="004B5D27"/>
    <w:rsid w:val="004B5D56"/>
    <w:rsid w:val="004B5D79"/>
    <w:rsid w:val="004B5E14"/>
    <w:rsid w:val="004B5E27"/>
    <w:rsid w:val="004B5E2A"/>
    <w:rsid w:val="004B5E47"/>
    <w:rsid w:val="004B5E65"/>
    <w:rsid w:val="004B5EC9"/>
    <w:rsid w:val="004B5ED5"/>
    <w:rsid w:val="004B5EF1"/>
    <w:rsid w:val="004B5F07"/>
    <w:rsid w:val="004B5F0D"/>
    <w:rsid w:val="004B5F3B"/>
    <w:rsid w:val="004B5F63"/>
    <w:rsid w:val="004B5FEC"/>
    <w:rsid w:val="004B606D"/>
    <w:rsid w:val="004B60BA"/>
    <w:rsid w:val="004B60EB"/>
    <w:rsid w:val="004B6107"/>
    <w:rsid w:val="004B6122"/>
    <w:rsid w:val="004B616E"/>
    <w:rsid w:val="004B620A"/>
    <w:rsid w:val="004B6215"/>
    <w:rsid w:val="004B6282"/>
    <w:rsid w:val="004B62DD"/>
    <w:rsid w:val="004B632E"/>
    <w:rsid w:val="004B635A"/>
    <w:rsid w:val="004B636D"/>
    <w:rsid w:val="004B63A1"/>
    <w:rsid w:val="004B640D"/>
    <w:rsid w:val="004B6420"/>
    <w:rsid w:val="004B643F"/>
    <w:rsid w:val="004B647F"/>
    <w:rsid w:val="004B64BA"/>
    <w:rsid w:val="004B6520"/>
    <w:rsid w:val="004B659A"/>
    <w:rsid w:val="004B65C5"/>
    <w:rsid w:val="004B65E1"/>
    <w:rsid w:val="004B65FE"/>
    <w:rsid w:val="004B6603"/>
    <w:rsid w:val="004B666A"/>
    <w:rsid w:val="004B6679"/>
    <w:rsid w:val="004B6680"/>
    <w:rsid w:val="004B668E"/>
    <w:rsid w:val="004B6697"/>
    <w:rsid w:val="004B6699"/>
    <w:rsid w:val="004B6719"/>
    <w:rsid w:val="004B6778"/>
    <w:rsid w:val="004B6782"/>
    <w:rsid w:val="004B67B1"/>
    <w:rsid w:val="004B6828"/>
    <w:rsid w:val="004B6875"/>
    <w:rsid w:val="004B68C3"/>
    <w:rsid w:val="004B6909"/>
    <w:rsid w:val="004B69B8"/>
    <w:rsid w:val="004B69E4"/>
    <w:rsid w:val="004B6A3B"/>
    <w:rsid w:val="004B6A4A"/>
    <w:rsid w:val="004B6A54"/>
    <w:rsid w:val="004B6AD5"/>
    <w:rsid w:val="004B6B02"/>
    <w:rsid w:val="004B6BC2"/>
    <w:rsid w:val="004B6CC0"/>
    <w:rsid w:val="004B6CE0"/>
    <w:rsid w:val="004B6D13"/>
    <w:rsid w:val="004B6D1A"/>
    <w:rsid w:val="004B6D38"/>
    <w:rsid w:val="004B6DA2"/>
    <w:rsid w:val="004B6DAA"/>
    <w:rsid w:val="004B6DAC"/>
    <w:rsid w:val="004B6E0E"/>
    <w:rsid w:val="004B6E2B"/>
    <w:rsid w:val="004B6E37"/>
    <w:rsid w:val="004B6E3D"/>
    <w:rsid w:val="004B6E75"/>
    <w:rsid w:val="004B6E92"/>
    <w:rsid w:val="004B6F28"/>
    <w:rsid w:val="004B6F58"/>
    <w:rsid w:val="004B6F7F"/>
    <w:rsid w:val="004B701A"/>
    <w:rsid w:val="004B70B1"/>
    <w:rsid w:val="004B7111"/>
    <w:rsid w:val="004B7135"/>
    <w:rsid w:val="004B7138"/>
    <w:rsid w:val="004B714C"/>
    <w:rsid w:val="004B7158"/>
    <w:rsid w:val="004B7166"/>
    <w:rsid w:val="004B7189"/>
    <w:rsid w:val="004B71AE"/>
    <w:rsid w:val="004B71BD"/>
    <w:rsid w:val="004B71CC"/>
    <w:rsid w:val="004B71DA"/>
    <w:rsid w:val="004B7219"/>
    <w:rsid w:val="004B7254"/>
    <w:rsid w:val="004B725E"/>
    <w:rsid w:val="004B7261"/>
    <w:rsid w:val="004B72E7"/>
    <w:rsid w:val="004B72ED"/>
    <w:rsid w:val="004B7326"/>
    <w:rsid w:val="004B739B"/>
    <w:rsid w:val="004B73C0"/>
    <w:rsid w:val="004B73EA"/>
    <w:rsid w:val="004B7413"/>
    <w:rsid w:val="004B742A"/>
    <w:rsid w:val="004B7454"/>
    <w:rsid w:val="004B7460"/>
    <w:rsid w:val="004B7550"/>
    <w:rsid w:val="004B755C"/>
    <w:rsid w:val="004B756B"/>
    <w:rsid w:val="004B75C9"/>
    <w:rsid w:val="004B75DA"/>
    <w:rsid w:val="004B75DB"/>
    <w:rsid w:val="004B75E3"/>
    <w:rsid w:val="004B75EC"/>
    <w:rsid w:val="004B7623"/>
    <w:rsid w:val="004B763E"/>
    <w:rsid w:val="004B76A7"/>
    <w:rsid w:val="004B76E0"/>
    <w:rsid w:val="004B770D"/>
    <w:rsid w:val="004B7717"/>
    <w:rsid w:val="004B7762"/>
    <w:rsid w:val="004B776F"/>
    <w:rsid w:val="004B77E9"/>
    <w:rsid w:val="004B7813"/>
    <w:rsid w:val="004B787B"/>
    <w:rsid w:val="004B7900"/>
    <w:rsid w:val="004B797E"/>
    <w:rsid w:val="004B79B7"/>
    <w:rsid w:val="004B79C8"/>
    <w:rsid w:val="004B79E8"/>
    <w:rsid w:val="004B7A08"/>
    <w:rsid w:val="004B7A1B"/>
    <w:rsid w:val="004B7A1D"/>
    <w:rsid w:val="004B7A61"/>
    <w:rsid w:val="004B7ACB"/>
    <w:rsid w:val="004B7B2B"/>
    <w:rsid w:val="004B7B2D"/>
    <w:rsid w:val="004B7B39"/>
    <w:rsid w:val="004B7B62"/>
    <w:rsid w:val="004B7B81"/>
    <w:rsid w:val="004B7B9C"/>
    <w:rsid w:val="004B7BDA"/>
    <w:rsid w:val="004B7BF3"/>
    <w:rsid w:val="004B7C22"/>
    <w:rsid w:val="004B7C84"/>
    <w:rsid w:val="004B7C87"/>
    <w:rsid w:val="004B7CD2"/>
    <w:rsid w:val="004B7CD6"/>
    <w:rsid w:val="004B7D26"/>
    <w:rsid w:val="004B7D7C"/>
    <w:rsid w:val="004B7D8E"/>
    <w:rsid w:val="004B7DE4"/>
    <w:rsid w:val="004B7DED"/>
    <w:rsid w:val="004B7E1B"/>
    <w:rsid w:val="004B7E3F"/>
    <w:rsid w:val="004B7EA5"/>
    <w:rsid w:val="004B7EAE"/>
    <w:rsid w:val="004B7F1C"/>
    <w:rsid w:val="004B7F7C"/>
    <w:rsid w:val="004B7FAA"/>
    <w:rsid w:val="004B7FE4"/>
    <w:rsid w:val="004C0020"/>
    <w:rsid w:val="004C004E"/>
    <w:rsid w:val="004C00A1"/>
    <w:rsid w:val="004C00AA"/>
    <w:rsid w:val="004C00E8"/>
    <w:rsid w:val="004C00FA"/>
    <w:rsid w:val="004C011F"/>
    <w:rsid w:val="004C0132"/>
    <w:rsid w:val="004C014D"/>
    <w:rsid w:val="004C0198"/>
    <w:rsid w:val="004C01E9"/>
    <w:rsid w:val="004C01FD"/>
    <w:rsid w:val="004C023D"/>
    <w:rsid w:val="004C02EC"/>
    <w:rsid w:val="004C0357"/>
    <w:rsid w:val="004C03A9"/>
    <w:rsid w:val="004C03DC"/>
    <w:rsid w:val="004C0410"/>
    <w:rsid w:val="004C043A"/>
    <w:rsid w:val="004C0445"/>
    <w:rsid w:val="004C045E"/>
    <w:rsid w:val="004C047D"/>
    <w:rsid w:val="004C048D"/>
    <w:rsid w:val="004C04A8"/>
    <w:rsid w:val="004C04E2"/>
    <w:rsid w:val="004C051C"/>
    <w:rsid w:val="004C052E"/>
    <w:rsid w:val="004C0561"/>
    <w:rsid w:val="004C058F"/>
    <w:rsid w:val="004C059D"/>
    <w:rsid w:val="004C05B1"/>
    <w:rsid w:val="004C05C1"/>
    <w:rsid w:val="004C0655"/>
    <w:rsid w:val="004C0659"/>
    <w:rsid w:val="004C0668"/>
    <w:rsid w:val="004C06DB"/>
    <w:rsid w:val="004C06EB"/>
    <w:rsid w:val="004C0754"/>
    <w:rsid w:val="004C0794"/>
    <w:rsid w:val="004C079B"/>
    <w:rsid w:val="004C0804"/>
    <w:rsid w:val="004C0821"/>
    <w:rsid w:val="004C083A"/>
    <w:rsid w:val="004C0840"/>
    <w:rsid w:val="004C0846"/>
    <w:rsid w:val="004C0869"/>
    <w:rsid w:val="004C086B"/>
    <w:rsid w:val="004C0875"/>
    <w:rsid w:val="004C08B7"/>
    <w:rsid w:val="004C08D7"/>
    <w:rsid w:val="004C08DC"/>
    <w:rsid w:val="004C0971"/>
    <w:rsid w:val="004C0977"/>
    <w:rsid w:val="004C097D"/>
    <w:rsid w:val="004C09E9"/>
    <w:rsid w:val="004C0A55"/>
    <w:rsid w:val="004C0A63"/>
    <w:rsid w:val="004C0A70"/>
    <w:rsid w:val="004C0AE6"/>
    <w:rsid w:val="004C0B81"/>
    <w:rsid w:val="004C0B92"/>
    <w:rsid w:val="004C0B9D"/>
    <w:rsid w:val="004C0B9E"/>
    <w:rsid w:val="004C0BAB"/>
    <w:rsid w:val="004C0BBD"/>
    <w:rsid w:val="004C0BDC"/>
    <w:rsid w:val="004C0C02"/>
    <w:rsid w:val="004C0C04"/>
    <w:rsid w:val="004C0C10"/>
    <w:rsid w:val="004C0C50"/>
    <w:rsid w:val="004C0C70"/>
    <w:rsid w:val="004C0C7E"/>
    <w:rsid w:val="004C0CA9"/>
    <w:rsid w:val="004C0CBD"/>
    <w:rsid w:val="004C0D3E"/>
    <w:rsid w:val="004C0D50"/>
    <w:rsid w:val="004C0D51"/>
    <w:rsid w:val="004C0D5E"/>
    <w:rsid w:val="004C0D64"/>
    <w:rsid w:val="004C0D8F"/>
    <w:rsid w:val="004C0D94"/>
    <w:rsid w:val="004C0DD2"/>
    <w:rsid w:val="004C0E00"/>
    <w:rsid w:val="004C0E3E"/>
    <w:rsid w:val="004C0E8E"/>
    <w:rsid w:val="004C0EBF"/>
    <w:rsid w:val="004C0EDC"/>
    <w:rsid w:val="004C0EF7"/>
    <w:rsid w:val="004C0F0D"/>
    <w:rsid w:val="004C0F3D"/>
    <w:rsid w:val="004C0F77"/>
    <w:rsid w:val="004C0F91"/>
    <w:rsid w:val="004C0FAF"/>
    <w:rsid w:val="004C0FD9"/>
    <w:rsid w:val="004C0FFA"/>
    <w:rsid w:val="004C1052"/>
    <w:rsid w:val="004C10EE"/>
    <w:rsid w:val="004C117A"/>
    <w:rsid w:val="004C117E"/>
    <w:rsid w:val="004C117F"/>
    <w:rsid w:val="004C11A7"/>
    <w:rsid w:val="004C1212"/>
    <w:rsid w:val="004C1265"/>
    <w:rsid w:val="004C1267"/>
    <w:rsid w:val="004C12FB"/>
    <w:rsid w:val="004C1329"/>
    <w:rsid w:val="004C1355"/>
    <w:rsid w:val="004C1386"/>
    <w:rsid w:val="004C138A"/>
    <w:rsid w:val="004C13C7"/>
    <w:rsid w:val="004C1434"/>
    <w:rsid w:val="004C146A"/>
    <w:rsid w:val="004C14C3"/>
    <w:rsid w:val="004C14FD"/>
    <w:rsid w:val="004C1538"/>
    <w:rsid w:val="004C1572"/>
    <w:rsid w:val="004C157E"/>
    <w:rsid w:val="004C15AF"/>
    <w:rsid w:val="004C15B5"/>
    <w:rsid w:val="004C15BB"/>
    <w:rsid w:val="004C15BE"/>
    <w:rsid w:val="004C15F4"/>
    <w:rsid w:val="004C1632"/>
    <w:rsid w:val="004C1680"/>
    <w:rsid w:val="004C169A"/>
    <w:rsid w:val="004C16B1"/>
    <w:rsid w:val="004C16B5"/>
    <w:rsid w:val="004C16CA"/>
    <w:rsid w:val="004C16D4"/>
    <w:rsid w:val="004C1700"/>
    <w:rsid w:val="004C171B"/>
    <w:rsid w:val="004C1748"/>
    <w:rsid w:val="004C1771"/>
    <w:rsid w:val="004C17D7"/>
    <w:rsid w:val="004C1810"/>
    <w:rsid w:val="004C182F"/>
    <w:rsid w:val="004C1878"/>
    <w:rsid w:val="004C1886"/>
    <w:rsid w:val="004C18B7"/>
    <w:rsid w:val="004C197D"/>
    <w:rsid w:val="004C1998"/>
    <w:rsid w:val="004C1A51"/>
    <w:rsid w:val="004C1A6B"/>
    <w:rsid w:val="004C1A83"/>
    <w:rsid w:val="004C1AC3"/>
    <w:rsid w:val="004C1B4E"/>
    <w:rsid w:val="004C1BDE"/>
    <w:rsid w:val="004C1C77"/>
    <w:rsid w:val="004C1CCD"/>
    <w:rsid w:val="004C1D06"/>
    <w:rsid w:val="004C1D08"/>
    <w:rsid w:val="004C1D6B"/>
    <w:rsid w:val="004C1E0A"/>
    <w:rsid w:val="004C1E1D"/>
    <w:rsid w:val="004C1E23"/>
    <w:rsid w:val="004C1E46"/>
    <w:rsid w:val="004C1EBC"/>
    <w:rsid w:val="004C1F1E"/>
    <w:rsid w:val="004C1F29"/>
    <w:rsid w:val="004C1F57"/>
    <w:rsid w:val="004C1F91"/>
    <w:rsid w:val="004C1F9A"/>
    <w:rsid w:val="004C1FC2"/>
    <w:rsid w:val="004C2015"/>
    <w:rsid w:val="004C2041"/>
    <w:rsid w:val="004C2050"/>
    <w:rsid w:val="004C2083"/>
    <w:rsid w:val="004C20B4"/>
    <w:rsid w:val="004C211D"/>
    <w:rsid w:val="004C216A"/>
    <w:rsid w:val="004C2199"/>
    <w:rsid w:val="004C219E"/>
    <w:rsid w:val="004C220D"/>
    <w:rsid w:val="004C221B"/>
    <w:rsid w:val="004C221F"/>
    <w:rsid w:val="004C226D"/>
    <w:rsid w:val="004C233B"/>
    <w:rsid w:val="004C2395"/>
    <w:rsid w:val="004C23E7"/>
    <w:rsid w:val="004C23EF"/>
    <w:rsid w:val="004C248E"/>
    <w:rsid w:val="004C24EF"/>
    <w:rsid w:val="004C258E"/>
    <w:rsid w:val="004C2601"/>
    <w:rsid w:val="004C262C"/>
    <w:rsid w:val="004C2650"/>
    <w:rsid w:val="004C265A"/>
    <w:rsid w:val="004C2663"/>
    <w:rsid w:val="004C2664"/>
    <w:rsid w:val="004C2694"/>
    <w:rsid w:val="004C26B2"/>
    <w:rsid w:val="004C26C6"/>
    <w:rsid w:val="004C26DB"/>
    <w:rsid w:val="004C26ED"/>
    <w:rsid w:val="004C26FE"/>
    <w:rsid w:val="004C2719"/>
    <w:rsid w:val="004C2772"/>
    <w:rsid w:val="004C2777"/>
    <w:rsid w:val="004C27BA"/>
    <w:rsid w:val="004C27C0"/>
    <w:rsid w:val="004C282C"/>
    <w:rsid w:val="004C288A"/>
    <w:rsid w:val="004C28A8"/>
    <w:rsid w:val="004C28D2"/>
    <w:rsid w:val="004C2935"/>
    <w:rsid w:val="004C2989"/>
    <w:rsid w:val="004C29B0"/>
    <w:rsid w:val="004C29E3"/>
    <w:rsid w:val="004C2A09"/>
    <w:rsid w:val="004C2A54"/>
    <w:rsid w:val="004C2A91"/>
    <w:rsid w:val="004C2B03"/>
    <w:rsid w:val="004C2B28"/>
    <w:rsid w:val="004C2B89"/>
    <w:rsid w:val="004C2B96"/>
    <w:rsid w:val="004C2B9D"/>
    <w:rsid w:val="004C2C20"/>
    <w:rsid w:val="004C2C3F"/>
    <w:rsid w:val="004C2C9B"/>
    <w:rsid w:val="004C2CFF"/>
    <w:rsid w:val="004C2D3E"/>
    <w:rsid w:val="004C2D4D"/>
    <w:rsid w:val="004C2D5D"/>
    <w:rsid w:val="004C2D63"/>
    <w:rsid w:val="004C2D6E"/>
    <w:rsid w:val="004C2D80"/>
    <w:rsid w:val="004C2DCA"/>
    <w:rsid w:val="004C2DE0"/>
    <w:rsid w:val="004C2E0F"/>
    <w:rsid w:val="004C2EA8"/>
    <w:rsid w:val="004C2EBD"/>
    <w:rsid w:val="004C2F25"/>
    <w:rsid w:val="004C2F34"/>
    <w:rsid w:val="004C2F62"/>
    <w:rsid w:val="004C2F71"/>
    <w:rsid w:val="004C303D"/>
    <w:rsid w:val="004C30AC"/>
    <w:rsid w:val="004C30B2"/>
    <w:rsid w:val="004C30E5"/>
    <w:rsid w:val="004C3112"/>
    <w:rsid w:val="004C3119"/>
    <w:rsid w:val="004C3130"/>
    <w:rsid w:val="004C3199"/>
    <w:rsid w:val="004C31C6"/>
    <w:rsid w:val="004C31F2"/>
    <w:rsid w:val="004C3207"/>
    <w:rsid w:val="004C3213"/>
    <w:rsid w:val="004C3223"/>
    <w:rsid w:val="004C3243"/>
    <w:rsid w:val="004C324C"/>
    <w:rsid w:val="004C32C7"/>
    <w:rsid w:val="004C32EF"/>
    <w:rsid w:val="004C33E5"/>
    <w:rsid w:val="004C3405"/>
    <w:rsid w:val="004C3408"/>
    <w:rsid w:val="004C3477"/>
    <w:rsid w:val="004C347D"/>
    <w:rsid w:val="004C3487"/>
    <w:rsid w:val="004C34BB"/>
    <w:rsid w:val="004C3532"/>
    <w:rsid w:val="004C3549"/>
    <w:rsid w:val="004C3567"/>
    <w:rsid w:val="004C35B6"/>
    <w:rsid w:val="004C35EC"/>
    <w:rsid w:val="004C366B"/>
    <w:rsid w:val="004C366F"/>
    <w:rsid w:val="004C36A9"/>
    <w:rsid w:val="004C36FF"/>
    <w:rsid w:val="004C3732"/>
    <w:rsid w:val="004C3785"/>
    <w:rsid w:val="004C3792"/>
    <w:rsid w:val="004C3796"/>
    <w:rsid w:val="004C37D6"/>
    <w:rsid w:val="004C37FC"/>
    <w:rsid w:val="004C380B"/>
    <w:rsid w:val="004C385C"/>
    <w:rsid w:val="004C389E"/>
    <w:rsid w:val="004C38B8"/>
    <w:rsid w:val="004C38D0"/>
    <w:rsid w:val="004C38D5"/>
    <w:rsid w:val="004C399A"/>
    <w:rsid w:val="004C39A5"/>
    <w:rsid w:val="004C39E2"/>
    <w:rsid w:val="004C3A70"/>
    <w:rsid w:val="004C3A85"/>
    <w:rsid w:val="004C3ADA"/>
    <w:rsid w:val="004C3B18"/>
    <w:rsid w:val="004C3B56"/>
    <w:rsid w:val="004C3B64"/>
    <w:rsid w:val="004C3B69"/>
    <w:rsid w:val="004C3BAC"/>
    <w:rsid w:val="004C3BD4"/>
    <w:rsid w:val="004C3BE1"/>
    <w:rsid w:val="004C3C28"/>
    <w:rsid w:val="004C3C4C"/>
    <w:rsid w:val="004C3C63"/>
    <w:rsid w:val="004C3C68"/>
    <w:rsid w:val="004C3CBE"/>
    <w:rsid w:val="004C3CC9"/>
    <w:rsid w:val="004C3CF6"/>
    <w:rsid w:val="004C3D27"/>
    <w:rsid w:val="004C3D3E"/>
    <w:rsid w:val="004C3D8A"/>
    <w:rsid w:val="004C3D8B"/>
    <w:rsid w:val="004C3DB9"/>
    <w:rsid w:val="004C3E50"/>
    <w:rsid w:val="004C3ED6"/>
    <w:rsid w:val="004C3F08"/>
    <w:rsid w:val="004C3F96"/>
    <w:rsid w:val="004C3FFE"/>
    <w:rsid w:val="004C4037"/>
    <w:rsid w:val="004C4043"/>
    <w:rsid w:val="004C404A"/>
    <w:rsid w:val="004C40B1"/>
    <w:rsid w:val="004C4123"/>
    <w:rsid w:val="004C416B"/>
    <w:rsid w:val="004C4188"/>
    <w:rsid w:val="004C419B"/>
    <w:rsid w:val="004C4259"/>
    <w:rsid w:val="004C4264"/>
    <w:rsid w:val="004C427C"/>
    <w:rsid w:val="004C42F2"/>
    <w:rsid w:val="004C4392"/>
    <w:rsid w:val="004C4419"/>
    <w:rsid w:val="004C447F"/>
    <w:rsid w:val="004C44C0"/>
    <w:rsid w:val="004C44C1"/>
    <w:rsid w:val="004C44C2"/>
    <w:rsid w:val="004C44C7"/>
    <w:rsid w:val="004C4505"/>
    <w:rsid w:val="004C4513"/>
    <w:rsid w:val="004C464B"/>
    <w:rsid w:val="004C46AF"/>
    <w:rsid w:val="004C46B6"/>
    <w:rsid w:val="004C46CC"/>
    <w:rsid w:val="004C46D3"/>
    <w:rsid w:val="004C46F0"/>
    <w:rsid w:val="004C46F4"/>
    <w:rsid w:val="004C46F6"/>
    <w:rsid w:val="004C4715"/>
    <w:rsid w:val="004C4733"/>
    <w:rsid w:val="004C4785"/>
    <w:rsid w:val="004C4794"/>
    <w:rsid w:val="004C47AB"/>
    <w:rsid w:val="004C4843"/>
    <w:rsid w:val="004C4853"/>
    <w:rsid w:val="004C485C"/>
    <w:rsid w:val="004C487B"/>
    <w:rsid w:val="004C4896"/>
    <w:rsid w:val="004C48C7"/>
    <w:rsid w:val="004C48ED"/>
    <w:rsid w:val="004C4931"/>
    <w:rsid w:val="004C4957"/>
    <w:rsid w:val="004C497E"/>
    <w:rsid w:val="004C49AA"/>
    <w:rsid w:val="004C49B6"/>
    <w:rsid w:val="004C49F8"/>
    <w:rsid w:val="004C4A3F"/>
    <w:rsid w:val="004C4A5E"/>
    <w:rsid w:val="004C4A60"/>
    <w:rsid w:val="004C4AA9"/>
    <w:rsid w:val="004C4AC7"/>
    <w:rsid w:val="004C4AC9"/>
    <w:rsid w:val="004C4ACA"/>
    <w:rsid w:val="004C4AE9"/>
    <w:rsid w:val="004C4B31"/>
    <w:rsid w:val="004C4B5B"/>
    <w:rsid w:val="004C4B79"/>
    <w:rsid w:val="004C4BE7"/>
    <w:rsid w:val="004C4BF4"/>
    <w:rsid w:val="004C4C3A"/>
    <w:rsid w:val="004C4CCC"/>
    <w:rsid w:val="004C4D15"/>
    <w:rsid w:val="004C4D4F"/>
    <w:rsid w:val="004C4D7F"/>
    <w:rsid w:val="004C4D84"/>
    <w:rsid w:val="004C4D99"/>
    <w:rsid w:val="004C4DA8"/>
    <w:rsid w:val="004C4DBD"/>
    <w:rsid w:val="004C4DD5"/>
    <w:rsid w:val="004C4DE9"/>
    <w:rsid w:val="004C4DF7"/>
    <w:rsid w:val="004C4E3A"/>
    <w:rsid w:val="004C4EFF"/>
    <w:rsid w:val="004C4F30"/>
    <w:rsid w:val="004C4F5E"/>
    <w:rsid w:val="004C4F93"/>
    <w:rsid w:val="004C4FC1"/>
    <w:rsid w:val="004C4FE6"/>
    <w:rsid w:val="004C5037"/>
    <w:rsid w:val="004C5047"/>
    <w:rsid w:val="004C506A"/>
    <w:rsid w:val="004C5092"/>
    <w:rsid w:val="004C5198"/>
    <w:rsid w:val="004C520F"/>
    <w:rsid w:val="004C521A"/>
    <w:rsid w:val="004C5245"/>
    <w:rsid w:val="004C527F"/>
    <w:rsid w:val="004C5285"/>
    <w:rsid w:val="004C52B9"/>
    <w:rsid w:val="004C52DE"/>
    <w:rsid w:val="004C52E2"/>
    <w:rsid w:val="004C5329"/>
    <w:rsid w:val="004C535D"/>
    <w:rsid w:val="004C5360"/>
    <w:rsid w:val="004C536F"/>
    <w:rsid w:val="004C537E"/>
    <w:rsid w:val="004C53C0"/>
    <w:rsid w:val="004C53C6"/>
    <w:rsid w:val="004C53D6"/>
    <w:rsid w:val="004C5411"/>
    <w:rsid w:val="004C5435"/>
    <w:rsid w:val="004C543A"/>
    <w:rsid w:val="004C543F"/>
    <w:rsid w:val="004C544B"/>
    <w:rsid w:val="004C5486"/>
    <w:rsid w:val="004C54C8"/>
    <w:rsid w:val="004C54DA"/>
    <w:rsid w:val="004C54F8"/>
    <w:rsid w:val="004C5512"/>
    <w:rsid w:val="004C5544"/>
    <w:rsid w:val="004C558D"/>
    <w:rsid w:val="004C559C"/>
    <w:rsid w:val="004C55F1"/>
    <w:rsid w:val="004C5601"/>
    <w:rsid w:val="004C5624"/>
    <w:rsid w:val="004C5656"/>
    <w:rsid w:val="004C5725"/>
    <w:rsid w:val="004C572A"/>
    <w:rsid w:val="004C576F"/>
    <w:rsid w:val="004C578E"/>
    <w:rsid w:val="004C57A0"/>
    <w:rsid w:val="004C57DD"/>
    <w:rsid w:val="004C583C"/>
    <w:rsid w:val="004C58DE"/>
    <w:rsid w:val="004C58F4"/>
    <w:rsid w:val="004C58F5"/>
    <w:rsid w:val="004C590E"/>
    <w:rsid w:val="004C5943"/>
    <w:rsid w:val="004C5971"/>
    <w:rsid w:val="004C599B"/>
    <w:rsid w:val="004C59CD"/>
    <w:rsid w:val="004C5A00"/>
    <w:rsid w:val="004C5A37"/>
    <w:rsid w:val="004C5A60"/>
    <w:rsid w:val="004C5A7F"/>
    <w:rsid w:val="004C5AA5"/>
    <w:rsid w:val="004C5AAC"/>
    <w:rsid w:val="004C5AB2"/>
    <w:rsid w:val="004C5B1A"/>
    <w:rsid w:val="004C5B1D"/>
    <w:rsid w:val="004C5B3B"/>
    <w:rsid w:val="004C5B52"/>
    <w:rsid w:val="004C5B90"/>
    <w:rsid w:val="004C5B9B"/>
    <w:rsid w:val="004C5BA6"/>
    <w:rsid w:val="004C5BBE"/>
    <w:rsid w:val="004C5C0B"/>
    <w:rsid w:val="004C5C3D"/>
    <w:rsid w:val="004C5C7A"/>
    <w:rsid w:val="004C5C7D"/>
    <w:rsid w:val="004C5CA3"/>
    <w:rsid w:val="004C5CB4"/>
    <w:rsid w:val="004C5CC6"/>
    <w:rsid w:val="004C5CE0"/>
    <w:rsid w:val="004C5CE3"/>
    <w:rsid w:val="004C5D34"/>
    <w:rsid w:val="004C5D62"/>
    <w:rsid w:val="004C5D6F"/>
    <w:rsid w:val="004C5D9F"/>
    <w:rsid w:val="004C5DD3"/>
    <w:rsid w:val="004C5DDE"/>
    <w:rsid w:val="004C5E0D"/>
    <w:rsid w:val="004C5E18"/>
    <w:rsid w:val="004C5E5C"/>
    <w:rsid w:val="004C5E65"/>
    <w:rsid w:val="004C5EBD"/>
    <w:rsid w:val="004C5EDF"/>
    <w:rsid w:val="004C5EFA"/>
    <w:rsid w:val="004C5EFC"/>
    <w:rsid w:val="004C5F02"/>
    <w:rsid w:val="004C5F03"/>
    <w:rsid w:val="004C5F28"/>
    <w:rsid w:val="004C5F31"/>
    <w:rsid w:val="004C5F50"/>
    <w:rsid w:val="004C5F66"/>
    <w:rsid w:val="004C5F7A"/>
    <w:rsid w:val="004C5F81"/>
    <w:rsid w:val="004C5FA3"/>
    <w:rsid w:val="004C5FA6"/>
    <w:rsid w:val="004C5FB3"/>
    <w:rsid w:val="004C5FBC"/>
    <w:rsid w:val="004C600B"/>
    <w:rsid w:val="004C602B"/>
    <w:rsid w:val="004C602F"/>
    <w:rsid w:val="004C6081"/>
    <w:rsid w:val="004C60B5"/>
    <w:rsid w:val="004C60DF"/>
    <w:rsid w:val="004C6103"/>
    <w:rsid w:val="004C6109"/>
    <w:rsid w:val="004C6161"/>
    <w:rsid w:val="004C6185"/>
    <w:rsid w:val="004C6199"/>
    <w:rsid w:val="004C619B"/>
    <w:rsid w:val="004C61B8"/>
    <w:rsid w:val="004C61EB"/>
    <w:rsid w:val="004C620D"/>
    <w:rsid w:val="004C621F"/>
    <w:rsid w:val="004C6225"/>
    <w:rsid w:val="004C622D"/>
    <w:rsid w:val="004C6241"/>
    <w:rsid w:val="004C6242"/>
    <w:rsid w:val="004C62AC"/>
    <w:rsid w:val="004C62FB"/>
    <w:rsid w:val="004C631B"/>
    <w:rsid w:val="004C6342"/>
    <w:rsid w:val="004C6360"/>
    <w:rsid w:val="004C637E"/>
    <w:rsid w:val="004C63E1"/>
    <w:rsid w:val="004C645B"/>
    <w:rsid w:val="004C6461"/>
    <w:rsid w:val="004C648B"/>
    <w:rsid w:val="004C6497"/>
    <w:rsid w:val="004C64BA"/>
    <w:rsid w:val="004C64ED"/>
    <w:rsid w:val="004C654A"/>
    <w:rsid w:val="004C655E"/>
    <w:rsid w:val="004C6577"/>
    <w:rsid w:val="004C6587"/>
    <w:rsid w:val="004C659E"/>
    <w:rsid w:val="004C6601"/>
    <w:rsid w:val="004C6605"/>
    <w:rsid w:val="004C6620"/>
    <w:rsid w:val="004C6631"/>
    <w:rsid w:val="004C66A6"/>
    <w:rsid w:val="004C66B5"/>
    <w:rsid w:val="004C66C4"/>
    <w:rsid w:val="004C66FE"/>
    <w:rsid w:val="004C6730"/>
    <w:rsid w:val="004C6786"/>
    <w:rsid w:val="004C67B0"/>
    <w:rsid w:val="004C67B2"/>
    <w:rsid w:val="004C67B4"/>
    <w:rsid w:val="004C67FD"/>
    <w:rsid w:val="004C681C"/>
    <w:rsid w:val="004C681F"/>
    <w:rsid w:val="004C6859"/>
    <w:rsid w:val="004C6899"/>
    <w:rsid w:val="004C689C"/>
    <w:rsid w:val="004C68AC"/>
    <w:rsid w:val="004C698A"/>
    <w:rsid w:val="004C69AC"/>
    <w:rsid w:val="004C69DB"/>
    <w:rsid w:val="004C69E2"/>
    <w:rsid w:val="004C6A45"/>
    <w:rsid w:val="004C6AC0"/>
    <w:rsid w:val="004C6AE7"/>
    <w:rsid w:val="004C6B56"/>
    <w:rsid w:val="004C6BD9"/>
    <w:rsid w:val="004C6C14"/>
    <w:rsid w:val="004C6C15"/>
    <w:rsid w:val="004C6C38"/>
    <w:rsid w:val="004C6C91"/>
    <w:rsid w:val="004C6D27"/>
    <w:rsid w:val="004C6D54"/>
    <w:rsid w:val="004C6D87"/>
    <w:rsid w:val="004C6DB1"/>
    <w:rsid w:val="004C6DBB"/>
    <w:rsid w:val="004C6DCE"/>
    <w:rsid w:val="004C6DE0"/>
    <w:rsid w:val="004C6E35"/>
    <w:rsid w:val="004C6E58"/>
    <w:rsid w:val="004C6E7D"/>
    <w:rsid w:val="004C6E82"/>
    <w:rsid w:val="004C6E96"/>
    <w:rsid w:val="004C6F37"/>
    <w:rsid w:val="004C6F6F"/>
    <w:rsid w:val="004C6F7B"/>
    <w:rsid w:val="004C6F86"/>
    <w:rsid w:val="004C70AB"/>
    <w:rsid w:val="004C70F1"/>
    <w:rsid w:val="004C7104"/>
    <w:rsid w:val="004C7128"/>
    <w:rsid w:val="004C7154"/>
    <w:rsid w:val="004C719A"/>
    <w:rsid w:val="004C71E5"/>
    <w:rsid w:val="004C7201"/>
    <w:rsid w:val="004C7208"/>
    <w:rsid w:val="004C723B"/>
    <w:rsid w:val="004C727B"/>
    <w:rsid w:val="004C729E"/>
    <w:rsid w:val="004C730C"/>
    <w:rsid w:val="004C735E"/>
    <w:rsid w:val="004C736B"/>
    <w:rsid w:val="004C739C"/>
    <w:rsid w:val="004C73D7"/>
    <w:rsid w:val="004C73D8"/>
    <w:rsid w:val="004C7403"/>
    <w:rsid w:val="004C7435"/>
    <w:rsid w:val="004C74B9"/>
    <w:rsid w:val="004C74CE"/>
    <w:rsid w:val="004C75CC"/>
    <w:rsid w:val="004C7615"/>
    <w:rsid w:val="004C7627"/>
    <w:rsid w:val="004C763B"/>
    <w:rsid w:val="004C7646"/>
    <w:rsid w:val="004C7688"/>
    <w:rsid w:val="004C76A5"/>
    <w:rsid w:val="004C76C6"/>
    <w:rsid w:val="004C76D3"/>
    <w:rsid w:val="004C76F9"/>
    <w:rsid w:val="004C770B"/>
    <w:rsid w:val="004C7717"/>
    <w:rsid w:val="004C7729"/>
    <w:rsid w:val="004C7791"/>
    <w:rsid w:val="004C77F8"/>
    <w:rsid w:val="004C7819"/>
    <w:rsid w:val="004C7828"/>
    <w:rsid w:val="004C783B"/>
    <w:rsid w:val="004C78B3"/>
    <w:rsid w:val="004C7938"/>
    <w:rsid w:val="004C7948"/>
    <w:rsid w:val="004C794F"/>
    <w:rsid w:val="004C795A"/>
    <w:rsid w:val="004C796A"/>
    <w:rsid w:val="004C7979"/>
    <w:rsid w:val="004C79BB"/>
    <w:rsid w:val="004C79D1"/>
    <w:rsid w:val="004C7A06"/>
    <w:rsid w:val="004C7AE2"/>
    <w:rsid w:val="004C7AED"/>
    <w:rsid w:val="004C7B22"/>
    <w:rsid w:val="004C7B4B"/>
    <w:rsid w:val="004C7B5C"/>
    <w:rsid w:val="004C7B9D"/>
    <w:rsid w:val="004C7BCE"/>
    <w:rsid w:val="004C7C1D"/>
    <w:rsid w:val="004C7C3B"/>
    <w:rsid w:val="004C7C54"/>
    <w:rsid w:val="004C7C56"/>
    <w:rsid w:val="004C7C7F"/>
    <w:rsid w:val="004C7C8D"/>
    <w:rsid w:val="004C7CC7"/>
    <w:rsid w:val="004C7CCD"/>
    <w:rsid w:val="004C7D54"/>
    <w:rsid w:val="004C7D67"/>
    <w:rsid w:val="004C7D69"/>
    <w:rsid w:val="004C7DE7"/>
    <w:rsid w:val="004C7DF0"/>
    <w:rsid w:val="004C7DF2"/>
    <w:rsid w:val="004C7E08"/>
    <w:rsid w:val="004C7E42"/>
    <w:rsid w:val="004C7E67"/>
    <w:rsid w:val="004C7E8D"/>
    <w:rsid w:val="004C7EF1"/>
    <w:rsid w:val="004C7F43"/>
    <w:rsid w:val="004C7F59"/>
    <w:rsid w:val="004C7F5F"/>
    <w:rsid w:val="004C7F85"/>
    <w:rsid w:val="004C7FA8"/>
    <w:rsid w:val="004C7FC7"/>
    <w:rsid w:val="004C7FEA"/>
    <w:rsid w:val="004C7FF6"/>
    <w:rsid w:val="004D0010"/>
    <w:rsid w:val="004D004E"/>
    <w:rsid w:val="004D0083"/>
    <w:rsid w:val="004D00AD"/>
    <w:rsid w:val="004D00C4"/>
    <w:rsid w:val="004D00CA"/>
    <w:rsid w:val="004D014F"/>
    <w:rsid w:val="004D0163"/>
    <w:rsid w:val="004D0173"/>
    <w:rsid w:val="004D020C"/>
    <w:rsid w:val="004D0267"/>
    <w:rsid w:val="004D026E"/>
    <w:rsid w:val="004D0274"/>
    <w:rsid w:val="004D02A2"/>
    <w:rsid w:val="004D02E9"/>
    <w:rsid w:val="004D0329"/>
    <w:rsid w:val="004D0375"/>
    <w:rsid w:val="004D037E"/>
    <w:rsid w:val="004D041C"/>
    <w:rsid w:val="004D046D"/>
    <w:rsid w:val="004D049B"/>
    <w:rsid w:val="004D04B7"/>
    <w:rsid w:val="004D04E1"/>
    <w:rsid w:val="004D0552"/>
    <w:rsid w:val="004D057A"/>
    <w:rsid w:val="004D05AC"/>
    <w:rsid w:val="004D05C3"/>
    <w:rsid w:val="004D065C"/>
    <w:rsid w:val="004D0667"/>
    <w:rsid w:val="004D0696"/>
    <w:rsid w:val="004D06B1"/>
    <w:rsid w:val="004D06FA"/>
    <w:rsid w:val="004D0733"/>
    <w:rsid w:val="004D07D7"/>
    <w:rsid w:val="004D0809"/>
    <w:rsid w:val="004D0817"/>
    <w:rsid w:val="004D084E"/>
    <w:rsid w:val="004D0854"/>
    <w:rsid w:val="004D085B"/>
    <w:rsid w:val="004D085E"/>
    <w:rsid w:val="004D0867"/>
    <w:rsid w:val="004D08A3"/>
    <w:rsid w:val="004D08E5"/>
    <w:rsid w:val="004D08FB"/>
    <w:rsid w:val="004D08FC"/>
    <w:rsid w:val="004D0972"/>
    <w:rsid w:val="004D09A0"/>
    <w:rsid w:val="004D09B2"/>
    <w:rsid w:val="004D09C8"/>
    <w:rsid w:val="004D09D0"/>
    <w:rsid w:val="004D09ED"/>
    <w:rsid w:val="004D0A0D"/>
    <w:rsid w:val="004D0A7A"/>
    <w:rsid w:val="004D0AB8"/>
    <w:rsid w:val="004D0AC8"/>
    <w:rsid w:val="004D0AE0"/>
    <w:rsid w:val="004D0AED"/>
    <w:rsid w:val="004D0AF7"/>
    <w:rsid w:val="004D0B05"/>
    <w:rsid w:val="004D0B32"/>
    <w:rsid w:val="004D0B81"/>
    <w:rsid w:val="004D0BCF"/>
    <w:rsid w:val="004D0BEA"/>
    <w:rsid w:val="004D0BFA"/>
    <w:rsid w:val="004D0BFE"/>
    <w:rsid w:val="004D0C01"/>
    <w:rsid w:val="004D0C23"/>
    <w:rsid w:val="004D0C40"/>
    <w:rsid w:val="004D0C52"/>
    <w:rsid w:val="004D0C6F"/>
    <w:rsid w:val="004D0CBF"/>
    <w:rsid w:val="004D0CDE"/>
    <w:rsid w:val="004D0CDF"/>
    <w:rsid w:val="004D0CE3"/>
    <w:rsid w:val="004D0D77"/>
    <w:rsid w:val="004D0D84"/>
    <w:rsid w:val="004D0DA3"/>
    <w:rsid w:val="004D0DBE"/>
    <w:rsid w:val="004D0E60"/>
    <w:rsid w:val="004D0EA7"/>
    <w:rsid w:val="004D0EFA"/>
    <w:rsid w:val="004D0F17"/>
    <w:rsid w:val="004D0F1D"/>
    <w:rsid w:val="004D0F59"/>
    <w:rsid w:val="004D0F5C"/>
    <w:rsid w:val="004D0F5E"/>
    <w:rsid w:val="004D0F94"/>
    <w:rsid w:val="004D0FD4"/>
    <w:rsid w:val="004D1046"/>
    <w:rsid w:val="004D1059"/>
    <w:rsid w:val="004D108A"/>
    <w:rsid w:val="004D10C0"/>
    <w:rsid w:val="004D10D4"/>
    <w:rsid w:val="004D1164"/>
    <w:rsid w:val="004D11AC"/>
    <w:rsid w:val="004D120B"/>
    <w:rsid w:val="004D123B"/>
    <w:rsid w:val="004D129A"/>
    <w:rsid w:val="004D12AD"/>
    <w:rsid w:val="004D12B2"/>
    <w:rsid w:val="004D12DB"/>
    <w:rsid w:val="004D132A"/>
    <w:rsid w:val="004D1370"/>
    <w:rsid w:val="004D13BF"/>
    <w:rsid w:val="004D15B8"/>
    <w:rsid w:val="004D15E3"/>
    <w:rsid w:val="004D161F"/>
    <w:rsid w:val="004D164B"/>
    <w:rsid w:val="004D1676"/>
    <w:rsid w:val="004D16B1"/>
    <w:rsid w:val="004D16EE"/>
    <w:rsid w:val="004D1732"/>
    <w:rsid w:val="004D1745"/>
    <w:rsid w:val="004D1799"/>
    <w:rsid w:val="004D179A"/>
    <w:rsid w:val="004D179E"/>
    <w:rsid w:val="004D17CF"/>
    <w:rsid w:val="004D181A"/>
    <w:rsid w:val="004D18AA"/>
    <w:rsid w:val="004D18C0"/>
    <w:rsid w:val="004D1934"/>
    <w:rsid w:val="004D1998"/>
    <w:rsid w:val="004D19F9"/>
    <w:rsid w:val="004D1A44"/>
    <w:rsid w:val="004D1A6E"/>
    <w:rsid w:val="004D1A9E"/>
    <w:rsid w:val="004D1AA0"/>
    <w:rsid w:val="004D1AED"/>
    <w:rsid w:val="004D1B34"/>
    <w:rsid w:val="004D1B3C"/>
    <w:rsid w:val="004D1B95"/>
    <w:rsid w:val="004D1B9E"/>
    <w:rsid w:val="004D1CDF"/>
    <w:rsid w:val="004D1CEF"/>
    <w:rsid w:val="004D1D05"/>
    <w:rsid w:val="004D1D25"/>
    <w:rsid w:val="004D1DAD"/>
    <w:rsid w:val="004D1DF0"/>
    <w:rsid w:val="004D1DF2"/>
    <w:rsid w:val="004D1E1C"/>
    <w:rsid w:val="004D1E62"/>
    <w:rsid w:val="004D1E88"/>
    <w:rsid w:val="004D1ECF"/>
    <w:rsid w:val="004D1EF1"/>
    <w:rsid w:val="004D1F32"/>
    <w:rsid w:val="004D1FAD"/>
    <w:rsid w:val="004D1FB4"/>
    <w:rsid w:val="004D1FFE"/>
    <w:rsid w:val="004D201A"/>
    <w:rsid w:val="004D203F"/>
    <w:rsid w:val="004D2056"/>
    <w:rsid w:val="004D2077"/>
    <w:rsid w:val="004D20A1"/>
    <w:rsid w:val="004D2149"/>
    <w:rsid w:val="004D2166"/>
    <w:rsid w:val="004D219F"/>
    <w:rsid w:val="004D222E"/>
    <w:rsid w:val="004D223F"/>
    <w:rsid w:val="004D229C"/>
    <w:rsid w:val="004D22A7"/>
    <w:rsid w:val="004D22AA"/>
    <w:rsid w:val="004D22B4"/>
    <w:rsid w:val="004D22F0"/>
    <w:rsid w:val="004D2350"/>
    <w:rsid w:val="004D235F"/>
    <w:rsid w:val="004D2377"/>
    <w:rsid w:val="004D239D"/>
    <w:rsid w:val="004D2416"/>
    <w:rsid w:val="004D2467"/>
    <w:rsid w:val="004D24B6"/>
    <w:rsid w:val="004D24CF"/>
    <w:rsid w:val="004D24E4"/>
    <w:rsid w:val="004D257F"/>
    <w:rsid w:val="004D25C3"/>
    <w:rsid w:val="004D25C4"/>
    <w:rsid w:val="004D25EA"/>
    <w:rsid w:val="004D264E"/>
    <w:rsid w:val="004D2675"/>
    <w:rsid w:val="004D2692"/>
    <w:rsid w:val="004D269C"/>
    <w:rsid w:val="004D26B9"/>
    <w:rsid w:val="004D26C4"/>
    <w:rsid w:val="004D26D1"/>
    <w:rsid w:val="004D27A1"/>
    <w:rsid w:val="004D27ED"/>
    <w:rsid w:val="004D2897"/>
    <w:rsid w:val="004D28E1"/>
    <w:rsid w:val="004D2928"/>
    <w:rsid w:val="004D2996"/>
    <w:rsid w:val="004D29A3"/>
    <w:rsid w:val="004D29C7"/>
    <w:rsid w:val="004D29FB"/>
    <w:rsid w:val="004D2A24"/>
    <w:rsid w:val="004D2A48"/>
    <w:rsid w:val="004D2A63"/>
    <w:rsid w:val="004D2A67"/>
    <w:rsid w:val="004D2A79"/>
    <w:rsid w:val="004D2AA7"/>
    <w:rsid w:val="004D2ADF"/>
    <w:rsid w:val="004D2B0D"/>
    <w:rsid w:val="004D2B22"/>
    <w:rsid w:val="004D2B3A"/>
    <w:rsid w:val="004D2B43"/>
    <w:rsid w:val="004D2B9E"/>
    <w:rsid w:val="004D2BAC"/>
    <w:rsid w:val="004D2BBE"/>
    <w:rsid w:val="004D2C02"/>
    <w:rsid w:val="004D2C1E"/>
    <w:rsid w:val="004D2C3A"/>
    <w:rsid w:val="004D2C78"/>
    <w:rsid w:val="004D2D52"/>
    <w:rsid w:val="004D2D72"/>
    <w:rsid w:val="004D2E22"/>
    <w:rsid w:val="004D2E37"/>
    <w:rsid w:val="004D2E40"/>
    <w:rsid w:val="004D2E84"/>
    <w:rsid w:val="004D2E96"/>
    <w:rsid w:val="004D2EB1"/>
    <w:rsid w:val="004D2EB4"/>
    <w:rsid w:val="004D2F02"/>
    <w:rsid w:val="004D2F4C"/>
    <w:rsid w:val="004D2F72"/>
    <w:rsid w:val="004D2F96"/>
    <w:rsid w:val="004D2FA0"/>
    <w:rsid w:val="004D301B"/>
    <w:rsid w:val="004D302C"/>
    <w:rsid w:val="004D3127"/>
    <w:rsid w:val="004D3164"/>
    <w:rsid w:val="004D316E"/>
    <w:rsid w:val="004D318C"/>
    <w:rsid w:val="004D31B7"/>
    <w:rsid w:val="004D31F7"/>
    <w:rsid w:val="004D324D"/>
    <w:rsid w:val="004D3297"/>
    <w:rsid w:val="004D32A4"/>
    <w:rsid w:val="004D32B7"/>
    <w:rsid w:val="004D32C9"/>
    <w:rsid w:val="004D32D2"/>
    <w:rsid w:val="004D331F"/>
    <w:rsid w:val="004D3376"/>
    <w:rsid w:val="004D3392"/>
    <w:rsid w:val="004D341B"/>
    <w:rsid w:val="004D3422"/>
    <w:rsid w:val="004D3432"/>
    <w:rsid w:val="004D3435"/>
    <w:rsid w:val="004D3456"/>
    <w:rsid w:val="004D3470"/>
    <w:rsid w:val="004D34B9"/>
    <w:rsid w:val="004D34CC"/>
    <w:rsid w:val="004D3518"/>
    <w:rsid w:val="004D3538"/>
    <w:rsid w:val="004D3540"/>
    <w:rsid w:val="004D358C"/>
    <w:rsid w:val="004D3598"/>
    <w:rsid w:val="004D35B2"/>
    <w:rsid w:val="004D35C5"/>
    <w:rsid w:val="004D35CF"/>
    <w:rsid w:val="004D35EF"/>
    <w:rsid w:val="004D361E"/>
    <w:rsid w:val="004D370C"/>
    <w:rsid w:val="004D376B"/>
    <w:rsid w:val="004D376E"/>
    <w:rsid w:val="004D377C"/>
    <w:rsid w:val="004D378F"/>
    <w:rsid w:val="004D385C"/>
    <w:rsid w:val="004D38A3"/>
    <w:rsid w:val="004D38BC"/>
    <w:rsid w:val="004D3915"/>
    <w:rsid w:val="004D394A"/>
    <w:rsid w:val="004D3958"/>
    <w:rsid w:val="004D396A"/>
    <w:rsid w:val="004D39C6"/>
    <w:rsid w:val="004D3A5B"/>
    <w:rsid w:val="004D3AAE"/>
    <w:rsid w:val="004D3AFD"/>
    <w:rsid w:val="004D3B25"/>
    <w:rsid w:val="004D3B3A"/>
    <w:rsid w:val="004D3B3B"/>
    <w:rsid w:val="004D3C04"/>
    <w:rsid w:val="004D3C2E"/>
    <w:rsid w:val="004D3C4F"/>
    <w:rsid w:val="004D3C70"/>
    <w:rsid w:val="004D3C83"/>
    <w:rsid w:val="004D3C93"/>
    <w:rsid w:val="004D3CA0"/>
    <w:rsid w:val="004D3D13"/>
    <w:rsid w:val="004D3D16"/>
    <w:rsid w:val="004D3D2D"/>
    <w:rsid w:val="004D3D49"/>
    <w:rsid w:val="004D3D7E"/>
    <w:rsid w:val="004D3DDE"/>
    <w:rsid w:val="004D3E05"/>
    <w:rsid w:val="004D3E09"/>
    <w:rsid w:val="004D3E36"/>
    <w:rsid w:val="004D3EA5"/>
    <w:rsid w:val="004D3EB1"/>
    <w:rsid w:val="004D3F85"/>
    <w:rsid w:val="004D3F8E"/>
    <w:rsid w:val="004D3F9F"/>
    <w:rsid w:val="004D3FD1"/>
    <w:rsid w:val="004D3FDA"/>
    <w:rsid w:val="004D3FE5"/>
    <w:rsid w:val="004D4004"/>
    <w:rsid w:val="004D406D"/>
    <w:rsid w:val="004D407A"/>
    <w:rsid w:val="004D40FF"/>
    <w:rsid w:val="004D412E"/>
    <w:rsid w:val="004D4145"/>
    <w:rsid w:val="004D414A"/>
    <w:rsid w:val="004D4189"/>
    <w:rsid w:val="004D41A7"/>
    <w:rsid w:val="004D41EF"/>
    <w:rsid w:val="004D4223"/>
    <w:rsid w:val="004D4282"/>
    <w:rsid w:val="004D42A1"/>
    <w:rsid w:val="004D42CD"/>
    <w:rsid w:val="004D4383"/>
    <w:rsid w:val="004D43A1"/>
    <w:rsid w:val="004D43B0"/>
    <w:rsid w:val="004D43C7"/>
    <w:rsid w:val="004D440C"/>
    <w:rsid w:val="004D442B"/>
    <w:rsid w:val="004D44B3"/>
    <w:rsid w:val="004D44C1"/>
    <w:rsid w:val="004D4525"/>
    <w:rsid w:val="004D454C"/>
    <w:rsid w:val="004D45BB"/>
    <w:rsid w:val="004D460C"/>
    <w:rsid w:val="004D460E"/>
    <w:rsid w:val="004D4612"/>
    <w:rsid w:val="004D464F"/>
    <w:rsid w:val="004D4653"/>
    <w:rsid w:val="004D46AB"/>
    <w:rsid w:val="004D46D3"/>
    <w:rsid w:val="004D46DC"/>
    <w:rsid w:val="004D471B"/>
    <w:rsid w:val="004D4763"/>
    <w:rsid w:val="004D4764"/>
    <w:rsid w:val="004D476B"/>
    <w:rsid w:val="004D47F7"/>
    <w:rsid w:val="004D4857"/>
    <w:rsid w:val="004D4873"/>
    <w:rsid w:val="004D489A"/>
    <w:rsid w:val="004D48AE"/>
    <w:rsid w:val="004D48DB"/>
    <w:rsid w:val="004D494D"/>
    <w:rsid w:val="004D496F"/>
    <w:rsid w:val="004D4974"/>
    <w:rsid w:val="004D49A8"/>
    <w:rsid w:val="004D4A2E"/>
    <w:rsid w:val="004D4A6D"/>
    <w:rsid w:val="004D4A80"/>
    <w:rsid w:val="004D4A93"/>
    <w:rsid w:val="004D4AFE"/>
    <w:rsid w:val="004D4B07"/>
    <w:rsid w:val="004D4B57"/>
    <w:rsid w:val="004D4B65"/>
    <w:rsid w:val="004D4B6E"/>
    <w:rsid w:val="004D4BF3"/>
    <w:rsid w:val="004D4C14"/>
    <w:rsid w:val="004D4C2B"/>
    <w:rsid w:val="004D4C43"/>
    <w:rsid w:val="004D4C91"/>
    <w:rsid w:val="004D4CB3"/>
    <w:rsid w:val="004D4CF3"/>
    <w:rsid w:val="004D4D19"/>
    <w:rsid w:val="004D4D3E"/>
    <w:rsid w:val="004D4D5A"/>
    <w:rsid w:val="004D4D5C"/>
    <w:rsid w:val="004D4D61"/>
    <w:rsid w:val="004D4D7A"/>
    <w:rsid w:val="004D4D8C"/>
    <w:rsid w:val="004D4DAD"/>
    <w:rsid w:val="004D4DAF"/>
    <w:rsid w:val="004D4DF5"/>
    <w:rsid w:val="004D4E65"/>
    <w:rsid w:val="004D4E77"/>
    <w:rsid w:val="004D4E7A"/>
    <w:rsid w:val="004D4F01"/>
    <w:rsid w:val="004D4F64"/>
    <w:rsid w:val="004D4FA8"/>
    <w:rsid w:val="004D501B"/>
    <w:rsid w:val="004D50B4"/>
    <w:rsid w:val="004D50C3"/>
    <w:rsid w:val="004D50DD"/>
    <w:rsid w:val="004D50F8"/>
    <w:rsid w:val="004D512F"/>
    <w:rsid w:val="004D5176"/>
    <w:rsid w:val="004D51B4"/>
    <w:rsid w:val="004D5250"/>
    <w:rsid w:val="004D528A"/>
    <w:rsid w:val="004D53AB"/>
    <w:rsid w:val="004D53FB"/>
    <w:rsid w:val="004D5402"/>
    <w:rsid w:val="004D5408"/>
    <w:rsid w:val="004D5409"/>
    <w:rsid w:val="004D541F"/>
    <w:rsid w:val="004D544E"/>
    <w:rsid w:val="004D5463"/>
    <w:rsid w:val="004D54B5"/>
    <w:rsid w:val="004D54EF"/>
    <w:rsid w:val="004D54FA"/>
    <w:rsid w:val="004D554D"/>
    <w:rsid w:val="004D557B"/>
    <w:rsid w:val="004D55A0"/>
    <w:rsid w:val="004D55A1"/>
    <w:rsid w:val="004D55EA"/>
    <w:rsid w:val="004D55EB"/>
    <w:rsid w:val="004D570A"/>
    <w:rsid w:val="004D571B"/>
    <w:rsid w:val="004D573F"/>
    <w:rsid w:val="004D5740"/>
    <w:rsid w:val="004D57A7"/>
    <w:rsid w:val="004D57AB"/>
    <w:rsid w:val="004D57B8"/>
    <w:rsid w:val="004D57C9"/>
    <w:rsid w:val="004D57D1"/>
    <w:rsid w:val="004D57DB"/>
    <w:rsid w:val="004D57ED"/>
    <w:rsid w:val="004D586D"/>
    <w:rsid w:val="004D589B"/>
    <w:rsid w:val="004D58A4"/>
    <w:rsid w:val="004D58C9"/>
    <w:rsid w:val="004D58EE"/>
    <w:rsid w:val="004D5957"/>
    <w:rsid w:val="004D5997"/>
    <w:rsid w:val="004D59B3"/>
    <w:rsid w:val="004D5A20"/>
    <w:rsid w:val="004D5A76"/>
    <w:rsid w:val="004D5AAB"/>
    <w:rsid w:val="004D5AD6"/>
    <w:rsid w:val="004D5AFB"/>
    <w:rsid w:val="004D5BB2"/>
    <w:rsid w:val="004D5BE0"/>
    <w:rsid w:val="004D5C6D"/>
    <w:rsid w:val="004D5C8B"/>
    <w:rsid w:val="004D5CAA"/>
    <w:rsid w:val="004D5CDF"/>
    <w:rsid w:val="004D5CE7"/>
    <w:rsid w:val="004D5CF1"/>
    <w:rsid w:val="004D5D31"/>
    <w:rsid w:val="004D5D36"/>
    <w:rsid w:val="004D5D50"/>
    <w:rsid w:val="004D5D52"/>
    <w:rsid w:val="004D5DF8"/>
    <w:rsid w:val="004D5E05"/>
    <w:rsid w:val="004D5E07"/>
    <w:rsid w:val="004D5E34"/>
    <w:rsid w:val="004D5E3C"/>
    <w:rsid w:val="004D5E5C"/>
    <w:rsid w:val="004D5EF6"/>
    <w:rsid w:val="004D5F5B"/>
    <w:rsid w:val="004D5F91"/>
    <w:rsid w:val="004D5F94"/>
    <w:rsid w:val="004D5FBB"/>
    <w:rsid w:val="004D5FF0"/>
    <w:rsid w:val="004D602E"/>
    <w:rsid w:val="004D60D5"/>
    <w:rsid w:val="004D60DE"/>
    <w:rsid w:val="004D6141"/>
    <w:rsid w:val="004D614E"/>
    <w:rsid w:val="004D615B"/>
    <w:rsid w:val="004D6179"/>
    <w:rsid w:val="004D6199"/>
    <w:rsid w:val="004D6206"/>
    <w:rsid w:val="004D6221"/>
    <w:rsid w:val="004D62A1"/>
    <w:rsid w:val="004D62A2"/>
    <w:rsid w:val="004D62AB"/>
    <w:rsid w:val="004D62E7"/>
    <w:rsid w:val="004D6367"/>
    <w:rsid w:val="004D63B4"/>
    <w:rsid w:val="004D6444"/>
    <w:rsid w:val="004D64D1"/>
    <w:rsid w:val="004D64F5"/>
    <w:rsid w:val="004D6580"/>
    <w:rsid w:val="004D65A9"/>
    <w:rsid w:val="004D65CD"/>
    <w:rsid w:val="004D6611"/>
    <w:rsid w:val="004D663C"/>
    <w:rsid w:val="004D6684"/>
    <w:rsid w:val="004D66E8"/>
    <w:rsid w:val="004D670A"/>
    <w:rsid w:val="004D671E"/>
    <w:rsid w:val="004D6745"/>
    <w:rsid w:val="004D6767"/>
    <w:rsid w:val="004D6794"/>
    <w:rsid w:val="004D67B7"/>
    <w:rsid w:val="004D67B8"/>
    <w:rsid w:val="004D682C"/>
    <w:rsid w:val="004D683F"/>
    <w:rsid w:val="004D6847"/>
    <w:rsid w:val="004D689B"/>
    <w:rsid w:val="004D6925"/>
    <w:rsid w:val="004D694C"/>
    <w:rsid w:val="004D694E"/>
    <w:rsid w:val="004D6955"/>
    <w:rsid w:val="004D6981"/>
    <w:rsid w:val="004D6982"/>
    <w:rsid w:val="004D69AB"/>
    <w:rsid w:val="004D6A09"/>
    <w:rsid w:val="004D6A2B"/>
    <w:rsid w:val="004D6A3E"/>
    <w:rsid w:val="004D6A50"/>
    <w:rsid w:val="004D6A77"/>
    <w:rsid w:val="004D6ACD"/>
    <w:rsid w:val="004D6B00"/>
    <w:rsid w:val="004D6B58"/>
    <w:rsid w:val="004D6B71"/>
    <w:rsid w:val="004D6B8C"/>
    <w:rsid w:val="004D6BA5"/>
    <w:rsid w:val="004D6BAC"/>
    <w:rsid w:val="004D6BCF"/>
    <w:rsid w:val="004D6BE0"/>
    <w:rsid w:val="004D6C80"/>
    <w:rsid w:val="004D6C9B"/>
    <w:rsid w:val="004D6CE9"/>
    <w:rsid w:val="004D6CEF"/>
    <w:rsid w:val="004D6CF3"/>
    <w:rsid w:val="004D6CF7"/>
    <w:rsid w:val="004D6D00"/>
    <w:rsid w:val="004D6D02"/>
    <w:rsid w:val="004D6D71"/>
    <w:rsid w:val="004D6E0C"/>
    <w:rsid w:val="004D6E21"/>
    <w:rsid w:val="004D6E99"/>
    <w:rsid w:val="004D6EA1"/>
    <w:rsid w:val="004D6EBA"/>
    <w:rsid w:val="004D6F1E"/>
    <w:rsid w:val="004D6F44"/>
    <w:rsid w:val="004D6F8D"/>
    <w:rsid w:val="004D6FA5"/>
    <w:rsid w:val="004D6FC7"/>
    <w:rsid w:val="004D6FD9"/>
    <w:rsid w:val="004D7004"/>
    <w:rsid w:val="004D7017"/>
    <w:rsid w:val="004D701E"/>
    <w:rsid w:val="004D7028"/>
    <w:rsid w:val="004D7037"/>
    <w:rsid w:val="004D70CA"/>
    <w:rsid w:val="004D712C"/>
    <w:rsid w:val="004D71A5"/>
    <w:rsid w:val="004D71D1"/>
    <w:rsid w:val="004D71F7"/>
    <w:rsid w:val="004D71FE"/>
    <w:rsid w:val="004D722A"/>
    <w:rsid w:val="004D722B"/>
    <w:rsid w:val="004D7256"/>
    <w:rsid w:val="004D7286"/>
    <w:rsid w:val="004D72CF"/>
    <w:rsid w:val="004D7351"/>
    <w:rsid w:val="004D7380"/>
    <w:rsid w:val="004D738D"/>
    <w:rsid w:val="004D73EF"/>
    <w:rsid w:val="004D7400"/>
    <w:rsid w:val="004D7430"/>
    <w:rsid w:val="004D7449"/>
    <w:rsid w:val="004D7470"/>
    <w:rsid w:val="004D7489"/>
    <w:rsid w:val="004D74AA"/>
    <w:rsid w:val="004D74C3"/>
    <w:rsid w:val="004D74DD"/>
    <w:rsid w:val="004D74DF"/>
    <w:rsid w:val="004D753F"/>
    <w:rsid w:val="004D7598"/>
    <w:rsid w:val="004D75B7"/>
    <w:rsid w:val="004D75E3"/>
    <w:rsid w:val="004D764E"/>
    <w:rsid w:val="004D765C"/>
    <w:rsid w:val="004D76B7"/>
    <w:rsid w:val="004D76BF"/>
    <w:rsid w:val="004D76D7"/>
    <w:rsid w:val="004D7756"/>
    <w:rsid w:val="004D775A"/>
    <w:rsid w:val="004D776D"/>
    <w:rsid w:val="004D77F4"/>
    <w:rsid w:val="004D77FE"/>
    <w:rsid w:val="004D782A"/>
    <w:rsid w:val="004D7841"/>
    <w:rsid w:val="004D789D"/>
    <w:rsid w:val="004D78A8"/>
    <w:rsid w:val="004D78C8"/>
    <w:rsid w:val="004D78DC"/>
    <w:rsid w:val="004D78F5"/>
    <w:rsid w:val="004D790A"/>
    <w:rsid w:val="004D794F"/>
    <w:rsid w:val="004D797F"/>
    <w:rsid w:val="004D799C"/>
    <w:rsid w:val="004D79AC"/>
    <w:rsid w:val="004D79CF"/>
    <w:rsid w:val="004D7A77"/>
    <w:rsid w:val="004D7A95"/>
    <w:rsid w:val="004D7A99"/>
    <w:rsid w:val="004D7AF7"/>
    <w:rsid w:val="004D7B0F"/>
    <w:rsid w:val="004D7B22"/>
    <w:rsid w:val="004D7BA1"/>
    <w:rsid w:val="004D7BAE"/>
    <w:rsid w:val="004D7BB4"/>
    <w:rsid w:val="004D7BC2"/>
    <w:rsid w:val="004D7BCC"/>
    <w:rsid w:val="004D7BF9"/>
    <w:rsid w:val="004D7C70"/>
    <w:rsid w:val="004D7C80"/>
    <w:rsid w:val="004D7CAF"/>
    <w:rsid w:val="004D7CE4"/>
    <w:rsid w:val="004D7D08"/>
    <w:rsid w:val="004D7D0D"/>
    <w:rsid w:val="004D7D59"/>
    <w:rsid w:val="004D7D98"/>
    <w:rsid w:val="004D7DB7"/>
    <w:rsid w:val="004D7DEB"/>
    <w:rsid w:val="004D7E5F"/>
    <w:rsid w:val="004D7EA1"/>
    <w:rsid w:val="004D7EC6"/>
    <w:rsid w:val="004D7EFE"/>
    <w:rsid w:val="004D7F31"/>
    <w:rsid w:val="004D7F6A"/>
    <w:rsid w:val="004D7F6B"/>
    <w:rsid w:val="004D7F8D"/>
    <w:rsid w:val="004D7FEC"/>
    <w:rsid w:val="004E0000"/>
    <w:rsid w:val="004E0005"/>
    <w:rsid w:val="004E00A3"/>
    <w:rsid w:val="004E00D3"/>
    <w:rsid w:val="004E00F0"/>
    <w:rsid w:val="004E00F8"/>
    <w:rsid w:val="004E016A"/>
    <w:rsid w:val="004E0184"/>
    <w:rsid w:val="004E0218"/>
    <w:rsid w:val="004E022B"/>
    <w:rsid w:val="004E0263"/>
    <w:rsid w:val="004E02A3"/>
    <w:rsid w:val="004E030B"/>
    <w:rsid w:val="004E0345"/>
    <w:rsid w:val="004E0368"/>
    <w:rsid w:val="004E0376"/>
    <w:rsid w:val="004E03A1"/>
    <w:rsid w:val="004E0401"/>
    <w:rsid w:val="004E0404"/>
    <w:rsid w:val="004E041E"/>
    <w:rsid w:val="004E0450"/>
    <w:rsid w:val="004E0459"/>
    <w:rsid w:val="004E046A"/>
    <w:rsid w:val="004E0477"/>
    <w:rsid w:val="004E049D"/>
    <w:rsid w:val="004E04BB"/>
    <w:rsid w:val="004E04C5"/>
    <w:rsid w:val="004E04C7"/>
    <w:rsid w:val="004E0527"/>
    <w:rsid w:val="004E052B"/>
    <w:rsid w:val="004E053C"/>
    <w:rsid w:val="004E056D"/>
    <w:rsid w:val="004E05E4"/>
    <w:rsid w:val="004E0602"/>
    <w:rsid w:val="004E065C"/>
    <w:rsid w:val="004E0750"/>
    <w:rsid w:val="004E0765"/>
    <w:rsid w:val="004E076A"/>
    <w:rsid w:val="004E07BF"/>
    <w:rsid w:val="004E07CF"/>
    <w:rsid w:val="004E07F9"/>
    <w:rsid w:val="004E0866"/>
    <w:rsid w:val="004E0872"/>
    <w:rsid w:val="004E0893"/>
    <w:rsid w:val="004E08AA"/>
    <w:rsid w:val="004E09AE"/>
    <w:rsid w:val="004E09FB"/>
    <w:rsid w:val="004E0A29"/>
    <w:rsid w:val="004E0A57"/>
    <w:rsid w:val="004E0B3A"/>
    <w:rsid w:val="004E0B56"/>
    <w:rsid w:val="004E0B57"/>
    <w:rsid w:val="004E0B9F"/>
    <w:rsid w:val="004E0BC5"/>
    <w:rsid w:val="004E0BCB"/>
    <w:rsid w:val="004E0C09"/>
    <w:rsid w:val="004E0C41"/>
    <w:rsid w:val="004E0C6A"/>
    <w:rsid w:val="004E0C97"/>
    <w:rsid w:val="004E0C9B"/>
    <w:rsid w:val="004E0CD3"/>
    <w:rsid w:val="004E0D4A"/>
    <w:rsid w:val="004E0D64"/>
    <w:rsid w:val="004E0D84"/>
    <w:rsid w:val="004E0D8C"/>
    <w:rsid w:val="004E0D92"/>
    <w:rsid w:val="004E0E17"/>
    <w:rsid w:val="004E0E8D"/>
    <w:rsid w:val="004E0EC3"/>
    <w:rsid w:val="004E0F15"/>
    <w:rsid w:val="004E0F19"/>
    <w:rsid w:val="004E0F34"/>
    <w:rsid w:val="004E0F39"/>
    <w:rsid w:val="004E0F44"/>
    <w:rsid w:val="004E0FD7"/>
    <w:rsid w:val="004E108D"/>
    <w:rsid w:val="004E109A"/>
    <w:rsid w:val="004E10A2"/>
    <w:rsid w:val="004E10A5"/>
    <w:rsid w:val="004E1122"/>
    <w:rsid w:val="004E11CB"/>
    <w:rsid w:val="004E11D9"/>
    <w:rsid w:val="004E11E9"/>
    <w:rsid w:val="004E120E"/>
    <w:rsid w:val="004E1215"/>
    <w:rsid w:val="004E1220"/>
    <w:rsid w:val="004E125D"/>
    <w:rsid w:val="004E12C1"/>
    <w:rsid w:val="004E135F"/>
    <w:rsid w:val="004E13A1"/>
    <w:rsid w:val="004E13C7"/>
    <w:rsid w:val="004E13DD"/>
    <w:rsid w:val="004E140B"/>
    <w:rsid w:val="004E1415"/>
    <w:rsid w:val="004E144D"/>
    <w:rsid w:val="004E146E"/>
    <w:rsid w:val="004E1483"/>
    <w:rsid w:val="004E1489"/>
    <w:rsid w:val="004E1495"/>
    <w:rsid w:val="004E14BC"/>
    <w:rsid w:val="004E14F1"/>
    <w:rsid w:val="004E151C"/>
    <w:rsid w:val="004E1537"/>
    <w:rsid w:val="004E1638"/>
    <w:rsid w:val="004E167A"/>
    <w:rsid w:val="004E16D8"/>
    <w:rsid w:val="004E1728"/>
    <w:rsid w:val="004E1770"/>
    <w:rsid w:val="004E1774"/>
    <w:rsid w:val="004E1778"/>
    <w:rsid w:val="004E17A9"/>
    <w:rsid w:val="004E182D"/>
    <w:rsid w:val="004E1833"/>
    <w:rsid w:val="004E1881"/>
    <w:rsid w:val="004E18AA"/>
    <w:rsid w:val="004E18B5"/>
    <w:rsid w:val="004E1933"/>
    <w:rsid w:val="004E19CC"/>
    <w:rsid w:val="004E1A02"/>
    <w:rsid w:val="004E1A9E"/>
    <w:rsid w:val="004E1AB4"/>
    <w:rsid w:val="004E1B08"/>
    <w:rsid w:val="004E1BA8"/>
    <w:rsid w:val="004E1BB4"/>
    <w:rsid w:val="004E1BC0"/>
    <w:rsid w:val="004E1BE2"/>
    <w:rsid w:val="004E1C17"/>
    <w:rsid w:val="004E1C48"/>
    <w:rsid w:val="004E1C6F"/>
    <w:rsid w:val="004E1C77"/>
    <w:rsid w:val="004E1CAD"/>
    <w:rsid w:val="004E1CC2"/>
    <w:rsid w:val="004E1D94"/>
    <w:rsid w:val="004E1E4B"/>
    <w:rsid w:val="004E1E54"/>
    <w:rsid w:val="004E1E5F"/>
    <w:rsid w:val="004E1EA8"/>
    <w:rsid w:val="004E1EAA"/>
    <w:rsid w:val="004E1EE5"/>
    <w:rsid w:val="004E1F6B"/>
    <w:rsid w:val="004E1F71"/>
    <w:rsid w:val="004E1F72"/>
    <w:rsid w:val="004E1F81"/>
    <w:rsid w:val="004E1FC6"/>
    <w:rsid w:val="004E1FF8"/>
    <w:rsid w:val="004E203A"/>
    <w:rsid w:val="004E2050"/>
    <w:rsid w:val="004E2074"/>
    <w:rsid w:val="004E2087"/>
    <w:rsid w:val="004E20A0"/>
    <w:rsid w:val="004E20D9"/>
    <w:rsid w:val="004E20F1"/>
    <w:rsid w:val="004E2124"/>
    <w:rsid w:val="004E213E"/>
    <w:rsid w:val="004E2171"/>
    <w:rsid w:val="004E218D"/>
    <w:rsid w:val="004E21EC"/>
    <w:rsid w:val="004E2206"/>
    <w:rsid w:val="004E229E"/>
    <w:rsid w:val="004E2300"/>
    <w:rsid w:val="004E235B"/>
    <w:rsid w:val="004E237D"/>
    <w:rsid w:val="004E23DA"/>
    <w:rsid w:val="004E2477"/>
    <w:rsid w:val="004E24BA"/>
    <w:rsid w:val="004E24FB"/>
    <w:rsid w:val="004E24FC"/>
    <w:rsid w:val="004E2537"/>
    <w:rsid w:val="004E254F"/>
    <w:rsid w:val="004E25C3"/>
    <w:rsid w:val="004E25C5"/>
    <w:rsid w:val="004E269D"/>
    <w:rsid w:val="004E26CD"/>
    <w:rsid w:val="004E26F6"/>
    <w:rsid w:val="004E272D"/>
    <w:rsid w:val="004E273D"/>
    <w:rsid w:val="004E275E"/>
    <w:rsid w:val="004E276B"/>
    <w:rsid w:val="004E279F"/>
    <w:rsid w:val="004E27E3"/>
    <w:rsid w:val="004E27F6"/>
    <w:rsid w:val="004E2804"/>
    <w:rsid w:val="004E2832"/>
    <w:rsid w:val="004E28F3"/>
    <w:rsid w:val="004E294F"/>
    <w:rsid w:val="004E29EA"/>
    <w:rsid w:val="004E2A33"/>
    <w:rsid w:val="004E2A70"/>
    <w:rsid w:val="004E2A86"/>
    <w:rsid w:val="004E2AAB"/>
    <w:rsid w:val="004E2AB5"/>
    <w:rsid w:val="004E2AC8"/>
    <w:rsid w:val="004E2B3E"/>
    <w:rsid w:val="004E2B46"/>
    <w:rsid w:val="004E2B53"/>
    <w:rsid w:val="004E2B81"/>
    <w:rsid w:val="004E2B9E"/>
    <w:rsid w:val="004E2BC4"/>
    <w:rsid w:val="004E2BFE"/>
    <w:rsid w:val="004E2D22"/>
    <w:rsid w:val="004E2D78"/>
    <w:rsid w:val="004E2DD9"/>
    <w:rsid w:val="004E2DF2"/>
    <w:rsid w:val="004E2E15"/>
    <w:rsid w:val="004E2E21"/>
    <w:rsid w:val="004E2E38"/>
    <w:rsid w:val="004E2E51"/>
    <w:rsid w:val="004E2E84"/>
    <w:rsid w:val="004E2EA2"/>
    <w:rsid w:val="004E2EAD"/>
    <w:rsid w:val="004E2EBF"/>
    <w:rsid w:val="004E2EC7"/>
    <w:rsid w:val="004E2ED1"/>
    <w:rsid w:val="004E2F1E"/>
    <w:rsid w:val="004E2F4B"/>
    <w:rsid w:val="004E2F77"/>
    <w:rsid w:val="004E2F9A"/>
    <w:rsid w:val="004E2FAA"/>
    <w:rsid w:val="004E3011"/>
    <w:rsid w:val="004E3022"/>
    <w:rsid w:val="004E3043"/>
    <w:rsid w:val="004E3044"/>
    <w:rsid w:val="004E305C"/>
    <w:rsid w:val="004E3071"/>
    <w:rsid w:val="004E30A4"/>
    <w:rsid w:val="004E30C6"/>
    <w:rsid w:val="004E30D0"/>
    <w:rsid w:val="004E30D9"/>
    <w:rsid w:val="004E311E"/>
    <w:rsid w:val="004E316D"/>
    <w:rsid w:val="004E3184"/>
    <w:rsid w:val="004E31CB"/>
    <w:rsid w:val="004E31E5"/>
    <w:rsid w:val="004E3226"/>
    <w:rsid w:val="004E3284"/>
    <w:rsid w:val="004E32E5"/>
    <w:rsid w:val="004E3312"/>
    <w:rsid w:val="004E3340"/>
    <w:rsid w:val="004E337B"/>
    <w:rsid w:val="004E33AD"/>
    <w:rsid w:val="004E33C4"/>
    <w:rsid w:val="004E33CB"/>
    <w:rsid w:val="004E33E2"/>
    <w:rsid w:val="004E3405"/>
    <w:rsid w:val="004E34FA"/>
    <w:rsid w:val="004E351A"/>
    <w:rsid w:val="004E354C"/>
    <w:rsid w:val="004E3563"/>
    <w:rsid w:val="004E3571"/>
    <w:rsid w:val="004E35CC"/>
    <w:rsid w:val="004E35F8"/>
    <w:rsid w:val="004E365D"/>
    <w:rsid w:val="004E3669"/>
    <w:rsid w:val="004E366F"/>
    <w:rsid w:val="004E3682"/>
    <w:rsid w:val="004E368C"/>
    <w:rsid w:val="004E369B"/>
    <w:rsid w:val="004E36E2"/>
    <w:rsid w:val="004E3738"/>
    <w:rsid w:val="004E3745"/>
    <w:rsid w:val="004E376A"/>
    <w:rsid w:val="004E377D"/>
    <w:rsid w:val="004E37CC"/>
    <w:rsid w:val="004E37CE"/>
    <w:rsid w:val="004E37EE"/>
    <w:rsid w:val="004E380E"/>
    <w:rsid w:val="004E3828"/>
    <w:rsid w:val="004E383A"/>
    <w:rsid w:val="004E3872"/>
    <w:rsid w:val="004E3885"/>
    <w:rsid w:val="004E391B"/>
    <w:rsid w:val="004E3959"/>
    <w:rsid w:val="004E39A0"/>
    <w:rsid w:val="004E39EC"/>
    <w:rsid w:val="004E39ED"/>
    <w:rsid w:val="004E3A29"/>
    <w:rsid w:val="004E3AA8"/>
    <w:rsid w:val="004E3AF1"/>
    <w:rsid w:val="004E3B6C"/>
    <w:rsid w:val="004E3B90"/>
    <w:rsid w:val="004E3BA2"/>
    <w:rsid w:val="004E3C35"/>
    <w:rsid w:val="004E3C6F"/>
    <w:rsid w:val="004E3C7B"/>
    <w:rsid w:val="004E3C86"/>
    <w:rsid w:val="004E3CCD"/>
    <w:rsid w:val="004E3D68"/>
    <w:rsid w:val="004E3D77"/>
    <w:rsid w:val="004E3E1B"/>
    <w:rsid w:val="004E3E3A"/>
    <w:rsid w:val="004E3EFC"/>
    <w:rsid w:val="004E3F53"/>
    <w:rsid w:val="004E3F65"/>
    <w:rsid w:val="004E3F68"/>
    <w:rsid w:val="004E4024"/>
    <w:rsid w:val="004E4048"/>
    <w:rsid w:val="004E4056"/>
    <w:rsid w:val="004E407C"/>
    <w:rsid w:val="004E40AD"/>
    <w:rsid w:val="004E4174"/>
    <w:rsid w:val="004E417B"/>
    <w:rsid w:val="004E41DC"/>
    <w:rsid w:val="004E41FB"/>
    <w:rsid w:val="004E4262"/>
    <w:rsid w:val="004E4278"/>
    <w:rsid w:val="004E4294"/>
    <w:rsid w:val="004E42A8"/>
    <w:rsid w:val="004E42B9"/>
    <w:rsid w:val="004E42C4"/>
    <w:rsid w:val="004E42D2"/>
    <w:rsid w:val="004E4336"/>
    <w:rsid w:val="004E4361"/>
    <w:rsid w:val="004E43A6"/>
    <w:rsid w:val="004E43B9"/>
    <w:rsid w:val="004E43BD"/>
    <w:rsid w:val="004E43FA"/>
    <w:rsid w:val="004E4403"/>
    <w:rsid w:val="004E4416"/>
    <w:rsid w:val="004E447C"/>
    <w:rsid w:val="004E44FF"/>
    <w:rsid w:val="004E454F"/>
    <w:rsid w:val="004E4569"/>
    <w:rsid w:val="004E462C"/>
    <w:rsid w:val="004E463F"/>
    <w:rsid w:val="004E46EF"/>
    <w:rsid w:val="004E46F8"/>
    <w:rsid w:val="004E4731"/>
    <w:rsid w:val="004E477F"/>
    <w:rsid w:val="004E47A3"/>
    <w:rsid w:val="004E47BC"/>
    <w:rsid w:val="004E47DB"/>
    <w:rsid w:val="004E47EA"/>
    <w:rsid w:val="004E4848"/>
    <w:rsid w:val="004E4871"/>
    <w:rsid w:val="004E491F"/>
    <w:rsid w:val="004E4949"/>
    <w:rsid w:val="004E4951"/>
    <w:rsid w:val="004E4A12"/>
    <w:rsid w:val="004E4A1E"/>
    <w:rsid w:val="004E4A8B"/>
    <w:rsid w:val="004E4AE4"/>
    <w:rsid w:val="004E4B6D"/>
    <w:rsid w:val="004E4BA0"/>
    <w:rsid w:val="004E4C58"/>
    <w:rsid w:val="004E4CDF"/>
    <w:rsid w:val="004E4D24"/>
    <w:rsid w:val="004E4D3D"/>
    <w:rsid w:val="004E4D41"/>
    <w:rsid w:val="004E4D4D"/>
    <w:rsid w:val="004E4DCC"/>
    <w:rsid w:val="004E4DDE"/>
    <w:rsid w:val="004E4DF9"/>
    <w:rsid w:val="004E4DFB"/>
    <w:rsid w:val="004E4E10"/>
    <w:rsid w:val="004E4E88"/>
    <w:rsid w:val="004E4EEB"/>
    <w:rsid w:val="004E4F52"/>
    <w:rsid w:val="004E4F53"/>
    <w:rsid w:val="004E4FCF"/>
    <w:rsid w:val="004E502B"/>
    <w:rsid w:val="004E5037"/>
    <w:rsid w:val="004E5043"/>
    <w:rsid w:val="004E5075"/>
    <w:rsid w:val="004E50B0"/>
    <w:rsid w:val="004E5102"/>
    <w:rsid w:val="004E5125"/>
    <w:rsid w:val="004E5126"/>
    <w:rsid w:val="004E5134"/>
    <w:rsid w:val="004E5138"/>
    <w:rsid w:val="004E51AC"/>
    <w:rsid w:val="004E51F2"/>
    <w:rsid w:val="004E5207"/>
    <w:rsid w:val="004E5263"/>
    <w:rsid w:val="004E52E3"/>
    <w:rsid w:val="004E5306"/>
    <w:rsid w:val="004E5356"/>
    <w:rsid w:val="004E535D"/>
    <w:rsid w:val="004E537E"/>
    <w:rsid w:val="004E538A"/>
    <w:rsid w:val="004E539E"/>
    <w:rsid w:val="004E53B8"/>
    <w:rsid w:val="004E53FC"/>
    <w:rsid w:val="004E53FF"/>
    <w:rsid w:val="004E5426"/>
    <w:rsid w:val="004E5477"/>
    <w:rsid w:val="004E54E7"/>
    <w:rsid w:val="004E5556"/>
    <w:rsid w:val="004E5569"/>
    <w:rsid w:val="004E558B"/>
    <w:rsid w:val="004E558E"/>
    <w:rsid w:val="004E5599"/>
    <w:rsid w:val="004E55A9"/>
    <w:rsid w:val="004E55FC"/>
    <w:rsid w:val="004E561B"/>
    <w:rsid w:val="004E565B"/>
    <w:rsid w:val="004E567F"/>
    <w:rsid w:val="004E568C"/>
    <w:rsid w:val="004E56EE"/>
    <w:rsid w:val="004E56EF"/>
    <w:rsid w:val="004E5721"/>
    <w:rsid w:val="004E5729"/>
    <w:rsid w:val="004E574E"/>
    <w:rsid w:val="004E57E5"/>
    <w:rsid w:val="004E5819"/>
    <w:rsid w:val="004E5859"/>
    <w:rsid w:val="004E585A"/>
    <w:rsid w:val="004E585E"/>
    <w:rsid w:val="004E5868"/>
    <w:rsid w:val="004E58E9"/>
    <w:rsid w:val="004E590C"/>
    <w:rsid w:val="004E5972"/>
    <w:rsid w:val="004E5974"/>
    <w:rsid w:val="004E5989"/>
    <w:rsid w:val="004E59A6"/>
    <w:rsid w:val="004E59CB"/>
    <w:rsid w:val="004E59EC"/>
    <w:rsid w:val="004E59F0"/>
    <w:rsid w:val="004E5AD6"/>
    <w:rsid w:val="004E5B38"/>
    <w:rsid w:val="004E5B3B"/>
    <w:rsid w:val="004E5BB3"/>
    <w:rsid w:val="004E5BE0"/>
    <w:rsid w:val="004E5C84"/>
    <w:rsid w:val="004E5CCB"/>
    <w:rsid w:val="004E5D3B"/>
    <w:rsid w:val="004E5E3B"/>
    <w:rsid w:val="004E5E45"/>
    <w:rsid w:val="004E5E59"/>
    <w:rsid w:val="004E5E9C"/>
    <w:rsid w:val="004E5EA5"/>
    <w:rsid w:val="004E5ED5"/>
    <w:rsid w:val="004E5EEB"/>
    <w:rsid w:val="004E5EED"/>
    <w:rsid w:val="004E5F16"/>
    <w:rsid w:val="004E5F4F"/>
    <w:rsid w:val="004E5F97"/>
    <w:rsid w:val="004E5F9E"/>
    <w:rsid w:val="004E5FD8"/>
    <w:rsid w:val="004E603C"/>
    <w:rsid w:val="004E6061"/>
    <w:rsid w:val="004E60C1"/>
    <w:rsid w:val="004E60CC"/>
    <w:rsid w:val="004E60EA"/>
    <w:rsid w:val="004E60F1"/>
    <w:rsid w:val="004E6124"/>
    <w:rsid w:val="004E6135"/>
    <w:rsid w:val="004E6145"/>
    <w:rsid w:val="004E616A"/>
    <w:rsid w:val="004E61AF"/>
    <w:rsid w:val="004E61E6"/>
    <w:rsid w:val="004E629B"/>
    <w:rsid w:val="004E62D2"/>
    <w:rsid w:val="004E630C"/>
    <w:rsid w:val="004E6324"/>
    <w:rsid w:val="004E6347"/>
    <w:rsid w:val="004E6358"/>
    <w:rsid w:val="004E63D9"/>
    <w:rsid w:val="004E63F7"/>
    <w:rsid w:val="004E6501"/>
    <w:rsid w:val="004E6529"/>
    <w:rsid w:val="004E669E"/>
    <w:rsid w:val="004E66A2"/>
    <w:rsid w:val="004E6705"/>
    <w:rsid w:val="004E671C"/>
    <w:rsid w:val="004E6742"/>
    <w:rsid w:val="004E679F"/>
    <w:rsid w:val="004E67A6"/>
    <w:rsid w:val="004E6874"/>
    <w:rsid w:val="004E6880"/>
    <w:rsid w:val="004E6906"/>
    <w:rsid w:val="004E6929"/>
    <w:rsid w:val="004E6930"/>
    <w:rsid w:val="004E69B3"/>
    <w:rsid w:val="004E69CE"/>
    <w:rsid w:val="004E6A34"/>
    <w:rsid w:val="004E6A40"/>
    <w:rsid w:val="004E6A4C"/>
    <w:rsid w:val="004E6AD2"/>
    <w:rsid w:val="004E6AEF"/>
    <w:rsid w:val="004E6AFC"/>
    <w:rsid w:val="004E6B02"/>
    <w:rsid w:val="004E6B09"/>
    <w:rsid w:val="004E6B1E"/>
    <w:rsid w:val="004E6B39"/>
    <w:rsid w:val="004E6B6A"/>
    <w:rsid w:val="004E6BCE"/>
    <w:rsid w:val="004E6C59"/>
    <w:rsid w:val="004E6C60"/>
    <w:rsid w:val="004E6C7F"/>
    <w:rsid w:val="004E6CA0"/>
    <w:rsid w:val="004E6CA9"/>
    <w:rsid w:val="004E6CAA"/>
    <w:rsid w:val="004E6CBA"/>
    <w:rsid w:val="004E6CCD"/>
    <w:rsid w:val="004E6DC2"/>
    <w:rsid w:val="004E6DF0"/>
    <w:rsid w:val="004E6E15"/>
    <w:rsid w:val="004E6E6D"/>
    <w:rsid w:val="004E6E6E"/>
    <w:rsid w:val="004E6EAB"/>
    <w:rsid w:val="004E6ECA"/>
    <w:rsid w:val="004E6F0A"/>
    <w:rsid w:val="004E6F4E"/>
    <w:rsid w:val="004E6FB3"/>
    <w:rsid w:val="004E700B"/>
    <w:rsid w:val="004E704F"/>
    <w:rsid w:val="004E708C"/>
    <w:rsid w:val="004E70AE"/>
    <w:rsid w:val="004E70B9"/>
    <w:rsid w:val="004E70D5"/>
    <w:rsid w:val="004E70E3"/>
    <w:rsid w:val="004E70E5"/>
    <w:rsid w:val="004E712D"/>
    <w:rsid w:val="004E7146"/>
    <w:rsid w:val="004E7152"/>
    <w:rsid w:val="004E7164"/>
    <w:rsid w:val="004E71D9"/>
    <w:rsid w:val="004E71E1"/>
    <w:rsid w:val="004E722E"/>
    <w:rsid w:val="004E7235"/>
    <w:rsid w:val="004E723F"/>
    <w:rsid w:val="004E72DC"/>
    <w:rsid w:val="004E72EC"/>
    <w:rsid w:val="004E730A"/>
    <w:rsid w:val="004E734C"/>
    <w:rsid w:val="004E734E"/>
    <w:rsid w:val="004E7355"/>
    <w:rsid w:val="004E73A6"/>
    <w:rsid w:val="004E73F0"/>
    <w:rsid w:val="004E7410"/>
    <w:rsid w:val="004E7464"/>
    <w:rsid w:val="004E7474"/>
    <w:rsid w:val="004E74D3"/>
    <w:rsid w:val="004E7514"/>
    <w:rsid w:val="004E751E"/>
    <w:rsid w:val="004E7564"/>
    <w:rsid w:val="004E7577"/>
    <w:rsid w:val="004E758F"/>
    <w:rsid w:val="004E75DF"/>
    <w:rsid w:val="004E7603"/>
    <w:rsid w:val="004E7615"/>
    <w:rsid w:val="004E7635"/>
    <w:rsid w:val="004E766C"/>
    <w:rsid w:val="004E76B1"/>
    <w:rsid w:val="004E76E8"/>
    <w:rsid w:val="004E76FD"/>
    <w:rsid w:val="004E775A"/>
    <w:rsid w:val="004E7789"/>
    <w:rsid w:val="004E779F"/>
    <w:rsid w:val="004E77C1"/>
    <w:rsid w:val="004E7852"/>
    <w:rsid w:val="004E7883"/>
    <w:rsid w:val="004E7905"/>
    <w:rsid w:val="004E7988"/>
    <w:rsid w:val="004E79B4"/>
    <w:rsid w:val="004E7A08"/>
    <w:rsid w:val="004E7A1F"/>
    <w:rsid w:val="004E7A73"/>
    <w:rsid w:val="004E7AA5"/>
    <w:rsid w:val="004E7ABB"/>
    <w:rsid w:val="004E7ADD"/>
    <w:rsid w:val="004E7B26"/>
    <w:rsid w:val="004E7B48"/>
    <w:rsid w:val="004E7B81"/>
    <w:rsid w:val="004E7B99"/>
    <w:rsid w:val="004E7BB0"/>
    <w:rsid w:val="004E7BBC"/>
    <w:rsid w:val="004E7BD3"/>
    <w:rsid w:val="004E7C00"/>
    <w:rsid w:val="004E7C19"/>
    <w:rsid w:val="004E7D08"/>
    <w:rsid w:val="004E7D1F"/>
    <w:rsid w:val="004E7D2E"/>
    <w:rsid w:val="004E7D58"/>
    <w:rsid w:val="004E7D8A"/>
    <w:rsid w:val="004E7DB9"/>
    <w:rsid w:val="004E7E0A"/>
    <w:rsid w:val="004E7E7D"/>
    <w:rsid w:val="004E7EBE"/>
    <w:rsid w:val="004E7F1D"/>
    <w:rsid w:val="004E7F79"/>
    <w:rsid w:val="004E7FF3"/>
    <w:rsid w:val="004F0039"/>
    <w:rsid w:val="004F0058"/>
    <w:rsid w:val="004F00AD"/>
    <w:rsid w:val="004F0110"/>
    <w:rsid w:val="004F0151"/>
    <w:rsid w:val="004F0182"/>
    <w:rsid w:val="004F0186"/>
    <w:rsid w:val="004F0220"/>
    <w:rsid w:val="004F0245"/>
    <w:rsid w:val="004F0263"/>
    <w:rsid w:val="004F02B2"/>
    <w:rsid w:val="004F02E0"/>
    <w:rsid w:val="004F02EF"/>
    <w:rsid w:val="004F0366"/>
    <w:rsid w:val="004F03DF"/>
    <w:rsid w:val="004F03E2"/>
    <w:rsid w:val="004F040F"/>
    <w:rsid w:val="004F0410"/>
    <w:rsid w:val="004F041A"/>
    <w:rsid w:val="004F044B"/>
    <w:rsid w:val="004F0455"/>
    <w:rsid w:val="004F0461"/>
    <w:rsid w:val="004F0478"/>
    <w:rsid w:val="004F04BB"/>
    <w:rsid w:val="004F04CF"/>
    <w:rsid w:val="004F0526"/>
    <w:rsid w:val="004F0530"/>
    <w:rsid w:val="004F0533"/>
    <w:rsid w:val="004F054B"/>
    <w:rsid w:val="004F059A"/>
    <w:rsid w:val="004F05B3"/>
    <w:rsid w:val="004F05DA"/>
    <w:rsid w:val="004F05F4"/>
    <w:rsid w:val="004F0647"/>
    <w:rsid w:val="004F06CA"/>
    <w:rsid w:val="004F06DA"/>
    <w:rsid w:val="004F06EB"/>
    <w:rsid w:val="004F0764"/>
    <w:rsid w:val="004F07A9"/>
    <w:rsid w:val="004F07B9"/>
    <w:rsid w:val="004F07CB"/>
    <w:rsid w:val="004F084C"/>
    <w:rsid w:val="004F089C"/>
    <w:rsid w:val="004F0983"/>
    <w:rsid w:val="004F09C1"/>
    <w:rsid w:val="004F0A62"/>
    <w:rsid w:val="004F0A7D"/>
    <w:rsid w:val="004F0AA1"/>
    <w:rsid w:val="004F0AC3"/>
    <w:rsid w:val="004F0AD4"/>
    <w:rsid w:val="004F0B03"/>
    <w:rsid w:val="004F0B0F"/>
    <w:rsid w:val="004F0BA2"/>
    <w:rsid w:val="004F0BDF"/>
    <w:rsid w:val="004F0BE7"/>
    <w:rsid w:val="004F0C0A"/>
    <w:rsid w:val="004F0C30"/>
    <w:rsid w:val="004F0CC6"/>
    <w:rsid w:val="004F0D3C"/>
    <w:rsid w:val="004F0DC2"/>
    <w:rsid w:val="004F0E13"/>
    <w:rsid w:val="004F0E3D"/>
    <w:rsid w:val="004F0EA6"/>
    <w:rsid w:val="004F0EFD"/>
    <w:rsid w:val="004F0F1F"/>
    <w:rsid w:val="004F0FF7"/>
    <w:rsid w:val="004F100F"/>
    <w:rsid w:val="004F1021"/>
    <w:rsid w:val="004F1042"/>
    <w:rsid w:val="004F10D0"/>
    <w:rsid w:val="004F1196"/>
    <w:rsid w:val="004F11FA"/>
    <w:rsid w:val="004F11FD"/>
    <w:rsid w:val="004F1210"/>
    <w:rsid w:val="004F132B"/>
    <w:rsid w:val="004F135C"/>
    <w:rsid w:val="004F1364"/>
    <w:rsid w:val="004F138D"/>
    <w:rsid w:val="004F13D1"/>
    <w:rsid w:val="004F1492"/>
    <w:rsid w:val="004F1498"/>
    <w:rsid w:val="004F14A0"/>
    <w:rsid w:val="004F14BD"/>
    <w:rsid w:val="004F14C0"/>
    <w:rsid w:val="004F14EF"/>
    <w:rsid w:val="004F153E"/>
    <w:rsid w:val="004F15C2"/>
    <w:rsid w:val="004F15D1"/>
    <w:rsid w:val="004F15E3"/>
    <w:rsid w:val="004F160C"/>
    <w:rsid w:val="004F1629"/>
    <w:rsid w:val="004F162F"/>
    <w:rsid w:val="004F1671"/>
    <w:rsid w:val="004F1673"/>
    <w:rsid w:val="004F16BF"/>
    <w:rsid w:val="004F172A"/>
    <w:rsid w:val="004F1786"/>
    <w:rsid w:val="004F17B6"/>
    <w:rsid w:val="004F17EA"/>
    <w:rsid w:val="004F17F4"/>
    <w:rsid w:val="004F1881"/>
    <w:rsid w:val="004F1889"/>
    <w:rsid w:val="004F1909"/>
    <w:rsid w:val="004F1938"/>
    <w:rsid w:val="004F193D"/>
    <w:rsid w:val="004F19EC"/>
    <w:rsid w:val="004F19ED"/>
    <w:rsid w:val="004F1A43"/>
    <w:rsid w:val="004F1A72"/>
    <w:rsid w:val="004F1A82"/>
    <w:rsid w:val="004F1A95"/>
    <w:rsid w:val="004F1AB3"/>
    <w:rsid w:val="004F1AF1"/>
    <w:rsid w:val="004F1B16"/>
    <w:rsid w:val="004F1B1D"/>
    <w:rsid w:val="004F1B41"/>
    <w:rsid w:val="004F1B5E"/>
    <w:rsid w:val="004F1BE9"/>
    <w:rsid w:val="004F1BF6"/>
    <w:rsid w:val="004F1C31"/>
    <w:rsid w:val="004F1C4F"/>
    <w:rsid w:val="004F1C70"/>
    <w:rsid w:val="004F1CAB"/>
    <w:rsid w:val="004F1D5F"/>
    <w:rsid w:val="004F1DA7"/>
    <w:rsid w:val="004F1E1B"/>
    <w:rsid w:val="004F1E24"/>
    <w:rsid w:val="004F1E59"/>
    <w:rsid w:val="004F1E5B"/>
    <w:rsid w:val="004F1E7F"/>
    <w:rsid w:val="004F1F30"/>
    <w:rsid w:val="004F1F8A"/>
    <w:rsid w:val="004F1F9D"/>
    <w:rsid w:val="004F1FE7"/>
    <w:rsid w:val="004F2010"/>
    <w:rsid w:val="004F2017"/>
    <w:rsid w:val="004F2039"/>
    <w:rsid w:val="004F203C"/>
    <w:rsid w:val="004F2069"/>
    <w:rsid w:val="004F206C"/>
    <w:rsid w:val="004F21D4"/>
    <w:rsid w:val="004F223A"/>
    <w:rsid w:val="004F22AB"/>
    <w:rsid w:val="004F22C9"/>
    <w:rsid w:val="004F22F3"/>
    <w:rsid w:val="004F2318"/>
    <w:rsid w:val="004F235B"/>
    <w:rsid w:val="004F2387"/>
    <w:rsid w:val="004F238D"/>
    <w:rsid w:val="004F2399"/>
    <w:rsid w:val="004F242B"/>
    <w:rsid w:val="004F242C"/>
    <w:rsid w:val="004F2440"/>
    <w:rsid w:val="004F24C2"/>
    <w:rsid w:val="004F24F5"/>
    <w:rsid w:val="004F2524"/>
    <w:rsid w:val="004F2557"/>
    <w:rsid w:val="004F2598"/>
    <w:rsid w:val="004F2612"/>
    <w:rsid w:val="004F266F"/>
    <w:rsid w:val="004F26EE"/>
    <w:rsid w:val="004F2713"/>
    <w:rsid w:val="004F271C"/>
    <w:rsid w:val="004F2732"/>
    <w:rsid w:val="004F2734"/>
    <w:rsid w:val="004F274B"/>
    <w:rsid w:val="004F275F"/>
    <w:rsid w:val="004F2776"/>
    <w:rsid w:val="004F279B"/>
    <w:rsid w:val="004F281C"/>
    <w:rsid w:val="004F2863"/>
    <w:rsid w:val="004F287A"/>
    <w:rsid w:val="004F2888"/>
    <w:rsid w:val="004F28B4"/>
    <w:rsid w:val="004F28CD"/>
    <w:rsid w:val="004F28DC"/>
    <w:rsid w:val="004F295C"/>
    <w:rsid w:val="004F295D"/>
    <w:rsid w:val="004F29BD"/>
    <w:rsid w:val="004F29BE"/>
    <w:rsid w:val="004F2A21"/>
    <w:rsid w:val="004F2A63"/>
    <w:rsid w:val="004F2A7E"/>
    <w:rsid w:val="004F2A83"/>
    <w:rsid w:val="004F2AF9"/>
    <w:rsid w:val="004F2AFA"/>
    <w:rsid w:val="004F2B60"/>
    <w:rsid w:val="004F2B68"/>
    <w:rsid w:val="004F2B85"/>
    <w:rsid w:val="004F2B8D"/>
    <w:rsid w:val="004F2BB6"/>
    <w:rsid w:val="004F2BB8"/>
    <w:rsid w:val="004F2C0D"/>
    <w:rsid w:val="004F2C1E"/>
    <w:rsid w:val="004F2C51"/>
    <w:rsid w:val="004F2C5F"/>
    <w:rsid w:val="004F2C86"/>
    <w:rsid w:val="004F2D04"/>
    <w:rsid w:val="004F2D30"/>
    <w:rsid w:val="004F2D9F"/>
    <w:rsid w:val="004F2E42"/>
    <w:rsid w:val="004F2E75"/>
    <w:rsid w:val="004F2E98"/>
    <w:rsid w:val="004F2E99"/>
    <w:rsid w:val="004F2EF3"/>
    <w:rsid w:val="004F2EFD"/>
    <w:rsid w:val="004F2F18"/>
    <w:rsid w:val="004F2F2F"/>
    <w:rsid w:val="004F2F3A"/>
    <w:rsid w:val="004F2F98"/>
    <w:rsid w:val="004F2FA2"/>
    <w:rsid w:val="004F3068"/>
    <w:rsid w:val="004F307E"/>
    <w:rsid w:val="004F3090"/>
    <w:rsid w:val="004F3096"/>
    <w:rsid w:val="004F30ED"/>
    <w:rsid w:val="004F3117"/>
    <w:rsid w:val="004F3124"/>
    <w:rsid w:val="004F3159"/>
    <w:rsid w:val="004F31DA"/>
    <w:rsid w:val="004F3204"/>
    <w:rsid w:val="004F324E"/>
    <w:rsid w:val="004F328B"/>
    <w:rsid w:val="004F328D"/>
    <w:rsid w:val="004F32A7"/>
    <w:rsid w:val="004F32DD"/>
    <w:rsid w:val="004F3316"/>
    <w:rsid w:val="004F333C"/>
    <w:rsid w:val="004F3386"/>
    <w:rsid w:val="004F33C3"/>
    <w:rsid w:val="004F33D4"/>
    <w:rsid w:val="004F33E8"/>
    <w:rsid w:val="004F341A"/>
    <w:rsid w:val="004F34C5"/>
    <w:rsid w:val="004F34D2"/>
    <w:rsid w:val="004F353E"/>
    <w:rsid w:val="004F356B"/>
    <w:rsid w:val="004F35C4"/>
    <w:rsid w:val="004F35DE"/>
    <w:rsid w:val="004F366A"/>
    <w:rsid w:val="004F3733"/>
    <w:rsid w:val="004F37AE"/>
    <w:rsid w:val="004F37B1"/>
    <w:rsid w:val="004F37C5"/>
    <w:rsid w:val="004F37CF"/>
    <w:rsid w:val="004F37DF"/>
    <w:rsid w:val="004F3883"/>
    <w:rsid w:val="004F38DB"/>
    <w:rsid w:val="004F38FF"/>
    <w:rsid w:val="004F39D4"/>
    <w:rsid w:val="004F3A13"/>
    <w:rsid w:val="004F3A75"/>
    <w:rsid w:val="004F3AB0"/>
    <w:rsid w:val="004F3AFB"/>
    <w:rsid w:val="004F3AFD"/>
    <w:rsid w:val="004F3B40"/>
    <w:rsid w:val="004F3B53"/>
    <w:rsid w:val="004F3BAE"/>
    <w:rsid w:val="004F3BB1"/>
    <w:rsid w:val="004F3BD9"/>
    <w:rsid w:val="004F3CA5"/>
    <w:rsid w:val="004F3CD4"/>
    <w:rsid w:val="004F3D67"/>
    <w:rsid w:val="004F3D72"/>
    <w:rsid w:val="004F3D74"/>
    <w:rsid w:val="004F3DAD"/>
    <w:rsid w:val="004F3DC4"/>
    <w:rsid w:val="004F3DE0"/>
    <w:rsid w:val="004F3DE1"/>
    <w:rsid w:val="004F3DEF"/>
    <w:rsid w:val="004F3E0F"/>
    <w:rsid w:val="004F3E49"/>
    <w:rsid w:val="004F3E4E"/>
    <w:rsid w:val="004F3E78"/>
    <w:rsid w:val="004F3F75"/>
    <w:rsid w:val="004F3F84"/>
    <w:rsid w:val="004F3FA9"/>
    <w:rsid w:val="004F3FE6"/>
    <w:rsid w:val="004F4022"/>
    <w:rsid w:val="004F4035"/>
    <w:rsid w:val="004F4047"/>
    <w:rsid w:val="004F40C4"/>
    <w:rsid w:val="004F40D4"/>
    <w:rsid w:val="004F40D7"/>
    <w:rsid w:val="004F4102"/>
    <w:rsid w:val="004F4163"/>
    <w:rsid w:val="004F419B"/>
    <w:rsid w:val="004F4212"/>
    <w:rsid w:val="004F4242"/>
    <w:rsid w:val="004F4247"/>
    <w:rsid w:val="004F426B"/>
    <w:rsid w:val="004F42AD"/>
    <w:rsid w:val="004F42B4"/>
    <w:rsid w:val="004F42D5"/>
    <w:rsid w:val="004F42ED"/>
    <w:rsid w:val="004F440A"/>
    <w:rsid w:val="004F4412"/>
    <w:rsid w:val="004F447F"/>
    <w:rsid w:val="004F449F"/>
    <w:rsid w:val="004F44BA"/>
    <w:rsid w:val="004F44C1"/>
    <w:rsid w:val="004F4509"/>
    <w:rsid w:val="004F4537"/>
    <w:rsid w:val="004F455B"/>
    <w:rsid w:val="004F458C"/>
    <w:rsid w:val="004F45DC"/>
    <w:rsid w:val="004F4616"/>
    <w:rsid w:val="004F4658"/>
    <w:rsid w:val="004F4674"/>
    <w:rsid w:val="004F46A4"/>
    <w:rsid w:val="004F46CF"/>
    <w:rsid w:val="004F46F3"/>
    <w:rsid w:val="004F4760"/>
    <w:rsid w:val="004F4789"/>
    <w:rsid w:val="004F47BC"/>
    <w:rsid w:val="004F488E"/>
    <w:rsid w:val="004F48C0"/>
    <w:rsid w:val="004F48C1"/>
    <w:rsid w:val="004F4903"/>
    <w:rsid w:val="004F491A"/>
    <w:rsid w:val="004F4948"/>
    <w:rsid w:val="004F494D"/>
    <w:rsid w:val="004F49DA"/>
    <w:rsid w:val="004F4A07"/>
    <w:rsid w:val="004F4A38"/>
    <w:rsid w:val="004F4A3C"/>
    <w:rsid w:val="004F4A7E"/>
    <w:rsid w:val="004F4AAB"/>
    <w:rsid w:val="004F4AAD"/>
    <w:rsid w:val="004F4B2D"/>
    <w:rsid w:val="004F4B4A"/>
    <w:rsid w:val="004F4BB5"/>
    <w:rsid w:val="004F4C1A"/>
    <w:rsid w:val="004F4C68"/>
    <w:rsid w:val="004F4CC6"/>
    <w:rsid w:val="004F4CE2"/>
    <w:rsid w:val="004F4CE7"/>
    <w:rsid w:val="004F4CF2"/>
    <w:rsid w:val="004F4D11"/>
    <w:rsid w:val="004F4D2A"/>
    <w:rsid w:val="004F4D85"/>
    <w:rsid w:val="004F4DDD"/>
    <w:rsid w:val="004F4DF7"/>
    <w:rsid w:val="004F4E0A"/>
    <w:rsid w:val="004F4E2B"/>
    <w:rsid w:val="004F4E93"/>
    <w:rsid w:val="004F4EB6"/>
    <w:rsid w:val="004F4EDE"/>
    <w:rsid w:val="004F4EEA"/>
    <w:rsid w:val="004F4EF3"/>
    <w:rsid w:val="004F4F0F"/>
    <w:rsid w:val="004F4F70"/>
    <w:rsid w:val="004F4FA3"/>
    <w:rsid w:val="004F4FD7"/>
    <w:rsid w:val="004F4FDB"/>
    <w:rsid w:val="004F5035"/>
    <w:rsid w:val="004F5036"/>
    <w:rsid w:val="004F504E"/>
    <w:rsid w:val="004F507B"/>
    <w:rsid w:val="004F50BB"/>
    <w:rsid w:val="004F50E5"/>
    <w:rsid w:val="004F5147"/>
    <w:rsid w:val="004F5149"/>
    <w:rsid w:val="004F5174"/>
    <w:rsid w:val="004F5220"/>
    <w:rsid w:val="004F5250"/>
    <w:rsid w:val="004F52BF"/>
    <w:rsid w:val="004F52C6"/>
    <w:rsid w:val="004F52FA"/>
    <w:rsid w:val="004F5311"/>
    <w:rsid w:val="004F5313"/>
    <w:rsid w:val="004F532A"/>
    <w:rsid w:val="004F53C6"/>
    <w:rsid w:val="004F53CB"/>
    <w:rsid w:val="004F53FE"/>
    <w:rsid w:val="004F5402"/>
    <w:rsid w:val="004F540A"/>
    <w:rsid w:val="004F542A"/>
    <w:rsid w:val="004F542C"/>
    <w:rsid w:val="004F5467"/>
    <w:rsid w:val="004F5473"/>
    <w:rsid w:val="004F5500"/>
    <w:rsid w:val="004F5538"/>
    <w:rsid w:val="004F553A"/>
    <w:rsid w:val="004F5582"/>
    <w:rsid w:val="004F55AA"/>
    <w:rsid w:val="004F55B5"/>
    <w:rsid w:val="004F55DD"/>
    <w:rsid w:val="004F5615"/>
    <w:rsid w:val="004F5631"/>
    <w:rsid w:val="004F5650"/>
    <w:rsid w:val="004F569F"/>
    <w:rsid w:val="004F56AD"/>
    <w:rsid w:val="004F56F0"/>
    <w:rsid w:val="004F5717"/>
    <w:rsid w:val="004F5729"/>
    <w:rsid w:val="004F5739"/>
    <w:rsid w:val="004F5789"/>
    <w:rsid w:val="004F57B8"/>
    <w:rsid w:val="004F5818"/>
    <w:rsid w:val="004F5887"/>
    <w:rsid w:val="004F58C5"/>
    <w:rsid w:val="004F595D"/>
    <w:rsid w:val="004F59B7"/>
    <w:rsid w:val="004F5A11"/>
    <w:rsid w:val="004F5A19"/>
    <w:rsid w:val="004F5A35"/>
    <w:rsid w:val="004F5ABE"/>
    <w:rsid w:val="004F5AC6"/>
    <w:rsid w:val="004F5AD9"/>
    <w:rsid w:val="004F5B22"/>
    <w:rsid w:val="004F5B4D"/>
    <w:rsid w:val="004F5BFC"/>
    <w:rsid w:val="004F5C19"/>
    <w:rsid w:val="004F5C48"/>
    <w:rsid w:val="004F5C5C"/>
    <w:rsid w:val="004F5C73"/>
    <w:rsid w:val="004F5C87"/>
    <w:rsid w:val="004F5CBE"/>
    <w:rsid w:val="004F5D20"/>
    <w:rsid w:val="004F5D51"/>
    <w:rsid w:val="004F5D77"/>
    <w:rsid w:val="004F5DAA"/>
    <w:rsid w:val="004F5DEE"/>
    <w:rsid w:val="004F5DF6"/>
    <w:rsid w:val="004F5DF9"/>
    <w:rsid w:val="004F5E1B"/>
    <w:rsid w:val="004F5E74"/>
    <w:rsid w:val="004F5E9A"/>
    <w:rsid w:val="004F5EA0"/>
    <w:rsid w:val="004F5F19"/>
    <w:rsid w:val="004F5F4D"/>
    <w:rsid w:val="004F5FB9"/>
    <w:rsid w:val="004F5FC9"/>
    <w:rsid w:val="004F6052"/>
    <w:rsid w:val="004F6060"/>
    <w:rsid w:val="004F606D"/>
    <w:rsid w:val="004F6076"/>
    <w:rsid w:val="004F60F1"/>
    <w:rsid w:val="004F60F7"/>
    <w:rsid w:val="004F6171"/>
    <w:rsid w:val="004F617B"/>
    <w:rsid w:val="004F6197"/>
    <w:rsid w:val="004F61A2"/>
    <w:rsid w:val="004F61AC"/>
    <w:rsid w:val="004F61E2"/>
    <w:rsid w:val="004F61E7"/>
    <w:rsid w:val="004F6203"/>
    <w:rsid w:val="004F6258"/>
    <w:rsid w:val="004F6270"/>
    <w:rsid w:val="004F62FA"/>
    <w:rsid w:val="004F6320"/>
    <w:rsid w:val="004F63E6"/>
    <w:rsid w:val="004F64C8"/>
    <w:rsid w:val="004F6526"/>
    <w:rsid w:val="004F6528"/>
    <w:rsid w:val="004F6532"/>
    <w:rsid w:val="004F6553"/>
    <w:rsid w:val="004F65A0"/>
    <w:rsid w:val="004F65D4"/>
    <w:rsid w:val="004F6602"/>
    <w:rsid w:val="004F6622"/>
    <w:rsid w:val="004F662C"/>
    <w:rsid w:val="004F6638"/>
    <w:rsid w:val="004F6645"/>
    <w:rsid w:val="004F667B"/>
    <w:rsid w:val="004F66A0"/>
    <w:rsid w:val="004F66A4"/>
    <w:rsid w:val="004F66A6"/>
    <w:rsid w:val="004F66E2"/>
    <w:rsid w:val="004F675E"/>
    <w:rsid w:val="004F67EC"/>
    <w:rsid w:val="004F6812"/>
    <w:rsid w:val="004F6828"/>
    <w:rsid w:val="004F688A"/>
    <w:rsid w:val="004F68B2"/>
    <w:rsid w:val="004F6917"/>
    <w:rsid w:val="004F6933"/>
    <w:rsid w:val="004F698D"/>
    <w:rsid w:val="004F69AB"/>
    <w:rsid w:val="004F6A2C"/>
    <w:rsid w:val="004F6A61"/>
    <w:rsid w:val="004F6A74"/>
    <w:rsid w:val="004F6A92"/>
    <w:rsid w:val="004F6A97"/>
    <w:rsid w:val="004F6ABE"/>
    <w:rsid w:val="004F6B23"/>
    <w:rsid w:val="004F6B2F"/>
    <w:rsid w:val="004F6B94"/>
    <w:rsid w:val="004F6B9F"/>
    <w:rsid w:val="004F6BCD"/>
    <w:rsid w:val="004F6BEC"/>
    <w:rsid w:val="004F6CE2"/>
    <w:rsid w:val="004F6D20"/>
    <w:rsid w:val="004F6D3C"/>
    <w:rsid w:val="004F6D4B"/>
    <w:rsid w:val="004F6DB1"/>
    <w:rsid w:val="004F6DBD"/>
    <w:rsid w:val="004F6DC4"/>
    <w:rsid w:val="004F6DCB"/>
    <w:rsid w:val="004F6E25"/>
    <w:rsid w:val="004F6E68"/>
    <w:rsid w:val="004F6EA6"/>
    <w:rsid w:val="004F6EF2"/>
    <w:rsid w:val="004F6F0B"/>
    <w:rsid w:val="004F6F5C"/>
    <w:rsid w:val="004F6F87"/>
    <w:rsid w:val="004F703C"/>
    <w:rsid w:val="004F703D"/>
    <w:rsid w:val="004F7061"/>
    <w:rsid w:val="004F70C8"/>
    <w:rsid w:val="004F70EB"/>
    <w:rsid w:val="004F717F"/>
    <w:rsid w:val="004F719E"/>
    <w:rsid w:val="004F71E3"/>
    <w:rsid w:val="004F7213"/>
    <w:rsid w:val="004F7235"/>
    <w:rsid w:val="004F724A"/>
    <w:rsid w:val="004F72E1"/>
    <w:rsid w:val="004F72F0"/>
    <w:rsid w:val="004F7301"/>
    <w:rsid w:val="004F7308"/>
    <w:rsid w:val="004F736A"/>
    <w:rsid w:val="004F73DF"/>
    <w:rsid w:val="004F742E"/>
    <w:rsid w:val="004F744B"/>
    <w:rsid w:val="004F74B3"/>
    <w:rsid w:val="004F74BB"/>
    <w:rsid w:val="004F74C9"/>
    <w:rsid w:val="004F74FD"/>
    <w:rsid w:val="004F7543"/>
    <w:rsid w:val="004F755B"/>
    <w:rsid w:val="004F7563"/>
    <w:rsid w:val="004F757E"/>
    <w:rsid w:val="004F758A"/>
    <w:rsid w:val="004F75DE"/>
    <w:rsid w:val="004F7657"/>
    <w:rsid w:val="004F7663"/>
    <w:rsid w:val="004F76A0"/>
    <w:rsid w:val="004F76C3"/>
    <w:rsid w:val="004F76DD"/>
    <w:rsid w:val="004F76FD"/>
    <w:rsid w:val="004F7719"/>
    <w:rsid w:val="004F7737"/>
    <w:rsid w:val="004F774C"/>
    <w:rsid w:val="004F774D"/>
    <w:rsid w:val="004F7759"/>
    <w:rsid w:val="004F77A4"/>
    <w:rsid w:val="004F781A"/>
    <w:rsid w:val="004F783F"/>
    <w:rsid w:val="004F7856"/>
    <w:rsid w:val="004F7857"/>
    <w:rsid w:val="004F7874"/>
    <w:rsid w:val="004F78F5"/>
    <w:rsid w:val="004F78F6"/>
    <w:rsid w:val="004F78FA"/>
    <w:rsid w:val="004F796B"/>
    <w:rsid w:val="004F7986"/>
    <w:rsid w:val="004F7998"/>
    <w:rsid w:val="004F79B5"/>
    <w:rsid w:val="004F7A02"/>
    <w:rsid w:val="004F7A3A"/>
    <w:rsid w:val="004F7B31"/>
    <w:rsid w:val="004F7B39"/>
    <w:rsid w:val="004F7B60"/>
    <w:rsid w:val="004F7B80"/>
    <w:rsid w:val="004F7BB1"/>
    <w:rsid w:val="004F7BEC"/>
    <w:rsid w:val="004F7C03"/>
    <w:rsid w:val="004F7C29"/>
    <w:rsid w:val="004F7C31"/>
    <w:rsid w:val="004F7C54"/>
    <w:rsid w:val="004F7C68"/>
    <w:rsid w:val="004F7CA2"/>
    <w:rsid w:val="004F7CF5"/>
    <w:rsid w:val="004F7CFC"/>
    <w:rsid w:val="004F7D01"/>
    <w:rsid w:val="004F7D13"/>
    <w:rsid w:val="004F7D17"/>
    <w:rsid w:val="004F7D42"/>
    <w:rsid w:val="004F7D62"/>
    <w:rsid w:val="004F7D7C"/>
    <w:rsid w:val="004F7DF1"/>
    <w:rsid w:val="004F7DFC"/>
    <w:rsid w:val="004F7E0B"/>
    <w:rsid w:val="004F7E4E"/>
    <w:rsid w:val="004F7EC4"/>
    <w:rsid w:val="004F7EF4"/>
    <w:rsid w:val="004F7F30"/>
    <w:rsid w:val="004F7F48"/>
    <w:rsid w:val="004F7FAA"/>
    <w:rsid w:val="004F7FAC"/>
    <w:rsid w:val="004F7FE9"/>
    <w:rsid w:val="0050005B"/>
    <w:rsid w:val="0050006A"/>
    <w:rsid w:val="00500099"/>
    <w:rsid w:val="005000C0"/>
    <w:rsid w:val="005000D5"/>
    <w:rsid w:val="00500118"/>
    <w:rsid w:val="0050014D"/>
    <w:rsid w:val="0050017E"/>
    <w:rsid w:val="00500184"/>
    <w:rsid w:val="005001AA"/>
    <w:rsid w:val="005001BB"/>
    <w:rsid w:val="00500221"/>
    <w:rsid w:val="00500222"/>
    <w:rsid w:val="00500233"/>
    <w:rsid w:val="00500266"/>
    <w:rsid w:val="005002A7"/>
    <w:rsid w:val="005002CC"/>
    <w:rsid w:val="0050036E"/>
    <w:rsid w:val="0050037D"/>
    <w:rsid w:val="0050039C"/>
    <w:rsid w:val="005003C6"/>
    <w:rsid w:val="00500405"/>
    <w:rsid w:val="0050041E"/>
    <w:rsid w:val="005004C2"/>
    <w:rsid w:val="005004C9"/>
    <w:rsid w:val="005004D8"/>
    <w:rsid w:val="00500509"/>
    <w:rsid w:val="0050054C"/>
    <w:rsid w:val="00500562"/>
    <w:rsid w:val="0050058D"/>
    <w:rsid w:val="005005E1"/>
    <w:rsid w:val="005005EA"/>
    <w:rsid w:val="0050065B"/>
    <w:rsid w:val="00500797"/>
    <w:rsid w:val="0050079F"/>
    <w:rsid w:val="005007AB"/>
    <w:rsid w:val="005007B5"/>
    <w:rsid w:val="005007BC"/>
    <w:rsid w:val="0050081C"/>
    <w:rsid w:val="0050082D"/>
    <w:rsid w:val="00500837"/>
    <w:rsid w:val="0050086D"/>
    <w:rsid w:val="005008B3"/>
    <w:rsid w:val="005008E5"/>
    <w:rsid w:val="005008EC"/>
    <w:rsid w:val="005008EF"/>
    <w:rsid w:val="00500958"/>
    <w:rsid w:val="005009BE"/>
    <w:rsid w:val="005009D4"/>
    <w:rsid w:val="005009E2"/>
    <w:rsid w:val="005009EC"/>
    <w:rsid w:val="00500A1F"/>
    <w:rsid w:val="00500A24"/>
    <w:rsid w:val="00500A2D"/>
    <w:rsid w:val="00500A65"/>
    <w:rsid w:val="00500A67"/>
    <w:rsid w:val="00500A86"/>
    <w:rsid w:val="00500B31"/>
    <w:rsid w:val="00500B49"/>
    <w:rsid w:val="00500B6E"/>
    <w:rsid w:val="00500BA7"/>
    <w:rsid w:val="00500BF4"/>
    <w:rsid w:val="00500C11"/>
    <w:rsid w:val="00500C4A"/>
    <w:rsid w:val="00500C4C"/>
    <w:rsid w:val="00500C59"/>
    <w:rsid w:val="00500C75"/>
    <w:rsid w:val="00500C8A"/>
    <w:rsid w:val="00500C91"/>
    <w:rsid w:val="00500CD3"/>
    <w:rsid w:val="00500CDC"/>
    <w:rsid w:val="00500D08"/>
    <w:rsid w:val="00500E6D"/>
    <w:rsid w:val="00500E7A"/>
    <w:rsid w:val="00500ECE"/>
    <w:rsid w:val="00500F1C"/>
    <w:rsid w:val="00500FAF"/>
    <w:rsid w:val="00500FE5"/>
    <w:rsid w:val="0050106C"/>
    <w:rsid w:val="00501096"/>
    <w:rsid w:val="00501122"/>
    <w:rsid w:val="00501166"/>
    <w:rsid w:val="00501192"/>
    <w:rsid w:val="00501231"/>
    <w:rsid w:val="0050123C"/>
    <w:rsid w:val="005012D9"/>
    <w:rsid w:val="005012E1"/>
    <w:rsid w:val="00501326"/>
    <w:rsid w:val="0050134C"/>
    <w:rsid w:val="0050138F"/>
    <w:rsid w:val="005013DC"/>
    <w:rsid w:val="005013F5"/>
    <w:rsid w:val="00501414"/>
    <w:rsid w:val="00501430"/>
    <w:rsid w:val="00501487"/>
    <w:rsid w:val="00501493"/>
    <w:rsid w:val="005014AA"/>
    <w:rsid w:val="005014DD"/>
    <w:rsid w:val="0050150C"/>
    <w:rsid w:val="00501514"/>
    <w:rsid w:val="0050156B"/>
    <w:rsid w:val="005015B2"/>
    <w:rsid w:val="005015E1"/>
    <w:rsid w:val="005015E2"/>
    <w:rsid w:val="005015E6"/>
    <w:rsid w:val="005015F0"/>
    <w:rsid w:val="005015FD"/>
    <w:rsid w:val="0050161C"/>
    <w:rsid w:val="0050164D"/>
    <w:rsid w:val="00501674"/>
    <w:rsid w:val="00501696"/>
    <w:rsid w:val="0050170E"/>
    <w:rsid w:val="00501715"/>
    <w:rsid w:val="00501754"/>
    <w:rsid w:val="005017CA"/>
    <w:rsid w:val="005017CC"/>
    <w:rsid w:val="005017E3"/>
    <w:rsid w:val="0050181F"/>
    <w:rsid w:val="00501823"/>
    <w:rsid w:val="00501859"/>
    <w:rsid w:val="005018BF"/>
    <w:rsid w:val="005018CD"/>
    <w:rsid w:val="005018DB"/>
    <w:rsid w:val="005018EB"/>
    <w:rsid w:val="00501901"/>
    <w:rsid w:val="0050190D"/>
    <w:rsid w:val="00501931"/>
    <w:rsid w:val="0050194C"/>
    <w:rsid w:val="00501967"/>
    <w:rsid w:val="00501989"/>
    <w:rsid w:val="005019A1"/>
    <w:rsid w:val="005019AC"/>
    <w:rsid w:val="005019CA"/>
    <w:rsid w:val="005019DB"/>
    <w:rsid w:val="00501A30"/>
    <w:rsid w:val="00501AEA"/>
    <w:rsid w:val="00501AF6"/>
    <w:rsid w:val="00501B12"/>
    <w:rsid w:val="00501B55"/>
    <w:rsid w:val="00501B71"/>
    <w:rsid w:val="00501B74"/>
    <w:rsid w:val="00501B95"/>
    <w:rsid w:val="00501B98"/>
    <w:rsid w:val="00501C18"/>
    <w:rsid w:val="00501C1E"/>
    <w:rsid w:val="00501C27"/>
    <w:rsid w:val="00501C39"/>
    <w:rsid w:val="00501C51"/>
    <w:rsid w:val="00501C7B"/>
    <w:rsid w:val="00501CC8"/>
    <w:rsid w:val="00501CF4"/>
    <w:rsid w:val="00501D09"/>
    <w:rsid w:val="00501D51"/>
    <w:rsid w:val="00501D63"/>
    <w:rsid w:val="00501D80"/>
    <w:rsid w:val="00501D90"/>
    <w:rsid w:val="00501DF7"/>
    <w:rsid w:val="00501E0A"/>
    <w:rsid w:val="00501E6A"/>
    <w:rsid w:val="00501E9E"/>
    <w:rsid w:val="00501EDA"/>
    <w:rsid w:val="00501F07"/>
    <w:rsid w:val="00501F59"/>
    <w:rsid w:val="00502007"/>
    <w:rsid w:val="00502014"/>
    <w:rsid w:val="00502017"/>
    <w:rsid w:val="00502037"/>
    <w:rsid w:val="00502053"/>
    <w:rsid w:val="00502059"/>
    <w:rsid w:val="005020A7"/>
    <w:rsid w:val="005020CE"/>
    <w:rsid w:val="005020D2"/>
    <w:rsid w:val="005020D4"/>
    <w:rsid w:val="005020EA"/>
    <w:rsid w:val="005021C3"/>
    <w:rsid w:val="005021CE"/>
    <w:rsid w:val="0050222B"/>
    <w:rsid w:val="00502241"/>
    <w:rsid w:val="0050228C"/>
    <w:rsid w:val="005022AF"/>
    <w:rsid w:val="005022DD"/>
    <w:rsid w:val="005022E3"/>
    <w:rsid w:val="005022E4"/>
    <w:rsid w:val="005022FC"/>
    <w:rsid w:val="0050230E"/>
    <w:rsid w:val="00502326"/>
    <w:rsid w:val="0050236F"/>
    <w:rsid w:val="005023A8"/>
    <w:rsid w:val="005023F1"/>
    <w:rsid w:val="00502433"/>
    <w:rsid w:val="005024CC"/>
    <w:rsid w:val="005025E8"/>
    <w:rsid w:val="00502673"/>
    <w:rsid w:val="005026F2"/>
    <w:rsid w:val="00502775"/>
    <w:rsid w:val="0050277A"/>
    <w:rsid w:val="00502794"/>
    <w:rsid w:val="005027C6"/>
    <w:rsid w:val="0050282C"/>
    <w:rsid w:val="005028E4"/>
    <w:rsid w:val="00502907"/>
    <w:rsid w:val="0050294E"/>
    <w:rsid w:val="00502982"/>
    <w:rsid w:val="005029D0"/>
    <w:rsid w:val="005029DF"/>
    <w:rsid w:val="005029EF"/>
    <w:rsid w:val="005029F1"/>
    <w:rsid w:val="00502A8A"/>
    <w:rsid w:val="00502B44"/>
    <w:rsid w:val="00502B97"/>
    <w:rsid w:val="00502BCE"/>
    <w:rsid w:val="00502C0F"/>
    <w:rsid w:val="00502CCA"/>
    <w:rsid w:val="00502CE0"/>
    <w:rsid w:val="00502CEB"/>
    <w:rsid w:val="00502CEF"/>
    <w:rsid w:val="00502D2C"/>
    <w:rsid w:val="00502D51"/>
    <w:rsid w:val="00502D64"/>
    <w:rsid w:val="00502DA4"/>
    <w:rsid w:val="00502DE9"/>
    <w:rsid w:val="00502DED"/>
    <w:rsid w:val="00502EC6"/>
    <w:rsid w:val="00502F31"/>
    <w:rsid w:val="00502F70"/>
    <w:rsid w:val="00502F81"/>
    <w:rsid w:val="00502FA3"/>
    <w:rsid w:val="00502FE3"/>
    <w:rsid w:val="0050301B"/>
    <w:rsid w:val="00503045"/>
    <w:rsid w:val="00503050"/>
    <w:rsid w:val="00503087"/>
    <w:rsid w:val="005030AD"/>
    <w:rsid w:val="005030D6"/>
    <w:rsid w:val="00503104"/>
    <w:rsid w:val="0050311D"/>
    <w:rsid w:val="00503162"/>
    <w:rsid w:val="00503178"/>
    <w:rsid w:val="0050323B"/>
    <w:rsid w:val="0050325C"/>
    <w:rsid w:val="0050325F"/>
    <w:rsid w:val="00503267"/>
    <w:rsid w:val="00503271"/>
    <w:rsid w:val="00503283"/>
    <w:rsid w:val="00503288"/>
    <w:rsid w:val="005032BB"/>
    <w:rsid w:val="00503323"/>
    <w:rsid w:val="00503336"/>
    <w:rsid w:val="0050333C"/>
    <w:rsid w:val="00503370"/>
    <w:rsid w:val="0050337B"/>
    <w:rsid w:val="00503387"/>
    <w:rsid w:val="005033A2"/>
    <w:rsid w:val="005033D9"/>
    <w:rsid w:val="00503412"/>
    <w:rsid w:val="00503417"/>
    <w:rsid w:val="00503418"/>
    <w:rsid w:val="005034A1"/>
    <w:rsid w:val="005034EF"/>
    <w:rsid w:val="00503511"/>
    <w:rsid w:val="0050352A"/>
    <w:rsid w:val="00503550"/>
    <w:rsid w:val="005035A3"/>
    <w:rsid w:val="005035E5"/>
    <w:rsid w:val="005035F7"/>
    <w:rsid w:val="0050360B"/>
    <w:rsid w:val="00503685"/>
    <w:rsid w:val="005036AF"/>
    <w:rsid w:val="005036C9"/>
    <w:rsid w:val="005036E7"/>
    <w:rsid w:val="0050377F"/>
    <w:rsid w:val="005037F9"/>
    <w:rsid w:val="0050389A"/>
    <w:rsid w:val="005038DB"/>
    <w:rsid w:val="005038F0"/>
    <w:rsid w:val="00503929"/>
    <w:rsid w:val="0050392D"/>
    <w:rsid w:val="00503975"/>
    <w:rsid w:val="005039B6"/>
    <w:rsid w:val="00503A19"/>
    <w:rsid w:val="00503A5B"/>
    <w:rsid w:val="00503A85"/>
    <w:rsid w:val="00503B5D"/>
    <w:rsid w:val="00503B8E"/>
    <w:rsid w:val="00503BCF"/>
    <w:rsid w:val="00503C73"/>
    <w:rsid w:val="00503C85"/>
    <w:rsid w:val="00503CBC"/>
    <w:rsid w:val="00503CC6"/>
    <w:rsid w:val="00503CD4"/>
    <w:rsid w:val="00503D52"/>
    <w:rsid w:val="00503D5C"/>
    <w:rsid w:val="00503DB9"/>
    <w:rsid w:val="00503DC5"/>
    <w:rsid w:val="00503DC6"/>
    <w:rsid w:val="00503E0C"/>
    <w:rsid w:val="00503EEF"/>
    <w:rsid w:val="00503F11"/>
    <w:rsid w:val="00503F1A"/>
    <w:rsid w:val="00503F60"/>
    <w:rsid w:val="00503F76"/>
    <w:rsid w:val="0050406B"/>
    <w:rsid w:val="005040A1"/>
    <w:rsid w:val="005040C6"/>
    <w:rsid w:val="00504117"/>
    <w:rsid w:val="00504118"/>
    <w:rsid w:val="00504125"/>
    <w:rsid w:val="00504133"/>
    <w:rsid w:val="00504171"/>
    <w:rsid w:val="00504190"/>
    <w:rsid w:val="005041BB"/>
    <w:rsid w:val="00504276"/>
    <w:rsid w:val="00504284"/>
    <w:rsid w:val="0050428E"/>
    <w:rsid w:val="005042B8"/>
    <w:rsid w:val="005042BD"/>
    <w:rsid w:val="0050432E"/>
    <w:rsid w:val="0050437D"/>
    <w:rsid w:val="00504395"/>
    <w:rsid w:val="005043DA"/>
    <w:rsid w:val="00504427"/>
    <w:rsid w:val="00504460"/>
    <w:rsid w:val="00504523"/>
    <w:rsid w:val="0050452B"/>
    <w:rsid w:val="00504542"/>
    <w:rsid w:val="005045EB"/>
    <w:rsid w:val="005045ED"/>
    <w:rsid w:val="005045FA"/>
    <w:rsid w:val="00504601"/>
    <w:rsid w:val="00504622"/>
    <w:rsid w:val="00504649"/>
    <w:rsid w:val="005046B5"/>
    <w:rsid w:val="005046E4"/>
    <w:rsid w:val="0050473B"/>
    <w:rsid w:val="00504755"/>
    <w:rsid w:val="005047A4"/>
    <w:rsid w:val="005047CD"/>
    <w:rsid w:val="005047E6"/>
    <w:rsid w:val="0050485E"/>
    <w:rsid w:val="00504874"/>
    <w:rsid w:val="005048E1"/>
    <w:rsid w:val="00504920"/>
    <w:rsid w:val="00504964"/>
    <w:rsid w:val="005049E9"/>
    <w:rsid w:val="00504A7B"/>
    <w:rsid w:val="00504AE8"/>
    <w:rsid w:val="00504B3E"/>
    <w:rsid w:val="00504B55"/>
    <w:rsid w:val="00504B62"/>
    <w:rsid w:val="00504B6B"/>
    <w:rsid w:val="00504B9B"/>
    <w:rsid w:val="00504BAA"/>
    <w:rsid w:val="00504C15"/>
    <w:rsid w:val="00504C4B"/>
    <w:rsid w:val="00504D1C"/>
    <w:rsid w:val="00504D24"/>
    <w:rsid w:val="00504D77"/>
    <w:rsid w:val="00504D9B"/>
    <w:rsid w:val="00504DB9"/>
    <w:rsid w:val="00504DC0"/>
    <w:rsid w:val="00504DC3"/>
    <w:rsid w:val="00504DE2"/>
    <w:rsid w:val="00504E14"/>
    <w:rsid w:val="00504E27"/>
    <w:rsid w:val="00504E29"/>
    <w:rsid w:val="00504E48"/>
    <w:rsid w:val="00504E4E"/>
    <w:rsid w:val="00504E54"/>
    <w:rsid w:val="00504EAB"/>
    <w:rsid w:val="00504ECB"/>
    <w:rsid w:val="00504F5C"/>
    <w:rsid w:val="00504F82"/>
    <w:rsid w:val="00504F8A"/>
    <w:rsid w:val="00504F8D"/>
    <w:rsid w:val="00504FBB"/>
    <w:rsid w:val="00504FF9"/>
    <w:rsid w:val="00504FFE"/>
    <w:rsid w:val="00505010"/>
    <w:rsid w:val="0050506E"/>
    <w:rsid w:val="00505122"/>
    <w:rsid w:val="0050515B"/>
    <w:rsid w:val="005051B2"/>
    <w:rsid w:val="005051D9"/>
    <w:rsid w:val="005051EA"/>
    <w:rsid w:val="0050529E"/>
    <w:rsid w:val="005052C2"/>
    <w:rsid w:val="005052CC"/>
    <w:rsid w:val="005052DB"/>
    <w:rsid w:val="00505435"/>
    <w:rsid w:val="00505446"/>
    <w:rsid w:val="00505494"/>
    <w:rsid w:val="005054FC"/>
    <w:rsid w:val="0050555F"/>
    <w:rsid w:val="0050556B"/>
    <w:rsid w:val="00505572"/>
    <w:rsid w:val="00505579"/>
    <w:rsid w:val="005055B1"/>
    <w:rsid w:val="005055CB"/>
    <w:rsid w:val="005055E8"/>
    <w:rsid w:val="0050562A"/>
    <w:rsid w:val="005056C3"/>
    <w:rsid w:val="0050577A"/>
    <w:rsid w:val="0050577D"/>
    <w:rsid w:val="005057C9"/>
    <w:rsid w:val="00505808"/>
    <w:rsid w:val="00505829"/>
    <w:rsid w:val="005058A3"/>
    <w:rsid w:val="005058AB"/>
    <w:rsid w:val="005058B9"/>
    <w:rsid w:val="005058C1"/>
    <w:rsid w:val="005058D2"/>
    <w:rsid w:val="005058FC"/>
    <w:rsid w:val="0050590B"/>
    <w:rsid w:val="0050590D"/>
    <w:rsid w:val="0050593A"/>
    <w:rsid w:val="0050594E"/>
    <w:rsid w:val="0050598D"/>
    <w:rsid w:val="005059E7"/>
    <w:rsid w:val="00505A10"/>
    <w:rsid w:val="00505A2D"/>
    <w:rsid w:val="00505A56"/>
    <w:rsid w:val="00505A57"/>
    <w:rsid w:val="00505A5A"/>
    <w:rsid w:val="00505A89"/>
    <w:rsid w:val="00505A8D"/>
    <w:rsid w:val="00505A9C"/>
    <w:rsid w:val="00505AB7"/>
    <w:rsid w:val="00505AFE"/>
    <w:rsid w:val="00505B1A"/>
    <w:rsid w:val="00505B3A"/>
    <w:rsid w:val="00505B6E"/>
    <w:rsid w:val="00505BCC"/>
    <w:rsid w:val="00505D0A"/>
    <w:rsid w:val="00505D0E"/>
    <w:rsid w:val="00505D21"/>
    <w:rsid w:val="00505D43"/>
    <w:rsid w:val="00505DA2"/>
    <w:rsid w:val="00505DA6"/>
    <w:rsid w:val="00505DF1"/>
    <w:rsid w:val="00505E34"/>
    <w:rsid w:val="00505EAC"/>
    <w:rsid w:val="00505EBF"/>
    <w:rsid w:val="00505EC6"/>
    <w:rsid w:val="00505EF6"/>
    <w:rsid w:val="00505F78"/>
    <w:rsid w:val="00505F85"/>
    <w:rsid w:val="00505F87"/>
    <w:rsid w:val="00505FCC"/>
    <w:rsid w:val="00505FF0"/>
    <w:rsid w:val="0050602D"/>
    <w:rsid w:val="005060EE"/>
    <w:rsid w:val="00506101"/>
    <w:rsid w:val="00506107"/>
    <w:rsid w:val="0050611E"/>
    <w:rsid w:val="00506135"/>
    <w:rsid w:val="005061AE"/>
    <w:rsid w:val="005061AF"/>
    <w:rsid w:val="005061B3"/>
    <w:rsid w:val="0050623A"/>
    <w:rsid w:val="00506276"/>
    <w:rsid w:val="005062F9"/>
    <w:rsid w:val="00506313"/>
    <w:rsid w:val="00506327"/>
    <w:rsid w:val="0050637E"/>
    <w:rsid w:val="0050638E"/>
    <w:rsid w:val="00506415"/>
    <w:rsid w:val="00506437"/>
    <w:rsid w:val="00506479"/>
    <w:rsid w:val="005064EF"/>
    <w:rsid w:val="00506506"/>
    <w:rsid w:val="0050653A"/>
    <w:rsid w:val="005065A0"/>
    <w:rsid w:val="005065CA"/>
    <w:rsid w:val="00506618"/>
    <w:rsid w:val="00506621"/>
    <w:rsid w:val="00506623"/>
    <w:rsid w:val="00506666"/>
    <w:rsid w:val="0050667B"/>
    <w:rsid w:val="005066BF"/>
    <w:rsid w:val="00506722"/>
    <w:rsid w:val="00506736"/>
    <w:rsid w:val="00506785"/>
    <w:rsid w:val="005067B7"/>
    <w:rsid w:val="0050680B"/>
    <w:rsid w:val="0050682E"/>
    <w:rsid w:val="00506858"/>
    <w:rsid w:val="005068BB"/>
    <w:rsid w:val="005068C4"/>
    <w:rsid w:val="005068F9"/>
    <w:rsid w:val="00506916"/>
    <w:rsid w:val="00506971"/>
    <w:rsid w:val="00506A25"/>
    <w:rsid w:val="00506A46"/>
    <w:rsid w:val="00506A65"/>
    <w:rsid w:val="00506A7A"/>
    <w:rsid w:val="00506A9D"/>
    <w:rsid w:val="00506B85"/>
    <w:rsid w:val="00506B90"/>
    <w:rsid w:val="00506B9A"/>
    <w:rsid w:val="00506BEC"/>
    <w:rsid w:val="00506C00"/>
    <w:rsid w:val="00506C0F"/>
    <w:rsid w:val="00506C16"/>
    <w:rsid w:val="00506C17"/>
    <w:rsid w:val="00506C31"/>
    <w:rsid w:val="00506C81"/>
    <w:rsid w:val="00506CD3"/>
    <w:rsid w:val="00506CF8"/>
    <w:rsid w:val="00506D53"/>
    <w:rsid w:val="00506D73"/>
    <w:rsid w:val="00506DBF"/>
    <w:rsid w:val="00506DE3"/>
    <w:rsid w:val="00506DFF"/>
    <w:rsid w:val="00506E4F"/>
    <w:rsid w:val="00506E84"/>
    <w:rsid w:val="00506EAB"/>
    <w:rsid w:val="00506EC5"/>
    <w:rsid w:val="00506ED4"/>
    <w:rsid w:val="00506ED8"/>
    <w:rsid w:val="00506EE4"/>
    <w:rsid w:val="00506F2D"/>
    <w:rsid w:val="00506FF9"/>
    <w:rsid w:val="00507042"/>
    <w:rsid w:val="0050707F"/>
    <w:rsid w:val="0050717E"/>
    <w:rsid w:val="00507194"/>
    <w:rsid w:val="005071AE"/>
    <w:rsid w:val="005071BC"/>
    <w:rsid w:val="005071E5"/>
    <w:rsid w:val="005071E9"/>
    <w:rsid w:val="0050721F"/>
    <w:rsid w:val="00507263"/>
    <w:rsid w:val="00507274"/>
    <w:rsid w:val="005072C7"/>
    <w:rsid w:val="005072C8"/>
    <w:rsid w:val="005072D2"/>
    <w:rsid w:val="005072E2"/>
    <w:rsid w:val="0050737C"/>
    <w:rsid w:val="005073D4"/>
    <w:rsid w:val="00507424"/>
    <w:rsid w:val="00507432"/>
    <w:rsid w:val="00507437"/>
    <w:rsid w:val="00507473"/>
    <w:rsid w:val="005074A7"/>
    <w:rsid w:val="005074AA"/>
    <w:rsid w:val="005074AF"/>
    <w:rsid w:val="005074B8"/>
    <w:rsid w:val="0050763E"/>
    <w:rsid w:val="0050763F"/>
    <w:rsid w:val="00507670"/>
    <w:rsid w:val="0050769C"/>
    <w:rsid w:val="00507733"/>
    <w:rsid w:val="00507758"/>
    <w:rsid w:val="00507772"/>
    <w:rsid w:val="005077A5"/>
    <w:rsid w:val="005077EF"/>
    <w:rsid w:val="005077F9"/>
    <w:rsid w:val="00507818"/>
    <w:rsid w:val="00507858"/>
    <w:rsid w:val="0050787F"/>
    <w:rsid w:val="005078FB"/>
    <w:rsid w:val="0050798B"/>
    <w:rsid w:val="00507995"/>
    <w:rsid w:val="005079DC"/>
    <w:rsid w:val="00507A58"/>
    <w:rsid w:val="00507A9C"/>
    <w:rsid w:val="00507ACF"/>
    <w:rsid w:val="00507B3E"/>
    <w:rsid w:val="00507B97"/>
    <w:rsid w:val="00507C1F"/>
    <w:rsid w:val="00507CAD"/>
    <w:rsid w:val="00507CD4"/>
    <w:rsid w:val="00507CDE"/>
    <w:rsid w:val="00507D18"/>
    <w:rsid w:val="00507D46"/>
    <w:rsid w:val="00507D60"/>
    <w:rsid w:val="00507DCC"/>
    <w:rsid w:val="00507DF0"/>
    <w:rsid w:val="00507E4D"/>
    <w:rsid w:val="00507EBB"/>
    <w:rsid w:val="00507EE9"/>
    <w:rsid w:val="00507FB1"/>
    <w:rsid w:val="0051003F"/>
    <w:rsid w:val="0051008B"/>
    <w:rsid w:val="00510090"/>
    <w:rsid w:val="005100D0"/>
    <w:rsid w:val="00510164"/>
    <w:rsid w:val="0051018F"/>
    <w:rsid w:val="00510196"/>
    <w:rsid w:val="005101C4"/>
    <w:rsid w:val="005101F7"/>
    <w:rsid w:val="0051028B"/>
    <w:rsid w:val="00510292"/>
    <w:rsid w:val="0051032F"/>
    <w:rsid w:val="00510380"/>
    <w:rsid w:val="00510381"/>
    <w:rsid w:val="005103BF"/>
    <w:rsid w:val="00510405"/>
    <w:rsid w:val="0051041C"/>
    <w:rsid w:val="00510447"/>
    <w:rsid w:val="0051048C"/>
    <w:rsid w:val="005104EE"/>
    <w:rsid w:val="00510516"/>
    <w:rsid w:val="00510595"/>
    <w:rsid w:val="0051059C"/>
    <w:rsid w:val="00510604"/>
    <w:rsid w:val="005106B4"/>
    <w:rsid w:val="00510718"/>
    <w:rsid w:val="00510743"/>
    <w:rsid w:val="00510758"/>
    <w:rsid w:val="0051076D"/>
    <w:rsid w:val="0051077F"/>
    <w:rsid w:val="00510795"/>
    <w:rsid w:val="005107A3"/>
    <w:rsid w:val="005107A6"/>
    <w:rsid w:val="0051088F"/>
    <w:rsid w:val="005108A4"/>
    <w:rsid w:val="005108A6"/>
    <w:rsid w:val="005108AE"/>
    <w:rsid w:val="005108F7"/>
    <w:rsid w:val="005108FC"/>
    <w:rsid w:val="00510961"/>
    <w:rsid w:val="00510974"/>
    <w:rsid w:val="0051099A"/>
    <w:rsid w:val="005109BC"/>
    <w:rsid w:val="00510A19"/>
    <w:rsid w:val="00510A69"/>
    <w:rsid w:val="00510A75"/>
    <w:rsid w:val="00510AC6"/>
    <w:rsid w:val="00510B07"/>
    <w:rsid w:val="00510B57"/>
    <w:rsid w:val="00510B70"/>
    <w:rsid w:val="00510C0E"/>
    <w:rsid w:val="00510C22"/>
    <w:rsid w:val="00510C30"/>
    <w:rsid w:val="00510C40"/>
    <w:rsid w:val="00510C91"/>
    <w:rsid w:val="00510CB0"/>
    <w:rsid w:val="00510CB4"/>
    <w:rsid w:val="00510CF6"/>
    <w:rsid w:val="00510D13"/>
    <w:rsid w:val="00510D33"/>
    <w:rsid w:val="00510DA7"/>
    <w:rsid w:val="00510DB2"/>
    <w:rsid w:val="00510DBB"/>
    <w:rsid w:val="00510DF3"/>
    <w:rsid w:val="00510E42"/>
    <w:rsid w:val="00510E4E"/>
    <w:rsid w:val="00510E92"/>
    <w:rsid w:val="00510E9D"/>
    <w:rsid w:val="00510F70"/>
    <w:rsid w:val="00510F76"/>
    <w:rsid w:val="00510F7C"/>
    <w:rsid w:val="0051107B"/>
    <w:rsid w:val="0051107F"/>
    <w:rsid w:val="00511084"/>
    <w:rsid w:val="005110E1"/>
    <w:rsid w:val="00511121"/>
    <w:rsid w:val="0051116C"/>
    <w:rsid w:val="0051119A"/>
    <w:rsid w:val="005111A9"/>
    <w:rsid w:val="005111F1"/>
    <w:rsid w:val="00511217"/>
    <w:rsid w:val="005112B8"/>
    <w:rsid w:val="005112C8"/>
    <w:rsid w:val="005112F4"/>
    <w:rsid w:val="00511304"/>
    <w:rsid w:val="005113F3"/>
    <w:rsid w:val="0051140D"/>
    <w:rsid w:val="0051143A"/>
    <w:rsid w:val="00511481"/>
    <w:rsid w:val="00511497"/>
    <w:rsid w:val="005115FD"/>
    <w:rsid w:val="00511611"/>
    <w:rsid w:val="00511645"/>
    <w:rsid w:val="0051166E"/>
    <w:rsid w:val="0051167B"/>
    <w:rsid w:val="0051170A"/>
    <w:rsid w:val="0051172C"/>
    <w:rsid w:val="00511738"/>
    <w:rsid w:val="00511740"/>
    <w:rsid w:val="00511764"/>
    <w:rsid w:val="00511792"/>
    <w:rsid w:val="005117A6"/>
    <w:rsid w:val="005117EE"/>
    <w:rsid w:val="005118D9"/>
    <w:rsid w:val="0051197E"/>
    <w:rsid w:val="005119A2"/>
    <w:rsid w:val="005119C6"/>
    <w:rsid w:val="005119C8"/>
    <w:rsid w:val="005119D3"/>
    <w:rsid w:val="005119E6"/>
    <w:rsid w:val="005119FD"/>
    <w:rsid w:val="00511A07"/>
    <w:rsid w:val="00511A81"/>
    <w:rsid w:val="00511A94"/>
    <w:rsid w:val="00511AAF"/>
    <w:rsid w:val="00511AB2"/>
    <w:rsid w:val="00511AB3"/>
    <w:rsid w:val="00511AC0"/>
    <w:rsid w:val="00511AE0"/>
    <w:rsid w:val="00511AFB"/>
    <w:rsid w:val="00511B02"/>
    <w:rsid w:val="00511B0A"/>
    <w:rsid w:val="00511B3C"/>
    <w:rsid w:val="00511C18"/>
    <w:rsid w:val="00511C1B"/>
    <w:rsid w:val="00511C45"/>
    <w:rsid w:val="00511C89"/>
    <w:rsid w:val="00511CBA"/>
    <w:rsid w:val="00511CC2"/>
    <w:rsid w:val="00511CD5"/>
    <w:rsid w:val="00511CE3"/>
    <w:rsid w:val="00511CF7"/>
    <w:rsid w:val="00511CFD"/>
    <w:rsid w:val="00511D0A"/>
    <w:rsid w:val="00511D1F"/>
    <w:rsid w:val="00511D33"/>
    <w:rsid w:val="00511D61"/>
    <w:rsid w:val="00511D86"/>
    <w:rsid w:val="00511DD8"/>
    <w:rsid w:val="00511DE5"/>
    <w:rsid w:val="00511E14"/>
    <w:rsid w:val="00511E2D"/>
    <w:rsid w:val="00511E43"/>
    <w:rsid w:val="00511E44"/>
    <w:rsid w:val="00511E53"/>
    <w:rsid w:val="00511E68"/>
    <w:rsid w:val="00511E90"/>
    <w:rsid w:val="00511EEC"/>
    <w:rsid w:val="00511F5E"/>
    <w:rsid w:val="00511F99"/>
    <w:rsid w:val="00511F9E"/>
    <w:rsid w:val="00511FAE"/>
    <w:rsid w:val="00511FD9"/>
    <w:rsid w:val="00512082"/>
    <w:rsid w:val="00512087"/>
    <w:rsid w:val="005120AA"/>
    <w:rsid w:val="005120AF"/>
    <w:rsid w:val="005120C8"/>
    <w:rsid w:val="005120CB"/>
    <w:rsid w:val="005120CF"/>
    <w:rsid w:val="005120EB"/>
    <w:rsid w:val="0051213A"/>
    <w:rsid w:val="00512148"/>
    <w:rsid w:val="00512173"/>
    <w:rsid w:val="00512179"/>
    <w:rsid w:val="00512181"/>
    <w:rsid w:val="00512185"/>
    <w:rsid w:val="005121EB"/>
    <w:rsid w:val="0051220E"/>
    <w:rsid w:val="00512218"/>
    <w:rsid w:val="005122ED"/>
    <w:rsid w:val="0051232F"/>
    <w:rsid w:val="00512333"/>
    <w:rsid w:val="0051233E"/>
    <w:rsid w:val="00512384"/>
    <w:rsid w:val="00512390"/>
    <w:rsid w:val="005123E9"/>
    <w:rsid w:val="005123ED"/>
    <w:rsid w:val="0051245C"/>
    <w:rsid w:val="005124B9"/>
    <w:rsid w:val="005124CF"/>
    <w:rsid w:val="00512508"/>
    <w:rsid w:val="00512525"/>
    <w:rsid w:val="005125B4"/>
    <w:rsid w:val="005125F4"/>
    <w:rsid w:val="00512635"/>
    <w:rsid w:val="0051263A"/>
    <w:rsid w:val="0051273C"/>
    <w:rsid w:val="0051275E"/>
    <w:rsid w:val="00512770"/>
    <w:rsid w:val="005127B7"/>
    <w:rsid w:val="005127CA"/>
    <w:rsid w:val="005127D9"/>
    <w:rsid w:val="005127EE"/>
    <w:rsid w:val="00512801"/>
    <w:rsid w:val="00512804"/>
    <w:rsid w:val="0051281F"/>
    <w:rsid w:val="00512834"/>
    <w:rsid w:val="005128C3"/>
    <w:rsid w:val="005128D3"/>
    <w:rsid w:val="005128EA"/>
    <w:rsid w:val="00512903"/>
    <w:rsid w:val="00512928"/>
    <w:rsid w:val="00512948"/>
    <w:rsid w:val="005129B5"/>
    <w:rsid w:val="00512A00"/>
    <w:rsid w:val="00512A55"/>
    <w:rsid w:val="00512A7B"/>
    <w:rsid w:val="00512A7C"/>
    <w:rsid w:val="00512A9C"/>
    <w:rsid w:val="00512AB7"/>
    <w:rsid w:val="00512ADE"/>
    <w:rsid w:val="00512ADF"/>
    <w:rsid w:val="00512AE8"/>
    <w:rsid w:val="00512B31"/>
    <w:rsid w:val="00512B36"/>
    <w:rsid w:val="00512B3C"/>
    <w:rsid w:val="00512B9E"/>
    <w:rsid w:val="00512BBF"/>
    <w:rsid w:val="00512BC1"/>
    <w:rsid w:val="00512C15"/>
    <w:rsid w:val="00512C2B"/>
    <w:rsid w:val="00512C52"/>
    <w:rsid w:val="00512CB4"/>
    <w:rsid w:val="00512CB9"/>
    <w:rsid w:val="00512D48"/>
    <w:rsid w:val="00512D4C"/>
    <w:rsid w:val="00512D5B"/>
    <w:rsid w:val="00512D70"/>
    <w:rsid w:val="00512D75"/>
    <w:rsid w:val="00512D7E"/>
    <w:rsid w:val="00512E0B"/>
    <w:rsid w:val="00512E5B"/>
    <w:rsid w:val="00512EE5"/>
    <w:rsid w:val="00512EF1"/>
    <w:rsid w:val="00512F2D"/>
    <w:rsid w:val="00512F3B"/>
    <w:rsid w:val="00512F68"/>
    <w:rsid w:val="00512FBF"/>
    <w:rsid w:val="00513024"/>
    <w:rsid w:val="00513026"/>
    <w:rsid w:val="00513047"/>
    <w:rsid w:val="005130F2"/>
    <w:rsid w:val="00513138"/>
    <w:rsid w:val="0051313A"/>
    <w:rsid w:val="0051319B"/>
    <w:rsid w:val="005131A3"/>
    <w:rsid w:val="005131E9"/>
    <w:rsid w:val="005131F4"/>
    <w:rsid w:val="0051321E"/>
    <w:rsid w:val="00513280"/>
    <w:rsid w:val="0051328B"/>
    <w:rsid w:val="005132B5"/>
    <w:rsid w:val="005132C2"/>
    <w:rsid w:val="00513315"/>
    <w:rsid w:val="0051333D"/>
    <w:rsid w:val="0051335C"/>
    <w:rsid w:val="00513378"/>
    <w:rsid w:val="00513398"/>
    <w:rsid w:val="005133B8"/>
    <w:rsid w:val="005133D9"/>
    <w:rsid w:val="005133FE"/>
    <w:rsid w:val="00513440"/>
    <w:rsid w:val="005134B0"/>
    <w:rsid w:val="005134C0"/>
    <w:rsid w:val="005134D8"/>
    <w:rsid w:val="005134E1"/>
    <w:rsid w:val="00513571"/>
    <w:rsid w:val="00513596"/>
    <w:rsid w:val="005135C6"/>
    <w:rsid w:val="005135D9"/>
    <w:rsid w:val="005135FE"/>
    <w:rsid w:val="0051365E"/>
    <w:rsid w:val="0051366A"/>
    <w:rsid w:val="00513676"/>
    <w:rsid w:val="0051375A"/>
    <w:rsid w:val="00513764"/>
    <w:rsid w:val="00513842"/>
    <w:rsid w:val="0051387A"/>
    <w:rsid w:val="00513881"/>
    <w:rsid w:val="00513926"/>
    <w:rsid w:val="00513928"/>
    <w:rsid w:val="00513949"/>
    <w:rsid w:val="0051396E"/>
    <w:rsid w:val="0051397E"/>
    <w:rsid w:val="005139BF"/>
    <w:rsid w:val="00513A6D"/>
    <w:rsid w:val="00513A8F"/>
    <w:rsid w:val="00513ACF"/>
    <w:rsid w:val="00513B10"/>
    <w:rsid w:val="00513BF3"/>
    <w:rsid w:val="00513C14"/>
    <w:rsid w:val="00513C65"/>
    <w:rsid w:val="00513C70"/>
    <w:rsid w:val="00513C9A"/>
    <w:rsid w:val="00513CCA"/>
    <w:rsid w:val="00513CDD"/>
    <w:rsid w:val="00513D6D"/>
    <w:rsid w:val="00513D77"/>
    <w:rsid w:val="00513DC6"/>
    <w:rsid w:val="00513DCC"/>
    <w:rsid w:val="00513DE5"/>
    <w:rsid w:val="00513DE9"/>
    <w:rsid w:val="00513E15"/>
    <w:rsid w:val="00513E1A"/>
    <w:rsid w:val="00513E5E"/>
    <w:rsid w:val="00513EA3"/>
    <w:rsid w:val="00513EF6"/>
    <w:rsid w:val="0051407A"/>
    <w:rsid w:val="0051410B"/>
    <w:rsid w:val="00514123"/>
    <w:rsid w:val="00514142"/>
    <w:rsid w:val="00514150"/>
    <w:rsid w:val="00514167"/>
    <w:rsid w:val="00514175"/>
    <w:rsid w:val="00514187"/>
    <w:rsid w:val="005141B7"/>
    <w:rsid w:val="005141C7"/>
    <w:rsid w:val="0051421F"/>
    <w:rsid w:val="00514223"/>
    <w:rsid w:val="00514300"/>
    <w:rsid w:val="0051431F"/>
    <w:rsid w:val="0051432D"/>
    <w:rsid w:val="00514357"/>
    <w:rsid w:val="00514370"/>
    <w:rsid w:val="00514397"/>
    <w:rsid w:val="00514408"/>
    <w:rsid w:val="00514422"/>
    <w:rsid w:val="005144DA"/>
    <w:rsid w:val="005144F3"/>
    <w:rsid w:val="0051456A"/>
    <w:rsid w:val="005145BF"/>
    <w:rsid w:val="00514619"/>
    <w:rsid w:val="0051461B"/>
    <w:rsid w:val="00514635"/>
    <w:rsid w:val="0051463D"/>
    <w:rsid w:val="00514679"/>
    <w:rsid w:val="005146A7"/>
    <w:rsid w:val="005146C8"/>
    <w:rsid w:val="00514758"/>
    <w:rsid w:val="0051479C"/>
    <w:rsid w:val="005147A3"/>
    <w:rsid w:val="00514810"/>
    <w:rsid w:val="00514840"/>
    <w:rsid w:val="00514880"/>
    <w:rsid w:val="005148AA"/>
    <w:rsid w:val="005148DE"/>
    <w:rsid w:val="00514907"/>
    <w:rsid w:val="00514917"/>
    <w:rsid w:val="0051491D"/>
    <w:rsid w:val="0051492D"/>
    <w:rsid w:val="0051498E"/>
    <w:rsid w:val="00514999"/>
    <w:rsid w:val="005149AC"/>
    <w:rsid w:val="00514A44"/>
    <w:rsid w:val="00514AAE"/>
    <w:rsid w:val="00514B28"/>
    <w:rsid w:val="00514B35"/>
    <w:rsid w:val="00514B5B"/>
    <w:rsid w:val="00514B85"/>
    <w:rsid w:val="00514B86"/>
    <w:rsid w:val="00514BC4"/>
    <w:rsid w:val="00514BDC"/>
    <w:rsid w:val="00514C88"/>
    <w:rsid w:val="00514CA4"/>
    <w:rsid w:val="00514CE7"/>
    <w:rsid w:val="00514D0A"/>
    <w:rsid w:val="00514D20"/>
    <w:rsid w:val="00514D5B"/>
    <w:rsid w:val="00514D6C"/>
    <w:rsid w:val="00514E24"/>
    <w:rsid w:val="00514E45"/>
    <w:rsid w:val="00514E4E"/>
    <w:rsid w:val="00514E6D"/>
    <w:rsid w:val="00514E9D"/>
    <w:rsid w:val="00514F5A"/>
    <w:rsid w:val="00514F93"/>
    <w:rsid w:val="00514FEC"/>
    <w:rsid w:val="0051500F"/>
    <w:rsid w:val="00515014"/>
    <w:rsid w:val="005150AC"/>
    <w:rsid w:val="005150C2"/>
    <w:rsid w:val="005150F3"/>
    <w:rsid w:val="005150FB"/>
    <w:rsid w:val="00515177"/>
    <w:rsid w:val="005151EE"/>
    <w:rsid w:val="00515202"/>
    <w:rsid w:val="00515225"/>
    <w:rsid w:val="00515236"/>
    <w:rsid w:val="00515263"/>
    <w:rsid w:val="0051530C"/>
    <w:rsid w:val="00515320"/>
    <w:rsid w:val="0051535B"/>
    <w:rsid w:val="005153CD"/>
    <w:rsid w:val="005153FF"/>
    <w:rsid w:val="0051542D"/>
    <w:rsid w:val="0051543F"/>
    <w:rsid w:val="00515476"/>
    <w:rsid w:val="005154A4"/>
    <w:rsid w:val="005154CE"/>
    <w:rsid w:val="0051550A"/>
    <w:rsid w:val="00515540"/>
    <w:rsid w:val="00515590"/>
    <w:rsid w:val="00515596"/>
    <w:rsid w:val="005155BA"/>
    <w:rsid w:val="005155D2"/>
    <w:rsid w:val="005155D6"/>
    <w:rsid w:val="005155E0"/>
    <w:rsid w:val="00515656"/>
    <w:rsid w:val="00515683"/>
    <w:rsid w:val="0051568E"/>
    <w:rsid w:val="00515695"/>
    <w:rsid w:val="005156B1"/>
    <w:rsid w:val="0051570D"/>
    <w:rsid w:val="00515750"/>
    <w:rsid w:val="0051578D"/>
    <w:rsid w:val="00515791"/>
    <w:rsid w:val="005157E0"/>
    <w:rsid w:val="005157F3"/>
    <w:rsid w:val="005158D8"/>
    <w:rsid w:val="00515931"/>
    <w:rsid w:val="00515947"/>
    <w:rsid w:val="0051595A"/>
    <w:rsid w:val="005159E3"/>
    <w:rsid w:val="00515A17"/>
    <w:rsid w:val="00515AAC"/>
    <w:rsid w:val="00515B15"/>
    <w:rsid w:val="00515B1D"/>
    <w:rsid w:val="00515B2B"/>
    <w:rsid w:val="00515B5B"/>
    <w:rsid w:val="00515B6C"/>
    <w:rsid w:val="00515BAE"/>
    <w:rsid w:val="00515BE1"/>
    <w:rsid w:val="00515BF2"/>
    <w:rsid w:val="00515C18"/>
    <w:rsid w:val="00515C1C"/>
    <w:rsid w:val="00515C28"/>
    <w:rsid w:val="00515C38"/>
    <w:rsid w:val="00515C6A"/>
    <w:rsid w:val="00515CBD"/>
    <w:rsid w:val="00515CE7"/>
    <w:rsid w:val="00515CF3"/>
    <w:rsid w:val="00515D64"/>
    <w:rsid w:val="00515D90"/>
    <w:rsid w:val="00515DA5"/>
    <w:rsid w:val="00515E62"/>
    <w:rsid w:val="00515E6E"/>
    <w:rsid w:val="00515E70"/>
    <w:rsid w:val="00515E81"/>
    <w:rsid w:val="00515EF0"/>
    <w:rsid w:val="00515F1A"/>
    <w:rsid w:val="00515F21"/>
    <w:rsid w:val="00515F2A"/>
    <w:rsid w:val="00515F37"/>
    <w:rsid w:val="00515F4D"/>
    <w:rsid w:val="00515F55"/>
    <w:rsid w:val="00515F97"/>
    <w:rsid w:val="00515FCE"/>
    <w:rsid w:val="00516010"/>
    <w:rsid w:val="00516020"/>
    <w:rsid w:val="00516048"/>
    <w:rsid w:val="005160B2"/>
    <w:rsid w:val="005161C3"/>
    <w:rsid w:val="005161CA"/>
    <w:rsid w:val="00516210"/>
    <w:rsid w:val="0051629C"/>
    <w:rsid w:val="005162D9"/>
    <w:rsid w:val="0051631E"/>
    <w:rsid w:val="005163B5"/>
    <w:rsid w:val="005163F7"/>
    <w:rsid w:val="0051643E"/>
    <w:rsid w:val="00516451"/>
    <w:rsid w:val="0051645F"/>
    <w:rsid w:val="00516479"/>
    <w:rsid w:val="005164A2"/>
    <w:rsid w:val="00516511"/>
    <w:rsid w:val="00516512"/>
    <w:rsid w:val="00516522"/>
    <w:rsid w:val="00516527"/>
    <w:rsid w:val="00516593"/>
    <w:rsid w:val="005165F3"/>
    <w:rsid w:val="005165F8"/>
    <w:rsid w:val="005165F9"/>
    <w:rsid w:val="00516639"/>
    <w:rsid w:val="0051666B"/>
    <w:rsid w:val="0051668E"/>
    <w:rsid w:val="005166CC"/>
    <w:rsid w:val="00516711"/>
    <w:rsid w:val="00516724"/>
    <w:rsid w:val="0051673B"/>
    <w:rsid w:val="0051673F"/>
    <w:rsid w:val="00516768"/>
    <w:rsid w:val="00516769"/>
    <w:rsid w:val="00516822"/>
    <w:rsid w:val="0051682E"/>
    <w:rsid w:val="00516854"/>
    <w:rsid w:val="00516858"/>
    <w:rsid w:val="00516863"/>
    <w:rsid w:val="0051688B"/>
    <w:rsid w:val="005168BE"/>
    <w:rsid w:val="005168C4"/>
    <w:rsid w:val="005168D1"/>
    <w:rsid w:val="0051693A"/>
    <w:rsid w:val="00516942"/>
    <w:rsid w:val="005169A5"/>
    <w:rsid w:val="00516A07"/>
    <w:rsid w:val="00516A4B"/>
    <w:rsid w:val="00516AA5"/>
    <w:rsid w:val="00516AB3"/>
    <w:rsid w:val="00516ACD"/>
    <w:rsid w:val="00516B10"/>
    <w:rsid w:val="00516BDC"/>
    <w:rsid w:val="00516BDE"/>
    <w:rsid w:val="00516BE3"/>
    <w:rsid w:val="00516BFF"/>
    <w:rsid w:val="00516C08"/>
    <w:rsid w:val="00516C72"/>
    <w:rsid w:val="00516C89"/>
    <w:rsid w:val="00516C9D"/>
    <w:rsid w:val="00516CDB"/>
    <w:rsid w:val="00516D1F"/>
    <w:rsid w:val="00516D27"/>
    <w:rsid w:val="00516D68"/>
    <w:rsid w:val="00516DDD"/>
    <w:rsid w:val="00516DE0"/>
    <w:rsid w:val="00516DF2"/>
    <w:rsid w:val="00516E2F"/>
    <w:rsid w:val="00516F09"/>
    <w:rsid w:val="00516F67"/>
    <w:rsid w:val="00516FA6"/>
    <w:rsid w:val="00516FC4"/>
    <w:rsid w:val="00517102"/>
    <w:rsid w:val="00517107"/>
    <w:rsid w:val="0051715B"/>
    <w:rsid w:val="00517201"/>
    <w:rsid w:val="00517275"/>
    <w:rsid w:val="00517278"/>
    <w:rsid w:val="0051727B"/>
    <w:rsid w:val="005172A9"/>
    <w:rsid w:val="005172C1"/>
    <w:rsid w:val="005172CB"/>
    <w:rsid w:val="005172CC"/>
    <w:rsid w:val="0051736F"/>
    <w:rsid w:val="0051738A"/>
    <w:rsid w:val="00517435"/>
    <w:rsid w:val="00517460"/>
    <w:rsid w:val="0051746C"/>
    <w:rsid w:val="005174E0"/>
    <w:rsid w:val="005174FA"/>
    <w:rsid w:val="00517563"/>
    <w:rsid w:val="005175E5"/>
    <w:rsid w:val="00517607"/>
    <w:rsid w:val="0051766A"/>
    <w:rsid w:val="0051768A"/>
    <w:rsid w:val="0051769A"/>
    <w:rsid w:val="005176CA"/>
    <w:rsid w:val="005176DC"/>
    <w:rsid w:val="00517739"/>
    <w:rsid w:val="0051774A"/>
    <w:rsid w:val="00517751"/>
    <w:rsid w:val="0051776E"/>
    <w:rsid w:val="005177B7"/>
    <w:rsid w:val="005177EC"/>
    <w:rsid w:val="00517872"/>
    <w:rsid w:val="005178BD"/>
    <w:rsid w:val="005178E9"/>
    <w:rsid w:val="00517941"/>
    <w:rsid w:val="005179BC"/>
    <w:rsid w:val="00517A44"/>
    <w:rsid w:val="00517A70"/>
    <w:rsid w:val="00517A81"/>
    <w:rsid w:val="00517AB7"/>
    <w:rsid w:val="00517AD0"/>
    <w:rsid w:val="00517AE3"/>
    <w:rsid w:val="00517B8F"/>
    <w:rsid w:val="00517BBE"/>
    <w:rsid w:val="00517BF6"/>
    <w:rsid w:val="00517BFB"/>
    <w:rsid w:val="00517C2E"/>
    <w:rsid w:val="00517C47"/>
    <w:rsid w:val="00517D6F"/>
    <w:rsid w:val="00517DA6"/>
    <w:rsid w:val="00517DC9"/>
    <w:rsid w:val="00517E21"/>
    <w:rsid w:val="00517E34"/>
    <w:rsid w:val="00517E6C"/>
    <w:rsid w:val="00517E8B"/>
    <w:rsid w:val="00517F07"/>
    <w:rsid w:val="00517F1B"/>
    <w:rsid w:val="00517FB3"/>
    <w:rsid w:val="00517FD7"/>
    <w:rsid w:val="00517FDC"/>
    <w:rsid w:val="00520028"/>
    <w:rsid w:val="00520034"/>
    <w:rsid w:val="0052003B"/>
    <w:rsid w:val="00520060"/>
    <w:rsid w:val="0052008B"/>
    <w:rsid w:val="005200A3"/>
    <w:rsid w:val="005200A8"/>
    <w:rsid w:val="005200C7"/>
    <w:rsid w:val="005200D2"/>
    <w:rsid w:val="00520139"/>
    <w:rsid w:val="00520199"/>
    <w:rsid w:val="00520263"/>
    <w:rsid w:val="005202BB"/>
    <w:rsid w:val="00520318"/>
    <w:rsid w:val="00520334"/>
    <w:rsid w:val="00520353"/>
    <w:rsid w:val="005203DF"/>
    <w:rsid w:val="00520409"/>
    <w:rsid w:val="00520418"/>
    <w:rsid w:val="00520432"/>
    <w:rsid w:val="0052043F"/>
    <w:rsid w:val="005204D1"/>
    <w:rsid w:val="005204F2"/>
    <w:rsid w:val="00520504"/>
    <w:rsid w:val="00520546"/>
    <w:rsid w:val="00520551"/>
    <w:rsid w:val="0052057B"/>
    <w:rsid w:val="00520586"/>
    <w:rsid w:val="0052058D"/>
    <w:rsid w:val="005205BA"/>
    <w:rsid w:val="005205CF"/>
    <w:rsid w:val="005205D3"/>
    <w:rsid w:val="005205DD"/>
    <w:rsid w:val="005205F2"/>
    <w:rsid w:val="0052062B"/>
    <w:rsid w:val="00520683"/>
    <w:rsid w:val="005206BD"/>
    <w:rsid w:val="005206C7"/>
    <w:rsid w:val="005206C9"/>
    <w:rsid w:val="0052073A"/>
    <w:rsid w:val="00520751"/>
    <w:rsid w:val="00520758"/>
    <w:rsid w:val="00520761"/>
    <w:rsid w:val="005207D8"/>
    <w:rsid w:val="005207F6"/>
    <w:rsid w:val="00520805"/>
    <w:rsid w:val="00520810"/>
    <w:rsid w:val="0052084D"/>
    <w:rsid w:val="00520851"/>
    <w:rsid w:val="0052088B"/>
    <w:rsid w:val="00520895"/>
    <w:rsid w:val="005208B9"/>
    <w:rsid w:val="005208D0"/>
    <w:rsid w:val="00520944"/>
    <w:rsid w:val="00520979"/>
    <w:rsid w:val="005209B6"/>
    <w:rsid w:val="005209FD"/>
    <w:rsid w:val="00520A0B"/>
    <w:rsid w:val="00520A4A"/>
    <w:rsid w:val="00520A85"/>
    <w:rsid w:val="00520AB7"/>
    <w:rsid w:val="00520B09"/>
    <w:rsid w:val="00520B35"/>
    <w:rsid w:val="00520B72"/>
    <w:rsid w:val="00520BB3"/>
    <w:rsid w:val="00520C72"/>
    <w:rsid w:val="00520CA6"/>
    <w:rsid w:val="00520CAE"/>
    <w:rsid w:val="00520CCB"/>
    <w:rsid w:val="00520D0E"/>
    <w:rsid w:val="00520D5B"/>
    <w:rsid w:val="00520D61"/>
    <w:rsid w:val="00520D66"/>
    <w:rsid w:val="00520D7D"/>
    <w:rsid w:val="00520DE4"/>
    <w:rsid w:val="00520DEC"/>
    <w:rsid w:val="00520DFB"/>
    <w:rsid w:val="00520E14"/>
    <w:rsid w:val="00520E3F"/>
    <w:rsid w:val="00520E43"/>
    <w:rsid w:val="00520E67"/>
    <w:rsid w:val="00520E68"/>
    <w:rsid w:val="00520EC0"/>
    <w:rsid w:val="00520F39"/>
    <w:rsid w:val="00520F5B"/>
    <w:rsid w:val="00520FB1"/>
    <w:rsid w:val="00520FE3"/>
    <w:rsid w:val="00521005"/>
    <w:rsid w:val="0052100E"/>
    <w:rsid w:val="00521090"/>
    <w:rsid w:val="00521111"/>
    <w:rsid w:val="00521125"/>
    <w:rsid w:val="00521188"/>
    <w:rsid w:val="005212A8"/>
    <w:rsid w:val="005212B6"/>
    <w:rsid w:val="005212C6"/>
    <w:rsid w:val="005212C7"/>
    <w:rsid w:val="005212DD"/>
    <w:rsid w:val="00521348"/>
    <w:rsid w:val="00521364"/>
    <w:rsid w:val="0052136D"/>
    <w:rsid w:val="00521372"/>
    <w:rsid w:val="00521380"/>
    <w:rsid w:val="005214CD"/>
    <w:rsid w:val="00521575"/>
    <w:rsid w:val="0052159F"/>
    <w:rsid w:val="005215FD"/>
    <w:rsid w:val="00521645"/>
    <w:rsid w:val="00521672"/>
    <w:rsid w:val="005216CA"/>
    <w:rsid w:val="00521746"/>
    <w:rsid w:val="00521753"/>
    <w:rsid w:val="0052178B"/>
    <w:rsid w:val="005217B5"/>
    <w:rsid w:val="005217CB"/>
    <w:rsid w:val="005217CE"/>
    <w:rsid w:val="00521805"/>
    <w:rsid w:val="00521910"/>
    <w:rsid w:val="0052191A"/>
    <w:rsid w:val="00521945"/>
    <w:rsid w:val="00521951"/>
    <w:rsid w:val="00521958"/>
    <w:rsid w:val="0052199D"/>
    <w:rsid w:val="005219D9"/>
    <w:rsid w:val="00521A09"/>
    <w:rsid w:val="00521A0A"/>
    <w:rsid w:val="00521A68"/>
    <w:rsid w:val="00521A80"/>
    <w:rsid w:val="00521A81"/>
    <w:rsid w:val="00521AC0"/>
    <w:rsid w:val="00521B09"/>
    <w:rsid w:val="00521B15"/>
    <w:rsid w:val="00521B55"/>
    <w:rsid w:val="00521B6B"/>
    <w:rsid w:val="00521B77"/>
    <w:rsid w:val="00521BAA"/>
    <w:rsid w:val="00521C1E"/>
    <w:rsid w:val="00521C46"/>
    <w:rsid w:val="00521C7D"/>
    <w:rsid w:val="00521CA5"/>
    <w:rsid w:val="00521CAF"/>
    <w:rsid w:val="00521D94"/>
    <w:rsid w:val="00521D97"/>
    <w:rsid w:val="00521D9F"/>
    <w:rsid w:val="00521E01"/>
    <w:rsid w:val="00521E1D"/>
    <w:rsid w:val="00521E56"/>
    <w:rsid w:val="00521E6A"/>
    <w:rsid w:val="00521EE1"/>
    <w:rsid w:val="00521F28"/>
    <w:rsid w:val="00521F30"/>
    <w:rsid w:val="00521F3D"/>
    <w:rsid w:val="00521F50"/>
    <w:rsid w:val="00521F92"/>
    <w:rsid w:val="00521FB9"/>
    <w:rsid w:val="00522096"/>
    <w:rsid w:val="005220EE"/>
    <w:rsid w:val="0052212A"/>
    <w:rsid w:val="00522151"/>
    <w:rsid w:val="00522158"/>
    <w:rsid w:val="0052215D"/>
    <w:rsid w:val="0052219E"/>
    <w:rsid w:val="0052220B"/>
    <w:rsid w:val="0052220E"/>
    <w:rsid w:val="00522214"/>
    <w:rsid w:val="00522219"/>
    <w:rsid w:val="00522245"/>
    <w:rsid w:val="00522291"/>
    <w:rsid w:val="005222B0"/>
    <w:rsid w:val="005222B3"/>
    <w:rsid w:val="005222B6"/>
    <w:rsid w:val="00522347"/>
    <w:rsid w:val="005223B5"/>
    <w:rsid w:val="005223CD"/>
    <w:rsid w:val="005223CF"/>
    <w:rsid w:val="005223EA"/>
    <w:rsid w:val="0052243F"/>
    <w:rsid w:val="0052248A"/>
    <w:rsid w:val="005224BF"/>
    <w:rsid w:val="005224E1"/>
    <w:rsid w:val="0052252C"/>
    <w:rsid w:val="0052253E"/>
    <w:rsid w:val="0052255C"/>
    <w:rsid w:val="005225C4"/>
    <w:rsid w:val="005225DA"/>
    <w:rsid w:val="005225FA"/>
    <w:rsid w:val="0052261C"/>
    <w:rsid w:val="005226B5"/>
    <w:rsid w:val="0052270B"/>
    <w:rsid w:val="00522722"/>
    <w:rsid w:val="00522737"/>
    <w:rsid w:val="0052273F"/>
    <w:rsid w:val="0052276B"/>
    <w:rsid w:val="00522771"/>
    <w:rsid w:val="00522777"/>
    <w:rsid w:val="005227A4"/>
    <w:rsid w:val="005227A7"/>
    <w:rsid w:val="005227E3"/>
    <w:rsid w:val="00522829"/>
    <w:rsid w:val="0052283F"/>
    <w:rsid w:val="005228A8"/>
    <w:rsid w:val="005228BB"/>
    <w:rsid w:val="005228BD"/>
    <w:rsid w:val="00522954"/>
    <w:rsid w:val="00522964"/>
    <w:rsid w:val="00522966"/>
    <w:rsid w:val="005229D9"/>
    <w:rsid w:val="005229E5"/>
    <w:rsid w:val="00522A34"/>
    <w:rsid w:val="00522A73"/>
    <w:rsid w:val="00522AA7"/>
    <w:rsid w:val="00522BA7"/>
    <w:rsid w:val="00522BCB"/>
    <w:rsid w:val="00522BE0"/>
    <w:rsid w:val="00522C3C"/>
    <w:rsid w:val="00522CC4"/>
    <w:rsid w:val="00522D2C"/>
    <w:rsid w:val="00522D67"/>
    <w:rsid w:val="00522D71"/>
    <w:rsid w:val="00522D7F"/>
    <w:rsid w:val="00522D8D"/>
    <w:rsid w:val="00522D92"/>
    <w:rsid w:val="00522D95"/>
    <w:rsid w:val="00522DAE"/>
    <w:rsid w:val="00522DF7"/>
    <w:rsid w:val="00522DF9"/>
    <w:rsid w:val="00522DFB"/>
    <w:rsid w:val="00522E03"/>
    <w:rsid w:val="00522EBF"/>
    <w:rsid w:val="00522EF9"/>
    <w:rsid w:val="00522F0A"/>
    <w:rsid w:val="00522F19"/>
    <w:rsid w:val="00522F35"/>
    <w:rsid w:val="00522F49"/>
    <w:rsid w:val="00522FD1"/>
    <w:rsid w:val="00523035"/>
    <w:rsid w:val="0052307D"/>
    <w:rsid w:val="00523080"/>
    <w:rsid w:val="00523097"/>
    <w:rsid w:val="005230E1"/>
    <w:rsid w:val="005230E8"/>
    <w:rsid w:val="0052312E"/>
    <w:rsid w:val="0052315B"/>
    <w:rsid w:val="0052317C"/>
    <w:rsid w:val="00523185"/>
    <w:rsid w:val="0052319B"/>
    <w:rsid w:val="005231B8"/>
    <w:rsid w:val="00523202"/>
    <w:rsid w:val="0052324D"/>
    <w:rsid w:val="0052325D"/>
    <w:rsid w:val="00523296"/>
    <w:rsid w:val="005232EA"/>
    <w:rsid w:val="0052331E"/>
    <w:rsid w:val="005233B3"/>
    <w:rsid w:val="005233E7"/>
    <w:rsid w:val="005233F7"/>
    <w:rsid w:val="0052341F"/>
    <w:rsid w:val="0052343B"/>
    <w:rsid w:val="0052343F"/>
    <w:rsid w:val="00523443"/>
    <w:rsid w:val="0052348C"/>
    <w:rsid w:val="00523492"/>
    <w:rsid w:val="00523497"/>
    <w:rsid w:val="00523498"/>
    <w:rsid w:val="005234B1"/>
    <w:rsid w:val="00523501"/>
    <w:rsid w:val="005236C3"/>
    <w:rsid w:val="005236C5"/>
    <w:rsid w:val="005236FE"/>
    <w:rsid w:val="00523725"/>
    <w:rsid w:val="00523733"/>
    <w:rsid w:val="00523779"/>
    <w:rsid w:val="00523804"/>
    <w:rsid w:val="00523829"/>
    <w:rsid w:val="00523832"/>
    <w:rsid w:val="0052383C"/>
    <w:rsid w:val="005238D4"/>
    <w:rsid w:val="0052390E"/>
    <w:rsid w:val="00523923"/>
    <w:rsid w:val="005239D4"/>
    <w:rsid w:val="00523A30"/>
    <w:rsid w:val="00523A5A"/>
    <w:rsid w:val="00523A8A"/>
    <w:rsid w:val="00523A8E"/>
    <w:rsid w:val="00523AA0"/>
    <w:rsid w:val="00523AAC"/>
    <w:rsid w:val="00523B1B"/>
    <w:rsid w:val="00523B1C"/>
    <w:rsid w:val="00523BB9"/>
    <w:rsid w:val="00523BC6"/>
    <w:rsid w:val="00523BDE"/>
    <w:rsid w:val="00523BE7"/>
    <w:rsid w:val="00523BEA"/>
    <w:rsid w:val="00523C2D"/>
    <w:rsid w:val="00523C3D"/>
    <w:rsid w:val="00523C80"/>
    <w:rsid w:val="00523C84"/>
    <w:rsid w:val="00523C86"/>
    <w:rsid w:val="00523C8E"/>
    <w:rsid w:val="00523CEC"/>
    <w:rsid w:val="00523CF3"/>
    <w:rsid w:val="00523D92"/>
    <w:rsid w:val="00523DA5"/>
    <w:rsid w:val="00523DD7"/>
    <w:rsid w:val="00523DED"/>
    <w:rsid w:val="00523E13"/>
    <w:rsid w:val="00523E68"/>
    <w:rsid w:val="00523E78"/>
    <w:rsid w:val="00523E92"/>
    <w:rsid w:val="00523F5E"/>
    <w:rsid w:val="0052402E"/>
    <w:rsid w:val="005240C4"/>
    <w:rsid w:val="0052417B"/>
    <w:rsid w:val="00524184"/>
    <w:rsid w:val="00524204"/>
    <w:rsid w:val="00524224"/>
    <w:rsid w:val="0052424E"/>
    <w:rsid w:val="0052427A"/>
    <w:rsid w:val="005242FE"/>
    <w:rsid w:val="0052432D"/>
    <w:rsid w:val="00524346"/>
    <w:rsid w:val="00524376"/>
    <w:rsid w:val="0052439D"/>
    <w:rsid w:val="005243AA"/>
    <w:rsid w:val="005243CB"/>
    <w:rsid w:val="005243E9"/>
    <w:rsid w:val="00524403"/>
    <w:rsid w:val="0052442C"/>
    <w:rsid w:val="00524449"/>
    <w:rsid w:val="0052446C"/>
    <w:rsid w:val="00524499"/>
    <w:rsid w:val="005244BF"/>
    <w:rsid w:val="0052451E"/>
    <w:rsid w:val="00524535"/>
    <w:rsid w:val="00524555"/>
    <w:rsid w:val="00524580"/>
    <w:rsid w:val="00524599"/>
    <w:rsid w:val="005245A2"/>
    <w:rsid w:val="005245CA"/>
    <w:rsid w:val="005245E7"/>
    <w:rsid w:val="005245ED"/>
    <w:rsid w:val="00524692"/>
    <w:rsid w:val="005246D6"/>
    <w:rsid w:val="005246DE"/>
    <w:rsid w:val="00524706"/>
    <w:rsid w:val="005247C6"/>
    <w:rsid w:val="005247DC"/>
    <w:rsid w:val="0052483C"/>
    <w:rsid w:val="0052485C"/>
    <w:rsid w:val="005248A6"/>
    <w:rsid w:val="005248D2"/>
    <w:rsid w:val="005248F9"/>
    <w:rsid w:val="0052491A"/>
    <w:rsid w:val="0052493F"/>
    <w:rsid w:val="0052497D"/>
    <w:rsid w:val="0052499E"/>
    <w:rsid w:val="005249C9"/>
    <w:rsid w:val="005249CB"/>
    <w:rsid w:val="005249DB"/>
    <w:rsid w:val="00524A07"/>
    <w:rsid w:val="00524A3A"/>
    <w:rsid w:val="00524A72"/>
    <w:rsid w:val="00524AE1"/>
    <w:rsid w:val="00524AE2"/>
    <w:rsid w:val="00524AED"/>
    <w:rsid w:val="00524B11"/>
    <w:rsid w:val="00524BA3"/>
    <w:rsid w:val="00524BD0"/>
    <w:rsid w:val="00524BD2"/>
    <w:rsid w:val="00524BDA"/>
    <w:rsid w:val="00524C0D"/>
    <w:rsid w:val="00524C37"/>
    <w:rsid w:val="00524C88"/>
    <w:rsid w:val="00524D3D"/>
    <w:rsid w:val="00524DCB"/>
    <w:rsid w:val="00524DDB"/>
    <w:rsid w:val="00524DE0"/>
    <w:rsid w:val="00524E18"/>
    <w:rsid w:val="00524E35"/>
    <w:rsid w:val="00524E37"/>
    <w:rsid w:val="00524E9D"/>
    <w:rsid w:val="00524EAB"/>
    <w:rsid w:val="00524EC8"/>
    <w:rsid w:val="00524F33"/>
    <w:rsid w:val="00524F44"/>
    <w:rsid w:val="00524F8A"/>
    <w:rsid w:val="00524FC9"/>
    <w:rsid w:val="00524FFE"/>
    <w:rsid w:val="00524FFF"/>
    <w:rsid w:val="00525001"/>
    <w:rsid w:val="0052504F"/>
    <w:rsid w:val="0052512A"/>
    <w:rsid w:val="00525138"/>
    <w:rsid w:val="00525143"/>
    <w:rsid w:val="0052514C"/>
    <w:rsid w:val="0052514D"/>
    <w:rsid w:val="00525170"/>
    <w:rsid w:val="00525186"/>
    <w:rsid w:val="00525197"/>
    <w:rsid w:val="005251D2"/>
    <w:rsid w:val="005251FA"/>
    <w:rsid w:val="00525226"/>
    <w:rsid w:val="005252B1"/>
    <w:rsid w:val="005252C8"/>
    <w:rsid w:val="005252D7"/>
    <w:rsid w:val="005252E7"/>
    <w:rsid w:val="005252F2"/>
    <w:rsid w:val="0052531A"/>
    <w:rsid w:val="00525359"/>
    <w:rsid w:val="0052538B"/>
    <w:rsid w:val="005253AB"/>
    <w:rsid w:val="005253B5"/>
    <w:rsid w:val="00525414"/>
    <w:rsid w:val="0052543D"/>
    <w:rsid w:val="00525467"/>
    <w:rsid w:val="00525495"/>
    <w:rsid w:val="005254A8"/>
    <w:rsid w:val="005254C1"/>
    <w:rsid w:val="005254D4"/>
    <w:rsid w:val="00525523"/>
    <w:rsid w:val="0052553F"/>
    <w:rsid w:val="005255D4"/>
    <w:rsid w:val="00525658"/>
    <w:rsid w:val="005256CC"/>
    <w:rsid w:val="00525786"/>
    <w:rsid w:val="005257AD"/>
    <w:rsid w:val="005257B4"/>
    <w:rsid w:val="005257C1"/>
    <w:rsid w:val="00525814"/>
    <w:rsid w:val="00525829"/>
    <w:rsid w:val="00525860"/>
    <w:rsid w:val="00525871"/>
    <w:rsid w:val="0052593A"/>
    <w:rsid w:val="00525962"/>
    <w:rsid w:val="00525967"/>
    <w:rsid w:val="005259B4"/>
    <w:rsid w:val="005259D3"/>
    <w:rsid w:val="005259D4"/>
    <w:rsid w:val="00525A17"/>
    <w:rsid w:val="00525A8C"/>
    <w:rsid w:val="00525ACE"/>
    <w:rsid w:val="00525B4F"/>
    <w:rsid w:val="00525B54"/>
    <w:rsid w:val="00525C25"/>
    <w:rsid w:val="00525C47"/>
    <w:rsid w:val="00525C49"/>
    <w:rsid w:val="00525CC9"/>
    <w:rsid w:val="00525CCD"/>
    <w:rsid w:val="00525CE9"/>
    <w:rsid w:val="00525D3D"/>
    <w:rsid w:val="00525D5F"/>
    <w:rsid w:val="00525D7F"/>
    <w:rsid w:val="00525DAE"/>
    <w:rsid w:val="00525E06"/>
    <w:rsid w:val="00525E8F"/>
    <w:rsid w:val="00525EE7"/>
    <w:rsid w:val="00525EEB"/>
    <w:rsid w:val="00525F70"/>
    <w:rsid w:val="00525F92"/>
    <w:rsid w:val="00525FC4"/>
    <w:rsid w:val="00525FDC"/>
    <w:rsid w:val="00526052"/>
    <w:rsid w:val="00526156"/>
    <w:rsid w:val="005261D0"/>
    <w:rsid w:val="005262BE"/>
    <w:rsid w:val="005262D6"/>
    <w:rsid w:val="005262EE"/>
    <w:rsid w:val="00526344"/>
    <w:rsid w:val="00526373"/>
    <w:rsid w:val="00526399"/>
    <w:rsid w:val="005263A8"/>
    <w:rsid w:val="005263BE"/>
    <w:rsid w:val="00526415"/>
    <w:rsid w:val="00526469"/>
    <w:rsid w:val="0052646F"/>
    <w:rsid w:val="005264B8"/>
    <w:rsid w:val="005264C2"/>
    <w:rsid w:val="005264E0"/>
    <w:rsid w:val="005264E2"/>
    <w:rsid w:val="0052651E"/>
    <w:rsid w:val="00526611"/>
    <w:rsid w:val="00526649"/>
    <w:rsid w:val="0052664A"/>
    <w:rsid w:val="00526652"/>
    <w:rsid w:val="0052667C"/>
    <w:rsid w:val="0052669E"/>
    <w:rsid w:val="005266AE"/>
    <w:rsid w:val="005266D7"/>
    <w:rsid w:val="005266E9"/>
    <w:rsid w:val="00526740"/>
    <w:rsid w:val="00526761"/>
    <w:rsid w:val="005267CE"/>
    <w:rsid w:val="005267D6"/>
    <w:rsid w:val="00526871"/>
    <w:rsid w:val="00526891"/>
    <w:rsid w:val="00526915"/>
    <w:rsid w:val="0052694B"/>
    <w:rsid w:val="0052695F"/>
    <w:rsid w:val="00526982"/>
    <w:rsid w:val="00526989"/>
    <w:rsid w:val="005269AB"/>
    <w:rsid w:val="005269BD"/>
    <w:rsid w:val="005269C8"/>
    <w:rsid w:val="005269C9"/>
    <w:rsid w:val="005269CE"/>
    <w:rsid w:val="00526A03"/>
    <w:rsid w:val="00526A1F"/>
    <w:rsid w:val="00526A4D"/>
    <w:rsid w:val="00526A6F"/>
    <w:rsid w:val="00526A76"/>
    <w:rsid w:val="00526B98"/>
    <w:rsid w:val="00526BD7"/>
    <w:rsid w:val="00526BE9"/>
    <w:rsid w:val="00526C48"/>
    <w:rsid w:val="00526C84"/>
    <w:rsid w:val="00526C96"/>
    <w:rsid w:val="00526CD4"/>
    <w:rsid w:val="00526D02"/>
    <w:rsid w:val="00526DC7"/>
    <w:rsid w:val="00526DF9"/>
    <w:rsid w:val="00526E2E"/>
    <w:rsid w:val="00526E58"/>
    <w:rsid w:val="00526E98"/>
    <w:rsid w:val="00526E9D"/>
    <w:rsid w:val="00526EC4"/>
    <w:rsid w:val="00526F0B"/>
    <w:rsid w:val="00526F72"/>
    <w:rsid w:val="00526F91"/>
    <w:rsid w:val="00526FC9"/>
    <w:rsid w:val="00526FF2"/>
    <w:rsid w:val="00527022"/>
    <w:rsid w:val="00527051"/>
    <w:rsid w:val="005270FA"/>
    <w:rsid w:val="00527122"/>
    <w:rsid w:val="00527129"/>
    <w:rsid w:val="0052715F"/>
    <w:rsid w:val="0052719B"/>
    <w:rsid w:val="005271FE"/>
    <w:rsid w:val="00527237"/>
    <w:rsid w:val="005273A8"/>
    <w:rsid w:val="005273CB"/>
    <w:rsid w:val="005273CD"/>
    <w:rsid w:val="005273EC"/>
    <w:rsid w:val="005273ED"/>
    <w:rsid w:val="00527401"/>
    <w:rsid w:val="00527443"/>
    <w:rsid w:val="00527452"/>
    <w:rsid w:val="0052745F"/>
    <w:rsid w:val="0052747A"/>
    <w:rsid w:val="00527484"/>
    <w:rsid w:val="00527491"/>
    <w:rsid w:val="005274CB"/>
    <w:rsid w:val="005274E9"/>
    <w:rsid w:val="00527510"/>
    <w:rsid w:val="00527511"/>
    <w:rsid w:val="0052755F"/>
    <w:rsid w:val="00527580"/>
    <w:rsid w:val="00527650"/>
    <w:rsid w:val="00527674"/>
    <w:rsid w:val="00527687"/>
    <w:rsid w:val="005276DE"/>
    <w:rsid w:val="00527706"/>
    <w:rsid w:val="0052770D"/>
    <w:rsid w:val="00527715"/>
    <w:rsid w:val="00527744"/>
    <w:rsid w:val="00527897"/>
    <w:rsid w:val="0052796C"/>
    <w:rsid w:val="0052796F"/>
    <w:rsid w:val="00527996"/>
    <w:rsid w:val="005279C5"/>
    <w:rsid w:val="00527AC4"/>
    <w:rsid w:val="00527AE9"/>
    <w:rsid w:val="00527B28"/>
    <w:rsid w:val="00527B74"/>
    <w:rsid w:val="00527B9B"/>
    <w:rsid w:val="00527BC6"/>
    <w:rsid w:val="00527C07"/>
    <w:rsid w:val="00527C0C"/>
    <w:rsid w:val="00527C73"/>
    <w:rsid w:val="00527CB2"/>
    <w:rsid w:val="00527CB5"/>
    <w:rsid w:val="00527D1A"/>
    <w:rsid w:val="00527D36"/>
    <w:rsid w:val="00527D38"/>
    <w:rsid w:val="00527DB6"/>
    <w:rsid w:val="00527DE5"/>
    <w:rsid w:val="00527E51"/>
    <w:rsid w:val="00527E53"/>
    <w:rsid w:val="00527ECB"/>
    <w:rsid w:val="00527EDD"/>
    <w:rsid w:val="00527EF0"/>
    <w:rsid w:val="00527F0A"/>
    <w:rsid w:val="00527F0E"/>
    <w:rsid w:val="00527F2A"/>
    <w:rsid w:val="00527F33"/>
    <w:rsid w:val="00527F36"/>
    <w:rsid w:val="00527F4B"/>
    <w:rsid w:val="00527FB7"/>
    <w:rsid w:val="00527FBB"/>
    <w:rsid w:val="00530021"/>
    <w:rsid w:val="0053003C"/>
    <w:rsid w:val="0053005B"/>
    <w:rsid w:val="005300A7"/>
    <w:rsid w:val="005300D6"/>
    <w:rsid w:val="005300E2"/>
    <w:rsid w:val="0053012F"/>
    <w:rsid w:val="0053014E"/>
    <w:rsid w:val="00530167"/>
    <w:rsid w:val="005301CE"/>
    <w:rsid w:val="0053023B"/>
    <w:rsid w:val="00530242"/>
    <w:rsid w:val="00530279"/>
    <w:rsid w:val="005302D1"/>
    <w:rsid w:val="0053036A"/>
    <w:rsid w:val="0053037B"/>
    <w:rsid w:val="0053038D"/>
    <w:rsid w:val="005303EE"/>
    <w:rsid w:val="005303F3"/>
    <w:rsid w:val="0053047D"/>
    <w:rsid w:val="005304C3"/>
    <w:rsid w:val="005304E9"/>
    <w:rsid w:val="0053054A"/>
    <w:rsid w:val="00530569"/>
    <w:rsid w:val="0053057F"/>
    <w:rsid w:val="00530586"/>
    <w:rsid w:val="005305BE"/>
    <w:rsid w:val="005305DF"/>
    <w:rsid w:val="005305F3"/>
    <w:rsid w:val="00530624"/>
    <w:rsid w:val="00530677"/>
    <w:rsid w:val="0053067C"/>
    <w:rsid w:val="005306D8"/>
    <w:rsid w:val="005306F3"/>
    <w:rsid w:val="0053078A"/>
    <w:rsid w:val="00530796"/>
    <w:rsid w:val="005307D7"/>
    <w:rsid w:val="00530869"/>
    <w:rsid w:val="0053088F"/>
    <w:rsid w:val="005308A7"/>
    <w:rsid w:val="00530938"/>
    <w:rsid w:val="00530943"/>
    <w:rsid w:val="0053095A"/>
    <w:rsid w:val="00530965"/>
    <w:rsid w:val="005309CF"/>
    <w:rsid w:val="00530AAF"/>
    <w:rsid w:val="00530ABB"/>
    <w:rsid w:val="00530AEA"/>
    <w:rsid w:val="00530AF3"/>
    <w:rsid w:val="00530B0A"/>
    <w:rsid w:val="00530B6D"/>
    <w:rsid w:val="00530BF4"/>
    <w:rsid w:val="00530BFC"/>
    <w:rsid w:val="00530C22"/>
    <w:rsid w:val="00530C3A"/>
    <w:rsid w:val="00530C51"/>
    <w:rsid w:val="00530C92"/>
    <w:rsid w:val="00530CAD"/>
    <w:rsid w:val="00530CDF"/>
    <w:rsid w:val="00530D02"/>
    <w:rsid w:val="00530D13"/>
    <w:rsid w:val="00530D3C"/>
    <w:rsid w:val="00530D79"/>
    <w:rsid w:val="00530DC4"/>
    <w:rsid w:val="00530E77"/>
    <w:rsid w:val="00530E86"/>
    <w:rsid w:val="00530EAA"/>
    <w:rsid w:val="00530F54"/>
    <w:rsid w:val="00530F9E"/>
    <w:rsid w:val="00530FBF"/>
    <w:rsid w:val="00530FCD"/>
    <w:rsid w:val="00530FE5"/>
    <w:rsid w:val="005310A6"/>
    <w:rsid w:val="005310B6"/>
    <w:rsid w:val="005310BC"/>
    <w:rsid w:val="005310D4"/>
    <w:rsid w:val="00531108"/>
    <w:rsid w:val="00531152"/>
    <w:rsid w:val="00531255"/>
    <w:rsid w:val="00531275"/>
    <w:rsid w:val="00531283"/>
    <w:rsid w:val="005312DC"/>
    <w:rsid w:val="00531324"/>
    <w:rsid w:val="0053133B"/>
    <w:rsid w:val="00531340"/>
    <w:rsid w:val="00531346"/>
    <w:rsid w:val="005313BF"/>
    <w:rsid w:val="005313DE"/>
    <w:rsid w:val="005313F3"/>
    <w:rsid w:val="0053140D"/>
    <w:rsid w:val="0053143A"/>
    <w:rsid w:val="0053143F"/>
    <w:rsid w:val="0053144A"/>
    <w:rsid w:val="0053144B"/>
    <w:rsid w:val="0053149A"/>
    <w:rsid w:val="005314D3"/>
    <w:rsid w:val="005314F7"/>
    <w:rsid w:val="00531535"/>
    <w:rsid w:val="0053155E"/>
    <w:rsid w:val="00531569"/>
    <w:rsid w:val="0053158B"/>
    <w:rsid w:val="0053159E"/>
    <w:rsid w:val="005315A1"/>
    <w:rsid w:val="005315AE"/>
    <w:rsid w:val="005315B3"/>
    <w:rsid w:val="005315E8"/>
    <w:rsid w:val="0053160E"/>
    <w:rsid w:val="00531628"/>
    <w:rsid w:val="0053162F"/>
    <w:rsid w:val="00531662"/>
    <w:rsid w:val="005316A5"/>
    <w:rsid w:val="0053170A"/>
    <w:rsid w:val="00531746"/>
    <w:rsid w:val="005317DE"/>
    <w:rsid w:val="0053180C"/>
    <w:rsid w:val="0053185F"/>
    <w:rsid w:val="00531890"/>
    <w:rsid w:val="005318A4"/>
    <w:rsid w:val="005318BB"/>
    <w:rsid w:val="00531900"/>
    <w:rsid w:val="00531920"/>
    <w:rsid w:val="00531953"/>
    <w:rsid w:val="00531973"/>
    <w:rsid w:val="005319D3"/>
    <w:rsid w:val="005319D9"/>
    <w:rsid w:val="005319DF"/>
    <w:rsid w:val="005319E1"/>
    <w:rsid w:val="005319F0"/>
    <w:rsid w:val="00531A12"/>
    <w:rsid w:val="00531A43"/>
    <w:rsid w:val="00531AA0"/>
    <w:rsid w:val="00531AE1"/>
    <w:rsid w:val="00531B7E"/>
    <w:rsid w:val="00531B9D"/>
    <w:rsid w:val="00531BAA"/>
    <w:rsid w:val="00531BBE"/>
    <w:rsid w:val="00531BE0"/>
    <w:rsid w:val="00531C12"/>
    <w:rsid w:val="00531C2E"/>
    <w:rsid w:val="00531C5B"/>
    <w:rsid w:val="00531C86"/>
    <w:rsid w:val="00531CAA"/>
    <w:rsid w:val="00531CE3"/>
    <w:rsid w:val="00531D85"/>
    <w:rsid w:val="00531D8F"/>
    <w:rsid w:val="00531DB6"/>
    <w:rsid w:val="00531DE3"/>
    <w:rsid w:val="00531DF3"/>
    <w:rsid w:val="00531DFB"/>
    <w:rsid w:val="00531DFD"/>
    <w:rsid w:val="00531E0D"/>
    <w:rsid w:val="00531E24"/>
    <w:rsid w:val="00531E3A"/>
    <w:rsid w:val="00531EAC"/>
    <w:rsid w:val="00531F12"/>
    <w:rsid w:val="00531F62"/>
    <w:rsid w:val="00531F85"/>
    <w:rsid w:val="00531F9E"/>
    <w:rsid w:val="00531FAB"/>
    <w:rsid w:val="0053200A"/>
    <w:rsid w:val="00532015"/>
    <w:rsid w:val="00532060"/>
    <w:rsid w:val="00532097"/>
    <w:rsid w:val="005320BE"/>
    <w:rsid w:val="00532123"/>
    <w:rsid w:val="0053212A"/>
    <w:rsid w:val="0053212C"/>
    <w:rsid w:val="0053215F"/>
    <w:rsid w:val="00532177"/>
    <w:rsid w:val="00532179"/>
    <w:rsid w:val="0053220E"/>
    <w:rsid w:val="00532365"/>
    <w:rsid w:val="0053238B"/>
    <w:rsid w:val="00532394"/>
    <w:rsid w:val="005323A7"/>
    <w:rsid w:val="005323AB"/>
    <w:rsid w:val="0053247D"/>
    <w:rsid w:val="0053248D"/>
    <w:rsid w:val="005324AD"/>
    <w:rsid w:val="005324BA"/>
    <w:rsid w:val="005324DA"/>
    <w:rsid w:val="005324EA"/>
    <w:rsid w:val="0053250E"/>
    <w:rsid w:val="00532525"/>
    <w:rsid w:val="00532528"/>
    <w:rsid w:val="0053252D"/>
    <w:rsid w:val="00532599"/>
    <w:rsid w:val="005325A4"/>
    <w:rsid w:val="005325A9"/>
    <w:rsid w:val="0053262F"/>
    <w:rsid w:val="005326FA"/>
    <w:rsid w:val="00532705"/>
    <w:rsid w:val="0053270E"/>
    <w:rsid w:val="00532717"/>
    <w:rsid w:val="0053274E"/>
    <w:rsid w:val="00532756"/>
    <w:rsid w:val="0053276C"/>
    <w:rsid w:val="0053278A"/>
    <w:rsid w:val="005327DA"/>
    <w:rsid w:val="005327F3"/>
    <w:rsid w:val="00532861"/>
    <w:rsid w:val="00532880"/>
    <w:rsid w:val="0053288F"/>
    <w:rsid w:val="005328A4"/>
    <w:rsid w:val="005328A8"/>
    <w:rsid w:val="005328C4"/>
    <w:rsid w:val="005328E2"/>
    <w:rsid w:val="00532907"/>
    <w:rsid w:val="00532908"/>
    <w:rsid w:val="00532917"/>
    <w:rsid w:val="0053293D"/>
    <w:rsid w:val="0053294A"/>
    <w:rsid w:val="005329D8"/>
    <w:rsid w:val="005329E8"/>
    <w:rsid w:val="00532A2C"/>
    <w:rsid w:val="00532A57"/>
    <w:rsid w:val="00532A65"/>
    <w:rsid w:val="00532A68"/>
    <w:rsid w:val="00532AC2"/>
    <w:rsid w:val="00532B03"/>
    <w:rsid w:val="00532B1A"/>
    <w:rsid w:val="00532B2D"/>
    <w:rsid w:val="00532B5B"/>
    <w:rsid w:val="00532BD8"/>
    <w:rsid w:val="00532C0C"/>
    <w:rsid w:val="00532C49"/>
    <w:rsid w:val="00532C6C"/>
    <w:rsid w:val="00532CB4"/>
    <w:rsid w:val="00532CD7"/>
    <w:rsid w:val="00532D44"/>
    <w:rsid w:val="00532D51"/>
    <w:rsid w:val="00532D84"/>
    <w:rsid w:val="00532DAD"/>
    <w:rsid w:val="00532DF4"/>
    <w:rsid w:val="00532E16"/>
    <w:rsid w:val="00532E24"/>
    <w:rsid w:val="00532E4E"/>
    <w:rsid w:val="00532E50"/>
    <w:rsid w:val="00532E56"/>
    <w:rsid w:val="00532E8E"/>
    <w:rsid w:val="00532F07"/>
    <w:rsid w:val="00532F46"/>
    <w:rsid w:val="00532F90"/>
    <w:rsid w:val="00533001"/>
    <w:rsid w:val="00533014"/>
    <w:rsid w:val="00533064"/>
    <w:rsid w:val="00533076"/>
    <w:rsid w:val="00533086"/>
    <w:rsid w:val="00533090"/>
    <w:rsid w:val="00533095"/>
    <w:rsid w:val="005330DC"/>
    <w:rsid w:val="0053318A"/>
    <w:rsid w:val="00533232"/>
    <w:rsid w:val="0053326E"/>
    <w:rsid w:val="005332A0"/>
    <w:rsid w:val="005332C3"/>
    <w:rsid w:val="005332CB"/>
    <w:rsid w:val="0053330F"/>
    <w:rsid w:val="00533334"/>
    <w:rsid w:val="00533380"/>
    <w:rsid w:val="0053339A"/>
    <w:rsid w:val="005333C8"/>
    <w:rsid w:val="005333FB"/>
    <w:rsid w:val="00533427"/>
    <w:rsid w:val="0053347B"/>
    <w:rsid w:val="00533487"/>
    <w:rsid w:val="00533491"/>
    <w:rsid w:val="00533498"/>
    <w:rsid w:val="005334CA"/>
    <w:rsid w:val="005334CB"/>
    <w:rsid w:val="005334ED"/>
    <w:rsid w:val="005334F4"/>
    <w:rsid w:val="005334FB"/>
    <w:rsid w:val="00533505"/>
    <w:rsid w:val="00533513"/>
    <w:rsid w:val="0053353D"/>
    <w:rsid w:val="0053354B"/>
    <w:rsid w:val="0053356C"/>
    <w:rsid w:val="00533592"/>
    <w:rsid w:val="00533600"/>
    <w:rsid w:val="0053365D"/>
    <w:rsid w:val="005336AD"/>
    <w:rsid w:val="005336ED"/>
    <w:rsid w:val="00533707"/>
    <w:rsid w:val="0053378E"/>
    <w:rsid w:val="005337AF"/>
    <w:rsid w:val="005337C3"/>
    <w:rsid w:val="00533808"/>
    <w:rsid w:val="00533820"/>
    <w:rsid w:val="00533873"/>
    <w:rsid w:val="005338D3"/>
    <w:rsid w:val="005338F7"/>
    <w:rsid w:val="00533933"/>
    <w:rsid w:val="00533982"/>
    <w:rsid w:val="005339AF"/>
    <w:rsid w:val="00533A21"/>
    <w:rsid w:val="00533A3E"/>
    <w:rsid w:val="00533A51"/>
    <w:rsid w:val="00533A8B"/>
    <w:rsid w:val="00533A90"/>
    <w:rsid w:val="00533AFC"/>
    <w:rsid w:val="00533B67"/>
    <w:rsid w:val="00533C36"/>
    <w:rsid w:val="00533C52"/>
    <w:rsid w:val="00533C78"/>
    <w:rsid w:val="00533C82"/>
    <w:rsid w:val="00533CCE"/>
    <w:rsid w:val="00533D50"/>
    <w:rsid w:val="00533D76"/>
    <w:rsid w:val="00533D9B"/>
    <w:rsid w:val="00533DFA"/>
    <w:rsid w:val="00533E52"/>
    <w:rsid w:val="00533E6D"/>
    <w:rsid w:val="00533E8F"/>
    <w:rsid w:val="00533E96"/>
    <w:rsid w:val="00533F53"/>
    <w:rsid w:val="00533FA2"/>
    <w:rsid w:val="00533FCC"/>
    <w:rsid w:val="00533FCE"/>
    <w:rsid w:val="00533FDD"/>
    <w:rsid w:val="00533FE0"/>
    <w:rsid w:val="00534007"/>
    <w:rsid w:val="0053400F"/>
    <w:rsid w:val="00534058"/>
    <w:rsid w:val="0053405B"/>
    <w:rsid w:val="0053410F"/>
    <w:rsid w:val="00534130"/>
    <w:rsid w:val="00534162"/>
    <w:rsid w:val="0053418B"/>
    <w:rsid w:val="00534212"/>
    <w:rsid w:val="005342DD"/>
    <w:rsid w:val="005342E6"/>
    <w:rsid w:val="0053431F"/>
    <w:rsid w:val="0053432E"/>
    <w:rsid w:val="00534371"/>
    <w:rsid w:val="00534374"/>
    <w:rsid w:val="005343CD"/>
    <w:rsid w:val="005344BD"/>
    <w:rsid w:val="005344D0"/>
    <w:rsid w:val="005344FA"/>
    <w:rsid w:val="00534502"/>
    <w:rsid w:val="00534552"/>
    <w:rsid w:val="005345D4"/>
    <w:rsid w:val="00534642"/>
    <w:rsid w:val="0053465A"/>
    <w:rsid w:val="0053468F"/>
    <w:rsid w:val="005346C3"/>
    <w:rsid w:val="005346DA"/>
    <w:rsid w:val="005346EF"/>
    <w:rsid w:val="00534727"/>
    <w:rsid w:val="00534764"/>
    <w:rsid w:val="00534849"/>
    <w:rsid w:val="00534884"/>
    <w:rsid w:val="005348D5"/>
    <w:rsid w:val="005348E9"/>
    <w:rsid w:val="005348F2"/>
    <w:rsid w:val="00534928"/>
    <w:rsid w:val="00534936"/>
    <w:rsid w:val="0053495E"/>
    <w:rsid w:val="0053497F"/>
    <w:rsid w:val="005349A8"/>
    <w:rsid w:val="005349CE"/>
    <w:rsid w:val="00534A1E"/>
    <w:rsid w:val="00534AAB"/>
    <w:rsid w:val="00534B20"/>
    <w:rsid w:val="00534B4B"/>
    <w:rsid w:val="00534B59"/>
    <w:rsid w:val="00534BB0"/>
    <w:rsid w:val="00534C07"/>
    <w:rsid w:val="00534C27"/>
    <w:rsid w:val="00534C56"/>
    <w:rsid w:val="00534C64"/>
    <w:rsid w:val="00534C9E"/>
    <w:rsid w:val="00534D77"/>
    <w:rsid w:val="00534D8F"/>
    <w:rsid w:val="00534DF0"/>
    <w:rsid w:val="00534E63"/>
    <w:rsid w:val="00534E70"/>
    <w:rsid w:val="00534E9C"/>
    <w:rsid w:val="00534E9D"/>
    <w:rsid w:val="00534EA6"/>
    <w:rsid w:val="00534EC0"/>
    <w:rsid w:val="00534ED5"/>
    <w:rsid w:val="00534F0E"/>
    <w:rsid w:val="00534F3A"/>
    <w:rsid w:val="00534F41"/>
    <w:rsid w:val="00534F90"/>
    <w:rsid w:val="00534F93"/>
    <w:rsid w:val="00535025"/>
    <w:rsid w:val="00535090"/>
    <w:rsid w:val="00535284"/>
    <w:rsid w:val="00535297"/>
    <w:rsid w:val="005352B6"/>
    <w:rsid w:val="005352D9"/>
    <w:rsid w:val="00535306"/>
    <w:rsid w:val="005353AB"/>
    <w:rsid w:val="005353B0"/>
    <w:rsid w:val="005353B7"/>
    <w:rsid w:val="00535401"/>
    <w:rsid w:val="00535407"/>
    <w:rsid w:val="00535418"/>
    <w:rsid w:val="0053541F"/>
    <w:rsid w:val="00535475"/>
    <w:rsid w:val="005354B7"/>
    <w:rsid w:val="005354DE"/>
    <w:rsid w:val="005354E1"/>
    <w:rsid w:val="00535554"/>
    <w:rsid w:val="00535581"/>
    <w:rsid w:val="00535597"/>
    <w:rsid w:val="00535608"/>
    <w:rsid w:val="00535642"/>
    <w:rsid w:val="0053567B"/>
    <w:rsid w:val="00535687"/>
    <w:rsid w:val="005356BE"/>
    <w:rsid w:val="005356CB"/>
    <w:rsid w:val="00535823"/>
    <w:rsid w:val="0053582B"/>
    <w:rsid w:val="00535850"/>
    <w:rsid w:val="00535857"/>
    <w:rsid w:val="0053586E"/>
    <w:rsid w:val="00535884"/>
    <w:rsid w:val="005358E8"/>
    <w:rsid w:val="005358F9"/>
    <w:rsid w:val="00535904"/>
    <w:rsid w:val="0053592A"/>
    <w:rsid w:val="0053592D"/>
    <w:rsid w:val="00535968"/>
    <w:rsid w:val="00535982"/>
    <w:rsid w:val="005359B8"/>
    <w:rsid w:val="005359FD"/>
    <w:rsid w:val="00535A33"/>
    <w:rsid w:val="00535A3E"/>
    <w:rsid w:val="00535A48"/>
    <w:rsid w:val="00535A51"/>
    <w:rsid w:val="00535A59"/>
    <w:rsid w:val="00535A6F"/>
    <w:rsid w:val="00535A94"/>
    <w:rsid w:val="00535A9E"/>
    <w:rsid w:val="00535AC3"/>
    <w:rsid w:val="00535B04"/>
    <w:rsid w:val="00535B30"/>
    <w:rsid w:val="00535B31"/>
    <w:rsid w:val="00535B3C"/>
    <w:rsid w:val="00535B3E"/>
    <w:rsid w:val="00535B83"/>
    <w:rsid w:val="00535BBA"/>
    <w:rsid w:val="00535BFB"/>
    <w:rsid w:val="00535C45"/>
    <w:rsid w:val="00535C61"/>
    <w:rsid w:val="00535C81"/>
    <w:rsid w:val="00535C86"/>
    <w:rsid w:val="00535D07"/>
    <w:rsid w:val="00535D13"/>
    <w:rsid w:val="00535D23"/>
    <w:rsid w:val="00535D29"/>
    <w:rsid w:val="00535D32"/>
    <w:rsid w:val="00535DC5"/>
    <w:rsid w:val="00535DE2"/>
    <w:rsid w:val="00535E40"/>
    <w:rsid w:val="00535E4C"/>
    <w:rsid w:val="00535F0C"/>
    <w:rsid w:val="00535F13"/>
    <w:rsid w:val="00535F22"/>
    <w:rsid w:val="00535F74"/>
    <w:rsid w:val="00535F89"/>
    <w:rsid w:val="00535FAE"/>
    <w:rsid w:val="00535FC1"/>
    <w:rsid w:val="00535FCF"/>
    <w:rsid w:val="0053602E"/>
    <w:rsid w:val="005360A8"/>
    <w:rsid w:val="005360AE"/>
    <w:rsid w:val="00536107"/>
    <w:rsid w:val="0053615A"/>
    <w:rsid w:val="00536185"/>
    <w:rsid w:val="0053619D"/>
    <w:rsid w:val="005361B3"/>
    <w:rsid w:val="005361CC"/>
    <w:rsid w:val="005361D1"/>
    <w:rsid w:val="005361EB"/>
    <w:rsid w:val="00536205"/>
    <w:rsid w:val="00536217"/>
    <w:rsid w:val="00536228"/>
    <w:rsid w:val="00536260"/>
    <w:rsid w:val="0053627B"/>
    <w:rsid w:val="00536286"/>
    <w:rsid w:val="005362A7"/>
    <w:rsid w:val="005362D5"/>
    <w:rsid w:val="005362F9"/>
    <w:rsid w:val="0053632F"/>
    <w:rsid w:val="0053639A"/>
    <w:rsid w:val="00536444"/>
    <w:rsid w:val="005364BC"/>
    <w:rsid w:val="005364DA"/>
    <w:rsid w:val="0053651B"/>
    <w:rsid w:val="0053653D"/>
    <w:rsid w:val="00536578"/>
    <w:rsid w:val="0053658B"/>
    <w:rsid w:val="00536596"/>
    <w:rsid w:val="0053659F"/>
    <w:rsid w:val="005365A0"/>
    <w:rsid w:val="005365B0"/>
    <w:rsid w:val="005365B2"/>
    <w:rsid w:val="005365D1"/>
    <w:rsid w:val="005365DC"/>
    <w:rsid w:val="005365F7"/>
    <w:rsid w:val="00536608"/>
    <w:rsid w:val="00536673"/>
    <w:rsid w:val="0053668C"/>
    <w:rsid w:val="005366E7"/>
    <w:rsid w:val="005366F5"/>
    <w:rsid w:val="0053670D"/>
    <w:rsid w:val="0053672C"/>
    <w:rsid w:val="00536792"/>
    <w:rsid w:val="005367A2"/>
    <w:rsid w:val="005367A6"/>
    <w:rsid w:val="005367BE"/>
    <w:rsid w:val="005367C5"/>
    <w:rsid w:val="005367F1"/>
    <w:rsid w:val="00536805"/>
    <w:rsid w:val="00536875"/>
    <w:rsid w:val="00536892"/>
    <w:rsid w:val="0053692C"/>
    <w:rsid w:val="0053692D"/>
    <w:rsid w:val="00536960"/>
    <w:rsid w:val="0053698E"/>
    <w:rsid w:val="00536997"/>
    <w:rsid w:val="005369AA"/>
    <w:rsid w:val="00536A9C"/>
    <w:rsid w:val="00536ADE"/>
    <w:rsid w:val="00536B0B"/>
    <w:rsid w:val="00536B4F"/>
    <w:rsid w:val="00536B5A"/>
    <w:rsid w:val="00536B90"/>
    <w:rsid w:val="00536BB6"/>
    <w:rsid w:val="00536C33"/>
    <w:rsid w:val="00536C3C"/>
    <w:rsid w:val="00536C8C"/>
    <w:rsid w:val="00536CAD"/>
    <w:rsid w:val="00536CFA"/>
    <w:rsid w:val="00536DE8"/>
    <w:rsid w:val="00536E1A"/>
    <w:rsid w:val="00536E24"/>
    <w:rsid w:val="00536E4F"/>
    <w:rsid w:val="00536E5B"/>
    <w:rsid w:val="00536E67"/>
    <w:rsid w:val="00536E9D"/>
    <w:rsid w:val="00536EAA"/>
    <w:rsid w:val="00536EBA"/>
    <w:rsid w:val="00536F3A"/>
    <w:rsid w:val="00536F77"/>
    <w:rsid w:val="00536F88"/>
    <w:rsid w:val="00536FA9"/>
    <w:rsid w:val="00536FCE"/>
    <w:rsid w:val="00536FF6"/>
    <w:rsid w:val="00537000"/>
    <w:rsid w:val="0053701B"/>
    <w:rsid w:val="00537034"/>
    <w:rsid w:val="0053705D"/>
    <w:rsid w:val="00537075"/>
    <w:rsid w:val="0053707C"/>
    <w:rsid w:val="00537093"/>
    <w:rsid w:val="005370AE"/>
    <w:rsid w:val="005370CB"/>
    <w:rsid w:val="00537107"/>
    <w:rsid w:val="00537132"/>
    <w:rsid w:val="005371B2"/>
    <w:rsid w:val="005371BE"/>
    <w:rsid w:val="005371EE"/>
    <w:rsid w:val="00537208"/>
    <w:rsid w:val="00537224"/>
    <w:rsid w:val="00537265"/>
    <w:rsid w:val="00537283"/>
    <w:rsid w:val="005372F0"/>
    <w:rsid w:val="0053731F"/>
    <w:rsid w:val="00537380"/>
    <w:rsid w:val="005373A7"/>
    <w:rsid w:val="005373D3"/>
    <w:rsid w:val="005373FD"/>
    <w:rsid w:val="00537459"/>
    <w:rsid w:val="0053746C"/>
    <w:rsid w:val="005374B2"/>
    <w:rsid w:val="005374C0"/>
    <w:rsid w:val="005374D0"/>
    <w:rsid w:val="00537527"/>
    <w:rsid w:val="0053756C"/>
    <w:rsid w:val="0053758D"/>
    <w:rsid w:val="005375F0"/>
    <w:rsid w:val="0053760A"/>
    <w:rsid w:val="005376CE"/>
    <w:rsid w:val="0053777F"/>
    <w:rsid w:val="005377C3"/>
    <w:rsid w:val="00537835"/>
    <w:rsid w:val="005378D3"/>
    <w:rsid w:val="005378E3"/>
    <w:rsid w:val="00537938"/>
    <w:rsid w:val="00537997"/>
    <w:rsid w:val="005379BC"/>
    <w:rsid w:val="005379CE"/>
    <w:rsid w:val="005379EA"/>
    <w:rsid w:val="00537A52"/>
    <w:rsid w:val="00537A5E"/>
    <w:rsid w:val="00537A98"/>
    <w:rsid w:val="00537AE4"/>
    <w:rsid w:val="00537B49"/>
    <w:rsid w:val="00537B60"/>
    <w:rsid w:val="00537B65"/>
    <w:rsid w:val="00537B72"/>
    <w:rsid w:val="00537B73"/>
    <w:rsid w:val="00537B75"/>
    <w:rsid w:val="00537B95"/>
    <w:rsid w:val="00537BD9"/>
    <w:rsid w:val="00537C03"/>
    <w:rsid w:val="00537C2F"/>
    <w:rsid w:val="00537C5C"/>
    <w:rsid w:val="00537CA0"/>
    <w:rsid w:val="00537CB2"/>
    <w:rsid w:val="00537CE3"/>
    <w:rsid w:val="00537CE5"/>
    <w:rsid w:val="00537CF2"/>
    <w:rsid w:val="00537D46"/>
    <w:rsid w:val="00537D81"/>
    <w:rsid w:val="00537E48"/>
    <w:rsid w:val="00537E56"/>
    <w:rsid w:val="00537E66"/>
    <w:rsid w:val="00537E79"/>
    <w:rsid w:val="00537EDF"/>
    <w:rsid w:val="00537F34"/>
    <w:rsid w:val="00537F70"/>
    <w:rsid w:val="00537F79"/>
    <w:rsid w:val="00537FD2"/>
    <w:rsid w:val="00537FEC"/>
    <w:rsid w:val="00540004"/>
    <w:rsid w:val="00540056"/>
    <w:rsid w:val="00540082"/>
    <w:rsid w:val="005400A9"/>
    <w:rsid w:val="005400C0"/>
    <w:rsid w:val="0054015B"/>
    <w:rsid w:val="00540279"/>
    <w:rsid w:val="00540282"/>
    <w:rsid w:val="005402AA"/>
    <w:rsid w:val="005402D9"/>
    <w:rsid w:val="005402DE"/>
    <w:rsid w:val="005402E8"/>
    <w:rsid w:val="005402E9"/>
    <w:rsid w:val="005402EA"/>
    <w:rsid w:val="00540316"/>
    <w:rsid w:val="0054037D"/>
    <w:rsid w:val="0054043A"/>
    <w:rsid w:val="00540477"/>
    <w:rsid w:val="00540480"/>
    <w:rsid w:val="00540486"/>
    <w:rsid w:val="00540519"/>
    <w:rsid w:val="00540550"/>
    <w:rsid w:val="00540553"/>
    <w:rsid w:val="00540589"/>
    <w:rsid w:val="005405AD"/>
    <w:rsid w:val="005405B0"/>
    <w:rsid w:val="005405E1"/>
    <w:rsid w:val="005405EF"/>
    <w:rsid w:val="0054060D"/>
    <w:rsid w:val="00540645"/>
    <w:rsid w:val="0054065D"/>
    <w:rsid w:val="0054066A"/>
    <w:rsid w:val="005406AE"/>
    <w:rsid w:val="00540729"/>
    <w:rsid w:val="00540732"/>
    <w:rsid w:val="00540843"/>
    <w:rsid w:val="005408A2"/>
    <w:rsid w:val="005408B4"/>
    <w:rsid w:val="0054092A"/>
    <w:rsid w:val="0054093A"/>
    <w:rsid w:val="00540948"/>
    <w:rsid w:val="00540968"/>
    <w:rsid w:val="005409E5"/>
    <w:rsid w:val="00540A3B"/>
    <w:rsid w:val="00540A80"/>
    <w:rsid w:val="00540B2B"/>
    <w:rsid w:val="00540B34"/>
    <w:rsid w:val="00540B36"/>
    <w:rsid w:val="00540B54"/>
    <w:rsid w:val="00540B84"/>
    <w:rsid w:val="00540B8D"/>
    <w:rsid w:val="00540BA1"/>
    <w:rsid w:val="00540BB5"/>
    <w:rsid w:val="00540BD4"/>
    <w:rsid w:val="00540BE4"/>
    <w:rsid w:val="00540BE8"/>
    <w:rsid w:val="00540C31"/>
    <w:rsid w:val="00540C32"/>
    <w:rsid w:val="00540C4E"/>
    <w:rsid w:val="00540C62"/>
    <w:rsid w:val="00540C78"/>
    <w:rsid w:val="00540D02"/>
    <w:rsid w:val="00540DBC"/>
    <w:rsid w:val="00540DFA"/>
    <w:rsid w:val="00540DFE"/>
    <w:rsid w:val="00540DFF"/>
    <w:rsid w:val="00540E51"/>
    <w:rsid w:val="00540E77"/>
    <w:rsid w:val="00540E87"/>
    <w:rsid w:val="00540E9A"/>
    <w:rsid w:val="00540F1E"/>
    <w:rsid w:val="00540F99"/>
    <w:rsid w:val="00540FD5"/>
    <w:rsid w:val="0054101F"/>
    <w:rsid w:val="0054103E"/>
    <w:rsid w:val="0054105A"/>
    <w:rsid w:val="00541094"/>
    <w:rsid w:val="005410A9"/>
    <w:rsid w:val="005410DA"/>
    <w:rsid w:val="00541111"/>
    <w:rsid w:val="0054112A"/>
    <w:rsid w:val="0054116C"/>
    <w:rsid w:val="00541176"/>
    <w:rsid w:val="005411C1"/>
    <w:rsid w:val="005411F4"/>
    <w:rsid w:val="0054122C"/>
    <w:rsid w:val="00541256"/>
    <w:rsid w:val="00541378"/>
    <w:rsid w:val="00541395"/>
    <w:rsid w:val="0054139E"/>
    <w:rsid w:val="0054143F"/>
    <w:rsid w:val="005414B7"/>
    <w:rsid w:val="005414D8"/>
    <w:rsid w:val="00541517"/>
    <w:rsid w:val="00541534"/>
    <w:rsid w:val="00541544"/>
    <w:rsid w:val="00541546"/>
    <w:rsid w:val="00541556"/>
    <w:rsid w:val="0054155E"/>
    <w:rsid w:val="00541573"/>
    <w:rsid w:val="00541579"/>
    <w:rsid w:val="005415C8"/>
    <w:rsid w:val="005415F4"/>
    <w:rsid w:val="00541666"/>
    <w:rsid w:val="005416BD"/>
    <w:rsid w:val="0054173B"/>
    <w:rsid w:val="00541744"/>
    <w:rsid w:val="00541821"/>
    <w:rsid w:val="0054183A"/>
    <w:rsid w:val="0054188C"/>
    <w:rsid w:val="0054189E"/>
    <w:rsid w:val="005418AD"/>
    <w:rsid w:val="005418C0"/>
    <w:rsid w:val="005418DF"/>
    <w:rsid w:val="0054192B"/>
    <w:rsid w:val="0054199C"/>
    <w:rsid w:val="005419FA"/>
    <w:rsid w:val="00541A08"/>
    <w:rsid w:val="00541A20"/>
    <w:rsid w:val="00541A24"/>
    <w:rsid w:val="00541A40"/>
    <w:rsid w:val="00541A6F"/>
    <w:rsid w:val="00541A7D"/>
    <w:rsid w:val="00541B1C"/>
    <w:rsid w:val="00541B2A"/>
    <w:rsid w:val="00541B36"/>
    <w:rsid w:val="00541BBC"/>
    <w:rsid w:val="00541BDB"/>
    <w:rsid w:val="00541C64"/>
    <w:rsid w:val="00541C89"/>
    <w:rsid w:val="00541CB2"/>
    <w:rsid w:val="00541CBD"/>
    <w:rsid w:val="00541CC0"/>
    <w:rsid w:val="00541CCF"/>
    <w:rsid w:val="00541D1C"/>
    <w:rsid w:val="00541D32"/>
    <w:rsid w:val="00541D90"/>
    <w:rsid w:val="00541DAC"/>
    <w:rsid w:val="00541E19"/>
    <w:rsid w:val="00541E61"/>
    <w:rsid w:val="00541E73"/>
    <w:rsid w:val="00541E7D"/>
    <w:rsid w:val="00541EB1"/>
    <w:rsid w:val="00541EF1"/>
    <w:rsid w:val="00541F35"/>
    <w:rsid w:val="00541F40"/>
    <w:rsid w:val="00541F41"/>
    <w:rsid w:val="00541F79"/>
    <w:rsid w:val="00541F91"/>
    <w:rsid w:val="00541FA2"/>
    <w:rsid w:val="00541FD6"/>
    <w:rsid w:val="00541FE0"/>
    <w:rsid w:val="00541FFF"/>
    <w:rsid w:val="0054203F"/>
    <w:rsid w:val="005420B6"/>
    <w:rsid w:val="005420CE"/>
    <w:rsid w:val="0054211B"/>
    <w:rsid w:val="0054216A"/>
    <w:rsid w:val="00542175"/>
    <w:rsid w:val="0054218D"/>
    <w:rsid w:val="00542193"/>
    <w:rsid w:val="005421F7"/>
    <w:rsid w:val="00542221"/>
    <w:rsid w:val="0054222F"/>
    <w:rsid w:val="0054228E"/>
    <w:rsid w:val="005422A7"/>
    <w:rsid w:val="005422C6"/>
    <w:rsid w:val="005422E6"/>
    <w:rsid w:val="005422E9"/>
    <w:rsid w:val="0054232A"/>
    <w:rsid w:val="00542399"/>
    <w:rsid w:val="005423AE"/>
    <w:rsid w:val="00542435"/>
    <w:rsid w:val="0054244A"/>
    <w:rsid w:val="00542451"/>
    <w:rsid w:val="00542477"/>
    <w:rsid w:val="00542488"/>
    <w:rsid w:val="005424F1"/>
    <w:rsid w:val="00542559"/>
    <w:rsid w:val="005425BB"/>
    <w:rsid w:val="0054261E"/>
    <w:rsid w:val="0054262C"/>
    <w:rsid w:val="00542660"/>
    <w:rsid w:val="005426BD"/>
    <w:rsid w:val="005426E1"/>
    <w:rsid w:val="005426F8"/>
    <w:rsid w:val="00542818"/>
    <w:rsid w:val="0054283F"/>
    <w:rsid w:val="005428EE"/>
    <w:rsid w:val="0054292C"/>
    <w:rsid w:val="00542957"/>
    <w:rsid w:val="00542964"/>
    <w:rsid w:val="0054296D"/>
    <w:rsid w:val="0054298D"/>
    <w:rsid w:val="005429BD"/>
    <w:rsid w:val="005429E5"/>
    <w:rsid w:val="00542A15"/>
    <w:rsid w:val="00542A4D"/>
    <w:rsid w:val="00542A52"/>
    <w:rsid w:val="00542A64"/>
    <w:rsid w:val="00542AF7"/>
    <w:rsid w:val="00542B18"/>
    <w:rsid w:val="00542B54"/>
    <w:rsid w:val="00542B57"/>
    <w:rsid w:val="00542B70"/>
    <w:rsid w:val="00542B8F"/>
    <w:rsid w:val="00542BA8"/>
    <w:rsid w:val="00542BD5"/>
    <w:rsid w:val="00542BDB"/>
    <w:rsid w:val="00542BEA"/>
    <w:rsid w:val="00542C7E"/>
    <w:rsid w:val="00542C88"/>
    <w:rsid w:val="00542C99"/>
    <w:rsid w:val="00542CA9"/>
    <w:rsid w:val="00542CE5"/>
    <w:rsid w:val="00542D12"/>
    <w:rsid w:val="00542D40"/>
    <w:rsid w:val="00542DB6"/>
    <w:rsid w:val="00542DD3"/>
    <w:rsid w:val="00542E0A"/>
    <w:rsid w:val="00542E46"/>
    <w:rsid w:val="00542EA1"/>
    <w:rsid w:val="00542EE3"/>
    <w:rsid w:val="00542EEB"/>
    <w:rsid w:val="00542EFD"/>
    <w:rsid w:val="00542F10"/>
    <w:rsid w:val="00542F3B"/>
    <w:rsid w:val="00542F7D"/>
    <w:rsid w:val="00542F81"/>
    <w:rsid w:val="00542F96"/>
    <w:rsid w:val="00542FD0"/>
    <w:rsid w:val="00543098"/>
    <w:rsid w:val="0054312C"/>
    <w:rsid w:val="0054316D"/>
    <w:rsid w:val="005431B4"/>
    <w:rsid w:val="00543228"/>
    <w:rsid w:val="005432D0"/>
    <w:rsid w:val="00543356"/>
    <w:rsid w:val="00543357"/>
    <w:rsid w:val="005433EE"/>
    <w:rsid w:val="005433F6"/>
    <w:rsid w:val="00543446"/>
    <w:rsid w:val="0054345D"/>
    <w:rsid w:val="0054346F"/>
    <w:rsid w:val="005434BA"/>
    <w:rsid w:val="005434F9"/>
    <w:rsid w:val="00543531"/>
    <w:rsid w:val="00543537"/>
    <w:rsid w:val="00543565"/>
    <w:rsid w:val="005435AA"/>
    <w:rsid w:val="005435DA"/>
    <w:rsid w:val="00543607"/>
    <w:rsid w:val="00543620"/>
    <w:rsid w:val="00543656"/>
    <w:rsid w:val="0054365A"/>
    <w:rsid w:val="00543688"/>
    <w:rsid w:val="005436A0"/>
    <w:rsid w:val="005436D4"/>
    <w:rsid w:val="0054378B"/>
    <w:rsid w:val="00543792"/>
    <w:rsid w:val="005437A2"/>
    <w:rsid w:val="005437DA"/>
    <w:rsid w:val="005437F5"/>
    <w:rsid w:val="00543894"/>
    <w:rsid w:val="005438A1"/>
    <w:rsid w:val="005438E0"/>
    <w:rsid w:val="0054392A"/>
    <w:rsid w:val="00543979"/>
    <w:rsid w:val="005439D9"/>
    <w:rsid w:val="00543A00"/>
    <w:rsid w:val="00543A0D"/>
    <w:rsid w:val="00543A2E"/>
    <w:rsid w:val="00543A59"/>
    <w:rsid w:val="00543A6A"/>
    <w:rsid w:val="00543AD5"/>
    <w:rsid w:val="00543B13"/>
    <w:rsid w:val="00543B2F"/>
    <w:rsid w:val="00543B44"/>
    <w:rsid w:val="00543BAF"/>
    <w:rsid w:val="00543BF3"/>
    <w:rsid w:val="00543C12"/>
    <w:rsid w:val="00543C58"/>
    <w:rsid w:val="00543C97"/>
    <w:rsid w:val="00543CB8"/>
    <w:rsid w:val="00543CC4"/>
    <w:rsid w:val="00543CF5"/>
    <w:rsid w:val="00543D0F"/>
    <w:rsid w:val="00543D80"/>
    <w:rsid w:val="00543D9A"/>
    <w:rsid w:val="00543DE5"/>
    <w:rsid w:val="00543E0C"/>
    <w:rsid w:val="00543E16"/>
    <w:rsid w:val="00543E2C"/>
    <w:rsid w:val="00543E53"/>
    <w:rsid w:val="00543E5E"/>
    <w:rsid w:val="00543ECA"/>
    <w:rsid w:val="00543EE5"/>
    <w:rsid w:val="00543EEF"/>
    <w:rsid w:val="00543F0B"/>
    <w:rsid w:val="00543F21"/>
    <w:rsid w:val="00543F46"/>
    <w:rsid w:val="00543F5A"/>
    <w:rsid w:val="00543F5D"/>
    <w:rsid w:val="00543F83"/>
    <w:rsid w:val="00543FA0"/>
    <w:rsid w:val="00544079"/>
    <w:rsid w:val="005440DB"/>
    <w:rsid w:val="0054411A"/>
    <w:rsid w:val="00544153"/>
    <w:rsid w:val="00544166"/>
    <w:rsid w:val="0054417D"/>
    <w:rsid w:val="00544181"/>
    <w:rsid w:val="0054418D"/>
    <w:rsid w:val="005441D0"/>
    <w:rsid w:val="005441EC"/>
    <w:rsid w:val="005441F5"/>
    <w:rsid w:val="0054420E"/>
    <w:rsid w:val="0054421F"/>
    <w:rsid w:val="00544251"/>
    <w:rsid w:val="0054425A"/>
    <w:rsid w:val="0054426C"/>
    <w:rsid w:val="00544271"/>
    <w:rsid w:val="00544360"/>
    <w:rsid w:val="00544420"/>
    <w:rsid w:val="0054444A"/>
    <w:rsid w:val="00544461"/>
    <w:rsid w:val="00544478"/>
    <w:rsid w:val="0054447B"/>
    <w:rsid w:val="0054447E"/>
    <w:rsid w:val="005444BC"/>
    <w:rsid w:val="005444C8"/>
    <w:rsid w:val="00544539"/>
    <w:rsid w:val="0054454A"/>
    <w:rsid w:val="00544575"/>
    <w:rsid w:val="00544594"/>
    <w:rsid w:val="005445D1"/>
    <w:rsid w:val="005445D6"/>
    <w:rsid w:val="005445FD"/>
    <w:rsid w:val="0054468B"/>
    <w:rsid w:val="0054468D"/>
    <w:rsid w:val="005446A7"/>
    <w:rsid w:val="00544700"/>
    <w:rsid w:val="00544731"/>
    <w:rsid w:val="005447E2"/>
    <w:rsid w:val="005447E9"/>
    <w:rsid w:val="005447FB"/>
    <w:rsid w:val="00544810"/>
    <w:rsid w:val="00544830"/>
    <w:rsid w:val="0054484A"/>
    <w:rsid w:val="0054484E"/>
    <w:rsid w:val="00544859"/>
    <w:rsid w:val="005448DE"/>
    <w:rsid w:val="0054499B"/>
    <w:rsid w:val="005449AF"/>
    <w:rsid w:val="00544A2B"/>
    <w:rsid w:val="00544A63"/>
    <w:rsid w:val="00544A68"/>
    <w:rsid w:val="00544B21"/>
    <w:rsid w:val="00544B52"/>
    <w:rsid w:val="00544B7F"/>
    <w:rsid w:val="00544B8B"/>
    <w:rsid w:val="00544BE4"/>
    <w:rsid w:val="00544C2F"/>
    <w:rsid w:val="00544C7F"/>
    <w:rsid w:val="00544C8A"/>
    <w:rsid w:val="00544CA0"/>
    <w:rsid w:val="00544D9E"/>
    <w:rsid w:val="00544DD5"/>
    <w:rsid w:val="00544E23"/>
    <w:rsid w:val="00544E3A"/>
    <w:rsid w:val="00544E42"/>
    <w:rsid w:val="00544E45"/>
    <w:rsid w:val="00544E4A"/>
    <w:rsid w:val="00544EDA"/>
    <w:rsid w:val="00544F3F"/>
    <w:rsid w:val="00544F56"/>
    <w:rsid w:val="00544F61"/>
    <w:rsid w:val="00544F72"/>
    <w:rsid w:val="00544F77"/>
    <w:rsid w:val="00544FC1"/>
    <w:rsid w:val="00544FE0"/>
    <w:rsid w:val="00544FF6"/>
    <w:rsid w:val="00545021"/>
    <w:rsid w:val="00545024"/>
    <w:rsid w:val="00545030"/>
    <w:rsid w:val="00545035"/>
    <w:rsid w:val="0054503D"/>
    <w:rsid w:val="0054505E"/>
    <w:rsid w:val="00545073"/>
    <w:rsid w:val="0054514F"/>
    <w:rsid w:val="0054515A"/>
    <w:rsid w:val="0054516B"/>
    <w:rsid w:val="00545189"/>
    <w:rsid w:val="0054518A"/>
    <w:rsid w:val="005451A9"/>
    <w:rsid w:val="005451BF"/>
    <w:rsid w:val="005451C7"/>
    <w:rsid w:val="005451E0"/>
    <w:rsid w:val="005451F1"/>
    <w:rsid w:val="00545270"/>
    <w:rsid w:val="00545310"/>
    <w:rsid w:val="00545393"/>
    <w:rsid w:val="005453DF"/>
    <w:rsid w:val="005453FF"/>
    <w:rsid w:val="005454D5"/>
    <w:rsid w:val="005454ED"/>
    <w:rsid w:val="0054550D"/>
    <w:rsid w:val="005455C5"/>
    <w:rsid w:val="00545606"/>
    <w:rsid w:val="00545617"/>
    <w:rsid w:val="00545621"/>
    <w:rsid w:val="00545629"/>
    <w:rsid w:val="0054563A"/>
    <w:rsid w:val="0054565D"/>
    <w:rsid w:val="00545667"/>
    <w:rsid w:val="00545676"/>
    <w:rsid w:val="005456C2"/>
    <w:rsid w:val="005456D4"/>
    <w:rsid w:val="005456DB"/>
    <w:rsid w:val="00545727"/>
    <w:rsid w:val="00545734"/>
    <w:rsid w:val="00545774"/>
    <w:rsid w:val="00545776"/>
    <w:rsid w:val="005457B7"/>
    <w:rsid w:val="005457CC"/>
    <w:rsid w:val="005457FD"/>
    <w:rsid w:val="00545800"/>
    <w:rsid w:val="00545811"/>
    <w:rsid w:val="0054583F"/>
    <w:rsid w:val="005458D1"/>
    <w:rsid w:val="00545935"/>
    <w:rsid w:val="005459BC"/>
    <w:rsid w:val="005459E6"/>
    <w:rsid w:val="00545A78"/>
    <w:rsid w:val="00545AC7"/>
    <w:rsid w:val="00545AE4"/>
    <w:rsid w:val="00545AEA"/>
    <w:rsid w:val="00545B60"/>
    <w:rsid w:val="00545B69"/>
    <w:rsid w:val="00545B85"/>
    <w:rsid w:val="00545BB5"/>
    <w:rsid w:val="00545BD8"/>
    <w:rsid w:val="00545BFF"/>
    <w:rsid w:val="00545C0B"/>
    <w:rsid w:val="00545C48"/>
    <w:rsid w:val="00545CF0"/>
    <w:rsid w:val="00545CF2"/>
    <w:rsid w:val="00545D0D"/>
    <w:rsid w:val="00545D30"/>
    <w:rsid w:val="00545D6F"/>
    <w:rsid w:val="00545DA2"/>
    <w:rsid w:val="00545E08"/>
    <w:rsid w:val="00545E48"/>
    <w:rsid w:val="00545E6E"/>
    <w:rsid w:val="00545E7C"/>
    <w:rsid w:val="00545EB3"/>
    <w:rsid w:val="00545EF2"/>
    <w:rsid w:val="00545F30"/>
    <w:rsid w:val="00545F44"/>
    <w:rsid w:val="00545F65"/>
    <w:rsid w:val="00545F94"/>
    <w:rsid w:val="00545FBC"/>
    <w:rsid w:val="00545FC1"/>
    <w:rsid w:val="00545FC3"/>
    <w:rsid w:val="00545FD1"/>
    <w:rsid w:val="00545FFA"/>
    <w:rsid w:val="0054604F"/>
    <w:rsid w:val="00546053"/>
    <w:rsid w:val="0054605F"/>
    <w:rsid w:val="005460CB"/>
    <w:rsid w:val="005460D9"/>
    <w:rsid w:val="00546184"/>
    <w:rsid w:val="00546185"/>
    <w:rsid w:val="00546196"/>
    <w:rsid w:val="0054622F"/>
    <w:rsid w:val="0054625D"/>
    <w:rsid w:val="00546292"/>
    <w:rsid w:val="00546297"/>
    <w:rsid w:val="005462BF"/>
    <w:rsid w:val="005462F9"/>
    <w:rsid w:val="00546377"/>
    <w:rsid w:val="005463F6"/>
    <w:rsid w:val="00546403"/>
    <w:rsid w:val="0054640B"/>
    <w:rsid w:val="0054642B"/>
    <w:rsid w:val="0054644D"/>
    <w:rsid w:val="0054645F"/>
    <w:rsid w:val="005464A6"/>
    <w:rsid w:val="005464E8"/>
    <w:rsid w:val="005464EB"/>
    <w:rsid w:val="005464EC"/>
    <w:rsid w:val="005464F5"/>
    <w:rsid w:val="00546541"/>
    <w:rsid w:val="005465E1"/>
    <w:rsid w:val="00546657"/>
    <w:rsid w:val="005466EE"/>
    <w:rsid w:val="00546708"/>
    <w:rsid w:val="0054672E"/>
    <w:rsid w:val="00546748"/>
    <w:rsid w:val="00546758"/>
    <w:rsid w:val="00546792"/>
    <w:rsid w:val="0054680D"/>
    <w:rsid w:val="0054682C"/>
    <w:rsid w:val="00546838"/>
    <w:rsid w:val="005468BE"/>
    <w:rsid w:val="00546910"/>
    <w:rsid w:val="00546913"/>
    <w:rsid w:val="005469BF"/>
    <w:rsid w:val="005469D5"/>
    <w:rsid w:val="00546A0D"/>
    <w:rsid w:val="00546A7A"/>
    <w:rsid w:val="00546A96"/>
    <w:rsid w:val="00546AAB"/>
    <w:rsid w:val="00546ABB"/>
    <w:rsid w:val="00546AEA"/>
    <w:rsid w:val="00546AF9"/>
    <w:rsid w:val="00546B45"/>
    <w:rsid w:val="00546B73"/>
    <w:rsid w:val="00546B97"/>
    <w:rsid w:val="00546BE2"/>
    <w:rsid w:val="00546C45"/>
    <w:rsid w:val="00546C7A"/>
    <w:rsid w:val="00546CE2"/>
    <w:rsid w:val="00546D17"/>
    <w:rsid w:val="00546D4C"/>
    <w:rsid w:val="00546E05"/>
    <w:rsid w:val="00546E16"/>
    <w:rsid w:val="00546E2C"/>
    <w:rsid w:val="00546E33"/>
    <w:rsid w:val="00546E3B"/>
    <w:rsid w:val="00546EBC"/>
    <w:rsid w:val="00546F0D"/>
    <w:rsid w:val="00546F2C"/>
    <w:rsid w:val="00546FAB"/>
    <w:rsid w:val="00546FF1"/>
    <w:rsid w:val="00547047"/>
    <w:rsid w:val="005470B8"/>
    <w:rsid w:val="0054710F"/>
    <w:rsid w:val="00547120"/>
    <w:rsid w:val="00547175"/>
    <w:rsid w:val="0054717D"/>
    <w:rsid w:val="00547182"/>
    <w:rsid w:val="005471BA"/>
    <w:rsid w:val="005471E7"/>
    <w:rsid w:val="0054721C"/>
    <w:rsid w:val="0054723A"/>
    <w:rsid w:val="00547298"/>
    <w:rsid w:val="005472CC"/>
    <w:rsid w:val="005472F3"/>
    <w:rsid w:val="0054730D"/>
    <w:rsid w:val="00547329"/>
    <w:rsid w:val="00547362"/>
    <w:rsid w:val="00547387"/>
    <w:rsid w:val="0054738D"/>
    <w:rsid w:val="005473A8"/>
    <w:rsid w:val="005473E2"/>
    <w:rsid w:val="005473FD"/>
    <w:rsid w:val="0054740D"/>
    <w:rsid w:val="00547458"/>
    <w:rsid w:val="0054745B"/>
    <w:rsid w:val="0054745C"/>
    <w:rsid w:val="00547462"/>
    <w:rsid w:val="0054747B"/>
    <w:rsid w:val="00547487"/>
    <w:rsid w:val="00547494"/>
    <w:rsid w:val="005474AB"/>
    <w:rsid w:val="005474CD"/>
    <w:rsid w:val="005474D7"/>
    <w:rsid w:val="0054750B"/>
    <w:rsid w:val="005475EF"/>
    <w:rsid w:val="0054760B"/>
    <w:rsid w:val="00547625"/>
    <w:rsid w:val="0054768B"/>
    <w:rsid w:val="0054770F"/>
    <w:rsid w:val="00547725"/>
    <w:rsid w:val="00547773"/>
    <w:rsid w:val="005477C1"/>
    <w:rsid w:val="005477F1"/>
    <w:rsid w:val="0054784C"/>
    <w:rsid w:val="00547879"/>
    <w:rsid w:val="0054787B"/>
    <w:rsid w:val="005478C0"/>
    <w:rsid w:val="005478C4"/>
    <w:rsid w:val="005478CB"/>
    <w:rsid w:val="00547951"/>
    <w:rsid w:val="00547968"/>
    <w:rsid w:val="005479BA"/>
    <w:rsid w:val="005479CA"/>
    <w:rsid w:val="00547A15"/>
    <w:rsid w:val="00547A37"/>
    <w:rsid w:val="00547AAE"/>
    <w:rsid w:val="00547B11"/>
    <w:rsid w:val="00547B63"/>
    <w:rsid w:val="00547B6D"/>
    <w:rsid w:val="00547B87"/>
    <w:rsid w:val="00547BBA"/>
    <w:rsid w:val="00547C81"/>
    <w:rsid w:val="00547D41"/>
    <w:rsid w:val="00547D62"/>
    <w:rsid w:val="00547D6A"/>
    <w:rsid w:val="00547D84"/>
    <w:rsid w:val="00547DF0"/>
    <w:rsid w:val="00547ED3"/>
    <w:rsid w:val="00547EE9"/>
    <w:rsid w:val="00547EFA"/>
    <w:rsid w:val="00547F10"/>
    <w:rsid w:val="00547F6B"/>
    <w:rsid w:val="00547F6F"/>
    <w:rsid w:val="005500D5"/>
    <w:rsid w:val="005500D7"/>
    <w:rsid w:val="0055020B"/>
    <w:rsid w:val="00550216"/>
    <w:rsid w:val="005502BD"/>
    <w:rsid w:val="005502DC"/>
    <w:rsid w:val="005502E0"/>
    <w:rsid w:val="005502EF"/>
    <w:rsid w:val="00550313"/>
    <w:rsid w:val="005503AE"/>
    <w:rsid w:val="005503E9"/>
    <w:rsid w:val="0055049F"/>
    <w:rsid w:val="005504ED"/>
    <w:rsid w:val="00550532"/>
    <w:rsid w:val="00550534"/>
    <w:rsid w:val="0055058B"/>
    <w:rsid w:val="005505EE"/>
    <w:rsid w:val="0055069D"/>
    <w:rsid w:val="005506A5"/>
    <w:rsid w:val="005506CC"/>
    <w:rsid w:val="00550709"/>
    <w:rsid w:val="0055070F"/>
    <w:rsid w:val="0055071E"/>
    <w:rsid w:val="0055074A"/>
    <w:rsid w:val="0055077B"/>
    <w:rsid w:val="00550782"/>
    <w:rsid w:val="005507A5"/>
    <w:rsid w:val="005507A7"/>
    <w:rsid w:val="00550805"/>
    <w:rsid w:val="00550807"/>
    <w:rsid w:val="0055089C"/>
    <w:rsid w:val="0055090A"/>
    <w:rsid w:val="00550953"/>
    <w:rsid w:val="005509E1"/>
    <w:rsid w:val="00550A25"/>
    <w:rsid w:val="00550A4D"/>
    <w:rsid w:val="00550AB2"/>
    <w:rsid w:val="00550ABE"/>
    <w:rsid w:val="00550ADC"/>
    <w:rsid w:val="00550ADF"/>
    <w:rsid w:val="00550B0D"/>
    <w:rsid w:val="00550B21"/>
    <w:rsid w:val="00550BCA"/>
    <w:rsid w:val="00550C90"/>
    <w:rsid w:val="00550CAB"/>
    <w:rsid w:val="00550CAF"/>
    <w:rsid w:val="00550D46"/>
    <w:rsid w:val="00550D48"/>
    <w:rsid w:val="00550D68"/>
    <w:rsid w:val="00550D6F"/>
    <w:rsid w:val="00550E01"/>
    <w:rsid w:val="00550E4D"/>
    <w:rsid w:val="00550EBC"/>
    <w:rsid w:val="00550ECE"/>
    <w:rsid w:val="00550EDC"/>
    <w:rsid w:val="00550F37"/>
    <w:rsid w:val="00550F5A"/>
    <w:rsid w:val="00550FAB"/>
    <w:rsid w:val="00550FDB"/>
    <w:rsid w:val="00550FDC"/>
    <w:rsid w:val="00551011"/>
    <w:rsid w:val="0055108B"/>
    <w:rsid w:val="00551099"/>
    <w:rsid w:val="005510BA"/>
    <w:rsid w:val="005510D8"/>
    <w:rsid w:val="00551133"/>
    <w:rsid w:val="00551147"/>
    <w:rsid w:val="00551181"/>
    <w:rsid w:val="005511B6"/>
    <w:rsid w:val="00551278"/>
    <w:rsid w:val="00551297"/>
    <w:rsid w:val="005512DF"/>
    <w:rsid w:val="00551350"/>
    <w:rsid w:val="00551379"/>
    <w:rsid w:val="00551385"/>
    <w:rsid w:val="00551393"/>
    <w:rsid w:val="005513E8"/>
    <w:rsid w:val="00551430"/>
    <w:rsid w:val="00551465"/>
    <w:rsid w:val="00551482"/>
    <w:rsid w:val="00551484"/>
    <w:rsid w:val="005514E9"/>
    <w:rsid w:val="005514F3"/>
    <w:rsid w:val="0055150B"/>
    <w:rsid w:val="0055154C"/>
    <w:rsid w:val="0055157F"/>
    <w:rsid w:val="005515C3"/>
    <w:rsid w:val="005515D8"/>
    <w:rsid w:val="00551604"/>
    <w:rsid w:val="00551625"/>
    <w:rsid w:val="005516D7"/>
    <w:rsid w:val="00551703"/>
    <w:rsid w:val="00551734"/>
    <w:rsid w:val="00551754"/>
    <w:rsid w:val="0055178B"/>
    <w:rsid w:val="005517D4"/>
    <w:rsid w:val="005517DF"/>
    <w:rsid w:val="0055182D"/>
    <w:rsid w:val="00551835"/>
    <w:rsid w:val="0055186C"/>
    <w:rsid w:val="005518C3"/>
    <w:rsid w:val="005518C8"/>
    <w:rsid w:val="005518E5"/>
    <w:rsid w:val="00551953"/>
    <w:rsid w:val="005519B2"/>
    <w:rsid w:val="005519C9"/>
    <w:rsid w:val="00551A47"/>
    <w:rsid w:val="00551A97"/>
    <w:rsid w:val="00551ABF"/>
    <w:rsid w:val="00551B5E"/>
    <w:rsid w:val="00551B70"/>
    <w:rsid w:val="00551C10"/>
    <w:rsid w:val="00551C40"/>
    <w:rsid w:val="00551CDE"/>
    <w:rsid w:val="00551CE2"/>
    <w:rsid w:val="00551D42"/>
    <w:rsid w:val="00551D50"/>
    <w:rsid w:val="00551D6E"/>
    <w:rsid w:val="00551D73"/>
    <w:rsid w:val="00551D99"/>
    <w:rsid w:val="00551DA3"/>
    <w:rsid w:val="00551DB4"/>
    <w:rsid w:val="00551DF7"/>
    <w:rsid w:val="00551E13"/>
    <w:rsid w:val="00551E53"/>
    <w:rsid w:val="00551E74"/>
    <w:rsid w:val="00551F7D"/>
    <w:rsid w:val="00551F90"/>
    <w:rsid w:val="00551FD2"/>
    <w:rsid w:val="00551FD5"/>
    <w:rsid w:val="00552022"/>
    <w:rsid w:val="0055203B"/>
    <w:rsid w:val="0055204C"/>
    <w:rsid w:val="005520A6"/>
    <w:rsid w:val="005520BA"/>
    <w:rsid w:val="005520DC"/>
    <w:rsid w:val="00552121"/>
    <w:rsid w:val="0055212B"/>
    <w:rsid w:val="00552136"/>
    <w:rsid w:val="00552137"/>
    <w:rsid w:val="005521B8"/>
    <w:rsid w:val="005521EC"/>
    <w:rsid w:val="0055222E"/>
    <w:rsid w:val="0055225F"/>
    <w:rsid w:val="00552283"/>
    <w:rsid w:val="00552325"/>
    <w:rsid w:val="00552327"/>
    <w:rsid w:val="0055232C"/>
    <w:rsid w:val="0055238B"/>
    <w:rsid w:val="005523A9"/>
    <w:rsid w:val="005523BA"/>
    <w:rsid w:val="005523C6"/>
    <w:rsid w:val="00552437"/>
    <w:rsid w:val="00552488"/>
    <w:rsid w:val="005524C7"/>
    <w:rsid w:val="0055251E"/>
    <w:rsid w:val="00552532"/>
    <w:rsid w:val="005525A3"/>
    <w:rsid w:val="005525E3"/>
    <w:rsid w:val="005525E5"/>
    <w:rsid w:val="00552643"/>
    <w:rsid w:val="00552669"/>
    <w:rsid w:val="0055274B"/>
    <w:rsid w:val="0055275F"/>
    <w:rsid w:val="0055279B"/>
    <w:rsid w:val="005527A4"/>
    <w:rsid w:val="005527B4"/>
    <w:rsid w:val="005527BF"/>
    <w:rsid w:val="00552846"/>
    <w:rsid w:val="00552853"/>
    <w:rsid w:val="005528E7"/>
    <w:rsid w:val="005528EE"/>
    <w:rsid w:val="00552913"/>
    <w:rsid w:val="00552924"/>
    <w:rsid w:val="00552925"/>
    <w:rsid w:val="00552949"/>
    <w:rsid w:val="00552999"/>
    <w:rsid w:val="005529A5"/>
    <w:rsid w:val="005529DA"/>
    <w:rsid w:val="005529DB"/>
    <w:rsid w:val="00552A18"/>
    <w:rsid w:val="00552A94"/>
    <w:rsid w:val="00552AA6"/>
    <w:rsid w:val="00552AB7"/>
    <w:rsid w:val="00552B0E"/>
    <w:rsid w:val="00552B20"/>
    <w:rsid w:val="00552B39"/>
    <w:rsid w:val="00552B59"/>
    <w:rsid w:val="00552BA4"/>
    <w:rsid w:val="00552BAE"/>
    <w:rsid w:val="00552BE4"/>
    <w:rsid w:val="00552C1B"/>
    <w:rsid w:val="00552C51"/>
    <w:rsid w:val="00552CC2"/>
    <w:rsid w:val="00552CDB"/>
    <w:rsid w:val="00552CF2"/>
    <w:rsid w:val="00552D19"/>
    <w:rsid w:val="00552D30"/>
    <w:rsid w:val="00552D35"/>
    <w:rsid w:val="00552D4B"/>
    <w:rsid w:val="00552D82"/>
    <w:rsid w:val="00552D98"/>
    <w:rsid w:val="00552DA4"/>
    <w:rsid w:val="00552DB8"/>
    <w:rsid w:val="00552DD1"/>
    <w:rsid w:val="00552E44"/>
    <w:rsid w:val="00552EDD"/>
    <w:rsid w:val="00552F0F"/>
    <w:rsid w:val="00552F41"/>
    <w:rsid w:val="00552FAE"/>
    <w:rsid w:val="00552FCD"/>
    <w:rsid w:val="00553066"/>
    <w:rsid w:val="005530AD"/>
    <w:rsid w:val="005530B9"/>
    <w:rsid w:val="005530F8"/>
    <w:rsid w:val="00553117"/>
    <w:rsid w:val="0055314F"/>
    <w:rsid w:val="00553197"/>
    <w:rsid w:val="005531CC"/>
    <w:rsid w:val="005531CF"/>
    <w:rsid w:val="005531DA"/>
    <w:rsid w:val="00553234"/>
    <w:rsid w:val="0055323A"/>
    <w:rsid w:val="00553244"/>
    <w:rsid w:val="00553283"/>
    <w:rsid w:val="00553285"/>
    <w:rsid w:val="0055329E"/>
    <w:rsid w:val="00553326"/>
    <w:rsid w:val="00553352"/>
    <w:rsid w:val="00553436"/>
    <w:rsid w:val="00553443"/>
    <w:rsid w:val="00553449"/>
    <w:rsid w:val="0055344A"/>
    <w:rsid w:val="0055345C"/>
    <w:rsid w:val="005534C2"/>
    <w:rsid w:val="005534F4"/>
    <w:rsid w:val="00553506"/>
    <w:rsid w:val="00553521"/>
    <w:rsid w:val="0055356A"/>
    <w:rsid w:val="005535A7"/>
    <w:rsid w:val="005535ED"/>
    <w:rsid w:val="00553683"/>
    <w:rsid w:val="005536A3"/>
    <w:rsid w:val="005536D6"/>
    <w:rsid w:val="005536E8"/>
    <w:rsid w:val="005536F8"/>
    <w:rsid w:val="005536FC"/>
    <w:rsid w:val="0055372F"/>
    <w:rsid w:val="005537AC"/>
    <w:rsid w:val="00553918"/>
    <w:rsid w:val="00553953"/>
    <w:rsid w:val="00553958"/>
    <w:rsid w:val="00553964"/>
    <w:rsid w:val="00553A1E"/>
    <w:rsid w:val="00553A29"/>
    <w:rsid w:val="00553A44"/>
    <w:rsid w:val="00553A91"/>
    <w:rsid w:val="00553A94"/>
    <w:rsid w:val="00553ACB"/>
    <w:rsid w:val="00553AF5"/>
    <w:rsid w:val="00553B08"/>
    <w:rsid w:val="00553B31"/>
    <w:rsid w:val="00553B58"/>
    <w:rsid w:val="00553BA6"/>
    <w:rsid w:val="00553BBB"/>
    <w:rsid w:val="00553C0A"/>
    <w:rsid w:val="00553C1F"/>
    <w:rsid w:val="00553CB9"/>
    <w:rsid w:val="00553D2C"/>
    <w:rsid w:val="00553D7E"/>
    <w:rsid w:val="00553DE3"/>
    <w:rsid w:val="00553E30"/>
    <w:rsid w:val="00553E96"/>
    <w:rsid w:val="00553EE3"/>
    <w:rsid w:val="00553F8C"/>
    <w:rsid w:val="00553FEF"/>
    <w:rsid w:val="00554018"/>
    <w:rsid w:val="00554042"/>
    <w:rsid w:val="00554059"/>
    <w:rsid w:val="00554086"/>
    <w:rsid w:val="005540E6"/>
    <w:rsid w:val="005540ED"/>
    <w:rsid w:val="005540EF"/>
    <w:rsid w:val="00554103"/>
    <w:rsid w:val="00554128"/>
    <w:rsid w:val="0055414C"/>
    <w:rsid w:val="005541F6"/>
    <w:rsid w:val="00554216"/>
    <w:rsid w:val="00554225"/>
    <w:rsid w:val="00554229"/>
    <w:rsid w:val="00554248"/>
    <w:rsid w:val="0055427C"/>
    <w:rsid w:val="00554284"/>
    <w:rsid w:val="00554299"/>
    <w:rsid w:val="005542EC"/>
    <w:rsid w:val="00554306"/>
    <w:rsid w:val="00554325"/>
    <w:rsid w:val="00554348"/>
    <w:rsid w:val="00554380"/>
    <w:rsid w:val="00554383"/>
    <w:rsid w:val="005543B1"/>
    <w:rsid w:val="00554401"/>
    <w:rsid w:val="00554406"/>
    <w:rsid w:val="0055441F"/>
    <w:rsid w:val="0055449F"/>
    <w:rsid w:val="0055453B"/>
    <w:rsid w:val="00554590"/>
    <w:rsid w:val="005545AF"/>
    <w:rsid w:val="005545E1"/>
    <w:rsid w:val="005545FF"/>
    <w:rsid w:val="0055465D"/>
    <w:rsid w:val="00554690"/>
    <w:rsid w:val="00554691"/>
    <w:rsid w:val="005546BC"/>
    <w:rsid w:val="005546C2"/>
    <w:rsid w:val="005546F5"/>
    <w:rsid w:val="005546F9"/>
    <w:rsid w:val="00554739"/>
    <w:rsid w:val="005547F5"/>
    <w:rsid w:val="0055482B"/>
    <w:rsid w:val="00554934"/>
    <w:rsid w:val="0055493E"/>
    <w:rsid w:val="0055494C"/>
    <w:rsid w:val="00554956"/>
    <w:rsid w:val="0055499D"/>
    <w:rsid w:val="005549D0"/>
    <w:rsid w:val="00554A66"/>
    <w:rsid w:val="00554A77"/>
    <w:rsid w:val="00554BD9"/>
    <w:rsid w:val="00554C4D"/>
    <w:rsid w:val="00554CD4"/>
    <w:rsid w:val="00554CF2"/>
    <w:rsid w:val="00554D11"/>
    <w:rsid w:val="00554D3E"/>
    <w:rsid w:val="00554D58"/>
    <w:rsid w:val="00554D6A"/>
    <w:rsid w:val="00554D9F"/>
    <w:rsid w:val="00554DE9"/>
    <w:rsid w:val="00554E15"/>
    <w:rsid w:val="00554E30"/>
    <w:rsid w:val="00554E31"/>
    <w:rsid w:val="00554E43"/>
    <w:rsid w:val="00554EE3"/>
    <w:rsid w:val="00554F14"/>
    <w:rsid w:val="00554F80"/>
    <w:rsid w:val="00554FA0"/>
    <w:rsid w:val="00554FC1"/>
    <w:rsid w:val="00555027"/>
    <w:rsid w:val="005550AA"/>
    <w:rsid w:val="005550F0"/>
    <w:rsid w:val="0055510F"/>
    <w:rsid w:val="00555193"/>
    <w:rsid w:val="005551C6"/>
    <w:rsid w:val="005551CF"/>
    <w:rsid w:val="00555219"/>
    <w:rsid w:val="0055525E"/>
    <w:rsid w:val="00555268"/>
    <w:rsid w:val="00555278"/>
    <w:rsid w:val="0055527E"/>
    <w:rsid w:val="005552E1"/>
    <w:rsid w:val="005552E7"/>
    <w:rsid w:val="005552EA"/>
    <w:rsid w:val="005552FB"/>
    <w:rsid w:val="005552FC"/>
    <w:rsid w:val="00555317"/>
    <w:rsid w:val="00555320"/>
    <w:rsid w:val="0055533A"/>
    <w:rsid w:val="0055533B"/>
    <w:rsid w:val="005553AD"/>
    <w:rsid w:val="005553BE"/>
    <w:rsid w:val="005553E0"/>
    <w:rsid w:val="005553F7"/>
    <w:rsid w:val="00555444"/>
    <w:rsid w:val="00555461"/>
    <w:rsid w:val="00555498"/>
    <w:rsid w:val="005554C3"/>
    <w:rsid w:val="005554E0"/>
    <w:rsid w:val="005554FF"/>
    <w:rsid w:val="00555519"/>
    <w:rsid w:val="00555546"/>
    <w:rsid w:val="0055555E"/>
    <w:rsid w:val="00555564"/>
    <w:rsid w:val="005555CE"/>
    <w:rsid w:val="005555D5"/>
    <w:rsid w:val="005555E2"/>
    <w:rsid w:val="0055565A"/>
    <w:rsid w:val="0055566D"/>
    <w:rsid w:val="005556A7"/>
    <w:rsid w:val="005556FC"/>
    <w:rsid w:val="00555755"/>
    <w:rsid w:val="005557A8"/>
    <w:rsid w:val="005557AF"/>
    <w:rsid w:val="005557D0"/>
    <w:rsid w:val="005557DE"/>
    <w:rsid w:val="005557E1"/>
    <w:rsid w:val="00555801"/>
    <w:rsid w:val="0055580B"/>
    <w:rsid w:val="0055583D"/>
    <w:rsid w:val="00555844"/>
    <w:rsid w:val="00555881"/>
    <w:rsid w:val="00555898"/>
    <w:rsid w:val="005558A0"/>
    <w:rsid w:val="005558D4"/>
    <w:rsid w:val="0055591E"/>
    <w:rsid w:val="00555945"/>
    <w:rsid w:val="005559A5"/>
    <w:rsid w:val="005559DC"/>
    <w:rsid w:val="005559EF"/>
    <w:rsid w:val="00555A8E"/>
    <w:rsid w:val="00555A95"/>
    <w:rsid w:val="00555ACA"/>
    <w:rsid w:val="00555AD5"/>
    <w:rsid w:val="00555ADA"/>
    <w:rsid w:val="00555AF0"/>
    <w:rsid w:val="00555BA2"/>
    <w:rsid w:val="00555BA8"/>
    <w:rsid w:val="00555BCA"/>
    <w:rsid w:val="00555BD3"/>
    <w:rsid w:val="00555BE0"/>
    <w:rsid w:val="00555BE2"/>
    <w:rsid w:val="00555C3B"/>
    <w:rsid w:val="00555C6D"/>
    <w:rsid w:val="00555C7B"/>
    <w:rsid w:val="00555C83"/>
    <w:rsid w:val="00555CCD"/>
    <w:rsid w:val="00555CDE"/>
    <w:rsid w:val="00555D1E"/>
    <w:rsid w:val="00555D21"/>
    <w:rsid w:val="00555D4C"/>
    <w:rsid w:val="00555D67"/>
    <w:rsid w:val="00555DC9"/>
    <w:rsid w:val="00555DF3"/>
    <w:rsid w:val="00555DF6"/>
    <w:rsid w:val="00555E16"/>
    <w:rsid w:val="00555E32"/>
    <w:rsid w:val="00555ED9"/>
    <w:rsid w:val="00555F18"/>
    <w:rsid w:val="00555FAC"/>
    <w:rsid w:val="00556013"/>
    <w:rsid w:val="00556017"/>
    <w:rsid w:val="00556044"/>
    <w:rsid w:val="00556052"/>
    <w:rsid w:val="0055606E"/>
    <w:rsid w:val="005560AC"/>
    <w:rsid w:val="005560BD"/>
    <w:rsid w:val="0055613D"/>
    <w:rsid w:val="0055618A"/>
    <w:rsid w:val="005561FA"/>
    <w:rsid w:val="00556201"/>
    <w:rsid w:val="0055622F"/>
    <w:rsid w:val="0055627D"/>
    <w:rsid w:val="0055628F"/>
    <w:rsid w:val="005562A9"/>
    <w:rsid w:val="00556327"/>
    <w:rsid w:val="005563BF"/>
    <w:rsid w:val="005563D9"/>
    <w:rsid w:val="005563DA"/>
    <w:rsid w:val="00556417"/>
    <w:rsid w:val="0055641D"/>
    <w:rsid w:val="0055647B"/>
    <w:rsid w:val="00556483"/>
    <w:rsid w:val="00556484"/>
    <w:rsid w:val="005564A6"/>
    <w:rsid w:val="005564BC"/>
    <w:rsid w:val="005564C2"/>
    <w:rsid w:val="005565D5"/>
    <w:rsid w:val="00556604"/>
    <w:rsid w:val="0055661B"/>
    <w:rsid w:val="00556650"/>
    <w:rsid w:val="0055667A"/>
    <w:rsid w:val="005566AA"/>
    <w:rsid w:val="00556752"/>
    <w:rsid w:val="00556810"/>
    <w:rsid w:val="00556862"/>
    <w:rsid w:val="0055688E"/>
    <w:rsid w:val="00556890"/>
    <w:rsid w:val="005568C7"/>
    <w:rsid w:val="005568E9"/>
    <w:rsid w:val="0055690A"/>
    <w:rsid w:val="00556965"/>
    <w:rsid w:val="0055699A"/>
    <w:rsid w:val="005569FD"/>
    <w:rsid w:val="00556A52"/>
    <w:rsid w:val="00556A54"/>
    <w:rsid w:val="00556A8E"/>
    <w:rsid w:val="00556AA4"/>
    <w:rsid w:val="00556AC9"/>
    <w:rsid w:val="00556AF5"/>
    <w:rsid w:val="00556B38"/>
    <w:rsid w:val="00556C36"/>
    <w:rsid w:val="00556C72"/>
    <w:rsid w:val="00556CFE"/>
    <w:rsid w:val="00556D40"/>
    <w:rsid w:val="00556D54"/>
    <w:rsid w:val="00556D57"/>
    <w:rsid w:val="00556D7C"/>
    <w:rsid w:val="00556D99"/>
    <w:rsid w:val="00556DA4"/>
    <w:rsid w:val="00556DB9"/>
    <w:rsid w:val="00556DCB"/>
    <w:rsid w:val="00556E10"/>
    <w:rsid w:val="00556E1E"/>
    <w:rsid w:val="00556E38"/>
    <w:rsid w:val="00556E3F"/>
    <w:rsid w:val="00556E4D"/>
    <w:rsid w:val="00556E6F"/>
    <w:rsid w:val="00556E79"/>
    <w:rsid w:val="00556E7D"/>
    <w:rsid w:val="00556EBC"/>
    <w:rsid w:val="00556EE9"/>
    <w:rsid w:val="00556F33"/>
    <w:rsid w:val="00556F65"/>
    <w:rsid w:val="00556F86"/>
    <w:rsid w:val="00556F9D"/>
    <w:rsid w:val="00557055"/>
    <w:rsid w:val="0055707A"/>
    <w:rsid w:val="005570AB"/>
    <w:rsid w:val="0055710A"/>
    <w:rsid w:val="00557134"/>
    <w:rsid w:val="00557142"/>
    <w:rsid w:val="0055714A"/>
    <w:rsid w:val="005571A1"/>
    <w:rsid w:val="005571BB"/>
    <w:rsid w:val="005571EE"/>
    <w:rsid w:val="005571F6"/>
    <w:rsid w:val="00557229"/>
    <w:rsid w:val="005572BA"/>
    <w:rsid w:val="005572F2"/>
    <w:rsid w:val="005572FD"/>
    <w:rsid w:val="0055735F"/>
    <w:rsid w:val="00557388"/>
    <w:rsid w:val="005573A1"/>
    <w:rsid w:val="005573EA"/>
    <w:rsid w:val="005574BB"/>
    <w:rsid w:val="00557575"/>
    <w:rsid w:val="005575F8"/>
    <w:rsid w:val="00557671"/>
    <w:rsid w:val="0055768D"/>
    <w:rsid w:val="005576A2"/>
    <w:rsid w:val="005576CB"/>
    <w:rsid w:val="005576EA"/>
    <w:rsid w:val="00557794"/>
    <w:rsid w:val="005577A4"/>
    <w:rsid w:val="005577B3"/>
    <w:rsid w:val="005577C8"/>
    <w:rsid w:val="005577FC"/>
    <w:rsid w:val="00557870"/>
    <w:rsid w:val="0055789B"/>
    <w:rsid w:val="00557950"/>
    <w:rsid w:val="00557981"/>
    <w:rsid w:val="005579B9"/>
    <w:rsid w:val="005579C2"/>
    <w:rsid w:val="005579F7"/>
    <w:rsid w:val="00557A31"/>
    <w:rsid w:val="00557A37"/>
    <w:rsid w:val="00557A40"/>
    <w:rsid w:val="00557A67"/>
    <w:rsid w:val="00557A6B"/>
    <w:rsid w:val="00557A93"/>
    <w:rsid w:val="00557AA3"/>
    <w:rsid w:val="00557B91"/>
    <w:rsid w:val="00557BBB"/>
    <w:rsid w:val="00557BDD"/>
    <w:rsid w:val="00557C0A"/>
    <w:rsid w:val="00557C0F"/>
    <w:rsid w:val="00557C12"/>
    <w:rsid w:val="00557C2D"/>
    <w:rsid w:val="00557C39"/>
    <w:rsid w:val="00557C66"/>
    <w:rsid w:val="00557C87"/>
    <w:rsid w:val="00557D05"/>
    <w:rsid w:val="00557D2F"/>
    <w:rsid w:val="00557D3C"/>
    <w:rsid w:val="00557D5F"/>
    <w:rsid w:val="00557D76"/>
    <w:rsid w:val="00557DCF"/>
    <w:rsid w:val="00557DF6"/>
    <w:rsid w:val="00557DF7"/>
    <w:rsid w:val="00557E2F"/>
    <w:rsid w:val="00557E3D"/>
    <w:rsid w:val="00557E3F"/>
    <w:rsid w:val="00557E84"/>
    <w:rsid w:val="00557E94"/>
    <w:rsid w:val="00557EA5"/>
    <w:rsid w:val="00557EB4"/>
    <w:rsid w:val="00557EFF"/>
    <w:rsid w:val="00557F5D"/>
    <w:rsid w:val="00557FAC"/>
    <w:rsid w:val="00557FCA"/>
    <w:rsid w:val="00560008"/>
    <w:rsid w:val="0056000F"/>
    <w:rsid w:val="00560047"/>
    <w:rsid w:val="00560080"/>
    <w:rsid w:val="0056011A"/>
    <w:rsid w:val="00560139"/>
    <w:rsid w:val="0056017D"/>
    <w:rsid w:val="005601A6"/>
    <w:rsid w:val="005601DF"/>
    <w:rsid w:val="0056020D"/>
    <w:rsid w:val="00560281"/>
    <w:rsid w:val="00560283"/>
    <w:rsid w:val="005602A8"/>
    <w:rsid w:val="005602BE"/>
    <w:rsid w:val="005602BF"/>
    <w:rsid w:val="005602F1"/>
    <w:rsid w:val="005602F7"/>
    <w:rsid w:val="0056036B"/>
    <w:rsid w:val="005603A2"/>
    <w:rsid w:val="005603DE"/>
    <w:rsid w:val="0056043D"/>
    <w:rsid w:val="00560489"/>
    <w:rsid w:val="00560495"/>
    <w:rsid w:val="0056049C"/>
    <w:rsid w:val="005604CB"/>
    <w:rsid w:val="00560544"/>
    <w:rsid w:val="0056058A"/>
    <w:rsid w:val="0056060D"/>
    <w:rsid w:val="0056065B"/>
    <w:rsid w:val="00560660"/>
    <w:rsid w:val="00560691"/>
    <w:rsid w:val="0056069B"/>
    <w:rsid w:val="005606C8"/>
    <w:rsid w:val="005606D4"/>
    <w:rsid w:val="005606E8"/>
    <w:rsid w:val="00560786"/>
    <w:rsid w:val="005607BD"/>
    <w:rsid w:val="005608DA"/>
    <w:rsid w:val="0056091F"/>
    <w:rsid w:val="0056092C"/>
    <w:rsid w:val="0056094D"/>
    <w:rsid w:val="00560988"/>
    <w:rsid w:val="005609AF"/>
    <w:rsid w:val="005609EE"/>
    <w:rsid w:val="00560A00"/>
    <w:rsid w:val="00560A70"/>
    <w:rsid w:val="00560ADC"/>
    <w:rsid w:val="00560AE3"/>
    <w:rsid w:val="00560B26"/>
    <w:rsid w:val="00560BD3"/>
    <w:rsid w:val="00560BE4"/>
    <w:rsid w:val="00560C11"/>
    <w:rsid w:val="00560C29"/>
    <w:rsid w:val="00560C96"/>
    <w:rsid w:val="00560CB8"/>
    <w:rsid w:val="00560DD0"/>
    <w:rsid w:val="00560E05"/>
    <w:rsid w:val="00560E7F"/>
    <w:rsid w:val="00560F12"/>
    <w:rsid w:val="00560F85"/>
    <w:rsid w:val="00560F90"/>
    <w:rsid w:val="00560FEB"/>
    <w:rsid w:val="00561045"/>
    <w:rsid w:val="00561083"/>
    <w:rsid w:val="005610D3"/>
    <w:rsid w:val="005610F6"/>
    <w:rsid w:val="00561131"/>
    <w:rsid w:val="00561138"/>
    <w:rsid w:val="0056115C"/>
    <w:rsid w:val="00561166"/>
    <w:rsid w:val="00561169"/>
    <w:rsid w:val="0056118A"/>
    <w:rsid w:val="0056119A"/>
    <w:rsid w:val="005611F8"/>
    <w:rsid w:val="00561219"/>
    <w:rsid w:val="00561220"/>
    <w:rsid w:val="0056129B"/>
    <w:rsid w:val="005612DC"/>
    <w:rsid w:val="00561367"/>
    <w:rsid w:val="005613BA"/>
    <w:rsid w:val="005613CC"/>
    <w:rsid w:val="005613FC"/>
    <w:rsid w:val="00561477"/>
    <w:rsid w:val="00561494"/>
    <w:rsid w:val="0056149B"/>
    <w:rsid w:val="005614A7"/>
    <w:rsid w:val="005614E8"/>
    <w:rsid w:val="00561541"/>
    <w:rsid w:val="00561556"/>
    <w:rsid w:val="00561576"/>
    <w:rsid w:val="005615B1"/>
    <w:rsid w:val="005615C3"/>
    <w:rsid w:val="005615F7"/>
    <w:rsid w:val="0056160A"/>
    <w:rsid w:val="00561683"/>
    <w:rsid w:val="005617A1"/>
    <w:rsid w:val="005617F1"/>
    <w:rsid w:val="005618BF"/>
    <w:rsid w:val="005618F5"/>
    <w:rsid w:val="0056191C"/>
    <w:rsid w:val="00561939"/>
    <w:rsid w:val="0056193B"/>
    <w:rsid w:val="00561942"/>
    <w:rsid w:val="00561964"/>
    <w:rsid w:val="00561975"/>
    <w:rsid w:val="00561984"/>
    <w:rsid w:val="005619C4"/>
    <w:rsid w:val="00561A39"/>
    <w:rsid w:val="00561B17"/>
    <w:rsid w:val="00561B5E"/>
    <w:rsid w:val="00561BCF"/>
    <w:rsid w:val="00561BE3"/>
    <w:rsid w:val="00561C09"/>
    <w:rsid w:val="00561C47"/>
    <w:rsid w:val="00561C82"/>
    <w:rsid w:val="00561CBB"/>
    <w:rsid w:val="00561D76"/>
    <w:rsid w:val="00561E28"/>
    <w:rsid w:val="00561E49"/>
    <w:rsid w:val="00561F08"/>
    <w:rsid w:val="00561F63"/>
    <w:rsid w:val="00561F9A"/>
    <w:rsid w:val="00561FB6"/>
    <w:rsid w:val="00561FE6"/>
    <w:rsid w:val="00562001"/>
    <w:rsid w:val="0056200F"/>
    <w:rsid w:val="00562071"/>
    <w:rsid w:val="005620D6"/>
    <w:rsid w:val="005620DC"/>
    <w:rsid w:val="005620EF"/>
    <w:rsid w:val="005620F3"/>
    <w:rsid w:val="00562169"/>
    <w:rsid w:val="0056217F"/>
    <w:rsid w:val="00562191"/>
    <w:rsid w:val="00562252"/>
    <w:rsid w:val="00562272"/>
    <w:rsid w:val="00562280"/>
    <w:rsid w:val="005622D4"/>
    <w:rsid w:val="005622F8"/>
    <w:rsid w:val="00562337"/>
    <w:rsid w:val="00562353"/>
    <w:rsid w:val="00562458"/>
    <w:rsid w:val="0056245B"/>
    <w:rsid w:val="00562475"/>
    <w:rsid w:val="0056253A"/>
    <w:rsid w:val="0056254F"/>
    <w:rsid w:val="00562640"/>
    <w:rsid w:val="005626AE"/>
    <w:rsid w:val="005626DE"/>
    <w:rsid w:val="00562704"/>
    <w:rsid w:val="0056276C"/>
    <w:rsid w:val="0056277C"/>
    <w:rsid w:val="005627C3"/>
    <w:rsid w:val="005627DE"/>
    <w:rsid w:val="00562869"/>
    <w:rsid w:val="00562882"/>
    <w:rsid w:val="0056293F"/>
    <w:rsid w:val="005629BE"/>
    <w:rsid w:val="005629D9"/>
    <w:rsid w:val="00562A26"/>
    <w:rsid w:val="00562A45"/>
    <w:rsid w:val="00562A4E"/>
    <w:rsid w:val="00562A5B"/>
    <w:rsid w:val="00562A62"/>
    <w:rsid w:val="00562AB1"/>
    <w:rsid w:val="00562B58"/>
    <w:rsid w:val="00562BA7"/>
    <w:rsid w:val="00562C74"/>
    <w:rsid w:val="00562CB6"/>
    <w:rsid w:val="00562CD5"/>
    <w:rsid w:val="00562CE4"/>
    <w:rsid w:val="00562CE9"/>
    <w:rsid w:val="00562D1C"/>
    <w:rsid w:val="00562D24"/>
    <w:rsid w:val="00562DD0"/>
    <w:rsid w:val="00562E08"/>
    <w:rsid w:val="00562E0D"/>
    <w:rsid w:val="00562E53"/>
    <w:rsid w:val="00562EAE"/>
    <w:rsid w:val="00562EF4"/>
    <w:rsid w:val="00562F08"/>
    <w:rsid w:val="00562F2D"/>
    <w:rsid w:val="00562F44"/>
    <w:rsid w:val="00562F56"/>
    <w:rsid w:val="00562FA6"/>
    <w:rsid w:val="00562FAD"/>
    <w:rsid w:val="00563024"/>
    <w:rsid w:val="0056305F"/>
    <w:rsid w:val="00563118"/>
    <w:rsid w:val="0056313A"/>
    <w:rsid w:val="0056314E"/>
    <w:rsid w:val="0056314F"/>
    <w:rsid w:val="005631A6"/>
    <w:rsid w:val="00563201"/>
    <w:rsid w:val="00563215"/>
    <w:rsid w:val="00563219"/>
    <w:rsid w:val="00563220"/>
    <w:rsid w:val="00563336"/>
    <w:rsid w:val="00563337"/>
    <w:rsid w:val="0056334F"/>
    <w:rsid w:val="0056338E"/>
    <w:rsid w:val="005633BA"/>
    <w:rsid w:val="00563405"/>
    <w:rsid w:val="0056346D"/>
    <w:rsid w:val="00563476"/>
    <w:rsid w:val="005634C4"/>
    <w:rsid w:val="005634DF"/>
    <w:rsid w:val="00563512"/>
    <w:rsid w:val="00563541"/>
    <w:rsid w:val="00563556"/>
    <w:rsid w:val="0056355A"/>
    <w:rsid w:val="00563594"/>
    <w:rsid w:val="005635AF"/>
    <w:rsid w:val="005635EA"/>
    <w:rsid w:val="005635F4"/>
    <w:rsid w:val="0056365E"/>
    <w:rsid w:val="00563711"/>
    <w:rsid w:val="00563712"/>
    <w:rsid w:val="0056377B"/>
    <w:rsid w:val="005637BF"/>
    <w:rsid w:val="005637E7"/>
    <w:rsid w:val="00563801"/>
    <w:rsid w:val="005638B0"/>
    <w:rsid w:val="00563918"/>
    <w:rsid w:val="0056396A"/>
    <w:rsid w:val="005639A2"/>
    <w:rsid w:val="005639A9"/>
    <w:rsid w:val="005639D1"/>
    <w:rsid w:val="00563A56"/>
    <w:rsid w:val="00563A70"/>
    <w:rsid w:val="00563A92"/>
    <w:rsid w:val="00563B09"/>
    <w:rsid w:val="00563B1C"/>
    <w:rsid w:val="00563B2A"/>
    <w:rsid w:val="00563BB5"/>
    <w:rsid w:val="00563C20"/>
    <w:rsid w:val="00563C52"/>
    <w:rsid w:val="00563CFA"/>
    <w:rsid w:val="00563D54"/>
    <w:rsid w:val="00563D7E"/>
    <w:rsid w:val="00563DB0"/>
    <w:rsid w:val="00563DB7"/>
    <w:rsid w:val="00563DC3"/>
    <w:rsid w:val="00563DE9"/>
    <w:rsid w:val="00563DFE"/>
    <w:rsid w:val="00563E5D"/>
    <w:rsid w:val="00563EB9"/>
    <w:rsid w:val="00563EBA"/>
    <w:rsid w:val="00563EE9"/>
    <w:rsid w:val="00563EF6"/>
    <w:rsid w:val="00563EFA"/>
    <w:rsid w:val="00563F0B"/>
    <w:rsid w:val="00563F27"/>
    <w:rsid w:val="00563F2A"/>
    <w:rsid w:val="00563F69"/>
    <w:rsid w:val="00563FF5"/>
    <w:rsid w:val="00564022"/>
    <w:rsid w:val="00564076"/>
    <w:rsid w:val="0056407C"/>
    <w:rsid w:val="005640A1"/>
    <w:rsid w:val="005640BE"/>
    <w:rsid w:val="005640EF"/>
    <w:rsid w:val="00564113"/>
    <w:rsid w:val="00564148"/>
    <w:rsid w:val="00564163"/>
    <w:rsid w:val="0056419D"/>
    <w:rsid w:val="00564200"/>
    <w:rsid w:val="00564234"/>
    <w:rsid w:val="0056424A"/>
    <w:rsid w:val="00564264"/>
    <w:rsid w:val="00564271"/>
    <w:rsid w:val="005642E9"/>
    <w:rsid w:val="005642FE"/>
    <w:rsid w:val="00564323"/>
    <w:rsid w:val="00564362"/>
    <w:rsid w:val="00564368"/>
    <w:rsid w:val="00564374"/>
    <w:rsid w:val="005643B0"/>
    <w:rsid w:val="005643FC"/>
    <w:rsid w:val="00564402"/>
    <w:rsid w:val="0056445B"/>
    <w:rsid w:val="00564468"/>
    <w:rsid w:val="005644B7"/>
    <w:rsid w:val="005644D9"/>
    <w:rsid w:val="0056454D"/>
    <w:rsid w:val="00564584"/>
    <w:rsid w:val="005645BF"/>
    <w:rsid w:val="005645D3"/>
    <w:rsid w:val="0056463C"/>
    <w:rsid w:val="005646FF"/>
    <w:rsid w:val="00564702"/>
    <w:rsid w:val="005647B4"/>
    <w:rsid w:val="005647DB"/>
    <w:rsid w:val="0056480A"/>
    <w:rsid w:val="00564812"/>
    <w:rsid w:val="005648B0"/>
    <w:rsid w:val="005648D2"/>
    <w:rsid w:val="005648DF"/>
    <w:rsid w:val="005648F8"/>
    <w:rsid w:val="0056490F"/>
    <w:rsid w:val="0056494E"/>
    <w:rsid w:val="00564972"/>
    <w:rsid w:val="0056498A"/>
    <w:rsid w:val="0056498E"/>
    <w:rsid w:val="0056499D"/>
    <w:rsid w:val="005649A9"/>
    <w:rsid w:val="00564A2F"/>
    <w:rsid w:val="00564A58"/>
    <w:rsid w:val="00564ABF"/>
    <w:rsid w:val="00564B8C"/>
    <w:rsid w:val="00564B9C"/>
    <w:rsid w:val="00564BF2"/>
    <w:rsid w:val="00564C0B"/>
    <w:rsid w:val="00564C25"/>
    <w:rsid w:val="00564CB8"/>
    <w:rsid w:val="00564CE7"/>
    <w:rsid w:val="00564D56"/>
    <w:rsid w:val="00564D69"/>
    <w:rsid w:val="00564D94"/>
    <w:rsid w:val="00564DC6"/>
    <w:rsid w:val="00564E85"/>
    <w:rsid w:val="00564EDC"/>
    <w:rsid w:val="00565029"/>
    <w:rsid w:val="00565051"/>
    <w:rsid w:val="005650CD"/>
    <w:rsid w:val="005650EB"/>
    <w:rsid w:val="00565164"/>
    <w:rsid w:val="0056516A"/>
    <w:rsid w:val="005651C1"/>
    <w:rsid w:val="00565245"/>
    <w:rsid w:val="00565275"/>
    <w:rsid w:val="0056527F"/>
    <w:rsid w:val="00565289"/>
    <w:rsid w:val="005652C6"/>
    <w:rsid w:val="005652C7"/>
    <w:rsid w:val="00565308"/>
    <w:rsid w:val="00565343"/>
    <w:rsid w:val="00565351"/>
    <w:rsid w:val="0056536E"/>
    <w:rsid w:val="005653CA"/>
    <w:rsid w:val="005653F3"/>
    <w:rsid w:val="0056541D"/>
    <w:rsid w:val="0056541F"/>
    <w:rsid w:val="00565428"/>
    <w:rsid w:val="005654CA"/>
    <w:rsid w:val="00565585"/>
    <w:rsid w:val="00565624"/>
    <w:rsid w:val="00565647"/>
    <w:rsid w:val="005656A4"/>
    <w:rsid w:val="005656D3"/>
    <w:rsid w:val="005656D4"/>
    <w:rsid w:val="005656F2"/>
    <w:rsid w:val="00565726"/>
    <w:rsid w:val="0056573F"/>
    <w:rsid w:val="0056574C"/>
    <w:rsid w:val="0056575F"/>
    <w:rsid w:val="005657DF"/>
    <w:rsid w:val="005657F7"/>
    <w:rsid w:val="005657F9"/>
    <w:rsid w:val="00565814"/>
    <w:rsid w:val="00565815"/>
    <w:rsid w:val="00565835"/>
    <w:rsid w:val="005658D6"/>
    <w:rsid w:val="005658DC"/>
    <w:rsid w:val="0056590A"/>
    <w:rsid w:val="00565923"/>
    <w:rsid w:val="00565964"/>
    <w:rsid w:val="005659A1"/>
    <w:rsid w:val="005659BC"/>
    <w:rsid w:val="005659D0"/>
    <w:rsid w:val="00565A75"/>
    <w:rsid w:val="00565AA0"/>
    <w:rsid w:val="00565B4A"/>
    <w:rsid w:val="00565B98"/>
    <w:rsid w:val="00565BF5"/>
    <w:rsid w:val="00565C72"/>
    <w:rsid w:val="00565C76"/>
    <w:rsid w:val="00565C8C"/>
    <w:rsid w:val="00565CCF"/>
    <w:rsid w:val="00565CD5"/>
    <w:rsid w:val="00565D66"/>
    <w:rsid w:val="00565D7D"/>
    <w:rsid w:val="00565D9E"/>
    <w:rsid w:val="00565DE7"/>
    <w:rsid w:val="00565E1F"/>
    <w:rsid w:val="00565E2E"/>
    <w:rsid w:val="00565E35"/>
    <w:rsid w:val="00565E87"/>
    <w:rsid w:val="00565EA1"/>
    <w:rsid w:val="00565EE7"/>
    <w:rsid w:val="00565EE8"/>
    <w:rsid w:val="00565F00"/>
    <w:rsid w:val="00565F3A"/>
    <w:rsid w:val="00565F48"/>
    <w:rsid w:val="00565F61"/>
    <w:rsid w:val="00565F79"/>
    <w:rsid w:val="00565F82"/>
    <w:rsid w:val="00565F92"/>
    <w:rsid w:val="00565F97"/>
    <w:rsid w:val="00565FDA"/>
    <w:rsid w:val="00566002"/>
    <w:rsid w:val="0056603E"/>
    <w:rsid w:val="00566069"/>
    <w:rsid w:val="0056610D"/>
    <w:rsid w:val="0056613A"/>
    <w:rsid w:val="00566140"/>
    <w:rsid w:val="0056616B"/>
    <w:rsid w:val="0056618D"/>
    <w:rsid w:val="005661D7"/>
    <w:rsid w:val="005661F5"/>
    <w:rsid w:val="005661F8"/>
    <w:rsid w:val="00566204"/>
    <w:rsid w:val="0056623A"/>
    <w:rsid w:val="00566267"/>
    <w:rsid w:val="00566290"/>
    <w:rsid w:val="00566295"/>
    <w:rsid w:val="005662AB"/>
    <w:rsid w:val="005662F2"/>
    <w:rsid w:val="0056630A"/>
    <w:rsid w:val="0056632C"/>
    <w:rsid w:val="00566384"/>
    <w:rsid w:val="005663A1"/>
    <w:rsid w:val="005663A6"/>
    <w:rsid w:val="005663AA"/>
    <w:rsid w:val="005663AD"/>
    <w:rsid w:val="005663E0"/>
    <w:rsid w:val="005663E1"/>
    <w:rsid w:val="005663EA"/>
    <w:rsid w:val="00566403"/>
    <w:rsid w:val="0056641F"/>
    <w:rsid w:val="0056644C"/>
    <w:rsid w:val="0056647D"/>
    <w:rsid w:val="00566489"/>
    <w:rsid w:val="005664C1"/>
    <w:rsid w:val="005664DA"/>
    <w:rsid w:val="0056652A"/>
    <w:rsid w:val="0056658D"/>
    <w:rsid w:val="005665B4"/>
    <w:rsid w:val="00566649"/>
    <w:rsid w:val="00566671"/>
    <w:rsid w:val="0056669C"/>
    <w:rsid w:val="005666CF"/>
    <w:rsid w:val="00566724"/>
    <w:rsid w:val="005667C8"/>
    <w:rsid w:val="00566822"/>
    <w:rsid w:val="00566855"/>
    <w:rsid w:val="005668B7"/>
    <w:rsid w:val="005668BC"/>
    <w:rsid w:val="005668DC"/>
    <w:rsid w:val="005668E1"/>
    <w:rsid w:val="00566908"/>
    <w:rsid w:val="0056692B"/>
    <w:rsid w:val="00566974"/>
    <w:rsid w:val="0056698E"/>
    <w:rsid w:val="00566992"/>
    <w:rsid w:val="005669C2"/>
    <w:rsid w:val="00566A89"/>
    <w:rsid w:val="00566ABD"/>
    <w:rsid w:val="00566B45"/>
    <w:rsid w:val="00566B46"/>
    <w:rsid w:val="00566B5A"/>
    <w:rsid w:val="00566BBA"/>
    <w:rsid w:val="00566BD8"/>
    <w:rsid w:val="00566C8C"/>
    <w:rsid w:val="00566CC7"/>
    <w:rsid w:val="00566D06"/>
    <w:rsid w:val="00566D29"/>
    <w:rsid w:val="00566D98"/>
    <w:rsid w:val="00566DA2"/>
    <w:rsid w:val="00566E0B"/>
    <w:rsid w:val="00566E1E"/>
    <w:rsid w:val="00566E1F"/>
    <w:rsid w:val="00566E66"/>
    <w:rsid w:val="00566E71"/>
    <w:rsid w:val="00566E7C"/>
    <w:rsid w:val="00566EA9"/>
    <w:rsid w:val="00566EC1"/>
    <w:rsid w:val="00566F0A"/>
    <w:rsid w:val="00566F3F"/>
    <w:rsid w:val="00566F83"/>
    <w:rsid w:val="00566FEA"/>
    <w:rsid w:val="00567001"/>
    <w:rsid w:val="00567081"/>
    <w:rsid w:val="0056709A"/>
    <w:rsid w:val="0056709E"/>
    <w:rsid w:val="005670AD"/>
    <w:rsid w:val="005670B8"/>
    <w:rsid w:val="0056710E"/>
    <w:rsid w:val="00567115"/>
    <w:rsid w:val="00567124"/>
    <w:rsid w:val="00567131"/>
    <w:rsid w:val="005671CC"/>
    <w:rsid w:val="005671D6"/>
    <w:rsid w:val="0056723C"/>
    <w:rsid w:val="005672B2"/>
    <w:rsid w:val="005672DE"/>
    <w:rsid w:val="005672FF"/>
    <w:rsid w:val="00567346"/>
    <w:rsid w:val="00567348"/>
    <w:rsid w:val="00567350"/>
    <w:rsid w:val="00567385"/>
    <w:rsid w:val="00567388"/>
    <w:rsid w:val="005673AA"/>
    <w:rsid w:val="005673AB"/>
    <w:rsid w:val="005673B4"/>
    <w:rsid w:val="005673D4"/>
    <w:rsid w:val="00567435"/>
    <w:rsid w:val="0056746E"/>
    <w:rsid w:val="00567484"/>
    <w:rsid w:val="00567489"/>
    <w:rsid w:val="005674A5"/>
    <w:rsid w:val="00567567"/>
    <w:rsid w:val="0056756C"/>
    <w:rsid w:val="00567599"/>
    <w:rsid w:val="005675C0"/>
    <w:rsid w:val="0056763A"/>
    <w:rsid w:val="00567672"/>
    <w:rsid w:val="0056769C"/>
    <w:rsid w:val="005676D3"/>
    <w:rsid w:val="005676DA"/>
    <w:rsid w:val="00567719"/>
    <w:rsid w:val="00567726"/>
    <w:rsid w:val="005677A8"/>
    <w:rsid w:val="005677B5"/>
    <w:rsid w:val="005677BA"/>
    <w:rsid w:val="0056781A"/>
    <w:rsid w:val="0056781B"/>
    <w:rsid w:val="005678F9"/>
    <w:rsid w:val="005678FC"/>
    <w:rsid w:val="0056790B"/>
    <w:rsid w:val="00567966"/>
    <w:rsid w:val="005679D3"/>
    <w:rsid w:val="00567A01"/>
    <w:rsid w:val="00567A2F"/>
    <w:rsid w:val="00567A42"/>
    <w:rsid w:val="00567A62"/>
    <w:rsid w:val="00567A7E"/>
    <w:rsid w:val="00567ADD"/>
    <w:rsid w:val="00567B2E"/>
    <w:rsid w:val="00567BA6"/>
    <w:rsid w:val="00567BA8"/>
    <w:rsid w:val="00567BE8"/>
    <w:rsid w:val="00567C71"/>
    <w:rsid w:val="00567CE1"/>
    <w:rsid w:val="00567D01"/>
    <w:rsid w:val="00567E12"/>
    <w:rsid w:val="00567EBE"/>
    <w:rsid w:val="00567EEB"/>
    <w:rsid w:val="00567F32"/>
    <w:rsid w:val="00567F3D"/>
    <w:rsid w:val="00567F47"/>
    <w:rsid w:val="00567F4C"/>
    <w:rsid w:val="00567F5D"/>
    <w:rsid w:val="00567F87"/>
    <w:rsid w:val="00567FAC"/>
    <w:rsid w:val="00567FC8"/>
    <w:rsid w:val="00567FD1"/>
    <w:rsid w:val="00567FF3"/>
    <w:rsid w:val="00570005"/>
    <w:rsid w:val="00570007"/>
    <w:rsid w:val="00570046"/>
    <w:rsid w:val="0057004E"/>
    <w:rsid w:val="005700CB"/>
    <w:rsid w:val="005700DA"/>
    <w:rsid w:val="005700FC"/>
    <w:rsid w:val="00570126"/>
    <w:rsid w:val="00570171"/>
    <w:rsid w:val="005701D7"/>
    <w:rsid w:val="005701D8"/>
    <w:rsid w:val="005701E8"/>
    <w:rsid w:val="005701F1"/>
    <w:rsid w:val="00570207"/>
    <w:rsid w:val="0057021A"/>
    <w:rsid w:val="0057022F"/>
    <w:rsid w:val="0057025E"/>
    <w:rsid w:val="0057026C"/>
    <w:rsid w:val="005702B5"/>
    <w:rsid w:val="005702BF"/>
    <w:rsid w:val="005702EB"/>
    <w:rsid w:val="005702F5"/>
    <w:rsid w:val="005702F6"/>
    <w:rsid w:val="00570342"/>
    <w:rsid w:val="005703BD"/>
    <w:rsid w:val="005703FB"/>
    <w:rsid w:val="00570440"/>
    <w:rsid w:val="00570476"/>
    <w:rsid w:val="00570486"/>
    <w:rsid w:val="005704A1"/>
    <w:rsid w:val="005704DE"/>
    <w:rsid w:val="005704FE"/>
    <w:rsid w:val="00570516"/>
    <w:rsid w:val="00570543"/>
    <w:rsid w:val="0057054A"/>
    <w:rsid w:val="00570589"/>
    <w:rsid w:val="005705AA"/>
    <w:rsid w:val="005705BB"/>
    <w:rsid w:val="005706A0"/>
    <w:rsid w:val="005706E0"/>
    <w:rsid w:val="00570766"/>
    <w:rsid w:val="0057076E"/>
    <w:rsid w:val="00570780"/>
    <w:rsid w:val="005707B2"/>
    <w:rsid w:val="005707BF"/>
    <w:rsid w:val="005707F8"/>
    <w:rsid w:val="00570848"/>
    <w:rsid w:val="00570853"/>
    <w:rsid w:val="005708C4"/>
    <w:rsid w:val="005708E8"/>
    <w:rsid w:val="00570949"/>
    <w:rsid w:val="00570970"/>
    <w:rsid w:val="00570972"/>
    <w:rsid w:val="0057097B"/>
    <w:rsid w:val="005709B9"/>
    <w:rsid w:val="00570A09"/>
    <w:rsid w:val="00570A6B"/>
    <w:rsid w:val="00570A76"/>
    <w:rsid w:val="00570AB9"/>
    <w:rsid w:val="00570AC1"/>
    <w:rsid w:val="00570C28"/>
    <w:rsid w:val="00570C4E"/>
    <w:rsid w:val="00570C7C"/>
    <w:rsid w:val="00570CAA"/>
    <w:rsid w:val="00570CD1"/>
    <w:rsid w:val="00570D3E"/>
    <w:rsid w:val="00570D40"/>
    <w:rsid w:val="00570D48"/>
    <w:rsid w:val="00570D88"/>
    <w:rsid w:val="00570DAB"/>
    <w:rsid w:val="00570DBB"/>
    <w:rsid w:val="00570DC7"/>
    <w:rsid w:val="00570E48"/>
    <w:rsid w:val="00570ECE"/>
    <w:rsid w:val="00570F08"/>
    <w:rsid w:val="00570F79"/>
    <w:rsid w:val="00570F9C"/>
    <w:rsid w:val="0057100B"/>
    <w:rsid w:val="0057104D"/>
    <w:rsid w:val="00571082"/>
    <w:rsid w:val="00571089"/>
    <w:rsid w:val="0057109D"/>
    <w:rsid w:val="005710C2"/>
    <w:rsid w:val="0057112C"/>
    <w:rsid w:val="0057119D"/>
    <w:rsid w:val="005711B6"/>
    <w:rsid w:val="005711D8"/>
    <w:rsid w:val="005711EB"/>
    <w:rsid w:val="0057122C"/>
    <w:rsid w:val="00571243"/>
    <w:rsid w:val="00571260"/>
    <w:rsid w:val="005712A1"/>
    <w:rsid w:val="005712BB"/>
    <w:rsid w:val="005712DE"/>
    <w:rsid w:val="0057130F"/>
    <w:rsid w:val="0057133B"/>
    <w:rsid w:val="00571367"/>
    <w:rsid w:val="005713E4"/>
    <w:rsid w:val="00571424"/>
    <w:rsid w:val="00571452"/>
    <w:rsid w:val="00571460"/>
    <w:rsid w:val="0057149C"/>
    <w:rsid w:val="00571550"/>
    <w:rsid w:val="0057158C"/>
    <w:rsid w:val="005715B3"/>
    <w:rsid w:val="005715C2"/>
    <w:rsid w:val="005715FC"/>
    <w:rsid w:val="00571640"/>
    <w:rsid w:val="00571684"/>
    <w:rsid w:val="005716E1"/>
    <w:rsid w:val="00571736"/>
    <w:rsid w:val="00571742"/>
    <w:rsid w:val="00571764"/>
    <w:rsid w:val="00571781"/>
    <w:rsid w:val="00571786"/>
    <w:rsid w:val="0057178E"/>
    <w:rsid w:val="00571797"/>
    <w:rsid w:val="005717F7"/>
    <w:rsid w:val="0057180D"/>
    <w:rsid w:val="00571829"/>
    <w:rsid w:val="00571844"/>
    <w:rsid w:val="005718A8"/>
    <w:rsid w:val="00571901"/>
    <w:rsid w:val="00571925"/>
    <w:rsid w:val="0057198C"/>
    <w:rsid w:val="0057199F"/>
    <w:rsid w:val="00571A53"/>
    <w:rsid w:val="00571A63"/>
    <w:rsid w:val="00571A73"/>
    <w:rsid w:val="00571AB7"/>
    <w:rsid w:val="00571AE0"/>
    <w:rsid w:val="00571B55"/>
    <w:rsid w:val="00571B96"/>
    <w:rsid w:val="00571BFB"/>
    <w:rsid w:val="00571C24"/>
    <w:rsid w:val="00571C30"/>
    <w:rsid w:val="00571C91"/>
    <w:rsid w:val="00571CA8"/>
    <w:rsid w:val="00571D41"/>
    <w:rsid w:val="00571D72"/>
    <w:rsid w:val="00571D89"/>
    <w:rsid w:val="00571DD7"/>
    <w:rsid w:val="00571E66"/>
    <w:rsid w:val="00571E73"/>
    <w:rsid w:val="00571E9F"/>
    <w:rsid w:val="00571EB1"/>
    <w:rsid w:val="00571EDB"/>
    <w:rsid w:val="00571EEF"/>
    <w:rsid w:val="00571F90"/>
    <w:rsid w:val="0057200B"/>
    <w:rsid w:val="0057200D"/>
    <w:rsid w:val="0057205A"/>
    <w:rsid w:val="00572094"/>
    <w:rsid w:val="0057210A"/>
    <w:rsid w:val="0057213F"/>
    <w:rsid w:val="00572199"/>
    <w:rsid w:val="005721B3"/>
    <w:rsid w:val="005721D4"/>
    <w:rsid w:val="005721E2"/>
    <w:rsid w:val="005721FF"/>
    <w:rsid w:val="0057223E"/>
    <w:rsid w:val="00572242"/>
    <w:rsid w:val="005722C9"/>
    <w:rsid w:val="005723AC"/>
    <w:rsid w:val="005723EE"/>
    <w:rsid w:val="005723F8"/>
    <w:rsid w:val="00572403"/>
    <w:rsid w:val="00572447"/>
    <w:rsid w:val="00572481"/>
    <w:rsid w:val="005724C1"/>
    <w:rsid w:val="005724D9"/>
    <w:rsid w:val="00572500"/>
    <w:rsid w:val="0057250E"/>
    <w:rsid w:val="00572527"/>
    <w:rsid w:val="00572567"/>
    <w:rsid w:val="0057256A"/>
    <w:rsid w:val="00572572"/>
    <w:rsid w:val="0057257A"/>
    <w:rsid w:val="005725CB"/>
    <w:rsid w:val="005725D4"/>
    <w:rsid w:val="005725D6"/>
    <w:rsid w:val="005725E2"/>
    <w:rsid w:val="0057263E"/>
    <w:rsid w:val="00572665"/>
    <w:rsid w:val="00572684"/>
    <w:rsid w:val="005726E9"/>
    <w:rsid w:val="0057273E"/>
    <w:rsid w:val="00572753"/>
    <w:rsid w:val="005727B4"/>
    <w:rsid w:val="005728A5"/>
    <w:rsid w:val="00572967"/>
    <w:rsid w:val="005729C0"/>
    <w:rsid w:val="005729D4"/>
    <w:rsid w:val="005729DD"/>
    <w:rsid w:val="00572A2E"/>
    <w:rsid w:val="00572A37"/>
    <w:rsid w:val="00572A58"/>
    <w:rsid w:val="00572ABF"/>
    <w:rsid w:val="00572AD3"/>
    <w:rsid w:val="00572AFA"/>
    <w:rsid w:val="00572B4C"/>
    <w:rsid w:val="00572B9F"/>
    <w:rsid w:val="00572BA1"/>
    <w:rsid w:val="00572CA0"/>
    <w:rsid w:val="00572CA8"/>
    <w:rsid w:val="00572CB8"/>
    <w:rsid w:val="00572CDD"/>
    <w:rsid w:val="00572CE4"/>
    <w:rsid w:val="00572D4D"/>
    <w:rsid w:val="00572D5E"/>
    <w:rsid w:val="00572D7D"/>
    <w:rsid w:val="00572D91"/>
    <w:rsid w:val="00572E3B"/>
    <w:rsid w:val="00572E44"/>
    <w:rsid w:val="00572EDF"/>
    <w:rsid w:val="00572EFD"/>
    <w:rsid w:val="00572F14"/>
    <w:rsid w:val="00572F3C"/>
    <w:rsid w:val="00572F41"/>
    <w:rsid w:val="00572F88"/>
    <w:rsid w:val="00572FDF"/>
    <w:rsid w:val="00572FE5"/>
    <w:rsid w:val="00573024"/>
    <w:rsid w:val="00573037"/>
    <w:rsid w:val="0057304C"/>
    <w:rsid w:val="00573053"/>
    <w:rsid w:val="00573056"/>
    <w:rsid w:val="0057308D"/>
    <w:rsid w:val="005730A5"/>
    <w:rsid w:val="005730DD"/>
    <w:rsid w:val="0057310B"/>
    <w:rsid w:val="00573161"/>
    <w:rsid w:val="00573186"/>
    <w:rsid w:val="00573188"/>
    <w:rsid w:val="00573220"/>
    <w:rsid w:val="00573279"/>
    <w:rsid w:val="005732B9"/>
    <w:rsid w:val="005732BA"/>
    <w:rsid w:val="00573372"/>
    <w:rsid w:val="005733C4"/>
    <w:rsid w:val="005733F7"/>
    <w:rsid w:val="0057340F"/>
    <w:rsid w:val="0057341B"/>
    <w:rsid w:val="00573429"/>
    <w:rsid w:val="00573471"/>
    <w:rsid w:val="0057348E"/>
    <w:rsid w:val="005734A3"/>
    <w:rsid w:val="005734A7"/>
    <w:rsid w:val="005734D9"/>
    <w:rsid w:val="005734EF"/>
    <w:rsid w:val="00573544"/>
    <w:rsid w:val="005735A6"/>
    <w:rsid w:val="005735D6"/>
    <w:rsid w:val="0057360E"/>
    <w:rsid w:val="00573616"/>
    <w:rsid w:val="00573620"/>
    <w:rsid w:val="005736B1"/>
    <w:rsid w:val="005736B6"/>
    <w:rsid w:val="00573745"/>
    <w:rsid w:val="0057377F"/>
    <w:rsid w:val="005737F9"/>
    <w:rsid w:val="00573873"/>
    <w:rsid w:val="00573881"/>
    <w:rsid w:val="005739A8"/>
    <w:rsid w:val="005739B3"/>
    <w:rsid w:val="00573A19"/>
    <w:rsid w:val="00573A1F"/>
    <w:rsid w:val="00573A8F"/>
    <w:rsid w:val="00573A91"/>
    <w:rsid w:val="00573AAC"/>
    <w:rsid w:val="00573AE9"/>
    <w:rsid w:val="00573B3C"/>
    <w:rsid w:val="00573BFA"/>
    <w:rsid w:val="00573C0B"/>
    <w:rsid w:val="00573C1C"/>
    <w:rsid w:val="00573C4E"/>
    <w:rsid w:val="00573C52"/>
    <w:rsid w:val="00573D41"/>
    <w:rsid w:val="00573D75"/>
    <w:rsid w:val="00573D91"/>
    <w:rsid w:val="00573DB9"/>
    <w:rsid w:val="00573DC7"/>
    <w:rsid w:val="00573DF8"/>
    <w:rsid w:val="00573DF9"/>
    <w:rsid w:val="00573DFA"/>
    <w:rsid w:val="00573E4F"/>
    <w:rsid w:val="00573E9F"/>
    <w:rsid w:val="00573EE4"/>
    <w:rsid w:val="00573EF6"/>
    <w:rsid w:val="00573EFB"/>
    <w:rsid w:val="00573F0C"/>
    <w:rsid w:val="00573F0F"/>
    <w:rsid w:val="00573F5C"/>
    <w:rsid w:val="00573F7E"/>
    <w:rsid w:val="00573FCB"/>
    <w:rsid w:val="00573FDF"/>
    <w:rsid w:val="00573FE0"/>
    <w:rsid w:val="0057408F"/>
    <w:rsid w:val="005740B3"/>
    <w:rsid w:val="005740BB"/>
    <w:rsid w:val="005740C2"/>
    <w:rsid w:val="005740ED"/>
    <w:rsid w:val="005741CC"/>
    <w:rsid w:val="005741E5"/>
    <w:rsid w:val="005741E8"/>
    <w:rsid w:val="005741FE"/>
    <w:rsid w:val="0057421C"/>
    <w:rsid w:val="00574233"/>
    <w:rsid w:val="0057426B"/>
    <w:rsid w:val="00574271"/>
    <w:rsid w:val="00574288"/>
    <w:rsid w:val="00574289"/>
    <w:rsid w:val="005742C2"/>
    <w:rsid w:val="0057432D"/>
    <w:rsid w:val="0057433A"/>
    <w:rsid w:val="00574369"/>
    <w:rsid w:val="005743A9"/>
    <w:rsid w:val="005743EE"/>
    <w:rsid w:val="00574426"/>
    <w:rsid w:val="00574443"/>
    <w:rsid w:val="00574452"/>
    <w:rsid w:val="00574473"/>
    <w:rsid w:val="00574493"/>
    <w:rsid w:val="005744A4"/>
    <w:rsid w:val="005744C9"/>
    <w:rsid w:val="005744DB"/>
    <w:rsid w:val="005744FB"/>
    <w:rsid w:val="00574500"/>
    <w:rsid w:val="0057450C"/>
    <w:rsid w:val="00574537"/>
    <w:rsid w:val="0057455D"/>
    <w:rsid w:val="0057456D"/>
    <w:rsid w:val="005745AB"/>
    <w:rsid w:val="005745EF"/>
    <w:rsid w:val="005745F4"/>
    <w:rsid w:val="005745FA"/>
    <w:rsid w:val="00574629"/>
    <w:rsid w:val="00574634"/>
    <w:rsid w:val="00574692"/>
    <w:rsid w:val="0057469D"/>
    <w:rsid w:val="005746AD"/>
    <w:rsid w:val="0057471C"/>
    <w:rsid w:val="00574759"/>
    <w:rsid w:val="0057478C"/>
    <w:rsid w:val="005747F0"/>
    <w:rsid w:val="00574809"/>
    <w:rsid w:val="00574817"/>
    <w:rsid w:val="00574868"/>
    <w:rsid w:val="00574874"/>
    <w:rsid w:val="005748A0"/>
    <w:rsid w:val="005749C8"/>
    <w:rsid w:val="005749CB"/>
    <w:rsid w:val="005749CF"/>
    <w:rsid w:val="00574AA2"/>
    <w:rsid w:val="00574AB6"/>
    <w:rsid w:val="00574AD7"/>
    <w:rsid w:val="00574B4A"/>
    <w:rsid w:val="00574B6D"/>
    <w:rsid w:val="00574B88"/>
    <w:rsid w:val="00574B8E"/>
    <w:rsid w:val="00574BAD"/>
    <w:rsid w:val="00574C5E"/>
    <w:rsid w:val="00574C6F"/>
    <w:rsid w:val="00574C70"/>
    <w:rsid w:val="00574C72"/>
    <w:rsid w:val="00574C8D"/>
    <w:rsid w:val="00574CB7"/>
    <w:rsid w:val="00574D1F"/>
    <w:rsid w:val="00574D22"/>
    <w:rsid w:val="00574DB3"/>
    <w:rsid w:val="00574E0F"/>
    <w:rsid w:val="00574E23"/>
    <w:rsid w:val="00574E40"/>
    <w:rsid w:val="00574E65"/>
    <w:rsid w:val="00574E76"/>
    <w:rsid w:val="00574E8D"/>
    <w:rsid w:val="00574EF6"/>
    <w:rsid w:val="00574F0C"/>
    <w:rsid w:val="00574F18"/>
    <w:rsid w:val="00574F9B"/>
    <w:rsid w:val="00574FB1"/>
    <w:rsid w:val="00574FC3"/>
    <w:rsid w:val="00574FCD"/>
    <w:rsid w:val="00574FDB"/>
    <w:rsid w:val="00574FDC"/>
    <w:rsid w:val="0057507E"/>
    <w:rsid w:val="0057509A"/>
    <w:rsid w:val="005750B4"/>
    <w:rsid w:val="005750E6"/>
    <w:rsid w:val="00575130"/>
    <w:rsid w:val="00575197"/>
    <w:rsid w:val="0057519E"/>
    <w:rsid w:val="005751DD"/>
    <w:rsid w:val="005751E5"/>
    <w:rsid w:val="005751EA"/>
    <w:rsid w:val="00575215"/>
    <w:rsid w:val="00575216"/>
    <w:rsid w:val="0057521B"/>
    <w:rsid w:val="0057527C"/>
    <w:rsid w:val="005752BB"/>
    <w:rsid w:val="00575325"/>
    <w:rsid w:val="0057534F"/>
    <w:rsid w:val="0057536C"/>
    <w:rsid w:val="00575388"/>
    <w:rsid w:val="00575396"/>
    <w:rsid w:val="005753BC"/>
    <w:rsid w:val="005753E9"/>
    <w:rsid w:val="0057541F"/>
    <w:rsid w:val="00575449"/>
    <w:rsid w:val="00575474"/>
    <w:rsid w:val="0057549E"/>
    <w:rsid w:val="005754FD"/>
    <w:rsid w:val="00575559"/>
    <w:rsid w:val="0057556B"/>
    <w:rsid w:val="0057558E"/>
    <w:rsid w:val="00575640"/>
    <w:rsid w:val="0057564C"/>
    <w:rsid w:val="00575674"/>
    <w:rsid w:val="00575677"/>
    <w:rsid w:val="005756A0"/>
    <w:rsid w:val="005756E2"/>
    <w:rsid w:val="00575728"/>
    <w:rsid w:val="00575738"/>
    <w:rsid w:val="0057575C"/>
    <w:rsid w:val="005757B7"/>
    <w:rsid w:val="005757C1"/>
    <w:rsid w:val="005757EC"/>
    <w:rsid w:val="00575806"/>
    <w:rsid w:val="00575826"/>
    <w:rsid w:val="00575845"/>
    <w:rsid w:val="005758B3"/>
    <w:rsid w:val="005758D1"/>
    <w:rsid w:val="00575982"/>
    <w:rsid w:val="00575986"/>
    <w:rsid w:val="00575988"/>
    <w:rsid w:val="005759D4"/>
    <w:rsid w:val="00575A00"/>
    <w:rsid w:val="00575A5B"/>
    <w:rsid w:val="00575A5E"/>
    <w:rsid w:val="00575A84"/>
    <w:rsid w:val="00575AA9"/>
    <w:rsid w:val="00575AAF"/>
    <w:rsid w:val="00575BC6"/>
    <w:rsid w:val="00575C67"/>
    <w:rsid w:val="00575C9A"/>
    <w:rsid w:val="00575CE3"/>
    <w:rsid w:val="00575D4D"/>
    <w:rsid w:val="00575DDF"/>
    <w:rsid w:val="00575E55"/>
    <w:rsid w:val="00575E7A"/>
    <w:rsid w:val="00575ED7"/>
    <w:rsid w:val="00575F60"/>
    <w:rsid w:val="00575FA0"/>
    <w:rsid w:val="00576003"/>
    <w:rsid w:val="0057606B"/>
    <w:rsid w:val="00576078"/>
    <w:rsid w:val="00576079"/>
    <w:rsid w:val="0057607A"/>
    <w:rsid w:val="00576080"/>
    <w:rsid w:val="0057608D"/>
    <w:rsid w:val="0057609E"/>
    <w:rsid w:val="005760BE"/>
    <w:rsid w:val="005760D3"/>
    <w:rsid w:val="0057610D"/>
    <w:rsid w:val="00576144"/>
    <w:rsid w:val="005761F1"/>
    <w:rsid w:val="00576209"/>
    <w:rsid w:val="00576225"/>
    <w:rsid w:val="0057623B"/>
    <w:rsid w:val="0057625D"/>
    <w:rsid w:val="00576279"/>
    <w:rsid w:val="005762D1"/>
    <w:rsid w:val="0057630E"/>
    <w:rsid w:val="0057631C"/>
    <w:rsid w:val="00576332"/>
    <w:rsid w:val="005763EE"/>
    <w:rsid w:val="00576435"/>
    <w:rsid w:val="0057645E"/>
    <w:rsid w:val="00576465"/>
    <w:rsid w:val="0057647C"/>
    <w:rsid w:val="0057648C"/>
    <w:rsid w:val="005764A9"/>
    <w:rsid w:val="005764CC"/>
    <w:rsid w:val="005764DE"/>
    <w:rsid w:val="005764E8"/>
    <w:rsid w:val="005764FD"/>
    <w:rsid w:val="0057659A"/>
    <w:rsid w:val="005765E5"/>
    <w:rsid w:val="005765ED"/>
    <w:rsid w:val="005765FE"/>
    <w:rsid w:val="0057664C"/>
    <w:rsid w:val="00576683"/>
    <w:rsid w:val="005766BF"/>
    <w:rsid w:val="005766DD"/>
    <w:rsid w:val="005766E8"/>
    <w:rsid w:val="005767BE"/>
    <w:rsid w:val="00576803"/>
    <w:rsid w:val="0057689A"/>
    <w:rsid w:val="005768F7"/>
    <w:rsid w:val="0057692F"/>
    <w:rsid w:val="00576938"/>
    <w:rsid w:val="00576951"/>
    <w:rsid w:val="00576989"/>
    <w:rsid w:val="005769AB"/>
    <w:rsid w:val="005769B2"/>
    <w:rsid w:val="005769B8"/>
    <w:rsid w:val="005769CB"/>
    <w:rsid w:val="005769DD"/>
    <w:rsid w:val="005769F4"/>
    <w:rsid w:val="00576A35"/>
    <w:rsid w:val="00576BD1"/>
    <w:rsid w:val="00576C1C"/>
    <w:rsid w:val="00576C49"/>
    <w:rsid w:val="00576CD3"/>
    <w:rsid w:val="00576CE6"/>
    <w:rsid w:val="00576CFC"/>
    <w:rsid w:val="00576DBA"/>
    <w:rsid w:val="00576E1E"/>
    <w:rsid w:val="00576E6F"/>
    <w:rsid w:val="00576E86"/>
    <w:rsid w:val="00576EC4"/>
    <w:rsid w:val="00576ED8"/>
    <w:rsid w:val="00576F08"/>
    <w:rsid w:val="00576F27"/>
    <w:rsid w:val="00576F5F"/>
    <w:rsid w:val="00576FB9"/>
    <w:rsid w:val="00576FC5"/>
    <w:rsid w:val="00577026"/>
    <w:rsid w:val="00577055"/>
    <w:rsid w:val="00577056"/>
    <w:rsid w:val="00577062"/>
    <w:rsid w:val="00577065"/>
    <w:rsid w:val="00577075"/>
    <w:rsid w:val="00577087"/>
    <w:rsid w:val="0057708C"/>
    <w:rsid w:val="0057709C"/>
    <w:rsid w:val="005770D7"/>
    <w:rsid w:val="005770E2"/>
    <w:rsid w:val="00577127"/>
    <w:rsid w:val="00577171"/>
    <w:rsid w:val="00577197"/>
    <w:rsid w:val="0057719B"/>
    <w:rsid w:val="005771E2"/>
    <w:rsid w:val="005772F8"/>
    <w:rsid w:val="0057731A"/>
    <w:rsid w:val="0057731D"/>
    <w:rsid w:val="00577326"/>
    <w:rsid w:val="00577341"/>
    <w:rsid w:val="00577346"/>
    <w:rsid w:val="00577359"/>
    <w:rsid w:val="00577377"/>
    <w:rsid w:val="0057738A"/>
    <w:rsid w:val="00577398"/>
    <w:rsid w:val="005773AA"/>
    <w:rsid w:val="0057741A"/>
    <w:rsid w:val="00577431"/>
    <w:rsid w:val="00577522"/>
    <w:rsid w:val="0057752C"/>
    <w:rsid w:val="00577548"/>
    <w:rsid w:val="005775B0"/>
    <w:rsid w:val="005775F1"/>
    <w:rsid w:val="005776EE"/>
    <w:rsid w:val="005776F0"/>
    <w:rsid w:val="0057774F"/>
    <w:rsid w:val="0057778B"/>
    <w:rsid w:val="0057779E"/>
    <w:rsid w:val="005777CB"/>
    <w:rsid w:val="0057780E"/>
    <w:rsid w:val="00577848"/>
    <w:rsid w:val="00577884"/>
    <w:rsid w:val="005778BF"/>
    <w:rsid w:val="005778FF"/>
    <w:rsid w:val="00577918"/>
    <w:rsid w:val="0057791B"/>
    <w:rsid w:val="00577A03"/>
    <w:rsid w:val="00577A10"/>
    <w:rsid w:val="00577A6F"/>
    <w:rsid w:val="00577AB9"/>
    <w:rsid w:val="00577AC7"/>
    <w:rsid w:val="00577B68"/>
    <w:rsid w:val="00577BAB"/>
    <w:rsid w:val="00577BB1"/>
    <w:rsid w:val="00577BB7"/>
    <w:rsid w:val="00577DA1"/>
    <w:rsid w:val="00577DB6"/>
    <w:rsid w:val="00577E09"/>
    <w:rsid w:val="00577E0D"/>
    <w:rsid w:val="00577E0F"/>
    <w:rsid w:val="00577E39"/>
    <w:rsid w:val="00577E47"/>
    <w:rsid w:val="00577F6A"/>
    <w:rsid w:val="00577F7E"/>
    <w:rsid w:val="00577F7F"/>
    <w:rsid w:val="00577F9A"/>
    <w:rsid w:val="0058003A"/>
    <w:rsid w:val="005800F6"/>
    <w:rsid w:val="00580146"/>
    <w:rsid w:val="0058019D"/>
    <w:rsid w:val="005801A4"/>
    <w:rsid w:val="005801C3"/>
    <w:rsid w:val="005801D2"/>
    <w:rsid w:val="005801E2"/>
    <w:rsid w:val="005801E6"/>
    <w:rsid w:val="005801F0"/>
    <w:rsid w:val="005801F9"/>
    <w:rsid w:val="005802E0"/>
    <w:rsid w:val="005802F5"/>
    <w:rsid w:val="00580322"/>
    <w:rsid w:val="00580325"/>
    <w:rsid w:val="00580364"/>
    <w:rsid w:val="00580374"/>
    <w:rsid w:val="00580375"/>
    <w:rsid w:val="005803D7"/>
    <w:rsid w:val="005803E3"/>
    <w:rsid w:val="00580402"/>
    <w:rsid w:val="00580429"/>
    <w:rsid w:val="00580480"/>
    <w:rsid w:val="005804A5"/>
    <w:rsid w:val="005804B3"/>
    <w:rsid w:val="005804BC"/>
    <w:rsid w:val="00580532"/>
    <w:rsid w:val="005805CF"/>
    <w:rsid w:val="00580631"/>
    <w:rsid w:val="0058063B"/>
    <w:rsid w:val="00580643"/>
    <w:rsid w:val="00580697"/>
    <w:rsid w:val="005806D8"/>
    <w:rsid w:val="00580708"/>
    <w:rsid w:val="0058077C"/>
    <w:rsid w:val="005807BA"/>
    <w:rsid w:val="005807E9"/>
    <w:rsid w:val="00580844"/>
    <w:rsid w:val="005808D4"/>
    <w:rsid w:val="005808DD"/>
    <w:rsid w:val="005808E8"/>
    <w:rsid w:val="0058092E"/>
    <w:rsid w:val="0058095F"/>
    <w:rsid w:val="0058099B"/>
    <w:rsid w:val="00580A5A"/>
    <w:rsid w:val="00580A66"/>
    <w:rsid w:val="00580A9A"/>
    <w:rsid w:val="00580B12"/>
    <w:rsid w:val="00580B2F"/>
    <w:rsid w:val="00580C37"/>
    <w:rsid w:val="00580C48"/>
    <w:rsid w:val="00580C5B"/>
    <w:rsid w:val="00580C79"/>
    <w:rsid w:val="00580CA7"/>
    <w:rsid w:val="00580CB0"/>
    <w:rsid w:val="00580CEB"/>
    <w:rsid w:val="00580D09"/>
    <w:rsid w:val="00580D34"/>
    <w:rsid w:val="00580D48"/>
    <w:rsid w:val="00580D5B"/>
    <w:rsid w:val="00580D63"/>
    <w:rsid w:val="00580D9A"/>
    <w:rsid w:val="00580D9E"/>
    <w:rsid w:val="00580DED"/>
    <w:rsid w:val="00580E31"/>
    <w:rsid w:val="00580E41"/>
    <w:rsid w:val="00580E7D"/>
    <w:rsid w:val="00580EBB"/>
    <w:rsid w:val="00580F19"/>
    <w:rsid w:val="00581038"/>
    <w:rsid w:val="00581089"/>
    <w:rsid w:val="00581092"/>
    <w:rsid w:val="005810A2"/>
    <w:rsid w:val="005810AC"/>
    <w:rsid w:val="005810C8"/>
    <w:rsid w:val="005810E6"/>
    <w:rsid w:val="00581136"/>
    <w:rsid w:val="00581312"/>
    <w:rsid w:val="00581356"/>
    <w:rsid w:val="0058136E"/>
    <w:rsid w:val="005813C3"/>
    <w:rsid w:val="005813E9"/>
    <w:rsid w:val="0058144B"/>
    <w:rsid w:val="005814A6"/>
    <w:rsid w:val="005814DC"/>
    <w:rsid w:val="00581565"/>
    <w:rsid w:val="005815D2"/>
    <w:rsid w:val="0058162C"/>
    <w:rsid w:val="00581651"/>
    <w:rsid w:val="00581654"/>
    <w:rsid w:val="005816B5"/>
    <w:rsid w:val="005816F6"/>
    <w:rsid w:val="0058171F"/>
    <w:rsid w:val="0058183A"/>
    <w:rsid w:val="0058183B"/>
    <w:rsid w:val="0058189F"/>
    <w:rsid w:val="005818BF"/>
    <w:rsid w:val="005818E6"/>
    <w:rsid w:val="005818FE"/>
    <w:rsid w:val="0058194E"/>
    <w:rsid w:val="00581966"/>
    <w:rsid w:val="005819AD"/>
    <w:rsid w:val="005819B3"/>
    <w:rsid w:val="005819D4"/>
    <w:rsid w:val="005819F1"/>
    <w:rsid w:val="005819F9"/>
    <w:rsid w:val="00581A4D"/>
    <w:rsid w:val="00581A9E"/>
    <w:rsid w:val="00581AAB"/>
    <w:rsid w:val="00581AAF"/>
    <w:rsid w:val="00581ADF"/>
    <w:rsid w:val="00581AEB"/>
    <w:rsid w:val="00581B13"/>
    <w:rsid w:val="00581B55"/>
    <w:rsid w:val="00581BAB"/>
    <w:rsid w:val="00581BBD"/>
    <w:rsid w:val="00581BEF"/>
    <w:rsid w:val="00581C13"/>
    <w:rsid w:val="00581C26"/>
    <w:rsid w:val="00581C68"/>
    <w:rsid w:val="00581C73"/>
    <w:rsid w:val="00581C80"/>
    <w:rsid w:val="00581CF9"/>
    <w:rsid w:val="00581CFF"/>
    <w:rsid w:val="00581D4F"/>
    <w:rsid w:val="00581D57"/>
    <w:rsid w:val="00581D5A"/>
    <w:rsid w:val="00581DD9"/>
    <w:rsid w:val="00581DF5"/>
    <w:rsid w:val="00581E0F"/>
    <w:rsid w:val="00581E42"/>
    <w:rsid w:val="00581E49"/>
    <w:rsid w:val="00581E82"/>
    <w:rsid w:val="00581E8D"/>
    <w:rsid w:val="00581EA7"/>
    <w:rsid w:val="00581EB1"/>
    <w:rsid w:val="00581EDB"/>
    <w:rsid w:val="00581F0E"/>
    <w:rsid w:val="00581FD5"/>
    <w:rsid w:val="00582014"/>
    <w:rsid w:val="00582021"/>
    <w:rsid w:val="0058206F"/>
    <w:rsid w:val="00582072"/>
    <w:rsid w:val="00582084"/>
    <w:rsid w:val="0058209E"/>
    <w:rsid w:val="005820B5"/>
    <w:rsid w:val="00582102"/>
    <w:rsid w:val="0058211A"/>
    <w:rsid w:val="0058214A"/>
    <w:rsid w:val="005821A6"/>
    <w:rsid w:val="005821EB"/>
    <w:rsid w:val="005822A4"/>
    <w:rsid w:val="005822F0"/>
    <w:rsid w:val="00582318"/>
    <w:rsid w:val="00582321"/>
    <w:rsid w:val="0058232C"/>
    <w:rsid w:val="0058235E"/>
    <w:rsid w:val="00582387"/>
    <w:rsid w:val="0058239F"/>
    <w:rsid w:val="005823BA"/>
    <w:rsid w:val="00582404"/>
    <w:rsid w:val="00582468"/>
    <w:rsid w:val="0058247B"/>
    <w:rsid w:val="005824B5"/>
    <w:rsid w:val="00582557"/>
    <w:rsid w:val="00582598"/>
    <w:rsid w:val="0058259A"/>
    <w:rsid w:val="005825A7"/>
    <w:rsid w:val="00582611"/>
    <w:rsid w:val="0058265F"/>
    <w:rsid w:val="00582663"/>
    <w:rsid w:val="005826B8"/>
    <w:rsid w:val="005826BE"/>
    <w:rsid w:val="005826C4"/>
    <w:rsid w:val="00582741"/>
    <w:rsid w:val="0058274D"/>
    <w:rsid w:val="0058275F"/>
    <w:rsid w:val="00582780"/>
    <w:rsid w:val="005827F3"/>
    <w:rsid w:val="00582857"/>
    <w:rsid w:val="005828A1"/>
    <w:rsid w:val="005828D0"/>
    <w:rsid w:val="00582949"/>
    <w:rsid w:val="0058295E"/>
    <w:rsid w:val="005829A8"/>
    <w:rsid w:val="005829B6"/>
    <w:rsid w:val="00582A5B"/>
    <w:rsid w:val="00582B1B"/>
    <w:rsid w:val="00582B65"/>
    <w:rsid w:val="00582B6B"/>
    <w:rsid w:val="00582B6F"/>
    <w:rsid w:val="00582B88"/>
    <w:rsid w:val="00582B89"/>
    <w:rsid w:val="00582B98"/>
    <w:rsid w:val="00582BE9"/>
    <w:rsid w:val="00582C6B"/>
    <w:rsid w:val="00582C78"/>
    <w:rsid w:val="00582CC6"/>
    <w:rsid w:val="00582D1A"/>
    <w:rsid w:val="00582D1F"/>
    <w:rsid w:val="00582E32"/>
    <w:rsid w:val="00582E7A"/>
    <w:rsid w:val="00582E9F"/>
    <w:rsid w:val="00582F74"/>
    <w:rsid w:val="00582FCE"/>
    <w:rsid w:val="00583004"/>
    <w:rsid w:val="00583028"/>
    <w:rsid w:val="00583031"/>
    <w:rsid w:val="00583048"/>
    <w:rsid w:val="00583054"/>
    <w:rsid w:val="0058311D"/>
    <w:rsid w:val="0058313E"/>
    <w:rsid w:val="00583155"/>
    <w:rsid w:val="00583189"/>
    <w:rsid w:val="005831C6"/>
    <w:rsid w:val="005831D4"/>
    <w:rsid w:val="005831F5"/>
    <w:rsid w:val="00583209"/>
    <w:rsid w:val="0058325C"/>
    <w:rsid w:val="005832FA"/>
    <w:rsid w:val="00583314"/>
    <w:rsid w:val="0058333C"/>
    <w:rsid w:val="00583369"/>
    <w:rsid w:val="00583384"/>
    <w:rsid w:val="00583389"/>
    <w:rsid w:val="005833D2"/>
    <w:rsid w:val="0058340D"/>
    <w:rsid w:val="0058343A"/>
    <w:rsid w:val="00583467"/>
    <w:rsid w:val="005834DB"/>
    <w:rsid w:val="005834DE"/>
    <w:rsid w:val="00583515"/>
    <w:rsid w:val="0058352D"/>
    <w:rsid w:val="0058353C"/>
    <w:rsid w:val="00583585"/>
    <w:rsid w:val="005835B0"/>
    <w:rsid w:val="0058368D"/>
    <w:rsid w:val="005836A0"/>
    <w:rsid w:val="005836BC"/>
    <w:rsid w:val="00583736"/>
    <w:rsid w:val="0058374D"/>
    <w:rsid w:val="00583792"/>
    <w:rsid w:val="005837AE"/>
    <w:rsid w:val="005837D7"/>
    <w:rsid w:val="005837F5"/>
    <w:rsid w:val="00583811"/>
    <w:rsid w:val="0058383F"/>
    <w:rsid w:val="00583853"/>
    <w:rsid w:val="00583872"/>
    <w:rsid w:val="00583882"/>
    <w:rsid w:val="0058393D"/>
    <w:rsid w:val="00583948"/>
    <w:rsid w:val="00583956"/>
    <w:rsid w:val="0058395E"/>
    <w:rsid w:val="005839B2"/>
    <w:rsid w:val="00583A4E"/>
    <w:rsid w:val="00583A51"/>
    <w:rsid w:val="00583A72"/>
    <w:rsid w:val="00583A7B"/>
    <w:rsid w:val="00583AC8"/>
    <w:rsid w:val="00583B07"/>
    <w:rsid w:val="00583B52"/>
    <w:rsid w:val="00583B66"/>
    <w:rsid w:val="00583BA3"/>
    <w:rsid w:val="00583BED"/>
    <w:rsid w:val="00583C5A"/>
    <w:rsid w:val="00583C61"/>
    <w:rsid w:val="00583C9B"/>
    <w:rsid w:val="00583CD3"/>
    <w:rsid w:val="00583DA7"/>
    <w:rsid w:val="00583DB6"/>
    <w:rsid w:val="00583E06"/>
    <w:rsid w:val="00583E0F"/>
    <w:rsid w:val="00583E17"/>
    <w:rsid w:val="00583E69"/>
    <w:rsid w:val="00583E76"/>
    <w:rsid w:val="00583E91"/>
    <w:rsid w:val="00583E9E"/>
    <w:rsid w:val="00583EEA"/>
    <w:rsid w:val="00583EF6"/>
    <w:rsid w:val="00583F09"/>
    <w:rsid w:val="00583F0B"/>
    <w:rsid w:val="00583F55"/>
    <w:rsid w:val="00583F85"/>
    <w:rsid w:val="00583FB5"/>
    <w:rsid w:val="00583FD0"/>
    <w:rsid w:val="00583FF4"/>
    <w:rsid w:val="00584031"/>
    <w:rsid w:val="00584041"/>
    <w:rsid w:val="0058404D"/>
    <w:rsid w:val="0058408E"/>
    <w:rsid w:val="005840B2"/>
    <w:rsid w:val="005840B6"/>
    <w:rsid w:val="005840BA"/>
    <w:rsid w:val="005840D1"/>
    <w:rsid w:val="005840E9"/>
    <w:rsid w:val="0058411C"/>
    <w:rsid w:val="00584122"/>
    <w:rsid w:val="005841A8"/>
    <w:rsid w:val="005841C3"/>
    <w:rsid w:val="005841F3"/>
    <w:rsid w:val="0058420E"/>
    <w:rsid w:val="0058422B"/>
    <w:rsid w:val="00584260"/>
    <w:rsid w:val="00584285"/>
    <w:rsid w:val="005842AE"/>
    <w:rsid w:val="005842C9"/>
    <w:rsid w:val="0058433A"/>
    <w:rsid w:val="0058433E"/>
    <w:rsid w:val="00584383"/>
    <w:rsid w:val="00584386"/>
    <w:rsid w:val="005843AF"/>
    <w:rsid w:val="005843B1"/>
    <w:rsid w:val="005843BE"/>
    <w:rsid w:val="005843C2"/>
    <w:rsid w:val="0058441B"/>
    <w:rsid w:val="00584484"/>
    <w:rsid w:val="00584494"/>
    <w:rsid w:val="005844EB"/>
    <w:rsid w:val="005844ED"/>
    <w:rsid w:val="00584574"/>
    <w:rsid w:val="00584590"/>
    <w:rsid w:val="005845C2"/>
    <w:rsid w:val="00584666"/>
    <w:rsid w:val="00584696"/>
    <w:rsid w:val="005846F0"/>
    <w:rsid w:val="0058470F"/>
    <w:rsid w:val="00584729"/>
    <w:rsid w:val="00584734"/>
    <w:rsid w:val="00584772"/>
    <w:rsid w:val="0058477E"/>
    <w:rsid w:val="005847D7"/>
    <w:rsid w:val="005847DD"/>
    <w:rsid w:val="005847F8"/>
    <w:rsid w:val="0058484F"/>
    <w:rsid w:val="005848F8"/>
    <w:rsid w:val="005848F9"/>
    <w:rsid w:val="00584934"/>
    <w:rsid w:val="0058495C"/>
    <w:rsid w:val="0058498A"/>
    <w:rsid w:val="0058498D"/>
    <w:rsid w:val="00584991"/>
    <w:rsid w:val="005849A1"/>
    <w:rsid w:val="00584A45"/>
    <w:rsid w:val="00584A89"/>
    <w:rsid w:val="00584AAC"/>
    <w:rsid w:val="00584B44"/>
    <w:rsid w:val="00584B4D"/>
    <w:rsid w:val="00584B67"/>
    <w:rsid w:val="00584BAD"/>
    <w:rsid w:val="00584BF3"/>
    <w:rsid w:val="00584BFD"/>
    <w:rsid w:val="00584C15"/>
    <w:rsid w:val="00584C16"/>
    <w:rsid w:val="00584C21"/>
    <w:rsid w:val="00584C30"/>
    <w:rsid w:val="00584C61"/>
    <w:rsid w:val="00584C86"/>
    <w:rsid w:val="00584CB8"/>
    <w:rsid w:val="00584CCB"/>
    <w:rsid w:val="00584D18"/>
    <w:rsid w:val="00584D8F"/>
    <w:rsid w:val="00584DD5"/>
    <w:rsid w:val="00584DF2"/>
    <w:rsid w:val="00584E6B"/>
    <w:rsid w:val="00584F7A"/>
    <w:rsid w:val="00584FCA"/>
    <w:rsid w:val="00584FEF"/>
    <w:rsid w:val="0058500E"/>
    <w:rsid w:val="00585056"/>
    <w:rsid w:val="005850AD"/>
    <w:rsid w:val="005850B5"/>
    <w:rsid w:val="005850F3"/>
    <w:rsid w:val="00585111"/>
    <w:rsid w:val="00585119"/>
    <w:rsid w:val="00585120"/>
    <w:rsid w:val="00585192"/>
    <w:rsid w:val="00585220"/>
    <w:rsid w:val="0058529F"/>
    <w:rsid w:val="005852A3"/>
    <w:rsid w:val="005852B8"/>
    <w:rsid w:val="005852B9"/>
    <w:rsid w:val="00585359"/>
    <w:rsid w:val="00585389"/>
    <w:rsid w:val="005853F3"/>
    <w:rsid w:val="00585426"/>
    <w:rsid w:val="0058546A"/>
    <w:rsid w:val="0058549B"/>
    <w:rsid w:val="005854C2"/>
    <w:rsid w:val="00585545"/>
    <w:rsid w:val="00585572"/>
    <w:rsid w:val="0058558A"/>
    <w:rsid w:val="005855A7"/>
    <w:rsid w:val="005855FC"/>
    <w:rsid w:val="0058561D"/>
    <w:rsid w:val="0058563C"/>
    <w:rsid w:val="0058564C"/>
    <w:rsid w:val="0058565E"/>
    <w:rsid w:val="0058566F"/>
    <w:rsid w:val="005856D9"/>
    <w:rsid w:val="005856DF"/>
    <w:rsid w:val="005856F5"/>
    <w:rsid w:val="0058570B"/>
    <w:rsid w:val="00585711"/>
    <w:rsid w:val="0058573D"/>
    <w:rsid w:val="005857A9"/>
    <w:rsid w:val="00585843"/>
    <w:rsid w:val="0058587A"/>
    <w:rsid w:val="005858BB"/>
    <w:rsid w:val="005858F8"/>
    <w:rsid w:val="00585958"/>
    <w:rsid w:val="0058595D"/>
    <w:rsid w:val="0058595E"/>
    <w:rsid w:val="0058597E"/>
    <w:rsid w:val="0058598B"/>
    <w:rsid w:val="005859FE"/>
    <w:rsid w:val="00585A56"/>
    <w:rsid w:val="00585A9F"/>
    <w:rsid w:val="00585ABC"/>
    <w:rsid w:val="00585B6D"/>
    <w:rsid w:val="00585B84"/>
    <w:rsid w:val="00585BA8"/>
    <w:rsid w:val="00585BF1"/>
    <w:rsid w:val="00585C03"/>
    <w:rsid w:val="00585CF6"/>
    <w:rsid w:val="00585D1D"/>
    <w:rsid w:val="00585D9D"/>
    <w:rsid w:val="00585DA6"/>
    <w:rsid w:val="00585DC2"/>
    <w:rsid w:val="00585DD5"/>
    <w:rsid w:val="00585E0F"/>
    <w:rsid w:val="00585E11"/>
    <w:rsid w:val="00585E4F"/>
    <w:rsid w:val="00585E5A"/>
    <w:rsid w:val="00585E5B"/>
    <w:rsid w:val="00585E8D"/>
    <w:rsid w:val="00585EB9"/>
    <w:rsid w:val="00585EBE"/>
    <w:rsid w:val="00585F2B"/>
    <w:rsid w:val="00585F70"/>
    <w:rsid w:val="00585FC4"/>
    <w:rsid w:val="00585FF8"/>
    <w:rsid w:val="00585FFC"/>
    <w:rsid w:val="00586019"/>
    <w:rsid w:val="0058601E"/>
    <w:rsid w:val="00586085"/>
    <w:rsid w:val="005860A6"/>
    <w:rsid w:val="005860B2"/>
    <w:rsid w:val="005860C6"/>
    <w:rsid w:val="005860C9"/>
    <w:rsid w:val="00586102"/>
    <w:rsid w:val="00586134"/>
    <w:rsid w:val="00586174"/>
    <w:rsid w:val="00586177"/>
    <w:rsid w:val="00586199"/>
    <w:rsid w:val="005861C7"/>
    <w:rsid w:val="005861E4"/>
    <w:rsid w:val="0058623E"/>
    <w:rsid w:val="00586276"/>
    <w:rsid w:val="005862CE"/>
    <w:rsid w:val="005862D8"/>
    <w:rsid w:val="005862DF"/>
    <w:rsid w:val="005862E7"/>
    <w:rsid w:val="00586311"/>
    <w:rsid w:val="0058635C"/>
    <w:rsid w:val="005863CD"/>
    <w:rsid w:val="005863D7"/>
    <w:rsid w:val="005863E1"/>
    <w:rsid w:val="005863E9"/>
    <w:rsid w:val="005864F0"/>
    <w:rsid w:val="0058654D"/>
    <w:rsid w:val="00586570"/>
    <w:rsid w:val="00586578"/>
    <w:rsid w:val="00586580"/>
    <w:rsid w:val="00586586"/>
    <w:rsid w:val="0058658C"/>
    <w:rsid w:val="005865B1"/>
    <w:rsid w:val="005865C2"/>
    <w:rsid w:val="005865E1"/>
    <w:rsid w:val="0058660B"/>
    <w:rsid w:val="00586631"/>
    <w:rsid w:val="00586655"/>
    <w:rsid w:val="00586669"/>
    <w:rsid w:val="00586693"/>
    <w:rsid w:val="005866B5"/>
    <w:rsid w:val="005866ED"/>
    <w:rsid w:val="0058671B"/>
    <w:rsid w:val="00586733"/>
    <w:rsid w:val="00586756"/>
    <w:rsid w:val="0058675A"/>
    <w:rsid w:val="0058678E"/>
    <w:rsid w:val="005867C4"/>
    <w:rsid w:val="005868CE"/>
    <w:rsid w:val="005868FC"/>
    <w:rsid w:val="00586915"/>
    <w:rsid w:val="00586927"/>
    <w:rsid w:val="00586970"/>
    <w:rsid w:val="00586977"/>
    <w:rsid w:val="005869B8"/>
    <w:rsid w:val="005869EA"/>
    <w:rsid w:val="00586A0E"/>
    <w:rsid w:val="00586A10"/>
    <w:rsid w:val="00586A48"/>
    <w:rsid w:val="00586A6A"/>
    <w:rsid w:val="00586A86"/>
    <w:rsid w:val="00586AA5"/>
    <w:rsid w:val="00586AC9"/>
    <w:rsid w:val="00586AD1"/>
    <w:rsid w:val="00586AEC"/>
    <w:rsid w:val="00586B2D"/>
    <w:rsid w:val="00586BEA"/>
    <w:rsid w:val="00586C21"/>
    <w:rsid w:val="00586C54"/>
    <w:rsid w:val="00586C73"/>
    <w:rsid w:val="00586CD0"/>
    <w:rsid w:val="00586CD3"/>
    <w:rsid w:val="00586CD4"/>
    <w:rsid w:val="00586CFA"/>
    <w:rsid w:val="00586D4F"/>
    <w:rsid w:val="00586D75"/>
    <w:rsid w:val="00586DA3"/>
    <w:rsid w:val="00586DB3"/>
    <w:rsid w:val="00586DB7"/>
    <w:rsid w:val="00586E08"/>
    <w:rsid w:val="00586E12"/>
    <w:rsid w:val="00586EFD"/>
    <w:rsid w:val="00586F35"/>
    <w:rsid w:val="00586F5E"/>
    <w:rsid w:val="00586F7C"/>
    <w:rsid w:val="00586FDA"/>
    <w:rsid w:val="00587037"/>
    <w:rsid w:val="00587040"/>
    <w:rsid w:val="00587095"/>
    <w:rsid w:val="005870BF"/>
    <w:rsid w:val="00587126"/>
    <w:rsid w:val="00587174"/>
    <w:rsid w:val="005871C0"/>
    <w:rsid w:val="00587259"/>
    <w:rsid w:val="00587266"/>
    <w:rsid w:val="0058727C"/>
    <w:rsid w:val="0058727D"/>
    <w:rsid w:val="005872AD"/>
    <w:rsid w:val="00587358"/>
    <w:rsid w:val="00587387"/>
    <w:rsid w:val="005873A1"/>
    <w:rsid w:val="0058742B"/>
    <w:rsid w:val="00587483"/>
    <w:rsid w:val="005874EB"/>
    <w:rsid w:val="0058750D"/>
    <w:rsid w:val="00587523"/>
    <w:rsid w:val="0058754F"/>
    <w:rsid w:val="0058756E"/>
    <w:rsid w:val="0058757D"/>
    <w:rsid w:val="00587582"/>
    <w:rsid w:val="00587586"/>
    <w:rsid w:val="005875F4"/>
    <w:rsid w:val="0058760B"/>
    <w:rsid w:val="0058762D"/>
    <w:rsid w:val="0058764B"/>
    <w:rsid w:val="005876A2"/>
    <w:rsid w:val="005876B0"/>
    <w:rsid w:val="005876C5"/>
    <w:rsid w:val="005876E2"/>
    <w:rsid w:val="0058770E"/>
    <w:rsid w:val="00587734"/>
    <w:rsid w:val="005877BE"/>
    <w:rsid w:val="0058780F"/>
    <w:rsid w:val="00587868"/>
    <w:rsid w:val="0058786C"/>
    <w:rsid w:val="00587885"/>
    <w:rsid w:val="00587912"/>
    <w:rsid w:val="0058796D"/>
    <w:rsid w:val="0058799B"/>
    <w:rsid w:val="005879EB"/>
    <w:rsid w:val="005879FC"/>
    <w:rsid w:val="00587A0B"/>
    <w:rsid w:val="00587A24"/>
    <w:rsid w:val="00587A5F"/>
    <w:rsid w:val="00587AA0"/>
    <w:rsid w:val="00587AD4"/>
    <w:rsid w:val="00587AE2"/>
    <w:rsid w:val="00587B0D"/>
    <w:rsid w:val="00587B3F"/>
    <w:rsid w:val="00587B6F"/>
    <w:rsid w:val="00587BAA"/>
    <w:rsid w:val="00587BC4"/>
    <w:rsid w:val="00587C08"/>
    <w:rsid w:val="00587C67"/>
    <w:rsid w:val="00587C7C"/>
    <w:rsid w:val="00587CCE"/>
    <w:rsid w:val="00587CD0"/>
    <w:rsid w:val="00587CFD"/>
    <w:rsid w:val="00587D50"/>
    <w:rsid w:val="00587D6B"/>
    <w:rsid w:val="00587D91"/>
    <w:rsid w:val="00587DA9"/>
    <w:rsid w:val="00587DDF"/>
    <w:rsid w:val="00587DE2"/>
    <w:rsid w:val="00587E30"/>
    <w:rsid w:val="00587E37"/>
    <w:rsid w:val="00587E72"/>
    <w:rsid w:val="00587E8E"/>
    <w:rsid w:val="00587E97"/>
    <w:rsid w:val="00587F12"/>
    <w:rsid w:val="00587F32"/>
    <w:rsid w:val="00587F58"/>
    <w:rsid w:val="00587F6C"/>
    <w:rsid w:val="00587F78"/>
    <w:rsid w:val="00587FAA"/>
    <w:rsid w:val="00587FF1"/>
    <w:rsid w:val="00590018"/>
    <w:rsid w:val="0059004F"/>
    <w:rsid w:val="00590065"/>
    <w:rsid w:val="005900B6"/>
    <w:rsid w:val="005900EE"/>
    <w:rsid w:val="00590104"/>
    <w:rsid w:val="00590173"/>
    <w:rsid w:val="0059021E"/>
    <w:rsid w:val="005902B0"/>
    <w:rsid w:val="005902C7"/>
    <w:rsid w:val="00590325"/>
    <w:rsid w:val="00590359"/>
    <w:rsid w:val="00590364"/>
    <w:rsid w:val="0059037B"/>
    <w:rsid w:val="0059038F"/>
    <w:rsid w:val="005903A4"/>
    <w:rsid w:val="005903DD"/>
    <w:rsid w:val="005903DE"/>
    <w:rsid w:val="005903FD"/>
    <w:rsid w:val="0059040A"/>
    <w:rsid w:val="0059042B"/>
    <w:rsid w:val="00590436"/>
    <w:rsid w:val="00590449"/>
    <w:rsid w:val="00590452"/>
    <w:rsid w:val="00590456"/>
    <w:rsid w:val="0059046E"/>
    <w:rsid w:val="0059049C"/>
    <w:rsid w:val="005904A9"/>
    <w:rsid w:val="005904B9"/>
    <w:rsid w:val="005904C6"/>
    <w:rsid w:val="0059055E"/>
    <w:rsid w:val="0059057D"/>
    <w:rsid w:val="005905A6"/>
    <w:rsid w:val="005905E9"/>
    <w:rsid w:val="00590618"/>
    <w:rsid w:val="00590675"/>
    <w:rsid w:val="0059069B"/>
    <w:rsid w:val="005906AF"/>
    <w:rsid w:val="005906CB"/>
    <w:rsid w:val="005906FC"/>
    <w:rsid w:val="005907A9"/>
    <w:rsid w:val="00590839"/>
    <w:rsid w:val="0059083A"/>
    <w:rsid w:val="0059086F"/>
    <w:rsid w:val="005908D2"/>
    <w:rsid w:val="00590920"/>
    <w:rsid w:val="00590932"/>
    <w:rsid w:val="00590982"/>
    <w:rsid w:val="005909D4"/>
    <w:rsid w:val="00590A02"/>
    <w:rsid w:val="00590A15"/>
    <w:rsid w:val="00590A1F"/>
    <w:rsid w:val="00590A4A"/>
    <w:rsid w:val="00590A52"/>
    <w:rsid w:val="00590AA7"/>
    <w:rsid w:val="00590AC4"/>
    <w:rsid w:val="00590AD8"/>
    <w:rsid w:val="00590AEB"/>
    <w:rsid w:val="00590B00"/>
    <w:rsid w:val="00590B40"/>
    <w:rsid w:val="00590B49"/>
    <w:rsid w:val="00590B66"/>
    <w:rsid w:val="00590B9A"/>
    <w:rsid w:val="00590BB7"/>
    <w:rsid w:val="00590BD1"/>
    <w:rsid w:val="00590C1B"/>
    <w:rsid w:val="00590CA2"/>
    <w:rsid w:val="00590D4A"/>
    <w:rsid w:val="00590DD5"/>
    <w:rsid w:val="00590DFB"/>
    <w:rsid w:val="00590E21"/>
    <w:rsid w:val="00590E23"/>
    <w:rsid w:val="00590E94"/>
    <w:rsid w:val="00590EAF"/>
    <w:rsid w:val="00590EC3"/>
    <w:rsid w:val="00590EF9"/>
    <w:rsid w:val="00590F00"/>
    <w:rsid w:val="00590F2B"/>
    <w:rsid w:val="00590F35"/>
    <w:rsid w:val="00590FF2"/>
    <w:rsid w:val="00591009"/>
    <w:rsid w:val="00591089"/>
    <w:rsid w:val="005910A1"/>
    <w:rsid w:val="005910B3"/>
    <w:rsid w:val="005910BA"/>
    <w:rsid w:val="005910DC"/>
    <w:rsid w:val="005910F0"/>
    <w:rsid w:val="0059112A"/>
    <w:rsid w:val="00591132"/>
    <w:rsid w:val="00591154"/>
    <w:rsid w:val="0059117F"/>
    <w:rsid w:val="005911A0"/>
    <w:rsid w:val="005911F9"/>
    <w:rsid w:val="00591252"/>
    <w:rsid w:val="00591366"/>
    <w:rsid w:val="0059137E"/>
    <w:rsid w:val="00591381"/>
    <w:rsid w:val="0059138C"/>
    <w:rsid w:val="005913D0"/>
    <w:rsid w:val="005913D2"/>
    <w:rsid w:val="00591400"/>
    <w:rsid w:val="00591409"/>
    <w:rsid w:val="0059141B"/>
    <w:rsid w:val="00591497"/>
    <w:rsid w:val="005914C2"/>
    <w:rsid w:val="005914E8"/>
    <w:rsid w:val="00591594"/>
    <w:rsid w:val="0059159A"/>
    <w:rsid w:val="005915C5"/>
    <w:rsid w:val="005915CF"/>
    <w:rsid w:val="005915D1"/>
    <w:rsid w:val="0059160A"/>
    <w:rsid w:val="00591635"/>
    <w:rsid w:val="00591640"/>
    <w:rsid w:val="00591662"/>
    <w:rsid w:val="005916FB"/>
    <w:rsid w:val="00591705"/>
    <w:rsid w:val="00591722"/>
    <w:rsid w:val="005917A2"/>
    <w:rsid w:val="005917CA"/>
    <w:rsid w:val="005917F2"/>
    <w:rsid w:val="005917FD"/>
    <w:rsid w:val="00591817"/>
    <w:rsid w:val="005918E1"/>
    <w:rsid w:val="005918EA"/>
    <w:rsid w:val="00591914"/>
    <w:rsid w:val="00591915"/>
    <w:rsid w:val="00591960"/>
    <w:rsid w:val="005919AB"/>
    <w:rsid w:val="005919D0"/>
    <w:rsid w:val="005919E8"/>
    <w:rsid w:val="00591A18"/>
    <w:rsid w:val="00591A29"/>
    <w:rsid w:val="00591A32"/>
    <w:rsid w:val="00591ABB"/>
    <w:rsid w:val="00591AD4"/>
    <w:rsid w:val="00591AF6"/>
    <w:rsid w:val="00591B03"/>
    <w:rsid w:val="00591B3A"/>
    <w:rsid w:val="00591B4B"/>
    <w:rsid w:val="00591B4E"/>
    <w:rsid w:val="00591BA0"/>
    <w:rsid w:val="00591BCC"/>
    <w:rsid w:val="00591BED"/>
    <w:rsid w:val="00591C47"/>
    <w:rsid w:val="00591C72"/>
    <w:rsid w:val="00591C8B"/>
    <w:rsid w:val="00591C8F"/>
    <w:rsid w:val="00591CAA"/>
    <w:rsid w:val="00591D05"/>
    <w:rsid w:val="00591D22"/>
    <w:rsid w:val="00591D6D"/>
    <w:rsid w:val="00591D8D"/>
    <w:rsid w:val="00591DB0"/>
    <w:rsid w:val="00591DCF"/>
    <w:rsid w:val="00591DD4"/>
    <w:rsid w:val="00591DDD"/>
    <w:rsid w:val="00591DFE"/>
    <w:rsid w:val="00591E7A"/>
    <w:rsid w:val="00591EB5"/>
    <w:rsid w:val="00591EDD"/>
    <w:rsid w:val="00591EF8"/>
    <w:rsid w:val="00591EF9"/>
    <w:rsid w:val="00591F24"/>
    <w:rsid w:val="00591F38"/>
    <w:rsid w:val="00591F5A"/>
    <w:rsid w:val="00591FE2"/>
    <w:rsid w:val="00591FF4"/>
    <w:rsid w:val="00592004"/>
    <w:rsid w:val="0059209E"/>
    <w:rsid w:val="005920BE"/>
    <w:rsid w:val="00592135"/>
    <w:rsid w:val="005921BA"/>
    <w:rsid w:val="005921F2"/>
    <w:rsid w:val="005921F9"/>
    <w:rsid w:val="00592200"/>
    <w:rsid w:val="0059222E"/>
    <w:rsid w:val="005922EC"/>
    <w:rsid w:val="00592316"/>
    <w:rsid w:val="0059232F"/>
    <w:rsid w:val="00592385"/>
    <w:rsid w:val="005923BE"/>
    <w:rsid w:val="005923E0"/>
    <w:rsid w:val="0059241F"/>
    <w:rsid w:val="00592450"/>
    <w:rsid w:val="005924CD"/>
    <w:rsid w:val="005924F8"/>
    <w:rsid w:val="0059252E"/>
    <w:rsid w:val="00592531"/>
    <w:rsid w:val="0059254F"/>
    <w:rsid w:val="00592567"/>
    <w:rsid w:val="00592629"/>
    <w:rsid w:val="005926D4"/>
    <w:rsid w:val="00592790"/>
    <w:rsid w:val="00592796"/>
    <w:rsid w:val="005927F9"/>
    <w:rsid w:val="0059280C"/>
    <w:rsid w:val="00592831"/>
    <w:rsid w:val="00592834"/>
    <w:rsid w:val="0059283A"/>
    <w:rsid w:val="00592852"/>
    <w:rsid w:val="00592858"/>
    <w:rsid w:val="00592874"/>
    <w:rsid w:val="00592891"/>
    <w:rsid w:val="0059289D"/>
    <w:rsid w:val="005928B5"/>
    <w:rsid w:val="00592909"/>
    <w:rsid w:val="0059292F"/>
    <w:rsid w:val="00592930"/>
    <w:rsid w:val="00592993"/>
    <w:rsid w:val="005929C7"/>
    <w:rsid w:val="00592A3F"/>
    <w:rsid w:val="00592A4D"/>
    <w:rsid w:val="00592A51"/>
    <w:rsid w:val="00592A8E"/>
    <w:rsid w:val="00592AA0"/>
    <w:rsid w:val="00592AC1"/>
    <w:rsid w:val="00592B53"/>
    <w:rsid w:val="00592BEC"/>
    <w:rsid w:val="00592C8A"/>
    <w:rsid w:val="00592C9A"/>
    <w:rsid w:val="00592C9C"/>
    <w:rsid w:val="00592CA3"/>
    <w:rsid w:val="00592CA4"/>
    <w:rsid w:val="00592D17"/>
    <w:rsid w:val="00592D35"/>
    <w:rsid w:val="00592DB7"/>
    <w:rsid w:val="00592DD7"/>
    <w:rsid w:val="00592E3F"/>
    <w:rsid w:val="00592E9D"/>
    <w:rsid w:val="00592EA1"/>
    <w:rsid w:val="00592ED9"/>
    <w:rsid w:val="00592F16"/>
    <w:rsid w:val="00592F97"/>
    <w:rsid w:val="00592F9B"/>
    <w:rsid w:val="00592FB7"/>
    <w:rsid w:val="00592FB8"/>
    <w:rsid w:val="00593003"/>
    <w:rsid w:val="0059303E"/>
    <w:rsid w:val="00593074"/>
    <w:rsid w:val="00593091"/>
    <w:rsid w:val="005930CF"/>
    <w:rsid w:val="005931B7"/>
    <w:rsid w:val="005931BF"/>
    <w:rsid w:val="005931CA"/>
    <w:rsid w:val="00593204"/>
    <w:rsid w:val="00593253"/>
    <w:rsid w:val="00593297"/>
    <w:rsid w:val="0059336D"/>
    <w:rsid w:val="005933C9"/>
    <w:rsid w:val="005933F0"/>
    <w:rsid w:val="00593401"/>
    <w:rsid w:val="00593407"/>
    <w:rsid w:val="0059340A"/>
    <w:rsid w:val="00593441"/>
    <w:rsid w:val="00593448"/>
    <w:rsid w:val="00593449"/>
    <w:rsid w:val="0059345A"/>
    <w:rsid w:val="0059348A"/>
    <w:rsid w:val="005934A2"/>
    <w:rsid w:val="005934C7"/>
    <w:rsid w:val="00593514"/>
    <w:rsid w:val="0059351C"/>
    <w:rsid w:val="00593582"/>
    <w:rsid w:val="005935B4"/>
    <w:rsid w:val="0059363C"/>
    <w:rsid w:val="0059364C"/>
    <w:rsid w:val="00593695"/>
    <w:rsid w:val="00593697"/>
    <w:rsid w:val="005936B5"/>
    <w:rsid w:val="005936B6"/>
    <w:rsid w:val="005936D4"/>
    <w:rsid w:val="005936E6"/>
    <w:rsid w:val="00593710"/>
    <w:rsid w:val="0059374F"/>
    <w:rsid w:val="005937DA"/>
    <w:rsid w:val="005937E2"/>
    <w:rsid w:val="005938D3"/>
    <w:rsid w:val="00593914"/>
    <w:rsid w:val="0059392C"/>
    <w:rsid w:val="0059393D"/>
    <w:rsid w:val="00593940"/>
    <w:rsid w:val="0059395A"/>
    <w:rsid w:val="0059397B"/>
    <w:rsid w:val="005939B0"/>
    <w:rsid w:val="005939FE"/>
    <w:rsid w:val="00593A06"/>
    <w:rsid w:val="00593A86"/>
    <w:rsid w:val="00593A92"/>
    <w:rsid w:val="00593AED"/>
    <w:rsid w:val="00593B05"/>
    <w:rsid w:val="00593B19"/>
    <w:rsid w:val="00593B1F"/>
    <w:rsid w:val="00593B23"/>
    <w:rsid w:val="00593B26"/>
    <w:rsid w:val="00593B2A"/>
    <w:rsid w:val="00593BB1"/>
    <w:rsid w:val="00593BE1"/>
    <w:rsid w:val="00593BE2"/>
    <w:rsid w:val="00593C06"/>
    <w:rsid w:val="00593C20"/>
    <w:rsid w:val="00593C3E"/>
    <w:rsid w:val="00593D98"/>
    <w:rsid w:val="00593DA8"/>
    <w:rsid w:val="00593DD1"/>
    <w:rsid w:val="00593E08"/>
    <w:rsid w:val="00593E3E"/>
    <w:rsid w:val="00593E69"/>
    <w:rsid w:val="00593E86"/>
    <w:rsid w:val="00593F2A"/>
    <w:rsid w:val="00593F3F"/>
    <w:rsid w:val="00593F89"/>
    <w:rsid w:val="0059402D"/>
    <w:rsid w:val="0059402E"/>
    <w:rsid w:val="00594035"/>
    <w:rsid w:val="0059405D"/>
    <w:rsid w:val="005940B5"/>
    <w:rsid w:val="005940EB"/>
    <w:rsid w:val="005940F0"/>
    <w:rsid w:val="00594106"/>
    <w:rsid w:val="00594165"/>
    <w:rsid w:val="005941AC"/>
    <w:rsid w:val="005941CB"/>
    <w:rsid w:val="005941E3"/>
    <w:rsid w:val="00594201"/>
    <w:rsid w:val="0059423B"/>
    <w:rsid w:val="0059425B"/>
    <w:rsid w:val="00594277"/>
    <w:rsid w:val="0059427D"/>
    <w:rsid w:val="005942AB"/>
    <w:rsid w:val="00594302"/>
    <w:rsid w:val="0059431B"/>
    <w:rsid w:val="0059431F"/>
    <w:rsid w:val="005943A6"/>
    <w:rsid w:val="005943BB"/>
    <w:rsid w:val="005943CE"/>
    <w:rsid w:val="005943DD"/>
    <w:rsid w:val="00594477"/>
    <w:rsid w:val="005944A1"/>
    <w:rsid w:val="005945CD"/>
    <w:rsid w:val="005945CF"/>
    <w:rsid w:val="005945EC"/>
    <w:rsid w:val="005945F0"/>
    <w:rsid w:val="005945FE"/>
    <w:rsid w:val="00594627"/>
    <w:rsid w:val="00594653"/>
    <w:rsid w:val="00594665"/>
    <w:rsid w:val="005946B0"/>
    <w:rsid w:val="0059473D"/>
    <w:rsid w:val="00594767"/>
    <w:rsid w:val="0059477C"/>
    <w:rsid w:val="0059481C"/>
    <w:rsid w:val="00594872"/>
    <w:rsid w:val="0059488F"/>
    <w:rsid w:val="005948D3"/>
    <w:rsid w:val="005949C3"/>
    <w:rsid w:val="005949FB"/>
    <w:rsid w:val="00594A22"/>
    <w:rsid w:val="00594A3B"/>
    <w:rsid w:val="00594A51"/>
    <w:rsid w:val="00594A79"/>
    <w:rsid w:val="00594A93"/>
    <w:rsid w:val="00594AB0"/>
    <w:rsid w:val="00594B03"/>
    <w:rsid w:val="00594B2E"/>
    <w:rsid w:val="00594B51"/>
    <w:rsid w:val="00594B58"/>
    <w:rsid w:val="00594B6D"/>
    <w:rsid w:val="00594C06"/>
    <w:rsid w:val="00594C14"/>
    <w:rsid w:val="00594C79"/>
    <w:rsid w:val="00594C7F"/>
    <w:rsid w:val="00594C81"/>
    <w:rsid w:val="00594CA3"/>
    <w:rsid w:val="00594CCB"/>
    <w:rsid w:val="00594CEF"/>
    <w:rsid w:val="00594D72"/>
    <w:rsid w:val="00594D7D"/>
    <w:rsid w:val="00594DED"/>
    <w:rsid w:val="00594E1E"/>
    <w:rsid w:val="00594E30"/>
    <w:rsid w:val="00594E69"/>
    <w:rsid w:val="00594E98"/>
    <w:rsid w:val="00594E9A"/>
    <w:rsid w:val="00594EA4"/>
    <w:rsid w:val="00594EB7"/>
    <w:rsid w:val="00594ED5"/>
    <w:rsid w:val="00594EE4"/>
    <w:rsid w:val="00594F47"/>
    <w:rsid w:val="00594F4D"/>
    <w:rsid w:val="00594F6E"/>
    <w:rsid w:val="00594FB9"/>
    <w:rsid w:val="00594FD6"/>
    <w:rsid w:val="00594FED"/>
    <w:rsid w:val="00595045"/>
    <w:rsid w:val="0059507B"/>
    <w:rsid w:val="00595082"/>
    <w:rsid w:val="00595093"/>
    <w:rsid w:val="005950DC"/>
    <w:rsid w:val="00595105"/>
    <w:rsid w:val="0059514F"/>
    <w:rsid w:val="00595151"/>
    <w:rsid w:val="00595188"/>
    <w:rsid w:val="005951E7"/>
    <w:rsid w:val="005951EC"/>
    <w:rsid w:val="00595207"/>
    <w:rsid w:val="00595277"/>
    <w:rsid w:val="00595283"/>
    <w:rsid w:val="0059529A"/>
    <w:rsid w:val="0059529E"/>
    <w:rsid w:val="005952E6"/>
    <w:rsid w:val="00595333"/>
    <w:rsid w:val="0059534A"/>
    <w:rsid w:val="00595355"/>
    <w:rsid w:val="005953DC"/>
    <w:rsid w:val="005953F3"/>
    <w:rsid w:val="0059542B"/>
    <w:rsid w:val="0059546E"/>
    <w:rsid w:val="0059547F"/>
    <w:rsid w:val="0059549B"/>
    <w:rsid w:val="005954E8"/>
    <w:rsid w:val="005954F8"/>
    <w:rsid w:val="0059552C"/>
    <w:rsid w:val="00595578"/>
    <w:rsid w:val="005955DB"/>
    <w:rsid w:val="0059560F"/>
    <w:rsid w:val="005956C9"/>
    <w:rsid w:val="005956CA"/>
    <w:rsid w:val="005956D5"/>
    <w:rsid w:val="00595715"/>
    <w:rsid w:val="005957E4"/>
    <w:rsid w:val="005957FF"/>
    <w:rsid w:val="0059581E"/>
    <w:rsid w:val="0059589A"/>
    <w:rsid w:val="005958A6"/>
    <w:rsid w:val="005958CB"/>
    <w:rsid w:val="0059591B"/>
    <w:rsid w:val="0059592A"/>
    <w:rsid w:val="00595996"/>
    <w:rsid w:val="005959D1"/>
    <w:rsid w:val="00595A00"/>
    <w:rsid w:val="00595A09"/>
    <w:rsid w:val="00595A36"/>
    <w:rsid w:val="00595A65"/>
    <w:rsid w:val="00595A98"/>
    <w:rsid w:val="00595A9E"/>
    <w:rsid w:val="00595ADA"/>
    <w:rsid w:val="00595B3E"/>
    <w:rsid w:val="00595B6D"/>
    <w:rsid w:val="00595B8C"/>
    <w:rsid w:val="00595BD0"/>
    <w:rsid w:val="00595C11"/>
    <w:rsid w:val="00595C17"/>
    <w:rsid w:val="00595C19"/>
    <w:rsid w:val="00595C59"/>
    <w:rsid w:val="00595C86"/>
    <w:rsid w:val="00595CB2"/>
    <w:rsid w:val="00595D1D"/>
    <w:rsid w:val="00595D7A"/>
    <w:rsid w:val="00595E1D"/>
    <w:rsid w:val="00595E3A"/>
    <w:rsid w:val="00595E53"/>
    <w:rsid w:val="00595E59"/>
    <w:rsid w:val="00595EA0"/>
    <w:rsid w:val="00595EC3"/>
    <w:rsid w:val="00595EDB"/>
    <w:rsid w:val="00595EEC"/>
    <w:rsid w:val="00595F3D"/>
    <w:rsid w:val="00595F4D"/>
    <w:rsid w:val="00595F5A"/>
    <w:rsid w:val="00595FA9"/>
    <w:rsid w:val="00595FDE"/>
    <w:rsid w:val="0059602C"/>
    <w:rsid w:val="0059605B"/>
    <w:rsid w:val="00596060"/>
    <w:rsid w:val="00596066"/>
    <w:rsid w:val="00596074"/>
    <w:rsid w:val="00596079"/>
    <w:rsid w:val="00596086"/>
    <w:rsid w:val="005960A3"/>
    <w:rsid w:val="005960B7"/>
    <w:rsid w:val="005960F5"/>
    <w:rsid w:val="00596121"/>
    <w:rsid w:val="00596152"/>
    <w:rsid w:val="00596172"/>
    <w:rsid w:val="005961DE"/>
    <w:rsid w:val="0059620A"/>
    <w:rsid w:val="0059627F"/>
    <w:rsid w:val="0059631B"/>
    <w:rsid w:val="00596332"/>
    <w:rsid w:val="0059637F"/>
    <w:rsid w:val="005963CA"/>
    <w:rsid w:val="005963D7"/>
    <w:rsid w:val="005963F5"/>
    <w:rsid w:val="00596465"/>
    <w:rsid w:val="005964A7"/>
    <w:rsid w:val="005964B7"/>
    <w:rsid w:val="005964CD"/>
    <w:rsid w:val="00596553"/>
    <w:rsid w:val="00596557"/>
    <w:rsid w:val="0059655C"/>
    <w:rsid w:val="005965AC"/>
    <w:rsid w:val="005965B3"/>
    <w:rsid w:val="005965F2"/>
    <w:rsid w:val="00596669"/>
    <w:rsid w:val="00596673"/>
    <w:rsid w:val="005966A5"/>
    <w:rsid w:val="005966FB"/>
    <w:rsid w:val="00596716"/>
    <w:rsid w:val="0059671B"/>
    <w:rsid w:val="0059672E"/>
    <w:rsid w:val="0059674E"/>
    <w:rsid w:val="0059678D"/>
    <w:rsid w:val="005967B1"/>
    <w:rsid w:val="005967CF"/>
    <w:rsid w:val="0059681F"/>
    <w:rsid w:val="005968B5"/>
    <w:rsid w:val="005968CF"/>
    <w:rsid w:val="005968FB"/>
    <w:rsid w:val="00596901"/>
    <w:rsid w:val="00596964"/>
    <w:rsid w:val="00596977"/>
    <w:rsid w:val="00596A10"/>
    <w:rsid w:val="00596A2B"/>
    <w:rsid w:val="00596A39"/>
    <w:rsid w:val="00596A6A"/>
    <w:rsid w:val="00596A96"/>
    <w:rsid w:val="00596AAE"/>
    <w:rsid w:val="00596ACA"/>
    <w:rsid w:val="00596ADD"/>
    <w:rsid w:val="00596AF4"/>
    <w:rsid w:val="00596B26"/>
    <w:rsid w:val="00596B27"/>
    <w:rsid w:val="00596B38"/>
    <w:rsid w:val="00596B6E"/>
    <w:rsid w:val="00596B8E"/>
    <w:rsid w:val="00596BAD"/>
    <w:rsid w:val="00596BB3"/>
    <w:rsid w:val="00596BBE"/>
    <w:rsid w:val="00596BE4"/>
    <w:rsid w:val="00596BF8"/>
    <w:rsid w:val="00596C2A"/>
    <w:rsid w:val="00596C66"/>
    <w:rsid w:val="00596CAC"/>
    <w:rsid w:val="00596CBA"/>
    <w:rsid w:val="00596CD4"/>
    <w:rsid w:val="00596D21"/>
    <w:rsid w:val="00596D37"/>
    <w:rsid w:val="00596D5D"/>
    <w:rsid w:val="00596DAA"/>
    <w:rsid w:val="00596E0E"/>
    <w:rsid w:val="00596E2C"/>
    <w:rsid w:val="00596E96"/>
    <w:rsid w:val="00596EA8"/>
    <w:rsid w:val="00596ED3"/>
    <w:rsid w:val="00596ED8"/>
    <w:rsid w:val="00596FAD"/>
    <w:rsid w:val="00596FF1"/>
    <w:rsid w:val="0059703F"/>
    <w:rsid w:val="00597045"/>
    <w:rsid w:val="00597070"/>
    <w:rsid w:val="005970DA"/>
    <w:rsid w:val="00597106"/>
    <w:rsid w:val="00597124"/>
    <w:rsid w:val="00597151"/>
    <w:rsid w:val="0059717E"/>
    <w:rsid w:val="005971B8"/>
    <w:rsid w:val="005971FD"/>
    <w:rsid w:val="00597217"/>
    <w:rsid w:val="0059723B"/>
    <w:rsid w:val="0059724F"/>
    <w:rsid w:val="00597259"/>
    <w:rsid w:val="005972BE"/>
    <w:rsid w:val="005972CF"/>
    <w:rsid w:val="0059731F"/>
    <w:rsid w:val="00597353"/>
    <w:rsid w:val="005973AD"/>
    <w:rsid w:val="005973B7"/>
    <w:rsid w:val="005973C5"/>
    <w:rsid w:val="00597473"/>
    <w:rsid w:val="00597487"/>
    <w:rsid w:val="005974AC"/>
    <w:rsid w:val="005974D1"/>
    <w:rsid w:val="00597523"/>
    <w:rsid w:val="005975DF"/>
    <w:rsid w:val="005975E2"/>
    <w:rsid w:val="0059762A"/>
    <w:rsid w:val="0059762D"/>
    <w:rsid w:val="00597635"/>
    <w:rsid w:val="00597637"/>
    <w:rsid w:val="0059765F"/>
    <w:rsid w:val="00597669"/>
    <w:rsid w:val="0059767F"/>
    <w:rsid w:val="0059769E"/>
    <w:rsid w:val="005976AB"/>
    <w:rsid w:val="005976BD"/>
    <w:rsid w:val="00597724"/>
    <w:rsid w:val="00597781"/>
    <w:rsid w:val="0059782B"/>
    <w:rsid w:val="0059784E"/>
    <w:rsid w:val="00597877"/>
    <w:rsid w:val="00597884"/>
    <w:rsid w:val="0059794F"/>
    <w:rsid w:val="00597968"/>
    <w:rsid w:val="00597995"/>
    <w:rsid w:val="005979F2"/>
    <w:rsid w:val="00597A0F"/>
    <w:rsid w:val="00597A2C"/>
    <w:rsid w:val="00597B8D"/>
    <w:rsid w:val="00597BC6"/>
    <w:rsid w:val="00597BF3"/>
    <w:rsid w:val="00597C11"/>
    <w:rsid w:val="00597C7C"/>
    <w:rsid w:val="00597C86"/>
    <w:rsid w:val="00597C8B"/>
    <w:rsid w:val="00597CA3"/>
    <w:rsid w:val="00597CC5"/>
    <w:rsid w:val="00597CDE"/>
    <w:rsid w:val="00597D35"/>
    <w:rsid w:val="00597D6F"/>
    <w:rsid w:val="00597D98"/>
    <w:rsid w:val="00597E16"/>
    <w:rsid w:val="00597EAF"/>
    <w:rsid w:val="00597F0B"/>
    <w:rsid w:val="00597F21"/>
    <w:rsid w:val="00597F61"/>
    <w:rsid w:val="00597F6E"/>
    <w:rsid w:val="00597F9D"/>
    <w:rsid w:val="00597FC1"/>
    <w:rsid w:val="00597FDD"/>
    <w:rsid w:val="005A000E"/>
    <w:rsid w:val="005A005C"/>
    <w:rsid w:val="005A0084"/>
    <w:rsid w:val="005A0097"/>
    <w:rsid w:val="005A00F3"/>
    <w:rsid w:val="005A011B"/>
    <w:rsid w:val="005A012D"/>
    <w:rsid w:val="005A01C8"/>
    <w:rsid w:val="005A0271"/>
    <w:rsid w:val="005A02AF"/>
    <w:rsid w:val="005A0350"/>
    <w:rsid w:val="005A0376"/>
    <w:rsid w:val="005A03D2"/>
    <w:rsid w:val="005A03F4"/>
    <w:rsid w:val="005A0408"/>
    <w:rsid w:val="005A040C"/>
    <w:rsid w:val="005A0423"/>
    <w:rsid w:val="005A0489"/>
    <w:rsid w:val="005A04B6"/>
    <w:rsid w:val="005A04D9"/>
    <w:rsid w:val="005A055F"/>
    <w:rsid w:val="005A05A6"/>
    <w:rsid w:val="005A05A8"/>
    <w:rsid w:val="005A05FD"/>
    <w:rsid w:val="005A0600"/>
    <w:rsid w:val="005A060E"/>
    <w:rsid w:val="005A063D"/>
    <w:rsid w:val="005A0646"/>
    <w:rsid w:val="005A069A"/>
    <w:rsid w:val="005A06CF"/>
    <w:rsid w:val="005A06D0"/>
    <w:rsid w:val="005A06EB"/>
    <w:rsid w:val="005A06FE"/>
    <w:rsid w:val="005A0700"/>
    <w:rsid w:val="005A0732"/>
    <w:rsid w:val="005A073C"/>
    <w:rsid w:val="005A07BB"/>
    <w:rsid w:val="005A07EB"/>
    <w:rsid w:val="005A0812"/>
    <w:rsid w:val="005A0824"/>
    <w:rsid w:val="005A0830"/>
    <w:rsid w:val="005A087E"/>
    <w:rsid w:val="005A0887"/>
    <w:rsid w:val="005A08BD"/>
    <w:rsid w:val="005A0911"/>
    <w:rsid w:val="005A0915"/>
    <w:rsid w:val="005A0922"/>
    <w:rsid w:val="005A0930"/>
    <w:rsid w:val="005A0932"/>
    <w:rsid w:val="005A0964"/>
    <w:rsid w:val="005A097E"/>
    <w:rsid w:val="005A09BE"/>
    <w:rsid w:val="005A09EF"/>
    <w:rsid w:val="005A0A05"/>
    <w:rsid w:val="005A0A1A"/>
    <w:rsid w:val="005A0A1B"/>
    <w:rsid w:val="005A0A20"/>
    <w:rsid w:val="005A0A2F"/>
    <w:rsid w:val="005A0A39"/>
    <w:rsid w:val="005A0A8D"/>
    <w:rsid w:val="005A0A9D"/>
    <w:rsid w:val="005A0B04"/>
    <w:rsid w:val="005A0B26"/>
    <w:rsid w:val="005A0BBB"/>
    <w:rsid w:val="005A0C96"/>
    <w:rsid w:val="005A0C9A"/>
    <w:rsid w:val="005A0CA5"/>
    <w:rsid w:val="005A0CCD"/>
    <w:rsid w:val="005A0CE1"/>
    <w:rsid w:val="005A0CE2"/>
    <w:rsid w:val="005A0D00"/>
    <w:rsid w:val="005A0D02"/>
    <w:rsid w:val="005A0D04"/>
    <w:rsid w:val="005A0D5A"/>
    <w:rsid w:val="005A0DAF"/>
    <w:rsid w:val="005A0E08"/>
    <w:rsid w:val="005A0E8D"/>
    <w:rsid w:val="005A0E9C"/>
    <w:rsid w:val="005A0EA3"/>
    <w:rsid w:val="005A0EEC"/>
    <w:rsid w:val="005A0F20"/>
    <w:rsid w:val="005A0F3D"/>
    <w:rsid w:val="005A0F57"/>
    <w:rsid w:val="005A0F6B"/>
    <w:rsid w:val="005A0FA2"/>
    <w:rsid w:val="005A0FAC"/>
    <w:rsid w:val="005A1049"/>
    <w:rsid w:val="005A106B"/>
    <w:rsid w:val="005A113B"/>
    <w:rsid w:val="005A11D8"/>
    <w:rsid w:val="005A122B"/>
    <w:rsid w:val="005A1270"/>
    <w:rsid w:val="005A1272"/>
    <w:rsid w:val="005A1276"/>
    <w:rsid w:val="005A12F7"/>
    <w:rsid w:val="005A136A"/>
    <w:rsid w:val="005A1372"/>
    <w:rsid w:val="005A137E"/>
    <w:rsid w:val="005A1389"/>
    <w:rsid w:val="005A13A0"/>
    <w:rsid w:val="005A13C2"/>
    <w:rsid w:val="005A13CA"/>
    <w:rsid w:val="005A13E3"/>
    <w:rsid w:val="005A1465"/>
    <w:rsid w:val="005A154C"/>
    <w:rsid w:val="005A1614"/>
    <w:rsid w:val="005A174B"/>
    <w:rsid w:val="005A174C"/>
    <w:rsid w:val="005A1753"/>
    <w:rsid w:val="005A17D9"/>
    <w:rsid w:val="005A17F0"/>
    <w:rsid w:val="005A1801"/>
    <w:rsid w:val="005A186A"/>
    <w:rsid w:val="005A189E"/>
    <w:rsid w:val="005A18CE"/>
    <w:rsid w:val="005A18DC"/>
    <w:rsid w:val="005A191A"/>
    <w:rsid w:val="005A1931"/>
    <w:rsid w:val="005A1952"/>
    <w:rsid w:val="005A19D3"/>
    <w:rsid w:val="005A1A21"/>
    <w:rsid w:val="005A1A37"/>
    <w:rsid w:val="005A1A49"/>
    <w:rsid w:val="005A1ACF"/>
    <w:rsid w:val="005A1B27"/>
    <w:rsid w:val="005A1B92"/>
    <w:rsid w:val="005A1B94"/>
    <w:rsid w:val="005A1B9A"/>
    <w:rsid w:val="005A1C7D"/>
    <w:rsid w:val="005A1CAC"/>
    <w:rsid w:val="005A1CC9"/>
    <w:rsid w:val="005A1CFF"/>
    <w:rsid w:val="005A1D1B"/>
    <w:rsid w:val="005A1D48"/>
    <w:rsid w:val="005A1D73"/>
    <w:rsid w:val="005A1DE0"/>
    <w:rsid w:val="005A1E2A"/>
    <w:rsid w:val="005A1E4B"/>
    <w:rsid w:val="005A1E77"/>
    <w:rsid w:val="005A1EC9"/>
    <w:rsid w:val="005A1EE7"/>
    <w:rsid w:val="005A1F54"/>
    <w:rsid w:val="005A1F91"/>
    <w:rsid w:val="005A1FD0"/>
    <w:rsid w:val="005A2011"/>
    <w:rsid w:val="005A201E"/>
    <w:rsid w:val="005A203E"/>
    <w:rsid w:val="005A206E"/>
    <w:rsid w:val="005A206F"/>
    <w:rsid w:val="005A2085"/>
    <w:rsid w:val="005A2125"/>
    <w:rsid w:val="005A2129"/>
    <w:rsid w:val="005A2141"/>
    <w:rsid w:val="005A2163"/>
    <w:rsid w:val="005A21BA"/>
    <w:rsid w:val="005A2227"/>
    <w:rsid w:val="005A2251"/>
    <w:rsid w:val="005A227A"/>
    <w:rsid w:val="005A22B2"/>
    <w:rsid w:val="005A22E6"/>
    <w:rsid w:val="005A22F4"/>
    <w:rsid w:val="005A243F"/>
    <w:rsid w:val="005A2486"/>
    <w:rsid w:val="005A24B8"/>
    <w:rsid w:val="005A24DC"/>
    <w:rsid w:val="005A24F5"/>
    <w:rsid w:val="005A2512"/>
    <w:rsid w:val="005A252A"/>
    <w:rsid w:val="005A256A"/>
    <w:rsid w:val="005A25D9"/>
    <w:rsid w:val="005A25E1"/>
    <w:rsid w:val="005A25E5"/>
    <w:rsid w:val="005A25E6"/>
    <w:rsid w:val="005A260F"/>
    <w:rsid w:val="005A2618"/>
    <w:rsid w:val="005A2623"/>
    <w:rsid w:val="005A2631"/>
    <w:rsid w:val="005A2635"/>
    <w:rsid w:val="005A266A"/>
    <w:rsid w:val="005A26D8"/>
    <w:rsid w:val="005A274E"/>
    <w:rsid w:val="005A276B"/>
    <w:rsid w:val="005A278F"/>
    <w:rsid w:val="005A27A2"/>
    <w:rsid w:val="005A2804"/>
    <w:rsid w:val="005A280A"/>
    <w:rsid w:val="005A2817"/>
    <w:rsid w:val="005A281D"/>
    <w:rsid w:val="005A2886"/>
    <w:rsid w:val="005A28A6"/>
    <w:rsid w:val="005A28B2"/>
    <w:rsid w:val="005A28B7"/>
    <w:rsid w:val="005A28CC"/>
    <w:rsid w:val="005A28F6"/>
    <w:rsid w:val="005A2905"/>
    <w:rsid w:val="005A292D"/>
    <w:rsid w:val="005A293E"/>
    <w:rsid w:val="005A295D"/>
    <w:rsid w:val="005A2967"/>
    <w:rsid w:val="005A29E7"/>
    <w:rsid w:val="005A2A1A"/>
    <w:rsid w:val="005A2A2B"/>
    <w:rsid w:val="005A2A30"/>
    <w:rsid w:val="005A2A5A"/>
    <w:rsid w:val="005A2A83"/>
    <w:rsid w:val="005A2AE1"/>
    <w:rsid w:val="005A2B37"/>
    <w:rsid w:val="005A2B94"/>
    <w:rsid w:val="005A2B9E"/>
    <w:rsid w:val="005A2BC3"/>
    <w:rsid w:val="005A2BCD"/>
    <w:rsid w:val="005A2BE2"/>
    <w:rsid w:val="005A2C8A"/>
    <w:rsid w:val="005A2C9D"/>
    <w:rsid w:val="005A2CBA"/>
    <w:rsid w:val="005A2CEF"/>
    <w:rsid w:val="005A2D91"/>
    <w:rsid w:val="005A2E1F"/>
    <w:rsid w:val="005A2E6C"/>
    <w:rsid w:val="005A2E75"/>
    <w:rsid w:val="005A2EF2"/>
    <w:rsid w:val="005A2F06"/>
    <w:rsid w:val="005A2F1C"/>
    <w:rsid w:val="005A2F3B"/>
    <w:rsid w:val="005A2F71"/>
    <w:rsid w:val="005A2FEA"/>
    <w:rsid w:val="005A3002"/>
    <w:rsid w:val="005A3010"/>
    <w:rsid w:val="005A3017"/>
    <w:rsid w:val="005A3055"/>
    <w:rsid w:val="005A30AF"/>
    <w:rsid w:val="005A30E7"/>
    <w:rsid w:val="005A316A"/>
    <w:rsid w:val="005A31A0"/>
    <w:rsid w:val="005A31C7"/>
    <w:rsid w:val="005A31DF"/>
    <w:rsid w:val="005A3216"/>
    <w:rsid w:val="005A3218"/>
    <w:rsid w:val="005A3241"/>
    <w:rsid w:val="005A325E"/>
    <w:rsid w:val="005A32E9"/>
    <w:rsid w:val="005A33D3"/>
    <w:rsid w:val="005A33E9"/>
    <w:rsid w:val="005A3401"/>
    <w:rsid w:val="005A340B"/>
    <w:rsid w:val="005A3431"/>
    <w:rsid w:val="005A347F"/>
    <w:rsid w:val="005A3495"/>
    <w:rsid w:val="005A34D1"/>
    <w:rsid w:val="005A3508"/>
    <w:rsid w:val="005A350E"/>
    <w:rsid w:val="005A3579"/>
    <w:rsid w:val="005A35B0"/>
    <w:rsid w:val="005A3640"/>
    <w:rsid w:val="005A3660"/>
    <w:rsid w:val="005A369C"/>
    <w:rsid w:val="005A36F9"/>
    <w:rsid w:val="005A370C"/>
    <w:rsid w:val="005A3817"/>
    <w:rsid w:val="005A38A9"/>
    <w:rsid w:val="005A38FA"/>
    <w:rsid w:val="005A3935"/>
    <w:rsid w:val="005A3943"/>
    <w:rsid w:val="005A3968"/>
    <w:rsid w:val="005A3992"/>
    <w:rsid w:val="005A39E1"/>
    <w:rsid w:val="005A3A60"/>
    <w:rsid w:val="005A3A63"/>
    <w:rsid w:val="005A3A7E"/>
    <w:rsid w:val="005A3AE0"/>
    <w:rsid w:val="005A3B35"/>
    <w:rsid w:val="005A3B9F"/>
    <w:rsid w:val="005A3BB3"/>
    <w:rsid w:val="005A3BE6"/>
    <w:rsid w:val="005A3C66"/>
    <w:rsid w:val="005A3C7B"/>
    <w:rsid w:val="005A3C7F"/>
    <w:rsid w:val="005A3CAA"/>
    <w:rsid w:val="005A3CB0"/>
    <w:rsid w:val="005A3CFB"/>
    <w:rsid w:val="005A3D11"/>
    <w:rsid w:val="005A3D4E"/>
    <w:rsid w:val="005A3D92"/>
    <w:rsid w:val="005A3D99"/>
    <w:rsid w:val="005A3D9B"/>
    <w:rsid w:val="005A3D9E"/>
    <w:rsid w:val="005A3DC4"/>
    <w:rsid w:val="005A3E47"/>
    <w:rsid w:val="005A3E7D"/>
    <w:rsid w:val="005A3EA7"/>
    <w:rsid w:val="005A3EAB"/>
    <w:rsid w:val="005A3EED"/>
    <w:rsid w:val="005A3F40"/>
    <w:rsid w:val="005A3F6B"/>
    <w:rsid w:val="005A3FD0"/>
    <w:rsid w:val="005A3FD6"/>
    <w:rsid w:val="005A4038"/>
    <w:rsid w:val="005A405B"/>
    <w:rsid w:val="005A405F"/>
    <w:rsid w:val="005A40BB"/>
    <w:rsid w:val="005A4117"/>
    <w:rsid w:val="005A41D0"/>
    <w:rsid w:val="005A41ED"/>
    <w:rsid w:val="005A4205"/>
    <w:rsid w:val="005A4234"/>
    <w:rsid w:val="005A4270"/>
    <w:rsid w:val="005A42C6"/>
    <w:rsid w:val="005A42FC"/>
    <w:rsid w:val="005A4336"/>
    <w:rsid w:val="005A4346"/>
    <w:rsid w:val="005A43A2"/>
    <w:rsid w:val="005A43ED"/>
    <w:rsid w:val="005A443A"/>
    <w:rsid w:val="005A444B"/>
    <w:rsid w:val="005A44F4"/>
    <w:rsid w:val="005A458B"/>
    <w:rsid w:val="005A4597"/>
    <w:rsid w:val="005A45A9"/>
    <w:rsid w:val="005A463B"/>
    <w:rsid w:val="005A4689"/>
    <w:rsid w:val="005A46B8"/>
    <w:rsid w:val="005A46E3"/>
    <w:rsid w:val="005A46EF"/>
    <w:rsid w:val="005A4721"/>
    <w:rsid w:val="005A47AF"/>
    <w:rsid w:val="005A47B5"/>
    <w:rsid w:val="005A47E1"/>
    <w:rsid w:val="005A47EF"/>
    <w:rsid w:val="005A4835"/>
    <w:rsid w:val="005A4852"/>
    <w:rsid w:val="005A4860"/>
    <w:rsid w:val="005A4918"/>
    <w:rsid w:val="005A492E"/>
    <w:rsid w:val="005A4950"/>
    <w:rsid w:val="005A496D"/>
    <w:rsid w:val="005A4989"/>
    <w:rsid w:val="005A499A"/>
    <w:rsid w:val="005A49BB"/>
    <w:rsid w:val="005A49C3"/>
    <w:rsid w:val="005A49D3"/>
    <w:rsid w:val="005A49FC"/>
    <w:rsid w:val="005A4A10"/>
    <w:rsid w:val="005A4A11"/>
    <w:rsid w:val="005A4A14"/>
    <w:rsid w:val="005A4A6A"/>
    <w:rsid w:val="005A4A7D"/>
    <w:rsid w:val="005A4A9C"/>
    <w:rsid w:val="005A4AB9"/>
    <w:rsid w:val="005A4ABC"/>
    <w:rsid w:val="005A4B27"/>
    <w:rsid w:val="005A4B80"/>
    <w:rsid w:val="005A4B81"/>
    <w:rsid w:val="005A4B8B"/>
    <w:rsid w:val="005A4BC9"/>
    <w:rsid w:val="005A4BED"/>
    <w:rsid w:val="005A4C09"/>
    <w:rsid w:val="005A4C1D"/>
    <w:rsid w:val="005A4C3E"/>
    <w:rsid w:val="005A4C67"/>
    <w:rsid w:val="005A4C6A"/>
    <w:rsid w:val="005A4CCF"/>
    <w:rsid w:val="005A4CF3"/>
    <w:rsid w:val="005A4D13"/>
    <w:rsid w:val="005A4D1F"/>
    <w:rsid w:val="005A4D36"/>
    <w:rsid w:val="005A4D9D"/>
    <w:rsid w:val="005A4E3C"/>
    <w:rsid w:val="005A4E74"/>
    <w:rsid w:val="005A4E9E"/>
    <w:rsid w:val="005A4EC8"/>
    <w:rsid w:val="005A4EDD"/>
    <w:rsid w:val="005A4F1F"/>
    <w:rsid w:val="005A4F69"/>
    <w:rsid w:val="005A4F75"/>
    <w:rsid w:val="005A4FCA"/>
    <w:rsid w:val="005A5012"/>
    <w:rsid w:val="005A5026"/>
    <w:rsid w:val="005A50B4"/>
    <w:rsid w:val="005A50E6"/>
    <w:rsid w:val="005A513E"/>
    <w:rsid w:val="005A514C"/>
    <w:rsid w:val="005A5150"/>
    <w:rsid w:val="005A5204"/>
    <w:rsid w:val="005A5207"/>
    <w:rsid w:val="005A521D"/>
    <w:rsid w:val="005A522C"/>
    <w:rsid w:val="005A52F3"/>
    <w:rsid w:val="005A5376"/>
    <w:rsid w:val="005A5382"/>
    <w:rsid w:val="005A53AE"/>
    <w:rsid w:val="005A53CF"/>
    <w:rsid w:val="005A53FB"/>
    <w:rsid w:val="005A53FC"/>
    <w:rsid w:val="005A544F"/>
    <w:rsid w:val="005A5476"/>
    <w:rsid w:val="005A54D8"/>
    <w:rsid w:val="005A5576"/>
    <w:rsid w:val="005A55AB"/>
    <w:rsid w:val="005A55EA"/>
    <w:rsid w:val="005A55EC"/>
    <w:rsid w:val="005A5609"/>
    <w:rsid w:val="005A564B"/>
    <w:rsid w:val="005A56C9"/>
    <w:rsid w:val="005A56D1"/>
    <w:rsid w:val="005A5717"/>
    <w:rsid w:val="005A5752"/>
    <w:rsid w:val="005A5767"/>
    <w:rsid w:val="005A5793"/>
    <w:rsid w:val="005A57BE"/>
    <w:rsid w:val="005A57C3"/>
    <w:rsid w:val="005A5804"/>
    <w:rsid w:val="005A584F"/>
    <w:rsid w:val="005A589E"/>
    <w:rsid w:val="005A58B3"/>
    <w:rsid w:val="005A58CA"/>
    <w:rsid w:val="005A58E1"/>
    <w:rsid w:val="005A58EA"/>
    <w:rsid w:val="005A5903"/>
    <w:rsid w:val="005A5906"/>
    <w:rsid w:val="005A5926"/>
    <w:rsid w:val="005A5982"/>
    <w:rsid w:val="005A59D1"/>
    <w:rsid w:val="005A59F2"/>
    <w:rsid w:val="005A5A67"/>
    <w:rsid w:val="005A5A7A"/>
    <w:rsid w:val="005A5AC7"/>
    <w:rsid w:val="005A5B00"/>
    <w:rsid w:val="005A5B1A"/>
    <w:rsid w:val="005A5B6B"/>
    <w:rsid w:val="005A5B7C"/>
    <w:rsid w:val="005A5BA8"/>
    <w:rsid w:val="005A5BD0"/>
    <w:rsid w:val="005A5C00"/>
    <w:rsid w:val="005A5C22"/>
    <w:rsid w:val="005A5D8F"/>
    <w:rsid w:val="005A5E5F"/>
    <w:rsid w:val="005A5E67"/>
    <w:rsid w:val="005A5E7D"/>
    <w:rsid w:val="005A5EF2"/>
    <w:rsid w:val="005A5F26"/>
    <w:rsid w:val="005A5F2B"/>
    <w:rsid w:val="005A601F"/>
    <w:rsid w:val="005A6030"/>
    <w:rsid w:val="005A604C"/>
    <w:rsid w:val="005A6060"/>
    <w:rsid w:val="005A6065"/>
    <w:rsid w:val="005A6070"/>
    <w:rsid w:val="005A607A"/>
    <w:rsid w:val="005A6103"/>
    <w:rsid w:val="005A6125"/>
    <w:rsid w:val="005A612A"/>
    <w:rsid w:val="005A612D"/>
    <w:rsid w:val="005A6133"/>
    <w:rsid w:val="005A61BD"/>
    <w:rsid w:val="005A61DE"/>
    <w:rsid w:val="005A6220"/>
    <w:rsid w:val="005A6270"/>
    <w:rsid w:val="005A62FB"/>
    <w:rsid w:val="005A636F"/>
    <w:rsid w:val="005A63AD"/>
    <w:rsid w:val="005A63D1"/>
    <w:rsid w:val="005A6453"/>
    <w:rsid w:val="005A64B5"/>
    <w:rsid w:val="005A64CD"/>
    <w:rsid w:val="005A659A"/>
    <w:rsid w:val="005A663E"/>
    <w:rsid w:val="005A6660"/>
    <w:rsid w:val="005A6682"/>
    <w:rsid w:val="005A6686"/>
    <w:rsid w:val="005A66F7"/>
    <w:rsid w:val="005A6705"/>
    <w:rsid w:val="005A67D7"/>
    <w:rsid w:val="005A67DB"/>
    <w:rsid w:val="005A67F6"/>
    <w:rsid w:val="005A6805"/>
    <w:rsid w:val="005A6847"/>
    <w:rsid w:val="005A684F"/>
    <w:rsid w:val="005A68A7"/>
    <w:rsid w:val="005A68BD"/>
    <w:rsid w:val="005A68C9"/>
    <w:rsid w:val="005A68F2"/>
    <w:rsid w:val="005A6931"/>
    <w:rsid w:val="005A6936"/>
    <w:rsid w:val="005A6999"/>
    <w:rsid w:val="005A69AC"/>
    <w:rsid w:val="005A69D6"/>
    <w:rsid w:val="005A6A16"/>
    <w:rsid w:val="005A6A26"/>
    <w:rsid w:val="005A6A41"/>
    <w:rsid w:val="005A6A4F"/>
    <w:rsid w:val="005A6A57"/>
    <w:rsid w:val="005A6A8B"/>
    <w:rsid w:val="005A6AF4"/>
    <w:rsid w:val="005A6BB1"/>
    <w:rsid w:val="005A6C16"/>
    <w:rsid w:val="005A6C2A"/>
    <w:rsid w:val="005A6C3B"/>
    <w:rsid w:val="005A6C45"/>
    <w:rsid w:val="005A6C67"/>
    <w:rsid w:val="005A6C77"/>
    <w:rsid w:val="005A6CCE"/>
    <w:rsid w:val="005A6D23"/>
    <w:rsid w:val="005A6D84"/>
    <w:rsid w:val="005A6E1C"/>
    <w:rsid w:val="005A6E62"/>
    <w:rsid w:val="005A6E72"/>
    <w:rsid w:val="005A6E83"/>
    <w:rsid w:val="005A6EED"/>
    <w:rsid w:val="005A6F15"/>
    <w:rsid w:val="005A6F46"/>
    <w:rsid w:val="005A6F47"/>
    <w:rsid w:val="005A6F67"/>
    <w:rsid w:val="005A6F99"/>
    <w:rsid w:val="005A6FA3"/>
    <w:rsid w:val="005A6FAB"/>
    <w:rsid w:val="005A7031"/>
    <w:rsid w:val="005A7043"/>
    <w:rsid w:val="005A7079"/>
    <w:rsid w:val="005A7081"/>
    <w:rsid w:val="005A70A7"/>
    <w:rsid w:val="005A70AF"/>
    <w:rsid w:val="005A70BD"/>
    <w:rsid w:val="005A70BF"/>
    <w:rsid w:val="005A70D6"/>
    <w:rsid w:val="005A713A"/>
    <w:rsid w:val="005A7148"/>
    <w:rsid w:val="005A7171"/>
    <w:rsid w:val="005A718F"/>
    <w:rsid w:val="005A71B2"/>
    <w:rsid w:val="005A71C6"/>
    <w:rsid w:val="005A71E3"/>
    <w:rsid w:val="005A7236"/>
    <w:rsid w:val="005A725C"/>
    <w:rsid w:val="005A727F"/>
    <w:rsid w:val="005A7294"/>
    <w:rsid w:val="005A7295"/>
    <w:rsid w:val="005A72A5"/>
    <w:rsid w:val="005A731D"/>
    <w:rsid w:val="005A7397"/>
    <w:rsid w:val="005A741C"/>
    <w:rsid w:val="005A7441"/>
    <w:rsid w:val="005A7447"/>
    <w:rsid w:val="005A74FC"/>
    <w:rsid w:val="005A7519"/>
    <w:rsid w:val="005A75D6"/>
    <w:rsid w:val="005A75EC"/>
    <w:rsid w:val="005A7611"/>
    <w:rsid w:val="005A7636"/>
    <w:rsid w:val="005A76AF"/>
    <w:rsid w:val="005A76BF"/>
    <w:rsid w:val="005A7750"/>
    <w:rsid w:val="005A77A0"/>
    <w:rsid w:val="005A77F4"/>
    <w:rsid w:val="005A780E"/>
    <w:rsid w:val="005A7833"/>
    <w:rsid w:val="005A7835"/>
    <w:rsid w:val="005A7861"/>
    <w:rsid w:val="005A7924"/>
    <w:rsid w:val="005A794E"/>
    <w:rsid w:val="005A796C"/>
    <w:rsid w:val="005A7996"/>
    <w:rsid w:val="005A7A87"/>
    <w:rsid w:val="005A7ADF"/>
    <w:rsid w:val="005A7B50"/>
    <w:rsid w:val="005A7BA7"/>
    <w:rsid w:val="005A7BCF"/>
    <w:rsid w:val="005A7BF9"/>
    <w:rsid w:val="005A7C2E"/>
    <w:rsid w:val="005A7C9D"/>
    <w:rsid w:val="005A7D91"/>
    <w:rsid w:val="005A7DD1"/>
    <w:rsid w:val="005A7DFE"/>
    <w:rsid w:val="005A7E2E"/>
    <w:rsid w:val="005A7E78"/>
    <w:rsid w:val="005A7E99"/>
    <w:rsid w:val="005A7EB4"/>
    <w:rsid w:val="005A7F14"/>
    <w:rsid w:val="005A7F75"/>
    <w:rsid w:val="005B002F"/>
    <w:rsid w:val="005B0080"/>
    <w:rsid w:val="005B0128"/>
    <w:rsid w:val="005B014F"/>
    <w:rsid w:val="005B01AA"/>
    <w:rsid w:val="005B0201"/>
    <w:rsid w:val="005B0245"/>
    <w:rsid w:val="005B027F"/>
    <w:rsid w:val="005B02A2"/>
    <w:rsid w:val="005B02B9"/>
    <w:rsid w:val="005B02E7"/>
    <w:rsid w:val="005B0301"/>
    <w:rsid w:val="005B0356"/>
    <w:rsid w:val="005B03E9"/>
    <w:rsid w:val="005B0435"/>
    <w:rsid w:val="005B0476"/>
    <w:rsid w:val="005B049B"/>
    <w:rsid w:val="005B04CF"/>
    <w:rsid w:val="005B04E6"/>
    <w:rsid w:val="005B04ED"/>
    <w:rsid w:val="005B053B"/>
    <w:rsid w:val="005B056F"/>
    <w:rsid w:val="005B0571"/>
    <w:rsid w:val="005B057C"/>
    <w:rsid w:val="005B0587"/>
    <w:rsid w:val="005B0616"/>
    <w:rsid w:val="005B062C"/>
    <w:rsid w:val="005B0639"/>
    <w:rsid w:val="005B0658"/>
    <w:rsid w:val="005B066C"/>
    <w:rsid w:val="005B0690"/>
    <w:rsid w:val="005B06B2"/>
    <w:rsid w:val="005B06E1"/>
    <w:rsid w:val="005B06FE"/>
    <w:rsid w:val="005B0705"/>
    <w:rsid w:val="005B0791"/>
    <w:rsid w:val="005B07BF"/>
    <w:rsid w:val="005B07D4"/>
    <w:rsid w:val="005B07F3"/>
    <w:rsid w:val="005B0807"/>
    <w:rsid w:val="005B0824"/>
    <w:rsid w:val="005B0842"/>
    <w:rsid w:val="005B085F"/>
    <w:rsid w:val="005B0870"/>
    <w:rsid w:val="005B0871"/>
    <w:rsid w:val="005B0890"/>
    <w:rsid w:val="005B08CF"/>
    <w:rsid w:val="005B0945"/>
    <w:rsid w:val="005B095A"/>
    <w:rsid w:val="005B0965"/>
    <w:rsid w:val="005B097B"/>
    <w:rsid w:val="005B09A3"/>
    <w:rsid w:val="005B09C1"/>
    <w:rsid w:val="005B0A2E"/>
    <w:rsid w:val="005B0A6E"/>
    <w:rsid w:val="005B0A91"/>
    <w:rsid w:val="005B0ADB"/>
    <w:rsid w:val="005B0B56"/>
    <w:rsid w:val="005B0B7E"/>
    <w:rsid w:val="005B0B81"/>
    <w:rsid w:val="005B0B93"/>
    <w:rsid w:val="005B0BC7"/>
    <w:rsid w:val="005B0BD0"/>
    <w:rsid w:val="005B0C08"/>
    <w:rsid w:val="005B0C2C"/>
    <w:rsid w:val="005B0C3C"/>
    <w:rsid w:val="005B0C66"/>
    <w:rsid w:val="005B0C84"/>
    <w:rsid w:val="005B0CBB"/>
    <w:rsid w:val="005B0D3B"/>
    <w:rsid w:val="005B0D50"/>
    <w:rsid w:val="005B0D82"/>
    <w:rsid w:val="005B0D8D"/>
    <w:rsid w:val="005B0D9D"/>
    <w:rsid w:val="005B0DCA"/>
    <w:rsid w:val="005B0DF2"/>
    <w:rsid w:val="005B0DFE"/>
    <w:rsid w:val="005B0E7A"/>
    <w:rsid w:val="005B0ED7"/>
    <w:rsid w:val="005B0EF4"/>
    <w:rsid w:val="005B0F00"/>
    <w:rsid w:val="005B0F8C"/>
    <w:rsid w:val="005B0FE5"/>
    <w:rsid w:val="005B0FEE"/>
    <w:rsid w:val="005B1006"/>
    <w:rsid w:val="005B1057"/>
    <w:rsid w:val="005B10A7"/>
    <w:rsid w:val="005B10ED"/>
    <w:rsid w:val="005B10F7"/>
    <w:rsid w:val="005B1105"/>
    <w:rsid w:val="005B1107"/>
    <w:rsid w:val="005B1108"/>
    <w:rsid w:val="005B1117"/>
    <w:rsid w:val="005B114E"/>
    <w:rsid w:val="005B1176"/>
    <w:rsid w:val="005B121C"/>
    <w:rsid w:val="005B12A4"/>
    <w:rsid w:val="005B12CB"/>
    <w:rsid w:val="005B12D9"/>
    <w:rsid w:val="005B1358"/>
    <w:rsid w:val="005B137C"/>
    <w:rsid w:val="005B13C8"/>
    <w:rsid w:val="005B1463"/>
    <w:rsid w:val="005B1485"/>
    <w:rsid w:val="005B14A5"/>
    <w:rsid w:val="005B14C7"/>
    <w:rsid w:val="005B14DB"/>
    <w:rsid w:val="005B151A"/>
    <w:rsid w:val="005B1547"/>
    <w:rsid w:val="005B1591"/>
    <w:rsid w:val="005B164E"/>
    <w:rsid w:val="005B16F5"/>
    <w:rsid w:val="005B17D6"/>
    <w:rsid w:val="005B1801"/>
    <w:rsid w:val="005B182E"/>
    <w:rsid w:val="005B1872"/>
    <w:rsid w:val="005B18ED"/>
    <w:rsid w:val="005B18F0"/>
    <w:rsid w:val="005B1929"/>
    <w:rsid w:val="005B192C"/>
    <w:rsid w:val="005B194B"/>
    <w:rsid w:val="005B1978"/>
    <w:rsid w:val="005B19F0"/>
    <w:rsid w:val="005B1A05"/>
    <w:rsid w:val="005B1A5C"/>
    <w:rsid w:val="005B1A81"/>
    <w:rsid w:val="005B1A82"/>
    <w:rsid w:val="005B1AD4"/>
    <w:rsid w:val="005B1B0A"/>
    <w:rsid w:val="005B1B29"/>
    <w:rsid w:val="005B1B5E"/>
    <w:rsid w:val="005B1B6E"/>
    <w:rsid w:val="005B1C2A"/>
    <w:rsid w:val="005B1C34"/>
    <w:rsid w:val="005B1C38"/>
    <w:rsid w:val="005B1C83"/>
    <w:rsid w:val="005B1CC4"/>
    <w:rsid w:val="005B1CE2"/>
    <w:rsid w:val="005B1D10"/>
    <w:rsid w:val="005B1D13"/>
    <w:rsid w:val="005B1D60"/>
    <w:rsid w:val="005B1D75"/>
    <w:rsid w:val="005B1D98"/>
    <w:rsid w:val="005B1DDA"/>
    <w:rsid w:val="005B1DFC"/>
    <w:rsid w:val="005B1E03"/>
    <w:rsid w:val="005B1E42"/>
    <w:rsid w:val="005B1E4F"/>
    <w:rsid w:val="005B1E5D"/>
    <w:rsid w:val="005B1E8E"/>
    <w:rsid w:val="005B1EEC"/>
    <w:rsid w:val="005B1EFB"/>
    <w:rsid w:val="005B1F42"/>
    <w:rsid w:val="005B1F65"/>
    <w:rsid w:val="005B1F7B"/>
    <w:rsid w:val="005B1F86"/>
    <w:rsid w:val="005B1FDE"/>
    <w:rsid w:val="005B2001"/>
    <w:rsid w:val="005B2026"/>
    <w:rsid w:val="005B202B"/>
    <w:rsid w:val="005B2030"/>
    <w:rsid w:val="005B206F"/>
    <w:rsid w:val="005B2079"/>
    <w:rsid w:val="005B20CB"/>
    <w:rsid w:val="005B2179"/>
    <w:rsid w:val="005B217C"/>
    <w:rsid w:val="005B221C"/>
    <w:rsid w:val="005B2239"/>
    <w:rsid w:val="005B223F"/>
    <w:rsid w:val="005B225C"/>
    <w:rsid w:val="005B2272"/>
    <w:rsid w:val="005B227A"/>
    <w:rsid w:val="005B228D"/>
    <w:rsid w:val="005B22A9"/>
    <w:rsid w:val="005B22B2"/>
    <w:rsid w:val="005B235F"/>
    <w:rsid w:val="005B2366"/>
    <w:rsid w:val="005B2382"/>
    <w:rsid w:val="005B2383"/>
    <w:rsid w:val="005B2400"/>
    <w:rsid w:val="005B2434"/>
    <w:rsid w:val="005B2445"/>
    <w:rsid w:val="005B251C"/>
    <w:rsid w:val="005B2526"/>
    <w:rsid w:val="005B2538"/>
    <w:rsid w:val="005B253D"/>
    <w:rsid w:val="005B2623"/>
    <w:rsid w:val="005B2633"/>
    <w:rsid w:val="005B266B"/>
    <w:rsid w:val="005B268A"/>
    <w:rsid w:val="005B2718"/>
    <w:rsid w:val="005B273B"/>
    <w:rsid w:val="005B273E"/>
    <w:rsid w:val="005B274B"/>
    <w:rsid w:val="005B2763"/>
    <w:rsid w:val="005B2797"/>
    <w:rsid w:val="005B27C5"/>
    <w:rsid w:val="005B27DC"/>
    <w:rsid w:val="005B280B"/>
    <w:rsid w:val="005B2824"/>
    <w:rsid w:val="005B2840"/>
    <w:rsid w:val="005B284B"/>
    <w:rsid w:val="005B288F"/>
    <w:rsid w:val="005B28D9"/>
    <w:rsid w:val="005B28F4"/>
    <w:rsid w:val="005B28FF"/>
    <w:rsid w:val="005B2911"/>
    <w:rsid w:val="005B299F"/>
    <w:rsid w:val="005B2A63"/>
    <w:rsid w:val="005B2AAF"/>
    <w:rsid w:val="005B2ACF"/>
    <w:rsid w:val="005B2AD6"/>
    <w:rsid w:val="005B2AF8"/>
    <w:rsid w:val="005B2B22"/>
    <w:rsid w:val="005B2B7D"/>
    <w:rsid w:val="005B2B93"/>
    <w:rsid w:val="005B2BB7"/>
    <w:rsid w:val="005B2C20"/>
    <w:rsid w:val="005B2C2A"/>
    <w:rsid w:val="005B2C41"/>
    <w:rsid w:val="005B2C80"/>
    <w:rsid w:val="005B2CAA"/>
    <w:rsid w:val="005B2CB3"/>
    <w:rsid w:val="005B2CD8"/>
    <w:rsid w:val="005B2D0E"/>
    <w:rsid w:val="005B2D10"/>
    <w:rsid w:val="005B2D6E"/>
    <w:rsid w:val="005B2D70"/>
    <w:rsid w:val="005B2D7C"/>
    <w:rsid w:val="005B2DBC"/>
    <w:rsid w:val="005B2DCE"/>
    <w:rsid w:val="005B2DEA"/>
    <w:rsid w:val="005B2E18"/>
    <w:rsid w:val="005B2E36"/>
    <w:rsid w:val="005B2E51"/>
    <w:rsid w:val="005B2EF2"/>
    <w:rsid w:val="005B2F10"/>
    <w:rsid w:val="005B2F51"/>
    <w:rsid w:val="005B2F5A"/>
    <w:rsid w:val="005B2F67"/>
    <w:rsid w:val="005B2F7D"/>
    <w:rsid w:val="005B2FC9"/>
    <w:rsid w:val="005B2FCE"/>
    <w:rsid w:val="005B2FD5"/>
    <w:rsid w:val="005B2FFB"/>
    <w:rsid w:val="005B3043"/>
    <w:rsid w:val="005B308A"/>
    <w:rsid w:val="005B309B"/>
    <w:rsid w:val="005B30A4"/>
    <w:rsid w:val="005B30AC"/>
    <w:rsid w:val="005B30BB"/>
    <w:rsid w:val="005B3156"/>
    <w:rsid w:val="005B316C"/>
    <w:rsid w:val="005B3208"/>
    <w:rsid w:val="005B32C3"/>
    <w:rsid w:val="005B3349"/>
    <w:rsid w:val="005B3372"/>
    <w:rsid w:val="005B33AB"/>
    <w:rsid w:val="005B33E1"/>
    <w:rsid w:val="005B33F9"/>
    <w:rsid w:val="005B343C"/>
    <w:rsid w:val="005B34A2"/>
    <w:rsid w:val="005B34B5"/>
    <w:rsid w:val="005B3537"/>
    <w:rsid w:val="005B353A"/>
    <w:rsid w:val="005B3548"/>
    <w:rsid w:val="005B3561"/>
    <w:rsid w:val="005B3562"/>
    <w:rsid w:val="005B358A"/>
    <w:rsid w:val="005B35B0"/>
    <w:rsid w:val="005B35DE"/>
    <w:rsid w:val="005B35EA"/>
    <w:rsid w:val="005B360B"/>
    <w:rsid w:val="005B36C0"/>
    <w:rsid w:val="005B36EF"/>
    <w:rsid w:val="005B36F2"/>
    <w:rsid w:val="005B3700"/>
    <w:rsid w:val="005B371C"/>
    <w:rsid w:val="005B3734"/>
    <w:rsid w:val="005B375F"/>
    <w:rsid w:val="005B3793"/>
    <w:rsid w:val="005B37B7"/>
    <w:rsid w:val="005B37CA"/>
    <w:rsid w:val="005B3812"/>
    <w:rsid w:val="005B3829"/>
    <w:rsid w:val="005B3859"/>
    <w:rsid w:val="005B3868"/>
    <w:rsid w:val="005B3899"/>
    <w:rsid w:val="005B396F"/>
    <w:rsid w:val="005B39C5"/>
    <w:rsid w:val="005B3A42"/>
    <w:rsid w:val="005B3A57"/>
    <w:rsid w:val="005B3A68"/>
    <w:rsid w:val="005B3A74"/>
    <w:rsid w:val="005B3AD3"/>
    <w:rsid w:val="005B3B51"/>
    <w:rsid w:val="005B3B9F"/>
    <w:rsid w:val="005B3BF1"/>
    <w:rsid w:val="005B3C02"/>
    <w:rsid w:val="005B3C23"/>
    <w:rsid w:val="005B3C3C"/>
    <w:rsid w:val="005B3C3E"/>
    <w:rsid w:val="005B3C5B"/>
    <w:rsid w:val="005B3C63"/>
    <w:rsid w:val="005B3C99"/>
    <w:rsid w:val="005B3CE0"/>
    <w:rsid w:val="005B3CEC"/>
    <w:rsid w:val="005B3D7F"/>
    <w:rsid w:val="005B3D8B"/>
    <w:rsid w:val="005B3D96"/>
    <w:rsid w:val="005B3DC7"/>
    <w:rsid w:val="005B3DF3"/>
    <w:rsid w:val="005B3DFF"/>
    <w:rsid w:val="005B3E06"/>
    <w:rsid w:val="005B3E3A"/>
    <w:rsid w:val="005B3E53"/>
    <w:rsid w:val="005B3E73"/>
    <w:rsid w:val="005B3E80"/>
    <w:rsid w:val="005B3E81"/>
    <w:rsid w:val="005B3EA0"/>
    <w:rsid w:val="005B3EB6"/>
    <w:rsid w:val="005B3F68"/>
    <w:rsid w:val="005B3F9A"/>
    <w:rsid w:val="005B3FB4"/>
    <w:rsid w:val="005B3FED"/>
    <w:rsid w:val="005B4096"/>
    <w:rsid w:val="005B40A9"/>
    <w:rsid w:val="005B40B5"/>
    <w:rsid w:val="005B40E4"/>
    <w:rsid w:val="005B4130"/>
    <w:rsid w:val="005B418F"/>
    <w:rsid w:val="005B41A1"/>
    <w:rsid w:val="005B41A8"/>
    <w:rsid w:val="005B4226"/>
    <w:rsid w:val="005B4234"/>
    <w:rsid w:val="005B4255"/>
    <w:rsid w:val="005B4256"/>
    <w:rsid w:val="005B4265"/>
    <w:rsid w:val="005B426F"/>
    <w:rsid w:val="005B42B4"/>
    <w:rsid w:val="005B42CF"/>
    <w:rsid w:val="005B42EC"/>
    <w:rsid w:val="005B42F9"/>
    <w:rsid w:val="005B4344"/>
    <w:rsid w:val="005B437F"/>
    <w:rsid w:val="005B43AA"/>
    <w:rsid w:val="005B43C0"/>
    <w:rsid w:val="005B4478"/>
    <w:rsid w:val="005B447B"/>
    <w:rsid w:val="005B44E0"/>
    <w:rsid w:val="005B44F0"/>
    <w:rsid w:val="005B4507"/>
    <w:rsid w:val="005B4546"/>
    <w:rsid w:val="005B45A0"/>
    <w:rsid w:val="005B45C4"/>
    <w:rsid w:val="005B4619"/>
    <w:rsid w:val="005B463C"/>
    <w:rsid w:val="005B4664"/>
    <w:rsid w:val="005B46DB"/>
    <w:rsid w:val="005B479E"/>
    <w:rsid w:val="005B47F8"/>
    <w:rsid w:val="005B4801"/>
    <w:rsid w:val="005B4814"/>
    <w:rsid w:val="005B4827"/>
    <w:rsid w:val="005B4830"/>
    <w:rsid w:val="005B4881"/>
    <w:rsid w:val="005B488F"/>
    <w:rsid w:val="005B48D0"/>
    <w:rsid w:val="005B4945"/>
    <w:rsid w:val="005B499B"/>
    <w:rsid w:val="005B49FF"/>
    <w:rsid w:val="005B4A8F"/>
    <w:rsid w:val="005B4ADA"/>
    <w:rsid w:val="005B4ADB"/>
    <w:rsid w:val="005B4B00"/>
    <w:rsid w:val="005B4B4E"/>
    <w:rsid w:val="005B4B5A"/>
    <w:rsid w:val="005B4BCC"/>
    <w:rsid w:val="005B4BE7"/>
    <w:rsid w:val="005B4C34"/>
    <w:rsid w:val="005B4C56"/>
    <w:rsid w:val="005B4C6B"/>
    <w:rsid w:val="005B4D5E"/>
    <w:rsid w:val="005B4D8C"/>
    <w:rsid w:val="005B4DB4"/>
    <w:rsid w:val="005B4DCF"/>
    <w:rsid w:val="005B4DD8"/>
    <w:rsid w:val="005B4E0E"/>
    <w:rsid w:val="005B4E5D"/>
    <w:rsid w:val="005B4E90"/>
    <w:rsid w:val="005B4F71"/>
    <w:rsid w:val="005B4F9A"/>
    <w:rsid w:val="005B4FE3"/>
    <w:rsid w:val="005B503C"/>
    <w:rsid w:val="005B5055"/>
    <w:rsid w:val="005B5083"/>
    <w:rsid w:val="005B508F"/>
    <w:rsid w:val="005B509D"/>
    <w:rsid w:val="005B50BB"/>
    <w:rsid w:val="005B50C4"/>
    <w:rsid w:val="005B50C8"/>
    <w:rsid w:val="005B50FC"/>
    <w:rsid w:val="005B5115"/>
    <w:rsid w:val="005B5116"/>
    <w:rsid w:val="005B51A5"/>
    <w:rsid w:val="005B51C2"/>
    <w:rsid w:val="005B5222"/>
    <w:rsid w:val="005B523E"/>
    <w:rsid w:val="005B526F"/>
    <w:rsid w:val="005B52DD"/>
    <w:rsid w:val="005B5303"/>
    <w:rsid w:val="005B534F"/>
    <w:rsid w:val="005B535B"/>
    <w:rsid w:val="005B539A"/>
    <w:rsid w:val="005B53A7"/>
    <w:rsid w:val="005B53A8"/>
    <w:rsid w:val="005B53C9"/>
    <w:rsid w:val="005B53D7"/>
    <w:rsid w:val="005B5443"/>
    <w:rsid w:val="005B5444"/>
    <w:rsid w:val="005B546A"/>
    <w:rsid w:val="005B54A4"/>
    <w:rsid w:val="005B550C"/>
    <w:rsid w:val="005B5567"/>
    <w:rsid w:val="005B557B"/>
    <w:rsid w:val="005B5628"/>
    <w:rsid w:val="005B5654"/>
    <w:rsid w:val="005B5672"/>
    <w:rsid w:val="005B567D"/>
    <w:rsid w:val="005B5692"/>
    <w:rsid w:val="005B56B1"/>
    <w:rsid w:val="005B5755"/>
    <w:rsid w:val="005B57CF"/>
    <w:rsid w:val="005B57DA"/>
    <w:rsid w:val="005B584B"/>
    <w:rsid w:val="005B5881"/>
    <w:rsid w:val="005B588E"/>
    <w:rsid w:val="005B58A7"/>
    <w:rsid w:val="005B58B4"/>
    <w:rsid w:val="005B58BD"/>
    <w:rsid w:val="005B5947"/>
    <w:rsid w:val="005B5965"/>
    <w:rsid w:val="005B5997"/>
    <w:rsid w:val="005B5A0B"/>
    <w:rsid w:val="005B5A1F"/>
    <w:rsid w:val="005B5A25"/>
    <w:rsid w:val="005B5A54"/>
    <w:rsid w:val="005B5AAD"/>
    <w:rsid w:val="005B5AAE"/>
    <w:rsid w:val="005B5AE2"/>
    <w:rsid w:val="005B5B0B"/>
    <w:rsid w:val="005B5B19"/>
    <w:rsid w:val="005B5B7D"/>
    <w:rsid w:val="005B5B9E"/>
    <w:rsid w:val="005B5BAD"/>
    <w:rsid w:val="005B5BCA"/>
    <w:rsid w:val="005B5C03"/>
    <w:rsid w:val="005B5C14"/>
    <w:rsid w:val="005B5C1A"/>
    <w:rsid w:val="005B5C5D"/>
    <w:rsid w:val="005B5DA5"/>
    <w:rsid w:val="005B5DC0"/>
    <w:rsid w:val="005B5DC7"/>
    <w:rsid w:val="005B5DF9"/>
    <w:rsid w:val="005B5DFC"/>
    <w:rsid w:val="005B5E03"/>
    <w:rsid w:val="005B5E69"/>
    <w:rsid w:val="005B5E93"/>
    <w:rsid w:val="005B5EAD"/>
    <w:rsid w:val="005B5EC7"/>
    <w:rsid w:val="005B5F1D"/>
    <w:rsid w:val="005B5F47"/>
    <w:rsid w:val="005B5F8B"/>
    <w:rsid w:val="005B5F90"/>
    <w:rsid w:val="005B5F9F"/>
    <w:rsid w:val="005B6004"/>
    <w:rsid w:val="005B6032"/>
    <w:rsid w:val="005B604C"/>
    <w:rsid w:val="005B60A0"/>
    <w:rsid w:val="005B60D9"/>
    <w:rsid w:val="005B611F"/>
    <w:rsid w:val="005B61F4"/>
    <w:rsid w:val="005B61FA"/>
    <w:rsid w:val="005B6245"/>
    <w:rsid w:val="005B624B"/>
    <w:rsid w:val="005B6264"/>
    <w:rsid w:val="005B6277"/>
    <w:rsid w:val="005B62B4"/>
    <w:rsid w:val="005B6310"/>
    <w:rsid w:val="005B6319"/>
    <w:rsid w:val="005B6344"/>
    <w:rsid w:val="005B637B"/>
    <w:rsid w:val="005B637D"/>
    <w:rsid w:val="005B637E"/>
    <w:rsid w:val="005B641D"/>
    <w:rsid w:val="005B646E"/>
    <w:rsid w:val="005B64B7"/>
    <w:rsid w:val="005B64CA"/>
    <w:rsid w:val="005B64E0"/>
    <w:rsid w:val="005B64FF"/>
    <w:rsid w:val="005B650C"/>
    <w:rsid w:val="005B6536"/>
    <w:rsid w:val="005B6543"/>
    <w:rsid w:val="005B6584"/>
    <w:rsid w:val="005B65D4"/>
    <w:rsid w:val="005B662C"/>
    <w:rsid w:val="005B664F"/>
    <w:rsid w:val="005B6675"/>
    <w:rsid w:val="005B6687"/>
    <w:rsid w:val="005B66E3"/>
    <w:rsid w:val="005B66E4"/>
    <w:rsid w:val="005B66E8"/>
    <w:rsid w:val="005B6701"/>
    <w:rsid w:val="005B6706"/>
    <w:rsid w:val="005B6716"/>
    <w:rsid w:val="005B6750"/>
    <w:rsid w:val="005B6759"/>
    <w:rsid w:val="005B677A"/>
    <w:rsid w:val="005B6781"/>
    <w:rsid w:val="005B678D"/>
    <w:rsid w:val="005B67B9"/>
    <w:rsid w:val="005B6820"/>
    <w:rsid w:val="005B682E"/>
    <w:rsid w:val="005B683E"/>
    <w:rsid w:val="005B6840"/>
    <w:rsid w:val="005B688E"/>
    <w:rsid w:val="005B68CF"/>
    <w:rsid w:val="005B68EE"/>
    <w:rsid w:val="005B696C"/>
    <w:rsid w:val="005B69B9"/>
    <w:rsid w:val="005B6A18"/>
    <w:rsid w:val="005B6A27"/>
    <w:rsid w:val="005B6A58"/>
    <w:rsid w:val="005B6A63"/>
    <w:rsid w:val="005B6A76"/>
    <w:rsid w:val="005B6AD9"/>
    <w:rsid w:val="005B6AF3"/>
    <w:rsid w:val="005B6B19"/>
    <w:rsid w:val="005B6B54"/>
    <w:rsid w:val="005B6BC7"/>
    <w:rsid w:val="005B6C07"/>
    <w:rsid w:val="005B6C08"/>
    <w:rsid w:val="005B6C71"/>
    <w:rsid w:val="005B6C8F"/>
    <w:rsid w:val="005B6D0E"/>
    <w:rsid w:val="005B6D12"/>
    <w:rsid w:val="005B6D32"/>
    <w:rsid w:val="005B6D3F"/>
    <w:rsid w:val="005B6D9E"/>
    <w:rsid w:val="005B6DBE"/>
    <w:rsid w:val="005B6ECC"/>
    <w:rsid w:val="005B6F4B"/>
    <w:rsid w:val="005B6F69"/>
    <w:rsid w:val="005B6F6B"/>
    <w:rsid w:val="005B6F95"/>
    <w:rsid w:val="005B700D"/>
    <w:rsid w:val="005B702F"/>
    <w:rsid w:val="005B7053"/>
    <w:rsid w:val="005B7075"/>
    <w:rsid w:val="005B7109"/>
    <w:rsid w:val="005B7117"/>
    <w:rsid w:val="005B711E"/>
    <w:rsid w:val="005B7127"/>
    <w:rsid w:val="005B712B"/>
    <w:rsid w:val="005B7199"/>
    <w:rsid w:val="005B719C"/>
    <w:rsid w:val="005B71A9"/>
    <w:rsid w:val="005B71E6"/>
    <w:rsid w:val="005B7200"/>
    <w:rsid w:val="005B7214"/>
    <w:rsid w:val="005B7239"/>
    <w:rsid w:val="005B7248"/>
    <w:rsid w:val="005B728D"/>
    <w:rsid w:val="005B7299"/>
    <w:rsid w:val="005B72AB"/>
    <w:rsid w:val="005B72BF"/>
    <w:rsid w:val="005B733A"/>
    <w:rsid w:val="005B736E"/>
    <w:rsid w:val="005B73AB"/>
    <w:rsid w:val="005B73C6"/>
    <w:rsid w:val="005B73E4"/>
    <w:rsid w:val="005B7409"/>
    <w:rsid w:val="005B74CB"/>
    <w:rsid w:val="005B7512"/>
    <w:rsid w:val="005B7530"/>
    <w:rsid w:val="005B7555"/>
    <w:rsid w:val="005B75B1"/>
    <w:rsid w:val="005B75B7"/>
    <w:rsid w:val="005B76BA"/>
    <w:rsid w:val="005B76D4"/>
    <w:rsid w:val="005B76D9"/>
    <w:rsid w:val="005B76F6"/>
    <w:rsid w:val="005B7728"/>
    <w:rsid w:val="005B7736"/>
    <w:rsid w:val="005B773C"/>
    <w:rsid w:val="005B77B9"/>
    <w:rsid w:val="005B7807"/>
    <w:rsid w:val="005B7810"/>
    <w:rsid w:val="005B783D"/>
    <w:rsid w:val="005B786D"/>
    <w:rsid w:val="005B7927"/>
    <w:rsid w:val="005B7947"/>
    <w:rsid w:val="005B795B"/>
    <w:rsid w:val="005B799D"/>
    <w:rsid w:val="005B79F7"/>
    <w:rsid w:val="005B7A69"/>
    <w:rsid w:val="005B7A98"/>
    <w:rsid w:val="005B7AA7"/>
    <w:rsid w:val="005B7AD7"/>
    <w:rsid w:val="005B7B56"/>
    <w:rsid w:val="005B7BA5"/>
    <w:rsid w:val="005B7BC2"/>
    <w:rsid w:val="005B7C04"/>
    <w:rsid w:val="005B7C3C"/>
    <w:rsid w:val="005B7CD3"/>
    <w:rsid w:val="005B7D0A"/>
    <w:rsid w:val="005B7D15"/>
    <w:rsid w:val="005B7D4B"/>
    <w:rsid w:val="005B7D4F"/>
    <w:rsid w:val="005B7D83"/>
    <w:rsid w:val="005B7D8E"/>
    <w:rsid w:val="005B7DC0"/>
    <w:rsid w:val="005B7E2C"/>
    <w:rsid w:val="005B7E46"/>
    <w:rsid w:val="005B7E56"/>
    <w:rsid w:val="005B7E72"/>
    <w:rsid w:val="005B7E96"/>
    <w:rsid w:val="005B7EA4"/>
    <w:rsid w:val="005B7EA9"/>
    <w:rsid w:val="005B7EB1"/>
    <w:rsid w:val="005B7F77"/>
    <w:rsid w:val="005B7F8F"/>
    <w:rsid w:val="005B7FA0"/>
    <w:rsid w:val="005C0028"/>
    <w:rsid w:val="005C00BB"/>
    <w:rsid w:val="005C00F4"/>
    <w:rsid w:val="005C015F"/>
    <w:rsid w:val="005C018B"/>
    <w:rsid w:val="005C01A4"/>
    <w:rsid w:val="005C01A5"/>
    <w:rsid w:val="005C01CF"/>
    <w:rsid w:val="005C01DB"/>
    <w:rsid w:val="005C01F3"/>
    <w:rsid w:val="005C022F"/>
    <w:rsid w:val="005C0247"/>
    <w:rsid w:val="005C028A"/>
    <w:rsid w:val="005C0354"/>
    <w:rsid w:val="005C035A"/>
    <w:rsid w:val="005C036B"/>
    <w:rsid w:val="005C03AA"/>
    <w:rsid w:val="005C03B0"/>
    <w:rsid w:val="005C03FC"/>
    <w:rsid w:val="005C0451"/>
    <w:rsid w:val="005C04C4"/>
    <w:rsid w:val="005C051E"/>
    <w:rsid w:val="005C054B"/>
    <w:rsid w:val="005C055C"/>
    <w:rsid w:val="005C05AB"/>
    <w:rsid w:val="005C05E1"/>
    <w:rsid w:val="005C0608"/>
    <w:rsid w:val="005C0644"/>
    <w:rsid w:val="005C067E"/>
    <w:rsid w:val="005C06AE"/>
    <w:rsid w:val="005C0714"/>
    <w:rsid w:val="005C0723"/>
    <w:rsid w:val="005C0768"/>
    <w:rsid w:val="005C0783"/>
    <w:rsid w:val="005C07DD"/>
    <w:rsid w:val="005C07E4"/>
    <w:rsid w:val="005C094B"/>
    <w:rsid w:val="005C097E"/>
    <w:rsid w:val="005C09A6"/>
    <w:rsid w:val="005C0AB8"/>
    <w:rsid w:val="005C0AC5"/>
    <w:rsid w:val="005C0B16"/>
    <w:rsid w:val="005C0B40"/>
    <w:rsid w:val="005C0B41"/>
    <w:rsid w:val="005C0B9A"/>
    <w:rsid w:val="005C0BA1"/>
    <w:rsid w:val="005C0C2A"/>
    <w:rsid w:val="005C0C4D"/>
    <w:rsid w:val="005C0CA7"/>
    <w:rsid w:val="005C0CF3"/>
    <w:rsid w:val="005C0D41"/>
    <w:rsid w:val="005C0D42"/>
    <w:rsid w:val="005C0D4D"/>
    <w:rsid w:val="005C0D9A"/>
    <w:rsid w:val="005C0DAA"/>
    <w:rsid w:val="005C0DC6"/>
    <w:rsid w:val="005C0E02"/>
    <w:rsid w:val="005C0E1C"/>
    <w:rsid w:val="005C0E82"/>
    <w:rsid w:val="005C0EA0"/>
    <w:rsid w:val="005C0EC8"/>
    <w:rsid w:val="005C0EFE"/>
    <w:rsid w:val="005C0F0C"/>
    <w:rsid w:val="005C0F1D"/>
    <w:rsid w:val="005C0F2D"/>
    <w:rsid w:val="005C0F5D"/>
    <w:rsid w:val="005C0F8F"/>
    <w:rsid w:val="005C0FE4"/>
    <w:rsid w:val="005C101B"/>
    <w:rsid w:val="005C1033"/>
    <w:rsid w:val="005C10F7"/>
    <w:rsid w:val="005C1195"/>
    <w:rsid w:val="005C11D1"/>
    <w:rsid w:val="005C1213"/>
    <w:rsid w:val="005C1215"/>
    <w:rsid w:val="005C1221"/>
    <w:rsid w:val="005C1270"/>
    <w:rsid w:val="005C1298"/>
    <w:rsid w:val="005C12C6"/>
    <w:rsid w:val="005C12E8"/>
    <w:rsid w:val="005C1344"/>
    <w:rsid w:val="005C139E"/>
    <w:rsid w:val="005C13EA"/>
    <w:rsid w:val="005C1411"/>
    <w:rsid w:val="005C142D"/>
    <w:rsid w:val="005C149C"/>
    <w:rsid w:val="005C14A7"/>
    <w:rsid w:val="005C14C9"/>
    <w:rsid w:val="005C1536"/>
    <w:rsid w:val="005C153D"/>
    <w:rsid w:val="005C15C2"/>
    <w:rsid w:val="005C15EF"/>
    <w:rsid w:val="005C160E"/>
    <w:rsid w:val="005C16A8"/>
    <w:rsid w:val="005C16BA"/>
    <w:rsid w:val="005C16E7"/>
    <w:rsid w:val="005C1701"/>
    <w:rsid w:val="005C170D"/>
    <w:rsid w:val="005C1710"/>
    <w:rsid w:val="005C1714"/>
    <w:rsid w:val="005C171A"/>
    <w:rsid w:val="005C1762"/>
    <w:rsid w:val="005C178B"/>
    <w:rsid w:val="005C17F4"/>
    <w:rsid w:val="005C17F6"/>
    <w:rsid w:val="005C1805"/>
    <w:rsid w:val="005C1811"/>
    <w:rsid w:val="005C1846"/>
    <w:rsid w:val="005C1858"/>
    <w:rsid w:val="005C189A"/>
    <w:rsid w:val="005C18B6"/>
    <w:rsid w:val="005C18C2"/>
    <w:rsid w:val="005C18CD"/>
    <w:rsid w:val="005C1918"/>
    <w:rsid w:val="005C195A"/>
    <w:rsid w:val="005C195E"/>
    <w:rsid w:val="005C19DB"/>
    <w:rsid w:val="005C1A1E"/>
    <w:rsid w:val="005C1A30"/>
    <w:rsid w:val="005C1A92"/>
    <w:rsid w:val="005C1AA3"/>
    <w:rsid w:val="005C1AC2"/>
    <w:rsid w:val="005C1B1C"/>
    <w:rsid w:val="005C1B92"/>
    <w:rsid w:val="005C1B95"/>
    <w:rsid w:val="005C1BB1"/>
    <w:rsid w:val="005C1BEC"/>
    <w:rsid w:val="005C1BF5"/>
    <w:rsid w:val="005C1C3D"/>
    <w:rsid w:val="005C1C53"/>
    <w:rsid w:val="005C1CA8"/>
    <w:rsid w:val="005C1CB1"/>
    <w:rsid w:val="005C1CC6"/>
    <w:rsid w:val="005C1CE6"/>
    <w:rsid w:val="005C1D5D"/>
    <w:rsid w:val="005C1D99"/>
    <w:rsid w:val="005C1DEC"/>
    <w:rsid w:val="005C1E17"/>
    <w:rsid w:val="005C1E2C"/>
    <w:rsid w:val="005C1E40"/>
    <w:rsid w:val="005C1E46"/>
    <w:rsid w:val="005C1ED1"/>
    <w:rsid w:val="005C1F27"/>
    <w:rsid w:val="005C2018"/>
    <w:rsid w:val="005C206B"/>
    <w:rsid w:val="005C2097"/>
    <w:rsid w:val="005C20EF"/>
    <w:rsid w:val="005C2102"/>
    <w:rsid w:val="005C210B"/>
    <w:rsid w:val="005C2137"/>
    <w:rsid w:val="005C213A"/>
    <w:rsid w:val="005C214D"/>
    <w:rsid w:val="005C215E"/>
    <w:rsid w:val="005C21B1"/>
    <w:rsid w:val="005C21EB"/>
    <w:rsid w:val="005C2248"/>
    <w:rsid w:val="005C229B"/>
    <w:rsid w:val="005C22BD"/>
    <w:rsid w:val="005C22E5"/>
    <w:rsid w:val="005C22FF"/>
    <w:rsid w:val="005C2302"/>
    <w:rsid w:val="005C232A"/>
    <w:rsid w:val="005C23B6"/>
    <w:rsid w:val="005C23CB"/>
    <w:rsid w:val="005C23F0"/>
    <w:rsid w:val="005C2437"/>
    <w:rsid w:val="005C2454"/>
    <w:rsid w:val="005C2482"/>
    <w:rsid w:val="005C2483"/>
    <w:rsid w:val="005C24A2"/>
    <w:rsid w:val="005C24B5"/>
    <w:rsid w:val="005C24FC"/>
    <w:rsid w:val="005C24FD"/>
    <w:rsid w:val="005C2508"/>
    <w:rsid w:val="005C256C"/>
    <w:rsid w:val="005C258E"/>
    <w:rsid w:val="005C25AB"/>
    <w:rsid w:val="005C2608"/>
    <w:rsid w:val="005C2619"/>
    <w:rsid w:val="005C2621"/>
    <w:rsid w:val="005C263C"/>
    <w:rsid w:val="005C2659"/>
    <w:rsid w:val="005C2823"/>
    <w:rsid w:val="005C2839"/>
    <w:rsid w:val="005C2845"/>
    <w:rsid w:val="005C2884"/>
    <w:rsid w:val="005C28B4"/>
    <w:rsid w:val="005C28E4"/>
    <w:rsid w:val="005C292B"/>
    <w:rsid w:val="005C29A2"/>
    <w:rsid w:val="005C29F2"/>
    <w:rsid w:val="005C2A3F"/>
    <w:rsid w:val="005C2A5C"/>
    <w:rsid w:val="005C2A5E"/>
    <w:rsid w:val="005C2A71"/>
    <w:rsid w:val="005C2A8C"/>
    <w:rsid w:val="005C2AE0"/>
    <w:rsid w:val="005C2AEE"/>
    <w:rsid w:val="005C2B20"/>
    <w:rsid w:val="005C2B5E"/>
    <w:rsid w:val="005C2B77"/>
    <w:rsid w:val="005C2BB2"/>
    <w:rsid w:val="005C2C90"/>
    <w:rsid w:val="005C2C99"/>
    <w:rsid w:val="005C2CD5"/>
    <w:rsid w:val="005C2CE4"/>
    <w:rsid w:val="005C2CEA"/>
    <w:rsid w:val="005C2D03"/>
    <w:rsid w:val="005C2D7E"/>
    <w:rsid w:val="005C2D81"/>
    <w:rsid w:val="005C2DAA"/>
    <w:rsid w:val="005C2DBB"/>
    <w:rsid w:val="005C2DE6"/>
    <w:rsid w:val="005C2E09"/>
    <w:rsid w:val="005C2E7C"/>
    <w:rsid w:val="005C2EF8"/>
    <w:rsid w:val="005C2EFF"/>
    <w:rsid w:val="005C2F27"/>
    <w:rsid w:val="005C2F4F"/>
    <w:rsid w:val="005C2F60"/>
    <w:rsid w:val="005C2F83"/>
    <w:rsid w:val="005C2FB7"/>
    <w:rsid w:val="005C2FEB"/>
    <w:rsid w:val="005C3035"/>
    <w:rsid w:val="005C3069"/>
    <w:rsid w:val="005C3072"/>
    <w:rsid w:val="005C308D"/>
    <w:rsid w:val="005C3099"/>
    <w:rsid w:val="005C3140"/>
    <w:rsid w:val="005C3141"/>
    <w:rsid w:val="005C315D"/>
    <w:rsid w:val="005C3176"/>
    <w:rsid w:val="005C317D"/>
    <w:rsid w:val="005C3188"/>
    <w:rsid w:val="005C318D"/>
    <w:rsid w:val="005C31A3"/>
    <w:rsid w:val="005C31F1"/>
    <w:rsid w:val="005C31F7"/>
    <w:rsid w:val="005C3208"/>
    <w:rsid w:val="005C3245"/>
    <w:rsid w:val="005C3267"/>
    <w:rsid w:val="005C3294"/>
    <w:rsid w:val="005C3299"/>
    <w:rsid w:val="005C32DD"/>
    <w:rsid w:val="005C3382"/>
    <w:rsid w:val="005C33CE"/>
    <w:rsid w:val="005C3400"/>
    <w:rsid w:val="005C341F"/>
    <w:rsid w:val="005C3451"/>
    <w:rsid w:val="005C347E"/>
    <w:rsid w:val="005C3494"/>
    <w:rsid w:val="005C3533"/>
    <w:rsid w:val="005C353A"/>
    <w:rsid w:val="005C35A7"/>
    <w:rsid w:val="005C35D4"/>
    <w:rsid w:val="005C35EA"/>
    <w:rsid w:val="005C35EB"/>
    <w:rsid w:val="005C360F"/>
    <w:rsid w:val="005C3696"/>
    <w:rsid w:val="005C36AA"/>
    <w:rsid w:val="005C36C7"/>
    <w:rsid w:val="005C3731"/>
    <w:rsid w:val="005C376A"/>
    <w:rsid w:val="005C376F"/>
    <w:rsid w:val="005C37B9"/>
    <w:rsid w:val="005C37CA"/>
    <w:rsid w:val="005C3803"/>
    <w:rsid w:val="005C38B1"/>
    <w:rsid w:val="005C38CE"/>
    <w:rsid w:val="005C3944"/>
    <w:rsid w:val="005C3A48"/>
    <w:rsid w:val="005C3AF3"/>
    <w:rsid w:val="005C3B24"/>
    <w:rsid w:val="005C3B6E"/>
    <w:rsid w:val="005C3B84"/>
    <w:rsid w:val="005C3BB7"/>
    <w:rsid w:val="005C3BFD"/>
    <w:rsid w:val="005C3C60"/>
    <w:rsid w:val="005C3CB8"/>
    <w:rsid w:val="005C3CD1"/>
    <w:rsid w:val="005C3CDF"/>
    <w:rsid w:val="005C3D10"/>
    <w:rsid w:val="005C3D6B"/>
    <w:rsid w:val="005C3DA0"/>
    <w:rsid w:val="005C3E0B"/>
    <w:rsid w:val="005C3E3C"/>
    <w:rsid w:val="005C3ECE"/>
    <w:rsid w:val="005C3F53"/>
    <w:rsid w:val="005C3F56"/>
    <w:rsid w:val="005C3F79"/>
    <w:rsid w:val="005C3F8B"/>
    <w:rsid w:val="005C3FA9"/>
    <w:rsid w:val="005C3FD4"/>
    <w:rsid w:val="005C406B"/>
    <w:rsid w:val="005C40A6"/>
    <w:rsid w:val="005C40C2"/>
    <w:rsid w:val="005C40CF"/>
    <w:rsid w:val="005C40DA"/>
    <w:rsid w:val="005C40DC"/>
    <w:rsid w:val="005C413E"/>
    <w:rsid w:val="005C4153"/>
    <w:rsid w:val="005C41B3"/>
    <w:rsid w:val="005C41D4"/>
    <w:rsid w:val="005C41DE"/>
    <w:rsid w:val="005C41FB"/>
    <w:rsid w:val="005C422F"/>
    <w:rsid w:val="005C4235"/>
    <w:rsid w:val="005C426C"/>
    <w:rsid w:val="005C4300"/>
    <w:rsid w:val="005C432C"/>
    <w:rsid w:val="005C435C"/>
    <w:rsid w:val="005C438D"/>
    <w:rsid w:val="005C43BC"/>
    <w:rsid w:val="005C43C2"/>
    <w:rsid w:val="005C4417"/>
    <w:rsid w:val="005C4455"/>
    <w:rsid w:val="005C4466"/>
    <w:rsid w:val="005C4471"/>
    <w:rsid w:val="005C4476"/>
    <w:rsid w:val="005C4514"/>
    <w:rsid w:val="005C4522"/>
    <w:rsid w:val="005C452F"/>
    <w:rsid w:val="005C4535"/>
    <w:rsid w:val="005C4548"/>
    <w:rsid w:val="005C4561"/>
    <w:rsid w:val="005C45B5"/>
    <w:rsid w:val="005C45C6"/>
    <w:rsid w:val="005C4605"/>
    <w:rsid w:val="005C4647"/>
    <w:rsid w:val="005C4652"/>
    <w:rsid w:val="005C4695"/>
    <w:rsid w:val="005C46C1"/>
    <w:rsid w:val="005C46D0"/>
    <w:rsid w:val="005C475C"/>
    <w:rsid w:val="005C476B"/>
    <w:rsid w:val="005C4786"/>
    <w:rsid w:val="005C479A"/>
    <w:rsid w:val="005C47DC"/>
    <w:rsid w:val="005C482B"/>
    <w:rsid w:val="005C48A2"/>
    <w:rsid w:val="005C48D2"/>
    <w:rsid w:val="005C491F"/>
    <w:rsid w:val="005C4922"/>
    <w:rsid w:val="005C4940"/>
    <w:rsid w:val="005C496C"/>
    <w:rsid w:val="005C4A29"/>
    <w:rsid w:val="005C4A66"/>
    <w:rsid w:val="005C4AF6"/>
    <w:rsid w:val="005C4B49"/>
    <w:rsid w:val="005C4B4A"/>
    <w:rsid w:val="005C4B96"/>
    <w:rsid w:val="005C4BE8"/>
    <w:rsid w:val="005C4C1F"/>
    <w:rsid w:val="005C4C2A"/>
    <w:rsid w:val="005C4C37"/>
    <w:rsid w:val="005C4CB1"/>
    <w:rsid w:val="005C4CF1"/>
    <w:rsid w:val="005C4D1F"/>
    <w:rsid w:val="005C4D6E"/>
    <w:rsid w:val="005C4DD4"/>
    <w:rsid w:val="005C4E3D"/>
    <w:rsid w:val="005C4E79"/>
    <w:rsid w:val="005C4E7C"/>
    <w:rsid w:val="005C4EC9"/>
    <w:rsid w:val="005C4ED8"/>
    <w:rsid w:val="005C4F53"/>
    <w:rsid w:val="005C4F5B"/>
    <w:rsid w:val="005C4F89"/>
    <w:rsid w:val="005C4F90"/>
    <w:rsid w:val="005C4FC3"/>
    <w:rsid w:val="005C4FCB"/>
    <w:rsid w:val="005C4FF0"/>
    <w:rsid w:val="005C5009"/>
    <w:rsid w:val="005C50A8"/>
    <w:rsid w:val="005C50DB"/>
    <w:rsid w:val="005C5102"/>
    <w:rsid w:val="005C5134"/>
    <w:rsid w:val="005C51D1"/>
    <w:rsid w:val="005C5249"/>
    <w:rsid w:val="005C5274"/>
    <w:rsid w:val="005C5299"/>
    <w:rsid w:val="005C52D5"/>
    <w:rsid w:val="005C52F7"/>
    <w:rsid w:val="005C5321"/>
    <w:rsid w:val="005C543C"/>
    <w:rsid w:val="005C5470"/>
    <w:rsid w:val="005C5482"/>
    <w:rsid w:val="005C54D5"/>
    <w:rsid w:val="005C5547"/>
    <w:rsid w:val="005C5566"/>
    <w:rsid w:val="005C55B1"/>
    <w:rsid w:val="005C55B6"/>
    <w:rsid w:val="005C55C0"/>
    <w:rsid w:val="005C563B"/>
    <w:rsid w:val="005C56CB"/>
    <w:rsid w:val="005C5736"/>
    <w:rsid w:val="005C5757"/>
    <w:rsid w:val="005C57A8"/>
    <w:rsid w:val="005C57B4"/>
    <w:rsid w:val="005C5811"/>
    <w:rsid w:val="005C581A"/>
    <w:rsid w:val="005C582A"/>
    <w:rsid w:val="005C5832"/>
    <w:rsid w:val="005C5834"/>
    <w:rsid w:val="005C587C"/>
    <w:rsid w:val="005C590C"/>
    <w:rsid w:val="005C5910"/>
    <w:rsid w:val="005C591A"/>
    <w:rsid w:val="005C5920"/>
    <w:rsid w:val="005C5939"/>
    <w:rsid w:val="005C594E"/>
    <w:rsid w:val="005C5990"/>
    <w:rsid w:val="005C599D"/>
    <w:rsid w:val="005C59A5"/>
    <w:rsid w:val="005C59BB"/>
    <w:rsid w:val="005C59CC"/>
    <w:rsid w:val="005C5A11"/>
    <w:rsid w:val="005C5A2C"/>
    <w:rsid w:val="005C5A8C"/>
    <w:rsid w:val="005C5B0A"/>
    <w:rsid w:val="005C5BA2"/>
    <w:rsid w:val="005C5C38"/>
    <w:rsid w:val="005C5C64"/>
    <w:rsid w:val="005C5C75"/>
    <w:rsid w:val="005C5C8A"/>
    <w:rsid w:val="005C5CAD"/>
    <w:rsid w:val="005C5D01"/>
    <w:rsid w:val="005C5D42"/>
    <w:rsid w:val="005C5D75"/>
    <w:rsid w:val="005C5D91"/>
    <w:rsid w:val="005C5D9D"/>
    <w:rsid w:val="005C5DB1"/>
    <w:rsid w:val="005C5DC6"/>
    <w:rsid w:val="005C5DE7"/>
    <w:rsid w:val="005C5DE9"/>
    <w:rsid w:val="005C5E32"/>
    <w:rsid w:val="005C5E5F"/>
    <w:rsid w:val="005C5EBE"/>
    <w:rsid w:val="005C5F27"/>
    <w:rsid w:val="005C5F70"/>
    <w:rsid w:val="005C5F91"/>
    <w:rsid w:val="005C5FF7"/>
    <w:rsid w:val="005C60D3"/>
    <w:rsid w:val="005C60EF"/>
    <w:rsid w:val="005C60F1"/>
    <w:rsid w:val="005C6152"/>
    <w:rsid w:val="005C6172"/>
    <w:rsid w:val="005C61A1"/>
    <w:rsid w:val="005C61C6"/>
    <w:rsid w:val="005C6204"/>
    <w:rsid w:val="005C62DF"/>
    <w:rsid w:val="005C6379"/>
    <w:rsid w:val="005C63EF"/>
    <w:rsid w:val="005C641E"/>
    <w:rsid w:val="005C6441"/>
    <w:rsid w:val="005C647B"/>
    <w:rsid w:val="005C648B"/>
    <w:rsid w:val="005C648E"/>
    <w:rsid w:val="005C6516"/>
    <w:rsid w:val="005C651B"/>
    <w:rsid w:val="005C6578"/>
    <w:rsid w:val="005C65D1"/>
    <w:rsid w:val="005C65DE"/>
    <w:rsid w:val="005C65E9"/>
    <w:rsid w:val="005C65EB"/>
    <w:rsid w:val="005C6643"/>
    <w:rsid w:val="005C668E"/>
    <w:rsid w:val="005C669D"/>
    <w:rsid w:val="005C66FE"/>
    <w:rsid w:val="005C6724"/>
    <w:rsid w:val="005C6736"/>
    <w:rsid w:val="005C67E4"/>
    <w:rsid w:val="005C67EB"/>
    <w:rsid w:val="005C6816"/>
    <w:rsid w:val="005C6854"/>
    <w:rsid w:val="005C6860"/>
    <w:rsid w:val="005C68A3"/>
    <w:rsid w:val="005C68D2"/>
    <w:rsid w:val="005C690D"/>
    <w:rsid w:val="005C6947"/>
    <w:rsid w:val="005C694A"/>
    <w:rsid w:val="005C69A4"/>
    <w:rsid w:val="005C69D6"/>
    <w:rsid w:val="005C69F3"/>
    <w:rsid w:val="005C69F5"/>
    <w:rsid w:val="005C6A25"/>
    <w:rsid w:val="005C6A43"/>
    <w:rsid w:val="005C6A49"/>
    <w:rsid w:val="005C6A67"/>
    <w:rsid w:val="005C6AA2"/>
    <w:rsid w:val="005C6AB7"/>
    <w:rsid w:val="005C6AC1"/>
    <w:rsid w:val="005C6BC7"/>
    <w:rsid w:val="005C6BFA"/>
    <w:rsid w:val="005C6C38"/>
    <w:rsid w:val="005C6C6D"/>
    <w:rsid w:val="005C6D70"/>
    <w:rsid w:val="005C6D76"/>
    <w:rsid w:val="005C6D7C"/>
    <w:rsid w:val="005C6DDB"/>
    <w:rsid w:val="005C6DFF"/>
    <w:rsid w:val="005C6E21"/>
    <w:rsid w:val="005C6E35"/>
    <w:rsid w:val="005C6E46"/>
    <w:rsid w:val="005C6E8B"/>
    <w:rsid w:val="005C6EE0"/>
    <w:rsid w:val="005C6F3E"/>
    <w:rsid w:val="005C6F87"/>
    <w:rsid w:val="005C6FCA"/>
    <w:rsid w:val="005C700D"/>
    <w:rsid w:val="005C708C"/>
    <w:rsid w:val="005C7091"/>
    <w:rsid w:val="005C7097"/>
    <w:rsid w:val="005C70C2"/>
    <w:rsid w:val="005C70FB"/>
    <w:rsid w:val="005C712D"/>
    <w:rsid w:val="005C7162"/>
    <w:rsid w:val="005C716C"/>
    <w:rsid w:val="005C71AA"/>
    <w:rsid w:val="005C71D8"/>
    <w:rsid w:val="005C7202"/>
    <w:rsid w:val="005C7245"/>
    <w:rsid w:val="005C7292"/>
    <w:rsid w:val="005C72E0"/>
    <w:rsid w:val="005C731A"/>
    <w:rsid w:val="005C7332"/>
    <w:rsid w:val="005C7382"/>
    <w:rsid w:val="005C73D7"/>
    <w:rsid w:val="005C73D8"/>
    <w:rsid w:val="005C7427"/>
    <w:rsid w:val="005C7448"/>
    <w:rsid w:val="005C746A"/>
    <w:rsid w:val="005C74B8"/>
    <w:rsid w:val="005C7505"/>
    <w:rsid w:val="005C7507"/>
    <w:rsid w:val="005C750F"/>
    <w:rsid w:val="005C7593"/>
    <w:rsid w:val="005C75A6"/>
    <w:rsid w:val="005C75BA"/>
    <w:rsid w:val="005C75C3"/>
    <w:rsid w:val="005C75C6"/>
    <w:rsid w:val="005C75E7"/>
    <w:rsid w:val="005C7602"/>
    <w:rsid w:val="005C762C"/>
    <w:rsid w:val="005C765D"/>
    <w:rsid w:val="005C7735"/>
    <w:rsid w:val="005C7769"/>
    <w:rsid w:val="005C779B"/>
    <w:rsid w:val="005C7850"/>
    <w:rsid w:val="005C7861"/>
    <w:rsid w:val="005C78AE"/>
    <w:rsid w:val="005C7904"/>
    <w:rsid w:val="005C7920"/>
    <w:rsid w:val="005C797C"/>
    <w:rsid w:val="005C7981"/>
    <w:rsid w:val="005C7985"/>
    <w:rsid w:val="005C79A4"/>
    <w:rsid w:val="005C7A25"/>
    <w:rsid w:val="005C7A84"/>
    <w:rsid w:val="005C7A8E"/>
    <w:rsid w:val="005C7AAE"/>
    <w:rsid w:val="005C7AE9"/>
    <w:rsid w:val="005C7BA5"/>
    <w:rsid w:val="005C7BAB"/>
    <w:rsid w:val="005C7BAC"/>
    <w:rsid w:val="005C7BE0"/>
    <w:rsid w:val="005C7C61"/>
    <w:rsid w:val="005C7CE4"/>
    <w:rsid w:val="005C7D07"/>
    <w:rsid w:val="005C7D41"/>
    <w:rsid w:val="005C7D5A"/>
    <w:rsid w:val="005C7D65"/>
    <w:rsid w:val="005C7D8A"/>
    <w:rsid w:val="005C7D97"/>
    <w:rsid w:val="005C7DAA"/>
    <w:rsid w:val="005C7E24"/>
    <w:rsid w:val="005C7E25"/>
    <w:rsid w:val="005C7EA0"/>
    <w:rsid w:val="005C7EB3"/>
    <w:rsid w:val="005C7EC5"/>
    <w:rsid w:val="005C7EDC"/>
    <w:rsid w:val="005C7EF9"/>
    <w:rsid w:val="005C7F03"/>
    <w:rsid w:val="005C7F0B"/>
    <w:rsid w:val="005C7F38"/>
    <w:rsid w:val="005C7F7B"/>
    <w:rsid w:val="005C7FAE"/>
    <w:rsid w:val="005C7FD6"/>
    <w:rsid w:val="005C7FE4"/>
    <w:rsid w:val="005C7FED"/>
    <w:rsid w:val="005D0002"/>
    <w:rsid w:val="005D001E"/>
    <w:rsid w:val="005D0021"/>
    <w:rsid w:val="005D0041"/>
    <w:rsid w:val="005D005F"/>
    <w:rsid w:val="005D0063"/>
    <w:rsid w:val="005D00C9"/>
    <w:rsid w:val="005D00E7"/>
    <w:rsid w:val="005D0104"/>
    <w:rsid w:val="005D017C"/>
    <w:rsid w:val="005D01A3"/>
    <w:rsid w:val="005D01EB"/>
    <w:rsid w:val="005D0236"/>
    <w:rsid w:val="005D023C"/>
    <w:rsid w:val="005D0256"/>
    <w:rsid w:val="005D0279"/>
    <w:rsid w:val="005D0283"/>
    <w:rsid w:val="005D02A5"/>
    <w:rsid w:val="005D02D5"/>
    <w:rsid w:val="005D0300"/>
    <w:rsid w:val="005D0302"/>
    <w:rsid w:val="005D0370"/>
    <w:rsid w:val="005D0386"/>
    <w:rsid w:val="005D03D9"/>
    <w:rsid w:val="005D03ED"/>
    <w:rsid w:val="005D0403"/>
    <w:rsid w:val="005D0451"/>
    <w:rsid w:val="005D045B"/>
    <w:rsid w:val="005D0469"/>
    <w:rsid w:val="005D0583"/>
    <w:rsid w:val="005D05A2"/>
    <w:rsid w:val="005D05DB"/>
    <w:rsid w:val="005D0605"/>
    <w:rsid w:val="005D063A"/>
    <w:rsid w:val="005D067A"/>
    <w:rsid w:val="005D068A"/>
    <w:rsid w:val="005D06BA"/>
    <w:rsid w:val="005D0717"/>
    <w:rsid w:val="005D075C"/>
    <w:rsid w:val="005D07C3"/>
    <w:rsid w:val="005D0802"/>
    <w:rsid w:val="005D0870"/>
    <w:rsid w:val="005D08D0"/>
    <w:rsid w:val="005D0904"/>
    <w:rsid w:val="005D0966"/>
    <w:rsid w:val="005D0A1D"/>
    <w:rsid w:val="005D0A78"/>
    <w:rsid w:val="005D0AEC"/>
    <w:rsid w:val="005D0AF6"/>
    <w:rsid w:val="005D0B1D"/>
    <w:rsid w:val="005D0B2B"/>
    <w:rsid w:val="005D0B74"/>
    <w:rsid w:val="005D0B77"/>
    <w:rsid w:val="005D0B9C"/>
    <w:rsid w:val="005D0BA6"/>
    <w:rsid w:val="005D0BA8"/>
    <w:rsid w:val="005D0BB9"/>
    <w:rsid w:val="005D0BF9"/>
    <w:rsid w:val="005D0C06"/>
    <w:rsid w:val="005D0C20"/>
    <w:rsid w:val="005D0C3F"/>
    <w:rsid w:val="005D0C72"/>
    <w:rsid w:val="005D0C7F"/>
    <w:rsid w:val="005D0C9E"/>
    <w:rsid w:val="005D0CA8"/>
    <w:rsid w:val="005D0CCE"/>
    <w:rsid w:val="005D0D25"/>
    <w:rsid w:val="005D0D35"/>
    <w:rsid w:val="005D0D8A"/>
    <w:rsid w:val="005D0E1B"/>
    <w:rsid w:val="005D0E27"/>
    <w:rsid w:val="005D0E67"/>
    <w:rsid w:val="005D0E8B"/>
    <w:rsid w:val="005D0E92"/>
    <w:rsid w:val="005D0EC4"/>
    <w:rsid w:val="005D0F87"/>
    <w:rsid w:val="005D105B"/>
    <w:rsid w:val="005D10A6"/>
    <w:rsid w:val="005D10B8"/>
    <w:rsid w:val="005D10F0"/>
    <w:rsid w:val="005D1136"/>
    <w:rsid w:val="005D113B"/>
    <w:rsid w:val="005D11A9"/>
    <w:rsid w:val="005D11AD"/>
    <w:rsid w:val="005D121F"/>
    <w:rsid w:val="005D1250"/>
    <w:rsid w:val="005D12CC"/>
    <w:rsid w:val="005D133C"/>
    <w:rsid w:val="005D134B"/>
    <w:rsid w:val="005D1396"/>
    <w:rsid w:val="005D13CF"/>
    <w:rsid w:val="005D13E3"/>
    <w:rsid w:val="005D13EC"/>
    <w:rsid w:val="005D13EF"/>
    <w:rsid w:val="005D13F8"/>
    <w:rsid w:val="005D1422"/>
    <w:rsid w:val="005D145A"/>
    <w:rsid w:val="005D1467"/>
    <w:rsid w:val="005D14A7"/>
    <w:rsid w:val="005D150E"/>
    <w:rsid w:val="005D1552"/>
    <w:rsid w:val="005D1568"/>
    <w:rsid w:val="005D156D"/>
    <w:rsid w:val="005D15A1"/>
    <w:rsid w:val="005D15DD"/>
    <w:rsid w:val="005D1610"/>
    <w:rsid w:val="005D1647"/>
    <w:rsid w:val="005D16CF"/>
    <w:rsid w:val="005D1710"/>
    <w:rsid w:val="005D1718"/>
    <w:rsid w:val="005D172C"/>
    <w:rsid w:val="005D17BB"/>
    <w:rsid w:val="005D17EA"/>
    <w:rsid w:val="005D1815"/>
    <w:rsid w:val="005D1853"/>
    <w:rsid w:val="005D1869"/>
    <w:rsid w:val="005D186C"/>
    <w:rsid w:val="005D18A9"/>
    <w:rsid w:val="005D18CA"/>
    <w:rsid w:val="005D18DD"/>
    <w:rsid w:val="005D18F0"/>
    <w:rsid w:val="005D1933"/>
    <w:rsid w:val="005D193B"/>
    <w:rsid w:val="005D1986"/>
    <w:rsid w:val="005D19C9"/>
    <w:rsid w:val="005D1A01"/>
    <w:rsid w:val="005D1A0D"/>
    <w:rsid w:val="005D1A1C"/>
    <w:rsid w:val="005D1A2F"/>
    <w:rsid w:val="005D1AA8"/>
    <w:rsid w:val="005D1ABE"/>
    <w:rsid w:val="005D1AE9"/>
    <w:rsid w:val="005D1AEA"/>
    <w:rsid w:val="005D1B2C"/>
    <w:rsid w:val="005D1B7E"/>
    <w:rsid w:val="005D1B97"/>
    <w:rsid w:val="005D1BA6"/>
    <w:rsid w:val="005D1BF2"/>
    <w:rsid w:val="005D1C3F"/>
    <w:rsid w:val="005D1C88"/>
    <w:rsid w:val="005D1CB2"/>
    <w:rsid w:val="005D1CC6"/>
    <w:rsid w:val="005D1CF0"/>
    <w:rsid w:val="005D1D10"/>
    <w:rsid w:val="005D1D1C"/>
    <w:rsid w:val="005D1D66"/>
    <w:rsid w:val="005D1D6E"/>
    <w:rsid w:val="005D1D71"/>
    <w:rsid w:val="005D1E18"/>
    <w:rsid w:val="005D1E21"/>
    <w:rsid w:val="005D1E7A"/>
    <w:rsid w:val="005D1E8B"/>
    <w:rsid w:val="005D1E8C"/>
    <w:rsid w:val="005D1ED2"/>
    <w:rsid w:val="005D1F13"/>
    <w:rsid w:val="005D1F1B"/>
    <w:rsid w:val="005D1F32"/>
    <w:rsid w:val="005D1F5D"/>
    <w:rsid w:val="005D1FFB"/>
    <w:rsid w:val="005D2010"/>
    <w:rsid w:val="005D2062"/>
    <w:rsid w:val="005D20D9"/>
    <w:rsid w:val="005D20DA"/>
    <w:rsid w:val="005D20F7"/>
    <w:rsid w:val="005D2115"/>
    <w:rsid w:val="005D21E3"/>
    <w:rsid w:val="005D2221"/>
    <w:rsid w:val="005D233D"/>
    <w:rsid w:val="005D23B2"/>
    <w:rsid w:val="005D244C"/>
    <w:rsid w:val="005D2486"/>
    <w:rsid w:val="005D24B3"/>
    <w:rsid w:val="005D2514"/>
    <w:rsid w:val="005D253D"/>
    <w:rsid w:val="005D2553"/>
    <w:rsid w:val="005D2570"/>
    <w:rsid w:val="005D2579"/>
    <w:rsid w:val="005D25AB"/>
    <w:rsid w:val="005D25B9"/>
    <w:rsid w:val="005D260C"/>
    <w:rsid w:val="005D2697"/>
    <w:rsid w:val="005D2731"/>
    <w:rsid w:val="005D275D"/>
    <w:rsid w:val="005D2768"/>
    <w:rsid w:val="005D27EF"/>
    <w:rsid w:val="005D284B"/>
    <w:rsid w:val="005D2912"/>
    <w:rsid w:val="005D2917"/>
    <w:rsid w:val="005D2920"/>
    <w:rsid w:val="005D2992"/>
    <w:rsid w:val="005D29BB"/>
    <w:rsid w:val="005D29E7"/>
    <w:rsid w:val="005D29F3"/>
    <w:rsid w:val="005D2ADB"/>
    <w:rsid w:val="005D2B22"/>
    <w:rsid w:val="005D2BAE"/>
    <w:rsid w:val="005D2C0F"/>
    <w:rsid w:val="005D2C7E"/>
    <w:rsid w:val="005D2CD7"/>
    <w:rsid w:val="005D2CF6"/>
    <w:rsid w:val="005D2D13"/>
    <w:rsid w:val="005D2D64"/>
    <w:rsid w:val="005D2D76"/>
    <w:rsid w:val="005D2DA0"/>
    <w:rsid w:val="005D2DC2"/>
    <w:rsid w:val="005D2DD2"/>
    <w:rsid w:val="005D2E07"/>
    <w:rsid w:val="005D2E0E"/>
    <w:rsid w:val="005D2EB9"/>
    <w:rsid w:val="005D2EC4"/>
    <w:rsid w:val="005D2F46"/>
    <w:rsid w:val="005D2F71"/>
    <w:rsid w:val="005D2F87"/>
    <w:rsid w:val="005D2F8A"/>
    <w:rsid w:val="005D2F97"/>
    <w:rsid w:val="005D2FCD"/>
    <w:rsid w:val="005D2FD6"/>
    <w:rsid w:val="005D2FEC"/>
    <w:rsid w:val="005D3023"/>
    <w:rsid w:val="005D3048"/>
    <w:rsid w:val="005D306A"/>
    <w:rsid w:val="005D3074"/>
    <w:rsid w:val="005D3088"/>
    <w:rsid w:val="005D308F"/>
    <w:rsid w:val="005D3097"/>
    <w:rsid w:val="005D30D1"/>
    <w:rsid w:val="005D30D4"/>
    <w:rsid w:val="005D312C"/>
    <w:rsid w:val="005D3139"/>
    <w:rsid w:val="005D31EA"/>
    <w:rsid w:val="005D3299"/>
    <w:rsid w:val="005D32DA"/>
    <w:rsid w:val="005D334B"/>
    <w:rsid w:val="005D338C"/>
    <w:rsid w:val="005D3397"/>
    <w:rsid w:val="005D33B5"/>
    <w:rsid w:val="005D33CA"/>
    <w:rsid w:val="005D3400"/>
    <w:rsid w:val="005D3453"/>
    <w:rsid w:val="005D3466"/>
    <w:rsid w:val="005D347B"/>
    <w:rsid w:val="005D34E4"/>
    <w:rsid w:val="005D3563"/>
    <w:rsid w:val="005D356A"/>
    <w:rsid w:val="005D359D"/>
    <w:rsid w:val="005D35D0"/>
    <w:rsid w:val="005D3648"/>
    <w:rsid w:val="005D36C0"/>
    <w:rsid w:val="005D3735"/>
    <w:rsid w:val="005D3745"/>
    <w:rsid w:val="005D376A"/>
    <w:rsid w:val="005D376D"/>
    <w:rsid w:val="005D37A2"/>
    <w:rsid w:val="005D37D5"/>
    <w:rsid w:val="005D3861"/>
    <w:rsid w:val="005D38A9"/>
    <w:rsid w:val="005D38F7"/>
    <w:rsid w:val="005D3914"/>
    <w:rsid w:val="005D3933"/>
    <w:rsid w:val="005D394D"/>
    <w:rsid w:val="005D39F0"/>
    <w:rsid w:val="005D39F4"/>
    <w:rsid w:val="005D3A45"/>
    <w:rsid w:val="005D3A47"/>
    <w:rsid w:val="005D3A5A"/>
    <w:rsid w:val="005D3ABF"/>
    <w:rsid w:val="005D3B03"/>
    <w:rsid w:val="005D3B28"/>
    <w:rsid w:val="005D3B3A"/>
    <w:rsid w:val="005D3B40"/>
    <w:rsid w:val="005D3B7C"/>
    <w:rsid w:val="005D3BA5"/>
    <w:rsid w:val="005D3BF9"/>
    <w:rsid w:val="005D3C4D"/>
    <w:rsid w:val="005D3C5F"/>
    <w:rsid w:val="005D3C9A"/>
    <w:rsid w:val="005D3CA9"/>
    <w:rsid w:val="005D3CD2"/>
    <w:rsid w:val="005D3D20"/>
    <w:rsid w:val="005D3D3C"/>
    <w:rsid w:val="005D3D4F"/>
    <w:rsid w:val="005D3D6D"/>
    <w:rsid w:val="005D3DA7"/>
    <w:rsid w:val="005D3EB9"/>
    <w:rsid w:val="005D3EEF"/>
    <w:rsid w:val="005D3F19"/>
    <w:rsid w:val="005D3F55"/>
    <w:rsid w:val="005D3FB5"/>
    <w:rsid w:val="005D3FDD"/>
    <w:rsid w:val="005D3FE4"/>
    <w:rsid w:val="005D4020"/>
    <w:rsid w:val="005D4025"/>
    <w:rsid w:val="005D4035"/>
    <w:rsid w:val="005D4086"/>
    <w:rsid w:val="005D409F"/>
    <w:rsid w:val="005D40E5"/>
    <w:rsid w:val="005D4155"/>
    <w:rsid w:val="005D41AC"/>
    <w:rsid w:val="005D41B6"/>
    <w:rsid w:val="005D41D8"/>
    <w:rsid w:val="005D41EA"/>
    <w:rsid w:val="005D420B"/>
    <w:rsid w:val="005D4285"/>
    <w:rsid w:val="005D4293"/>
    <w:rsid w:val="005D42A1"/>
    <w:rsid w:val="005D42B5"/>
    <w:rsid w:val="005D42EA"/>
    <w:rsid w:val="005D42FA"/>
    <w:rsid w:val="005D42FE"/>
    <w:rsid w:val="005D439E"/>
    <w:rsid w:val="005D4408"/>
    <w:rsid w:val="005D4439"/>
    <w:rsid w:val="005D44A5"/>
    <w:rsid w:val="005D4500"/>
    <w:rsid w:val="005D4523"/>
    <w:rsid w:val="005D452A"/>
    <w:rsid w:val="005D453A"/>
    <w:rsid w:val="005D453D"/>
    <w:rsid w:val="005D45AF"/>
    <w:rsid w:val="005D45DF"/>
    <w:rsid w:val="005D45E0"/>
    <w:rsid w:val="005D45EF"/>
    <w:rsid w:val="005D46D2"/>
    <w:rsid w:val="005D46DB"/>
    <w:rsid w:val="005D46E5"/>
    <w:rsid w:val="005D46F2"/>
    <w:rsid w:val="005D473F"/>
    <w:rsid w:val="005D4766"/>
    <w:rsid w:val="005D47A5"/>
    <w:rsid w:val="005D480D"/>
    <w:rsid w:val="005D4839"/>
    <w:rsid w:val="005D489C"/>
    <w:rsid w:val="005D48C0"/>
    <w:rsid w:val="005D48D6"/>
    <w:rsid w:val="005D49A1"/>
    <w:rsid w:val="005D49A3"/>
    <w:rsid w:val="005D49CB"/>
    <w:rsid w:val="005D49FE"/>
    <w:rsid w:val="005D4A36"/>
    <w:rsid w:val="005D4A98"/>
    <w:rsid w:val="005D4AF1"/>
    <w:rsid w:val="005D4B71"/>
    <w:rsid w:val="005D4B8A"/>
    <w:rsid w:val="005D4BA4"/>
    <w:rsid w:val="005D4BBC"/>
    <w:rsid w:val="005D4BF8"/>
    <w:rsid w:val="005D4C16"/>
    <w:rsid w:val="005D4C40"/>
    <w:rsid w:val="005D4C7D"/>
    <w:rsid w:val="005D4CA4"/>
    <w:rsid w:val="005D4D64"/>
    <w:rsid w:val="005D4D6F"/>
    <w:rsid w:val="005D4D70"/>
    <w:rsid w:val="005D4D98"/>
    <w:rsid w:val="005D4DBF"/>
    <w:rsid w:val="005D4DD6"/>
    <w:rsid w:val="005D4DDB"/>
    <w:rsid w:val="005D4DEC"/>
    <w:rsid w:val="005D4E3C"/>
    <w:rsid w:val="005D4E4F"/>
    <w:rsid w:val="005D4E67"/>
    <w:rsid w:val="005D4E70"/>
    <w:rsid w:val="005D4EA5"/>
    <w:rsid w:val="005D4EB0"/>
    <w:rsid w:val="005D4EB7"/>
    <w:rsid w:val="005D4F6B"/>
    <w:rsid w:val="005D4FA1"/>
    <w:rsid w:val="005D5031"/>
    <w:rsid w:val="005D5068"/>
    <w:rsid w:val="005D50DC"/>
    <w:rsid w:val="005D5116"/>
    <w:rsid w:val="005D5148"/>
    <w:rsid w:val="005D5152"/>
    <w:rsid w:val="005D5166"/>
    <w:rsid w:val="005D5195"/>
    <w:rsid w:val="005D51C7"/>
    <w:rsid w:val="005D520E"/>
    <w:rsid w:val="005D5229"/>
    <w:rsid w:val="005D5231"/>
    <w:rsid w:val="005D5294"/>
    <w:rsid w:val="005D52CA"/>
    <w:rsid w:val="005D52CD"/>
    <w:rsid w:val="005D52F5"/>
    <w:rsid w:val="005D533E"/>
    <w:rsid w:val="005D5377"/>
    <w:rsid w:val="005D537F"/>
    <w:rsid w:val="005D53E6"/>
    <w:rsid w:val="005D549F"/>
    <w:rsid w:val="005D54A9"/>
    <w:rsid w:val="005D54AE"/>
    <w:rsid w:val="005D550C"/>
    <w:rsid w:val="005D551C"/>
    <w:rsid w:val="005D5543"/>
    <w:rsid w:val="005D560E"/>
    <w:rsid w:val="005D5688"/>
    <w:rsid w:val="005D56A4"/>
    <w:rsid w:val="005D5714"/>
    <w:rsid w:val="005D57B1"/>
    <w:rsid w:val="005D5815"/>
    <w:rsid w:val="005D582D"/>
    <w:rsid w:val="005D584D"/>
    <w:rsid w:val="005D5852"/>
    <w:rsid w:val="005D5868"/>
    <w:rsid w:val="005D58BA"/>
    <w:rsid w:val="005D5967"/>
    <w:rsid w:val="005D597F"/>
    <w:rsid w:val="005D5A17"/>
    <w:rsid w:val="005D5A46"/>
    <w:rsid w:val="005D5AB7"/>
    <w:rsid w:val="005D5AF0"/>
    <w:rsid w:val="005D5AF4"/>
    <w:rsid w:val="005D5B01"/>
    <w:rsid w:val="005D5B29"/>
    <w:rsid w:val="005D5B7C"/>
    <w:rsid w:val="005D5B9A"/>
    <w:rsid w:val="005D5BAE"/>
    <w:rsid w:val="005D5C80"/>
    <w:rsid w:val="005D5C87"/>
    <w:rsid w:val="005D5C99"/>
    <w:rsid w:val="005D5CCF"/>
    <w:rsid w:val="005D5D0B"/>
    <w:rsid w:val="005D5D11"/>
    <w:rsid w:val="005D5D1F"/>
    <w:rsid w:val="005D5D86"/>
    <w:rsid w:val="005D5DB2"/>
    <w:rsid w:val="005D5E24"/>
    <w:rsid w:val="005D5E2B"/>
    <w:rsid w:val="005D5E97"/>
    <w:rsid w:val="005D5EC9"/>
    <w:rsid w:val="005D5EF5"/>
    <w:rsid w:val="005D5F02"/>
    <w:rsid w:val="005D5F0A"/>
    <w:rsid w:val="005D5F4E"/>
    <w:rsid w:val="005D5F91"/>
    <w:rsid w:val="005D5FFE"/>
    <w:rsid w:val="005D6048"/>
    <w:rsid w:val="005D60B9"/>
    <w:rsid w:val="005D60C7"/>
    <w:rsid w:val="005D60DA"/>
    <w:rsid w:val="005D60E4"/>
    <w:rsid w:val="005D60E8"/>
    <w:rsid w:val="005D6120"/>
    <w:rsid w:val="005D612D"/>
    <w:rsid w:val="005D612E"/>
    <w:rsid w:val="005D6137"/>
    <w:rsid w:val="005D616A"/>
    <w:rsid w:val="005D6174"/>
    <w:rsid w:val="005D61A3"/>
    <w:rsid w:val="005D61BE"/>
    <w:rsid w:val="005D620C"/>
    <w:rsid w:val="005D6211"/>
    <w:rsid w:val="005D623C"/>
    <w:rsid w:val="005D6247"/>
    <w:rsid w:val="005D62EE"/>
    <w:rsid w:val="005D6340"/>
    <w:rsid w:val="005D6344"/>
    <w:rsid w:val="005D6360"/>
    <w:rsid w:val="005D6378"/>
    <w:rsid w:val="005D6396"/>
    <w:rsid w:val="005D63A2"/>
    <w:rsid w:val="005D63A4"/>
    <w:rsid w:val="005D63EB"/>
    <w:rsid w:val="005D63FE"/>
    <w:rsid w:val="005D6451"/>
    <w:rsid w:val="005D6493"/>
    <w:rsid w:val="005D6503"/>
    <w:rsid w:val="005D6523"/>
    <w:rsid w:val="005D6525"/>
    <w:rsid w:val="005D6541"/>
    <w:rsid w:val="005D6542"/>
    <w:rsid w:val="005D6566"/>
    <w:rsid w:val="005D65C4"/>
    <w:rsid w:val="005D6612"/>
    <w:rsid w:val="005D667B"/>
    <w:rsid w:val="005D671A"/>
    <w:rsid w:val="005D6765"/>
    <w:rsid w:val="005D677C"/>
    <w:rsid w:val="005D67AB"/>
    <w:rsid w:val="005D6811"/>
    <w:rsid w:val="005D6843"/>
    <w:rsid w:val="005D6853"/>
    <w:rsid w:val="005D68A4"/>
    <w:rsid w:val="005D6932"/>
    <w:rsid w:val="005D6970"/>
    <w:rsid w:val="005D69B8"/>
    <w:rsid w:val="005D6A1B"/>
    <w:rsid w:val="005D6A44"/>
    <w:rsid w:val="005D6A8C"/>
    <w:rsid w:val="005D6AA6"/>
    <w:rsid w:val="005D6ABF"/>
    <w:rsid w:val="005D6B0D"/>
    <w:rsid w:val="005D6BC8"/>
    <w:rsid w:val="005D6C03"/>
    <w:rsid w:val="005D6C0C"/>
    <w:rsid w:val="005D6C55"/>
    <w:rsid w:val="005D6C8B"/>
    <w:rsid w:val="005D6CA8"/>
    <w:rsid w:val="005D6CB8"/>
    <w:rsid w:val="005D6CFC"/>
    <w:rsid w:val="005D6D23"/>
    <w:rsid w:val="005D6D5D"/>
    <w:rsid w:val="005D6D6D"/>
    <w:rsid w:val="005D6D6E"/>
    <w:rsid w:val="005D6D7D"/>
    <w:rsid w:val="005D6D8D"/>
    <w:rsid w:val="005D6DB3"/>
    <w:rsid w:val="005D6DC6"/>
    <w:rsid w:val="005D6DC9"/>
    <w:rsid w:val="005D6E14"/>
    <w:rsid w:val="005D6E30"/>
    <w:rsid w:val="005D6E33"/>
    <w:rsid w:val="005D6E39"/>
    <w:rsid w:val="005D6E6B"/>
    <w:rsid w:val="005D6E83"/>
    <w:rsid w:val="005D6E8D"/>
    <w:rsid w:val="005D6EB7"/>
    <w:rsid w:val="005D6ED6"/>
    <w:rsid w:val="005D6F0C"/>
    <w:rsid w:val="005D6F1A"/>
    <w:rsid w:val="005D6F2E"/>
    <w:rsid w:val="005D6F30"/>
    <w:rsid w:val="005D6F7F"/>
    <w:rsid w:val="005D6F9A"/>
    <w:rsid w:val="005D7013"/>
    <w:rsid w:val="005D7047"/>
    <w:rsid w:val="005D7064"/>
    <w:rsid w:val="005D70A0"/>
    <w:rsid w:val="005D715A"/>
    <w:rsid w:val="005D7209"/>
    <w:rsid w:val="005D725E"/>
    <w:rsid w:val="005D732C"/>
    <w:rsid w:val="005D733F"/>
    <w:rsid w:val="005D7391"/>
    <w:rsid w:val="005D7432"/>
    <w:rsid w:val="005D745C"/>
    <w:rsid w:val="005D74A3"/>
    <w:rsid w:val="005D74A7"/>
    <w:rsid w:val="005D74E0"/>
    <w:rsid w:val="005D74F5"/>
    <w:rsid w:val="005D7517"/>
    <w:rsid w:val="005D752A"/>
    <w:rsid w:val="005D7537"/>
    <w:rsid w:val="005D75BC"/>
    <w:rsid w:val="005D75FF"/>
    <w:rsid w:val="005D762E"/>
    <w:rsid w:val="005D7644"/>
    <w:rsid w:val="005D765C"/>
    <w:rsid w:val="005D76D3"/>
    <w:rsid w:val="005D76E0"/>
    <w:rsid w:val="005D76F3"/>
    <w:rsid w:val="005D76FC"/>
    <w:rsid w:val="005D771C"/>
    <w:rsid w:val="005D774E"/>
    <w:rsid w:val="005D778F"/>
    <w:rsid w:val="005D77A6"/>
    <w:rsid w:val="005D77B9"/>
    <w:rsid w:val="005D783F"/>
    <w:rsid w:val="005D78FD"/>
    <w:rsid w:val="005D7907"/>
    <w:rsid w:val="005D79C6"/>
    <w:rsid w:val="005D79E9"/>
    <w:rsid w:val="005D7A28"/>
    <w:rsid w:val="005D7A5D"/>
    <w:rsid w:val="005D7A6A"/>
    <w:rsid w:val="005D7A88"/>
    <w:rsid w:val="005D7AD2"/>
    <w:rsid w:val="005D7AFD"/>
    <w:rsid w:val="005D7B7D"/>
    <w:rsid w:val="005D7B7F"/>
    <w:rsid w:val="005D7B80"/>
    <w:rsid w:val="005D7B95"/>
    <w:rsid w:val="005D7BA3"/>
    <w:rsid w:val="005D7BAE"/>
    <w:rsid w:val="005D7BDB"/>
    <w:rsid w:val="005D7C1C"/>
    <w:rsid w:val="005D7C2B"/>
    <w:rsid w:val="005D7C44"/>
    <w:rsid w:val="005D7C95"/>
    <w:rsid w:val="005D7CAB"/>
    <w:rsid w:val="005D7CDC"/>
    <w:rsid w:val="005D7D00"/>
    <w:rsid w:val="005D7D76"/>
    <w:rsid w:val="005D7D99"/>
    <w:rsid w:val="005D7DB1"/>
    <w:rsid w:val="005D7DC4"/>
    <w:rsid w:val="005D7E05"/>
    <w:rsid w:val="005D7E0E"/>
    <w:rsid w:val="005D7E3A"/>
    <w:rsid w:val="005D7E52"/>
    <w:rsid w:val="005D7EA6"/>
    <w:rsid w:val="005D7EC6"/>
    <w:rsid w:val="005D7F33"/>
    <w:rsid w:val="005D7F63"/>
    <w:rsid w:val="005D7F68"/>
    <w:rsid w:val="005D7F74"/>
    <w:rsid w:val="005D7F9D"/>
    <w:rsid w:val="005D7FA6"/>
    <w:rsid w:val="005D7FB4"/>
    <w:rsid w:val="005E0008"/>
    <w:rsid w:val="005E00BE"/>
    <w:rsid w:val="005E00F1"/>
    <w:rsid w:val="005E01A6"/>
    <w:rsid w:val="005E01D4"/>
    <w:rsid w:val="005E01EF"/>
    <w:rsid w:val="005E0273"/>
    <w:rsid w:val="005E027D"/>
    <w:rsid w:val="005E02D3"/>
    <w:rsid w:val="005E030B"/>
    <w:rsid w:val="005E0317"/>
    <w:rsid w:val="005E031B"/>
    <w:rsid w:val="005E0380"/>
    <w:rsid w:val="005E03CF"/>
    <w:rsid w:val="005E0429"/>
    <w:rsid w:val="005E042D"/>
    <w:rsid w:val="005E046A"/>
    <w:rsid w:val="005E047A"/>
    <w:rsid w:val="005E0488"/>
    <w:rsid w:val="005E04DC"/>
    <w:rsid w:val="005E04E6"/>
    <w:rsid w:val="005E059C"/>
    <w:rsid w:val="005E05CE"/>
    <w:rsid w:val="005E061A"/>
    <w:rsid w:val="005E061D"/>
    <w:rsid w:val="005E0628"/>
    <w:rsid w:val="005E0633"/>
    <w:rsid w:val="005E068B"/>
    <w:rsid w:val="005E06A9"/>
    <w:rsid w:val="005E06DE"/>
    <w:rsid w:val="005E0728"/>
    <w:rsid w:val="005E078E"/>
    <w:rsid w:val="005E07A2"/>
    <w:rsid w:val="005E07F3"/>
    <w:rsid w:val="005E0844"/>
    <w:rsid w:val="005E0860"/>
    <w:rsid w:val="005E0864"/>
    <w:rsid w:val="005E088A"/>
    <w:rsid w:val="005E08D1"/>
    <w:rsid w:val="005E08EE"/>
    <w:rsid w:val="005E0966"/>
    <w:rsid w:val="005E0995"/>
    <w:rsid w:val="005E09AF"/>
    <w:rsid w:val="005E09BC"/>
    <w:rsid w:val="005E09D1"/>
    <w:rsid w:val="005E09D3"/>
    <w:rsid w:val="005E09D4"/>
    <w:rsid w:val="005E0A0E"/>
    <w:rsid w:val="005E0A4D"/>
    <w:rsid w:val="005E0A54"/>
    <w:rsid w:val="005E0A78"/>
    <w:rsid w:val="005E0A92"/>
    <w:rsid w:val="005E0AA1"/>
    <w:rsid w:val="005E0B75"/>
    <w:rsid w:val="005E0BAF"/>
    <w:rsid w:val="005E0CA6"/>
    <w:rsid w:val="005E0DB3"/>
    <w:rsid w:val="005E0E44"/>
    <w:rsid w:val="005E0E79"/>
    <w:rsid w:val="005E0F09"/>
    <w:rsid w:val="005E0F2D"/>
    <w:rsid w:val="005E0FC4"/>
    <w:rsid w:val="005E1001"/>
    <w:rsid w:val="005E100E"/>
    <w:rsid w:val="005E1021"/>
    <w:rsid w:val="005E1099"/>
    <w:rsid w:val="005E10CF"/>
    <w:rsid w:val="005E1105"/>
    <w:rsid w:val="005E1109"/>
    <w:rsid w:val="005E112B"/>
    <w:rsid w:val="005E117A"/>
    <w:rsid w:val="005E11ED"/>
    <w:rsid w:val="005E1268"/>
    <w:rsid w:val="005E12D0"/>
    <w:rsid w:val="005E1343"/>
    <w:rsid w:val="005E1377"/>
    <w:rsid w:val="005E13B2"/>
    <w:rsid w:val="005E13CD"/>
    <w:rsid w:val="005E1452"/>
    <w:rsid w:val="005E1458"/>
    <w:rsid w:val="005E149A"/>
    <w:rsid w:val="005E14A2"/>
    <w:rsid w:val="005E1551"/>
    <w:rsid w:val="005E156D"/>
    <w:rsid w:val="005E15A7"/>
    <w:rsid w:val="005E15E8"/>
    <w:rsid w:val="005E1657"/>
    <w:rsid w:val="005E1689"/>
    <w:rsid w:val="005E177A"/>
    <w:rsid w:val="005E1783"/>
    <w:rsid w:val="005E17B6"/>
    <w:rsid w:val="005E17C6"/>
    <w:rsid w:val="005E1800"/>
    <w:rsid w:val="005E190A"/>
    <w:rsid w:val="005E193F"/>
    <w:rsid w:val="005E195B"/>
    <w:rsid w:val="005E1995"/>
    <w:rsid w:val="005E1998"/>
    <w:rsid w:val="005E19DF"/>
    <w:rsid w:val="005E19F1"/>
    <w:rsid w:val="005E19F8"/>
    <w:rsid w:val="005E1A2C"/>
    <w:rsid w:val="005E1A4D"/>
    <w:rsid w:val="005E1A95"/>
    <w:rsid w:val="005E1A9D"/>
    <w:rsid w:val="005E1AA1"/>
    <w:rsid w:val="005E1B11"/>
    <w:rsid w:val="005E1B1F"/>
    <w:rsid w:val="005E1B84"/>
    <w:rsid w:val="005E1B95"/>
    <w:rsid w:val="005E1BA4"/>
    <w:rsid w:val="005E1C78"/>
    <w:rsid w:val="005E1CAA"/>
    <w:rsid w:val="005E1CD7"/>
    <w:rsid w:val="005E1D26"/>
    <w:rsid w:val="005E1D2D"/>
    <w:rsid w:val="005E1D34"/>
    <w:rsid w:val="005E1D4F"/>
    <w:rsid w:val="005E1D7E"/>
    <w:rsid w:val="005E1D94"/>
    <w:rsid w:val="005E1E02"/>
    <w:rsid w:val="005E1E05"/>
    <w:rsid w:val="005E1E0A"/>
    <w:rsid w:val="005E1E4C"/>
    <w:rsid w:val="005E1E65"/>
    <w:rsid w:val="005E1EC0"/>
    <w:rsid w:val="005E1EFA"/>
    <w:rsid w:val="005E1F03"/>
    <w:rsid w:val="005E1F35"/>
    <w:rsid w:val="005E1F9A"/>
    <w:rsid w:val="005E1FD5"/>
    <w:rsid w:val="005E2014"/>
    <w:rsid w:val="005E204B"/>
    <w:rsid w:val="005E2055"/>
    <w:rsid w:val="005E2056"/>
    <w:rsid w:val="005E2069"/>
    <w:rsid w:val="005E20D7"/>
    <w:rsid w:val="005E212C"/>
    <w:rsid w:val="005E2151"/>
    <w:rsid w:val="005E223A"/>
    <w:rsid w:val="005E224F"/>
    <w:rsid w:val="005E227B"/>
    <w:rsid w:val="005E22E7"/>
    <w:rsid w:val="005E22F9"/>
    <w:rsid w:val="005E2333"/>
    <w:rsid w:val="005E2340"/>
    <w:rsid w:val="005E23AB"/>
    <w:rsid w:val="005E23C0"/>
    <w:rsid w:val="005E2401"/>
    <w:rsid w:val="005E24B1"/>
    <w:rsid w:val="005E24E5"/>
    <w:rsid w:val="005E257E"/>
    <w:rsid w:val="005E25B9"/>
    <w:rsid w:val="005E25D7"/>
    <w:rsid w:val="005E2610"/>
    <w:rsid w:val="005E2707"/>
    <w:rsid w:val="005E2727"/>
    <w:rsid w:val="005E2779"/>
    <w:rsid w:val="005E28BE"/>
    <w:rsid w:val="005E2978"/>
    <w:rsid w:val="005E29E1"/>
    <w:rsid w:val="005E2A15"/>
    <w:rsid w:val="005E2B61"/>
    <w:rsid w:val="005E2B71"/>
    <w:rsid w:val="005E2B7B"/>
    <w:rsid w:val="005E2B7E"/>
    <w:rsid w:val="005E2B99"/>
    <w:rsid w:val="005E2BBA"/>
    <w:rsid w:val="005E2BC2"/>
    <w:rsid w:val="005E2C19"/>
    <w:rsid w:val="005E2C3A"/>
    <w:rsid w:val="005E2C52"/>
    <w:rsid w:val="005E2D0C"/>
    <w:rsid w:val="005E2D39"/>
    <w:rsid w:val="005E2D97"/>
    <w:rsid w:val="005E2DD0"/>
    <w:rsid w:val="005E2DDA"/>
    <w:rsid w:val="005E2E0D"/>
    <w:rsid w:val="005E2E2C"/>
    <w:rsid w:val="005E2E53"/>
    <w:rsid w:val="005E2E68"/>
    <w:rsid w:val="005E2EB9"/>
    <w:rsid w:val="005E2ECB"/>
    <w:rsid w:val="005E2F22"/>
    <w:rsid w:val="005E2F31"/>
    <w:rsid w:val="005E2F34"/>
    <w:rsid w:val="005E2F6B"/>
    <w:rsid w:val="005E300E"/>
    <w:rsid w:val="005E304B"/>
    <w:rsid w:val="005E3050"/>
    <w:rsid w:val="005E30CA"/>
    <w:rsid w:val="005E30DC"/>
    <w:rsid w:val="005E3155"/>
    <w:rsid w:val="005E3180"/>
    <w:rsid w:val="005E31C4"/>
    <w:rsid w:val="005E31C9"/>
    <w:rsid w:val="005E3235"/>
    <w:rsid w:val="005E32A8"/>
    <w:rsid w:val="005E32C5"/>
    <w:rsid w:val="005E3319"/>
    <w:rsid w:val="005E3350"/>
    <w:rsid w:val="005E337F"/>
    <w:rsid w:val="005E338C"/>
    <w:rsid w:val="005E33A3"/>
    <w:rsid w:val="005E3413"/>
    <w:rsid w:val="005E3452"/>
    <w:rsid w:val="005E345A"/>
    <w:rsid w:val="005E34A3"/>
    <w:rsid w:val="005E34F9"/>
    <w:rsid w:val="005E3539"/>
    <w:rsid w:val="005E3543"/>
    <w:rsid w:val="005E354A"/>
    <w:rsid w:val="005E3589"/>
    <w:rsid w:val="005E35CB"/>
    <w:rsid w:val="005E3638"/>
    <w:rsid w:val="005E363D"/>
    <w:rsid w:val="005E36A1"/>
    <w:rsid w:val="005E36F0"/>
    <w:rsid w:val="005E3743"/>
    <w:rsid w:val="005E3757"/>
    <w:rsid w:val="005E3847"/>
    <w:rsid w:val="005E3853"/>
    <w:rsid w:val="005E385B"/>
    <w:rsid w:val="005E38A0"/>
    <w:rsid w:val="005E38DA"/>
    <w:rsid w:val="005E393A"/>
    <w:rsid w:val="005E3968"/>
    <w:rsid w:val="005E39B8"/>
    <w:rsid w:val="005E39DA"/>
    <w:rsid w:val="005E3A2B"/>
    <w:rsid w:val="005E3A5B"/>
    <w:rsid w:val="005E3A60"/>
    <w:rsid w:val="005E3A8E"/>
    <w:rsid w:val="005E3AA4"/>
    <w:rsid w:val="005E3B25"/>
    <w:rsid w:val="005E3B68"/>
    <w:rsid w:val="005E3B9A"/>
    <w:rsid w:val="005E3BA5"/>
    <w:rsid w:val="005E3BCC"/>
    <w:rsid w:val="005E3BE2"/>
    <w:rsid w:val="005E3D29"/>
    <w:rsid w:val="005E3D38"/>
    <w:rsid w:val="005E3DC6"/>
    <w:rsid w:val="005E3DCF"/>
    <w:rsid w:val="005E3DEA"/>
    <w:rsid w:val="005E3DF5"/>
    <w:rsid w:val="005E3DF7"/>
    <w:rsid w:val="005E3E04"/>
    <w:rsid w:val="005E3E05"/>
    <w:rsid w:val="005E3E2B"/>
    <w:rsid w:val="005E3E61"/>
    <w:rsid w:val="005E3EE8"/>
    <w:rsid w:val="005E3EF0"/>
    <w:rsid w:val="005E3F28"/>
    <w:rsid w:val="005E3F79"/>
    <w:rsid w:val="005E3FE4"/>
    <w:rsid w:val="005E4007"/>
    <w:rsid w:val="005E400D"/>
    <w:rsid w:val="005E4010"/>
    <w:rsid w:val="005E405D"/>
    <w:rsid w:val="005E4068"/>
    <w:rsid w:val="005E40A5"/>
    <w:rsid w:val="005E40EF"/>
    <w:rsid w:val="005E411D"/>
    <w:rsid w:val="005E4163"/>
    <w:rsid w:val="005E4168"/>
    <w:rsid w:val="005E418D"/>
    <w:rsid w:val="005E41D5"/>
    <w:rsid w:val="005E4236"/>
    <w:rsid w:val="005E4237"/>
    <w:rsid w:val="005E4261"/>
    <w:rsid w:val="005E4264"/>
    <w:rsid w:val="005E4286"/>
    <w:rsid w:val="005E428B"/>
    <w:rsid w:val="005E4303"/>
    <w:rsid w:val="005E4335"/>
    <w:rsid w:val="005E4363"/>
    <w:rsid w:val="005E43B7"/>
    <w:rsid w:val="005E43F5"/>
    <w:rsid w:val="005E440B"/>
    <w:rsid w:val="005E4476"/>
    <w:rsid w:val="005E4489"/>
    <w:rsid w:val="005E448A"/>
    <w:rsid w:val="005E44D9"/>
    <w:rsid w:val="005E44FB"/>
    <w:rsid w:val="005E461F"/>
    <w:rsid w:val="005E4625"/>
    <w:rsid w:val="005E462E"/>
    <w:rsid w:val="005E4661"/>
    <w:rsid w:val="005E467C"/>
    <w:rsid w:val="005E4680"/>
    <w:rsid w:val="005E46EB"/>
    <w:rsid w:val="005E46F4"/>
    <w:rsid w:val="005E472A"/>
    <w:rsid w:val="005E4730"/>
    <w:rsid w:val="005E4754"/>
    <w:rsid w:val="005E477A"/>
    <w:rsid w:val="005E47A0"/>
    <w:rsid w:val="005E47DA"/>
    <w:rsid w:val="005E4811"/>
    <w:rsid w:val="005E482C"/>
    <w:rsid w:val="005E488C"/>
    <w:rsid w:val="005E489C"/>
    <w:rsid w:val="005E48B2"/>
    <w:rsid w:val="005E48B5"/>
    <w:rsid w:val="005E48F0"/>
    <w:rsid w:val="005E4947"/>
    <w:rsid w:val="005E4969"/>
    <w:rsid w:val="005E4981"/>
    <w:rsid w:val="005E49AC"/>
    <w:rsid w:val="005E49BE"/>
    <w:rsid w:val="005E49E1"/>
    <w:rsid w:val="005E49F3"/>
    <w:rsid w:val="005E4A3D"/>
    <w:rsid w:val="005E4A61"/>
    <w:rsid w:val="005E4A99"/>
    <w:rsid w:val="005E4AF9"/>
    <w:rsid w:val="005E4B25"/>
    <w:rsid w:val="005E4B71"/>
    <w:rsid w:val="005E4BBB"/>
    <w:rsid w:val="005E4BDA"/>
    <w:rsid w:val="005E4BFD"/>
    <w:rsid w:val="005E4C0B"/>
    <w:rsid w:val="005E4C61"/>
    <w:rsid w:val="005E4C68"/>
    <w:rsid w:val="005E4C7F"/>
    <w:rsid w:val="005E4C88"/>
    <w:rsid w:val="005E4CD0"/>
    <w:rsid w:val="005E4CF3"/>
    <w:rsid w:val="005E4D77"/>
    <w:rsid w:val="005E4D7B"/>
    <w:rsid w:val="005E4DA8"/>
    <w:rsid w:val="005E4DAE"/>
    <w:rsid w:val="005E4DC6"/>
    <w:rsid w:val="005E4E60"/>
    <w:rsid w:val="005E4F2D"/>
    <w:rsid w:val="005E4F57"/>
    <w:rsid w:val="005E4F9E"/>
    <w:rsid w:val="005E4FA3"/>
    <w:rsid w:val="005E4FB8"/>
    <w:rsid w:val="005E4FE9"/>
    <w:rsid w:val="005E4FEA"/>
    <w:rsid w:val="005E4FFA"/>
    <w:rsid w:val="005E500E"/>
    <w:rsid w:val="005E5063"/>
    <w:rsid w:val="005E508C"/>
    <w:rsid w:val="005E50CC"/>
    <w:rsid w:val="005E5107"/>
    <w:rsid w:val="005E5120"/>
    <w:rsid w:val="005E5188"/>
    <w:rsid w:val="005E51DA"/>
    <w:rsid w:val="005E5208"/>
    <w:rsid w:val="005E5289"/>
    <w:rsid w:val="005E5291"/>
    <w:rsid w:val="005E52AC"/>
    <w:rsid w:val="005E52F4"/>
    <w:rsid w:val="005E52F9"/>
    <w:rsid w:val="005E530B"/>
    <w:rsid w:val="005E5340"/>
    <w:rsid w:val="005E53DB"/>
    <w:rsid w:val="005E53DE"/>
    <w:rsid w:val="005E53E7"/>
    <w:rsid w:val="005E5434"/>
    <w:rsid w:val="005E5446"/>
    <w:rsid w:val="005E5475"/>
    <w:rsid w:val="005E54FF"/>
    <w:rsid w:val="005E5509"/>
    <w:rsid w:val="005E552F"/>
    <w:rsid w:val="005E5572"/>
    <w:rsid w:val="005E5586"/>
    <w:rsid w:val="005E55D9"/>
    <w:rsid w:val="005E5636"/>
    <w:rsid w:val="005E564D"/>
    <w:rsid w:val="005E5654"/>
    <w:rsid w:val="005E5716"/>
    <w:rsid w:val="005E573C"/>
    <w:rsid w:val="005E575D"/>
    <w:rsid w:val="005E5765"/>
    <w:rsid w:val="005E5781"/>
    <w:rsid w:val="005E57B0"/>
    <w:rsid w:val="005E5800"/>
    <w:rsid w:val="005E5809"/>
    <w:rsid w:val="005E580B"/>
    <w:rsid w:val="005E5872"/>
    <w:rsid w:val="005E589D"/>
    <w:rsid w:val="005E58B0"/>
    <w:rsid w:val="005E5922"/>
    <w:rsid w:val="005E59A0"/>
    <w:rsid w:val="005E59EA"/>
    <w:rsid w:val="005E5A42"/>
    <w:rsid w:val="005E5A52"/>
    <w:rsid w:val="005E5A8A"/>
    <w:rsid w:val="005E5AF2"/>
    <w:rsid w:val="005E5B2C"/>
    <w:rsid w:val="005E5B33"/>
    <w:rsid w:val="005E5B62"/>
    <w:rsid w:val="005E5B69"/>
    <w:rsid w:val="005E5BB6"/>
    <w:rsid w:val="005E5C00"/>
    <w:rsid w:val="005E5C05"/>
    <w:rsid w:val="005E5C2E"/>
    <w:rsid w:val="005E5CA7"/>
    <w:rsid w:val="005E5CE2"/>
    <w:rsid w:val="005E5CE6"/>
    <w:rsid w:val="005E5D04"/>
    <w:rsid w:val="005E5D65"/>
    <w:rsid w:val="005E5D7F"/>
    <w:rsid w:val="005E5DA6"/>
    <w:rsid w:val="005E5DAD"/>
    <w:rsid w:val="005E5DBF"/>
    <w:rsid w:val="005E5DC9"/>
    <w:rsid w:val="005E5DE1"/>
    <w:rsid w:val="005E5DF5"/>
    <w:rsid w:val="005E5DFF"/>
    <w:rsid w:val="005E5E23"/>
    <w:rsid w:val="005E5ED7"/>
    <w:rsid w:val="005E5F23"/>
    <w:rsid w:val="005E5FB0"/>
    <w:rsid w:val="005E5FC6"/>
    <w:rsid w:val="005E5FDC"/>
    <w:rsid w:val="005E5FE5"/>
    <w:rsid w:val="005E6000"/>
    <w:rsid w:val="005E6021"/>
    <w:rsid w:val="005E614E"/>
    <w:rsid w:val="005E6190"/>
    <w:rsid w:val="005E6218"/>
    <w:rsid w:val="005E6287"/>
    <w:rsid w:val="005E6293"/>
    <w:rsid w:val="005E6318"/>
    <w:rsid w:val="005E6329"/>
    <w:rsid w:val="005E632F"/>
    <w:rsid w:val="005E63A0"/>
    <w:rsid w:val="005E63EC"/>
    <w:rsid w:val="005E642B"/>
    <w:rsid w:val="005E642F"/>
    <w:rsid w:val="005E643D"/>
    <w:rsid w:val="005E6453"/>
    <w:rsid w:val="005E6468"/>
    <w:rsid w:val="005E6508"/>
    <w:rsid w:val="005E652B"/>
    <w:rsid w:val="005E65A0"/>
    <w:rsid w:val="005E65A5"/>
    <w:rsid w:val="005E65BC"/>
    <w:rsid w:val="005E65E4"/>
    <w:rsid w:val="005E65F1"/>
    <w:rsid w:val="005E661A"/>
    <w:rsid w:val="005E6622"/>
    <w:rsid w:val="005E666A"/>
    <w:rsid w:val="005E66A1"/>
    <w:rsid w:val="005E66A4"/>
    <w:rsid w:val="005E66E9"/>
    <w:rsid w:val="005E66F1"/>
    <w:rsid w:val="005E672D"/>
    <w:rsid w:val="005E6786"/>
    <w:rsid w:val="005E678D"/>
    <w:rsid w:val="005E67CF"/>
    <w:rsid w:val="005E67D7"/>
    <w:rsid w:val="005E680F"/>
    <w:rsid w:val="005E6836"/>
    <w:rsid w:val="005E6869"/>
    <w:rsid w:val="005E6884"/>
    <w:rsid w:val="005E689C"/>
    <w:rsid w:val="005E68A3"/>
    <w:rsid w:val="005E68FC"/>
    <w:rsid w:val="005E6912"/>
    <w:rsid w:val="005E6937"/>
    <w:rsid w:val="005E695C"/>
    <w:rsid w:val="005E699A"/>
    <w:rsid w:val="005E69D9"/>
    <w:rsid w:val="005E6A25"/>
    <w:rsid w:val="005E6A27"/>
    <w:rsid w:val="005E6A66"/>
    <w:rsid w:val="005E6A80"/>
    <w:rsid w:val="005E6A99"/>
    <w:rsid w:val="005E6AB0"/>
    <w:rsid w:val="005E6ACD"/>
    <w:rsid w:val="005E6ACE"/>
    <w:rsid w:val="005E6B81"/>
    <w:rsid w:val="005E6B9C"/>
    <w:rsid w:val="005E6B9D"/>
    <w:rsid w:val="005E6BD4"/>
    <w:rsid w:val="005E6BD6"/>
    <w:rsid w:val="005E6C08"/>
    <w:rsid w:val="005E6C58"/>
    <w:rsid w:val="005E6CBC"/>
    <w:rsid w:val="005E6D33"/>
    <w:rsid w:val="005E6D3C"/>
    <w:rsid w:val="005E6D48"/>
    <w:rsid w:val="005E6D49"/>
    <w:rsid w:val="005E6D5F"/>
    <w:rsid w:val="005E6DB6"/>
    <w:rsid w:val="005E6E07"/>
    <w:rsid w:val="005E6E2D"/>
    <w:rsid w:val="005E6E52"/>
    <w:rsid w:val="005E6EED"/>
    <w:rsid w:val="005E6F19"/>
    <w:rsid w:val="005E6F1F"/>
    <w:rsid w:val="005E7039"/>
    <w:rsid w:val="005E708C"/>
    <w:rsid w:val="005E7095"/>
    <w:rsid w:val="005E70D6"/>
    <w:rsid w:val="005E70F0"/>
    <w:rsid w:val="005E7147"/>
    <w:rsid w:val="005E7177"/>
    <w:rsid w:val="005E71B1"/>
    <w:rsid w:val="005E7211"/>
    <w:rsid w:val="005E7213"/>
    <w:rsid w:val="005E721B"/>
    <w:rsid w:val="005E725B"/>
    <w:rsid w:val="005E7263"/>
    <w:rsid w:val="005E726B"/>
    <w:rsid w:val="005E72D1"/>
    <w:rsid w:val="005E72D9"/>
    <w:rsid w:val="005E7334"/>
    <w:rsid w:val="005E73C7"/>
    <w:rsid w:val="005E7439"/>
    <w:rsid w:val="005E74A0"/>
    <w:rsid w:val="005E74BC"/>
    <w:rsid w:val="005E74C5"/>
    <w:rsid w:val="005E74FF"/>
    <w:rsid w:val="005E7557"/>
    <w:rsid w:val="005E757F"/>
    <w:rsid w:val="005E75D4"/>
    <w:rsid w:val="005E763E"/>
    <w:rsid w:val="005E76BC"/>
    <w:rsid w:val="005E76F7"/>
    <w:rsid w:val="005E770C"/>
    <w:rsid w:val="005E7715"/>
    <w:rsid w:val="005E7719"/>
    <w:rsid w:val="005E7769"/>
    <w:rsid w:val="005E7790"/>
    <w:rsid w:val="005E77AC"/>
    <w:rsid w:val="005E77AF"/>
    <w:rsid w:val="005E77C1"/>
    <w:rsid w:val="005E77C4"/>
    <w:rsid w:val="005E7800"/>
    <w:rsid w:val="005E7828"/>
    <w:rsid w:val="005E7897"/>
    <w:rsid w:val="005E78CA"/>
    <w:rsid w:val="005E78EC"/>
    <w:rsid w:val="005E790C"/>
    <w:rsid w:val="005E79A4"/>
    <w:rsid w:val="005E79A8"/>
    <w:rsid w:val="005E79C9"/>
    <w:rsid w:val="005E79FD"/>
    <w:rsid w:val="005E7A08"/>
    <w:rsid w:val="005E7A09"/>
    <w:rsid w:val="005E7A59"/>
    <w:rsid w:val="005E7A9A"/>
    <w:rsid w:val="005E7AA5"/>
    <w:rsid w:val="005E7AC7"/>
    <w:rsid w:val="005E7B2E"/>
    <w:rsid w:val="005E7B35"/>
    <w:rsid w:val="005E7B3C"/>
    <w:rsid w:val="005E7B44"/>
    <w:rsid w:val="005E7BD7"/>
    <w:rsid w:val="005E7BDB"/>
    <w:rsid w:val="005E7C65"/>
    <w:rsid w:val="005E7CEA"/>
    <w:rsid w:val="005E7D07"/>
    <w:rsid w:val="005E7D2A"/>
    <w:rsid w:val="005E7D3D"/>
    <w:rsid w:val="005E7D54"/>
    <w:rsid w:val="005E7D98"/>
    <w:rsid w:val="005E7DB3"/>
    <w:rsid w:val="005E7E12"/>
    <w:rsid w:val="005E7EC6"/>
    <w:rsid w:val="005E7ED2"/>
    <w:rsid w:val="005E7EF5"/>
    <w:rsid w:val="005E7F1A"/>
    <w:rsid w:val="005E7F66"/>
    <w:rsid w:val="005E7FAD"/>
    <w:rsid w:val="005E7FE1"/>
    <w:rsid w:val="005E7FE5"/>
    <w:rsid w:val="005F0009"/>
    <w:rsid w:val="005F000F"/>
    <w:rsid w:val="005F0025"/>
    <w:rsid w:val="005F0090"/>
    <w:rsid w:val="005F00B4"/>
    <w:rsid w:val="005F0159"/>
    <w:rsid w:val="005F01B8"/>
    <w:rsid w:val="005F020E"/>
    <w:rsid w:val="005F021B"/>
    <w:rsid w:val="005F023E"/>
    <w:rsid w:val="005F0265"/>
    <w:rsid w:val="005F0281"/>
    <w:rsid w:val="005F02B1"/>
    <w:rsid w:val="005F02C4"/>
    <w:rsid w:val="005F042D"/>
    <w:rsid w:val="005F0475"/>
    <w:rsid w:val="005F04EC"/>
    <w:rsid w:val="005F04FF"/>
    <w:rsid w:val="005F0593"/>
    <w:rsid w:val="005F05B3"/>
    <w:rsid w:val="005F05BB"/>
    <w:rsid w:val="005F0612"/>
    <w:rsid w:val="005F0617"/>
    <w:rsid w:val="005F0649"/>
    <w:rsid w:val="005F0664"/>
    <w:rsid w:val="005F0696"/>
    <w:rsid w:val="005F06AB"/>
    <w:rsid w:val="005F074F"/>
    <w:rsid w:val="005F0757"/>
    <w:rsid w:val="005F07C5"/>
    <w:rsid w:val="005F07F7"/>
    <w:rsid w:val="005F0805"/>
    <w:rsid w:val="005F0848"/>
    <w:rsid w:val="005F0938"/>
    <w:rsid w:val="005F095E"/>
    <w:rsid w:val="005F09B8"/>
    <w:rsid w:val="005F09BE"/>
    <w:rsid w:val="005F09D8"/>
    <w:rsid w:val="005F0AB7"/>
    <w:rsid w:val="005F0B13"/>
    <w:rsid w:val="005F0B25"/>
    <w:rsid w:val="005F0B27"/>
    <w:rsid w:val="005F0BBB"/>
    <w:rsid w:val="005F0C18"/>
    <w:rsid w:val="005F0C1F"/>
    <w:rsid w:val="005F0C99"/>
    <w:rsid w:val="005F0CA0"/>
    <w:rsid w:val="005F0CE6"/>
    <w:rsid w:val="005F0D17"/>
    <w:rsid w:val="005F0D18"/>
    <w:rsid w:val="005F0D1C"/>
    <w:rsid w:val="005F0D41"/>
    <w:rsid w:val="005F0D8D"/>
    <w:rsid w:val="005F0DF9"/>
    <w:rsid w:val="005F0E2C"/>
    <w:rsid w:val="005F0E64"/>
    <w:rsid w:val="005F0E9E"/>
    <w:rsid w:val="005F0EE6"/>
    <w:rsid w:val="005F0EE8"/>
    <w:rsid w:val="005F0F6C"/>
    <w:rsid w:val="005F0F8E"/>
    <w:rsid w:val="005F0F95"/>
    <w:rsid w:val="005F0F9D"/>
    <w:rsid w:val="005F0FD5"/>
    <w:rsid w:val="005F109F"/>
    <w:rsid w:val="005F10D3"/>
    <w:rsid w:val="005F10E3"/>
    <w:rsid w:val="005F10F8"/>
    <w:rsid w:val="005F1131"/>
    <w:rsid w:val="005F113F"/>
    <w:rsid w:val="005F1165"/>
    <w:rsid w:val="005F1171"/>
    <w:rsid w:val="005F118F"/>
    <w:rsid w:val="005F121C"/>
    <w:rsid w:val="005F1266"/>
    <w:rsid w:val="005F126F"/>
    <w:rsid w:val="005F12B7"/>
    <w:rsid w:val="005F12CD"/>
    <w:rsid w:val="005F12DC"/>
    <w:rsid w:val="005F1301"/>
    <w:rsid w:val="005F1322"/>
    <w:rsid w:val="005F138A"/>
    <w:rsid w:val="005F13A6"/>
    <w:rsid w:val="005F13FD"/>
    <w:rsid w:val="005F14F9"/>
    <w:rsid w:val="005F150E"/>
    <w:rsid w:val="005F1513"/>
    <w:rsid w:val="005F151D"/>
    <w:rsid w:val="005F152D"/>
    <w:rsid w:val="005F1538"/>
    <w:rsid w:val="005F154F"/>
    <w:rsid w:val="005F1582"/>
    <w:rsid w:val="005F15A1"/>
    <w:rsid w:val="005F15A9"/>
    <w:rsid w:val="005F163D"/>
    <w:rsid w:val="005F1647"/>
    <w:rsid w:val="005F1648"/>
    <w:rsid w:val="005F1670"/>
    <w:rsid w:val="005F1680"/>
    <w:rsid w:val="005F1691"/>
    <w:rsid w:val="005F16A5"/>
    <w:rsid w:val="005F16C7"/>
    <w:rsid w:val="005F1714"/>
    <w:rsid w:val="005F1719"/>
    <w:rsid w:val="005F1729"/>
    <w:rsid w:val="005F1772"/>
    <w:rsid w:val="005F178F"/>
    <w:rsid w:val="005F17B4"/>
    <w:rsid w:val="005F17CC"/>
    <w:rsid w:val="005F17FD"/>
    <w:rsid w:val="005F1826"/>
    <w:rsid w:val="005F1839"/>
    <w:rsid w:val="005F1847"/>
    <w:rsid w:val="005F18D3"/>
    <w:rsid w:val="005F1963"/>
    <w:rsid w:val="005F196F"/>
    <w:rsid w:val="005F19BB"/>
    <w:rsid w:val="005F19E1"/>
    <w:rsid w:val="005F1A7F"/>
    <w:rsid w:val="005F1A8F"/>
    <w:rsid w:val="005F1B92"/>
    <w:rsid w:val="005F1BBB"/>
    <w:rsid w:val="005F1BDD"/>
    <w:rsid w:val="005F1BE1"/>
    <w:rsid w:val="005F1C43"/>
    <w:rsid w:val="005F1C4B"/>
    <w:rsid w:val="005F1C5F"/>
    <w:rsid w:val="005F1C78"/>
    <w:rsid w:val="005F1C7B"/>
    <w:rsid w:val="005F1D42"/>
    <w:rsid w:val="005F1D48"/>
    <w:rsid w:val="005F1D53"/>
    <w:rsid w:val="005F1DA3"/>
    <w:rsid w:val="005F1DA8"/>
    <w:rsid w:val="005F1DBF"/>
    <w:rsid w:val="005F1DE4"/>
    <w:rsid w:val="005F1DE6"/>
    <w:rsid w:val="005F1DF8"/>
    <w:rsid w:val="005F1E1F"/>
    <w:rsid w:val="005F1E28"/>
    <w:rsid w:val="005F1E53"/>
    <w:rsid w:val="005F1E75"/>
    <w:rsid w:val="005F1EC1"/>
    <w:rsid w:val="005F1EDC"/>
    <w:rsid w:val="005F1EEB"/>
    <w:rsid w:val="005F1F33"/>
    <w:rsid w:val="005F1F39"/>
    <w:rsid w:val="005F1F42"/>
    <w:rsid w:val="005F1FBC"/>
    <w:rsid w:val="005F1FD0"/>
    <w:rsid w:val="005F1FFA"/>
    <w:rsid w:val="005F2007"/>
    <w:rsid w:val="005F2082"/>
    <w:rsid w:val="005F20A6"/>
    <w:rsid w:val="005F20EA"/>
    <w:rsid w:val="005F212B"/>
    <w:rsid w:val="005F2159"/>
    <w:rsid w:val="005F217E"/>
    <w:rsid w:val="005F219C"/>
    <w:rsid w:val="005F21CA"/>
    <w:rsid w:val="005F21D4"/>
    <w:rsid w:val="005F2229"/>
    <w:rsid w:val="005F229F"/>
    <w:rsid w:val="005F22DD"/>
    <w:rsid w:val="005F22DF"/>
    <w:rsid w:val="005F22E0"/>
    <w:rsid w:val="005F2306"/>
    <w:rsid w:val="005F2357"/>
    <w:rsid w:val="005F241E"/>
    <w:rsid w:val="005F24AE"/>
    <w:rsid w:val="005F24EB"/>
    <w:rsid w:val="005F24F9"/>
    <w:rsid w:val="005F2539"/>
    <w:rsid w:val="005F256E"/>
    <w:rsid w:val="005F2672"/>
    <w:rsid w:val="005F26B0"/>
    <w:rsid w:val="005F26BF"/>
    <w:rsid w:val="005F26D8"/>
    <w:rsid w:val="005F26F2"/>
    <w:rsid w:val="005F2701"/>
    <w:rsid w:val="005F272A"/>
    <w:rsid w:val="005F2738"/>
    <w:rsid w:val="005F2739"/>
    <w:rsid w:val="005F2762"/>
    <w:rsid w:val="005F2798"/>
    <w:rsid w:val="005F27BA"/>
    <w:rsid w:val="005F27D3"/>
    <w:rsid w:val="005F27D8"/>
    <w:rsid w:val="005F27F7"/>
    <w:rsid w:val="005F280E"/>
    <w:rsid w:val="005F281E"/>
    <w:rsid w:val="005F282B"/>
    <w:rsid w:val="005F2830"/>
    <w:rsid w:val="005F296D"/>
    <w:rsid w:val="005F29AD"/>
    <w:rsid w:val="005F29C5"/>
    <w:rsid w:val="005F29FF"/>
    <w:rsid w:val="005F2A12"/>
    <w:rsid w:val="005F2A7A"/>
    <w:rsid w:val="005F2A95"/>
    <w:rsid w:val="005F2AA1"/>
    <w:rsid w:val="005F2AC0"/>
    <w:rsid w:val="005F2AF5"/>
    <w:rsid w:val="005F2B1E"/>
    <w:rsid w:val="005F2B66"/>
    <w:rsid w:val="005F2B76"/>
    <w:rsid w:val="005F2BF0"/>
    <w:rsid w:val="005F2C0D"/>
    <w:rsid w:val="005F2C60"/>
    <w:rsid w:val="005F2C61"/>
    <w:rsid w:val="005F2C82"/>
    <w:rsid w:val="005F2C9F"/>
    <w:rsid w:val="005F2CBB"/>
    <w:rsid w:val="005F2CC5"/>
    <w:rsid w:val="005F2CE4"/>
    <w:rsid w:val="005F2D03"/>
    <w:rsid w:val="005F2D37"/>
    <w:rsid w:val="005F2D7B"/>
    <w:rsid w:val="005F2DDB"/>
    <w:rsid w:val="005F2DE3"/>
    <w:rsid w:val="005F2EBF"/>
    <w:rsid w:val="005F2F0B"/>
    <w:rsid w:val="005F2F3F"/>
    <w:rsid w:val="005F2F75"/>
    <w:rsid w:val="005F2F7F"/>
    <w:rsid w:val="005F2FA2"/>
    <w:rsid w:val="005F3035"/>
    <w:rsid w:val="005F3044"/>
    <w:rsid w:val="005F305A"/>
    <w:rsid w:val="005F307E"/>
    <w:rsid w:val="005F30C6"/>
    <w:rsid w:val="005F3179"/>
    <w:rsid w:val="005F3182"/>
    <w:rsid w:val="005F31E2"/>
    <w:rsid w:val="005F3266"/>
    <w:rsid w:val="005F326F"/>
    <w:rsid w:val="005F3283"/>
    <w:rsid w:val="005F3284"/>
    <w:rsid w:val="005F3291"/>
    <w:rsid w:val="005F32B9"/>
    <w:rsid w:val="005F32BF"/>
    <w:rsid w:val="005F32C2"/>
    <w:rsid w:val="005F3301"/>
    <w:rsid w:val="005F3324"/>
    <w:rsid w:val="005F332B"/>
    <w:rsid w:val="005F3336"/>
    <w:rsid w:val="005F3346"/>
    <w:rsid w:val="005F33BA"/>
    <w:rsid w:val="005F33BB"/>
    <w:rsid w:val="005F33DC"/>
    <w:rsid w:val="005F3420"/>
    <w:rsid w:val="005F3429"/>
    <w:rsid w:val="005F344F"/>
    <w:rsid w:val="005F3464"/>
    <w:rsid w:val="005F34A5"/>
    <w:rsid w:val="005F34A6"/>
    <w:rsid w:val="005F34AC"/>
    <w:rsid w:val="005F34DF"/>
    <w:rsid w:val="005F34F0"/>
    <w:rsid w:val="005F3519"/>
    <w:rsid w:val="005F3539"/>
    <w:rsid w:val="005F3559"/>
    <w:rsid w:val="005F3575"/>
    <w:rsid w:val="005F35B9"/>
    <w:rsid w:val="005F35CE"/>
    <w:rsid w:val="005F3615"/>
    <w:rsid w:val="005F3669"/>
    <w:rsid w:val="005F367E"/>
    <w:rsid w:val="005F36E8"/>
    <w:rsid w:val="005F3712"/>
    <w:rsid w:val="005F3717"/>
    <w:rsid w:val="005F3777"/>
    <w:rsid w:val="005F37AD"/>
    <w:rsid w:val="005F37D0"/>
    <w:rsid w:val="005F37D8"/>
    <w:rsid w:val="005F37E2"/>
    <w:rsid w:val="005F3816"/>
    <w:rsid w:val="005F381B"/>
    <w:rsid w:val="005F3829"/>
    <w:rsid w:val="005F382E"/>
    <w:rsid w:val="005F3908"/>
    <w:rsid w:val="005F3954"/>
    <w:rsid w:val="005F3974"/>
    <w:rsid w:val="005F3977"/>
    <w:rsid w:val="005F397B"/>
    <w:rsid w:val="005F39CF"/>
    <w:rsid w:val="005F3A72"/>
    <w:rsid w:val="005F3AB0"/>
    <w:rsid w:val="005F3AFA"/>
    <w:rsid w:val="005F3B15"/>
    <w:rsid w:val="005F3B29"/>
    <w:rsid w:val="005F3BC2"/>
    <w:rsid w:val="005F3BCB"/>
    <w:rsid w:val="005F3C06"/>
    <w:rsid w:val="005F3C9F"/>
    <w:rsid w:val="005F3D52"/>
    <w:rsid w:val="005F3D75"/>
    <w:rsid w:val="005F3D8B"/>
    <w:rsid w:val="005F3DE0"/>
    <w:rsid w:val="005F3E34"/>
    <w:rsid w:val="005F3E83"/>
    <w:rsid w:val="005F3EBD"/>
    <w:rsid w:val="005F3EC2"/>
    <w:rsid w:val="005F3EE5"/>
    <w:rsid w:val="005F3EF4"/>
    <w:rsid w:val="005F3F2F"/>
    <w:rsid w:val="005F4016"/>
    <w:rsid w:val="005F401D"/>
    <w:rsid w:val="005F4036"/>
    <w:rsid w:val="005F4069"/>
    <w:rsid w:val="005F40EE"/>
    <w:rsid w:val="005F40F8"/>
    <w:rsid w:val="005F410F"/>
    <w:rsid w:val="005F41CF"/>
    <w:rsid w:val="005F4283"/>
    <w:rsid w:val="005F428E"/>
    <w:rsid w:val="005F4296"/>
    <w:rsid w:val="005F42EA"/>
    <w:rsid w:val="005F42FB"/>
    <w:rsid w:val="005F4309"/>
    <w:rsid w:val="005F4394"/>
    <w:rsid w:val="005F442F"/>
    <w:rsid w:val="005F444C"/>
    <w:rsid w:val="005F444E"/>
    <w:rsid w:val="005F44A5"/>
    <w:rsid w:val="005F44B4"/>
    <w:rsid w:val="005F44DE"/>
    <w:rsid w:val="005F452B"/>
    <w:rsid w:val="005F453B"/>
    <w:rsid w:val="005F456D"/>
    <w:rsid w:val="005F459B"/>
    <w:rsid w:val="005F461F"/>
    <w:rsid w:val="005F4626"/>
    <w:rsid w:val="005F4633"/>
    <w:rsid w:val="005F4656"/>
    <w:rsid w:val="005F466D"/>
    <w:rsid w:val="005F4694"/>
    <w:rsid w:val="005F4701"/>
    <w:rsid w:val="005F4706"/>
    <w:rsid w:val="005F473C"/>
    <w:rsid w:val="005F4777"/>
    <w:rsid w:val="005F47BB"/>
    <w:rsid w:val="005F47FA"/>
    <w:rsid w:val="005F4899"/>
    <w:rsid w:val="005F48CD"/>
    <w:rsid w:val="005F4956"/>
    <w:rsid w:val="005F4964"/>
    <w:rsid w:val="005F4988"/>
    <w:rsid w:val="005F49A4"/>
    <w:rsid w:val="005F49C7"/>
    <w:rsid w:val="005F49E2"/>
    <w:rsid w:val="005F49E9"/>
    <w:rsid w:val="005F4A03"/>
    <w:rsid w:val="005F4A24"/>
    <w:rsid w:val="005F4A81"/>
    <w:rsid w:val="005F4A90"/>
    <w:rsid w:val="005F4AED"/>
    <w:rsid w:val="005F4B36"/>
    <w:rsid w:val="005F4B47"/>
    <w:rsid w:val="005F4B8B"/>
    <w:rsid w:val="005F4BC1"/>
    <w:rsid w:val="005F4BC8"/>
    <w:rsid w:val="005F4C09"/>
    <w:rsid w:val="005F4C1F"/>
    <w:rsid w:val="005F4C27"/>
    <w:rsid w:val="005F4C3E"/>
    <w:rsid w:val="005F4C8C"/>
    <w:rsid w:val="005F4CD1"/>
    <w:rsid w:val="005F4D00"/>
    <w:rsid w:val="005F4D99"/>
    <w:rsid w:val="005F4DA6"/>
    <w:rsid w:val="005F4DAF"/>
    <w:rsid w:val="005F4DF5"/>
    <w:rsid w:val="005F4E25"/>
    <w:rsid w:val="005F4E29"/>
    <w:rsid w:val="005F4E99"/>
    <w:rsid w:val="005F4EC1"/>
    <w:rsid w:val="005F4EC8"/>
    <w:rsid w:val="005F4EE7"/>
    <w:rsid w:val="005F4F21"/>
    <w:rsid w:val="005F4F2D"/>
    <w:rsid w:val="005F4F45"/>
    <w:rsid w:val="005F4F7C"/>
    <w:rsid w:val="005F4FA1"/>
    <w:rsid w:val="005F4FEA"/>
    <w:rsid w:val="005F5025"/>
    <w:rsid w:val="005F506A"/>
    <w:rsid w:val="005F5090"/>
    <w:rsid w:val="005F50AB"/>
    <w:rsid w:val="005F50F5"/>
    <w:rsid w:val="005F513C"/>
    <w:rsid w:val="005F51CE"/>
    <w:rsid w:val="005F521A"/>
    <w:rsid w:val="005F5224"/>
    <w:rsid w:val="005F5255"/>
    <w:rsid w:val="005F5271"/>
    <w:rsid w:val="005F5276"/>
    <w:rsid w:val="005F529F"/>
    <w:rsid w:val="005F52B1"/>
    <w:rsid w:val="005F52BC"/>
    <w:rsid w:val="005F5330"/>
    <w:rsid w:val="005F537A"/>
    <w:rsid w:val="005F53DD"/>
    <w:rsid w:val="005F53E8"/>
    <w:rsid w:val="005F543E"/>
    <w:rsid w:val="005F5450"/>
    <w:rsid w:val="005F5459"/>
    <w:rsid w:val="005F545C"/>
    <w:rsid w:val="005F5468"/>
    <w:rsid w:val="005F5541"/>
    <w:rsid w:val="005F554F"/>
    <w:rsid w:val="005F555C"/>
    <w:rsid w:val="005F55A8"/>
    <w:rsid w:val="005F55F8"/>
    <w:rsid w:val="005F55FE"/>
    <w:rsid w:val="005F564C"/>
    <w:rsid w:val="005F564E"/>
    <w:rsid w:val="005F569B"/>
    <w:rsid w:val="005F56AE"/>
    <w:rsid w:val="005F56F0"/>
    <w:rsid w:val="005F5701"/>
    <w:rsid w:val="005F57A8"/>
    <w:rsid w:val="005F57CC"/>
    <w:rsid w:val="005F5841"/>
    <w:rsid w:val="005F5861"/>
    <w:rsid w:val="005F590A"/>
    <w:rsid w:val="005F5951"/>
    <w:rsid w:val="005F59A2"/>
    <w:rsid w:val="005F5A76"/>
    <w:rsid w:val="005F5A8A"/>
    <w:rsid w:val="005F5A8B"/>
    <w:rsid w:val="005F5B1B"/>
    <w:rsid w:val="005F5B45"/>
    <w:rsid w:val="005F5BB7"/>
    <w:rsid w:val="005F5BDE"/>
    <w:rsid w:val="005F5BE7"/>
    <w:rsid w:val="005F5BFB"/>
    <w:rsid w:val="005F5CB5"/>
    <w:rsid w:val="005F5CC6"/>
    <w:rsid w:val="005F5CD4"/>
    <w:rsid w:val="005F5CE4"/>
    <w:rsid w:val="005F5D1A"/>
    <w:rsid w:val="005F5D3A"/>
    <w:rsid w:val="005F5D83"/>
    <w:rsid w:val="005F5D95"/>
    <w:rsid w:val="005F5DAB"/>
    <w:rsid w:val="005F5E1F"/>
    <w:rsid w:val="005F5E93"/>
    <w:rsid w:val="005F5EA5"/>
    <w:rsid w:val="005F5EB2"/>
    <w:rsid w:val="005F5EE4"/>
    <w:rsid w:val="005F5F29"/>
    <w:rsid w:val="005F5F32"/>
    <w:rsid w:val="005F5F34"/>
    <w:rsid w:val="005F5F38"/>
    <w:rsid w:val="005F5F66"/>
    <w:rsid w:val="005F5F8E"/>
    <w:rsid w:val="005F5FC7"/>
    <w:rsid w:val="005F6027"/>
    <w:rsid w:val="005F6049"/>
    <w:rsid w:val="005F60C6"/>
    <w:rsid w:val="005F60CC"/>
    <w:rsid w:val="005F6121"/>
    <w:rsid w:val="005F6157"/>
    <w:rsid w:val="005F61A7"/>
    <w:rsid w:val="005F61ED"/>
    <w:rsid w:val="005F622B"/>
    <w:rsid w:val="005F62C5"/>
    <w:rsid w:val="005F62E1"/>
    <w:rsid w:val="005F633E"/>
    <w:rsid w:val="005F6362"/>
    <w:rsid w:val="005F6379"/>
    <w:rsid w:val="005F63F1"/>
    <w:rsid w:val="005F6411"/>
    <w:rsid w:val="005F6458"/>
    <w:rsid w:val="005F64E4"/>
    <w:rsid w:val="005F64F7"/>
    <w:rsid w:val="005F6501"/>
    <w:rsid w:val="005F650B"/>
    <w:rsid w:val="005F659A"/>
    <w:rsid w:val="005F6620"/>
    <w:rsid w:val="005F6624"/>
    <w:rsid w:val="005F6688"/>
    <w:rsid w:val="005F668F"/>
    <w:rsid w:val="005F66B7"/>
    <w:rsid w:val="005F66C3"/>
    <w:rsid w:val="005F66D2"/>
    <w:rsid w:val="005F66D3"/>
    <w:rsid w:val="005F670D"/>
    <w:rsid w:val="005F6721"/>
    <w:rsid w:val="005F673D"/>
    <w:rsid w:val="005F673F"/>
    <w:rsid w:val="005F674D"/>
    <w:rsid w:val="005F677E"/>
    <w:rsid w:val="005F6798"/>
    <w:rsid w:val="005F679B"/>
    <w:rsid w:val="005F67C9"/>
    <w:rsid w:val="005F6828"/>
    <w:rsid w:val="005F682B"/>
    <w:rsid w:val="005F6883"/>
    <w:rsid w:val="005F6890"/>
    <w:rsid w:val="005F68A0"/>
    <w:rsid w:val="005F68AE"/>
    <w:rsid w:val="005F68BB"/>
    <w:rsid w:val="005F68D9"/>
    <w:rsid w:val="005F690F"/>
    <w:rsid w:val="005F6915"/>
    <w:rsid w:val="005F6923"/>
    <w:rsid w:val="005F694A"/>
    <w:rsid w:val="005F69AB"/>
    <w:rsid w:val="005F69B0"/>
    <w:rsid w:val="005F69C6"/>
    <w:rsid w:val="005F6A16"/>
    <w:rsid w:val="005F6A1C"/>
    <w:rsid w:val="005F6A53"/>
    <w:rsid w:val="005F6A94"/>
    <w:rsid w:val="005F6AAA"/>
    <w:rsid w:val="005F6AAD"/>
    <w:rsid w:val="005F6AF4"/>
    <w:rsid w:val="005F6B29"/>
    <w:rsid w:val="005F6B2A"/>
    <w:rsid w:val="005F6BEA"/>
    <w:rsid w:val="005F6BFA"/>
    <w:rsid w:val="005F6C10"/>
    <w:rsid w:val="005F6C13"/>
    <w:rsid w:val="005F6C96"/>
    <w:rsid w:val="005F6CD2"/>
    <w:rsid w:val="005F6CF3"/>
    <w:rsid w:val="005F6D05"/>
    <w:rsid w:val="005F6D22"/>
    <w:rsid w:val="005F6D5A"/>
    <w:rsid w:val="005F6D6A"/>
    <w:rsid w:val="005F6D89"/>
    <w:rsid w:val="005F6DB7"/>
    <w:rsid w:val="005F6DCD"/>
    <w:rsid w:val="005F6DEA"/>
    <w:rsid w:val="005F6DF7"/>
    <w:rsid w:val="005F6E77"/>
    <w:rsid w:val="005F6E9A"/>
    <w:rsid w:val="005F6EB1"/>
    <w:rsid w:val="005F6EE4"/>
    <w:rsid w:val="005F6EEF"/>
    <w:rsid w:val="005F6F55"/>
    <w:rsid w:val="005F6F83"/>
    <w:rsid w:val="005F6FE6"/>
    <w:rsid w:val="005F701A"/>
    <w:rsid w:val="005F703C"/>
    <w:rsid w:val="005F708F"/>
    <w:rsid w:val="005F70A4"/>
    <w:rsid w:val="005F7185"/>
    <w:rsid w:val="005F7191"/>
    <w:rsid w:val="005F719F"/>
    <w:rsid w:val="005F71AF"/>
    <w:rsid w:val="005F71E1"/>
    <w:rsid w:val="005F71E6"/>
    <w:rsid w:val="005F7252"/>
    <w:rsid w:val="005F7289"/>
    <w:rsid w:val="005F72B4"/>
    <w:rsid w:val="005F72CE"/>
    <w:rsid w:val="005F72D7"/>
    <w:rsid w:val="005F72EE"/>
    <w:rsid w:val="005F7367"/>
    <w:rsid w:val="005F7368"/>
    <w:rsid w:val="005F73B7"/>
    <w:rsid w:val="005F73BF"/>
    <w:rsid w:val="005F73C4"/>
    <w:rsid w:val="005F7412"/>
    <w:rsid w:val="005F7413"/>
    <w:rsid w:val="005F7419"/>
    <w:rsid w:val="005F7477"/>
    <w:rsid w:val="005F747F"/>
    <w:rsid w:val="005F7481"/>
    <w:rsid w:val="005F7490"/>
    <w:rsid w:val="005F7499"/>
    <w:rsid w:val="005F74FD"/>
    <w:rsid w:val="005F7504"/>
    <w:rsid w:val="005F7514"/>
    <w:rsid w:val="005F751D"/>
    <w:rsid w:val="005F758D"/>
    <w:rsid w:val="005F75E2"/>
    <w:rsid w:val="005F75E6"/>
    <w:rsid w:val="005F75FC"/>
    <w:rsid w:val="005F761D"/>
    <w:rsid w:val="005F761F"/>
    <w:rsid w:val="005F7657"/>
    <w:rsid w:val="005F7678"/>
    <w:rsid w:val="005F767D"/>
    <w:rsid w:val="005F769D"/>
    <w:rsid w:val="005F76E3"/>
    <w:rsid w:val="005F76E5"/>
    <w:rsid w:val="005F7714"/>
    <w:rsid w:val="005F7736"/>
    <w:rsid w:val="005F779D"/>
    <w:rsid w:val="005F77A6"/>
    <w:rsid w:val="005F77AE"/>
    <w:rsid w:val="005F77B5"/>
    <w:rsid w:val="005F77F4"/>
    <w:rsid w:val="005F77FE"/>
    <w:rsid w:val="005F7822"/>
    <w:rsid w:val="005F7833"/>
    <w:rsid w:val="005F789D"/>
    <w:rsid w:val="005F78D5"/>
    <w:rsid w:val="005F78F2"/>
    <w:rsid w:val="005F7932"/>
    <w:rsid w:val="005F79CF"/>
    <w:rsid w:val="005F79D1"/>
    <w:rsid w:val="005F79E3"/>
    <w:rsid w:val="005F79F0"/>
    <w:rsid w:val="005F79FB"/>
    <w:rsid w:val="005F7A32"/>
    <w:rsid w:val="005F7A4D"/>
    <w:rsid w:val="005F7B62"/>
    <w:rsid w:val="005F7BDA"/>
    <w:rsid w:val="005F7BF4"/>
    <w:rsid w:val="005F7C29"/>
    <w:rsid w:val="005F7C2F"/>
    <w:rsid w:val="005F7C36"/>
    <w:rsid w:val="005F7C6E"/>
    <w:rsid w:val="005F7CFE"/>
    <w:rsid w:val="005F7D01"/>
    <w:rsid w:val="005F7D22"/>
    <w:rsid w:val="005F7D32"/>
    <w:rsid w:val="005F7D5F"/>
    <w:rsid w:val="005F7DBC"/>
    <w:rsid w:val="005F7DD7"/>
    <w:rsid w:val="005F7DFD"/>
    <w:rsid w:val="005F7E01"/>
    <w:rsid w:val="005F7E1C"/>
    <w:rsid w:val="005F7E23"/>
    <w:rsid w:val="005F7EA9"/>
    <w:rsid w:val="005F7EC1"/>
    <w:rsid w:val="005F7F03"/>
    <w:rsid w:val="005F7FA0"/>
    <w:rsid w:val="005F7FC7"/>
    <w:rsid w:val="00600020"/>
    <w:rsid w:val="00600059"/>
    <w:rsid w:val="00600075"/>
    <w:rsid w:val="0060008F"/>
    <w:rsid w:val="00600091"/>
    <w:rsid w:val="00600092"/>
    <w:rsid w:val="0060009A"/>
    <w:rsid w:val="006000F1"/>
    <w:rsid w:val="00600116"/>
    <w:rsid w:val="00600126"/>
    <w:rsid w:val="0060014A"/>
    <w:rsid w:val="006001AD"/>
    <w:rsid w:val="00600217"/>
    <w:rsid w:val="0060024D"/>
    <w:rsid w:val="00600251"/>
    <w:rsid w:val="00600299"/>
    <w:rsid w:val="006002BF"/>
    <w:rsid w:val="006002DD"/>
    <w:rsid w:val="006002F4"/>
    <w:rsid w:val="00600328"/>
    <w:rsid w:val="00600332"/>
    <w:rsid w:val="00600345"/>
    <w:rsid w:val="00600366"/>
    <w:rsid w:val="006003C7"/>
    <w:rsid w:val="006003D7"/>
    <w:rsid w:val="00600469"/>
    <w:rsid w:val="006004E6"/>
    <w:rsid w:val="00600501"/>
    <w:rsid w:val="00600514"/>
    <w:rsid w:val="0060052F"/>
    <w:rsid w:val="00600548"/>
    <w:rsid w:val="00600567"/>
    <w:rsid w:val="00600572"/>
    <w:rsid w:val="0060058D"/>
    <w:rsid w:val="006005B3"/>
    <w:rsid w:val="006005C2"/>
    <w:rsid w:val="00600609"/>
    <w:rsid w:val="0060068C"/>
    <w:rsid w:val="006006C2"/>
    <w:rsid w:val="006006E2"/>
    <w:rsid w:val="0060073C"/>
    <w:rsid w:val="00600794"/>
    <w:rsid w:val="00600799"/>
    <w:rsid w:val="006007F0"/>
    <w:rsid w:val="00600803"/>
    <w:rsid w:val="0060087C"/>
    <w:rsid w:val="0060088B"/>
    <w:rsid w:val="006008AE"/>
    <w:rsid w:val="006008EC"/>
    <w:rsid w:val="00600907"/>
    <w:rsid w:val="00600993"/>
    <w:rsid w:val="006009AF"/>
    <w:rsid w:val="00600ABC"/>
    <w:rsid w:val="00600B0F"/>
    <w:rsid w:val="00600BC8"/>
    <w:rsid w:val="00600C49"/>
    <w:rsid w:val="00600C81"/>
    <w:rsid w:val="00600CA0"/>
    <w:rsid w:val="00600CAD"/>
    <w:rsid w:val="00600CB0"/>
    <w:rsid w:val="00600D53"/>
    <w:rsid w:val="00600D60"/>
    <w:rsid w:val="00600D72"/>
    <w:rsid w:val="00600DBD"/>
    <w:rsid w:val="00600DE2"/>
    <w:rsid w:val="00600DE8"/>
    <w:rsid w:val="00600E02"/>
    <w:rsid w:val="00600E05"/>
    <w:rsid w:val="00600E09"/>
    <w:rsid w:val="00600E0E"/>
    <w:rsid w:val="00600E12"/>
    <w:rsid w:val="00600E28"/>
    <w:rsid w:val="00600E4E"/>
    <w:rsid w:val="00600E58"/>
    <w:rsid w:val="00600E78"/>
    <w:rsid w:val="00600E9E"/>
    <w:rsid w:val="00600EC3"/>
    <w:rsid w:val="00600EC6"/>
    <w:rsid w:val="00600EF5"/>
    <w:rsid w:val="00600F9E"/>
    <w:rsid w:val="00600FBB"/>
    <w:rsid w:val="0060104E"/>
    <w:rsid w:val="00601078"/>
    <w:rsid w:val="0060107D"/>
    <w:rsid w:val="00601091"/>
    <w:rsid w:val="006010B5"/>
    <w:rsid w:val="00601117"/>
    <w:rsid w:val="00601124"/>
    <w:rsid w:val="0060115E"/>
    <w:rsid w:val="00601166"/>
    <w:rsid w:val="006011C7"/>
    <w:rsid w:val="006011D6"/>
    <w:rsid w:val="006011F6"/>
    <w:rsid w:val="0060126B"/>
    <w:rsid w:val="0060126E"/>
    <w:rsid w:val="00601287"/>
    <w:rsid w:val="006012BD"/>
    <w:rsid w:val="00601306"/>
    <w:rsid w:val="00601343"/>
    <w:rsid w:val="00601363"/>
    <w:rsid w:val="00601368"/>
    <w:rsid w:val="00601385"/>
    <w:rsid w:val="006013B3"/>
    <w:rsid w:val="006013B8"/>
    <w:rsid w:val="0060143C"/>
    <w:rsid w:val="00601468"/>
    <w:rsid w:val="006014B8"/>
    <w:rsid w:val="0060154E"/>
    <w:rsid w:val="0060155D"/>
    <w:rsid w:val="006015D2"/>
    <w:rsid w:val="006015F5"/>
    <w:rsid w:val="00601640"/>
    <w:rsid w:val="00601673"/>
    <w:rsid w:val="00601675"/>
    <w:rsid w:val="006016A9"/>
    <w:rsid w:val="00601715"/>
    <w:rsid w:val="0060171D"/>
    <w:rsid w:val="00601752"/>
    <w:rsid w:val="0060175B"/>
    <w:rsid w:val="0060175C"/>
    <w:rsid w:val="006017AE"/>
    <w:rsid w:val="00601830"/>
    <w:rsid w:val="00601882"/>
    <w:rsid w:val="0060189F"/>
    <w:rsid w:val="006018A5"/>
    <w:rsid w:val="006018CC"/>
    <w:rsid w:val="006018F0"/>
    <w:rsid w:val="00601922"/>
    <w:rsid w:val="00601933"/>
    <w:rsid w:val="00601970"/>
    <w:rsid w:val="006019C0"/>
    <w:rsid w:val="00601A77"/>
    <w:rsid w:val="00601A7D"/>
    <w:rsid w:val="00601A91"/>
    <w:rsid w:val="00601B27"/>
    <w:rsid w:val="00601B54"/>
    <w:rsid w:val="00601BAA"/>
    <w:rsid w:val="00601BB1"/>
    <w:rsid w:val="00601BC1"/>
    <w:rsid w:val="00601BC6"/>
    <w:rsid w:val="00601C17"/>
    <w:rsid w:val="00601C5C"/>
    <w:rsid w:val="00601C7D"/>
    <w:rsid w:val="00601CAD"/>
    <w:rsid w:val="00601D6F"/>
    <w:rsid w:val="00601D79"/>
    <w:rsid w:val="00601D7F"/>
    <w:rsid w:val="00601D88"/>
    <w:rsid w:val="00601DC2"/>
    <w:rsid w:val="00601DD9"/>
    <w:rsid w:val="00601DFE"/>
    <w:rsid w:val="00601EFC"/>
    <w:rsid w:val="00601F66"/>
    <w:rsid w:val="00601F78"/>
    <w:rsid w:val="00601FAD"/>
    <w:rsid w:val="00601FF7"/>
    <w:rsid w:val="00601FFF"/>
    <w:rsid w:val="00602002"/>
    <w:rsid w:val="0060200F"/>
    <w:rsid w:val="00602066"/>
    <w:rsid w:val="0060208B"/>
    <w:rsid w:val="0060209A"/>
    <w:rsid w:val="006020A1"/>
    <w:rsid w:val="006020D1"/>
    <w:rsid w:val="00602167"/>
    <w:rsid w:val="00602186"/>
    <w:rsid w:val="0060218F"/>
    <w:rsid w:val="006021E1"/>
    <w:rsid w:val="00602202"/>
    <w:rsid w:val="0060223E"/>
    <w:rsid w:val="0060228E"/>
    <w:rsid w:val="006022A2"/>
    <w:rsid w:val="006022A3"/>
    <w:rsid w:val="006022B3"/>
    <w:rsid w:val="006022D6"/>
    <w:rsid w:val="00602312"/>
    <w:rsid w:val="006023A0"/>
    <w:rsid w:val="006023FD"/>
    <w:rsid w:val="00602454"/>
    <w:rsid w:val="0060245B"/>
    <w:rsid w:val="00602466"/>
    <w:rsid w:val="006024AD"/>
    <w:rsid w:val="006024CB"/>
    <w:rsid w:val="006024DF"/>
    <w:rsid w:val="006024F6"/>
    <w:rsid w:val="006024F7"/>
    <w:rsid w:val="00602566"/>
    <w:rsid w:val="006025A5"/>
    <w:rsid w:val="006025B3"/>
    <w:rsid w:val="006025C5"/>
    <w:rsid w:val="006025DC"/>
    <w:rsid w:val="00602625"/>
    <w:rsid w:val="0060262B"/>
    <w:rsid w:val="0060263C"/>
    <w:rsid w:val="00602684"/>
    <w:rsid w:val="006026D2"/>
    <w:rsid w:val="006026DF"/>
    <w:rsid w:val="0060270F"/>
    <w:rsid w:val="0060277B"/>
    <w:rsid w:val="006027A0"/>
    <w:rsid w:val="006027F3"/>
    <w:rsid w:val="00602805"/>
    <w:rsid w:val="0060280A"/>
    <w:rsid w:val="0060280C"/>
    <w:rsid w:val="00602813"/>
    <w:rsid w:val="00602832"/>
    <w:rsid w:val="006028B3"/>
    <w:rsid w:val="006028F1"/>
    <w:rsid w:val="00602907"/>
    <w:rsid w:val="00602914"/>
    <w:rsid w:val="00602925"/>
    <w:rsid w:val="0060293E"/>
    <w:rsid w:val="00602945"/>
    <w:rsid w:val="00602956"/>
    <w:rsid w:val="00602979"/>
    <w:rsid w:val="00602989"/>
    <w:rsid w:val="00602A65"/>
    <w:rsid w:val="00602A88"/>
    <w:rsid w:val="00602A89"/>
    <w:rsid w:val="00602A90"/>
    <w:rsid w:val="00602AAC"/>
    <w:rsid w:val="00602AF1"/>
    <w:rsid w:val="00602B6C"/>
    <w:rsid w:val="00602B72"/>
    <w:rsid w:val="00602B99"/>
    <w:rsid w:val="00602BC2"/>
    <w:rsid w:val="00602C1C"/>
    <w:rsid w:val="00602C36"/>
    <w:rsid w:val="00602C4B"/>
    <w:rsid w:val="00602C4F"/>
    <w:rsid w:val="00602C80"/>
    <w:rsid w:val="00602CF8"/>
    <w:rsid w:val="00602D27"/>
    <w:rsid w:val="00602D2F"/>
    <w:rsid w:val="00602D6B"/>
    <w:rsid w:val="00602D7A"/>
    <w:rsid w:val="00602D9F"/>
    <w:rsid w:val="00602DAC"/>
    <w:rsid w:val="00602E0B"/>
    <w:rsid w:val="00602E30"/>
    <w:rsid w:val="00602E41"/>
    <w:rsid w:val="00602E73"/>
    <w:rsid w:val="00602F09"/>
    <w:rsid w:val="00602F6B"/>
    <w:rsid w:val="00602FA7"/>
    <w:rsid w:val="00602FB0"/>
    <w:rsid w:val="00603010"/>
    <w:rsid w:val="00603032"/>
    <w:rsid w:val="0060303A"/>
    <w:rsid w:val="00603095"/>
    <w:rsid w:val="006030A5"/>
    <w:rsid w:val="006030A7"/>
    <w:rsid w:val="006030E0"/>
    <w:rsid w:val="00603107"/>
    <w:rsid w:val="006031BD"/>
    <w:rsid w:val="006031D5"/>
    <w:rsid w:val="006031D8"/>
    <w:rsid w:val="006031EF"/>
    <w:rsid w:val="00603254"/>
    <w:rsid w:val="0060325A"/>
    <w:rsid w:val="006032AD"/>
    <w:rsid w:val="006032C4"/>
    <w:rsid w:val="006032E3"/>
    <w:rsid w:val="00603353"/>
    <w:rsid w:val="00603357"/>
    <w:rsid w:val="00603371"/>
    <w:rsid w:val="00603388"/>
    <w:rsid w:val="006033AE"/>
    <w:rsid w:val="00603403"/>
    <w:rsid w:val="0060341A"/>
    <w:rsid w:val="00603429"/>
    <w:rsid w:val="00603441"/>
    <w:rsid w:val="0060346C"/>
    <w:rsid w:val="006034CC"/>
    <w:rsid w:val="0060351E"/>
    <w:rsid w:val="0060359E"/>
    <w:rsid w:val="0060362D"/>
    <w:rsid w:val="00603686"/>
    <w:rsid w:val="0060369C"/>
    <w:rsid w:val="006036B5"/>
    <w:rsid w:val="006036E7"/>
    <w:rsid w:val="006036ED"/>
    <w:rsid w:val="00603753"/>
    <w:rsid w:val="0060379F"/>
    <w:rsid w:val="00603806"/>
    <w:rsid w:val="00603812"/>
    <w:rsid w:val="0060382E"/>
    <w:rsid w:val="00603843"/>
    <w:rsid w:val="00603844"/>
    <w:rsid w:val="0060385E"/>
    <w:rsid w:val="0060388D"/>
    <w:rsid w:val="00603895"/>
    <w:rsid w:val="006038D9"/>
    <w:rsid w:val="00603A17"/>
    <w:rsid w:val="00603A22"/>
    <w:rsid w:val="00603A36"/>
    <w:rsid w:val="00603A4A"/>
    <w:rsid w:val="00603ACF"/>
    <w:rsid w:val="00603AEB"/>
    <w:rsid w:val="00603B31"/>
    <w:rsid w:val="00603B5D"/>
    <w:rsid w:val="00603B73"/>
    <w:rsid w:val="00603B7F"/>
    <w:rsid w:val="00603C12"/>
    <w:rsid w:val="00603CF6"/>
    <w:rsid w:val="00603D1B"/>
    <w:rsid w:val="00603D63"/>
    <w:rsid w:val="00603D82"/>
    <w:rsid w:val="00603E48"/>
    <w:rsid w:val="00603E7D"/>
    <w:rsid w:val="00603EAA"/>
    <w:rsid w:val="00603F01"/>
    <w:rsid w:val="00603F16"/>
    <w:rsid w:val="00603F50"/>
    <w:rsid w:val="00603F62"/>
    <w:rsid w:val="00603F81"/>
    <w:rsid w:val="00603FC4"/>
    <w:rsid w:val="00603FE4"/>
    <w:rsid w:val="00603FF5"/>
    <w:rsid w:val="0060401D"/>
    <w:rsid w:val="00604025"/>
    <w:rsid w:val="0060407D"/>
    <w:rsid w:val="00604121"/>
    <w:rsid w:val="00604141"/>
    <w:rsid w:val="00604144"/>
    <w:rsid w:val="00604166"/>
    <w:rsid w:val="006041B4"/>
    <w:rsid w:val="006041B5"/>
    <w:rsid w:val="006041C6"/>
    <w:rsid w:val="006041F4"/>
    <w:rsid w:val="00604246"/>
    <w:rsid w:val="00604254"/>
    <w:rsid w:val="00604265"/>
    <w:rsid w:val="00604269"/>
    <w:rsid w:val="0060427F"/>
    <w:rsid w:val="006042A1"/>
    <w:rsid w:val="0060434C"/>
    <w:rsid w:val="0060439C"/>
    <w:rsid w:val="00604408"/>
    <w:rsid w:val="0060440A"/>
    <w:rsid w:val="00604420"/>
    <w:rsid w:val="0060442A"/>
    <w:rsid w:val="00604453"/>
    <w:rsid w:val="00604463"/>
    <w:rsid w:val="006044B8"/>
    <w:rsid w:val="00604538"/>
    <w:rsid w:val="00604598"/>
    <w:rsid w:val="006045DB"/>
    <w:rsid w:val="00604643"/>
    <w:rsid w:val="00604672"/>
    <w:rsid w:val="00604683"/>
    <w:rsid w:val="0060468D"/>
    <w:rsid w:val="0060469D"/>
    <w:rsid w:val="006046CC"/>
    <w:rsid w:val="00604725"/>
    <w:rsid w:val="0060472B"/>
    <w:rsid w:val="0060478C"/>
    <w:rsid w:val="006047B5"/>
    <w:rsid w:val="006047C3"/>
    <w:rsid w:val="006047DD"/>
    <w:rsid w:val="0060480A"/>
    <w:rsid w:val="00604877"/>
    <w:rsid w:val="00604880"/>
    <w:rsid w:val="006048BF"/>
    <w:rsid w:val="00604937"/>
    <w:rsid w:val="00604942"/>
    <w:rsid w:val="00604950"/>
    <w:rsid w:val="006049D2"/>
    <w:rsid w:val="00604A6E"/>
    <w:rsid w:val="00604A74"/>
    <w:rsid w:val="00604ADE"/>
    <w:rsid w:val="00604B0E"/>
    <w:rsid w:val="00604B33"/>
    <w:rsid w:val="00604B58"/>
    <w:rsid w:val="00604B6B"/>
    <w:rsid w:val="00604BDF"/>
    <w:rsid w:val="00604BEA"/>
    <w:rsid w:val="00604C01"/>
    <w:rsid w:val="00604C15"/>
    <w:rsid w:val="00604C22"/>
    <w:rsid w:val="00604C2A"/>
    <w:rsid w:val="00604C4E"/>
    <w:rsid w:val="00604DD9"/>
    <w:rsid w:val="00604E7F"/>
    <w:rsid w:val="00604F2A"/>
    <w:rsid w:val="00604F85"/>
    <w:rsid w:val="00604FAF"/>
    <w:rsid w:val="00604FB2"/>
    <w:rsid w:val="00604FD0"/>
    <w:rsid w:val="00604FDE"/>
    <w:rsid w:val="0060502D"/>
    <w:rsid w:val="00605054"/>
    <w:rsid w:val="006050CF"/>
    <w:rsid w:val="00605136"/>
    <w:rsid w:val="006051F1"/>
    <w:rsid w:val="0060521A"/>
    <w:rsid w:val="0060521F"/>
    <w:rsid w:val="00605262"/>
    <w:rsid w:val="0060529D"/>
    <w:rsid w:val="006052C4"/>
    <w:rsid w:val="006052F0"/>
    <w:rsid w:val="00605346"/>
    <w:rsid w:val="00605366"/>
    <w:rsid w:val="00605391"/>
    <w:rsid w:val="006053A5"/>
    <w:rsid w:val="006053B7"/>
    <w:rsid w:val="006053C4"/>
    <w:rsid w:val="006053C8"/>
    <w:rsid w:val="006053ED"/>
    <w:rsid w:val="00605427"/>
    <w:rsid w:val="00605483"/>
    <w:rsid w:val="00605498"/>
    <w:rsid w:val="006054BD"/>
    <w:rsid w:val="0060557D"/>
    <w:rsid w:val="00605591"/>
    <w:rsid w:val="006055DE"/>
    <w:rsid w:val="0060560C"/>
    <w:rsid w:val="00605623"/>
    <w:rsid w:val="006056D6"/>
    <w:rsid w:val="006056DF"/>
    <w:rsid w:val="006056E5"/>
    <w:rsid w:val="00605798"/>
    <w:rsid w:val="006057B6"/>
    <w:rsid w:val="006057E3"/>
    <w:rsid w:val="006057FB"/>
    <w:rsid w:val="00605801"/>
    <w:rsid w:val="00605825"/>
    <w:rsid w:val="00605830"/>
    <w:rsid w:val="0060584C"/>
    <w:rsid w:val="0060585E"/>
    <w:rsid w:val="0060586C"/>
    <w:rsid w:val="006058BB"/>
    <w:rsid w:val="006058C1"/>
    <w:rsid w:val="006058C6"/>
    <w:rsid w:val="006058FD"/>
    <w:rsid w:val="0060594B"/>
    <w:rsid w:val="0060595D"/>
    <w:rsid w:val="006059D8"/>
    <w:rsid w:val="00605A34"/>
    <w:rsid w:val="00605A5C"/>
    <w:rsid w:val="00605A6E"/>
    <w:rsid w:val="00605A89"/>
    <w:rsid w:val="00605AA1"/>
    <w:rsid w:val="00605B1C"/>
    <w:rsid w:val="00605B54"/>
    <w:rsid w:val="00605BB1"/>
    <w:rsid w:val="00605BF5"/>
    <w:rsid w:val="00605C1E"/>
    <w:rsid w:val="00605C2F"/>
    <w:rsid w:val="00605C54"/>
    <w:rsid w:val="00605C55"/>
    <w:rsid w:val="00605CB4"/>
    <w:rsid w:val="00605CF7"/>
    <w:rsid w:val="00605D03"/>
    <w:rsid w:val="00605D1F"/>
    <w:rsid w:val="00605D22"/>
    <w:rsid w:val="00605D6B"/>
    <w:rsid w:val="00605DB0"/>
    <w:rsid w:val="00605DE4"/>
    <w:rsid w:val="00605DEF"/>
    <w:rsid w:val="00605E01"/>
    <w:rsid w:val="00605E1B"/>
    <w:rsid w:val="00605E2C"/>
    <w:rsid w:val="00605EA6"/>
    <w:rsid w:val="00605F6B"/>
    <w:rsid w:val="00605FCC"/>
    <w:rsid w:val="00605FD6"/>
    <w:rsid w:val="00605FF2"/>
    <w:rsid w:val="00606006"/>
    <w:rsid w:val="0060602F"/>
    <w:rsid w:val="0060604B"/>
    <w:rsid w:val="0060606E"/>
    <w:rsid w:val="006060DC"/>
    <w:rsid w:val="006060DE"/>
    <w:rsid w:val="0060611A"/>
    <w:rsid w:val="00606152"/>
    <w:rsid w:val="006061A5"/>
    <w:rsid w:val="006061C4"/>
    <w:rsid w:val="00606247"/>
    <w:rsid w:val="006062F5"/>
    <w:rsid w:val="0060635C"/>
    <w:rsid w:val="00606389"/>
    <w:rsid w:val="006063A4"/>
    <w:rsid w:val="00606412"/>
    <w:rsid w:val="0060642D"/>
    <w:rsid w:val="00606433"/>
    <w:rsid w:val="0060643B"/>
    <w:rsid w:val="00606481"/>
    <w:rsid w:val="006064BF"/>
    <w:rsid w:val="006064FB"/>
    <w:rsid w:val="0060651B"/>
    <w:rsid w:val="00606535"/>
    <w:rsid w:val="0060655F"/>
    <w:rsid w:val="006065B3"/>
    <w:rsid w:val="006065CA"/>
    <w:rsid w:val="00606637"/>
    <w:rsid w:val="00606697"/>
    <w:rsid w:val="006066A1"/>
    <w:rsid w:val="006066D0"/>
    <w:rsid w:val="006066D9"/>
    <w:rsid w:val="0060676F"/>
    <w:rsid w:val="0060680B"/>
    <w:rsid w:val="0060682E"/>
    <w:rsid w:val="00606856"/>
    <w:rsid w:val="006068BC"/>
    <w:rsid w:val="006068D3"/>
    <w:rsid w:val="006068EC"/>
    <w:rsid w:val="006068F8"/>
    <w:rsid w:val="0060699E"/>
    <w:rsid w:val="006069AF"/>
    <w:rsid w:val="006069E6"/>
    <w:rsid w:val="00606A34"/>
    <w:rsid w:val="00606A40"/>
    <w:rsid w:val="00606A4F"/>
    <w:rsid w:val="00606A88"/>
    <w:rsid w:val="00606ACB"/>
    <w:rsid w:val="00606AE6"/>
    <w:rsid w:val="00606B7D"/>
    <w:rsid w:val="00606B88"/>
    <w:rsid w:val="00606BB7"/>
    <w:rsid w:val="00606C15"/>
    <w:rsid w:val="00606C4A"/>
    <w:rsid w:val="00606C80"/>
    <w:rsid w:val="00606C86"/>
    <w:rsid w:val="00606CC8"/>
    <w:rsid w:val="00606D09"/>
    <w:rsid w:val="00606D12"/>
    <w:rsid w:val="00606D22"/>
    <w:rsid w:val="00606DA8"/>
    <w:rsid w:val="00606DAD"/>
    <w:rsid w:val="00606DE8"/>
    <w:rsid w:val="00606DF1"/>
    <w:rsid w:val="00606E06"/>
    <w:rsid w:val="00606E07"/>
    <w:rsid w:val="00606E44"/>
    <w:rsid w:val="00606E7D"/>
    <w:rsid w:val="00606EB5"/>
    <w:rsid w:val="00606F07"/>
    <w:rsid w:val="00606FC1"/>
    <w:rsid w:val="00607082"/>
    <w:rsid w:val="006070AB"/>
    <w:rsid w:val="0060711B"/>
    <w:rsid w:val="00607131"/>
    <w:rsid w:val="006071A2"/>
    <w:rsid w:val="006071A9"/>
    <w:rsid w:val="006071B9"/>
    <w:rsid w:val="006071D1"/>
    <w:rsid w:val="0060722C"/>
    <w:rsid w:val="00607236"/>
    <w:rsid w:val="00607290"/>
    <w:rsid w:val="006072C9"/>
    <w:rsid w:val="00607386"/>
    <w:rsid w:val="0060738A"/>
    <w:rsid w:val="00607394"/>
    <w:rsid w:val="0060739C"/>
    <w:rsid w:val="006073A4"/>
    <w:rsid w:val="006073F5"/>
    <w:rsid w:val="006073F6"/>
    <w:rsid w:val="00607470"/>
    <w:rsid w:val="00607477"/>
    <w:rsid w:val="006074BE"/>
    <w:rsid w:val="006074C4"/>
    <w:rsid w:val="006074F1"/>
    <w:rsid w:val="0060752D"/>
    <w:rsid w:val="0060752F"/>
    <w:rsid w:val="0060754E"/>
    <w:rsid w:val="0060757E"/>
    <w:rsid w:val="006075B1"/>
    <w:rsid w:val="00607608"/>
    <w:rsid w:val="00607626"/>
    <w:rsid w:val="0060765D"/>
    <w:rsid w:val="00607666"/>
    <w:rsid w:val="006076BC"/>
    <w:rsid w:val="006076D7"/>
    <w:rsid w:val="0060772C"/>
    <w:rsid w:val="0060775A"/>
    <w:rsid w:val="00607772"/>
    <w:rsid w:val="00607777"/>
    <w:rsid w:val="006077FA"/>
    <w:rsid w:val="00607804"/>
    <w:rsid w:val="00607831"/>
    <w:rsid w:val="00607873"/>
    <w:rsid w:val="00607881"/>
    <w:rsid w:val="006078A7"/>
    <w:rsid w:val="006078F0"/>
    <w:rsid w:val="00607957"/>
    <w:rsid w:val="0060797E"/>
    <w:rsid w:val="006079AC"/>
    <w:rsid w:val="006079B8"/>
    <w:rsid w:val="006079C1"/>
    <w:rsid w:val="00607A05"/>
    <w:rsid w:val="00607A22"/>
    <w:rsid w:val="00607A45"/>
    <w:rsid w:val="00607ADF"/>
    <w:rsid w:val="00607AED"/>
    <w:rsid w:val="00607AF6"/>
    <w:rsid w:val="00607B1F"/>
    <w:rsid w:val="00607B76"/>
    <w:rsid w:val="00607B7F"/>
    <w:rsid w:val="00607B8A"/>
    <w:rsid w:val="00607B9E"/>
    <w:rsid w:val="00607BA3"/>
    <w:rsid w:val="00607BBD"/>
    <w:rsid w:val="00607BEE"/>
    <w:rsid w:val="00607C21"/>
    <w:rsid w:val="00607C2B"/>
    <w:rsid w:val="00607CC7"/>
    <w:rsid w:val="00607CF1"/>
    <w:rsid w:val="00607D14"/>
    <w:rsid w:val="00607D4A"/>
    <w:rsid w:val="00607D53"/>
    <w:rsid w:val="00607D5E"/>
    <w:rsid w:val="00607DB1"/>
    <w:rsid w:val="00607DB4"/>
    <w:rsid w:val="00607DC5"/>
    <w:rsid w:val="00607DE1"/>
    <w:rsid w:val="00607DEE"/>
    <w:rsid w:val="00607E0F"/>
    <w:rsid w:val="00607E2B"/>
    <w:rsid w:val="00607E52"/>
    <w:rsid w:val="00607E5D"/>
    <w:rsid w:val="00607E9A"/>
    <w:rsid w:val="00607ED8"/>
    <w:rsid w:val="00607EDF"/>
    <w:rsid w:val="00607EEE"/>
    <w:rsid w:val="00607F0A"/>
    <w:rsid w:val="00607F90"/>
    <w:rsid w:val="00607F9E"/>
    <w:rsid w:val="00607FDE"/>
    <w:rsid w:val="00607FDF"/>
    <w:rsid w:val="00607FF5"/>
    <w:rsid w:val="00607FFE"/>
    <w:rsid w:val="0061000A"/>
    <w:rsid w:val="0061000B"/>
    <w:rsid w:val="0061002B"/>
    <w:rsid w:val="006100E4"/>
    <w:rsid w:val="00610120"/>
    <w:rsid w:val="00610148"/>
    <w:rsid w:val="006101C0"/>
    <w:rsid w:val="006101CF"/>
    <w:rsid w:val="006101D2"/>
    <w:rsid w:val="006101F7"/>
    <w:rsid w:val="00610232"/>
    <w:rsid w:val="0061024B"/>
    <w:rsid w:val="00610260"/>
    <w:rsid w:val="0061026A"/>
    <w:rsid w:val="00610282"/>
    <w:rsid w:val="00610292"/>
    <w:rsid w:val="006102B0"/>
    <w:rsid w:val="00610301"/>
    <w:rsid w:val="0061033E"/>
    <w:rsid w:val="00610366"/>
    <w:rsid w:val="0061037D"/>
    <w:rsid w:val="00610388"/>
    <w:rsid w:val="0061039D"/>
    <w:rsid w:val="006103C4"/>
    <w:rsid w:val="006103F6"/>
    <w:rsid w:val="006103FE"/>
    <w:rsid w:val="00610451"/>
    <w:rsid w:val="00610456"/>
    <w:rsid w:val="00610465"/>
    <w:rsid w:val="00610494"/>
    <w:rsid w:val="006104BA"/>
    <w:rsid w:val="006104D8"/>
    <w:rsid w:val="006104F4"/>
    <w:rsid w:val="00610566"/>
    <w:rsid w:val="00610595"/>
    <w:rsid w:val="006105B7"/>
    <w:rsid w:val="00610636"/>
    <w:rsid w:val="006106BE"/>
    <w:rsid w:val="006106D3"/>
    <w:rsid w:val="006106E7"/>
    <w:rsid w:val="006106F5"/>
    <w:rsid w:val="0061073B"/>
    <w:rsid w:val="0061077E"/>
    <w:rsid w:val="006108A1"/>
    <w:rsid w:val="006108C1"/>
    <w:rsid w:val="00610929"/>
    <w:rsid w:val="00610937"/>
    <w:rsid w:val="0061093C"/>
    <w:rsid w:val="0061093F"/>
    <w:rsid w:val="00610942"/>
    <w:rsid w:val="00610962"/>
    <w:rsid w:val="0061097B"/>
    <w:rsid w:val="00610A16"/>
    <w:rsid w:val="00610A5C"/>
    <w:rsid w:val="00610A93"/>
    <w:rsid w:val="00610B2E"/>
    <w:rsid w:val="00610B38"/>
    <w:rsid w:val="00610B43"/>
    <w:rsid w:val="00610B83"/>
    <w:rsid w:val="00610B8A"/>
    <w:rsid w:val="00610B9A"/>
    <w:rsid w:val="00610BD1"/>
    <w:rsid w:val="00610BF0"/>
    <w:rsid w:val="00610C39"/>
    <w:rsid w:val="00610CCF"/>
    <w:rsid w:val="00610D18"/>
    <w:rsid w:val="00610D47"/>
    <w:rsid w:val="00610D79"/>
    <w:rsid w:val="00610DB2"/>
    <w:rsid w:val="00610DFF"/>
    <w:rsid w:val="00610E3C"/>
    <w:rsid w:val="00610E4A"/>
    <w:rsid w:val="00610EA0"/>
    <w:rsid w:val="00610EB4"/>
    <w:rsid w:val="00610EF0"/>
    <w:rsid w:val="00610F15"/>
    <w:rsid w:val="00610F19"/>
    <w:rsid w:val="00610F36"/>
    <w:rsid w:val="00610F69"/>
    <w:rsid w:val="00610F9F"/>
    <w:rsid w:val="00610FBF"/>
    <w:rsid w:val="00610FF1"/>
    <w:rsid w:val="00611022"/>
    <w:rsid w:val="00611027"/>
    <w:rsid w:val="00611067"/>
    <w:rsid w:val="006110A2"/>
    <w:rsid w:val="006110A9"/>
    <w:rsid w:val="006110C9"/>
    <w:rsid w:val="006110DA"/>
    <w:rsid w:val="00611117"/>
    <w:rsid w:val="0061112A"/>
    <w:rsid w:val="00611133"/>
    <w:rsid w:val="00611162"/>
    <w:rsid w:val="006111AE"/>
    <w:rsid w:val="006111AF"/>
    <w:rsid w:val="006111C8"/>
    <w:rsid w:val="006111D3"/>
    <w:rsid w:val="006111DD"/>
    <w:rsid w:val="00611227"/>
    <w:rsid w:val="00611263"/>
    <w:rsid w:val="00611270"/>
    <w:rsid w:val="006112B2"/>
    <w:rsid w:val="006112C2"/>
    <w:rsid w:val="006112E9"/>
    <w:rsid w:val="00611303"/>
    <w:rsid w:val="0061131D"/>
    <w:rsid w:val="0061131E"/>
    <w:rsid w:val="00611337"/>
    <w:rsid w:val="0061133B"/>
    <w:rsid w:val="00611381"/>
    <w:rsid w:val="006113BC"/>
    <w:rsid w:val="0061141B"/>
    <w:rsid w:val="0061142E"/>
    <w:rsid w:val="006114CD"/>
    <w:rsid w:val="00611501"/>
    <w:rsid w:val="00611504"/>
    <w:rsid w:val="00611545"/>
    <w:rsid w:val="0061155F"/>
    <w:rsid w:val="0061158C"/>
    <w:rsid w:val="00611595"/>
    <w:rsid w:val="00611620"/>
    <w:rsid w:val="00611622"/>
    <w:rsid w:val="00611632"/>
    <w:rsid w:val="00611642"/>
    <w:rsid w:val="0061165C"/>
    <w:rsid w:val="00611710"/>
    <w:rsid w:val="0061178C"/>
    <w:rsid w:val="0061180D"/>
    <w:rsid w:val="00611856"/>
    <w:rsid w:val="00611877"/>
    <w:rsid w:val="00611884"/>
    <w:rsid w:val="006118E7"/>
    <w:rsid w:val="00611907"/>
    <w:rsid w:val="00611911"/>
    <w:rsid w:val="0061193C"/>
    <w:rsid w:val="00611A31"/>
    <w:rsid w:val="00611A39"/>
    <w:rsid w:val="00611A86"/>
    <w:rsid w:val="00611A8F"/>
    <w:rsid w:val="00611AF0"/>
    <w:rsid w:val="00611B15"/>
    <w:rsid w:val="00611B6F"/>
    <w:rsid w:val="00611B8D"/>
    <w:rsid w:val="00611BF9"/>
    <w:rsid w:val="00611C2C"/>
    <w:rsid w:val="00611C33"/>
    <w:rsid w:val="00611C50"/>
    <w:rsid w:val="00611C51"/>
    <w:rsid w:val="00611C54"/>
    <w:rsid w:val="00611C6D"/>
    <w:rsid w:val="00611C8A"/>
    <w:rsid w:val="00611D1A"/>
    <w:rsid w:val="00611D24"/>
    <w:rsid w:val="00611D37"/>
    <w:rsid w:val="00611DA9"/>
    <w:rsid w:val="00611DAF"/>
    <w:rsid w:val="00611DB7"/>
    <w:rsid w:val="00611DBD"/>
    <w:rsid w:val="00611DCF"/>
    <w:rsid w:val="00611E07"/>
    <w:rsid w:val="00611E09"/>
    <w:rsid w:val="00611E70"/>
    <w:rsid w:val="00611E9F"/>
    <w:rsid w:val="00611EA0"/>
    <w:rsid w:val="00611EC2"/>
    <w:rsid w:val="00611ED2"/>
    <w:rsid w:val="00611EF1"/>
    <w:rsid w:val="00611F55"/>
    <w:rsid w:val="00611F73"/>
    <w:rsid w:val="00611F79"/>
    <w:rsid w:val="00611F8F"/>
    <w:rsid w:val="00611F97"/>
    <w:rsid w:val="00611FBD"/>
    <w:rsid w:val="00611FED"/>
    <w:rsid w:val="00611FEE"/>
    <w:rsid w:val="0061205B"/>
    <w:rsid w:val="00612086"/>
    <w:rsid w:val="00612107"/>
    <w:rsid w:val="0061211F"/>
    <w:rsid w:val="00612131"/>
    <w:rsid w:val="0061213C"/>
    <w:rsid w:val="0061216C"/>
    <w:rsid w:val="0061218A"/>
    <w:rsid w:val="006121BF"/>
    <w:rsid w:val="0061220F"/>
    <w:rsid w:val="0061221D"/>
    <w:rsid w:val="00612267"/>
    <w:rsid w:val="00612276"/>
    <w:rsid w:val="0061228C"/>
    <w:rsid w:val="006122A0"/>
    <w:rsid w:val="006122F9"/>
    <w:rsid w:val="00612314"/>
    <w:rsid w:val="0061231E"/>
    <w:rsid w:val="00612386"/>
    <w:rsid w:val="006123C8"/>
    <w:rsid w:val="006123F1"/>
    <w:rsid w:val="006123FA"/>
    <w:rsid w:val="0061240C"/>
    <w:rsid w:val="0061243E"/>
    <w:rsid w:val="0061246E"/>
    <w:rsid w:val="00612499"/>
    <w:rsid w:val="006124A6"/>
    <w:rsid w:val="006124AB"/>
    <w:rsid w:val="006125A5"/>
    <w:rsid w:val="006125C3"/>
    <w:rsid w:val="006125DB"/>
    <w:rsid w:val="006125ED"/>
    <w:rsid w:val="00612625"/>
    <w:rsid w:val="0061264F"/>
    <w:rsid w:val="006126B1"/>
    <w:rsid w:val="006126F0"/>
    <w:rsid w:val="00612708"/>
    <w:rsid w:val="0061270C"/>
    <w:rsid w:val="00612729"/>
    <w:rsid w:val="0061274A"/>
    <w:rsid w:val="0061276C"/>
    <w:rsid w:val="006127D1"/>
    <w:rsid w:val="006127EF"/>
    <w:rsid w:val="006127F2"/>
    <w:rsid w:val="00612892"/>
    <w:rsid w:val="0061297A"/>
    <w:rsid w:val="00612982"/>
    <w:rsid w:val="00612984"/>
    <w:rsid w:val="00612996"/>
    <w:rsid w:val="006129D3"/>
    <w:rsid w:val="006129D5"/>
    <w:rsid w:val="006129F8"/>
    <w:rsid w:val="006129FA"/>
    <w:rsid w:val="00612A2B"/>
    <w:rsid w:val="00612A6E"/>
    <w:rsid w:val="00612B11"/>
    <w:rsid w:val="00612B21"/>
    <w:rsid w:val="00612BD7"/>
    <w:rsid w:val="00612BEC"/>
    <w:rsid w:val="00612BFE"/>
    <w:rsid w:val="00612C39"/>
    <w:rsid w:val="00612C46"/>
    <w:rsid w:val="00612C48"/>
    <w:rsid w:val="00612D5A"/>
    <w:rsid w:val="00612D5B"/>
    <w:rsid w:val="00612D71"/>
    <w:rsid w:val="00612DA8"/>
    <w:rsid w:val="00612DAF"/>
    <w:rsid w:val="00612E00"/>
    <w:rsid w:val="00612E2B"/>
    <w:rsid w:val="00612E86"/>
    <w:rsid w:val="00612EBC"/>
    <w:rsid w:val="00612EE3"/>
    <w:rsid w:val="00612F00"/>
    <w:rsid w:val="00612F12"/>
    <w:rsid w:val="00612F19"/>
    <w:rsid w:val="00612F1F"/>
    <w:rsid w:val="00612F5E"/>
    <w:rsid w:val="00612F60"/>
    <w:rsid w:val="00612F6F"/>
    <w:rsid w:val="00612F8F"/>
    <w:rsid w:val="00612FEC"/>
    <w:rsid w:val="00613079"/>
    <w:rsid w:val="00613087"/>
    <w:rsid w:val="00613090"/>
    <w:rsid w:val="006130F9"/>
    <w:rsid w:val="0061313D"/>
    <w:rsid w:val="0061315F"/>
    <w:rsid w:val="00613229"/>
    <w:rsid w:val="00613256"/>
    <w:rsid w:val="00613295"/>
    <w:rsid w:val="006132A3"/>
    <w:rsid w:val="006132A8"/>
    <w:rsid w:val="006132B4"/>
    <w:rsid w:val="006132C0"/>
    <w:rsid w:val="006132E2"/>
    <w:rsid w:val="00613301"/>
    <w:rsid w:val="0061334D"/>
    <w:rsid w:val="00613352"/>
    <w:rsid w:val="00613377"/>
    <w:rsid w:val="0061337A"/>
    <w:rsid w:val="006133AB"/>
    <w:rsid w:val="006133FC"/>
    <w:rsid w:val="0061340A"/>
    <w:rsid w:val="00613410"/>
    <w:rsid w:val="00613412"/>
    <w:rsid w:val="00613429"/>
    <w:rsid w:val="00613437"/>
    <w:rsid w:val="00613499"/>
    <w:rsid w:val="006134CC"/>
    <w:rsid w:val="006134D5"/>
    <w:rsid w:val="006134DD"/>
    <w:rsid w:val="006134FA"/>
    <w:rsid w:val="006135AF"/>
    <w:rsid w:val="0061360C"/>
    <w:rsid w:val="006136AB"/>
    <w:rsid w:val="006136F3"/>
    <w:rsid w:val="0061372B"/>
    <w:rsid w:val="00613734"/>
    <w:rsid w:val="00613743"/>
    <w:rsid w:val="0061374E"/>
    <w:rsid w:val="0061387C"/>
    <w:rsid w:val="006138DF"/>
    <w:rsid w:val="00613974"/>
    <w:rsid w:val="006139DD"/>
    <w:rsid w:val="006139F0"/>
    <w:rsid w:val="00613A1C"/>
    <w:rsid w:val="00613A3F"/>
    <w:rsid w:val="00613A4E"/>
    <w:rsid w:val="00613A7A"/>
    <w:rsid w:val="00613A9A"/>
    <w:rsid w:val="00613AAB"/>
    <w:rsid w:val="00613B01"/>
    <w:rsid w:val="00613B15"/>
    <w:rsid w:val="00613BAD"/>
    <w:rsid w:val="00613BF1"/>
    <w:rsid w:val="00613CD2"/>
    <w:rsid w:val="00613D11"/>
    <w:rsid w:val="00613D1E"/>
    <w:rsid w:val="00613D52"/>
    <w:rsid w:val="00613D73"/>
    <w:rsid w:val="00613D76"/>
    <w:rsid w:val="00613E3B"/>
    <w:rsid w:val="00613E65"/>
    <w:rsid w:val="00613E9E"/>
    <w:rsid w:val="00613EB0"/>
    <w:rsid w:val="00613EFF"/>
    <w:rsid w:val="00613F07"/>
    <w:rsid w:val="00613F70"/>
    <w:rsid w:val="00613F73"/>
    <w:rsid w:val="00613FA8"/>
    <w:rsid w:val="00613FB7"/>
    <w:rsid w:val="0061405F"/>
    <w:rsid w:val="006140CE"/>
    <w:rsid w:val="00614153"/>
    <w:rsid w:val="0061417B"/>
    <w:rsid w:val="006141BA"/>
    <w:rsid w:val="00614206"/>
    <w:rsid w:val="0061422A"/>
    <w:rsid w:val="0061422E"/>
    <w:rsid w:val="00614254"/>
    <w:rsid w:val="00614258"/>
    <w:rsid w:val="00614294"/>
    <w:rsid w:val="006142F8"/>
    <w:rsid w:val="0061430E"/>
    <w:rsid w:val="00614353"/>
    <w:rsid w:val="00614373"/>
    <w:rsid w:val="006143B0"/>
    <w:rsid w:val="006143C8"/>
    <w:rsid w:val="006143EC"/>
    <w:rsid w:val="0061441F"/>
    <w:rsid w:val="00614455"/>
    <w:rsid w:val="006144D6"/>
    <w:rsid w:val="006144F0"/>
    <w:rsid w:val="0061451F"/>
    <w:rsid w:val="006145AE"/>
    <w:rsid w:val="006145CC"/>
    <w:rsid w:val="0061461B"/>
    <w:rsid w:val="00614645"/>
    <w:rsid w:val="00614657"/>
    <w:rsid w:val="00614677"/>
    <w:rsid w:val="006146AB"/>
    <w:rsid w:val="006146AE"/>
    <w:rsid w:val="00614748"/>
    <w:rsid w:val="0061476A"/>
    <w:rsid w:val="00614829"/>
    <w:rsid w:val="0061489B"/>
    <w:rsid w:val="006148A7"/>
    <w:rsid w:val="006148C0"/>
    <w:rsid w:val="006148C4"/>
    <w:rsid w:val="006148EB"/>
    <w:rsid w:val="00614901"/>
    <w:rsid w:val="00614957"/>
    <w:rsid w:val="00614961"/>
    <w:rsid w:val="00614964"/>
    <w:rsid w:val="006149DF"/>
    <w:rsid w:val="00614A1A"/>
    <w:rsid w:val="00614A54"/>
    <w:rsid w:val="00614A7C"/>
    <w:rsid w:val="00614AD6"/>
    <w:rsid w:val="00614AFD"/>
    <w:rsid w:val="00614B41"/>
    <w:rsid w:val="00614B4D"/>
    <w:rsid w:val="00614B71"/>
    <w:rsid w:val="00614B80"/>
    <w:rsid w:val="00614BAF"/>
    <w:rsid w:val="00614BED"/>
    <w:rsid w:val="00614C04"/>
    <w:rsid w:val="00614C7C"/>
    <w:rsid w:val="00614CE4"/>
    <w:rsid w:val="00614CFA"/>
    <w:rsid w:val="00614D4C"/>
    <w:rsid w:val="00614D6C"/>
    <w:rsid w:val="00614D7A"/>
    <w:rsid w:val="00614DA8"/>
    <w:rsid w:val="00614DE8"/>
    <w:rsid w:val="00614E1C"/>
    <w:rsid w:val="00614E6F"/>
    <w:rsid w:val="00614E8C"/>
    <w:rsid w:val="00614E8F"/>
    <w:rsid w:val="00614EB5"/>
    <w:rsid w:val="00614EC7"/>
    <w:rsid w:val="00614EEC"/>
    <w:rsid w:val="00614F3E"/>
    <w:rsid w:val="00614F51"/>
    <w:rsid w:val="00615041"/>
    <w:rsid w:val="00615069"/>
    <w:rsid w:val="0061507D"/>
    <w:rsid w:val="00615087"/>
    <w:rsid w:val="00615091"/>
    <w:rsid w:val="006150A5"/>
    <w:rsid w:val="0061510A"/>
    <w:rsid w:val="00615114"/>
    <w:rsid w:val="00615170"/>
    <w:rsid w:val="0061518F"/>
    <w:rsid w:val="0061520B"/>
    <w:rsid w:val="0061521F"/>
    <w:rsid w:val="00615240"/>
    <w:rsid w:val="00615256"/>
    <w:rsid w:val="006152C7"/>
    <w:rsid w:val="00615311"/>
    <w:rsid w:val="0061533B"/>
    <w:rsid w:val="00615343"/>
    <w:rsid w:val="00615368"/>
    <w:rsid w:val="006153B6"/>
    <w:rsid w:val="006153BC"/>
    <w:rsid w:val="006153CD"/>
    <w:rsid w:val="006153E2"/>
    <w:rsid w:val="006153E3"/>
    <w:rsid w:val="006153FF"/>
    <w:rsid w:val="0061540B"/>
    <w:rsid w:val="0061543E"/>
    <w:rsid w:val="00615440"/>
    <w:rsid w:val="00615441"/>
    <w:rsid w:val="0061544B"/>
    <w:rsid w:val="006154A0"/>
    <w:rsid w:val="00615516"/>
    <w:rsid w:val="0061551E"/>
    <w:rsid w:val="0061560C"/>
    <w:rsid w:val="00615630"/>
    <w:rsid w:val="00615694"/>
    <w:rsid w:val="006156BF"/>
    <w:rsid w:val="006156C6"/>
    <w:rsid w:val="0061571E"/>
    <w:rsid w:val="0061573D"/>
    <w:rsid w:val="006157A3"/>
    <w:rsid w:val="006157AE"/>
    <w:rsid w:val="006157E2"/>
    <w:rsid w:val="00615872"/>
    <w:rsid w:val="0061587E"/>
    <w:rsid w:val="00615884"/>
    <w:rsid w:val="006158AC"/>
    <w:rsid w:val="006158BB"/>
    <w:rsid w:val="006158C0"/>
    <w:rsid w:val="006158D2"/>
    <w:rsid w:val="006158D6"/>
    <w:rsid w:val="0061590E"/>
    <w:rsid w:val="0061598D"/>
    <w:rsid w:val="0061599C"/>
    <w:rsid w:val="006159AA"/>
    <w:rsid w:val="006159BA"/>
    <w:rsid w:val="00615A13"/>
    <w:rsid w:val="00615A80"/>
    <w:rsid w:val="00615A96"/>
    <w:rsid w:val="00615AC1"/>
    <w:rsid w:val="00615AF8"/>
    <w:rsid w:val="00615B2E"/>
    <w:rsid w:val="00615B76"/>
    <w:rsid w:val="00615B98"/>
    <w:rsid w:val="00615B99"/>
    <w:rsid w:val="00615BB1"/>
    <w:rsid w:val="00615BDC"/>
    <w:rsid w:val="00615C03"/>
    <w:rsid w:val="00615C14"/>
    <w:rsid w:val="00615C22"/>
    <w:rsid w:val="00615C6C"/>
    <w:rsid w:val="00615CA9"/>
    <w:rsid w:val="00615CC2"/>
    <w:rsid w:val="00615CC5"/>
    <w:rsid w:val="00615CFC"/>
    <w:rsid w:val="00615D03"/>
    <w:rsid w:val="00615D3E"/>
    <w:rsid w:val="00615DD4"/>
    <w:rsid w:val="00615E6D"/>
    <w:rsid w:val="00615E8A"/>
    <w:rsid w:val="00615EB4"/>
    <w:rsid w:val="00615F1B"/>
    <w:rsid w:val="00615F34"/>
    <w:rsid w:val="00615F9F"/>
    <w:rsid w:val="00615FA7"/>
    <w:rsid w:val="00616037"/>
    <w:rsid w:val="00616058"/>
    <w:rsid w:val="00616094"/>
    <w:rsid w:val="00616098"/>
    <w:rsid w:val="006160B9"/>
    <w:rsid w:val="006160EA"/>
    <w:rsid w:val="006160F5"/>
    <w:rsid w:val="00616116"/>
    <w:rsid w:val="0061619F"/>
    <w:rsid w:val="006161BC"/>
    <w:rsid w:val="00616239"/>
    <w:rsid w:val="0061625D"/>
    <w:rsid w:val="0061628C"/>
    <w:rsid w:val="006162BA"/>
    <w:rsid w:val="006162E9"/>
    <w:rsid w:val="006162F6"/>
    <w:rsid w:val="00616301"/>
    <w:rsid w:val="0061631C"/>
    <w:rsid w:val="0061633E"/>
    <w:rsid w:val="00616346"/>
    <w:rsid w:val="00616388"/>
    <w:rsid w:val="006163BB"/>
    <w:rsid w:val="00616439"/>
    <w:rsid w:val="0061645F"/>
    <w:rsid w:val="0061646B"/>
    <w:rsid w:val="006164F7"/>
    <w:rsid w:val="00616545"/>
    <w:rsid w:val="006165BA"/>
    <w:rsid w:val="00616623"/>
    <w:rsid w:val="006166CA"/>
    <w:rsid w:val="006166F1"/>
    <w:rsid w:val="00616708"/>
    <w:rsid w:val="00616783"/>
    <w:rsid w:val="00616797"/>
    <w:rsid w:val="006167A3"/>
    <w:rsid w:val="006167CE"/>
    <w:rsid w:val="006167E9"/>
    <w:rsid w:val="006167FB"/>
    <w:rsid w:val="00616848"/>
    <w:rsid w:val="006168A3"/>
    <w:rsid w:val="00616907"/>
    <w:rsid w:val="00616913"/>
    <w:rsid w:val="00616922"/>
    <w:rsid w:val="00616934"/>
    <w:rsid w:val="00616973"/>
    <w:rsid w:val="006169AC"/>
    <w:rsid w:val="00616A39"/>
    <w:rsid w:val="00616A64"/>
    <w:rsid w:val="00616A74"/>
    <w:rsid w:val="00616AF5"/>
    <w:rsid w:val="00616B5C"/>
    <w:rsid w:val="00616B9B"/>
    <w:rsid w:val="00616BB5"/>
    <w:rsid w:val="00616BDE"/>
    <w:rsid w:val="00616C01"/>
    <w:rsid w:val="00616C18"/>
    <w:rsid w:val="00616C41"/>
    <w:rsid w:val="00616C46"/>
    <w:rsid w:val="00616C68"/>
    <w:rsid w:val="00616CA9"/>
    <w:rsid w:val="00616CC7"/>
    <w:rsid w:val="00616CD4"/>
    <w:rsid w:val="00616CF2"/>
    <w:rsid w:val="00616D63"/>
    <w:rsid w:val="00616D7B"/>
    <w:rsid w:val="00616D84"/>
    <w:rsid w:val="00616DA8"/>
    <w:rsid w:val="00616DC5"/>
    <w:rsid w:val="00616DC6"/>
    <w:rsid w:val="00616E0E"/>
    <w:rsid w:val="00616E15"/>
    <w:rsid w:val="00616EA2"/>
    <w:rsid w:val="00616ECD"/>
    <w:rsid w:val="00616F0B"/>
    <w:rsid w:val="00616F9D"/>
    <w:rsid w:val="00616FB4"/>
    <w:rsid w:val="00616FEF"/>
    <w:rsid w:val="0061700A"/>
    <w:rsid w:val="00617058"/>
    <w:rsid w:val="0061705C"/>
    <w:rsid w:val="0061708E"/>
    <w:rsid w:val="006170B2"/>
    <w:rsid w:val="00617157"/>
    <w:rsid w:val="0061716D"/>
    <w:rsid w:val="00617195"/>
    <w:rsid w:val="006171E3"/>
    <w:rsid w:val="0061720E"/>
    <w:rsid w:val="0061721D"/>
    <w:rsid w:val="0061725B"/>
    <w:rsid w:val="00617296"/>
    <w:rsid w:val="006172CA"/>
    <w:rsid w:val="00617333"/>
    <w:rsid w:val="0061733D"/>
    <w:rsid w:val="00617343"/>
    <w:rsid w:val="00617364"/>
    <w:rsid w:val="00617386"/>
    <w:rsid w:val="0061739D"/>
    <w:rsid w:val="00617419"/>
    <w:rsid w:val="00617434"/>
    <w:rsid w:val="006174C8"/>
    <w:rsid w:val="00617504"/>
    <w:rsid w:val="00617545"/>
    <w:rsid w:val="00617606"/>
    <w:rsid w:val="0061762E"/>
    <w:rsid w:val="00617648"/>
    <w:rsid w:val="00617654"/>
    <w:rsid w:val="0061765F"/>
    <w:rsid w:val="006176DB"/>
    <w:rsid w:val="006177C6"/>
    <w:rsid w:val="00617814"/>
    <w:rsid w:val="00617879"/>
    <w:rsid w:val="006178F1"/>
    <w:rsid w:val="0061792B"/>
    <w:rsid w:val="0061794E"/>
    <w:rsid w:val="006179F7"/>
    <w:rsid w:val="00617A06"/>
    <w:rsid w:val="00617A95"/>
    <w:rsid w:val="00617AC9"/>
    <w:rsid w:val="00617AD2"/>
    <w:rsid w:val="00617B13"/>
    <w:rsid w:val="00617B46"/>
    <w:rsid w:val="00617BA1"/>
    <w:rsid w:val="00617BC3"/>
    <w:rsid w:val="00617BCB"/>
    <w:rsid w:val="00617BED"/>
    <w:rsid w:val="00617C42"/>
    <w:rsid w:val="00617C48"/>
    <w:rsid w:val="00617C5F"/>
    <w:rsid w:val="00617C75"/>
    <w:rsid w:val="00617C8B"/>
    <w:rsid w:val="00617C8F"/>
    <w:rsid w:val="00617CCC"/>
    <w:rsid w:val="00617CF1"/>
    <w:rsid w:val="00617D56"/>
    <w:rsid w:val="00617D5C"/>
    <w:rsid w:val="00617DC6"/>
    <w:rsid w:val="00617DF1"/>
    <w:rsid w:val="00617E75"/>
    <w:rsid w:val="00617E7E"/>
    <w:rsid w:val="00617EA3"/>
    <w:rsid w:val="00617F1B"/>
    <w:rsid w:val="00617F6C"/>
    <w:rsid w:val="00620000"/>
    <w:rsid w:val="00620001"/>
    <w:rsid w:val="00620095"/>
    <w:rsid w:val="006200B6"/>
    <w:rsid w:val="006200FF"/>
    <w:rsid w:val="00620187"/>
    <w:rsid w:val="00620260"/>
    <w:rsid w:val="006202C8"/>
    <w:rsid w:val="006202D2"/>
    <w:rsid w:val="006202E4"/>
    <w:rsid w:val="00620313"/>
    <w:rsid w:val="00620318"/>
    <w:rsid w:val="00620323"/>
    <w:rsid w:val="0062034C"/>
    <w:rsid w:val="0062034D"/>
    <w:rsid w:val="006203FA"/>
    <w:rsid w:val="006204EB"/>
    <w:rsid w:val="00620526"/>
    <w:rsid w:val="00620535"/>
    <w:rsid w:val="00620538"/>
    <w:rsid w:val="00620559"/>
    <w:rsid w:val="0062055B"/>
    <w:rsid w:val="00620605"/>
    <w:rsid w:val="0062063A"/>
    <w:rsid w:val="0062067B"/>
    <w:rsid w:val="006206E5"/>
    <w:rsid w:val="0062072D"/>
    <w:rsid w:val="00620730"/>
    <w:rsid w:val="006207B9"/>
    <w:rsid w:val="0062084F"/>
    <w:rsid w:val="0062085D"/>
    <w:rsid w:val="006208AD"/>
    <w:rsid w:val="0062090A"/>
    <w:rsid w:val="0062097D"/>
    <w:rsid w:val="006209FF"/>
    <w:rsid w:val="00620A14"/>
    <w:rsid w:val="00620A24"/>
    <w:rsid w:val="00620A25"/>
    <w:rsid w:val="00620A61"/>
    <w:rsid w:val="00620A6C"/>
    <w:rsid w:val="00620AC3"/>
    <w:rsid w:val="00620AF0"/>
    <w:rsid w:val="00620B0C"/>
    <w:rsid w:val="00620B18"/>
    <w:rsid w:val="00620B92"/>
    <w:rsid w:val="00620B98"/>
    <w:rsid w:val="00620BE2"/>
    <w:rsid w:val="00620BEA"/>
    <w:rsid w:val="00620C3B"/>
    <w:rsid w:val="00620C6C"/>
    <w:rsid w:val="00620C7F"/>
    <w:rsid w:val="00620CAA"/>
    <w:rsid w:val="00620CB5"/>
    <w:rsid w:val="00620CE4"/>
    <w:rsid w:val="00620D38"/>
    <w:rsid w:val="00620D7B"/>
    <w:rsid w:val="00620DE1"/>
    <w:rsid w:val="00620DE3"/>
    <w:rsid w:val="00620DF6"/>
    <w:rsid w:val="00620DF7"/>
    <w:rsid w:val="00620E42"/>
    <w:rsid w:val="00620E60"/>
    <w:rsid w:val="00620EA1"/>
    <w:rsid w:val="00620EAA"/>
    <w:rsid w:val="00620EAF"/>
    <w:rsid w:val="00620EE3"/>
    <w:rsid w:val="00620EFF"/>
    <w:rsid w:val="00620F07"/>
    <w:rsid w:val="00620F4A"/>
    <w:rsid w:val="00620F57"/>
    <w:rsid w:val="00620F8B"/>
    <w:rsid w:val="00620FF5"/>
    <w:rsid w:val="00621026"/>
    <w:rsid w:val="00621067"/>
    <w:rsid w:val="0062106F"/>
    <w:rsid w:val="00621118"/>
    <w:rsid w:val="00621154"/>
    <w:rsid w:val="0062117F"/>
    <w:rsid w:val="00621181"/>
    <w:rsid w:val="006211B2"/>
    <w:rsid w:val="00621265"/>
    <w:rsid w:val="0062134C"/>
    <w:rsid w:val="00621362"/>
    <w:rsid w:val="00621367"/>
    <w:rsid w:val="0062136A"/>
    <w:rsid w:val="00621385"/>
    <w:rsid w:val="006213EA"/>
    <w:rsid w:val="00621412"/>
    <w:rsid w:val="006214BC"/>
    <w:rsid w:val="006214FC"/>
    <w:rsid w:val="006214FF"/>
    <w:rsid w:val="00621507"/>
    <w:rsid w:val="00621585"/>
    <w:rsid w:val="006215FB"/>
    <w:rsid w:val="00621632"/>
    <w:rsid w:val="00621638"/>
    <w:rsid w:val="00621661"/>
    <w:rsid w:val="0062166F"/>
    <w:rsid w:val="006216B2"/>
    <w:rsid w:val="006216CC"/>
    <w:rsid w:val="00621708"/>
    <w:rsid w:val="00621745"/>
    <w:rsid w:val="00621753"/>
    <w:rsid w:val="00621761"/>
    <w:rsid w:val="0062179A"/>
    <w:rsid w:val="0062179C"/>
    <w:rsid w:val="00621834"/>
    <w:rsid w:val="00621955"/>
    <w:rsid w:val="0062197B"/>
    <w:rsid w:val="0062199A"/>
    <w:rsid w:val="00621A58"/>
    <w:rsid w:val="00621ACA"/>
    <w:rsid w:val="00621AFB"/>
    <w:rsid w:val="00621B2A"/>
    <w:rsid w:val="00621B4A"/>
    <w:rsid w:val="00621B95"/>
    <w:rsid w:val="00621BAB"/>
    <w:rsid w:val="00621BE6"/>
    <w:rsid w:val="00621C24"/>
    <w:rsid w:val="00621C3A"/>
    <w:rsid w:val="00621CA2"/>
    <w:rsid w:val="00621CAC"/>
    <w:rsid w:val="00621CE5"/>
    <w:rsid w:val="00621D3B"/>
    <w:rsid w:val="00621D79"/>
    <w:rsid w:val="00621DCC"/>
    <w:rsid w:val="00621DD1"/>
    <w:rsid w:val="00621E09"/>
    <w:rsid w:val="00621E23"/>
    <w:rsid w:val="00621E76"/>
    <w:rsid w:val="00621EC3"/>
    <w:rsid w:val="00621EE5"/>
    <w:rsid w:val="00621EF8"/>
    <w:rsid w:val="00621EF9"/>
    <w:rsid w:val="00621F12"/>
    <w:rsid w:val="00621F52"/>
    <w:rsid w:val="00621FBA"/>
    <w:rsid w:val="00621FC0"/>
    <w:rsid w:val="00621FF2"/>
    <w:rsid w:val="006220C0"/>
    <w:rsid w:val="006220DC"/>
    <w:rsid w:val="00622115"/>
    <w:rsid w:val="00622140"/>
    <w:rsid w:val="00622143"/>
    <w:rsid w:val="00622187"/>
    <w:rsid w:val="0062221D"/>
    <w:rsid w:val="0062224A"/>
    <w:rsid w:val="0062228A"/>
    <w:rsid w:val="006222F5"/>
    <w:rsid w:val="0062230A"/>
    <w:rsid w:val="00622332"/>
    <w:rsid w:val="006223AD"/>
    <w:rsid w:val="006223BE"/>
    <w:rsid w:val="006223DD"/>
    <w:rsid w:val="00622400"/>
    <w:rsid w:val="00622419"/>
    <w:rsid w:val="00622468"/>
    <w:rsid w:val="0062249A"/>
    <w:rsid w:val="006224B8"/>
    <w:rsid w:val="006224DA"/>
    <w:rsid w:val="0062250E"/>
    <w:rsid w:val="0062253D"/>
    <w:rsid w:val="00622595"/>
    <w:rsid w:val="006225AE"/>
    <w:rsid w:val="006225E8"/>
    <w:rsid w:val="006225E9"/>
    <w:rsid w:val="0062260E"/>
    <w:rsid w:val="0062264C"/>
    <w:rsid w:val="006226A7"/>
    <w:rsid w:val="006226BA"/>
    <w:rsid w:val="00622733"/>
    <w:rsid w:val="00622737"/>
    <w:rsid w:val="0062275B"/>
    <w:rsid w:val="00622793"/>
    <w:rsid w:val="006227AA"/>
    <w:rsid w:val="006227DC"/>
    <w:rsid w:val="006227F2"/>
    <w:rsid w:val="006228B5"/>
    <w:rsid w:val="006228DB"/>
    <w:rsid w:val="00622902"/>
    <w:rsid w:val="00622931"/>
    <w:rsid w:val="00622978"/>
    <w:rsid w:val="006229BE"/>
    <w:rsid w:val="006229DD"/>
    <w:rsid w:val="00622A0E"/>
    <w:rsid w:val="00622A66"/>
    <w:rsid w:val="00622AB3"/>
    <w:rsid w:val="00622AF5"/>
    <w:rsid w:val="00622BC8"/>
    <w:rsid w:val="00622C09"/>
    <w:rsid w:val="00622C0C"/>
    <w:rsid w:val="00622CB7"/>
    <w:rsid w:val="00622CE8"/>
    <w:rsid w:val="00622CEE"/>
    <w:rsid w:val="00622D11"/>
    <w:rsid w:val="00622D17"/>
    <w:rsid w:val="00622D1C"/>
    <w:rsid w:val="00622D66"/>
    <w:rsid w:val="00622DD3"/>
    <w:rsid w:val="00622DE2"/>
    <w:rsid w:val="00622DF8"/>
    <w:rsid w:val="00622DFF"/>
    <w:rsid w:val="00622E11"/>
    <w:rsid w:val="00622E5A"/>
    <w:rsid w:val="00622E6B"/>
    <w:rsid w:val="00622E86"/>
    <w:rsid w:val="00622E8D"/>
    <w:rsid w:val="00622EAF"/>
    <w:rsid w:val="00622F18"/>
    <w:rsid w:val="00622F19"/>
    <w:rsid w:val="00622FCE"/>
    <w:rsid w:val="0062305D"/>
    <w:rsid w:val="0062309F"/>
    <w:rsid w:val="006230FE"/>
    <w:rsid w:val="00623119"/>
    <w:rsid w:val="0062312F"/>
    <w:rsid w:val="0062313B"/>
    <w:rsid w:val="0062314B"/>
    <w:rsid w:val="0062314C"/>
    <w:rsid w:val="00623184"/>
    <w:rsid w:val="00623203"/>
    <w:rsid w:val="0062321A"/>
    <w:rsid w:val="00623262"/>
    <w:rsid w:val="00623263"/>
    <w:rsid w:val="00623307"/>
    <w:rsid w:val="00623314"/>
    <w:rsid w:val="0062332C"/>
    <w:rsid w:val="00623338"/>
    <w:rsid w:val="00623387"/>
    <w:rsid w:val="0062340D"/>
    <w:rsid w:val="00623436"/>
    <w:rsid w:val="00623480"/>
    <w:rsid w:val="00623497"/>
    <w:rsid w:val="0062349D"/>
    <w:rsid w:val="006234DF"/>
    <w:rsid w:val="00623502"/>
    <w:rsid w:val="0062352E"/>
    <w:rsid w:val="0062352F"/>
    <w:rsid w:val="00623570"/>
    <w:rsid w:val="00623582"/>
    <w:rsid w:val="006235AD"/>
    <w:rsid w:val="006235DA"/>
    <w:rsid w:val="0062363B"/>
    <w:rsid w:val="00623647"/>
    <w:rsid w:val="0062365B"/>
    <w:rsid w:val="006236EA"/>
    <w:rsid w:val="0062371A"/>
    <w:rsid w:val="0062372A"/>
    <w:rsid w:val="00623753"/>
    <w:rsid w:val="0062376F"/>
    <w:rsid w:val="0062378A"/>
    <w:rsid w:val="0062380A"/>
    <w:rsid w:val="006238A9"/>
    <w:rsid w:val="006238B8"/>
    <w:rsid w:val="006238C9"/>
    <w:rsid w:val="0062394C"/>
    <w:rsid w:val="00623963"/>
    <w:rsid w:val="00623976"/>
    <w:rsid w:val="00623998"/>
    <w:rsid w:val="00623A60"/>
    <w:rsid w:val="00623AA3"/>
    <w:rsid w:val="00623B01"/>
    <w:rsid w:val="00623B23"/>
    <w:rsid w:val="00623B33"/>
    <w:rsid w:val="00623BB2"/>
    <w:rsid w:val="00623BBD"/>
    <w:rsid w:val="00623C02"/>
    <w:rsid w:val="00623C40"/>
    <w:rsid w:val="00623C8D"/>
    <w:rsid w:val="00623CC1"/>
    <w:rsid w:val="00623CFF"/>
    <w:rsid w:val="00623D7E"/>
    <w:rsid w:val="00623DD6"/>
    <w:rsid w:val="00623E69"/>
    <w:rsid w:val="00623E7A"/>
    <w:rsid w:val="00623E7F"/>
    <w:rsid w:val="00623E93"/>
    <w:rsid w:val="00623F77"/>
    <w:rsid w:val="00623FAC"/>
    <w:rsid w:val="00623FC3"/>
    <w:rsid w:val="00623FD7"/>
    <w:rsid w:val="00623FE2"/>
    <w:rsid w:val="00624024"/>
    <w:rsid w:val="00624027"/>
    <w:rsid w:val="00624028"/>
    <w:rsid w:val="006240C6"/>
    <w:rsid w:val="006240D0"/>
    <w:rsid w:val="006240EC"/>
    <w:rsid w:val="006240F2"/>
    <w:rsid w:val="0062412C"/>
    <w:rsid w:val="0062413D"/>
    <w:rsid w:val="00624158"/>
    <w:rsid w:val="006241E9"/>
    <w:rsid w:val="006241F5"/>
    <w:rsid w:val="00624217"/>
    <w:rsid w:val="00624218"/>
    <w:rsid w:val="0062423B"/>
    <w:rsid w:val="0062425C"/>
    <w:rsid w:val="0062426E"/>
    <w:rsid w:val="00624281"/>
    <w:rsid w:val="00624288"/>
    <w:rsid w:val="00624292"/>
    <w:rsid w:val="006242A6"/>
    <w:rsid w:val="0062434A"/>
    <w:rsid w:val="00624373"/>
    <w:rsid w:val="006243E1"/>
    <w:rsid w:val="006243E7"/>
    <w:rsid w:val="006243FC"/>
    <w:rsid w:val="0062441B"/>
    <w:rsid w:val="0062444A"/>
    <w:rsid w:val="00624476"/>
    <w:rsid w:val="0062447D"/>
    <w:rsid w:val="006244E9"/>
    <w:rsid w:val="00624502"/>
    <w:rsid w:val="00624514"/>
    <w:rsid w:val="0062452F"/>
    <w:rsid w:val="00624560"/>
    <w:rsid w:val="006245E2"/>
    <w:rsid w:val="00624648"/>
    <w:rsid w:val="00624669"/>
    <w:rsid w:val="0062468B"/>
    <w:rsid w:val="0062469B"/>
    <w:rsid w:val="006246CA"/>
    <w:rsid w:val="006246F3"/>
    <w:rsid w:val="0062471D"/>
    <w:rsid w:val="0062472F"/>
    <w:rsid w:val="00624737"/>
    <w:rsid w:val="0062477B"/>
    <w:rsid w:val="00624784"/>
    <w:rsid w:val="0062479B"/>
    <w:rsid w:val="006247B9"/>
    <w:rsid w:val="006247BB"/>
    <w:rsid w:val="006247D2"/>
    <w:rsid w:val="006247EA"/>
    <w:rsid w:val="006247F0"/>
    <w:rsid w:val="0062483D"/>
    <w:rsid w:val="00624846"/>
    <w:rsid w:val="00624869"/>
    <w:rsid w:val="00624900"/>
    <w:rsid w:val="00624929"/>
    <w:rsid w:val="00624952"/>
    <w:rsid w:val="00624959"/>
    <w:rsid w:val="0062496B"/>
    <w:rsid w:val="006249A5"/>
    <w:rsid w:val="006249BF"/>
    <w:rsid w:val="006249CB"/>
    <w:rsid w:val="006249E6"/>
    <w:rsid w:val="00624A3E"/>
    <w:rsid w:val="00624A45"/>
    <w:rsid w:val="00624A4A"/>
    <w:rsid w:val="00624A67"/>
    <w:rsid w:val="00624ACA"/>
    <w:rsid w:val="00624ACE"/>
    <w:rsid w:val="00624AE6"/>
    <w:rsid w:val="00624B35"/>
    <w:rsid w:val="00624B49"/>
    <w:rsid w:val="00624BDC"/>
    <w:rsid w:val="00624C29"/>
    <w:rsid w:val="00624C93"/>
    <w:rsid w:val="00624C94"/>
    <w:rsid w:val="00624CB9"/>
    <w:rsid w:val="00624CBC"/>
    <w:rsid w:val="00624CBD"/>
    <w:rsid w:val="00624CD6"/>
    <w:rsid w:val="00624D17"/>
    <w:rsid w:val="00624D1E"/>
    <w:rsid w:val="00624D45"/>
    <w:rsid w:val="00624D6D"/>
    <w:rsid w:val="00624D71"/>
    <w:rsid w:val="00624D73"/>
    <w:rsid w:val="00624D98"/>
    <w:rsid w:val="00624E72"/>
    <w:rsid w:val="00624E90"/>
    <w:rsid w:val="00624EA5"/>
    <w:rsid w:val="00624ECB"/>
    <w:rsid w:val="00624EE0"/>
    <w:rsid w:val="00624EFA"/>
    <w:rsid w:val="00624F25"/>
    <w:rsid w:val="00624F92"/>
    <w:rsid w:val="00624FA1"/>
    <w:rsid w:val="00624FC9"/>
    <w:rsid w:val="00624FF1"/>
    <w:rsid w:val="00624FF5"/>
    <w:rsid w:val="00625001"/>
    <w:rsid w:val="00625050"/>
    <w:rsid w:val="006250B9"/>
    <w:rsid w:val="006250E8"/>
    <w:rsid w:val="00625147"/>
    <w:rsid w:val="00625158"/>
    <w:rsid w:val="0062517F"/>
    <w:rsid w:val="00625197"/>
    <w:rsid w:val="006251A8"/>
    <w:rsid w:val="006251C9"/>
    <w:rsid w:val="00625205"/>
    <w:rsid w:val="0062529C"/>
    <w:rsid w:val="006252AD"/>
    <w:rsid w:val="0062530B"/>
    <w:rsid w:val="00625328"/>
    <w:rsid w:val="006253A8"/>
    <w:rsid w:val="006253BD"/>
    <w:rsid w:val="006253EB"/>
    <w:rsid w:val="00625458"/>
    <w:rsid w:val="0062548A"/>
    <w:rsid w:val="00625497"/>
    <w:rsid w:val="006254AF"/>
    <w:rsid w:val="006254B5"/>
    <w:rsid w:val="006254DD"/>
    <w:rsid w:val="006254F5"/>
    <w:rsid w:val="006254F8"/>
    <w:rsid w:val="00625513"/>
    <w:rsid w:val="006255AD"/>
    <w:rsid w:val="006255B1"/>
    <w:rsid w:val="006255CA"/>
    <w:rsid w:val="0062560B"/>
    <w:rsid w:val="00625647"/>
    <w:rsid w:val="00625671"/>
    <w:rsid w:val="006256A8"/>
    <w:rsid w:val="006256BB"/>
    <w:rsid w:val="006256F2"/>
    <w:rsid w:val="006256F4"/>
    <w:rsid w:val="006256FF"/>
    <w:rsid w:val="0062572D"/>
    <w:rsid w:val="0062573A"/>
    <w:rsid w:val="006257A1"/>
    <w:rsid w:val="006257A2"/>
    <w:rsid w:val="006257B1"/>
    <w:rsid w:val="006257BD"/>
    <w:rsid w:val="006257C6"/>
    <w:rsid w:val="006257DE"/>
    <w:rsid w:val="00625824"/>
    <w:rsid w:val="006258A3"/>
    <w:rsid w:val="006258CD"/>
    <w:rsid w:val="006258E1"/>
    <w:rsid w:val="006258E9"/>
    <w:rsid w:val="00625907"/>
    <w:rsid w:val="0062590A"/>
    <w:rsid w:val="00625942"/>
    <w:rsid w:val="0062595C"/>
    <w:rsid w:val="006259EC"/>
    <w:rsid w:val="006259F2"/>
    <w:rsid w:val="00625A14"/>
    <w:rsid w:val="00625A20"/>
    <w:rsid w:val="00625B30"/>
    <w:rsid w:val="00625B88"/>
    <w:rsid w:val="00625BD1"/>
    <w:rsid w:val="00625BFE"/>
    <w:rsid w:val="00625C6B"/>
    <w:rsid w:val="00625C98"/>
    <w:rsid w:val="00625C9D"/>
    <w:rsid w:val="00625CBB"/>
    <w:rsid w:val="00625D87"/>
    <w:rsid w:val="00625DCA"/>
    <w:rsid w:val="00625DFA"/>
    <w:rsid w:val="00625E45"/>
    <w:rsid w:val="00625E84"/>
    <w:rsid w:val="00625E88"/>
    <w:rsid w:val="00625EBC"/>
    <w:rsid w:val="00625F1F"/>
    <w:rsid w:val="00625F34"/>
    <w:rsid w:val="00625F76"/>
    <w:rsid w:val="00625FAD"/>
    <w:rsid w:val="00625FC8"/>
    <w:rsid w:val="00625FFC"/>
    <w:rsid w:val="0062601C"/>
    <w:rsid w:val="00626043"/>
    <w:rsid w:val="00626062"/>
    <w:rsid w:val="006260B2"/>
    <w:rsid w:val="00626137"/>
    <w:rsid w:val="00626149"/>
    <w:rsid w:val="00626190"/>
    <w:rsid w:val="006261B4"/>
    <w:rsid w:val="006261C5"/>
    <w:rsid w:val="006261D7"/>
    <w:rsid w:val="0062625F"/>
    <w:rsid w:val="0062627F"/>
    <w:rsid w:val="00626280"/>
    <w:rsid w:val="0062632F"/>
    <w:rsid w:val="0062633D"/>
    <w:rsid w:val="00626347"/>
    <w:rsid w:val="00626357"/>
    <w:rsid w:val="00626377"/>
    <w:rsid w:val="006263AB"/>
    <w:rsid w:val="00626444"/>
    <w:rsid w:val="006264F5"/>
    <w:rsid w:val="00626500"/>
    <w:rsid w:val="00626508"/>
    <w:rsid w:val="00626548"/>
    <w:rsid w:val="00626570"/>
    <w:rsid w:val="006265A1"/>
    <w:rsid w:val="006265A7"/>
    <w:rsid w:val="00626610"/>
    <w:rsid w:val="0062664A"/>
    <w:rsid w:val="0062665F"/>
    <w:rsid w:val="00626682"/>
    <w:rsid w:val="0062668D"/>
    <w:rsid w:val="006266DC"/>
    <w:rsid w:val="00626727"/>
    <w:rsid w:val="00626740"/>
    <w:rsid w:val="0062675D"/>
    <w:rsid w:val="006267A3"/>
    <w:rsid w:val="006267A4"/>
    <w:rsid w:val="006267CA"/>
    <w:rsid w:val="006267EC"/>
    <w:rsid w:val="006267FC"/>
    <w:rsid w:val="006267FE"/>
    <w:rsid w:val="00626810"/>
    <w:rsid w:val="00626846"/>
    <w:rsid w:val="00626943"/>
    <w:rsid w:val="0062694B"/>
    <w:rsid w:val="0062695A"/>
    <w:rsid w:val="006269A4"/>
    <w:rsid w:val="006269B9"/>
    <w:rsid w:val="006269DF"/>
    <w:rsid w:val="00626A32"/>
    <w:rsid w:val="00626A6A"/>
    <w:rsid w:val="00626A82"/>
    <w:rsid w:val="00626ABE"/>
    <w:rsid w:val="00626B0F"/>
    <w:rsid w:val="00626B2C"/>
    <w:rsid w:val="00626B34"/>
    <w:rsid w:val="00626B7F"/>
    <w:rsid w:val="00626B9C"/>
    <w:rsid w:val="00626BCA"/>
    <w:rsid w:val="00626C18"/>
    <w:rsid w:val="00626CA9"/>
    <w:rsid w:val="00626CDC"/>
    <w:rsid w:val="00626CFD"/>
    <w:rsid w:val="00626D70"/>
    <w:rsid w:val="00626DCE"/>
    <w:rsid w:val="00626DFB"/>
    <w:rsid w:val="00626E00"/>
    <w:rsid w:val="00626E5F"/>
    <w:rsid w:val="00626EA8"/>
    <w:rsid w:val="00626EB9"/>
    <w:rsid w:val="00626EBB"/>
    <w:rsid w:val="00626EF3"/>
    <w:rsid w:val="00626F1E"/>
    <w:rsid w:val="00626F42"/>
    <w:rsid w:val="00626F66"/>
    <w:rsid w:val="00626F76"/>
    <w:rsid w:val="00626F7C"/>
    <w:rsid w:val="00626FF6"/>
    <w:rsid w:val="00627071"/>
    <w:rsid w:val="006270A5"/>
    <w:rsid w:val="006270D5"/>
    <w:rsid w:val="006270EF"/>
    <w:rsid w:val="006270F0"/>
    <w:rsid w:val="0062711D"/>
    <w:rsid w:val="00627141"/>
    <w:rsid w:val="0062715A"/>
    <w:rsid w:val="006271DA"/>
    <w:rsid w:val="00627219"/>
    <w:rsid w:val="0062725D"/>
    <w:rsid w:val="00627278"/>
    <w:rsid w:val="006272AF"/>
    <w:rsid w:val="006272DA"/>
    <w:rsid w:val="00627311"/>
    <w:rsid w:val="00627328"/>
    <w:rsid w:val="0062734B"/>
    <w:rsid w:val="0062736E"/>
    <w:rsid w:val="00627399"/>
    <w:rsid w:val="006273C9"/>
    <w:rsid w:val="006273DC"/>
    <w:rsid w:val="00627423"/>
    <w:rsid w:val="00627450"/>
    <w:rsid w:val="0062747C"/>
    <w:rsid w:val="006274A8"/>
    <w:rsid w:val="00627655"/>
    <w:rsid w:val="00627660"/>
    <w:rsid w:val="00627663"/>
    <w:rsid w:val="00627669"/>
    <w:rsid w:val="0062766C"/>
    <w:rsid w:val="00627694"/>
    <w:rsid w:val="006276A8"/>
    <w:rsid w:val="006276C2"/>
    <w:rsid w:val="0062771D"/>
    <w:rsid w:val="00627754"/>
    <w:rsid w:val="0062776A"/>
    <w:rsid w:val="00627798"/>
    <w:rsid w:val="00627858"/>
    <w:rsid w:val="0062789E"/>
    <w:rsid w:val="006278CB"/>
    <w:rsid w:val="00627922"/>
    <w:rsid w:val="0062792E"/>
    <w:rsid w:val="006279C5"/>
    <w:rsid w:val="006279CB"/>
    <w:rsid w:val="00627A23"/>
    <w:rsid w:val="00627A81"/>
    <w:rsid w:val="00627A91"/>
    <w:rsid w:val="00627A9A"/>
    <w:rsid w:val="00627AF0"/>
    <w:rsid w:val="00627AFE"/>
    <w:rsid w:val="00627B14"/>
    <w:rsid w:val="00627BA1"/>
    <w:rsid w:val="00627BBA"/>
    <w:rsid w:val="00627C66"/>
    <w:rsid w:val="00627C67"/>
    <w:rsid w:val="00627C72"/>
    <w:rsid w:val="00627C8A"/>
    <w:rsid w:val="00627CB4"/>
    <w:rsid w:val="00627CE4"/>
    <w:rsid w:val="00627D42"/>
    <w:rsid w:val="00627D4E"/>
    <w:rsid w:val="00627DC1"/>
    <w:rsid w:val="00627DC2"/>
    <w:rsid w:val="00627DCD"/>
    <w:rsid w:val="00627DD6"/>
    <w:rsid w:val="00627E04"/>
    <w:rsid w:val="00627E45"/>
    <w:rsid w:val="00627E51"/>
    <w:rsid w:val="00627ED7"/>
    <w:rsid w:val="00627EE2"/>
    <w:rsid w:val="00627EF2"/>
    <w:rsid w:val="00627F58"/>
    <w:rsid w:val="00627F85"/>
    <w:rsid w:val="00627FCF"/>
    <w:rsid w:val="00630024"/>
    <w:rsid w:val="00630049"/>
    <w:rsid w:val="0063004D"/>
    <w:rsid w:val="00630052"/>
    <w:rsid w:val="00630071"/>
    <w:rsid w:val="006300E8"/>
    <w:rsid w:val="006300EE"/>
    <w:rsid w:val="006300FE"/>
    <w:rsid w:val="00630103"/>
    <w:rsid w:val="00630121"/>
    <w:rsid w:val="0063013E"/>
    <w:rsid w:val="00630144"/>
    <w:rsid w:val="00630193"/>
    <w:rsid w:val="006301FF"/>
    <w:rsid w:val="0063021B"/>
    <w:rsid w:val="0063029F"/>
    <w:rsid w:val="006302B9"/>
    <w:rsid w:val="006302EC"/>
    <w:rsid w:val="00630306"/>
    <w:rsid w:val="00630334"/>
    <w:rsid w:val="00630345"/>
    <w:rsid w:val="0063036C"/>
    <w:rsid w:val="0063037E"/>
    <w:rsid w:val="00630419"/>
    <w:rsid w:val="0063044A"/>
    <w:rsid w:val="00630507"/>
    <w:rsid w:val="00630544"/>
    <w:rsid w:val="0063058F"/>
    <w:rsid w:val="006305E2"/>
    <w:rsid w:val="006305EB"/>
    <w:rsid w:val="006305FB"/>
    <w:rsid w:val="0063060B"/>
    <w:rsid w:val="00630621"/>
    <w:rsid w:val="00630671"/>
    <w:rsid w:val="006306BA"/>
    <w:rsid w:val="006306E9"/>
    <w:rsid w:val="00630704"/>
    <w:rsid w:val="00630714"/>
    <w:rsid w:val="0063072E"/>
    <w:rsid w:val="00630739"/>
    <w:rsid w:val="00630740"/>
    <w:rsid w:val="00630747"/>
    <w:rsid w:val="006307B2"/>
    <w:rsid w:val="006307F6"/>
    <w:rsid w:val="00630863"/>
    <w:rsid w:val="00630865"/>
    <w:rsid w:val="006308E2"/>
    <w:rsid w:val="006308E8"/>
    <w:rsid w:val="00630991"/>
    <w:rsid w:val="006309D4"/>
    <w:rsid w:val="00630A37"/>
    <w:rsid w:val="00630A84"/>
    <w:rsid w:val="00630AB2"/>
    <w:rsid w:val="00630ACC"/>
    <w:rsid w:val="00630AE7"/>
    <w:rsid w:val="00630B8C"/>
    <w:rsid w:val="00630B8E"/>
    <w:rsid w:val="00630BFE"/>
    <w:rsid w:val="00630CBD"/>
    <w:rsid w:val="00630CE9"/>
    <w:rsid w:val="00630D09"/>
    <w:rsid w:val="00630D0F"/>
    <w:rsid w:val="00630D3E"/>
    <w:rsid w:val="00630D94"/>
    <w:rsid w:val="00630D96"/>
    <w:rsid w:val="00630D9E"/>
    <w:rsid w:val="00630DBF"/>
    <w:rsid w:val="00630DE3"/>
    <w:rsid w:val="00630DE5"/>
    <w:rsid w:val="00630E36"/>
    <w:rsid w:val="00630E3E"/>
    <w:rsid w:val="00630E9D"/>
    <w:rsid w:val="00630F96"/>
    <w:rsid w:val="00630FB2"/>
    <w:rsid w:val="00630FC0"/>
    <w:rsid w:val="00631054"/>
    <w:rsid w:val="0063105C"/>
    <w:rsid w:val="00631094"/>
    <w:rsid w:val="006310FE"/>
    <w:rsid w:val="00631197"/>
    <w:rsid w:val="006311A8"/>
    <w:rsid w:val="006311B1"/>
    <w:rsid w:val="006311DD"/>
    <w:rsid w:val="0063123F"/>
    <w:rsid w:val="00631335"/>
    <w:rsid w:val="00631394"/>
    <w:rsid w:val="00631443"/>
    <w:rsid w:val="00631461"/>
    <w:rsid w:val="0063147C"/>
    <w:rsid w:val="00631512"/>
    <w:rsid w:val="00631546"/>
    <w:rsid w:val="0063157E"/>
    <w:rsid w:val="00631594"/>
    <w:rsid w:val="006315DA"/>
    <w:rsid w:val="006315F8"/>
    <w:rsid w:val="00631623"/>
    <w:rsid w:val="00631696"/>
    <w:rsid w:val="006316A3"/>
    <w:rsid w:val="006316AB"/>
    <w:rsid w:val="006316B9"/>
    <w:rsid w:val="006316C7"/>
    <w:rsid w:val="006316DA"/>
    <w:rsid w:val="006316F3"/>
    <w:rsid w:val="00631720"/>
    <w:rsid w:val="00631724"/>
    <w:rsid w:val="0063174F"/>
    <w:rsid w:val="006317DB"/>
    <w:rsid w:val="00631834"/>
    <w:rsid w:val="0063183A"/>
    <w:rsid w:val="00631890"/>
    <w:rsid w:val="006318BD"/>
    <w:rsid w:val="0063196E"/>
    <w:rsid w:val="0063198A"/>
    <w:rsid w:val="006319AD"/>
    <w:rsid w:val="006319BA"/>
    <w:rsid w:val="006319F1"/>
    <w:rsid w:val="00631A1A"/>
    <w:rsid w:val="00631A33"/>
    <w:rsid w:val="00631A89"/>
    <w:rsid w:val="00631AF3"/>
    <w:rsid w:val="00631B66"/>
    <w:rsid w:val="00631B88"/>
    <w:rsid w:val="00631C11"/>
    <w:rsid w:val="00631C1E"/>
    <w:rsid w:val="00631C49"/>
    <w:rsid w:val="00631C54"/>
    <w:rsid w:val="00631C84"/>
    <w:rsid w:val="00631D18"/>
    <w:rsid w:val="00631D54"/>
    <w:rsid w:val="00631D6D"/>
    <w:rsid w:val="00631D83"/>
    <w:rsid w:val="00631D85"/>
    <w:rsid w:val="00631D9E"/>
    <w:rsid w:val="00631DBA"/>
    <w:rsid w:val="00631DC4"/>
    <w:rsid w:val="00631E4F"/>
    <w:rsid w:val="00631E71"/>
    <w:rsid w:val="00631EC9"/>
    <w:rsid w:val="00631ED8"/>
    <w:rsid w:val="00631EE7"/>
    <w:rsid w:val="006321B2"/>
    <w:rsid w:val="006321D7"/>
    <w:rsid w:val="00632212"/>
    <w:rsid w:val="006322D2"/>
    <w:rsid w:val="0063236A"/>
    <w:rsid w:val="006323A6"/>
    <w:rsid w:val="00632431"/>
    <w:rsid w:val="0063245A"/>
    <w:rsid w:val="0063245B"/>
    <w:rsid w:val="00632487"/>
    <w:rsid w:val="006324E5"/>
    <w:rsid w:val="00632527"/>
    <w:rsid w:val="0063252E"/>
    <w:rsid w:val="0063258C"/>
    <w:rsid w:val="00632617"/>
    <w:rsid w:val="006326E4"/>
    <w:rsid w:val="0063275E"/>
    <w:rsid w:val="0063278E"/>
    <w:rsid w:val="006327C8"/>
    <w:rsid w:val="006327F9"/>
    <w:rsid w:val="00632802"/>
    <w:rsid w:val="00632809"/>
    <w:rsid w:val="0063288C"/>
    <w:rsid w:val="0063288D"/>
    <w:rsid w:val="006328A7"/>
    <w:rsid w:val="006328AE"/>
    <w:rsid w:val="006328B0"/>
    <w:rsid w:val="0063290A"/>
    <w:rsid w:val="00632931"/>
    <w:rsid w:val="00632966"/>
    <w:rsid w:val="006329B5"/>
    <w:rsid w:val="006329D7"/>
    <w:rsid w:val="00632A05"/>
    <w:rsid w:val="00632A1A"/>
    <w:rsid w:val="00632A24"/>
    <w:rsid w:val="00632A5A"/>
    <w:rsid w:val="00632A6B"/>
    <w:rsid w:val="00632AF9"/>
    <w:rsid w:val="00632B2C"/>
    <w:rsid w:val="00632B38"/>
    <w:rsid w:val="00632B3B"/>
    <w:rsid w:val="00632B71"/>
    <w:rsid w:val="00632B87"/>
    <w:rsid w:val="00632B8A"/>
    <w:rsid w:val="00632BA3"/>
    <w:rsid w:val="00632BC7"/>
    <w:rsid w:val="00632BD8"/>
    <w:rsid w:val="00632C04"/>
    <w:rsid w:val="00632C41"/>
    <w:rsid w:val="00632C7C"/>
    <w:rsid w:val="00632C81"/>
    <w:rsid w:val="00632CE9"/>
    <w:rsid w:val="00632D11"/>
    <w:rsid w:val="00632D49"/>
    <w:rsid w:val="00632D56"/>
    <w:rsid w:val="00632D7A"/>
    <w:rsid w:val="00632DA5"/>
    <w:rsid w:val="00632DDC"/>
    <w:rsid w:val="00632DFB"/>
    <w:rsid w:val="00632E0E"/>
    <w:rsid w:val="00632E2F"/>
    <w:rsid w:val="00632E5B"/>
    <w:rsid w:val="00632E61"/>
    <w:rsid w:val="00632E6B"/>
    <w:rsid w:val="00632EAC"/>
    <w:rsid w:val="00632EDB"/>
    <w:rsid w:val="00632EEA"/>
    <w:rsid w:val="00632F09"/>
    <w:rsid w:val="00632F60"/>
    <w:rsid w:val="00632F84"/>
    <w:rsid w:val="00632F88"/>
    <w:rsid w:val="00632F89"/>
    <w:rsid w:val="00632F9A"/>
    <w:rsid w:val="00632FC7"/>
    <w:rsid w:val="00632FE7"/>
    <w:rsid w:val="00633060"/>
    <w:rsid w:val="0063307A"/>
    <w:rsid w:val="006330A8"/>
    <w:rsid w:val="006330B5"/>
    <w:rsid w:val="0063315F"/>
    <w:rsid w:val="00633173"/>
    <w:rsid w:val="006332B9"/>
    <w:rsid w:val="006332D0"/>
    <w:rsid w:val="006332F5"/>
    <w:rsid w:val="00633343"/>
    <w:rsid w:val="00633388"/>
    <w:rsid w:val="0063338F"/>
    <w:rsid w:val="006333AB"/>
    <w:rsid w:val="006333DE"/>
    <w:rsid w:val="006333F1"/>
    <w:rsid w:val="00633414"/>
    <w:rsid w:val="00633475"/>
    <w:rsid w:val="006334D6"/>
    <w:rsid w:val="006334DB"/>
    <w:rsid w:val="006334EC"/>
    <w:rsid w:val="00633502"/>
    <w:rsid w:val="0063351A"/>
    <w:rsid w:val="00633555"/>
    <w:rsid w:val="0063359C"/>
    <w:rsid w:val="006335C5"/>
    <w:rsid w:val="006335DE"/>
    <w:rsid w:val="00633633"/>
    <w:rsid w:val="00633678"/>
    <w:rsid w:val="006336FD"/>
    <w:rsid w:val="006337B7"/>
    <w:rsid w:val="006337C5"/>
    <w:rsid w:val="00633802"/>
    <w:rsid w:val="00633831"/>
    <w:rsid w:val="0063384D"/>
    <w:rsid w:val="006338CF"/>
    <w:rsid w:val="0063394A"/>
    <w:rsid w:val="00633956"/>
    <w:rsid w:val="006339B3"/>
    <w:rsid w:val="006339C4"/>
    <w:rsid w:val="006339D4"/>
    <w:rsid w:val="00633A3D"/>
    <w:rsid w:val="00633A87"/>
    <w:rsid w:val="00633A93"/>
    <w:rsid w:val="00633AAC"/>
    <w:rsid w:val="00633ABA"/>
    <w:rsid w:val="00633AC5"/>
    <w:rsid w:val="00633AE9"/>
    <w:rsid w:val="00633B02"/>
    <w:rsid w:val="00633B6A"/>
    <w:rsid w:val="00633B98"/>
    <w:rsid w:val="00633BC3"/>
    <w:rsid w:val="00633BF2"/>
    <w:rsid w:val="00633BF3"/>
    <w:rsid w:val="00633C69"/>
    <w:rsid w:val="00633CB4"/>
    <w:rsid w:val="00633CBB"/>
    <w:rsid w:val="00633D66"/>
    <w:rsid w:val="00633DA6"/>
    <w:rsid w:val="00633DC0"/>
    <w:rsid w:val="00633DCD"/>
    <w:rsid w:val="00633DEC"/>
    <w:rsid w:val="00633DFA"/>
    <w:rsid w:val="00633E0C"/>
    <w:rsid w:val="00633E0F"/>
    <w:rsid w:val="00633EB0"/>
    <w:rsid w:val="00633EE6"/>
    <w:rsid w:val="00633EF9"/>
    <w:rsid w:val="00633F0B"/>
    <w:rsid w:val="00633F32"/>
    <w:rsid w:val="00633F98"/>
    <w:rsid w:val="00633FBC"/>
    <w:rsid w:val="00633FD3"/>
    <w:rsid w:val="00633FD8"/>
    <w:rsid w:val="00634040"/>
    <w:rsid w:val="00634081"/>
    <w:rsid w:val="006340A8"/>
    <w:rsid w:val="006340BA"/>
    <w:rsid w:val="006340E4"/>
    <w:rsid w:val="006340F3"/>
    <w:rsid w:val="0063410C"/>
    <w:rsid w:val="00634135"/>
    <w:rsid w:val="0063414B"/>
    <w:rsid w:val="006341AB"/>
    <w:rsid w:val="006341B9"/>
    <w:rsid w:val="006341D4"/>
    <w:rsid w:val="006341F4"/>
    <w:rsid w:val="006341F7"/>
    <w:rsid w:val="0063421F"/>
    <w:rsid w:val="006342BC"/>
    <w:rsid w:val="00634313"/>
    <w:rsid w:val="00634376"/>
    <w:rsid w:val="0063443B"/>
    <w:rsid w:val="00634481"/>
    <w:rsid w:val="006344EB"/>
    <w:rsid w:val="006344F1"/>
    <w:rsid w:val="006344FA"/>
    <w:rsid w:val="00634500"/>
    <w:rsid w:val="0063452D"/>
    <w:rsid w:val="0063452E"/>
    <w:rsid w:val="00634575"/>
    <w:rsid w:val="0063457E"/>
    <w:rsid w:val="00634598"/>
    <w:rsid w:val="006345C6"/>
    <w:rsid w:val="006345C8"/>
    <w:rsid w:val="006345F8"/>
    <w:rsid w:val="0063460C"/>
    <w:rsid w:val="00634629"/>
    <w:rsid w:val="00634654"/>
    <w:rsid w:val="0063466E"/>
    <w:rsid w:val="006346C6"/>
    <w:rsid w:val="0063470E"/>
    <w:rsid w:val="00634745"/>
    <w:rsid w:val="0063476D"/>
    <w:rsid w:val="0063478D"/>
    <w:rsid w:val="006347A4"/>
    <w:rsid w:val="006347B4"/>
    <w:rsid w:val="006347C1"/>
    <w:rsid w:val="006347CF"/>
    <w:rsid w:val="0063484B"/>
    <w:rsid w:val="00634881"/>
    <w:rsid w:val="00634899"/>
    <w:rsid w:val="006348A0"/>
    <w:rsid w:val="0063490A"/>
    <w:rsid w:val="00634917"/>
    <w:rsid w:val="0063491B"/>
    <w:rsid w:val="0063492B"/>
    <w:rsid w:val="0063492D"/>
    <w:rsid w:val="0063496A"/>
    <w:rsid w:val="00634979"/>
    <w:rsid w:val="0063499C"/>
    <w:rsid w:val="006349AA"/>
    <w:rsid w:val="006349DD"/>
    <w:rsid w:val="006349F2"/>
    <w:rsid w:val="00634A04"/>
    <w:rsid w:val="00634AEE"/>
    <w:rsid w:val="00634B2A"/>
    <w:rsid w:val="00634BC5"/>
    <w:rsid w:val="00634C70"/>
    <w:rsid w:val="00634C8C"/>
    <w:rsid w:val="00634CC9"/>
    <w:rsid w:val="00634CD0"/>
    <w:rsid w:val="00634D1A"/>
    <w:rsid w:val="00634D4E"/>
    <w:rsid w:val="00634D7F"/>
    <w:rsid w:val="00634D94"/>
    <w:rsid w:val="00634DA7"/>
    <w:rsid w:val="00634E05"/>
    <w:rsid w:val="00634E33"/>
    <w:rsid w:val="00634E77"/>
    <w:rsid w:val="00634E93"/>
    <w:rsid w:val="00634EAB"/>
    <w:rsid w:val="00634ED8"/>
    <w:rsid w:val="00634EEC"/>
    <w:rsid w:val="00634F25"/>
    <w:rsid w:val="00634F38"/>
    <w:rsid w:val="00634FDC"/>
    <w:rsid w:val="0063500B"/>
    <w:rsid w:val="00635010"/>
    <w:rsid w:val="00635025"/>
    <w:rsid w:val="0063505F"/>
    <w:rsid w:val="006350D0"/>
    <w:rsid w:val="006350EE"/>
    <w:rsid w:val="00635161"/>
    <w:rsid w:val="006351AC"/>
    <w:rsid w:val="006351BD"/>
    <w:rsid w:val="006351BE"/>
    <w:rsid w:val="006351C9"/>
    <w:rsid w:val="00635201"/>
    <w:rsid w:val="0063521B"/>
    <w:rsid w:val="006352B3"/>
    <w:rsid w:val="006352F1"/>
    <w:rsid w:val="00635311"/>
    <w:rsid w:val="00635364"/>
    <w:rsid w:val="006353A6"/>
    <w:rsid w:val="0063545E"/>
    <w:rsid w:val="00635477"/>
    <w:rsid w:val="006354B2"/>
    <w:rsid w:val="006354B9"/>
    <w:rsid w:val="006354CD"/>
    <w:rsid w:val="0063552E"/>
    <w:rsid w:val="00635550"/>
    <w:rsid w:val="00635576"/>
    <w:rsid w:val="006355BE"/>
    <w:rsid w:val="00635615"/>
    <w:rsid w:val="006356A9"/>
    <w:rsid w:val="00635704"/>
    <w:rsid w:val="0063573C"/>
    <w:rsid w:val="00635747"/>
    <w:rsid w:val="006357CB"/>
    <w:rsid w:val="006357EA"/>
    <w:rsid w:val="0063587B"/>
    <w:rsid w:val="006358AB"/>
    <w:rsid w:val="006358EB"/>
    <w:rsid w:val="006359A6"/>
    <w:rsid w:val="006359DA"/>
    <w:rsid w:val="006359F7"/>
    <w:rsid w:val="00635A06"/>
    <w:rsid w:val="00635A59"/>
    <w:rsid w:val="00635A69"/>
    <w:rsid w:val="00635A97"/>
    <w:rsid w:val="00635B2A"/>
    <w:rsid w:val="00635B58"/>
    <w:rsid w:val="00635B74"/>
    <w:rsid w:val="00635BBE"/>
    <w:rsid w:val="00635C06"/>
    <w:rsid w:val="00635C21"/>
    <w:rsid w:val="00635C47"/>
    <w:rsid w:val="00635C4B"/>
    <w:rsid w:val="00635C5A"/>
    <w:rsid w:val="00635C89"/>
    <w:rsid w:val="00635CB4"/>
    <w:rsid w:val="00635CDD"/>
    <w:rsid w:val="00635D33"/>
    <w:rsid w:val="00635D42"/>
    <w:rsid w:val="00635D86"/>
    <w:rsid w:val="00635D93"/>
    <w:rsid w:val="00635DAF"/>
    <w:rsid w:val="00635DE5"/>
    <w:rsid w:val="00635E0D"/>
    <w:rsid w:val="00635E12"/>
    <w:rsid w:val="00635ECC"/>
    <w:rsid w:val="00635F0A"/>
    <w:rsid w:val="00635F13"/>
    <w:rsid w:val="00635F14"/>
    <w:rsid w:val="00635F7A"/>
    <w:rsid w:val="00635F9D"/>
    <w:rsid w:val="00636076"/>
    <w:rsid w:val="00636094"/>
    <w:rsid w:val="0063609C"/>
    <w:rsid w:val="006360A1"/>
    <w:rsid w:val="006360C9"/>
    <w:rsid w:val="00636167"/>
    <w:rsid w:val="006361B8"/>
    <w:rsid w:val="006361CE"/>
    <w:rsid w:val="006361ED"/>
    <w:rsid w:val="0063620F"/>
    <w:rsid w:val="00636251"/>
    <w:rsid w:val="006362F1"/>
    <w:rsid w:val="00636347"/>
    <w:rsid w:val="00636358"/>
    <w:rsid w:val="00636379"/>
    <w:rsid w:val="00636387"/>
    <w:rsid w:val="006363D8"/>
    <w:rsid w:val="00636430"/>
    <w:rsid w:val="00636450"/>
    <w:rsid w:val="0063648B"/>
    <w:rsid w:val="00636501"/>
    <w:rsid w:val="0063650E"/>
    <w:rsid w:val="00636536"/>
    <w:rsid w:val="0063654B"/>
    <w:rsid w:val="00636556"/>
    <w:rsid w:val="00636586"/>
    <w:rsid w:val="006365D2"/>
    <w:rsid w:val="006365EA"/>
    <w:rsid w:val="006365F3"/>
    <w:rsid w:val="0063660F"/>
    <w:rsid w:val="00636631"/>
    <w:rsid w:val="0063664B"/>
    <w:rsid w:val="00636674"/>
    <w:rsid w:val="006366AD"/>
    <w:rsid w:val="006366DA"/>
    <w:rsid w:val="00636713"/>
    <w:rsid w:val="00636755"/>
    <w:rsid w:val="0063675E"/>
    <w:rsid w:val="0063676C"/>
    <w:rsid w:val="0063679A"/>
    <w:rsid w:val="006367B7"/>
    <w:rsid w:val="006367C9"/>
    <w:rsid w:val="006367DC"/>
    <w:rsid w:val="0063682A"/>
    <w:rsid w:val="00636841"/>
    <w:rsid w:val="00636899"/>
    <w:rsid w:val="006368B7"/>
    <w:rsid w:val="00636904"/>
    <w:rsid w:val="00636917"/>
    <w:rsid w:val="0063696A"/>
    <w:rsid w:val="00636A44"/>
    <w:rsid w:val="00636A4E"/>
    <w:rsid w:val="00636AAE"/>
    <w:rsid w:val="00636B38"/>
    <w:rsid w:val="00636B73"/>
    <w:rsid w:val="00636BAC"/>
    <w:rsid w:val="00636BB7"/>
    <w:rsid w:val="00636BBD"/>
    <w:rsid w:val="00636BFF"/>
    <w:rsid w:val="00636C1B"/>
    <w:rsid w:val="00636C3D"/>
    <w:rsid w:val="00636C47"/>
    <w:rsid w:val="00636C7A"/>
    <w:rsid w:val="00636CA5"/>
    <w:rsid w:val="00636CC9"/>
    <w:rsid w:val="00636CDB"/>
    <w:rsid w:val="00636D15"/>
    <w:rsid w:val="00636D3E"/>
    <w:rsid w:val="00636D44"/>
    <w:rsid w:val="00636DCE"/>
    <w:rsid w:val="00636E00"/>
    <w:rsid w:val="00636E26"/>
    <w:rsid w:val="00636E27"/>
    <w:rsid w:val="00636E30"/>
    <w:rsid w:val="00636E5A"/>
    <w:rsid w:val="00636E61"/>
    <w:rsid w:val="00636E6F"/>
    <w:rsid w:val="00636E9A"/>
    <w:rsid w:val="00636ED1"/>
    <w:rsid w:val="00636EDB"/>
    <w:rsid w:val="00636F09"/>
    <w:rsid w:val="00636F71"/>
    <w:rsid w:val="00636FD3"/>
    <w:rsid w:val="00637004"/>
    <w:rsid w:val="00637010"/>
    <w:rsid w:val="00637019"/>
    <w:rsid w:val="00637066"/>
    <w:rsid w:val="006370D2"/>
    <w:rsid w:val="006370E5"/>
    <w:rsid w:val="00637102"/>
    <w:rsid w:val="00637105"/>
    <w:rsid w:val="00637107"/>
    <w:rsid w:val="00637118"/>
    <w:rsid w:val="0063712D"/>
    <w:rsid w:val="0063716F"/>
    <w:rsid w:val="0063717C"/>
    <w:rsid w:val="00637182"/>
    <w:rsid w:val="006371A0"/>
    <w:rsid w:val="006371B7"/>
    <w:rsid w:val="006371BE"/>
    <w:rsid w:val="006371EC"/>
    <w:rsid w:val="0063723E"/>
    <w:rsid w:val="00637247"/>
    <w:rsid w:val="006372C5"/>
    <w:rsid w:val="00637306"/>
    <w:rsid w:val="0063730A"/>
    <w:rsid w:val="0063730B"/>
    <w:rsid w:val="00637319"/>
    <w:rsid w:val="00637343"/>
    <w:rsid w:val="00637357"/>
    <w:rsid w:val="0063736F"/>
    <w:rsid w:val="006373F9"/>
    <w:rsid w:val="00637406"/>
    <w:rsid w:val="0063740E"/>
    <w:rsid w:val="0063743C"/>
    <w:rsid w:val="0063745C"/>
    <w:rsid w:val="00637497"/>
    <w:rsid w:val="0063749E"/>
    <w:rsid w:val="006374B1"/>
    <w:rsid w:val="006374CA"/>
    <w:rsid w:val="006374FA"/>
    <w:rsid w:val="00637515"/>
    <w:rsid w:val="00637570"/>
    <w:rsid w:val="00637572"/>
    <w:rsid w:val="006375CA"/>
    <w:rsid w:val="00637601"/>
    <w:rsid w:val="00637625"/>
    <w:rsid w:val="0063765B"/>
    <w:rsid w:val="00637690"/>
    <w:rsid w:val="00637691"/>
    <w:rsid w:val="0063777B"/>
    <w:rsid w:val="006377E1"/>
    <w:rsid w:val="00637806"/>
    <w:rsid w:val="0063786B"/>
    <w:rsid w:val="0063789E"/>
    <w:rsid w:val="006378AE"/>
    <w:rsid w:val="00637926"/>
    <w:rsid w:val="0063794B"/>
    <w:rsid w:val="006379FE"/>
    <w:rsid w:val="00637A0D"/>
    <w:rsid w:val="00637A32"/>
    <w:rsid w:val="00637A3B"/>
    <w:rsid w:val="00637A4F"/>
    <w:rsid w:val="00637A7A"/>
    <w:rsid w:val="00637B10"/>
    <w:rsid w:val="00637B5F"/>
    <w:rsid w:val="00637B7A"/>
    <w:rsid w:val="00637B84"/>
    <w:rsid w:val="00637C1A"/>
    <w:rsid w:val="00637CC8"/>
    <w:rsid w:val="00637CD4"/>
    <w:rsid w:val="00637CF3"/>
    <w:rsid w:val="00637D70"/>
    <w:rsid w:val="00637D7B"/>
    <w:rsid w:val="00637D9A"/>
    <w:rsid w:val="00637DAE"/>
    <w:rsid w:val="00637DDC"/>
    <w:rsid w:val="00637DEF"/>
    <w:rsid w:val="00637E98"/>
    <w:rsid w:val="00637F2D"/>
    <w:rsid w:val="00637F30"/>
    <w:rsid w:val="00637F8B"/>
    <w:rsid w:val="00637FB7"/>
    <w:rsid w:val="00637FE0"/>
    <w:rsid w:val="00640042"/>
    <w:rsid w:val="00640053"/>
    <w:rsid w:val="0064005B"/>
    <w:rsid w:val="0064007E"/>
    <w:rsid w:val="00640088"/>
    <w:rsid w:val="006400E4"/>
    <w:rsid w:val="00640135"/>
    <w:rsid w:val="0064013A"/>
    <w:rsid w:val="0064013C"/>
    <w:rsid w:val="0064019B"/>
    <w:rsid w:val="006401B9"/>
    <w:rsid w:val="006401D0"/>
    <w:rsid w:val="006401EF"/>
    <w:rsid w:val="00640245"/>
    <w:rsid w:val="0064024A"/>
    <w:rsid w:val="0064027E"/>
    <w:rsid w:val="006402BC"/>
    <w:rsid w:val="006402D6"/>
    <w:rsid w:val="006402EB"/>
    <w:rsid w:val="00640303"/>
    <w:rsid w:val="0064031B"/>
    <w:rsid w:val="00640341"/>
    <w:rsid w:val="006403F4"/>
    <w:rsid w:val="0064040A"/>
    <w:rsid w:val="0064041D"/>
    <w:rsid w:val="00640420"/>
    <w:rsid w:val="0064042B"/>
    <w:rsid w:val="0064044F"/>
    <w:rsid w:val="00640470"/>
    <w:rsid w:val="00640490"/>
    <w:rsid w:val="0064049E"/>
    <w:rsid w:val="006404AD"/>
    <w:rsid w:val="0064053F"/>
    <w:rsid w:val="006405C5"/>
    <w:rsid w:val="006405CB"/>
    <w:rsid w:val="006405DC"/>
    <w:rsid w:val="00640600"/>
    <w:rsid w:val="00640663"/>
    <w:rsid w:val="006406CA"/>
    <w:rsid w:val="006406CD"/>
    <w:rsid w:val="00640700"/>
    <w:rsid w:val="0064070D"/>
    <w:rsid w:val="00640825"/>
    <w:rsid w:val="00640854"/>
    <w:rsid w:val="00640917"/>
    <w:rsid w:val="0064092C"/>
    <w:rsid w:val="0064093E"/>
    <w:rsid w:val="00640952"/>
    <w:rsid w:val="00640995"/>
    <w:rsid w:val="006409E1"/>
    <w:rsid w:val="00640A00"/>
    <w:rsid w:val="00640A31"/>
    <w:rsid w:val="00640A3F"/>
    <w:rsid w:val="00640AF6"/>
    <w:rsid w:val="00640B48"/>
    <w:rsid w:val="00640B5B"/>
    <w:rsid w:val="00640BB2"/>
    <w:rsid w:val="00640BCE"/>
    <w:rsid w:val="00640BD8"/>
    <w:rsid w:val="00640BE5"/>
    <w:rsid w:val="00640C0A"/>
    <w:rsid w:val="00640C4E"/>
    <w:rsid w:val="00640D75"/>
    <w:rsid w:val="00640D84"/>
    <w:rsid w:val="00640DF4"/>
    <w:rsid w:val="00640E13"/>
    <w:rsid w:val="00640E61"/>
    <w:rsid w:val="00640E91"/>
    <w:rsid w:val="00640EC2"/>
    <w:rsid w:val="00640EDB"/>
    <w:rsid w:val="00640F0B"/>
    <w:rsid w:val="00640F54"/>
    <w:rsid w:val="00640F90"/>
    <w:rsid w:val="00640F95"/>
    <w:rsid w:val="00640FB9"/>
    <w:rsid w:val="00640FC3"/>
    <w:rsid w:val="00640FF9"/>
    <w:rsid w:val="00641002"/>
    <w:rsid w:val="00641037"/>
    <w:rsid w:val="00641076"/>
    <w:rsid w:val="0064107B"/>
    <w:rsid w:val="00641096"/>
    <w:rsid w:val="006410A9"/>
    <w:rsid w:val="006410BA"/>
    <w:rsid w:val="0064117E"/>
    <w:rsid w:val="00641227"/>
    <w:rsid w:val="0064125F"/>
    <w:rsid w:val="00641273"/>
    <w:rsid w:val="00641282"/>
    <w:rsid w:val="00641292"/>
    <w:rsid w:val="006412BB"/>
    <w:rsid w:val="006412D5"/>
    <w:rsid w:val="006412F9"/>
    <w:rsid w:val="0064132E"/>
    <w:rsid w:val="00641355"/>
    <w:rsid w:val="0064139D"/>
    <w:rsid w:val="006413B8"/>
    <w:rsid w:val="006413C3"/>
    <w:rsid w:val="006413DF"/>
    <w:rsid w:val="006413E8"/>
    <w:rsid w:val="0064146D"/>
    <w:rsid w:val="006414B7"/>
    <w:rsid w:val="006414C8"/>
    <w:rsid w:val="00641506"/>
    <w:rsid w:val="006415E2"/>
    <w:rsid w:val="006416A5"/>
    <w:rsid w:val="006416D0"/>
    <w:rsid w:val="00641831"/>
    <w:rsid w:val="006418BA"/>
    <w:rsid w:val="00641966"/>
    <w:rsid w:val="006419F5"/>
    <w:rsid w:val="00641B3B"/>
    <w:rsid w:val="00641B9A"/>
    <w:rsid w:val="00641C8D"/>
    <w:rsid w:val="00641CCC"/>
    <w:rsid w:val="00641DA0"/>
    <w:rsid w:val="00641E05"/>
    <w:rsid w:val="00641E08"/>
    <w:rsid w:val="00641E0B"/>
    <w:rsid w:val="00641E64"/>
    <w:rsid w:val="00641EB6"/>
    <w:rsid w:val="00641EC4"/>
    <w:rsid w:val="00641EEA"/>
    <w:rsid w:val="00641F47"/>
    <w:rsid w:val="00641F9A"/>
    <w:rsid w:val="00641FA2"/>
    <w:rsid w:val="00641FB3"/>
    <w:rsid w:val="00641FC4"/>
    <w:rsid w:val="00641FC9"/>
    <w:rsid w:val="0064200A"/>
    <w:rsid w:val="0064204B"/>
    <w:rsid w:val="0064205B"/>
    <w:rsid w:val="006420DE"/>
    <w:rsid w:val="00642116"/>
    <w:rsid w:val="00642189"/>
    <w:rsid w:val="0064218D"/>
    <w:rsid w:val="00642197"/>
    <w:rsid w:val="006421D7"/>
    <w:rsid w:val="00642224"/>
    <w:rsid w:val="0064224C"/>
    <w:rsid w:val="00642283"/>
    <w:rsid w:val="006422B1"/>
    <w:rsid w:val="006422BC"/>
    <w:rsid w:val="006422C1"/>
    <w:rsid w:val="006422C9"/>
    <w:rsid w:val="00642307"/>
    <w:rsid w:val="00642319"/>
    <w:rsid w:val="00642363"/>
    <w:rsid w:val="006423B6"/>
    <w:rsid w:val="006423C3"/>
    <w:rsid w:val="00642450"/>
    <w:rsid w:val="0064248F"/>
    <w:rsid w:val="006424B9"/>
    <w:rsid w:val="0064251B"/>
    <w:rsid w:val="0064254E"/>
    <w:rsid w:val="0064255F"/>
    <w:rsid w:val="00642573"/>
    <w:rsid w:val="0064266B"/>
    <w:rsid w:val="006426C3"/>
    <w:rsid w:val="0064271B"/>
    <w:rsid w:val="00642724"/>
    <w:rsid w:val="00642733"/>
    <w:rsid w:val="00642785"/>
    <w:rsid w:val="00642788"/>
    <w:rsid w:val="0064278F"/>
    <w:rsid w:val="00642805"/>
    <w:rsid w:val="00642809"/>
    <w:rsid w:val="00642834"/>
    <w:rsid w:val="00642838"/>
    <w:rsid w:val="00642888"/>
    <w:rsid w:val="006428A8"/>
    <w:rsid w:val="006428B3"/>
    <w:rsid w:val="006428B8"/>
    <w:rsid w:val="006428C4"/>
    <w:rsid w:val="006429BD"/>
    <w:rsid w:val="006429C7"/>
    <w:rsid w:val="00642A18"/>
    <w:rsid w:val="00642A4C"/>
    <w:rsid w:val="00642A81"/>
    <w:rsid w:val="00642AC4"/>
    <w:rsid w:val="00642ADB"/>
    <w:rsid w:val="00642AE1"/>
    <w:rsid w:val="00642B15"/>
    <w:rsid w:val="00642B39"/>
    <w:rsid w:val="00642B41"/>
    <w:rsid w:val="00642B68"/>
    <w:rsid w:val="00642B6B"/>
    <w:rsid w:val="00642B9D"/>
    <w:rsid w:val="00642BC5"/>
    <w:rsid w:val="00642BF0"/>
    <w:rsid w:val="00642C06"/>
    <w:rsid w:val="00642D90"/>
    <w:rsid w:val="00642DD6"/>
    <w:rsid w:val="00642DEE"/>
    <w:rsid w:val="00642E37"/>
    <w:rsid w:val="00642E57"/>
    <w:rsid w:val="00642EA0"/>
    <w:rsid w:val="00642EA4"/>
    <w:rsid w:val="00642EB4"/>
    <w:rsid w:val="00642EEA"/>
    <w:rsid w:val="00642F05"/>
    <w:rsid w:val="00642F27"/>
    <w:rsid w:val="00642F57"/>
    <w:rsid w:val="00642F7A"/>
    <w:rsid w:val="00642FD2"/>
    <w:rsid w:val="00642FFA"/>
    <w:rsid w:val="00643023"/>
    <w:rsid w:val="0064303A"/>
    <w:rsid w:val="00643040"/>
    <w:rsid w:val="0064305C"/>
    <w:rsid w:val="00643074"/>
    <w:rsid w:val="006430B8"/>
    <w:rsid w:val="006430C4"/>
    <w:rsid w:val="00643129"/>
    <w:rsid w:val="0064313E"/>
    <w:rsid w:val="00643228"/>
    <w:rsid w:val="0064333D"/>
    <w:rsid w:val="0064336D"/>
    <w:rsid w:val="00643379"/>
    <w:rsid w:val="006433D8"/>
    <w:rsid w:val="006433E5"/>
    <w:rsid w:val="00643427"/>
    <w:rsid w:val="00643498"/>
    <w:rsid w:val="006434FA"/>
    <w:rsid w:val="00643539"/>
    <w:rsid w:val="006435AD"/>
    <w:rsid w:val="006435B8"/>
    <w:rsid w:val="006435CE"/>
    <w:rsid w:val="006435D0"/>
    <w:rsid w:val="006435D6"/>
    <w:rsid w:val="006435EA"/>
    <w:rsid w:val="006435EC"/>
    <w:rsid w:val="00643618"/>
    <w:rsid w:val="00643630"/>
    <w:rsid w:val="00643639"/>
    <w:rsid w:val="006436B7"/>
    <w:rsid w:val="006436FB"/>
    <w:rsid w:val="00643715"/>
    <w:rsid w:val="00643757"/>
    <w:rsid w:val="00643784"/>
    <w:rsid w:val="0064378F"/>
    <w:rsid w:val="0064381E"/>
    <w:rsid w:val="00643870"/>
    <w:rsid w:val="006438A5"/>
    <w:rsid w:val="00643917"/>
    <w:rsid w:val="00643949"/>
    <w:rsid w:val="00643952"/>
    <w:rsid w:val="00643961"/>
    <w:rsid w:val="00643963"/>
    <w:rsid w:val="006439A5"/>
    <w:rsid w:val="006439B8"/>
    <w:rsid w:val="006439BE"/>
    <w:rsid w:val="006439C5"/>
    <w:rsid w:val="00643A0C"/>
    <w:rsid w:val="00643A7A"/>
    <w:rsid w:val="00643A81"/>
    <w:rsid w:val="00643AAC"/>
    <w:rsid w:val="00643AEB"/>
    <w:rsid w:val="00643AF7"/>
    <w:rsid w:val="00643B0F"/>
    <w:rsid w:val="00643B10"/>
    <w:rsid w:val="00643B49"/>
    <w:rsid w:val="00643BA5"/>
    <w:rsid w:val="00643BA6"/>
    <w:rsid w:val="00643BB9"/>
    <w:rsid w:val="00643BE4"/>
    <w:rsid w:val="00643C31"/>
    <w:rsid w:val="00643C4C"/>
    <w:rsid w:val="00643C66"/>
    <w:rsid w:val="00643CA9"/>
    <w:rsid w:val="00643CFD"/>
    <w:rsid w:val="00643D3E"/>
    <w:rsid w:val="00643D76"/>
    <w:rsid w:val="00643D79"/>
    <w:rsid w:val="00643E26"/>
    <w:rsid w:val="00643E33"/>
    <w:rsid w:val="00643F08"/>
    <w:rsid w:val="00643F18"/>
    <w:rsid w:val="00643F34"/>
    <w:rsid w:val="00643F37"/>
    <w:rsid w:val="00643F76"/>
    <w:rsid w:val="00643F79"/>
    <w:rsid w:val="00643F9E"/>
    <w:rsid w:val="00643FB2"/>
    <w:rsid w:val="00643FE7"/>
    <w:rsid w:val="00644008"/>
    <w:rsid w:val="00644038"/>
    <w:rsid w:val="0064407E"/>
    <w:rsid w:val="00644092"/>
    <w:rsid w:val="0064409E"/>
    <w:rsid w:val="006440D0"/>
    <w:rsid w:val="006440D8"/>
    <w:rsid w:val="006440F2"/>
    <w:rsid w:val="00644104"/>
    <w:rsid w:val="00644134"/>
    <w:rsid w:val="0064413D"/>
    <w:rsid w:val="0064414C"/>
    <w:rsid w:val="0064416E"/>
    <w:rsid w:val="0064418F"/>
    <w:rsid w:val="006441DD"/>
    <w:rsid w:val="00644200"/>
    <w:rsid w:val="00644217"/>
    <w:rsid w:val="0064428D"/>
    <w:rsid w:val="00644308"/>
    <w:rsid w:val="00644345"/>
    <w:rsid w:val="00644431"/>
    <w:rsid w:val="00644438"/>
    <w:rsid w:val="00644478"/>
    <w:rsid w:val="006444C8"/>
    <w:rsid w:val="006444D3"/>
    <w:rsid w:val="0064450B"/>
    <w:rsid w:val="0064450D"/>
    <w:rsid w:val="00644587"/>
    <w:rsid w:val="006445A4"/>
    <w:rsid w:val="0064469F"/>
    <w:rsid w:val="0064471F"/>
    <w:rsid w:val="006447A8"/>
    <w:rsid w:val="006447B3"/>
    <w:rsid w:val="0064483D"/>
    <w:rsid w:val="006448BE"/>
    <w:rsid w:val="006448CB"/>
    <w:rsid w:val="00644905"/>
    <w:rsid w:val="0064491E"/>
    <w:rsid w:val="00644935"/>
    <w:rsid w:val="0064497A"/>
    <w:rsid w:val="00644986"/>
    <w:rsid w:val="006449C7"/>
    <w:rsid w:val="006449F4"/>
    <w:rsid w:val="006449F5"/>
    <w:rsid w:val="00644A0B"/>
    <w:rsid w:val="00644A3E"/>
    <w:rsid w:val="00644A5B"/>
    <w:rsid w:val="00644A6D"/>
    <w:rsid w:val="00644A77"/>
    <w:rsid w:val="00644AF1"/>
    <w:rsid w:val="00644B09"/>
    <w:rsid w:val="00644B8B"/>
    <w:rsid w:val="00644B9A"/>
    <w:rsid w:val="00644BB3"/>
    <w:rsid w:val="00644BD8"/>
    <w:rsid w:val="00644C0F"/>
    <w:rsid w:val="00644C26"/>
    <w:rsid w:val="00644C2E"/>
    <w:rsid w:val="00644C4A"/>
    <w:rsid w:val="00644CA2"/>
    <w:rsid w:val="00644CE8"/>
    <w:rsid w:val="00644D08"/>
    <w:rsid w:val="00644D2B"/>
    <w:rsid w:val="00644D3C"/>
    <w:rsid w:val="00644D4F"/>
    <w:rsid w:val="00644DF6"/>
    <w:rsid w:val="00644DFC"/>
    <w:rsid w:val="00644E34"/>
    <w:rsid w:val="00644EA7"/>
    <w:rsid w:val="00644EE2"/>
    <w:rsid w:val="00644F24"/>
    <w:rsid w:val="00644F2D"/>
    <w:rsid w:val="00644F46"/>
    <w:rsid w:val="00644F5C"/>
    <w:rsid w:val="00644F5F"/>
    <w:rsid w:val="00644F76"/>
    <w:rsid w:val="00644FA5"/>
    <w:rsid w:val="00644FBF"/>
    <w:rsid w:val="00644FC7"/>
    <w:rsid w:val="00644FD1"/>
    <w:rsid w:val="006450C2"/>
    <w:rsid w:val="0064518B"/>
    <w:rsid w:val="006451B7"/>
    <w:rsid w:val="0064520B"/>
    <w:rsid w:val="00645238"/>
    <w:rsid w:val="006452D7"/>
    <w:rsid w:val="00645308"/>
    <w:rsid w:val="00645339"/>
    <w:rsid w:val="00645340"/>
    <w:rsid w:val="006453F6"/>
    <w:rsid w:val="0064542E"/>
    <w:rsid w:val="00645459"/>
    <w:rsid w:val="00645491"/>
    <w:rsid w:val="006454E0"/>
    <w:rsid w:val="00645507"/>
    <w:rsid w:val="00645520"/>
    <w:rsid w:val="0064553E"/>
    <w:rsid w:val="00645554"/>
    <w:rsid w:val="00645577"/>
    <w:rsid w:val="0064557F"/>
    <w:rsid w:val="006455D0"/>
    <w:rsid w:val="006455E2"/>
    <w:rsid w:val="006455EA"/>
    <w:rsid w:val="006455FF"/>
    <w:rsid w:val="0064563B"/>
    <w:rsid w:val="0064564F"/>
    <w:rsid w:val="0064567B"/>
    <w:rsid w:val="006456AC"/>
    <w:rsid w:val="006456AD"/>
    <w:rsid w:val="006456BD"/>
    <w:rsid w:val="00645729"/>
    <w:rsid w:val="0064572E"/>
    <w:rsid w:val="0064573B"/>
    <w:rsid w:val="00645815"/>
    <w:rsid w:val="0064581A"/>
    <w:rsid w:val="0064582D"/>
    <w:rsid w:val="00645830"/>
    <w:rsid w:val="00645891"/>
    <w:rsid w:val="00645896"/>
    <w:rsid w:val="006458A3"/>
    <w:rsid w:val="006458AB"/>
    <w:rsid w:val="00645985"/>
    <w:rsid w:val="006459BE"/>
    <w:rsid w:val="006459E9"/>
    <w:rsid w:val="00645A3C"/>
    <w:rsid w:val="00645A45"/>
    <w:rsid w:val="00645A47"/>
    <w:rsid w:val="00645A60"/>
    <w:rsid w:val="00645B0E"/>
    <w:rsid w:val="00645B64"/>
    <w:rsid w:val="00645BAF"/>
    <w:rsid w:val="00645BBF"/>
    <w:rsid w:val="00645BD2"/>
    <w:rsid w:val="00645BE0"/>
    <w:rsid w:val="00645C45"/>
    <w:rsid w:val="00645C6D"/>
    <w:rsid w:val="00645CF0"/>
    <w:rsid w:val="00645DCE"/>
    <w:rsid w:val="00645E25"/>
    <w:rsid w:val="00645E2F"/>
    <w:rsid w:val="00645E54"/>
    <w:rsid w:val="00645E62"/>
    <w:rsid w:val="00645E8A"/>
    <w:rsid w:val="00645E8E"/>
    <w:rsid w:val="00645F57"/>
    <w:rsid w:val="00645FBA"/>
    <w:rsid w:val="00645FC2"/>
    <w:rsid w:val="00646016"/>
    <w:rsid w:val="00646046"/>
    <w:rsid w:val="006460BB"/>
    <w:rsid w:val="006460BD"/>
    <w:rsid w:val="006460C0"/>
    <w:rsid w:val="006460C1"/>
    <w:rsid w:val="006460CC"/>
    <w:rsid w:val="006460D2"/>
    <w:rsid w:val="006460F3"/>
    <w:rsid w:val="00646118"/>
    <w:rsid w:val="00646150"/>
    <w:rsid w:val="00646156"/>
    <w:rsid w:val="0064619C"/>
    <w:rsid w:val="006461D5"/>
    <w:rsid w:val="006461F3"/>
    <w:rsid w:val="006461F9"/>
    <w:rsid w:val="0064623A"/>
    <w:rsid w:val="0064623C"/>
    <w:rsid w:val="00646266"/>
    <w:rsid w:val="0064629D"/>
    <w:rsid w:val="006462EE"/>
    <w:rsid w:val="00646300"/>
    <w:rsid w:val="00646323"/>
    <w:rsid w:val="00646344"/>
    <w:rsid w:val="0064635B"/>
    <w:rsid w:val="00646366"/>
    <w:rsid w:val="00646407"/>
    <w:rsid w:val="00646442"/>
    <w:rsid w:val="00646443"/>
    <w:rsid w:val="00646448"/>
    <w:rsid w:val="00646452"/>
    <w:rsid w:val="00646499"/>
    <w:rsid w:val="006464B7"/>
    <w:rsid w:val="006464E9"/>
    <w:rsid w:val="006464ED"/>
    <w:rsid w:val="006464FF"/>
    <w:rsid w:val="00646531"/>
    <w:rsid w:val="0064653A"/>
    <w:rsid w:val="0064654A"/>
    <w:rsid w:val="00646585"/>
    <w:rsid w:val="0064659C"/>
    <w:rsid w:val="006465A5"/>
    <w:rsid w:val="00646635"/>
    <w:rsid w:val="00646664"/>
    <w:rsid w:val="0064666C"/>
    <w:rsid w:val="0064667C"/>
    <w:rsid w:val="0064667D"/>
    <w:rsid w:val="0064669A"/>
    <w:rsid w:val="00646713"/>
    <w:rsid w:val="00646736"/>
    <w:rsid w:val="00646742"/>
    <w:rsid w:val="0064675F"/>
    <w:rsid w:val="0064688A"/>
    <w:rsid w:val="006468B6"/>
    <w:rsid w:val="006468B8"/>
    <w:rsid w:val="00646931"/>
    <w:rsid w:val="00646947"/>
    <w:rsid w:val="00646950"/>
    <w:rsid w:val="00646957"/>
    <w:rsid w:val="0064695C"/>
    <w:rsid w:val="006469A4"/>
    <w:rsid w:val="00646A31"/>
    <w:rsid w:val="00646A98"/>
    <w:rsid w:val="00646AAF"/>
    <w:rsid w:val="00646AB7"/>
    <w:rsid w:val="00646B08"/>
    <w:rsid w:val="00646B0D"/>
    <w:rsid w:val="00646B3D"/>
    <w:rsid w:val="00646B3E"/>
    <w:rsid w:val="00646B66"/>
    <w:rsid w:val="00646BB5"/>
    <w:rsid w:val="00646BE6"/>
    <w:rsid w:val="00646BFC"/>
    <w:rsid w:val="00646C0F"/>
    <w:rsid w:val="00646C6E"/>
    <w:rsid w:val="00646CC8"/>
    <w:rsid w:val="00646CE4"/>
    <w:rsid w:val="00646CE6"/>
    <w:rsid w:val="00646CF5"/>
    <w:rsid w:val="00646D1B"/>
    <w:rsid w:val="00646D31"/>
    <w:rsid w:val="00646D61"/>
    <w:rsid w:val="00646DBC"/>
    <w:rsid w:val="00646E8C"/>
    <w:rsid w:val="00646EB9"/>
    <w:rsid w:val="00646EBB"/>
    <w:rsid w:val="00646F3D"/>
    <w:rsid w:val="00646F8E"/>
    <w:rsid w:val="00646FA1"/>
    <w:rsid w:val="00646FF1"/>
    <w:rsid w:val="00647016"/>
    <w:rsid w:val="00647066"/>
    <w:rsid w:val="0064707C"/>
    <w:rsid w:val="00647099"/>
    <w:rsid w:val="0064727B"/>
    <w:rsid w:val="00647290"/>
    <w:rsid w:val="006472AE"/>
    <w:rsid w:val="006472FE"/>
    <w:rsid w:val="0064735B"/>
    <w:rsid w:val="006473A2"/>
    <w:rsid w:val="00647420"/>
    <w:rsid w:val="006474E4"/>
    <w:rsid w:val="006474F4"/>
    <w:rsid w:val="00647537"/>
    <w:rsid w:val="00647547"/>
    <w:rsid w:val="0064754A"/>
    <w:rsid w:val="00647564"/>
    <w:rsid w:val="006475CE"/>
    <w:rsid w:val="0064764B"/>
    <w:rsid w:val="00647683"/>
    <w:rsid w:val="006476F4"/>
    <w:rsid w:val="00647738"/>
    <w:rsid w:val="0064776C"/>
    <w:rsid w:val="0064776E"/>
    <w:rsid w:val="00647790"/>
    <w:rsid w:val="006477C8"/>
    <w:rsid w:val="006477F1"/>
    <w:rsid w:val="00647827"/>
    <w:rsid w:val="0064782D"/>
    <w:rsid w:val="00647887"/>
    <w:rsid w:val="0064798C"/>
    <w:rsid w:val="006479FB"/>
    <w:rsid w:val="00647A0A"/>
    <w:rsid w:val="00647A0E"/>
    <w:rsid w:val="00647A4D"/>
    <w:rsid w:val="00647A8B"/>
    <w:rsid w:val="00647A8C"/>
    <w:rsid w:val="00647A9E"/>
    <w:rsid w:val="00647AA0"/>
    <w:rsid w:val="00647B5B"/>
    <w:rsid w:val="00647BBB"/>
    <w:rsid w:val="00647BCC"/>
    <w:rsid w:val="00647BD9"/>
    <w:rsid w:val="00647BE6"/>
    <w:rsid w:val="00647C26"/>
    <w:rsid w:val="00647C5F"/>
    <w:rsid w:val="00647CA4"/>
    <w:rsid w:val="00647CA5"/>
    <w:rsid w:val="00647CA8"/>
    <w:rsid w:val="00647D1C"/>
    <w:rsid w:val="00647D33"/>
    <w:rsid w:val="00647D34"/>
    <w:rsid w:val="00647D50"/>
    <w:rsid w:val="00647DA0"/>
    <w:rsid w:val="00647DCB"/>
    <w:rsid w:val="00647DCD"/>
    <w:rsid w:val="00647E11"/>
    <w:rsid w:val="00647E6D"/>
    <w:rsid w:val="00647E74"/>
    <w:rsid w:val="00647EA3"/>
    <w:rsid w:val="00647EA5"/>
    <w:rsid w:val="00647F6A"/>
    <w:rsid w:val="00647FAA"/>
    <w:rsid w:val="00647FAF"/>
    <w:rsid w:val="00647FD7"/>
    <w:rsid w:val="00647FE0"/>
    <w:rsid w:val="00650048"/>
    <w:rsid w:val="00650085"/>
    <w:rsid w:val="006500AD"/>
    <w:rsid w:val="006500B8"/>
    <w:rsid w:val="006500EC"/>
    <w:rsid w:val="0065010B"/>
    <w:rsid w:val="0065016D"/>
    <w:rsid w:val="00650172"/>
    <w:rsid w:val="006501B8"/>
    <w:rsid w:val="006501B9"/>
    <w:rsid w:val="00650201"/>
    <w:rsid w:val="00650227"/>
    <w:rsid w:val="0065024C"/>
    <w:rsid w:val="0065026F"/>
    <w:rsid w:val="00650298"/>
    <w:rsid w:val="00650325"/>
    <w:rsid w:val="00650352"/>
    <w:rsid w:val="00650383"/>
    <w:rsid w:val="006503C7"/>
    <w:rsid w:val="00650427"/>
    <w:rsid w:val="006504A8"/>
    <w:rsid w:val="00650595"/>
    <w:rsid w:val="006505DB"/>
    <w:rsid w:val="0065060C"/>
    <w:rsid w:val="0065060D"/>
    <w:rsid w:val="00650628"/>
    <w:rsid w:val="0065062A"/>
    <w:rsid w:val="00650652"/>
    <w:rsid w:val="00650668"/>
    <w:rsid w:val="006506B0"/>
    <w:rsid w:val="0065088F"/>
    <w:rsid w:val="006508A9"/>
    <w:rsid w:val="006508B1"/>
    <w:rsid w:val="00650928"/>
    <w:rsid w:val="0065092E"/>
    <w:rsid w:val="0065095C"/>
    <w:rsid w:val="00650A15"/>
    <w:rsid w:val="00650A21"/>
    <w:rsid w:val="00650A25"/>
    <w:rsid w:val="00650A29"/>
    <w:rsid w:val="00650A4A"/>
    <w:rsid w:val="00650A4D"/>
    <w:rsid w:val="00650AB2"/>
    <w:rsid w:val="00650ABD"/>
    <w:rsid w:val="00650AEC"/>
    <w:rsid w:val="00650B82"/>
    <w:rsid w:val="00650B90"/>
    <w:rsid w:val="00650BAB"/>
    <w:rsid w:val="00650BEF"/>
    <w:rsid w:val="00650BF8"/>
    <w:rsid w:val="00650C9A"/>
    <w:rsid w:val="00650CA4"/>
    <w:rsid w:val="00650CBC"/>
    <w:rsid w:val="00650D0C"/>
    <w:rsid w:val="00650D50"/>
    <w:rsid w:val="00650DB0"/>
    <w:rsid w:val="00650DC2"/>
    <w:rsid w:val="00650DED"/>
    <w:rsid w:val="00650DEE"/>
    <w:rsid w:val="00650DF2"/>
    <w:rsid w:val="00650ECA"/>
    <w:rsid w:val="00650EDD"/>
    <w:rsid w:val="00650EEA"/>
    <w:rsid w:val="00650F5C"/>
    <w:rsid w:val="00650FBB"/>
    <w:rsid w:val="00650FD8"/>
    <w:rsid w:val="00650FF0"/>
    <w:rsid w:val="0065100C"/>
    <w:rsid w:val="00651025"/>
    <w:rsid w:val="0065108B"/>
    <w:rsid w:val="0065108D"/>
    <w:rsid w:val="00651133"/>
    <w:rsid w:val="0065114D"/>
    <w:rsid w:val="006511CE"/>
    <w:rsid w:val="0065122C"/>
    <w:rsid w:val="006512C0"/>
    <w:rsid w:val="00651303"/>
    <w:rsid w:val="0065135C"/>
    <w:rsid w:val="00651365"/>
    <w:rsid w:val="00651386"/>
    <w:rsid w:val="00651399"/>
    <w:rsid w:val="0065140A"/>
    <w:rsid w:val="00651494"/>
    <w:rsid w:val="00651517"/>
    <w:rsid w:val="00651535"/>
    <w:rsid w:val="0065153A"/>
    <w:rsid w:val="00651623"/>
    <w:rsid w:val="00651637"/>
    <w:rsid w:val="00651673"/>
    <w:rsid w:val="00651683"/>
    <w:rsid w:val="0065168B"/>
    <w:rsid w:val="006516BF"/>
    <w:rsid w:val="00651751"/>
    <w:rsid w:val="00651761"/>
    <w:rsid w:val="00651774"/>
    <w:rsid w:val="0065177A"/>
    <w:rsid w:val="0065179C"/>
    <w:rsid w:val="006517F9"/>
    <w:rsid w:val="0065181A"/>
    <w:rsid w:val="006518EE"/>
    <w:rsid w:val="00651923"/>
    <w:rsid w:val="0065194B"/>
    <w:rsid w:val="0065195A"/>
    <w:rsid w:val="006519F4"/>
    <w:rsid w:val="006519F7"/>
    <w:rsid w:val="006519F8"/>
    <w:rsid w:val="00651A0E"/>
    <w:rsid w:val="00651A12"/>
    <w:rsid w:val="00651A2F"/>
    <w:rsid w:val="00651A30"/>
    <w:rsid w:val="00651AA3"/>
    <w:rsid w:val="00651AB5"/>
    <w:rsid w:val="00651B16"/>
    <w:rsid w:val="00651B28"/>
    <w:rsid w:val="00651B3B"/>
    <w:rsid w:val="00651B60"/>
    <w:rsid w:val="00651B70"/>
    <w:rsid w:val="00651B9C"/>
    <w:rsid w:val="00651BA2"/>
    <w:rsid w:val="00651C66"/>
    <w:rsid w:val="00651CA2"/>
    <w:rsid w:val="00651CDA"/>
    <w:rsid w:val="00651D0C"/>
    <w:rsid w:val="00651D10"/>
    <w:rsid w:val="00651D14"/>
    <w:rsid w:val="00651D15"/>
    <w:rsid w:val="00651D64"/>
    <w:rsid w:val="00651E28"/>
    <w:rsid w:val="00651E4F"/>
    <w:rsid w:val="00651E6D"/>
    <w:rsid w:val="00651EA9"/>
    <w:rsid w:val="00651EB2"/>
    <w:rsid w:val="00651F23"/>
    <w:rsid w:val="00651F29"/>
    <w:rsid w:val="00651F2C"/>
    <w:rsid w:val="00651F34"/>
    <w:rsid w:val="00651F3E"/>
    <w:rsid w:val="00651F63"/>
    <w:rsid w:val="00651F88"/>
    <w:rsid w:val="00651F91"/>
    <w:rsid w:val="00651FE6"/>
    <w:rsid w:val="00652047"/>
    <w:rsid w:val="006520B8"/>
    <w:rsid w:val="006520D4"/>
    <w:rsid w:val="006520E9"/>
    <w:rsid w:val="00652138"/>
    <w:rsid w:val="00652143"/>
    <w:rsid w:val="00652149"/>
    <w:rsid w:val="00652164"/>
    <w:rsid w:val="0065216E"/>
    <w:rsid w:val="00652172"/>
    <w:rsid w:val="006521A7"/>
    <w:rsid w:val="006521B6"/>
    <w:rsid w:val="0065222C"/>
    <w:rsid w:val="006522A6"/>
    <w:rsid w:val="006522C9"/>
    <w:rsid w:val="006522DE"/>
    <w:rsid w:val="0065230B"/>
    <w:rsid w:val="00652316"/>
    <w:rsid w:val="0065231D"/>
    <w:rsid w:val="00652372"/>
    <w:rsid w:val="006523B0"/>
    <w:rsid w:val="006523C0"/>
    <w:rsid w:val="00652414"/>
    <w:rsid w:val="00652415"/>
    <w:rsid w:val="00652431"/>
    <w:rsid w:val="00652436"/>
    <w:rsid w:val="006524A1"/>
    <w:rsid w:val="006524D6"/>
    <w:rsid w:val="006524EE"/>
    <w:rsid w:val="00652528"/>
    <w:rsid w:val="0065252C"/>
    <w:rsid w:val="00652574"/>
    <w:rsid w:val="006525CA"/>
    <w:rsid w:val="006525F1"/>
    <w:rsid w:val="00652603"/>
    <w:rsid w:val="00652657"/>
    <w:rsid w:val="00652667"/>
    <w:rsid w:val="0065268F"/>
    <w:rsid w:val="006526BF"/>
    <w:rsid w:val="00652722"/>
    <w:rsid w:val="00652734"/>
    <w:rsid w:val="0065279C"/>
    <w:rsid w:val="006527AD"/>
    <w:rsid w:val="00652821"/>
    <w:rsid w:val="00652837"/>
    <w:rsid w:val="006528C3"/>
    <w:rsid w:val="006528F6"/>
    <w:rsid w:val="006529D8"/>
    <w:rsid w:val="00652AC2"/>
    <w:rsid w:val="00652AD4"/>
    <w:rsid w:val="00652AED"/>
    <w:rsid w:val="00652B14"/>
    <w:rsid w:val="00652BAB"/>
    <w:rsid w:val="00652BB2"/>
    <w:rsid w:val="00652BC8"/>
    <w:rsid w:val="00652BC9"/>
    <w:rsid w:val="00652BE3"/>
    <w:rsid w:val="00652C4F"/>
    <w:rsid w:val="00652C68"/>
    <w:rsid w:val="00652C93"/>
    <w:rsid w:val="00652CAF"/>
    <w:rsid w:val="00652CE6"/>
    <w:rsid w:val="00652D27"/>
    <w:rsid w:val="00652D9D"/>
    <w:rsid w:val="00652E0D"/>
    <w:rsid w:val="00652E5C"/>
    <w:rsid w:val="00652E94"/>
    <w:rsid w:val="00652EC6"/>
    <w:rsid w:val="00652F42"/>
    <w:rsid w:val="00652F43"/>
    <w:rsid w:val="00652F59"/>
    <w:rsid w:val="00652F79"/>
    <w:rsid w:val="00652FD1"/>
    <w:rsid w:val="0065312B"/>
    <w:rsid w:val="0065313C"/>
    <w:rsid w:val="0065316A"/>
    <w:rsid w:val="00653190"/>
    <w:rsid w:val="0065328F"/>
    <w:rsid w:val="00653336"/>
    <w:rsid w:val="00653377"/>
    <w:rsid w:val="006533AE"/>
    <w:rsid w:val="006533FE"/>
    <w:rsid w:val="00653407"/>
    <w:rsid w:val="0065347D"/>
    <w:rsid w:val="006534D7"/>
    <w:rsid w:val="006534F4"/>
    <w:rsid w:val="0065352F"/>
    <w:rsid w:val="006535AB"/>
    <w:rsid w:val="006535BA"/>
    <w:rsid w:val="00653600"/>
    <w:rsid w:val="00653625"/>
    <w:rsid w:val="00653669"/>
    <w:rsid w:val="00653677"/>
    <w:rsid w:val="00653687"/>
    <w:rsid w:val="006536A4"/>
    <w:rsid w:val="00653711"/>
    <w:rsid w:val="00653721"/>
    <w:rsid w:val="006537D2"/>
    <w:rsid w:val="00653812"/>
    <w:rsid w:val="00653815"/>
    <w:rsid w:val="0065381B"/>
    <w:rsid w:val="0065389C"/>
    <w:rsid w:val="006538C0"/>
    <w:rsid w:val="006538D2"/>
    <w:rsid w:val="006538E2"/>
    <w:rsid w:val="006539F9"/>
    <w:rsid w:val="00653A28"/>
    <w:rsid w:val="00653A61"/>
    <w:rsid w:val="00653A87"/>
    <w:rsid w:val="00653ABF"/>
    <w:rsid w:val="00653AD8"/>
    <w:rsid w:val="00653ADB"/>
    <w:rsid w:val="00653B0D"/>
    <w:rsid w:val="00653BB8"/>
    <w:rsid w:val="00653C2C"/>
    <w:rsid w:val="00653C32"/>
    <w:rsid w:val="00653C7A"/>
    <w:rsid w:val="00653D3A"/>
    <w:rsid w:val="00653D7F"/>
    <w:rsid w:val="00653DE4"/>
    <w:rsid w:val="00653E15"/>
    <w:rsid w:val="00653E22"/>
    <w:rsid w:val="00653E3A"/>
    <w:rsid w:val="00653E41"/>
    <w:rsid w:val="00653E56"/>
    <w:rsid w:val="00653E6C"/>
    <w:rsid w:val="00653E7D"/>
    <w:rsid w:val="00653E97"/>
    <w:rsid w:val="00653EBD"/>
    <w:rsid w:val="00653EF4"/>
    <w:rsid w:val="00653F0D"/>
    <w:rsid w:val="00653F0E"/>
    <w:rsid w:val="00653F4F"/>
    <w:rsid w:val="00653F69"/>
    <w:rsid w:val="00653F81"/>
    <w:rsid w:val="00653FCC"/>
    <w:rsid w:val="00653FED"/>
    <w:rsid w:val="00654007"/>
    <w:rsid w:val="0065404B"/>
    <w:rsid w:val="00654056"/>
    <w:rsid w:val="0065408A"/>
    <w:rsid w:val="006540CE"/>
    <w:rsid w:val="006540D8"/>
    <w:rsid w:val="00654122"/>
    <w:rsid w:val="0065413D"/>
    <w:rsid w:val="00654164"/>
    <w:rsid w:val="0065423D"/>
    <w:rsid w:val="00654280"/>
    <w:rsid w:val="0065433B"/>
    <w:rsid w:val="0065433F"/>
    <w:rsid w:val="0065434D"/>
    <w:rsid w:val="00654363"/>
    <w:rsid w:val="00654379"/>
    <w:rsid w:val="006543BF"/>
    <w:rsid w:val="006543EF"/>
    <w:rsid w:val="00654413"/>
    <w:rsid w:val="00654429"/>
    <w:rsid w:val="00654441"/>
    <w:rsid w:val="0065446A"/>
    <w:rsid w:val="00654472"/>
    <w:rsid w:val="0065447C"/>
    <w:rsid w:val="00654486"/>
    <w:rsid w:val="00654487"/>
    <w:rsid w:val="006544AA"/>
    <w:rsid w:val="006544CA"/>
    <w:rsid w:val="006544F6"/>
    <w:rsid w:val="0065452C"/>
    <w:rsid w:val="0065453B"/>
    <w:rsid w:val="00654576"/>
    <w:rsid w:val="00654579"/>
    <w:rsid w:val="0065459A"/>
    <w:rsid w:val="006545C6"/>
    <w:rsid w:val="006545D2"/>
    <w:rsid w:val="00654609"/>
    <w:rsid w:val="00654634"/>
    <w:rsid w:val="00654662"/>
    <w:rsid w:val="00654670"/>
    <w:rsid w:val="00654699"/>
    <w:rsid w:val="006546BA"/>
    <w:rsid w:val="006546D9"/>
    <w:rsid w:val="0065470F"/>
    <w:rsid w:val="0065472B"/>
    <w:rsid w:val="00654738"/>
    <w:rsid w:val="0065474C"/>
    <w:rsid w:val="00654794"/>
    <w:rsid w:val="006547CE"/>
    <w:rsid w:val="00654809"/>
    <w:rsid w:val="00654865"/>
    <w:rsid w:val="00654895"/>
    <w:rsid w:val="006548A3"/>
    <w:rsid w:val="00654968"/>
    <w:rsid w:val="0065498A"/>
    <w:rsid w:val="00654992"/>
    <w:rsid w:val="00654A3C"/>
    <w:rsid w:val="00654AFC"/>
    <w:rsid w:val="00654B67"/>
    <w:rsid w:val="00654B89"/>
    <w:rsid w:val="00654B8D"/>
    <w:rsid w:val="00654B9D"/>
    <w:rsid w:val="00654BF4"/>
    <w:rsid w:val="00654BFF"/>
    <w:rsid w:val="00654C04"/>
    <w:rsid w:val="00654C0A"/>
    <w:rsid w:val="00654C46"/>
    <w:rsid w:val="00654C5C"/>
    <w:rsid w:val="00654C6F"/>
    <w:rsid w:val="00654C7B"/>
    <w:rsid w:val="00654C7F"/>
    <w:rsid w:val="00654C80"/>
    <w:rsid w:val="00654C9A"/>
    <w:rsid w:val="00654CC7"/>
    <w:rsid w:val="00654D29"/>
    <w:rsid w:val="00654D60"/>
    <w:rsid w:val="00654D6A"/>
    <w:rsid w:val="00654DB7"/>
    <w:rsid w:val="00654DC4"/>
    <w:rsid w:val="00654DEC"/>
    <w:rsid w:val="00654E46"/>
    <w:rsid w:val="00654E6F"/>
    <w:rsid w:val="00654E75"/>
    <w:rsid w:val="00654E91"/>
    <w:rsid w:val="00654EB9"/>
    <w:rsid w:val="00654EBD"/>
    <w:rsid w:val="00654EBF"/>
    <w:rsid w:val="00654F18"/>
    <w:rsid w:val="00654F24"/>
    <w:rsid w:val="00654F2E"/>
    <w:rsid w:val="00654F31"/>
    <w:rsid w:val="00654F60"/>
    <w:rsid w:val="00654FCD"/>
    <w:rsid w:val="00655041"/>
    <w:rsid w:val="0065504B"/>
    <w:rsid w:val="0065508B"/>
    <w:rsid w:val="006550A6"/>
    <w:rsid w:val="006550BA"/>
    <w:rsid w:val="00655133"/>
    <w:rsid w:val="006551BD"/>
    <w:rsid w:val="006551C0"/>
    <w:rsid w:val="006551E4"/>
    <w:rsid w:val="006551E6"/>
    <w:rsid w:val="00655226"/>
    <w:rsid w:val="0065522C"/>
    <w:rsid w:val="0065525B"/>
    <w:rsid w:val="00655282"/>
    <w:rsid w:val="006552C9"/>
    <w:rsid w:val="006552E0"/>
    <w:rsid w:val="0065530E"/>
    <w:rsid w:val="0065531A"/>
    <w:rsid w:val="0065531E"/>
    <w:rsid w:val="0065534F"/>
    <w:rsid w:val="0065535A"/>
    <w:rsid w:val="0065537F"/>
    <w:rsid w:val="006553AD"/>
    <w:rsid w:val="006553D0"/>
    <w:rsid w:val="0065546D"/>
    <w:rsid w:val="00655496"/>
    <w:rsid w:val="006554B0"/>
    <w:rsid w:val="006554D2"/>
    <w:rsid w:val="006554E2"/>
    <w:rsid w:val="00655505"/>
    <w:rsid w:val="00655512"/>
    <w:rsid w:val="00655533"/>
    <w:rsid w:val="00655561"/>
    <w:rsid w:val="00655588"/>
    <w:rsid w:val="00655590"/>
    <w:rsid w:val="006555A0"/>
    <w:rsid w:val="006555A8"/>
    <w:rsid w:val="0065566F"/>
    <w:rsid w:val="0065567A"/>
    <w:rsid w:val="00655682"/>
    <w:rsid w:val="0065568F"/>
    <w:rsid w:val="00655690"/>
    <w:rsid w:val="00655759"/>
    <w:rsid w:val="0065579F"/>
    <w:rsid w:val="006557BC"/>
    <w:rsid w:val="006557E3"/>
    <w:rsid w:val="0065584A"/>
    <w:rsid w:val="0065586F"/>
    <w:rsid w:val="006558C9"/>
    <w:rsid w:val="006558F1"/>
    <w:rsid w:val="00655918"/>
    <w:rsid w:val="0065594D"/>
    <w:rsid w:val="00655962"/>
    <w:rsid w:val="00655995"/>
    <w:rsid w:val="006559B1"/>
    <w:rsid w:val="00655A8A"/>
    <w:rsid w:val="00655AAF"/>
    <w:rsid w:val="00655AD5"/>
    <w:rsid w:val="00655B32"/>
    <w:rsid w:val="00655B37"/>
    <w:rsid w:val="00655B5D"/>
    <w:rsid w:val="00655C10"/>
    <w:rsid w:val="00655C37"/>
    <w:rsid w:val="00655CFB"/>
    <w:rsid w:val="00655D42"/>
    <w:rsid w:val="00655D8F"/>
    <w:rsid w:val="00655DDD"/>
    <w:rsid w:val="00655E06"/>
    <w:rsid w:val="00655E68"/>
    <w:rsid w:val="00655E71"/>
    <w:rsid w:val="00655E7E"/>
    <w:rsid w:val="00655E8A"/>
    <w:rsid w:val="00655E92"/>
    <w:rsid w:val="00655EA3"/>
    <w:rsid w:val="00655EBB"/>
    <w:rsid w:val="00655F0F"/>
    <w:rsid w:val="00655F25"/>
    <w:rsid w:val="00655FCA"/>
    <w:rsid w:val="00656008"/>
    <w:rsid w:val="00656079"/>
    <w:rsid w:val="006560CE"/>
    <w:rsid w:val="006561AA"/>
    <w:rsid w:val="00656200"/>
    <w:rsid w:val="00656215"/>
    <w:rsid w:val="0065625C"/>
    <w:rsid w:val="006562EC"/>
    <w:rsid w:val="00656328"/>
    <w:rsid w:val="0065639A"/>
    <w:rsid w:val="00656402"/>
    <w:rsid w:val="0065651F"/>
    <w:rsid w:val="0065654B"/>
    <w:rsid w:val="00656565"/>
    <w:rsid w:val="006565A7"/>
    <w:rsid w:val="006565D8"/>
    <w:rsid w:val="00656669"/>
    <w:rsid w:val="0065667C"/>
    <w:rsid w:val="006566AC"/>
    <w:rsid w:val="00656702"/>
    <w:rsid w:val="00656719"/>
    <w:rsid w:val="00656739"/>
    <w:rsid w:val="006567BC"/>
    <w:rsid w:val="00656824"/>
    <w:rsid w:val="006568A8"/>
    <w:rsid w:val="00656912"/>
    <w:rsid w:val="00656979"/>
    <w:rsid w:val="006569EB"/>
    <w:rsid w:val="00656A70"/>
    <w:rsid w:val="00656A8B"/>
    <w:rsid w:val="00656AA9"/>
    <w:rsid w:val="00656AB3"/>
    <w:rsid w:val="00656AB5"/>
    <w:rsid w:val="00656ABC"/>
    <w:rsid w:val="00656AF9"/>
    <w:rsid w:val="00656B43"/>
    <w:rsid w:val="00656B82"/>
    <w:rsid w:val="00656BD7"/>
    <w:rsid w:val="00656BE9"/>
    <w:rsid w:val="00656C4E"/>
    <w:rsid w:val="00656C5A"/>
    <w:rsid w:val="00656CC5"/>
    <w:rsid w:val="00656D42"/>
    <w:rsid w:val="00656DC7"/>
    <w:rsid w:val="00656E38"/>
    <w:rsid w:val="00656E40"/>
    <w:rsid w:val="00656E5A"/>
    <w:rsid w:val="00656F6F"/>
    <w:rsid w:val="00656F7F"/>
    <w:rsid w:val="00656F88"/>
    <w:rsid w:val="00656FA3"/>
    <w:rsid w:val="00656FEA"/>
    <w:rsid w:val="0065705A"/>
    <w:rsid w:val="006570AC"/>
    <w:rsid w:val="006570FE"/>
    <w:rsid w:val="00657171"/>
    <w:rsid w:val="006571D4"/>
    <w:rsid w:val="0065721D"/>
    <w:rsid w:val="00657231"/>
    <w:rsid w:val="00657261"/>
    <w:rsid w:val="00657278"/>
    <w:rsid w:val="00657282"/>
    <w:rsid w:val="006572C2"/>
    <w:rsid w:val="006572C4"/>
    <w:rsid w:val="00657310"/>
    <w:rsid w:val="0065736A"/>
    <w:rsid w:val="00657375"/>
    <w:rsid w:val="00657379"/>
    <w:rsid w:val="006573A1"/>
    <w:rsid w:val="006573D6"/>
    <w:rsid w:val="00657427"/>
    <w:rsid w:val="006574D4"/>
    <w:rsid w:val="006574D7"/>
    <w:rsid w:val="006574F3"/>
    <w:rsid w:val="00657501"/>
    <w:rsid w:val="00657556"/>
    <w:rsid w:val="00657574"/>
    <w:rsid w:val="00657579"/>
    <w:rsid w:val="0065757A"/>
    <w:rsid w:val="006575D9"/>
    <w:rsid w:val="006575FE"/>
    <w:rsid w:val="00657607"/>
    <w:rsid w:val="00657628"/>
    <w:rsid w:val="0065763B"/>
    <w:rsid w:val="006576DB"/>
    <w:rsid w:val="006576DD"/>
    <w:rsid w:val="00657703"/>
    <w:rsid w:val="00657707"/>
    <w:rsid w:val="00657736"/>
    <w:rsid w:val="00657737"/>
    <w:rsid w:val="00657740"/>
    <w:rsid w:val="0065775D"/>
    <w:rsid w:val="00657768"/>
    <w:rsid w:val="006577B9"/>
    <w:rsid w:val="006577BE"/>
    <w:rsid w:val="006577DF"/>
    <w:rsid w:val="00657837"/>
    <w:rsid w:val="0065783F"/>
    <w:rsid w:val="00657850"/>
    <w:rsid w:val="0065786A"/>
    <w:rsid w:val="0065787E"/>
    <w:rsid w:val="0065787F"/>
    <w:rsid w:val="00657896"/>
    <w:rsid w:val="0065794F"/>
    <w:rsid w:val="00657957"/>
    <w:rsid w:val="00657974"/>
    <w:rsid w:val="00657989"/>
    <w:rsid w:val="00657992"/>
    <w:rsid w:val="00657A95"/>
    <w:rsid w:val="00657AEE"/>
    <w:rsid w:val="00657B75"/>
    <w:rsid w:val="00657BA6"/>
    <w:rsid w:val="00657BB7"/>
    <w:rsid w:val="00657BCC"/>
    <w:rsid w:val="00657BF9"/>
    <w:rsid w:val="00657C17"/>
    <w:rsid w:val="00657C6A"/>
    <w:rsid w:val="00657C9D"/>
    <w:rsid w:val="00657CF4"/>
    <w:rsid w:val="00657D37"/>
    <w:rsid w:val="00657D38"/>
    <w:rsid w:val="00657DB7"/>
    <w:rsid w:val="00657E9D"/>
    <w:rsid w:val="00657ED4"/>
    <w:rsid w:val="00657ED9"/>
    <w:rsid w:val="00657F3A"/>
    <w:rsid w:val="00657F68"/>
    <w:rsid w:val="00657F72"/>
    <w:rsid w:val="00657FC1"/>
    <w:rsid w:val="00657FDD"/>
    <w:rsid w:val="00657FE3"/>
    <w:rsid w:val="00657FFE"/>
    <w:rsid w:val="00660027"/>
    <w:rsid w:val="0066005D"/>
    <w:rsid w:val="00660077"/>
    <w:rsid w:val="006600C0"/>
    <w:rsid w:val="006600EB"/>
    <w:rsid w:val="00660108"/>
    <w:rsid w:val="00660126"/>
    <w:rsid w:val="00660132"/>
    <w:rsid w:val="0066013A"/>
    <w:rsid w:val="00660146"/>
    <w:rsid w:val="00660154"/>
    <w:rsid w:val="006601A6"/>
    <w:rsid w:val="006601C3"/>
    <w:rsid w:val="006601F8"/>
    <w:rsid w:val="00660205"/>
    <w:rsid w:val="00660258"/>
    <w:rsid w:val="00660277"/>
    <w:rsid w:val="00660285"/>
    <w:rsid w:val="006602A3"/>
    <w:rsid w:val="006602D1"/>
    <w:rsid w:val="00660397"/>
    <w:rsid w:val="006603B2"/>
    <w:rsid w:val="00660401"/>
    <w:rsid w:val="00660423"/>
    <w:rsid w:val="00660471"/>
    <w:rsid w:val="0066048C"/>
    <w:rsid w:val="006604E3"/>
    <w:rsid w:val="006604E6"/>
    <w:rsid w:val="00660507"/>
    <w:rsid w:val="0066053A"/>
    <w:rsid w:val="00660559"/>
    <w:rsid w:val="00660560"/>
    <w:rsid w:val="00660595"/>
    <w:rsid w:val="006605A0"/>
    <w:rsid w:val="006605EB"/>
    <w:rsid w:val="00660603"/>
    <w:rsid w:val="0066061F"/>
    <w:rsid w:val="00660653"/>
    <w:rsid w:val="0066067D"/>
    <w:rsid w:val="006606C3"/>
    <w:rsid w:val="006606EC"/>
    <w:rsid w:val="00660733"/>
    <w:rsid w:val="00660756"/>
    <w:rsid w:val="00660798"/>
    <w:rsid w:val="006607F5"/>
    <w:rsid w:val="00660801"/>
    <w:rsid w:val="00660806"/>
    <w:rsid w:val="0066081F"/>
    <w:rsid w:val="0066082F"/>
    <w:rsid w:val="0066084E"/>
    <w:rsid w:val="00660877"/>
    <w:rsid w:val="006608D8"/>
    <w:rsid w:val="006608DE"/>
    <w:rsid w:val="00660941"/>
    <w:rsid w:val="0066095F"/>
    <w:rsid w:val="006609AE"/>
    <w:rsid w:val="006609B1"/>
    <w:rsid w:val="00660A29"/>
    <w:rsid w:val="00660A3C"/>
    <w:rsid w:val="00660A49"/>
    <w:rsid w:val="00660A5F"/>
    <w:rsid w:val="00660ACF"/>
    <w:rsid w:val="00660AEA"/>
    <w:rsid w:val="00660AEC"/>
    <w:rsid w:val="00660B25"/>
    <w:rsid w:val="00660B4A"/>
    <w:rsid w:val="00660B4E"/>
    <w:rsid w:val="00660B5A"/>
    <w:rsid w:val="00660BA9"/>
    <w:rsid w:val="00660BFB"/>
    <w:rsid w:val="00660C61"/>
    <w:rsid w:val="00660C77"/>
    <w:rsid w:val="00660CEE"/>
    <w:rsid w:val="00660CFD"/>
    <w:rsid w:val="00660D0E"/>
    <w:rsid w:val="00660D15"/>
    <w:rsid w:val="00660D23"/>
    <w:rsid w:val="00660D79"/>
    <w:rsid w:val="00660D80"/>
    <w:rsid w:val="00660D8B"/>
    <w:rsid w:val="00660DAD"/>
    <w:rsid w:val="00660DB4"/>
    <w:rsid w:val="00660DC6"/>
    <w:rsid w:val="00660E35"/>
    <w:rsid w:val="00660E42"/>
    <w:rsid w:val="00660E52"/>
    <w:rsid w:val="00660E68"/>
    <w:rsid w:val="00660EBF"/>
    <w:rsid w:val="00660EE6"/>
    <w:rsid w:val="00660F14"/>
    <w:rsid w:val="00660FB4"/>
    <w:rsid w:val="00660FB5"/>
    <w:rsid w:val="00661002"/>
    <w:rsid w:val="00661024"/>
    <w:rsid w:val="00661036"/>
    <w:rsid w:val="00661053"/>
    <w:rsid w:val="00661065"/>
    <w:rsid w:val="00661092"/>
    <w:rsid w:val="00661115"/>
    <w:rsid w:val="0066111F"/>
    <w:rsid w:val="00661130"/>
    <w:rsid w:val="00661137"/>
    <w:rsid w:val="0066113F"/>
    <w:rsid w:val="00661140"/>
    <w:rsid w:val="0066116A"/>
    <w:rsid w:val="00661177"/>
    <w:rsid w:val="006611C5"/>
    <w:rsid w:val="006611EF"/>
    <w:rsid w:val="00661256"/>
    <w:rsid w:val="00661330"/>
    <w:rsid w:val="0066137A"/>
    <w:rsid w:val="006613F5"/>
    <w:rsid w:val="00661483"/>
    <w:rsid w:val="006614D8"/>
    <w:rsid w:val="006614E4"/>
    <w:rsid w:val="00661555"/>
    <w:rsid w:val="00661561"/>
    <w:rsid w:val="00661566"/>
    <w:rsid w:val="006615DD"/>
    <w:rsid w:val="00661667"/>
    <w:rsid w:val="0066166A"/>
    <w:rsid w:val="00661684"/>
    <w:rsid w:val="00661688"/>
    <w:rsid w:val="0066169A"/>
    <w:rsid w:val="006616BC"/>
    <w:rsid w:val="006616C5"/>
    <w:rsid w:val="006616E6"/>
    <w:rsid w:val="00661701"/>
    <w:rsid w:val="0066171A"/>
    <w:rsid w:val="00661777"/>
    <w:rsid w:val="006617A3"/>
    <w:rsid w:val="006617B6"/>
    <w:rsid w:val="006617E5"/>
    <w:rsid w:val="006617EB"/>
    <w:rsid w:val="00661861"/>
    <w:rsid w:val="006618C0"/>
    <w:rsid w:val="006618E6"/>
    <w:rsid w:val="00661904"/>
    <w:rsid w:val="00661916"/>
    <w:rsid w:val="00661944"/>
    <w:rsid w:val="00661953"/>
    <w:rsid w:val="00661A18"/>
    <w:rsid w:val="00661A77"/>
    <w:rsid w:val="00661A8F"/>
    <w:rsid w:val="00661B2A"/>
    <w:rsid w:val="00661B4D"/>
    <w:rsid w:val="00661B78"/>
    <w:rsid w:val="00661BC9"/>
    <w:rsid w:val="00661C07"/>
    <w:rsid w:val="00661C67"/>
    <w:rsid w:val="00661CBF"/>
    <w:rsid w:val="00661CE6"/>
    <w:rsid w:val="00661CF0"/>
    <w:rsid w:val="00661D24"/>
    <w:rsid w:val="00661D5E"/>
    <w:rsid w:val="00661D75"/>
    <w:rsid w:val="00661DAD"/>
    <w:rsid w:val="00661E01"/>
    <w:rsid w:val="00661E56"/>
    <w:rsid w:val="00661E5A"/>
    <w:rsid w:val="00661E5D"/>
    <w:rsid w:val="00661E66"/>
    <w:rsid w:val="00661E6D"/>
    <w:rsid w:val="00661E7E"/>
    <w:rsid w:val="00661EE2"/>
    <w:rsid w:val="00661EEF"/>
    <w:rsid w:val="00661F1F"/>
    <w:rsid w:val="00661F26"/>
    <w:rsid w:val="00661F44"/>
    <w:rsid w:val="00661F4D"/>
    <w:rsid w:val="00661F84"/>
    <w:rsid w:val="00661F85"/>
    <w:rsid w:val="00661F9D"/>
    <w:rsid w:val="00661FB1"/>
    <w:rsid w:val="00661FC3"/>
    <w:rsid w:val="00661FE0"/>
    <w:rsid w:val="0066206D"/>
    <w:rsid w:val="0066207C"/>
    <w:rsid w:val="00662089"/>
    <w:rsid w:val="006620B8"/>
    <w:rsid w:val="00662121"/>
    <w:rsid w:val="0066214F"/>
    <w:rsid w:val="0066217E"/>
    <w:rsid w:val="00662194"/>
    <w:rsid w:val="00662285"/>
    <w:rsid w:val="00662287"/>
    <w:rsid w:val="006622C7"/>
    <w:rsid w:val="006622DE"/>
    <w:rsid w:val="00662343"/>
    <w:rsid w:val="00662345"/>
    <w:rsid w:val="0066235C"/>
    <w:rsid w:val="00662361"/>
    <w:rsid w:val="00662382"/>
    <w:rsid w:val="006623BA"/>
    <w:rsid w:val="00662431"/>
    <w:rsid w:val="00662440"/>
    <w:rsid w:val="00662448"/>
    <w:rsid w:val="00662461"/>
    <w:rsid w:val="00662503"/>
    <w:rsid w:val="0066253B"/>
    <w:rsid w:val="0066256E"/>
    <w:rsid w:val="00662583"/>
    <w:rsid w:val="006625F5"/>
    <w:rsid w:val="00662601"/>
    <w:rsid w:val="0066264A"/>
    <w:rsid w:val="00662669"/>
    <w:rsid w:val="006626BC"/>
    <w:rsid w:val="006626CE"/>
    <w:rsid w:val="00662739"/>
    <w:rsid w:val="006627C1"/>
    <w:rsid w:val="006627CF"/>
    <w:rsid w:val="006627D1"/>
    <w:rsid w:val="006627D3"/>
    <w:rsid w:val="006627FD"/>
    <w:rsid w:val="0066283F"/>
    <w:rsid w:val="006628A0"/>
    <w:rsid w:val="006628B8"/>
    <w:rsid w:val="006628C4"/>
    <w:rsid w:val="006628D5"/>
    <w:rsid w:val="006628DF"/>
    <w:rsid w:val="00662961"/>
    <w:rsid w:val="00662A47"/>
    <w:rsid w:val="00662A97"/>
    <w:rsid w:val="00662AB4"/>
    <w:rsid w:val="00662AC2"/>
    <w:rsid w:val="00662AD0"/>
    <w:rsid w:val="00662AF2"/>
    <w:rsid w:val="00662BA4"/>
    <w:rsid w:val="00662BC7"/>
    <w:rsid w:val="00662C0C"/>
    <w:rsid w:val="00662C1B"/>
    <w:rsid w:val="00662CA5"/>
    <w:rsid w:val="00662CBC"/>
    <w:rsid w:val="00662D9F"/>
    <w:rsid w:val="00662DC4"/>
    <w:rsid w:val="00662DEC"/>
    <w:rsid w:val="00662E43"/>
    <w:rsid w:val="00662E4B"/>
    <w:rsid w:val="00662E6E"/>
    <w:rsid w:val="00662EA6"/>
    <w:rsid w:val="00662EB1"/>
    <w:rsid w:val="00662F59"/>
    <w:rsid w:val="00662FC1"/>
    <w:rsid w:val="00662FF1"/>
    <w:rsid w:val="0066301E"/>
    <w:rsid w:val="00663033"/>
    <w:rsid w:val="0066304D"/>
    <w:rsid w:val="006630AE"/>
    <w:rsid w:val="00663103"/>
    <w:rsid w:val="00663125"/>
    <w:rsid w:val="00663161"/>
    <w:rsid w:val="00663199"/>
    <w:rsid w:val="0066319F"/>
    <w:rsid w:val="006631A9"/>
    <w:rsid w:val="006631AC"/>
    <w:rsid w:val="0066327C"/>
    <w:rsid w:val="00663322"/>
    <w:rsid w:val="00663376"/>
    <w:rsid w:val="006633B0"/>
    <w:rsid w:val="006633B5"/>
    <w:rsid w:val="006633CC"/>
    <w:rsid w:val="00663424"/>
    <w:rsid w:val="00663427"/>
    <w:rsid w:val="00663554"/>
    <w:rsid w:val="00663582"/>
    <w:rsid w:val="00663645"/>
    <w:rsid w:val="0066367E"/>
    <w:rsid w:val="0066368A"/>
    <w:rsid w:val="00663695"/>
    <w:rsid w:val="00663697"/>
    <w:rsid w:val="006636BA"/>
    <w:rsid w:val="006636E9"/>
    <w:rsid w:val="0066373B"/>
    <w:rsid w:val="0066374E"/>
    <w:rsid w:val="00663849"/>
    <w:rsid w:val="0066388C"/>
    <w:rsid w:val="0066388F"/>
    <w:rsid w:val="00663896"/>
    <w:rsid w:val="006638A2"/>
    <w:rsid w:val="006638BB"/>
    <w:rsid w:val="006638BF"/>
    <w:rsid w:val="0066394A"/>
    <w:rsid w:val="0066399E"/>
    <w:rsid w:val="006639C5"/>
    <w:rsid w:val="006639D5"/>
    <w:rsid w:val="00663A2E"/>
    <w:rsid w:val="00663A94"/>
    <w:rsid w:val="00663AD6"/>
    <w:rsid w:val="00663AE4"/>
    <w:rsid w:val="00663AE9"/>
    <w:rsid w:val="00663B5D"/>
    <w:rsid w:val="00663BCC"/>
    <w:rsid w:val="00663BE3"/>
    <w:rsid w:val="00663C16"/>
    <w:rsid w:val="00663C54"/>
    <w:rsid w:val="00663CA5"/>
    <w:rsid w:val="00663CB8"/>
    <w:rsid w:val="00663CFC"/>
    <w:rsid w:val="00663D21"/>
    <w:rsid w:val="00663D8D"/>
    <w:rsid w:val="00663D93"/>
    <w:rsid w:val="00663E0E"/>
    <w:rsid w:val="00663E9C"/>
    <w:rsid w:val="00663ED5"/>
    <w:rsid w:val="00663EE3"/>
    <w:rsid w:val="00663EF2"/>
    <w:rsid w:val="00663F0E"/>
    <w:rsid w:val="00663F26"/>
    <w:rsid w:val="00663F57"/>
    <w:rsid w:val="00663F85"/>
    <w:rsid w:val="00663F9C"/>
    <w:rsid w:val="00663FD1"/>
    <w:rsid w:val="00663FE1"/>
    <w:rsid w:val="0066404F"/>
    <w:rsid w:val="0066405E"/>
    <w:rsid w:val="00664085"/>
    <w:rsid w:val="006640F4"/>
    <w:rsid w:val="0066415A"/>
    <w:rsid w:val="00664177"/>
    <w:rsid w:val="006641A0"/>
    <w:rsid w:val="00664211"/>
    <w:rsid w:val="0066422B"/>
    <w:rsid w:val="00664248"/>
    <w:rsid w:val="00664251"/>
    <w:rsid w:val="00664267"/>
    <w:rsid w:val="00664280"/>
    <w:rsid w:val="00664297"/>
    <w:rsid w:val="00664308"/>
    <w:rsid w:val="0066430C"/>
    <w:rsid w:val="00664340"/>
    <w:rsid w:val="00664381"/>
    <w:rsid w:val="006643B5"/>
    <w:rsid w:val="006643C0"/>
    <w:rsid w:val="006643D3"/>
    <w:rsid w:val="0066441D"/>
    <w:rsid w:val="00664452"/>
    <w:rsid w:val="00664497"/>
    <w:rsid w:val="006644C9"/>
    <w:rsid w:val="006644DB"/>
    <w:rsid w:val="0066451C"/>
    <w:rsid w:val="0066452E"/>
    <w:rsid w:val="00664538"/>
    <w:rsid w:val="00664588"/>
    <w:rsid w:val="00664595"/>
    <w:rsid w:val="00664598"/>
    <w:rsid w:val="006645AA"/>
    <w:rsid w:val="006645BC"/>
    <w:rsid w:val="006645CC"/>
    <w:rsid w:val="006645F5"/>
    <w:rsid w:val="00664646"/>
    <w:rsid w:val="0066465F"/>
    <w:rsid w:val="00664678"/>
    <w:rsid w:val="00664689"/>
    <w:rsid w:val="006646D8"/>
    <w:rsid w:val="006646E3"/>
    <w:rsid w:val="00664738"/>
    <w:rsid w:val="0066473A"/>
    <w:rsid w:val="00664778"/>
    <w:rsid w:val="00664793"/>
    <w:rsid w:val="00664816"/>
    <w:rsid w:val="00664827"/>
    <w:rsid w:val="0066484C"/>
    <w:rsid w:val="00664864"/>
    <w:rsid w:val="0066486B"/>
    <w:rsid w:val="006648FA"/>
    <w:rsid w:val="00664951"/>
    <w:rsid w:val="0066495D"/>
    <w:rsid w:val="00664987"/>
    <w:rsid w:val="00664A03"/>
    <w:rsid w:val="00664A7A"/>
    <w:rsid w:val="00664AD2"/>
    <w:rsid w:val="00664B35"/>
    <w:rsid w:val="00664BA9"/>
    <w:rsid w:val="00664BCE"/>
    <w:rsid w:val="00664C16"/>
    <w:rsid w:val="00664C45"/>
    <w:rsid w:val="00664C60"/>
    <w:rsid w:val="00664C7B"/>
    <w:rsid w:val="00664C93"/>
    <w:rsid w:val="00664C9D"/>
    <w:rsid w:val="00664CF3"/>
    <w:rsid w:val="00664D0B"/>
    <w:rsid w:val="00664D0E"/>
    <w:rsid w:val="00664D41"/>
    <w:rsid w:val="00664E45"/>
    <w:rsid w:val="00664E4C"/>
    <w:rsid w:val="00664EF8"/>
    <w:rsid w:val="00664F35"/>
    <w:rsid w:val="00664F4C"/>
    <w:rsid w:val="00664F53"/>
    <w:rsid w:val="00664F84"/>
    <w:rsid w:val="00664FA4"/>
    <w:rsid w:val="00665011"/>
    <w:rsid w:val="00665052"/>
    <w:rsid w:val="0066506A"/>
    <w:rsid w:val="0066506D"/>
    <w:rsid w:val="0066508B"/>
    <w:rsid w:val="00665111"/>
    <w:rsid w:val="00665134"/>
    <w:rsid w:val="00665135"/>
    <w:rsid w:val="00665159"/>
    <w:rsid w:val="006651E9"/>
    <w:rsid w:val="00665289"/>
    <w:rsid w:val="00665297"/>
    <w:rsid w:val="006652C6"/>
    <w:rsid w:val="006653F8"/>
    <w:rsid w:val="006653FC"/>
    <w:rsid w:val="00665405"/>
    <w:rsid w:val="00665427"/>
    <w:rsid w:val="0066543B"/>
    <w:rsid w:val="0066545E"/>
    <w:rsid w:val="00665463"/>
    <w:rsid w:val="006654B2"/>
    <w:rsid w:val="006654D3"/>
    <w:rsid w:val="006654DC"/>
    <w:rsid w:val="00665510"/>
    <w:rsid w:val="00665532"/>
    <w:rsid w:val="0066559F"/>
    <w:rsid w:val="006655C4"/>
    <w:rsid w:val="006655D5"/>
    <w:rsid w:val="006655F2"/>
    <w:rsid w:val="0066563E"/>
    <w:rsid w:val="00665674"/>
    <w:rsid w:val="0066568E"/>
    <w:rsid w:val="0066569C"/>
    <w:rsid w:val="006656BF"/>
    <w:rsid w:val="006656D6"/>
    <w:rsid w:val="006656FF"/>
    <w:rsid w:val="00665736"/>
    <w:rsid w:val="006657E6"/>
    <w:rsid w:val="006657EC"/>
    <w:rsid w:val="00665817"/>
    <w:rsid w:val="0066585A"/>
    <w:rsid w:val="006658D7"/>
    <w:rsid w:val="0066597C"/>
    <w:rsid w:val="0066597F"/>
    <w:rsid w:val="00665986"/>
    <w:rsid w:val="006659A4"/>
    <w:rsid w:val="006659C9"/>
    <w:rsid w:val="00665A02"/>
    <w:rsid w:val="00665A37"/>
    <w:rsid w:val="00665A4C"/>
    <w:rsid w:val="00665A4E"/>
    <w:rsid w:val="00665AD9"/>
    <w:rsid w:val="00665AEA"/>
    <w:rsid w:val="00665B21"/>
    <w:rsid w:val="00665B8E"/>
    <w:rsid w:val="00665BD4"/>
    <w:rsid w:val="00665BD6"/>
    <w:rsid w:val="00665BD7"/>
    <w:rsid w:val="00665C1A"/>
    <w:rsid w:val="00665C1B"/>
    <w:rsid w:val="00665C68"/>
    <w:rsid w:val="00665C7E"/>
    <w:rsid w:val="00665CF5"/>
    <w:rsid w:val="00665CFF"/>
    <w:rsid w:val="00665D17"/>
    <w:rsid w:val="00665D19"/>
    <w:rsid w:val="00665D3D"/>
    <w:rsid w:val="00665D9B"/>
    <w:rsid w:val="00665D9D"/>
    <w:rsid w:val="00665DD8"/>
    <w:rsid w:val="00665E29"/>
    <w:rsid w:val="00665E9B"/>
    <w:rsid w:val="00665EBD"/>
    <w:rsid w:val="00665EDE"/>
    <w:rsid w:val="00665EF1"/>
    <w:rsid w:val="00665F45"/>
    <w:rsid w:val="00665F48"/>
    <w:rsid w:val="00665F84"/>
    <w:rsid w:val="00665FD6"/>
    <w:rsid w:val="0066603B"/>
    <w:rsid w:val="0066608A"/>
    <w:rsid w:val="00666097"/>
    <w:rsid w:val="006660C3"/>
    <w:rsid w:val="006660CA"/>
    <w:rsid w:val="00666118"/>
    <w:rsid w:val="0066612B"/>
    <w:rsid w:val="0066613A"/>
    <w:rsid w:val="00666195"/>
    <w:rsid w:val="006661C3"/>
    <w:rsid w:val="0066620A"/>
    <w:rsid w:val="00666225"/>
    <w:rsid w:val="0066622A"/>
    <w:rsid w:val="0066622E"/>
    <w:rsid w:val="00666262"/>
    <w:rsid w:val="00666268"/>
    <w:rsid w:val="00666332"/>
    <w:rsid w:val="006663CF"/>
    <w:rsid w:val="00666402"/>
    <w:rsid w:val="0066642D"/>
    <w:rsid w:val="0066644B"/>
    <w:rsid w:val="00666460"/>
    <w:rsid w:val="00666469"/>
    <w:rsid w:val="00666479"/>
    <w:rsid w:val="00666486"/>
    <w:rsid w:val="006664A8"/>
    <w:rsid w:val="006665C4"/>
    <w:rsid w:val="006665FA"/>
    <w:rsid w:val="0066660F"/>
    <w:rsid w:val="00666613"/>
    <w:rsid w:val="0066661B"/>
    <w:rsid w:val="00666652"/>
    <w:rsid w:val="00666699"/>
    <w:rsid w:val="006666A3"/>
    <w:rsid w:val="006666AD"/>
    <w:rsid w:val="00666727"/>
    <w:rsid w:val="00666734"/>
    <w:rsid w:val="0066676F"/>
    <w:rsid w:val="00666797"/>
    <w:rsid w:val="006667A6"/>
    <w:rsid w:val="006667C9"/>
    <w:rsid w:val="006667D2"/>
    <w:rsid w:val="006667EB"/>
    <w:rsid w:val="00666817"/>
    <w:rsid w:val="00666823"/>
    <w:rsid w:val="0066685D"/>
    <w:rsid w:val="0066689F"/>
    <w:rsid w:val="006668A2"/>
    <w:rsid w:val="006668D9"/>
    <w:rsid w:val="006668FF"/>
    <w:rsid w:val="0066693C"/>
    <w:rsid w:val="0066698F"/>
    <w:rsid w:val="00666991"/>
    <w:rsid w:val="0066699B"/>
    <w:rsid w:val="00666ABE"/>
    <w:rsid w:val="00666ADB"/>
    <w:rsid w:val="00666AEB"/>
    <w:rsid w:val="00666AEF"/>
    <w:rsid w:val="00666B65"/>
    <w:rsid w:val="00666BBA"/>
    <w:rsid w:val="00666BC2"/>
    <w:rsid w:val="00666BC5"/>
    <w:rsid w:val="00666BD7"/>
    <w:rsid w:val="00666C0A"/>
    <w:rsid w:val="00666C11"/>
    <w:rsid w:val="00666C23"/>
    <w:rsid w:val="00666C4A"/>
    <w:rsid w:val="00666C74"/>
    <w:rsid w:val="00666CAC"/>
    <w:rsid w:val="00666CB3"/>
    <w:rsid w:val="00666CDB"/>
    <w:rsid w:val="00666CDD"/>
    <w:rsid w:val="00666D37"/>
    <w:rsid w:val="00666D83"/>
    <w:rsid w:val="00666D86"/>
    <w:rsid w:val="00666D89"/>
    <w:rsid w:val="00666DA8"/>
    <w:rsid w:val="00666DC1"/>
    <w:rsid w:val="00666E2B"/>
    <w:rsid w:val="00666E30"/>
    <w:rsid w:val="00666E33"/>
    <w:rsid w:val="00666E5F"/>
    <w:rsid w:val="00666E8B"/>
    <w:rsid w:val="00666E8D"/>
    <w:rsid w:val="00666ECC"/>
    <w:rsid w:val="00666F0E"/>
    <w:rsid w:val="00666F34"/>
    <w:rsid w:val="00666F47"/>
    <w:rsid w:val="00666F68"/>
    <w:rsid w:val="00666FAA"/>
    <w:rsid w:val="0066701B"/>
    <w:rsid w:val="0066701C"/>
    <w:rsid w:val="00667044"/>
    <w:rsid w:val="00667048"/>
    <w:rsid w:val="006670AB"/>
    <w:rsid w:val="00667133"/>
    <w:rsid w:val="00667204"/>
    <w:rsid w:val="00667210"/>
    <w:rsid w:val="00667214"/>
    <w:rsid w:val="0066727B"/>
    <w:rsid w:val="0066729F"/>
    <w:rsid w:val="006672F3"/>
    <w:rsid w:val="00667306"/>
    <w:rsid w:val="00667328"/>
    <w:rsid w:val="0066736E"/>
    <w:rsid w:val="00667379"/>
    <w:rsid w:val="00667380"/>
    <w:rsid w:val="00667389"/>
    <w:rsid w:val="0066739C"/>
    <w:rsid w:val="006673FE"/>
    <w:rsid w:val="00667434"/>
    <w:rsid w:val="00667451"/>
    <w:rsid w:val="00667536"/>
    <w:rsid w:val="00667559"/>
    <w:rsid w:val="0066757D"/>
    <w:rsid w:val="00667583"/>
    <w:rsid w:val="00667598"/>
    <w:rsid w:val="006675EC"/>
    <w:rsid w:val="0066763A"/>
    <w:rsid w:val="0066767C"/>
    <w:rsid w:val="00667681"/>
    <w:rsid w:val="006676EF"/>
    <w:rsid w:val="00667727"/>
    <w:rsid w:val="0066772A"/>
    <w:rsid w:val="0066775F"/>
    <w:rsid w:val="00667779"/>
    <w:rsid w:val="00667784"/>
    <w:rsid w:val="006677A0"/>
    <w:rsid w:val="00667809"/>
    <w:rsid w:val="00667824"/>
    <w:rsid w:val="0066782A"/>
    <w:rsid w:val="006678E6"/>
    <w:rsid w:val="00667919"/>
    <w:rsid w:val="006679B4"/>
    <w:rsid w:val="006679CB"/>
    <w:rsid w:val="006679EA"/>
    <w:rsid w:val="006679EF"/>
    <w:rsid w:val="00667A03"/>
    <w:rsid w:val="00667A7A"/>
    <w:rsid w:val="00667A7C"/>
    <w:rsid w:val="00667A86"/>
    <w:rsid w:val="00667AEA"/>
    <w:rsid w:val="00667AF8"/>
    <w:rsid w:val="00667AFF"/>
    <w:rsid w:val="00667B32"/>
    <w:rsid w:val="00667B4C"/>
    <w:rsid w:val="00667B8C"/>
    <w:rsid w:val="00667B97"/>
    <w:rsid w:val="00667BB1"/>
    <w:rsid w:val="00667BCA"/>
    <w:rsid w:val="00667C41"/>
    <w:rsid w:val="00667C85"/>
    <w:rsid w:val="00667CA8"/>
    <w:rsid w:val="00667CCE"/>
    <w:rsid w:val="00667CF1"/>
    <w:rsid w:val="00667D67"/>
    <w:rsid w:val="00667D7A"/>
    <w:rsid w:val="00667DB7"/>
    <w:rsid w:val="00667EC3"/>
    <w:rsid w:val="00667EE6"/>
    <w:rsid w:val="00667F04"/>
    <w:rsid w:val="00667F07"/>
    <w:rsid w:val="00667F22"/>
    <w:rsid w:val="00667F2E"/>
    <w:rsid w:val="00667F6E"/>
    <w:rsid w:val="00667FA6"/>
    <w:rsid w:val="00667FDB"/>
    <w:rsid w:val="00670017"/>
    <w:rsid w:val="0067005E"/>
    <w:rsid w:val="00670066"/>
    <w:rsid w:val="0067007F"/>
    <w:rsid w:val="006700DD"/>
    <w:rsid w:val="006700DE"/>
    <w:rsid w:val="006700F3"/>
    <w:rsid w:val="0067010C"/>
    <w:rsid w:val="006701DE"/>
    <w:rsid w:val="00670206"/>
    <w:rsid w:val="0067020B"/>
    <w:rsid w:val="0067024D"/>
    <w:rsid w:val="0067024E"/>
    <w:rsid w:val="00670258"/>
    <w:rsid w:val="0067032E"/>
    <w:rsid w:val="00670383"/>
    <w:rsid w:val="006703B0"/>
    <w:rsid w:val="006703E9"/>
    <w:rsid w:val="006703F7"/>
    <w:rsid w:val="00670408"/>
    <w:rsid w:val="0067047E"/>
    <w:rsid w:val="00670489"/>
    <w:rsid w:val="0067048A"/>
    <w:rsid w:val="0067048C"/>
    <w:rsid w:val="006704CE"/>
    <w:rsid w:val="00670538"/>
    <w:rsid w:val="00670577"/>
    <w:rsid w:val="0067057A"/>
    <w:rsid w:val="006705D7"/>
    <w:rsid w:val="0067063D"/>
    <w:rsid w:val="00670648"/>
    <w:rsid w:val="0067064F"/>
    <w:rsid w:val="00670664"/>
    <w:rsid w:val="006706CB"/>
    <w:rsid w:val="006706DA"/>
    <w:rsid w:val="006706E3"/>
    <w:rsid w:val="006706E5"/>
    <w:rsid w:val="006706E9"/>
    <w:rsid w:val="00670727"/>
    <w:rsid w:val="0067072B"/>
    <w:rsid w:val="00670739"/>
    <w:rsid w:val="0067078A"/>
    <w:rsid w:val="006707B7"/>
    <w:rsid w:val="006707CD"/>
    <w:rsid w:val="00670854"/>
    <w:rsid w:val="0067088D"/>
    <w:rsid w:val="006708ED"/>
    <w:rsid w:val="006708F6"/>
    <w:rsid w:val="00670917"/>
    <w:rsid w:val="00670948"/>
    <w:rsid w:val="00670A07"/>
    <w:rsid w:val="00670A25"/>
    <w:rsid w:val="00670A56"/>
    <w:rsid w:val="00670A66"/>
    <w:rsid w:val="00670A85"/>
    <w:rsid w:val="00670AA9"/>
    <w:rsid w:val="00670AFB"/>
    <w:rsid w:val="00670B27"/>
    <w:rsid w:val="00670C63"/>
    <w:rsid w:val="00670C75"/>
    <w:rsid w:val="00670C90"/>
    <w:rsid w:val="00670C92"/>
    <w:rsid w:val="00670CE1"/>
    <w:rsid w:val="00670CE9"/>
    <w:rsid w:val="00670D5C"/>
    <w:rsid w:val="00670D89"/>
    <w:rsid w:val="00670D92"/>
    <w:rsid w:val="00670D9D"/>
    <w:rsid w:val="00670E17"/>
    <w:rsid w:val="00670EBE"/>
    <w:rsid w:val="00670EFF"/>
    <w:rsid w:val="00670F9E"/>
    <w:rsid w:val="00670FBA"/>
    <w:rsid w:val="006710B9"/>
    <w:rsid w:val="00671125"/>
    <w:rsid w:val="00671129"/>
    <w:rsid w:val="0067113C"/>
    <w:rsid w:val="006711AD"/>
    <w:rsid w:val="006711C4"/>
    <w:rsid w:val="00671204"/>
    <w:rsid w:val="0067128A"/>
    <w:rsid w:val="0067130B"/>
    <w:rsid w:val="00671316"/>
    <w:rsid w:val="00671345"/>
    <w:rsid w:val="00671383"/>
    <w:rsid w:val="00671394"/>
    <w:rsid w:val="0067140A"/>
    <w:rsid w:val="0067140E"/>
    <w:rsid w:val="0067143D"/>
    <w:rsid w:val="0067146F"/>
    <w:rsid w:val="006714FF"/>
    <w:rsid w:val="00671500"/>
    <w:rsid w:val="00671545"/>
    <w:rsid w:val="006715DB"/>
    <w:rsid w:val="006715F7"/>
    <w:rsid w:val="006715FD"/>
    <w:rsid w:val="0067160E"/>
    <w:rsid w:val="0067162A"/>
    <w:rsid w:val="0067163D"/>
    <w:rsid w:val="0067166D"/>
    <w:rsid w:val="006716B4"/>
    <w:rsid w:val="006716D5"/>
    <w:rsid w:val="006716DE"/>
    <w:rsid w:val="00671729"/>
    <w:rsid w:val="00671732"/>
    <w:rsid w:val="006717D0"/>
    <w:rsid w:val="00671811"/>
    <w:rsid w:val="00671854"/>
    <w:rsid w:val="006718A9"/>
    <w:rsid w:val="006718B3"/>
    <w:rsid w:val="006718E2"/>
    <w:rsid w:val="006718FE"/>
    <w:rsid w:val="0067193B"/>
    <w:rsid w:val="006719AD"/>
    <w:rsid w:val="00671A1A"/>
    <w:rsid w:val="00671A2E"/>
    <w:rsid w:val="00671A3D"/>
    <w:rsid w:val="00671AD6"/>
    <w:rsid w:val="00671ADA"/>
    <w:rsid w:val="00671B48"/>
    <w:rsid w:val="00671B95"/>
    <w:rsid w:val="00671C07"/>
    <w:rsid w:val="00671C12"/>
    <w:rsid w:val="00671C20"/>
    <w:rsid w:val="00671C26"/>
    <w:rsid w:val="00671C41"/>
    <w:rsid w:val="00671C42"/>
    <w:rsid w:val="00671C52"/>
    <w:rsid w:val="00671C8C"/>
    <w:rsid w:val="00671C92"/>
    <w:rsid w:val="00671CCF"/>
    <w:rsid w:val="00671CE2"/>
    <w:rsid w:val="00671D0A"/>
    <w:rsid w:val="00671D72"/>
    <w:rsid w:val="00671D99"/>
    <w:rsid w:val="00671DA0"/>
    <w:rsid w:val="00671DCC"/>
    <w:rsid w:val="00671DFF"/>
    <w:rsid w:val="00671E2F"/>
    <w:rsid w:val="00671E59"/>
    <w:rsid w:val="00671E5E"/>
    <w:rsid w:val="00671EAC"/>
    <w:rsid w:val="00671EB0"/>
    <w:rsid w:val="00671EB3"/>
    <w:rsid w:val="00671F01"/>
    <w:rsid w:val="00671F13"/>
    <w:rsid w:val="00671F81"/>
    <w:rsid w:val="00671F83"/>
    <w:rsid w:val="00671F8B"/>
    <w:rsid w:val="00671F96"/>
    <w:rsid w:val="00671FC2"/>
    <w:rsid w:val="00671FD9"/>
    <w:rsid w:val="0067201A"/>
    <w:rsid w:val="0067201F"/>
    <w:rsid w:val="00672080"/>
    <w:rsid w:val="00672098"/>
    <w:rsid w:val="006720B9"/>
    <w:rsid w:val="006720C5"/>
    <w:rsid w:val="006720F1"/>
    <w:rsid w:val="00672110"/>
    <w:rsid w:val="006721CC"/>
    <w:rsid w:val="0067226A"/>
    <w:rsid w:val="0067229B"/>
    <w:rsid w:val="006722AC"/>
    <w:rsid w:val="006722AD"/>
    <w:rsid w:val="006722D7"/>
    <w:rsid w:val="00672300"/>
    <w:rsid w:val="0067232E"/>
    <w:rsid w:val="00672359"/>
    <w:rsid w:val="00672387"/>
    <w:rsid w:val="00672392"/>
    <w:rsid w:val="00672393"/>
    <w:rsid w:val="0067239E"/>
    <w:rsid w:val="006723B1"/>
    <w:rsid w:val="006723BD"/>
    <w:rsid w:val="006723F7"/>
    <w:rsid w:val="006723F9"/>
    <w:rsid w:val="00672406"/>
    <w:rsid w:val="0067247D"/>
    <w:rsid w:val="006724A9"/>
    <w:rsid w:val="00672543"/>
    <w:rsid w:val="00672544"/>
    <w:rsid w:val="00672559"/>
    <w:rsid w:val="00672595"/>
    <w:rsid w:val="006725D4"/>
    <w:rsid w:val="0067260C"/>
    <w:rsid w:val="00672636"/>
    <w:rsid w:val="00672648"/>
    <w:rsid w:val="00672649"/>
    <w:rsid w:val="0067267C"/>
    <w:rsid w:val="00672681"/>
    <w:rsid w:val="0067276B"/>
    <w:rsid w:val="00672777"/>
    <w:rsid w:val="00672786"/>
    <w:rsid w:val="006727F7"/>
    <w:rsid w:val="00672840"/>
    <w:rsid w:val="00672868"/>
    <w:rsid w:val="00672878"/>
    <w:rsid w:val="006728B4"/>
    <w:rsid w:val="006728FE"/>
    <w:rsid w:val="0067291C"/>
    <w:rsid w:val="00672990"/>
    <w:rsid w:val="006729BA"/>
    <w:rsid w:val="006729DB"/>
    <w:rsid w:val="00672A14"/>
    <w:rsid w:val="00672A3A"/>
    <w:rsid w:val="00672A3F"/>
    <w:rsid w:val="00672A4A"/>
    <w:rsid w:val="00672A81"/>
    <w:rsid w:val="00672B12"/>
    <w:rsid w:val="00672B2B"/>
    <w:rsid w:val="00672B61"/>
    <w:rsid w:val="00672B6A"/>
    <w:rsid w:val="00672B8C"/>
    <w:rsid w:val="00672B94"/>
    <w:rsid w:val="00672BB2"/>
    <w:rsid w:val="00672BBD"/>
    <w:rsid w:val="00672BD4"/>
    <w:rsid w:val="00672BE7"/>
    <w:rsid w:val="00672BED"/>
    <w:rsid w:val="00672C09"/>
    <w:rsid w:val="00672C4A"/>
    <w:rsid w:val="00672C71"/>
    <w:rsid w:val="00672C7A"/>
    <w:rsid w:val="00672C7B"/>
    <w:rsid w:val="00672CF8"/>
    <w:rsid w:val="00672D09"/>
    <w:rsid w:val="00672D4F"/>
    <w:rsid w:val="00672D5C"/>
    <w:rsid w:val="00672D98"/>
    <w:rsid w:val="00672DCD"/>
    <w:rsid w:val="00672E2D"/>
    <w:rsid w:val="00672E65"/>
    <w:rsid w:val="00672EB9"/>
    <w:rsid w:val="00672EC3"/>
    <w:rsid w:val="00672F2A"/>
    <w:rsid w:val="00672F2B"/>
    <w:rsid w:val="00672FBC"/>
    <w:rsid w:val="00672FC2"/>
    <w:rsid w:val="00673055"/>
    <w:rsid w:val="006730A7"/>
    <w:rsid w:val="00673170"/>
    <w:rsid w:val="006731C8"/>
    <w:rsid w:val="006731F4"/>
    <w:rsid w:val="00673239"/>
    <w:rsid w:val="00673261"/>
    <w:rsid w:val="006732AA"/>
    <w:rsid w:val="006732B4"/>
    <w:rsid w:val="006732BC"/>
    <w:rsid w:val="006732F2"/>
    <w:rsid w:val="00673308"/>
    <w:rsid w:val="00673362"/>
    <w:rsid w:val="00673423"/>
    <w:rsid w:val="00673467"/>
    <w:rsid w:val="0067349A"/>
    <w:rsid w:val="006734A7"/>
    <w:rsid w:val="006734AC"/>
    <w:rsid w:val="006734F5"/>
    <w:rsid w:val="006734FC"/>
    <w:rsid w:val="00673534"/>
    <w:rsid w:val="006735CF"/>
    <w:rsid w:val="006735EB"/>
    <w:rsid w:val="00673622"/>
    <w:rsid w:val="00673633"/>
    <w:rsid w:val="00673648"/>
    <w:rsid w:val="006736B2"/>
    <w:rsid w:val="006736DC"/>
    <w:rsid w:val="0067370D"/>
    <w:rsid w:val="00673760"/>
    <w:rsid w:val="00673795"/>
    <w:rsid w:val="006737A0"/>
    <w:rsid w:val="006737AD"/>
    <w:rsid w:val="006737B0"/>
    <w:rsid w:val="006737E1"/>
    <w:rsid w:val="00673806"/>
    <w:rsid w:val="00673818"/>
    <w:rsid w:val="0067387D"/>
    <w:rsid w:val="006738B0"/>
    <w:rsid w:val="006738CC"/>
    <w:rsid w:val="0067391A"/>
    <w:rsid w:val="00673932"/>
    <w:rsid w:val="00673988"/>
    <w:rsid w:val="006739A4"/>
    <w:rsid w:val="00673AC1"/>
    <w:rsid w:val="00673AFD"/>
    <w:rsid w:val="00673B34"/>
    <w:rsid w:val="00673B64"/>
    <w:rsid w:val="00673B6A"/>
    <w:rsid w:val="00673BA6"/>
    <w:rsid w:val="00673BB1"/>
    <w:rsid w:val="00673BE0"/>
    <w:rsid w:val="00673CB3"/>
    <w:rsid w:val="00673CB6"/>
    <w:rsid w:val="00673CD5"/>
    <w:rsid w:val="00673CD9"/>
    <w:rsid w:val="00673CDA"/>
    <w:rsid w:val="00673D82"/>
    <w:rsid w:val="00673DA1"/>
    <w:rsid w:val="00673E64"/>
    <w:rsid w:val="00673EA7"/>
    <w:rsid w:val="00673EAE"/>
    <w:rsid w:val="00673EBE"/>
    <w:rsid w:val="00673F04"/>
    <w:rsid w:val="00673F25"/>
    <w:rsid w:val="00673F2A"/>
    <w:rsid w:val="00673F36"/>
    <w:rsid w:val="00673F4A"/>
    <w:rsid w:val="00673F60"/>
    <w:rsid w:val="00673F83"/>
    <w:rsid w:val="00673FBE"/>
    <w:rsid w:val="00673FC7"/>
    <w:rsid w:val="0067400B"/>
    <w:rsid w:val="00674022"/>
    <w:rsid w:val="006740C2"/>
    <w:rsid w:val="006740D1"/>
    <w:rsid w:val="006740E4"/>
    <w:rsid w:val="006740FB"/>
    <w:rsid w:val="006741A0"/>
    <w:rsid w:val="006741DD"/>
    <w:rsid w:val="00674244"/>
    <w:rsid w:val="006742D5"/>
    <w:rsid w:val="006742EB"/>
    <w:rsid w:val="00674301"/>
    <w:rsid w:val="0067432B"/>
    <w:rsid w:val="006743B4"/>
    <w:rsid w:val="00674427"/>
    <w:rsid w:val="00674444"/>
    <w:rsid w:val="006744B8"/>
    <w:rsid w:val="006744DD"/>
    <w:rsid w:val="006745BE"/>
    <w:rsid w:val="006745D2"/>
    <w:rsid w:val="00674605"/>
    <w:rsid w:val="0067461C"/>
    <w:rsid w:val="00674626"/>
    <w:rsid w:val="0067465C"/>
    <w:rsid w:val="006746A5"/>
    <w:rsid w:val="006746CC"/>
    <w:rsid w:val="006746D6"/>
    <w:rsid w:val="006746D7"/>
    <w:rsid w:val="00674706"/>
    <w:rsid w:val="006747FB"/>
    <w:rsid w:val="0067481C"/>
    <w:rsid w:val="00674836"/>
    <w:rsid w:val="0067487C"/>
    <w:rsid w:val="006748A4"/>
    <w:rsid w:val="0067496E"/>
    <w:rsid w:val="00674970"/>
    <w:rsid w:val="00674989"/>
    <w:rsid w:val="006749BF"/>
    <w:rsid w:val="006749E3"/>
    <w:rsid w:val="006749E7"/>
    <w:rsid w:val="00674A2D"/>
    <w:rsid w:val="00674A8A"/>
    <w:rsid w:val="00674ACA"/>
    <w:rsid w:val="00674AEB"/>
    <w:rsid w:val="00674B1A"/>
    <w:rsid w:val="00674B43"/>
    <w:rsid w:val="00674B51"/>
    <w:rsid w:val="00674BB2"/>
    <w:rsid w:val="00674C41"/>
    <w:rsid w:val="00674C94"/>
    <w:rsid w:val="00674C95"/>
    <w:rsid w:val="00674CD1"/>
    <w:rsid w:val="00674D20"/>
    <w:rsid w:val="00674D34"/>
    <w:rsid w:val="00674DD4"/>
    <w:rsid w:val="00674DE0"/>
    <w:rsid w:val="00674E13"/>
    <w:rsid w:val="00674E2D"/>
    <w:rsid w:val="00674E41"/>
    <w:rsid w:val="00674E9F"/>
    <w:rsid w:val="00674F37"/>
    <w:rsid w:val="00674F7F"/>
    <w:rsid w:val="00674F8E"/>
    <w:rsid w:val="00674F9F"/>
    <w:rsid w:val="00674FCA"/>
    <w:rsid w:val="00674FEA"/>
    <w:rsid w:val="00675034"/>
    <w:rsid w:val="00675096"/>
    <w:rsid w:val="0067509F"/>
    <w:rsid w:val="006750BD"/>
    <w:rsid w:val="006750CD"/>
    <w:rsid w:val="006750F3"/>
    <w:rsid w:val="00675114"/>
    <w:rsid w:val="0067511C"/>
    <w:rsid w:val="0067516B"/>
    <w:rsid w:val="006751A5"/>
    <w:rsid w:val="006751B3"/>
    <w:rsid w:val="006751D7"/>
    <w:rsid w:val="0067520F"/>
    <w:rsid w:val="00675223"/>
    <w:rsid w:val="00675249"/>
    <w:rsid w:val="00675252"/>
    <w:rsid w:val="0067525A"/>
    <w:rsid w:val="0067525F"/>
    <w:rsid w:val="00675278"/>
    <w:rsid w:val="00675381"/>
    <w:rsid w:val="0067539C"/>
    <w:rsid w:val="006753C1"/>
    <w:rsid w:val="00675435"/>
    <w:rsid w:val="0067548B"/>
    <w:rsid w:val="006754B1"/>
    <w:rsid w:val="006754EC"/>
    <w:rsid w:val="00675513"/>
    <w:rsid w:val="00675515"/>
    <w:rsid w:val="0067557B"/>
    <w:rsid w:val="006755F7"/>
    <w:rsid w:val="0067560B"/>
    <w:rsid w:val="00675623"/>
    <w:rsid w:val="00675648"/>
    <w:rsid w:val="00675654"/>
    <w:rsid w:val="00675658"/>
    <w:rsid w:val="0067565B"/>
    <w:rsid w:val="0067567B"/>
    <w:rsid w:val="00675692"/>
    <w:rsid w:val="006756D4"/>
    <w:rsid w:val="0067578A"/>
    <w:rsid w:val="006757C1"/>
    <w:rsid w:val="0067583F"/>
    <w:rsid w:val="00675845"/>
    <w:rsid w:val="0067584F"/>
    <w:rsid w:val="00675874"/>
    <w:rsid w:val="0067589A"/>
    <w:rsid w:val="006758A1"/>
    <w:rsid w:val="006758FA"/>
    <w:rsid w:val="0067591E"/>
    <w:rsid w:val="0067593A"/>
    <w:rsid w:val="0067593F"/>
    <w:rsid w:val="0067594D"/>
    <w:rsid w:val="0067595D"/>
    <w:rsid w:val="00675981"/>
    <w:rsid w:val="006759BE"/>
    <w:rsid w:val="00675A18"/>
    <w:rsid w:val="00675A28"/>
    <w:rsid w:val="00675A3C"/>
    <w:rsid w:val="00675A4C"/>
    <w:rsid w:val="00675A65"/>
    <w:rsid w:val="00675A7C"/>
    <w:rsid w:val="00675B30"/>
    <w:rsid w:val="00675B31"/>
    <w:rsid w:val="00675B3B"/>
    <w:rsid w:val="00675C1F"/>
    <w:rsid w:val="00675C44"/>
    <w:rsid w:val="00675D37"/>
    <w:rsid w:val="00675D38"/>
    <w:rsid w:val="00675D57"/>
    <w:rsid w:val="00675D61"/>
    <w:rsid w:val="00675D62"/>
    <w:rsid w:val="00675D91"/>
    <w:rsid w:val="00675E1E"/>
    <w:rsid w:val="00675E3D"/>
    <w:rsid w:val="00675ECB"/>
    <w:rsid w:val="00675EF3"/>
    <w:rsid w:val="00675F07"/>
    <w:rsid w:val="00675F1B"/>
    <w:rsid w:val="00675F73"/>
    <w:rsid w:val="00675F90"/>
    <w:rsid w:val="00675FA5"/>
    <w:rsid w:val="00676069"/>
    <w:rsid w:val="0067606B"/>
    <w:rsid w:val="0067606F"/>
    <w:rsid w:val="006760FB"/>
    <w:rsid w:val="006760FE"/>
    <w:rsid w:val="0067611C"/>
    <w:rsid w:val="00676155"/>
    <w:rsid w:val="00676191"/>
    <w:rsid w:val="00676214"/>
    <w:rsid w:val="006762D0"/>
    <w:rsid w:val="006762E7"/>
    <w:rsid w:val="0067635A"/>
    <w:rsid w:val="006763F6"/>
    <w:rsid w:val="00676435"/>
    <w:rsid w:val="0067647D"/>
    <w:rsid w:val="00676539"/>
    <w:rsid w:val="0067654A"/>
    <w:rsid w:val="00676598"/>
    <w:rsid w:val="006765CA"/>
    <w:rsid w:val="0067666A"/>
    <w:rsid w:val="006766B4"/>
    <w:rsid w:val="0067678F"/>
    <w:rsid w:val="006767DA"/>
    <w:rsid w:val="00676820"/>
    <w:rsid w:val="00676887"/>
    <w:rsid w:val="006768AB"/>
    <w:rsid w:val="006768BF"/>
    <w:rsid w:val="006768EA"/>
    <w:rsid w:val="0067692D"/>
    <w:rsid w:val="00676983"/>
    <w:rsid w:val="006769B1"/>
    <w:rsid w:val="006769C1"/>
    <w:rsid w:val="006769F8"/>
    <w:rsid w:val="00676A48"/>
    <w:rsid w:val="00676A4A"/>
    <w:rsid w:val="00676A67"/>
    <w:rsid w:val="00676A78"/>
    <w:rsid w:val="00676A96"/>
    <w:rsid w:val="00676AC3"/>
    <w:rsid w:val="00676ACB"/>
    <w:rsid w:val="00676AD1"/>
    <w:rsid w:val="00676AD7"/>
    <w:rsid w:val="00676B07"/>
    <w:rsid w:val="00676B10"/>
    <w:rsid w:val="00676B52"/>
    <w:rsid w:val="00676B98"/>
    <w:rsid w:val="00676BC8"/>
    <w:rsid w:val="00676C4E"/>
    <w:rsid w:val="00676CB2"/>
    <w:rsid w:val="00676D33"/>
    <w:rsid w:val="00676D6F"/>
    <w:rsid w:val="00676DD1"/>
    <w:rsid w:val="00676DDE"/>
    <w:rsid w:val="00676E0C"/>
    <w:rsid w:val="00676E3D"/>
    <w:rsid w:val="00676E6E"/>
    <w:rsid w:val="00676EA3"/>
    <w:rsid w:val="00676F04"/>
    <w:rsid w:val="00676F14"/>
    <w:rsid w:val="00676F4B"/>
    <w:rsid w:val="00676F73"/>
    <w:rsid w:val="00676FA6"/>
    <w:rsid w:val="00676FDB"/>
    <w:rsid w:val="00676FDD"/>
    <w:rsid w:val="0067701A"/>
    <w:rsid w:val="0067705E"/>
    <w:rsid w:val="00677099"/>
    <w:rsid w:val="006770F4"/>
    <w:rsid w:val="0067711B"/>
    <w:rsid w:val="00677129"/>
    <w:rsid w:val="00677157"/>
    <w:rsid w:val="00677182"/>
    <w:rsid w:val="00677193"/>
    <w:rsid w:val="006771DB"/>
    <w:rsid w:val="006771DC"/>
    <w:rsid w:val="0067722C"/>
    <w:rsid w:val="00677231"/>
    <w:rsid w:val="006772A5"/>
    <w:rsid w:val="006772A8"/>
    <w:rsid w:val="006772DC"/>
    <w:rsid w:val="006772DE"/>
    <w:rsid w:val="006772E3"/>
    <w:rsid w:val="00677304"/>
    <w:rsid w:val="00677369"/>
    <w:rsid w:val="00677399"/>
    <w:rsid w:val="006773BE"/>
    <w:rsid w:val="006773F0"/>
    <w:rsid w:val="00677411"/>
    <w:rsid w:val="0067742A"/>
    <w:rsid w:val="00677451"/>
    <w:rsid w:val="00677461"/>
    <w:rsid w:val="0067750B"/>
    <w:rsid w:val="00677510"/>
    <w:rsid w:val="00677512"/>
    <w:rsid w:val="0067752A"/>
    <w:rsid w:val="00677538"/>
    <w:rsid w:val="00677541"/>
    <w:rsid w:val="00677568"/>
    <w:rsid w:val="00677611"/>
    <w:rsid w:val="0067765E"/>
    <w:rsid w:val="00677663"/>
    <w:rsid w:val="00677686"/>
    <w:rsid w:val="00677692"/>
    <w:rsid w:val="006776C5"/>
    <w:rsid w:val="006776E1"/>
    <w:rsid w:val="00677754"/>
    <w:rsid w:val="00677771"/>
    <w:rsid w:val="00677775"/>
    <w:rsid w:val="00677797"/>
    <w:rsid w:val="006777A5"/>
    <w:rsid w:val="006777A6"/>
    <w:rsid w:val="006777BE"/>
    <w:rsid w:val="006777C8"/>
    <w:rsid w:val="00677826"/>
    <w:rsid w:val="0067783A"/>
    <w:rsid w:val="0067787F"/>
    <w:rsid w:val="006778D5"/>
    <w:rsid w:val="006778E3"/>
    <w:rsid w:val="006778F9"/>
    <w:rsid w:val="0067791E"/>
    <w:rsid w:val="0067796A"/>
    <w:rsid w:val="0067796B"/>
    <w:rsid w:val="006779CE"/>
    <w:rsid w:val="00677A0D"/>
    <w:rsid w:val="00677A37"/>
    <w:rsid w:val="00677A53"/>
    <w:rsid w:val="00677A7F"/>
    <w:rsid w:val="00677A98"/>
    <w:rsid w:val="00677ABB"/>
    <w:rsid w:val="00677AD9"/>
    <w:rsid w:val="00677B19"/>
    <w:rsid w:val="00677B21"/>
    <w:rsid w:val="00677B3E"/>
    <w:rsid w:val="00677B56"/>
    <w:rsid w:val="00677B60"/>
    <w:rsid w:val="00677B9D"/>
    <w:rsid w:val="00677BB8"/>
    <w:rsid w:val="00677BEC"/>
    <w:rsid w:val="00677BF9"/>
    <w:rsid w:val="00677C96"/>
    <w:rsid w:val="00677D05"/>
    <w:rsid w:val="00677D46"/>
    <w:rsid w:val="00677D57"/>
    <w:rsid w:val="00677DDA"/>
    <w:rsid w:val="00677DE1"/>
    <w:rsid w:val="00677DFB"/>
    <w:rsid w:val="00677E14"/>
    <w:rsid w:val="00677E59"/>
    <w:rsid w:val="00677F02"/>
    <w:rsid w:val="00677F0C"/>
    <w:rsid w:val="00677F19"/>
    <w:rsid w:val="00677F39"/>
    <w:rsid w:val="00677F82"/>
    <w:rsid w:val="00677F9C"/>
    <w:rsid w:val="00677FC3"/>
    <w:rsid w:val="00677FD0"/>
    <w:rsid w:val="00680045"/>
    <w:rsid w:val="0068004C"/>
    <w:rsid w:val="0068006D"/>
    <w:rsid w:val="00680072"/>
    <w:rsid w:val="006800D5"/>
    <w:rsid w:val="006800DF"/>
    <w:rsid w:val="00680116"/>
    <w:rsid w:val="0068011A"/>
    <w:rsid w:val="00680169"/>
    <w:rsid w:val="0068016D"/>
    <w:rsid w:val="00680194"/>
    <w:rsid w:val="006801DD"/>
    <w:rsid w:val="00680214"/>
    <w:rsid w:val="00680263"/>
    <w:rsid w:val="00680290"/>
    <w:rsid w:val="00680348"/>
    <w:rsid w:val="0068034B"/>
    <w:rsid w:val="00680361"/>
    <w:rsid w:val="0068036F"/>
    <w:rsid w:val="00680393"/>
    <w:rsid w:val="006803F2"/>
    <w:rsid w:val="006803F7"/>
    <w:rsid w:val="006803F9"/>
    <w:rsid w:val="0068041E"/>
    <w:rsid w:val="0068041F"/>
    <w:rsid w:val="006804EC"/>
    <w:rsid w:val="00680510"/>
    <w:rsid w:val="0068051E"/>
    <w:rsid w:val="006805A2"/>
    <w:rsid w:val="006805A3"/>
    <w:rsid w:val="006805C8"/>
    <w:rsid w:val="006805DA"/>
    <w:rsid w:val="00680676"/>
    <w:rsid w:val="00680679"/>
    <w:rsid w:val="0068068F"/>
    <w:rsid w:val="006806A4"/>
    <w:rsid w:val="006806E1"/>
    <w:rsid w:val="0068074E"/>
    <w:rsid w:val="00680759"/>
    <w:rsid w:val="00680792"/>
    <w:rsid w:val="00680830"/>
    <w:rsid w:val="00680834"/>
    <w:rsid w:val="00680869"/>
    <w:rsid w:val="00680891"/>
    <w:rsid w:val="006808BD"/>
    <w:rsid w:val="0068090C"/>
    <w:rsid w:val="00680963"/>
    <w:rsid w:val="00680A0E"/>
    <w:rsid w:val="00680A23"/>
    <w:rsid w:val="00680A67"/>
    <w:rsid w:val="00680AAE"/>
    <w:rsid w:val="00680ABB"/>
    <w:rsid w:val="00680AC4"/>
    <w:rsid w:val="00680B05"/>
    <w:rsid w:val="00680B60"/>
    <w:rsid w:val="00680B8E"/>
    <w:rsid w:val="00680B98"/>
    <w:rsid w:val="00680BC1"/>
    <w:rsid w:val="00680C2D"/>
    <w:rsid w:val="00680CBA"/>
    <w:rsid w:val="00680CDA"/>
    <w:rsid w:val="00680D03"/>
    <w:rsid w:val="00680D0A"/>
    <w:rsid w:val="00680D2D"/>
    <w:rsid w:val="00680E73"/>
    <w:rsid w:val="00680EB5"/>
    <w:rsid w:val="00680EC4"/>
    <w:rsid w:val="0068100E"/>
    <w:rsid w:val="00681031"/>
    <w:rsid w:val="00681051"/>
    <w:rsid w:val="006810BD"/>
    <w:rsid w:val="00681110"/>
    <w:rsid w:val="00681148"/>
    <w:rsid w:val="00681158"/>
    <w:rsid w:val="00681163"/>
    <w:rsid w:val="006811C4"/>
    <w:rsid w:val="00681287"/>
    <w:rsid w:val="006812BC"/>
    <w:rsid w:val="006812FF"/>
    <w:rsid w:val="0068131E"/>
    <w:rsid w:val="00681363"/>
    <w:rsid w:val="006813A7"/>
    <w:rsid w:val="006813C1"/>
    <w:rsid w:val="0068140C"/>
    <w:rsid w:val="0068142A"/>
    <w:rsid w:val="00681433"/>
    <w:rsid w:val="00681435"/>
    <w:rsid w:val="00681457"/>
    <w:rsid w:val="0068152E"/>
    <w:rsid w:val="00681563"/>
    <w:rsid w:val="006815C6"/>
    <w:rsid w:val="006815CB"/>
    <w:rsid w:val="006815D7"/>
    <w:rsid w:val="00681680"/>
    <w:rsid w:val="006816B1"/>
    <w:rsid w:val="006816B6"/>
    <w:rsid w:val="006816D1"/>
    <w:rsid w:val="0068174F"/>
    <w:rsid w:val="0068177F"/>
    <w:rsid w:val="006817E9"/>
    <w:rsid w:val="006817ED"/>
    <w:rsid w:val="0068186D"/>
    <w:rsid w:val="00681887"/>
    <w:rsid w:val="006818CE"/>
    <w:rsid w:val="00681914"/>
    <w:rsid w:val="0068192D"/>
    <w:rsid w:val="00681941"/>
    <w:rsid w:val="0068198F"/>
    <w:rsid w:val="006819FD"/>
    <w:rsid w:val="00681A14"/>
    <w:rsid w:val="00681A1E"/>
    <w:rsid w:val="00681A2B"/>
    <w:rsid w:val="00681A62"/>
    <w:rsid w:val="00681A6E"/>
    <w:rsid w:val="00681AA4"/>
    <w:rsid w:val="00681ABB"/>
    <w:rsid w:val="00681B8B"/>
    <w:rsid w:val="00681BB2"/>
    <w:rsid w:val="00681BBF"/>
    <w:rsid w:val="00681BE9"/>
    <w:rsid w:val="00681BFF"/>
    <w:rsid w:val="00681C43"/>
    <w:rsid w:val="00681CCA"/>
    <w:rsid w:val="00681CD4"/>
    <w:rsid w:val="00681CE8"/>
    <w:rsid w:val="00681D20"/>
    <w:rsid w:val="00681D45"/>
    <w:rsid w:val="00681D9C"/>
    <w:rsid w:val="00681DA0"/>
    <w:rsid w:val="00681DCE"/>
    <w:rsid w:val="00681DE5"/>
    <w:rsid w:val="00681DF0"/>
    <w:rsid w:val="00681E28"/>
    <w:rsid w:val="00681E3C"/>
    <w:rsid w:val="00681E54"/>
    <w:rsid w:val="00681E75"/>
    <w:rsid w:val="00681E88"/>
    <w:rsid w:val="00681F08"/>
    <w:rsid w:val="00681F59"/>
    <w:rsid w:val="00681F5B"/>
    <w:rsid w:val="00681F8A"/>
    <w:rsid w:val="00682032"/>
    <w:rsid w:val="00682040"/>
    <w:rsid w:val="0068209D"/>
    <w:rsid w:val="00682109"/>
    <w:rsid w:val="00682158"/>
    <w:rsid w:val="0068216A"/>
    <w:rsid w:val="00682199"/>
    <w:rsid w:val="006821C2"/>
    <w:rsid w:val="006821D1"/>
    <w:rsid w:val="006821D3"/>
    <w:rsid w:val="00682200"/>
    <w:rsid w:val="00682205"/>
    <w:rsid w:val="0068222E"/>
    <w:rsid w:val="006822DC"/>
    <w:rsid w:val="006822FB"/>
    <w:rsid w:val="0068233B"/>
    <w:rsid w:val="0068235F"/>
    <w:rsid w:val="006823A4"/>
    <w:rsid w:val="0068247A"/>
    <w:rsid w:val="00682487"/>
    <w:rsid w:val="0068249C"/>
    <w:rsid w:val="006824D6"/>
    <w:rsid w:val="006824E7"/>
    <w:rsid w:val="00682506"/>
    <w:rsid w:val="00682518"/>
    <w:rsid w:val="0068257A"/>
    <w:rsid w:val="006825F0"/>
    <w:rsid w:val="0068262B"/>
    <w:rsid w:val="0068267E"/>
    <w:rsid w:val="00682694"/>
    <w:rsid w:val="006826BB"/>
    <w:rsid w:val="006827D0"/>
    <w:rsid w:val="006827E3"/>
    <w:rsid w:val="006827E7"/>
    <w:rsid w:val="006827FA"/>
    <w:rsid w:val="00682815"/>
    <w:rsid w:val="00682833"/>
    <w:rsid w:val="00682918"/>
    <w:rsid w:val="00682972"/>
    <w:rsid w:val="00682986"/>
    <w:rsid w:val="0068299F"/>
    <w:rsid w:val="006829BE"/>
    <w:rsid w:val="006829CD"/>
    <w:rsid w:val="006829E4"/>
    <w:rsid w:val="00682A03"/>
    <w:rsid w:val="00682A70"/>
    <w:rsid w:val="00682A8B"/>
    <w:rsid w:val="00682B35"/>
    <w:rsid w:val="00682B79"/>
    <w:rsid w:val="00682BCB"/>
    <w:rsid w:val="00682BF8"/>
    <w:rsid w:val="00682C20"/>
    <w:rsid w:val="00682C67"/>
    <w:rsid w:val="00682C98"/>
    <w:rsid w:val="00682CAB"/>
    <w:rsid w:val="00682CE7"/>
    <w:rsid w:val="00682CF1"/>
    <w:rsid w:val="00682D17"/>
    <w:rsid w:val="00682D3B"/>
    <w:rsid w:val="00682D7E"/>
    <w:rsid w:val="00682DBB"/>
    <w:rsid w:val="00682DBD"/>
    <w:rsid w:val="00682E10"/>
    <w:rsid w:val="00682E39"/>
    <w:rsid w:val="00682ED0"/>
    <w:rsid w:val="00682F10"/>
    <w:rsid w:val="00682F23"/>
    <w:rsid w:val="00682F24"/>
    <w:rsid w:val="00682F86"/>
    <w:rsid w:val="00682F92"/>
    <w:rsid w:val="00682FAD"/>
    <w:rsid w:val="00682FB4"/>
    <w:rsid w:val="0068300E"/>
    <w:rsid w:val="006830B2"/>
    <w:rsid w:val="006830C4"/>
    <w:rsid w:val="00683132"/>
    <w:rsid w:val="0068316C"/>
    <w:rsid w:val="006831D9"/>
    <w:rsid w:val="006831DE"/>
    <w:rsid w:val="006831E5"/>
    <w:rsid w:val="0068322A"/>
    <w:rsid w:val="00683277"/>
    <w:rsid w:val="00683297"/>
    <w:rsid w:val="006832EF"/>
    <w:rsid w:val="006832F4"/>
    <w:rsid w:val="00683300"/>
    <w:rsid w:val="0068331A"/>
    <w:rsid w:val="0068331D"/>
    <w:rsid w:val="006833A9"/>
    <w:rsid w:val="006833BF"/>
    <w:rsid w:val="0068341E"/>
    <w:rsid w:val="0068342D"/>
    <w:rsid w:val="00683489"/>
    <w:rsid w:val="006834B8"/>
    <w:rsid w:val="00683506"/>
    <w:rsid w:val="0068351B"/>
    <w:rsid w:val="0068354D"/>
    <w:rsid w:val="0068358E"/>
    <w:rsid w:val="0068359C"/>
    <w:rsid w:val="006835B5"/>
    <w:rsid w:val="006835F5"/>
    <w:rsid w:val="00683606"/>
    <w:rsid w:val="0068361F"/>
    <w:rsid w:val="0068365A"/>
    <w:rsid w:val="00683663"/>
    <w:rsid w:val="00683670"/>
    <w:rsid w:val="00683698"/>
    <w:rsid w:val="006836AF"/>
    <w:rsid w:val="006836F0"/>
    <w:rsid w:val="00683704"/>
    <w:rsid w:val="00683713"/>
    <w:rsid w:val="00683721"/>
    <w:rsid w:val="00683731"/>
    <w:rsid w:val="0068375F"/>
    <w:rsid w:val="00683795"/>
    <w:rsid w:val="00683799"/>
    <w:rsid w:val="006837A8"/>
    <w:rsid w:val="006838D5"/>
    <w:rsid w:val="00683925"/>
    <w:rsid w:val="00683938"/>
    <w:rsid w:val="0068393E"/>
    <w:rsid w:val="006839CB"/>
    <w:rsid w:val="00683A12"/>
    <w:rsid w:val="00683A14"/>
    <w:rsid w:val="00683A17"/>
    <w:rsid w:val="00683A30"/>
    <w:rsid w:val="00683A56"/>
    <w:rsid w:val="00683A79"/>
    <w:rsid w:val="00683A9C"/>
    <w:rsid w:val="00683ABB"/>
    <w:rsid w:val="00683AC4"/>
    <w:rsid w:val="00683AFC"/>
    <w:rsid w:val="00683B43"/>
    <w:rsid w:val="00683B75"/>
    <w:rsid w:val="00683B86"/>
    <w:rsid w:val="00683B92"/>
    <w:rsid w:val="00683B9B"/>
    <w:rsid w:val="00683BFF"/>
    <w:rsid w:val="00683C40"/>
    <w:rsid w:val="00683C49"/>
    <w:rsid w:val="00683C68"/>
    <w:rsid w:val="00683C79"/>
    <w:rsid w:val="00683CA7"/>
    <w:rsid w:val="00683D89"/>
    <w:rsid w:val="00683DB5"/>
    <w:rsid w:val="00683DBA"/>
    <w:rsid w:val="00683DC4"/>
    <w:rsid w:val="00683E14"/>
    <w:rsid w:val="00683E2E"/>
    <w:rsid w:val="00683E49"/>
    <w:rsid w:val="00683E66"/>
    <w:rsid w:val="00683E6B"/>
    <w:rsid w:val="00683EB9"/>
    <w:rsid w:val="00683EBF"/>
    <w:rsid w:val="00683F20"/>
    <w:rsid w:val="00683F8D"/>
    <w:rsid w:val="00683F92"/>
    <w:rsid w:val="0068400A"/>
    <w:rsid w:val="00684030"/>
    <w:rsid w:val="00684058"/>
    <w:rsid w:val="00684059"/>
    <w:rsid w:val="00684074"/>
    <w:rsid w:val="00684131"/>
    <w:rsid w:val="00684156"/>
    <w:rsid w:val="0068418A"/>
    <w:rsid w:val="00684194"/>
    <w:rsid w:val="006841FE"/>
    <w:rsid w:val="00684236"/>
    <w:rsid w:val="00684257"/>
    <w:rsid w:val="0068425E"/>
    <w:rsid w:val="00684265"/>
    <w:rsid w:val="00684266"/>
    <w:rsid w:val="006842C4"/>
    <w:rsid w:val="006842E0"/>
    <w:rsid w:val="0068434B"/>
    <w:rsid w:val="00684365"/>
    <w:rsid w:val="006843CA"/>
    <w:rsid w:val="00684403"/>
    <w:rsid w:val="00684404"/>
    <w:rsid w:val="00684498"/>
    <w:rsid w:val="006844B8"/>
    <w:rsid w:val="006844C6"/>
    <w:rsid w:val="006844FA"/>
    <w:rsid w:val="0068453D"/>
    <w:rsid w:val="0068454E"/>
    <w:rsid w:val="006846AB"/>
    <w:rsid w:val="006846FB"/>
    <w:rsid w:val="0068471F"/>
    <w:rsid w:val="00684724"/>
    <w:rsid w:val="0068473F"/>
    <w:rsid w:val="00684741"/>
    <w:rsid w:val="00684752"/>
    <w:rsid w:val="006847CF"/>
    <w:rsid w:val="006847D3"/>
    <w:rsid w:val="006847E7"/>
    <w:rsid w:val="0068484D"/>
    <w:rsid w:val="0068488E"/>
    <w:rsid w:val="006848E9"/>
    <w:rsid w:val="0068494F"/>
    <w:rsid w:val="006849AD"/>
    <w:rsid w:val="006849D6"/>
    <w:rsid w:val="006849F3"/>
    <w:rsid w:val="00684A18"/>
    <w:rsid w:val="00684A20"/>
    <w:rsid w:val="00684A63"/>
    <w:rsid w:val="00684A7D"/>
    <w:rsid w:val="00684AD1"/>
    <w:rsid w:val="00684B3A"/>
    <w:rsid w:val="00684B85"/>
    <w:rsid w:val="00684B8B"/>
    <w:rsid w:val="00684BA4"/>
    <w:rsid w:val="00684BBA"/>
    <w:rsid w:val="00684BE1"/>
    <w:rsid w:val="00684BF0"/>
    <w:rsid w:val="00684C07"/>
    <w:rsid w:val="00684C4D"/>
    <w:rsid w:val="00684C53"/>
    <w:rsid w:val="00684CCD"/>
    <w:rsid w:val="00684CDD"/>
    <w:rsid w:val="00684D15"/>
    <w:rsid w:val="00684D1E"/>
    <w:rsid w:val="00684D6A"/>
    <w:rsid w:val="00684D7B"/>
    <w:rsid w:val="00684D7F"/>
    <w:rsid w:val="00684DA3"/>
    <w:rsid w:val="00684DF9"/>
    <w:rsid w:val="00684E46"/>
    <w:rsid w:val="00684E7F"/>
    <w:rsid w:val="00684E95"/>
    <w:rsid w:val="00684E9C"/>
    <w:rsid w:val="00684EAA"/>
    <w:rsid w:val="00684EB4"/>
    <w:rsid w:val="00684EF1"/>
    <w:rsid w:val="00684F54"/>
    <w:rsid w:val="00684F87"/>
    <w:rsid w:val="00684FD7"/>
    <w:rsid w:val="00684FF1"/>
    <w:rsid w:val="0068508C"/>
    <w:rsid w:val="006850A7"/>
    <w:rsid w:val="0068512E"/>
    <w:rsid w:val="00685152"/>
    <w:rsid w:val="00685182"/>
    <w:rsid w:val="006851CF"/>
    <w:rsid w:val="00685213"/>
    <w:rsid w:val="00685221"/>
    <w:rsid w:val="00685225"/>
    <w:rsid w:val="00685239"/>
    <w:rsid w:val="00685248"/>
    <w:rsid w:val="00685344"/>
    <w:rsid w:val="00685349"/>
    <w:rsid w:val="006853D9"/>
    <w:rsid w:val="006853DD"/>
    <w:rsid w:val="0068540C"/>
    <w:rsid w:val="00685449"/>
    <w:rsid w:val="00685467"/>
    <w:rsid w:val="00685484"/>
    <w:rsid w:val="006854DB"/>
    <w:rsid w:val="0068554A"/>
    <w:rsid w:val="0068556C"/>
    <w:rsid w:val="0068557F"/>
    <w:rsid w:val="00685584"/>
    <w:rsid w:val="00685588"/>
    <w:rsid w:val="006855A9"/>
    <w:rsid w:val="006855B0"/>
    <w:rsid w:val="006855B4"/>
    <w:rsid w:val="006855F2"/>
    <w:rsid w:val="006855FC"/>
    <w:rsid w:val="00685680"/>
    <w:rsid w:val="00685681"/>
    <w:rsid w:val="0068569C"/>
    <w:rsid w:val="006856FD"/>
    <w:rsid w:val="0068570C"/>
    <w:rsid w:val="00685733"/>
    <w:rsid w:val="0068574A"/>
    <w:rsid w:val="00685756"/>
    <w:rsid w:val="0068577D"/>
    <w:rsid w:val="00685786"/>
    <w:rsid w:val="0068579A"/>
    <w:rsid w:val="006857DA"/>
    <w:rsid w:val="006857F5"/>
    <w:rsid w:val="0068586C"/>
    <w:rsid w:val="006858A3"/>
    <w:rsid w:val="006858B0"/>
    <w:rsid w:val="006858EB"/>
    <w:rsid w:val="00685901"/>
    <w:rsid w:val="00685997"/>
    <w:rsid w:val="006859C9"/>
    <w:rsid w:val="00685B2A"/>
    <w:rsid w:val="00685B30"/>
    <w:rsid w:val="00685BAD"/>
    <w:rsid w:val="00685BC7"/>
    <w:rsid w:val="00685BDA"/>
    <w:rsid w:val="00685C0F"/>
    <w:rsid w:val="00685C34"/>
    <w:rsid w:val="00685C61"/>
    <w:rsid w:val="00685CF4"/>
    <w:rsid w:val="00685D17"/>
    <w:rsid w:val="00685DA2"/>
    <w:rsid w:val="00685DFF"/>
    <w:rsid w:val="00685E0F"/>
    <w:rsid w:val="00685E49"/>
    <w:rsid w:val="00685E63"/>
    <w:rsid w:val="00685E6A"/>
    <w:rsid w:val="00685E75"/>
    <w:rsid w:val="00685E8F"/>
    <w:rsid w:val="00685EBF"/>
    <w:rsid w:val="00685EEA"/>
    <w:rsid w:val="00685EFA"/>
    <w:rsid w:val="00685F08"/>
    <w:rsid w:val="00685F17"/>
    <w:rsid w:val="00685F1F"/>
    <w:rsid w:val="00685F4B"/>
    <w:rsid w:val="00685F68"/>
    <w:rsid w:val="00685F69"/>
    <w:rsid w:val="00685F8C"/>
    <w:rsid w:val="00685FD4"/>
    <w:rsid w:val="006860F6"/>
    <w:rsid w:val="00686142"/>
    <w:rsid w:val="006861CF"/>
    <w:rsid w:val="006861DF"/>
    <w:rsid w:val="00686275"/>
    <w:rsid w:val="006862B0"/>
    <w:rsid w:val="006862D8"/>
    <w:rsid w:val="006862D9"/>
    <w:rsid w:val="00686340"/>
    <w:rsid w:val="00686362"/>
    <w:rsid w:val="00686396"/>
    <w:rsid w:val="006863AA"/>
    <w:rsid w:val="006863C3"/>
    <w:rsid w:val="006863D2"/>
    <w:rsid w:val="006863D7"/>
    <w:rsid w:val="006863E1"/>
    <w:rsid w:val="006863E2"/>
    <w:rsid w:val="006863E9"/>
    <w:rsid w:val="0068642A"/>
    <w:rsid w:val="0068645E"/>
    <w:rsid w:val="006864D5"/>
    <w:rsid w:val="006864EE"/>
    <w:rsid w:val="00686520"/>
    <w:rsid w:val="00686548"/>
    <w:rsid w:val="00686572"/>
    <w:rsid w:val="00686573"/>
    <w:rsid w:val="00686595"/>
    <w:rsid w:val="006865BC"/>
    <w:rsid w:val="006865D6"/>
    <w:rsid w:val="006865DC"/>
    <w:rsid w:val="006865E4"/>
    <w:rsid w:val="00686613"/>
    <w:rsid w:val="006866AD"/>
    <w:rsid w:val="006866C6"/>
    <w:rsid w:val="006866CD"/>
    <w:rsid w:val="00686726"/>
    <w:rsid w:val="006867A1"/>
    <w:rsid w:val="00686811"/>
    <w:rsid w:val="00686816"/>
    <w:rsid w:val="0068683B"/>
    <w:rsid w:val="0068685E"/>
    <w:rsid w:val="006868A6"/>
    <w:rsid w:val="006868FD"/>
    <w:rsid w:val="00686902"/>
    <w:rsid w:val="00686920"/>
    <w:rsid w:val="0068698F"/>
    <w:rsid w:val="00686A48"/>
    <w:rsid w:val="00686A6D"/>
    <w:rsid w:val="00686C34"/>
    <w:rsid w:val="00686C4B"/>
    <w:rsid w:val="00686C68"/>
    <w:rsid w:val="00686C78"/>
    <w:rsid w:val="00686CAD"/>
    <w:rsid w:val="00686D12"/>
    <w:rsid w:val="00686E5A"/>
    <w:rsid w:val="00686E6E"/>
    <w:rsid w:val="00686E81"/>
    <w:rsid w:val="00686ED1"/>
    <w:rsid w:val="00686EF7"/>
    <w:rsid w:val="00686F12"/>
    <w:rsid w:val="00686F69"/>
    <w:rsid w:val="00686F94"/>
    <w:rsid w:val="00686FA0"/>
    <w:rsid w:val="00686FE0"/>
    <w:rsid w:val="0068702F"/>
    <w:rsid w:val="00687042"/>
    <w:rsid w:val="0068710D"/>
    <w:rsid w:val="00687117"/>
    <w:rsid w:val="006871A9"/>
    <w:rsid w:val="0068720A"/>
    <w:rsid w:val="0068722B"/>
    <w:rsid w:val="00687252"/>
    <w:rsid w:val="0068731D"/>
    <w:rsid w:val="0068732C"/>
    <w:rsid w:val="0068735E"/>
    <w:rsid w:val="006873A7"/>
    <w:rsid w:val="0068749B"/>
    <w:rsid w:val="006874B1"/>
    <w:rsid w:val="006874B4"/>
    <w:rsid w:val="006874D6"/>
    <w:rsid w:val="006874DF"/>
    <w:rsid w:val="006874E1"/>
    <w:rsid w:val="00687567"/>
    <w:rsid w:val="0068758B"/>
    <w:rsid w:val="00687601"/>
    <w:rsid w:val="0068766F"/>
    <w:rsid w:val="00687682"/>
    <w:rsid w:val="006876AA"/>
    <w:rsid w:val="006876DC"/>
    <w:rsid w:val="00687757"/>
    <w:rsid w:val="0068777A"/>
    <w:rsid w:val="00687812"/>
    <w:rsid w:val="00687823"/>
    <w:rsid w:val="0068784B"/>
    <w:rsid w:val="0068786A"/>
    <w:rsid w:val="0068787D"/>
    <w:rsid w:val="006878AA"/>
    <w:rsid w:val="006878DA"/>
    <w:rsid w:val="006878FB"/>
    <w:rsid w:val="00687948"/>
    <w:rsid w:val="00687A13"/>
    <w:rsid w:val="00687A7B"/>
    <w:rsid w:val="00687B24"/>
    <w:rsid w:val="00687B4A"/>
    <w:rsid w:val="00687B9E"/>
    <w:rsid w:val="00687BA6"/>
    <w:rsid w:val="00687BC6"/>
    <w:rsid w:val="00687BCA"/>
    <w:rsid w:val="00687BF0"/>
    <w:rsid w:val="00687C2C"/>
    <w:rsid w:val="00687C84"/>
    <w:rsid w:val="00687CA5"/>
    <w:rsid w:val="00687CBE"/>
    <w:rsid w:val="00687D13"/>
    <w:rsid w:val="00687D5C"/>
    <w:rsid w:val="00687D78"/>
    <w:rsid w:val="00687DCE"/>
    <w:rsid w:val="00687DF2"/>
    <w:rsid w:val="00687EFB"/>
    <w:rsid w:val="00687F1E"/>
    <w:rsid w:val="00687FAD"/>
    <w:rsid w:val="006900A1"/>
    <w:rsid w:val="00690151"/>
    <w:rsid w:val="00690166"/>
    <w:rsid w:val="006901FB"/>
    <w:rsid w:val="00690209"/>
    <w:rsid w:val="00690235"/>
    <w:rsid w:val="0069026F"/>
    <w:rsid w:val="0069027C"/>
    <w:rsid w:val="0069027D"/>
    <w:rsid w:val="006902A0"/>
    <w:rsid w:val="006902A3"/>
    <w:rsid w:val="006902BC"/>
    <w:rsid w:val="00690368"/>
    <w:rsid w:val="006903E0"/>
    <w:rsid w:val="006903E5"/>
    <w:rsid w:val="006903E9"/>
    <w:rsid w:val="006903EF"/>
    <w:rsid w:val="00690419"/>
    <w:rsid w:val="0069043A"/>
    <w:rsid w:val="00690479"/>
    <w:rsid w:val="006904A0"/>
    <w:rsid w:val="006904A6"/>
    <w:rsid w:val="00690510"/>
    <w:rsid w:val="00690517"/>
    <w:rsid w:val="00690519"/>
    <w:rsid w:val="00690539"/>
    <w:rsid w:val="00690541"/>
    <w:rsid w:val="0069057D"/>
    <w:rsid w:val="0069057F"/>
    <w:rsid w:val="00690589"/>
    <w:rsid w:val="0069060D"/>
    <w:rsid w:val="00690649"/>
    <w:rsid w:val="0069068A"/>
    <w:rsid w:val="00690692"/>
    <w:rsid w:val="006906A1"/>
    <w:rsid w:val="006906A8"/>
    <w:rsid w:val="006906EC"/>
    <w:rsid w:val="006906F0"/>
    <w:rsid w:val="00690843"/>
    <w:rsid w:val="00690875"/>
    <w:rsid w:val="006908A1"/>
    <w:rsid w:val="006908B0"/>
    <w:rsid w:val="006908B9"/>
    <w:rsid w:val="006908BB"/>
    <w:rsid w:val="006908BD"/>
    <w:rsid w:val="006908E4"/>
    <w:rsid w:val="006908EB"/>
    <w:rsid w:val="006908FA"/>
    <w:rsid w:val="0069090B"/>
    <w:rsid w:val="0069096F"/>
    <w:rsid w:val="00690972"/>
    <w:rsid w:val="00690974"/>
    <w:rsid w:val="00690A1C"/>
    <w:rsid w:val="00690A75"/>
    <w:rsid w:val="00690A8F"/>
    <w:rsid w:val="00690A97"/>
    <w:rsid w:val="00690AC7"/>
    <w:rsid w:val="00690AF7"/>
    <w:rsid w:val="00690AFC"/>
    <w:rsid w:val="00690B08"/>
    <w:rsid w:val="00690B41"/>
    <w:rsid w:val="00690B59"/>
    <w:rsid w:val="00690B61"/>
    <w:rsid w:val="00690B71"/>
    <w:rsid w:val="00690BAE"/>
    <w:rsid w:val="00690BC7"/>
    <w:rsid w:val="00690C0B"/>
    <w:rsid w:val="00690C24"/>
    <w:rsid w:val="00690C33"/>
    <w:rsid w:val="00690C34"/>
    <w:rsid w:val="00690C5F"/>
    <w:rsid w:val="00690CDE"/>
    <w:rsid w:val="00690CF0"/>
    <w:rsid w:val="00690D0B"/>
    <w:rsid w:val="00690D5A"/>
    <w:rsid w:val="00690DE2"/>
    <w:rsid w:val="00690DED"/>
    <w:rsid w:val="00690E2E"/>
    <w:rsid w:val="00690E8C"/>
    <w:rsid w:val="00690ECD"/>
    <w:rsid w:val="00690ED1"/>
    <w:rsid w:val="00690ED3"/>
    <w:rsid w:val="00690EEC"/>
    <w:rsid w:val="00690F01"/>
    <w:rsid w:val="00690F3E"/>
    <w:rsid w:val="00690F43"/>
    <w:rsid w:val="00690F4D"/>
    <w:rsid w:val="00691003"/>
    <w:rsid w:val="00691020"/>
    <w:rsid w:val="00691028"/>
    <w:rsid w:val="00691041"/>
    <w:rsid w:val="0069105F"/>
    <w:rsid w:val="00691075"/>
    <w:rsid w:val="00691085"/>
    <w:rsid w:val="00691123"/>
    <w:rsid w:val="006911BB"/>
    <w:rsid w:val="00691230"/>
    <w:rsid w:val="006912CB"/>
    <w:rsid w:val="006912FC"/>
    <w:rsid w:val="00691328"/>
    <w:rsid w:val="00691335"/>
    <w:rsid w:val="00691351"/>
    <w:rsid w:val="00691386"/>
    <w:rsid w:val="00691389"/>
    <w:rsid w:val="0069143E"/>
    <w:rsid w:val="00691441"/>
    <w:rsid w:val="00691490"/>
    <w:rsid w:val="00691498"/>
    <w:rsid w:val="0069149B"/>
    <w:rsid w:val="006914B3"/>
    <w:rsid w:val="006914C8"/>
    <w:rsid w:val="006914D4"/>
    <w:rsid w:val="006914ED"/>
    <w:rsid w:val="006914F3"/>
    <w:rsid w:val="0069155B"/>
    <w:rsid w:val="00691578"/>
    <w:rsid w:val="0069159E"/>
    <w:rsid w:val="006915B0"/>
    <w:rsid w:val="006915C6"/>
    <w:rsid w:val="006915DC"/>
    <w:rsid w:val="00691607"/>
    <w:rsid w:val="00691624"/>
    <w:rsid w:val="00691648"/>
    <w:rsid w:val="0069165A"/>
    <w:rsid w:val="0069165F"/>
    <w:rsid w:val="0069168B"/>
    <w:rsid w:val="006916A5"/>
    <w:rsid w:val="006916EE"/>
    <w:rsid w:val="0069179A"/>
    <w:rsid w:val="006917CF"/>
    <w:rsid w:val="006917E4"/>
    <w:rsid w:val="006917F6"/>
    <w:rsid w:val="0069182D"/>
    <w:rsid w:val="00691887"/>
    <w:rsid w:val="00691915"/>
    <w:rsid w:val="00691965"/>
    <w:rsid w:val="0069196A"/>
    <w:rsid w:val="006919E4"/>
    <w:rsid w:val="00691A21"/>
    <w:rsid w:val="00691A8D"/>
    <w:rsid w:val="00691B60"/>
    <w:rsid w:val="00691B6E"/>
    <w:rsid w:val="00691C71"/>
    <w:rsid w:val="00691C74"/>
    <w:rsid w:val="00691CD0"/>
    <w:rsid w:val="00691CFE"/>
    <w:rsid w:val="00691D0B"/>
    <w:rsid w:val="00691D69"/>
    <w:rsid w:val="00691D7D"/>
    <w:rsid w:val="00691D95"/>
    <w:rsid w:val="00691E17"/>
    <w:rsid w:val="00691E24"/>
    <w:rsid w:val="00691E55"/>
    <w:rsid w:val="00691E83"/>
    <w:rsid w:val="00691EC3"/>
    <w:rsid w:val="00691F10"/>
    <w:rsid w:val="00691F49"/>
    <w:rsid w:val="00691F8E"/>
    <w:rsid w:val="00691FCE"/>
    <w:rsid w:val="00692021"/>
    <w:rsid w:val="006920C4"/>
    <w:rsid w:val="006920EE"/>
    <w:rsid w:val="006920F5"/>
    <w:rsid w:val="00692142"/>
    <w:rsid w:val="0069215C"/>
    <w:rsid w:val="0069216F"/>
    <w:rsid w:val="006921CF"/>
    <w:rsid w:val="006921E4"/>
    <w:rsid w:val="006921FB"/>
    <w:rsid w:val="0069221B"/>
    <w:rsid w:val="00692233"/>
    <w:rsid w:val="00692238"/>
    <w:rsid w:val="00692293"/>
    <w:rsid w:val="006922B8"/>
    <w:rsid w:val="006922E9"/>
    <w:rsid w:val="00692302"/>
    <w:rsid w:val="00692339"/>
    <w:rsid w:val="006923D1"/>
    <w:rsid w:val="006923F1"/>
    <w:rsid w:val="00692456"/>
    <w:rsid w:val="0069248E"/>
    <w:rsid w:val="0069249F"/>
    <w:rsid w:val="006924BE"/>
    <w:rsid w:val="006924CB"/>
    <w:rsid w:val="006924F8"/>
    <w:rsid w:val="0069255C"/>
    <w:rsid w:val="0069258B"/>
    <w:rsid w:val="006925B3"/>
    <w:rsid w:val="006925B5"/>
    <w:rsid w:val="006925C0"/>
    <w:rsid w:val="006925EF"/>
    <w:rsid w:val="00692621"/>
    <w:rsid w:val="0069262D"/>
    <w:rsid w:val="0069262E"/>
    <w:rsid w:val="00692665"/>
    <w:rsid w:val="00692667"/>
    <w:rsid w:val="0069266A"/>
    <w:rsid w:val="00692679"/>
    <w:rsid w:val="00692686"/>
    <w:rsid w:val="006926C9"/>
    <w:rsid w:val="006926E9"/>
    <w:rsid w:val="00692732"/>
    <w:rsid w:val="00692757"/>
    <w:rsid w:val="0069277F"/>
    <w:rsid w:val="006927C9"/>
    <w:rsid w:val="006927DC"/>
    <w:rsid w:val="00692806"/>
    <w:rsid w:val="00692810"/>
    <w:rsid w:val="00692827"/>
    <w:rsid w:val="0069283A"/>
    <w:rsid w:val="00692858"/>
    <w:rsid w:val="0069289E"/>
    <w:rsid w:val="006928C6"/>
    <w:rsid w:val="006928E7"/>
    <w:rsid w:val="00692978"/>
    <w:rsid w:val="00692987"/>
    <w:rsid w:val="00692A05"/>
    <w:rsid w:val="00692A27"/>
    <w:rsid w:val="00692A38"/>
    <w:rsid w:val="00692A62"/>
    <w:rsid w:val="00692AF5"/>
    <w:rsid w:val="00692B1F"/>
    <w:rsid w:val="00692B34"/>
    <w:rsid w:val="00692B9A"/>
    <w:rsid w:val="00692C29"/>
    <w:rsid w:val="00692C4E"/>
    <w:rsid w:val="00692C9F"/>
    <w:rsid w:val="00692CA0"/>
    <w:rsid w:val="00692CF7"/>
    <w:rsid w:val="00692D17"/>
    <w:rsid w:val="00692D4A"/>
    <w:rsid w:val="00692DB7"/>
    <w:rsid w:val="00692E57"/>
    <w:rsid w:val="00692E67"/>
    <w:rsid w:val="00692EB8"/>
    <w:rsid w:val="00692EF0"/>
    <w:rsid w:val="00692F25"/>
    <w:rsid w:val="00692F2B"/>
    <w:rsid w:val="00692F3A"/>
    <w:rsid w:val="00692F94"/>
    <w:rsid w:val="00693021"/>
    <w:rsid w:val="0069307B"/>
    <w:rsid w:val="00693090"/>
    <w:rsid w:val="00693153"/>
    <w:rsid w:val="00693160"/>
    <w:rsid w:val="00693168"/>
    <w:rsid w:val="00693187"/>
    <w:rsid w:val="00693192"/>
    <w:rsid w:val="006931A6"/>
    <w:rsid w:val="006931E7"/>
    <w:rsid w:val="006931EA"/>
    <w:rsid w:val="006931F0"/>
    <w:rsid w:val="0069321A"/>
    <w:rsid w:val="0069321F"/>
    <w:rsid w:val="00693239"/>
    <w:rsid w:val="00693246"/>
    <w:rsid w:val="00693251"/>
    <w:rsid w:val="0069326B"/>
    <w:rsid w:val="0069328E"/>
    <w:rsid w:val="00693307"/>
    <w:rsid w:val="0069330A"/>
    <w:rsid w:val="0069337A"/>
    <w:rsid w:val="00693387"/>
    <w:rsid w:val="006933F0"/>
    <w:rsid w:val="006933FF"/>
    <w:rsid w:val="00693407"/>
    <w:rsid w:val="00693430"/>
    <w:rsid w:val="0069344E"/>
    <w:rsid w:val="00693451"/>
    <w:rsid w:val="006934E1"/>
    <w:rsid w:val="0069352C"/>
    <w:rsid w:val="00693563"/>
    <w:rsid w:val="006935BB"/>
    <w:rsid w:val="00693600"/>
    <w:rsid w:val="00693677"/>
    <w:rsid w:val="00693724"/>
    <w:rsid w:val="00693768"/>
    <w:rsid w:val="0069377B"/>
    <w:rsid w:val="006937B3"/>
    <w:rsid w:val="00693874"/>
    <w:rsid w:val="006938C3"/>
    <w:rsid w:val="006938C8"/>
    <w:rsid w:val="006938CB"/>
    <w:rsid w:val="0069397B"/>
    <w:rsid w:val="00693A1A"/>
    <w:rsid w:val="00693A63"/>
    <w:rsid w:val="00693AC2"/>
    <w:rsid w:val="00693B0D"/>
    <w:rsid w:val="00693B89"/>
    <w:rsid w:val="00693B9F"/>
    <w:rsid w:val="00693BD7"/>
    <w:rsid w:val="00693BFE"/>
    <w:rsid w:val="00693C07"/>
    <w:rsid w:val="00693C75"/>
    <w:rsid w:val="00693CA1"/>
    <w:rsid w:val="00693CA7"/>
    <w:rsid w:val="00693CF9"/>
    <w:rsid w:val="00693CFA"/>
    <w:rsid w:val="00693D82"/>
    <w:rsid w:val="00693D98"/>
    <w:rsid w:val="00693DDD"/>
    <w:rsid w:val="00693E1A"/>
    <w:rsid w:val="00693E6C"/>
    <w:rsid w:val="00693E80"/>
    <w:rsid w:val="00693FE4"/>
    <w:rsid w:val="00694050"/>
    <w:rsid w:val="00694059"/>
    <w:rsid w:val="00694062"/>
    <w:rsid w:val="006940D8"/>
    <w:rsid w:val="00694102"/>
    <w:rsid w:val="00694106"/>
    <w:rsid w:val="00694128"/>
    <w:rsid w:val="0069412F"/>
    <w:rsid w:val="0069415D"/>
    <w:rsid w:val="006941C8"/>
    <w:rsid w:val="006941E7"/>
    <w:rsid w:val="006941EC"/>
    <w:rsid w:val="006941F9"/>
    <w:rsid w:val="00694241"/>
    <w:rsid w:val="00694265"/>
    <w:rsid w:val="006942D3"/>
    <w:rsid w:val="00694380"/>
    <w:rsid w:val="00694401"/>
    <w:rsid w:val="00694427"/>
    <w:rsid w:val="0069448E"/>
    <w:rsid w:val="006944F0"/>
    <w:rsid w:val="006944F3"/>
    <w:rsid w:val="0069454D"/>
    <w:rsid w:val="0069458C"/>
    <w:rsid w:val="006945C2"/>
    <w:rsid w:val="00694633"/>
    <w:rsid w:val="00694647"/>
    <w:rsid w:val="0069466C"/>
    <w:rsid w:val="006946B4"/>
    <w:rsid w:val="00694714"/>
    <w:rsid w:val="006947E2"/>
    <w:rsid w:val="006947E4"/>
    <w:rsid w:val="006947ED"/>
    <w:rsid w:val="00694848"/>
    <w:rsid w:val="00694851"/>
    <w:rsid w:val="00694876"/>
    <w:rsid w:val="00694887"/>
    <w:rsid w:val="006948A9"/>
    <w:rsid w:val="006948D2"/>
    <w:rsid w:val="006948EA"/>
    <w:rsid w:val="006948F5"/>
    <w:rsid w:val="00694907"/>
    <w:rsid w:val="006949A3"/>
    <w:rsid w:val="00694A1C"/>
    <w:rsid w:val="00694A27"/>
    <w:rsid w:val="00694A52"/>
    <w:rsid w:val="00694AA6"/>
    <w:rsid w:val="00694ABC"/>
    <w:rsid w:val="00694AC0"/>
    <w:rsid w:val="00694AD0"/>
    <w:rsid w:val="00694BAB"/>
    <w:rsid w:val="00694BD6"/>
    <w:rsid w:val="00694BDC"/>
    <w:rsid w:val="00694C16"/>
    <w:rsid w:val="00694C53"/>
    <w:rsid w:val="00694C84"/>
    <w:rsid w:val="00694C9A"/>
    <w:rsid w:val="00694CA5"/>
    <w:rsid w:val="00694CBB"/>
    <w:rsid w:val="00694CDE"/>
    <w:rsid w:val="00694D7A"/>
    <w:rsid w:val="00694DB3"/>
    <w:rsid w:val="00694E70"/>
    <w:rsid w:val="00694E89"/>
    <w:rsid w:val="00694E98"/>
    <w:rsid w:val="00694EA5"/>
    <w:rsid w:val="00694EA8"/>
    <w:rsid w:val="00694F12"/>
    <w:rsid w:val="00694F67"/>
    <w:rsid w:val="0069507F"/>
    <w:rsid w:val="00695090"/>
    <w:rsid w:val="00695091"/>
    <w:rsid w:val="006950C6"/>
    <w:rsid w:val="006950EA"/>
    <w:rsid w:val="00695156"/>
    <w:rsid w:val="0069517A"/>
    <w:rsid w:val="00695197"/>
    <w:rsid w:val="006951B9"/>
    <w:rsid w:val="006951DC"/>
    <w:rsid w:val="00695269"/>
    <w:rsid w:val="0069528E"/>
    <w:rsid w:val="00695292"/>
    <w:rsid w:val="006952FA"/>
    <w:rsid w:val="00695323"/>
    <w:rsid w:val="00695329"/>
    <w:rsid w:val="00695369"/>
    <w:rsid w:val="0069538F"/>
    <w:rsid w:val="006953A7"/>
    <w:rsid w:val="006953EC"/>
    <w:rsid w:val="00695404"/>
    <w:rsid w:val="0069543A"/>
    <w:rsid w:val="006954C7"/>
    <w:rsid w:val="006954D1"/>
    <w:rsid w:val="006954F1"/>
    <w:rsid w:val="0069554F"/>
    <w:rsid w:val="0069558D"/>
    <w:rsid w:val="00695598"/>
    <w:rsid w:val="006955C3"/>
    <w:rsid w:val="0069562E"/>
    <w:rsid w:val="00695656"/>
    <w:rsid w:val="006956B4"/>
    <w:rsid w:val="00695746"/>
    <w:rsid w:val="00695752"/>
    <w:rsid w:val="00695783"/>
    <w:rsid w:val="006957A7"/>
    <w:rsid w:val="006957EF"/>
    <w:rsid w:val="0069585A"/>
    <w:rsid w:val="0069587B"/>
    <w:rsid w:val="0069589B"/>
    <w:rsid w:val="0069589D"/>
    <w:rsid w:val="006958A5"/>
    <w:rsid w:val="006958BC"/>
    <w:rsid w:val="006958F8"/>
    <w:rsid w:val="00695913"/>
    <w:rsid w:val="00695961"/>
    <w:rsid w:val="006959CC"/>
    <w:rsid w:val="00695A02"/>
    <w:rsid w:val="00695A0A"/>
    <w:rsid w:val="00695B0C"/>
    <w:rsid w:val="00695B60"/>
    <w:rsid w:val="00695B62"/>
    <w:rsid w:val="00695B97"/>
    <w:rsid w:val="00695BB7"/>
    <w:rsid w:val="00695CA2"/>
    <w:rsid w:val="00695CAD"/>
    <w:rsid w:val="00695D49"/>
    <w:rsid w:val="00695D94"/>
    <w:rsid w:val="00695DC2"/>
    <w:rsid w:val="00695E1E"/>
    <w:rsid w:val="00695E21"/>
    <w:rsid w:val="00695E36"/>
    <w:rsid w:val="00695E3E"/>
    <w:rsid w:val="00695E58"/>
    <w:rsid w:val="00695EDD"/>
    <w:rsid w:val="00695F18"/>
    <w:rsid w:val="00695F3C"/>
    <w:rsid w:val="00695F64"/>
    <w:rsid w:val="00695F86"/>
    <w:rsid w:val="00695FC0"/>
    <w:rsid w:val="00695FD9"/>
    <w:rsid w:val="0069605A"/>
    <w:rsid w:val="006960BB"/>
    <w:rsid w:val="006960C4"/>
    <w:rsid w:val="006960EF"/>
    <w:rsid w:val="00696126"/>
    <w:rsid w:val="0069615F"/>
    <w:rsid w:val="0069617D"/>
    <w:rsid w:val="0069619B"/>
    <w:rsid w:val="006961F3"/>
    <w:rsid w:val="006962D7"/>
    <w:rsid w:val="00696387"/>
    <w:rsid w:val="00696405"/>
    <w:rsid w:val="00696433"/>
    <w:rsid w:val="00696521"/>
    <w:rsid w:val="0069652B"/>
    <w:rsid w:val="00696532"/>
    <w:rsid w:val="00696534"/>
    <w:rsid w:val="0069657E"/>
    <w:rsid w:val="00696594"/>
    <w:rsid w:val="006965A1"/>
    <w:rsid w:val="00696611"/>
    <w:rsid w:val="0069661A"/>
    <w:rsid w:val="006966EF"/>
    <w:rsid w:val="0069672A"/>
    <w:rsid w:val="00696755"/>
    <w:rsid w:val="00696763"/>
    <w:rsid w:val="00696765"/>
    <w:rsid w:val="006967A9"/>
    <w:rsid w:val="006967B5"/>
    <w:rsid w:val="00696805"/>
    <w:rsid w:val="00696866"/>
    <w:rsid w:val="00696880"/>
    <w:rsid w:val="00696886"/>
    <w:rsid w:val="006968A8"/>
    <w:rsid w:val="006968D9"/>
    <w:rsid w:val="006968DE"/>
    <w:rsid w:val="00696909"/>
    <w:rsid w:val="00696914"/>
    <w:rsid w:val="00696922"/>
    <w:rsid w:val="00696955"/>
    <w:rsid w:val="00696980"/>
    <w:rsid w:val="0069699B"/>
    <w:rsid w:val="006969C6"/>
    <w:rsid w:val="006969EF"/>
    <w:rsid w:val="00696A5F"/>
    <w:rsid w:val="00696B17"/>
    <w:rsid w:val="00696B20"/>
    <w:rsid w:val="00696BBD"/>
    <w:rsid w:val="00696BD1"/>
    <w:rsid w:val="00696BE2"/>
    <w:rsid w:val="00696C45"/>
    <w:rsid w:val="00696CD5"/>
    <w:rsid w:val="00696CE1"/>
    <w:rsid w:val="00696CE9"/>
    <w:rsid w:val="00696CF5"/>
    <w:rsid w:val="00696D14"/>
    <w:rsid w:val="00696D32"/>
    <w:rsid w:val="00696DC6"/>
    <w:rsid w:val="00696DDC"/>
    <w:rsid w:val="00696DED"/>
    <w:rsid w:val="00696E21"/>
    <w:rsid w:val="00696ED4"/>
    <w:rsid w:val="00696F17"/>
    <w:rsid w:val="00696F36"/>
    <w:rsid w:val="00696F39"/>
    <w:rsid w:val="00696F4D"/>
    <w:rsid w:val="00696F54"/>
    <w:rsid w:val="00696FBE"/>
    <w:rsid w:val="00696FFD"/>
    <w:rsid w:val="0069705D"/>
    <w:rsid w:val="0069709C"/>
    <w:rsid w:val="0069709D"/>
    <w:rsid w:val="006970C5"/>
    <w:rsid w:val="00697109"/>
    <w:rsid w:val="0069710F"/>
    <w:rsid w:val="00697130"/>
    <w:rsid w:val="00697136"/>
    <w:rsid w:val="00697151"/>
    <w:rsid w:val="00697168"/>
    <w:rsid w:val="00697197"/>
    <w:rsid w:val="0069719C"/>
    <w:rsid w:val="006971AF"/>
    <w:rsid w:val="00697230"/>
    <w:rsid w:val="0069724D"/>
    <w:rsid w:val="0069725C"/>
    <w:rsid w:val="0069729F"/>
    <w:rsid w:val="006972A7"/>
    <w:rsid w:val="006972CC"/>
    <w:rsid w:val="00697331"/>
    <w:rsid w:val="00697360"/>
    <w:rsid w:val="0069736F"/>
    <w:rsid w:val="0069741D"/>
    <w:rsid w:val="0069744E"/>
    <w:rsid w:val="00697467"/>
    <w:rsid w:val="006974A9"/>
    <w:rsid w:val="006974E6"/>
    <w:rsid w:val="00697532"/>
    <w:rsid w:val="00697561"/>
    <w:rsid w:val="006975B6"/>
    <w:rsid w:val="006975D0"/>
    <w:rsid w:val="006975DF"/>
    <w:rsid w:val="0069762A"/>
    <w:rsid w:val="00697649"/>
    <w:rsid w:val="0069766F"/>
    <w:rsid w:val="0069767C"/>
    <w:rsid w:val="006976A5"/>
    <w:rsid w:val="006976C3"/>
    <w:rsid w:val="006976D9"/>
    <w:rsid w:val="006976DD"/>
    <w:rsid w:val="0069775B"/>
    <w:rsid w:val="00697797"/>
    <w:rsid w:val="006977D3"/>
    <w:rsid w:val="006977DC"/>
    <w:rsid w:val="006977DD"/>
    <w:rsid w:val="006977FD"/>
    <w:rsid w:val="00697805"/>
    <w:rsid w:val="0069783D"/>
    <w:rsid w:val="00697865"/>
    <w:rsid w:val="006978C2"/>
    <w:rsid w:val="006978C9"/>
    <w:rsid w:val="006978CC"/>
    <w:rsid w:val="00697982"/>
    <w:rsid w:val="006979D1"/>
    <w:rsid w:val="006979EF"/>
    <w:rsid w:val="00697A15"/>
    <w:rsid w:val="00697A59"/>
    <w:rsid w:val="00697A93"/>
    <w:rsid w:val="00697AD3"/>
    <w:rsid w:val="00697B4C"/>
    <w:rsid w:val="00697B83"/>
    <w:rsid w:val="00697B8C"/>
    <w:rsid w:val="00697B8D"/>
    <w:rsid w:val="00697BDF"/>
    <w:rsid w:val="00697C20"/>
    <w:rsid w:val="00697C27"/>
    <w:rsid w:val="00697C7E"/>
    <w:rsid w:val="00697C8D"/>
    <w:rsid w:val="00697C98"/>
    <w:rsid w:val="00697CA5"/>
    <w:rsid w:val="00697CB0"/>
    <w:rsid w:val="00697CE4"/>
    <w:rsid w:val="00697D2F"/>
    <w:rsid w:val="00697DCF"/>
    <w:rsid w:val="00697E29"/>
    <w:rsid w:val="00697E51"/>
    <w:rsid w:val="00697EB0"/>
    <w:rsid w:val="00697F0F"/>
    <w:rsid w:val="00697F27"/>
    <w:rsid w:val="00697F6C"/>
    <w:rsid w:val="00697FB8"/>
    <w:rsid w:val="006A0065"/>
    <w:rsid w:val="006A0070"/>
    <w:rsid w:val="006A008E"/>
    <w:rsid w:val="006A0092"/>
    <w:rsid w:val="006A00D2"/>
    <w:rsid w:val="006A017C"/>
    <w:rsid w:val="006A0186"/>
    <w:rsid w:val="006A0194"/>
    <w:rsid w:val="006A0195"/>
    <w:rsid w:val="006A01EE"/>
    <w:rsid w:val="006A0204"/>
    <w:rsid w:val="006A0216"/>
    <w:rsid w:val="006A022D"/>
    <w:rsid w:val="006A0230"/>
    <w:rsid w:val="006A0252"/>
    <w:rsid w:val="006A027A"/>
    <w:rsid w:val="006A028C"/>
    <w:rsid w:val="006A02FD"/>
    <w:rsid w:val="006A0302"/>
    <w:rsid w:val="006A0349"/>
    <w:rsid w:val="006A036C"/>
    <w:rsid w:val="006A037B"/>
    <w:rsid w:val="006A0392"/>
    <w:rsid w:val="006A03E3"/>
    <w:rsid w:val="006A0406"/>
    <w:rsid w:val="006A0478"/>
    <w:rsid w:val="006A04C1"/>
    <w:rsid w:val="006A04DD"/>
    <w:rsid w:val="006A0512"/>
    <w:rsid w:val="006A0522"/>
    <w:rsid w:val="006A0529"/>
    <w:rsid w:val="006A0547"/>
    <w:rsid w:val="006A05A2"/>
    <w:rsid w:val="006A05F9"/>
    <w:rsid w:val="006A0609"/>
    <w:rsid w:val="006A061E"/>
    <w:rsid w:val="006A0623"/>
    <w:rsid w:val="006A0630"/>
    <w:rsid w:val="006A0640"/>
    <w:rsid w:val="006A0645"/>
    <w:rsid w:val="006A067E"/>
    <w:rsid w:val="006A0688"/>
    <w:rsid w:val="006A06A3"/>
    <w:rsid w:val="006A06C8"/>
    <w:rsid w:val="006A06CD"/>
    <w:rsid w:val="006A06DC"/>
    <w:rsid w:val="006A06E6"/>
    <w:rsid w:val="006A06F8"/>
    <w:rsid w:val="006A0730"/>
    <w:rsid w:val="006A0731"/>
    <w:rsid w:val="006A0749"/>
    <w:rsid w:val="006A0786"/>
    <w:rsid w:val="006A07A8"/>
    <w:rsid w:val="006A07BA"/>
    <w:rsid w:val="006A086D"/>
    <w:rsid w:val="006A0899"/>
    <w:rsid w:val="006A091B"/>
    <w:rsid w:val="006A094C"/>
    <w:rsid w:val="006A098D"/>
    <w:rsid w:val="006A09B5"/>
    <w:rsid w:val="006A09FA"/>
    <w:rsid w:val="006A0A27"/>
    <w:rsid w:val="006A0A57"/>
    <w:rsid w:val="006A0B0E"/>
    <w:rsid w:val="006A0B66"/>
    <w:rsid w:val="006A0BA6"/>
    <w:rsid w:val="006A0BC3"/>
    <w:rsid w:val="006A0BDA"/>
    <w:rsid w:val="006A0C88"/>
    <w:rsid w:val="006A0C8A"/>
    <w:rsid w:val="006A0CA9"/>
    <w:rsid w:val="006A0CAA"/>
    <w:rsid w:val="006A0CC5"/>
    <w:rsid w:val="006A0CC8"/>
    <w:rsid w:val="006A0DE9"/>
    <w:rsid w:val="006A0DEC"/>
    <w:rsid w:val="006A0EAD"/>
    <w:rsid w:val="006A0EBC"/>
    <w:rsid w:val="006A0EFD"/>
    <w:rsid w:val="006A0F17"/>
    <w:rsid w:val="006A0F62"/>
    <w:rsid w:val="006A0F98"/>
    <w:rsid w:val="006A0FD4"/>
    <w:rsid w:val="006A1006"/>
    <w:rsid w:val="006A103A"/>
    <w:rsid w:val="006A103C"/>
    <w:rsid w:val="006A105B"/>
    <w:rsid w:val="006A10C6"/>
    <w:rsid w:val="006A1120"/>
    <w:rsid w:val="006A116E"/>
    <w:rsid w:val="006A117C"/>
    <w:rsid w:val="006A1182"/>
    <w:rsid w:val="006A11E4"/>
    <w:rsid w:val="006A11E6"/>
    <w:rsid w:val="006A1231"/>
    <w:rsid w:val="006A1251"/>
    <w:rsid w:val="006A127C"/>
    <w:rsid w:val="006A1297"/>
    <w:rsid w:val="006A12ED"/>
    <w:rsid w:val="006A12F2"/>
    <w:rsid w:val="006A1346"/>
    <w:rsid w:val="006A1371"/>
    <w:rsid w:val="006A137E"/>
    <w:rsid w:val="006A1381"/>
    <w:rsid w:val="006A13E5"/>
    <w:rsid w:val="006A13FD"/>
    <w:rsid w:val="006A13FF"/>
    <w:rsid w:val="006A140D"/>
    <w:rsid w:val="006A1471"/>
    <w:rsid w:val="006A147F"/>
    <w:rsid w:val="006A1520"/>
    <w:rsid w:val="006A1576"/>
    <w:rsid w:val="006A157F"/>
    <w:rsid w:val="006A1633"/>
    <w:rsid w:val="006A1693"/>
    <w:rsid w:val="006A16B4"/>
    <w:rsid w:val="006A177F"/>
    <w:rsid w:val="006A1859"/>
    <w:rsid w:val="006A1860"/>
    <w:rsid w:val="006A1886"/>
    <w:rsid w:val="006A18C6"/>
    <w:rsid w:val="006A18FA"/>
    <w:rsid w:val="006A191C"/>
    <w:rsid w:val="006A1934"/>
    <w:rsid w:val="006A19E1"/>
    <w:rsid w:val="006A19EF"/>
    <w:rsid w:val="006A19F0"/>
    <w:rsid w:val="006A1A03"/>
    <w:rsid w:val="006A1A04"/>
    <w:rsid w:val="006A1A49"/>
    <w:rsid w:val="006A1A86"/>
    <w:rsid w:val="006A1A8D"/>
    <w:rsid w:val="006A1B63"/>
    <w:rsid w:val="006A1BC9"/>
    <w:rsid w:val="006A1C3B"/>
    <w:rsid w:val="006A1C79"/>
    <w:rsid w:val="006A1C86"/>
    <w:rsid w:val="006A1CCF"/>
    <w:rsid w:val="006A1CD2"/>
    <w:rsid w:val="006A1CED"/>
    <w:rsid w:val="006A1D19"/>
    <w:rsid w:val="006A1D41"/>
    <w:rsid w:val="006A1D4B"/>
    <w:rsid w:val="006A1DC9"/>
    <w:rsid w:val="006A1DFF"/>
    <w:rsid w:val="006A1E4B"/>
    <w:rsid w:val="006A1E5A"/>
    <w:rsid w:val="006A1E71"/>
    <w:rsid w:val="006A1E90"/>
    <w:rsid w:val="006A1ECF"/>
    <w:rsid w:val="006A1F36"/>
    <w:rsid w:val="006A1F59"/>
    <w:rsid w:val="006A1F60"/>
    <w:rsid w:val="006A203F"/>
    <w:rsid w:val="006A210C"/>
    <w:rsid w:val="006A2114"/>
    <w:rsid w:val="006A2133"/>
    <w:rsid w:val="006A2188"/>
    <w:rsid w:val="006A218C"/>
    <w:rsid w:val="006A21C8"/>
    <w:rsid w:val="006A21E5"/>
    <w:rsid w:val="006A220D"/>
    <w:rsid w:val="006A2217"/>
    <w:rsid w:val="006A225F"/>
    <w:rsid w:val="006A22E1"/>
    <w:rsid w:val="006A232C"/>
    <w:rsid w:val="006A232E"/>
    <w:rsid w:val="006A235E"/>
    <w:rsid w:val="006A2366"/>
    <w:rsid w:val="006A2380"/>
    <w:rsid w:val="006A2420"/>
    <w:rsid w:val="006A2428"/>
    <w:rsid w:val="006A24C6"/>
    <w:rsid w:val="006A257D"/>
    <w:rsid w:val="006A2633"/>
    <w:rsid w:val="006A2659"/>
    <w:rsid w:val="006A270D"/>
    <w:rsid w:val="006A276F"/>
    <w:rsid w:val="006A2811"/>
    <w:rsid w:val="006A282F"/>
    <w:rsid w:val="006A2850"/>
    <w:rsid w:val="006A28FD"/>
    <w:rsid w:val="006A2934"/>
    <w:rsid w:val="006A298F"/>
    <w:rsid w:val="006A29B2"/>
    <w:rsid w:val="006A29D7"/>
    <w:rsid w:val="006A29FE"/>
    <w:rsid w:val="006A2A36"/>
    <w:rsid w:val="006A2A3A"/>
    <w:rsid w:val="006A2A88"/>
    <w:rsid w:val="006A2AFF"/>
    <w:rsid w:val="006A2B40"/>
    <w:rsid w:val="006A2B53"/>
    <w:rsid w:val="006A2B7D"/>
    <w:rsid w:val="006A2BAF"/>
    <w:rsid w:val="006A2BD8"/>
    <w:rsid w:val="006A2C22"/>
    <w:rsid w:val="006A2C81"/>
    <w:rsid w:val="006A2C95"/>
    <w:rsid w:val="006A2CD2"/>
    <w:rsid w:val="006A2CDC"/>
    <w:rsid w:val="006A2CF3"/>
    <w:rsid w:val="006A2D36"/>
    <w:rsid w:val="006A2D4B"/>
    <w:rsid w:val="006A2D6B"/>
    <w:rsid w:val="006A2DD7"/>
    <w:rsid w:val="006A2E55"/>
    <w:rsid w:val="006A2E94"/>
    <w:rsid w:val="006A2EA0"/>
    <w:rsid w:val="006A2EB5"/>
    <w:rsid w:val="006A2EB8"/>
    <w:rsid w:val="006A2EE0"/>
    <w:rsid w:val="006A2F65"/>
    <w:rsid w:val="006A300F"/>
    <w:rsid w:val="006A301C"/>
    <w:rsid w:val="006A3027"/>
    <w:rsid w:val="006A3076"/>
    <w:rsid w:val="006A307E"/>
    <w:rsid w:val="006A3095"/>
    <w:rsid w:val="006A30B9"/>
    <w:rsid w:val="006A30CE"/>
    <w:rsid w:val="006A317C"/>
    <w:rsid w:val="006A319A"/>
    <w:rsid w:val="006A3243"/>
    <w:rsid w:val="006A332F"/>
    <w:rsid w:val="006A3345"/>
    <w:rsid w:val="006A337D"/>
    <w:rsid w:val="006A33C4"/>
    <w:rsid w:val="006A3457"/>
    <w:rsid w:val="006A3458"/>
    <w:rsid w:val="006A34C3"/>
    <w:rsid w:val="006A34CE"/>
    <w:rsid w:val="006A34DA"/>
    <w:rsid w:val="006A34DC"/>
    <w:rsid w:val="006A34EF"/>
    <w:rsid w:val="006A3556"/>
    <w:rsid w:val="006A359D"/>
    <w:rsid w:val="006A3730"/>
    <w:rsid w:val="006A382E"/>
    <w:rsid w:val="006A3870"/>
    <w:rsid w:val="006A3A1C"/>
    <w:rsid w:val="006A3A67"/>
    <w:rsid w:val="006A3AC4"/>
    <w:rsid w:val="006A3AC8"/>
    <w:rsid w:val="006A3ACD"/>
    <w:rsid w:val="006A3AF4"/>
    <w:rsid w:val="006A3B53"/>
    <w:rsid w:val="006A3B6D"/>
    <w:rsid w:val="006A3B7E"/>
    <w:rsid w:val="006A3B91"/>
    <w:rsid w:val="006A3B95"/>
    <w:rsid w:val="006A3C12"/>
    <w:rsid w:val="006A3C60"/>
    <w:rsid w:val="006A3C7F"/>
    <w:rsid w:val="006A3CD2"/>
    <w:rsid w:val="006A3CF6"/>
    <w:rsid w:val="006A3D06"/>
    <w:rsid w:val="006A3D0A"/>
    <w:rsid w:val="006A3D76"/>
    <w:rsid w:val="006A3D7B"/>
    <w:rsid w:val="006A3DA4"/>
    <w:rsid w:val="006A3DF5"/>
    <w:rsid w:val="006A3E01"/>
    <w:rsid w:val="006A3E15"/>
    <w:rsid w:val="006A3E2D"/>
    <w:rsid w:val="006A3E9D"/>
    <w:rsid w:val="006A3ED8"/>
    <w:rsid w:val="006A3F30"/>
    <w:rsid w:val="006A3FE7"/>
    <w:rsid w:val="006A4022"/>
    <w:rsid w:val="006A40BF"/>
    <w:rsid w:val="006A40D2"/>
    <w:rsid w:val="006A411C"/>
    <w:rsid w:val="006A415E"/>
    <w:rsid w:val="006A418D"/>
    <w:rsid w:val="006A41DD"/>
    <w:rsid w:val="006A41E6"/>
    <w:rsid w:val="006A424B"/>
    <w:rsid w:val="006A428A"/>
    <w:rsid w:val="006A42BD"/>
    <w:rsid w:val="006A42BE"/>
    <w:rsid w:val="006A4328"/>
    <w:rsid w:val="006A435C"/>
    <w:rsid w:val="006A4361"/>
    <w:rsid w:val="006A43AE"/>
    <w:rsid w:val="006A43C8"/>
    <w:rsid w:val="006A4411"/>
    <w:rsid w:val="006A44EE"/>
    <w:rsid w:val="006A4507"/>
    <w:rsid w:val="006A45BC"/>
    <w:rsid w:val="006A45C4"/>
    <w:rsid w:val="006A46C0"/>
    <w:rsid w:val="006A477B"/>
    <w:rsid w:val="006A4786"/>
    <w:rsid w:val="006A478E"/>
    <w:rsid w:val="006A47EE"/>
    <w:rsid w:val="006A47F5"/>
    <w:rsid w:val="006A4888"/>
    <w:rsid w:val="006A488D"/>
    <w:rsid w:val="006A48F1"/>
    <w:rsid w:val="006A497B"/>
    <w:rsid w:val="006A499B"/>
    <w:rsid w:val="006A49C6"/>
    <w:rsid w:val="006A4A40"/>
    <w:rsid w:val="006A4AB7"/>
    <w:rsid w:val="006A4AF8"/>
    <w:rsid w:val="006A4B1C"/>
    <w:rsid w:val="006A4B37"/>
    <w:rsid w:val="006A4B4F"/>
    <w:rsid w:val="006A4B81"/>
    <w:rsid w:val="006A4BA2"/>
    <w:rsid w:val="006A4BE3"/>
    <w:rsid w:val="006A4C51"/>
    <w:rsid w:val="006A4C96"/>
    <w:rsid w:val="006A4CA2"/>
    <w:rsid w:val="006A4CCA"/>
    <w:rsid w:val="006A4CE6"/>
    <w:rsid w:val="006A4CEE"/>
    <w:rsid w:val="006A4D2B"/>
    <w:rsid w:val="006A4D3C"/>
    <w:rsid w:val="006A4D54"/>
    <w:rsid w:val="006A4D5A"/>
    <w:rsid w:val="006A4D78"/>
    <w:rsid w:val="006A4D7C"/>
    <w:rsid w:val="006A4D9D"/>
    <w:rsid w:val="006A4DC3"/>
    <w:rsid w:val="006A4DF5"/>
    <w:rsid w:val="006A4E40"/>
    <w:rsid w:val="006A4E8D"/>
    <w:rsid w:val="006A4E94"/>
    <w:rsid w:val="006A4ED4"/>
    <w:rsid w:val="006A4EDF"/>
    <w:rsid w:val="006A4EE5"/>
    <w:rsid w:val="006A4F3D"/>
    <w:rsid w:val="006A4F5F"/>
    <w:rsid w:val="006A4F94"/>
    <w:rsid w:val="006A4FDE"/>
    <w:rsid w:val="006A4FFA"/>
    <w:rsid w:val="006A5007"/>
    <w:rsid w:val="006A503E"/>
    <w:rsid w:val="006A504E"/>
    <w:rsid w:val="006A50D0"/>
    <w:rsid w:val="006A5102"/>
    <w:rsid w:val="006A5107"/>
    <w:rsid w:val="006A5165"/>
    <w:rsid w:val="006A51A7"/>
    <w:rsid w:val="006A51D5"/>
    <w:rsid w:val="006A52AF"/>
    <w:rsid w:val="006A52EE"/>
    <w:rsid w:val="006A5306"/>
    <w:rsid w:val="006A5322"/>
    <w:rsid w:val="006A5401"/>
    <w:rsid w:val="006A5409"/>
    <w:rsid w:val="006A544F"/>
    <w:rsid w:val="006A5451"/>
    <w:rsid w:val="006A547E"/>
    <w:rsid w:val="006A54F2"/>
    <w:rsid w:val="006A55B1"/>
    <w:rsid w:val="006A55F8"/>
    <w:rsid w:val="006A560A"/>
    <w:rsid w:val="006A5623"/>
    <w:rsid w:val="006A564D"/>
    <w:rsid w:val="006A573B"/>
    <w:rsid w:val="006A57B0"/>
    <w:rsid w:val="006A581A"/>
    <w:rsid w:val="006A581C"/>
    <w:rsid w:val="006A5857"/>
    <w:rsid w:val="006A5880"/>
    <w:rsid w:val="006A58A9"/>
    <w:rsid w:val="006A58B5"/>
    <w:rsid w:val="006A58B6"/>
    <w:rsid w:val="006A58C9"/>
    <w:rsid w:val="006A58FD"/>
    <w:rsid w:val="006A592A"/>
    <w:rsid w:val="006A59B5"/>
    <w:rsid w:val="006A5A0D"/>
    <w:rsid w:val="006A5A35"/>
    <w:rsid w:val="006A5A99"/>
    <w:rsid w:val="006A5AA3"/>
    <w:rsid w:val="006A5ADF"/>
    <w:rsid w:val="006A5B0E"/>
    <w:rsid w:val="006A5B1E"/>
    <w:rsid w:val="006A5B40"/>
    <w:rsid w:val="006A5B45"/>
    <w:rsid w:val="006A5B4D"/>
    <w:rsid w:val="006A5B7F"/>
    <w:rsid w:val="006A5BD5"/>
    <w:rsid w:val="006A5BDB"/>
    <w:rsid w:val="006A5BEE"/>
    <w:rsid w:val="006A5BFD"/>
    <w:rsid w:val="006A5C07"/>
    <w:rsid w:val="006A5C27"/>
    <w:rsid w:val="006A5C69"/>
    <w:rsid w:val="006A5C93"/>
    <w:rsid w:val="006A5CBE"/>
    <w:rsid w:val="006A5CDB"/>
    <w:rsid w:val="006A5CDE"/>
    <w:rsid w:val="006A5D15"/>
    <w:rsid w:val="006A5D36"/>
    <w:rsid w:val="006A5DA0"/>
    <w:rsid w:val="006A5DAF"/>
    <w:rsid w:val="006A5DEE"/>
    <w:rsid w:val="006A5E63"/>
    <w:rsid w:val="006A5E72"/>
    <w:rsid w:val="006A5F35"/>
    <w:rsid w:val="006A5F87"/>
    <w:rsid w:val="006A5FA3"/>
    <w:rsid w:val="006A5FA5"/>
    <w:rsid w:val="006A5FFC"/>
    <w:rsid w:val="006A6022"/>
    <w:rsid w:val="006A6042"/>
    <w:rsid w:val="006A607B"/>
    <w:rsid w:val="006A609A"/>
    <w:rsid w:val="006A60E2"/>
    <w:rsid w:val="006A6126"/>
    <w:rsid w:val="006A615B"/>
    <w:rsid w:val="006A61E4"/>
    <w:rsid w:val="006A620C"/>
    <w:rsid w:val="006A621A"/>
    <w:rsid w:val="006A62DE"/>
    <w:rsid w:val="006A62F7"/>
    <w:rsid w:val="006A6314"/>
    <w:rsid w:val="006A6335"/>
    <w:rsid w:val="006A635F"/>
    <w:rsid w:val="006A63A5"/>
    <w:rsid w:val="006A63BA"/>
    <w:rsid w:val="006A640E"/>
    <w:rsid w:val="006A645D"/>
    <w:rsid w:val="006A6488"/>
    <w:rsid w:val="006A64D2"/>
    <w:rsid w:val="006A654B"/>
    <w:rsid w:val="006A6576"/>
    <w:rsid w:val="006A657A"/>
    <w:rsid w:val="006A65CC"/>
    <w:rsid w:val="006A65F9"/>
    <w:rsid w:val="006A661B"/>
    <w:rsid w:val="006A6627"/>
    <w:rsid w:val="006A6638"/>
    <w:rsid w:val="006A6667"/>
    <w:rsid w:val="006A6690"/>
    <w:rsid w:val="006A66D7"/>
    <w:rsid w:val="006A66E5"/>
    <w:rsid w:val="006A685E"/>
    <w:rsid w:val="006A6888"/>
    <w:rsid w:val="006A68AC"/>
    <w:rsid w:val="006A68B1"/>
    <w:rsid w:val="006A69BB"/>
    <w:rsid w:val="006A69D1"/>
    <w:rsid w:val="006A6A2B"/>
    <w:rsid w:val="006A6A79"/>
    <w:rsid w:val="006A6B99"/>
    <w:rsid w:val="006A6C16"/>
    <w:rsid w:val="006A6C36"/>
    <w:rsid w:val="006A6CA6"/>
    <w:rsid w:val="006A6CBB"/>
    <w:rsid w:val="006A6D12"/>
    <w:rsid w:val="006A6D15"/>
    <w:rsid w:val="006A6D2E"/>
    <w:rsid w:val="006A6D36"/>
    <w:rsid w:val="006A6D7D"/>
    <w:rsid w:val="006A6D8C"/>
    <w:rsid w:val="006A6DA1"/>
    <w:rsid w:val="006A6DAC"/>
    <w:rsid w:val="006A6E3C"/>
    <w:rsid w:val="006A6E5A"/>
    <w:rsid w:val="006A6E5E"/>
    <w:rsid w:val="006A6E93"/>
    <w:rsid w:val="006A6EEB"/>
    <w:rsid w:val="006A6F3D"/>
    <w:rsid w:val="006A6F96"/>
    <w:rsid w:val="006A6F9A"/>
    <w:rsid w:val="006A6FA0"/>
    <w:rsid w:val="006A6FAC"/>
    <w:rsid w:val="006A6FFC"/>
    <w:rsid w:val="006A7065"/>
    <w:rsid w:val="006A70A2"/>
    <w:rsid w:val="006A7115"/>
    <w:rsid w:val="006A7158"/>
    <w:rsid w:val="006A718C"/>
    <w:rsid w:val="006A719D"/>
    <w:rsid w:val="006A71B0"/>
    <w:rsid w:val="006A71BB"/>
    <w:rsid w:val="006A71C6"/>
    <w:rsid w:val="006A71DD"/>
    <w:rsid w:val="006A71DE"/>
    <w:rsid w:val="006A723D"/>
    <w:rsid w:val="006A728C"/>
    <w:rsid w:val="006A72ED"/>
    <w:rsid w:val="006A72FB"/>
    <w:rsid w:val="006A7300"/>
    <w:rsid w:val="006A73D4"/>
    <w:rsid w:val="006A7407"/>
    <w:rsid w:val="006A74B7"/>
    <w:rsid w:val="006A74CF"/>
    <w:rsid w:val="006A74E2"/>
    <w:rsid w:val="006A74E4"/>
    <w:rsid w:val="006A74EF"/>
    <w:rsid w:val="006A75F1"/>
    <w:rsid w:val="006A7618"/>
    <w:rsid w:val="006A7659"/>
    <w:rsid w:val="006A7731"/>
    <w:rsid w:val="006A773E"/>
    <w:rsid w:val="006A773F"/>
    <w:rsid w:val="006A7778"/>
    <w:rsid w:val="006A77E3"/>
    <w:rsid w:val="006A7802"/>
    <w:rsid w:val="006A7830"/>
    <w:rsid w:val="006A7845"/>
    <w:rsid w:val="006A7880"/>
    <w:rsid w:val="006A78EA"/>
    <w:rsid w:val="006A78FF"/>
    <w:rsid w:val="006A793D"/>
    <w:rsid w:val="006A79A6"/>
    <w:rsid w:val="006A79DF"/>
    <w:rsid w:val="006A79EE"/>
    <w:rsid w:val="006A79FF"/>
    <w:rsid w:val="006A7B0E"/>
    <w:rsid w:val="006A7B9D"/>
    <w:rsid w:val="006A7BC2"/>
    <w:rsid w:val="006A7BD1"/>
    <w:rsid w:val="006A7BD8"/>
    <w:rsid w:val="006A7C24"/>
    <w:rsid w:val="006A7C58"/>
    <w:rsid w:val="006A7C67"/>
    <w:rsid w:val="006A7CA1"/>
    <w:rsid w:val="006A7CDB"/>
    <w:rsid w:val="006A7CF5"/>
    <w:rsid w:val="006A7CFC"/>
    <w:rsid w:val="006A7CFF"/>
    <w:rsid w:val="006A7D01"/>
    <w:rsid w:val="006A7D10"/>
    <w:rsid w:val="006A7D8A"/>
    <w:rsid w:val="006A7DA6"/>
    <w:rsid w:val="006A7DB5"/>
    <w:rsid w:val="006A7DBA"/>
    <w:rsid w:val="006A7DFF"/>
    <w:rsid w:val="006A7E42"/>
    <w:rsid w:val="006A7E4B"/>
    <w:rsid w:val="006A7E87"/>
    <w:rsid w:val="006A7EA5"/>
    <w:rsid w:val="006A7ECA"/>
    <w:rsid w:val="006A7F10"/>
    <w:rsid w:val="006A7F25"/>
    <w:rsid w:val="006A7F37"/>
    <w:rsid w:val="006A7F7D"/>
    <w:rsid w:val="006A7F90"/>
    <w:rsid w:val="006A7FFD"/>
    <w:rsid w:val="006B004C"/>
    <w:rsid w:val="006B0051"/>
    <w:rsid w:val="006B00AD"/>
    <w:rsid w:val="006B0122"/>
    <w:rsid w:val="006B0126"/>
    <w:rsid w:val="006B015E"/>
    <w:rsid w:val="006B01F9"/>
    <w:rsid w:val="006B021B"/>
    <w:rsid w:val="006B024D"/>
    <w:rsid w:val="006B026F"/>
    <w:rsid w:val="006B02AA"/>
    <w:rsid w:val="006B0350"/>
    <w:rsid w:val="006B035A"/>
    <w:rsid w:val="006B036C"/>
    <w:rsid w:val="006B03A3"/>
    <w:rsid w:val="006B03A9"/>
    <w:rsid w:val="006B03DA"/>
    <w:rsid w:val="006B0429"/>
    <w:rsid w:val="006B044C"/>
    <w:rsid w:val="006B048C"/>
    <w:rsid w:val="006B04A2"/>
    <w:rsid w:val="006B04A6"/>
    <w:rsid w:val="006B04A9"/>
    <w:rsid w:val="006B04B7"/>
    <w:rsid w:val="006B04C3"/>
    <w:rsid w:val="006B04C4"/>
    <w:rsid w:val="006B04DA"/>
    <w:rsid w:val="006B04F1"/>
    <w:rsid w:val="006B0538"/>
    <w:rsid w:val="006B05EC"/>
    <w:rsid w:val="006B05F9"/>
    <w:rsid w:val="006B0670"/>
    <w:rsid w:val="006B067C"/>
    <w:rsid w:val="006B06CB"/>
    <w:rsid w:val="006B06DF"/>
    <w:rsid w:val="006B0713"/>
    <w:rsid w:val="006B071E"/>
    <w:rsid w:val="006B077B"/>
    <w:rsid w:val="006B07D7"/>
    <w:rsid w:val="006B087C"/>
    <w:rsid w:val="006B0895"/>
    <w:rsid w:val="006B08B8"/>
    <w:rsid w:val="006B08EE"/>
    <w:rsid w:val="006B0904"/>
    <w:rsid w:val="006B0977"/>
    <w:rsid w:val="006B09B5"/>
    <w:rsid w:val="006B0A0C"/>
    <w:rsid w:val="006B0A1B"/>
    <w:rsid w:val="006B0A22"/>
    <w:rsid w:val="006B0A70"/>
    <w:rsid w:val="006B0A9F"/>
    <w:rsid w:val="006B0AAD"/>
    <w:rsid w:val="006B0AC2"/>
    <w:rsid w:val="006B0B23"/>
    <w:rsid w:val="006B0B86"/>
    <w:rsid w:val="006B0B9A"/>
    <w:rsid w:val="006B0BA5"/>
    <w:rsid w:val="006B0BEF"/>
    <w:rsid w:val="006B0CA8"/>
    <w:rsid w:val="006B0CCD"/>
    <w:rsid w:val="006B0CE8"/>
    <w:rsid w:val="006B0CF8"/>
    <w:rsid w:val="006B0CFB"/>
    <w:rsid w:val="006B0D1E"/>
    <w:rsid w:val="006B0D22"/>
    <w:rsid w:val="006B0DCE"/>
    <w:rsid w:val="006B0E15"/>
    <w:rsid w:val="006B0E19"/>
    <w:rsid w:val="006B0E4B"/>
    <w:rsid w:val="006B0E6A"/>
    <w:rsid w:val="006B0E91"/>
    <w:rsid w:val="006B0EA1"/>
    <w:rsid w:val="006B0EC4"/>
    <w:rsid w:val="006B0EE1"/>
    <w:rsid w:val="006B0EF6"/>
    <w:rsid w:val="006B0F16"/>
    <w:rsid w:val="006B0F1E"/>
    <w:rsid w:val="006B0F24"/>
    <w:rsid w:val="006B0F25"/>
    <w:rsid w:val="006B0F84"/>
    <w:rsid w:val="006B0FD0"/>
    <w:rsid w:val="006B0FDB"/>
    <w:rsid w:val="006B1032"/>
    <w:rsid w:val="006B1056"/>
    <w:rsid w:val="006B1059"/>
    <w:rsid w:val="006B1063"/>
    <w:rsid w:val="006B10AC"/>
    <w:rsid w:val="006B10CC"/>
    <w:rsid w:val="006B1148"/>
    <w:rsid w:val="006B1185"/>
    <w:rsid w:val="006B11CA"/>
    <w:rsid w:val="006B11DB"/>
    <w:rsid w:val="006B121C"/>
    <w:rsid w:val="006B128C"/>
    <w:rsid w:val="006B12C9"/>
    <w:rsid w:val="006B12D6"/>
    <w:rsid w:val="006B131C"/>
    <w:rsid w:val="006B133C"/>
    <w:rsid w:val="006B1353"/>
    <w:rsid w:val="006B139F"/>
    <w:rsid w:val="006B13B9"/>
    <w:rsid w:val="006B13DD"/>
    <w:rsid w:val="006B13ED"/>
    <w:rsid w:val="006B13F9"/>
    <w:rsid w:val="006B1401"/>
    <w:rsid w:val="006B144A"/>
    <w:rsid w:val="006B144E"/>
    <w:rsid w:val="006B1454"/>
    <w:rsid w:val="006B14B1"/>
    <w:rsid w:val="006B14E6"/>
    <w:rsid w:val="006B14EE"/>
    <w:rsid w:val="006B1524"/>
    <w:rsid w:val="006B1553"/>
    <w:rsid w:val="006B164B"/>
    <w:rsid w:val="006B1679"/>
    <w:rsid w:val="006B167C"/>
    <w:rsid w:val="006B170D"/>
    <w:rsid w:val="006B1753"/>
    <w:rsid w:val="006B17B1"/>
    <w:rsid w:val="006B17D9"/>
    <w:rsid w:val="006B17E1"/>
    <w:rsid w:val="006B17EC"/>
    <w:rsid w:val="006B1810"/>
    <w:rsid w:val="006B1816"/>
    <w:rsid w:val="006B183A"/>
    <w:rsid w:val="006B1879"/>
    <w:rsid w:val="006B1898"/>
    <w:rsid w:val="006B18CB"/>
    <w:rsid w:val="006B1917"/>
    <w:rsid w:val="006B1948"/>
    <w:rsid w:val="006B198B"/>
    <w:rsid w:val="006B19A1"/>
    <w:rsid w:val="006B19B1"/>
    <w:rsid w:val="006B19FE"/>
    <w:rsid w:val="006B1A59"/>
    <w:rsid w:val="006B1A74"/>
    <w:rsid w:val="006B1B0D"/>
    <w:rsid w:val="006B1B15"/>
    <w:rsid w:val="006B1B38"/>
    <w:rsid w:val="006B1B6F"/>
    <w:rsid w:val="006B1BC3"/>
    <w:rsid w:val="006B1CDE"/>
    <w:rsid w:val="006B1CE1"/>
    <w:rsid w:val="006B1CFD"/>
    <w:rsid w:val="006B1D57"/>
    <w:rsid w:val="006B1D5B"/>
    <w:rsid w:val="006B1D66"/>
    <w:rsid w:val="006B1D8E"/>
    <w:rsid w:val="006B1D9D"/>
    <w:rsid w:val="006B1E0B"/>
    <w:rsid w:val="006B1E37"/>
    <w:rsid w:val="006B1EA9"/>
    <w:rsid w:val="006B1EF9"/>
    <w:rsid w:val="006B206C"/>
    <w:rsid w:val="006B20C8"/>
    <w:rsid w:val="006B211C"/>
    <w:rsid w:val="006B2139"/>
    <w:rsid w:val="006B2267"/>
    <w:rsid w:val="006B2271"/>
    <w:rsid w:val="006B229C"/>
    <w:rsid w:val="006B22AE"/>
    <w:rsid w:val="006B22FA"/>
    <w:rsid w:val="006B23AE"/>
    <w:rsid w:val="006B23B7"/>
    <w:rsid w:val="006B23EF"/>
    <w:rsid w:val="006B2475"/>
    <w:rsid w:val="006B24B3"/>
    <w:rsid w:val="006B24E5"/>
    <w:rsid w:val="006B2527"/>
    <w:rsid w:val="006B25AB"/>
    <w:rsid w:val="006B25AC"/>
    <w:rsid w:val="006B25D7"/>
    <w:rsid w:val="006B25F8"/>
    <w:rsid w:val="006B2635"/>
    <w:rsid w:val="006B264D"/>
    <w:rsid w:val="006B266C"/>
    <w:rsid w:val="006B270D"/>
    <w:rsid w:val="006B2744"/>
    <w:rsid w:val="006B2794"/>
    <w:rsid w:val="006B2795"/>
    <w:rsid w:val="006B27B4"/>
    <w:rsid w:val="006B27D9"/>
    <w:rsid w:val="006B27DB"/>
    <w:rsid w:val="006B27E2"/>
    <w:rsid w:val="006B27F3"/>
    <w:rsid w:val="006B27F7"/>
    <w:rsid w:val="006B2807"/>
    <w:rsid w:val="006B2836"/>
    <w:rsid w:val="006B283D"/>
    <w:rsid w:val="006B2858"/>
    <w:rsid w:val="006B28CF"/>
    <w:rsid w:val="006B28D0"/>
    <w:rsid w:val="006B28D6"/>
    <w:rsid w:val="006B2906"/>
    <w:rsid w:val="006B2919"/>
    <w:rsid w:val="006B297F"/>
    <w:rsid w:val="006B2995"/>
    <w:rsid w:val="006B29A8"/>
    <w:rsid w:val="006B29C3"/>
    <w:rsid w:val="006B2A66"/>
    <w:rsid w:val="006B2AB0"/>
    <w:rsid w:val="006B2ABB"/>
    <w:rsid w:val="006B2AE1"/>
    <w:rsid w:val="006B2AF3"/>
    <w:rsid w:val="006B2B68"/>
    <w:rsid w:val="006B2B77"/>
    <w:rsid w:val="006B2B92"/>
    <w:rsid w:val="006B2BEF"/>
    <w:rsid w:val="006B2C26"/>
    <w:rsid w:val="006B2CB7"/>
    <w:rsid w:val="006B2CFD"/>
    <w:rsid w:val="006B2D12"/>
    <w:rsid w:val="006B2D6A"/>
    <w:rsid w:val="006B2D70"/>
    <w:rsid w:val="006B2D93"/>
    <w:rsid w:val="006B2DAD"/>
    <w:rsid w:val="006B2DFF"/>
    <w:rsid w:val="006B2E0D"/>
    <w:rsid w:val="006B2E98"/>
    <w:rsid w:val="006B2EB4"/>
    <w:rsid w:val="006B2EF6"/>
    <w:rsid w:val="006B2F32"/>
    <w:rsid w:val="006B2F78"/>
    <w:rsid w:val="006B2F87"/>
    <w:rsid w:val="006B2F93"/>
    <w:rsid w:val="006B2F95"/>
    <w:rsid w:val="006B2FA3"/>
    <w:rsid w:val="006B2FEA"/>
    <w:rsid w:val="006B3020"/>
    <w:rsid w:val="006B303A"/>
    <w:rsid w:val="006B3065"/>
    <w:rsid w:val="006B3092"/>
    <w:rsid w:val="006B30BC"/>
    <w:rsid w:val="006B30EA"/>
    <w:rsid w:val="006B312D"/>
    <w:rsid w:val="006B3146"/>
    <w:rsid w:val="006B31A9"/>
    <w:rsid w:val="006B31B7"/>
    <w:rsid w:val="006B320A"/>
    <w:rsid w:val="006B3221"/>
    <w:rsid w:val="006B3260"/>
    <w:rsid w:val="006B32C7"/>
    <w:rsid w:val="006B333E"/>
    <w:rsid w:val="006B3365"/>
    <w:rsid w:val="006B3373"/>
    <w:rsid w:val="006B3382"/>
    <w:rsid w:val="006B33F0"/>
    <w:rsid w:val="006B33F2"/>
    <w:rsid w:val="006B33F3"/>
    <w:rsid w:val="006B33F5"/>
    <w:rsid w:val="006B340D"/>
    <w:rsid w:val="006B340F"/>
    <w:rsid w:val="006B3437"/>
    <w:rsid w:val="006B343B"/>
    <w:rsid w:val="006B3469"/>
    <w:rsid w:val="006B346D"/>
    <w:rsid w:val="006B3490"/>
    <w:rsid w:val="006B34AA"/>
    <w:rsid w:val="006B34DB"/>
    <w:rsid w:val="006B34EB"/>
    <w:rsid w:val="006B34FC"/>
    <w:rsid w:val="006B3523"/>
    <w:rsid w:val="006B3529"/>
    <w:rsid w:val="006B35A7"/>
    <w:rsid w:val="006B35D4"/>
    <w:rsid w:val="006B35F3"/>
    <w:rsid w:val="006B3623"/>
    <w:rsid w:val="006B3630"/>
    <w:rsid w:val="006B36BF"/>
    <w:rsid w:val="006B3731"/>
    <w:rsid w:val="006B3743"/>
    <w:rsid w:val="006B3753"/>
    <w:rsid w:val="006B3774"/>
    <w:rsid w:val="006B37FE"/>
    <w:rsid w:val="006B383F"/>
    <w:rsid w:val="006B3841"/>
    <w:rsid w:val="006B3853"/>
    <w:rsid w:val="006B387D"/>
    <w:rsid w:val="006B38C4"/>
    <w:rsid w:val="006B38C6"/>
    <w:rsid w:val="006B38D4"/>
    <w:rsid w:val="006B38EF"/>
    <w:rsid w:val="006B38F6"/>
    <w:rsid w:val="006B3903"/>
    <w:rsid w:val="006B3960"/>
    <w:rsid w:val="006B3A2A"/>
    <w:rsid w:val="006B3A34"/>
    <w:rsid w:val="006B3A5E"/>
    <w:rsid w:val="006B3A66"/>
    <w:rsid w:val="006B3A7D"/>
    <w:rsid w:val="006B3AAF"/>
    <w:rsid w:val="006B3AE2"/>
    <w:rsid w:val="006B3B40"/>
    <w:rsid w:val="006B3B50"/>
    <w:rsid w:val="006B3B54"/>
    <w:rsid w:val="006B3B6C"/>
    <w:rsid w:val="006B3BD0"/>
    <w:rsid w:val="006B3C21"/>
    <w:rsid w:val="006B3C3D"/>
    <w:rsid w:val="006B3C5A"/>
    <w:rsid w:val="006B3CDA"/>
    <w:rsid w:val="006B3E05"/>
    <w:rsid w:val="006B3E28"/>
    <w:rsid w:val="006B3E42"/>
    <w:rsid w:val="006B3E44"/>
    <w:rsid w:val="006B3E4B"/>
    <w:rsid w:val="006B3E53"/>
    <w:rsid w:val="006B3E7E"/>
    <w:rsid w:val="006B3E99"/>
    <w:rsid w:val="006B3EAF"/>
    <w:rsid w:val="006B3EE3"/>
    <w:rsid w:val="006B3F77"/>
    <w:rsid w:val="006B3FAE"/>
    <w:rsid w:val="006B4031"/>
    <w:rsid w:val="006B4072"/>
    <w:rsid w:val="006B4088"/>
    <w:rsid w:val="006B4104"/>
    <w:rsid w:val="006B4143"/>
    <w:rsid w:val="006B417F"/>
    <w:rsid w:val="006B424E"/>
    <w:rsid w:val="006B4287"/>
    <w:rsid w:val="006B42A4"/>
    <w:rsid w:val="006B4332"/>
    <w:rsid w:val="006B4339"/>
    <w:rsid w:val="006B435F"/>
    <w:rsid w:val="006B4369"/>
    <w:rsid w:val="006B4373"/>
    <w:rsid w:val="006B43DC"/>
    <w:rsid w:val="006B4464"/>
    <w:rsid w:val="006B450E"/>
    <w:rsid w:val="006B4512"/>
    <w:rsid w:val="006B4558"/>
    <w:rsid w:val="006B4583"/>
    <w:rsid w:val="006B45D0"/>
    <w:rsid w:val="006B45E2"/>
    <w:rsid w:val="006B45E3"/>
    <w:rsid w:val="006B45E4"/>
    <w:rsid w:val="006B4632"/>
    <w:rsid w:val="006B4717"/>
    <w:rsid w:val="006B471E"/>
    <w:rsid w:val="006B475B"/>
    <w:rsid w:val="006B478D"/>
    <w:rsid w:val="006B47CD"/>
    <w:rsid w:val="006B47D2"/>
    <w:rsid w:val="006B47F1"/>
    <w:rsid w:val="006B4846"/>
    <w:rsid w:val="006B4876"/>
    <w:rsid w:val="006B487B"/>
    <w:rsid w:val="006B48B7"/>
    <w:rsid w:val="006B4933"/>
    <w:rsid w:val="006B4960"/>
    <w:rsid w:val="006B4970"/>
    <w:rsid w:val="006B4A01"/>
    <w:rsid w:val="006B4A64"/>
    <w:rsid w:val="006B4A7F"/>
    <w:rsid w:val="006B4ACB"/>
    <w:rsid w:val="006B4AEC"/>
    <w:rsid w:val="006B4AFF"/>
    <w:rsid w:val="006B4B17"/>
    <w:rsid w:val="006B4BAB"/>
    <w:rsid w:val="006B4BAF"/>
    <w:rsid w:val="006B4C01"/>
    <w:rsid w:val="006B4C53"/>
    <w:rsid w:val="006B4CE0"/>
    <w:rsid w:val="006B4CED"/>
    <w:rsid w:val="006B4D02"/>
    <w:rsid w:val="006B4D3B"/>
    <w:rsid w:val="006B4DB0"/>
    <w:rsid w:val="006B4DDC"/>
    <w:rsid w:val="006B4E8C"/>
    <w:rsid w:val="006B4EA9"/>
    <w:rsid w:val="006B4EB2"/>
    <w:rsid w:val="006B4F17"/>
    <w:rsid w:val="006B4F3C"/>
    <w:rsid w:val="006B4F95"/>
    <w:rsid w:val="006B4FB3"/>
    <w:rsid w:val="006B5003"/>
    <w:rsid w:val="006B50DA"/>
    <w:rsid w:val="006B50E9"/>
    <w:rsid w:val="006B5101"/>
    <w:rsid w:val="006B5102"/>
    <w:rsid w:val="006B515D"/>
    <w:rsid w:val="006B5179"/>
    <w:rsid w:val="006B5185"/>
    <w:rsid w:val="006B51A6"/>
    <w:rsid w:val="006B51D0"/>
    <w:rsid w:val="006B51E1"/>
    <w:rsid w:val="006B521C"/>
    <w:rsid w:val="006B522F"/>
    <w:rsid w:val="006B52AC"/>
    <w:rsid w:val="006B52DD"/>
    <w:rsid w:val="006B52E4"/>
    <w:rsid w:val="006B5362"/>
    <w:rsid w:val="006B5367"/>
    <w:rsid w:val="006B53A5"/>
    <w:rsid w:val="006B53BF"/>
    <w:rsid w:val="006B53CC"/>
    <w:rsid w:val="006B5406"/>
    <w:rsid w:val="006B5449"/>
    <w:rsid w:val="006B547E"/>
    <w:rsid w:val="006B54A4"/>
    <w:rsid w:val="006B54B5"/>
    <w:rsid w:val="006B54B7"/>
    <w:rsid w:val="006B54F5"/>
    <w:rsid w:val="006B54FC"/>
    <w:rsid w:val="006B5504"/>
    <w:rsid w:val="006B554F"/>
    <w:rsid w:val="006B559B"/>
    <w:rsid w:val="006B55B2"/>
    <w:rsid w:val="006B55EF"/>
    <w:rsid w:val="006B55F7"/>
    <w:rsid w:val="006B5601"/>
    <w:rsid w:val="006B5656"/>
    <w:rsid w:val="006B5673"/>
    <w:rsid w:val="006B5727"/>
    <w:rsid w:val="006B5791"/>
    <w:rsid w:val="006B57C3"/>
    <w:rsid w:val="006B5866"/>
    <w:rsid w:val="006B587B"/>
    <w:rsid w:val="006B5888"/>
    <w:rsid w:val="006B590D"/>
    <w:rsid w:val="006B591B"/>
    <w:rsid w:val="006B593B"/>
    <w:rsid w:val="006B596B"/>
    <w:rsid w:val="006B59C0"/>
    <w:rsid w:val="006B5A26"/>
    <w:rsid w:val="006B5A9B"/>
    <w:rsid w:val="006B5AB6"/>
    <w:rsid w:val="006B5B1F"/>
    <w:rsid w:val="006B5B30"/>
    <w:rsid w:val="006B5BAF"/>
    <w:rsid w:val="006B5BB9"/>
    <w:rsid w:val="006B5BC7"/>
    <w:rsid w:val="006B5BC9"/>
    <w:rsid w:val="006B5C1B"/>
    <w:rsid w:val="006B5C33"/>
    <w:rsid w:val="006B5C5C"/>
    <w:rsid w:val="006B5C64"/>
    <w:rsid w:val="006B5C74"/>
    <w:rsid w:val="006B5C7D"/>
    <w:rsid w:val="006B5CD3"/>
    <w:rsid w:val="006B5D47"/>
    <w:rsid w:val="006B5D68"/>
    <w:rsid w:val="006B5D8E"/>
    <w:rsid w:val="006B5D96"/>
    <w:rsid w:val="006B5DD1"/>
    <w:rsid w:val="006B5DDB"/>
    <w:rsid w:val="006B5DF8"/>
    <w:rsid w:val="006B5E00"/>
    <w:rsid w:val="006B5E13"/>
    <w:rsid w:val="006B5E1F"/>
    <w:rsid w:val="006B5E83"/>
    <w:rsid w:val="006B5EC5"/>
    <w:rsid w:val="006B5EDF"/>
    <w:rsid w:val="006B5F0C"/>
    <w:rsid w:val="006B5F78"/>
    <w:rsid w:val="006B5FA8"/>
    <w:rsid w:val="006B5FCE"/>
    <w:rsid w:val="006B604C"/>
    <w:rsid w:val="006B607B"/>
    <w:rsid w:val="006B607E"/>
    <w:rsid w:val="006B60AC"/>
    <w:rsid w:val="006B60C6"/>
    <w:rsid w:val="006B60E2"/>
    <w:rsid w:val="006B60FE"/>
    <w:rsid w:val="006B6150"/>
    <w:rsid w:val="006B61CE"/>
    <w:rsid w:val="006B6201"/>
    <w:rsid w:val="006B6274"/>
    <w:rsid w:val="006B62CD"/>
    <w:rsid w:val="006B62DD"/>
    <w:rsid w:val="006B6339"/>
    <w:rsid w:val="006B63AC"/>
    <w:rsid w:val="006B63FE"/>
    <w:rsid w:val="006B6415"/>
    <w:rsid w:val="006B6419"/>
    <w:rsid w:val="006B6422"/>
    <w:rsid w:val="006B6428"/>
    <w:rsid w:val="006B6435"/>
    <w:rsid w:val="006B6474"/>
    <w:rsid w:val="006B64E9"/>
    <w:rsid w:val="006B64EF"/>
    <w:rsid w:val="006B64F5"/>
    <w:rsid w:val="006B64FA"/>
    <w:rsid w:val="006B6536"/>
    <w:rsid w:val="006B6552"/>
    <w:rsid w:val="006B6557"/>
    <w:rsid w:val="006B655D"/>
    <w:rsid w:val="006B6574"/>
    <w:rsid w:val="006B65A3"/>
    <w:rsid w:val="006B65A5"/>
    <w:rsid w:val="006B6613"/>
    <w:rsid w:val="006B665F"/>
    <w:rsid w:val="006B66D0"/>
    <w:rsid w:val="006B66E2"/>
    <w:rsid w:val="006B66EA"/>
    <w:rsid w:val="006B66FD"/>
    <w:rsid w:val="006B6782"/>
    <w:rsid w:val="006B67A8"/>
    <w:rsid w:val="006B67C1"/>
    <w:rsid w:val="006B67E7"/>
    <w:rsid w:val="006B67FE"/>
    <w:rsid w:val="006B6855"/>
    <w:rsid w:val="006B6894"/>
    <w:rsid w:val="006B68D1"/>
    <w:rsid w:val="006B68EE"/>
    <w:rsid w:val="006B6913"/>
    <w:rsid w:val="006B69E9"/>
    <w:rsid w:val="006B69EF"/>
    <w:rsid w:val="006B69F4"/>
    <w:rsid w:val="006B6A19"/>
    <w:rsid w:val="006B6A25"/>
    <w:rsid w:val="006B6A4A"/>
    <w:rsid w:val="006B6A7A"/>
    <w:rsid w:val="006B6A93"/>
    <w:rsid w:val="006B6A94"/>
    <w:rsid w:val="006B6B33"/>
    <w:rsid w:val="006B6B3E"/>
    <w:rsid w:val="006B6B50"/>
    <w:rsid w:val="006B6B94"/>
    <w:rsid w:val="006B6B9C"/>
    <w:rsid w:val="006B6C39"/>
    <w:rsid w:val="006B6C7A"/>
    <w:rsid w:val="006B6C7B"/>
    <w:rsid w:val="006B6C81"/>
    <w:rsid w:val="006B6C97"/>
    <w:rsid w:val="006B6CB2"/>
    <w:rsid w:val="006B6CC8"/>
    <w:rsid w:val="006B6CF5"/>
    <w:rsid w:val="006B6D16"/>
    <w:rsid w:val="006B6D19"/>
    <w:rsid w:val="006B6D6A"/>
    <w:rsid w:val="006B6DB6"/>
    <w:rsid w:val="006B6DBB"/>
    <w:rsid w:val="006B6DC5"/>
    <w:rsid w:val="006B6E3F"/>
    <w:rsid w:val="006B6E4F"/>
    <w:rsid w:val="006B6E61"/>
    <w:rsid w:val="006B6EA5"/>
    <w:rsid w:val="006B6EBA"/>
    <w:rsid w:val="006B6F7B"/>
    <w:rsid w:val="006B6F97"/>
    <w:rsid w:val="006B7027"/>
    <w:rsid w:val="006B7028"/>
    <w:rsid w:val="006B7071"/>
    <w:rsid w:val="006B70C8"/>
    <w:rsid w:val="006B70E6"/>
    <w:rsid w:val="006B7155"/>
    <w:rsid w:val="006B716D"/>
    <w:rsid w:val="006B719A"/>
    <w:rsid w:val="006B71A2"/>
    <w:rsid w:val="006B71B1"/>
    <w:rsid w:val="006B71F4"/>
    <w:rsid w:val="006B7227"/>
    <w:rsid w:val="006B7251"/>
    <w:rsid w:val="006B725C"/>
    <w:rsid w:val="006B727C"/>
    <w:rsid w:val="006B72AE"/>
    <w:rsid w:val="006B734C"/>
    <w:rsid w:val="006B745A"/>
    <w:rsid w:val="006B7461"/>
    <w:rsid w:val="006B7477"/>
    <w:rsid w:val="006B74A4"/>
    <w:rsid w:val="006B74BB"/>
    <w:rsid w:val="006B74C1"/>
    <w:rsid w:val="006B74CD"/>
    <w:rsid w:val="006B7543"/>
    <w:rsid w:val="006B754A"/>
    <w:rsid w:val="006B755E"/>
    <w:rsid w:val="006B7567"/>
    <w:rsid w:val="006B7572"/>
    <w:rsid w:val="006B75BA"/>
    <w:rsid w:val="006B75BF"/>
    <w:rsid w:val="006B76A8"/>
    <w:rsid w:val="006B76E3"/>
    <w:rsid w:val="006B7747"/>
    <w:rsid w:val="006B77A0"/>
    <w:rsid w:val="006B7802"/>
    <w:rsid w:val="006B7821"/>
    <w:rsid w:val="006B785E"/>
    <w:rsid w:val="006B78A7"/>
    <w:rsid w:val="006B78F2"/>
    <w:rsid w:val="006B7908"/>
    <w:rsid w:val="006B7918"/>
    <w:rsid w:val="006B793E"/>
    <w:rsid w:val="006B7A0A"/>
    <w:rsid w:val="006B7A4F"/>
    <w:rsid w:val="006B7A5C"/>
    <w:rsid w:val="006B7A7D"/>
    <w:rsid w:val="006B7AFA"/>
    <w:rsid w:val="006B7B1B"/>
    <w:rsid w:val="006B7B7C"/>
    <w:rsid w:val="006B7BC3"/>
    <w:rsid w:val="006B7BCE"/>
    <w:rsid w:val="006B7C21"/>
    <w:rsid w:val="006B7C27"/>
    <w:rsid w:val="006B7C7A"/>
    <w:rsid w:val="006B7CAA"/>
    <w:rsid w:val="006B7CC3"/>
    <w:rsid w:val="006B7D3B"/>
    <w:rsid w:val="006B7DF9"/>
    <w:rsid w:val="006B7E38"/>
    <w:rsid w:val="006B7F05"/>
    <w:rsid w:val="006B7F41"/>
    <w:rsid w:val="006B7FA2"/>
    <w:rsid w:val="006B7FE9"/>
    <w:rsid w:val="006C0024"/>
    <w:rsid w:val="006C0033"/>
    <w:rsid w:val="006C005F"/>
    <w:rsid w:val="006C00BA"/>
    <w:rsid w:val="006C00CE"/>
    <w:rsid w:val="006C00D9"/>
    <w:rsid w:val="006C013B"/>
    <w:rsid w:val="006C014D"/>
    <w:rsid w:val="006C015B"/>
    <w:rsid w:val="006C01AA"/>
    <w:rsid w:val="006C01B1"/>
    <w:rsid w:val="006C01C5"/>
    <w:rsid w:val="006C01C7"/>
    <w:rsid w:val="006C01E4"/>
    <w:rsid w:val="006C01EC"/>
    <w:rsid w:val="006C01F2"/>
    <w:rsid w:val="006C0216"/>
    <w:rsid w:val="006C021A"/>
    <w:rsid w:val="006C023C"/>
    <w:rsid w:val="006C02AA"/>
    <w:rsid w:val="006C0333"/>
    <w:rsid w:val="006C03B5"/>
    <w:rsid w:val="006C03B6"/>
    <w:rsid w:val="006C03D0"/>
    <w:rsid w:val="006C0409"/>
    <w:rsid w:val="006C0412"/>
    <w:rsid w:val="006C0429"/>
    <w:rsid w:val="006C04E8"/>
    <w:rsid w:val="006C04FC"/>
    <w:rsid w:val="006C04FF"/>
    <w:rsid w:val="006C0570"/>
    <w:rsid w:val="006C058A"/>
    <w:rsid w:val="006C05AB"/>
    <w:rsid w:val="006C05E7"/>
    <w:rsid w:val="006C0608"/>
    <w:rsid w:val="006C062F"/>
    <w:rsid w:val="006C0638"/>
    <w:rsid w:val="006C0666"/>
    <w:rsid w:val="006C06EE"/>
    <w:rsid w:val="006C0714"/>
    <w:rsid w:val="006C073D"/>
    <w:rsid w:val="006C0750"/>
    <w:rsid w:val="006C0777"/>
    <w:rsid w:val="006C0783"/>
    <w:rsid w:val="006C0789"/>
    <w:rsid w:val="006C0792"/>
    <w:rsid w:val="006C0804"/>
    <w:rsid w:val="006C0896"/>
    <w:rsid w:val="006C08C5"/>
    <w:rsid w:val="006C08C6"/>
    <w:rsid w:val="006C0932"/>
    <w:rsid w:val="006C094B"/>
    <w:rsid w:val="006C09AC"/>
    <w:rsid w:val="006C09E0"/>
    <w:rsid w:val="006C09F4"/>
    <w:rsid w:val="006C0A36"/>
    <w:rsid w:val="006C0A53"/>
    <w:rsid w:val="006C0A5F"/>
    <w:rsid w:val="006C0A64"/>
    <w:rsid w:val="006C0B15"/>
    <w:rsid w:val="006C0B28"/>
    <w:rsid w:val="006C0B83"/>
    <w:rsid w:val="006C0B8D"/>
    <w:rsid w:val="006C0B9E"/>
    <w:rsid w:val="006C0BE4"/>
    <w:rsid w:val="006C0BEB"/>
    <w:rsid w:val="006C0BFD"/>
    <w:rsid w:val="006C0C28"/>
    <w:rsid w:val="006C0C51"/>
    <w:rsid w:val="006C0C73"/>
    <w:rsid w:val="006C0C81"/>
    <w:rsid w:val="006C0CD1"/>
    <w:rsid w:val="006C0CDC"/>
    <w:rsid w:val="006C0CE6"/>
    <w:rsid w:val="006C0D16"/>
    <w:rsid w:val="006C0D3C"/>
    <w:rsid w:val="006C0DA8"/>
    <w:rsid w:val="006C0DAE"/>
    <w:rsid w:val="006C0E1A"/>
    <w:rsid w:val="006C0E33"/>
    <w:rsid w:val="006C0E94"/>
    <w:rsid w:val="006C0EAB"/>
    <w:rsid w:val="006C0EB9"/>
    <w:rsid w:val="006C0EC8"/>
    <w:rsid w:val="006C0F3F"/>
    <w:rsid w:val="006C0F7B"/>
    <w:rsid w:val="006C0F84"/>
    <w:rsid w:val="006C1008"/>
    <w:rsid w:val="006C1011"/>
    <w:rsid w:val="006C1018"/>
    <w:rsid w:val="006C1030"/>
    <w:rsid w:val="006C1036"/>
    <w:rsid w:val="006C1043"/>
    <w:rsid w:val="006C104D"/>
    <w:rsid w:val="006C105B"/>
    <w:rsid w:val="006C1064"/>
    <w:rsid w:val="006C1073"/>
    <w:rsid w:val="006C10BB"/>
    <w:rsid w:val="006C10E8"/>
    <w:rsid w:val="006C10F2"/>
    <w:rsid w:val="006C1191"/>
    <w:rsid w:val="006C1202"/>
    <w:rsid w:val="006C1218"/>
    <w:rsid w:val="006C1242"/>
    <w:rsid w:val="006C124A"/>
    <w:rsid w:val="006C1270"/>
    <w:rsid w:val="006C12CD"/>
    <w:rsid w:val="006C12EB"/>
    <w:rsid w:val="006C12EF"/>
    <w:rsid w:val="006C1361"/>
    <w:rsid w:val="006C1381"/>
    <w:rsid w:val="006C1463"/>
    <w:rsid w:val="006C1522"/>
    <w:rsid w:val="006C1553"/>
    <w:rsid w:val="006C15A9"/>
    <w:rsid w:val="006C1675"/>
    <w:rsid w:val="006C1683"/>
    <w:rsid w:val="006C16E3"/>
    <w:rsid w:val="006C1762"/>
    <w:rsid w:val="006C1789"/>
    <w:rsid w:val="006C178E"/>
    <w:rsid w:val="006C17C4"/>
    <w:rsid w:val="006C184A"/>
    <w:rsid w:val="006C18DE"/>
    <w:rsid w:val="006C1915"/>
    <w:rsid w:val="006C1924"/>
    <w:rsid w:val="006C1927"/>
    <w:rsid w:val="006C1931"/>
    <w:rsid w:val="006C193A"/>
    <w:rsid w:val="006C1948"/>
    <w:rsid w:val="006C19BC"/>
    <w:rsid w:val="006C19C5"/>
    <w:rsid w:val="006C19DA"/>
    <w:rsid w:val="006C19E8"/>
    <w:rsid w:val="006C19F0"/>
    <w:rsid w:val="006C1A9E"/>
    <w:rsid w:val="006C1AC6"/>
    <w:rsid w:val="006C1AF1"/>
    <w:rsid w:val="006C1B51"/>
    <w:rsid w:val="006C1B5B"/>
    <w:rsid w:val="006C1B77"/>
    <w:rsid w:val="006C1C0B"/>
    <w:rsid w:val="006C1C27"/>
    <w:rsid w:val="006C1C42"/>
    <w:rsid w:val="006C1C52"/>
    <w:rsid w:val="006C1C58"/>
    <w:rsid w:val="006C1C64"/>
    <w:rsid w:val="006C1C69"/>
    <w:rsid w:val="006C1CAD"/>
    <w:rsid w:val="006C1CB3"/>
    <w:rsid w:val="006C1CBC"/>
    <w:rsid w:val="006C1CE3"/>
    <w:rsid w:val="006C1D76"/>
    <w:rsid w:val="006C1D8D"/>
    <w:rsid w:val="006C1DC1"/>
    <w:rsid w:val="006C1EB6"/>
    <w:rsid w:val="006C1ED1"/>
    <w:rsid w:val="006C1F89"/>
    <w:rsid w:val="006C1F99"/>
    <w:rsid w:val="006C1F9B"/>
    <w:rsid w:val="006C2017"/>
    <w:rsid w:val="006C2069"/>
    <w:rsid w:val="006C208B"/>
    <w:rsid w:val="006C20DC"/>
    <w:rsid w:val="006C2110"/>
    <w:rsid w:val="006C2168"/>
    <w:rsid w:val="006C224A"/>
    <w:rsid w:val="006C22BC"/>
    <w:rsid w:val="006C2345"/>
    <w:rsid w:val="006C23F7"/>
    <w:rsid w:val="006C240C"/>
    <w:rsid w:val="006C244A"/>
    <w:rsid w:val="006C24A5"/>
    <w:rsid w:val="006C24DA"/>
    <w:rsid w:val="006C24FB"/>
    <w:rsid w:val="006C2514"/>
    <w:rsid w:val="006C2553"/>
    <w:rsid w:val="006C255B"/>
    <w:rsid w:val="006C2593"/>
    <w:rsid w:val="006C25B8"/>
    <w:rsid w:val="006C2607"/>
    <w:rsid w:val="006C2650"/>
    <w:rsid w:val="006C2694"/>
    <w:rsid w:val="006C26A3"/>
    <w:rsid w:val="006C26C8"/>
    <w:rsid w:val="006C270A"/>
    <w:rsid w:val="006C270B"/>
    <w:rsid w:val="006C2785"/>
    <w:rsid w:val="006C2880"/>
    <w:rsid w:val="006C28FD"/>
    <w:rsid w:val="006C2926"/>
    <w:rsid w:val="006C2928"/>
    <w:rsid w:val="006C2994"/>
    <w:rsid w:val="006C29D4"/>
    <w:rsid w:val="006C29E4"/>
    <w:rsid w:val="006C29F9"/>
    <w:rsid w:val="006C2A0B"/>
    <w:rsid w:val="006C2A17"/>
    <w:rsid w:val="006C2A1B"/>
    <w:rsid w:val="006C2A1D"/>
    <w:rsid w:val="006C2A1E"/>
    <w:rsid w:val="006C2A32"/>
    <w:rsid w:val="006C2A35"/>
    <w:rsid w:val="006C2AB7"/>
    <w:rsid w:val="006C2AC8"/>
    <w:rsid w:val="006C2B70"/>
    <w:rsid w:val="006C2BA8"/>
    <w:rsid w:val="006C2BBE"/>
    <w:rsid w:val="006C2BC5"/>
    <w:rsid w:val="006C2BD2"/>
    <w:rsid w:val="006C2BE1"/>
    <w:rsid w:val="006C2C4A"/>
    <w:rsid w:val="006C2CD6"/>
    <w:rsid w:val="006C2D1B"/>
    <w:rsid w:val="006C2D67"/>
    <w:rsid w:val="006C2D83"/>
    <w:rsid w:val="006C2DEC"/>
    <w:rsid w:val="006C2E82"/>
    <w:rsid w:val="006C2E97"/>
    <w:rsid w:val="006C2EB8"/>
    <w:rsid w:val="006C2EBF"/>
    <w:rsid w:val="006C2F1E"/>
    <w:rsid w:val="006C2F8A"/>
    <w:rsid w:val="006C3000"/>
    <w:rsid w:val="006C304D"/>
    <w:rsid w:val="006C305E"/>
    <w:rsid w:val="006C306A"/>
    <w:rsid w:val="006C30C6"/>
    <w:rsid w:val="006C30E8"/>
    <w:rsid w:val="006C3105"/>
    <w:rsid w:val="006C31AE"/>
    <w:rsid w:val="006C31F6"/>
    <w:rsid w:val="006C31FC"/>
    <w:rsid w:val="006C320F"/>
    <w:rsid w:val="006C3218"/>
    <w:rsid w:val="006C3226"/>
    <w:rsid w:val="006C3248"/>
    <w:rsid w:val="006C32A0"/>
    <w:rsid w:val="006C3307"/>
    <w:rsid w:val="006C3385"/>
    <w:rsid w:val="006C339A"/>
    <w:rsid w:val="006C33A2"/>
    <w:rsid w:val="006C33D5"/>
    <w:rsid w:val="006C33D8"/>
    <w:rsid w:val="006C3421"/>
    <w:rsid w:val="006C34A1"/>
    <w:rsid w:val="006C34B8"/>
    <w:rsid w:val="006C34D5"/>
    <w:rsid w:val="006C34E1"/>
    <w:rsid w:val="006C353B"/>
    <w:rsid w:val="006C3541"/>
    <w:rsid w:val="006C357F"/>
    <w:rsid w:val="006C3596"/>
    <w:rsid w:val="006C35D3"/>
    <w:rsid w:val="006C35EB"/>
    <w:rsid w:val="006C35F6"/>
    <w:rsid w:val="006C363D"/>
    <w:rsid w:val="006C3643"/>
    <w:rsid w:val="006C368A"/>
    <w:rsid w:val="006C3698"/>
    <w:rsid w:val="006C36C5"/>
    <w:rsid w:val="006C36D1"/>
    <w:rsid w:val="006C370A"/>
    <w:rsid w:val="006C3719"/>
    <w:rsid w:val="006C371F"/>
    <w:rsid w:val="006C374B"/>
    <w:rsid w:val="006C3760"/>
    <w:rsid w:val="006C3778"/>
    <w:rsid w:val="006C3779"/>
    <w:rsid w:val="006C378D"/>
    <w:rsid w:val="006C3793"/>
    <w:rsid w:val="006C389C"/>
    <w:rsid w:val="006C38AE"/>
    <w:rsid w:val="006C396C"/>
    <w:rsid w:val="006C398D"/>
    <w:rsid w:val="006C39C5"/>
    <w:rsid w:val="006C39E6"/>
    <w:rsid w:val="006C3A4A"/>
    <w:rsid w:val="006C3A63"/>
    <w:rsid w:val="006C3A6A"/>
    <w:rsid w:val="006C3A71"/>
    <w:rsid w:val="006C3AA8"/>
    <w:rsid w:val="006C3B52"/>
    <w:rsid w:val="006C3C0B"/>
    <w:rsid w:val="006C3C0C"/>
    <w:rsid w:val="006C3C3A"/>
    <w:rsid w:val="006C3C40"/>
    <w:rsid w:val="006C3C42"/>
    <w:rsid w:val="006C3C48"/>
    <w:rsid w:val="006C3C9B"/>
    <w:rsid w:val="006C3CC6"/>
    <w:rsid w:val="006C3D3A"/>
    <w:rsid w:val="006C3D3C"/>
    <w:rsid w:val="006C3D90"/>
    <w:rsid w:val="006C3DFA"/>
    <w:rsid w:val="006C3E19"/>
    <w:rsid w:val="006C3E28"/>
    <w:rsid w:val="006C3E3C"/>
    <w:rsid w:val="006C3E6A"/>
    <w:rsid w:val="006C3E99"/>
    <w:rsid w:val="006C3EC9"/>
    <w:rsid w:val="006C3ED3"/>
    <w:rsid w:val="006C3EF1"/>
    <w:rsid w:val="006C3F59"/>
    <w:rsid w:val="006C3FA0"/>
    <w:rsid w:val="006C3FD8"/>
    <w:rsid w:val="006C4009"/>
    <w:rsid w:val="006C401F"/>
    <w:rsid w:val="006C4054"/>
    <w:rsid w:val="006C409B"/>
    <w:rsid w:val="006C409C"/>
    <w:rsid w:val="006C40BE"/>
    <w:rsid w:val="006C40D4"/>
    <w:rsid w:val="006C41A5"/>
    <w:rsid w:val="006C41B3"/>
    <w:rsid w:val="006C41C4"/>
    <w:rsid w:val="006C4280"/>
    <w:rsid w:val="006C4293"/>
    <w:rsid w:val="006C431F"/>
    <w:rsid w:val="006C432D"/>
    <w:rsid w:val="006C436A"/>
    <w:rsid w:val="006C43D0"/>
    <w:rsid w:val="006C442A"/>
    <w:rsid w:val="006C4432"/>
    <w:rsid w:val="006C443B"/>
    <w:rsid w:val="006C447D"/>
    <w:rsid w:val="006C4483"/>
    <w:rsid w:val="006C4489"/>
    <w:rsid w:val="006C44A3"/>
    <w:rsid w:val="006C44AA"/>
    <w:rsid w:val="006C44B7"/>
    <w:rsid w:val="006C44E1"/>
    <w:rsid w:val="006C4503"/>
    <w:rsid w:val="006C4539"/>
    <w:rsid w:val="006C4577"/>
    <w:rsid w:val="006C45E1"/>
    <w:rsid w:val="006C4613"/>
    <w:rsid w:val="006C464D"/>
    <w:rsid w:val="006C4665"/>
    <w:rsid w:val="006C4679"/>
    <w:rsid w:val="006C46A8"/>
    <w:rsid w:val="006C46DE"/>
    <w:rsid w:val="006C4756"/>
    <w:rsid w:val="006C47A2"/>
    <w:rsid w:val="006C47C5"/>
    <w:rsid w:val="006C47D6"/>
    <w:rsid w:val="006C47FA"/>
    <w:rsid w:val="006C4887"/>
    <w:rsid w:val="006C4890"/>
    <w:rsid w:val="006C48E8"/>
    <w:rsid w:val="006C4910"/>
    <w:rsid w:val="006C4913"/>
    <w:rsid w:val="006C492F"/>
    <w:rsid w:val="006C496B"/>
    <w:rsid w:val="006C4988"/>
    <w:rsid w:val="006C49A0"/>
    <w:rsid w:val="006C49E0"/>
    <w:rsid w:val="006C4A98"/>
    <w:rsid w:val="006C4AA5"/>
    <w:rsid w:val="006C4AAF"/>
    <w:rsid w:val="006C4B2C"/>
    <w:rsid w:val="006C4B38"/>
    <w:rsid w:val="006C4B45"/>
    <w:rsid w:val="006C4B73"/>
    <w:rsid w:val="006C4B89"/>
    <w:rsid w:val="006C4BE3"/>
    <w:rsid w:val="006C4C01"/>
    <w:rsid w:val="006C4C29"/>
    <w:rsid w:val="006C4C39"/>
    <w:rsid w:val="006C4E22"/>
    <w:rsid w:val="006C4E38"/>
    <w:rsid w:val="006C4E8F"/>
    <w:rsid w:val="006C4ED1"/>
    <w:rsid w:val="006C4FD1"/>
    <w:rsid w:val="006C500A"/>
    <w:rsid w:val="006C5073"/>
    <w:rsid w:val="006C5130"/>
    <w:rsid w:val="006C517E"/>
    <w:rsid w:val="006C519F"/>
    <w:rsid w:val="006C5200"/>
    <w:rsid w:val="006C5247"/>
    <w:rsid w:val="006C5250"/>
    <w:rsid w:val="006C526A"/>
    <w:rsid w:val="006C5270"/>
    <w:rsid w:val="006C52EA"/>
    <w:rsid w:val="006C53BF"/>
    <w:rsid w:val="006C53CC"/>
    <w:rsid w:val="006C5408"/>
    <w:rsid w:val="006C5493"/>
    <w:rsid w:val="006C549D"/>
    <w:rsid w:val="006C54A2"/>
    <w:rsid w:val="006C553C"/>
    <w:rsid w:val="006C554A"/>
    <w:rsid w:val="006C557B"/>
    <w:rsid w:val="006C5593"/>
    <w:rsid w:val="006C559C"/>
    <w:rsid w:val="006C5643"/>
    <w:rsid w:val="006C5645"/>
    <w:rsid w:val="006C5672"/>
    <w:rsid w:val="006C5679"/>
    <w:rsid w:val="006C568B"/>
    <w:rsid w:val="006C56CC"/>
    <w:rsid w:val="006C5745"/>
    <w:rsid w:val="006C57E9"/>
    <w:rsid w:val="006C57EE"/>
    <w:rsid w:val="006C5827"/>
    <w:rsid w:val="006C5863"/>
    <w:rsid w:val="006C5895"/>
    <w:rsid w:val="006C58D9"/>
    <w:rsid w:val="006C58FD"/>
    <w:rsid w:val="006C5905"/>
    <w:rsid w:val="006C5955"/>
    <w:rsid w:val="006C59A7"/>
    <w:rsid w:val="006C59C4"/>
    <w:rsid w:val="006C59DB"/>
    <w:rsid w:val="006C5A47"/>
    <w:rsid w:val="006C5A50"/>
    <w:rsid w:val="006C5A72"/>
    <w:rsid w:val="006C5A7C"/>
    <w:rsid w:val="006C5B06"/>
    <w:rsid w:val="006C5BB8"/>
    <w:rsid w:val="006C5BBD"/>
    <w:rsid w:val="006C5C7D"/>
    <w:rsid w:val="006C5D17"/>
    <w:rsid w:val="006C5D19"/>
    <w:rsid w:val="006C5D86"/>
    <w:rsid w:val="006C5DDD"/>
    <w:rsid w:val="006C5F11"/>
    <w:rsid w:val="006C5F1B"/>
    <w:rsid w:val="006C5F45"/>
    <w:rsid w:val="006C5F56"/>
    <w:rsid w:val="006C5F77"/>
    <w:rsid w:val="006C5F7E"/>
    <w:rsid w:val="006C5FAC"/>
    <w:rsid w:val="006C5FEA"/>
    <w:rsid w:val="006C601A"/>
    <w:rsid w:val="006C609D"/>
    <w:rsid w:val="006C6130"/>
    <w:rsid w:val="006C613D"/>
    <w:rsid w:val="006C614A"/>
    <w:rsid w:val="006C6176"/>
    <w:rsid w:val="006C6261"/>
    <w:rsid w:val="006C62BA"/>
    <w:rsid w:val="006C632D"/>
    <w:rsid w:val="006C635A"/>
    <w:rsid w:val="006C6437"/>
    <w:rsid w:val="006C6485"/>
    <w:rsid w:val="006C648D"/>
    <w:rsid w:val="006C64A9"/>
    <w:rsid w:val="006C64B8"/>
    <w:rsid w:val="006C64DF"/>
    <w:rsid w:val="006C64E3"/>
    <w:rsid w:val="006C6549"/>
    <w:rsid w:val="006C6551"/>
    <w:rsid w:val="006C6573"/>
    <w:rsid w:val="006C65DD"/>
    <w:rsid w:val="006C65E1"/>
    <w:rsid w:val="006C65FD"/>
    <w:rsid w:val="006C661A"/>
    <w:rsid w:val="006C6667"/>
    <w:rsid w:val="006C6692"/>
    <w:rsid w:val="006C66B0"/>
    <w:rsid w:val="006C670E"/>
    <w:rsid w:val="006C671D"/>
    <w:rsid w:val="006C6730"/>
    <w:rsid w:val="006C679D"/>
    <w:rsid w:val="006C67D6"/>
    <w:rsid w:val="006C684B"/>
    <w:rsid w:val="006C689F"/>
    <w:rsid w:val="006C692B"/>
    <w:rsid w:val="006C6A01"/>
    <w:rsid w:val="006C6A04"/>
    <w:rsid w:val="006C6A29"/>
    <w:rsid w:val="006C6A2A"/>
    <w:rsid w:val="006C6AB8"/>
    <w:rsid w:val="006C6ACA"/>
    <w:rsid w:val="006C6B3B"/>
    <w:rsid w:val="006C6B7B"/>
    <w:rsid w:val="006C6BBE"/>
    <w:rsid w:val="006C6BEE"/>
    <w:rsid w:val="006C6C34"/>
    <w:rsid w:val="006C6C36"/>
    <w:rsid w:val="006C6C5C"/>
    <w:rsid w:val="006C6C97"/>
    <w:rsid w:val="006C6C9F"/>
    <w:rsid w:val="006C6CA9"/>
    <w:rsid w:val="006C6D21"/>
    <w:rsid w:val="006C6D47"/>
    <w:rsid w:val="006C6D70"/>
    <w:rsid w:val="006C6D82"/>
    <w:rsid w:val="006C6E59"/>
    <w:rsid w:val="006C6E6B"/>
    <w:rsid w:val="006C6EE7"/>
    <w:rsid w:val="006C6F10"/>
    <w:rsid w:val="006C6F19"/>
    <w:rsid w:val="006C6F22"/>
    <w:rsid w:val="006C6F23"/>
    <w:rsid w:val="006C6F75"/>
    <w:rsid w:val="006C6FC1"/>
    <w:rsid w:val="006C6FC5"/>
    <w:rsid w:val="006C70F4"/>
    <w:rsid w:val="006C7102"/>
    <w:rsid w:val="006C7150"/>
    <w:rsid w:val="006C716F"/>
    <w:rsid w:val="006C719F"/>
    <w:rsid w:val="006C7216"/>
    <w:rsid w:val="006C7225"/>
    <w:rsid w:val="006C7255"/>
    <w:rsid w:val="006C7301"/>
    <w:rsid w:val="006C731E"/>
    <w:rsid w:val="006C7328"/>
    <w:rsid w:val="006C7368"/>
    <w:rsid w:val="006C736B"/>
    <w:rsid w:val="006C7380"/>
    <w:rsid w:val="006C73A4"/>
    <w:rsid w:val="006C73F4"/>
    <w:rsid w:val="006C744C"/>
    <w:rsid w:val="006C746B"/>
    <w:rsid w:val="006C7491"/>
    <w:rsid w:val="006C74E4"/>
    <w:rsid w:val="006C74E7"/>
    <w:rsid w:val="006C7502"/>
    <w:rsid w:val="006C7509"/>
    <w:rsid w:val="006C7580"/>
    <w:rsid w:val="006C75EC"/>
    <w:rsid w:val="006C7603"/>
    <w:rsid w:val="006C7604"/>
    <w:rsid w:val="006C7649"/>
    <w:rsid w:val="006C7682"/>
    <w:rsid w:val="006C7691"/>
    <w:rsid w:val="006C76A6"/>
    <w:rsid w:val="006C76E1"/>
    <w:rsid w:val="006C7715"/>
    <w:rsid w:val="006C775A"/>
    <w:rsid w:val="006C77A8"/>
    <w:rsid w:val="006C77B6"/>
    <w:rsid w:val="006C7857"/>
    <w:rsid w:val="006C786D"/>
    <w:rsid w:val="006C7883"/>
    <w:rsid w:val="006C78E5"/>
    <w:rsid w:val="006C7978"/>
    <w:rsid w:val="006C7A0F"/>
    <w:rsid w:val="006C7A24"/>
    <w:rsid w:val="006C7A52"/>
    <w:rsid w:val="006C7A9A"/>
    <w:rsid w:val="006C7AC5"/>
    <w:rsid w:val="006C7B42"/>
    <w:rsid w:val="006C7B7E"/>
    <w:rsid w:val="006C7B84"/>
    <w:rsid w:val="006C7C00"/>
    <w:rsid w:val="006C7C13"/>
    <w:rsid w:val="006C7C1E"/>
    <w:rsid w:val="006C7C2B"/>
    <w:rsid w:val="006C7C3C"/>
    <w:rsid w:val="006C7C44"/>
    <w:rsid w:val="006C7C4B"/>
    <w:rsid w:val="006C7C8B"/>
    <w:rsid w:val="006C7CB9"/>
    <w:rsid w:val="006C7CE9"/>
    <w:rsid w:val="006C7CED"/>
    <w:rsid w:val="006C7CF2"/>
    <w:rsid w:val="006C7D26"/>
    <w:rsid w:val="006C7D70"/>
    <w:rsid w:val="006C7DB7"/>
    <w:rsid w:val="006C7DD1"/>
    <w:rsid w:val="006C7EB6"/>
    <w:rsid w:val="006C7EC5"/>
    <w:rsid w:val="006C7F97"/>
    <w:rsid w:val="006C7FA0"/>
    <w:rsid w:val="006C7FA2"/>
    <w:rsid w:val="006C7FFA"/>
    <w:rsid w:val="006D000B"/>
    <w:rsid w:val="006D00B7"/>
    <w:rsid w:val="006D00CE"/>
    <w:rsid w:val="006D0113"/>
    <w:rsid w:val="006D0133"/>
    <w:rsid w:val="006D0135"/>
    <w:rsid w:val="006D014B"/>
    <w:rsid w:val="006D01AD"/>
    <w:rsid w:val="006D01B3"/>
    <w:rsid w:val="006D01CC"/>
    <w:rsid w:val="006D0236"/>
    <w:rsid w:val="006D0257"/>
    <w:rsid w:val="006D028E"/>
    <w:rsid w:val="006D02C5"/>
    <w:rsid w:val="006D02E4"/>
    <w:rsid w:val="006D0305"/>
    <w:rsid w:val="006D038D"/>
    <w:rsid w:val="006D03A3"/>
    <w:rsid w:val="006D03D0"/>
    <w:rsid w:val="006D03D2"/>
    <w:rsid w:val="006D03DE"/>
    <w:rsid w:val="006D041E"/>
    <w:rsid w:val="006D0472"/>
    <w:rsid w:val="006D04C3"/>
    <w:rsid w:val="006D0528"/>
    <w:rsid w:val="006D059A"/>
    <w:rsid w:val="006D05ED"/>
    <w:rsid w:val="006D0609"/>
    <w:rsid w:val="006D060F"/>
    <w:rsid w:val="006D064D"/>
    <w:rsid w:val="006D065D"/>
    <w:rsid w:val="006D0665"/>
    <w:rsid w:val="006D0678"/>
    <w:rsid w:val="006D0688"/>
    <w:rsid w:val="006D070F"/>
    <w:rsid w:val="006D074C"/>
    <w:rsid w:val="006D07EB"/>
    <w:rsid w:val="006D07FA"/>
    <w:rsid w:val="006D0814"/>
    <w:rsid w:val="006D0848"/>
    <w:rsid w:val="006D089D"/>
    <w:rsid w:val="006D0959"/>
    <w:rsid w:val="006D0963"/>
    <w:rsid w:val="006D09E8"/>
    <w:rsid w:val="006D0A0C"/>
    <w:rsid w:val="006D0A1D"/>
    <w:rsid w:val="006D0A51"/>
    <w:rsid w:val="006D0AA9"/>
    <w:rsid w:val="006D0AF4"/>
    <w:rsid w:val="006D0B11"/>
    <w:rsid w:val="006D0B8D"/>
    <w:rsid w:val="006D0C2D"/>
    <w:rsid w:val="006D0C38"/>
    <w:rsid w:val="006D0C42"/>
    <w:rsid w:val="006D0C60"/>
    <w:rsid w:val="006D0CD7"/>
    <w:rsid w:val="006D0CFF"/>
    <w:rsid w:val="006D0D0A"/>
    <w:rsid w:val="006D0D30"/>
    <w:rsid w:val="006D0DB4"/>
    <w:rsid w:val="006D0DC6"/>
    <w:rsid w:val="006D0DDF"/>
    <w:rsid w:val="006D0E00"/>
    <w:rsid w:val="006D0E4A"/>
    <w:rsid w:val="006D0E50"/>
    <w:rsid w:val="006D0E78"/>
    <w:rsid w:val="006D0EB0"/>
    <w:rsid w:val="006D0F2B"/>
    <w:rsid w:val="006D0F35"/>
    <w:rsid w:val="006D0F54"/>
    <w:rsid w:val="006D0F73"/>
    <w:rsid w:val="006D0FCB"/>
    <w:rsid w:val="006D0FEB"/>
    <w:rsid w:val="006D1046"/>
    <w:rsid w:val="006D1086"/>
    <w:rsid w:val="006D10E0"/>
    <w:rsid w:val="006D10EA"/>
    <w:rsid w:val="006D10EC"/>
    <w:rsid w:val="006D1135"/>
    <w:rsid w:val="006D113D"/>
    <w:rsid w:val="006D113E"/>
    <w:rsid w:val="006D115B"/>
    <w:rsid w:val="006D1178"/>
    <w:rsid w:val="006D11B5"/>
    <w:rsid w:val="006D11E1"/>
    <w:rsid w:val="006D1210"/>
    <w:rsid w:val="006D1227"/>
    <w:rsid w:val="006D1242"/>
    <w:rsid w:val="006D1250"/>
    <w:rsid w:val="006D127B"/>
    <w:rsid w:val="006D1320"/>
    <w:rsid w:val="006D134A"/>
    <w:rsid w:val="006D1367"/>
    <w:rsid w:val="006D13C3"/>
    <w:rsid w:val="006D13E7"/>
    <w:rsid w:val="006D1425"/>
    <w:rsid w:val="006D1439"/>
    <w:rsid w:val="006D1459"/>
    <w:rsid w:val="006D1480"/>
    <w:rsid w:val="006D1550"/>
    <w:rsid w:val="006D1584"/>
    <w:rsid w:val="006D15C8"/>
    <w:rsid w:val="006D1610"/>
    <w:rsid w:val="006D163B"/>
    <w:rsid w:val="006D1644"/>
    <w:rsid w:val="006D1656"/>
    <w:rsid w:val="006D1692"/>
    <w:rsid w:val="006D16A9"/>
    <w:rsid w:val="006D16FE"/>
    <w:rsid w:val="006D1740"/>
    <w:rsid w:val="006D1770"/>
    <w:rsid w:val="006D17C3"/>
    <w:rsid w:val="006D17E0"/>
    <w:rsid w:val="006D17FE"/>
    <w:rsid w:val="006D1821"/>
    <w:rsid w:val="006D185F"/>
    <w:rsid w:val="006D1874"/>
    <w:rsid w:val="006D1901"/>
    <w:rsid w:val="006D1905"/>
    <w:rsid w:val="006D1930"/>
    <w:rsid w:val="006D194C"/>
    <w:rsid w:val="006D194F"/>
    <w:rsid w:val="006D1959"/>
    <w:rsid w:val="006D198C"/>
    <w:rsid w:val="006D19E9"/>
    <w:rsid w:val="006D1A42"/>
    <w:rsid w:val="006D1A6F"/>
    <w:rsid w:val="006D1A7E"/>
    <w:rsid w:val="006D1A99"/>
    <w:rsid w:val="006D1AC7"/>
    <w:rsid w:val="006D1AD1"/>
    <w:rsid w:val="006D1AF0"/>
    <w:rsid w:val="006D1B1E"/>
    <w:rsid w:val="006D1B43"/>
    <w:rsid w:val="006D1B82"/>
    <w:rsid w:val="006D1C6E"/>
    <w:rsid w:val="006D1C7D"/>
    <w:rsid w:val="006D1C7F"/>
    <w:rsid w:val="006D1CB0"/>
    <w:rsid w:val="006D1CEB"/>
    <w:rsid w:val="006D1D42"/>
    <w:rsid w:val="006D1D44"/>
    <w:rsid w:val="006D1D45"/>
    <w:rsid w:val="006D1D64"/>
    <w:rsid w:val="006D1DA6"/>
    <w:rsid w:val="006D1DFE"/>
    <w:rsid w:val="006D1E0C"/>
    <w:rsid w:val="006D1EAD"/>
    <w:rsid w:val="006D1EBC"/>
    <w:rsid w:val="006D1ECC"/>
    <w:rsid w:val="006D1EE0"/>
    <w:rsid w:val="006D1EFC"/>
    <w:rsid w:val="006D1F3B"/>
    <w:rsid w:val="006D1F59"/>
    <w:rsid w:val="006D1FAF"/>
    <w:rsid w:val="006D1FDF"/>
    <w:rsid w:val="006D1FE3"/>
    <w:rsid w:val="006D201F"/>
    <w:rsid w:val="006D2061"/>
    <w:rsid w:val="006D2075"/>
    <w:rsid w:val="006D20BD"/>
    <w:rsid w:val="006D20E8"/>
    <w:rsid w:val="006D2123"/>
    <w:rsid w:val="006D215C"/>
    <w:rsid w:val="006D219B"/>
    <w:rsid w:val="006D219D"/>
    <w:rsid w:val="006D21BB"/>
    <w:rsid w:val="006D222D"/>
    <w:rsid w:val="006D2248"/>
    <w:rsid w:val="006D22B0"/>
    <w:rsid w:val="006D22D5"/>
    <w:rsid w:val="006D2307"/>
    <w:rsid w:val="006D2367"/>
    <w:rsid w:val="006D2380"/>
    <w:rsid w:val="006D2391"/>
    <w:rsid w:val="006D23B1"/>
    <w:rsid w:val="006D23EF"/>
    <w:rsid w:val="006D2495"/>
    <w:rsid w:val="006D24A2"/>
    <w:rsid w:val="006D24F2"/>
    <w:rsid w:val="006D24F7"/>
    <w:rsid w:val="006D24F9"/>
    <w:rsid w:val="006D2519"/>
    <w:rsid w:val="006D251F"/>
    <w:rsid w:val="006D255C"/>
    <w:rsid w:val="006D25B3"/>
    <w:rsid w:val="006D25BB"/>
    <w:rsid w:val="006D2602"/>
    <w:rsid w:val="006D2658"/>
    <w:rsid w:val="006D2670"/>
    <w:rsid w:val="006D2694"/>
    <w:rsid w:val="006D26D5"/>
    <w:rsid w:val="006D272B"/>
    <w:rsid w:val="006D274D"/>
    <w:rsid w:val="006D279E"/>
    <w:rsid w:val="006D27BC"/>
    <w:rsid w:val="006D2805"/>
    <w:rsid w:val="006D2808"/>
    <w:rsid w:val="006D2843"/>
    <w:rsid w:val="006D2867"/>
    <w:rsid w:val="006D28D8"/>
    <w:rsid w:val="006D2908"/>
    <w:rsid w:val="006D2919"/>
    <w:rsid w:val="006D2969"/>
    <w:rsid w:val="006D29AE"/>
    <w:rsid w:val="006D29BB"/>
    <w:rsid w:val="006D29E2"/>
    <w:rsid w:val="006D2A54"/>
    <w:rsid w:val="006D2AB8"/>
    <w:rsid w:val="006D2B37"/>
    <w:rsid w:val="006D2B45"/>
    <w:rsid w:val="006D2B5F"/>
    <w:rsid w:val="006D2BF3"/>
    <w:rsid w:val="006D2C3B"/>
    <w:rsid w:val="006D2C7A"/>
    <w:rsid w:val="006D2D53"/>
    <w:rsid w:val="006D2D90"/>
    <w:rsid w:val="006D2D9E"/>
    <w:rsid w:val="006D2DC0"/>
    <w:rsid w:val="006D2DC3"/>
    <w:rsid w:val="006D2E1C"/>
    <w:rsid w:val="006D2E3B"/>
    <w:rsid w:val="006D2E49"/>
    <w:rsid w:val="006D2F08"/>
    <w:rsid w:val="006D2F0C"/>
    <w:rsid w:val="006D2F23"/>
    <w:rsid w:val="006D2F7B"/>
    <w:rsid w:val="006D2F98"/>
    <w:rsid w:val="006D2FE9"/>
    <w:rsid w:val="006D3043"/>
    <w:rsid w:val="006D3044"/>
    <w:rsid w:val="006D3088"/>
    <w:rsid w:val="006D3091"/>
    <w:rsid w:val="006D30AF"/>
    <w:rsid w:val="006D30C7"/>
    <w:rsid w:val="006D3114"/>
    <w:rsid w:val="006D314E"/>
    <w:rsid w:val="006D31D6"/>
    <w:rsid w:val="006D3200"/>
    <w:rsid w:val="006D3211"/>
    <w:rsid w:val="006D321C"/>
    <w:rsid w:val="006D322C"/>
    <w:rsid w:val="006D3287"/>
    <w:rsid w:val="006D32D1"/>
    <w:rsid w:val="006D32D8"/>
    <w:rsid w:val="006D3314"/>
    <w:rsid w:val="006D3350"/>
    <w:rsid w:val="006D3352"/>
    <w:rsid w:val="006D33E4"/>
    <w:rsid w:val="006D33E9"/>
    <w:rsid w:val="006D3425"/>
    <w:rsid w:val="006D3433"/>
    <w:rsid w:val="006D345A"/>
    <w:rsid w:val="006D34B2"/>
    <w:rsid w:val="006D34D0"/>
    <w:rsid w:val="006D34DD"/>
    <w:rsid w:val="006D3544"/>
    <w:rsid w:val="006D354D"/>
    <w:rsid w:val="006D354F"/>
    <w:rsid w:val="006D3551"/>
    <w:rsid w:val="006D3553"/>
    <w:rsid w:val="006D3579"/>
    <w:rsid w:val="006D357E"/>
    <w:rsid w:val="006D35AC"/>
    <w:rsid w:val="006D35E2"/>
    <w:rsid w:val="006D363A"/>
    <w:rsid w:val="006D36AC"/>
    <w:rsid w:val="006D36BA"/>
    <w:rsid w:val="006D36D4"/>
    <w:rsid w:val="006D371B"/>
    <w:rsid w:val="006D3721"/>
    <w:rsid w:val="006D3736"/>
    <w:rsid w:val="006D376E"/>
    <w:rsid w:val="006D3784"/>
    <w:rsid w:val="006D37FF"/>
    <w:rsid w:val="006D38B8"/>
    <w:rsid w:val="006D38D4"/>
    <w:rsid w:val="006D3942"/>
    <w:rsid w:val="006D398A"/>
    <w:rsid w:val="006D398D"/>
    <w:rsid w:val="006D39B8"/>
    <w:rsid w:val="006D39E7"/>
    <w:rsid w:val="006D39F4"/>
    <w:rsid w:val="006D3A20"/>
    <w:rsid w:val="006D3A6D"/>
    <w:rsid w:val="006D3A8B"/>
    <w:rsid w:val="006D3A96"/>
    <w:rsid w:val="006D3AA2"/>
    <w:rsid w:val="006D3ABA"/>
    <w:rsid w:val="006D3B18"/>
    <w:rsid w:val="006D3B38"/>
    <w:rsid w:val="006D3B44"/>
    <w:rsid w:val="006D3B6E"/>
    <w:rsid w:val="006D3BA8"/>
    <w:rsid w:val="006D3BB0"/>
    <w:rsid w:val="006D3C26"/>
    <w:rsid w:val="006D3C5F"/>
    <w:rsid w:val="006D3C86"/>
    <w:rsid w:val="006D3CBF"/>
    <w:rsid w:val="006D3D11"/>
    <w:rsid w:val="006D3D1A"/>
    <w:rsid w:val="006D3DD6"/>
    <w:rsid w:val="006D3DEB"/>
    <w:rsid w:val="006D3DF1"/>
    <w:rsid w:val="006D3E3E"/>
    <w:rsid w:val="006D3E4B"/>
    <w:rsid w:val="006D3E5B"/>
    <w:rsid w:val="006D3EC1"/>
    <w:rsid w:val="006D3EEC"/>
    <w:rsid w:val="006D3EF3"/>
    <w:rsid w:val="006D3F08"/>
    <w:rsid w:val="006D3F1C"/>
    <w:rsid w:val="006D400E"/>
    <w:rsid w:val="006D401C"/>
    <w:rsid w:val="006D4025"/>
    <w:rsid w:val="006D405C"/>
    <w:rsid w:val="006D406C"/>
    <w:rsid w:val="006D40CB"/>
    <w:rsid w:val="006D4104"/>
    <w:rsid w:val="006D413C"/>
    <w:rsid w:val="006D4164"/>
    <w:rsid w:val="006D41C2"/>
    <w:rsid w:val="006D41D2"/>
    <w:rsid w:val="006D4263"/>
    <w:rsid w:val="006D4284"/>
    <w:rsid w:val="006D4287"/>
    <w:rsid w:val="006D42AF"/>
    <w:rsid w:val="006D42B8"/>
    <w:rsid w:val="006D4328"/>
    <w:rsid w:val="006D4350"/>
    <w:rsid w:val="006D4368"/>
    <w:rsid w:val="006D436A"/>
    <w:rsid w:val="006D44DC"/>
    <w:rsid w:val="006D4503"/>
    <w:rsid w:val="006D4522"/>
    <w:rsid w:val="006D4546"/>
    <w:rsid w:val="006D4595"/>
    <w:rsid w:val="006D4615"/>
    <w:rsid w:val="006D462F"/>
    <w:rsid w:val="006D4631"/>
    <w:rsid w:val="006D46AC"/>
    <w:rsid w:val="006D46AD"/>
    <w:rsid w:val="006D46B0"/>
    <w:rsid w:val="006D46B3"/>
    <w:rsid w:val="006D46BE"/>
    <w:rsid w:val="006D46E3"/>
    <w:rsid w:val="006D46F3"/>
    <w:rsid w:val="006D4732"/>
    <w:rsid w:val="006D4790"/>
    <w:rsid w:val="006D4797"/>
    <w:rsid w:val="006D47B0"/>
    <w:rsid w:val="006D4808"/>
    <w:rsid w:val="006D48FF"/>
    <w:rsid w:val="006D4919"/>
    <w:rsid w:val="006D4924"/>
    <w:rsid w:val="006D495A"/>
    <w:rsid w:val="006D4983"/>
    <w:rsid w:val="006D49DE"/>
    <w:rsid w:val="006D49E9"/>
    <w:rsid w:val="006D4A24"/>
    <w:rsid w:val="006D4ADB"/>
    <w:rsid w:val="006D4B23"/>
    <w:rsid w:val="006D4B37"/>
    <w:rsid w:val="006D4B4D"/>
    <w:rsid w:val="006D4B73"/>
    <w:rsid w:val="006D4B9A"/>
    <w:rsid w:val="006D4BD3"/>
    <w:rsid w:val="006D4C06"/>
    <w:rsid w:val="006D4C8E"/>
    <w:rsid w:val="006D4C92"/>
    <w:rsid w:val="006D4CB2"/>
    <w:rsid w:val="006D4D29"/>
    <w:rsid w:val="006D4D46"/>
    <w:rsid w:val="006D4D92"/>
    <w:rsid w:val="006D4DD5"/>
    <w:rsid w:val="006D4E21"/>
    <w:rsid w:val="006D4E2F"/>
    <w:rsid w:val="006D4E4A"/>
    <w:rsid w:val="006D4E61"/>
    <w:rsid w:val="006D4EF4"/>
    <w:rsid w:val="006D4EF7"/>
    <w:rsid w:val="006D4F1A"/>
    <w:rsid w:val="006D4F57"/>
    <w:rsid w:val="006D4F71"/>
    <w:rsid w:val="006D4FA6"/>
    <w:rsid w:val="006D5004"/>
    <w:rsid w:val="006D5008"/>
    <w:rsid w:val="006D5037"/>
    <w:rsid w:val="006D5039"/>
    <w:rsid w:val="006D50A6"/>
    <w:rsid w:val="006D5145"/>
    <w:rsid w:val="006D5148"/>
    <w:rsid w:val="006D517B"/>
    <w:rsid w:val="006D5199"/>
    <w:rsid w:val="006D51CE"/>
    <w:rsid w:val="006D5264"/>
    <w:rsid w:val="006D5284"/>
    <w:rsid w:val="006D52F2"/>
    <w:rsid w:val="006D532D"/>
    <w:rsid w:val="006D5345"/>
    <w:rsid w:val="006D537B"/>
    <w:rsid w:val="006D5384"/>
    <w:rsid w:val="006D538A"/>
    <w:rsid w:val="006D539E"/>
    <w:rsid w:val="006D53BC"/>
    <w:rsid w:val="006D53F6"/>
    <w:rsid w:val="006D541B"/>
    <w:rsid w:val="006D546B"/>
    <w:rsid w:val="006D548A"/>
    <w:rsid w:val="006D548D"/>
    <w:rsid w:val="006D54AC"/>
    <w:rsid w:val="006D54CC"/>
    <w:rsid w:val="006D553E"/>
    <w:rsid w:val="006D5551"/>
    <w:rsid w:val="006D5581"/>
    <w:rsid w:val="006D55A6"/>
    <w:rsid w:val="006D55AA"/>
    <w:rsid w:val="006D55D5"/>
    <w:rsid w:val="006D5633"/>
    <w:rsid w:val="006D5644"/>
    <w:rsid w:val="006D565A"/>
    <w:rsid w:val="006D5669"/>
    <w:rsid w:val="006D56EF"/>
    <w:rsid w:val="006D5744"/>
    <w:rsid w:val="006D5762"/>
    <w:rsid w:val="006D5779"/>
    <w:rsid w:val="006D57C0"/>
    <w:rsid w:val="006D57C5"/>
    <w:rsid w:val="006D57C7"/>
    <w:rsid w:val="006D5821"/>
    <w:rsid w:val="006D582D"/>
    <w:rsid w:val="006D5869"/>
    <w:rsid w:val="006D5876"/>
    <w:rsid w:val="006D5881"/>
    <w:rsid w:val="006D58CD"/>
    <w:rsid w:val="006D5917"/>
    <w:rsid w:val="006D598C"/>
    <w:rsid w:val="006D5993"/>
    <w:rsid w:val="006D5995"/>
    <w:rsid w:val="006D5997"/>
    <w:rsid w:val="006D5A1E"/>
    <w:rsid w:val="006D5A96"/>
    <w:rsid w:val="006D5A97"/>
    <w:rsid w:val="006D5AFA"/>
    <w:rsid w:val="006D5B10"/>
    <w:rsid w:val="006D5B4B"/>
    <w:rsid w:val="006D5B85"/>
    <w:rsid w:val="006D5BB2"/>
    <w:rsid w:val="006D5BD2"/>
    <w:rsid w:val="006D5C05"/>
    <w:rsid w:val="006D5C1C"/>
    <w:rsid w:val="006D5C32"/>
    <w:rsid w:val="006D5CB4"/>
    <w:rsid w:val="006D5D16"/>
    <w:rsid w:val="006D5D5E"/>
    <w:rsid w:val="006D5E15"/>
    <w:rsid w:val="006D5E17"/>
    <w:rsid w:val="006D5E35"/>
    <w:rsid w:val="006D5E50"/>
    <w:rsid w:val="006D5E6B"/>
    <w:rsid w:val="006D5E6E"/>
    <w:rsid w:val="006D5E7B"/>
    <w:rsid w:val="006D5EA5"/>
    <w:rsid w:val="006D5EC4"/>
    <w:rsid w:val="006D5EDB"/>
    <w:rsid w:val="006D5F0E"/>
    <w:rsid w:val="006D5F1B"/>
    <w:rsid w:val="006D5FA1"/>
    <w:rsid w:val="006D5FE1"/>
    <w:rsid w:val="006D5FF5"/>
    <w:rsid w:val="006D600B"/>
    <w:rsid w:val="006D6033"/>
    <w:rsid w:val="006D6072"/>
    <w:rsid w:val="006D60B9"/>
    <w:rsid w:val="006D6174"/>
    <w:rsid w:val="006D618E"/>
    <w:rsid w:val="006D61A5"/>
    <w:rsid w:val="006D61E9"/>
    <w:rsid w:val="006D61ED"/>
    <w:rsid w:val="006D61FF"/>
    <w:rsid w:val="006D6241"/>
    <w:rsid w:val="006D6256"/>
    <w:rsid w:val="006D628B"/>
    <w:rsid w:val="006D6292"/>
    <w:rsid w:val="006D629E"/>
    <w:rsid w:val="006D62D9"/>
    <w:rsid w:val="006D630D"/>
    <w:rsid w:val="006D6350"/>
    <w:rsid w:val="006D6359"/>
    <w:rsid w:val="006D635C"/>
    <w:rsid w:val="006D6383"/>
    <w:rsid w:val="006D6399"/>
    <w:rsid w:val="006D6427"/>
    <w:rsid w:val="006D6468"/>
    <w:rsid w:val="006D646D"/>
    <w:rsid w:val="006D6490"/>
    <w:rsid w:val="006D653A"/>
    <w:rsid w:val="006D653C"/>
    <w:rsid w:val="006D655D"/>
    <w:rsid w:val="006D6590"/>
    <w:rsid w:val="006D6614"/>
    <w:rsid w:val="006D6649"/>
    <w:rsid w:val="006D66C8"/>
    <w:rsid w:val="006D671B"/>
    <w:rsid w:val="006D673B"/>
    <w:rsid w:val="006D67B0"/>
    <w:rsid w:val="006D67EF"/>
    <w:rsid w:val="006D6808"/>
    <w:rsid w:val="006D686A"/>
    <w:rsid w:val="006D687C"/>
    <w:rsid w:val="006D6886"/>
    <w:rsid w:val="006D68CD"/>
    <w:rsid w:val="006D68D4"/>
    <w:rsid w:val="006D693D"/>
    <w:rsid w:val="006D6949"/>
    <w:rsid w:val="006D696B"/>
    <w:rsid w:val="006D699D"/>
    <w:rsid w:val="006D6AB7"/>
    <w:rsid w:val="006D6B4B"/>
    <w:rsid w:val="006D6B64"/>
    <w:rsid w:val="006D6BAA"/>
    <w:rsid w:val="006D6BDB"/>
    <w:rsid w:val="006D6C4C"/>
    <w:rsid w:val="006D6D33"/>
    <w:rsid w:val="006D6D3B"/>
    <w:rsid w:val="006D6D66"/>
    <w:rsid w:val="006D6DFC"/>
    <w:rsid w:val="006D6E49"/>
    <w:rsid w:val="006D6E55"/>
    <w:rsid w:val="006D6E7A"/>
    <w:rsid w:val="006D6F5A"/>
    <w:rsid w:val="006D6FB2"/>
    <w:rsid w:val="006D6FB4"/>
    <w:rsid w:val="006D70BE"/>
    <w:rsid w:val="006D70EF"/>
    <w:rsid w:val="006D70FA"/>
    <w:rsid w:val="006D7132"/>
    <w:rsid w:val="006D7153"/>
    <w:rsid w:val="006D716C"/>
    <w:rsid w:val="006D717D"/>
    <w:rsid w:val="006D718E"/>
    <w:rsid w:val="006D71A1"/>
    <w:rsid w:val="006D720A"/>
    <w:rsid w:val="006D7211"/>
    <w:rsid w:val="006D7225"/>
    <w:rsid w:val="006D7239"/>
    <w:rsid w:val="006D7259"/>
    <w:rsid w:val="006D728F"/>
    <w:rsid w:val="006D729C"/>
    <w:rsid w:val="006D72B0"/>
    <w:rsid w:val="006D72D4"/>
    <w:rsid w:val="006D73E1"/>
    <w:rsid w:val="006D7424"/>
    <w:rsid w:val="006D74AF"/>
    <w:rsid w:val="006D74C5"/>
    <w:rsid w:val="006D7536"/>
    <w:rsid w:val="006D753E"/>
    <w:rsid w:val="006D75D9"/>
    <w:rsid w:val="006D75DE"/>
    <w:rsid w:val="006D7654"/>
    <w:rsid w:val="006D767D"/>
    <w:rsid w:val="006D76A1"/>
    <w:rsid w:val="006D7717"/>
    <w:rsid w:val="006D77B2"/>
    <w:rsid w:val="006D77BB"/>
    <w:rsid w:val="006D77E8"/>
    <w:rsid w:val="006D77FC"/>
    <w:rsid w:val="006D7803"/>
    <w:rsid w:val="006D785A"/>
    <w:rsid w:val="006D78D2"/>
    <w:rsid w:val="006D78ED"/>
    <w:rsid w:val="006D7911"/>
    <w:rsid w:val="006D7952"/>
    <w:rsid w:val="006D79E6"/>
    <w:rsid w:val="006D79F5"/>
    <w:rsid w:val="006D7A7C"/>
    <w:rsid w:val="006D7B20"/>
    <w:rsid w:val="006D7B6E"/>
    <w:rsid w:val="006D7BC3"/>
    <w:rsid w:val="006D7BE9"/>
    <w:rsid w:val="006D7C05"/>
    <w:rsid w:val="006D7C91"/>
    <w:rsid w:val="006D7CA7"/>
    <w:rsid w:val="006D7D05"/>
    <w:rsid w:val="006D7D47"/>
    <w:rsid w:val="006D7D61"/>
    <w:rsid w:val="006D7D72"/>
    <w:rsid w:val="006D7D77"/>
    <w:rsid w:val="006D7D8E"/>
    <w:rsid w:val="006D7DDA"/>
    <w:rsid w:val="006D7DE0"/>
    <w:rsid w:val="006D7DFC"/>
    <w:rsid w:val="006D7E0C"/>
    <w:rsid w:val="006D7E17"/>
    <w:rsid w:val="006D7E2E"/>
    <w:rsid w:val="006D7E3A"/>
    <w:rsid w:val="006D7E7F"/>
    <w:rsid w:val="006D7EC0"/>
    <w:rsid w:val="006D7EEE"/>
    <w:rsid w:val="006D7EF6"/>
    <w:rsid w:val="006D7F16"/>
    <w:rsid w:val="006D7F32"/>
    <w:rsid w:val="006D7F46"/>
    <w:rsid w:val="006D7FB6"/>
    <w:rsid w:val="006D7FDC"/>
    <w:rsid w:val="006E002D"/>
    <w:rsid w:val="006E0031"/>
    <w:rsid w:val="006E0038"/>
    <w:rsid w:val="006E0090"/>
    <w:rsid w:val="006E00B3"/>
    <w:rsid w:val="006E00BF"/>
    <w:rsid w:val="006E00C5"/>
    <w:rsid w:val="006E00E2"/>
    <w:rsid w:val="006E0100"/>
    <w:rsid w:val="006E0138"/>
    <w:rsid w:val="006E0147"/>
    <w:rsid w:val="006E01E1"/>
    <w:rsid w:val="006E020A"/>
    <w:rsid w:val="006E020C"/>
    <w:rsid w:val="006E0211"/>
    <w:rsid w:val="006E021A"/>
    <w:rsid w:val="006E023C"/>
    <w:rsid w:val="006E0259"/>
    <w:rsid w:val="006E026D"/>
    <w:rsid w:val="006E02BE"/>
    <w:rsid w:val="006E02D2"/>
    <w:rsid w:val="006E02F6"/>
    <w:rsid w:val="006E032B"/>
    <w:rsid w:val="006E0344"/>
    <w:rsid w:val="006E036D"/>
    <w:rsid w:val="006E03AB"/>
    <w:rsid w:val="006E03DA"/>
    <w:rsid w:val="006E03FF"/>
    <w:rsid w:val="006E042D"/>
    <w:rsid w:val="006E0456"/>
    <w:rsid w:val="006E0463"/>
    <w:rsid w:val="006E0466"/>
    <w:rsid w:val="006E0472"/>
    <w:rsid w:val="006E0475"/>
    <w:rsid w:val="006E04E5"/>
    <w:rsid w:val="006E04FA"/>
    <w:rsid w:val="006E050C"/>
    <w:rsid w:val="006E0510"/>
    <w:rsid w:val="006E058D"/>
    <w:rsid w:val="006E0591"/>
    <w:rsid w:val="006E05D8"/>
    <w:rsid w:val="006E0614"/>
    <w:rsid w:val="006E061C"/>
    <w:rsid w:val="006E0682"/>
    <w:rsid w:val="006E068F"/>
    <w:rsid w:val="006E06BB"/>
    <w:rsid w:val="006E06CB"/>
    <w:rsid w:val="006E06D7"/>
    <w:rsid w:val="006E06DA"/>
    <w:rsid w:val="006E0705"/>
    <w:rsid w:val="006E071E"/>
    <w:rsid w:val="006E0767"/>
    <w:rsid w:val="006E076B"/>
    <w:rsid w:val="006E0782"/>
    <w:rsid w:val="006E07A4"/>
    <w:rsid w:val="006E07B5"/>
    <w:rsid w:val="006E07CB"/>
    <w:rsid w:val="006E080C"/>
    <w:rsid w:val="006E0827"/>
    <w:rsid w:val="006E0852"/>
    <w:rsid w:val="006E085D"/>
    <w:rsid w:val="006E088F"/>
    <w:rsid w:val="006E08C2"/>
    <w:rsid w:val="006E08C3"/>
    <w:rsid w:val="006E08DE"/>
    <w:rsid w:val="006E08E1"/>
    <w:rsid w:val="006E08E5"/>
    <w:rsid w:val="006E095A"/>
    <w:rsid w:val="006E09A0"/>
    <w:rsid w:val="006E09C2"/>
    <w:rsid w:val="006E0A45"/>
    <w:rsid w:val="006E0A93"/>
    <w:rsid w:val="006E0A9F"/>
    <w:rsid w:val="006E0ACF"/>
    <w:rsid w:val="006E0AEE"/>
    <w:rsid w:val="006E0AF2"/>
    <w:rsid w:val="006E0B29"/>
    <w:rsid w:val="006E0BA1"/>
    <w:rsid w:val="006E0BB8"/>
    <w:rsid w:val="006E0BBC"/>
    <w:rsid w:val="006E0BCD"/>
    <w:rsid w:val="006E0BD4"/>
    <w:rsid w:val="006E0C67"/>
    <w:rsid w:val="006E0C6B"/>
    <w:rsid w:val="006E0D11"/>
    <w:rsid w:val="006E0D3C"/>
    <w:rsid w:val="006E0D43"/>
    <w:rsid w:val="006E0D51"/>
    <w:rsid w:val="006E0D7A"/>
    <w:rsid w:val="006E0DC5"/>
    <w:rsid w:val="006E0E25"/>
    <w:rsid w:val="006E0E2B"/>
    <w:rsid w:val="006E0E3E"/>
    <w:rsid w:val="006E0E97"/>
    <w:rsid w:val="006E0E99"/>
    <w:rsid w:val="006E0F23"/>
    <w:rsid w:val="006E0FBE"/>
    <w:rsid w:val="006E0FC5"/>
    <w:rsid w:val="006E0FEF"/>
    <w:rsid w:val="006E102F"/>
    <w:rsid w:val="006E1126"/>
    <w:rsid w:val="006E1175"/>
    <w:rsid w:val="006E117C"/>
    <w:rsid w:val="006E11A9"/>
    <w:rsid w:val="006E11B8"/>
    <w:rsid w:val="006E11EF"/>
    <w:rsid w:val="006E11FD"/>
    <w:rsid w:val="006E11FF"/>
    <w:rsid w:val="006E123E"/>
    <w:rsid w:val="006E12AB"/>
    <w:rsid w:val="006E12FD"/>
    <w:rsid w:val="006E130C"/>
    <w:rsid w:val="006E130F"/>
    <w:rsid w:val="006E138E"/>
    <w:rsid w:val="006E1395"/>
    <w:rsid w:val="006E139E"/>
    <w:rsid w:val="006E13B2"/>
    <w:rsid w:val="006E1403"/>
    <w:rsid w:val="006E1451"/>
    <w:rsid w:val="006E147C"/>
    <w:rsid w:val="006E148A"/>
    <w:rsid w:val="006E158E"/>
    <w:rsid w:val="006E15A0"/>
    <w:rsid w:val="006E160F"/>
    <w:rsid w:val="006E1667"/>
    <w:rsid w:val="006E1678"/>
    <w:rsid w:val="006E16F8"/>
    <w:rsid w:val="006E16F9"/>
    <w:rsid w:val="006E1701"/>
    <w:rsid w:val="006E1732"/>
    <w:rsid w:val="006E176D"/>
    <w:rsid w:val="006E177A"/>
    <w:rsid w:val="006E178F"/>
    <w:rsid w:val="006E1791"/>
    <w:rsid w:val="006E17AC"/>
    <w:rsid w:val="006E17B5"/>
    <w:rsid w:val="006E182C"/>
    <w:rsid w:val="006E1838"/>
    <w:rsid w:val="006E1856"/>
    <w:rsid w:val="006E187F"/>
    <w:rsid w:val="006E1897"/>
    <w:rsid w:val="006E18C8"/>
    <w:rsid w:val="006E18E8"/>
    <w:rsid w:val="006E1934"/>
    <w:rsid w:val="006E1966"/>
    <w:rsid w:val="006E1990"/>
    <w:rsid w:val="006E19CA"/>
    <w:rsid w:val="006E1A0C"/>
    <w:rsid w:val="006E1A2D"/>
    <w:rsid w:val="006E1A76"/>
    <w:rsid w:val="006E1A9D"/>
    <w:rsid w:val="006E1AC7"/>
    <w:rsid w:val="006E1AF9"/>
    <w:rsid w:val="006E1B09"/>
    <w:rsid w:val="006E1BC4"/>
    <w:rsid w:val="006E1C05"/>
    <w:rsid w:val="006E1C1F"/>
    <w:rsid w:val="006E1C38"/>
    <w:rsid w:val="006E1C3E"/>
    <w:rsid w:val="006E1C9B"/>
    <w:rsid w:val="006E1CF4"/>
    <w:rsid w:val="006E1D00"/>
    <w:rsid w:val="006E1D45"/>
    <w:rsid w:val="006E1D4D"/>
    <w:rsid w:val="006E1D76"/>
    <w:rsid w:val="006E1DCE"/>
    <w:rsid w:val="006E1DF3"/>
    <w:rsid w:val="006E1DFC"/>
    <w:rsid w:val="006E1E1C"/>
    <w:rsid w:val="006E1E22"/>
    <w:rsid w:val="006E1E25"/>
    <w:rsid w:val="006E1E57"/>
    <w:rsid w:val="006E1E80"/>
    <w:rsid w:val="006E1EEB"/>
    <w:rsid w:val="006E1F2C"/>
    <w:rsid w:val="006E1F2F"/>
    <w:rsid w:val="006E1F4A"/>
    <w:rsid w:val="006E1F6E"/>
    <w:rsid w:val="006E1F72"/>
    <w:rsid w:val="006E1F93"/>
    <w:rsid w:val="006E1FB5"/>
    <w:rsid w:val="006E1FDB"/>
    <w:rsid w:val="006E1FEC"/>
    <w:rsid w:val="006E2015"/>
    <w:rsid w:val="006E2047"/>
    <w:rsid w:val="006E208F"/>
    <w:rsid w:val="006E20A8"/>
    <w:rsid w:val="006E20B3"/>
    <w:rsid w:val="006E20F6"/>
    <w:rsid w:val="006E2145"/>
    <w:rsid w:val="006E21A9"/>
    <w:rsid w:val="006E21DC"/>
    <w:rsid w:val="006E220E"/>
    <w:rsid w:val="006E222E"/>
    <w:rsid w:val="006E2256"/>
    <w:rsid w:val="006E2265"/>
    <w:rsid w:val="006E2286"/>
    <w:rsid w:val="006E22C9"/>
    <w:rsid w:val="006E2372"/>
    <w:rsid w:val="006E23AB"/>
    <w:rsid w:val="006E23D7"/>
    <w:rsid w:val="006E2421"/>
    <w:rsid w:val="006E2432"/>
    <w:rsid w:val="006E246D"/>
    <w:rsid w:val="006E24BE"/>
    <w:rsid w:val="006E24D6"/>
    <w:rsid w:val="006E251D"/>
    <w:rsid w:val="006E2538"/>
    <w:rsid w:val="006E254F"/>
    <w:rsid w:val="006E25A0"/>
    <w:rsid w:val="006E25A3"/>
    <w:rsid w:val="006E25CE"/>
    <w:rsid w:val="006E25F6"/>
    <w:rsid w:val="006E25F9"/>
    <w:rsid w:val="006E25FB"/>
    <w:rsid w:val="006E262F"/>
    <w:rsid w:val="006E26C3"/>
    <w:rsid w:val="006E26D8"/>
    <w:rsid w:val="006E26E6"/>
    <w:rsid w:val="006E26E8"/>
    <w:rsid w:val="006E2711"/>
    <w:rsid w:val="006E27C2"/>
    <w:rsid w:val="006E27FE"/>
    <w:rsid w:val="006E284E"/>
    <w:rsid w:val="006E2865"/>
    <w:rsid w:val="006E2890"/>
    <w:rsid w:val="006E289C"/>
    <w:rsid w:val="006E28DF"/>
    <w:rsid w:val="006E2964"/>
    <w:rsid w:val="006E296B"/>
    <w:rsid w:val="006E29AD"/>
    <w:rsid w:val="006E29B1"/>
    <w:rsid w:val="006E29B7"/>
    <w:rsid w:val="006E2A50"/>
    <w:rsid w:val="006E2A8D"/>
    <w:rsid w:val="006E2AAB"/>
    <w:rsid w:val="006E2B61"/>
    <w:rsid w:val="006E2B6E"/>
    <w:rsid w:val="006E2B6F"/>
    <w:rsid w:val="006E2B91"/>
    <w:rsid w:val="006E2B9F"/>
    <w:rsid w:val="006E2BAA"/>
    <w:rsid w:val="006E2BD0"/>
    <w:rsid w:val="006E2C1A"/>
    <w:rsid w:val="006E2C61"/>
    <w:rsid w:val="006E2C87"/>
    <w:rsid w:val="006E2CB7"/>
    <w:rsid w:val="006E2CEC"/>
    <w:rsid w:val="006E2D3F"/>
    <w:rsid w:val="006E2D42"/>
    <w:rsid w:val="006E2D59"/>
    <w:rsid w:val="006E2D62"/>
    <w:rsid w:val="006E2D63"/>
    <w:rsid w:val="006E2D68"/>
    <w:rsid w:val="006E2DC8"/>
    <w:rsid w:val="006E2DCE"/>
    <w:rsid w:val="006E2E6B"/>
    <w:rsid w:val="006E2ED6"/>
    <w:rsid w:val="006E2EFB"/>
    <w:rsid w:val="006E2F09"/>
    <w:rsid w:val="006E2F1D"/>
    <w:rsid w:val="006E2FA7"/>
    <w:rsid w:val="006E2FB3"/>
    <w:rsid w:val="006E2FE1"/>
    <w:rsid w:val="006E3002"/>
    <w:rsid w:val="006E3009"/>
    <w:rsid w:val="006E3085"/>
    <w:rsid w:val="006E30B4"/>
    <w:rsid w:val="006E30B6"/>
    <w:rsid w:val="006E31C4"/>
    <w:rsid w:val="006E3221"/>
    <w:rsid w:val="006E323E"/>
    <w:rsid w:val="006E3247"/>
    <w:rsid w:val="006E3289"/>
    <w:rsid w:val="006E328E"/>
    <w:rsid w:val="006E32C6"/>
    <w:rsid w:val="006E32EC"/>
    <w:rsid w:val="006E3363"/>
    <w:rsid w:val="006E3390"/>
    <w:rsid w:val="006E3396"/>
    <w:rsid w:val="006E33A3"/>
    <w:rsid w:val="006E33B8"/>
    <w:rsid w:val="006E33F9"/>
    <w:rsid w:val="006E3459"/>
    <w:rsid w:val="006E3473"/>
    <w:rsid w:val="006E3575"/>
    <w:rsid w:val="006E35A2"/>
    <w:rsid w:val="006E35A7"/>
    <w:rsid w:val="006E35DF"/>
    <w:rsid w:val="006E35E6"/>
    <w:rsid w:val="006E3626"/>
    <w:rsid w:val="006E3638"/>
    <w:rsid w:val="006E3667"/>
    <w:rsid w:val="006E3680"/>
    <w:rsid w:val="006E368A"/>
    <w:rsid w:val="006E36F1"/>
    <w:rsid w:val="006E3718"/>
    <w:rsid w:val="006E3719"/>
    <w:rsid w:val="006E379E"/>
    <w:rsid w:val="006E37B2"/>
    <w:rsid w:val="006E37C6"/>
    <w:rsid w:val="006E37C7"/>
    <w:rsid w:val="006E37CF"/>
    <w:rsid w:val="006E37F1"/>
    <w:rsid w:val="006E37F8"/>
    <w:rsid w:val="006E3840"/>
    <w:rsid w:val="006E38A8"/>
    <w:rsid w:val="006E38AD"/>
    <w:rsid w:val="006E38B4"/>
    <w:rsid w:val="006E393E"/>
    <w:rsid w:val="006E395E"/>
    <w:rsid w:val="006E3968"/>
    <w:rsid w:val="006E3A11"/>
    <w:rsid w:val="006E3A57"/>
    <w:rsid w:val="006E3A6A"/>
    <w:rsid w:val="006E3A9C"/>
    <w:rsid w:val="006E3AFB"/>
    <w:rsid w:val="006E3B34"/>
    <w:rsid w:val="006E3B4D"/>
    <w:rsid w:val="006E3B69"/>
    <w:rsid w:val="006E3BC8"/>
    <w:rsid w:val="006E3BD3"/>
    <w:rsid w:val="006E3C0D"/>
    <w:rsid w:val="006E3C2B"/>
    <w:rsid w:val="006E3CA0"/>
    <w:rsid w:val="006E3CBF"/>
    <w:rsid w:val="006E3CCD"/>
    <w:rsid w:val="006E3CE2"/>
    <w:rsid w:val="006E3D18"/>
    <w:rsid w:val="006E3D31"/>
    <w:rsid w:val="006E3D35"/>
    <w:rsid w:val="006E3D3C"/>
    <w:rsid w:val="006E3D54"/>
    <w:rsid w:val="006E3D58"/>
    <w:rsid w:val="006E3D94"/>
    <w:rsid w:val="006E3DBA"/>
    <w:rsid w:val="006E3E55"/>
    <w:rsid w:val="006E3E59"/>
    <w:rsid w:val="006E3E86"/>
    <w:rsid w:val="006E3EEB"/>
    <w:rsid w:val="006E3F09"/>
    <w:rsid w:val="006E3F3D"/>
    <w:rsid w:val="006E3F82"/>
    <w:rsid w:val="006E3FB0"/>
    <w:rsid w:val="006E4035"/>
    <w:rsid w:val="006E407E"/>
    <w:rsid w:val="006E40A9"/>
    <w:rsid w:val="006E40D4"/>
    <w:rsid w:val="006E4168"/>
    <w:rsid w:val="006E416A"/>
    <w:rsid w:val="006E417A"/>
    <w:rsid w:val="006E418D"/>
    <w:rsid w:val="006E4193"/>
    <w:rsid w:val="006E41AA"/>
    <w:rsid w:val="006E41AB"/>
    <w:rsid w:val="006E4214"/>
    <w:rsid w:val="006E4250"/>
    <w:rsid w:val="006E428C"/>
    <w:rsid w:val="006E429D"/>
    <w:rsid w:val="006E4363"/>
    <w:rsid w:val="006E43B1"/>
    <w:rsid w:val="006E43B2"/>
    <w:rsid w:val="006E4445"/>
    <w:rsid w:val="006E4483"/>
    <w:rsid w:val="006E44D3"/>
    <w:rsid w:val="006E450E"/>
    <w:rsid w:val="006E459B"/>
    <w:rsid w:val="006E45A3"/>
    <w:rsid w:val="006E45BB"/>
    <w:rsid w:val="006E45D8"/>
    <w:rsid w:val="006E4616"/>
    <w:rsid w:val="006E4660"/>
    <w:rsid w:val="006E46A3"/>
    <w:rsid w:val="006E46D8"/>
    <w:rsid w:val="006E46F8"/>
    <w:rsid w:val="006E46FE"/>
    <w:rsid w:val="006E4744"/>
    <w:rsid w:val="006E4760"/>
    <w:rsid w:val="006E476E"/>
    <w:rsid w:val="006E4787"/>
    <w:rsid w:val="006E479A"/>
    <w:rsid w:val="006E4817"/>
    <w:rsid w:val="006E483B"/>
    <w:rsid w:val="006E4877"/>
    <w:rsid w:val="006E48F5"/>
    <w:rsid w:val="006E4904"/>
    <w:rsid w:val="006E494F"/>
    <w:rsid w:val="006E4956"/>
    <w:rsid w:val="006E4968"/>
    <w:rsid w:val="006E4979"/>
    <w:rsid w:val="006E4991"/>
    <w:rsid w:val="006E49BA"/>
    <w:rsid w:val="006E4A11"/>
    <w:rsid w:val="006E4A18"/>
    <w:rsid w:val="006E4A57"/>
    <w:rsid w:val="006E4A95"/>
    <w:rsid w:val="006E4AC1"/>
    <w:rsid w:val="006E4AC9"/>
    <w:rsid w:val="006E4AEB"/>
    <w:rsid w:val="006E4B02"/>
    <w:rsid w:val="006E4B65"/>
    <w:rsid w:val="006E4BD5"/>
    <w:rsid w:val="006E4C17"/>
    <w:rsid w:val="006E4C4D"/>
    <w:rsid w:val="006E4CC9"/>
    <w:rsid w:val="006E4CE0"/>
    <w:rsid w:val="006E4D11"/>
    <w:rsid w:val="006E4D71"/>
    <w:rsid w:val="006E4DFD"/>
    <w:rsid w:val="006E4E18"/>
    <w:rsid w:val="006E4EE4"/>
    <w:rsid w:val="006E4EEC"/>
    <w:rsid w:val="006E4F38"/>
    <w:rsid w:val="006E4F61"/>
    <w:rsid w:val="006E4F98"/>
    <w:rsid w:val="006E4FC7"/>
    <w:rsid w:val="006E4FD2"/>
    <w:rsid w:val="006E4FDE"/>
    <w:rsid w:val="006E5033"/>
    <w:rsid w:val="006E507F"/>
    <w:rsid w:val="006E5088"/>
    <w:rsid w:val="006E50A6"/>
    <w:rsid w:val="006E50BC"/>
    <w:rsid w:val="006E50D1"/>
    <w:rsid w:val="006E5101"/>
    <w:rsid w:val="006E5172"/>
    <w:rsid w:val="006E5194"/>
    <w:rsid w:val="006E51BC"/>
    <w:rsid w:val="006E52EA"/>
    <w:rsid w:val="006E52F7"/>
    <w:rsid w:val="006E535D"/>
    <w:rsid w:val="006E5380"/>
    <w:rsid w:val="006E5386"/>
    <w:rsid w:val="006E53A5"/>
    <w:rsid w:val="006E53B1"/>
    <w:rsid w:val="006E53C4"/>
    <w:rsid w:val="006E53F7"/>
    <w:rsid w:val="006E5412"/>
    <w:rsid w:val="006E542A"/>
    <w:rsid w:val="006E5499"/>
    <w:rsid w:val="006E54DB"/>
    <w:rsid w:val="006E550E"/>
    <w:rsid w:val="006E5510"/>
    <w:rsid w:val="006E553C"/>
    <w:rsid w:val="006E5561"/>
    <w:rsid w:val="006E55EA"/>
    <w:rsid w:val="006E55FC"/>
    <w:rsid w:val="006E569B"/>
    <w:rsid w:val="006E5709"/>
    <w:rsid w:val="006E5745"/>
    <w:rsid w:val="006E5766"/>
    <w:rsid w:val="006E5783"/>
    <w:rsid w:val="006E57BE"/>
    <w:rsid w:val="006E57C1"/>
    <w:rsid w:val="006E5844"/>
    <w:rsid w:val="006E585D"/>
    <w:rsid w:val="006E5879"/>
    <w:rsid w:val="006E589F"/>
    <w:rsid w:val="006E58E0"/>
    <w:rsid w:val="006E58EF"/>
    <w:rsid w:val="006E591B"/>
    <w:rsid w:val="006E591D"/>
    <w:rsid w:val="006E597F"/>
    <w:rsid w:val="006E59BC"/>
    <w:rsid w:val="006E59C6"/>
    <w:rsid w:val="006E59CC"/>
    <w:rsid w:val="006E59F1"/>
    <w:rsid w:val="006E5A23"/>
    <w:rsid w:val="006E5A3D"/>
    <w:rsid w:val="006E5AA6"/>
    <w:rsid w:val="006E5B00"/>
    <w:rsid w:val="006E5B05"/>
    <w:rsid w:val="006E5B19"/>
    <w:rsid w:val="006E5B72"/>
    <w:rsid w:val="006E5B7B"/>
    <w:rsid w:val="006E5C09"/>
    <w:rsid w:val="006E5C1E"/>
    <w:rsid w:val="006E5C36"/>
    <w:rsid w:val="006E5C38"/>
    <w:rsid w:val="006E5C5D"/>
    <w:rsid w:val="006E5CDA"/>
    <w:rsid w:val="006E5CF3"/>
    <w:rsid w:val="006E5D54"/>
    <w:rsid w:val="006E5D5A"/>
    <w:rsid w:val="006E5DA5"/>
    <w:rsid w:val="006E5DB0"/>
    <w:rsid w:val="006E5DED"/>
    <w:rsid w:val="006E5E3B"/>
    <w:rsid w:val="006E5E50"/>
    <w:rsid w:val="006E5E52"/>
    <w:rsid w:val="006E5E57"/>
    <w:rsid w:val="006E5E5A"/>
    <w:rsid w:val="006E5F02"/>
    <w:rsid w:val="006E5F49"/>
    <w:rsid w:val="006E5F78"/>
    <w:rsid w:val="006E5FC4"/>
    <w:rsid w:val="006E5FC7"/>
    <w:rsid w:val="006E5FD6"/>
    <w:rsid w:val="006E600A"/>
    <w:rsid w:val="006E601B"/>
    <w:rsid w:val="006E6048"/>
    <w:rsid w:val="006E605E"/>
    <w:rsid w:val="006E6073"/>
    <w:rsid w:val="006E609F"/>
    <w:rsid w:val="006E60E4"/>
    <w:rsid w:val="006E60E5"/>
    <w:rsid w:val="006E60F3"/>
    <w:rsid w:val="006E6108"/>
    <w:rsid w:val="006E610F"/>
    <w:rsid w:val="006E6146"/>
    <w:rsid w:val="006E6177"/>
    <w:rsid w:val="006E61BE"/>
    <w:rsid w:val="006E61F0"/>
    <w:rsid w:val="006E6202"/>
    <w:rsid w:val="006E6206"/>
    <w:rsid w:val="006E6236"/>
    <w:rsid w:val="006E6249"/>
    <w:rsid w:val="006E625A"/>
    <w:rsid w:val="006E6268"/>
    <w:rsid w:val="006E6291"/>
    <w:rsid w:val="006E62BE"/>
    <w:rsid w:val="006E62DE"/>
    <w:rsid w:val="006E62F7"/>
    <w:rsid w:val="006E6377"/>
    <w:rsid w:val="006E63FC"/>
    <w:rsid w:val="006E644A"/>
    <w:rsid w:val="006E6459"/>
    <w:rsid w:val="006E645F"/>
    <w:rsid w:val="006E646F"/>
    <w:rsid w:val="006E6489"/>
    <w:rsid w:val="006E64DC"/>
    <w:rsid w:val="006E651A"/>
    <w:rsid w:val="006E655A"/>
    <w:rsid w:val="006E655B"/>
    <w:rsid w:val="006E6627"/>
    <w:rsid w:val="006E6642"/>
    <w:rsid w:val="006E664B"/>
    <w:rsid w:val="006E6683"/>
    <w:rsid w:val="006E66A2"/>
    <w:rsid w:val="006E66A6"/>
    <w:rsid w:val="006E66B3"/>
    <w:rsid w:val="006E66C2"/>
    <w:rsid w:val="006E66C4"/>
    <w:rsid w:val="006E6755"/>
    <w:rsid w:val="006E6767"/>
    <w:rsid w:val="006E6775"/>
    <w:rsid w:val="006E6780"/>
    <w:rsid w:val="006E67AD"/>
    <w:rsid w:val="006E6873"/>
    <w:rsid w:val="006E689F"/>
    <w:rsid w:val="006E68D6"/>
    <w:rsid w:val="006E68E0"/>
    <w:rsid w:val="006E692D"/>
    <w:rsid w:val="006E69A8"/>
    <w:rsid w:val="006E69DE"/>
    <w:rsid w:val="006E6A2B"/>
    <w:rsid w:val="006E6ADE"/>
    <w:rsid w:val="006E6AE6"/>
    <w:rsid w:val="006E6AFB"/>
    <w:rsid w:val="006E6B1D"/>
    <w:rsid w:val="006E6B1E"/>
    <w:rsid w:val="006E6B92"/>
    <w:rsid w:val="006E6BA0"/>
    <w:rsid w:val="006E6BB5"/>
    <w:rsid w:val="006E6BD1"/>
    <w:rsid w:val="006E6BFB"/>
    <w:rsid w:val="006E6BFC"/>
    <w:rsid w:val="006E6C60"/>
    <w:rsid w:val="006E6CC5"/>
    <w:rsid w:val="006E6D48"/>
    <w:rsid w:val="006E6D49"/>
    <w:rsid w:val="006E6D8E"/>
    <w:rsid w:val="006E6DA3"/>
    <w:rsid w:val="006E6DF9"/>
    <w:rsid w:val="006E6E53"/>
    <w:rsid w:val="006E6EF4"/>
    <w:rsid w:val="006E7032"/>
    <w:rsid w:val="006E70AD"/>
    <w:rsid w:val="006E70AF"/>
    <w:rsid w:val="006E7139"/>
    <w:rsid w:val="006E717F"/>
    <w:rsid w:val="006E7192"/>
    <w:rsid w:val="006E71AF"/>
    <w:rsid w:val="006E71B3"/>
    <w:rsid w:val="006E71DE"/>
    <w:rsid w:val="006E722C"/>
    <w:rsid w:val="006E7289"/>
    <w:rsid w:val="006E72A2"/>
    <w:rsid w:val="006E72CC"/>
    <w:rsid w:val="006E730A"/>
    <w:rsid w:val="006E731F"/>
    <w:rsid w:val="006E733F"/>
    <w:rsid w:val="006E734C"/>
    <w:rsid w:val="006E7387"/>
    <w:rsid w:val="006E73A3"/>
    <w:rsid w:val="006E73E3"/>
    <w:rsid w:val="006E73EE"/>
    <w:rsid w:val="006E7400"/>
    <w:rsid w:val="006E7437"/>
    <w:rsid w:val="006E7446"/>
    <w:rsid w:val="006E74A4"/>
    <w:rsid w:val="006E74AF"/>
    <w:rsid w:val="006E74BE"/>
    <w:rsid w:val="006E74D9"/>
    <w:rsid w:val="006E750A"/>
    <w:rsid w:val="006E7554"/>
    <w:rsid w:val="006E7568"/>
    <w:rsid w:val="006E7591"/>
    <w:rsid w:val="006E75BE"/>
    <w:rsid w:val="006E7661"/>
    <w:rsid w:val="006E766B"/>
    <w:rsid w:val="006E7683"/>
    <w:rsid w:val="006E76E7"/>
    <w:rsid w:val="006E776B"/>
    <w:rsid w:val="006E77CC"/>
    <w:rsid w:val="006E782A"/>
    <w:rsid w:val="006E7837"/>
    <w:rsid w:val="006E7838"/>
    <w:rsid w:val="006E785E"/>
    <w:rsid w:val="006E7860"/>
    <w:rsid w:val="006E787F"/>
    <w:rsid w:val="006E78A3"/>
    <w:rsid w:val="006E78E2"/>
    <w:rsid w:val="006E7900"/>
    <w:rsid w:val="006E7969"/>
    <w:rsid w:val="006E798E"/>
    <w:rsid w:val="006E79B6"/>
    <w:rsid w:val="006E79FF"/>
    <w:rsid w:val="006E7A09"/>
    <w:rsid w:val="006E7A0B"/>
    <w:rsid w:val="006E7A3F"/>
    <w:rsid w:val="006E7A56"/>
    <w:rsid w:val="006E7A83"/>
    <w:rsid w:val="006E7AA0"/>
    <w:rsid w:val="006E7AC3"/>
    <w:rsid w:val="006E7AC8"/>
    <w:rsid w:val="006E7B29"/>
    <w:rsid w:val="006E7B60"/>
    <w:rsid w:val="006E7BAD"/>
    <w:rsid w:val="006E7BD1"/>
    <w:rsid w:val="006E7BD7"/>
    <w:rsid w:val="006E7C63"/>
    <w:rsid w:val="006E7C7C"/>
    <w:rsid w:val="006E7C93"/>
    <w:rsid w:val="006E7CAB"/>
    <w:rsid w:val="006E7CCF"/>
    <w:rsid w:val="006E7CDC"/>
    <w:rsid w:val="006E7D77"/>
    <w:rsid w:val="006E7D91"/>
    <w:rsid w:val="006E7D9E"/>
    <w:rsid w:val="006E7DA3"/>
    <w:rsid w:val="006E7DBE"/>
    <w:rsid w:val="006E7E04"/>
    <w:rsid w:val="006E7E18"/>
    <w:rsid w:val="006E7E48"/>
    <w:rsid w:val="006E7E70"/>
    <w:rsid w:val="006E7EB1"/>
    <w:rsid w:val="006E7EB3"/>
    <w:rsid w:val="006E7EF9"/>
    <w:rsid w:val="006E7F2D"/>
    <w:rsid w:val="006E7F76"/>
    <w:rsid w:val="006E7F89"/>
    <w:rsid w:val="006E7FD9"/>
    <w:rsid w:val="006F0035"/>
    <w:rsid w:val="006F0068"/>
    <w:rsid w:val="006F0087"/>
    <w:rsid w:val="006F0088"/>
    <w:rsid w:val="006F00B2"/>
    <w:rsid w:val="006F00B3"/>
    <w:rsid w:val="006F00F1"/>
    <w:rsid w:val="006F012F"/>
    <w:rsid w:val="006F0160"/>
    <w:rsid w:val="006F01C1"/>
    <w:rsid w:val="006F01C2"/>
    <w:rsid w:val="006F01CD"/>
    <w:rsid w:val="006F022D"/>
    <w:rsid w:val="006F025B"/>
    <w:rsid w:val="006F0277"/>
    <w:rsid w:val="006F02CA"/>
    <w:rsid w:val="006F02E4"/>
    <w:rsid w:val="006F0345"/>
    <w:rsid w:val="006F0365"/>
    <w:rsid w:val="006F0376"/>
    <w:rsid w:val="006F03A8"/>
    <w:rsid w:val="006F040E"/>
    <w:rsid w:val="006F047A"/>
    <w:rsid w:val="006F048F"/>
    <w:rsid w:val="006F04B2"/>
    <w:rsid w:val="006F0572"/>
    <w:rsid w:val="006F05D6"/>
    <w:rsid w:val="006F05EE"/>
    <w:rsid w:val="006F05FB"/>
    <w:rsid w:val="006F0669"/>
    <w:rsid w:val="006F068D"/>
    <w:rsid w:val="006F070F"/>
    <w:rsid w:val="006F0740"/>
    <w:rsid w:val="006F077A"/>
    <w:rsid w:val="006F07BE"/>
    <w:rsid w:val="006F07DC"/>
    <w:rsid w:val="006F081D"/>
    <w:rsid w:val="006F082E"/>
    <w:rsid w:val="006F0848"/>
    <w:rsid w:val="006F0854"/>
    <w:rsid w:val="006F08B3"/>
    <w:rsid w:val="006F095A"/>
    <w:rsid w:val="006F0983"/>
    <w:rsid w:val="006F098E"/>
    <w:rsid w:val="006F09C8"/>
    <w:rsid w:val="006F09E8"/>
    <w:rsid w:val="006F0A17"/>
    <w:rsid w:val="006F0A93"/>
    <w:rsid w:val="006F0A97"/>
    <w:rsid w:val="006F0AED"/>
    <w:rsid w:val="006F0AFE"/>
    <w:rsid w:val="006F0B29"/>
    <w:rsid w:val="006F0B97"/>
    <w:rsid w:val="006F0BC1"/>
    <w:rsid w:val="006F0C4E"/>
    <w:rsid w:val="006F0CE7"/>
    <w:rsid w:val="006F0CF1"/>
    <w:rsid w:val="006F0D17"/>
    <w:rsid w:val="006F0D55"/>
    <w:rsid w:val="006F0D81"/>
    <w:rsid w:val="006F0DBB"/>
    <w:rsid w:val="006F0DCE"/>
    <w:rsid w:val="006F0E7A"/>
    <w:rsid w:val="006F0E80"/>
    <w:rsid w:val="006F0EA7"/>
    <w:rsid w:val="006F0EEA"/>
    <w:rsid w:val="006F0F34"/>
    <w:rsid w:val="006F0F61"/>
    <w:rsid w:val="006F0F77"/>
    <w:rsid w:val="006F0FF4"/>
    <w:rsid w:val="006F1009"/>
    <w:rsid w:val="006F101D"/>
    <w:rsid w:val="006F107E"/>
    <w:rsid w:val="006F108B"/>
    <w:rsid w:val="006F108D"/>
    <w:rsid w:val="006F10BF"/>
    <w:rsid w:val="006F10E5"/>
    <w:rsid w:val="006F1112"/>
    <w:rsid w:val="006F1165"/>
    <w:rsid w:val="006F11A5"/>
    <w:rsid w:val="006F11D4"/>
    <w:rsid w:val="006F11DD"/>
    <w:rsid w:val="006F1205"/>
    <w:rsid w:val="006F1237"/>
    <w:rsid w:val="006F125D"/>
    <w:rsid w:val="006F1283"/>
    <w:rsid w:val="006F12D0"/>
    <w:rsid w:val="006F131B"/>
    <w:rsid w:val="006F1324"/>
    <w:rsid w:val="006F132A"/>
    <w:rsid w:val="006F132B"/>
    <w:rsid w:val="006F1336"/>
    <w:rsid w:val="006F1348"/>
    <w:rsid w:val="006F134E"/>
    <w:rsid w:val="006F1359"/>
    <w:rsid w:val="006F1394"/>
    <w:rsid w:val="006F13F9"/>
    <w:rsid w:val="006F1492"/>
    <w:rsid w:val="006F151B"/>
    <w:rsid w:val="006F1542"/>
    <w:rsid w:val="006F1564"/>
    <w:rsid w:val="006F156D"/>
    <w:rsid w:val="006F15EC"/>
    <w:rsid w:val="006F1609"/>
    <w:rsid w:val="006F1698"/>
    <w:rsid w:val="006F16B8"/>
    <w:rsid w:val="006F16F3"/>
    <w:rsid w:val="006F172F"/>
    <w:rsid w:val="006F174D"/>
    <w:rsid w:val="006F177A"/>
    <w:rsid w:val="006F17A7"/>
    <w:rsid w:val="006F17CB"/>
    <w:rsid w:val="006F17E7"/>
    <w:rsid w:val="006F1875"/>
    <w:rsid w:val="006F18FC"/>
    <w:rsid w:val="006F199C"/>
    <w:rsid w:val="006F199E"/>
    <w:rsid w:val="006F19C1"/>
    <w:rsid w:val="006F19E1"/>
    <w:rsid w:val="006F1A57"/>
    <w:rsid w:val="006F1A69"/>
    <w:rsid w:val="006F1A96"/>
    <w:rsid w:val="006F1B3E"/>
    <w:rsid w:val="006F1B48"/>
    <w:rsid w:val="006F1B67"/>
    <w:rsid w:val="006F1C14"/>
    <w:rsid w:val="006F1C18"/>
    <w:rsid w:val="006F1C24"/>
    <w:rsid w:val="006F1C3D"/>
    <w:rsid w:val="006F1C9D"/>
    <w:rsid w:val="006F1D0E"/>
    <w:rsid w:val="006F1D22"/>
    <w:rsid w:val="006F1D3B"/>
    <w:rsid w:val="006F1D3D"/>
    <w:rsid w:val="006F1D54"/>
    <w:rsid w:val="006F1D7F"/>
    <w:rsid w:val="006F1D82"/>
    <w:rsid w:val="006F1E2F"/>
    <w:rsid w:val="006F1E71"/>
    <w:rsid w:val="006F1E9F"/>
    <w:rsid w:val="006F1EB7"/>
    <w:rsid w:val="006F1EDD"/>
    <w:rsid w:val="006F1EF0"/>
    <w:rsid w:val="006F1EFD"/>
    <w:rsid w:val="006F1FD9"/>
    <w:rsid w:val="006F1FFD"/>
    <w:rsid w:val="006F201C"/>
    <w:rsid w:val="006F2056"/>
    <w:rsid w:val="006F217E"/>
    <w:rsid w:val="006F21BB"/>
    <w:rsid w:val="006F2202"/>
    <w:rsid w:val="006F224B"/>
    <w:rsid w:val="006F225E"/>
    <w:rsid w:val="006F22F2"/>
    <w:rsid w:val="006F2451"/>
    <w:rsid w:val="006F2457"/>
    <w:rsid w:val="006F247F"/>
    <w:rsid w:val="006F24F3"/>
    <w:rsid w:val="006F2538"/>
    <w:rsid w:val="006F255E"/>
    <w:rsid w:val="006F2572"/>
    <w:rsid w:val="006F2588"/>
    <w:rsid w:val="006F25AE"/>
    <w:rsid w:val="006F25B2"/>
    <w:rsid w:val="006F25E6"/>
    <w:rsid w:val="006F2601"/>
    <w:rsid w:val="006F2610"/>
    <w:rsid w:val="006F264A"/>
    <w:rsid w:val="006F2656"/>
    <w:rsid w:val="006F265C"/>
    <w:rsid w:val="006F2695"/>
    <w:rsid w:val="006F26AA"/>
    <w:rsid w:val="006F2723"/>
    <w:rsid w:val="006F2733"/>
    <w:rsid w:val="006F273C"/>
    <w:rsid w:val="006F274B"/>
    <w:rsid w:val="006F27DC"/>
    <w:rsid w:val="006F2817"/>
    <w:rsid w:val="006F28E7"/>
    <w:rsid w:val="006F2A2E"/>
    <w:rsid w:val="006F2A34"/>
    <w:rsid w:val="006F2A36"/>
    <w:rsid w:val="006F2A99"/>
    <w:rsid w:val="006F2ACC"/>
    <w:rsid w:val="006F2B5E"/>
    <w:rsid w:val="006F2B8D"/>
    <w:rsid w:val="006F2BD8"/>
    <w:rsid w:val="006F2BDE"/>
    <w:rsid w:val="006F2C0B"/>
    <w:rsid w:val="006F2C2A"/>
    <w:rsid w:val="006F2CA7"/>
    <w:rsid w:val="006F2CC7"/>
    <w:rsid w:val="006F2CD0"/>
    <w:rsid w:val="006F2D04"/>
    <w:rsid w:val="006F2D16"/>
    <w:rsid w:val="006F2D29"/>
    <w:rsid w:val="006F2D58"/>
    <w:rsid w:val="006F2D5B"/>
    <w:rsid w:val="006F2D69"/>
    <w:rsid w:val="006F2D81"/>
    <w:rsid w:val="006F2E10"/>
    <w:rsid w:val="006F2E18"/>
    <w:rsid w:val="006F2E3B"/>
    <w:rsid w:val="006F2E58"/>
    <w:rsid w:val="006F2EC6"/>
    <w:rsid w:val="006F2F0E"/>
    <w:rsid w:val="006F2F13"/>
    <w:rsid w:val="006F2F4D"/>
    <w:rsid w:val="006F2F5A"/>
    <w:rsid w:val="006F2FA7"/>
    <w:rsid w:val="006F2FB6"/>
    <w:rsid w:val="006F2FF2"/>
    <w:rsid w:val="006F302E"/>
    <w:rsid w:val="006F3056"/>
    <w:rsid w:val="006F3060"/>
    <w:rsid w:val="006F307A"/>
    <w:rsid w:val="006F3095"/>
    <w:rsid w:val="006F30E1"/>
    <w:rsid w:val="006F30F2"/>
    <w:rsid w:val="006F3127"/>
    <w:rsid w:val="006F31AD"/>
    <w:rsid w:val="006F31CF"/>
    <w:rsid w:val="006F31F2"/>
    <w:rsid w:val="006F31FB"/>
    <w:rsid w:val="006F3245"/>
    <w:rsid w:val="006F32C1"/>
    <w:rsid w:val="006F3301"/>
    <w:rsid w:val="006F3340"/>
    <w:rsid w:val="006F336B"/>
    <w:rsid w:val="006F338F"/>
    <w:rsid w:val="006F33B2"/>
    <w:rsid w:val="006F33FE"/>
    <w:rsid w:val="006F3442"/>
    <w:rsid w:val="006F34A0"/>
    <w:rsid w:val="006F34A2"/>
    <w:rsid w:val="006F34A3"/>
    <w:rsid w:val="006F34C2"/>
    <w:rsid w:val="006F34C3"/>
    <w:rsid w:val="006F34C9"/>
    <w:rsid w:val="006F3547"/>
    <w:rsid w:val="006F356B"/>
    <w:rsid w:val="006F35AC"/>
    <w:rsid w:val="006F35F4"/>
    <w:rsid w:val="006F35F5"/>
    <w:rsid w:val="006F35FA"/>
    <w:rsid w:val="006F3623"/>
    <w:rsid w:val="006F363D"/>
    <w:rsid w:val="006F3656"/>
    <w:rsid w:val="006F36A9"/>
    <w:rsid w:val="006F3714"/>
    <w:rsid w:val="006F3739"/>
    <w:rsid w:val="006F37CF"/>
    <w:rsid w:val="006F3800"/>
    <w:rsid w:val="006F380E"/>
    <w:rsid w:val="006F38AE"/>
    <w:rsid w:val="006F38BC"/>
    <w:rsid w:val="006F38E6"/>
    <w:rsid w:val="006F3930"/>
    <w:rsid w:val="006F3967"/>
    <w:rsid w:val="006F39D3"/>
    <w:rsid w:val="006F3A06"/>
    <w:rsid w:val="006F3A64"/>
    <w:rsid w:val="006F3A89"/>
    <w:rsid w:val="006F3A8F"/>
    <w:rsid w:val="006F3AC8"/>
    <w:rsid w:val="006F3AD3"/>
    <w:rsid w:val="006F3AE8"/>
    <w:rsid w:val="006F3B91"/>
    <w:rsid w:val="006F3BA0"/>
    <w:rsid w:val="006F3BDD"/>
    <w:rsid w:val="006F3BEB"/>
    <w:rsid w:val="006F3CFF"/>
    <w:rsid w:val="006F3D1C"/>
    <w:rsid w:val="006F3D2F"/>
    <w:rsid w:val="006F3D42"/>
    <w:rsid w:val="006F3D54"/>
    <w:rsid w:val="006F3D71"/>
    <w:rsid w:val="006F3D94"/>
    <w:rsid w:val="006F3DF5"/>
    <w:rsid w:val="006F3E6A"/>
    <w:rsid w:val="006F3E6C"/>
    <w:rsid w:val="006F3E76"/>
    <w:rsid w:val="006F3E8D"/>
    <w:rsid w:val="006F3EF5"/>
    <w:rsid w:val="006F3EF6"/>
    <w:rsid w:val="006F3EFD"/>
    <w:rsid w:val="006F3F55"/>
    <w:rsid w:val="006F3FAA"/>
    <w:rsid w:val="006F3FD5"/>
    <w:rsid w:val="006F4007"/>
    <w:rsid w:val="006F400C"/>
    <w:rsid w:val="006F400E"/>
    <w:rsid w:val="006F4010"/>
    <w:rsid w:val="006F40C9"/>
    <w:rsid w:val="006F4114"/>
    <w:rsid w:val="006F4169"/>
    <w:rsid w:val="006F4220"/>
    <w:rsid w:val="006F4232"/>
    <w:rsid w:val="006F426D"/>
    <w:rsid w:val="006F428B"/>
    <w:rsid w:val="006F42C8"/>
    <w:rsid w:val="006F42F7"/>
    <w:rsid w:val="006F4304"/>
    <w:rsid w:val="006F4305"/>
    <w:rsid w:val="006F435B"/>
    <w:rsid w:val="006F4378"/>
    <w:rsid w:val="006F4421"/>
    <w:rsid w:val="006F449F"/>
    <w:rsid w:val="006F44D7"/>
    <w:rsid w:val="006F451B"/>
    <w:rsid w:val="006F451E"/>
    <w:rsid w:val="006F456F"/>
    <w:rsid w:val="006F4580"/>
    <w:rsid w:val="006F45D6"/>
    <w:rsid w:val="006F460E"/>
    <w:rsid w:val="006F46E7"/>
    <w:rsid w:val="006F46F0"/>
    <w:rsid w:val="006F4712"/>
    <w:rsid w:val="006F4747"/>
    <w:rsid w:val="006F4761"/>
    <w:rsid w:val="006F476A"/>
    <w:rsid w:val="006F47C4"/>
    <w:rsid w:val="006F47E3"/>
    <w:rsid w:val="006F47E8"/>
    <w:rsid w:val="006F4838"/>
    <w:rsid w:val="006F484A"/>
    <w:rsid w:val="006F487C"/>
    <w:rsid w:val="006F488A"/>
    <w:rsid w:val="006F4897"/>
    <w:rsid w:val="006F48A1"/>
    <w:rsid w:val="006F48B6"/>
    <w:rsid w:val="006F48DF"/>
    <w:rsid w:val="006F48FF"/>
    <w:rsid w:val="006F490E"/>
    <w:rsid w:val="006F4993"/>
    <w:rsid w:val="006F4A00"/>
    <w:rsid w:val="006F4A28"/>
    <w:rsid w:val="006F4A5A"/>
    <w:rsid w:val="006F4A85"/>
    <w:rsid w:val="006F4ABF"/>
    <w:rsid w:val="006F4B05"/>
    <w:rsid w:val="006F4B44"/>
    <w:rsid w:val="006F4B5C"/>
    <w:rsid w:val="006F4B81"/>
    <w:rsid w:val="006F4B83"/>
    <w:rsid w:val="006F4BC2"/>
    <w:rsid w:val="006F4BE0"/>
    <w:rsid w:val="006F4C08"/>
    <w:rsid w:val="006F4C5A"/>
    <w:rsid w:val="006F4C7D"/>
    <w:rsid w:val="006F4C8C"/>
    <w:rsid w:val="006F4CB6"/>
    <w:rsid w:val="006F4D0E"/>
    <w:rsid w:val="006F4D1F"/>
    <w:rsid w:val="006F4D86"/>
    <w:rsid w:val="006F4DBB"/>
    <w:rsid w:val="006F4DDD"/>
    <w:rsid w:val="006F4E01"/>
    <w:rsid w:val="006F4E11"/>
    <w:rsid w:val="006F4EE8"/>
    <w:rsid w:val="006F4F47"/>
    <w:rsid w:val="006F4F5B"/>
    <w:rsid w:val="006F4FA6"/>
    <w:rsid w:val="006F4FB4"/>
    <w:rsid w:val="006F4FE1"/>
    <w:rsid w:val="006F5043"/>
    <w:rsid w:val="006F5060"/>
    <w:rsid w:val="006F5061"/>
    <w:rsid w:val="006F5064"/>
    <w:rsid w:val="006F5123"/>
    <w:rsid w:val="006F5132"/>
    <w:rsid w:val="006F5167"/>
    <w:rsid w:val="006F519D"/>
    <w:rsid w:val="006F51C2"/>
    <w:rsid w:val="006F522F"/>
    <w:rsid w:val="006F52A9"/>
    <w:rsid w:val="006F530E"/>
    <w:rsid w:val="006F5328"/>
    <w:rsid w:val="006F5359"/>
    <w:rsid w:val="006F5392"/>
    <w:rsid w:val="006F53A5"/>
    <w:rsid w:val="006F53B7"/>
    <w:rsid w:val="006F5491"/>
    <w:rsid w:val="006F54BF"/>
    <w:rsid w:val="006F55B0"/>
    <w:rsid w:val="006F55D4"/>
    <w:rsid w:val="006F5607"/>
    <w:rsid w:val="006F5615"/>
    <w:rsid w:val="006F5632"/>
    <w:rsid w:val="006F5635"/>
    <w:rsid w:val="006F5636"/>
    <w:rsid w:val="006F568B"/>
    <w:rsid w:val="006F56F3"/>
    <w:rsid w:val="006F5756"/>
    <w:rsid w:val="006F5778"/>
    <w:rsid w:val="006F57B0"/>
    <w:rsid w:val="006F57D2"/>
    <w:rsid w:val="006F57E3"/>
    <w:rsid w:val="006F57FA"/>
    <w:rsid w:val="006F5820"/>
    <w:rsid w:val="006F5863"/>
    <w:rsid w:val="006F588D"/>
    <w:rsid w:val="006F5898"/>
    <w:rsid w:val="006F589D"/>
    <w:rsid w:val="006F5938"/>
    <w:rsid w:val="006F5970"/>
    <w:rsid w:val="006F59A1"/>
    <w:rsid w:val="006F59BF"/>
    <w:rsid w:val="006F5A41"/>
    <w:rsid w:val="006F5AAE"/>
    <w:rsid w:val="006F5B1B"/>
    <w:rsid w:val="006F5B3F"/>
    <w:rsid w:val="006F5BBB"/>
    <w:rsid w:val="006F5C2E"/>
    <w:rsid w:val="006F5C32"/>
    <w:rsid w:val="006F5C35"/>
    <w:rsid w:val="006F5C74"/>
    <w:rsid w:val="006F5C7C"/>
    <w:rsid w:val="006F5DBE"/>
    <w:rsid w:val="006F5E5A"/>
    <w:rsid w:val="006F5E9E"/>
    <w:rsid w:val="006F5EA7"/>
    <w:rsid w:val="006F5EBD"/>
    <w:rsid w:val="006F5F5A"/>
    <w:rsid w:val="006F5F66"/>
    <w:rsid w:val="006F5FA1"/>
    <w:rsid w:val="006F6013"/>
    <w:rsid w:val="006F602A"/>
    <w:rsid w:val="006F6066"/>
    <w:rsid w:val="006F60BB"/>
    <w:rsid w:val="006F618C"/>
    <w:rsid w:val="006F61A2"/>
    <w:rsid w:val="006F6220"/>
    <w:rsid w:val="006F622C"/>
    <w:rsid w:val="006F625B"/>
    <w:rsid w:val="006F62DA"/>
    <w:rsid w:val="006F63C6"/>
    <w:rsid w:val="006F63E1"/>
    <w:rsid w:val="006F63F1"/>
    <w:rsid w:val="006F63F4"/>
    <w:rsid w:val="006F6469"/>
    <w:rsid w:val="006F64C6"/>
    <w:rsid w:val="006F64E6"/>
    <w:rsid w:val="006F650A"/>
    <w:rsid w:val="006F6526"/>
    <w:rsid w:val="006F658B"/>
    <w:rsid w:val="006F658D"/>
    <w:rsid w:val="006F65A6"/>
    <w:rsid w:val="006F65AB"/>
    <w:rsid w:val="006F65C7"/>
    <w:rsid w:val="006F6604"/>
    <w:rsid w:val="006F6632"/>
    <w:rsid w:val="006F6669"/>
    <w:rsid w:val="006F66B6"/>
    <w:rsid w:val="006F66C5"/>
    <w:rsid w:val="006F66E4"/>
    <w:rsid w:val="006F66EC"/>
    <w:rsid w:val="006F66EE"/>
    <w:rsid w:val="006F670D"/>
    <w:rsid w:val="006F6730"/>
    <w:rsid w:val="006F6794"/>
    <w:rsid w:val="006F67A6"/>
    <w:rsid w:val="006F6810"/>
    <w:rsid w:val="006F6813"/>
    <w:rsid w:val="006F6887"/>
    <w:rsid w:val="006F68C1"/>
    <w:rsid w:val="006F68F3"/>
    <w:rsid w:val="006F695A"/>
    <w:rsid w:val="006F69E2"/>
    <w:rsid w:val="006F6A5F"/>
    <w:rsid w:val="006F6A97"/>
    <w:rsid w:val="006F6B1F"/>
    <w:rsid w:val="006F6B46"/>
    <w:rsid w:val="006F6B82"/>
    <w:rsid w:val="006F6BC9"/>
    <w:rsid w:val="006F6C88"/>
    <w:rsid w:val="006F6CDF"/>
    <w:rsid w:val="006F6D34"/>
    <w:rsid w:val="006F6D6D"/>
    <w:rsid w:val="006F6D76"/>
    <w:rsid w:val="006F6DA2"/>
    <w:rsid w:val="006F6E69"/>
    <w:rsid w:val="006F6E9F"/>
    <w:rsid w:val="006F6EE0"/>
    <w:rsid w:val="006F6F5D"/>
    <w:rsid w:val="006F6FE6"/>
    <w:rsid w:val="006F704A"/>
    <w:rsid w:val="006F707F"/>
    <w:rsid w:val="006F70A8"/>
    <w:rsid w:val="006F7103"/>
    <w:rsid w:val="006F710A"/>
    <w:rsid w:val="006F7160"/>
    <w:rsid w:val="006F7180"/>
    <w:rsid w:val="006F71D8"/>
    <w:rsid w:val="006F71E4"/>
    <w:rsid w:val="006F720A"/>
    <w:rsid w:val="006F7212"/>
    <w:rsid w:val="006F7248"/>
    <w:rsid w:val="006F7292"/>
    <w:rsid w:val="006F72F6"/>
    <w:rsid w:val="006F7324"/>
    <w:rsid w:val="006F73BA"/>
    <w:rsid w:val="006F73EE"/>
    <w:rsid w:val="006F7410"/>
    <w:rsid w:val="006F744B"/>
    <w:rsid w:val="006F748B"/>
    <w:rsid w:val="006F74CC"/>
    <w:rsid w:val="006F74D1"/>
    <w:rsid w:val="006F74D9"/>
    <w:rsid w:val="006F7530"/>
    <w:rsid w:val="006F756B"/>
    <w:rsid w:val="006F75D9"/>
    <w:rsid w:val="006F76AC"/>
    <w:rsid w:val="006F771A"/>
    <w:rsid w:val="006F7746"/>
    <w:rsid w:val="006F774B"/>
    <w:rsid w:val="006F775C"/>
    <w:rsid w:val="006F778D"/>
    <w:rsid w:val="006F77C8"/>
    <w:rsid w:val="006F77F6"/>
    <w:rsid w:val="006F7869"/>
    <w:rsid w:val="006F789D"/>
    <w:rsid w:val="006F791A"/>
    <w:rsid w:val="006F7956"/>
    <w:rsid w:val="006F7992"/>
    <w:rsid w:val="006F79A0"/>
    <w:rsid w:val="006F79A4"/>
    <w:rsid w:val="006F79E7"/>
    <w:rsid w:val="006F79FC"/>
    <w:rsid w:val="006F79FE"/>
    <w:rsid w:val="006F7A3B"/>
    <w:rsid w:val="006F7A84"/>
    <w:rsid w:val="006F7AA9"/>
    <w:rsid w:val="006F7B0B"/>
    <w:rsid w:val="006F7B16"/>
    <w:rsid w:val="006F7B42"/>
    <w:rsid w:val="006F7BA1"/>
    <w:rsid w:val="006F7BCC"/>
    <w:rsid w:val="006F7BEC"/>
    <w:rsid w:val="006F7BED"/>
    <w:rsid w:val="006F7C21"/>
    <w:rsid w:val="006F7C45"/>
    <w:rsid w:val="006F7C8E"/>
    <w:rsid w:val="006F7C91"/>
    <w:rsid w:val="006F7CDE"/>
    <w:rsid w:val="006F7CE6"/>
    <w:rsid w:val="006F7CF7"/>
    <w:rsid w:val="006F7CFB"/>
    <w:rsid w:val="006F7D36"/>
    <w:rsid w:val="006F7D53"/>
    <w:rsid w:val="006F7D6C"/>
    <w:rsid w:val="006F7E01"/>
    <w:rsid w:val="006F7E2A"/>
    <w:rsid w:val="006F7E36"/>
    <w:rsid w:val="006F7E49"/>
    <w:rsid w:val="006F7E68"/>
    <w:rsid w:val="006F7E85"/>
    <w:rsid w:val="006F7E8C"/>
    <w:rsid w:val="006F7E96"/>
    <w:rsid w:val="006F7E99"/>
    <w:rsid w:val="006F7ECE"/>
    <w:rsid w:val="006F7EDA"/>
    <w:rsid w:val="006F7F43"/>
    <w:rsid w:val="006F7F4B"/>
    <w:rsid w:val="006F7FA0"/>
    <w:rsid w:val="006F7FAA"/>
    <w:rsid w:val="006F7FE5"/>
    <w:rsid w:val="0070003E"/>
    <w:rsid w:val="00700139"/>
    <w:rsid w:val="00700175"/>
    <w:rsid w:val="007001A2"/>
    <w:rsid w:val="007001A9"/>
    <w:rsid w:val="00700215"/>
    <w:rsid w:val="00700277"/>
    <w:rsid w:val="007002B5"/>
    <w:rsid w:val="0070030D"/>
    <w:rsid w:val="00700364"/>
    <w:rsid w:val="00700373"/>
    <w:rsid w:val="00700392"/>
    <w:rsid w:val="007003F0"/>
    <w:rsid w:val="0070041C"/>
    <w:rsid w:val="00700425"/>
    <w:rsid w:val="0070043D"/>
    <w:rsid w:val="0070045A"/>
    <w:rsid w:val="00700475"/>
    <w:rsid w:val="007004BE"/>
    <w:rsid w:val="007004CB"/>
    <w:rsid w:val="00700502"/>
    <w:rsid w:val="00700560"/>
    <w:rsid w:val="00700579"/>
    <w:rsid w:val="007005AC"/>
    <w:rsid w:val="007005B2"/>
    <w:rsid w:val="007005D6"/>
    <w:rsid w:val="007005DC"/>
    <w:rsid w:val="007005DD"/>
    <w:rsid w:val="007005EC"/>
    <w:rsid w:val="0070064A"/>
    <w:rsid w:val="00700683"/>
    <w:rsid w:val="0070072E"/>
    <w:rsid w:val="00700762"/>
    <w:rsid w:val="0070077D"/>
    <w:rsid w:val="00700796"/>
    <w:rsid w:val="007007BA"/>
    <w:rsid w:val="00700872"/>
    <w:rsid w:val="00700899"/>
    <w:rsid w:val="007008A7"/>
    <w:rsid w:val="007008FC"/>
    <w:rsid w:val="00700925"/>
    <w:rsid w:val="00700927"/>
    <w:rsid w:val="0070093A"/>
    <w:rsid w:val="0070094B"/>
    <w:rsid w:val="00700952"/>
    <w:rsid w:val="00700989"/>
    <w:rsid w:val="00700A31"/>
    <w:rsid w:val="00700AF2"/>
    <w:rsid w:val="00700B42"/>
    <w:rsid w:val="00700B8E"/>
    <w:rsid w:val="00700C00"/>
    <w:rsid w:val="00700C1F"/>
    <w:rsid w:val="00700C44"/>
    <w:rsid w:val="00700C67"/>
    <w:rsid w:val="00700D00"/>
    <w:rsid w:val="00700D79"/>
    <w:rsid w:val="00700DD1"/>
    <w:rsid w:val="00700DD6"/>
    <w:rsid w:val="00700DDE"/>
    <w:rsid w:val="00700DF4"/>
    <w:rsid w:val="00700DF7"/>
    <w:rsid w:val="00700E57"/>
    <w:rsid w:val="00700E5E"/>
    <w:rsid w:val="00700E82"/>
    <w:rsid w:val="00700E86"/>
    <w:rsid w:val="00700EA1"/>
    <w:rsid w:val="00700EB1"/>
    <w:rsid w:val="00700F03"/>
    <w:rsid w:val="00700F13"/>
    <w:rsid w:val="00700F14"/>
    <w:rsid w:val="00700F16"/>
    <w:rsid w:val="00700F1F"/>
    <w:rsid w:val="00700F41"/>
    <w:rsid w:val="00700F43"/>
    <w:rsid w:val="00700F4E"/>
    <w:rsid w:val="00700FB8"/>
    <w:rsid w:val="00701089"/>
    <w:rsid w:val="00701117"/>
    <w:rsid w:val="0070111C"/>
    <w:rsid w:val="00701121"/>
    <w:rsid w:val="00701191"/>
    <w:rsid w:val="007011BC"/>
    <w:rsid w:val="007011C0"/>
    <w:rsid w:val="00701266"/>
    <w:rsid w:val="007012F1"/>
    <w:rsid w:val="0070130E"/>
    <w:rsid w:val="00701317"/>
    <w:rsid w:val="00701341"/>
    <w:rsid w:val="0070134E"/>
    <w:rsid w:val="00701388"/>
    <w:rsid w:val="0070139B"/>
    <w:rsid w:val="007013A7"/>
    <w:rsid w:val="007013E3"/>
    <w:rsid w:val="007013F1"/>
    <w:rsid w:val="00701442"/>
    <w:rsid w:val="00701468"/>
    <w:rsid w:val="007014AA"/>
    <w:rsid w:val="007014CD"/>
    <w:rsid w:val="007014E2"/>
    <w:rsid w:val="00701505"/>
    <w:rsid w:val="00701535"/>
    <w:rsid w:val="0070154C"/>
    <w:rsid w:val="00701577"/>
    <w:rsid w:val="00701582"/>
    <w:rsid w:val="007016BD"/>
    <w:rsid w:val="007016EB"/>
    <w:rsid w:val="007016F9"/>
    <w:rsid w:val="0070172C"/>
    <w:rsid w:val="00701738"/>
    <w:rsid w:val="00701758"/>
    <w:rsid w:val="007017AB"/>
    <w:rsid w:val="007017C6"/>
    <w:rsid w:val="007017E1"/>
    <w:rsid w:val="0070182D"/>
    <w:rsid w:val="00701922"/>
    <w:rsid w:val="00701A06"/>
    <w:rsid w:val="00701A37"/>
    <w:rsid w:val="00701AB0"/>
    <w:rsid w:val="00701AD3"/>
    <w:rsid w:val="00701B07"/>
    <w:rsid w:val="00701B2C"/>
    <w:rsid w:val="00701B3E"/>
    <w:rsid w:val="00701B54"/>
    <w:rsid w:val="00701BAE"/>
    <w:rsid w:val="00701BB2"/>
    <w:rsid w:val="00701C01"/>
    <w:rsid w:val="00701C5A"/>
    <w:rsid w:val="00701C7D"/>
    <w:rsid w:val="00701C82"/>
    <w:rsid w:val="00701D4D"/>
    <w:rsid w:val="00701D69"/>
    <w:rsid w:val="00701D9A"/>
    <w:rsid w:val="00701DD2"/>
    <w:rsid w:val="00701E14"/>
    <w:rsid w:val="00701E84"/>
    <w:rsid w:val="00701ED4"/>
    <w:rsid w:val="00701F29"/>
    <w:rsid w:val="00701F6E"/>
    <w:rsid w:val="00701F7A"/>
    <w:rsid w:val="00701FF1"/>
    <w:rsid w:val="00702040"/>
    <w:rsid w:val="0070208B"/>
    <w:rsid w:val="007020A6"/>
    <w:rsid w:val="007020DE"/>
    <w:rsid w:val="007020E7"/>
    <w:rsid w:val="007020F3"/>
    <w:rsid w:val="00702102"/>
    <w:rsid w:val="00702138"/>
    <w:rsid w:val="007021F3"/>
    <w:rsid w:val="00702207"/>
    <w:rsid w:val="00702211"/>
    <w:rsid w:val="0070222B"/>
    <w:rsid w:val="00702264"/>
    <w:rsid w:val="0070227C"/>
    <w:rsid w:val="00702283"/>
    <w:rsid w:val="007022A4"/>
    <w:rsid w:val="007022C4"/>
    <w:rsid w:val="007022C7"/>
    <w:rsid w:val="0070233C"/>
    <w:rsid w:val="00702354"/>
    <w:rsid w:val="00702368"/>
    <w:rsid w:val="00702375"/>
    <w:rsid w:val="00702383"/>
    <w:rsid w:val="007023E3"/>
    <w:rsid w:val="00702425"/>
    <w:rsid w:val="0070253C"/>
    <w:rsid w:val="007025B7"/>
    <w:rsid w:val="007025C3"/>
    <w:rsid w:val="00702636"/>
    <w:rsid w:val="00702645"/>
    <w:rsid w:val="00702670"/>
    <w:rsid w:val="007026D1"/>
    <w:rsid w:val="007026DD"/>
    <w:rsid w:val="0070277D"/>
    <w:rsid w:val="007027BC"/>
    <w:rsid w:val="0070283C"/>
    <w:rsid w:val="00702853"/>
    <w:rsid w:val="007028C5"/>
    <w:rsid w:val="00702908"/>
    <w:rsid w:val="00702962"/>
    <w:rsid w:val="00702964"/>
    <w:rsid w:val="007029CB"/>
    <w:rsid w:val="00702A06"/>
    <w:rsid w:val="00702A1E"/>
    <w:rsid w:val="00702A1F"/>
    <w:rsid w:val="00702A63"/>
    <w:rsid w:val="00702B19"/>
    <w:rsid w:val="00702B72"/>
    <w:rsid w:val="00702B93"/>
    <w:rsid w:val="00702BCD"/>
    <w:rsid w:val="00702BCE"/>
    <w:rsid w:val="00702BEB"/>
    <w:rsid w:val="00702BFC"/>
    <w:rsid w:val="00702C34"/>
    <w:rsid w:val="00702CAA"/>
    <w:rsid w:val="00702CC1"/>
    <w:rsid w:val="00702D60"/>
    <w:rsid w:val="00702D74"/>
    <w:rsid w:val="00702DA9"/>
    <w:rsid w:val="00702DFB"/>
    <w:rsid w:val="00702E32"/>
    <w:rsid w:val="00702E64"/>
    <w:rsid w:val="007030B8"/>
    <w:rsid w:val="007030F2"/>
    <w:rsid w:val="00703160"/>
    <w:rsid w:val="00703165"/>
    <w:rsid w:val="0070316E"/>
    <w:rsid w:val="0070317A"/>
    <w:rsid w:val="007031AB"/>
    <w:rsid w:val="007031D0"/>
    <w:rsid w:val="00703242"/>
    <w:rsid w:val="00703285"/>
    <w:rsid w:val="00703292"/>
    <w:rsid w:val="007032A8"/>
    <w:rsid w:val="007032B4"/>
    <w:rsid w:val="007032C2"/>
    <w:rsid w:val="007032CE"/>
    <w:rsid w:val="00703300"/>
    <w:rsid w:val="00703312"/>
    <w:rsid w:val="007033A3"/>
    <w:rsid w:val="007033EB"/>
    <w:rsid w:val="00703428"/>
    <w:rsid w:val="0070342C"/>
    <w:rsid w:val="00703448"/>
    <w:rsid w:val="0070345B"/>
    <w:rsid w:val="007034E0"/>
    <w:rsid w:val="007034E2"/>
    <w:rsid w:val="007034F3"/>
    <w:rsid w:val="0070351F"/>
    <w:rsid w:val="00703573"/>
    <w:rsid w:val="007035B9"/>
    <w:rsid w:val="007035C5"/>
    <w:rsid w:val="0070363B"/>
    <w:rsid w:val="0070366B"/>
    <w:rsid w:val="007036BB"/>
    <w:rsid w:val="0070375C"/>
    <w:rsid w:val="007037A9"/>
    <w:rsid w:val="007037DA"/>
    <w:rsid w:val="007037E4"/>
    <w:rsid w:val="00703810"/>
    <w:rsid w:val="0070381D"/>
    <w:rsid w:val="0070386A"/>
    <w:rsid w:val="00703879"/>
    <w:rsid w:val="007038A8"/>
    <w:rsid w:val="007038E9"/>
    <w:rsid w:val="00703936"/>
    <w:rsid w:val="00703976"/>
    <w:rsid w:val="007039BC"/>
    <w:rsid w:val="007039DA"/>
    <w:rsid w:val="00703A08"/>
    <w:rsid w:val="00703A2F"/>
    <w:rsid w:val="00703A3B"/>
    <w:rsid w:val="00703A51"/>
    <w:rsid w:val="00703A61"/>
    <w:rsid w:val="00703A8E"/>
    <w:rsid w:val="00703B0F"/>
    <w:rsid w:val="00703B4D"/>
    <w:rsid w:val="00703B6D"/>
    <w:rsid w:val="00703BB3"/>
    <w:rsid w:val="00703BDA"/>
    <w:rsid w:val="00703BF7"/>
    <w:rsid w:val="00703BF8"/>
    <w:rsid w:val="00703C20"/>
    <w:rsid w:val="00703C24"/>
    <w:rsid w:val="00703C29"/>
    <w:rsid w:val="00703C3F"/>
    <w:rsid w:val="00703C4C"/>
    <w:rsid w:val="00703C65"/>
    <w:rsid w:val="00703CA0"/>
    <w:rsid w:val="00703CB1"/>
    <w:rsid w:val="00703CCC"/>
    <w:rsid w:val="00703CF3"/>
    <w:rsid w:val="00703D39"/>
    <w:rsid w:val="00703D4D"/>
    <w:rsid w:val="00703D63"/>
    <w:rsid w:val="00703D70"/>
    <w:rsid w:val="00703D71"/>
    <w:rsid w:val="00703D79"/>
    <w:rsid w:val="00703D95"/>
    <w:rsid w:val="00703DCA"/>
    <w:rsid w:val="00703DFC"/>
    <w:rsid w:val="00703E1C"/>
    <w:rsid w:val="00703E49"/>
    <w:rsid w:val="00703E89"/>
    <w:rsid w:val="00703EE6"/>
    <w:rsid w:val="00703EF4"/>
    <w:rsid w:val="00703F34"/>
    <w:rsid w:val="00703F3E"/>
    <w:rsid w:val="00703F8A"/>
    <w:rsid w:val="00703FC6"/>
    <w:rsid w:val="00704000"/>
    <w:rsid w:val="0070403E"/>
    <w:rsid w:val="0070404D"/>
    <w:rsid w:val="00704077"/>
    <w:rsid w:val="0070407D"/>
    <w:rsid w:val="00704095"/>
    <w:rsid w:val="007040C4"/>
    <w:rsid w:val="007040D1"/>
    <w:rsid w:val="007040E4"/>
    <w:rsid w:val="00704105"/>
    <w:rsid w:val="00704120"/>
    <w:rsid w:val="00704170"/>
    <w:rsid w:val="007041BE"/>
    <w:rsid w:val="00704209"/>
    <w:rsid w:val="00704246"/>
    <w:rsid w:val="00704274"/>
    <w:rsid w:val="007042BE"/>
    <w:rsid w:val="007042F9"/>
    <w:rsid w:val="0070432A"/>
    <w:rsid w:val="0070436D"/>
    <w:rsid w:val="007043A5"/>
    <w:rsid w:val="007043C6"/>
    <w:rsid w:val="007043D9"/>
    <w:rsid w:val="0070441F"/>
    <w:rsid w:val="0070448E"/>
    <w:rsid w:val="00704492"/>
    <w:rsid w:val="00704497"/>
    <w:rsid w:val="007044C5"/>
    <w:rsid w:val="007044CE"/>
    <w:rsid w:val="007044DD"/>
    <w:rsid w:val="007044FA"/>
    <w:rsid w:val="007044FC"/>
    <w:rsid w:val="00704501"/>
    <w:rsid w:val="00704517"/>
    <w:rsid w:val="0070455B"/>
    <w:rsid w:val="0070456C"/>
    <w:rsid w:val="00704576"/>
    <w:rsid w:val="007045C9"/>
    <w:rsid w:val="007045D2"/>
    <w:rsid w:val="007045EF"/>
    <w:rsid w:val="007045FD"/>
    <w:rsid w:val="0070461C"/>
    <w:rsid w:val="00704622"/>
    <w:rsid w:val="007046B8"/>
    <w:rsid w:val="00704728"/>
    <w:rsid w:val="0070472B"/>
    <w:rsid w:val="0070476F"/>
    <w:rsid w:val="007047AE"/>
    <w:rsid w:val="007047DE"/>
    <w:rsid w:val="007047FD"/>
    <w:rsid w:val="0070484C"/>
    <w:rsid w:val="00704874"/>
    <w:rsid w:val="007048B0"/>
    <w:rsid w:val="007048B8"/>
    <w:rsid w:val="007048C1"/>
    <w:rsid w:val="007048D1"/>
    <w:rsid w:val="0070490F"/>
    <w:rsid w:val="00704910"/>
    <w:rsid w:val="00704914"/>
    <w:rsid w:val="0070491E"/>
    <w:rsid w:val="00704A17"/>
    <w:rsid w:val="00704A71"/>
    <w:rsid w:val="00704A8D"/>
    <w:rsid w:val="00704A9D"/>
    <w:rsid w:val="00704AA8"/>
    <w:rsid w:val="00704AB0"/>
    <w:rsid w:val="00704B3B"/>
    <w:rsid w:val="00704B5B"/>
    <w:rsid w:val="00704BA0"/>
    <w:rsid w:val="00704BC2"/>
    <w:rsid w:val="00704BCF"/>
    <w:rsid w:val="00704C61"/>
    <w:rsid w:val="00704C90"/>
    <w:rsid w:val="00704CC5"/>
    <w:rsid w:val="00704D02"/>
    <w:rsid w:val="00704D22"/>
    <w:rsid w:val="00704D3C"/>
    <w:rsid w:val="00704D45"/>
    <w:rsid w:val="00704D5C"/>
    <w:rsid w:val="00704D6C"/>
    <w:rsid w:val="00704D6F"/>
    <w:rsid w:val="00704DE0"/>
    <w:rsid w:val="00704E01"/>
    <w:rsid w:val="00704E37"/>
    <w:rsid w:val="00704E71"/>
    <w:rsid w:val="00704EFB"/>
    <w:rsid w:val="00704F21"/>
    <w:rsid w:val="00704FD1"/>
    <w:rsid w:val="0070501A"/>
    <w:rsid w:val="0070503F"/>
    <w:rsid w:val="00705062"/>
    <w:rsid w:val="00705067"/>
    <w:rsid w:val="00705072"/>
    <w:rsid w:val="00705079"/>
    <w:rsid w:val="0070507E"/>
    <w:rsid w:val="007050D0"/>
    <w:rsid w:val="007050EB"/>
    <w:rsid w:val="00705126"/>
    <w:rsid w:val="00705140"/>
    <w:rsid w:val="00705147"/>
    <w:rsid w:val="00705157"/>
    <w:rsid w:val="0070515C"/>
    <w:rsid w:val="0070515D"/>
    <w:rsid w:val="00705187"/>
    <w:rsid w:val="00705219"/>
    <w:rsid w:val="00705225"/>
    <w:rsid w:val="0070523E"/>
    <w:rsid w:val="0070528B"/>
    <w:rsid w:val="00705298"/>
    <w:rsid w:val="007052D5"/>
    <w:rsid w:val="007052E2"/>
    <w:rsid w:val="00705343"/>
    <w:rsid w:val="00705348"/>
    <w:rsid w:val="007053CE"/>
    <w:rsid w:val="0070546A"/>
    <w:rsid w:val="00705483"/>
    <w:rsid w:val="007054A3"/>
    <w:rsid w:val="007054CB"/>
    <w:rsid w:val="007054DD"/>
    <w:rsid w:val="0070550A"/>
    <w:rsid w:val="0070550C"/>
    <w:rsid w:val="00705530"/>
    <w:rsid w:val="00705543"/>
    <w:rsid w:val="0070554F"/>
    <w:rsid w:val="00705551"/>
    <w:rsid w:val="007055F3"/>
    <w:rsid w:val="00705601"/>
    <w:rsid w:val="0070562D"/>
    <w:rsid w:val="0070563C"/>
    <w:rsid w:val="0070566E"/>
    <w:rsid w:val="007056C0"/>
    <w:rsid w:val="007056D6"/>
    <w:rsid w:val="00705700"/>
    <w:rsid w:val="00705709"/>
    <w:rsid w:val="00705731"/>
    <w:rsid w:val="00705734"/>
    <w:rsid w:val="0070573A"/>
    <w:rsid w:val="00705760"/>
    <w:rsid w:val="00705775"/>
    <w:rsid w:val="007057A7"/>
    <w:rsid w:val="00705816"/>
    <w:rsid w:val="00705832"/>
    <w:rsid w:val="00705850"/>
    <w:rsid w:val="0070585F"/>
    <w:rsid w:val="0070595C"/>
    <w:rsid w:val="007059AE"/>
    <w:rsid w:val="007059B8"/>
    <w:rsid w:val="00705A00"/>
    <w:rsid w:val="00705A41"/>
    <w:rsid w:val="00705A53"/>
    <w:rsid w:val="00705A6B"/>
    <w:rsid w:val="00705A8C"/>
    <w:rsid w:val="00705AF2"/>
    <w:rsid w:val="00705C4A"/>
    <w:rsid w:val="00705C85"/>
    <w:rsid w:val="00705CB3"/>
    <w:rsid w:val="00705CFD"/>
    <w:rsid w:val="00705D14"/>
    <w:rsid w:val="00705D2B"/>
    <w:rsid w:val="00705D5F"/>
    <w:rsid w:val="00705D84"/>
    <w:rsid w:val="00705D8B"/>
    <w:rsid w:val="00705DA9"/>
    <w:rsid w:val="00705DDB"/>
    <w:rsid w:val="00705DFC"/>
    <w:rsid w:val="00705DFD"/>
    <w:rsid w:val="00705E3B"/>
    <w:rsid w:val="00705E4C"/>
    <w:rsid w:val="00705E8A"/>
    <w:rsid w:val="00705F1B"/>
    <w:rsid w:val="00705F2C"/>
    <w:rsid w:val="00705F68"/>
    <w:rsid w:val="00705F6D"/>
    <w:rsid w:val="00705F9B"/>
    <w:rsid w:val="00705FE7"/>
    <w:rsid w:val="00705FE9"/>
    <w:rsid w:val="00705FED"/>
    <w:rsid w:val="00706035"/>
    <w:rsid w:val="00706089"/>
    <w:rsid w:val="007060B6"/>
    <w:rsid w:val="007060C6"/>
    <w:rsid w:val="007060E5"/>
    <w:rsid w:val="00706109"/>
    <w:rsid w:val="00706160"/>
    <w:rsid w:val="00706174"/>
    <w:rsid w:val="00706192"/>
    <w:rsid w:val="007061A6"/>
    <w:rsid w:val="007061BD"/>
    <w:rsid w:val="007061C1"/>
    <w:rsid w:val="0070622C"/>
    <w:rsid w:val="00706242"/>
    <w:rsid w:val="0070625F"/>
    <w:rsid w:val="007062B7"/>
    <w:rsid w:val="007062BF"/>
    <w:rsid w:val="007062D3"/>
    <w:rsid w:val="007062DD"/>
    <w:rsid w:val="00706329"/>
    <w:rsid w:val="00706381"/>
    <w:rsid w:val="0070638A"/>
    <w:rsid w:val="0070638D"/>
    <w:rsid w:val="00706392"/>
    <w:rsid w:val="00706397"/>
    <w:rsid w:val="007063CF"/>
    <w:rsid w:val="007063F6"/>
    <w:rsid w:val="007063F7"/>
    <w:rsid w:val="00706404"/>
    <w:rsid w:val="0070642E"/>
    <w:rsid w:val="00706498"/>
    <w:rsid w:val="007064A9"/>
    <w:rsid w:val="007064E0"/>
    <w:rsid w:val="007064E1"/>
    <w:rsid w:val="007064E7"/>
    <w:rsid w:val="007064FE"/>
    <w:rsid w:val="0070651A"/>
    <w:rsid w:val="0070651F"/>
    <w:rsid w:val="0070654D"/>
    <w:rsid w:val="0070658D"/>
    <w:rsid w:val="007065B6"/>
    <w:rsid w:val="007065D2"/>
    <w:rsid w:val="00706604"/>
    <w:rsid w:val="00706664"/>
    <w:rsid w:val="00706673"/>
    <w:rsid w:val="00706674"/>
    <w:rsid w:val="007066D8"/>
    <w:rsid w:val="007066F7"/>
    <w:rsid w:val="007066F9"/>
    <w:rsid w:val="00706742"/>
    <w:rsid w:val="0070675F"/>
    <w:rsid w:val="007067CF"/>
    <w:rsid w:val="007067F4"/>
    <w:rsid w:val="0070680E"/>
    <w:rsid w:val="00706887"/>
    <w:rsid w:val="007068A6"/>
    <w:rsid w:val="007068A9"/>
    <w:rsid w:val="00706903"/>
    <w:rsid w:val="0070693E"/>
    <w:rsid w:val="00706951"/>
    <w:rsid w:val="0070695C"/>
    <w:rsid w:val="00706A0D"/>
    <w:rsid w:val="00706A7B"/>
    <w:rsid w:val="00706B04"/>
    <w:rsid w:val="00706B36"/>
    <w:rsid w:val="00706B82"/>
    <w:rsid w:val="00706BD1"/>
    <w:rsid w:val="00706BD6"/>
    <w:rsid w:val="00706BE4"/>
    <w:rsid w:val="00706BE6"/>
    <w:rsid w:val="00706BF5"/>
    <w:rsid w:val="00706C01"/>
    <w:rsid w:val="00706C10"/>
    <w:rsid w:val="00706C20"/>
    <w:rsid w:val="00706C22"/>
    <w:rsid w:val="00706CDA"/>
    <w:rsid w:val="00706D16"/>
    <w:rsid w:val="00706D36"/>
    <w:rsid w:val="00706D73"/>
    <w:rsid w:val="00706DAA"/>
    <w:rsid w:val="00706DAF"/>
    <w:rsid w:val="00706EB0"/>
    <w:rsid w:val="00706EEF"/>
    <w:rsid w:val="00706EF7"/>
    <w:rsid w:val="00706F1E"/>
    <w:rsid w:val="00706F4C"/>
    <w:rsid w:val="00706FFA"/>
    <w:rsid w:val="0070700A"/>
    <w:rsid w:val="00707062"/>
    <w:rsid w:val="007070F5"/>
    <w:rsid w:val="00707122"/>
    <w:rsid w:val="00707178"/>
    <w:rsid w:val="00707189"/>
    <w:rsid w:val="007071B9"/>
    <w:rsid w:val="0070723F"/>
    <w:rsid w:val="0070724C"/>
    <w:rsid w:val="0070725B"/>
    <w:rsid w:val="00707268"/>
    <w:rsid w:val="00707290"/>
    <w:rsid w:val="0070729E"/>
    <w:rsid w:val="007072DD"/>
    <w:rsid w:val="007072E6"/>
    <w:rsid w:val="0070732D"/>
    <w:rsid w:val="00707356"/>
    <w:rsid w:val="00707443"/>
    <w:rsid w:val="0070745B"/>
    <w:rsid w:val="0070746B"/>
    <w:rsid w:val="007074B5"/>
    <w:rsid w:val="007074C5"/>
    <w:rsid w:val="00707500"/>
    <w:rsid w:val="00707503"/>
    <w:rsid w:val="0070750D"/>
    <w:rsid w:val="00707528"/>
    <w:rsid w:val="00707545"/>
    <w:rsid w:val="00707556"/>
    <w:rsid w:val="007075AE"/>
    <w:rsid w:val="007075B5"/>
    <w:rsid w:val="00707633"/>
    <w:rsid w:val="0070765F"/>
    <w:rsid w:val="007076B7"/>
    <w:rsid w:val="007076CF"/>
    <w:rsid w:val="007076FB"/>
    <w:rsid w:val="007076FC"/>
    <w:rsid w:val="007076FD"/>
    <w:rsid w:val="00707713"/>
    <w:rsid w:val="0070773C"/>
    <w:rsid w:val="00707797"/>
    <w:rsid w:val="007077D6"/>
    <w:rsid w:val="007077EE"/>
    <w:rsid w:val="00707803"/>
    <w:rsid w:val="0070782C"/>
    <w:rsid w:val="0070787C"/>
    <w:rsid w:val="007078D9"/>
    <w:rsid w:val="0070793E"/>
    <w:rsid w:val="00707989"/>
    <w:rsid w:val="00707995"/>
    <w:rsid w:val="007079F8"/>
    <w:rsid w:val="00707A04"/>
    <w:rsid w:val="00707A0A"/>
    <w:rsid w:val="00707A8B"/>
    <w:rsid w:val="00707AB4"/>
    <w:rsid w:val="00707AB7"/>
    <w:rsid w:val="00707AC6"/>
    <w:rsid w:val="00707AFD"/>
    <w:rsid w:val="00707B2B"/>
    <w:rsid w:val="00707B56"/>
    <w:rsid w:val="00707B5B"/>
    <w:rsid w:val="00707BFF"/>
    <w:rsid w:val="00707C80"/>
    <w:rsid w:val="00707D0A"/>
    <w:rsid w:val="00707D82"/>
    <w:rsid w:val="00707D97"/>
    <w:rsid w:val="00707D9C"/>
    <w:rsid w:val="00707DBC"/>
    <w:rsid w:val="00707DCC"/>
    <w:rsid w:val="00707DDF"/>
    <w:rsid w:val="00707DE2"/>
    <w:rsid w:val="00707DFE"/>
    <w:rsid w:val="00707E8F"/>
    <w:rsid w:val="00707EB3"/>
    <w:rsid w:val="00707F82"/>
    <w:rsid w:val="00707F87"/>
    <w:rsid w:val="00707F95"/>
    <w:rsid w:val="00707FB0"/>
    <w:rsid w:val="00707FC7"/>
    <w:rsid w:val="00707FD5"/>
    <w:rsid w:val="00707FDA"/>
    <w:rsid w:val="0071000F"/>
    <w:rsid w:val="00710047"/>
    <w:rsid w:val="00710055"/>
    <w:rsid w:val="00710060"/>
    <w:rsid w:val="0071006F"/>
    <w:rsid w:val="0071007E"/>
    <w:rsid w:val="007100D3"/>
    <w:rsid w:val="00710110"/>
    <w:rsid w:val="00710113"/>
    <w:rsid w:val="007101C2"/>
    <w:rsid w:val="007101DC"/>
    <w:rsid w:val="007101F4"/>
    <w:rsid w:val="0071024F"/>
    <w:rsid w:val="00710269"/>
    <w:rsid w:val="0071026A"/>
    <w:rsid w:val="0071026B"/>
    <w:rsid w:val="007102D0"/>
    <w:rsid w:val="007102D5"/>
    <w:rsid w:val="007102F1"/>
    <w:rsid w:val="0071037D"/>
    <w:rsid w:val="0071038F"/>
    <w:rsid w:val="007103A3"/>
    <w:rsid w:val="007103C2"/>
    <w:rsid w:val="007103D2"/>
    <w:rsid w:val="007103ED"/>
    <w:rsid w:val="007103EF"/>
    <w:rsid w:val="007103F0"/>
    <w:rsid w:val="0071043A"/>
    <w:rsid w:val="0071044D"/>
    <w:rsid w:val="007104EE"/>
    <w:rsid w:val="00710503"/>
    <w:rsid w:val="00710536"/>
    <w:rsid w:val="0071056A"/>
    <w:rsid w:val="007105CA"/>
    <w:rsid w:val="007105D1"/>
    <w:rsid w:val="007105D9"/>
    <w:rsid w:val="007105EE"/>
    <w:rsid w:val="007105F6"/>
    <w:rsid w:val="00710622"/>
    <w:rsid w:val="0071068D"/>
    <w:rsid w:val="007106C6"/>
    <w:rsid w:val="00710712"/>
    <w:rsid w:val="00710777"/>
    <w:rsid w:val="007107C6"/>
    <w:rsid w:val="007107E3"/>
    <w:rsid w:val="007107EC"/>
    <w:rsid w:val="0071080F"/>
    <w:rsid w:val="00710814"/>
    <w:rsid w:val="00710839"/>
    <w:rsid w:val="00710842"/>
    <w:rsid w:val="00710850"/>
    <w:rsid w:val="007108C5"/>
    <w:rsid w:val="007108F0"/>
    <w:rsid w:val="007109A6"/>
    <w:rsid w:val="007109B9"/>
    <w:rsid w:val="00710A4D"/>
    <w:rsid w:val="00710A60"/>
    <w:rsid w:val="00710AA9"/>
    <w:rsid w:val="00710ADB"/>
    <w:rsid w:val="00710AE4"/>
    <w:rsid w:val="00710B17"/>
    <w:rsid w:val="00710B54"/>
    <w:rsid w:val="00710B95"/>
    <w:rsid w:val="00710B9B"/>
    <w:rsid w:val="00710BA2"/>
    <w:rsid w:val="00710BD1"/>
    <w:rsid w:val="00710C53"/>
    <w:rsid w:val="00710C9C"/>
    <w:rsid w:val="00710CDE"/>
    <w:rsid w:val="00710D08"/>
    <w:rsid w:val="00710D2F"/>
    <w:rsid w:val="00710D96"/>
    <w:rsid w:val="00710D97"/>
    <w:rsid w:val="00710E05"/>
    <w:rsid w:val="00710E19"/>
    <w:rsid w:val="00710E33"/>
    <w:rsid w:val="00710E51"/>
    <w:rsid w:val="00710E5E"/>
    <w:rsid w:val="00710EDB"/>
    <w:rsid w:val="00710EFE"/>
    <w:rsid w:val="00710F22"/>
    <w:rsid w:val="00710F2E"/>
    <w:rsid w:val="00710F5C"/>
    <w:rsid w:val="00710F6D"/>
    <w:rsid w:val="00710F88"/>
    <w:rsid w:val="00710F99"/>
    <w:rsid w:val="00710F9B"/>
    <w:rsid w:val="00710FE1"/>
    <w:rsid w:val="0071100E"/>
    <w:rsid w:val="00711038"/>
    <w:rsid w:val="00711102"/>
    <w:rsid w:val="0071111E"/>
    <w:rsid w:val="00711123"/>
    <w:rsid w:val="00711164"/>
    <w:rsid w:val="00711175"/>
    <w:rsid w:val="00711180"/>
    <w:rsid w:val="0071119F"/>
    <w:rsid w:val="007111A3"/>
    <w:rsid w:val="007111C5"/>
    <w:rsid w:val="007111E2"/>
    <w:rsid w:val="007111E8"/>
    <w:rsid w:val="00711249"/>
    <w:rsid w:val="007112A2"/>
    <w:rsid w:val="007112A9"/>
    <w:rsid w:val="00711362"/>
    <w:rsid w:val="0071137B"/>
    <w:rsid w:val="00711389"/>
    <w:rsid w:val="0071142C"/>
    <w:rsid w:val="0071144C"/>
    <w:rsid w:val="007114B9"/>
    <w:rsid w:val="0071152E"/>
    <w:rsid w:val="0071154A"/>
    <w:rsid w:val="007115A7"/>
    <w:rsid w:val="007115C9"/>
    <w:rsid w:val="00711630"/>
    <w:rsid w:val="00711669"/>
    <w:rsid w:val="00711676"/>
    <w:rsid w:val="0071169A"/>
    <w:rsid w:val="007116A6"/>
    <w:rsid w:val="007116DB"/>
    <w:rsid w:val="007116F0"/>
    <w:rsid w:val="00711734"/>
    <w:rsid w:val="007117A4"/>
    <w:rsid w:val="007117F5"/>
    <w:rsid w:val="007117F9"/>
    <w:rsid w:val="00711835"/>
    <w:rsid w:val="0071185C"/>
    <w:rsid w:val="0071186B"/>
    <w:rsid w:val="007118A6"/>
    <w:rsid w:val="007118C2"/>
    <w:rsid w:val="0071193F"/>
    <w:rsid w:val="00711944"/>
    <w:rsid w:val="00711952"/>
    <w:rsid w:val="0071199D"/>
    <w:rsid w:val="007119E1"/>
    <w:rsid w:val="007119E7"/>
    <w:rsid w:val="00711A65"/>
    <w:rsid w:val="00711A68"/>
    <w:rsid w:val="00711A71"/>
    <w:rsid w:val="00711AF2"/>
    <w:rsid w:val="00711B65"/>
    <w:rsid w:val="00711B98"/>
    <w:rsid w:val="00711B9D"/>
    <w:rsid w:val="00711BA8"/>
    <w:rsid w:val="00711BBF"/>
    <w:rsid w:val="00711BC1"/>
    <w:rsid w:val="00711BD0"/>
    <w:rsid w:val="00711C03"/>
    <w:rsid w:val="00711C4C"/>
    <w:rsid w:val="00711CBA"/>
    <w:rsid w:val="00711CD5"/>
    <w:rsid w:val="00711CDE"/>
    <w:rsid w:val="00711CE1"/>
    <w:rsid w:val="00711CE8"/>
    <w:rsid w:val="00711D6B"/>
    <w:rsid w:val="00711D75"/>
    <w:rsid w:val="00711D76"/>
    <w:rsid w:val="00711DB9"/>
    <w:rsid w:val="00711DD9"/>
    <w:rsid w:val="00711E34"/>
    <w:rsid w:val="00711E61"/>
    <w:rsid w:val="00711E92"/>
    <w:rsid w:val="00711EC4"/>
    <w:rsid w:val="00711EC9"/>
    <w:rsid w:val="00711F70"/>
    <w:rsid w:val="00711FA0"/>
    <w:rsid w:val="00711FAC"/>
    <w:rsid w:val="00711FC8"/>
    <w:rsid w:val="00711FFC"/>
    <w:rsid w:val="0071203C"/>
    <w:rsid w:val="00712042"/>
    <w:rsid w:val="00712044"/>
    <w:rsid w:val="0071205A"/>
    <w:rsid w:val="00712070"/>
    <w:rsid w:val="007120AD"/>
    <w:rsid w:val="007120B8"/>
    <w:rsid w:val="007120CC"/>
    <w:rsid w:val="0071211A"/>
    <w:rsid w:val="00712152"/>
    <w:rsid w:val="00712170"/>
    <w:rsid w:val="00712176"/>
    <w:rsid w:val="00712189"/>
    <w:rsid w:val="007121A2"/>
    <w:rsid w:val="007121AB"/>
    <w:rsid w:val="0071221C"/>
    <w:rsid w:val="00712252"/>
    <w:rsid w:val="00712285"/>
    <w:rsid w:val="007122D6"/>
    <w:rsid w:val="007122EB"/>
    <w:rsid w:val="00712342"/>
    <w:rsid w:val="0071234F"/>
    <w:rsid w:val="00712398"/>
    <w:rsid w:val="007123E4"/>
    <w:rsid w:val="00712437"/>
    <w:rsid w:val="0071244E"/>
    <w:rsid w:val="007124BE"/>
    <w:rsid w:val="007124C9"/>
    <w:rsid w:val="007124DF"/>
    <w:rsid w:val="0071251C"/>
    <w:rsid w:val="00712534"/>
    <w:rsid w:val="00712542"/>
    <w:rsid w:val="00712588"/>
    <w:rsid w:val="007125CB"/>
    <w:rsid w:val="00712601"/>
    <w:rsid w:val="00712611"/>
    <w:rsid w:val="00712678"/>
    <w:rsid w:val="0071267A"/>
    <w:rsid w:val="007126B6"/>
    <w:rsid w:val="007126D2"/>
    <w:rsid w:val="007126D6"/>
    <w:rsid w:val="00712702"/>
    <w:rsid w:val="00712706"/>
    <w:rsid w:val="00712711"/>
    <w:rsid w:val="007127AF"/>
    <w:rsid w:val="007127C8"/>
    <w:rsid w:val="00712864"/>
    <w:rsid w:val="00712884"/>
    <w:rsid w:val="007128B9"/>
    <w:rsid w:val="007128EF"/>
    <w:rsid w:val="00712908"/>
    <w:rsid w:val="0071294E"/>
    <w:rsid w:val="0071299C"/>
    <w:rsid w:val="007129BD"/>
    <w:rsid w:val="007129EB"/>
    <w:rsid w:val="00712A1B"/>
    <w:rsid w:val="00712A45"/>
    <w:rsid w:val="00712A67"/>
    <w:rsid w:val="00712AA3"/>
    <w:rsid w:val="00712AAA"/>
    <w:rsid w:val="00712AE2"/>
    <w:rsid w:val="00712B95"/>
    <w:rsid w:val="00712BC8"/>
    <w:rsid w:val="00712BD5"/>
    <w:rsid w:val="00712C14"/>
    <w:rsid w:val="00712C4A"/>
    <w:rsid w:val="00712C78"/>
    <w:rsid w:val="00712CA1"/>
    <w:rsid w:val="00712D28"/>
    <w:rsid w:val="00712DA0"/>
    <w:rsid w:val="00712DA2"/>
    <w:rsid w:val="00712DA3"/>
    <w:rsid w:val="00712DB6"/>
    <w:rsid w:val="00712E3F"/>
    <w:rsid w:val="00712E61"/>
    <w:rsid w:val="00712E98"/>
    <w:rsid w:val="00712EA2"/>
    <w:rsid w:val="00712EAA"/>
    <w:rsid w:val="00712F18"/>
    <w:rsid w:val="00712F35"/>
    <w:rsid w:val="00712F63"/>
    <w:rsid w:val="00712F98"/>
    <w:rsid w:val="00712F9F"/>
    <w:rsid w:val="00712FA7"/>
    <w:rsid w:val="00713014"/>
    <w:rsid w:val="0071315A"/>
    <w:rsid w:val="007131A3"/>
    <w:rsid w:val="007131AD"/>
    <w:rsid w:val="00713287"/>
    <w:rsid w:val="0071329B"/>
    <w:rsid w:val="007132C6"/>
    <w:rsid w:val="007132DB"/>
    <w:rsid w:val="00713336"/>
    <w:rsid w:val="00713353"/>
    <w:rsid w:val="007133C4"/>
    <w:rsid w:val="00713423"/>
    <w:rsid w:val="0071342C"/>
    <w:rsid w:val="00713449"/>
    <w:rsid w:val="0071344F"/>
    <w:rsid w:val="007134BE"/>
    <w:rsid w:val="007134D3"/>
    <w:rsid w:val="00713506"/>
    <w:rsid w:val="0071350C"/>
    <w:rsid w:val="00713512"/>
    <w:rsid w:val="0071353A"/>
    <w:rsid w:val="007135A0"/>
    <w:rsid w:val="007135ED"/>
    <w:rsid w:val="00713609"/>
    <w:rsid w:val="00713620"/>
    <w:rsid w:val="00713629"/>
    <w:rsid w:val="0071369B"/>
    <w:rsid w:val="007136F3"/>
    <w:rsid w:val="0071370D"/>
    <w:rsid w:val="0071371F"/>
    <w:rsid w:val="00713729"/>
    <w:rsid w:val="00713745"/>
    <w:rsid w:val="00713753"/>
    <w:rsid w:val="00713759"/>
    <w:rsid w:val="00713781"/>
    <w:rsid w:val="007137D1"/>
    <w:rsid w:val="0071380F"/>
    <w:rsid w:val="00713893"/>
    <w:rsid w:val="0071390F"/>
    <w:rsid w:val="00713918"/>
    <w:rsid w:val="00713929"/>
    <w:rsid w:val="00713930"/>
    <w:rsid w:val="007139C2"/>
    <w:rsid w:val="007139FD"/>
    <w:rsid w:val="00713A1D"/>
    <w:rsid w:val="00713A27"/>
    <w:rsid w:val="00713A60"/>
    <w:rsid w:val="00713B18"/>
    <w:rsid w:val="00713B8C"/>
    <w:rsid w:val="00713BD6"/>
    <w:rsid w:val="00713BF9"/>
    <w:rsid w:val="00713C38"/>
    <w:rsid w:val="00713C9B"/>
    <w:rsid w:val="00713CCB"/>
    <w:rsid w:val="00713D41"/>
    <w:rsid w:val="00713D7A"/>
    <w:rsid w:val="00713DC8"/>
    <w:rsid w:val="00713DCE"/>
    <w:rsid w:val="00713E70"/>
    <w:rsid w:val="00713EAE"/>
    <w:rsid w:val="00713EDD"/>
    <w:rsid w:val="00713EE5"/>
    <w:rsid w:val="00713F27"/>
    <w:rsid w:val="00713F29"/>
    <w:rsid w:val="00713F70"/>
    <w:rsid w:val="00713F8E"/>
    <w:rsid w:val="00713FAD"/>
    <w:rsid w:val="00713FC2"/>
    <w:rsid w:val="00714027"/>
    <w:rsid w:val="00714050"/>
    <w:rsid w:val="007140D7"/>
    <w:rsid w:val="007140E0"/>
    <w:rsid w:val="007140FC"/>
    <w:rsid w:val="00714115"/>
    <w:rsid w:val="00714184"/>
    <w:rsid w:val="00714249"/>
    <w:rsid w:val="0071424A"/>
    <w:rsid w:val="00714253"/>
    <w:rsid w:val="00714254"/>
    <w:rsid w:val="00714255"/>
    <w:rsid w:val="00714266"/>
    <w:rsid w:val="00714268"/>
    <w:rsid w:val="00714299"/>
    <w:rsid w:val="007142A7"/>
    <w:rsid w:val="007142C0"/>
    <w:rsid w:val="007142FD"/>
    <w:rsid w:val="00714312"/>
    <w:rsid w:val="00714329"/>
    <w:rsid w:val="00714364"/>
    <w:rsid w:val="007143BC"/>
    <w:rsid w:val="007143F9"/>
    <w:rsid w:val="00714403"/>
    <w:rsid w:val="00714457"/>
    <w:rsid w:val="0071446E"/>
    <w:rsid w:val="007144D2"/>
    <w:rsid w:val="0071451F"/>
    <w:rsid w:val="00714623"/>
    <w:rsid w:val="0071465E"/>
    <w:rsid w:val="007146BD"/>
    <w:rsid w:val="007146CA"/>
    <w:rsid w:val="00714760"/>
    <w:rsid w:val="00714761"/>
    <w:rsid w:val="00714806"/>
    <w:rsid w:val="00714870"/>
    <w:rsid w:val="00714880"/>
    <w:rsid w:val="007149B6"/>
    <w:rsid w:val="00714AD3"/>
    <w:rsid w:val="00714B96"/>
    <w:rsid w:val="00714BF9"/>
    <w:rsid w:val="00714BFC"/>
    <w:rsid w:val="00714C27"/>
    <w:rsid w:val="00714C2E"/>
    <w:rsid w:val="00714C8C"/>
    <w:rsid w:val="00714CAD"/>
    <w:rsid w:val="00714CD5"/>
    <w:rsid w:val="00714CD8"/>
    <w:rsid w:val="00714D19"/>
    <w:rsid w:val="00714D39"/>
    <w:rsid w:val="00714D46"/>
    <w:rsid w:val="00714D5D"/>
    <w:rsid w:val="00714D7B"/>
    <w:rsid w:val="00714E2F"/>
    <w:rsid w:val="00714E31"/>
    <w:rsid w:val="00714E3E"/>
    <w:rsid w:val="00714ECC"/>
    <w:rsid w:val="00714ED0"/>
    <w:rsid w:val="00714EE2"/>
    <w:rsid w:val="00714EF2"/>
    <w:rsid w:val="00714F28"/>
    <w:rsid w:val="00714F2B"/>
    <w:rsid w:val="00714F3D"/>
    <w:rsid w:val="00714F44"/>
    <w:rsid w:val="00714F49"/>
    <w:rsid w:val="00714F62"/>
    <w:rsid w:val="00714FAF"/>
    <w:rsid w:val="00714FF1"/>
    <w:rsid w:val="00715022"/>
    <w:rsid w:val="00715051"/>
    <w:rsid w:val="007150A3"/>
    <w:rsid w:val="0071512A"/>
    <w:rsid w:val="0071517B"/>
    <w:rsid w:val="00715203"/>
    <w:rsid w:val="0071521A"/>
    <w:rsid w:val="0071521D"/>
    <w:rsid w:val="0071529E"/>
    <w:rsid w:val="007152E6"/>
    <w:rsid w:val="00715388"/>
    <w:rsid w:val="007153A2"/>
    <w:rsid w:val="007153BC"/>
    <w:rsid w:val="007153BF"/>
    <w:rsid w:val="007153DB"/>
    <w:rsid w:val="007153F5"/>
    <w:rsid w:val="00715425"/>
    <w:rsid w:val="00715441"/>
    <w:rsid w:val="007154B3"/>
    <w:rsid w:val="007154CE"/>
    <w:rsid w:val="007154D9"/>
    <w:rsid w:val="00715511"/>
    <w:rsid w:val="0071552C"/>
    <w:rsid w:val="00715560"/>
    <w:rsid w:val="007155A4"/>
    <w:rsid w:val="0071562E"/>
    <w:rsid w:val="00715640"/>
    <w:rsid w:val="00715642"/>
    <w:rsid w:val="0071567B"/>
    <w:rsid w:val="007156C6"/>
    <w:rsid w:val="007156D2"/>
    <w:rsid w:val="0071570C"/>
    <w:rsid w:val="00715759"/>
    <w:rsid w:val="0071576A"/>
    <w:rsid w:val="007157EC"/>
    <w:rsid w:val="007157F8"/>
    <w:rsid w:val="00715825"/>
    <w:rsid w:val="0071586C"/>
    <w:rsid w:val="00715874"/>
    <w:rsid w:val="00715890"/>
    <w:rsid w:val="007158DE"/>
    <w:rsid w:val="007158E1"/>
    <w:rsid w:val="007158F4"/>
    <w:rsid w:val="0071593E"/>
    <w:rsid w:val="00715941"/>
    <w:rsid w:val="00715956"/>
    <w:rsid w:val="007159E2"/>
    <w:rsid w:val="00715A2A"/>
    <w:rsid w:val="00715A42"/>
    <w:rsid w:val="00715AF0"/>
    <w:rsid w:val="00715B32"/>
    <w:rsid w:val="00715B71"/>
    <w:rsid w:val="00715BAA"/>
    <w:rsid w:val="00715BFF"/>
    <w:rsid w:val="00715C46"/>
    <w:rsid w:val="00715C4E"/>
    <w:rsid w:val="00715C5E"/>
    <w:rsid w:val="00715C94"/>
    <w:rsid w:val="00715C95"/>
    <w:rsid w:val="00715CD7"/>
    <w:rsid w:val="00715CFE"/>
    <w:rsid w:val="00715D13"/>
    <w:rsid w:val="00715D47"/>
    <w:rsid w:val="00715D49"/>
    <w:rsid w:val="00715D9C"/>
    <w:rsid w:val="00715DD1"/>
    <w:rsid w:val="00715DEA"/>
    <w:rsid w:val="00715E38"/>
    <w:rsid w:val="00715E6A"/>
    <w:rsid w:val="00715E88"/>
    <w:rsid w:val="00715E9D"/>
    <w:rsid w:val="00715EA0"/>
    <w:rsid w:val="00715EF6"/>
    <w:rsid w:val="00715F01"/>
    <w:rsid w:val="00715F10"/>
    <w:rsid w:val="00715F20"/>
    <w:rsid w:val="00715F28"/>
    <w:rsid w:val="00715F49"/>
    <w:rsid w:val="00715F61"/>
    <w:rsid w:val="00715F70"/>
    <w:rsid w:val="00715F8F"/>
    <w:rsid w:val="00715FB1"/>
    <w:rsid w:val="00715FB8"/>
    <w:rsid w:val="00715FC8"/>
    <w:rsid w:val="00715FD5"/>
    <w:rsid w:val="00716013"/>
    <w:rsid w:val="00716047"/>
    <w:rsid w:val="00716054"/>
    <w:rsid w:val="007160E2"/>
    <w:rsid w:val="00716100"/>
    <w:rsid w:val="00716112"/>
    <w:rsid w:val="0071617B"/>
    <w:rsid w:val="007161CD"/>
    <w:rsid w:val="007161E8"/>
    <w:rsid w:val="00716205"/>
    <w:rsid w:val="00716209"/>
    <w:rsid w:val="0071622B"/>
    <w:rsid w:val="00716231"/>
    <w:rsid w:val="0071629D"/>
    <w:rsid w:val="007162D8"/>
    <w:rsid w:val="0071630D"/>
    <w:rsid w:val="00716376"/>
    <w:rsid w:val="007163EF"/>
    <w:rsid w:val="0071641C"/>
    <w:rsid w:val="00716426"/>
    <w:rsid w:val="0071645A"/>
    <w:rsid w:val="00716521"/>
    <w:rsid w:val="0071654C"/>
    <w:rsid w:val="0071657C"/>
    <w:rsid w:val="007165A6"/>
    <w:rsid w:val="007165B4"/>
    <w:rsid w:val="007165F5"/>
    <w:rsid w:val="0071666C"/>
    <w:rsid w:val="00716675"/>
    <w:rsid w:val="007166CA"/>
    <w:rsid w:val="00716720"/>
    <w:rsid w:val="0071675B"/>
    <w:rsid w:val="007167FB"/>
    <w:rsid w:val="00716812"/>
    <w:rsid w:val="00716938"/>
    <w:rsid w:val="0071696C"/>
    <w:rsid w:val="007169A7"/>
    <w:rsid w:val="007169D9"/>
    <w:rsid w:val="00716A8B"/>
    <w:rsid w:val="00716B41"/>
    <w:rsid w:val="00716B80"/>
    <w:rsid w:val="00716BC1"/>
    <w:rsid w:val="00716C2F"/>
    <w:rsid w:val="00716C4E"/>
    <w:rsid w:val="00716CA9"/>
    <w:rsid w:val="00716CC8"/>
    <w:rsid w:val="00716D1C"/>
    <w:rsid w:val="00716D81"/>
    <w:rsid w:val="00716D97"/>
    <w:rsid w:val="00716E0F"/>
    <w:rsid w:val="00716E1C"/>
    <w:rsid w:val="00716E26"/>
    <w:rsid w:val="00716E5B"/>
    <w:rsid w:val="00716E69"/>
    <w:rsid w:val="00716E80"/>
    <w:rsid w:val="00716ECD"/>
    <w:rsid w:val="00716ED1"/>
    <w:rsid w:val="00716F05"/>
    <w:rsid w:val="00716FD8"/>
    <w:rsid w:val="00716FED"/>
    <w:rsid w:val="00717008"/>
    <w:rsid w:val="0071705D"/>
    <w:rsid w:val="00717086"/>
    <w:rsid w:val="007170B3"/>
    <w:rsid w:val="007170F6"/>
    <w:rsid w:val="00717157"/>
    <w:rsid w:val="007171DB"/>
    <w:rsid w:val="007171E9"/>
    <w:rsid w:val="0071721E"/>
    <w:rsid w:val="00717235"/>
    <w:rsid w:val="0071729E"/>
    <w:rsid w:val="007172BF"/>
    <w:rsid w:val="00717319"/>
    <w:rsid w:val="00717351"/>
    <w:rsid w:val="007173AC"/>
    <w:rsid w:val="00717405"/>
    <w:rsid w:val="0071741E"/>
    <w:rsid w:val="00717458"/>
    <w:rsid w:val="0071758D"/>
    <w:rsid w:val="0071760D"/>
    <w:rsid w:val="0071773B"/>
    <w:rsid w:val="0071774B"/>
    <w:rsid w:val="00717762"/>
    <w:rsid w:val="0071778D"/>
    <w:rsid w:val="00717798"/>
    <w:rsid w:val="007177AF"/>
    <w:rsid w:val="007177B2"/>
    <w:rsid w:val="007177FF"/>
    <w:rsid w:val="00717818"/>
    <w:rsid w:val="0071782D"/>
    <w:rsid w:val="0071782E"/>
    <w:rsid w:val="00717860"/>
    <w:rsid w:val="00717895"/>
    <w:rsid w:val="007178D3"/>
    <w:rsid w:val="007178F4"/>
    <w:rsid w:val="00717945"/>
    <w:rsid w:val="0071795D"/>
    <w:rsid w:val="00717987"/>
    <w:rsid w:val="007179BF"/>
    <w:rsid w:val="007179D6"/>
    <w:rsid w:val="007179E3"/>
    <w:rsid w:val="00717A57"/>
    <w:rsid w:val="00717A63"/>
    <w:rsid w:val="00717A66"/>
    <w:rsid w:val="00717ACA"/>
    <w:rsid w:val="00717AE3"/>
    <w:rsid w:val="00717AF8"/>
    <w:rsid w:val="00717B11"/>
    <w:rsid w:val="00717BB8"/>
    <w:rsid w:val="00717BBB"/>
    <w:rsid w:val="00717BC6"/>
    <w:rsid w:val="00717BDE"/>
    <w:rsid w:val="00717C16"/>
    <w:rsid w:val="00717C69"/>
    <w:rsid w:val="00717C80"/>
    <w:rsid w:val="00717CE4"/>
    <w:rsid w:val="00717CEF"/>
    <w:rsid w:val="00717D21"/>
    <w:rsid w:val="00717D44"/>
    <w:rsid w:val="00717DD2"/>
    <w:rsid w:val="00717DD4"/>
    <w:rsid w:val="00717DE1"/>
    <w:rsid w:val="00717E32"/>
    <w:rsid w:val="00717ECA"/>
    <w:rsid w:val="00717F10"/>
    <w:rsid w:val="00717F13"/>
    <w:rsid w:val="00717F20"/>
    <w:rsid w:val="00717F4C"/>
    <w:rsid w:val="00717F52"/>
    <w:rsid w:val="00717F9C"/>
    <w:rsid w:val="00717FF1"/>
    <w:rsid w:val="0072003D"/>
    <w:rsid w:val="0072017C"/>
    <w:rsid w:val="0072018E"/>
    <w:rsid w:val="00720192"/>
    <w:rsid w:val="007201C1"/>
    <w:rsid w:val="007201E4"/>
    <w:rsid w:val="007202A2"/>
    <w:rsid w:val="007202D5"/>
    <w:rsid w:val="00720350"/>
    <w:rsid w:val="007203BA"/>
    <w:rsid w:val="007203C0"/>
    <w:rsid w:val="007204DD"/>
    <w:rsid w:val="007204FD"/>
    <w:rsid w:val="00720588"/>
    <w:rsid w:val="007205F3"/>
    <w:rsid w:val="007205FB"/>
    <w:rsid w:val="007205FE"/>
    <w:rsid w:val="0072063F"/>
    <w:rsid w:val="00720655"/>
    <w:rsid w:val="0072065B"/>
    <w:rsid w:val="0072078B"/>
    <w:rsid w:val="007207A0"/>
    <w:rsid w:val="007207AB"/>
    <w:rsid w:val="007207D5"/>
    <w:rsid w:val="007207FE"/>
    <w:rsid w:val="0072082F"/>
    <w:rsid w:val="00720854"/>
    <w:rsid w:val="00720890"/>
    <w:rsid w:val="00720892"/>
    <w:rsid w:val="0072091F"/>
    <w:rsid w:val="00720A10"/>
    <w:rsid w:val="00720A12"/>
    <w:rsid w:val="00720A13"/>
    <w:rsid w:val="00720AB2"/>
    <w:rsid w:val="00720AB5"/>
    <w:rsid w:val="00720AC7"/>
    <w:rsid w:val="00720B2D"/>
    <w:rsid w:val="00720B50"/>
    <w:rsid w:val="00720B8C"/>
    <w:rsid w:val="00720C02"/>
    <w:rsid w:val="00720CB5"/>
    <w:rsid w:val="00720CB8"/>
    <w:rsid w:val="00720CE8"/>
    <w:rsid w:val="00720D43"/>
    <w:rsid w:val="00720E04"/>
    <w:rsid w:val="00720E1C"/>
    <w:rsid w:val="00720E79"/>
    <w:rsid w:val="00720E92"/>
    <w:rsid w:val="00720EAB"/>
    <w:rsid w:val="00720F1A"/>
    <w:rsid w:val="00720F3B"/>
    <w:rsid w:val="00720F60"/>
    <w:rsid w:val="00720F69"/>
    <w:rsid w:val="00720F86"/>
    <w:rsid w:val="00720FAB"/>
    <w:rsid w:val="00720FEB"/>
    <w:rsid w:val="00721097"/>
    <w:rsid w:val="007210A4"/>
    <w:rsid w:val="007210BE"/>
    <w:rsid w:val="00721122"/>
    <w:rsid w:val="00721128"/>
    <w:rsid w:val="007211CB"/>
    <w:rsid w:val="007211FE"/>
    <w:rsid w:val="0072120F"/>
    <w:rsid w:val="007212D2"/>
    <w:rsid w:val="007212EC"/>
    <w:rsid w:val="00721391"/>
    <w:rsid w:val="007213DE"/>
    <w:rsid w:val="007213EF"/>
    <w:rsid w:val="00721429"/>
    <w:rsid w:val="00721455"/>
    <w:rsid w:val="0072146F"/>
    <w:rsid w:val="00721486"/>
    <w:rsid w:val="00721501"/>
    <w:rsid w:val="00721585"/>
    <w:rsid w:val="00721593"/>
    <w:rsid w:val="007215C0"/>
    <w:rsid w:val="00721653"/>
    <w:rsid w:val="0072167D"/>
    <w:rsid w:val="007216B9"/>
    <w:rsid w:val="007216E9"/>
    <w:rsid w:val="00721703"/>
    <w:rsid w:val="00721783"/>
    <w:rsid w:val="0072178C"/>
    <w:rsid w:val="007217C1"/>
    <w:rsid w:val="007217DB"/>
    <w:rsid w:val="00721807"/>
    <w:rsid w:val="00721834"/>
    <w:rsid w:val="0072185F"/>
    <w:rsid w:val="00721874"/>
    <w:rsid w:val="00721877"/>
    <w:rsid w:val="007218A9"/>
    <w:rsid w:val="007218B0"/>
    <w:rsid w:val="007218C4"/>
    <w:rsid w:val="007218CB"/>
    <w:rsid w:val="007218EA"/>
    <w:rsid w:val="007219B4"/>
    <w:rsid w:val="00721A06"/>
    <w:rsid w:val="00721A4D"/>
    <w:rsid w:val="00721AFE"/>
    <w:rsid w:val="00721B19"/>
    <w:rsid w:val="00721B1F"/>
    <w:rsid w:val="00721BA4"/>
    <w:rsid w:val="00721BE2"/>
    <w:rsid w:val="00721CA3"/>
    <w:rsid w:val="00721CD6"/>
    <w:rsid w:val="00721D60"/>
    <w:rsid w:val="00721D73"/>
    <w:rsid w:val="00721D7C"/>
    <w:rsid w:val="00721DCC"/>
    <w:rsid w:val="00721DEF"/>
    <w:rsid w:val="00721E79"/>
    <w:rsid w:val="00721E88"/>
    <w:rsid w:val="00721E91"/>
    <w:rsid w:val="00721E98"/>
    <w:rsid w:val="00721EA8"/>
    <w:rsid w:val="00721EB0"/>
    <w:rsid w:val="00721EDF"/>
    <w:rsid w:val="00721F04"/>
    <w:rsid w:val="00721F2B"/>
    <w:rsid w:val="00721F39"/>
    <w:rsid w:val="00721F46"/>
    <w:rsid w:val="00721F54"/>
    <w:rsid w:val="00721FEA"/>
    <w:rsid w:val="00721FFA"/>
    <w:rsid w:val="00722052"/>
    <w:rsid w:val="0072207B"/>
    <w:rsid w:val="00722132"/>
    <w:rsid w:val="00722139"/>
    <w:rsid w:val="007221AB"/>
    <w:rsid w:val="007221AE"/>
    <w:rsid w:val="007221B9"/>
    <w:rsid w:val="007221FD"/>
    <w:rsid w:val="00722261"/>
    <w:rsid w:val="007222CD"/>
    <w:rsid w:val="007222D5"/>
    <w:rsid w:val="007222E3"/>
    <w:rsid w:val="007222EF"/>
    <w:rsid w:val="00722302"/>
    <w:rsid w:val="007223F3"/>
    <w:rsid w:val="0072241D"/>
    <w:rsid w:val="00722478"/>
    <w:rsid w:val="007224AF"/>
    <w:rsid w:val="007224CB"/>
    <w:rsid w:val="007224F5"/>
    <w:rsid w:val="00722532"/>
    <w:rsid w:val="0072254B"/>
    <w:rsid w:val="0072256B"/>
    <w:rsid w:val="00722584"/>
    <w:rsid w:val="00722586"/>
    <w:rsid w:val="0072258C"/>
    <w:rsid w:val="0072259A"/>
    <w:rsid w:val="00722608"/>
    <w:rsid w:val="0072265B"/>
    <w:rsid w:val="0072265E"/>
    <w:rsid w:val="0072269A"/>
    <w:rsid w:val="007226C4"/>
    <w:rsid w:val="007226C7"/>
    <w:rsid w:val="0072274B"/>
    <w:rsid w:val="00722798"/>
    <w:rsid w:val="007227B0"/>
    <w:rsid w:val="007227C3"/>
    <w:rsid w:val="007227F6"/>
    <w:rsid w:val="0072280D"/>
    <w:rsid w:val="00722870"/>
    <w:rsid w:val="007228A1"/>
    <w:rsid w:val="00722926"/>
    <w:rsid w:val="00722978"/>
    <w:rsid w:val="0072297D"/>
    <w:rsid w:val="007229EC"/>
    <w:rsid w:val="00722A6D"/>
    <w:rsid w:val="00722A96"/>
    <w:rsid w:val="00722AB4"/>
    <w:rsid w:val="00722B2F"/>
    <w:rsid w:val="00722B30"/>
    <w:rsid w:val="00722B6A"/>
    <w:rsid w:val="00722B85"/>
    <w:rsid w:val="00722B91"/>
    <w:rsid w:val="00722B97"/>
    <w:rsid w:val="00722BE2"/>
    <w:rsid w:val="00722CB6"/>
    <w:rsid w:val="00722CC5"/>
    <w:rsid w:val="00722D0A"/>
    <w:rsid w:val="00722D1C"/>
    <w:rsid w:val="00722DA9"/>
    <w:rsid w:val="00722DAF"/>
    <w:rsid w:val="00722DD5"/>
    <w:rsid w:val="00722E67"/>
    <w:rsid w:val="00722E89"/>
    <w:rsid w:val="00722E9C"/>
    <w:rsid w:val="00722EC5"/>
    <w:rsid w:val="00722ECC"/>
    <w:rsid w:val="0072301A"/>
    <w:rsid w:val="00723099"/>
    <w:rsid w:val="007230B0"/>
    <w:rsid w:val="007230DE"/>
    <w:rsid w:val="0072314D"/>
    <w:rsid w:val="00723150"/>
    <w:rsid w:val="007231F0"/>
    <w:rsid w:val="00723222"/>
    <w:rsid w:val="0072322C"/>
    <w:rsid w:val="0072324A"/>
    <w:rsid w:val="007232FC"/>
    <w:rsid w:val="007232FE"/>
    <w:rsid w:val="00723313"/>
    <w:rsid w:val="00723326"/>
    <w:rsid w:val="00723338"/>
    <w:rsid w:val="0072333F"/>
    <w:rsid w:val="00723352"/>
    <w:rsid w:val="00723395"/>
    <w:rsid w:val="007233AD"/>
    <w:rsid w:val="007233B3"/>
    <w:rsid w:val="007233DA"/>
    <w:rsid w:val="00723425"/>
    <w:rsid w:val="00723473"/>
    <w:rsid w:val="00723504"/>
    <w:rsid w:val="0072359A"/>
    <w:rsid w:val="007235B0"/>
    <w:rsid w:val="007235EC"/>
    <w:rsid w:val="007235F3"/>
    <w:rsid w:val="0072361F"/>
    <w:rsid w:val="00723650"/>
    <w:rsid w:val="007236F3"/>
    <w:rsid w:val="00723722"/>
    <w:rsid w:val="00723739"/>
    <w:rsid w:val="00723759"/>
    <w:rsid w:val="00723779"/>
    <w:rsid w:val="007237BA"/>
    <w:rsid w:val="007237BE"/>
    <w:rsid w:val="007237F4"/>
    <w:rsid w:val="0072382F"/>
    <w:rsid w:val="0072386C"/>
    <w:rsid w:val="0072387E"/>
    <w:rsid w:val="00723893"/>
    <w:rsid w:val="007238E2"/>
    <w:rsid w:val="0072391A"/>
    <w:rsid w:val="00723932"/>
    <w:rsid w:val="00723982"/>
    <w:rsid w:val="0072398A"/>
    <w:rsid w:val="007239A0"/>
    <w:rsid w:val="007239DC"/>
    <w:rsid w:val="00723A19"/>
    <w:rsid w:val="00723ABE"/>
    <w:rsid w:val="00723ACF"/>
    <w:rsid w:val="00723AF8"/>
    <w:rsid w:val="00723B07"/>
    <w:rsid w:val="00723B0A"/>
    <w:rsid w:val="00723B82"/>
    <w:rsid w:val="00723C36"/>
    <w:rsid w:val="00723CDB"/>
    <w:rsid w:val="00723D0B"/>
    <w:rsid w:val="00723D7A"/>
    <w:rsid w:val="00723D80"/>
    <w:rsid w:val="00723E21"/>
    <w:rsid w:val="00723ED7"/>
    <w:rsid w:val="00723F05"/>
    <w:rsid w:val="00723F2C"/>
    <w:rsid w:val="00723F38"/>
    <w:rsid w:val="00723FB3"/>
    <w:rsid w:val="00723FED"/>
    <w:rsid w:val="00724036"/>
    <w:rsid w:val="00724089"/>
    <w:rsid w:val="0072409B"/>
    <w:rsid w:val="007240A2"/>
    <w:rsid w:val="007240D7"/>
    <w:rsid w:val="007240DB"/>
    <w:rsid w:val="00724135"/>
    <w:rsid w:val="007241B4"/>
    <w:rsid w:val="007241D2"/>
    <w:rsid w:val="007241E5"/>
    <w:rsid w:val="007241F6"/>
    <w:rsid w:val="00724237"/>
    <w:rsid w:val="00724252"/>
    <w:rsid w:val="00724258"/>
    <w:rsid w:val="0072426D"/>
    <w:rsid w:val="00724287"/>
    <w:rsid w:val="0072429B"/>
    <w:rsid w:val="007242AA"/>
    <w:rsid w:val="007242D4"/>
    <w:rsid w:val="007242E7"/>
    <w:rsid w:val="00724364"/>
    <w:rsid w:val="0072436F"/>
    <w:rsid w:val="00724392"/>
    <w:rsid w:val="007243A9"/>
    <w:rsid w:val="00724400"/>
    <w:rsid w:val="00724434"/>
    <w:rsid w:val="0072443E"/>
    <w:rsid w:val="00724489"/>
    <w:rsid w:val="007244D7"/>
    <w:rsid w:val="007244E8"/>
    <w:rsid w:val="007244F8"/>
    <w:rsid w:val="00724602"/>
    <w:rsid w:val="00724605"/>
    <w:rsid w:val="0072464A"/>
    <w:rsid w:val="00724675"/>
    <w:rsid w:val="007246AE"/>
    <w:rsid w:val="007246BF"/>
    <w:rsid w:val="007246E5"/>
    <w:rsid w:val="007246F1"/>
    <w:rsid w:val="00724702"/>
    <w:rsid w:val="0072476A"/>
    <w:rsid w:val="00724770"/>
    <w:rsid w:val="007247BB"/>
    <w:rsid w:val="00724897"/>
    <w:rsid w:val="007248A9"/>
    <w:rsid w:val="007248B6"/>
    <w:rsid w:val="007248C3"/>
    <w:rsid w:val="00724969"/>
    <w:rsid w:val="007249BD"/>
    <w:rsid w:val="007249C1"/>
    <w:rsid w:val="00724A06"/>
    <w:rsid w:val="00724A0E"/>
    <w:rsid w:val="00724A37"/>
    <w:rsid w:val="00724A80"/>
    <w:rsid w:val="00724A97"/>
    <w:rsid w:val="00724AF8"/>
    <w:rsid w:val="00724B2D"/>
    <w:rsid w:val="00724B7A"/>
    <w:rsid w:val="00724BDF"/>
    <w:rsid w:val="00724C18"/>
    <w:rsid w:val="00724C27"/>
    <w:rsid w:val="00724C30"/>
    <w:rsid w:val="00724CDE"/>
    <w:rsid w:val="00724D22"/>
    <w:rsid w:val="00724E33"/>
    <w:rsid w:val="00724E9D"/>
    <w:rsid w:val="00724EAF"/>
    <w:rsid w:val="00724F10"/>
    <w:rsid w:val="00724F43"/>
    <w:rsid w:val="00724FA7"/>
    <w:rsid w:val="00725037"/>
    <w:rsid w:val="0072504C"/>
    <w:rsid w:val="0072505D"/>
    <w:rsid w:val="00725060"/>
    <w:rsid w:val="007250A4"/>
    <w:rsid w:val="007250A5"/>
    <w:rsid w:val="007250A6"/>
    <w:rsid w:val="007250D3"/>
    <w:rsid w:val="007250F9"/>
    <w:rsid w:val="00725102"/>
    <w:rsid w:val="0072517D"/>
    <w:rsid w:val="007251BC"/>
    <w:rsid w:val="00725210"/>
    <w:rsid w:val="00725227"/>
    <w:rsid w:val="007252A6"/>
    <w:rsid w:val="007252D8"/>
    <w:rsid w:val="007252F3"/>
    <w:rsid w:val="007252F6"/>
    <w:rsid w:val="0072535C"/>
    <w:rsid w:val="00725362"/>
    <w:rsid w:val="007253B2"/>
    <w:rsid w:val="007253B3"/>
    <w:rsid w:val="00725412"/>
    <w:rsid w:val="00725414"/>
    <w:rsid w:val="0072542C"/>
    <w:rsid w:val="00725446"/>
    <w:rsid w:val="007254D5"/>
    <w:rsid w:val="00725567"/>
    <w:rsid w:val="00725593"/>
    <w:rsid w:val="007255F8"/>
    <w:rsid w:val="00725620"/>
    <w:rsid w:val="0072563D"/>
    <w:rsid w:val="00725672"/>
    <w:rsid w:val="0072567C"/>
    <w:rsid w:val="00725694"/>
    <w:rsid w:val="007256CC"/>
    <w:rsid w:val="007256F7"/>
    <w:rsid w:val="00725702"/>
    <w:rsid w:val="00725706"/>
    <w:rsid w:val="00725717"/>
    <w:rsid w:val="0072572E"/>
    <w:rsid w:val="00725750"/>
    <w:rsid w:val="00725752"/>
    <w:rsid w:val="0072577A"/>
    <w:rsid w:val="0072577C"/>
    <w:rsid w:val="00725792"/>
    <w:rsid w:val="0072579C"/>
    <w:rsid w:val="007257DA"/>
    <w:rsid w:val="007257FE"/>
    <w:rsid w:val="00725807"/>
    <w:rsid w:val="007258E6"/>
    <w:rsid w:val="0072597A"/>
    <w:rsid w:val="007259B4"/>
    <w:rsid w:val="00725A38"/>
    <w:rsid w:val="00725A46"/>
    <w:rsid w:val="00725A6C"/>
    <w:rsid w:val="00725A71"/>
    <w:rsid w:val="00725A89"/>
    <w:rsid w:val="00725AB3"/>
    <w:rsid w:val="00725B11"/>
    <w:rsid w:val="00725B47"/>
    <w:rsid w:val="00725B84"/>
    <w:rsid w:val="00725BE2"/>
    <w:rsid w:val="00725C16"/>
    <w:rsid w:val="00725C2D"/>
    <w:rsid w:val="00725C40"/>
    <w:rsid w:val="00725C65"/>
    <w:rsid w:val="00725CC0"/>
    <w:rsid w:val="00725D4F"/>
    <w:rsid w:val="00725E1C"/>
    <w:rsid w:val="00725E8D"/>
    <w:rsid w:val="00725E93"/>
    <w:rsid w:val="00725EBD"/>
    <w:rsid w:val="00725F02"/>
    <w:rsid w:val="00725F07"/>
    <w:rsid w:val="00725F23"/>
    <w:rsid w:val="00725FD2"/>
    <w:rsid w:val="00725FE0"/>
    <w:rsid w:val="00726019"/>
    <w:rsid w:val="00726029"/>
    <w:rsid w:val="00726077"/>
    <w:rsid w:val="00726096"/>
    <w:rsid w:val="00726103"/>
    <w:rsid w:val="00726193"/>
    <w:rsid w:val="007261E0"/>
    <w:rsid w:val="00726216"/>
    <w:rsid w:val="00726261"/>
    <w:rsid w:val="0072627A"/>
    <w:rsid w:val="00726283"/>
    <w:rsid w:val="007262AA"/>
    <w:rsid w:val="007262FB"/>
    <w:rsid w:val="0072631D"/>
    <w:rsid w:val="007263C4"/>
    <w:rsid w:val="0072643D"/>
    <w:rsid w:val="00726448"/>
    <w:rsid w:val="00726483"/>
    <w:rsid w:val="007264FA"/>
    <w:rsid w:val="00726525"/>
    <w:rsid w:val="0072655F"/>
    <w:rsid w:val="007265C5"/>
    <w:rsid w:val="007265C8"/>
    <w:rsid w:val="007265CB"/>
    <w:rsid w:val="007265DB"/>
    <w:rsid w:val="007266E5"/>
    <w:rsid w:val="00726700"/>
    <w:rsid w:val="00726813"/>
    <w:rsid w:val="00726820"/>
    <w:rsid w:val="0072684B"/>
    <w:rsid w:val="0072686A"/>
    <w:rsid w:val="0072688E"/>
    <w:rsid w:val="007268A3"/>
    <w:rsid w:val="00726959"/>
    <w:rsid w:val="0072695A"/>
    <w:rsid w:val="00726A1E"/>
    <w:rsid w:val="00726AC7"/>
    <w:rsid w:val="00726B04"/>
    <w:rsid w:val="00726B41"/>
    <w:rsid w:val="00726B6B"/>
    <w:rsid w:val="00726BB5"/>
    <w:rsid w:val="00726C13"/>
    <w:rsid w:val="00726C5B"/>
    <w:rsid w:val="00726CDB"/>
    <w:rsid w:val="00726CF2"/>
    <w:rsid w:val="00726CF8"/>
    <w:rsid w:val="00726D3C"/>
    <w:rsid w:val="00726D41"/>
    <w:rsid w:val="00726D5B"/>
    <w:rsid w:val="00726D61"/>
    <w:rsid w:val="00726DE1"/>
    <w:rsid w:val="00726E38"/>
    <w:rsid w:val="00726E3E"/>
    <w:rsid w:val="00726E44"/>
    <w:rsid w:val="00726EAF"/>
    <w:rsid w:val="00726EBB"/>
    <w:rsid w:val="00726EBF"/>
    <w:rsid w:val="00726EC0"/>
    <w:rsid w:val="00726ECD"/>
    <w:rsid w:val="00726EDE"/>
    <w:rsid w:val="00726F41"/>
    <w:rsid w:val="00726FA9"/>
    <w:rsid w:val="00726FAF"/>
    <w:rsid w:val="00726FE2"/>
    <w:rsid w:val="00726FF3"/>
    <w:rsid w:val="00727011"/>
    <w:rsid w:val="00727058"/>
    <w:rsid w:val="0072707D"/>
    <w:rsid w:val="0072709A"/>
    <w:rsid w:val="00727102"/>
    <w:rsid w:val="0072710C"/>
    <w:rsid w:val="0072714A"/>
    <w:rsid w:val="0072719E"/>
    <w:rsid w:val="007271BA"/>
    <w:rsid w:val="00727220"/>
    <w:rsid w:val="00727225"/>
    <w:rsid w:val="00727250"/>
    <w:rsid w:val="0072727D"/>
    <w:rsid w:val="007272AB"/>
    <w:rsid w:val="00727307"/>
    <w:rsid w:val="007273DA"/>
    <w:rsid w:val="007273F6"/>
    <w:rsid w:val="00727411"/>
    <w:rsid w:val="0072742A"/>
    <w:rsid w:val="00727448"/>
    <w:rsid w:val="007274B5"/>
    <w:rsid w:val="007274D0"/>
    <w:rsid w:val="007274D1"/>
    <w:rsid w:val="0072754B"/>
    <w:rsid w:val="00727581"/>
    <w:rsid w:val="007275AA"/>
    <w:rsid w:val="00727624"/>
    <w:rsid w:val="0072762C"/>
    <w:rsid w:val="0072763C"/>
    <w:rsid w:val="007276E8"/>
    <w:rsid w:val="007276EE"/>
    <w:rsid w:val="00727701"/>
    <w:rsid w:val="0072771B"/>
    <w:rsid w:val="0072771C"/>
    <w:rsid w:val="00727783"/>
    <w:rsid w:val="007277B5"/>
    <w:rsid w:val="007277C7"/>
    <w:rsid w:val="0072781A"/>
    <w:rsid w:val="0072787D"/>
    <w:rsid w:val="00727926"/>
    <w:rsid w:val="00727931"/>
    <w:rsid w:val="0072796F"/>
    <w:rsid w:val="0072797A"/>
    <w:rsid w:val="007279AD"/>
    <w:rsid w:val="007279D6"/>
    <w:rsid w:val="007279F1"/>
    <w:rsid w:val="00727A0F"/>
    <w:rsid w:val="00727A24"/>
    <w:rsid w:val="00727A2E"/>
    <w:rsid w:val="00727ABD"/>
    <w:rsid w:val="00727AFD"/>
    <w:rsid w:val="00727B08"/>
    <w:rsid w:val="00727B65"/>
    <w:rsid w:val="00727B7C"/>
    <w:rsid w:val="00727BB5"/>
    <w:rsid w:val="00727C73"/>
    <w:rsid w:val="00727C75"/>
    <w:rsid w:val="00727CFD"/>
    <w:rsid w:val="00727D6E"/>
    <w:rsid w:val="00727DAF"/>
    <w:rsid w:val="00727DDE"/>
    <w:rsid w:val="00727E6C"/>
    <w:rsid w:val="00727E92"/>
    <w:rsid w:val="00727E99"/>
    <w:rsid w:val="00727F46"/>
    <w:rsid w:val="00727F50"/>
    <w:rsid w:val="00727F5B"/>
    <w:rsid w:val="00727F65"/>
    <w:rsid w:val="00727F89"/>
    <w:rsid w:val="00727FC9"/>
    <w:rsid w:val="00727FD8"/>
    <w:rsid w:val="00730003"/>
    <w:rsid w:val="0073002F"/>
    <w:rsid w:val="0073004A"/>
    <w:rsid w:val="0073009B"/>
    <w:rsid w:val="007300D1"/>
    <w:rsid w:val="007300FA"/>
    <w:rsid w:val="0073020C"/>
    <w:rsid w:val="00730220"/>
    <w:rsid w:val="0073024D"/>
    <w:rsid w:val="00730255"/>
    <w:rsid w:val="00730263"/>
    <w:rsid w:val="007302F7"/>
    <w:rsid w:val="00730354"/>
    <w:rsid w:val="00730425"/>
    <w:rsid w:val="00730440"/>
    <w:rsid w:val="00730481"/>
    <w:rsid w:val="007304A7"/>
    <w:rsid w:val="007304F2"/>
    <w:rsid w:val="0073053A"/>
    <w:rsid w:val="0073055E"/>
    <w:rsid w:val="007305AB"/>
    <w:rsid w:val="007305B5"/>
    <w:rsid w:val="007305C0"/>
    <w:rsid w:val="007305F3"/>
    <w:rsid w:val="00730612"/>
    <w:rsid w:val="00730614"/>
    <w:rsid w:val="00730629"/>
    <w:rsid w:val="00730646"/>
    <w:rsid w:val="00730668"/>
    <w:rsid w:val="0073068A"/>
    <w:rsid w:val="007306A2"/>
    <w:rsid w:val="007306D6"/>
    <w:rsid w:val="007306E5"/>
    <w:rsid w:val="007306ED"/>
    <w:rsid w:val="007306F0"/>
    <w:rsid w:val="007306F1"/>
    <w:rsid w:val="00730759"/>
    <w:rsid w:val="00730775"/>
    <w:rsid w:val="0073078F"/>
    <w:rsid w:val="007307A0"/>
    <w:rsid w:val="0073082B"/>
    <w:rsid w:val="0073083A"/>
    <w:rsid w:val="0073089C"/>
    <w:rsid w:val="007308C4"/>
    <w:rsid w:val="0073090C"/>
    <w:rsid w:val="00730999"/>
    <w:rsid w:val="007309B4"/>
    <w:rsid w:val="00730A4E"/>
    <w:rsid w:val="00730A7D"/>
    <w:rsid w:val="00730AC3"/>
    <w:rsid w:val="00730AD0"/>
    <w:rsid w:val="00730B0C"/>
    <w:rsid w:val="00730B46"/>
    <w:rsid w:val="00730B61"/>
    <w:rsid w:val="00730B63"/>
    <w:rsid w:val="00730BDA"/>
    <w:rsid w:val="00730BF9"/>
    <w:rsid w:val="00730C00"/>
    <w:rsid w:val="00730C0E"/>
    <w:rsid w:val="00730CB1"/>
    <w:rsid w:val="00730CC6"/>
    <w:rsid w:val="00730CD9"/>
    <w:rsid w:val="00730D14"/>
    <w:rsid w:val="00730D42"/>
    <w:rsid w:val="00730D6A"/>
    <w:rsid w:val="00730D95"/>
    <w:rsid w:val="00730D99"/>
    <w:rsid w:val="00730EDD"/>
    <w:rsid w:val="00730EE4"/>
    <w:rsid w:val="00730EF1"/>
    <w:rsid w:val="00730F54"/>
    <w:rsid w:val="00730F60"/>
    <w:rsid w:val="00730F79"/>
    <w:rsid w:val="00730F90"/>
    <w:rsid w:val="00730F93"/>
    <w:rsid w:val="00730FA1"/>
    <w:rsid w:val="00730FD0"/>
    <w:rsid w:val="00730FE4"/>
    <w:rsid w:val="00731055"/>
    <w:rsid w:val="00731091"/>
    <w:rsid w:val="007310A3"/>
    <w:rsid w:val="0073112D"/>
    <w:rsid w:val="007311AC"/>
    <w:rsid w:val="007311F4"/>
    <w:rsid w:val="007311F5"/>
    <w:rsid w:val="0073123C"/>
    <w:rsid w:val="00731241"/>
    <w:rsid w:val="007312DF"/>
    <w:rsid w:val="0073138B"/>
    <w:rsid w:val="007313BA"/>
    <w:rsid w:val="007313F9"/>
    <w:rsid w:val="00731408"/>
    <w:rsid w:val="00731448"/>
    <w:rsid w:val="0073148E"/>
    <w:rsid w:val="007314BB"/>
    <w:rsid w:val="00731523"/>
    <w:rsid w:val="00731554"/>
    <w:rsid w:val="00731570"/>
    <w:rsid w:val="0073159A"/>
    <w:rsid w:val="007315C5"/>
    <w:rsid w:val="007315DA"/>
    <w:rsid w:val="0073168D"/>
    <w:rsid w:val="007316B9"/>
    <w:rsid w:val="0073174A"/>
    <w:rsid w:val="007317A1"/>
    <w:rsid w:val="007317AE"/>
    <w:rsid w:val="007317EC"/>
    <w:rsid w:val="00731851"/>
    <w:rsid w:val="00731942"/>
    <w:rsid w:val="00731988"/>
    <w:rsid w:val="007319E6"/>
    <w:rsid w:val="00731A88"/>
    <w:rsid w:val="00731AAA"/>
    <w:rsid w:val="00731B16"/>
    <w:rsid w:val="00731B65"/>
    <w:rsid w:val="00731B69"/>
    <w:rsid w:val="00731B79"/>
    <w:rsid w:val="00731BF4"/>
    <w:rsid w:val="00731C31"/>
    <w:rsid w:val="00731CC0"/>
    <w:rsid w:val="00731CCB"/>
    <w:rsid w:val="00731CE5"/>
    <w:rsid w:val="00731DC2"/>
    <w:rsid w:val="00731DCB"/>
    <w:rsid w:val="00731DD3"/>
    <w:rsid w:val="00731E6A"/>
    <w:rsid w:val="00731E6E"/>
    <w:rsid w:val="00731E73"/>
    <w:rsid w:val="00731F0B"/>
    <w:rsid w:val="00731F4E"/>
    <w:rsid w:val="00731F51"/>
    <w:rsid w:val="00731F7B"/>
    <w:rsid w:val="00731F91"/>
    <w:rsid w:val="00731F9A"/>
    <w:rsid w:val="00731FD7"/>
    <w:rsid w:val="00732033"/>
    <w:rsid w:val="00732057"/>
    <w:rsid w:val="0073205F"/>
    <w:rsid w:val="00732099"/>
    <w:rsid w:val="007320A6"/>
    <w:rsid w:val="007320AB"/>
    <w:rsid w:val="007320C0"/>
    <w:rsid w:val="0073212A"/>
    <w:rsid w:val="0073219D"/>
    <w:rsid w:val="007321BB"/>
    <w:rsid w:val="007321E6"/>
    <w:rsid w:val="00732231"/>
    <w:rsid w:val="00732267"/>
    <w:rsid w:val="007322A0"/>
    <w:rsid w:val="0073230C"/>
    <w:rsid w:val="00732368"/>
    <w:rsid w:val="0073238C"/>
    <w:rsid w:val="0073242B"/>
    <w:rsid w:val="00732446"/>
    <w:rsid w:val="00732485"/>
    <w:rsid w:val="007324B7"/>
    <w:rsid w:val="007324F6"/>
    <w:rsid w:val="007325B5"/>
    <w:rsid w:val="007325BE"/>
    <w:rsid w:val="007325E0"/>
    <w:rsid w:val="00732610"/>
    <w:rsid w:val="0073262C"/>
    <w:rsid w:val="0073269C"/>
    <w:rsid w:val="0073282A"/>
    <w:rsid w:val="00732834"/>
    <w:rsid w:val="0073288C"/>
    <w:rsid w:val="007328A8"/>
    <w:rsid w:val="007328D6"/>
    <w:rsid w:val="0073290D"/>
    <w:rsid w:val="0073290F"/>
    <w:rsid w:val="007329BA"/>
    <w:rsid w:val="00732A05"/>
    <w:rsid w:val="00732A37"/>
    <w:rsid w:val="00732A51"/>
    <w:rsid w:val="00732A68"/>
    <w:rsid w:val="00732A6B"/>
    <w:rsid w:val="00732A84"/>
    <w:rsid w:val="00732AE8"/>
    <w:rsid w:val="00732B0F"/>
    <w:rsid w:val="00732B54"/>
    <w:rsid w:val="00732B66"/>
    <w:rsid w:val="00732BC3"/>
    <w:rsid w:val="00732CCA"/>
    <w:rsid w:val="00732D3E"/>
    <w:rsid w:val="00732DA7"/>
    <w:rsid w:val="00732DD9"/>
    <w:rsid w:val="00732DDA"/>
    <w:rsid w:val="00732E63"/>
    <w:rsid w:val="00732E7F"/>
    <w:rsid w:val="00732E92"/>
    <w:rsid w:val="00732EC1"/>
    <w:rsid w:val="00732EC2"/>
    <w:rsid w:val="00732F1F"/>
    <w:rsid w:val="00732F56"/>
    <w:rsid w:val="00732FDF"/>
    <w:rsid w:val="00732FE7"/>
    <w:rsid w:val="00732FF1"/>
    <w:rsid w:val="0073303E"/>
    <w:rsid w:val="0073304B"/>
    <w:rsid w:val="0073305F"/>
    <w:rsid w:val="00733081"/>
    <w:rsid w:val="0073308E"/>
    <w:rsid w:val="0073309D"/>
    <w:rsid w:val="007330F1"/>
    <w:rsid w:val="007330FA"/>
    <w:rsid w:val="0073313B"/>
    <w:rsid w:val="00733172"/>
    <w:rsid w:val="00733184"/>
    <w:rsid w:val="007331BD"/>
    <w:rsid w:val="007331FB"/>
    <w:rsid w:val="00733241"/>
    <w:rsid w:val="00733278"/>
    <w:rsid w:val="00733298"/>
    <w:rsid w:val="0073330F"/>
    <w:rsid w:val="00733366"/>
    <w:rsid w:val="0073338D"/>
    <w:rsid w:val="007333A3"/>
    <w:rsid w:val="007333B7"/>
    <w:rsid w:val="007333E2"/>
    <w:rsid w:val="007333E5"/>
    <w:rsid w:val="007333FC"/>
    <w:rsid w:val="00733482"/>
    <w:rsid w:val="00733487"/>
    <w:rsid w:val="007334A7"/>
    <w:rsid w:val="007334C0"/>
    <w:rsid w:val="007334EA"/>
    <w:rsid w:val="007334F6"/>
    <w:rsid w:val="00733502"/>
    <w:rsid w:val="007335F2"/>
    <w:rsid w:val="00733674"/>
    <w:rsid w:val="007336FC"/>
    <w:rsid w:val="0073372C"/>
    <w:rsid w:val="007337A4"/>
    <w:rsid w:val="0073381B"/>
    <w:rsid w:val="0073381C"/>
    <w:rsid w:val="00733838"/>
    <w:rsid w:val="00733866"/>
    <w:rsid w:val="00733889"/>
    <w:rsid w:val="0073388D"/>
    <w:rsid w:val="007338AF"/>
    <w:rsid w:val="007338CB"/>
    <w:rsid w:val="00733915"/>
    <w:rsid w:val="0073399A"/>
    <w:rsid w:val="007339ED"/>
    <w:rsid w:val="00733A21"/>
    <w:rsid w:val="00733AB9"/>
    <w:rsid w:val="00733B1E"/>
    <w:rsid w:val="00733B41"/>
    <w:rsid w:val="00733B7E"/>
    <w:rsid w:val="00733BA3"/>
    <w:rsid w:val="00733BE1"/>
    <w:rsid w:val="00733BF8"/>
    <w:rsid w:val="00733C1C"/>
    <w:rsid w:val="00733C1E"/>
    <w:rsid w:val="00733C97"/>
    <w:rsid w:val="00733CCB"/>
    <w:rsid w:val="00733D06"/>
    <w:rsid w:val="00733D4D"/>
    <w:rsid w:val="00733D7C"/>
    <w:rsid w:val="00733D90"/>
    <w:rsid w:val="00733E2B"/>
    <w:rsid w:val="00733E6E"/>
    <w:rsid w:val="00733E98"/>
    <w:rsid w:val="00733EA8"/>
    <w:rsid w:val="00733ED4"/>
    <w:rsid w:val="00733F5D"/>
    <w:rsid w:val="00733F94"/>
    <w:rsid w:val="00733FAB"/>
    <w:rsid w:val="00733FC0"/>
    <w:rsid w:val="00733FC5"/>
    <w:rsid w:val="0073403D"/>
    <w:rsid w:val="0073405C"/>
    <w:rsid w:val="00734083"/>
    <w:rsid w:val="00734084"/>
    <w:rsid w:val="0073410D"/>
    <w:rsid w:val="0073415E"/>
    <w:rsid w:val="0073415F"/>
    <w:rsid w:val="00734167"/>
    <w:rsid w:val="0073417F"/>
    <w:rsid w:val="007341A1"/>
    <w:rsid w:val="007341E9"/>
    <w:rsid w:val="00734208"/>
    <w:rsid w:val="0073422D"/>
    <w:rsid w:val="0073424A"/>
    <w:rsid w:val="00734295"/>
    <w:rsid w:val="007342B9"/>
    <w:rsid w:val="0073431A"/>
    <w:rsid w:val="0073431F"/>
    <w:rsid w:val="0073435F"/>
    <w:rsid w:val="00734374"/>
    <w:rsid w:val="00734376"/>
    <w:rsid w:val="00734396"/>
    <w:rsid w:val="007343AD"/>
    <w:rsid w:val="007343D9"/>
    <w:rsid w:val="00734436"/>
    <w:rsid w:val="00734457"/>
    <w:rsid w:val="00734495"/>
    <w:rsid w:val="00734520"/>
    <w:rsid w:val="00734542"/>
    <w:rsid w:val="00734582"/>
    <w:rsid w:val="007345FD"/>
    <w:rsid w:val="00734608"/>
    <w:rsid w:val="00734622"/>
    <w:rsid w:val="007346E1"/>
    <w:rsid w:val="007346F2"/>
    <w:rsid w:val="007346FC"/>
    <w:rsid w:val="00734776"/>
    <w:rsid w:val="0073477B"/>
    <w:rsid w:val="007347C7"/>
    <w:rsid w:val="007347CC"/>
    <w:rsid w:val="00734812"/>
    <w:rsid w:val="0073481B"/>
    <w:rsid w:val="00734825"/>
    <w:rsid w:val="00734857"/>
    <w:rsid w:val="00734878"/>
    <w:rsid w:val="007348E3"/>
    <w:rsid w:val="00734900"/>
    <w:rsid w:val="00734946"/>
    <w:rsid w:val="007349BB"/>
    <w:rsid w:val="007349C2"/>
    <w:rsid w:val="007349D8"/>
    <w:rsid w:val="00734A7B"/>
    <w:rsid w:val="00734AF7"/>
    <w:rsid w:val="00734B10"/>
    <w:rsid w:val="00734B48"/>
    <w:rsid w:val="00734B55"/>
    <w:rsid w:val="00734BAD"/>
    <w:rsid w:val="00734BDA"/>
    <w:rsid w:val="00734C05"/>
    <w:rsid w:val="00734C39"/>
    <w:rsid w:val="00734C92"/>
    <w:rsid w:val="00734CF6"/>
    <w:rsid w:val="00734D57"/>
    <w:rsid w:val="00734D97"/>
    <w:rsid w:val="00734DCA"/>
    <w:rsid w:val="00734DED"/>
    <w:rsid w:val="00734E83"/>
    <w:rsid w:val="00734E84"/>
    <w:rsid w:val="00734EA9"/>
    <w:rsid w:val="00734F42"/>
    <w:rsid w:val="00734F4E"/>
    <w:rsid w:val="00734F5A"/>
    <w:rsid w:val="00734F8A"/>
    <w:rsid w:val="00734F9A"/>
    <w:rsid w:val="00734F9E"/>
    <w:rsid w:val="00734FB3"/>
    <w:rsid w:val="00735046"/>
    <w:rsid w:val="007350B8"/>
    <w:rsid w:val="007350C2"/>
    <w:rsid w:val="007350EA"/>
    <w:rsid w:val="007350F1"/>
    <w:rsid w:val="007351A8"/>
    <w:rsid w:val="007351B3"/>
    <w:rsid w:val="007351C4"/>
    <w:rsid w:val="007351C8"/>
    <w:rsid w:val="007351E4"/>
    <w:rsid w:val="007351E6"/>
    <w:rsid w:val="00735295"/>
    <w:rsid w:val="00735312"/>
    <w:rsid w:val="00735371"/>
    <w:rsid w:val="0073540A"/>
    <w:rsid w:val="0073544A"/>
    <w:rsid w:val="007354C9"/>
    <w:rsid w:val="007354CF"/>
    <w:rsid w:val="007354F0"/>
    <w:rsid w:val="00735519"/>
    <w:rsid w:val="00735552"/>
    <w:rsid w:val="00735554"/>
    <w:rsid w:val="0073555C"/>
    <w:rsid w:val="00735584"/>
    <w:rsid w:val="007355F6"/>
    <w:rsid w:val="00735669"/>
    <w:rsid w:val="00735675"/>
    <w:rsid w:val="0073572F"/>
    <w:rsid w:val="00735737"/>
    <w:rsid w:val="00735744"/>
    <w:rsid w:val="00735783"/>
    <w:rsid w:val="007357F2"/>
    <w:rsid w:val="00735808"/>
    <w:rsid w:val="00735817"/>
    <w:rsid w:val="0073583A"/>
    <w:rsid w:val="00735864"/>
    <w:rsid w:val="007358C8"/>
    <w:rsid w:val="007358E5"/>
    <w:rsid w:val="00735901"/>
    <w:rsid w:val="0073591B"/>
    <w:rsid w:val="0073593C"/>
    <w:rsid w:val="00735984"/>
    <w:rsid w:val="007359BC"/>
    <w:rsid w:val="00735A4F"/>
    <w:rsid w:val="00735AB1"/>
    <w:rsid w:val="00735B26"/>
    <w:rsid w:val="00735B4A"/>
    <w:rsid w:val="00735B73"/>
    <w:rsid w:val="00735C17"/>
    <w:rsid w:val="00735C49"/>
    <w:rsid w:val="00735C59"/>
    <w:rsid w:val="00735C5D"/>
    <w:rsid w:val="00735D2E"/>
    <w:rsid w:val="00735D32"/>
    <w:rsid w:val="00735D54"/>
    <w:rsid w:val="00735D5F"/>
    <w:rsid w:val="00735D94"/>
    <w:rsid w:val="00735DBA"/>
    <w:rsid w:val="00735DCC"/>
    <w:rsid w:val="00735DEE"/>
    <w:rsid w:val="00735E70"/>
    <w:rsid w:val="00735E73"/>
    <w:rsid w:val="00735EC0"/>
    <w:rsid w:val="00735ECA"/>
    <w:rsid w:val="00735ECE"/>
    <w:rsid w:val="00735F1D"/>
    <w:rsid w:val="00735F20"/>
    <w:rsid w:val="00735F47"/>
    <w:rsid w:val="00735FAE"/>
    <w:rsid w:val="00735FCA"/>
    <w:rsid w:val="00736029"/>
    <w:rsid w:val="00736046"/>
    <w:rsid w:val="00736071"/>
    <w:rsid w:val="007360A0"/>
    <w:rsid w:val="007360BB"/>
    <w:rsid w:val="007360CA"/>
    <w:rsid w:val="007360E2"/>
    <w:rsid w:val="00736104"/>
    <w:rsid w:val="00736109"/>
    <w:rsid w:val="00736140"/>
    <w:rsid w:val="00736169"/>
    <w:rsid w:val="007361A0"/>
    <w:rsid w:val="00736247"/>
    <w:rsid w:val="00736263"/>
    <w:rsid w:val="007362B7"/>
    <w:rsid w:val="00736336"/>
    <w:rsid w:val="00736343"/>
    <w:rsid w:val="0073635C"/>
    <w:rsid w:val="00736361"/>
    <w:rsid w:val="00736363"/>
    <w:rsid w:val="00736382"/>
    <w:rsid w:val="00736385"/>
    <w:rsid w:val="007363A5"/>
    <w:rsid w:val="007363CD"/>
    <w:rsid w:val="00736413"/>
    <w:rsid w:val="00736422"/>
    <w:rsid w:val="0073643F"/>
    <w:rsid w:val="0073644E"/>
    <w:rsid w:val="00736489"/>
    <w:rsid w:val="007364AF"/>
    <w:rsid w:val="007364CA"/>
    <w:rsid w:val="00736523"/>
    <w:rsid w:val="00736525"/>
    <w:rsid w:val="00736572"/>
    <w:rsid w:val="0073659A"/>
    <w:rsid w:val="007365A3"/>
    <w:rsid w:val="007365C7"/>
    <w:rsid w:val="00736606"/>
    <w:rsid w:val="00736617"/>
    <w:rsid w:val="00736644"/>
    <w:rsid w:val="00736659"/>
    <w:rsid w:val="007366EA"/>
    <w:rsid w:val="00736734"/>
    <w:rsid w:val="007367C3"/>
    <w:rsid w:val="007367E4"/>
    <w:rsid w:val="0073683B"/>
    <w:rsid w:val="00736841"/>
    <w:rsid w:val="0073686E"/>
    <w:rsid w:val="007368A9"/>
    <w:rsid w:val="00736941"/>
    <w:rsid w:val="0073696E"/>
    <w:rsid w:val="00736972"/>
    <w:rsid w:val="007369E6"/>
    <w:rsid w:val="00736A60"/>
    <w:rsid w:val="00736A78"/>
    <w:rsid w:val="00736AA0"/>
    <w:rsid w:val="00736AAE"/>
    <w:rsid w:val="00736B17"/>
    <w:rsid w:val="00736B88"/>
    <w:rsid w:val="00736B90"/>
    <w:rsid w:val="00736B9D"/>
    <w:rsid w:val="00736BC8"/>
    <w:rsid w:val="00736C2C"/>
    <w:rsid w:val="00736C3F"/>
    <w:rsid w:val="00736C65"/>
    <w:rsid w:val="00736C6C"/>
    <w:rsid w:val="00736C7C"/>
    <w:rsid w:val="00736C82"/>
    <w:rsid w:val="00736C90"/>
    <w:rsid w:val="00736D57"/>
    <w:rsid w:val="00736D85"/>
    <w:rsid w:val="00736E34"/>
    <w:rsid w:val="00736E39"/>
    <w:rsid w:val="00736EA0"/>
    <w:rsid w:val="00736EA6"/>
    <w:rsid w:val="00736EAB"/>
    <w:rsid w:val="00736ED4"/>
    <w:rsid w:val="00736F6E"/>
    <w:rsid w:val="00736F71"/>
    <w:rsid w:val="00736F72"/>
    <w:rsid w:val="00736F9E"/>
    <w:rsid w:val="00736FCB"/>
    <w:rsid w:val="00736FE7"/>
    <w:rsid w:val="0073706A"/>
    <w:rsid w:val="007370BB"/>
    <w:rsid w:val="007370C0"/>
    <w:rsid w:val="00737128"/>
    <w:rsid w:val="00737161"/>
    <w:rsid w:val="00737170"/>
    <w:rsid w:val="00737186"/>
    <w:rsid w:val="0073724A"/>
    <w:rsid w:val="007372FD"/>
    <w:rsid w:val="00737310"/>
    <w:rsid w:val="00737342"/>
    <w:rsid w:val="00737357"/>
    <w:rsid w:val="00737430"/>
    <w:rsid w:val="00737442"/>
    <w:rsid w:val="00737484"/>
    <w:rsid w:val="007374A7"/>
    <w:rsid w:val="007374A8"/>
    <w:rsid w:val="007374A9"/>
    <w:rsid w:val="007374CA"/>
    <w:rsid w:val="007374FE"/>
    <w:rsid w:val="00737556"/>
    <w:rsid w:val="00737578"/>
    <w:rsid w:val="0073768C"/>
    <w:rsid w:val="007376CA"/>
    <w:rsid w:val="007376CE"/>
    <w:rsid w:val="00737783"/>
    <w:rsid w:val="0073779F"/>
    <w:rsid w:val="007377C6"/>
    <w:rsid w:val="0073783C"/>
    <w:rsid w:val="00737852"/>
    <w:rsid w:val="0073785A"/>
    <w:rsid w:val="0073786C"/>
    <w:rsid w:val="00737886"/>
    <w:rsid w:val="007378F4"/>
    <w:rsid w:val="00737908"/>
    <w:rsid w:val="00737914"/>
    <w:rsid w:val="0073792A"/>
    <w:rsid w:val="00737933"/>
    <w:rsid w:val="007379F3"/>
    <w:rsid w:val="007379FA"/>
    <w:rsid w:val="00737A65"/>
    <w:rsid w:val="00737A6C"/>
    <w:rsid w:val="00737A99"/>
    <w:rsid w:val="00737A9F"/>
    <w:rsid w:val="00737AE9"/>
    <w:rsid w:val="00737B5C"/>
    <w:rsid w:val="00737C72"/>
    <w:rsid w:val="00737C7C"/>
    <w:rsid w:val="00737D03"/>
    <w:rsid w:val="00737D54"/>
    <w:rsid w:val="00737D61"/>
    <w:rsid w:val="00737D7E"/>
    <w:rsid w:val="00737E46"/>
    <w:rsid w:val="00737F03"/>
    <w:rsid w:val="00737F18"/>
    <w:rsid w:val="00737F50"/>
    <w:rsid w:val="00740024"/>
    <w:rsid w:val="00740062"/>
    <w:rsid w:val="007400E4"/>
    <w:rsid w:val="0074011A"/>
    <w:rsid w:val="0074013D"/>
    <w:rsid w:val="00740155"/>
    <w:rsid w:val="00740164"/>
    <w:rsid w:val="0074018D"/>
    <w:rsid w:val="007401A0"/>
    <w:rsid w:val="007401C3"/>
    <w:rsid w:val="007401EC"/>
    <w:rsid w:val="00740267"/>
    <w:rsid w:val="0074026F"/>
    <w:rsid w:val="00740270"/>
    <w:rsid w:val="00740283"/>
    <w:rsid w:val="00740286"/>
    <w:rsid w:val="0074028F"/>
    <w:rsid w:val="007402C6"/>
    <w:rsid w:val="007402DB"/>
    <w:rsid w:val="00740335"/>
    <w:rsid w:val="00740348"/>
    <w:rsid w:val="0074036C"/>
    <w:rsid w:val="007403D2"/>
    <w:rsid w:val="007403DC"/>
    <w:rsid w:val="00740419"/>
    <w:rsid w:val="0074042C"/>
    <w:rsid w:val="00740445"/>
    <w:rsid w:val="00740457"/>
    <w:rsid w:val="0074047A"/>
    <w:rsid w:val="00740518"/>
    <w:rsid w:val="00740523"/>
    <w:rsid w:val="00740587"/>
    <w:rsid w:val="0074058A"/>
    <w:rsid w:val="007405B0"/>
    <w:rsid w:val="007405B7"/>
    <w:rsid w:val="007405CB"/>
    <w:rsid w:val="007405CD"/>
    <w:rsid w:val="007405DA"/>
    <w:rsid w:val="00740658"/>
    <w:rsid w:val="00740678"/>
    <w:rsid w:val="00740687"/>
    <w:rsid w:val="0074068A"/>
    <w:rsid w:val="007406A2"/>
    <w:rsid w:val="007406C0"/>
    <w:rsid w:val="007406D7"/>
    <w:rsid w:val="00740743"/>
    <w:rsid w:val="0074087B"/>
    <w:rsid w:val="007408F4"/>
    <w:rsid w:val="0074094E"/>
    <w:rsid w:val="00740951"/>
    <w:rsid w:val="00740974"/>
    <w:rsid w:val="007409F2"/>
    <w:rsid w:val="00740A06"/>
    <w:rsid w:val="00740A13"/>
    <w:rsid w:val="00740A3C"/>
    <w:rsid w:val="00740ABC"/>
    <w:rsid w:val="00740B60"/>
    <w:rsid w:val="00740B70"/>
    <w:rsid w:val="00740B8A"/>
    <w:rsid w:val="00740BA0"/>
    <w:rsid w:val="00740BFB"/>
    <w:rsid w:val="00740C4D"/>
    <w:rsid w:val="00740CA1"/>
    <w:rsid w:val="00740CAF"/>
    <w:rsid w:val="00740CF7"/>
    <w:rsid w:val="00740D42"/>
    <w:rsid w:val="00740D71"/>
    <w:rsid w:val="00740D93"/>
    <w:rsid w:val="00740D94"/>
    <w:rsid w:val="00740D9F"/>
    <w:rsid w:val="00740DA8"/>
    <w:rsid w:val="00740DCF"/>
    <w:rsid w:val="00740DFD"/>
    <w:rsid w:val="00740E08"/>
    <w:rsid w:val="00740E2B"/>
    <w:rsid w:val="00740E30"/>
    <w:rsid w:val="00740EA1"/>
    <w:rsid w:val="00740EB2"/>
    <w:rsid w:val="00740EED"/>
    <w:rsid w:val="00740F0D"/>
    <w:rsid w:val="00740F4D"/>
    <w:rsid w:val="00740F5F"/>
    <w:rsid w:val="00740F76"/>
    <w:rsid w:val="00740F7E"/>
    <w:rsid w:val="00740FC1"/>
    <w:rsid w:val="00740FF0"/>
    <w:rsid w:val="00740FF3"/>
    <w:rsid w:val="00740FF9"/>
    <w:rsid w:val="00741046"/>
    <w:rsid w:val="00741047"/>
    <w:rsid w:val="00741054"/>
    <w:rsid w:val="00741077"/>
    <w:rsid w:val="00741081"/>
    <w:rsid w:val="0074108B"/>
    <w:rsid w:val="007410C6"/>
    <w:rsid w:val="007410F2"/>
    <w:rsid w:val="00741126"/>
    <w:rsid w:val="00741177"/>
    <w:rsid w:val="007411D1"/>
    <w:rsid w:val="00741207"/>
    <w:rsid w:val="00741263"/>
    <w:rsid w:val="0074129E"/>
    <w:rsid w:val="007412C1"/>
    <w:rsid w:val="00741337"/>
    <w:rsid w:val="00741363"/>
    <w:rsid w:val="007413B8"/>
    <w:rsid w:val="007413BA"/>
    <w:rsid w:val="007413D0"/>
    <w:rsid w:val="007413E7"/>
    <w:rsid w:val="007413FB"/>
    <w:rsid w:val="00741427"/>
    <w:rsid w:val="00741438"/>
    <w:rsid w:val="0074144D"/>
    <w:rsid w:val="00741491"/>
    <w:rsid w:val="007414A4"/>
    <w:rsid w:val="00741569"/>
    <w:rsid w:val="007415A9"/>
    <w:rsid w:val="00741650"/>
    <w:rsid w:val="0074168B"/>
    <w:rsid w:val="0074168D"/>
    <w:rsid w:val="00741699"/>
    <w:rsid w:val="007416B2"/>
    <w:rsid w:val="007416CA"/>
    <w:rsid w:val="00741711"/>
    <w:rsid w:val="00741712"/>
    <w:rsid w:val="0074171A"/>
    <w:rsid w:val="00741762"/>
    <w:rsid w:val="00741781"/>
    <w:rsid w:val="00741795"/>
    <w:rsid w:val="007417D2"/>
    <w:rsid w:val="007417E8"/>
    <w:rsid w:val="00741848"/>
    <w:rsid w:val="00741897"/>
    <w:rsid w:val="007418B2"/>
    <w:rsid w:val="007418D3"/>
    <w:rsid w:val="0074190E"/>
    <w:rsid w:val="0074191C"/>
    <w:rsid w:val="0074192D"/>
    <w:rsid w:val="00741963"/>
    <w:rsid w:val="00741966"/>
    <w:rsid w:val="00741985"/>
    <w:rsid w:val="00741B34"/>
    <w:rsid w:val="00741B52"/>
    <w:rsid w:val="00741B68"/>
    <w:rsid w:val="00741B9E"/>
    <w:rsid w:val="00741BA8"/>
    <w:rsid w:val="00741BCB"/>
    <w:rsid w:val="00741BED"/>
    <w:rsid w:val="00741C4C"/>
    <w:rsid w:val="00741C5B"/>
    <w:rsid w:val="00741C9B"/>
    <w:rsid w:val="00741D2A"/>
    <w:rsid w:val="00741D44"/>
    <w:rsid w:val="00741DAD"/>
    <w:rsid w:val="00741DF7"/>
    <w:rsid w:val="00741E0A"/>
    <w:rsid w:val="00741E18"/>
    <w:rsid w:val="00741E67"/>
    <w:rsid w:val="00741EB3"/>
    <w:rsid w:val="00741EBF"/>
    <w:rsid w:val="00741F35"/>
    <w:rsid w:val="00741F8A"/>
    <w:rsid w:val="00741FB7"/>
    <w:rsid w:val="00741FBD"/>
    <w:rsid w:val="00741FDA"/>
    <w:rsid w:val="00742069"/>
    <w:rsid w:val="00742076"/>
    <w:rsid w:val="00742144"/>
    <w:rsid w:val="00742186"/>
    <w:rsid w:val="0074219B"/>
    <w:rsid w:val="007421AE"/>
    <w:rsid w:val="007421BD"/>
    <w:rsid w:val="007421DF"/>
    <w:rsid w:val="00742233"/>
    <w:rsid w:val="00742245"/>
    <w:rsid w:val="00742289"/>
    <w:rsid w:val="007422A1"/>
    <w:rsid w:val="007422E0"/>
    <w:rsid w:val="00742301"/>
    <w:rsid w:val="00742303"/>
    <w:rsid w:val="0074230E"/>
    <w:rsid w:val="00742321"/>
    <w:rsid w:val="0074232E"/>
    <w:rsid w:val="0074234A"/>
    <w:rsid w:val="007423EE"/>
    <w:rsid w:val="007423FB"/>
    <w:rsid w:val="00742403"/>
    <w:rsid w:val="007424AE"/>
    <w:rsid w:val="007424D6"/>
    <w:rsid w:val="00742526"/>
    <w:rsid w:val="00742544"/>
    <w:rsid w:val="007425DB"/>
    <w:rsid w:val="007425DD"/>
    <w:rsid w:val="00742607"/>
    <w:rsid w:val="0074263F"/>
    <w:rsid w:val="0074267E"/>
    <w:rsid w:val="007426C3"/>
    <w:rsid w:val="00742709"/>
    <w:rsid w:val="0074277E"/>
    <w:rsid w:val="0074279A"/>
    <w:rsid w:val="007427E2"/>
    <w:rsid w:val="00742809"/>
    <w:rsid w:val="0074280A"/>
    <w:rsid w:val="00742861"/>
    <w:rsid w:val="00742873"/>
    <w:rsid w:val="00742885"/>
    <w:rsid w:val="007428A2"/>
    <w:rsid w:val="007428B5"/>
    <w:rsid w:val="007428C1"/>
    <w:rsid w:val="007428F4"/>
    <w:rsid w:val="007428FF"/>
    <w:rsid w:val="00742915"/>
    <w:rsid w:val="00742951"/>
    <w:rsid w:val="007429DB"/>
    <w:rsid w:val="00742A00"/>
    <w:rsid w:val="00742A61"/>
    <w:rsid w:val="00742AC0"/>
    <w:rsid w:val="00742B67"/>
    <w:rsid w:val="00742B7F"/>
    <w:rsid w:val="00742BDE"/>
    <w:rsid w:val="00742C07"/>
    <w:rsid w:val="00742C22"/>
    <w:rsid w:val="00742C4D"/>
    <w:rsid w:val="00742C54"/>
    <w:rsid w:val="00742C63"/>
    <w:rsid w:val="00742CA3"/>
    <w:rsid w:val="00742D14"/>
    <w:rsid w:val="00742D1B"/>
    <w:rsid w:val="00742D25"/>
    <w:rsid w:val="00742DC5"/>
    <w:rsid w:val="00742E2E"/>
    <w:rsid w:val="00742E5C"/>
    <w:rsid w:val="00742E5E"/>
    <w:rsid w:val="00742EDC"/>
    <w:rsid w:val="00742F02"/>
    <w:rsid w:val="00742F95"/>
    <w:rsid w:val="00742FDC"/>
    <w:rsid w:val="00743022"/>
    <w:rsid w:val="00743039"/>
    <w:rsid w:val="0074305F"/>
    <w:rsid w:val="00743076"/>
    <w:rsid w:val="00743097"/>
    <w:rsid w:val="00743098"/>
    <w:rsid w:val="007430B8"/>
    <w:rsid w:val="00743120"/>
    <w:rsid w:val="00743123"/>
    <w:rsid w:val="00743153"/>
    <w:rsid w:val="007431FB"/>
    <w:rsid w:val="007432D1"/>
    <w:rsid w:val="007432F0"/>
    <w:rsid w:val="00743323"/>
    <w:rsid w:val="00743355"/>
    <w:rsid w:val="0074336F"/>
    <w:rsid w:val="00743372"/>
    <w:rsid w:val="007433BE"/>
    <w:rsid w:val="007433FD"/>
    <w:rsid w:val="0074344F"/>
    <w:rsid w:val="0074346B"/>
    <w:rsid w:val="007434BE"/>
    <w:rsid w:val="007434DD"/>
    <w:rsid w:val="0074350D"/>
    <w:rsid w:val="00743588"/>
    <w:rsid w:val="007435EA"/>
    <w:rsid w:val="0074360F"/>
    <w:rsid w:val="00743612"/>
    <w:rsid w:val="007436C3"/>
    <w:rsid w:val="007436D9"/>
    <w:rsid w:val="007436E9"/>
    <w:rsid w:val="007436EB"/>
    <w:rsid w:val="0074370E"/>
    <w:rsid w:val="00743720"/>
    <w:rsid w:val="00743761"/>
    <w:rsid w:val="00743797"/>
    <w:rsid w:val="007438AD"/>
    <w:rsid w:val="00743914"/>
    <w:rsid w:val="00743929"/>
    <w:rsid w:val="0074395B"/>
    <w:rsid w:val="00743988"/>
    <w:rsid w:val="007439F2"/>
    <w:rsid w:val="00743A8E"/>
    <w:rsid w:val="00743AA0"/>
    <w:rsid w:val="00743AC6"/>
    <w:rsid w:val="00743BC5"/>
    <w:rsid w:val="00743BFF"/>
    <w:rsid w:val="00743C26"/>
    <w:rsid w:val="00743C4F"/>
    <w:rsid w:val="00743C72"/>
    <w:rsid w:val="00743C9C"/>
    <w:rsid w:val="00743CC3"/>
    <w:rsid w:val="00743D4B"/>
    <w:rsid w:val="00743D55"/>
    <w:rsid w:val="00743DE4"/>
    <w:rsid w:val="00743ED3"/>
    <w:rsid w:val="00743EDF"/>
    <w:rsid w:val="00743F59"/>
    <w:rsid w:val="00743FE5"/>
    <w:rsid w:val="00744044"/>
    <w:rsid w:val="007440C3"/>
    <w:rsid w:val="007440D2"/>
    <w:rsid w:val="00744115"/>
    <w:rsid w:val="00744117"/>
    <w:rsid w:val="00744206"/>
    <w:rsid w:val="00744249"/>
    <w:rsid w:val="007442CA"/>
    <w:rsid w:val="007442F9"/>
    <w:rsid w:val="00744305"/>
    <w:rsid w:val="0074431F"/>
    <w:rsid w:val="007443F0"/>
    <w:rsid w:val="00744406"/>
    <w:rsid w:val="0074443A"/>
    <w:rsid w:val="0074443B"/>
    <w:rsid w:val="0074446A"/>
    <w:rsid w:val="00744536"/>
    <w:rsid w:val="0074454B"/>
    <w:rsid w:val="0074455D"/>
    <w:rsid w:val="00744566"/>
    <w:rsid w:val="007445FA"/>
    <w:rsid w:val="00744627"/>
    <w:rsid w:val="0074469B"/>
    <w:rsid w:val="007447E4"/>
    <w:rsid w:val="00744843"/>
    <w:rsid w:val="0074484F"/>
    <w:rsid w:val="0074489D"/>
    <w:rsid w:val="0074489E"/>
    <w:rsid w:val="00744923"/>
    <w:rsid w:val="00744940"/>
    <w:rsid w:val="00744997"/>
    <w:rsid w:val="007449B1"/>
    <w:rsid w:val="007449D3"/>
    <w:rsid w:val="00744A8E"/>
    <w:rsid w:val="00744A94"/>
    <w:rsid w:val="00744A97"/>
    <w:rsid w:val="00744B36"/>
    <w:rsid w:val="00744B46"/>
    <w:rsid w:val="00744BDF"/>
    <w:rsid w:val="00744BF3"/>
    <w:rsid w:val="00744C52"/>
    <w:rsid w:val="00744C7B"/>
    <w:rsid w:val="00744CA8"/>
    <w:rsid w:val="00744CB6"/>
    <w:rsid w:val="00744CBD"/>
    <w:rsid w:val="00744CC6"/>
    <w:rsid w:val="00744CD7"/>
    <w:rsid w:val="00744CDD"/>
    <w:rsid w:val="00744D0E"/>
    <w:rsid w:val="00744D6F"/>
    <w:rsid w:val="00744D8F"/>
    <w:rsid w:val="00744DAE"/>
    <w:rsid w:val="00744E14"/>
    <w:rsid w:val="00744E1E"/>
    <w:rsid w:val="00744E54"/>
    <w:rsid w:val="00744EB9"/>
    <w:rsid w:val="00744EC2"/>
    <w:rsid w:val="00744ECA"/>
    <w:rsid w:val="00744F6B"/>
    <w:rsid w:val="00744F86"/>
    <w:rsid w:val="00744FCF"/>
    <w:rsid w:val="00745010"/>
    <w:rsid w:val="0074504A"/>
    <w:rsid w:val="00745061"/>
    <w:rsid w:val="007450AC"/>
    <w:rsid w:val="007450AD"/>
    <w:rsid w:val="00745129"/>
    <w:rsid w:val="00745140"/>
    <w:rsid w:val="0074517F"/>
    <w:rsid w:val="0074520D"/>
    <w:rsid w:val="007452F0"/>
    <w:rsid w:val="00745301"/>
    <w:rsid w:val="0074535B"/>
    <w:rsid w:val="00745366"/>
    <w:rsid w:val="0074537A"/>
    <w:rsid w:val="0074538A"/>
    <w:rsid w:val="00745391"/>
    <w:rsid w:val="007453A5"/>
    <w:rsid w:val="007453D9"/>
    <w:rsid w:val="0074546D"/>
    <w:rsid w:val="0074549F"/>
    <w:rsid w:val="00745546"/>
    <w:rsid w:val="00745549"/>
    <w:rsid w:val="0074554E"/>
    <w:rsid w:val="00745567"/>
    <w:rsid w:val="0074559E"/>
    <w:rsid w:val="0074562C"/>
    <w:rsid w:val="00745643"/>
    <w:rsid w:val="00745670"/>
    <w:rsid w:val="00745683"/>
    <w:rsid w:val="00745696"/>
    <w:rsid w:val="007456DB"/>
    <w:rsid w:val="007456FF"/>
    <w:rsid w:val="007457A1"/>
    <w:rsid w:val="007457A5"/>
    <w:rsid w:val="007457AE"/>
    <w:rsid w:val="007457BD"/>
    <w:rsid w:val="0074581D"/>
    <w:rsid w:val="00745826"/>
    <w:rsid w:val="00745867"/>
    <w:rsid w:val="007458E7"/>
    <w:rsid w:val="007458F0"/>
    <w:rsid w:val="00745925"/>
    <w:rsid w:val="00745947"/>
    <w:rsid w:val="00745A27"/>
    <w:rsid w:val="00745A6E"/>
    <w:rsid w:val="00745A8B"/>
    <w:rsid w:val="00745A9C"/>
    <w:rsid w:val="00745ABA"/>
    <w:rsid w:val="00745ABF"/>
    <w:rsid w:val="00745AD7"/>
    <w:rsid w:val="00745B1D"/>
    <w:rsid w:val="00745B42"/>
    <w:rsid w:val="00745B77"/>
    <w:rsid w:val="00745B87"/>
    <w:rsid w:val="00745BB1"/>
    <w:rsid w:val="00745C6A"/>
    <w:rsid w:val="00745C7C"/>
    <w:rsid w:val="00745D23"/>
    <w:rsid w:val="00745D26"/>
    <w:rsid w:val="00745D30"/>
    <w:rsid w:val="00745D62"/>
    <w:rsid w:val="00745DB8"/>
    <w:rsid w:val="00745DD1"/>
    <w:rsid w:val="00745E11"/>
    <w:rsid w:val="00745E2E"/>
    <w:rsid w:val="00745E6C"/>
    <w:rsid w:val="00745ECA"/>
    <w:rsid w:val="00745ED3"/>
    <w:rsid w:val="00745ED4"/>
    <w:rsid w:val="00745EE8"/>
    <w:rsid w:val="00745EEB"/>
    <w:rsid w:val="00745EF6"/>
    <w:rsid w:val="00745F2C"/>
    <w:rsid w:val="00745F52"/>
    <w:rsid w:val="00745F65"/>
    <w:rsid w:val="00745F7C"/>
    <w:rsid w:val="00745F7F"/>
    <w:rsid w:val="00745FE7"/>
    <w:rsid w:val="00745FFE"/>
    <w:rsid w:val="0074609E"/>
    <w:rsid w:val="007460AC"/>
    <w:rsid w:val="007460EA"/>
    <w:rsid w:val="007460F0"/>
    <w:rsid w:val="007460F8"/>
    <w:rsid w:val="0074610D"/>
    <w:rsid w:val="00746120"/>
    <w:rsid w:val="00746164"/>
    <w:rsid w:val="007461B8"/>
    <w:rsid w:val="007461C8"/>
    <w:rsid w:val="00746203"/>
    <w:rsid w:val="00746226"/>
    <w:rsid w:val="00746296"/>
    <w:rsid w:val="007462B1"/>
    <w:rsid w:val="00746342"/>
    <w:rsid w:val="0074637A"/>
    <w:rsid w:val="007463EC"/>
    <w:rsid w:val="0074641A"/>
    <w:rsid w:val="00746438"/>
    <w:rsid w:val="0074643B"/>
    <w:rsid w:val="00746454"/>
    <w:rsid w:val="00746478"/>
    <w:rsid w:val="007464AF"/>
    <w:rsid w:val="0074652C"/>
    <w:rsid w:val="007465E4"/>
    <w:rsid w:val="007465E9"/>
    <w:rsid w:val="00746622"/>
    <w:rsid w:val="00746634"/>
    <w:rsid w:val="00746639"/>
    <w:rsid w:val="007466D8"/>
    <w:rsid w:val="007466E5"/>
    <w:rsid w:val="007466EE"/>
    <w:rsid w:val="0074673B"/>
    <w:rsid w:val="00746775"/>
    <w:rsid w:val="007467B3"/>
    <w:rsid w:val="007467F8"/>
    <w:rsid w:val="00746831"/>
    <w:rsid w:val="0074683D"/>
    <w:rsid w:val="00746861"/>
    <w:rsid w:val="00746876"/>
    <w:rsid w:val="007468A3"/>
    <w:rsid w:val="007468B2"/>
    <w:rsid w:val="007468C2"/>
    <w:rsid w:val="00746936"/>
    <w:rsid w:val="00746994"/>
    <w:rsid w:val="0074699C"/>
    <w:rsid w:val="007469A9"/>
    <w:rsid w:val="007469CC"/>
    <w:rsid w:val="00746A1B"/>
    <w:rsid w:val="00746A1F"/>
    <w:rsid w:val="00746A37"/>
    <w:rsid w:val="00746A49"/>
    <w:rsid w:val="00746A8E"/>
    <w:rsid w:val="00746A8F"/>
    <w:rsid w:val="00746AF6"/>
    <w:rsid w:val="00746B17"/>
    <w:rsid w:val="00746B53"/>
    <w:rsid w:val="00746B6B"/>
    <w:rsid w:val="00746BA5"/>
    <w:rsid w:val="00746BA8"/>
    <w:rsid w:val="00746BB6"/>
    <w:rsid w:val="00746BCC"/>
    <w:rsid w:val="00746C0D"/>
    <w:rsid w:val="00746C4E"/>
    <w:rsid w:val="00746CB7"/>
    <w:rsid w:val="00746CE9"/>
    <w:rsid w:val="00746D0D"/>
    <w:rsid w:val="00746D64"/>
    <w:rsid w:val="00746D83"/>
    <w:rsid w:val="00746D9E"/>
    <w:rsid w:val="00746DB5"/>
    <w:rsid w:val="00746DE9"/>
    <w:rsid w:val="00746E04"/>
    <w:rsid w:val="00746E7F"/>
    <w:rsid w:val="00746E91"/>
    <w:rsid w:val="00746EB7"/>
    <w:rsid w:val="00746EBB"/>
    <w:rsid w:val="00746EC4"/>
    <w:rsid w:val="00746ED9"/>
    <w:rsid w:val="00746EE1"/>
    <w:rsid w:val="00746EEE"/>
    <w:rsid w:val="00746EF0"/>
    <w:rsid w:val="00746F13"/>
    <w:rsid w:val="00746F5A"/>
    <w:rsid w:val="00746F5B"/>
    <w:rsid w:val="00746F85"/>
    <w:rsid w:val="00746FEB"/>
    <w:rsid w:val="0074700E"/>
    <w:rsid w:val="007470CF"/>
    <w:rsid w:val="007470DE"/>
    <w:rsid w:val="0074711B"/>
    <w:rsid w:val="00747134"/>
    <w:rsid w:val="00747169"/>
    <w:rsid w:val="0074718A"/>
    <w:rsid w:val="00747199"/>
    <w:rsid w:val="007471FF"/>
    <w:rsid w:val="00747277"/>
    <w:rsid w:val="007472F3"/>
    <w:rsid w:val="007472F8"/>
    <w:rsid w:val="007472FB"/>
    <w:rsid w:val="00747312"/>
    <w:rsid w:val="00747316"/>
    <w:rsid w:val="0074735B"/>
    <w:rsid w:val="00747377"/>
    <w:rsid w:val="00747389"/>
    <w:rsid w:val="007473A2"/>
    <w:rsid w:val="007473A9"/>
    <w:rsid w:val="007473CC"/>
    <w:rsid w:val="007473D1"/>
    <w:rsid w:val="00747466"/>
    <w:rsid w:val="00747479"/>
    <w:rsid w:val="00747493"/>
    <w:rsid w:val="007474DA"/>
    <w:rsid w:val="00747502"/>
    <w:rsid w:val="00747545"/>
    <w:rsid w:val="007475E1"/>
    <w:rsid w:val="0074764B"/>
    <w:rsid w:val="007476AC"/>
    <w:rsid w:val="007476BE"/>
    <w:rsid w:val="00747780"/>
    <w:rsid w:val="007477AA"/>
    <w:rsid w:val="007477B9"/>
    <w:rsid w:val="007477D0"/>
    <w:rsid w:val="00747834"/>
    <w:rsid w:val="0074783F"/>
    <w:rsid w:val="00747881"/>
    <w:rsid w:val="00747883"/>
    <w:rsid w:val="007478CE"/>
    <w:rsid w:val="00747996"/>
    <w:rsid w:val="007479B6"/>
    <w:rsid w:val="007479D4"/>
    <w:rsid w:val="00747A05"/>
    <w:rsid w:val="00747A45"/>
    <w:rsid w:val="00747A5D"/>
    <w:rsid w:val="00747A95"/>
    <w:rsid w:val="00747ABC"/>
    <w:rsid w:val="00747AC5"/>
    <w:rsid w:val="00747AD7"/>
    <w:rsid w:val="00747AF2"/>
    <w:rsid w:val="00747B1B"/>
    <w:rsid w:val="00747B6D"/>
    <w:rsid w:val="00747B74"/>
    <w:rsid w:val="00747BEE"/>
    <w:rsid w:val="00747C35"/>
    <w:rsid w:val="00747C63"/>
    <w:rsid w:val="00747C7D"/>
    <w:rsid w:val="00747CDC"/>
    <w:rsid w:val="00747CEB"/>
    <w:rsid w:val="00747CF6"/>
    <w:rsid w:val="00747D03"/>
    <w:rsid w:val="00747D07"/>
    <w:rsid w:val="00747D1C"/>
    <w:rsid w:val="00747D31"/>
    <w:rsid w:val="00747D36"/>
    <w:rsid w:val="00747D3E"/>
    <w:rsid w:val="00747D60"/>
    <w:rsid w:val="00747DF6"/>
    <w:rsid w:val="00747E32"/>
    <w:rsid w:val="00747E50"/>
    <w:rsid w:val="00747EB5"/>
    <w:rsid w:val="00747ED7"/>
    <w:rsid w:val="00747EF4"/>
    <w:rsid w:val="00747F23"/>
    <w:rsid w:val="00747F4C"/>
    <w:rsid w:val="00747F76"/>
    <w:rsid w:val="00747FB3"/>
    <w:rsid w:val="00747FED"/>
    <w:rsid w:val="00747FF0"/>
    <w:rsid w:val="00747FF2"/>
    <w:rsid w:val="00750030"/>
    <w:rsid w:val="00750047"/>
    <w:rsid w:val="00750064"/>
    <w:rsid w:val="007500DC"/>
    <w:rsid w:val="00750152"/>
    <w:rsid w:val="00750172"/>
    <w:rsid w:val="0075021E"/>
    <w:rsid w:val="0075026D"/>
    <w:rsid w:val="0075029F"/>
    <w:rsid w:val="007502E0"/>
    <w:rsid w:val="00750316"/>
    <w:rsid w:val="00750378"/>
    <w:rsid w:val="00750395"/>
    <w:rsid w:val="007503DF"/>
    <w:rsid w:val="00750408"/>
    <w:rsid w:val="00750415"/>
    <w:rsid w:val="00750482"/>
    <w:rsid w:val="007504A3"/>
    <w:rsid w:val="007504BE"/>
    <w:rsid w:val="007504D0"/>
    <w:rsid w:val="007504D6"/>
    <w:rsid w:val="007504DC"/>
    <w:rsid w:val="007504F1"/>
    <w:rsid w:val="00750528"/>
    <w:rsid w:val="007505A1"/>
    <w:rsid w:val="007505A7"/>
    <w:rsid w:val="007505CB"/>
    <w:rsid w:val="00750620"/>
    <w:rsid w:val="007506B2"/>
    <w:rsid w:val="0075071A"/>
    <w:rsid w:val="00750768"/>
    <w:rsid w:val="00750783"/>
    <w:rsid w:val="007507AE"/>
    <w:rsid w:val="00750805"/>
    <w:rsid w:val="0075082C"/>
    <w:rsid w:val="00750872"/>
    <w:rsid w:val="00750969"/>
    <w:rsid w:val="00750982"/>
    <w:rsid w:val="007509A7"/>
    <w:rsid w:val="007509AF"/>
    <w:rsid w:val="007509EA"/>
    <w:rsid w:val="007509FF"/>
    <w:rsid w:val="00750A1F"/>
    <w:rsid w:val="00750A2A"/>
    <w:rsid w:val="00750A2E"/>
    <w:rsid w:val="00750A91"/>
    <w:rsid w:val="00750AEE"/>
    <w:rsid w:val="00750AFB"/>
    <w:rsid w:val="00750B06"/>
    <w:rsid w:val="00750B0B"/>
    <w:rsid w:val="00750B42"/>
    <w:rsid w:val="00750B97"/>
    <w:rsid w:val="00750BAA"/>
    <w:rsid w:val="00750BF9"/>
    <w:rsid w:val="00750C1E"/>
    <w:rsid w:val="00750C22"/>
    <w:rsid w:val="00750C2F"/>
    <w:rsid w:val="00750C44"/>
    <w:rsid w:val="00750D61"/>
    <w:rsid w:val="00750DC0"/>
    <w:rsid w:val="00750DC5"/>
    <w:rsid w:val="00750E18"/>
    <w:rsid w:val="00750E8C"/>
    <w:rsid w:val="00750E99"/>
    <w:rsid w:val="00750E9D"/>
    <w:rsid w:val="00750EE5"/>
    <w:rsid w:val="00750EFF"/>
    <w:rsid w:val="00750F78"/>
    <w:rsid w:val="00750FA8"/>
    <w:rsid w:val="00750FDD"/>
    <w:rsid w:val="00751001"/>
    <w:rsid w:val="00751027"/>
    <w:rsid w:val="00751091"/>
    <w:rsid w:val="007510EA"/>
    <w:rsid w:val="00751109"/>
    <w:rsid w:val="0075111E"/>
    <w:rsid w:val="00751132"/>
    <w:rsid w:val="00751165"/>
    <w:rsid w:val="0075116D"/>
    <w:rsid w:val="00751182"/>
    <w:rsid w:val="007511E7"/>
    <w:rsid w:val="00751206"/>
    <w:rsid w:val="00751253"/>
    <w:rsid w:val="0075125D"/>
    <w:rsid w:val="0075126F"/>
    <w:rsid w:val="007512B3"/>
    <w:rsid w:val="007512C6"/>
    <w:rsid w:val="007512C8"/>
    <w:rsid w:val="007512F6"/>
    <w:rsid w:val="00751302"/>
    <w:rsid w:val="00751306"/>
    <w:rsid w:val="00751359"/>
    <w:rsid w:val="00751364"/>
    <w:rsid w:val="00751370"/>
    <w:rsid w:val="0075137C"/>
    <w:rsid w:val="007513AB"/>
    <w:rsid w:val="00751462"/>
    <w:rsid w:val="0075149D"/>
    <w:rsid w:val="007514F3"/>
    <w:rsid w:val="0075150A"/>
    <w:rsid w:val="00751582"/>
    <w:rsid w:val="007515C8"/>
    <w:rsid w:val="007515ED"/>
    <w:rsid w:val="007515F5"/>
    <w:rsid w:val="0075166C"/>
    <w:rsid w:val="00751679"/>
    <w:rsid w:val="007516B9"/>
    <w:rsid w:val="007516F9"/>
    <w:rsid w:val="007516FD"/>
    <w:rsid w:val="0075171E"/>
    <w:rsid w:val="00751860"/>
    <w:rsid w:val="0075187D"/>
    <w:rsid w:val="0075188D"/>
    <w:rsid w:val="007518C5"/>
    <w:rsid w:val="00751916"/>
    <w:rsid w:val="00751935"/>
    <w:rsid w:val="0075193C"/>
    <w:rsid w:val="00751989"/>
    <w:rsid w:val="007519A3"/>
    <w:rsid w:val="007519C0"/>
    <w:rsid w:val="007519CA"/>
    <w:rsid w:val="007519E4"/>
    <w:rsid w:val="00751A12"/>
    <w:rsid w:val="00751A5F"/>
    <w:rsid w:val="00751A65"/>
    <w:rsid w:val="00751AB8"/>
    <w:rsid w:val="00751B03"/>
    <w:rsid w:val="00751B34"/>
    <w:rsid w:val="00751B4B"/>
    <w:rsid w:val="00751B55"/>
    <w:rsid w:val="00751C1D"/>
    <w:rsid w:val="00751C46"/>
    <w:rsid w:val="00751C9E"/>
    <w:rsid w:val="00751C9F"/>
    <w:rsid w:val="00751CF3"/>
    <w:rsid w:val="00751D2B"/>
    <w:rsid w:val="00751D44"/>
    <w:rsid w:val="00751D4A"/>
    <w:rsid w:val="00751D5F"/>
    <w:rsid w:val="00751D92"/>
    <w:rsid w:val="00751DB6"/>
    <w:rsid w:val="00751DCE"/>
    <w:rsid w:val="00751DE7"/>
    <w:rsid w:val="00751E60"/>
    <w:rsid w:val="00751EA3"/>
    <w:rsid w:val="00751F17"/>
    <w:rsid w:val="00751F3A"/>
    <w:rsid w:val="00751FA4"/>
    <w:rsid w:val="00751FD6"/>
    <w:rsid w:val="00752033"/>
    <w:rsid w:val="00752076"/>
    <w:rsid w:val="007520A7"/>
    <w:rsid w:val="007520D1"/>
    <w:rsid w:val="00752123"/>
    <w:rsid w:val="00752175"/>
    <w:rsid w:val="00752191"/>
    <w:rsid w:val="007521B4"/>
    <w:rsid w:val="007521BB"/>
    <w:rsid w:val="007521D9"/>
    <w:rsid w:val="00752259"/>
    <w:rsid w:val="007522B8"/>
    <w:rsid w:val="007522E4"/>
    <w:rsid w:val="007522EC"/>
    <w:rsid w:val="00752311"/>
    <w:rsid w:val="0075233A"/>
    <w:rsid w:val="007523AE"/>
    <w:rsid w:val="00752402"/>
    <w:rsid w:val="0075242D"/>
    <w:rsid w:val="0075244E"/>
    <w:rsid w:val="00752451"/>
    <w:rsid w:val="0075246B"/>
    <w:rsid w:val="00752478"/>
    <w:rsid w:val="0075249B"/>
    <w:rsid w:val="0075250F"/>
    <w:rsid w:val="00752536"/>
    <w:rsid w:val="007525FA"/>
    <w:rsid w:val="00752603"/>
    <w:rsid w:val="00752683"/>
    <w:rsid w:val="00752725"/>
    <w:rsid w:val="00752733"/>
    <w:rsid w:val="0075278C"/>
    <w:rsid w:val="00752873"/>
    <w:rsid w:val="007528A8"/>
    <w:rsid w:val="0075290F"/>
    <w:rsid w:val="00752986"/>
    <w:rsid w:val="00752A0F"/>
    <w:rsid w:val="00752A4F"/>
    <w:rsid w:val="00752A50"/>
    <w:rsid w:val="00752A7E"/>
    <w:rsid w:val="00752AB2"/>
    <w:rsid w:val="00752AC7"/>
    <w:rsid w:val="00752AEF"/>
    <w:rsid w:val="00752B22"/>
    <w:rsid w:val="00752B4F"/>
    <w:rsid w:val="00752BA0"/>
    <w:rsid w:val="00752BA1"/>
    <w:rsid w:val="00752BAF"/>
    <w:rsid w:val="00752BD0"/>
    <w:rsid w:val="00752BF1"/>
    <w:rsid w:val="00752C5B"/>
    <w:rsid w:val="00752C6E"/>
    <w:rsid w:val="00752C83"/>
    <w:rsid w:val="00752C9D"/>
    <w:rsid w:val="00752CB2"/>
    <w:rsid w:val="00752D6B"/>
    <w:rsid w:val="00752DE7"/>
    <w:rsid w:val="00752E4A"/>
    <w:rsid w:val="00752E4D"/>
    <w:rsid w:val="00752E6D"/>
    <w:rsid w:val="00752E89"/>
    <w:rsid w:val="00752EB9"/>
    <w:rsid w:val="00752EF4"/>
    <w:rsid w:val="00752F01"/>
    <w:rsid w:val="00752FBE"/>
    <w:rsid w:val="00752FCF"/>
    <w:rsid w:val="00752FDC"/>
    <w:rsid w:val="00752FF2"/>
    <w:rsid w:val="0075300E"/>
    <w:rsid w:val="0075302E"/>
    <w:rsid w:val="00753044"/>
    <w:rsid w:val="00753058"/>
    <w:rsid w:val="00753061"/>
    <w:rsid w:val="00753092"/>
    <w:rsid w:val="007530A6"/>
    <w:rsid w:val="007530F0"/>
    <w:rsid w:val="00753146"/>
    <w:rsid w:val="0075317C"/>
    <w:rsid w:val="00753273"/>
    <w:rsid w:val="007532A1"/>
    <w:rsid w:val="007532D1"/>
    <w:rsid w:val="007532E6"/>
    <w:rsid w:val="007532F1"/>
    <w:rsid w:val="00753325"/>
    <w:rsid w:val="00753350"/>
    <w:rsid w:val="00753359"/>
    <w:rsid w:val="00753384"/>
    <w:rsid w:val="0075339B"/>
    <w:rsid w:val="0075339C"/>
    <w:rsid w:val="00753416"/>
    <w:rsid w:val="0075341D"/>
    <w:rsid w:val="00753423"/>
    <w:rsid w:val="0075345B"/>
    <w:rsid w:val="0075345E"/>
    <w:rsid w:val="00753467"/>
    <w:rsid w:val="0075347C"/>
    <w:rsid w:val="007534BA"/>
    <w:rsid w:val="007534E9"/>
    <w:rsid w:val="00753519"/>
    <w:rsid w:val="007535D9"/>
    <w:rsid w:val="00753697"/>
    <w:rsid w:val="007536A6"/>
    <w:rsid w:val="007536B0"/>
    <w:rsid w:val="007536EC"/>
    <w:rsid w:val="007536F8"/>
    <w:rsid w:val="0075370E"/>
    <w:rsid w:val="00753798"/>
    <w:rsid w:val="007537BF"/>
    <w:rsid w:val="007537CF"/>
    <w:rsid w:val="007537D8"/>
    <w:rsid w:val="007537E1"/>
    <w:rsid w:val="00753875"/>
    <w:rsid w:val="00753879"/>
    <w:rsid w:val="007538C4"/>
    <w:rsid w:val="00753905"/>
    <w:rsid w:val="00753911"/>
    <w:rsid w:val="00753927"/>
    <w:rsid w:val="00753949"/>
    <w:rsid w:val="00753A09"/>
    <w:rsid w:val="00753A28"/>
    <w:rsid w:val="00753A38"/>
    <w:rsid w:val="00753A52"/>
    <w:rsid w:val="00753A6D"/>
    <w:rsid w:val="00753A92"/>
    <w:rsid w:val="00753AA5"/>
    <w:rsid w:val="00753AD1"/>
    <w:rsid w:val="00753AD6"/>
    <w:rsid w:val="00753AEB"/>
    <w:rsid w:val="00753B2E"/>
    <w:rsid w:val="00753B31"/>
    <w:rsid w:val="00753BB5"/>
    <w:rsid w:val="00753BF9"/>
    <w:rsid w:val="00753C85"/>
    <w:rsid w:val="00753CC6"/>
    <w:rsid w:val="00753CE6"/>
    <w:rsid w:val="00753D1F"/>
    <w:rsid w:val="00753D5F"/>
    <w:rsid w:val="00753D89"/>
    <w:rsid w:val="00753D8A"/>
    <w:rsid w:val="00753D90"/>
    <w:rsid w:val="00753D9B"/>
    <w:rsid w:val="00753DA4"/>
    <w:rsid w:val="00753DD1"/>
    <w:rsid w:val="00753DD2"/>
    <w:rsid w:val="00753E00"/>
    <w:rsid w:val="00753E14"/>
    <w:rsid w:val="00753E70"/>
    <w:rsid w:val="00753E79"/>
    <w:rsid w:val="00753EA5"/>
    <w:rsid w:val="00753EA7"/>
    <w:rsid w:val="00753EB6"/>
    <w:rsid w:val="00753EC7"/>
    <w:rsid w:val="00753F7A"/>
    <w:rsid w:val="00753F7E"/>
    <w:rsid w:val="00753F81"/>
    <w:rsid w:val="00753F86"/>
    <w:rsid w:val="00753FBE"/>
    <w:rsid w:val="00753FDD"/>
    <w:rsid w:val="00753FE0"/>
    <w:rsid w:val="0075401D"/>
    <w:rsid w:val="0075405C"/>
    <w:rsid w:val="0075406D"/>
    <w:rsid w:val="007540BE"/>
    <w:rsid w:val="00754104"/>
    <w:rsid w:val="00754136"/>
    <w:rsid w:val="00754142"/>
    <w:rsid w:val="0075414A"/>
    <w:rsid w:val="00754177"/>
    <w:rsid w:val="007541A3"/>
    <w:rsid w:val="0075420F"/>
    <w:rsid w:val="00754211"/>
    <w:rsid w:val="00754218"/>
    <w:rsid w:val="007542D2"/>
    <w:rsid w:val="007542DA"/>
    <w:rsid w:val="007543E6"/>
    <w:rsid w:val="00754408"/>
    <w:rsid w:val="00754418"/>
    <w:rsid w:val="0075441D"/>
    <w:rsid w:val="00754443"/>
    <w:rsid w:val="00754490"/>
    <w:rsid w:val="00754501"/>
    <w:rsid w:val="0075456B"/>
    <w:rsid w:val="0075458A"/>
    <w:rsid w:val="0075458B"/>
    <w:rsid w:val="0075460F"/>
    <w:rsid w:val="00754633"/>
    <w:rsid w:val="00754661"/>
    <w:rsid w:val="00754719"/>
    <w:rsid w:val="0075473C"/>
    <w:rsid w:val="0075476C"/>
    <w:rsid w:val="0075476E"/>
    <w:rsid w:val="0075478F"/>
    <w:rsid w:val="00754801"/>
    <w:rsid w:val="00754824"/>
    <w:rsid w:val="00754829"/>
    <w:rsid w:val="00754830"/>
    <w:rsid w:val="0075489A"/>
    <w:rsid w:val="007548D7"/>
    <w:rsid w:val="00754930"/>
    <w:rsid w:val="00754967"/>
    <w:rsid w:val="0075496D"/>
    <w:rsid w:val="007549A4"/>
    <w:rsid w:val="007549AE"/>
    <w:rsid w:val="007549EC"/>
    <w:rsid w:val="00754A27"/>
    <w:rsid w:val="00754A44"/>
    <w:rsid w:val="00754A93"/>
    <w:rsid w:val="00754B13"/>
    <w:rsid w:val="00754BF4"/>
    <w:rsid w:val="00754C55"/>
    <w:rsid w:val="00754C56"/>
    <w:rsid w:val="00754C59"/>
    <w:rsid w:val="00754C91"/>
    <w:rsid w:val="00754CC2"/>
    <w:rsid w:val="00754CCE"/>
    <w:rsid w:val="00754CFC"/>
    <w:rsid w:val="00754D01"/>
    <w:rsid w:val="00754D1C"/>
    <w:rsid w:val="00754D21"/>
    <w:rsid w:val="00754D22"/>
    <w:rsid w:val="00754D23"/>
    <w:rsid w:val="00754D5A"/>
    <w:rsid w:val="00754D5D"/>
    <w:rsid w:val="00754D78"/>
    <w:rsid w:val="00754DA4"/>
    <w:rsid w:val="00754DF8"/>
    <w:rsid w:val="00754E09"/>
    <w:rsid w:val="00754E12"/>
    <w:rsid w:val="00754EF5"/>
    <w:rsid w:val="00754F03"/>
    <w:rsid w:val="00754F2F"/>
    <w:rsid w:val="00754F55"/>
    <w:rsid w:val="00754FE8"/>
    <w:rsid w:val="00755004"/>
    <w:rsid w:val="0075501E"/>
    <w:rsid w:val="0075512D"/>
    <w:rsid w:val="0075512E"/>
    <w:rsid w:val="00755166"/>
    <w:rsid w:val="00755197"/>
    <w:rsid w:val="007551B3"/>
    <w:rsid w:val="00755233"/>
    <w:rsid w:val="00755287"/>
    <w:rsid w:val="007552CC"/>
    <w:rsid w:val="007552F2"/>
    <w:rsid w:val="007552F8"/>
    <w:rsid w:val="00755380"/>
    <w:rsid w:val="007553C0"/>
    <w:rsid w:val="00755417"/>
    <w:rsid w:val="00755421"/>
    <w:rsid w:val="0075542B"/>
    <w:rsid w:val="00755474"/>
    <w:rsid w:val="007554F9"/>
    <w:rsid w:val="00755502"/>
    <w:rsid w:val="0075550D"/>
    <w:rsid w:val="0075554D"/>
    <w:rsid w:val="00755581"/>
    <w:rsid w:val="007555AB"/>
    <w:rsid w:val="007555B4"/>
    <w:rsid w:val="007555BA"/>
    <w:rsid w:val="007555EB"/>
    <w:rsid w:val="00755606"/>
    <w:rsid w:val="00755617"/>
    <w:rsid w:val="0075562B"/>
    <w:rsid w:val="00755698"/>
    <w:rsid w:val="0075569F"/>
    <w:rsid w:val="007556B6"/>
    <w:rsid w:val="007556BB"/>
    <w:rsid w:val="00755717"/>
    <w:rsid w:val="00755726"/>
    <w:rsid w:val="00755731"/>
    <w:rsid w:val="00755765"/>
    <w:rsid w:val="0075577E"/>
    <w:rsid w:val="007557DE"/>
    <w:rsid w:val="00755831"/>
    <w:rsid w:val="0075583D"/>
    <w:rsid w:val="00755884"/>
    <w:rsid w:val="007558AC"/>
    <w:rsid w:val="007558B7"/>
    <w:rsid w:val="0075593D"/>
    <w:rsid w:val="00755966"/>
    <w:rsid w:val="007559A7"/>
    <w:rsid w:val="007559B8"/>
    <w:rsid w:val="00755A0D"/>
    <w:rsid w:val="00755A22"/>
    <w:rsid w:val="00755A55"/>
    <w:rsid w:val="00755A5A"/>
    <w:rsid w:val="00755A96"/>
    <w:rsid w:val="00755AF8"/>
    <w:rsid w:val="00755B0E"/>
    <w:rsid w:val="00755B1C"/>
    <w:rsid w:val="00755B36"/>
    <w:rsid w:val="00755B42"/>
    <w:rsid w:val="00755B4C"/>
    <w:rsid w:val="00755B73"/>
    <w:rsid w:val="00755B8D"/>
    <w:rsid w:val="00755BA4"/>
    <w:rsid w:val="00755C4A"/>
    <w:rsid w:val="00755CD8"/>
    <w:rsid w:val="00755DFF"/>
    <w:rsid w:val="00755E0A"/>
    <w:rsid w:val="00755E73"/>
    <w:rsid w:val="00755E99"/>
    <w:rsid w:val="00755ECB"/>
    <w:rsid w:val="00755EE7"/>
    <w:rsid w:val="00755F98"/>
    <w:rsid w:val="00755FA4"/>
    <w:rsid w:val="00755FBA"/>
    <w:rsid w:val="00755FE7"/>
    <w:rsid w:val="00755FF2"/>
    <w:rsid w:val="00755FF6"/>
    <w:rsid w:val="00756014"/>
    <w:rsid w:val="00756040"/>
    <w:rsid w:val="0075606E"/>
    <w:rsid w:val="0075608C"/>
    <w:rsid w:val="007560C3"/>
    <w:rsid w:val="007560CA"/>
    <w:rsid w:val="007560D0"/>
    <w:rsid w:val="007560E7"/>
    <w:rsid w:val="007560F7"/>
    <w:rsid w:val="0075613E"/>
    <w:rsid w:val="007561B9"/>
    <w:rsid w:val="007561EF"/>
    <w:rsid w:val="007561FF"/>
    <w:rsid w:val="00756255"/>
    <w:rsid w:val="00756297"/>
    <w:rsid w:val="0075629C"/>
    <w:rsid w:val="007562CF"/>
    <w:rsid w:val="007562DC"/>
    <w:rsid w:val="007562ED"/>
    <w:rsid w:val="00756376"/>
    <w:rsid w:val="00756378"/>
    <w:rsid w:val="00756390"/>
    <w:rsid w:val="007563A8"/>
    <w:rsid w:val="007563FF"/>
    <w:rsid w:val="00756446"/>
    <w:rsid w:val="00756482"/>
    <w:rsid w:val="00756498"/>
    <w:rsid w:val="0075649A"/>
    <w:rsid w:val="007564BA"/>
    <w:rsid w:val="007564BE"/>
    <w:rsid w:val="007564D6"/>
    <w:rsid w:val="007564FE"/>
    <w:rsid w:val="0075650D"/>
    <w:rsid w:val="00756568"/>
    <w:rsid w:val="0075656F"/>
    <w:rsid w:val="00756572"/>
    <w:rsid w:val="00756578"/>
    <w:rsid w:val="0075658B"/>
    <w:rsid w:val="00756599"/>
    <w:rsid w:val="007565A2"/>
    <w:rsid w:val="00756658"/>
    <w:rsid w:val="00756683"/>
    <w:rsid w:val="007566CA"/>
    <w:rsid w:val="007566EA"/>
    <w:rsid w:val="00756728"/>
    <w:rsid w:val="0075674D"/>
    <w:rsid w:val="00756760"/>
    <w:rsid w:val="00756841"/>
    <w:rsid w:val="00756846"/>
    <w:rsid w:val="007568E8"/>
    <w:rsid w:val="00756924"/>
    <w:rsid w:val="0075694C"/>
    <w:rsid w:val="00756965"/>
    <w:rsid w:val="00756994"/>
    <w:rsid w:val="00756A25"/>
    <w:rsid w:val="00756A49"/>
    <w:rsid w:val="00756A71"/>
    <w:rsid w:val="00756A79"/>
    <w:rsid w:val="00756AA1"/>
    <w:rsid w:val="00756ABC"/>
    <w:rsid w:val="00756B1B"/>
    <w:rsid w:val="00756B23"/>
    <w:rsid w:val="00756B3B"/>
    <w:rsid w:val="00756BBF"/>
    <w:rsid w:val="00756C7A"/>
    <w:rsid w:val="00756CA9"/>
    <w:rsid w:val="00756CAB"/>
    <w:rsid w:val="00756CBF"/>
    <w:rsid w:val="00756D1C"/>
    <w:rsid w:val="00756D66"/>
    <w:rsid w:val="00756DB2"/>
    <w:rsid w:val="00756DB8"/>
    <w:rsid w:val="00756DC8"/>
    <w:rsid w:val="00756DC9"/>
    <w:rsid w:val="00756E2E"/>
    <w:rsid w:val="00756E53"/>
    <w:rsid w:val="00756E77"/>
    <w:rsid w:val="00756E78"/>
    <w:rsid w:val="00756E7B"/>
    <w:rsid w:val="00756E88"/>
    <w:rsid w:val="00756EFB"/>
    <w:rsid w:val="00756F14"/>
    <w:rsid w:val="00756F18"/>
    <w:rsid w:val="00756F1F"/>
    <w:rsid w:val="00756F77"/>
    <w:rsid w:val="00756F95"/>
    <w:rsid w:val="00756FC2"/>
    <w:rsid w:val="00756FF5"/>
    <w:rsid w:val="007570E5"/>
    <w:rsid w:val="007570EE"/>
    <w:rsid w:val="007570FD"/>
    <w:rsid w:val="00757118"/>
    <w:rsid w:val="00757159"/>
    <w:rsid w:val="007571F6"/>
    <w:rsid w:val="007571F9"/>
    <w:rsid w:val="0075723D"/>
    <w:rsid w:val="0075728C"/>
    <w:rsid w:val="007572B1"/>
    <w:rsid w:val="007572BF"/>
    <w:rsid w:val="007572D9"/>
    <w:rsid w:val="0075735B"/>
    <w:rsid w:val="007573CF"/>
    <w:rsid w:val="00757415"/>
    <w:rsid w:val="00757444"/>
    <w:rsid w:val="00757455"/>
    <w:rsid w:val="00757486"/>
    <w:rsid w:val="00757642"/>
    <w:rsid w:val="0075764A"/>
    <w:rsid w:val="00757661"/>
    <w:rsid w:val="007576D5"/>
    <w:rsid w:val="007576F0"/>
    <w:rsid w:val="0075779F"/>
    <w:rsid w:val="007577A4"/>
    <w:rsid w:val="007577B1"/>
    <w:rsid w:val="007577E5"/>
    <w:rsid w:val="00757814"/>
    <w:rsid w:val="00757825"/>
    <w:rsid w:val="00757872"/>
    <w:rsid w:val="0075790C"/>
    <w:rsid w:val="00757923"/>
    <w:rsid w:val="0075792A"/>
    <w:rsid w:val="0075796A"/>
    <w:rsid w:val="00757990"/>
    <w:rsid w:val="00757AA2"/>
    <w:rsid w:val="00757AB2"/>
    <w:rsid w:val="00757ABB"/>
    <w:rsid w:val="00757AC3"/>
    <w:rsid w:val="00757AD4"/>
    <w:rsid w:val="00757B2B"/>
    <w:rsid w:val="00757B4B"/>
    <w:rsid w:val="00757B71"/>
    <w:rsid w:val="00757B84"/>
    <w:rsid w:val="00757B8C"/>
    <w:rsid w:val="00757BBC"/>
    <w:rsid w:val="00757BEB"/>
    <w:rsid w:val="00757C20"/>
    <w:rsid w:val="00757C3F"/>
    <w:rsid w:val="00757C9A"/>
    <w:rsid w:val="00757C9E"/>
    <w:rsid w:val="00757D1C"/>
    <w:rsid w:val="00757D2A"/>
    <w:rsid w:val="00757D31"/>
    <w:rsid w:val="00757D4F"/>
    <w:rsid w:val="00757D92"/>
    <w:rsid w:val="00757E20"/>
    <w:rsid w:val="00757E3F"/>
    <w:rsid w:val="00757E43"/>
    <w:rsid w:val="00757E99"/>
    <w:rsid w:val="00757EB9"/>
    <w:rsid w:val="00757EBD"/>
    <w:rsid w:val="00757EEE"/>
    <w:rsid w:val="00757EFD"/>
    <w:rsid w:val="00757F4F"/>
    <w:rsid w:val="00757FB7"/>
    <w:rsid w:val="0076004D"/>
    <w:rsid w:val="007600A0"/>
    <w:rsid w:val="007600A2"/>
    <w:rsid w:val="007600CD"/>
    <w:rsid w:val="007600DC"/>
    <w:rsid w:val="007600F1"/>
    <w:rsid w:val="007600F9"/>
    <w:rsid w:val="00760135"/>
    <w:rsid w:val="00760142"/>
    <w:rsid w:val="0076015B"/>
    <w:rsid w:val="00760168"/>
    <w:rsid w:val="0076019C"/>
    <w:rsid w:val="007601C1"/>
    <w:rsid w:val="007601C9"/>
    <w:rsid w:val="007601E6"/>
    <w:rsid w:val="0076025B"/>
    <w:rsid w:val="00760261"/>
    <w:rsid w:val="007602B3"/>
    <w:rsid w:val="007602FB"/>
    <w:rsid w:val="00760338"/>
    <w:rsid w:val="00760342"/>
    <w:rsid w:val="007603FE"/>
    <w:rsid w:val="0076049C"/>
    <w:rsid w:val="00760544"/>
    <w:rsid w:val="00760545"/>
    <w:rsid w:val="00760548"/>
    <w:rsid w:val="0076054A"/>
    <w:rsid w:val="007605A7"/>
    <w:rsid w:val="007605EC"/>
    <w:rsid w:val="00760606"/>
    <w:rsid w:val="00760607"/>
    <w:rsid w:val="00760651"/>
    <w:rsid w:val="00760686"/>
    <w:rsid w:val="007606DD"/>
    <w:rsid w:val="00760706"/>
    <w:rsid w:val="00760729"/>
    <w:rsid w:val="0076072D"/>
    <w:rsid w:val="00760732"/>
    <w:rsid w:val="0076076E"/>
    <w:rsid w:val="007607B0"/>
    <w:rsid w:val="00760833"/>
    <w:rsid w:val="00760835"/>
    <w:rsid w:val="00760840"/>
    <w:rsid w:val="0076088D"/>
    <w:rsid w:val="0076090B"/>
    <w:rsid w:val="00760910"/>
    <w:rsid w:val="00760914"/>
    <w:rsid w:val="00760985"/>
    <w:rsid w:val="00760997"/>
    <w:rsid w:val="007609BE"/>
    <w:rsid w:val="007609F3"/>
    <w:rsid w:val="00760A43"/>
    <w:rsid w:val="00760A51"/>
    <w:rsid w:val="00760A89"/>
    <w:rsid w:val="00760AF8"/>
    <w:rsid w:val="00760B45"/>
    <w:rsid w:val="00760BBD"/>
    <w:rsid w:val="00760BCC"/>
    <w:rsid w:val="00760BCD"/>
    <w:rsid w:val="00760BD2"/>
    <w:rsid w:val="00760C32"/>
    <w:rsid w:val="00760C36"/>
    <w:rsid w:val="00760C7B"/>
    <w:rsid w:val="00760CAD"/>
    <w:rsid w:val="00760CDE"/>
    <w:rsid w:val="00760CE7"/>
    <w:rsid w:val="00760D00"/>
    <w:rsid w:val="00760D37"/>
    <w:rsid w:val="00760D5C"/>
    <w:rsid w:val="00760D5D"/>
    <w:rsid w:val="00760D83"/>
    <w:rsid w:val="00760DAC"/>
    <w:rsid w:val="00760DBD"/>
    <w:rsid w:val="00760E54"/>
    <w:rsid w:val="00760E7F"/>
    <w:rsid w:val="00760E8E"/>
    <w:rsid w:val="00760EA9"/>
    <w:rsid w:val="00760F03"/>
    <w:rsid w:val="00760F13"/>
    <w:rsid w:val="00760F3C"/>
    <w:rsid w:val="00760F47"/>
    <w:rsid w:val="00760F74"/>
    <w:rsid w:val="00760F93"/>
    <w:rsid w:val="00761037"/>
    <w:rsid w:val="0076103E"/>
    <w:rsid w:val="00761073"/>
    <w:rsid w:val="00761074"/>
    <w:rsid w:val="00761078"/>
    <w:rsid w:val="007610A0"/>
    <w:rsid w:val="007610BD"/>
    <w:rsid w:val="007610E7"/>
    <w:rsid w:val="0076112F"/>
    <w:rsid w:val="00761184"/>
    <w:rsid w:val="007611A1"/>
    <w:rsid w:val="007611DA"/>
    <w:rsid w:val="00761270"/>
    <w:rsid w:val="0076128A"/>
    <w:rsid w:val="007612BD"/>
    <w:rsid w:val="007612CD"/>
    <w:rsid w:val="007612DF"/>
    <w:rsid w:val="00761316"/>
    <w:rsid w:val="00761354"/>
    <w:rsid w:val="00761359"/>
    <w:rsid w:val="0076136B"/>
    <w:rsid w:val="00761386"/>
    <w:rsid w:val="007613A7"/>
    <w:rsid w:val="007613BD"/>
    <w:rsid w:val="007613F1"/>
    <w:rsid w:val="0076143E"/>
    <w:rsid w:val="0076144E"/>
    <w:rsid w:val="00761455"/>
    <w:rsid w:val="00761458"/>
    <w:rsid w:val="007614AB"/>
    <w:rsid w:val="007614AE"/>
    <w:rsid w:val="0076150B"/>
    <w:rsid w:val="00761526"/>
    <w:rsid w:val="00761555"/>
    <w:rsid w:val="00761576"/>
    <w:rsid w:val="0076157C"/>
    <w:rsid w:val="007615EA"/>
    <w:rsid w:val="00761605"/>
    <w:rsid w:val="0076163D"/>
    <w:rsid w:val="0076167D"/>
    <w:rsid w:val="007616A7"/>
    <w:rsid w:val="00761748"/>
    <w:rsid w:val="00761755"/>
    <w:rsid w:val="0076179B"/>
    <w:rsid w:val="007617CB"/>
    <w:rsid w:val="007617D7"/>
    <w:rsid w:val="007617D9"/>
    <w:rsid w:val="007617DF"/>
    <w:rsid w:val="00761823"/>
    <w:rsid w:val="00761851"/>
    <w:rsid w:val="00761853"/>
    <w:rsid w:val="00761927"/>
    <w:rsid w:val="0076193C"/>
    <w:rsid w:val="0076194B"/>
    <w:rsid w:val="0076195C"/>
    <w:rsid w:val="00761979"/>
    <w:rsid w:val="00761993"/>
    <w:rsid w:val="007619B0"/>
    <w:rsid w:val="007619C4"/>
    <w:rsid w:val="00761A03"/>
    <w:rsid w:val="00761A0C"/>
    <w:rsid w:val="00761A16"/>
    <w:rsid w:val="00761A88"/>
    <w:rsid w:val="00761AD5"/>
    <w:rsid w:val="00761AD7"/>
    <w:rsid w:val="00761B03"/>
    <w:rsid w:val="00761B15"/>
    <w:rsid w:val="00761B66"/>
    <w:rsid w:val="00761C13"/>
    <w:rsid w:val="00761C5D"/>
    <w:rsid w:val="00761C7C"/>
    <w:rsid w:val="00761C9B"/>
    <w:rsid w:val="00761D15"/>
    <w:rsid w:val="00761D2C"/>
    <w:rsid w:val="00761D53"/>
    <w:rsid w:val="00761D69"/>
    <w:rsid w:val="00761D72"/>
    <w:rsid w:val="00761D83"/>
    <w:rsid w:val="00761D90"/>
    <w:rsid w:val="00761D95"/>
    <w:rsid w:val="00761DE4"/>
    <w:rsid w:val="00761EB0"/>
    <w:rsid w:val="00761F1C"/>
    <w:rsid w:val="00761F2D"/>
    <w:rsid w:val="00761F63"/>
    <w:rsid w:val="00761F84"/>
    <w:rsid w:val="00761FD6"/>
    <w:rsid w:val="00761FF8"/>
    <w:rsid w:val="0076205B"/>
    <w:rsid w:val="00762061"/>
    <w:rsid w:val="00762075"/>
    <w:rsid w:val="007620CC"/>
    <w:rsid w:val="007620D6"/>
    <w:rsid w:val="007620E7"/>
    <w:rsid w:val="00762171"/>
    <w:rsid w:val="00762177"/>
    <w:rsid w:val="00762191"/>
    <w:rsid w:val="007621F2"/>
    <w:rsid w:val="007621F9"/>
    <w:rsid w:val="00762208"/>
    <w:rsid w:val="00762219"/>
    <w:rsid w:val="0076222F"/>
    <w:rsid w:val="00762247"/>
    <w:rsid w:val="00762271"/>
    <w:rsid w:val="0076229B"/>
    <w:rsid w:val="007622D1"/>
    <w:rsid w:val="007623B2"/>
    <w:rsid w:val="007623C4"/>
    <w:rsid w:val="00762409"/>
    <w:rsid w:val="00762411"/>
    <w:rsid w:val="00762429"/>
    <w:rsid w:val="0076244A"/>
    <w:rsid w:val="00762488"/>
    <w:rsid w:val="0076248C"/>
    <w:rsid w:val="00762494"/>
    <w:rsid w:val="00762497"/>
    <w:rsid w:val="007624B8"/>
    <w:rsid w:val="007624E6"/>
    <w:rsid w:val="00762520"/>
    <w:rsid w:val="00762534"/>
    <w:rsid w:val="00762541"/>
    <w:rsid w:val="00762598"/>
    <w:rsid w:val="007625FD"/>
    <w:rsid w:val="0076260B"/>
    <w:rsid w:val="0076260C"/>
    <w:rsid w:val="007626EB"/>
    <w:rsid w:val="00762746"/>
    <w:rsid w:val="0076276A"/>
    <w:rsid w:val="0076277E"/>
    <w:rsid w:val="0076278A"/>
    <w:rsid w:val="0076280E"/>
    <w:rsid w:val="0076289D"/>
    <w:rsid w:val="007628B4"/>
    <w:rsid w:val="007628CC"/>
    <w:rsid w:val="007628EF"/>
    <w:rsid w:val="0076291F"/>
    <w:rsid w:val="00762925"/>
    <w:rsid w:val="00762945"/>
    <w:rsid w:val="007629CE"/>
    <w:rsid w:val="007629DF"/>
    <w:rsid w:val="00762A32"/>
    <w:rsid w:val="00762A7F"/>
    <w:rsid w:val="00762A8C"/>
    <w:rsid w:val="00762AA3"/>
    <w:rsid w:val="00762AE6"/>
    <w:rsid w:val="00762AFF"/>
    <w:rsid w:val="00762B25"/>
    <w:rsid w:val="00762B5B"/>
    <w:rsid w:val="00762B66"/>
    <w:rsid w:val="00762B76"/>
    <w:rsid w:val="00762BD3"/>
    <w:rsid w:val="00762CFE"/>
    <w:rsid w:val="00762D6F"/>
    <w:rsid w:val="00762DA3"/>
    <w:rsid w:val="00762E0A"/>
    <w:rsid w:val="00762E2C"/>
    <w:rsid w:val="00762E38"/>
    <w:rsid w:val="00762EC2"/>
    <w:rsid w:val="00762F42"/>
    <w:rsid w:val="00762F77"/>
    <w:rsid w:val="00762FBA"/>
    <w:rsid w:val="00762FBC"/>
    <w:rsid w:val="00763043"/>
    <w:rsid w:val="0076304D"/>
    <w:rsid w:val="007630EF"/>
    <w:rsid w:val="0076313B"/>
    <w:rsid w:val="0076318D"/>
    <w:rsid w:val="00763196"/>
    <w:rsid w:val="007631EB"/>
    <w:rsid w:val="007631F4"/>
    <w:rsid w:val="0076322D"/>
    <w:rsid w:val="007632AA"/>
    <w:rsid w:val="007632D0"/>
    <w:rsid w:val="007632E3"/>
    <w:rsid w:val="0076332F"/>
    <w:rsid w:val="007633AA"/>
    <w:rsid w:val="007633CA"/>
    <w:rsid w:val="007633F5"/>
    <w:rsid w:val="0076340C"/>
    <w:rsid w:val="007634E8"/>
    <w:rsid w:val="007634F8"/>
    <w:rsid w:val="00763544"/>
    <w:rsid w:val="00763576"/>
    <w:rsid w:val="0076359F"/>
    <w:rsid w:val="007635C3"/>
    <w:rsid w:val="00763600"/>
    <w:rsid w:val="0076369E"/>
    <w:rsid w:val="007636F3"/>
    <w:rsid w:val="007636F4"/>
    <w:rsid w:val="0076370B"/>
    <w:rsid w:val="007637BA"/>
    <w:rsid w:val="007637C5"/>
    <w:rsid w:val="007637D7"/>
    <w:rsid w:val="007637DA"/>
    <w:rsid w:val="00763817"/>
    <w:rsid w:val="0076381B"/>
    <w:rsid w:val="00763838"/>
    <w:rsid w:val="00763892"/>
    <w:rsid w:val="007638D4"/>
    <w:rsid w:val="007638F5"/>
    <w:rsid w:val="0076399B"/>
    <w:rsid w:val="007639DF"/>
    <w:rsid w:val="007639E6"/>
    <w:rsid w:val="00763A3F"/>
    <w:rsid w:val="00763A86"/>
    <w:rsid w:val="00763A8D"/>
    <w:rsid w:val="00763AC3"/>
    <w:rsid w:val="00763B18"/>
    <w:rsid w:val="00763B33"/>
    <w:rsid w:val="00763B7C"/>
    <w:rsid w:val="00763BB3"/>
    <w:rsid w:val="00763C21"/>
    <w:rsid w:val="00763C2E"/>
    <w:rsid w:val="00763C48"/>
    <w:rsid w:val="00763CC5"/>
    <w:rsid w:val="00763CDD"/>
    <w:rsid w:val="00763CF0"/>
    <w:rsid w:val="00763D15"/>
    <w:rsid w:val="00763D17"/>
    <w:rsid w:val="00763D4A"/>
    <w:rsid w:val="00763D67"/>
    <w:rsid w:val="00763D6F"/>
    <w:rsid w:val="00763D72"/>
    <w:rsid w:val="00763DD8"/>
    <w:rsid w:val="00763DE2"/>
    <w:rsid w:val="00763E46"/>
    <w:rsid w:val="00763E53"/>
    <w:rsid w:val="00763E57"/>
    <w:rsid w:val="00763E8C"/>
    <w:rsid w:val="00763E9D"/>
    <w:rsid w:val="00763EB6"/>
    <w:rsid w:val="00763ED4"/>
    <w:rsid w:val="00763F0C"/>
    <w:rsid w:val="00763F28"/>
    <w:rsid w:val="00763F3B"/>
    <w:rsid w:val="00763F4B"/>
    <w:rsid w:val="00763F4D"/>
    <w:rsid w:val="00763F86"/>
    <w:rsid w:val="00763FEF"/>
    <w:rsid w:val="00764002"/>
    <w:rsid w:val="0076401E"/>
    <w:rsid w:val="007640C6"/>
    <w:rsid w:val="007640DB"/>
    <w:rsid w:val="007640F7"/>
    <w:rsid w:val="00764141"/>
    <w:rsid w:val="00764219"/>
    <w:rsid w:val="0076425D"/>
    <w:rsid w:val="0076426E"/>
    <w:rsid w:val="0076430D"/>
    <w:rsid w:val="00764384"/>
    <w:rsid w:val="00764396"/>
    <w:rsid w:val="007643AB"/>
    <w:rsid w:val="007643EA"/>
    <w:rsid w:val="00764438"/>
    <w:rsid w:val="00764462"/>
    <w:rsid w:val="0076449C"/>
    <w:rsid w:val="007644B5"/>
    <w:rsid w:val="007644CF"/>
    <w:rsid w:val="00764541"/>
    <w:rsid w:val="007645D2"/>
    <w:rsid w:val="007645E0"/>
    <w:rsid w:val="007645EE"/>
    <w:rsid w:val="00764630"/>
    <w:rsid w:val="00764684"/>
    <w:rsid w:val="007646DC"/>
    <w:rsid w:val="00764706"/>
    <w:rsid w:val="00764794"/>
    <w:rsid w:val="007647C5"/>
    <w:rsid w:val="007647CE"/>
    <w:rsid w:val="00764817"/>
    <w:rsid w:val="00764867"/>
    <w:rsid w:val="00764870"/>
    <w:rsid w:val="00764896"/>
    <w:rsid w:val="00764953"/>
    <w:rsid w:val="007649BF"/>
    <w:rsid w:val="00764A38"/>
    <w:rsid w:val="00764A41"/>
    <w:rsid w:val="00764A90"/>
    <w:rsid w:val="00764AA1"/>
    <w:rsid w:val="00764AB1"/>
    <w:rsid w:val="00764B7B"/>
    <w:rsid w:val="00764B8E"/>
    <w:rsid w:val="00764BA7"/>
    <w:rsid w:val="00764BFB"/>
    <w:rsid w:val="00764C0F"/>
    <w:rsid w:val="00764C3A"/>
    <w:rsid w:val="00764C61"/>
    <w:rsid w:val="00764C68"/>
    <w:rsid w:val="00764C7A"/>
    <w:rsid w:val="00764D01"/>
    <w:rsid w:val="00764D81"/>
    <w:rsid w:val="00764D9D"/>
    <w:rsid w:val="00764DB9"/>
    <w:rsid w:val="00764DD2"/>
    <w:rsid w:val="00764EC2"/>
    <w:rsid w:val="00764ED0"/>
    <w:rsid w:val="00764F15"/>
    <w:rsid w:val="00764F4E"/>
    <w:rsid w:val="00764F60"/>
    <w:rsid w:val="00764FE2"/>
    <w:rsid w:val="00765030"/>
    <w:rsid w:val="00765065"/>
    <w:rsid w:val="00765080"/>
    <w:rsid w:val="0076509C"/>
    <w:rsid w:val="007650B5"/>
    <w:rsid w:val="007650E0"/>
    <w:rsid w:val="007650E9"/>
    <w:rsid w:val="00765140"/>
    <w:rsid w:val="0076514C"/>
    <w:rsid w:val="0076518F"/>
    <w:rsid w:val="007651A0"/>
    <w:rsid w:val="007651BB"/>
    <w:rsid w:val="007651EF"/>
    <w:rsid w:val="007652C5"/>
    <w:rsid w:val="00765308"/>
    <w:rsid w:val="00765338"/>
    <w:rsid w:val="007653A1"/>
    <w:rsid w:val="007653A8"/>
    <w:rsid w:val="007653FE"/>
    <w:rsid w:val="00765412"/>
    <w:rsid w:val="0076548B"/>
    <w:rsid w:val="0076549F"/>
    <w:rsid w:val="007654A2"/>
    <w:rsid w:val="007654AD"/>
    <w:rsid w:val="007654C3"/>
    <w:rsid w:val="007654EA"/>
    <w:rsid w:val="007654FF"/>
    <w:rsid w:val="0076550B"/>
    <w:rsid w:val="00765541"/>
    <w:rsid w:val="00765600"/>
    <w:rsid w:val="00765618"/>
    <w:rsid w:val="0076565D"/>
    <w:rsid w:val="00765670"/>
    <w:rsid w:val="0076569C"/>
    <w:rsid w:val="007656C1"/>
    <w:rsid w:val="007656D5"/>
    <w:rsid w:val="007656E5"/>
    <w:rsid w:val="0076572E"/>
    <w:rsid w:val="0076578A"/>
    <w:rsid w:val="007657CF"/>
    <w:rsid w:val="007657EE"/>
    <w:rsid w:val="007657F9"/>
    <w:rsid w:val="007657FF"/>
    <w:rsid w:val="0076580D"/>
    <w:rsid w:val="0076582F"/>
    <w:rsid w:val="00765897"/>
    <w:rsid w:val="007658A2"/>
    <w:rsid w:val="007658B4"/>
    <w:rsid w:val="007658E2"/>
    <w:rsid w:val="007658EE"/>
    <w:rsid w:val="00765910"/>
    <w:rsid w:val="00765979"/>
    <w:rsid w:val="00765986"/>
    <w:rsid w:val="00765992"/>
    <w:rsid w:val="007659BF"/>
    <w:rsid w:val="00765A0F"/>
    <w:rsid w:val="00765A36"/>
    <w:rsid w:val="00765A4A"/>
    <w:rsid w:val="00765A6B"/>
    <w:rsid w:val="00765A7F"/>
    <w:rsid w:val="00765AA8"/>
    <w:rsid w:val="00765AD7"/>
    <w:rsid w:val="00765C51"/>
    <w:rsid w:val="00765C99"/>
    <w:rsid w:val="00765D4F"/>
    <w:rsid w:val="00765D64"/>
    <w:rsid w:val="00765D77"/>
    <w:rsid w:val="00765E1A"/>
    <w:rsid w:val="00765E83"/>
    <w:rsid w:val="00765EB2"/>
    <w:rsid w:val="00765F34"/>
    <w:rsid w:val="00765F8C"/>
    <w:rsid w:val="00765FB4"/>
    <w:rsid w:val="00765FBB"/>
    <w:rsid w:val="00765FE5"/>
    <w:rsid w:val="00765FF0"/>
    <w:rsid w:val="0076607F"/>
    <w:rsid w:val="0076608D"/>
    <w:rsid w:val="007660AF"/>
    <w:rsid w:val="007660CF"/>
    <w:rsid w:val="007660D9"/>
    <w:rsid w:val="007660DB"/>
    <w:rsid w:val="007660F3"/>
    <w:rsid w:val="007660F5"/>
    <w:rsid w:val="00766100"/>
    <w:rsid w:val="00766148"/>
    <w:rsid w:val="0076615C"/>
    <w:rsid w:val="0076617F"/>
    <w:rsid w:val="00766192"/>
    <w:rsid w:val="00766193"/>
    <w:rsid w:val="007661E8"/>
    <w:rsid w:val="007661ED"/>
    <w:rsid w:val="00766200"/>
    <w:rsid w:val="00766206"/>
    <w:rsid w:val="00766229"/>
    <w:rsid w:val="007662B8"/>
    <w:rsid w:val="00766334"/>
    <w:rsid w:val="0076634A"/>
    <w:rsid w:val="00766394"/>
    <w:rsid w:val="0076639C"/>
    <w:rsid w:val="007663BE"/>
    <w:rsid w:val="007663C2"/>
    <w:rsid w:val="00766436"/>
    <w:rsid w:val="00766439"/>
    <w:rsid w:val="00766448"/>
    <w:rsid w:val="0076644E"/>
    <w:rsid w:val="007664B9"/>
    <w:rsid w:val="00766507"/>
    <w:rsid w:val="00766547"/>
    <w:rsid w:val="00766593"/>
    <w:rsid w:val="007665B4"/>
    <w:rsid w:val="007665CE"/>
    <w:rsid w:val="00766644"/>
    <w:rsid w:val="0076669A"/>
    <w:rsid w:val="007666C5"/>
    <w:rsid w:val="00766711"/>
    <w:rsid w:val="00766765"/>
    <w:rsid w:val="0076678F"/>
    <w:rsid w:val="007667B2"/>
    <w:rsid w:val="007667CB"/>
    <w:rsid w:val="007667CE"/>
    <w:rsid w:val="0076681C"/>
    <w:rsid w:val="00766859"/>
    <w:rsid w:val="00766867"/>
    <w:rsid w:val="00766882"/>
    <w:rsid w:val="00766892"/>
    <w:rsid w:val="007668C7"/>
    <w:rsid w:val="0076694B"/>
    <w:rsid w:val="007669C1"/>
    <w:rsid w:val="00766A32"/>
    <w:rsid w:val="00766A67"/>
    <w:rsid w:val="00766A6D"/>
    <w:rsid w:val="00766AD0"/>
    <w:rsid w:val="00766B2A"/>
    <w:rsid w:val="00766B3E"/>
    <w:rsid w:val="00766B8B"/>
    <w:rsid w:val="00766C05"/>
    <w:rsid w:val="00766C27"/>
    <w:rsid w:val="00766C44"/>
    <w:rsid w:val="00766C84"/>
    <w:rsid w:val="00766D99"/>
    <w:rsid w:val="00766DA2"/>
    <w:rsid w:val="00766DC4"/>
    <w:rsid w:val="00766DFE"/>
    <w:rsid w:val="00766E27"/>
    <w:rsid w:val="00766E29"/>
    <w:rsid w:val="00766ED4"/>
    <w:rsid w:val="00766F03"/>
    <w:rsid w:val="00766F22"/>
    <w:rsid w:val="00766F55"/>
    <w:rsid w:val="00766F8A"/>
    <w:rsid w:val="00766F98"/>
    <w:rsid w:val="00766F9F"/>
    <w:rsid w:val="00766FDF"/>
    <w:rsid w:val="00767001"/>
    <w:rsid w:val="00767095"/>
    <w:rsid w:val="007670C8"/>
    <w:rsid w:val="00767191"/>
    <w:rsid w:val="00767192"/>
    <w:rsid w:val="007671A6"/>
    <w:rsid w:val="00767214"/>
    <w:rsid w:val="00767216"/>
    <w:rsid w:val="0076723F"/>
    <w:rsid w:val="00767249"/>
    <w:rsid w:val="007672C0"/>
    <w:rsid w:val="007672EB"/>
    <w:rsid w:val="00767343"/>
    <w:rsid w:val="0076734B"/>
    <w:rsid w:val="00767388"/>
    <w:rsid w:val="007673B3"/>
    <w:rsid w:val="00767428"/>
    <w:rsid w:val="0076745A"/>
    <w:rsid w:val="007674BA"/>
    <w:rsid w:val="007674C0"/>
    <w:rsid w:val="00767550"/>
    <w:rsid w:val="007675B7"/>
    <w:rsid w:val="007675FE"/>
    <w:rsid w:val="00767679"/>
    <w:rsid w:val="00767692"/>
    <w:rsid w:val="00767693"/>
    <w:rsid w:val="007676E3"/>
    <w:rsid w:val="00767729"/>
    <w:rsid w:val="00767743"/>
    <w:rsid w:val="0076775C"/>
    <w:rsid w:val="00767773"/>
    <w:rsid w:val="00767781"/>
    <w:rsid w:val="007677A6"/>
    <w:rsid w:val="007677C1"/>
    <w:rsid w:val="00767818"/>
    <w:rsid w:val="007678A6"/>
    <w:rsid w:val="007678FE"/>
    <w:rsid w:val="0076795C"/>
    <w:rsid w:val="0076796A"/>
    <w:rsid w:val="00767973"/>
    <w:rsid w:val="0076798E"/>
    <w:rsid w:val="00767990"/>
    <w:rsid w:val="007679E8"/>
    <w:rsid w:val="007679F7"/>
    <w:rsid w:val="00767A0E"/>
    <w:rsid w:val="00767A42"/>
    <w:rsid w:val="00767A75"/>
    <w:rsid w:val="00767AB7"/>
    <w:rsid w:val="00767AE7"/>
    <w:rsid w:val="00767B3E"/>
    <w:rsid w:val="00767B5E"/>
    <w:rsid w:val="00767BA3"/>
    <w:rsid w:val="00767BCC"/>
    <w:rsid w:val="00767BFA"/>
    <w:rsid w:val="00767C0C"/>
    <w:rsid w:val="00767C9C"/>
    <w:rsid w:val="00767D0D"/>
    <w:rsid w:val="00767D2F"/>
    <w:rsid w:val="00767DB8"/>
    <w:rsid w:val="00767DCD"/>
    <w:rsid w:val="00767DD0"/>
    <w:rsid w:val="00767E1B"/>
    <w:rsid w:val="00767E2B"/>
    <w:rsid w:val="00767E37"/>
    <w:rsid w:val="00767E85"/>
    <w:rsid w:val="00767EAB"/>
    <w:rsid w:val="00767EF9"/>
    <w:rsid w:val="00767F4D"/>
    <w:rsid w:val="00767F73"/>
    <w:rsid w:val="00767FAB"/>
    <w:rsid w:val="00767FC7"/>
    <w:rsid w:val="00767FE7"/>
    <w:rsid w:val="00770049"/>
    <w:rsid w:val="0077004D"/>
    <w:rsid w:val="00770092"/>
    <w:rsid w:val="007700B4"/>
    <w:rsid w:val="007700E4"/>
    <w:rsid w:val="007700E7"/>
    <w:rsid w:val="0077013F"/>
    <w:rsid w:val="00770165"/>
    <w:rsid w:val="007701DB"/>
    <w:rsid w:val="007701F9"/>
    <w:rsid w:val="007701FE"/>
    <w:rsid w:val="0077020B"/>
    <w:rsid w:val="0077022E"/>
    <w:rsid w:val="0077024C"/>
    <w:rsid w:val="0077029D"/>
    <w:rsid w:val="0077030C"/>
    <w:rsid w:val="00770396"/>
    <w:rsid w:val="007703D3"/>
    <w:rsid w:val="007703F2"/>
    <w:rsid w:val="0077040E"/>
    <w:rsid w:val="00770422"/>
    <w:rsid w:val="00770457"/>
    <w:rsid w:val="0077048F"/>
    <w:rsid w:val="00770492"/>
    <w:rsid w:val="007704A7"/>
    <w:rsid w:val="007704B6"/>
    <w:rsid w:val="007704EA"/>
    <w:rsid w:val="00770537"/>
    <w:rsid w:val="007705B3"/>
    <w:rsid w:val="00770720"/>
    <w:rsid w:val="0077078E"/>
    <w:rsid w:val="007707F7"/>
    <w:rsid w:val="0077082C"/>
    <w:rsid w:val="00770858"/>
    <w:rsid w:val="0077086C"/>
    <w:rsid w:val="007708DC"/>
    <w:rsid w:val="007708F0"/>
    <w:rsid w:val="00770908"/>
    <w:rsid w:val="00770968"/>
    <w:rsid w:val="0077098C"/>
    <w:rsid w:val="00770A30"/>
    <w:rsid w:val="00770A58"/>
    <w:rsid w:val="00770A93"/>
    <w:rsid w:val="00770B11"/>
    <w:rsid w:val="00770B12"/>
    <w:rsid w:val="00770B23"/>
    <w:rsid w:val="00770B42"/>
    <w:rsid w:val="00770B6E"/>
    <w:rsid w:val="00770B78"/>
    <w:rsid w:val="00770B7C"/>
    <w:rsid w:val="00770B86"/>
    <w:rsid w:val="00770B9A"/>
    <w:rsid w:val="00770BC8"/>
    <w:rsid w:val="00770BE3"/>
    <w:rsid w:val="00770C9D"/>
    <w:rsid w:val="00770D29"/>
    <w:rsid w:val="00770D7C"/>
    <w:rsid w:val="00770D96"/>
    <w:rsid w:val="00770E2C"/>
    <w:rsid w:val="00770E95"/>
    <w:rsid w:val="00770EEE"/>
    <w:rsid w:val="00770F0B"/>
    <w:rsid w:val="00770F68"/>
    <w:rsid w:val="00770F6A"/>
    <w:rsid w:val="0077111C"/>
    <w:rsid w:val="00771142"/>
    <w:rsid w:val="00771162"/>
    <w:rsid w:val="0077118B"/>
    <w:rsid w:val="007711C1"/>
    <w:rsid w:val="007711FB"/>
    <w:rsid w:val="0077121E"/>
    <w:rsid w:val="00771254"/>
    <w:rsid w:val="007712AD"/>
    <w:rsid w:val="007712F9"/>
    <w:rsid w:val="0077130F"/>
    <w:rsid w:val="00771380"/>
    <w:rsid w:val="007713A5"/>
    <w:rsid w:val="007713E3"/>
    <w:rsid w:val="00771425"/>
    <w:rsid w:val="00771428"/>
    <w:rsid w:val="0077144B"/>
    <w:rsid w:val="00771453"/>
    <w:rsid w:val="0077146A"/>
    <w:rsid w:val="007714CF"/>
    <w:rsid w:val="0077153B"/>
    <w:rsid w:val="00771593"/>
    <w:rsid w:val="007715AE"/>
    <w:rsid w:val="007715C4"/>
    <w:rsid w:val="007715C6"/>
    <w:rsid w:val="0077161A"/>
    <w:rsid w:val="00771682"/>
    <w:rsid w:val="00771708"/>
    <w:rsid w:val="0077175F"/>
    <w:rsid w:val="007717E0"/>
    <w:rsid w:val="00771802"/>
    <w:rsid w:val="0077181B"/>
    <w:rsid w:val="00771878"/>
    <w:rsid w:val="007718A4"/>
    <w:rsid w:val="007718B2"/>
    <w:rsid w:val="007718BE"/>
    <w:rsid w:val="007718EA"/>
    <w:rsid w:val="007718F5"/>
    <w:rsid w:val="0077190B"/>
    <w:rsid w:val="0077192A"/>
    <w:rsid w:val="00771949"/>
    <w:rsid w:val="007719AD"/>
    <w:rsid w:val="007719D4"/>
    <w:rsid w:val="00771A05"/>
    <w:rsid w:val="00771A36"/>
    <w:rsid w:val="00771A54"/>
    <w:rsid w:val="00771A61"/>
    <w:rsid w:val="00771A8F"/>
    <w:rsid w:val="00771B07"/>
    <w:rsid w:val="00771B3C"/>
    <w:rsid w:val="00771B57"/>
    <w:rsid w:val="00771B6A"/>
    <w:rsid w:val="00771C2D"/>
    <w:rsid w:val="00771C49"/>
    <w:rsid w:val="00771C4D"/>
    <w:rsid w:val="00771D4F"/>
    <w:rsid w:val="00771D57"/>
    <w:rsid w:val="00771DA3"/>
    <w:rsid w:val="00771E08"/>
    <w:rsid w:val="00771E47"/>
    <w:rsid w:val="00771EC9"/>
    <w:rsid w:val="00771F0C"/>
    <w:rsid w:val="00771F32"/>
    <w:rsid w:val="00771F4C"/>
    <w:rsid w:val="00771F5D"/>
    <w:rsid w:val="00771F74"/>
    <w:rsid w:val="00771FA9"/>
    <w:rsid w:val="00771FD9"/>
    <w:rsid w:val="00771FE9"/>
    <w:rsid w:val="00771FF4"/>
    <w:rsid w:val="00771FF9"/>
    <w:rsid w:val="00772000"/>
    <w:rsid w:val="0077200C"/>
    <w:rsid w:val="00772035"/>
    <w:rsid w:val="00772054"/>
    <w:rsid w:val="00772061"/>
    <w:rsid w:val="00772062"/>
    <w:rsid w:val="007720BE"/>
    <w:rsid w:val="007720C1"/>
    <w:rsid w:val="007720C7"/>
    <w:rsid w:val="007720CC"/>
    <w:rsid w:val="00772147"/>
    <w:rsid w:val="00772158"/>
    <w:rsid w:val="00772171"/>
    <w:rsid w:val="0077218A"/>
    <w:rsid w:val="007721D8"/>
    <w:rsid w:val="007721F4"/>
    <w:rsid w:val="00772278"/>
    <w:rsid w:val="00772361"/>
    <w:rsid w:val="0077238B"/>
    <w:rsid w:val="0077238F"/>
    <w:rsid w:val="00772418"/>
    <w:rsid w:val="0077245B"/>
    <w:rsid w:val="007724A0"/>
    <w:rsid w:val="007724F6"/>
    <w:rsid w:val="00772541"/>
    <w:rsid w:val="00772560"/>
    <w:rsid w:val="00772596"/>
    <w:rsid w:val="007725C2"/>
    <w:rsid w:val="007725D6"/>
    <w:rsid w:val="007725FA"/>
    <w:rsid w:val="0077269E"/>
    <w:rsid w:val="007726A0"/>
    <w:rsid w:val="007726BE"/>
    <w:rsid w:val="007726C4"/>
    <w:rsid w:val="00772705"/>
    <w:rsid w:val="00772790"/>
    <w:rsid w:val="007727A9"/>
    <w:rsid w:val="007727D9"/>
    <w:rsid w:val="00772801"/>
    <w:rsid w:val="00772803"/>
    <w:rsid w:val="00772836"/>
    <w:rsid w:val="0077285E"/>
    <w:rsid w:val="007728E8"/>
    <w:rsid w:val="00772914"/>
    <w:rsid w:val="0077299A"/>
    <w:rsid w:val="007729DA"/>
    <w:rsid w:val="00772A13"/>
    <w:rsid w:val="00772A27"/>
    <w:rsid w:val="00772A79"/>
    <w:rsid w:val="00772A80"/>
    <w:rsid w:val="00772ABD"/>
    <w:rsid w:val="00772AF7"/>
    <w:rsid w:val="00772B2E"/>
    <w:rsid w:val="00772BD1"/>
    <w:rsid w:val="00772C16"/>
    <w:rsid w:val="00772C4E"/>
    <w:rsid w:val="00772C59"/>
    <w:rsid w:val="00772C75"/>
    <w:rsid w:val="00772C7F"/>
    <w:rsid w:val="00772C97"/>
    <w:rsid w:val="00772CC4"/>
    <w:rsid w:val="00772CFB"/>
    <w:rsid w:val="00772D17"/>
    <w:rsid w:val="00772D30"/>
    <w:rsid w:val="00772D7D"/>
    <w:rsid w:val="00772D99"/>
    <w:rsid w:val="00772DD3"/>
    <w:rsid w:val="00772E00"/>
    <w:rsid w:val="00772E29"/>
    <w:rsid w:val="00772E78"/>
    <w:rsid w:val="00772EF8"/>
    <w:rsid w:val="00772F12"/>
    <w:rsid w:val="00772F2C"/>
    <w:rsid w:val="00772F40"/>
    <w:rsid w:val="00772F57"/>
    <w:rsid w:val="00773007"/>
    <w:rsid w:val="00773010"/>
    <w:rsid w:val="00773080"/>
    <w:rsid w:val="007730CA"/>
    <w:rsid w:val="00773150"/>
    <w:rsid w:val="00773176"/>
    <w:rsid w:val="00773187"/>
    <w:rsid w:val="007731D0"/>
    <w:rsid w:val="0077324B"/>
    <w:rsid w:val="00773267"/>
    <w:rsid w:val="00773296"/>
    <w:rsid w:val="007732E7"/>
    <w:rsid w:val="00773307"/>
    <w:rsid w:val="0077333D"/>
    <w:rsid w:val="007733A1"/>
    <w:rsid w:val="007733BC"/>
    <w:rsid w:val="007733C1"/>
    <w:rsid w:val="007733D3"/>
    <w:rsid w:val="007733DB"/>
    <w:rsid w:val="0077340D"/>
    <w:rsid w:val="00773454"/>
    <w:rsid w:val="00773455"/>
    <w:rsid w:val="007734B0"/>
    <w:rsid w:val="007734B2"/>
    <w:rsid w:val="007734FB"/>
    <w:rsid w:val="0077351F"/>
    <w:rsid w:val="0077352B"/>
    <w:rsid w:val="0077354A"/>
    <w:rsid w:val="0077355E"/>
    <w:rsid w:val="0077358C"/>
    <w:rsid w:val="00773625"/>
    <w:rsid w:val="00773637"/>
    <w:rsid w:val="007736AA"/>
    <w:rsid w:val="007736DE"/>
    <w:rsid w:val="00773718"/>
    <w:rsid w:val="0077377B"/>
    <w:rsid w:val="00773782"/>
    <w:rsid w:val="0077378F"/>
    <w:rsid w:val="007737A9"/>
    <w:rsid w:val="007737FB"/>
    <w:rsid w:val="00773824"/>
    <w:rsid w:val="0077384B"/>
    <w:rsid w:val="0077386F"/>
    <w:rsid w:val="00773889"/>
    <w:rsid w:val="007738C9"/>
    <w:rsid w:val="00773904"/>
    <w:rsid w:val="007739D4"/>
    <w:rsid w:val="007739FD"/>
    <w:rsid w:val="00773A78"/>
    <w:rsid w:val="00773A84"/>
    <w:rsid w:val="00773AA9"/>
    <w:rsid w:val="00773AE6"/>
    <w:rsid w:val="00773AF9"/>
    <w:rsid w:val="00773B48"/>
    <w:rsid w:val="00773B58"/>
    <w:rsid w:val="00773B5F"/>
    <w:rsid w:val="00773B8B"/>
    <w:rsid w:val="00773BEC"/>
    <w:rsid w:val="00773C04"/>
    <w:rsid w:val="00773C2A"/>
    <w:rsid w:val="00773C3A"/>
    <w:rsid w:val="00773C6C"/>
    <w:rsid w:val="00773C8B"/>
    <w:rsid w:val="00773CB4"/>
    <w:rsid w:val="00773CF8"/>
    <w:rsid w:val="00773CFB"/>
    <w:rsid w:val="00773D01"/>
    <w:rsid w:val="00773D37"/>
    <w:rsid w:val="00773D4E"/>
    <w:rsid w:val="00773D68"/>
    <w:rsid w:val="00773D6C"/>
    <w:rsid w:val="00773DB1"/>
    <w:rsid w:val="00773DCE"/>
    <w:rsid w:val="00773DD2"/>
    <w:rsid w:val="00773DF9"/>
    <w:rsid w:val="00773E1B"/>
    <w:rsid w:val="00773E94"/>
    <w:rsid w:val="00773EE9"/>
    <w:rsid w:val="00773F19"/>
    <w:rsid w:val="00773F38"/>
    <w:rsid w:val="00773F7F"/>
    <w:rsid w:val="00773F85"/>
    <w:rsid w:val="00773F89"/>
    <w:rsid w:val="00773FBC"/>
    <w:rsid w:val="00773FF0"/>
    <w:rsid w:val="00773FF5"/>
    <w:rsid w:val="00774011"/>
    <w:rsid w:val="0077401F"/>
    <w:rsid w:val="0077403B"/>
    <w:rsid w:val="00774079"/>
    <w:rsid w:val="007740DB"/>
    <w:rsid w:val="00774144"/>
    <w:rsid w:val="00774199"/>
    <w:rsid w:val="007742B7"/>
    <w:rsid w:val="007742F5"/>
    <w:rsid w:val="00774305"/>
    <w:rsid w:val="00774310"/>
    <w:rsid w:val="00774337"/>
    <w:rsid w:val="00774378"/>
    <w:rsid w:val="00774393"/>
    <w:rsid w:val="007743AE"/>
    <w:rsid w:val="007743C2"/>
    <w:rsid w:val="0077440C"/>
    <w:rsid w:val="007744DD"/>
    <w:rsid w:val="007744E9"/>
    <w:rsid w:val="00774552"/>
    <w:rsid w:val="00774556"/>
    <w:rsid w:val="0077455C"/>
    <w:rsid w:val="007745AA"/>
    <w:rsid w:val="007745D4"/>
    <w:rsid w:val="007745F3"/>
    <w:rsid w:val="0077463C"/>
    <w:rsid w:val="0077464B"/>
    <w:rsid w:val="00774683"/>
    <w:rsid w:val="00774696"/>
    <w:rsid w:val="007746A1"/>
    <w:rsid w:val="007746EC"/>
    <w:rsid w:val="00774720"/>
    <w:rsid w:val="0077473C"/>
    <w:rsid w:val="0077478C"/>
    <w:rsid w:val="0077478D"/>
    <w:rsid w:val="007747F5"/>
    <w:rsid w:val="007747F9"/>
    <w:rsid w:val="00774818"/>
    <w:rsid w:val="0077482F"/>
    <w:rsid w:val="00774861"/>
    <w:rsid w:val="00774872"/>
    <w:rsid w:val="00774873"/>
    <w:rsid w:val="00774898"/>
    <w:rsid w:val="007748B7"/>
    <w:rsid w:val="007748C6"/>
    <w:rsid w:val="007748F3"/>
    <w:rsid w:val="00774928"/>
    <w:rsid w:val="00774966"/>
    <w:rsid w:val="00774994"/>
    <w:rsid w:val="007749DB"/>
    <w:rsid w:val="007749E2"/>
    <w:rsid w:val="00774A29"/>
    <w:rsid w:val="00774A32"/>
    <w:rsid w:val="00774A3F"/>
    <w:rsid w:val="00774A43"/>
    <w:rsid w:val="00774A50"/>
    <w:rsid w:val="00774A7A"/>
    <w:rsid w:val="00774B12"/>
    <w:rsid w:val="00774B95"/>
    <w:rsid w:val="00774BA2"/>
    <w:rsid w:val="00774BF6"/>
    <w:rsid w:val="00774C02"/>
    <w:rsid w:val="00774C17"/>
    <w:rsid w:val="00774C43"/>
    <w:rsid w:val="00774C4A"/>
    <w:rsid w:val="00774C70"/>
    <w:rsid w:val="00774CBB"/>
    <w:rsid w:val="00774CD8"/>
    <w:rsid w:val="00774CD9"/>
    <w:rsid w:val="00774D0B"/>
    <w:rsid w:val="00774D3C"/>
    <w:rsid w:val="00774D9E"/>
    <w:rsid w:val="00774DE0"/>
    <w:rsid w:val="00774DED"/>
    <w:rsid w:val="00774DF9"/>
    <w:rsid w:val="00774E5C"/>
    <w:rsid w:val="00774F06"/>
    <w:rsid w:val="00774F15"/>
    <w:rsid w:val="00774F33"/>
    <w:rsid w:val="00774F50"/>
    <w:rsid w:val="00774FD4"/>
    <w:rsid w:val="00774FD8"/>
    <w:rsid w:val="00774FDC"/>
    <w:rsid w:val="0077501C"/>
    <w:rsid w:val="00775067"/>
    <w:rsid w:val="00775080"/>
    <w:rsid w:val="0077509C"/>
    <w:rsid w:val="007750D9"/>
    <w:rsid w:val="00775112"/>
    <w:rsid w:val="007751A6"/>
    <w:rsid w:val="007751DD"/>
    <w:rsid w:val="00775232"/>
    <w:rsid w:val="007752A5"/>
    <w:rsid w:val="00775307"/>
    <w:rsid w:val="00775363"/>
    <w:rsid w:val="00775395"/>
    <w:rsid w:val="0077539B"/>
    <w:rsid w:val="007753A8"/>
    <w:rsid w:val="007753EE"/>
    <w:rsid w:val="007753F4"/>
    <w:rsid w:val="00775402"/>
    <w:rsid w:val="00775476"/>
    <w:rsid w:val="007754EC"/>
    <w:rsid w:val="007754FF"/>
    <w:rsid w:val="00775507"/>
    <w:rsid w:val="00775568"/>
    <w:rsid w:val="007755CE"/>
    <w:rsid w:val="007755E3"/>
    <w:rsid w:val="00775620"/>
    <w:rsid w:val="00775627"/>
    <w:rsid w:val="00775654"/>
    <w:rsid w:val="00775665"/>
    <w:rsid w:val="00775756"/>
    <w:rsid w:val="0077575F"/>
    <w:rsid w:val="00775785"/>
    <w:rsid w:val="007757A6"/>
    <w:rsid w:val="007757C5"/>
    <w:rsid w:val="007757CF"/>
    <w:rsid w:val="007757D6"/>
    <w:rsid w:val="00775831"/>
    <w:rsid w:val="0077585B"/>
    <w:rsid w:val="0077585C"/>
    <w:rsid w:val="0077585D"/>
    <w:rsid w:val="007758C1"/>
    <w:rsid w:val="00775904"/>
    <w:rsid w:val="0077591E"/>
    <w:rsid w:val="00775929"/>
    <w:rsid w:val="00775951"/>
    <w:rsid w:val="00775969"/>
    <w:rsid w:val="00775983"/>
    <w:rsid w:val="007759CE"/>
    <w:rsid w:val="007759D8"/>
    <w:rsid w:val="00775A3C"/>
    <w:rsid w:val="00775A7C"/>
    <w:rsid w:val="00775A90"/>
    <w:rsid w:val="00775AE0"/>
    <w:rsid w:val="00775B48"/>
    <w:rsid w:val="00775B74"/>
    <w:rsid w:val="00775B9B"/>
    <w:rsid w:val="00775C42"/>
    <w:rsid w:val="00775C48"/>
    <w:rsid w:val="00775C72"/>
    <w:rsid w:val="00775D29"/>
    <w:rsid w:val="00775D4A"/>
    <w:rsid w:val="00775D4C"/>
    <w:rsid w:val="00775D5D"/>
    <w:rsid w:val="00775D70"/>
    <w:rsid w:val="00775D7B"/>
    <w:rsid w:val="00775D9F"/>
    <w:rsid w:val="00775E33"/>
    <w:rsid w:val="00775E54"/>
    <w:rsid w:val="00775E87"/>
    <w:rsid w:val="00775E89"/>
    <w:rsid w:val="00775ED5"/>
    <w:rsid w:val="00775F5E"/>
    <w:rsid w:val="00775F61"/>
    <w:rsid w:val="00775F77"/>
    <w:rsid w:val="00775FD4"/>
    <w:rsid w:val="00775FF8"/>
    <w:rsid w:val="00775FFF"/>
    <w:rsid w:val="00776005"/>
    <w:rsid w:val="00776050"/>
    <w:rsid w:val="0077608A"/>
    <w:rsid w:val="0077609B"/>
    <w:rsid w:val="007760EF"/>
    <w:rsid w:val="00776125"/>
    <w:rsid w:val="007761BA"/>
    <w:rsid w:val="007761DF"/>
    <w:rsid w:val="0077622E"/>
    <w:rsid w:val="00776241"/>
    <w:rsid w:val="00776286"/>
    <w:rsid w:val="007762E9"/>
    <w:rsid w:val="007762F7"/>
    <w:rsid w:val="00776331"/>
    <w:rsid w:val="0077635C"/>
    <w:rsid w:val="00776419"/>
    <w:rsid w:val="00776442"/>
    <w:rsid w:val="007764A6"/>
    <w:rsid w:val="007764DB"/>
    <w:rsid w:val="00776501"/>
    <w:rsid w:val="00776536"/>
    <w:rsid w:val="0077658E"/>
    <w:rsid w:val="007765A8"/>
    <w:rsid w:val="007765E6"/>
    <w:rsid w:val="00776604"/>
    <w:rsid w:val="0077660A"/>
    <w:rsid w:val="0077661B"/>
    <w:rsid w:val="00776659"/>
    <w:rsid w:val="0077665D"/>
    <w:rsid w:val="0077665F"/>
    <w:rsid w:val="00776679"/>
    <w:rsid w:val="0077668E"/>
    <w:rsid w:val="0077673D"/>
    <w:rsid w:val="0077676B"/>
    <w:rsid w:val="00776795"/>
    <w:rsid w:val="00776829"/>
    <w:rsid w:val="00776830"/>
    <w:rsid w:val="0077683F"/>
    <w:rsid w:val="00776867"/>
    <w:rsid w:val="007768DB"/>
    <w:rsid w:val="0077690A"/>
    <w:rsid w:val="0077693E"/>
    <w:rsid w:val="00776956"/>
    <w:rsid w:val="00776966"/>
    <w:rsid w:val="0077699D"/>
    <w:rsid w:val="007769E0"/>
    <w:rsid w:val="007769F2"/>
    <w:rsid w:val="00776A17"/>
    <w:rsid w:val="00776A3D"/>
    <w:rsid w:val="00776A85"/>
    <w:rsid w:val="00776AD8"/>
    <w:rsid w:val="00776AEA"/>
    <w:rsid w:val="00776B23"/>
    <w:rsid w:val="00776B3B"/>
    <w:rsid w:val="00776B4F"/>
    <w:rsid w:val="00776B75"/>
    <w:rsid w:val="00776B7B"/>
    <w:rsid w:val="00776B84"/>
    <w:rsid w:val="00776B85"/>
    <w:rsid w:val="00776BAB"/>
    <w:rsid w:val="00776BB0"/>
    <w:rsid w:val="00776BD2"/>
    <w:rsid w:val="00776C03"/>
    <w:rsid w:val="00776D28"/>
    <w:rsid w:val="00776D93"/>
    <w:rsid w:val="00776DD2"/>
    <w:rsid w:val="00776E2D"/>
    <w:rsid w:val="00776F02"/>
    <w:rsid w:val="00776F07"/>
    <w:rsid w:val="00776F2C"/>
    <w:rsid w:val="00776F58"/>
    <w:rsid w:val="00776FC4"/>
    <w:rsid w:val="00776FDD"/>
    <w:rsid w:val="00776FE7"/>
    <w:rsid w:val="00777031"/>
    <w:rsid w:val="00777033"/>
    <w:rsid w:val="00777038"/>
    <w:rsid w:val="00777093"/>
    <w:rsid w:val="0077709D"/>
    <w:rsid w:val="007770C5"/>
    <w:rsid w:val="0077712F"/>
    <w:rsid w:val="0077717C"/>
    <w:rsid w:val="00777191"/>
    <w:rsid w:val="007771D7"/>
    <w:rsid w:val="0077722C"/>
    <w:rsid w:val="00777251"/>
    <w:rsid w:val="0077725C"/>
    <w:rsid w:val="00777330"/>
    <w:rsid w:val="00777354"/>
    <w:rsid w:val="0077735D"/>
    <w:rsid w:val="00777398"/>
    <w:rsid w:val="007773E8"/>
    <w:rsid w:val="0077741F"/>
    <w:rsid w:val="0077742F"/>
    <w:rsid w:val="007774A6"/>
    <w:rsid w:val="007774B1"/>
    <w:rsid w:val="00777528"/>
    <w:rsid w:val="007775D7"/>
    <w:rsid w:val="007775F6"/>
    <w:rsid w:val="0077764D"/>
    <w:rsid w:val="007776AD"/>
    <w:rsid w:val="007776BB"/>
    <w:rsid w:val="00777754"/>
    <w:rsid w:val="0077776C"/>
    <w:rsid w:val="007777C6"/>
    <w:rsid w:val="0077781A"/>
    <w:rsid w:val="00777861"/>
    <w:rsid w:val="0077787D"/>
    <w:rsid w:val="007778BB"/>
    <w:rsid w:val="00777956"/>
    <w:rsid w:val="00777965"/>
    <w:rsid w:val="00777995"/>
    <w:rsid w:val="007779D3"/>
    <w:rsid w:val="00777AAB"/>
    <w:rsid w:val="00777BC3"/>
    <w:rsid w:val="00777BC4"/>
    <w:rsid w:val="00777BD5"/>
    <w:rsid w:val="00777CFE"/>
    <w:rsid w:val="00777D7C"/>
    <w:rsid w:val="00777D96"/>
    <w:rsid w:val="00777DD0"/>
    <w:rsid w:val="00777DD6"/>
    <w:rsid w:val="00777E1D"/>
    <w:rsid w:val="00777E72"/>
    <w:rsid w:val="00777E85"/>
    <w:rsid w:val="00777E87"/>
    <w:rsid w:val="00777E98"/>
    <w:rsid w:val="00777EAE"/>
    <w:rsid w:val="00777EC1"/>
    <w:rsid w:val="00777EC7"/>
    <w:rsid w:val="00777F2F"/>
    <w:rsid w:val="00777F80"/>
    <w:rsid w:val="00777F8B"/>
    <w:rsid w:val="007800B8"/>
    <w:rsid w:val="007800CC"/>
    <w:rsid w:val="007800FF"/>
    <w:rsid w:val="00780116"/>
    <w:rsid w:val="0078011E"/>
    <w:rsid w:val="00780137"/>
    <w:rsid w:val="00780155"/>
    <w:rsid w:val="0078017B"/>
    <w:rsid w:val="0078017D"/>
    <w:rsid w:val="00780182"/>
    <w:rsid w:val="00780254"/>
    <w:rsid w:val="00780289"/>
    <w:rsid w:val="00780296"/>
    <w:rsid w:val="007802BE"/>
    <w:rsid w:val="007802E8"/>
    <w:rsid w:val="00780306"/>
    <w:rsid w:val="00780309"/>
    <w:rsid w:val="0078031D"/>
    <w:rsid w:val="0078033D"/>
    <w:rsid w:val="0078035B"/>
    <w:rsid w:val="007803F5"/>
    <w:rsid w:val="0078043D"/>
    <w:rsid w:val="00780484"/>
    <w:rsid w:val="007804EA"/>
    <w:rsid w:val="0078051A"/>
    <w:rsid w:val="00780553"/>
    <w:rsid w:val="007805F2"/>
    <w:rsid w:val="0078069C"/>
    <w:rsid w:val="007806FC"/>
    <w:rsid w:val="00780758"/>
    <w:rsid w:val="00780796"/>
    <w:rsid w:val="0078081E"/>
    <w:rsid w:val="00780835"/>
    <w:rsid w:val="00780843"/>
    <w:rsid w:val="0078084C"/>
    <w:rsid w:val="007808FA"/>
    <w:rsid w:val="00780929"/>
    <w:rsid w:val="00780940"/>
    <w:rsid w:val="00780964"/>
    <w:rsid w:val="0078097E"/>
    <w:rsid w:val="00780994"/>
    <w:rsid w:val="007809C4"/>
    <w:rsid w:val="00780A1F"/>
    <w:rsid w:val="00780A8D"/>
    <w:rsid w:val="00780B4B"/>
    <w:rsid w:val="00780BD2"/>
    <w:rsid w:val="00780C04"/>
    <w:rsid w:val="00780C2A"/>
    <w:rsid w:val="00780C30"/>
    <w:rsid w:val="00780C5A"/>
    <w:rsid w:val="00780C74"/>
    <w:rsid w:val="00780C7B"/>
    <w:rsid w:val="00780CC0"/>
    <w:rsid w:val="00780CF0"/>
    <w:rsid w:val="00780D4F"/>
    <w:rsid w:val="00780D80"/>
    <w:rsid w:val="00780D92"/>
    <w:rsid w:val="00780DCE"/>
    <w:rsid w:val="00780DE4"/>
    <w:rsid w:val="00780E4E"/>
    <w:rsid w:val="00780ED3"/>
    <w:rsid w:val="00780F09"/>
    <w:rsid w:val="00780F42"/>
    <w:rsid w:val="00780F56"/>
    <w:rsid w:val="00780FD7"/>
    <w:rsid w:val="00781036"/>
    <w:rsid w:val="0078105B"/>
    <w:rsid w:val="00781097"/>
    <w:rsid w:val="00781207"/>
    <w:rsid w:val="0078120A"/>
    <w:rsid w:val="0078128F"/>
    <w:rsid w:val="007812E7"/>
    <w:rsid w:val="007812F8"/>
    <w:rsid w:val="0078130C"/>
    <w:rsid w:val="0078135C"/>
    <w:rsid w:val="007813A0"/>
    <w:rsid w:val="007813BE"/>
    <w:rsid w:val="007813CE"/>
    <w:rsid w:val="007813D5"/>
    <w:rsid w:val="00781419"/>
    <w:rsid w:val="00781420"/>
    <w:rsid w:val="0078144C"/>
    <w:rsid w:val="007814A3"/>
    <w:rsid w:val="007814E1"/>
    <w:rsid w:val="007814EB"/>
    <w:rsid w:val="007814FC"/>
    <w:rsid w:val="00781522"/>
    <w:rsid w:val="0078156A"/>
    <w:rsid w:val="00781574"/>
    <w:rsid w:val="00781585"/>
    <w:rsid w:val="00781594"/>
    <w:rsid w:val="00781608"/>
    <w:rsid w:val="00781682"/>
    <w:rsid w:val="007816A6"/>
    <w:rsid w:val="007816BD"/>
    <w:rsid w:val="007817A7"/>
    <w:rsid w:val="007817BD"/>
    <w:rsid w:val="00781868"/>
    <w:rsid w:val="0078187A"/>
    <w:rsid w:val="007818DE"/>
    <w:rsid w:val="007818E3"/>
    <w:rsid w:val="00781928"/>
    <w:rsid w:val="00781941"/>
    <w:rsid w:val="00781A4C"/>
    <w:rsid w:val="00781A59"/>
    <w:rsid w:val="00781A89"/>
    <w:rsid w:val="00781A97"/>
    <w:rsid w:val="00781ABA"/>
    <w:rsid w:val="00781AF5"/>
    <w:rsid w:val="00781B22"/>
    <w:rsid w:val="00781B56"/>
    <w:rsid w:val="00781B8D"/>
    <w:rsid w:val="00781BB8"/>
    <w:rsid w:val="00781BDA"/>
    <w:rsid w:val="00781BE3"/>
    <w:rsid w:val="00781BF3"/>
    <w:rsid w:val="00781C81"/>
    <w:rsid w:val="00781C97"/>
    <w:rsid w:val="00781CBC"/>
    <w:rsid w:val="00781CD0"/>
    <w:rsid w:val="00781CF3"/>
    <w:rsid w:val="00781D03"/>
    <w:rsid w:val="00781D20"/>
    <w:rsid w:val="00781D26"/>
    <w:rsid w:val="00781D2C"/>
    <w:rsid w:val="00781D89"/>
    <w:rsid w:val="00781D9C"/>
    <w:rsid w:val="00781DC3"/>
    <w:rsid w:val="00781E5E"/>
    <w:rsid w:val="00781E8A"/>
    <w:rsid w:val="00781F02"/>
    <w:rsid w:val="00781F3F"/>
    <w:rsid w:val="00781FAF"/>
    <w:rsid w:val="00781FBA"/>
    <w:rsid w:val="00782015"/>
    <w:rsid w:val="00782057"/>
    <w:rsid w:val="0078206C"/>
    <w:rsid w:val="00782097"/>
    <w:rsid w:val="007820A5"/>
    <w:rsid w:val="007820E0"/>
    <w:rsid w:val="007820ED"/>
    <w:rsid w:val="007820F2"/>
    <w:rsid w:val="00782117"/>
    <w:rsid w:val="0078211C"/>
    <w:rsid w:val="00782182"/>
    <w:rsid w:val="00782191"/>
    <w:rsid w:val="007821A5"/>
    <w:rsid w:val="00782210"/>
    <w:rsid w:val="0078224F"/>
    <w:rsid w:val="007822AB"/>
    <w:rsid w:val="007822C1"/>
    <w:rsid w:val="007822D1"/>
    <w:rsid w:val="007822E1"/>
    <w:rsid w:val="00782303"/>
    <w:rsid w:val="00782346"/>
    <w:rsid w:val="00782350"/>
    <w:rsid w:val="00782383"/>
    <w:rsid w:val="0078238B"/>
    <w:rsid w:val="00782397"/>
    <w:rsid w:val="007823C9"/>
    <w:rsid w:val="007823FB"/>
    <w:rsid w:val="0078246B"/>
    <w:rsid w:val="00782478"/>
    <w:rsid w:val="007824AD"/>
    <w:rsid w:val="00782516"/>
    <w:rsid w:val="00782561"/>
    <w:rsid w:val="00782574"/>
    <w:rsid w:val="0078257C"/>
    <w:rsid w:val="007825A4"/>
    <w:rsid w:val="007825B4"/>
    <w:rsid w:val="007825CA"/>
    <w:rsid w:val="007825D5"/>
    <w:rsid w:val="0078260E"/>
    <w:rsid w:val="00782678"/>
    <w:rsid w:val="00782719"/>
    <w:rsid w:val="00782728"/>
    <w:rsid w:val="00782747"/>
    <w:rsid w:val="007828A9"/>
    <w:rsid w:val="007828B0"/>
    <w:rsid w:val="007828E8"/>
    <w:rsid w:val="007829A1"/>
    <w:rsid w:val="007829E9"/>
    <w:rsid w:val="00782A0E"/>
    <w:rsid w:val="00782A48"/>
    <w:rsid w:val="00782A6D"/>
    <w:rsid w:val="00782A7B"/>
    <w:rsid w:val="00782A7D"/>
    <w:rsid w:val="00782A83"/>
    <w:rsid w:val="00782AA3"/>
    <w:rsid w:val="00782AD1"/>
    <w:rsid w:val="00782AD9"/>
    <w:rsid w:val="00782B0A"/>
    <w:rsid w:val="00782B1B"/>
    <w:rsid w:val="00782B47"/>
    <w:rsid w:val="00782B54"/>
    <w:rsid w:val="00782B6B"/>
    <w:rsid w:val="00782B7A"/>
    <w:rsid w:val="00782BF5"/>
    <w:rsid w:val="00782BFF"/>
    <w:rsid w:val="00782C21"/>
    <w:rsid w:val="00782C59"/>
    <w:rsid w:val="00782CD2"/>
    <w:rsid w:val="00782D04"/>
    <w:rsid w:val="00782D05"/>
    <w:rsid w:val="00782D46"/>
    <w:rsid w:val="00782D98"/>
    <w:rsid w:val="00782D99"/>
    <w:rsid w:val="00782D9E"/>
    <w:rsid w:val="00782DAB"/>
    <w:rsid w:val="00782DB3"/>
    <w:rsid w:val="00782DBF"/>
    <w:rsid w:val="00782E8C"/>
    <w:rsid w:val="00782EC1"/>
    <w:rsid w:val="00782EF7"/>
    <w:rsid w:val="00782F2C"/>
    <w:rsid w:val="00782F52"/>
    <w:rsid w:val="00782F88"/>
    <w:rsid w:val="00782F98"/>
    <w:rsid w:val="00782FC1"/>
    <w:rsid w:val="00782FFB"/>
    <w:rsid w:val="0078301F"/>
    <w:rsid w:val="007830B9"/>
    <w:rsid w:val="00783132"/>
    <w:rsid w:val="0078318B"/>
    <w:rsid w:val="00783195"/>
    <w:rsid w:val="007831B2"/>
    <w:rsid w:val="007831E1"/>
    <w:rsid w:val="007831EE"/>
    <w:rsid w:val="00783243"/>
    <w:rsid w:val="00783245"/>
    <w:rsid w:val="0078332D"/>
    <w:rsid w:val="00783335"/>
    <w:rsid w:val="0078334C"/>
    <w:rsid w:val="00783382"/>
    <w:rsid w:val="00783409"/>
    <w:rsid w:val="0078341F"/>
    <w:rsid w:val="0078343E"/>
    <w:rsid w:val="0078345A"/>
    <w:rsid w:val="00783494"/>
    <w:rsid w:val="007834F7"/>
    <w:rsid w:val="00783500"/>
    <w:rsid w:val="00783506"/>
    <w:rsid w:val="00783537"/>
    <w:rsid w:val="00783538"/>
    <w:rsid w:val="00783568"/>
    <w:rsid w:val="0078359B"/>
    <w:rsid w:val="007835C4"/>
    <w:rsid w:val="007835E8"/>
    <w:rsid w:val="007835F2"/>
    <w:rsid w:val="0078364B"/>
    <w:rsid w:val="00783652"/>
    <w:rsid w:val="007836F7"/>
    <w:rsid w:val="00783717"/>
    <w:rsid w:val="0078375A"/>
    <w:rsid w:val="00783792"/>
    <w:rsid w:val="00783796"/>
    <w:rsid w:val="007837AC"/>
    <w:rsid w:val="007837C0"/>
    <w:rsid w:val="007837E9"/>
    <w:rsid w:val="00783827"/>
    <w:rsid w:val="0078383F"/>
    <w:rsid w:val="00783856"/>
    <w:rsid w:val="007838CA"/>
    <w:rsid w:val="00783938"/>
    <w:rsid w:val="0078397A"/>
    <w:rsid w:val="007839E7"/>
    <w:rsid w:val="007839FC"/>
    <w:rsid w:val="00783A06"/>
    <w:rsid w:val="00783A27"/>
    <w:rsid w:val="00783AAE"/>
    <w:rsid w:val="00783AEB"/>
    <w:rsid w:val="00783B71"/>
    <w:rsid w:val="00783BA7"/>
    <w:rsid w:val="00783BCB"/>
    <w:rsid w:val="00783BEA"/>
    <w:rsid w:val="00783BEC"/>
    <w:rsid w:val="00783C21"/>
    <w:rsid w:val="00783C29"/>
    <w:rsid w:val="00783C40"/>
    <w:rsid w:val="00783C49"/>
    <w:rsid w:val="00783C6B"/>
    <w:rsid w:val="00783C79"/>
    <w:rsid w:val="00783C85"/>
    <w:rsid w:val="00783CA2"/>
    <w:rsid w:val="00783D9F"/>
    <w:rsid w:val="00783DB5"/>
    <w:rsid w:val="00783E05"/>
    <w:rsid w:val="00783E34"/>
    <w:rsid w:val="00783E58"/>
    <w:rsid w:val="00783E5D"/>
    <w:rsid w:val="00783EC3"/>
    <w:rsid w:val="00783ECB"/>
    <w:rsid w:val="00783EDE"/>
    <w:rsid w:val="00783EF0"/>
    <w:rsid w:val="00783F0A"/>
    <w:rsid w:val="00783F76"/>
    <w:rsid w:val="00783F9F"/>
    <w:rsid w:val="00783FD0"/>
    <w:rsid w:val="00783FF7"/>
    <w:rsid w:val="00784024"/>
    <w:rsid w:val="00784049"/>
    <w:rsid w:val="00784073"/>
    <w:rsid w:val="007840BE"/>
    <w:rsid w:val="007840FA"/>
    <w:rsid w:val="0078416D"/>
    <w:rsid w:val="007841D9"/>
    <w:rsid w:val="007841FA"/>
    <w:rsid w:val="0078423E"/>
    <w:rsid w:val="0078427C"/>
    <w:rsid w:val="007842CD"/>
    <w:rsid w:val="007842EB"/>
    <w:rsid w:val="007842F9"/>
    <w:rsid w:val="00784303"/>
    <w:rsid w:val="00784395"/>
    <w:rsid w:val="007843B2"/>
    <w:rsid w:val="007843C0"/>
    <w:rsid w:val="007843FF"/>
    <w:rsid w:val="00784433"/>
    <w:rsid w:val="00784442"/>
    <w:rsid w:val="007844BB"/>
    <w:rsid w:val="007844C1"/>
    <w:rsid w:val="007844DF"/>
    <w:rsid w:val="007844F0"/>
    <w:rsid w:val="00784510"/>
    <w:rsid w:val="00784527"/>
    <w:rsid w:val="0078457D"/>
    <w:rsid w:val="0078459B"/>
    <w:rsid w:val="007845A7"/>
    <w:rsid w:val="007845ED"/>
    <w:rsid w:val="0078462A"/>
    <w:rsid w:val="0078463A"/>
    <w:rsid w:val="007846A8"/>
    <w:rsid w:val="007846C4"/>
    <w:rsid w:val="00784783"/>
    <w:rsid w:val="00784795"/>
    <w:rsid w:val="0078479B"/>
    <w:rsid w:val="007847BF"/>
    <w:rsid w:val="007847C2"/>
    <w:rsid w:val="007847C5"/>
    <w:rsid w:val="00784807"/>
    <w:rsid w:val="00784814"/>
    <w:rsid w:val="00784831"/>
    <w:rsid w:val="0078485C"/>
    <w:rsid w:val="00784896"/>
    <w:rsid w:val="007848ED"/>
    <w:rsid w:val="007849AA"/>
    <w:rsid w:val="007849AC"/>
    <w:rsid w:val="007849CD"/>
    <w:rsid w:val="007849D4"/>
    <w:rsid w:val="007849F6"/>
    <w:rsid w:val="00784A3E"/>
    <w:rsid w:val="00784A4A"/>
    <w:rsid w:val="00784A51"/>
    <w:rsid w:val="00784A53"/>
    <w:rsid w:val="00784AB9"/>
    <w:rsid w:val="00784ACD"/>
    <w:rsid w:val="00784B35"/>
    <w:rsid w:val="00784B50"/>
    <w:rsid w:val="00784B5D"/>
    <w:rsid w:val="00784B9A"/>
    <w:rsid w:val="00784BD7"/>
    <w:rsid w:val="00784BED"/>
    <w:rsid w:val="00784C6C"/>
    <w:rsid w:val="00784CA2"/>
    <w:rsid w:val="00784D38"/>
    <w:rsid w:val="00784D3F"/>
    <w:rsid w:val="00784D5A"/>
    <w:rsid w:val="00784DD5"/>
    <w:rsid w:val="00784EA3"/>
    <w:rsid w:val="00784F3B"/>
    <w:rsid w:val="00784F59"/>
    <w:rsid w:val="00784F76"/>
    <w:rsid w:val="00784FB2"/>
    <w:rsid w:val="0078501B"/>
    <w:rsid w:val="00785045"/>
    <w:rsid w:val="0078508C"/>
    <w:rsid w:val="0078509B"/>
    <w:rsid w:val="007850FE"/>
    <w:rsid w:val="0078511C"/>
    <w:rsid w:val="0078513B"/>
    <w:rsid w:val="0078514F"/>
    <w:rsid w:val="00785174"/>
    <w:rsid w:val="00785229"/>
    <w:rsid w:val="00785236"/>
    <w:rsid w:val="00785300"/>
    <w:rsid w:val="00785310"/>
    <w:rsid w:val="0078532D"/>
    <w:rsid w:val="00785355"/>
    <w:rsid w:val="0078537E"/>
    <w:rsid w:val="00785392"/>
    <w:rsid w:val="007853A9"/>
    <w:rsid w:val="007853DC"/>
    <w:rsid w:val="007853E3"/>
    <w:rsid w:val="00785422"/>
    <w:rsid w:val="00785430"/>
    <w:rsid w:val="0078543F"/>
    <w:rsid w:val="00785485"/>
    <w:rsid w:val="00785497"/>
    <w:rsid w:val="007854B3"/>
    <w:rsid w:val="0078552E"/>
    <w:rsid w:val="007855D4"/>
    <w:rsid w:val="00785605"/>
    <w:rsid w:val="0078563F"/>
    <w:rsid w:val="00785667"/>
    <w:rsid w:val="00785689"/>
    <w:rsid w:val="00785695"/>
    <w:rsid w:val="0078569F"/>
    <w:rsid w:val="007856F4"/>
    <w:rsid w:val="007856FD"/>
    <w:rsid w:val="00785707"/>
    <w:rsid w:val="0078570F"/>
    <w:rsid w:val="00785774"/>
    <w:rsid w:val="0078578B"/>
    <w:rsid w:val="00785837"/>
    <w:rsid w:val="007858D9"/>
    <w:rsid w:val="00785927"/>
    <w:rsid w:val="00785947"/>
    <w:rsid w:val="00785953"/>
    <w:rsid w:val="0078595E"/>
    <w:rsid w:val="00785A11"/>
    <w:rsid w:val="00785A4E"/>
    <w:rsid w:val="00785A5A"/>
    <w:rsid w:val="00785A6A"/>
    <w:rsid w:val="00785ACC"/>
    <w:rsid w:val="00785ADC"/>
    <w:rsid w:val="00785B19"/>
    <w:rsid w:val="00785B2C"/>
    <w:rsid w:val="00785B31"/>
    <w:rsid w:val="00785B51"/>
    <w:rsid w:val="00785B7C"/>
    <w:rsid w:val="00785BAC"/>
    <w:rsid w:val="00785BD0"/>
    <w:rsid w:val="00785C04"/>
    <w:rsid w:val="00785C16"/>
    <w:rsid w:val="00785C1E"/>
    <w:rsid w:val="00785C58"/>
    <w:rsid w:val="00785C5D"/>
    <w:rsid w:val="00785C69"/>
    <w:rsid w:val="00785CA9"/>
    <w:rsid w:val="00785CF6"/>
    <w:rsid w:val="00785CF8"/>
    <w:rsid w:val="00785D01"/>
    <w:rsid w:val="00785D9E"/>
    <w:rsid w:val="00785DAF"/>
    <w:rsid w:val="00785DDF"/>
    <w:rsid w:val="00785E1C"/>
    <w:rsid w:val="00785E1E"/>
    <w:rsid w:val="00785E2D"/>
    <w:rsid w:val="00785E3C"/>
    <w:rsid w:val="00785E44"/>
    <w:rsid w:val="00785EBF"/>
    <w:rsid w:val="00785F0A"/>
    <w:rsid w:val="00785F75"/>
    <w:rsid w:val="00785FF0"/>
    <w:rsid w:val="0078601D"/>
    <w:rsid w:val="00786028"/>
    <w:rsid w:val="007860C1"/>
    <w:rsid w:val="00786135"/>
    <w:rsid w:val="00786154"/>
    <w:rsid w:val="007861B4"/>
    <w:rsid w:val="007861CF"/>
    <w:rsid w:val="0078620B"/>
    <w:rsid w:val="00786288"/>
    <w:rsid w:val="00786291"/>
    <w:rsid w:val="0078630D"/>
    <w:rsid w:val="0078634C"/>
    <w:rsid w:val="00786356"/>
    <w:rsid w:val="007863F8"/>
    <w:rsid w:val="00786444"/>
    <w:rsid w:val="00786463"/>
    <w:rsid w:val="00786470"/>
    <w:rsid w:val="00786473"/>
    <w:rsid w:val="00786486"/>
    <w:rsid w:val="007864D0"/>
    <w:rsid w:val="007864E7"/>
    <w:rsid w:val="007865C8"/>
    <w:rsid w:val="007865D5"/>
    <w:rsid w:val="00786612"/>
    <w:rsid w:val="007866F2"/>
    <w:rsid w:val="0078671A"/>
    <w:rsid w:val="00786746"/>
    <w:rsid w:val="0078676E"/>
    <w:rsid w:val="007867CD"/>
    <w:rsid w:val="007867DD"/>
    <w:rsid w:val="00786800"/>
    <w:rsid w:val="0078681C"/>
    <w:rsid w:val="00786820"/>
    <w:rsid w:val="00786832"/>
    <w:rsid w:val="0078685D"/>
    <w:rsid w:val="00786885"/>
    <w:rsid w:val="007868A7"/>
    <w:rsid w:val="007868D3"/>
    <w:rsid w:val="007868FC"/>
    <w:rsid w:val="0078690D"/>
    <w:rsid w:val="00786932"/>
    <w:rsid w:val="00786941"/>
    <w:rsid w:val="007869AC"/>
    <w:rsid w:val="007869F9"/>
    <w:rsid w:val="00786A07"/>
    <w:rsid w:val="00786A12"/>
    <w:rsid w:val="00786A44"/>
    <w:rsid w:val="00786A56"/>
    <w:rsid w:val="00786ADD"/>
    <w:rsid w:val="00786B3E"/>
    <w:rsid w:val="00786B63"/>
    <w:rsid w:val="00786B68"/>
    <w:rsid w:val="00786B7C"/>
    <w:rsid w:val="00786B83"/>
    <w:rsid w:val="00786BD0"/>
    <w:rsid w:val="00786BE4"/>
    <w:rsid w:val="00786BF6"/>
    <w:rsid w:val="00786C07"/>
    <w:rsid w:val="00786C0F"/>
    <w:rsid w:val="00786C52"/>
    <w:rsid w:val="00786C63"/>
    <w:rsid w:val="00786C77"/>
    <w:rsid w:val="00786CEE"/>
    <w:rsid w:val="00786E06"/>
    <w:rsid w:val="00786E0B"/>
    <w:rsid w:val="00786E46"/>
    <w:rsid w:val="00786E7B"/>
    <w:rsid w:val="00786ECA"/>
    <w:rsid w:val="00786F21"/>
    <w:rsid w:val="00786F62"/>
    <w:rsid w:val="00786F7F"/>
    <w:rsid w:val="00786FC6"/>
    <w:rsid w:val="00786FCA"/>
    <w:rsid w:val="00787023"/>
    <w:rsid w:val="00787031"/>
    <w:rsid w:val="0078704B"/>
    <w:rsid w:val="0078704D"/>
    <w:rsid w:val="00787065"/>
    <w:rsid w:val="007870CD"/>
    <w:rsid w:val="007870D2"/>
    <w:rsid w:val="007870DA"/>
    <w:rsid w:val="007870E8"/>
    <w:rsid w:val="00787102"/>
    <w:rsid w:val="0078713B"/>
    <w:rsid w:val="00787149"/>
    <w:rsid w:val="00787179"/>
    <w:rsid w:val="00787228"/>
    <w:rsid w:val="007872B1"/>
    <w:rsid w:val="007872B5"/>
    <w:rsid w:val="007872D4"/>
    <w:rsid w:val="007872EA"/>
    <w:rsid w:val="00787312"/>
    <w:rsid w:val="007873AD"/>
    <w:rsid w:val="007873CB"/>
    <w:rsid w:val="007873F5"/>
    <w:rsid w:val="0078741F"/>
    <w:rsid w:val="00787430"/>
    <w:rsid w:val="00787437"/>
    <w:rsid w:val="00787442"/>
    <w:rsid w:val="0078745E"/>
    <w:rsid w:val="00787485"/>
    <w:rsid w:val="007874A9"/>
    <w:rsid w:val="00787516"/>
    <w:rsid w:val="00787517"/>
    <w:rsid w:val="007875C0"/>
    <w:rsid w:val="007876BA"/>
    <w:rsid w:val="007876F2"/>
    <w:rsid w:val="007876F8"/>
    <w:rsid w:val="00787727"/>
    <w:rsid w:val="00787743"/>
    <w:rsid w:val="00787750"/>
    <w:rsid w:val="00787798"/>
    <w:rsid w:val="007877A2"/>
    <w:rsid w:val="007877CB"/>
    <w:rsid w:val="007877D2"/>
    <w:rsid w:val="007877F0"/>
    <w:rsid w:val="00787802"/>
    <w:rsid w:val="00787823"/>
    <w:rsid w:val="0078782A"/>
    <w:rsid w:val="00787877"/>
    <w:rsid w:val="0078788C"/>
    <w:rsid w:val="007878C4"/>
    <w:rsid w:val="007878CE"/>
    <w:rsid w:val="00787926"/>
    <w:rsid w:val="0078798C"/>
    <w:rsid w:val="00787998"/>
    <w:rsid w:val="007879B6"/>
    <w:rsid w:val="007879DF"/>
    <w:rsid w:val="00787A0A"/>
    <w:rsid w:val="00787A58"/>
    <w:rsid w:val="00787A74"/>
    <w:rsid w:val="00787AC6"/>
    <w:rsid w:val="00787B21"/>
    <w:rsid w:val="00787B4D"/>
    <w:rsid w:val="00787BA9"/>
    <w:rsid w:val="00787BD2"/>
    <w:rsid w:val="00787BF3"/>
    <w:rsid w:val="00787C11"/>
    <w:rsid w:val="00787C20"/>
    <w:rsid w:val="00787C9C"/>
    <w:rsid w:val="00787CD6"/>
    <w:rsid w:val="00787D08"/>
    <w:rsid w:val="00787D1A"/>
    <w:rsid w:val="00787D1F"/>
    <w:rsid w:val="00787D4E"/>
    <w:rsid w:val="00787D5C"/>
    <w:rsid w:val="00787D83"/>
    <w:rsid w:val="00787DA0"/>
    <w:rsid w:val="00787DA8"/>
    <w:rsid w:val="00787DD0"/>
    <w:rsid w:val="00787E0A"/>
    <w:rsid w:val="00787E19"/>
    <w:rsid w:val="00787E1D"/>
    <w:rsid w:val="00787E31"/>
    <w:rsid w:val="00787EC7"/>
    <w:rsid w:val="00787EE1"/>
    <w:rsid w:val="00787EE6"/>
    <w:rsid w:val="00787F3F"/>
    <w:rsid w:val="00787FFA"/>
    <w:rsid w:val="0079006E"/>
    <w:rsid w:val="007900A4"/>
    <w:rsid w:val="007900A9"/>
    <w:rsid w:val="00790164"/>
    <w:rsid w:val="007901AB"/>
    <w:rsid w:val="007901E6"/>
    <w:rsid w:val="00790240"/>
    <w:rsid w:val="00790265"/>
    <w:rsid w:val="00790280"/>
    <w:rsid w:val="007902A4"/>
    <w:rsid w:val="007902B4"/>
    <w:rsid w:val="0079031E"/>
    <w:rsid w:val="00790395"/>
    <w:rsid w:val="00790398"/>
    <w:rsid w:val="007903E9"/>
    <w:rsid w:val="007903F0"/>
    <w:rsid w:val="00790404"/>
    <w:rsid w:val="00790460"/>
    <w:rsid w:val="00790470"/>
    <w:rsid w:val="007904B3"/>
    <w:rsid w:val="007904D1"/>
    <w:rsid w:val="007904EF"/>
    <w:rsid w:val="00790562"/>
    <w:rsid w:val="0079059C"/>
    <w:rsid w:val="0079059D"/>
    <w:rsid w:val="007905C9"/>
    <w:rsid w:val="0079060A"/>
    <w:rsid w:val="0079062E"/>
    <w:rsid w:val="00790673"/>
    <w:rsid w:val="007906C9"/>
    <w:rsid w:val="0079076D"/>
    <w:rsid w:val="0079080B"/>
    <w:rsid w:val="0079084E"/>
    <w:rsid w:val="007908C1"/>
    <w:rsid w:val="007908DF"/>
    <w:rsid w:val="00790952"/>
    <w:rsid w:val="0079095F"/>
    <w:rsid w:val="00790964"/>
    <w:rsid w:val="007909E3"/>
    <w:rsid w:val="007909F7"/>
    <w:rsid w:val="00790A18"/>
    <w:rsid w:val="00790A4C"/>
    <w:rsid w:val="00790A84"/>
    <w:rsid w:val="00790A88"/>
    <w:rsid w:val="00790ADA"/>
    <w:rsid w:val="00790AE7"/>
    <w:rsid w:val="00790B07"/>
    <w:rsid w:val="00790B34"/>
    <w:rsid w:val="00790B3F"/>
    <w:rsid w:val="00790B4D"/>
    <w:rsid w:val="00790B79"/>
    <w:rsid w:val="00790C3B"/>
    <w:rsid w:val="00790C65"/>
    <w:rsid w:val="00790C81"/>
    <w:rsid w:val="00790CD3"/>
    <w:rsid w:val="00790D96"/>
    <w:rsid w:val="00790DB5"/>
    <w:rsid w:val="00790DD2"/>
    <w:rsid w:val="00790E39"/>
    <w:rsid w:val="00790E6A"/>
    <w:rsid w:val="00790EE0"/>
    <w:rsid w:val="00790F1D"/>
    <w:rsid w:val="00790F34"/>
    <w:rsid w:val="00790F50"/>
    <w:rsid w:val="00790F75"/>
    <w:rsid w:val="00790F9C"/>
    <w:rsid w:val="00790FA3"/>
    <w:rsid w:val="00790FD4"/>
    <w:rsid w:val="00791058"/>
    <w:rsid w:val="00791065"/>
    <w:rsid w:val="0079107C"/>
    <w:rsid w:val="0079107D"/>
    <w:rsid w:val="00791087"/>
    <w:rsid w:val="00791099"/>
    <w:rsid w:val="007910F2"/>
    <w:rsid w:val="00791104"/>
    <w:rsid w:val="00791108"/>
    <w:rsid w:val="0079111E"/>
    <w:rsid w:val="00791131"/>
    <w:rsid w:val="00791193"/>
    <w:rsid w:val="0079119F"/>
    <w:rsid w:val="007911A1"/>
    <w:rsid w:val="007911B1"/>
    <w:rsid w:val="00791206"/>
    <w:rsid w:val="00791238"/>
    <w:rsid w:val="00791288"/>
    <w:rsid w:val="00791321"/>
    <w:rsid w:val="0079139B"/>
    <w:rsid w:val="007913D3"/>
    <w:rsid w:val="00791422"/>
    <w:rsid w:val="00791424"/>
    <w:rsid w:val="00791440"/>
    <w:rsid w:val="0079145B"/>
    <w:rsid w:val="0079146E"/>
    <w:rsid w:val="0079149B"/>
    <w:rsid w:val="007914D8"/>
    <w:rsid w:val="007914F1"/>
    <w:rsid w:val="007914FE"/>
    <w:rsid w:val="0079155C"/>
    <w:rsid w:val="0079155D"/>
    <w:rsid w:val="00791619"/>
    <w:rsid w:val="0079164B"/>
    <w:rsid w:val="0079164D"/>
    <w:rsid w:val="00791689"/>
    <w:rsid w:val="007916DD"/>
    <w:rsid w:val="007916F4"/>
    <w:rsid w:val="007916F7"/>
    <w:rsid w:val="007917A9"/>
    <w:rsid w:val="00791860"/>
    <w:rsid w:val="00791867"/>
    <w:rsid w:val="0079187B"/>
    <w:rsid w:val="00791895"/>
    <w:rsid w:val="007918AA"/>
    <w:rsid w:val="0079199A"/>
    <w:rsid w:val="0079199D"/>
    <w:rsid w:val="007919BE"/>
    <w:rsid w:val="007919F7"/>
    <w:rsid w:val="00791AB2"/>
    <w:rsid w:val="00791AC6"/>
    <w:rsid w:val="00791ACF"/>
    <w:rsid w:val="00791B16"/>
    <w:rsid w:val="00791BE4"/>
    <w:rsid w:val="00791BE9"/>
    <w:rsid w:val="00791C13"/>
    <w:rsid w:val="00791C6C"/>
    <w:rsid w:val="00791CE7"/>
    <w:rsid w:val="00791D33"/>
    <w:rsid w:val="00791D41"/>
    <w:rsid w:val="00791DA4"/>
    <w:rsid w:val="00791DB2"/>
    <w:rsid w:val="00791DD9"/>
    <w:rsid w:val="00791E26"/>
    <w:rsid w:val="00791EA5"/>
    <w:rsid w:val="00791EE0"/>
    <w:rsid w:val="00791F0C"/>
    <w:rsid w:val="00791F5B"/>
    <w:rsid w:val="00791F75"/>
    <w:rsid w:val="00791FAF"/>
    <w:rsid w:val="00791FC6"/>
    <w:rsid w:val="00792022"/>
    <w:rsid w:val="00792039"/>
    <w:rsid w:val="00792083"/>
    <w:rsid w:val="007920A8"/>
    <w:rsid w:val="007920B7"/>
    <w:rsid w:val="007920C5"/>
    <w:rsid w:val="007920DD"/>
    <w:rsid w:val="007921AC"/>
    <w:rsid w:val="0079223A"/>
    <w:rsid w:val="0079224D"/>
    <w:rsid w:val="00792253"/>
    <w:rsid w:val="0079227D"/>
    <w:rsid w:val="007923AD"/>
    <w:rsid w:val="007923B1"/>
    <w:rsid w:val="007923C6"/>
    <w:rsid w:val="007923C8"/>
    <w:rsid w:val="007923FE"/>
    <w:rsid w:val="00792401"/>
    <w:rsid w:val="0079245A"/>
    <w:rsid w:val="007924AE"/>
    <w:rsid w:val="007924C1"/>
    <w:rsid w:val="007924E0"/>
    <w:rsid w:val="007924F9"/>
    <w:rsid w:val="00792515"/>
    <w:rsid w:val="0079257E"/>
    <w:rsid w:val="00792619"/>
    <w:rsid w:val="00792647"/>
    <w:rsid w:val="0079264E"/>
    <w:rsid w:val="00792738"/>
    <w:rsid w:val="0079273D"/>
    <w:rsid w:val="00792742"/>
    <w:rsid w:val="00792772"/>
    <w:rsid w:val="0079277B"/>
    <w:rsid w:val="007927D3"/>
    <w:rsid w:val="00792846"/>
    <w:rsid w:val="00792871"/>
    <w:rsid w:val="0079287C"/>
    <w:rsid w:val="007928FA"/>
    <w:rsid w:val="00792955"/>
    <w:rsid w:val="007929D2"/>
    <w:rsid w:val="007929D4"/>
    <w:rsid w:val="007929F0"/>
    <w:rsid w:val="00792A12"/>
    <w:rsid w:val="00792A62"/>
    <w:rsid w:val="00792A77"/>
    <w:rsid w:val="00792A88"/>
    <w:rsid w:val="00792AAE"/>
    <w:rsid w:val="00792AE5"/>
    <w:rsid w:val="00792B17"/>
    <w:rsid w:val="00792B5C"/>
    <w:rsid w:val="00792BA9"/>
    <w:rsid w:val="00792C0D"/>
    <w:rsid w:val="00792C35"/>
    <w:rsid w:val="00792C57"/>
    <w:rsid w:val="00792C7A"/>
    <w:rsid w:val="00792C9C"/>
    <w:rsid w:val="00792CDA"/>
    <w:rsid w:val="00792D12"/>
    <w:rsid w:val="00792D4D"/>
    <w:rsid w:val="00792D5A"/>
    <w:rsid w:val="00792D5D"/>
    <w:rsid w:val="00792D60"/>
    <w:rsid w:val="00792D6C"/>
    <w:rsid w:val="00792DA0"/>
    <w:rsid w:val="00792DD9"/>
    <w:rsid w:val="00792DDD"/>
    <w:rsid w:val="00792DEB"/>
    <w:rsid w:val="00792E07"/>
    <w:rsid w:val="00792E10"/>
    <w:rsid w:val="00792E22"/>
    <w:rsid w:val="00792E28"/>
    <w:rsid w:val="00792E38"/>
    <w:rsid w:val="00792EDC"/>
    <w:rsid w:val="00792F07"/>
    <w:rsid w:val="00792F72"/>
    <w:rsid w:val="00792FFC"/>
    <w:rsid w:val="00793017"/>
    <w:rsid w:val="00793030"/>
    <w:rsid w:val="00793035"/>
    <w:rsid w:val="0079304C"/>
    <w:rsid w:val="00793078"/>
    <w:rsid w:val="00793098"/>
    <w:rsid w:val="007930BC"/>
    <w:rsid w:val="007930F2"/>
    <w:rsid w:val="0079312C"/>
    <w:rsid w:val="00793192"/>
    <w:rsid w:val="007931C5"/>
    <w:rsid w:val="007931F5"/>
    <w:rsid w:val="00793219"/>
    <w:rsid w:val="0079324D"/>
    <w:rsid w:val="0079326C"/>
    <w:rsid w:val="0079327B"/>
    <w:rsid w:val="007932B3"/>
    <w:rsid w:val="007932D6"/>
    <w:rsid w:val="007932E5"/>
    <w:rsid w:val="007932F0"/>
    <w:rsid w:val="0079333B"/>
    <w:rsid w:val="00793352"/>
    <w:rsid w:val="007933B0"/>
    <w:rsid w:val="007933BE"/>
    <w:rsid w:val="0079341E"/>
    <w:rsid w:val="0079343F"/>
    <w:rsid w:val="00793467"/>
    <w:rsid w:val="00793493"/>
    <w:rsid w:val="007934A9"/>
    <w:rsid w:val="007934B7"/>
    <w:rsid w:val="007934C6"/>
    <w:rsid w:val="00793514"/>
    <w:rsid w:val="00793528"/>
    <w:rsid w:val="0079352A"/>
    <w:rsid w:val="00793532"/>
    <w:rsid w:val="0079354D"/>
    <w:rsid w:val="00793579"/>
    <w:rsid w:val="0079360F"/>
    <w:rsid w:val="00793620"/>
    <w:rsid w:val="0079365A"/>
    <w:rsid w:val="00793665"/>
    <w:rsid w:val="00793685"/>
    <w:rsid w:val="007936CC"/>
    <w:rsid w:val="007936E9"/>
    <w:rsid w:val="0079375A"/>
    <w:rsid w:val="0079375C"/>
    <w:rsid w:val="007937E4"/>
    <w:rsid w:val="007937F5"/>
    <w:rsid w:val="00793816"/>
    <w:rsid w:val="00793856"/>
    <w:rsid w:val="00793869"/>
    <w:rsid w:val="007938C6"/>
    <w:rsid w:val="007938E9"/>
    <w:rsid w:val="007939C9"/>
    <w:rsid w:val="007939DE"/>
    <w:rsid w:val="007939EA"/>
    <w:rsid w:val="00793A05"/>
    <w:rsid w:val="00793A20"/>
    <w:rsid w:val="00793A86"/>
    <w:rsid w:val="00793A9F"/>
    <w:rsid w:val="00793AF6"/>
    <w:rsid w:val="00793B93"/>
    <w:rsid w:val="00793BB0"/>
    <w:rsid w:val="00793C05"/>
    <w:rsid w:val="00793C14"/>
    <w:rsid w:val="00793C1B"/>
    <w:rsid w:val="00793C49"/>
    <w:rsid w:val="00793C52"/>
    <w:rsid w:val="00793C5A"/>
    <w:rsid w:val="00793C6F"/>
    <w:rsid w:val="00793C88"/>
    <w:rsid w:val="00793DDA"/>
    <w:rsid w:val="00793E99"/>
    <w:rsid w:val="00793EC0"/>
    <w:rsid w:val="00793F08"/>
    <w:rsid w:val="00793F09"/>
    <w:rsid w:val="00793F3F"/>
    <w:rsid w:val="00794014"/>
    <w:rsid w:val="0079402A"/>
    <w:rsid w:val="00794034"/>
    <w:rsid w:val="0079406A"/>
    <w:rsid w:val="0079408B"/>
    <w:rsid w:val="007940A6"/>
    <w:rsid w:val="007940C2"/>
    <w:rsid w:val="007940D4"/>
    <w:rsid w:val="00794171"/>
    <w:rsid w:val="007941F4"/>
    <w:rsid w:val="007941F8"/>
    <w:rsid w:val="0079420E"/>
    <w:rsid w:val="00794227"/>
    <w:rsid w:val="00794233"/>
    <w:rsid w:val="0079423A"/>
    <w:rsid w:val="0079429B"/>
    <w:rsid w:val="007942C0"/>
    <w:rsid w:val="0079432E"/>
    <w:rsid w:val="00794393"/>
    <w:rsid w:val="00794396"/>
    <w:rsid w:val="007943A2"/>
    <w:rsid w:val="007943F2"/>
    <w:rsid w:val="00794400"/>
    <w:rsid w:val="00794414"/>
    <w:rsid w:val="0079441F"/>
    <w:rsid w:val="007944A2"/>
    <w:rsid w:val="0079452C"/>
    <w:rsid w:val="00794541"/>
    <w:rsid w:val="0079458D"/>
    <w:rsid w:val="00794593"/>
    <w:rsid w:val="00794598"/>
    <w:rsid w:val="007945BB"/>
    <w:rsid w:val="007945D9"/>
    <w:rsid w:val="0079460B"/>
    <w:rsid w:val="0079463C"/>
    <w:rsid w:val="00794667"/>
    <w:rsid w:val="007947C2"/>
    <w:rsid w:val="0079485F"/>
    <w:rsid w:val="00794875"/>
    <w:rsid w:val="00794894"/>
    <w:rsid w:val="007948A8"/>
    <w:rsid w:val="007948D5"/>
    <w:rsid w:val="0079490F"/>
    <w:rsid w:val="007949A0"/>
    <w:rsid w:val="007949D7"/>
    <w:rsid w:val="00794A07"/>
    <w:rsid w:val="00794A1E"/>
    <w:rsid w:val="00794A2D"/>
    <w:rsid w:val="00794A3A"/>
    <w:rsid w:val="00794A47"/>
    <w:rsid w:val="00794A75"/>
    <w:rsid w:val="00794A7C"/>
    <w:rsid w:val="00794AA6"/>
    <w:rsid w:val="00794ABB"/>
    <w:rsid w:val="00794AF3"/>
    <w:rsid w:val="00794AFE"/>
    <w:rsid w:val="00794B49"/>
    <w:rsid w:val="00794B5E"/>
    <w:rsid w:val="00794B6C"/>
    <w:rsid w:val="00794B93"/>
    <w:rsid w:val="00794BB7"/>
    <w:rsid w:val="00794C13"/>
    <w:rsid w:val="00794C51"/>
    <w:rsid w:val="00794C54"/>
    <w:rsid w:val="00794C56"/>
    <w:rsid w:val="00794C7B"/>
    <w:rsid w:val="00794CB1"/>
    <w:rsid w:val="00794CBA"/>
    <w:rsid w:val="00794D18"/>
    <w:rsid w:val="00794D31"/>
    <w:rsid w:val="00794D47"/>
    <w:rsid w:val="00794D82"/>
    <w:rsid w:val="00794D89"/>
    <w:rsid w:val="00794D99"/>
    <w:rsid w:val="00794D9C"/>
    <w:rsid w:val="00794DBE"/>
    <w:rsid w:val="00794DC3"/>
    <w:rsid w:val="00794DE7"/>
    <w:rsid w:val="00794E64"/>
    <w:rsid w:val="00794E85"/>
    <w:rsid w:val="00794EC4"/>
    <w:rsid w:val="00794EE2"/>
    <w:rsid w:val="00794EF4"/>
    <w:rsid w:val="00794FA4"/>
    <w:rsid w:val="0079500E"/>
    <w:rsid w:val="00795021"/>
    <w:rsid w:val="0079502D"/>
    <w:rsid w:val="00795034"/>
    <w:rsid w:val="0079505A"/>
    <w:rsid w:val="00795067"/>
    <w:rsid w:val="00795068"/>
    <w:rsid w:val="00795099"/>
    <w:rsid w:val="0079509D"/>
    <w:rsid w:val="007950CA"/>
    <w:rsid w:val="007950DC"/>
    <w:rsid w:val="007950FE"/>
    <w:rsid w:val="0079513C"/>
    <w:rsid w:val="0079519D"/>
    <w:rsid w:val="007951CC"/>
    <w:rsid w:val="0079520B"/>
    <w:rsid w:val="0079527D"/>
    <w:rsid w:val="007952F1"/>
    <w:rsid w:val="00795302"/>
    <w:rsid w:val="0079533B"/>
    <w:rsid w:val="00795363"/>
    <w:rsid w:val="00795370"/>
    <w:rsid w:val="0079538A"/>
    <w:rsid w:val="0079538B"/>
    <w:rsid w:val="00795393"/>
    <w:rsid w:val="0079539D"/>
    <w:rsid w:val="0079543D"/>
    <w:rsid w:val="00795460"/>
    <w:rsid w:val="00795483"/>
    <w:rsid w:val="00795499"/>
    <w:rsid w:val="007954F2"/>
    <w:rsid w:val="00795535"/>
    <w:rsid w:val="0079554C"/>
    <w:rsid w:val="0079555D"/>
    <w:rsid w:val="00795607"/>
    <w:rsid w:val="00795668"/>
    <w:rsid w:val="0079566F"/>
    <w:rsid w:val="00795675"/>
    <w:rsid w:val="0079568B"/>
    <w:rsid w:val="007956B7"/>
    <w:rsid w:val="007956DA"/>
    <w:rsid w:val="007956E4"/>
    <w:rsid w:val="007956F5"/>
    <w:rsid w:val="0079573C"/>
    <w:rsid w:val="00795772"/>
    <w:rsid w:val="0079579C"/>
    <w:rsid w:val="0079579E"/>
    <w:rsid w:val="007957F0"/>
    <w:rsid w:val="00795809"/>
    <w:rsid w:val="0079580C"/>
    <w:rsid w:val="0079581D"/>
    <w:rsid w:val="0079586D"/>
    <w:rsid w:val="00795904"/>
    <w:rsid w:val="00795906"/>
    <w:rsid w:val="0079591D"/>
    <w:rsid w:val="00795951"/>
    <w:rsid w:val="00795956"/>
    <w:rsid w:val="0079596C"/>
    <w:rsid w:val="00795A23"/>
    <w:rsid w:val="00795A40"/>
    <w:rsid w:val="00795A7C"/>
    <w:rsid w:val="00795B5B"/>
    <w:rsid w:val="00795B82"/>
    <w:rsid w:val="00795B87"/>
    <w:rsid w:val="00795BF5"/>
    <w:rsid w:val="00795C0E"/>
    <w:rsid w:val="00795C6C"/>
    <w:rsid w:val="00795C72"/>
    <w:rsid w:val="00795C99"/>
    <w:rsid w:val="00795CE4"/>
    <w:rsid w:val="00795D22"/>
    <w:rsid w:val="00795D3A"/>
    <w:rsid w:val="00795D7A"/>
    <w:rsid w:val="00795DFA"/>
    <w:rsid w:val="00795E0B"/>
    <w:rsid w:val="00795E4B"/>
    <w:rsid w:val="00795E4E"/>
    <w:rsid w:val="00795E61"/>
    <w:rsid w:val="00795EA0"/>
    <w:rsid w:val="00795EAF"/>
    <w:rsid w:val="00795EBB"/>
    <w:rsid w:val="00795EDE"/>
    <w:rsid w:val="00795EE4"/>
    <w:rsid w:val="00795F16"/>
    <w:rsid w:val="00795F97"/>
    <w:rsid w:val="00795F98"/>
    <w:rsid w:val="00795FD4"/>
    <w:rsid w:val="00795FDD"/>
    <w:rsid w:val="0079600B"/>
    <w:rsid w:val="0079602F"/>
    <w:rsid w:val="00796071"/>
    <w:rsid w:val="007960A7"/>
    <w:rsid w:val="007960DA"/>
    <w:rsid w:val="0079615B"/>
    <w:rsid w:val="00796196"/>
    <w:rsid w:val="00796199"/>
    <w:rsid w:val="007961AD"/>
    <w:rsid w:val="007961B9"/>
    <w:rsid w:val="00796218"/>
    <w:rsid w:val="0079622A"/>
    <w:rsid w:val="0079622E"/>
    <w:rsid w:val="00796256"/>
    <w:rsid w:val="00796265"/>
    <w:rsid w:val="0079626F"/>
    <w:rsid w:val="007962BE"/>
    <w:rsid w:val="0079632F"/>
    <w:rsid w:val="00796330"/>
    <w:rsid w:val="00796343"/>
    <w:rsid w:val="00796363"/>
    <w:rsid w:val="00796381"/>
    <w:rsid w:val="007963BD"/>
    <w:rsid w:val="00796417"/>
    <w:rsid w:val="0079642D"/>
    <w:rsid w:val="00796456"/>
    <w:rsid w:val="0079646B"/>
    <w:rsid w:val="00796498"/>
    <w:rsid w:val="007964A6"/>
    <w:rsid w:val="007964C4"/>
    <w:rsid w:val="007964F4"/>
    <w:rsid w:val="0079656E"/>
    <w:rsid w:val="007965DF"/>
    <w:rsid w:val="007965E9"/>
    <w:rsid w:val="0079663E"/>
    <w:rsid w:val="00796668"/>
    <w:rsid w:val="0079666C"/>
    <w:rsid w:val="007966E5"/>
    <w:rsid w:val="00796760"/>
    <w:rsid w:val="0079676F"/>
    <w:rsid w:val="007967AB"/>
    <w:rsid w:val="007967F6"/>
    <w:rsid w:val="00796824"/>
    <w:rsid w:val="00796852"/>
    <w:rsid w:val="007968B6"/>
    <w:rsid w:val="007968CF"/>
    <w:rsid w:val="007968D4"/>
    <w:rsid w:val="00796985"/>
    <w:rsid w:val="0079698A"/>
    <w:rsid w:val="007969A6"/>
    <w:rsid w:val="007969EA"/>
    <w:rsid w:val="00796A47"/>
    <w:rsid w:val="00796AB4"/>
    <w:rsid w:val="00796AFE"/>
    <w:rsid w:val="00796C38"/>
    <w:rsid w:val="00796C51"/>
    <w:rsid w:val="00796D09"/>
    <w:rsid w:val="00796D22"/>
    <w:rsid w:val="00796D99"/>
    <w:rsid w:val="00796E61"/>
    <w:rsid w:val="00796E65"/>
    <w:rsid w:val="00796E71"/>
    <w:rsid w:val="00796E96"/>
    <w:rsid w:val="00796F9E"/>
    <w:rsid w:val="00796FA0"/>
    <w:rsid w:val="00796FAD"/>
    <w:rsid w:val="00796FB3"/>
    <w:rsid w:val="00796FE5"/>
    <w:rsid w:val="00796FEA"/>
    <w:rsid w:val="0079703B"/>
    <w:rsid w:val="00797044"/>
    <w:rsid w:val="00797058"/>
    <w:rsid w:val="0079706D"/>
    <w:rsid w:val="007970B3"/>
    <w:rsid w:val="007970FE"/>
    <w:rsid w:val="00797108"/>
    <w:rsid w:val="00797120"/>
    <w:rsid w:val="00797125"/>
    <w:rsid w:val="00797256"/>
    <w:rsid w:val="007972B5"/>
    <w:rsid w:val="00797310"/>
    <w:rsid w:val="0079731A"/>
    <w:rsid w:val="00797351"/>
    <w:rsid w:val="007973C9"/>
    <w:rsid w:val="0079740F"/>
    <w:rsid w:val="0079741A"/>
    <w:rsid w:val="00797450"/>
    <w:rsid w:val="007974DB"/>
    <w:rsid w:val="007974DE"/>
    <w:rsid w:val="007974EC"/>
    <w:rsid w:val="00797531"/>
    <w:rsid w:val="00797578"/>
    <w:rsid w:val="0079759F"/>
    <w:rsid w:val="007975B8"/>
    <w:rsid w:val="007975DD"/>
    <w:rsid w:val="007975F2"/>
    <w:rsid w:val="00797629"/>
    <w:rsid w:val="0079763A"/>
    <w:rsid w:val="00797646"/>
    <w:rsid w:val="00797676"/>
    <w:rsid w:val="0079767C"/>
    <w:rsid w:val="00797697"/>
    <w:rsid w:val="00797744"/>
    <w:rsid w:val="0079776D"/>
    <w:rsid w:val="007977C2"/>
    <w:rsid w:val="007977D2"/>
    <w:rsid w:val="007977F4"/>
    <w:rsid w:val="0079781D"/>
    <w:rsid w:val="00797822"/>
    <w:rsid w:val="00797861"/>
    <w:rsid w:val="00797864"/>
    <w:rsid w:val="00797873"/>
    <w:rsid w:val="007978B1"/>
    <w:rsid w:val="007978D4"/>
    <w:rsid w:val="007978F8"/>
    <w:rsid w:val="00797927"/>
    <w:rsid w:val="00797933"/>
    <w:rsid w:val="0079795A"/>
    <w:rsid w:val="00797979"/>
    <w:rsid w:val="0079797F"/>
    <w:rsid w:val="007979DE"/>
    <w:rsid w:val="00797A20"/>
    <w:rsid w:val="00797A71"/>
    <w:rsid w:val="00797A98"/>
    <w:rsid w:val="00797AB0"/>
    <w:rsid w:val="00797ADC"/>
    <w:rsid w:val="00797AF6"/>
    <w:rsid w:val="00797B28"/>
    <w:rsid w:val="00797B40"/>
    <w:rsid w:val="00797B9E"/>
    <w:rsid w:val="00797C2C"/>
    <w:rsid w:val="00797C58"/>
    <w:rsid w:val="00797C68"/>
    <w:rsid w:val="00797CCB"/>
    <w:rsid w:val="00797CD4"/>
    <w:rsid w:val="00797D20"/>
    <w:rsid w:val="00797D24"/>
    <w:rsid w:val="00797DBB"/>
    <w:rsid w:val="00797DCC"/>
    <w:rsid w:val="00797E28"/>
    <w:rsid w:val="00797E36"/>
    <w:rsid w:val="00797E69"/>
    <w:rsid w:val="00797E9A"/>
    <w:rsid w:val="00797EA1"/>
    <w:rsid w:val="00797F80"/>
    <w:rsid w:val="00797FD9"/>
    <w:rsid w:val="00797FDE"/>
    <w:rsid w:val="007A00EC"/>
    <w:rsid w:val="007A00F6"/>
    <w:rsid w:val="007A00F7"/>
    <w:rsid w:val="007A010C"/>
    <w:rsid w:val="007A0129"/>
    <w:rsid w:val="007A015A"/>
    <w:rsid w:val="007A017B"/>
    <w:rsid w:val="007A019E"/>
    <w:rsid w:val="007A01CB"/>
    <w:rsid w:val="007A01F2"/>
    <w:rsid w:val="007A01FD"/>
    <w:rsid w:val="007A0201"/>
    <w:rsid w:val="007A0209"/>
    <w:rsid w:val="007A0275"/>
    <w:rsid w:val="007A0299"/>
    <w:rsid w:val="007A0325"/>
    <w:rsid w:val="007A03AB"/>
    <w:rsid w:val="007A03B5"/>
    <w:rsid w:val="007A03B7"/>
    <w:rsid w:val="007A03F7"/>
    <w:rsid w:val="007A0462"/>
    <w:rsid w:val="007A04DA"/>
    <w:rsid w:val="007A04F3"/>
    <w:rsid w:val="007A0503"/>
    <w:rsid w:val="007A051E"/>
    <w:rsid w:val="007A053F"/>
    <w:rsid w:val="007A056C"/>
    <w:rsid w:val="007A056D"/>
    <w:rsid w:val="007A057D"/>
    <w:rsid w:val="007A05A5"/>
    <w:rsid w:val="007A05AD"/>
    <w:rsid w:val="007A05B2"/>
    <w:rsid w:val="007A05B4"/>
    <w:rsid w:val="007A05D0"/>
    <w:rsid w:val="007A05FE"/>
    <w:rsid w:val="007A0662"/>
    <w:rsid w:val="007A0733"/>
    <w:rsid w:val="007A075F"/>
    <w:rsid w:val="007A0780"/>
    <w:rsid w:val="007A07AA"/>
    <w:rsid w:val="007A07B6"/>
    <w:rsid w:val="007A07E7"/>
    <w:rsid w:val="007A082B"/>
    <w:rsid w:val="007A0857"/>
    <w:rsid w:val="007A0858"/>
    <w:rsid w:val="007A087A"/>
    <w:rsid w:val="007A087B"/>
    <w:rsid w:val="007A08B6"/>
    <w:rsid w:val="007A08DC"/>
    <w:rsid w:val="007A08FD"/>
    <w:rsid w:val="007A09E0"/>
    <w:rsid w:val="007A0A21"/>
    <w:rsid w:val="007A0AB6"/>
    <w:rsid w:val="007A0B3E"/>
    <w:rsid w:val="007A0BB6"/>
    <w:rsid w:val="007A0BB7"/>
    <w:rsid w:val="007A0BBD"/>
    <w:rsid w:val="007A0C6E"/>
    <w:rsid w:val="007A0C7B"/>
    <w:rsid w:val="007A0C7C"/>
    <w:rsid w:val="007A0D38"/>
    <w:rsid w:val="007A0DB7"/>
    <w:rsid w:val="007A0E67"/>
    <w:rsid w:val="007A0EE7"/>
    <w:rsid w:val="007A0EF1"/>
    <w:rsid w:val="007A0EF6"/>
    <w:rsid w:val="007A0F30"/>
    <w:rsid w:val="007A0F90"/>
    <w:rsid w:val="007A0F97"/>
    <w:rsid w:val="007A0FBF"/>
    <w:rsid w:val="007A0FF0"/>
    <w:rsid w:val="007A101B"/>
    <w:rsid w:val="007A10AD"/>
    <w:rsid w:val="007A10C0"/>
    <w:rsid w:val="007A10C4"/>
    <w:rsid w:val="007A10E2"/>
    <w:rsid w:val="007A10EA"/>
    <w:rsid w:val="007A10FB"/>
    <w:rsid w:val="007A112A"/>
    <w:rsid w:val="007A1176"/>
    <w:rsid w:val="007A11DA"/>
    <w:rsid w:val="007A123D"/>
    <w:rsid w:val="007A12BC"/>
    <w:rsid w:val="007A12D1"/>
    <w:rsid w:val="007A12D8"/>
    <w:rsid w:val="007A1305"/>
    <w:rsid w:val="007A1330"/>
    <w:rsid w:val="007A135F"/>
    <w:rsid w:val="007A137D"/>
    <w:rsid w:val="007A1392"/>
    <w:rsid w:val="007A139E"/>
    <w:rsid w:val="007A147B"/>
    <w:rsid w:val="007A14A3"/>
    <w:rsid w:val="007A14D0"/>
    <w:rsid w:val="007A1505"/>
    <w:rsid w:val="007A150E"/>
    <w:rsid w:val="007A1516"/>
    <w:rsid w:val="007A155A"/>
    <w:rsid w:val="007A1571"/>
    <w:rsid w:val="007A1573"/>
    <w:rsid w:val="007A1589"/>
    <w:rsid w:val="007A1600"/>
    <w:rsid w:val="007A161A"/>
    <w:rsid w:val="007A1642"/>
    <w:rsid w:val="007A1651"/>
    <w:rsid w:val="007A16AA"/>
    <w:rsid w:val="007A16C7"/>
    <w:rsid w:val="007A1739"/>
    <w:rsid w:val="007A174C"/>
    <w:rsid w:val="007A175B"/>
    <w:rsid w:val="007A176B"/>
    <w:rsid w:val="007A177F"/>
    <w:rsid w:val="007A17A1"/>
    <w:rsid w:val="007A17A9"/>
    <w:rsid w:val="007A17C4"/>
    <w:rsid w:val="007A17F3"/>
    <w:rsid w:val="007A188F"/>
    <w:rsid w:val="007A18DA"/>
    <w:rsid w:val="007A1904"/>
    <w:rsid w:val="007A192A"/>
    <w:rsid w:val="007A1947"/>
    <w:rsid w:val="007A1976"/>
    <w:rsid w:val="007A1982"/>
    <w:rsid w:val="007A19D2"/>
    <w:rsid w:val="007A19E4"/>
    <w:rsid w:val="007A19F0"/>
    <w:rsid w:val="007A1ACF"/>
    <w:rsid w:val="007A1AEC"/>
    <w:rsid w:val="007A1AF4"/>
    <w:rsid w:val="007A1AFE"/>
    <w:rsid w:val="007A1B1A"/>
    <w:rsid w:val="007A1BDA"/>
    <w:rsid w:val="007A1BFA"/>
    <w:rsid w:val="007A1C00"/>
    <w:rsid w:val="007A1C1B"/>
    <w:rsid w:val="007A1C59"/>
    <w:rsid w:val="007A1CC0"/>
    <w:rsid w:val="007A1CE7"/>
    <w:rsid w:val="007A1CFB"/>
    <w:rsid w:val="007A1D20"/>
    <w:rsid w:val="007A1D28"/>
    <w:rsid w:val="007A1D62"/>
    <w:rsid w:val="007A1DAD"/>
    <w:rsid w:val="007A1DC5"/>
    <w:rsid w:val="007A1DDC"/>
    <w:rsid w:val="007A1DFC"/>
    <w:rsid w:val="007A1E5F"/>
    <w:rsid w:val="007A1EA9"/>
    <w:rsid w:val="007A1F7C"/>
    <w:rsid w:val="007A1FA3"/>
    <w:rsid w:val="007A1FDC"/>
    <w:rsid w:val="007A2013"/>
    <w:rsid w:val="007A204E"/>
    <w:rsid w:val="007A2105"/>
    <w:rsid w:val="007A216E"/>
    <w:rsid w:val="007A217E"/>
    <w:rsid w:val="007A21FD"/>
    <w:rsid w:val="007A2225"/>
    <w:rsid w:val="007A2229"/>
    <w:rsid w:val="007A223F"/>
    <w:rsid w:val="007A2244"/>
    <w:rsid w:val="007A2247"/>
    <w:rsid w:val="007A2254"/>
    <w:rsid w:val="007A227C"/>
    <w:rsid w:val="007A22B7"/>
    <w:rsid w:val="007A22E4"/>
    <w:rsid w:val="007A22F9"/>
    <w:rsid w:val="007A230E"/>
    <w:rsid w:val="007A23CB"/>
    <w:rsid w:val="007A23DB"/>
    <w:rsid w:val="007A23F8"/>
    <w:rsid w:val="007A245D"/>
    <w:rsid w:val="007A249E"/>
    <w:rsid w:val="007A2530"/>
    <w:rsid w:val="007A2548"/>
    <w:rsid w:val="007A255B"/>
    <w:rsid w:val="007A255F"/>
    <w:rsid w:val="007A256D"/>
    <w:rsid w:val="007A256F"/>
    <w:rsid w:val="007A2589"/>
    <w:rsid w:val="007A25A7"/>
    <w:rsid w:val="007A25CC"/>
    <w:rsid w:val="007A25D7"/>
    <w:rsid w:val="007A2647"/>
    <w:rsid w:val="007A2709"/>
    <w:rsid w:val="007A270A"/>
    <w:rsid w:val="007A273D"/>
    <w:rsid w:val="007A2766"/>
    <w:rsid w:val="007A278F"/>
    <w:rsid w:val="007A280B"/>
    <w:rsid w:val="007A280E"/>
    <w:rsid w:val="007A2838"/>
    <w:rsid w:val="007A2848"/>
    <w:rsid w:val="007A287C"/>
    <w:rsid w:val="007A287F"/>
    <w:rsid w:val="007A28A7"/>
    <w:rsid w:val="007A28B5"/>
    <w:rsid w:val="007A28D0"/>
    <w:rsid w:val="007A28E2"/>
    <w:rsid w:val="007A2905"/>
    <w:rsid w:val="007A296F"/>
    <w:rsid w:val="007A29AA"/>
    <w:rsid w:val="007A29AF"/>
    <w:rsid w:val="007A29D2"/>
    <w:rsid w:val="007A2A37"/>
    <w:rsid w:val="007A2ACD"/>
    <w:rsid w:val="007A2AD1"/>
    <w:rsid w:val="007A2B62"/>
    <w:rsid w:val="007A2BCD"/>
    <w:rsid w:val="007A2C42"/>
    <w:rsid w:val="007A2C59"/>
    <w:rsid w:val="007A2CAB"/>
    <w:rsid w:val="007A2D62"/>
    <w:rsid w:val="007A2D8A"/>
    <w:rsid w:val="007A2DA4"/>
    <w:rsid w:val="007A2DD8"/>
    <w:rsid w:val="007A2E0B"/>
    <w:rsid w:val="007A2E35"/>
    <w:rsid w:val="007A2E6A"/>
    <w:rsid w:val="007A2F2A"/>
    <w:rsid w:val="007A2F64"/>
    <w:rsid w:val="007A2FA4"/>
    <w:rsid w:val="007A2FB3"/>
    <w:rsid w:val="007A2FBE"/>
    <w:rsid w:val="007A2FC7"/>
    <w:rsid w:val="007A3059"/>
    <w:rsid w:val="007A30C3"/>
    <w:rsid w:val="007A30E0"/>
    <w:rsid w:val="007A30EE"/>
    <w:rsid w:val="007A3130"/>
    <w:rsid w:val="007A313C"/>
    <w:rsid w:val="007A319F"/>
    <w:rsid w:val="007A31D1"/>
    <w:rsid w:val="007A31D6"/>
    <w:rsid w:val="007A3208"/>
    <w:rsid w:val="007A320C"/>
    <w:rsid w:val="007A3223"/>
    <w:rsid w:val="007A3267"/>
    <w:rsid w:val="007A3271"/>
    <w:rsid w:val="007A327D"/>
    <w:rsid w:val="007A330F"/>
    <w:rsid w:val="007A331C"/>
    <w:rsid w:val="007A333B"/>
    <w:rsid w:val="007A3363"/>
    <w:rsid w:val="007A339F"/>
    <w:rsid w:val="007A33C3"/>
    <w:rsid w:val="007A33CA"/>
    <w:rsid w:val="007A33F4"/>
    <w:rsid w:val="007A345D"/>
    <w:rsid w:val="007A3467"/>
    <w:rsid w:val="007A348C"/>
    <w:rsid w:val="007A34BA"/>
    <w:rsid w:val="007A3515"/>
    <w:rsid w:val="007A3548"/>
    <w:rsid w:val="007A3554"/>
    <w:rsid w:val="007A3589"/>
    <w:rsid w:val="007A362E"/>
    <w:rsid w:val="007A366C"/>
    <w:rsid w:val="007A3671"/>
    <w:rsid w:val="007A3683"/>
    <w:rsid w:val="007A36C0"/>
    <w:rsid w:val="007A36C7"/>
    <w:rsid w:val="007A372B"/>
    <w:rsid w:val="007A374F"/>
    <w:rsid w:val="007A3755"/>
    <w:rsid w:val="007A37BA"/>
    <w:rsid w:val="007A37DF"/>
    <w:rsid w:val="007A37F6"/>
    <w:rsid w:val="007A3806"/>
    <w:rsid w:val="007A3845"/>
    <w:rsid w:val="007A3867"/>
    <w:rsid w:val="007A3876"/>
    <w:rsid w:val="007A38A1"/>
    <w:rsid w:val="007A38FA"/>
    <w:rsid w:val="007A3903"/>
    <w:rsid w:val="007A3928"/>
    <w:rsid w:val="007A39C3"/>
    <w:rsid w:val="007A39F9"/>
    <w:rsid w:val="007A3A02"/>
    <w:rsid w:val="007A3A35"/>
    <w:rsid w:val="007A3A9B"/>
    <w:rsid w:val="007A3B34"/>
    <w:rsid w:val="007A3B6F"/>
    <w:rsid w:val="007A3BB7"/>
    <w:rsid w:val="007A3BEE"/>
    <w:rsid w:val="007A3C41"/>
    <w:rsid w:val="007A3C97"/>
    <w:rsid w:val="007A3CA0"/>
    <w:rsid w:val="007A3CBE"/>
    <w:rsid w:val="007A3CC0"/>
    <w:rsid w:val="007A3CC3"/>
    <w:rsid w:val="007A3CEB"/>
    <w:rsid w:val="007A3CF8"/>
    <w:rsid w:val="007A3D21"/>
    <w:rsid w:val="007A3DB0"/>
    <w:rsid w:val="007A3DCC"/>
    <w:rsid w:val="007A3DD7"/>
    <w:rsid w:val="007A3E0D"/>
    <w:rsid w:val="007A3E1F"/>
    <w:rsid w:val="007A3F0B"/>
    <w:rsid w:val="007A3F97"/>
    <w:rsid w:val="007A3FEB"/>
    <w:rsid w:val="007A4028"/>
    <w:rsid w:val="007A408D"/>
    <w:rsid w:val="007A410F"/>
    <w:rsid w:val="007A415B"/>
    <w:rsid w:val="007A41FC"/>
    <w:rsid w:val="007A4206"/>
    <w:rsid w:val="007A424C"/>
    <w:rsid w:val="007A4276"/>
    <w:rsid w:val="007A42E9"/>
    <w:rsid w:val="007A42EA"/>
    <w:rsid w:val="007A433C"/>
    <w:rsid w:val="007A4385"/>
    <w:rsid w:val="007A4399"/>
    <w:rsid w:val="007A4432"/>
    <w:rsid w:val="007A4447"/>
    <w:rsid w:val="007A448E"/>
    <w:rsid w:val="007A44BA"/>
    <w:rsid w:val="007A44C6"/>
    <w:rsid w:val="007A4529"/>
    <w:rsid w:val="007A454D"/>
    <w:rsid w:val="007A45DF"/>
    <w:rsid w:val="007A4618"/>
    <w:rsid w:val="007A461C"/>
    <w:rsid w:val="007A4657"/>
    <w:rsid w:val="007A4696"/>
    <w:rsid w:val="007A46E3"/>
    <w:rsid w:val="007A46F1"/>
    <w:rsid w:val="007A4728"/>
    <w:rsid w:val="007A4788"/>
    <w:rsid w:val="007A479B"/>
    <w:rsid w:val="007A47AC"/>
    <w:rsid w:val="007A47BC"/>
    <w:rsid w:val="007A47F5"/>
    <w:rsid w:val="007A47FD"/>
    <w:rsid w:val="007A482C"/>
    <w:rsid w:val="007A483C"/>
    <w:rsid w:val="007A484C"/>
    <w:rsid w:val="007A484D"/>
    <w:rsid w:val="007A489C"/>
    <w:rsid w:val="007A489F"/>
    <w:rsid w:val="007A48C1"/>
    <w:rsid w:val="007A48C9"/>
    <w:rsid w:val="007A4911"/>
    <w:rsid w:val="007A4928"/>
    <w:rsid w:val="007A498B"/>
    <w:rsid w:val="007A49B2"/>
    <w:rsid w:val="007A49C5"/>
    <w:rsid w:val="007A49C8"/>
    <w:rsid w:val="007A4A62"/>
    <w:rsid w:val="007A4A6C"/>
    <w:rsid w:val="007A4A7A"/>
    <w:rsid w:val="007A4A7F"/>
    <w:rsid w:val="007A4AA2"/>
    <w:rsid w:val="007A4AEF"/>
    <w:rsid w:val="007A4B34"/>
    <w:rsid w:val="007A4B54"/>
    <w:rsid w:val="007A4B75"/>
    <w:rsid w:val="007A4B84"/>
    <w:rsid w:val="007A4BA3"/>
    <w:rsid w:val="007A4BC4"/>
    <w:rsid w:val="007A4C08"/>
    <w:rsid w:val="007A4C15"/>
    <w:rsid w:val="007A4C22"/>
    <w:rsid w:val="007A4C3B"/>
    <w:rsid w:val="007A4C43"/>
    <w:rsid w:val="007A4C50"/>
    <w:rsid w:val="007A4D61"/>
    <w:rsid w:val="007A4D8F"/>
    <w:rsid w:val="007A4DB5"/>
    <w:rsid w:val="007A4E06"/>
    <w:rsid w:val="007A4E22"/>
    <w:rsid w:val="007A4E44"/>
    <w:rsid w:val="007A4E5E"/>
    <w:rsid w:val="007A4EAC"/>
    <w:rsid w:val="007A4EB4"/>
    <w:rsid w:val="007A4F2B"/>
    <w:rsid w:val="007A4F37"/>
    <w:rsid w:val="007A4FAB"/>
    <w:rsid w:val="007A4FEC"/>
    <w:rsid w:val="007A5009"/>
    <w:rsid w:val="007A500E"/>
    <w:rsid w:val="007A5010"/>
    <w:rsid w:val="007A5099"/>
    <w:rsid w:val="007A50AA"/>
    <w:rsid w:val="007A5164"/>
    <w:rsid w:val="007A5194"/>
    <w:rsid w:val="007A51AD"/>
    <w:rsid w:val="007A51F8"/>
    <w:rsid w:val="007A523F"/>
    <w:rsid w:val="007A525E"/>
    <w:rsid w:val="007A5278"/>
    <w:rsid w:val="007A531F"/>
    <w:rsid w:val="007A5325"/>
    <w:rsid w:val="007A5326"/>
    <w:rsid w:val="007A5327"/>
    <w:rsid w:val="007A5356"/>
    <w:rsid w:val="007A5362"/>
    <w:rsid w:val="007A5369"/>
    <w:rsid w:val="007A5376"/>
    <w:rsid w:val="007A53C8"/>
    <w:rsid w:val="007A53DE"/>
    <w:rsid w:val="007A53E3"/>
    <w:rsid w:val="007A5435"/>
    <w:rsid w:val="007A543C"/>
    <w:rsid w:val="007A549B"/>
    <w:rsid w:val="007A54C7"/>
    <w:rsid w:val="007A54F5"/>
    <w:rsid w:val="007A554A"/>
    <w:rsid w:val="007A555E"/>
    <w:rsid w:val="007A555F"/>
    <w:rsid w:val="007A5584"/>
    <w:rsid w:val="007A5589"/>
    <w:rsid w:val="007A559A"/>
    <w:rsid w:val="007A55B7"/>
    <w:rsid w:val="007A55C4"/>
    <w:rsid w:val="007A55EA"/>
    <w:rsid w:val="007A55F2"/>
    <w:rsid w:val="007A564C"/>
    <w:rsid w:val="007A5653"/>
    <w:rsid w:val="007A566D"/>
    <w:rsid w:val="007A567E"/>
    <w:rsid w:val="007A5693"/>
    <w:rsid w:val="007A56B5"/>
    <w:rsid w:val="007A56BD"/>
    <w:rsid w:val="007A56CC"/>
    <w:rsid w:val="007A56E3"/>
    <w:rsid w:val="007A56EC"/>
    <w:rsid w:val="007A5735"/>
    <w:rsid w:val="007A57C2"/>
    <w:rsid w:val="007A586E"/>
    <w:rsid w:val="007A587A"/>
    <w:rsid w:val="007A58A6"/>
    <w:rsid w:val="007A58D1"/>
    <w:rsid w:val="007A58E9"/>
    <w:rsid w:val="007A58FA"/>
    <w:rsid w:val="007A5910"/>
    <w:rsid w:val="007A59A0"/>
    <w:rsid w:val="007A5A1A"/>
    <w:rsid w:val="007A5A20"/>
    <w:rsid w:val="007A5A34"/>
    <w:rsid w:val="007A5A41"/>
    <w:rsid w:val="007A5A55"/>
    <w:rsid w:val="007A5A8F"/>
    <w:rsid w:val="007A5B42"/>
    <w:rsid w:val="007A5B4F"/>
    <w:rsid w:val="007A5B8E"/>
    <w:rsid w:val="007A5B8F"/>
    <w:rsid w:val="007A5BEB"/>
    <w:rsid w:val="007A5C4F"/>
    <w:rsid w:val="007A5C7E"/>
    <w:rsid w:val="007A5C98"/>
    <w:rsid w:val="007A5C9C"/>
    <w:rsid w:val="007A5D0B"/>
    <w:rsid w:val="007A5DB0"/>
    <w:rsid w:val="007A5DEA"/>
    <w:rsid w:val="007A5E82"/>
    <w:rsid w:val="007A5E96"/>
    <w:rsid w:val="007A5EB3"/>
    <w:rsid w:val="007A5EE5"/>
    <w:rsid w:val="007A5F05"/>
    <w:rsid w:val="007A5F0D"/>
    <w:rsid w:val="007A5F1E"/>
    <w:rsid w:val="007A5F37"/>
    <w:rsid w:val="007A5F3C"/>
    <w:rsid w:val="007A5F5B"/>
    <w:rsid w:val="007A5F91"/>
    <w:rsid w:val="007A5FA2"/>
    <w:rsid w:val="007A5FB7"/>
    <w:rsid w:val="007A5FDE"/>
    <w:rsid w:val="007A603B"/>
    <w:rsid w:val="007A604B"/>
    <w:rsid w:val="007A604E"/>
    <w:rsid w:val="007A6052"/>
    <w:rsid w:val="007A60C7"/>
    <w:rsid w:val="007A60D6"/>
    <w:rsid w:val="007A60F2"/>
    <w:rsid w:val="007A610D"/>
    <w:rsid w:val="007A6165"/>
    <w:rsid w:val="007A6173"/>
    <w:rsid w:val="007A61A7"/>
    <w:rsid w:val="007A61ED"/>
    <w:rsid w:val="007A6203"/>
    <w:rsid w:val="007A6231"/>
    <w:rsid w:val="007A6235"/>
    <w:rsid w:val="007A6274"/>
    <w:rsid w:val="007A6287"/>
    <w:rsid w:val="007A6299"/>
    <w:rsid w:val="007A630F"/>
    <w:rsid w:val="007A6320"/>
    <w:rsid w:val="007A6321"/>
    <w:rsid w:val="007A633D"/>
    <w:rsid w:val="007A63F3"/>
    <w:rsid w:val="007A6456"/>
    <w:rsid w:val="007A645D"/>
    <w:rsid w:val="007A645F"/>
    <w:rsid w:val="007A6468"/>
    <w:rsid w:val="007A64C4"/>
    <w:rsid w:val="007A6560"/>
    <w:rsid w:val="007A65E3"/>
    <w:rsid w:val="007A66CF"/>
    <w:rsid w:val="007A66EF"/>
    <w:rsid w:val="007A6735"/>
    <w:rsid w:val="007A675A"/>
    <w:rsid w:val="007A6762"/>
    <w:rsid w:val="007A67BF"/>
    <w:rsid w:val="007A6817"/>
    <w:rsid w:val="007A6826"/>
    <w:rsid w:val="007A68CB"/>
    <w:rsid w:val="007A690F"/>
    <w:rsid w:val="007A6915"/>
    <w:rsid w:val="007A692F"/>
    <w:rsid w:val="007A6972"/>
    <w:rsid w:val="007A6993"/>
    <w:rsid w:val="007A6A31"/>
    <w:rsid w:val="007A6A33"/>
    <w:rsid w:val="007A6A92"/>
    <w:rsid w:val="007A6ACB"/>
    <w:rsid w:val="007A6ADF"/>
    <w:rsid w:val="007A6AFE"/>
    <w:rsid w:val="007A6BA6"/>
    <w:rsid w:val="007A6C70"/>
    <w:rsid w:val="007A6CA1"/>
    <w:rsid w:val="007A6CB7"/>
    <w:rsid w:val="007A6D18"/>
    <w:rsid w:val="007A6D1B"/>
    <w:rsid w:val="007A6D1E"/>
    <w:rsid w:val="007A6D3E"/>
    <w:rsid w:val="007A6D40"/>
    <w:rsid w:val="007A6D6A"/>
    <w:rsid w:val="007A6D9E"/>
    <w:rsid w:val="007A6DEB"/>
    <w:rsid w:val="007A6E23"/>
    <w:rsid w:val="007A6E3A"/>
    <w:rsid w:val="007A6E63"/>
    <w:rsid w:val="007A6E88"/>
    <w:rsid w:val="007A704C"/>
    <w:rsid w:val="007A7072"/>
    <w:rsid w:val="007A70BC"/>
    <w:rsid w:val="007A7140"/>
    <w:rsid w:val="007A719C"/>
    <w:rsid w:val="007A71DB"/>
    <w:rsid w:val="007A71E7"/>
    <w:rsid w:val="007A71FD"/>
    <w:rsid w:val="007A7216"/>
    <w:rsid w:val="007A727D"/>
    <w:rsid w:val="007A7283"/>
    <w:rsid w:val="007A729E"/>
    <w:rsid w:val="007A72C1"/>
    <w:rsid w:val="007A72CC"/>
    <w:rsid w:val="007A72CE"/>
    <w:rsid w:val="007A730B"/>
    <w:rsid w:val="007A73C1"/>
    <w:rsid w:val="007A73E0"/>
    <w:rsid w:val="007A73EC"/>
    <w:rsid w:val="007A7438"/>
    <w:rsid w:val="007A748C"/>
    <w:rsid w:val="007A7501"/>
    <w:rsid w:val="007A7579"/>
    <w:rsid w:val="007A75A1"/>
    <w:rsid w:val="007A75CC"/>
    <w:rsid w:val="007A7631"/>
    <w:rsid w:val="007A7647"/>
    <w:rsid w:val="007A76BC"/>
    <w:rsid w:val="007A76F4"/>
    <w:rsid w:val="007A7721"/>
    <w:rsid w:val="007A7759"/>
    <w:rsid w:val="007A7765"/>
    <w:rsid w:val="007A776D"/>
    <w:rsid w:val="007A77A1"/>
    <w:rsid w:val="007A77D1"/>
    <w:rsid w:val="007A7847"/>
    <w:rsid w:val="007A78CC"/>
    <w:rsid w:val="007A7911"/>
    <w:rsid w:val="007A793C"/>
    <w:rsid w:val="007A7947"/>
    <w:rsid w:val="007A795E"/>
    <w:rsid w:val="007A7966"/>
    <w:rsid w:val="007A79C2"/>
    <w:rsid w:val="007A79E5"/>
    <w:rsid w:val="007A7A26"/>
    <w:rsid w:val="007A7A55"/>
    <w:rsid w:val="007A7A7A"/>
    <w:rsid w:val="007A7A80"/>
    <w:rsid w:val="007A7AA1"/>
    <w:rsid w:val="007A7ABD"/>
    <w:rsid w:val="007A7B90"/>
    <w:rsid w:val="007A7BB3"/>
    <w:rsid w:val="007A7BC4"/>
    <w:rsid w:val="007A7BDC"/>
    <w:rsid w:val="007A7C23"/>
    <w:rsid w:val="007A7C49"/>
    <w:rsid w:val="007A7CE7"/>
    <w:rsid w:val="007A7D5C"/>
    <w:rsid w:val="007A7D67"/>
    <w:rsid w:val="007A7DAB"/>
    <w:rsid w:val="007A7DAE"/>
    <w:rsid w:val="007A7DB8"/>
    <w:rsid w:val="007A7DBA"/>
    <w:rsid w:val="007A7DE0"/>
    <w:rsid w:val="007A7E14"/>
    <w:rsid w:val="007A7E33"/>
    <w:rsid w:val="007A7E4F"/>
    <w:rsid w:val="007A7E54"/>
    <w:rsid w:val="007A7E65"/>
    <w:rsid w:val="007A7EB1"/>
    <w:rsid w:val="007A7F23"/>
    <w:rsid w:val="007A7F3D"/>
    <w:rsid w:val="007A7F42"/>
    <w:rsid w:val="007A7F60"/>
    <w:rsid w:val="007A7F91"/>
    <w:rsid w:val="007A7FA3"/>
    <w:rsid w:val="007B0019"/>
    <w:rsid w:val="007B0031"/>
    <w:rsid w:val="007B0055"/>
    <w:rsid w:val="007B009C"/>
    <w:rsid w:val="007B00AC"/>
    <w:rsid w:val="007B00B0"/>
    <w:rsid w:val="007B00BD"/>
    <w:rsid w:val="007B00D8"/>
    <w:rsid w:val="007B00E5"/>
    <w:rsid w:val="007B0176"/>
    <w:rsid w:val="007B0180"/>
    <w:rsid w:val="007B01DD"/>
    <w:rsid w:val="007B0221"/>
    <w:rsid w:val="007B0261"/>
    <w:rsid w:val="007B0273"/>
    <w:rsid w:val="007B031A"/>
    <w:rsid w:val="007B0359"/>
    <w:rsid w:val="007B037A"/>
    <w:rsid w:val="007B04C9"/>
    <w:rsid w:val="007B0502"/>
    <w:rsid w:val="007B0552"/>
    <w:rsid w:val="007B0567"/>
    <w:rsid w:val="007B05AF"/>
    <w:rsid w:val="007B05E3"/>
    <w:rsid w:val="007B05F3"/>
    <w:rsid w:val="007B066B"/>
    <w:rsid w:val="007B0682"/>
    <w:rsid w:val="007B072E"/>
    <w:rsid w:val="007B075F"/>
    <w:rsid w:val="007B0760"/>
    <w:rsid w:val="007B077D"/>
    <w:rsid w:val="007B0815"/>
    <w:rsid w:val="007B0869"/>
    <w:rsid w:val="007B08E2"/>
    <w:rsid w:val="007B0900"/>
    <w:rsid w:val="007B091B"/>
    <w:rsid w:val="007B0929"/>
    <w:rsid w:val="007B094C"/>
    <w:rsid w:val="007B0950"/>
    <w:rsid w:val="007B0964"/>
    <w:rsid w:val="007B0976"/>
    <w:rsid w:val="007B09C8"/>
    <w:rsid w:val="007B0A6A"/>
    <w:rsid w:val="007B0A9F"/>
    <w:rsid w:val="007B0AC8"/>
    <w:rsid w:val="007B0B01"/>
    <w:rsid w:val="007B0B02"/>
    <w:rsid w:val="007B0BAF"/>
    <w:rsid w:val="007B0BC8"/>
    <w:rsid w:val="007B0BDD"/>
    <w:rsid w:val="007B0BE5"/>
    <w:rsid w:val="007B0C17"/>
    <w:rsid w:val="007B0C34"/>
    <w:rsid w:val="007B0C56"/>
    <w:rsid w:val="007B0C78"/>
    <w:rsid w:val="007B0CB7"/>
    <w:rsid w:val="007B0CF8"/>
    <w:rsid w:val="007B0D07"/>
    <w:rsid w:val="007B0D0E"/>
    <w:rsid w:val="007B0DB4"/>
    <w:rsid w:val="007B0DF1"/>
    <w:rsid w:val="007B0E53"/>
    <w:rsid w:val="007B0E64"/>
    <w:rsid w:val="007B0E7A"/>
    <w:rsid w:val="007B0ED1"/>
    <w:rsid w:val="007B0F05"/>
    <w:rsid w:val="007B0F2A"/>
    <w:rsid w:val="007B0FB8"/>
    <w:rsid w:val="007B109F"/>
    <w:rsid w:val="007B10B6"/>
    <w:rsid w:val="007B10F4"/>
    <w:rsid w:val="007B115B"/>
    <w:rsid w:val="007B119A"/>
    <w:rsid w:val="007B11CA"/>
    <w:rsid w:val="007B11D2"/>
    <w:rsid w:val="007B1265"/>
    <w:rsid w:val="007B126D"/>
    <w:rsid w:val="007B12E5"/>
    <w:rsid w:val="007B133F"/>
    <w:rsid w:val="007B139F"/>
    <w:rsid w:val="007B13B6"/>
    <w:rsid w:val="007B13E0"/>
    <w:rsid w:val="007B140B"/>
    <w:rsid w:val="007B142F"/>
    <w:rsid w:val="007B1481"/>
    <w:rsid w:val="007B1487"/>
    <w:rsid w:val="007B14BF"/>
    <w:rsid w:val="007B1505"/>
    <w:rsid w:val="007B1517"/>
    <w:rsid w:val="007B15A1"/>
    <w:rsid w:val="007B1625"/>
    <w:rsid w:val="007B1637"/>
    <w:rsid w:val="007B164B"/>
    <w:rsid w:val="007B16C5"/>
    <w:rsid w:val="007B1737"/>
    <w:rsid w:val="007B174E"/>
    <w:rsid w:val="007B1755"/>
    <w:rsid w:val="007B1806"/>
    <w:rsid w:val="007B1814"/>
    <w:rsid w:val="007B184D"/>
    <w:rsid w:val="007B187E"/>
    <w:rsid w:val="007B18B2"/>
    <w:rsid w:val="007B1947"/>
    <w:rsid w:val="007B1953"/>
    <w:rsid w:val="007B1987"/>
    <w:rsid w:val="007B19E2"/>
    <w:rsid w:val="007B19E9"/>
    <w:rsid w:val="007B1A28"/>
    <w:rsid w:val="007B1A4F"/>
    <w:rsid w:val="007B1A9D"/>
    <w:rsid w:val="007B1AFE"/>
    <w:rsid w:val="007B1B09"/>
    <w:rsid w:val="007B1B2C"/>
    <w:rsid w:val="007B1BD8"/>
    <w:rsid w:val="007B1BEE"/>
    <w:rsid w:val="007B1BF3"/>
    <w:rsid w:val="007B1C06"/>
    <w:rsid w:val="007B1C33"/>
    <w:rsid w:val="007B1C6F"/>
    <w:rsid w:val="007B1CBE"/>
    <w:rsid w:val="007B1D73"/>
    <w:rsid w:val="007B1DFF"/>
    <w:rsid w:val="007B1E31"/>
    <w:rsid w:val="007B1F1C"/>
    <w:rsid w:val="007B1F7B"/>
    <w:rsid w:val="007B1FC1"/>
    <w:rsid w:val="007B1FEA"/>
    <w:rsid w:val="007B1FF5"/>
    <w:rsid w:val="007B203E"/>
    <w:rsid w:val="007B204F"/>
    <w:rsid w:val="007B20BF"/>
    <w:rsid w:val="007B20D2"/>
    <w:rsid w:val="007B210D"/>
    <w:rsid w:val="007B2143"/>
    <w:rsid w:val="007B21AD"/>
    <w:rsid w:val="007B21B8"/>
    <w:rsid w:val="007B2238"/>
    <w:rsid w:val="007B2249"/>
    <w:rsid w:val="007B2254"/>
    <w:rsid w:val="007B2255"/>
    <w:rsid w:val="007B2271"/>
    <w:rsid w:val="007B2288"/>
    <w:rsid w:val="007B2326"/>
    <w:rsid w:val="007B2342"/>
    <w:rsid w:val="007B23CB"/>
    <w:rsid w:val="007B243B"/>
    <w:rsid w:val="007B244E"/>
    <w:rsid w:val="007B2475"/>
    <w:rsid w:val="007B2487"/>
    <w:rsid w:val="007B25C5"/>
    <w:rsid w:val="007B25E9"/>
    <w:rsid w:val="007B25F1"/>
    <w:rsid w:val="007B260C"/>
    <w:rsid w:val="007B261A"/>
    <w:rsid w:val="007B2646"/>
    <w:rsid w:val="007B26DD"/>
    <w:rsid w:val="007B26F2"/>
    <w:rsid w:val="007B276E"/>
    <w:rsid w:val="007B279F"/>
    <w:rsid w:val="007B27B8"/>
    <w:rsid w:val="007B27F7"/>
    <w:rsid w:val="007B28CA"/>
    <w:rsid w:val="007B28E1"/>
    <w:rsid w:val="007B28F7"/>
    <w:rsid w:val="007B290A"/>
    <w:rsid w:val="007B2919"/>
    <w:rsid w:val="007B2995"/>
    <w:rsid w:val="007B29B6"/>
    <w:rsid w:val="007B29DA"/>
    <w:rsid w:val="007B29E0"/>
    <w:rsid w:val="007B2A12"/>
    <w:rsid w:val="007B2A19"/>
    <w:rsid w:val="007B2A6B"/>
    <w:rsid w:val="007B2AE3"/>
    <w:rsid w:val="007B2B56"/>
    <w:rsid w:val="007B2B59"/>
    <w:rsid w:val="007B2BD3"/>
    <w:rsid w:val="007B2C50"/>
    <w:rsid w:val="007B2CC0"/>
    <w:rsid w:val="007B2CE8"/>
    <w:rsid w:val="007B2CFA"/>
    <w:rsid w:val="007B2D4C"/>
    <w:rsid w:val="007B2D68"/>
    <w:rsid w:val="007B2D82"/>
    <w:rsid w:val="007B2D9F"/>
    <w:rsid w:val="007B2DE1"/>
    <w:rsid w:val="007B2DFC"/>
    <w:rsid w:val="007B2E78"/>
    <w:rsid w:val="007B2E80"/>
    <w:rsid w:val="007B2E93"/>
    <w:rsid w:val="007B2F29"/>
    <w:rsid w:val="007B2F5E"/>
    <w:rsid w:val="007B2F85"/>
    <w:rsid w:val="007B2F87"/>
    <w:rsid w:val="007B2FB2"/>
    <w:rsid w:val="007B2FC3"/>
    <w:rsid w:val="007B2FC6"/>
    <w:rsid w:val="007B2FFE"/>
    <w:rsid w:val="007B3038"/>
    <w:rsid w:val="007B303A"/>
    <w:rsid w:val="007B3063"/>
    <w:rsid w:val="007B308C"/>
    <w:rsid w:val="007B3099"/>
    <w:rsid w:val="007B30AB"/>
    <w:rsid w:val="007B30E8"/>
    <w:rsid w:val="007B30FE"/>
    <w:rsid w:val="007B315B"/>
    <w:rsid w:val="007B31E3"/>
    <w:rsid w:val="007B31F5"/>
    <w:rsid w:val="007B3238"/>
    <w:rsid w:val="007B32A9"/>
    <w:rsid w:val="007B32F0"/>
    <w:rsid w:val="007B32FD"/>
    <w:rsid w:val="007B333C"/>
    <w:rsid w:val="007B3368"/>
    <w:rsid w:val="007B33EA"/>
    <w:rsid w:val="007B342B"/>
    <w:rsid w:val="007B348F"/>
    <w:rsid w:val="007B34A7"/>
    <w:rsid w:val="007B34B5"/>
    <w:rsid w:val="007B34E5"/>
    <w:rsid w:val="007B34E8"/>
    <w:rsid w:val="007B34EF"/>
    <w:rsid w:val="007B351A"/>
    <w:rsid w:val="007B3569"/>
    <w:rsid w:val="007B3597"/>
    <w:rsid w:val="007B35C1"/>
    <w:rsid w:val="007B35C5"/>
    <w:rsid w:val="007B35CE"/>
    <w:rsid w:val="007B361C"/>
    <w:rsid w:val="007B36A1"/>
    <w:rsid w:val="007B36D1"/>
    <w:rsid w:val="007B371B"/>
    <w:rsid w:val="007B3727"/>
    <w:rsid w:val="007B373D"/>
    <w:rsid w:val="007B3748"/>
    <w:rsid w:val="007B375C"/>
    <w:rsid w:val="007B381A"/>
    <w:rsid w:val="007B388F"/>
    <w:rsid w:val="007B38F9"/>
    <w:rsid w:val="007B3904"/>
    <w:rsid w:val="007B3955"/>
    <w:rsid w:val="007B3956"/>
    <w:rsid w:val="007B3987"/>
    <w:rsid w:val="007B39D3"/>
    <w:rsid w:val="007B3A21"/>
    <w:rsid w:val="007B3A80"/>
    <w:rsid w:val="007B3AC3"/>
    <w:rsid w:val="007B3AEA"/>
    <w:rsid w:val="007B3B0D"/>
    <w:rsid w:val="007B3B22"/>
    <w:rsid w:val="007B3B6C"/>
    <w:rsid w:val="007B3BC1"/>
    <w:rsid w:val="007B3BF5"/>
    <w:rsid w:val="007B3C1A"/>
    <w:rsid w:val="007B3C47"/>
    <w:rsid w:val="007B3C4B"/>
    <w:rsid w:val="007B3C7B"/>
    <w:rsid w:val="007B3C9D"/>
    <w:rsid w:val="007B3D18"/>
    <w:rsid w:val="007B3D8B"/>
    <w:rsid w:val="007B3DB7"/>
    <w:rsid w:val="007B3DF6"/>
    <w:rsid w:val="007B3E0F"/>
    <w:rsid w:val="007B3E28"/>
    <w:rsid w:val="007B3E70"/>
    <w:rsid w:val="007B3EF6"/>
    <w:rsid w:val="007B3F21"/>
    <w:rsid w:val="007B3F46"/>
    <w:rsid w:val="007B3F7A"/>
    <w:rsid w:val="007B3F82"/>
    <w:rsid w:val="007B3F9E"/>
    <w:rsid w:val="007B4018"/>
    <w:rsid w:val="007B4045"/>
    <w:rsid w:val="007B404E"/>
    <w:rsid w:val="007B4077"/>
    <w:rsid w:val="007B407E"/>
    <w:rsid w:val="007B40F7"/>
    <w:rsid w:val="007B40FB"/>
    <w:rsid w:val="007B4108"/>
    <w:rsid w:val="007B415F"/>
    <w:rsid w:val="007B41B5"/>
    <w:rsid w:val="007B41DA"/>
    <w:rsid w:val="007B4248"/>
    <w:rsid w:val="007B4260"/>
    <w:rsid w:val="007B4281"/>
    <w:rsid w:val="007B4288"/>
    <w:rsid w:val="007B429C"/>
    <w:rsid w:val="007B42B9"/>
    <w:rsid w:val="007B42F6"/>
    <w:rsid w:val="007B433D"/>
    <w:rsid w:val="007B43CA"/>
    <w:rsid w:val="007B442C"/>
    <w:rsid w:val="007B44B1"/>
    <w:rsid w:val="007B44E2"/>
    <w:rsid w:val="007B44FF"/>
    <w:rsid w:val="007B4515"/>
    <w:rsid w:val="007B455B"/>
    <w:rsid w:val="007B455F"/>
    <w:rsid w:val="007B458B"/>
    <w:rsid w:val="007B45B6"/>
    <w:rsid w:val="007B45DC"/>
    <w:rsid w:val="007B45E5"/>
    <w:rsid w:val="007B45F2"/>
    <w:rsid w:val="007B4614"/>
    <w:rsid w:val="007B464B"/>
    <w:rsid w:val="007B466A"/>
    <w:rsid w:val="007B46C2"/>
    <w:rsid w:val="007B471B"/>
    <w:rsid w:val="007B4720"/>
    <w:rsid w:val="007B474D"/>
    <w:rsid w:val="007B4768"/>
    <w:rsid w:val="007B47A1"/>
    <w:rsid w:val="007B47E7"/>
    <w:rsid w:val="007B4815"/>
    <w:rsid w:val="007B482B"/>
    <w:rsid w:val="007B4865"/>
    <w:rsid w:val="007B486A"/>
    <w:rsid w:val="007B489A"/>
    <w:rsid w:val="007B48BB"/>
    <w:rsid w:val="007B48C1"/>
    <w:rsid w:val="007B48D1"/>
    <w:rsid w:val="007B490B"/>
    <w:rsid w:val="007B49A2"/>
    <w:rsid w:val="007B49B2"/>
    <w:rsid w:val="007B49C1"/>
    <w:rsid w:val="007B49D0"/>
    <w:rsid w:val="007B49F2"/>
    <w:rsid w:val="007B4A26"/>
    <w:rsid w:val="007B4A57"/>
    <w:rsid w:val="007B4A71"/>
    <w:rsid w:val="007B4AA0"/>
    <w:rsid w:val="007B4AA7"/>
    <w:rsid w:val="007B4AAD"/>
    <w:rsid w:val="007B4ACF"/>
    <w:rsid w:val="007B4B35"/>
    <w:rsid w:val="007B4B3F"/>
    <w:rsid w:val="007B4B79"/>
    <w:rsid w:val="007B4B91"/>
    <w:rsid w:val="007B4BAE"/>
    <w:rsid w:val="007B4BF7"/>
    <w:rsid w:val="007B4C0E"/>
    <w:rsid w:val="007B4C63"/>
    <w:rsid w:val="007B4C8E"/>
    <w:rsid w:val="007B4C9E"/>
    <w:rsid w:val="007B4CBD"/>
    <w:rsid w:val="007B4CE6"/>
    <w:rsid w:val="007B4CEA"/>
    <w:rsid w:val="007B4D22"/>
    <w:rsid w:val="007B4D35"/>
    <w:rsid w:val="007B4D3B"/>
    <w:rsid w:val="007B4D5B"/>
    <w:rsid w:val="007B4D6C"/>
    <w:rsid w:val="007B4DA8"/>
    <w:rsid w:val="007B4DC1"/>
    <w:rsid w:val="007B4DEC"/>
    <w:rsid w:val="007B4DFE"/>
    <w:rsid w:val="007B4E10"/>
    <w:rsid w:val="007B4ECF"/>
    <w:rsid w:val="007B4F1F"/>
    <w:rsid w:val="007B4F40"/>
    <w:rsid w:val="007B4FC0"/>
    <w:rsid w:val="007B4FE2"/>
    <w:rsid w:val="007B5008"/>
    <w:rsid w:val="007B5066"/>
    <w:rsid w:val="007B5078"/>
    <w:rsid w:val="007B50AB"/>
    <w:rsid w:val="007B50CC"/>
    <w:rsid w:val="007B50D5"/>
    <w:rsid w:val="007B5148"/>
    <w:rsid w:val="007B5152"/>
    <w:rsid w:val="007B5171"/>
    <w:rsid w:val="007B51C1"/>
    <w:rsid w:val="007B5207"/>
    <w:rsid w:val="007B523C"/>
    <w:rsid w:val="007B5276"/>
    <w:rsid w:val="007B52E8"/>
    <w:rsid w:val="007B52EA"/>
    <w:rsid w:val="007B532D"/>
    <w:rsid w:val="007B5339"/>
    <w:rsid w:val="007B5364"/>
    <w:rsid w:val="007B5395"/>
    <w:rsid w:val="007B5396"/>
    <w:rsid w:val="007B53B6"/>
    <w:rsid w:val="007B53D3"/>
    <w:rsid w:val="007B53D4"/>
    <w:rsid w:val="007B5474"/>
    <w:rsid w:val="007B547D"/>
    <w:rsid w:val="007B5484"/>
    <w:rsid w:val="007B5513"/>
    <w:rsid w:val="007B55E1"/>
    <w:rsid w:val="007B5629"/>
    <w:rsid w:val="007B5643"/>
    <w:rsid w:val="007B5655"/>
    <w:rsid w:val="007B567D"/>
    <w:rsid w:val="007B56E4"/>
    <w:rsid w:val="007B575C"/>
    <w:rsid w:val="007B575D"/>
    <w:rsid w:val="007B57E4"/>
    <w:rsid w:val="007B5833"/>
    <w:rsid w:val="007B5869"/>
    <w:rsid w:val="007B589D"/>
    <w:rsid w:val="007B589F"/>
    <w:rsid w:val="007B58A9"/>
    <w:rsid w:val="007B58AC"/>
    <w:rsid w:val="007B58E1"/>
    <w:rsid w:val="007B5956"/>
    <w:rsid w:val="007B59AC"/>
    <w:rsid w:val="007B59DA"/>
    <w:rsid w:val="007B5A93"/>
    <w:rsid w:val="007B5B5A"/>
    <w:rsid w:val="007B5B73"/>
    <w:rsid w:val="007B5B9E"/>
    <w:rsid w:val="007B5BA3"/>
    <w:rsid w:val="007B5BE8"/>
    <w:rsid w:val="007B5BF7"/>
    <w:rsid w:val="007B5C22"/>
    <w:rsid w:val="007B5C7B"/>
    <w:rsid w:val="007B5C87"/>
    <w:rsid w:val="007B5C9A"/>
    <w:rsid w:val="007B5CB3"/>
    <w:rsid w:val="007B5D0B"/>
    <w:rsid w:val="007B5D10"/>
    <w:rsid w:val="007B5D5E"/>
    <w:rsid w:val="007B5D6F"/>
    <w:rsid w:val="007B5D9C"/>
    <w:rsid w:val="007B5D9F"/>
    <w:rsid w:val="007B5DF3"/>
    <w:rsid w:val="007B5DFB"/>
    <w:rsid w:val="007B5E5B"/>
    <w:rsid w:val="007B5E62"/>
    <w:rsid w:val="007B5E9F"/>
    <w:rsid w:val="007B5EA8"/>
    <w:rsid w:val="007B5F01"/>
    <w:rsid w:val="007B5F36"/>
    <w:rsid w:val="007B5F3B"/>
    <w:rsid w:val="007B5F54"/>
    <w:rsid w:val="007B5FCB"/>
    <w:rsid w:val="007B6032"/>
    <w:rsid w:val="007B61A8"/>
    <w:rsid w:val="007B61B2"/>
    <w:rsid w:val="007B61BC"/>
    <w:rsid w:val="007B61FC"/>
    <w:rsid w:val="007B6258"/>
    <w:rsid w:val="007B62B4"/>
    <w:rsid w:val="007B62E5"/>
    <w:rsid w:val="007B631E"/>
    <w:rsid w:val="007B6331"/>
    <w:rsid w:val="007B637C"/>
    <w:rsid w:val="007B6394"/>
    <w:rsid w:val="007B63FC"/>
    <w:rsid w:val="007B6431"/>
    <w:rsid w:val="007B6489"/>
    <w:rsid w:val="007B64D9"/>
    <w:rsid w:val="007B64DD"/>
    <w:rsid w:val="007B6507"/>
    <w:rsid w:val="007B6526"/>
    <w:rsid w:val="007B6529"/>
    <w:rsid w:val="007B652F"/>
    <w:rsid w:val="007B6581"/>
    <w:rsid w:val="007B65D2"/>
    <w:rsid w:val="007B666A"/>
    <w:rsid w:val="007B6695"/>
    <w:rsid w:val="007B66C4"/>
    <w:rsid w:val="007B66E3"/>
    <w:rsid w:val="007B66F5"/>
    <w:rsid w:val="007B66F9"/>
    <w:rsid w:val="007B670E"/>
    <w:rsid w:val="007B6728"/>
    <w:rsid w:val="007B6776"/>
    <w:rsid w:val="007B6779"/>
    <w:rsid w:val="007B677F"/>
    <w:rsid w:val="007B678B"/>
    <w:rsid w:val="007B67B4"/>
    <w:rsid w:val="007B67D9"/>
    <w:rsid w:val="007B680A"/>
    <w:rsid w:val="007B6854"/>
    <w:rsid w:val="007B6871"/>
    <w:rsid w:val="007B68A6"/>
    <w:rsid w:val="007B68E3"/>
    <w:rsid w:val="007B68F2"/>
    <w:rsid w:val="007B68F3"/>
    <w:rsid w:val="007B6933"/>
    <w:rsid w:val="007B6A41"/>
    <w:rsid w:val="007B6A47"/>
    <w:rsid w:val="007B6A5B"/>
    <w:rsid w:val="007B6ABF"/>
    <w:rsid w:val="007B6AC2"/>
    <w:rsid w:val="007B6AD5"/>
    <w:rsid w:val="007B6AD6"/>
    <w:rsid w:val="007B6AFA"/>
    <w:rsid w:val="007B6B15"/>
    <w:rsid w:val="007B6B60"/>
    <w:rsid w:val="007B6B63"/>
    <w:rsid w:val="007B6B66"/>
    <w:rsid w:val="007B6B93"/>
    <w:rsid w:val="007B6C2F"/>
    <w:rsid w:val="007B6C3C"/>
    <w:rsid w:val="007B6C6B"/>
    <w:rsid w:val="007B6C80"/>
    <w:rsid w:val="007B6C8B"/>
    <w:rsid w:val="007B6CDB"/>
    <w:rsid w:val="007B6CE0"/>
    <w:rsid w:val="007B6D4F"/>
    <w:rsid w:val="007B6D55"/>
    <w:rsid w:val="007B6D57"/>
    <w:rsid w:val="007B6DE0"/>
    <w:rsid w:val="007B6E11"/>
    <w:rsid w:val="007B6E2A"/>
    <w:rsid w:val="007B6E3A"/>
    <w:rsid w:val="007B6EA1"/>
    <w:rsid w:val="007B6EA5"/>
    <w:rsid w:val="007B6F15"/>
    <w:rsid w:val="007B6F1D"/>
    <w:rsid w:val="007B6F43"/>
    <w:rsid w:val="007B6F79"/>
    <w:rsid w:val="007B6F98"/>
    <w:rsid w:val="007B6FA4"/>
    <w:rsid w:val="007B6FBE"/>
    <w:rsid w:val="007B6FC6"/>
    <w:rsid w:val="007B6FFC"/>
    <w:rsid w:val="007B7008"/>
    <w:rsid w:val="007B702A"/>
    <w:rsid w:val="007B7041"/>
    <w:rsid w:val="007B70DB"/>
    <w:rsid w:val="007B70F2"/>
    <w:rsid w:val="007B70FE"/>
    <w:rsid w:val="007B711C"/>
    <w:rsid w:val="007B71A3"/>
    <w:rsid w:val="007B71AE"/>
    <w:rsid w:val="007B7229"/>
    <w:rsid w:val="007B7260"/>
    <w:rsid w:val="007B7272"/>
    <w:rsid w:val="007B7282"/>
    <w:rsid w:val="007B72AF"/>
    <w:rsid w:val="007B72CC"/>
    <w:rsid w:val="007B72D7"/>
    <w:rsid w:val="007B7309"/>
    <w:rsid w:val="007B734D"/>
    <w:rsid w:val="007B737C"/>
    <w:rsid w:val="007B7387"/>
    <w:rsid w:val="007B7398"/>
    <w:rsid w:val="007B73BC"/>
    <w:rsid w:val="007B73CC"/>
    <w:rsid w:val="007B73E8"/>
    <w:rsid w:val="007B7426"/>
    <w:rsid w:val="007B7454"/>
    <w:rsid w:val="007B7478"/>
    <w:rsid w:val="007B748E"/>
    <w:rsid w:val="007B7521"/>
    <w:rsid w:val="007B753D"/>
    <w:rsid w:val="007B753E"/>
    <w:rsid w:val="007B7545"/>
    <w:rsid w:val="007B7580"/>
    <w:rsid w:val="007B75ED"/>
    <w:rsid w:val="007B7608"/>
    <w:rsid w:val="007B76C9"/>
    <w:rsid w:val="007B76E7"/>
    <w:rsid w:val="007B772A"/>
    <w:rsid w:val="007B7767"/>
    <w:rsid w:val="007B7779"/>
    <w:rsid w:val="007B77DE"/>
    <w:rsid w:val="007B77F1"/>
    <w:rsid w:val="007B7809"/>
    <w:rsid w:val="007B7821"/>
    <w:rsid w:val="007B7937"/>
    <w:rsid w:val="007B795E"/>
    <w:rsid w:val="007B7980"/>
    <w:rsid w:val="007B79B2"/>
    <w:rsid w:val="007B79FA"/>
    <w:rsid w:val="007B7A4A"/>
    <w:rsid w:val="007B7A50"/>
    <w:rsid w:val="007B7A86"/>
    <w:rsid w:val="007B7AA9"/>
    <w:rsid w:val="007B7AF6"/>
    <w:rsid w:val="007B7BBB"/>
    <w:rsid w:val="007B7BBD"/>
    <w:rsid w:val="007B7BE7"/>
    <w:rsid w:val="007B7BE9"/>
    <w:rsid w:val="007B7C03"/>
    <w:rsid w:val="007B7C47"/>
    <w:rsid w:val="007B7C51"/>
    <w:rsid w:val="007B7D10"/>
    <w:rsid w:val="007B7D35"/>
    <w:rsid w:val="007B7D7A"/>
    <w:rsid w:val="007B7D7E"/>
    <w:rsid w:val="007B7D8B"/>
    <w:rsid w:val="007B7DA5"/>
    <w:rsid w:val="007B7DA8"/>
    <w:rsid w:val="007B7DDB"/>
    <w:rsid w:val="007B7E5F"/>
    <w:rsid w:val="007B7ED0"/>
    <w:rsid w:val="007B7EF0"/>
    <w:rsid w:val="007B7EFC"/>
    <w:rsid w:val="007B7F27"/>
    <w:rsid w:val="007B7F2C"/>
    <w:rsid w:val="007B7F30"/>
    <w:rsid w:val="007B7F40"/>
    <w:rsid w:val="007B7F46"/>
    <w:rsid w:val="007B7F6A"/>
    <w:rsid w:val="007B7FA8"/>
    <w:rsid w:val="007B7FBE"/>
    <w:rsid w:val="007B7FC3"/>
    <w:rsid w:val="007B7FE8"/>
    <w:rsid w:val="007C0038"/>
    <w:rsid w:val="007C0061"/>
    <w:rsid w:val="007C0079"/>
    <w:rsid w:val="007C00A8"/>
    <w:rsid w:val="007C00AC"/>
    <w:rsid w:val="007C00D8"/>
    <w:rsid w:val="007C00E6"/>
    <w:rsid w:val="007C0138"/>
    <w:rsid w:val="007C0142"/>
    <w:rsid w:val="007C0149"/>
    <w:rsid w:val="007C0157"/>
    <w:rsid w:val="007C015D"/>
    <w:rsid w:val="007C0165"/>
    <w:rsid w:val="007C019C"/>
    <w:rsid w:val="007C01EA"/>
    <w:rsid w:val="007C027D"/>
    <w:rsid w:val="007C02A7"/>
    <w:rsid w:val="007C0308"/>
    <w:rsid w:val="007C033D"/>
    <w:rsid w:val="007C0347"/>
    <w:rsid w:val="007C0372"/>
    <w:rsid w:val="007C03A1"/>
    <w:rsid w:val="007C03AA"/>
    <w:rsid w:val="007C03BE"/>
    <w:rsid w:val="007C03D0"/>
    <w:rsid w:val="007C03FA"/>
    <w:rsid w:val="007C04F5"/>
    <w:rsid w:val="007C04FE"/>
    <w:rsid w:val="007C0509"/>
    <w:rsid w:val="007C0516"/>
    <w:rsid w:val="007C0527"/>
    <w:rsid w:val="007C0576"/>
    <w:rsid w:val="007C0582"/>
    <w:rsid w:val="007C0610"/>
    <w:rsid w:val="007C0616"/>
    <w:rsid w:val="007C063F"/>
    <w:rsid w:val="007C0645"/>
    <w:rsid w:val="007C0646"/>
    <w:rsid w:val="007C065D"/>
    <w:rsid w:val="007C0696"/>
    <w:rsid w:val="007C06F5"/>
    <w:rsid w:val="007C0708"/>
    <w:rsid w:val="007C071D"/>
    <w:rsid w:val="007C073B"/>
    <w:rsid w:val="007C0757"/>
    <w:rsid w:val="007C07CC"/>
    <w:rsid w:val="007C08A3"/>
    <w:rsid w:val="007C0950"/>
    <w:rsid w:val="007C096B"/>
    <w:rsid w:val="007C096D"/>
    <w:rsid w:val="007C09BC"/>
    <w:rsid w:val="007C0A02"/>
    <w:rsid w:val="007C0A0B"/>
    <w:rsid w:val="007C0A10"/>
    <w:rsid w:val="007C0AC0"/>
    <w:rsid w:val="007C0AE0"/>
    <w:rsid w:val="007C0AF3"/>
    <w:rsid w:val="007C0AF8"/>
    <w:rsid w:val="007C0AF9"/>
    <w:rsid w:val="007C0B18"/>
    <w:rsid w:val="007C0B3A"/>
    <w:rsid w:val="007C0B81"/>
    <w:rsid w:val="007C0C03"/>
    <w:rsid w:val="007C0C23"/>
    <w:rsid w:val="007C0C8D"/>
    <w:rsid w:val="007C0D3D"/>
    <w:rsid w:val="007C0D48"/>
    <w:rsid w:val="007C0D49"/>
    <w:rsid w:val="007C0D6A"/>
    <w:rsid w:val="007C0D76"/>
    <w:rsid w:val="007C0DB1"/>
    <w:rsid w:val="007C0E90"/>
    <w:rsid w:val="007C0EFB"/>
    <w:rsid w:val="007C0F1E"/>
    <w:rsid w:val="007C0F93"/>
    <w:rsid w:val="007C0FA3"/>
    <w:rsid w:val="007C0FD3"/>
    <w:rsid w:val="007C0FF0"/>
    <w:rsid w:val="007C1011"/>
    <w:rsid w:val="007C1028"/>
    <w:rsid w:val="007C1097"/>
    <w:rsid w:val="007C10A6"/>
    <w:rsid w:val="007C10CD"/>
    <w:rsid w:val="007C10D5"/>
    <w:rsid w:val="007C10E1"/>
    <w:rsid w:val="007C10E8"/>
    <w:rsid w:val="007C1152"/>
    <w:rsid w:val="007C116A"/>
    <w:rsid w:val="007C11A6"/>
    <w:rsid w:val="007C11BA"/>
    <w:rsid w:val="007C11F3"/>
    <w:rsid w:val="007C1293"/>
    <w:rsid w:val="007C12AF"/>
    <w:rsid w:val="007C12C4"/>
    <w:rsid w:val="007C12E4"/>
    <w:rsid w:val="007C12F5"/>
    <w:rsid w:val="007C1311"/>
    <w:rsid w:val="007C1318"/>
    <w:rsid w:val="007C1342"/>
    <w:rsid w:val="007C134B"/>
    <w:rsid w:val="007C1362"/>
    <w:rsid w:val="007C13B2"/>
    <w:rsid w:val="007C13FA"/>
    <w:rsid w:val="007C141B"/>
    <w:rsid w:val="007C1426"/>
    <w:rsid w:val="007C1476"/>
    <w:rsid w:val="007C14B5"/>
    <w:rsid w:val="007C14C4"/>
    <w:rsid w:val="007C14E7"/>
    <w:rsid w:val="007C154F"/>
    <w:rsid w:val="007C155C"/>
    <w:rsid w:val="007C1587"/>
    <w:rsid w:val="007C1596"/>
    <w:rsid w:val="007C1627"/>
    <w:rsid w:val="007C1630"/>
    <w:rsid w:val="007C1657"/>
    <w:rsid w:val="007C1662"/>
    <w:rsid w:val="007C166F"/>
    <w:rsid w:val="007C1680"/>
    <w:rsid w:val="007C169B"/>
    <w:rsid w:val="007C16AB"/>
    <w:rsid w:val="007C16E7"/>
    <w:rsid w:val="007C1717"/>
    <w:rsid w:val="007C1748"/>
    <w:rsid w:val="007C177D"/>
    <w:rsid w:val="007C1790"/>
    <w:rsid w:val="007C18ED"/>
    <w:rsid w:val="007C1901"/>
    <w:rsid w:val="007C190B"/>
    <w:rsid w:val="007C1919"/>
    <w:rsid w:val="007C193A"/>
    <w:rsid w:val="007C193B"/>
    <w:rsid w:val="007C1975"/>
    <w:rsid w:val="007C19A1"/>
    <w:rsid w:val="007C19B6"/>
    <w:rsid w:val="007C19B8"/>
    <w:rsid w:val="007C19DC"/>
    <w:rsid w:val="007C1A57"/>
    <w:rsid w:val="007C1A62"/>
    <w:rsid w:val="007C1A8D"/>
    <w:rsid w:val="007C1AA1"/>
    <w:rsid w:val="007C1AC3"/>
    <w:rsid w:val="007C1AFB"/>
    <w:rsid w:val="007C1B09"/>
    <w:rsid w:val="007C1B11"/>
    <w:rsid w:val="007C1BBE"/>
    <w:rsid w:val="007C1BEA"/>
    <w:rsid w:val="007C1C28"/>
    <w:rsid w:val="007C1C51"/>
    <w:rsid w:val="007C1C54"/>
    <w:rsid w:val="007C1C9A"/>
    <w:rsid w:val="007C1CCD"/>
    <w:rsid w:val="007C1CD9"/>
    <w:rsid w:val="007C1D10"/>
    <w:rsid w:val="007C1D44"/>
    <w:rsid w:val="007C1D99"/>
    <w:rsid w:val="007C1DC0"/>
    <w:rsid w:val="007C1DD1"/>
    <w:rsid w:val="007C1DEF"/>
    <w:rsid w:val="007C1E0C"/>
    <w:rsid w:val="007C1E26"/>
    <w:rsid w:val="007C1E3B"/>
    <w:rsid w:val="007C1E46"/>
    <w:rsid w:val="007C1E6C"/>
    <w:rsid w:val="007C1EA8"/>
    <w:rsid w:val="007C1ED6"/>
    <w:rsid w:val="007C1F1B"/>
    <w:rsid w:val="007C1F24"/>
    <w:rsid w:val="007C1F64"/>
    <w:rsid w:val="007C1F6F"/>
    <w:rsid w:val="007C1F9E"/>
    <w:rsid w:val="007C1FC7"/>
    <w:rsid w:val="007C1FCE"/>
    <w:rsid w:val="007C1FD4"/>
    <w:rsid w:val="007C1FEB"/>
    <w:rsid w:val="007C2005"/>
    <w:rsid w:val="007C2023"/>
    <w:rsid w:val="007C2029"/>
    <w:rsid w:val="007C205E"/>
    <w:rsid w:val="007C212B"/>
    <w:rsid w:val="007C212D"/>
    <w:rsid w:val="007C2149"/>
    <w:rsid w:val="007C2150"/>
    <w:rsid w:val="007C2160"/>
    <w:rsid w:val="007C2169"/>
    <w:rsid w:val="007C219E"/>
    <w:rsid w:val="007C21B6"/>
    <w:rsid w:val="007C21D0"/>
    <w:rsid w:val="007C2233"/>
    <w:rsid w:val="007C223D"/>
    <w:rsid w:val="007C224A"/>
    <w:rsid w:val="007C22B0"/>
    <w:rsid w:val="007C22B3"/>
    <w:rsid w:val="007C231E"/>
    <w:rsid w:val="007C2389"/>
    <w:rsid w:val="007C23A2"/>
    <w:rsid w:val="007C2421"/>
    <w:rsid w:val="007C243A"/>
    <w:rsid w:val="007C245D"/>
    <w:rsid w:val="007C2509"/>
    <w:rsid w:val="007C254C"/>
    <w:rsid w:val="007C255C"/>
    <w:rsid w:val="007C2567"/>
    <w:rsid w:val="007C25BC"/>
    <w:rsid w:val="007C25D5"/>
    <w:rsid w:val="007C25EA"/>
    <w:rsid w:val="007C2605"/>
    <w:rsid w:val="007C2618"/>
    <w:rsid w:val="007C268C"/>
    <w:rsid w:val="007C26A1"/>
    <w:rsid w:val="007C26C3"/>
    <w:rsid w:val="007C2707"/>
    <w:rsid w:val="007C272E"/>
    <w:rsid w:val="007C2745"/>
    <w:rsid w:val="007C27B7"/>
    <w:rsid w:val="007C27CE"/>
    <w:rsid w:val="007C2826"/>
    <w:rsid w:val="007C2866"/>
    <w:rsid w:val="007C286F"/>
    <w:rsid w:val="007C28AD"/>
    <w:rsid w:val="007C28DD"/>
    <w:rsid w:val="007C28E3"/>
    <w:rsid w:val="007C2904"/>
    <w:rsid w:val="007C291E"/>
    <w:rsid w:val="007C294B"/>
    <w:rsid w:val="007C296B"/>
    <w:rsid w:val="007C299E"/>
    <w:rsid w:val="007C29E6"/>
    <w:rsid w:val="007C2A5E"/>
    <w:rsid w:val="007C2AA7"/>
    <w:rsid w:val="007C2AA8"/>
    <w:rsid w:val="007C2B01"/>
    <w:rsid w:val="007C2B7F"/>
    <w:rsid w:val="007C2BA2"/>
    <w:rsid w:val="007C2BA3"/>
    <w:rsid w:val="007C2BAE"/>
    <w:rsid w:val="007C2BBF"/>
    <w:rsid w:val="007C2BC0"/>
    <w:rsid w:val="007C2C0A"/>
    <w:rsid w:val="007C2C46"/>
    <w:rsid w:val="007C2C4E"/>
    <w:rsid w:val="007C2CDE"/>
    <w:rsid w:val="007C2CED"/>
    <w:rsid w:val="007C2D16"/>
    <w:rsid w:val="007C2D8C"/>
    <w:rsid w:val="007C2D94"/>
    <w:rsid w:val="007C2DA2"/>
    <w:rsid w:val="007C2DAC"/>
    <w:rsid w:val="007C2DEC"/>
    <w:rsid w:val="007C2E32"/>
    <w:rsid w:val="007C2E72"/>
    <w:rsid w:val="007C2EAA"/>
    <w:rsid w:val="007C2F0B"/>
    <w:rsid w:val="007C2FC4"/>
    <w:rsid w:val="007C2FC5"/>
    <w:rsid w:val="007C2FDC"/>
    <w:rsid w:val="007C3001"/>
    <w:rsid w:val="007C300F"/>
    <w:rsid w:val="007C3032"/>
    <w:rsid w:val="007C3052"/>
    <w:rsid w:val="007C30D2"/>
    <w:rsid w:val="007C30EC"/>
    <w:rsid w:val="007C3101"/>
    <w:rsid w:val="007C315F"/>
    <w:rsid w:val="007C318B"/>
    <w:rsid w:val="007C31AD"/>
    <w:rsid w:val="007C324C"/>
    <w:rsid w:val="007C3325"/>
    <w:rsid w:val="007C3336"/>
    <w:rsid w:val="007C339A"/>
    <w:rsid w:val="007C33C2"/>
    <w:rsid w:val="007C33CF"/>
    <w:rsid w:val="007C33FF"/>
    <w:rsid w:val="007C3446"/>
    <w:rsid w:val="007C3464"/>
    <w:rsid w:val="007C3481"/>
    <w:rsid w:val="007C3485"/>
    <w:rsid w:val="007C3529"/>
    <w:rsid w:val="007C3599"/>
    <w:rsid w:val="007C3606"/>
    <w:rsid w:val="007C362E"/>
    <w:rsid w:val="007C36E1"/>
    <w:rsid w:val="007C3703"/>
    <w:rsid w:val="007C3755"/>
    <w:rsid w:val="007C3762"/>
    <w:rsid w:val="007C3787"/>
    <w:rsid w:val="007C37C0"/>
    <w:rsid w:val="007C3801"/>
    <w:rsid w:val="007C3823"/>
    <w:rsid w:val="007C382B"/>
    <w:rsid w:val="007C3873"/>
    <w:rsid w:val="007C389F"/>
    <w:rsid w:val="007C38AE"/>
    <w:rsid w:val="007C38C9"/>
    <w:rsid w:val="007C3936"/>
    <w:rsid w:val="007C39D0"/>
    <w:rsid w:val="007C3A06"/>
    <w:rsid w:val="007C3A57"/>
    <w:rsid w:val="007C3AAC"/>
    <w:rsid w:val="007C3B22"/>
    <w:rsid w:val="007C3B25"/>
    <w:rsid w:val="007C3B90"/>
    <w:rsid w:val="007C3BA1"/>
    <w:rsid w:val="007C3BD6"/>
    <w:rsid w:val="007C3BDA"/>
    <w:rsid w:val="007C3C11"/>
    <w:rsid w:val="007C3C17"/>
    <w:rsid w:val="007C3C44"/>
    <w:rsid w:val="007C3CDA"/>
    <w:rsid w:val="007C3D4F"/>
    <w:rsid w:val="007C3D91"/>
    <w:rsid w:val="007C3DF6"/>
    <w:rsid w:val="007C3E0C"/>
    <w:rsid w:val="007C3E10"/>
    <w:rsid w:val="007C3E6F"/>
    <w:rsid w:val="007C3E99"/>
    <w:rsid w:val="007C3ECD"/>
    <w:rsid w:val="007C3F0F"/>
    <w:rsid w:val="007C3F34"/>
    <w:rsid w:val="007C3F6C"/>
    <w:rsid w:val="007C3F74"/>
    <w:rsid w:val="007C3FB3"/>
    <w:rsid w:val="007C405D"/>
    <w:rsid w:val="007C4066"/>
    <w:rsid w:val="007C4088"/>
    <w:rsid w:val="007C409E"/>
    <w:rsid w:val="007C40CC"/>
    <w:rsid w:val="007C4200"/>
    <w:rsid w:val="007C4220"/>
    <w:rsid w:val="007C4221"/>
    <w:rsid w:val="007C4243"/>
    <w:rsid w:val="007C4291"/>
    <w:rsid w:val="007C42B7"/>
    <w:rsid w:val="007C42D4"/>
    <w:rsid w:val="007C4305"/>
    <w:rsid w:val="007C435E"/>
    <w:rsid w:val="007C4372"/>
    <w:rsid w:val="007C438D"/>
    <w:rsid w:val="007C44F3"/>
    <w:rsid w:val="007C459C"/>
    <w:rsid w:val="007C45BB"/>
    <w:rsid w:val="007C45D0"/>
    <w:rsid w:val="007C460E"/>
    <w:rsid w:val="007C462C"/>
    <w:rsid w:val="007C4631"/>
    <w:rsid w:val="007C467C"/>
    <w:rsid w:val="007C470F"/>
    <w:rsid w:val="007C4733"/>
    <w:rsid w:val="007C4767"/>
    <w:rsid w:val="007C47AE"/>
    <w:rsid w:val="007C47D7"/>
    <w:rsid w:val="007C47EC"/>
    <w:rsid w:val="007C4825"/>
    <w:rsid w:val="007C485D"/>
    <w:rsid w:val="007C48A0"/>
    <w:rsid w:val="007C48CF"/>
    <w:rsid w:val="007C48E5"/>
    <w:rsid w:val="007C493A"/>
    <w:rsid w:val="007C4955"/>
    <w:rsid w:val="007C49A2"/>
    <w:rsid w:val="007C49A8"/>
    <w:rsid w:val="007C49F8"/>
    <w:rsid w:val="007C4A00"/>
    <w:rsid w:val="007C4AA3"/>
    <w:rsid w:val="007C4AAF"/>
    <w:rsid w:val="007C4ACC"/>
    <w:rsid w:val="007C4B2F"/>
    <w:rsid w:val="007C4B43"/>
    <w:rsid w:val="007C4B85"/>
    <w:rsid w:val="007C4BAA"/>
    <w:rsid w:val="007C4BEE"/>
    <w:rsid w:val="007C4C00"/>
    <w:rsid w:val="007C4C15"/>
    <w:rsid w:val="007C4C9E"/>
    <w:rsid w:val="007C4D0F"/>
    <w:rsid w:val="007C4D3A"/>
    <w:rsid w:val="007C4DE0"/>
    <w:rsid w:val="007C4E0C"/>
    <w:rsid w:val="007C4E34"/>
    <w:rsid w:val="007C4EE9"/>
    <w:rsid w:val="007C4F3A"/>
    <w:rsid w:val="007C4F66"/>
    <w:rsid w:val="007C5053"/>
    <w:rsid w:val="007C5075"/>
    <w:rsid w:val="007C50B8"/>
    <w:rsid w:val="007C50C3"/>
    <w:rsid w:val="007C50F4"/>
    <w:rsid w:val="007C5150"/>
    <w:rsid w:val="007C517A"/>
    <w:rsid w:val="007C517C"/>
    <w:rsid w:val="007C518A"/>
    <w:rsid w:val="007C5195"/>
    <w:rsid w:val="007C51A1"/>
    <w:rsid w:val="007C51B3"/>
    <w:rsid w:val="007C51F8"/>
    <w:rsid w:val="007C5212"/>
    <w:rsid w:val="007C5219"/>
    <w:rsid w:val="007C5260"/>
    <w:rsid w:val="007C5271"/>
    <w:rsid w:val="007C528D"/>
    <w:rsid w:val="007C52B9"/>
    <w:rsid w:val="007C52CB"/>
    <w:rsid w:val="007C530B"/>
    <w:rsid w:val="007C5359"/>
    <w:rsid w:val="007C5373"/>
    <w:rsid w:val="007C537C"/>
    <w:rsid w:val="007C537F"/>
    <w:rsid w:val="007C5387"/>
    <w:rsid w:val="007C5399"/>
    <w:rsid w:val="007C539E"/>
    <w:rsid w:val="007C53E4"/>
    <w:rsid w:val="007C5417"/>
    <w:rsid w:val="007C543C"/>
    <w:rsid w:val="007C543E"/>
    <w:rsid w:val="007C5451"/>
    <w:rsid w:val="007C54B1"/>
    <w:rsid w:val="007C54BA"/>
    <w:rsid w:val="007C54C3"/>
    <w:rsid w:val="007C54DB"/>
    <w:rsid w:val="007C54EA"/>
    <w:rsid w:val="007C5529"/>
    <w:rsid w:val="007C5532"/>
    <w:rsid w:val="007C5582"/>
    <w:rsid w:val="007C560F"/>
    <w:rsid w:val="007C5651"/>
    <w:rsid w:val="007C566A"/>
    <w:rsid w:val="007C56EC"/>
    <w:rsid w:val="007C570B"/>
    <w:rsid w:val="007C5743"/>
    <w:rsid w:val="007C5783"/>
    <w:rsid w:val="007C5784"/>
    <w:rsid w:val="007C5794"/>
    <w:rsid w:val="007C5825"/>
    <w:rsid w:val="007C5846"/>
    <w:rsid w:val="007C586A"/>
    <w:rsid w:val="007C58D1"/>
    <w:rsid w:val="007C58DB"/>
    <w:rsid w:val="007C595D"/>
    <w:rsid w:val="007C598F"/>
    <w:rsid w:val="007C5994"/>
    <w:rsid w:val="007C5A6C"/>
    <w:rsid w:val="007C5AA8"/>
    <w:rsid w:val="007C5B10"/>
    <w:rsid w:val="007C5B17"/>
    <w:rsid w:val="007C5CC8"/>
    <w:rsid w:val="007C5CE3"/>
    <w:rsid w:val="007C5D0D"/>
    <w:rsid w:val="007C5D2C"/>
    <w:rsid w:val="007C5D2F"/>
    <w:rsid w:val="007C5D5A"/>
    <w:rsid w:val="007C5DAA"/>
    <w:rsid w:val="007C5E89"/>
    <w:rsid w:val="007C5ED2"/>
    <w:rsid w:val="007C5EF0"/>
    <w:rsid w:val="007C5F25"/>
    <w:rsid w:val="007C5F2B"/>
    <w:rsid w:val="007C5F68"/>
    <w:rsid w:val="007C5F6B"/>
    <w:rsid w:val="007C5FCD"/>
    <w:rsid w:val="007C5FE1"/>
    <w:rsid w:val="007C5FF4"/>
    <w:rsid w:val="007C6067"/>
    <w:rsid w:val="007C6071"/>
    <w:rsid w:val="007C6104"/>
    <w:rsid w:val="007C6112"/>
    <w:rsid w:val="007C6134"/>
    <w:rsid w:val="007C6155"/>
    <w:rsid w:val="007C6190"/>
    <w:rsid w:val="007C61C1"/>
    <w:rsid w:val="007C61D3"/>
    <w:rsid w:val="007C6288"/>
    <w:rsid w:val="007C634E"/>
    <w:rsid w:val="007C643A"/>
    <w:rsid w:val="007C6503"/>
    <w:rsid w:val="007C6504"/>
    <w:rsid w:val="007C6509"/>
    <w:rsid w:val="007C650F"/>
    <w:rsid w:val="007C6538"/>
    <w:rsid w:val="007C6567"/>
    <w:rsid w:val="007C65CF"/>
    <w:rsid w:val="007C6602"/>
    <w:rsid w:val="007C6618"/>
    <w:rsid w:val="007C662B"/>
    <w:rsid w:val="007C665E"/>
    <w:rsid w:val="007C669C"/>
    <w:rsid w:val="007C66AF"/>
    <w:rsid w:val="007C66CE"/>
    <w:rsid w:val="007C671C"/>
    <w:rsid w:val="007C6724"/>
    <w:rsid w:val="007C6728"/>
    <w:rsid w:val="007C6754"/>
    <w:rsid w:val="007C6767"/>
    <w:rsid w:val="007C6789"/>
    <w:rsid w:val="007C6791"/>
    <w:rsid w:val="007C67A3"/>
    <w:rsid w:val="007C67AF"/>
    <w:rsid w:val="007C67BD"/>
    <w:rsid w:val="007C67E7"/>
    <w:rsid w:val="007C680A"/>
    <w:rsid w:val="007C688D"/>
    <w:rsid w:val="007C69BD"/>
    <w:rsid w:val="007C69F6"/>
    <w:rsid w:val="007C6A3B"/>
    <w:rsid w:val="007C6A68"/>
    <w:rsid w:val="007C6A71"/>
    <w:rsid w:val="007C6A7D"/>
    <w:rsid w:val="007C6AD0"/>
    <w:rsid w:val="007C6AFC"/>
    <w:rsid w:val="007C6AFD"/>
    <w:rsid w:val="007C6B3E"/>
    <w:rsid w:val="007C6B5C"/>
    <w:rsid w:val="007C6B80"/>
    <w:rsid w:val="007C6BA7"/>
    <w:rsid w:val="007C6BB2"/>
    <w:rsid w:val="007C6BDF"/>
    <w:rsid w:val="007C6BE4"/>
    <w:rsid w:val="007C6BF2"/>
    <w:rsid w:val="007C6C24"/>
    <w:rsid w:val="007C6C55"/>
    <w:rsid w:val="007C6D11"/>
    <w:rsid w:val="007C6D20"/>
    <w:rsid w:val="007C6D3E"/>
    <w:rsid w:val="007C6D82"/>
    <w:rsid w:val="007C6DB7"/>
    <w:rsid w:val="007C6DD7"/>
    <w:rsid w:val="007C6DE4"/>
    <w:rsid w:val="007C6DF1"/>
    <w:rsid w:val="007C6E06"/>
    <w:rsid w:val="007C6E90"/>
    <w:rsid w:val="007C6E9F"/>
    <w:rsid w:val="007C6EA6"/>
    <w:rsid w:val="007C6ED0"/>
    <w:rsid w:val="007C6F23"/>
    <w:rsid w:val="007C6F64"/>
    <w:rsid w:val="007C6F69"/>
    <w:rsid w:val="007C6F90"/>
    <w:rsid w:val="007C6FE2"/>
    <w:rsid w:val="007C6FEA"/>
    <w:rsid w:val="007C6FFD"/>
    <w:rsid w:val="007C700C"/>
    <w:rsid w:val="007C701F"/>
    <w:rsid w:val="007C7026"/>
    <w:rsid w:val="007C7061"/>
    <w:rsid w:val="007C707B"/>
    <w:rsid w:val="007C7085"/>
    <w:rsid w:val="007C70C5"/>
    <w:rsid w:val="007C70EF"/>
    <w:rsid w:val="007C70F4"/>
    <w:rsid w:val="007C716D"/>
    <w:rsid w:val="007C7288"/>
    <w:rsid w:val="007C72FF"/>
    <w:rsid w:val="007C7303"/>
    <w:rsid w:val="007C7336"/>
    <w:rsid w:val="007C733D"/>
    <w:rsid w:val="007C73D4"/>
    <w:rsid w:val="007C7406"/>
    <w:rsid w:val="007C7435"/>
    <w:rsid w:val="007C7490"/>
    <w:rsid w:val="007C7496"/>
    <w:rsid w:val="007C74AE"/>
    <w:rsid w:val="007C7559"/>
    <w:rsid w:val="007C76EB"/>
    <w:rsid w:val="007C76F7"/>
    <w:rsid w:val="007C7758"/>
    <w:rsid w:val="007C7785"/>
    <w:rsid w:val="007C77A2"/>
    <w:rsid w:val="007C77A6"/>
    <w:rsid w:val="007C77C4"/>
    <w:rsid w:val="007C77DD"/>
    <w:rsid w:val="007C781F"/>
    <w:rsid w:val="007C7820"/>
    <w:rsid w:val="007C7827"/>
    <w:rsid w:val="007C7868"/>
    <w:rsid w:val="007C7873"/>
    <w:rsid w:val="007C7952"/>
    <w:rsid w:val="007C795A"/>
    <w:rsid w:val="007C7977"/>
    <w:rsid w:val="007C79A9"/>
    <w:rsid w:val="007C7A70"/>
    <w:rsid w:val="007C7B2C"/>
    <w:rsid w:val="007C7C0A"/>
    <w:rsid w:val="007C7C97"/>
    <w:rsid w:val="007C7CCC"/>
    <w:rsid w:val="007C7CCD"/>
    <w:rsid w:val="007C7D30"/>
    <w:rsid w:val="007C7D3E"/>
    <w:rsid w:val="007C7D74"/>
    <w:rsid w:val="007C7DB2"/>
    <w:rsid w:val="007C7DD8"/>
    <w:rsid w:val="007C7DD9"/>
    <w:rsid w:val="007C7E0D"/>
    <w:rsid w:val="007C7E18"/>
    <w:rsid w:val="007C7F06"/>
    <w:rsid w:val="007C7F0B"/>
    <w:rsid w:val="007C7F14"/>
    <w:rsid w:val="007C7F33"/>
    <w:rsid w:val="007C7F79"/>
    <w:rsid w:val="007C7FE5"/>
    <w:rsid w:val="007D0014"/>
    <w:rsid w:val="007D002F"/>
    <w:rsid w:val="007D0032"/>
    <w:rsid w:val="007D0038"/>
    <w:rsid w:val="007D00DB"/>
    <w:rsid w:val="007D00F2"/>
    <w:rsid w:val="007D0125"/>
    <w:rsid w:val="007D0168"/>
    <w:rsid w:val="007D018D"/>
    <w:rsid w:val="007D01B7"/>
    <w:rsid w:val="007D01C4"/>
    <w:rsid w:val="007D0275"/>
    <w:rsid w:val="007D028C"/>
    <w:rsid w:val="007D02CE"/>
    <w:rsid w:val="007D02F5"/>
    <w:rsid w:val="007D0308"/>
    <w:rsid w:val="007D0313"/>
    <w:rsid w:val="007D0342"/>
    <w:rsid w:val="007D03B3"/>
    <w:rsid w:val="007D0406"/>
    <w:rsid w:val="007D0432"/>
    <w:rsid w:val="007D0479"/>
    <w:rsid w:val="007D0480"/>
    <w:rsid w:val="007D0489"/>
    <w:rsid w:val="007D0496"/>
    <w:rsid w:val="007D04E0"/>
    <w:rsid w:val="007D04EB"/>
    <w:rsid w:val="007D04FB"/>
    <w:rsid w:val="007D0503"/>
    <w:rsid w:val="007D0505"/>
    <w:rsid w:val="007D0583"/>
    <w:rsid w:val="007D0584"/>
    <w:rsid w:val="007D0665"/>
    <w:rsid w:val="007D0666"/>
    <w:rsid w:val="007D06B2"/>
    <w:rsid w:val="007D06BA"/>
    <w:rsid w:val="007D06FA"/>
    <w:rsid w:val="007D071A"/>
    <w:rsid w:val="007D0762"/>
    <w:rsid w:val="007D0797"/>
    <w:rsid w:val="007D07C3"/>
    <w:rsid w:val="007D07C5"/>
    <w:rsid w:val="007D07CB"/>
    <w:rsid w:val="007D07EA"/>
    <w:rsid w:val="007D0804"/>
    <w:rsid w:val="007D0809"/>
    <w:rsid w:val="007D0817"/>
    <w:rsid w:val="007D084A"/>
    <w:rsid w:val="007D089A"/>
    <w:rsid w:val="007D089C"/>
    <w:rsid w:val="007D08D2"/>
    <w:rsid w:val="007D08D3"/>
    <w:rsid w:val="007D08E5"/>
    <w:rsid w:val="007D0944"/>
    <w:rsid w:val="007D09C1"/>
    <w:rsid w:val="007D09CE"/>
    <w:rsid w:val="007D0A96"/>
    <w:rsid w:val="007D0AB3"/>
    <w:rsid w:val="007D0AB7"/>
    <w:rsid w:val="007D0AD4"/>
    <w:rsid w:val="007D0AFD"/>
    <w:rsid w:val="007D0B12"/>
    <w:rsid w:val="007D0B49"/>
    <w:rsid w:val="007D0B5D"/>
    <w:rsid w:val="007D0B5F"/>
    <w:rsid w:val="007D0B85"/>
    <w:rsid w:val="007D0BA6"/>
    <w:rsid w:val="007D0BBC"/>
    <w:rsid w:val="007D0BC4"/>
    <w:rsid w:val="007D0BDD"/>
    <w:rsid w:val="007D0C3D"/>
    <w:rsid w:val="007D0C93"/>
    <w:rsid w:val="007D0CC5"/>
    <w:rsid w:val="007D0D03"/>
    <w:rsid w:val="007D0D06"/>
    <w:rsid w:val="007D0D36"/>
    <w:rsid w:val="007D0D3C"/>
    <w:rsid w:val="007D0D8F"/>
    <w:rsid w:val="007D0D93"/>
    <w:rsid w:val="007D0DB6"/>
    <w:rsid w:val="007D0DFC"/>
    <w:rsid w:val="007D0E03"/>
    <w:rsid w:val="007D0E05"/>
    <w:rsid w:val="007D0E50"/>
    <w:rsid w:val="007D0EBF"/>
    <w:rsid w:val="007D0F71"/>
    <w:rsid w:val="007D0F80"/>
    <w:rsid w:val="007D0FD6"/>
    <w:rsid w:val="007D102F"/>
    <w:rsid w:val="007D105E"/>
    <w:rsid w:val="007D10A9"/>
    <w:rsid w:val="007D10AE"/>
    <w:rsid w:val="007D10FD"/>
    <w:rsid w:val="007D1139"/>
    <w:rsid w:val="007D11B5"/>
    <w:rsid w:val="007D11EE"/>
    <w:rsid w:val="007D11F2"/>
    <w:rsid w:val="007D1219"/>
    <w:rsid w:val="007D1242"/>
    <w:rsid w:val="007D125C"/>
    <w:rsid w:val="007D12CC"/>
    <w:rsid w:val="007D1371"/>
    <w:rsid w:val="007D137C"/>
    <w:rsid w:val="007D1412"/>
    <w:rsid w:val="007D1419"/>
    <w:rsid w:val="007D1429"/>
    <w:rsid w:val="007D143B"/>
    <w:rsid w:val="007D14C7"/>
    <w:rsid w:val="007D14CA"/>
    <w:rsid w:val="007D14E3"/>
    <w:rsid w:val="007D14EA"/>
    <w:rsid w:val="007D14F9"/>
    <w:rsid w:val="007D1547"/>
    <w:rsid w:val="007D1563"/>
    <w:rsid w:val="007D1575"/>
    <w:rsid w:val="007D15A8"/>
    <w:rsid w:val="007D15E8"/>
    <w:rsid w:val="007D1629"/>
    <w:rsid w:val="007D1711"/>
    <w:rsid w:val="007D171C"/>
    <w:rsid w:val="007D171D"/>
    <w:rsid w:val="007D171F"/>
    <w:rsid w:val="007D1746"/>
    <w:rsid w:val="007D176B"/>
    <w:rsid w:val="007D17C1"/>
    <w:rsid w:val="007D17C9"/>
    <w:rsid w:val="007D17D4"/>
    <w:rsid w:val="007D182A"/>
    <w:rsid w:val="007D184B"/>
    <w:rsid w:val="007D189C"/>
    <w:rsid w:val="007D18C7"/>
    <w:rsid w:val="007D18E7"/>
    <w:rsid w:val="007D190F"/>
    <w:rsid w:val="007D1939"/>
    <w:rsid w:val="007D1989"/>
    <w:rsid w:val="007D19D1"/>
    <w:rsid w:val="007D1A5A"/>
    <w:rsid w:val="007D1A74"/>
    <w:rsid w:val="007D1A89"/>
    <w:rsid w:val="007D1B56"/>
    <w:rsid w:val="007D1B70"/>
    <w:rsid w:val="007D1B80"/>
    <w:rsid w:val="007D1C98"/>
    <w:rsid w:val="007D1CB5"/>
    <w:rsid w:val="007D1CBE"/>
    <w:rsid w:val="007D1CF0"/>
    <w:rsid w:val="007D1D2D"/>
    <w:rsid w:val="007D1D46"/>
    <w:rsid w:val="007D1D6C"/>
    <w:rsid w:val="007D1DC0"/>
    <w:rsid w:val="007D1E49"/>
    <w:rsid w:val="007D1E79"/>
    <w:rsid w:val="007D1EAD"/>
    <w:rsid w:val="007D1EB0"/>
    <w:rsid w:val="007D1ED2"/>
    <w:rsid w:val="007D1EDA"/>
    <w:rsid w:val="007D1EDB"/>
    <w:rsid w:val="007D1F02"/>
    <w:rsid w:val="007D1F10"/>
    <w:rsid w:val="007D1F24"/>
    <w:rsid w:val="007D1FB2"/>
    <w:rsid w:val="007D2018"/>
    <w:rsid w:val="007D2049"/>
    <w:rsid w:val="007D204B"/>
    <w:rsid w:val="007D2053"/>
    <w:rsid w:val="007D2054"/>
    <w:rsid w:val="007D2079"/>
    <w:rsid w:val="007D20AF"/>
    <w:rsid w:val="007D20D8"/>
    <w:rsid w:val="007D2101"/>
    <w:rsid w:val="007D2152"/>
    <w:rsid w:val="007D2169"/>
    <w:rsid w:val="007D216B"/>
    <w:rsid w:val="007D21DF"/>
    <w:rsid w:val="007D2285"/>
    <w:rsid w:val="007D22C4"/>
    <w:rsid w:val="007D22D1"/>
    <w:rsid w:val="007D22F8"/>
    <w:rsid w:val="007D2327"/>
    <w:rsid w:val="007D2363"/>
    <w:rsid w:val="007D23E3"/>
    <w:rsid w:val="007D23EA"/>
    <w:rsid w:val="007D23EF"/>
    <w:rsid w:val="007D23F5"/>
    <w:rsid w:val="007D2407"/>
    <w:rsid w:val="007D2424"/>
    <w:rsid w:val="007D2454"/>
    <w:rsid w:val="007D2475"/>
    <w:rsid w:val="007D24B2"/>
    <w:rsid w:val="007D24BA"/>
    <w:rsid w:val="007D24BC"/>
    <w:rsid w:val="007D2500"/>
    <w:rsid w:val="007D2532"/>
    <w:rsid w:val="007D2553"/>
    <w:rsid w:val="007D25DA"/>
    <w:rsid w:val="007D2617"/>
    <w:rsid w:val="007D261B"/>
    <w:rsid w:val="007D2625"/>
    <w:rsid w:val="007D2641"/>
    <w:rsid w:val="007D2705"/>
    <w:rsid w:val="007D273E"/>
    <w:rsid w:val="007D2740"/>
    <w:rsid w:val="007D2763"/>
    <w:rsid w:val="007D2780"/>
    <w:rsid w:val="007D2792"/>
    <w:rsid w:val="007D27F9"/>
    <w:rsid w:val="007D2804"/>
    <w:rsid w:val="007D283F"/>
    <w:rsid w:val="007D284E"/>
    <w:rsid w:val="007D28AE"/>
    <w:rsid w:val="007D28BA"/>
    <w:rsid w:val="007D297B"/>
    <w:rsid w:val="007D2980"/>
    <w:rsid w:val="007D29E4"/>
    <w:rsid w:val="007D2A4E"/>
    <w:rsid w:val="007D2A67"/>
    <w:rsid w:val="007D2AA4"/>
    <w:rsid w:val="007D2B51"/>
    <w:rsid w:val="007D2B7E"/>
    <w:rsid w:val="007D2B8E"/>
    <w:rsid w:val="007D2B91"/>
    <w:rsid w:val="007D2BFC"/>
    <w:rsid w:val="007D2BFD"/>
    <w:rsid w:val="007D2C4E"/>
    <w:rsid w:val="007D2C70"/>
    <w:rsid w:val="007D2C77"/>
    <w:rsid w:val="007D2CAF"/>
    <w:rsid w:val="007D2CCA"/>
    <w:rsid w:val="007D2CD1"/>
    <w:rsid w:val="007D2CFE"/>
    <w:rsid w:val="007D2D81"/>
    <w:rsid w:val="007D2D86"/>
    <w:rsid w:val="007D2D9F"/>
    <w:rsid w:val="007D2DB1"/>
    <w:rsid w:val="007D2DD6"/>
    <w:rsid w:val="007D2E24"/>
    <w:rsid w:val="007D2E72"/>
    <w:rsid w:val="007D2E9C"/>
    <w:rsid w:val="007D2EC8"/>
    <w:rsid w:val="007D2F1D"/>
    <w:rsid w:val="007D2F3B"/>
    <w:rsid w:val="007D2F42"/>
    <w:rsid w:val="007D2F95"/>
    <w:rsid w:val="007D2F9B"/>
    <w:rsid w:val="007D2FA4"/>
    <w:rsid w:val="007D2FBF"/>
    <w:rsid w:val="007D2FD0"/>
    <w:rsid w:val="007D3075"/>
    <w:rsid w:val="007D3108"/>
    <w:rsid w:val="007D315C"/>
    <w:rsid w:val="007D31EB"/>
    <w:rsid w:val="007D3204"/>
    <w:rsid w:val="007D3250"/>
    <w:rsid w:val="007D3257"/>
    <w:rsid w:val="007D325D"/>
    <w:rsid w:val="007D32C4"/>
    <w:rsid w:val="007D32D3"/>
    <w:rsid w:val="007D32DA"/>
    <w:rsid w:val="007D32E6"/>
    <w:rsid w:val="007D3340"/>
    <w:rsid w:val="007D334A"/>
    <w:rsid w:val="007D336C"/>
    <w:rsid w:val="007D337B"/>
    <w:rsid w:val="007D33E0"/>
    <w:rsid w:val="007D341A"/>
    <w:rsid w:val="007D342D"/>
    <w:rsid w:val="007D3445"/>
    <w:rsid w:val="007D346B"/>
    <w:rsid w:val="007D34C0"/>
    <w:rsid w:val="007D34E1"/>
    <w:rsid w:val="007D3515"/>
    <w:rsid w:val="007D3532"/>
    <w:rsid w:val="007D357D"/>
    <w:rsid w:val="007D35BC"/>
    <w:rsid w:val="007D35D8"/>
    <w:rsid w:val="007D366E"/>
    <w:rsid w:val="007D3675"/>
    <w:rsid w:val="007D3697"/>
    <w:rsid w:val="007D3701"/>
    <w:rsid w:val="007D3719"/>
    <w:rsid w:val="007D37D3"/>
    <w:rsid w:val="007D37F6"/>
    <w:rsid w:val="007D3812"/>
    <w:rsid w:val="007D3829"/>
    <w:rsid w:val="007D3870"/>
    <w:rsid w:val="007D38D4"/>
    <w:rsid w:val="007D3936"/>
    <w:rsid w:val="007D394A"/>
    <w:rsid w:val="007D39B0"/>
    <w:rsid w:val="007D3A06"/>
    <w:rsid w:val="007D3A74"/>
    <w:rsid w:val="007D3B22"/>
    <w:rsid w:val="007D3B95"/>
    <w:rsid w:val="007D3BE3"/>
    <w:rsid w:val="007D3C28"/>
    <w:rsid w:val="007D3C73"/>
    <w:rsid w:val="007D3CBB"/>
    <w:rsid w:val="007D3CCB"/>
    <w:rsid w:val="007D3CE1"/>
    <w:rsid w:val="007D3D5F"/>
    <w:rsid w:val="007D3D6F"/>
    <w:rsid w:val="007D3DA0"/>
    <w:rsid w:val="007D3E17"/>
    <w:rsid w:val="007D3E28"/>
    <w:rsid w:val="007D3ED0"/>
    <w:rsid w:val="007D3F01"/>
    <w:rsid w:val="007D3F42"/>
    <w:rsid w:val="007D3F60"/>
    <w:rsid w:val="007D3F73"/>
    <w:rsid w:val="007D3F84"/>
    <w:rsid w:val="007D3FE7"/>
    <w:rsid w:val="007D400C"/>
    <w:rsid w:val="007D401A"/>
    <w:rsid w:val="007D4025"/>
    <w:rsid w:val="007D4079"/>
    <w:rsid w:val="007D40EB"/>
    <w:rsid w:val="007D4118"/>
    <w:rsid w:val="007D4144"/>
    <w:rsid w:val="007D414F"/>
    <w:rsid w:val="007D4181"/>
    <w:rsid w:val="007D419E"/>
    <w:rsid w:val="007D41BD"/>
    <w:rsid w:val="007D41D6"/>
    <w:rsid w:val="007D4204"/>
    <w:rsid w:val="007D423F"/>
    <w:rsid w:val="007D4271"/>
    <w:rsid w:val="007D42B7"/>
    <w:rsid w:val="007D42BC"/>
    <w:rsid w:val="007D42CB"/>
    <w:rsid w:val="007D42E0"/>
    <w:rsid w:val="007D42E2"/>
    <w:rsid w:val="007D4350"/>
    <w:rsid w:val="007D43A1"/>
    <w:rsid w:val="007D43DE"/>
    <w:rsid w:val="007D4427"/>
    <w:rsid w:val="007D444C"/>
    <w:rsid w:val="007D4454"/>
    <w:rsid w:val="007D44AD"/>
    <w:rsid w:val="007D44C1"/>
    <w:rsid w:val="007D44F2"/>
    <w:rsid w:val="007D4501"/>
    <w:rsid w:val="007D45B6"/>
    <w:rsid w:val="007D45C3"/>
    <w:rsid w:val="007D462F"/>
    <w:rsid w:val="007D4643"/>
    <w:rsid w:val="007D467B"/>
    <w:rsid w:val="007D46A7"/>
    <w:rsid w:val="007D46B2"/>
    <w:rsid w:val="007D47D0"/>
    <w:rsid w:val="007D4800"/>
    <w:rsid w:val="007D4810"/>
    <w:rsid w:val="007D4857"/>
    <w:rsid w:val="007D4870"/>
    <w:rsid w:val="007D4898"/>
    <w:rsid w:val="007D48E3"/>
    <w:rsid w:val="007D48E4"/>
    <w:rsid w:val="007D4962"/>
    <w:rsid w:val="007D4975"/>
    <w:rsid w:val="007D49B1"/>
    <w:rsid w:val="007D49DE"/>
    <w:rsid w:val="007D49E4"/>
    <w:rsid w:val="007D4A15"/>
    <w:rsid w:val="007D4A56"/>
    <w:rsid w:val="007D4A72"/>
    <w:rsid w:val="007D4AA9"/>
    <w:rsid w:val="007D4AD2"/>
    <w:rsid w:val="007D4B0C"/>
    <w:rsid w:val="007D4B19"/>
    <w:rsid w:val="007D4B5F"/>
    <w:rsid w:val="007D4B62"/>
    <w:rsid w:val="007D4B9B"/>
    <w:rsid w:val="007D4BBC"/>
    <w:rsid w:val="007D4BC5"/>
    <w:rsid w:val="007D4BCD"/>
    <w:rsid w:val="007D4BFF"/>
    <w:rsid w:val="007D4C09"/>
    <w:rsid w:val="007D4C95"/>
    <w:rsid w:val="007D4D62"/>
    <w:rsid w:val="007D4D87"/>
    <w:rsid w:val="007D4D95"/>
    <w:rsid w:val="007D4DBA"/>
    <w:rsid w:val="007D4DCA"/>
    <w:rsid w:val="007D4DE3"/>
    <w:rsid w:val="007D4E0B"/>
    <w:rsid w:val="007D4EAA"/>
    <w:rsid w:val="007D4EC1"/>
    <w:rsid w:val="007D4F68"/>
    <w:rsid w:val="007D4FA7"/>
    <w:rsid w:val="007D5090"/>
    <w:rsid w:val="007D50D1"/>
    <w:rsid w:val="007D50D8"/>
    <w:rsid w:val="007D50DD"/>
    <w:rsid w:val="007D50E1"/>
    <w:rsid w:val="007D50E5"/>
    <w:rsid w:val="007D5167"/>
    <w:rsid w:val="007D5188"/>
    <w:rsid w:val="007D51A2"/>
    <w:rsid w:val="007D51B0"/>
    <w:rsid w:val="007D51DB"/>
    <w:rsid w:val="007D529E"/>
    <w:rsid w:val="007D5300"/>
    <w:rsid w:val="007D5317"/>
    <w:rsid w:val="007D5348"/>
    <w:rsid w:val="007D536A"/>
    <w:rsid w:val="007D53F6"/>
    <w:rsid w:val="007D5453"/>
    <w:rsid w:val="007D5454"/>
    <w:rsid w:val="007D547E"/>
    <w:rsid w:val="007D54EC"/>
    <w:rsid w:val="007D54F3"/>
    <w:rsid w:val="007D550F"/>
    <w:rsid w:val="007D556D"/>
    <w:rsid w:val="007D5590"/>
    <w:rsid w:val="007D55BC"/>
    <w:rsid w:val="007D55D2"/>
    <w:rsid w:val="007D55D5"/>
    <w:rsid w:val="007D55DD"/>
    <w:rsid w:val="007D55DF"/>
    <w:rsid w:val="007D5603"/>
    <w:rsid w:val="007D5621"/>
    <w:rsid w:val="007D5639"/>
    <w:rsid w:val="007D5661"/>
    <w:rsid w:val="007D5674"/>
    <w:rsid w:val="007D568D"/>
    <w:rsid w:val="007D579C"/>
    <w:rsid w:val="007D57C7"/>
    <w:rsid w:val="007D57E1"/>
    <w:rsid w:val="007D5800"/>
    <w:rsid w:val="007D5825"/>
    <w:rsid w:val="007D583F"/>
    <w:rsid w:val="007D593D"/>
    <w:rsid w:val="007D59A3"/>
    <w:rsid w:val="007D59B6"/>
    <w:rsid w:val="007D59C6"/>
    <w:rsid w:val="007D5A02"/>
    <w:rsid w:val="007D5A10"/>
    <w:rsid w:val="007D5A89"/>
    <w:rsid w:val="007D5A92"/>
    <w:rsid w:val="007D5A9E"/>
    <w:rsid w:val="007D5ABC"/>
    <w:rsid w:val="007D5ACC"/>
    <w:rsid w:val="007D5AFC"/>
    <w:rsid w:val="007D5B07"/>
    <w:rsid w:val="007D5B9C"/>
    <w:rsid w:val="007D5BA0"/>
    <w:rsid w:val="007D5BE5"/>
    <w:rsid w:val="007D5C59"/>
    <w:rsid w:val="007D5C8A"/>
    <w:rsid w:val="007D5CCB"/>
    <w:rsid w:val="007D5D20"/>
    <w:rsid w:val="007D5D6B"/>
    <w:rsid w:val="007D5D74"/>
    <w:rsid w:val="007D5D7E"/>
    <w:rsid w:val="007D5DB0"/>
    <w:rsid w:val="007D5DB4"/>
    <w:rsid w:val="007D5E8D"/>
    <w:rsid w:val="007D5E92"/>
    <w:rsid w:val="007D5E9D"/>
    <w:rsid w:val="007D5F02"/>
    <w:rsid w:val="007D5F45"/>
    <w:rsid w:val="007D5F58"/>
    <w:rsid w:val="007D5F61"/>
    <w:rsid w:val="007D5F6C"/>
    <w:rsid w:val="007D5F7A"/>
    <w:rsid w:val="007D5F8E"/>
    <w:rsid w:val="007D5FA3"/>
    <w:rsid w:val="007D5FC4"/>
    <w:rsid w:val="007D5FC5"/>
    <w:rsid w:val="007D5FCA"/>
    <w:rsid w:val="007D5FE8"/>
    <w:rsid w:val="007D6067"/>
    <w:rsid w:val="007D606B"/>
    <w:rsid w:val="007D6082"/>
    <w:rsid w:val="007D610A"/>
    <w:rsid w:val="007D6117"/>
    <w:rsid w:val="007D6177"/>
    <w:rsid w:val="007D6182"/>
    <w:rsid w:val="007D61E1"/>
    <w:rsid w:val="007D6236"/>
    <w:rsid w:val="007D6253"/>
    <w:rsid w:val="007D62D5"/>
    <w:rsid w:val="007D62F9"/>
    <w:rsid w:val="007D632B"/>
    <w:rsid w:val="007D633D"/>
    <w:rsid w:val="007D6352"/>
    <w:rsid w:val="007D6398"/>
    <w:rsid w:val="007D63AA"/>
    <w:rsid w:val="007D63C6"/>
    <w:rsid w:val="007D6443"/>
    <w:rsid w:val="007D6476"/>
    <w:rsid w:val="007D647B"/>
    <w:rsid w:val="007D652F"/>
    <w:rsid w:val="007D653A"/>
    <w:rsid w:val="007D655F"/>
    <w:rsid w:val="007D65C6"/>
    <w:rsid w:val="007D65DA"/>
    <w:rsid w:val="007D65FE"/>
    <w:rsid w:val="007D6611"/>
    <w:rsid w:val="007D6644"/>
    <w:rsid w:val="007D6658"/>
    <w:rsid w:val="007D669F"/>
    <w:rsid w:val="007D6717"/>
    <w:rsid w:val="007D6762"/>
    <w:rsid w:val="007D676D"/>
    <w:rsid w:val="007D676E"/>
    <w:rsid w:val="007D67AF"/>
    <w:rsid w:val="007D67FA"/>
    <w:rsid w:val="007D681E"/>
    <w:rsid w:val="007D687F"/>
    <w:rsid w:val="007D6891"/>
    <w:rsid w:val="007D68AE"/>
    <w:rsid w:val="007D6903"/>
    <w:rsid w:val="007D6912"/>
    <w:rsid w:val="007D6983"/>
    <w:rsid w:val="007D6A00"/>
    <w:rsid w:val="007D6AF6"/>
    <w:rsid w:val="007D6B05"/>
    <w:rsid w:val="007D6B5C"/>
    <w:rsid w:val="007D6B60"/>
    <w:rsid w:val="007D6B7C"/>
    <w:rsid w:val="007D6B90"/>
    <w:rsid w:val="007D6BA1"/>
    <w:rsid w:val="007D6BB2"/>
    <w:rsid w:val="007D6C14"/>
    <w:rsid w:val="007D6C19"/>
    <w:rsid w:val="007D6C35"/>
    <w:rsid w:val="007D6C9A"/>
    <w:rsid w:val="007D6CCD"/>
    <w:rsid w:val="007D6D4D"/>
    <w:rsid w:val="007D6D5D"/>
    <w:rsid w:val="007D6D7B"/>
    <w:rsid w:val="007D6E2E"/>
    <w:rsid w:val="007D6E66"/>
    <w:rsid w:val="007D6E78"/>
    <w:rsid w:val="007D6F13"/>
    <w:rsid w:val="007D6F60"/>
    <w:rsid w:val="007D6F6E"/>
    <w:rsid w:val="007D6F93"/>
    <w:rsid w:val="007D6FC3"/>
    <w:rsid w:val="007D6FCB"/>
    <w:rsid w:val="007D700C"/>
    <w:rsid w:val="007D70A2"/>
    <w:rsid w:val="007D70CF"/>
    <w:rsid w:val="007D711F"/>
    <w:rsid w:val="007D713D"/>
    <w:rsid w:val="007D7148"/>
    <w:rsid w:val="007D71EB"/>
    <w:rsid w:val="007D71EE"/>
    <w:rsid w:val="007D720D"/>
    <w:rsid w:val="007D724E"/>
    <w:rsid w:val="007D72B3"/>
    <w:rsid w:val="007D72B9"/>
    <w:rsid w:val="007D72DE"/>
    <w:rsid w:val="007D7303"/>
    <w:rsid w:val="007D7306"/>
    <w:rsid w:val="007D7314"/>
    <w:rsid w:val="007D7342"/>
    <w:rsid w:val="007D73D4"/>
    <w:rsid w:val="007D73E7"/>
    <w:rsid w:val="007D7534"/>
    <w:rsid w:val="007D7566"/>
    <w:rsid w:val="007D759C"/>
    <w:rsid w:val="007D7633"/>
    <w:rsid w:val="007D763E"/>
    <w:rsid w:val="007D764F"/>
    <w:rsid w:val="007D76E6"/>
    <w:rsid w:val="007D772F"/>
    <w:rsid w:val="007D7775"/>
    <w:rsid w:val="007D77DD"/>
    <w:rsid w:val="007D77E0"/>
    <w:rsid w:val="007D7815"/>
    <w:rsid w:val="007D7850"/>
    <w:rsid w:val="007D785F"/>
    <w:rsid w:val="007D78E0"/>
    <w:rsid w:val="007D78FB"/>
    <w:rsid w:val="007D791F"/>
    <w:rsid w:val="007D7928"/>
    <w:rsid w:val="007D7935"/>
    <w:rsid w:val="007D79ED"/>
    <w:rsid w:val="007D7A04"/>
    <w:rsid w:val="007D7A0D"/>
    <w:rsid w:val="007D7A18"/>
    <w:rsid w:val="007D7A52"/>
    <w:rsid w:val="007D7AA2"/>
    <w:rsid w:val="007D7AB7"/>
    <w:rsid w:val="007D7B41"/>
    <w:rsid w:val="007D7B73"/>
    <w:rsid w:val="007D7BBB"/>
    <w:rsid w:val="007D7BFC"/>
    <w:rsid w:val="007D7C0C"/>
    <w:rsid w:val="007D7C2D"/>
    <w:rsid w:val="007D7C55"/>
    <w:rsid w:val="007D7CC8"/>
    <w:rsid w:val="007D7CE0"/>
    <w:rsid w:val="007D7CF6"/>
    <w:rsid w:val="007D7D2D"/>
    <w:rsid w:val="007D7D93"/>
    <w:rsid w:val="007D7D9C"/>
    <w:rsid w:val="007D7DCD"/>
    <w:rsid w:val="007D7E43"/>
    <w:rsid w:val="007D7ECD"/>
    <w:rsid w:val="007E007E"/>
    <w:rsid w:val="007E00FA"/>
    <w:rsid w:val="007E0132"/>
    <w:rsid w:val="007E017D"/>
    <w:rsid w:val="007E01B2"/>
    <w:rsid w:val="007E01C3"/>
    <w:rsid w:val="007E01C5"/>
    <w:rsid w:val="007E01F8"/>
    <w:rsid w:val="007E021F"/>
    <w:rsid w:val="007E0221"/>
    <w:rsid w:val="007E023F"/>
    <w:rsid w:val="007E028F"/>
    <w:rsid w:val="007E02BD"/>
    <w:rsid w:val="007E02D1"/>
    <w:rsid w:val="007E02F0"/>
    <w:rsid w:val="007E030E"/>
    <w:rsid w:val="007E032A"/>
    <w:rsid w:val="007E036B"/>
    <w:rsid w:val="007E0428"/>
    <w:rsid w:val="007E04C5"/>
    <w:rsid w:val="007E04D9"/>
    <w:rsid w:val="007E04F4"/>
    <w:rsid w:val="007E052D"/>
    <w:rsid w:val="007E0555"/>
    <w:rsid w:val="007E0556"/>
    <w:rsid w:val="007E0557"/>
    <w:rsid w:val="007E05D4"/>
    <w:rsid w:val="007E05FF"/>
    <w:rsid w:val="007E0607"/>
    <w:rsid w:val="007E0613"/>
    <w:rsid w:val="007E061D"/>
    <w:rsid w:val="007E064C"/>
    <w:rsid w:val="007E0653"/>
    <w:rsid w:val="007E0682"/>
    <w:rsid w:val="007E0689"/>
    <w:rsid w:val="007E068A"/>
    <w:rsid w:val="007E068F"/>
    <w:rsid w:val="007E06A5"/>
    <w:rsid w:val="007E0734"/>
    <w:rsid w:val="007E0739"/>
    <w:rsid w:val="007E074C"/>
    <w:rsid w:val="007E0779"/>
    <w:rsid w:val="007E0793"/>
    <w:rsid w:val="007E07A7"/>
    <w:rsid w:val="007E080C"/>
    <w:rsid w:val="007E085D"/>
    <w:rsid w:val="007E0863"/>
    <w:rsid w:val="007E086E"/>
    <w:rsid w:val="007E087E"/>
    <w:rsid w:val="007E08A9"/>
    <w:rsid w:val="007E08B1"/>
    <w:rsid w:val="007E094F"/>
    <w:rsid w:val="007E097C"/>
    <w:rsid w:val="007E09ED"/>
    <w:rsid w:val="007E09FD"/>
    <w:rsid w:val="007E0A0F"/>
    <w:rsid w:val="007E0A22"/>
    <w:rsid w:val="007E0A30"/>
    <w:rsid w:val="007E0A4F"/>
    <w:rsid w:val="007E0A57"/>
    <w:rsid w:val="007E0A81"/>
    <w:rsid w:val="007E0B27"/>
    <w:rsid w:val="007E0BBC"/>
    <w:rsid w:val="007E0BBE"/>
    <w:rsid w:val="007E0BF6"/>
    <w:rsid w:val="007E0D3D"/>
    <w:rsid w:val="007E0D42"/>
    <w:rsid w:val="007E0D95"/>
    <w:rsid w:val="007E0DA1"/>
    <w:rsid w:val="007E0DB9"/>
    <w:rsid w:val="007E0E09"/>
    <w:rsid w:val="007E0E95"/>
    <w:rsid w:val="007E0ECB"/>
    <w:rsid w:val="007E0EE4"/>
    <w:rsid w:val="007E0EFB"/>
    <w:rsid w:val="007E0F27"/>
    <w:rsid w:val="007E0F7F"/>
    <w:rsid w:val="007E1022"/>
    <w:rsid w:val="007E10A1"/>
    <w:rsid w:val="007E112E"/>
    <w:rsid w:val="007E113C"/>
    <w:rsid w:val="007E1150"/>
    <w:rsid w:val="007E11E4"/>
    <w:rsid w:val="007E11E8"/>
    <w:rsid w:val="007E122A"/>
    <w:rsid w:val="007E1244"/>
    <w:rsid w:val="007E124C"/>
    <w:rsid w:val="007E12B8"/>
    <w:rsid w:val="007E12BD"/>
    <w:rsid w:val="007E133A"/>
    <w:rsid w:val="007E141C"/>
    <w:rsid w:val="007E143E"/>
    <w:rsid w:val="007E1456"/>
    <w:rsid w:val="007E146B"/>
    <w:rsid w:val="007E146C"/>
    <w:rsid w:val="007E1486"/>
    <w:rsid w:val="007E14D6"/>
    <w:rsid w:val="007E1535"/>
    <w:rsid w:val="007E1566"/>
    <w:rsid w:val="007E1577"/>
    <w:rsid w:val="007E163A"/>
    <w:rsid w:val="007E164E"/>
    <w:rsid w:val="007E1655"/>
    <w:rsid w:val="007E169A"/>
    <w:rsid w:val="007E16B9"/>
    <w:rsid w:val="007E17B3"/>
    <w:rsid w:val="007E181F"/>
    <w:rsid w:val="007E18A4"/>
    <w:rsid w:val="007E18C6"/>
    <w:rsid w:val="007E18F9"/>
    <w:rsid w:val="007E1902"/>
    <w:rsid w:val="007E190D"/>
    <w:rsid w:val="007E19A5"/>
    <w:rsid w:val="007E19C6"/>
    <w:rsid w:val="007E19C8"/>
    <w:rsid w:val="007E19F9"/>
    <w:rsid w:val="007E1A34"/>
    <w:rsid w:val="007E1A3C"/>
    <w:rsid w:val="007E1A8C"/>
    <w:rsid w:val="007E1A8E"/>
    <w:rsid w:val="007E1AB4"/>
    <w:rsid w:val="007E1AD4"/>
    <w:rsid w:val="007E1AF9"/>
    <w:rsid w:val="007E1B85"/>
    <w:rsid w:val="007E1BAB"/>
    <w:rsid w:val="007E1BFA"/>
    <w:rsid w:val="007E1C1C"/>
    <w:rsid w:val="007E1C79"/>
    <w:rsid w:val="007E1CEA"/>
    <w:rsid w:val="007E1D37"/>
    <w:rsid w:val="007E1D7E"/>
    <w:rsid w:val="007E1D94"/>
    <w:rsid w:val="007E1DF7"/>
    <w:rsid w:val="007E1E01"/>
    <w:rsid w:val="007E1E26"/>
    <w:rsid w:val="007E1E58"/>
    <w:rsid w:val="007E1E96"/>
    <w:rsid w:val="007E1E99"/>
    <w:rsid w:val="007E1EA5"/>
    <w:rsid w:val="007E1EA8"/>
    <w:rsid w:val="007E1EB2"/>
    <w:rsid w:val="007E1F1D"/>
    <w:rsid w:val="007E1F3E"/>
    <w:rsid w:val="007E1F4E"/>
    <w:rsid w:val="007E1FAF"/>
    <w:rsid w:val="007E201E"/>
    <w:rsid w:val="007E202B"/>
    <w:rsid w:val="007E203B"/>
    <w:rsid w:val="007E2056"/>
    <w:rsid w:val="007E20CB"/>
    <w:rsid w:val="007E2109"/>
    <w:rsid w:val="007E210F"/>
    <w:rsid w:val="007E2143"/>
    <w:rsid w:val="007E2177"/>
    <w:rsid w:val="007E21F4"/>
    <w:rsid w:val="007E222C"/>
    <w:rsid w:val="007E224F"/>
    <w:rsid w:val="007E2257"/>
    <w:rsid w:val="007E225A"/>
    <w:rsid w:val="007E2261"/>
    <w:rsid w:val="007E2278"/>
    <w:rsid w:val="007E2279"/>
    <w:rsid w:val="007E2299"/>
    <w:rsid w:val="007E22A3"/>
    <w:rsid w:val="007E22E7"/>
    <w:rsid w:val="007E2348"/>
    <w:rsid w:val="007E2393"/>
    <w:rsid w:val="007E23EE"/>
    <w:rsid w:val="007E23F1"/>
    <w:rsid w:val="007E2458"/>
    <w:rsid w:val="007E2550"/>
    <w:rsid w:val="007E258C"/>
    <w:rsid w:val="007E25C7"/>
    <w:rsid w:val="007E25D9"/>
    <w:rsid w:val="007E266C"/>
    <w:rsid w:val="007E26A7"/>
    <w:rsid w:val="007E26AF"/>
    <w:rsid w:val="007E26CC"/>
    <w:rsid w:val="007E26D4"/>
    <w:rsid w:val="007E2714"/>
    <w:rsid w:val="007E2765"/>
    <w:rsid w:val="007E2795"/>
    <w:rsid w:val="007E27A7"/>
    <w:rsid w:val="007E27F2"/>
    <w:rsid w:val="007E281A"/>
    <w:rsid w:val="007E2899"/>
    <w:rsid w:val="007E28E7"/>
    <w:rsid w:val="007E28FA"/>
    <w:rsid w:val="007E2909"/>
    <w:rsid w:val="007E2957"/>
    <w:rsid w:val="007E2975"/>
    <w:rsid w:val="007E29A7"/>
    <w:rsid w:val="007E2A0C"/>
    <w:rsid w:val="007E2A0F"/>
    <w:rsid w:val="007E2A49"/>
    <w:rsid w:val="007E2AF7"/>
    <w:rsid w:val="007E2AFD"/>
    <w:rsid w:val="007E2B42"/>
    <w:rsid w:val="007E2B57"/>
    <w:rsid w:val="007E2B67"/>
    <w:rsid w:val="007E2BA1"/>
    <w:rsid w:val="007E2BA7"/>
    <w:rsid w:val="007E2BD9"/>
    <w:rsid w:val="007E2BE7"/>
    <w:rsid w:val="007E2C2D"/>
    <w:rsid w:val="007E2C37"/>
    <w:rsid w:val="007E2C73"/>
    <w:rsid w:val="007E2C94"/>
    <w:rsid w:val="007E2D0A"/>
    <w:rsid w:val="007E2D48"/>
    <w:rsid w:val="007E2D69"/>
    <w:rsid w:val="007E2D93"/>
    <w:rsid w:val="007E2DA0"/>
    <w:rsid w:val="007E2DA1"/>
    <w:rsid w:val="007E2DAC"/>
    <w:rsid w:val="007E2E30"/>
    <w:rsid w:val="007E2E5A"/>
    <w:rsid w:val="007E2E9E"/>
    <w:rsid w:val="007E2F43"/>
    <w:rsid w:val="007E2FAF"/>
    <w:rsid w:val="007E3013"/>
    <w:rsid w:val="007E3074"/>
    <w:rsid w:val="007E3077"/>
    <w:rsid w:val="007E30B9"/>
    <w:rsid w:val="007E3100"/>
    <w:rsid w:val="007E3101"/>
    <w:rsid w:val="007E3126"/>
    <w:rsid w:val="007E3134"/>
    <w:rsid w:val="007E3154"/>
    <w:rsid w:val="007E31F6"/>
    <w:rsid w:val="007E3202"/>
    <w:rsid w:val="007E322B"/>
    <w:rsid w:val="007E3265"/>
    <w:rsid w:val="007E3269"/>
    <w:rsid w:val="007E3297"/>
    <w:rsid w:val="007E329B"/>
    <w:rsid w:val="007E32E3"/>
    <w:rsid w:val="007E3313"/>
    <w:rsid w:val="007E3384"/>
    <w:rsid w:val="007E3387"/>
    <w:rsid w:val="007E345F"/>
    <w:rsid w:val="007E34B8"/>
    <w:rsid w:val="007E34F9"/>
    <w:rsid w:val="007E353D"/>
    <w:rsid w:val="007E3562"/>
    <w:rsid w:val="007E35B5"/>
    <w:rsid w:val="007E35D6"/>
    <w:rsid w:val="007E3611"/>
    <w:rsid w:val="007E3615"/>
    <w:rsid w:val="007E3648"/>
    <w:rsid w:val="007E3695"/>
    <w:rsid w:val="007E36FA"/>
    <w:rsid w:val="007E37A3"/>
    <w:rsid w:val="007E3802"/>
    <w:rsid w:val="007E383E"/>
    <w:rsid w:val="007E387D"/>
    <w:rsid w:val="007E3892"/>
    <w:rsid w:val="007E3894"/>
    <w:rsid w:val="007E38E2"/>
    <w:rsid w:val="007E3907"/>
    <w:rsid w:val="007E3914"/>
    <w:rsid w:val="007E3950"/>
    <w:rsid w:val="007E395C"/>
    <w:rsid w:val="007E3967"/>
    <w:rsid w:val="007E39F9"/>
    <w:rsid w:val="007E3A1C"/>
    <w:rsid w:val="007E3A20"/>
    <w:rsid w:val="007E3A2A"/>
    <w:rsid w:val="007E3A31"/>
    <w:rsid w:val="007E3A40"/>
    <w:rsid w:val="007E3A6F"/>
    <w:rsid w:val="007E3A81"/>
    <w:rsid w:val="007E3A94"/>
    <w:rsid w:val="007E3AB6"/>
    <w:rsid w:val="007E3B48"/>
    <w:rsid w:val="007E3B75"/>
    <w:rsid w:val="007E3BB3"/>
    <w:rsid w:val="007E3BCD"/>
    <w:rsid w:val="007E3BD9"/>
    <w:rsid w:val="007E3BE6"/>
    <w:rsid w:val="007E3BF9"/>
    <w:rsid w:val="007E3BFD"/>
    <w:rsid w:val="007E3C11"/>
    <w:rsid w:val="007E3C93"/>
    <w:rsid w:val="007E3CA0"/>
    <w:rsid w:val="007E3CAA"/>
    <w:rsid w:val="007E3CE5"/>
    <w:rsid w:val="007E3D3B"/>
    <w:rsid w:val="007E3DE1"/>
    <w:rsid w:val="007E3DF5"/>
    <w:rsid w:val="007E3E35"/>
    <w:rsid w:val="007E3E85"/>
    <w:rsid w:val="007E3ED9"/>
    <w:rsid w:val="007E3F2C"/>
    <w:rsid w:val="007E3F40"/>
    <w:rsid w:val="007E3F90"/>
    <w:rsid w:val="007E3FD6"/>
    <w:rsid w:val="007E4015"/>
    <w:rsid w:val="007E4023"/>
    <w:rsid w:val="007E4030"/>
    <w:rsid w:val="007E4051"/>
    <w:rsid w:val="007E4094"/>
    <w:rsid w:val="007E40A4"/>
    <w:rsid w:val="007E40DE"/>
    <w:rsid w:val="007E40E3"/>
    <w:rsid w:val="007E4136"/>
    <w:rsid w:val="007E414E"/>
    <w:rsid w:val="007E4182"/>
    <w:rsid w:val="007E41B1"/>
    <w:rsid w:val="007E41C3"/>
    <w:rsid w:val="007E4203"/>
    <w:rsid w:val="007E42AB"/>
    <w:rsid w:val="007E4300"/>
    <w:rsid w:val="007E432F"/>
    <w:rsid w:val="007E4331"/>
    <w:rsid w:val="007E4353"/>
    <w:rsid w:val="007E4356"/>
    <w:rsid w:val="007E4370"/>
    <w:rsid w:val="007E4379"/>
    <w:rsid w:val="007E438B"/>
    <w:rsid w:val="007E43CB"/>
    <w:rsid w:val="007E441F"/>
    <w:rsid w:val="007E4422"/>
    <w:rsid w:val="007E4441"/>
    <w:rsid w:val="007E4447"/>
    <w:rsid w:val="007E4498"/>
    <w:rsid w:val="007E44AE"/>
    <w:rsid w:val="007E452A"/>
    <w:rsid w:val="007E456E"/>
    <w:rsid w:val="007E458E"/>
    <w:rsid w:val="007E4658"/>
    <w:rsid w:val="007E4668"/>
    <w:rsid w:val="007E467B"/>
    <w:rsid w:val="007E46A7"/>
    <w:rsid w:val="007E46E9"/>
    <w:rsid w:val="007E4708"/>
    <w:rsid w:val="007E479C"/>
    <w:rsid w:val="007E47A9"/>
    <w:rsid w:val="007E47CC"/>
    <w:rsid w:val="007E47CD"/>
    <w:rsid w:val="007E47F8"/>
    <w:rsid w:val="007E483E"/>
    <w:rsid w:val="007E486C"/>
    <w:rsid w:val="007E487C"/>
    <w:rsid w:val="007E487F"/>
    <w:rsid w:val="007E4887"/>
    <w:rsid w:val="007E4895"/>
    <w:rsid w:val="007E48AC"/>
    <w:rsid w:val="007E4945"/>
    <w:rsid w:val="007E4948"/>
    <w:rsid w:val="007E4953"/>
    <w:rsid w:val="007E495D"/>
    <w:rsid w:val="007E4A86"/>
    <w:rsid w:val="007E4ABE"/>
    <w:rsid w:val="007E4B17"/>
    <w:rsid w:val="007E4B29"/>
    <w:rsid w:val="007E4B2B"/>
    <w:rsid w:val="007E4B2D"/>
    <w:rsid w:val="007E4B60"/>
    <w:rsid w:val="007E4B68"/>
    <w:rsid w:val="007E4B95"/>
    <w:rsid w:val="007E4BD5"/>
    <w:rsid w:val="007E4BD6"/>
    <w:rsid w:val="007E4BD9"/>
    <w:rsid w:val="007E4C0C"/>
    <w:rsid w:val="007E4C36"/>
    <w:rsid w:val="007E4C67"/>
    <w:rsid w:val="007E4CAC"/>
    <w:rsid w:val="007E4CB7"/>
    <w:rsid w:val="007E4CC7"/>
    <w:rsid w:val="007E4CDA"/>
    <w:rsid w:val="007E4D21"/>
    <w:rsid w:val="007E4D54"/>
    <w:rsid w:val="007E4D5B"/>
    <w:rsid w:val="007E4D67"/>
    <w:rsid w:val="007E4E79"/>
    <w:rsid w:val="007E4F0A"/>
    <w:rsid w:val="007E4F93"/>
    <w:rsid w:val="007E4FB3"/>
    <w:rsid w:val="007E4FF6"/>
    <w:rsid w:val="007E4FFC"/>
    <w:rsid w:val="007E5000"/>
    <w:rsid w:val="007E50B4"/>
    <w:rsid w:val="007E50D6"/>
    <w:rsid w:val="007E5155"/>
    <w:rsid w:val="007E51D4"/>
    <w:rsid w:val="007E51FB"/>
    <w:rsid w:val="007E522A"/>
    <w:rsid w:val="007E5249"/>
    <w:rsid w:val="007E52BF"/>
    <w:rsid w:val="007E52CC"/>
    <w:rsid w:val="007E531C"/>
    <w:rsid w:val="007E5385"/>
    <w:rsid w:val="007E53C1"/>
    <w:rsid w:val="007E5401"/>
    <w:rsid w:val="007E5454"/>
    <w:rsid w:val="007E5483"/>
    <w:rsid w:val="007E54B2"/>
    <w:rsid w:val="007E54B9"/>
    <w:rsid w:val="007E54D7"/>
    <w:rsid w:val="007E5535"/>
    <w:rsid w:val="007E5538"/>
    <w:rsid w:val="007E557E"/>
    <w:rsid w:val="007E55E4"/>
    <w:rsid w:val="007E55EF"/>
    <w:rsid w:val="007E55F4"/>
    <w:rsid w:val="007E562A"/>
    <w:rsid w:val="007E5635"/>
    <w:rsid w:val="007E5641"/>
    <w:rsid w:val="007E5648"/>
    <w:rsid w:val="007E565A"/>
    <w:rsid w:val="007E56BC"/>
    <w:rsid w:val="007E56C7"/>
    <w:rsid w:val="007E56E1"/>
    <w:rsid w:val="007E571B"/>
    <w:rsid w:val="007E571E"/>
    <w:rsid w:val="007E5723"/>
    <w:rsid w:val="007E575A"/>
    <w:rsid w:val="007E5762"/>
    <w:rsid w:val="007E5793"/>
    <w:rsid w:val="007E57AF"/>
    <w:rsid w:val="007E5840"/>
    <w:rsid w:val="007E5855"/>
    <w:rsid w:val="007E585E"/>
    <w:rsid w:val="007E589E"/>
    <w:rsid w:val="007E5903"/>
    <w:rsid w:val="007E594A"/>
    <w:rsid w:val="007E5978"/>
    <w:rsid w:val="007E59A8"/>
    <w:rsid w:val="007E59AB"/>
    <w:rsid w:val="007E59CA"/>
    <w:rsid w:val="007E59E0"/>
    <w:rsid w:val="007E59F2"/>
    <w:rsid w:val="007E59F3"/>
    <w:rsid w:val="007E5A36"/>
    <w:rsid w:val="007E5A3D"/>
    <w:rsid w:val="007E5A51"/>
    <w:rsid w:val="007E5AFD"/>
    <w:rsid w:val="007E5B22"/>
    <w:rsid w:val="007E5B2F"/>
    <w:rsid w:val="007E5B7C"/>
    <w:rsid w:val="007E5B86"/>
    <w:rsid w:val="007E5BA1"/>
    <w:rsid w:val="007E5BA8"/>
    <w:rsid w:val="007E5C29"/>
    <w:rsid w:val="007E5C63"/>
    <w:rsid w:val="007E5C8D"/>
    <w:rsid w:val="007E5CBB"/>
    <w:rsid w:val="007E5CF2"/>
    <w:rsid w:val="007E5D50"/>
    <w:rsid w:val="007E5D59"/>
    <w:rsid w:val="007E5D78"/>
    <w:rsid w:val="007E5DAF"/>
    <w:rsid w:val="007E5DE3"/>
    <w:rsid w:val="007E5E02"/>
    <w:rsid w:val="007E5E05"/>
    <w:rsid w:val="007E5E37"/>
    <w:rsid w:val="007E5E85"/>
    <w:rsid w:val="007E5EA4"/>
    <w:rsid w:val="007E5EBE"/>
    <w:rsid w:val="007E5ED7"/>
    <w:rsid w:val="007E5F26"/>
    <w:rsid w:val="007E5F3A"/>
    <w:rsid w:val="007E5F75"/>
    <w:rsid w:val="007E5FA7"/>
    <w:rsid w:val="007E60EC"/>
    <w:rsid w:val="007E6179"/>
    <w:rsid w:val="007E618B"/>
    <w:rsid w:val="007E61E4"/>
    <w:rsid w:val="007E6212"/>
    <w:rsid w:val="007E623F"/>
    <w:rsid w:val="007E624B"/>
    <w:rsid w:val="007E6251"/>
    <w:rsid w:val="007E6268"/>
    <w:rsid w:val="007E626D"/>
    <w:rsid w:val="007E62AF"/>
    <w:rsid w:val="007E62EA"/>
    <w:rsid w:val="007E634E"/>
    <w:rsid w:val="007E6397"/>
    <w:rsid w:val="007E63A9"/>
    <w:rsid w:val="007E63D6"/>
    <w:rsid w:val="007E6441"/>
    <w:rsid w:val="007E6457"/>
    <w:rsid w:val="007E6485"/>
    <w:rsid w:val="007E64BB"/>
    <w:rsid w:val="007E64DC"/>
    <w:rsid w:val="007E64E4"/>
    <w:rsid w:val="007E6513"/>
    <w:rsid w:val="007E657B"/>
    <w:rsid w:val="007E658C"/>
    <w:rsid w:val="007E658F"/>
    <w:rsid w:val="007E65B0"/>
    <w:rsid w:val="007E6603"/>
    <w:rsid w:val="007E662B"/>
    <w:rsid w:val="007E665D"/>
    <w:rsid w:val="007E66B1"/>
    <w:rsid w:val="007E66C8"/>
    <w:rsid w:val="007E6762"/>
    <w:rsid w:val="007E677E"/>
    <w:rsid w:val="007E67FB"/>
    <w:rsid w:val="007E6812"/>
    <w:rsid w:val="007E6828"/>
    <w:rsid w:val="007E6853"/>
    <w:rsid w:val="007E6854"/>
    <w:rsid w:val="007E68BC"/>
    <w:rsid w:val="007E68C4"/>
    <w:rsid w:val="007E6935"/>
    <w:rsid w:val="007E6941"/>
    <w:rsid w:val="007E6943"/>
    <w:rsid w:val="007E698C"/>
    <w:rsid w:val="007E6992"/>
    <w:rsid w:val="007E699E"/>
    <w:rsid w:val="007E69A8"/>
    <w:rsid w:val="007E69C4"/>
    <w:rsid w:val="007E6A2E"/>
    <w:rsid w:val="007E6A56"/>
    <w:rsid w:val="007E6A65"/>
    <w:rsid w:val="007E6A70"/>
    <w:rsid w:val="007E6A71"/>
    <w:rsid w:val="007E6B51"/>
    <w:rsid w:val="007E6B53"/>
    <w:rsid w:val="007E6B5F"/>
    <w:rsid w:val="007E6B75"/>
    <w:rsid w:val="007E6BC2"/>
    <w:rsid w:val="007E6BE9"/>
    <w:rsid w:val="007E6BF4"/>
    <w:rsid w:val="007E6C0E"/>
    <w:rsid w:val="007E6D9F"/>
    <w:rsid w:val="007E6DA0"/>
    <w:rsid w:val="007E6DB4"/>
    <w:rsid w:val="007E6DB6"/>
    <w:rsid w:val="007E6DCE"/>
    <w:rsid w:val="007E6DE2"/>
    <w:rsid w:val="007E6DF1"/>
    <w:rsid w:val="007E6E04"/>
    <w:rsid w:val="007E6E97"/>
    <w:rsid w:val="007E6F10"/>
    <w:rsid w:val="007E6F41"/>
    <w:rsid w:val="007E6F4A"/>
    <w:rsid w:val="007E6F88"/>
    <w:rsid w:val="007E6F8E"/>
    <w:rsid w:val="007E6FA5"/>
    <w:rsid w:val="007E6FB2"/>
    <w:rsid w:val="007E6FDA"/>
    <w:rsid w:val="007E6FFB"/>
    <w:rsid w:val="007E7174"/>
    <w:rsid w:val="007E71AD"/>
    <w:rsid w:val="007E720D"/>
    <w:rsid w:val="007E7215"/>
    <w:rsid w:val="007E728A"/>
    <w:rsid w:val="007E72DF"/>
    <w:rsid w:val="007E7315"/>
    <w:rsid w:val="007E7323"/>
    <w:rsid w:val="007E7338"/>
    <w:rsid w:val="007E7345"/>
    <w:rsid w:val="007E737C"/>
    <w:rsid w:val="007E73D7"/>
    <w:rsid w:val="007E73EE"/>
    <w:rsid w:val="007E7483"/>
    <w:rsid w:val="007E7535"/>
    <w:rsid w:val="007E758C"/>
    <w:rsid w:val="007E7590"/>
    <w:rsid w:val="007E7613"/>
    <w:rsid w:val="007E7617"/>
    <w:rsid w:val="007E7646"/>
    <w:rsid w:val="007E7695"/>
    <w:rsid w:val="007E76B6"/>
    <w:rsid w:val="007E76B9"/>
    <w:rsid w:val="007E76CA"/>
    <w:rsid w:val="007E775C"/>
    <w:rsid w:val="007E77B7"/>
    <w:rsid w:val="007E781C"/>
    <w:rsid w:val="007E78B3"/>
    <w:rsid w:val="007E78E6"/>
    <w:rsid w:val="007E790E"/>
    <w:rsid w:val="007E7933"/>
    <w:rsid w:val="007E7961"/>
    <w:rsid w:val="007E79D3"/>
    <w:rsid w:val="007E79E4"/>
    <w:rsid w:val="007E7A4B"/>
    <w:rsid w:val="007E7AF1"/>
    <w:rsid w:val="007E7B48"/>
    <w:rsid w:val="007E7BEA"/>
    <w:rsid w:val="007E7C5C"/>
    <w:rsid w:val="007E7C9E"/>
    <w:rsid w:val="007E7D42"/>
    <w:rsid w:val="007E7D7D"/>
    <w:rsid w:val="007E7D91"/>
    <w:rsid w:val="007E7DB8"/>
    <w:rsid w:val="007E7DC4"/>
    <w:rsid w:val="007E7DD9"/>
    <w:rsid w:val="007E7E00"/>
    <w:rsid w:val="007E7E16"/>
    <w:rsid w:val="007E7E4C"/>
    <w:rsid w:val="007E7E62"/>
    <w:rsid w:val="007E7EC1"/>
    <w:rsid w:val="007E7EC3"/>
    <w:rsid w:val="007E7ECD"/>
    <w:rsid w:val="007E7F18"/>
    <w:rsid w:val="007E7F50"/>
    <w:rsid w:val="007E7F7A"/>
    <w:rsid w:val="007E7F84"/>
    <w:rsid w:val="007E7FFC"/>
    <w:rsid w:val="007E7FFD"/>
    <w:rsid w:val="007F003A"/>
    <w:rsid w:val="007F00EC"/>
    <w:rsid w:val="007F00F7"/>
    <w:rsid w:val="007F014B"/>
    <w:rsid w:val="007F01BD"/>
    <w:rsid w:val="007F01CD"/>
    <w:rsid w:val="007F01E2"/>
    <w:rsid w:val="007F01EE"/>
    <w:rsid w:val="007F0238"/>
    <w:rsid w:val="007F024D"/>
    <w:rsid w:val="007F0256"/>
    <w:rsid w:val="007F026F"/>
    <w:rsid w:val="007F0272"/>
    <w:rsid w:val="007F02E1"/>
    <w:rsid w:val="007F03B2"/>
    <w:rsid w:val="007F03C6"/>
    <w:rsid w:val="007F041F"/>
    <w:rsid w:val="007F0435"/>
    <w:rsid w:val="007F04AA"/>
    <w:rsid w:val="007F0518"/>
    <w:rsid w:val="007F0573"/>
    <w:rsid w:val="007F0579"/>
    <w:rsid w:val="007F057D"/>
    <w:rsid w:val="007F05A1"/>
    <w:rsid w:val="007F05A3"/>
    <w:rsid w:val="007F064F"/>
    <w:rsid w:val="007F0674"/>
    <w:rsid w:val="007F0749"/>
    <w:rsid w:val="007F0757"/>
    <w:rsid w:val="007F0778"/>
    <w:rsid w:val="007F07D8"/>
    <w:rsid w:val="007F07E6"/>
    <w:rsid w:val="007F07F1"/>
    <w:rsid w:val="007F0800"/>
    <w:rsid w:val="007F0837"/>
    <w:rsid w:val="007F0858"/>
    <w:rsid w:val="007F0899"/>
    <w:rsid w:val="007F089B"/>
    <w:rsid w:val="007F08DC"/>
    <w:rsid w:val="007F09A4"/>
    <w:rsid w:val="007F09EE"/>
    <w:rsid w:val="007F09FD"/>
    <w:rsid w:val="007F0A1F"/>
    <w:rsid w:val="007F0AA5"/>
    <w:rsid w:val="007F0ACE"/>
    <w:rsid w:val="007F0B1A"/>
    <w:rsid w:val="007F0B4F"/>
    <w:rsid w:val="007F0BF6"/>
    <w:rsid w:val="007F0C03"/>
    <w:rsid w:val="007F0C0E"/>
    <w:rsid w:val="007F0CA1"/>
    <w:rsid w:val="007F0CC0"/>
    <w:rsid w:val="007F0CCD"/>
    <w:rsid w:val="007F0CE4"/>
    <w:rsid w:val="007F0D2F"/>
    <w:rsid w:val="007F0DB7"/>
    <w:rsid w:val="007F0E0F"/>
    <w:rsid w:val="007F0E2B"/>
    <w:rsid w:val="007F0E80"/>
    <w:rsid w:val="007F0EC7"/>
    <w:rsid w:val="007F0EDE"/>
    <w:rsid w:val="007F0F5D"/>
    <w:rsid w:val="007F0F76"/>
    <w:rsid w:val="007F0F7D"/>
    <w:rsid w:val="007F0FA3"/>
    <w:rsid w:val="007F1005"/>
    <w:rsid w:val="007F1036"/>
    <w:rsid w:val="007F1048"/>
    <w:rsid w:val="007F1062"/>
    <w:rsid w:val="007F10FE"/>
    <w:rsid w:val="007F1117"/>
    <w:rsid w:val="007F111F"/>
    <w:rsid w:val="007F112F"/>
    <w:rsid w:val="007F11B0"/>
    <w:rsid w:val="007F11DD"/>
    <w:rsid w:val="007F1210"/>
    <w:rsid w:val="007F122C"/>
    <w:rsid w:val="007F122F"/>
    <w:rsid w:val="007F1239"/>
    <w:rsid w:val="007F1281"/>
    <w:rsid w:val="007F12E3"/>
    <w:rsid w:val="007F12FE"/>
    <w:rsid w:val="007F13BD"/>
    <w:rsid w:val="007F13F3"/>
    <w:rsid w:val="007F145D"/>
    <w:rsid w:val="007F1461"/>
    <w:rsid w:val="007F14B1"/>
    <w:rsid w:val="007F151C"/>
    <w:rsid w:val="007F1584"/>
    <w:rsid w:val="007F1587"/>
    <w:rsid w:val="007F158A"/>
    <w:rsid w:val="007F15DB"/>
    <w:rsid w:val="007F15DD"/>
    <w:rsid w:val="007F1643"/>
    <w:rsid w:val="007F1659"/>
    <w:rsid w:val="007F1676"/>
    <w:rsid w:val="007F16D7"/>
    <w:rsid w:val="007F1708"/>
    <w:rsid w:val="007F1715"/>
    <w:rsid w:val="007F1727"/>
    <w:rsid w:val="007F17BD"/>
    <w:rsid w:val="007F17E2"/>
    <w:rsid w:val="007F17F8"/>
    <w:rsid w:val="007F1821"/>
    <w:rsid w:val="007F1832"/>
    <w:rsid w:val="007F183E"/>
    <w:rsid w:val="007F186F"/>
    <w:rsid w:val="007F1875"/>
    <w:rsid w:val="007F1877"/>
    <w:rsid w:val="007F18FE"/>
    <w:rsid w:val="007F1930"/>
    <w:rsid w:val="007F1963"/>
    <w:rsid w:val="007F1966"/>
    <w:rsid w:val="007F196D"/>
    <w:rsid w:val="007F19AD"/>
    <w:rsid w:val="007F1A03"/>
    <w:rsid w:val="007F1A3A"/>
    <w:rsid w:val="007F1A53"/>
    <w:rsid w:val="007F1AA6"/>
    <w:rsid w:val="007F1AC1"/>
    <w:rsid w:val="007F1AD6"/>
    <w:rsid w:val="007F1AF1"/>
    <w:rsid w:val="007F1B71"/>
    <w:rsid w:val="007F1B94"/>
    <w:rsid w:val="007F1B96"/>
    <w:rsid w:val="007F1BF4"/>
    <w:rsid w:val="007F1BFD"/>
    <w:rsid w:val="007F1C04"/>
    <w:rsid w:val="007F1C72"/>
    <w:rsid w:val="007F1C7F"/>
    <w:rsid w:val="007F1C85"/>
    <w:rsid w:val="007F1C96"/>
    <w:rsid w:val="007F1CB2"/>
    <w:rsid w:val="007F1CF6"/>
    <w:rsid w:val="007F1CFB"/>
    <w:rsid w:val="007F1D01"/>
    <w:rsid w:val="007F1D1B"/>
    <w:rsid w:val="007F1D39"/>
    <w:rsid w:val="007F1D68"/>
    <w:rsid w:val="007F1DB2"/>
    <w:rsid w:val="007F1E38"/>
    <w:rsid w:val="007F1E66"/>
    <w:rsid w:val="007F1E6F"/>
    <w:rsid w:val="007F1EB3"/>
    <w:rsid w:val="007F1EFC"/>
    <w:rsid w:val="007F1F55"/>
    <w:rsid w:val="007F1F7A"/>
    <w:rsid w:val="007F1FE4"/>
    <w:rsid w:val="007F2033"/>
    <w:rsid w:val="007F2048"/>
    <w:rsid w:val="007F205E"/>
    <w:rsid w:val="007F20EE"/>
    <w:rsid w:val="007F213F"/>
    <w:rsid w:val="007F2167"/>
    <w:rsid w:val="007F2178"/>
    <w:rsid w:val="007F21F4"/>
    <w:rsid w:val="007F21F8"/>
    <w:rsid w:val="007F2202"/>
    <w:rsid w:val="007F2206"/>
    <w:rsid w:val="007F2218"/>
    <w:rsid w:val="007F221E"/>
    <w:rsid w:val="007F2244"/>
    <w:rsid w:val="007F2357"/>
    <w:rsid w:val="007F235A"/>
    <w:rsid w:val="007F235C"/>
    <w:rsid w:val="007F2370"/>
    <w:rsid w:val="007F23D3"/>
    <w:rsid w:val="007F23EE"/>
    <w:rsid w:val="007F240D"/>
    <w:rsid w:val="007F24C5"/>
    <w:rsid w:val="007F24E4"/>
    <w:rsid w:val="007F2560"/>
    <w:rsid w:val="007F25C4"/>
    <w:rsid w:val="007F2607"/>
    <w:rsid w:val="007F261B"/>
    <w:rsid w:val="007F26AC"/>
    <w:rsid w:val="007F26B8"/>
    <w:rsid w:val="007F26C2"/>
    <w:rsid w:val="007F26C3"/>
    <w:rsid w:val="007F26E8"/>
    <w:rsid w:val="007F26E9"/>
    <w:rsid w:val="007F26ED"/>
    <w:rsid w:val="007F26F3"/>
    <w:rsid w:val="007F2713"/>
    <w:rsid w:val="007F2747"/>
    <w:rsid w:val="007F2755"/>
    <w:rsid w:val="007F2760"/>
    <w:rsid w:val="007F277E"/>
    <w:rsid w:val="007F279F"/>
    <w:rsid w:val="007F27B5"/>
    <w:rsid w:val="007F27D2"/>
    <w:rsid w:val="007F2859"/>
    <w:rsid w:val="007F28D5"/>
    <w:rsid w:val="007F28D6"/>
    <w:rsid w:val="007F28D8"/>
    <w:rsid w:val="007F2906"/>
    <w:rsid w:val="007F2911"/>
    <w:rsid w:val="007F292E"/>
    <w:rsid w:val="007F296B"/>
    <w:rsid w:val="007F2A8C"/>
    <w:rsid w:val="007F2AA3"/>
    <w:rsid w:val="007F2AB0"/>
    <w:rsid w:val="007F2B37"/>
    <w:rsid w:val="007F2BB5"/>
    <w:rsid w:val="007F2C7E"/>
    <w:rsid w:val="007F2CEA"/>
    <w:rsid w:val="007F2CF4"/>
    <w:rsid w:val="007F2D0D"/>
    <w:rsid w:val="007F2D39"/>
    <w:rsid w:val="007F2D94"/>
    <w:rsid w:val="007F2D98"/>
    <w:rsid w:val="007F2DB0"/>
    <w:rsid w:val="007F2DB5"/>
    <w:rsid w:val="007F2DD4"/>
    <w:rsid w:val="007F2DE8"/>
    <w:rsid w:val="007F2DFD"/>
    <w:rsid w:val="007F2E05"/>
    <w:rsid w:val="007F2E2A"/>
    <w:rsid w:val="007F2EDC"/>
    <w:rsid w:val="007F2F9A"/>
    <w:rsid w:val="007F2FB3"/>
    <w:rsid w:val="007F3001"/>
    <w:rsid w:val="007F3005"/>
    <w:rsid w:val="007F3036"/>
    <w:rsid w:val="007F308F"/>
    <w:rsid w:val="007F30C4"/>
    <w:rsid w:val="007F3106"/>
    <w:rsid w:val="007F312F"/>
    <w:rsid w:val="007F31CE"/>
    <w:rsid w:val="007F31DF"/>
    <w:rsid w:val="007F31F5"/>
    <w:rsid w:val="007F321A"/>
    <w:rsid w:val="007F3223"/>
    <w:rsid w:val="007F322C"/>
    <w:rsid w:val="007F322D"/>
    <w:rsid w:val="007F3238"/>
    <w:rsid w:val="007F323F"/>
    <w:rsid w:val="007F330A"/>
    <w:rsid w:val="007F331B"/>
    <w:rsid w:val="007F339E"/>
    <w:rsid w:val="007F340C"/>
    <w:rsid w:val="007F3416"/>
    <w:rsid w:val="007F341F"/>
    <w:rsid w:val="007F3422"/>
    <w:rsid w:val="007F346F"/>
    <w:rsid w:val="007F34CA"/>
    <w:rsid w:val="007F3556"/>
    <w:rsid w:val="007F35B9"/>
    <w:rsid w:val="007F35DD"/>
    <w:rsid w:val="007F365F"/>
    <w:rsid w:val="007F3681"/>
    <w:rsid w:val="007F368A"/>
    <w:rsid w:val="007F371C"/>
    <w:rsid w:val="007F37B7"/>
    <w:rsid w:val="007F37E1"/>
    <w:rsid w:val="007F3811"/>
    <w:rsid w:val="007F3893"/>
    <w:rsid w:val="007F38DD"/>
    <w:rsid w:val="007F3916"/>
    <w:rsid w:val="007F39C1"/>
    <w:rsid w:val="007F39C6"/>
    <w:rsid w:val="007F3A08"/>
    <w:rsid w:val="007F3A4C"/>
    <w:rsid w:val="007F3AA0"/>
    <w:rsid w:val="007F3B04"/>
    <w:rsid w:val="007F3B1E"/>
    <w:rsid w:val="007F3B48"/>
    <w:rsid w:val="007F3B9A"/>
    <w:rsid w:val="007F3BA8"/>
    <w:rsid w:val="007F3BC4"/>
    <w:rsid w:val="007F3BD2"/>
    <w:rsid w:val="007F3BF2"/>
    <w:rsid w:val="007F3C09"/>
    <w:rsid w:val="007F3C0F"/>
    <w:rsid w:val="007F3C1D"/>
    <w:rsid w:val="007F3C60"/>
    <w:rsid w:val="007F3CA0"/>
    <w:rsid w:val="007F3D26"/>
    <w:rsid w:val="007F3D27"/>
    <w:rsid w:val="007F3D2D"/>
    <w:rsid w:val="007F3DA0"/>
    <w:rsid w:val="007F3DC4"/>
    <w:rsid w:val="007F3EB6"/>
    <w:rsid w:val="007F3F00"/>
    <w:rsid w:val="007F3F0C"/>
    <w:rsid w:val="007F3F17"/>
    <w:rsid w:val="007F3F3A"/>
    <w:rsid w:val="007F3FC5"/>
    <w:rsid w:val="007F3FC7"/>
    <w:rsid w:val="007F3FD6"/>
    <w:rsid w:val="007F3FD8"/>
    <w:rsid w:val="007F3FDA"/>
    <w:rsid w:val="007F3FE1"/>
    <w:rsid w:val="007F400C"/>
    <w:rsid w:val="007F404F"/>
    <w:rsid w:val="007F4052"/>
    <w:rsid w:val="007F40F5"/>
    <w:rsid w:val="007F4107"/>
    <w:rsid w:val="007F410E"/>
    <w:rsid w:val="007F4167"/>
    <w:rsid w:val="007F4175"/>
    <w:rsid w:val="007F420D"/>
    <w:rsid w:val="007F4231"/>
    <w:rsid w:val="007F4283"/>
    <w:rsid w:val="007F42A1"/>
    <w:rsid w:val="007F42AA"/>
    <w:rsid w:val="007F42DF"/>
    <w:rsid w:val="007F42F8"/>
    <w:rsid w:val="007F4304"/>
    <w:rsid w:val="007F430B"/>
    <w:rsid w:val="007F4325"/>
    <w:rsid w:val="007F43AD"/>
    <w:rsid w:val="007F43B3"/>
    <w:rsid w:val="007F43E0"/>
    <w:rsid w:val="007F44E3"/>
    <w:rsid w:val="007F44F9"/>
    <w:rsid w:val="007F4513"/>
    <w:rsid w:val="007F451A"/>
    <w:rsid w:val="007F4548"/>
    <w:rsid w:val="007F4585"/>
    <w:rsid w:val="007F45BE"/>
    <w:rsid w:val="007F4612"/>
    <w:rsid w:val="007F461F"/>
    <w:rsid w:val="007F4656"/>
    <w:rsid w:val="007F46BB"/>
    <w:rsid w:val="007F46F7"/>
    <w:rsid w:val="007F4769"/>
    <w:rsid w:val="007F47BA"/>
    <w:rsid w:val="007F47EC"/>
    <w:rsid w:val="007F47FC"/>
    <w:rsid w:val="007F4829"/>
    <w:rsid w:val="007F4836"/>
    <w:rsid w:val="007F4882"/>
    <w:rsid w:val="007F4888"/>
    <w:rsid w:val="007F492C"/>
    <w:rsid w:val="007F497C"/>
    <w:rsid w:val="007F49A9"/>
    <w:rsid w:val="007F49B4"/>
    <w:rsid w:val="007F49FA"/>
    <w:rsid w:val="007F4A90"/>
    <w:rsid w:val="007F4AF1"/>
    <w:rsid w:val="007F4AF7"/>
    <w:rsid w:val="007F4B49"/>
    <w:rsid w:val="007F4BAB"/>
    <w:rsid w:val="007F4C9D"/>
    <w:rsid w:val="007F4CD8"/>
    <w:rsid w:val="007F4D38"/>
    <w:rsid w:val="007F4D46"/>
    <w:rsid w:val="007F4DDC"/>
    <w:rsid w:val="007F4DE2"/>
    <w:rsid w:val="007F4DF5"/>
    <w:rsid w:val="007F4E04"/>
    <w:rsid w:val="007F4E50"/>
    <w:rsid w:val="007F4E96"/>
    <w:rsid w:val="007F4EDB"/>
    <w:rsid w:val="007F4F2B"/>
    <w:rsid w:val="007F4F5D"/>
    <w:rsid w:val="007F4F88"/>
    <w:rsid w:val="007F5015"/>
    <w:rsid w:val="007F5025"/>
    <w:rsid w:val="007F5033"/>
    <w:rsid w:val="007F5037"/>
    <w:rsid w:val="007F50A7"/>
    <w:rsid w:val="007F50A9"/>
    <w:rsid w:val="007F50DE"/>
    <w:rsid w:val="007F50E8"/>
    <w:rsid w:val="007F5115"/>
    <w:rsid w:val="007F5158"/>
    <w:rsid w:val="007F51C2"/>
    <w:rsid w:val="007F52B7"/>
    <w:rsid w:val="007F52E6"/>
    <w:rsid w:val="007F52FC"/>
    <w:rsid w:val="007F52FF"/>
    <w:rsid w:val="007F5358"/>
    <w:rsid w:val="007F5432"/>
    <w:rsid w:val="007F544B"/>
    <w:rsid w:val="007F545B"/>
    <w:rsid w:val="007F5496"/>
    <w:rsid w:val="007F54A5"/>
    <w:rsid w:val="007F54F3"/>
    <w:rsid w:val="007F5558"/>
    <w:rsid w:val="007F55A2"/>
    <w:rsid w:val="007F55E8"/>
    <w:rsid w:val="007F55F5"/>
    <w:rsid w:val="007F561F"/>
    <w:rsid w:val="007F562F"/>
    <w:rsid w:val="007F5633"/>
    <w:rsid w:val="007F567D"/>
    <w:rsid w:val="007F569A"/>
    <w:rsid w:val="007F5741"/>
    <w:rsid w:val="007F577A"/>
    <w:rsid w:val="007F5792"/>
    <w:rsid w:val="007F57C3"/>
    <w:rsid w:val="007F57F5"/>
    <w:rsid w:val="007F5826"/>
    <w:rsid w:val="007F585C"/>
    <w:rsid w:val="007F58C3"/>
    <w:rsid w:val="007F58DF"/>
    <w:rsid w:val="007F58F4"/>
    <w:rsid w:val="007F5933"/>
    <w:rsid w:val="007F5953"/>
    <w:rsid w:val="007F59B5"/>
    <w:rsid w:val="007F59CC"/>
    <w:rsid w:val="007F5A45"/>
    <w:rsid w:val="007F5A46"/>
    <w:rsid w:val="007F5A4C"/>
    <w:rsid w:val="007F5A7B"/>
    <w:rsid w:val="007F5AE8"/>
    <w:rsid w:val="007F5AFC"/>
    <w:rsid w:val="007F5B6B"/>
    <w:rsid w:val="007F5B70"/>
    <w:rsid w:val="007F5C30"/>
    <w:rsid w:val="007F5CE8"/>
    <w:rsid w:val="007F5D08"/>
    <w:rsid w:val="007F5D42"/>
    <w:rsid w:val="007F5D70"/>
    <w:rsid w:val="007F5DCC"/>
    <w:rsid w:val="007F5DD7"/>
    <w:rsid w:val="007F5E4D"/>
    <w:rsid w:val="007F5E56"/>
    <w:rsid w:val="007F5E77"/>
    <w:rsid w:val="007F5E9F"/>
    <w:rsid w:val="007F5F68"/>
    <w:rsid w:val="007F5F91"/>
    <w:rsid w:val="007F5F9C"/>
    <w:rsid w:val="007F5FA8"/>
    <w:rsid w:val="007F5FDC"/>
    <w:rsid w:val="007F5FE2"/>
    <w:rsid w:val="007F6065"/>
    <w:rsid w:val="007F606C"/>
    <w:rsid w:val="007F6082"/>
    <w:rsid w:val="007F6088"/>
    <w:rsid w:val="007F60CC"/>
    <w:rsid w:val="007F60E2"/>
    <w:rsid w:val="007F618A"/>
    <w:rsid w:val="007F6221"/>
    <w:rsid w:val="007F6265"/>
    <w:rsid w:val="007F6266"/>
    <w:rsid w:val="007F6272"/>
    <w:rsid w:val="007F628E"/>
    <w:rsid w:val="007F62B5"/>
    <w:rsid w:val="007F62D9"/>
    <w:rsid w:val="007F62E8"/>
    <w:rsid w:val="007F62FA"/>
    <w:rsid w:val="007F630D"/>
    <w:rsid w:val="007F633C"/>
    <w:rsid w:val="007F6381"/>
    <w:rsid w:val="007F63E1"/>
    <w:rsid w:val="007F647F"/>
    <w:rsid w:val="007F64AB"/>
    <w:rsid w:val="007F6506"/>
    <w:rsid w:val="007F6513"/>
    <w:rsid w:val="007F6530"/>
    <w:rsid w:val="007F6596"/>
    <w:rsid w:val="007F65F6"/>
    <w:rsid w:val="007F661F"/>
    <w:rsid w:val="007F6643"/>
    <w:rsid w:val="007F6667"/>
    <w:rsid w:val="007F66E5"/>
    <w:rsid w:val="007F6732"/>
    <w:rsid w:val="007F6742"/>
    <w:rsid w:val="007F6788"/>
    <w:rsid w:val="007F678A"/>
    <w:rsid w:val="007F6798"/>
    <w:rsid w:val="007F67C2"/>
    <w:rsid w:val="007F6837"/>
    <w:rsid w:val="007F685B"/>
    <w:rsid w:val="007F6886"/>
    <w:rsid w:val="007F688D"/>
    <w:rsid w:val="007F6900"/>
    <w:rsid w:val="007F691B"/>
    <w:rsid w:val="007F698B"/>
    <w:rsid w:val="007F69BE"/>
    <w:rsid w:val="007F69FD"/>
    <w:rsid w:val="007F6A4A"/>
    <w:rsid w:val="007F6A69"/>
    <w:rsid w:val="007F6A78"/>
    <w:rsid w:val="007F6A86"/>
    <w:rsid w:val="007F6AE6"/>
    <w:rsid w:val="007F6B64"/>
    <w:rsid w:val="007F6B76"/>
    <w:rsid w:val="007F6B84"/>
    <w:rsid w:val="007F6BC1"/>
    <w:rsid w:val="007F6BDC"/>
    <w:rsid w:val="007F6BE9"/>
    <w:rsid w:val="007F6C9F"/>
    <w:rsid w:val="007F6CE2"/>
    <w:rsid w:val="007F6D40"/>
    <w:rsid w:val="007F6E6A"/>
    <w:rsid w:val="007F6EFD"/>
    <w:rsid w:val="007F6F0C"/>
    <w:rsid w:val="007F6F1D"/>
    <w:rsid w:val="007F701F"/>
    <w:rsid w:val="007F7023"/>
    <w:rsid w:val="007F7029"/>
    <w:rsid w:val="007F7056"/>
    <w:rsid w:val="007F70DB"/>
    <w:rsid w:val="007F70E1"/>
    <w:rsid w:val="007F7102"/>
    <w:rsid w:val="007F7105"/>
    <w:rsid w:val="007F7140"/>
    <w:rsid w:val="007F7163"/>
    <w:rsid w:val="007F71B9"/>
    <w:rsid w:val="007F71DF"/>
    <w:rsid w:val="007F724D"/>
    <w:rsid w:val="007F72B6"/>
    <w:rsid w:val="007F72E4"/>
    <w:rsid w:val="007F738D"/>
    <w:rsid w:val="007F73A8"/>
    <w:rsid w:val="007F73B7"/>
    <w:rsid w:val="007F7403"/>
    <w:rsid w:val="007F742E"/>
    <w:rsid w:val="007F7441"/>
    <w:rsid w:val="007F74CF"/>
    <w:rsid w:val="007F74D6"/>
    <w:rsid w:val="007F74DA"/>
    <w:rsid w:val="007F75B4"/>
    <w:rsid w:val="007F7643"/>
    <w:rsid w:val="007F76B8"/>
    <w:rsid w:val="007F76D7"/>
    <w:rsid w:val="007F76F6"/>
    <w:rsid w:val="007F7706"/>
    <w:rsid w:val="007F771A"/>
    <w:rsid w:val="007F7726"/>
    <w:rsid w:val="007F7740"/>
    <w:rsid w:val="007F7751"/>
    <w:rsid w:val="007F776C"/>
    <w:rsid w:val="007F7799"/>
    <w:rsid w:val="007F77AA"/>
    <w:rsid w:val="007F77CB"/>
    <w:rsid w:val="007F77CD"/>
    <w:rsid w:val="007F77F0"/>
    <w:rsid w:val="007F7833"/>
    <w:rsid w:val="007F7840"/>
    <w:rsid w:val="007F78F6"/>
    <w:rsid w:val="007F7912"/>
    <w:rsid w:val="007F794B"/>
    <w:rsid w:val="007F7980"/>
    <w:rsid w:val="007F79A7"/>
    <w:rsid w:val="007F79B4"/>
    <w:rsid w:val="007F79D5"/>
    <w:rsid w:val="007F79DA"/>
    <w:rsid w:val="007F79F5"/>
    <w:rsid w:val="007F7A3F"/>
    <w:rsid w:val="007F7A57"/>
    <w:rsid w:val="007F7A86"/>
    <w:rsid w:val="007F7AB4"/>
    <w:rsid w:val="007F7ADE"/>
    <w:rsid w:val="007F7AFB"/>
    <w:rsid w:val="007F7AFD"/>
    <w:rsid w:val="007F7B15"/>
    <w:rsid w:val="007F7B7B"/>
    <w:rsid w:val="007F7BC9"/>
    <w:rsid w:val="007F7C11"/>
    <w:rsid w:val="007F7C2D"/>
    <w:rsid w:val="007F7C73"/>
    <w:rsid w:val="007F7C7C"/>
    <w:rsid w:val="007F7CA3"/>
    <w:rsid w:val="007F7CC9"/>
    <w:rsid w:val="007F7CFA"/>
    <w:rsid w:val="007F7D23"/>
    <w:rsid w:val="007F7D58"/>
    <w:rsid w:val="007F7D77"/>
    <w:rsid w:val="007F7DAF"/>
    <w:rsid w:val="007F7DB6"/>
    <w:rsid w:val="007F7DBA"/>
    <w:rsid w:val="007F7DE8"/>
    <w:rsid w:val="007F7EAA"/>
    <w:rsid w:val="007F7EE2"/>
    <w:rsid w:val="007F7EFD"/>
    <w:rsid w:val="007F7F28"/>
    <w:rsid w:val="007F7F7B"/>
    <w:rsid w:val="007F7F95"/>
    <w:rsid w:val="007F7F98"/>
    <w:rsid w:val="007F7F99"/>
    <w:rsid w:val="007F7FBA"/>
    <w:rsid w:val="00800011"/>
    <w:rsid w:val="00800022"/>
    <w:rsid w:val="0080005E"/>
    <w:rsid w:val="00800075"/>
    <w:rsid w:val="00800079"/>
    <w:rsid w:val="00800112"/>
    <w:rsid w:val="00800134"/>
    <w:rsid w:val="008001B9"/>
    <w:rsid w:val="00800205"/>
    <w:rsid w:val="0080022D"/>
    <w:rsid w:val="00800248"/>
    <w:rsid w:val="00800254"/>
    <w:rsid w:val="00800288"/>
    <w:rsid w:val="008002BD"/>
    <w:rsid w:val="008002BF"/>
    <w:rsid w:val="008002C0"/>
    <w:rsid w:val="008002E2"/>
    <w:rsid w:val="0080032B"/>
    <w:rsid w:val="00800344"/>
    <w:rsid w:val="00800354"/>
    <w:rsid w:val="00800366"/>
    <w:rsid w:val="008003A5"/>
    <w:rsid w:val="008003E4"/>
    <w:rsid w:val="0080041D"/>
    <w:rsid w:val="00800423"/>
    <w:rsid w:val="0080043A"/>
    <w:rsid w:val="00800454"/>
    <w:rsid w:val="0080045D"/>
    <w:rsid w:val="008004CE"/>
    <w:rsid w:val="008004E6"/>
    <w:rsid w:val="00800506"/>
    <w:rsid w:val="0080051A"/>
    <w:rsid w:val="00800540"/>
    <w:rsid w:val="00800569"/>
    <w:rsid w:val="00800575"/>
    <w:rsid w:val="008005AD"/>
    <w:rsid w:val="008005F9"/>
    <w:rsid w:val="00800601"/>
    <w:rsid w:val="00800610"/>
    <w:rsid w:val="00800699"/>
    <w:rsid w:val="008006B4"/>
    <w:rsid w:val="0080077C"/>
    <w:rsid w:val="00800799"/>
    <w:rsid w:val="0080079B"/>
    <w:rsid w:val="008007A6"/>
    <w:rsid w:val="008007F5"/>
    <w:rsid w:val="0080080A"/>
    <w:rsid w:val="0080086C"/>
    <w:rsid w:val="0080086F"/>
    <w:rsid w:val="0080089C"/>
    <w:rsid w:val="0080089F"/>
    <w:rsid w:val="008008CC"/>
    <w:rsid w:val="008008D6"/>
    <w:rsid w:val="008008DB"/>
    <w:rsid w:val="008008EF"/>
    <w:rsid w:val="008009A3"/>
    <w:rsid w:val="00800A52"/>
    <w:rsid w:val="00800B2F"/>
    <w:rsid w:val="00800B35"/>
    <w:rsid w:val="00800B7A"/>
    <w:rsid w:val="00800BB7"/>
    <w:rsid w:val="00800C34"/>
    <w:rsid w:val="00800C50"/>
    <w:rsid w:val="00800C76"/>
    <w:rsid w:val="00800D93"/>
    <w:rsid w:val="00800DC9"/>
    <w:rsid w:val="00800DCF"/>
    <w:rsid w:val="00800DD8"/>
    <w:rsid w:val="00800DDF"/>
    <w:rsid w:val="00800DF7"/>
    <w:rsid w:val="00800E42"/>
    <w:rsid w:val="00800F09"/>
    <w:rsid w:val="00800F6F"/>
    <w:rsid w:val="00800F75"/>
    <w:rsid w:val="00800F7D"/>
    <w:rsid w:val="00800F7F"/>
    <w:rsid w:val="0080103C"/>
    <w:rsid w:val="00801040"/>
    <w:rsid w:val="008010D4"/>
    <w:rsid w:val="008010F7"/>
    <w:rsid w:val="00801173"/>
    <w:rsid w:val="00801183"/>
    <w:rsid w:val="00801184"/>
    <w:rsid w:val="0080118E"/>
    <w:rsid w:val="00801194"/>
    <w:rsid w:val="008011A7"/>
    <w:rsid w:val="008011B5"/>
    <w:rsid w:val="008011C3"/>
    <w:rsid w:val="008011F3"/>
    <w:rsid w:val="0080120D"/>
    <w:rsid w:val="00801247"/>
    <w:rsid w:val="00801291"/>
    <w:rsid w:val="00801328"/>
    <w:rsid w:val="00801335"/>
    <w:rsid w:val="0080134E"/>
    <w:rsid w:val="008013C8"/>
    <w:rsid w:val="008013CE"/>
    <w:rsid w:val="0080140D"/>
    <w:rsid w:val="0080144D"/>
    <w:rsid w:val="00801452"/>
    <w:rsid w:val="00801454"/>
    <w:rsid w:val="00801464"/>
    <w:rsid w:val="0080147E"/>
    <w:rsid w:val="008014DF"/>
    <w:rsid w:val="0080150B"/>
    <w:rsid w:val="00801527"/>
    <w:rsid w:val="00801537"/>
    <w:rsid w:val="00801573"/>
    <w:rsid w:val="00801595"/>
    <w:rsid w:val="008015A6"/>
    <w:rsid w:val="008015C0"/>
    <w:rsid w:val="008015CE"/>
    <w:rsid w:val="008015D9"/>
    <w:rsid w:val="00801621"/>
    <w:rsid w:val="00801623"/>
    <w:rsid w:val="00801637"/>
    <w:rsid w:val="008016C0"/>
    <w:rsid w:val="008016EF"/>
    <w:rsid w:val="0080170B"/>
    <w:rsid w:val="00801714"/>
    <w:rsid w:val="00801758"/>
    <w:rsid w:val="0080176C"/>
    <w:rsid w:val="0080179C"/>
    <w:rsid w:val="008017C8"/>
    <w:rsid w:val="008017D4"/>
    <w:rsid w:val="008017E5"/>
    <w:rsid w:val="008017E6"/>
    <w:rsid w:val="008017EE"/>
    <w:rsid w:val="00801838"/>
    <w:rsid w:val="00801855"/>
    <w:rsid w:val="008018DB"/>
    <w:rsid w:val="008018F4"/>
    <w:rsid w:val="0080195C"/>
    <w:rsid w:val="008019CD"/>
    <w:rsid w:val="00801A28"/>
    <w:rsid w:val="00801AD1"/>
    <w:rsid w:val="00801AEE"/>
    <w:rsid w:val="00801B80"/>
    <w:rsid w:val="00801B81"/>
    <w:rsid w:val="00801B87"/>
    <w:rsid w:val="00801B8C"/>
    <w:rsid w:val="00801BDC"/>
    <w:rsid w:val="00801BEA"/>
    <w:rsid w:val="00801BF4"/>
    <w:rsid w:val="00801C27"/>
    <w:rsid w:val="00801C34"/>
    <w:rsid w:val="00801C4C"/>
    <w:rsid w:val="00801C5C"/>
    <w:rsid w:val="00801C70"/>
    <w:rsid w:val="00801C89"/>
    <w:rsid w:val="00801CEF"/>
    <w:rsid w:val="00801D0E"/>
    <w:rsid w:val="00801D1B"/>
    <w:rsid w:val="00801D65"/>
    <w:rsid w:val="00801D6F"/>
    <w:rsid w:val="00801D7C"/>
    <w:rsid w:val="00801DF1"/>
    <w:rsid w:val="00801DF9"/>
    <w:rsid w:val="00801E41"/>
    <w:rsid w:val="00801E6C"/>
    <w:rsid w:val="00801EDA"/>
    <w:rsid w:val="00801F44"/>
    <w:rsid w:val="00801FAF"/>
    <w:rsid w:val="00801FBA"/>
    <w:rsid w:val="00801FC2"/>
    <w:rsid w:val="00801FCC"/>
    <w:rsid w:val="00802017"/>
    <w:rsid w:val="0080203B"/>
    <w:rsid w:val="00802057"/>
    <w:rsid w:val="0080207B"/>
    <w:rsid w:val="0080207F"/>
    <w:rsid w:val="00802106"/>
    <w:rsid w:val="008021B9"/>
    <w:rsid w:val="008021C2"/>
    <w:rsid w:val="00802285"/>
    <w:rsid w:val="008022E0"/>
    <w:rsid w:val="00802303"/>
    <w:rsid w:val="00802322"/>
    <w:rsid w:val="0080232E"/>
    <w:rsid w:val="0080237A"/>
    <w:rsid w:val="008023A9"/>
    <w:rsid w:val="008023AA"/>
    <w:rsid w:val="008023D7"/>
    <w:rsid w:val="0080244B"/>
    <w:rsid w:val="0080251A"/>
    <w:rsid w:val="00802580"/>
    <w:rsid w:val="0080268F"/>
    <w:rsid w:val="008026AA"/>
    <w:rsid w:val="008026D8"/>
    <w:rsid w:val="0080271F"/>
    <w:rsid w:val="00802733"/>
    <w:rsid w:val="00802740"/>
    <w:rsid w:val="00802743"/>
    <w:rsid w:val="00802753"/>
    <w:rsid w:val="00802778"/>
    <w:rsid w:val="00802798"/>
    <w:rsid w:val="008027A6"/>
    <w:rsid w:val="008027B8"/>
    <w:rsid w:val="00802825"/>
    <w:rsid w:val="0080284C"/>
    <w:rsid w:val="0080286C"/>
    <w:rsid w:val="00802897"/>
    <w:rsid w:val="008028A3"/>
    <w:rsid w:val="008028D3"/>
    <w:rsid w:val="00802910"/>
    <w:rsid w:val="00802936"/>
    <w:rsid w:val="0080293B"/>
    <w:rsid w:val="00802988"/>
    <w:rsid w:val="00802995"/>
    <w:rsid w:val="008029D0"/>
    <w:rsid w:val="008029E9"/>
    <w:rsid w:val="00802A0F"/>
    <w:rsid w:val="00802A1B"/>
    <w:rsid w:val="00802A55"/>
    <w:rsid w:val="00802A5B"/>
    <w:rsid w:val="00802AA9"/>
    <w:rsid w:val="00802ABC"/>
    <w:rsid w:val="00802B7C"/>
    <w:rsid w:val="00802B7E"/>
    <w:rsid w:val="00802BB1"/>
    <w:rsid w:val="00802BC7"/>
    <w:rsid w:val="00802BC9"/>
    <w:rsid w:val="00802C19"/>
    <w:rsid w:val="00802C2A"/>
    <w:rsid w:val="00802C48"/>
    <w:rsid w:val="00802C6A"/>
    <w:rsid w:val="00802D14"/>
    <w:rsid w:val="00802D3A"/>
    <w:rsid w:val="00802E27"/>
    <w:rsid w:val="00802E60"/>
    <w:rsid w:val="00802F22"/>
    <w:rsid w:val="00802F40"/>
    <w:rsid w:val="00802F47"/>
    <w:rsid w:val="00802F7A"/>
    <w:rsid w:val="00802FCB"/>
    <w:rsid w:val="00802FFB"/>
    <w:rsid w:val="00802FFF"/>
    <w:rsid w:val="00803008"/>
    <w:rsid w:val="0080302A"/>
    <w:rsid w:val="008030A4"/>
    <w:rsid w:val="0080310D"/>
    <w:rsid w:val="00803126"/>
    <w:rsid w:val="00803145"/>
    <w:rsid w:val="00803150"/>
    <w:rsid w:val="0080316F"/>
    <w:rsid w:val="00803172"/>
    <w:rsid w:val="008031AF"/>
    <w:rsid w:val="008031C3"/>
    <w:rsid w:val="00803217"/>
    <w:rsid w:val="00803239"/>
    <w:rsid w:val="0080323D"/>
    <w:rsid w:val="0080325B"/>
    <w:rsid w:val="0080326A"/>
    <w:rsid w:val="008032BB"/>
    <w:rsid w:val="008032DF"/>
    <w:rsid w:val="008032EB"/>
    <w:rsid w:val="00803303"/>
    <w:rsid w:val="00803307"/>
    <w:rsid w:val="0080330D"/>
    <w:rsid w:val="00803323"/>
    <w:rsid w:val="00803339"/>
    <w:rsid w:val="00803353"/>
    <w:rsid w:val="0080338C"/>
    <w:rsid w:val="008033C4"/>
    <w:rsid w:val="008033EA"/>
    <w:rsid w:val="0080354B"/>
    <w:rsid w:val="00803558"/>
    <w:rsid w:val="00803590"/>
    <w:rsid w:val="008035FE"/>
    <w:rsid w:val="00803600"/>
    <w:rsid w:val="0080365E"/>
    <w:rsid w:val="00803672"/>
    <w:rsid w:val="00803673"/>
    <w:rsid w:val="00803687"/>
    <w:rsid w:val="008036A4"/>
    <w:rsid w:val="008036FA"/>
    <w:rsid w:val="008036FC"/>
    <w:rsid w:val="0080372D"/>
    <w:rsid w:val="008037CE"/>
    <w:rsid w:val="0080382C"/>
    <w:rsid w:val="008038B3"/>
    <w:rsid w:val="008038DB"/>
    <w:rsid w:val="008038EA"/>
    <w:rsid w:val="0080390A"/>
    <w:rsid w:val="00803935"/>
    <w:rsid w:val="00803939"/>
    <w:rsid w:val="00803946"/>
    <w:rsid w:val="00803959"/>
    <w:rsid w:val="0080399B"/>
    <w:rsid w:val="008039E7"/>
    <w:rsid w:val="00803A26"/>
    <w:rsid w:val="00803A34"/>
    <w:rsid w:val="00803A4A"/>
    <w:rsid w:val="00803A4D"/>
    <w:rsid w:val="00803A93"/>
    <w:rsid w:val="00803AD1"/>
    <w:rsid w:val="00803B1B"/>
    <w:rsid w:val="00803B4B"/>
    <w:rsid w:val="00803B90"/>
    <w:rsid w:val="00803BA2"/>
    <w:rsid w:val="00803BB4"/>
    <w:rsid w:val="00803BB6"/>
    <w:rsid w:val="00803C36"/>
    <w:rsid w:val="00803C7E"/>
    <w:rsid w:val="00803CD1"/>
    <w:rsid w:val="00803D1B"/>
    <w:rsid w:val="00803D79"/>
    <w:rsid w:val="00803D7D"/>
    <w:rsid w:val="00803D8F"/>
    <w:rsid w:val="00803D91"/>
    <w:rsid w:val="00803D92"/>
    <w:rsid w:val="00803D9E"/>
    <w:rsid w:val="00803E0A"/>
    <w:rsid w:val="00803E3B"/>
    <w:rsid w:val="00803E3F"/>
    <w:rsid w:val="00803E55"/>
    <w:rsid w:val="00803E9C"/>
    <w:rsid w:val="00803EF5"/>
    <w:rsid w:val="00803F01"/>
    <w:rsid w:val="00803F65"/>
    <w:rsid w:val="00803F6E"/>
    <w:rsid w:val="00803F73"/>
    <w:rsid w:val="00803F9F"/>
    <w:rsid w:val="00803FC2"/>
    <w:rsid w:val="0080401C"/>
    <w:rsid w:val="00804044"/>
    <w:rsid w:val="0080408F"/>
    <w:rsid w:val="00804094"/>
    <w:rsid w:val="008040A2"/>
    <w:rsid w:val="008040A4"/>
    <w:rsid w:val="00804104"/>
    <w:rsid w:val="00804135"/>
    <w:rsid w:val="0080413D"/>
    <w:rsid w:val="0080415D"/>
    <w:rsid w:val="00804166"/>
    <w:rsid w:val="0080416C"/>
    <w:rsid w:val="00804173"/>
    <w:rsid w:val="008041CF"/>
    <w:rsid w:val="008041D9"/>
    <w:rsid w:val="008041F7"/>
    <w:rsid w:val="00804209"/>
    <w:rsid w:val="00804236"/>
    <w:rsid w:val="00804245"/>
    <w:rsid w:val="0080425B"/>
    <w:rsid w:val="0080426B"/>
    <w:rsid w:val="00804273"/>
    <w:rsid w:val="0080429E"/>
    <w:rsid w:val="0080430A"/>
    <w:rsid w:val="008043A3"/>
    <w:rsid w:val="008043DA"/>
    <w:rsid w:val="0080440C"/>
    <w:rsid w:val="00804474"/>
    <w:rsid w:val="0080449D"/>
    <w:rsid w:val="008044C5"/>
    <w:rsid w:val="008044FA"/>
    <w:rsid w:val="00804508"/>
    <w:rsid w:val="0080453A"/>
    <w:rsid w:val="0080453F"/>
    <w:rsid w:val="00804540"/>
    <w:rsid w:val="00804541"/>
    <w:rsid w:val="00804562"/>
    <w:rsid w:val="00804583"/>
    <w:rsid w:val="00804593"/>
    <w:rsid w:val="008045A4"/>
    <w:rsid w:val="008045C6"/>
    <w:rsid w:val="0080460F"/>
    <w:rsid w:val="0080464C"/>
    <w:rsid w:val="00804654"/>
    <w:rsid w:val="00804679"/>
    <w:rsid w:val="00804688"/>
    <w:rsid w:val="008046A6"/>
    <w:rsid w:val="008046C8"/>
    <w:rsid w:val="008046DC"/>
    <w:rsid w:val="00804738"/>
    <w:rsid w:val="00804776"/>
    <w:rsid w:val="00804789"/>
    <w:rsid w:val="008047C8"/>
    <w:rsid w:val="00804844"/>
    <w:rsid w:val="00804872"/>
    <w:rsid w:val="00804887"/>
    <w:rsid w:val="008048E8"/>
    <w:rsid w:val="00804984"/>
    <w:rsid w:val="00804987"/>
    <w:rsid w:val="008049A8"/>
    <w:rsid w:val="008049BE"/>
    <w:rsid w:val="008049DF"/>
    <w:rsid w:val="008049E2"/>
    <w:rsid w:val="00804A39"/>
    <w:rsid w:val="00804A3B"/>
    <w:rsid w:val="00804A45"/>
    <w:rsid w:val="00804A89"/>
    <w:rsid w:val="00804AE6"/>
    <w:rsid w:val="00804B09"/>
    <w:rsid w:val="00804B4B"/>
    <w:rsid w:val="00804C40"/>
    <w:rsid w:val="00804CA2"/>
    <w:rsid w:val="00804CD7"/>
    <w:rsid w:val="00804DD2"/>
    <w:rsid w:val="00804DD9"/>
    <w:rsid w:val="00804E33"/>
    <w:rsid w:val="00804E5D"/>
    <w:rsid w:val="00804E8F"/>
    <w:rsid w:val="00804EF3"/>
    <w:rsid w:val="00804EF9"/>
    <w:rsid w:val="00804F2B"/>
    <w:rsid w:val="00804F2F"/>
    <w:rsid w:val="00804F91"/>
    <w:rsid w:val="00804FB1"/>
    <w:rsid w:val="00805017"/>
    <w:rsid w:val="008050A4"/>
    <w:rsid w:val="008050A8"/>
    <w:rsid w:val="008050B6"/>
    <w:rsid w:val="00805104"/>
    <w:rsid w:val="00805107"/>
    <w:rsid w:val="00805125"/>
    <w:rsid w:val="0080513D"/>
    <w:rsid w:val="00805145"/>
    <w:rsid w:val="0080514C"/>
    <w:rsid w:val="008051EC"/>
    <w:rsid w:val="0080520E"/>
    <w:rsid w:val="00805214"/>
    <w:rsid w:val="0080521C"/>
    <w:rsid w:val="0080522E"/>
    <w:rsid w:val="00805231"/>
    <w:rsid w:val="00805289"/>
    <w:rsid w:val="0080533C"/>
    <w:rsid w:val="00805352"/>
    <w:rsid w:val="00805444"/>
    <w:rsid w:val="0080544E"/>
    <w:rsid w:val="00805455"/>
    <w:rsid w:val="00805496"/>
    <w:rsid w:val="008054CC"/>
    <w:rsid w:val="008054EE"/>
    <w:rsid w:val="0080550E"/>
    <w:rsid w:val="00805553"/>
    <w:rsid w:val="008055D9"/>
    <w:rsid w:val="00805600"/>
    <w:rsid w:val="0080560A"/>
    <w:rsid w:val="00805653"/>
    <w:rsid w:val="00805692"/>
    <w:rsid w:val="008056D8"/>
    <w:rsid w:val="00805712"/>
    <w:rsid w:val="00805757"/>
    <w:rsid w:val="00805764"/>
    <w:rsid w:val="0080579D"/>
    <w:rsid w:val="008057B4"/>
    <w:rsid w:val="008057C0"/>
    <w:rsid w:val="008057E1"/>
    <w:rsid w:val="0080581F"/>
    <w:rsid w:val="00805825"/>
    <w:rsid w:val="0080583C"/>
    <w:rsid w:val="0080587E"/>
    <w:rsid w:val="008058F4"/>
    <w:rsid w:val="008058F6"/>
    <w:rsid w:val="008058F7"/>
    <w:rsid w:val="00805969"/>
    <w:rsid w:val="008059BD"/>
    <w:rsid w:val="00805A53"/>
    <w:rsid w:val="00805A86"/>
    <w:rsid w:val="00805A8D"/>
    <w:rsid w:val="00805B09"/>
    <w:rsid w:val="00805B32"/>
    <w:rsid w:val="00805B58"/>
    <w:rsid w:val="00805B99"/>
    <w:rsid w:val="00805D06"/>
    <w:rsid w:val="00805D15"/>
    <w:rsid w:val="00805D28"/>
    <w:rsid w:val="00805D48"/>
    <w:rsid w:val="00805D49"/>
    <w:rsid w:val="00805D71"/>
    <w:rsid w:val="00805D76"/>
    <w:rsid w:val="00805DE3"/>
    <w:rsid w:val="00805E20"/>
    <w:rsid w:val="00805E30"/>
    <w:rsid w:val="00805E35"/>
    <w:rsid w:val="00805E54"/>
    <w:rsid w:val="00805E80"/>
    <w:rsid w:val="00805EA4"/>
    <w:rsid w:val="00805F4A"/>
    <w:rsid w:val="00805F65"/>
    <w:rsid w:val="00805F75"/>
    <w:rsid w:val="00805F7B"/>
    <w:rsid w:val="00805F7F"/>
    <w:rsid w:val="00806016"/>
    <w:rsid w:val="0080602B"/>
    <w:rsid w:val="00806045"/>
    <w:rsid w:val="00806056"/>
    <w:rsid w:val="00806095"/>
    <w:rsid w:val="0080612D"/>
    <w:rsid w:val="0080614D"/>
    <w:rsid w:val="0080614E"/>
    <w:rsid w:val="0080619C"/>
    <w:rsid w:val="008061A3"/>
    <w:rsid w:val="008061B9"/>
    <w:rsid w:val="008061D5"/>
    <w:rsid w:val="0080626A"/>
    <w:rsid w:val="00806282"/>
    <w:rsid w:val="008062AF"/>
    <w:rsid w:val="008062BC"/>
    <w:rsid w:val="008062E1"/>
    <w:rsid w:val="008062E6"/>
    <w:rsid w:val="008062FA"/>
    <w:rsid w:val="00806315"/>
    <w:rsid w:val="00806340"/>
    <w:rsid w:val="00806370"/>
    <w:rsid w:val="008063E3"/>
    <w:rsid w:val="00806400"/>
    <w:rsid w:val="00806441"/>
    <w:rsid w:val="008064DA"/>
    <w:rsid w:val="0080652C"/>
    <w:rsid w:val="00806538"/>
    <w:rsid w:val="00806547"/>
    <w:rsid w:val="0080657D"/>
    <w:rsid w:val="008065CF"/>
    <w:rsid w:val="008065D6"/>
    <w:rsid w:val="008065FE"/>
    <w:rsid w:val="00806602"/>
    <w:rsid w:val="00806669"/>
    <w:rsid w:val="00806681"/>
    <w:rsid w:val="008066E9"/>
    <w:rsid w:val="008067DD"/>
    <w:rsid w:val="008067DF"/>
    <w:rsid w:val="008067F9"/>
    <w:rsid w:val="0080686B"/>
    <w:rsid w:val="00806875"/>
    <w:rsid w:val="008068AA"/>
    <w:rsid w:val="00806918"/>
    <w:rsid w:val="0080691E"/>
    <w:rsid w:val="00806AB0"/>
    <w:rsid w:val="00806AC6"/>
    <w:rsid w:val="00806B2C"/>
    <w:rsid w:val="00806B5C"/>
    <w:rsid w:val="00806B67"/>
    <w:rsid w:val="00806B78"/>
    <w:rsid w:val="00806BB5"/>
    <w:rsid w:val="00806BD9"/>
    <w:rsid w:val="00806BE4"/>
    <w:rsid w:val="00806BF3"/>
    <w:rsid w:val="00806CBC"/>
    <w:rsid w:val="00806CF5"/>
    <w:rsid w:val="00806D09"/>
    <w:rsid w:val="00806D21"/>
    <w:rsid w:val="00806D3C"/>
    <w:rsid w:val="00806D40"/>
    <w:rsid w:val="00806DC2"/>
    <w:rsid w:val="00806DF4"/>
    <w:rsid w:val="00806EEC"/>
    <w:rsid w:val="00806F68"/>
    <w:rsid w:val="00806F6B"/>
    <w:rsid w:val="0080702F"/>
    <w:rsid w:val="00807096"/>
    <w:rsid w:val="008070B5"/>
    <w:rsid w:val="008070ED"/>
    <w:rsid w:val="0080711F"/>
    <w:rsid w:val="00807153"/>
    <w:rsid w:val="00807175"/>
    <w:rsid w:val="008071BE"/>
    <w:rsid w:val="00807229"/>
    <w:rsid w:val="00807259"/>
    <w:rsid w:val="00807285"/>
    <w:rsid w:val="008072ED"/>
    <w:rsid w:val="00807309"/>
    <w:rsid w:val="00807317"/>
    <w:rsid w:val="00807339"/>
    <w:rsid w:val="008073B1"/>
    <w:rsid w:val="0080740E"/>
    <w:rsid w:val="00807419"/>
    <w:rsid w:val="0080747B"/>
    <w:rsid w:val="008074BA"/>
    <w:rsid w:val="008074FA"/>
    <w:rsid w:val="00807502"/>
    <w:rsid w:val="00807509"/>
    <w:rsid w:val="0080750A"/>
    <w:rsid w:val="00807517"/>
    <w:rsid w:val="00807595"/>
    <w:rsid w:val="00807596"/>
    <w:rsid w:val="008075AA"/>
    <w:rsid w:val="00807635"/>
    <w:rsid w:val="00807671"/>
    <w:rsid w:val="008076E6"/>
    <w:rsid w:val="00807749"/>
    <w:rsid w:val="0080774B"/>
    <w:rsid w:val="00807787"/>
    <w:rsid w:val="00807791"/>
    <w:rsid w:val="008077A2"/>
    <w:rsid w:val="008077BA"/>
    <w:rsid w:val="008077E6"/>
    <w:rsid w:val="00807805"/>
    <w:rsid w:val="0080780A"/>
    <w:rsid w:val="00807834"/>
    <w:rsid w:val="0080786A"/>
    <w:rsid w:val="00807878"/>
    <w:rsid w:val="008078B1"/>
    <w:rsid w:val="008078B4"/>
    <w:rsid w:val="008078E0"/>
    <w:rsid w:val="00807921"/>
    <w:rsid w:val="0080792D"/>
    <w:rsid w:val="008079E1"/>
    <w:rsid w:val="008079FF"/>
    <w:rsid w:val="00807A4E"/>
    <w:rsid w:val="00807A6D"/>
    <w:rsid w:val="00807AA5"/>
    <w:rsid w:val="00807AC3"/>
    <w:rsid w:val="00807B03"/>
    <w:rsid w:val="00807B29"/>
    <w:rsid w:val="00807B2D"/>
    <w:rsid w:val="00807B41"/>
    <w:rsid w:val="00807B63"/>
    <w:rsid w:val="00807B69"/>
    <w:rsid w:val="00807B75"/>
    <w:rsid w:val="00807B8E"/>
    <w:rsid w:val="00807BA0"/>
    <w:rsid w:val="00807C1B"/>
    <w:rsid w:val="00807C1E"/>
    <w:rsid w:val="00807C5B"/>
    <w:rsid w:val="00807C63"/>
    <w:rsid w:val="00807C66"/>
    <w:rsid w:val="00807CDC"/>
    <w:rsid w:val="00807CE2"/>
    <w:rsid w:val="00807CFE"/>
    <w:rsid w:val="00807D00"/>
    <w:rsid w:val="00807D5F"/>
    <w:rsid w:val="00807DF1"/>
    <w:rsid w:val="00807E42"/>
    <w:rsid w:val="00807E4D"/>
    <w:rsid w:val="00807E55"/>
    <w:rsid w:val="00807E92"/>
    <w:rsid w:val="00807E97"/>
    <w:rsid w:val="00807EA6"/>
    <w:rsid w:val="00807EBE"/>
    <w:rsid w:val="00807ED1"/>
    <w:rsid w:val="00807EDD"/>
    <w:rsid w:val="00807EF3"/>
    <w:rsid w:val="00807F48"/>
    <w:rsid w:val="00807F5C"/>
    <w:rsid w:val="00807F80"/>
    <w:rsid w:val="00807F8F"/>
    <w:rsid w:val="00807F9F"/>
    <w:rsid w:val="00807FA8"/>
    <w:rsid w:val="00810011"/>
    <w:rsid w:val="0081005C"/>
    <w:rsid w:val="00810096"/>
    <w:rsid w:val="008100D6"/>
    <w:rsid w:val="00810110"/>
    <w:rsid w:val="00810129"/>
    <w:rsid w:val="00810148"/>
    <w:rsid w:val="00810191"/>
    <w:rsid w:val="008101B3"/>
    <w:rsid w:val="00810234"/>
    <w:rsid w:val="0081023D"/>
    <w:rsid w:val="008102AD"/>
    <w:rsid w:val="008102F8"/>
    <w:rsid w:val="00810324"/>
    <w:rsid w:val="00810341"/>
    <w:rsid w:val="008103EC"/>
    <w:rsid w:val="0081040E"/>
    <w:rsid w:val="00810418"/>
    <w:rsid w:val="00810510"/>
    <w:rsid w:val="0081051B"/>
    <w:rsid w:val="0081051F"/>
    <w:rsid w:val="00810525"/>
    <w:rsid w:val="00810588"/>
    <w:rsid w:val="0081060F"/>
    <w:rsid w:val="00810613"/>
    <w:rsid w:val="0081061E"/>
    <w:rsid w:val="0081061F"/>
    <w:rsid w:val="0081069B"/>
    <w:rsid w:val="008106BA"/>
    <w:rsid w:val="008106F8"/>
    <w:rsid w:val="00810733"/>
    <w:rsid w:val="0081073A"/>
    <w:rsid w:val="0081077D"/>
    <w:rsid w:val="0081078D"/>
    <w:rsid w:val="008107A9"/>
    <w:rsid w:val="0081086F"/>
    <w:rsid w:val="008108C3"/>
    <w:rsid w:val="00810911"/>
    <w:rsid w:val="00810941"/>
    <w:rsid w:val="0081094C"/>
    <w:rsid w:val="0081095E"/>
    <w:rsid w:val="00810987"/>
    <w:rsid w:val="008109FF"/>
    <w:rsid w:val="00810A89"/>
    <w:rsid w:val="00810AF6"/>
    <w:rsid w:val="00810B0D"/>
    <w:rsid w:val="00810B26"/>
    <w:rsid w:val="00810B4A"/>
    <w:rsid w:val="00810B53"/>
    <w:rsid w:val="00810B73"/>
    <w:rsid w:val="00810B74"/>
    <w:rsid w:val="00810B77"/>
    <w:rsid w:val="00810BC6"/>
    <w:rsid w:val="00810BE0"/>
    <w:rsid w:val="00810BE6"/>
    <w:rsid w:val="00810BE9"/>
    <w:rsid w:val="00810BFF"/>
    <w:rsid w:val="00810C2C"/>
    <w:rsid w:val="00810C83"/>
    <w:rsid w:val="00810C85"/>
    <w:rsid w:val="00810D1E"/>
    <w:rsid w:val="00810D20"/>
    <w:rsid w:val="00810D4D"/>
    <w:rsid w:val="00810D6C"/>
    <w:rsid w:val="00810DCF"/>
    <w:rsid w:val="00810E0B"/>
    <w:rsid w:val="00810E17"/>
    <w:rsid w:val="00810E37"/>
    <w:rsid w:val="00810E41"/>
    <w:rsid w:val="00810E57"/>
    <w:rsid w:val="00810E5A"/>
    <w:rsid w:val="00810E63"/>
    <w:rsid w:val="00810E76"/>
    <w:rsid w:val="00810E7D"/>
    <w:rsid w:val="00810EA2"/>
    <w:rsid w:val="00810EB2"/>
    <w:rsid w:val="00810EC0"/>
    <w:rsid w:val="00810ED5"/>
    <w:rsid w:val="00810EE0"/>
    <w:rsid w:val="00810F01"/>
    <w:rsid w:val="00810F0A"/>
    <w:rsid w:val="00810F19"/>
    <w:rsid w:val="00810F43"/>
    <w:rsid w:val="00810F53"/>
    <w:rsid w:val="00810F5A"/>
    <w:rsid w:val="00810F76"/>
    <w:rsid w:val="00810FB7"/>
    <w:rsid w:val="00810FC4"/>
    <w:rsid w:val="00810FE0"/>
    <w:rsid w:val="00810FE9"/>
    <w:rsid w:val="0081100A"/>
    <w:rsid w:val="00811012"/>
    <w:rsid w:val="00811016"/>
    <w:rsid w:val="00811021"/>
    <w:rsid w:val="0081106C"/>
    <w:rsid w:val="00811091"/>
    <w:rsid w:val="00811096"/>
    <w:rsid w:val="008110D4"/>
    <w:rsid w:val="008110E4"/>
    <w:rsid w:val="00811106"/>
    <w:rsid w:val="00811167"/>
    <w:rsid w:val="008111C5"/>
    <w:rsid w:val="00811218"/>
    <w:rsid w:val="00811297"/>
    <w:rsid w:val="008112C8"/>
    <w:rsid w:val="008112E2"/>
    <w:rsid w:val="008112FF"/>
    <w:rsid w:val="00811321"/>
    <w:rsid w:val="0081135F"/>
    <w:rsid w:val="00811360"/>
    <w:rsid w:val="00811385"/>
    <w:rsid w:val="008113A5"/>
    <w:rsid w:val="008113AE"/>
    <w:rsid w:val="008113EE"/>
    <w:rsid w:val="008114BA"/>
    <w:rsid w:val="008114D4"/>
    <w:rsid w:val="0081152C"/>
    <w:rsid w:val="00811548"/>
    <w:rsid w:val="0081156A"/>
    <w:rsid w:val="00811572"/>
    <w:rsid w:val="008115CA"/>
    <w:rsid w:val="00811631"/>
    <w:rsid w:val="0081166B"/>
    <w:rsid w:val="0081171B"/>
    <w:rsid w:val="00811770"/>
    <w:rsid w:val="008117C5"/>
    <w:rsid w:val="00811828"/>
    <w:rsid w:val="00811870"/>
    <w:rsid w:val="00811910"/>
    <w:rsid w:val="0081196B"/>
    <w:rsid w:val="0081196E"/>
    <w:rsid w:val="0081198C"/>
    <w:rsid w:val="008119A2"/>
    <w:rsid w:val="008119FA"/>
    <w:rsid w:val="00811AB5"/>
    <w:rsid w:val="00811AB8"/>
    <w:rsid w:val="00811B12"/>
    <w:rsid w:val="00811BDD"/>
    <w:rsid w:val="00811BE2"/>
    <w:rsid w:val="00811BE5"/>
    <w:rsid w:val="00811C66"/>
    <w:rsid w:val="00811C6C"/>
    <w:rsid w:val="00811CF7"/>
    <w:rsid w:val="00811D37"/>
    <w:rsid w:val="00811D65"/>
    <w:rsid w:val="00811D78"/>
    <w:rsid w:val="00811DB2"/>
    <w:rsid w:val="00811DEB"/>
    <w:rsid w:val="00811DED"/>
    <w:rsid w:val="00811DF2"/>
    <w:rsid w:val="00811DF4"/>
    <w:rsid w:val="00811E23"/>
    <w:rsid w:val="00811E6F"/>
    <w:rsid w:val="00811E8A"/>
    <w:rsid w:val="00811EA4"/>
    <w:rsid w:val="00811EBB"/>
    <w:rsid w:val="00811F0F"/>
    <w:rsid w:val="00811F11"/>
    <w:rsid w:val="00811F1F"/>
    <w:rsid w:val="00811F5A"/>
    <w:rsid w:val="00811F7C"/>
    <w:rsid w:val="00811FEC"/>
    <w:rsid w:val="00812009"/>
    <w:rsid w:val="0081200D"/>
    <w:rsid w:val="008120A7"/>
    <w:rsid w:val="008120B5"/>
    <w:rsid w:val="008121B7"/>
    <w:rsid w:val="00812220"/>
    <w:rsid w:val="00812227"/>
    <w:rsid w:val="00812277"/>
    <w:rsid w:val="008123C0"/>
    <w:rsid w:val="008123E4"/>
    <w:rsid w:val="0081244F"/>
    <w:rsid w:val="00812464"/>
    <w:rsid w:val="0081247F"/>
    <w:rsid w:val="0081249E"/>
    <w:rsid w:val="008124DD"/>
    <w:rsid w:val="0081250C"/>
    <w:rsid w:val="00812510"/>
    <w:rsid w:val="00812513"/>
    <w:rsid w:val="0081253A"/>
    <w:rsid w:val="0081258A"/>
    <w:rsid w:val="008125A3"/>
    <w:rsid w:val="008125A4"/>
    <w:rsid w:val="008125AF"/>
    <w:rsid w:val="008125D4"/>
    <w:rsid w:val="008125E2"/>
    <w:rsid w:val="008125EE"/>
    <w:rsid w:val="00812619"/>
    <w:rsid w:val="0081263C"/>
    <w:rsid w:val="00812656"/>
    <w:rsid w:val="00812659"/>
    <w:rsid w:val="0081266B"/>
    <w:rsid w:val="0081267C"/>
    <w:rsid w:val="0081269B"/>
    <w:rsid w:val="008126F3"/>
    <w:rsid w:val="00812709"/>
    <w:rsid w:val="00812710"/>
    <w:rsid w:val="0081272E"/>
    <w:rsid w:val="0081274A"/>
    <w:rsid w:val="00812776"/>
    <w:rsid w:val="008127B5"/>
    <w:rsid w:val="008127E4"/>
    <w:rsid w:val="0081282B"/>
    <w:rsid w:val="00812840"/>
    <w:rsid w:val="0081287B"/>
    <w:rsid w:val="00812893"/>
    <w:rsid w:val="0081299D"/>
    <w:rsid w:val="008129D4"/>
    <w:rsid w:val="00812A02"/>
    <w:rsid w:val="00812A11"/>
    <w:rsid w:val="00812A31"/>
    <w:rsid w:val="00812ADE"/>
    <w:rsid w:val="00812BB0"/>
    <w:rsid w:val="00812BDA"/>
    <w:rsid w:val="00812C07"/>
    <w:rsid w:val="00812CE1"/>
    <w:rsid w:val="00812CF1"/>
    <w:rsid w:val="00812D3A"/>
    <w:rsid w:val="00812D70"/>
    <w:rsid w:val="00812E63"/>
    <w:rsid w:val="00812E6A"/>
    <w:rsid w:val="00812E7C"/>
    <w:rsid w:val="00812EBE"/>
    <w:rsid w:val="00812EC2"/>
    <w:rsid w:val="00812EFD"/>
    <w:rsid w:val="00812F11"/>
    <w:rsid w:val="00812F3E"/>
    <w:rsid w:val="00812F7D"/>
    <w:rsid w:val="00812F89"/>
    <w:rsid w:val="00812FA4"/>
    <w:rsid w:val="0081303F"/>
    <w:rsid w:val="008130A0"/>
    <w:rsid w:val="0081311C"/>
    <w:rsid w:val="00813164"/>
    <w:rsid w:val="00813175"/>
    <w:rsid w:val="008131F0"/>
    <w:rsid w:val="00813200"/>
    <w:rsid w:val="0081323E"/>
    <w:rsid w:val="0081325A"/>
    <w:rsid w:val="00813285"/>
    <w:rsid w:val="00813364"/>
    <w:rsid w:val="008133BF"/>
    <w:rsid w:val="00813475"/>
    <w:rsid w:val="008134FE"/>
    <w:rsid w:val="00813541"/>
    <w:rsid w:val="00813573"/>
    <w:rsid w:val="008135A3"/>
    <w:rsid w:val="008135FE"/>
    <w:rsid w:val="0081363F"/>
    <w:rsid w:val="00813669"/>
    <w:rsid w:val="00813680"/>
    <w:rsid w:val="008136B0"/>
    <w:rsid w:val="008136F1"/>
    <w:rsid w:val="00813728"/>
    <w:rsid w:val="00813762"/>
    <w:rsid w:val="00813779"/>
    <w:rsid w:val="00813822"/>
    <w:rsid w:val="00813872"/>
    <w:rsid w:val="0081387E"/>
    <w:rsid w:val="00813890"/>
    <w:rsid w:val="00813899"/>
    <w:rsid w:val="008138AD"/>
    <w:rsid w:val="008138CC"/>
    <w:rsid w:val="0081390F"/>
    <w:rsid w:val="0081397A"/>
    <w:rsid w:val="008139A1"/>
    <w:rsid w:val="008139BF"/>
    <w:rsid w:val="00813A2A"/>
    <w:rsid w:val="00813A81"/>
    <w:rsid w:val="00813ABA"/>
    <w:rsid w:val="00813B0F"/>
    <w:rsid w:val="00813B2F"/>
    <w:rsid w:val="00813B37"/>
    <w:rsid w:val="00813BA9"/>
    <w:rsid w:val="00813BBD"/>
    <w:rsid w:val="00813BBF"/>
    <w:rsid w:val="00813C19"/>
    <w:rsid w:val="00813C34"/>
    <w:rsid w:val="00813C3A"/>
    <w:rsid w:val="00813C71"/>
    <w:rsid w:val="00813C90"/>
    <w:rsid w:val="00813CF9"/>
    <w:rsid w:val="00813CFA"/>
    <w:rsid w:val="00813D34"/>
    <w:rsid w:val="00813D78"/>
    <w:rsid w:val="00813D9B"/>
    <w:rsid w:val="00813E06"/>
    <w:rsid w:val="00813EFE"/>
    <w:rsid w:val="00813F34"/>
    <w:rsid w:val="00813F4A"/>
    <w:rsid w:val="00813F6C"/>
    <w:rsid w:val="00813F6E"/>
    <w:rsid w:val="00813F77"/>
    <w:rsid w:val="00813FCF"/>
    <w:rsid w:val="00814054"/>
    <w:rsid w:val="00814087"/>
    <w:rsid w:val="008140BC"/>
    <w:rsid w:val="008140CD"/>
    <w:rsid w:val="008140E9"/>
    <w:rsid w:val="00814123"/>
    <w:rsid w:val="0081412C"/>
    <w:rsid w:val="0081418F"/>
    <w:rsid w:val="00814252"/>
    <w:rsid w:val="0081425C"/>
    <w:rsid w:val="00814268"/>
    <w:rsid w:val="0081429A"/>
    <w:rsid w:val="0081429F"/>
    <w:rsid w:val="008142C4"/>
    <w:rsid w:val="008142D1"/>
    <w:rsid w:val="008142F2"/>
    <w:rsid w:val="0081433E"/>
    <w:rsid w:val="0081435A"/>
    <w:rsid w:val="00814376"/>
    <w:rsid w:val="00814382"/>
    <w:rsid w:val="008143A5"/>
    <w:rsid w:val="00814433"/>
    <w:rsid w:val="00814449"/>
    <w:rsid w:val="008144BC"/>
    <w:rsid w:val="0081456E"/>
    <w:rsid w:val="0081458E"/>
    <w:rsid w:val="0081460A"/>
    <w:rsid w:val="00814637"/>
    <w:rsid w:val="0081463D"/>
    <w:rsid w:val="00814656"/>
    <w:rsid w:val="00814688"/>
    <w:rsid w:val="00814717"/>
    <w:rsid w:val="00814732"/>
    <w:rsid w:val="008147AB"/>
    <w:rsid w:val="008147AF"/>
    <w:rsid w:val="008147DA"/>
    <w:rsid w:val="0081480D"/>
    <w:rsid w:val="00814815"/>
    <w:rsid w:val="0081482F"/>
    <w:rsid w:val="00814862"/>
    <w:rsid w:val="008148E4"/>
    <w:rsid w:val="008148EB"/>
    <w:rsid w:val="00814953"/>
    <w:rsid w:val="008149AB"/>
    <w:rsid w:val="008149B8"/>
    <w:rsid w:val="008149ED"/>
    <w:rsid w:val="008149F5"/>
    <w:rsid w:val="00814A6F"/>
    <w:rsid w:val="00814A8A"/>
    <w:rsid w:val="00814AB2"/>
    <w:rsid w:val="00814AD7"/>
    <w:rsid w:val="00814AE2"/>
    <w:rsid w:val="00814AEE"/>
    <w:rsid w:val="00814B05"/>
    <w:rsid w:val="00814B25"/>
    <w:rsid w:val="00814B33"/>
    <w:rsid w:val="00814C1D"/>
    <w:rsid w:val="00814C5F"/>
    <w:rsid w:val="00814C78"/>
    <w:rsid w:val="00814C8F"/>
    <w:rsid w:val="00814C9E"/>
    <w:rsid w:val="00814CCF"/>
    <w:rsid w:val="00814CF1"/>
    <w:rsid w:val="00814D37"/>
    <w:rsid w:val="00814D9D"/>
    <w:rsid w:val="00814EDE"/>
    <w:rsid w:val="00814EE5"/>
    <w:rsid w:val="00814EF3"/>
    <w:rsid w:val="00814F27"/>
    <w:rsid w:val="00814F55"/>
    <w:rsid w:val="00814F99"/>
    <w:rsid w:val="00814F9D"/>
    <w:rsid w:val="00814FAC"/>
    <w:rsid w:val="008150BB"/>
    <w:rsid w:val="008150C9"/>
    <w:rsid w:val="008150F1"/>
    <w:rsid w:val="008150F4"/>
    <w:rsid w:val="008150FF"/>
    <w:rsid w:val="008151A1"/>
    <w:rsid w:val="008151C3"/>
    <w:rsid w:val="008151D3"/>
    <w:rsid w:val="008151D5"/>
    <w:rsid w:val="008151E2"/>
    <w:rsid w:val="00815209"/>
    <w:rsid w:val="00815233"/>
    <w:rsid w:val="00815259"/>
    <w:rsid w:val="0081526A"/>
    <w:rsid w:val="00815299"/>
    <w:rsid w:val="008152A0"/>
    <w:rsid w:val="008152C3"/>
    <w:rsid w:val="008152D3"/>
    <w:rsid w:val="00815330"/>
    <w:rsid w:val="00815331"/>
    <w:rsid w:val="00815350"/>
    <w:rsid w:val="00815456"/>
    <w:rsid w:val="00815475"/>
    <w:rsid w:val="008154B2"/>
    <w:rsid w:val="008154B7"/>
    <w:rsid w:val="00815560"/>
    <w:rsid w:val="0081562B"/>
    <w:rsid w:val="0081562E"/>
    <w:rsid w:val="00815639"/>
    <w:rsid w:val="00815661"/>
    <w:rsid w:val="00815671"/>
    <w:rsid w:val="008156C9"/>
    <w:rsid w:val="00815752"/>
    <w:rsid w:val="00815771"/>
    <w:rsid w:val="0081578A"/>
    <w:rsid w:val="008157A7"/>
    <w:rsid w:val="008157DD"/>
    <w:rsid w:val="008157E9"/>
    <w:rsid w:val="00815810"/>
    <w:rsid w:val="0081583F"/>
    <w:rsid w:val="00815880"/>
    <w:rsid w:val="0081588C"/>
    <w:rsid w:val="0081589A"/>
    <w:rsid w:val="008158EC"/>
    <w:rsid w:val="008158EE"/>
    <w:rsid w:val="00815979"/>
    <w:rsid w:val="00815992"/>
    <w:rsid w:val="00815994"/>
    <w:rsid w:val="00815A00"/>
    <w:rsid w:val="00815A2C"/>
    <w:rsid w:val="00815A40"/>
    <w:rsid w:val="00815AE8"/>
    <w:rsid w:val="00815B04"/>
    <w:rsid w:val="00815B0C"/>
    <w:rsid w:val="00815B18"/>
    <w:rsid w:val="00815B56"/>
    <w:rsid w:val="00815B6A"/>
    <w:rsid w:val="00815BC6"/>
    <w:rsid w:val="00815BFC"/>
    <w:rsid w:val="00815C38"/>
    <w:rsid w:val="00815C4F"/>
    <w:rsid w:val="00815CC1"/>
    <w:rsid w:val="00815CCC"/>
    <w:rsid w:val="00815CD8"/>
    <w:rsid w:val="00815D23"/>
    <w:rsid w:val="00815D5A"/>
    <w:rsid w:val="00815DF1"/>
    <w:rsid w:val="00815E13"/>
    <w:rsid w:val="00815E3E"/>
    <w:rsid w:val="00815E53"/>
    <w:rsid w:val="00815E98"/>
    <w:rsid w:val="00815ECE"/>
    <w:rsid w:val="00815EE7"/>
    <w:rsid w:val="00815F17"/>
    <w:rsid w:val="00815F30"/>
    <w:rsid w:val="00815FAF"/>
    <w:rsid w:val="00816003"/>
    <w:rsid w:val="00816006"/>
    <w:rsid w:val="00816008"/>
    <w:rsid w:val="0081607C"/>
    <w:rsid w:val="00816080"/>
    <w:rsid w:val="00816089"/>
    <w:rsid w:val="008160CF"/>
    <w:rsid w:val="008160FB"/>
    <w:rsid w:val="0081610B"/>
    <w:rsid w:val="0081618B"/>
    <w:rsid w:val="008161A2"/>
    <w:rsid w:val="008161B3"/>
    <w:rsid w:val="008161B4"/>
    <w:rsid w:val="008161DF"/>
    <w:rsid w:val="008161F1"/>
    <w:rsid w:val="00816238"/>
    <w:rsid w:val="008162A8"/>
    <w:rsid w:val="008162D4"/>
    <w:rsid w:val="0081632F"/>
    <w:rsid w:val="0081633F"/>
    <w:rsid w:val="00816361"/>
    <w:rsid w:val="008163D1"/>
    <w:rsid w:val="00816415"/>
    <w:rsid w:val="00816428"/>
    <w:rsid w:val="0081642C"/>
    <w:rsid w:val="00816437"/>
    <w:rsid w:val="00816439"/>
    <w:rsid w:val="00816475"/>
    <w:rsid w:val="00816481"/>
    <w:rsid w:val="0081649C"/>
    <w:rsid w:val="008164C8"/>
    <w:rsid w:val="00816516"/>
    <w:rsid w:val="0081651E"/>
    <w:rsid w:val="00816527"/>
    <w:rsid w:val="0081659E"/>
    <w:rsid w:val="008165BC"/>
    <w:rsid w:val="008165F7"/>
    <w:rsid w:val="0081667C"/>
    <w:rsid w:val="008166CD"/>
    <w:rsid w:val="008166EE"/>
    <w:rsid w:val="008166F6"/>
    <w:rsid w:val="008167FD"/>
    <w:rsid w:val="00816871"/>
    <w:rsid w:val="008168B6"/>
    <w:rsid w:val="008168E1"/>
    <w:rsid w:val="00816956"/>
    <w:rsid w:val="008169C5"/>
    <w:rsid w:val="008169FD"/>
    <w:rsid w:val="00816A1F"/>
    <w:rsid w:val="00816A76"/>
    <w:rsid w:val="00816AAA"/>
    <w:rsid w:val="00816AE4"/>
    <w:rsid w:val="00816AF7"/>
    <w:rsid w:val="00816B4B"/>
    <w:rsid w:val="00816BFC"/>
    <w:rsid w:val="00816C1E"/>
    <w:rsid w:val="00816C4B"/>
    <w:rsid w:val="00816C59"/>
    <w:rsid w:val="00816C80"/>
    <w:rsid w:val="00816C89"/>
    <w:rsid w:val="00816D01"/>
    <w:rsid w:val="00816D67"/>
    <w:rsid w:val="00816D93"/>
    <w:rsid w:val="00816E1B"/>
    <w:rsid w:val="00816E5D"/>
    <w:rsid w:val="00816E5F"/>
    <w:rsid w:val="00816EC8"/>
    <w:rsid w:val="00816F31"/>
    <w:rsid w:val="00816F6B"/>
    <w:rsid w:val="00816FC9"/>
    <w:rsid w:val="00816FEB"/>
    <w:rsid w:val="00817034"/>
    <w:rsid w:val="0081705A"/>
    <w:rsid w:val="0081705E"/>
    <w:rsid w:val="00817068"/>
    <w:rsid w:val="00817092"/>
    <w:rsid w:val="00817118"/>
    <w:rsid w:val="0081716E"/>
    <w:rsid w:val="00817179"/>
    <w:rsid w:val="0081719B"/>
    <w:rsid w:val="0081719C"/>
    <w:rsid w:val="00817213"/>
    <w:rsid w:val="0081721E"/>
    <w:rsid w:val="00817227"/>
    <w:rsid w:val="0081724C"/>
    <w:rsid w:val="0081725D"/>
    <w:rsid w:val="00817288"/>
    <w:rsid w:val="008172A6"/>
    <w:rsid w:val="008172AA"/>
    <w:rsid w:val="008172D1"/>
    <w:rsid w:val="008172EF"/>
    <w:rsid w:val="008172F3"/>
    <w:rsid w:val="008172F4"/>
    <w:rsid w:val="008172FC"/>
    <w:rsid w:val="008172FF"/>
    <w:rsid w:val="00817333"/>
    <w:rsid w:val="00817346"/>
    <w:rsid w:val="0081736D"/>
    <w:rsid w:val="00817370"/>
    <w:rsid w:val="008173CD"/>
    <w:rsid w:val="0081740B"/>
    <w:rsid w:val="00817420"/>
    <w:rsid w:val="00817454"/>
    <w:rsid w:val="008174B6"/>
    <w:rsid w:val="008174C9"/>
    <w:rsid w:val="0081751D"/>
    <w:rsid w:val="00817532"/>
    <w:rsid w:val="00817540"/>
    <w:rsid w:val="0081754A"/>
    <w:rsid w:val="00817588"/>
    <w:rsid w:val="00817696"/>
    <w:rsid w:val="008176B3"/>
    <w:rsid w:val="00817727"/>
    <w:rsid w:val="00817769"/>
    <w:rsid w:val="00817785"/>
    <w:rsid w:val="00817827"/>
    <w:rsid w:val="0081785F"/>
    <w:rsid w:val="00817871"/>
    <w:rsid w:val="0081791A"/>
    <w:rsid w:val="00817936"/>
    <w:rsid w:val="0081794F"/>
    <w:rsid w:val="00817966"/>
    <w:rsid w:val="00817972"/>
    <w:rsid w:val="00817977"/>
    <w:rsid w:val="0081799F"/>
    <w:rsid w:val="008179A9"/>
    <w:rsid w:val="008179AE"/>
    <w:rsid w:val="008179FF"/>
    <w:rsid w:val="00817A13"/>
    <w:rsid w:val="00817A1F"/>
    <w:rsid w:val="00817A25"/>
    <w:rsid w:val="00817A44"/>
    <w:rsid w:val="00817A6E"/>
    <w:rsid w:val="00817A7F"/>
    <w:rsid w:val="00817A82"/>
    <w:rsid w:val="00817ADD"/>
    <w:rsid w:val="00817AF6"/>
    <w:rsid w:val="00817B0A"/>
    <w:rsid w:val="00817B2A"/>
    <w:rsid w:val="00817B30"/>
    <w:rsid w:val="00817B33"/>
    <w:rsid w:val="00817B37"/>
    <w:rsid w:val="00817B46"/>
    <w:rsid w:val="00817BAC"/>
    <w:rsid w:val="00817BF0"/>
    <w:rsid w:val="00817C58"/>
    <w:rsid w:val="00817C6B"/>
    <w:rsid w:val="00817C70"/>
    <w:rsid w:val="00817D06"/>
    <w:rsid w:val="00817D1C"/>
    <w:rsid w:val="00817D35"/>
    <w:rsid w:val="00817DC4"/>
    <w:rsid w:val="00817DD3"/>
    <w:rsid w:val="00817E21"/>
    <w:rsid w:val="00817E5E"/>
    <w:rsid w:val="00817E73"/>
    <w:rsid w:val="00817E7D"/>
    <w:rsid w:val="00817EB0"/>
    <w:rsid w:val="00817EE6"/>
    <w:rsid w:val="00817F88"/>
    <w:rsid w:val="00817FA6"/>
    <w:rsid w:val="00817FB2"/>
    <w:rsid w:val="00817FD5"/>
    <w:rsid w:val="00817FD9"/>
    <w:rsid w:val="00817FDB"/>
    <w:rsid w:val="00817FE3"/>
    <w:rsid w:val="00817FF7"/>
    <w:rsid w:val="008200DF"/>
    <w:rsid w:val="0082017A"/>
    <w:rsid w:val="0082017B"/>
    <w:rsid w:val="0082017F"/>
    <w:rsid w:val="00820212"/>
    <w:rsid w:val="00820213"/>
    <w:rsid w:val="00820246"/>
    <w:rsid w:val="00820278"/>
    <w:rsid w:val="0082029B"/>
    <w:rsid w:val="008202C0"/>
    <w:rsid w:val="008202EA"/>
    <w:rsid w:val="00820349"/>
    <w:rsid w:val="00820383"/>
    <w:rsid w:val="0082038A"/>
    <w:rsid w:val="008203BD"/>
    <w:rsid w:val="008203E4"/>
    <w:rsid w:val="008203E5"/>
    <w:rsid w:val="00820411"/>
    <w:rsid w:val="00820425"/>
    <w:rsid w:val="0082043A"/>
    <w:rsid w:val="00820456"/>
    <w:rsid w:val="0082048F"/>
    <w:rsid w:val="0082049D"/>
    <w:rsid w:val="0082049F"/>
    <w:rsid w:val="008204B9"/>
    <w:rsid w:val="008204C5"/>
    <w:rsid w:val="008204D2"/>
    <w:rsid w:val="008204D5"/>
    <w:rsid w:val="008204D6"/>
    <w:rsid w:val="008204F9"/>
    <w:rsid w:val="00820510"/>
    <w:rsid w:val="00820531"/>
    <w:rsid w:val="0082053D"/>
    <w:rsid w:val="0082054D"/>
    <w:rsid w:val="0082057C"/>
    <w:rsid w:val="008205E2"/>
    <w:rsid w:val="00820668"/>
    <w:rsid w:val="008206B4"/>
    <w:rsid w:val="008206D0"/>
    <w:rsid w:val="008206EC"/>
    <w:rsid w:val="00820733"/>
    <w:rsid w:val="00820766"/>
    <w:rsid w:val="0082078D"/>
    <w:rsid w:val="0082083A"/>
    <w:rsid w:val="00820885"/>
    <w:rsid w:val="0082088F"/>
    <w:rsid w:val="0082090A"/>
    <w:rsid w:val="00820945"/>
    <w:rsid w:val="00820958"/>
    <w:rsid w:val="008209C1"/>
    <w:rsid w:val="008209C2"/>
    <w:rsid w:val="008209F2"/>
    <w:rsid w:val="008209F4"/>
    <w:rsid w:val="00820A45"/>
    <w:rsid w:val="00820A75"/>
    <w:rsid w:val="00820AAF"/>
    <w:rsid w:val="00820ABD"/>
    <w:rsid w:val="00820B16"/>
    <w:rsid w:val="00820B6F"/>
    <w:rsid w:val="00820B8C"/>
    <w:rsid w:val="00820BA1"/>
    <w:rsid w:val="00820BB1"/>
    <w:rsid w:val="00820BB8"/>
    <w:rsid w:val="00820BC0"/>
    <w:rsid w:val="00820BED"/>
    <w:rsid w:val="00820C2B"/>
    <w:rsid w:val="00820C33"/>
    <w:rsid w:val="00820C63"/>
    <w:rsid w:val="00820C66"/>
    <w:rsid w:val="00820C77"/>
    <w:rsid w:val="00820C86"/>
    <w:rsid w:val="00820CAA"/>
    <w:rsid w:val="00820CB9"/>
    <w:rsid w:val="00820D71"/>
    <w:rsid w:val="00820D77"/>
    <w:rsid w:val="00820D84"/>
    <w:rsid w:val="00820DB4"/>
    <w:rsid w:val="00820E11"/>
    <w:rsid w:val="00820E9C"/>
    <w:rsid w:val="00820EB7"/>
    <w:rsid w:val="00820ED5"/>
    <w:rsid w:val="00820ED9"/>
    <w:rsid w:val="00820F18"/>
    <w:rsid w:val="00820F3C"/>
    <w:rsid w:val="00820F6D"/>
    <w:rsid w:val="00820FCB"/>
    <w:rsid w:val="0082102C"/>
    <w:rsid w:val="0082103B"/>
    <w:rsid w:val="0082104A"/>
    <w:rsid w:val="00821050"/>
    <w:rsid w:val="008210D1"/>
    <w:rsid w:val="00821111"/>
    <w:rsid w:val="00821122"/>
    <w:rsid w:val="00821171"/>
    <w:rsid w:val="008211F9"/>
    <w:rsid w:val="00821257"/>
    <w:rsid w:val="00821295"/>
    <w:rsid w:val="00821347"/>
    <w:rsid w:val="0082138B"/>
    <w:rsid w:val="008213DA"/>
    <w:rsid w:val="0082141C"/>
    <w:rsid w:val="00821444"/>
    <w:rsid w:val="00821471"/>
    <w:rsid w:val="00821512"/>
    <w:rsid w:val="00821516"/>
    <w:rsid w:val="00821529"/>
    <w:rsid w:val="00821561"/>
    <w:rsid w:val="008215EA"/>
    <w:rsid w:val="008215F3"/>
    <w:rsid w:val="008216F4"/>
    <w:rsid w:val="008216FF"/>
    <w:rsid w:val="00821719"/>
    <w:rsid w:val="008218F9"/>
    <w:rsid w:val="00821903"/>
    <w:rsid w:val="00821908"/>
    <w:rsid w:val="00821914"/>
    <w:rsid w:val="0082195C"/>
    <w:rsid w:val="008219A9"/>
    <w:rsid w:val="008219AC"/>
    <w:rsid w:val="008219B5"/>
    <w:rsid w:val="008219BC"/>
    <w:rsid w:val="008219C4"/>
    <w:rsid w:val="00821A01"/>
    <w:rsid w:val="00821A0C"/>
    <w:rsid w:val="00821A39"/>
    <w:rsid w:val="00821A46"/>
    <w:rsid w:val="00821A5A"/>
    <w:rsid w:val="00821A72"/>
    <w:rsid w:val="00821AFF"/>
    <w:rsid w:val="00821B17"/>
    <w:rsid w:val="00821B7E"/>
    <w:rsid w:val="00821BB1"/>
    <w:rsid w:val="00821BD2"/>
    <w:rsid w:val="00821BDA"/>
    <w:rsid w:val="00821C09"/>
    <w:rsid w:val="00821C95"/>
    <w:rsid w:val="00821CA7"/>
    <w:rsid w:val="00821CBB"/>
    <w:rsid w:val="00821D10"/>
    <w:rsid w:val="00821D66"/>
    <w:rsid w:val="00821D98"/>
    <w:rsid w:val="00821DAD"/>
    <w:rsid w:val="00821DF4"/>
    <w:rsid w:val="00821E11"/>
    <w:rsid w:val="00821EAC"/>
    <w:rsid w:val="00821F0F"/>
    <w:rsid w:val="00821F12"/>
    <w:rsid w:val="00821F3F"/>
    <w:rsid w:val="00821F50"/>
    <w:rsid w:val="00821F7F"/>
    <w:rsid w:val="00821FA1"/>
    <w:rsid w:val="00821FAE"/>
    <w:rsid w:val="00821FAF"/>
    <w:rsid w:val="00821FD5"/>
    <w:rsid w:val="00822036"/>
    <w:rsid w:val="0082203A"/>
    <w:rsid w:val="0082204B"/>
    <w:rsid w:val="008220D4"/>
    <w:rsid w:val="008220EF"/>
    <w:rsid w:val="008220FC"/>
    <w:rsid w:val="00822108"/>
    <w:rsid w:val="00822130"/>
    <w:rsid w:val="00822139"/>
    <w:rsid w:val="00822147"/>
    <w:rsid w:val="0082215B"/>
    <w:rsid w:val="0082215E"/>
    <w:rsid w:val="008221A0"/>
    <w:rsid w:val="0082220B"/>
    <w:rsid w:val="00822221"/>
    <w:rsid w:val="0082226A"/>
    <w:rsid w:val="0082232D"/>
    <w:rsid w:val="008223A8"/>
    <w:rsid w:val="008223B7"/>
    <w:rsid w:val="008223BB"/>
    <w:rsid w:val="008223BE"/>
    <w:rsid w:val="00822431"/>
    <w:rsid w:val="00822446"/>
    <w:rsid w:val="00822459"/>
    <w:rsid w:val="008224BC"/>
    <w:rsid w:val="008224D4"/>
    <w:rsid w:val="008224DF"/>
    <w:rsid w:val="0082254A"/>
    <w:rsid w:val="00822595"/>
    <w:rsid w:val="008225A4"/>
    <w:rsid w:val="008225C0"/>
    <w:rsid w:val="00822633"/>
    <w:rsid w:val="00822647"/>
    <w:rsid w:val="00822661"/>
    <w:rsid w:val="00822663"/>
    <w:rsid w:val="00822679"/>
    <w:rsid w:val="008226A2"/>
    <w:rsid w:val="0082270B"/>
    <w:rsid w:val="0082270D"/>
    <w:rsid w:val="0082276A"/>
    <w:rsid w:val="008227AD"/>
    <w:rsid w:val="008227DD"/>
    <w:rsid w:val="008227EB"/>
    <w:rsid w:val="00822800"/>
    <w:rsid w:val="00822829"/>
    <w:rsid w:val="0082282C"/>
    <w:rsid w:val="0082289F"/>
    <w:rsid w:val="0082291B"/>
    <w:rsid w:val="0082294F"/>
    <w:rsid w:val="00822983"/>
    <w:rsid w:val="00822994"/>
    <w:rsid w:val="00822A40"/>
    <w:rsid w:val="00822A5A"/>
    <w:rsid w:val="00822A64"/>
    <w:rsid w:val="00822A71"/>
    <w:rsid w:val="00822A72"/>
    <w:rsid w:val="00822ADA"/>
    <w:rsid w:val="00822AFC"/>
    <w:rsid w:val="00822B3E"/>
    <w:rsid w:val="00822B48"/>
    <w:rsid w:val="00822BA2"/>
    <w:rsid w:val="00822BA5"/>
    <w:rsid w:val="00822BC5"/>
    <w:rsid w:val="00822BFA"/>
    <w:rsid w:val="00822BFC"/>
    <w:rsid w:val="00822C4B"/>
    <w:rsid w:val="00822C5D"/>
    <w:rsid w:val="00822C96"/>
    <w:rsid w:val="00822C99"/>
    <w:rsid w:val="00822CCB"/>
    <w:rsid w:val="00822CD3"/>
    <w:rsid w:val="00822CE1"/>
    <w:rsid w:val="00822CE3"/>
    <w:rsid w:val="00822CF4"/>
    <w:rsid w:val="00822D5D"/>
    <w:rsid w:val="00822D79"/>
    <w:rsid w:val="00822D97"/>
    <w:rsid w:val="00822D9F"/>
    <w:rsid w:val="00822DBF"/>
    <w:rsid w:val="00822E06"/>
    <w:rsid w:val="00822E28"/>
    <w:rsid w:val="00822E31"/>
    <w:rsid w:val="00822E69"/>
    <w:rsid w:val="00822E88"/>
    <w:rsid w:val="00822EC6"/>
    <w:rsid w:val="00822EEB"/>
    <w:rsid w:val="00822EF2"/>
    <w:rsid w:val="00822FCB"/>
    <w:rsid w:val="00822FD6"/>
    <w:rsid w:val="0082305A"/>
    <w:rsid w:val="0082307B"/>
    <w:rsid w:val="00823090"/>
    <w:rsid w:val="0082312B"/>
    <w:rsid w:val="0082312C"/>
    <w:rsid w:val="0082314A"/>
    <w:rsid w:val="00823168"/>
    <w:rsid w:val="008231A2"/>
    <w:rsid w:val="008231CD"/>
    <w:rsid w:val="008231D3"/>
    <w:rsid w:val="008231E7"/>
    <w:rsid w:val="008231F8"/>
    <w:rsid w:val="008231FE"/>
    <w:rsid w:val="00823228"/>
    <w:rsid w:val="0082326D"/>
    <w:rsid w:val="00823281"/>
    <w:rsid w:val="008232A5"/>
    <w:rsid w:val="008232A9"/>
    <w:rsid w:val="008232BF"/>
    <w:rsid w:val="008232EC"/>
    <w:rsid w:val="0082334D"/>
    <w:rsid w:val="00823363"/>
    <w:rsid w:val="008233C0"/>
    <w:rsid w:val="0082341B"/>
    <w:rsid w:val="00823436"/>
    <w:rsid w:val="0082345C"/>
    <w:rsid w:val="008234CF"/>
    <w:rsid w:val="008234E0"/>
    <w:rsid w:val="00823544"/>
    <w:rsid w:val="00823567"/>
    <w:rsid w:val="0082357F"/>
    <w:rsid w:val="00823589"/>
    <w:rsid w:val="0082359A"/>
    <w:rsid w:val="008235B2"/>
    <w:rsid w:val="008235CD"/>
    <w:rsid w:val="008235EB"/>
    <w:rsid w:val="0082360A"/>
    <w:rsid w:val="0082361E"/>
    <w:rsid w:val="0082362F"/>
    <w:rsid w:val="00823660"/>
    <w:rsid w:val="00823675"/>
    <w:rsid w:val="008236A0"/>
    <w:rsid w:val="008236EE"/>
    <w:rsid w:val="0082370D"/>
    <w:rsid w:val="00823767"/>
    <w:rsid w:val="008237A1"/>
    <w:rsid w:val="0082380A"/>
    <w:rsid w:val="00823819"/>
    <w:rsid w:val="0082382E"/>
    <w:rsid w:val="00823856"/>
    <w:rsid w:val="00823881"/>
    <w:rsid w:val="0082391F"/>
    <w:rsid w:val="0082395C"/>
    <w:rsid w:val="008239CB"/>
    <w:rsid w:val="008239EA"/>
    <w:rsid w:val="00823A77"/>
    <w:rsid w:val="00823AA1"/>
    <w:rsid w:val="00823AC4"/>
    <w:rsid w:val="00823AE2"/>
    <w:rsid w:val="00823AE9"/>
    <w:rsid w:val="00823AFA"/>
    <w:rsid w:val="00823B06"/>
    <w:rsid w:val="00823B30"/>
    <w:rsid w:val="00823B32"/>
    <w:rsid w:val="00823B44"/>
    <w:rsid w:val="00823B46"/>
    <w:rsid w:val="00823B77"/>
    <w:rsid w:val="00823C0A"/>
    <w:rsid w:val="00823C2F"/>
    <w:rsid w:val="00823C55"/>
    <w:rsid w:val="00823C73"/>
    <w:rsid w:val="00823C8D"/>
    <w:rsid w:val="00823CB2"/>
    <w:rsid w:val="00823D06"/>
    <w:rsid w:val="00823D21"/>
    <w:rsid w:val="00823D92"/>
    <w:rsid w:val="00823E55"/>
    <w:rsid w:val="00823ECA"/>
    <w:rsid w:val="00823F2B"/>
    <w:rsid w:val="00823F32"/>
    <w:rsid w:val="00823F7B"/>
    <w:rsid w:val="00824003"/>
    <w:rsid w:val="00824013"/>
    <w:rsid w:val="00824073"/>
    <w:rsid w:val="0082409E"/>
    <w:rsid w:val="00824100"/>
    <w:rsid w:val="00824133"/>
    <w:rsid w:val="00824146"/>
    <w:rsid w:val="0082414A"/>
    <w:rsid w:val="008241D6"/>
    <w:rsid w:val="0082420E"/>
    <w:rsid w:val="00824220"/>
    <w:rsid w:val="0082424B"/>
    <w:rsid w:val="00824267"/>
    <w:rsid w:val="0082426F"/>
    <w:rsid w:val="00824296"/>
    <w:rsid w:val="00824354"/>
    <w:rsid w:val="008243EC"/>
    <w:rsid w:val="008243F3"/>
    <w:rsid w:val="0082442C"/>
    <w:rsid w:val="00824448"/>
    <w:rsid w:val="00824456"/>
    <w:rsid w:val="008244C4"/>
    <w:rsid w:val="00824510"/>
    <w:rsid w:val="0082454C"/>
    <w:rsid w:val="00824578"/>
    <w:rsid w:val="008245CE"/>
    <w:rsid w:val="008245E6"/>
    <w:rsid w:val="00824628"/>
    <w:rsid w:val="0082467E"/>
    <w:rsid w:val="00824729"/>
    <w:rsid w:val="00824736"/>
    <w:rsid w:val="0082476A"/>
    <w:rsid w:val="0082476D"/>
    <w:rsid w:val="0082482A"/>
    <w:rsid w:val="00824847"/>
    <w:rsid w:val="0082485B"/>
    <w:rsid w:val="0082486A"/>
    <w:rsid w:val="00824872"/>
    <w:rsid w:val="0082487D"/>
    <w:rsid w:val="008248A8"/>
    <w:rsid w:val="008248DA"/>
    <w:rsid w:val="008248FA"/>
    <w:rsid w:val="00824954"/>
    <w:rsid w:val="00824975"/>
    <w:rsid w:val="008249B2"/>
    <w:rsid w:val="008249CF"/>
    <w:rsid w:val="00824A33"/>
    <w:rsid w:val="00824AB6"/>
    <w:rsid w:val="00824AC4"/>
    <w:rsid w:val="00824ADB"/>
    <w:rsid w:val="00824B14"/>
    <w:rsid w:val="00824B32"/>
    <w:rsid w:val="00824B55"/>
    <w:rsid w:val="00824B76"/>
    <w:rsid w:val="00824C8D"/>
    <w:rsid w:val="00824CC1"/>
    <w:rsid w:val="00824CF8"/>
    <w:rsid w:val="00824CFD"/>
    <w:rsid w:val="00824D28"/>
    <w:rsid w:val="00824D80"/>
    <w:rsid w:val="00824DF2"/>
    <w:rsid w:val="00824E12"/>
    <w:rsid w:val="00824E28"/>
    <w:rsid w:val="00824E65"/>
    <w:rsid w:val="00824EA4"/>
    <w:rsid w:val="00824EE9"/>
    <w:rsid w:val="00824F31"/>
    <w:rsid w:val="00824F6B"/>
    <w:rsid w:val="00824F7A"/>
    <w:rsid w:val="00824F82"/>
    <w:rsid w:val="00825005"/>
    <w:rsid w:val="0082501E"/>
    <w:rsid w:val="00825053"/>
    <w:rsid w:val="0082506A"/>
    <w:rsid w:val="008250AE"/>
    <w:rsid w:val="008250B5"/>
    <w:rsid w:val="00825127"/>
    <w:rsid w:val="00825148"/>
    <w:rsid w:val="00825173"/>
    <w:rsid w:val="00825202"/>
    <w:rsid w:val="00825208"/>
    <w:rsid w:val="00825279"/>
    <w:rsid w:val="00825307"/>
    <w:rsid w:val="00825338"/>
    <w:rsid w:val="00825352"/>
    <w:rsid w:val="00825395"/>
    <w:rsid w:val="008253C7"/>
    <w:rsid w:val="008253E8"/>
    <w:rsid w:val="00825410"/>
    <w:rsid w:val="00825443"/>
    <w:rsid w:val="008254A7"/>
    <w:rsid w:val="008254C6"/>
    <w:rsid w:val="008254CD"/>
    <w:rsid w:val="008254EC"/>
    <w:rsid w:val="0082552D"/>
    <w:rsid w:val="0082553F"/>
    <w:rsid w:val="00825588"/>
    <w:rsid w:val="0082565D"/>
    <w:rsid w:val="00825665"/>
    <w:rsid w:val="00825667"/>
    <w:rsid w:val="00825670"/>
    <w:rsid w:val="008256A1"/>
    <w:rsid w:val="00825702"/>
    <w:rsid w:val="0082573E"/>
    <w:rsid w:val="0082574B"/>
    <w:rsid w:val="00825772"/>
    <w:rsid w:val="00825797"/>
    <w:rsid w:val="008257B6"/>
    <w:rsid w:val="008257CA"/>
    <w:rsid w:val="008257D3"/>
    <w:rsid w:val="0082582B"/>
    <w:rsid w:val="00825843"/>
    <w:rsid w:val="00825881"/>
    <w:rsid w:val="0082590D"/>
    <w:rsid w:val="0082598D"/>
    <w:rsid w:val="008259A7"/>
    <w:rsid w:val="00825A03"/>
    <w:rsid w:val="00825A67"/>
    <w:rsid w:val="00825AAC"/>
    <w:rsid w:val="00825AC7"/>
    <w:rsid w:val="00825AEA"/>
    <w:rsid w:val="00825AF2"/>
    <w:rsid w:val="00825B0C"/>
    <w:rsid w:val="00825B4A"/>
    <w:rsid w:val="00825B50"/>
    <w:rsid w:val="00825BBA"/>
    <w:rsid w:val="00825BBD"/>
    <w:rsid w:val="00825C06"/>
    <w:rsid w:val="00825C19"/>
    <w:rsid w:val="00825C40"/>
    <w:rsid w:val="00825C48"/>
    <w:rsid w:val="00825CCA"/>
    <w:rsid w:val="00825D15"/>
    <w:rsid w:val="00825D3F"/>
    <w:rsid w:val="00825DB0"/>
    <w:rsid w:val="00825DC0"/>
    <w:rsid w:val="00825E1E"/>
    <w:rsid w:val="00825F32"/>
    <w:rsid w:val="00825F34"/>
    <w:rsid w:val="00825F5D"/>
    <w:rsid w:val="00825FDD"/>
    <w:rsid w:val="00825FE6"/>
    <w:rsid w:val="00825FF7"/>
    <w:rsid w:val="008260A0"/>
    <w:rsid w:val="008260DC"/>
    <w:rsid w:val="008260EF"/>
    <w:rsid w:val="0082612C"/>
    <w:rsid w:val="00826187"/>
    <w:rsid w:val="00826208"/>
    <w:rsid w:val="00826229"/>
    <w:rsid w:val="00826296"/>
    <w:rsid w:val="008262BC"/>
    <w:rsid w:val="008262E6"/>
    <w:rsid w:val="008262EC"/>
    <w:rsid w:val="00826373"/>
    <w:rsid w:val="008263C0"/>
    <w:rsid w:val="008263FC"/>
    <w:rsid w:val="00826422"/>
    <w:rsid w:val="0082646A"/>
    <w:rsid w:val="00826486"/>
    <w:rsid w:val="008264FD"/>
    <w:rsid w:val="00826568"/>
    <w:rsid w:val="00826569"/>
    <w:rsid w:val="0082657F"/>
    <w:rsid w:val="008265A4"/>
    <w:rsid w:val="008265EF"/>
    <w:rsid w:val="008265F1"/>
    <w:rsid w:val="008265F4"/>
    <w:rsid w:val="00826604"/>
    <w:rsid w:val="00826642"/>
    <w:rsid w:val="008267A5"/>
    <w:rsid w:val="00826816"/>
    <w:rsid w:val="00826825"/>
    <w:rsid w:val="00826860"/>
    <w:rsid w:val="00826888"/>
    <w:rsid w:val="00826896"/>
    <w:rsid w:val="00826900"/>
    <w:rsid w:val="00826961"/>
    <w:rsid w:val="008269BB"/>
    <w:rsid w:val="008269C6"/>
    <w:rsid w:val="008269E0"/>
    <w:rsid w:val="00826A28"/>
    <w:rsid w:val="00826A2C"/>
    <w:rsid w:val="00826A49"/>
    <w:rsid w:val="00826A55"/>
    <w:rsid w:val="00826A89"/>
    <w:rsid w:val="00826AD2"/>
    <w:rsid w:val="00826ADF"/>
    <w:rsid w:val="00826B3F"/>
    <w:rsid w:val="00826B85"/>
    <w:rsid w:val="00826BC6"/>
    <w:rsid w:val="00826BCC"/>
    <w:rsid w:val="00826BCD"/>
    <w:rsid w:val="00826C0D"/>
    <w:rsid w:val="00826C2B"/>
    <w:rsid w:val="00826C44"/>
    <w:rsid w:val="00826C84"/>
    <w:rsid w:val="00826CE5"/>
    <w:rsid w:val="00826CFD"/>
    <w:rsid w:val="00826D29"/>
    <w:rsid w:val="00826D2A"/>
    <w:rsid w:val="00826D40"/>
    <w:rsid w:val="00826D50"/>
    <w:rsid w:val="00826D63"/>
    <w:rsid w:val="00826D64"/>
    <w:rsid w:val="00826D7B"/>
    <w:rsid w:val="00826D9B"/>
    <w:rsid w:val="00826D9D"/>
    <w:rsid w:val="00826DAB"/>
    <w:rsid w:val="00826DBC"/>
    <w:rsid w:val="00826DE5"/>
    <w:rsid w:val="00826DE9"/>
    <w:rsid w:val="00826E2A"/>
    <w:rsid w:val="00826E34"/>
    <w:rsid w:val="00826E68"/>
    <w:rsid w:val="00826E82"/>
    <w:rsid w:val="00826EF8"/>
    <w:rsid w:val="00826EFB"/>
    <w:rsid w:val="00826F38"/>
    <w:rsid w:val="00826F8E"/>
    <w:rsid w:val="00826F9A"/>
    <w:rsid w:val="00826F9D"/>
    <w:rsid w:val="0082704D"/>
    <w:rsid w:val="0082706E"/>
    <w:rsid w:val="0082707C"/>
    <w:rsid w:val="0082710C"/>
    <w:rsid w:val="00827171"/>
    <w:rsid w:val="00827180"/>
    <w:rsid w:val="008271D6"/>
    <w:rsid w:val="00827204"/>
    <w:rsid w:val="00827248"/>
    <w:rsid w:val="00827255"/>
    <w:rsid w:val="008272AE"/>
    <w:rsid w:val="008272FA"/>
    <w:rsid w:val="00827300"/>
    <w:rsid w:val="0082735A"/>
    <w:rsid w:val="008273A1"/>
    <w:rsid w:val="008273B0"/>
    <w:rsid w:val="008273DE"/>
    <w:rsid w:val="008273EE"/>
    <w:rsid w:val="008273F1"/>
    <w:rsid w:val="008273FF"/>
    <w:rsid w:val="00827415"/>
    <w:rsid w:val="0082742A"/>
    <w:rsid w:val="008274A3"/>
    <w:rsid w:val="008274D2"/>
    <w:rsid w:val="0082750E"/>
    <w:rsid w:val="00827516"/>
    <w:rsid w:val="0082752A"/>
    <w:rsid w:val="00827533"/>
    <w:rsid w:val="00827544"/>
    <w:rsid w:val="00827545"/>
    <w:rsid w:val="0082763C"/>
    <w:rsid w:val="00827673"/>
    <w:rsid w:val="008276B4"/>
    <w:rsid w:val="008276E2"/>
    <w:rsid w:val="008276EC"/>
    <w:rsid w:val="0082771F"/>
    <w:rsid w:val="00827724"/>
    <w:rsid w:val="0082775F"/>
    <w:rsid w:val="00827760"/>
    <w:rsid w:val="0082776A"/>
    <w:rsid w:val="008277B8"/>
    <w:rsid w:val="008277C1"/>
    <w:rsid w:val="008277DD"/>
    <w:rsid w:val="00827804"/>
    <w:rsid w:val="0082780C"/>
    <w:rsid w:val="00827829"/>
    <w:rsid w:val="008278AA"/>
    <w:rsid w:val="008278B8"/>
    <w:rsid w:val="008278D2"/>
    <w:rsid w:val="0082790A"/>
    <w:rsid w:val="0082792B"/>
    <w:rsid w:val="00827975"/>
    <w:rsid w:val="00827981"/>
    <w:rsid w:val="0082798A"/>
    <w:rsid w:val="008279B4"/>
    <w:rsid w:val="008279D0"/>
    <w:rsid w:val="008279E3"/>
    <w:rsid w:val="00827A8D"/>
    <w:rsid w:val="00827AAE"/>
    <w:rsid w:val="00827AE4"/>
    <w:rsid w:val="00827B73"/>
    <w:rsid w:val="00827B79"/>
    <w:rsid w:val="00827B80"/>
    <w:rsid w:val="00827BDF"/>
    <w:rsid w:val="00827BF9"/>
    <w:rsid w:val="00827C3B"/>
    <w:rsid w:val="00827CE2"/>
    <w:rsid w:val="00827D34"/>
    <w:rsid w:val="00827D85"/>
    <w:rsid w:val="00827D8D"/>
    <w:rsid w:val="00827DC4"/>
    <w:rsid w:val="00827DEC"/>
    <w:rsid w:val="00827E15"/>
    <w:rsid w:val="00827E1F"/>
    <w:rsid w:val="00827E9B"/>
    <w:rsid w:val="00827EEC"/>
    <w:rsid w:val="00827F0A"/>
    <w:rsid w:val="00827F6E"/>
    <w:rsid w:val="00827F75"/>
    <w:rsid w:val="00827FAB"/>
    <w:rsid w:val="00827FE2"/>
    <w:rsid w:val="00827FFD"/>
    <w:rsid w:val="00830032"/>
    <w:rsid w:val="0083006B"/>
    <w:rsid w:val="00830123"/>
    <w:rsid w:val="00830129"/>
    <w:rsid w:val="008301DB"/>
    <w:rsid w:val="00830211"/>
    <w:rsid w:val="00830240"/>
    <w:rsid w:val="00830259"/>
    <w:rsid w:val="008302F3"/>
    <w:rsid w:val="00830339"/>
    <w:rsid w:val="0083036B"/>
    <w:rsid w:val="00830397"/>
    <w:rsid w:val="008303C8"/>
    <w:rsid w:val="00830414"/>
    <w:rsid w:val="00830469"/>
    <w:rsid w:val="008304DD"/>
    <w:rsid w:val="00830533"/>
    <w:rsid w:val="0083055D"/>
    <w:rsid w:val="0083056E"/>
    <w:rsid w:val="008305C2"/>
    <w:rsid w:val="008305E4"/>
    <w:rsid w:val="008305E9"/>
    <w:rsid w:val="00830611"/>
    <w:rsid w:val="00830617"/>
    <w:rsid w:val="00830620"/>
    <w:rsid w:val="00830627"/>
    <w:rsid w:val="0083064D"/>
    <w:rsid w:val="008306D0"/>
    <w:rsid w:val="008306EE"/>
    <w:rsid w:val="008306FA"/>
    <w:rsid w:val="0083070F"/>
    <w:rsid w:val="00830716"/>
    <w:rsid w:val="00830721"/>
    <w:rsid w:val="00830759"/>
    <w:rsid w:val="008307AB"/>
    <w:rsid w:val="00830838"/>
    <w:rsid w:val="00830874"/>
    <w:rsid w:val="00830897"/>
    <w:rsid w:val="008308A8"/>
    <w:rsid w:val="008308E4"/>
    <w:rsid w:val="00830903"/>
    <w:rsid w:val="0083091E"/>
    <w:rsid w:val="00830930"/>
    <w:rsid w:val="00830991"/>
    <w:rsid w:val="008309AE"/>
    <w:rsid w:val="008309B9"/>
    <w:rsid w:val="008309D2"/>
    <w:rsid w:val="00830A14"/>
    <w:rsid w:val="00830A38"/>
    <w:rsid w:val="00830A3F"/>
    <w:rsid w:val="00830A64"/>
    <w:rsid w:val="00830A7E"/>
    <w:rsid w:val="00830ACF"/>
    <w:rsid w:val="00830AE2"/>
    <w:rsid w:val="00830B95"/>
    <w:rsid w:val="00830BB2"/>
    <w:rsid w:val="00830BB3"/>
    <w:rsid w:val="00830BFB"/>
    <w:rsid w:val="00830C18"/>
    <w:rsid w:val="00830C32"/>
    <w:rsid w:val="00830C50"/>
    <w:rsid w:val="00830C6D"/>
    <w:rsid w:val="00830CF4"/>
    <w:rsid w:val="00830D7E"/>
    <w:rsid w:val="00830D82"/>
    <w:rsid w:val="00830DD6"/>
    <w:rsid w:val="00830DE3"/>
    <w:rsid w:val="00830E83"/>
    <w:rsid w:val="00830F30"/>
    <w:rsid w:val="00830FC9"/>
    <w:rsid w:val="008310EC"/>
    <w:rsid w:val="00831124"/>
    <w:rsid w:val="00831136"/>
    <w:rsid w:val="00831173"/>
    <w:rsid w:val="008311B1"/>
    <w:rsid w:val="008311FE"/>
    <w:rsid w:val="00831210"/>
    <w:rsid w:val="00831272"/>
    <w:rsid w:val="008312C7"/>
    <w:rsid w:val="008312E7"/>
    <w:rsid w:val="00831377"/>
    <w:rsid w:val="008313F1"/>
    <w:rsid w:val="0083149D"/>
    <w:rsid w:val="008314FA"/>
    <w:rsid w:val="00831507"/>
    <w:rsid w:val="00831576"/>
    <w:rsid w:val="0083159E"/>
    <w:rsid w:val="008315BE"/>
    <w:rsid w:val="00831618"/>
    <w:rsid w:val="008316B8"/>
    <w:rsid w:val="0083175E"/>
    <w:rsid w:val="00831780"/>
    <w:rsid w:val="008317A1"/>
    <w:rsid w:val="0083185F"/>
    <w:rsid w:val="0083186C"/>
    <w:rsid w:val="008318D2"/>
    <w:rsid w:val="008318ED"/>
    <w:rsid w:val="00831901"/>
    <w:rsid w:val="0083191F"/>
    <w:rsid w:val="0083193E"/>
    <w:rsid w:val="00831955"/>
    <w:rsid w:val="00831971"/>
    <w:rsid w:val="0083198F"/>
    <w:rsid w:val="008319D9"/>
    <w:rsid w:val="008319F4"/>
    <w:rsid w:val="00831A16"/>
    <w:rsid w:val="00831AFB"/>
    <w:rsid w:val="00831B1F"/>
    <w:rsid w:val="00831B28"/>
    <w:rsid w:val="00831B55"/>
    <w:rsid w:val="00831B86"/>
    <w:rsid w:val="00831B8B"/>
    <w:rsid w:val="00831B97"/>
    <w:rsid w:val="00831BD7"/>
    <w:rsid w:val="00831BED"/>
    <w:rsid w:val="00831BF1"/>
    <w:rsid w:val="00831C2F"/>
    <w:rsid w:val="00831C54"/>
    <w:rsid w:val="00831D23"/>
    <w:rsid w:val="00831D6C"/>
    <w:rsid w:val="00831D7C"/>
    <w:rsid w:val="00831D9C"/>
    <w:rsid w:val="00831DC0"/>
    <w:rsid w:val="00831DE6"/>
    <w:rsid w:val="00831E0A"/>
    <w:rsid w:val="00831E15"/>
    <w:rsid w:val="00831E5B"/>
    <w:rsid w:val="00831E5F"/>
    <w:rsid w:val="00831E74"/>
    <w:rsid w:val="00831EA9"/>
    <w:rsid w:val="00831ECC"/>
    <w:rsid w:val="00831F94"/>
    <w:rsid w:val="00831FAD"/>
    <w:rsid w:val="00831FE5"/>
    <w:rsid w:val="00831FF7"/>
    <w:rsid w:val="00832089"/>
    <w:rsid w:val="008320B2"/>
    <w:rsid w:val="00832143"/>
    <w:rsid w:val="00832195"/>
    <w:rsid w:val="008321E0"/>
    <w:rsid w:val="008321E2"/>
    <w:rsid w:val="00832237"/>
    <w:rsid w:val="0083224A"/>
    <w:rsid w:val="00832256"/>
    <w:rsid w:val="008322BB"/>
    <w:rsid w:val="008322DD"/>
    <w:rsid w:val="0083231D"/>
    <w:rsid w:val="0083251F"/>
    <w:rsid w:val="00832531"/>
    <w:rsid w:val="008325B6"/>
    <w:rsid w:val="008326A0"/>
    <w:rsid w:val="008326BC"/>
    <w:rsid w:val="008326F2"/>
    <w:rsid w:val="00832749"/>
    <w:rsid w:val="0083276C"/>
    <w:rsid w:val="008327AD"/>
    <w:rsid w:val="008327B4"/>
    <w:rsid w:val="0083285E"/>
    <w:rsid w:val="0083289B"/>
    <w:rsid w:val="008328D6"/>
    <w:rsid w:val="008328F2"/>
    <w:rsid w:val="00832911"/>
    <w:rsid w:val="00832932"/>
    <w:rsid w:val="00832954"/>
    <w:rsid w:val="00832966"/>
    <w:rsid w:val="00832968"/>
    <w:rsid w:val="00832985"/>
    <w:rsid w:val="008329C8"/>
    <w:rsid w:val="00832A0F"/>
    <w:rsid w:val="00832A4A"/>
    <w:rsid w:val="00832A51"/>
    <w:rsid w:val="00832A6B"/>
    <w:rsid w:val="00832BA4"/>
    <w:rsid w:val="00832BB6"/>
    <w:rsid w:val="00832C36"/>
    <w:rsid w:val="00832C7F"/>
    <w:rsid w:val="00832CA3"/>
    <w:rsid w:val="00832CCA"/>
    <w:rsid w:val="00832CCE"/>
    <w:rsid w:val="00832D01"/>
    <w:rsid w:val="00832D8E"/>
    <w:rsid w:val="00832D90"/>
    <w:rsid w:val="00832E02"/>
    <w:rsid w:val="00832E0A"/>
    <w:rsid w:val="00832E33"/>
    <w:rsid w:val="00832E3C"/>
    <w:rsid w:val="00832E40"/>
    <w:rsid w:val="00832EC2"/>
    <w:rsid w:val="00832F4A"/>
    <w:rsid w:val="00832F6A"/>
    <w:rsid w:val="00832F7A"/>
    <w:rsid w:val="00832F9A"/>
    <w:rsid w:val="00832F9C"/>
    <w:rsid w:val="00832FDF"/>
    <w:rsid w:val="0083303F"/>
    <w:rsid w:val="00833055"/>
    <w:rsid w:val="008330A0"/>
    <w:rsid w:val="008330AB"/>
    <w:rsid w:val="008330F9"/>
    <w:rsid w:val="00833136"/>
    <w:rsid w:val="00833171"/>
    <w:rsid w:val="00833175"/>
    <w:rsid w:val="0083319B"/>
    <w:rsid w:val="008331F6"/>
    <w:rsid w:val="00833224"/>
    <w:rsid w:val="0083322D"/>
    <w:rsid w:val="00833231"/>
    <w:rsid w:val="00833281"/>
    <w:rsid w:val="008332C8"/>
    <w:rsid w:val="00833309"/>
    <w:rsid w:val="00833322"/>
    <w:rsid w:val="00833324"/>
    <w:rsid w:val="00833343"/>
    <w:rsid w:val="00833380"/>
    <w:rsid w:val="00833384"/>
    <w:rsid w:val="008333A4"/>
    <w:rsid w:val="008333DA"/>
    <w:rsid w:val="00833411"/>
    <w:rsid w:val="00833455"/>
    <w:rsid w:val="00833492"/>
    <w:rsid w:val="008334A2"/>
    <w:rsid w:val="008334C2"/>
    <w:rsid w:val="00833558"/>
    <w:rsid w:val="00833563"/>
    <w:rsid w:val="0083358A"/>
    <w:rsid w:val="0083359E"/>
    <w:rsid w:val="008335A9"/>
    <w:rsid w:val="008335E8"/>
    <w:rsid w:val="0083360E"/>
    <w:rsid w:val="0083361D"/>
    <w:rsid w:val="0083362F"/>
    <w:rsid w:val="00833636"/>
    <w:rsid w:val="008336C4"/>
    <w:rsid w:val="00833760"/>
    <w:rsid w:val="0083378D"/>
    <w:rsid w:val="008337B7"/>
    <w:rsid w:val="008337DF"/>
    <w:rsid w:val="008337E4"/>
    <w:rsid w:val="0083382A"/>
    <w:rsid w:val="00833857"/>
    <w:rsid w:val="00833890"/>
    <w:rsid w:val="00833990"/>
    <w:rsid w:val="008339D7"/>
    <w:rsid w:val="008339FC"/>
    <w:rsid w:val="00833A4A"/>
    <w:rsid w:val="00833A88"/>
    <w:rsid w:val="00833ABA"/>
    <w:rsid w:val="00833ABB"/>
    <w:rsid w:val="00833AD7"/>
    <w:rsid w:val="00833B2A"/>
    <w:rsid w:val="00833C00"/>
    <w:rsid w:val="00833C14"/>
    <w:rsid w:val="00833C61"/>
    <w:rsid w:val="00833C9B"/>
    <w:rsid w:val="00833CC1"/>
    <w:rsid w:val="00833CEC"/>
    <w:rsid w:val="00833D0D"/>
    <w:rsid w:val="00833D3D"/>
    <w:rsid w:val="00833D45"/>
    <w:rsid w:val="00833D47"/>
    <w:rsid w:val="00833D58"/>
    <w:rsid w:val="00833DAD"/>
    <w:rsid w:val="00833DE9"/>
    <w:rsid w:val="00833DEC"/>
    <w:rsid w:val="00833E5B"/>
    <w:rsid w:val="00833E67"/>
    <w:rsid w:val="00833E7E"/>
    <w:rsid w:val="00833E88"/>
    <w:rsid w:val="00833EB4"/>
    <w:rsid w:val="00833EBB"/>
    <w:rsid w:val="00833EFC"/>
    <w:rsid w:val="00833F58"/>
    <w:rsid w:val="00833F5B"/>
    <w:rsid w:val="00833F89"/>
    <w:rsid w:val="00833F91"/>
    <w:rsid w:val="00833F97"/>
    <w:rsid w:val="00833FA5"/>
    <w:rsid w:val="00834007"/>
    <w:rsid w:val="00834010"/>
    <w:rsid w:val="00834099"/>
    <w:rsid w:val="0083409B"/>
    <w:rsid w:val="008340DB"/>
    <w:rsid w:val="008340F4"/>
    <w:rsid w:val="008340FB"/>
    <w:rsid w:val="00834133"/>
    <w:rsid w:val="00834160"/>
    <w:rsid w:val="00834172"/>
    <w:rsid w:val="008341B6"/>
    <w:rsid w:val="008341C6"/>
    <w:rsid w:val="008341E5"/>
    <w:rsid w:val="008341F8"/>
    <w:rsid w:val="00834202"/>
    <w:rsid w:val="00834289"/>
    <w:rsid w:val="008342BF"/>
    <w:rsid w:val="008342E0"/>
    <w:rsid w:val="008342F4"/>
    <w:rsid w:val="008343AA"/>
    <w:rsid w:val="008343B9"/>
    <w:rsid w:val="00834404"/>
    <w:rsid w:val="0083442B"/>
    <w:rsid w:val="0083442D"/>
    <w:rsid w:val="0083449C"/>
    <w:rsid w:val="008344B5"/>
    <w:rsid w:val="008344C6"/>
    <w:rsid w:val="0083456C"/>
    <w:rsid w:val="0083456E"/>
    <w:rsid w:val="00834570"/>
    <w:rsid w:val="00834573"/>
    <w:rsid w:val="008345C8"/>
    <w:rsid w:val="008345D3"/>
    <w:rsid w:val="008345F8"/>
    <w:rsid w:val="00834616"/>
    <w:rsid w:val="0083462C"/>
    <w:rsid w:val="008346A6"/>
    <w:rsid w:val="008346DC"/>
    <w:rsid w:val="008346F2"/>
    <w:rsid w:val="00834716"/>
    <w:rsid w:val="0083471F"/>
    <w:rsid w:val="00834742"/>
    <w:rsid w:val="00834755"/>
    <w:rsid w:val="00834775"/>
    <w:rsid w:val="0083478E"/>
    <w:rsid w:val="008347A8"/>
    <w:rsid w:val="008347D9"/>
    <w:rsid w:val="0083485A"/>
    <w:rsid w:val="00834894"/>
    <w:rsid w:val="008348AE"/>
    <w:rsid w:val="008348EF"/>
    <w:rsid w:val="0083490B"/>
    <w:rsid w:val="0083491F"/>
    <w:rsid w:val="00834936"/>
    <w:rsid w:val="008349A0"/>
    <w:rsid w:val="008349D7"/>
    <w:rsid w:val="00834A0E"/>
    <w:rsid w:val="00834A62"/>
    <w:rsid w:val="00834AA7"/>
    <w:rsid w:val="00834AE4"/>
    <w:rsid w:val="00834AEF"/>
    <w:rsid w:val="00834B0F"/>
    <w:rsid w:val="00834B59"/>
    <w:rsid w:val="00834B60"/>
    <w:rsid w:val="00834B89"/>
    <w:rsid w:val="00834C00"/>
    <w:rsid w:val="00834C07"/>
    <w:rsid w:val="00834C1D"/>
    <w:rsid w:val="00834C26"/>
    <w:rsid w:val="00834C76"/>
    <w:rsid w:val="00834C90"/>
    <w:rsid w:val="00834CE8"/>
    <w:rsid w:val="00834CF7"/>
    <w:rsid w:val="00834CFD"/>
    <w:rsid w:val="00834D4B"/>
    <w:rsid w:val="00834D5F"/>
    <w:rsid w:val="00834E9F"/>
    <w:rsid w:val="00834EA7"/>
    <w:rsid w:val="00834ED8"/>
    <w:rsid w:val="00834EF1"/>
    <w:rsid w:val="00834F26"/>
    <w:rsid w:val="00834F39"/>
    <w:rsid w:val="00834F55"/>
    <w:rsid w:val="00834F5D"/>
    <w:rsid w:val="00834F90"/>
    <w:rsid w:val="00834FAF"/>
    <w:rsid w:val="00834FB3"/>
    <w:rsid w:val="00834FC9"/>
    <w:rsid w:val="00834FE2"/>
    <w:rsid w:val="00835005"/>
    <w:rsid w:val="0083501E"/>
    <w:rsid w:val="00835029"/>
    <w:rsid w:val="00835053"/>
    <w:rsid w:val="00835133"/>
    <w:rsid w:val="0083518C"/>
    <w:rsid w:val="008351A6"/>
    <w:rsid w:val="00835252"/>
    <w:rsid w:val="008352B0"/>
    <w:rsid w:val="008352BA"/>
    <w:rsid w:val="008352E6"/>
    <w:rsid w:val="00835304"/>
    <w:rsid w:val="00835307"/>
    <w:rsid w:val="00835333"/>
    <w:rsid w:val="0083539C"/>
    <w:rsid w:val="008353AA"/>
    <w:rsid w:val="008353BC"/>
    <w:rsid w:val="008353D2"/>
    <w:rsid w:val="008353F0"/>
    <w:rsid w:val="0083548A"/>
    <w:rsid w:val="008354A2"/>
    <w:rsid w:val="008354E3"/>
    <w:rsid w:val="00835513"/>
    <w:rsid w:val="00835517"/>
    <w:rsid w:val="0083556D"/>
    <w:rsid w:val="0083558D"/>
    <w:rsid w:val="00835595"/>
    <w:rsid w:val="008355C7"/>
    <w:rsid w:val="008355DF"/>
    <w:rsid w:val="00835645"/>
    <w:rsid w:val="0083565C"/>
    <w:rsid w:val="008356E8"/>
    <w:rsid w:val="008356F5"/>
    <w:rsid w:val="00835753"/>
    <w:rsid w:val="00835754"/>
    <w:rsid w:val="0083576D"/>
    <w:rsid w:val="008357AC"/>
    <w:rsid w:val="00835888"/>
    <w:rsid w:val="008358A4"/>
    <w:rsid w:val="008358CB"/>
    <w:rsid w:val="008358D4"/>
    <w:rsid w:val="00835908"/>
    <w:rsid w:val="00835926"/>
    <w:rsid w:val="00835941"/>
    <w:rsid w:val="0083599C"/>
    <w:rsid w:val="008359A6"/>
    <w:rsid w:val="008359AB"/>
    <w:rsid w:val="008359BA"/>
    <w:rsid w:val="008359C2"/>
    <w:rsid w:val="008359C7"/>
    <w:rsid w:val="008359D5"/>
    <w:rsid w:val="008359E0"/>
    <w:rsid w:val="008359F1"/>
    <w:rsid w:val="00835A1D"/>
    <w:rsid w:val="00835A37"/>
    <w:rsid w:val="00835AC1"/>
    <w:rsid w:val="00835AD5"/>
    <w:rsid w:val="00835B76"/>
    <w:rsid w:val="00835B7D"/>
    <w:rsid w:val="00835BD5"/>
    <w:rsid w:val="00835BE2"/>
    <w:rsid w:val="00835BEA"/>
    <w:rsid w:val="00835C35"/>
    <w:rsid w:val="00835C4F"/>
    <w:rsid w:val="00835C53"/>
    <w:rsid w:val="00835C77"/>
    <w:rsid w:val="00835C8F"/>
    <w:rsid w:val="00835CBF"/>
    <w:rsid w:val="00835CEE"/>
    <w:rsid w:val="00835D3B"/>
    <w:rsid w:val="00835D3F"/>
    <w:rsid w:val="00835D85"/>
    <w:rsid w:val="00835DD6"/>
    <w:rsid w:val="00835DF1"/>
    <w:rsid w:val="00835E05"/>
    <w:rsid w:val="00835EC0"/>
    <w:rsid w:val="00835ECC"/>
    <w:rsid w:val="00835EFF"/>
    <w:rsid w:val="00835F02"/>
    <w:rsid w:val="00835F3F"/>
    <w:rsid w:val="00835F6F"/>
    <w:rsid w:val="00835FB4"/>
    <w:rsid w:val="00835FFD"/>
    <w:rsid w:val="0083600A"/>
    <w:rsid w:val="0083602E"/>
    <w:rsid w:val="00836039"/>
    <w:rsid w:val="00836144"/>
    <w:rsid w:val="0083614D"/>
    <w:rsid w:val="0083617F"/>
    <w:rsid w:val="00836191"/>
    <w:rsid w:val="00836196"/>
    <w:rsid w:val="008361AC"/>
    <w:rsid w:val="008361ED"/>
    <w:rsid w:val="00836201"/>
    <w:rsid w:val="0083620E"/>
    <w:rsid w:val="0083621F"/>
    <w:rsid w:val="00836220"/>
    <w:rsid w:val="00836235"/>
    <w:rsid w:val="00836255"/>
    <w:rsid w:val="0083625E"/>
    <w:rsid w:val="00836313"/>
    <w:rsid w:val="00836375"/>
    <w:rsid w:val="0083637B"/>
    <w:rsid w:val="008363AA"/>
    <w:rsid w:val="008363B8"/>
    <w:rsid w:val="008363CE"/>
    <w:rsid w:val="00836432"/>
    <w:rsid w:val="00836441"/>
    <w:rsid w:val="008364B5"/>
    <w:rsid w:val="008364EE"/>
    <w:rsid w:val="00836509"/>
    <w:rsid w:val="00836532"/>
    <w:rsid w:val="00836534"/>
    <w:rsid w:val="0083654C"/>
    <w:rsid w:val="0083659C"/>
    <w:rsid w:val="008365AD"/>
    <w:rsid w:val="008365C7"/>
    <w:rsid w:val="008365CB"/>
    <w:rsid w:val="008366AD"/>
    <w:rsid w:val="008366D9"/>
    <w:rsid w:val="008366DB"/>
    <w:rsid w:val="00836707"/>
    <w:rsid w:val="00836757"/>
    <w:rsid w:val="00836777"/>
    <w:rsid w:val="0083678A"/>
    <w:rsid w:val="008367B2"/>
    <w:rsid w:val="008367D1"/>
    <w:rsid w:val="008367E4"/>
    <w:rsid w:val="00836800"/>
    <w:rsid w:val="0083680C"/>
    <w:rsid w:val="00836810"/>
    <w:rsid w:val="0083681A"/>
    <w:rsid w:val="0083681C"/>
    <w:rsid w:val="0083685E"/>
    <w:rsid w:val="00836867"/>
    <w:rsid w:val="00836886"/>
    <w:rsid w:val="0083688C"/>
    <w:rsid w:val="008368E8"/>
    <w:rsid w:val="00836902"/>
    <w:rsid w:val="00836906"/>
    <w:rsid w:val="00836911"/>
    <w:rsid w:val="0083694A"/>
    <w:rsid w:val="00836A4B"/>
    <w:rsid w:val="00836AA3"/>
    <w:rsid w:val="00836AA5"/>
    <w:rsid w:val="00836AA7"/>
    <w:rsid w:val="00836AD9"/>
    <w:rsid w:val="00836AEC"/>
    <w:rsid w:val="00836B7B"/>
    <w:rsid w:val="00836BAE"/>
    <w:rsid w:val="00836BF6"/>
    <w:rsid w:val="00836C10"/>
    <w:rsid w:val="00836C12"/>
    <w:rsid w:val="00836C14"/>
    <w:rsid w:val="00836C7B"/>
    <w:rsid w:val="00836C7E"/>
    <w:rsid w:val="00836CC4"/>
    <w:rsid w:val="00836D24"/>
    <w:rsid w:val="00836D52"/>
    <w:rsid w:val="00836D61"/>
    <w:rsid w:val="00836D84"/>
    <w:rsid w:val="00836DFC"/>
    <w:rsid w:val="00836E0A"/>
    <w:rsid w:val="00836E1B"/>
    <w:rsid w:val="00836E3B"/>
    <w:rsid w:val="00836E4B"/>
    <w:rsid w:val="00836E72"/>
    <w:rsid w:val="00836E78"/>
    <w:rsid w:val="00836EBB"/>
    <w:rsid w:val="00836EE4"/>
    <w:rsid w:val="00836FB9"/>
    <w:rsid w:val="00836FD9"/>
    <w:rsid w:val="00836FFA"/>
    <w:rsid w:val="00836FFF"/>
    <w:rsid w:val="00837034"/>
    <w:rsid w:val="00837055"/>
    <w:rsid w:val="00837085"/>
    <w:rsid w:val="008370A3"/>
    <w:rsid w:val="008370B6"/>
    <w:rsid w:val="00837145"/>
    <w:rsid w:val="0083715C"/>
    <w:rsid w:val="008371A1"/>
    <w:rsid w:val="008371AA"/>
    <w:rsid w:val="008371F1"/>
    <w:rsid w:val="008371F8"/>
    <w:rsid w:val="008371FC"/>
    <w:rsid w:val="0083720E"/>
    <w:rsid w:val="00837215"/>
    <w:rsid w:val="00837244"/>
    <w:rsid w:val="0083726D"/>
    <w:rsid w:val="0083729A"/>
    <w:rsid w:val="008372B3"/>
    <w:rsid w:val="008372C0"/>
    <w:rsid w:val="008372EC"/>
    <w:rsid w:val="00837347"/>
    <w:rsid w:val="00837364"/>
    <w:rsid w:val="00837398"/>
    <w:rsid w:val="008373B4"/>
    <w:rsid w:val="008373E0"/>
    <w:rsid w:val="008373ED"/>
    <w:rsid w:val="0083749A"/>
    <w:rsid w:val="008374CF"/>
    <w:rsid w:val="008374E5"/>
    <w:rsid w:val="008374F4"/>
    <w:rsid w:val="0083754C"/>
    <w:rsid w:val="008375A3"/>
    <w:rsid w:val="008375AD"/>
    <w:rsid w:val="008375D4"/>
    <w:rsid w:val="008375E4"/>
    <w:rsid w:val="0083760D"/>
    <w:rsid w:val="00837622"/>
    <w:rsid w:val="00837632"/>
    <w:rsid w:val="00837640"/>
    <w:rsid w:val="00837757"/>
    <w:rsid w:val="0083775A"/>
    <w:rsid w:val="008377D6"/>
    <w:rsid w:val="0083780C"/>
    <w:rsid w:val="00837829"/>
    <w:rsid w:val="00837840"/>
    <w:rsid w:val="0083784E"/>
    <w:rsid w:val="0083786C"/>
    <w:rsid w:val="00837877"/>
    <w:rsid w:val="008378C6"/>
    <w:rsid w:val="008378CE"/>
    <w:rsid w:val="008378E5"/>
    <w:rsid w:val="00837914"/>
    <w:rsid w:val="00837926"/>
    <w:rsid w:val="0083794E"/>
    <w:rsid w:val="00837951"/>
    <w:rsid w:val="00837A07"/>
    <w:rsid w:val="00837A1A"/>
    <w:rsid w:val="00837A48"/>
    <w:rsid w:val="00837A88"/>
    <w:rsid w:val="00837ABD"/>
    <w:rsid w:val="00837AD9"/>
    <w:rsid w:val="00837AF1"/>
    <w:rsid w:val="00837B20"/>
    <w:rsid w:val="00837B78"/>
    <w:rsid w:val="00837B8B"/>
    <w:rsid w:val="00837B92"/>
    <w:rsid w:val="00837BD3"/>
    <w:rsid w:val="00837C2E"/>
    <w:rsid w:val="00837C45"/>
    <w:rsid w:val="00837C62"/>
    <w:rsid w:val="00837C82"/>
    <w:rsid w:val="00837CA8"/>
    <w:rsid w:val="00837CAE"/>
    <w:rsid w:val="00837D10"/>
    <w:rsid w:val="00837D73"/>
    <w:rsid w:val="00837D81"/>
    <w:rsid w:val="00837D82"/>
    <w:rsid w:val="00837DA6"/>
    <w:rsid w:val="00837DB8"/>
    <w:rsid w:val="00837DF2"/>
    <w:rsid w:val="00837E14"/>
    <w:rsid w:val="00837E22"/>
    <w:rsid w:val="00837E3C"/>
    <w:rsid w:val="00837E7A"/>
    <w:rsid w:val="00837F1E"/>
    <w:rsid w:val="00837F2D"/>
    <w:rsid w:val="00837F41"/>
    <w:rsid w:val="0084003F"/>
    <w:rsid w:val="00840070"/>
    <w:rsid w:val="0084007E"/>
    <w:rsid w:val="00840090"/>
    <w:rsid w:val="008400BC"/>
    <w:rsid w:val="00840100"/>
    <w:rsid w:val="00840219"/>
    <w:rsid w:val="00840238"/>
    <w:rsid w:val="0084025D"/>
    <w:rsid w:val="0084029F"/>
    <w:rsid w:val="008402AC"/>
    <w:rsid w:val="00840376"/>
    <w:rsid w:val="00840391"/>
    <w:rsid w:val="008403A7"/>
    <w:rsid w:val="008403B3"/>
    <w:rsid w:val="008403C9"/>
    <w:rsid w:val="0084045C"/>
    <w:rsid w:val="00840463"/>
    <w:rsid w:val="00840498"/>
    <w:rsid w:val="008404A1"/>
    <w:rsid w:val="00840533"/>
    <w:rsid w:val="00840549"/>
    <w:rsid w:val="00840583"/>
    <w:rsid w:val="008405A3"/>
    <w:rsid w:val="008405AF"/>
    <w:rsid w:val="008405C1"/>
    <w:rsid w:val="0084062A"/>
    <w:rsid w:val="00840654"/>
    <w:rsid w:val="00840659"/>
    <w:rsid w:val="00840690"/>
    <w:rsid w:val="008406A0"/>
    <w:rsid w:val="0084070E"/>
    <w:rsid w:val="0084072F"/>
    <w:rsid w:val="0084076F"/>
    <w:rsid w:val="00840792"/>
    <w:rsid w:val="008407EC"/>
    <w:rsid w:val="008407ED"/>
    <w:rsid w:val="00840808"/>
    <w:rsid w:val="00840809"/>
    <w:rsid w:val="0084080B"/>
    <w:rsid w:val="00840889"/>
    <w:rsid w:val="00840897"/>
    <w:rsid w:val="0084089F"/>
    <w:rsid w:val="008408BE"/>
    <w:rsid w:val="008408C4"/>
    <w:rsid w:val="008408E4"/>
    <w:rsid w:val="008408F2"/>
    <w:rsid w:val="00840969"/>
    <w:rsid w:val="00840A8D"/>
    <w:rsid w:val="00840AD7"/>
    <w:rsid w:val="00840B1C"/>
    <w:rsid w:val="00840B1E"/>
    <w:rsid w:val="00840B23"/>
    <w:rsid w:val="00840B3F"/>
    <w:rsid w:val="00840B60"/>
    <w:rsid w:val="00840B6D"/>
    <w:rsid w:val="00840B72"/>
    <w:rsid w:val="00840BA3"/>
    <w:rsid w:val="00840BB0"/>
    <w:rsid w:val="00840BBB"/>
    <w:rsid w:val="00840C30"/>
    <w:rsid w:val="00840C3B"/>
    <w:rsid w:val="00840C3E"/>
    <w:rsid w:val="00840CBF"/>
    <w:rsid w:val="00840CD9"/>
    <w:rsid w:val="00840D9C"/>
    <w:rsid w:val="00840DF9"/>
    <w:rsid w:val="00840E0C"/>
    <w:rsid w:val="00840E4B"/>
    <w:rsid w:val="00840E8A"/>
    <w:rsid w:val="00840E9C"/>
    <w:rsid w:val="00840EA3"/>
    <w:rsid w:val="00840EA8"/>
    <w:rsid w:val="00840EAA"/>
    <w:rsid w:val="00840EB1"/>
    <w:rsid w:val="00840EBE"/>
    <w:rsid w:val="00840EC0"/>
    <w:rsid w:val="00840F1B"/>
    <w:rsid w:val="00840FA0"/>
    <w:rsid w:val="00840FA6"/>
    <w:rsid w:val="00840FAA"/>
    <w:rsid w:val="00840FBC"/>
    <w:rsid w:val="00841011"/>
    <w:rsid w:val="00841030"/>
    <w:rsid w:val="0084107A"/>
    <w:rsid w:val="00841096"/>
    <w:rsid w:val="008410C3"/>
    <w:rsid w:val="008410F2"/>
    <w:rsid w:val="008410FC"/>
    <w:rsid w:val="00841127"/>
    <w:rsid w:val="008411CC"/>
    <w:rsid w:val="008411F2"/>
    <w:rsid w:val="0084123D"/>
    <w:rsid w:val="00841263"/>
    <w:rsid w:val="0084127C"/>
    <w:rsid w:val="008412EC"/>
    <w:rsid w:val="0084134D"/>
    <w:rsid w:val="00841355"/>
    <w:rsid w:val="008413F7"/>
    <w:rsid w:val="0084140C"/>
    <w:rsid w:val="00841410"/>
    <w:rsid w:val="0084143D"/>
    <w:rsid w:val="00841442"/>
    <w:rsid w:val="0084144F"/>
    <w:rsid w:val="008414BA"/>
    <w:rsid w:val="008414DB"/>
    <w:rsid w:val="00841547"/>
    <w:rsid w:val="00841559"/>
    <w:rsid w:val="00841579"/>
    <w:rsid w:val="008415D5"/>
    <w:rsid w:val="0084160F"/>
    <w:rsid w:val="0084163D"/>
    <w:rsid w:val="0084164D"/>
    <w:rsid w:val="00841669"/>
    <w:rsid w:val="00841690"/>
    <w:rsid w:val="00841692"/>
    <w:rsid w:val="008416C7"/>
    <w:rsid w:val="008416E8"/>
    <w:rsid w:val="00841700"/>
    <w:rsid w:val="00841740"/>
    <w:rsid w:val="00841768"/>
    <w:rsid w:val="0084176E"/>
    <w:rsid w:val="00841790"/>
    <w:rsid w:val="00841816"/>
    <w:rsid w:val="00841845"/>
    <w:rsid w:val="00841863"/>
    <w:rsid w:val="008418BB"/>
    <w:rsid w:val="008418F0"/>
    <w:rsid w:val="00841913"/>
    <w:rsid w:val="0084193A"/>
    <w:rsid w:val="008419BA"/>
    <w:rsid w:val="00841A12"/>
    <w:rsid w:val="00841AF1"/>
    <w:rsid w:val="00841B2A"/>
    <w:rsid w:val="00841B53"/>
    <w:rsid w:val="00841B67"/>
    <w:rsid w:val="00841BA3"/>
    <w:rsid w:val="00841BEF"/>
    <w:rsid w:val="00841C5A"/>
    <w:rsid w:val="00841C5C"/>
    <w:rsid w:val="00841C5D"/>
    <w:rsid w:val="00841C6A"/>
    <w:rsid w:val="00841D0B"/>
    <w:rsid w:val="00841D65"/>
    <w:rsid w:val="00841D6F"/>
    <w:rsid w:val="00841D76"/>
    <w:rsid w:val="00841D8F"/>
    <w:rsid w:val="00841DE6"/>
    <w:rsid w:val="00841E9F"/>
    <w:rsid w:val="00841EF3"/>
    <w:rsid w:val="00841F6C"/>
    <w:rsid w:val="00841FA0"/>
    <w:rsid w:val="00841FDB"/>
    <w:rsid w:val="0084200A"/>
    <w:rsid w:val="0084201F"/>
    <w:rsid w:val="00842023"/>
    <w:rsid w:val="00842073"/>
    <w:rsid w:val="00842080"/>
    <w:rsid w:val="008420A5"/>
    <w:rsid w:val="008420E0"/>
    <w:rsid w:val="008420EC"/>
    <w:rsid w:val="008420F4"/>
    <w:rsid w:val="00842158"/>
    <w:rsid w:val="00842196"/>
    <w:rsid w:val="008421C2"/>
    <w:rsid w:val="008421CC"/>
    <w:rsid w:val="008421ED"/>
    <w:rsid w:val="00842218"/>
    <w:rsid w:val="00842221"/>
    <w:rsid w:val="00842222"/>
    <w:rsid w:val="0084227B"/>
    <w:rsid w:val="008422D3"/>
    <w:rsid w:val="00842301"/>
    <w:rsid w:val="008423E6"/>
    <w:rsid w:val="0084241C"/>
    <w:rsid w:val="00842495"/>
    <w:rsid w:val="008424F2"/>
    <w:rsid w:val="008424FB"/>
    <w:rsid w:val="00842501"/>
    <w:rsid w:val="00842517"/>
    <w:rsid w:val="0084251F"/>
    <w:rsid w:val="0084253B"/>
    <w:rsid w:val="00842554"/>
    <w:rsid w:val="00842567"/>
    <w:rsid w:val="008425CD"/>
    <w:rsid w:val="008425FC"/>
    <w:rsid w:val="0084261A"/>
    <w:rsid w:val="008426AA"/>
    <w:rsid w:val="008426CD"/>
    <w:rsid w:val="0084271C"/>
    <w:rsid w:val="00842730"/>
    <w:rsid w:val="0084274F"/>
    <w:rsid w:val="008427B4"/>
    <w:rsid w:val="008427DF"/>
    <w:rsid w:val="008427E9"/>
    <w:rsid w:val="0084280F"/>
    <w:rsid w:val="00842850"/>
    <w:rsid w:val="008428A1"/>
    <w:rsid w:val="008428AC"/>
    <w:rsid w:val="008428BD"/>
    <w:rsid w:val="008428D8"/>
    <w:rsid w:val="008429F2"/>
    <w:rsid w:val="00842A37"/>
    <w:rsid w:val="00842A52"/>
    <w:rsid w:val="00842AB5"/>
    <w:rsid w:val="00842ACD"/>
    <w:rsid w:val="00842B4F"/>
    <w:rsid w:val="00842B7B"/>
    <w:rsid w:val="00842B93"/>
    <w:rsid w:val="00842B99"/>
    <w:rsid w:val="00842BDB"/>
    <w:rsid w:val="00842BDC"/>
    <w:rsid w:val="00842BED"/>
    <w:rsid w:val="00842C2D"/>
    <w:rsid w:val="00842C34"/>
    <w:rsid w:val="00842C6D"/>
    <w:rsid w:val="00842C7E"/>
    <w:rsid w:val="00842C88"/>
    <w:rsid w:val="00842C9E"/>
    <w:rsid w:val="00842CF7"/>
    <w:rsid w:val="00842D1C"/>
    <w:rsid w:val="00842DA4"/>
    <w:rsid w:val="00842DBF"/>
    <w:rsid w:val="00842DEA"/>
    <w:rsid w:val="00842E09"/>
    <w:rsid w:val="00842E18"/>
    <w:rsid w:val="00842E75"/>
    <w:rsid w:val="00842E91"/>
    <w:rsid w:val="00842E97"/>
    <w:rsid w:val="00842EA1"/>
    <w:rsid w:val="00842EA4"/>
    <w:rsid w:val="00842F19"/>
    <w:rsid w:val="00842FCF"/>
    <w:rsid w:val="00843011"/>
    <w:rsid w:val="00843015"/>
    <w:rsid w:val="0084307C"/>
    <w:rsid w:val="008430A1"/>
    <w:rsid w:val="008430A9"/>
    <w:rsid w:val="008430B7"/>
    <w:rsid w:val="008430CD"/>
    <w:rsid w:val="008430F5"/>
    <w:rsid w:val="00843113"/>
    <w:rsid w:val="0084311D"/>
    <w:rsid w:val="00843164"/>
    <w:rsid w:val="00843166"/>
    <w:rsid w:val="00843198"/>
    <w:rsid w:val="008431AB"/>
    <w:rsid w:val="008431B1"/>
    <w:rsid w:val="008431D4"/>
    <w:rsid w:val="008431F0"/>
    <w:rsid w:val="00843210"/>
    <w:rsid w:val="00843245"/>
    <w:rsid w:val="0084324D"/>
    <w:rsid w:val="0084328C"/>
    <w:rsid w:val="008432A7"/>
    <w:rsid w:val="008432C4"/>
    <w:rsid w:val="008432DA"/>
    <w:rsid w:val="00843331"/>
    <w:rsid w:val="0084333F"/>
    <w:rsid w:val="008433A0"/>
    <w:rsid w:val="008433DB"/>
    <w:rsid w:val="00843409"/>
    <w:rsid w:val="0084341F"/>
    <w:rsid w:val="00843461"/>
    <w:rsid w:val="0084346E"/>
    <w:rsid w:val="00843484"/>
    <w:rsid w:val="00843486"/>
    <w:rsid w:val="00843487"/>
    <w:rsid w:val="0084357F"/>
    <w:rsid w:val="008435A3"/>
    <w:rsid w:val="008435C6"/>
    <w:rsid w:val="008435E9"/>
    <w:rsid w:val="00843689"/>
    <w:rsid w:val="0084370D"/>
    <w:rsid w:val="00843728"/>
    <w:rsid w:val="0084373E"/>
    <w:rsid w:val="00843751"/>
    <w:rsid w:val="0084375B"/>
    <w:rsid w:val="0084379D"/>
    <w:rsid w:val="008437A4"/>
    <w:rsid w:val="008437A6"/>
    <w:rsid w:val="008437C4"/>
    <w:rsid w:val="00843816"/>
    <w:rsid w:val="00843826"/>
    <w:rsid w:val="00843894"/>
    <w:rsid w:val="0084389A"/>
    <w:rsid w:val="0084389B"/>
    <w:rsid w:val="008438EB"/>
    <w:rsid w:val="008438FF"/>
    <w:rsid w:val="00843911"/>
    <w:rsid w:val="0084393E"/>
    <w:rsid w:val="0084395F"/>
    <w:rsid w:val="00843A36"/>
    <w:rsid w:val="00843A60"/>
    <w:rsid w:val="00843ABB"/>
    <w:rsid w:val="00843AE9"/>
    <w:rsid w:val="00843B0D"/>
    <w:rsid w:val="00843B40"/>
    <w:rsid w:val="00843B49"/>
    <w:rsid w:val="00843B88"/>
    <w:rsid w:val="00843BB1"/>
    <w:rsid w:val="00843BE7"/>
    <w:rsid w:val="00843BEE"/>
    <w:rsid w:val="00843D10"/>
    <w:rsid w:val="00843DB3"/>
    <w:rsid w:val="00843DBC"/>
    <w:rsid w:val="00843DD7"/>
    <w:rsid w:val="00843E32"/>
    <w:rsid w:val="00843E33"/>
    <w:rsid w:val="00843E78"/>
    <w:rsid w:val="00843F02"/>
    <w:rsid w:val="00843F5D"/>
    <w:rsid w:val="00843F8B"/>
    <w:rsid w:val="00843F94"/>
    <w:rsid w:val="00843FAE"/>
    <w:rsid w:val="00843FFD"/>
    <w:rsid w:val="00844005"/>
    <w:rsid w:val="0084402F"/>
    <w:rsid w:val="00844036"/>
    <w:rsid w:val="00844043"/>
    <w:rsid w:val="00844047"/>
    <w:rsid w:val="00844082"/>
    <w:rsid w:val="008440B2"/>
    <w:rsid w:val="008440E4"/>
    <w:rsid w:val="008440EC"/>
    <w:rsid w:val="0084416E"/>
    <w:rsid w:val="008441E6"/>
    <w:rsid w:val="00844295"/>
    <w:rsid w:val="008442CA"/>
    <w:rsid w:val="008442E9"/>
    <w:rsid w:val="008442FA"/>
    <w:rsid w:val="0084431F"/>
    <w:rsid w:val="00844331"/>
    <w:rsid w:val="00844357"/>
    <w:rsid w:val="0084437C"/>
    <w:rsid w:val="00844380"/>
    <w:rsid w:val="008443BB"/>
    <w:rsid w:val="008443E6"/>
    <w:rsid w:val="00844472"/>
    <w:rsid w:val="00844473"/>
    <w:rsid w:val="008444A2"/>
    <w:rsid w:val="008444E3"/>
    <w:rsid w:val="008444FA"/>
    <w:rsid w:val="00844505"/>
    <w:rsid w:val="008445B0"/>
    <w:rsid w:val="008445D9"/>
    <w:rsid w:val="008445E0"/>
    <w:rsid w:val="008445E1"/>
    <w:rsid w:val="00844672"/>
    <w:rsid w:val="008446B3"/>
    <w:rsid w:val="008446B5"/>
    <w:rsid w:val="00844710"/>
    <w:rsid w:val="00844764"/>
    <w:rsid w:val="00844794"/>
    <w:rsid w:val="008447D5"/>
    <w:rsid w:val="00844821"/>
    <w:rsid w:val="00844882"/>
    <w:rsid w:val="008448E0"/>
    <w:rsid w:val="0084491D"/>
    <w:rsid w:val="00844959"/>
    <w:rsid w:val="0084496E"/>
    <w:rsid w:val="00844981"/>
    <w:rsid w:val="0084498A"/>
    <w:rsid w:val="0084498E"/>
    <w:rsid w:val="00844A40"/>
    <w:rsid w:val="00844A5A"/>
    <w:rsid w:val="00844A9E"/>
    <w:rsid w:val="00844AA1"/>
    <w:rsid w:val="00844AE3"/>
    <w:rsid w:val="00844B32"/>
    <w:rsid w:val="00844B3E"/>
    <w:rsid w:val="00844BC4"/>
    <w:rsid w:val="00844BD1"/>
    <w:rsid w:val="00844BD2"/>
    <w:rsid w:val="00844C70"/>
    <w:rsid w:val="00844CAD"/>
    <w:rsid w:val="00844CAE"/>
    <w:rsid w:val="00844CFC"/>
    <w:rsid w:val="00844D0C"/>
    <w:rsid w:val="00844D7E"/>
    <w:rsid w:val="00844D9A"/>
    <w:rsid w:val="00844DF1"/>
    <w:rsid w:val="00844DFC"/>
    <w:rsid w:val="00844E03"/>
    <w:rsid w:val="00844E41"/>
    <w:rsid w:val="00844E46"/>
    <w:rsid w:val="00844E63"/>
    <w:rsid w:val="00844E77"/>
    <w:rsid w:val="00844EFB"/>
    <w:rsid w:val="00844F00"/>
    <w:rsid w:val="00844F1E"/>
    <w:rsid w:val="00844F39"/>
    <w:rsid w:val="00844F5E"/>
    <w:rsid w:val="00844F7D"/>
    <w:rsid w:val="00844F8E"/>
    <w:rsid w:val="00845011"/>
    <w:rsid w:val="00845063"/>
    <w:rsid w:val="0084507D"/>
    <w:rsid w:val="008450E4"/>
    <w:rsid w:val="008450FB"/>
    <w:rsid w:val="00845101"/>
    <w:rsid w:val="00845116"/>
    <w:rsid w:val="0084515A"/>
    <w:rsid w:val="0084516C"/>
    <w:rsid w:val="00845181"/>
    <w:rsid w:val="008451AA"/>
    <w:rsid w:val="008451AE"/>
    <w:rsid w:val="008451C1"/>
    <w:rsid w:val="00845216"/>
    <w:rsid w:val="008452FE"/>
    <w:rsid w:val="00845377"/>
    <w:rsid w:val="00845380"/>
    <w:rsid w:val="0084538C"/>
    <w:rsid w:val="008453A9"/>
    <w:rsid w:val="008453B3"/>
    <w:rsid w:val="0084545B"/>
    <w:rsid w:val="00845461"/>
    <w:rsid w:val="008454BA"/>
    <w:rsid w:val="0084550C"/>
    <w:rsid w:val="00845520"/>
    <w:rsid w:val="00845582"/>
    <w:rsid w:val="008455B3"/>
    <w:rsid w:val="008455E5"/>
    <w:rsid w:val="008456B9"/>
    <w:rsid w:val="008456C2"/>
    <w:rsid w:val="008456C6"/>
    <w:rsid w:val="00845756"/>
    <w:rsid w:val="00845758"/>
    <w:rsid w:val="00845764"/>
    <w:rsid w:val="00845777"/>
    <w:rsid w:val="0084584B"/>
    <w:rsid w:val="0084587E"/>
    <w:rsid w:val="00845894"/>
    <w:rsid w:val="008458EE"/>
    <w:rsid w:val="00845908"/>
    <w:rsid w:val="0084590A"/>
    <w:rsid w:val="0084591E"/>
    <w:rsid w:val="00845978"/>
    <w:rsid w:val="008459B9"/>
    <w:rsid w:val="00845A1D"/>
    <w:rsid w:val="00845A32"/>
    <w:rsid w:val="00845A46"/>
    <w:rsid w:val="00845A54"/>
    <w:rsid w:val="00845A80"/>
    <w:rsid w:val="00845AC7"/>
    <w:rsid w:val="00845ADA"/>
    <w:rsid w:val="00845BDD"/>
    <w:rsid w:val="00845BDE"/>
    <w:rsid w:val="00845C04"/>
    <w:rsid w:val="00845C22"/>
    <w:rsid w:val="00845C31"/>
    <w:rsid w:val="00845C33"/>
    <w:rsid w:val="00845C49"/>
    <w:rsid w:val="00845CA7"/>
    <w:rsid w:val="00845CBA"/>
    <w:rsid w:val="00845CDC"/>
    <w:rsid w:val="00845CEA"/>
    <w:rsid w:val="00845D4F"/>
    <w:rsid w:val="00845D5C"/>
    <w:rsid w:val="00845D62"/>
    <w:rsid w:val="00845DB2"/>
    <w:rsid w:val="00845DB3"/>
    <w:rsid w:val="00845DC6"/>
    <w:rsid w:val="00845DE1"/>
    <w:rsid w:val="00845E04"/>
    <w:rsid w:val="00845E08"/>
    <w:rsid w:val="00845E17"/>
    <w:rsid w:val="00845E19"/>
    <w:rsid w:val="00845E2E"/>
    <w:rsid w:val="00845E69"/>
    <w:rsid w:val="00845E84"/>
    <w:rsid w:val="00845E89"/>
    <w:rsid w:val="00845F63"/>
    <w:rsid w:val="008460BD"/>
    <w:rsid w:val="008460DA"/>
    <w:rsid w:val="008460EE"/>
    <w:rsid w:val="00846141"/>
    <w:rsid w:val="008461BA"/>
    <w:rsid w:val="008461D7"/>
    <w:rsid w:val="00846200"/>
    <w:rsid w:val="00846212"/>
    <w:rsid w:val="00846271"/>
    <w:rsid w:val="00846295"/>
    <w:rsid w:val="008462DD"/>
    <w:rsid w:val="00846310"/>
    <w:rsid w:val="0084634B"/>
    <w:rsid w:val="008463A2"/>
    <w:rsid w:val="008463CD"/>
    <w:rsid w:val="008463DB"/>
    <w:rsid w:val="0084643C"/>
    <w:rsid w:val="0084649D"/>
    <w:rsid w:val="00846540"/>
    <w:rsid w:val="00846588"/>
    <w:rsid w:val="008465D4"/>
    <w:rsid w:val="0084663E"/>
    <w:rsid w:val="00846709"/>
    <w:rsid w:val="0084671D"/>
    <w:rsid w:val="00846750"/>
    <w:rsid w:val="00846758"/>
    <w:rsid w:val="00846767"/>
    <w:rsid w:val="00846789"/>
    <w:rsid w:val="008467C6"/>
    <w:rsid w:val="008467C9"/>
    <w:rsid w:val="008467F4"/>
    <w:rsid w:val="00846820"/>
    <w:rsid w:val="00846825"/>
    <w:rsid w:val="00846829"/>
    <w:rsid w:val="008468C0"/>
    <w:rsid w:val="008468E4"/>
    <w:rsid w:val="0084697D"/>
    <w:rsid w:val="008469BB"/>
    <w:rsid w:val="00846A20"/>
    <w:rsid w:val="00846A26"/>
    <w:rsid w:val="00846A5D"/>
    <w:rsid w:val="00846A82"/>
    <w:rsid w:val="00846ACB"/>
    <w:rsid w:val="00846AFA"/>
    <w:rsid w:val="00846B8D"/>
    <w:rsid w:val="00846BAD"/>
    <w:rsid w:val="00846BB3"/>
    <w:rsid w:val="00846BE8"/>
    <w:rsid w:val="00846BF1"/>
    <w:rsid w:val="00846C2D"/>
    <w:rsid w:val="00846C82"/>
    <w:rsid w:val="00846C95"/>
    <w:rsid w:val="00846CB0"/>
    <w:rsid w:val="00846CD5"/>
    <w:rsid w:val="00846D12"/>
    <w:rsid w:val="00846D19"/>
    <w:rsid w:val="00846D1B"/>
    <w:rsid w:val="00846D5A"/>
    <w:rsid w:val="00846DE9"/>
    <w:rsid w:val="00846DF9"/>
    <w:rsid w:val="00846DFE"/>
    <w:rsid w:val="00846E0E"/>
    <w:rsid w:val="00846E45"/>
    <w:rsid w:val="00846E73"/>
    <w:rsid w:val="00846E7A"/>
    <w:rsid w:val="00846EE6"/>
    <w:rsid w:val="00846F3C"/>
    <w:rsid w:val="00846F91"/>
    <w:rsid w:val="00846F9E"/>
    <w:rsid w:val="00846F9F"/>
    <w:rsid w:val="00846FA5"/>
    <w:rsid w:val="00846FC0"/>
    <w:rsid w:val="00847010"/>
    <w:rsid w:val="00847047"/>
    <w:rsid w:val="00847079"/>
    <w:rsid w:val="0084707C"/>
    <w:rsid w:val="008470EC"/>
    <w:rsid w:val="00847130"/>
    <w:rsid w:val="0084714D"/>
    <w:rsid w:val="00847183"/>
    <w:rsid w:val="00847187"/>
    <w:rsid w:val="00847196"/>
    <w:rsid w:val="008471AE"/>
    <w:rsid w:val="00847214"/>
    <w:rsid w:val="0084722B"/>
    <w:rsid w:val="0084734E"/>
    <w:rsid w:val="00847356"/>
    <w:rsid w:val="0084736D"/>
    <w:rsid w:val="008473C7"/>
    <w:rsid w:val="00847436"/>
    <w:rsid w:val="00847442"/>
    <w:rsid w:val="00847453"/>
    <w:rsid w:val="00847458"/>
    <w:rsid w:val="00847464"/>
    <w:rsid w:val="008474C7"/>
    <w:rsid w:val="008474E2"/>
    <w:rsid w:val="00847507"/>
    <w:rsid w:val="00847545"/>
    <w:rsid w:val="00847563"/>
    <w:rsid w:val="00847569"/>
    <w:rsid w:val="00847575"/>
    <w:rsid w:val="00847587"/>
    <w:rsid w:val="00847599"/>
    <w:rsid w:val="008475F7"/>
    <w:rsid w:val="008475FE"/>
    <w:rsid w:val="00847650"/>
    <w:rsid w:val="00847693"/>
    <w:rsid w:val="008476AB"/>
    <w:rsid w:val="008476B0"/>
    <w:rsid w:val="008476FA"/>
    <w:rsid w:val="00847703"/>
    <w:rsid w:val="00847777"/>
    <w:rsid w:val="008477C1"/>
    <w:rsid w:val="008477C6"/>
    <w:rsid w:val="008477E0"/>
    <w:rsid w:val="0084788F"/>
    <w:rsid w:val="008478C9"/>
    <w:rsid w:val="008478DB"/>
    <w:rsid w:val="008478E0"/>
    <w:rsid w:val="0084798E"/>
    <w:rsid w:val="008479CA"/>
    <w:rsid w:val="00847A00"/>
    <w:rsid w:val="00847A02"/>
    <w:rsid w:val="00847A16"/>
    <w:rsid w:val="00847A39"/>
    <w:rsid w:val="00847AF4"/>
    <w:rsid w:val="00847B56"/>
    <w:rsid w:val="00847B6F"/>
    <w:rsid w:val="00847BB4"/>
    <w:rsid w:val="00847BFC"/>
    <w:rsid w:val="00847C16"/>
    <w:rsid w:val="00847C22"/>
    <w:rsid w:val="00847C3F"/>
    <w:rsid w:val="00847C56"/>
    <w:rsid w:val="00847C94"/>
    <w:rsid w:val="00847CC6"/>
    <w:rsid w:val="00847CCE"/>
    <w:rsid w:val="00847CF7"/>
    <w:rsid w:val="00847D3C"/>
    <w:rsid w:val="00847DB7"/>
    <w:rsid w:val="00847DF0"/>
    <w:rsid w:val="00847DF3"/>
    <w:rsid w:val="00847E12"/>
    <w:rsid w:val="00847E46"/>
    <w:rsid w:val="00847E4B"/>
    <w:rsid w:val="00847E6B"/>
    <w:rsid w:val="00847E6D"/>
    <w:rsid w:val="00847F16"/>
    <w:rsid w:val="00847F17"/>
    <w:rsid w:val="00847F24"/>
    <w:rsid w:val="00847F2A"/>
    <w:rsid w:val="00847FD6"/>
    <w:rsid w:val="00847FE4"/>
    <w:rsid w:val="00850004"/>
    <w:rsid w:val="0085001A"/>
    <w:rsid w:val="00850054"/>
    <w:rsid w:val="00850074"/>
    <w:rsid w:val="008500DE"/>
    <w:rsid w:val="00850160"/>
    <w:rsid w:val="008501A6"/>
    <w:rsid w:val="008501AC"/>
    <w:rsid w:val="008501D3"/>
    <w:rsid w:val="00850202"/>
    <w:rsid w:val="00850253"/>
    <w:rsid w:val="00850268"/>
    <w:rsid w:val="0085029D"/>
    <w:rsid w:val="008502CE"/>
    <w:rsid w:val="008502EF"/>
    <w:rsid w:val="008502FD"/>
    <w:rsid w:val="00850315"/>
    <w:rsid w:val="00850327"/>
    <w:rsid w:val="0085032E"/>
    <w:rsid w:val="00850341"/>
    <w:rsid w:val="00850372"/>
    <w:rsid w:val="00850397"/>
    <w:rsid w:val="008503DF"/>
    <w:rsid w:val="00850409"/>
    <w:rsid w:val="00850415"/>
    <w:rsid w:val="00850419"/>
    <w:rsid w:val="00850436"/>
    <w:rsid w:val="008504EE"/>
    <w:rsid w:val="00850515"/>
    <w:rsid w:val="008505F8"/>
    <w:rsid w:val="00850668"/>
    <w:rsid w:val="00850688"/>
    <w:rsid w:val="00850694"/>
    <w:rsid w:val="008506BB"/>
    <w:rsid w:val="008506BC"/>
    <w:rsid w:val="00850712"/>
    <w:rsid w:val="00850732"/>
    <w:rsid w:val="00850746"/>
    <w:rsid w:val="008507F6"/>
    <w:rsid w:val="00850862"/>
    <w:rsid w:val="00850880"/>
    <w:rsid w:val="008508B7"/>
    <w:rsid w:val="008508DE"/>
    <w:rsid w:val="008508FE"/>
    <w:rsid w:val="00850978"/>
    <w:rsid w:val="00850989"/>
    <w:rsid w:val="008509E4"/>
    <w:rsid w:val="008509F6"/>
    <w:rsid w:val="00850A13"/>
    <w:rsid w:val="00850A39"/>
    <w:rsid w:val="00850A3D"/>
    <w:rsid w:val="00850ADB"/>
    <w:rsid w:val="00850B03"/>
    <w:rsid w:val="00850B88"/>
    <w:rsid w:val="00850B8D"/>
    <w:rsid w:val="00850B9A"/>
    <w:rsid w:val="00850BAA"/>
    <w:rsid w:val="00850BAC"/>
    <w:rsid w:val="00850C0B"/>
    <w:rsid w:val="00850C2F"/>
    <w:rsid w:val="00850C88"/>
    <w:rsid w:val="00850C93"/>
    <w:rsid w:val="00850D2A"/>
    <w:rsid w:val="00850D3E"/>
    <w:rsid w:val="00850D56"/>
    <w:rsid w:val="00850D60"/>
    <w:rsid w:val="00850D63"/>
    <w:rsid w:val="00850DA6"/>
    <w:rsid w:val="00850DC7"/>
    <w:rsid w:val="00850DE4"/>
    <w:rsid w:val="00850E07"/>
    <w:rsid w:val="00850E11"/>
    <w:rsid w:val="00850E30"/>
    <w:rsid w:val="00850E67"/>
    <w:rsid w:val="00850E7D"/>
    <w:rsid w:val="00850EA9"/>
    <w:rsid w:val="00850EBE"/>
    <w:rsid w:val="00850F0F"/>
    <w:rsid w:val="00850F57"/>
    <w:rsid w:val="00850F71"/>
    <w:rsid w:val="00850F72"/>
    <w:rsid w:val="00850F7D"/>
    <w:rsid w:val="00850FBD"/>
    <w:rsid w:val="00850FD6"/>
    <w:rsid w:val="00851075"/>
    <w:rsid w:val="008510AE"/>
    <w:rsid w:val="008510B9"/>
    <w:rsid w:val="008510C4"/>
    <w:rsid w:val="008510C9"/>
    <w:rsid w:val="00851130"/>
    <w:rsid w:val="0085117E"/>
    <w:rsid w:val="008511BF"/>
    <w:rsid w:val="008511D1"/>
    <w:rsid w:val="008511D8"/>
    <w:rsid w:val="008511E9"/>
    <w:rsid w:val="008512B9"/>
    <w:rsid w:val="008512C6"/>
    <w:rsid w:val="008512EA"/>
    <w:rsid w:val="00851326"/>
    <w:rsid w:val="008513AD"/>
    <w:rsid w:val="00851458"/>
    <w:rsid w:val="008514AC"/>
    <w:rsid w:val="008514C1"/>
    <w:rsid w:val="008514E2"/>
    <w:rsid w:val="0085150A"/>
    <w:rsid w:val="00851517"/>
    <w:rsid w:val="00851520"/>
    <w:rsid w:val="0085152E"/>
    <w:rsid w:val="00851530"/>
    <w:rsid w:val="0085153A"/>
    <w:rsid w:val="00851563"/>
    <w:rsid w:val="00851619"/>
    <w:rsid w:val="00851655"/>
    <w:rsid w:val="0085168B"/>
    <w:rsid w:val="008516D2"/>
    <w:rsid w:val="008516F9"/>
    <w:rsid w:val="0085173C"/>
    <w:rsid w:val="00851742"/>
    <w:rsid w:val="008517AC"/>
    <w:rsid w:val="00851899"/>
    <w:rsid w:val="008518AB"/>
    <w:rsid w:val="00851904"/>
    <w:rsid w:val="00851960"/>
    <w:rsid w:val="00851979"/>
    <w:rsid w:val="008519DB"/>
    <w:rsid w:val="00851A05"/>
    <w:rsid w:val="00851A0A"/>
    <w:rsid w:val="00851A48"/>
    <w:rsid w:val="00851A6A"/>
    <w:rsid w:val="00851A86"/>
    <w:rsid w:val="00851B48"/>
    <w:rsid w:val="00851BD9"/>
    <w:rsid w:val="00851C69"/>
    <w:rsid w:val="00851C7C"/>
    <w:rsid w:val="00851C98"/>
    <w:rsid w:val="00851CF8"/>
    <w:rsid w:val="00851D46"/>
    <w:rsid w:val="00851D9B"/>
    <w:rsid w:val="00851DA9"/>
    <w:rsid w:val="00851DDB"/>
    <w:rsid w:val="00851E06"/>
    <w:rsid w:val="00851E3C"/>
    <w:rsid w:val="00851E8C"/>
    <w:rsid w:val="00851E9A"/>
    <w:rsid w:val="00851EDC"/>
    <w:rsid w:val="00851F01"/>
    <w:rsid w:val="00851F18"/>
    <w:rsid w:val="00851F45"/>
    <w:rsid w:val="00851F76"/>
    <w:rsid w:val="00851FCA"/>
    <w:rsid w:val="0085201B"/>
    <w:rsid w:val="00852036"/>
    <w:rsid w:val="00852065"/>
    <w:rsid w:val="00852085"/>
    <w:rsid w:val="00852086"/>
    <w:rsid w:val="00852087"/>
    <w:rsid w:val="008520A2"/>
    <w:rsid w:val="008520B1"/>
    <w:rsid w:val="008520CE"/>
    <w:rsid w:val="008520F8"/>
    <w:rsid w:val="008520FF"/>
    <w:rsid w:val="0085212F"/>
    <w:rsid w:val="0085219A"/>
    <w:rsid w:val="008521C9"/>
    <w:rsid w:val="00852201"/>
    <w:rsid w:val="00852227"/>
    <w:rsid w:val="0085227B"/>
    <w:rsid w:val="008522EA"/>
    <w:rsid w:val="00852310"/>
    <w:rsid w:val="00852321"/>
    <w:rsid w:val="00852351"/>
    <w:rsid w:val="0085236F"/>
    <w:rsid w:val="00852392"/>
    <w:rsid w:val="00852394"/>
    <w:rsid w:val="008523A9"/>
    <w:rsid w:val="008523B3"/>
    <w:rsid w:val="008523D8"/>
    <w:rsid w:val="00852487"/>
    <w:rsid w:val="00852495"/>
    <w:rsid w:val="008524CE"/>
    <w:rsid w:val="008524FC"/>
    <w:rsid w:val="00852518"/>
    <w:rsid w:val="0085254C"/>
    <w:rsid w:val="00852604"/>
    <w:rsid w:val="0085262B"/>
    <w:rsid w:val="00852646"/>
    <w:rsid w:val="00852698"/>
    <w:rsid w:val="008526BC"/>
    <w:rsid w:val="0085271A"/>
    <w:rsid w:val="0085272D"/>
    <w:rsid w:val="0085273B"/>
    <w:rsid w:val="0085273E"/>
    <w:rsid w:val="0085275F"/>
    <w:rsid w:val="008527B2"/>
    <w:rsid w:val="008527DC"/>
    <w:rsid w:val="0085280F"/>
    <w:rsid w:val="00852874"/>
    <w:rsid w:val="00852879"/>
    <w:rsid w:val="00852881"/>
    <w:rsid w:val="0085288A"/>
    <w:rsid w:val="008528A3"/>
    <w:rsid w:val="008528F9"/>
    <w:rsid w:val="00852912"/>
    <w:rsid w:val="00852917"/>
    <w:rsid w:val="00852937"/>
    <w:rsid w:val="00852941"/>
    <w:rsid w:val="0085294F"/>
    <w:rsid w:val="00852953"/>
    <w:rsid w:val="0085295D"/>
    <w:rsid w:val="0085297A"/>
    <w:rsid w:val="00852988"/>
    <w:rsid w:val="00852A09"/>
    <w:rsid w:val="00852A27"/>
    <w:rsid w:val="00852A44"/>
    <w:rsid w:val="00852A70"/>
    <w:rsid w:val="00852A90"/>
    <w:rsid w:val="00852ACD"/>
    <w:rsid w:val="00852B14"/>
    <w:rsid w:val="00852B2A"/>
    <w:rsid w:val="00852B9A"/>
    <w:rsid w:val="00852BAD"/>
    <w:rsid w:val="00852BD4"/>
    <w:rsid w:val="00852C2B"/>
    <w:rsid w:val="00852C6F"/>
    <w:rsid w:val="00852CCD"/>
    <w:rsid w:val="00852CEE"/>
    <w:rsid w:val="00852CFE"/>
    <w:rsid w:val="00852D06"/>
    <w:rsid w:val="00852D4F"/>
    <w:rsid w:val="00852D56"/>
    <w:rsid w:val="00852D60"/>
    <w:rsid w:val="00852D69"/>
    <w:rsid w:val="00852D77"/>
    <w:rsid w:val="00852D84"/>
    <w:rsid w:val="00852DA5"/>
    <w:rsid w:val="00852DBE"/>
    <w:rsid w:val="00852DD3"/>
    <w:rsid w:val="00852DD9"/>
    <w:rsid w:val="00852DEF"/>
    <w:rsid w:val="00852DF1"/>
    <w:rsid w:val="00852DFE"/>
    <w:rsid w:val="00852E11"/>
    <w:rsid w:val="00852E7D"/>
    <w:rsid w:val="00852EBC"/>
    <w:rsid w:val="00852EC7"/>
    <w:rsid w:val="00852F43"/>
    <w:rsid w:val="00852F85"/>
    <w:rsid w:val="00852FB8"/>
    <w:rsid w:val="00852FC6"/>
    <w:rsid w:val="00853033"/>
    <w:rsid w:val="0085308E"/>
    <w:rsid w:val="008530C6"/>
    <w:rsid w:val="008530D0"/>
    <w:rsid w:val="00853111"/>
    <w:rsid w:val="00853175"/>
    <w:rsid w:val="0085319F"/>
    <w:rsid w:val="00853235"/>
    <w:rsid w:val="00853273"/>
    <w:rsid w:val="0085329F"/>
    <w:rsid w:val="008532AE"/>
    <w:rsid w:val="008532D5"/>
    <w:rsid w:val="00853304"/>
    <w:rsid w:val="00853374"/>
    <w:rsid w:val="0085337C"/>
    <w:rsid w:val="008533A7"/>
    <w:rsid w:val="008533B5"/>
    <w:rsid w:val="008533CD"/>
    <w:rsid w:val="008533CF"/>
    <w:rsid w:val="00853409"/>
    <w:rsid w:val="00853412"/>
    <w:rsid w:val="0085341B"/>
    <w:rsid w:val="00853425"/>
    <w:rsid w:val="0085342B"/>
    <w:rsid w:val="00853466"/>
    <w:rsid w:val="00853483"/>
    <w:rsid w:val="008534A7"/>
    <w:rsid w:val="0085352A"/>
    <w:rsid w:val="00853531"/>
    <w:rsid w:val="00853533"/>
    <w:rsid w:val="00853568"/>
    <w:rsid w:val="00853581"/>
    <w:rsid w:val="00853591"/>
    <w:rsid w:val="00853630"/>
    <w:rsid w:val="00853653"/>
    <w:rsid w:val="008536D0"/>
    <w:rsid w:val="008536D2"/>
    <w:rsid w:val="008536E6"/>
    <w:rsid w:val="0085370E"/>
    <w:rsid w:val="00853761"/>
    <w:rsid w:val="00853784"/>
    <w:rsid w:val="0085378D"/>
    <w:rsid w:val="00853791"/>
    <w:rsid w:val="008537DC"/>
    <w:rsid w:val="00853859"/>
    <w:rsid w:val="00853861"/>
    <w:rsid w:val="008538AA"/>
    <w:rsid w:val="008538CB"/>
    <w:rsid w:val="00853934"/>
    <w:rsid w:val="008539CA"/>
    <w:rsid w:val="008539D2"/>
    <w:rsid w:val="00853A12"/>
    <w:rsid w:val="00853A21"/>
    <w:rsid w:val="00853A6D"/>
    <w:rsid w:val="00853A6F"/>
    <w:rsid w:val="00853A84"/>
    <w:rsid w:val="00853AF6"/>
    <w:rsid w:val="00853B1C"/>
    <w:rsid w:val="00853B26"/>
    <w:rsid w:val="00853B62"/>
    <w:rsid w:val="00853B74"/>
    <w:rsid w:val="00853BAC"/>
    <w:rsid w:val="00853BFE"/>
    <w:rsid w:val="00853C3D"/>
    <w:rsid w:val="00853C50"/>
    <w:rsid w:val="00853C8A"/>
    <w:rsid w:val="00853C8D"/>
    <w:rsid w:val="00853CF6"/>
    <w:rsid w:val="00853D32"/>
    <w:rsid w:val="00853DC8"/>
    <w:rsid w:val="00853DFD"/>
    <w:rsid w:val="00853E33"/>
    <w:rsid w:val="00853E3C"/>
    <w:rsid w:val="00853E56"/>
    <w:rsid w:val="00853EF2"/>
    <w:rsid w:val="00853F10"/>
    <w:rsid w:val="00853F51"/>
    <w:rsid w:val="00853F97"/>
    <w:rsid w:val="00853FE0"/>
    <w:rsid w:val="0085401F"/>
    <w:rsid w:val="00854020"/>
    <w:rsid w:val="0085402B"/>
    <w:rsid w:val="00854056"/>
    <w:rsid w:val="008540BB"/>
    <w:rsid w:val="008540F2"/>
    <w:rsid w:val="00854105"/>
    <w:rsid w:val="00854154"/>
    <w:rsid w:val="008541B3"/>
    <w:rsid w:val="008541C7"/>
    <w:rsid w:val="008541D4"/>
    <w:rsid w:val="00854205"/>
    <w:rsid w:val="00854210"/>
    <w:rsid w:val="00854280"/>
    <w:rsid w:val="008542B7"/>
    <w:rsid w:val="008542D9"/>
    <w:rsid w:val="008542EB"/>
    <w:rsid w:val="0085432F"/>
    <w:rsid w:val="008543CA"/>
    <w:rsid w:val="008543D0"/>
    <w:rsid w:val="008543F0"/>
    <w:rsid w:val="00854404"/>
    <w:rsid w:val="00854449"/>
    <w:rsid w:val="0085446D"/>
    <w:rsid w:val="0085448C"/>
    <w:rsid w:val="0085449A"/>
    <w:rsid w:val="008544C2"/>
    <w:rsid w:val="00854511"/>
    <w:rsid w:val="008545D2"/>
    <w:rsid w:val="00854602"/>
    <w:rsid w:val="0085461A"/>
    <w:rsid w:val="00854641"/>
    <w:rsid w:val="0085464D"/>
    <w:rsid w:val="0085465A"/>
    <w:rsid w:val="008546CB"/>
    <w:rsid w:val="008546E5"/>
    <w:rsid w:val="00854712"/>
    <w:rsid w:val="00854729"/>
    <w:rsid w:val="0085472C"/>
    <w:rsid w:val="0085477B"/>
    <w:rsid w:val="0085478D"/>
    <w:rsid w:val="008547A1"/>
    <w:rsid w:val="008547EA"/>
    <w:rsid w:val="008547F3"/>
    <w:rsid w:val="008547FB"/>
    <w:rsid w:val="0085480C"/>
    <w:rsid w:val="00854833"/>
    <w:rsid w:val="0085489C"/>
    <w:rsid w:val="008548EA"/>
    <w:rsid w:val="0085490D"/>
    <w:rsid w:val="00854913"/>
    <w:rsid w:val="0085491D"/>
    <w:rsid w:val="00854928"/>
    <w:rsid w:val="00854943"/>
    <w:rsid w:val="00854982"/>
    <w:rsid w:val="008549A8"/>
    <w:rsid w:val="008549B1"/>
    <w:rsid w:val="008549B6"/>
    <w:rsid w:val="008549D4"/>
    <w:rsid w:val="00854A48"/>
    <w:rsid w:val="00854A49"/>
    <w:rsid w:val="00854A6A"/>
    <w:rsid w:val="00854A76"/>
    <w:rsid w:val="00854AC4"/>
    <w:rsid w:val="00854AF6"/>
    <w:rsid w:val="00854B53"/>
    <w:rsid w:val="00854B75"/>
    <w:rsid w:val="00854B81"/>
    <w:rsid w:val="00854BA2"/>
    <w:rsid w:val="00854BD0"/>
    <w:rsid w:val="00854BDE"/>
    <w:rsid w:val="00854BE9"/>
    <w:rsid w:val="00854BFB"/>
    <w:rsid w:val="00854CB1"/>
    <w:rsid w:val="00854CC7"/>
    <w:rsid w:val="00854D0F"/>
    <w:rsid w:val="00854D88"/>
    <w:rsid w:val="00854DB7"/>
    <w:rsid w:val="00854DC3"/>
    <w:rsid w:val="00854DD5"/>
    <w:rsid w:val="00854DE2"/>
    <w:rsid w:val="00854DF7"/>
    <w:rsid w:val="00854E46"/>
    <w:rsid w:val="00854EC0"/>
    <w:rsid w:val="00854F1C"/>
    <w:rsid w:val="00854FC3"/>
    <w:rsid w:val="00854FCA"/>
    <w:rsid w:val="00855033"/>
    <w:rsid w:val="00855045"/>
    <w:rsid w:val="0085509D"/>
    <w:rsid w:val="008550C0"/>
    <w:rsid w:val="008550CD"/>
    <w:rsid w:val="008550F3"/>
    <w:rsid w:val="008550FD"/>
    <w:rsid w:val="00855101"/>
    <w:rsid w:val="00855154"/>
    <w:rsid w:val="0085518E"/>
    <w:rsid w:val="008551D4"/>
    <w:rsid w:val="0085522C"/>
    <w:rsid w:val="00855294"/>
    <w:rsid w:val="00855296"/>
    <w:rsid w:val="008552BE"/>
    <w:rsid w:val="008552C4"/>
    <w:rsid w:val="00855324"/>
    <w:rsid w:val="00855334"/>
    <w:rsid w:val="00855347"/>
    <w:rsid w:val="0085534D"/>
    <w:rsid w:val="008553E9"/>
    <w:rsid w:val="008553FF"/>
    <w:rsid w:val="00855489"/>
    <w:rsid w:val="0085549B"/>
    <w:rsid w:val="008554D8"/>
    <w:rsid w:val="008554FA"/>
    <w:rsid w:val="00855539"/>
    <w:rsid w:val="00855576"/>
    <w:rsid w:val="008555C4"/>
    <w:rsid w:val="008555E3"/>
    <w:rsid w:val="00855605"/>
    <w:rsid w:val="0085567B"/>
    <w:rsid w:val="00855689"/>
    <w:rsid w:val="008556CF"/>
    <w:rsid w:val="00855706"/>
    <w:rsid w:val="00855715"/>
    <w:rsid w:val="00855777"/>
    <w:rsid w:val="008557A5"/>
    <w:rsid w:val="008557C2"/>
    <w:rsid w:val="0085582E"/>
    <w:rsid w:val="0085583C"/>
    <w:rsid w:val="00855879"/>
    <w:rsid w:val="0085587A"/>
    <w:rsid w:val="008558F4"/>
    <w:rsid w:val="0085590C"/>
    <w:rsid w:val="00855932"/>
    <w:rsid w:val="00855965"/>
    <w:rsid w:val="008559A3"/>
    <w:rsid w:val="008559B5"/>
    <w:rsid w:val="008559FC"/>
    <w:rsid w:val="00855AB3"/>
    <w:rsid w:val="00855AE0"/>
    <w:rsid w:val="00855AE6"/>
    <w:rsid w:val="00855B02"/>
    <w:rsid w:val="00855B40"/>
    <w:rsid w:val="00855C3B"/>
    <w:rsid w:val="00855C48"/>
    <w:rsid w:val="00855C6F"/>
    <w:rsid w:val="00855C73"/>
    <w:rsid w:val="00855D21"/>
    <w:rsid w:val="00855D23"/>
    <w:rsid w:val="00855D8B"/>
    <w:rsid w:val="00855DA8"/>
    <w:rsid w:val="00855DC1"/>
    <w:rsid w:val="00855DEE"/>
    <w:rsid w:val="00855E1F"/>
    <w:rsid w:val="00855E3C"/>
    <w:rsid w:val="00855E6A"/>
    <w:rsid w:val="00855E7A"/>
    <w:rsid w:val="00855EAC"/>
    <w:rsid w:val="00855EB9"/>
    <w:rsid w:val="00855F48"/>
    <w:rsid w:val="00855F4A"/>
    <w:rsid w:val="00855F55"/>
    <w:rsid w:val="00855F77"/>
    <w:rsid w:val="00855F7E"/>
    <w:rsid w:val="00855F93"/>
    <w:rsid w:val="00855F9E"/>
    <w:rsid w:val="00855FFF"/>
    <w:rsid w:val="0085600C"/>
    <w:rsid w:val="00856014"/>
    <w:rsid w:val="00856032"/>
    <w:rsid w:val="00856071"/>
    <w:rsid w:val="0085607A"/>
    <w:rsid w:val="008561AB"/>
    <w:rsid w:val="00856225"/>
    <w:rsid w:val="00856229"/>
    <w:rsid w:val="0085625E"/>
    <w:rsid w:val="00856273"/>
    <w:rsid w:val="0085629D"/>
    <w:rsid w:val="008562F4"/>
    <w:rsid w:val="00856317"/>
    <w:rsid w:val="008563C3"/>
    <w:rsid w:val="0085643D"/>
    <w:rsid w:val="00856444"/>
    <w:rsid w:val="0085647A"/>
    <w:rsid w:val="008564CE"/>
    <w:rsid w:val="008564F1"/>
    <w:rsid w:val="008564F6"/>
    <w:rsid w:val="00856573"/>
    <w:rsid w:val="0085659B"/>
    <w:rsid w:val="008565D3"/>
    <w:rsid w:val="008565D9"/>
    <w:rsid w:val="0085663B"/>
    <w:rsid w:val="00856690"/>
    <w:rsid w:val="00856703"/>
    <w:rsid w:val="0085670A"/>
    <w:rsid w:val="00856717"/>
    <w:rsid w:val="00856788"/>
    <w:rsid w:val="008567A3"/>
    <w:rsid w:val="008567D6"/>
    <w:rsid w:val="00856810"/>
    <w:rsid w:val="00856836"/>
    <w:rsid w:val="00856837"/>
    <w:rsid w:val="008568F6"/>
    <w:rsid w:val="00856925"/>
    <w:rsid w:val="008569A8"/>
    <w:rsid w:val="008569BA"/>
    <w:rsid w:val="008569CE"/>
    <w:rsid w:val="008569F5"/>
    <w:rsid w:val="00856A74"/>
    <w:rsid w:val="00856A7B"/>
    <w:rsid w:val="00856A8F"/>
    <w:rsid w:val="00856A90"/>
    <w:rsid w:val="00856AA3"/>
    <w:rsid w:val="00856AAB"/>
    <w:rsid w:val="00856ACC"/>
    <w:rsid w:val="00856AD8"/>
    <w:rsid w:val="00856ADC"/>
    <w:rsid w:val="00856B15"/>
    <w:rsid w:val="00856B22"/>
    <w:rsid w:val="00856B87"/>
    <w:rsid w:val="00856BBC"/>
    <w:rsid w:val="00856BE4"/>
    <w:rsid w:val="00856C85"/>
    <w:rsid w:val="00856C97"/>
    <w:rsid w:val="00856CED"/>
    <w:rsid w:val="00856D33"/>
    <w:rsid w:val="00856D70"/>
    <w:rsid w:val="00856D71"/>
    <w:rsid w:val="00856E21"/>
    <w:rsid w:val="00856E3B"/>
    <w:rsid w:val="00856E8A"/>
    <w:rsid w:val="00856EC8"/>
    <w:rsid w:val="00856ECB"/>
    <w:rsid w:val="00856EF3"/>
    <w:rsid w:val="00856F72"/>
    <w:rsid w:val="00856F89"/>
    <w:rsid w:val="00856FC0"/>
    <w:rsid w:val="00856FC1"/>
    <w:rsid w:val="00856FEC"/>
    <w:rsid w:val="00856FF2"/>
    <w:rsid w:val="00857044"/>
    <w:rsid w:val="00857069"/>
    <w:rsid w:val="008570B0"/>
    <w:rsid w:val="008570C0"/>
    <w:rsid w:val="008570D9"/>
    <w:rsid w:val="00857140"/>
    <w:rsid w:val="00857165"/>
    <w:rsid w:val="008571C3"/>
    <w:rsid w:val="008571C8"/>
    <w:rsid w:val="008571EB"/>
    <w:rsid w:val="00857211"/>
    <w:rsid w:val="00857224"/>
    <w:rsid w:val="0085722C"/>
    <w:rsid w:val="0085726E"/>
    <w:rsid w:val="008572B7"/>
    <w:rsid w:val="0085732A"/>
    <w:rsid w:val="0085733D"/>
    <w:rsid w:val="00857354"/>
    <w:rsid w:val="00857396"/>
    <w:rsid w:val="008573A2"/>
    <w:rsid w:val="0085743E"/>
    <w:rsid w:val="0085744E"/>
    <w:rsid w:val="008574B4"/>
    <w:rsid w:val="008574DC"/>
    <w:rsid w:val="008574F6"/>
    <w:rsid w:val="00857510"/>
    <w:rsid w:val="00857513"/>
    <w:rsid w:val="0085752C"/>
    <w:rsid w:val="00857574"/>
    <w:rsid w:val="0085757B"/>
    <w:rsid w:val="008575A6"/>
    <w:rsid w:val="008575B8"/>
    <w:rsid w:val="008575FD"/>
    <w:rsid w:val="0085760E"/>
    <w:rsid w:val="00857641"/>
    <w:rsid w:val="00857673"/>
    <w:rsid w:val="0085767E"/>
    <w:rsid w:val="008576D1"/>
    <w:rsid w:val="00857719"/>
    <w:rsid w:val="00857735"/>
    <w:rsid w:val="00857765"/>
    <w:rsid w:val="0085776C"/>
    <w:rsid w:val="00857780"/>
    <w:rsid w:val="00857783"/>
    <w:rsid w:val="008577C7"/>
    <w:rsid w:val="008577ED"/>
    <w:rsid w:val="008577FF"/>
    <w:rsid w:val="0085780C"/>
    <w:rsid w:val="008578A2"/>
    <w:rsid w:val="008578F4"/>
    <w:rsid w:val="00857912"/>
    <w:rsid w:val="0085794E"/>
    <w:rsid w:val="00857966"/>
    <w:rsid w:val="008579A3"/>
    <w:rsid w:val="008579F5"/>
    <w:rsid w:val="00857B24"/>
    <w:rsid w:val="00857B40"/>
    <w:rsid w:val="00857C3E"/>
    <w:rsid w:val="00857C6E"/>
    <w:rsid w:val="00857CAD"/>
    <w:rsid w:val="00857D35"/>
    <w:rsid w:val="00857D57"/>
    <w:rsid w:val="00857D77"/>
    <w:rsid w:val="00857E17"/>
    <w:rsid w:val="00857E1E"/>
    <w:rsid w:val="00857E6C"/>
    <w:rsid w:val="00857E8C"/>
    <w:rsid w:val="00857E8F"/>
    <w:rsid w:val="00857E98"/>
    <w:rsid w:val="00857F0C"/>
    <w:rsid w:val="00857F3A"/>
    <w:rsid w:val="00857F9C"/>
    <w:rsid w:val="00857FCB"/>
    <w:rsid w:val="00857FD2"/>
    <w:rsid w:val="0086000A"/>
    <w:rsid w:val="00860042"/>
    <w:rsid w:val="00860082"/>
    <w:rsid w:val="008600B3"/>
    <w:rsid w:val="00860131"/>
    <w:rsid w:val="0086014C"/>
    <w:rsid w:val="00860150"/>
    <w:rsid w:val="008601CE"/>
    <w:rsid w:val="008601F5"/>
    <w:rsid w:val="00860217"/>
    <w:rsid w:val="00860279"/>
    <w:rsid w:val="008602D4"/>
    <w:rsid w:val="0086030C"/>
    <w:rsid w:val="0086031A"/>
    <w:rsid w:val="00860323"/>
    <w:rsid w:val="00860328"/>
    <w:rsid w:val="00860366"/>
    <w:rsid w:val="0086037C"/>
    <w:rsid w:val="008603A1"/>
    <w:rsid w:val="008603D8"/>
    <w:rsid w:val="0086040D"/>
    <w:rsid w:val="00860430"/>
    <w:rsid w:val="00860455"/>
    <w:rsid w:val="00860462"/>
    <w:rsid w:val="00860463"/>
    <w:rsid w:val="00860469"/>
    <w:rsid w:val="008604EC"/>
    <w:rsid w:val="008604F7"/>
    <w:rsid w:val="00860572"/>
    <w:rsid w:val="008605B0"/>
    <w:rsid w:val="008605E9"/>
    <w:rsid w:val="008605FA"/>
    <w:rsid w:val="00860600"/>
    <w:rsid w:val="00860602"/>
    <w:rsid w:val="00860606"/>
    <w:rsid w:val="00860617"/>
    <w:rsid w:val="00860670"/>
    <w:rsid w:val="008606D4"/>
    <w:rsid w:val="008606D5"/>
    <w:rsid w:val="0086074A"/>
    <w:rsid w:val="00860762"/>
    <w:rsid w:val="008607E3"/>
    <w:rsid w:val="008607F5"/>
    <w:rsid w:val="00860816"/>
    <w:rsid w:val="0086086D"/>
    <w:rsid w:val="0086089B"/>
    <w:rsid w:val="008608C3"/>
    <w:rsid w:val="00860902"/>
    <w:rsid w:val="0086091A"/>
    <w:rsid w:val="0086092D"/>
    <w:rsid w:val="008609AC"/>
    <w:rsid w:val="008609B1"/>
    <w:rsid w:val="008609B8"/>
    <w:rsid w:val="008609D8"/>
    <w:rsid w:val="00860A19"/>
    <w:rsid w:val="00860A28"/>
    <w:rsid w:val="00860A55"/>
    <w:rsid w:val="00860AC7"/>
    <w:rsid w:val="00860AE1"/>
    <w:rsid w:val="00860B31"/>
    <w:rsid w:val="00860B41"/>
    <w:rsid w:val="00860B43"/>
    <w:rsid w:val="00860B59"/>
    <w:rsid w:val="00860B60"/>
    <w:rsid w:val="00860B96"/>
    <w:rsid w:val="00860BED"/>
    <w:rsid w:val="00860C46"/>
    <w:rsid w:val="00860C79"/>
    <w:rsid w:val="00860C8A"/>
    <w:rsid w:val="00860D1A"/>
    <w:rsid w:val="00860D1E"/>
    <w:rsid w:val="00860E0F"/>
    <w:rsid w:val="00860E56"/>
    <w:rsid w:val="00860E63"/>
    <w:rsid w:val="00860E6F"/>
    <w:rsid w:val="00860E88"/>
    <w:rsid w:val="00860E8F"/>
    <w:rsid w:val="00860EAF"/>
    <w:rsid w:val="00860EB5"/>
    <w:rsid w:val="00860F02"/>
    <w:rsid w:val="00860F45"/>
    <w:rsid w:val="00860FB0"/>
    <w:rsid w:val="00860FE6"/>
    <w:rsid w:val="00861002"/>
    <w:rsid w:val="008610A6"/>
    <w:rsid w:val="008610AE"/>
    <w:rsid w:val="008610B3"/>
    <w:rsid w:val="008610C4"/>
    <w:rsid w:val="008610C9"/>
    <w:rsid w:val="008610FC"/>
    <w:rsid w:val="008610FE"/>
    <w:rsid w:val="00861184"/>
    <w:rsid w:val="00861197"/>
    <w:rsid w:val="0086119A"/>
    <w:rsid w:val="008611DF"/>
    <w:rsid w:val="008611E8"/>
    <w:rsid w:val="0086126E"/>
    <w:rsid w:val="008612E0"/>
    <w:rsid w:val="00861307"/>
    <w:rsid w:val="00861339"/>
    <w:rsid w:val="0086135F"/>
    <w:rsid w:val="00861391"/>
    <w:rsid w:val="008613DA"/>
    <w:rsid w:val="0086145C"/>
    <w:rsid w:val="00861465"/>
    <w:rsid w:val="00861492"/>
    <w:rsid w:val="008614C5"/>
    <w:rsid w:val="0086150A"/>
    <w:rsid w:val="00861540"/>
    <w:rsid w:val="0086157F"/>
    <w:rsid w:val="008615AA"/>
    <w:rsid w:val="008615B3"/>
    <w:rsid w:val="0086163D"/>
    <w:rsid w:val="0086165C"/>
    <w:rsid w:val="008616F0"/>
    <w:rsid w:val="00861703"/>
    <w:rsid w:val="00861758"/>
    <w:rsid w:val="00861797"/>
    <w:rsid w:val="008617BF"/>
    <w:rsid w:val="00861802"/>
    <w:rsid w:val="00861804"/>
    <w:rsid w:val="0086183D"/>
    <w:rsid w:val="0086184F"/>
    <w:rsid w:val="0086186D"/>
    <w:rsid w:val="00861898"/>
    <w:rsid w:val="008618B5"/>
    <w:rsid w:val="008618EC"/>
    <w:rsid w:val="008618F2"/>
    <w:rsid w:val="008618F4"/>
    <w:rsid w:val="008618F6"/>
    <w:rsid w:val="008618FD"/>
    <w:rsid w:val="0086190F"/>
    <w:rsid w:val="0086192D"/>
    <w:rsid w:val="00861939"/>
    <w:rsid w:val="0086193F"/>
    <w:rsid w:val="0086195E"/>
    <w:rsid w:val="00861A2A"/>
    <w:rsid w:val="00861A79"/>
    <w:rsid w:val="00861A8E"/>
    <w:rsid w:val="00861ADE"/>
    <w:rsid w:val="00861B43"/>
    <w:rsid w:val="00861C33"/>
    <w:rsid w:val="00861C69"/>
    <w:rsid w:val="00861C93"/>
    <w:rsid w:val="00861C9F"/>
    <w:rsid w:val="00861CCD"/>
    <w:rsid w:val="00861CD8"/>
    <w:rsid w:val="00861CE7"/>
    <w:rsid w:val="00861D01"/>
    <w:rsid w:val="00861D33"/>
    <w:rsid w:val="00861D3C"/>
    <w:rsid w:val="00861D4B"/>
    <w:rsid w:val="00861D67"/>
    <w:rsid w:val="00861D78"/>
    <w:rsid w:val="00861DB1"/>
    <w:rsid w:val="00861DC1"/>
    <w:rsid w:val="00861DF8"/>
    <w:rsid w:val="00861E05"/>
    <w:rsid w:val="00861E18"/>
    <w:rsid w:val="00861E5A"/>
    <w:rsid w:val="00861E9E"/>
    <w:rsid w:val="00861ED1"/>
    <w:rsid w:val="00861EFC"/>
    <w:rsid w:val="00861F04"/>
    <w:rsid w:val="00861FD2"/>
    <w:rsid w:val="00862037"/>
    <w:rsid w:val="0086205D"/>
    <w:rsid w:val="00862072"/>
    <w:rsid w:val="0086207B"/>
    <w:rsid w:val="008620AF"/>
    <w:rsid w:val="00862112"/>
    <w:rsid w:val="0086215D"/>
    <w:rsid w:val="00862216"/>
    <w:rsid w:val="008622F2"/>
    <w:rsid w:val="00862349"/>
    <w:rsid w:val="00862388"/>
    <w:rsid w:val="00862392"/>
    <w:rsid w:val="008623B5"/>
    <w:rsid w:val="00862445"/>
    <w:rsid w:val="00862463"/>
    <w:rsid w:val="008624FD"/>
    <w:rsid w:val="00862581"/>
    <w:rsid w:val="008625A8"/>
    <w:rsid w:val="008625B5"/>
    <w:rsid w:val="008625D6"/>
    <w:rsid w:val="00862648"/>
    <w:rsid w:val="00862649"/>
    <w:rsid w:val="008626D4"/>
    <w:rsid w:val="0086272F"/>
    <w:rsid w:val="00862735"/>
    <w:rsid w:val="00862743"/>
    <w:rsid w:val="0086278D"/>
    <w:rsid w:val="008627DC"/>
    <w:rsid w:val="008627E6"/>
    <w:rsid w:val="0086284E"/>
    <w:rsid w:val="008628AE"/>
    <w:rsid w:val="008628D9"/>
    <w:rsid w:val="008628F2"/>
    <w:rsid w:val="008629CA"/>
    <w:rsid w:val="00862A81"/>
    <w:rsid w:val="00862AAD"/>
    <w:rsid w:val="00862AC1"/>
    <w:rsid w:val="00862B04"/>
    <w:rsid w:val="00862B21"/>
    <w:rsid w:val="00862B34"/>
    <w:rsid w:val="00862B70"/>
    <w:rsid w:val="00862BC4"/>
    <w:rsid w:val="00862C17"/>
    <w:rsid w:val="00862C87"/>
    <w:rsid w:val="00862D11"/>
    <w:rsid w:val="00862D43"/>
    <w:rsid w:val="00862D7C"/>
    <w:rsid w:val="00862DB1"/>
    <w:rsid w:val="00862DD8"/>
    <w:rsid w:val="00862DD9"/>
    <w:rsid w:val="00862DDD"/>
    <w:rsid w:val="00862DF0"/>
    <w:rsid w:val="00862E0B"/>
    <w:rsid w:val="00862E0F"/>
    <w:rsid w:val="00862E7B"/>
    <w:rsid w:val="00862E8C"/>
    <w:rsid w:val="00862F10"/>
    <w:rsid w:val="00862F2D"/>
    <w:rsid w:val="00862F66"/>
    <w:rsid w:val="00862F6C"/>
    <w:rsid w:val="00862FAD"/>
    <w:rsid w:val="00862FAE"/>
    <w:rsid w:val="00862FCD"/>
    <w:rsid w:val="0086302D"/>
    <w:rsid w:val="00863040"/>
    <w:rsid w:val="00863053"/>
    <w:rsid w:val="0086306F"/>
    <w:rsid w:val="00863084"/>
    <w:rsid w:val="008630BC"/>
    <w:rsid w:val="00863151"/>
    <w:rsid w:val="00863168"/>
    <w:rsid w:val="00863179"/>
    <w:rsid w:val="008631F3"/>
    <w:rsid w:val="00863263"/>
    <w:rsid w:val="0086327E"/>
    <w:rsid w:val="008632BC"/>
    <w:rsid w:val="008632CC"/>
    <w:rsid w:val="008632FE"/>
    <w:rsid w:val="0086330E"/>
    <w:rsid w:val="0086332E"/>
    <w:rsid w:val="00863387"/>
    <w:rsid w:val="008633FE"/>
    <w:rsid w:val="00863417"/>
    <w:rsid w:val="0086346F"/>
    <w:rsid w:val="0086347C"/>
    <w:rsid w:val="008634A8"/>
    <w:rsid w:val="008634B0"/>
    <w:rsid w:val="008634BD"/>
    <w:rsid w:val="008634E8"/>
    <w:rsid w:val="0086350A"/>
    <w:rsid w:val="0086351C"/>
    <w:rsid w:val="0086352F"/>
    <w:rsid w:val="008635B8"/>
    <w:rsid w:val="008635D2"/>
    <w:rsid w:val="00863709"/>
    <w:rsid w:val="00863725"/>
    <w:rsid w:val="008637C2"/>
    <w:rsid w:val="00863839"/>
    <w:rsid w:val="00863888"/>
    <w:rsid w:val="008638DC"/>
    <w:rsid w:val="00863928"/>
    <w:rsid w:val="008639E6"/>
    <w:rsid w:val="00863A04"/>
    <w:rsid w:val="00863A3D"/>
    <w:rsid w:val="00863A4D"/>
    <w:rsid w:val="00863A61"/>
    <w:rsid w:val="00863A69"/>
    <w:rsid w:val="00863AB7"/>
    <w:rsid w:val="00863AF2"/>
    <w:rsid w:val="00863B57"/>
    <w:rsid w:val="00863BE1"/>
    <w:rsid w:val="00863BF4"/>
    <w:rsid w:val="00863BFA"/>
    <w:rsid w:val="00863C19"/>
    <w:rsid w:val="00863C33"/>
    <w:rsid w:val="00863C7F"/>
    <w:rsid w:val="00863CA8"/>
    <w:rsid w:val="00863CAA"/>
    <w:rsid w:val="00863CC6"/>
    <w:rsid w:val="00863D07"/>
    <w:rsid w:val="00863D08"/>
    <w:rsid w:val="00863D69"/>
    <w:rsid w:val="00863D70"/>
    <w:rsid w:val="00863D73"/>
    <w:rsid w:val="00863D7C"/>
    <w:rsid w:val="00863D94"/>
    <w:rsid w:val="00863DDB"/>
    <w:rsid w:val="00863E08"/>
    <w:rsid w:val="00863E23"/>
    <w:rsid w:val="00863E32"/>
    <w:rsid w:val="00863E77"/>
    <w:rsid w:val="00863EC6"/>
    <w:rsid w:val="00863ED5"/>
    <w:rsid w:val="00863EE6"/>
    <w:rsid w:val="00863F19"/>
    <w:rsid w:val="00863F1E"/>
    <w:rsid w:val="00863F32"/>
    <w:rsid w:val="00863F3D"/>
    <w:rsid w:val="00863F55"/>
    <w:rsid w:val="00863FC7"/>
    <w:rsid w:val="0086400F"/>
    <w:rsid w:val="0086405D"/>
    <w:rsid w:val="008640D0"/>
    <w:rsid w:val="0086410D"/>
    <w:rsid w:val="00864140"/>
    <w:rsid w:val="00864141"/>
    <w:rsid w:val="0086415B"/>
    <w:rsid w:val="008641B8"/>
    <w:rsid w:val="008641C4"/>
    <w:rsid w:val="008641DD"/>
    <w:rsid w:val="008641EE"/>
    <w:rsid w:val="00864267"/>
    <w:rsid w:val="00864296"/>
    <w:rsid w:val="008642DD"/>
    <w:rsid w:val="0086432C"/>
    <w:rsid w:val="00864373"/>
    <w:rsid w:val="008643C4"/>
    <w:rsid w:val="0086441B"/>
    <w:rsid w:val="0086441C"/>
    <w:rsid w:val="00864431"/>
    <w:rsid w:val="0086444C"/>
    <w:rsid w:val="00864483"/>
    <w:rsid w:val="008644C2"/>
    <w:rsid w:val="008644F5"/>
    <w:rsid w:val="0086451D"/>
    <w:rsid w:val="00864579"/>
    <w:rsid w:val="008645BC"/>
    <w:rsid w:val="0086463E"/>
    <w:rsid w:val="00864659"/>
    <w:rsid w:val="00864694"/>
    <w:rsid w:val="008646E5"/>
    <w:rsid w:val="008646EB"/>
    <w:rsid w:val="0086473F"/>
    <w:rsid w:val="00864785"/>
    <w:rsid w:val="00864836"/>
    <w:rsid w:val="00864861"/>
    <w:rsid w:val="0086488B"/>
    <w:rsid w:val="00864930"/>
    <w:rsid w:val="00864975"/>
    <w:rsid w:val="008649A8"/>
    <w:rsid w:val="008649D6"/>
    <w:rsid w:val="008649DD"/>
    <w:rsid w:val="008649E7"/>
    <w:rsid w:val="008649FC"/>
    <w:rsid w:val="00864A16"/>
    <w:rsid w:val="00864A56"/>
    <w:rsid w:val="00864A75"/>
    <w:rsid w:val="00864A87"/>
    <w:rsid w:val="00864AB1"/>
    <w:rsid w:val="00864B6E"/>
    <w:rsid w:val="00864B8A"/>
    <w:rsid w:val="00864B92"/>
    <w:rsid w:val="00864C18"/>
    <w:rsid w:val="00864C2A"/>
    <w:rsid w:val="00864C6A"/>
    <w:rsid w:val="00864C6C"/>
    <w:rsid w:val="00864C7F"/>
    <w:rsid w:val="00864C93"/>
    <w:rsid w:val="00864D10"/>
    <w:rsid w:val="00864D16"/>
    <w:rsid w:val="00864D19"/>
    <w:rsid w:val="00864D1A"/>
    <w:rsid w:val="00864D49"/>
    <w:rsid w:val="00864D52"/>
    <w:rsid w:val="00864DCD"/>
    <w:rsid w:val="00864DEB"/>
    <w:rsid w:val="00864DFC"/>
    <w:rsid w:val="00864E91"/>
    <w:rsid w:val="00864EBF"/>
    <w:rsid w:val="00864ECE"/>
    <w:rsid w:val="00864ECF"/>
    <w:rsid w:val="00864F14"/>
    <w:rsid w:val="00864F3D"/>
    <w:rsid w:val="00864F6B"/>
    <w:rsid w:val="00864FC5"/>
    <w:rsid w:val="00864FD4"/>
    <w:rsid w:val="00864FF4"/>
    <w:rsid w:val="00865020"/>
    <w:rsid w:val="0086506F"/>
    <w:rsid w:val="00865075"/>
    <w:rsid w:val="00865089"/>
    <w:rsid w:val="008650A9"/>
    <w:rsid w:val="008650EF"/>
    <w:rsid w:val="00865168"/>
    <w:rsid w:val="00865171"/>
    <w:rsid w:val="00865182"/>
    <w:rsid w:val="008651D5"/>
    <w:rsid w:val="008651EF"/>
    <w:rsid w:val="008651FD"/>
    <w:rsid w:val="0086521D"/>
    <w:rsid w:val="0086524F"/>
    <w:rsid w:val="00865257"/>
    <w:rsid w:val="0086527C"/>
    <w:rsid w:val="008652A7"/>
    <w:rsid w:val="008652AC"/>
    <w:rsid w:val="00865307"/>
    <w:rsid w:val="00865324"/>
    <w:rsid w:val="00865328"/>
    <w:rsid w:val="00865356"/>
    <w:rsid w:val="00865396"/>
    <w:rsid w:val="008653AB"/>
    <w:rsid w:val="00865443"/>
    <w:rsid w:val="008654D2"/>
    <w:rsid w:val="00865529"/>
    <w:rsid w:val="00865565"/>
    <w:rsid w:val="008655DE"/>
    <w:rsid w:val="00865601"/>
    <w:rsid w:val="0086561E"/>
    <w:rsid w:val="00865630"/>
    <w:rsid w:val="0086566D"/>
    <w:rsid w:val="00865671"/>
    <w:rsid w:val="00865673"/>
    <w:rsid w:val="0086569F"/>
    <w:rsid w:val="008656B0"/>
    <w:rsid w:val="008656C3"/>
    <w:rsid w:val="0086571C"/>
    <w:rsid w:val="0086573F"/>
    <w:rsid w:val="008657F0"/>
    <w:rsid w:val="008657FB"/>
    <w:rsid w:val="00865811"/>
    <w:rsid w:val="00865855"/>
    <w:rsid w:val="00865863"/>
    <w:rsid w:val="00865869"/>
    <w:rsid w:val="00865879"/>
    <w:rsid w:val="008658CE"/>
    <w:rsid w:val="00865912"/>
    <w:rsid w:val="0086597D"/>
    <w:rsid w:val="00865984"/>
    <w:rsid w:val="008659C6"/>
    <w:rsid w:val="00865A01"/>
    <w:rsid w:val="00865A48"/>
    <w:rsid w:val="00865AB4"/>
    <w:rsid w:val="00865B5A"/>
    <w:rsid w:val="00865B7D"/>
    <w:rsid w:val="00865BBE"/>
    <w:rsid w:val="00865BFC"/>
    <w:rsid w:val="00865CC2"/>
    <w:rsid w:val="00865CF1"/>
    <w:rsid w:val="00865DAD"/>
    <w:rsid w:val="00865E56"/>
    <w:rsid w:val="00865E76"/>
    <w:rsid w:val="00865E79"/>
    <w:rsid w:val="00865EFE"/>
    <w:rsid w:val="00865EFF"/>
    <w:rsid w:val="00865F2D"/>
    <w:rsid w:val="00865F93"/>
    <w:rsid w:val="00865F9A"/>
    <w:rsid w:val="00865FA8"/>
    <w:rsid w:val="00865FAA"/>
    <w:rsid w:val="00865FE3"/>
    <w:rsid w:val="00866064"/>
    <w:rsid w:val="00866088"/>
    <w:rsid w:val="008660B4"/>
    <w:rsid w:val="00866103"/>
    <w:rsid w:val="00866111"/>
    <w:rsid w:val="0086613F"/>
    <w:rsid w:val="00866175"/>
    <w:rsid w:val="00866185"/>
    <w:rsid w:val="00866199"/>
    <w:rsid w:val="008661A8"/>
    <w:rsid w:val="008661C5"/>
    <w:rsid w:val="008661DB"/>
    <w:rsid w:val="00866269"/>
    <w:rsid w:val="0086626C"/>
    <w:rsid w:val="00866272"/>
    <w:rsid w:val="008662A6"/>
    <w:rsid w:val="008662A7"/>
    <w:rsid w:val="0086634C"/>
    <w:rsid w:val="00866357"/>
    <w:rsid w:val="00866429"/>
    <w:rsid w:val="00866440"/>
    <w:rsid w:val="00866441"/>
    <w:rsid w:val="00866478"/>
    <w:rsid w:val="0086647E"/>
    <w:rsid w:val="00866492"/>
    <w:rsid w:val="0086649F"/>
    <w:rsid w:val="00866540"/>
    <w:rsid w:val="00866550"/>
    <w:rsid w:val="00866552"/>
    <w:rsid w:val="00866591"/>
    <w:rsid w:val="00866611"/>
    <w:rsid w:val="00866620"/>
    <w:rsid w:val="00866639"/>
    <w:rsid w:val="0086663D"/>
    <w:rsid w:val="008666C7"/>
    <w:rsid w:val="008666D9"/>
    <w:rsid w:val="0086672D"/>
    <w:rsid w:val="00866730"/>
    <w:rsid w:val="0086676B"/>
    <w:rsid w:val="008667AD"/>
    <w:rsid w:val="008667C0"/>
    <w:rsid w:val="008667DD"/>
    <w:rsid w:val="008667F0"/>
    <w:rsid w:val="0086684B"/>
    <w:rsid w:val="0086685A"/>
    <w:rsid w:val="00866872"/>
    <w:rsid w:val="0086688E"/>
    <w:rsid w:val="008668BA"/>
    <w:rsid w:val="0086694B"/>
    <w:rsid w:val="008669D1"/>
    <w:rsid w:val="008669E2"/>
    <w:rsid w:val="00866A42"/>
    <w:rsid w:val="00866A65"/>
    <w:rsid w:val="00866ABF"/>
    <w:rsid w:val="00866B19"/>
    <w:rsid w:val="00866B23"/>
    <w:rsid w:val="00866B4B"/>
    <w:rsid w:val="00866BB3"/>
    <w:rsid w:val="00866BCD"/>
    <w:rsid w:val="00866BE4"/>
    <w:rsid w:val="00866C18"/>
    <w:rsid w:val="00866C1D"/>
    <w:rsid w:val="00866C21"/>
    <w:rsid w:val="00866C34"/>
    <w:rsid w:val="00866CAF"/>
    <w:rsid w:val="00866CD2"/>
    <w:rsid w:val="00866D4E"/>
    <w:rsid w:val="00866D83"/>
    <w:rsid w:val="00866DC9"/>
    <w:rsid w:val="00866DFA"/>
    <w:rsid w:val="00866E06"/>
    <w:rsid w:val="00866E34"/>
    <w:rsid w:val="00866E70"/>
    <w:rsid w:val="00866EE9"/>
    <w:rsid w:val="00866EF1"/>
    <w:rsid w:val="00866EF4"/>
    <w:rsid w:val="00866F13"/>
    <w:rsid w:val="00866FB4"/>
    <w:rsid w:val="00866FE9"/>
    <w:rsid w:val="008670D5"/>
    <w:rsid w:val="008670D8"/>
    <w:rsid w:val="00867128"/>
    <w:rsid w:val="0086717E"/>
    <w:rsid w:val="00867267"/>
    <w:rsid w:val="0086726B"/>
    <w:rsid w:val="008672A9"/>
    <w:rsid w:val="0086730F"/>
    <w:rsid w:val="0086731C"/>
    <w:rsid w:val="0086731D"/>
    <w:rsid w:val="0086735D"/>
    <w:rsid w:val="00867395"/>
    <w:rsid w:val="008673AA"/>
    <w:rsid w:val="008673B1"/>
    <w:rsid w:val="008673D1"/>
    <w:rsid w:val="00867421"/>
    <w:rsid w:val="0086742A"/>
    <w:rsid w:val="00867435"/>
    <w:rsid w:val="00867454"/>
    <w:rsid w:val="00867470"/>
    <w:rsid w:val="00867493"/>
    <w:rsid w:val="008674E6"/>
    <w:rsid w:val="008674EB"/>
    <w:rsid w:val="00867501"/>
    <w:rsid w:val="0086751B"/>
    <w:rsid w:val="0086751C"/>
    <w:rsid w:val="00867550"/>
    <w:rsid w:val="00867669"/>
    <w:rsid w:val="0086772F"/>
    <w:rsid w:val="00867890"/>
    <w:rsid w:val="00867978"/>
    <w:rsid w:val="00867990"/>
    <w:rsid w:val="00867991"/>
    <w:rsid w:val="008679A0"/>
    <w:rsid w:val="00867A01"/>
    <w:rsid w:val="00867A40"/>
    <w:rsid w:val="00867A53"/>
    <w:rsid w:val="00867A6A"/>
    <w:rsid w:val="00867A73"/>
    <w:rsid w:val="00867A76"/>
    <w:rsid w:val="00867AD0"/>
    <w:rsid w:val="00867B5A"/>
    <w:rsid w:val="00867B6A"/>
    <w:rsid w:val="00867B8B"/>
    <w:rsid w:val="00867C02"/>
    <w:rsid w:val="00867C0D"/>
    <w:rsid w:val="00867C44"/>
    <w:rsid w:val="00867C4F"/>
    <w:rsid w:val="00867CBD"/>
    <w:rsid w:val="00867CBE"/>
    <w:rsid w:val="00867CED"/>
    <w:rsid w:val="00867D00"/>
    <w:rsid w:val="00867D0D"/>
    <w:rsid w:val="00867D58"/>
    <w:rsid w:val="00867DD0"/>
    <w:rsid w:val="00867DDF"/>
    <w:rsid w:val="00867E16"/>
    <w:rsid w:val="00867E50"/>
    <w:rsid w:val="00867E60"/>
    <w:rsid w:val="00867EA8"/>
    <w:rsid w:val="00867F18"/>
    <w:rsid w:val="00867F63"/>
    <w:rsid w:val="00867F95"/>
    <w:rsid w:val="00867FA1"/>
    <w:rsid w:val="00867FB8"/>
    <w:rsid w:val="00867FE6"/>
    <w:rsid w:val="00870013"/>
    <w:rsid w:val="0087003C"/>
    <w:rsid w:val="00870040"/>
    <w:rsid w:val="008700F5"/>
    <w:rsid w:val="00870119"/>
    <w:rsid w:val="00870148"/>
    <w:rsid w:val="00870171"/>
    <w:rsid w:val="00870193"/>
    <w:rsid w:val="008701CC"/>
    <w:rsid w:val="00870213"/>
    <w:rsid w:val="0087021A"/>
    <w:rsid w:val="00870244"/>
    <w:rsid w:val="00870263"/>
    <w:rsid w:val="00870265"/>
    <w:rsid w:val="00870285"/>
    <w:rsid w:val="00870295"/>
    <w:rsid w:val="008702D7"/>
    <w:rsid w:val="008702E5"/>
    <w:rsid w:val="00870345"/>
    <w:rsid w:val="00870353"/>
    <w:rsid w:val="0087039E"/>
    <w:rsid w:val="008703DA"/>
    <w:rsid w:val="008703EA"/>
    <w:rsid w:val="008703F0"/>
    <w:rsid w:val="0087040D"/>
    <w:rsid w:val="00870417"/>
    <w:rsid w:val="0087046F"/>
    <w:rsid w:val="00870472"/>
    <w:rsid w:val="00870492"/>
    <w:rsid w:val="008704A6"/>
    <w:rsid w:val="008704AF"/>
    <w:rsid w:val="00870515"/>
    <w:rsid w:val="0087052E"/>
    <w:rsid w:val="00870530"/>
    <w:rsid w:val="0087055B"/>
    <w:rsid w:val="00870568"/>
    <w:rsid w:val="0087056F"/>
    <w:rsid w:val="008705B4"/>
    <w:rsid w:val="008705DA"/>
    <w:rsid w:val="008705FA"/>
    <w:rsid w:val="0087063C"/>
    <w:rsid w:val="008706F1"/>
    <w:rsid w:val="00870702"/>
    <w:rsid w:val="00870705"/>
    <w:rsid w:val="00870707"/>
    <w:rsid w:val="00870717"/>
    <w:rsid w:val="0087075F"/>
    <w:rsid w:val="0087076C"/>
    <w:rsid w:val="0087079C"/>
    <w:rsid w:val="00870803"/>
    <w:rsid w:val="00870825"/>
    <w:rsid w:val="0087088D"/>
    <w:rsid w:val="008708AE"/>
    <w:rsid w:val="00870947"/>
    <w:rsid w:val="0087096F"/>
    <w:rsid w:val="00870997"/>
    <w:rsid w:val="008709B1"/>
    <w:rsid w:val="008709C9"/>
    <w:rsid w:val="008709D3"/>
    <w:rsid w:val="00870A08"/>
    <w:rsid w:val="00870B01"/>
    <w:rsid w:val="00870BE6"/>
    <w:rsid w:val="00870C38"/>
    <w:rsid w:val="00870C43"/>
    <w:rsid w:val="00870C6D"/>
    <w:rsid w:val="00870CCA"/>
    <w:rsid w:val="00870D1D"/>
    <w:rsid w:val="00870D2C"/>
    <w:rsid w:val="00870D3B"/>
    <w:rsid w:val="00870D75"/>
    <w:rsid w:val="00870D7A"/>
    <w:rsid w:val="00870D89"/>
    <w:rsid w:val="00870DE3"/>
    <w:rsid w:val="00870E0F"/>
    <w:rsid w:val="00870E10"/>
    <w:rsid w:val="00870E2B"/>
    <w:rsid w:val="00870E97"/>
    <w:rsid w:val="00870E9E"/>
    <w:rsid w:val="00870EA9"/>
    <w:rsid w:val="00870EAA"/>
    <w:rsid w:val="00870F20"/>
    <w:rsid w:val="00870F26"/>
    <w:rsid w:val="00870FC0"/>
    <w:rsid w:val="00870FD5"/>
    <w:rsid w:val="00870FE4"/>
    <w:rsid w:val="00871054"/>
    <w:rsid w:val="0087113B"/>
    <w:rsid w:val="008711B1"/>
    <w:rsid w:val="008711C7"/>
    <w:rsid w:val="008711D0"/>
    <w:rsid w:val="00871221"/>
    <w:rsid w:val="0087135B"/>
    <w:rsid w:val="0087136D"/>
    <w:rsid w:val="0087138F"/>
    <w:rsid w:val="008713CD"/>
    <w:rsid w:val="008713F0"/>
    <w:rsid w:val="008713F1"/>
    <w:rsid w:val="00871439"/>
    <w:rsid w:val="008714CF"/>
    <w:rsid w:val="008714D9"/>
    <w:rsid w:val="00871529"/>
    <w:rsid w:val="00871556"/>
    <w:rsid w:val="00871650"/>
    <w:rsid w:val="008716B3"/>
    <w:rsid w:val="008716E1"/>
    <w:rsid w:val="008716EA"/>
    <w:rsid w:val="0087170E"/>
    <w:rsid w:val="0087172C"/>
    <w:rsid w:val="00871759"/>
    <w:rsid w:val="00871782"/>
    <w:rsid w:val="008717B5"/>
    <w:rsid w:val="008717BD"/>
    <w:rsid w:val="0087186C"/>
    <w:rsid w:val="0087187F"/>
    <w:rsid w:val="0087188E"/>
    <w:rsid w:val="008718BC"/>
    <w:rsid w:val="008718E4"/>
    <w:rsid w:val="008718EE"/>
    <w:rsid w:val="00871906"/>
    <w:rsid w:val="00871989"/>
    <w:rsid w:val="00871997"/>
    <w:rsid w:val="0087199C"/>
    <w:rsid w:val="008719E3"/>
    <w:rsid w:val="008719EF"/>
    <w:rsid w:val="008719F6"/>
    <w:rsid w:val="00871A20"/>
    <w:rsid w:val="00871A37"/>
    <w:rsid w:val="00871A55"/>
    <w:rsid w:val="00871AA1"/>
    <w:rsid w:val="00871AAF"/>
    <w:rsid w:val="00871B1D"/>
    <w:rsid w:val="00871B5D"/>
    <w:rsid w:val="00871B60"/>
    <w:rsid w:val="00871BB8"/>
    <w:rsid w:val="00871BCF"/>
    <w:rsid w:val="00871C1B"/>
    <w:rsid w:val="00871C2B"/>
    <w:rsid w:val="00871C8A"/>
    <w:rsid w:val="00871CA1"/>
    <w:rsid w:val="00871CDF"/>
    <w:rsid w:val="00871D2D"/>
    <w:rsid w:val="00871D8A"/>
    <w:rsid w:val="00871DA0"/>
    <w:rsid w:val="00871E03"/>
    <w:rsid w:val="00871E0D"/>
    <w:rsid w:val="00871E13"/>
    <w:rsid w:val="00871E30"/>
    <w:rsid w:val="00871E3D"/>
    <w:rsid w:val="00871E95"/>
    <w:rsid w:val="00871EA7"/>
    <w:rsid w:val="00871EB6"/>
    <w:rsid w:val="00871ED9"/>
    <w:rsid w:val="00871EE0"/>
    <w:rsid w:val="00871FC8"/>
    <w:rsid w:val="00871FFA"/>
    <w:rsid w:val="0087202F"/>
    <w:rsid w:val="008720B6"/>
    <w:rsid w:val="00872129"/>
    <w:rsid w:val="00872153"/>
    <w:rsid w:val="00872169"/>
    <w:rsid w:val="0087216B"/>
    <w:rsid w:val="00872176"/>
    <w:rsid w:val="008721CC"/>
    <w:rsid w:val="0087228E"/>
    <w:rsid w:val="00872296"/>
    <w:rsid w:val="008722E3"/>
    <w:rsid w:val="008723FD"/>
    <w:rsid w:val="00872426"/>
    <w:rsid w:val="0087247A"/>
    <w:rsid w:val="00872503"/>
    <w:rsid w:val="0087250D"/>
    <w:rsid w:val="00872577"/>
    <w:rsid w:val="0087257F"/>
    <w:rsid w:val="00872580"/>
    <w:rsid w:val="00872581"/>
    <w:rsid w:val="00872594"/>
    <w:rsid w:val="008725C2"/>
    <w:rsid w:val="008725D8"/>
    <w:rsid w:val="008725E8"/>
    <w:rsid w:val="00872681"/>
    <w:rsid w:val="00872697"/>
    <w:rsid w:val="00872711"/>
    <w:rsid w:val="00872752"/>
    <w:rsid w:val="0087277A"/>
    <w:rsid w:val="0087278D"/>
    <w:rsid w:val="00872795"/>
    <w:rsid w:val="00872799"/>
    <w:rsid w:val="008727E1"/>
    <w:rsid w:val="008727EF"/>
    <w:rsid w:val="008727F1"/>
    <w:rsid w:val="00872845"/>
    <w:rsid w:val="008728A3"/>
    <w:rsid w:val="008728EA"/>
    <w:rsid w:val="008728FE"/>
    <w:rsid w:val="00872911"/>
    <w:rsid w:val="0087292A"/>
    <w:rsid w:val="008729B8"/>
    <w:rsid w:val="008729D1"/>
    <w:rsid w:val="00872A1D"/>
    <w:rsid w:val="00872ACA"/>
    <w:rsid w:val="00872B10"/>
    <w:rsid w:val="00872B40"/>
    <w:rsid w:val="00872BEA"/>
    <w:rsid w:val="00872C01"/>
    <w:rsid w:val="00872C6F"/>
    <w:rsid w:val="00872C99"/>
    <w:rsid w:val="00872CA3"/>
    <w:rsid w:val="00872CAA"/>
    <w:rsid w:val="00872D26"/>
    <w:rsid w:val="00872D53"/>
    <w:rsid w:val="00872D6F"/>
    <w:rsid w:val="00872D73"/>
    <w:rsid w:val="00872DA6"/>
    <w:rsid w:val="00872DDF"/>
    <w:rsid w:val="00872E12"/>
    <w:rsid w:val="00872E13"/>
    <w:rsid w:val="00872EBC"/>
    <w:rsid w:val="00872EBE"/>
    <w:rsid w:val="00872F00"/>
    <w:rsid w:val="00872F1A"/>
    <w:rsid w:val="00872F2E"/>
    <w:rsid w:val="00872F4A"/>
    <w:rsid w:val="00872F55"/>
    <w:rsid w:val="00872F90"/>
    <w:rsid w:val="00872FB5"/>
    <w:rsid w:val="00872FF9"/>
    <w:rsid w:val="0087305A"/>
    <w:rsid w:val="00873098"/>
    <w:rsid w:val="008730D1"/>
    <w:rsid w:val="008730EB"/>
    <w:rsid w:val="0087311B"/>
    <w:rsid w:val="0087314A"/>
    <w:rsid w:val="00873163"/>
    <w:rsid w:val="00873193"/>
    <w:rsid w:val="008731DB"/>
    <w:rsid w:val="008731DC"/>
    <w:rsid w:val="008731F6"/>
    <w:rsid w:val="0087321E"/>
    <w:rsid w:val="00873230"/>
    <w:rsid w:val="00873255"/>
    <w:rsid w:val="00873299"/>
    <w:rsid w:val="008732B4"/>
    <w:rsid w:val="008732BD"/>
    <w:rsid w:val="008732CE"/>
    <w:rsid w:val="00873398"/>
    <w:rsid w:val="0087339B"/>
    <w:rsid w:val="008733C9"/>
    <w:rsid w:val="0087345C"/>
    <w:rsid w:val="00873464"/>
    <w:rsid w:val="008734AD"/>
    <w:rsid w:val="008734E1"/>
    <w:rsid w:val="00873536"/>
    <w:rsid w:val="008735F5"/>
    <w:rsid w:val="00873613"/>
    <w:rsid w:val="00873693"/>
    <w:rsid w:val="008736AE"/>
    <w:rsid w:val="008736EB"/>
    <w:rsid w:val="00873732"/>
    <w:rsid w:val="008737A1"/>
    <w:rsid w:val="008737B9"/>
    <w:rsid w:val="008737C6"/>
    <w:rsid w:val="008737CA"/>
    <w:rsid w:val="008737EB"/>
    <w:rsid w:val="0087384E"/>
    <w:rsid w:val="00873881"/>
    <w:rsid w:val="008738A9"/>
    <w:rsid w:val="008738B6"/>
    <w:rsid w:val="00873907"/>
    <w:rsid w:val="0087391F"/>
    <w:rsid w:val="00873943"/>
    <w:rsid w:val="0087394F"/>
    <w:rsid w:val="008739BD"/>
    <w:rsid w:val="00873A30"/>
    <w:rsid w:val="00873A71"/>
    <w:rsid w:val="00873AE6"/>
    <w:rsid w:val="00873B4D"/>
    <w:rsid w:val="00873B70"/>
    <w:rsid w:val="00873B91"/>
    <w:rsid w:val="00873BA1"/>
    <w:rsid w:val="00873BD6"/>
    <w:rsid w:val="00873CD7"/>
    <w:rsid w:val="00873CF8"/>
    <w:rsid w:val="00873CFE"/>
    <w:rsid w:val="00873D30"/>
    <w:rsid w:val="00873D4F"/>
    <w:rsid w:val="00873D90"/>
    <w:rsid w:val="00873DA0"/>
    <w:rsid w:val="00873E1E"/>
    <w:rsid w:val="00873E5B"/>
    <w:rsid w:val="00873E6F"/>
    <w:rsid w:val="00873E7D"/>
    <w:rsid w:val="00873E88"/>
    <w:rsid w:val="00873E93"/>
    <w:rsid w:val="00873EE6"/>
    <w:rsid w:val="00873F36"/>
    <w:rsid w:val="00873FA3"/>
    <w:rsid w:val="00873FC7"/>
    <w:rsid w:val="00873FDA"/>
    <w:rsid w:val="00873FEB"/>
    <w:rsid w:val="00873FFF"/>
    <w:rsid w:val="00874032"/>
    <w:rsid w:val="00874074"/>
    <w:rsid w:val="008740AB"/>
    <w:rsid w:val="008740AC"/>
    <w:rsid w:val="008740C3"/>
    <w:rsid w:val="00874136"/>
    <w:rsid w:val="0087419E"/>
    <w:rsid w:val="0087423C"/>
    <w:rsid w:val="00874271"/>
    <w:rsid w:val="0087427C"/>
    <w:rsid w:val="0087428B"/>
    <w:rsid w:val="008742D3"/>
    <w:rsid w:val="008742D6"/>
    <w:rsid w:val="008742F2"/>
    <w:rsid w:val="00874306"/>
    <w:rsid w:val="00874356"/>
    <w:rsid w:val="00874373"/>
    <w:rsid w:val="0087437B"/>
    <w:rsid w:val="008743B0"/>
    <w:rsid w:val="008743BE"/>
    <w:rsid w:val="008743DC"/>
    <w:rsid w:val="0087441C"/>
    <w:rsid w:val="0087446E"/>
    <w:rsid w:val="008744A4"/>
    <w:rsid w:val="008744AD"/>
    <w:rsid w:val="008744C5"/>
    <w:rsid w:val="008744D8"/>
    <w:rsid w:val="008744EB"/>
    <w:rsid w:val="00874513"/>
    <w:rsid w:val="00874565"/>
    <w:rsid w:val="008745AB"/>
    <w:rsid w:val="008745B1"/>
    <w:rsid w:val="008745C7"/>
    <w:rsid w:val="00874608"/>
    <w:rsid w:val="00874632"/>
    <w:rsid w:val="00874674"/>
    <w:rsid w:val="00874679"/>
    <w:rsid w:val="008746AC"/>
    <w:rsid w:val="008746D1"/>
    <w:rsid w:val="008746D5"/>
    <w:rsid w:val="008746E1"/>
    <w:rsid w:val="00874725"/>
    <w:rsid w:val="008747B0"/>
    <w:rsid w:val="008747C6"/>
    <w:rsid w:val="008747F3"/>
    <w:rsid w:val="00874830"/>
    <w:rsid w:val="0087485B"/>
    <w:rsid w:val="0087485C"/>
    <w:rsid w:val="0087485D"/>
    <w:rsid w:val="0087486D"/>
    <w:rsid w:val="0087487D"/>
    <w:rsid w:val="0087489E"/>
    <w:rsid w:val="008748D4"/>
    <w:rsid w:val="008748F0"/>
    <w:rsid w:val="0087496F"/>
    <w:rsid w:val="008749CB"/>
    <w:rsid w:val="00874A18"/>
    <w:rsid w:val="00874A4E"/>
    <w:rsid w:val="00874A7C"/>
    <w:rsid w:val="00874AB4"/>
    <w:rsid w:val="00874AF2"/>
    <w:rsid w:val="00874B10"/>
    <w:rsid w:val="00874B52"/>
    <w:rsid w:val="00874B8B"/>
    <w:rsid w:val="00874B96"/>
    <w:rsid w:val="00874BBD"/>
    <w:rsid w:val="00874BD8"/>
    <w:rsid w:val="00874BDA"/>
    <w:rsid w:val="00874BEF"/>
    <w:rsid w:val="00874BF5"/>
    <w:rsid w:val="00874C09"/>
    <w:rsid w:val="00874C14"/>
    <w:rsid w:val="00874D2B"/>
    <w:rsid w:val="00874D53"/>
    <w:rsid w:val="00874D7B"/>
    <w:rsid w:val="00874D8C"/>
    <w:rsid w:val="00874E1D"/>
    <w:rsid w:val="00874E73"/>
    <w:rsid w:val="00874EB1"/>
    <w:rsid w:val="00874EF2"/>
    <w:rsid w:val="00874F06"/>
    <w:rsid w:val="00874F28"/>
    <w:rsid w:val="00874F4D"/>
    <w:rsid w:val="00874F4F"/>
    <w:rsid w:val="00874F5C"/>
    <w:rsid w:val="00874F9A"/>
    <w:rsid w:val="00874FAF"/>
    <w:rsid w:val="00874FB2"/>
    <w:rsid w:val="00875006"/>
    <w:rsid w:val="008750FD"/>
    <w:rsid w:val="0087511B"/>
    <w:rsid w:val="00875126"/>
    <w:rsid w:val="0087512C"/>
    <w:rsid w:val="0087512F"/>
    <w:rsid w:val="0087517E"/>
    <w:rsid w:val="00875199"/>
    <w:rsid w:val="008751B7"/>
    <w:rsid w:val="0087523E"/>
    <w:rsid w:val="00875253"/>
    <w:rsid w:val="0087529A"/>
    <w:rsid w:val="008752AD"/>
    <w:rsid w:val="0087533C"/>
    <w:rsid w:val="00875359"/>
    <w:rsid w:val="008753D9"/>
    <w:rsid w:val="00875418"/>
    <w:rsid w:val="00875432"/>
    <w:rsid w:val="0087544C"/>
    <w:rsid w:val="00875496"/>
    <w:rsid w:val="00875557"/>
    <w:rsid w:val="00875578"/>
    <w:rsid w:val="0087559F"/>
    <w:rsid w:val="008755B4"/>
    <w:rsid w:val="008755B7"/>
    <w:rsid w:val="008755DD"/>
    <w:rsid w:val="00875612"/>
    <w:rsid w:val="00875689"/>
    <w:rsid w:val="008756B1"/>
    <w:rsid w:val="008756BF"/>
    <w:rsid w:val="008756E2"/>
    <w:rsid w:val="00875766"/>
    <w:rsid w:val="00875769"/>
    <w:rsid w:val="00875778"/>
    <w:rsid w:val="0087579C"/>
    <w:rsid w:val="008757B8"/>
    <w:rsid w:val="008757CF"/>
    <w:rsid w:val="008758C5"/>
    <w:rsid w:val="00875922"/>
    <w:rsid w:val="00875990"/>
    <w:rsid w:val="008759AA"/>
    <w:rsid w:val="008759E1"/>
    <w:rsid w:val="00875A9A"/>
    <w:rsid w:val="00875AF8"/>
    <w:rsid w:val="00875B7E"/>
    <w:rsid w:val="00875BD6"/>
    <w:rsid w:val="00875C51"/>
    <w:rsid w:val="00875C60"/>
    <w:rsid w:val="00875C9B"/>
    <w:rsid w:val="00875CB9"/>
    <w:rsid w:val="00875CE2"/>
    <w:rsid w:val="00875DD1"/>
    <w:rsid w:val="00875DFF"/>
    <w:rsid w:val="00875E14"/>
    <w:rsid w:val="00875E17"/>
    <w:rsid w:val="00875E49"/>
    <w:rsid w:val="00875ED0"/>
    <w:rsid w:val="00875F49"/>
    <w:rsid w:val="00875F75"/>
    <w:rsid w:val="00875FBB"/>
    <w:rsid w:val="0087600A"/>
    <w:rsid w:val="00876025"/>
    <w:rsid w:val="00876055"/>
    <w:rsid w:val="00876091"/>
    <w:rsid w:val="008760E2"/>
    <w:rsid w:val="00876135"/>
    <w:rsid w:val="00876139"/>
    <w:rsid w:val="0087617D"/>
    <w:rsid w:val="008761C4"/>
    <w:rsid w:val="0087620F"/>
    <w:rsid w:val="00876241"/>
    <w:rsid w:val="0087624B"/>
    <w:rsid w:val="00876252"/>
    <w:rsid w:val="008762B5"/>
    <w:rsid w:val="00876346"/>
    <w:rsid w:val="0087635C"/>
    <w:rsid w:val="0087638F"/>
    <w:rsid w:val="00876445"/>
    <w:rsid w:val="0087644E"/>
    <w:rsid w:val="00876493"/>
    <w:rsid w:val="008764AC"/>
    <w:rsid w:val="00876501"/>
    <w:rsid w:val="0087651E"/>
    <w:rsid w:val="00876530"/>
    <w:rsid w:val="00876554"/>
    <w:rsid w:val="00876565"/>
    <w:rsid w:val="008765B2"/>
    <w:rsid w:val="008765C4"/>
    <w:rsid w:val="00876612"/>
    <w:rsid w:val="00876645"/>
    <w:rsid w:val="008766DF"/>
    <w:rsid w:val="0087671A"/>
    <w:rsid w:val="00876749"/>
    <w:rsid w:val="0087676E"/>
    <w:rsid w:val="0087677E"/>
    <w:rsid w:val="008767B4"/>
    <w:rsid w:val="008767BF"/>
    <w:rsid w:val="008767E3"/>
    <w:rsid w:val="0087683C"/>
    <w:rsid w:val="00876860"/>
    <w:rsid w:val="0087686B"/>
    <w:rsid w:val="0087688C"/>
    <w:rsid w:val="008768CE"/>
    <w:rsid w:val="008768F5"/>
    <w:rsid w:val="00876905"/>
    <w:rsid w:val="00876917"/>
    <w:rsid w:val="0087695E"/>
    <w:rsid w:val="00876979"/>
    <w:rsid w:val="00876988"/>
    <w:rsid w:val="008769B8"/>
    <w:rsid w:val="00876A7A"/>
    <w:rsid w:val="00876A84"/>
    <w:rsid w:val="00876A8E"/>
    <w:rsid w:val="00876A92"/>
    <w:rsid w:val="00876AAD"/>
    <w:rsid w:val="00876B36"/>
    <w:rsid w:val="00876B58"/>
    <w:rsid w:val="00876BE2"/>
    <w:rsid w:val="00876C0D"/>
    <w:rsid w:val="00876C39"/>
    <w:rsid w:val="00876C42"/>
    <w:rsid w:val="00876C58"/>
    <w:rsid w:val="00876CD3"/>
    <w:rsid w:val="00876D35"/>
    <w:rsid w:val="00876D54"/>
    <w:rsid w:val="00876D80"/>
    <w:rsid w:val="00876D9F"/>
    <w:rsid w:val="00876DCE"/>
    <w:rsid w:val="00876DD6"/>
    <w:rsid w:val="00876DE7"/>
    <w:rsid w:val="00876E03"/>
    <w:rsid w:val="00876E34"/>
    <w:rsid w:val="00876E46"/>
    <w:rsid w:val="00876E74"/>
    <w:rsid w:val="00876E8D"/>
    <w:rsid w:val="00876E9F"/>
    <w:rsid w:val="00876EC6"/>
    <w:rsid w:val="00876F07"/>
    <w:rsid w:val="00876F19"/>
    <w:rsid w:val="00876F2B"/>
    <w:rsid w:val="00876FC9"/>
    <w:rsid w:val="00876FFB"/>
    <w:rsid w:val="00877001"/>
    <w:rsid w:val="0087700F"/>
    <w:rsid w:val="0087701C"/>
    <w:rsid w:val="008770D7"/>
    <w:rsid w:val="008770E7"/>
    <w:rsid w:val="008770F6"/>
    <w:rsid w:val="00877126"/>
    <w:rsid w:val="00877179"/>
    <w:rsid w:val="00877192"/>
    <w:rsid w:val="0087720B"/>
    <w:rsid w:val="00877255"/>
    <w:rsid w:val="00877280"/>
    <w:rsid w:val="008772F0"/>
    <w:rsid w:val="00877324"/>
    <w:rsid w:val="0087738E"/>
    <w:rsid w:val="0087739C"/>
    <w:rsid w:val="008773BA"/>
    <w:rsid w:val="008773F8"/>
    <w:rsid w:val="00877410"/>
    <w:rsid w:val="00877467"/>
    <w:rsid w:val="0087748A"/>
    <w:rsid w:val="00877498"/>
    <w:rsid w:val="008774AD"/>
    <w:rsid w:val="0087752C"/>
    <w:rsid w:val="00877561"/>
    <w:rsid w:val="0087759D"/>
    <w:rsid w:val="008775B1"/>
    <w:rsid w:val="008775D8"/>
    <w:rsid w:val="00877675"/>
    <w:rsid w:val="0087770A"/>
    <w:rsid w:val="00877721"/>
    <w:rsid w:val="008777BA"/>
    <w:rsid w:val="008777BC"/>
    <w:rsid w:val="008777C8"/>
    <w:rsid w:val="00877810"/>
    <w:rsid w:val="0087782B"/>
    <w:rsid w:val="00877836"/>
    <w:rsid w:val="0087786A"/>
    <w:rsid w:val="00877878"/>
    <w:rsid w:val="00877897"/>
    <w:rsid w:val="0087791D"/>
    <w:rsid w:val="0087793D"/>
    <w:rsid w:val="0087796C"/>
    <w:rsid w:val="008779D2"/>
    <w:rsid w:val="008779F3"/>
    <w:rsid w:val="00877A03"/>
    <w:rsid w:val="00877A68"/>
    <w:rsid w:val="00877AB6"/>
    <w:rsid w:val="00877AED"/>
    <w:rsid w:val="00877B1C"/>
    <w:rsid w:val="00877B36"/>
    <w:rsid w:val="00877B84"/>
    <w:rsid w:val="00877B85"/>
    <w:rsid w:val="00877B92"/>
    <w:rsid w:val="00877BAB"/>
    <w:rsid w:val="00877BB5"/>
    <w:rsid w:val="00877BCF"/>
    <w:rsid w:val="00877BE9"/>
    <w:rsid w:val="00877C0F"/>
    <w:rsid w:val="00877C4D"/>
    <w:rsid w:val="00877C59"/>
    <w:rsid w:val="00877C5F"/>
    <w:rsid w:val="00877CC8"/>
    <w:rsid w:val="00877CDA"/>
    <w:rsid w:val="00877CF0"/>
    <w:rsid w:val="00877D25"/>
    <w:rsid w:val="00877D41"/>
    <w:rsid w:val="00877D99"/>
    <w:rsid w:val="00877DC2"/>
    <w:rsid w:val="00877E00"/>
    <w:rsid w:val="00877E16"/>
    <w:rsid w:val="00877E3F"/>
    <w:rsid w:val="00877EB3"/>
    <w:rsid w:val="00877EF9"/>
    <w:rsid w:val="00877F20"/>
    <w:rsid w:val="00877F2C"/>
    <w:rsid w:val="00877F96"/>
    <w:rsid w:val="00877FB9"/>
    <w:rsid w:val="00877FC3"/>
    <w:rsid w:val="00877FE6"/>
    <w:rsid w:val="00880014"/>
    <w:rsid w:val="00880065"/>
    <w:rsid w:val="008800A2"/>
    <w:rsid w:val="008800E8"/>
    <w:rsid w:val="00880112"/>
    <w:rsid w:val="00880176"/>
    <w:rsid w:val="008801B6"/>
    <w:rsid w:val="008801C2"/>
    <w:rsid w:val="00880214"/>
    <w:rsid w:val="0088021A"/>
    <w:rsid w:val="0088026D"/>
    <w:rsid w:val="008802CE"/>
    <w:rsid w:val="008802DC"/>
    <w:rsid w:val="00880305"/>
    <w:rsid w:val="0088036A"/>
    <w:rsid w:val="008803C1"/>
    <w:rsid w:val="008803CB"/>
    <w:rsid w:val="008803E0"/>
    <w:rsid w:val="00880439"/>
    <w:rsid w:val="008804F6"/>
    <w:rsid w:val="0088051F"/>
    <w:rsid w:val="008805D6"/>
    <w:rsid w:val="00880620"/>
    <w:rsid w:val="00880633"/>
    <w:rsid w:val="00880650"/>
    <w:rsid w:val="00880669"/>
    <w:rsid w:val="008806C6"/>
    <w:rsid w:val="008806FA"/>
    <w:rsid w:val="0088071C"/>
    <w:rsid w:val="00880759"/>
    <w:rsid w:val="0088076E"/>
    <w:rsid w:val="008807CA"/>
    <w:rsid w:val="008807EE"/>
    <w:rsid w:val="00880818"/>
    <w:rsid w:val="00880846"/>
    <w:rsid w:val="0088084B"/>
    <w:rsid w:val="0088085F"/>
    <w:rsid w:val="00880879"/>
    <w:rsid w:val="00880893"/>
    <w:rsid w:val="008808CC"/>
    <w:rsid w:val="008808FC"/>
    <w:rsid w:val="0088094A"/>
    <w:rsid w:val="00880960"/>
    <w:rsid w:val="00880996"/>
    <w:rsid w:val="00880A2B"/>
    <w:rsid w:val="00880A57"/>
    <w:rsid w:val="00880AC8"/>
    <w:rsid w:val="00880AE4"/>
    <w:rsid w:val="00880AF9"/>
    <w:rsid w:val="00880C23"/>
    <w:rsid w:val="00880C4C"/>
    <w:rsid w:val="00880CCC"/>
    <w:rsid w:val="00880CD4"/>
    <w:rsid w:val="00880D2A"/>
    <w:rsid w:val="00880D45"/>
    <w:rsid w:val="00880D65"/>
    <w:rsid w:val="00880DFF"/>
    <w:rsid w:val="00880E24"/>
    <w:rsid w:val="00880E3E"/>
    <w:rsid w:val="00880EB5"/>
    <w:rsid w:val="00880EC7"/>
    <w:rsid w:val="00880F2A"/>
    <w:rsid w:val="00880F7F"/>
    <w:rsid w:val="00880FC9"/>
    <w:rsid w:val="00881046"/>
    <w:rsid w:val="00881074"/>
    <w:rsid w:val="008810B7"/>
    <w:rsid w:val="008810BF"/>
    <w:rsid w:val="008810C5"/>
    <w:rsid w:val="008810C7"/>
    <w:rsid w:val="008810CD"/>
    <w:rsid w:val="00881264"/>
    <w:rsid w:val="008812A1"/>
    <w:rsid w:val="008812AB"/>
    <w:rsid w:val="008812F2"/>
    <w:rsid w:val="00881304"/>
    <w:rsid w:val="0088131D"/>
    <w:rsid w:val="0088135A"/>
    <w:rsid w:val="00881371"/>
    <w:rsid w:val="00881384"/>
    <w:rsid w:val="00881431"/>
    <w:rsid w:val="00881494"/>
    <w:rsid w:val="008814D5"/>
    <w:rsid w:val="00881506"/>
    <w:rsid w:val="0088152D"/>
    <w:rsid w:val="00881541"/>
    <w:rsid w:val="0088158B"/>
    <w:rsid w:val="008815AA"/>
    <w:rsid w:val="008815F4"/>
    <w:rsid w:val="008815FC"/>
    <w:rsid w:val="00881624"/>
    <w:rsid w:val="00881649"/>
    <w:rsid w:val="0088166D"/>
    <w:rsid w:val="00881755"/>
    <w:rsid w:val="0088175F"/>
    <w:rsid w:val="0088178C"/>
    <w:rsid w:val="008817C8"/>
    <w:rsid w:val="008817DC"/>
    <w:rsid w:val="00881819"/>
    <w:rsid w:val="00881893"/>
    <w:rsid w:val="0088194B"/>
    <w:rsid w:val="008819DE"/>
    <w:rsid w:val="008819F3"/>
    <w:rsid w:val="00881A2D"/>
    <w:rsid w:val="00881A9E"/>
    <w:rsid w:val="00881AA4"/>
    <w:rsid w:val="00881AE7"/>
    <w:rsid w:val="00881B9D"/>
    <w:rsid w:val="00881BC0"/>
    <w:rsid w:val="00881BF7"/>
    <w:rsid w:val="00881C14"/>
    <w:rsid w:val="00881C38"/>
    <w:rsid w:val="00881C57"/>
    <w:rsid w:val="00881C5D"/>
    <w:rsid w:val="00881C82"/>
    <w:rsid w:val="00881CA5"/>
    <w:rsid w:val="00881CCE"/>
    <w:rsid w:val="00881D05"/>
    <w:rsid w:val="00881D59"/>
    <w:rsid w:val="00881D84"/>
    <w:rsid w:val="00881DA4"/>
    <w:rsid w:val="00881DE7"/>
    <w:rsid w:val="00881DE9"/>
    <w:rsid w:val="00881DEA"/>
    <w:rsid w:val="00881E09"/>
    <w:rsid w:val="00881E2F"/>
    <w:rsid w:val="00881EAD"/>
    <w:rsid w:val="00881EAF"/>
    <w:rsid w:val="00881EB9"/>
    <w:rsid w:val="00881F39"/>
    <w:rsid w:val="00881F53"/>
    <w:rsid w:val="00881F56"/>
    <w:rsid w:val="00881FB7"/>
    <w:rsid w:val="00881FBF"/>
    <w:rsid w:val="00881FC5"/>
    <w:rsid w:val="00881FD9"/>
    <w:rsid w:val="00881FF1"/>
    <w:rsid w:val="00882001"/>
    <w:rsid w:val="0088206C"/>
    <w:rsid w:val="008820DA"/>
    <w:rsid w:val="00882150"/>
    <w:rsid w:val="00882177"/>
    <w:rsid w:val="008821CB"/>
    <w:rsid w:val="008821F5"/>
    <w:rsid w:val="0088220C"/>
    <w:rsid w:val="00882227"/>
    <w:rsid w:val="008822B4"/>
    <w:rsid w:val="008822E6"/>
    <w:rsid w:val="00882305"/>
    <w:rsid w:val="00882310"/>
    <w:rsid w:val="00882322"/>
    <w:rsid w:val="00882374"/>
    <w:rsid w:val="00882376"/>
    <w:rsid w:val="0088238A"/>
    <w:rsid w:val="0088239E"/>
    <w:rsid w:val="008823AE"/>
    <w:rsid w:val="008823B7"/>
    <w:rsid w:val="008823D0"/>
    <w:rsid w:val="00882423"/>
    <w:rsid w:val="008824A9"/>
    <w:rsid w:val="008824AF"/>
    <w:rsid w:val="008824C6"/>
    <w:rsid w:val="008824F8"/>
    <w:rsid w:val="00882552"/>
    <w:rsid w:val="0088257A"/>
    <w:rsid w:val="00882582"/>
    <w:rsid w:val="008825BE"/>
    <w:rsid w:val="008825C7"/>
    <w:rsid w:val="008825D3"/>
    <w:rsid w:val="00882612"/>
    <w:rsid w:val="00882623"/>
    <w:rsid w:val="00882656"/>
    <w:rsid w:val="0088269C"/>
    <w:rsid w:val="008826AA"/>
    <w:rsid w:val="008826DF"/>
    <w:rsid w:val="00882703"/>
    <w:rsid w:val="008827CD"/>
    <w:rsid w:val="0088286D"/>
    <w:rsid w:val="00882891"/>
    <w:rsid w:val="008828AE"/>
    <w:rsid w:val="0088296A"/>
    <w:rsid w:val="00882994"/>
    <w:rsid w:val="008829B2"/>
    <w:rsid w:val="008829C0"/>
    <w:rsid w:val="00882A02"/>
    <w:rsid w:val="00882A0B"/>
    <w:rsid w:val="00882A5E"/>
    <w:rsid w:val="00882A68"/>
    <w:rsid w:val="00882A76"/>
    <w:rsid w:val="00882AE3"/>
    <w:rsid w:val="00882B0C"/>
    <w:rsid w:val="00882B46"/>
    <w:rsid w:val="00882BD8"/>
    <w:rsid w:val="00882BDB"/>
    <w:rsid w:val="00882BDE"/>
    <w:rsid w:val="00882C34"/>
    <w:rsid w:val="00882C6C"/>
    <w:rsid w:val="00882CF0"/>
    <w:rsid w:val="00882CFD"/>
    <w:rsid w:val="00882D32"/>
    <w:rsid w:val="00882DFC"/>
    <w:rsid w:val="00882DFE"/>
    <w:rsid w:val="00882E80"/>
    <w:rsid w:val="00882F8E"/>
    <w:rsid w:val="00882FC8"/>
    <w:rsid w:val="0088302B"/>
    <w:rsid w:val="00883060"/>
    <w:rsid w:val="008830A7"/>
    <w:rsid w:val="008830BD"/>
    <w:rsid w:val="00883143"/>
    <w:rsid w:val="00883156"/>
    <w:rsid w:val="00883170"/>
    <w:rsid w:val="00883189"/>
    <w:rsid w:val="008831E4"/>
    <w:rsid w:val="00883217"/>
    <w:rsid w:val="008832BC"/>
    <w:rsid w:val="008832DF"/>
    <w:rsid w:val="00883303"/>
    <w:rsid w:val="00883321"/>
    <w:rsid w:val="0088338B"/>
    <w:rsid w:val="008833FA"/>
    <w:rsid w:val="00883400"/>
    <w:rsid w:val="00883415"/>
    <w:rsid w:val="00883463"/>
    <w:rsid w:val="00883468"/>
    <w:rsid w:val="0088355B"/>
    <w:rsid w:val="00883673"/>
    <w:rsid w:val="00883679"/>
    <w:rsid w:val="008836C8"/>
    <w:rsid w:val="008836DB"/>
    <w:rsid w:val="0088372E"/>
    <w:rsid w:val="00883741"/>
    <w:rsid w:val="0088375A"/>
    <w:rsid w:val="00883808"/>
    <w:rsid w:val="00883842"/>
    <w:rsid w:val="00883908"/>
    <w:rsid w:val="0088395F"/>
    <w:rsid w:val="00883979"/>
    <w:rsid w:val="0088398E"/>
    <w:rsid w:val="008839C7"/>
    <w:rsid w:val="008839C8"/>
    <w:rsid w:val="00883A1A"/>
    <w:rsid w:val="00883AF5"/>
    <w:rsid w:val="00883B3B"/>
    <w:rsid w:val="00883B9A"/>
    <w:rsid w:val="00883BA6"/>
    <w:rsid w:val="00883BAB"/>
    <w:rsid w:val="00883BEE"/>
    <w:rsid w:val="00883C0B"/>
    <w:rsid w:val="00883C0E"/>
    <w:rsid w:val="00883C41"/>
    <w:rsid w:val="00883D06"/>
    <w:rsid w:val="00883D16"/>
    <w:rsid w:val="00883D5C"/>
    <w:rsid w:val="00883E44"/>
    <w:rsid w:val="00883E50"/>
    <w:rsid w:val="00883E65"/>
    <w:rsid w:val="00883ECD"/>
    <w:rsid w:val="00883ED9"/>
    <w:rsid w:val="00883EE5"/>
    <w:rsid w:val="00883F2D"/>
    <w:rsid w:val="0088404E"/>
    <w:rsid w:val="00884070"/>
    <w:rsid w:val="0088409D"/>
    <w:rsid w:val="008840E9"/>
    <w:rsid w:val="008840F6"/>
    <w:rsid w:val="00884149"/>
    <w:rsid w:val="008841BC"/>
    <w:rsid w:val="008841F5"/>
    <w:rsid w:val="0088420F"/>
    <w:rsid w:val="00884239"/>
    <w:rsid w:val="008842C8"/>
    <w:rsid w:val="0088433F"/>
    <w:rsid w:val="00884358"/>
    <w:rsid w:val="00884428"/>
    <w:rsid w:val="00884452"/>
    <w:rsid w:val="00884455"/>
    <w:rsid w:val="00884464"/>
    <w:rsid w:val="0088448A"/>
    <w:rsid w:val="008844EE"/>
    <w:rsid w:val="008844EF"/>
    <w:rsid w:val="00884529"/>
    <w:rsid w:val="00884557"/>
    <w:rsid w:val="00884566"/>
    <w:rsid w:val="0088456A"/>
    <w:rsid w:val="0088456F"/>
    <w:rsid w:val="008845AF"/>
    <w:rsid w:val="00884655"/>
    <w:rsid w:val="0088469E"/>
    <w:rsid w:val="008846D3"/>
    <w:rsid w:val="00884743"/>
    <w:rsid w:val="0088474A"/>
    <w:rsid w:val="00884786"/>
    <w:rsid w:val="008847A5"/>
    <w:rsid w:val="00884811"/>
    <w:rsid w:val="00884824"/>
    <w:rsid w:val="008848A8"/>
    <w:rsid w:val="008848AB"/>
    <w:rsid w:val="008848B5"/>
    <w:rsid w:val="008848D6"/>
    <w:rsid w:val="008848E1"/>
    <w:rsid w:val="0088492D"/>
    <w:rsid w:val="00884956"/>
    <w:rsid w:val="008849A8"/>
    <w:rsid w:val="00884A26"/>
    <w:rsid w:val="00884AAF"/>
    <w:rsid w:val="00884AD5"/>
    <w:rsid w:val="00884ADF"/>
    <w:rsid w:val="00884AE5"/>
    <w:rsid w:val="00884AF9"/>
    <w:rsid w:val="00884B73"/>
    <w:rsid w:val="00884B8E"/>
    <w:rsid w:val="00884BC3"/>
    <w:rsid w:val="00884BCF"/>
    <w:rsid w:val="00884BD1"/>
    <w:rsid w:val="00884BD8"/>
    <w:rsid w:val="00884C44"/>
    <w:rsid w:val="00884C87"/>
    <w:rsid w:val="00884CBA"/>
    <w:rsid w:val="00884D1C"/>
    <w:rsid w:val="00884D24"/>
    <w:rsid w:val="00884D51"/>
    <w:rsid w:val="00884D87"/>
    <w:rsid w:val="00884DAA"/>
    <w:rsid w:val="00884DBC"/>
    <w:rsid w:val="00884DBD"/>
    <w:rsid w:val="00884E0A"/>
    <w:rsid w:val="00884E10"/>
    <w:rsid w:val="00884E38"/>
    <w:rsid w:val="00884E52"/>
    <w:rsid w:val="00884EB4"/>
    <w:rsid w:val="00884EE9"/>
    <w:rsid w:val="00884F1C"/>
    <w:rsid w:val="00884F20"/>
    <w:rsid w:val="00884F39"/>
    <w:rsid w:val="00884F89"/>
    <w:rsid w:val="00884FEC"/>
    <w:rsid w:val="00884FF3"/>
    <w:rsid w:val="00885040"/>
    <w:rsid w:val="00885075"/>
    <w:rsid w:val="00885085"/>
    <w:rsid w:val="0088508A"/>
    <w:rsid w:val="008850AF"/>
    <w:rsid w:val="008850B0"/>
    <w:rsid w:val="008850C2"/>
    <w:rsid w:val="008850DC"/>
    <w:rsid w:val="00885136"/>
    <w:rsid w:val="0088515E"/>
    <w:rsid w:val="008851B1"/>
    <w:rsid w:val="008851D1"/>
    <w:rsid w:val="00885205"/>
    <w:rsid w:val="00885239"/>
    <w:rsid w:val="0088528F"/>
    <w:rsid w:val="008852A0"/>
    <w:rsid w:val="008852D8"/>
    <w:rsid w:val="0088530B"/>
    <w:rsid w:val="0088532D"/>
    <w:rsid w:val="008853A4"/>
    <w:rsid w:val="008853C6"/>
    <w:rsid w:val="0088541C"/>
    <w:rsid w:val="0088541E"/>
    <w:rsid w:val="0088549B"/>
    <w:rsid w:val="008854DD"/>
    <w:rsid w:val="008854FD"/>
    <w:rsid w:val="00885529"/>
    <w:rsid w:val="00885545"/>
    <w:rsid w:val="00885548"/>
    <w:rsid w:val="0088556F"/>
    <w:rsid w:val="00885594"/>
    <w:rsid w:val="00885598"/>
    <w:rsid w:val="0088568B"/>
    <w:rsid w:val="008856DA"/>
    <w:rsid w:val="008856ED"/>
    <w:rsid w:val="00885754"/>
    <w:rsid w:val="00885776"/>
    <w:rsid w:val="008857B5"/>
    <w:rsid w:val="00885809"/>
    <w:rsid w:val="00885838"/>
    <w:rsid w:val="0088587E"/>
    <w:rsid w:val="008858ED"/>
    <w:rsid w:val="00885901"/>
    <w:rsid w:val="00885912"/>
    <w:rsid w:val="0088592A"/>
    <w:rsid w:val="0088597D"/>
    <w:rsid w:val="0088599A"/>
    <w:rsid w:val="008859AE"/>
    <w:rsid w:val="008859CF"/>
    <w:rsid w:val="008859FF"/>
    <w:rsid w:val="00885A1A"/>
    <w:rsid w:val="00885A3C"/>
    <w:rsid w:val="00885A3D"/>
    <w:rsid w:val="00885A48"/>
    <w:rsid w:val="00885A49"/>
    <w:rsid w:val="00885A4C"/>
    <w:rsid w:val="00885AAA"/>
    <w:rsid w:val="00885AAB"/>
    <w:rsid w:val="00885AC0"/>
    <w:rsid w:val="00885AD6"/>
    <w:rsid w:val="00885ADF"/>
    <w:rsid w:val="00885B3C"/>
    <w:rsid w:val="00885B54"/>
    <w:rsid w:val="00885B6E"/>
    <w:rsid w:val="00885B85"/>
    <w:rsid w:val="00885BFF"/>
    <w:rsid w:val="00885C37"/>
    <w:rsid w:val="00885C48"/>
    <w:rsid w:val="00885CFE"/>
    <w:rsid w:val="00885D16"/>
    <w:rsid w:val="00885D39"/>
    <w:rsid w:val="00885D4F"/>
    <w:rsid w:val="00885D73"/>
    <w:rsid w:val="00885D7F"/>
    <w:rsid w:val="00885D8E"/>
    <w:rsid w:val="00885D99"/>
    <w:rsid w:val="00885DCF"/>
    <w:rsid w:val="00885E6A"/>
    <w:rsid w:val="00885E73"/>
    <w:rsid w:val="00885E85"/>
    <w:rsid w:val="00885E95"/>
    <w:rsid w:val="00885F1C"/>
    <w:rsid w:val="00885F7A"/>
    <w:rsid w:val="00885F85"/>
    <w:rsid w:val="00885FDF"/>
    <w:rsid w:val="00885FF5"/>
    <w:rsid w:val="0088604D"/>
    <w:rsid w:val="00886084"/>
    <w:rsid w:val="008860C2"/>
    <w:rsid w:val="00886123"/>
    <w:rsid w:val="00886131"/>
    <w:rsid w:val="00886148"/>
    <w:rsid w:val="0088615A"/>
    <w:rsid w:val="00886195"/>
    <w:rsid w:val="00886247"/>
    <w:rsid w:val="00886315"/>
    <w:rsid w:val="0088631D"/>
    <w:rsid w:val="0088632C"/>
    <w:rsid w:val="0088634F"/>
    <w:rsid w:val="00886368"/>
    <w:rsid w:val="00886373"/>
    <w:rsid w:val="0088639C"/>
    <w:rsid w:val="00886420"/>
    <w:rsid w:val="0088642C"/>
    <w:rsid w:val="00886473"/>
    <w:rsid w:val="00886484"/>
    <w:rsid w:val="0088648A"/>
    <w:rsid w:val="008864AC"/>
    <w:rsid w:val="008864AD"/>
    <w:rsid w:val="008864BA"/>
    <w:rsid w:val="008864D6"/>
    <w:rsid w:val="00886568"/>
    <w:rsid w:val="008865D7"/>
    <w:rsid w:val="008865DD"/>
    <w:rsid w:val="00886606"/>
    <w:rsid w:val="008866A6"/>
    <w:rsid w:val="008866B2"/>
    <w:rsid w:val="008866C4"/>
    <w:rsid w:val="00886725"/>
    <w:rsid w:val="00886733"/>
    <w:rsid w:val="00886738"/>
    <w:rsid w:val="0088674A"/>
    <w:rsid w:val="008867B1"/>
    <w:rsid w:val="008867BC"/>
    <w:rsid w:val="008867CF"/>
    <w:rsid w:val="00886804"/>
    <w:rsid w:val="008868A5"/>
    <w:rsid w:val="00886944"/>
    <w:rsid w:val="0088695C"/>
    <w:rsid w:val="00886977"/>
    <w:rsid w:val="00886987"/>
    <w:rsid w:val="0088698B"/>
    <w:rsid w:val="008869F7"/>
    <w:rsid w:val="00886A10"/>
    <w:rsid w:val="00886A21"/>
    <w:rsid w:val="00886A3E"/>
    <w:rsid w:val="00886A85"/>
    <w:rsid w:val="00886B6B"/>
    <w:rsid w:val="00886BC8"/>
    <w:rsid w:val="00886BEA"/>
    <w:rsid w:val="00886C24"/>
    <w:rsid w:val="00886C2E"/>
    <w:rsid w:val="00886CA8"/>
    <w:rsid w:val="00886CB3"/>
    <w:rsid w:val="00886D00"/>
    <w:rsid w:val="00886DBF"/>
    <w:rsid w:val="00886DE8"/>
    <w:rsid w:val="00886DFA"/>
    <w:rsid w:val="00886E54"/>
    <w:rsid w:val="00886FFC"/>
    <w:rsid w:val="00887005"/>
    <w:rsid w:val="00887008"/>
    <w:rsid w:val="0088705B"/>
    <w:rsid w:val="00887078"/>
    <w:rsid w:val="008870B0"/>
    <w:rsid w:val="008870CD"/>
    <w:rsid w:val="0088712A"/>
    <w:rsid w:val="0088712E"/>
    <w:rsid w:val="0088722F"/>
    <w:rsid w:val="0088723F"/>
    <w:rsid w:val="00887251"/>
    <w:rsid w:val="00887253"/>
    <w:rsid w:val="008872A5"/>
    <w:rsid w:val="008872B3"/>
    <w:rsid w:val="008872D0"/>
    <w:rsid w:val="008872F1"/>
    <w:rsid w:val="008873E1"/>
    <w:rsid w:val="008873ED"/>
    <w:rsid w:val="008874AD"/>
    <w:rsid w:val="008874D5"/>
    <w:rsid w:val="008874D7"/>
    <w:rsid w:val="008874F3"/>
    <w:rsid w:val="008874F8"/>
    <w:rsid w:val="00887508"/>
    <w:rsid w:val="00887541"/>
    <w:rsid w:val="0088756B"/>
    <w:rsid w:val="0088759D"/>
    <w:rsid w:val="0088759F"/>
    <w:rsid w:val="008875AF"/>
    <w:rsid w:val="00887606"/>
    <w:rsid w:val="0088764F"/>
    <w:rsid w:val="0088768B"/>
    <w:rsid w:val="008876EA"/>
    <w:rsid w:val="00887703"/>
    <w:rsid w:val="0088777E"/>
    <w:rsid w:val="00887797"/>
    <w:rsid w:val="008877BD"/>
    <w:rsid w:val="008877DF"/>
    <w:rsid w:val="008877E3"/>
    <w:rsid w:val="00887826"/>
    <w:rsid w:val="0088782B"/>
    <w:rsid w:val="00887872"/>
    <w:rsid w:val="0088788B"/>
    <w:rsid w:val="00887897"/>
    <w:rsid w:val="008878D5"/>
    <w:rsid w:val="008878F5"/>
    <w:rsid w:val="00887905"/>
    <w:rsid w:val="00887914"/>
    <w:rsid w:val="0088794A"/>
    <w:rsid w:val="00887966"/>
    <w:rsid w:val="00887994"/>
    <w:rsid w:val="00887A3A"/>
    <w:rsid w:val="00887A73"/>
    <w:rsid w:val="00887ABD"/>
    <w:rsid w:val="00887AD1"/>
    <w:rsid w:val="00887B57"/>
    <w:rsid w:val="00887B63"/>
    <w:rsid w:val="00887B8B"/>
    <w:rsid w:val="00887BA5"/>
    <w:rsid w:val="00887BA8"/>
    <w:rsid w:val="00887BE5"/>
    <w:rsid w:val="00887C03"/>
    <w:rsid w:val="00887C1A"/>
    <w:rsid w:val="00887C59"/>
    <w:rsid w:val="00887C60"/>
    <w:rsid w:val="00887CDB"/>
    <w:rsid w:val="00887D21"/>
    <w:rsid w:val="00887D3A"/>
    <w:rsid w:val="00887D55"/>
    <w:rsid w:val="00887D76"/>
    <w:rsid w:val="00887D78"/>
    <w:rsid w:val="00887D8A"/>
    <w:rsid w:val="00887D8E"/>
    <w:rsid w:val="00887DB3"/>
    <w:rsid w:val="00887DBE"/>
    <w:rsid w:val="00887DFC"/>
    <w:rsid w:val="00887E9D"/>
    <w:rsid w:val="00887EE8"/>
    <w:rsid w:val="00887EEB"/>
    <w:rsid w:val="00887F36"/>
    <w:rsid w:val="00887F7D"/>
    <w:rsid w:val="00887F81"/>
    <w:rsid w:val="00887F8A"/>
    <w:rsid w:val="00887F94"/>
    <w:rsid w:val="00887F9F"/>
    <w:rsid w:val="00887FB6"/>
    <w:rsid w:val="00887FE5"/>
    <w:rsid w:val="00890000"/>
    <w:rsid w:val="00890010"/>
    <w:rsid w:val="00890081"/>
    <w:rsid w:val="00890096"/>
    <w:rsid w:val="008900C5"/>
    <w:rsid w:val="008900DD"/>
    <w:rsid w:val="00890114"/>
    <w:rsid w:val="00890123"/>
    <w:rsid w:val="0089012F"/>
    <w:rsid w:val="00890154"/>
    <w:rsid w:val="0089021A"/>
    <w:rsid w:val="0089023A"/>
    <w:rsid w:val="00890248"/>
    <w:rsid w:val="00890254"/>
    <w:rsid w:val="00890261"/>
    <w:rsid w:val="00890263"/>
    <w:rsid w:val="00890283"/>
    <w:rsid w:val="0089030B"/>
    <w:rsid w:val="0089035B"/>
    <w:rsid w:val="0089037E"/>
    <w:rsid w:val="0089038A"/>
    <w:rsid w:val="0089039D"/>
    <w:rsid w:val="008903A1"/>
    <w:rsid w:val="008903A3"/>
    <w:rsid w:val="008903C5"/>
    <w:rsid w:val="00890437"/>
    <w:rsid w:val="00890443"/>
    <w:rsid w:val="00890463"/>
    <w:rsid w:val="008904AE"/>
    <w:rsid w:val="008904CC"/>
    <w:rsid w:val="008905DB"/>
    <w:rsid w:val="008905DC"/>
    <w:rsid w:val="008905DD"/>
    <w:rsid w:val="008905E4"/>
    <w:rsid w:val="0089061B"/>
    <w:rsid w:val="00890648"/>
    <w:rsid w:val="0089065D"/>
    <w:rsid w:val="00890690"/>
    <w:rsid w:val="008906F6"/>
    <w:rsid w:val="00890711"/>
    <w:rsid w:val="0089076B"/>
    <w:rsid w:val="0089077D"/>
    <w:rsid w:val="00890794"/>
    <w:rsid w:val="008907C6"/>
    <w:rsid w:val="008907DA"/>
    <w:rsid w:val="008907FD"/>
    <w:rsid w:val="00890827"/>
    <w:rsid w:val="00890841"/>
    <w:rsid w:val="0089089B"/>
    <w:rsid w:val="0089089C"/>
    <w:rsid w:val="008908F1"/>
    <w:rsid w:val="00890968"/>
    <w:rsid w:val="0089098F"/>
    <w:rsid w:val="00890A16"/>
    <w:rsid w:val="00890A6B"/>
    <w:rsid w:val="00890A79"/>
    <w:rsid w:val="00890AC0"/>
    <w:rsid w:val="00890AD0"/>
    <w:rsid w:val="00890AEA"/>
    <w:rsid w:val="00890B01"/>
    <w:rsid w:val="00890B1C"/>
    <w:rsid w:val="00890B34"/>
    <w:rsid w:val="00890B75"/>
    <w:rsid w:val="00890B91"/>
    <w:rsid w:val="00890BAF"/>
    <w:rsid w:val="00890BB5"/>
    <w:rsid w:val="00890C0F"/>
    <w:rsid w:val="00890C4F"/>
    <w:rsid w:val="00890CBC"/>
    <w:rsid w:val="00890D32"/>
    <w:rsid w:val="00890D62"/>
    <w:rsid w:val="00890D9B"/>
    <w:rsid w:val="00890E04"/>
    <w:rsid w:val="00890E1C"/>
    <w:rsid w:val="00890E38"/>
    <w:rsid w:val="00890E3D"/>
    <w:rsid w:val="00890E96"/>
    <w:rsid w:val="00890EBB"/>
    <w:rsid w:val="00890EF1"/>
    <w:rsid w:val="00890F0D"/>
    <w:rsid w:val="00890F2A"/>
    <w:rsid w:val="00890F37"/>
    <w:rsid w:val="00890F99"/>
    <w:rsid w:val="00890FB9"/>
    <w:rsid w:val="00891040"/>
    <w:rsid w:val="0089104E"/>
    <w:rsid w:val="008910A4"/>
    <w:rsid w:val="0089111E"/>
    <w:rsid w:val="0089113A"/>
    <w:rsid w:val="00891167"/>
    <w:rsid w:val="0089117F"/>
    <w:rsid w:val="008911BE"/>
    <w:rsid w:val="008911CC"/>
    <w:rsid w:val="008911D2"/>
    <w:rsid w:val="0089121A"/>
    <w:rsid w:val="00891234"/>
    <w:rsid w:val="008912A3"/>
    <w:rsid w:val="008912A6"/>
    <w:rsid w:val="00891318"/>
    <w:rsid w:val="00891346"/>
    <w:rsid w:val="0089134D"/>
    <w:rsid w:val="00891386"/>
    <w:rsid w:val="008913E0"/>
    <w:rsid w:val="0089142E"/>
    <w:rsid w:val="00891437"/>
    <w:rsid w:val="0089148A"/>
    <w:rsid w:val="00891491"/>
    <w:rsid w:val="00891498"/>
    <w:rsid w:val="008914A5"/>
    <w:rsid w:val="008914C6"/>
    <w:rsid w:val="0089151B"/>
    <w:rsid w:val="00891549"/>
    <w:rsid w:val="0089156E"/>
    <w:rsid w:val="00891574"/>
    <w:rsid w:val="00891587"/>
    <w:rsid w:val="0089160A"/>
    <w:rsid w:val="00891620"/>
    <w:rsid w:val="00891656"/>
    <w:rsid w:val="0089168A"/>
    <w:rsid w:val="00891690"/>
    <w:rsid w:val="008916BD"/>
    <w:rsid w:val="00891707"/>
    <w:rsid w:val="00891772"/>
    <w:rsid w:val="008917A6"/>
    <w:rsid w:val="008917AE"/>
    <w:rsid w:val="008917D0"/>
    <w:rsid w:val="0089184A"/>
    <w:rsid w:val="0089187E"/>
    <w:rsid w:val="008918CB"/>
    <w:rsid w:val="008918E1"/>
    <w:rsid w:val="008918E7"/>
    <w:rsid w:val="008918ED"/>
    <w:rsid w:val="008918EE"/>
    <w:rsid w:val="0089190B"/>
    <w:rsid w:val="008919C3"/>
    <w:rsid w:val="008919DA"/>
    <w:rsid w:val="00891A14"/>
    <w:rsid w:val="00891A57"/>
    <w:rsid w:val="00891A84"/>
    <w:rsid w:val="00891B59"/>
    <w:rsid w:val="00891B89"/>
    <w:rsid w:val="00891BFB"/>
    <w:rsid w:val="00891C4E"/>
    <w:rsid w:val="00891CE2"/>
    <w:rsid w:val="00891CF8"/>
    <w:rsid w:val="00891D2B"/>
    <w:rsid w:val="00891D39"/>
    <w:rsid w:val="00891DA1"/>
    <w:rsid w:val="00891DAA"/>
    <w:rsid w:val="00891DFB"/>
    <w:rsid w:val="00891E45"/>
    <w:rsid w:val="00891E93"/>
    <w:rsid w:val="00891F10"/>
    <w:rsid w:val="00891FEA"/>
    <w:rsid w:val="00892015"/>
    <w:rsid w:val="00892060"/>
    <w:rsid w:val="0089208A"/>
    <w:rsid w:val="008920B9"/>
    <w:rsid w:val="00892147"/>
    <w:rsid w:val="00892262"/>
    <w:rsid w:val="0089226E"/>
    <w:rsid w:val="00892279"/>
    <w:rsid w:val="008922E2"/>
    <w:rsid w:val="008922FE"/>
    <w:rsid w:val="00892305"/>
    <w:rsid w:val="00892386"/>
    <w:rsid w:val="0089242D"/>
    <w:rsid w:val="0089243B"/>
    <w:rsid w:val="0089249E"/>
    <w:rsid w:val="008924BA"/>
    <w:rsid w:val="0089251E"/>
    <w:rsid w:val="0089256D"/>
    <w:rsid w:val="008925A8"/>
    <w:rsid w:val="008925B6"/>
    <w:rsid w:val="008925EA"/>
    <w:rsid w:val="00892629"/>
    <w:rsid w:val="0089266C"/>
    <w:rsid w:val="00892670"/>
    <w:rsid w:val="008926CE"/>
    <w:rsid w:val="008926E3"/>
    <w:rsid w:val="0089270C"/>
    <w:rsid w:val="00892715"/>
    <w:rsid w:val="00892774"/>
    <w:rsid w:val="0089279A"/>
    <w:rsid w:val="008927DB"/>
    <w:rsid w:val="008928DA"/>
    <w:rsid w:val="00892914"/>
    <w:rsid w:val="00892917"/>
    <w:rsid w:val="0089292F"/>
    <w:rsid w:val="00892941"/>
    <w:rsid w:val="00892983"/>
    <w:rsid w:val="00892990"/>
    <w:rsid w:val="008929A1"/>
    <w:rsid w:val="008929CF"/>
    <w:rsid w:val="00892A84"/>
    <w:rsid w:val="00892A98"/>
    <w:rsid w:val="00892AE1"/>
    <w:rsid w:val="00892AE7"/>
    <w:rsid w:val="00892B14"/>
    <w:rsid w:val="00892B38"/>
    <w:rsid w:val="00892B89"/>
    <w:rsid w:val="00892BD8"/>
    <w:rsid w:val="00892C71"/>
    <w:rsid w:val="00892CB3"/>
    <w:rsid w:val="00892D52"/>
    <w:rsid w:val="00892D64"/>
    <w:rsid w:val="00892D72"/>
    <w:rsid w:val="00892D78"/>
    <w:rsid w:val="00892D8F"/>
    <w:rsid w:val="00892E60"/>
    <w:rsid w:val="00892E9E"/>
    <w:rsid w:val="00892EC6"/>
    <w:rsid w:val="00892EE9"/>
    <w:rsid w:val="00892F10"/>
    <w:rsid w:val="00892F58"/>
    <w:rsid w:val="00892F84"/>
    <w:rsid w:val="00892FE7"/>
    <w:rsid w:val="00892FF3"/>
    <w:rsid w:val="0089300E"/>
    <w:rsid w:val="008930B0"/>
    <w:rsid w:val="00893114"/>
    <w:rsid w:val="0089315F"/>
    <w:rsid w:val="00893178"/>
    <w:rsid w:val="008931B0"/>
    <w:rsid w:val="008931F2"/>
    <w:rsid w:val="008931F4"/>
    <w:rsid w:val="00893204"/>
    <w:rsid w:val="00893207"/>
    <w:rsid w:val="00893253"/>
    <w:rsid w:val="00893284"/>
    <w:rsid w:val="008932C1"/>
    <w:rsid w:val="0089339D"/>
    <w:rsid w:val="0089339F"/>
    <w:rsid w:val="008933D2"/>
    <w:rsid w:val="008933E4"/>
    <w:rsid w:val="00893433"/>
    <w:rsid w:val="0089345F"/>
    <w:rsid w:val="00893491"/>
    <w:rsid w:val="008934A5"/>
    <w:rsid w:val="0089354B"/>
    <w:rsid w:val="00893577"/>
    <w:rsid w:val="00893599"/>
    <w:rsid w:val="008935B1"/>
    <w:rsid w:val="008935CF"/>
    <w:rsid w:val="0089362B"/>
    <w:rsid w:val="0089368A"/>
    <w:rsid w:val="008936AF"/>
    <w:rsid w:val="008936B6"/>
    <w:rsid w:val="008936E6"/>
    <w:rsid w:val="008937AD"/>
    <w:rsid w:val="00893825"/>
    <w:rsid w:val="008938B3"/>
    <w:rsid w:val="008938D0"/>
    <w:rsid w:val="0089391E"/>
    <w:rsid w:val="00893945"/>
    <w:rsid w:val="00893968"/>
    <w:rsid w:val="008939A4"/>
    <w:rsid w:val="008939C8"/>
    <w:rsid w:val="00893A55"/>
    <w:rsid w:val="00893B02"/>
    <w:rsid w:val="00893B19"/>
    <w:rsid w:val="00893B5C"/>
    <w:rsid w:val="00893BF8"/>
    <w:rsid w:val="00893CE0"/>
    <w:rsid w:val="00893CED"/>
    <w:rsid w:val="00893CF8"/>
    <w:rsid w:val="00893D1A"/>
    <w:rsid w:val="00893D1C"/>
    <w:rsid w:val="00893D67"/>
    <w:rsid w:val="00893D99"/>
    <w:rsid w:val="00893DB8"/>
    <w:rsid w:val="00893E24"/>
    <w:rsid w:val="00893E45"/>
    <w:rsid w:val="00893E9E"/>
    <w:rsid w:val="00893EC9"/>
    <w:rsid w:val="00893EE4"/>
    <w:rsid w:val="00893F06"/>
    <w:rsid w:val="00893F13"/>
    <w:rsid w:val="00893F2F"/>
    <w:rsid w:val="00893F46"/>
    <w:rsid w:val="00893FBE"/>
    <w:rsid w:val="00894027"/>
    <w:rsid w:val="00894057"/>
    <w:rsid w:val="00894065"/>
    <w:rsid w:val="0089409E"/>
    <w:rsid w:val="008941CF"/>
    <w:rsid w:val="008941DB"/>
    <w:rsid w:val="0089422B"/>
    <w:rsid w:val="0089423D"/>
    <w:rsid w:val="0089425E"/>
    <w:rsid w:val="008942B2"/>
    <w:rsid w:val="0089437E"/>
    <w:rsid w:val="008943CA"/>
    <w:rsid w:val="008943D3"/>
    <w:rsid w:val="008943D6"/>
    <w:rsid w:val="008943E3"/>
    <w:rsid w:val="00894432"/>
    <w:rsid w:val="008944BA"/>
    <w:rsid w:val="00894517"/>
    <w:rsid w:val="0089454F"/>
    <w:rsid w:val="0089459F"/>
    <w:rsid w:val="008945C9"/>
    <w:rsid w:val="008945F9"/>
    <w:rsid w:val="00894609"/>
    <w:rsid w:val="00894631"/>
    <w:rsid w:val="00894652"/>
    <w:rsid w:val="0089466C"/>
    <w:rsid w:val="00894672"/>
    <w:rsid w:val="00894688"/>
    <w:rsid w:val="0089468A"/>
    <w:rsid w:val="0089469F"/>
    <w:rsid w:val="008946F1"/>
    <w:rsid w:val="00894749"/>
    <w:rsid w:val="0089474F"/>
    <w:rsid w:val="00894784"/>
    <w:rsid w:val="008947AA"/>
    <w:rsid w:val="008947AF"/>
    <w:rsid w:val="008947CF"/>
    <w:rsid w:val="008947FF"/>
    <w:rsid w:val="0089482B"/>
    <w:rsid w:val="0089482E"/>
    <w:rsid w:val="00894851"/>
    <w:rsid w:val="008948A7"/>
    <w:rsid w:val="008948AB"/>
    <w:rsid w:val="008948C0"/>
    <w:rsid w:val="0089491E"/>
    <w:rsid w:val="0089492C"/>
    <w:rsid w:val="00894978"/>
    <w:rsid w:val="0089497F"/>
    <w:rsid w:val="008949CA"/>
    <w:rsid w:val="008949DD"/>
    <w:rsid w:val="00894A09"/>
    <w:rsid w:val="00894A16"/>
    <w:rsid w:val="00894A38"/>
    <w:rsid w:val="00894AAD"/>
    <w:rsid w:val="00894ACF"/>
    <w:rsid w:val="00894AE5"/>
    <w:rsid w:val="00894AFC"/>
    <w:rsid w:val="00894B19"/>
    <w:rsid w:val="00894B4D"/>
    <w:rsid w:val="00894B96"/>
    <w:rsid w:val="00894BA9"/>
    <w:rsid w:val="00894C01"/>
    <w:rsid w:val="00894C0F"/>
    <w:rsid w:val="00894C4F"/>
    <w:rsid w:val="00894C69"/>
    <w:rsid w:val="00894CF4"/>
    <w:rsid w:val="00894D52"/>
    <w:rsid w:val="00894E2B"/>
    <w:rsid w:val="00894E8C"/>
    <w:rsid w:val="00894E9C"/>
    <w:rsid w:val="00894EBB"/>
    <w:rsid w:val="00894F26"/>
    <w:rsid w:val="00894F68"/>
    <w:rsid w:val="00894F95"/>
    <w:rsid w:val="0089502A"/>
    <w:rsid w:val="0089502B"/>
    <w:rsid w:val="0089503D"/>
    <w:rsid w:val="0089506E"/>
    <w:rsid w:val="008950CB"/>
    <w:rsid w:val="00895111"/>
    <w:rsid w:val="0089512D"/>
    <w:rsid w:val="00895138"/>
    <w:rsid w:val="0089518B"/>
    <w:rsid w:val="008951BB"/>
    <w:rsid w:val="008951F7"/>
    <w:rsid w:val="00895207"/>
    <w:rsid w:val="0089522F"/>
    <w:rsid w:val="00895231"/>
    <w:rsid w:val="008952E2"/>
    <w:rsid w:val="008952F1"/>
    <w:rsid w:val="008952F5"/>
    <w:rsid w:val="008953AB"/>
    <w:rsid w:val="00895429"/>
    <w:rsid w:val="00895511"/>
    <w:rsid w:val="00895558"/>
    <w:rsid w:val="00895584"/>
    <w:rsid w:val="008955CD"/>
    <w:rsid w:val="00895625"/>
    <w:rsid w:val="0089578D"/>
    <w:rsid w:val="0089579E"/>
    <w:rsid w:val="008957CC"/>
    <w:rsid w:val="008957DC"/>
    <w:rsid w:val="00895802"/>
    <w:rsid w:val="00895804"/>
    <w:rsid w:val="008958CB"/>
    <w:rsid w:val="00895947"/>
    <w:rsid w:val="00895966"/>
    <w:rsid w:val="008959F7"/>
    <w:rsid w:val="00895A4B"/>
    <w:rsid w:val="00895A9B"/>
    <w:rsid w:val="00895AEE"/>
    <w:rsid w:val="00895B43"/>
    <w:rsid w:val="00895B52"/>
    <w:rsid w:val="00895B75"/>
    <w:rsid w:val="00895B95"/>
    <w:rsid w:val="00895BA5"/>
    <w:rsid w:val="00895BA9"/>
    <w:rsid w:val="00895BD1"/>
    <w:rsid w:val="00895C5B"/>
    <w:rsid w:val="00895C78"/>
    <w:rsid w:val="00895C93"/>
    <w:rsid w:val="00895CBB"/>
    <w:rsid w:val="00895CC4"/>
    <w:rsid w:val="00895CD1"/>
    <w:rsid w:val="00895CD6"/>
    <w:rsid w:val="00895D0C"/>
    <w:rsid w:val="00895D4D"/>
    <w:rsid w:val="00895D8E"/>
    <w:rsid w:val="00895DC1"/>
    <w:rsid w:val="00895DD1"/>
    <w:rsid w:val="00895E4C"/>
    <w:rsid w:val="00895E4E"/>
    <w:rsid w:val="00895EC1"/>
    <w:rsid w:val="00895F06"/>
    <w:rsid w:val="00895F75"/>
    <w:rsid w:val="00896036"/>
    <w:rsid w:val="00896051"/>
    <w:rsid w:val="00896053"/>
    <w:rsid w:val="0089605D"/>
    <w:rsid w:val="00896068"/>
    <w:rsid w:val="00896094"/>
    <w:rsid w:val="0089609C"/>
    <w:rsid w:val="008960A9"/>
    <w:rsid w:val="0089610F"/>
    <w:rsid w:val="00896112"/>
    <w:rsid w:val="00896139"/>
    <w:rsid w:val="00896174"/>
    <w:rsid w:val="00896189"/>
    <w:rsid w:val="00896211"/>
    <w:rsid w:val="0089622F"/>
    <w:rsid w:val="00896286"/>
    <w:rsid w:val="008962B0"/>
    <w:rsid w:val="008962D0"/>
    <w:rsid w:val="008962D5"/>
    <w:rsid w:val="008962DF"/>
    <w:rsid w:val="008962E4"/>
    <w:rsid w:val="00896318"/>
    <w:rsid w:val="0089634B"/>
    <w:rsid w:val="00896355"/>
    <w:rsid w:val="0089635C"/>
    <w:rsid w:val="00896372"/>
    <w:rsid w:val="0089638E"/>
    <w:rsid w:val="008963B7"/>
    <w:rsid w:val="008963B9"/>
    <w:rsid w:val="008963DD"/>
    <w:rsid w:val="0089640D"/>
    <w:rsid w:val="0089645A"/>
    <w:rsid w:val="008964A2"/>
    <w:rsid w:val="008964A5"/>
    <w:rsid w:val="00896535"/>
    <w:rsid w:val="0089655B"/>
    <w:rsid w:val="0089658F"/>
    <w:rsid w:val="0089659E"/>
    <w:rsid w:val="008965A8"/>
    <w:rsid w:val="00896628"/>
    <w:rsid w:val="00896636"/>
    <w:rsid w:val="008966D4"/>
    <w:rsid w:val="008966DB"/>
    <w:rsid w:val="008966DC"/>
    <w:rsid w:val="00896735"/>
    <w:rsid w:val="0089674B"/>
    <w:rsid w:val="00896796"/>
    <w:rsid w:val="008967B0"/>
    <w:rsid w:val="008967BC"/>
    <w:rsid w:val="0089682F"/>
    <w:rsid w:val="00896850"/>
    <w:rsid w:val="00896869"/>
    <w:rsid w:val="008968A0"/>
    <w:rsid w:val="00896951"/>
    <w:rsid w:val="00896A08"/>
    <w:rsid w:val="00896AAA"/>
    <w:rsid w:val="00896AB1"/>
    <w:rsid w:val="00896ACC"/>
    <w:rsid w:val="00896AFF"/>
    <w:rsid w:val="00896B14"/>
    <w:rsid w:val="00896B4A"/>
    <w:rsid w:val="00896B5C"/>
    <w:rsid w:val="00896B77"/>
    <w:rsid w:val="00896BCF"/>
    <w:rsid w:val="00896BF8"/>
    <w:rsid w:val="00896C24"/>
    <w:rsid w:val="00896C4E"/>
    <w:rsid w:val="00896C69"/>
    <w:rsid w:val="00896C9B"/>
    <w:rsid w:val="00896CB9"/>
    <w:rsid w:val="00896CBE"/>
    <w:rsid w:val="00896D47"/>
    <w:rsid w:val="00896D98"/>
    <w:rsid w:val="00896D9E"/>
    <w:rsid w:val="00896DA2"/>
    <w:rsid w:val="00896DA6"/>
    <w:rsid w:val="00896DD4"/>
    <w:rsid w:val="00896E2E"/>
    <w:rsid w:val="00896E56"/>
    <w:rsid w:val="00896EDF"/>
    <w:rsid w:val="00896EEE"/>
    <w:rsid w:val="00896F27"/>
    <w:rsid w:val="00896F45"/>
    <w:rsid w:val="00896F54"/>
    <w:rsid w:val="00896F62"/>
    <w:rsid w:val="00896FF6"/>
    <w:rsid w:val="0089702E"/>
    <w:rsid w:val="00897060"/>
    <w:rsid w:val="00897068"/>
    <w:rsid w:val="0089707E"/>
    <w:rsid w:val="008970AB"/>
    <w:rsid w:val="00897130"/>
    <w:rsid w:val="00897132"/>
    <w:rsid w:val="0089716B"/>
    <w:rsid w:val="008971AA"/>
    <w:rsid w:val="008971B4"/>
    <w:rsid w:val="008971D3"/>
    <w:rsid w:val="008971D9"/>
    <w:rsid w:val="008971E9"/>
    <w:rsid w:val="0089727A"/>
    <w:rsid w:val="008972B1"/>
    <w:rsid w:val="008972BC"/>
    <w:rsid w:val="008972BE"/>
    <w:rsid w:val="0089734D"/>
    <w:rsid w:val="008973B5"/>
    <w:rsid w:val="008973C4"/>
    <w:rsid w:val="008973C9"/>
    <w:rsid w:val="008973EF"/>
    <w:rsid w:val="00897450"/>
    <w:rsid w:val="00897471"/>
    <w:rsid w:val="008974AB"/>
    <w:rsid w:val="00897516"/>
    <w:rsid w:val="0089753E"/>
    <w:rsid w:val="008975BC"/>
    <w:rsid w:val="008975DE"/>
    <w:rsid w:val="008975EC"/>
    <w:rsid w:val="00897649"/>
    <w:rsid w:val="0089767E"/>
    <w:rsid w:val="008976C6"/>
    <w:rsid w:val="008976EF"/>
    <w:rsid w:val="00897741"/>
    <w:rsid w:val="0089774B"/>
    <w:rsid w:val="0089775D"/>
    <w:rsid w:val="008977B4"/>
    <w:rsid w:val="00897818"/>
    <w:rsid w:val="0089781C"/>
    <w:rsid w:val="0089783C"/>
    <w:rsid w:val="00897840"/>
    <w:rsid w:val="008978A7"/>
    <w:rsid w:val="008978E3"/>
    <w:rsid w:val="008978E5"/>
    <w:rsid w:val="008978EE"/>
    <w:rsid w:val="00897923"/>
    <w:rsid w:val="00897934"/>
    <w:rsid w:val="008979AB"/>
    <w:rsid w:val="008979BB"/>
    <w:rsid w:val="008979C2"/>
    <w:rsid w:val="008979D6"/>
    <w:rsid w:val="008979DC"/>
    <w:rsid w:val="008979E5"/>
    <w:rsid w:val="008979E9"/>
    <w:rsid w:val="00897A14"/>
    <w:rsid w:val="00897A5B"/>
    <w:rsid w:val="00897A89"/>
    <w:rsid w:val="00897ACB"/>
    <w:rsid w:val="00897AF1"/>
    <w:rsid w:val="00897B16"/>
    <w:rsid w:val="00897B5E"/>
    <w:rsid w:val="00897BA8"/>
    <w:rsid w:val="00897C0D"/>
    <w:rsid w:val="00897C94"/>
    <w:rsid w:val="00897C96"/>
    <w:rsid w:val="00897CAB"/>
    <w:rsid w:val="00897D40"/>
    <w:rsid w:val="00897D88"/>
    <w:rsid w:val="00897DA2"/>
    <w:rsid w:val="00897DA7"/>
    <w:rsid w:val="00897DD1"/>
    <w:rsid w:val="00897DD9"/>
    <w:rsid w:val="00897DDD"/>
    <w:rsid w:val="00897DE1"/>
    <w:rsid w:val="00897E28"/>
    <w:rsid w:val="00897E2B"/>
    <w:rsid w:val="00897E65"/>
    <w:rsid w:val="00897EA3"/>
    <w:rsid w:val="00897EC3"/>
    <w:rsid w:val="00897EDC"/>
    <w:rsid w:val="00897F13"/>
    <w:rsid w:val="00897F1B"/>
    <w:rsid w:val="00897F2B"/>
    <w:rsid w:val="00897F36"/>
    <w:rsid w:val="00897F53"/>
    <w:rsid w:val="00897F5C"/>
    <w:rsid w:val="00897F64"/>
    <w:rsid w:val="00897F76"/>
    <w:rsid w:val="00897FB7"/>
    <w:rsid w:val="00897FC0"/>
    <w:rsid w:val="00897FEC"/>
    <w:rsid w:val="008A002B"/>
    <w:rsid w:val="008A0057"/>
    <w:rsid w:val="008A00D5"/>
    <w:rsid w:val="008A013A"/>
    <w:rsid w:val="008A01A6"/>
    <w:rsid w:val="008A02B1"/>
    <w:rsid w:val="008A02C1"/>
    <w:rsid w:val="008A02C2"/>
    <w:rsid w:val="008A02CD"/>
    <w:rsid w:val="008A02D0"/>
    <w:rsid w:val="008A0359"/>
    <w:rsid w:val="008A0365"/>
    <w:rsid w:val="008A039C"/>
    <w:rsid w:val="008A03D9"/>
    <w:rsid w:val="008A03FA"/>
    <w:rsid w:val="008A04D8"/>
    <w:rsid w:val="008A0523"/>
    <w:rsid w:val="008A053B"/>
    <w:rsid w:val="008A05BE"/>
    <w:rsid w:val="008A05F7"/>
    <w:rsid w:val="008A0603"/>
    <w:rsid w:val="008A0620"/>
    <w:rsid w:val="008A0675"/>
    <w:rsid w:val="008A0676"/>
    <w:rsid w:val="008A06EA"/>
    <w:rsid w:val="008A06FE"/>
    <w:rsid w:val="008A07A7"/>
    <w:rsid w:val="008A081A"/>
    <w:rsid w:val="008A086B"/>
    <w:rsid w:val="008A0886"/>
    <w:rsid w:val="008A08C5"/>
    <w:rsid w:val="008A08CB"/>
    <w:rsid w:val="008A08DD"/>
    <w:rsid w:val="008A0984"/>
    <w:rsid w:val="008A09AD"/>
    <w:rsid w:val="008A0A23"/>
    <w:rsid w:val="008A0A37"/>
    <w:rsid w:val="008A0A3E"/>
    <w:rsid w:val="008A0A55"/>
    <w:rsid w:val="008A0A5A"/>
    <w:rsid w:val="008A0A66"/>
    <w:rsid w:val="008A0ABC"/>
    <w:rsid w:val="008A0AC9"/>
    <w:rsid w:val="008A0AD8"/>
    <w:rsid w:val="008A0B39"/>
    <w:rsid w:val="008A0B5E"/>
    <w:rsid w:val="008A0B5F"/>
    <w:rsid w:val="008A0B8E"/>
    <w:rsid w:val="008A0BAE"/>
    <w:rsid w:val="008A0C53"/>
    <w:rsid w:val="008A0C59"/>
    <w:rsid w:val="008A0C89"/>
    <w:rsid w:val="008A0CB2"/>
    <w:rsid w:val="008A0CB6"/>
    <w:rsid w:val="008A0CC6"/>
    <w:rsid w:val="008A0D1C"/>
    <w:rsid w:val="008A0D27"/>
    <w:rsid w:val="008A0D62"/>
    <w:rsid w:val="008A0E03"/>
    <w:rsid w:val="008A0E1B"/>
    <w:rsid w:val="008A0E61"/>
    <w:rsid w:val="008A0E77"/>
    <w:rsid w:val="008A0EF1"/>
    <w:rsid w:val="008A0F0A"/>
    <w:rsid w:val="008A0F29"/>
    <w:rsid w:val="008A0F2B"/>
    <w:rsid w:val="008A0F8D"/>
    <w:rsid w:val="008A0F9F"/>
    <w:rsid w:val="008A0FBB"/>
    <w:rsid w:val="008A0FE6"/>
    <w:rsid w:val="008A1092"/>
    <w:rsid w:val="008A109E"/>
    <w:rsid w:val="008A10A9"/>
    <w:rsid w:val="008A1175"/>
    <w:rsid w:val="008A120E"/>
    <w:rsid w:val="008A1217"/>
    <w:rsid w:val="008A1222"/>
    <w:rsid w:val="008A1286"/>
    <w:rsid w:val="008A12A6"/>
    <w:rsid w:val="008A12BB"/>
    <w:rsid w:val="008A12C2"/>
    <w:rsid w:val="008A1350"/>
    <w:rsid w:val="008A1351"/>
    <w:rsid w:val="008A13BC"/>
    <w:rsid w:val="008A13D8"/>
    <w:rsid w:val="008A13F3"/>
    <w:rsid w:val="008A143B"/>
    <w:rsid w:val="008A145A"/>
    <w:rsid w:val="008A15AA"/>
    <w:rsid w:val="008A16D2"/>
    <w:rsid w:val="008A16E0"/>
    <w:rsid w:val="008A1722"/>
    <w:rsid w:val="008A1797"/>
    <w:rsid w:val="008A17F0"/>
    <w:rsid w:val="008A185E"/>
    <w:rsid w:val="008A1884"/>
    <w:rsid w:val="008A18DD"/>
    <w:rsid w:val="008A18E8"/>
    <w:rsid w:val="008A1931"/>
    <w:rsid w:val="008A1977"/>
    <w:rsid w:val="008A19A0"/>
    <w:rsid w:val="008A19C4"/>
    <w:rsid w:val="008A19E1"/>
    <w:rsid w:val="008A1A59"/>
    <w:rsid w:val="008A1B2F"/>
    <w:rsid w:val="008A1B3E"/>
    <w:rsid w:val="008A1B4E"/>
    <w:rsid w:val="008A1B87"/>
    <w:rsid w:val="008A1B9B"/>
    <w:rsid w:val="008A1BBD"/>
    <w:rsid w:val="008A1C58"/>
    <w:rsid w:val="008A1C73"/>
    <w:rsid w:val="008A1CB3"/>
    <w:rsid w:val="008A1D0D"/>
    <w:rsid w:val="008A1D1E"/>
    <w:rsid w:val="008A1D21"/>
    <w:rsid w:val="008A1D31"/>
    <w:rsid w:val="008A1D71"/>
    <w:rsid w:val="008A1DD2"/>
    <w:rsid w:val="008A1DF2"/>
    <w:rsid w:val="008A1DF5"/>
    <w:rsid w:val="008A1DF9"/>
    <w:rsid w:val="008A1E41"/>
    <w:rsid w:val="008A1E6E"/>
    <w:rsid w:val="008A1E8C"/>
    <w:rsid w:val="008A1EA5"/>
    <w:rsid w:val="008A1ECF"/>
    <w:rsid w:val="008A1F3D"/>
    <w:rsid w:val="008A1F72"/>
    <w:rsid w:val="008A1FFC"/>
    <w:rsid w:val="008A2029"/>
    <w:rsid w:val="008A204E"/>
    <w:rsid w:val="008A205F"/>
    <w:rsid w:val="008A207D"/>
    <w:rsid w:val="008A20D3"/>
    <w:rsid w:val="008A2149"/>
    <w:rsid w:val="008A21E6"/>
    <w:rsid w:val="008A2242"/>
    <w:rsid w:val="008A225E"/>
    <w:rsid w:val="008A2292"/>
    <w:rsid w:val="008A22A0"/>
    <w:rsid w:val="008A22A5"/>
    <w:rsid w:val="008A22E0"/>
    <w:rsid w:val="008A2344"/>
    <w:rsid w:val="008A237B"/>
    <w:rsid w:val="008A23B3"/>
    <w:rsid w:val="008A2405"/>
    <w:rsid w:val="008A240D"/>
    <w:rsid w:val="008A2449"/>
    <w:rsid w:val="008A2499"/>
    <w:rsid w:val="008A2594"/>
    <w:rsid w:val="008A266A"/>
    <w:rsid w:val="008A2671"/>
    <w:rsid w:val="008A267D"/>
    <w:rsid w:val="008A2688"/>
    <w:rsid w:val="008A26AC"/>
    <w:rsid w:val="008A26BF"/>
    <w:rsid w:val="008A26FF"/>
    <w:rsid w:val="008A2701"/>
    <w:rsid w:val="008A2702"/>
    <w:rsid w:val="008A2768"/>
    <w:rsid w:val="008A2787"/>
    <w:rsid w:val="008A2822"/>
    <w:rsid w:val="008A282B"/>
    <w:rsid w:val="008A285E"/>
    <w:rsid w:val="008A2861"/>
    <w:rsid w:val="008A2893"/>
    <w:rsid w:val="008A28D8"/>
    <w:rsid w:val="008A2915"/>
    <w:rsid w:val="008A298C"/>
    <w:rsid w:val="008A2990"/>
    <w:rsid w:val="008A29B7"/>
    <w:rsid w:val="008A2A3A"/>
    <w:rsid w:val="008A2B65"/>
    <w:rsid w:val="008A2B69"/>
    <w:rsid w:val="008A2B94"/>
    <w:rsid w:val="008A2BD0"/>
    <w:rsid w:val="008A2C0B"/>
    <w:rsid w:val="008A2CA2"/>
    <w:rsid w:val="008A2CA5"/>
    <w:rsid w:val="008A2D12"/>
    <w:rsid w:val="008A2D18"/>
    <w:rsid w:val="008A2D22"/>
    <w:rsid w:val="008A2D3D"/>
    <w:rsid w:val="008A2D96"/>
    <w:rsid w:val="008A2D9A"/>
    <w:rsid w:val="008A2DA7"/>
    <w:rsid w:val="008A2DF6"/>
    <w:rsid w:val="008A2E0B"/>
    <w:rsid w:val="008A2E84"/>
    <w:rsid w:val="008A2E86"/>
    <w:rsid w:val="008A2EB3"/>
    <w:rsid w:val="008A2F20"/>
    <w:rsid w:val="008A2F57"/>
    <w:rsid w:val="008A2F58"/>
    <w:rsid w:val="008A2F5F"/>
    <w:rsid w:val="008A2F7B"/>
    <w:rsid w:val="008A2F90"/>
    <w:rsid w:val="008A2FC5"/>
    <w:rsid w:val="008A302F"/>
    <w:rsid w:val="008A3052"/>
    <w:rsid w:val="008A306F"/>
    <w:rsid w:val="008A308C"/>
    <w:rsid w:val="008A3102"/>
    <w:rsid w:val="008A3131"/>
    <w:rsid w:val="008A3136"/>
    <w:rsid w:val="008A313C"/>
    <w:rsid w:val="008A31CC"/>
    <w:rsid w:val="008A31D4"/>
    <w:rsid w:val="008A31FC"/>
    <w:rsid w:val="008A321B"/>
    <w:rsid w:val="008A3244"/>
    <w:rsid w:val="008A327A"/>
    <w:rsid w:val="008A32D9"/>
    <w:rsid w:val="008A32E1"/>
    <w:rsid w:val="008A3400"/>
    <w:rsid w:val="008A3419"/>
    <w:rsid w:val="008A345F"/>
    <w:rsid w:val="008A3478"/>
    <w:rsid w:val="008A3479"/>
    <w:rsid w:val="008A3489"/>
    <w:rsid w:val="008A3491"/>
    <w:rsid w:val="008A34A7"/>
    <w:rsid w:val="008A34FC"/>
    <w:rsid w:val="008A3500"/>
    <w:rsid w:val="008A3503"/>
    <w:rsid w:val="008A3505"/>
    <w:rsid w:val="008A3555"/>
    <w:rsid w:val="008A3585"/>
    <w:rsid w:val="008A3594"/>
    <w:rsid w:val="008A359A"/>
    <w:rsid w:val="008A35A1"/>
    <w:rsid w:val="008A35E5"/>
    <w:rsid w:val="008A3624"/>
    <w:rsid w:val="008A3636"/>
    <w:rsid w:val="008A36D9"/>
    <w:rsid w:val="008A36E8"/>
    <w:rsid w:val="008A372B"/>
    <w:rsid w:val="008A3735"/>
    <w:rsid w:val="008A374D"/>
    <w:rsid w:val="008A3780"/>
    <w:rsid w:val="008A3792"/>
    <w:rsid w:val="008A37AA"/>
    <w:rsid w:val="008A37AC"/>
    <w:rsid w:val="008A37C7"/>
    <w:rsid w:val="008A37CA"/>
    <w:rsid w:val="008A37CC"/>
    <w:rsid w:val="008A37F9"/>
    <w:rsid w:val="008A381D"/>
    <w:rsid w:val="008A381F"/>
    <w:rsid w:val="008A3842"/>
    <w:rsid w:val="008A3856"/>
    <w:rsid w:val="008A3868"/>
    <w:rsid w:val="008A3893"/>
    <w:rsid w:val="008A391B"/>
    <w:rsid w:val="008A3922"/>
    <w:rsid w:val="008A394C"/>
    <w:rsid w:val="008A396C"/>
    <w:rsid w:val="008A399B"/>
    <w:rsid w:val="008A39E6"/>
    <w:rsid w:val="008A39F9"/>
    <w:rsid w:val="008A3A89"/>
    <w:rsid w:val="008A3AC5"/>
    <w:rsid w:val="008A3AC9"/>
    <w:rsid w:val="008A3AE3"/>
    <w:rsid w:val="008A3B6B"/>
    <w:rsid w:val="008A3B99"/>
    <w:rsid w:val="008A3BBA"/>
    <w:rsid w:val="008A3BC8"/>
    <w:rsid w:val="008A3C31"/>
    <w:rsid w:val="008A3C5C"/>
    <w:rsid w:val="008A3C97"/>
    <w:rsid w:val="008A3CA4"/>
    <w:rsid w:val="008A3CBE"/>
    <w:rsid w:val="008A3CFA"/>
    <w:rsid w:val="008A3DA2"/>
    <w:rsid w:val="008A3DCB"/>
    <w:rsid w:val="008A3DF1"/>
    <w:rsid w:val="008A3DFA"/>
    <w:rsid w:val="008A3E02"/>
    <w:rsid w:val="008A3E09"/>
    <w:rsid w:val="008A3E60"/>
    <w:rsid w:val="008A3E85"/>
    <w:rsid w:val="008A3E89"/>
    <w:rsid w:val="008A3EF4"/>
    <w:rsid w:val="008A3F1A"/>
    <w:rsid w:val="008A3F62"/>
    <w:rsid w:val="008A3F6A"/>
    <w:rsid w:val="008A3F82"/>
    <w:rsid w:val="008A3FFA"/>
    <w:rsid w:val="008A4010"/>
    <w:rsid w:val="008A4031"/>
    <w:rsid w:val="008A40A8"/>
    <w:rsid w:val="008A40E7"/>
    <w:rsid w:val="008A40FD"/>
    <w:rsid w:val="008A4147"/>
    <w:rsid w:val="008A421C"/>
    <w:rsid w:val="008A424C"/>
    <w:rsid w:val="008A42AF"/>
    <w:rsid w:val="008A42D4"/>
    <w:rsid w:val="008A4309"/>
    <w:rsid w:val="008A432E"/>
    <w:rsid w:val="008A4330"/>
    <w:rsid w:val="008A4377"/>
    <w:rsid w:val="008A437B"/>
    <w:rsid w:val="008A443D"/>
    <w:rsid w:val="008A4475"/>
    <w:rsid w:val="008A44CC"/>
    <w:rsid w:val="008A44E4"/>
    <w:rsid w:val="008A4516"/>
    <w:rsid w:val="008A452D"/>
    <w:rsid w:val="008A453F"/>
    <w:rsid w:val="008A454B"/>
    <w:rsid w:val="008A4608"/>
    <w:rsid w:val="008A463A"/>
    <w:rsid w:val="008A4646"/>
    <w:rsid w:val="008A467B"/>
    <w:rsid w:val="008A46A6"/>
    <w:rsid w:val="008A46DE"/>
    <w:rsid w:val="008A46FD"/>
    <w:rsid w:val="008A4730"/>
    <w:rsid w:val="008A4793"/>
    <w:rsid w:val="008A47A7"/>
    <w:rsid w:val="008A47AE"/>
    <w:rsid w:val="008A47BD"/>
    <w:rsid w:val="008A4862"/>
    <w:rsid w:val="008A48A3"/>
    <w:rsid w:val="008A48F0"/>
    <w:rsid w:val="008A4901"/>
    <w:rsid w:val="008A4916"/>
    <w:rsid w:val="008A4991"/>
    <w:rsid w:val="008A49CA"/>
    <w:rsid w:val="008A49F3"/>
    <w:rsid w:val="008A4B65"/>
    <w:rsid w:val="008A4BB9"/>
    <w:rsid w:val="008A4BC7"/>
    <w:rsid w:val="008A4BCA"/>
    <w:rsid w:val="008A4C34"/>
    <w:rsid w:val="008A4C4E"/>
    <w:rsid w:val="008A4C91"/>
    <w:rsid w:val="008A4CCA"/>
    <w:rsid w:val="008A4CF5"/>
    <w:rsid w:val="008A4CFC"/>
    <w:rsid w:val="008A4D66"/>
    <w:rsid w:val="008A4DAF"/>
    <w:rsid w:val="008A4DB1"/>
    <w:rsid w:val="008A4DC1"/>
    <w:rsid w:val="008A4DF6"/>
    <w:rsid w:val="008A4E04"/>
    <w:rsid w:val="008A4E3C"/>
    <w:rsid w:val="008A4E42"/>
    <w:rsid w:val="008A4E4F"/>
    <w:rsid w:val="008A4E83"/>
    <w:rsid w:val="008A4EDE"/>
    <w:rsid w:val="008A4F03"/>
    <w:rsid w:val="008A4F31"/>
    <w:rsid w:val="008A4F82"/>
    <w:rsid w:val="008A4FA4"/>
    <w:rsid w:val="008A4FB4"/>
    <w:rsid w:val="008A4FB9"/>
    <w:rsid w:val="008A4FBF"/>
    <w:rsid w:val="008A4FEA"/>
    <w:rsid w:val="008A500B"/>
    <w:rsid w:val="008A5094"/>
    <w:rsid w:val="008A50CE"/>
    <w:rsid w:val="008A5109"/>
    <w:rsid w:val="008A5145"/>
    <w:rsid w:val="008A5146"/>
    <w:rsid w:val="008A51CB"/>
    <w:rsid w:val="008A525D"/>
    <w:rsid w:val="008A5278"/>
    <w:rsid w:val="008A52DA"/>
    <w:rsid w:val="008A52FC"/>
    <w:rsid w:val="008A5302"/>
    <w:rsid w:val="008A533B"/>
    <w:rsid w:val="008A5364"/>
    <w:rsid w:val="008A53BA"/>
    <w:rsid w:val="008A53C0"/>
    <w:rsid w:val="008A53DA"/>
    <w:rsid w:val="008A54CF"/>
    <w:rsid w:val="008A5527"/>
    <w:rsid w:val="008A554B"/>
    <w:rsid w:val="008A5568"/>
    <w:rsid w:val="008A558B"/>
    <w:rsid w:val="008A5601"/>
    <w:rsid w:val="008A561B"/>
    <w:rsid w:val="008A5621"/>
    <w:rsid w:val="008A5624"/>
    <w:rsid w:val="008A563F"/>
    <w:rsid w:val="008A5649"/>
    <w:rsid w:val="008A5656"/>
    <w:rsid w:val="008A56C3"/>
    <w:rsid w:val="008A56D5"/>
    <w:rsid w:val="008A5742"/>
    <w:rsid w:val="008A574E"/>
    <w:rsid w:val="008A58D9"/>
    <w:rsid w:val="008A590C"/>
    <w:rsid w:val="008A591F"/>
    <w:rsid w:val="008A596D"/>
    <w:rsid w:val="008A59ED"/>
    <w:rsid w:val="008A59F4"/>
    <w:rsid w:val="008A5A85"/>
    <w:rsid w:val="008A5A86"/>
    <w:rsid w:val="008A5B4D"/>
    <w:rsid w:val="008A5B7D"/>
    <w:rsid w:val="008A5BD3"/>
    <w:rsid w:val="008A5BE4"/>
    <w:rsid w:val="008A5BEB"/>
    <w:rsid w:val="008A5C11"/>
    <w:rsid w:val="008A5C15"/>
    <w:rsid w:val="008A5C56"/>
    <w:rsid w:val="008A5CA7"/>
    <w:rsid w:val="008A5CDD"/>
    <w:rsid w:val="008A5D41"/>
    <w:rsid w:val="008A5D5A"/>
    <w:rsid w:val="008A5D81"/>
    <w:rsid w:val="008A5D91"/>
    <w:rsid w:val="008A5DD9"/>
    <w:rsid w:val="008A5DDA"/>
    <w:rsid w:val="008A5DF9"/>
    <w:rsid w:val="008A5E3E"/>
    <w:rsid w:val="008A5E53"/>
    <w:rsid w:val="008A5E63"/>
    <w:rsid w:val="008A5F42"/>
    <w:rsid w:val="008A5F9F"/>
    <w:rsid w:val="008A5FE4"/>
    <w:rsid w:val="008A600A"/>
    <w:rsid w:val="008A6022"/>
    <w:rsid w:val="008A6023"/>
    <w:rsid w:val="008A6041"/>
    <w:rsid w:val="008A60DF"/>
    <w:rsid w:val="008A60EA"/>
    <w:rsid w:val="008A6131"/>
    <w:rsid w:val="008A615A"/>
    <w:rsid w:val="008A61FE"/>
    <w:rsid w:val="008A6203"/>
    <w:rsid w:val="008A622C"/>
    <w:rsid w:val="008A6288"/>
    <w:rsid w:val="008A62CA"/>
    <w:rsid w:val="008A62F8"/>
    <w:rsid w:val="008A6328"/>
    <w:rsid w:val="008A6397"/>
    <w:rsid w:val="008A63B8"/>
    <w:rsid w:val="008A63C6"/>
    <w:rsid w:val="008A63EE"/>
    <w:rsid w:val="008A640F"/>
    <w:rsid w:val="008A643F"/>
    <w:rsid w:val="008A6440"/>
    <w:rsid w:val="008A646F"/>
    <w:rsid w:val="008A647E"/>
    <w:rsid w:val="008A64A9"/>
    <w:rsid w:val="008A650B"/>
    <w:rsid w:val="008A6512"/>
    <w:rsid w:val="008A652C"/>
    <w:rsid w:val="008A656E"/>
    <w:rsid w:val="008A65BB"/>
    <w:rsid w:val="008A65DB"/>
    <w:rsid w:val="008A65E1"/>
    <w:rsid w:val="008A65FE"/>
    <w:rsid w:val="008A669E"/>
    <w:rsid w:val="008A66DE"/>
    <w:rsid w:val="008A6722"/>
    <w:rsid w:val="008A673A"/>
    <w:rsid w:val="008A675B"/>
    <w:rsid w:val="008A6773"/>
    <w:rsid w:val="008A6788"/>
    <w:rsid w:val="008A679B"/>
    <w:rsid w:val="008A67EF"/>
    <w:rsid w:val="008A67FF"/>
    <w:rsid w:val="008A6842"/>
    <w:rsid w:val="008A6863"/>
    <w:rsid w:val="008A6865"/>
    <w:rsid w:val="008A68C0"/>
    <w:rsid w:val="008A68CC"/>
    <w:rsid w:val="008A68FB"/>
    <w:rsid w:val="008A6933"/>
    <w:rsid w:val="008A696D"/>
    <w:rsid w:val="008A69CD"/>
    <w:rsid w:val="008A69D7"/>
    <w:rsid w:val="008A6A41"/>
    <w:rsid w:val="008A6A54"/>
    <w:rsid w:val="008A6A87"/>
    <w:rsid w:val="008A6A9B"/>
    <w:rsid w:val="008A6AAC"/>
    <w:rsid w:val="008A6ADB"/>
    <w:rsid w:val="008A6B1A"/>
    <w:rsid w:val="008A6B26"/>
    <w:rsid w:val="008A6B31"/>
    <w:rsid w:val="008A6B61"/>
    <w:rsid w:val="008A6BF9"/>
    <w:rsid w:val="008A6C9A"/>
    <w:rsid w:val="008A6D10"/>
    <w:rsid w:val="008A6DAB"/>
    <w:rsid w:val="008A6E30"/>
    <w:rsid w:val="008A6EDF"/>
    <w:rsid w:val="008A6F84"/>
    <w:rsid w:val="008A6FF3"/>
    <w:rsid w:val="008A700B"/>
    <w:rsid w:val="008A701E"/>
    <w:rsid w:val="008A7024"/>
    <w:rsid w:val="008A70B0"/>
    <w:rsid w:val="008A70E0"/>
    <w:rsid w:val="008A718B"/>
    <w:rsid w:val="008A718D"/>
    <w:rsid w:val="008A71B9"/>
    <w:rsid w:val="008A71C2"/>
    <w:rsid w:val="008A71CB"/>
    <w:rsid w:val="008A722F"/>
    <w:rsid w:val="008A7285"/>
    <w:rsid w:val="008A7292"/>
    <w:rsid w:val="008A72C3"/>
    <w:rsid w:val="008A72DD"/>
    <w:rsid w:val="008A7305"/>
    <w:rsid w:val="008A737A"/>
    <w:rsid w:val="008A73C0"/>
    <w:rsid w:val="008A7425"/>
    <w:rsid w:val="008A7443"/>
    <w:rsid w:val="008A74A1"/>
    <w:rsid w:val="008A74B9"/>
    <w:rsid w:val="008A74DC"/>
    <w:rsid w:val="008A74FF"/>
    <w:rsid w:val="008A7560"/>
    <w:rsid w:val="008A7595"/>
    <w:rsid w:val="008A75F3"/>
    <w:rsid w:val="008A7640"/>
    <w:rsid w:val="008A7658"/>
    <w:rsid w:val="008A7664"/>
    <w:rsid w:val="008A76D3"/>
    <w:rsid w:val="008A771C"/>
    <w:rsid w:val="008A7730"/>
    <w:rsid w:val="008A778C"/>
    <w:rsid w:val="008A77A4"/>
    <w:rsid w:val="008A77BD"/>
    <w:rsid w:val="008A7863"/>
    <w:rsid w:val="008A7886"/>
    <w:rsid w:val="008A78B8"/>
    <w:rsid w:val="008A78BE"/>
    <w:rsid w:val="008A7974"/>
    <w:rsid w:val="008A79FD"/>
    <w:rsid w:val="008A79FF"/>
    <w:rsid w:val="008A7A36"/>
    <w:rsid w:val="008A7A4A"/>
    <w:rsid w:val="008A7AB0"/>
    <w:rsid w:val="008A7ACD"/>
    <w:rsid w:val="008A7AF6"/>
    <w:rsid w:val="008A7B04"/>
    <w:rsid w:val="008A7C0B"/>
    <w:rsid w:val="008A7CF7"/>
    <w:rsid w:val="008A7D48"/>
    <w:rsid w:val="008A7DA9"/>
    <w:rsid w:val="008A7DBC"/>
    <w:rsid w:val="008A7DF0"/>
    <w:rsid w:val="008A7E53"/>
    <w:rsid w:val="008A7E84"/>
    <w:rsid w:val="008A7E8D"/>
    <w:rsid w:val="008A7E9F"/>
    <w:rsid w:val="008A7EEF"/>
    <w:rsid w:val="008A7F2C"/>
    <w:rsid w:val="008A7F60"/>
    <w:rsid w:val="008A7FE0"/>
    <w:rsid w:val="008B0030"/>
    <w:rsid w:val="008B0050"/>
    <w:rsid w:val="008B0106"/>
    <w:rsid w:val="008B0155"/>
    <w:rsid w:val="008B0161"/>
    <w:rsid w:val="008B017E"/>
    <w:rsid w:val="008B0185"/>
    <w:rsid w:val="008B0194"/>
    <w:rsid w:val="008B0204"/>
    <w:rsid w:val="008B021A"/>
    <w:rsid w:val="008B0241"/>
    <w:rsid w:val="008B029E"/>
    <w:rsid w:val="008B02CB"/>
    <w:rsid w:val="008B02E6"/>
    <w:rsid w:val="008B03D1"/>
    <w:rsid w:val="008B03ED"/>
    <w:rsid w:val="008B03F6"/>
    <w:rsid w:val="008B0401"/>
    <w:rsid w:val="008B042D"/>
    <w:rsid w:val="008B042E"/>
    <w:rsid w:val="008B0440"/>
    <w:rsid w:val="008B0471"/>
    <w:rsid w:val="008B0474"/>
    <w:rsid w:val="008B0475"/>
    <w:rsid w:val="008B0479"/>
    <w:rsid w:val="008B0481"/>
    <w:rsid w:val="008B048A"/>
    <w:rsid w:val="008B04B4"/>
    <w:rsid w:val="008B04BC"/>
    <w:rsid w:val="008B04D5"/>
    <w:rsid w:val="008B04EC"/>
    <w:rsid w:val="008B0501"/>
    <w:rsid w:val="008B0508"/>
    <w:rsid w:val="008B0522"/>
    <w:rsid w:val="008B053F"/>
    <w:rsid w:val="008B05DE"/>
    <w:rsid w:val="008B05E9"/>
    <w:rsid w:val="008B0668"/>
    <w:rsid w:val="008B06C2"/>
    <w:rsid w:val="008B06F1"/>
    <w:rsid w:val="008B07BC"/>
    <w:rsid w:val="008B07CB"/>
    <w:rsid w:val="008B07CF"/>
    <w:rsid w:val="008B0815"/>
    <w:rsid w:val="008B0821"/>
    <w:rsid w:val="008B0846"/>
    <w:rsid w:val="008B0890"/>
    <w:rsid w:val="008B08F9"/>
    <w:rsid w:val="008B0955"/>
    <w:rsid w:val="008B096D"/>
    <w:rsid w:val="008B09EB"/>
    <w:rsid w:val="008B0A4A"/>
    <w:rsid w:val="008B0A86"/>
    <w:rsid w:val="008B0B09"/>
    <w:rsid w:val="008B0B32"/>
    <w:rsid w:val="008B0B4E"/>
    <w:rsid w:val="008B0B6F"/>
    <w:rsid w:val="008B0C1E"/>
    <w:rsid w:val="008B0C37"/>
    <w:rsid w:val="008B0C62"/>
    <w:rsid w:val="008B0C80"/>
    <w:rsid w:val="008B0C98"/>
    <w:rsid w:val="008B0CDA"/>
    <w:rsid w:val="008B0D01"/>
    <w:rsid w:val="008B0D03"/>
    <w:rsid w:val="008B0D2B"/>
    <w:rsid w:val="008B0D69"/>
    <w:rsid w:val="008B0DD9"/>
    <w:rsid w:val="008B0DDD"/>
    <w:rsid w:val="008B0E54"/>
    <w:rsid w:val="008B0E6F"/>
    <w:rsid w:val="008B0EB5"/>
    <w:rsid w:val="008B0F47"/>
    <w:rsid w:val="008B0F89"/>
    <w:rsid w:val="008B1033"/>
    <w:rsid w:val="008B104C"/>
    <w:rsid w:val="008B1053"/>
    <w:rsid w:val="008B10A9"/>
    <w:rsid w:val="008B10B9"/>
    <w:rsid w:val="008B11EA"/>
    <w:rsid w:val="008B124B"/>
    <w:rsid w:val="008B1257"/>
    <w:rsid w:val="008B1266"/>
    <w:rsid w:val="008B12A6"/>
    <w:rsid w:val="008B12D2"/>
    <w:rsid w:val="008B1350"/>
    <w:rsid w:val="008B1390"/>
    <w:rsid w:val="008B13A3"/>
    <w:rsid w:val="008B13D0"/>
    <w:rsid w:val="008B141D"/>
    <w:rsid w:val="008B148B"/>
    <w:rsid w:val="008B1496"/>
    <w:rsid w:val="008B14BE"/>
    <w:rsid w:val="008B14C7"/>
    <w:rsid w:val="008B14D3"/>
    <w:rsid w:val="008B15BD"/>
    <w:rsid w:val="008B1602"/>
    <w:rsid w:val="008B164C"/>
    <w:rsid w:val="008B1669"/>
    <w:rsid w:val="008B16D4"/>
    <w:rsid w:val="008B16FE"/>
    <w:rsid w:val="008B174B"/>
    <w:rsid w:val="008B175F"/>
    <w:rsid w:val="008B1827"/>
    <w:rsid w:val="008B1850"/>
    <w:rsid w:val="008B1869"/>
    <w:rsid w:val="008B1879"/>
    <w:rsid w:val="008B1880"/>
    <w:rsid w:val="008B18C6"/>
    <w:rsid w:val="008B18D9"/>
    <w:rsid w:val="008B18E7"/>
    <w:rsid w:val="008B1929"/>
    <w:rsid w:val="008B1932"/>
    <w:rsid w:val="008B193B"/>
    <w:rsid w:val="008B1948"/>
    <w:rsid w:val="008B19B3"/>
    <w:rsid w:val="008B19CE"/>
    <w:rsid w:val="008B1A0B"/>
    <w:rsid w:val="008B1AD0"/>
    <w:rsid w:val="008B1B74"/>
    <w:rsid w:val="008B1BE1"/>
    <w:rsid w:val="008B1C16"/>
    <w:rsid w:val="008B1C30"/>
    <w:rsid w:val="008B1C50"/>
    <w:rsid w:val="008B1C7E"/>
    <w:rsid w:val="008B1D15"/>
    <w:rsid w:val="008B1D17"/>
    <w:rsid w:val="008B1D2B"/>
    <w:rsid w:val="008B1D79"/>
    <w:rsid w:val="008B1DA6"/>
    <w:rsid w:val="008B1DF6"/>
    <w:rsid w:val="008B1E3C"/>
    <w:rsid w:val="008B1E82"/>
    <w:rsid w:val="008B1E8E"/>
    <w:rsid w:val="008B1EB0"/>
    <w:rsid w:val="008B1EE8"/>
    <w:rsid w:val="008B1EFD"/>
    <w:rsid w:val="008B1FC8"/>
    <w:rsid w:val="008B1FCD"/>
    <w:rsid w:val="008B1FE6"/>
    <w:rsid w:val="008B1FF3"/>
    <w:rsid w:val="008B2004"/>
    <w:rsid w:val="008B202B"/>
    <w:rsid w:val="008B208B"/>
    <w:rsid w:val="008B20CC"/>
    <w:rsid w:val="008B20D8"/>
    <w:rsid w:val="008B20DE"/>
    <w:rsid w:val="008B2198"/>
    <w:rsid w:val="008B21B1"/>
    <w:rsid w:val="008B21E2"/>
    <w:rsid w:val="008B21F1"/>
    <w:rsid w:val="008B220B"/>
    <w:rsid w:val="008B2263"/>
    <w:rsid w:val="008B2272"/>
    <w:rsid w:val="008B2279"/>
    <w:rsid w:val="008B22D6"/>
    <w:rsid w:val="008B2318"/>
    <w:rsid w:val="008B2334"/>
    <w:rsid w:val="008B234A"/>
    <w:rsid w:val="008B23C6"/>
    <w:rsid w:val="008B244A"/>
    <w:rsid w:val="008B247F"/>
    <w:rsid w:val="008B2482"/>
    <w:rsid w:val="008B249E"/>
    <w:rsid w:val="008B24AC"/>
    <w:rsid w:val="008B24E2"/>
    <w:rsid w:val="008B250D"/>
    <w:rsid w:val="008B25BA"/>
    <w:rsid w:val="008B25E8"/>
    <w:rsid w:val="008B25F3"/>
    <w:rsid w:val="008B2612"/>
    <w:rsid w:val="008B26DD"/>
    <w:rsid w:val="008B26FB"/>
    <w:rsid w:val="008B2705"/>
    <w:rsid w:val="008B273A"/>
    <w:rsid w:val="008B27C8"/>
    <w:rsid w:val="008B2803"/>
    <w:rsid w:val="008B2869"/>
    <w:rsid w:val="008B2890"/>
    <w:rsid w:val="008B28DD"/>
    <w:rsid w:val="008B2941"/>
    <w:rsid w:val="008B29C4"/>
    <w:rsid w:val="008B2A08"/>
    <w:rsid w:val="008B2A28"/>
    <w:rsid w:val="008B2A43"/>
    <w:rsid w:val="008B2B09"/>
    <w:rsid w:val="008B2B12"/>
    <w:rsid w:val="008B2B3D"/>
    <w:rsid w:val="008B2B70"/>
    <w:rsid w:val="008B2B83"/>
    <w:rsid w:val="008B2BAA"/>
    <w:rsid w:val="008B2BC0"/>
    <w:rsid w:val="008B2BC3"/>
    <w:rsid w:val="008B2BEF"/>
    <w:rsid w:val="008B2BF2"/>
    <w:rsid w:val="008B2C1C"/>
    <w:rsid w:val="008B2C71"/>
    <w:rsid w:val="008B2CA8"/>
    <w:rsid w:val="008B2CE7"/>
    <w:rsid w:val="008B2CF4"/>
    <w:rsid w:val="008B2D09"/>
    <w:rsid w:val="008B2D51"/>
    <w:rsid w:val="008B2D65"/>
    <w:rsid w:val="008B2DCC"/>
    <w:rsid w:val="008B2DF2"/>
    <w:rsid w:val="008B2E22"/>
    <w:rsid w:val="008B2EA6"/>
    <w:rsid w:val="008B2EAC"/>
    <w:rsid w:val="008B2EFE"/>
    <w:rsid w:val="008B2F15"/>
    <w:rsid w:val="008B2F1D"/>
    <w:rsid w:val="008B2F9C"/>
    <w:rsid w:val="008B2FB3"/>
    <w:rsid w:val="008B2FF1"/>
    <w:rsid w:val="008B2FF7"/>
    <w:rsid w:val="008B305C"/>
    <w:rsid w:val="008B3074"/>
    <w:rsid w:val="008B3080"/>
    <w:rsid w:val="008B3199"/>
    <w:rsid w:val="008B323E"/>
    <w:rsid w:val="008B3253"/>
    <w:rsid w:val="008B3311"/>
    <w:rsid w:val="008B3322"/>
    <w:rsid w:val="008B3370"/>
    <w:rsid w:val="008B3387"/>
    <w:rsid w:val="008B3388"/>
    <w:rsid w:val="008B339E"/>
    <w:rsid w:val="008B33BD"/>
    <w:rsid w:val="008B3411"/>
    <w:rsid w:val="008B342D"/>
    <w:rsid w:val="008B345B"/>
    <w:rsid w:val="008B345E"/>
    <w:rsid w:val="008B347C"/>
    <w:rsid w:val="008B3481"/>
    <w:rsid w:val="008B3517"/>
    <w:rsid w:val="008B3552"/>
    <w:rsid w:val="008B3576"/>
    <w:rsid w:val="008B35A0"/>
    <w:rsid w:val="008B35BD"/>
    <w:rsid w:val="008B35CB"/>
    <w:rsid w:val="008B35F8"/>
    <w:rsid w:val="008B3605"/>
    <w:rsid w:val="008B3621"/>
    <w:rsid w:val="008B3636"/>
    <w:rsid w:val="008B36AC"/>
    <w:rsid w:val="008B36B0"/>
    <w:rsid w:val="008B36D6"/>
    <w:rsid w:val="008B371A"/>
    <w:rsid w:val="008B37C4"/>
    <w:rsid w:val="008B37C7"/>
    <w:rsid w:val="008B37C9"/>
    <w:rsid w:val="008B380E"/>
    <w:rsid w:val="008B3815"/>
    <w:rsid w:val="008B3821"/>
    <w:rsid w:val="008B383E"/>
    <w:rsid w:val="008B390C"/>
    <w:rsid w:val="008B396B"/>
    <w:rsid w:val="008B3970"/>
    <w:rsid w:val="008B3A24"/>
    <w:rsid w:val="008B3B02"/>
    <w:rsid w:val="008B3B20"/>
    <w:rsid w:val="008B3B34"/>
    <w:rsid w:val="008B3BBA"/>
    <w:rsid w:val="008B3C11"/>
    <w:rsid w:val="008B3C2E"/>
    <w:rsid w:val="008B3C48"/>
    <w:rsid w:val="008B3C67"/>
    <w:rsid w:val="008B3C6E"/>
    <w:rsid w:val="008B3C81"/>
    <w:rsid w:val="008B3D58"/>
    <w:rsid w:val="008B3D5B"/>
    <w:rsid w:val="008B3D85"/>
    <w:rsid w:val="008B3DAF"/>
    <w:rsid w:val="008B3DD3"/>
    <w:rsid w:val="008B3DE9"/>
    <w:rsid w:val="008B3E18"/>
    <w:rsid w:val="008B3E27"/>
    <w:rsid w:val="008B3E45"/>
    <w:rsid w:val="008B3E5C"/>
    <w:rsid w:val="008B3E60"/>
    <w:rsid w:val="008B3E84"/>
    <w:rsid w:val="008B3F0B"/>
    <w:rsid w:val="008B3F0E"/>
    <w:rsid w:val="008B3F37"/>
    <w:rsid w:val="008B3F4A"/>
    <w:rsid w:val="008B3F51"/>
    <w:rsid w:val="008B3F77"/>
    <w:rsid w:val="008B3F9D"/>
    <w:rsid w:val="008B3FB7"/>
    <w:rsid w:val="008B403E"/>
    <w:rsid w:val="008B4091"/>
    <w:rsid w:val="008B40A6"/>
    <w:rsid w:val="008B40B2"/>
    <w:rsid w:val="008B4113"/>
    <w:rsid w:val="008B413B"/>
    <w:rsid w:val="008B4148"/>
    <w:rsid w:val="008B414C"/>
    <w:rsid w:val="008B416C"/>
    <w:rsid w:val="008B41AA"/>
    <w:rsid w:val="008B41FA"/>
    <w:rsid w:val="008B4213"/>
    <w:rsid w:val="008B421C"/>
    <w:rsid w:val="008B425A"/>
    <w:rsid w:val="008B4293"/>
    <w:rsid w:val="008B42BD"/>
    <w:rsid w:val="008B42CD"/>
    <w:rsid w:val="008B42FE"/>
    <w:rsid w:val="008B4325"/>
    <w:rsid w:val="008B436B"/>
    <w:rsid w:val="008B43A3"/>
    <w:rsid w:val="008B43BF"/>
    <w:rsid w:val="008B43E5"/>
    <w:rsid w:val="008B44C2"/>
    <w:rsid w:val="008B4555"/>
    <w:rsid w:val="008B458F"/>
    <w:rsid w:val="008B4591"/>
    <w:rsid w:val="008B45A8"/>
    <w:rsid w:val="008B45BD"/>
    <w:rsid w:val="008B45EA"/>
    <w:rsid w:val="008B45EC"/>
    <w:rsid w:val="008B460F"/>
    <w:rsid w:val="008B4703"/>
    <w:rsid w:val="008B4738"/>
    <w:rsid w:val="008B4753"/>
    <w:rsid w:val="008B478E"/>
    <w:rsid w:val="008B47B0"/>
    <w:rsid w:val="008B47D4"/>
    <w:rsid w:val="008B47D6"/>
    <w:rsid w:val="008B47DB"/>
    <w:rsid w:val="008B47F2"/>
    <w:rsid w:val="008B47F6"/>
    <w:rsid w:val="008B482E"/>
    <w:rsid w:val="008B4842"/>
    <w:rsid w:val="008B4850"/>
    <w:rsid w:val="008B486C"/>
    <w:rsid w:val="008B48B4"/>
    <w:rsid w:val="008B48F1"/>
    <w:rsid w:val="008B4900"/>
    <w:rsid w:val="008B4960"/>
    <w:rsid w:val="008B49A2"/>
    <w:rsid w:val="008B49EA"/>
    <w:rsid w:val="008B49F1"/>
    <w:rsid w:val="008B4A5A"/>
    <w:rsid w:val="008B4AC5"/>
    <w:rsid w:val="008B4AF0"/>
    <w:rsid w:val="008B4B1E"/>
    <w:rsid w:val="008B4C14"/>
    <w:rsid w:val="008B4C62"/>
    <w:rsid w:val="008B4CB2"/>
    <w:rsid w:val="008B4CFD"/>
    <w:rsid w:val="008B4D7B"/>
    <w:rsid w:val="008B4D98"/>
    <w:rsid w:val="008B4F52"/>
    <w:rsid w:val="008B4F8C"/>
    <w:rsid w:val="008B4FBA"/>
    <w:rsid w:val="008B4FD4"/>
    <w:rsid w:val="008B4FEA"/>
    <w:rsid w:val="008B5068"/>
    <w:rsid w:val="008B5074"/>
    <w:rsid w:val="008B5089"/>
    <w:rsid w:val="008B50CF"/>
    <w:rsid w:val="008B50FA"/>
    <w:rsid w:val="008B5136"/>
    <w:rsid w:val="008B513D"/>
    <w:rsid w:val="008B515D"/>
    <w:rsid w:val="008B517B"/>
    <w:rsid w:val="008B51C1"/>
    <w:rsid w:val="008B5200"/>
    <w:rsid w:val="008B5218"/>
    <w:rsid w:val="008B5227"/>
    <w:rsid w:val="008B527C"/>
    <w:rsid w:val="008B5296"/>
    <w:rsid w:val="008B52E0"/>
    <w:rsid w:val="008B5325"/>
    <w:rsid w:val="008B538C"/>
    <w:rsid w:val="008B5391"/>
    <w:rsid w:val="008B53B7"/>
    <w:rsid w:val="008B53BD"/>
    <w:rsid w:val="008B543A"/>
    <w:rsid w:val="008B5458"/>
    <w:rsid w:val="008B548B"/>
    <w:rsid w:val="008B549B"/>
    <w:rsid w:val="008B54CA"/>
    <w:rsid w:val="008B54CE"/>
    <w:rsid w:val="008B54DA"/>
    <w:rsid w:val="008B55C1"/>
    <w:rsid w:val="008B560B"/>
    <w:rsid w:val="008B5618"/>
    <w:rsid w:val="008B5644"/>
    <w:rsid w:val="008B56A0"/>
    <w:rsid w:val="008B570A"/>
    <w:rsid w:val="008B570C"/>
    <w:rsid w:val="008B5732"/>
    <w:rsid w:val="008B573C"/>
    <w:rsid w:val="008B574A"/>
    <w:rsid w:val="008B5750"/>
    <w:rsid w:val="008B57CE"/>
    <w:rsid w:val="008B5868"/>
    <w:rsid w:val="008B58A2"/>
    <w:rsid w:val="008B58B3"/>
    <w:rsid w:val="008B58C9"/>
    <w:rsid w:val="008B59D1"/>
    <w:rsid w:val="008B5A4A"/>
    <w:rsid w:val="008B5A5C"/>
    <w:rsid w:val="008B5ACA"/>
    <w:rsid w:val="008B5AD2"/>
    <w:rsid w:val="008B5AF6"/>
    <w:rsid w:val="008B5B00"/>
    <w:rsid w:val="008B5B14"/>
    <w:rsid w:val="008B5B2E"/>
    <w:rsid w:val="008B5B3D"/>
    <w:rsid w:val="008B5B49"/>
    <w:rsid w:val="008B5B4E"/>
    <w:rsid w:val="008B5B92"/>
    <w:rsid w:val="008B5BDC"/>
    <w:rsid w:val="008B5BF2"/>
    <w:rsid w:val="008B5BFC"/>
    <w:rsid w:val="008B5C17"/>
    <w:rsid w:val="008B5C1D"/>
    <w:rsid w:val="008B5CA7"/>
    <w:rsid w:val="008B5CF3"/>
    <w:rsid w:val="008B5D38"/>
    <w:rsid w:val="008B5D4A"/>
    <w:rsid w:val="008B5D7F"/>
    <w:rsid w:val="008B5D98"/>
    <w:rsid w:val="008B5DB1"/>
    <w:rsid w:val="008B5DEC"/>
    <w:rsid w:val="008B5DF0"/>
    <w:rsid w:val="008B5DFE"/>
    <w:rsid w:val="008B5E00"/>
    <w:rsid w:val="008B5E23"/>
    <w:rsid w:val="008B5E35"/>
    <w:rsid w:val="008B5E5E"/>
    <w:rsid w:val="008B5E8C"/>
    <w:rsid w:val="008B5EB6"/>
    <w:rsid w:val="008B5EC4"/>
    <w:rsid w:val="008B5EE4"/>
    <w:rsid w:val="008B5F23"/>
    <w:rsid w:val="008B5F2F"/>
    <w:rsid w:val="008B5F8A"/>
    <w:rsid w:val="008B5F98"/>
    <w:rsid w:val="008B5FA2"/>
    <w:rsid w:val="008B606F"/>
    <w:rsid w:val="008B607F"/>
    <w:rsid w:val="008B6090"/>
    <w:rsid w:val="008B60A8"/>
    <w:rsid w:val="008B60C5"/>
    <w:rsid w:val="008B60CE"/>
    <w:rsid w:val="008B60FE"/>
    <w:rsid w:val="008B610F"/>
    <w:rsid w:val="008B6188"/>
    <w:rsid w:val="008B621F"/>
    <w:rsid w:val="008B6275"/>
    <w:rsid w:val="008B6287"/>
    <w:rsid w:val="008B628C"/>
    <w:rsid w:val="008B62D4"/>
    <w:rsid w:val="008B62F9"/>
    <w:rsid w:val="008B63D5"/>
    <w:rsid w:val="008B6484"/>
    <w:rsid w:val="008B6517"/>
    <w:rsid w:val="008B657D"/>
    <w:rsid w:val="008B6585"/>
    <w:rsid w:val="008B659A"/>
    <w:rsid w:val="008B65A5"/>
    <w:rsid w:val="008B661D"/>
    <w:rsid w:val="008B66D4"/>
    <w:rsid w:val="008B66DB"/>
    <w:rsid w:val="008B6725"/>
    <w:rsid w:val="008B673F"/>
    <w:rsid w:val="008B6742"/>
    <w:rsid w:val="008B674E"/>
    <w:rsid w:val="008B675B"/>
    <w:rsid w:val="008B6761"/>
    <w:rsid w:val="008B67A2"/>
    <w:rsid w:val="008B67AF"/>
    <w:rsid w:val="008B67D6"/>
    <w:rsid w:val="008B67DD"/>
    <w:rsid w:val="008B67F2"/>
    <w:rsid w:val="008B6851"/>
    <w:rsid w:val="008B6880"/>
    <w:rsid w:val="008B68C2"/>
    <w:rsid w:val="008B68D9"/>
    <w:rsid w:val="008B6940"/>
    <w:rsid w:val="008B6952"/>
    <w:rsid w:val="008B695A"/>
    <w:rsid w:val="008B697B"/>
    <w:rsid w:val="008B69D4"/>
    <w:rsid w:val="008B69E1"/>
    <w:rsid w:val="008B6A1A"/>
    <w:rsid w:val="008B6A28"/>
    <w:rsid w:val="008B6A47"/>
    <w:rsid w:val="008B6A5B"/>
    <w:rsid w:val="008B6A95"/>
    <w:rsid w:val="008B6AD7"/>
    <w:rsid w:val="008B6B73"/>
    <w:rsid w:val="008B6B82"/>
    <w:rsid w:val="008B6B88"/>
    <w:rsid w:val="008B6B8A"/>
    <w:rsid w:val="008B6BDE"/>
    <w:rsid w:val="008B6BEF"/>
    <w:rsid w:val="008B6C61"/>
    <w:rsid w:val="008B6CD4"/>
    <w:rsid w:val="008B6CEA"/>
    <w:rsid w:val="008B6D14"/>
    <w:rsid w:val="008B6D59"/>
    <w:rsid w:val="008B6D76"/>
    <w:rsid w:val="008B6DB0"/>
    <w:rsid w:val="008B6E04"/>
    <w:rsid w:val="008B6E30"/>
    <w:rsid w:val="008B6EDF"/>
    <w:rsid w:val="008B6EF2"/>
    <w:rsid w:val="008B6EFA"/>
    <w:rsid w:val="008B6F5D"/>
    <w:rsid w:val="008B6FA5"/>
    <w:rsid w:val="008B6FB6"/>
    <w:rsid w:val="008B6FCD"/>
    <w:rsid w:val="008B7037"/>
    <w:rsid w:val="008B7070"/>
    <w:rsid w:val="008B70B0"/>
    <w:rsid w:val="008B70BC"/>
    <w:rsid w:val="008B70CF"/>
    <w:rsid w:val="008B70E7"/>
    <w:rsid w:val="008B7150"/>
    <w:rsid w:val="008B7155"/>
    <w:rsid w:val="008B7170"/>
    <w:rsid w:val="008B71F3"/>
    <w:rsid w:val="008B7262"/>
    <w:rsid w:val="008B7263"/>
    <w:rsid w:val="008B7292"/>
    <w:rsid w:val="008B7312"/>
    <w:rsid w:val="008B7325"/>
    <w:rsid w:val="008B73B7"/>
    <w:rsid w:val="008B73BC"/>
    <w:rsid w:val="008B73C9"/>
    <w:rsid w:val="008B73E0"/>
    <w:rsid w:val="008B73F1"/>
    <w:rsid w:val="008B7412"/>
    <w:rsid w:val="008B7429"/>
    <w:rsid w:val="008B74C9"/>
    <w:rsid w:val="008B74FA"/>
    <w:rsid w:val="008B74FF"/>
    <w:rsid w:val="008B750B"/>
    <w:rsid w:val="008B7536"/>
    <w:rsid w:val="008B754A"/>
    <w:rsid w:val="008B7566"/>
    <w:rsid w:val="008B7585"/>
    <w:rsid w:val="008B761E"/>
    <w:rsid w:val="008B762E"/>
    <w:rsid w:val="008B7654"/>
    <w:rsid w:val="008B7676"/>
    <w:rsid w:val="008B771D"/>
    <w:rsid w:val="008B771E"/>
    <w:rsid w:val="008B772A"/>
    <w:rsid w:val="008B77A3"/>
    <w:rsid w:val="008B77B6"/>
    <w:rsid w:val="008B77B9"/>
    <w:rsid w:val="008B77D2"/>
    <w:rsid w:val="008B77DE"/>
    <w:rsid w:val="008B7809"/>
    <w:rsid w:val="008B7831"/>
    <w:rsid w:val="008B78BF"/>
    <w:rsid w:val="008B7932"/>
    <w:rsid w:val="008B7938"/>
    <w:rsid w:val="008B7976"/>
    <w:rsid w:val="008B79D9"/>
    <w:rsid w:val="008B7A47"/>
    <w:rsid w:val="008B7A4F"/>
    <w:rsid w:val="008B7A8D"/>
    <w:rsid w:val="008B7A8E"/>
    <w:rsid w:val="008B7AE3"/>
    <w:rsid w:val="008B7AF6"/>
    <w:rsid w:val="008B7AFB"/>
    <w:rsid w:val="008B7B0A"/>
    <w:rsid w:val="008B7B21"/>
    <w:rsid w:val="008B7B36"/>
    <w:rsid w:val="008B7B5A"/>
    <w:rsid w:val="008B7BC3"/>
    <w:rsid w:val="008B7C59"/>
    <w:rsid w:val="008B7C87"/>
    <w:rsid w:val="008B7CC5"/>
    <w:rsid w:val="008B7CD1"/>
    <w:rsid w:val="008B7CDA"/>
    <w:rsid w:val="008B7D37"/>
    <w:rsid w:val="008B7D4E"/>
    <w:rsid w:val="008B7D52"/>
    <w:rsid w:val="008B7E31"/>
    <w:rsid w:val="008B7E6B"/>
    <w:rsid w:val="008B7F67"/>
    <w:rsid w:val="008B7FCA"/>
    <w:rsid w:val="008C00A7"/>
    <w:rsid w:val="008C00CB"/>
    <w:rsid w:val="008C00E7"/>
    <w:rsid w:val="008C011C"/>
    <w:rsid w:val="008C0122"/>
    <w:rsid w:val="008C012D"/>
    <w:rsid w:val="008C0167"/>
    <w:rsid w:val="008C0179"/>
    <w:rsid w:val="008C019F"/>
    <w:rsid w:val="008C01FD"/>
    <w:rsid w:val="008C0253"/>
    <w:rsid w:val="008C0283"/>
    <w:rsid w:val="008C02C9"/>
    <w:rsid w:val="008C02EB"/>
    <w:rsid w:val="008C036A"/>
    <w:rsid w:val="008C039F"/>
    <w:rsid w:val="008C03B2"/>
    <w:rsid w:val="008C03C5"/>
    <w:rsid w:val="008C0422"/>
    <w:rsid w:val="008C0471"/>
    <w:rsid w:val="008C0479"/>
    <w:rsid w:val="008C04B3"/>
    <w:rsid w:val="008C0525"/>
    <w:rsid w:val="008C053A"/>
    <w:rsid w:val="008C059E"/>
    <w:rsid w:val="008C05B1"/>
    <w:rsid w:val="008C05F7"/>
    <w:rsid w:val="008C0610"/>
    <w:rsid w:val="008C0637"/>
    <w:rsid w:val="008C063C"/>
    <w:rsid w:val="008C0642"/>
    <w:rsid w:val="008C0687"/>
    <w:rsid w:val="008C069D"/>
    <w:rsid w:val="008C06C2"/>
    <w:rsid w:val="008C06E2"/>
    <w:rsid w:val="008C06E3"/>
    <w:rsid w:val="008C06ED"/>
    <w:rsid w:val="008C06EE"/>
    <w:rsid w:val="008C071A"/>
    <w:rsid w:val="008C0755"/>
    <w:rsid w:val="008C0760"/>
    <w:rsid w:val="008C077B"/>
    <w:rsid w:val="008C07A3"/>
    <w:rsid w:val="008C07D2"/>
    <w:rsid w:val="008C07F0"/>
    <w:rsid w:val="008C085C"/>
    <w:rsid w:val="008C08DE"/>
    <w:rsid w:val="008C08E7"/>
    <w:rsid w:val="008C094F"/>
    <w:rsid w:val="008C0953"/>
    <w:rsid w:val="008C095F"/>
    <w:rsid w:val="008C0968"/>
    <w:rsid w:val="008C0974"/>
    <w:rsid w:val="008C0A2F"/>
    <w:rsid w:val="008C0A71"/>
    <w:rsid w:val="008C0AA2"/>
    <w:rsid w:val="008C0AC0"/>
    <w:rsid w:val="008C0ACB"/>
    <w:rsid w:val="008C0B3F"/>
    <w:rsid w:val="008C0B5D"/>
    <w:rsid w:val="008C0B7C"/>
    <w:rsid w:val="008C0C22"/>
    <w:rsid w:val="008C0C34"/>
    <w:rsid w:val="008C0C46"/>
    <w:rsid w:val="008C0C4A"/>
    <w:rsid w:val="008C0C53"/>
    <w:rsid w:val="008C0C8A"/>
    <w:rsid w:val="008C0C9D"/>
    <w:rsid w:val="008C0CB0"/>
    <w:rsid w:val="008C0CB5"/>
    <w:rsid w:val="008C0CB7"/>
    <w:rsid w:val="008C0D0B"/>
    <w:rsid w:val="008C0D20"/>
    <w:rsid w:val="008C0D53"/>
    <w:rsid w:val="008C0D8B"/>
    <w:rsid w:val="008C0DD5"/>
    <w:rsid w:val="008C0E1D"/>
    <w:rsid w:val="008C0E29"/>
    <w:rsid w:val="008C0E62"/>
    <w:rsid w:val="008C0E9F"/>
    <w:rsid w:val="008C0EE7"/>
    <w:rsid w:val="008C0EE8"/>
    <w:rsid w:val="008C0EEE"/>
    <w:rsid w:val="008C0F6A"/>
    <w:rsid w:val="008C0F94"/>
    <w:rsid w:val="008C0FA5"/>
    <w:rsid w:val="008C0FDA"/>
    <w:rsid w:val="008C0FDB"/>
    <w:rsid w:val="008C1013"/>
    <w:rsid w:val="008C102C"/>
    <w:rsid w:val="008C103C"/>
    <w:rsid w:val="008C1058"/>
    <w:rsid w:val="008C109E"/>
    <w:rsid w:val="008C10C7"/>
    <w:rsid w:val="008C10ED"/>
    <w:rsid w:val="008C10F4"/>
    <w:rsid w:val="008C110F"/>
    <w:rsid w:val="008C1147"/>
    <w:rsid w:val="008C115D"/>
    <w:rsid w:val="008C1161"/>
    <w:rsid w:val="008C11AC"/>
    <w:rsid w:val="008C11F4"/>
    <w:rsid w:val="008C1210"/>
    <w:rsid w:val="008C122A"/>
    <w:rsid w:val="008C1275"/>
    <w:rsid w:val="008C127D"/>
    <w:rsid w:val="008C12BA"/>
    <w:rsid w:val="008C12CD"/>
    <w:rsid w:val="008C12F2"/>
    <w:rsid w:val="008C12FA"/>
    <w:rsid w:val="008C1314"/>
    <w:rsid w:val="008C1316"/>
    <w:rsid w:val="008C136A"/>
    <w:rsid w:val="008C1372"/>
    <w:rsid w:val="008C138C"/>
    <w:rsid w:val="008C13A3"/>
    <w:rsid w:val="008C13D0"/>
    <w:rsid w:val="008C13F6"/>
    <w:rsid w:val="008C1464"/>
    <w:rsid w:val="008C1489"/>
    <w:rsid w:val="008C14AB"/>
    <w:rsid w:val="008C156F"/>
    <w:rsid w:val="008C15B4"/>
    <w:rsid w:val="008C163E"/>
    <w:rsid w:val="008C1653"/>
    <w:rsid w:val="008C1656"/>
    <w:rsid w:val="008C16A9"/>
    <w:rsid w:val="008C16BC"/>
    <w:rsid w:val="008C16E0"/>
    <w:rsid w:val="008C177B"/>
    <w:rsid w:val="008C17F8"/>
    <w:rsid w:val="008C181D"/>
    <w:rsid w:val="008C184E"/>
    <w:rsid w:val="008C1887"/>
    <w:rsid w:val="008C1893"/>
    <w:rsid w:val="008C18B3"/>
    <w:rsid w:val="008C19BF"/>
    <w:rsid w:val="008C19E8"/>
    <w:rsid w:val="008C1A50"/>
    <w:rsid w:val="008C1A65"/>
    <w:rsid w:val="008C1A83"/>
    <w:rsid w:val="008C1AB3"/>
    <w:rsid w:val="008C1AD3"/>
    <w:rsid w:val="008C1AF9"/>
    <w:rsid w:val="008C1B25"/>
    <w:rsid w:val="008C1C07"/>
    <w:rsid w:val="008C1C08"/>
    <w:rsid w:val="008C1C33"/>
    <w:rsid w:val="008C1C3B"/>
    <w:rsid w:val="008C1C6A"/>
    <w:rsid w:val="008C1CA6"/>
    <w:rsid w:val="008C1CEB"/>
    <w:rsid w:val="008C1D0D"/>
    <w:rsid w:val="008C1D58"/>
    <w:rsid w:val="008C1D9F"/>
    <w:rsid w:val="008C1DEB"/>
    <w:rsid w:val="008C1E0B"/>
    <w:rsid w:val="008C1E68"/>
    <w:rsid w:val="008C1F3B"/>
    <w:rsid w:val="008C1F79"/>
    <w:rsid w:val="008C1F99"/>
    <w:rsid w:val="008C1FD3"/>
    <w:rsid w:val="008C1FEE"/>
    <w:rsid w:val="008C2040"/>
    <w:rsid w:val="008C2070"/>
    <w:rsid w:val="008C2087"/>
    <w:rsid w:val="008C2096"/>
    <w:rsid w:val="008C20F9"/>
    <w:rsid w:val="008C2146"/>
    <w:rsid w:val="008C2203"/>
    <w:rsid w:val="008C226D"/>
    <w:rsid w:val="008C230E"/>
    <w:rsid w:val="008C2316"/>
    <w:rsid w:val="008C2357"/>
    <w:rsid w:val="008C23C9"/>
    <w:rsid w:val="008C23EF"/>
    <w:rsid w:val="008C2430"/>
    <w:rsid w:val="008C2472"/>
    <w:rsid w:val="008C24AE"/>
    <w:rsid w:val="008C24D7"/>
    <w:rsid w:val="008C250D"/>
    <w:rsid w:val="008C250E"/>
    <w:rsid w:val="008C2592"/>
    <w:rsid w:val="008C25A5"/>
    <w:rsid w:val="008C25EF"/>
    <w:rsid w:val="008C260D"/>
    <w:rsid w:val="008C2682"/>
    <w:rsid w:val="008C26AB"/>
    <w:rsid w:val="008C26C8"/>
    <w:rsid w:val="008C2733"/>
    <w:rsid w:val="008C2760"/>
    <w:rsid w:val="008C2777"/>
    <w:rsid w:val="008C2778"/>
    <w:rsid w:val="008C2780"/>
    <w:rsid w:val="008C2785"/>
    <w:rsid w:val="008C27AA"/>
    <w:rsid w:val="008C2817"/>
    <w:rsid w:val="008C282A"/>
    <w:rsid w:val="008C283F"/>
    <w:rsid w:val="008C287B"/>
    <w:rsid w:val="008C2881"/>
    <w:rsid w:val="008C288C"/>
    <w:rsid w:val="008C28F1"/>
    <w:rsid w:val="008C2901"/>
    <w:rsid w:val="008C2914"/>
    <w:rsid w:val="008C2943"/>
    <w:rsid w:val="008C2946"/>
    <w:rsid w:val="008C2968"/>
    <w:rsid w:val="008C2A26"/>
    <w:rsid w:val="008C2A41"/>
    <w:rsid w:val="008C2A7C"/>
    <w:rsid w:val="008C2A95"/>
    <w:rsid w:val="008C2AA1"/>
    <w:rsid w:val="008C2ADA"/>
    <w:rsid w:val="008C2AFD"/>
    <w:rsid w:val="008C2B35"/>
    <w:rsid w:val="008C2B59"/>
    <w:rsid w:val="008C2BB5"/>
    <w:rsid w:val="008C2BE4"/>
    <w:rsid w:val="008C2BE7"/>
    <w:rsid w:val="008C2C19"/>
    <w:rsid w:val="008C2C2C"/>
    <w:rsid w:val="008C2C53"/>
    <w:rsid w:val="008C2C60"/>
    <w:rsid w:val="008C2C87"/>
    <w:rsid w:val="008C2CA9"/>
    <w:rsid w:val="008C2CD3"/>
    <w:rsid w:val="008C2D15"/>
    <w:rsid w:val="008C2D29"/>
    <w:rsid w:val="008C2D3E"/>
    <w:rsid w:val="008C2D49"/>
    <w:rsid w:val="008C2D4A"/>
    <w:rsid w:val="008C2D74"/>
    <w:rsid w:val="008C2DA9"/>
    <w:rsid w:val="008C2DD7"/>
    <w:rsid w:val="008C2DDD"/>
    <w:rsid w:val="008C2E2A"/>
    <w:rsid w:val="008C2E3D"/>
    <w:rsid w:val="008C2E43"/>
    <w:rsid w:val="008C2E89"/>
    <w:rsid w:val="008C2E9E"/>
    <w:rsid w:val="008C2EB8"/>
    <w:rsid w:val="008C2ED5"/>
    <w:rsid w:val="008C2EE3"/>
    <w:rsid w:val="008C2F04"/>
    <w:rsid w:val="008C2F17"/>
    <w:rsid w:val="008C2F6B"/>
    <w:rsid w:val="008C2F72"/>
    <w:rsid w:val="008C2FB6"/>
    <w:rsid w:val="008C2FC7"/>
    <w:rsid w:val="008C2FF8"/>
    <w:rsid w:val="008C2FFD"/>
    <w:rsid w:val="008C3049"/>
    <w:rsid w:val="008C30AD"/>
    <w:rsid w:val="008C30CF"/>
    <w:rsid w:val="008C310A"/>
    <w:rsid w:val="008C3123"/>
    <w:rsid w:val="008C3168"/>
    <w:rsid w:val="008C3180"/>
    <w:rsid w:val="008C31D1"/>
    <w:rsid w:val="008C31E5"/>
    <w:rsid w:val="008C31FE"/>
    <w:rsid w:val="008C329E"/>
    <w:rsid w:val="008C334D"/>
    <w:rsid w:val="008C33E9"/>
    <w:rsid w:val="008C344D"/>
    <w:rsid w:val="008C34BF"/>
    <w:rsid w:val="008C3515"/>
    <w:rsid w:val="008C3517"/>
    <w:rsid w:val="008C3541"/>
    <w:rsid w:val="008C3575"/>
    <w:rsid w:val="008C3586"/>
    <w:rsid w:val="008C358B"/>
    <w:rsid w:val="008C35B6"/>
    <w:rsid w:val="008C35C4"/>
    <w:rsid w:val="008C35D2"/>
    <w:rsid w:val="008C35EB"/>
    <w:rsid w:val="008C35FA"/>
    <w:rsid w:val="008C3607"/>
    <w:rsid w:val="008C365A"/>
    <w:rsid w:val="008C365F"/>
    <w:rsid w:val="008C3668"/>
    <w:rsid w:val="008C370E"/>
    <w:rsid w:val="008C3730"/>
    <w:rsid w:val="008C3787"/>
    <w:rsid w:val="008C37AA"/>
    <w:rsid w:val="008C37B2"/>
    <w:rsid w:val="008C37B6"/>
    <w:rsid w:val="008C3802"/>
    <w:rsid w:val="008C3820"/>
    <w:rsid w:val="008C3856"/>
    <w:rsid w:val="008C386D"/>
    <w:rsid w:val="008C3884"/>
    <w:rsid w:val="008C388B"/>
    <w:rsid w:val="008C388C"/>
    <w:rsid w:val="008C38EA"/>
    <w:rsid w:val="008C397C"/>
    <w:rsid w:val="008C3A98"/>
    <w:rsid w:val="008C3AC9"/>
    <w:rsid w:val="008C3AFD"/>
    <w:rsid w:val="008C3B3E"/>
    <w:rsid w:val="008C3B47"/>
    <w:rsid w:val="008C3B58"/>
    <w:rsid w:val="008C3BE9"/>
    <w:rsid w:val="008C3C05"/>
    <w:rsid w:val="008C3C71"/>
    <w:rsid w:val="008C3CA8"/>
    <w:rsid w:val="008C3CB7"/>
    <w:rsid w:val="008C3CCC"/>
    <w:rsid w:val="008C3CE2"/>
    <w:rsid w:val="008C3CED"/>
    <w:rsid w:val="008C3CFB"/>
    <w:rsid w:val="008C3D12"/>
    <w:rsid w:val="008C3D1F"/>
    <w:rsid w:val="008C3DA2"/>
    <w:rsid w:val="008C3DCA"/>
    <w:rsid w:val="008C3E76"/>
    <w:rsid w:val="008C3E8A"/>
    <w:rsid w:val="008C3EB3"/>
    <w:rsid w:val="008C3EBA"/>
    <w:rsid w:val="008C3EC8"/>
    <w:rsid w:val="008C3F01"/>
    <w:rsid w:val="008C3F53"/>
    <w:rsid w:val="008C4065"/>
    <w:rsid w:val="008C406A"/>
    <w:rsid w:val="008C4071"/>
    <w:rsid w:val="008C40AD"/>
    <w:rsid w:val="008C40D1"/>
    <w:rsid w:val="008C415F"/>
    <w:rsid w:val="008C41C8"/>
    <w:rsid w:val="008C41D9"/>
    <w:rsid w:val="008C427C"/>
    <w:rsid w:val="008C42A2"/>
    <w:rsid w:val="008C4384"/>
    <w:rsid w:val="008C43EA"/>
    <w:rsid w:val="008C444B"/>
    <w:rsid w:val="008C4524"/>
    <w:rsid w:val="008C452F"/>
    <w:rsid w:val="008C4538"/>
    <w:rsid w:val="008C453E"/>
    <w:rsid w:val="008C45E8"/>
    <w:rsid w:val="008C4610"/>
    <w:rsid w:val="008C4615"/>
    <w:rsid w:val="008C4629"/>
    <w:rsid w:val="008C4655"/>
    <w:rsid w:val="008C4662"/>
    <w:rsid w:val="008C466B"/>
    <w:rsid w:val="008C4673"/>
    <w:rsid w:val="008C46F8"/>
    <w:rsid w:val="008C46FC"/>
    <w:rsid w:val="008C4812"/>
    <w:rsid w:val="008C4825"/>
    <w:rsid w:val="008C4846"/>
    <w:rsid w:val="008C489F"/>
    <w:rsid w:val="008C48B8"/>
    <w:rsid w:val="008C48C3"/>
    <w:rsid w:val="008C4946"/>
    <w:rsid w:val="008C4963"/>
    <w:rsid w:val="008C49A5"/>
    <w:rsid w:val="008C49A7"/>
    <w:rsid w:val="008C49C6"/>
    <w:rsid w:val="008C49CF"/>
    <w:rsid w:val="008C49EC"/>
    <w:rsid w:val="008C49FD"/>
    <w:rsid w:val="008C4A1E"/>
    <w:rsid w:val="008C4A7A"/>
    <w:rsid w:val="008C4ABB"/>
    <w:rsid w:val="008C4ABF"/>
    <w:rsid w:val="008C4AFE"/>
    <w:rsid w:val="008C4B01"/>
    <w:rsid w:val="008C4B32"/>
    <w:rsid w:val="008C4B36"/>
    <w:rsid w:val="008C4B4E"/>
    <w:rsid w:val="008C4B66"/>
    <w:rsid w:val="008C4B87"/>
    <w:rsid w:val="008C4C67"/>
    <w:rsid w:val="008C4CA7"/>
    <w:rsid w:val="008C4CE5"/>
    <w:rsid w:val="008C4D3E"/>
    <w:rsid w:val="008C4D92"/>
    <w:rsid w:val="008C4DA4"/>
    <w:rsid w:val="008C4DA7"/>
    <w:rsid w:val="008C4EBA"/>
    <w:rsid w:val="008C4EEB"/>
    <w:rsid w:val="008C4F15"/>
    <w:rsid w:val="008C4F5D"/>
    <w:rsid w:val="008C4FAB"/>
    <w:rsid w:val="008C4FFA"/>
    <w:rsid w:val="008C5022"/>
    <w:rsid w:val="008C5033"/>
    <w:rsid w:val="008C503C"/>
    <w:rsid w:val="008C505A"/>
    <w:rsid w:val="008C50E3"/>
    <w:rsid w:val="008C5122"/>
    <w:rsid w:val="008C5143"/>
    <w:rsid w:val="008C514C"/>
    <w:rsid w:val="008C518B"/>
    <w:rsid w:val="008C524C"/>
    <w:rsid w:val="008C5272"/>
    <w:rsid w:val="008C5292"/>
    <w:rsid w:val="008C52EB"/>
    <w:rsid w:val="008C52F0"/>
    <w:rsid w:val="008C5300"/>
    <w:rsid w:val="008C534A"/>
    <w:rsid w:val="008C53F1"/>
    <w:rsid w:val="008C543B"/>
    <w:rsid w:val="008C5463"/>
    <w:rsid w:val="008C54C9"/>
    <w:rsid w:val="008C5533"/>
    <w:rsid w:val="008C5543"/>
    <w:rsid w:val="008C5591"/>
    <w:rsid w:val="008C5603"/>
    <w:rsid w:val="008C56A3"/>
    <w:rsid w:val="008C572D"/>
    <w:rsid w:val="008C57F7"/>
    <w:rsid w:val="008C5866"/>
    <w:rsid w:val="008C5883"/>
    <w:rsid w:val="008C58AA"/>
    <w:rsid w:val="008C58B4"/>
    <w:rsid w:val="008C58F2"/>
    <w:rsid w:val="008C593E"/>
    <w:rsid w:val="008C595B"/>
    <w:rsid w:val="008C5A56"/>
    <w:rsid w:val="008C5A79"/>
    <w:rsid w:val="008C5A9A"/>
    <w:rsid w:val="008C5AAF"/>
    <w:rsid w:val="008C5AD5"/>
    <w:rsid w:val="008C5AED"/>
    <w:rsid w:val="008C5B46"/>
    <w:rsid w:val="008C5B9D"/>
    <w:rsid w:val="008C5C01"/>
    <w:rsid w:val="008C5C4B"/>
    <w:rsid w:val="008C5C64"/>
    <w:rsid w:val="008C5C9C"/>
    <w:rsid w:val="008C5D2C"/>
    <w:rsid w:val="008C5DDD"/>
    <w:rsid w:val="008C5E3B"/>
    <w:rsid w:val="008C5E4A"/>
    <w:rsid w:val="008C5E5C"/>
    <w:rsid w:val="008C5E75"/>
    <w:rsid w:val="008C5E79"/>
    <w:rsid w:val="008C5EAB"/>
    <w:rsid w:val="008C5F11"/>
    <w:rsid w:val="008C6027"/>
    <w:rsid w:val="008C602D"/>
    <w:rsid w:val="008C6047"/>
    <w:rsid w:val="008C6056"/>
    <w:rsid w:val="008C6076"/>
    <w:rsid w:val="008C6080"/>
    <w:rsid w:val="008C6091"/>
    <w:rsid w:val="008C60C7"/>
    <w:rsid w:val="008C60D0"/>
    <w:rsid w:val="008C60FC"/>
    <w:rsid w:val="008C620A"/>
    <w:rsid w:val="008C6218"/>
    <w:rsid w:val="008C622D"/>
    <w:rsid w:val="008C6247"/>
    <w:rsid w:val="008C6248"/>
    <w:rsid w:val="008C62D4"/>
    <w:rsid w:val="008C62F1"/>
    <w:rsid w:val="008C638B"/>
    <w:rsid w:val="008C639D"/>
    <w:rsid w:val="008C63A2"/>
    <w:rsid w:val="008C63B5"/>
    <w:rsid w:val="008C63B6"/>
    <w:rsid w:val="008C63B7"/>
    <w:rsid w:val="008C63C0"/>
    <w:rsid w:val="008C63C7"/>
    <w:rsid w:val="008C63FC"/>
    <w:rsid w:val="008C6443"/>
    <w:rsid w:val="008C644B"/>
    <w:rsid w:val="008C6517"/>
    <w:rsid w:val="008C652F"/>
    <w:rsid w:val="008C657A"/>
    <w:rsid w:val="008C6590"/>
    <w:rsid w:val="008C65A7"/>
    <w:rsid w:val="008C65BA"/>
    <w:rsid w:val="008C65C0"/>
    <w:rsid w:val="008C663E"/>
    <w:rsid w:val="008C66BA"/>
    <w:rsid w:val="008C66E9"/>
    <w:rsid w:val="008C66FE"/>
    <w:rsid w:val="008C6756"/>
    <w:rsid w:val="008C677C"/>
    <w:rsid w:val="008C6820"/>
    <w:rsid w:val="008C6825"/>
    <w:rsid w:val="008C6830"/>
    <w:rsid w:val="008C6910"/>
    <w:rsid w:val="008C694E"/>
    <w:rsid w:val="008C6950"/>
    <w:rsid w:val="008C69C4"/>
    <w:rsid w:val="008C69C6"/>
    <w:rsid w:val="008C69ED"/>
    <w:rsid w:val="008C6A15"/>
    <w:rsid w:val="008C6A23"/>
    <w:rsid w:val="008C6A2A"/>
    <w:rsid w:val="008C6A9E"/>
    <w:rsid w:val="008C6AB0"/>
    <w:rsid w:val="008C6B20"/>
    <w:rsid w:val="008C6B4D"/>
    <w:rsid w:val="008C6BB5"/>
    <w:rsid w:val="008C6BBF"/>
    <w:rsid w:val="008C6BD3"/>
    <w:rsid w:val="008C6BE6"/>
    <w:rsid w:val="008C6C7B"/>
    <w:rsid w:val="008C6C99"/>
    <w:rsid w:val="008C6CC3"/>
    <w:rsid w:val="008C6D10"/>
    <w:rsid w:val="008C6D65"/>
    <w:rsid w:val="008C6DF3"/>
    <w:rsid w:val="008C6DF6"/>
    <w:rsid w:val="008C6E10"/>
    <w:rsid w:val="008C6E43"/>
    <w:rsid w:val="008C6E56"/>
    <w:rsid w:val="008C6E58"/>
    <w:rsid w:val="008C6E7E"/>
    <w:rsid w:val="008C6E90"/>
    <w:rsid w:val="008C6E9C"/>
    <w:rsid w:val="008C6E9F"/>
    <w:rsid w:val="008C6EC9"/>
    <w:rsid w:val="008C6EF5"/>
    <w:rsid w:val="008C6F91"/>
    <w:rsid w:val="008C6FA9"/>
    <w:rsid w:val="008C6FAD"/>
    <w:rsid w:val="008C6FE1"/>
    <w:rsid w:val="008C7033"/>
    <w:rsid w:val="008C708D"/>
    <w:rsid w:val="008C70DF"/>
    <w:rsid w:val="008C711C"/>
    <w:rsid w:val="008C7147"/>
    <w:rsid w:val="008C718E"/>
    <w:rsid w:val="008C71B9"/>
    <w:rsid w:val="008C71F4"/>
    <w:rsid w:val="008C732F"/>
    <w:rsid w:val="008C7352"/>
    <w:rsid w:val="008C738C"/>
    <w:rsid w:val="008C73BF"/>
    <w:rsid w:val="008C73E2"/>
    <w:rsid w:val="008C7424"/>
    <w:rsid w:val="008C7477"/>
    <w:rsid w:val="008C747B"/>
    <w:rsid w:val="008C74F2"/>
    <w:rsid w:val="008C750A"/>
    <w:rsid w:val="008C750C"/>
    <w:rsid w:val="008C75AD"/>
    <w:rsid w:val="008C75D5"/>
    <w:rsid w:val="008C75DF"/>
    <w:rsid w:val="008C75F9"/>
    <w:rsid w:val="008C7670"/>
    <w:rsid w:val="008C76DD"/>
    <w:rsid w:val="008C7721"/>
    <w:rsid w:val="008C777E"/>
    <w:rsid w:val="008C7783"/>
    <w:rsid w:val="008C77A5"/>
    <w:rsid w:val="008C7801"/>
    <w:rsid w:val="008C783E"/>
    <w:rsid w:val="008C78C0"/>
    <w:rsid w:val="008C796C"/>
    <w:rsid w:val="008C7978"/>
    <w:rsid w:val="008C79DA"/>
    <w:rsid w:val="008C7A0C"/>
    <w:rsid w:val="008C7A2E"/>
    <w:rsid w:val="008C7A7C"/>
    <w:rsid w:val="008C7A89"/>
    <w:rsid w:val="008C7ABB"/>
    <w:rsid w:val="008C7ADA"/>
    <w:rsid w:val="008C7B6E"/>
    <w:rsid w:val="008C7C2D"/>
    <w:rsid w:val="008C7C5B"/>
    <w:rsid w:val="008C7C71"/>
    <w:rsid w:val="008C7C92"/>
    <w:rsid w:val="008C7CF5"/>
    <w:rsid w:val="008C7D08"/>
    <w:rsid w:val="008C7D0E"/>
    <w:rsid w:val="008C7D56"/>
    <w:rsid w:val="008C7DC8"/>
    <w:rsid w:val="008C7E03"/>
    <w:rsid w:val="008C7E49"/>
    <w:rsid w:val="008C7E84"/>
    <w:rsid w:val="008C7E86"/>
    <w:rsid w:val="008C7E8C"/>
    <w:rsid w:val="008C7EEC"/>
    <w:rsid w:val="008C7EFD"/>
    <w:rsid w:val="008C7F16"/>
    <w:rsid w:val="008C7F37"/>
    <w:rsid w:val="008C7FB1"/>
    <w:rsid w:val="008D005A"/>
    <w:rsid w:val="008D0069"/>
    <w:rsid w:val="008D008D"/>
    <w:rsid w:val="008D01A1"/>
    <w:rsid w:val="008D01A4"/>
    <w:rsid w:val="008D0215"/>
    <w:rsid w:val="008D028A"/>
    <w:rsid w:val="008D02C6"/>
    <w:rsid w:val="008D02FB"/>
    <w:rsid w:val="008D02FF"/>
    <w:rsid w:val="008D033D"/>
    <w:rsid w:val="008D034A"/>
    <w:rsid w:val="008D03B2"/>
    <w:rsid w:val="008D03F5"/>
    <w:rsid w:val="008D0438"/>
    <w:rsid w:val="008D045F"/>
    <w:rsid w:val="008D0460"/>
    <w:rsid w:val="008D0544"/>
    <w:rsid w:val="008D054C"/>
    <w:rsid w:val="008D055F"/>
    <w:rsid w:val="008D0571"/>
    <w:rsid w:val="008D05C2"/>
    <w:rsid w:val="008D0667"/>
    <w:rsid w:val="008D06FF"/>
    <w:rsid w:val="008D070F"/>
    <w:rsid w:val="008D0745"/>
    <w:rsid w:val="008D0752"/>
    <w:rsid w:val="008D0772"/>
    <w:rsid w:val="008D07A6"/>
    <w:rsid w:val="008D07B7"/>
    <w:rsid w:val="008D07D4"/>
    <w:rsid w:val="008D07EC"/>
    <w:rsid w:val="008D0831"/>
    <w:rsid w:val="008D08CA"/>
    <w:rsid w:val="008D0916"/>
    <w:rsid w:val="008D096A"/>
    <w:rsid w:val="008D0984"/>
    <w:rsid w:val="008D09D8"/>
    <w:rsid w:val="008D09DA"/>
    <w:rsid w:val="008D09F8"/>
    <w:rsid w:val="008D0A33"/>
    <w:rsid w:val="008D0A68"/>
    <w:rsid w:val="008D0AC9"/>
    <w:rsid w:val="008D0B25"/>
    <w:rsid w:val="008D0B31"/>
    <w:rsid w:val="008D0B5C"/>
    <w:rsid w:val="008D0B6A"/>
    <w:rsid w:val="008D0BD5"/>
    <w:rsid w:val="008D0BE5"/>
    <w:rsid w:val="008D0BF8"/>
    <w:rsid w:val="008D0C07"/>
    <w:rsid w:val="008D0C77"/>
    <w:rsid w:val="008D0CA0"/>
    <w:rsid w:val="008D0CE2"/>
    <w:rsid w:val="008D0CE9"/>
    <w:rsid w:val="008D0D1B"/>
    <w:rsid w:val="008D0D5B"/>
    <w:rsid w:val="008D0D5C"/>
    <w:rsid w:val="008D0DD4"/>
    <w:rsid w:val="008D0E03"/>
    <w:rsid w:val="008D0E06"/>
    <w:rsid w:val="008D0E07"/>
    <w:rsid w:val="008D0E49"/>
    <w:rsid w:val="008D0E84"/>
    <w:rsid w:val="008D0EA6"/>
    <w:rsid w:val="008D0EAF"/>
    <w:rsid w:val="008D0EB9"/>
    <w:rsid w:val="008D0F01"/>
    <w:rsid w:val="008D0F06"/>
    <w:rsid w:val="008D0F13"/>
    <w:rsid w:val="008D0F8C"/>
    <w:rsid w:val="008D0F8F"/>
    <w:rsid w:val="008D0FC9"/>
    <w:rsid w:val="008D1003"/>
    <w:rsid w:val="008D1034"/>
    <w:rsid w:val="008D1049"/>
    <w:rsid w:val="008D107D"/>
    <w:rsid w:val="008D1099"/>
    <w:rsid w:val="008D1134"/>
    <w:rsid w:val="008D1140"/>
    <w:rsid w:val="008D1189"/>
    <w:rsid w:val="008D11B8"/>
    <w:rsid w:val="008D11F9"/>
    <w:rsid w:val="008D1219"/>
    <w:rsid w:val="008D1257"/>
    <w:rsid w:val="008D1266"/>
    <w:rsid w:val="008D1280"/>
    <w:rsid w:val="008D12AE"/>
    <w:rsid w:val="008D12B8"/>
    <w:rsid w:val="008D12CE"/>
    <w:rsid w:val="008D12F7"/>
    <w:rsid w:val="008D132E"/>
    <w:rsid w:val="008D1348"/>
    <w:rsid w:val="008D1370"/>
    <w:rsid w:val="008D13AE"/>
    <w:rsid w:val="008D141E"/>
    <w:rsid w:val="008D142A"/>
    <w:rsid w:val="008D143A"/>
    <w:rsid w:val="008D152A"/>
    <w:rsid w:val="008D1538"/>
    <w:rsid w:val="008D1541"/>
    <w:rsid w:val="008D1551"/>
    <w:rsid w:val="008D15A4"/>
    <w:rsid w:val="008D15CC"/>
    <w:rsid w:val="008D15DD"/>
    <w:rsid w:val="008D1631"/>
    <w:rsid w:val="008D165C"/>
    <w:rsid w:val="008D16BB"/>
    <w:rsid w:val="008D16E2"/>
    <w:rsid w:val="008D1705"/>
    <w:rsid w:val="008D1724"/>
    <w:rsid w:val="008D1750"/>
    <w:rsid w:val="008D1783"/>
    <w:rsid w:val="008D1797"/>
    <w:rsid w:val="008D17A2"/>
    <w:rsid w:val="008D17AA"/>
    <w:rsid w:val="008D17F0"/>
    <w:rsid w:val="008D1835"/>
    <w:rsid w:val="008D1860"/>
    <w:rsid w:val="008D1874"/>
    <w:rsid w:val="008D18B5"/>
    <w:rsid w:val="008D18EF"/>
    <w:rsid w:val="008D1924"/>
    <w:rsid w:val="008D19C7"/>
    <w:rsid w:val="008D1A78"/>
    <w:rsid w:val="008D1A8B"/>
    <w:rsid w:val="008D1A9A"/>
    <w:rsid w:val="008D1B21"/>
    <w:rsid w:val="008D1B6D"/>
    <w:rsid w:val="008D1B93"/>
    <w:rsid w:val="008D1BA9"/>
    <w:rsid w:val="008D1BB1"/>
    <w:rsid w:val="008D1BBD"/>
    <w:rsid w:val="008D1BDF"/>
    <w:rsid w:val="008D1C14"/>
    <w:rsid w:val="008D1CBD"/>
    <w:rsid w:val="008D1D5D"/>
    <w:rsid w:val="008D1D8C"/>
    <w:rsid w:val="008D1DCB"/>
    <w:rsid w:val="008D1DF3"/>
    <w:rsid w:val="008D1E3D"/>
    <w:rsid w:val="008D1E61"/>
    <w:rsid w:val="008D1EA9"/>
    <w:rsid w:val="008D1EFA"/>
    <w:rsid w:val="008D1FAC"/>
    <w:rsid w:val="008D2024"/>
    <w:rsid w:val="008D203E"/>
    <w:rsid w:val="008D2051"/>
    <w:rsid w:val="008D20D5"/>
    <w:rsid w:val="008D2177"/>
    <w:rsid w:val="008D2192"/>
    <w:rsid w:val="008D21B6"/>
    <w:rsid w:val="008D21D6"/>
    <w:rsid w:val="008D21D9"/>
    <w:rsid w:val="008D2201"/>
    <w:rsid w:val="008D2210"/>
    <w:rsid w:val="008D222E"/>
    <w:rsid w:val="008D225D"/>
    <w:rsid w:val="008D2298"/>
    <w:rsid w:val="008D22A7"/>
    <w:rsid w:val="008D22DC"/>
    <w:rsid w:val="008D22E6"/>
    <w:rsid w:val="008D2336"/>
    <w:rsid w:val="008D233F"/>
    <w:rsid w:val="008D235E"/>
    <w:rsid w:val="008D23BF"/>
    <w:rsid w:val="008D23CE"/>
    <w:rsid w:val="008D23F3"/>
    <w:rsid w:val="008D241E"/>
    <w:rsid w:val="008D2424"/>
    <w:rsid w:val="008D2428"/>
    <w:rsid w:val="008D243F"/>
    <w:rsid w:val="008D2475"/>
    <w:rsid w:val="008D24AC"/>
    <w:rsid w:val="008D2508"/>
    <w:rsid w:val="008D259D"/>
    <w:rsid w:val="008D25DF"/>
    <w:rsid w:val="008D25E2"/>
    <w:rsid w:val="008D25EC"/>
    <w:rsid w:val="008D266E"/>
    <w:rsid w:val="008D2683"/>
    <w:rsid w:val="008D26AA"/>
    <w:rsid w:val="008D2731"/>
    <w:rsid w:val="008D27E8"/>
    <w:rsid w:val="008D2816"/>
    <w:rsid w:val="008D2829"/>
    <w:rsid w:val="008D283F"/>
    <w:rsid w:val="008D2897"/>
    <w:rsid w:val="008D28A1"/>
    <w:rsid w:val="008D28B3"/>
    <w:rsid w:val="008D2900"/>
    <w:rsid w:val="008D290C"/>
    <w:rsid w:val="008D2929"/>
    <w:rsid w:val="008D2974"/>
    <w:rsid w:val="008D297C"/>
    <w:rsid w:val="008D2995"/>
    <w:rsid w:val="008D2999"/>
    <w:rsid w:val="008D29A0"/>
    <w:rsid w:val="008D29D1"/>
    <w:rsid w:val="008D29EB"/>
    <w:rsid w:val="008D2A13"/>
    <w:rsid w:val="008D2A1C"/>
    <w:rsid w:val="008D2A47"/>
    <w:rsid w:val="008D2A75"/>
    <w:rsid w:val="008D2AD4"/>
    <w:rsid w:val="008D2AE8"/>
    <w:rsid w:val="008D2B5A"/>
    <w:rsid w:val="008D2BD2"/>
    <w:rsid w:val="008D2BD4"/>
    <w:rsid w:val="008D2BE6"/>
    <w:rsid w:val="008D2C13"/>
    <w:rsid w:val="008D2C6E"/>
    <w:rsid w:val="008D2C77"/>
    <w:rsid w:val="008D2D8D"/>
    <w:rsid w:val="008D2DDC"/>
    <w:rsid w:val="008D2DE6"/>
    <w:rsid w:val="008D2DFC"/>
    <w:rsid w:val="008D2DFE"/>
    <w:rsid w:val="008D2E0C"/>
    <w:rsid w:val="008D2E81"/>
    <w:rsid w:val="008D2EB0"/>
    <w:rsid w:val="008D2EC8"/>
    <w:rsid w:val="008D2EE2"/>
    <w:rsid w:val="008D2EE6"/>
    <w:rsid w:val="008D2F0F"/>
    <w:rsid w:val="008D2F59"/>
    <w:rsid w:val="008D2F70"/>
    <w:rsid w:val="008D2FEB"/>
    <w:rsid w:val="008D303D"/>
    <w:rsid w:val="008D3046"/>
    <w:rsid w:val="008D305C"/>
    <w:rsid w:val="008D30C0"/>
    <w:rsid w:val="008D30D0"/>
    <w:rsid w:val="008D3100"/>
    <w:rsid w:val="008D31A1"/>
    <w:rsid w:val="008D31AE"/>
    <w:rsid w:val="008D31C7"/>
    <w:rsid w:val="008D3253"/>
    <w:rsid w:val="008D326A"/>
    <w:rsid w:val="008D3287"/>
    <w:rsid w:val="008D3300"/>
    <w:rsid w:val="008D3302"/>
    <w:rsid w:val="008D3322"/>
    <w:rsid w:val="008D333B"/>
    <w:rsid w:val="008D3364"/>
    <w:rsid w:val="008D33A0"/>
    <w:rsid w:val="008D3408"/>
    <w:rsid w:val="008D3491"/>
    <w:rsid w:val="008D349E"/>
    <w:rsid w:val="008D3515"/>
    <w:rsid w:val="008D3524"/>
    <w:rsid w:val="008D352D"/>
    <w:rsid w:val="008D3530"/>
    <w:rsid w:val="008D358E"/>
    <w:rsid w:val="008D3625"/>
    <w:rsid w:val="008D3685"/>
    <w:rsid w:val="008D36E1"/>
    <w:rsid w:val="008D3711"/>
    <w:rsid w:val="008D3759"/>
    <w:rsid w:val="008D3786"/>
    <w:rsid w:val="008D37C6"/>
    <w:rsid w:val="008D3823"/>
    <w:rsid w:val="008D382D"/>
    <w:rsid w:val="008D3841"/>
    <w:rsid w:val="008D387C"/>
    <w:rsid w:val="008D38A5"/>
    <w:rsid w:val="008D38BE"/>
    <w:rsid w:val="008D3931"/>
    <w:rsid w:val="008D3943"/>
    <w:rsid w:val="008D3997"/>
    <w:rsid w:val="008D39D4"/>
    <w:rsid w:val="008D39F9"/>
    <w:rsid w:val="008D3A30"/>
    <w:rsid w:val="008D3A39"/>
    <w:rsid w:val="008D3A49"/>
    <w:rsid w:val="008D3AA6"/>
    <w:rsid w:val="008D3ABD"/>
    <w:rsid w:val="008D3AC9"/>
    <w:rsid w:val="008D3B06"/>
    <w:rsid w:val="008D3B0F"/>
    <w:rsid w:val="008D3B71"/>
    <w:rsid w:val="008D3B78"/>
    <w:rsid w:val="008D3C08"/>
    <w:rsid w:val="008D3C13"/>
    <w:rsid w:val="008D3C38"/>
    <w:rsid w:val="008D3C8B"/>
    <w:rsid w:val="008D3C91"/>
    <w:rsid w:val="008D3D21"/>
    <w:rsid w:val="008D3D41"/>
    <w:rsid w:val="008D3DCB"/>
    <w:rsid w:val="008D3E05"/>
    <w:rsid w:val="008D3E23"/>
    <w:rsid w:val="008D3E46"/>
    <w:rsid w:val="008D3E48"/>
    <w:rsid w:val="008D3E6B"/>
    <w:rsid w:val="008D3E84"/>
    <w:rsid w:val="008D3EA4"/>
    <w:rsid w:val="008D3F3D"/>
    <w:rsid w:val="008D3F3E"/>
    <w:rsid w:val="008D3F54"/>
    <w:rsid w:val="008D3F88"/>
    <w:rsid w:val="008D4005"/>
    <w:rsid w:val="008D4029"/>
    <w:rsid w:val="008D4042"/>
    <w:rsid w:val="008D4085"/>
    <w:rsid w:val="008D4087"/>
    <w:rsid w:val="008D40BF"/>
    <w:rsid w:val="008D4137"/>
    <w:rsid w:val="008D414D"/>
    <w:rsid w:val="008D4173"/>
    <w:rsid w:val="008D41E8"/>
    <w:rsid w:val="008D4226"/>
    <w:rsid w:val="008D4230"/>
    <w:rsid w:val="008D425D"/>
    <w:rsid w:val="008D427F"/>
    <w:rsid w:val="008D434C"/>
    <w:rsid w:val="008D43F5"/>
    <w:rsid w:val="008D441C"/>
    <w:rsid w:val="008D441F"/>
    <w:rsid w:val="008D442B"/>
    <w:rsid w:val="008D4485"/>
    <w:rsid w:val="008D4495"/>
    <w:rsid w:val="008D44ED"/>
    <w:rsid w:val="008D44F6"/>
    <w:rsid w:val="008D453E"/>
    <w:rsid w:val="008D4561"/>
    <w:rsid w:val="008D45ED"/>
    <w:rsid w:val="008D4605"/>
    <w:rsid w:val="008D4652"/>
    <w:rsid w:val="008D4678"/>
    <w:rsid w:val="008D4682"/>
    <w:rsid w:val="008D469D"/>
    <w:rsid w:val="008D46D2"/>
    <w:rsid w:val="008D46F3"/>
    <w:rsid w:val="008D4756"/>
    <w:rsid w:val="008D47A8"/>
    <w:rsid w:val="008D47D3"/>
    <w:rsid w:val="008D47EF"/>
    <w:rsid w:val="008D483C"/>
    <w:rsid w:val="008D486B"/>
    <w:rsid w:val="008D48AC"/>
    <w:rsid w:val="008D48F4"/>
    <w:rsid w:val="008D4903"/>
    <w:rsid w:val="008D4916"/>
    <w:rsid w:val="008D4935"/>
    <w:rsid w:val="008D495F"/>
    <w:rsid w:val="008D4964"/>
    <w:rsid w:val="008D49BE"/>
    <w:rsid w:val="008D49CC"/>
    <w:rsid w:val="008D49CE"/>
    <w:rsid w:val="008D49F4"/>
    <w:rsid w:val="008D49FC"/>
    <w:rsid w:val="008D4A37"/>
    <w:rsid w:val="008D4A9A"/>
    <w:rsid w:val="008D4AED"/>
    <w:rsid w:val="008D4B03"/>
    <w:rsid w:val="008D4BFA"/>
    <w:rsid w:val="008D4C24"/>
    <w:rsid w:val="008D4C41"/>
    <w:rsid w:val="008D4CBB"/>
    <w:rsid w:val="008D4CD6"/>
    <w:rsid w:val="008D4D03"/>
    <w:rsid w:val="008D4D07"/>
    <w:rsid w:val="008D4DB9"/>
    <w:rsid w:val="008D4DC8"/>
    <w:rsid w:val="008D4E0F"/>
    <w:rsid w:val="008D4E14"/>
    <w:rsid w:val="008D4E2C"/>
    <w:rsid w:val="008D4E73"/>
    <w:rsid w:val="008D4E7D"/>
    <w:rsid w:val="008D4E8C"/>
    <w:rsid w:val="008D4E8D"/>
    <w:rsid w:val="008D4E8F"/>
    <w:rsid w:val="008D4EBD"/>
    <w:rsid w:val="008D4EDF"/>
    <w:rsid w:val="008D4F3F"/>
    <w:rsid w:val="008D4F47"/>
    <w:rsid w:val="008D4F6B"/>
    <w:rsid w:val="008D4F7B"/>
    <w:rsid w:val="008D4F88"/>
    <w:rsid w:val="008D4FA3"/>
    <w:rsid w:val="008D4FAF"/>
    <w:rsid w:val="008D4FDA"/>
    <w:rsid w:val="008D5026"/>
    <w:rsid w:val="008D50A8"/>
    <w:rsid w:val="008D50D9"/>
    <w:rsid w:val="008D512B"/>
    <w:rsid w:val="008D514F"/>
    <w:rsid w:val="008D517A"/>
    <w:rsid w:val="008D5189"/>
    <w:rsid w:val="008D51A5"/>
    <w:rsid w:val="008D51BE"/>
    <w:rsid w:val="008D5216"/>
    <w:rsid w:val="008D5232"/>
    <w:rsid w:val="008D5267"/>
    <w:rsid w:val="008D526C"/>
    <w:rsid w:val="008D52D7"/>
    <w:rsid w:val="008D5310"/>
    <w:rsid w:val="008D53A8"/>
    <w:rsid w:val="008D53CB"/>
    <w:rsid w:val="008D53D3"/>
    <w:rsid w:val="008D540C"/>
    <w:rsid w:val="008D54AB"/>
    <w:rsid w:val="008D54C6"/>
    <w:rsid w:val="008D54E6"/>
    <w:rsid w:val="008D5519"/>
    <w:rsid w:val="008D552A"/>
    <w:rsid w:val="008D5531"/>
    <w:rsid w:val="008D554C"/>
    <w:rsid w:val="008D558E"/>
    <w:rsid w:val="008D55AE"/>
    <w:rsid w:val="008D564C"/>
    <w:rsid w:val="008D565C"/>
    <w:rsid w:val="008D56E7"/>
    <w:rsid w:val="008D56F5"/>
    <w:rsid w:val="008D56F8"/>
    <w:rsid w:val="008D5705"/>
    <w:rsid w:val="008D5723"/>
    <w:rsid w:val="008D572A"/>
    <w:rsid w:val="008D5784"/>
    <w:rsid w:val="008D578B"/>
    <w:rsid w:val="008D5807"/>
    <w:rsid w:val="008D5827"/>
    <w:rsid w:val="008D5858"/>
    <w:rsid w:val="008D589E"/>
    <w:rsid w:val="008D58D2"/>
    <w:rsid w:val="008D5937"/>
    <w:rsid w:val="008D5952"/>
    <w:rsid w:val="008D598C"/>
    <w:rsid w:val="008D59B9"/>
    <w:rsid w:val="008D59DC"/>
    <w:rsid w:val="008D5A41"/>
    <w:rsid w:val="008D5A8C"/>
    <w:rsid w:val="008D5B3A"/>
    <w:rsid w:val="008D5BC1"/>
    <w:rsid w:val="008D5BDC"/>
    <w:rsid w:val="008D5C04"/>
    <w:rsid w:val="008D5C27"/>
    <w:rsid w:val="008D5CDF"/>
    <w:rsid w:val="008D5CE9"/>
    <w:rsid w:val="008D5D43"/>
    <w:rsid w:val="008D5D4E"/>
    <w:rsid w:val="008D5D4F"/>
    <w:rsid w:val="008D5D53"/>
    <w:rsid w:val="008D5D73"/>
    <w:rsid w:val="008D5D90"/>
    <w:rsid w:val="008D5DA3"/>
    <w:rsid w:val="008D5DBB"/>
    <w:rsid w:val="008D5DCC"/>
    <w:rsid w:val="008D5E27"/>
    <w:rsid w:val="008D5E55"/>
    <w:rsid w:val="008D5E64"/>
    <w:rsid w:val="008D5E9A"/>
    <w:rsid w:val="008D5E9C"/>
    <w:rsid w:val="008D5ECD"/>
    <w:rsid w:val="008D5F26"/>
    <w:rsid w:val="008D5FFD"/>
    <w:rsid w:val="008D601B"/>
    <w:rsid w:val="008D60DA"/>
    <w:rsid w:val="008D60DF"/>
    <w:rsid w:val="008D60EE"/>
    <w:rsid w:val="008D6104"/>
    <w:rsid w:val="008D6114"/>
    <w:rsid w:val="008D6118"/>
    <w:rsid w:val="008D6137"/>
    <w:rsid w:val="008D617C"/>
    <w:rsid w:val="008D61B3"/>
    <w:rsid w:val="008D61DE"/>
    <w:rsid w:val="008D621E"/>
    <w:rsid w:val="008D6240"/>
    <w:rsid w:val="008D6267"/>
    <w:rsid w:val="008D6272"/>
    <w:rsid w:val="008D629C"/>
    <w:rsid w:val="008D62AA"/>
    <w:rsid w:val="008D62BF"/>
    <w:rsid w:val="008D62E7"/>
    <w:rsid w:val="008D6309"/>
    <w:rsid w:val="008D632A"/>
    <w:rsid w:val="008D632F"/>
    <w:rsid w:val="008D63B5"/>
    <w:rsid w:val="008D63F4"/>
    <w:rsid w:val="008D6416"/>
    <w:rsid w:val="008D6467"/>
    <w:rsid w:val="008D64C3"/>
    <w:rsid w:val="008D64DA"/>
    <w:rsid w:val="008D6521"/>
    <w:rsid w:val="008D655D"/>
    <w:rsid w:val="008D6565"/>
    <w:rsid w:val="008D6574"/>
    <w:rsid w:val="008D657F"/>
    <w:rsid w:val="008D658C"/>
    <w:rsid w:val="008D65A3"/>
    <w:rsid w:val="008D65C7"/>
    <w:rsid w:val="008D65D0"/>
    <w:rsid w:val="008D65FD"/>
    <w:rsid w:val="008D6653"/>
    <w:rsid w:val="008D66A4"/>
    <w:rsid w:val="008D66BC"/>
    <w:rsid w:val="008D6731"/>
    <w:rsid w:val="008D6734"/>
    <w:rsid w:val="008D6750"/>
    <w:rsid w:val="008D6753"/>
    <w:rsid w:val="008D678D"/>
    <w:rsid w:val="008D67E9"/>
    <w:rsid w:val="008D6812"/>
    <w:rsid w:val="008D6829"/>
    <w:rsid w:val="008D6851"/>
    <w:rsid w:val="008D68A4"/>
    <w:rsid w:val="008D68C7"/>
    <w:rsid w:val="008D68EA"/>
    <w:rsid w:val="008D6921"/>
    <w:rsid w:val="008D693D"/>
    <w:rsid w:val="008D6972"/>
    <w:rsid w:val="008D69A4"/>
    <w:rsid w:val="008D69AA"/>
    <w:rsid w:val="008D69B2"/>
    <w:rsid w:val="008D6A31"/>
    <w:rsid w:val="008D6A82"/>
    <w:rsid w:val="008D6AA0"/>
    <w:rsid w:val="008D6AC0"/>
    <w:rsid w:val="008D6B39"/>
    <w:rsid w:val="008D6B4F"/>
    <w:rsid w:val="008D6B53"/>
    <w:rsid w:val="008D6B7F"/>
    <w:rsid w:val="008D6BC8"/>
    <w:rsid w:val="008D6BF9"/>
    <w:rsid w:val="008D6C01"/>
    <w:rsid w:val="008D6C66"/>
    <w:rsid w:val="008D6CAF"/>
    <w:rsid w:val="008D6CD2"/>
    <w:rsid w:val="008D6D3B"/>
    <w:rsid w:val="008D6D6F"/>
    <w:rsid w:val="008D6DB7"/>
    <w:rsid w:val="008D6DCA"/>
    <w:rsid w:val="008D6E05"/>
    <w:rsid w:val="008D6E66"/>
    <w:rsid w:val="008D6E77"/>
    <w:rsid w:val="008D6EC6"/>
    <w:rsid w:val="008D6EEA"/>
    <w:rsid w:val="008D6F37"/>
    <w:rsid w:val="008D6F48"/>
    <w:rsid w:val="008D6FB5"/>
    <w:rsid w:val="008D6FBC"/>
    <w:rsid w:val="008D702F"/>
    <w:rsid w:val="008D704A"/>
    <w:rsid w:val="008D7091"/>
    <w:rsid w:val="008D70D5"/>
    <w:rsid w:val="008D7105"/>
    <w:rsid w:val="008D710E"/>
    <w:rsid w:val="008D7125"/>
    <w:rsid w:val="008D7126"/>
    <w:rsid w:val="008D714B"/>
    <w:rsid w:val="008D7162"/>
    <w:rsid w:val="008D7197"/>
    <w:rsid w:val="008D71B2"/>
    <w:rsid w:val="008D7256"/>
    <w:rsid w:val="008D7354"/>
    <w:rsid w:val="008D739C"/>
    <w:rsid w:val="008D73BF"/>
    <w:rsid w:val="008D7404"/>
    <w:rsid w:val="008D7419"/>
    <w:rsid w:val="008D7445"/>
    <w:rsid w:val="008D7469"/>
    <w:rsid w:val="008D7499"/>
    <w:rsid w:val="008D74FE"/>
    <w:rsid w:val="008D74FF"/>
    <w:rsid w:val="008D7513"/>
    <w:rsid w:val="008D7558"/>
    <w:rsid w:val="008D757E"/>
    <w:rsid w:val="008D75E9"/>
    <w:rsid w:val="008D7677"/>
    <w:rsid w:val="008D767E"/>
    <w:rsid w:val="008D7688"/>
    <w:rsid w:val="008D7695"/>
    <w:rsid w:val="008D770E"/>
    <w:rsid w:val="008D777E"/>
    <w:rsid w:val="008D7798"/>
    <w:rsid w:val="008D77A4"/>
    <w:rsid w:val="008D77CA"/>
    <w:rsid w:val="008D7829"/>
    <w:rsid w:val="008D782E"/>
    <w:rsid w:val="008D783F"/>
    <w:rsid w:val="008D7892"/>
    <w:rsid w:val="008D7903"/>
    <w:rsid w:val="008D7920"/>
    <w:rsid w:val="008D7977"/>
    <w:rsid w:val="008D79D8"/>
    <w:rsid w:val="008D79E7"/>
    <w:rsid w:val="008D7A4C"/>
    <w:rsid w:val="008D7B0B"/>
    <w:rsid w:val="008D7B2D"/>
    <w:rsid w:val="008D7B80"/>
    <w:rsid w:val="008D7B9A"/>
    <w:rsid w:val="008D7BF3"/>
    <w:rsid w:val="008D7CCB"/>
    <w:rsid w:val="008D7CD0"/>
    <w:rsid w:val="008D7CDB"/>
    <w:rsid w:val="008D7D24"/>
    <w:rsid w:val="008D7D83"/>
    <w:rsid w:val="008D7D91"/>
    <w:rsid w:val="008D7D93"/>
    <w:rsid w:val="008D7DCA"/>
    <w:rsid w:val="008D7E24"/>
    <w:rsid w:val="008D7E45"/>
    <w:rsid w:val="008D7E72"/>
    <w:rsid w:val="008D7E92"/>
    <w:rsid w:val="008D7EEA"/>
    <w:rsid w:val="008D7F46"/>
    <w:rsid w:val="008E007B"/>
    <w:rsid w:val="008E01F8"/>
    <w:rsid w:val="008E02A5"/>
    <w:rsid w:val="008E02D0"/>
    <w:rsid w:val="008E02D3"/>
    <w:rsid w:val="008E02F5"/>
    <w:rsid w:val="008E0311"/>
    <w:rsid w:val="008E031B"/>
    <w:rsid w:val="008E0369"/>
    <w:rsid w:val="008E03EA"/>
    <w:rsid w:val="008E0419"/>
    <w:rsid w:val="008E041A"/>
    <w:rsid w:val="008E047A"/>
    <w:rsid w:val="008E04F3"/>
    <w:rsid w:val="008E050E"/>
    <w:rsid w:val="008E051E"/>
    <w:rsid w:val="008E0523"/>
    <w:rsid w:val="008E052B"/>
    <w:rsid w:val="008E0542"/>
    <w:rsid w:val="008E055B"/>
    <w:rsid w:val="008E059D"/>
    <w:rsid w:val="008E05A2"/>
    <w:rsid w:val="008E05A4"/>
    <w:rsid w:val="008E05B4"/>
    <w:rsid w:val="008E05BA"/>
    <w:rsid w:val="008E05D3"/>
    <w:rsid w:val="008E05E0"/>
    <w:rsid w:val="008E067E"/>
    <w:rsid w:val="008E0762"/>
    <w:rsid w:val="008E077C"/>
    <w:rsid w:val="008E0791"/>
    <w:rsid w:val="008E07E3"/>
    <w:rsid w:val="008E0828"/>
    <w:rsid w:val="008E082F"/>
    <w:rsid w:val="008E083C"/>
    <w:rsid w:val="008E083F"/>
    <w:rsid w:val="008E0843"/>
    <w:rsid w:val="008E0867"/>
    <w:rsid w:val="008E0890"/>
    <w:rsid w:val="008E089D"/>
    <w:rsid w:val="008E08AC"/>
    <w:rsid w:val="008E08BE"/>
    <w:rsid w:val="008E08C6"/>
    <w:rsid w:val="008E0908"/>
    <w:rsid w:val="008E0965"/>
    <w:rsid w:val="008E0988"/>
    <w:rsid w:val="008E0A33"/>
    <w:rsid w:val="008E0A65"/>
    <w:rsid w:val="008E0A7A"/>
    <w:rsid w:val="008E0AC4"/>
    <w:rsid w:val="008E0B06"/>
    <w:rsid w:val="008E0BB2"/>
    <w:rsid w:val="008E0BC1"/>
    <w:rsid w:val="008E0C0F"/>
    <w:rsid w:val="008E0C2B"/>
    <w:rsid w:val="008E0C4D"/>
    <w:rsid w:val="008E0C95"/>
    <w:rsid w:val="008E0CB9"/>
    <w:rsid w:val="008E0CCB"/>
    <w:rsid w:val="008E0D0F"/>
    <w:rsid w:val="008E0D40"/>
    <w:rsid w:val="008E0D45"/>
    <w:rsid w:val="008E0D8C"/>
    <w:rsid w:val="008E0DC7"/>
    <w:rsid w:val="008E0DDF"/>
    <w:rsid w:val="008E0E54"/>
    <w:rsid w:val="008E0E5C"/>
    <w:rsid w:val="008E0E64"/>
    <w:rsid w:val="008E0E73"/>
    <w:rsid w:val="008E0E8B"/>
    <w:rsid w:val="008E0EA0"/>
    <w:rsid w:val="008E0EBF"/>
    <w:rsid w:val="008E0EE3"/>
    <w:rsid w:val="008E0F48"/>
    <w:rsid w:val="008E0F4D"/>
    <w:rsid w:val="008E0F5D"/>
    <w:rsid w:val="008E0F75"/>
    <w:rsid w:val="008E0F8E"/>
    <w:rsid w:val="008E0FC2"/>
    <w:rsid w:val="008E0FE8"/>
    <w:rsid w:val="008E101B"/>
    <w:rsid w:val="008E113B"/>
    <w:rsid w:val="008E114E"/>
    <w:rsid w:val="008E1178"/>
    <w:rsid w:val="008E119A"/>
    <w:rsid w:val="008E11CD"/>
    <w:rsid w:val="008E11F8"/>
    <w:rsid w:val="008E1204"/>
    <w:rsid w:val="008E1273"/>
    <w:rsid w:val="008E12A1"/>
    <w:rsid w:val="008E12A6"/>
    <w:rsid w:val="008E12BD"/>
    <w:rsid w:val="008E12EF"/>
    <w:rsid w:val="008E1343"/>
    <w:rsid w:val="008E138B"/>
    <w:rsid w:val="008E13A8"/>
    <w:rsid w:val="008E13AA"/>
    <w:rsid w:val="008E13AB"/>
    <w:rsid w:val="008E13BD"/>
    <w:rsid w:val="008E13DD"/>
    <w:rsid w:val="008E13EB"/>
    <w:rsid w:val="008E1449"/>
    <w:rsid w:val="008E144B"/>
    <w:rsid w:val="008E14AD"/>
    <w:rsid w:val="008E14BE"/>
    <w:rsid w:val="008E14E0"/>
    <w:rsid w:val="008E14E5"/>
    <w:rsid w:val="008E1530"/>
    <w:rsid w:val="008E154F"/>
    <w:rsid w:val="008E1594"/>
    <w:rsid w:val="008E15AB"/>
    <w:rsid w:val="008E15B9"/>
    <w:rsid w:val="008E15F2"/>
    <w:rsid w:val="008E15FA"/>
    <w:rsid w:val="008E16CA"/>
    <w:rsid w:val="008E16E3"/>
    <w:rsid w:val="008E1792"/>
    <w:rsid w:val="008E17D6"/>
    <w:rsid w:val="008E17F5"/>
    <w:rsid w:val="008E181A"/>
    <w:rsid w:val="008E1822"/>
    <w:rsid w:val="008E18A6"/>
    <w:rsid w:val="008E18B5"/>
    <w:rsid w:val="008E18BB"/>
    <w:rsid w:val="008E18E1"/>
    <w:rsid w:val="008E1911"/>
    <w:rsid w:val="008E1939"/>
    <w:rsid w:val="008E1981"/>
    <w:rsid w:val="008E1988"/>
    <w:rsid w:val="008E19BD"/>
    <w:rsid w:val="008E19FD"/>
    <w:rsid w:val="008E1A28"/>
    <w:rsid w:val="008E1A67"/>
    <w:rsid w:val="008E1A79"/>
    <w:rsid w:val="008E1B69"/>
    <w:rsid w:val="008E1BE6"/>
    <w:rsid w:val="008E1C33"/>
    <w:rsid w:val="008E1C58"/>
    <w:rsid w:val="008E1C6C"/>
    <w:rsid w:val="008E1CA0"/>
    <w:rsid w:val="008E1D27"/>
    <w:rsid w:val="008E1D28"/>
    <w:rsid w:val="008E1D4A"/>
    <w:rsid w:val="008E1D93"/>
    <w:rsid w:val="008E1DCE"/>
    <w:rsid w:val="008E1DD4"/>
    <w:rsid w:val="008E1DE5"/>
    <w:rsid w:val="008E1E19"/>
    <w:rsid w:val="008E1E1E"/>
    <w:rsid w:val="008E1ED3"/>
    <w:rsid w:val="008E1F05"/>
    <w:rsid w:val="008E1F3B"/>
    <w:rsid w:val="008E1F47"/>
    <w:rsid w:val="008E1F73"/>
    <w:rsid w:val="008E1F9B"/>
    <w:rsid w:val="008E1FA9"/>
    <w:rsid w:val="008E1FAD"/>
    <w:rsid w:val="008E1FB3"/>
    <w:rsid w:val="008E201F"/>
    <w:rsid w:val="008E203B"/>
    <w:rsid w:val="008E2067"/>
    <w:rsid w:val="008E20A9"/>
    <w:rsid w:val="008E20B9"/>
    <w:rsid w:val="008E20F1"/>
    <w:rsid w:val="008E2103"/>
    <w:rsid w:val="008E214F"/>
    <w:rsid w:val="008E215C"/>
    <w:rsid w:val="008E21BD"/>
    <w:rsid w:val="008E21C1"/>
    <w:rsid w:val="008E2202"/>
    <w:rsid w:val="008E2207"/>
    <w:rsid w:val="008E2222"/>
    <w:rsid w:val="008E227E"/>
    <w:rsid w:val="008E2285"/>
    <w:rsid w:val="008E2298"/>
    <w:rsid w:val="008E22B9"/>
    <w:rsid w:val="008E22C4"/>
    <w:rsid w:val="008E2370"/>
    <w:rsid w:val="008E2388"/>
    <w:rsid w:val="008E23A6"/>
    <w:rsid w:val="008E23BB"/>
    <w:rsid w:val="008E23CA"/>
    <w:rsid w:val="008E23FD"/>
    <w:rsid w:val="008E245F"/>
    <w:rsid w:val="008E24A2"/>
    <w:rsid w:val="008E25C6"/>
    <w:rsid w:val="008E2636"/>
    <w:rsid w:val="008E26A5"/>
    <w:rsid w:val="008E26CB"/>
    <w:rsid w:val="008E26CC"/>
    <w:rsid w:val="008E271D"/>
    <w:rsid w:val="008E2732"/>
    <w:rsid w:val="008E2740"/>
    <w:rsid w:val="008E2772"/>
    <w:rsid w:val="008E2781"/>
    <w:rsid w:val="008E280A"/>
    <w:rsid w:val="008E28E3"/>
    <w:rsid w:val="008E28FF"/>
    <w:rsid w:val="008E2924"/>
    <w:rsid w:val="008E2946"/>
    <w:rsid w:val="008E2966"/>
    <w:rsid w:val="008E2A31"/>
    <w:rsid w:val="008E2A69"/>
    <w:rsid w:val="008E2B0A"/>
    <w:rsid w:val="008E2B14"/>
    <w:rsid w:val="008E2B27"/>
    <w:rsid w:val="008E2B69"/>
    <w:rsid w:val="008E2B76"/>
    <w:rsid w:val="008E2B78"/>
    <w:rsid w:val="008E2B7C"/>
    <w:rsid w:val="008E2BEF"/>
    <w:rsid w:val="008E2C0E"/>
    <w:rsid w:val="008E2C22"/>
    <w:rsid w:val="008E2C3A"/>
    <w:rsid w:val="008E2C44"/>
    <w:rsid w:val="008E2C45"/>
    <w:rsid w:val="008E2C48"/>
    <w:rsid w:val="008E2C4E"/>
    <w:rsid w:val="008E2C6E"/>
    <w:rsid w:val="008E2C9D"/>
    <w:rsid w:val="008E2CA9"/>
    <w:rsid w:val="008E2CAB"/>
    <w:rsid w:val="008E2CAF"/>
    <w:rsid w:val="008E2D4C"/>
    <w:rsid w:val="008E2DEA"/>
    <w:rsid w:val="008E2E78"/>
    <w:rsid w:val="008E2EAF"/>
    <w:rsid w:val="008E2EB3"/>
    <w:rsid w:val="008E2EFA"/>
    <w:rsid w:val="008E2F5F"/>
    <w:rsid w:val="008E2FA7"/>
    <w:rsid w:val="008E2FBD"/>
    <w:rsid w:val="008E2FBE"/>
    <w:rsid w:val="008E3058"/>
    <w:rsid w:val="008E3073"/>
    <w:rsid w:val="008E30BD"/>
    <w:rsid w:val="008E30FD"/>
    <w:rsid w:val="008E3111"/>
    <w:rsid w:val="008E3146"/>
    <w:rsid w:val="008E3147"/>
    <w:rsid w:val="008E3178"/>
    <w:rsid w:val="008E319E"/>
    <w:rsid w:val="008E31CB"/>
    <w:rsid w:val="008E31CE"/>
    <w:rsid w:val="008E31EE"/>
    <w:rsid w:val="008E31F8"/>
    <w:rsid w:val="008E321A"/>
    <w:rsid w:val="008E3220"/>
    <w:rsid w:val="008E32A0"/>
    <w:rsid w:val="008E333A"/>
    <w:rsid w:val="008E3356"/>
    <w:rsid w:val="008E335C"/>
    <w:rsid w:val="008E336E"/>
    <w:rsid w:val="008E337E"/>
    <w:rsid w:val="008E33A1"/>
    <w:rsid w:val="008E33A7"/>
    <w:rsid w:val="008E33F0"/>
    <w:rsid w:val="008E3402"/>
    <w:rsid w:val="008E340D"/>
    <w:rsid w:val="008E3425"/>
    <w:rsid w:val="008E3437"/>
    <w:rsid w:val="008E34B7"/>
    <w:rsid w:val="008E34C0"/>
    <w:rsid w:val="008E35B5"/>
    <w:rsid w:val="008E363D"/>
    <w:rsid w:val="008E36A5"/>
    <w:rsid w:val="008E36D5"/>
    <w:rsid w:val="008E3719"/>
    <w:rsid w:val="008E3734"/>
    <w:rsid w:val="008E37B1"/>
    <w:rsid w:val="008E37C3"/>
    <w:rsid w:val="008E37D5"/>
    <w:rsid w:val="008E381D"/>
    <w:rsid w:val="008E3855"/>
    <w:rsid w:val="008E38B6"/>
    <w:rsid w:val="008E38E3"/>
    <w:rsid w:val="008E38F0"/>
    <w:rsid w:val="008E392B"/>
    <w:rsid w:val="008E396C"/>
    <w:rsid w:val="008E39A2"/>
    <w:rsid w:val="008E3A17"/>
    <w:rsid w:val="008E3A1E"/>
    <w:rsid w:val="008E3A2E"/>
    <w:rsid w:val="008E3A7E"/>
    <w:rsid w:val="008E3AE3"/>
    <w:rsid w:val="008E3AFA"/>
    <w:rsid w:val="008E3B57"/>
    <w:rsid w:val="008E3B92"/>
    <w:rsid w:val="008E3C2C"/>
    <w:rsid w:val="008E3C2F"/>
    <w:rsid w:val="008E3C8C"/>
    <w:rsid w:val="008E3CDC"/>
    <w:rsid w:val="008E3CE3"/>
    <w:rsid w:val="008E3D1B"/>
    <w:rsid w:val="008E3D45"/>
    <w:rsid w:val="008E3D65"/>
    <w:rsid w:val="008E3D76"/>
    <w:rsid w:val="008E3D98"/>
    <w:rsid w:val="008E3DBE"/>
    <w:rsid w:val="008E3DE6"/>
    <w:rsid w:val="008E3E03"/>
    <w:rsid w:val="008E3EAF"/>
    <w:rsid w:val="008E3EB7"/>
    <w:rsid w:val="008E3F09"/>
    <w:rsid w:val="008E3F28"/>
    <w:rsid w:val="008E3F9D"/>
    <w:rsid w:val="008E3FA9"/>
    <w:rsid w:val="008E4020"/>
    <w:rsid w:val="008E4024"/>
    <w:rsid w:val="008E409C"/>
    <w:rsid w:val="008E40E2"/>
    <w:rsid w:val="008E40EC"/>
    <w:rsid w:val="008E4105"/>
    <w:rsid w:val="008E413D"/>
    <w:rsid w:val="008E41C4"/>
    <w:rsid w:val="008E41C5"/>
    <w:rsid w:val="008E41D5"/>
    <w:rsid w:val="008E41EF"/>
    <w:rsid w:val="008E4205"/>
    <w:rsid w:val="008E4271"/>
    <w:rsid w:val="008E429D"/>
    <w:rsid w:val="008E42D0"/>
    <w:rsid w:val="008E42EB"/>
    <w:rsid w:val="008E4312"/>
    <w:rsid w:val="008E431F"/>
    <w:rsid w:val="008E436B"/>
    <w:rsid w:val="008E437D"/>
    <w:rsid w:val="008E4382"/>
    <w:rsid w:val="008E43C7"/>
    <w:rsid w:val="008E43EB"/>
    <w:rsid w:val="008E4447"/>
    <w:rsid w:val="008E44B0"/>
    <w:rsid w:val="008E44E1"/>
    <w:rsid w:val="008E4531"/>
    <w:rsid w:val="008E458F"/>
    <w:rsid w:val="008E45BE"/>
    <w:rsid w:val="008E4665"/>
    <w:rsid w:val="008E46DB"/>
    <w:rsid w:val="008E46ED"/>
    <w:rsid w:val="008E4752"/>
    <w:rsid w:val="008E4754"/>
    <w:rsid w:val="008E4762"/>
    <w:rsid w:val="008E47AD"/>
    <w:rsid w:val="008E47C2"/>
    <w:rsid w:val="008E47D7"/>
    <w:rsid w:val="008E47DA"/>
    <w:rsid w:val="008E47F2"/>
    <w:rsid w:val="008E483B"/>
    <w:rsid w:val="008E4873"/>
    <w:rsid w:val="008E4897"/>
    <w:rsid w:val="008E48A2"/>
    <w:rsid w:val="008E48FC"/>
    <w:rsid w:val="008E4931"/>
    <w:rsid w:val="008E4942"/>
    <w:rsid w:val="008E49EB"/>
    <w:rsid w:val="008E4A19"/>
    <w:rsid w:val="008E4A9F"/>
    <w:rsid w:val="008E4AA8"/>
    <w:rsid w:val="008E4AC8"/>
    <w:rsid w:val="008E4AD6"/>
    <w:rsid w:val="008E4C13"/>
    <w:rsid w:val="008E4C60"/>
    <w:rsid w:val="008E4CFC"/>
    <w:rsid w:val="008E4D00"/>
    <w:rsid w:val="008E4D38"/>
    <w:rsid w:val="008E4DA4"/>
    <w:rsid w:val="008E4DE9"/>
    <w:rsid w:val="008E4DFA"/>
    <w:rsid w:val="008E4E17"/>
    <w:rsid w:val="008E4E19"/>
    <w:rsid w:val="008E4E3C"/>
    <w:rsid w:val="008E4E3E"/>
    <w:rsid w:val="008E4E5B"/>
    <w:rsid w:val="008E4E71"/>
    <w:rsid w:val="008E4E73"/>
    <w:rsid w:val="008E4E95"/>
    <w:rsid w:val="008E4EAE"/>
    <w:rsid w:val="008E4F9B"/>
    <w:rsid w:val="008E4FFB"/>
    <w:rsid w:val="008E501A"/>
    <w:rsid w:val="008E502B"/>
    <w:rsid w:val="008E5049"/>
    <w:rsid w:val="008E50DB"/>
    <w:rsid w:val="008E510F"/>
    <w:rsid w:val="008E5137"/>
    <w:rsid w:val="008E513D"/>
    <w:rsid w:val="008E5144"/>
    <w:rsid w:val="008E516F"/>
    <w:rsid w:val="008E5182"/>
    <w:rsid w:val="008E5183"/>
    <w:rsid w:val="008E5189"/>
    <w:rsid w:val="008E519E"/>
    <w:rsid w:val="008E51A4"/>
    <w:rsid w:val="008E51D7"/>
    <w:rsid w:val="008E523C"/>
    <w:rsid w:val="008E525E"/>
    <w:rsid w:val="008E5294"/>
    <w:rsid w:val="008E52CD"/>
    <w:rsid w:val="008E52CF"/>
    <w:rsid w:val="008E53DB"/>
    <w:rsid w:val="008E5456"/>
    <w:rsid w:val="008E54A0"/>
    <w:rsid w:val="008E54C6"/>
    <w:rsid w:val="008E54E6"/>
    <w:rsid w:val="008E5506"/>
    <w:rsid w:val="008E5513"/>
    <w:rsid w:val="008E5535"/>
    <w:rsid w:val="008E55C5"/>
    <w:rsid w:val="008E55D6"/>
    <w:rsid w:val="008E5603"/>
    <w:rsid w:val="008E5664"/>
    <w:rsid w:val="008E5683"/>
    <w:rsid w:val="008E56B2"/>
    <w:rsid w:val="008E578C"/>
    <w:rsid w:val="008E57C5"/>
    <w:rsid w:val="008E57D9"/>
    <w:rsid w:val="008E581C"/>
    <w:rsid w:val="008E5845"/>
    <w:rsid w:val="008E5849"/>
    <w:rsid w:val="008E5896"/>
    <w:rsid w:val="008E58A8"/>
    <w:rsid w:val="008E58BA"/>
    <w:rsid w:val="008E58D7"/>
    <w:rsid w:val="008E58EE"/>
    <w:rsid w:val="008E58FB"/>
    <w:rsid w:val="008E5906"/>
    <w:rsid w:val="008E5980"/>
    <w:rsid w:val="008E599C"/>
    <w:rsid w:val="008E59C3"/>
    <w:rsid w:val="008E5A0A"/>
    <w:rsid w:val="008E5A12"/>
    <w:rsid w:val="008E5A7C"/>
    <w:rsid w:val="008E5A82"/>
    <w:rsid w:val="008E5A9D"/>
    <w:rsid w:val="008E5B45"/>
    <w:rsid w:val="008E5BED"/>
    <w:rsid w:val="008E5BFE"/>
    <w:rsid w:val="008E5C1B"/>
    <w:rsid w:val="008E5C47"/>
    <w:rsid w:val="008E5CAB"/>
    <w:rsid w:val="008E5CD1"/>
    <w:rsid w:val="008E5CD8"/>
    <w:rsid w:val="008E5DB8"/>
    <w:rsid w:val="008E5E14"/>
    <w:rsid w:val="008E5E5B"/>
    <w:rsid w:val="008E5E88"/>
    <w:rsid w:val="008E5E89"/>
    <w:rsid w:val="008E5EDC"/>
    <w:rsid w:val="008E5F0D"/>
    <w:rsid w:val="008E5F2D"/>
    <w:rsid w:val="008E5F43"/>
    <w:rsid w:val="008E5F91"/>
    <w:rsid w:val="008E5F92"/>
    <w:rsid w:val="008E5FE1"/>
    <w:rsid w:val="008E60EA"/>
    <w:rsid w:val="008E60F9"/>
    <w:rsid w:val="008E613F"/>
    <w:rsid w:val="008E6150"/>
    <w:rsid w:val="008E6151"/>
    <w:rsid w:val="008E6191"/>
    <w:rsid w:val="008E61A5"/>
    <w:rsid w:val="008E620C"/>
    <w:rsid w:val="008E6215"/>
    <w:rsid w:val="008E6257"/>
    <w:rsid w:val="008E629F"/>
    <w:rsid w:val="008E62D7"/>
    <w:rsid w:val="008E62DE"/>
    <w:rsid w:val="008E62EF"/>
    <w:rsid w:val="008E62F6"/>
    <w:rsid w:val="008E636F"/>
    <w:rsid w:val="008E6389"/>
    <w:rsid w:val="008E63C1"/>
    <w:rsid w:val="008E63C9"/>
    <w:rsid w:val="008E63D3"/>
    <w:rsid w:val="008E63DD"/>
    <w:rsid w:val="008E63E0"/>
    <w:rsid w:val="008E63FA"/>
    <w:rsid w:val="008E6400"/>
    <w:rsid w:val="008E6431"/>
    <w:rsid w:val="008E6486"/>
    <w:rsid w:val="008E648D"/>
    <w:rsid w:val="008E64EC"/>
    <w:rsid w:val="008E64F7"/>
    <w:rsid w:val="008E6572"/>
    <w:rsid w:val="008E6593"/>
    <w:rsid w:val="008E667C"/>
    <w:rsid w:val="008E66A1"/>
    <w:rsid w:val="008E671F"/>
    <w:rsid w:val="008E6792"/>
    <w:rsid w:val="008E67A4"/>
    <w:rsid w:val="008E67F8"/>
    <w:rsid w:val="008E684A"/>
    <w:rsid w:val="008E686A"/>
    <w:rsid w:val="008E6878"/>
    <w:rsid w:val="008E68C3"/>
    <w:rsid w:val="008E68E1"/>
    <w:rsid w:val="008E68E4"/>
    <w:rsid w:val="008E690F"/>
    <w:rsid w:val="008E69E5"/>
    <w:rsid w:val="008E6A26"/>
    <w:rsid w:val="008E6A3C"/>
    <w:rsid w:val="008E6A44"/>
    <w:rsid w:val="008E6A48"/>
    <w:rsid w:val="008E6A62"/>
    <w:rsid w:val="008E6B1D"/>
    <w:rsid w:val="008E6B4D"/>
    <w:rsid w:val="008E6BAD"/>
    <w:rsid w:val="008E6BD3"/>
    <w:rsid w:val="008E6C2A"/>
    <w:rsid w:val="008E6C78"/>
    <w:rsid w:val="008E6CF5"/>
    <w:rsid w:val="008E6D11"/>
    <w:rsid w:val="008E6D60"/>
    <w:rsid w:val="008E6D8D"/>
    <w:rsid w:val="008E6DF7"/>
    <w:rsid w:val="008E6E13"/>
    <w:rsid w:val="008E6E59"/>
    <w:rsid w:val="008E6E5A"/>
    <w:rsid w:val="008E6E5E"/>
    <w:rsid w:val="008E6E76"/>
    <w:rsid w:val="008E6E7C"/>
    <w:rsid w:val="008E6EB8"/>
    <w:rsid w:val="008E6ED0"/>
    <w:rsid w:val="008E6ED9"/>
    <w:rsid w:val="008E6EED"/>
    <w:rsid w:val="008E6EFE"/>
    <w:rsid w:val="008E7002"/>
    <w:rsid w:val="008E7006"/>
    <w:rsid w:val="008E706A"/>
    <w:rsid w:val="008E70ED"/>
    <w:rsid w:val="008E70F9"/>
    <w:rsid w:val="008E7109"/>
    <w:rsid w:val="008E7133"/>
    <w:rsid w:val="008E7146"/>
    <w:rsid w:val="008E7175"/>
    <w:rsid w:val="008E71A4"/>
    <w:rsid w:val="008E7222"/>
    <w:rsid w:val="008E72F8"/>
    <w:rsid w:val="008E734B"/>
    <w:rsid w:val="008E738C"/>
    <w:rsid w:val="008E73A5"/>
    <w:rsid w:val="008E73AB"/>
    <w:rsid w:val="008E746E"/>
    <w:rsid w:val="008E74CD"/>
    <w:rsid w:val="008E74F6"/>
    <w:rsid w:val="008E7514"/>
    <w:rsid w:val="008E7541"/>
    <w:rsid w:val="008E75DA"/>
    <w:rsid w:val="008E75DD"/>
    <w:rsid w:val="008E7652"/>
    <w:rsid w:val="008E7665"/>
    <w:rsid w:val="008E766E"/>
    <w:rsid w:val="008E76A7"/>
    <w:rsid w:val="008E76B1"/>
    <w:rsid w:val="008E76CE"/>
    <w:rsid w:val="008E76F1"/>
    <w:rsid w:val="008E770A"/>
    <w:rsid w:val="008E773C"/>
    <w:rsid w:val="008E7775"/>
    <w:rsid w:val="008E77D0"/>
    <w:rsid w:val="008E7883"/>
    <w:rsid w:val="008E7934"/>
    <w:rsid w:val="008E7975"/>
    <w:rsid w:val="008E7A17"/>
    <w:rsid w:val="008E7A4F"/>
    <w:rsid w:val="008E7AE3"/>
    <w:rsid w:val="008E7B52"/>
    <w:rsid w:val="008E7B7A"/>
    <w:rsid w:val="008E7BA5"/>
    <w:rsid w:val="008E7BB9"/>
    <w:rsid w:val="008E7BC8"/>
    <w:rsid w:val="008E7C0C"/>
    <w:rsid w:val="008E7C31"/>
    <w:rsid w:val="008E7C44"/>
    <w:rsid w:val="008E7C6E"/>
    <w:rsid w:val="008E7C94"/>
    <w:rsid w:val="008E7CD1"/>
    <w:rsid w:val="008E7D3B"/>
    <w:rsid w:val="008E7D59"/>
    <w:rsid w:val="008E7D65"/>
    <w:rsid w:val="008E7DBC"/>
    <w:rsid w:val="008E7DC6"/>
    <w:rsid w:val="008E7E59"/>
    <w:rsid w:val="008E7E74"/>
    <w:rsid w:val="008E7E8D"/>
    <w:rsid w:val="008E7ED2"/>
    <w:rsid w:val="008E7F04"/>
    <w:rsid w:val="008E7F36"/>
    <w:rsid w:val="008E7F7D"/>
    <w:rsid w:val="008E7FA8"/>
    <w:rsid w:val="008E7FD4"/>
    <w:rsid w:val="008E7FD7"/>
    <w:rsid w:val="008E7FD9"/>
    <w:rsid w:val="008F002B"/>
    <w:rsid w:val="008F0031"/>
    <w:rsid w:val="008F0064"/>
    <w:rsid w:val="008F00B4"/>
    <w:rsid w:val="008F00EA"/>
    <w:rsid w:val="008F0109"/>
    <w:rsid w:val="008F0151"/>
    <w:rsid w:val="008F018B"/>
    <w:rsid w:val="008F01AA"/>
    <w:rsid w:val="008F01BA"/>
    <w:rsid w:val="008F01EA"/>
    <w:rsid w:val="008F01FF"/>
    <w:rsid w:val="008F0297"/>
    <w:rsid w:val="008F02CA"/>
    <w:rsid w:val="008F030A"/>
    <w:rsid w:val="008F0334"/>
    <w:rsid w:val="008F041D"/>
    <w:rsid w:val="008F0486"/>
    <w:rsid w:val="008F0498"/>
    <w:rsid w:val="008F04A0"/>
    <w:rsid w:val="008F04F1"/>
    <w:rsid w:val="008F0505"/>
    <w:rsid w:val="008F0523"/>
    <w:rsid w:val="008F0549"/>
    <w:rsid w:val="008F0575"/>
    <w:rsid w:val="008F0593"/>
    <w:rsid w:val="008F05A5"/>
    <w:rsid w:val="008F05C3"/>
    <w:rsid w:val="008F05C4"/>
    <w:rsid w:val="008F05F7"/>
    <w:rsid w:val="008F05FA"/>
    <w:rsid w:val="008F064E"/>
    <w:rsid w:val="008F06C2"/>
    <w:rsid w:val="008F071B"/>
    <w:rsid w:val="008F0747"/>
    <w:rsid w:val="008F07E6"/>
    <w:rsid w:val="008F0801"/>
    <w:rsid w:val="008F0825"/>
    <w:rsid w:val="008F0828"/>
    <w:rsid w:val="008F0838"/>
    <w:rsid w:val="008F084D"/>
    <w:rsid w:val="008F0856"/>
    <w:rsid w:val="008F08A7"/>
    <w:rsid w:val="008F0922"/>
    <w:rsid w:val="008F0975"/>
    <w:rsid w:val="008F09D9"/>
    <w:rsid w:val="008F0A12"/>
    <w:rsid w:val="008F0A51"/>
    <w:rsid w:val="008F0AAA"/>
    <w:rsid w:val="008F0B1D"/>
    <w:rsid w:val="008F0B3A"/>
    <w:rsid w:val="008F0B3F"/>
    <w:rsid w:val="008F0B55"/>
    <w:rsid w:val="008F0B95"/>
    <w:rsid w:val="008F0BEE"/>
    <w:rsid w:val="008F0C79"/>
    <w:rsid w:val="008F0C7E"/>
    <w:rsid w:val="008F0C85"/>
    <w:rsid w:val="008F0CBC"/>
    <w:rsid w:val="008F0D43"/>
    <w:rsid w:val="008F0D58"/>
    <w:rsid w:val="008F0D7B"/>
    <w:rsid w:val="008F0DAF"/>
    <w:rsid w:val="008F0DD5"/>
    <w:rsid w:val="008F0DD9"/>
    <w:rsid w:val="008F0DE4"/>
    <w:rsid w:val="008F0E17"/>
    <w:rsid w:val="008F0E3C"/>
    <w:rsid w:val="008F0E8B"/>
    <w:rsid w:val="008F0EA5"/>
    <w:rsid w:val="008F0ECB"/>
    <w:rsid w:val="008F0EDD"/>
    <w:rsid w:val="008F0EE1"/>
    <w:rsid w:val="008F0EF5"/>
    <w:rsid w:val="008F0EF6"/>
    <w:rsid w:val="008F0F08"/>
    <w:rsid w:val="008F0F0F"/>
    <w:rsid w:val="008F0F66"/>
    <w:rsid w:val="008F0F99"/>
    <w:rsid w:val="008F0FC3"/>
    <w:rsid w:val="008F1069"/>
    <w:rsid w:val="008F111F"/>
    <w:rsid w:val="008F1184"/>
    <w:rsid w:val="008F1199"/>
    <w:rsid w:val="008F120A"/>
    <w:rsid w:val="008F120E"/>
    <w:rsid w:val="008F1210"/>
    <w:rsid w:val="008F1247"/>
    <w:rsid w:val="008F124D"/>
    <w:rsid w:val="008F12E0"/>
    <w:rsid w:val="008F130D"/>
    <w:rsid w:val="008F1350"/>
    <w:rsid w:val="008F1359"/>
    <w:rsid w:val="008F13AF"/>
    <w:rsid w:val="008F13F8"/>
    <w:rsid w:val="008F143B"/>
    <w:rsid w:val="008F1442"/>
    <w:rsid w:val="008F1464"/>
    <w:rsid w:val="008F146B"/>
    <w:rsid w:val="008F148C"/>
    <w:rsid w:val="008F14A2"/>
    <w:rsid w:val="008F1508"/>
    <w:rsid w:val="008F1512"/>
    <w:rsid w:val="008F157B"/>
    <w:rsid w:val="008F1585"/>
    <w:rsid w:val="008F15AA"/>
    <w:rsid w:val="008F1628"/>
    <w:rsid w:val="008F16AC"/>
    <w:rsid w:val="008F16E4"/>
    <w:rsid w:val="008F1706"/>
    <w:rsid w:val="008F1753"/>
    <w:rsid w:val="008F1769"/>
    <w:rsid w:val="008F17FB"/>
    <w:rsid w:val="008F1893"/>
    <w:rsid w:val="008F18A4"/>
    <w:rsid w:val="008F18BD"/>
    <w:rsid w:val="008F1922"/>
    <w:rsid w:val="008F1996"/>
    <w:rsid w:val="008F19B4"/>
    <w:rsid w:val="008F19D4"/>
    <w:rsid w:val="008F1A4C"/>
    <w:rsid w:val="008F1A80"/>
    <w:rsid w:val="008F1AAC"/>
    <w:rsid w:val="008F1AAF"/>
    <w:rsid w:val="008F1ABC"/>
    <w:rsid w:val="008F1AF6"/>
    <w:rsid w:val="008F1B2B"/>
    <w:rsid w:val="008F1B63"/>
    <w:rsid w:val="008F1B6F"/>
    <w:rsid w:val="008F1B80"/>
    <w:rsid w:val="008F1B95"/>
    <w:rsid w:val="008F1BFB"/>
    <w:rsid w:val="008F1C34"/>
    <w:rsid w:val="008F1C4A"/>
    <w:rsid w:val="008F1C9A"/>
    <w:rsid w:val="008F1C9C"/>
    <w:rsid w:val="008F1CF2"/>
    <w:rsid w:val="008F1D1C"/>
    <w:rsid w:val="008F1D22"/>
    <w:rsid w:val="008F1D7C"/>
    <w:rsid w:val="008F1DAA"/>
    <w:rsid w:val="008F1DD1"/>
    <w:rsid w:val="008F1DE9"/>
    <w:rsid w:val="008F1E01"/>
    <w:rsid w:val="008F1E32"/>
    <w:rsid w:val="008F1E50"/>
    <w:rsid w:val="008F1EBA"/>
    <w:rsid w:val="008F1EE9"/>
    <w:rsid w:val="008F1FE7"/>
    <w:rsid w:val="008F1FE8"/>
    <w:rsid w:val="008F1FFD"/>
    <w:rsid w:val="008F1FFE"/>
    <w:rsid w:val="008F2033"/>
    <w:rsid w:val="008F2050"/>
    <w:rsid w:val="008F2064"/>
    <w:rsid w:val="008F2065"/>
    <w:rsid w:val="008F208F"/>
    <w:rsid w:val="008F20BC"/>
    <w:rsid w:val="008F2161"/>
    <w:rsid w:val="008F21A1"/>
    <w:rsid w:val="008F21D8"/>
    <w:rsid w:val="008F21EE"/>
    <w:rsid w:val="008F2284"/>
    <w:rsid w:val="008F2300"/>
    <w:rsid w:val="008F238B"/>
    <w:rsid w:val="008F23CB"/>
    <w:rsid w:val="008F23D2"/>
    <w:rsid w:val="008F23DB"/>
    <w:rsid w:val="008F2407"/>
    <w:rsid w:val="008F2481"/>
    <w:rsid w:val="008F24C9"/>
    <w:rsid w:val="008F24D8"/>
    <w:rsid w:val="008F24DE"/>
    <w:rsid w:val="008F24E2"/>
    <w:rsid w:val="008F2518"/>
    <w:rsid w:val="008F256E"/>
    <w:rsid w:val="008F26BD"/>
    <w:rsid w:val="008F273C"/>
    <w:rsid w:val="008F273E"/>
    <w:rsid w:val="008F2769"/>
    <w:rsid w:val="008F27AD"/>
    <w:rsid w:val="008F2899"/>
    <w:rsid w:val="008F28BB"/>
    <w:rsid w:val="008F28BC"/>
    <w:rsid w:val="008F2920"/>
    <w:rsid w:val="008F292A"/>
    <w:rsid w:val="008F2984"/>
    <w:rsid w:val="008F2A12"/>
    <w:rsid w:val="008F2A48"/>
    <w:rsid w:val="008F2AC6"/>
    <w:rsid w:val="008F2B78"/>
    <w:rsid w:val="008F2B91"/>
    <w:rsid w:val="008F2BC0"/>
    <w:rsid w:val="008F2BFB"/>
    <w:rsid w:val="008F2C5F"/>
    <w:rsid w:val="008F2C87"/>
    <w:rsid w:val="008F2CD2"/>
    <w:rsid w:val="008F2CF4"/>
    <w:rsid w:val="008F2D40"/>
    <w:rsid w:val="008F2D5A"/>
    <w:rsid w:val="008F2DA6"/>
    <w:rsid w:val="008F2DEC"/>
    <w:rsid w:val="008F2E2C"/>
    <w:rsid w:val="008F2E36"/>
    <w:rsid w:val="008F2E4B"/>
    <w:rsid w:val="008F2E8E"/>
    <w:rsid w:val="008F2E8F"/>
    <w:rsid w:val="008F2F0B"/>
    <w:rsid w:val="008F2F1A"/>
    <w:rsid w:val="008F2F5D"/>
    <w:rsid w:val="008F2F89"/>
    <w:rsid w:val="008F2FAD"/>
    <w:rsid w:val="008F3010"/>
    <w:rsid w:val="008F305A"/>
    <w:rsid w:val="008F3098"/>
    <w:rsid w:val="008F30BF"/>
    <w:rsid w:val="008F30C1"/>
    <w:rsid w:val="008F3125"/>
    <w:rsid w:val="008F3164"/>
    <w:rsid w:val="008F31A7"/>
    <w:rsid w:val="008F321C"/>
    <w:rsid w:val="008F3237"/>
    <w:rsid w:val="008F3247"/>
    <w:rsid w:val="008F3265"/>
    <w:rsid w:val="008F3295"/>
    <w:rsid w:val="008F32A9"/>
    <w:rsid w:val="008F32BF"/>
    <w:rsid w:val="008F32C5"/>
    <w:rsid w:val="008F338D"/>
    <w:rsid w:val="008F348F"/>
    <w:rsid w:val="008F34D0"/>
    <w:rsid w:val="008F3546"/>
    <w:rsid w:val="008F3581"/>
    <w:rsid w:val="008F35CD"/>
    <w:rsid w:val="008F35DE"/>
    <w:rsid w:val="008F35ED"/>
    <w:rsid w:val="008F3648"/>
    <w:rsid w:val="008F36AC"/>
    <w:rsid w:val="008F3722"/>
    <w:rsid w:val="008F37CD"/>
    <w:rsid w:val="008F37DB"/>
    <w:rsid w:val="008F37E4"/>
    <w:rsid w:val="008F3889"/>
    <w:rsid w:val="008F38B0"/>
    <w:rsid w:val="008F38B5"/>
    <w:rsid w:val="008F38BF"/>
    <w:rsid w:val="008F38F8"/>
    <w:rsid w:val="008F390D"/>
    <w:rsid w:val="008F3912"/>
    <w:rsid w:val="008F395B"/>
    <w:rsid w:val="008F39CC"/>
    <w:rsid w:val="008F39D3"/>
    <w:rsid w:val="008F39DC"/>
    <w:rsid w:val="008F39DD"/>
    <w:rsid w:val="008F39E9"/>
    <w:rsid w:val="008F3A58"/>
    <w:rsid w:val="008F3A96"/>
    <w:rsid w:val="008F3A9B"/>
    <w:rsid w:val="008F3B16"/>
    <w:rsid w:val="008F3B29"/>
    <w:rsid w:val="008F3B54"/>
    <w:rsid w:val="008F3B7D"/>
    <w:rsid w:val="008F3B99"/>
    <w:rsid w:val="008F3BDE"/>
    <w:rsid w:val="008F3C61"/>
    <w:rsid w:val="008F3C6E"/>
    <w:rsid w:val="008F3C8A"/>
    <w:rsid w:val="008F3C92"/>
    <w:rsid w:val="008F3C9D"/>
    <w:rsid w:val="008F3CA0"/>
    <w:rsid w:val="008F3CC5"/>
    <w:rsid w:val="008F3CFD"/>
    <w:rsid w:val="008F3D15"/>
    <w:rsid w:val="008F3D50"/>
    <w:rsid w:val="008F3DD5"/>
    <w:rsid w:val="008F3DE2"/>
    <w:rsid w:val="008F3E29"/>
    <w:rsid w:val="008F3EC7"/>
    <w:rsid w:val="008F3F7F"/>
    <w:rsid w:val="008F3F8F"/>
    <w:rsid w:val="008F3F98"/>
    <w:rsid w:val="008F3FCC"/>
    <w:rsid w:val="008F3FF2"/>
    <w:rsid w:val="008F4021"/>
    <w:rsid w:val="008F4028"/>
    <w:rsid w:val="008F4047"/>
    <w:rsid w:val="008F40AA"/>
    <w:rsid w:val="008F4102"/>
    <w:rsid w:val="008F4145"/>
    <w:rsid w:val="008F4163"/>
    <w:rsid w:val="008F4188"/>
    <w:rsid w:val="008F41CD"/>
    <w:rsid w:val="008F4275"/>
    <w:rsid w:val="008F4276"/>
    <w:rsid w:val="008F429C"/>
    <w:rsid w:val="008F429E"/>
    <w:rsid w:val="008F42A8"/>
    <w:rsid w:val="008F42C4"/>
    <w:rsid w:val="008F42E8"/>
    <w:rsid w:val="008F4331"/>
    <w:rsid w:val="008F4353"/>
    <w:rsid w:val="008F43BF"/>
    <w:rsid w:val="008F4401"/>
    <w:rsid w:val="008F440A"/>
    <w:rsid w:val="008F4438"/>
    <w:rsid w:val="008F4455"/>
    <w:rsid w:val="008F451E"/>
    <w:rsid w:val="008F455B"/>
    <w:rsid w:val="008F4623"/>
    <w:rsid w:val="008F465B"/>
    <w:rsid w:val="008F4685"/>
    <w:rsid w:val="008F46E6"/>
    <w:rsid w:val="008F4702"/>
    <w:rsid w:val="008F4715"/>
    <w:rsid w:val="008F4768"/>
    <w:rsid w:val="008F476F"/>
    <w:rsid w:val="008F477F"/>
    <w:rsid w:val="008F4799"/>
    <w:rsid w:val="008F47E1"/>
    <w:rsid w:val="008F480C"/>
    <w:rsid w:val="008F48BC"/>
    <w:rsid w:val="008F48C0"/>
    <w:rsid w:val="008F497C"/>
    <w:rsid w:val="008F49A7"/>
    <w:rsid w:val="008F49A9"/>
    <w:rsid w:val="008F49F4"/>
    <w:rsid w:val="008F4A07"/>
    <w:rsid w:val="008F4A2C"/>
    <w:rsid w:val="008F4A5A"/>
    <w:rsid w:val="008F4A84"/>
    <w:rsid w:val="008F4A87"/>
    <w:rsid w:val="008F4AF9"/>
    <w:rsid w:val="008F4B41"/>
    <w:rsid w:val="008F4B42"/>
    <w:rsid w:val="008F4B5C"/>
    <w:rsid w:val="008F4B67"/>
    <w:rsid w:val="008F4B80"/>
    <w:rsid w:val="008F4B92"/>
    <w:rsid w:val="008F4BB4"/>
    <w:rsid w:val="008F4C4D"/>
    <w:rsid w:val="008F4C60"/>
    <w:rsid w:val="008F4D38"/>
    <w:rsid w:val="008F4DA5"/>
    <w:rsid w:val="008F4DFF"/>
    <w:rsid w:val="008F4E00"/>
    <w:rsid w:val="008F4E25"/>
    <w:rsid w:val="008F4EBE"/>
    <w:rsid w:val="008F4F57"/>
    <w:rsid w:val="008F4F88"/>
    <w:rsid w:val="008F4F90"/>
    <w:rsid w:val="008F4FBD"/>
    <w:rsid w:val="008F4FD8"/>
    <w:rsid w:val="008F5099"/>
    <w:rsid w:val="008F50A7"/>
    <w:rsid w:val="008F5140"/>
    <w:rsid w:val="008F5141"/>
    <w:rsid w:val="008F5145"/>
    <w:rsid w:val="008F5185"/>
    <w:rsid w:val="008F519D"/>
    <w:rsid w:val="008F51A7"/>
    <w:rsid w:val="008F51BB"/>
    <w:rsid w:val="008F51C8"/>
    <w:rsid w:val="008F52A8"/>
    <w:rsid w:val="008F52BE"/>
    <w:rsid w:val="008F5357"/>
    <w:rsid w:val="008F539F"/>
    <w:rsid w:val="008F53B8"/>
    <w:rsid w:val="008F5454"/>
    <w:rsid w:val="008F5472"/>
    <w:rsid w:val="008F5492"/>
    <w:rsid w:val="008F5514"/>
    <w:rsid w:val="008F5592"/>
    <w:rsid w:val="008F55EA"/>
    <w:rsid w:val="008F569A"/>
    <w:rsid w:val="008F56BE"/>
    <w:rsid w:val="008F5709"/>
    <w:rsid w:val="008F5888"/>
    <w:rsid w:val="008F58B1"/>
    <w:rsid w:val="008F58C4"/>
    <w:rsid w:val="008F58C6"/>
    <w:rsid w:val="008F5911"/>
    <w:rsid w:val="008F594C"/>
    <w:rsid w:val="008F5976"/>
    <w:rsid w:val="008F597C"/>
    <w:rsid w:val="008F59A7"/>
    <w:rsid w:val="008F59BE"/>
    <w:rsid w:val="008F5A8D"/>
    <w:rsid w:val="008F5AB0"/>
    <w:rsid w:val="008F5AC5"/>
    <w:rsid w:val="008F5B2E"/>
    <w:rsid w:val="008F5B68"/>
    <w:rsid w:val="008F5BE8"/>
    <w:rsid w:val="008F5BED"/>
    <w:rsid w:val="008F5C02"/>
    <w:rsid w:val="008F5C1E"/>
    <w:rsid w:val="008F5C44"/>
    <w:rsid w:val="008F5CD1"/>
    <w:rsid w:val="008F5D0F"/>
    <w:rsid w:val="008F5D2E"/>
    <w:rsid w:val="008F5D47"/>
    <w:rsid w:val="008F5D64"/>
    <w:rsid w:val="008F5D68"/>
    <w:rsid w:val="008F5D75"/>
    <w:rsid w:val="008F5E5D"/>
    <w:rsid w:val="008F5E76"/>
    <w:rsid w:val="008F5E81"/>
    <w:rsid w:val="008F5E90"/>
    <w:rsid w:val="008F5F00"/>
    <w:rsid w:val="008F5F1A"/>
    <w:rsid w:val="008F5F70"/>
    <w:rsid w:val="008F5FBB"/>
    <w:rsid w:val="008F6012"/>
    <w:rsid w:val="008F602A"/>
    <w:rsid w:val="008F6036"/>
    <w:rsid w:val="008F605A"/>
    <w:rsid w:val="008F606F"/>
    <w:rsid w:val="008F609C"/>
    <w:rsid w:val="008F60FF"/>
    <w:rsid w:val="008F6152"/>
    <w:rsid w:val="008F616D"/>
    <w:rsid w:val="008F6185"/>
    <w:rsid w:val="008F6186"/>
    <w:rsid w:val="008F6189"/>
    <w:rsid w:val="008F6194"/>
    <w:rsid w:val="008F61C2"/>
    <w:rsid w:val="008F6228"/>
    <w:rsid w:val="008F6246"/>
    <w:rsid w:val="008F6280"/>
    <w:rsid w:val="008F628C"/>
    <w:rsid w:val="008F6294"/>
    <w:rsid w:val="008F62A1"/>
    <w:rsid w:val="008F631B"/>
    <w:rsid w:val="008F6352"/>
    <w:rsid w:val="008F6365"/>
    <w:rsid w:val="008F63B8"/>
    <w:rsid w:val="008F63E6"/>
    <w:rsid w:val="008F640A"/>
    <w:rsid w:val="008F6430"/>
    <w:rsid w:val="008F64CD"/>
    <w:rsid w:val="008F6512"/>
    <w:rsid w:val="008F6536"/>
    <w:rsid w:val="008F65AF"/>
    <w:rsid w:val="008F6645"/>
    <w:rsid w:val="008F6666"/>
    <w:rsid w:val="008F669B"/>
    <w:rsid w:val="008F66D4"/>
    <w:rsid w:val="008F66E1"/>
    <w:rsid w:val="008F66E5"/>
    <w:rsid w:val="008F6753"/>
    <w:rsid w:val="008F6755"/>
    <w:rsid w:val="008F6768"/>
    <w:rsid w:val="008F67A5"/>
    <w:rsid w:val="008F67BE"/>
    <w:rsid w:val="008F67D5"/>
    <w:rsid w:val="008F6806"/>
    <w:rsid w:val="008F6828"/>
    <w:rsid w:val="008F688E"/>
    <w:rsid w:val="008F68B4"/>
    <w:rsid w:val="008F68D7"/>
    <w:rsid w:val="008F68F8"/>
    <w:rsid w:val="008F692D"/>
    <w:rsid w:val="008F6944"/>
    <w:rsid w:val="008F6968"/>
    <w:rsid w:val="008F69C8"/>
    <w:rsid w:val="008F69D5"/>
    <w:rsid w:val="008F6ABC"/>
    <w:rsid w:val="008F6AD3"/>
    <w:rsid w:val="008F6AF0"/>
    <w:rsid w:val="008F6AF1"/>
    <w:rsid w:val="008F6B13"/>
    <w:rsid w:val="008F6B86"/>
    <w:rsid w:val="008F6BC4"/>
    <w:rsid w:val="008F6BE8"/>
    <w:rsid w:val="008F6C47"/>
    <w:rsid w:val="008F6C80"/>
    <w:rsid w:val="008F6DAD"/>
    <w:rsid w:val="008F6E3C"/>
    <w:rsid w:val="008F6E59"/>
    <w:rsid w:val="008F6E91"/>
    <w:rsid w:val="008F6EB0"/>
    <w:rsid w:val="008F6ECC"/>
    <w:rsid w:val="008F6EFD"/>
    <w:rsid w:val="008F6F0D"/>
    <w:rsid w:val="008F6F2C"/>
    <w:rsid w:val="008F6F4D"/>
    <w:rsid w:val="008F6F69"/>
    <w:rsid w:val="008F6F9E"/>
    <w:rsid w:val="008F6FC9"/>
    <w:rsid w:val="008F7089"/>
    <w:rsid w:val="008F7139"/>
    <w:rsid w:val="008F718B"/>
    <w:rsid w:val="008F7190"/>
    <w:rsid w:val="008F71FF"/>
    <w:rsid w:val="008F721A"/>
    <w:rsid w:val="008F721F"/>
    <w:rsid w:val="008F7222"/>
    <w:rsid w:val="008F7232"/>
    <w:rsid w:val="008F7279"/>
    <w:rsid w:val="008F7288"/>
    <w:rsid w:val="008F72FF"/>
    <w:rsid w:val="008F7308"/>
    <w:rsid w:val="008F7334"/>
    <w:rsid w:val="008F736D"/>
    <w:rsid w:val="008F739E"/>
    <w:rsid w:val="008F73B4"/>
    <w:rsid w:val="008F73E8"/>
    <w:rsid w:val="008F7416"/>
    <w:rsid w:val="008F7447"/>
    <w:rsid w:val="008F744E"/>
    <w:rsid w:val="008F7458"/>
    <w:rsid w:val="008F746E"/>
    <w:rsid w:val="008F7522"/>
    <w:rsid w:val="008F7525"/>
    <w:rsid w:val="008F759D"/>
    <w:rsid w:val="008F75E0"/>
    <w:rsid w:val="008F7652"/>
    <w:rsid w:val="008F76AD"/>
    <w:rsid w:val="008F76B7"/>
    <w:rsid w:val="008F76DA"/>
    <w:rsid w:val="008F76DE"/>
    <w:rsid w:val="008F76E9"/>
    <w:rsid w:val="008F7720"/>
    <w:rsid w:val="008F7768"/>
    <w:rsid w:val="008F7769"/>
    <w:rsid w:val="008F77AB"/>
    <w:rsid w:val="008F7868"/>
    <w:rsid w:val="008F7879"/>
    <w:rsid w:val="008F78A2"/>
    <w:rsid w:val="008F78B0"/>
    <w:rsid w:val="008F78FC"/>
    <w:rsid w:val="008F7940"/>
    <w:rsid w:val="008F7954"/>
    <w:rsid w:val="008F7997"/>
    <w:rsid w:val="008F79DE"/>
    <w:rsid w:val="008F79F2"/>
    <w:rsid w:val="008F7A97"/>
    <w:rsid w:val="008F7AAB"/>
    <w:rsid w:val="008F7AD1"/>
    <w:rsid w:val="008F7AF8"/>
    <w:rsid w:val="008F7B38"/>
    <w:rsid w:val="008F7B7D"/>
    <w:rsid w:val="008F7C28"/>
    <w:rsid w:val="008F7C8B"/>
    <w:rsid w:val="008F7D22"/>
    <w:rsid w:val="008F7D37"/>
    <w:rsid w:val="008F7D47"/>
    <w:rsid w:val="008F7D5E"/>
    <w:rsid w:val="008F7D6A"/>
    <w:rsid w:val="008F7DA6"/>
    <w:rsid w:val="008F7DB0"/>
    <w:rsid w:val="008F7E01"/>
    <w:rsid w:val="008F7E4E"/>
    <w:rsid w:val="008F7E7D"/>
    <w:rsid w:val="008F7E9D"/>
    <w:rsid w:val="008F7EAE"/>
    <w:rsid w:val="008F7EC4"/>
    <w:rsid w:val="008F7FCA"/>
    <w:rsid w:val="00900039"/>
    <w:rsid w:val="0090004B"/>
    <w:rsid w:val="00900078"/>
    <w:rsid w:val="0090010E"/>
    <w:rsid w:val="0090014C"/>
    <w:rsid w:val="00900155"/>
    <w:rsid w:val="00900164"/>
    <w:rsid w:val="00900196"/>
    <w:rsid w:val="009001A0"/>
    <w:rsid w:val="009001C6"/>
    <w:rsid w:val="009001FD"/>
    <w:rsid w:val="0090022B"/>
    <w:rsid w:val="00900251"/>
    <w:rsid w:val="0090027B"/>
    <w:rsid w:val="00900298"/>
    <w:rsid w:val="009002AD"/>
    <w:rsid w:val="009002E3"/>
    <w:rsid w:val="009002E4"/>
    <w:rsid w:val="009002FD"/>
    <w:rsid w:val="00900325"/>
    <w:rsid w:val="00900345"/>
    <w:rsid w:val="009003B0"/>
    <w:rsid w:val="009003B5"/>
    <w:rsid w:val="009003BF"/>
    <w:rsid w:val="009003D1"/>
    <w:rsid w:val="009003F0"/>
    <w:rsid w:val="009003F5"/>
    <w:rsid w:val="009003FE"/>
    <w:rsid w:val="00900419"/>
    <w:rsid w:val="00900494"/>
    <w:rsid w:val="0090049A"/>
    <w:rsid w:val="009004E0"/>
    <w:rsid w:val="009004E3"/>
    <w:rsid w:val="009004E6"/>
    <w:rsid w:val="00900501"/>
    <w:rsid w:val="0090055B"/>
    <w:rsid w:val="009005A2"/>
    <w:rsid w:val="00900625"/>
    <w:rsid w:val="0090063C"/>
    <w:rsid w:val="00900643"/>
    <w:rsid w:val="0090064F"/>
    <w:rsid w:val="00900651"/>
    <w:rsid w:val="0090067A"/>
    <w:rsid w:val="0090068A"/>
    <w:rsid w:val="00900716"/>
    <w:rsid w:val="00900745"/>
    <w:rsid w:val="009007F7"/>
    <w:rsid w:val="0090083C"/>
    <w:rsid w:val="00900876"/>
    <w:rsid w:val="0090088C"/>
    <w:rsid w:val="0090089A"/>
    <w:rsid w:val="009008A3"/>
    <w:rsid w:val="009008B1"/>
    <w:rsid w:val="009008BA"/>
    <w:rsid w:val="00900972"/>
    <w:rsid w:val="00900A36"/>
    <w:rsid w:val="00900A95"/>
    <w:rsid w:val="00900AA3"/>
    <w:rsid w:val="00900AD3"/>
    <w:rsid w:val="00900B04"/>
    <w:rsid w:val="00900B30"/>
    <w:rsid w:val="00900B40"/>
    <w:rsid w:val="00900B69"/>
    <w:rsid w:val="00900BBE"/>
    <w:rsid w:val="00900BC4"/>
    <w:rsid w:val="00900C10"/>
    <w:rsid w:val="00900C20"/>
    <w:rsid w:val="00900C2F"/>
    <w:rsid w:val="00900C4F"/>
    <w:rsid w:val="00900C57"/>
    <w:rsid w:val="00900C6A"/>
    <w:rsid w:val="00900CA2"/>
    <w:rsid w:val="00900CA8"/>
    <w:rsid w:val="00900CE4"/>
    <w:rsid w:val="00900CEB"/>
    <w:rsid w:val="00900CF3"/>
    <w:rsid w:val="00900D17"/>
    <w:rsid w:val="00900D7A"/>
    <w:rsid w:val="00900D8A"/>
    <w:rsid w:val="00900DC4"/>
    <w:rsid w:val="00900E18"/>
    <w:rsid w:val="00900E33"/>
    <w:rsid w:val="00900E71"/>
    <w:rsid w:val="00900F39"/>
    <w:rsid w:val="00900F8D"/>
    <w:rsid w:val="00900FA7"/>
    <w:rsid w:val="00900FE7"/>
    <w:rsid w:val="00900FF3"/>
    <w:rsid w:val="00901032"/>
    <w:rsid w:val="00901038"/>
    <w:rsid w:val="00901046"/>
    <w:rsid w:val="009010DC"/>
    <w:rsid w:val="00901202"/>
    <w:rsid w:val="00901221"/>
    <w:rsid w:val="009012D1"/>
    <w:rsid w:val="0090137A"/>
    <w:rsid w:val="009013FE"/>
    <w:rsid w:val="009013FF"/>
    <w:rsid w:val="00901412"/>
    <w:rsid w:val="0090145B"/>
    <w:rsid w:val="00901517"/>
    <w:rsid w:val="00901545"/>
    <w:rsid w:val="00901550"/>
    <w:rsid w:val="00901553"/>
    <w:rsid w:val="0090157C"/>
    <w:rsid w:val="009015A0"/>
    <w:rsid w:val="009015BD"/>
    <w:rsid w:val="009015C8"/>
    <w:rsid w:val="009015E7"/>
    <w:rsid w:val="00901632"/>
    <w:rsid w:val="00901633"/>
    <w:rsid w:val="00901663"/>
    <w:rsid w:val="009016A9"/>
    <w:rsid w:val="009016C5"/>
    <w:rsid w:val="00901736"/>
    <w:rsid w:val="00901741"/>
    <w:rsid w:val="00901763"/>
    <w:rsid w:val="00901782"/>
    <w:rsid w:val="0090179D"/>
    <w:rsid w:val="009017A2"/>
    <w:rsid w:val="0090180A"/>
    <w:rsid w:val="00901894"/>
    <w:rsid w:val="00901972"/>
    <w:rsid w:val="00901987"/>
    <w:rsid w:val="0090198B"/>
    <w:rsid w:val="0090199A"/>
    <w:rsid w:val="0090199D"/>
    <w:rsid w:val="009019A6"/>
    <w:rsid w:val="009019A9"/>
    <w:rsid w:val="009019EE"/>
    <w:rsid w:val="00901A4D"/>
    <w:rsid w:val="00901AB5"/>
    <w:rsid w:val="00901B13"/>
    <w:rsid w:val="00901B1C"/>
    <w:rsid w:val="00901B3B"/>
    <w:rsid w:val="00901B49"/>
    <w:rsid w:val="00901BA2"/>
    <w:rsid w:val="00901BEB"/>
    <w:rsid w:val="00901C41"/>
    <w:rsid w:val="00901C52"/>
    <w:rsid w:val="00901C73"/>
    <w:rsid w:val="00901C95"/>
    <w:rsid w:val="00901C9E"/>
    <w:rsid w:val="00901CA8"/>
    <w:rsid w:val="00901CC0"/>
    <w:rsid w:val="00901D13"/>
    <w:rsid w:val="00901D20"/>
    <w:rsid w:val="00901D3B"/>
    <w:rsid w:val="00901D8E"/>
    <w:rsid w:val="00901DB5"/>
    <w:rsid w:val="00901E27"/>
    <w:rsid w:val="00901E32"/>
    <w:rsid w:val="00901EF7"/>
    <w:rsid w:val="00901EF9"/>
    <w:rsid w:val="00901F18"/>
    <w:rsid w:val="00901F64"/>
    <w:rsid w:val="00901F6D"/>
    <w:rsid w:val="00901F8F"/>
    <w:rsid w:val="00901F93"/>
    <w:rsid w:val="00901FD5"/>
    <w:rsid w:val="00901FFC"/>
    <w:rsid w:val="00902029"/>
    <w:rsid w:val="00902048"/>
    <w:rsid w:val="0090205B"/>
    <w:rsid w:val="00902092"/>
    <w:rsid w:val="0090209A"/>
    <w:rsid w:val="009020C2"/>
    <w:rsid w:val="009020D2"/>
    <w:rsid w:val="009020D8"/>
    <w:rsid w:val="0090216E"/>
    <w:rsid w:val="009021C7"/>
    <w:rsid w:val="00902294"/>
    <w:rsid w:val="009022AE"/>
    <w:rsid w:val="009022B8"/>
    <w:rsid w:val="00902331"/>
    <w:rsid w:val="00902340"/>
    <w:rsid w:val="00902347"/>
    <w:rsid w:val="00902381"/>
    <w:rsid w:val="0090241C"/>
    <w:rsid w:val="0090244E"/>
    <w:rsid w:val="009024AC"/>
    <w:rsid w:val="009024BA"/>
    <w:rsid w:val="00902542"/>
    <w:rsid w:val="009025BE"/>
    <w:rsid w:val="009025D4"/>
    <w:rsid w:val="009025D8"/>
    <w:rsid w:val="009025E1"/>
    <w:rsid w:val="00902631"/>
    <w:rsid w:val="00902642"/>
    <w:rsid w:val="0090265A"/>
    <w:rsid w:val="0090268D"/>
    <w:rsid w:val="009026A8"/>
    <w:rsid w:val="009026B6"/>
    <w:rsid w:val="009026E6"/>
    <w:rsid w:val="009026FC"/>
    <w:rsid w:val="00902713"/>
    <w:rsid w:val="00902773"/>
    <w:rsid w:val="00902788"/>
    <w:rsid w:val="009027A6"/>
    <w:rsid w:val="009027F1"/>
    <w:rsid w:val="00902804"/>
    <w:rsid w:val="0090280B"/>
    <w:rsid w:val="00902850"/>
    <w:rsid w:val="009028CC"/>
    <w:rsid w:val="009028E9"/>
    <w:rsid w:val="009029A2"/>
    <w:rsid w:val="00902A91"/>
    <w:rsid w:val="00902A98"/>
    <w:rsid w:val="00902AF8"/>
    <w:rsid w:val="00902B2A"/>
    <w:rsid w:val="00902B58"/>
    <w:rsid w:val="00902B61"/>
    <w:rsid w:val="00902C18"/>
    <w:rsid w:val="00902C84"/>
    <w:rsid w:val="00902CA4"/>
    <w:rsid w:val="00902CD8"/>
    <w:rsid w:val="00902D5B"/>
    <w:rsid w:val="00902D8D"/>
    <w:rsid w:val="00902DCA"/>
    <w:rsid w:val="00902DDD"/>
    <w:rsid w:val="00902EAB"/>
    <w:rsid w:val="00902EBC"/>
    <w:rsid w:val="00902ED3"/>
    <w:rsid w:val="00902EFF"/>
    <w:rsid w:val="00902F18"/>
    <w:rsid w:val="00902F7D"/>
    <w:rsid w:val="00902FAE"/>
    <w:rsid w:val="00902FC3"/>
    <w:rsid w:val="00903049"/>
    <w:rsid w:val="0090305D"/>
    <w:rsid w:val="0090305F"/>
    <w:rsid w:val="00903062"/>
    <w:rsid w:val="0090306E"/>
    <w:rsid w:val="00903072"/>
    <w:rsid w:val="00903090"/>
    <w:rsid w:val="009030BC"/>
    <w:rsid w:val="009030C4"/>
    <w:rsid w:val="00903103"/>
    <w:rsid w:val="00903128"/>
    <w:rsid w:val="00903134"/>
    <w:rsid w:val="0090313A"/>
    <w:rsid w:val="00903150"/>
    <w:rsid w:val="0090317B"/>
    <w:rsid w:val="0090324C"/>
    <w:rsid w:val="00903250"/>
    <w:rsid w:val="00903290"/>
    <w:rsid w:val="009032FA"/>
    <w:rsid w:val="0090330D"/>
    <w:rsid w:val="00903345"/>
    <w:rsid w:val="009033B3"/>
    <w:rsid w:val="0090341F"/>
    <w:rsid w:val="0090349E"/>
    <w:rsid w:val="009034D1"/>
    <w:rsid w:val="009034DC"/>
    <w:rsid w:val="009034F4"/>
    <w:rsid w:val="0090355A"/>
    <w:rsid w:val="00903588"/>
    <w:rsid w:val="009035C8"/>
    <w:rsid w:val="00903604"/>
    <w:rsid w:val="00903674"/>
    <w:rsid w:val="0090367B"/>
    <w:rsid w:val="00903682"/>
    <w:rsid w:val="0090368E"/>
    <w:rsid w:val="009036BA"/>
    <w:rsid w:val="009036D0"/>
    <w:rsid w:val="00903707"/>
    <w:rsid w:val="00903752"/>
    <w:rsid w:val="00903782"/>
    <w:rsid w:val="009037A4"/>
    <w:rsid w:val="009037A5"/>
    <w:rsid w:val="009037C0"/>
    <w:rsid w:val="0090380B"/>
    <w:rsid w:val="00903814"/>
    <w:rsid w:val="00903885"/>
    <w:rsid w:val="00903924"/>
    <w:rsid w:val="0090399F"/>
    <w:rsid w:val="009039CA"/>
    <w:rsid w:val="009039F9"/>
    <w:rsid w:val="00903A19"/>
    <w:rsid w:val="00903A2D"/>
    <w:rsid w:val="00903A39"/>
    <w:rsid w:val="00903AE7"/>
    <w:rsid w:val="00903AFB"/>
    <w:rsid w:val="00903B56"/>
    <w:rsid w:val="00903B71"/>
    <w:rsid w:val="00903B98"/>
    <w:rsid w:val="00903C32"/>
    <w:rsid w:val="00903C5A"/>
    <w:rsid w:val="00903C86"/>
    <w:rsid w:val="00903CC3"/>
    <w:rsid w:val="00903CCD"/>
    <w:rsid w:val="00903D32"/>
    <w:rsid w:val="00903D33"/>
    <w:rsid w:val="00903D6C"/>
    <w:rsid w:val="00903D8D"/>
    <w:rsid w:val="00903D9B"/>
    <w:rsid w:val="00903DB3"/>
    <w:rsid w:val="00903DD9"/>
    <w:rsid w:val="00903E24"/>
    <w:rsid w:val="00903E56"/>
    <w:rsid w:val="00903F24"/>
    <w:rsid w:val="00903F2F"/>
    <w:rsid w:val="00903F66"/>
    <w:rsid w:val="00903FEF"/>
    <w:rsid w:val="00904031"/>
    <w:rsid w:val="00904085"/>
    <w:rsid w:val="009040BD"/>
    <w:rsid w:val="009040C8"/>
    <w:rsid w:val="0090410E"/>
    <w:rsid w:val="0090411B"/>
    <w:rsid w:val="00904149"/>
    <w:rsid w:val="009041C5"/>
    <w:rsid w:val="009041D3"/>
    <w:rsid w:val="009041E5"/>
    <w:rsid w:val="009041F8"/>
    <w:rsid w:val="00904281"/>
    <w:rsid w:val="0090428D"/>
    <w:rsid w:val="00904296"/>
    <w:rsid w:val="009042B5"/>
    <w:rsid w:val="00904365"/>
    <w:rsid w:val="0090441A"/>
    <w:rsid w:val="00904466"/>
    <w:rsid w:val="00904517"/>
    <w:rsid w:val="0090451E"/>
    <w:rsid w:val="0090452B"/>
    <w:rsid w:val="009045FD"/>
    <w:rsid w:val="0090467C"/>
    <w:rsid w:val="0090468B"/>
    <w:rsid w:val="009046AF"/>
    <w:rsid w:val="009046C2"/>
    <w:rsid w:val="009046CB"/>
    <w:rsid w:val="009046F4"/>
    <w:rsid w:val="0090479E"/>
    <w:rsid w:val="0090479F"/>
    <w:rsid w:val="009047EF"/>
    <w:rsid w:val="00904896"/>
    <w:rsid w:val="009048A7"/>
    <w:rsid w:val="009048B9"/>
    <w:rsid w:val="0090491B"/>
    <w:rsid w:val="00904999"/>
    <w:rsid w:val="009049A0"/>
    <w:rsid w:val="009049B1"/>
    <w:rsid w:val="009049C5"/>
    <w:rsid w:val="009049EE"/>
    <w:rsid w:val="00904A06"/>
    <w:rsid w:val="00904A69"/>
    <w:rsid w:val="00904AAA"/>
    <w:rsid w:val="00904AAF"/>
    <w:rsid w:val="00904AC0"/>
    <w:rsid w:val="00904ADD"/>
    <w:rsid w:val="00904AF5"/>
    <w:rsid w:val="00904B61"/>
    <w:rsid w:val="00904BBA"/>
    <w:rsid w:val="00904C6C"/>
    <w:rsid w:val="00904C80"/>
    <w:rsid w:val="00904CC0"/>
    <w:rsid w:val="00904CDA"/>
    <w:rsid w:val="00904CDC"/>
    <w:rsid w:val="00904D15"/>
    <w:rsid w:val="00904D28"/>
    <w:rsid w:val="00904D29"/>
    <w:rsid w:val="00904D57"/>
    <w:rsid w:val="00904DEB"/>
    <w:rsid w:val="00904DF9"/>
    <w:rsid w:val="00904E12"/>
    <w:rsid w:val="00904E25"/>
    <w:rsid w:val="00904E8A"/>
    <w:rsid w:val="00904F01"/>
    <w:rsid w:val="00904F14"/>
    <w:rsid w:val="00904F36"/>
    <w:rsid w:val="00904F61"/>
    <w:rsid w:val="00904F7D"/>
    <w:rsid w:val="0090500B"/>
    <w:rsid w:val="0090500C"/>
    <w:rsid w:val="00905020"/>
    <w:rsid w:val="00905031"/>
    <w:rsid w:val="0090503F"/>
    <w:rsid w:val="0090509E"/>
    <w:rsid w:val="009050BE"/>
    <w:rsid w:val="00905106"/>
    <w:rsid w:val="00905112"/>
    <w:rsid w:val="0090512E"/>
    <w:rsid w:val="00905180"/>
    <w:rsid w:val="00905181"/>
    <w:rsid w:val="0090520B"/>
    <w:rsid w:val="00905211"/>
    <w:rsid w:val="00905219"/>
    <w:rsid w:val="00905248"/>
    <w:rsid w:val="0090524E"/>
    <w:rsid w:val="00905276"/>
    <w:rsid w:val="0090528A"/>
    <w:rsid w:val="009052B5"/>
    <w:rsid w:val="009052E1"/>
    <w:rsid w:val="009052FA"/>
    <w:rsid w:val="009052FF"/>
    <w:rsid w:val="00905346"/>
    <w:rsid w:val="0090534A"/>
    <w:rsid w:val="00905362"/>
    <w:rsid w:val="009053C3"/>
    <w:rsid w:val="009053DB"/>
    <w:rsid w:val="00905468"/>
    <w:rsid w:val="009054BF"/>
    <w:rsid w:val="0090551F"/>
    <w:rsid w:val="00905523"/>
    <w:rsid w:val="00905570"/>
    <w:rsid w:val="0090558E"/>
    <w:rsid w:val="009055FC"/>
    <w:rsid w:val="0090563E"/>
    <w:rsid w:val="00905657"/>
    <w:rsid w:val="00905658"/>
    <w:rsid w:val="00905665"/>
    <w:rsid w:val="00905685"/>
    <w:rsid w:val="009056AD"/>
    <w:rsid w:val="009056AF"/>
    <w:rsid w:val="009056F0"/>
    <w:rsid w:val="00905741"/>
    <w:rsid w:val="0090574D"/>
    <w:rsid w:val="00905773"/>
    <w:rsid w:val="0090577E"/>
    <w:rsid w:val="009057B9"/>
    <w:rsid w:val="009057D6"/>
    <w:rsid w:val="009058D2"/>
    <w:rsid w:val="009058F3"/>
    <w:rsid w:val="009058FB"/>
    <w:rsid w:val="009058FE"/>
    <w:rsid w:val="00905934"/>
    <w:rsid w:val="009059DB"/>
    <w:rsid w:val="00905A2A"/>
    <w:rsid w:val="00905A46"/>
    <w:rsid w:val="00905A50"/>
    <w:rsid w:val="00905A9F"/>
    <w:rsid w:val="00905AB5"/>
    <w:rsid w:val="00905ACB"/>
    <w:rsid w:val="00905ADC"/>
    <w:rsid w:val="00905B0F"/>
    <w:rsid w:val="00905B27"/>
    <w:rsid w:val="00905B4B"/>
    <w:rsid w:val="00905BC5"/>
    <w:rsid w:val="00905BD3"/>
    <w:rsid w:val="00905C1F"/>
    <w:rsid w:val="00905CF2"/>
    <w:rsid w:val="00905D07"/>
    <w:rsid w:val="00905D58"/>
    <w:rsid w:val="00905D90"/>
    <w:rsid w:val="00905DB2"/>
    <w:rsid w:val="00905E49"/>
    <w:rsid w:val="00905E7B"/>
    <w:rsid w:val="00905EA0"/>
    <w:rsid w:val="00905F93"/>
    <w:rsid w:val="00905FE9"/>
    <w:rsid w:val="00906045"/>
    <w:rsid w:val="00906066"/>
    <w:rsid w:val="00906074"/>
    <w:rsid w:val="009060A5"/>
    <w:rsid w:val="0090616C"/>
    <w:rsid w:val="00906173"/>
    <w:rsid w:val="0090618D"/>
    <w:rsid w:val="00906198"/>
    <w:rsid w:val="009061DA"/>
    <w:rsid w:val="0090624E"/>
    <w:rsid w:val="0090626E"/>
    <w:rsid w:val="009062C9"/>
    <w:rsid w:val="009063E7"/>
    <w:rsid w:val="00906443"/>
    <w:rsid w:val="00906461"/>
    <w:rsid w:val="009064D6"/>
    <w:rsid w:val="009064F4"/>
    <w:rsid w:val="00906537"/>
    <w:rsid w:val="0090654F"/>
    <w:rsid w:val="009065FB"/>
    <w:rsid w:val="009065FE"/>
    <w:rsid w:val="0090664B"/>
    <w:rsid w:val="00906674"/>
    <w:rsid w:val="009066AB"/>
    <w:rsid w:val="009066CF"/>
    <w:rsid w:val="0090671E"/>
    <w:rsid w:val="0090679F"/>
    <w:rsid w:val="009067B1"/>
    <w:rsid w:val="009067B7"/>
    <w:rsid w:val="00906830"/>
    <w:rsid w:val="009068CB"/>
    <w:rsid w:val="00906987"/>
    <w:rsid w:val="0090698F"/>
    <w:rsid w:val="00906998"/>
    <w:rsid w:val="00906999"/>
    <w:rsid w:val="0090699B"/>
    <w:rsid w:val="009069BF"/>
    <w:rsid w:val="009069E4"/>
    <w:rsid w:val="009069EE"/>
    <w:rsid w:val="009069FB"/>
    <w:rsid w:val="00906A38"/>
    <w:rsid w:val="00906A5D"/>
    <w:rsid w:val="00906ABF"/>
    <w:rsid w:val="00906AC2"/>
    <w:rsid w:val="00906B7E"/>
    <w:rsid w:val="00906B8D"/>
    <w:rsid w:val="00906B91"/>
    <w:rsid w:val="00906BBC"/>
    <w:rsid w:val="00906BCC"/>
    <w:rsid w:val="00906C00"/>
    <w:rsid w:val="00906C0A"/>
    <w:rsid w:val="00906C74"/>
    <w:rsid w:val="00906C8B"/>
    <w:rsid w:val="00906CB3"/>
    <w:rsid w:val="00906CBE"/>
    <w:rsid w:val="00906CD9"/>
    <w:rsid w:val="00906CF2"/>
    <w:rsid w:val="00906CF9"/>
    <w:rsid w:val="00906D06"/>
    <w:rsid w:val="00906D50"/>
    <w:rsid w:val="00906D73"/>
    <w:rsid w:val="00906D7B"/>
    <w:rsid w:val="00906EC7"/>
    <w:rsid w:val="00906F09"/>
    <w:rsid w:val="00906F50"/>
    <w:rsid w:val="00906F76"/>
    <w:rsid w:val="00906F83"/>
    <w:rsid w:val="00906F86"/>
    <w:rsid w:val="0090703F"/>
    <w:rsid w:val="00907057"/>
    <w:rsid w:val="00907059"/>
    <w:rsid w:val="009070A8"/>
    <w:rsid w:val="009070AF"/>
    <w:rsid w:val="0090711A"/>
    <w:rsid w:val="00907123"/>
    <w:rsid w:val="00907170"/>
    <w:rsid w:val="009071AA"/>
    <w:rsid w:val="009071EF"/>
    <w:rsid w:val="00907219"/>
    <w:rsid w:val="00907244"/>
    <w:rsid w:val="0090726E"/>
    <w:rsid w:val="00907275"/>
    <w:rsid w:val="009072C8"/>
    <w:rsid w:val="0090730F"/>
    <w:rsid w:val="00907318"/>
    <w:rsid w:val="00907329"/>
    <w:rsid w:val="00907390"/>
    <w:rsid w:val="009073B4"/>
    <w:rsid w:val="009073F1"/>
    <w:rsid w:val="00907415"/>
    <w:rsid w:val="009074A4"/>
    <w:rsid w:val="009074DE"/>
    <w:rsid w:val="009074F9"/>
    <w:rsid w:val="009074FF"/>
    <w:rsid w:val="009075CC"/>
    <w:rsid w:val="009075D9"/>
    <w:rsid w:val="009075F8"/>
    <w:rsid w:val="0090760C"/>
    <w:rsid w:val="009076C3"/>
    <w:rsid w:val="009076E9"/>
    <w:rsid w:val="00907700"/>
    <w:rsid w:val="0090771D"/>
    <w:rsid w:val="00907742"/>
    <w:rsid w:val="0090779D"/>
    <w:rsid w:val="009077EC"/>
    <w:rsid w:val="00907802"/>
    <w:rsid w:val="0090780A"/>
    <w:rsid w:val="009078C4"/>
    <w:rsid w:val="009078C7"/>
    <w:rsid w:val="0090793C"/>
    <w:rsid w:val="00907950"/>
    <w:rsid w:val="0090795F"/>
    <w:rsid w:val="009079B1"/>
    <w:rsid w:val="009079CF"/>
    <w:rsid w:val="009079D6"/>
    <w:rsid w:val="00907A2D"/>
    <w:rsid w:val="00907A51"/>
    <w:rsid w:val="00907AA7"/>
    <w:rsid w:val="00907AE5"/>
    <w:rsid w:val="00907B64"/>
    <w:rsid w:val="00907B73"/>
    <w:rsid w:val="00907BCD"/>
    <w:rsid w:val="00907BD6"/>
    <w:rsid w:val="00907BEC"/>
    <w:rsid w:val="00907C22"/>
    <w:rsid w:val="00907C31"/>
    <w:rsid w:val="00907C84"/>
    <w:rsid w:val="00907CA4"/>
    <w:rsid w:val="00907D3A"/>
    <w:rsid w:val="00907D46"/>
    <w:rsid w:val="00907D71"/>
    <w:rsid w:val="00907D92"/>
    <w:rsid w:val="00907DD2"/>
    <w:rsid w:val="00907DF4"/>
    <w:rsid w:val="00907E31"/>
    <w:rsid w:val="00907EF0"/>
    <w:rsid w:val="00907F49"/>
    <w:rsid w:val="00907F77"/>
    <w:rsid w:val="00907F92"/>
    <w:rsid w:val="00907FD8"/>
    <w:rsid w:val="00907FF7"/>
    <w:rsid w:val="0091003F"/>
    <w:rsid w:val="00910068"/>
    <w:rsid w:val="00910091"/>
    <w:rsid w:val="009100A3"/>
    <w:rsid w:val="009100E4"/>
    <w:rsid w:val="00910158"/>
    <w:rsid w:val="0091018D"/>
    <w:rsid w:val="009101A4"/>
    <w:rsid w:val="009101BB"/>
    <w:rsid w:val="009101C6"/>
    <w:rsid w:val="009101CC"/>
    <w:rsid w:val="0091024B"/>
    <w:rsid w:val="0091028F"/>
    <w:rsid w:val="00910291"/>
    <w:rsid w:val="00910297"/>
    <w:rsid w:val="009102C3"/>
    <w:rsid w:val="009102C5"/>
    <w:rsid w:val="00910312"/>
    <w:rsid w:val="00910358"/>
    <w:rsid w:val="00910390"/>
    <w:rsid w:val="00910392"/>
    <w:rsid w:val="009103BE"/>
    <w:rsid w:val="0091040F"/>
    <w:rsid w:val="0091044D"/>
    <w:rsid w:val="009104C9"/>
    <w:rsid w:val="00910516"/>
    <w:rsid w:val="0091054D"/>
    <w:rsid w:val="00910579"/>
    <w:rsid w:val="0091057D"/>
    <w:rsid w:val="009105B6"/>
    <w:rsid w:val="009105DC"/>
    <w:rsid w:val="0091060B"/>
    <w:rsid w:val="0091061F"/>
    <w:rsid w:val="00910678"/>
    <w:rsid w:val="009106BA"/>
    <w:rsid w:val="00910771"/>
    <w:rsid w:val="00910794"/>
    <w:rsid w:val="00910892"/>
    <w:rsid w:val="009108DF"/>
    <w:rsid w:val="009108F6"/>
    <w:rsid w:val="00910901"/>
    <w:rsid w:val="009109B1"/>
    <w:rsid w:val="009109C5"/>
    <w:rsid w:val="009109F0"/>
    <w:rsid w:val="00910A30"/>
    <w:rsid w:val="00910A51"/>
    <w:rsid w:val="00910AD1"/>
    <w:rsid w:val="00910B34"/>
    <w:rsid w:val="00910B82"/>
    <w:rsid w:val="00910B8B"/>
    <w:rsid w:val="00910BB8"/>
    <w:rsid w:val="00910C0D"/>
    <w:rsid w:val="00910C86"/>
    <w:rsid w:val="00910CFC"/>
    <w:rsid w:val="00910D18"/>
    <w:rsid w:val="00910D25"/>
    <w:rsid w:val="00910DAB"/>
    <w:rsid w:val="00910E1A"/>
    <w:rsid w:val="00910E47"/>
    <w:rsid w:val="00910E50"/>
    <w:rsid w:val="00910E68"/>
    <w:rsid w:val="00910E75"/>
    <w:rsid w:val="00910EB3"/>
    <w:rsid w:val="00910EEF"/>
    <w:rsid w:val="00910F3F"/>
    <w:rsid w:val="00910F5D"/>
    <w:rsid w:val="00910FD1"/>
    <w:rsid w:val="00910FDF"/>
    <w:rsid w:val="00911004"/>
    <w:rsid w:val="0091109B"/>
    <w:rsid w:val="009110C5"/>
    <w:rsid w:val="009110E9"/>
    <w:rsid w:val="00911125"/>
    <w:rsid w:val="00911139"/>
    <w:rsid w:val="0091113D"/>
    <w:rsid w:val="009111CF"/>
    <w:rsid w:val="009111E5"/>
    <w:rsid w:val="009111FE"/>
    <w:rsid w:val="00911208"/>
    <w:rsid w:val="00911227"/>
    <w:rsid w:val="00911231"/>
    <w:rsid w:val="00911232"/>
    <w:rsid w:val="009112B7"/>
    <w:rsid w:val="009112FF"/>
    <w:rsid w:val="009113D1"/>
    <w:rsid w:val="009113E3"/>
    <w:rsid w:val="009113E5"/>
    <w:rsid w:val="00911480"/>
    <w:rsid w:val="0091149F"/>
    <w:rsid w:val="009114F9"/>
    <w:rsid w:val="00911512"/>
    <w:rsid w:val="0091152E"/>
    <w:rsid w:val="00911588"/>
    <w:rsid w:val="00911603"/>
    <w:rsid w:val="0091162C"/>
    <w:rsid w:val="00911653"/>
    <w:rsid w:val="00911681"/>
    <w:rsid w:val="009116FF"/>
    <w:rsid w:val="00911776"/>
    <w:rsid w:val="0091178A"/>
    <w:rsid w:val="009117F7"/>
    <w:rsid w:val="009117FF"/>
    <w:rsid w:val="00911812"/>
    <w:rsid w:val="00911825"/>
    <w:rsid w:val="0091186C"/>
    <w:rsid w:val="0091187D"/>
    <w:rsid w:val="00911889"/>
    <w:rsid w:val="00911890"/>
    <w:rsid w:val="00911893"/>
    <w:rsid w:val="009118BA"/>
    <w:rsid w:val="009118F6"/>
    <w:rsid w:val="009118FE"/>
    <w:rsid w:val="0091197C"/>
    <w:rsid w:val="009119A4"/>
    <w:rsid w:val="009119E0"/>
    <w:rsid w:val="009119E8"/>
    <w:rsid w:val="009119F6"/>
    <w:rsid w:val="00911A48"/>
    <w:rsid w:val="00911A51"/>
    <w:rsid w:val="00911A59"/>
    <w:rsid w:val="00911A61"/>
    <w:rsid w:val="00911AE1"/>
    <w:rsid w:val="00911B30"/>
    <w:rsid w:val="00911B59"/>
    <w:rsid w:val="00911BA6"/>
    <w:rsid w:val="00911BE5"/>
    <w:rsid w:val="00911BF9"/>
    <w:rsid w:val="00911C27"/>
    <w:rsid w:val="00911C3E"/>
    <w:rsid w:val="00911C45"/>
    <w:rsid w:val="00911C76"/>
    <w:rsid w:val="00911C94"/>
    <w:rsid w:val="00911CD9"/>
    <w:rsid w:val="00911CEE"/>
    <w:rsid w:val="00911D02"/>
    <w:rsid w:val="00911D59"/>
    <w:rsid w:val="00911D7D"/>
    <w:rsid w:val="00911D8D"/>
    <w:rsid w:val="00911E42"/>
    <w:rsid w:val="00911E99"/>
    <w:rsid w:val="00911EB3"/>
    <w:rsid w:val="00911F5F"/>
    <w:rsid w:val="00911F99"/>
    <w:rsid w:val="00911F9B"/>
    <w:rsid w:val="00912097"/>
    <w:rsid w:val="00912123"/>
    <w:rsid w:val="009121A5"/>
    <w:rsid w:val="009122BA"/>
    <w:rsid w:val="009122D3"/>
    <w:rsid w:val="009122F0"/>
    <w:rsid w:val="00912311"/>
    <w:rsid w:val="00912315"/>
    <w:rsid w:val="0091231D"/>
    <w:rsid w:val="0091236B"/>
    <w:rsid w:val="0091237E"/>
    <w:rsid w:val="00912396"/>
    <w:rsid w:val="00912404"/>
    <w:rsid w:val="00912411"/>
    <w:rsid w:val="0091246F"/>
    <w:rsid w:val="00912491"/>
    <w:rsid w:val="0091251C"/>
    <w:rsid w:val="00912542"/>
    <w:rsid w:val="00912574"/>
    <w:rsid w:val="00912615"/>
    <w:rsid w:val="0091264E"/>
    <w:rsid w:val="00912684"/>
    <w:rsid w:val="0091268E"/>
    <w:rsid w:val="009126DD"/>
    <w:rsid w:val="0091276B"/>
    <w:rsid w:val="0091278B"/>
    <w:rsid w:val="009127C0"/>
    <w:rsid w:val="0091283B"/>
    <w:rsid w:val="00912854"/>
    <w:rsid w:val="00912883"/>
    <w:rsid w:val="009128EA"/>
    <w:rsid w:val="009128F5"/>
    <w:rsid w:val="00912915"/>
    <w:rsid w:val="00912941"/>
    <w:rsid w:val="0091294E"/>
    <w:rsid w:val="0091299E"/>
    <w:rsid w:val="00912A00"/>
    <w:rsid w:val="00912A4A"/>
    <w:rsid w:val="00912A5D"/>
    <w:rsid w:val="00912AAE"/>
    <w:rsid w:val="00912AD1"/>
    <w:rsid w:val="00912AED"/>
    <w:rsid w:val="00912AF5"/>
    <w:rsid w:val="00912AFD"/>
    <w:rsid w:val="00912B12"/>
    <w:rsid w:val="00912B27"/>
    <w:rsid w:val="00912B62"/>
    <w:rsid w:val="00912B6B"/>
    <w:rsid w:val="00912B94"/>
    <w:rsid w:val="00912B9A"/>
    <w:rsid w:val="00912BBA"/>
    <w:rsid w:val="00912C8A"/>
    <w:rsid w:val="00912CA2"/>
    <w:rsid w:val="00912CDF"/>
    <w:rsid w:val="00912D16"/>
    <w:rsid w:val="00912D3C"/>
    <w:rsid w:val="00912D47"/>
    <w:rsid w:val="00912D7E"/>
    <w:rsid w:val="00912D89"/>
    <w:rsid w:val="00912D92"/>
    <w:rsid w:val="00912DDC"/>
    <w:rsid w:val="00912E51"/>
    <w:rsid w:val="00912E96"/>
    <w:rsid w:val="00912E99"/>
    <w:rsid w:val="00912EAF"/>
    <w:rsid w:val="00912ECF"/>
    <w:rsid w:val="00912F07"/>
    <w:rsid w:val="00912F35"/>
    <w:rsid w:val="00912F6E"/>
    <w:rsid w:val="00912F89"/>
    <w:rsid w:val="00912F92"/>
    <w:rsid w:val="00912F97"/>
    <w:rsid w:val="00912FA2"/>
    <w:rsid w:val="00912FA4"/>
    <w:rsid w:val="00912FF1"/>
    <w:rsid w:val="00912FF8"/>
    <w:rsid w:val="0091303E"/>
    <w:rsid w:val="00913058"/>
    <w:rsid w:val="00913064"/>
    <w:rsid w:val="00913089"/>
    <w:rsid w:val="0091312A"/>
    <w:rsid w:val="00913140"/>
    <w:rsid w:val="00913141"/>
    <w:rsid w:val="0091319B"/>
    <w:rsid w:val="009131CD"/>
    <w:rsid w:val="00913203"/>
    <w:rsid w:val="0091327F"/>
    <w:rsid w:val="00913295"/>
    <w:rsid w:val="009132C8"/>
    <w:rsid w:val="009132D1"/>
    <w:rsid w:val="009132E8"/>
    <w:rsid w:val="00913318"/>
    <w:rsid w:val="00913330"/>
    <w:rsid w:val="0091333A"/>
    <w:rsid w:val="00913343"/>
    <w:rsid w:val="00913359"/>
    <w:rsid w:val="0091336B"/>
    <w:rsid w:val="00913373"/>
    <w:rsid w:val="00913377"/>
    <w:rsid w:val="00913399"/>
    <w:rsid w:val="0091339F"/>
    <w:rsid w:val="009133E7"/>
    <w:rsid w:val="009133F3"/>
    <w:rsid w:val="009133F7"/>
    <w:rsid w:val="0091341F"/>
    <w:rsid w:val="0091342D"/>
    <w:rsid w:val="0091349D"/>
    <w:rsid w:val="009134AF"/>
    <w:rsid w:val="009134B1"/>
    <w:rsid w:val="00913516"/>
    <w:rsid w:val="00913535"/>
    <w:rsid w:val="00913539"/>
    <w:rsid w:val="0091353F"/>
    <w:rsid w:val="009135B8"/>
    <w:rsid w:val="009135FA"/>
    <w:rsid w:val="0091370E"/>
    <w:rsid w:val="009137A5"/>
    <w:rsid w:val="009137AD"/>
    <w:rsid w:val="009137C5"/>
    <w:rsid w:val="00913823"/>
    <w:rsid w:val="0091384B"/>
    <w:rsid w:val="009138F0"/>
    <w:rsid w:val="00913908"/>
    <w:rsid w:val="00913A65"/>
    <w:rsid w:val="00913A69"/>
    <w:rsid w:val="00913AEE"/>
    <w:rsid w:val="00913B6F"/>
    <w:rsid w:val="00913BA0"/>
    <w:rsid w:val="00913BD7"/>
    <w:rsid w:val="00913BDB"/>
    <w:rsid w:val="00913C2A"/>
    <w:rsid w:val="00913C32"/>
    <w:rsid w:val="00913C33"/>
    <w:rsid w:val="00913C42"/>
    <w:rsid w:val="00913CBD"/>
    <w:rsid w:val="00913CF6"/>
    <w:rsid w:val="00913DD4"/>
    <w:rsid w:val="00913E49"/>
    <w:rsid w:val="00913F4B"/>
    <w:rsid w:val="00913FBB"/>
    <w:rsid w:val="00914016"/>
    <w:rsid w:val="00914018"/>
    <w:rsid w:val="0091401A"/>
    <w:rsid w:val="00914033"/>
    <w:rsid w:val="00914085"/>
    <w:rsid w:val="009140C9"/>
    <w:rsid w:val="009140D8"/>
    <w:rsid w:val="009140EB"/>
    <w:rsid w:val="00914128"/>
    <w:rsid w:val="00914153"/>
    <w:rsid w:val="0091419F"/>
    <w:rsid w:val="009141D7"/>
    <w:rsid w:val="009141E5"/>
    <w:rsid w:val="009141E8"/>
    <w:rsid w:val="009141F1"/>
    <w:rsid w:val="00914224"/>
    <w:rsid w:val="0091426A"/>
    <w:rsid w:val="009142DF"/>
    <w:rsid w:val="0091435B"/>
    <w:rsid w:val="0091436E"/>
    <w:rsid w:val="0091438D"/>
    <w:rsid w:val="009143BC"/>
    <w:rsid w:val="0091445A"/>
    <w:rsid w:val="009144F7"/>
    <w:rsid w:val="0091450C"/>
    <w:rsid w:val="00914513"/>
    <w:rsid w:val="00914514"/>
    <w:rsid w:val="00914516"/>
    <w:rsid w:val="0091452D"/>
    <w:rsid w:val="0091455D"/>
    <w:rsid w:val="009145C9"/>
    <w:rsid w:val="009145E1"/>
    <w:rsid w:val="009145E8"/>
    <w:rsid w:val="009145F6"/>
    <w:rsid w:val="009145FD"/>
    <w:rsid w:val="00914630"/>
    <w:rsid w:val="00914674"/>
    <w:rsid w:val="009146B4"/>
    <w:rsid w:val="009146DA"/>
    <w:rsid w:val="00914726"/>
    <w:rsid w:val="009147AB"/>
    <w:rsid w:val="00914826"/>
    <w:rsid w:val="00914845"/>
    <w:rsid w:val="0091485A"/>
    <w:rsid w:val="009148E8"/>
    <w:rsid w:val="0091492B"/>
    <w:rsid w:val="009149BE"/>
    <w:rsid w:val="009149F6"/>
    <w:rsid w:val="00914A2B"/>
    <w:rsid w:val="00914A6F"/>
    <w:rsid w:val="00914AD5"/>
    <w:rsid w:val="00914AEC"/>
    <w:rsid w:val="00914B15"/>
    <w:rsid w:val="00914B1D"/>
    <w:rsid w:val="00914B5B"/>
    <w:rsid w:val="00914B67"/>
    <w:rsid w:val="00914B69"/>
    <w:rsid w:val="00914BA6"/>
    <w:rsid w:val="00914BD4"/>
    <w:rsid w:val="00914C15"/>
    <w:rsid w:val="00914C1C"/>
    <w:rsid w:val="00914C55"/>
    <w:rsid w:val="00914C75"/>
    <w:rsid w:val="00914C8A"/>
    <w:rsid w:val="00914CBE"/>
    <w:rsid w:val="00914CC8"/>
    <w:rsid w:val="00914E1B"/>
    <w:rsid w:val="00914E2E"/>
    <w:rsid w:val="00914E6F"/>
    <w:rsid w:val="00914E73"/>
    <w:rsid w:val="00914ED7"/>
    <w:rsid w:val="00914EFC"/>
    <w:rsid w:val="00914F20"/>
    <w:rsid w:val="00914F56"/>
    <w:rsid w:val="00914F7A"/>
    <w:rsid w:val="00914F9A"/>
    <w:rsid w:val="00914FB5"/>
    <w:rsid w:val="00914FFF"/>
    <w:rsid w:val="00915008"/>
    <w:rsid w:val="00915009"/>
    <w:rsid w:val="00915040"/>
    <w:rsid w:val="009150C3"/>
    <w:rsid w:val="009150C8"/>
    <w:rsid w:val="009150E4"/>
    <w:rsid w:val="009150F7"/>
    <w:rsid w:val="0091510C"/>
    <w:rsid w:val="00915130"/>
    <w:rsid w:val="0091519C"/>
    <w:rsid w:val="009151E7"/>
    <w:rsid w:val="0091522F"/>
    <w:rsid w:val="00915246"/>
    <w:rsid w:val="00915252"/>
    <w:rsid w:val="0091529D"/>
    <w:rsid w:val="009152C9"/>
    <w:rsid w:val="009152CF"/>
    <w:rsid w:val="009152F9"/>
    <w:rsid w:val="00915337"/>
    <w:rsid w:val="00915339"/>
    <w:rsid w:val="00915355"/>
    <w:rsid w:val="00915367"/>
    <w:rsid w:val="0091536F"/>
    <w:rsid w:val="0091538E"/>
    <w:rsid w:val="009153AB"/>
    <w:rsid w:val="009153B6"/>
    <w:rsid w:val="009153ED"/>
    <w:rsid w:val="009153F7"/>
    <w:rsid w:val="00915401"/>
    <w:rsid w:val="00915418"/>
    <w:rsid w:val="0091543A"/>
    <w:rsid w:val="00915533"/>
    <w:rsid w:val="009155DB"/>
    <w:rsid w:val="0091562A"/>
    <w:rsid w:val="00915694"/>
    <w:rsid w:val="009156AA"/>
    <w:rsid w:val="009156F6"/>
    <w:rsid w:val="009156F9"/>
    <w:rsid w:val="00915741"/>
    <w:rsid w:val="009157B2"/>
    <w:rsid w:val="009157DD"/>
    <w:rsid w:val="009157F5"/>
    <w:rsid w:val="00915837"/>
    <w:rsid w:val="00915866"/>
    <w:rsid w:val="009158A4"/>
    <w:rsid w:val="009158AE"/>
    <w:rsid w:val="00915912"/>
    <w:rsid w:val="0091593C"/>
    <w:rsid w:val="009159CD"/>
    <w:rsid w:val="009159DC"/>
    <w:rsid w:val="00915A1A"/>
    <w:rsid w:val="00915A34"/>
    <w:rsid w:val="00915A74"/>
    <w:rsid w:val="00915AC0"/>
    <w:rsid w:val="00915AC3"/>
    <w:rsid w:val="00915AF1"/>
    <w:rsid w:val="00915B2D"/>
    <w:rsid w:val="00915B3A"/>
    <w:rsid w:val="00915B46"/>
    <w:rsid w:val="00915B78"/>
    <w:rsid w:val="00915C3A"/>
    <w:rsid w:val="00915C72"/>
    <w:rsid w:val="00915D36"/>
    <w:rsid w:val="00915DAA"/>
    <w:rsid w:val="00915DAD"/>
    <w:rsid w:val="00915DF5"/>
    <w:rsid w:val="00915E09"/>
    <w:rsid w:val="00915E37"/>
    <w:rsid w:val="00915E97"/>
    <w:rsid w:val="00915E9F"/>
    <w:rsid w:val="00915EB2"/>
    <w:rsid w:val="00915EB5"/>
    <w:rsid w:val="00915FED"/>
    <w:rsid w:val="0091602E"/>
    <w:rsid w:val="00916070"/>
    <w:rsid w:val="0091609F"/>
    <w:rsid w:val="0091614A"/>
    <w:rsid w:val="00916166"/>
    <w:rsid w:val="009161CD"/>
    <w:rsid w:val="00916203"/>
    <w:rsid w:val="00916204"/>
    <w:rsid w:val="00916205"/>
    <w:rsid w:val="00916222"/>
    <w:rsid w:val="00916250"/>
    <w:rsid w:val="0091629C"/>
    <w:rsid w:val="0091630F"/>
    <w:rsid w:val="00916341"/>
    <w:rsid w:val="0091634A"/>
    <w:rsid w:val="00916385"/>
    <w:rsid w:val="00916387"/>
    <w:rsid w:val="0091639C"/>
    <w:rsid w:val="009163D0"/>
    <w:rsid w:val="009163D9"/>
    <w:rsid w:val="009163ED"/>
    <w:rsid w:val="00916455"/>
    <w:rsid w:val="00916463"/>
    <w:rsid w:val="0091649F"/>
    <w:rsid w:val="009164BC"/>
    <w:rsid w:val="009164CD"/>
    <w:rsid w:val="00916579"/>
    <w:rsid w:val="009165B1"/>
    <w:rsid w:val="009165C5"/>
    <w:rsid w:val="009165FD"/>
    <w:rsid w:val="00916623"/>
    <w:rsid w:val="00916627"/>
    <w:rsid w:val="00916645"/>
    <w:rsid w:val="0091669C"/>
    <w:rsid w:val="0091669F"/>
    <w:rsid w:val="009166A6"/>
    <w:rsid w:val="009166C3"/>
    <w:rsid w:val="009166EB"/>
    <w:rsid w:val="00916771"/>
    <w:rsid w:val="00916785"/>
    <w:rsid w:val="009167D6"/>
    <w:rsid w:val="00916807"/>
    <w:rsid w:val="00916844"/>
    <w:rsid w:val="0091686F"/>
    <w:rsid w:val="0091687A"/>
    <w:rsid w:val="009168E8"/>
    <w:rsid w:val="0091691F"/>
    <w:rsid w:val="00916938"/>
    <w:rsid w:val="009169FD"/>
    <w:rsid w:val="00916A06"/>
    <w:rsid w:val="00916A3F"/>
    <w:rsid w:val="00916A49"/>
    <w:rsid w:val="00916ABB"/>
    <w:rsid w:val="00916B0D"/>
    <w:rsid w:val="00916B54"/>
    <w:rsid w:val="00916B59"/>
    <w:rsid w:val="00916B5F"/>
    <w:rsid w:val="00916B8F"/>
    <w:rsid w:val="00916B99"/>
    <w:rsid w:val="00916CDF"/>
    <w:rsid w:val="00916D0B"/>
    <w:rsid w:val="00916D38"/>
    <w:rsid w:val="00916DC7"/>
    <w:rsid w:val="00916E02"/>
    <w:rsid w:val="00916E1E"/>
    <w:rsid w:val="00916E33"/>
    <w:rsid w:val="00916E93"/>
    <w:rsid w:val="00916EBA"/>
    <w:rsid w:val="00916EE5"/>
    <w:rsid w:val="00916F15"/>
    <w:rsid w:val="00916F19"/>
    <w:rsid w:val="00916F22"/>
    <w:rsid w:val="00916F33"/>
    <w:rsid w:val="00916F43"/>
    <w:rsid w:val="00916F9D"/>
    <w:rsid w:val="00916FCE"/>
    <w:rsid w:val="00916FD3"/>
    <w:rsid w:val="00916FDB"/>
    <w:rsid w:val="00916FEA"/>
    <w:rsid w:val="0091700B"/>
    <w:rsid w:val="0091701D"/>
    <w:rsid w:val="00917022"/>
    <w:rsid w:val="00917041"/>
    <w:rsid w:val="00917075"/>
    <w:rsid w:val="009170A1"/>
    <w:rsid w:val="009170B2"/>
    <w:rsid w:val="009170D8"/>
    <w:rsid w:val="0091711A"/>
    <w:rsid w:val="0091714B"/>
    <w:rsid w:val="009171C1"/>
    <w:rsid w:val="00917214"/>
    <w:rsid w:val="00917237"/>
    <w:rsid w:val="009172ED"/>
    <w:rsid w:val="00917307"/>
    <w:rsid w:val="00917330"/>
    <w:rsid w:val="00917333"/>
    <w:rsid w:val="00917353"/>
    <w:rsid w:val="0091737F"/>
    <w:rsid w:val="00917384"/>
    <w:rsid w:val="009173ED"/>
    <w:rsid w:val="0091740C"/>
    <w:rsid w:val="0091741A"/>
    <w:rsid w:val="00917437"/>
    <w:rsid w:val="009174D0"/>
    <w:rsid w:val="009174DC"/>
    <w:rsid w:val="00917540"/>
    <w:rsid w:val="00917546"/>
    <w:rsid w:val="00917582"/>
    <w:rsid w:val="00917601"/>
    <w:rsid w:val="0091766E"/>
    <w:rsid w:val="0091768A"/>
    <w:rsid w:val="0091768D"/>
    <w:rsid w:val="0091769E"/>
    <w:rsid w:val="00917715"/>
    <w:rsid w:val="00917721"/>
    <w:rsid w:val="009177D0"/>
    <w:rsid w:val="009177F0"/>
    <w:rsid w:val="00917856"/>
    <w:rsid w:val="0091786D"/>
    <w:rsid w:val="0091788A"/>
    <w:rsid w:val="0091789B"/>
    <w:rsid w:val="009178AD"/>
    <w:rsid w:val="009178B0"/>
    <w:rsid w:val="009178DB"/>
    <w:rsid w:val="00917918"/>
    <w:rsid w:val="0091795F"/>
    <w:rsid w:val="0091796A"/>
    <w:rsid w:val="009179F9"/>
    <w:rsid w:val="00917A21"/>
    <w:rsid w:val="00917A3F"/>
    <w:rsid w:val="00917A53"/>
    <w:rsid w:val="00917ADA"/>
    <w:rsid w:val="00917B10"/>
    <w:rsid w:val="00917B26"/>
    <w:rsid w:val="00917B3C"/>
    <w:rsid w:val="00917B54"/>
    <w:rsid w:val="00917B64"/>
    <w:rsid w:val="00917B65"/>
    <w:rsid w:val="00917B91"/>
    <w:rsid w:val="00917C0C"/>
    <w:rsid w:val="00917C3E"/>
    <w:rsid w:val="00917C82"/>
    <w:rsid w:val="00917C95"/>
    <w:rsid w:val="00917CA0"/>
    <w:rsid w:val="00917CCF"/>
    <w:rsid w:val="00917D48"/>
    <w:rsid w:val="00917D58"/>
    <w:rsid w:val="00917D5A"/>
    <w:rsid w:val="00917D9C"/>
    <w:rsid w:val="00917DA6"/>
    <w:rsid w:val="00917DBE"/>
    <w:rsid w:val="00917E5F"/>
    <w:rsid w:val="00917EAA"/>
    <w:rsid w:val="00917F7A"/>
    <w:rsid w:val="00917FCD"/>
    <w:rsid w:val="00917FFB"/>
    <w:rsid w:val="00920069"/>
    <w:rsid w:val="00920089"/>
    <w:rsid w:val="00920095"/>
    <w:rsid w:val="009200AC"/>
    <w:rsid w:val="009200E3"/>
    <w:rsid w:val="00920126"/>
    <w:rsid w:val="00920130"/>
    <w:rsid w:val="00920159"/>
    <w:rsid w:val="00920185"/>
    <w:rsid w:val="009201C7"/>
    <w:rsid w:val="00920213"/>
    <w:rsid w:val="00920227"/>
    <w:rsid w:val="0092022E"/>
    <w:rsid w:val="00920260"/>
    <w:rsid w:val="009202E2"/>
    <w:rsid w:val="00920303"/>
    <w:rsid w:val="0092034E"/>
    <w:rsid w:val="00920352"/>
    <w:rsid w:val="00920373"/>
    <w:rsid w:val="009203F0"/>
    <w:rsid w:val="009203F2"/>
    <w:rsid w:val="00920440"/>
    <w:rsid w:val="00920495"/>
    <w:rsid w:val="0092052E"/>
    <w:rsid w:val="00920541"/>
    <w:rsid w:val="00920574"/>
    <w:rsid w:val="009205A9"/>
    <w:rsid w:val="009205B2"/>
    <w:rsid w:val="009205CC"/>
    <w:rsid w:val="009205DF"/>
    <w:rsid w:val="009205FA"/>
    <w:rsid w:val="0092061C"/>
    <w:rsid w:val="0092064F"/>
    <w:rsid w:val="00920655"/>
    <w:rsid w:val="0092068C"/>
    <w:rsid w:val="00920690"/>
    <w:rsid w:val="00920737"/>
    <w:rsid w:val="00920744"/>
    <w:rsid w:val="0092075C"/>
    <w:rsid w:val="009207FC"/>
    <w:rsid w:val="00920827"/>
    <w:rsid w:val="00920837"/>
    <w:rsid w:val="0092084B"/>
    <w:rsid w:val="00920936"/>
    <w:rsid w:val="00920989"/>
    <w:rsid w:val="009209AD"/>
    <w:rsid w:val="009209D9"/>
    <w:rsid w:val="00920A1C"/>
    <w:rsid w:val="00920A2F"/>
    <w:rsid w:val="00920A3F"/>
    <w:rsid w:val="00920A40"/>
    <w:rsid w:val="00920ABD"/>
    <w:rsid w:val="00920AE9"/>
    <w:rsid w:val="00920B5E"/>
    <w:rsid w:val="00920B6F"/>
    <w:rsid w:val="00920BDA"/>
    <w:rsid w:val="00920BE8"/>
    <w:rsid w:val="00920BEA"/>
    <w:rsid w:val="00920C26"/>
    <w:rsid w:val="00920C54"/>
    <w:rsid w:val="00920C67"/>
    <w:rsid w:val="00920C70"/>
    <w:rsid w:val="00920CD6"/>
    <w:rsid w:val="00920CDE"/>
    <w:rsid w:val="00920CE3"/>
    <w:rsid w:val="00920CEA"/>
    <w:rsid w:val="00920D42"/>
    <w:rsid w:val="00920D45"/>
    <w:rsid w:val="00920DAE"/>
    <w:rsid w:val="00920DE9"/>
    <w:rsid w:val="00920DF0"/>
    <w:rsid w:val="00920E83"/>
    <w:rsid w:val="00920E9A"/>
    <w:rsid w:val="00920EB3"/>
    <w:rsid w:val="00920EB6"/>
    <w:rsid w:val="00920FE5"/>
    <w:rsid w:val="00920FF9"/>
    <w:rsid w:val="00921023"/>
    <w:rsid w:val="00921070"/>
    <w:rsid w:val="00921085"/>
    <w:rsid w:val="009210F0"/>
    <w:rsid w:val="0092111F"/>
    <w:rsid w:val="0092112B"/>
    <w:rsid w:val="0092113C"/>
    <w:rsid w:val="00921145"/>
    <w:rsid w:val="00921146"/>
    <w:rsid w:val="00921190"/>
    <w:rsid w:val="009211C3"/>
    <w:rsid w:val="009211F8"/>
    <w:rsid w:val="00921210"/>
    <w:rsid w:val="0092123A"/>
    <w:rsid w:val="0092126E"/>
    <w:rsid w:val="00921288"/>
    <w:rsid w:val="009212CF"/>
    <w:rsid w:val="009212EE"/>
    <w:rsid w:val="009212F7"/>
    <w:rsid w:val="00921333"/>
    <w:rsid w:val="00921337"/>
    <w:rsid w:val="00921343"/>
    <w:rsid w:val="00921350"/>
    <w:rsid w:val="00921354"/>
    <w:rsid w:val="0092138B"/>
    <w:rsid w:val="009213BF"/>
    <w:rsid w:val="00921465"/>
    <w:rsid w:val="00921516"/>
    <w:rsid w:val="0092151B"/>
    <w:rsid w:val="0092152F"/>
    <w:rsid w:val="0092153A"/>
    <w:rsid w:val="00921542"/>
    <w:rsid w:val="0092155B"/>
    <w:rsid w:val="00921576"/>
    <w:rsid w:val="009215DE"/>
    <w:rsid w:val="0092163B"/>
    <w:rsid w:val="0092164D"/>
    <w:rsid w:val="0092168B"/>
    <w:rsid w:val="0092172E"/>
    <w:rsid w:val="00921746"/>
    <w:rsid w:val="00921752"/>
    <w:rsid w:val="0092176D"/>
    <w:rsid w:val="009217B0"/>
    <w:rsid w:val="009217B8"/>
    <w:rsid w:val="009217C9"/>
    <w:rsid w:val="009217D3"/>
    <w:rsid w:val="009217EE"/>
    <w:rsid w:val="00921893"/>
    <w:rsid w:val="009218EB"/>
    <w:rsid w:val="009218F1"/>
    <w:rsid w:val="009218F9"/>
    <w:rsid w:val="00921916"/>
    <w:rsid w:val="0092193C"/>
    <w:rsid w:val="00921997"/>
    <w:rsid w:val="00921999"/>
    <w:rsid w:val="00921A26"/>
    <w:rsid w:val="00921A3F"/>
    <w:rsid w:val="00921A44"/>
    <w:rsid w:val="00921A8D"/>
    <w:rsid w:val="00921AA7"/>
    <w:rsid w:val="00921B11"/>
    <w:rsid w:val="00921B25"/>
    <w:rsid w:val="00921B3B"/>
    <w:rsid w:val="00921B40"/>
    <w:rsid w:val="00921B4E"/>
    <w:rsid w:val="00921B86"/>
    <w:rsid w:val="00921BBE"/>
    <w:rsid w:val="00921BE9"/>
    <w:rsid w:val="00921BEE"/>
    <w:rsid w:val="00921BFC"/>
    <w:rsid w:val="00921C38"/>
    <w:rsid w:val="00921C49"/>
    <w:rsid w:val="00921C4A"/>
    <w:rsid w:val="00921C85"/>
    <w:rsid w:val="00921C88"/>
    <w:rsid w:val="00921D12"/>
    <w:rsid w:val="00921D18"/>
    <w:rsid w:val="00921D8D"/>
    <w:rsid w:val="00921D92"/>
    <w:rsid w:val="00921DD3"/>
    <w:rsid w:val="00921DED"/>
    <w:rsid w:val="00921DEF"/>
    <w:rsid w:val="00921E07"/>
    <w:rsid w:val="00921E8A"/>
    <w:rsid w:val="00921EB8"/>
    <w:rsid w:val="00921F03"/>
    <w:rsid w:val="00921F37"/>
    <w:rsid w:val="00921F5A"/>
    <w:rsid w:val="00921F9A"/>
    <w:rsid w:val="00921FEA"/>
    <w:rsid w:val="00922079"/>
    <w:rsid w:val="00922097"/>
    <w:rsid w:val="009220F4"/>
    <w:rsid w:val="00922166"/>
    <w:rsid w:val="0092217B"/>
    <w:rsid w:val="009221A7"/>
    <w:rsid w:val="009221F3"/>
    <w:rsid w:val="0092220B"/>
    <w:rsid w:val="00922272"/>
    <w:rsid w:val="00922284"/>
    <w:rsid w:val="0092229F"/>
    <w:rsid w:val="009222D8"/>
    <w:rsid w:val="009222F9"/>
    <w:rsid w:val="00922317"/>
    <w:rsid w:val="0092236A"/>
    <w:rsid w:val="00922400"/>
    <w:rsid w:val="00922422"/>
    <w:rsid w:val="009224FA"/>
    <w:rsid w:val="00922549"/>
    <w:rsid w:val="00922584"/>
    <w:rsid w:val="0092259E"/>
    <w:rsid w:val="009225FF"/>
    <w:rsid w:val="00922637"/>
    <w:rsid w:val="00922645"/>
    <w:rsid w:val="00922654"/>
    <w:rsid w:val="0092265D"/>
    <w:rsid w:val="009226D4"/>
    <w:rsid w:val="009226E5"/>
    <w:rsid w:val="009226E8"/>
    <w:rsid w:val="009226EB"/>
    <w:rsid w:val="00922707"/>
    <w:rsid w:val="00922710"/>
    <w:rsid w:val="00922770"/>
    <w:rsid w:val="0092279D"/>
    <w:rsid w:val="0092280A"/>
    <w:rsid w:val="0092287C"/>
    <w:rsid w:val="009228B8"/>
    <w:rsid w:val="009228E4"/>
    <w:rsid w:val="009228EE"/>
    <w:rsid w:val="00922997"/>
    <w:rsid w:val="009229CC"/>
    <w:rsid w:val="00922A14"/>
    <w:rsid w:val="00922A65"/>
    <w:rsid w:val="00922AA6"/>
    <w:rsid w:val="00922AE0"/>
    <w:rsid w:val="00922B66"/>
    <w:rsid w:val="00922BA6"/>
    <w:rsid w:val="00922BF1"/>
    <w:rsid w:val="00922C7C"/>
    <w:rsid w:val="00922D31"/>
    <w:rsid w:val="00922DBD"/>
    <w:rsid w:val="00922DCA"/>
    <w:rsid w:val="00922E93"/>
    <w:rsid w:val="00922EB4"/>
    <w:rsid w:val="00922F01"/>
    <w:rsid w:val="00922F81"/>
    <w:rsid w:val="00922F93"/>
    <w:rsid w:val="00922FC1"/>
    <w:rsid w:val="0092300D"/>
    <w:rsid w:val="00923055"/>
    <w:rsid w:val="009230EF"/>
    <w:rsid w:val="0092311A"/>
    <w:rsid w:val="009231DC"/>
    <w:rsid w:val="00923270"/>
    <w:rsid w:val="009232CD"/>
    <w:rsid w:val="009232DC"/>
    <w:rsid w:val="00923314"/>
    <w:rsid w:val="00923347"/>
    <w:rsid w:val="0092334A"/>
    <w:rsid w:val="0092334D"/>
    <w:rsid w:val="00923356"/>
    <w:rsid w:val="009233A6"/>
    <w:rsid w:val="00923411"/>
    <w:rsid w:val="00923432"/>
    <w:rsid w:val="00923452"/>
    <w:rsid w:val="00923482"/>
    <w:rsid w:val="0092349E"/>
    <w:rsid w:val="009234F8"/>
    <w:rsid w:val="00923514"/>
    <w:rsid w:val="00923569"/>
    <w:rsid w:val="009235AA"/>
    <w:rsid w:val="009235C4"/>
    <w:rsid w:val="009235CC"/>
    <w:rsid w:val="0092360E"/>
    <w:rsid w:val="0092362D"/>
    <w:rsid w:val="00923635"/>
    <w:rsid w:val="0092365E"/>
    <w:rsid w:val="00923678"/>
    <w:rsid w:val="00923685"/>
    <w:rsid w:val="009236DC"/>
    <w:rsid w:val="009236EC"/>
    <w:rsid w:val="0092371D"/>
    <w:rsid w:val="00923751"/>
    <w:rsid w:val="00923786"/>
    <w:rsid w:val="009237E3"/>
    <w:rsid w:val="00923813"/>
    <w:rsid w:val="00923845"/>
    <w:rsid w:val="0092386B"/>
    <w:rsid w:val="009238B3"/>
    <w:rsid w:val="009238D7"/>
    <w:rsid w:val="0092398B"/>
    <w:rsid w:val="009239A2"/>
    <w:rsid w:val="00923AB0"/>
    <w:rsid w:val="00923AD6"/>
    <w:rsid w:val="00923AED"/>
    <w:rsid w:val="00923B4D"/>
    <w:rsid w:val="00923BA1"/>
    <w:rsid w:val="00923BAB"/>
    <w:rsid w:val="00923C2D"/>
    <w:rsid w:val="00923CA6"/>
    <w:rsid w:val="00923CFE"/>
    <w:rsid w:val="00923D14"/>
    <w:rsid w:val="00923D4F"/>
    <w:rsid w:val="00923E46"/>
    <w:rsid w:val="00923E57"/>
    <w:rsid w:val="00923E58"/>
    <w:rsid w:val="00923E83"/>
    <w:rsid w:val="00923EF1"/>
    <w:rsid w:val="00923EF4"/>
    <w:rsid w:val="00923EF6"/>
    <w:rsid w:val="00923F23"/>
    <w:rsid w:val="00923F2D"/>
    <w:rsid w:val="00923F47"/>
    <w:rsid w:val="00923F4A"/>
    <w:rsid w:val="00923F4F"/>
    <w:rsid w:val="00923F55"/>
    <w:rsid w:val="00923F7D"/>
    <w:rsid w:val="00923FC1"/>
    <w:rsid w:val="00923FF3"/>
    <w:rsid w:val="00923FF4"/>
    <w:rsid w:val="00924063"/>
    <w:rsid w:val="00924092"/>
    <w:rsid w:val="0092415B"/>
    <w:rsid w:val="00924173"/>
    <w:rsid w:val="00924178"/>
    <w:rsid w:val="0092419C"/>
    <w:rsid w:val="009241B2"/>
    <w:rsid w:val="009241E1"/>
    <w:rsid w:val="009241FB"/>
    <w:rsid w:val="0092420A"/>
    <w:rsid w:val="0092422C"/>
    <w:rsid w:val="00924236"/>
    <w:rsid w:val="009242A8"/>
    <w:rsid w:val="009242B9"/>
    <w:rsid w:val="009242DC"/>
    <w:rsid w:val="009242EA"/>
    <w:rsid w:val="0092430C"/>
    <w:rsid w:val="00924399"/>
    <w:rsid w:val="009243AB"/>
    <w:rsid w:val="009243CE"/>
    <w:rsid w:val="00924409"/>
    <w:rsid w:val="0092443B"/>
    <w:rsid w:val="00924449"/>
    <w:rsid w:val="00924463"/>
    <w:rsid w:val="0092446A"/>
    <w:rsid w:val="00924479"/>
    <w:rsid w:val="009244D4"/>
    <w:rsid w:val="009244D7"/>
    <w:rsid w:val="009244DE"/>
    <w:rsid w:val="00924669"/>
    <w:rsid w:val="00924769"/>
    <w:rsid w:val="00924770"/>
    <w:rsid w:val="0092478F"/>
    <w:rsid w:val="0092479A"/>
    <w:rsid w:val="009247BC"/>
    <w:rsid w:val="009247C6"/>
    <w:rsid w:val="009247C9"/>
    <w:rsid w:val="00924869"/>
    <w:rsid w:val="0092489A"/>
    <w:rsid w:val="0092489C"/>
    <w:rsid w:val="0092497A"/>
    <w:rsid w:val="00924984"/>
    <w:rsid w:val="009249C4"/>
    <w:rsid w:val="009249E2"/>
    <w:rsid w:val="00924A03"/>
    <w:rsid w:val="00924A65"/>
    <w:rsid w:val="00924A94"/>
    <w:rsid w:val="00924AC3"/>
    <w:rsid w:val="00924ADE"/>
    <w:rsid w:val="00924AE0"/>
    <w:rsid w:val="00924AE8"/>
    <w:rsid w:val="00924B43"/>
    <w:rsid w:val="00924BB1"/>
    <w:rsid w:val="00924BE1"/>
    <w:rsid w:val="00924C0A"/>
    <w:rsid w:val="00924C16"/>
    <w:rsid w:val="00924C23"/>
    <w:rsid w:val="00924C36"/>
    <w:rsid w:val="00924C51"/>
    <w:rsid w:val="00924C7B"/>
    <w:rsid w:val="00924CA9"/>
    <w:rsid w:val="00924CDF"/>
    <w:rsid w:val="00924CEB"/>
    <w:rsid w:val="00924D07"/>
    <w:rsid w:val="00924D0C"/>
    <w:rsid w:val="00924D23"/>
    <w:rsid w:val="00924D2D"/>
    <w:rsid w:val="00924D2F"/>
    <w:rsid w:val="00924D56"/>
    <w:rsid w:val="00924D71"/>
    <w:rsid w:val="00924D78"/>
    <w:rsid w:val="00924DAA"/>
    <w:rsid w:val="00924DB5"/>
    <w:rsid w:val="00924DBF"/>
    <w:rsid w:val="00924DEA"/>
    <w:rsid w:val="00924E74"/>
    <w:rsid w:val="00924E7E"/>
    <w:rsid w:val="00924ECC"/>
    <w:rsid w:val="00924F22"/>
    <w:rsid w:val="00924F48"/>
    <w:rsid w:val="00924F8E"/>
    <w:rsid w:val="00924FD9"/>
    <w:rsid w:val="00924FE0"/>
    <w:rsid w:val="00925046"/>
    <w:rsid w:val="00925061"/>
    <w:rsid w:val="00925086"/>
    <w:rsid w:val="009250C0"/>
    <w:rsid w:val="009250DB"/>
    <w:rsid w:val="009250E5"/>
    <w:rsid w:val="00925183"/>
    <w:rsid w:val="0092518C"/>
    <w:rsid w:val="0092519E"/>
    <w:rsid w:val="009251F0"/>
    <w:rsid w:val="00925239"/>
    <w:rsid w:val="00925256"/>
    <w:rsid w:val="00925274"/>
    <w:rsid w:val="0092527F"/>
    <w:rsid w:val="009252AD"/>
    <w:rsid w:val="0092531C"/>
    <w:rsid w:val="00925356"/>
    <w:rsid w:val="00925375"/>
    <w:rsid w:val="0092537B"/>
    <w:rsid w:val="00925458"/>
    <w:rsid w:val="00925485"/>
    <w:rsid w:val="0092550E"/>
    <w:rsid w:val="00925524"/>
    <w:rsid w:val="00925526"/>
    <w:rsid w:val="00925538"/>
    <w:rsid w:val="009255D0"/>
    <w:rsid w:val="009255FB"/>
    <w:rsid w:val="00925601"/>
    <w:rsid w:val="0092564D"/>
    <w:rsid w:val="0092569C"/>
    <w:rsid w:val="009256A2"/>
    <w:rsid w:val="009256B7"/>
    <w:rsid w:val="009256E4"/>
    <w:rsid w:val="00925715"/>
    <w:rsid w:val="0092573F"/>
    <w:rsid w:val="00925784"/>
    <w:rsid w:val="009257F0"/>
    <w:rsid w:val="0092582D"/>
    <w:rsid w:val="0092586C"/>
    <w:rsid w:val="00925879"/>
    <w:rsid w:val="0092588A"/>
    <w:rsid w:val="009258EC"/>
    <w:rsid w:val="009258F6"/>
    <w:rsid w:val="00925920"/>
    <w:rsid w:val="0092595A"/>
    <w:rsid w:val="009259ED"/>
    <w:rsid w:val="00925A6B"/>
    <w:rsid w:val="00925A7E"/>
    <w:rsid w:val="00925ABD"/>
    <w:rsid w:val="00925B66"/>
    <w:rsid w:val="00925B73"/>
    <w:rsid w:val="00925C05"/>
    <w:rsid w:val="00925C73"/>
    <w:rsid w:val="00925C98"/>
    <w:rsid w:val="00925CA9"/>
    <w:rsid w:val="00925CED"/>
    <w:rsid w:val="00925CFA"/>
    <w:rsid w:val="00925D48"/>
    <w:rsid w:val="00925D8A"/>
    <w:rsid w:val="00925DC9"/>
    <w:rsid w:val="00925DD5"/>
    <w:rsid w:val="00925DFC"/>
    <w:rsid w:val="00925E3D"/>
    <w:rsid w:val="00925E4D"/>
    <w:rsid w:val="00925E59"/>
    <w:rsid w:val="00925E81"/>
    <w:rsid w:val="00925EF6"/>
    <w:rsid w:val="00925F0D"/>
    <w:rsid w:val="00926008"/>
    <w:rsid w:val="0092604B"/>
    <w:rsid w:val="0092605C"/>
    <w:rsid w:val="0092606C"/>
    <w:rsid w:val="00926092"/>
    <w:rsid w:val="0092609A"/>
    <w:rsid w:val="009260A4"/>
    <w:rsid w:val="009260B6"/>
    <w:rsid w:val="009260C3"/>
    <w:rsid w:val="0092612B"/>
    <w:rsid w:val="00926130"/>
    <w:rsid w:val="0092613E"/>
    <w:rsid w:val="009261B5"/>
    <w:rsid w:val="009261CC"/>
    <w:rsid w:val="009261F7"/>
    <w:rsid w:val="00926240"/>
    <w:rsid w:val="0092627C"/>
    <w:rsid w:val="00926284"/>
    <w:rsid w:val="009262DB"/>
    <w:rsid w:val="0092630A"/>
    <w:rsid w:val="0092631D"/>
    <w:rsid w:val="00926399"/>
    <w:rsid w:val="009263EC"/>
    <w:rsid w:val="00926434"/>
    <w:rsid w:val="009265A6"/>
    <w:rsid w:val="009265B4"/>
    <w:rsid w:val="009265E3"/>
    <w:rsid w:val="009265E5"/>
    <w:rsid w:val="0092666C"/>
    <w:rsid w:val="00926740"/>
    <w:rsid w:val="00926759"/>
    <w:rsid w:val="00926768"/>
    <w:rsid w:val="00926784"/>
    <w:rsid w:val="009267D8"/>
    <w:rsid w:val="009267F2"/>
    <w:rsid w:val="0092680F"/>
    <w:rsid w:val="00926817"/>
    <w:rsid w:val="0092686A"/>
    <w:rsid w:val="00926870"/>
    <w:rsid w:val="009268FB"/>
    <w:rsid w:val="00926903"/>
    <w:rsid w:val="009269BE"/>
    <w:rsid w:val="00926A47"/>
    <w:rsid w:val="00926A52"/>
    <w:rsid w:val="00926A9B"/>
    <w:rsid w:val="00926B26"/>
    <w:rsid w:val="00926B2F"/>
    <w:rsid w:val="00926B4A"/>
    <w:rsid w:val="00926B52"/>
    <w:rsid w:val="00926B8E"/>
    <w:rsid w:val="00926BD3"/>
    <w:rsid w:val="00926C10"/>
    <w:rsid w:val="00926C8A"/>
    <w:rsid w:val="00926CA1"/>
    <w:rsid w:val="00926CC2"/>
    <w:rsid w:val="00926D00"/>
    <w:rsid w:val="00926D2B"/>
    <w:rsid w:val="00926E03"/>
    <w:rsid w:val="00926E4E"/>
    <w:rsid w:val="00926E62"/>
    <w:rsid w:val="00926E74"/>
    <w:rsid w:val="00926E84"/>
    <w:rsid w:val="00926EA8"/>
    <w:rsid w:val="00926ED3"/>
    <w:rsid w:val="00926FC2"/>
    <w:rsid w:val="00926FEF"/>
    <w:rsid w:val="0092700B"/>
    <w:rsid w:val="00927019"/>
    <w:rsid w:val="00927021"/>
    <w:rsid w:val="00927049"/>
    <w:rsid w:val="00927073"/>
    <w:rsid w:val="00927081"/>
    <w:rsid w:val="00927121"/>
    <w:rsid w:val="00927155"/>
    <w:rsid w:val="00927165"/>
    <w:rsid w:val="0092719A"/>
    <w:rsid w:val="009271E7"/>
    <w:rsid w:val="00927266"/>
    <w:rsid w:val="00927271"/>
    <w:rsid w:val="00927288"/>
    <w:rsid w:val="009272C0"/>
    <w:rsid w:val="0092736F"/>
    <w:rsid w:val="00927380"/>
    <w:rsid w:val="00927394"/>
    <w:rsid w:val="009273BA"/>
    <w:rsid w:val="009273EB"/>
    <w:rsid w:val="009273FB"/>
    <w:rsid w:val="00927411"/>
    <w:rsid w:val="0092746A"/>
    <w:rsid w:val="00927487"/>
    <w:rsid w:val="009274D5"/>
    <w:rsid w:val="009274D8"/>
    <w:rsid w:val="009274E1"/>
    <w:rsid w:val="00927524"/>
    <w:rsid w:val="00927526"/>
    <w:rsid w:val="00927538"/>
    <w:rsid w:val="00927559"/>
    <w:rsid w:val="0092756C"/>
    <w:rsid w:val="0092758F"/>
    <w:rsid w:val="009275C1"/>
    <w:rsid w:val="009275DF"/>
    <w:rsid w:val="00927606"/>
    <w:rsid w:val="00927618"/>
    <w:rsid w:val="00927662"/>
    <w:rsid w:val="00927683"/>
    <w:rsid w:val="0092769D"/>
    <w:rsid w:val="009276B2"/>
    <w:rsid w:val="009276C0"/>
    <w:rsid w:val="009276E4"/>
    <w:rsid w:val="00927789"/>
    <w:rsid w:val="009277BB"/>
    <w:rsid w:val="009277BD"/>
    <w:rsid w:val="0092786B"/>
    <w:rsid w:val="0092787A"/>
    <w:rsid w:val="00927889"/>
    <w:rsid w:val="009278D5"/>
    <w:rsid w:val="009278DD"/>
    <w:rsid w:val="009278F0"/>
    <w:rsid w:val="00927A02"/>
    <w:rsid w:val="00927A24"/>
    <w:rsid w:val="00927A8D"/>
    <w:rsid w:val="00927B19"/>
    <w:rsid w:val="00927B3E"/>
    <w:rsid w:val="00927B5C"/>
    <w:rsid w:val="00927B5E"/>
    <w:rsid w:val="00927B6A"/>
    <w:rsid w:val="00927C16"/>
    <w:rsid w:val="00927C35"/>
    <w:rsid w:val="00927C38"/>
    <w:rsid w:val="00927C78"/>
    <w:rsid w:val="00927CBB"/>
    <w:rsid w:val="00927CD9"/>
    <w:rsid w:val="00927CE2"/>
    <w:rsid w:val="00927D5F"/>
    <w:rsid w:val="00927DB6"/>
    <w:rsid w:val="00927E08"/>
    <w:rsid w:val="00927E3E"/>
    <w:rsid w:val="00927E85"/>
    <w:rsid w:val="00927EC4"/>
    <w:rsid w:val="00927F11"/>
    <w:rsid w:val="00927F21"/>
    <w:rsid w:val="00927F9F"/>
    <w:rsid w:val="00927FD8"/>
    <w:rsid w:val="00927FE0"/>
    <w:rsid w:val="00927FE8"/>
    <w:rsid w:val="00930075"/>
    <w:rsid w:val="009300BE"/>
    <w:rsid w:val="009300E9"/>
    <w:rsid w:val="009300F5"/>
    <w:rsid w:val="009300FB"/>
    <w:rsid w:val="00930141"/>
    <w:rsid w:val="00930164"/>
    <w:rsid w:val="00930174"/>
    <w:rsid w:val="009301B1"/>
    <w:rsid w:val="009301F2"/>
    <w:rsid w:val="009301F7"/>
    <w:rsid w:val="009301FE"/>
    <w:rsid w:val="00930222"/>
    <w:rsid w:val="00930265"/>
    <w:rsid w:val="0093026C"/>
    <w:rsid w:val="009302E3"/>
    <w:rsid w:val="00930302"/>
    <w:rsid w:val="0093030A"/>
    <w:rsid w:val="00930348"/>
    <w:rsid w:val="00930370"/>
    <w:rsid w:val="00930396"/>
    <w:rsid w:val="0093039D"/>
    <w:rsid w:val="009303C6"/>
    <w:rsid w:val="00930464"/>
    <w:rsid w:val="009304A6"/>
    <w:rsid w:val="009304FA"/>
    <w:rsid w:val="00930527"/>
    <w:rsid w:val="00930536"/>
    <w:rsid w:val="009305D1"/>
    <w:rsid w:val="00930649"/>
    <w:rsid w:val="00930664"/>
    <w:rsid w:val="0093066E"/>
    <w:rsid w:val="0093067B"/>
    <w:rsid w:val="00930728"/>
    <w:rsid w:val="009307AA"/>
    <w:rsid w:val="009307D9"/>
    <w:rsid w:val="00930879"/>
    <w:rsid w:val="009308B7"/>
    <w:rsid w:val="00930909"/>
    <w:rsid w:val="00930925"/>
    <w:rsid w:val="00930936"/>
    <w:rsid w:val="00930939"/>
    <w:rsid w:val="00930971"/>
    <w:rsid w:val="00930999"/>
    <w:rsid w:val="009309A6"/>
    <w:rsid w:val="009309CB"/>
    <w:rsid w:val="00930A33"/>
    <w:rsid w:val="00930A5C"/>
    <w:rsid w:val="00930A6D"/>
    <w:rsid w:val="00930A77"/>
    <w:rsid w:val="00930A94"/>
    <w:rsid w:val="00930A97"/>
    <w:rsid w:val="00930B2C"/>
    <w:rsid w:val="00930B46"/>
    <w:rsid w:val="00930B61"/>
    <w:rsid w:val="00930B87"/>
    <w:rsid w:val="00930BCE"/>
    <w:rsid w:val="00930C03"/>
    <w:rsid w:val="00930C89"/>
    <w:rsid w:val="00930CA5"/>
    <w:rsid w:val="00930D56"/>
    <w:rsid w:val="00930D74"/>
    <w:rsid w:val="00930D8B"/>
    <w:rsid w:val="00930DBE"/>
    <w:rsid w:val="00930DEE"/>
    <w:rsid w:val="00930DF1"/>
    <w:rsid w:val="00930E61"/>
    <w:rsid w:val="00930EDC"/>
    <w:rsid w:val="00930F6D"/>
    <w:rsid w:val="00930F7B"/>
    <w:rsid w:val="00930FBC"/>
    <w:rsid w:val="00930FC7"/>
    <w:rsid w:val="00930FD1"/>
    <w:rsid w:val="00930FE6"/>
    <w:rsid w:val="00930FE7"/>
    <w:rsid w:val="00931007"/>
    <w:rsid w:val="0093102C"/>
    <w:rsid w:val="00931062"/>
    <w:rsid w:val="009310AB"/>
    <w:rsid w:val="009310E0"/>
    <w:rsid w:val="009310E8"/>
    <w:rsid w:val="009310F1"/>
    <w:rsid w:val="00931101"/>
    <w:rsid w:val="00931110"/>
    <w:rsid w:val="00931111"/>
    <w:rsid w:val="0093111A"/>
    <w:rsid w:val="00931132"/>
    <w:rsid w:val="00931151"/>
    <w:rsid w:val="00931157"/>
    <w:rsid w:val="00931169"/>
    <w:rsid w:val="0093117A"/>
    <w:rsid w:val="009311BB"/>
    <w:rsid w:val="00931213"/>
    <w:rsid w:val="0093125D"/>
    <w:rsid w:val="0093125E"/>
    <w:rsid w:val="00931264"/>
    <w:rsid w:val="009312EF"/>
    <w:rsid w:val="009313FB"/>
    <w:rsid w:val="00931440"/>
    <w:rsid w:val="009314DA"/>
    <w:rsid w:val="00931500"/>
    <w:rsid w:val="0093154D"/>
    <w:rsid w:val="00931562"/>
    <w:rsid w:val="0093157F"/>
    <w:rsid w:val="0093159B"/>
    <w:rsid w:val="0093159D"/>
    <w:rsid w:val="009315C2"/>
    <w:rsid w:val="009315D8"/>
    <w:rsid w:val="00931631"/>
    <w:rsid w:val="00931637"/>
    <w:rsid w:val="0093167C"/>
    <w:rsid w:val="00931684"/>
    <w:rsid w:val="00931687"/>
    <w:rsid w:val="009316A6"/>
    <w:rsid w:val="009316B8"/>
    <w:rsid w:val="009316D2"/>
    <w:rsid w:val="00931727"/>
    <w:rsid w:val="0093172E"/>
    <w:rsid w:val="0093173B"/>
    <w:rsid w:val="00931745"/>
    <w:rsid w:val="0093174A"/>
    <w:rsid w:val="0093176C"/>
    <w:rsid w:val="0093178D"/>
    <w:rsid w:val="0093179F"/>
    <w:rsid w:val="009318C7"/>
    <w:rsid w:val="0093191C"/>
    <w:rsid w:val="00931930"/>
    <w:rsid w:val="009319B1"/>
    <w:rsid w:val="00931A55"/>
    <w:rsid w:val="00931A65"/>
    <w:rsid w:val="00931AB1"/>
    <w:rsid w:val="00931AD7"/>
    <w:rsid w:val="00931AF6"/>
    <w:rsid w:val="00931B35"/>
    <w:rsid w:val="00931B8E"/>
    <w:rsid w:val="00931BDE"/>
    <w:rsid w:val="00931C3A"/>
    <w:rsid w:val="00931C4D"/>
    <w:rsid w:val="00931C69"/>
    <w:rsid w:val="00931C8F"/>
    <w:rsid w:val="00931C98"/>
    <w:rsid w:val="00931CF6"/>
    <w:rsid w:val="00931CFB"/>
    <w:rsid w:val="00931CFF"/>
    <w:rsid w:val="00931D03"/>
    <w:rsid w:val="00931D67"/>
    <w:rsid w:val="00931DCF"/>
    <w:rsid w:val="00931EBD"/>
    <w:rsid w:val="00931EC5"/>
    <w:rsid w:val="00931EF9"/>
    <w:rsid w:val="00931F61"/>
    <w:rsid w:val="00931F64"/>
    <w:rsid w:val="00931FA0"/>
    <w:rsid w:val="009320F9"/>
    <w:rsid w:val="0093230C"/>
    <w:rsid w:val="009323D2"/>
    <w:rsid w:val="00932416"/>
    <w:rsid w:val="00932503"/>
    <w:rsid w:val="0093253A"/>
    <w:rsid w:val="00932544"/>
    <w:rsid w:val="0093255F"/>
    <w:rsid w:val="00932573"/>
    <w:rsid w:val="00932583"/>
    <w:rsid w:val="009325B1"/>
    <w:rsid w:val="009325FA"/>
    <w:rsid w:val="00932621"/>
    <w:rsid w:val="0093263E"/>
    <w:rsid w:val="0093263F"/>
    <w:rsid w:val="00932657"/>
    <w:rsid w:val="00932668"/>
    <w:rsid w:val="00932693"/>
    <w:rsid w:val="009326D0"/>
    <w:rsid w:val="009326D6"/>
    <w:rsid w:val="009326EA"/>
    <w:rsid w:val="00932718"/>
    <w:rsid w:val="00932762"/>
    <w:rsid w:val="0093279A"/>
    <w:rsid w:val="0093279F"/>
    <w:rsid w:val="009328DE"/>
    <w:rsid w:val="00932947"/>
    <w:rsid w:val="0093295A"/>
    <w:rsid w:val="0093295E"/>
    <w:rsid w:val="009329F6"/>
    <w:rsid w:val="00932A6B"/>
    <w:rsid w:val="00932AFC"/>
    <w:rsid w:val="00932B06"/>
    <w:rsid w:val="00932B3F"/>
    <w:rsid w:val="00932B51"/>
    <w:rsid w:val="00932B6E"/>
    <w:rsid w:val="00932B87"/>
    <w:rsid w:val="00932BDE"/>
    <w:rsid w:val="00932C2C"/>
    <w:rsid w:val="00932C3A"/>
    <w:rsid w:val="00932C8C"/>
    <w:rsid w:val="00932CB6"/>
    <w:rsid w:val="00932CBE"/>
    <w:rsid w:val="00932CDE"/>
    <w:rsid w:val="00932D15"/>
    <w:rsid w:val="00932D5A"/>
    <w:rsid w:val="00932D7B"/>
    <w:rsid w:val="00932D9B"/>
    <w:rsid w:val="00932E25"/>
    <w:rsid w:val="00932E48"/>
    <w:rsid w:val="00932E85"/>
    <w:rsid w:val="00932ED8"/>
    <w:rsid w:val="00932EDB"/>
    <w:rsid w:val="00932F1B"/>
    <w:rsid w:val="00932F62"/>
    <w:rsid w:val="00932F63"/>
    <w:rsid w:val="00932F84"/>
    <w:rsid w:val="00932FAB"/>
    <w:rsid w:val="00932FE2"/>
    <w:rsid w:val="00933004"/>
    <w:rsid w:val="00933026"/>
    <w:rsid w:val="00933048"/>
    <w:rsid w:val="00933057"/>
    <w:rsid w:val="00933062"/>
    <w:rsid w:val="009330A4"/>
    <w:rsid w:val="00933102"/>
    <w:rsid w:val="00933117"/>
    <w:rsid w:val="00933119"/>
    <w:rsid w:val="0093312A"/>
    <w:rsid w:val="009331DF"/>
    <w:rsid w:val="0093325F"/>
    <w:rsid w:val="0093328B"/>
    <w:rsid w:val="009332D1"/>
    <w:rsid w:val="009332DE"/>
    <w:rsid w:val="00933337"/>
    <w:rsid w:val="0093333F"/>
    <w:rsid w:val="0093335A"/>
    <w:rsid w:val="0093336E"/>
    <w:rsid w:val="00933378"/>
    <w:rsid w:val="00933384"/>
    <w:rsid w:val="00933395"/>
    <w:rsid w:val="009333D2"/>
    <w:rsid w:val="009333FE"/>
    <w:rsid w:val="00933413"/>
    <w:rsid w:val="00933426"/>
    <w:rsid w:val="00933443"/>
    <w:rsid w:val="00933449"/>
    <w:rsid w:val="00933468"/>
    <w:rsid w:val="0093349D"/>
    <w:rsid w:val="009334D2"/>
    <w:rsid w:val="009334E0"/>
    <w:rsid w:val="009334F3"/>
    <w:rsid w:val="00933505"/>
    <w:rsid w:val="0093354A"/>
    <w:rsid w:val="00933568"/>
    <w:rsid w:val="009335EE"/>
    <w:rsid w:val="00933608"/>
    <w:rsid w:val="00933664"/>
    <w:rsid w:val="00933685"/>
    <w:rsid w:val="00933714"/>
    <w:rsid w:val="009337E6"/>
    <w:rsid w:val="00933839"/>
    <w:rsid w:val="00933840"/>
    <w:rsid w:val="0093384E"/>
    <w:rsid w:val="009338B2"/>
    <w:rsid w:val="009338EC"/>
    <w:rsid w:val="009338F0"/>
    <w:rsid w:val="0093390F"/>
    <w:rsid w:val="0093391A"/>
    <w:rsid w:val="00933965"/>
    <w:rsid w:val="009339B1"/>
    <w:rsid w:val="009339B2"/>
    <w:rsid w:val="009339E7"/>
    <w:rsid w:val="009339F2"/>
    <w:rsid w:val="00933A01"/>
    <w:rsid w:val="00933A1D"/>
    <w:rsid w:val="00933A6F"/>
    <w:rsid w:val="00933A7C"/>
    <w:rsid w:val="00933A8C"/>
    <w:rsid w:val="00933AC5"/>
    <w:rsid w:val="00933AF3"/>
    <w:rsid w:val="00933B10"/>
    <w:rsid w:val="00933B2F"/>
    <w:rsid w:val="00933B31"/>
    <w:rsid w:val="00933B9F"/>
    <w:rsid w:val="00933BB3"/>
    <w:rsid w:val="00933BBD"/>
    <w:rsid w:val="00933BE3"/>
    <w:rsid w:val="00933C17"/>
    <w:rsid w:val="00933C18"/>
    <w:rsid w:val="00933C1F"/>
    <w:rsid w:val="00933C20"/>
    <w:rsid w:val="00933C22"/>
    <w:rsid w:val="00933C2F"/>
    <w:rsid w:val="00933C36"/>
    <w:rsid w:val="00933CB6"/>
    <w:rsid w:val="00933CEE"/>
    <w:rsid w:val="00933CF4"/>
    <w:rsid w:val="00933D6F"/>
    <w:rsid w:val="00933DAD"/>
    <w:rsid w:val="00933DC1"/>
    <w:rsid w:val="00933DFB"/>
    <w:rsid w:val="00933E20"/>
    <w:rsid w:val="00933E65"/>
    <w:rsid w:val="00933E9D"/>
    <w:rsid w:val="00933EB8"/>
    <w:rsid w:val="00933EBF"/>
    <w:rsid w:val="00933EED"/>
    <w:rsid w:val="00933EF4"/>
    <w:rsid w:val="00933F08"/>
    <w:rsid w:val="00933F68"/>
    <w:rsid w:val="00933F8E"/>
    <w:rsid w:val="00933F97"/>
    <w:rsid w:val="00933FA5"/>
    <w:rsid w:val="00933FC3"/>
    <w:rsid w:val="00934061"/>
    <w:rsid w:val="009340DF"/>
    <w:rsid w:val="00934117"/>
    <w:rsid w:val="00934142"/>
    <w:rsid w:val="00934172"/>
    <w:rsid w:val="0093418C"/>
    <w:rsid w:val="00934220"/>
    <w:rsid w:val="00934270"/>
    <w:rsid w:val="009342F4"/>
    <w:rsid w:val="0093432C"/>
    <w:rsid w:val="00934336"/>
    <w:rsid w:val="0093433C"/>
    <w:rsid w:val="0093434F"/>
    <w:rsid w:val="00934378"/>
    <w:rsid w:val="00934389"/>
    <w:rsid w:val="009343A4"/>
    <w:rsid w:val="00934467"/>
    <w:rsid w:val="0093448C"/>
    <w:rsid w:val="009344ED"/>
    <w:rsid w:val="0093452A"/>
    <w:rsid w:val="0093456F"/>
    <w:rsid w:val="00934599"/>
    <w:rsid w:val="009345A8"/>
    <w:rsid w:val="009345B0"/>
    <w:rsid w:val="009345F9"/>
    <w:rsid w:val="009345FD"/>
    <w:rsid w:val="00934619"/>
    <w:rsid w:val="0093461A"/>
    <w:rsid w:val="00934630"/>
    <w:rsid w:val="00934638"/>
    <w:rsid w:val="00934650"/>
    <w:rsid w:val="009346C2"/>
    <w:rsid w:val="009346DB"/>
    <w:rsid w:val="00934717"/>
    <w:rsid w:val="00934754"/>
    <w:rsid w:val="00934798"/>
    <w:rsid w:val="009347C3"/>
    <w:rsid w:val="009347D7"/>
    <w:rsid w:val="009347FA"/>
    <w:rsid w:val="0093480A"/>
    <w:rsid w:val="00934823"/>
    <w:rsid w:val="009348F9"/>
    <w:rsid w:val="009348FB"/>
    <w:rsid w:val="0093494E"/>
    <w:rsid w:val="0093495D"/>
    <w:rsid w:val="00934994"/>
    <w:rsid w:val="00934A1D"/>
    <w:rsid w:val="00934A44"/>
    <w:rsid w:val="00934A48"/>
    <w:rsid w:val="00934A5E"/>
    <w:rsid w:val="00934A6D"/>
    <w:rsid w:val="00934AE3"/>
    <w:rsid w:val="00934AE5"/>
    <w:rsid w:val="00934BC1"/>
    <w:rsid w:val="00934BFA"/>
    <w:rsid w:val="00934C1E"/>
    <w:rsid w:val="00934C4E"/>
    <w:rsid w:val="00934C56"/>
    <w:rsid w:val="00934C94"/>
    <w:rsid w:val="00934CDA"/>
    <w:rsid w:val="00934D5A"/>
    <w:rsid w:val="00934DA5"/>
    <w:rsid w:val="00934DCD"/>
    <w:rsid w:val="00934E57"/>
    <w:rsid w:val="00934EE5"/>
    <w:rsid w:val="00934EEA"/>
    <w:rsid w:val="00934F27"/>
    <w:rsid w:val="00934F38"/>
    <w:rsid w:val="00934F3F"/>
    <w:rsid w:val="00934F9A"/>
    <w:rsid w:val="00935007"/>
    <w:rsid w:val="00935076"/>
    <w:rsid w:val="0093508A"/>
    <w:rsid w:val="009350A0"/>
    <w:rsid w:val="00935123"/>
    <w:rsid w:val="00935180"/>
    <w:rsid w:val="00935186"/>
    <w:rsid w:val="00935188"/>
    <w:rsid w:val="00935190"/>
    <w:rsid w:val="009351AE"/>
    <w:rsid w:val="009351B0"/>
    <w:rsid w:val="009351F3"/>
    <w:rsid w:val="009352DA"/>
    <w:rsid w:val="009352E1"/>
    <w:rsid w:val="0093539A"/>
    <w:rsid w:val="009353DE"/>
    <w:rsid w:val="0093543D"/>
    <w:rsid w:val="0093543F"/>
    <w:rsid w:val="009354FF"/>
    <w:rsid w:val="00935546"/>
    <w:rsid w:val="0093556C"/>
    <w:rsid w:val="00935581"/>
    <w:rsid w:val="009355C0"/>
    <w:rsid w:val="009355FC"/>
    <w:rsid w:val="0093560A"/>
    <w:rsid w:val="00935632"/>
    <w:rsid w:val="0093568E"/>
    <w:rsid w:val="009356AD"/>
    <w:rsid w:val="009356D6"/>
    <w:rsid w:val="00935704"/>
    <w:rsid w:val="0093571C"/>
    <w:rsid w:val="0093575E"/>
    <w:rsid w:val="009357B9"/>
    <w:rsid w:val="00935803"/>
    <w:rsid w:val="00935891"/>
    <w:rsid w:val="009358AD"/>
    <w:rsid w:val="009358E2"/>
    <w:rsid w:val="00935920"/>
    <w:rsid w:val="00935931"/>
    <w:rsid w:val="00935980"/>
    <w:rsid w:val="009359BF"/>
    <w:rsid w:val="009359CC"/>
    <w:rsid w:val="009359D7"/>
    <w:rsid w:val="009359E6"/>
    <w:rsid w:val="009359EC"/>
    <w:rsid w:val="009359F9"/>
    <w:rsid w:val="00935A1E"/>
    <w:rsid w:val="00935A48"/>
    <w:rsid w:val="00935A6D"/>
    <w:rsid w:val="00935AB6"/>
    <w:rsid w:val="00935ACC"/>
    <w:rsid w:val="00935AED"/>
    <w:rsid w:val="00935B1F"/>
    <w:rsid w:val="00935BDF"/>
    <w:rsid w:val="00935BEF"/>
    <w:rsid w:val="00935C6E"/>
    <w:rsid w:val="00935C93"/>
    <w:rsid w:val="00935C98"/>
    <w:rsid w:val="00935CB6"/>
    <w:rsid w:val="00935D0D"/>
    <w:rsid w:val="00935DEE"/>
    <w:rsid w:val="00935DF6"/>
    <w:rsid w:val="00935E4C"/>
    <w:rsid w:val="00935ECE"/>
    <w:rsid w:val="00935EE4"/>
    <w:rsid w:val="00935EE6"/>
    <w:rsid w:val="00935F34"/>
    <w:rsid w:val="00935F7C"/>
    <w:rsid w:val="00935F83"/>
    <w:rsid w:val="00935FA0"/>
    <w:rsid w:val="00935FB1"/>
    <w:rsid w:val="00935FC4"/>
    <w:rsid w:val="00936095"/>
    <w:rsid w:val="009360A0"/>
    <w:rsid w:val="009360A1"/>
    <w:rsid w:val="009360CE"/>
    <w:rsid w:val="00936136"/>
    <w:rsid w:val="0093615C"/>
    <w:rsid w:val="009361A6"/>
    <w:rsid w:val="009361BD"/>
    <w:rsid w:val="009361EC"/>
    <w:rsid w:val="009361FB"/>
    <w:rsid w:val="009361FE"/>
    <w:rsid w:val="00936217"/>
    <w:rsid w:val="00936254"/>
    <w:rsid w:val="00936291"/>
    <w:rsid w:val="00936361"/>
    <w:rsid w:val="00936389"/>
    <w:rsid w:val="009363AD"/>
    <w:rsid w:val="00936402"/>
    <w:rsid w:val="0093642A"/>
    <w:rsid w:val="0093643F"/>
    <w:rsid w:val="00936488"/>
    <w:rsid w:val="009364B5"/>
    <w:rsid w:val="009364CC"/>
    <w:rsid w:val="009364D6"/>
    <w:rsid w:val="0093661E"/>
    <w:rsid w:val="00936665"/>
    <w:rsid w:val="0093670A"/>
    <w:rsid w:val="00936717"/>
    <w:rsid w:val="0093674F"/>
    <w:rsid w:val="0093677C"/>
    <w:rsid w:val="009367C6"/>
    <w:rsid w:val="00936820"/>
    <w:rsid w:val="0093682A"/>
    <w:rsid w:val="00936846"/>
    <w:rsid w:val="0093686E"/>
    <w:rsid w:val="00936903"/>
    <w:rsid w:val="0093695E"/>
    <w:rsid w:val="0093697C"/>
    <w:rsid w:val="009369CC"/>
    <w:rsid w:val="009369D5"/>
    <w:rsid w:val="009369EE"/>
    <w:rsid w:val="00936A4E"/>
    <w:rsid w:val="00936B5E"/>
    <w:rsid w:val="00936B8F"/>
    <w:rsid w:val="00936C44"/>
    <w:rsid w:val="00936C83"/>
    <w:rsid w:val="00936CBD"/>
    <w:rsid w:val="00936CD3"/>
    <w:rsid w:val="00936CDA"/>
    <w:rsid w:val="00936CE3"/>
    <w:rsid w:val="00936CE4"/>
    <w:rsid w:val="00936D18"/>
    <w:rsid w:val="00936D3F"/>
    <w:rsid w:val="00936D68"/>
    <w:rsid w:val="00936D88"/>
    <w:rsid w:val="00936D8D"/>
    <w:rsid w:val="00936D9E"/>
    <w:rsid w:val="00936DD8"/>
    <w:rsid w:val="00936DF6"/>
    <w:rsid w:val="00936E4A"/>
    <w:rsid w:val="00936E57"/>
    <w:rsid w:val="00936E5B"/>
    <w:rsid w:val="00936E63"/>
    <w:rsid w:val="00936E69"/>
    <w:rsid w:val="00936E72"/>
    <w:rsid w:val="00936EC5"/>
    <w:rsid w:val="00936EE2"/>
    <w:rsid w:val="00936FB5"/>
    <w:rsid w:val="00936FE3"/>
    <w:rsid w:val="0093702F"/>
    <w:rsid w:val="00937051"/>
    <w:rsid w:val="00937052"/>
    <w:rsid w:val="00937063"/>
    <w:rsid w:val="009370A7"/>
    <w:rsid w:val="009370BC"/>
    <w:rsid w:val="009370D5"/>
    <w:rsid w:val="0093711A"/>
    <w:rsid w:val="00937156"/>
    <w:rsid w:val="00937160"/>
    <w:rsid w:val="00937180"/>
    <w:rsid w:val="0093719A"/>
    <w:rsid w:val="009371B3"/>
    <w:rsid w:val="009371B4"/>
    <w:rsid w:val="009371E0"/>
    <w:rsid w:val="009372DC"/>
    <w:rsid w:val="009372E2"/>
    <w:rsid w:val="009373BA"/>
    <w:rsid w:val="009373D8"/>
    <w:rsid w:val="009373E1"/>
    <w:rsid w:val="00937423"/>
    <w:rsid w:val="00937455"/>
    <w:rsid w:val="00937477"/>
    <w:rsid w:val="009374AD"/>
    <w:rsid w:val="0093750F"/>
    <w:rsid w:val="0093754C"/>
    <w:rsid w:val="00937567"/>
    <w:rsid w:val="0093756F"/>
    <w:rsid w:val="00937576"/>
    <w:rsid w:val="009375D5"/>
    <w:rsid w:val="0093763D"/>
    <w:rsid w:val="0093763E"/>
    <w:rsid w:val="009376BB"/>
    <w:rsid w:val="009376CE"/>
    <w:rsid w:val="00937769"/>
    <w:rsid w:val="00937791"/>
    <w:rsid w:val="009377CE"/>
    <w:rsid w:val="009377D8"/>
    <w:rsid w:val="009377D9"/>
    <w:rsid w:val="009377DC"/>
    <w:rsid w:val="00937804"/>
    <w:rsid w:val="0093780C"/>
    <w:rsid w:val="0093783F"/>
    <w:rsid w:val="0093784C"/>
    <w:rsid w:val="00937868"/>
    <w:rsid w:val="009378AB"/>
    <w:rsid w:val="009378B7"/>
    <w:rsid w:val="009378E7"/>
    <w:rsid w:val="009378F4"/>
    <w:rsid w:val="0093791F"/>
    <w:rsid w:val="009379EB"/>
    <w:rsid w:val="00937A34"/>
    <w:rsid w:val="00937A4A"/>
    <w:rsid w:val="00937AED"/>
    <w:rsid w:val="00937B64"/>
    <w:rsid w:val="00937B87"/>
    <w:rsid w:val="00937BA3"/>
    <w:rsid w:val="00937BCC"/>
    <w:rsid w:val="00937C0D"/>
    <w:rsid w:val="00937C30"/>
    <w:rsid w:val="00937C35"/>
    <w:rsid w:val="00937C3E"/>
    <w:rsid w:val="00937C41"/>
    <w:rsid w:val="00937CCF"/>
    <w:rsid w:val="00937CE6"/>
    <w:rsid w:val="00937CEB"/>
    <w:rsid w:val="00937D54"/>
    <w:rsid w:val="00937DB7"/>
    <w:rsid w:val="00937E7B"/>
    <w:rsid w:val="00937ED5"/>
    <w:rsid w:val="00937F03"/>
    <w:rsid w:val="00937F87"/>
    <w:rsid w:val="00937FA5"/>
    <w:rsid w:val="00937FC5"/>
    <w:rsid w:val="00940008"/>
    <w:rsid w:val="0094005C"/>
    <w:rsid w:val="00940083"/>
    <w:rsid w:val="00940095"/>
    <w:rsid w:val="009400AA"/>
    <w:rsid w:val="009400BA"/>
    <w:rsid w:val="00940122"/>
    <w:rsid w:val="0094013D"/>
    <w:rsid w:val="00940182"/>
    <w:rsid w:val="0094018D"/>
    <w:rsid w:val="009401BC"/>
    <w:rsid w:val="0094023E"/>
    <w:rsid w:val="009402B0"/>
    <w:rsid w:val="009402DA"/>
    <w:rsid w:val="0094032D"/>
    <w:rsid w:val="00940445"/>
    <w:rsid w:val="0094048D"/>
    <w:rsid w:val="009404BD"/>
    <w:rsid w:val="00940509"/>
    <w:rsid w:val="0094056D"/>
    <w:rsid w:val="00940577"/>
    <w:rsid w:val="009405D2"/>
    <w:rsid w:val="0094063C"/>
    <w:rsid w:val="00940669"/>
    <w:rsid w:val="0094066B"/>
    <w:rsid w:val="0094068D"/>
    <w:rsid w:val="009406C6"/>
    <w:rsid w:val="009406E5"/>
    <w:rsid w:val="00940765"/>
    <w:rsid w:val="009407C1"/>
    <w:rsid w:val="009407FE"/>
    <w:rsid w:val="00940818"/>
    <w:rsid w:val="00940825"/>
    <w:rsid w:val="0094087C"/>
    <w:rsid w:val="009408DD"/>
    <w:rsid w:val="009408E1"/>
    <w:rsid w:val="00940914"/>
    <w:rsid w:val="0094095A"/>
    <w:rsid w:val="0094099C"/>
    <w:rsid w:val="009409A4"/>
    <w:rsid w:val="009409A7"/>
    <w:rsid w:val="009409AE"/>
    <w:rsid w:val="009409BE"/>
    <w:rsid w:val="009409D9"/>
    <w:rsid w:val="00940A00"/>
    <w:rsid w:val="00940A21"/>
    <w:rsid w:val="00940A59"/>
    <w:rsid w:val="00940A84"/>
    <w:rsid w:val="00940A90"/>
    <w:rsid w:val="00940A96"/>
    <w:rsid w:val="00940AF2"/>
    <w:rsid w:val="00940B4F"/>
    <w:rsid w:val="00940BF0"/>
    <w:rsid w:val="00940BF5"/>
    <w:rsid w:val="00940BF8"/>
    <w:rsid w:val="00940C34"/>
    <w:rsid w:val="00940C41"/>
    <w:rsid w:val="00940CA0"/>
    <w:rsid w:val="00940CA2"/>
    <w:rsid w:val="00940CBB"/>
    <w:rsid w:val="00940CC0"/>
    <w:rsid w:val="00940CEA"/>
    <w:rsid w:val="00940D1D"/>
    <w:rsid w:val="00940D32"/>
    <w:rsid w:val="00940D52"/>
    <w:rsid w:val="00940DC6"/>
    <w:rsid w:val="00940DC9"/>
    <w:rsid w:val="00940DD6"/>
    <w:rsid w:val="00940DD9"/>
    <w:rsid w:val="00940E1C"/>
    <w:rsid w:val="00940E2F"/>
    <w:rsid w:val="00940E46"/>
    <w:rsid w:val="00940E47"/>
    <w:rsid w:val="00940E81"/>
    <w:rsid w:val="00940E8E"/>
    <w:rsid w:val="00940E96"/>
    <w:rsid w:val="00940EB0"/>
    <w:rsid w:val="00940F11"/>
    <w:rsid w:val="00940F47"/>
    <w:rsid w:val="00940F7F"/>
    <w:rsid w:val="00940F8D"/>
    <w:rsid w:val="00940FC2"/>
    <w:rsid w:val="0094108E"/>
    <w:rsid w:val="0094114A"/>
    <w:rsid w:val="00941160"/>
    <w:rsid w:val="0094116F"/>
    <w:rsid w:val="009411A7"/>
    <w:rsid w:val="009411A9"/>
    <w:rsid w:val="0094128D"/>
    <w:rsid w:val="009412C3"/>
    <w:rsid w:val="009412C6"/>
    <w:rsid w:val="0094139A"/>
    <w:rsid w:val="0094139B"/>
    <w:rsid w:val="009413EE"/>
    <w:rsid w:val="009413F1"/>
    <w:rsid w:val="0094141D"/>
    <w:rsid w:val="0094142C"/>
    <w:rsid w:val="00941438"/>
    <w:rsid w:val="0094144F"/>
    <w:rsid w:val="00941450"/>
    <w:rsid w:val="0094148E"/>
    <w:rsid w:val="009414F4"/>
    <w:rsid w:val="009414F9"/>
    <w:rsid w:val="0094152F"/>
    <w:rsid w:val="00941564"/>
    <w:rsid w:val="009415B8"/>
    <w:rsid w:val="009415C7"/>
    <w:rsid w:val="009415E1"/>
    <w:rsid w:val="00941613"/>
    <w:rsid w:val="00941633"/>
    <w:rsid w:val="00941656"/>
    <w:rsid w:val="00941673"/>
    <w:rsid w:val="009416DB"/>
    <w:rsid w:val="00941779"/>
    <w:rsid w:val="00941839"/>
    <w:rsid w:val="0094189C"/>
    <w:rsid w:val="009418FB"/>
    <w:rsid w:val="00941935"/>
    <w:rsid w:val="0094199D"/>
    <w:rsid w:val="009419B1"/>
    <w:rsid w:val="009419B9"/>
    <w:rsid w:val="009419E3"/>
    <w:rsid w:val="00941A0A"/>
    <w:rsid w:val="00941A16"/>
    <w:rsid w:val="00941ABB"/>
    <w:rsid w:val="00941B10"/>
    <w:rsid w:val="00941B22"/>
    <w:rsid w:val="00941B5A"/>
    <w:rsid w:val="00941B73"/>
    <w:rsid w:val="00941B87"/>
    <w:rsid w:val="00941B92"/>
    <w:rsid w:val="00941BA7"/>
    <w:rsid w:val="00941BCA"/>
    <w:rsid w:val="00941C16"/>
    <w:rsid w:val="00941C1C"/>
    <w:rsid w:val="00941C40"/>
    <w:rsid w:val="00941CC4"/>
    <w:rsid w:val="00941DB8"/>
    <w:rsid w:val="00941E09"/>
    <w:rsid w:val="00941E82"/>
    <w:rsid w:val="00941E87"/>
    <w:rsid w:val="00941E9F"/>
    <w:rsid w:val="00941EA1"/>
    <w:rsid w:val="00941EB1"/>
    <w:rsid w:val="00941EEF"/>
    <w:rsid w:val="00941EFC"/>
    <w:rsid w:val="00941F64"/>
    <w:rsid w:val="00941F6A"/>
    <w:rsid w:val="00941F7B"/>
    <w:rsid w:val="0094202A"/>
    <w:rsid w:val="0094205A"/>
    <w:rsid w:val="00942065"/>
    <w:rsid w:val="009420E8"/>
    <w:rsid w:val="0094212B"/>
    <w:rsid w:val="00942133"/>
    <w:rsid w:val="009421B9"/>
    <w:rsid w:val="00942256"/>
    <w:rsid w:val="00942392"/>
    <w:rsid w:val="009423A0"/>
    <w:rsid w:val="009423E1"/>
    <w:rsid w:val="0094241F"/>
    <w:rsid w:val="00942424"/>
    <w:rsid w:val="0094246E"/>
    <w:rsid w:val="009424A9"/>
    <w:rsid w:val="009424D1"/>
    <w:rsid w:val="009424F9"/>
    <w:rsid w:val="00942531"/>
    <w:rsid w:val="00942562"/>
    <w:rsid w:val="009425DA"/>
    <w:rsid w:val="00942674"/>
    <w:rsid w:val="00942719"/>
    <w:rsid w:val="00942757"/>
    <w:rsid w:val="009427DD"/>
    <w:rsid w:val="0094286D"/>
    <w:rsid w:val="009428B5"/>
    <w:rsid w:val="009428D6"/>
    <w:rsid w:val="009428E8"/>
    <w:rsid w:val="00942907"/>
    <w:rsid w:val="00942994"/>
    <w:rsid w:val="009429A4"/>
    <w:rsid w:val="009429C5"/>
    <w:rsid w:val="00942A51"/>
    <w:rsid w:val="00942A6C"/>
    <w:rsid w:val="00942AAA"/>
    <w:rsid w:val="00942B51"/>
    <w:rsid w:val="00942B8D"/>
    <w:rsid w:val="00942BC2"/>
    <w:rsid w:val="00942BF0"/>
    <w:rsid w:val="00942BF5"/>
    <w:rsid w:val="00942C1B"/>
    <w:rsid w:val="00942C48"/>
    <w:rsid w:val="00942C5C"/>
    <w:rsid w:val="00942C82"/>
    <w:rsid w:val="00942C92"/>
    <w:rsid w:val="00942CB6"/>
    <w:rsid w:val="00942D29"/>
    <w:rsid w:val="00942D6D"/>
    <w:rsid w:val="00942DC5"/>
    <w:rsid w:val="00942DF6"/>
    <w:rsid w:val="00942E03"/>
    <w:rsid w:val="00942E09"/>
    <w:rsid w:val="00942E83"/>
    <w:rsid w:val="00942E96"/>
    <w:rsid w:val="00942F85"/>
    <w:rsid w:val="00942FB7"/>
    <w:rsid w:val="0094301A"/>
    <w:rsid w:val="0094307B"/>
    <w:rsid w:val="0094309B"/>
    <w:rsid w:val="009430D3"/>
    <w:rsid w:val="0094313D"/>
    <w:rsid w:val="0094316F"/>
    <w:rsid w:val="009431B9"/>
    <w:rsid w:val="00943200"/>
    <w:rsid w:val="00943230"/>
    <w:rsid w:val="009432B1"/>
    <w:rsid w:val="009432FF"/>
    <w:rsid w:val="00943347"/>
    <w:rsid w:val="0094336A"/>
    <w:rsid w:val="00943371"/>
    <w:rsid w:val="00943393"/>
    <w:rsid w:val="0094345A"/>
    <w:rsid w:val="00943494"/>
    <w:rsid w:val="009434B1"/>
    <w:rsid w:val="009434E2"/>
    <w:rsid w:val="00943502"/>
    <w:rsid w:val="00943516"/>
    <w:rsid w:val="00943526"/>
    <w:rsid w:val="00943560"/>
    <w:rsid w:val="00943567"/>
    <w:rsid w:val="0094357B"/>
    <w:rsid w:val="00943594"/>
    <w:rsid w:val="0094359F"/>
    <w:rsid w:val="0094364B"/>
    <w:rsid w:val="00943667"/>
    <w:rsid w:val="009436E0"/>
    <w:rsid w:val="0094372B"/>
    <w:rsid w:val="0094373C"/>
    <w:rsid w:val="00943748"/>
    <w:rsid w:val="00943774"/>
    <w:rsid w:val="0094378E"/>
    <w:rsid w:val="009437B2"/>
    <w:rsid w:val="009437C3"/>
    <w:rsid w:val="009437D6"/>
    <w:rsid w:val="009437D9"/>
    <w:rsid w:val="009437E3"/>
    <w:rsid w:val="00943815"/>
    <w:rsid w:val="00943834"/>
    <w:rsid w:val="009438C1"/>
    <w:rsid w:val="0094391E"/>
    <w:rsid w:val="00943A49"/>
    <w:rsid w:val="00943A50"/>
    <w:rsid w:val="00943A65"/>
    <w:rsid w:val="00943AA5"/>
    <w:rsid w:val="00943ABB"/>
    <w:rsid w:val="00943B21"/>
    <w:rsid w:val="00943B53"/>
    <w:rsid w:val="00943BF4"/>
    <w:rsid w:val="00943C0F"/>
    <w:rsid w:val="00943C15"/>
    <w:rsid w:val="00943C24"/>
    <w:rsid w:val="00943C36"/>
    <w:rsid w:val="00943C40"/>
    <w:rsid w:val="00943C4A"/>
    <w:rsid w:val="00943C98"/>
    <w:rsid w:val="00943CA2"/>
    <w:rsid w:val="00943CAF"/>
    <w:rsid w:val="00943D06"/>
    <w:rsid w:val="00943D62"/>
    <w:rsid w:val="00943D7D"/>
    <w:rsid w:val="00943D98"/>
    <w:rsid w:val="00943D9B"/>
    <w:rsid w:val="00943D9F"/>
    <w:rsid w:val="00943DC1"/>
    <w:rsid w:val="00943DD2"/>
    <w:rsid w:val="00943DE7"/>
    <w:rsid w:val="00943E1B"/>
    <w:rsid w:val="00943E97"/>
    <w:rsid w:val="00943ED2"/>
    <w:rsid w:val="00943EF5"/>
    <w:rsid w:val="00943F1B"/>
    <w:rsid w:val="00943F67"/>
    <w:rsid w:val="00943F97"/>
    <w:rsid w:val="00943FBE"/>
    <w:rsid w:val="00943FE8"/>
    <w:rsid w:val="00944007"/>
    <w:rsid w:val="0094400A"/>
    <w:rsid w:val="00944053"/>
    <w:rsid w:val="00944064"/>
    <w:rsid w:val="0094407F"/>
    <w:rsid w:val="0094410B"/>
    <w:rsid w:val="00944139"/>
    <w:rsid w:val="00944144"/>
    <w:rsid w:val="00944173"/>
    <w:rsid w:val="00944174"/>
    <w:rsid w:val="009441D0"/>
    <w:rsid w:val="00944202"/>
    <w:rsid w:val="00944203"/>
    <w:rsid w:val="00944219"/>
    <w:rsid w:val="0094421B"/>
    <w:rsid w:val="0094425C"/>
    <w:rsid w:val="009442C3"/>
    <w:rsid w:val="009442D0"/>
    <w:rsid w:val="009442E3"/>
    <w:rsid w:val="009442F9"/>
    <w:rsid w:val="00944300"/>
    <w:rsid w:val="00944344"/>
    <w:rsid w:val="00944345"/>
    <w:rsid w:val="00944377"/>
    <w:rsid w:val="00944423"/>
    <w:rsid w:val="00944425"/>
    <w:rsid w:val="00944450"/>
    <w:rsid w:val="00944453"/>
    <w:rsid w:val="0094445A"/>
    <w:rsid w:val="00944482"/>
    <w:rsid w:val="009444A0"/>
    <w:rsid w:val="009444BC"/>
    <w:rsid w:val="009444C1"/>
    <w:rsid w:val="00944572"/>
    <w:rsid w:val="0094458E"/>
    <w:rsid w:val="009445E9"/>
    <w:rsid w:val="009445F0"/>
    <w:rsid w:val="009445FF"/>
    <w:rsid w:val="00944672"/>
    <w:rsid w:val="009446AE"/>
    <w:rsid w:val="009446E9"/>
    <w:rsid w:val="00944756"/>
    <w:rsid w:val="0094476B"/>
    <w:rsid w:val="0094479A"/>
    <w:rsid w:val="009447FB"/>
    <w:rsid w:val="0094480D"/>
    <w:rsid w:val="00944838"/>
    <w:rsid w:val="0094483C"/>
    <w:rsid w:val="0094485B"/>
    <w:rsid w:val="0094487A"/>
    <w:rsid w:val="009448D9"/>
    <w:rsid w:val="009448FE"/>
    <w:rsid w:val="00944910"/>
    <w:rsid w:val="00944932"/>
    <w:rsid w:val="00944968"/>
    <w:rsid w:val="009449B9"/>
    <w:rsid w:val="00944A11"/>
    <w:rsid w:val="00944A29"/>
    <w:rsid w:val="00944AA3"/>
    <w:rsid w:val="00944AB7"/>
    <w:rsid w:val="00944AB9"/>
    <w:rsid w:val="00944AE0"/>
    <w:rsid w:val="00944B08"/>
    <w:rsid w:val="00944B12"/>
    <w:rsid w:val="00944B51"/>
    <w:rsid w:val="00944C10"/>
    <w:rsid w:val="00944C6F"/>
    <w:rsid w:val="00944CDF"/>
    <w:rsid w:val="00944CF7"/>
    <w:rsid w:val="00944D1B"/>
    <w:rsid w:val="00944D6C"/>
    <w:rsid w:val="00944E14"/>
    <w:rsid w:val="00944E23"/>
    <w:rsid w:val="00944E59"/>
    <w:rsid w:val="00944EA7"/>
    <w:rsid w:val="00944EDF"/>
    <w:rsid w:val="00944EED"/>
    <w:rsid w:val="00944F7A"/>
    <w:rsid w:val="00944FB1"/>
    <w:rsid w:val="00944FD5"/>
    <w:rsid w:val="00945121"/>
    <w:rsid w:val="00945136"/>
    <w:rsid w:val="00945164"/>
    <w:rsid w:val="00945174"/>
    <w:rsid w:val="00945185"/>
    <w:rsid w:val="009451F0"/>
    <w:rsid w:val="0094528C"/>
    <w:rsid w:val="0094528E"/>
    <w:rsid w:val="00945297"/>
    <w:rsid w:val="009452CB"/>
    <w:rsid w:val="009452CC"/>
    <w:rsid w:val="009452E3"/>
    <w:rsid w:val="009452EE"/>
    <w:rsid w:val="00945301"/>
    <w:rsid w:val="0094533D"/>
    <w:rsid w:val="0094534C"/>
    <w:rsid w:val="00945360"/>
    <w:rsid w:val="00945383"/>
    <w:rsid w:val="00945392"/>
    <w:rsid w:val="009453BF"/>
    <w:rsid w:val="009453C4"/>
    <w:rsid w:val="009453D5"/>
    <w:rsid w:val="009453E0"/>
    <w:rsid w:val="009453E5"/>
    <w:rsid w:val="0094546B"/>
    <w:rsid w:val="00945477"/>
    <w:rsid w:val="0094548F"/>
    <w:rsid w:val="00945494"/>
    <w:rsid w:val="009454BF"/>
    <w:rsid w:val="009454CC"/>
    <w:rsid w:val="009454CD"/>
    <w:rsid w:val="009454DA"/>
    <w:rsid w:val="00945550"/>
    <w:rsid w:val="00945556"/>
    <w:rsid w:val="009455ED"/>
    <w:rsid w:val="00945638"/>
    <w:rsid w:val="00945641"/>
    <w:rsid w:val="0094567C"/>
    <w:rsid w:val="0094569D"/>
    <w:rsid w:val="009456B6"/>
    <w:rsid w:val="0094572B"/>
    <w:rsid w:val="00945755"/>
    <w:rsid w:val="00945773"/>
    <w:rsid w:val="00945780"/>
    <w:rsid w:val="009457B5"/>
    <w:rsid w:val="009457D4"/>
    <w:rsid w:val="009457F8"/>
    <w:rsid w:val="0094580D"/>
    <w:rsid w:val="00945810"/>
    <w:rsid w:val="00945872"/>
    <w:rsid w:val="0094588F"/>
    <w:rsid w:val="009458B6"/>
    <w:rsid w:val="009458DD"/>
    <w:rsid w:val="00945924"/>
    <w:rsid w:val="00945973"/>
    <w:rsid w:val="009459B8"/>
    <w:rsid w:val="009459C1"/>
    <w:rsid w:val="009459D5"/>
    <w:rsid w:val="00945A17"/>
    <w:rsid w:val="00945A8B"/>
    <w:rsid w:val="00945B18"/>
    <w:rsid w:val="00945B1B"/>
    <w:rsid w:val="00945B69"/>
    <w:rsid w:val="00945BA9"/>
    <w:rsid w:val="00945BF6"/>
    <w:rsid w:val="00945C8F"/>
    <w:rsid w:val="00945CB9"/>
    <w:rsid w:val="00945CC6"/>
    <w:rsid w:val="00945CDF"/>
    <w:rsid w:val="00945D01"/>
    <w:rsid w:val="00945D02"/>
    <w:rsid w:val="00945D7E"/>
    <w:rsid w:val="00945DE8"/>
    <w:rsid w:val="00945DEA"/>
    <w:rsid w:val="00945DEE"/>
    <w:rsid w:val="00945E10"/>
    <w:rsid w:val="00945E33"/>
    <w:rsid w:val="00945E42"/>
    <w:rsid w:val="00945E4F"/>
    <w:rsid w:val="00945E66"/>
    <w:rsid w:val="00945E90"/>
    <w:rsid w:val="00945EA9"/>
    <w:rsid w:val="00945ED7"/>
    <w:rsid w:val="00945F2E"/>
    <w:rsid w:val="00945F52"/>
    <w:rsid w:val="00945FD2"/>
    <w:rsid w:val="00946001"/>
    <w:rsid w:val="0094600C"/>
    <w:rsid w:val="0094602B"/>
    <w:rsid w:val="00946037"/>
    <w:rsid w:val="0094609B"/>
    <w:rsid w:val="009460B7"/>
    <w:rsid w:val="0094610D"/>
    <w:rsid w:val="00946140"/>
    <w:rsid w:val="0094614A"/>
    <w:rsid w:val="00946154"/>
    <w:rsid w:val="00946199"/>
    <w:rsid w:val="009461AA"/>
    <w:rsid w:val="009461CF"/>
    <w:rsid w:val="009461D8"/>
    <w:rsid w:val="009461F4"/>
    <w:rsid w:val="009461FA"/>
    <w:rsid w:val="00946203"/>
    <w:rsid w:val="0094621D"/>
    <w:rsid w:val="00946257"/>
    <w:rsid w:val="009462A4"/>
    <w:rsid w:val="009462C5"/>
    <w:rsid w:val="00946356"/>
    <w:rsid w:val="0094637C"/>
    <w:rsid w:val="00946396"/>
    <w:rsid w:val="00946411"/>
    <w:rsid w:val="0094641D"/>
    <w:rsid w:val="0094645A"/>
    <w:rsid w:val="00946477"/>
    <w:rsid w:val="0094651A"/>
    <w:rsid w:val="00946553"/>
    <w:rsid w:val="0094657F"/>
    <w:rsid w:val="0094658A"/>
    <w:rsid w:val="009465E1"/>
    <w:rsid w:val="00946646"/>
    <w:rsid w:val="009466D1"/>
    <w:rsid w:val="009466FA"/>
    <w:rsid w:val="00946723"/>
    <w:rsid w:val="0094672D"/>
    <w:rsid w:val="0094673B"/>
    <w:rsid w:val="0094676F"/>
    <w:rsid w:val="00946799"/>
    <w:rsid w:val="0094679E"/>
    <w:rsid w:val="009467B1"/>
    <w:rsid w:val="00946816"/>
    <w:rsid w:val="00946825"/>
    <w:rsid w:val="00946829"/>
    <w:rsid w:val="00946831"/>
    <w:rsid w:val="00946833"/>
    <w:rsid w:val="00946835"/>
    <w:rsid w:val="00946838"/>
    <w:rsid w:val="00946864"/>
    <w:rsid w:val="00946873"/>
    <w:rsid w:val="00946911"/>
    <w:rsid w:val="009469DE"/>
    <w:rsid w:val="009469F9"/>
    <w:rsid w:val="00946A16"/>
    <w:rsid w:val="00946A1C"/>
    <w:rsid w:val="00946A23"/>
    <w:rsid w:val="00946A53"/>
    <w:rsid w:val="00946A5B"/>
    <w:rsid w:val="00946A7D"/>
    <w:rsid w:val="00946A86"/>
    <w:rsid w:val="00946A9C"/>
    <w:rsid w:val="00946AA6"/>
    <w:rsid w:val="00946ACF"/>
    <w:rsid w:val="00946AD9"/>
    <w:rsid w:val="00946ADA"/>
    <w:rsid w:val="00946B1E"/>
    <w:rsid w:val="00946B30"/>
    <w:rsid w:val="00946B70"/>
    <w:rsid w:val="00946B83"/>
    <w:rsid w:val="00946BC7"/>
    <w:rsid w:val="00946BEE"/>
    <w:rsid w:val="00946BEF"/>
    <w:rsid w:val="00946C90"/>
    <w:rsid w:val="00946CF2"/>
    <w:rsid w:val="00946D33"/>
    <w:rsid w:val="00946DBE"/>
    <w:rsid w:val="00946DCD"/>
    <w:rsid w:val="00946DE1"/>
    <w:rsid w:val="00946DE9"/>
    <w:rsid w:val="00946DF9"/>
    <w:rsid w:val="00946E33"/>
    <w:rsid w:val="00946E87"/>
    <w:rsid w:val="00946EB2"/>
    <w:rsid w:val="00946F34"/>
    <w:rsid w:val="00946F64"/>
    <w:rsid w:val="00946FBA"/>
    <w:rsid w:val="00947023"/>
    <w:rsid w:val="0094703F"/>
    <w:rsid w:val="009470AF"/>
    <w:rsid w:val="009470BA"/>
    <w:rsid w:val="009470FC"/>
    <w:rsid w:val="00947127"/>
    <w:rsid w:val="0094714D"/>
    <w:rsid w:val="009471C2"/>
    <w:rsid w:val="0094720B"/>
    <w:rsid w:val="00947219"/>
    <w:rsid w:val="00947276"/>
    <w:rsid w:val="009472A8"/>
    <w:rsid w:val="009472BD"/>
    <w:rsid w:val="0094734A"/>
    <w:rsid w:val="009473C4"/>
    <w:rsid w:val="009473E9"/>
    <w:rsid w:val="0094740E"/>
    <w:rsid w:val="00947452"/>
    <w:rsid w:val="009474FF"/>
    <w:rsid w:val="0094752E"/>
    <w:rsid w:val="00947531"/>
    <w:rsid w:val="0094753A"/>
    <w:rsid w:val="00947541"/>
    <w:rsid w:val="0094755E"/>
    <w:rsid w:val="00947563"/>
    <w:rsid w:val="009475E7"/>
    <w:rsid w:val="00947676"/>
    <w:rsid w:val="009476B1"/>
    <w:rsid w:val="009476C5"/>
    <w:rsid w:val="0094772F"/>
    <w:rsid w:val="0094774D"/>
    <w:rsid w:val="009477D6"/>
    <w:rsid w:val="009477E2"/>
    <w:rsid w:val="009477F9"/>
    <w:rsid w:val="00947880"/>
    <w:rsid w:val="00947894"/>
    <w:rsid w:val="009478AF"/>
    <w:rsid w:val="009478F7"/>
    <w:rsid w:val="009478FD"/>
    <w:rsid w:val="0094791D"/>
    <w:rsid w:val="0094794C"/>
    <w:rsid w:val="00947970"/>
    <w:rsid w:val="0094798D"/>
    <w:rsid w:val="0094799F"/>
    <w:rsid w:val="009479C0"/>
    <w:rsid w:val="00947A77"/>
    <w:rsid w:val="00947A78"/>
    <w:rsid w:val="00947A83"/>
    <w:rsid w:val="00947A89"/>
    <w:rsid w:val="00947ACE"/>
    <w:rsid w:val="00947AD4"/>
    <w:rsid w:val="00947B16"/>
    <w:rsid w:val="00947B1F"/>
    <w:rsid w:val="00947B35"/>
    <w:rsid w:val="00947B48"/>
    <w:rsid w:val="00947BBC"/>
    <w:rsid w:val="00947BE2"/>
    <w:rsid w:val="00947BFF"/>
    <w:rsid w:val="00947C73"/>
    <w:rsid w:val="00947D05"/>
    <w:rsid w:val="00947D17"/>
    <w:rsid w:val="00947D2A"/>
    <w:rsid w:val="00947D35"/>
    <w:rsid w:val="00947DF9"/>
    <w:rsid w:val="00947E66"/>
    <w:rsid w:val="00947E7F"/>
    <w:rsid w:val="00947E9A"/>
    <w:rsid w:val="00947F41"/>
    <w:rsid w:val="00947F8B"/>
    <w:rsid w:val="00947FBB"/>
    <w:rsid w:val="00947FD0"/>
    <w:rsid w:val="00950014"/>
    <w:rsid w:val="009500CD"/>
    <w:rsid w:val="00950112"/>
    <w:rsid w:val="00950141"/>
    <w:rsid w:val="00950177"/>
    <w:rsid w:val="0095019D"/>
    <w:rsid w:val="009501B1"/>
    <w:rsid w:val="009501B2"/>
    <w:rsid w:val="00950211"/>
    <w:rsid w:val="0095022A"/>
    <w:rsid w:val="0095022B"/>
    <w:rsid w:val="00950238"/>
    <w:rsid w:val="009502B8"/>
    <w:rsid w:val="009502E3"/>
    <w:rsid w:val="009502F5"/>
    <w:rsid w:val="00950300"/>
    <w:rsid w:val="00950305"/>
    <w:rsid w:val="00950350"/>
    <w:rsid w:val="009503A0"/>
    <w:rsid w:val="009503D3"/>
    <w:rsid w:val="009503F8"/>
    <w:rsid w:val="00950412"/>
    <w:rsid w:val="00950413"/>
    <w:rsid w:val="0095043A"/>
    <w:rsid w:val="00950448"/>
    <w:rsid w:val="009504C5"/>
    <w:rsid w:val="009504FF"/>
    <w:rsid w:val="00950538"/>
    <w:rsid w:val="0095055F"/>
    <w:rsid w:val="0095057D"/>
    <w:rsid w:val="00950584"/>
    <w:rsid w:val="0095061A"/>
    <w:rsid w:val="0095062A"/>
    <w:rsid w:val="0095062B"/>
    <w:rsid w:val="00950642"/>
    <w:rsid w:val="00950671"/>
    <w:rsid w:val="00950685"/>
    <w:rsid w:val="00950688"/>
    <w:rsid w:val="009506C6"/>
    <w:rsid w:val="00950763"/>
    <w:rsid w:val="00950796"/>
    <w:rsid w:val="009507B1"/>
    <w:rsid w:val="009507EF"/>
    <w:rsid w:val="00950810"/>
    <w:rsid w:val="00950833"/>
    <w:rsid w:val="00950855"/>
    <w:rsid w:val="009508BD"/>
    <w:rsid w:val="009508C4"/>
    <w:rsid w:val="0095092D"/>
    <w:rsid w:val="00950957"/>
    <w:rsid w:val="009509B4"/>
    <w:rsid w:val="009509F5"/>
    <w:rsid w:val="00950A33"/>
    <w:rsid w:val="00950A5D"/>
    <w:rsid w:val="00950AB2"/>
    <w:rsid w:val="00950AB7"/>
    <w:rsid w:val="00950AD4"/>
    <w:rsid w:val="00950AEB"/>
    <w:rsid w:val="00950AFA"/>
    <w:rsid w:val="00950B25"/>
    <w:rsid w:val="00950B79"/>
    <w:rsid w:val="00950C94"/>
    <w:rsid w:val="00950C95"/>
    <w:rsid w:val="00950C98"/>
    <w:rsid w:val="00950CA1"/>
    <w:rsid w:val="00950D84"/>
    <w:rsid w:val="00950D92"/>
    <w:rsid w:val="00950DB9"/>
    <w:rsid w:val="00950DED"/>
    <w:rsid w:val="00950E80"/>
    <w:rsid w:val="00950E93"/>
    <w:rsid w:val="00950ED0"/>
    <w:rsid w:val="00950EE5"/>
    <w:rsid w:val="00950F02"/>
    <w:rsid w:val="00950F35"/>
    <w:rsid w:val="00950F37"/>
    <w:rsid w:val="00950F71"/>
    <w:rsid w:val="00950FAA"/>
    <w:rsid w:val="00950FB7"/>
    <w:rsid w:val="00950FE8"/>
    <w:rsid w:val="00950FFF"/>
    <w:rsid w:val="0095106A"/>
    <w:rsid w:val="00951095"/>
    <w:rsid w:val="009510D5"/>
    <w:rsid w:val="009510E9"/>
    <w:rsid w:val="0095110D"/>
    <w:rsid w:val="00951128"/>
    <w:rsid w:val="00951136"/>
    <w:rsid w:val="009511D4"/>
    <w:rsid w:val="0095124B"/>
    <w:rsid w:val="009512DB"/>
    <w:rsid w:val="00951347"/>
    <w:rsid w:val="00951349"/>
    <w:rsid w:val="009513D9"/>
    <w:rsid w:val="00951426"/>
    <w:rsid w:val="0095143C"/>
    <w:rsid w:val="009514AE"/>
    <w:rsid w:val="009514E8"/>
    <w:rsid w:val="009514F5"/>
    <w:rsid w:val="00951501"/>
    <w:rsid w:val="00951541"/>
    <w:rsid w:val="009515A1"/>
    <w:rsid w:val="009515B8"/>
    <w:rsid w:val="009515CC"/>
    <w:rsid w:val="00951600"/>
    <w:rsid w:val="00951643"/>
    <w:rsid w:val="00951650"/>
    <w:rsid w:val="0095169D"/>
    <w:rsid w:val="009516C4"/>
    <w:rsid w:val="009516DE"/>
    <w:rsid w:val="009516EA"/>
    <w:rsid w:val="0095171A"/>
    <w:rsid w:val="00951748"/>
    <w:rsid w:val="00951754"/>
    <w:rsid w:val="009517B7"/>
    <w:rsid w:val="009517BF"/>
    <w:rsid w:val="009517C6"/>
    <w:rsid w:val="009517E3"/>
    <w:rsid w:val="00951844"/>
    <w:rsid w:val="0095186A"/>
    <w:rsid w:val="00951880"/>
    <w:rsid w:val="0095189B"/>
    <w:rsid w:val="009518BA"/>
    <w:rsid w:val="0095193D"/>
    <w:rsid w:val="00951961"/>
    <w:rsid w:val="00951986"/>
    <w:rsid w:val="0095198A"/>
    <w:rsid w:val="009519FC"/>
    <w:rsid w:val="009519FD"/>
    <w:rsid w:val="00951A32"/>
    <w:rsid w:val="00951A5C"/>
    <w:rsid w:val="00951A69"/>
    <w:rsid w:val="00951AC6"/>
    <w:rsid w:val="00951B10"/>
    <w:rsid w:val="00951B57"/>
    <w:rsid w:val="00951B5C"/>
    <w:rsid w:val="00951B6B"/>
    <w:rsid w:val="00951B8C"/>
    <w:rsid w:val="00951BA9"/>
    <w:rsid w:val="00951BDC"/>
    <w:rsid w:val="00951BEA"/>
    <w:rsid w:val="00951C01"/>
    <w:rsid w:val="00951C04"/>
    <w:rsid w:val="00951C16"/>
    <w:rsid w:val="00951C5F"/>
    <w:rsid w:val="00951CC1"/>
    <w:rsid w:val="00951CC8"/>
    <w:rsid w:val="00951CDB"/>
    <w:rsid w:val="00951D0C"/>
    <w:rsid w:val="00951D18"/>
    <w:rsid w:val="00951D34"/>
    <w:rsid w:val="00951D35"/>
    <w:rsid w:val="00951D4B"/>
    <w:rsid w:val="00951DF4"/>
    <w:rsid w:val="00951E02"/>
    <w:rsid w:val="00951E2F"/>
    <w:rsid w:val="00951E48"/>
    <w:rsid w:val="00951E5C"/>
    <w:rsid w:val="00951EA8"/>
    <w:rsid w:val="00951EC4"/>
    <w:rsid w:val="00951ECE"/>
    <w:rsid w:val="00951ED0"/>
    <w:rsid w:val="00951ED4"/>
    <w:rsid w:val="00951FEE"/>
    <w:rsid w:val="00952089"/>
    <w:rsid w:val="009520B0"/>
    <w:rsid w:val="009520CB"/>
    <w:rsid w:val="00952121"/>
    <w:rsid w:val="00952128"/>
    <w:rsid w:val="00952169"/>
    <w:rsid w:val="009521CA"/>
    <w:rsid w:val="009521DB"/>
    <w:rsid w:val="0095220C"/>
    <w:rsid w:val="00952220"/>
    <w:rsid w:val="00952226"/>
    <w:rsid w:val="00952248"/>
    <w:rsid w:val="0095224A"/>
    <w:rsid w:val="0095224F"/>
    <w:rsid w:val="0095228B"/>
    <w:rsid w:val="00952296"/>
    <w:rsid w:val="00952304"/>
    <w:rsid w:val="009523DF"/>
    <w:rsid w:val="0095247B"/>
    <w:rsid w:val="009524BB"/>
    <w:rsid w:val="009524D9"/>
    <w:rsid w:val="009524DD"/>
    <w:rsid w:val="009524E3"/>
    <w:rsid w:val="009524FF"/>
    <w:rsid w:val="00952507"/>
    <w:rsid w:val="0095250C"/>
    <w:rsid w:val="00952516"/>
    <w:rsid w:val="0095256A"/>
    <w:rsid w:val="009525AF"/>
    <w:rsid w:val="009525CF"/>
    <w:rsid w:val="009525F8"/>
    <w:rsid w:val="00952608"/>
    <w:rsid w:val="00952611"/>
    <w:rsid w:val="00952635"/>
    <w:rsid w:val="00952644"/>
    <w:rsid w:val="009526B0"/>
    <w:rsid w:val="009526D2"/>
    <w:rsid w:val="00952703"/>
    <w:rsid w:val="00952720"/>
    <w:rsid w:val="00952733"/>
    <w:rsid w:val="00952774"/>
    <w:rsid w:val="00952795"/>
    <w:rsid w:val="00952811"/>
    <w:rsid w:val="0095283D"/>
    <w:rsid w:val="0095284F"/>
    <w:rsid w:val="00952861"/>
    <w:rsid w:val="009528BD"/>
    <w:rsid w:val="009528CF"/>
    <w:rsid w:val="009528D2"/>
    <w:rsid w:val="009528F7"/>
    <w:rsid w:val="00952921"/>
    <w:rsid w:val="00952932"/>
    <w:rsid w:val="00952942"/>
    <w:rsid w:val="00952953"/>
    <w:rsid w:val="00952968"/>
    <w:rsid w:val="00952980"/>
    <w:rsid w:val="009529AF"/>
    <w:rsid w:val="009529E1"/>
    <w:rsid w:val="009529ED"/>
    <w:rsid w:val="00952A12"/>
    <w:rsid w:val="00952A2F"/>
    <w:rsid w:val="00952A39"/>
    <w:rsid w:val="00952A3C"/>
    <w:rsid w:val="00952A9D"/>
    <w:rsid w:val="00952AB0"/>
    <w:rsid w:val="00952AEF"/>
    <w:rsid w:val="00952B11"/>
    <w:rsid w:val="00952B25"/>
    <w:rsid w:val="00952B2C"/>
    <w:rsid w:val="00952B4B"/>
    <w:rsid w:val="00952BC0"/>
    <w:rsid w:val="00952BF9"/>
    <w:rsid w:val="00952C12"/>
    <w:rsid w:val="00952C16"/>
    <w:rsid w:val="00952C36"/>
    <w:rsid w:val="00952C8F"/>
    <w:rsid w:val="00952CC4"/>
    <w:rsid w:val="00952D01"/>
    <w:rsid w:val="00952D21"/>
    <w:rsid w:val="00952D90"/>
    <w:rsid w:val="00952DA7"/>
    <w:rsid w:val="00952DAC"/>
    <w:rsid w:val="00952DD8"/>
    <w:rsid w:val="00952DDD"/>
    <w:rsid w:val="00952DF7"/>
    <w:rsid w:val="00952EC4"/>
    <w:rsid w:val="00952EFE"/>
    <w:rsid w:val="00952F7A"/>
    <w:rsid w:val="00952F99"/>
    <w:rsid w:val="00952FAE"/>
    <w:rsid w:val="00952FCE"/>
    <w:rsid w:val="00952FFF"/>
    <w:rsid w:val="0095301D"/>
    <w:rsid w:val="00953049"/>
    <w:rsid w:val="00953075"/>
    <w:rsid w:val="009530CE"/>
    <w:rsid w:val="00953110"/>
    <w:rsid w:val="0095314B"/>
    <w:rsid w:val="00953169"/>
    <w:rsid w:val="009531A5"/>
    <w:rsid w:val="00953208"/>
    <w:rsid w:val="00953218"/>
    <w:rsid w:val="00953259"/>
    <w:rsid w:val="009532A9"/>
    <w:rsid w:val="009532F2"/>
    <w:rsid w:val="00953353"/>
    <w:rsid w:val="0095337C"/>
    <w:rsid w:val="009533A2"/>
    <w:rsid w:val="009533DF"/>
    <w:rsid w:val="0095342E"/>
    <w:rsid w:val="00953447"/>
    <w:rsid w:val="009534F2"/>
    <w:rsid w:val="00953504"/>
    <w:rsid w:val="0095354F"/>
    <w:rsid w:val="00953576"/>
    <w:rsid w:val="00953581"/>
    <w:rsid w:val="00953591"/>
    <w:rsid w:val="00953593"/>
    <w:rsid w:val="009535CD"/>
    <w:rsid w:val="009536AD"/>
    <w:rsid w:val="009536D8"/>
    <w:rsid w:val="00953729"/>
    <w:rsid w:val="0095376C"/>
    <w:rsid w:val="009537B9"/>
    <w:rsid w:val="009537D6"/>
    <w:rsid w:val="009537EC"/>
    <w:rsid w:val="00953892"/>
    <w:rsid w:val="009538A8"/>
    <w:rsid w:val="009538F4"/>
    <w:rsid w:val="0095390B"/>
    <w:rsid w:val="00953957"/>
    <w:rsid w:val="0095396B"/>
    <w:rsid w:val="00953982"/>
    <w:rsid w:val="00953994"/>
    <w:rsid w:val="009539D5"/>
    <w:rsid w:val="00953A6E"/>
    <w:rsid w:val="00953AD7"/>
    <w:rsid w:val="00953AE6"/>
    <w:rsid w:val="00953B2A"/>
    <w:rsid w:val="00953B7C"/>
    <w:rsid w:val="00953B87"/>
    <w:rsid w:val="00953BC4"/>
    <w:rsid w:val="00953BCE"/>
    <w:rsid w:val="00953C3A"/>
    <w:rsid w:val="00953C82"/>
    <w:rsid w:val="00953C8D"/>
    <w:rsid w:val="00953C9B"/>
    <w:rsid w:val="00953D2B"/>
    <w:rsid w:val="00953D3F"/>
    <w:rsid w:val="00953D57"/>
    <w:rsid w:val="00953D6E"/>
    <w:rsid w:val="00953D8E"/>
    <w:rsid w:val="00953DC4"/>
    <w:rsid w:val="00953E84"/>
    <w:rsid w:val="00953EE1"/>
    <w:rsid w:val="00953EE3"/>
    <w:rsid w:val="00953EF7"/>
    <w:rsid w:val="00953EF9"/>
    <w:rsid w:val="00953EFE"/>
    <w:rsid w:val="00953FD9"/>
    <w:rsid w:val="00954021"/>
    <w:rsid w:val="009540FD"/>
    <w:rsid w:val="0095410F"/>
    <w:rsid w:val="00954142"/>
    <w:rsid w:val="009541D5"/>
    <w:rsid w:val="0095420B"/>
    <w:rsid w:val="0095421C"/>
    <w:rsid w:val="00954241"/>
    <w:rsid w:val="009542D9"/>
    <w:rsid w:val="009542F4"/>
    <w:rsid w:val="009542FE"/>
    <w:rsid w:val="00954313"/>
    <w:rsid w:val="0095432A"/>
    <w:rsid w:val="0095437A"/>
    <w:rsid w:val="0095438B"/>
    <w:rsid w:val="0095439E"/>
    <w:rsid w:val="009543B2"/>
    <w:rsid w:val="009543BF"/>
    <w:rsid w:val="009543CB"/>
    <w:rsid w:val="00954402"/>
    <w:rsid w:val="0095442D"/>
    <w:rsid w:val="00954440"/>
    <w:rsid w:val="00954446"/>
    <w:rsid w:val="009544E8"/>
    <w:rsid w:val="0095455E"/>
    <w:rsid w:val="00954598"/>
    <w:rsid w:val="009545C8"/>
    <w:rsid w:val="009545D2"/>
    <w:rsid w:val="009545D9"/>
    <w:rsid w:val="009545F5"/>
    <w:rsid w:val="00954677"/>
    <w:rsid w:val="009546D1"/>
    <w:rsid w:val="00954732"/>
    <w:rsid w:val="00954784"/>
    <w:rsid w:val="009547A6"/>
    <w:rsid w:val="009547EA"/>
    <w:rsid w:val="009547FC"/>
    <w:rsid w:val="00954812"/>
    <w:rsid w:val="00954815"/>
    <w:rsid w:val="009548A0"/>
    <w:rsid w:val="009548C2"/>
    <w:rsid w:val="0095491A"/>
    <w:rsid w:val="00954985"/>
    <w:rsid w:val="009549B3"/>
    <w:rsid w:val="00954AA2"/>
    <w:rsid w:val="00954AE2"/>
    <w:rsid w:val="00954AFC"/>
    <w:rsid w:val="00954B05"/>
    <w:rsid w:val="00954B79"/>
    <w:rsid w:val="00954B8A"/>
    <w:rsid w:val="00954BF8"/>
    <w:rsid w:val="00954C36"/>
    <w:rsid w:val="00954C7A"/>
    <w:rsid w:val="00954C84"/>
    <w:rsid w:val="00954D93"/>
    <w:rsid w:val="00954DAF"/>
    <w:rsid w:val="00954DBF"/>
    <w:rsid w:val="00954DE1"/>
    <w:rsid w:val="00954E03"/>
    <w:rsid w:val="00954E21"/>
    <w:rsid w:val="00954E45"/>
    <w:rsid w:val="00954E4A"/>
    <w:rsid w:val="00954E65"/>
    <w:rsid w:val="00954E83"/>
    <w:rsid w:val="00954EBD"/>
    <w:rsid w:val="00954EFE"/>
    <w:rsid w:val="00954F35"/>
    <w:rsid w:val="00954F63"/>
    <w:rsid w:val="00954F70"/>
    <w:rsid w:val="00954F9B"/>
    <w:rsid w:val="0095500F"/>
    <w:rsid w:val="00955040"/>
    <w:rsid w:val="00955066"/>
    <w:rsid w:val="009550C9"/>
    <w:rsid w:val="009550E1"/>
    <w:rsid w:val="00955104"/>
    <w:rsid w:val="0095511B"/>
    <w:rsid w:val="00955131"/>
    <w:rsid w:val="00955151"/>
    <w:rsid w:val="0095519A"/>
    <w:rsid w:val="009551B8"/>
    <w:rsid w:val="009551DB"/>
    <w:rsid w:val="00955231"/>
    <w:rsid w:val="009552B2"/>
    <w:rsid w:val="009552D1"/>
    <w:rsid w:val="0095535A"/>
    <w:rsid w:val="0095537A"/>
    <w:rsid w:val="00955383"/>
    <w:rsid w:val="0095538C"/>
    <w:rsid w:val="00955394"/>
    <w:rsid w:val="009553DA"/>
    <w:rsid w:val="009553DF"/>
    <w:rsid w:val="009554AB"/>
    <w:rsid w:val="009554E6"/>
    <w:rsid w:val="009554FC"/>
    <w:rsid w:val="0095556B"/>
    <w:rsid w:val="0095559A"/>
    <w:rsid w:val="009555AB"/>
    <w:rsid w:val="009555C4"/>
    <w:rsid w:val="009555CF"/>
    <w:rsid w:val="00955628"/>
    <w:rsid w:val="00955655"/>
    <w:rsid w:val="0095573F"/>
    <w:rsid w:val="009557C7"/>
    <w:rsid w:val="009557D7"/>
    <w:rsid w:val="009557FE"/>
    <w:rsid w:val="00955903"/>
    <w:rsid w:val="00955967"/>
    <w:rsid w:val="00955974"/>
    <w:rsid w:val="009559F7"/>
    <w:rsid w:val="00955A2A"/>
    <w:rsid w:val="00955A5D"/>
    <w:rsid w:val="00955A85"/>
    <w:rsid w:val="00955B09"/>
    <w:rsid w:val="00955B67"/>
    <w:rsid w:val="00955BC4"/>
    <w:rsid w:val="00955C45"/>
    <w:rsid w:val="00955C91"/>
    <w:rsid w:val="00955C96"/>
    <w:rsid w:val="00955CA5"/>
    <w:rsid w:val="00955CB8"/>
    <w:rsid w:val="00955CC1"/>
    <w:rsid w:val="00955CCB"/>
    <w:rsid w:val="00955CD4"/>
    <w:rsid w:val="00955CE2"/>
    <w:rsid w:val="00955CF3"/>
    <w:rsid w:val="00955D09"/>
    <w:rsid w:val="00955D4C"/>
    <w:rsid w:val="00955DA2"/>
    <w:rsid w:val="00955DB3"/>
    <w:rsid w:val="00955DD7"/>
    <w:rsid w:val="00955DF5"/>
    <w:rsid w:val="00955E0A"/>
    <w:rsid w:val="00955E29"/>
    <w:rsid w:val="00955E9B"/>
    <w:rsid w:val="00955EBA"/>
    <w:rsid w:val="00955EC8"/>
    <w:rsid w:val="00955F2A"/>
    <w:rsid w:val="00955F49"/>
    <w:rsid w:val="00955F8D"/>
    <w:rsid w:val="00955FB1"/>
    <w:rsid w:val="00955FB7"/>
    <w:rsid w:val="00955FC6"/>
    <w:rsid w:val="00955FF7"/>
    <w:rsid w:val="0095608B"/>
    <w:rsid w:val="009560DC"/>
    <w:rsid w:val="00956117"/>
    <w:rsid w:val="00956132"/>
    <w:rsid w:val="00956142"/>
    <w:rsid w:val="009561BE"/>
    <w:rsid w:val="009561E8"/>
    <w:rsid w:val="0095625F"/>
    <w:rsid w:val="009562CF"/>
    <w:rsid w:val="009562D1"/>
    <w:rsid w:val="009562E5"/>
    <w:rsid w:val="00956328"/>
    <w:rsid w:val="0095639E"/>
    <w:rsid w:val="009563AC"/>
    <w:rsid w:val="009563C3"/>
    <w:rsid w:val="00956428"/>
    <w:rsid w:val="00956435"/>
    <w:rsid w:val="0095644E"/>
    <w:rsid w:val="009564E6"/>
    <w:rsid w:val="0095652C"/>
    <w:rsid w:val="0095655D"/>
    <w:rsid w:val="00956564"/>
    <w:rsid w:val="009565A9"/>
    <w:rsid w:val="00956615"/>
    <w:rsid w:val="00956622"/>
    <w:rsid w:val="0095666F"/>
    <w:rsid w:val="00956675"/>
    <w:rsid w:val="00956682"/>
    <w:rsid w:val="00956715"/>
    <w:rsid w:val="00956729"/>
    <w:rsid w:val="00956773"/>
    <w:rsid w:val="009567DB"/>
    <w:rsid w:val="00956859"/>
    <w:rsid w:val="009568C0"/>
    <w:rsid w:val="00956919"/>
    <w:rsid w:val="0095693D"/>
    <w:rsid w:val="00956958"/>
    <w:rsid w:val="00956962"/>
    <w:rsid w:val="00956982"/>
    <w:rsid w:val="00956983"/>
    <w:rsid w:val="00956987"/>
    <w:rsid w:val="00956990"/>
    <w:rsid w:val="009569CF"/>
    <w:rsid w:val="009569D9"/>
    <w:rsid w:val="009569E6"/>
    <w:rsid w:val="00956A33"/>
    <w:rsid w:val="00956A39"/>
    <w:rsid w:val="00956A87"/>
    <w:rsid w:val="00956A8A"/>
    <w:rsid w:val="00956A94"/>
    <w:rsid w:val="00956A95"/>
    <w:rsid w:val="00956ADB"/>
    <w:rsid w:val="00956AE1"/>
    <w:rsid w:val="00956B70"/>
    <w:rsid w:val="00956BB7"/>
    <w:rsid w:val="00956BDA"/>
    <w:rsid w:val="00956C07"/>
    <w:rsid w:val="00956C47"/>
    <w:rsid w:val="00956CB6"/>
    <w:rsid w:val="00956D25"/>
    <w:rsid w:val="00956D2B"/>
    <w:rsid w:val="00956D62"/>
    <w:rsid w:val="00956D87"/>
    <w:rsid w:val="00956DEE"/>
    <w:rsid w:val="00956E2F"/>
    <w:rsid w:val="00956EC6"/>
    <w:rsid w:val="00956EDA"/>
    <w:rsid w:val="00956F3E"/>
    <w:rsid w:val="00956F66"/>
    <w:rsid w:val="00956FC7"/>
    <w:rsid w:val="00957014"/>
    <w:rsid w:val="00957085"/>
    <w:rsid w:val="00957200"/>
    <w:rsid w:val="00957255"/>
    <w:rsid w:val="0095725C"/>
    <w:rsid w:val="0095727A"/>
    <w:rsid w:val="009572B5"/>
    <w:rsid w:val="009572BC"/>
    <w:rsid w:val="009572C6"/>
    <w:rsid w:val="0095730A"/>
    <w:rsid w:val="0095732D"/>
    <w:rsid w:val="00957350"/>
    <w:rsid w:val="00957373"/>
    <w:rsid w:val="00957419"/>
    <w:rsid w:val="00957438"/>
    <w:rsid w:val="009574E1"/>
    <w:rsid w:val="009574FD"/>
    <w:rsid w:val="00957573"/>
    <w:rsid w:val="009575F3"/>
    <w:rsid w:val="0095761B"/>
    <w:rsid w:val="00957627"/>
    <w:rsid w:val="00957648"/>
    <w:rsid w:val="009576BF"/>
    <w:rsid w:val="009576DF"/>
    <w:rsid w:val="009576EA"/>
    <w:rsid w:val="00957723"/>
    <w:rsid w:val="00957734"/>
    <w:rsid w:val="0095773C"/>
    <w:rsid w:val="0095774A"/>
    <w:rsid w:val="0095782E"/>
    <w:rsid w:val="00957846"/>
    <w:rsid w:val="0095784B"/>
    <w:rsid w:val="0095784D"/>
    <w:rsid w:val="0095785E"/>
    <w:rsid w:val="00957887"/>
    <w:rsid w:val="00957898"/>
    <w:rsid w:val="009578EA"/>
    <w:rsid w:val="0095791A"/>
    <w:rsid w:val="0095796E"/>
    <w:rsid w:val="00957976"/>
    <w:rsid w:val="00957A00"/>
    <w:rsid w:val="00957A0C"/>
    <w:rsid w:val="00957A6E"/>
    <w:rsid w:val="00957A8C"/>
    <w:rsid w:val="00957A9A"/>
    <w:rsid w:val="00957B89"/>
    <w:rsid w:val="00957B91"/>
    <w:rsid w:val="00957BE9"/>
    <w:rsid w:val="00957C2E"/>
    <w:rsid w:val="00957C5D"/>
    <w:rsid w:val="00957C60"/>
    <w:rsid w:val="00957CB0"/>
    <w:rsid w:val="00957D3A"/>
    <w:rsid w:val="00957D5B"/>
    <w:rsid w:val="00957DE6"/>
    <w:rsid w:val="00957E3B"/>
    <w:rsid w:val="00957E94"/>
    <w:rsid w:val="00957F24"/>
    <w:rsid w:val="00957F29"/>
    <w:rsid w:val="00957F42"/>
    <w:rsid w:val="00957F4B"/>
    <w:rsid w:val="00957F56"/>
    <w:rsid w:val="0096001D"/>
    <w:rsid w:val="00960021"/>
    <w:rsid w:val="00960123"/>
    <w:rsid w:val="00960125"/>
    <w:rsid w:val="00960148"/>
    <w:rsid w:val="0096015D"/>
    <w:rsid w:val="0096018F"/>
    <w:rsid w:val="009601AA"/>
    <w:rsid w:val="0096022C"/>
    <w:rsid w:val="00960239"/>
    <w:rsid w:val="0096029F"/>
    <w:rsid w:val="009602C8"/>
    <w:rsid w:val="009602E4"/>
    <w:rsid w:val="00960421"/>
    <w:rsid w:val="0096042D"/>
    <w:rsid w:val="00960459"/>
    <w:rsid w:val="0096046B"/>
    <w:rsid w:val="00960481"/>
    <w:rsid w:val="009604BD"/>
    <w:rsid w:val="009604D0"/>
    <w:rsid w:val="00960544"/>
    <w:rsid w:val="00960545"/>
    <w:rsid w:val="00960579"/>
    <w:rsid w:val="00960584"/>
    <w:rsid w:val="009605A8"/>
    <w:rsid w:val="009605B8"/>
    <w:rsid w:val="009605FD"/>
    <w:rsid w:val="0096066C"/>
    <w:rsid w:val="009606AA"/>
    <w:rsid w:val="00960700"/>
    <w:rsid w:val="009607A7"/>
    <w:rsid w:val="009607E2"/>
    <w:rsid w:val="009607E8"/>
    <w:rsid w:val="0096083B"/>
    <w:rsid w:val="0096086F"/>
    <w:rsid w:val="009608A4"/>
    <w:rsid w:val="009608CA"/>
    <w:rsid w:val="00960912"/>
    <w:rsid w:val="00960946"/>
    <w:rsid w:val="0096094C"/>
    <w:rsid w:val="00960994"/>
    <w:rsid w:val="009609E4"/>
    <w:rsid w:val="009609EE"/>
    <w:rsid w:val="009609F4"/>
    <w:rsid w:val="00960AE7"/>
    <w:rsid w:val="00960AF0"/>
    <w:rsid w:val="00960AFD"/>
    <w:rsid w:val="00960B2C"/>
    <w:rsid w:val="00960B47"/>
    <w:rsid w:val="00960B56"/>
    <w:rsid w:val="00960B6D"/>
    <w:rsid w:val="00960B92"/>
    <w:rsid w:val="00960BAC"/>
    <w:rsid w:val="00960C12"/>
    <w:rsid w:val="00960C18"/>
    <w:rsid w:val="00960C22"/>
    <w:rsid w:val="00960C51"/>
    <w:rsid w:val="00960C83"/>
    <w:rsid w:val="00960C9B"/>
    <w:rsid w:val="00960D6F"/>
    <w:rsid w:val="00960DB0"/>
    <w:rsid w:val="00960DD8"/>
    <w:rsid w:val="00960DFD"/>
    <w:rsid w:val="00960E21"/>
    <w:rsid w:val="00960E37"/>
    <w:rsid w:val="00960E48"/>
    <w:rsid w:val="00960E69"/>
    <w:rsid w:val="00960EA4"/>
    <w:rsid w:val="00960EB3"/>
    <w:rsid w:val="00960F14"/>
    <w:rsid w:val="00960F4E"/>
    <w:rsid w:val="00960F7F"/>
    <w:rsid w:val="00960FF0"/>
    <w:rsid w:val="00960FF3"/>
    <w:rsid w:val="0096102A"/>
    <w:rsid w:val="009610D6"/>
    <w:rsid w:val="009610EB"/>
    <w:rsid w:val="00961127"/>
    <w:rsid w:val="00961181"/>
    <w:rsid w:val="00961195"/>
    <w:rsid w:val="009611B4"/>
    <w:rsid w:val="00961226"/>
    <w:rsid w:val="00961229"/>
    <w:rsid w:val="0096125E"/>
    <w:rsid w:val="00961268"/>
    <w:rsid w:val="0096127B"/>
    <w:rsid w:val="00961297"/>
    <w:rsid w:val="009612A3"/>
    <w:rsid w:val="009612BA"/>
    <w:rsid w:val="00961348"/>
    <w:rsid w:val="0096136E"/>
    <w:rsid w:val="009613A7"/>
    <w:rsid w:val="0096140F"/>
    <w:rsid w:val="0096141E"/>
    <w:rsid w:val="0096142F"/>
    <w:rsid w:val="00961434"/>
    <w:rsid w:val="0096144F"/>
    <w:rsid w:val="0096145C"/>
    <w:rsid w:val="009614B0"/>
    <w:rsid w:val="00961549"/>
    <w:rsid w:val="00961561"/>
    <w:rsid w:val="00961567"/>
    <w:rsid w:val="0096158A"/>
    <w:rsid w:val="00961592"/>
    <w:rsid w:val="009615AB"/>
    <w:rsid w:val="009615C7"/>
    <w:rsid w:val="00961608"/>
    <w:rsid w:val="0096160D"/>
    <w:rsid w:val="0096162F"/>
    <w:rsid w:val="0096163A"/>
    <w:rsid w:val="00961666"/>
    <w:rsid w:val="009616AB"/>
    <w:rsid w:val="009616D7"/>
    <w:rsid w:val="009616E9"/>
    <w:rsid w:val="0096170D"/>
    <w:rsid w:val="0096174D"/>
    <w:rsid w:val="00961778"/>
    <w:rsid w:val="0096182D"/>
    <w:rsid w:val="009618C6"/>
    <w:rsid w:val="009618DD"/>
    <w:rsid w:val="009618F8"/>
    <w:rsid w:val="0096191D"/>
    <w:rsid w:val="00961977"/>
    <w:rsid w:val="0096197E"/>
    <w:rsid w:val="0096198A"/>
    <w:rsid w:val="009619A4"/>
    <w:rsid w:val="009619EE"/>
    <w:rsid w:val="009619F2"/>
    <w:rsid w:val="009619F8"/>
    <w:rsid w:val="009619FF"/>
    <w:rsid w:val="00961A2A"/>
    <w:rsid w:val="00961A2D"/>
    <w:rsid w:val="00961A55"/>
    <w:rsid w:val="00961A91"/>
    <w:rsid w:val="00961ADA"/>
    <w:rsid w:val="00961B19"/>
    <w:rsid w:val="00961B2C"/>
    <w:rsid w:val="00961BA7"/>
    <w:rsid w:val="00961BE5"/>
    <w:rsid w:val="00961C5B"/>
    <w:rsid w:val="00961C6C"/>
    <w:rsid w:val="00961CED"/>
    <w:rsid w:val="00961D3C"/>
    <w:rsid w:val="00961D75"/>
    <w:rsid w:val="00961D80"/>
    <w:rsid w:val="00961D97"/>
    <w:rsid w:val="00961DE0"/>
    <w:rsid w:val="00961DE7"/>
    <w:rsid w:val="00961E02"/>
    <w:rsid w:val="00961E09"/>
    <w:rsid w:val="00961E17"/>
    <w:rsid w:val="00961E5A"/>
    <w:rsid w:val="00961E6E"/>
    <w:rsid w:val="00961E9C"/>
    <w:rsid w:val="00961ECF"/>
    <w:rsid w:val="00961EF3"/>
    <w:rsid w:val="00961F41"/>
    <w:rsid w:val="00961F65"/>
    <w:rsid w:val="00961FC8"/>
    <w:rsid w:val="00961FD0"/>
    <w:rsid w:val="00961FDD"/>
    <w:rsid w:val="00962016"/>
    <w:rsid w:val="00962020"/>
    <w:rsid w:val="0096207A"/>
    <w:rsid w:val="009620D2"/>
    <w:rsid w:val="0096215B"/>
    <w:rsid w:val="00962190"/>
    <w:rsid w:val="00962193"/>
    <w:rsid w:val="009621E6"/>
    <w:rsid w:val="00962227"/>
    <w:rsid w:val="0096222F"/>
    <w:rsid w:val="0096225A"/>
    <w:rsid w:val="00962313"/>
    <w:rsid w:val="00962350"/>
    <w:rsid w:val="00962361"/>
    <w:rsid w:val="00962427"/>
    <w:rsid w:val="0096245C"/>
    <w:rsid w:val="0096246B"/>
    <w:rsid w:val="0096248A"/>
    <w:rsid w:val="00962516"/>
    <w:rsid w:val="0096251D"/>
    <w:rsid w:val="00962556"/>
    <w:rsid w:val="009625D6"/>
    <w:rsid w:val="009625F0"/>
    <w:rsid w:val="00962605"/>
    <w:rsid w:val="00962657"/>
    <w:rsid w:val="00962701"/>
    <w:rsid w:val="00962718"/>
    <w:rsid w:val="00962733"/>
    <w:rsid w:val="00962748"/>
    <w:rsid w:val="0096283C"/>
    <w:rsid w:val="0096285F"/>
    <w:rsid w:val="0096286A"/>
    <w:rsid w:val="0096286E"/>
    <w:rsid w:val="00962870"/>
    <w:rsid w:val="00962871"/>
    <w:rsid w:val="0096287A"/>
    <w:rsid w:val="00962885"/>
    <w:rsid w:val="00962894"/>
    <w:rsid w:val="009628C3"/>
    <w:rsid w:val="009628EF"/>
    <w:rsid w:val="00962909"/>
    <w:rsid w:val="00962950"/>
    <w:rsid w:val="00962978"/>
    <w:rsid w:val="009629BF"/>
    <w:rsid w:val="00962A04"/>
    <w:rsid w:val="00962A7B"/>
    <w:rsid w:val="00962A99"/>
    <w:rsid w:val="00962A9C"/>
    <w:rsid w:val="00962AC5"/>
    <w:rsid w:val="00962ADF"/>
    <w:rsid w:val="00962AE4"/>
    <w:rsid w:val="00962B0F"/>
    <w:rsid w:val="00962B22"/>
    <w:rsid w:val="00962B5D"/>
    <w:rsid w:val="00962B6F"/>
    <w:rsid w:val="00962B8E"/>
    <w:rsid w:val="00962BFC"/>
    <w:rsid w:val="00962C0D"/>
    <w:rsid w:val="00962C88"/>
    <w:rsid w:val="00962CAA"/>
    <w:rsid w:val="00962CF2"/>
    <w:rsid w:val="00962CFC"/>
    <w:rsid w:val="00962D00"/>
    <w:rsid w:val="00962D54"/>
    <w:rsid w:val="00962D77"/>
    <w:rsid w:val="00962DB5"/>
    <w:rsid w:val="00962E06"/>
    <w:rsid w:val="00962E11"/>
    <w:rsid w:val="00962E81"/>
    <w:rsid w:val="00962EA7"/>
    <w:rsid w:val="00962EC4"/>
    <w:rsid w:val="00962ED2"/>
    <w:rsid w:val="00962F1D"/>
    <w:rsid w:val="00962F24"/>
    <w:rsid w:val="00962F87"/>
    <w:rsid w:val="00962F8D"/>
    <w:rsid w:val="00962F9F"/>
    <w:rsid w:val="00962FAA"/>
    <w:rsid w:val="00963052"/>
    <w:rsid w:val="00963086"/>
    <w:rsid w:val="009630DF"/>
    <w:rsid w:val="009630E2"/>
    <w:rsid w:val="009630E7"/>
    <w:rsid w:val="0096310A"/>
    <w:rsid w:val="0096317B"/>
    <w:rsid w:val="0096318B"/>
    <w:rsid w:val="009631B1"/>
    <w:rsid w:val="00963231"/>
    <w:rsid w:val="009632D2"/>
    <w:rsid w:val="009632D6"/>
    <w:rsid w:val="0096332E"/>
    <w:rsid w:val="009633DD"/>
    <w:rsid w:val="009633FC"/>
    <w:rsid w:val="00963403"/>
    <w:rsid w:val="00963425"/>
    <w:rsid w:val="0096347D"/>
    <w:rsid w:val="009634C9"/>
    <w:rsid w:val="00963506"/>
    <w:rsid w:val="0096352F"/>
    <w:rsid w:val="00963532"/>
    <w:rsid w:val="0096360A"/>
    <w:rsid w:val="00963627"/>
    <w:rsid w:val="00963634"/>
    <w:rsid w:val="00963645"/>
    <w:rsid w:val="00963656"/>
    <w:rsid w:val="00963657"/>
    <w:rsid w:val="00963686"/>
    <w:rsid w:val="009636CD"/>
    <w:rsid w:val="0096375C"/>
    <w:rsid w:val="009637FF"/>
    <w:rsid w:val="00963845"/>
    <w:rsid w:val="009638AB"/>
    <w:rsid w:val="009638CE"/>
    <w:rsid w:val="009638F6"/>
    <w:rsid w:val="00963962"/>
    <w:rsid w:val="00963A06"/>
    <w:rsid w:val="00963A19"/>
    <w:rsid w:val="00963A5C"/>
    <w:rsid w:val="00963A86"/>
    <w:rsid w:val="00963AAB"/>
    <w:rsid w:val="00963ABF"/>
    <w:rsid w:val="00963AC6"/>
    <w:rsid w:val="00963AE5"/>
    <w:rsid w:val="00963B04"/>
    <w:rsid w:val="00963B23"/>
    <w:rsid w:val="00963B48"/>
    <w:rsid w:val="00963B8A"/>
    <w:rsid w:val="00963B95"/>
    <w:rsid w:val="00963BA9"/>
    <w:rsid w:val="00963BC7"/>
    <w:rsid w:val="00963BCA"/>
    <w:rsid w:val="00963C3B"/>
    <w:rsid w:val="00963C9C"/>
    <w:rsid w:val="00963CA2"/>
    <w:rsid w:val="00963CB7"/>
    <w:rsid w:val="00963CBD"/>
    <w:rsid w:val="00963CC5"/>
    <w:rsid w:val="00963CF4"/>
    <w:rsid w:val="00963D0F"/>
    <w:rsid w:val="00963D75"/>
    <w:rsid w:val="00963D7F"/>
    <w:rsid w:val="00963DA0"/>
    <w:rsid w:val="00963DAC"/>
    <w:rsid w:val="00963DE5"/>
    <w:rsid w:val="00963E30"/>
    <w:rsid w:val="00963F2F"/>
    <w:rsid w:val="00963F68"/>
    <w:rsid w:val="00963F71"/>
    <w:rsid w:val="00963FB0"/>
    <w:rsid w:val="00963FB3"/>
    <w:rsid w:val="0096403C"/>
    <w:rsid w:val="0096416B"/>
    <w:rsid w:val="009641BC"/>
    <w:rsid w:val="009641E6"/>
    <w:rsid w:val="009641ED"/>
    <w:rsid w:val="009641EF"/>
    <w:rsid w:val="00964210"/>
    <w:rsid w:val="0096422B"/>
    <w:rsid w:val="009642C7"/>
    <w:rsid w:val="009642F1"/>
    <w:rsid w:val="009642FD"/>
    <w:rsid w:val="00964366"/>
    <w:rsid w:val="009643E7"/>
    <w:rsid w:val="00964421"/>
    <w:rsid w:val="0096443E"/>
    <w:rsid w:val="00964505"/>
    <w:rsid w:val="00964547"/>
    <w:rsid w:val="0096459F"/>
    <w:rsid w:val="009645D5"/>
    <w:rsid w:val="009645D6"/>
    <w:rsid w:val="009645E0"/>
    <w:rsid w:val="009645ED"/>
    <w:rsid w:val="0096461B"/>
    <w:rsid w:val="00964682"/>
    <w:rsid w:val="00964690"/>
    <w:rsid w:val="00964692"/>
    <w:rsid w:val="0096471F"/>
    <w:rsid w:val="009647A0"/>
    <w:rsid w:val="009647F6"/>
    <w:rsid w:val="009648AD"/>
    <w:rsid w:val="009648AF"/>
    <w:rsid w:val="00964932"/>
    <w:rsid w:val="009649E9"/>
    <w:rsid w:val="00964A19"/>
    <w:rsid w:val="00964A43"/>
    <w:rsid w:val="00964A55"/>
    <w:rsid w:val="00964A95"/>
    <w:rsid w:val="00964AC1"/>
    <w:rsid w:val="00964AE5"/>
    <w:rsid w:val="00964B2E"/>
    <w:rsid w:val="00964B37"/>
    <w:rsid w:val="00964B3A"/>
    <w:rsid w:val="00964B4C"/>
    <w:rsid w:val="00964B8F"/>
    <w:rsid w:val="00964BD9"/>
    <w:rsid w:val="00964BDE"/>
    <w:rsid w:val="00964BE1"/>
    <w:rsid w:val="00964BF7"/>
    <w:rsid w:val="00964C06"/>
    <w:rsid w:val="00964C30"/>
    <w:rsid w:val="00964C5A"/>
    <w:rsid w:val="00964D1B"/>
    <w:rsid w:val="00964D4C"/>
    <w:rsid w:val="00964D8D"/>
    <w:rsid w:val="00964D9E"/>
    <w:rsid w:val="00964DC9"/>
    <w:rsid w:val="00964DDE"/>
    <w:rsid w:val="00964DEA"/>
    <w:rsid w:val="00964DF2"/>
    <w:rsid w:val="00964E82"/>
    <w:rsid w:val="00964E89"/>
    <w:rsid w:val="00964E98"/>
    <w:rsid w:val="00964ECA"/>
    <w:rsid w:val="00964F38"/>
    <w:rsid w:val="00964F78"/>
    <w:rsid w:val="00964FB6"/>
    <w:rsid w:val="00964FC9"/>
    <w:rsid w:val="00964FE2"/>
    <w:rsid w:val="00965016"/>
    <w:rsid w:val="009650A4"/>
    <w:rsid w:val="00965133"/>
    <w:rsid w:val="0096513C"/>
    <w:rsid w:val="00965147"/>
    <w:rsid w:val="0096516C"/>
    <w:rsid w:val="0096516E"/>
    <w:rsid w:val="00965179"/>
    <w:rsid w:val="00965189"/>
    <w:rsid w:val="0096524A"/>
    <w:rsid w:val="0096524E"/>
    <w:rsid w:val="00965273"/>
    <w:rsid w:val="0096528A"/>
    <w:rsid w:val="009652A1"/>
    <w:rsid w:val="0096530F"/>
    <w:rsid w:val="0096536A"/>
    <w:rsid w:val="00965379"/>
    <w:rsid w:val="00965393"/>
    <w:rsid w:val="0096539F"/>
    <w:rsid w:val="009653D7"/>
    <w:rsid w:val="009653F7"/>
    <w:rsid w:val="0096542F"/>
    <w:rsid w:val="0096547F"/>
    <w:rsid w:val="009654CA"/>
    <w:rsid w:val="00965504"/>
    <w:rsid w:val="0096551B"/>
    <w:rsid w:val="0096554B"/>
    <w:rsid w:val="0096555C"/>
    <w:rsid w:val="00965569"/>
    <w:rsid w:val="009655BA"/>
    <w:rsid w:val="009655C3"/>
    <w:rsid w:val="009655F3"/>
    <w:rsid w:val="0096565E"/>
    <w:rsid w:val="0096566C"/>
    <w:rsid w:val="009656B5"/>
    <w:rsid w:val="009656FD"/>
    <w:rsid w:val="00965722"/>
    <w:rsid w:val="00965765"/>
    <w:rsid w:val="009657BD"/>
    <w:rsid w:val="009657C6"/>
    <w:rsid w:val="009657D8"/>
    <w:rsid w:val="009657D9"/>
    <w:rsid w:val="00965834"/>
    <w:rsid w:val="00965895"/>
    <w:rsid w:val="009658A4"/>
    <w:rsid w:val="009658D3"/>
    <w:rsid w:val="009658DB"/>
    <w:rsid w:val="00965915"/>
    <w:rsid w:val="0096595C"/>
    <w:rsid w:val="0096598F"/>
    <w:rsid w:val="00965997"/>
    <w:rsid w:val="009659AF"/>
    <w:rsid w:val="009659B3"/>
    <w:rsid w:val="009659B5"/>
    <w:rsid w:val="009659F6"/>
    <w:rsid w:val="00965A18"/>
    <w:rsid w:val="00965A64"/>
    <w:rsid w:val="00965A65"/>
    <w:rsid w:val="00965AA3"/>
    <w:rsid w:val="00965AB5"/>
    <w:rsid w:val="00965AE3"/>
    <w:rsid w:val="00965B72"/>
    <w:rsid w:val="00965BA3"/>
    <w:rsid w:val="00965BE2"/>
    <w:rsid w:val="00965C02"/>
    <w:rsid w:val="00965C2F"/>
    <w:rsid w:val="00965C3F"/>
    <w:rsid w:val="00965CA6"/>
    <w:rsid w:val="00965D28"/>
    <w:rsid w:val="00965D3D"/>
    <w:rsid w:val="00965D49"/>
    <w:rsid w:val="00965D73"/>
    <w:rsid w:val="00965DB6"/>
    <w:rsid w:val="00965DCA"/>
    <w:rsid w:val="00965E01"/>
    <w:rsid w:val="00965E21"/>
    <w:rsid w:val="00965E22"/>
    <w:rsid w:val="00965E64"/>
    <w:rsid w:val="00965EB9"/>
    <w:rsid w:val="00965EEA"/>
    <w:rsid w:val="00965EF0"/>
    <w:rsid w:val="00965F2B"/>
    <w:rsid w:val="00965F36"/>
    <w:rsid w:val="00965F9A"/>
    <w:rsid w:val="00965FD5"/>
    <w:rsid w:val="00966021"/>
    <w:rsid w:val="00966024"/>
    <w:rsid w:val="00966088"/>
    <w:rsid w:val="009660A1"/>
    <w:rsid w:val="009660A3"/>
    <w:rsid w:val="009660B0"/>
    <w:rsid w:val="009660EA"/>
    <w:rsid w:val="009660F6"/>
    <w:rsid w:val="00966155"/>
    <w:rsid w:val="0096619B"/>
    <w:rsid w:val="009661A1"/>
    <w:rsid w:val="009661E2"/>
    <w:rsid w:val="009661EF"/>
    <w:rsid w:val="00966242"/>
    <w:rsid w:val="00966252"/>
    <w:rsid w:val="00966329"/>
    <w:rsid w:val="00966335"/>
    <w:rsid w:val="00966366"/>
    <w:rsid w:val="0096636C"/>
    <w:rsid w:val="009663A3"/>
    <w:rsid w:val="009663C4"/>
    <w:rsid w:val="00966413"/>
    <w:rsid w:val="009664A8"/>
    <w:rsid w:val="009664CC"/>
    <w:rsid w:val="009664EC"/>
    <w:rsid w:val="00966514"/>
    <w:rsid w:val="00966518"/>
    <w:rsid w:val="0096654C"/>
    <w:rsid w:val="0096656E"/>
    <w:rsid w:val="00966579"/>
    <w:rsid w:val="00966596"/>
    <w:rsid w:val="0096659F"/>
    <w:rsid w:val="009665B9"/>
    <w:rsid w:val="009665F7"/>
    <w:rsid w:val="009665FC"/>
    <w:rsid w:val="00966622"/>
    <w:rsid w:val="00966624"/>
    <w:rsid w:val="00966639"/>
    <w:rsid w:val="00966644"/>
    <w:rsid w:val="00966658"/>
    <w:rsid w:val="0096668D"/>
    <w:rsid w:val="009666C4"/>
    <w:rsid w:val="009666F4"/>
    <w:rsid w:val="0096678B"/>
    <w:rsid w:val="0096680D"/>
    <w:rsid w:val="00966829"/>
    <w:rsid w:val="00966844"/>
    <w:rsid w:val="0096688C"/>
    <w:rsid w:val="00966891"/>
    <w:rsid w:val="009668F2"/>
    <w:rsid w:val="0096690B"/>
    <w:rsid w:val="00966926"/>
    <w:rsid w:val="009669F1"/>
    <w:rsid w:val="009669F9"/>
    <w:rsid w:val="00966A08"/>
    <w:rsid w:val="00966A45"/>
    <w:rsid w:val="00966A8B"/>
    <w:rsid w:val="00966A8E"/>
    <w:rsid w:val="00966AD2"/>
    <w:rsid w:val="00966AE3"/>
    <w:rsid w:val="00966B90"/>
    <w:rsid w:val="00966BCD"/>
    <w:rsid w:val="00966BD0"/>
    <w:rsid w:val="00966BF5"/>
    <w:rsid w:val="00966C5A"/>
    <w:rsid w:val="00966C8D"/>
    <w:rsid w:val="00966D70"/>
    <w:rsid w:val="00966D8E"/>
    <w:rsid w:val="00966D98"/>
    <w:rsid w:val="00966E71"/>
    <w:rsid w:val="00966E85"/>
    <w:rsid w:val="00966EC3"/>
    <w:rsid w:val="00966EE2"/>
    <w:rsid w:val="00966FDD"/>
    <w:rsid w:val="00966FE3"/>
    <w:rsid w:val="00966FE5"/>
    <w:rsid w:val="00967013"/>
    <w:rsid w:val="009670F1"/>
    <w:rsid w:val="009670F3"/>
    <w:rsid w:val="00967178"/>
    <w:rsid w:val="009671C1"/>
    <w:rsid w:val="00967226"/>
    <w:rsid w:val="0096726A"/>
    <w:rsid w:val="00967296"/>
    <w:rsid w:val="00967347"/>
    <w:rsid w:val="00967358"/>
    <w:rsid w:val="00967365"/>
    <w:rsid w:val="009673A9"/>
    <w:rsid w:val="009673B4"/>
    <w:rsid w:val="009673C3"/>
    <w:rsid w:val="009673C5"/>
    <w:rsid w:val="0096742B"/>
    <w:rsid w:val="0096743F"/>
    <w:rsid w:val="00967488"/>
    <w:rsid w:val="0096748D"/>
    <w:rsid w:val="00967491"/>
    <w:rsid w:val="009674A3"/>
    <w:rsid w:val="00967510"/>
    <w:rsid w:val="0096751D"/>
    <w:rsid w:val="0096758A"/>
    <w:rsid w:val="009675F3"/>
    <w:rsid w:val="00967676"/>
    <w:rsid w:val="009676D5"/>
    <w:rsid w:val="00967710"/>
    <w:rsid w:val="00967752"/>
    <w:rsid w:val="009677AE"/>
    <w:rsid w:val="009677B6"/>
    <w:rsid w:val="009677E5"/>
    <w:rsid w:val="009677EF"/>
    <w:rsid w:val="0096780D"/>
    <w:rsid w:val="0096784A"/>
    <w:rsid w:val="009678BA"/>
    <w:rsid w:val="00967906"/>
    <w:rsid w:val="0096790C"/>
    <w:rsid w:val="0096793B"/>
    <w:rsid w:val="0096794E"/>
    <w:rsid w:val="00967953"/>
    <w:rsid w:val="0096797F"/>
    <w:rsid w:val="00967980"/>
    <w:rsid w:val="00967ABE"/>
    <w:rsid w:val="00967AE7"/>
    <w:rsid w:val="00967B10"/>
    <w:rsid w:val="00967BEE"/>
    <w:rsid w:val="00967C2D"/>
    <w:rsid w:val="00967C3B"/>
    <w:rsid w:val="00967C3C"/>
    <w:rsid w:val="00967C6F"/>
    <w:rsid w:val="00967C80"/>
    <w:rsid w:val="00967D4A"/>
    <w:rsid w:val="00967E1C"/>
    <w:rsid w:val="00967E53"/>
    <w:rsid w:val="00967E5D"/>
    <w:rsid w:val="00967E98"/>
    <w:rsid w:val="00967EBA"/>
    <w:rsid w:val="00967EC9"/>
    <w:rsid w:val="00967F2C"/>
    <w:rsid w:val="00967F96"/>
    <w:rsid w:val="00970010"/>
    <w:rsid w:val="00970061"/>
    <w:rsid w:val="00970098"/>
    <w:rsid w:val="009700C2"/>
    <w:rsid w:val="009700CF"/>
    <w:rsid w:val="009700FD"/>
    <w:rsid w:val="009700FE"/>
    <w:rsid w:val="0097010C"/>
    <w:rsid w:val="00970161"/>
    <w:rsid w:val="00970174"/>
    <w:rsid w:val="00970186"/>
    <w:rsid w:val="00970190"/>
    <w:rsid w:val="009701E9"/>
    <w:rsid w:val="0097020B"/>
    <w:rsid w:val="00970218"/>
    <w:rsid w:val="0097022C"/>
    <w:rsid w:val="0097027E"/>
    <w:rsid w:val="009702D1"/>
    <w:rsid w:val="009702DD"/>
    <w:rsid w:val="00970300"/>
    <w:rsid w:val="0097030E"/>
    <w:rsid w:val="00970313"/>
    <w:rsid w:val="0097033A"/>
    <w:rsid w:val="009703A2"/>
    <w:rsid w:val="00970407"/>
    <w:rsid w:val="00970424"/>
    <w:rsid w:val="00970428"/>
    <w:rsid w:val="00970438"/>
    <w:rsid w:val="00970442"/>
    <w:rsid w:val="00970445"/>
    <w:rsid w:val="0097046F"/>
    <w:rsid w:val="009704C1"/>
    <w:rsid w:val="009704F4"/>
    <w:rsid w:val="00970578"/>
    <w:rsid w:val="00970594"/>
    <w:rsid w:val="0097059D"/>
    <w:rsid w:val="009705D4"/>
    <w:rsid w:val="009705D5"/>
    <w:rsid w:val="009705F7"/>
    <w:rsid w:val="0097065B"/>
    <w:rsid w:val="00970685"/>
    <w:rsid w:val="0097068F"/>
    <w:rsid w:val="0097069A"/>
    <w:rsid w:val="009706C1"/>
    <w:rsid w:val="00970780"/>
    <w:rsid w:val="009707D6"/>
    <w:rsid w:val="0097081C"/>
    <w:rsid w:val="00970851"/>
    <w:rsid w:val="0097085C"/>
    <w:rsid w:val="00970877"/>
    <w:rsid w:val="00970897"/>
    <w:rsid w:val="00970970"/>
    <w:rsid w:val="009709DB"/>
    <w:rsid w:val="009709EB"/>
    <w:rsid w:val="009709F1"/>
    <w:rsid w:val="00970A04"/>
    <w:rsid w:val="00970AF7"/>
    <w:rsid w:val="00970B81"/>
    <w:rsid w:val="00970BA0"/>
    <w:rsid w:val="00970BB1"/>
    <w:rsid w:val="00970BB5"/>
    <w:rsid w:val="00970BCE"/>
    <w:rsid w:val="00970BE9"/>
    <w:rsid w:val="00970BF0"/>
    <w:rsid w:val="00970C30"/>
    <w:rsid w:val="00970C5B"/>
    <w:rsid w:val="00970C82"/>
    <w:rsid w:val="00970C9C"/>
    <w:rsid w:val="00970CF8"/>
    <w:rsid w:val="00970D67"/>
    <w:rsid w:val="00970D75"/>
    <w:rsid w:val="00970DDB"/>
    <w:rsid w:val="00970DFE"/>
    <w:rsid w:val="00970E30"/>
    <w:rsid w:val="00970E45"/>
    <w:rsid w:val="00970EAA"/>
    <w:rsid w:val="00970ECE"/>
    <w:rsid w:val="00970EE7"/>
    <w:rsid w:val="00970EF2"/>
    <w:rsid w:val="00970F35"/>
    <w:rsid w:val="00970F9F"/>
    <w:rsid w:val="00971002"/>
    <w:rsid w:val="00971070"/>
    <w:rsid w:val="009710D0"/>
    <w:rsid w:val="00971135"/>
    <w:rsid w:val="00971142"/>
    <w:rsid w:val="009711A3"/>
    <w:rsid w:val="009711A5"/>
    <w:rsid w:val="009711BD"/>
    <w:rsid w:val="009711D9"/>
    <w:rsid w:val="0097124E"/>
    <w:rsid w:val="0097129B"/>
    <w:rsid w:val="009712B3"/>
    <w:rsid w:val="009712D6"/>
    <w:rsid w:val="009712E3"/>
    <w:rsid w:val="00971350"/>
    <w:rsid w:val="009713AA"/>
    <w:rsid w:val="009713D9"/>
    <w:rsid w:val="009713DD"/>
    <w:rsid w:val="0097143B"/>
    <w:rsid w:val="0097145B"/>
    <w:rsid w:val="00971460"/>
    <w:rsid w:val="009714EE"/>
    <w:rsid w:val="00971549"/>
    <w:rsid w:val="00971562"/>
    <w:rsid w:val="009715AB"/>
    <w:rsid w:val="009715C6"/>
    <w:rsid w:val="009715EB"/>
    <w:rsid w:val="00971621"/>
    <w:rsid w:val="0097167E"/>
    <w:rsid w:val="009716DD"/>
    <w:rsid w:val="0097173F"/>
    <w:rsid w:val="00971749"/>
    <w:rsid w:val="00971782"/>
    <w:rsid w:val="009717EB"/>
    <w:rsid w:val="00971838"/>
    <w:rsid w:val="009718BF"/>
    <w:rsid w:val="009719E3"/>
    <w:rsid w:val="009719E7"/>
    <w:rsid w:val="009719ED"/>
    <w:rsid w:val="00971A04"/>
    <w:rsid w:val="00971A6D"/>
    <w:rsid w:val="00971AC8"/>
    <w:rsid w:val="00971AE0"/>
    <w:rsid w:val="00971AE8"/>
    <w:rsid w:val="00971B18"/>
    <w:rsid w:val="00971BAC"/>
    <w:rsid w:val="00971BB2"/>
    <w:rsid w:val="00971BB4"/>
    <w:rsid w:val="00971BE4"/>
    <w:rsid w:val="00971C1D"/>
    <w:rsid w:val="00971C24"/>
    <w:rsid w:val="00971C27"/>
    <w:rsid w:val="00971C2D"/>
    <w:rsid w:val="00971C57"/>
    <w:rsid w:val="00971CBA"/>
    <w:rsid w:val="00971D02"/>
    <w:rsid w:val="00971D86"/>
    <w:rsid w:val="00971D98"/>
    <w:rsid w:val="00971DCD"/>
    <w:rsid w:val="00971E2D"/>
    <w:rsid w:val="00971E7D"/>
    <w:rsid w:val="00971E82"/>
    <w:rsid w:val="00971E96"/>
    <w:rsid w:val="00971EC8"/>
    <w:rsid w:val="00971ED4"/>
    <w:rsid w:val="00971EFD"/>
    <w:rsid w:val="00971F75"/>
    <w:rsid w:val="00971F95"/>
    <w:rsid w:val="0097203E"/>
    <w:rsid w:val="00972096"/>
    <w:rsid w:val="009720C7"/>
    <w:rsid w:val="00972188"/>
    <w:rsid w:val="0097218B"/>
    <w:rsid w:val="0097218C"/>
    <w:rsid w:val="009721FC"/>
    <w:rsid w:val="00972210"/>
    <w:rsid w:val="0097223F"/>
    <w:rsid w:val="00972272"/>
    <w:rsid w:val="0097229E"/>
    <w:rsid w:val="009722A3"/>
    <w:rsid w:val="009722DE"/>
    <w:rsid w:val="00972317"/>
    <w:rsid w:val="0097236B"/>
    <w:rsid w:val="00972370"/>
    <w:rsid w:val="0097237B"/>
    <w:rsid w:val="00972392"/>
    <w:rsid w:val="009723E4"/>
    <w:rsid w:val="00972471"/>
    <w:rsid w:val="009724BB"/>
    <w:rsid w:val="009724C0"/>
    <w:rsid w:val="009724C4"/>
    <w:rsid w:val="009724CF"/>
    <w:rsid w:val="009724D2"/>
    <w:rsid w:val="009724D7"/>
    <w:rsid w:val="00972559"/>
    <w:rsid w:val="009725D3"/>
    <w:rsid w:val="009725DB"/>
    <w:rsid w:val="00972641"/>
    <w:rsid w:val="0097266E"/>
    <w:rsid w:val="00972673"/>
    <w:rsid w:val="0097267C"/>
    <w:rsid w:val="0097271A"/>
    <w:rsid w:val="0097284C"/>
    <w:rsid w:val="00972856"/>
    <w:rsid w:val="00972873"/>
    <w:rsid w:val="00972877"/>
    <w:rsid w:val="009728EA"/>
    <w:rsid w:val="00972912"/>
    <w:rsid w:val="00972972"/>
    <w:rsid w:val="009729A7"/>
    <w:rsid w:val="009729C0"/>
    <w:rsid w:val="00972A03"/>
    <w:rsid w:val="00972A05"/>
    <w:rsid w:val="00972A24"/>
    <w:rsid w:val="00972B37"/>
    <w:rsid w:val="00972B4F"/>
    <w:rsid w:val="00972B58"/>
    <w:rsid w:val="00972B62"/>
    <w:rsid w:val="00972BC2"/>
    <w:rsid w:val="00972BCD"/>
    <w:rsid w:val="00972BE9"/>
    <w:rsid w:val="00972C41"/>
    <w:rsid w:val="00972C5A"/>
    <w:rsid w:val="00972C7A"/>
    <w:rsid w:val="00972C87"/>
    <w:rsid w:val="00972C92"/>
    <w:rsid w:val="00972CD8"/>
    <w:rsid w:val="00972DC2"/>
    <w:rsid w:val="00972DF5"/>
    <w:rsid w:val="00972DF8"/>
    <w:rsid w:val="00972E2D"/>
    <w:rsid w:val="00972E38"/>
    <w:rsid w:val="00972E4E"/>
    <w:rsid w:val="00972E7C"/>
    <w:rsid w:val="00972E9C"/>
    <w:rsid w:val="00972ECF"/>
    <w:rsid w:val="00972EF3"/>
    <w:rsid w:val="00972F0A"/>
    <w:rsid w:val="00972F33"/>
    <w:rsid w:val="00972F94"/>
    <w:rsid w:val="00972FF7"/>
    <w:rsid w:val="0097304C"/>
    <w:rsid w:val="0097305B"/>
    <w:rsid w:val="00973088"/>
    <w:rsid w:val="0097309A"/>
    <w:rsid w:val="009730E1"/>
    <w:rsid w:val="009730FC"/>
    <w:rsid w:val="00973100"/>
    <w:rsid w:val="00973130"/>
    <w:rsid w:val="00973211"/>
    <w:rsid w:val="0097329F"/>
    <w:rsid w:val="00973316"/>
    <w:rsid w:val="0097331B"/>
    <w:rsid w:val="0097339D"/>
    <w:rsid w:val="009733B6"/>
    <w:rsid w:val="009733D8"/>
    <w:rsid w:val="0097342A"/>
    <w:rsid w:val="00973432"/>
    <w:rsid w:val="0097345B"/>
    <w:rsid w:val="0097345F"/>
    <w:rsid w:val="009734CC"/>
    <w:rsid w:val="009734EE"/>
    <w:rsid w:val="0097350E"/>
    <w:rsid w:val="00973516"/>
    <w:rsid w:val="00973525"/>
    <w:rsid w:val="00973547"/>
    <w:rsid w:val="009735A4"/>
    <w:rsid w:val="00973602"/>
    <w:rsid w:val="00973617"/>
    <w:rsid w:val="0097362C"/>
    <w:rsid w:val="009736BB"/>
    <w:rsid w:val="0097376E"/>
    <w:rsid w:val="00973790"/>
    <w:rsid w:val="009737A2"/>
    <w:rsid w:val="009737E1"/>
    <w:rsid w:val="00973858"/>
    <w:rsid w:val="0097386E"/>
    <w:rsid w:val="00973903"/>
    <w:rsid w:val="00973949"/>
    <w:rsid w:val="0097397E"/>
    <w:rsid w:val="0097399B"/>
    <w:rsid w:val="009739E5"/>
    <w:rsid w:val="00973A0C"/>
    <w:rsid w:val="00973A93"/>
    <w:rsid w:val="00973ADF"/>
    <w:rsid w:val="00973B09"/>
    <w:rsid w:val="00973B17"/>
    <w:rsid w:val="00973BA4"/>
    <w:rsid w:val="00973BBD"/>
    <w:rsid w:val="00973BEF"/>
    <w:rsid w:val="00973C00"/>
    <w:rsid w:val="00973C28"/>
    <w:rsid w:val="00973C62"/>
    <w:rsid w:val="00973C76"/>
    <w:rsid w:val="00973CAB"/>
    <w:rsid w:val="00973CB6"/>
    <w:rsid w:val="00973CB9"/>
    <w:rsid w:val="00973CCA"/>
    <w:rsid w:val="00973CD1"/>
    <w:rsid w:val="00973D5D"/>
    <w:rsid w:val="00973D62"/>
    <w:rsid w:val="00973D6A"/>
    <w:rsid w:val="00973D71"/>
    <w:rsid w:val="00973D95"/>
    <w:rsid w:val="00973DD0"/>
    <w:rsid w:val="00973DD9"/>
    <w:rsid w:val="00973E05"/>
    <w:rsid w:val="00973EE9"/>
    <w:rsid w:val="00973EED"/>
    <w:rsid w:val="00973EFA"/>
    <w:rsid w:val="00973FD5"/>
    <w:rsid w:val="00974090"/>
    <w:rsid w:val="009740A6"/>
    <w:rsid w:val="009740AB"/>
    <w:rsid w:val="009740D5"/>
    <w:rsid w:val="009740EC"/>
    <w:rsid w:val="0097410A"/>
    <w:rsid w:val="009741A1"/>
    <w:rsid w:val="009741A7"/>
    <w:rsid w:val="009741B2"/>
    <w:rsid w:val="0097420E"/>
    <w:rsid w:val="0097422A"/>
    <w:rsid w:val="00974268"/>
    <w:rsid w:val="009742A4"/>
    <w:rsid w:val="009742DE"/>
    <w:rsid w:val="0097433C"/>
    <w:rsid w:val="009743CA"/>
    <w:rsid w:val="009743F8"/>
    <w:rsid w:val="0097440B"/>
    <w:rsid w:val="00974434"/>
    <w:rsid w:val="009744BA"/>
    <w:rsid w:val="0097453D"/>
    <w:rsid w:val="0097456B"/>
    <w:rsid w:val="0097457B"/>
    <w:rsid w:val="009745F5"/>
    <w:rsid w:val="0097460B"/>
    <w:rsid w:val="009746C7"/>
    <w:rsid w:val="009746C8"/>
    <w:rsid w:val="009746E5"/>
    <w:rsid w:val="009746F2"/>
    <w:rsid w:val="009746F6"/>
    <w:rsid w:val="00974755"/>
    <w:rsid w:val="0097477D"/>
    <w:rsid w:val="009747B9"/>
    <w:rsid w:val="00974815"/>
    <w:rsid w:val="00974839"/>
    <w:rsid w:val="00974855"/>
    <w:rsid w:val="00974863"/>
    <w:rsid w:val="00974878"/>
    <w:rsid w:val="00974891"/>
    <w:rsid w:val="00974895"/>
    <w:rsid w:val="009748E3"/>
    <w:rsid w:val="00974942"/>
    <w:rsid w:val="00974960"/>
    <w:rsid w:val="009749AB"/>
    <w:rsid w:val="009749D8"/>
    <w:rsid w:val="009749EA"/>
    <w:rsid w:val="00974A04"/>
    <w:rsid w:val="00974A3B"/>
    <w:rsid w:val="00974A92"/>
    <w:rsid w:val="00974AAF"/>
    <w:rsid w:val="00974AE4"/>
    <w:rsid w:val="00974AF9"/>
    <w:rsid w:val="00974B11"/>
    <w:rsid w:val="00974B85"/>
    <w:rsid w:val="00974BA8"/>
    <w:rsid w:val="00974BAF"/>
    <w:rsid w:val="00974BF0"/>
    <w:rsid w:val="00974BF9"/>
    <w:rsid w:val="00974BFD"/>
    <w:rsid w:val="00974C5A"/>
    <w:rsid w:val="00974C6D"/>
    <w:rsid w:val="00974C97"/>
    <w:rsid w:val="00974CA2"/>
    <w:rsid w:val="00974CD3"/>
    <w:rsid w:val="00974CF2"/>
    <w:rsid w:val="00974D40"/>
    <w:rsid w:val="00974D4F"/>
    <w:rsid w:val="00974D75"/>
    <w:rsid w:val="00974D7D"/>
    <w:rsid w:val="00974D80"/>
    <w:rsid w:val="00974D9D"/>
    <w:rsid w:val="00974DBC"/>
    <w:rsid w:val="00974DDB"/>
    <w:rsid w:val="00974DF8"/>
    <w:rsid w:val="00974E02"/>
    <w:rsid w:val="00974E6B"/>
    <w:rsid w:val="00974F3D"/>
    <w:rsid w:val="00974F51"/>
    <w:rsid w:val="00974F77"/>
    <w:rsid w:val="00974FE3"/>
    <w:rsid w:val="00974FE7"/>
    <w:rsid w:val="00974FEE"/>
    <w:rsid w:val="0097503D"/>
    <w:rsid w:val="00975055"/>
    <w:rsid w:val="00975071"/>
    <w:rsid w:val="00975093"/>
    <w:rsid w:val="009750A0"/>
    <w:rsid w:val="00975130"/>
    <w:rsid w:val="0097518D"/>
    <w:rsid w:val="0097520D"/>
    <w:rsid w:val="0097522D"/>
    <w:rsid w:val="0097522F"/>
    <w:rsid w:val="0097523B"/>
    <w:rsid w:val="00975254"/>
    <w:rsid w:val="0097525D"/>
    <w:rsid w:val="00975292"/>
    <w:rsid w:val="009752A1"/>
    <w:rsid w:val="009752C5"/>
    <w:rsid w:val="00975355"/>
    <w:rsid w:val="00975358"/>
    <w:rsid w:val="009753A6"/>
    <w:rsid w:val="009753CE"/>
    <w:rsid w:val="009753E2"/>
    <w:rsid w:val="00975447"/>
    <w:rsid w:val="009754FC"/>
    <w:rsid w:val="0097556A"/>
    <w:rsid w:val="009755B4"/>
    <w:rsid w:val="00975601"/>
    <w:rsid w:val="00975622"/>
    <w:rsid w:val="0097563B"/>
    <w:rsid w:val="0097563D"/>
    <w:rsid w:val="00975655"/>
    <w:rsid w:val="009756A9"/>
    <w:rsid w:val="009756D2"/>
    <w:rsid w:val="009756E5"/>
    <w:rsid w:val="0097572C"/>
    <w:rsid w:val="0097579A"/>
    <w:rsid w:val="009757B1"/>
    <w:rsid w:val="009757CC"/>
    <w:rsid w:val="009757FA"/>
    <w:rsid w:val="00975817"/>
    <w:rsid w:val="00975830"/>
    <w:rsid w:val="00975846"/>
    <w:rsid w:val="0097588F"/>
    <w:rsid w:val="009758AC"/>
    <w:rsid w:val="00975915"/>
    <w:rsid w:val="00975957"/>
    <w:rsid w:val="00975982"/>
    <w:rsid w:val="009759A2"/>
    <w:rsid w:val="009759D1"/>
    <w:rsid w:val="009759FB"/>
    <w:rsid w:val="00975AD3"/>
    <w:rsid w:val="00975B6A"/>
    <w:rsid w:val="00975BFB"/>
    <w:rsid w:val="00975C20"/>
    <w:rsid w:val="00975C30"/>
    <w:rsid w:val="00975C4D"/>
    <w:rsid w:val="00975C78"/>
    <w:rsid w:val="00975C80"/>
    <w:rsid w:val="00975C8D"/>
    <w:rsid w:val="00975CA1"/>
    <w:rsid w:val="00975D11"/>
    <w:rsid w:val="00975D19"/>
    <w:rsid w:val="00975D64"/>
    <w:rsid w:val="00975D6C"/>
    <w:rsid w:val="00975DC8"/>
    <w:rsid w:val="00975DD7"/>
    <w:rsid w:val="00975E8A"/>
    <w:rsid w:val="00975F2B"/>
    <w:rsid w:val="00975F58"/>
    <w:rsid w:val="00975F97"/>
    <w:rsid w:val="00976053"/>
    <w:rsid w:val="00976080"/>
    <w:rsid w:val="00976097"/>
    <w:rsid w:val="00976126"/>
    <w:rsid w:val="0097613C"/>
    <w:rsid w:val="0097614F"/>
    <w:rsid w:val="00976163"/>
    <w:rsid w:val="00976184"/>
    <w:rsid w:val="009761CB"/>
    <w:rsid w:val="0097625B"/>
    <w:rsid w:val="009762EA"/>
    <w:rsid w:val="009762F0"/>
    <w:rsid w:val="00976360"/>
    <w:rsid w:val="0097637E"/>
    <w:rsid w:val="009763E1"/>
    <w:rsid w:val="009763E7"/>
    <w:rsid w:val="0097641E"/>
    <w:rsid w:val="00976449"/>
    <w:rsid w:val="0097649C"/>
    <w:rsid w:val="009764A0"/>
    <w:rsid w:val="009764B7"/>
    <w:rsid w:val="00976553"/>
    <w:rsid w:val="00976574"/>
    <w:rsid w:val="009765FA"/>
    <w:rsid w:val="00976657"/>
    <w:rsid w:val="0097666D"/>
    <w:rsid w:val="009766DA"/>
    <w:rsid w:val="00976808"/>
    <w:rsid w:val="0097680D"/>
    <w:rsid w:val="00976821"/>
    <w:rsid w:val="00976828"/>
    <w:rsid w:val="00976858"/>
    <w:rsid w:val="00976860"/>
    <w:rsid w:val="00976861"/>
    <w:rsid w:val="00976869"/>
    <w:rsid w:val="00976884"/>
    <w:rsid w:val="0097689A"/>
    <w:rsid w:val="009768C1"/>
    <w:rsid w:val="00976924"/>
    <w:rsid w:val="00976959"/>
    <w:rsid w:val="00976963"/>
    <w:rsid w:val="00976995"/>
    <w:rsid w:val="00976996"/>
    <w:rsid w:val="009769AB"/>
    <w:rsid w:val="009769C1"/>
    <w:rsid w:val="009769C5"/>
    <w:rsid w:val="009769F7"/>
    <w:rsid w:val="00976A31"/>
    <w:rsid w:val="00976A66"/>
    <w:rsid w:val="00976AF3"/>
    <w:rsid w:val="00976B5F"/>
    <w:rsid w:val="00976B80"/>
    <w:rsid w:val="00976B8B"/>
    <w:rsid w:val="00976BCF"/>
    <w:rsid w:val="00976BEC"/>
    <w:rsid w:val="00976BF0"/>
    <w:rsid w:val="00976C0C"/>
    <w:rsid w:val="00976C5C"/>
    <w:rsid w:val="00976CA3"/>
    <w:rsid w:val="00976CCF"/>
    <w:rsid w:val="00976D47"/>
    <w:rsid w:val="00976D91"/>
    <w:rsid w:val="00976DCD"/>
    <w:rsid w:val="00976E57"/>
    <w:rsid w:val="00976E88"/>
    <w:rsid w:val="00976EBE"/>
    <w:rsid w:val="00976EFB"/>
    <w:rsid w:val="00976F1A"/>
    <w:rsid w:val="00976F99"/>
    <w:rsid w:val="00977053"/>
    <w:rsid w:val="009770CC"/>
    <w:rsid w:val="009770D3"/>
    <w:rsid w:val="009770F7"/>
    <w:rsid w:val="00977108"/>
    <w:rsid w:val="00977115"/>
    <w:rsid w:val="00977131"/>
    <w:rsid w:val="0097713E"/>
    <w:rsid w:val="00977149"/>
    <w:rsid w:val="00977164"/>
    <w:rsid w:val="00977194"/>
    <w:rsid w:val="009772B5"/>
    <w:rsid w:val="009772EC"/>
    <w:rsid w:val="00977335"/>
    <w:rsid w:val="00977391"/>
    <w:rsid w:val="00977399"/>
    <w:rsid w:val="009773B7"/>
    <w:rsid w:val="00977452"/>
    <w:rsid w:val="00977473"/>
    <w:rsid w:val="0097748D"/>
    <w:rsid w:val="0097752E"/>
    <w:rsid w:val="0097755D"/>
    <w:rsid w:val="0097759B"/>
    <w:rsid w:val="009775A2"/>
    <w:rsid w:val="009775A3"/>
    <w:rsid w:val="009775B2"/>
    <w:rsid w:val="009775BA"/>
    <w:rsid w:val="0097764C"/>
    <w:rsid w:val="009776D8"/>
    <w:rsid w:val="009776F7"/>
    <w:rsid w:val="0097771C"/>
    <w:rsid w:val="009777A0"/>
    <w:rsid w:val="009777E1"/>
    <w:rsid w:val="0097780C"/>
    <w:rsid w:val="00977837"/>
    <w:rsid w:val="0097787F"/>
    <w:rsid w:val="00977899"/>
    <w:rsid w:val="009778A6"/>
    <w:rsid w:val="009778BF"/>
    <w:rsid w:val="009778D4"/>
    <w:rsid w:val="009778FD"/>
    <w:rsid w:val="00977907"/>
    <w:rsid w:val="00977911"/>
    <w:rsid w:val="00977931"/>
    <w:rsid w:val="00977983"/>
    <w:rsid w:val="009779E0"/>
    <w:rsid w:val="00977A7B"/>
    <w:rsid w:val="00977A99"/>
    <w:rsid w:val="00977B08"/>
    <w:rsid w:val="00977B68"/>
    <w:rsid w:val="00977B9E"/>
    <w:rsid w:val="00977BC8"/>
    <w:rsid w:val="00977BF3"/>
    <w:rsid w:val="00977BFD"/>
    <w:rsid w:val="00977C0D"/>
    <w:rsid w:val="00977C13"/>
    <w:rsid w:val="00977C42"/>
    <w:rsid w:val="00977C55"/>
    <w:rsid w:val="00977C5F"/>
    <w:rsid w:val="00977C69"/>
    <w:rsid w:val="00977D0F"/>
    <w:rsid w:val="00977D2A"/>
    <w:rsid w:val="00977D48"/>
    <w:rsid w:val="00977D71"/>
    <w:rsid w:val="00977DF8"/>
    <w:rsid w:val="00977E3F"/>
    <w:rsid w:val="00977EB8"/>
    <w:rsid w:val="00977F08"/>
    <w:rsid w:val="00977F11"/>
    <w:rsid w:val="00977F6B"/>
    <w:rsid w:val="00980033"/>
    <w:rsid w:val="0098003A"/>
    <w:rsid w:val="00980092"/>
    <w:rsid w:val="009800AA"/>
    <w:rsid w:val="009800AE"/>
    <w:rsid w:val="009801A9"/>
    <w:rsid w:val="009801ED"/>
    <w:rsid w:val="0098024C"/>
    <w:rsid w:val="00980259"/>
    <w:rsid w:val="00980295"/>
    <w:rsid w:val="009802CC"/>
    <w:rsid w:val="009802D7"/>
    <w:rsid w:val="009802D9"/>
    <w:rsid w:val="009802EB"/>
    <w:rsid w:val="00980324"/>
    <w:rsid w:val="00980325"/>
    <w:rsid w:val="009803A6"/>
    <w:rsid w:val="009803F4"/>
    <w:rsid w:val="00980404"/>
    <w:rsid w:val="0098040A"/>
    <w:rsid w:val="00980469"/>
    <w:rsid w:val="0098048F"/>
    <w:rsid w:val="00980490"/>
    <w:rsid w:val="009804E3"/>
    <w:rsid w:val="009804F0"/>
    <w:rsid w:val="00980504"/>
    <w:rsid w:val="0098055B"/>
    <w:rsid w:val="009805AB"/>
    <w:rsid w:val="009805B6"/>
    <w:rsid w:val="009805DF"/>
    <w:rsid w:val="009805E8"/>
    <w:rsid w:val="0098064E"/>
    <w:rsid w:val="0098065B"/>
    <w:rsid w:val="009806A2"/>
    <w:rsid w:val="00980784"/>
    <w:rsid w:val="0098078A"/>
    <w:rsid w:val="009807AC"/>
    <w:rsid w:val="009807C6"/>
    <w:rsid w:val="00980802"/>
    <w:rsid w:val="0098082F"/>
    <w:rsid w:val="00980862"/>
    <w:rsid w:val="009808A9"/>
    <w:rsid w:val="009808BD"/>
    <w:rsid w:val="009808EC"/>
    <w:rsid w:val="00980971"/>
    <w:rsid w:val="0098097E"/>
    <w:rsid w:val="009809F6"/>
    <w:rsid w:val="00980A0F"/>
    <w:rsid w:val="00980A3A"/>
    <w:rsid w:val="00980A58"/>
    <w:rsid w:val="00980AA9"/>
    <w:rsid w:val="00980AF9"/>
    <w:rsid w:val="00980B1B"/>
    <w:rsid w:val="00980B41"/>
    <w:rsid w:val="00980BDD"/>
    <w:rsid w:val="00980BF3"/>
    <w:rsid w:val="00980C20"/>
    <w:rsid w:val="00980C27"/>
    <w:rsid w:val="00980C30"/>
    <w:rsid w:val="00980C37"/>
    <w:rsid w:val="00980CF2"/>
    <w:rsid w:val="00980D01"/>
    <w:rsid w:val="00980D44"/>
    <w:rsid w:val="00980D7A"/>
    <w:rsid w:val="00980DAA"/>
    <w:rsid w:val="00980DDA"/>
    <w:rsid w:val="00980DF5"/>
    <w:rsid w:val="00980E97"/>
    <w:rsid w:val="00980EB6"/>
    <w:rsid w:val="00980F62"/>
    <w:rsid w:val="00980F78"/>
    <w:rsid w:val="00980F7C"/>
    <w:rsid w:val="00980FF5"/>
    <w:rsid w:val="0098100F"/>
    <w:rsid w:val="0098104A"/>
    <w:rsid w:val="009810BB"/>
    <w:rsid w:val="009810D5"/>
    <w:rsid w:val="009810E5"/>
    <w:rsid w:val="009810F0"/>
    <w:rsid w:val="00981133"/>
    <w:rsid w:val="00981182"/>
    <w:rsid w:val="009811A6"/>
    <w:rsid w:val="00981213"/>
    <w:rsid w:val="009812A3"/>
    <w:rsid w:val="009812DF"/>
    <w:rsid w:val="009812F8"/>
    <w:rsid w:val="0098133A"/>
    <w:rsid w:val="00981360"/>
    <w:rsid w:val="0098140A"/>
    <w:rsid w:val="00981420"/>
    <w:rsid w:val="00981439"/>
    <w:rsid w:val="00981462"/>
    <w:rsid w:val="0098148F"/>
    <w:rsid w:val="00981531"/>
    <w:rsid w:val="0098154B"/>
    <w:rsid w:val="0098154E"/>
    <w:rsid w:val="009815CB"/>
    <w:rsid w:val="009815D9"/>
    <w:rsid w:val="009815E2"/>
    <w:rsid w:val="009815FD"/>
    <w:rsid w:val="00981632"/>
    <w:rsid w:val="00981643"/>
    <w:rsid w:val="00981656"/>
    <w:rsid w:val="0098168F"/>
    <w:rsid w:val="00981691"/>
    <w:rsid w:val="009816E6"/>
    <w:rsid w:val="0098170F"/>
    <w:rsid w:val="00981730"/>
    <w:rsid w:val="009817D9"/>
    <w:rsid w:val="00981881"/>
    <w:rsid w:val="009818A0"/>
    <w:rsid w:val="009818C9"/>
    <w:rsid w:val="0098190E"/>
    <w:rsid w:val="00981939"/>
    <w:rsid w:val="009819B4"/>
    <w:rsid w:val="009819FD"/>
    <w:rsid w:val="00981A11"/>
    <w:rsid w:val="00981A21"/>
    <w:rsid w:val="00981AEA"/>
    <w:rsid w:val="00981B09"/>
    <w:rsid w:val="00981B5F"/>
    <w:rsid w:val="00981B64"/>
    <w:rsid w:val="00981BC7"/>
    <w:rsid w:val="00981C52"/>
    <w:rsid w:val="00981C8F"/>
    <w:rsid w:val="00981D12"/>
    <w:rsid w:val="00981D76"/>
    <w:rsid w:val="00981D88"/>
    <w:rsid w:val="00981DC3"/>
    <w:rsid w:val="00981DD5"/>
    <w:rsid w:val="00981DDB"/>
    <w:rsid w:val="00981E22"/>
    <w:rsid w:val="00981E6D"/>
    <w:rsid w:val="00981E98"/>
    <w:rsid w:val="00981E9C"/>
    <w:rsid w:val="00981EE7"/>
    <w:rsid w:val="00981F02"/>
    <w:rsid w:val="00981F04"/>
    <w:rsid w:val="00981F3F"/>
    <w:rsid w:val="00981F56"/>
    <w:rsid w:val="00981F60"/>
    <w:rsid w:val="00981F7B"/>
    <w:rsid w:val="00981F81"/>
    <w:rsid w:val="00981F89"/>
    <w:rsid w:val="00981FA1"/>
    <w:rsid w:val="00981FD1"/>
    <w:rsid w:val="00981FF5"/>
    <w:rsid w:val="00982067"/>
    <w:rsid w:val="00982092"/>
    <w:rsid w:val="009820BD"/>
    <w:rsid w:val="009820BF"/>
    <w:rsid w:val="009820C7"/>
    <w:rsid w:val="009820FD"/>
    <w:rsid w:val="00982113"/>
    <w:rsid w:val="00982121"/>
    <w:rsid w:val="0098215F"/>
    <w:rsid w:val="009821B2"/>
    <w:rsid w:val="0098223F"/>
    <w:rsid w:val="00982242"/>
    <w:rsid w:val="00982263"/>
    <w:rsid w:val="00982274"/>
    <w:rsid w:val="0098228B"/>
    <w:rsid w:val="0098228F"/>
    <w:rsid w:val="009822A5"/>
    <w:rsid w:val="009822C2"/>
    <w:rsid w:val="009822F8"/>
    <w:rsid w:val="009822FD"/>
    <w:rsid w:val="00982348"/>
    <w:rsid w:val="00982357"/>
    <w:rsid w:val="00982385"/>
    <w:rsid w:val="009823CE"/>
    <w:rsid w:val="0098240A"/>
    <w:rsid w:val="0098241F"/>
    <w:rsid w:val="00982459"/>
    <w:rsid w:val="009824EF"/>
    <w:rsid w:val="009824F2"/>
    <w:rsid w:val="00982564"/>
    <w:rsid w:val="009825CE"/>
    <w:rsid w:val="00982601"/>
    <w:rsid w:val="00982701"/>
    <w:rsid w:val="00982745"/>
    <w:rsid w:val="009827D5"/>
    <w:rsid w:val="00982830"/>
    <w:rsid w:val="00982844"/>
    <w:rsid w:val="00982898"/>
    <w:rsid w:val="009828C4"/>
    <w:rsid w:val="00982947"/>
    <w:rsid w:val="0098299C"/>
    <w:rsid w:val="009829F9"/>
    <w:rsid w:val="00982A3E"/>
    <w:rsid w:val="00982A79"/>
    <w:rsid w:val="00982A82"/>
    <w:rsid w:val="00982AB1"/>
    <w:rsid w:val="00982AC9"/>
    <w:rsid w:val="00982AFB"/>
    <w:rsid w:val="00982B08"/>
    <w:rsid w:val="00982B19"/>
    <w:rsid w:val="00982B1C"/>
    <w:rsid w:val="00982B3F"/>
    <w:rsid w:val="00982B77"/>
    <w:rsid w:val="00982B99"/>
    <w:rsid w:val="00982BE6"/>
    <w:rsid w:val="00982C89"/>
    <w:rsid w:val="00982C8E"/>
    <w:rsid w:val="00982CA4"/>
    <w:rsid w:val="00982CDB"/>
    <w:rsid w:val="00982D1E"/>
    <w:rsid w:val="00982D23"/>
    <w:rsid w:val="00982D59"/>
    <w:rsid w:val="00982D78"/>
    <w:rsid w:val="00982E13"/>
    <w:rsid w:val="00982E6E"/>
    <w:rsid w:val="00982E77"/>
    <w:rsid w:val="00982F77"/>
    <w:rsid w:val="00982F85"/>
    <w:rsid w:val="00983073"/>
    <w:rsid w:val="009830A2"/>
    <w:rsid w:val="009830BE"/>
    <w:rsid w:val="009830C0"/>
    <w:rsid w:val="009830F5"/>
    <w:rsid w:val="00983109"/>
    <w:rsid w:val="00983142"/>
    <w:rsid w:val="00983159"/>
    <w:rsid w:val="00983193"/>
    <w:rsid w:val="0098319D"/>
    <w:rsid w:val="009831A5"/>
    <w:rsid w:val="009831C9"/>
    <w:rsid w:val="00983244"/>
    <w:rsid w:val="00983287"/>
    <w:rsid w:val="009832C8"/>
    <w:rsid w:val="0098330D"/>
    <w:rsid w:val="00983342"/>
    <w:rsid w:val="00983364"/>
    <w:rsid w:val="0098336D"/>
    <w:rsid w:val="0098337A"/>
    <w:rsid w:val="009833B8"/>
    <w:rsid w:val="00983460"/>
    <w:rsid w:val="00983479"/>
    <w:rsid w:val="00983495"/>
    <w:rsid w:val="009834EF"/>
    <w:rsid w:val="0098351C"/>
    <w:rsid w:val="0098352D"/>
    <w:rsid w:val="00983574"/>
    <w:rsid w:val="00983607"/>
    <w:rsid w:val="0098360C"/>
    <w:rsid w:val="00983631"/>
    <w:rsid w:val="00983670"/>
    <w:rsid w:val="00983694"/>
    <w:rsid w:val="0098370A"/>
    <w:rsid w:val="00983779"/>
    <w:rsid w:val="0098378C"/>
    <w:rsid w:val="00983837"/>
    <w:rsid w:val="009838E1"/>
    <w:rsid w:val="009838E4"/>
    <w:rsid w:val="009838FE"/>
    <w:rsid w:val="00983918"/>
    <w:rsid w:val="00983981"/>
    <w:rsid w:val="00983993"/>
    <w:rsid w:val="00983995"/>
    <w:rsid w:val="00983996"/>
    <w:rsid w:val="009839F6"/>
    <w:rsid w:val="00983A31"/>
    <w:rsid w:val="00983A4E"/>
    <w:rsid w:val="00983A83"/>
    <w:rsid w:val="00983A85"/>
    <w:rsid w:val="00983AB2"/>
    <w:rsid w:val="00983ADE"/>
    <w:rsid w:val="00983B4C"/>
    <w:rsid w:val="00983B70"/>
    <w:rsid w:val="00983B87"/>
    <w:rsid w:val="00983B98"/>
    <w:rsid w:val="00983BCD"/>
    <w:rsid w:val="00983BF2"/>
    <w:rsid w:val="00983C06"/>
    <w:rsid w:val="00983C16"/>
    <w:rsid w:val="00983C51"/>
    <w:rsid w:val="00983C92"/>
    <w:rsid w:val="00983D00"/>
    <w:rsid w:val="00983D12"/>
    <w:rsid w:val="00983D28"/>
    <w:rsid w:val="00983D94"/>
    <w:rsid w:val="00983D99"/>
    <w:rsid w:val="00983DD1"/>
    <w:rsid w:val="00983E63"/>
    <w:rsid w:val="00983E66"/>
    <w:rsid w:val="00983EA6"/>
    <w:rsid w:val="00983EAF"/>
    <w:rsid w:val="00983F0E"/>
    <w:rsid w:val="00983F4A"/>
    <w:rsid w:val="00983F99"/>
    <w:rsid w:val="00983FA2"/>
    <w:rsid w:val="00984007"/>
    <w:rsid w:val="00984015"/>
    <w:rsid w:val="0098403B"/>
    <w:rsid w:val="00984096"/>
    <w:rsid w:val="009840A7"/>
    <w:rsid w:val="009840C1"/>
    <w:rsid w:val="009840E4"/>
    <w:rsid w:val="009840E9"/>
    <w:rsid w:val="009840EE"/>
    <w:rsid w:val="009841DD"/>
    <w:rsid w:val="009841EF"/>
    <w:rsid w:val="00984204"/>
    <w:rsid w:val="00984264"/>
    <w:rsid w:val="00984287"/>
    <w:rsid w:val="009842CA"/>
    <w:rsid w:val="009842E9"/>
    <w:rsid w:val="0098432A"/>
    <w:rsid w:val="00984390"/>
    <w:rsid w:val="009843DC"/>
    <w:rsid w:val="009843EA"/>
    <w:rsid w:val="009843EF"/>
    <w:rsid w:val="00984481"/>
    <w:rsid w:val="00984489"/>
    <w:rsid w:val="009844B1"/>
    <w:rsid w:val="00984530"/>
    <w:rsid w:val="00984543"/>
    <w:rsid w:val="00984556"/>
    <w:rsid w:val="0098456B"/>
    <w:rsid w:val="00984580"/>
    <w:rsid w:val="009845BF"/>
    <w:rsid w:val="009845C6"/>
    <w:rsid w:val="00984604"/>
    <w:rsid w:val="00984636"/>
    <w:rsid w:val="009846BF"/>
    <w:rsid w:val="0098470A"/>
    <w:rsid w:val="0098470F"/>
    <w:rsid w:val="00984744"/>
    <w:rsid w:val="00984791"/>
    <w:rsid w:val="009847AD"/>
    <w:rsid w:val="009847AE"/>
    <w:rsid w:val="009847B3"/>
    <w:rsid w:val="009847FB"/>
    <w:rsid w:val="0098484E"/>
    <w:rsid w:val="00984871"/>
    <w:rsid w:val="00984872"/>
    <w:rsid w:val="00984899"/>
    <w:rsid w:val="0098489B"/>
    <w:rsid w:val="009848A3"/>
    <w:rsid w:val="009848C2"/>
    <w:rsid w:val="009848ED"/>
    <w:rsid w:val="0098491F"/>
    <w:rsid w:val="00984959"/>
    <w:rsid w:val="00984970"/>
    <w:rsid w:val="0098498B"/>
    <w:rsid w:val="009849B2"/>
    <w:rsid w:val="009849CB"/>
    <w:rsid w:val="00984A84"/>
    <w:rsid w:val="00984B0C"/>
    <w:rsid w:val="00984B1F"/>
    <w:rsid w:val="00984B32"/>
    <w:rsid w:val="00984B3C"/>
    <w:rsid w:val="00984BB5"/>
    <w:rsid w:val="00984BBE"/>
    <w:rsid w:val="00984BCE"/>
    <w:rsid w:val="00984BED"/>
    <w:rsid w:val="00984C3B"/>
    <w:rsid w:val="00984C46"/>
    <w:rsid w:val="00984C58"/>
    <w:rsid w:val="00984C6F"/>
    <w:rsid w:val="00984D4E"/>
    <w:rsid w:val="00984D5F"/>
    <w:rsid w:val="00984DB9"/>
    <w:rsid w:val="00984DD3"/>
    <w:rsid w:val="00984E91"/>
    <w:rsid w:val="00984EA5"/>
    <w:rsid w:val="00984EED"/>
    <w:rsid w:val="00984F11"/>
    <w:rsid w:val="00984FA1"/>
    <w:rsid w:val="0098500C"/>
    <w:rsid w:val="00985060"/>
    <w:rsid w:val="0098507C"/>
    <w:rsid w:val="009850A5"/>
    <w:rsid w:val="009850AB"/>
    <w:rsid w:val="009850FF"/>
    <w:rsid w:val="00985139"/>
    <w:rsid w:val="00985173"/>
    <w:rsid w:val="0098517C"/>
    <w:rsid w:val="009851B4"/>
    <w:rsid w:val="009851B9"/>
    <w:rsid w:val="009851EE"/>
    <w:rsid w:val="009851F2"/>
    <w:rsid w:val="0098527D"/>
    <w:rsid w:val="00985284"/>
    <w:rsid w:val="0098535D"/>
    <w:rsid w:val="00985388"/>
    <w:rsid w:val="00985438"/>
    <w:rsid w:val="00985530"/>
    <w:rsid w:val="00985537"/>
    <w:rsid w:val="00985578"/>
    <w:rsid w:val="00985596"/>
    <w:rsid w:val="009855B7"/>
    <w:rsid w:val="0098561A"/>
    <w:rsid w:val="00985629"/>
    <w:rsid w:val="00985652"/>
    <w:rsid w:val="00985671"/>
    <w:rsid w:val="00985674"/>
    <w:rsid w:val="009856A0"/>
    <w:rsid w:val="009856C2"/>
    <w:rsid w:val="0098570A"/>
    <w:rsid w:val="00985726"/>
    <w:rsid w:val="009857C2"/>
    <w:rsid w:val="009858B8"/>
    <w:rsid w:val="009858D0"/>
    <w:rsid w:val="0098593C"/>
    <w:rsid w:val="00985964"/>
    <w:rsid w:val="00985995"/>
    <w:rsid w:val="009859CD"/>
    <w:rsid w:val="00985A03"/>
    <w:rsid w:val="00985A27"/>
    <w:rsid w:val="00985A40"/>
    <w:rsid w:val="00985A60"/>
    <w:rsid w:val="00985A71"/>
    <w:rsid w:val="00985AF2"/>
    <w:rsid w:val="00985B06"/>
    <w:rsid w:val="00985B20"/>
    <w:rsid w:val="00985B67"/>
    <w:rsid w:val="00985B7D"/>
    <w:rsid w:val="00985BE3"/>
    <w:rsid w:val="00985C10"/>
    <w:rsid w:val="00985C92"/>
    <w:rsid w:val="00985CC1"/>
    <w:rsid w:val="00985CE8"/>
    <w:rsid w:val="00985CE9"/>
    <w:rsid w:val="00985D47"/>
    <w:rsid w:val="00985D95"/>
    <w:rsid w:val="00985D97"/>
    <w:rsid w:val="00985D9B"/>
    <w:rsid w:val="00985DCF"/>
    <w:rsid w:val="00985DEF"/>
    <w:rsid w:val="00985E10"/>
    <w:rsid w:val="00985E17"/>
    <w:rsid w:val="00985E4B"/>
    <w:rsid w:val="00985E6F"/>
    <w:rsid w:val="00985EBA"/>
    <w:rsid w:val="00985ED6"/>
    <w:rsid w:val="00985F03"/>
    <w:rsid w:val="00985F07"/>
    <w:rsid w:val="00985F19"/>
    <w:rsid w:val="00985F27"/>
    <w:rsid w:val="00985FB2"/>
    <w:rsid w:val="00985FBA"/>
    <w:rsid w:val="00985FC8"/>
    <w:rsid w:val="00985FF2"/>
    <w:rsid w:val="0098609B"/>
    <w:rsid w:val="009860BC"/>
    <w:rsid w:val="009860D1"/>
    <w:rsid w:val="00986129"/>
    <w:rsid w:val="0098612F"/>
    <w:rsid w:val="00986163"/>
    <w:rsid w:val="00986193"/>
    <w:rsid w:val="009861EC"/>
    <w:rsid w:val="00986236"/>
    <w:rsid w:val="00986252"/>
    <w:rsid w:val="00986296"/>
    <w:rsid w:val="009862DA"/>
    <w:rsid w:val="00986309"/>
    <w:rsid w:val="0098632F"/>
    <w:rsid w:val="0098637D"/>
    <w:rsid w:val="00986393"/>
    <w:rsid w:val="00986419"/>
    <w:rsid w:val="0098646C"/>
    <w:rsid w:val="009864A9"/>
    <w:rsid w:val="009864BB"/>
    <w:rsid w:val="009864FB"/>
    <w:rsid w:val="00986518"/>
    <w:rsid w:val="00986528"/>
    <w:rsid w:val="00986595"/>
    <w:rsid w:val="009865D4"/>
    <w:rsid w:val="009865F9"/>
    <w:rsid w:val="00986604"/>
    <w:rsid w:val="00986634"/>
    <w:rsid w:val="009866A7"/>
    <w:rsid w:val="009866AA"/>
    <w:rsid w:val="009866B4"/>
    <w:rsid w:val="009866C2"/>
    <w:rsid w:val="009866E9"/>
    <w:rsid w:val="0098675D"/>
    <w:rsid w:val="0098679A"/>
    <w:rsid w:val="009867D1"/>
    <w:rsid w:val="0098682D"/>
    <w:rsid w:val="00986851"/>
    <w:rsid w:val="0098685E"/>
    <w:rsid w:val="00986937"/>
    <w:rsid w:val="009869B3"/>
    <w:rsid w:val="009869BF"/>
    <w:rsid w:val="009869EE"/>
    <w:rsid w:val="00986A08"/>
    <w:rsid w:val="00986A23"/>
    <w:rsid w:val="00986A2A"/>
    <w:rsid w:val="00986A5A"/>
    <w:rsid w:val="00986A65"/>
    <w:rsid w:val="00986A89"/>
    <w:rsid w:val="00986A8C"/>
    <w:rsid w:val="00986A8D"/>
    <w:rsid w:val="00986A8E"/>
    <w:rsid w:val="00986ABD"/>
    <w:rsid w:val="00986B26"/>
    <w:rsid w:val="00986B5E"/>
    <w:rsid w:val="00986B95"/>
    <w:rsid w:val="00986B96"/>
    <w:rsid w:val="00986B9F"/>
    <w:rsid w:val="00986C09"/>
    <w:rsid w:val="00986C3A"/>
    <w:rsid w:val="00986C3D"/>
    <w:rsid w:val="00986CA2"/>
    <w:rsid w:val="00986CAB"/>
    <w:rsid w:val="00986CC1"/>
    <w:rsid w:val="00986CC9"/>
    <w:rsid w:val="00986CCC"/>
    <w:rsid w:val="00986CCE"/>
    <w:rsid w:val="00986CE4"/>
    <w:rsid w:val="00986D10"/>
    <w:rsid w:val="00986D6C"/>
    <w:rsid w:val="00986D9C"/>
    <w:rsid w:val="00986DAD"/>
    <w:rsid w:val="00986DCE"/>
    <w:rsid w:val="00986E0F"/>
    <w:rsid w:val="00986E24"/>
    <w:rsid w:val="00986E34"/>
    <w:rsid w:val="00986E98"/>
    <w:rsid w:val="00986EAA"/>
    <w:rsid w:val="00986F06"/>
    <w:rsid w:val="00986F08"/>
    <w:rsid w:val="00986F52"/>
    <w:rsid w:val="00986F70"/>
    <w:rsid w:val="00986F9F"/>
    <w:rsid w:val="00986FA0"/>
    <w:rsid w:val="00986FBD"/>
    <w:rsid w:val="0098701E"/>
    <w:rsid w:val="0098702D"/>
    <w:rsid w:val="00987037"/>
    <w:rsid w:val="00987056"/>
    <w:rsid w:val="0098706A"/>
    <w:rsid w:val="009870A5"/>
    <w:rsid w:val="00987126"/>
    <w:rsid w:val="009871C2"/>
    <w:rsid w:val="009871CE"/>
    <w:rsid w:val="009871E4"/>
    <w:rsid w:val="00987210"/>
    <w:rsid w:val="00987250"/>
    <w:rsid w:val="00987254"/>
    <w:rsid w:val="0098728D"/>
    <w:rsid w:val="009872FF"/>
    <w:rsid w:val="00987314"/>
    <w:rsid w:val="00987320"/>
    <w:rsid w:val="00987334"/>
    <w:rsid w:val="00987397"/>
    <w:rsid w:val="009873A6"/>
    <w:rsid w:val="009873AF"/>
    <w:rsid w:val="009873B8"/>
    <w:rsid w:val="00987446"/>
    <w:rsid w:val="00987472"/>
    <w:rsid w:val="009874C0"/>
    <w:rsid w:val="009874C7"/>
    <w:rsid w:val="009874CA"/>
    <w:rsid w:val="009874E5"/>
    <w:rsid w:val="00987500"/>
    <w:rsid w:val="00987505"/>
    <w:rsid w:val="0098751E"/>
    <w:rsid w:val="00987546"/>
    <w:rsid w:val="009875D0"/>
    <w:rsid w:val="009875D2"/>
    <w:rsid w:val="009875DC"/>
    <w:rsid w:val="009875FB"/>
    <w:rsid w:val="00987697"/>
    <w:rsid w:val="009876A6"/>
    <w:rsid w:val="009876BD"/>
    <w:rsid w:val="00987709"/>
    <w:rsid w:val="0098771C"/>
    <w:rsid w:val="00987784"/>
    <w:rsid w:val="0098778A"/>
    <w:rsid w:val="009877A9"/>
    <w:rsid w:val="009877B6"/>
    <w:rsid w:val="009877EB"/>
    <w:rsid w:val="00987819"/>
    <w:rsid w:val="00987831"/>
    <w:rsid w:val="00987856"/>
    <w:rsid w:val="00987868"/>
    <w:rsid w:val="00987870"/>
    <w:rsid w:val="0098788B"/>
    <w:rsid w:val="0098788E"/>
    <w:rsid w:val="009878A1"/>
    <w:rsid w:val="009878B3"/>
    <w:rsid w:val="009878DD"/>
    <w:rsid w:val="009878FE"/>
    <w:rsid w:val="00987908"/>
    <w:rsid w:val="0098792C"/>
    <w:rsid w:val="00987942"/>
    <w:rsid w:val="00987959"/>
    <w:rsid w:val="00987968"/>
    <w:rsid w:val="00987990"/>
    <w:rsid w:val="009879EA"/>
    <w:rsid w:val="00987A14"/>
    <w:rsid w:val="00987A51"/>
    <w:rsid w:val="00987A9A"/>
    <w:rsid w:val="00987AA3"/>
    <w:rsid w:val="00987ABC"/>
    <w:rsid w:val="00987B05"/>
    <w:rsid w:val="00987B0F"/>
    <w:rsid w:val="00987B33"/>
    <w:rsid w:val="00987B44"/>
    <w:rsid w:val="00987CA8"/>
    <w:rsid w:val="00987D81"/>
    <w:rsid w:val="00987DBD"/>
    <w:rsid w:val="00987DF4"/>
    <w:rsid w:val="00987DFB"/>
    <w:rsid w:val="00987E38"/>
    <w:rsid w:val="00987E5F"/>
    <w:rsid w:val="00987E74"/>
    <w:rsid w:val="00987ED3"/>
    <w:rsid w:val="00987EE3"/>
    <w:rsid w:val="00987F0F"/>
    <w:rsid w:val="00987F25"/>
    <w:rsid w:val="00987F84"/>
    <w:rsid w:val="00987FF1"/>
    <w:rsid w:val="0099001A"/>
    <w:rsid w:val="00990072"/>
    <w:rsid w:val="00990082"/>
    <w:rsid w:val="00990098"/>
    <w:rsid w:val="009900CB"/>
    <w:rsid w:val="009900EF"/>
    <w:rsid w:val="00990107"/>
    <w:rsid w:val="00990108"/>
    <w:rsid w:val="00990135"/>
    <w:rsid w:val="00990146"/>
    <w:rsid w:val="00990197"/>
    <w:rsid w:val="009901DB"/>
    <w:rsid w:val="009901F8"/>
    <w:rsid w:val="00990218"/>
    <w:rsid w:val="00990229"/>
    <w:rsid w:val="0099023C"/>
    <w:rsid w:val="009902BA"/>
    <w:rsid w:val="00990301"/>
    <w:rsid w:val="0099030F"/>
    <w:rsid w:val="00990312"/>
    <w:rsid w:val="00990318"/>
    <w:rsid w:val="0099038D"/>
    <w:rsid w:val="0099038F"/>
    <w:rsid w:val="009903AF"/>
    <w:rsid w:val="009903EC"/>
    <w:rsid w:val="0099044C"/>
    <w:rsid w:val="0099045C"/>
    <w:rsid w:val="00990488"/>
    <w:rsid w:val="009904F0"/>
    <w:rsid w:val="009905B2"/>
    <w:rsid w:val="009905E1"/>
    <w:rsid w:val="009905F0"/>
    <w:rsid w:val="00990642"/>
    <w:rsid w:val="00990681"/>
    <w:rsid w:val="00990696"/>
    <w:rsid w:val="009906E5"/>
    <w:rsid w:val="00990742"/>
    <w:rsid w:val="0099074D"/>
    <w:rsid w:val="0099076D"/>
    <w:rsid w:val="0099076E"/>
    <w:rsid w:val="00990775"/>
    <w:rsid w:val="00990796"/>
    <w:rsid w:val="0099079A"/>
    <w:rsid w:val="009907A7"/>
    <w:rsid w:val="009907B1"/>
    <w:rsid w:val="009907C9"/>
    <w:rsid w:val="009907EA"/>
    <w:rsid w:val="00990808"/>
    <w:rsid w:val="00990831"/>
    <w:rsid w:val="00990872"/>
    <w:rsid w:val="0099088E"/>
    <w:rsid w:val="00990897"/>
    <w:rsid w:val="009908A2"/>
    <w:rsid w:val="009908A9"/>
    <w:rsid w:val="009908D6"/>
    <w:rsid w:val="009908E7"/>
    <w:rsid w:val="00990922"/>
    <w:rsid w:val="00990982"/>
    <w:rsid w:val="009909B1"/>
    <w:rsid w:val="009909C4"/>
    <w:rsid w:val="00990A54"/>
    <w:rsid w:val="00990AA2"/>
    <w:rsid w:val="00990B47"/>
    <w:rsid w:val="00990B5E"/>
    <w:rsid w:val="00990BAB"/>
    <w:rsid w:val="00990C2E"/>
    <w:rsid w:val="00990C47"/>
    <w:rsid w:val="00990C5A"/>
    <w:rsid w:val="00990CA5"/>
    <w:rsid w:val="00990CF5"/>
    <w:rsid w:val="00990D1D"/>
    <w:rsid w:val="00990D39"/>
    <w:rsid w:val="00990D42"/>
    <w:rsid w:val="00990D4E"/>
    <w:rsid w:val="00990DA6"/>
    <w:rsid w:val="00990E2D"/>
    <w:rsid w:val="00990E73"/>
    <w:rsid w:val="00990E74"/>
    <w:rsid w:val="00990E79"/>
    <w:rsid w:val="00990E7A"/>
    <w:rsid w:val="00990E7B"/>
    <w:rsid w:val="00990EBE"/>
    <w:rsid w:val="00990EE0"/>
    <w:rsid w:val="00990F12"/>
    <w:rsid w:val="00990F17"/>
    <w:rsid w:val="00990F27"/>
    <w:rsid w:val="00990F38"/>
    <w:rsid w:val="00990F40"/>
    <w:rsid w:val="00990F89"/>
    <w:rsid w:val="00990F8B"/>
    <w:rsid w:val="00990FA4"/>
    <w:rsid w:val="00990FAA"/>
    <w:rsid w:val="00990FB1"/>
    <w:rsid w:val="00990FB7"/>
    <w:rsid w:val="00990FC6"/>
    <w:rsid w:val="00991003"/>
    <w:rsid w:val="00991060"/>
    <w:rsid w:val="009910BD"/>
    <w:rsid w:val="009910C3"/>
    <w:rsid w:val="009910FE"/>
    <w:rsid w:val="00991157"/>
    <w:rsid w:val="009911B3"/>
    <w:rsid w:val="00991200"/>
    <w:rsid w:val="00991210"/>
    <w:rsid w:val="00991220"/>
    <w:rsid w:val="0099125D"/>
    <w:rsid w:val="00991272"/>
    <w:rsid w:val="009912A1"/>
    <w:rsid w:val="00991329"/>
    <w:rsid w:val="00991366"/>
    <w:rsid w:val="00991373"/>
    <w:rsid w:val="0099138F"/>
    <w:rsid w:val="00991390"/>
    <w:rsid w:val="009913A3"/>
    <w:rsid w:val="009913D9"/>
    <w:rsid w:val="009913E2"/>
    <w:rsid w:val="00991415"/>
    <w:rsid w:val="00991437"/>
    <w:rsid w:val="00991452"/>
    <w:rsid w:val="00991457"/>
    <w:rsid w:val="00991486"/>
    <w:rsid w:val="00991489"/>
    <w:rsid w:val="009914A8"/>
    <w:rsid w:val="009914B6"/>
    <w:rsid w:val="009914F9"/>
    <w:rsid w:val="0099151B"/>
    <w:rsid w:val="00991527"/>
    <w:rsid w:val="0099153B"/>
    <w:rsid w:val="00991551"/>
    <w:rsid w:val="009915B6"/>
    <w:rsid w:val="0099165C"/>
    <w:rsid w:val="0099172B"/>
    <w:rsid w:val="00991732"/>
    <w:rsid w:val="0099174B"/>
    <w:rsid w:val="009917BB"/>
    <w:rsid w:val="009917CF"/>
    <w:rsid w:val="009917D5"/>
    <w:rsid w:val="009917DB"/>
    <w:rsid w:val="00991828"/>
    <w:rsid w:val="00991867"/>
    <w:rsid w:val="0099189F"/>
    <w:rsid w:val="009918DE"/>
    <w:rsid w:val="00991994"/>
    <w:rsid w:val="00991A43"/>
    <w:rsid w:val="00991A44"/>
    <w:rsid w:val="00991A6A"/>
    <w:rsid w:val="00991AB5"/>
    <w:rsid w:val="00991ACA"/>
    <w:rsid w:val="00991B08"/>
    <w:rsid w:val="00991B13"/>
    <w:rsid w:val="00991B43"/>
    <w:rsid w:val="00991B71"/>
    <w:rsid w:val="00991BA1"/>
    <w:rsid w:val="00991BCA"/>
    <w:rsid w:val="00991C16"/>
    <w:rsid w:val="00991CA0"/>
    <w:rsid w:val="00991CEB"/>
    <w:rsid w:val="00991D0D"/>
    <w:rsid w:val="00991D30"/>
    <w:rsid w:val="00991DCE"/>
    <w:rsid w:val="00991E20"/>
    <w:rsid w:val="00991E4D"/>
    <w:rsid w:val="00991E66"/>
    <w:rsid w:val="00991E8D"/>
    <w:rsid w:val="00991EA0"/>
    <w:rsid w:val="00991EAC"/>
    <w:rsid w:val="00991EF3"/>
    <w:rsid w:val="00991F10"/>
    <w:rsid w:val="00991F3A"/>
    <w:rsid w:val="00991F6F"/>
    <w:rsid w:val="00991F99"/>
    <w:rsid w:val="00991FC8"/>
    <w:rsid w:val="0099200B"/>
    <w:rsid w:val="00992018"/>
    <w:rsid w:val="00992034"/>
    <w:rsid w:val="0099206B"/>
    <w:rsid w:val="009920CE"/>
    <w:rsid w:val="009920F0"/>
    <w:rsid w:val="00992124"/>
    <w:rsid w:val="0099213B"/>
    <w:rsid w:val="00992146"/>
    <w:rsid w:val="00992149"/>
    <w:rsid w:val="00992172"/>
    <w:rsid w:val="00992178"/>
    <w:rsid w:val="00992207"/>
    <w:rsid w:val="0099220C"/>
    <w:rsid w:val="009922A7"/>
    <w:rsid w:val="009922B4"/>
    <w:rsid w:val="0099232C"/>
    <w:rsid w:val="009923B9"/>
    <w:rsid w:val="00992404"/>
    <w:rsid w:val="00992424"/>
    <w:rsid w:val="0099242B"/>
    <w:rsid w:val="0099247A"/>
    <w:rsid w:val="00992497"/>
    <w:rsid w:val="009924A6"/>
    <w:rsid w:val="009924E0"/>
    <w:rsid w:val="00992505"/>
    <w:rsid w:val="0099255A"/>
    <w:rsid w:val="00992576"/>
    <w:rsid w:val="00992599"/>
    <w:rsid w:val="009925A9"/>
    <w:rsid w:val="009925EE"/>
    <w:rsid w:val="00992611"/>
    <w:rsid w:val="00992646"/>
    <w:rsid w:val="009926F5"/>
    <w:rsid w:val="00992759"/>
    <w:rsid w:val="0099275B"/>
    <w:rsid w:val="00992788"/>
    <w:rsid w:val="00992792"/>
    <w:rsid w:val="0099281D"/>
    <w:rsid w:val="00992844"/>
    <w:rsid w:val="0099285C"/>
    <w:rsid w:val="00992869"/>
    <w:rsid w:val="00992968"/>
    <w:rsid w:val="009929C4"/>
    <w:rsid w:val="009929F9"/>
    <w:rsid w:val="009929FA"/>
    <w:rsid w:val="00992A7A"/>
    <w:rsid w:val="00992A83"/>
    <w:rsid w:val="00992AAC"/>
    <w:rsid w:val="00992AFA"/>
    <w:rsid w:val="00992B49"/>
    <w:rsid w:val="00992BE9"/>
    <w:rsid w:val="00992C4E"/>
    <w:rsid w:val="00992C5D"/>
    <w:rsid w:val="00992C91"/>
    <w:rsid w:val="00992CA0"/>
    <w:rsid w:val="00992CB6"/>
    <w:rsid w:val="00992D06"/>
    <w:rsid w:val="00992D57"/>
    <w:rsid w:val="00992D85"/>
    <w:rsid w:val="00992DD2"/>
    <w:rsid w:val="00992DDD"/>
    <w:rsid w:val="00992DFC"/>
    <w:rsid w:val="00992E28"/>
    <w:rsid w:val="00992E2A"/>
    <w:rsid w:val="00992E53"/>
    <w:rsid w:val="00992ECA"/>
    <w:rsid w:val="00992EDC"/>
    <w:rsid w:val="00992F34"/>
    <w:rsid w:val="00992F78"/>
    <w:rsid w:val="0099300E"/>
    <w:rsid w:val="00993040"/>
    <w:rsid w:val="009930B7"/>
    <w:rsid w:val="009930CC"/>
    <w:rsid w:val="00993102"/>
    <w:rsid w:val="00993115"/>
    <w:rsid w:val="00993131"/>
    <w:rsid w:val="009931B7"/>
    <w:rsid w:val="009931D0"/>
    <w:rsid w:val="009931E0"/>
    <w:rsid w:val="009931EA"/>
    <w:rsid w:val="0099320D"/>
    <w:rsid w:val="0099323A"/>
    <w:rsid w:val="009932BD"/>
    <w:rsid w:val="009932EB"/>
    <w:rsid w:val="00993358"/>
    <w:rsid w:val="00993392"/>
    <w:rsid w:val="0099342F"/>
    <w:rsid w:val="0099348D"/>
    <w:rsid w:val="009934A9"/>
    <w:rsid w:val="009934B2"/>
    <w:rsid w:val="009934B6"/>
    <w:rsid w:val="00993514"/>
    <w:rsid w:val="0099351B"/>
    <w:rsid w:val="0099358A"/>
    <w:rsid w:val="0099360B"/>
    <w:rsid w:val="00993637"/>
    <w:rsid w:val="00993652"/>
    <w:rsid w:val="009936B5"/>
    <w:rsid w:val="0099370C"/>
    <w:rsid w:val="00993719"/>
    <w:rsid w:val="00993780"/>
    <w:rsid w:val="009937AA"/>
    <w:rsid w:val="009937C5"/>
    <w:rsid w:val="009937CD"/>
    <w:rsid w:val="0099381E"/>
    <w:rsid w:val="0099382F"/>
    <w:rsid w:val="0099384E"/>
    <w:rsid w:val="0099391D"/>
    <w:rsid w:val="009939A5"/>
    <w:rsid w:val="009939AA"/>
    <w:rsid w:val="00993A15"/>
    <w:rsid w:val="00993A36"/>
    <w:rsid w:val="00993A71"/>
    <w:rsid w:val="00993A88"/>
    <w:rsid w:val="00993B35"/>
    <w:rsid w:val="00993B58"/>
    <w:rsid w:val="00993BC1"/>
    <w:rsid w:val="00993C0C"/>
    <w:rsid w:val="00993C30"/>
    <w:rsid w:val="00993C5F"/>
    <w:rsid w:val="00993C66"/>
    <w:rsid w:val="00993CC9"/>
    <w:rsid w:val="00993CCF"/>
    <w:rsid w:val="00993D7F"/>
    <w:rsid w:val="00993E20"/>
    <w:rsid w:val="00993E60"/>
    <w:rsid w:val="00993E75"/>
    <w:rsid w:val="00993F47"/>
    <w:rsid w:val="00993F59"/>
    <w:rsid w:val="00993F65"/>
    <w:rsid w:val="00993F9A"/>
    <w:rsid w:val="00993FCC"/>
    <w:rsid w:val="0099400E"/>
    <w:rsid w:val="0099402C"/>
    <w:rsid w:val="00994099"/>
    <w:rsid w:val="009940CA"/>
    <w:rsid w:val="009940D2"/>
    <w:rsid w:val="00994151"/>
    <w:rsid w:val="00994177"/>
    <w:rsid w:val="0099419B"/>
    <w:rsid w:val="009941E4"/>
    <w:rsid w:val="0099420C"/>
    <w:rsid w:val="00994216"/>
    <w:rsid w:val="00994221"/>
    <w:rsid w:val="00994271"/>
    <w:rsid w:val="00994327"/>
    <w:rsid w:val="0099436D"/>
    <w:rsid w:val="009943C6"/>
    <w:rsid w:val="00994421"/>
    <w:rsid w:val="0099443D"/>
    <w:rsid w:val="00994462"/>
    <w:rsid w:val="0099447F"/>
    <w:rsid w:val="009944A7"/>
    <w:rsid w:val="009944BA"/>
    <w:rsid w:val="009944D8"/>
    <w:rsid w:val="00994509"/>
    <w:rsid w:val="0099451A"/>
    <w:rsid w:val="00994541"/>
    <w:rsid w:val="0099455D"/>
    <w:rsid w:val="0099459D"/>
    <w:rsid w:val="009945DF"/>
    <w:rsid w:val="009945F2"/>
    <w:rsid w:val="00994656"/>
    <w:rsid w:val="00994672"/>
    <w:rsid w:val="009946A5"/>
    <w:rsid w:val="009946A9"/>
    <w:rsid w:val="00994722"/>
    <w:rsid w:val="0099474A"/>
    <w:rsid w:val="00994792"/>
    <w:rsid w:val="009947C2"/>
    <w:rsid w:val="009947D3"/>
    <w:rsid w:val="0099488E"/>
    <w:rsid w:val="009948FF"/>
    <w:rsid w:val="00994900"/>
    <w:rsid w:val="00994995"/>
    <w:rsid w:val="0099499A"/>
    <w:rsid w:val="00994A70"/>
    <w:rsid w:val="00994A76"/>
    <w:rsid w:val="00994B3F"/>
    <w:rsid w:val="00994B6C"/>
    <w:rsid w:val="00994BAA"/>
    <w:rsid w:val="00994BBB"/>
    <w:rsid w:val="00994BD0"/>
    <w:rsid w:val="00994C86"/>
    <w:rsid w:val="00994CA0"/>
    <w:rsid w:val="00994CD0"/>
    <w:rsid w:val="00994CDC"/>
    <w:rsid w:val="00994D5B"/>
    <w:rsid w:val="00994D95"/>
    <w:rsid w:val="00994DAA"/>
    <w:rsid w:val="00994DB0"/>
    <w:rsid w:val="00994DBA"/>
    <w:rsid w:val="00994E66"/>
    <w:rsid w:val="00994E9C"/>
    <w:rsid w:val="00994EB8"/>
    <w:rsid w:val="00994EE3"/>
    <w:rsid w:val="00994F9B"/>
    <w:rsid w:val="00994FCB"/>
    <w:rsid w:val="00994FEC"/>
    <w:rsid w:val="0099503A"/>
    <w:rsid w:val="0099504D"/>
    <w:rsid w:val="009950A0"/>
    <w:rsid w:val="009950B2"/>
    <w:rsid w:val="009950EF"/>
    <w:rsid w:val="0099510E"/>
    <w:rsid w:val="0099511C"/>
    <w:rsid w:val="00995142"/>
    <w:rsid w:val="009952EB"/>
    <w:rsid w:val="0099533C"/>
    <w:rsid w:val="00995342"/>
    <w:rsid w:val="00995345"/>
    <w:rsid w:val="0099535B"/>
    <w:rsid w:val="00995368"/>
    <w:rsid w:val="009953B6"/>
    <w:rsid w:val="009953D4"/>
    <w:rsid w:val="009953DF"/>
    <w:rsid w:val="00995427"/>
    <w:rsid w:val="00995494"/>
    <w:rsid w:val="00995497"/>
    <w:rsid w:val="009954AF"/>
    <w:rsid w:val="009954F7"/>
    <w:rsid w:val="0099553A"/>
    <w:rsid w:val="009955C3"/>
    <w:rsid w:val="009955E4"/>
    <w:rsid w:val="00995607"/>
    <w:rsid w:val="0099560C"/>
    <w:rsid w:val="00995612"/>
    <w:rsid w:val="00995662"/>
    <w:rsid w:val="0099568F"/>
    <w:rsid w:val="009956F8"/>
    <w:rsid w:val="0099578C"/>
    <w:rsid w:val="009957A6"/>
    <w:rsid w:val="009957BD"/>
    <w:rsid w:val="009957FB"/>
    <w:rsid w:val="00995808"/>
    <w:rsid w:val="0099581E"/>
    <w:rsid w:val="00995835"/>
    <w:rsid w:val="00995879"/>
    <w:rsid w:val="0099587F"/>
    <w:rsid w:val="00995882"/>
    <w:rsid w:val="0099588A"/>
    <w:rsid w:val="0099589C"/>
    <w:rsid w:val="009958ED"/>
    <w:rsid w:val="00995966"/>
    <w:rsid w:val="00995976"/>
    <w:rsid w:val="009959A1"/>
    <w:rsid w:val="009959D2"/>
    <w:rsid w:val="009959E6"/>
    <w:rsid w:val="00995A06"/>
    <w:rsid w:val="00995A0E"/>
    <w:rsid w:val="00995A15"/>
    <w:rsid w:val="00995A1F"/>
    <w:rsid w:val="00995A77"/>
    <w:rsid w:val="00995AA5"/>
    <w:rsid w:val="00995AD7"/>
    <w:rsid w:val="00995AE9"/>
    <w:rsid w:val="00995B52"/>
    <w:rsid w:val="00995B5B"/>
    <w:rsid w:val="00995B84"/>
    <w:rsid w:val="00995BB4"/>
    <w:rsid w:val="00995BBD"/>
    <w:rsid w:val="00995BDD"/>
    <w:rsid w:val="00995C87"/>
    <w:rsid w:val="00995D09"/>
    <w:rsid w:val="00995D60"/>
    <w:rsid w:val="00995D64"/>
    <w:rsid w:val="00995DD7"/>
    <w:rsid w:val="00995DF0"/>
    <w:rsid w:val="00995E16"/>
    <w:rsid w:val="00995EED"/>
    <w:rsid w:val="00995F2A"/>
    <w:rsid w:val="00995F2E"/>
    <w:rsid w:val="00995F37"/>
    <w:rsid w:val="00995F45"/>
    <w:rsid w:val="00995FA3"/>
    <w:rsid w:val="00995FB3"/>
    <w:rsid w:val="00995FC3"/>
    <w:rsid w:val="00995FF1"/>
    <w:rsid w:val="00996021"/>
    <w:rsid w:val="0099602E"/>
    <w:rsid w:val="00996053"/>
    <w:rsid w:val="0099605E"/>
    <w:rsid w:val="00996127"/>
    <w:rsid w:val="00996168"/>
    <w:rsid w:val="00996185"/>
    <w:rsid w:val="00996190"/>
    <w:rsid w:val="00996191"/>
    <w:rsid w:val="009961D3"/>
    <w:rsid w:val="00996221"/>
    <w:rsid w:val="00996247"/>
    <w:rsid w:val="0099627B"/>
    <w:rsid w:val="0099630A"/>
    <w:rsid w:val="0099630C"/>
    <w:rsid w:val="00996310"/>
    <w:rsid w:val="00996350"/>
    <w:rsid w:val="00996369"/>
    <w:rsid w:val="0099638E"/>
    <w:rsid w:val="009963A8"/>
    <w:rsid w:val="00996446"/>
    <w:rsid w:val="0099644A"/>
    <w:rsid w:val="00996465"/>
    <w:rsid w:val="009964DF"/>
    <w:rsid w:val="009964E9"/>
    <w:rsid w:val="009964F6"/>
    <w:rsid w:val="00996536"/>
    <w:rsid w:val="00996566"/>
    <w:rsid w:val="00996589"/>
    <w:rsid w:val="009965BD"/>
    <w:rsid w:val="009966AA"/>
    <w:rsid w:val="009966C6"/>
    <w:rsid w:val="0099671B"/>
    <w:rsid w:val="00996759"/>
    <w:rsid w:val="0099680B"/>
    <w:rsid w:val="00996838"/>
    <w:rsid w:val="009968AF"/>
    <w:rsid w:val="009968B9"/>
    <w:rsid w:val="009968CF"/>
    <w:rsid w:val="009968EB"/>
    <w:rsid w:val="009968F5"/>
    <w:rsid w:val="0099690E"/>
    <w:rsid w:val="00996919"/>
    <w:rsid w:val="0099697C"/>
    <w:rsid w:val="009969B3"/>
    <w:rsid w:val="009969FE"/>
    <w:rsid w:val="00996A6F"/>
    <w:rsid w:val="00996A94"/>
    <w:rsid w:val="00996AA2"/>
    <w:rsid w:val="00996AD2"/>
    <w:rsid w:val="00996AF4"/>
    <w:rsid w:val="00996B17"/>
    <w:rsid w:val="00996B8C"/>
    <w:rsid w:val="00996BFA"/>
    <w:rsid w:val="00996C3D"/>
    <w:rsid w:val="00996C50"/>
    <w:rsid w:val="00996CB6"/>
    <w:rsid w:val="00996CC6"/>
    <w:rsid w:val="00996CD1"/>
    <w:rsid w:val="00996D17"/>
    <w:rsid w:val="00996D53"/>
    <w:rsid w:val="00996D62"/>
    <w:rsid w:val="00996DAF"/>
    <w:rsid w:val="00996E2E"/>
    <w:rsid w:val="00996E71"/>
    <w:rsid w:val="00996E88"/>
    <w:rsid w:val="00996EB5"/>
    <w:rsid w:val="00996EB9"/>
    <w:rsid w:val="00996F25"/>
    <w:rsid w:val="00996F7C"/>
    <w:rsid w:val="00996FB7"/>
    <w:rsid w:val="00996FC1"/>
    <w:rsid w:val="00996FFC"/>
    <w:rsid w:val="00997016"/>
    <w:rsid w:val="00997017"/>
    <w:rsid w:val="0099703D"/>
    <w:rsid w:val="0099704D"/>
    <w:rsid w:val="0099705E"/>
    <w:rsid w:val="0099707E"/>
    <w:rsid w:val="00997082"/>
    <w:rsid w:val="0099708B"/>
    <w:rsid w:val="00997116"/>
    <w:rsid w:val="0099711F"/>
    <w:rsid w:val="00997246"/>
    <w:rsid w:val="00997255"/>
    <w:rsid w:val="00997258"/>
    <w:rsid w:val="0099725C"/>
    <w:rsid w:val="009972A7"/>
    <w:rsid w:val="009972C4"/>
    <w:rsid w:val="0099730D"/>
    <w:rsid w:val="009973EE"/>
    <w:rsid w:val="00997419"/>
    <w:rsid w:val="0099742A"/>
    <w:rsid w:val="00997465"/>
    <w:rsid w:val="00997498"/>
    <w:rsid w:val="009974D5"/>
    <w:rsid w:val="0099750E"/>
    <w:rsid w:val="0099750F"/>
    <w:rsid w:val="00997553"/>
    <w:rsid w:val="00997556"/>
    <w:rsid w:val="009975B2"/>
    <w:rsid w:val="009975DC"/>
    <w:rsid w:val="0099762F"/>
    <w:rsid w:val="0099763D"/>
    <w:rsid w:val="00997686"/>
    <w:rsid w:val="0099768F"/>
    <w:rsid w:val="00997696"/>
    <w:rsid w:val="009976BC"/>
    <w:rsid w:val="00997709"/>
    <w:rsid w:val="00997724"/>
    <w:rsid w:val="00997781"/>
    <w:rsid w:val="009977CB"/>
    <w:rsid w:val="00997807"/>
    <w:rsid w:val="0099780A"/>
    <w:rsid w:val="0099783C"/>
    <w:rsid w:val="009978B7"/>
    <w:rsid w:val="009978FA"/>
    <w:rsid w:val="00997945"/>
    <w:rsid w:val="00997971"/>
    <w:rsid w:val="0099798E"/>
    <w:rsid w:val="009979BE"/>
    <w:rsid w:val="009979EE"/>
    <w:rsid w:val="00997A39"/>
    <w:rsid w:val="00997A41"/>
    <w:rsid w:val="00997A55"/>
    <w:rsid w:val="00997AEF"/>
    <w:rsid w:val="00997B12"/>
    <w:rsid w:val="00997B29"/>
    <w:rsid w:val="00997B58"/>
    <w:rsid w:val="00997C27"/>
    <w:rsid w:val="00997C93"/>
    <w:rsid w:val="00997C95"/>
    <w:rsid w:val="00997CD0"/>
    <w:rsid w:val="00997CE6"/>
    <w:rsid w:val="00997D09"/>
    <w:rsid w:val="00997D17"/>
    <w:rsid w:val="00997DF1"/>
    <w:rsid w:val="00997E76"/>
    <w:rsid w:val="00997ECC"/>
    <w:rsid w:val="00997F4D"/>
    <w:rsid w:val="00997F5A"/>
    <w:rsid w:val="00997F66"/>
    <w:rsid w:val="00997FC9"/>
    <w:rsid w:val="00997FD8"/>
    <w:rsid w:val="009A0002"/>
    <w:rsid w:val="009A0007"/>
    <w:rsid w:val="009A005E"/>
    <w:rsid w:val="009A0070"/>
    <w:rsid w:val="009A0075"/>
    <w:rsid w:val="009A0087"/>
    <w:rsid w:val="009A015F"/>
    <w:rsid w:val="009A01AF"/>
    <w:rsid w:val="009A01C1"/>
    <w:rsid w:val="009A0290"/>
    <w:rsid w:val="009A02E1"/>
    <w:rsid w:val="009A02E3"/>
    <w:rsid w:val="009A02FA"/>
    <w:rsid w:val="009A0337"/>
    <w:rsid w:val="009A03C8"/>
    <w:rsid w:val="009A041F"/>
    <w:rsid w:val="009A044B"/>
    <w:rsid w:val="009A0453"/>
    <w:rsid w:val="009A0483"/>
    <w:rsid w:val="009A04D5"/>
    <w:rsid w:val="009A04E0"/>
    <w:rsid w:val="009A04E6"/>
    <w:rsid w:val="009A053E"/>
    <w:rsid w:val="009A0554"/>
    <w:rsid w:val="009A0564"/>
    <w:rsid w:val="009A0565"/>
    <w:rsid w:val="009A057D"/>
    <w:rsid w:val="009A0595"/>
    <w:rsid w:val="009A05D6"/>
    <w:rsid w:val="009A05D9"/>
    <w:rsid w:val="009A05F1"/>
    <w:rsid w:val="009A0646"/>
    <w:rsid w:val="009A0679"/>
    <w:rsid w:val="009A0683"/>
    <w:rsid w:val="009A06BF"/>
    <w:rsid w:val="009A06E9"/>
    <w:rsid w:val="009A06FB"/>
    <w:rsid w:val="009A073D"/>
    <w:rsid w:val="009A0762"/>
    <w:rsid w:val="009A0778"/>
    <w:rsid w:val="009A078C"/>
    <w:rsid w:val="009A07DC"/>
    <w:rsid w:val="009A0809"/>
    <w:rsid w:val="009A0828"/>
    <w:rsid w:val="009A0867"/>
    <w:rsid w:val="009A0898"/>
    <w:rsid w:val="009A08A6"/>
    <w:rsid w:val="009A08AD"/>
    <w:rsid w:val="009A08FD"/>
    <w:rsid w:val="009A0921"/>
    <w:rsid w:val="009A0961"/>
    <w:rsid w:val="009A0978"/>
    <w:rsid w:val="009A09EE"/>
    <w:rsid w:val="009A09FD"/>
    <w:rsid w:val="009A0A54"/>
    <w:rsid w:val="009A0A7A"/>
    <w:rsid w:val="009A0A9A"/>
    <w:rsid w:val="009A0ABF"/>
    <w:rsid w:val="009A0AD1"/>
    <w:rsid w:val="009A0B3C"/>
    <w:rsid w:val="009A0B48"/>
    <w:rsid w:val="009A0B97"/>
    <w:rsid w:val="009A0BDC"/>
    <w:rsid w:val="009A0C24"/>
    <w:rsid w:val="009A0C60"/>
    <w:rsid w:val="009A0CA8"/>
    <w:rsid w:val="009A0CAF"/>
    <w:rsid w:val="009A0CE8"/>
    <w:rsid w:val="009A0D5E"/>
    <w:rsid w:val="009A0E0D"/>
    <w:rsid w:val="009A0E3B"/>
    <w:rsid w:val="009A0E69"/>
    <w:rsid w:val="009A0E78"/>
    <w:rsid w:val="009A0E7B"/>
    <w:rsid w:val="009A0E8E"/>
    <w:rsid w:val="009A0EF5"/>
    <w:rsid w:val="009A0F0A"/>
    <w:rsid w:val="009A0F1C"/>
    <w:rsid w:val="009A0F2B"/>
    <w:rsid w:val="009A0F82"/>
    <w:rsid w:val="009A0F96"/>
    <w:rsid w:val="009A0FB6"/>
    <w:rsid w:val="009A0FD7"/>
    <w:rsid w:val="009A0FFF"/>
    <w:rsid w:val="009A100D"/>
    <w:rsid w:val="009A104F"/>
    <w:rsid w:val="009A1053"/>
    <w:rsid w:val="009A10A1"/>
    <w:rsid w:val="009A10E1"/>
    <w:rsid w:val="009A1109"/>
    <w:rsid w:val="009A1122"/>
    <w:rsid w:val="009A114C"/>
    <w:rsid w:val="009A1155"/>
    <w:rsid w:val="009A116D"/>
    <w:rsid w:val="009A1172"/>
    <w:rsid w:val="009A119C"/>
    <w:rsid w:val="009A11B3"/>
    <w:rsid w:val="009A11C5"/>
    <w:rsid w:val="009A11E3"/>
    <w:rsid w:val="009A11EE"/>
    <w:rsid w:val="009A11F6"/>
    <w:rsid w:val="009A1238"/>
    <w:rsid w:val="009A125B"/>
    <w:rsid w:val="009A12AD"/>
    <w:rsid w:val="009A12FE"/>
    <w:rsid w:val="009A1306"/>
    <w:rsid w:val="009A130E"/>
    <w:rsid w:val="009A1371"/>
    <w:rsid w:val="009A1375"/>
    <w:rsid w:val="009A13A0"/>
    <w:rsid w:val="009A13B3"/>
    <w:rsid w:val="009A13D2"/>
    <w:rsid w:val="009A13E6"/>
    <w:rsid w:val="009A13F7"/>
    <w:rsid w:val="009A1442"/>
    <w:rsid w:val="009A1528"/>
    <w:rsid w:val="009A1536"/>
    <w:rsid w:val="009A155B"/>
    <w:rsid w:val="009A15AB"/>
    <w:rsid w:val="009A1621"/>
    <w:rsid w:val="009A1656"/>
    <w:rsid w:val="009A16A4"/>
    <w:rsid w:val="009A16B8"/>
    <w:rsid w:val="009A16F2"/>
    <w:rsid w:val="009A176B"/>
    <w:rsid w:val="009A17D0"/>
    <w:rsid w:val="009A17FD"/>
    <w:rsid w:val="009A1836"/>
    <w:rsid w:val="009A1889"/>
    <w:rsid w:val="009A18C1"/>
    <w:rsid w:val="009A18EB"/>
    <w:rsid w:val="009A19CA"/>
    <w:rsid w:val="009A19F0"/>
    <w:rsid w:val="009A1B0E"/>
    <w:rsid w:val="009A1BBE"/>
    <w:rsid w:val="009A1BD1"/>
    <w:rsid w:val="009A1C2C"/>
    <w:rsid w:val="009A1CAB"/>
    <w:rsid w:val="009A1CC8"/>
    <w:rsid w:val="009A1CCF"/>
    <w:rsid w:val="009A1D35"/>
    <w:rsid w:val="009A1D80"/>
    <w:rsid w:val="009A1DCF"/>
    <w:rsid w:val="009A1DD2"/>
    <w:rsid w:val="009A1E65"/>
    <w:rsid w:val="009A1E7F"/>
    <w:rsid w:val="009A1EB4"/>
    <w:rsid w:val="009A1ED1"/>
    <w:rsid w:val="009A1F1F"/>
    <w:rsid w:val="009A1F29"/>
    <w:rsid w:val="009A1F5D"/>
    <w:rsid w:val="009A204A"/>
    <w:rsid w:val="009A204B"/>
    <w:rsid w:val="009A20BC"/>
    <w:rsid w:val="009A20C8"/>
    <w:rsid w:val="009A20CC"/>
    <w:rsid w:val="009A20E7"/>
    <w:rsid w:val="009A20F2"/>
    <w:rsid w:val="009A2112"/>
    <w:rsid w:val="009A2175"/>
    <w:rsid w:val="009A2203"/>
    <w:rsid w:val="009A222D"/>
    <w:rsid w:val="009A2233"/>
    <w:rsid w:val="009A2251"/>
    <w:rsid w:val="009A2291"/>
    <w:rsid w:val="009A22A1"/>
    <w:rsid w:val="009A22BC"/>
    <w:rsid w:val="009A22E8"/>
    <w:rsid w:val="009A234B"/>
    <w:rsid w:val="009A238C"/>
    <w:rsid w:val="009A2398"/>
    <w:rsid w:val="009A23A5"/>
    <w:rsid w:val="009A23C6"/>
    <w:rsid w:val="009A2465"/>
    <w:rsid w:val="009A2468"/>
    <w:rsid w:val="009A24C4"/>
    <w:rsid w:val="009A24CE"/>
    <w:rsid w:val="009A25A6"/>
    <w:rsid w:val="009A25A7"/>
    <w:rsid w:val="009A25BD"/>
    <w:rsid w:val="009A25CB"/>
    <w:rsid w:val="009A2605"/>
    <w:rsid w:val="009A2615"/>
    <w:rsid w:val="009A2641"/>
    <w:rsid w:val="009A264C"/>
    <w:rsid w:val="009A2664"/>
    <w:rsid w:val="009A26D2"/>
    <w:rsid w:val="009A26D7"/>
    <w:rsid w:val="009A26EE"/>
    <w:rsid w:val="009A2767"/>
    <w:rsid w:val="009A280D"/>
    <w:rsid w:val="009A284B"/>
    <w:rsid w:val="009A2868"/>
    <w:rsid w:val="009A2874"/>
    <w:rsid w:val="009A28B7"/>
    <w:rsid w:val="009A28BE"/>
    <w:rsid w:val="009A28CC"/>
    <w:rsid w:val="009A28F3"/>
    <w:rsid w:val="009A2902"/>
    <w:rsid w:val="009A2927"/>
    <w:rsid w:val="009A2975"/>
    <w:rsid w:val="009A298D"/>
    <w:rsid w:val="009A299F"/>
    <w:rsid w:val="009A29A9"/>
    <w:rsid w:val="009A2A12"/>
    <w:rsid w:val="009A2AD8"/>
    <w:rsid w:val="009A2AFB"/>
    <w:rsid w:val="009A2B24"/>
    <w:rsid w:val="009A2B32"/>
    <w:rsid w:val="009A2B55"/>
    <w:rsid w:val="009A2B5E"/>
    <w:rsid w:val="009A2BD4"/>
    <w:rsid w:val="009A2C07"/>
    <w:rsid w:val="009A2C26"/>
    <w:rsid w:val="009A2C37"/>
    <w:rsid w:val="009A2C41"/>
    <w:rsid w:val="009A2C62"/>
    <w:rsid w:val="009A2C7E"/>
    <w:rsid w:val="009A2C98"/>
    <w:rsid w:val="009A2CF8"/>
    <w:rsid w:val="009A2D0F"/>
    <w:rsid w:val="009A2D9C"/>
    <w:rsid w:val="009A2DE0"/>
    <w:rsid w:val="009A2E53"/>
    <w:rsid w:val="009A2E59"/>
    <w:rsid w:val="009A2E5B"/>
    <w:rsid w:val="009A2E67"/>
    <w:rsid w:val="009A2EB0"/>
    <w:rsid w:val="009A2EBD"/>
    <w:rsid w:val="009A2EC5"/>
    <w:rsid w:val="009A2F7E"/>
    <w:rsid w:val="009A3009"/>
    <w:rsid w:val="009A3034"/>
    <w:rsid w:val="009A303F"/>
    <w:rsid w:val="009A306E"/>
    <w:rsid w:val="009A30B8"/>
    <w:rsid w:val="009A30C6"/>
    <w:rsid w:val="009A3140"/>
    <w:rsid w:val="009A3148"/>
    <w:rsid w:val="009A318B"/>
    <w:rsid w:val="009A31D2"/>
    <w:rsid w:val="009A3234"/>
    <w:rsid w:val="009A3276"/>
    <w:rsid w:val="009A3282"/>
    <w:rsid w:val="009A3295"/>
    <w:rsid w:val="009A3300"/>
    <w:rsid w:val="009A3316"/>
    <w:rsid w:val="009A332B"/>
    <w:rsid w:val="009A3373"/>
    <w:rsid w:val="009A339F"/>
    <w:rsid w:val="009A33A3"/>
    <w:rsid w:val="009A33E1"/>
    <w:rsid w:val="009A3461"/>
    <w:rsid w:val="009A3486"/>
    <w:rsid w:val="009A3488"/>
    <w:rsid w:val="009A3515"/>
    <w:rsid w:val="009A3520"/>
    <w:rsid w:val="009A3557"/>
    <w:rsid w:val="009A35A7"/>
    <w:rsid w:val="009A35BE"/>
    <w:rsid w:val="009A35C2"/>
    <w:rsid w:val="009A36BE"/>
    <w:rsid w:val="009A373A"/>
    <w:rsid w:val="009A373C"/>
    <w:rsid w:val="009A3751"/>
    <w:rsid w:val="009A375A"/>
    <w:rsid w:val="009A3777"/>
    <w:rsid w:val="009A379E"/>
    <w:rsid w:val="009A3804"/>
    <w:rsid w:val="009A380E"/>
    <w:rsid w:val="009A3889"/>
    <w:rsid w:val="009A38A6"/>
    <w:rsid w:val="009A3962"/>
    <w:rsid w:val="009A3974"/>
    <w:rsid w:val="009A3975"/>
    <w:rsid w:val="009A39DE"/>
    <w:rsid w:val="009A39DF"/>
    <w:rsid w:val="009A3A21"/>
    <w:rsid w:val="009A3A40"/>
    <w:rsid w:val="009A3A5E"/>
    <w:rsid w:val="009A3A67"/>
    <w:rsid w:val="009A3AB8"/>
    <w:rsid w:val="009A3AFA"/>
    <w:rsid w:val="009A3B03"/>
    <w:rsid w:val="009A3B10"/>
    <w:rsid w:val="009A3B1A"/>
    <w:rsid w:val="009A3B43"/>
    <w:rsid w:val="009A3BAA"/>
    <w:rsid w:val="009A3BB6"/>
    <w:rsid w:val="009A3C10"/>
    <w:rsid w:val="009A3CAA"/>
    <w:rsid w:val="009A3D0A"/>
    <w:rsid w:val="009A3D0D"/>
    <w:rsid w:val="009A3D55"/>
    <w:rsid w:val="009A3D9D"/>
    <w:rsid w:val="009A3D9E"/>
    <w:rsid w:val="009A3DDF"/>
    <w:rsid w:val="009A3E18"/>
    <w:rsid w:val="009A3ECE"/>
    <w:rsid w:val="009A3EF0"/>
    <w:rsid w:val="009A3EF1"/>
    <w:rsid w:val="009A3F15"/>
    <w:rsid w:val="009A3FAA"/>
    <w:rsid w:val="009A3FC4"/>
    <w:rsid w:val="009A4038"/>
    <w:rsid w:val="009A4052"/>
    <w:rsid w:val="009A4078"/>
    <w:rsid w:val="009A4080"/>
    <w:rsid w:val="009A408C"/>
    <w:rsid w:val="009A40AB"/>
    <w:rsid w:val="009A40AE"/>
    <w:rsid w:val="009A40FE"/>
    <w:rsid w:val="009A41C4"/>
    <w:rsid w:val="009A41C5"/>
    <w:rsid w:val="009A41D4"/>
    <w:rsid w:val="009A41E4"/>
    <w:rsid w:val="009A428A"/>
    <w:rsid w:val="009A429F"/>
    <w:rsid w:val="009A42C3"/>
    <w:rsid w:val="009A42FF"/>
    <w:rsid w:val="009A433A"/>
    <w:rsid w:val="009A4361"/>
    <w:rsid w:val="009A4376"/>
    <w:rsid w:val="009A43C6"/>
    <w:rsid w:val="009A43EF"/>
    <w:rsid w:val="009A43F5"/>
    <w:rsid w:val="009A43F8"/>
    <w:rsid w:val="009A4408"/>
    <w:rsid w:val="009A4437"/>
    <w:rsid w:val="009A4494"/>
    <w:rsid w:val="009A44B7"/>
    <w:rsid w:val="009A44BF"/>
    <w:rsid w:val="009A44D3"/>
    <w:rsid w:val="009A44DB"/>
    <w:rsid w:val="009A4527"/>
    <w:rsid w:val="009A456D"/>
    <w:rsid w:val="009A45AC"/>
    <w:rsid w:val="009A4617"/>
    <w:rsid w:val="009A467A"/>
    <w:rsid w:val="009A4699"/>
    <w:rsid w:val="009A4723"/>
    <w:rsid w:val="009A473D"/>
    <w:rsid w:val="009A4772"/>
    <w:rsid w:val="009A479D"/>
    <w:rsid w:val="009A47A5"/>
    <w:rsid w:val="009A47EB"/>
    <w:rsid w:val="009A4800"/>
    <w:rsid w:val="009A4838"/>
    <w:rsid w:val="009A4903"/>
    <w:rsid w:val="009A490A"/>
    <w:rsid w:val="009A4945"/>
    <w:rsid w:val="009A497C"/>
    <w:rsid w:val="009A49BC"/>
    <w:rsid w:val="009A49C3"/>
    <w:rsid w:val="009A49D9"/>
    <w:rsid w:val="009A49F8"/>
    <w:rsid w:val="009A4A24"/>
    <w:rsid w:val="009A4A26"/>
    <w:rsid w:val="009A4A48"/>
    <w:rsid w:val="009A4A6A"/>
    <w:rsid w:val="009A4ADE"/>
    <w:rsid w:val="009A4AF5"/>
    <w:rsid w:val="009A4B11"/>
    <w:rsid w:val="009A4B16"/>
    <w:rsid w:val="009A4B36"/>
    <w:rsid w:val="009A4B4D"/>
    <w:rsid w:val="009A4B77"/>
    <w:rsid w:val="009A4B93"/>
    <w:rsid w:val="009A4B98"/>
    <w:rsid w:val="009A4BA0"/>
    <w:rsid w:val="009A4C2E"/>
    <w:rsid w:val="009A4C65"/>
    <w:rsid w:val="009A4CBC"/>
    <w:rsid w:val="009A4CF6"/>
    <w:rsid w:val="009A4DC9"/>
    <w:rsid w:val="009A4DE2"/>
    <w:rsid w:val="009A4DF0"/>
    <w:rsid w:val="009A4E18"/>
    <w:rsid w:val="009A4E65"/>
    <w:rsid w:val="009A4E79"/>
    <w:rsid w:val="009A4EA4"/>
    <w:rsid w:val="009A4EAB"/>
    <w:rsid w:val="009A4ED5"/>
    <w:rsid w:val="009A4EE9"/>
    <w:rsid w:val="009A4F45"/>
    <w:rsid w:val="009A4F52"/>
    <w:rsid w:val="009A4F9D"/>
    <w:rsid w:val="009A5028"/>
    <w:rsid w:val="009A5073"/>
    <w:rsid w:val="009A507F"/>
    <w:rsid w:val="009A50D3"/>
    <w:rsid w:val="009A5122"/>
    <w:rsid w:val="009A5127"/>
    <w:rsid w:val="009A5162"/>
    <w:rsid w:val="009A51A1"/>
    <w:rsid w:val="009A51D8"/>
    <w:rsid w:val="009A51EC"/>
    <w:rsid w:val="009A521C"/>
    <w:rsid w:val="009A5227"/>
    <w:rsid w:val="009A526A"/>
    <w:rsid w:val="009A5299"/>
    <w:rsid w:val="009A52E3"/>
    <w:rsid w:val="009A5306"/>
    <w:rsid w:val="009A5366"/>
    <w:rsid w:val="009A536D"/>
    <w:rsid w:val="009A5378"/>
    <w:rsid w:val="009A53B7"/>
    <w:rsid w:val="009A53F7"/>
    <w:rsid w:val="009A548A"/>
    <w:rsid w:val="009A54A1"/>
    <w:rsid w:val="009A54AF"/>
    <w:rsid w:val="009A54D0"/>
    <w:rsid w:val="009A54D2"/>
    <w:rsid w:val="009A5510"/>
    <w:rsid w:val="009A5572"/>
    <w:rsid w:val="009A55A0"/>
    <w:rsid w:val="009A55A5"/>
    <w:rsid w:val="009A55B1"/>
    <w:rsid w:val="009A560E"/>
    <w:rsid w:val="009A564A"/>
    <w:rsid w:val="009A5670"/>
    <w:rsid w:val="009A5688"/>
    <w:rsid w:val="009A56ED"/>
    <w:rsid w:val="009A5726"/>
    <w:rsid w:val="009A572F"/>
    <w:rsid w:val="009A5762"/>
    <w:rsid w:val="009A5768"/>
    <w:rsid w:val="009A579C"/>
    <w:rsid w:val="009A57CC"/>
    <w:rsid w:val="009A5807"/>
    <w:rsid w:val="009A5820"/>
    <w:rsid w:val="009A587F"/>
    <w:rsid w:val="009A58B3"/>
    <w:rsid w:val="009A5938"/>
    <w:rsid w:val="009A59F5"/>
    <w:rsid w:val="009A59FC"/>
    <w:rsid w:val="009A5A01"/>
    <w:rsid w:val="009A5A08"/>
    <w:rsid w:val="009A5A12"/>
    <w:rsid w:val="009A5A65"/>
    <w:rsid w:val="009A5A92"/>
    <w:rsid w:val="009A5ACA"/>
    <w:rsid w:val="009A5AD9"/>
    <w:rsid w:val="009A5ADF"/>
    <w:rsid w:val="009A5AE7"/>
    <w:rsid w:val="009A5AFD"/>
    <w:rsid w:val="009A5B10"/>
    <w:rsid w:val="009A5B48"/>
    <w:rsid w:val="009A5B4B"/>
    <w:rsid w:val="009A5B6E"/>
    <w:rsid w:val="009A5C1B"/>
    <w:rsid w:val="009A5C36"/>
    <w:rsid w:val="009A5C41"/>
    <w:rsid w:val="009A5C51"/>
    <w:rsid w:val="009A5C8A"/>
    <w:rsid w:val="009A5C8D"/>
    <w:rsid w:val="009A5CEE"/>
    <w:rsid w:val="009A5D2A"/>
    <w:rsid w:val="009A5D59"/>
    <w:rsid w:val="009A5D69"/>
    <w:rsid w:val="009A5DB5"/>
    <w:rsid w:val="009A5DE7"/>
    <w:rsid w:val="009A5E0B"/>
    <w:rsid w:val="009A5EAE"/>
    <w:rsid w:val="009A5EAF"/>
    <w:rsid w:val="009A5EC2"/>
    <w:rsid w:val="009A5EEE"/>
    <w:rsid w:val="009A5F4A"/>
    <w:rsid w:val="009A5F9C"/>
    <w:rsid w:val="009A5FBC"/>
    <w:rsid w:val="009A5FCE"/>
    <w:rsid w:val="009A601F"/>
    <w:rsid w:val="009A60C5"/>
    <w:rsid w:val="009A6153"/>
    <w:rsid w:val="009A618C"/>
    <w:rsid w:val="009A61B1"/>
    <w:rsid w:val="009A6274"/>
    <w:rsid w:val="009A628B"/>
    <w:rsid w:val="009A6299"/>
    <w:rsid w:val="009A62EB"/>
    <w:rsid w:val="009A630B"/>
    <w:rsid w:val="009A63AD"/>
    <w:rsid w:val="009A63B7"/>
    <w:rsid w:val="009A63BC"/>
    <w:rsid w:val="009A640E"/>
    <w:rsid w:val="009A6415"/>
    <w:rsid w:val="009A6439"/>
    <w:rsid w:val="009A643D"/>
    <w:rsid w:val="009A6453"/>
    <w:rsid w:val="009A6463"/>
    <w:rsid w:val="009A646A"/>
    <w:rsid w:val="009A64AC"/>
    <w:rsid w:val="009A6515"/>
    <w:rsid w:val="009A653F"/>
    <w:rsid w:val="009A6548"/>
    <w:rsid w:val="009A6586"/>
    <w:rsid w:val="009A6589"/>
    <w:rsid w:val="009A65C4"/>
    <w:rsid w:val="009A65D1"/>
    <w:rsid w:val="009A6601"/>
    <w:rsid w:val="009A6608"/>
    <w:rsid w:val="009A666D"/>
    <w:rsid w:val="009A6674"/>
    <w:rsid w:val="009A6688"/>
    <w:rsid w:val="009A669A"/>
    <w:rsid w:val="009A66D7"/>
    <w:rsid w:val="009A6714"/>
    <w:rsid w:val="009A674C"/>
    <w:rsid w:val="009A6762"/>
    <w:rsid w:val="009A677F"/>
    <w:rsid w:val="009A6848"/>
    <w:rsid w:val="009A685F"/>
    <w:rsid w:val="009A68A5"/>
    <w:rsid w:val="009A68F4"/>
    <w:rsid w:val="009A68F6"/>
    <w:rsid w:val="009A690D"/>
    <w:rsid w:val="009A6913"/>
    <w:rsid w:val="009A6AB9"/>
    <w:rsid w:val="009A6AC1"/>
    <w:rsid w:val="009A6ADE"/>
    <w:rsid w:val="009A6B0C"/>
    <w:rsid w:val="009A6BC2"/>
    <w:rsid w:val="009A6BCD"/>
    <w:rsid w:val="009A6C27"/>
    <w:rsid w:val="009A6C30"/>
    <w:rsid w:val="009A6C63"/>
    <w:rsid w:val="009A6C6C"/>
    <w:rsid w:val="009A6C89"/>
    <w:rsid w:val="009A6CC6"/>
    <w:rsid w:val="009A6CF3"/>
    <w:rsid w:val="009A6D01"/>
    <w:rsid w:val="009A6D0B"/>
    <w:rsid w:val="009A6D68"/>
    <w:rsid w:val="009A6D6B"/>
    <w:rsid w:val="009A6D9C"/>
    <w:rsid w:val="009A6E15"/>
    <w:rsid w:val="009A6EA7"/>
    <w:rsid w:val="009A6EAF"/>
    <w:rsid w:val="009A6EE6"/>
    <w:rsid w:val="009A6F1F"/>
    <w:rsid w:val="009A6F29"/>
    <w:rsid w:val="009A6F4F"/>
    <w:rsid w:val="009A6F82"/>
    <w:rsid w:val="009A6F88"/>
    <w:rsid w:val="009A6F9B"/>
    <w:rsid w:val="009A6FA9"/>
    <w:rsid w:val="009A703A"/>
    <w:rsid w:val="009A7051"/>
    <w:rsid w:val="009A710E"/>
    <w:rsid w:val="009A7116"/>
    <w:rsid w:val="009A713E"/>
    <w:rsid w:val="009A71D9"/>
    <w:rsid w:val="009A71ED"/>
    <w:rsid w:val="009A7237"/>
    <w:rsid w:val="009A727D"/>
    <w:rsid w:val="009A72E3"/>
    <w:rsid w:val="009A72FA"/>
    <w:rsid w:val="009A7328"/>
    <w:rsid w:val="009A738E"/>
    <w:rsid w:val="009A73BB"/>
    <w:rsid w:val="009A73BF"/>
    <w:rsid w:val="009A741A"/>
    <w:rsid w:val="009A748F"/>
    <w:rsid w:val="009A7496"/>
    <w:rsid w:val="009A751C"/>
    <w:rsid w:val="009A751F"/>
    <w:rsid w:val="009A754D"/>
    <w:rsid w:val="009A7571"/>
    <w:rsid w:val="009A7577"/>
    <w:rsid w:val="009A75DD"/>
    <w:rsid w:val="009A75FA"/>
    <w:rsid w:val="009A761D"/>
    <w:rsid w:val="009A7650"/>
    <w:rsid w:val="009A765C"/>
    <w:rsid w:val="009A767C"/>
    <w:rsid w:val="009A769B"/>
    <w:rsid w:val="009A76AB"/>
    <w:rsid w:val="009A76D4"/>
    <w:rsid w:val="009A770C"/>
    <w:rsid w:val="009A7720"/>
    <w:rsid w:val="009A7750"/>
    <w:rsid w:val="009A7762"/>
    <w:rsid w:val="009A77A9"/>
    <w:rsid w:val="009A77BC"/>
    <w:rsid w:val="009A77CC"/>
    <w:rsid w:val="009A77CD"/>
    <w:rsid w:val="009A780A"/>
    <w:rsid w:val="009A780E"/>
    <w:rsid w:val="009A78DF"/>
    <w:rsid w:val="009A7935"/>
    <w:rsid w:val="009A7949"/>
    <w:rsid w:val="009A7992"/>
    <w:rsid w:val="009A79CC"/>
    <w:rsid w:val="009A79DF"/>
    <w:rsid w:val="009A7A17"/>
    <w:rsid w:val="009A7A42"/>
    <w:rsid w:val="009A7A58"/>
    <w:rsid w:val="009A7AC2"/>
    <w:rsid w:val="009A7B13"/>
    <w:rsid w:val="009A7B18"/>
    <w:rsid w:val="009A7B21"/>
    <w:rsid w:val="009A7B8A"/>
    <w:rsid w:val="009A7BA0"/>
    <w:rsid w:val="009A7C22"/>
    <w:rsid w:val="009A7C33"/>
    <w:rsid w:val="009A7C51"/>
    <w:rsid w:val="009A7CA0"/>
    <w:rsid w:val="009A7CD2"/>
    <w:rsid w:val="009A7CEA"/>
    <w:rsid w:val="009A7D50"/>
    <w:rsid w:val="009A7D8C"/>
    <w:rsid w:val="009A7D98"/>
    <w:rsid w:val="009A7DAB"/>
    <w:rsid w:val="009A7E14"/>
    <w:rsid w:val="009A7E56"/>
    <w:rsid w:val="009A7E88"/>
    <w:rsid w:val="009A7EB3"/>
    <w:rsid w:val="009A7EF0"/>
    <w:rsid w:val="009A7F28"/>
    <w:rsid w:val="009A7F29"/>
    <w:rsid w:val="009A7F50"/>
    <w:rsid w:val="009A7FB4"/>
    <w:rsid w:val="009A7FDA"/>
    <w:rsid w:val="009A7FFA"/>
    <w:rsid w:val="009B0024"/>
    <w:rsid w:val="009B007D"/>
    <w:rsid w:val="009B0095"/>
    <w:rsid w:val="009B00A5"/>
    <w:rsid w:val="009B00CD"/>
    <w:rsid w:val="009B00D3"/>
    <w:rsid w:val="009B0117"/>
    <w:rsid w:val="009B0127"/>
    <w:rsid w:val="009B012E"/>
    <w:rsid w:val="009B0144"/>
    <w:rsid w:val="009B0149"/>
    <w:rsid w:val="009B014A"/>
    <w:rsid w:val="009B014B"/>
    <w:rsid w:val="009B0164"/>
    <w:rsid w:val="009B01AC"/>
    <w:rsid w:val="009B01EE"/>
    <w:rsid w:val="009B02BC"/>
    <w:rsid w:val="009B02F2"/>
    <w:rsid w:val="009B02FF"/>
    <w:rsid w:val="009B0324"/>
    <w:rsid w:val="009B0329"/>
    <w:rsid w:val="009B0384"/>
    <w:rsid w:val="009B0386"/>
    <w:rsid w:val="009B0393"/>
    <w:rsid w:val="009B03A7"/>
    <w:rsid w:val="009B03BF"/>
    <w:rsid w:val="009B03CB"/>
    <w:rsid w:val="009B048E"/>
    <w:rsid w:val="009B04A1"/>
    <w:rsid w:val="009B04A5"/>
    <w:rsid w:val="009B04CC"/>
    <w:rsid w:val="009B0507"/>
    <w:rsid w:val="009B0527"/>
    <w:rsid w:val="009B0572"/>
    <w:rsid w:val="009B0588"/>
    <w:rsid w:val="009B05B2"/>
    <w:rsid w:val="009B05CA"/>
    <w:rsid w:val="009B05DE"/>
    <w:rsid w:val="009B0600"/>
    <w:rsid w:val="009B063A"/>
    <w:rsid w:val="009B063E"/>
    <w:rsid w:val="009B067B"/>
    <w:rsid w:val="009B074D"/>
    <w:rsid w:val="009B0766"/>
    <w:rsid w:val="009B077E"/>
    <w:rsid w:val="009B0795"/>
    <w:rsid w:val="009B0826"/>
    <w:rsid w:val="009B084A"/>
    <w:rsid w:val="009B08EB"/>
    <w:rsid w:val="009B0934"/>
    <w:rsid w:val="009B093A"/>
    <w:rsid w:val="009B0955"/>
    <w:rsid w:val="009B095B"/>
    <w:rsid w:val="009B0966"/>
    <w:rsid w:val="009B096C"/>
    <w:rsid w:val="009B09F1"/>
    <w:rsid w:val="009B0A2D"/>
    <w:rsid w:val="009B0AAD"/>
    <w:rsid w:val="009B0B75"/>
    <w:rsid w:val="009B0B8A"/>
    <w:rsid w:val="009B0BCD"/>
    <w:rsid w:val="009B0C03"/>
    <w:rsid w:val="009B0C41"/>
    <w:rsid w:val="009B0C49"/>
    <w:rsid w:val="009B0C51"/>
    <w:rsid w:val="009B0CB3"/>
    <w:rsid w:val="009B0D0F"/>
    <w:rsid w:val="009B0D55"/>
    <w:rsid w:val="009B0D81"/>
    <w:rsid w:val="009B0DAE"/>
    <w:rsid w:val="009B0E3B"/>
    <w:rsid w:val="009B0E6C"/>
    <w:rsid w:val="009B0EA5"/>
    <w:rsid w:val="009B0EDB"/>
    <w:rsid w:val="009B0F24"/>
    <w:rsid w:val="009B0F74"/>
    <w:rsid w:val="009B0F7E"/>
    <w:rsid w:val="009B0FAE"/>
    <w:rsid w:val="009B0FB6"/>
    <w:rsid w:val="009B1010"/>
    <w:rsid w:val="009B102A"/>
    <w:rsid w:val="009B102E"/>
    <w:rsid w:val="009B1058"/>
    <w:rsid w:val="009B1076"/>
    <w:rsid w:val="009B1082"/>
    <w:rsid w:val="009B108D"/>
    <w:rsid w:val="009B1095"/>
    <w:rsid w:val="009B10C3"/>
    <w:rsid w:val="009B10DD"/>
    <w:rsid w:val="009B111E"/>
    <w:rsid w:val="009B112D"/>
    <w:rsid w:val="009B1152"/>
    <w:rsid w:val="009B115C"/>
    <w:rsid w:val="009B11A7"/>
    <w:rsid w:val="009B11ED"/>
    <w:rsid w:val="009B1201"/>
    <w:rsid w:val="009B122B"/>
    <w:rsid w:val="009B125B"/>
    <w:rsid w:val="009B12A5"/>
    <w:rsid w:val="009B12EB"/>
    <w:rsid w:val="009B1314"/>
    <w:rsid w:val="009B131D"/>
    <w:rsid w:val="009B1336"/>
    <w:rsid w:val="009B133A"/>
    <w:rsid w:val="009B136A"/>
    <w:rsid w:val="009B1417"/>
    <w:rsid w:val="009B1432"/>
    <w:rsid w:val="009B14FA"/>
    <w:rsid w:val="009B151A"/>
    <w:rsid w:val="009B1541"/>
    <w:rsid w:val="009B1565"/>
    <w:rsid w:val="009B156E"/>
    <w:rsid w:val="009B15F8"/>
    <w:rsid w:val="009B1632"/>
    <w:rsid w:val="009B169E"/>
    <w:rsid w:val="009B16D3"/>
    <w:rsid w:val="009B175E"/>
    <w:rsid w:val="009B176A"/>
    <w:rsid w:val="009B17BD"/>
    <w:rsid w:val="009B17CE"/>
    <w:rsid w:val="009B17D5"/>
    <w:rsid w:val="009B17FB"/>
    <w:rsid w:val="009B1857"/>
    <w:rsid w:val="009B1878"/>
    <w:rsid w:val="009B188C"/>
    <w:rsid w:val="009B18DC"/>
    <w:rsid w:val="009B195B"/>
    <w:rsid w:val="009B19C9"/>
    <w:rsid w:val="009B19E5"/>
    <w:rsid w:val="009B19F5"/>
    <w:rsid w:val="009B1A0B"/>
    <w:rsid w:val="009B1A4C"/>
    <w:rsid w:val="009B1A60"/>
    <w:rsid w:val="009B1A67"/>
    <w:rsid w:val="009B1AA8"/>
    <w:rsid w:val="009B1AAA"/>
    <w:rsid w:val="009B1AEB"/>
    <w:rsid w:val="009B1AF8"/>
    <w:rsid w:val="009B1B31"/>
    <w:rsid w:val="009B1B37"/>
    <w:rsid w:val="009B1B76"/>
    <w:rsid w:val="009B1B88"/>
    <w:rsid w:val="009B1C43"/>
    <w:rsid w:val="009B1C46"/>
    <w:rsid w:val="009B1C48"/>
    <w:rsid w:val="009B1CC8"/>
    <w:rsid w:val="009B1CE4"/>
    <w:rsid w:val="009B1CF7"/>
    <w:rsid w:val="009B1D25"/>
    <w:rsid w:val="009B1D37"/>
    <w:rsid w:val="009B1D54"/>
    <w:rsid w:val="009B1D56"/>
    <w:rsid w:val="009B1E03"/>
    <w:rsid w:val="009B1E11"/>
    <w:rsid w:val="009B1E1E"/>
    <w:rsid w:val="009B1E39"/>
    <w:rsid w:val="009B1E41"/>
    <w:rsid w:val="009B1E4C"/>
    <w:rsid w:val="009B1E57"/>
    <w:rsid w:val="009B1E73"/>
    <w:rsid w:val="009B1EC6"/>
    <w:rsid w:val="009B1ECB"/>
    <w:rsid w:val="009B1EE3"/>
    <w:rsid w:val="009B1F02"/>
    <w:rsid w:val="009B1F25"/>
    <w:rsid w:val="009B1F80"/>
    <w:rsid w:val="009B1FB6"/>
    <w:rsid w:val="009B1FF5"/>
    <w:rsid w:val="009B2062"/>
    <w:rsid w:val="009B2064"/>
    <w:rsid w:val="009B209C"/>
    <w:rsid w:val="009B216E"/>
    <w:rsid w:val="009B2232"/>
    <w:rsid w:val="009B223C"/>
    <w:rsid w:val="009B2241"/>
    <w:rsid w:val="009B2251"/>
    <w:rsid w:val="009B2269"/>
    <w:rsid w:val="009B2274"/>
    <w:rsid w:val="009B2287"/>
    <w:rsid w:val="009B2290"/>
    <w:rsid w:val="009B22B7"/>
    <w:rsid w:val="009B22CC"/>
    <w:rsid w:val="009B22ED"/>
    <w:rsid w:val="009B22F0"/>
    <w:rsid w:val="009B2305"/>
    <w:rsid w:val="009B23B7"/>
    <w:rsid w:val="009B23BD"/>
    <w:rsid w:val="009B23DC"/>
    <w:rsid w:val="009B23FF"/>
    <w:rsid w:val="009B245A"/>
    <w:rsid w:val="009B246E"/>
    <w:rsid w:val="009B2474"/>
    <w:rsid w:val="009B24A3"/>
    <w:rsid w:val="009B24A4"/>
    <w:rsid w:val="009B24CF"/>
    <w:rsid w:val="009B2573"/>
    <w:rsid w:val="009B258B"/>
    <w:rsid w:val="009B259A"/>
    <w:rsid w:val="009B25BD"/>
    <w:rsid w:val="009B25FF"/>
    <w:rsid w:val="009B26A5"/>
    <w:rsid w:val="009B26D8"/>
    <w:rsid w:val="009B26F2"/>
    <w:rsid w:val="009B2700"/>
    <w:rsid w:val="009B270F"/>
    <w:rsid w:val="009B2764"/>
    <w:rsid w:val="009B27B6"/>
    <w:rsid w:val="009B27BA"/>
    <w:rsid w:val="009B27D6"/>
    <w:rsid w:val="009B27E0"/>
    <w:rsid w:val="009B2896"/>
    <w:rsid w:val="009B2899"/>
    <w:rsid w:val="009B289C"/>
    <w:rsid w:val="009B289E"/>
    <w:rsid w:val="009B28CF"/>
    <w:rsid w:val="009B2902"/>
    <w:rsid w:val="009B295A"/>
    <w:rsid w:val="009B298F"/>
    <w:rsid w:val="009B2996"/>
    <w:rsid w:val="009B299A"/>
    <w:rsid w:val="009B29F7"/>
    <w:rsid w:val="009B2A0E"/>
    <w:rsid w:val="009B2A18"/>
    <w:rsid w:val="009B2A84"/>
    <w:rsid w:val="009B2AB5"/>
    <w:rsid w:val="009B2B8F"/>
    <w:rsid w:val="009B2BB3"/>
    <w:rsid w:val="009B2BE5"/>
    <w:rsid w:val="009B2C0F"/>
    <w:rsid w:val="009B2C32"/>
    <w:rsid w:val="009B2C80"/>
    <w:rsid w:val="009B2CA8"/>
    <w:rsid w:val="009B2D00"/>
    <w:rsid w:val="009B2D05"/>
    <w:rsid w:val="009B2D43"/>
    <w:rsid w:val="009B2D54"/>
    <w:rsid w:val="009B2D6E"/>
    <w:rsid w:val="009B2D72"/>
    <w:rsid w:val="009B2DE9"/>
    <w:rsid w:val="009B2DEE"/>
    <w:rsid w:val="009B2E50"/>
    <w:rsid w:val="009B2EB1"/>
    <w:rsid w:val="009B2EC1"/>
    <w:rsid w:val="009B2EC8"/>
    <w:rsid w:val="009B2ED6"/>
    <w:rsid w:val="009B2F0F"/>
    <w:rsid w:val="009B2F31"/>
    <w:rsid w:val="009B2F48"/>
    <w:rsid w:val="009B2F59"/>
    <w:rsid w:val="009B2F5E"/>
    <w:rsid w:val="009B2F62"/>
    <w:rsid w:val="009B2F67"/>
    <w:rsid w:val="009B2FEE"/>
    <w:rsid w:val="009B3024"/>
    <w:rsid w:val="009B30F4"/>
    <w:rsid w:val="009B30FE"/>
    <w:rsid w:val="009B3157"/>
    <w:rsid w:val="009B3169"/>
    <w:rsid w:val="009B319D"/>
    <w:rsid w:val="009B31BD"/>
    <w:rsid w:val="009B31C3"/>
    <w:rsid w:val="009B31C6"/>
    <w:rsid w:val="009B3264"/>
    <w:rsid w:val="009B3273"/>
    <w:rsid w:val="009B3292"/>
    <w:rsid w:val="009B32DA"/>
    <w:rsid w:val="009B330A"/>
    <w:rsid w:val="009B334B"/>
    <w:rsid w:val="009B3366"/>
    <w:rsid w:val="009B3382"/>
    <w:rsid w:val="009B3393"/>
    <w:rsid w:val="009B3425"/>
    <w:rsid w:val="009B3429"/>
    <w:rsid w:val="009B3453"/>
    <w:rsid w:val="009B34C6"/>
    <w:rsid w:val="009B350B"/>
    <w:rsid w:val="009B353B"/>
    <w:rsid w:val="009B355F"/>
    <w:rsid w:val="009B358F"/>
    <w:rsid w:val="009B35A7"/>
    <w:rsid w:val="009B35DA"/>
    <w:rsid w:val="009B35E8"/>
    <w:rsid w:val="009B35F3"/>
    <w:rsid w:val="009B3600"/>
    <w:rsid w:val="009B361E"/>
    <w:rsid w:val="009B36B5"/>
    <w:rsid w:val="009B36C4"/>
    <w:rsid w:val="009B36D6"/>
    <w:rsid w:val="009B36D7"/>
    <w:rsid w:val="009B37A6"/>
    <w:rsid w:val="009B37B8"/>
    <w:rsid w:val="009B37F6"/>
    <w:rsid w:val="009B380C"/>
    <w:rsid w:val="009B3823"/>
    <w:rsid w:val="009B382B"/>
    <w:rsid w:val="009B3847"/>
    <w:rsid w:val="009B384C"/>
    <w:rsid w:val="009B3954"/>
    <w:rsid w:val="009B399D"/>
    <w:rsid w:val="009B39B6"/>
    <w:rsid w:val="009B39D4"/>
    <w:rsid w:val="009B3A26"/>
    <w:rsid w:val="009B3A2B"/>
    <w:rsid w:val="009B3A3C"/>
    <w:rsid w:val="009B3A50"/>
    <w:rsid w:val="009B3A6A"/>
    <w:rsid w:val="009B3B29"/>
    <w:rsid w:val="009B3B3C"/>
    <w:rsid w:val="009B3B44"/>
    <w:rsid w:val="009B3B46"/>
    <w:rsid w:val="009B3BE7"/>
    <w:rsid w:val="009B3C09"/>
    <w:rsid w:val="009B3C5F"/>
    <w:rsid w:val="009B3C94"/>
    <w:rsid w:val="009B3CE3"/>
    <w:rsid w:val="009B3D00"/>
    <w:rsid w:val="009B3D1A"/>
    <w:rsid w:val="009B3D1F"/>
    <w:rsid w:val="009B3D6F"/>
    <w:rsid w:val="009B3D7F"/>
    <w:rsid w:val="009B3DB2"/>
    <w:rsid w:val="009B3DBA"/>
    <w:rsid w:val="009B3DF4"/>
    <w:rsid w:val="009B3DFD"/>
    <w:rsid w:val="009B3E27"/>
    <w:rsid w:val="009B3E94"/>
    <w:rsid w:val="009B3EB7"/>
    <w:rsid w:val="009B3ECC"/>
    <w:rsid w:val="009B3ECF"/>
    <w:rsid w:val="009B3ED1"/>
    <w:rsid w:val="009B3ED2"/>
    <w:rsid w:val="009B3F12"/>
    <w:rsid w:val="009B3F1C"/>
    <w:rsid w:val="009B3F46"/>
    <w:rsid w:val="009B3F48"/>
    <w:rsid w:val="009B3F8A"/>
    <w:rsid w:val="009B3FA2"/>
    <w:rsid w:val="009B3FF0"/>
    <w:rsid w:val="009B3FF7"/>
    <w:rsid w:val="009B4000"/>
    <w:rsid w:val="009B4099"/>
    <w:rsid w:val="009B40AA"/>
    <w:rsid w:val="009B40C6"/>
    <w:rsid w:val="009B40F4"/>
    <w:rsid w:val="009B4140"/>
    <w:rsid w:val="009B4165"/>
    <w:rsid w:val="009B419F"/>
    <w:rsid w:val="009B4205"/>
    <w:rsid w:val="009B4211"/>
    <w:rsid w:val="009B4229"/>
    <w:rsid w:val="009B422F"/>
    <w:rsid w:val="009B4237"/>
    <w:rsid w:val="009B4248"/>
    <w:rsid w:val="009B426C"/>
    <w:rsid w:val="009B4278"/>
    <w:rsid w:val="009B429F"/>
    <w:rsid w:val="009B42DB"/>
    <w:rsid w:val="009B430D"/>
    <w:rsid w:val="009B431B"/>
    <w:rsid w:val="009B4365"/>
    <w:rsid w:val="009B438C"/>
    <w:rsid w:val="009B43FB"/>
    <w:rsid w:val="009B4404"/>
    <w:rsid w:val="009B4436"/>
    <w:rsid w:val="009B4473"/>
    <w:rsid w:val="009B4486"/>
    <w:rsid w:val="009B44EB"/>
    <w:rsid w:val="009B451A"/>
    <w:rsid w:val="009B4533"/>
    <w:rsid w:val="009B4541"/>
    <w:rsid w:val="009B4577"/>
    <w:rsid w:val="009B4594"/>
    <w:rsid w:val="009B45AB"/>
    <w:rsid w:val="009B463B"/>
    <w:rsid w:val="009B4649"/>
    <w:rsid w:val="009B4655"/>
    <w:rsid w:val="009B4660"/>
    <w:rsid w:val="009B4716"/>
    <w:rsid w:val="009B471E"/>
    <w:rsid w:val="009B4756"/>
    <w:rsid w:val="009B479F"/>
    <w:rsid w:val="009B4809"/>
    <w:rsid w:val="009B4877"/>
    <w:rsid w:val="009B4882"/>
    <w:rsid w:val="009B48AC"/>
    <w:rsid w:val="009B48E9"/>
    <w:rsid w:val="009B4929"/>
    <w:rsid w:val="009B497A"/>
    <w:rsid w:val="009B49A0"/>
    <w:rsid w:val="009B49F8"/>
    <w:rsid w:val="009B4A1C"/>
    <w:rsid w:val="009B4A2C"/>
    <w:rsid w:val="009B4A2F"/>
    <w:rsid w:val="009B4A9A"/>
    <w:rsid w:val="009B4AA9"/>
    <w:rsid w:val="009B4B23"/>
    <w:rsid w:val="009B4B26"/>
    <w:rsid w:val="009B4B43"/>
    <w:rsid w:val="009B4B48"/>
    <w:rsid w:val="009B4BA7"/>
    <w:rsid w:val="009B4BD8"/>
    <w:rsid w:val="009B4BEC"/>
    <w:rsid w:val="009B4C3B"/>
    <w:rsid w:val="009B4C62"/>
    <w:rsid w:val="009B4C9E"/>
    <w:rsid w:val="009B4CED"/>
    <w:rsid w:val="009B4CFB"/>
    <w:rsid w:val="009B4D2A"/>
    <w:rsid w:val="009B4D8E"/>
    <w:rsid w:val="009B4DD8"/>
    <w:rsid w:val="009B4DEC"/>
    <w:rsid w:val="009B4E48"/>
    <w:rsid w:val="009B4E52"/>
    <w:rsid w:val="009B4E6D"/>
    <w:rsid w:val="009B4E6E"/>
    <w:rsid w:val="009B4E89"/>
    <w:rsid w:val="009B4EAE"/>
    <w:rsid w:val="009B4EC0"/>
    <w:rsid w:val="009B4ED1"/>
    <w:rsid w:val="009B4EEF"/>
    <w:rsid w:val="009B4F4F"/>
    <w:rsid w:val="009B4F5D"/>
    <w:rsid w:val="009B4F67"/>
    <w:rsid w:val="009B4FC6"/>
    <w:rsid w:val="009B500C"/>
    <w:rsid w:val="009B5068"/>
    <w:rsid w:val="009B508F"/>
    <w:rsid w:val="009B50B3"/>
    <w:rsid w:val="009B5177"/>
    <w:rsid w:val="009B5291"/>
    <w:rsid w:val="009B52F1"/>
    <w:rsid w:val="009B5382"/>
    <w:rsid w:val="009B539A"/>
    <w:rsid w:val="009B53AE"/>
    <w:rsid w:val="009B53B1"/>
    <w:rsid w:val="009B542B"/>
    <w:rsid w:val="009B54A7"/>
    <w:rsid w:val="009B54C4"/>
    <w:rsid w:val="009B54E4"/>
    <w:rsid w:val="009B5546"/>
    <w:rsid w:val="009B5562"/>
    <w:rsid w:val="009B55B8"/>
    <w:rsid w:val="009B5641"/>
    <w:rsid w:val="009B56D6"/>
    <w:rsid w:val="009B5770"/>
    <w:rsid w:val="009B5830"/>
    <w:rsid w:val="009B5838"/>
    <w:rsid w:val="009B5853"/>
    <w:rsid w:val="009B5872"/>
    <w:rsid w:val="009B588B"/>
    <w:rsid w:val="009B58B2"/>
    <w:rsid w:val="009B593F"/>
    <w:rsid w:val="009B599B"/>
    <w:rsid w:val="009B59A8"/>
    <w:rsid w:val="009B59BD"/>
    <w:rsid w:val="009B59D5"/>
    <w:rsid w:val="009B5A1D"/>
    <w:rsid w:val="009B5A29"/>
    <w:rsid w:val="009B5A61"/>
    <w:rsid w:val="009B5AA8"/>
    <w:rsid w:val="009B5AB1"/>
    <w:rsid w:val="009B5ACC"/>
    <w:rsid w:val="009B5ADC"/>
    <w:rsid w:val="009B5ADF"/>
    <w:rsid w:val="009B5B01"/>
    <w:rsid w:val="009B5B07"/>
    <w:rsid w:val="009B5B2B"/>
    <w:rsid w:val="009B5B48"/>
    <w:rsid w:val="009B5B90"/>
    <w:rsid w:val="009B5BBD"/>
    <w:rsid w:val="009B5C00"/>
    <w:rsid w:val="009B5C24"/>
    <w:rsid w:val="009B5CD7"/>
    <w:rsid w:val="009B5D0F"/>
    <w:rsid w:val="009B5D24"/>
    <w:rsid w:val="009B5D66"/>
    <w:rsid w:val="009B5D7E"/>
    <w:rsid w:val="009B5D92"/>
    <w:rsid w:val="009B5DA1"/>
    <w:rsid w:val="009B5E57"/>
    <w:rsid w:val="009B5E66"/>
    <w:rsid w:val="009B5EA3"/>
    <w:rsid w:val="009B5ECA"/>
    <w:rsid w:val="009B5F2C"/>
    <w:rsid w:val="009B5F41"/>
    <w:rsid w:val="009B5F74"/>
    <w:rsid w:val="009B5F7F"/>
    <w:rsid w:val="009B5F85"/>
    <w:rsid w:val="009B5FB3"/>
    <w:rsid w:val="009B5FB5"/>
    <w:rsid w:val="009B5FBA"/>
    <w:rsid w:val="009B5FF8"/>
    <w:rsid w:val="009B6006"/>
    <w:rsid w:val="009B603B"/>
    <w:rsid w:val="009B604D"/>
    <w:rsid w:val="009B608C"/>
    <w:rsid w:val="009B60FC"/>
    <w:rsid w:val="009B6111"/>
    <w:rsid w:val="009B612E"/>
    <w:rsid w:val="009B6136"/>
    <w:rsid w:val="009B6150"/>
    <w:rsid w:val="009B6175"/>
    <w:rsid w:val="009B61A3"/>
    <w:rsid w:val="009B61A6"/>
    <w:rsid w:val="009B6231"/>
    <w:rsid w:val="009B6293"/>
    <w:rsid w:val="009B6346"/>
    <w:rsid w:val="009B63E5"/>
    <w:rsid w:val="009B63EF"/>
    <w:rsid w:val="009B63F5"/>
    <w:rsid w:val="009B6406"/>
    <w:rsid w:val="009B64D9"/>
    <w:rsid w:val="009B64F8"/>
    <w:rsid w:val="009B6507"/>
    <w:rsid w:val="009B651C"/>
    <w:rsid w:val="009B654E"/>
    <w:rsid w:val="009B6576"/>
    <w:rsid w:val="009B6581"/>
    <w:rsid w:val="009B65EC"/>
    <w:rsid w:val="009B6610"/>
    <w:rsid w:val="009B664F"/>
    <w:rsid w:val="009B66BB"/>
    <w:rsid w:val="009B66C5"/>
    <w:rsid w:val="009B66F7"/>
    <w:rsid w:val="009B66FF"/>
    <w:rsid w:val="009B6706"/>
    <w:rsid w:val="009B6719"/>
    <w:rsid w:val="009B672C"/>
    <w:rsid w:val="009B675B"/>
    <w:rsid w:val="009B678F"/>
    <w:rsid w:val="009B6796"/>
    <w:rsid w:val="009B679D"/>
    <w:rsid w:val="009B67F7"/>
    <w:rsid w:val="009B6810"/>
    <w:rsid w:val="009B6850"/>
    <w:rsid w:val="009B685B"/>
    <w:rsid w:val="009B686A"/>
    <w:rsid w:val="009B6874"/>
    <w:rsid w:val="009B6876"/>
    <w:rsid w:val="009B68A3"/>
    <w:rsid w:val="009B68E9"/>
    <w:rsid w:val="009B68F4"/>
    <w:rsid w:val="009B6957"/>
    <w:rsid w:val="009B696E"/>
    <w:rsid w:val="009B699C"/>
    <w:rsid w:val="009B69CF"/>
    <w:rsid w:val="009B69D7"/>
    <w:rsid w:val="009B69E2"/>
    <w:rsid w:val="009B69E8"/>
    <w:rsid w:val="009B6A60"/>
    <w:rsid w:val="009B6AE1"/>
    <w:rsid w:val="009B6B46"/>
    <w:rsid w:val="009B6B66"/>
    <w:rsid w:val="009B6BB5"/>
    <w:rsid w:val="009B6BDD"/>
    <w:rsid w:val="009B6C1B"/>
    <w:rsid w:val="009B6D9D"/>
    <w:rsid w:val="009B6DA6"/>
    <w:rsid w:val="009B6E29"/>
    <w:rsid w:val="009B6E2D"/>
    <w:rsid w:val="009B6E88"/>
    <w:rsid w:val="009B6EB1"/>
    <w:rsid w:val="009B6EBD"/>
    <w:rsid w:val="009B6F00"/>
    <w:rsid w:val="009B6F14"/>
    <w:rsid w:val="009B6F32"/>
    <w:rsid w:val="009B6FA3"/>
    <w:rsid w:val="009B6FE7"/>
    <w:rsid w:val="009B7094"/>
    <w:rsid w:val="009B709C"/>
    <w:rsid w:val="009B70A1"/>
    <w:rsid w:val="009B70AD"/>
    <w:rsid w:val="009B710A"/>
    <w:rsid w:val="009B7172"/>
    <w:rsid w:val="009B7177"/>
    <w:rsid w:val="009B7186"/>
    <w:rsid w:val="009B7195"/>
    <w:rsid w:val="009B71C2"/>
    <w:rsid w:val="009B7209"/>
    <w:rsid w:val="009B7249"/>
    <w:rsid w:val="009B729B"/>
    <w:rsid w:val="009B7374"/>
    <w:rsid w:val="009B737A"/>
    <w:rsid w:val="009B74C2"/>
    <w:rsid w:val="009B74D0"/>
    <w:rsid w:val="009B74E6"/>
    <w:rsid w:val="009B7531"/>
    <w:rsid w:val="009B7532"/>
    <w:rsid w:val="009B7599"/>
    <w:rsid w:val="009B75BA"/>
    <w:rsid w:val="009B75D3"/>
    <w:rsid w:val="009B76BC"/>
    <w:rsid w:val="009B7727"/>
    <w:rsid w:val="009B773B"/>
    <w:rsid w:val="009B7753"/>
    <w:rsid w:val="009B7767"/>
    <w:rsid w:val="009B776A"/>
    <w:rsid w:val="009B7783"/>
    <w:rsid w:val="009B77AC"/>
    <w:rsid w:val="009B77B1"/>
    <w:rsid w:val="009B77B3"/>
    <w:rsid w:val="009B77DD"/>
    <w:rsid w:val="009B77E5"/>
    <w:rsid w:val="009B77F5"/>
    <w:rsid w:val="009B789D"/>
    <w:rsid w:val="009B78B8"/>
    <w:rsid w:val="009B78D2"/>
    <w:rsid w:val="009B7924"/>
    <w:rsid w:val="009B7927"/>
    <w:rsid w:val="009B795E"/>
    <w:rsid w:val="009B79A0"/>
    <w:rsid w:val="009B79A2"/>
    <w:rsid w:val="009B79A5"/>
    <w:rsid w:val="009B79EB"/>
    <w:rsid w:val="009B7A1B"/>
    <w:rsid w:val="009B7A23"/>
    <w:rsid w:val="009B7A36"/>
    <w:rsid w:val="009B7A65"/>
    <w:rsid w:val="009B7A68"/>
    <w:rsid w:val="009B7A7F"/>
    <w:rsid w:val="009B7AA4"/>
    <w:rsid w:val="009B7AE6"/>
    <w:rsid w:val="009B7B21"/>
    <w:rsid w:val="009B7B62"/>
    <w:rsid w:val="009B7B63"/>
    <w:rsid w:val="009B7B6E"/>
    <w:rsid w:val="009B7BEC"/>
    <w:rsid w:val="009B7C21"/>
    <w:rsid w:val="009B7C50"/>
    <w:rsid w:val="009B7C5B"/>
    <w:rsid w:val="009B7C60"/>
    <w:rsid w:val="009B7D0A"/>
    <w:rsid w:val="009B7D27"/>
    <w:rsid w:val="009B7D40"/>
    <w:rsid w:val="009B7D48"/>
    <w:rsid w:val="009B7DB4"/>
    <w:rsid w:val="009B7DBF"/>
    <w:rsid w:val="009B7E35"/>
    <w:rsid w:val="009B7E36"/>
    <w:rsid w:val="009B7E75"/>
    <w:rsid w:val="009B7E8D"/>
    <w:rsid w:val="009B7F2F"/>
    <w:rsid w:val="009B7F46"/>
    <w:rsid w:val="009B7FA0"/>
    <w:rsid w:val="009C00AB"/>
    <w:rsid w:val="009C00C5"/>
    <w:rsid w:val="009C00E5"/>
    <w:rsid w:val="009C012B"/>
    <w:rsid w:val="009C012E"/>
    <w:rsid w:val="009C015D"/>
    <w:rsid w:val="009C0162"/>
    <w:rsid w:val="009C017A"/>
    <w:rsid w:val="009C01B9"/>
    <w:rsid w:val="009C024D"/>
    <w:rsid w:val="009C02A8"/>
    <w:rsid w:val="009C02E2"/>
    <w:rsid w:val="009C03A8"/>
    <w:rsid w:val="009C03D2"/>
    <w:rsid w:val="009C0402"/>
    <w:rsid w:val="009C044A"/>
    <w:rsid w:val="009C04D0"/>
    <w:rsid w:val="009C04D1"/>
    <w:rsid w:val="009C051C"/>
    <w:rsid w:val="009C0526"/>
    <w:rsid w:val="009C0545"/>
    <w:rsid w:val="009C0552"/>
    <w:rsid w:val="009C0568"/>
    <w:rsid w:val="009C0580"/>
    <w:rsid w:val="009C05A1"/>
    <w:rsid w:val="009C0670"/>
    <w:rsid w:val="009C070B"/>
    <w:rsid w:val="009C072E"/>
    <w:rsid w:val="009C078C"/>
    <w:rsid w:val="009C078D"/>
    <w:rsid w:val="009C0850"/>
    <w:rsid w:val="009C0863"/>
    <w:rsid w:val="009C08CB"/>
    <w:rsid w:val="009C08F5"/>
    <w:rsid w:val="009C0909"/>
    <w:rsid w:val="009C0948"/>
    <w:rsid w:val="009C09CE"/>
    <w:rsid w:val="009C0A71"/>
    <w:rsid w:val="009C0A7A"/>
    <w:rsid w:val="009C0B01"/>
    <w:rsid w:val="009C0B2A"/>
    <w:rsid w:val="009C0B34"/>
    <w:rsid w:val="009C0B50"/>
    <w:rsid w:val="009C0B8E"/>
    <w:rsid w:val="009C0BA1"/>
    <w:rsid w:val="009C0C27"/>
    <w:rsid w:val="009C0C4D"/>
    <w:rsid w:val="009C0C50"/>
    <w:rsid w:val="009C0C5A"/>
    <w:rsid w:val="009C0C5D"/>
    <w:rsid w:val="009C0C70"/>
    <w:rsid w:val="009C0C87"/>
    <w:rsid w:val="009C0CBC"/>
    <w:rsid w:val="009C0CC8"/>
    <w:rsid w:val="009C0D01"/>
    <w:rsid w:val="009C0D16"/>
    <w:rsid w:val="009C0D23"/>
    <w:rsid w:val="009C0D5A"/>
    <w:rsid w:val="009C0D81"/>
    <w:rsid w:val="009C0D8B"/>
    <w:rsid w:val="009C0E02"/>
    <w:rsid w:val="009C0E05"/>
    <w:rsid w:val="009C0E2C"/>
    <w:rsid w:val="009C0E8A"/>
    <w:rsid w:val="009C0EC1"/>
    <w:rsid w:val="009C0EC8"/>
    <w:rsid w:val="009C0EE2"/>
    <w:rsid w:val="009C0FB6"/>
    <w:rsid w:val="009C0FD1"/>
    <w:rsid w:val="009C101A"/>
    <w:rsid w:val="009C1029"/>
    <w:rsid w:val="009C102B"/>
    <w:rsid w:val="009C1036"/>
    <w:rsid w:val="009C104C"/>
    <w:rsid w:val="009C10A4"/>
    <w:rsid w:val="009C10A7"/>
    <w:rsid w:val="009C10C5"/>
    <w:rsid w:val="009C10D1"/>
    <w:rsid w:val="009C10F6"/>
    <w:rsid w:val="009C1157"/>
    <w:rsid w:val="009C116A"/>
    <w:rsid w:val="009C11A1"/>
    <w:rsid w:val="009C1217"/>
    <w:rsid w:val="009C122F"/>
    <w:rsid w:val="009C1288"/>
    <w:rsid w:val="009C1325"/>
    <w:rsid w:val="009C133D"/>
    <w:rsid w:val="009C1363"/>
    <w:rsid w:val="009C1387"/>
    <w:rsid w:val="009C13A9"/>
    <w:rsid w:val="009C13C2"/>
    <w:rsid w:val="009C145E"/>
    <w:rsid w:val="009C1463"/>
    <w:rsid w:val="009C1494"/>
    <w:rsid w:val="009C14B7"/>
    <w:rsid w:val="009C14B9"/>
    <w:rsid w:val="009C150A"/>
    <w:rsid w:val="009C1554"/>
    <w:rsid w:val="009C156B"/>
    <w:rsid w:val="009C1588"/>
    <w:rsid w:val="009C1622"/>
    <w:rsid w:val="009C1637"/>
    <w:rsid w:val="009C168E"/>
    <w:rsid w:val="009C16BA"/>
    <w:rsid w:val="009C16CC"/>
    <w:rsid w:val="009C171A"/>
    <w:rsid w:val="009C1737"/>
    <w:rsid w:val="009C177B"/>
    <w:rsid w:val="009C179F"/>
    <w:rsid w:val="009C17D2"/>
    <w:rsid w:val="009C17FA"/>
    <w:rsid w:val="009C1801"/>
    <w:rsid w:val="009C188E"/>
    <w:rsid w:val="009C1890"/>
    <w:rsid w:val="009C18C1"/>
    <w:rsid w:val="009C1955"/>
    <w:rsid w:val="009C1A2D"/>
    <w:rsid w:val="009C1A76"/>
    <w:rsid w:val="009C1AA7"/>
    <w:rsid w:val="009C1AF3"/>
    <w:rsid w:val="009C1B09"/>
    <w:rsid w:val="009C1B28"/>
    <w:rsid w:val="009C1B7A"/>
    <w:rsid w:val="009C1B97"/>
    <w:rsid w:val="009C1BB7"/>
    <w:rsid w:val="009C1BF3"/>
    <w:rsid w:val="009C1C0E"/>
    <w:rsid w:val="009C1C11"/>
    <w:rsid w:val="009C1C26"/>
    <w:rsid w:val="009C1C41"/>
    <w:rsid w:val="009C1C56"/>
    <w:rsid w:val="009C1C6A"/>
    <w:rsid w:val="009C1C7C"/>
    <w:rsid w:val="009C1CA0"/>
    <w:rsid w:val="009C1CBF"/>
    <w:rsid w:val="009C1CDA"/>
    <w:rsid w:val="009C1DB6"/>
    <w:rsid w:val="009C1DE9"/>
    <w:rsid w:val="009C1DF7"/>
    <w:rsid w:val="009C1E01"/>
    <w:rsid w:val="009C1E20"/>
    <w:rsid w:val="009C1E98"/>
    <w:rsid w:val="009C1EB1"/>
    <w:rsid w:val="009C1EBD"/>
    <w:rsid w:val="009C1ED6"/>
    <w:rsid w:val="009C1F11"/>
    <w:rsid w:val="009C1F18"/>
    <w:rsid w:val="009C1F26"/>
    <w:rsid w:val="009C1F98"/>
    <w:rsid w:val="009C2079"/>
    <w:rsid w:val="009C2133"/>
    <w:rsid w:val="009C2164"/>
    <w:rsid w:val="009C21F6"/>
    <w:rsid w:val="009C220D"/>
    <w:rsid w:val="009C2223"/>
    <w:rsid w:val="009C2261"/>
    <w:rsid w:val="009C2264"/>
    <w:rsid w:val="009C22AC"/>
    <w:rsid w:val="009C233D"/>
    <w:rsid w:val="009C2366"/>
    <w:rsid w:val="009C239B"/>
    <w:rsid w:val="009C23CB"/>
    <w:rsid w:val="009C240E"/>
    <w:rsid w:val="009C2421"/>
    <w:rsid w:val="009C2439"/>
    <w:rsid w:val="009C2441"/>
    <w:rsid w:val="009C2459"/>
    <w:rsid w:val="009C2461"/>
    <w:rsid w:val="009C2483"/>
    <w:rsid w:val="009C24A4"/>
    <w:rsid w:val="009C24C0"/>
    <w:rsid w:val="009C2512"/>
    <w:rsid w:val="009C253E"/>
    <w:rsid w:val="009C25AC"/>
    <w:rsid w:val="009C25B2"/>
    <w:rsid w:val="009C2619"/>
    <w:rsid w:val="009C2621"/>
    <w:rsid w:val="009C266F"/>
    <w:rsid w:val="009C2689"/>
    <w:rsid w:val="009C26C1"/>
    <w:rsid w:val="009C2702"/>
    <w:rsid w:val="009C2748"/>
    <w:rsid w:val="009C2810"/>
    <w:rsid w:val="009C28C9"/>
    <w:rsid w:val="009C2927"/>
    <w:rsid w:val="009C292C"/>
    <w:rsid w:val="009C292E"/>
    <w:rsid w:val="009C2961"/>
    <w:rsid w:val="009C297E"/>
    <w:rsid w:val="009C29D8"/>
    <w:rsid w:val="009C2A06"/>
    <w:rsid w:val="009C2A1B"/>
    <w:rsid w:val="009C2A4A"/>
    <w:rsid w:val="009C2AFC"/>
    <w:rsid w:val="009C2B20"/>
    <w:rsid w:val="009C2B34"/>
    <w:rsid w:val="009C2BA0"/>
    <w:rsid w:val="009C2C0A"/>
    <w:rsid w:val="009C2C1A"/>
    <w:rsid w:val="009C2C34"/>
    <w:rsid w:val="009C2C55"/>
    <w:rsid w:val="009C2C6D"/>
    <w:rsid w:val="009C2C9F"/>
    <w:rsid w:val="009C2CBC"/>
    <w:rsid w:val="009C2CCF"/>
    <w:rsid w:val="009C2CDA"/>
    <w:rsid w:val="009C2CE3"/>
    <w:rsid w:val="009C2D29"/>
    <w:rsid w:val="009C2D85"/>
    <w:rsid w:val="009C2D9A"/>
    <w:rsid w:val="009C2E1F"/>
    <w:rsid w:val="009C2E79"/>
    <w:rsid w:val="009C2E95"/>
    <w:rsid w:val="009C2E9A"/>
    <w:rsid w:val="009C2ED5"/>
    <w:rsid w:val="009C2F29"/>
    <w:rsid w:val="009C2F36"/>
    <w:rsid w:val="009C2FED"/>
    <w:rsid w:val="009C3023"/>
    <w:rsid w:val="009C3025"/>
    <w:rsid w:val="009C302F"/>
    <w:rsid w:val="009C305A"/>
    <w:rsid w:val="009C3073"/>
    <w:rsid w:val="009C3085"/>
    <w:rsid w:val="009C30CF"/>
    <w:rsid w:val="009C315F"/>
    <w:rsid w:val="009C3161"/>
    <w:rsid w:val="009C3162"/>
    <w:rsid w:val="009C317E"/>
    <w:rsid w:val="009C31D1"/>
    <w:rsid w:val="009C31DA"/>
    <w:rsid w:val="009C31EC"/>
    <w:rsid w:val="009C3225"/>
    <w:rsid w:val="009C3299"/>
    <w:rsid w:val="009C32BE"/>
    <w:rsid w:val="009C32E9"/>
    <w:rsid w:val="009C337B"/>
    <w:rsid w:val="009C33E2"/>
    <w:rsid w:val="009C33E8"/>
    <w:rsid w:val="009C3464"/>
    <w:rsid w:val="009C3488"/>
    <w:rsid w:val="009C34C2"/>
    <w:rsid w:val="009C34E6"/>
    <w:rsid w:val="009C34F4"/>
    <w:rsid w:val="009C352B"/>
    <w:rsid w:val="009C3566"/>
    <w:rsid w:val="009C3581"/>
    <w:rsid w:val="009C35C3"/>
    <w:rsid w:val="009C35FF"/>
    <w:rsid w:val="009C3615"/>
    <w:rsid w:val="009C3643"/>
    <w:rsid w:val="009C3674"/>
    <w:rsid w:val="009C3680"/>
    <w:rsid w:val="009C369D"/>
    <w:rsid w:val="009C36C9"/>
    <w:rsid w:val="009C3721"/>
    <w:rsid w:val="009C3739"/>
    <w:rsid w:val="009C373A"/>
    <w:rsid w:val="009C374E"/>
    <w:rsid w:val="009C3789"/>
    <w:rsid w:val="009C37A3"/>
    <w:rsid w:val="009C3802"/>
    <w:rsid w:val="009C3874"/>
    <w:rsid w:val="009C387D"/>
    <w:rsid w:val="009C388D"/>
    <w:rsid w:val="009C38A6"/>
    <w:rsid w:val="009C38B4"/>
    <w:rsid w:val="009C38E5"/>
    <w:rsid w:val="009C38FE"/>
    <w:rsid w:val="009C3984"/>
    <w:rsid w:val="009C398B"/>
    <w:rsid w:val="009C398F"/>
    <w:rsid w:val="009C39AB"/>
    <w:rsid w:val="009C39B8"/>
    <w:rsid w:val="009C3A1C"/>
    <w:rsid w:val="009C3A76"/>
    <w:rsid w:val="009C3B5E"/>
    <w:rsid w:val="009C3B80"/>
    <w:rsid w:val="009C3BAC"/>
    <w:rsid w:val="009C3BC3"/>
    <w:rsid w:val="009C3BFD"/>
    <w:rsid w:val="009C3C21"/>
    <w:rsid w:val="009C3C3A"/>
    <w:rsid w:val="009C3C47"/>
    <w:rsid w:val="009C3C57"/>
    <w:rsid w:val="009C3CCF"/>
    <w:rsid w:val="009C3D11"/>
    <w:rsid w:val="009C3D28"/>
    <w:rsid w:val="009C3D41"/>
    <w:rsid w:val="009C3D5C"/>
    <w:rsid w:val="009C3D80"/>
    <w:rsid w:val="009C3D9E"/>
    <w:rsid w:val="009C3DB3"/>
    <w:rsid w:val="009C3DB6"/>
    <w:rsid w:val="009C3DEB"/>
    <w:rsid w:val="009C3E6E"/>
    <w:rsid w:val="009C3E72"/>
    <w:rsid w:val="009C3E92"/>
    <w:rsid w:val="009C3EBD"/>
    <w:rsid w:val="009C3ED0"/>
    <w:rsid w:val="009C3EE5"/>
    <w:rsid w:val="009C3F17"/>
    <w:rsid w:val="009C3F70"/>
    <w:rsid w:val="009C3FB0"/>
    <w:rsid w:val="009C3FCE"/>
    <w:rsid w:val="009C3FE2"/>
    <w:rsid w:val="009C4007"/>
    <w:rsid w:val="009C4008"/>
    <w:rsid w:val="009C4037"/>
    <w:rsid w:val="009C405C"/>
    <w:rsid w:val="009C4092"/>
    <w:rsid w:val="009C40B2"/>
    <w:rsid w:val="009C40BD"/>
    <w:rsid w:val="009C40D2"/>
    <w:rsid w:val="009C412C"/>
    <w:rsid w:val="009C4131"/>
    <w:rsid w:val="009C416D"/>
    <w:rsid w:val="009C4187"/>
    <w:rsid w:val="009C41B4"/>
    <w:rsid w:val="009C41E6"/>
    <w:rsid w:val="009C4213"/>
    <w:rsid w:val="009C4248"/>
    <w:rsid w:val="009C429F"/>
    <w:rsid w:val="009C42AD"/>
    <w:rsid w:val="009C42EF"/>
    <w:rsid w:val="009C432F"/>
    <w:rsid w:val="009C436A"/>
    <w:rsid w:val="009C4375"/>
    <w:rsid w:val="009C438A"/>
    <w:rsid w:val="009C4392"/>
    <w:rsid w:val="009C4430"/>
    <w:rsid w:val="009C447B"/>
    <w:rsid w:val="009C44F3"/>
    <w:rsid w:val="009C4500"/>
    <w:rsid w:val="009C4516"/>
    <w:rsid w:val="009C458F"/>
    <w:rsid w:val="009C45AE"/>
    <w:rsid w:val="009C45B9"/>
    <w:rsid w:val="009C45D7"/>
    <w:rsid w:val="009C45F6"/>
    <w:rsid w:val="009C4644"/>
    <w:rsid w:val="009C4664"/>
    <w:rsid w:val="009C4672"/>
    <w:rsid w:val="009C46AB"/>
    <w:rsid w:val="009C46CC"/>
    <w:rsid w:val="009C46D0"/>
    <w:rsid w:val="009C4706"/>
    <w:rsid w:val="009C4712"/>
    <w:rsid w:val="009C4715"/>
    <w:rsid w:val="009C4736"/>
    <w:rsid w:val="009C47B7"/>
    <w:rsid w:val="009C47C9"/>
    <w:rsid w:val="009C47CC"/>
    <w:rsid w:val="009C47E5"/>
    <w:rsid w:val="009C4854"/>
    <w:rsid w:val="009C487E"/>
    <w:rsid w:val="009C48A3"/>
    <w:rsid w:val="009C48C3"/>
    <w:rsid w:val="009C48C5"/>
    <w:rsid w:val="009C48E6"/>
    <w:rsid w:val="009C4944"/>
    <w:rsid w:val="009C497A"/>
    <w:rsid w:val="009C49BB"/>
    <w:rsid w:val="009C49E1"/>
    <w:rsid w:val="009C49F7"/>
    <w:rsid w:val="009C4A19"/>
    <w:rsid w:val="009C4A31"/>
    <w:rsid w:val="009C4A4F"/>
    <w:rsid w:val="009C4A5B"/>
    <w:rsid w:val="009C4A76"/>
    <w:rsid w:val="009C4A78"/>
    <w:rsid w:val="009C4A83"/>
    <w:rsid w:val="009C4AEB"/>
    <w:rsid w:val="009C4B00"/>
    <w:rsid w:val="009C4B1B"/>
    <w:rsid w:val="009C4B1D"/>
    <w:rsid w:val="009C4B1E"/>
    <w:rsid w:val="009C4B32"/>
    <w:rsid w:val="009C4B38"/>
    <w:rsid w:val="009C4B49"/>
    <w:rsid w:val="009C4B4A"/>
    <w:rsid w:val="009C4B4C"/>
    <w:rsid w:val="009C4B5B"/>
    <w:rsid w:val="009C4B92"/>
    <w:rsid w:val="009C4BA0"/>
    <w:rsid w:val="009C4BE1"/>
    <w:rsid w:val="009C4BF5"/>
    <w:rsid w:val="009C4C4A"/>
    <w:rsid w:val="009C4C86"/>
    <w:rsid w:val="009C4CA1"/>
    <w:rsid w:val="009C4CF9"/>
    <w:rsid w:val="009C4D39"/>
    <w:rsid w:val="009C4D67"/>
    <w:rsid w:val="009C4D9B"/>
    <w:rsid w:val="009C4DA9"/>
    <w:rsid w:val="009C4DEA"/>
    <w:rsid w:val="009C4E0B"/>
    <w:rsid w:val="009C4E5C"/>
    <w:rsid w:val="009C4E97"/>
    <w:rsid w:val="009C4F30"/>
    <w:rsid w:val="009C4F32"/>
    <w:rsid w:val="009C4F4A"/>
    <w:rsid w:val="009C4F5C"/>
    <w:rsid w:val="009C4FF6"/>
    <w:rsid w:val="009C5040"/>
    <w:rsid w:val="009C505E"/>
    <w:rsid w:val="009C507F"/>
    <w:rsid w:val="009C50E9"/>
    <w:rsid w:val="009C50F2"/>
    <w:rsid w:val="009C5188"/>
    <w:rsid w:val="009C520A"/>
    <w:rsid w:val="009C5253"/>
    <w:rsid w:val="009C528F"/>
    <w:rsid w:val="009C52A8"/>
    <w:rsid w:val="009C52DF"/>
    <w:rsid w:val="009C5318"/>
    <w:rsid w:val="009C5322"/>
    <w:rsid w:val="009C5333"/>
    <w:rsid w:val="009C5375"/>
    <w:rsid w:val="009C5413"/>
    <w:rsid w:val="009C5426"/>
    <w:rsid w:val="009C5427"/>
    <w:rsid w:val="009C54B8"/>
    <w:rsid w:val="009C54D0"/>
    <w:rsid w:val="009C54E7"/>
    <w:rsid w:val="009C5503"/>
    <w:rsid w:val="009C552C"/>
    <w:rsid w:val="009C5532"/>
    <w:rsid w:val="009C55B3"/>
    <w:rsid w:val="009C5643"/>
    <w:rsid w:val="009C5660"/>
    <w:rsid w:val="009C569A"/>
    <w:rsid w:val="009C56ED"/>
    <w:rsid w:val="009C56F0"/>
    <w:rsid w:val="009C570F"/>
    <w:rsid w:val="009C5710"/>
    <w:rsid w:val="009C571F"/>
    <w:rsid w:val="009C572C"/>
    <w:rsid w:val="009C574E"/>
    <w:rsid w:val="009C5765"/>
    <w:rsid w:val="009C5788"/>
    <w:rsid w:val="009C583E"/>
    <w:rsid w:val="009C5871"/>
    <w:rsid w:val="009C588A"/>
    <w:rsid w:val="009C58AD"/>
    <w:rsid w:val="009C58CC"/>
    <w:rsid w:val="009C58EA"/>
    <w:rsid w:val="009C5925"/>
    <w:rsid w:val="009C597D"/>
    <w:rsid w:val="009C59B4"/>
    <w:rsid w:val="009C59C1"/>
    <w:rsid w:val="009C59E1"/>
    <w:rsid w:val="009C5A8D"/>
    <w:rsid w:val="009C5A99"/>
    <w:rsid w:val="009C5ACA"/>
    <w:rsid w:val="009C5ADC"/>
    <w:rsid w:val="009C5AE7"/>
    <w:rsid w:val="009C5B24"/>
    <w:rsid w:val="009C5B2C"/>
    <w:rsid w:val="009C5B34"/>
    <w:rsid w:val="009C5B54"/>
    <w:rsid w:val="009C5BB9"/>
    <w:rsid w:val="009C5BC2"/>
    <w:rsid w:val="009C5BF1"/>
    <w:rsid w:val="009C5C6E"/>
    <w:rsid w:val="009C5CA1"/>
    <w:rsid w:val="009C5CAE"/>
    <w:rsid w:val="009C5CB4"/>
    <w:rsid w:val="009C5D13"/>
    <w:rsid w:val="009C5D16"/>
    <w:rsid w:val="009C5D1D"/>
    <w:rsid w:val="009C5D8F"/>
    <w:rsid w:val="009C5DB8"/>
    <w:rsid w:val="009C5E3E"/>
    <w:rsid w:val="009C5E44"/>
    <w:rsid w:val="009C5EBE"/>
    <w:rsid w:val="009C5EF7"/>
    <w:rsid w:val="009C5F1D"/>
    <w:rsid w:val="009C5F99"/>
    <w:rsid w:val="009C6069"/>
    <w:rsid w:val="009C608C"/>
    <w:rsid w:val="009C60AA"/>
    <w:rsid w:val="009C60D3"/>
    <w:rsid w:val="009C61CD"/>
    <w:rsid w:val="009C6208"/>
    <w:rsid w:val="009C6232"/>
    <w:rsid w:val="009C6267"/>
    <w:rsid w:val="009C628A"/>
    <w:rsid w:val="009C62D2"/>
    <w:rsid w:val="009C6301"/>
    <w:rsid w:val="009C631C"/>
    <w:rsid w:val="009C6396"/>
    <w:rsid w:val="009C63C6"/>
    <w:rsid w:val="009C63CC"/>
    <w:rsid w:val="009C63E4"/>
    <w:rsid w:val="009C63EB"/>
    <w:rsid w:val="009C6473"/>
    <w:rsid w:val="009C6478"/>
    <w:rsid w:val="009C649F"/>
    <w:rsid w:val="009C64B0"/>
    <w:rsid w:val="009C64E2"/>
    <w:rsid w:val="009C64FF"/>
    <w:rsid w:val="009C6500"/>
    <w:rsid w:val="009C653F"/>
    <w:rsid w:val="009C6554"/>
    <w:rsid w:val="009C6571"/>
    <w:rsid w:val="009C65A2"/>
    <w:rsid w:val="009C65D3"/>
    <w:rsid w:val="009C65E7"/>
    <w:rsid w:val="009C65E8"/>
    <w:rsid w:val="009C65F4"/>
    <w:rsid w:val="009C6687"/>
    <w:rsid w:val="009C668C"/>
    <w:rsid w:val="009C66B1"/>
    <w:rsid w:val="009C66C2"/>
    <w:rsid w:val="009C671A"/>
    <w:rsid w:val="009C6720"/>
    <w:rsid w:val="009C673B"/>
    <w:rsid w:val="009C6774"/>
    <w:rsid w:val="009C6826"/>
    <w:rsid w:val="009C6859"/>
    <w:rsid w:val="009C688D"/>
    <w:rsid w:val="009C68AC"/>
    <w:rsid w:val="009C68CC"/>
    <w:rsid w:val="009C6917"/>
    <w:rsid w:val="009C692D"/>
    <w:rsid w:val="009C694D"/>
    <w:rsid w:val="009C698A"/>
    <w:rsid w:val="009C6A07"/>
    <w:rsid w:val="009C6B3F"/>
    <w:rsid w:val="009C6B73"/>
    <w:rsid w:val="009C6B86"/>
    <w:rsid w:val="009C6BBC"/>
    <w:rsid w:val="009C6BD6"/>
    <w:rsid w:val="009C6C17"/>
    <w:rsid w:val="009C6C36"/>
    <w:rsid w:val="009C6C66"/>
    <w:rsid w:val="009C6CAE"/>
    <w:rsid w:val="009C6CB3"/>
    <w:rsid w:val="009C6CBF"/>
    <w:rsid w:val="009C6CC2"/>
    <w:rsid w:val="009C6CC6"/>
    <w:rsid w:val="009C6CDF"/>
    <w:rsid w:val="009C6D06"/>
    <w:rsid w:val="009C6D5A"/>
    <w:rsid w:val="009C6D61"/>
    <w:rsid w:val="009C6DC8"/>
    <w:rsid w:val="009C6E57"/>
    <w:rsid w:val="009C6E5C"/>
    <w:rsid w:val="009C6E7E"/>
    <w:rsid w:val="009C6E9B"/>
    <w:rsid w:val="009C6EAB"/>
    <w:rsid w:val="009C6ED3"/>
    <w:rsid w:val="009C6EDB"/>
    <w:rsid w:val="009C6F1E"/>
    <w:rsid w:val="009C6F5D"/>
    <w:rsid w:val="009C6F7B"/>
    <w:rsid w:val="009C6F80"/>
    <w:rsid w:val="009C6F90"/>
    <w:rsid w:val="009C6F91"/>
    <w:rsid w:val="009C700A"/>
    <w:rsid w:val="009C7047"/>
    <w:rsid w:val="009C705D"/>
    <w:rsid w:val="009C70F1"/>
    <w:rsid w:val="009C715E"/>
    <w:rsid w:val="009C7172"/>
    <w:rsid w:val="009C7175"/>
    <w:rsid w:val="009C7196"/>
    <w:rsid w:val="009C7198"/>
    <w:rsid w:val="009C71F6"/>
    <w:rsid w:val="009C720A"/>
    <w:rsid w:val="009C7227"/>
    <w:rsid w:val="009C7259"/>
    <w:rsid w:val="009C7298"/>
    <w:rsid w:val="009C72E2"/>
    <w:rsid w:val="009C72E9"/>
    <w:rsid w:val="009C735E"/>
    <w:rsid w:val="009C7397"/>
    <w:rsid w:val="009C73D3"/>
    <w:rsid w:val="009C7442"/>
    <w:rsid w:val="009C7485"/>
    <w:rsid w:val="009C74A1"/>
    <w:rsid w:val="009C74C3"/>
    <w:rsid w:val="009C74EF"/>
    <w:rsid w:val="009C750F"/>
    <w:rsid w:val="009C759F"/>
    <w:rsid w:val="009C75C9"/>
    <w:rsid w:val="009C75DF"/>
    <w:rsid w:val="009C76D2"/>
    <w:rsid w:val="009C76D8"/>
    <w:rsid w:val="009C76ED"/>
    <w:rsid w:val="009C76F7"/>
    <w:rsid w:val="009C773F"/>
    <w:rsid w:val="009C7759"/>
    <w:rsid w:val="009C7789"/>
    <w:rsid w:val="009C778D"/>
    <w:rsid w:val="009C77A0"/>
    <w:rsid w:val="009C77B0"/>
    <w:rsid w:val="009C78B7"/>
    <w:rsid w:val="009C78DA"/>
    <w:rsid w:val="009C78E4"/>
    <w:rsid w:val="009C7920"/>
    <w:rsid w:val="009C7924"/>
    <w:rsid w:val="009C7972"/>
    <w:rsid w:val="009C79A0"/>
    <w:rsid w:val="009C79AA"/>
    <w:rsid w:val="009C79C8"/>
    <w:rsid w:val="009C7A1C"/>
    <w:rsid w:val="009C7AAF"/>
    <w:rsid w:val="009C7B39"/>
    <w:rsid w:val="009C7B3F"/>
    <w:rsid w:val="009C7B7C"/>
    <w:rsid w:val="009C7B9B"/>
    <w:rsid w:val="009C7BC8"/>
    <w:rsid w:val="009C7BF9"/>
    <w:rsid w:val="009C7C68"/>
    <w:rsid w:val="009C7CCF"/>
    <w:rsid w:val="009C7CD6"/>
    <w:rsid w:val="009C7D27"/>
    <w:rsid w:val="009C7D4E"/>
    <w:rsid w:val="009C7D66"/>
    <w:rsid w:val="009C7D79"/>
    <w:rsid w:val="009C7D9A"/>
    <w:rsid w:val="009C7DA4"/>
    <w:rsid w:val="009C7DDA"/>
    <w:rsid w:val="009C7E03"/>
    <w:rsid w:val="009C7E27"/>
    <w:rsid w:val="009C7E34"/>
    <w:rsid w:val="009C7E3D"/>
    <w:rsid w:val="009C7E4C"/>
    <w:rsid w:val="009C7E78"/>
    <w:rsid w:val="009C7EAE"/>
    <w:rsid w:val="009C7EBC"/>
    <w:rsid w:val="009C7F45"/>
    <w:rsid w:val="009C7F9B"/>
    <w:rsid w:val="009C7FAB"/>
    <w:rsid w:val="009C7FC1"/>
    <w:rsid w:val="009C7FC4"/>
    <w:rsid w:val="009D0010"/>
    <w:rsid w:val="009D0011"/>
    <w:rsid w:val="009D00D4"/>
    <w:rsid w:val="009D00D5"/>
    <w:rsid w:val="009D00D9"/>
    <w:rsid w:val="009D00DE"/>
    <w:rsid w:val="009D00ED"/>
    <w:rsid w:val="009D0111"/>
    <w:rsid w:val="009D012F"/>
    <w:rsid w:val="009D0144"/>
    <w:rsid w:val="009D0147"/>
    <w:rsid w:val="009D0201"/>
    <w:rsid w:val="009D024A"/>
    <w:rsid w:val="009D0280"/>
    <w:rsid w:val="009D0281"/>
    <w:rsid w:val="009D0288"/>
    <w:rsid w:val="009D02A8"/>
    <w:rsid w:val="009D02DC"/>
    <w:rsid w:val="009D0311"/>
    <w:rsid w:val="009D035B"/>
    <w:rsid w:val="009D0379"/>
    <w:rsid w:val="009D038F"/>
    <w:rsid w:val="009D0392"/>
    <w:rsid w:val="009D03BD"/>
    <w:rsid w:val="009D03BF"/>
    <w:rsid w:val="009D03D2"/>
    <w:rsid w:val="009D03FC"/>
    <w:rsid w:val="009D0504"/>
    <w:rsid w:val="009D056D"/>
    <w:rsid w:val="009D058D"/>
    <w:rsid w:val="009D05BB"/>
    <w:rsid w:val="009D05E0"/>
    <w:rsid w:val="009D05F7"/>
    <w:rsid w:val="009D0627"/>
    <w:rsid w:val="009D063D"/>
    <w:rsid w:val="009D0646"/>
    <w:rsid w:val="009D06A9"/>
    <w:rsid w:val="009D06F1"/>
    <w:rsid w:val="009D070A"/>
    <w:rsid w:val="009D0759"/>
    <w:rsid w:val="009D076D"/>
    <w:rsid w:val="009D0797"/>
    <w:rsid w:val="009D07C5"/>
    <w:rsid w:val="009D0841"/>
    <w:rsid w:val="009D0862"/>
    <w:rsid w:val="009D087E"/>
    <w:rsid w:val="009D08F0"/>
    <w:rsid w:val="009D0902"/>
    <w:rsid w:val="009D091E"/>
    <w:rsid w:val="009D091F"/>
    <w:rsid w:val="009D0947"/>
    <w:rsid w:val="009D0978"/>
    <w:rsid w:val="009D0994"/>
    <w:rsid w:val="009D09C7"/>
    <w:rsid w:val="009D0A3C"/>
    <w:rsid w:val="009D0A3F"/>
    <w:rsid w:val="009D0A5B"/>
    <w:rsid w:val="009D0AAE"/>
    <w:rsid w:val="009D0AFA"/>
    <w:rsid w:val="009D0AFE"/>
    <w:rsid w:val="009D0B5B"/>
    <w:rsid w:val="009D0B9E"/>
    <w:rsid w:val="009D0BDD"/>
    <w:rsid w:val="009D0C1B"/>
    <w:rsid w:val="009D0C59"/>
    <w:rsid w:val="009D0C87"/>
    <w:rsid w:val="009D0CA2"/>
    <w:rsid w:val="009D0CDB"/>
    <w:rsid w:val="009D0D34"/>
    <w:rsid w:val="009D0D80"/>
    <w:rsid w:val="009D0D84"/>
    <w:rsid w:val="009D0D91"/>
    <w:rsid w:val="009D0D9D"/>
    <w:rsid w:val="009D0DB2"/>
    <w:rsid w:val="009D0DC7"/>
    <w:rsid w:val="009D0DDC"/>
    <w:rsid w:val="009D0E1C"/>
    <w:rsid w:val="009D0E44"/>
    <w:rsid w:val="009D0E9B"/>
    <w:rsid w:val="009D0ECE"/>
    <w:rsid w:val="009D0ED8"/>
    <w:rsid w:val="009D0EFD"/>
    <w:rsid w:val="009D0F2E"/>
    <w:rsid w:val="009D0F7C"/>
    <w:rsid w:val="009D0F89"/>
    <w:rsid w:val="009D0F8C"/>
    <w:rsid w:val="009D0FA6"/>
    <w:rsid w:val="009D0FD6"/>
    <w:rsid w:val="009D0FF7"/>
    <w:rsid w:val="009D1018"/>
    <w:rsid w:val="009D1095"/>
    <w:rsid w:val="009D10A3"/>
    <w:rsid w:val="009D10E0"/>
    <w:rsid w:val="009D10EB"/>
    <w:rsid w:val="009D1128"/>
    <w:rsid w:val="009D1147"/>
    <w:rsid w:val="009D115E"/>
    <w:rsid w:val="009D1166"/>
    <w:rsid w:val="009D11B2"/>
    <w:rsid w:val="009D122D"/>
    <w:rsid w:val="009D128F"/>
    <w:rsid w:val="009D1312"/>
    <w:rsid w:val="009D1319"/>
    <w:rsid w:val="009D135C"/>
    <w:rsid w:val="009D1383"/>
    <w:rsid w:val="009D13BC"/>
    <w:rsid w:val="009D13DD"/>
    <w:rsid w:val="009D1430"/>
    <w:rsid w:val="009D1446"/>
    <w:rsid w:val="009D1471"/>
    <w:rsid w:val="009D147A"/>
    <w:rsid w:val="009D1482"/>
    <w:rsid w:val="009D14A6"/>
    <w:rsid w:val="009D1534"/>
    <w:rsid w:val="009D1573"/>
    <w:rsid w:val="009D15D5"/>
    <w:rsid w:val="009D15E0"/>
    <w:rsid w:val="009D15FC"/>
    <w:rsid w:val="009D1600"/>
    <w:rsid w:val="009D1683"/>
    <w:rsid w:val="009D16F6"/>
    <w:rsid w:val="009D17A2"/>
    <w:rsid w:val="009D17F6"/>
    <w:rsid w:val="009D184A"/>
    <w:rsid w:val="009D1878"/>
    <w:rsid w:val="009D18B3"/>
    <w:rsid w:val="009D18FF"/>
    <w:rsid w:val="009D1931"/>
    <w:rsid w:val="009D196F"/>
    <w:rsid w:val="009D19C3"/>
    <w:rsid w:val="009D19D9"/>
    <w:rsid w:val="009D19DD"/>
    <w:rsid w:val="009D1A42"/>
    <w:rsid w:val="009D1A65"/>
    <w:rsid w:val="009D1AE3"/>
    <w:rsid w:val="009D1AFF"/>
    <w:rsid w:val="009D1B3C"/>
    <w:rsid w:val="009D1B47"/>
    <w:rsid w:val="009D1B74"/>
    <w:rsid w:val="009D1BA1"/>
    <w:rsid w:val="009D1BAA"/>
    <w:rsid w:val="009D1BD1"/>
    <w:rsid w:val="009D1BD4"/>
    <w:rsid w:val="009D1BF2"/>
    <w:rsid w:val="009D1C20"/>
    <w:rsid w:val="009D1C28"/>
    <w:rsid w:val="009D1C2A"/>
    <w:rsid w:val="009D1C3D"/>
    <w:rsid w:val="009D1C54"/>
    <w:rsid w:val="009D1C6C"/>
    <w:rsid w:val="009D1C81"/>
    <w:rsid w:val="009D1C88"/>
    <w:rsid w:val="009D1C89"/>
    <w:rsid w:val="009D1CE1"/>
    <w:rsid w:val="009D1D22"/>
    <w:rsid w:val="009D1D25"/>
    <w:rsid w:val="009D1D43"/>
    <w:rsid w:val="009D1D8E"/>
    <w:rsid w:val="009D1D97"/>
    <w:rsid w:val="009D1DA0"/>
    <w:rsid w:val="009D1E17"/>
    <w:rsid w:val="009D1E42"/>
    <w:rsid w:val="009D1E82"/>
    <w:rsid w:val="009D1EAD"/>
    <w:rsid w:val="009D1EB8"/>
    <w:rsid w:val="009D1F18"/>
    <w:rsid w:val="009D1F41"/>
    <w:rsid w:val="009D1F78"/>
    <w:rsid w:val="009D2017"/>
    <w:rsid w:val="009D202B"/>
    <w:rsid w:val="009D2049"/>
    <w:rsid w:val="009D20B0"/>
    <w:rsid w:val="009D20B3"/>
    <w:rsid w:val="009D20D2"/>
    <w:rsid w:val="009D20E1"/>
    <w:rsid w:val="009D20FE"/>
    <w:rsid w:val="009D2110"/>
    <w:rsid w:val="009D2168"/>
    <w:rsid w:val="009D21E2"/>
    <w:rsid w:val="009D2233"/>
    <w:rsid w:val="009D2250"/>
    <w:rsid w:val="009D225D"/>
    <w:rsid w:val="009D226C"/>
    <w:rsid w:val="009D2283"/>
    <w:rsid w:val="009D22C8"/>
    <w:rsid w:val="009D233D"/>
    <w:rsid w:val="009D234C"/>
    <w:rsid w:val="009D237E"/>
    <w:rsid w:val="009D2396"/>
    <w:rsid w:val="009D23B9"/>
    <w:rsid w:val="009D23D1"/>
    <w:rsid w:val="009D2461"/>
    <w:rsid w:val="009D24CB"/>
    <w:rsid w:val="009D24DF"/>
    <w:rsid w:val="009D2505"/>
    <w:rsid w:val="009D2507"/>
    <w:rsid w:val="009D2535"/>
    <w:rsid w:val="009D2558"/>
    <w:rsid w:val="009D25DE"/>
    <w:rsid w:val="009D25F6"/>
    <w:rsid w:val="009D260B"/>
    <w:rsid w:val="009D2652"/>
    <w:rsid w:val="009D2665"/>
    <w:rsid w:val="009D2681"/>
    <w:rsid w:val="009D2699"/>
    <w:rsid w:val="009D26F5"/>
    <w:rsid w:val="009D2738"/>
    <w:rsid w:val="009D27C1"/>
    <w:rsid w:val="009D281D"/>
    <w:rsid w:val="009D2896"/>
    <w:rsid w:val="009D2914"/>
    <w:rsid w:val="009D292D"/>
    <w:rsid w:val="009D29FB"/>
    <w:rsid w:val="009D2A11"/>
    <w:rsid w:val="009D2A2A"/>
    <w:rsid w:val="009D2A3E"/>
    <w:rsid w:val="009D2A7E"/>
    <w:rsid w:val="009D2A90"/>
    <w:rsid w:val="009D2A9A"/>
    <w:rsid w:val="009D2ACC"/>
    <w:rsid w:val="009D2AF6"/>
    <w:rsid w:val="009D2B00"/>
    <w:rsid w:val="009D2B73"/>
    <w:rsid w:val="009D2BA9"/>
    <w:rsid w:val="009D2BB4"/>
    <w:rsid w:val="009D2C63"/>
    <w:rsid w:val="009D2C86"/>
    <w:rsid w:val="009D2CE1"/>
    <w:rsid w:val="009D2CF3"/>
    <w:rsid w:val="009D2D1D"/>
    <w:rsid w:val="009D2D3B"/>
    <w:rsid w:val="009D2D77"/>
    <w:rsid w:val="009D2DB2"/>
    <w:rsid w:val="009D2DC4"/>
    <w:rsid w:val="009D2DDB"/>
    <w:rsid w:val="009D2DF9"/>
    <w:rsid w:val="009D2EB0"/>
    <w:rsid w:val="009D2EB3"/>
    <w:rsid w:val="009D2EF9"/>
    <w:rsid w:val="009D2EFE"/>
    <w:rsid w:val="009D2F14"/>
    <w:rsid w:val="009D2F3C"/>
    <w:rsid w:val="009D2F50"/>
    <w:rsid w:val="009D2FAD"/>
    <w:rsid w:val="009D2FEF"/>
    <w:rsid w:val="009D302A"/>
    <w:rsid w:val="009D3087"/>
    <w:rsid w:val="009D308F"/>
    <w:rsid w:val="009D3091"/>
    <w:rsid w:val="009D30E6"/>
    <w:rsid w:val="009D312F"/>
    <w:rsid w:val="009D3156"/>
    <w:rsid w:val="009D3168"/>
    <w:rsid w:val="009D3170"/>
    <w:rsid w:val="009D3193"/>
    <w:rsid w:val="009D319F"/>
    <w:rsid w:val="009D31DA"/>
    <w:rsid w:val="009D31EE"/>
    <w:rsid w:val="009D3235"/>
    <w:rsid w:val="009D323B"/>
    <w:rsid w:val="009D3259"/>
    <w:rsid w:val="009D329F"/>
    <w:rsid w:val="009D32EE"/>
    <w:rsid w:val="009D3414"/>
    <w:rsid w:val="009D3467"/>
    <w:rsid w:val="009D347F"/>
    <w:rsid w:val="009D3486"/>
    <w:rsid w:val="009D3494"/>
    <w:rsid w:val="009D34B9"/>
    <w:rsid w:val="009D353E"/>
    <w:rsid w:val="009D35C7"/>
    <w:rsid w:val="009D35DE"/>
    <w:rsid w:val="009D3617"/>
    <w:rsid w:val="009D3621"/>
    <w:rsid w:val="009D3668"/>
    <w:rsid w:val="009D3672"/>
    <w:rsid w:val="009D36D8"/>
    <w:rsid w:val="009D377C"/>
    <w:rsid w:val="009D37B8"/>
    <w:rsid w:val="009D37BD"/>
    <w:rsid w:val="009D37D6"/>
    <w:rsid w:val="009D3841"/>
    <w:rsid w:val="009D3856"/>
    <w:rsid w:val="009D3893"/>
    <w:rsid w:val="009D38A3"/>
    <w:rsid w:val="009D38D6"/>
    <w:rsid w:val="009D3916"/>
    <w:rsid w:val="009D399F"/>
    <w:rsid w:val="009D39D7"/>
    <w:rsid w:val="009D3A29"/>
    <w:rsid w:val="009D3A48"/>
    <w:rsid w:val="009D3A69"/>
    <w:rsid w:val="009D3A80"/>
    <w:rsid w:val="009D3A85"/>
    <w:rsid w:val="009D3B49"/>
    <w:rsid w:val="009D3B77"/>
    <w:rsid w:val="009D3B99"/>
    <w:rsid w:val="009D3BAA"/>
    <w:rsid w:val="009D3BB0"/>
    <w:rsid w:val="009D3C20"/>
    <w:rsid w:val="009D3C5B"/>
    <w:rsid w:val="009D3CE1"/>
    <w:rsid w:val="009D3D10"/>
    <w:rsid w:val="009D3D1B"/>
    <w:rsid w:val="009D3D59"/>
    <w:rsid w:val="009D3D6B"/>
    <w:rsid w:val="009D3DA3"/>
    <w:rsid w:val="009D3DDB"/>
    <w:rsid w:val="009D3DEE"/>
    <w:rsid w:val="009D3E05"/>
    <w:rsid w:val="009D3E08"/>
    <w:rsid w:val="009D3E55"/>
    <w:rsid w:val="009D3E57"/>
    <w:rsid w:val="009D3E67"/>
    <w:rsid w:val="009D3EE2"/>
    <w:rsid w:val="009D3F22"/>
    <w:rsid w:val="009D3F64"/>
    <w:rsid w:val="009D3F80"/>
    <w:rsid w:val="009D3F90"/>
    <w:rsid w:val="009D4055"/>
    <w:rsid w:val="009D4081"/>
    <w:rsid w:val="009D40C5"/>
    <w:rsid w:val="009D4120"/>
    <w:rsid w:val="009D4179"/>
    <w:rsid w:val="009D41A3"/>
    <w:rsid w:val="009D41C6"/>
    <w:rsid w:val="009D41DB"/>
    <w:rsid w:val="009D41E2"/>
    <w:rsid w:val="009D4206"/>
    <w:rsid w:val="009D4252"/>
    <w:rsid w:val="009D42B9"/>
    <w:rsid w:val="009D42D8"/>
    <w:rsid w:val="009D4337"/>
    <w:rsid w:val="009D4344"/>
    <w:rsid w:val="009D436B"/>
    <w:rsid w:val="009D43C5"/>
    <w:rsid w:val="009D4420"/>
    <w:rsid w:val="009D444F"/>
    <w:rsid w:val="009D44EF"/>
    <w:rsid w:val="009D4524"/>
    <w:rsid w:val="009D4555"/>
    <w:rsid w:val="009D4595"/>
    <w:rsid w:val="009D46C7"/>
    <w:rsid w:val="009D4747"/>
    <w:rsid w:val="009D476C"/>
    <w:rsid w:val="009D4774"/>
    <w:rsid w:val="009D4795"/>
    <w:rsid w:val="009D47DA"/>
    <w:rsid w:val="009D47E8"/>
    <w:rsid w:val="009D47FA"/>
    <w:rsid w:val="009D4834"/>
    <w:rsid w:val="009D4837"/>
    <w:rsid w:val="009D48A9"/>
    <w:rsid w:val="009D48B9"/>
    <w:rsid w:val="009D48BC"/>
    <w:rsid w:val="009D48BD"/>
    <w:rsid w:val="009D48EF"/>
    <w:rsid w:val="009D4902"/>
    <w:rsid w:val="009D4923"/>
    <w:rsid w:val="009D4935"/>
    <w:rsid w:val="009D4971"/>
    <w:rsid w:val="009D497C"/>
    <w:rsid w:val="009D4986"/>
    <w:rsid w:val="009D4998"/>
    <w:rsid w:val="009D4A17"/>
    <w:rsid w:val="009D4A2D"/>
    <w:rsid w:val="009D4A34"/>
    <w:rsid w:val="009D4A46"/>
    <w:rsid w:val="009D4A50"/>
    <w:rsid w:val="009D4A8D"/>
    <w:rsid w:val="009D4AB7"/>
    <w:rsid w:val="009D4AC6"/>
    <w:rsid w:val="009D4ACF"/>
    <w:rsid w:val="009D4AE8"/>
    <w:rsid w:val="009D4B17"/>
    <w:rsid w:val="009D4B28"/>
    <w:rsid w:val="009D4B35"/>
    <w:rsid w:val="009D4B42"/>
    <w:rsid w:val="009D4B5E"/>
    <w:rsid w:val="009D4B6F"/>
    <w:rsid w:val="009D4B8D"/>
    <w:rsid w:val="009D4B95"/>
    <w:rsid w:val="009D4BE8"/>
    <w:rsid w:val="009D4C17"/>
    <w:rsid w:val="009D4C2F"/>
    <w:rsid w:val="009D4C3E"/>
    <w:rsid w:val="009D4C45"/>
    <w:rsid w:val="009D4C5E"/>
    <w:rsid w:val="009D4C9B"/>
    <w:rsid w:val="009D4CB4"/>
    <w:rsid w:val="009D4CDF"/>
    <w:rsid w:val="009D4D0D"/>
    <w:rsid w:val="009D4D22"/>
    <w:rsid w:val="009D4D6A"/>
    <w:rsid w:val="009D4DAB"/>
    <w:rsid w:val="009D4DBA"/>
    <w:rsid w:val="009D4DE3"/>
    <w:rsid w:val="009D4E3B"/>
    <w:rsid w:val="009D4E64"/>
    <w:rsid w:val="009D4EDA"/>
    <w:rsid w:val="009D4F4C"/>
    <w:rsid w:val="009D4F7A"/>
    <w:rsid w:val="009D4FA4"/>
    <w:rsid w:val="009D4FD0"/>
    <w:rsid w:val="009D500B"/>
    <w:rsid w:val="009D5099"/>
    <w:rsid w:val="009D510E"/>
    <w:rsid w:val="009D515B"/>
    <w:rsid w:val="009D5160"/>
    <w:rsid w:val="009D517B"/>
    <w:rsid w:val="009D5180"/>
    <w:rsid w:val="009D51D1"/>
    <w:rsid w:val="009D528F"/>
    <w:rsid w:val="009D529E"/>
    <w:rsid w:val="009D52D8"/>
    <w:rsid w:val="009D52D9"/>
    <w:rsid w:val="009D52F5"/>
    <w:rsid w:val="009D53EC"/>
    <w:rsid w:val="009D53F0"/>
    <w:rsid w:val="009D5460"/>
    <w:rsid w:val="009D54A8"/>
    <w:rsid w:val="009D54CB"/>
    <w:rsid w:val="009D54DA"/>
    <w:rsid w:val="009D54EE"/>
    <w:rsid w:val="009D54FA"/>
    <w:rsid w:val="009D5532"/>
    <w:rsid w:val="009D5558"/>
    <w:rsid w:val="009D5599"/>
    <w:rsid w:val="009D559E"/>
    <w:rsid w:val="009D55F3"/>
    <w:rsid w:val="009D55FF"/>
    <w:rsid w:val="009D561C"/>
    <w:rsid w:val="009D5629"/>
    <w:rsid w:val="009D568F"/>
    <w:rsid w:val="009D5694"/>
    <w:rsid w:val="009D5707"/>
    <w:rsid w:val="009D5769"/>
    <w:rsid w:val="009D578E"/>
    <w:rsid w:val="009D5793"/>
    <w:rsid w:val="009D579F"/>
    <w:rsid w:val="009D57A0"/>
    <w:rsid w:val="009D57DE"/>
    <w:rsid w:val="009D57FA"/>
    <w:rsid w:val="009D5820"/>
    <w:rsid w:val="009D58A1"/>
    <w:rsid w:val="009D58B9"/>
    <w:rsid w:val="009D58C2"/>
    <w:rsid w:val="009D58D5"/>
    <w:rsid w:val="009D5905"/>
    <w:rsid w:val="009D59B4"/>
    <w:rsid w:val="009D59FF"/>
    <w:rsid w:val="009D5A01"/>
    <w:rsid w:val="009D5A2A"/>
    <w:rsid w:val="009D5A66"/>
    <w:rsid w:val="009D5A68"/>
    <w:rsid w:val="009D5AFF"/>
    <w:rsid w:val="009D5B17"/>
    <w:rsid w:val="009D5B58"/>
    <w:rsid w:val="009D5B5F"/>
    <w:rsid w:val="009D5BB0"/>
    <w:rsid w:val="009D5C2C"/>
    <w:rsid w:val="009D5C79"/>
    <w:rsid w:val="009D5CBB"/>
    <w:rsid w:val="009D5CDC"/>
    <w:rsid w:val="009D5D05"/>
    <w:rsid w:val="009D5D06"/>
    <w:rsid w:val="009D5D18"/>
    <w:rsid w:val="009D5D3F"/>
    <w:rsid w:val="009D5DAB"/>
    <w:rsid w:val="009D5DFC"/>
    <w:rsid w:val="009D5E0B"/>
    <w:rsid w:val="009D5E11"/>
    <w:rsid w:val="009D5E3C"/>
    <w:rsid w:val="009D5E82"/>
    <w:rsid w:val="009D5E95"/>
    <w:rsid w:val="009D5ED6"/>
    <w:rsid w:val="009D5EF8"/>
    <w:rsid w:val="009D5F16"/>
    <w:rsid w:val="009D5F17"/>
    <w:rsid w:val="009D5F5D"/>
    <w:rsid w:val="009D5F8F"/>
    <w:rsid w:val="009D5F96"/>
    <w:rsid w:val="009D6050"/>
    <w:rsid w:val="009D6062"/>
    <w:rsid w:val="009D60AB"/>
    <w:rsid w:val="009D60AD"/>
    <w:rsid w:val="009D60B6"/>
    <w:rsid w:val="009D60B9"/>
    <w:rsid w:val="009D60C3"/>
    <w:rsid w:val="009D60FB"/>
    <w:rsid w:val="009D6156"/>
    <w:rsid w:val="009D61AF"/>
    <w:rsid w:val="009D61EB"/>
    <w:rsid w:val="009D61F1"/>
    <w:rsid w:val="009D6223"/>
    <w:rsid w:val="009D6256"/>
    <w:rsid w:val="009D625F"/>
    <w:rsid w:val="009D628A"/>
    <w:rsid w:val="009D638B"/>
    <w:rsid w:val="009D63A4"/>
    <w:rsid w:val="009D63DB"/>
    <w:rsid w:val="009D63F5"/>
    <w:rsid w:val="009D63FE"/>
    <w:rsid w:val="009D6414"/>
    <w:rsid w:val="009D6491"/>
    <w:rsid w:val="009D6494"/>
    <w:rsid w:val="009D64B1"/>
    <w:rsid w:val="009D64C7"/>
    <w:rsid w:val="009D6512"/>
    <w:rsid w:val="009D657C"/>
    <w:rsid w:val="009D65CC"/>
    <w:rsid w:val="009D65D9"/>
    <w:rsid w:val="009D666B"/>
    <w:rsid w:val="009D66C1"/>
    <w:rsid w:val="009D66D6"/>
    <w:rsid w:val="009D6734"/>
    <w:rsid w:val="009D675A"/>
    <w:rsid w:val="009D677C"/>
    <w:rsid w:val="009D679C"/>
    <w:rsid w:val="009D67BB"/>
    <w:rsid w:val="009D67FD"/>
    <w:rsid w:val="009D687C"/>
    <w:rsid w:val="009D68A3"/>
    <w:rsid w:val="009D69B0"/>
    <w:rsid w:val="009D69B4"/>
    <w:rsid w:val="009D69C2"/>
    <w:rsid w:val="009D6A6E"/>
    <w:rsid w:val="009D6AE2"/>
    <w:rsid w:val="009D6B2F"/>
    <w:rsid w:val="009D6B6E"/>
    <w:rsid w:val="009D6B76"/>
    <w:rsid w:val="009D6B7F"/>
    <w:rsid w:val="009D6B9B"/>
    <w:rsid w:val="009D6BCE"/>
    <w:rsid w:val="009D6BD2"/>
    <w:rsid w:val="009D6BEA"/>
    <w:rsid w:val="009D6C0B"/>
    <w:rsid w:val="009D6C60"/>
    <w:rsid w:val="009D6C9F"/>
    <w:rsid w:val="009D6CC8"/>
    <w:rsid w:val="009D6D51"/>
    <w:rsid w:val="009D6D7E"/>
    <w:rsid w:val="009D6D80"/>
    <w:rsid w:val="009D6E31"/>
    <w:rsid w:val="009D6E5C"/>
    <w:rsid w:val="009D6EA8"/>
    <w:rsid w:val="009D6F0C"/>
    <w:rsid w:val="009D6F1E"/>
    <w:rsid w:val="009D6F5B"/>
    <w:rsid w:val="009D6FEC"/>
    <w:rsid w:val="009D7010"/>
    <w:rsid w:val="009D7013"/>
    <w:rsid w:val="009D701C"/>
    <w:rsid w:val="009D706F"/>
    <w:rsid w:val="009D7087"/>
    <w:rsid w:val="009D710D"/>
    <w:rsid w:val="009D7171"/>
    <w:rsid w:val="009D7193"/>
    <w:rsid w:val="009D71A5"/>
    <w:rsid w:val="009D71BF"/>
    <w:rsid w:val="009D71F0"/>
    <w:rsid w:val="009D71FC"/>
    <w:rsid w:val="009D7207"/>
    <w:rsid w:val="009D721E"/>
    <w:rsid w:val="009D72C0"/>
    <w:rsid w:val="009D731D"/>
    <w:rsid w:val="009D7372"/>
    <w:rsid w:val="009D7426"/>
    <w:rsid w:val="009D7462"/>
    <w:rsid w:val="009D746A"/>
    <w:rsid w:val="009D749D"/>
    <w:rsid w:val="009D74FE"/>
    <w:rsid w:val="009D7503"/>
    <w:rsid w:val="009D750F"/>
    <w:rsid w:val="009D7534"/>
    <w:rsid w:val="009D756E"/>
    <w:rsid w:val="009D75C6"/>
    <w:rsid w:val="009D75D1"/>
    <w:rsid w:val="009D75D6"/>
    <w:rsid w:val="009D76C7"/>
    <w:rsid w:val="009D76E5"/>
    <w:rsid w:val="009D76F1"/>
    <w:rsid w:val="009D770D"/>
    <w:rsid w:val="009D7724"/>
    <w:rsid w:val="009D7785"/>
    <w:rsid w:val="009D77A3"/>
    <w:rsid w:val="009D77EB"/>
    <w:rsid w:val="009D782E"/>
    <w:rsid w:val="009D7833"/>
    <w:rsid w:val="009D7837"/>
    <w:rsid w:val="009D78B4"/>
    <w:rsid w:val="009D78E3"/>
    <w:rsid w:val="009D7947"/>
    <w:rsid w:val="009D797F"/>
    <w:rsid w:val="009D79B1"/>
    <w:rsid w:val="009D79F9"/>
    <w:rsid w:val="009D7A11"/>
    <w:rsid w:val="009D7A54"/>
    <w:rsid w:val="009D7A5B"/>
    <w:rsid w:val="009D7A6A"/>
    <w:rsid w:val="009D7A72"/>
    <w:rsid w:val="009D7A99"/>
    <w:rsid w:val="009D7B38"/>
    <w:rsid w:val="009D7B44"/>
    <w:rsid w:val="009D7B5E"/>
    <w:rsid w:val="009D7BBA"/>
    <w:rsid w:val="009D7BC5"/>
    <w:rsid w:val="009D7C39"/>
    <w:rsid w:val="009D7C71"/>
    <w:rsid w:val="009D7CC3"/>
    <w:rsid w:val="009D7CEA"/>
    <w:rsid w:val="009D7D23"/>
    <w:rsid w:val="009D7D39"/>
    <w:rsid w:val="009D7D46"/>
    <w:rsid w:val="009D7D75"/>
    <w:rsid w:val="009D7DD4"/>
    <w:rsid w:val="009D7DDE"/>
    <w:rsid w:val="009D7DF4"/>
    <w:rsid w:val="009D7E18"/>
    <w:rsid w:val="009D7E30"/>
    <w:rsid w:val="009D7E59"/>
    <w:rsid w:val="009D7EBA"/>
    <w:rsid w:val="009D7EBE"/>
    <w:rsid w:val="009D7EEE"/>
    <w:rsid w:val="009D7EFB"/>
    <w:rsid w:val="009D7F7F"/>
    <w:rsid w:val="009D7FBE"/>
    <w:rsid w:val="009D7FC2"/>
    <w:rsid w:val="009D7FC8"/>
    <w:rsid w:val="009E0006"/>
    <w:rsid w:val="009E000B"/>
    <w:rsid w:val="009E0019"/>
    <w:rsid w:val="009E00CC"/>
    <w:rsid w:val="009E00D6"/>
    <w:rsid w:val="009E0120"/>
    <w:rsid w:val="009E012E"/>
    <w:rsid w:val="009E014D"/>
    <w:rsid w:val="009E0154"/>
    <w:rsid w:val="009E01F7"/>
    <w:rsid w:val="009E01FF"/>
    <w:rsid w:val="009E0203"/>
    <w:rsid w:val="009E02AA"/>
    <w:rsid w:val="009E02AC"/>
    <w:rsid w:val="009E02C1"/>
    <w:rsid w:val="009E030F"/>
    <w:rsid w:val="009E0336"/>
    <w:rsid w:val="009E0339"/>
    <w:rsid w:val="009E039C"/>
    <w:rsid w:val="009E039E"/>
    <w:rsid w:val="009E03C9"/>
    <w:rsid w:val="009E0414"/>
    <w:rsid w:val="009E041A"/>
    <w:rsid w:val="009E0438"/>
    <w:rsid w:val="009E0447"/>
    <w:rsid w:val="009E0451"/>
    <w:rsid w:val="009E0489"/>
    <w:rsid w:val="009E0490"/>
    <w:rsid w:val="009E04C4"/>
    <w:rsid w:val="009E04FA"/>
    <w:rsid w:val="009E0517"/>
    <w:rsid w:val="009E0554"/>
    <w:rsid w:val="009E05A8"/>
    <w:rsid w:val="009E05BA"/>
    <w:rsid w:val="009E05BD"/>
    <w:rsid w:val="009E05CD"/>
    <w:rsid w:val="009E0615"/>
    <w:rsid w:val="009E0786"/>
    <w:rsid w:val="009E081B"/>
    <w:rsid w:val="009E084B"/>
    <w:rsid w:val="009E08FE"/>
    <w:rsid w:val="009E09AD"/>
    <w:rsid w:val="009E0A36"/>
    <w:rsid w:val="009E0A65"/>
    <w:rsid w:val="009E0A80"/>
    <w:rsid w:val="009E0B12"/>
    <w:rsid w:val="009E0B7A"/>
    <w:rsid w:val="009E0C02"/>
    <w:rsid w:val="009E0C12"/>
    <w:rsid w:val="009E0C5B"/>
    <w:rsid w:val="009E0CC5"/>
    <w:rsid w:val="009E0CF8"/>
    <w:rsid w:val="009E0D49"/>
    <w:rsid w:val="009E0D8F"/>
    <w:rsid w:val="009E0D9F"/>
    <w:rsid w:val="009E0DB0"/>
    <w:rsid w:val="009E0DBE"/>
    <w:rsid w:val="009E0DC4"/>
    <w:rsid w:val="009E0DC9"/>
    <w:rsid w:val="009E0DE6"/>
    <w:rsid w:val="009E0E26"/>
    <w:rsid w:val="009E0F65"/>
    <w:rsid w:val="009E0F7E"/>
    <w:rsid w:val="009E0F80"/>
    <w:rsid w:val="009E0F8E"/>
    <w:rsid w:val="009E0FE0"/>
    <w:rsid w:val="009E1054"/>
    <w:rsid w:val="009E10B6"/>
    <w:rsid w:val="009E10B8"/>
    <w:rsid w:val="009E10FD"/>
    <w:rsid w:val="009E1129"/>
    <w:rsid w:val="009E1155"/>
    <w:rsid w:val="009E115B"/>
    <w:rsid w:val="009E11DE"/>
    <w:rsid w:val="009E1203"/>
    <w:rsid w:val="009E122D"/>
    <w:rsid w:val="009E12C4"/>
    <w:rsid w:val="009E12D0"/>
    <w:rsid w:val="009E1301"/>
    <w:rsid w:val="009E1309"/>
    <w:rsid w:val="009E1374"/>
    <w:rsid w:val="009E1381"/>
    <w:rsid w:val="009E13B1"/>
    <w:rsid w:val="009E13D8"/>
    <w:rsid w:val="009E1420"/>
    <w:rsid w:val="009E1430"/>
    <w:rsid w:val="009E1434"/>
    <w:rsid w:val="009E1485"/>
    <w:rsid w:val="009E14B6"/>
    <w:rsid w:val="009E14BC"/>
    <w:rsid w:val="009E14EB"/>
    <w:rsid w:val="009E1537"/>
    <w:rsid w:val="009E1567"/>
    <w:rsid w:val="009E1604"/>
    <w:rsid w:val="009E1621"/>
    <w:rsid w:val="009E1627"/>
    <w:rsid w:val="009E1633"/>
    <w:rsid w:val="009E164C"/>
    <w:rsid w:val="009E1693"/>
    <w:rsid w:val="009E16BC"/>
    <w:rsid w:val="009E16C0"/>
    <w:rsid w:val="009E170C"/>
    <w:rsid w:val="009E174C"/>
    <w:rsid w:val="009E176E"/>
    <w:rsid w:val="009E1790"/>
    <w:rsid w:val="009E17A0"/>
    <w:rsid w:val="009E17AD"/>
    <w:rsid w:val="009E17B9"/>
    <w:rsid w:val="009E17D6"/>
    <w:rsid w:val="009E1826"/>
    <w:rsid w:val="009E18A1"/>
    <w:rsid w:val="009E18B4"/>
    <w:rsid w:val="009E1960"/>
    <w:rsid w:val="009E19EF"/>
    <w:rsid w:val="009E1A43"/>
    <w:rsid w:val="009E1A96"/>
    <w:rsid w:val="009E1B53"/>
    <w:rsid w:val="009E1B8E"/>
    <w:rsid w:val="009E1BBC"/>
    <w:rsid w:val="009E1BC8"/>
    <w:rsid w:val="009E1C05"/>
    <w:rsid w:val="009E1C30"/>
    <w:rsid w:val="009E1C4B"/>
    <w:rsid w:val="009E1D3C"/>
    <w:rsid w:val="009E1D56"/>
    <w:rsid w:val="009E1DB0"/>
    <w:rsid w:val="009E1DEE"/>
    <w:rsid w:val="009E1E17"/>
    <w:rsid w:val="009E1E5B"/>
    <w:rsid w:val="009E1EBC"/>
    <w:rsid w:val="009E1F07"/>
    <w:rsid w:val="009E1F0E"/>
    <w:rsid w:val="009E1F97"/>
    <w:rsid w:val="009E1FA6"/>
    <w:rsid w:val="009E1FEA"/>
    <w:rsid w:val="009E1FFC"/>
    <w:rsid w:val="009E2030"/>
    <w:rsid w:val="009E206F"/>
    <w:rsid w:val="009E209A"/>
    <w:rsid w:val="009E20BC"/>
    <w:rsid w:val="009E2103"/>
    <w:rsid w:val="009E21B5"/>
    <w:rsid w:val="009E21FF"/>
    <w:rsid w:val="009E2272"/>
    <w:rsid w:val="009E22B0"/>
    <w:rsid w:val="009E22DE"/>
    <w:rsid w:val="009E231C"/>
    <w:rsid w:val="009E2415"/>
    <w:rsid w:val="009E245C"/>
    <w:rsid w:val="009E2462"/>
    <w:rsid w:val="009E24C1"/>
    <w:rsid w:val="009E25C9"/>
    <w:rsid w:val="009E25F3"/>
    <w:rsid w:val="009E2609"/>
    <w:rsid w:val="009E261A"/>
    <w:rsid w:val="009E26A3"/>
    <w:rsid w:val="009E270C"/>
    <w:rsid w:val="009E27C0"/>
    <w:rsid w:val="009E280A"/>
    <w:rsid w:val="009E2889"/>
    <w:rsid w:val="009E288B"/>
    <w:rsid w:val="009E28B6"/>
    <w:rsid w:val="009E28E3"/>
    <w:rsid w:val="009E28F9"/>
    <w:rsid w:val="009E291C"/>
    <w:rsid w:val="009E2968"/>
    <w:rsid w:val="009E296F"/>
    <w:rsid w:val="009E2970"/>
    <w:rsid w:val="009E29B9"/>
    <w:rsid w:val="009E29C7"/>
    <w:rsid w:val="009E29CE"/>
    <w:rsid w:val="009E29DF"/>
    <w:rsid w:val="009E29ED"/>
    <w:rsid w:val="009E2A0F"/>
    <w:rsid w:val="009E2A1F"/>
    <w:rsid w:val="009E2A84"/>
    <w:rsid w:val="009E2A93"/>
    <w:rsid w:val="009E2ACC"/>
    <w:rsid w:val="009E2AF4"/>
    <w:rsid w:val="009E2B1B"/>
    <w:rsid w:val="009E2B57"/>
    <w:rsid w:val="009E2B5C"/>
    <w:rsid w:val="009E2B7C"/>
    <w:rsid w:val="009E2B94"/>
    <w:rsid w:val="009E2C72"/>
    <w:rsid w:val="009E2C77"/>
    <w:rsid w:val="009E2C80"/>
    <w:rsid w:val="009E2C89"/>
    <w:rsid w:val="009E2C8A"/>
    <w:rsid w:val="009E2CB0"/>
    <w:rsid w:val="009E2CB9"/>
    <w:rsid w:val="009E2CEA"/>
    <w:rsid w:val="009E2CF5"/>
    <w:rsid w:val="009E2D1D"/>
    <w:rsid w:val="009E2D3E"/>
    <w:rsid w:val="009E2DA4"/>
    <w:rsid w:val="009E2E5F"/>
    <w:rsid w:val="009E2ED3"/>
    <w:rsid w:val="009E2F24"/>
    <w:rsid w:val="009E2F26"/>
    <w:rsid w:val="009E2FA4"/>
    <w:rsid w:val="009E302C"/>
    <w:rsid w:val="009E3045"/>
    <w:rsid w:val="009E3061"/>
    <w:rsid w:val="009E308F"/>
    <w:rsid w:val="009E31B7"/>
    <w:rsid w:val="009E31E2"/>
    <w:rsid w:val="009E321B"/>
    <w:rsid w:val="009E328B"/>
    <w:rsid w:val="009E329B"/>
    <w:rsid w:val="009E32E9"/>
    <w:rsid w:val="009E32EA"/>
    <w:rsid w:val="009E3352"/>
    <w:rsid w:val="009E337A"/>
    <w:rsid w:val="009E33A6"/>
    <w:rsid w:val="009E33B0"/>
    <w:rsid w:val="009E33D0"/>
    <w:rsid w:val="009E341B"/>
    <w:rsid w:val="009E344F"/>
    <w:rsid w:val="009E34A2"/>
    <w:rsid w:val="009E34F1"/>
    <w:rsid w:val="009E3521"/>
    <w:rsid w:val="009E352A"/>
    <w:rsid w:val="009E3535"/>
    <w:rsid w:val="009E353B"/>
    <w:rsid w:val="009E35D1"/>
    <w:rsid w:val="009E3609"/>
    <w:rsid w:val="009E3610"/>
    <w:rsid w:val="009E3645"/>
    <w:rsid w:val="009E366F"/>
    <w:rsid w:val="009E3751"/>
    <w:rsid w:val="009E3771"/>
    <w:rsid w:val="009E37A1"/>
    <w:rsid w:val="009E37DC"/>
    <w:rsid w:val="009E37EE"/>
    <w:rsid w:val="009E381D"/>
    <w:rsid w:val="009E3833"/>
    <w:rsid w:val="009E388E"/>
    <w:rsid w:val="009E38E8"/>
    <w:rsid w:val="009E38F5"/>
    <w:rsid w:val="009E38F7"/>
    <w:rsid w:val="009E391E"/>
    <w:rsid w:val="009E392D"/>
    <w:rsid w:val="009E3942"/>
    <w:rsid w:val="009E3953"/>
    <w:rsid w:val="009E3964"/>
    <w:rsid w:val="009E39E8"/>
    <w:rsid w:val="009E3AEE"/>
    <w:rsid w:val="009E3B2F"/>
    <w:rsid w:val="009E3B50"/>
    <w:rsid w:val="009E3B6F"/>
    <w:rsid w:val="009E3C58"/>
    <w:rsid w:val="009E3C88"/>
    <w:rsid w:val="009E3CA3"/>
    <w:rsid w:val="009E3CEE"/>
    <w:rsid w:val="009E3D4F"/>
    <w:rsid w:val="009E3D86"/>
    <w:rsid w:val="009E3D8C"/>
    <w:rsid w:val="009E3D90"/>
    <w:rsid w:val="009E3D9A"/>
    <w:rsid w:val="009E3DE7"/>
    <w:rsid w:val="009E3DFD"/>
    <w:rsid w:val="009E3E2A"/>
    <w:rsid w:val="009E3F46"/>
    <w:rsid w:val="009E3F57"/>
    <w:rsid w:val="009E3F59"/>
    <w:rsid w:val="009E3F73"/>
    <w:rsid w:val="009E3FB0"/>
    <w:rsid w:val="009E3FC5"/>
    <w:rsid w:val="009E4007"/>
    <w:rsid w:val="009E4013"/>
    <w:rsid w:val="009E405B"/>
    <w:rsid w:val="009E4095"/>
    <w:rsid w:val="009E4099"/>
    <w:rsid w:val="009E40A4"/>
    <w:rsid w:val="009E40AD"/>
    <w:rsid w:val="009E410C"/>
    <w:rsid w:val="009E4110"/>
    <w:rsid w:val="009E4129"/>
    <w:rsid w:val="009E41B7"/>
    <w:rsid w:val="009E41FA"/>
    <w:rsid w:val="009E41FF"/>
    <w:rsid w:val="009E4203"/>
    <w:rsid w:val="009E423F"/>
    <w:rsid w:val="009E4289"/>
    <w:rsid w:val="009E42F0"/>
    <w:rsid w:val="009E4323"/>
    <w:rsid w:val="009E4368"/>
    <w:rsid w:val="009E4372"/>
    <w:rsid w:val="009E4380"/>
    <w:rsid w:val="009E43D2"/>
    <w:rsid w:val="009E440B"/>
    <w:rsid w:val="009E442A"/>
    <w:rsid w:val="009E44EE"/>
    <w:rsid w:val="009E4505"/>
    <w:rsid w:val="009E452D"/>
    <w:rsid w:val="009E455D"/>
    <w:rsid w:val="009E45F1"/>
    <w:rsid w:val="009E460F"/>
    <w:rsid w:val="009E4660"/>
    <w:rsid w:val="009E4697"/>
    <w:rsid w:val="009E46C0"/>
    <w:rsid w:val="009E4736"/>
    <w:rsid w:val="009E4784"/>
    <w:rsid w:val="009E47A7"/>
    <w:rsid w:val="009E47FD"/>
    <w:rsid w:val="009E481E"/>
    <w:rsid w:val="009E4899"/>
    <w:rsid w:val="009E48D5"/>
    <w:rsid w:val="009E48F2"/>
    <w:rsid w:val="009E493C"/>
    <w:rsid w:val="009E4974"/>
    <w:rsid w:val="009E49A3"/>
    <w:rsid w:val="009E49C8"/>
    <w:rsid w:val="009E49F4"/>
    <w:rsid w:val="009E4A06"/>
    <w:rsid w:val="009E4A2D"/>
    <w:rsid w:val="009E4A5F"/>
    <w:rsid w:val="009E4A79"/>
    <w:rsid w:val="009E4AB9"/>
    <w:rsid w:val="009E4AE1"/>
    <w:rsid w:val="009E4AF2"/>
    <w:rsid w:val="009E4B29"/>
    <w:rsid w:val="009E4B2C"/>
    <w:rsid w:val="009E4C26"/>
    <w:rsid w:val="009E4C5B"/>
    <w:rsid w:val="009E4C75"/>
    <w:rsid w:val="009E4D17"/>
    <w:rsid w:val="009E4D45"/>
    <w:rsid w:val="009E4DB8"/>
    <w:rsid w:val="009E4E20"/>
    <w:rsid w:val="009E4E63"/>
    <w:rsid w:val="009E4E6A"/>
    <w:rsid w:val="009E4EFF"/>
    <w:rsid w:val="009E4F55"/>
    <w:rsid w:val="009E4F71"/>
    <w:rsid w:val="009E4F84"/>
    <w:rsid w:val="009E4FA9"/>
    <w:rsid w:val="009E4FE6"/>
    <w:rsid w:val="009E5075"/>
    <w:rsid w:val="009E50EA"/>
    <w:rsid w:val="009E50EC"/>
    <w:rsid w:val="009E50FB"/>
    <w:rsid w:val="009E5148"/>
    <w:rsid w:val="009E516F"/>
    <w:rsid w:val="009E519D"/>
    <w:rsid w:val="009E5228"/>
    <w:rsid w:val="009E5252"/>
    <w:rsid w:val="009E5286"/>
    <w:rsid w:val="009E5298"/>
    <w:rsid w:val="009E52AB"/>
    <w:rsid w:val="009E52E2"/>
    <w:rsid w:val="009E5362"/>
    <w:rsid w:val="009E5386"/>
    <w:rsid w:val="009E539F"/>
    <w:rsid w:val="009E53A0"/>
    <w:rsid w:val="009E53CC"/>
    <w:rsid w:val="009E53CF"/>
    <w:rsid w:val="009E5436"/>
    <w:rsid w:val="009E544D"/>
    <w:rsid w:val="009E54CB"/>
    <w:rsid w:val="009E54D4"/>
    <w:rsid w:val="009E54D8"/>
    <w:rsid w:val="009E5516"/>
    <w:rsid w:val="009E558E"/>
    <w:rsid w:val="009E55EB"/>
    <w:rsid w:val="009E55F6"/>
    <w:rsid w:val="009E55FF"/>
    <w:rsid w:val="009E5631"/>
    <w:rsid w:val="009E5661"/>
    <w:rsid w:val="009E56AE"/>
    <w:rsid w:val="009E56CD"/>
    <w:rsid w:val="009E5711"/>
    <w:rsid w:val="009E571C"/>
    <w:rsid w:val="009E574E"/>
    <w:rsid w:val="009E575E"/>
    <w:rsid w:val="009E576A"/>
    <w:rsid w:val="009E57D7"/>
    <w:rsid w:val="009E58B5"/>
    <w:rsid w:val="009E591D"/>
    <w:rsid w:val="009E5942"/>
    <w:rsid w:val="009E59A1"/>
    <w:rsid w:val="009E59AC"/>
    <w:rsid w:val="009E59C6"/>
    <w:rsid w:val="009E5A0E"/>
    <w:rsid w:val="009E5A32"/>
    <w:rsid w:val="009E5A4A"/>
    <w:rsid w:val="009E5AA7"/>
    <w:rsid w:val="009E5AF6"/>
    <w:rsid w:val="009E5B21"/>
    <w:rsid w:val="009E5C08"/>
    <w:rsid w:val="009E5C24"/>
    <w:rsid w:val="009E5C41"/>
    <w:rsid w:val="009E5D3A"/>
    <w:rsid w:val="009E5D79"/>
    <w:rsid w:val="009E5DAE"/>
    <w:rsid w:val="009E5DC1"/>
    <w:rsid w:val="009E5E30"/>
    <w:rsid w:val="009E5EA1"/>
    <w:rsid w:val="009E5EB6"/>
    <w:rsid w:val="009E5EF0"/>
    <w:rsid w:val="009E5F76"/>
    <w:rsid w:val="009E5F98"/>
    <w:rsid w:val="009E5FA6"/>
    <w:rsid w:val="009E5FF2"/>
    <w:rsid w:val="009E605B"/>
    <w:rsid w:val="009E607A"/>
    <w:rsid w:val="009E60AC"/>
    <w:rsid w:val="009E60B6"/>
    <w:rsid w:val="009E60F5"/>
    <w:rsid w:val="009E6137"/>
    <w:rsid w:val="009E613E"/>
    <w:rsid w:val="009E614A"/>
    <w:rsid w:val="009E6167"/>
    <w:rsid w:val="009E61AC"/>
    <w:rsid w:val="009E61D6"/>
    <w:rsid w:val="009E61ED"/>
    <w:rsid w:val="009E61F6"/>
    <w:rsid w:val="009E620C"/>
    <w:rsid w:val="009E622C"/>
    <w:rsid w:val="009E6274"/>
    <w:rsid w:val="009E62AF"/>
    <w:rsid w:val="009E62C4"/>
    <w:rsid w:val="009E62C9"/>
    <w:rsid w:val="009E6363"/>
    <w:rsid w:val="009E636F"/>
    <w:rsid w:val="009E6372"/>
    <w:rsid w:val="009E6384"/>
    <w:rsid w:val="009E63C2"/>
    <w:rsid w:val="009E63FF"/>
    <w:rsid w:val="009E6409"/>
    <w:rsid w:val="009E6411"/>
    <w:rsid w:val="009E644C"/>
    <w:rsid w:val="009E6484"/>
    <w:rsid w:val="009E64A2"/>
    <w:rsid w:val="009E64C6"/>
    <w:rsid w:val="009E64CF"/>
    <w:rsid w:val="009E64E4"/>
    <w:rsid w:val="009E64E7"/>
    <w:rsid w:val="009E6518"/>
    <w:rsid w:val="009E652D"/>
    <w:rsid w:val="009E656D"/>
    <w:rsid w:val="009E6596"/>
    <w:rsid w:val="009E65ED"/>
    <w:rsid w:val="009E6613"/>
    <w:rsid w:val="009E6624"/>
    <w:rsid w:val="009E668C"/>
    <w:rsid w:val="009E673E"/>
    <w:rsid w:val="009E6747"/>
    <w:rsid w:val="009E674D"/>
    <w:rsid w:val="009E679C"/>
    <w:rsid w:val="009E67A2"/>
    <w:rsid w:val="009E67F9"/>
    <w:rsid w:val="009E687C"/>
    <w:rsid w:val="009E6886"/>
    <w:rsid w:val="009E68F2"/>
    <w:rsid w:val="009E6941"/>
    <w:rsid w:val="009E695A"/>
    <w:rsid w:val="009E6981"/>
    <w:rsid w:val="009E69AB"/>
    <w:rsid w:val="009E69AD"/>
    <w:rsid w:val="009E69D5"/>
    <w:rsid w:val="009E69E8"/>
    <w:rsid w:val="009E6A22"/>
    <w:rsid w:val="009E6A2A"/>
    <w:rsid w:val="009E6A72"/>
    <w:rsid w:val="009E6A78"/>
    <w:rsid w:val="009E6AA9"/>
    <w:rsid w:val="009E6AFF"/>
    <w:rsid w:val="009E6B46"/>
    <w:rsid w:val="009E6B56"/>
    <w:rsid w:val="009E6B71"/>
    <w:rsid w:val="009E6BC5"/>
    <w:rsid w:val="009E6BF7"/>
    <w:rsid w:val="009E6C2A"/>
    <w:rsid w:val="009E6C6C"/>
    <w:rsid w:val="009E6C85"/>
    <w:rsid w:val="009E6D5A"/>
    <w:rsid w:val="009E6D61"/>
    <w:rsid w:val="009E6D96"/>
    <w:rsid w:val="009E6D98"/>
    <w:rsid w:val="009E6DE1"/>
    <w:rsid w:val="009E6E76"/>
    <w:rsid w:val="009E6EF4"/>
    <w:rsid w:val="009E6F18"/>
    <w:rsid w:val="009E6FAB"/>
    <w:rsid w:val="009E6FE0"/>
    <w:rsid w:val="009E6FF2"/>
    <w:rsid w:val="009E701A"/>
    <w:rsid w:val="009E7034"/>
    <w:rsid w:val="009E7061"/>
    <w:rsid w:val="009E7070"/>
    <w:rsid w:val="009E70A1"/>
    <w:rsid w:val="009E70C4"/>
    <w:rsid w:val="009E70D7"/>
    <w:rsid w:val="009E70F3"/>
    <w:rsid w:val="009E7112"/>
    <w:rsid w:val="009E7120"/>
    <w:rsid w:val="009E714B"/>
    <w:rsid w:val="009E718A"/>
    <w:rsid w:val="009E71C8"/>
    <w:rsid w:val="009E720B"/>
    <w:rsid w:val="009E7296"/>
    <w:rsid w:val="009E729E"/>
    <w:rsid w:val="009E72A1"/>
    <w:rsid w:val="009E72AB"/>
    <w:rsid w:val="009E72FF"/>
    <w:rsid w:val="009E7331"/>
    <w:rsid w:val="009E7341"/>
    <w:rsid w:val="009E7374"/>
    <w:rsid w:val="009E73C8"/>
    <w:rsid w:val="009E73D8"/>
    <w:rsid w:val="009E73EA"/>
    <w:rsid w:val="009E7443"/>
    <w:rsid w:val="009E7490"/>
    <w:rsid w:val="009E749B"/>
    <w:rsid w:val="009E74D6"/>
    <w:rsid w:val="009E74F3"/>
    <w:rsid w:val="009E7523"/>
    <w:rsid w:val="009E75CB"/>
    <w:rsid w:val="009E7610"/>
    <w:rsid w:val="009E7632"/>
    <w:rsid w:val="009E7744"/>
    <w:rsid w:val="009E774A"/>
    <w:rsid w:val="009E775A"/>
    <w:rsid w:val="009E777E"/>
    <w:rsid w:val="009E7811"/>
    <w:rsid w:val="009E7835"/>
    <w:rsid w:val="009E7838"/>
    <w:rsid w:val="009E7845"/>
    <w:rsid w:val="009E7849"/>
    <w:rsid w:val="009E787C"/>
    <w:rsid w:val="009E78A4"/>
    <w:rsid w:val="009E78C4"/>
    <w:rsid w:val="009E78CC"/>
    <w:rsid w:val="009E792D"/>
    <w:rsid w:val="009E794E"/>
    <w:rsid w:val="009E7953"/>
    <w:rsid w:val="009E7960"/>
    <w:rsid w:val="009E79E1"/>
    <w:rsid w:val="009E7A03"/>
    <w:rsid w:val="009E7A76"/>
    <w:rsid w:val="009E7A83"/>
    <w:rsid w:val="009E7AB8"/>
    <w:rsid w:val="009E7ABC"/>
    <w:rsid w:val="009E7AC6"/>
    <w:rsid w:val="009E7ACE"/>
    <w:rsid w:val="009E7AF5"/>
    <w:rsid w:val="009E7B26"/>
    <w:rsid w:val="009E7B3E"/>
    <w:rsid w:val="009E7B83"/>
    <w:rsid w:val="009E7BAD"/>
    <w:rsid w:val="009E7BB5"/>
    <w:rsid w:val="009E7BBD"/>
    <w:rsid w:val="009E7BCD"/>
    <w:rsid w:val="009E7BD5"/>
    <w:rsid w:val="009E7C14"/>
    <w:rsid w:val="009E7C3E"/>
    <w:rsid w:val="009E7C4C"/>
    <w:rsid w:val="009E7C69"/>
    <w:rsid w:val="009E7C8A"/>
    <w:rsid w:val="009E7D8C"/>
    <w:rsid w:val="009E7D9E"/>
    <w:rsid w:val="009E7E30"/>
    <w:rsid w:val="009E7EC7"/>
    <w:rsid w:val="009E7EEA"/>
    <w:rsid w:val="009E7F31"/>
    <w:rsid w:val="009E7F8E"/>
    <w:rsid w:val="009E7FA2"/>
    <w:rsid w:val="009E7FD6"/>
    <w:rsid w:val="009F0030"/>
    <w:rsid w:val="009F0071"/>
    <w:rsid w:val="009F00BB"/>
    <w:rsid w:val="009F00F4"/>
    <w:rsid w:val="009F00F5"/>
    <w:rsid w:val="009F013C"/>
    <w:rsid w:val="009F0144"/>
    <w:rsid w:val="009F0188"/>
    <w:rsid w:val="009F01BB"/>
    <w:rsid w:val="009F01C0"/>
    <w:rsid w:val="009F01E8"/>
    <w:rsid w:val="009F01FC"/>
    <w:rsid w:val="009F0213"/>
    <w:rsid w:val="009F0223"/>
    <w:rsid w:val="009F02F5"/>
    <w:rsid w:val="009F02FA"/>
    <w:rsid w:val="009F0335"/>
    <w:rsid w:val="009F03E8"/>
    <w:rsid w:val="009F0414"/>
    <w:rsid w:val="009F0419"/>
    <w:rsid w:val="009F042A"/>
    <w:rsid w:val="009F0467"/>
    <w:rsid w:val="009F0478"/>
    <w:rsid w:val="009F04B5"/>
    <w:rsid w:val="009F04B7"/>
    <w:rsid w:val="009F0519"/>
    <w:rsid w:val="009F0530"/>
    <w:rsid w:val="009F0571"/>
    <w:rsid w:val="009F0578"/>
    <w:rsid w:val="009F057F"/>
    <w:rsid w:val="009F05D7"/>
    <w:rsid w:val="009F05FC"/>
    <w:rsid w:val="009F0622"/>
    <w:rsid w:val="009F065D"/>
    <w:rsid w:val="009F06FA"/>
    <w:rsid w:val="009F079E"/>
    <w:rsid w:val="009F07A8"/>
    <w:rsid w:val="009F07B3"/>
    <w:rsid w:val="009F07FD"/>
    <w:rsid w:val="009F0806"/>
    <w:rsid w:val="009F0810"/>
    <w:rsid w:val="009F081A"/>
    <w:rsid w:val="009F082A"/>
    <w:rsid w:val="009F0856"/>
    <w:rsid w:val="009F089B"/>
    <w:rsid w:val="009F08BF"/>
    <w:rsid w:val="009F08C1"/>
    <w:rsid w:val="009F0942"/>
    <w:rsid w:val="009F095B"/>
    <w:rsid w:val="009F09BA"/>
    <w:rsid w:val="009F09C0"/>
    <w:rsid w:val="009F09D0"/>
    <w:rsid w:val="009F0A16"/>
    <w:rsid w:val="009F0A3E"/>
    <w:rsid w:val="009F0A43"/>
    <w:rsid w:val="009F0A72"/>
    <w:rsid w:val="009F0A79"/>
    <w:rsid w:val="009F0AAA"/>
    <w:rsid w:val="009F0AD0"/>
    <w:rsid w:val="009F0AD5"/>
    <w:rsid w:val="009F0ADB"/>
    <w:rsid w:val="009F0B40"/>
    <w:rsid w:val="009F0BBC"/>
    <w:rsid w:val="009F0BE6"/>
    <w:rsid w:val="009F0C0D"/>
    <w:rsid w:val="009F0C13"/>
    <w:rsid w:val="009F0C38"/>
    <w:rsid w:val="009F0C7E"/>
    <w:rsid w:val="009F0C89"/>
    <w:rsid w:val="009F0C98"/>
    <w:rsid w:val="009F0CEF"/>
    <w:rsid w:val="009F0D05"/>
    <w:rsid w:val="009F0D4F"/>
    <w:rsid w:val="009F0D5C"/>
    <w:rsid w:val="009F0DC0"/>
    <w:rsid w:val="009F0DD4"/>
    <w:rsid w:val="009F0E67"/>
    <w:rsid w:val="009F0E8A"/>
    <w:rsid w:val="009F0EB7"/>
    <w:rsid w:val="009F0EF9"/>
    <w:rsid w:val="009F0F12"/>
    <w:rsid w:val="009F0F43"/>
    <w:rsid w:val="009F0F5E"/>
    <w:rsid w:val="009F0F7C"/>
    <w:rsid w:val="009F0F9B"/>
    <w:rsid w:val="009F0FA8"/>
    <w:rsid w:val="009F0FDB"/>
    <w:rsid w:val="009F1035"/>
    <w:rsid w:val="009F1036"/>
    <w:rsid w:val="009F1073"/>
    <w:rsid w:val="009F1075"/>
    <w:rsid w:val="009F1079"/>
    <w:rsid w:val="009F1088"/>
    <w:rsid w:val="009F1089"/>
    <w:rsid w:val="009F1093"/>
    <w:rsid w:val="009F10C1"/>
    <w:rsid w:val="009F10F5"/>
    <w:rsid w:val="009F115B"/>
    <w:rsid w:val="009F11D5"/>
    <w:rsid w:val="009F1221"/>
    <w:rsid w:val="009F1269"/>
    <w:rsid w:val="009F12CE"/>
    <w:rsid w:val="009F131E"/>
    <w:rsid w:val="009F1321"/>
    <w:rsid w:val="009F1345"/>
    <w:rsid w:val="009F135F"/>
    <w:rsid w:val="009F139D"/>
    <w:rsid w:val="009F13E5"/>
    <w:rsid w:val="009F13E9"/>
    <w:rsid w:val="009F1441"/>
    <w:rsid w:val="009F1469"/>
    <w:rsid w:val="009F1483"/>
    <w:rsid w:val="009F14AB"/>
    <w:rsid w:val="009F14AE"/>
    <w:rsid w:val="009F15B8"/>
    <w:rsid w:val="009F15ED"/>
    <w:rsid w:val="009F162A"/>
    <w:rsid w:val="009F1686"/>
    <w:rsid w:val="009F168F"/>
    <w:rsid w:val="009F1699"/>
    <w:rsid w:val="009F16B4"/>
    <w:rsid w:val="009F16D8"/>
    <w:rsid w:val="009F17B7"/>
    <w:rsid w:val="009F17C1"/>
    <w:rsid w:val="009F17C5"/>
    <w:rsid w:val="009F17CB"/>
    <w:rsid w:val="009F17E9"/>
    <w:rsid w:val="009F17FC"/>
    <w:rsid w:val="009F184A"/>
    <w:rsid w:val="009F1854"/>
    <w:rsid w:val="009F1898"/>
    <w:rsid w:val="009F189C"/>
    <w:rsid w:val="009F18B7"/>
    <w:rsid w:val="009F191A"/>
    <w:rsid w:val="009F1926"/>
    <w:rsid w:val="009F1971"/>
    <w:rsid w:val="009F1980"/>
    <w:rsid w:val="009F198D"/>
    <w:rsid w:val="009F19AB"/>
    <w:rsid w:val="009F19E1"/>
    <w:rsid w:val="009F1A12"/>
    <w:rsid w:val="009F1A1E"/>
    <w:rsid w:val="009F1A2F"/>
    <w:rsid w:val="009F1AA8"/>
    <w:rsid w:val="009F1B1D"/>
    <w:rsid w:val="009F1B8B"/>
    <w:rsid w:val="009F1C8A"/>
    <w:rsid w:val="009F1D00"/>
    <w:rsid w:val="009F1D10"/>
    <w:rsid w:val="009F1D17"/>
    <w:rsid w:val="009F1D2A"/>
    <w:rsid w:val="009F1D89"/>
    <w:rsid w:val="009F1DBD"/>
    <w:rsid w:val="009F1E35"/>
    <w:rsid w:val="009F1EC5"/>
    <w:rsid w:val="009F1ECB"/>
    <w:rsid w:val="009F1F48"/>
    <w:rsid w:val="009F1F6E"/>
    <w:rsid w:val="009F1F85"/>
    <w:rsid w:val="009F1F88"/>
    <w:rsid w:val="009F1F8B"/>
    <w:rsid w:val="009F1FCC"/>
    <w:rsid w:val="009F2000"/>
    <w:rsid w:val="009F2015"/>
    <w:rsid w:val="009F2071"/>
    <w:rsid w:val="009F20DB"/>
    <w:rsid w:val="009F20E7"/>
    <w:rsid w:val="009F214C"/>
    <w:rsid w:val="009F2163"/>
    <w:rsid w:val="009F2172"/>
    <w:rsid w:val="009F2174"/>
    <w:rsid w:val="009F21A9"/>
    <w:rsid w:val="009F21E9"/>
    <w:rsid w:val="009F2263"/>
    <w:rsid w:val="009F22BD"/>
    <w:rsid w:val="009F22E2"/>
    <w:rsid w:val="009F232C"/>
    <w:rsid w:val="009F2363"/>
    <w:rsid w:val="009F23F1"/>
    <w:rsid w:val="009F241A"/>
    <w:rsid w:val="009F244E"/>
    <w:rsid w:val="009F2493"/>
    <w:rsid w:val="009F2495"/>
    <w:rsid w:val="009F24BE"/>
    <w:rsid w:val="009F24D1"/>
    <w:rsid w:val="009F24DA"/>
    <w:rsid w:val="009F2599"/>
    <w:rsid w:val="009F25E7"/>
    <w:rsid w:val="009F2607"/>
    <w:rsid w:val="009F261C"/>
    <w:rsid w:val="009F268B"/>
    <w:rsid w:val="009F26B1"/>
    <w:rsid w:val="009F26BC"/>
    <w:rsid w:val="009F2721"/>
    <w:rsid w:val="009F2806"/>
    <w:rsid w:val="009F285F"/>
    <w:rsid w:val="009F28B5"/>
    <w:rsid w:val="009F28F9"/>
    <w:rsid w:val="009F29C8"/>
    <w:rsid w:val="009F29E9"/>
    <w:rsid w:val="009F29F4"/>
    <w:rsid w:val="009F2A4B"/>
    <w:rsid w:val="009F2AC4"/>
    <w:rsid w:val="009F2AFC"/>
    <w:rsid w:val="009F2B06"/>
    <w:rsid w:val="009F2B75"/>
    <w:rsid w:val="009F2B7E"/>
    <w:rsid w:val="009F2BF0"/>
    <w:rsid w:val="009F2C14"/>
    <w:rsid w:val="009F2C17"/>
    <w:rsid w:val="009F2C1D"/>
    <w:rsid w:val="009F2C57"/>
    <w:rsid w:val="009F2C64"/>
    <w:rsid w:val="009F2C6C"/>
    <w:rsid w:val="009F2C72"/>
    <w:rsid w:val="009F2D25"/>
    <w:rsid w:val="009F2D27"/>
    <w:rsid w:val="009F2D3B"/>
    <w:rsid w:val="009F2D63"/>
    <w:rsid w:val="009F2D76"/>
    <w:rsid w:val="009F2DBD"/>
    <w:rsid w:val="009F2DEB"/>
    <w:rsid w:val="009F2EB8"/>
    <w:rsid w:val="009F2EBC"/>
    <w:rsid w:val="009F2F57"/>
    <w:rsid w:val="009F2F6B"/>
    <w:rsid w:val="009F2FA8"/>
    <w:rsid w:val="009F2FAB"/>
    <w:rsid w:val="009F2FE8"/>
    <w:rsid w:val="009F3044"/>
    <w:rsid w:val="009F3051"/>
    <w:rsid w:val="009F3095"/>
    <w:rsid w:val="009F3096"/>
    <w:rsid w:val="009F30E6"/>
    <w:rsid w:val="009F313C"/>
    <w:rsid w:val="009F3152"/>
    <w:rsid w:val="009F31B8"/>
    <w:rsid w:val="009F31C8"/>
    <w:rsid w:val="009F31E9"/>
    <w:rsid w:val="009F320C"/>
    <w:rsid w:val="009F3294"/>
    <w:rsid w:val="009F329D"/>
    <w:rsid w:val="009F32DD"/>
    <w:rsid w:val="009F332E"/>
    <w:rsid w:val="009F3349"/>
    <w:rsid w:val="009F33C0"/>
    <w:rsid w:val="009F33DC"/>
    <w:rsid w:val="009F33F4"/>
    <w:rsid w:val="009F340E"/>
    <w:rsid w:val="009F3410"/>
    <w:rsid w:val="009F3468"/>
    <w:rsid w:val="009F3473"/>
    <w:rsid w:val="009F3476"/>
    <w:rsid w:val="009F347A"/>
    <w:rsid w:val="009F348A"/>
    <w:rsid w:val="009F34A1"/>
    <w:rsid w:val="009F34C3"/>
    <w:rsid w:val="009F34C5"/>
    <w:rsid w:val="009F34E6"/>
    <w:rsid w:val="009F3502"/>
    <w:rsid w:val="009F3542"/>
    <w:rsid w:val="009F354D"/>
    <w:rsid w:val="009F3557"/>
    <w:rsid w:val="009F356E"/>
    <w:rsid w:val="009F35D6"/>
    <w:rsid w:val="009F35FB"/>
    <w:rsid w:val="009F3621"/>
    <w:rsid w:val="009F363F"/>
    <w:rsid w:val="009F365E"/>
    <w:rsid w:val="009F3665"/>
    <w:rsid w:val="009F3670"/>
    <w:rsid w:val="009F3682"/>
    <w:rsid w:val="009F3696"/>
    <w:rsid w:val="009F3717"/>
    <w:rsid w:val="009F3721"/>
    <w:rsid w:val="009F376B"/>
    <w:rsid w:val="009F3774"/>
    <w:rsid w:val="009F379A"/>
    <w:rsid w:val="009F382D"/>
    <w:rsid w:val="009F3839"/>
    <w:rsid w:val="009F3849"/>
    <w:rsid w:val="009F38C3"/>
    <w:rsid w:val="009F38CF"/>
    <w:rsid w:val="009F38D3"/>
    <w:rsid w:val="009F38E4"/>
    <w:rsid w:val="009F38E8"/>
    <w:rsid w:val="009F391D"/>
    <w:rsid w:val="009F3923"/>
    <w:rsid w:val="009F3954"/>
    <w:rsid w:val="009F3964"/>
    <w:rsid w:val="009F3991"/>
    <w:rsid w:val="009F39EC"/>
    <w:rsid w:val="009F3A1D"/>
    <w:rsid w:val="009F3A7D"/>
    <w:rsid w:val="009F3A93"/>
    <w:rsid w:val="009F3ADD"/>
    <w:rsid w:val="009F3AED"/>
    <w:rsid w:val="009F3AF1"/>
    <w:rsid w:val="009F3AFA"/>
    <w:rsid w:val="009F3B00"/>
    <w:rsid w:val="009F3B4B"/>
    <w:rsid w:val="009F3B5D"/>
    <w:rsid w:val="009F3BE5"/>
    <w:rsid w:val="009F3C25"/>
    <w:rsid w:val="009F3C31"/>
    <w:rsid w:val="009F3C7A"/>
    <w:rsid w:val="009F3CC2"/>
    <w:rsid w:val="009F3CF9"/>
    <w:rsid w:val="009F3CFA"/>
    <w:rsid w:val="009F3D2A"/>
    <w:rsid w:val="009F3D81"/>
    <w:rsid w:val="009F3DAC"/>
    <w:rsid w:val="009F3DBD"/>
    <w:rsid w:val="009F3DDD"/>
    <w:rsid w:val="009F3E5C"/>
    <w:rsid w:val="009F3EA1"/>
    <w:rsid w:val="009F3F5D"/>
    <w:rsid w:val="009F3F66"/>
    <w:rsid w:val="009F3F72"/>
    <w:rsid w:val="009F3F73"/>
    <w:rsid w:val="009F400E"/>
    <w:rsid w:val="009F4014"/>
    <w:rsid w:val="009F4031"/>
    <w:rsid w:val="009F405C"/>
    <w:rsid w:val="009F406A"/>
    <w:rsid w:val="009F408F"/>
    <w:rsid w:val="009F40A2"/>
    <w:rsid w:val="009F40B3"/>
    <w:rsid w:val="009F410A"/>
    <w:rsid w:val="009F4120"/>
    <w:rsid w:val="009F4167"/>
    <w:rsid w:val="009F4168"/>
    <w:rsid w:val="009F4186"/>
    <w:rsid w:val="009F419A"/>
    <w:rsid w:val="009F4201"/>
    <w:rsid w:val="009F425A"/>
    <w:rsid w:val="009F4279"/>
    <w:rsid w:val="009F427A"/>
    <w:rsid w:val="009F4293"/>
    <w:rsid w:val="009F42C0"/>
    <w:rsid w:val="009F42C3"/>
    <w:rsid w:val="009F42E9"/>
    <w:rsid w:val="009F4326"/>
    <w:rsid w:val="009F4337"/>
    <w:rsid w:val="009F4358"/>
    <w:rsid w:val="009F436B"/>
    <w:rsid w:val="009F43DF"/>
    <w:rsid w:val="009F43EC"/>
    <w:rsid w:val="009F43F4"/>
    <w:rsid w:val="009F4412"/>
    <w:rsid w:val="009F4413"/>
    <w:rsid w:val="009F444B"/>
    <w:rsid w:val="009F4460"/>
    <w:rsid w:val="009F4462"/>
    <w:rsid w:val="009F4477"/>
    <w:rsid w:val="009F4499"/>
    <w:rsid w:val="009F44BB"/>
    <w:rsid w:val="009F44F8"/>
    <w:rsid w:val="009F44FC"/>
    <w:rsid w:val="009F450D"/>
    <w:rsid w:val="009F4527"/>
    <w:rsid w:val="009F4540"/>
    <w:rsid w:val="009F4544"/>
    <w:rsid w:val="009F4568"/>
    <w:rsid w:val="009F45A0"/>
    <w:rsid w:val="009F45C5"/>
    <w:rsid w:val="009F45EC"/>
    <w:rsid w:val="009F4617"/>
    <w:rsid w:val="009F461C"/>
    <w:rsid w:val="009F463F"/>
    <w:rsid w:val="009F4685"/>
    <w:rsid w:val="009F4688"/>
    <w:rsid w:val="009F46DC"/>
    <w:rsid w:val="009F4710"/>
    <w:rsid w:val="009F472B"/>
    <w:rsid w:val="009F473B"/>
    <w:rsid w:val="009F473D"/>
    <w:rsid w:val="009F475B"/>
    <w:rsid w:val="009F47AC"/>
    <w:rsid w:val="009F47F2"/>
    <w:rsid w:val="009F4807"/>
    <w:rsid w:val="009F4833"/>
    <w:rsid w:val="009F4854"/>
    <w:rsid w:val="009F486B"/>
    <w:rsid w:val="009F4871"/>
    <w:rsid w:val="009F4877"/>
    <w:rsid w:val="009F487A"/>
    <w:rsid w:val="009F489B"/>
    <w:rsid w:val="009F48E7"/>
    <w:rsid w:val="009F48F2"/>
    <w:rsid w:val="009F48F8"/>
    <w:rsid w:val="009F4903"/>
    <w:rsid w:val="009F4915"/>
    <w:rsid w:val="009F4922"/>
    <w:rsid w:val="009F4930"/>
    <w:rsid w:val="009F4959"/>
    <w:rsid w:val="009F4990"/>
    <w:rsid w:val="009F49E1"/>
    <w:rsid w:val="009F4A34"/>
    <w:rsid w:val="009F4A54"/>
    <w:rsid w:val="009F4A95"/>
    <w:rsid w:val="009F4ABF"/>
    <w:rsid w:val="009F4CB5"/>
    <w:rsid w:val="009F4CBD"/>
    <w:rsid w:val="009F4CE4"/>
    <w:rsid w:val="009F4D48"/>
    <w:rsid w:val="009F4D53"/>
    <w:rsid w:val="009F4D57"/>
    <w:rsid w:val="009F4D8F"/>
    <w:rsid w:val="009F4D94"/>
    <w:rsid w:val="009F4D97"/>
    <w:rsid w:val="009F4DA9"/>
    <w:rsid w:val="009F4DD3"/>
    <w:rsid w:val="009F4E19"/>
    <w:rsid w:val="009F4E36"/>
    <w:rsid w:val="009F4E38"/>
    <w:rsid w:val="009F4E55"/>
    <w:rsid w:val="009F4E61"/>
    <w:rsid w:val="009F4EE8"/>
    <w:rsid w:val="009F4F19"/>
    <w:rsid w:val="009F4F25"/>
    <w:rsid w:val="009F4F29"/>
    <w:rsid w:val="009F4F9E"/>
    <w:rsid w:val="009F5085"/>
    <w:rsid w:val="009F5086"/>
    <w:rsid w:val="009F5138"/>
    <w:rsid w:val="009F5146"/>
    <w:rsid w:val="009F5148"/>
    <w:rsid w:val="009F5154"/>
    <w:rsid w:val="009F516A"/>
    <w:rsid w:val="009F5183"/>
    <w:rsid w:val="009F51AE"/>
    <w:rsid w:val="009F51C8"/>
    <w:rsid w:val="009F51FC"/>
    <w:rsid w:val="009F5208"/>
    <w:rsid w:val="009F5282"/>
    <w:rsid w:val="009F52BE"/>
    <w:rsid w:val="009F52CB"/>
    <w:rsid w:val="009F530C"/>
    <w:rsid w:val="009F5336"/>
    <w:rsid w:val="009F535F"/>
    <w:rsid w:val="009F53BC"/>
    <w:rsid w:val="009F5420"/>
    <w:rsid w:val="009F547E"/>
    <w:rsid w:val="009F548D"/>
    <w:rsid w:val="009F54B0"/>
    <w:rsid w:val="009F54E5"/>
    <w:rsid w:val="009F54F7"/>
    <w:rsid w:val="009F5542"/>
    <w:rsid w:val="009F55A2"/>
    <w:rsid w:val="009F55CA"/>
    <w:rsid w:val="009F5605"/>
    <w:rsid w:val="009F561A"/>
    <w:rsid w:val="009F5705"/>
    <w:rsid w:val="009F571C"/>
    <w:rsid w:val="009F572A"/>
    <w:rsid w:val="009F5733"/>
    <w:rsid w:val="009F574C"/>
    <w:rsid w:val="009F576B"/>
    <w:rsid w:val="009F5784"/>
    <w:rsid w:val="009F5790"/>
    <w:rsid w:val="009F5799"/>
    <w:rsid w:val="009F57A8"/>
    <w:rsid w:val="009F57EE"/>
    <w:rsid w:val="009F57FB"/>
    <w:rsid w:val="009F5806"/>
    <w:rsid w:val="009F5817"/>
    <w:rsid w:val="009F581D"/>
    <w:rsid w:val="009F5890"/>
    <w:rsid w:val="009F589E"/>
    <w:rsid w:val="009F58DF"/>
    <w:rsid w:val="009F58ED"/>
    <w:rsid w:val="009F58F5"/>
    <w:rsid w:val="009F5916"/>
    <w:rsid w:val="009F5929"/>
    <w:rsid w:val="009F592C"/>
    <w:rsid w:val="009F593F"/>
    <w:rsid w:val="009F5949"/>
    <w:rsid w:val="009F5956"/>
    <w:rsid w:val="009F596E"/>
    <w:rsid w:val="009F5982"/>
    <w:rsid w:val="009F59E9"/>
    <w:rsid w:val="009F5A04"/>
    <w:rsid w:val="009F5A3F"/>
    <w:rsid w:val="009F5A91"/>
    <w:rsid w:val="009F5AC8"/>
    <w:rsid w:val="009F5B24"/>
    <w:rsid w:val="009F5B41"/>
    <w:rsid w:val="009F5B7B"/>
    <w:rsid w:val="009F5BA3"/>
    <w:rsid w:val="009F5BC0"/>
    <w:rsid w:val="009F5BCA"/>
    <w:rsid w:val="009F5BEF"/>
    <w:rsid w:val="009F5C45"/>
    <w:rsid w:val="009F5C50"/>
    <w:rsid w:val="009F5C5F"/>
    <w:rsid w:val="009F5C81"/>
    <w:rsid w:val="009F5CAC"/>
    <w:rsid w:val="009F5CB6"/>
    <w:rsid w:val="009F5CD4"/>
    <w:rsid w:val="009F5CDD"/>
    <w:rsid w:val="009F5CDF"/>
    <w:rsid w:val="009F5D55"/>
    <w:rsid w:val="009F5D91"/>
    <w:rsid w:val="009F5D9D"/>
    <w:rsid w:val="009F5DA7"/>
    <w:rsid w:val="009F5DCD"/>
    <w:rsid w:val="009F5DD1"/>
    <w:rsid w:val="009F5DEC"/>
    <w:rsid w:val="009F5DF3"/>
    <w:rsid w:val="009F5E29"/>
    <w:rsid w:val="009F5E66"/>
    <w:rsid w:val="009F5E87"/>
    <w:rsid w:val="009F5F07"/>
    <w:rsid w:val="009F5F2E"/>
    <w:rsid w:val="009F6006"/>
    <w:rsid w:val="009F6011"/>
    <w:rsid w:val="009F60E8"/>
    <w:rsid w:val="009F615F"/>
    <w:rsid w:val="009F61BD"/>
    <w:rsid w:val="009F61F6"/>
    <w:rsid w:val="009F6223"/>
    <w:rsid w:val="009F62C1"/>
    <w:rsid w:val="009F6309"/>
    <w:rsid w:val="009F63B6"/>
    <w:rsid w:val="009F63E2"/>
    <w:rsid w:val="009F6403"/>
    <w:rsid w:val="009F6416"/>
    <w:rsid w:val="009F644D"/>
    <w:rsid w:val="009F64A6"/>
    <w:rsid w:val="009F64B9"/>
    <w:rsid w:val="009F6529"/>
    <w:rsid w:val="009F655C"/>
    <w:rsid w:val="009F65D6"/>
    <w:rsid w:val="009F663C"/>
    <w:rsid w:val="009F663E"/>
    <w:rsid w:val="009F663F"/>
    <w:rsid w:val="009F66A8"/>
    <w:rsid w:val="009F66B5"/>
    <w:rsid w:val="009F66D9"/>
    <w:rsid w:val="009F66EF"/>
    <w:rsid w:val="009F676B"/>
    <w:rsid w:val="009F67C4"/>
    <w:rsid w:val="009F67CF"/>
    <w:rsid w:val="009F6804"/>
    <w:rsid w:val="009F68D2"/>
    <w:rsid w:val="009F690B"/>
    <w:rsid w:val="009F690E"/>
    <w:rsid w:val="009F6961"/>
    <w:rsid w:val="009F69A7"/>
    <w:rsid w:val="009F69CC"/>
    <w:rsid w:val="009F69F8"/>
    <w:rsid w:val="009F69FE"/>
    <w:rsid w:val="009F6A0C"/>
    <w:rsid w:val="009F6A78"/>
    <w:rsid w:val="009F6AD0"/>
    <w:rsid w:val="009F6B09"/>
    <w:rsid w:val="009F6B0D"/>
    <w:rsid w:val="009F6BFB"/>
    <w:rsid w:val="009F6C2D"/>
    <w:rsid w:val="009F6CC2"/>
    <w:rsid w:val="009F6CD5"/>
    <w:rsid w:val="009F6CD6"/>
    <w:rsid w:val="009F6CDB"/>
    <w:rsid w:val="009F6D06"/>
    <w:rsid w:val="009F6D1A"/>
    <w:rsid w:val="009F6D6B"/>
    <w:rsid w:val="009F6D7A"/>
    <w:rsid w:val="009F6E40"/>
    <w:rsid w:val="009F6E57"/>
    <w:rsid w:val="009F6E78"/>
    <w:rsid w:val="009F6EB4"/>
    <w:rsid w:val="009F6EEE"/>
    <w:rsid w:val="009F6F37"/>
    <w:rsid w:val="009F6F6F"/>
    <w:rsid w:val="009F6F9E"/>
    <w:rsid w:val="009F6FB5"/>
    <w:rsid w:val="009F6FD8"/>
    <w:rsid w:val="009F6FE7"/>
    <w:rsid w:val="009F7016"/>
    <w:rsid w:val="009F703E"/>
    <w:rsid w:val="009F7043"/>
    <w:rsid w:val="009F7047"/>
    <w:rsid w:val="009F7062"/>
    <w:rsid w:val="009F70BC"/>
    <w:rsid w:val="009F70F7"/>
    <w:rsid w:val="009F7114"/>
    <w:rsid w:val="009F7116"/>
    <w:rsid w:val="009F7145"/>
    <w:rsid w:val="009F714E"/>
    <w:rsid w:val="009F7171"/>
    <w:rsid w:val="009F71AF"/>
    <w:rsid w:val="009F71B0"/>
    <w:rsid w:val="009F71D5"/>
    <w:rsid w:val="009F71E4"/>
    <w:rsid w:val="009F7241"/>
    <w:rsid w:val="009F7252"/>
    <w:rsid w:val="009F7298"/>
    <w:rsid w:val="009F72B4"/>
    <w:rsid w:val="009F72CD"/>
    <w:rsid w:val="009F731E"/>
    <w:rsid w:val="009F734A"/>
    <w:rsid w:val="009F73CD"/>
    <w:rsid w:val="009F73F3"/>
    <w:rsid w:val="009F742E"/>
    <w:rsid w:val="009F7435"/>
    <w:rsid w:val="009F74C7"/>
    <w:rsid w:val="009F74E7"/>
    <w:rsid w:val="009F750D"/>
    <w:rsid w:val="009F750E"/>
    <w:rsid w:val="009F75EC"/>
    <w:rsid w:val="009F7675"/>
    <w:rsid w:val="009F76DD"/>
    <w:rsid w:val="009F76EC"/>
    <w:rsid w:val="009F771C"/>
    <w:rsid w:val="009F772A"/>
    <w:rsid w:val="009F7746"/>
    <w:rsid w:val="009F77A6"/>
    <w:rsid w:val="009F77F0"/>
    <w:rsid w:val="009F78D9"/>
    <w:rsid w:val="009F790A"/>
    <w:rsid w:val="009F7939"/>
    <w:rsid w:val="009F793C"/>
    <w:rsid w:val="009F793D"/>
    <w:rsid w:val="009F795B"/>
    <w:rsid w:val="009F796C"/>
    <w:rsid w:val="009F7985"/>
    <w:rsid w:val="009F7998"/>
    <w:rsid w:val="009F79C5"/>
    <w:rsid w:val="009F79D6"/>
    <w:rsid w:val="009F79D7"/>
    <w:rsid w:val="009F7A62"/>
    <w:rsid w:val="009F7A95"/>
    <w:rsid w:val="009F7A96"/>
    <w:rsid w:val="009F7A9C"/>
    <w:rsid w:val="009F7AA3"/>
    <w:rsid w:val="009F7B65"/>
    <w:rsid w:val="009F7BEA"/>
    <w:rsid w:val="009F7BF6"/>
    <w:rsid w:val="009F7C0B"/>
    <w:rsid w:val="009F7D40"/>
    <w:rsid w:val="009F7D4B"/>
    <w:rsid w:val="009F7D75"/>
    <w:rsid w:val="009F7D85"/>
    <w:rsid w:val="009F7DAE"/>
    <w:rsid w:val="009F7DF3"/>
    <w:rsid w:val="009F7E0B"/>
    <w:rsid w:val="009F7E35"/>
    <w:rsid w:val="009F7E57"/>
    <w:rsid w:val="009F7EAB"/>
    <w:rsid w:val="009F7ED7"/>
    <w:rsid w:val="009F7EDC"/>
    <w:rsid w:val="009F7EFB"/>
    <w:rsid w:val="009F7F0A"/>
    <w:rsid w:val="009F7F28"/>
    <w:rsid w:val="009F7F34"/>
    <w:rsid w:val="009F7F5C"/>
    <w:rsid w:val="009F7F80"/>
    <w:rsid w:val="00A00021"/>
    <w:rsid w:val="00A0002E"/>
    <w:rsid w:val="00A0009F"/>
    <w:rsid w:val="00A000A9"/>
    <w:rsid w:val="00A000DB"/>
    <w:rsid w:val="00A00109"/>
    <w:rsid w:val="00A0011D"/>
    <w:rsid w:val="00A00135"/>
    <w:rsid w:val="00A001A9"/>
    <w:rsid w:val="00A001C4"/>
    <w:rsid w:val="00A001C6"/>
    <w:rsid w:val="00A001EC"/>
    <w:rsid w:val="00A00212"/>
    <w:rsid w:val="00A00262"/>
    <w:rsid w:val="00A00279"/>
    <w:rsid w:val="00A002E2"/>
    <w:rsid w:val="00A0036F"/>
    <w:rsid w:val="00A00386"/>
    <w:rsid w:val="00A003A4"/>
    <w:rsid w:val="00A003A9"/>
    <w:rsid w:val="00A004BC"/>
    <w:rsid w:val="00A004C8"/>
    <w:rsid w:val="00A0052C"/>
    <w:rsid w:val="00A00576"/>
    <w:rsid w:val="00A005B0"/>
    <w:rsid w:val="00A005B1"/>
    <w:rsid w:val="00A005B6"/>
    <w:rsid w:val="00A00622"/>
    <w:rsid w:val="00A0065E"/>
    <w:rsid w:val="00A0066B"/>
    <w:rsid w:val="00A00671"/>
    <w:rsid w:val="00A006AF"/>
    <w:rsid w:val="00A006B9"/>
    <w:rsid w:val="00A006C4"/>
    <w:rsid w:val="00A00714"/>
    <w:rsid w:val="00A00756"/>
    <w:rsid w:val="00A00763"/>
    <w:rsid w:val="00A00771"/>
    <w:rsid w:val="00A00800"/>
    <w:rsid w:val="00A00804"/>
    <w:rsid w:val="00A0080D"/>
    <w:rsid w:val="00A00876"/>
    <w:rsid w:val="00A008B8"/>
    <w:rsid w:val="00A008C7"/>
    <w:rsid w:val="00A00900"/>
    <w:rsid w:val="00A0096A"/>
    <w:rsid w:val="00A009BC"/>
    <w:rsid w:val="00A009C9"/>
    <w:rsid w:val="00A00A18"/>
    <w:rsid w:val="00A00A35"/>
    <w:rsid w:val="00A00A50"/>
    <w:rsid w:val="00A00A6F"/>
    <w:rsid w:val="00A00A96"/>
    <w:rsid w:val="00A00AB8"/>
    <w:rsid w:val="00A00AB9"/>
    <w:rsid w:val="00A00ABD"/>
    <w:rsid w:val="00A00ADB"/>
    <w:rsid w:val="00A00AF6"/>
    <w:rsid w:val="00A00B2A"/>
    <w:rsid w:val="00A00B34"/>
    <w:rsid w:val="00A00B5A"/>
    <w:rsid w:val="00A00B7F"/>
    <w:rsid w:val="00A00BE3"/>
    <w:rsid w:val="00A00BFE"/>
    <w:rsid w:val="00A00C0E"/>
    <w:rsid w:val="00A00D0B"/>
    <w:rsid w:val="00A00D17"/>
    <w:rsid w:val="00A00D26"/>
    <w:rsid w:val="00A00D54"/>
    <w:rsid w:val="00A00DD5"/>
    <w:rsid w:val="00A00E2A"/>
    <w:rsid w:val="00A00E50"/>
    <w:rsid w:val="00A00E61"/>
    <w:rsid w:val="00A00F0E"/>
    <w:rsid w:val="00A00F39"/>
    <w:rsid w:val="00A00F65"/>
    <w:rsid w:val="00A00FA2"/>
    <w:rsid w:val="00A00FA7"/>
    <w:rsid w:val="00A00FC1"/>
    <w:rsid w:val="00A0100A"/>
    <w:rsid w:val="00A0102A"/>
    <w:rsid w:val="00A01070"/>
    <w:rsid w:val="00A010B8"/>
    <w:rsid w:val="00A010EB"/>
    <w:rsid w:val="00A01106"/>
    <w:rsid w:val="00A01108"/>
    <w:rsid w:val="00A01128"/>
    <w:rsid w:val="00A01131"/>
    <w:rsid w:val="00A01147"/>
    <w:rsid w:val="00A0114D"/>
    <w:rsid w:val="00A01194"/>
    <w:rsid w:val="00A011C2"/>
    <w:rsid w:val="00A0125B"/>
    <w:rsid w:val="00A012C5"/>
    <w:rsid w:val="00A012DD"/>
    <w:rsid w:val="00A012EE"/>
    <w:rsid w:val="00A012F8"/>
    <w:rsid w:val="00A0133E"/>
    <w:rsid w:val="00A0134D"/>
    <w:rsid w:val="00A0137A"/>
    <w:rsid w:val="00A01392"/>
    <w:rsid w:val="00A01399"/>
    <w:rsid w:val="00A013AD"/>
    <w:rsid w:val="00A013AE"/>
    <w:rsid w:val="00A013D0"/>
    <w:rsid w:val="00A013D9"/>
    <w:rsid w:val="00A01407"/>
    <w:rsid w:val="00A0140F"/>
    <w:rsid w:val="00A0141B"/>
    <w:rsid w:val="00A0142C"/>
    <w:rsid w:val="00A0143A"/>
    <w:rsid w:val="00A0146D"/>
    <w:rsid w:val="00A01480"/>
    <w:rsid w:val="00A01485"/>
    <w:rsid w:val="00A014C1"/>
    <w:rsid w:val="00A014D9"/>
    <w:rsid w:val="00A015D7"/>
    <w:rsid w:val="00A015EE"/>
    <w:rsid w:val="00A0161E"/>
    <w:rsid w:val="00A01620"/>
    <w:rsid w:val="00A0171F"/>
    <w:rsid w:val="00A0172A"/>
    <w:rsid w:val="00A01775"/>
    <w:rsid w:val="00A017AA"/>
    <w:rsid w:val="00A01804"/>
    <w:rsid w:val="00A01816"/>
    <w:rsid w:val="00A01823"/>
    <w:rsid w:val="00A01841"/>
    <w:rsid w:val="00A01865"/>
    <w:rsid w:val="00A0186F"/>
    <w:rsid w:val="00A01879"/>
    <w:rsid w:val="00A0189A"/>
    <w:rsid w:val="00A0189F"/>
    <w:rsid w:val="00A01979"/>
    <w:rsid w:val="00A01991"/>
    <w:rsid w:val="00A019A9"/>
    <w:rsid w:val="00A019E2"/>
    <w:rsid w:val="00A01A31"/>
    <w:rsid w:val="00A01AB1"/>
    <w:rsid w:val="00A01B05"/>
    <w:rsid w:val="00A01B3E"/>
    <w:rsid w:val="00A01BB9"/>
    <w:rsid w:val="00A01CB6"/>
    <w:rsid w:val="00A01CCB"/>
    <w:rsid w:val="00A01CCC"/>
    <w:rsid w:val="00A01CF6"/>
    <w:rsid w:val="00A01D1B"/>
    <w:rsid w:val="00A01D7F"/>
    <w:rsid w:val="00A01D92"/>
    <w:rsid w:val="00A01DA9"/>
    <w:rsid w:val="00A01DD0"/>
    <w:rsid w:val="00A01E1A"/>
    <w:rsid w:val="00A01E20"/>
    <w:rsid w:val="00A01E2D"/>
    <w:rsid w:val="00A01F3A"/>
    <w:rsid w:val="00A01FAE"/>
    <w:rsid w:val="00A01FF9"/>
    <w:rsid w:val="00A02047"/>
    <w:rsid w:val="00A0205D"/>
    <w:rsid w:val="00A02074"/>
    <w:rsid w:val="00A02150"/>
    <w:rsid w:val="00A021D9"/>
    <w:rsid w:val="00A02203"/>
    <w:rsid w:val="00A02239"/>
    <w:rsid w:val="00A02291"/>
    <w:rsid w:val="00A022C5"/>
    <w:rsid w:val="00A022C9"/>
    <w:rsid w:val="00A022DF"/>
    <w:rsid w:val="00A02301"/>
    <w:rsid w:val="00A02304"/>
    <w:rsid w:val="00A0230B"/>
    <w:rsid w:val="00A0231E"/>
    <w:rsid w:val="00A02323"/>
    <w:rsid w:val="00A0238F"/>
    <w:rsid w:val="00A023A2"/>
    <w:rsid w:val="00A023A7"/>
    <w:rsid w:val="00A0242C"/>
    <w:rsid w:val="00A02439"/>
    <w:rsid w:val="00A0243D"/>
    <w:rsid w:val="00A024F9"/>
    <w:rsid w:val="00A025A2"/>
    <w:rsid w:val="00A025C0"/>
    <w:rsid w:val="00A025F1"/>
    <w:rsid w:val="00A02639"/>
    <w:rsid w:val="00A026D4"/>
    <w:rsid w:val="00A026F2"/>
    <w:rsid w:val="00A026FC"/>
    <w:rsid w:val="00A0272C"/>
    <w:rsid w:val="00A02861"/>
    <w:rsid w:val="00A0288D"/>
    <w:rsid w:val="00A028AD"/>
    <w:rsid w:val="00A028E0"/>
    <w:rsid w:val="00A028FC"/>
    <w:rsid w:val="00A028FF"/>
    <w:rsid w:val="00A02915"/>
    <w:rsid w:val="00A029D5"/>
    <w:rsid w:val="00A02A3B"/>
    <w:rsid w:val="00A02A3C"/>
    <w:rsid w:val="00A02A44"/>
    <w:rsid w:val="00A02A45"/>
    <w:rsid w:val="00A02A60"/>
    <w:rsid w:val="00A02A92"/>
    <w:rsid w:val="00A02ABE"/>
    <w:rsid w:val="00A02B57"/>
    <w:rsid w:val="00A02B63"/>
    <w:rsid w:val="00A02C2A"/>
    <w:rsid w:val="00A02C4E"/>
    <w:rsid w:val="00A02C7A"/>
    <w:rsid w:val="00A02C88"/>
    <w:rsid w:val="00A02C8D"/>
    <w:rsid w:val="00A02C90"/>
    <w:rsid w:val="00A02CA8"/>
    <w:rsid w:val="00A02CC9"/>
    <w:rsid w:val="00A02CCC"/>
    <w:rsid w:val="00A02CDD"/>
    <w:rsid w:val="00A02D2B"/>
    <w:rsid w:val="00A02D6F"/>
    <w:rsid w:val="00A02D7F"/>
    <w:rsid w:val="00A02DB2"/>
    <w:rsid w:val="00A02DBD"/>
    <w:rsid w:val="00A02E22"/>
    <w:rsid w:val="00A02E35"/>
    <w:rsid w:val="00A02E46"/>
    <w:rsid w:val="00A02E4E"/>
    <w:rsid w:val="00A02E88"/>
    <w:rsid w:val="00A02EF3"/>
    <w:rsid w:val="00A02F84"/>
    <w:rsid w:val="00A02F9B"/>
    <w:rsid w:val="00A02FAE"/>
    <w:rsid w:val="00A02FC0"/>
    <w:rsid w:val="00A03007"/>
    <w:rsid w:val="00A0309D"/>
    <w:rsid w:val="00A030A6"/>
    <w:rsid w:val="00A030AF"/>
    <w:rsid w:val="00A03144"/>
    <w:rsid w:val="00A0314A"/>
    <w:rsid w:val="00A03164"/>
    <w:rsid w:val="00A03173"/>
    <w:rsid w:val="00A031C8"/>
    <w:rsid w:val="00A03218"/>
    <w:rsid w:val="00A0322A"/>
    <w:rsid w:val="00A0323F"/>
    <w:rsid w:val="00A03254"/>
    <w:rsid w:val="00A03291"/>
    <w:rsid w:val="00A03302"/>
    <w:rsid w:val="00A03310"/>
    <w:rsid w:val="00A03355"/>
    <w:rsid w:val="00A03379"/>
    <w:rsid w:val="00A03387"/>
    <w:rsid w:val="00A033A5"/>
    <w:rsid w:val="00A03401"/>
    <w:rsid w:val="00A0340E"/>
    <w:rsid w:val="00A03421"/>
    <w:rsid w:val="00A0343E"/>
    <w:rsid w:val="00A034B1"/>
    <w:rsid w:val="00A034E6"/>
    <w:rsid w:val="00A034F3"/>
    <w:rsid w:val="00A034F7"/>
    <w:rsid w:val="00A03519"/>
    <w:rsid w:val="00A03520"/>
    <w:rsid w:val="00A03534"/>
    <w:rsid w:val="00A03545"/>
    <w:rsid w:val="00A03593"/>
    <w:rsid w:val="00A035C2"/>
    <w:rsid w:val="00A035C6"/>
    <w:rsid w:val="00A03613"/>
    <w:rsid w:val="00A0362F"/>
    <w:rsid w:val="00A036B4"/>
    <w:rsid w:val="00A036BD"/>
    <w:rsid w:val="00A0373E"/>
    <w:rsid w:val="00A037AA"/>
    <w:rsid w:val="00A037DA"/>
    <w:rsid w:val="00A03801"/>
    <w:rsid w:val="00A03807"/>
    <w:rsid w:val="00A0381B"/>
    <w:rsid w:val="00A03899"/>
    <w:rsid w:val="00A03902"/>
    <w:rsid w:val="00A0395D"/>
    <w:rsid w:val="00A03991"/>
    <w:rsid w:val="00A039C4"/>
    <w:rsid w:val="00A039C7"/>
    <w:rsid w:val="00A039EC"/>
    <w:rsid w:val="00A03AC2"/>
    <w:rsid w:val="00A03B4A"/>
    <w:rsid w:val="00A03B51"/>
    <w:rsid w:val="00A03B58"/>
    <w:rsid w:val="00A03B86"/>
    <w:rsid w:val="00A03BBA"/>
    <w:rsid w:val="00A03BC8"/>
    <w:rsid w:val="00A03C85"/>
    <w:rsid w:val="00A03C95"/>
    <w:rsid w:val="00A03CE6"/>
    <w:rsid w:val="00A03D21"/>
    <w:rsid w:val="00A03D8F"/>
    <w:rsid w:val="00A03D91"/>
    <w:rsid w:val="00A03E0B"/>
    <w:rsid w:val="00A03E79"/>
    <w:rsid w:val="00A03EA6"/>
    <w:rsid w:val="00A03ED0"/>
    <w:rsid w:val="00A03F0E"/>
    <w:rsid w:val="00A03F2D"/>
    <w:rsid w:val="00A03FF5"/>
    <w:rsid w:val="00A04063"/>
    <w:rsid w:val="00A04095"/>
    <w:rsid w:val="00A040B0"/>
    <w:rsid w:val="00A040B3"/>
    <w:rsid w:val="00A040DB"/>
    <w:rsid w:val="00A040F2"/>
    <w:rsid w:val="00A040FF"/>
    <w:rsid w:val="00A04130"/>
    <w:rsid w:val="00A04181"/>
    <w:rsid w:val="00A0419A"/>
    <w:rsid w:val="00A041E2"/>
    <w:rsid w:val="00A04235"/>
    <w:rsid w:val="00A04272"/>
    <w:rsid w:val="00A04304"/>
    <w:rsid w:val="00A043A7"/>
    <w:rsid w:val="00A043BF"/>
    <w:rsid w:val="00A043ED"/>
    <w:rsid w:val="00A04401"/>
    <w:rsid w:val="00A04413"/>
    <w:rsid w:val="00A044B3"/>
    <w:rsid w:val="00A04582"/>
    <w:rsid w:val="00A045CA"/>
    <w:rsid w:val="00A04613"/>
    <w:rsid w:val="00A04684"/>
    <w:rsid w:val="00A046F4"/>
    <w:rsid w:val="00A046FB"/>
    <w:rsid w:val="00A0471E"/>
    <w:rsid w:val="00A0474C"/>
    <w:rsid w:val="00A0475C"/>
    <w:rsid w:val="00A04770"/>
    <w:rsid w:val="00A04778"/>
    <w:rsid w:val="00A04795"/>
    <w:rsid w:val="00A047A6"/>
    <w:rsid w:val="00A047D5"/>
    <w:rsid w:val="00A047DC"/>
    <w:rsid w:val="00A04824"/>
    <w:rsid w:val="00A04869"/>
    <w:rsid w:val="00A049C9"/>
    <w:rsid w:val="00A049DA"/>
    <w:rsid w:val="00A049ED"/>
    <w:rsid w:val="00A049F4"/>
    <w:rsid w:val="00A049FE"/>
    <w:rsid w:val="00A04A04"/>
    <w:rsid w:val="00A04A25"/>
    <w:rsid w:val="00A04ADE"/>
    <w:rsid w:val="00A04B97"/>
    <w:rsid w:val="00A04BB7"/>
    <w:rsid w:val="00A04C26"/>
    <w:rsid w:val="00A04C36"/>
    <w:rsid w:val="00A04C38"/>
    <w:rsid w:val="00A04C6A"/>
    <w:rsid w:val="00A04C84"/>
    <w:rsid w:val="00A04CFE"/>
    <w:rsid w:val="00A04D52"/>
    <w:rsid w:val="00A04D91"/>
    <w:rsid w:val="00A04DCD"/>
    <w:rsid w:val="00A04E4D"/>
    <w:rsid w:val="00A04E69"/>
    <w:rsid w:val="00A04EAC"/>
    <w:rsid w:val="00A04EAE"/>
    <w:rsid w:val="00A04ED3"/>
    <w:rsid w:val="00A04F36"/>
    <w:rsid w:val="00A04F4C"/>
    <w:rsid w:val="00A04F54"/>
    <w:rsid w:val="00A04FC4"/>
    <w:rsid w:val="00A05001"/>
    <w:rsid w:val="00A05008"/>
    <w:rsid w:val="00A0507B"/>
    <w:rsid w:val="00A05094"/>
    <w:rsid w:val="00A05096"/>
    <w:rsid w:val="00A050A6"/>
    <w:rsid w:val="00A050E8"/>
    <w:rsid w:val="00A0512C"/>
    <w:rsid w:val="00A05150"/>
    <w:rsid w:val="00A051B2"/>
    <w:rsid w:val="00A05271"/>
    <w:rsid w:val="00A0529E"/>
    <w:rsid w:val="00A054C8"/>
    <w:rsid w:val="00A055AD"/>
    <w:rsid w:val="00A055EC"/>
    <w:rsid w:val="00A055F0"/>
    <w:rsid w:val="00A05628"/>
    <w:rsid w:val="00A05677"/>
    <w:rsid w:val="00A056A8"/>
    <w:rsid w:val="00A056AD"/>
    <w:rsid w:val="00A056B4"/>
    <w:rsid w:val="00A056BD"/>
    <w:rsid w:val="00A056D1"/>
    <w:rsid w:val="00A056E5"/>
    <w:rsid w:val="00A056FF"/>
    <w:rsid w:val="00A05748"/>
    <w:rsid w:val="00A05790"/>
    <w:rsid w:val="00A057A5"/>
    <w:rsid w:val="00A057C6"/>
    <w:rsid w:val="00A0580D"/>
    <w:rsid w:val="00A05894"/>
    <w:rsid w:val="00A05899"/>
    <w:rsid w:val="00A058B3"/>
    <w:rsid w:val="00A058C1"/>
    <w:rsid w:val="00A058DC"/>
    <w:rsid w:val="00A0592A"/>
    <w:rsid w:val="00A05955"/>
    <w:rsid w:val="00A0596A"/>
    <w:rsid w:val="00A059BC"/>
    <w:rsid w:val="00A059C3"/>
    <w:rsid w:val="00A05A15"/>
    <w:rsid w:val="00A05A55"/>
    <w:rsid w:val="00A05A75"/>
    <w:rsid w:val="00A05AB4"/>
    <w:rsid w:val="00A05B76"/>
    <w:rsid w:val="00A05BAB"/>
    <w:rsid w:val="00A05BF2"/>
    <w:rsid w:val="00A05C12"/>
    <w:rsid w:val="00A05CB7"/>
    <w:rsid w:val="00A05CF6"/>
    <w:rsid w:val="00A05DE3"/>
    <w:rsid w:val="00A05E09"/>
    <w:rsid w:val="00A05EA7"/>
    <w:rsid w:val="00A05EFF"/>
    <w:rsid w:val="00A05F0C"/>
    <w:rsid w:val="00A05F13"/>
    <w:rsid w:val="00A05F31"/>
    <w:rsid w:val="00A05F4E"/>
    <w:rsid w:val="00A05F60"/>
    <w:rsid w:val="00A05F8C"/>
    <w:rsid w:val="00A06069"/>
    <w:rsid w:val="00A0606B"/>
    <w:rsid w:val="00A060B7"/>
    <w:rsid w:val="00A060C7"/>
    <w:rsid w:val="00A06115"/>
    <w:rsid w:val="00A06124"/>
    <w:rsid w:val="00A061B9"/>
    <w:rsid w:val="00A06213"/>
    <w:rsid w:val="00A062A3"/>
    <w:rsid w:val="00A062F9"/>
    <w:rsid w:val="00A0632D"/>
    <w:rsid w:val="00A06398"/>
    <w:rsid w:val="00A063B9"/>
    <w:rsid w:val="00A06426"/>
    <w:rsid w:val="00A064DD"/>
    <w:rsid w:val="00A06530"/>
    <w:rsid w:val="00A06534"/>
    <w:rsid w:val="00A06535"/>
    <w:rsid w:val="00A06562"/>
    <w:rsid w:val="00A06579"/>
    <w:rsid w:val="00A06643"/>
    <w:rsid w:val="00A06653"/>
    <w:rsid w:val="00A06683"/>
    <w:rsid w:val="00A0669B"/>
    <w:rsid w:val="00A0675E"/>
    <w:rsid w:val="00A0676D"/>
    <w:rsid w:val="00A06779"/>
    <w:rsid w:val="00A06782"/>
    <w:rsid w:val="00A067A4"/>
    <w:rsid w:val="00A06805"/>
    <w:rsid w:val="00A06815"/>
    <w:rsid w:val="00A06838"/>
    <w:rsid w:val="00A0684A"/>
    <w:rsid w:val="00A0684E"/>
    <w:rsid w:val="00A068A1"/>
    <w:rsid w:val="00A068A8"/>
    <w:rsid w:val="00A068F6"/>
    <w:rsid w:val="00A06925"/>
    <w:rsid w:val="00A0692C"/>
    <w:rsid w:val="00A0693F"/>
    <w:rsid w:val="00A0694F"/>
    <w:rsid w:val="00A06968"/>
    <w:rsid w:val="00A06972"/>
    <w:rsid w:val="00A06997"/>
    <w:rsid w:val="00A069E5"/>
    <w:rsid w:val="00A069F2"/>
    <w:rsid w:val="00A069F8"/>
    <w:rsid w:val="00A06A67"/>
    <w:rsid w:val="00A06AFB"/>
    <w:rsid w:val="00A06AFE"/>
    <w:rsid w:val="00A06B10"/>
    <w:rsid w:val="00A06B37"/>
    <w:rsid w:val="00A06B9D"/>
    <w:rsid w:val="00A06C01"/>
    <w:rsid w:val="00A06C5D"/>
    <w:rsid w:val="00A06CA5"/>
    <w:rsid w:val="00A06CD4"/>
    <w:rsid w:val="00A06D03"/>
    <w:rsid w:val="00A06D37"/>
    <w:rsid w:val="00A06D45"/>
    <w:rsid w:val="00A06E4D"/>
    <w:rsid w:val="00A06EE2"/>
    <w:rsid w:val="00A06F0B"/>
    <w:rsid w:val="00A06FB5"/>
    <w:rsid w:val="00A07024"/>
    <w:rsid w:val="00A07052"/>
    <w:rsid w:val="00A070B9"/>
    <w:rsid w:val="00A070F8"/>
    <w:rsid w:val="00A07167"/>
    <w:rsid w:val="00A071AA"/>
    <w:rsid w:val="00A071B7"/>
    <w:rsid w:val="00A071E4"/>
    <w:rsid w:val="00A071F5"/>
    <w:rsid w:val="00A0723A"/>
    <w:rsid w:val="00A07295"/>
    <w:rsid w:val="00A072E7"/>
    <w:rsid w:val="00A07332"/>
    <w:rsid w:val="00A07338"/>
    <w:rsid w:val="00A07344"/>
    <w:rsid w:val="00A07372"/>
    <w:rsid w:val="00A0739B"/>
    <w:rsid w:val="00A0739D"/>
    <w:rsid w:val="00A073BC"/>
    <w:rsid w:val="00A073F0"/>
    <w:rsid w:val="00A073FA"/>
    <w:rsid w:val="00A07403"/>
    <w:rsid w:val="00A07425"/>
    <w:rsid w:val="00A07433"/>
    <w:rsid w:val="00A074D8"/>
    <w:rsid w:val="00A074F3"/>
    <w:rsid w:val="00A07518"/>
    <w:rsid w:val="00A0752E"/>
    <w:rsid w:val="00A07567"/>
    <w:rsid w:val="00A0756E"/>
    <w:rsid w:val="00A0768F"/>
    <w:rsid w:val="00A076EE"/>
    <w:rsid w:val="00A076F6"/>
    <w:rsid w:val="00A07710"/>
    <w:rsid w:val="00A0771A"/>
    <w:rsid w:val="00A07739"/>
    <w:rsid w:val="00A0773A"/>
    <w:rsid w:val="00A0778E"/>
    <w:rsid w:val="00A07804"/>
    <w:rsid w:val="00A07813"/>
    <w:rsid w:val="00A07816"/>
    <w:rsid w:val="00A078A4"/>
    <w:rsid w:val="00A078A6"/>
    <w:rsid w:val="00A078BF"/>
    <w:rsid w:val="00A07961"/>
    <w:rsid w:val="00A07997"/>
    <w:rsid w:val="00A079FC"/>
    <w:rsid w:val="00A07A0B"/>
    <w:rsid w:val="00A07A1E"/>
    <w:rsid w:val="00A07A8B"/>
    <w:rsid w:val="00A07AA4"/>
    <w:rsid w:val="00A07AB5"/>
    <w:rsid w:val="00A07AC6"/>
    <w:rsid w:val="00A07ACA"/>
    <w:rsid w:val="00A07ADD"/>
    <w:rsid w:val="00A07B09"/>
    <w:rsid w:val="00A07B0C"/>
    <w:rsid w:val="00A07B8A"/>
    <w:rsid w:val="00A07C28"/>
    <w:rsid w:val="00A07D1A"/>
    <w:rsid w:val="00A07D6D"/>
    <w:rsid w:val="00A07D9E"/>
    <w:rsid w:val="00A07DBC"/>
    <w:rsid w:val="00A07DBF"/>
    <w:rsid w:val="00A07E2F"/>
    <w:rsid w:val="00A07E4C"/>
    <w:rsid w:val="00A07EC9"/>
    <w:rsid w:val="00A07F02"/>
    <w:rsid w:val="00A07F3A"/>
    <w:rsid w:val="00A07F7C"/>
    <w:rsid w:val="00A07F7F"/>
    <w:rsid w:val="00A07F8C"/>
    <w:rsid w:val="00A07FB2"/>
    <w:rsid w:val="00A07FDF"/>
    <w:rsid w:val="00A1007B"/>
    <w:rsid w:val="00A10089"/>
    <w:rsid w:val="00A100AF"/>
    <w:rsid w:val="00A100B4"/>
    <w:rsid w:val="00A10165"/>
    <w:rsid w:val="00A101C6"/>
    <w:rsid w:val="00A101CF"/>
    <w:rsid w:val="00A10203"/>
    <w:rsid w:val="00A1024B"/>
    <w:rsid w:val="00A10288"/>
    <w:rsid w:val="00A10292"/>
    <w:rsid w:val="00A102B0"/>
    <w:rsid w:val="00A102F0"/>
    <w:rsid w:val="00A102F5"/>
    <w:rsid w:val="00A10331"/>
    <w:rsid w:val="00A10346"/>
    <w:rsid w:val="00A10378"/>
    <w:rsid w:val="00A103A9"/>
    <w:rsid w:val="00A103B2"/>
    <w:rsid w:val="00A103DF"/>
    <w:rsid w:val="00A10418"/>
    <w:rsid w:val="00A10444"/>
    <w:rsid w:val="00A10482"/>
    <w:rsid w:val="00A104AD"/>
    <w:rsid w:val="00A104D3"/>
    <w:rsid w:val="00A104F3"/>
    <w:rsid w:val="00A10520"/>
    <w:rsid w:val="00A10565"/>
    <w:rsid w:val="00A105A6"/>
    <w:rsid w:val="00A10680"/>
    <w:rsid w:val="00A106E0"/>
    <w:rsid w:val="00A106F2"/>
    <w:rsid w:val="00A1070C"/>
    <w:rsid w:val="00A1085C"/>
    <w:rsid w:val="00A108F9"/>
    <w:rsid w:val="00A10918"/>
    <w:rsid w:val="00A1094D"/>
    <w:rsid w:val="00A109AE"/>
    <w:rsid w:val="00A109CC"/>
    <w:rsid w:val="00A109CE"/>
    <w:rsid w:val="00A109D6"/>
    <w:rsid w:val="00A10A61"/>
    <w:rsid w:val="00A10A99"/>
    <w:rsid w:val="00A10B42"/>
    <w:rsid w:val="00A10BAB"/>
    <w:rsid w:val="00A10C07"/>
    <w:rsid w:val="00A10C3F"/>
    <w:rsid w:val="00A10C40"/>
    <w:rsid w:val="00A10CC6"/>
    <w:rsid w:val="00A10D05"/>
    <w:rsid w:val="00A10D0C"/>
    <w:rsid w:val="00A10D2C"/>
    <w:rsid w:val="00A10D37"/>
    <w:rsid w:val="00A10D75"/>
    <w:rsid w:val="00A10DB9"/>
    <w:rsid w:val="00A10DBC"/>
    <w:rsid w:val="00A10DE9"/>
    <w:rsid w:val="00A10E08"/>
    <w:rsid w:val="00A10E38"/>
    <w:rsid w:val="00A10E6B"/>
    <w:rsid w:val="00A10E77"/>
    <w:rsid w:val="00A10E81"/>
    <w:rsid w:val="00A10EA4"/>
    <w:rsid w:val="00A10EC6"/>
    <w:rsid w:val="00A10ECE"/>
    <w:rsid w:val="00A10ED1"/>
    <w:rsid w:val="00A10F44"/>
    <w:rsid w:val="00A10F65"/>
    <w:rsid w:val="00A10F9E"/>
    <w:rsid w:val="00A10FAA"/>
    <w:rsid w:val="00A11002"/>
    <w:rsid w:val="00A11033"/>
    <w:rsid w:val="00A1106B"/>
    <w:rsid w:val="00A1107D"/>
    <w:rsid w:val="00A110C2"/>
    <w:rsid w:val="00A1115B"/>
    <w:rsid w:val="00A11303"/>
    <w:rsid w:val="00A11307"/>
    <w:rsid w:val="00A113C9"/>
    <w:rsid w:val="00A113F0"/>
    <w:rsid w:val="00A11402"/>
    <w:rsid w:val="00A11421"/>
    <w:rsid w:val="00A11453"/>
    <w:rsid w:val="00A1149D"/>
    <w:rsid w:val="00A114A0"/>
    <w:rsid w:val="00A114BF"/>
    <w:rsid w:val="00A11548"/>
    <w:rsid w:val="00A11579"/>
    <w:rsid w:val="00A11598"/>
    <w:rsid w:val="00A115DA"/>
    <w:rsid w:val="00A115F2"/>
    <w:rsid w:val="00A115FD"/>
    <w:rsid w:val="00A11620"/>
    <w:rsid w:val="00A1177A"/>
    <w:rsid w:val="00A117BE"/>
    <w:rsid w:val="00A117EB"/>
    <w:rsid w:val="00A11813"/>
    <w:rsid w:val="00A11819"/>
    <w:rsid w:val="00A11830"/>
    <w:rsid w:val="00A1186E"/>
    <w:rsid w:val="00A1189A"/>
    <w:rsid w:val="00A118F5"/>
    <w:rsid w:val="00A11975"/>
    <w:rsid w:val="00A1198F"/>
    <w:rsid w:val="00A119E9"/>
    <w:rsid w:val="00A11A0C"/>
    <w:rsid w:val="00A11A60"/>
    <w:rsid w:val="00A11A86"/>
    <w:rsid w:val="00A11A95"/>
    <w:rsid w:val="00A11AA2"/>
    <w:rsid w:val="00A11B57"/>
    <w:rsid w:val="00A11B5C"/>
    <w:rsid w:val="00A11B72"/>
    <w:rsid w:val="00A11B83"/>
    <w:rsid w:val="00A11B92"/>
    <w:rsid w:val="00A11B9A"/>
    <w:rsid w:val="00A11BFD"/>
    <w:rsid w:val="00A11C19"/>
    <w:rsid w:val="00A11C6C"/>
    <w:rsid w:val="00A11C75"/>
    <w:rsid w:val="00A11CC6"/>
    <w:rsid w:val="00A11D5A"/>
    <w:rsid w:val="00A11E64"/>
    <w:rsid w:val="00A11EA6"/>
    <w:rsid w:val="00A11ED5"/>
    <w:rsid w:val="00A11EE5"/>
    <w:rsid w:val="00A11EE8"/>
    <w:rsid w:val="00A11F04"/>
    <w:rsid w:val="00A11F49"/>
    <w:rsid w:val="00A11FAC"/>
    <w:rsid w:val="00A11FFC"/>
    <w:rsid w:val="00A12017"/>
    <w:rsid w:val="00A1203B"/>
    <w:rsid w:val="00A1208A"/>
    <w:rsid w:val="00A120B9"/>
    <w:rsid w:val="00A120DC"/>
    <w:rsid w:val="00A12115"/>
    <w:rsid w:val="00A12158"/>
    <w:rsid w:val="00A12172"/>
    <w:rsid w:val="00A12175"/>
    <w:rsid w:val="00A121C5"/>
    <w:rsid w:val="00A12242"/>
    <w:rsid w:val="00A12250"/>
    <w:rsid w:val="00A122C9"/>
    <w:rsid w:val="00A122E6"/>
    <w:rsid w:val="00A12303"/>
    <w:rsid w:val="00A12308"/>
    <w:rsid w:val="00A12342"/>
    <w:rsid w:val="00A123B2"/>
    <w:rsid w:val="00A123DF"/>
    <w:rsid w:val="00A123EB"/>
    <w:rsid w:val="00A1242B"/>
    <w:rsid w:val="00A1248E"/>
    <w:rsid w:val="00A124B9"/>
    <w:rsid w:val="00A12539"/>
    <w:rsid w:val="00A12556"/>
    <w:rsid w:val="00A1256F"/>
    <w:rsid w:val="00A12583"/>
    <w:rsid w:val="00A125B2"/>
    <w:rsid w:val="00A125B5"/>
    <w:rsid w:val="00A125C5"/>
    <w:rsid w:val="00A125CA"/>
    <w:rsid w:val="00A125DC"/>
    <w:rsid w:val="00A12605"/>
    <w:rsid w:val="00A12648"/>
    <w:rsid w:val="00A1269D"/>
    <w:rsid w:val="00A12725"/>
    <w:rsid w:val="00A1273A"/>
    <w:rsid w:val="00A1276E"/>
    <w:rsid w:val="00A12784"/>
    <w:rsid w:val="00A12786"/>
    <w:rsid w:val="00A12791"/>
    <w:rsid w:val="00A1279C"/>
    <w:rsid w:val="00A127B4"/>
    <w:rsid w:val="00A12800"/>
    <w:rsid w:val="00A12810"/>
    <w:rsid w:val="00A12861"/>
    <w:rsid w:val="00A12883"/>
    <w:rsid w:val="00A1289D"/>
    <w:rsid w:val="00A128DC"/>
    <w:rsid w:val="00A12941"/>
    <w:rsid w:val="00A12979"/>
    <w:rsid w:val="00A1298C"/>
    <w:rsid w:val="00A129D9"/>
    <w:rsid w:val="00A12A1B"/>
    <w:rsid w:val="00A12A39"/>
    <w:rsid w:val="00A12A65"/>
    <w:rsid w:val="00A12A6A"/>
    <w:rsid w:val="00A12A94"/>
    <w:rsid w:val="00A12AE4"/>
    <w:rsid w:val="00A12BC9"/>
    <w:rsid w:val="00A12BF8"/>
    <w:rsid w:val="00A12BF9"/>
    <w:rsid w:val="00A12C34"/>
    <w:rsid w:val="00A12C3A"/>
    <w:rsid w:val="00A12C7D"/>
    <w:rsid w:val="00A12C8C"/>
    <w:rsid w:val="00A12CB2"/>
    <w:rsid w:val="00A12D3E"/>
    <w:rsid w:val="00A12D46"/>
    <w:rsid w:val="00A12D4C"/>
    <w:rsid w:val="00A12D89"/>
    <w:rsid w:val="00A12DAC"/>
    <w:rsid w:val="00A12E11"/>
    <w:rsid w:val="00A12E39"/>
    <w:rsid w:val="00A12E54"/>
    <w:rsid w:val="00A12EA4"/>
    <w:rsid w:val="00A12F03"/>
    <w:rsid w:val="00A12F47"/>
    <w:rsid w:val="00A12F5A"/>
    <w:rsid w:val="00A12FE9"/>
    <w:rsid w:val="00A13041"/>
    <w:rsid w:val="00A13082"/>
    <w:rsid w:val="00A130BD"/>
    <w:rsid w:val="00A130E5"/>
    <w:rsid w:val="00A13145"/>
    <w:rsid w:val="00A1314E"/>
    <w:rsid w:val="00A13156"/>
    <w:rsid w:val="00A131C3"/>
    <w:rsid w:val="00A131DB"/>
    <w:rsid w:val="00A131DE"/>
    <w:rsid w:val="00A131F8"/>
    <w:rsid w:val="00A1320B"/>
    <w:rsid w:val="00A1323D"/>
    <w:rsid w:val="00A132AF"/>
    <w:rsid w:val="00A132DB"/>
    <w:rsid w:val="00A132E3"/>
    <w:rsid w:val="00A1339D"/>
    <w:rsid w:val="00A133A2"/>
    <w:rsid w:val="00A133EB"/>
    <w:rsid w:val="00A1342B"/>
    <w:rsid w:val="00A13468"/>
    <w:rsid w:val="00A1347F"/>
    <w:rsid w:val="00A134B8"/>
    <w:rsid w:val="00A13542"/>
    <w:rsid w:val="00A13635"/>
    <w:rsid w:val="00A1363F"/>
    <w:rsid w:val="00A13654"/>
    <w:rsid w:val="00A1366C"/>
    <w:rsid w:val="00A13673"/>
    <w:rsid w:val="00A136A3"/>
    <w:rsid w:val="00A13712"/>
    <w:rsid w:val="00A13751"/>
    <w:rsid w:val="00A1378C"/>
    <w:rsid w:val="00A13795"/>
    <w:rsid w:val="00A137B8"/>
    <w:rsid w:val="00A137D0"/>
    <w:rsid w:val="00A137E8"/>
    <w:rsid w:val="00A13836"/>
    <w:rsid w:val="00A13872"/>
    <w:rsid w:val="00A138B1"/>
    <w:rsid w:val="00A13924"/>
    <w:rsid w:val="00A1392D"/>
    <w:rsid w:val="00A13980"/>
    <w:rsid w:val="00A139AE"/>
    <w:rsid w:val="00A139FE"/>
    <w:rsid w:val="00A13A22"/>
    <w:rsid w:val="00A13A4A"/>
    <w:rsid w:val="00A13A4B"/>
    <w:rsid w:val="00A13AAC"/>
    <w:rsid w:val="00A13AAF"/>
    <w:rsid w:val="00A13AED"/>
    <w:rsid w:val="00A13B38"/>
    <w:rsid w:val="00A13B3E"/>
    <w:rsid w:val="00A13B41"/>
    <w:rsid w:val="00A13B7E"/>
    <w:rsid w:val="00A13BF0"/>
    <w:rsid w:val="00A13BF6"/>
    <w:rsid w:val="00A13C6D"/>
    <w:rsid w:val="00A13C71"/>
    <w:rsid w:val="00A13C8C"/>
    <w:rsid w:val="00A13CB6"/>
    <w:rsid w:val="00A13CD7"/>
    <w:rsid w:val="00A13CE1"/>
    <w:rsid w:val="00A13CEC"/>
    <w:rsid w:val="00A13CFE"/>
    <w:rsid w:val="00A13D39"/>
    <w:rsid w:val="00A13D4C"/>
    <w:rsid w:val="00A13D9E"/>
    <w:rsid w:val="00A13DC2"/>
    <w:rsid w:val="00A13E2A"/>
    <w:rsid w:val="00A13E8F"/>
    <w:rsid w:val="00A13E95"/>
    <w:rsid w:val="00A13E9C"/>
    <w:rsid w:val="00A13EA5"/>
    <w:rsid w:val="00A13F91"/>
    <w:rsid w:val="00A13F99"/>
    <w:rsid w:val="00A13FAA"/>
    <w:rsid w:val="00A13FB7"/>
    <w:rsid w:val="00A13FD3"/>
    <w:rsid w:val="00A13FEB"/>
    <w:rsid w:val="00A14003"/>
    <w:rsid w:val="00A14065"/>
    <w:rsid w:val="00A1408A"/>
    <w:rsid w:val="00A140FA"/>
    <w:rsid w:val="00A1416F"/>
    <w:rsid w:val="00A1418B"/>
    <w:rsid w:val="00A141BD"/>
    <w:rsid w:val="00A141EA"/>
    <w:rsid w:val="00A141F9"/>
    <w:rsid w:val="00A1420D"/>
    <w:rsid w:val="00A1421F"/>
    <w:rsid w:val="00A1422E"/>
    <w:rsid w:val="00A14242"/>
    <w:rsid w:val="00A142DF"/>
    <w:rsid w:val="00A14302"/>
    <w:rsid w:val="00A1430A"/>
    <w:rsid w:val="00A14315"/>
    <w:rsid w:val="00A14322"/>
    <w:rsid w:val="00A1434A"/>
    <w:rsid w:val="00A143A8"/>
    <w:rsid w:val="00A143B6"/>
    <w:rsid w:val="00A143D9"/>
    <w:rsid w:val="00A14476"/>
    <w:rsid w:val="00A14483"/>
    <w:rsid w:val="00A14525"/>
    <w:rsid w:val="00A1454A"/>
    <w:rsid w:val="00A1456A"/>
    <w:rsid w:val="00A1457C"/>
    <w:rsid w:val="00A145AF"/>
    <w:rsid w:val="00A145D5"/>
    <w:rsid w:val="00A145F8"/>
    <w:rsid w:val="00A14690"/>
    <w:rsid w:val="00A146E7"/>
    <w:rsid w:val="00A1472A"/>
    <w:rsid w:val="00A1472B"/>
    <w:rsid w:val="00A14768"/>
    <w:rsid w:val="00A14782"/>
    <w:rsid w:val="00A147A0"/>
    <w:rsid w:val="00A147A8"/>
    <w:rsid w:val="00A147E1"/>
    <w:rsid w:val="00A147EF"/>
    <w:rsid w:val="00A14844"/>
    <w:rsid w:val="00A14853"/>
    <w:rsid w:val="00A1485A"/>
    <w:rsid w:val="00A14864"/>
    <w:rsid w:val="00A1488E"/>
    <w:rsid w:val="00A149E5"/>
    <w:rsid w:val="00A14A75"/>
    <w:rsid w:val="00A14A90"/>
    <w:rsid w:val="00A14A95"/>
    <w:rsid w:val="00A14AB0"/>
    <w:rsid w:val="00A14B00"/>
    <w:rsid w:val="00A14B40"/>
    <w:rsid w:val="00A14BA4"/>
    <w:rsid w:val="00A14BC5"/>
    <w:rsid w:val="00A14BC9"/>
    <w:rsid w:val="00A14C27"/>
    <w:rsid w:val="00A14C4B"/>
    <w:rsid w:val="00A14C59"/>
    <w:rsid w:val="00A14C6C"/>
    <w:rsid w:val="00A14CB9"/>
    <w:rsid w:val="00A14CF9"/>
    <w:rsid w:val="00A14CFA"/>
    <w:rsid w:val="00A14D3B"/>
    <w:rsid w:val="00A14D69"/>
    <w:rsid w:val="00A14D77"/>
    <w:rsid w:val="00A14D7A"/>
    <w:rsid w:val="00A14DEC"/>
    <w:rsid w:val="00A14E12"/>
    <w:rsid w:val="00A14E49"/>
    <w:rsid w:val="00A14E7D"/>
    <w:rsid w:val="00A14F1C"/>
    <w:rsid w:val="00A14F5D"/>
    <w:rsid w:val="00A14FC4"/>
    <w:rsid w:val="00A14FCA"/>
    <w:rsid w:val="00A15020"/>
    <w:rsid w:val="00A15036"/>
    <w:rsid w:val="00A1505A"/>
    <w:rsid w:val="00A1505F"/>
    <w:rsid w:val="00A15075"/>
    <w:rsid w:val="00A15082"/>
    <w:rsid w:val="00A15086"/>
    <w:rsid w:val="00A150D1"/>
    <w:rsid w:val="00A1512E"/>
    <w:rsid w:val="00A15136"/>
    <w:rsid w:val="00A1513B"/>
    <w:rsid w:val="00A1513F"/>
    <w:rsid w:val="00A15141"/>
    <w:rsid w:val="00A15156"/>
    <w:rsid w:val="00A151D5"/>
    <w:rsid w:val="00A151FA"/>
    <w:rsid w:val="00A15229"/>
    <w:rsid w:val="00A15241"/>
    <w:rsid w:val="00A1526D"/>
    <w:rsid w:val="00A15275"/>
    <w:rsid w:val="00A1527C"/>
    <w:rsid w:val="00A15355"/>
    <w:rsid w:val="00A1535F"/>
    <w:rsid w:val="00A15382"/>
    <w:rsid w:val="00A153E3"/>
    <w:rsid w:val="00A1543F"/>
    <w:rsid w:val="00A154CB"/>
    <w:rsid w:val="00A1554B"/>
    <w:rsid w:val="00A1555F"/>
    <w:rsid w:val="00A155D8"/>
    <w:rsid w:val="00A155E9"/>
    <w:rsid w:val="00A155FA"/>
    <w:rsid w:val="00A155FB"/>
    <w:rsid w:val="00A15609"/>
    <w:rsid w:val="00A1566C"/>
    <w:rsid w:val="00A15682"/>
    <w:rsid w:val="00A15697"/>
    <w:rsid w:val="00A15698"/>
    <w:rsid w:val="00A156B0"/>
    <w:rsid w:val="00A156DB"/>
    <w:rsid w:val="00A1570F"/>
    <w:rsid w:val="00A15711"/>
    <w:rsid w:val="00A15721"/>
    <w:rsid w:val="00A1575C"/>
    <w:rsid w:val="00A15787"/>
    <w:rsid w:val="00A1578B"/>
    <w:rsid w:val="00A15796"/>
    <w:rsid w:val="00A15802"/>
    <w:rsid w:val="00A15812"/>
    <w:rsid w:val="00A15865"/>
    <w:rsid w:val="00A158B2"/>
    <w:rsid w:val="00A159A2"/>
    <w:rsid w:val="00A159E3"/>
    <w:rsid w:val="00A159F4"/>
    <w:rsid w:val="00A15A2D"/>
    <w:rsid w:val="00A15A4A"/>
    <w:rsid w:val="00A15A62"/>
    <w:rsid w:val="00A15AC2"/>
    <w:rsid w:val="00A15B1D"/>
    <w:rsid w:val="00A15B39"/>
    <w:rsid w:val="00A15B66"/>
    <w:rsid w:val="00A15BA6"/>
    <w:rsid w:val="00A15C1D"/>
    <w:rsid w:val="00A15C29"/>
    <w:rsid w:val="00A15C3B"/>
    <w:rsid w:val="00A15C4B"/>
    <w:rsid w:val="00A15CAA"/>
    <w:rsid w:val="00A15CB7"/>
    <w:rsid w:val="00A15CE8"/>
    <w:rsid w:val="00A15D17"/>
    <w:rsid w:val="00A15D23"/>
    <w:rsid w:val="00A15D6F"/>
    <w:rsid w:val="00A15D98"/>
    <w:rsid w:val="00A15DD6"/>
    <w:rsid w:val="00A15DDD"/>
    <w:rsid w:val="00A15E74"/>
    <w:rsid w:val="00A15E86"/>
    <w:rsid w:val="00A15EDD"/>
    <w:rsid w:val="00A15F12"/>
    <w:rsid w:val="00A15F27"/>
    <w:rsid w:val="00A15F6E"/>
    <w:rsid w:val="00A15FA1"/>
    <w:rsid w:val="00A16004"/>
    <w:rsid w:val="00A160A6"/>
    <w:rsid w:val="00A160D1"/>
    <w:rsid w:val="00A1610E"/>
    <w:rsid w:val="00A16128"/>
    <w:rsid w:val="00A16176"/>
    <w:rsid w:val="00A1618E"/>
    <w:rsid w:val="00A161BD"/>
    <w:rsid w:val="00A161D6"/>
    <w:rsid w:val="00A161EC"/>
    <w:rsid w:val="00A1626D"/>
    <w:rsid w:val="00A162C1"/>
    <w:rsid w:val="00A162C8"/>
    <w:rsid w:val="00A162F8"/>
    <w:rsid w:val="00A162FC"/>
    <w:rsid w:val="00A1633B"/>
    <w:rsid w:val="00A16345"/>
    <w:rsid w:val="00A1647A"/>
    <w:rsid w:val="00A164DB"/>
    <w:rsid w:val="00A164DD"/>
    <w:rsid w:val="00A164FA"/>
    <w:rsid w:val="00A16509"/>
    <w:rsid w:val="00A16513"/>
    <w:rsid w:val="00A1651C"/>
    <w:rsid w:val="00A1652C"/>
    <w:rsid w:val="00A16549"/>
    <w:rsid w:val="00A1654C"/>
    <w:rsid w:val="00A16554"/>
    <w:rsid w:val="00A165C4"/>
    <w:rsid w:val="00A165DC"/>
    <w:rsid w:val="00A165E0"/>
    <w:rsid w:val="00A165EC"/>
    <w:rsid w:val="00A1660E"/>
    <w:rsid w:val="00A16617"/>
    <w:rsid w:val="00A1663C"/>
    <w:rsid w:val="00A16668"/>
    <w:rsid w:val="00A1667C"/>
    <w:rsid w:val="00A166EC"/>
    <w:rsid w:val="00A16727"/>
    <w:rsid w:val="00A16729"/>
    <w:rsid w:val="00A16753"/>
    <w:rsid w:val="00A167D1"/>
    <w:rsid w:val="00A1680E"/>
    <w:rsid w:val="00A16819"/>
    <w:rsid w:val="00A16848"/>
    <w:rsid w:val="00A16879"/>
    <w:rsid w:val="00A16881"/>
    <w:rsid w:val="00A16893"/>
    <w:rsid w:val="00A168B6"/>
    <w:rsid w:val="00A16917"/>
    <w:rsid w:val="00A1694E"/>
    <w:rsid w:val="00A169A3"/>
    <w:rsid w:val="00A169B9"/>
    <w:rsid w:val="00A169D2"/>
    <w:rsid w:val="00A169E4"/>
    <w:rsid w:val="00A16A5F"/>
    <w:rsid w:val="00A16A70"/>
    <w:rsid w:val="00A16A77"/>
    <w:rsid w:val="00A16AE4"/>
    <w:rsid w:val="00A16B49"/>
    <w:rsid w:val="00A16B69"/>
    <w:rsid w:val="00A16B96"/>
    <w:rsid w:val="00A16BD4"/>
    <w:rsid w:val="00A16C4A"/>
    <w:rsid w:val="00A16C94"/>
    <w:rsid w:val="00A16CC3"/>
    <w:rsid w:val="00A16CDF"/>
    <w:rsid w:val="00A16CF5"/>
    <w:rsid w:val="00A16D3D"/>
    <w:rsid w:val="00A16DDB"/>
    <w:rsid w:val="00A16DDD"/>
    <w:rsid w:val="00A16DF7"/>
    <w:rsid w:val="00A16E11"/>
    <w:rsid w:val="00A16E50"/>
    <w:rsid w:val="00A16ECC"/>
    <w:rsid w:val="00A16F65"/>
    <w:rsid w:val="00A16F6E"/>
    <w:rsid w:val="00A16F9E"/>
    <w:rsid w:val="00A16FA0"/>
    <w:rsid w:val="00A16FA4"/>
    <w:rsid w:val="00A16FCB"/>
    <w:rsid w:val="00A1700A"/>
    <w:rsid w:val="00A17024"/>
    <w:rsid w:val="00A1703A"/>
    <w:rsid w:val="00A1706B"/>
    <w:rsid w:val="00A170E2"/>
    <w:rsid w:val="00A1720E"/>
    <w:rsid w:val="00A1728C"/>
    <w:rsid w:val="00A17293"/>
    <w:rsid w:val="00A17297"/>
    <w:rsid w:val="00A172AF"/>
    <w:rsid w:val="00A172BE"/>
    <w:rsid w:val="00A17300"/>
    <w:rsid w:val="00A17382"/>
    <w:rsid w:val="00A173A8"/>
    <w:rsid w:val="00A17403"/>
    <w:rsid w:val="00A17419"/>
    <w:rsid w:val="00A1742E"/>
    <w:rsid w:val="00A1743D"/>
    <w:rsid w:val="00A17499"/>
    <w:rsid w:val="00A174CC"/>
    <w:rsid w:val="00A17540"/>
    <w:rsid w:val="00A17542"/>
    <w:rsid w:val="00A17556"/>
    <w:rsid w:val="00A175C9"/>
    <w:rsid w:val="00A17602"/>
    <w:rsid w:val="00A17608"/>
    <w:rsid w:val="00A17672"/>
    <w:rsid w:val="00A176C9"/>
    <w:rsid w:val="00A17708"/>
    <w:rsid w:val="00A1772D"/>
    <w:rsid w:val="00A17792"/>
    <w:rsid w:val="00A177A4"/>
    <w:rsid w:val="00A177B3"/>
    <w:rsid w:val="00A177D0"/>
    <w:rsid w:val="00A1785D"/>
    <w:rsid w:val="00A178E7"/>
    <w:rsid w:val="00A17909"/>
    <w:rsid w:val="00A1794B"/>
    <w:rsid w:val="00A1798A"/>
    <w:rsid w:val="00A1799A"/>
    <w:rsid w:val="00A179C5"/>
    <w:rsid w:val="00A179D4"/>
    <w:rsid w:val="00A179F2"/>
    <w:rsid w:val="00A17A32"/>
    <w:rsid w:val="00A17A75"/>
    <w:rsid w:val="00A17A88"/>
    <w:rsid w:val="00A17B13"/>
    <w:rsid w:val="00A17B25"/>
    <w:rsid w:val="00A17B4D"/>
    <w:rsid w:val="00A17B66"/>
    <w:rsid w:val="00A17B6B"/>
    <w:rsid w:val="00A17B93"/>
    <w:rsid w:val="00A17BDB"/>
    <w:rsid w:val="00A17C33"/>
    <w:rsid w:val="00A17C9C"/>
    <w:rsid w:val="00A17CA6"/>
    <w:rsid w:val="00A17CA9"/>
    <w:rsid w:val="00A17CC8"/>
    <w:rsid w:val="00A17CFA"/>
    <w:rsid w:val="00A17D5C"/>
    <w:rsid w:val="00A17DA5"/>
    <w:rsid w:val="00A17DC0"/>
    <w:rsid w:val="00A17E25"/>
    <w:rsid w:val="00A17E29"/>
    <w:rsid w:val="00A17E3C"/>
    <w:rsid w:val="00A17E61"/>
    <w:rsid w:val="00A17E86"/>
    <w:rsid w:val="00A17ED4"/>
    <w:rsid w:val="00A17EEF"/>
    <w:rsid w:val="00A17F1C"/>
    <w:rsid w:val="00A17F2F"/>
    <w:rsid w:val="00A17F4C"/>
    <w:rsid w:val="00A17FAF"/>
    <w:rsid w:val="00A17FD1"/>
    <w:rsid w:val="00A17FD2"/>
    <w:rsid w:val="00A20002"/>
    <w:rsid w:val="00A20068"/>
    <w:rsid w:val="00A200C6"/>
    <w:rsid w:val="00A200D6"/>
    <w:rsid w:val="00A20108"/>
    <w:rsid w:val="00A2017F"/>
    <w:rsid w:val="00A201DD"/>
    <w:rsid w:val="00A201F0"/>
    <w:rsid w:val="00A20233"/>
    <w:rsid w:val="00A2023D"/>
    <w:rsid w:val="00A20278"/>
    <w:rsid w:val="00A2028C"/>
    <w:rsid w:val="00A202BB"/>
    <w:rsid w:val="00A202C9"/>
    <w:rsid w:val="00A202E0"/>
    <w:rsid w:val="00A202EC"/>
    <w:rsid w:val="00A2033E"/>
    <w:rsid w:val="00A20378"/>
    <w:rsid w:val="00A20387"/>
    <w:rsid w:val="00A20399"/>
    <w:rsid w:val="00A203C7"/>
    <w:rsid w:val="00A203EA"/>
    <w:rsid w:val="00A203F2"/>
    <w:rsid w:val="00A203F4"/>
    <w:rsid w:val="00A204BB"/>
    <w:rsid w:val="00A204C2"/>
    <w:rsid w:val="00A204CC"/>
    <w:rsid w:val="00A204D3"/>
    <w:rsid w:val="00A20570"/>
    <w:rsid w:val="00A20572"/>
    <w:rsid w:val="00A20631"/>
    <w:rsid w:val="00A20685"/>
    <w:rsid w:val="00A20699"/>
    <w:rsid w:val="00A206D5"/>
    <w:rsid w:val="00A206F0"/>
    <w:rsid w:val="00A20702"/>
    <w:rsid w:val="00A2074B"/>
    <w:rsid w:val="00A20841"/>
    <w:rsid w:val="00A20850"/>
    <w:rsid w:val="00A20857"/>
    <w:rsid w:val="00A208A5"/>
    <w:rsid w:val="00A2094B"/>
    <w:rsid w:val="00A2094C"/>
    <w:rsid w:val="00A209C3"/>
    <w:rsid w:val="00A209D2"/>
    <w:rsid w:val="00A20A1B"/>
    <w:rsid w:val="00A20A91"/>
    <w:rsid w:val="00A20AAB"/>
    <w:rsid w:val="00A20AEE"/>
    <w:rsid w:val="00A20B68"/>
    <w:rsid w:val="00A20BFA"/>
    <w:rsid w:val="00A20C0A"/>
    <w:rsid w:val="00A20C30"/>
    <w:rsid w:val="00A20C99"/>
    <w:rsid w:val="00A20D09"/>
    <w:rsid w:val="00A20D94"/>
    <w:rsid w:val="00A20DC8"/>
    <w:rsid w:val="00A20DD4"/>
    <w:rsid w:val="00A20E13"/>
    <w:rsid w:val="00A20E18"/>
    <w:rsid w:val="00A20E49"/>
    <w:rsid w:val="00A20EBD"/>
    <w:rsid w:val="00A20ECD"/>
    <w:rsid w:val="00A20EEE"/>
    <w:rsid w:val="00A20F3F"/>
    <w:rsid w:val="00A20FB6"/>
    <w:rsid w:val="00A20FE1"/>
    <w:rsid w:val="00A21026"/>
    <w:rsid w:val="00A21047"/>
    <w:rsid w:val="00A210D9"/>
    <w:rsid w:val="00A2112C"/>
    <w:rsid w:val="00A2115D"/>
    <w:rsid w:val="00A21163"/>
    <w:rsid w:val="00A2120F"/>
    <w:rsid w:val="00A2123A"/>
    <w:rsid w:val="00A21243"/>
    <w:rsid w:val="00A21284"/>
    <w:rsid w:val="00A2130F"/>
    <w:rsid w:val="00A21338"/>
    <w:rsid w:val="00A21378"/>
    <w:rsid w:val="00A213C6"/>
    <w:rsid w:val="00A213D3"/>
    <w:rsid w:val="00A21475"/>
    <w:rsid w:val="00A21498"/>
    <w:rsid w:val="00A21507"/>
    <w:rsid w:val="00A21532"/>
    <w:rsid w:val="00A21533"/>
    <w:rsid w:val="00A21548"/>
    <w:rsid w:val="00A21635"/>
    <w:rsid w:val="00A21652"/>
    <w:rsid w:val="00A21657"/>
    <w:rsid w:val="00A21696"/>
    <w:rsid w:val="00A216CF"/>
    <w:rsid w:val="00A21724"/>
    <w:rsid w:val="00A2172D"/>
    <w:rsid w:val="00A21773"/>
    <w:rsid w:val="00A2178A"/>
    <w:rsid w:val="00A2178B"/>
    <w:rsid w:val="00A217EB"/>
    <w:rsid w:val="00A217F6"/>
    <w:rsid w:val="00A21816"/>
    <w:rsid w:val="00A2181A"/>
    <w:rsid w:val="00A21826"/>
    <w:rsid w:val="00A21847"/>
    <w:rsid w:val="00A218E2"/>
    <w:rsid w:val="00A218F5"/>
    <w:rsid w:val="00A219A4"/>
    <w:rsid w:val="00A219C0"/>
    <w:rsid w:val="00A219D1"/>
    <w:rsid w:val="00A219E1"/>
    <w:rsid w:val="00A21A24"/>
    <w:rsid w:val="00A21A72"/>
    <w:rsid w:val="00A21A87"/>
    <w:rsid w:val="00A21B04"/>
    <w:rsid w:val="00A21B83"/>
    <w:rsid w:val="00A21BC6"/>
    <w:rsid w:val="00A21BCC"/>
    <w:rsid w:val="00A21BE5"/>
    <w:rsid w:val="00A21C90"/>
    <w:rsid w:val="00A21CAB"/>
    <w:rsid w:val="00A21CBD"/>
    <w:rsid w:val="00A21CCE"/>
    <w:rsid w:val="00A21CD8"/>
    <w:rsid w:val="00A21CDA"/>
    <w:rsid w:val="00A21D0C"/>
    <w:rsid w:val="00A21D3F"/>
    <w:rsid w:val="00A21D56"/>
    <w:rsid w:val="00A21DB1"/>
    <w:rsid w:val="00A21DEC"/>
    <w:rsid w:val="00A21E4D"/>
    <w:rsid w:val="00A21EE1"/>
    <w:rsid w:val="00A21EE5"/>
    <w:rsid w:val="00A21F46"/>
    <w:rsid w:val="00A21F65"/>
    <w:rsid w:val="00A21F89"/>
    <w:rsid w:val="00A21FA3"/>
    <w:rsid w:val="00A22000"/>
    <w:rsid w:val="00A22031"/>
    <w:rsid w:val="00A22040"/>
    <w:rsid w:val="00A220C7"/>
    <w:rsid w:val="00A22104"/>
    <w:rsid w:val="00A22126"/>
    <w:rsid w:val="00A22151"/>
    <w:rsid w:val="00A22167"/>
    <w:rsid w:val="00A221A5"/>
    <w:rsid w:val="00A22214"/>
    <w:rsid w:val="00A222C6"/>
    <w:rsid w:val="00A22319"/>
    <w:rsid w:val="00A2235E"/>
    <w:rsid w:val="00A2238E"/>
    <w:rsid w:val="00A223DA"/>
    <w:rsid w:val="00A223EF"/>
    <w:rsid w:val="00A224A9"/>
    <w:rsid w:val="00A224B2"/>
    <w:rsid w:val="00A22526"/>
    <w:rsid w:val="00A2253D"/>
    <w:rsid w:val="00A2255F"/>
    <w:rsid w:val="00A22560"/>
    <w:rsid w:val="00A2256F"/>
    <w:rsid w:val="00A225AA"/>
    <w:rsid w:val="00A225B3"/>
    <w:rsid w:val="00A225E4"/>
    <w:rsid w:val="00A22608"/>
    <w:rsid w:val="00A22611"/>
    <w:rsid w:val="00A22643"/>
    <w:rsid w:val="00A22647"/>
    <w:rsid w:val="00A22757"/>
    <w:rsid w:val="00A22799"/>
    <w:rsid w:val="00A227C2"/>
    <w:rsid w:val="00A22810"/>
    <w:rsid w:val="00A22838"/>
    <w:rsid w:val="00A22876"/>
    <w:rsid w:val="00A22889"/>
    <w:rsid w:val="00A228AA"/>
    <w:rsid w:val="00A228BC"/>
    <w:rsid w:val="00A22921"/>
    <w:rsid w:val="00A2292C"/>
    <w:rsid w:val="00A22939"/>
    <w:rsid w:val="00A2298B"/>
    <w:rsid w:val="00A229AF"/>
    <w:rsid w:val="00A229B2"/>
    <w:rsid w:val="00A229E1"/>
    <w:rsid w:val="00A22A43"/>
    <w:rsid w:val="00A22A5E"/>
    <w:rsid w:val="00A22AD1"/>
    <w:rsid w:val="00A22ADE"/>
    <w:rsid w:val="00A22AF5"/>
    <w:rsid w:val="00A22B3B"/>
    <w:rsid w:val="00A22B45"/>
    <w:rsid w:val="00A22B9F"/>
    <w:rsid w:val="00A22BCF"/>
    <w:rsid w:val="00A22BDD"/>
    <w:rsid w:val="00A22C91"/>
    <w:rsid w:val="00A22CC4"/>
    <w:rsid w:val="00A22CD0"/>
    <w:rsid w:val="00A22CD9"/>
    <w:rsid w:val="00A22DD4"/>
    <w:rsid w:val="00A22DD8"/>
    <w:rsid w:val="00A22E4F"/>
    <w:rsid w:val="00A22E5D"/>
    <w:rsid w:val="00A22E65"/>
    <w:rsid w:val="00A22E83"/>
    <w:rsid w:val="00A22EA6"/>
    <w:rsid w:val="00A22EF2"/>
    <w:rsid w:val="00A22EF5"/>
    <w:rsid w:val="00A22F56"/>
    <w:rsid w:val="00A22F5A"/>
    <w:rsid w:val="00A22FB0"/>
    <w:rsid w:val="00A22FBE"/>
    <w:rsid w:val="00A22FC9"/>
    <w:rsid w:val="00A22FF6"/>
    <w:rsid w:val="00A23014"/>
    <w:rsid w:val="00A23020"/>
    <w:rsid w:val="00A23083"/>
    <w:rsid w:val="00A23098"/>
    <w:rsid w:val="00A231BD"/>
    <w:rsid w:val="00A231D0"/>
    <w:rsid w:val="00A231D3"/>
    <w:rsid w:val="00A231DA"/>
    <w:rsid w:val="00A231ED"/>
    <w:rsid w:val="00A23226"/>
    <w:rsid w:val="00A23254"/>
    <w:rsid w:val="00A23294"/>
    <w:rsid w:val="00A232E9"/>
    <w:rsid w:val="00A23327"/>
    <w:rsid w:val="00A23360"/>
    <w:rsid w:val="00A23372"/>
    <w:rsid w:val="00A23393"/>
    <w:rsid w:val="00A233E9"/>
    <w:rsid w:val="00A23463"/>
    <w:rsid w:val="00A234CF"/>
    <w:rsid w:val="00A234E2"/>
    <w:rsid w:val="00A23507"/>
    <w:rsid w:val="00A2351C"/>
    <w:rsid w:val="00A23530"/>
    <w:rsid w:val="00A2353E"/>
    <w:rsid w:val="00A2359E"/>
    <w:rsid w:val="00A235D2"/>
    <w:rsid w:val="00A235DD"/>
    <w:rsid w:val="00A2363E"/>
    <w:rsid w:val="00A2366C"/>
    <w:rsid w:val="00A23695"/>
    <w:rsid w:val="00A236DB"/>
    <w:rsid w:val="00A236DC"/>
    <w:rsid w:val="00A236ED"/>
    <w:rsid w:val="00A2370B"/>
    <w:rsid w:val="00A23730"/>
    <w:rsid w:val="00A23750"/>
    <w:rsid w:val="00A23765"/>
    <w:rsid w:val="00A23777"/>
    <w:rsid w:val="00A23786"/>
    <w:rsid w:val="00A2378E"/>
    <w:rsid w:val="00A237D4"/>
    <w:rsid w:val="00A237F0"/>
    <w:rsid w:val="00A23815"/>
    <w:rsid w:val="00A2381F"/>
    <w:rsid w:val="00A23888"/>
    <w:rsid w:val="00A23894"/>
    <w:rsid w:val="00A238C2"/>
    <w:rsid w:val="00A238FF"/>
    <w:rsid w:val="00A2392A"/>
    <w:rsid w:val="00A23994"/>
    <w:rsid w:val="00A239E3"/>
    <w:rsid w:val="00A23A79"/>
    <w:rsid w:val="00A23A9B"/>
    <w:rsid w:val="00A23AA1"/>
    <w:rsid w:val="00A23AA7"/>
    <w:rsid w:val="00A23AC4"/>
    <w:rsid w:val="00A23AD7"/>
    <w:rsid w:val="00A23AFC"/>
    <w:rsid w:val="00A23B02"/>
    <w:rsid w:val="00A23B03"/>
    <w:rsid w:val="00A23B1A"/>
    <w:rsid w:val="00A23B91"/>
    <w:rsid w:val="00A23BE9"/>
    <w:rsid w:val="00A23C0E"/>
    <w:rsid w:val="00A23C43"/>
    <w:rsid w:val="00A23C51"/>
    <w:rsid w:val="00A23C5C"/>
    <w:rsid w:val="00A23C5E"/>
    <w:rsid w:val="00A23C60"/>
    <w:rsid w:val="00A23C7D"/>
    <w:rsid w:val="00A23C88"/>
    <w:rsid w:val="00A23CB5"/>
    <w:rsid w:val="00A23D26"/>
    <w:rsid w:val="00A23D5C"/>
    <w:rsid w:val="00A23E11"/>
    <w:rsid w:val="00A23F8D"/>
    <w:rsid w:val="00A23FA5"/>
    <w:rsid w:val="00A23FAD"/>
    <w:rsid w:val="00A24031"/>
    <w:rsid w:val="00A2404B"/>
    <w:rsid w:val="00A24082"/>
    <w:rsid w:val="00A2409A"/>
    <w:rsid w:val="00A240E5"/>
    <w:rsid w:val="00A2411B"/>
    <w:rsid w:val="00A24176"/>
    <w:rsid w:val="00A24177"/>
    <w:rsid w:val="00A24182"/>
    <w:rsid w:val="00A241BD"/>
    <w:rsid w:val="00A241CD"/>
    <w:rsid w:val="00A2420B"/>
    <w:rsid w:val="00A2426E"/>
    <w:rsid w:val="00A242AB"/>
    <w:rsid w:val="00A242DF"/>
    <w:rsid w:val="00A24310"/>
    <w:rsid w:val="00A24344"/>
    <w:rsid w:val="00A24350"/>
    <w:rsid w:val="00A24362"/>
    <w:rsid w:val="00A24383"/>
    <w:rsid w:val="00A243CA"/>
    <w:rsid w:val="00A243D8"/>
    <w:rsid w:val="00A244AD"/>
    <w:rsid w:val="00A244ED"/>
    <w:rsid w:val="00A244FF"/>
    <w:rsid w:val="00A24534"/>
    <w:rsid w:val="00A24541"/>
    <w:rsid w:val="00A24564"/>
    <w:rsid w:val="00A2458E"/>
    <w:rsid w:val="00A245A9"/>
    <w:rsid w:val="00A245AC"/>
    <w:rsid w:val="00A2461D"/>
    <w:rsid w:val="00A246CE"/>
    <w:rsid w:val="00A24724"/>
    <w:rsid w:val="00A24738"/>
    <w:rsid w:val="00A24787"/>
    <w:rsid w:val="00A247A3"/>
    <w:rsid w:val="00A247B5"/>
    <w:rsid w:val="00A247C0"/>
    <w:rsid w:val="00A247F3"/>
    <w:rsid w:val="00A247FE"/>
    <w:rsid w:val="00A24858"/>
    <w:rsid w:val="00A24869"/>
    <w:rsid w:val="00A24889"/>
    <w:rsid w:val="00A248A7"/>
    <w:rsid w:val="00A24932"/>
    <w:rsid w:val="00A24949"/>
    <w:rsid w:val="00A2494A"/>
    <w:rsid w:val="00A24995"/>
    <w:rsid w:val="00A249A6"/>
    <w:rsid w:val="00A249C8"/>
    <w:rsid w:val="00A249F7"/>
    <w:rsid w:val="00A24A61"/>
    <w:rsid w:val="00A24A88"/>
    <w:rsid w:val="00A24A92"/>
    <w:rsid w:val="00A24AD5"/>
    <w:rsid w:val="00A24AFA"/>
    <w:rsid w:val="00A24B01"/>
    <w:rsid w:val="00A24B34"/>
    <w:rsid w:val="00A24B47"/>
    <w:rsid w:val="00A24B5A"/>
    <w:rsid w:val="00A24B69"/>
    <w:rsid w:val="00A24B8E"/>
    <w:rsid w:val="00A24BBD"/>
    <w:rsid w:val="00A24C71"/>
    <w:rsid w:val="00A24CA7"/>
    <w:rsid w:val="00A24CD2"/>
    <w:rsid w:val="00A24D52"/>
    <w:rsid w:val="00A24D6A"/>
    <w:rsid w:val="00A24D88"/>
    <w:rsid w:val="00A24D96"/>
    <w:rsid w:val="00A24DA8"/>
    <w:rsid w:val="00A24DD9"/>
    <w:rsid w:val="00A24E17"/>
    <w:rsid w:val="00A24E34"/>
    <w:rsid w:val="00A24E6A"/>
    <w:rsid w:val="00A24EC1"/>
    <w:rsid w:val="00A24EC8"/>
    <w:rsid w:val="00A24ECF"/>
    <w:rsid w:val="00A24EE0"/>
    <w:rsid w:val="00A24F82"/>
    <w:rsid w:val="00A24F8B"/>
    <w:rsid w:val="00A24F8F"/>
    <w:rsid w:val="00A24F9B"/>
    <w:rsid w:val="00A24FC3"/>
    <w:rsid w:val="00A25024"/>
    <w:rsid w:val="00A2503F"/>
    <w:rsid w:val="00A25047"/>
    <w:rsid w:val="00A25074"/>
    <w:rsid w:val="00A250A0"/>
    <w:rsid w:val="00A250DB"/>
    <w:rsid w:val="00A250F8"/>
    <w:rsid w:val="00A25106"/>
    <w:rsid w:val="00A2514F"/>
    <w:rsid w:val="00A2518C"/>
    <w:rsid w:val="00A25195"/>
    <w:rsid w:val="00A25256"/>
    <w:rsid w:val="00A2526F"/>
    <w:rsid w:val="00A252E1"/>
    <w:rsid w:val="00A25331"/>
    <w:rsid w:val="00A25369"/>
    <w:rsid w:val="00A25386"/>
    <w:rsid w:val="00A253AA"/>
    <w:rsid w:val="00A253C9"/>
    <w:rsid w:val="00A253FB"/>
    <w:rsid w:val="00A254B2"/>
    <w:rsid w:val="00A254D0"/>
    <w:rsid w:val="00A254F9"/>
    <w:rsid w:val="00A25508"/>
    <w:rsid w:val="00A25596"/>
    <w:rsid w:val="00A255DA"/>
    <w:rsid w:val="00A25610"/>
    <w:rsid w:val="00A25644"/>
    <w:rsid w:val="00A25660"/>
    <w:rsid w:val="00A25683"/>
    <w:rsid w:val="00A256E2"/>
    <w:rsid w:val="00A256F4"/>
    <w:rsid w:val="00A25782"/>
    <w:rsid w:val="00A25785"/>
    <w:rsid w:val="00A2579D"/>
    <w:rsid w:val="00A257C5"/>
    <w:rsid w:val="00A257CD"/>
    <w:rsid w:val="00A257DC"/>
    <w:rsid w:val="00A25840"/>
    <w:rsid w:val="00A2585A"/>
    <w:rsid w:val="00A2585E"/>
    <w:rsid w:val="00A25861"/>
    <w:rsid w:val="00A25886"/>
    <w:rsid w:val="00A2589B"/>
    <w:rsid w:val="00A258D8"/>
    <w:rsid w:val="00A25962"/>
    <w:rsid w:val="00A25970"/>
    <w:rsid w:val="00A259C3"/>
    <w:rsid w:val="00A259FF"/>
    <w:rsid w:val="00A25A47"/>
    <w:rsid w:val="00A25A5F"/>
    <w:rsid w:val="00A25A82"/>
    <w:rsid w:val="00A25AD0"/>
    <w:rsid w:val="00A25AD6"/>
    <w:rsid w:val="00A25B1D"/>
    <w:rsid w:val="00A25B50"/>
    <w:rsid w:val="00A25B95"/>
    <w:rsid w:val="00A25BAE"/>
    <w:rsid w:val="00A25BD1"/>
    <w:rsid w:val="00A25BFD"/>
    <w:rsid w:val="00A25C6C"/>
    <w:rsid w:val="00A25C98"/>
    <w:rsid w:val="00A25D42"/>
    <w:rsid w:val="00A25D50"/>
    <w:rsid w:val="00A25D52"/>
    <w:rsid w:val="00A25E4C"/>
    <w:rsid w:val="00A25E56"/>
    <w:rsid w:val="00A25E62"/>
    <w:rsid w:val="00A25E83"/>
    <w:rsid w:val="00A25ED4"/>
    <w:rsid w:val="00A25F25"/>
    <w:rsid w:val="00A25F2D"/>
    <w:rsid w:val="00A25F2E"/>
    <w:rsid w:val="00A25F58"/>
    <w:rsid w:val="00A25F7B"/>
    <w:rsid w:val="00A25FD0"/>
    <w:rsid w:val="00A25FD3"/>
    <w:rsid w:val="00A25FF8"/>
    <w:rsid w:val="00A2606F"/>
    <w:rsid w:val="00A2608D"/>
    <w:rsid w:val="00A26090"/>
    <w:rsid w:val="00A260A7"/>
    <w:rsid w:val="00A260B9"/>
    <w:rsid w:val="00A260DF"/>
    <w:rsid w:val="00A2612A"/>
    <w:rsid w:val="00A26186"/>
    <w:rsid w:val="00A26197"/>
    <w:rsid w:val="00A261DE"/>
    <w:rsid w:val="00A261F2"/>
    <w:rsid w:val="00A261FA"/>
    <w:rsid w:val="00A26239"/>
    <w:rsid w:val="00A2627D"/>
    <w:rsid w:val="00A26281"/>
    <w:rsid w:val="00A262AA"/>
    <w:rsid w:val="00A262AB"/>
    <w:rsid w:val="00A262C5"/>
    <w:rsid w:val="00A262C8"/>
    <w:rsid w:val="00A262E4"/>
    <w:rsid w:val="00A2630C"/>
    <w:rsid w:val="00A2631C"/>
    <w:rsid w:val="00A2639A"/>
    <w:rsid w:val="00A263A1"/>
    <w:rsid w:val="00A263B8"/>
    <w:rsid w:val="00A263C1"/>
    <w:rsid w:val="00A2642E"/>
    <w:rsid w:val="00A26443"/>
    <w:rsid w:val="00A2644B"/>
    <w:rsid w:val="00A26497"/>
    <w:rsid w:val="00A26553"/>
    <w:rsid w:val="00A26588"/>
    <w:rsid w:val="00A265E3"/>
    <w:rsid w:val="00A265EF"/>
    <w:rsid w:val="00A265F4"/>
    <w:rsid w:val="00A26607"/>
    <w:rsid w:val="00A26622"/>
    <w:rsid w:val="00A266D1"/>
    <w:rsid w:val="00A266E9"/>
    <w:rsid w:val="00A266EF"/>
    <w:rsid w:val="00A26780"/>
    <w:rsid w:val="00A26792"/>
    <w:rsid w:val="00A26795"/>
    <w:rsid w:val="00A267CA"/>
    <w:rsid w:val="00A26850"/>
    <w:rsid w:val="00A2688E"/>
    <w:rsid w:val="00A2690C"/>
    <w:rsid w:val="00A26965"/>
    <w:rsid w:val="00A269A9"/>
    <w:rsid w:val="00A269D4"/>
    <w:rsid w:val="00A26A2B"/>
    <w:rsid w:val="00A26A73"/>
    <w:rsid w:val="00A26A80"/>
    <w:rsid w:val="00A26AE8"/>
    <w:rsid w:val="00A26AEC"/>
    <w:rsid w:val="00A26B04"/>
    <w:rsid w:val="00A26B21"/>
    <w:rsid w:val="00A26B46"/>
    <w:rsid w:val="00A26B5C"/>
    <w:rsid w:val="00A26BE0"/>
    <w:rsid w:val="00A26BE1"/>
    <w:rsid w:val="00A26BF6"/>
    <w:rsid w:val="00A26CCB"/>
    <w:rsid w:val="00A26CEB"/>
    <w:rsid w:val="00A26D38"/>
    <w:rsid w:val="00A26D4C"/>
    <w:rsid w:val="00A26D79"/>
    <w:rsid w:val="00A26DCE"/>
    <w:rsid w:val="00A26E00"/>
    <w:rsid w:val="00A26E60"/>
    <w:rsid w:val="00A26E85"/>
    <w:rsid w:val="00A26EA5"/>
    <w:rsid w:val="00A26EEC"/>
    <w:rsid w:val="00A26EF2"/>
    <w:rsid w:val="00A26F3D"/>
    <w:rsid w:val="00A26F41"/>
    <w:rsid w:val="00A26F88"/>
    <w:rsid w:val="00A26F9B"/>
    <w:rsid w:val="00A26FDB"/>
    <w:rsid w:val="00A26FDD"/>
    <w:rsid w:val="00A26FE2"/>
    <w:rsid w:val="00A27004"/>
    <w:rsid w:val="00A27015"/>
    <w:rsid w:val="00A27052"/>
    <w:rsid w:val="00A27065"/>
    <w:rsid w:val="00A270C2"/>
    <w:rsid w:val="00A270D5"/>
    <w:rsid w:val="00A270E9"/>
    <w:rsid w:val="00A27139"/>
    <w:rsid w:val="00A2714A"/>
    <w:rsid w:val="00A2716D"/>
    <w:rsid w:val="00A27184"/>
    <w:rsid w:val="00A2719D"/>
    <w:rsid w:val="00A271F0"/>
    <w:rsid w:val="00A271F2"/>
    <w:rsid w:val="00A27228"/>
    <w:rsid w:val="00A2723E"/>
    <w:rsid w:val="00A2725F"/>
    <w:rsid w:val="00A272E4"/>
    <w:rsid w:val="00A2730D"/>
    <w:rsid w:val="00A27319"/>
    <w:rsid w:val="00A2731D"/>
    <w:rsid w:val="00A27341"/>
    <w:rsid w:val="00A273A4"/>
    <w:rsid w:val="00A273BD"/>
    <w:rsid w:val="00A2740C"/>
    <w:rsid w:val="00A27443"/>
    <w:rsid w:val="00A27472"/>
    <w:rsid w:val="00A2747A"/>
    <w:rsid w:val="00A274BA"/>
    <w:rsid w:val="00A274EB"/>
    <w:rsid w:val="00A274F6"/>
    <w:rsid w:val="00A27503"/>
    <w:rsid w:val="00A2751E"/>
    <w:rsid w:val="00A27580"/>
    <w:rsid w:val="00A27595"/>
    <w:rsid w:val="00A27597"/>
    <w:rsid w:val="00A275A3"/>
    <w:rsid w:val="00A275BB"/>
    <w:rsid w:val="00A275C7"/>
    <w:rsid w:val="00A27612"/>
    <w:rsid w:val="00A27656"/>
    <w:rsid w:val="00A27660"/>
    <w:rsid w:val="00A2768A"/>
    <w:rsid w:val="00A276CE"/>
    <w:rsid w:val="00A276E8"/>
    <w:rsid w:val="00A2772F"/>
    <w:rsid w:val="00A2774C"/>
    <w:rsid w:val="00A27780"/>
    <w:rsid w:val="00A27782"/>
    <w:rsid w:val="00A277EC"/>
    <w:rsid w:val="00A27807"/>
    <w:rsid w:val="00A27894"/>
    <w:rsid w:val="00A278D8"/>
    <w:rsid w:val="00A278D9"/>
    <w:rsid w:val="00A2793D"/>
    <w:rsid w:val="00A27A2C"/>
    <w:rsid w:val="00A27AD9"/>
    <w:rsid w:val="00A27AE6"/>
    <w:rsid w:val="00A27BA4"/>
    <w:rsid w:val="00A27BBD"/>
    <w:rsid w:val="00A27C3B"/>
    <w:rsid w:val="00A27C64"/>
    <w:rsid w:val="00A27C68"/>
    <w:rsid w:val="00A27CA5"/>
    <w:rsid w:val="00A27CCD"/>
    <w:rsid w:val="00A27CE4"/>
    <w:rsid w:val="00A27CEA"/>
    <w:rsid w:val="00A27D26"/>
    <w:rsid w:val="00A27D31"/>
    <w:rsid w:val="00A27D40"/>
    <w:rsid w:val="00A27D54"/>
    <w:rsid w:val="00A27D8C"/>
    <w:rsid w:val="00A27DBF"/>
    <w:rsid w:val="00A27DC1"/>
    <w:rsid w:val="00A27DEE"/>
    <w:rsid w:val="00A27E1A"/>
    <w:rsid w:val="00A27E34"/>
    <w:rsid w:val="00A27E83"/>
    <w:rsid w:val="00A27E8C"/>
    <w:rsid w:val="00A27EC2"/>
    <w:rsid w:val="00A27EE3"/>
    <w:rsid w:val="00A27F12"/>
    <w:rsid w:val="00A27F94"/>
    <w:rsid w:val="00A3001C"/>
    <w:rsid w:val="00A30024"/>
    <w:rsid w:val="00A30032"/>
    <w:rsid w:val="00A3004E"/>
    <w:rsid w:val="00A3004F"/>
    <w:rsid w:val="00A30067"/>
    <w:rsid w:val="00A30070"/>
    <w:rsid w:val="00A3009E"/>
    <w:rsid w:val="00A3013C"/>
    <w:rsid w:val="00A3016B"/>
    <w:rsid w:val="00A301A2"/>
    <w:rsid w:val="00A301E1"/>
    <w:rsid w:val="00A3029B"/>
    <w:rsid w:val="00A302F5"/>
    <w:rsid w:val="00A30303"/>
    <w:rsid w:val="00A30313"/>
    <w:rsid w:val="00A3036A"/>
    <w:rsid w:val="00A30422"/>
    <w:rsid w:val="00A3048E"/>
    <w:rsid w:val="00A30503"/>
    <w:rsid w:val="00A3052F"/>
    <w:rsid w:val="00A30563"/>
    <w:rsid w:val="00A30568"/>
    <w:rsid w:val="00A30569"/>
    <w:rsid w:val="00A305CC"/>
    <w:rsid w:val="00A305D6"/>
    <w:rsid w:val="00A305E0"/>
    <w:rsid w:val="00A30665"/>
    <w:rsid w:val="00A3069B"/>
    <w:rsid w:val="00A306E5"/>
    <w:rsid w:val="00A306ED"/>
    <w:rsid w:val="00A306FB"/>
    <w:rsid w:val="00A30702"/>
    <w:rsid w:val="00A30711"/>
    <w:rsid w:val="00A3076F"/>
    <w:rsid w:val="00A30798"/>
    <w:rsid w:val="00A307A1"/>
    <w:rsid w:val="00A307C2"/>
    <w:rsid w:val="00A30846"/>
    <w:rsid w:val="00A3086B"/>
    <w:rsid w:val="00A30885"/>
    <w:rsid w:val="00A308AF"/>
    <w:rsid w:val="00A308B3"/>
    <w:rsid w:val="00A308DB"/>
    <w:rsid w:val="00A30951"/>
    <w:rsid w:val="00A309E8"/>
    <w:rsid w:val="00A30A54"/>
    <w:rsid w:val="00A30A6A"/>
    <w:rsid w:val="00A30A7A"/>
    <w:rsid w:val="00A30A7E"/>
    <w:rsid w:val="00A30B4A"/>
    <w:rsid w:val="00A30BEA"/>
    <w:rsid w:val="00A30BEE"/>
    <w:rsid w:val="00A30C21"/>
    <w:rsid w:val="00A30C69"/>
    <w:rsid w:val="00A30CE6"/>
    <w:rsid w:val="00A30D0F"/>
    <w:rsid w:val="00A30D5F"/>
    <w:rsid w:val="00A30E33"/>
    <w:rsid w:val="00A30E61"/>
    <w:rsid w:val="00A30EB4"/>
    <w:rsid w:val="00A30F00"/>
    <w:rsid w:val="00A30F09"/>
    <w:rsid w:val="00A30F5C"/>
    <w:rsid w:val="00A30F5D"/>
    <w:rsid w:val="00A30F98"/>
    <w:rsid w:val="00A30FFC"/>
    <w:rsid w:val="00A31066"/>
    <w:rsid w:val="00A310A7"/>
    <w:rsid w:val="00A310B5"/>
    <w:rsid w:val="00A310BA"/>
    <w:rsid w:val="00A31108"/>
    <w:rsid w:val="00A3114D"/>
    <w:rsid w:val="00A3117F"/>
    <w:rsid w:val="00A31210"/>
    <w:rsid w:val="00A3122C"/>
    <w:rsid w:val="00A31244"/>
    <w:rsid w:val="00A31246"/>
    <w:rsid w:val="00A31290"/>
    <w:rsid w:val="00A31298"/>
    <w:rsid w:val="00A3129D"/>
    <w:rsid w:val="00A312D8"/>
    <w:rsid w:val="00A312EC"/>
    <w:rsid w:val="00A31305"/>
    <w:rsid w:val="00A31347"/>
    <w:rsid w:val="00A31369"/>
    <w:rsid w:val="00A313D3"/>
    <w:rsid w:val="00A313EB"/>
    <w:rsid w:val="00A313EC"/>
    <w:rsid w:val="00A3140B"/>
    <w:rsid w:val="00A3143B"/>
    <w:rsid w:val="00A3148B"/>
    <w:rsid w:val="00A314C0"/>
    <w:rsid w:val="00A314E2"/>
    <w:rsid w:val="00A314E8"/>
    <w:rsid w:val="00A3152B"/>
    <w:rsid w:val="00A31542"/>
    <w:rsid w:val="00A31561"/>
    <w:rsid w:val="00A3156E"/>
    <w:rsid w:val="00A3157A"/>
    <w:rsid w:val="00A31582"/>
    <w:rsid w:val="00A315E2"/>
    <w:rsid w:val="00A31605"/>
    <w:rsid w:val="00A31627"/>
    <w:rsid w:val="00A31655"/>
    <w:rsid w:val="00A3166B"/>
    <w:rsid w:val="00A31675"/>
    <w:rsid w:val="00A31691"/>
    <w:rsid w:val="00A316D6"/>
    <w:rsid w:val="00A316DF"/>
    <w:rsid w:val="00A3174E"/>
    <w:rsid w:val="00A31756"/>
    <w:rsid w:val="00A31758"/>
    <w:rsid w:val="00A31760"/>
    <w:rsid w:val="00A31774"/>
    <w:rsid w:val="00A31792"/>
    <w:rsid w:val="00A31854"/>
    <w:rsid w:val="00A3185B"/>
    <w:rsid w:val="00A318C5"/>
    <w:rsid w:val="00A3192B"/>
    <w:rsid w:val="00A31948"/>
    <w:rsid w:val="00A31961"/>
    <w:rsid w:val="00A3199E"/>
    <w:rsid w:val="00A319EA"/>
    <w:rsid w:val="00A31A0E"/>
    <w:rsid w:val="00A31A85"/>
    <w:rsid w:val="00A31A99"/>
    <w:rsid w:val="00A31AA4"/>
    <w:rsid w:val="00A31AC4"/>
    <w:rsid w:val="00A31AED"/>
    <w:rsid w:val="00A31B42"/>
    <w:rsid w:val="00A31B4B"/>
    <w:rsid w:val="00A31B66"/>
    <w:rsid w:val="00A31B74"/>
    <w:rsid w:val="00A31B9F"/>
    <w:rsid w:val="00A31C3C"/>
    <w:rsid w:val="00A31C47"/>
    <w:rsid w:val="00A31C4D"/>
    <w:rsid w:val="00A31C92"/>
    <w:rsid w:val="00A31CCB"/>
    <w:rsid w:val="00A31CDB"/>
    <w:rsid w:val="00A31CE8"/>
    <w:rsid w:val="00A31CE9"/>
    <w:rsid w:val="00A31D18"/>
    <w:rsid w:val="00A31E1F"/>
    <w:rsid w:val="00A31E84"/>
    <w:rsid w:val="00A31EB1"/>
    <w:rsid w:val="00A31F43"/>
    <w:rsid w:val="00A31FDB"/>
    <w:rsid w:val="00A31FDE"/>
    <w:rsid w:val="00A31FFD"/>
    <w:rsid w:val="00A3203A"/>
    <w:rsid w:val="00A3208A"/>
    <w:rsid w:val="00A320B0"/>
    <w:rsid w:val="00A320E5"/>
    <w:rsid w:val="00A320F6"/>
    <w:rsid w:val="00A320F7"/>
    <w:rsid w:val="00A3210B"/>
    <w:rsid w:val="00A3221E"/>
    <w:rsid w:val="00A3227F"/>
    <w:rsid w:val="00A32292"/>
    <w:rsid w:val="00A322B2"/>
    <w:rsid w:val="00A322B8"/>
    <w:rsid w:val="00A322C1"/>
    <w:rsid w:val="00A32313"/>
    <w:rsid w:val="00A32353"/>
    <w:rsid w:val="00A323AD"/>
    <w:rsid w:val="00A323C9"/>
    <w:rsid w:val="00A32408"/>
    <w:rsid w:val="00A32413"/>
    <w:rsid w:val="00A32439"/>
    <w:rsid w:val="00A324B0"/>
    <w:rsid w:val="00A324BD"/>
    <w:rsid w:val="00A324BE"/>
    <w:rsid w:val="00A324E4"/>
    <w:rsid w:val="00A324EE"/>
    <w:rsid w:val="00A324FC"/>
    <w:rsid w:val="00A324FD"/>
    <w:rsid w:val="00A32519"/>
    <w:rsid w:val="00A32571"/>
    <w:rsid w:val="00A3258E"/>
    <w:rsid w:val="00A325C0"/>
    <w:rsid w:val="00A325CC"/>
    <w:rsid w:val="00A32677"/>
    <w:rsid w:val="00A326E4"/>
    <w:rsid w:val="00A32741"/>
    <w:rsid w:val="00A3274E"/>
    <w:rsid w:val="00A3278B"/>
    <w:rsid w:val="00A327AD"/>
    <w:rsid w:val="00A32828"/>
    <w:rsid w:val="00A328AA"/>
    <w:rsid w:val="00A3290A"/>
    <w:rsid w:val="00A32948"/>
    <w:rsid w:val="00A3295A"/>
    <w:rsid w:val="00A32973"/>
    <w:rsid w:val="00A32989"/>
    <w:rsid w:val="00A32AAD"/>
    <w:rsid w:val="00A32AC0"/>
    <w:rsid w:val="00A32AC6"/>
    <w:rsid w:val="00A32ADE"/>
    <w:rsid w:val="00A32B1C"/>
    <w:rsid w:val="00A32B1E"/>
    <w:rsid w:val="00A32B5E"/>
    <w:rsid w:val="00A32BAB"/>
    <w:rsid w:val="00A32BAF"/>
    <w:rsid w:val="00A32BEC"/>
    <w:rsid w:val="00A32C00"/>
    <w:rsid w:val="00A32C0E"/>
    <w:rsid w:val="00A32C54"/>
    <w:rsid w:val="00A32CA3"/>
    <w:rsid w:val="00A32CC6"/>
    <w:rsid w:val="00A32CDB"/>
    <w:rsid w:val="00A32D34"/>
    <w:rsid w:val="00A32D84"/>
    <w:rsid w:val="00A32DC7"/>
    <w:rsid w:val="00A32DED"/>
    <w:rsid w:val="00A32E10"/>
    <w:rsid w:val="00A32E32"/>
    <w:rsid w:val="00A32E44"/>
    <w:rsid w:val="00A32E65"/>
    <w:rsid w:val="00A32E9F"/>
    <w:rsid w:val="00A32EAD"/>
    <w:rsid w:val="00A32EE7"/>
    <w:rsid w:val="00A32F67"/>
    <w:rsid w:val="00A32F7E"/>
    <w:rsid w:val="00A32F8A"/>
    <w:rsid w:val="00A32FC2"/>
    <w:rsid w:val="00A32FD7"/>
    <w:rsid w:val="00A330CB"/>
    <w:rsid w:val="00A33167"/>
    <w:rsid w:val="00A3318C"/>
    <w:rsid w:val="00A332F0"/>
    <w:rsid w:val="00A333B9"/>
    <w:rsid w:val="00A333BB"/>
    <w:rsid w:val="00A333EA"/>
    <w:rsid w:val="00A333F2"/>
    <w:rsid w:val="00A333FF"/>
    <w:rsid w:val="00A3340E"/>
    <w:rsid w:val="00A33418"/>
    <w:rsid w:val="00A33443"/>
    <w:rsid w:val="00A3345C"/>
    <w:rsid w:val="00A334B0"/>
    <w:rsid w:val="00A334B5"/>
    <w:rsid w:val="00A334B7"/>
    <w:rsid w:val="00A334C6"/>
    <w:rsid w:val="00A334CB"/>
    <w:rsid w:val="00A33538"/>
    <w:rsid w:val="00A33604"/>
    <w:rsid w:val="00A3361B"/>
    <w:rsid w:val="00A33658"/>
    <w:rsid w:val="00A3366B"/>
    <w:rsid w:val="00A3366D"/>
    <w:rsid w:val="00A336CA"/>
    <w:rsid w:val="00A336DE"/>
    <w:rsid w:val="00A336EF"/>
    <w:rsid w:val="00A3371E"/>
    <w:rsid w:val="00A33748"/>
    <w:rsid w:val="00A3374E"/>
    <w:rsid w:val="00A33757"/>
    <w:rsid w:val="00A33771"/>
    <w:rsid w:val="00A337BB"/>
    <w:rsid w:val="00A337FD"/>
    <w:rsid w:val="00A33800"/>
    <w:rsid w:val="00A3380B"/>
    <w:rsid w:val="00A3383D"/>
    <w:rsid w:val="00A33844"/>
    <w:rsid w:val="00A33898"/>
    <w:rsid w:val="00A338B4"/>
    <w:rsid w:val="00A33972"/>
    <w:rsid w:val="00A339B6"/>
    <w:rsid w:val="00A339E7"/>
    <w:rsid w:val="00A33A19"/>
    <w:rsid w:val="00A33A24"/>
    <w:rsid w:val="00A33A52"/>
    <w:rsid w:val="00A33A60"/>
    <w:rsid w:val="00A33AAC"/>
    <w:rsid w:val="00A33AD4"/>
    <w:rsid w:val="00A33B93"/>
    <w:rsid w:val="00A33BA2"/>
    <w:rsid w:val="00A33C49"/>
    <w:rsid w:val="00A33C5D"/>
    <w:rsid w:val="00A33C82"/>
    <w:rsid w:val="00A33CFA"/>
    <w:rsid w:val="00A33D23"/>
    <w:rsid w:val="00A33D4A"/>
    <w:rsid w:val="00A33D8C"/>
    <w:rsid w:val="00A33DBC"/>
    <w:rsid w:val="00A33DF9"/>
    <w:rsid w:val="00A33E15"/>
    <w:rsid w:val="00A33E16"/>
    <w:rsid w:val="00A33E69"/>
    <w:rsid w:val="00A33E6D"/>
    <w:rsid w:val="00A33FA9"/>
    <w:rsid w:val="00A34015"/>
    <w:rsid w:val="00A34038"/>
    <w:rsid w:val="00A3405B"/>
    <w:rsid w:val="00A34069"/>
    <w:rsid w:val="00A340A4"/>
    <w:rsid w:val="00A340E8"/>
    <w:rsid w:val="00A34126"/>
    <w:rsid w:val="00A341BB"/>
    <w:rsid w:val="00A341E1"/>
    <w:rsid w:val="00A341E6"/>
    <w:rsid w:val="00A34233"/>
    <w:rsid w:val="00A3423C"/>
    <w:rsid w:val="00A3423E"/>
    <w:rsid w:val="00A342B1"/>
    <w:rsid w:val="00A342D3"/>
    <w:rsid w:val="00A34309"/>
    <w:rsid w:val="00A34394"/>
    <w:rsid w:val="00A343C8"/>
    <w:rsid w:val="00A34453"/>
    <w:rsid w:val="00A34464"/>
    <w:rsid w:val="00A344C9"/>
    <w:rsid w:val="00A344EE"/>
    <w:rsid w:val="00A344FA"/>
    <w:rsid w:val="00A34514"/>
    <w:rsid w:val="00A34523"/>
    <w:rsid w:val="00A34533"/>
    <w:rsid w:val="00A3455B"/>
    <w:rsid w:val="00A3458E"/>
    <w:rsid w:val="00A3466C"/>
    <w:rsid w:val="00A34678"/>
    <w:rsid w:val="00A346D7"/>
    <w:rsid w:val="00A346F2"/>
    <w:rsid w:val="00A34717"/>
    <w:rsid w:val="00A34726"/>
    <w:rsid w:val="00A34755"/>
    <w:rsid w:val="00A34762"/>
    <w:rsid w:val="00A347BF"/>
    <w:rsid w:val="00A347EF"/>
    <w:rsid w:val="00A347FC"/>
    <w:rsid w:val="00A348C1"/>
    <w:rsid w:val="00A348EF"/>
    <w:rsid w:val="00A3492A"/>
    <w:rsid w:val="00A3492E"/>
    <w:rsid w:val="00A34950"/>
    <w:rsid w:val="00A34975"/>
    <w:rsid w:val="00A34990"/>
    <w:rsid w:val="00A349B1"/>
    <w:rsid w:val="00A34A1F"/>
    <w:rsid w:val="00A34A31"/>
    <w:rsid w:val="00A34AAE"/>
    <w:rsid w:val="00A34AE8"/>
    <w:rsid w:val="00A34B1A"/>
    <w:rsid w:val="00A34B23"/>
    <w:rsid w:val="00A34B24"/>
    <w:rsid w:val="00A34B42"/>
    <w:rsid w:val="00A34B59"/>
    <w:rsid w:val="00A34B67"/>
    <w:rsid w:val="00A34B6D"/>
    <w:rsid w:val="00A34B71"/>
    <w:rsid w:val="00A34B96"/>
    <w:rsid w:val="00A34C45"/>
    <w:rsid w:val="00A34CDB"/>
    <w:rsid w:val="00A34CFB"/>
    <w:rsid w:val="00A34D5D"/>
    <w:rsid w:val="00A34D78"/>
    <w:rsid w:val="00A34D9D"/>
    <w:rsid w:val="00A34DAD"/>
    <w:rsid w:val="00A34DC1"/>
    <w:rsid w:val="00A34DCC"/>
    <w:rsid w:val="00A34DE8"/>
    <w:rsid w:val="00A34E17"/>
    <w:rsid w:val="00A34E6F"/>
    <w:rsid w:val="00A34ED8"/>
    <w:rsid w:val="00A34FA0"/>
    <w:rsid w:val="00A34FC2"/>
    <w:rsid w:val="00A34FDF"/>
    <w:rsid w:val="00A35000"/>
    <w:rsid w:val="00A3500B"/>
    <w:rsid w:val="00A3503D"/>
    <w:rsid w:val="00A35081"/>
    <w:rsid w:val="00A3516B"/>
    <w:rsid w:val="00A3517E"/>
    <w:rsid w:val="00A351AE"/>
    <w:rsid w:val="00A351C3"/>
    <w:rsid w:val="00A351CB"/>
    <w:rsid w:val="00A351D6"/>
    <w:rsid w:val="00A352D1"/>
    <w:rsid w:val="00A352F5"/>
    <w:rsid w:val="00A3538E"/>
    <w:rsid w:val="00A353C2"/>
    <w:rsid w:val="00A353CF"/>
    <w:rsid w:val="00A354A3"/>
    <w:rsid w:val="00A354B7"/>
    <w:rsid w:val="00A3552E"/>
    <w:rsid w:val="00A355AF"/>
    <w:rsid w:val="00A35643"/>
    <w:rsid w:val="00A3569A"/>
    <w:rsid w:val="00A356A0"/>
    <w:rsid w:val="00A356E9"/>
    <w:rsid w:val="00A356F1"/>
    <w:rsid w:val="00A356FB"/>
    <w:rsid w:val="00A3573B"/>
    <w:rsid w:val="00A35765"/>
    <w:rsid w:val="00A3576D"/>
    <w:rsid w:val="00A35776"/>
    <w:rsid w:val="00A35805"/>
    <w:rsid w:val="00A35836"/>
    <w:rsid w:val="00A3583E"/>
    <w:rsid w:val="00A35850"/>
    <w:rsid w:val="00A358A9"/>
    <w:rsid w:val="00A358B1"/>
    <w:rsid w:val="00A358C1"/>
    <w:rsid w:val="00A3597B"/>
    <w:rsid w:val="00A35987"/>
    <w:rsid w:val="00A359A1"/>
    <w:rsid w:val="00A359C6"/>
    <w:rsid w:val="00A359DA"/>
    <w:rsid w:val="00A359F1"/>
    <w:rsid w:val="00A359FC"/>
    <w:rsid w:val="00A35A04"/>
    <w:rsid w:val="00A35A17"/>
    <w:rsid w:val="00A35B0F"/>
    <w:rsid w:val="00A35B72"/>
    <w:rsid w:val="00A35B81"/>
    <w:rsid w:val="00A35BF7"/>
    <w:rsid w:val="00A35C30"/>
    <w:rsid w:val="00A35C3C"/>
    <w:rsid w:val="00A35C40"/>
    <w:rsid w:val="00A35CA2"/>
    <w:rsid w:val="00A35CAC"/>
    <w:rsid w:val="00A35CAD"/>
    <w:rsid w:val="00A35D3D"/>
    <w:rsid w:val="00A35D3F"/>
    <w:rsid w:val="00A35D44"/>
    <w:rsid w:val="00A35DA7"/>
    <w:rsid w:val="00A35E71"/>
    <w:rsid w:val="00A35E7E"/>
    <w:rsid w:val="00A35E8F"/>
    <w:rsid w:val="00A35F13"/>
    <w:rsid w:val="00A35F5D"/>
    <w:rsid w:val="00A35F81"/>
    <w:rsid w:val="00A35FF3"/>
    <w:rsid w:val="00A36054"/>
    <w:rsid w:val="00A3605C"/>
    <w:rsid w:val="00A3608D"/>
    <w:rsid w:val="00A3609B"/>
    <w:rsid w:val="00A360D6"/>
    <w:rsid w:val="00A360E0"/>
    <w:rsid w:val="00A36103"/>
    <w:rsid w:val="00A36114"/>
    <w:rsid w:val="00A36116"/>
    <w:rsid w:val="00A361C0"/>
    <w:rsid w:val="00A361CD"/>
    <w:rsid w:val="00A361F6"/>
    <w:rsid w:val="00A36208"/>
    <w:rsid w:val="00A36297"/>
    <w:rsid w:val="00A362F0"/>
    <w:rsid w:val="00A3631C"/>
    <w:rsid w:val="00A3632B"/>
    <w:rsid w:val="00A36370"/>
    <w:rsid w:val="00A36385"/>
    <w:rsid w:val="00A36398"/>
    <w:rsid w:val="00A3639D"/>
    <w:rsid w:val="00A363B2"/>
    <w:rsid w:val="00A363E0"/>
    <w:rsid w:val="00A363F0"/>
    <w:rsid w:val="00A36411"/>
    <w:rsid w:val="00A3642C"/>
    <w:rsid w:val="00A364E1"/>
    <w:rsid w:val="00A3652A"/>
    <w:rsid w:val="00A3654B"/>
    <w:rsid w:val="00A36580"/>
    <w:rsid w:val="00A365B5"/>
    <w:rsid w:val="00A365C0"/>
    <w:rsid w:val="00A36609"/>
    <w:rsid w:val="00A36619"/>
    <w:rsid w:val="00A36659"/>
    <w:rsid w:val="00A3665F"/>
    <w:rsid w:val="00A3667B"/>
    <w:rsid w:val="00A3667D"/>
    <w:rsid w:val="00A366AB"/>
    <w:rsid w:val="00A366B4"/>
    <w:rsid w:val="00A366F6"/>
    <w:rsid w:val="00A36709"/>
    <w:rsid w:val="00A367ED"/>
    <w:rsid w:val="00A3685C"/>
    <w:rsid w:val="00A36874"/>
    <w:rsid w:val="00A36882"/>
    <w:rsid w:val="00A36936"/>
    <w:rsid w:val="00A36943"/>
    <w:rsid w:val="00A369A7"/>
    <w:rsid w:val="00A369F5"/>
    <w:rsid w:val="00A369FB"/>
    <w:rsid w:val="00A36A12"/>
    <w:rsid w:val="00A36A34"/>
    <w:rsid w:val="00A36A73"/>
    <w:rsid w:val="00A36A99"/>
    <w:rsid w:val="00A36A9A"/>
    <w:rsid w:val="00A36AD2"/>
    <w:rsid w:val="00A36AF2"/>
    <w:rsid w:val="00A36AF5"/>
    <w:rsid w:val="00A36BCD"/>
    <w:rsid w:val="00A36C16"/>
    <w:rsid w:val="00A36C7C"/>
    <w:rsid w:val="00A36C83"/>
    <w:rsid w:val="00A36C8E"/>
    <w:rsid w:val="00A36C9B"/>
    <w:rsid w:val="00A36CA6"/>
    <w:rsid w:val="00A36CB5"/>
    <w:rsid w:val="00A36CC7"/>
    <w:rsid w:val="00A36CC9"/>
    <w:rsid w:val="00A36CE1"/>
    <w:rsid w:val="00A36CEE"/>
    <w:rsid w:val="00A36D19"/>
    <w:rsid w:val="00A36D60"/>
    <w:rsid w:val="00A36DC4"/>
    <w:rsid w:val="00A36E4C"/>
    <w:rsid w:val="00A36E5F"/>
    <w:rsid w:val="00A36ECB"/>
    <w:rsid w:val="00A36F05"/>
    <w:rsid w:val="00A36F4D"/>
    <w:rsid w:val="00A36F81"/>
    <w:rsid w:val="00A36FE0"/>
    <w:rsid w:val="00A37065"/>
    <w:rsid w:val="00A37069"/>
    <w:rsid w:val="00A370E3"/>
    <w:rsid w:val="00A37113"/>
    <w:rsid w:val="00A371D5"/>
    <w:rsid w:val="00A371FB"/>
    <w:rsid w:val="00A37248"/>
    <w:rsid w:val="00A372B1"/>
    <w:rsid w:val="00A3730D"/>
    <w:rsid w:val="00A37336"/>
    <w:rsid w:val="00A3734E"/>
    <w:rsid w:val="00A37361"/>
    <w:rsid w:val="00A373C1"/>
    <w:rsid w:val="00A373E6"/>
    <w:rsid w:val="00A373E9"/>
    <w:rsid w:val="00A37406"/>
    <w:rsid w:val="00A374D8"/>
    <w:rsid w:val="00A374F6"/>
    <w:rsid w:val="00A3751A"/>
    <w:rsid w:val="00A37552"/>
    <w:rsid w:val="00A3758A"/>
    <w:rsid w:val="00A37697"/>
    <w:rsid w:val="00A376A5"/>
    <w:rsid w:val="00A376B3"/>
    <w:rsid w:val="00A376B5"/>
    <w:rsid w:val="00A376B9"/>
    <w:rsid w:val="00A376CD"/>
    <w:rsid w:val="00A3774B"/>
    <w:rsid w:val="00A37789"/>
    <w:rsid w:val="00A3778E"/>
    <w:rsid w:val="00A37798"/>
    <w:rsid w:val="00A377AC"/>
    <w:rsid w:val="00A377EE"/>
    <w:rsid w:val="00A377F7"/>
    <w:rsid w:val="00A37840"/>
    <w:rsid w:val="00A378AC"/>
    <w:rsid w:val="00A378D6"/>
    <w:rsid w:val="00A37944"/>
    <w:rsid w:val="00A379A3"/>
    <w:rsid w:val="00A37A65"/>
    <w:rsid w:val="00A37A97"/>
    <w:rsid w:val="00A37A9F"/>
    <w:rsid w:val="00A37AA6"/>
    <w:rsid w:val="00A37AB0"/>
    <w:rsid w:val="00A37ACF"/>
    <w:rsid w:val="00A37AD1"/>
    <w:rsid w:val="00A37B28"/>
    <w:rsid w:val="00A37B58"/>
    <w:rsid w:val="00A37B73"/>
    <w:rsid w:val="00A37BE8"/>
    <w:rsid w:val="00A37C65"/>
    <w:rsid w:val="00A37CB4"/>
    <w:rsid w:val="00A37CF4"/>
    <w:rsid w:val="00A37D5F"/>
    <w:rsid w:val="00A37DB1"/>
    <w:rsid w:val="00A37DB6"/>
    <w:rsid w:val="00A37DED"/>
    <w:rsid w:val="00A37DF7"/>
    <w:rsid w:val="00A37DFA"/>
    <w:rsid w:val="00A37E38"/>
    <w:rsid w:val="00A37E66"/>
    <w:rsid w:val="00A37E8E"/>
    <w:rsid w:val="00A37EAB"/>
    <w:rsid w:val="00A37F10"/>
    <w:rsid w:val="00A37F1B"/>
    <w:rsid w:val="00A37F26"/>
    <w:rsid w:val="00A37F51"/>
    <w:rsid w:val="00A37FE3"/>
    <w:rsid w:val="00A4007E"/>
    <w:rsid w:val="00A40097"/>
    <w:rsid w:val="00A400D6"/>
    <w:rsid w:val="00A400E2"/>
    <w:rsid w:val="00A400EA"/>
    <w:rsid w:val="00A400F3"/>
    <w:rsid w:val="00A400F7"/>
    <w:rsid w:val="00A40133"/>
    <w:rsid w:val="00A40141"/>
    <w:rsid w:val="00A40144"/>
    <w:rsid w:val="00A401A3"/>
    <w:rsid w:val="00A401E4"/>
    <w:rsid w:val="00A40206"/>
    <w:rsid w:val="00A4024B"/>
    <w:rsid w:val="00A40264"/>
    <w:rsid w:val="00A402D4"/>
    <w:rsid w:val="00A402F9"/>
    <w:rsid w:val="00A4032A"/>
    <w:rsid w:val="00A403AD"/>
    <w:rsid w:val="00A403DC"/>
    <w:rsid w:val="00A40479"/>
    <w:rsid w:val="00A404EA"/>
    <w:rsid w:val="00A40504"/>
    <w:rsid w:val="00A4054C"/>
    <w:rsid w:val="00A4059A"/>
    <w:rsid w:val="00A405A7"/>
    <w:rsid w:val="00A405C9"/>
    <w:rsid w:val="00A4069D"/>
    <w:rsid w:val="00A406DA"/>
    <w:rsid w:val="00A406E6"/>
    <w:rsid w:val="00A407AF"/>
    <w:rsid w:val="00A407F5"/>
    <w:rsid w:val="00A40839"/>
    <w:rsid w:val="00A408A2"/>
    <w:rsid w:val="00A408B6"/>
    <w:rsid w:val="00A408B8"/>
    <w:rsid w:val="00A408C6"/>
    <w:rsid w:val="00A408EE"/>
    <w:rsid w:val="00A40944"/>
    <w:rsid w:val="00A40958"/>
    <w:rsid w:val="00A409BE"/>
    <w:rsid w:val="00A409F2"/>
    <w:rsid w:val="00A40A26"/>
    <w:rsid w:val="00A40A53"/>
    <w:rsid w:val="00A40A70"/>
    <w:rsid w:val="00A40A73"/>
    <w:rsid w:val="00A40ADF"/>
    <w:rsid w:val="00A40AED"/>
    <w:rsid w:val="00A40B38"/>
    <w:rsid w:val="00A40B56"/>
    <w:rsid w:val="00A40B59"/>
    <w:rsid w:val="00A40B79"/>
    <w:rsid w:val="00A40B8B"/>
    <w:rsid w:val="00A40B93"/>
    <w:rsid w:val="00A40BAC"/>
    <w:rsid w:val="00A40C03"/>
    <w:rsid w:val="00A40C49"/>
    <w:rsid w:val="00A40C4F"/>
    <w:rsid w:val="00A40CA8"/>
    <w:rsid w:val="00A40CEB"/>
    <w:rsid w:val="00A40CF1"/>
    <w:rsid w:val="00A40CFF"/>
    <w:rsid w:val="00A40D0F"/>
    <w:rsid w:val="00A40DA5"/>
    <w:rsid w:val="00A40DB2"/>
    <w:rsid w:val="00A40DE1"/>
    <w:rsid w:val="00A40E2B"/>
    <w:rsid w:val="00A40E38"/>
    <w:rsid w:val="00A40E45"/>
    <w:rsid w:val="00A40E54"/>
    <w:rsid w:val="00A40E63"/>
    <w:rsid w:val="00A40E75"/>
    <w:rsid w:val="00A40E7C"/>
    <w:rsid w:val="00A40EBC"/>
    <w:rsid w:val="00A40EDF"/>
    <w:rsid w:val="00A40EF5"/>
    <w:rsid w:val="00A40F27"/>
    <w:rsid w:val="00A40F29"/>
    <w:rsid w:val="00A40F2B"/>
    <w:rsid w:val="00A40F53"/>
    <w:rsid w:val="00A40F5B"/>
    <w:rsid w:val="00A40F5C"/>
    <w:rsid w:val="00A40F9F"/>
    <w:rsid w:val="00A40FE0"/>
    <w:rsid w:val="00A40FFC"/>
    <w:rsid w:val="00A41006"/>
    <w:rsid w:val="00A41068"/>
    <w:rsid w:val="00A41071"/>
    <w:rsid w:val="00A41077"/>
    <w:rsid w:val="00A41080"/>
    <w:rsid w:val="00A41088"/>
    <w:rsid w:val="00A4108C"/>
    <w:rsid w:val="00A41134"/>
    <w:rsid w:val="00A4116B"/>
    <w:rsid w:val="00A411A7"/>
    <w:rsid w:val="00A411A9"/>
    <w:rsid w:val="00A411D8"/>
    <w:rsid w:val="00A4121D"/>
    <w:rsid w:val="00A41223"/>
    <w:rsid w:val="00A41231"/>
    <w:rsid w:val="00A4123B"/>
    <w:rsid w:val="00A41278"/>
    <w:rsid w:val="00A412D8"/>
    <w:rsid w:val="00A41333"/>
    <w:rsid w:val="00A4134B"/>
    <w:rsid w:val="00A41396"/>
    <w:rsid w:val="00A413EF"/>
    <w:rsid w:val="00A41440"/>
    <w:rsid w:val="00A41448"/>
    <w:rsid w:val="00A4144F"/>
    <w:rsid w:val="00A4145E"/>
    <w:rsid w:val="00A41482"/>
    <w:rsid w:val="00A41486"/>
    <w:rsid w:val="00A414EA"/>
    <w:rsid w:val="00A4160C"/>
    <w:rsid w:val="00A41610"/>
    <w:rsid w:val="00A41612"/>
    <w:rsid w:val="00A41673"/>
    <w:rsid w:val="00A416A0"/>
    <w:rsid w:val="00A416CE"/>
    <w:rsid w:val="00A4172B"/>
    <w:rsid w:val="00A4173D"/>
    <w:rsid w:val="00A41746"/>
    <w:rsid w:val="00A4179B"/>
    <w:rsid w:val="00A417AD"/>
    <w:rsid w:val="00A417D1"/>
    <w:rsid w:val="00A417FF"/>
    <w:rsid w:val="00A41898"/>
    <w:rsid w:val="00A418CF"/>
    <w:rsid w:val="00A418DC"/>
    <w:rsid w:val="00A418E7"/>
    <w:rsid w:val="00A418F0"/>
    <w:rsid w:val="00A418F2"/>
    <w:rsid w:val="00A41905"/>
    <w:rsid w:val="00A4191F"/>
    <w:rsid w:val="00A419BE"/>
    <w:rsid w:val="00A419DA"/>
    <w:rsid w:val="00A419DC"/>
    <w:rsid w:val="00A41A0B"/>
    <w:rsid w:val="00A41A1F"/>
    <w:rsid w:val="00A41AA8"/>
    <w:rsid w:val="00A41AB0"/>
    <w:rsid w:val="00A41AD0"/>
    <w:rsid w:val="00A41B10"/>
    <w:rsid w:val="00A41B14"/>
    <w:rsid w:val="00A41B2A"/>
    <w:rsid w:val="00A41BBB"/>
    <w:rsid w:val="00A41BE5"/>
    <w:rsid w:val="00A41BF2"/>
    <w:rsid w:val="00A41C06"/>
    <w:rsid w:val="00A41C78"/>
    <w:rsid w:val="00A41C86"/>
    <w:rsid w:val="00A41C8C"/>
    <w:rsid w:val="00A41C8D"/>
    <w:rsid w:val="00A41CBB"/>
    <w:rsid w:val="00A41D20"/>
    <w:rsid w:val="00A41D41"/>
    <w:rsid w:val="00A41DDD"/>
    <w:rsid w:val="00A41DE2"/>
    <w:rsid w:val="00A41DF5"/>
    <w:rsid w:val="00A41E77"/>
    <w:rsid w:val="00A41EDF"/>
    <w:rsid w:val="00A41EE5"/>
    <w:rsid w:val="00A41EF8"/>
    <w:rsid w:val="00A41F36"/>
    <w:rsid w:val="00A41F3E"/>
    <w:rsid w:val="00A41FB0"/>
    <w:rsid w:val="00A42035"/>
    <w:rsid w:val="00A42053"/>
    <w:rsid w:val="00A4207D"/>
    <w:rsid w:val="00A420BB"/>
    <w:rsid w:val="00A420C0"/>
    <w:rsid w:val="00A420C3"/>
    <w:rsid w:val="00A420EB"/>
    <w:rsid w:val="00A42144"/>
    <w:rsid w:val="00A421A4"/>
    <w:rsid w:val="00A42217"/>
    <w:rsid w:val="00A422BA"/>
    <w:rsid w:val="00A422E9"/>
    <w:rsid w:val="00A42331"/>
    <w:rsid w:val="00A4234C"/>
    <w:rsid w:val="00A4237F"/>
    <w:rsid w:val="00A4245B"/>
    <w:rsid w:val="00A42464"/>
    <w:rsid w:val="00A424BC"/>
    <w:rsid w:val="00A42504"/>
    <w:rsid w:val="00A4254A"/>
    <w:rsid w:val="00A42554"/>
    <w:rsid w:val="00A4258E"/>
    <w:rsid w:val="00A425B3"/>
    <w:rsid w:val="00A425B4"/>
    <w:rsid w:val="00A425F2"/>
    <w:rsid w:val="00A425F6"/>
    <w:rsid w:val="00A42607"/>
    <w:rsid w:val="00A42614"/>
    <w:rsid w:val="00A42615"/>
    <w:rsid w:val="00A42617"/>
    <w:rsid w:val="00A42624"/>
    <w:rsid w:val="00A42638"/>
    <w:rsid w:val="00A4265A"/>
    <w:rsid w:val="00A426C5"/>
    <w:rsid w:val="00A427AE"/>
    <w:rsid w:val="00A427BF"/>
    <w:rsid w:val="00A427E0"/>
    <w:rsid w:val="00A42834"/>
    <w:rsid w:val="00A42848"/>
    <w:rsid w:val="00A42858"/>
    <w:rsid w:val="00A42888"/>
    <w:rsid w:val="00A428DD"/>
    <w:rsid w:val="00A42912"/>
    <w:rsid w:val="00A42950"/>
    <w:rsid w:val="00A4295F"/>
    <w:rsid w:val="00A4298A"/>
    <w:rsid w:val="00A429F2"/>
    <w:rsid w:val="00A42A0F"/>
    <w:rsid w:val="00A42AD8"/>
    <w:rsid w:val="00A42B16"/>
    <w:rsid w:val="00A42B19"/>
    <w:rsid w:val="00A42BD1"/>
    <w:rsid w:val="00A42BF0"/>
    <w:rsid w:val="00A42C21"/>
    <w:rsid w:val="00A42C2C"/>
    <w:rsid w:val="00A42C4C"/>
    <w:rsid w:val="00A42C50"/>
    <w:rsid w:val="00A42C7F"/>
    <w:rsid w:val="00A42CE1"/>
    <w:rsid w:val="00A42D1A"/>
    <w:rsid w:val="00A42D5E"/>
    <w:rsid w:val="00A42DAD"/>
    <w:rsid w:val="00A42DB7"/>
    <w:rsid w:val="00A42DBF"/>
    <w:rsid w:val="00A42DE7"/>
    <w:rsid w:val="00A42E0B"/>
    <w:rsid w:val="00A42E0D"/>
    <w:rsid w:val="00A42E44"/>
    <w:rsid w:val="00A42E67"/>
    <w:rsid w:val="00A42E89"/>
    <w:rsid w:val="00A42F5B"/>
    <w:rsid w:val="00A42FAA"/>
    <w:rsid w:val="00A42FBA"/>
    <w:rsid w:val="00A42FC7"/>
    <w:rsid w:val="00A42FD5"/>
    <w:rsid w:val="00A43096"/>
    <w:rsid w:val="00A4311C"/>
    <w:rsid w:val="00A43128"/>
    <w:rsid w:val="00A43165"/>
    <w:rsid w:val="00A4320E"/>
    <w:rsid w:val="00A4321B"/>
    <w:rsid w:val="00A4322C"/>
    <w:rsid w:val="00A4322F"/>
    <w:rsid w:val="00A43243"/>
    <w:rsid w:val="00A43245"/>
    <w:rsid w:val="00A43253"/>
    <w:rsid w:val="00A43268"/>
    <w:rsid w:val="00A432D4"/>
    <w:rsid w:val="00A4332C"/>
    <w:rsid w:val="00A43399"/>
    <w:rsid w:val="00A433C1"/>
    <w:rsid w:val="00A433CC"/>
    <w:rsid w:val="00A433E5"/>
    <w:rsid w:val="00A43434"/>
    <w:rsid w:val="00A43438"/>
    <w:rsid w:val="00A4343F"/>
    <w:rsid w:val="00A4348B"/>
    <w:rsid w:val="00A4348D"/>
    <w:rsid w:val="00A434A7"/>
    <w:rsid w:val="00A434E9"/>
    <w:rsid w:val="00A4352D"/>
    <w:rsid w:val="00A4354F"/>
    <w:rsid w:val="00A435B8"/>
    <w:rsid w:val="00A435BD"/>
    <w:rsid w:val="00A4362E"/>
    <w:rsid w:val="00A4367F"/>
    <w:rsid w:val="00A436BB"/>
    <w:rsid w:val="00A436DA"/>
    <w:rsid w:val="00A436DC"/>
    <w:rsid w:val="00A436EB"/>
    <w:rsid w:val="00A436FA"/>
    <w:rsid w:val="00A43717"/>
    <w:rsid w:val="00A4371D"/>
    <w:rsid w:val="00A43723"/>
    <w:rsid w:val="00A43733"/>
    <w:rsid w:val="00A4373F"/>
    <w:rsid w:val="00A4379F"/>
    <w:rsid w:val="00A437B7"/>
    <w:rsid w:val="00A437FC"/>
    <w:rsid w:val="00A4380E"/>
    <w:rsid w:val="00A43854"/>
    <w:rsid w:val="00A438C6"/>
    <w:rsid w:val="00A438EE"/>
    <w:rsid w:val="00A43974"/>
    <w:rsid w:val="00A43992"/>
    <w:rsid w:val="00A439B9"/>
    <w:rsid w:val="00A439BC"/>
    <w:rsid w:val="00A439E6"/>
    <w:rsid w:val="00A439EF"/>
    <w:rsid w:val="00A43A2A"/>
    <w:rsid w:val="00A43A57"/>
    <w:rsid w:val="00A43A62"/>
    <w:rsid w:val="00A43A6C"/>
    <w:rsid w:val="00A43A7B"/>
    <w:rsid w:val="00A43A8D"/>
    <w:rsid w:val="00A43B82"/>
    <w:rsid w:val="00A43BB3"/>
    <w:rsid w:val="00A43BE4"/>
    <w:rsid w:val="00A43C42"/>
    <w:rsid w:val="00A43C66"/>
    <w:rsid w:val="00A43C6C"/>
    <w:rsid w:val="00A43CB7"/>
    <w:rsid w:val="00A43D89"/>
    <w:rsid w:val="00A43DB5"/>
    <w:rsid w:val="00A43DD3"/>
    <w:rsid w:val="00A43DE0"/>
    <w:rsid w:val="00A43E03"/>
    <w:rsid w:val="00A43EB9"/>
    <w:rsid w:val="00A43ED5"/>
    <w:rsid w:val="00A43F2B"/>
    <w:rsid w:val="00A43F45"/>
    <w:rsid w:val="00A43F9E"/>
    <w:rsid w:val="00A44051"/>
    <w:rsid w:val="00A44091"/>
    <w:rsid w:val="00A440F0"/>
    <w:rsid w:val="00A440F4"/>
    <w:rsid w:val="00A4410D"/>
    <w:rsid w:val="00A441A8"/>
    <w:rsid w:val="00A441B3"/>
    <w:rsid w:val="00A441FF"/>
    <w:rsid w:val="00A4421D"/>
    <w:rsid w:val="00A44224"/>
    <w:rsid w:val="00A4426B"/>
    <w:rsid w:val="00A44289"/>
    <w:rsid w:val="00A4428B"/>
    <w:rsid w:val="00A4429E"/>
    <w:rsid w:val="00A442B1"/>
    <w:rsid w:val="00A442DB"/>
    <w:rsid w:val="00A442FC"/>
    <w:rsid w:val="00A443C8"/>
    <w:rsid w:val="00A44402"/>
    <w:rsid w:val="00A44415"/>
    <w:rsid w:val="00A44457"/>
    <w:rsid w:val="00A4460D"/>
    <w:rsid w:val="00A446FC"/>
    <w:rsid w:val="00A4470B"/>
    <w:rsid w:val="00A4471A"/>
    <w:rsid w:val="00A4471E"/>
    <w:rsid w:val="00A44805"/>
    <w:rsid w:val="00A4481C"/>
    <w:rsid w:val="00A44897"/>
    <w:rsid w:val="00A448AE"/>
    <w:rsid w:val="00A448BB"/>
    <w:rsid w:val="00A448CB"/>
    <w:rsid w:val="00A448D2"/>
    <w:rsid w:val="00A448FA"/>
    <w:rsid w:val="00A4490B"/>
    <w:rsid w:val="00A4491D"/>
    <w:rsid w:val="00A44931"/>
    <w:rsid w:val="00A44958"/>
    <w:rsid w:val="00A44985"/>
    <w:rsid w:val="00A4498D"/>
    <w:rsid w:val="00A449CB"/>
    <w:rsid w:val="00A449EC"/>
    <w:rsid w:val="00A44A03"/>
    <w:rsid w:val="00A44A0A"/>
    <w:rsid w:val="00A44A29"/>
    <w:rsid w:val="00A44A60"/>
    <w:rsid w:val="00A44A74"/>
    <w:rsid w:val="00A44AAF"/>
    <w:rsid w:val="00A44BC7"/>
    <w:rsid w:val="00A44BCF"/>
    <w:rsid w:val="00A44C04"/>
    <w:rsid w:val="00A44C24"/>
    <w:rsid w:val="00A44C8B"/>
    <w:rsid w:val="00A44CF2"/>
    <w:rsid w:val="00A44D0E"/>
    <w:rsid w:val="00A44D24"/>
    <w:rsid w:val="00A44D28"/>
    <w:rsid w:val="00A44D84"/>
    <w:rsid w:val="00A44DC2"/>
    <w:rsid w:val="00A44E15"/>
    <w:rsid w:val="00A44E53"/>
    <w:rsid w:val="00A44E5D"/>
    <w:rsid w:val="00A44E8B"/>
    <w:rsid w:val="00A44E8F"/>
    <w:rsid w:val="00A44F2D"/>
    <w:rsid w:val="00A44F88"/>
    <w:rsid w:val="00A44FB0"/>
    <w:rsid w:val="00A45019"/>
    <w:rsid w:val="00A4506A"/>
    <w:rsid w:val="00A450DE"/>
    <w:rsid w:val="00A450FC"/>
    <w:rsid w:val="00A45120"/>
    <w:rsid w:val="00A45134"/>
    <w:rsid w:val="00A4514E"/>
    <w:rsid w:val="00A45156"/>
    <w:rsid w:val="00A451AD"/>
    <w:rsid w:val="00A451DE"/>
    <w:rsid w:val="00A45200"/>
    <w:rsid w:val="00A4524D"/>
    <w:rsid w:val="00A45284"/>
    <w:rsid w:val="00A452F9"/>
    <w:rsid w:val="00A4532A"/>
    <w:rsid w:val="00A453B7"/>
    <w:rsid w:val="00A453E9"/>
    <w:rsid w:val="00A453F5"/>
    <w:rsid w:val="00A453FC"/>
    <w:rsid w:val="00A453FF"/>
    <w:rsid w:val="00A4542D"/>
    <w:rsid w:val="00A45443"/>
    <w:rsid w:val="00A45445"/>
    <w:rsid w:val="00A45449"/>
    <w:rsid w:val="00A45519"/>
    <w:rsid w:val="00A45534"/>
    <w:rsid w:val="00A455D9"/>
    <w:rsid w:val="00A45639"/>
    <w:rsid w:val="00A45798"/>
    <w:rsid w:val="00A457B3"/>
    <w:rsid w:val="00A457DE"/>
    <w:rsid w:val="00A4580B"/>
    <w:rsid w:val="00A45815"/>
    <w:rsid w:val="00A4583D"/>
    <w:rsid w:val="00A45866"/>
    <w:rsid w:val="00A45884"/>
    <w:rsid w:val="00A458B6"/>
    <w:rsid w:val="00A45936"/>
    <w:rsid w:val="00A459F9"/>
    <w:rsid w:val="00A45A11"/>
    <w:rsid w:val="00A45A3C"/>
    <w:rsid w:val="00A45A3F"/>
    <w:rsid w:val="00A45A51"/>
    <w:rsid w:val="00A45AB0"/>
    <w:rsid w:val="00A45B6E"/>
    <w:rsid w:val="00A45B73"/>
    <w:rsid w:val="00A45B87"/>
    <w:rsid w:val="00A45C5B"/>
    <w:rsid w:val="00A45C66"/>
    <w:rsid w:val="00A45CB2"/>
    <w:rsid w:val="00A45CD7"/>
    <w:rsid w:val="00A45CE1"/>
    <w:rsid w:val="00A45D1A"/>
    <w:rsid w:val="00A45D20"/>
    <w:rsid w:val="00A45D9C"/>
    <w:rsid w:val="00A45DB9"/>
    <w:rsid w:val="00A45E15"/>
    <w:rsid w:val="00A45E4E"/>
    <w:rsid w:val="00A45E6B"/>
    <w:rsid w:val="00A45EF4"/>
    <w:rsid w:val="00A45F31"/>
    <w:rsid w:val="00A45F6A"/>
    <w:rsid w:val="00A45F9E"/>
    <w:rsid w:val="00A45FD6"/>
    <w:rsid w:val="00A45FDB"/>
    <w:rsid w:val="00A45FDE"/>
    <w:rsid w:val="00A46095"/>
    <w:rsid w:val="00A460AB"/>
    <w:rsid w:val="00A460C8"/>
    <w:rsid w:val="00A460D0"/>
    <w:rsid w:val="00A46114"/>
    <w:rsid w:val="00A46148"/>
    <w:rsid w:val="00A46162"/>
    <w:rsid w:val="00A46228"/>
    <w:rsid w:val="00A46231"/>
    <w:rsid w:val="00A46254"/>
    <w:rsid w:val="00A4625B"/>
    <w:rsid w:val="00A462E1"/>
    <w:rsid w:val="00A46377"/>
    <w:rsid w:val="00A46388"/>
    <w:rsid w:val="00A46401"/>
    <w:rsid w:val="00A4640E"/>
    <w:rsid w:val="00A46456"/>
    <w:rsid w:val="00A46467"/>
    <w:rsid w:val="00A46490"/>
    <w:rsid w:val="00A464FA"/>
    <w:rsid w:val="00A46530"/>
    <w:rsid w:val="00A46554"/>
    <w:rsid w:val="00A46562"/>
    <w:rsid w:val="00A4657B"/>
    <w:rsid w:val="00A465BD"/>
    <w:rsid w:val="00A465BE"/>
    <w:rsid w:val="00A465C8"/>
    <w:rsid w:val="00A465DE"/>
    <w:rsid w:val="00A465E4"/>
    <w:rsid w:val="00A46603"/>
    <w:rsid w:val="00A4660A"/>
    <w:rsid w:val="00A4664B"/>
    <w:rsid w:val="00A466BA"/>
    <w:rsid w:val="00A466CE"/>
    <w:rsid w:val="00A46720"/>
    <w:rsid w:val="00A46732"/>
    <w:rsid w:val="00A46735"/>
    <w:rsid w:val="00A4673F"/>
    <w:rsid w:val="00A46751"/>
    <w:rsid w:val="00A46772"/>
    <w:rsid w:val="00A467C4"/>
    <w:rsid w:val="00A468D8"/>
    <w:rsid w:val="00A468DB"/>
    <w:rsid w:val="00A468FD"/>
    <w:rsid w:val="00A46922"/>
    <w:rsid w:val="00A4694A"/>
    <w:rsid w:val="00A469E3"/>
    <w:rsid w:val="00A469F4"/>
    <w:rsid w:val="00A469FB"/>
    <w:rsid w:val="00A46A22"/>
    <w:rsid w:val="00A46A37"/>
    <w:rsid w:val="00A46A60"/>
    <w:rsid w:val="00A46A77"/>
    <w:rsid w:val="00A46AAC"/>
    <w:rsid w:val="00A46AD3"/>
    <w:rsid w:val="00A46AF4"/>
    <w:rsid w:val="00A46B4D"/>
    <w:rsid w:val="00A46B5C"/>
    <w:rsid w:val="00A46B6C"/>
    <w:rsid w:val="00A46B8E"/>
    <w:rsid w:val="00A46BDD"/>
    <w:rsid w:val="00A46CCB"/>
    <w:rsid w:val="00A46D05"/>
    <w:rsid w:val="00A46DF3"/>
    <w:rsid w:val="00A46E16"/>
    <w:rsid w:val="00A46E1E"/>
    <w:rsid w:val="00A46E21"/>
    <w:rsid w:val="00A46E47"/>
    <w:rsid w:val="00A46E4D"/>
    <w:rsid w:val="00A46E56"/>
    <w:rsid w:val="00A46E72"/>
    <w:rsid w:val="00A46E9D"/>
    <w:rsid w:val="00A46EC5"/>
    <w:rsid w:val="00A46ED6"/>
    <w:rsid w:val="00A46EEE"/>
    <w:rsid w:val="00A46EF5"/>
    <w:rsid w:val="00A46F23"/>
    <w:rsid w:val="00A46F3D"/>
    <w:rsid w:val="00A46FB4"/>
    <w:rsid w:val="00A4701F"/>
    <w:rsid w:val="00A47047"/>
    <w:rsid w:val="00A47069"/>
    <w:rsid w:val="00A470B2"/>
    <w:rsid w:val="00A4713B"/>
    <w:rsid w:val="00A4714B"/>
    <w:rsid w:val="00A47180"/>
    <w:rsid w:val="00A4718F"/>
    <w:rsid w:val="00A471B5"/>
    <w:rsid w:val="00A471F6"/>
    <w:rsid w:val="00A47293"/>
    <w:rsid w:val="00A4729D"/>
    <w:rsid w:val="00A472AB"/>
    <w:rsid w:val="00A4734F"/>
    <w:rsid w:val="00A47361"/>
    <w:rsid w:val="00A47375"/>
    <w:rsid w:val="00A47397"/>
    <w:rsid w:val="00A473DC"/>
    <w:rsid w:val="00A473FD"/>
    <w:rsid w:val="00A47403"/>
    <w:rsid w:val="00A47438"/>
    <w:rsid w:val="00A47466"/>
    <w:rsid w:val="00A47496"/>
    <w:rsid w:val="00A474FA"/>
    <w:rsid w:val="00A4751E"/>
    <w:rsid w:val="00A47575"/>
    <w:rsid w:val="00A475DA"/>
    <w:rsid w:val="00A475F7"/>
    <w:rsid w:val="00A47629"/>
    <w:rsid w:val="00A47679"/>
    <w:rsid w:val="00A4768B"/>
    <w:rsid w:val="00A4769C"/>
    <w:rsid w:val="00A476F8"/>
    <w:rsid w:val="00A476FB"/>
    <w:rsid w:val="00A47710"/>
    <w:rsid w:val="00A477DD"/>
    <w:rsid w:val="00A477E4"/>
    <w:rsid w:val="00A4781A"/>
    <w:rsid w:val="00A47823"/>
    <w:rsid w:val="00A47841"/>
    <w:rsid w:val="00A4789E"/>
    <w:rsid w:val="00A478C1"/>
    <w:rsid w:val="00A4792C"/>
    <w:rsid w:val="00A47A21"/>
    <w:rsid w:val="00A47A54"/>
    <w:rsid w:val="00A47AA6"/>
    <w:rsid w:val="00A47AC4"/>
    <w:rsid w:val="00A47ACE"/>
    <w:rsid w:val="00A47AE4"/>
    <w:rsid w:val="00A47B15"/>
    <w:rsid w:val="00A47BD9"/>
    <w:rsid w:val="00A47C4F"/>
    <w:rsid w:val="00A47C87"/>
    <w:rsid w:val="00A47C94"/>
    <w:rsid w:val="00A47CF3"/>
    <w:rsid w:val="00A47D71"/>
    <w:rsid w:val="00A47DA2"/>
    <w:rsid w:val="00A47DE1"/>
    <w:rsid w:val="00A47DE8"/>
    <w:rsid w:val="00A47DEA"/>
    <w:rsid w:val="00A47E06"/>
    <w:rsid w:val="00A47E17"/>
    <w:rsid w:val="00A47E48"/>
    <w:rsid w:val="00A47ED0"/>
    <w:rsid w:val="00A47F40"/>
    <w:rsid w:val="00A47F77"/>
    <w:rsid w:val="00A47F8B"/>
    <w:rsid w:val="00A47F8C"/>
    <w:rsid w:val="00A47F9A"/>
    <w:rsid w:val="00A47FDD"/>
    <w:rsid w:val="00A5007B"/>
    <w:rsid w:val="00A5009B"/>
    <w:rsid w:val="00A50106"/>
    <w:rsid w:val="00A50129"/>
    <w:rsid w:val="00A5016B"/>
    <w:rsid w:val="00A50174"/>
    <w:rsid w:val="00A50182"/>
    <w:rsid w:val="00A501C3"/>
    <w:rsid w:val="00A50217"/>
    <w:rsid w:val="00A50223"/>
    <w:rsid w:val="00A50238"/>
    <w:rsid w:val="00A502C6"/>
    <w:rsid w:val="00A50329"/>
    <w:rsid w:val="00A503DB"/>
    <w:rsid w:val="00A50401"/>
    <w:rsid w:val="00A5041E"/>
    <w:rsid w:val="00A5044E"/>
    <w:rsid w:val="00A5045B"/>
    <w:rsid w:val="00A504D8"/>
    <w:rsid w:val="00A50531"/>
    <w:rsid w:val="00A50568"/>
    <w:rsid w:val="00A505A9"/>
    <w:rsid w:val="00A505AE"/>
    <w:rsid w:val="00A505C0"/>
    <w:rsid w:val="00A505D2"/>
    <w:rsid w:val="00A505FD"/>
    <w:rsid w:val="00A5061F"/>
    <w:rsid w:val="00A50629"/>
    <w:rsid w:val="00A50642"/>
    <w:rsid w:val="00A50660"/>
    <w:rsid w:val="00A50692"/>
    <w:rsid w:val="00A506FA"/>
    <w:rsid w:val="00A50779"/>
    <w:rsid w:val="00A507B0"/>
    <w:rsid w:val="00A507E4"/>
    <w:rsid w:val="00A5081C"/>
    <w:rsid w:val="00A5081D"/>
    <w:rsid w:val="00A50860"/>
    <w:rsid w:val="00A50873"/>
    <w:rsid w:val="00A5088F"/>
    <w:rsid w:val="00A508D9"/>
    <w:rsid w:val="00A50936"/>
    <w:rsid w:val="00A5097F"/>
    <w:rsid w:val="00A50998"/>
    <w:rsid w:val="00A509D3"/>
    <w:rsid w:val="00A509D9"/>
    <w:rsid w:val="00A509E2"/>
    <w:rsid w:val="00A50A04"/>
    <w:rsid w:val="00A50A2E"/>
    <w:rsid w:val="00A50AD7"/>
    <w:rsid w:val="00A50AF4"/>
    <w:rsid w:val="00A50BCB"/>
    <w:rsid w:val="00A50BF1"/>
    <w:rsid w:val="00A50C14"/>
    <w:rsid w:val="00A50CB1"/>
    <w:rsid w:val="00A50CCB"/>
    <w:rsid w:val="00A50CE0"/>
    <w:rsid w:val="00A50D94"/>
    <w:rsid w:val="00A50DAD"/>
    <w:rsid w:val="00A50E03"/>
    <w:rsid w:val="00A50E51"/>
    <w:rsid w:val="00A50EAC"/>
    <w:rsid w:val="00A50EF8"/>
    <w:rsid w:val="00A50F4F"/>
    <w:rsid w:val="00A50F5A"/>
    <w:rsid w:val="00A50F6A"/>
    <w:rsid w:val="00A50F82"/>
    <w:rsid w:val="00A51012"/>
    <w:rsid w:val="00A51065"/>
    <w:rsid w:val="00A5106C"/>
    <w:rsid w:val="00A510B3"/>
    <w:rsid w:val="00A510BC"/>
    <w:rsid w:val="00A51139"/>
    <w:rsid w:val="00A5116A"/>
    <w:rsid w:val="00A511D9"/>
    <w:rsid w:val="00A511FF"/>
    <w:rsid w:val="00A51213"/>
    <w:rsid w:val="00A51258"/>
    <w:rsid w:val="00A512B2"/>
    <w:rsid w:val="00A512D8"/>
    <w:rsid w:val="00A512E3"/>
    <w:rsid w:val="00A512F5"/>
    <w:rsid w:val="00A513B0"/>
    <w:rsid w:val="00A513B2"/>
    <w:rsid w:val="00A51400"/>
    <w:rsid w:val="00A51470"/>
    <w:rsid w:val="00A514B5"/>
    <w:rsid w:val="00A514CF"/>
    <w:rsid w:val="00A514D8"/>
    <w:rsid w:val="00A514DB"/>
    <w:rsid w:val="00A514FD"/>
    <w:rsid w:val="00A514FF"/>
    <w:rsid w:val="00A5153F"/>
    <w:rsid w:val="00A51590"/>
    <w:rsid w:val="00A515B6"/>
    <w:rsid w:val="00A515B7"/>
    <w:rsid w:val="00A515FF"/>
    <w:rsid w:val="00A51632"/>
    <w:rsid w:val="00A51643"/>
    <w:rsid w:val="00A516A5"/>
    <w:rsid w:val="00A516BE"/>
    <w:rsid w:val="00A516F9"/>
    <w:rsid w:val="00A5171A"/>
    <w:rsid w:val="00A5173A"/>
    <w:rsid w:val="00A5174C"/>
    <w:rsid w:val="00A51757"/>
    <w:rsid w:val="00A5175B"/>
    <w:rsid w:val="00A51792"/>
    <w:rsid w:val="00A517A9"/>
    <w:rsid w:val="00A5183A"/>
    <w:rsid w:val="00A5188B"/>
    <w:rsid w:val="00A518F1"/>
    <w:rsid w:val="00A51975"/>
    <w:rsid w:val="00A519DD"/>
    <w:rsid w:val="00A51A17"/>
    <w:rsid w:val="00A51A25"/>
    <w:rsid w:val="00A51A5F"/>
    <w:rsid w:val="00A51B41"/>
    <w:rsid w:val="00A51B62"/>
    <w:rsid w:val="00A51B9B"/>
    <w:rsid w:val="00A51C35"/>
    <w:rsid w:val="00A51C38"/>
    <w:rsid w:val="00A51C4A"/>
    <w:rsid w:val="00A51C5B"/>
    <w:rsid w:val="00A51CAB"/>
    <w:rsid w:val="00A51CAC"/>
    <w:rsid w:val="00A51CE1"/>
    <w:rsid w:val="00A51CF2"/>
    <w:rsid w:val="00A51D32"/>
    <w:rsid w:val="00A51D39"/>
    <w:rsid w:val="00A51D61"/>
    <w:rsid w:val="00A51E3D"/>
    <w:rsid w:val="00A51E4D"/>
    <w:rsid w:val="00A51E5A"/>
    <w:rsid w:val="00A51E6C"/>
    <w:rsid w:val="00A51E81"/>
    <w:rsid w:val="00A51EBC"/>
    <w:rsid w:val="00A51EC5"/>
    <w:rsid w:val="00A51EF9"/>
    <w:rsid w:val="00A51EFB"/>
    <w:rsid w:val="00A51F0D"/>
    <w:rsid w:val="00A51F11"/>
    <w:rsid w:val="00A51F1B"/>
    <w:rsid w:val="00A51F45"/>
    <w:rsid w:val="00A51F77"/>
    <w:rsid w:val="00A51F8A"/>
    <w:rsid w:val="00A51FB8"/>
    <w:rsid w:val="00A5203E"/>
    <w:rsid w:val="00A5210D"/>
    <w:rsid w:val="00A52111"/>
    <w:rsid w:val="00A5212E"/>
    <w:rsid w:val="00A52137"/>
    <w:rsid w:val="00A5214F"/>
    <w:rsid w:val="00A52152"/>
    <w:rsid w:val="00A52176"/>
    <w:rsid w:val="00A5218A"/>
    <w:rsid w:val="00A52220"/>
    <w:rsid w:val="00A5224A"/>
    <w:rsid w:val="00A5227F"/>
    <w:rsid w:val="00A522B5"/>
    <w:rsid w:val="00A522B9"/>
    <w:rsid w:val="00A522C6"/>
    <w:rsid w:val="00A522E5"/>
    <w:rsid w:val="00A52314"/>
    <w:rsid w:val="00A52346"/>
    <w:rsid w:val="00A523BC"/>
    <w:rsid w:val="00A523F6"/>
    <w:rsid w:val="00A52465"/>
    <w:rsid w:val="00A524DA"/>
    <w:rsid w:val="00A524E5"/>
    <w:rsid w:val="00A5253C"/>
    <w:rsid w:val="00A52550"/>
    <w:rsid w:val="00A52561"/>
    <w:rsid w:val="00A525A0"/>
    <w:rsid w:val="00A52601"/>
    <w:rsid w:val="00A5261E"/>
    <w:rsid w:val="00A52632"/>
    <w:rsid w:val="00A5265B"/>
    <w:rsid w:val="00A526BD"/>
    <w:rsid w:val="00A5278E"/>
    <w:rsid w:val="00A527C1"/>
    <w:rsid w:val="00A527E2"/>
    <w:rsid w:val="00A527E5"/>
    <w:rsid w:val="00A527F1"/>
    <w:rsid w:val="00A528D3"/>
    <w:rsid w:val="00A528E8"/>
    <w:rsid w:val="00A52926"/>
    <w:rsid w:val="00A529AC"/>
    <w:rsid w:val="00A529AE"/>
    <w:rsid w:val="00A529B5"/>
    <w:rsid w:val="00A529BE"/>
    <w:rsid w:val="00A529C5"/>
    <w:rsid w:val="00A52A48"/>
    <w:rsid w:val="00A52A53"/>
    <w:rsid w:val="00A52A75"/>
    <w:rsid w:val="00A52A7A"/>
    <w:rsid w:val="00A52A88"/>
    <w:rsid w:val="00A52A89"/>
    <w:rsid w:val="00A52AD9"/>
    <w:rsid w:val="00A52B2E"/>
    <w:rsid w:val="00A52B40"/>
    <w:rsid w:val="00A52B52"/>
    <w:rsid w:val="00A52C19"/>
    <w:rsid w:val="00A52C6C"/>
    <w:rsid w:val="00A52C91"/>
    <w:rsid w:val="00A52CD2"/>
    <w:rsid w:val="00A52CF5"/>
    <w:rsid w:val="00A52D4E"/>
    <w:rsid w:val="00A52D74"/>
    <w:rsid w:val="00A52D75"/>
    <w:rsid w:val="00A52DAE"/>
    <w:rsid w:val="00A52DC4"/>
    <w:rsid w:val="00A52E23"/>
    <w:rsid w:val="00A52E55"/>
    <w:rsid w:val="00A52E69"/>
    <w:rsid w:val="00A52EE3"/>
    <w:rsid w:val="00A52EF7"/>
    <w:rsid w:val="00A52F2E"/>
    <w:rsid w:val="00A52F73"/>
    <w:rsid w:val="00A52F8C"/>
    <w:rsid w:val="00A52FEA"/>
    <w:rsid w:val="00A52FF2"/>
    <w:rsid w:val="00A53170"/>
    <w:rsid w:val="00A53182"/>
    <w:rsid w:val="00A53189"/>
    <w:rsid w:val="00A53202"/>
    <w:rsid w:val="00A5320E"/>
    <w:rsid w:val="00A5321A"/>
    <w:rsid w:val="00A53226"/>
    <w:rsid w:val="00A5322B"/>
    <w:rsid w:val="00A5325A"/>
    <w:rsid w:val="00A53296"/>
    <w:rsid w:val="00A5332E"/>
    <w:rsid w:val="00A5334B"/>
    <w:rsid w:val="00A53361"/>
    <w:rsid w:val="00A533E2"/>
    <w:rsid w:val="00A53488"/>
    <w:rsid w:val="00A534DA"/>
    <w:rsid w:val="00A5353E"/>
    <w:rsid w:val="00A53565"/>
    <w:rsid w:val="00A53584"/>
    <w:rsid w:val="00A53587"/>
    <w:rsid w:val="00A5358F"/>
    <w:rsid w:val="00A535A5"/>
    <w:rsid w:val="00A535A8"/>
    <w:rsid w:val="00A5364F"/>
    <w:rsid w:val="00A53655"/>
    <w:rsid w:val="00A5365A"/>
    <w:rsid w:val="00A536B1"/>
    <w:rsid w:val="00A536B9"/>
    <w:rsid w:val="00A536C7"/>
    <w:rsid w:val="00A536D0"/>
    <w:rsid w:val="00A536DC"/>
    <w:rsid w:val="00A53768"/>
    <w:rsid w:val="00A53780"/>
    <w:rsid w:val="00A53784"/>
    <w:rsid w:val="00A53792"/>
    <w:rsid w:val="00A537B2"/>
    <w:rsid w:val="00A537C3"/>
    <w:rsid w:val="00A537D9"/>
    <w:rsid w:val="00A537F5"/>
    <w:rsid w:val="00A53839"/>
    <w:rsid w:val="00A5384F"/>
    <w:rsid w:val="00A5385C"/>
    <w:rsid w:val="00A53862"/>
    <w:rsid w:val="00A53896"/>
    <w:rsid w:val="00A5389F"/>
    <w:rsid w:val="00A538A8"/>
    <w:rsid w:val="00A538C9"/>
    <w:rsid w:val="00A538FF"/>
    <w:rsid w:val="00A5392D"/>
    <w:rsid w:val="00A53968"/>
    <w:rsid w:val="00A5396C"/>
    <w:rsid w:val="00A53976"/>
    <w:rsid w:val="00A539CF"/>
    <w:rsid w:val="00A53A1F"/>
    <w:rsid w:val="00A53A20"/>
    <w:rsid w:val="00A53ACA"/>
    <w:rsid w:val="00A53AD1"/>
    <w:rsid w:val="00A53ADB"/>
    <w:rsid w:val="00A53B0E"/>
    <w:rsid w:val="00A53B28"/>
    <w:rsid w:val="00A53B45"/>
    <w:rsid w:val="00A53B89"/>
    <w:rsid w:val="00A53B9A"/>
    <w:rsid w:val="00A53BA7"/>
    <w:rsid w:val="00A53C02"/>
    <w:rsid w:val="00A53C81"/>
    <w:rsid w:val="00A53C9D"/>
    <w:rsid w:val="00A53C9E"/>
    <w:rsid w:val="00A53CC0"/>
    <w:rsid w:val="00A53D0A"/>
    <w:rsid w:val="00A53D74"/>
    <w:rsid w:val="00A53DD2"/>
    <w:rsid w:val="00A53DE4"/>
    <w:rsid w:val="00A53DEF"/>
    <w:rsid w:val="00A53E1C"/>
    <w:rsid w:val="00A53E1F"/>
    <w:rsid w:val="00A53E83"/>
    <w:rsid w:val="00A53E85"/>
    <w:rsid w:val="00A53ED8"/>
    <w:rsid w:val="00A53F45"/>
    <w:rsid w:val="00A53F7A"/>
    <w:rsid w:val="00A53FB5"/>
    <w:rsid w:val="00A53FD4"/>
    <w:rsid w:val="00A53FE6"/>
    <w:rsid w:val="00A53FF0"/>
    <w:rsid w:val="00A53FFC"/>
    <w:rsid w:val="00A5400B"/>
    <w:rsid w:val="00A54015"/>
    <w:rsid w:val="00A54021"/>
    <w:rsid w:val="00A54054"/>
    <w:rsid w:val="00A54080"/>
    <w:rsid w:val="00A541C2"/>
    <w:rsid w:val="00A541C9"/>
    <w:rsid w:val="00A541E1"/>
    <w:rsid w:val="00A541EB"/>
    <w:rsid w:val="00A54212"/>
    <w:rsid w:val="00A54229"/>
    <w:rsid w:val="00A542D3"/>
    <w:rsid w:val="00A542E7"/>
    <w:rsid w:val="00A542EC"/>
    <w:rsid w:val="00A5433A"/>
    <w:rsid w:val="00A54366"/>
    <w:rsid w:val="00A543B3"/>
    <w:rsid w:val="00A543B8"/>
    <w:rsid w:val="00A54422"/>
    <w:rsid w:val="00A5442C"/>
    <w:rsid w:val="00A5445D"/>
    <w:rsid w:val="00A5447E"/>
    <w:rsid w:val="00A544AD"/>
    <w:rsid w:val="00A5450A"/>
    <w:rsid w:val="00A5450F"/>
    <w:rsid w:val="00A54546"/>
    <w:rsid w:val="00A5454D"/>
    <w:rsid w:val="00A545B7"/>
    <w:rsid w:val="00A545DA"/>
    <w:rsid w:val="00A545E6"/>
    <w:rsid w:val="00A545EE"/>
    <w:rsid w:val="00A54694"/>
    <w:rsid w:val="00A546A1"/>
    <w:rsid w:val="00A546C0"/>
    <w:rsid w:val="00A546F9"/>
    <w:rsid w:val="00A5474B"/>
    <w:rsid w:val="00A547BD"/>
    <w:rsid w:val="00A547C5"/>
    <w:rsid w:val="00A547EF"/>
    <w:rsid w:val="00A547F2"/>
    <w:rsid w:val="00A54820"/>
    <w:rsid w:val="00A54829"/>
    <w:rsid w:val="00A5483D"/>
    <w:rsid w:val="00A548C2"/>
    <w:rsid w:val="00A548DD"/>
    <w:rsid w:val="00A548F2"/>
    <w:rsid w:val="00A54A02"/>
    <w:rsid w:val="00A54A40"/>
    <w:rsid w:val="00A54A76"/>
    <w:rsid w:val="00A54AE3"/>
    <w:rsid w:val="00A54B42"/>
    <w:rsid w:val="00A54B6B"/>
    <w:rsid w:val="00A54C7D"/>
    <w:rsid w:val="00A54C7E"/>
    <w:rsid w:val="00A54CEE"/>
    <w:rsid w:val="00A54CF0"/>
    <w:rsid w:val="00A54D90"/>
    <w:rsid w:val="00A54DA0"/>
    <w:rsid w:val="00A54DA1"/>
    <w:rsid w:val="00A54E2A"/>
    <w:rsid w:val="00A54E63"/>
    <w:rsid w:val="00A54E82"/>
    <w:rsid w:val="00A54E8D"/>
    <w:rsid w:val="00A54EAC"/>
    <w:rsid w:val="00A54EB4"/>
    <w:rsid w:val="00A54ECE"/>
    <w:rsid w:val="00A54EDF"/>
    <w:rsid w:val="00A54EFA"/>
    <w:rsid w:val="00A55043"/>
    <w:rsid w:val="00A55053"/>
    <w:rsid w:val="00A55066"/>
    <w:rsid w:val="00A55098"/>
    <w:rsid w:val="00A5509F"/>
    <w:rsid w:val="00A5515A"/>
    <w:rsid w:val="00A55160"/>
    <w:rsid w:val="00A55167"/>
    <w:rsid w:val="00A5519C"/>
    <w:rsid w:val="00A551EF"/>
    <w:rsid w:val="00A55220"/>
    <w:rsid w:val="00A55222"/>
    <w:rsid w:val="00A5524C"/>
    <w:rsid w:val="00A5524F"/>
    <w:rsid w:val="00A55276"/>
    <w:rsid w:val="00A55304"/>
    <w:rsid w:val="00A55316"/>
    <w:rsid w:val="00A5537C"/>
    <w:rsid w:val="00A553BA"/>
    <w:rsid w:val="00A553C8"/>
    <w:rsid w:val="00A55405"/>
    <w:rsid w:val="00A55414"/>
    <w:rsid w:val="00A55441"/>
    <w:rsid w:val="00A55466"/>
    <w:rsid w:val="00A554C4"/>
    <w:rsid w:val="00A554DD"/>
    <w:rsid w:val="00A55546"/>
    <w:rsid w:val="00A55590"/>
    <w:rsid w:val="00A555BD"/>
    <w:rsid w:val="00A55610"/>
    <w:rsid w:val="00A5563B"/>
    <w:rsid w:val="00A55651"/>
    <w:rsid w:val="00A5565E"/>
    <w:rsid w:val="00A55691"/>
    <w:rsid w:val="00A556B7"/>
    <w:rsid w:val="00A556EE"/>
    <w:rsid w:val="00A55748"/>
    <w:rsid w:val="00A557C5"/>
    <w:rsid w:val="00A5581D"/>
    <w:rsid w:val="00A55827"/>
    <w:rsid w:val="00A558B7"/>
    <w:rsid w:val="00A558D5"/>
    <w:rsid w:val="00A55933"/>
    <w:rsid w:val="00A55957"/>
    <w:rsid w:val="00A559B2"/>
    <w:rsid w:val="00A55A02"/>
    <w:rsid w:val="00A55A18"/>
    <w:rsid w:val="00A55A28"/>
    <w:rsid w:val="00A55A41"/>
    <w:rsid w:val="00A55AB2"/>
    <w:rsid w:val="00A55B2B"/>
    <w:rsid w:val="00A55B72"/>
    <w:rsid w:val="00A55B80"/>
    <w:rsid w:val="00A55C25"/>
    <w:rsid w:val="00A55C56"/>
    <w:rsid w:val="00A55CA7"/>
    <w:rsid w:val="00A55D29"/>
    <w:rsid w:val="00A55D3A"/>
    <w:rsid w:val="00A55DD5"/>
    <w:rsid w:val="00A55DF6"/>
    <w:rsid w:val="00A55E05"/>
    <w:rsid w:val="00A55E2E"/>
    <w:rsid w:val="00A55E4C"/>
    <w:rsid w:val="00A55E66"/>
    <w:rsid w:val="00A55E9C"/>
    <w:rsid w:val="00A55F01"/>
    <w:rsid w:val="00A55F9E"/>
    <w:rsid w:val="00A55FA1"/>
    <w:rsid w:val="00A55FA5"/>
    <w:rsid w:val="00A55FC1"/>
    <w:rsid w:val="00A5600C"/>
    <w:rsid w:val="00A5600E"/>
    <w:rsid w:val="00A560AE"/>
    <w:rsid w:val="00A560FC"/>
    <w:rsid w:val="00A5612B"/>
    <w:rsid w:val="00A5616D"/>
    <w:rsid w:val="00A561DD"/>
    <w:rsid w:val="00A561FD"/>
    <w:rsid w:val="00A56223"/>
    <w:rsid w:val="00A5622F"/>
    <w:rsid w:val="00A56233"/>
    <w:rsid w:val="00A562DA"/>
    <w:rsid w:val="00A5631C"/>
    <w:rsid w:val="00A56359"/>
    <w:rsid w:val="00A5644A"/>
    <w:rsid w:val="00A5645A"/>
    <w:rsid w:val="00A56476"/>
    <w:rsid w:val="00A56477"/>
    <w:rsid w:val="00A564B5"/>
    <w:rsid w:val="00A56517"/>
    <w:rsid w:val="00A5657C"/>
    <w:rsid w:val="00A565CE"/>
    <w:rsid w:val="00A565EA"/>
    <w:rsid w:val="00A56694"/>
    <w:rsid w:val="00A566AC"/>
    <w:rsid w:val="00A566D9"/>
    <w:rsid w:val="00A566DA"/>
    <w:rsid w:val="00A56708"/>
    <w:rsid w:val="00A5676C"/>
    <w:rsid w:val="00A56778"/>
    <w:rsid w:val="00A5678D"/>
    <w:rsid w:val="00A56798"/>
    <w:rsid w:val="00A5679C"/>
    <w:rsid w:val="00A567E2"/>
    <w:rsid w:val="00A567F7"/>
    <w:rsid w:val="00A56811"/>
    <w:rsid w:val="00A568EF"/>
    <w:rsid w:val="00A56961"/>
    <w:rsid w:val="00A569ED"/>
    <w:rsid w:val="00A569F6"/>
    <w:rsid w:val="00A56A31"/>
    <w:rsid w:val="00A56AA4"/>
    <w:rsid w:val="00A56AAE"/>
    <w:rsid w:val="00A56AC1"/>
    <w:rsid w:val="00A56AC5"/>
    <w:rsid w:val="00A56AE7"/>
    <w:rsid w:val="00A56B77"/>
    <w:rsid w:val="00A56BA3"/>
    <w:rsid w:val="00A56BCE"/>
    <w:rsid w:val="00A56BFE"/>
    <w:rsid w:val="00A56C0C"/>
    <w:rsid w:val="00A56C4A"/>
    <w:rsid w:val="00A56CB5"/>
    <w:rsid w:val="00A56CE6"/>
    <w:rsid w:val="00A56D00"/>
    <w:rsid w:val="00A56D44"/>
    <w:rsid w:val="00A56D5A"/>
    <w:rsid w:val="00A56D7D"/>
    <w:rsid w:val="00A56DA0"/>
    <w:rsid w:val="00A56DE9"/>
    <w:rsid w:val="00A56E34"/>
    <w:rsid w:val="00A56E4D"/>
    <w:rsid w:val="00A56E6F"/>
    <w:rsid w:val="00A56EE5"/>
    <w:rsid w:val="00A56F33"/>
    <w:rsid w:val="00A56F4B"/>
    <w:rsid w:val="00A56F74"/>
    <w:rsid w:val="00A56F9D"/>
    <w:rsid w:val="00A56FE5"/>
    <w:rsid w:val="00A5701E"/>
    <w:rsid w:val="00A5702F"/>
    <w:rsid w:val="00A5706C"/>
    <w:rsid w:val="00A57086"/>
    <w:rsid w:val="00A570BA"/>
    <w:rsid w:val="00A570BE"/>
    <w:rsid w:val="00A57104"/>
    <w:rsid w:val="00A5711F"/>
    <w:rsid w:val="00A57185"/>
    <w:rsid w:val="00A5719F"/>
    <w:rsid w:val="00A571AA"/>
    <w:rsid w:val="00A571D1"/>
    <w:rsid w:val="00A57214"/>
    <w:rsid w:val="00A57226"/>
    <w:rsid w:val="00A5722B"/>
    <w:rsid w:val="00A5723B"/>
    <w:rsid w:val="00A57253"/>
    <w:rsid w:val="00A57259"/>
    <w:rsid w:val="00A5726A"/>
    <w:rsid w:val="00A572BF"/>
    <w:rsid w:val="00A572C6"/>
    <w:rsid w:val="00A572EE"/>
    <w:rsid w:val="00A57308"/>
    <w:rsid w:val="00A57309"/>
    <w:rsid w:val="00A57311"/>
    <w:rsid w:val="00A5731D"/>
    <w:rsid w:val="00A5733E"/>
    <w:rsid w:val="00A57383"/>
    <w:rsid w:val="00A573A2"/>
    <w:rsid w:val="00A573A9"/>
    <w:rsid w:val="00A573AC"/>
    <w:rsid w:val="00A573E1"/>
    <w:rsid w:val="00A5741D"/>
    <w:rsid w:val="00A57485"/>
    <w:rsid w:val="00A574A8"/>
    <w:rsid w:val="00A57503"/>
    <w:rsid w:val="00A5750E"/>
    <w:rsid w:val="00A57527"/>
    <w:rsid w:val="00A5757F"/>
    <w:rsid w:val="00A575BB"/>
    <w:rsid w:val="00A5760A"/>
    <w:rsid w:val="00A57611"/>
    <w:rsid w:val="00A57643"/>
    <w:rsid w:val="00A57651"/>
    <w:rsid w:val="00A5765A"/>
    <w:rsid w:val="00A5767B"/>
    <w:rsid w:val="00A576B7"/>
    <w:rsid w:val="00A576E7"/>
    <w:rsid w:val="00A5775D"/>
    <w:rsid w:val="00A57778"/>
    <w:rsid w:val="00A5778C"/>
    <w:rsid w:val="00A57844"/>
    <w:rsid w:val="00A5789F"/>
    <w:rsid w:val="00A578C6"/>
    <w:rsid w:val="00A578D9"/>
    <w:rsid w:val="00A578E8"/>
    <w:rsid w:val="00A57999"/>
    <w:rsid w:val="00A579A3"/>
    <w:rsid w:val="00A579DF"/>
    <w:rsid w:val="00A57A0D"/>
    <w:rsid w:val="00A57A4C"/>
    <w:rsid w:val="00A57A56"/>
    <w:rsid w:val="00A57A64"/>
    <w:rsid w:val="00A57A6F"/>
    <w:rsid w:val="00A57A7F"/>
    <w:rsid w:val="00A57ADC"/>
    <w:rsid w:val="00A57B12"/>
    <w:rsid w:val="00A57B21"/>
    <w:rsid w:val="00A57B36"/>
    <w:rsid w:val="00A57B7B"/>
    <w:rsid w:val="00A57BB1"/>
    <w:rsid w:val="00A57BBD"/>
    <w:rsid w:val="00A57BFB"/>
    <w:rsid w:val="00A57C84"/>
    <w:rsid w:val="00A57CA1"/>
    <w:rsid w:val="00A57CE8"/>
    <w:rsid w:val="00A57D19"/>
    <w:rsid w:val="00A57D1A"/>
    <w:rsid w:val="00A57D6C"/>
    <w:rsid w:val="00A57D89"/>
    <w:rsid w:val="00A57DE0"/>
    <w:rsid w:val="00A57DEA"/>
    <w:rsid w:val="00A57E0E"/>
    <w:rsid w:val="00A57E3F"/>
    <w:rsid w:val="00A57E5B"/>
    <w:rsid w:val="00A57E8F"/>
    <w:rsid w:val="00A57EA2"/>
    <w:rsid w:val="00A57F53"/>
    <w:rsid w:val="00A57F97"/>
    <w:rsid w:val="00A60006"/>
    <w:rsid w:val="00A60055"/>
    <w:rsid w:val="00A6008B"/>
    <w:rsid w:val="00A600E6"/>
    <w:rsid w:val="00A601E2"/>
    <w:rsid w:val="00A6021F"/>
    <w:rsid w:val="00A60228"/>
    <w:rsid w:val="00A6023D"/>
    <w:rsid w:val="00A6024C"/>
    <w:rsid w:val="00A602B9"/>
    <w:rsid w:val="00A60325"/>
    <w:rsid w:val="00A6034F"/>
    <w:rsid w:val="00A60398"/>
    <w:rsid w:val="00A6039A"/>
    <w:rsid w:val="00A603A2"/>
    <w:rsid w:val="00A603CA"/>
    <w:rsid w:val="00A603CD"/>
    <w:rsid w:val="00A60407"/>
    <w:rsid w:val="00A6045E"/>
    <w:rsid w:val="00A60519"/>
    <w:rsid w:val="00A60534"/>
    <w:rsid w:val="00A605AB"/>
    <w:rsid w:val="00A605D0"/>
    <w:rsid w:val="00A605FD"/>
    <w:rsid w:val="00A60641"/>
    <w:rsid w:val="00A60658"/>
    <w:rsid w:val="00A606F9"/>
    <w:rsid w:val="00A60714"/>
    <w:rsid w:val="00A6073B"/>
    <w:rsid w:val="00A60755"/>
    <w:rsid w:val="00A60764"/>
    <w:rsid w:val="00A6077E"/>
    <w:rsid w:val="00A60780"/>
    <w:rsid w:val="00A607B7"/>
    <w:rsid w:val="00A607CF"/>
    <w:rsid w:val="00A6080C"/>
    <w:rsid w:val="00A60843"/>
    <w:rsid w:val="00A608A2"/>
    <w:rsid w:val="00A608BB"/>
    <w:rsid w:val="00A608FA"/>
    <w:rsid w:val="00A60900"/>
    <w:rsid w:val="00A6097C"/>
    <w:rsid w:val="00A609E3"/>
    <w:rsid w:val="00A609E8"/>
    <w:rsid w:val="00A609F3"/>
    <w:rsid w:val="00A60A0A"/>
    <w:rsid w:val="00A60A32"/>
    <w:rsid w:val="00A60A4B"/>
    <w:rsid w:val="00A60A65"/>
    <w:rsid w:val="00A60AD0"/>
    <w:rsid w:val="00A60B87"/>
    <w:rsid w:val="00A60BBA"/>
    <w:rsid w:val="00A60BE5"/>
    <w:rsid w:val="00A60C03"/>
    <w:rsid w:val="00A60C26"/>
    <w:rsid w:val="00A60C55"/>
    <w:rsid w:val="00A60C5F"/>
    <w:rsid w:val="00A60C64"/>
    <w:rsid w:val="00A60C68"/>
    <w:rsid w:val="00A60C90"/>
    <w:rsid w:val="00A60C9B"/>
    <w:rsid w:val="00A60C9C"/>
    <w:rsid w:val="00A60CA9"/>
    <w:rsid w:val="00A60CE6"/>
    <w:rsid w:val="00A60CF7"/>
    <w:rsid w:val="00A60D62"/>
    <w:rsid w:val="00A60D89"/>
    <w:rsid w:val="00A60DAF"/>
    <w:rsid w:val="00A60DDC"/>
    <w:rsid w:val="00A60F14"/>
    <w:rsid w:val="00A60F1E"/>
    <w:rsid w:val="00A60F23"/>
    <w:rsid w:val="00A60F30"/>
    <w:rsid w:val="00A60F8B"/>
    <w:rsid w:val="00A60FEB"/>
    <w:rsid w:val="00A6100A"/>
    <w:rsid w:val="00A61028"/>
    <w:rsid w:val="00A6102E"/>
    <w:rsid w:val="00A61066"/>
    <w:rsid w:val="00A61074"/>
    <w:rsid w:val="00A610A6"/>
    <w:rsid w:val="00A610D7"/>
    <w:rsid w:val="00A610DC"/>
    <w:rsid w:val="00A610F5"/>
    <w:rsid w:val="00A61125"/>
    <w:rsid w:val="00A61135"/>
    <w:rsid w:val="00A611BD"/>
    <w:rsid w:val="00A61205"/>
    <w:rsid w:val="00A61262"/>
    <w:rsid w:val="00A6128D"/>
    <w:rsid w:val="00A61310"/>
    <w:rsid w:val="00A61312"/>
    <w:rsid w:val="00A61334"/>
    <w:rsid w:val="00A61408"/>
    <w:rsid w:val="00A61457"/>
    <w:rsid w:val="00A6146C"/>
    <w:rsid w:val="00A614F1"/>
    <w:rsid w:val="00A614F4"/>
    <w:rsid w:val="00A61503"/>
    <w:rsid w:val="00A615BA"/>
    <w:rsid w:val="00A615D1"/>
    <w:rsid w:val="00A615ED"/>
    <w:rsid w:val="00A61690"/>
    <w:rsid w:val="00A616E7"/>
    <w:rsid w:val="00A616EC"/>
    <w:rsid w:val="00A616F2"/>
    <w:rsid w:val="00A6172D"/>
    <w:rsid w:val="00A61795"/>
    <w:rsid w:val="00A6179E"/>
    <w:rsid w:val="00A617BE"/>
    <w:rsid w:val="00A61860"/>
    <w:rsid w:val="00A61872"/>
    <w:rsid w:val="00A6188F"/>
    <w:rsid w:val="00A6193C"/>
    <w:rsid w:val="00A6197E"/>
    <w:rsid w:val="00A61986"/>
    <w:rsid w:val="00A619A8"/>
    <w:rsid w:val="00A619C1"/>
    <w:rsid w:val="00A619C3"/>
    <w:rsid w:val="00A619D3"/>
    <w:rsid w:val="00A61ADA"/>
    <w:rsid w:val="00A61AF4"/>
    <w:rsid w:val="00A61B40"/>
    <w:rsid w:val="00A61BB4"/>
    <w:rsid w:val="00A61C07"/>
    <w:rsid w:val="00A61C32"/>
    <w:rsid w:val="00A61C4E"/>
    <w:rsid w:val="00A61C58"/>
    <w:rsid w:val="00A61CA6"/>
    <w:rsid w:val="00A61CED"/>
    <w:rsid w:val="00A61D23"/>
    <w:rsid w:val="00A61DC7"/>
    <w:rsid w:val="00A61EC2"/>
    <w:rsid w:val="00A61EDA"/>
    <w:rsid w:val="00A61F17"/>
    <w:rsid w:val="00A61F5D"/>
    <w:rsid w:val="00A61F60"/>
    <w:rsid w:val="00A61FED"/>
    <w:rsid w:val="00A620A4"/>
    <w:rsid w:val="00A620DD"/>
    <w:rsid w:val="00A6213C"/>
    <w:rsid w:val="00A621B6"/>
    <w:rsid w:val="00A62231"/>
    <w:rsid w:val="00A6223A"/>
    <w:rsid w:val="00A622BB"/>
    <w:rsid w:val="00A622BC"/>
    <w:rsid w:val="00A6236C"/>
    <w:rsid w:val="00A623C6"/>
    <w:rsid w:val="00A6244D"/>
    <w:rsid w:val="00A624ED"/>
    <w:rsid w:val="00A62574"/>
    <w:rsid w:val="00A625E5"/>
    <w:rsid w:val="00A62648"/>
    <w:rsid w:val="00A626A6"/>
    <w:rsid w:val="00A626D8"/>
    <w:rsid w:val="00A62753"/>
    <w:rsid w:val="00A6278F"/>
    <w:rsid w:val="00A62794"/>
    <w:rsid w:val="00A62846"/>
    <w:rsid w:val="00A6299D"/>
    <w:rsid w:val="00A629C5"/>
    <w:rsid w:val="00A629DF"/>
    <w:rsid w:val="00A62A16"/>
    <w:rsid w:val="00A62A57"/>
    <w:rsid w:val="00A62AC9"/>
    <w:rsid w:val="00A62B16"/>
    <w:rsid w:val="00A62B36"/>
    <w:rsid w:val="00A62B69"/>
    <w:rsid w:val="00A62B82"/>
    <w:rsid w:val="00A62B83"/>
    <w:rsid w:val="00A62BA7"/>
    <w:rsid w:val="00A62C65"/>
    <w:rsid w:val="00A62CB9"/>
    <w:rsid w:val="00A62D17"/>
    <w:rsid w:val="00A62D40"/>
    <w:rsid w:val="00A62D51"/>
    <w:rsid w:val="00A62DA6"/>
    <w:rsid w:val="00A62DDA"/>
    <w:rsid w:val="00A62E10"/>
    <w:rsid w:val="00A62E57"/>
    <w:rsid w:val="00A62EE0"/>
    <w:rsid w:val="00A62F05"/>
    <w:rsid w:val="00A62F10"/>
    <w:rsid w:val="00A62F57"/>
    <w:rsid w:val="00A62F92"/>
    <w:rsid w:val="00A62FE9"/>
    <w:rsid w:val="00A6302C"/>
    <w:rsid w:val="00A63030"/>
    <w:rsid w:val="00A63054"/>
    <w:rsid w:val="00A630F1"/>
    <w:rsid w:val="00A63115"/>
    <w:rsid w:val="00A632C9"/>
    <w:rsid w:val="00A632F0"/>
    <w:rsid w:val="00A632FF"/>
    <w:rsid w:val="00A63327"/>
    <w:rsid w:val="00A63329"/>
    <w:rsid w:val="00A63335"/>
    <w:rsid w:val="00A6336E"/>
    <w:rsid w:val="00A633CB"/>
    <w:rsid w:val="00A6340B"/>
    <w:rsid w:val="00A6348D"/>
    <w:rsid w:val="00A634D3"/>
    <w:rsid w:val="00A6351B"/>
    <w:rsid w:val="00A6352A"/>
    <w:rsid w:val="00A63538"/>
    <w:rsid w:val="00A63586"/>
    <w:rsid w:val="00A635A0"/>
    <w:rsid w:val="00A635C6"/>
    <w:rsid w:val="00A635CD"/>
    <w:rsid w:val="00A635E0"/>
    <w:rsid w:val="00A635F8"/>
    <w:rsid w:val="00A635F9"/>
    <w:rsid w:val="00A63606"/>
    <w:rsid w:val="00A63625"/>
    <w:rsid w:val="00A63662"/>
    <w:rsid w:val="00A63666"/>
    <w:rsid w:val="00A6367C"/>
    <w:rsid w:val="00A636DE"/>
    <w:rsid w:val="00A636E6"/>
    <w:rsid w:val="00A63766"/>
    <w:rsid w:val="00A637FC"/>
    <w:rsid w:val="00A63804"/>
    <w:rsid w:val="00A63832"/>
    <w:rsid w:val="00A63857"/>
    <w:rsid w:val="00A638AA"/>
    <w:rsid w:val="00A638BA"/>
    <w:rsid w:val="00A638CB"/>
    <w:rsid w:val="00A638D4"/>
    <w:rsid w:val="00A638E2"/>
    <w:rsid w:val="00A63923"/>
    <w:rsid w:val="00A63926"/>
    <w:rsid w:val="00A63930"/>
    <w:rsid w:val="00A6394C"/>
    <w:rsid w:val="00A63A11"/>
    <w:rsid w:val="00A63A30"/>
    <w:rsid w:val="00A63A5E"/>
    <w:rsid w:val="00A63A91"/>
    <w:rsid w:val="00A63AAC"/>
    <w:rsid w:val="00A63AD9"/>
    <w:rsid w:val="00A63B14"/>
    <w:rsid w:val="00A63B33"/>
    <w:rsid w:val="00A63B55"/>
    <w:rsid w:val="00A63B6F"/>
    <w:rsid w:val="00A63C00"/>
    <w:rsid w:val="00A63C6F"/>
    <w:rsid w:val="00A63C70"/>
    <w:rsid w:val="00A63D4D"/>
    <w:rsid w:val="00A63E49"/>
    <w:rsid w:val="00A63E4B"/>
    <w:rsid w:val="00A63E83"/>
    <w:rsid w:val="00A63EF5"/>
    <w:rsid w:val="00A63F18"/>
    <w:rsid w:val="00A63F22"/>
    <w:rsid w:val="00A63F8A"/>
    <w:rsid w:val="00A63F99"/>
    <w:rsid w:val="00A63FCB"/>
    <w:rsid w:val="00A64045"/>
    <w:rsid w:val="00A6407E"/>
    <w:rsid w:val="00A6409D"/>
    <w:rsid w:val="00A640B7"/>
    <w:rsid w:val="00A6410C"/>
    <w:rsid w:val="00A6411A"/>
    <w:rsid w:val="00A6412E"/>
    <w:rsid w:val="00A64175"/>
    <w:rsid w:val="00A64183"/>
    <w:rsid w:val="00A642CE"/>
    <w:rsid w:val="00A64306"/>
    <w:rsid w:val="00A64338"/>
    <w:rsid w:val="00A6438C"/>
    <w:rsid w:val="00A643EE"/>
    <w:rsid w:val="00A64441"/>
    <w:rsid w:val="00A6445F"/>
    <w:rsid w:val="00A6449A"/>
    <w:rsid w:val="00A644C6"/>
    <w:rsid w:val="00A644DA"/>
    <w:rsid w:val="00A644DC"/>
    <w:rsid w:val="00A64516"/>
    <w:rsid w:val="00A64569"/>
    <w:rsid w:val="00A645A2"/>
    <w:rsid w:val="00A645B3"/>
    <w:rsid w:val="00A6462E"/>
    <w:rsid w:val="00A64646"/>
    <w:rsid w:val="00A64677"/>
    <w:rsid w:val="00A64696"/>
    <w:rsid w:val="00A64711"/>
    <w:rsid w:val="00A64735"/>
    <w:rsid w:val="00A64783"/>
    <w:rsid w:val="00A64787"/>
    <w:rsid w:val="00A647B7"/>
    <w:rsid w:val="00A647CA"/>
    <w:rsid w:val="00A64860"/>
    <w:rsid w:val="00A64872"/>
    <w:rsid w:val="00A64877"/>
    <w:rsid w:val="00A648DD"/>
    <w:rsid w:val="00A648FC"/>
    <w:rsid w:val="00A64937"/>
    <w:rsid w:val="00A64975"/>
    <w:rsid w:val="00A64988"/>
    <w:rsid w:val="00A649D6"/>
    <w:rsid w:val="00A649DA"/>
    <w:rsid w:val="00A64A04"/>
    <w:rsid w:val="00A64AD4"/>
    <w:rsid w:val="00A64B02"/>
    <w:rsid w:val="00A64B41"/>
    <w:rsid w:val="00A64BA1"/>
    <w:rsid w:val="00A64BA6"/>
    <w:rsid w:val="00A64C95"/>
    <w:rsid w:val="00A64D0F"/>
    <w:rsid w:val="00A64D1F"/>
    <w:rsid w:val="00A64D85"/>
    <w:rsid w:val="00A64DC8"/>
    <w:rsid w:val="00A64DDE"/>
    <w:rsid w:val="00A64E4E"/>
    <w:rsid w:val="00A64E78"/>
    <w:rsid w:val="00A64E82"/>
    <w:rsid w:val="00A64EAB"/>
    <w:rsid w:val="00A64EE4"/>
    <w:rsid w:val="00A64F17"/>
    <w:rsid w:val="00A64F36"/>
    <w:rsid w:val="00A64F66"/>
    <w:rsid w:val="00A64FE7"/>
    <w:rsid w:val="00A64FEE"/>
    <w:rsid w:val="00A64FFE"/>
    <w:rsid w:val="00A65022"/>
    <w:rsid w:val="00A65023"/>
    <w:rsid w:val="00A6505C"/>
    <w:rsid w:val="00A6507A"/>
    <w:rsid w:val="00A6508E"/>
    <w:rsid w:val="00A65090"/>
    <w:rsid w:val="00A650A9"/>
    <w:rsid w:val="00A65158"/>
    <w:rsid w:val="00A65159"/>
    <w:rsid w:val="00A651AD"/>
    <w:rsid w:val="00A651B0"/>
    <w:rsid w:val="00A651DB"/>
    <w:rsid w:val="00A65202"/>
    <w:rsid w:val="00A6520F"/>
    <w:rsid w:val="00A65224"/>
    <w:rsid w:val="00A6523B"/>
    <w:rsid w:val="00A65246"/>
    <w:rsid w:val="00A6524D"/>
    <w:rsid w:val="00A6526B"/>
    <w:rsid w:val="00A652BD"/>
    <w:rsid w:val="00A652BE"/>
    <w:rsid w:val="00A653E7"/>
    <w:rsid w:val="00A653EA"/>
    <w:rsid w:val="00A653F6"/>
    <w:rsid w:val="00A6540D"/>
    <w:rsid w:val="00A65431"/>
    <w:rsid w:val="00A6548A"/>
    <w:rsid w:val="00A654E3"/>
    <w:rsid w:val="00A654F9"/>
    <w:rsid w:val="00A654FA"/>
    <w:rsid w:val="00A654FB"/>
    <w:rsid w:val="00A6551D"/>
    <w:rsid w:val="00A6556F"/>
    <w:rsid w:val="00A6558F"/>
    <w:rsid w:val="00A655BE"/>
    <w:rsid w:val="00A6561F"/>
    <w:rsid w:val="00A656AC"/>
    <w:rsid w:val="00A6572B"/>
    <w:rsid w:val="00A65789"/>
    <w:rsid w:val="00A657BD"/>
    <w:rsid w:val="00A657EF"/>
    <w:rsid w:val="00A657F4"/>
    <w:rsid w:val="00A65870"/>
    <w:rsid w:val="00A65899"/>
    <w:rsid w:val="00A658D9"/>
    <w:rsid w:val="00A6596E"/>
    <w:rsid w:val="00A65A01"/>
    <w:rsid w:val="00A65A1A"/>
    <w:rsid w:val="00A65A5E"/>
    <w:rsid w:val="00A65B30"/>
    <w:rsid w:val="00A65B36"/>
    <w:rsid w:val="00A65B59"/>
    <w:rsid w:val="00A65B83"/>
    <w:rsid w:val="00A65BAF"/>
    <w:rsid w:val="00A65BB0"/>
    <w:rsid w:val="00A65BD5"/>
    <w:rsid w:val="00A65BF4"/>
    <w:rsid w:val="00A65C0C"/>
    <w:rsid w:val="00A65C4B"/>
    <w:rsid w:val="00A65C62"/>
    <w:rsid w:val="00A65CA2"/>
    <w:rsid w:val="00A65CC1"/>
    <w:rsid w:val="00A65CC8"/>
    <w:rsid w:val="00A65CE7"/>
    <w:rsid w:val="00A65D23"/>
    <w:rsid w:val="00A65D6A"/>
    <w:rsid w:val="00A65D81"/>
    <w:rsid w:val="00A65DBE"/>
    <w:rsid w:val="00A65DC7"/>
    <w:rsid w:val="00A65DFA"/>
    <w:rsid w:val="00A65E3C"/>
    <w:rsid w:val="00A65E61"/>
    <w:rsid w:val="00A65E86"/>
    <w:rsid w:val="00A65EBD"/>
    <w:rsid w:val="00A65EC0"/>
    <w:rsid w:val="00A65ED2"/>
    <w:rsid w:val="00A65F44"/>
    <w:rsid w:val="00A65F7E"/>
    <w:rsid w:val="00A65FD0"/>
    <w:rsid w:val="00A6601B"/>
    <w:rsid w:val="00A66037"/>
    <w:rsid w:val="00A6604F"/>
    <w:rsid w:val="00A66069"/>
    <w:rsid w:val="00A660B7"/>
    <w:rsid w:val="00A66115"/>
    <w:rsid w:val="00A66143"/>
    <w:rsid w:val="00A661C9"/>
    <w:rsid w:val="00A66237"/>
    <w:rsid w:val="00A66257"/>
    <w:rsid w:val="00A662B4"/>
    <w:rsid w:val="00A66327"/>
    <w:rsid w:val="00A66360"/>
    <w:rsid w:val="00A66384"/>
    <w:rsid w:val="00A663C1"/>
    <w:rsid w:val="00A663C3"/>
    <w:rsid w:val="00A663D1"/>
    <w:rsid w:val="00A663D4"/>
    <w:rsid w:val="00A663EF"/>
    <w:rsid w:val="00A66429"/>
    <w:rsid w:val="00A66442"/>
    <w:rsid w:val="00A66465"/>
    <w:rsid w:val="00A664A4"/>
    <w:rsid w:val="00A664C1"/>
    <w:rsid w:val="00A6652B"/>
    <w:rsid w:val="00A665CF"/>
    <w:rsid w:val="00A665F0"/>
    <w:rsid w:val="00A6663D"/>
    <w:rsid w:val="00A666B9"/>
    <w:rsid w:val="00A666E4"/>
    <w:rsid w:val="00A666E8"/>
    <w:rsid w:val="00A6678C"/>
    <w:rsid w:val="00A6679D"/>
    <w:rsid w:val="00A66941"/>
    <w:rsid w:val="00A6699C"/>
    <w:rsid w:val="00A669B6"/>
    <w:rsid w:val="00A669EB"/>
    <w:rsid w:val="00A66A12"/>
    <w:rsid w:val="00A66A1D"/>
    <w:rsid w:val="00A66A6A"/>
    <w:rsid w:val="00A66A85"/>
    <w:rsid w:val="00A66AAF"/>
    <w:rsid w:val="00A66B18"/>
    <w:rsid w:val="00A66B44"/>
    <w:rsid w:val="00A66B9B"/>
    <w:rsid w:val="00A66BD0"/>
    <w:rsid w:val="00A66BE9"/>
    <w:rsid w:val="00A66BFB"/>
    <w:rsid w:val="00A66C4C"/>
    <w:rsid w:val="00A66C50"/>
    <w:rsid w:val="00A66C58"/>
    <w:rsid w:val="00A66C64"/>
    <w:rsid w:val="00A66CA7"/>
    <w:rsid w:val="00A66D2B"/>
    <w:rsid w:val="00A66D47"/>
    <w:rsid w:val="00A66D87"/>
    <w:rsid w:val="00A66D91"/>
    <w:rsid w:val="00A66DA2"/>
    <w:rsid w:val="00A66DAE"/>
    <w:rsid w:val="00A66DAF"/>
    <w:rsid w:val="00A66DB9"/>
    <w:rsid w:val="00A66DC4"/>
    <w:rsid w:val="00A66E1E"/>
    <w:rsid w:val="00A66E75"/>
    <w:rsid w:val="00A66E80"/>
    <w:rsid w:val="00A66E90"/>
    <w:rsid w:val="00A66EB7"/>
    <w:rsid w:val="00A66F27"/>
    <w:rsid w:val="00A66F39"/>
    <w:rsid w:val="00A66F9E"/>
    <w:rsid w:val="00A67063"/>
    <w:rsid w:val="00A670B0"/>
    <w:rsid w:val="00A670C2"/>
    <w:rsid w:val="00A670D4"/>
    <w:rsid w:val="00A67107"/>
    <w:rsid w:val="00A67154"/>
    <w:rsid w:val="00A67177"/>
    <w:rsid w:val="00A671C0"/>
    <w:rsid w:val="00A671E6"/>
    <w:rsid w:val="00A671E7"/>
    <w:rsid w:val="00A6722D"/>
    <w:rsid w:val="00A67253"/>
    <w:rsid w:val="00A672FE"/>
    <w:rsid w:val="00A6733F"/>
    <w:rsid w:val="00A6737B"/>
    <w:rsid w:val="00A673FB"/>
    <w:rsid w:val="00A67414"/>
    <w:rsid w:val="00A67424"/>
    <w:rsid w:val="00A6743E"/>
    <w:rsid w:val="00A6746B"/>
    <w:rsid w:val="00A67477"/>
    <w:rsid w:val="00A674E1"/>
    <w:rsid w:val="00A67572"/>
    <w:rsid w:val="00A67576"/>
    <w:rsid w:val="00A67583"/>
    <w:rsid w:val="00A675B5"/>
    <w:rsid w:val="00A675FA"/>
    <w:rsid w:val="00A67600"/>
    <w:rsid w:val="00A67617"/>
    <w:rsid w:val="00A67656"/>
    <w:rsid w:val="00A676A5"/>
    <w:rsid w:val="00A676BC"/>
    <w:rsid w:val="00A676C5"/>
    <w:rsid w:val="00A676D1"/>
    <w:rsid w:val="00A67751"/>
    <w:rsid w:val="00A67768"/>
    <w:rsid w:val="00A67860"/>
    <w:rsid w:val="00A67862"/>
    <w:rsid w:val="00A67891"/>
    <w:rsid w:val="00A67927"/>
    <w:rsid w:val="00A67944"/>
    <w:rsid w:val="00A6794D"/>
    <w:rsid w:val="00A67963"/>
    <w:rsid w:val="00A679A1"/>
    <w:rsid w:val="00A67A15"/>
    <w:rsid w:val="00A67A1D"/>
    <w:rsid w:val="00A67A45"/>
    <w:rsid w:val="00A67A8A"/>
    <w:rsid w:val="00A67AC4"/>
    <w:rsid w:val="00A67B72"/>
    <w:rsid w:val="00A67B89"/>
    <w:rsid w:val="00A67BC0"/>
    <w:rsid w:val="00A67BEC"/>
    <w:rsid w:val="00A67BED"/>
    <w:rsid w:val="00A67C5B"/>
    <w:rsid w:val="00A67C68"/>
    <w:rsid w:val="00A67C69"/>
    <w:rsid w:val="00A67CAB"/>
    <w:rsid w:val="00A67CF9"/>
    <w:rsid w:val="00A67D2D"/>
    <w:rsid w:val="00A67D37"/>
    <w:rsid w:val="00A67D73"/>
    <w:rsid w:val="00A67D81"/>
    <w:rsid w:val="00A67D85"/>
    <w:rsid w:val="00A67D99"/>
    <w:rsid w:val="00A67DAC"/>
    <w:rsid w:val="00A67DCB"/>
    <w:rsid w:val="00A67E01"/>
    <w:rsid w:val="00A67E5B"/>
    <w:rsid w:val="00A67E7F"/>
    <w:rsid w:val="00A67E87"/>
    <w:rsid w:val="00A67EF8"/>
    <w:rsid w:val="00A67F34"/>
    <w:rsid w:val="00A67F71"/>
    <w:rsid w:val="00A67F83"/>
    <w:rsid w:val="00A67FA1"/>
    <w:rsid w:val="00A67FD6"/>
    <w:rsid w:val="00A67FD9"/>
    <w:rsid w:val="00A67FE8"/>
    <w:rsid w:val="00A7005C"/>
    <w:rsid w:val="00A70091"/>
    <w:rsid w:val="00A700E5"/>
    <w:rsid w:val="00A7017E"/>
    <w:rsid w:val="00A701BA"/>
    <w:rsid w:val="00A702C7"/>
    <w:rsid w:val="00A702C8"/>
    <w:rsid w:val="00A70329"/>
    <w:rsid w:val="00A70333"/>
    <w:rsid w:val="00A703A7"/>
    <w:rsid w:val="00A703C9"/>
    <w:rsid w:val="00A7041B"/>
    <w:rsid w:val="00A7049F"/>
    <w:rsid w:val="00A705CE"/>
    <w:rsid w:val="00A705D7"/>
    <w:rsid w:val="00A705DD"/>
    <w:rsid w:val="00A705FF"/>
    <w:rsid w:val="00A70647"/>
    <w:rsid w:val="00A706C8"/>
    <w:rsid w:val="00A706D5"/>
    <w:rsid w:val="00A706D8"/>
    <w:rsid w:val="00A706E1"/>
    <w:rsid w:val="00A70711"/>
    <w:rsid w:val="00A707A2"/>
    <w:rsid w:val="00A707B0"/>
    <w:rsid w:val="00A707C0"/>
    <w:rsid w:val="00A707C5"/>
    <w:rsid w:val="00A7081E"/>
    <w:rsid w:val="00A7085F"/>
    <w:rsid w:val="00A70920"/>
    <w:rsid w:val="00A7093D"/>
    <w:rsid w:val="00A709D2"/>
    <w:rsid w:val="00A70A07"/>
    <w:rsid w:val="00A70A0B"/>
    <w:rsid w:val="00A70A0C"/>
    <w:rsid w:val="00A70A47"/>
    <w:rsid w:val="00A70A74"/>
    <w:rsid w:val="00A70AB3"/>
    <w:rsid w:val="00A70AB6"/>
    <w:rsid w:val="00A70AC4"/>
    <w:rsid w:val="00A70AC5"/>
    <w:rsid w:val="00A70ADA"/>
    <w:rsid w:val="00A70AE2"/>
    <w:rsid w:val="00A70C1F"/>
    <w:rsid w:val="00A70C63"/>
    <w:rsid w:val="00A70C84"/>
    <w:rsid w:val="00A70C8D"/>
    <w:rsid w:val="00A70C92"/>
    <w:rsid w:val="00A70C9D"/>
    <w:rsid w:val="00A70CDB"/>
    <w:rsid w:val="00A70D01"/>
    <w:rsid w:val="00A70D12"/>
    <w:rsid w:val="00A70D6B"/>
    <w:rsid w:val="00A70D77"/>
    <w:rsid w:val="00A70D82"/>
    <w:rsid w:val="00A70DD6"/>
    <w:rsid w:val="00A70E51"/>
    <w:rsid w:val="00A70E54"/>
    <w:rsid w:val="00A70EBB"/>
    <w:rsid w:val="00A70EDF"/>
    <w:rsid w:val="00A70EF0"/>
    <w:rsid w:val="00A70F16"/>
    <w:rsid w:val="00A70F24"/>
    <w:rsid w:val="00A70F2A"/>
    <w:rsid w:val="00A70F31"/>
    <w:rsid w:val="00A70F49"/>
    <w:rsid w:val="00A70F4E"/>
    <w:rsid w:val="00A70F6B"/>
    <w:rsid w:val="00A70F72"/>
    <w:rsid w:val="00A70FA4"/>
    <w:rsid w:val="00A70FB0"/>
    <w:rsid w:val="00A70FF3"/>
    <w:rsid w:val="00A71032"/>
    <w:rsid w:val="00A710A5"/>
    <w:rsid w:val="00A710C0"/>
    <w:rsid w:val="00A71120"/>
    <w:rsid w:val="00A71155"/>
    <w:rsid w:val="00A71172"/>
    <w:rsid w:val="00A71271"/>
    <w:rsid w:val="00A712D9"/>
    <w:rsid w:val="00A712EF"/>
    <w:rsid w:val="00A71369"/>
    <w:rsid w:val="00A7145A"/>
    <w:rsid w:val="00A71476"/>
    <w:rsid w:val="00A7148E"/>
    <w:rsid w:val="00A71505"/>
    <w:rsid w:val="00A71518"/>
    <w:rsid w:val="00A71667"/>
    <w:rsid w:val="00A71683"/>
    <w:rsid w:val="00A716D0"/>
    <w:rsid w:val="00A71721"/>
    <w:rsid w:val="00A7172A"/>
    <w:rsid w:val="00A71754"/>
    <w:rsid w:val="00A7175F"/>
    <w:rsid w:val="00A71780"/>
    <w:rsid w:val="00A71879"/>
    <w:rsid w:val="00A7188E"/>
    <w:rsid w:val="00A71893"/>
    <w:rsid w:val="00A7189C"/>
    <w:rsid w:val="00A718C6"/>
    <w:rsid w:val="00A71912"/>
    <w:rsid w:val="00A7191A"/>
    <w:rsid w:val="00A71922"/>
    <w:rsid w:val="00A7197D"/>
    <w:rsid w:val="00A71A2B"/>
    <w:rsid w:val="00A71A6A"/>
    <w:rsid w:val="00A71AAA"/>
    <w:rsid w:val="00A71AB5"/>
    <w:rsid w:val="00A71B1D"/>
    <w:rsid w:val="00A71B3B"/>
    <w:rsid w:val="00A71B59"/>
    <w:rsid w:val="00A71B8A"/>
    <w:rsid w:val="00A71B97"/>
    <w:rsid w:val="00A71B98"/>
    <w:rsid w:val="00A71B9B"/>
    <w:rsid w:val="00A71BB3"/>
    <w:rsid w:val="00A71BB5"/>
    <w:rsid w:val="00A71C1D"/>
    <w:rsid w:val="00A71C3C"/>
    <w:rsid w:val="00A71C96"/>
    <w:rsid w:val="00A71CAC"/>
    <w:rsid w:val="00A71CD4"/>
    <w:rsid w:val="00A71CE3"/>
    <w:rsid w:val="00A71D08"/>
    <w:rsid w:val="00A71D25"/>
    <w:rsid w:val="00A71DD9"/>
    <w:rsid w:val="00A71DEB"/>
    <w:rsid w:val="00A71E6F"/>
    <w:rsid w:val="00A71E7D"/>
    <w:rsid w:val="00A71F2B"/>
    <w:rsid w:val="00A71F36"/>
    <w:rsid w:val="00A71FAA"/>
    <w:rsid w:val="00A71FAD"/>
    <w:rsid w:val="00A71FF8"/>
    <w:rsid w:val="00A71FF9"/>
    <w:rsid w:val="00A72012"/>
    <w:rsid w:val="00A7202E"/>
    <w:rsid w:val="00A72034"/>
    <w:rsid w:val="00A72036"/>
    <w:rsid w:val="00A72038"/>
    <w:rsid w:val="00A72050"/>
    <w:rsid w:val="00A7206D"/>
    <w:rsid w:val="00A72087"/>
    <w:rsid w:val="00A7209D"/>
    <w:rsid w:val="00A720C4"/>
    <w:rsid w:val="00A720DA"/>
    <w:rsid w:val="00A720E2"/>
    <w:rsid w:val="00A72110"/>
    <w:rsid w:val="00A721A0"/>
    <w:rsid w:val="00A721C3"/>
    <w:rsid w:val="00A721DC"/>
    <w:rsid w:val="00A72222"/>
    <w:rsid w:val="00A722AB"/>
    <w:rsid w:val="00A722F1"/>
    <w:rsid w:val="00A722F6"/>
    <w:rsid w:val="00A72341"/>
    <w:rsid w:val="00A7238C"/>
    <w:rsid w:val="00A723BB"/>
    <w:rsid w:val="00A723BF"/>
    <w:rsid w:val="00A72402"/>
    <w:rsid w:val="00A724DE"/>
    <w:rsid w:val="00A724F9"/>
    <w:rsid w:val="00A72566"/>
    <w:rsid w:val="00A72568"/>
    <w:rsid w:val="00A7257A"/>
    <w:rsid w:val="00A725A0"/>
    <w:rsid w:val="00A7261B"/>
    <w:rsid w:val="00A72692"/>
    <w:rsid w:val="00A72748"/>
    <w:rsid w:val="00A72757"/>
    <w:rsid w:val="00A727A4"/>
    <w:rsid w:val="00A727AD"/>
    <w:rsid w:val="00A727BF"/>
    <w:rsid w:val="00A72802"/>
    <w:rsid w:val="00A7282B"/>
    <w:rsid w:val="00A72857"/>
    <w:rsid w:val="00A728B2"/>
    <w:rsid w:val="00A728B4"/>
    <w:rsid w:val="00A728D8"/>
    <w:rsid w:val="00A72905"/>
    <w:rsid w:val="00A729CA"/>
    <w:rsid w:val="00A72A3B"/>
    <w:rsid w:val="00A72A44"/>
    <w:rsid w:val="00A72A4F"/>
    <w:rsid w:val="00A72AB4"/>
    <w:rsid w:val="00A72ABC"/>
    <w:rsid w:val="00A72AE0"/>
    <w:rsid w:val="00A72AF9"/>
    <w:rsid w:val="00A72B63"/>
    <w:rsid w:val="00A72C13"/>
    <w:rsid w:val="00A72C17"/>
    <w:rsid w:val="00A72C74"/>
    <w:rsid w:val="00A72D0B"/>
    <w:rsid w:val="00A72D2C"/>
    <w:rsid w:val="00A72D45"/>
    <w:rsid w:val="00A72D50"/>
    <w:rsid w:val="00A72DA3"/>
    <w:rsid w:val="00A72DED"/>
    <w:rsid w:val="00A72E10"/>
    <w:rsid w:val="00A72E3D"/>
    <w:rsid w:val="00A72E44"/>
    <w:rsid w:val="00A72E4A"/>
    <w:rsid w:val="00A72E62"/>
    <w:rsid w:val="00A72E8F"/>
    <w:rsid w:val="00A72ED8"/>
    <w:rsid w:val="00A72EF5"/>
    <w:rsid w:val="00A72F02"/>
    <w:rsid w:val="00A72F3B"/>
    <w:rsid w:val="00A72FE7"/>
    <w:rsid w:val="00A73026"/>
    <w:rsid w:val="00A73050"/>
    <w:rsid w:val="00A73054"/>
    <w:rsid w:val="00A73097"/>
    <w:rsid w:val="00A730A9"/>
    <w:rsid w:val="00A730DC"/>
    <w:rsid w:val="00A7314E"/>
    <w:rsid w:val="00A73170"/>
    <w:rsid w:val="00A731B7"/>
    <w:rsid w:val="00A731E4"/>
    <w:rsid w:val="00A731EE"/>
    <w:rsid w:val="00A73243"/>
    <w:rsid w:val="00A73260"/>
    <w:rsid w:val="00A732A8"/>
    <w:rsid w:val="00A732D0"/>
    <w:rsid w:val="00A732D7"/>
    <w:rsid w:val="00A7331A"/>
    <w:rsid w:val="00A7331B"/>
    <w:rsid w:val="00A7335F"/>
    <w:rsid w:val="00A73368"/>
    <w:rsid w:val="00A7337E"/>
    <w:rsid w:val="00A733B5"/>
    <w:rsid w:val="00A733F2"/>
    <w:rsid w:val="00A73421"/>
    <w:rsid w:val="00A73436"/>
    <w:rsid w:val="00A73451"/>
    <w:rsid w:val="00A7349A"/>
    <w:rsid w:val="00A734D3"/>
    <w:rsid w:val="00A734DB"/>
    <w:rsid w:val="00A734FF"/>
    <w:rsid w:val="00A73541"/>
    <w:rsid w:val="00A73564"/>
    <w:rsid w:val="00A73583"/>
    <w:rsid w:val="00A7358F"/>
    <w:rsid w:val="00A735C8"/>
    <w:rsid w:val="00A735FA"/>
    <w:rsid w:val="00A73626"/>
    <w:rsid w:val="00A7362D"/>
    <w:rsid w:val="00A73684"/>
    <w:rsid w:val="00A736DB"/>
    <w:rsid w:val="00A736E9"/>
    <w:rsid w:val="00A73729"/>
    <w:rsid w:val="00A73784"/>
    <w:rsid w:val="00A737CE"/>
    <w:rsid w:val="00A737E7"/>
    <w:rsid w:val="00A737FC"/>
    <w:rsid w:val="00A73820"/>
    <w:rsid w:val="00A73828"/>
    <w:rsid w:val="00A73852"/>
    <w:rsid w:val="00A7386C"/>
    <w:rsid w:val="00A73892"/>
    <w:rsid w:val="00A738A3"/>
    <w:rsid w:val="00A738EF"/>
    <w:rsid w:val="00A73931"/>
    <w:rsid w:val="00A7395C"/>
    <w:rsid w:val="00A739B3"/>
    <w:rsid w:val="00A739B6"/>
    <w:rsid w:val="00A739BD"/>
    <w:rsid w:val="00A73A65"/>
    <w:rsid w:val="00A73A89"/>
    <w:rsid w:val="00A73B10"/>
    <w:rsid w:val="00A73B27"/>
    <w:rsid w:val="00A73BE4"/>
    <w:rsid w:val="00A73C55"/>
    <w:rsid w:val="00A73C62"/>
    <w:rsid w:val="00A73C9A"/>
    <w:rsid w:val="00A73DAB"/>
    <w:rsid w:val="00A73DD0"/>
    <w:rsid w:val="00A73E04"/>
    <w:rsid w:val="00A73E5C"/>
    <w:rsid w:val="00A73EA3"/>
    <w:rsid w:val="00A73EB3"/>
    <w:rsid w:val="00A73EC9"/>
    <w:rsid w:val="00A73EE5"/>
    <w:rsid w:val="00A73EFA"/>
    <w:rsid w:val="00A73F55"/>
    <w:rsid w:val="00A73F7B"/>
    <w:rsid w:val="00A73F8B"/>
    <w:rsid w:val="00A73FDA"/>
    <w:rsid w:val="00A7408F"/>
    <w:rsid w:val="00A740F6"/>
    <w:rsid w:val="00A74145"/>
    <w:rsid w:val="00A74158"/>
    <w:rsid w:val="00A74177"/>
    <w:rsid w:val="00A74264"/>
    <w:rsid w:val="00A742AA"/>
    <w:rsid w:val="00A742CA"/>
    <w:rsid w:val="00A742EF"/>
    <w:rsid w:val="00A742F5"/>
    <w:rsid w:val="00A7430C"/>
    <w:rsid w:val="00A7430F"/>
    <w:rsid w:val="00A74338"/>
    <w:rsid w:val="00A743EB"/>
    <w:rsid w:val="00A743FA"/>
    <w:rsid w:val="00A74418"/>
    <w:rsid w:val="00A74463"/>
    <w:rsid w:val="00A74553"/>
    <w:rsid w:val="00A7455A"/>
    <w:rsid w:val="00A7457C"/>
    <w:rsid w:val="00A745B5"/>
    <w:rsid w:val="00A745FF"/>
    <w:rsid w:val="00A74639"/>
    <w:rsid w:val="00A7463D"/>
    <w:rsid w:val="00A74731"/>
    <w:rsid w:val="00A74754"/>
    <w:rsid w:val="00A747A6"/>
    <w:rsid w:val="00A747CC"/>
    <w:rsid w:val="00A74875"/>
    <w:rsid w:val="00A748F4"/>
    <w:rsid w:val="00A74927"/>
    <w:rsid w:val="00A7493E"/>
    <w:rsid w:val="00A74946"/>
    <w:rsid w:val="00A74971"/>
    <w:rsid w:val="00A7499F"/>
    <w:rsid w:val="00A749BD"/>
    <w:rsid w:val="00A749E1"/>
    <w:rsid w:val="00A749F2"/>
    <w:rsid w:val="00A74A04"/>
    <w:rsid w:val="00A74A8A"/>
    <w:rsid w:val="00A74AC8"/>
    <w:rsid w:val="00A74ACC"/>
    <w:rsid w:val="00A74ADC"/>
    <w:rsid w:val="00A74AEE"/>
    <w:rsid w:val="00A74B25"/>
    <w:rsid w:val="00A74B81"/>
    <w:rsid w:val="00A74BF4"/>
    <w:rsid w:val="00A74C8E"/>
    <w:rsid w:val="00A74C96"/>
    <w:rsid w:val="00A74CAB"/>
    <w:rsid w:val="00A74D35"/>
    <w:rsid w:val="00A74D3B"/>
    <w:rsid w:val="00A74D81"/>
    <w:rsid w:val="00A74D83"/>
    <w:rsid w:val="00A74DF6"/>
    <w:rsid w:val="00A74E22"/>
    <w:rsid w:val="00A74E33"/>
    <w:rsid w:val="00A74E7C"/>
    <w:rsid w:val="00A74E7D"/>
    <w:rsid w:val="00A74E9D"/>
    <w:rsid w:val="00A74EC1"/>
    <w:rsid w:val="00A74EDB"/>
    <w:rsid w:val="00A74EE9"/>
    <w:rsid w:val="00A74EEB"/>
    <w:rsid w:val="00A74F48"/>
    <w:rsid w:val="00A74FC6"/>
    <w:rsid w:val="00A7510E"/>
    <w:rsid w:val="00A75161"/>
    <w:rsid w:val="00A75175"/>
    <w:rsid w:val="00A75197"/>
    <w:rsid w:val="00A751EB"/>
    <w:rsid w:val="00A7523C"/>
    <w:rsid w:val="00A752D2"/>
    <w:rsid w:val="00A752EF"/>
    <w:rsid w:val="00A75310"/>
    <w:rsid w:val="00A75349"/>
    <w:rsid w:val="00A7535C"/>
    <w:rsid w:val="00A75371"/>
    <w:rsid w:val="00A75395"/>
    <w:rsid w:val="00A7539A"/>
    <w:rsid w:val="00A753FA"/>
    <w:rsid w:val="00A7540C"/>
    <w:rsid w:val="00A75473"/>
    <w:rsid w:val="00A75485"/>
    <w:rsid w:val="00A7548C"/>
    <w:rsid w:val="00A75505"/>
    <w:rsid w:val="00A75540"/>
    <w:rsid w:val="00A7559B"/>
    <w:rsid w:val="00A755A7"/>
    <w:rsid w:val="00A755A9"/>
    <w:rsid w:val="00A75608"/>
    <w:rsid w:val="00A75677"/>
    <w:rsid w:val="00A7567E"/>
    <w:rsid w:val="00A75692"/>
    <w:rsid w:val="00A756C3"/>
    <w:rsid w:val="00A756EC"/>
    <w:rsid w:val="00A75730"/>
    <w:rsid w:val="00A75754"/>
    <w:rsid w:val="00A75760"/>
    <w:rsid w:val="00A757FD"/>
    <w:rsid w:val="00A75822"/>
    <w:rsid w:val="00A75860"/>
    <w:rsid w:val="00A758F3"/>
    <w:rsid w:val="00A758FA"/>
    <w:rsid w:val="00A7590A"/>
    <w:rsid w:val="00A7597B"/>
    <w:rsid w:val="00A759EA"/>
    <w:rsid w:val="00A759ED"/>
    <w:rsid w:val="00A75A49"/>
    <w:rsid w:val="00A75A7B"/>
    <w:rsid w:val="00A75AD5"/>
    <w:rsid w:val="00A75AF1"/>
    <w:rsid w:val="00A75B49"/>
    <w:rsid w:val="00A75B5C"/>
    <w:rsid w:val="00A75B64"/>
    <w:rsid w:val="00A75B9F"/>
    <w:rsid w:val="00A75BF6"/>
    <w:rsid w:val="00A75C05"/>
    <w:rsid w:val="00A75C20"/>
    <w:rsid w:val="00A75C2C"/>
    <w:rsid w:val="00A75C45"/>
    <w:rsid w:val="00A75C5F"/>
    <w:rsid w:val="00A75C87"/>
    <w:rsid w:val="00A75C94"/>
    <w:rsid w:val="00A75CBC"/>
    <w:rsid w:val="00A75CE9"/>
    <w:rsid w:val="00A75D27"/>
    <w:rsid w:val="00A75DD6"/>
    <w:rsid w:val="00A75E06"/>
    <w:rsid w:val="00A75E13"/>
    <w:rsid w:val="00A75E55"/>
    <w:rsid w:val="00A75E65"/>
    <w:rsid w:val="00A75E83"/>
    <w:rsid w:val="00A75EEE"/>
    <w:rsid w:val="00A75F38"/>
    <w:rsid w:val="00A75FA9"/>
    <w:rsid w:val="00A75FE3"/>
    <w:rsid w:val="00A75FE9"/>
    <w:rsid w:val="00A76002"/>
    <w:rsid w:val="00A7601B"/>
    <w:rsid w:val="00A76053"/>
    <w:rsid w:val="00A76063"/>
    <w:rsid w:val="00A760CE"/>
    <w:rsid w:val="00A76189"/>
    <w:rsid w:val="00A761CC"/>
    <w:rsid w:val="00A761E2"/>
    <w:rsid w:val="00A761F7"/>
    <w:rsid w:val="00A76225"/>
    <w:rsid w:val="00A76291"/>
    <w:rsid w:val="00A762A0"/>
    <w:rsid w:val="00A762B2"/>
    <w:rsid w:val="00A762DB"/>
    <w:rsid w:val="00A76343"/>
    <w:rsid w:val="00A76370"/>
    <w:rsid w:val="00A7638E"/>
    <w:rsid w:val="00A763A3"/>
    <w:rsid w:val="00A763DD"/>
    <w:rsid w:val="00A763EA"/>
    <w:rsid w:val="00A76400"/>
    <w:rsid w:val="00A76461"/>
    <w:rsid w:val="00A764CD"/>
    <w:rsid w:val="00A764FE"/>
    <w:rsid w:val="00A7656B"/>
    <w:rsid w:val="00A76581"/>
    <w:rsid w:val="00A76643"/>
    <w:rsid w:val="00A7667B"/>
    <w:rsid w:val="00A766BE"/>
    <w:rsid w:val="00A766CD"/>
    <w:rsid w:val="00A766D7"/>
    <w:rsid w:val="00A766E9"/>
    <w:rsid w:val="00A767BC"/>
    <w:rsid w:val="00A767CC"/>
    <w:rsid w:val="00A767FC"/>
    <w:rsid w:val="00A76838"/>
    <w:rsid w:val="00A7683A"/>
    <w:rsid w:val="00A76856"/>
    <w:rsid w:val="00A7685C"/>
    <w:rsid w:val="00A76866"/>
    <w:rsid w:val="00A76923"/>
    <w:rsid w:val="00A769A3"/>
    <w:rsid w:val="00A76A36"/>
    <w:rsid w:val="00A76A57"/>
    <w:rsid w:val="00A76A5F"/>
    <w:rsid w:val="00A76A8D"/>
    <w:rsid w:val="00A76ABF"/>
    <w:rsid w:val="00A76AD5"/>
    <w:rsid w:val="00A76AE3"/>
    <w:rsid w:val="00A76AE8"/>
    <w:rsid w:val="00A76B2F"/>
    <w:rsid w:val="00A76B73"/>
    <w:rsid w:val="00A76B7B"/>
    <w:rsid w:val="00A76BD6"/>
    <w:rsid w:val="00A76C24"/>
    <w:rsid w:val="00A76CF1"/>
    <w:rsid w:val="00A76D05"/>
    <w:rsid w:val="00A76D18"/>
    <w:rsid w:val="00A76D30"/>
    <w:rsid w:val="00A76D53"/>
    <w:rsid w:val="00A76D58"/>
    <w:rsid w:val="00A76D62"/>
    <w:rsid w:val="00A76D72"/>
    <w:rsid w:val="00A76E06"/>
    <w:rsid w:val="00A76E5C"/>
    <w:rsid w:val="00A76EC3"/>
    <w:rsid w:val="00A76EE8"/>
    <w:rsid w:val="00A76EFB"/>
    <w:rsid w:val="00A76F3B"/>
    <w:rsid w:val="00A76F4D"/>
    <w:rsid w:val="00A76F8F"/>
    <w:rsid w:val="00A76FAB"/>
    <w:rsid w:val="00A76FDA"/>
    <w:rsid w:val="00A77000"/>
    <w:rsid w:val="00A7700C"/>
    <w:rsid w:val="00A7700E"/>
    <w:rsid w:val="00A77014"/>
    <w:rsid w:val="00A7701F"/>
    <w:rsid w:val="00A7702E"/>
    <w:rsid w:val="00A77058"/>
    <w:rsid w:val="00A770A1"/>
    <w:rsid w:val="00A770BE"/>
    <w:rsid w:val="00A770C3"/>
    <w:rsid w:val="00A770E8"/>
    <w:rsid w:val="00A7717A"/>
    <w:rsid w:val="00A77188"/>
    <w:rsid w:val="00A7718E"/>
    <w:rsid w:val="00A771A1"/>
    <w:rsid w:val="00A77258"/>
    <w:rsid w:val="00A772C9"/>
    <w:rsid w:val="00A7739D"/>
    <w:rsid w:val="00A773A8"/>
    <w:rsid w:val="00A773CD"/>
    <w:rsid w:val="00A773D7"/>
    <w:rsid w:val="00A773DC"/>
    <w:rsid w:val="00A773E2"/>
    <w:rsid w:val="00A773FC"/>
    <w:rsid w:val="00A7741E"/>
    <w:rsid w:val="00A7743A"/>
    <w:rsid w:val="00A77455"/>
    <w:rsid w:val="00A7745F"/>
    <w:rsid w:val="00A7748A"/>
    <w:rsid w:val="00A774BE"/>
    <w:rsid w:val="00A77528"/>
    <w:rsid w:val="00A77579"/>
    <w:rsid w:val="00A775D9"/>
    <w:rsid w:val="00A77602"/>
    <w:rsid w:val="00A77604"/>
    <w:rsid w:val="00A7766C"/>
    <w:rsid w:val="00A77683"/>
    <w:rsid w:val="00A776CB"/>
    <w:rsid w:val="00A77722"/>
    <w:rsid w:val="00A7774E"/>
    <w:rsid w:val="00A77758"/>
    <w:rsid w:val="00A77766"/>
    <w:rsid w:val="00A77791"/>
    <w:rsid w:val="00A777A4"/>
    <w:rsid w:val="00A777AC"/>
    <w:rsid w:val="00A7785D"/>
    <w:rsid w:val="00A7788D"/>
    <w:rsid w:val="00A778FD"/>
    <w:rsid w:val="00A7797C"/>
    <w:rsid w:val="00A77985"/>
    <w:rsid w:val="00A779F9"/>
    <w:rsid w:val="00A77A00"/>
    <w:rsid w:val="00A77A0E"/>
    <w:rsid w:val="00A77A35"/>
    <w:rsid w:val="00A77AAB"/>
    <w:rsid w:val="00A77AE5"/>
    <w:rsid w:val="00A77AE8"/>
    <w:rsid w:val="00A77B00"/>
    <w:rsid w:val="00A77B57"/>
    <w:rsid w:val="00A77B8A"/>
    <w:rsid w:val="00A77C3A"/>
    <w:rsid w:val="00A77C78"/>
    <w:rsid w:val="00A77C87"/>
    <w:rsid w:val="00A77C93"/>
    <w:rsid w:val="00A77D26"/>
    <w:rsid w:val="00A77D30"/>
    <w:rsid w:val="00A77D58"/>
    <w:rsid w:val="00A77D64"/>
    <w:rsid w:val="00A77D69"/>
    <w:rsid w:val="00A77D88"/>
    <w:rsid w:val="00A77D92"/>
    <w:rsid w:val="00A77D99"/>
    <w:rsid w:val="00A77DC7"/>
    <w:rsid w:val="00A77DE9"/>
    <w:rsid w:val="00A77E12"/>
    <w:rsid w:val="00A77E3D"/>
    <w:rsid w:val="00A77E5A"/>
    <w:rsid w:val="00A77E81"/>
    <w:rsid w:val="00A77E96"/>
    <w:rsid w:val="00A77F66"/>
    <w:rsid w:val="00A77F6E"/>
    <w:rsid w:val="00A77F89"/>
    <w:rsid w:val="00A80091"/>
    <w:rsid w:val="00A800D8"/>
    <w:rsid w:val="00A800F2"/>
    <w:rsid w:val="00A80125"/>
    <w:rsid w:val="00A8026E"/>
    <w:rsid w:val="00A8027D"/>
    <w:rsid w:val="00A80288"/>
    <w:rsid w:val="00A8028F"/>
    <w:rsid w:val="00A802BB"/>
    <w:rsid w:val="00A802C8"/>
    <w:rsid w:val="00A802D8"/>
    <w:rsid w:val="00A802F7"/>
    <w:rsid w:val="00A80339"/>
    <w:rsid w:val="00A80371"/>
    <w:rsid w:val="00A803CC"/>
    <w:rsid w:val="00A80437"/>
    <w:rsid w:val="00A8043D"/>
    <w:rsid w:val="00A80446"/>
    <w:rsid w:val="00A80494"/>
    <w:rsid w:val="00A80499"/>
    <w:rsid w:val="00A804AC"/>
    <w:rsid w:val="00A804EE"/>
    <w:rsid w:val="00A80533"/>
    <w:rsid w:val="00A80539"/>
    <w:rsid w:val="00A805B0"/>
    <w:rsid w:val="00A805B8"/>
    <w:rsid w:val="00A805E5"/>
    <w:rsid w:val="00A8068D"/>
    <w:rsid w:val="00A806D5"/>
    <w:rsid w:val="00A806E3"/>
    <w:rsid w:val="00A806ED"/>
    <w:rsid w:val="00A80729"/>
    <w:rsid w:val="00A8074A"/>
    <w:rsid w:val="00A8079E"/>
    <w:rsid w:val="00A807DB"/>
    <w:rsid w:val="00A8081A"/>
    <w:rsid w:val="00A808A6"/>
    <w:rsid w:val="00A808B7"/>
    <w:rsid w:val="00A808BA"/>
    <w:rsid w:val="00A808C9"/>
    <w:rsid w:val="00A80906"/>
    <w:rsid w:val="00A80909"/>
    <w:rsid w:val="00A80948"/>
    <w:rsid w:val="00A8099B"/>
    <w:rsid w:val="00A809D9"/>
    <w:rsid w:val="00A80A06"/>
    <w:rsid w:val="00A80A9D"/>
    <w:rsid w:val="00A80AA3"/>
    <w:rsid w:val="00A80AED"/>
    <w:rsid w:val="00A80AFD"/>
    <w:rsid w:val="00A80B2E"/>
    <w:rsid w:val="00A80C71"/>
    <w:rsid w:val="00A80CBD"/>
    <w:rsid w:val="00A80CBE"/>
    <w:rsid w:val="00A80D40"/>
    <w:rsid w:val="00A80D77"/>
    <w:rsid w:val="00A80D81"/>
    <w:rsid w:val="00A80DB8"/>
    <w:rsid w:val="00A80DCA"/>
    <w:rsid w:val="00A80E31"/>
    <w:rsid w:val="00A80EBB"/>
    <w:rsid w:val="00A80EBD"/>
    <w:rsid w:val="00A80EDE"/>
    <w:rsid w:val="00A80EF1"/>
    <w:rsid w:val="00A80EFF"/>
    <w:rsid w:val="00A80F72"/>
    <w:rsid w:val="00A80F93"/>
    <w:rsid w:val="00A80F9B"/>
    <w:rsid w:val="00A80FA1"/>
    <w:rsid w:val="00A80FCD"/>
    <w:rsid w:val="00A80FDA"/>
    <w:rsid w:val="00A80FF8"/>
    <w:rsid w:val="00A81066"/>
    <w:rsid w:val="00A81097"/>
    <w:rsid w:val="00A810AE"/>
    <w:rsid w:val="00A810C6"/>
    <w:rsid w:val="00A810E9"/>
    <w:rsid w:val="00A81113"/>
    <w:rsid w:val="00A81182"/>
    <w:rsid w:val="00A811A9"/>
    <w:rsid w:val="00A811B7"/>
    <w:rsid w:val="00A811DB"/>
    <w:rsid w:val="00A81232"/>
    <w:rsid w:val="00A8124A"/>
    <w:rsid w:val="00A812A5"/>
    <w:rsid w:val="00A812B3"/>
    <w:rsid w:val="00A812C8"/>
    <w:rsid w:val="00A81312"/>
    <w:rsid w:val="00A81329"/>
    <w:rsid w:val="00A81387"/>
    <w:rsid w:val="00A81392"/>
    <w:rsid w:val="00A813AC"/>
    <w:rsid w:val="00A813CD"/>
    <w:rsid w:val="00A81443"/>
    <w:rsid w:val="00A81470"/>
    <w:rsid w:val="00A81491"/>
    <w:rsid w:val="00A81517"/>
    <w:rsid w:val="00A81524"/>
    <w:rsid w:val="00A8153A"/>
    <w:rsid w:val="00A8154A"/>
    <w:rsid w:val="00A8156F"/>
    <w:rsid w:val="00A81570"/>
    <w:rsid w:val="00A81579"/>
    <w:rsid w:val="00A815A9"/>
    <w:rsid w:val="00A815DF"/>
    <w:rsid w:val="00A8160B"/>
    <w:rsid w:val="00A8160E"/>
    <w:rsid w:val="00A8163E"/>
    <w:rsid w:val="00A81664"/>
    <w:rsid w:val="00A81696"/>
    <w:rsid w:val="00A81749"/>
    <w:rsid w:val="00A81785"/>
    <w:rsid w:val="00A81817"/>
    <w:rsid w:val="00A81859"/>
    <w:rsid w:val="00A8185D"/>
    <w:rsid w:val="00A81891"/>
    <w:rsid w:val="00A819D6"/>
    <w:rsid w:val="00A81A4E"/>
    <w:rsid w:val="00A81ACF"/>
    <w:rsid w:val="00A81AEE"/>
    <w:rsid w:val="00A81B0E"/>
    <w:rsid w:val="00A81B16"/>
    <w:rsid w:val="00A81B1A"/>
    <w:rsid w:val="00A81B2B"/>
    <w:rsid w:val="00A81B2F"/>
    <w:rsid w:val="00A81BD9"/>
    <w:rsid w:val="00A81BE4"/>
    <w:rsid w:val="00A81BF8"/>
    <w:rsid w:val="00A81C0B"/>
    <w:rsid w:val="00A81C3A"/>
    <w:rsid w:val="00A81C89"/>
    <w:rsid w:val="00A81C90"/>
    <w:rsid w:val="00A81CA4"/>
    <w:rsid w:val="00A81CE2"/>
    <w:rsid w:val="00A81CE5"/>
    <w:rsid w:val="00A81D4E"/>
    <w:rsid w:val="00A81D51"/>
    <w:rsid w:val="00A81D77"/>
    <w:rsid w:val="00A81E1D"/>
    <w:rsid w:val="00A81E3F"/>
    <w:rsid w:val="00A81E65"/>
    <w:rsid w:val="00A81EBA"/>
    <w:rsid w:val="00A81EC4"/>
    <w:rsid w:val="00A81EFC"/>
    <w:rsid w:val="00A81F24"/>
    <w:rsid w:val="00A81F90"/>
    <w:rsid w:val="00A81FCC"/>
    <w:rsid w:val="00A81FD3"/>
    <w:rsid w:val="00A81FE1"/>
    <w:rsid w:val="00A81FEE"/>
    <w:rsid w:val="00A82012"/>
    <w:rsid w:val="00A82047"/>
    <w:rsid w:val="00A8208C"/>
    <w:rsid w:val="00A820C3"/>
    <w:rsid w:val="00A820E5"/>
    <w:rsid w:val="00A820F8"/>
    <w:rsid w:val="00A82127"/>
    <w:rsid w:val="00A8218D"/>
    <w:rsid w:val="00A821B5"/>
    <w:rsid w:val="00A821C5"/>
    <w:rsid w:val="00A8224C"/>
    <w:rsid w:val="00A82262"/>
    <w:rsid w:val="00A8237F"/>
    <w:rsid w:val="00A82396"/>
    <w:rsid w:val="00A823BD"/>
    <w:rsid w:val="00A823DB"/>
    <w:rsid w:val="00A8241C"/>
    <w:rsid w:val="00A824AC"/>
    <w:rsid w:val="00A824DE"/>
    <w:rsid w:val="00A8251E"/>
    <w:rsid w:val="00A8253D"/>
    <w:rsid w:val="00A8254B"/>
    <w:rsid w:val="00A82610"/>
    <w:rsid w:val="00A82652"/>
    <w:rsid w:val="00A82685"/>
    <w:rsid w:val="00A826C2"/>
    <w:rsid w:val="00A826DC"/>
    <w:rsid w:val="00A8270E"/>
    <w:rsid w:val="00A82727"/>
    <w:rsid w:val="00A82739"/>
    <w:rsid w:val="00A827A1"/>
    <w:rsid w:val="00A827B7"/>
    <w:rsid w:val="00A827BD"/>
    <w:rsid w:val="00A827C5"/>
    <w:rsid w:val="00A827DD"/>
    <w:rsid w:val="00A82812"/>
    <w:rsid w:val="00A8285D"/>
    <w:rsid w:val="00A8286B"/>
    <w:rsid w:val="00A828AB"/>
    <w:rsid w:val="00A82928"/>
    <w:rsid w:val="00A82950"/>
    <w:rsid w:val="00A82963"/>
    <w:rsid w:val="00A82968"/>
    <w:rsid w:val="00A82975"/>
    <w:rsid w:val="00A82976"/>
    <w:rsid w:val="00A829B2"/>
    <w:rsid w:val="00A829BD"/>
    <w:rsid w:val="00A829FB"/>
    <w:rsid w:val="00A82A19"/>
    <w:rsid w:val="00A82A21"/>
    <w:rsid w:val="00A82A5A"/>
    <w:rsid w:val="00A82AFD"/>
    <w:rsid w:val="00A82B8A"/>
    <w:rsid w:val="00A82B9B"/>
    <w:rsid w:val="00A82C2A"/>
    <w:rsid w:val="00A82C77"/>
    <w:rsid w:val="00A82C9B"/>
    <w:rsid w:val="00A82CD3"/>
    <w:rsid w:val="00A82CF4"/>
    <w:rsid w:val="00A82D12"/>
    <w:rsid w:val="00A82D30"/>
    <w:rsid w:val="00A82DB6"/>
    <w:rsid w:val="00A82DBE"/>
    <w:rsid w:val="00A82DDD"/>
    <w:rsid w:val="00A82E1E"/>
    <w:rsid w:val="00A82E46"/>
    <w:rsid w:val="00A82E74"/>
    <w:rsid w:val="00A82EC6"/>
    <w:rsid w:val="00A82EEF"/>
    <w:rsid w:val="00A82EFF"/>
    <w:rsid w:val="00A82F0D"/>
    <w:rsid w:val="00A82F42"/>
    <w:rsid w:val="00A82F5C"/>
    <w:rsid w:val="00A82F7D"/>
    <w:rsid w:val="00A82F7E"/>
    <w:rsid w:val="00A82FA9"/>
    <w:rsid w:val="00A82FBA"/>
    <w:rsid w:val="00A82FEF"/>
    <w:rsid w:val="00A83042"/>
    <w:rsid w:val="00A83064"/>
    <w:rsid w:val="00A830D6"/>
    <w:rsid w:val="00A83123"/>
    <w:rsid w:val="00A8314E"/>
    <w:rsid w:val="00A831C7"/>
    <w:rsid w:val="00A8321A"/>
    <w:rsid w:val="00A83290"/>
    <w:rsid w:val="00A832A7"/>
    <w:rsid w:val="00A832B4"/>
    <w:rsid w:val="00A833C5"/>
    <w:rsid w:val="00A833F6"/>
    <w:rsid w:val="00A83415"/>
    <w:rsid w:val="00A8342F"/>
    <w:rsid w:val="00A8348A"/>
    <w:rsid w:val="00A834AD"/>
    <w:rsid w:val="00A834E4"/>
    <w:rsid w:val="00A834E8"/>
    <w:rsid w:val="00A83518"/>
    <w:rsid w:val="00A83524"/>
    <w:rsid w:val="00A83537"/>
    <w:rsid w:val="00A835C2"/>
    <w:rsid w:val="00A835F1"/>
    <w:rsid w:val="00A83622"/>
    <w:rsid w:val="00A83626"/>
    <w:rsid w:val="00A8365C"/>
    <w:rsid w:val="00A836BB"/>
    <w:rsid w:val="00A83707"/>
    <w:rsid w:val="00A83715"/>
    <w:rsid w:val="00A83757"/>
    <w:rsid w:val="00A837A9"/>
    <w:rsid w:val="00A837B8"/>
    <w:rsid w:val="00A837DC"/>
    <w:rsid w:val="00A83825"/>
    <w:rsid w:val="00A838B8"/>
    <w:rsid w:val="00A838FA"/>
    <w:rsid w:val="00A8398C"/>
    <w:rsid w:val="00A83991"/>
    <w:rsid w:val="00A83A18"/>
    <w:rsid w:val="00A83A35"/>
    <w:rsid w:val="00A83AB4"/>
    <w:rsid w:val="00A83AFA"/>
    <w:rsid w:val="00A83B0E"/>
    <w:rsid w:val="00A83BAA"/>
    <w:rsid w:val="00A83BC6"/>
    <w:rsid w:val="00A83BCC"/>
    <w:rsid w:val="00A83BE8"/>
    <w:rsid w:val="00A83C4C"/>
    <w:rsid w:val="00A83C50"/>
    <w:rsid w:val="00A83C59"/>
    <w:rsid w:val="00A83C61"/>
    <w:rsid w:val="00A83C89"/>
    <w:rsid w:val="00A83CEF"/>
    <w:rsid w:val="00A83DB2"/>
    <w:rsid w:val="00A83E4E"/>
    <w:rsid w:val="00A83E6D"/>
    <w:rsid w:val="00A83E6E"/>
    <w:rsid w:val="00A83EC4"/>
    <w:rsid w:val="00A83EEC"/>
    <w:rsid w:val="00A83F98"/>
    <w:rsid w:val="00A84007"/>
    <w:rsid w:val="00A84033"/>
    <w:rsid w:val="00A8404A"/>
    <w:rsid w:val="00A840A3"/>
    <w:rsid w:val="00A840F4"/>
    <w:rsid w:val="00A84104"/>
    <w:rsid w:val="00A84138"/>
    <w:rsid w:val="00A84149"/>
    <w:rsid w:val="00A8414E"/>
    <w:rsid w:val="00A84157"/>
    <w:rsid w:val="00A8415D"/>
    <w:rsid w:val="00A84174"/>
    <w:rsid w:val="00A841D6"/>
    <w:rsid w:val="00A841DE"/>
    <w:rsid w:val="00A841E8"/>
    <w:rsid w:val="00A841EF"/>
    <w:rsid w:val="00A8421C"/>
    <w:rsid w:val="00A84238"/>
    <w:rsid w:val="00A8423B"/>
    <w:rsid w:val="00A8423D"/>
    <w:rsid w:val="00A84273"/>
    <w:rsid w:val="00A842A2"/>
    <w:rsid w:val="00A84340"/>
    <w:rsid w:val="00A84359"/>
    <w:rsid w:val="00A84372"/>
    <w:rsid w:val="00A84396"/>
    <w:rsid w:val="00A843AE"/>
    <w:rsid w:val="00A843BB"/>
    <w:rsid w:val="00A84423"/>
    <w:rsid w:val="00A84448"/>
    <w:rsid w:val="00A84491"/>
    <w:rsid w:val="00A844F1"/>
    <w:rsid w:val="00A84509"/>
    <w:rsid w:val="00A8451C"/>
    <w:rsid w:val="00A8452E"/>
    <w:rsid w:val="00A84530"/>
    <w:rsid w:val="00A84539"/>
    <w:rsid w:val="00A845E2"/>
    <w:rsid w:val="00A845E9"/>
    <w:rsid w:val="00A84614"/>
    <w:rsid w:val="00A84664"/>
    <w:rsid w:val="00A84693"/>
    <w:rsid w:val="00A846D3"/>
    <w:rsid w:val="00A846DD"/>
    <w:rsid w:val="00A84797"/>
    <w:rsid w:val="00A847A9"/>
    <w:rsid w:val="00A848A3"/>
    <w:rsid w:val="00A848F5"/>
    <w:rsid w:val="00A848F6"/>
    <w:rsid w:val="00A84915"/>
    <w:rsid w:val="00A84920"/>
    <w:rsid w:val="00A84929"/>
    <w:rsid w:val="00A8499B"/>
    <w:rsid w:val="00A84A8B"/>
    <w:rsid w:val="00A84A9E"/>
    <w:rsid w:val="00A84AAB"/>
    <w:rsid w:val="00A84ACA"/>
    <w:rsid w:val="00A84ACF"/>
    <w:rsid w:val="00A84B3E"/>
    <w:rsid w:val="00A84B98"/>
    <w:rsid w:val="00A84BD3"/>
    <w:rsid w:val="00A84BF2"/>
    <w:rsid w:val="00A84BFE"/>
    <w:rsid w:val="00A84C36"/>
    <w:rsid w:val="00A84C5A"/>
    <w:rsid w:val="00A84C68"/>
    <w:rsid w:val="00A84CB7"/>
    <w:rsid w:val="00A84CBA"/>
    <w:rsid w:val="00A84CC1"/>
    <w:rsid w:val="00A84CCC"/>
    <w:rsid w:val="00A84CD1"/>
    <w:rsid w:val="00A84CE4"/>
    <w:rsid w:val="00A84D77"/>
    <w:rsid w:val="00A84DF7"/>
    <w:rsid w:val="00A84E26"/>
    <w:rsid w:val="00A84E79"/>
    <w:rsid w:val="00A84E82"/>
    <w:rsid w:val="00A84E88"/>
    <w:rsid w:val="00A84F1F"/>
    <w:rsid w:val="00A84F35"/>
    <w:rsid w:val="00A84F6B"/>
    <w:rsid w:val="00A84F9C"/>
    <w:rsid w:val="00A84FC1"/>
    <w:rsid w:val="00A85027"/>
    <w:rsid w:val="00A85031"/>
    <w:rsid w:val="00A8503B"/>
    <w:rsid w:val="00A8504E"/>
    <w:rsid w:val="00A8505E"/>
    <w:rsid w:val="00A85069"/>
    <w:rsid w:val="00A850C7"/>
    <w:rsid w:val="00A850CD"/>
    <w:rsid w:val="00A850E0"/>
    <w:rsid w:val="00A850E7"/>
    <w:rsid w:val="00A85115"/>
    <w:rsid w:val="00A8515F"/>
    <w:rsid w:val="00A851C8"/>
    <w:rsid w:val="00A85215"/>
    <w:rsid w:val="00A85258"/>
    <w:rsid w:val="00A85263"/>
    <w:rsid w:val="00A852B1"/>
    <w:rsid w:val="00A852CD"/>
    <w:rsid w:val="00A852D5"/>
    <w:rsid w:val="00A8530A"/>
    <w:rsid w:val="00A8534B"/>
    <w:rsid w:val="00A8538E"/>
    <w:rsid w:val="00A8538F"/>
    <w:rsid w:val="00A853B7"/>
    <w:rsid w:val="00A853BA"/>
    <w:rsid w:val="00A853C5"/>
    <w:rsid w:val="00A853DD"/>
    <w:rsid w:val="00A85444"/>
    <w:rsid w:val="00A8545D"/>
    <w:rsid w:val="00A85482"/>
    <w:rsid w:val="00A854C6"/>
    <w:rsid w:val="00A854DC"/>
    <w:rsid w:val="00A85521"/>
    <w:rsid w:val="00A85536"/>
    <w:rsid w:val="00A855C2"/>
    <w:rsid w:val="00A855C9"/>
    <w:rsid w:val="00A855F3"/>
    <w:rsid w:val="00A8562F"/>
    <w:rsid w:val="00A85649"/>
    <w:rsid w:val="00A85658"/>
    <w:rsid w:val="00A8566D"/>
    <w:rsid w:val="00A85696"/>
    <w:rsid w:val="00A856E2"/>
    <w:rsid w:val="00A856F3"/>
    <w:rsid w:val="00A85743"/>
    <w:rsid w:val="00A85796"/>
    <w:rsid w:val="00A857A6"/>
    <w:rsid w:val="00A857A9"/>
    <w:rsid w:val="00A857B0"/>
    <w:rsid w:val="00A857B7"/>
    <w:rsid w:val="00A85827"/>
    <w:rsid w:val="00A8586A"/>
    <w:rsid w:val="00A85898"/>
    <w:rsid w:val="00A858E0"/>
    <w:rsid w:val="00A858F2"/>
    <w:rsid w:val="00A858F4"/>
    <w:rsid w:val="00A85920"/>
    <w:rsid w:val="00A85988"/>
    <w:rsid w:val="00A85989"/>
    <w:rsid w:val="00A859B8"/>
    <w:rsid w:val="00A859D0"/>
    <w:rsid w:val="00A859DD"/>
    <w:rsid w:val="00A859F7"/>
    <w:rsid w:val="00A859FD"/>
    <w:rsid w:val="00A85A0E"/>
    <w:rsid w:val="00A85A69"/>
    <w:rsid w:val="00A85ADB"/>
    <w:rsid w:val="00A85B0E"/>
    <w:rsid w:val="00A85B19"/>
    <w:rsid w:val="00A85B5A"/>
    <w:rsid w:val="00A85B61"/>
    <w:rsid w:val="00A85B7A"/>
    <w:rsid w:val="00A85C45"/>
    <w:rsid w:val="00A85C75"/>
    <w:rsid w:val="00A85CFA"/>
    <w:rsid w:val="00A85CFC"/>
    <w:rsid w:val="00A85D38"/>
    <w:rsid w:val="00A85D7B"/>
    <w:rsid w:val="00A85DF7"/>
    <w:rsid w:val="00A85E27"/>
    <w:rsid w:val="00A85E34"/>
    <w:rsid w:val="00A85E3D"/>
    <w:rsid w:val="00A85E60"/>
    <w:rsid w:val="00A85E74"/>
    <w:rsid w:val="00A85EAC"/>
    <w:rsid w:val="00A85ECA"/>
    <w:rsid w:val="00A85EE1"/>
    <w:rsid w:val="00A85F10"/>
    <w:rsid w:val="00A85F2C"/>
    <w:rsid w:val="00A85FAA"/>
    <w:rsid w:val="00A85FE6"/>
    <w:rsid w:val="00A85FF5"/>
    <w:rsid w:val="00A86016"/>
    <w:rsid w:val="00A8601B"/>
    <w:rsid w:val="00A8604E"/>
    <w:rsid w:val="00A8605F"/>
    <w:rsid w:val="00A860D0"/>
    <w:rsid w:val="00A860EB"/>
    <w:rsid w:val="00A860FE"/>
    <w:rsid w:val="00A8610A"/>
    <w:rsid w:val="00A8611F"/>
    <w:rsid w:val="00A8616F"/>
    <w:rsid w:val="00A8617E"/>
    <w:rsid w:val="00A8618D"/>
    <w:rsid w:val="00A861AA"/>
    <w:rsid w:val="00A861F9"/>
    <w:rsid w:val="00A862C0"/>
    <w:rsid w:val="00A862FC"/>
    <w:rsid w:val="00A8631D"/>
    <w:rsid w:val="00A8635E"/>
    <w:rsid w:val="00A8638E"/>
    <w:rsid w:val="00A863DA"/>
    <w:rsid w:val="00A86483"/>
    <w:rsid w:val="00A86489"/>
    <w:rsid w:val="00A864B2"/>
    <w:rsid w:val="00A86555"/>
    <w:rsid w:val="00A86556"/>
    <w:rsid w:val="00A86596"/>
    <w:rsid w:val="00A8659E"/>
    <w:rsid w:val="00A865DC"/>
    <w:rsid w:val="00A865FB"/>
    <w:rsid w:val="00A86650"/>
    <w:rsid w:val="00A86685"/>
    <w:rsid w:val="00A866A1"/>
    <w:rsid w:val="00A866B2"/>
    <w:rsid w:val="00A866BE"/>
    <w:rsid w:val="00A866EB"/>
    <w:rsid w:val="00A866F4"/>
    <w:rsid w:val="00A86704"/>
    <w:rsid w:val="00A86715"/>
    <w:rsid w:val="00A8673C"/>
    <w:rsid w:val="00A8675F"/>
    <w:rsid w:val="00A86786"/>
    <w:rsid w:val="00A8680A"/>
    <w:rsid w:val="00A86860"/>
    <w:rsid w:val="00A868AF"/>
    <w:rsid w:val="00A868DD"/>
    <w:rsid w:val="00A868E1"/>
    <w:rsid w:val="00A86965"/>
    <w:rsid w:val="00A869B1"/>
    <w:rsid w:val="00A86A34"/>
    <w:rsid w:val="00A86A6A"/>
    <w:rsid w:val="00A86A99"/>
    <w:rsid w:val="00A86ABB"/>
    <w:rsid w:val="00A86ACE"/>
    <w:rsid w:val="00A86AD6"/>
    <w:rsid w:val="00A86B06"/>
    <w:rsid w:val="00A86B37"/>
    <w:rsid w:val="00A86C27"/>
    <w:rsid w:val="00A86C5E"/>
    <w:rsid w:val="00A86C7F"/>
    <w:rsid w:val="00A86C80"/>
    <w:rsid w:val="00A86C94"/>
    <w:rsid w:val="00A86CA3"/>
    <w:rsid w:val="00A86CFB"/>
    <w:rsid w:val="00A86D00"/>
    <w:rsid w:val="00A86D26"/>
    <w:rsid w:val="00A86D55"/>
    <w:rsid w:val="00A86D9E"/>
    <w:rsid w:val="00A86DE1"/>
    <w:rsid w:val="00A86E09"/>
    <w:rsid w:val="00A86E16"/>
    <w:rsid w:val="00A86E43"/>
    <w:rsid w:val="00A86E4E"/>
    <w:rsid w:val="00A86EDC"/>
    <w:rsid w:val="00A86FC4"/>
    <w:rsid w:val="00A86FCE"/>
    <w:rsid w:val="00A86FFB"/>
    <w:rsid w:val="00A87001"/>
    <w:rsid w:val="00A8702E"/>
    <w:rsid w:val="00A87090"/>
    <w:rsid w:val="00A870FB"/>
    <w:rsid w:val="00A870FD"/>
    <w:rsid w:val="00A87173"/>
    <w:rsid w:val="00A8717F"/>
    <w:rsid w:val="00A87186"/>
    <w:rsid w:val="00A87199"/>
    <w:rsid w:val="00A8719B"/>
    <w:rsid w:val="00A871CC"/>
    <w:rsid w:val="00A871D3"/>
    <w:rsid w:val="00A871E6"/>
    <w:rsid w:val="00A871EA"/>
    <w:rsid w:val="00A871F8"/>
    <w:rsid w:val="00A8721A"/>
    <w:rsid w:val="00A87285"/>
    <w:rsid w:val="00A8728B"/>
    <w:rsid w:val="00A872F2"/>
    <w:rsid w:val="00A87322"/>
    <w:rsid w:val="00A87337"/>
    <w:rsid w:val="00A8736D"/>
    <w:rsid w:val="00A8738C"/>
    <w:rsid w:val="00A873C5"/>
    <w:rsid w:val="00A873CE"/>
    <w:rsid w:val="00A873E3"/>
    <w:rsid w:val="00A87467"/>
    <w:rsid w:val="00A874C1"/>
    <w:rsid w:val="00A874CC"/>
    <w:rsid w:val="00A874D9"/>
    <w:rsid w:val="00A87510"/>
    <w:rsid w:val="00A87557"/>
    <w:rsid w:val="00A87594"/>
    <w:rsid w:val="00A875AD"/>
    <w:rsid w:val="00A875EE"/>
    <w:rsid w:val="00A87618"/>
    <w:rsid w:val="00A8763D"/>
    <w:rsid w:val="00A87674"/>
    <w:rsid w:val="00A87699"/>
    <w:rsid w:val="00A87704"/>
    <w:rsid w:val="00A87731"/>
    <w:rsid w:val="00A87766"/>
    <w:rsid w:val="00A8776E"/>
    <w:rsid w:val="00A87771"/>
    <w:rsid w:val="00A877E2"/>
    <w:rsid w:val="00A877E3"/>
    <w:rsid w:val="00A87844"/>
    <w:rsid w:val="00A8786C"/>
    <w:rsid w:val="00A87872"/>
    <w:rsid w:val="00A8788A"/>
    <w:rsid w:val="00A87897"/>
    <w:rsid w:val="00A878B3"/>
    <w:rsid w:val="00A8790C"/>
    <w:rsid w:val="00A8793B"/>
    <w:rsid w:val="00A87960"/>
    <w:rsid w:val="00A879CA"/>
    <w:rsid w:val="00A87A14"/>
    <w:rsid w:val="00A87A2B"/>
    <w:rsid w:val="00A87A7B"/>
    <w:rsid w:val="00A87AA6"/>
    <w:rsid w:val="00A87ADA"/>
    <w:rsid w:val="00A87BA6"/>
    <w:rsid w:val="00A87BF4"/>
    <w:rsid w:val="00A87D18"/>
    <w:rsid w:val="00A87D1E"/>
    <w:rsid w:val="00A87D35"/>
    <w:rsid w:val="00A87D7D"/>
    <w:rsid w:val="00A87DA6"/>
    <w:rsid w:val="00A87DB4"/>
    <w:rsid w:val="00A87DB8"/>
    <w:rsid w:val="00A87DBD"/>
    <w:rsid w:val="00A87DE3"/>
    <w:rsid w:val="00A87E2E"/>
    <w:rsid w:val="00A87E68"/>
    <w:rsid w:val="00A87E93"/>
    <w:rsid w:val="00A87EBF"/>
    <w:rsid w:val="00A87F35"/>
    <w:rsid w:val="00A87F65"/>
    <w:rsid w:val="00A87F9B"/>
    <w:rsid w:val="00A9003E"/>
    <w:rsid w:val="00A9005A"/>
    <w:rsid w:val="00A90086"/>
    <w:rsid w:val="00A900D4"/>
    <w:rsid w:val="00A900F0"/>
    <w:rsid w:val="00A90101"/>
    <w:rsid w:val="00A90103"/>
    <w:rsid w:val="00A90213"/>
    <w:rsid w:val="00A90234"/>
    <w:rsid w:val="00A9024C"/>
    <w:rsid w:val="00A90279"/>
    <w:rsid w:val="00A902BB"/>
    <w:rsid w:val="00A902F5"/>
    <w:rsid w:val="00A9031B"/>
    <w:rsid w:val="00A90348"/>
    <w:rsid w:val="00A903E6"/>
    <w:rsid w:val="00A9045E"/>
    <w:rsid w:val="00A90488"/>
    <w:rsid w:val="00A90503"/>
    <w:rsid w:val="00A9058C"/>
    <w:rsid w:val="00A905CD"/>
    <w:rsid w:val="00A9062B"/>
    <w:rsid w:val="00A9064D"/>
    <w:rsid w:val="00A906A4"/>
    <w:rsid w:val="00A9072F"/>
    <w:rsid w:val="00A90739"/>
    <w:rsid w:val="00A90749"/>
    <w:rsid w:val="00A9077C"/>
    <w:rsid w:val="00A9084C"/>
    <w:rsid w:val="00A90859"/>
    <w:rsid w:val="00A90883"/>
    <w:rsid w:val="00A908AE"/>
    <w:rsid w:val="00A908D9"/>
    <w:rsid w:val="00A908DA"/>
    <w:rsid w:val="00A908EC"/>
    <w:rsid w:val="00A90964"/>
    <w:rsid w:val="00A9096B"/>
    <w:rsid w:val="00A90977"/>
    <w:rsid w:val="00A909B7"/>
    <w:rsid w:val="00A909BD"/>
    <w:rsid w:val="00A90A7D"/>
    <w:rsid w:val="00A90A85"/>
    <w:rsid w:val="00A90B57"/>
    <w:rsid w:val="00A90B71"/>
    <w:rsid w:val="00A90B87"/>
    <w:rsid w:val="00A90BB3"/>
    <w:rsid w:val="00A90C43"/>
    <w:rsid w:val="00A90C66"/>
    <w:rsid w:val="00A90C79"/>
    <w:rsid w:val="00A90CDE"/>
    <w:rsid w:val="00A90D2C"/>
    <w:rsid w:val="00A90D37"/>
    <w:rsid w:val="00A90DF4"/>
    <w:rsid w:val="00A90DF7"/>
    <w:rsid w:val="00A90E1B"/>
    <w:rsid w:val="00A90E20"/>
    <w:rsid w:val="00A90EA7"/>
    <w:rsid w:val="00A90EB2"/>
    <w:rsid w:val="00A90EDF"/>
    <w:rsid w:val="00A90F0A"/>
    <w:rsid w:val="00A90F23"/>
    <w:rsid w:val="00A90F63"/>
    <w:rsid w:val="00A90F72"/>
    <w:rsid w:val="00A90F87"/>
    <w:rsid w:val="00A90FA2"/>
    <w:rsid w:val="00A90FAB"/>
    <w:rsid w:val="00A90FAF"/>
    <w:rsid w:val="00A90FC4"/>
    <w:rsid w:val="00A90FEC"/>
    <w:rsid w:val="00A9105B"/>
    <w:rsid w:val="00A9105E"/>
    <w:rsid w:val="00A91099"/>
    <w:rsid w:val="00A910D9"/>
    <w:rsid w:val="00A91150"/>
    <w:rsid w:val="00A9115E"/>
    <w:rsid w:val="00A91174"/>
    <w:rsid w:val="00A91186"/>
    <w:rsid w:val="00A9122E"/>
    <w:rsid w:val="00A9124A"/>
    <w:rsid w:val="00A9124E"/>
    <w:rsid w:val="00A91283"/>
    <w:rsid w:val="00A9129F"/>
    <w:rsid w:val="00A912AB"/>
    <w:rsid w:val="00A912E2"/>
    <w:rsid w:val="00A91328"/>
    <w:rsid w:val="00A9136C"/>
    <w:rsid w:val="00A91399"/>
    <w:rsid w:val="00A913AE"/>
    <w:rsid w:val="00A913D9"/>
    <w:rsid w:val="00A913EE"/>
    <w:rsid w:val="00A913FA"/>
    <w:rsid w:val="00A91526"/>
    <w:rsid w:val="00A91582"/>
    <w:rsid w:val="00A915AB"/>
    <w:rsid w:val="00A915B7"/>
    <w:rsid w:val="00A9160F"/>
    <w:rsid w:val="00A91660"/>
    <w:rsid w:val="00A916A8"/>
    <w:rsid w:val="00A91723"/>
    <w:rsid w:val="00A9172A"/>
    <w:rsid w:val="00A91731"/>
    <w:rsid w:val="00A91769"/>
    <w:rsid w:val="00A91770"/>
    <w:rsid w:val="00A917B4"/>
    <w:rsid w:val="00A9181C"/>
    <w:rsid w:val="00A91878"/>
    <w:rsid w:val="00A91897"/>
    <w:rsid w:val="00A918C4"/>
    <w:rsid w:val="00A9191D"/>
    <w:rsid w:val="00A9193A"/>
    <w:rsid w:val="00A9195B"/>
    <w:rsid w:val="00A9197B"/>
    <w:rsid w:val="00A91A35"/>
    <w:rsid w:val="00A91A6E"/>
    <w:rsid w:val="00A91AF9"/>
    <w:rsid w:val="00A91B53"/>
    <w:rsid w:val="00A91B8F"/>
    <w:rsid w:val="00A91BA2"/>
    <w:rsid w:val="00A91BAD"/>
    <w:rsid w:val="00A91BE8"/>
    <w:rsid w:val="00A91C08"/>
    <w:rsid w:val="00A91C0C"/>
    <w:rsid w:val="00A91C19"/>
    <w:rsid w:val="00A91C49"/>
    <w:rsid w:val="00A91CD8"/>
    <w:rsid w:val="00A91D55"/>
    <w:rsid w:val="00A91D9A"/>
    <w:rsid w:val="00A91E55"/>
    <w:rsid w:val="00A91E76"/>
    <w:rsid w:val="00A91E8E"/>
    <w:rsid w:val="00A91EAD"/>
    <w:rsid w:val="00A91EDA"/>
    <w:rsid w:val="00A91F31"/>
    <w:rsid w:val="00A91F58"/>
    <w:rsid w:val="00A91F5B"/>
    <w:rsid w:val="00A91F61"/>
    <w:rsid w:val="00A91F62"/>
    <w:rsid w:val="00A91F6D"/>
    <w:rsid w:val="00A91FB6"/>
    <w:rsid w:val="00A91FC6"/>
    <w:rsid w:val="00A9201E"/>
    <w:rsid w:val="00A92023"/>
    <w:rsid w:val="00A92034"/>
    <w:rsid w:val="00A92045"/>
    <w:rsid w:val="00A920D8"/>
    <w:rsid w:val="00A9213D"/>
    <w:rsid w:val="00A92196"/>
    <w:rsid w:val="00A921D8"/>
    <w:rsid w:val="00A921F6"/>
    <w:rsid w:val="00A921FA"/>
    <w:rsid w:val="00A92201"/>
    <w:rsid w:val="00A92222"/>
    <w:rsid w:val="00A92236"/>
    <w:rsid w:val="00A9223A"/>
    <w:rsid w:val="00A9225A"/>
    <w:rsid w:val="00A9226C"/>
    <w:rsid w:val="00A922DA"/>
    <w:rsid w:val="00A92320"/>
    <w:rsid w:val="00A92322"/>
    <w:rsid w:val="00A9232F"/>
    <w:rsid w:val="00A923A9"/>
    <w:rsid w:val="00A923C4"/>
    <w:rsid w:val="00A9245F"/>
    <w:rsid w:val="00A924FB"/>
    <w:rsid w:val="00A92512"/>
    <w:rsid w:val="00A92518"/>
    <w:rsid w:val="00A9251F"/>
    <w:rsid w:val="00A92522"/>
    <w:rsid w:val="00A9252A"/>
    <w:rsid w:val="00A925D5"/>
    <w:rsid w:val="00A92614"/>
    <w:rsid w:val="00A92629"/>
    <w:rsid w:val="00A92666"/>
    <w:rsid w:val="00A926A0"/>
    <w:rsid w:val="00A926A8"/>
    <w:rsid w:val="00A926C6"/>
    <w:rsid w:val="00A92702"/>
    <w:rsid w:val="00A9275C"/>
    <w:rsid w:val="00A9276D"/>
    <w:rsid w:val="00A927C7"/>
    <w:rsid w:val="00A927E1"/>
    <w:rsid w:val="00A9282F"/>
    <w:rsid w:val="00A92854"/>
    <w:rsid w:val="00A92891"/>
    <w:rsid w:val="00A928F1"/>
    <w:rsid w:val="00A92908"/>
    <w:rsid w:val="00A9291E"/>
    <w:rsid w:val="00A92953"/>
    <w:rsid w:val="00A92975"/>
    <w:rsid w:val="00A9297C"/>
    <w:rsid w:val="00A929ED"/>
    <w:rsid w:val="00A92A3D"/>
    <w:rsid w:val="00A92A55"/>
    <w:rsid w:val="00A92A60"/>
    <w:rsid w:val="00A92A68"/>
    <w:rsid w:val="00A92B09"/>
    <w:rsid w:val="00A92B15"/>
    <w:rsid w:val="00A92B17"/>
    <w:rsid w:val="00A92B37"/>
    <w:rsid w:val="00A92B5F"/>
    <w:rsid w:val="00A92B85"/>
    <w:rsid w:val="00A92BD9"/>
    <w:rsid w:val="00A92C46"/>
    <w:rsid w:val="00A92C6B"/>
    <w:rsid w:val="00A92C6D"/>
    <w:rsid w:val="00A92C71"/>
    <w:rsid w:val="00A92D52"/>
    <w:rsid w:val="00A92D55"/>
    <w:rsid w:val="00A92D5B"/>
    <w:rsid w:val="00A92D5D"/>
    <w:rsid w:val="00A92D6F"/>
    <w:rsid w:val="00A92D84"/>
    <w:rsid w:val="00A92DFA"/>
    <w:rsid w:val="00A92E21"/>
    <w:rsid w:val="00A92E57"/>
    <w:rsid w:val="00A92E6A"/>
    <w:rsid w:val="00A92EBF"/>
    <w:rsid w:val="00A92F0E"/>
    <w:rsid w:val="00A92F28"/>
    <w:rsid w:val="00A92F8D"/>
    <w:rsid w:val="00A92FBF"/>
    <w:rsid w:val="00A92FE2"/>
    <w:rsid w:val="00A92FF3"/>
    <w:rsid w:val="00A92FF9"/>
    <w:rsid w:val="00A93010"/>
    <w:rsid w:val="00A93033"/>
    <w:rsid w:val="00A930A0"/>
    <w:rsid w:val="00A93104"/>
    <w:rsid w:val="00A93116"/>
    <w:rsid w:val="00A93127"/>
    <w:rsid w:val="00A93142"/>
    <w:rsid w:val="00A9318B"/>
    <w:rsid w:val="00A931AE"/>
    <w:rsid w:val="00A9320F"/>
    <w:rsid w:val="00A93267"/>
    <w:rsid w:val="00A932B3"/>
    <w:rsid w:val="00A932ED"/>
    <w:rsid w:val="00A93311"/>
    <w:rsid w:val="00A9331A"/>
    <w:rsid w:val="00A9337C"/>
    <w:rsid w:val="00A933B8"/>
    <w:rsid w:val="00A933D5"/>
    <w:rsid w:val="00A93428"/>
    <w:rsid w:val="00A93430"/>
    <w:rsid w:val="00A9344C"/>
    <w:rsid w:val="00A93487"/>
    <w:rsid w:val="00A9349C"/>
    <w:rsid w:val="00A934D3"/>
    <w:rsid w:val="00A93544"/>
    <w:rsid w:val="00A9358D"/>
    <w:rsid w:val="00A935B9"/>
    <w:rsid w:val="00A935F8"/>
    <w:rsid w:val="00A9363A"/>
    <w:rsid w:val="00A93651"/>
    <w:rsid w:val="00A936A4"/>
    <w:rsid w:val="00A9371B"/>
    <w:rsid w:val="00A9371F"/>
    <w:rsid w:val="00A9375B"/>
    <w:rsid w:val="00A9376B"/>
    <w:rsid w:val="00A93791"/>
    <w:rsid w:val="00A9380A"/>
    <w:rsid w:val="00A93863"/>
    <w:rsid w:val="00A938CA"/>
    <w:rsid w:val="00A938E2"/>
    <w:rsid w:val="00A938E4"/>
    <w:rsid w:val="00A938E9"/>
    <w:rsid w:val="00A93902"/>
    <w:rsid w:val="00A93920"/>
    <w:rsid w:val="00A93932"/>
    <w:rsid w:val="00A9396D"/>
    <w:rsid w:val="00A939C7"/>
    <w:rsid w:val="00A93A00"/>
    <w:rsid w:val="00A93A1C"/>
    <w:rsid w:val="00A93A9D"/>
    <w:rsid w:val="00A93AF6"/>
    <w:rsid w:val="00A93B1D"/>
    <w:rsid w:val="00A93B1F"/>
    <w:rsid w:val="00A93B44"/>
    <w:rsid w:val="00A93B54"/>
    <w:rsid w:val="00A93B5E"/>
    <w:rsid w:val="00A93B62"/>
    <w:rsid w:val="00A93BD5"/>
    <w:rsid w:val="00A93C08"/>
    <w:rsid w:val="00A93C44"/>
    <w:rsid w:val="00A93C5F"/>
    <w:rsid w:val="00A93CE1"/>
    <w:rsid w:val="00A93D3B"/>
    <w:rsid w:val="00A93D44"/>
    <w:rsid w:val="00A93DAE"/>
    <w:rsid w:val="00A93DF7"/>
    <w:rsid w:val="00A93E17"/>
    <w:rsid w:val="00A93E22"/>
    <w:rsid w:val="00A93E2A"/>
    <w:rsid w:val="00A93E2E"/>
    <w:rsid w:val="00A93E41"/>
    <w:rsid w:val="00A93E8F"/>
    <w:rsid w:val="00A93F18"/>
    <w:rsid w:val="00A93F28"/>
    <w:rsid w:val="00A93F49"/>
    <w:rsid w:val="00A93F87"/>
    <w:rsid w:val="00A93FD0"/>
    <w:rsid w:val="00A94006"/>
    <w:rsid w:val="00A94021"/>
    <w:rsid w:val="00A94069"/>
    <w:rsid w:val="00A940CF"/>
    <w:rsid w:val="00A94112"/>
    <w:rsid w:val="00A94198"/>
    <w:rsid w:val="00A941DF"/>
    <w:rsid w:val="00A9427B"/>
    <w:rsid w:val="00A9429C"/>
    <w:rsid w:val="00A9429F"/>
    <w:rsid w:val="00A942EA"/>
    <w:rsid w:val="00A94310"/>
    <w:rsid w:val="00A943B2"/>
    <w:rsid w:val="00A9443B"/>
    <w:rsid w:val="00A94460"/>
    <w:rsid w:val="00A944CE"/>
    <w:rsid w:val="00A9454A"/>
    <w:rsid w:val="00A945E7"/>
    <w:rsid w:val="00A945E9"/>
    <w:rsid w:val="00A945FB"/>
    <w:rsid w:val="00A94646"/>
    <w:rsid w:val="00A9464D"/>
    <w:rsid w:val="00A946D2"/>
    <w:rsid w:val="00A946F2"/>
    <w:rsid w:val="00A9470F"/>
    <w:rsid w:val="00A94724"/>
    <w:rsid w:val="00A9475E"/>
    <w:rsid w:val="00A94762"/>
    <w:rsid w:val="00A94789"/>
    <w:rsid w:val="00A947CC"/>
    <w:rsid w:val="00A94863"/>
    <w:rsid w:val="00A94898"/>
    <w:rsid w:val="00A9489D"/>
    <w:rsid w:val="00A948D5"/>
    <w:rsid w:val="00A94902"/>
    <w:rsid w:val="00A949BA"/>
    <w:rsid w:val="00A949E7"/>
    <w:rsid w:val="00A949FE"/>
    <w:rsid w:val="00A94A96"/>
    <w:rsid w:val="00A94AB4"/>
    <w:rsid w:val="00A94B3E"/>
    <w:rsid w:val="00A94BD0"/>
    <w:rsid w:val="00A94BEC"/>
    <w:rsid w:val="00A94C3A"/>
    <w:rsid w:val="00A94C73"/>
    <w:rsid w:val="00A94D0D"/>
    <w:rsid w:val="00A94D25"/>
    <w:rsid w:val="00A94D74"/>
    <w:rsid w:val="00A94D7E"/>
    <w:rsid w:val="00A94D83"/>
    <w:rsid w:val="00A94DB3"/>
    <w:rsid w:val="00A94DDA"/>
    <w:rsid w:val="00A94DFC"/>
    <w:rsid w:val="00A94E4B"/>
    <w:rsid w:val="00A94E90"/>
    <w:rsid w:val="00A94E98"/>
    <w:rsid w:val="00A94EF1"/>
    <w:rsid w:val="00A94F51"/>
    <w:rsid w:val="00A94F53"/>
    <w:rsid w:val="00A94F89"/>
    <w:rsid w:val="00A94F8A"/>
    <w:rsid w:val="00A94FB2"/>
    <w:rsid w:val="00A94FB5"/>
    <w:rsid w:val="00A94FC5"/>
    <w:rsid w:val="00A94FE0"/>
    <w:rsid w:val="00A9501B"/>
    <w:rsid w:val="00A95048"/>
    <w:rsid w:val="00A95077"/>
    <w:rsid w:val="00A9508D"/>
    <w:rsid w:val="00A9509F"/>
    <w:rsid w:val="00A950BF"/>
    <w:rsid w:val="00A95145"/>
    <w:rsid w:val="00A95181"/>
    <w:rsid w:val="00A95188"/>
    <w:rsid w:val="00A951DF"/>
    <w:rsid w:val="00A95210"/>
    <w:rsid w:val="00A95227"/>
    <w:rsid w:val="00A95277"/>
    <w:rsid w:val="00A95278"/>
    <w:rsid w:val="00A95297"/>
    <w:rsid w:val="00A952D6"/>
    <w:rsid w:val="00A952D9"/>
    <w:rsid w:val="00A952E7"/>
    <w:rsid w:val="00A9532E"/>
    <w:rsid w:val="00A9534F"/>
    <w:rsid w:val="00A9536D"/>
    <w:rsid w:val="00A9539A"/>
    <w:rsid w:val="00A953C7"/>
    <w:rsid w:val="00A95415"/>
    <w:rsid w:val="00A9541E"/>
    <w:rsid w:val="00A95462"/>
    <w:rsid w:val="00A9547B"/>
    <w:rsid w:val="00A95495"/>
    <w:rsid w:val="00A954A9"/>
    <w:rsid w:val="00A954C2"/>
    <w:rsid w:val="00A954EA"/>
    <w:rsid w:val="00A9552D"/>
    <w:rsid w:val="00A95572"/>
    <w:rsid w:val="00A955AC"/>
    <w:rsid w:val="00A955F9"/>
    <w:rsid w:val="00A95633"/>
    <w:rsid w:val="00A95640"/>
    <w:rsid w:val="00A9573C"/>
    <w:rsid w:val="00A95777"/>
    <w:rsid w:val="00A957A8"/>
    <w:rsid w:val="00A95807"/>
    <w:rsid w:val="00A95889"/>
    <w:rsid w:val="00A95890"/>
    <w:rsid w:val="00A958A1"/>
    <w:rsid w:val="00A9594B"/>
    <w:rsid w:val="00A95964"/>
    <w:rsid w:val="00A95978"/>
    <w:rsid w:val="00A9599E"/>
    <w:rsid w:val="00A95A6D"/>
    <w:rsid w:val="00A95AF8"/>
    <w:rsid w:val="00A95B07"/>
    <w:rsid w:val="00A95B42"/>
    <w:rsid w:val="00A95B6B"/>
    <w:rsid w:val="00A95B7E"/>
    <w:rsid w:val="00A95B86"/>
    <w:rsid w:val="00A95B93"/>
    <w:rsid w:val="00A95BAC"/>
    <w:rsid w:val="00A95BBA"/>
    <w:rsid w:val="00A95BCF"/>
    <w:rsid w:val="00A95BEB"/>
    <w:rsid w:val="00A95C0E"/>
    <w:rsid w:val="00A95C13"/>
    <w:rsid w:val="00A95C7D"/>
    <w:rsid w:val="00A95CA4"/>
    <w:rsid w:val="00A95CF2"/>
    <w:rsid w:val="00A95D1B"/>
    <w:rsid w:val="00A95D48"/>
    <w:rsid w:val="00A95D4F"/>
    <w:rsid w:val="00A95DCC"/>
    <w:rsid w:val="00A95E1D"/>
    <w:rsid w:val="00A95E22"/>
    <w:rsid w:val="00A95E68"/>
    <w:rsid w:val="00A95E76"/>
    <w:rsid w:val="00A95EA4"/>
    <w:rsid w:val="00A95EDD"/>
    <w:rsid w:val="00A95EE2"/>
    <w:rsid w:val="00A95EF2"/>
    <w:rsid w:val="00A95F38"/>
    <w:rsid w:val="00A95F45"/>
    <w:rsid w:val="00A95F5E"/>
    <w:rsid w:val="00A95F6D"/>
    <w:rsid w:val="00A95F9E"/>
    <w:rsid w:val="00A95FA7"/>
    <w:rsid w:val="00A95FD7"/>
    <w:rsid w:val="00A9602C"/>
    <w:rsid w:val="00A96072"/>
    <w:rsid w:val="00A960DE"/>
    <w:rsid w:val="00A960DF"/>
    <w:rsid w:val="00A96104"/>
    <w:rsid w:val="00A96134"/>
    <w:rsid w:val="00A9619C"/>
    <w:rsid w:val="00A961BC"/>
    <w:rsid w:val="00A961C0"/>
    <w:rsid w:val="00A96207"/>
    <w:rsid w:val="00A9623D"/>
    <w:rsid w:val="00A96268"/>
    <w:rsid w:val="00A962D9"/>
    <w:rsid w:val="00A96332"/>
    <w:rsid w:val="00A9639E"/>
    <w:rsid w:val="00A963F0"/>
    <w:rsid w:val="00A96476"/>
    <w:rsid w:val="00A964BF"/>
    <w:rsid w:val="00A9653B"/>
    <w:rsid w:val="00A96546"/>
    <w:rsid w:val="00A96631"/>
    <w:rsid w:val="00A96638"/>
    <w:rsid w:val="00A9666C"/>
    <w:rsid w:val="00A96672"/>
    <w:rsid w:val="00A9669D"/>
    <w:rsid w:val="00A966A2"/>
    <w:rsid w:val="00A966E4"/>
    <w:rsid w:val="00A96711"/>
    <w:rsid w:val="00A9675E"/>
    <w:rsid w:val="00A9676B"/>
    <w:rsid w:val="00A967AB"/>
    <w:rsid w:val="00A967B6"/>
    <w:rsid w:val="00A967D2"/>
    <w:rsid w:val="00A967D9"/>
    <w:rsid w:val="00A96856"/>
    <w:rsid w:val="00A96869"/>
    <w:rsid w:val="00A96892"/>
    <w:rsid w:val="00A96A39"/>
    <w:rsid w:val="00A96A3B"/>
    <w:rsid w:val="00A96A5F"/>
    <w:rsid w:val="00A96A70"/>
    <w:rsid w:val="00A96A9E"/>
    <w:rsid w:val="00A96ACB"/>
    <w:rsid w:val="00A96B14"/>
    <w:rsid w:val="00A96B77"/>
    <w:rsid w:val="00A96BB4"/>
    <w:rsid w:val="00A96C2D"/>
    <w:rsid w:val="00A96CA8"/>
    <w:rsid w:val="00A96CC4"/>
    <w:rsid w:val="00A96D0C"/>
    <w:rsid w:val="00A96D1D"/>
    <w:rsid w:val="00A96D81"/>
    <w:rsid w:val="00A96D93"/>
    <w:rsid w:val="00A96DA8"/>
    <w:rsid w:val="00A96E7D"/>
    <w:rsid w:val="00A96E90"/>
    <w:rsid w:val="00A96ED9"/>
    <w:rsid w:val="00A96EDF"/>
    <w:rsid w:val="00A96EE6"/>
    <w:rsid w:val="00A96EF8"/>
    <w:rsid w:val="00A96F4C"/>
    <w:rsid w:val="00A96F51"/>
    <w:rsid w:val="00A96F63"/>
    <w:rsid w:val="00A96F95"/>
    <w:rsid w:val="00A96FB0"/>
    <w:rsid w:val="00A96FE5"/>
    <w:rsid w:val="00A9706E"/>
    <w:rsid w:val="00A9709A"/>
    <w:rsid w:val="00A970A6"/>
    <w:rsid w:val="00A9717C"/>
    <w:rsid w:val="00A971B0"/>
    <w:rsid w:val="00A971E3"/>
    <w:rsid w:val="00A971ED"/>
    <w:rsid w:val="00A9721C"/>
    <w:rsid w:val="00A97272"/>
    <w:rsid w:val="00A97383"/>
    <w:rsid w:val="00A9739B"/>
    <w:rsid w:val="00A97409"/>
    <w:rsid w:val="00A97419"/>
    <w:rsid w:val="00A97427"/>
    <w:rsid w:val="00A97447"/>
    <w:rsid w:val="00A97448"/>
    <w:rsid w:val="00A97502"/>
    <w:rsid w:val="00A97534"/>
    <w:rsid w:val="00A97556"/>
    <w:rsid w:val="00A97568"/>
    <w:rsid w:val="00A9757D"/>
    <w:rsid w:val="00A975D1"/>
    <w:rsid w:val="00A97600"/>
    <w:rsid w:val="00A97601"/>
    <w:rsid w:val="00A97635"/>
    <w:rsid w:val="00A97639"/>
    <w:rsid w:val="00A97641"/>
    <w:rsid w:val="00A97651"/>
    <w:rsid w:val="00A97678"/>
    <w:rsid w:val="00A97682"/>
    <w:rsid w:val="00A976C9"/>
    <w:rsid w:val="00A976F9"/>
    <w:rsid w:val="00A97725"/>
    <w:rsid w:val="00A97775"/>
    <w:rsid w:val="00A977D4"/>
    <w:rsid w:val="00A97819"/>
    <w:rsid w:val="00A9782C"/>
    <w:rsid w:val="00A97831"/>
    <w:rsid w:val="00A9784C"/>
    <w:rsid w:val="00A97866"/>
    <w:rsid w:val="00A9786D"/>
    <w:rsid w:val="00A9788E"/>
    <w:rsid w:val="00A9789A"/>
    <w:rsid w:val="00A978AD"/>
    <w:rsid w:val="00A97913"/>
    <w:rsid w:val="00A9796F"/>
    <w:rsid w:val="00A979E6"/>
    <w:rsid w:val="00A97A08"/>
    <w:rsid w:val="00A97A11"/>
    <w:rsid w:val="00A97A14"/>
    <w:rsid w:val="00A97A8B"/>
    <w:rsid w:val="00A97ADE"/>
    <w:rsid w:val="00A97AE5"/>
    <w:rsid w:val="00A97B14"/>
    <w:rsid w:val="00A97B3F"/>
    <w:rsid w:val="00A97B70"/>
    <w:rsid w:val="00A97BB8"/>
    <w:rsid w:val="00A97BDE"/>
    <w:rsid w:val="00A97BEF"/>
    <w:rsid w:val="00A97C06"/>
    <w:rsid w:val="00A97C25"/>
    <w:rsid w:val="00A97C2C"/>
    <w:rsid w:val="00A97C2D"/>
    <w:rsid w:val="00A97CCE"/>
    <w:rsid w:val="00A97CF4"/>
    <w:rsid w:val="00A97D0A"/>
    <w:rsid w:val="00A97D4B"/>
    <w:rsid w:val="00A97D91"/>
    <w:rsid w:val="00A97DBC"/>
    <w:rsid w:val="00A97DCF"/>
    <w:rsid w:val="00A97E0B"/>
    <w:rsid w:val="00A97E41"/>
    <w:rsid w:val="00A97EAA"/>
    <w:rsid w:val="00A97EFD"/>
    <w:rsid w:val="00A97F2C"/>
    <w:rsid w:val="00A97F5D"/>
    <w:rsid w:val="00A97F60"/>
    <w:rsid w:val="00A97FAE"/>
    <w:rsid w:val="00A97FDC"/>
    <w:rsid w:val="00A97FEF"/>
    <w:rsid w:val="00AA004E"/>
    <w:rsid w:val="00AA0063"/>
    <w:rsid w:val="00AA0130"/>
    <w:rsid w:val="00AA014B"/>
    <w:rsid w:val="00AA0190"/>
    <w:rsid w:val="00AA01A8"/>
    <w:rsid w:val="00AA01BC"/>
    <w:rsid w:val="00AA0215"/>
    <w:rsid w:val="00AA0295"/>
    <w:rsid w:val="00AA02E3"/>
    <w:rsid w:val="00AA0332"/>
    <w:rsid w:val="00AA0336"/>
    <w:rsid w:val="00AA03A5"/>
    <w:rsid w:val="00AA03B2"/>
    <w:rsid w:val="00AA03DF"/>
    <w:rsid w:val="00AA047B"/>
    <w:rsid w:val="00AA04B0"/>
    <w:rsid w:val="00AA04C9"/>
    <w:rsid w:val="00AA050E"/>
    <w:rsid w:val="00AA0533"/>
    <w:rsid w:val="00AA0536"/>
    <w:rsid w:val="00AA0561"/>
    <w:rsid w:val="00AA0566"/>
    <w:rsid w:val="00AA05A8"/>
    <w:rsid w:val="00AA05D9"/>
    <w:rsid w:val="00AA0604"/>
    <w:rsid w:val="00AA0683"/>
    <w:rsid w:val="00AA076A"/>
    <w:rsid w:val="00AA07BE"/>
    <w:rsid w:val="00AA07C3"/>
    <w:rsid w:val="00AA084C"/>
    <w:rsid w:val="00AA08C2"/>
    <w:rsid w:val="00AA08C7"/>
    <w:rsid w:val="00AA08CC"/>
    <w:rsid w:val="00AA08E8"/>
    <w:rsid w:val="00AA0907"/>
    <w:rsid w:val="00AA0949"/>
    <w:rsid w:val="00AA0956"/>
    <w:rsid w:val="00AA09A3"/>
    <w:rsid w:val="00AA0A0E"/>
    <w:rsid w:val="00AA0A1B"/>
    <w:rsid w:val="00AA0A51"/>
    <w:rsid w:val="00AA0AF5"/>
    <w:rsid w:val="00AA0C62"/>
    <w:rsid w:val="00AA0CA8"/>
    <w:rsid w:val="00AA0D40"/>
    <w:rsid w:val="00AA0D52"/>
    <w:rsid w:val="00AA0E8B"/>
    <w:rsid w:val="00AA0EAE"/>
    <w:rsid w:val="00AA0EB1"/>
    <w:rsid w:val="00AA0EE4"/>
    <w:rsid w:val="00AA0F4F"/>
    <w:rsid w:val="00AA0F59"/>
    <w:rsid w:val="00AA0F94"/>
    <w:rsid w:val="00AA0FB9"/>
    <w:rsid w:val="00AA0FBD"/>
    <w:rsid w:val="00AA0FDB"/>
    <w:rsid w:val="00AA0FEA"/>
    <w:rsid w:val="00AA1024"/>
    <w:rsid w:val="00AA1089"/>
    <w:rsid w:val="00AA1099"/>
    <w:rsid w:val="00AA10E1"/>
    <w:rsid w:val="00AA112F"/>
    <w:rsid w:val="00AA1133"/>
    <w:rsid w:val="00AA1155"/>
    <w:rsid w:val="00AA115A"/>
    <w:rsid w:val="00AA121C"/>
    <w:rsid w:val="00AA1277"/>
    <w:rsid w:val="00AA1279"/>
    <w:rsid w:val="00AA1289"/>
    <w:rsid w:val="00AA12B3"/>
    <w:rsid w:val="00AA12BD"/>
    <w:rsid w:val="00AA1384"/>
    <w:rsid w:val="00AA13BE"/>
    <w:rsid w:val="00AA145E"/>
    <w:rsid w:val="00AA14ED"/>
    <w:rsid w:val="00AA1511"/>
    <w:rsid w:val="00AA1528"/>
    <w:rsid w:val="00AA1583"/>
    <w:rsid w:val="00AA15BB"/>
    <w:rsid w:val="00AA15BD"/>
    <w:rsid w:val="00AA15BE"/>
    <w:rsid w:val="00AA1678"/>
    <w:rsid w:val="00AA16A1"/>
    <w:rsid w:val="00AA1811"/>
    <w:rsid w:val="00AA1848"/>
    <w:rsid w:val="00AA1852"/>
    <w:rsid w:val="00AA1895"/>
    <w:rsid w:val="00AA18BA"/>
    <w:rsid w:val="00AA1908"/>
    <w:rsid w:val="00AA192B"/>
    <w:rsid w:val="00AA1952"/>
    <w:rsid w:val="00AA19CA"/>
    <w:rsid w:val="00AA19CC"/>
    <w:rsid w:val="00AA19D2"/>
    <w:rsid w:val="00AA19D9"/>
    <w:rsid w:val="00AA19E9"/>
    <w:rsid w:val="00AA19F9"/>
    <w:rsid w:val="00AA1A0D"/>
    <w:rsid w:val="00AA1A76"/>
    <w:rsid w:val="00AA1AE2"/>
    <w:rsid w:val="00AA1B2E"/>
    <w:rsid w:val="00AA1B5B"/>
    <w:rsid w:val="00AA1B78"/>
    <w:rsid w:val="00AA1B85"/>
    <w:rsid w:val="00AA1BDB"/>
    <w:rsid w:val="00AA1C0B"/>
    <w:rsid w:val="00AA1C2E"/>
    <w:rsid w:val="00AA1C55"/>
    <w:rsid w:val="00AA1CE1"/>
    <w:rsid w:val="00AA1D36"/>
    <w:rsid w:val="00AA1D7F"/>
    <w:rsid w:val="00AA1D83"/>
    <w:rsid w:val="00AA1DB4"/>
    <w:rsid w:val="00AA1E71"/>
    <w:rsid w:val="00AA1E7A"/>
    <w:rsid w:val="00AA1E80"/>
    <w:rsid w:val="00AA1EAA"/>
    <w:rsid w:val="00AA1EC1"/>
    <w:rsid w:val="00AA1ED0"/>
    <w:rsid w:val="00AA1EE5"/>
    <w:rsid w:val="00AA1EF6"/>
    <w:rsid w:val="00AA1F24"/>
    <w:rsid w:val="00AA1FDD"/>
    <w:rsid w:val="00AA1FE7"/>
    <w:rsid w:val="00AA2011"/>
    <w:rsid w:val="00AA2031"/>
    <w:rsid w:val="00AA208F"/>
    <w:rsid w:val="00AA210F"/>
    <w:rsid w:val="00AA2206"/>
    <w:rsid w:val="00AA220F"/>
    <w:rsid w:val="00AA221B"/>
    <w:rsid w:val="00AA2279"/>
    <w:rsid w:val="00AA2287"/>
    <w:rsid w:val="00AA229E"/>
    <w:rsid w:val="00AA22D0"/>
    <w:rsid w:val="00AA2354"/>
    <w:rsid w:val="00AA2359"/>
    <w:rsid w:val="00AA240F"/>
    <w:rsid w:val="00AA241F"/>
    <w:rsid w:val="00AA2425"/>
    <w:rsid w:val="00AA2458"/>
    <w:rsid w:val="00AA247D"/>
    <w:rsid w:val="00AA24C2"/>
    <w:rsid w:val="00AA24FE"/>
    <w:rsid w:val="00AA2500"/>
    <w:rsid w:val="00AA251C"/>
    <w:rsid w:val="00AA255D"/>
    <w:rsid w:val="00AA258F"/>
    <w:rsid w:val="00AA25AC"/>
    <w:rsid w:val="00AA25DA"/>
    <w:rsid w:val="00AA2605"/>
    <w:rsid w:val="00AA2629"/>
    <w:rsid w:val="00AA263E"/>
    <w:rsid w:val="00AA2662"/>
    <w:rsid w:val="00AA26E4"/>
    <w:rsid w:val="00AA26EB"/>
    <w:rsid w:val="00AA2729"/>
    <w:rsid w:val="00AA2743"/>
    <w:rsid w:val="00AA2790"/>
    <w:rsid w:val="00AA27E7"/>
    <w:rsid w:val="00AA280E"/>
    <w:rsid w:val="00AA281D"/>
    <w:rsid w:val="00AA282D"/>
    <w:rsid w:val="00AA2925"/>
    <w:rsid w:val="00AA2949"/>
    <w:rsid w:val="00AA29C1"/>
    <w:rsid w:val="00AA29FA"/>
    <w:rsid w:val="00AA2A49"/>
    <w:rsid w:val="00AA2ABB"/>
    <w:rsid w:val="00AA2B21"/>
    <w:rsid w:val="00AA2B42"/>
    <w:rsid w:val="00AA2B6C"/>
    <w:rsid w:val="00AA2BAC"/>
    <w:rsid w:val="00AA2BBE"/>
    <w:rsid w:val="00AA2C2D"/>
    <w:rsid w:val="00AA2C39"/>
    <w:rsid w:val="00AA2C3D"/>
    <w:rsid w:val="00AA2D01"/>
    <w:rsid w:val="00AA2D2C"/>
    <w:rsid w:val="00AA2D32"/>
    <w:rsid w:val="00AA2D3E"/>
    <w:rsid w:val="00AA2D49"/>
    <w:rsid w:val="00AA2D50"/>
    <w:rsid w:val="00AA2D94"/>
    <w:rsid w:val="00AA2E66"/>
    <w:rsid w:val="00AA2E8D"/>
    <w:rsid w:val="00AA2EAC"/>
    <w:rsid w:val="00AA2F39"/>
    <w:rsid w:val="00AA2F40"/>
    <w:rsid w:val="00AA2F47"/>
    <w:rsid w:val="00AA2F48"/>
    <w:rsid w:val="00AA2F51"/>
    <w:rsid w:val="00AA2F75"/>
    <w:rsid w:val="00AA2FA4"/>
    <w:rsid w:val="00AA2FE5"/>
    <w:rsid w:val="00AA2FED"/>
    <w:rsid w:val="00AA2FF7"/>
    <w:rsid w:val="00AA300C"/>
    <w:rsid w:val="00AA302D"/>
    <w:rsid w:val="00AA3043"/>
    <w:rsid w:val="00AA30F1"/>
    <w:rsid w:val="00AA31A1"/>
    <w:rsid w:val="00AA31C6"/>
    <w:rsid w:val="00AA31DD"/>
    <w:rsid w:val="00AA31FF"/>
    <w:rsid w:val="00AA3203"/>
    <w:rsid w:val="00AA3295"/>
    <w:rsid w:val="00AA32DE"/>
    <w:rsid w:val="00AA32EC"/>
    <w:rsid w:val="00AA3302"/>
    <w:rsid w:val="00AA333B"/>
    <w:rsid w:val="00AA3388"/>
    <w:rsid w:val="00AA3393"/>
    <w:rsid w:val="00AA33FB"/>
    <w:rsid w:val="00AA340A"/>
    <w:rsid w:val="00AA3455"/>
    <w:rsid w:val="00AA3467"/>
    <w:rsid w:val="00AA3477"/>
    <w:rsid w:val="00AA34C1"/>
    <w:rsid w:val="00AA3565"/>
    <w:rsid w:val="00AA3575"/>
    <w:rsid w:val="00AA3597"/>
    <w:rsid w:val="00AA35AA"/>
    <w:rsid w:val="00AA35C0"/>
    <w:rsid w:val="00AA3635"/>
    <w:rsid w:val="00AA3677"/>
    <w:rsid w:val="00AA367E"/>
    <w:rsid w:val="00AA36A2"/>
    <w:rsid w:val="00AA36DF"/>
    <w:rsid w:val="00AA373A"/>
    <w:rsid w:val="00AA374A"/>
    <w:rsid w:val="00AA3761"/>
    <w:rsid w:val="00AA3775"/>
    <w:rsid w:val="00AA37B1"/>
    <w:rsid w:val="00AA37E0"/>
    <w:rsid w:val="00AA3862"/>
    <w:rsid w:val="00AA3897"/>
    <w:rsid w:val="00AA38AF"/>
    <w:rsid w:val="00AA391D"/>
    <w:rsid w:val="00AA392B"/>
    <w:rsid w:val="00AA3932"/>
    <w:rsid w:val="00AA393C"/>
    <w:rsid w:val="00AA39AA"/>
    <w:rsid w:val="00AA39CA"/>
    <w:rsid w:val="00AA39D1"/>
    <w:rsid w:val="00AA39F1"/>
    <w:rsid w:val="00AA3A14"/>
    <w:rsid w:val="00AA3A6F"/>
    <w:rsid w:val="00AA3AA6"/>
    <w:rsid w:val="00AA3ADF"/>
    <w:rsid w:val="00AA3B29"/>
    <w:rsid w:val="00AA3B71"/>
    <w:rsid w:val="00AA3B73"/>
    <w:rsid w:val="00AA3BA9"/>
    <w:rsid w:val="00AA3BBF"/>
    <w:rsid w:val="00AA3C13"/>
    <w:rsid w:val="00AA3CA4"/>
    <w:rsid w:val="00AA3CF1"/>
    <w:rsid w:val="00AA3D9C"/>
    <w:rsid w:val="00AA3E21"/>
    <w:rsid w:val="00AA3E67"/>
    <w:rsid w:val="00AA3ECA"/>
    <w:rsid w:val="00AA3EF9"/>
    <w:rsid w:val="00AA3F30"/>
    <w:rsid w:val="00AA3F35"/>
    <w:rsid w:val="00AA3FC3"/>
    <w:rsid w:val="00AA3FF4"/>
    <w:rsid w:val="00AA3FF7"/>
    <w:rsid w:val="00AA4007"/>
    <w:rsid w:val="00AA4026"/>
    <w:rsid w:val="00AA4052"/>
    <w:rsid w:val="00AA4068"/>
    <w:rsid w:val="00AA4102"/>
    <w:rsid w:val="00AA4170"/>
    <w:rsid w:val="00AA418E"/>
    <w:rsid w:val="00AA41A4"/>
    <w:rsid w:val="00AA423A"/>
    <w:rsid w:val="00AA4262"/>
    <w:rsid w:val="00AA4277"/>
    <w:rsid w:val="00AA4284"/>
    <w:rsid w:val="00AA4321"/>
    <w:rsid w:val="00AA433E"/>
    <w:rsid w:val="00AA4388"/>
    <w:rsid w:val="00AA438E"/>
    <w:rsid w:val="00AA4391"/>
    <w:rsid w:val="00AA43DC"/>
    <w:rsid w:val="00AA43EA"/>
    <w:rsid w:val="00AA446F"/>
    <w:rsid w:val="00AA4480"/>
    <w:rsid w:val="00AA44C5"/>
    <w:rsid w:val="00AA44C6"/>
    <w:rsid w:val="00AA453D"/>
    <w:rsid w:val="00AA4555"/>
    <w:rsid w:val="00AA45FB"/>
    <w:rsid w:val="00AA4631"/>
    <w:rsid w:val="00AA466A"/>
    <w:rsid w:val="00AA4677"/>
    <w:rsid w:val="00AA469E"/>
    <w:rsid w:val="00AA46B1"/>
    <w:rsid w:val="00AA472F"/>
    <w:rsid w:val="00AA4733"/>
    <w:rsid w:val="00AA4771"/>
    <w:rsid w:val="00AA477A"/>
    <w:rsid w:val="00AA47AB"/>
    <w:rsid w:val="00AA47C6"/>
    <w:rsid w:val="00AA4842"/>
    <w:rsid w:val="00AA4909"/>
    <w:rsid w:val="00AA4919"/>
    <w:rsid w:val="00AA491F"/>
    <w:rsid w:val="00AA4980"/>
    <w:rsid w:val="00AA498F"/>
    <w:rsid w:val="00AA49E0"/>
    <w:rsid w:val="00AA49F8"/>
    <w:rsid w:val="00AA4A5C"/>
    <w:rsid w:val="00AA4A80"/>
    <w:rsid w:val="00AA4A91"/>
    <w:rsid w:val="00AA4AD7"/>
    <w:rsid w:val="00AA4B1E"/>
    <w:rsid w:val="00AA4B77"/>
    <w:rsid w:val="00AA4BB8"/>
    <w:rsid w:val="00AA4BC2"/>
    <w:rsid w:val="00AA4BC5"/>
    <w:rsid w:val="00AA4BD9"/>
    <w:rsid w:val="00AA4BF3"/>
    <w:rsid w:val="00AA4BFA"/>
    <w:rsid w:val="00AA4C3F"/>
    <w:rsid w:val="00AA4C67"/>
    <w:rsid w:val="00AA4C7F"/>
    <w:rsid w:val="00AA4C9A"/>
    <w:rsid w:val="00AA4CC3"/>
    <w:rsid w:val="00AA4CDA"/>
    <w:rsid w:val="00AA4CDB"/>
    <w:rsid w:val="00AA4CE6"/>
    <w:rsid w:val="00AA4D99"/>
    <w:rsid w:val="00AA4DD7"/>
    <w:rsid w:val="00AA4DDB"/>
    <w:rsid w:val="00AA4E1D"/>
    <w:rsid w:val="00AA4E42"/>
    <w:rsid w:val="00AA4E44"/>
    <w:rsid w:val="00AA4E8A"/>
    <w:rsid w:val="00AA4EBF"/>
    <w:rsid w:val="00AA4F35"/>
    <w:rsid w:val="00AA4FB5"/>
    <w:rsid w:val="00AA4FC6"/>
    <w:rsid w:val="00AA5016"/>
    <w:rsid w:val="00AA5055"/>
    <w:rsid w:val="00AA50EA"/>
    <w:rsid w:val="00AA50F7"/>
    <w:rsid w:val="00AA5137"/>
    <w:rsid w:val="00AA51C4"/>
    <w:rsid w:val="00AA520A"/>
    <w:rsid w:val="00AA5219"/>
    <w:rsid w:val="00AA5235"/>
    <w:rsid w:val="00AA5245"/>
    <w:rsid w:val="00AA52B5"/>
    <w:rsid w:val="00AA5390"/>
    <w:rsid w:val="00AA5392"/>
    <w:rsid w:val="00AA53A4"/>
    <w:rsid w:val="00AA5469"/>
    <w:rsid w:val="00AA547E"/>
    <w:rsid w:val="00AA54A2"/>
    <w:rsid w:val="00AA54BB"/>
    <w:rsid w:val="00AA54DD"/>
    <w:rsid w:val="00AA5538"/>
    <w:rsid w:val="00AA5549"/>
    <w:rsid w:val="00AA5553"/>
    <w:rsid w:val="00AA555F"/>
    <w:rsid w:val="00AA5585"/>
    <w:rsid w:val="00AA5597"/>
    <w:rsid w:val="00AA559E"/>
    <w:rsid w:val="00AA55B9"/>
    <w:rsid w:val="00AA55BB"/>
    <w:rsid w:val="00AA55BF"/>
    <w:rsid w:val="00AA55F0"/>
    <w:rsid w:val="00AA5608"/>
    <w:rsid w:val="00AA5629"/>
    <w:rsid w:val="00AA5638"/>
    <w:rsid w:val="00AA566F"/>
    <w:rsid w:val="00AA5690"/>
    <w:rsid w:val="00AA5699"/>
    <w:rsid w:val="00AA56AA"/>
    <w:rsid w:val="00AA5706"/>
    <w:rsid w:val="00AA570D"/>
    <w:rsid w:val="00AA5748"/>
    <w:rsid w:val="00AA5783"/>
    <w:rsid w:val="00AA579D"/>
    <w:rsid w:val="00AA57F5"/>
    <w:rsid w:val="00AA5814"/>
    <w:rsid w:val="00AA5875"/>
    <w:rsid w:val="00AA589E"/>
    <w:rsid w:val="00AA58D9"/>
    <w:rsid w:val="00AA58E1"/>
    <w:rsid w:val="00AA58F3"/>
    <w:rsid w:val="00AA5996"/>
    <w:rsid w:val="00AA59D6"/>
    <w:rsid w:val="00AA5A14"/>
    <w:rsid w:val="00AA5A31"/>
    <w:rsid w:val="00AA5A42"/>
    <w:rsid w:val="00AA5A94"/>
    <w:rsid w:val="00AA5AAE"/>
    <w:rsid w:val="00AA5AC5"/>
    <w:rsid w:val="00AA5B0C"/>
    <w:rsid w:val="00AA5B16"/>
    <w:rsid w:val="00AA5BEA"/>
    <w:rsid w:val="00AA5C06"/>
    <w:rsid w:val="00AA5C1E"/>
    <w:rsid w:val="00AA5C25"/>
    <w:rsid w:val="00AA5C56"/>
    <w:rsid w:val="00AA5C8F"/>
    <w:rsid w:val="00AA5CF4"/>
    <w:rsid w:val="00AA5CFA"/>
    <w:rsid w:val="00AA5D07"/>
    <w:rsid w:val="00AA5D0F"/>
    <w:rsid w:val="00AA5D10"/>
    <w:rsid w:val="00AA5D1A"/>
    <w:rsid w:val="00AA5D2C"/>
    <w:rsid w:val="00AA5D63"/>
    <w:rsid w:val="00AA5D6D"/>
    <w:rsid w:val="00AA5E18"/>
    <w:rsid w:val="00AA5E34"/>
    <w:rsid w:val="00AA5E6F"/>
    <w:rsid w:val="00AA5E75"/>
    <w:rsid w:val="00AA5E88"/>
    <w:rsid w:val="00AA5EC6"/>
    <w:rsid w:val="00AA5ED6"/>
    <w:rsid w:val="00AA5EE2"/>
    <w:rsid w:val="00AA5EF8"/>
    <w:rsid w:val="00AA5F04"/>
    <w:rsid w:val="00AA5F15"/>
    <w:rsid w:val="00AA5F16"/>
    <w:rsid w:val="00AA5F87"/>
    <w:rsid w:val="00AA5F9F"/>
    <w:rsid w:val="00AA5FCF"/>
    <w:rsid w:val="00AA5FE4"/>
    <w:rsid w:val="00AA6017"/>
    <w:rsid w:val="00AA6019"/>
    <w:rsid w:val="00AA60C1"/>
    <w:rsid w:val="00AA6101"/>
    <w:rsid w:val="00AA6106"/>
    <w:rsid w:val="00AA610C"/>
    <w:rsid w:val="00AA613E"/>
    <w:rsid w:val="00AA6177"/>
    <w:rsid w:val="00AA61B4"/>
    <w:rsid w:val="00AA61C3"/>
    <w:rsid w:val="00AA61D4"/>
    <w:rsid w:val="00AA61EA"/>
    <w:rsid w:val="00AA628F"/>
    <w:rsid w:val="00AA62D7"/>
    <w:rsid w:val="00AA6314"/>
    <w:rsid w:val="00AA6338"/>
    <w:rsid w:val="00AA634B"/>
    <w:rsid w:val="00AA6372"/>
    <w:rsid w:val="00AA6382"/>
    <w:rsid w:val="00AA63C8"/>
    <w:rsid w:val="00AA642C"/>
    <w:rsid w:val="00AA644B"/>
    <w:rsid w:val="00AA647C"/>
    <w:rsid w:val="00AA649C"/>
    <w:rsid w:val="00AA64AE"/>
    <w:rsid w:val="00AA64E9"/>
    <w:rsid w:val="00AA64FB"/>
    <w:rsid w:val="00AA6509"/>
    <w:rsid w:val="00AA6523"/>
    <w:rsid w:val="00AA6543"/>
    <w:rsid w:val="00AA6567"/>
    <w:rsid w:val="00AA656A"/>
    <w:rsid w:val="00AA658F"/>
    <w:rsid w:val="00AA65A5"/>
    <w:rsid w:val="00AA662E"/>
    <w:rsid w:val="00AA6657"/>
    <w:rsid w:val="00AA6706"/>
    <w:rsid w:val="00AA67EA"/>
    <w:rsid w:val="00AA67F9"/>
    <w:rsid w:val="00AA6806"/>
    <w:rsid w:val="00AA682A"/>
    <w:rsid w:val="00AA684D"/>
    <w:rsid w:val="00AA685B"/>
    <w:rsid w:val="00AA685F"/>
    <w:rsid w:val="00AA6860"/>
    <w:rsid w:val="00AA691E"/>
    <w:rsid w:val="00AA6985"/>
    <w:rsid w:val="00AA6995"/>
    <w:rsid w:val="00AA69BE"/>
    <w:rsid w:val="00AA6A24"/>
    <w:rsid w:val="00AA6A38"/>
    <w:rsid w:val="00AA6A4B"/>
    <w:rsid w:val="00AA6A75"/>
    <w:rsid w:val="00AA6A80"/>
    <w:rsid w:val="00AA6AB5"/>
    <w:rsid w:val="00AA6AE2"/>
    <w:rsid w:val="00AA6B2F"/>
    <w:rsid w:val="00AA6B33"/>
    <w:rsid w:val="00AA6B35"/>
    <w:rsid w:val="00AA6B66"/>
    <w:rsid w:val="00AA6BE4"/>
    <w:rsid w:val="00AA6C22"/>
    <w:rsid w:val="00AA6C49"/>
    <w:rsid w:val="00AA6C9A"/>
    <w:rsid w:val="00AA6CA5"/>
    <w:rsid w:val="00AA6D1D"/>
    <w:rsid w:val="00AA6D38"/>
    <w:rsid w:val="00AA6D42"/>
    <w:rsid w:val="00AA6D5B"/>
    <w:rsid w:val="00AA6DA9"/>
    <w:rsid w:val="00AA6DFF"/>
    <w:rsid w:val="00AA6E67"/>
    <w:rsid w:val="00AA6EAB"/>
    <w:rsid w:val="00AA6EAE"/>
    <w:rsid w:val="00AA6EB7"/>
    <w:rsid w:val="00AA6EC7"/>
    <w:rsid w:val="00AA6EDC"/>
    <w:rsid w:val="00AA6EEB"/>
    <w:rsid w:val="00AA6EF0"/>
    <w:rsid w:val="00AA6F02"/>
    <w:rsid w:val="00AA6F33"/>
    <w:rsid w:val="00AA6F3B"/>
    <w:rsid w:val="00AA6F6B"/>
    <w:rsid w:val="00AA6F85"/>
    <w:rsid w:val="00AA6FA4"/>
    <w:rsid w:val="00AA6FF0"/>
    <w:rsid w:val="00AA700F"/>
    <w:rsid w:val="00AA7034"/>
    <w:rsid w:val="00AA7053"/>
    <w:rsid w:val="00AA70C6"/>
    <w:rsid w:val="00AA70CC"/>
    <w:rsid w:val="00AA71B6"/>
    <w:rsid w:val="00AA71D0"/>
    <w:rsid w:val="00AA720C"/>
    <w:rsid w:val="00AA720F"/>
    <w:rsid w:val="00AA7245"/>
    <w:rsid w:val="00AA725C"/>
    <w:rsid w:val="00AA7281"/>
    <w:rsid w:val="00AA72AA"/>
    <w:rsid w:val="00AA72C6"/>
    <w:rsid w:val="00AA7308"/>
    <w:rsid w:val="00AA730E"/>
    <w:rsid w:val="00AA73AA"/>
    <w:rsid w:val="00AA7407"/>
    <w:rsid w:val="00AA743D"/>
    <w:rsid w:val="00AA7483"/>
    <w:rsid w:val="00AA74D3"/>
    <w:rsid w:val="00AA74E6"/>
    <w:rsid w:val="00AA7533"/>
    <w:rsid w:val="00AA7576"/>
    <w:rsid w:val="00AA75BE"/>
    <w:rsid w:val="00AA760F"/>
    <w:rsid w:val="00AA761B"/>
    <w:rsid w:val="00AA764B"/>
    <w:rsid w:val="00AA772F"/>
    <w:rsid w:val="00AA7768"/>
    <w:rsid w:val="00AA776B"/>
    <w:rsid w:val="00AA777F"/>
    <w:rsid w:val="00AA7789"/>
    <w:rsid w:val="00AA779D"/>
    <w:rsid w:val="00AA77B1"/>
    <w:rsid w:val="00AA77BE"/>
    <w:rsid w:val="00AA77C6"/>
    <w:rsid w:val="00AA7800"/>
    <w:rsid w:val="00AA7817"/>
    <w:rsid w:val="00AA782D"/>
    <w:rsid w:val="00AA7997"/>
    <w:rsid w:val="00AA79C1"/>
    <w:rsid w:val="00AA79D4"/>
    <w:rsid w:val="00AA7A25"/>
    <w:rsid w:val="00AA7A57"/>
    <w:rsid w:val="00AA7A64"/>
    <w:rsid w:val="00AA7ADA"/>
    <w:rsid w:val="00AA7B0B"/>
    <w:rsid w:val="00AA7B10"/>
    <w:rsid w:val="00AA7B36"/>
    <w:rsid w:val="00AA7B5D"/>
    <w:rsid w:val="00AA7D07"/>
    <w:rsid w:val="00AA7D99"/>
    <w:rsid w:val="00AA7DEC"/>
    <w:rsid w:val="00AA7DEE"/>
    <w:rsid w:val="00AA7DEF"/>
    <w:rsid w:val="00AA7E01"/>
    <w:rsid w:val="00AA7E12"/>
    <w:rsid w:val="00AA7EA5"/>
    <w:rsid w:val="00AA7EFB"/>
    <w:rsid w:val="00AA7F12"/>
    <w:rsid w:val="00AA7F2E"/>
    <w:rsid w:val="00AA7F84"/>
    <w:rsid w:val="00AA7F98"/>
    <w:rsid w:val="00AA7FBA"/>
    <w:rsid w:val="00AA7FBF"/>
    <w:rsid w:val="00AA7FC4"/>
    <w:rsid w:val="00AA7FE1"/>
    <w:rsid w:val="00AB0011"/>
    <w:rsid w:val="00AB0035"/>
    <w:rsid w:val="00AB0036"/>
    <w:rsid w:val="00AB0093"/>
    <w:rsid w:val="00AB013F"/>
    <w:rsid w:val="00AB0174"/>
    <w:rsid w:val="00AB01B6"/>
    <w:rsid w:val="00AB01F4"/>
    <w:rsid w:val="00AB0206"/>
    <w:rsid w:val="00AB0241"/>
    <w:rsid w:val="00AB028A"/>
    <w:rsid w:val="00AB02B6"/>
    <w:rsid w:val="00AB02D1"/>
    <w:rsid w:val="00AB02FB"/>
    <w:rsid w:val="00AB0307"/>
    <w:rsid w:val="00AB031B"/>
    <w:rsid w:val="00AB0336"/>
    <w:rsid w:val="00AB03A7"/>
    <w:rsid w:val="00AB03D1"/>
    <w:rsid w:val="00AB03F3"/>
    <w:rsid w:val="00AB042A"/>
    <w:rsid w:val="00AB042D"/>
    <w:rsid w:val="00AB0464"/>
    <w:rsid w:val="00AB048B"/>
    <w:rsid w:val="00AB048F"/>
    <w:rsid w:val="00AB049E"/>
    <w:rsid w:val="00AB04A7"/>
    <w:rsid w:val="00AB04E7"/>
    <w:rsid w:val="00AB04F1"/>
    <w:rsid w:val="00AB055F"/>
    <w:rsid w:val="00AB0576"/>
    <w:rsid w:val="00AB0577"/>
    <w:rsid w:val="00AB05C5"/>
    <w:rsid w:val="00AB05D9"/>
    <w:rsid w:val="00AB05FD"/>
    <w:rsid w:val="00AB060C"/>
    <w:rsid w:val="00AB065D"/>
    <w:rsid w:val="00AB0677"/>
    <w:rsid w:val="00AB06D4"/>
    <w:rsid w:val="00AB0729"/>
    <w:rsid w:val="00AB074C"/>
    <w:rsid w:val="00AB076A"/>
    <w:rsid w:val="00AB07B5"/>
    <w:rsid w:val="00AB0806"/>
    <w:rsid w:val="00AB08B0"/>
    <w:rsid w:val="00AB0A32"/>
    <w:rsid w:val="00AB0A7D"/>
    <w:rsid w:val="00AB0A88"/>
    <w:rsid w:val="00AB0AC9"/>
    <w:rsid w:val="00AB0B0C"/>
    <w:rsid w:val="00AB0B62"/>
    <w:rsid w:val="00AB0B78"/>
    <w:rsid w:val="00AB0BAC"/>
    <w:rsid w:val="00AB0BE1"/>
    <w:rsid w:val="00AB0BF2"/>
    <w:rsid w:val="00AB0D03"/>
    <w:rsid w:val="00AB0D0C"/>
    <w:rsid w:val="00AB0D39"/>
    <w:rsid w:val="00AB0D70"/>
    <w:rsid w:val="00AB0D82"/>
    <w:rsid w:val="00AB0DAA"/>
    <w:rsid w:val="00AB0DB8"/>
    <w:rsid w:val="00AB0DBA"/>
    <w:rsid w:val="00AB0DBC"/>
    <w:rsid w:val="00AB0DF2"/>
    <w:rsid w:val="00AB0E3C"/>
    <w:rsid w:val="00AB0E9D"/>
    <w:rsid w:val="00AB0EA5"/>
    <w:rsid w:val="00AB0EC2"/>
    <w:rsid w:val="00AB0EE9"/>
    <w:rsid w:val="00AB0EF5"/>
    <w:rsid w:val="00AB0F33"/>
    <w:rsid w:val="00AB0F4A"/>
    <w:rsid w:val="00AB0F7A"/>
    <w:rsid w:val="00AB0F91"/>
    <w:rsid w:val="00AB0FDD"/>
    <w:rsid w:val="00AB102F"/>
    <w:rsid w:val="00AB1046"/>
    <w:rsid w:val="00AB1063"/>
    <w:rsid w:val="00AB1093"/>
    <w:rsid w:val="00AB10AC"/>
    <w:rsid w:val="00AB10B2"/>
    <w:rsid w:val="00AB10B4"/>
    <w:rsid w:val="00AB10F0"/>
    <w:rsid w:val="00AB113C"/>
    <w:rsid w:val="00AB115A"/>
    <w:rsid w:val="00AB1169"/>
    <w:rsid w:val="00AB11A7"/>
    <w:rsid w:val="00AB11BA"/>
    <w:rsid w:val="00AB11E2"/>
    <w:rsid w:val="00AB11FD"/>
    <w:rsid w:val="00AB123E"/>
    <w:rsid w:val="00AB1279"/>
    <w:rsid w:val="00AB1293"/>
    <w:rsid w:val="00AB129C"/>
    <w:rsid w:val="00AB129E"/>
    <w:rsid w:val="00AB12B2"/>
    <w:rsid w:val="00AB12BC"/>
    <w:rsid w:val="00AB12D2"/>
    <w:rsid w:val="00AB12E8"/>
    <w:rsid w:val="00AB1302"/>
    <w:rsid w:val="00AB1359"/>
    <w:rsid w:val="00AB137E"/>
    <w:rsid w:val="00AB1386"/>
    <w:rsid w:val="00AB1390"/>
    <w:rsid w:val="00AB1395"/>
    <w:rsid w:val="00AB13EA"/>
    <w:rsid w:val="00AB1420"/>
    <w:rsid w:val="00AB148E"/>
    <w:rsid w:val="00AB14F7"/>
    <w:rsid w:val="00AB1502"/>
    <w:rsid w:val="00AB1559"/>
    <w:rsid w:val="00AB15CF"/>
    <w:rsid w:val="00AB16AB"/>
    <w:rsid w:val="00AB1710"/>
    <w:rsid w:val="00AB17B6"/>
    <w:rsid w:val="00AB17EF"/>
    <w:rsid w:val="00AB1859"/>
    <w:rsid w:val="00AB1895"/>
    <w:rsid w:val="00AB18D3"/>
    <w:rsid w:val="00AB190A"/>
    <w:rsid w:val="00AB1937"/>
    <w:rsid w:val="00AB19A7"/>
    <w:rsid w:val="00AB19BB"/>
    <w:rsid w:val="00AB1A53"/>
    <w:rsid w:val="00AB1A6E"/>
    <w:rsid w:val="00AB1A8E"/>
    <w:rsid w:val="00AB1AA1"/>
    <w:rsid w:val="00AB1ABF"/>
    <w:rsid w:val="00AB1B1E"/>
    <w:rsid w:val="00AB1B2C"/>
    <w:rsid w:val="00AB1B5F"/>
    <w:rsid w:val="00AB1B61"/>
    <w:rsid w:val="00AB1B66"/>
    <w:rsid w:val="00AB1BCA"/>
    <w:rsid w:val="00AB1C01"/>
    <w:rsid w:val="00AB1C0B"/>
    <w:rsid w:val="00AB1C23"/>
    <w:rsid w:val="00AB1C27"/>
    <w:rsid w:val="00AB1C40"/>
    <w:rsid w:val="00AB1C8D"/>
    <w:rsid w:val="00AB1CE5"/>
    <w:rsid w:val="00AB1DE6"/>
    <w:rsid w:val="00AB1E26"/>
    <w:rsid w:val="00AB1E3E"/>
    <w:rsid w:val="00AB1E50"/>
    <w:rsid w:val="00AB1E7C"/>
    <w:rsid w:val="00AB1E7D"/>
    <w:rsid w:val="00AB1E93"/>
    <w:rsid w:val="00AB1E9F"/>
    <w:rsid w:val="00AB1EF5"/>
    <w:rsid w:val="00AB1EFF"/>
    <w:rsid w:val="00AB1F00"/>
    <w:rsid w:val="00AB1F0F"/>
    <w:rsid w:val="00AB1F8B"/>
    <w:rsid w:val="00AB1FD1"/>
    <w:rsid w:val="00AB1FE8"/>
    <w:rsid w:val="00AB200A"/>
    <w:rsid w:val="00AB2019"/>
    <w:rsid w:val="00AB202B"/>
    <w:rsid w:val="00AB20A4"/>
    <w:rsid w:val="00AB20B9"/>
    <w:rsid w:val="00AB2103"/>
    <w:rsid w:val="00AB211C"/>
    <w:rsid w:val="00AB21B3"/>
    <w:rsid w:val="00AB224B"/>
    <w:rsid w:val="00AB226B"/>
    <w:rsid w:val="00AB2280"/>
    <w:rsid w:val="00AB228B"/>
    <w:rsid w:val="00AB22F0"/>
    <w:rsid w:val="00AB2333"/>
    <w:rsid w:val="00AB2367"/>
    <w:rsid w:val="00AB23AF"/>
    <w:rsid w:val="00AB23F2"/>
    <w:rsid w:val="00AB23FB"/>
    <w:rsid w:val="00AB2403"/>
    <w:rsid w:val="00AB24A6"/>
    <w:rsid w:val="00AB2506"/>
    <w:rsid w:val="00AB250E"/>
    <w:rsid w:val="00AB25DF"/>
    <w:rsid w:val="00AB2655"/>
    <w:rsid w:val="00AB269A"/>
    <w:rsid w:val="00AB26DA"/>
    <w:rsid w:val="00AB274A"/>
    <w:rsid w:val="00AB2750"/>
    <w:rsid w:val="00AB27BB"/>
    <w:rsid w:val="00AB27C1"/>
    <w:rsid w:val="00AB27E1"/>
    <w:rsid w:val="00AB27F3"/>
    <w:rsid w:val="00AB2847"/>
    <w:rsid w:val="00AB2869"/>
    <w:rsid w:val="00AB2896"/>
    <w:rsid w:val="00AB2897"/>
    <w:rsid w:val="00AB28A2"/>
    <w:rsid w:val="00AB28A6"/>
    <w:rsid w:val="00AB2927"/>
    <w:rsid w:val="00AB2932"/>
    <w:rsid w:val="00AB2971"/>
    <w:rsid w:val="00AB2983"/>
    <w:rsid w:val="00AB29B8"/>
    <w:rsid w:val="00AB2A4C"/>
    <w:rsid w:val="00AB2A6E"/>
    <w:rsid w:val="00AB2A80"/>
    <w:rsid w:val="00AB2BAA"/>
    <w:rsid w:val="00AB2BFC"/>
    <w:rsid w:val="00AB2C50"/>
    <w:rsid w:val="00AB2C59"/>
    <w:rsid w:val="00AB2C6D"/>
    <w:rsid w:val="00AB2CF6"/>
    <w:rsid w:val="00AB2D3A"/>
    <w:rsid w:val="00AB2DB0"/>
    <w:rsid w:val="00AB2E43"/>
    <w:rsid w:val="00AB2E96"/>
    <w:rsid w:val="00AB2EDE"/>
    <w:rsid w:val="00AB2EEC"/>
    <w:rsid w:val="00AB2F08"/>
    <w:rsid w:val="00AB2F28"/>
    <w:rsid w:val="00AB2FA0"/>
    <w:rsid w:val="00AB2FF1"/>
    <w:rsid w:val="00AB3081"/>
    <w:rsid w:val="00AB30CD"/>
    <w:rsid w:val="00AB30DC"/>
    <w:rsid w:val="00AB3110"/>
    <w:rsid w:val="00AB3131"/>
    <w:rsid w:val="00AB3185"/>
    <w:rsid w:val="00AB3278"/>
    <w:rsid w:val="00AB32A1"/>
    <w:rsid w:val="00AB32EE"/>
    <w:rsid w:val="00AB3316"/>
    <w:rsid w:val="00AB3331"/>
    <w:rsid w:val="00AB3332"/>
    <w:rsid w:val="00AB3342"/>
    <w:rsid w:val="00AB3381"/>
    <w:rsid w:val="00AB338D"/>
    <w:rsid w:val="00AB33BE"/>
    <w:rsid w:val="00AB33D3"/>
    <w:rsid w:val="00AB3444"/>
    <w:rsid w:val="00AB34AD"/>
    <w:rsid w:val="00AB356B"/>
    <w:rsid w:val="00AB357C"/>
    <w:rsid w:val="00AB35F8"/>
    <w:rsid w:val="00AB35FF"/>
    <w:rsid w:val="00AB3664"/>
    <w:rsid w:val="00AB36B3"/>
    <w:rsid w:val="00AB3775"/>
    <w:rsid w:val="00AB37E3"/>
    <w:rsid w:val="00AB37FB"/>
    <w:rsid w:val="00AB3889"/>
    <w:rsid w:val="00AB388F"/>
    <w:rsid w:val="00AB38D2"/>
    <w:rsid w:val="00AB38E7"/>
    <w:rsid w:val="00AB3916"/>
    <w:rsid w:val="00AB391A"/>
    <w:rsid w:val="00AB396B"/>
    <w:rsid w:val="00AB3982"/>
    <w:rsid w:val="00AB3A58"/>
    <w:rsid w:val="00AB3A80"/>
    <w:rsid w:val="00AB3AF5"/>
    <w:rsid w:val="00AB3B01"/>
    <w:rsid w:val="00AB3B52"/>
    <w:rsid w:val="00AB3B99"/>
    <w:rsid w:val="00AB3B9A"/>
    <w:rsid w:val="00AB3BC3"/>
    <w:rsid w:val="00AB3BFD"/>
    <w:rsid w:val="00AB3C4A"/>
    <w:rsid w:val="00AB3CB1"/>
    <w:rsid w:val="00AB3CFC"/>
    <w:rsid w:val="00AB3D0E"/>
    <w:rsid w:val="00AB3D12"/>
    <w:rsid w:val="00AB3D1C"/>
    <w:rsid w:val="00AB3D28"/>
    <w:rsid w:val="00AB3D4C"/>
    <w:rsid w:val="00AB3DAA"/>
    <w:rsid w:val="00AB3E08"/>
    <w:rsid w:val="00AB3E6E"/>
    <w:rsid w:val="00AB3E78"/>
    <w:rsid w:val="00AB3E9F"/>
    <w:rsid w:val="00AB3F19"/>
    <w:rsid w:val="00AB3F1E"/>
    <w:rsid w:val="00AB3F60"/>
    <w:rsid w:val="00AB4012"/>
    <w:rsid w:val="00AB4038"/>
    <w:rsid w:val="00AB403E"/>
    <w:rsid w:val="00AB4095"/>
    <w:rsid w:val="00AB40A7"/>
    <w:rsid w:val="00AB40D5"/>
    <w:rsid w:val="00AB4107"/>
    <w:rsid w:val="00AB41B3"/>
    <w:rsid w:val="00AB4205"/>
    <w:rsid w:val="00AB42B4"/>
    <w:rsid w:val="00AB4313"/>
    <w:rsid w:val="00AB4321"/>
    <w:rsid w:val="00AB4361"/>
    <w:rsid w:val="00AB4368"/>
    <w:rsid w:val="00AB43E7"/>
    <w:rsid w:val="00AB4431"/>
    <w:rsid w:val="00AB4464"/>
    <w:rsid w:val="00AB44C1"/>
    <w:rsid w:val="00AB44EA"/>
    <w:rsid w:val="00AB459D"/>
    <w:rsid w:val="00AB45BA"/>
    <w:rsid w:val="00AB461B"/>
    <w:rsid w:val="00AB4621"/>
    <w:rsid w:val="00AB4644"/>
    <w:rsid w:val="00AB465E"/>
    <w:rsid w:val="00AB4663"/>
    <w:rsid w:val="00AB467E"/>
    <w:rsid w:val="00AB468F"/>
    <w:rsid w:val="00AB46B5"/>
    <w:rsid w:val="00AB46EC"/>
    <w:rsid w:val="00AB4734"/>
    <w:rsid w:val="00AB474B"/>
    <w:rsid w:val="00AB4873"/>
    <w:rsid w:val="00AB4887"/>
    <w:rsid w:val="00AB48AF"/>
    <w:rsid w:val="00AB48C9"/>
    <w:rsid w:val="00AB48E8"/>
    <w:rsid w:val="00AB48EE"/>
    <w:rsid w:val="00AB4987"/>
    <w:rsid w:val="00AB4991"/>
    <w:rsid w:val="00AB4A03"/>
    <w:rsid w:val="00AB4A1A"/>
    <w:rsid w:val="00AB4A39"/>
    <w:rsid w:val="00AB4A73"/>
    <w:rsid w:val="00AB4A88"/>
    <w:rsid w:val="00AB4AC8"/>
    <w:rsid w:val="00AB4ACA"/>
    <w:rsid w:val="00AB4AF8"/>
    <w:rsid w:val="00AB4B00"/>
    <w:rsid w:val="00AB4B16"/>
    <w:rsid w:val="00AB4B46"/>
    <w:rsid w:val="00AB4B6A"/>
    <w:rsid w:val="00AB4BA8"/>
    <w:rsid w:val="00AB4BDA"/>
    <w:rsid w:val="00AB4BF6"/>
    <w:rsid w:val="00AB4BF7"/>
    <w:rsid w:val="00AB4BFB"/>
    <w:rsid w:val="00AB4C10"/>
    <w:rsid w:val="00AB4C1C"/>
    <w:rsid w:val="00AB4C56"/>
    <w:rsid w:val="00AB4C69"/>
    <w:rsid w:val="00AB4C6B"/>
    <w:rsid w:val="00AB4C80"/>
    <w:rsid w:val="00AB4CFE"/>
    <w:rsid w:val="00AB4D03"/>
    <w:rsid w:val="00AB4D52"/>
    <w:rsid w:val="00AB4D6B"/>
    <w:rsid w:val="00AB4D93"/>
    <w:rsid w:val="00AB4DF3"/>
    <w:rsid w:val="00AB4E0B"/>
    <w:rsid w:val="00AB4E8B"/>
    <w:rsid w:val="00AB4EA9"/>
    <w:rsid w:val="00AB4EF9"/>
    <w:rsid w:val="00AB4F05"/>
    <w:rsid w:val="00AB4F42"/>
    <w:rsid w:val="00AB4F47"/>
    <w:rsid w:val="00AB4FA5"/>
    <w:rsid w:val="00AB4FAD"/>
    <w:rsid w:val="00AB4FD7"/>
    <w:rsid w:val="00AB4FD8"/>
    <w:rsid w:val="00AB503A"/>
    <w:rsid w:val="00AB50BD"/>
    <w:rsid w:val="00AB50DA"/>
    <w:rsid w:val="00AB5178"/>
    <w:rsid w:val="00AB51AC"/>
    <w:rsid w:val="00AB51F0"/>
    <w:rsid w:val="00AB51F3"/>
    <w:rsid w:val="00AB5218"/>
    <w:rsid w:val="00AB5222"/>
    <w:rsid w:val="00AB522F"/>
    <w:rsid w:val="00AB5234"/>
    <w:rsid w:val="00AB5266"/>
    <w:rsid w:val="00AB5267"/>
    <w:rsid w:val="00AB52A8"/>
    <w:rsid w:val="00AB52C9"/>
    <w:rsid w:val="00AB5317"/>
    <w:rsid w:val="00AB5336"/>
    <w:rsid w:val="00AB5337"/>
    <w:rsid w:val="00AB5338"/>
    <w:rsid w:val="00AB538F"/>
    <w:rsid w:val="00AB5391"/>
    <w:rsid w:val="00AB53C6"/>
    <w:rsid w:val="00AB53EF"/>
    <w:rsid w:val="00AB5400"/>
    <w:rsid w:val="00AB544D"/>
    <w:rsid w:val="00AB5457"/>
    <w:rsid w:val="00AB548C"/>
    <w:rsid w:val="00AB5496"/>
    <w:rsid w:val="00AB54B2"/>
    <w:rsid w:val="00AB54CF"/>
    <w:rsid w:val="00AB54E7"/>
    <w:rsid w:val="00AB5505"/>
    <w:rsid w:val="00AB5517"/>
    <w:rsid w:val="00AB553C"/>
    <w:rsid w:val="00AB555E"/>
    <w:rsid w:val="00AB5574"/>
    <w:rsid w:val="00AB5577"/>
    <w:rsid w:val="00AB5591"/>
    <w:rsid w:val="00AB559F"/>
    <w:rsid w:val="00AB55B3"/>
    <w:rsid w:val="00AB55C2"/>
    <w:rsid w:val="00AB55CF"/>
    <w:rsid w:val="00AB55ED"/>
    <w:rsid w:val="00AB564C"/>
    <w:rsid w:val="00AB56C2"/>
    <w:rsid w:val="00AB56CD"/>
    <w:rsid w:val="00AB56D6"/>
    <w:rsid w:val="00AB56EB"/>
    <w:rsid w:val="00AB571C"/>
    <w:rsid w:val="00AB577F"/>
    <w:rsid w:val="00AB57B3"/>
    <w:rsid w:val="00AB5816"/>
    <w:rsid w:val="00AB582A"/>
    <w:rsid w:val="00AB5848"/>
    <w:rsid w:val="00AB584B"/>
    <w:rsid w:val="00AB587C"/>
    <w:rsid w:val="00AB5884"/>
    <w:rsid w:val="00AB58B2"/>
    <w:rsid w:val="00AB58B8"/>
    <w:rsid w:val="00AB58E1"/>
    <w:rsid w:val="00AB594F"/>
    <w:rsid w:val="00AB5991"/>
    <w:rsid w:val="00AB59BD"/>
    <w:rsid w:val="00AB59DF"/>
    <w:rsid w:val="00AB5A55"/>
    <w:rsid w:val="00AB5A9D"/>
    <w:rsid w:val="00AB5A9F"/>
    <w:rsid w:val="00AB5ADD"/>
    <w:rsid w:val="00AB5AF9"/>
    <w:rsid w:val="00AB5B45"/>
    <w:rsid w:val="00AB5B49"/>
    <w:rsid w:val="00AB5B52"/>
    <w:rsid w:val="00AB5C5D"/>
    <w:rsid w:val="00AB5C76"/>
    <w:rsid w:val="00AB5C92"/>
    <w:rsid w:val="00AB5CE0"/>
    <w:rsid w:val="00AB5CFA"/>
    <w:rsid w:val="00AB5CFF"/>
    <w:rsid w:val="00AB5D59"/>
    <w:rsid w:val="00AB5D6B"/>
    <w:rsid w:val="00AB5DA0"/>
    <w:rsid w:val="00AB5DCB"/>
    <w:rsid w:val="00AB5DF0"/>
    <w:rsid w:val="00AB5DFC"/>
    <w:rsid w:val="00AB5E36"/>
    <w:rsid w:val="00AB5E8C"/>
    <w:rsid w:val="00AB5E90"/>
    <w:rsid w:val="00AB5EB7"/>
    <w:rsid w:val="00AB5EE7"/>
    <w:rsid w:val="00AB5F02"/>
    <w:rsid w:val="00AB5F2F"/>
    <w:rsid w:val="00AB5F39"/>
    <w:rsid w:val="00AB5F3A"/>
    <w:rsid w:val="00AB5F9F"/>
    <w:rsid w:val="00AB5FD0"/>
    <w:rsid w:val="00AB5FD1"/>
    <w:rsid w:val="00AB5FE1"/>
    <w:rsid w:val="00AB6007"/>
    <w:rsid w:val="00AB6038"/>
    <w:rsid w:val="00AB6045"/>
    <w:rsid w:val="00AB6093"/>
    <w:rsid w:val="00AB60B7"/>
    <w:rsid w:val="00AB60DD"/>
    <w:rsid w:val="00AB60F3"/>
    <w:rsid w:val="00AB6106"/>
    <w:rsid w:val="00AB6150"/>
    <w:rsid w:val="00AB6182"/>
    <w:rsid w:val="00AB6193"/>
    <w:rsid w:val="00AB61A1"/>
    <w:rsid w:val="00AB61B9"/>
    <w:rsid w:val="00AB6261"/>
    <w:rsid w:val="00AB633B"/>
    <w:rsid w:val="00AB639F"/>
    <w:rsid w:val="00AB63EF"/>
    <w:rsid w:val="00AB6404"/>
    <w:rsid w:val="00AB640E"/>
    <w:rsid w:val="00AB644B"/>
    <w:rsid w:val="00AB6459"/>
    <w:rsid w:val="00AB64DD"/>
    <w:rsid w:val="00AB6542"/>
    <w:rsid w:val="00AB65D5"/>
    <w:rsid w:val="00AB660D"/>
    <w:rsid w:val="00AB671F"/>
    <w:rsid w:val="00AB6741"/>
    <w:rsid w:val="00AB676C"/>
    <w:rsid w:val="00AB677D"/>
    <w:rsid w:val="00AB6784"/>
    <w:rsid w:val="00AB67A6"/>
    <w:rsid w:val="00AB682B"/>
    <w:rsid w:val="00AB6850"/>
    <w:rsid w:val="00AB689A"/>
    <w:rsid w:val="00AB68C1"/>
    <w:rsid w:val="00AB6905"/>
    <w:rsid w:val="00AB693F"/>
    <w:rsid w:val="00AB69BC"/>
    <w:rsid w:val="00AB69C7"/>
    <w:rsid w:val="00AB69D8"/>
    <w:rsid w:val="00AB6A4B"/>
    <w:rsid w:val="00AB6A6A"/>
    <w:rsid w:val="00AB6A6E"/>
    <w:rsid w:val="00AB6A86"/>
    <w:rsid w:val="00AB6A98"/>
    <w:rsid w:val="00AB6A9E"/>
    <w:rsid w:val="00AB6B8E"/>
    <w:rsid w:val="00AB6BCB"/>
    <w:rsid w:val="00AB6C57"/>
    <w:rsid w:val="00AB6C91"/>
    <w:rsid w:val="00AB6CC8"/>
    <w:rsid w:val="00AB6CEB"/>
    <w:rsid w:val="00AB6D06"/>
    <w:rsid w:val="00AB6D0F"/>
    <w:rsid w:val="00AB6D45"/>
    <w:rsid w:val="00AB6D56"/>
    <w:rsid w:val="00AB6D8D"/>
    <w:rsid w:val="00AB6DB9"/>
    <w:rsid w:val="00AB6E4C"/>
    <w:rsid w:val="00AB6E58"/>
    <w:rsid w:val="00AB6E75"/>
    <w:rsid w:val="00AB6ED5"/>
    <w:rsid w:val="00AB6EE2"/>
    <w:rsid w:val="00AB6F0A"/>
    <w:rsid w:val="00AB6F38"/>
    <w:rsid w:val="00AB6F62"/>
    <w:rsid w:val="00AB7002"/>
    <w:rsid w:val="00AB708E"/>
    <w:rsid w:val="00AB70A8"/>
    <w:rsid w:val="00AB70E2"/>
    <w:rsid w:val="00AB7146"/>
    <w:rsid w:val="00AB71AF"/>
    <w:rsid w:val="00AB71C0"/>
    <w:rsid w:val="00AB71EC"/>
    <w:rsid w:val="00AB7263"/>
    <w:rsid w:val="00AB7289"/>
    <w:rsid w:val="00AB728E"/>
    <w:rsid w:val="00AB72D2"/>
    <w:rsid w:val="00AB73A7"/>
    <w:rsid w:val="00AB749A"/>
    <w:rsid w:val="00AB74A3"/>
    <w:rsid w:val="00AB74AC"/>
    <w:rsid w:val="00AB74B7"/>
    <w:rsid w:val="00AB752F"/>
    <w:rsid w:val="00AB757B"/>
    <w:rsid w:val="00AB7587"/>
    <w:rsid w:val="00AB758D"/>
    <w:rsid w:val="00AB759A"/>
    <w:rsid w:val="00AB75A6"/>
    <w:rsid w:val="00AB7663"/>
    <w:rsid w:val="00AB7665"/>
    <w:rsid w:val="00AB76E2"/>
    <w:rsid w:val="00AB76EF"/>
    <w:rsid w:val="00AB76FC"/>
    <w:rsid w:val="00AB7762"/>
    <w:rsid w:val="00AB7770"/>
    <w:rsid w:val="00AB777A"/>
    <w:rsid w:val="00AB77B9"/>
    <w:rsid w:val="00AB780C"/>
    <w:rsid w:val="00AB7840"/>
    <w:rsid w:val="00AB7859"/>
    <w:rsid w:val="00AB78B7"/>
    <w:rsid w:val="00AB78BE"/>
    <w:rsid w:val="00AB78EF"/>
    <w:rsid w:val="00AB78F1"/>
    <w:rsid w:val="00AB7906"/>
    <w:rsid w:val="00AB7962"/>
    <w:rsid w:val="00AB799E"/>
    <w:rsid w:val="00AB79B5"/>
    <w:rsid w:val="00AB79B9"/>
    <w:rsid w:val="00AB79F5"/>
    <w:rsid w:val="00AB7A00"/>
    <w:rsid w:val="00AB7A10"/>
    <w:rsid w:val="00AB7A27"/>
    <w:rsid w:val="00AB7A90"/>
    <w:rsid w:val="00AB7B00"/>
    <w:rsid w:val="00AB7B02"/>
    <w:rsid w:val="00AB7B30"/>
    <w:rsid w:val="00AB7B97"/>
    <w:rsid w:val="00AB7BA0"/>
    <w:rsid w:val="00AB7BE9"/>
    <w:rsid w:val="00AB7C01"/>
    <w:rsid w:val="00AB7C38"/>
    <w:rsid w:val="00AB7C51"/>
    <w:rsid w:val="00AB7C57"/>
    <w:rsid w:val="00AB7C7A"/>
    <w:rsid w:val="00AB7CA5"/>
    <w:rsid w:val="00AB7CEB"/>
    <w:rsid w:val="00AB7D12"/>
    <w:rsid w:val="00AB7D1E"/>
    <w:rsid w:val="00AB7DD2"/>
    <w:rsid w:val="00AB7DEF"/>
    <w:rsid w:val="00AB7E0E"/>
    <w:rsid w:val="00AB7E1E"/>
    <w:rsid w:val="00AB7E37"/>
    <w:rsid w:val="00AB7E74"/>
    <w:rsid w:val="00AB7E97"/>
    <w:rsid w:val="00AB7EDA"/>
    <w:rsid w:val="00AB7EE3"/>
    <w:rsid w:val="00AB7EF6"/>
    <w:rsid w:val="00AB7EFB"/>
    <w:rsid w:val="00AB7F13"/>
    <w:rsid w:val="00AB7F63"/>
    <w:rsid w:val="00AB7FB6"/>
    <w:rsid w:val="00AC0095"/>
    <w:rsid w:val="00AC00C5"/>
    <w:rsid w:val="00AC0174"/>
    <w:rsid w:val="00AC018B"/>
    <w:rsid w:val="00AC01CD"/>
    <w:rsid w:val="00AC01E6"/>
    <w:rsid w:val="00AC0240"/>
    <w:rsid w:val="00AC02DD"/>
    <w:rsid w:val="00AC02E0"/>
    <w:rsid w:val="00AC0358"/>
    <w:rsid w:val="00AC038E"/>
    <w:rsid w:val="00AC03B4"/>
    <w:rsid w:val="00AC03EF"/>
    <w:rsid w:val="00AC042F"/>
    <w:rsid w:val="00AC0431"/>
    <w:rsid w:val="00AC044A"/>
    <w:rsid w:val="00AC04CB"/>
    <w:rsid w:val="00AC04F5"/>
    <w:rsid w:val="00AC0525"/>
    <w:rsid w:val="00AC052D"/>
    <w:rsid w:val="00AC053C"/>
    <w:rsid w:val="00AC0569"/>
    <w:rsid w:val="00AC0571"/>
    <w:rsid w:val="00AC0577"/>
    <w:rsid w:val="00AC05D7"/>
    <w:rsid w:val="00AC05DC"/>
    <w:rsid w:val="00AC063A"/>
    <w:rsid w:val="00AC06A2"/>
    <w:rsid w:val="00AC06B3"/>
    <w:rsid w:val="00AC070F"/>
    <w:rsid w:val="00AC0765"/>
    <w:rsid w:val="00AC0778"/>
    <w:rsid w:val="00AC078C"/>
    <w:rsid w:val="00AC07D4"/>
    <w:rsid w:val="00AC07F6"/>
    <w:rsid w:val="00AC0818"/>
    <w:rsid w:val="00AC0824"/>
    <w:rsid w:val="00AC0861"/>
    <w:rsid w:val="00AC0897"/>
    <w:rsid w:val="00AC093E"/>
    <w:rsid w:val="00AC0989"/>
    <w:rsid w:val="00AC09B4"/>
    <w:rsid w:val="00AC0A9F"/>
    <w:rsid w:val="00AC0B25"/>
    <w:rsid w:val="00AC0B2C"/>
    <w:rsid w:val="00AC0B7F"/>
    <w:rsid w:val="00AC0BA7"/>
    <w:rsid w:val="00AC0C04"/>
    <w:rsid w:val="00AC0CFA"/>
    <w:rsid w:val="00AC0D1E"/>
    <w:rsid w:val="00AC0D2E"/>
    <w:rsid w:val="00AC0D69"/>
    <w:rsid w:val="00AC0DAB"/>
    <w:rsid w:val="00AC0DBF"/>
    <w:rsid w:val="00AC0DD3"/>
    <w:rsid w:val="00AC0E24"/>
    <w:rsid w:val="00AC0E3B"/>
    <w:rsid w:val="00AC0E6A"/>
    <w:rsid w:val="00AC0EB1"/>
    <w:rsid w:val="00AC0EDB"/>
    <w:rsid w:val="00AC0EE2"/>
    <w:rsid w:val="00AC0F00"/>
    <w:rsid w:val="00AC0F05"/>
    <w:rsid w:val="00AC0F37"/>
    <w:rsid w:val="00AC0F7E"/>
    <w:rsid w:val="00AC0F93"/>
    <w:rsid w:val="00AC1099"/>
    <w:rsid w:val="00AC10A0"/>
    <w:rsid w:val="00AC10F5"/>
    <w:rsid w:val="00AC10FC"/>
    <w:rsid w:val="00AC114B"/>
    <w:rsid w:val="00AC1171"/>
    <w:rsid w:val="00AC1192"/>
    <w:rsid w:val="00AC11AE"/>
    <w:rsid w:val="00AC11C6"/>
    <w:rsid w:val="00AC11F4"/>
    <w:rsid w:val="00AC122B"/>
    <w:rsid w:val="00AC1254"/>
    <w:rsid w:val="00AC1289"/>
    <w:rsid w:val="00AC12DB"/>
    <w:rsid w:val="00AC132D"/>
    <w:rsid w:val="00AC134A"/>
    <w:rsid w:val="00AC1365"/>
    <w:rsid w:val="00AC13B4"/>
    <w:rsid w:val="00AC143D"/>
    <w:rsid w:val="00AC1481"/>
    <w:rsid w:val="00AC14C4"/>
    <w:rsid w:val="00AC14E6"/>
    <w:rsid w:val="00AC1547"/>
    <w:rsid w:val="00AC1639"/>
    <w:rsid w:val="00AC1666"/>
    <w:rsid w:val="00AC166C"/>
    <w:rsid w:val="00AC166E"/>
    <w:rsid w:val="00AC16AB"/>
    <w:rsid w:val="00AC16C2"/>
    <w:rsid w:val="00AC16C8"/>
    <w:rsid w:val="00AC16CC"/>
    <w:rsid w:val="00AC170C"/>
    <w:rsid w:val="00AC1788"/>
    <w:rsid w:val="00AC17CE"/>
    <w:rsid w:val="00AC17E3"/>
    <w:rsid w:val="00AC17F5"/>
    <w:rsid w:val="00AC181D"/>
    <w:rsid w:val="00AC182B"/>
    <w:rsid w:val="00AC1833"/>
    <w:rsid w:val="00AC1869"/>
    <w:rsid w:val="00AC186E"/>
    <w:rsid w:val="00AC1885"/>
    <w:rsid w:val="00AC1895"/>
    <w:rsid w:val="00AC18EA"/>
    <w:rsid w:val="00AC1920"/>
    <w:rsid w:val="00AC1922"/>
    <w:rsid w:val="00AC1977"/>
    <w:rsid w:val="00AC19CB"/>
    <w:rsid w:val="00AC1A4A"/>
    <w:rsid w:val="00AC1A5F"/>
    <w:rsid w:val="00AC1A7A"/>
    <w:rsid w:val="00AC1B04"/>
    <w:rsid w:val="00AC1B1E"/>
    <w:rsid w:val="00AC1B2C"/>
    <w:rsid w:val="00AC1C32"/>
    <w:rsid w:val="00AC1C35"/>
    <w:rsid w:val="00AC1CB6"/>
    <w:rsid w:val="00AC1DBA"/>
    <w:rsid w:val="00AC1DED"/>
    <w:rsid w:val="00AC1E7D"/>
    <w:rsid w:val="00AC1E83"/>
    <w:rsid w:val="00AC1E90"/>
    <w:rsid w:val="00AC1EAC"/>
    <w:rsid w:val="00AC1EAD"/>
    <w:rsid w:val="00AC1F1C"/>
    <w:rsid w:val="00AC1F1E"/>
    <w:rsid w:val="00AC1F2B"/>
    <w:rsid w:val="00AC1F3E"/>
    <w:rsid w:val="00AC1F44"/>
    <w:rsid w:val="00AC1F4E"/>
    <w:rsid w:val="00AC1FB4"/>
    <w:rsid w:val="00AC1FB5"/>
    <w:rsid w:val="00AC1FBD"/>
    <w:rsid w:val="00AC2058"/>
    <w:rsid w:val="00AC20FC"/>
    <w:rsid w:val="00AC20FE"/>
    <w:rsid w:val="00AC211E"/>
    <w:rsid w:val="00AC2167"/>
    <w:rsid w:val="00AC218D"/>
    <w:rsid w:val="00AC21CB"/>
    <w:rsid w:val="00AC2242"/>
    <w:rsid w:val="00AC224F"/>
    <w:rsid w:val="00AC2264"/>
    <w:rsid w:val="00AC22AB"/>
    <w:rsid w:val="00AC22AD"/>
    <w:rsid w:val="00AC22B3"/>
    <w:rsid w:val="00AC22C4"/>
    <w:rsid w:val="00AC22E1"/>
    <w:rsid w:val="00AC2300"/>
    <w:rsid w:val="00AC230C"/>
    <w:rsid w:val="00AC2316"/>
    <w:rsid w:val="00AC2331"/>
    <w:rsid w:val="00AC23B6"/>
    <w:rsid w:val="00AC2423"/>
    <w:rsid w:val="00AC243D"/>
    <w:rsid w:val="00AC244C"/>
    <w:rsid w:val="00AC245F"/>
    <w:rsid w:val="00AC246B"/>
    <w:rsid w:val="00AC247B"/>
    <w:rsid w:val="00AC24B0"/>
    <w:rsid w:val="00AC24C1"/>
    <w:rsid w:val="00AC2507"/>
    <w:rsid w:val="00AC25A0"/>
    <w:rsid w:val="00AC25B8"/>
    <w:rsid w:val="00AC25D3"/>
    <w:rsid w:val="00AC265B"/>
    <w:rsid w:val="00AC265C"/>
    <w:rsid w:val="00AC26D9"/>
    <w:rsid w:val="00AC26F3"/>
    <w:rsid w:val="00AC272B"/>
    <w:rsid w:val="00AC273F"/>
    <w:rsid w:val="00AC2740"/>
    <w:rsid w:val="00AC2747"/>
    <w:rsid w:val="00AC275E"/>
    <w:rsid w:val="00AC2779"/>
    <w:rsid w:val="00AC277C"/>
    <w:rsid w:val="00AC2799"/>
    <w:rsid w:val="00AC27E1"/>
    <w:rsid w:val="00AC281E"/>
    <w:rsid w:val="00AC282F"/>
    <w:rsid w:val="00AC2891"/>
    <w:rsid w:val="00AC28B7"/>
    <w:rsid w:val="00AC28BE"/>
    <w:rsid w:val="00AC28ED"/>
    <w:rsid w:val="00AC2A3F"/>
    <w:rsid w:val="00AC2A42"/>
    <w:rsid w:val="00AC2A4E"/>
    <w:rsid w:val="00AC2A99"/>
    <w:rsid w:val="00AC2AFD"/>
    <w:rsid w:val="00AC2B33"/>
    <w:rsid w:val="00AC2BC0"/>
    <w:rsid w:val="00AC2BD7"/>
    <w:rsid w:val="00AC2C28"/>
    <w:rsid w:val="00AC2C64"/>
    <w:rsid w:val="00AC2D3B"/>
    <w:rsid w:val="00AC2D86"/>
    <w:rsid w:val="00AC2DA2"/>
    <w:rsid w:val="00AC2DA6"/>
    <w:rsid w:val="00AC2DD0"/>
    <w:rsid w:val="00AC2DF4"/>
    <w:rsid w:val="00AC2E52"/>
    <w:rsid w:val="00AC2F0B"/>
    <w:rsid w:val="00AC2F65"/>
    <w:rsid w:val="00AC2F94"/>
    <w:rsid w:val="00AC2FD1"/>
    <w:rsid w:val="00AC305B"/>
    <w:rsid w:val="00AC3073"/>
    <w:rsid w:val="00AC30C1"/>
    <w:rsid w:val="00AC30D0"/>
    <w:rsid w:val="00AC3147"/>
    <w:rsid w:val="00AC3160"/>
    <w:rsid w:val="00AC316B"/>
    <w:rsid w:val="00AC3198"/>
    <w:rsid w:val="00AC31DE"/>
    <w:rsid w:val="00AC3233"/>
    <w:rsid w:val="00AC32C8"/>
    <w:rsid w:val="00AC32E0"/>
    <w:rsid w:val="00AC32FB"/>
    <w:rsid w:val="00AC332E"/>
    <w:rsid w:val="00AC338D"/>
    <w:rsid w:val="00AC33C9"/>
    <w:rsid w:val="00AC33D7"/>
    <w:rsid w:val="00AC33F1"/>
    <w:rsid w:val="00AC349E"/>
    <w:rsid w:val="00AC34A4"/>
    <w:rsid w:val="00AC34B4"/>
    <w:rsid w:val="00AC34B5"/>
    <w:rsid w:val="00AC34C8"/>
    <w:rsid w:val="00AC34E7"/>
    <w:rsid w:val="00AC34E8"/>
    <w:rsid w:val="00AC3543"/>
    <w:rsid w:val="00AC3583"/>
    <w:rsid w:val="00AC3685"/>
    <w:rsid w:val="00AC36ED"/>
    <w:rsid w:val="00AC3732"/>
    <w:rsid w:val="00AC379A"/>
    <w:rsid w:val="00AC37C9"/>
    <w:rsid w:val="00AC37D3"/>
    <w:rsid w:val="00AC37DC"/>
    <w:rsid w:val="00AC3823"/>
    <w:rsid w:val="00AC3942"/>
    <w:rsid w:val="00AC394E"/>
    <w:rsid w:val="00AC395E"/>
    <w:rsid w:val="00AC3988"/>
    <w:rsid w:val="00AC3A45"/>
    <w:rsid w:val="00AC3AA7"/>
    <w:rsid w:val="00AC3AB8"/>
    <w:rsid w:val="00AC3AD1"/>
    <w:rsid w:val="00AC3ADD"/>
    <w:rsid w:val="00AC3AF6"/>
    <w:rsid w:val="00AC3B16"/>
    <w:rsid w:val="00AC3BAE"/>
    <w:rsid w:val="00AC3BCB"/>
    <w:rsid w:val="00AC3BEB"/>
    <w:rsid w:val="00AC3C4E"/>
    <w:rsid w:val="00AC3C88"/>
    <w:rsid w:val="00AC3CDB"/>
    <w:rsid w:val="00AC3D94"/>
    <w:rsid w:val="00AC3DAE"/>
    <w:rsid w:val="00AC3DFD"/>
    <w:rsid w:val="00AC3E4C"/>
    <w:rsid w:val="00AC3E84"/>
    <w:rsid w:val="00AC3EB0"/>
    <w:rsid w:val="00AC3F0E"/>
    <w:rsid w:val="00AC3F1D"/>
    <w:rsid w:val="00AC3F27"/>
    <w:rsid w:val="00AC3F3B"/>
    <w:rsid w:val="00AC3F4A"/>
    <w:rsid w:val="00AC3FDD"/>
    <w:rsid w:val="00AC4015"/>
    <w:rsid w:val="00AC4049"/>
    <w:rsid w:val="00AC4060"/>
    <w:rsid w:val="00AC406E"/>
    <w:rsid w:val="00AC40AC"/>
    <w:rsid w:val="00AC40F2"/>
    <w:rsid w:val="00AC4143"/>
    <w:rsid w:val="00AC4146"/>
    <w:rsid w:val="00AC417F"/>
    <w:rsid w:val="00AC41AA"/>
    <w:rsid w:val="00AC41AF"/>
    <w:rsid w:val="00AC41E8"/>
    <w:rsid w:val="00AC41F7"/>
    <w:rsid w:val="00AC4223"/>
    <w:rsid w:val="00AC4231"/>
    <w:rsid w:val="00AC42A6"/>
    <w:rsid w:val="00AC42AF"/>
    <w:rsid w:val="00AC42B0"/>
    <w:rsid w:val="00AC42CC"/>
    <w:rsid w:val="00AC4306"/>
    <w:rsid w:val="00AC432D"/>
    <w:rsid w:val="00AC4370"/>
    <w:rsid w:val="00AC43B3"/>
    <w:rsid w:val="00AC43C2"/>
    <w:rsid w:val="00AC4431"/>
    <w:rsid w:val="00AC4451"/>
    <w:rsid w:val="00AC44B6"/>
    <w:rsid w:val="00AC44E0"/>
    <w:rsid w:val="00AC44E5"/>
    <w:rsid w:val="00AC457D"/>
    <w:rsid w:val="00AC458E"/>
    <w:rsid w:val="00AC45ED"/>
    <w:rsid w:val="00AC461A"/>
    <w:rsid w:val="00AC466D"/>
    <w:rsid w:val="00AC4726"/>
    <w:rsid w:val="00AC4768"/>
    <w:rsid w:val="00AC4794"/>
    <w:rsid w:val="00AC47F5"/>
    <w:rsid w:val="00AC480A"/>
    <w:rsid w:val="00AC482F"/>
    <w:rsid w:val="00AC4865"/>
    <w:rsid w:val="00AC4869"/>
    <w:rsid w:val="00AC487F"/>
    <w:rsid w:val="00AC494F"/>
    <w:rsid w:val="00AC4953"/>
    <w:rsid w:val="00AC49A0"/>
    <w:rsid w:val="00AC49D4"/>
    <w:rsid w:val="00AC49E1"/>
    <w:rsid w:val="00AC4AB4"/>
    <w:rsid w:val="00AC4AD5"/>
    <w:rsid w:val="00AC4B28"/>
    <w:rsid w:val="00AC4B50"/>
    <w:rsid w:val="00AC4B76"/>
    <w:rsid w:val="00AC4BAA"/>
    <w:rsid w:val="00AC4BBF"/>
    <w:rsid w:val="00AC4BD6"/>
    <w:rsid w:val="00AC4BD8"/>
    <w:rsid w:val="00AC4BE6"/>
    <w:rsid w:val="00AC4C4E"/>
    <w:rsid w:val="00AC4CC7"/>
    <w:rsid w:val="00AC4CCD"/>
    <w:rsid w:val="00AC4CF0"/>
    <w:rsid w:val="00AC4D4B"/>
    <w:rsid w:val="00AC4D57"/>
    <w:rsid w:val="00AC4D69"/>
    <w:rsid w:val="00AC4DDC"/>
    <w:rsid w:val="00AC4E09"/>
    <w:rsid w:val="00AC4E69"/>
    <w:rsid w:val="00AC4E6D"/>
    <w:rsid w:val="00AC4E90"/>
    <w:rsid w:val="00AC4EA1"/>
    <w:rsid w:val="00AC4EAB"/>
    <w:rsid w:val="00AC4EAD"/>
    <w:rsid w:val="00AC4EF8"/>
    <w:rsid w:val="00AC4EFB"/>
    <w:rsid w:val="00AC4F62"/>
    <w:rsid w:val="00AC4F72"/>
    <w:rsid w:val="00AC4FA9"/>
    <w:rsid w:val="00AC4FBE"/>
    <w:rsid w:val="00AC4FD2"/>
    <w:rsid w:val="00AC4FEF"/>
    <w:rsid w:val="00AC5042"/>
    <w:rsid w:val="00AC5077"/>
    <w:rsid w:val="00AC5098"/>
    <w:rsid w:val="00AC50B1"/>
    <w:rsid w:val="00AC50FD"/>
    <w:rsid w:val="00AC5157"/>
    <w:rsid w:val="00AC51C4"/>
    <w:rsid w:val="00AC529E"/>
    <w:rsid w:val="00AC5311"/>
    <w:rsid w:val="00AC5329"/>
    <w:rsid w:val="00AC532A"/>
    <w:rsid w:val="00AC5364"/>
    <w:rsid w:val="00AC53DB"/>
    <w:rsid w:val="00AC53F1"/>
    <w:rsid w:val="00AC5406"/>
    <w:rsid w:val="00AC5454"/>
    <w:rsid w:val="00AC54FC"/>
    <w:rsid w:val="00AC5552"/>
    <w:rsid w:val="00AC5575"/>
    <w:rsid w:val="00AC55B0"/>
    <w:rsid w:val="00AC55BF"/>
    <w:rsid w:val="00AC55EC"/>
    <w:rsid w:val="00AC5609"/>
    <w:rsid w:val="00AC5616"/>
    <w:rsid w:val="00AC561F"/>
    <w:rsid w:val="00AC562F"/>
    <w:rsid w:val="00AC56BE"/>
    <w:rsid w:val="00AC56BF"/>
    <w:rsid w:val="00AC57A5"/>
    <w:rsid w:val="00AC57D9"/>
    <w:rsid w:val="00AC57E7"/>
    <w:rsid w:val="00AC583E"/>
    <w:rsid w:val="00AC5859"/>
    <w:rsid w:val="00AC5877"/>
    <w:rsid w:val="00AC5883"/>
    <w:rsid w:val="00AC58D9"/>
    <w:rsid w:val="00AC58EB"/>
    <w:rsid w:val="00AC5970"/>
    <w:rsid w:val="00AC5A5E"/>
    <w:rsid w:val="00AC5A8F"/>
    <w:rsid w:val="00AC5AE0"/>
    <w:rsid w:val="00AC5B30"/>
    <w:rsid w:val="00AC5B6F"/>
    <w:rsid w:val="00AC5B9A"/>
    <w:rsid w:val="00AC5BF0"/>
    <w:rsid w:val="00AC5C09"/>
    <w:rsid w:val="00AC5C47"/>
    <w:rsid w:val="00AC5C98"/>
    <w:rsid w:val="00AC5CB5"/>
    <w:rsid w:val="00AC5D14"/>
    <w:rsid w:val="00AC5DD7"/>
    <w:rsid w:val="00AC5E11"/>
    <w:rsid w:val="00AC5E21"/>
    <w:rsid w:val="00AC5E27"/>
    <w:rsid w:val="00AC5E2C"/>
    <w:rsid w:val="00AC5E42"/>
    <w:rsid w:val="00AC5E44"/>
    <w:rsid w:val="00AC5E45"/>
    <w:rsid w:val="00AC5E9F"/>
    <w:rsid w:val="00AC5EAA"/>
    <w:rsid w:val="00AC5EB1"/>
    <w:rsid w:val="00AC5EEA"/>
    <w:rsid w:val="00AC5EEB"/>
    <w:rsid w:val="00AC5F2F"/>
    <w:rsid w:val="00AC5F4C"/>
    <w:rsid w:val="00AC5F59"/>
    <w:rsid w:val="00AC5FA5"/>
    <w:rsid w:val="00AC5FC1"/>
    <w:rsid w:val="00AC5FEB"/>
    <w:rsid w:val="00AC5FF1"/>
    <w:rsid w:val="00AC6005"/>
    <w:rsid w:val="00AC6012"/>
    <w:rsid w:val="00AC6153"/>
    <w:rsid w:val="00AC61D8"/>
    <w:rsid w:val="00AC6309"/>
    <w:rsid w:val="00AC6323"/>
    <w:rsid w:val="00AC6351"/>
    <w:rsid w:val="00AC637A"/>
    <w:rsid w:val="00AC63DB"/>
    <w:rsid w:val="00AC644E"/>
    <w:rsid w:val="00AC6450"/>
    <w:rsid w:val="00AC648F"/>
    <w:rsid w:val="00AC64D6"/>
    <w:rsid w:val="00AC6538"/>
    <w:rsid w:val="00AC656A"/>
    <w:rsid w:val="00AC656C"/>
    <w:rsid w:val="00AC6580"/>
    <w:rsid w:val="00AC6593"/>
    <w:rsid w:val="00AC65CA"/>
    <w:rsid w:val="00AC6698"/>
    <w:rsid w:val="00AC671A"/>
    <w:rsid w:val="00AC6727"/>
    <w:rsid w:val="00AC677A"/>
    <w:rsid w:val="00AC67BA"/>
    <w:rsid w:val="00AC67BC"/>
    <w:rsid w:val="00AC680E"/>
    <w:rsid w:val="00AC6820"/>
    <w:rsid w:val="00AC6846"/>
    <w:rsid w:val="00AC686B"/>
    <w:rsid w:val="00AC6878"/>
    <w:rsid w:val="00AC68B0"/>
    <w:rsid w:val="00AC68FA"/>
    <w:rsid w:val="00AC692F"/>
    <w:rsid w:val="00AC6954"/>
    <w:rsid w:val="00AC696C"/>
    <w:rsid w:val="00AC697D"/>
    <w:rsid w:val="00AC69A8"/>
    <w:rsid w:val="00AC69F2"/>
    <w:rsid w:val="00AC6A50"/>
    <w:rsid w:val="00AC6AA2"/>
    <w:rsid w:val="00AC6ACB"/>
    <w:rsid w:val="00AC6B88"/>
    <w:rsid w:val="00AC6B8D"/>
    <w:rsid w:val="00AC6BA3"/>
    <w:rsid w:val="00AC6BF4"/>
    <w:rsid w:val="00AC6C04"/>
    <w:rsid w:val="00AC6C17"/>
    <w:rsid w:val="00AC6D1C"/>
    <w:rsid w:val="00AC6D93"/>
    <w:rsid w:val="00AC6DA7"/>
    <w:rsid w:val="00AC6DB2"/>
    <w:rsid w:val="00AC6DC0"/>
    <w:rsid w:val="00AC6E06"/>
    <w:rsid w:val="00AC6E17"/>
    <w:rsid w:val="00AC6E92"/>
    <w:rsid w:val="00AC6E99"/>
    <w:rsid w:val="00AC6EF1"/>
    <w:rsid w:val="00AC6EFD"/>
    <w:rsid w:val="00AC6F50"/>
    <w:rsid w:val="00AC6FB4"/>
    <w:rsid w:val="00AC6FCA"/>
    <w:rsid w:val="00AC6FF4"/>
    <w:rsid w:val="00AC701C"/>
    <w:rsid w:val="00AC701E"/>
    <w:rsid w:val="00AC7036"/>
    <w:rsid w:val="00AC70B8"/>
    <w:rsid w:val="00AC70C9"/>
    <w:rsid w:val="00AC70FC"/>
    <w:rsid w:val="00AC7122"/>
    <w:rsid w:val="00AC713B"/>
    <w:rsid w:val="00AC71BF"/>
    <w:rsid w:val="00AC71D9"/>
    <w:rsid w:val="00AC71E7"/>
    <w:rsid w:val="00AC71ED"/>
    <w:rsid w:val="00AC7206"/>
    <w:rsid w:val="00AC7207"/>
    <w:rsid w:val="00AC725C"/>
    <w:rsid w:val="00AC726D"/>
    <w:rsid w:val="00AC7273"/>
    <w:rsid w:val="00AC7278"/>
    <w:rsid w:val="00AC72D0"/>
    <w:rsid w:val="00AC72E5"/>
    <w:rsid w:val="00AC730B"/>
    <w:rsid w:val="00AC732E"/>
    <w:rsid w:val="00AC733C"/>
    <w:rsid w:val="00AC73B4"/>
    <w:rsid w:val="00AC7428"/>
    <w:rsid w:val="00AC7440"/>
    <w:rsid w:val="00AC747A"/>
    <w:rsid w:val="00AC74BA"/>
    <w:rsid w:val="00AC74CA"/>
    <w:rsid w:val="00AC74D8"/>
    <w:rsid w:val="00AC7537"/>
    <w:rsid w:val="00AC7538"/>
    <w:rsid w:val="00AC753C"/>
    <w:rsid w:val="00AC754C"/>
    <w:rsid w:val="00AC757F"/>
    <w:rsid w:val="00AC7594"/>
    <w:rsid w:val="00AC75C3"/>
    <w:rsid w:val="00AC75D3"/>
    <w:rsid w:val="00AC75E8"/>
    <w:rsid w:val="00AC75EE"/>
    <w:rsid w:val="00AC75F7"/>
    <w:rsid w:val="00AC7633"/>
    <w:rsid w:val="00AC7657"/>
    <w:rsid w:val="00AC76BF"/>
    <w:rsid w:val="00AC76C2"/>
    <w:rsid w:val="00AC76CF"/>
    <w:rsid w:val="00AC76DB"/>
    <w:rsid w:val="00AC76E8"/>
    <w:rsid w:val="00AC76EF"/>
    <w:rsid w:val="00AC76FF"/>
    <w:rsid w:val="00AC7752"/>
    <w:rsid w:val="00AC7772"/>
    <w:rsid w:val="00AC7786"/>
    <w:rsid w:val="00AC7790"/>
    <w:rsid w:val="00AC77E7"/>
    <w:rsid w:val="00AC77F2"/>
    <w:rsid w:val="00AC7816"/>
    <w:rsid w:val="00AC783F"/>
    <w:rsid w:val="00AC7840"/>
    <w:rsid w:val="00AC789F"/>
    <w:rsid w:val="00AC78AD"/>
    <w:rsid w:val="00AC7986"/>
    <w:rsid w:val="00AC79BB"/>
    <w:rsid w:val="00AC79CF"/>
    <w:rsid w:val="00AC7A46"/>
    <w:rsid w:val="00AC7A59"/>
    <w:rsid w:val="00AC7A7F"/>
    <w:rsid w:val="00AC7A8F"/>
    <w:rsid w:val="00AC7AB0"/>
    <w:rsid w:val="00AC7ABA"/>
    <w:rsid w:val="00AC7ACE"/>
    <w:rsid w:val="00AC7AF5"/>
    <w:rsid w:val="00AC7B0B"/>
    <w:rsid w:val="00AC7B7A"/>
    <w:rsid w:val="00AC7BCC"/>
    <w:rsid w:val="00AC7BFF"/>
    <w:rsid w:val="00AC7C22"/>
    <w:rsid w:val="00AC7C92"/>
    <w:rsid w:val="00AC7CAD"/>
    <w:rsid w:val="00AC7CB8"/>
    <w:rsid w:val="00AC7D33"/>
    <w:rsid w:val="00AC7D43"/>
    <w:rsid w:val="00AC7D4E"/>
    <w:rsid w:val="00AC7D9E"/>
    <w:rsid w:val="00AC7DB2"/>
    <w:rsid w:val="00AC7DB3"/>
    <w:rsid w:val="00AC7DC1"/>
    <w:rsid w:val="00AC7E5C"/>
    <w:rsid w:val="00AC7EA5"/>
    <w:rsid w:val="00AD001E"/>
    <w:rsid w:val="00AD0087"/>
    <w:rsid w:val="00AD00A5"/>
    <w:rsid w:val="00AD00D3"/>
    <w:rsid w:val="00AD00F1"/>
    <w:rsid w:val="00AD0115"/>
    <w:rsid w:val="00AD0132"/>
    <w:rsid w:val="00AD0133"/>
    <w:rsid w:val="00AD0167"/>
    <w:rsid w:val="00AD0193"/>
    <w:rsid w:val="00AD0194"/>
    <w:rsid w:val="00AD01D6"/>
    <w:rsid w:val="00AD01DA"/>
    <w:rsid w:val="00AD01E9"/>
    <w:rsid w:val="00AD01F4"/>
    <w:rsid w:val="00AD01F8"/>
    <w:rsid w:val="00AD020E"/>
    <w:rsid w:val="00AD0286"/>
    <w:rsid w:val="00AD02BA"/>
    <w:rsid w:val="00AD035D"/>
    <w:rsid w:val="00AD03A2"/>
    <w:rsid w:val="00AD03F4"/>
    <w:rsid w:val="00AD03FE"/>
    <w:rsid w:val="00AD0419"/>
    <w:rsid w:val="00AD041D"/>
    <w:rsid w:val="00AD043D"/>
    <w:rsid w:val="00AD0475"/>
    <w:rsid w:val="00AD0531"/>
    <w:rsid w:val="00AD053A"/>
    <w:rsid w:val="00AD0579"/>
    <w:rsid w:val="00AD05B9"/>
    <w:rsid w:val="00AD05D9"/>
    <w:rsid w:val="00AD061B"/>
    <w:rsid w:val="00AD06BE"/>
    <w:rsid w:val="00AD06DA"/>
    <w:rsid w:val="00AD06DF"/>
    <w:rsid w:val="00AD071D"/>
    <w:rsid w:val="00AD0722"/>
    <w:rsid w:val="00AD075A"/>
    <w:rsid w:val="00AD079C"/>
    <w:rsid w:val="00AD07B7"/>
    <w:rsid w:val="00AD07F7"/>
    <w:rsid w:val="00AD0916"/>
    <w:rsid w:val="00AD093A"/>
    <w:rsid w:val="00AD099D"/>
    <w:rsid w:val="00AD09B4"/>
    <w:rsid w:val="00AD09C4"/>
    <w:rsid w:val="00AD09D9"/>
    <w:rsid w:val="00AD09E8"/>
    <w:rsid w:val="00AD0A1A"/>
    <w:rsid w:val="00AD0A6D"/>
    <w:rsid w:val="00AD0A94"/>
    <w:rsid w:val="00AD0AAA"/>
    <w:rsid w:val="00AD0AC4"/>
    <w:rsid w:val="00AD0B1D"/>
    <w:rsid w:val="00AD0B2B"/>
    <w:rsid w:val="00AD0BCF"/>
    <w:rsid w:val="00AD0C08"/>
    <w:rsid w:val="00AD0C45"/>
    <w:rsid w:val="00AD0CC5"/>
    <w:rsid w:val="00AD0CD7"/>
    <w:rsid w:val="00AD0D96"/>
    <w:rsid w:val="00AD0E86"/>
    <w:rsid w:val="00AD0E98"/>
    <w:rsid w:val="00AD0EE4"/>
    <w:rsid w:val="00AD0EFA"/>
    <w:rsid w:val="00AD0F10"/>
    <w:rsid w:val="00AD0F3A"/>
    <w:rsid w:val="00AD0F56"/>
    <w:rsid w:val="00AD0F88"/>
    <w:rsid w:val="00AD0FA9"/>
    <w:rsid w:val="00AD0FFF"/>
    <w:rsid w:val="00AD1000"/>
    <w:rsid w:val="00AD1015"/>
    <w:rsid w:val="00AD104F"/>
    <w:rsid w:val="00AD105F"/>
    <w:rsid w:val="00AD106E"/>
    <w:rsid w:val="00AD1071"/>
    <w:rsid w:val="00AD1079"/>
    <w:rsid w:val="00AD10A3"/>
    <w:rsid w:val="00AD10C3"/>
    <w:rsid w:val="00AD10EC"/>
    <w:rsid w:val="00AD115F"/>
    <w:rsid w:val="00AD121D"/>
    <w:rsid w:val="00AD1227"/>
    <w:rsid w:val="00AD1235"/>
    <w:rsid w:val="00AD1246"/>
    <w:rsid w:val="00AD1291"/>
    <w:rsid w:val="00AD12A1"/>
    <w:rsid w:val="00AD12F4"/>
    <w:rsid w:val="00AD1302"/>
    <w:rsid w:val="00AD1314"/>
    <w:rsid w:val="00AD133D"/>
    <w:rsid w:val="00AD1348"/>
    <w:rsid w:val="00AD137F"/>
    <w:rsid w:val="00AD13B6"/>
    <w:rsid w:val="00AD13D1"/>
    <w:rsid w:val="00AD146F"/>
    <w:rsid w:val="00AD1490"/>
    <w:rsid w:val="00AD14A6"/>
    <w:rsid w:val="00AD14D7"/>
    <w:rsid w:val="00AD150A"/>
    <w:rsid w:val="00AD15E0"/>
    <w:rsid w:val="00AD15F2"/>
    <w:rsid w:val="00AD1620"/>
    <w:rsid w:val="00AD1665"/>
    <w:rsid w:val="00AD1676"/>
    <w:rsid w:val="00AD169C"/>
    <w:rsid w:val="00AD16BC"/>
    <w:rsid w:val="00AD16F8"/>
    <w:rsid w:val="00AD1716"/>
    <w:rsid w:val="00AD171A"/>
    <w:rsid w:val="00AD1723"/>
    <w:rsid w:val="00AD1781"/>
    <w:rsid w:val="00AD1796"/>
    <w:rsid w:val="00AD17AA"/>
    <w:rsid w:val="00AD17F4"/>
    <w:rsid w:val="00AD1806"/>
    <w:rsid w:val="00AD1842"/>
    <w:rsid w:val="00AD1853"/>
    <w:rsid w:val="00AD1876"/>
    <w:rsid w:val="00AD1880"/>
    <w:rsid w:val="00AD189E"/>
    <w:rsid w:val="00AD18B9"/>
    <w:rsid w:val="00AD18D4"/>
    <w:rsid w:val="00AD18EB"/>
    <w:rsid w:val="00AD1941"/>
    <w:rsid w:val="00AD1944"/>
    <w:rsid w:val="00AD1968"/>
    <w:rsid w:val="00AD199F"/>
    <w:rsid w:val="00AD19C4"/>
    <w:rsid w:val="00AD1A0A"/>
    <w:rsid w:val="00AD1A15"/>
    <w:rsid w:val="00AD1A3A"/>
    <w:rsid w:val="00AD1AB8"/>
    <w:rsid w:val="00AD1AC8"/>
    <w:rsid w:val="00AD1B0C"/>
    <w:rsid w:val="00AD1B36"/>
    <w:rsid w:val="00AD1B4A"/>
    <w:rsid w:val="00AD1B53"/>
    <w:rsid w:val="00AD1B54"/>
    <w:rsid w:val="00AD1B5F"/>
    <w:rsid w:val="00AD1BAD"/>
    <w:rsid w:val="00AD1BE2"/>
    <w:rsid w:val="00AD1C0B"/>
    <w:rsid w:val="00AD1C0F"/>
    <w:rsid w:val="00AD1C1F"/>
    <w:rsid w:val="00AD1C48"/>
    <w:rsid w:val="00AD1C4D"/>
    <w:rsid w:val="00AD1C5D"/>
    <w:rsid w:val="00AD1C7D"/>
    <w:rsid w:val="00AD1CA1"/>
    <w:rsid w:val="00AD1CB4"/>
    <w:rsid w:val="00AD1CC5"/>
    <w:rsid w:val="00AD1CFC"/>
    <w:rsid w:val="00AD1D2A"/>
    <w:rsid w:val="00AD1D35"/>
    <w:rsid w:val="00AD1D3C"/>
    <w:rsid w:val="00AD1E1D"/>
    <w:rsid w:val="00AD1E31"/>
    <w:rsid w:val="00AD1E51"/>
    <w:rsid w:val="00AD1E56"/>
    <w:rsid w:val="00AD1E5E"/>
    <w:rsid w:val="00AD1E65"/>
    <w:rsid w:val="00AD1E77"/>
    <w:rsid w:val="00AD1E8E"/>
    <w:rsid w:val="00AD1E93"/>
    <w:rsid w:val="00AD1F01"/>
    <w:rsid w:val="00AD1FA0"/>
    <w:rsid w:val="00AD1FBD"/>
    <w:rsid w:val="00AD200A"/>
    <w:rsid w:val="00AD202D"/>
    <w:rsid w:val="00AD2036"/>
    <w:rsid w:val="00AD2041"/>
    <w:rsid w:val="00AD20AD"/>
    <w:rsid w:val="00AD20C2"/>
    <w:rsid w:val="00AD20D9"/>
    <w:rsid w:val="00AD20F4"/>
    <w:rsid w:val="00AD21BE"/>
    <w:rsid w:val="00AD21E4"/>
    <w:rsid w:val="00AD2221"/>
    <w:rsid w:val="00AD223D"/>
    <w:rsid w:val="00AD2249"/>
    <w:rsid w:val="00AD2289"/>
    <w:rsid w:val="00AD22DA"/>
    <w:rsid w:val="00AD231A"/>
    <w:rsid w:val="00AD2352"/>
    <w:rsid w:val="00AD23D0"/>
    <w:rsid w:val="00AD23EF"/>
    <w:rsid w:val="00AD2409"/>
    <w:rsid w:val="00AD2459"/>
    <w:rsid w:val="00AD2477"/>
    <w:rsid w:val="00AD248D"/>
    <w:rsid w:val="00AD24C6"/>
    <w:rsid w:val="00AD255C"/>
    <w:rsid w:val="00AD257D"/>
    <w:rsid w:val="00AD25AA"/>
    <w:rsid w:val="00AD25B0"/>
    <w:rsid w:val="00AD25B9"/>
    <w:rsid w:val="00AD25CE"/>
    <w:rsid w:val="00AD2679"/>
    <w:rsid w:val="00AD26B3"/>
    <w:rsid w:val="00AD26D0"/>
    <w:rsid w:val="00AD26D1"/>
    <w:rsid w:val="00AD26D8"/>
    <w:rsid w:val="00AD271D"/>
    <w:rsid w:val="00AD273C"/>
    <w:rsid w:val="00AD2760"/>
    <w:rsid w:val="00AD2767"/>
    <w:rsid w:val="00AD276D"/>
    <w:rsid w:val="00AD2775"/>
    <w:rsid w:val="00AD27B9"/>
    <w:rsid w:val="00AD27BA"/>
    <w:rsid w:val="00AD27E7"/>
    <w:rsid w:val="00AD27F0"/>
    <w:rsid w:val="00AD2883"/>
    <w:rsid w:val="00AD28AB"/>
    <w:rsid w:val="00AD28B6"/>
    <w:rsid w:val="00AD28D0"/>
    <w:rsid w:val="00AD28EA"/>
    <w:rsid w:val="00AD290E"/>
    <w:rsid w:val="00AD295F"/>
    <w:rsid w:val="00AD2967"/>
    <w:rsid w:val="00AD29A3"/>
    <w:rsid w:val="00AD2A73"/>
    <w:rsid w:val="00AD2B98"/>
    <w:rsid w:val="00AD2BC3"/>
    <w:rsid w:val="00AD2BD4"/>
    <w:rsid w:val="00AD2C06"/>
    <w:rsid w:val="00AD2C99"/>
    <w:rsid w:val="00AD2D04"/>
    <w:rsid w:val="00AD2D33"/>
    <w:rsid w:val="00AD2D59"/>
    <w:rsid w:val="00AD2D7F"/>
    <w:rsid w:val="00AD2DF6"/>
    <w:rsid w:val="00AD2E17"/>
    <w:rsid w:val="00AD2E5A"/>
    <w:rsid w:val="00AD2E7A"/>
    <w:rsid w:val="00AD2ED7"/>
    <w:rsid w:val="00AD2F32"/>
    <w:rsid w:val="00AD2F60"/>
    <w:rsid w:val="00AD2FB0"/>
    <w:rsid w:val="00AD2FE7"/>
    <w:rsid w:val="00AD2FEA"/>
    <w:rsid w:val="00AD3015"/>
    <w:rsid w:val="00AD3086"/>
    <w:rsid w:val="00AD308E"/>
    <w:rsid w:val="00AD30E0"/>
    <w:rsid w:val="00AD31FD"/>
    <w:rsid w:val="00AD3205"/>
    <w:rsid w:val="00AD32CC"/>
    <w:rsid w:val="00AD3360"/>
    <w:rsid w:val="00AD337A"/>
    <w:rsid w:val="00AD33BA"/>
    <w:rsid w:val="00AD33C8"/>
    <w:rsid w:val="00AD33D2"/>
    <w:rsid w:val="00AD33F4"/>
    <w:rsid w:val="00AD33F6"/>
    <w:rsid w:val="00AD3419"/>
    <w:rsid w:val="00AD345E"/>
    <w:rsid w:val="00AD34C9"/>
    <w:rsid w:val="00AD3501"/>
    <w:rsid w:val="00AD3547"/>
    <w:rsid w:val="00AD357C"/>
    <w:rsid w:val="00AD35E6"/>
    <w:rsid w:val="00AD35EC"/>
    <w:rsid w:val="00AD360E"/>
    <w:rsid w:val="00AD362B"/>
    <w:rsid w:val="00AD3655"/>
    <w:rsid w:val="00AD368D"/>
    <w:rsid w:val="00AD3690"/>
    <w:rsid w:val="00AD3696"/>
    <w:rsid w:val="00AD36C0"/>
    <w:rsid w:val="00AD36D8"/>
    <w:rsid w:val="00AD3723"/>
    <w:rsid w:val="00AD374B"/>
    <w:rsid w:val="00AD374D"/>
    <w:rsid w:val="00AD3799"/>
    <w:rsid w:val="00AD37E7"/>
    <w:rsid w:val="00AD37EE"/>
    <w:rsid w:val="00AD381E"/>
    <w:rsid w:val="00AD3864"/>
    <w:rsid w:val="00AD3891"/>
    <w:rsid w:val="00AD38A3"/>
    <w:rsid w:val="00AD38F5"/>
    <w:rsid w:val="00AD3983"/>
    <w:rsid w:val="00AD39E2"/>
    <w:rsid w:val="00AD3A27"/>
    <w:rsid w:val="00AD3A3E"/>
    <w:rsid w:val="00AD3A7B"/>
    <w:rsid w:val="00AD3A85"/>
    <w:rsid w:val="00AD3AB7"/>
    <w:rsid w:val="00AD3AC0"/>
    <w:rsid w:val="00AD3B6E"/>
    <w:rsid w:val="00AD3BAC"/>
    <w:rsid w:val="00AD3BEB"/>
    <w:rsid w:val="00AD3BF0"/>
    <w:rsid w:val="00AD3C58"/>
    <w:rsid w:val="00AD3C8E"/>
    <w:rsid w:val="00AD3CA2"/>
    <w:rsid w:val="00AD3CB6"/>
    <w:rsid w:val="00AD3CE7"/>
    <w:rsid w:val="00AD3CE8"/>
    <w:rsid w:val="00AD3CF1"/>
    <w:rsid w:val="00AD3CF2"/>
    <w:rsid w:val="00AD3D37"/>
    <w:rsid w:val="00AD3D8C"/>
    <w:rsid w:val="00AD3DC0"/>
    <w:rsid w:val="00AD3E1E"/>
    <w:rsid w:val="00AD3E65"/>
    <w:rsid w:val="00AD3ED7"/>
    <w:rsid w:val="00AD3EF8"/>
    <w:rsid w:val="00AD3F0E"/>
    <w:rsid w:val="00AD3F34"/>
    <w:rsid w:val="00AD3F45"/>
    <w:rsid w:val="00AD3FA9"/>
    <w:rsid w:val="00AD3FB9"/>
    <w:rsid w:val="00AD3FC7"/>
    <w:rsid w:val="00AD4045"/>
    <w:rsid w:val="00AD405B"/>
    <w:rsid w:val="00AD405F"/>
    <w:rsid w:val="00AD4084"/>
    <w:rsid w:val="00AD4089"/>
    <w:rsid w:val="00AD41B1"/>
    <w:rsid w:val="00AD4204"/>
    <w:rsid w:val="00AD4294"/>
    <w:rsid w:val="00AD429D"/>
    <w:rsid w:val="00AD42AB"/>
    <w:rsid w:val="00AD434B"/>
    <w:rsid w:val="00AD439A"/>
    <w:rsid w:val="00AD439B"/>
    <w:rsid w:val="00AD43B0"/>
    <w:rsid w:val="00AD43B8"/>
    <w:rsid w:val="00AD43EB"/>
    <w:rsid w:val="00AD4402"/>
    <w:rsid w:val="00AD4409"/>
    <w:rsid w:val="00AD4414"/>
    <w:rsid w:val="00AD4447"/>
    <w:rsid w:val="00AD4455"/>
    <w:rsid w:val="00AD4474"/>
    <w:rsid w:val="00AD44A3"/>
    <w:rsid w:val="00AD44E2"/>
    <w:rsid w:val="00AD44E9"/>
    <w:rsid w:val="00AD451E"/>
    <w:rsid w:val="00AD4545"/>
    <w:rsid w:val="00AD45B3"/>
    <w:rsid w:val="00AD45D3"/>
    <w:rsid w:val="00AD45DF"/>
    <w:rsid w:val="00AD4626"/>
    <w:rsid w:val="00AD465E"/>
    <w:rsid w:val="00AD46AA"/>
    <w:rsid w:val="00AD46AE"/>
    <w:rsid w:val="00AD471F"/>
    <w:rsid w:val="00AD474B"/>
    <w:rsid w:val="00AD4781"/>
    <w:rsid w:val="00AD4782"/>
    <w:rsid w:val="00AD4799"/>
    <w:rsid w:val="00AD4809"/>
    <w:rsid w:val="00AD4834"/>
    <w:rsid w:val="00AD4841"/>
    <w:rsid w:val="00AD48E6"/>
    <w:rsid w:val="00AD4915"/>
    <w:rsid w:val="00AD4941"/>
    <w:rsid w:val="00AD497F"/>
    <w:rsid w:val="00AD4981"/>
    <w:rsid w:val="00AD499C"/>
    <w:rsid w:val="00AD4A3C"/>
    <w:rsid w:val="00AD4A58"/>
    <w:rsid w:val="00AD4A5B"/>
    <w:rsid w:val="00AD4A6B"/>
    <w:rsid w:val="00AD4A8D"/>
    <w:rsid w:val="00AD4AA3"/>
    <w:rsid w:val="00AD4B12"/>
    <w:rsid w:val="00AD4B15"/>
    <w:rsid w:val="00AD4B50"/>
    <w:rsid w:val="00AD4B67"/>
    <w:rsid w:val="00AD4BEA"/>
    <w:rsid w:val="00AD4CBE"/>
    <w:rsid w:val="00AD4D05"/>
    <w:rsid w:val="00AD4D18"/>
    <w:rsid w:val="00AD4D1C"/>
    <w:rsid w:val="00AD4D35"/>
    <w:rsid w:val="00AD4D47"/>
    <w:rsid w:val="00AD4D77"/>
    <w:rsid w:val="00AD4DAB"/>
    <w:rsid w:val="00AD4DD8"/>
    <w:rsid w:val="00AD4E10"/>
    <w:rsid w:val="00AD4E2D"/>
    <w:rsid w:val="00AD4E59"/>
    <w:rsid w:val="00AD4E83"/>
    <w:rsid w:val="00AD4EB4"/>
    <w:rsid w:val="00AD4EBC"/>
    <w:rsid w:val="00AD4EE0"/>
    <w:rsid w:val="00AD4F03"/>
    <w:rsid w:val="00AD4F12"/>
    <w:rsid w:val="00AD4F2D"/>
    <w:rsid w:val="00AD4F32"/>
    <w:rsid w:val="00AD4F51"/>
    <w:rsid w:val="00AD5005"/>
    <w:rsid w:val="00AD501B"/>
    <w:rsid w:val="00AD501F"/>
    <w:rsid w:val="00AD5031"/>
    <w:rsid w:val="00AD5089"/>
    <w:rsid w:val="00AD509A"/>
    <w:rsid w:val="00AD512F"/>
    <w:rsid w:val="00AD5157"/>
    <w:rsid w:val="00AD515F"/>
    <w:rsid w:val="00AD51FF"/>
    <w:rsid w:val="00AD5214"/>
    <w:rsid w:val="00AD5234"/>
    <w:rsid w:val="00AD52A7"/>
    <w:rsid w:val="00AD5354"/>
    <w:rsid w:val="00AD5385"/>
    <w:rsid w:val="00AD53C9"/>
    <w:rsid w:val="00AD53CF"/>
    <w:rsid w:val="00AD53F1"/>
    <w:rsid w:val="00AD53F2"/>
    <w:rsid w:val="00AD5443"/>
    <w:rsid w:val="00AD5486"/>
    <w:rsid w:val="00AD548E"/>
    <w:rsid w:val="00AD54CF"/>
    <w:rsid w:val="00AD54D7"/>
    <w:rsid w:val="00AD553C"/>
    <w:rsid w:val="00AD554E"/>
    <w:rsid w:val="00AD5562"/>
    <w:rsid w:val="00AD559C"/>
    <w:rsid w:val="00AD5644"/>
    <w:rsid w:val="00AD564F"/>
    <w:rsid w:val="00AD5653"/>
    <w:rsid w:val="00AD5658"/>
    <w:rsid w:val="00AD56A2"/>
    <w:rsid w:val="00AD56D7"/>
    <w:rsid w:val="00AD5732"/>
    <w:rsid w:val="00AD5735"/>
    <w:rsid w:val="00AD57BA"/>
    <w:rsid w:val="00AD57CB"/>
    <w:rsid w:val="00AD57ED"/>
    <w:rsid w:val="00AD57F4"/>
    <w:rsid w:val="00AD57F8"/>
    <w:rsid w:val="00AD582D"/>
    <w:rsid w:val="00AD583F"/>
    <w:rsid w:val="00AD584A"/>
    <w:rsid w:val="00AD58C1"/>
    <w:rsid w:val="00AD58C6"/>
    <w:rsid w:val="00AD58F0"/>
    <w:rsid w:val="00AD593C"/>
    <w:rsid w:val="00AD598B"/>
    <w:rsid w:val="00AD59E0"/>
    <w:rsid w:val="00AD5A51"/>
    <w:rsid w:val="00AD5A5F"/>
    <w:rsid w:val="00AD5B74"/>
    <w:rsid w:val="00AD5B7E"/>
    <w:rsid w:val="00AD5BCE"/>
    <w:rsid w:val="00AD5C0D"/>
    <w:rsid w:val="00AD5C47"/>
    <w:rsid w:val="00AD5C8C"/>
    <w:rsid w:val="00AD5C97"/>
    <w:rsid w:val="00AD5CB2"/>
    <w:rsid w:val="00AD5CCF"/>
    <w:rsid w:val="00AD5CF5"/>
    <w:rsid w:val="00AD5D0A"/>
    <w:rsid w:val="00AD5D45"/>
    <w:rsid w:val="00AD5D8D"/>
    <w:rsid w:val="00AD5D96"/>
    <w:rsid w:val="00AD5DB1"/>
    <w:rsid w:val="00AD5DE2"/>
    <w:rsid w:val="00AD5E12"/>
    <w:rsid w:val="00AD5E6A"/>
    <w:rsid w:val="00AD5EB9"/>
    <w:rsid w:val="00AD5ED3"/>
    <w:rsid w:val="00AD5EE4"/>
    <w:rsid w:val="00AD5F5A"/>
    <w:rsid w:val="00AD5F74"/>
    <w:rsid w:val="00AD5F98"/>
    <w:rsid w:val="00AD5FAA"/>
    <w:rsid w:val="00AD6007"/>
    <w:rsid w:val="00AD6038"/>
    <w:rsid w:val="00AD6059"/>
    <w:rsid w:val="00AD6066"/>
    <w:rsid w:val="00AD6069"/>
    <w:rsid w:val="00AD60DF"/>
    <w:rsid w:val="00AD60EC"/>
    <w:rsid w:val="00AD6130"/>
    <w:rsid w:val="00AD6143"/>
    <w:rsid w:val="00AD619B"/>
    <w:rsid w:val="00AD61AF"/>
    <w:rsid w:val="00AD61C4"/>
    <w:rsid w:val="00AD625F"/>
    <w:rsid w:val="00AD6274"/>
    <w:rsid w:val="00AD62E2"/>
    <w:rsid w:val="00AD6321"/>
    <w:rsid w:val="00AD644C"/>
    <w:rsid w:val="00AD649D"/>
    <w:rsid w:val="00AD64B2"/>
    <w:rsid w:val="00AD64C2"/>
    <w:rsid w:val="00AD64D4"/>
    <w:rsid w:val="00AD6515"/>
    <w:rsid w:val="00AD6522"/>
    <w:rsid w:val="00AD6535"/>
    <w:rsid w:val="00AD6549"/>
    <w:rsid w:val="00AD654E"/>
    <w:rsid w:val="00AD6562"/>
    <w:rsid w:val="00AD65B3"/>
    <w:rsid w:val="00AD65E8"/>
    <w:rsid w:val="00AD65FC"/>
    <w:rsid w:val="00AD6635"/>
    <w:rsid w:val="00AD6653"/>
    <w:rsid w:val="00AD6666"/>
    <w:rsid w:val="00AD66B7"/>
    <w:rsid w:val="00AD66C2"/>
    <w:rsid w:val="00AD66EB"/>
    <w:rsid w:val="00AD6717"/>
    <w:rsid w:val="00AD6721"/>
    <w:rsid w:val="00AD672A"/>
    <w:rsid w:val="00AD6735"/>
    <w:rsid w:val="00AD6777"/>
    <w:rsid w:val="00AD677B"/>
    <w:rsid w:val="00AD677E"/>
    <w:rsid w:val="00AD678B"/>
    <w:rsid w:val="00AD6792"/>
    <w:rsid w:val="00AD67A9"/>
    <w:rsid w:val="00AD67E0"/>
    <w:rsid w:val="00AD6824"/>
    <w:rsid w:val="00AD6825"/>
    <w:rsid w:val="00AD68BE"/>
    <w:rsid w:val="00AD68CD"/>
    <w:rsid w:val="00AD68D5"/>
    <w:rsid w:val="00AD68FB"/>
    <w:rsid w:val="00AD692B"/>
    <w:rsid w:val="00AD6984"/>
    <w:rsid w:val="00AD6999"/>
    <w:rsid w:val="00AD69BB"/>
    <w:rsid w:val="00AD69CA"/>
    <w:rsid w:val="00AD6A33"/>
    <w:rsid w:val="00AD6A8D"/>
    <w:rsid w:val="00AD6A9A"/>
    <w:rsid w:val="00AD6AA3"/>
    <w:rsid w:val="00AD6B05"/>
    <w:rsid w:val="00AD6B1F"/>
    <w:rsid w:val="00AD6B30"/>
    <w:rsid w:val="00AD6B65"/>
    <w:rsid w:val="00AD6B96"/>
    <w:rsid w:val="00AD6C0B"/>
    <w:rsid w:val="00AD6C5E"/>
    <w:rsid w:val="00AD6CB5"/>
    <w:rsid w:val="00AD6CE5"/>
    <w:rsid w:val="00AD6D48"/>
    <w:rsid w:val="00AD6D69"/>
    <w:rsid w:val="00AD6DCD"/>
    <w:rsid w:val="00AD6DF6"/>
    <w:rsid w:val="00AD6EB0"/>
    <w:rsid w:val="00AD6EBD"/>
    <w:rsid w:val="00AD6EC8"/>
    <w:rsid w:val="00AD6EE8"/>
    <w:rsid w:val="00AD6F37"/>
    <w:rsid w:val="00AD6F3C"/>
    <w:rsid w:val="00AD6F77"/>
    <w:rsid w:val="00AD6FFE"/>
    <w:rsid w:val="00AD7057"/>
    <w:rsid w:val="00AD7067"/>
    <w:rsid w:val="00AD70A3"/>
    <w:rsid w:val="00AD70BA"/>
    <w:rsid w:val="00AD712F"/>
    <w:rsid w:val="00AD7136"/>
    <w:rsid w:val="00AD713B"/>
    <w:rsid w:val="00AD7181"/>
    <w:rsid w:val="00AD7195"/>
    <w:rsid w:val="00AD71AB"/>
    <w:rsid w:val="00AD722E"/>
    <w:rsid w:val="00AD724E"/>
    <w:rsid w:val="00AD72AD"/>
    <w:rsid w:val="00AD72CB"/>
    <w:rsid w:val="00AD7324"/>
    <w:rsid w:val="00AD73FF"/>
    <w:rsid w:val="00AD748D"/>
    <w:rsid w:val="00AD74DD"/>
    <w:rsid w:val="00AD751A"/>
    <w:rsid w:val="00AD752E"/>
    <w:rsid w:val="00AD756B"/>
    <w:rsid w:val="00AD766A"/>
    <w:rsid w:val="00AD7676"/>
    <w:rsid w:val="00AD7766"/>
    <w:rsid w:val="00AD777C"/>
    <w:rsid w:val="00AD7793"/>
    <w:rsid w:val="00AD77F1"/>
    <w:rsid w:val="00AD7890"/>
    <w:rsid w:val="00AD78A6"/>
    <w:rsid w:val="00AD78F9"/>
    <w:rsid w:val="00AD78FB"/>
    <w:rsid w:val="00AD7907"/>
    <w:rsid w:val="00AD7978"/>
    <w:rsid w:val="00AD79D3"/>
    <w:rsid w:val="00AD7ACB"/>
    <w:rsid w:val="00AD7AF9"/>
    <w:rsid w:val="00AD7B27"/>
    <w:rsid w:val="00AD7BC4"/>
    <w:rsid w:val="00AD7C37"/>
    <w:rsid w:val="00AD7C60"/>
    <w:rsid w:val="00AD7C86"/>
    <w:rsid w:val="00AD7CCE"/>
    <w:rsid w:val="00AD7CEC"/>
    <w:rsid w:val="00AD7D43"/>
    <w:rsid w:val="00AD7D76"/>
    <w:rsid w:val="00AD7D84"/>
    <w:rsid w:val="00AD7DE4"/>
    <w:rsid w:val="00AD7E01"/>
    <w:rsid w:val="00AD7E20"/>
    <w:rsid w:val="00AD7E23"/>
    <w:rsid w:val="00AD7E2B"/>
    <w:rsid w:val="00AD7E4C"/>
    <w:rsid w:val="00AD7E86"/>
    <w:rsid w:val="00AD7EEC"/>
    <w:rsid w:val="00AD7F7B"/>
    <w:rsid w:val="00AD7FB6"/>
    <w:rsid w:val="00AD7FC4"/>
    <w:rsid w:val="00AD7FC5"/>
    <w:rsid w:val="00AD7FF3"/>
    <w:rsid w:val="00AE0071"/>
    <w:rsid w:val="00AE0081"/>
    <w:rsid w:val="00AE00B8"/>
    <w:rsid w:val="00AE00F0"/>
    <w:rsid w:val="00AE0115"/>
    <w:rsid w:val="00AE0149"/>
    <w:rsid w:val="00AE0189"/>
    <w:rsid w:val="00AE01B7"/>
    <w:rsid w:val="00AE0222"/>
    <w:rsid w:val="00AE024C"/>
    <w:rsid w:val="00AE0266"/>
    <w:rsid w:val="00AE02DC"/>
    <w:rsid w:val="00AE0317"/>
    <w:rsid w:val="00AE0334"/>
    <w:rsid w:val="00AE039A"/>
    <w:rsid w:val="00AE03C7"/>
    <w:rsid w:val="00AE0551"/>
    <w:rsid w:val="00AE0571"/>
    <w:rsid w:val="00AE05A0"/>
    <w:rsid w:val="00AE05A3"/>
    <w:rsid w:val="00AE05A4"/>
    <w:rsid w:val="00AE05D5"/>
    <w:rsid w:val="00AE05E6"/>
    <w:rsid w:val="00AE0612"/>
    <w:rsid w:val="00AE0640"/>
    <w:rsid w:val="00AE0645"/>
    <w:rsid w:val="00AE0680"/>
    <w:rsid w:val="00AE06B5"/>
    <w:rsid w:val="00AE06B9"/>
    <w:rsid w:val="00AE06BE"/>
    <w:rsid w:val="00AE0712"/>
    <w:rsid w:val="00AE0721"/>
    <w:rsid w:val="00AE0744"/>
    <w:rsid w:val="00AE076B"/>
    <w:rsid w:val="00AE07A9"/>
    <w:rsid w:val="00AE07F5"/>
    <w:rsid w:val="00AE08CF"/>
    <w:rsid w:val="00AE08D0"/>
    <w:rsid w:val="00AE08EC"/>
    <w:rsid w:val="00AE08F7"/>
    <w:rsid w:val="00AE090C"/>
    <w:rsid w:val="00AE096D"/>
    <w:rsid w:val="00AE0981"/>
    <w:rsid w:val="00AE09E9"/>
    <w:rsid w:val="00AE0A31"/>
    <w:rsid w:val="00AE0A36"/>
    <w:rsid w:val="00AE0A52"/>
    <w:rsid w:val="00AE0A83"/>
    <w:rsid w:val="00AE0ABE"/>
    <w:rsid w:val="00AE0ADD"/>
    <w:rsid w:val="00AE0B72"/>
    <w:rsid w:val="00AE0BAE"/>
    <w:rsid w:val="00AE0BBC"/>
    <w:rsid w:val="00AE0BD0"/>
    <w:rsid w:val="00AE0BD3"/>
    <w:rsid w:val="00AE0C0D"/>
    <w:rsid w:val="00AE0C95"/>
    <w:rsid w:val="00AE0D6A"/>
    <w:rsid w:val="00AE0D89"/>
    <w:rsid w:val="00AE0D8C"/>
    <w:rsid w:val="00AE0DC6"/>
    <w:rsid w:val="00AE0DC8"/>
    <w:rsid w:val="00AE0DDA"/>
    <w:rsid w:val="00AE0E27"/>
    <w:rsid w:val="00AE0E60"/>
    <w:rsid w:val="00AE0E72"/>
    <w:rsid w:val="00AE0E9A"/>
    <w:rsid w:val="00AE0EA7"/>
    <w:rsid w:val="00AE0EAE"/>
    <w:rsid w:val="00AE0F34"/>
    <w:rsid w:val="00AE0F3C"/>
    <w:rsid w:val="00AE0F59"/>
    <w:rsid w:val="00AE0F66"/>
    <w:rsid w:val="00AE0F90"/>
    <w:rsid w:val="00AE0FA4"/>
    <w:rsid w:val="00AE0FD0"/>
    <w:rsid w:val="00AE0FEA"/>
    <w:rsid w:val="00AE1003"/>
    <w:rsid w:val="00AE1032"/>
    <w:rsid w:val="00AE10DE"/>
    <w:rsid w:val="00AE111C"/>
    <w:rsid w:val="00AE1151"/>
    <w:rsid w:val="00AE1161"/>
    <w:rsid w:val="00AE11C4"/>
    <w:rsid w:val="00AE11F3"/>
    <w:rsid w:val="00AE122A"/>
    <w:rsid w:val="00AE1288"/>
    <w:rsid w:val="00AE12B5"/>
    <w:rsid w:val="00AE130B"/>
    <w:rsid w:val="00AE1330"/>
    <w:rsid w:val="00AE1347"/>
    <w:rsid w:val="00AE138C"/>
    <w:rsid w:val="00AE13E9"/>
    <w:rsid w:val="00AE1417"/>
    <w:rsid w:val="00AE144D"/>
    <w:rsid w:val="00AE1471"/>
    <w:rsid w:val="00AE14EE"/>
    <w:rsid w:val="00AE1509"/>
    <w:rsid w:val="00AE1519"/>
    <w:rsid w:val="00AE1526"/>
    <w:rsid w:val="00AE152E"/>
    <w:rsid w:val="00AE153E"/>
    <w:rsid w:val="00AE154E"/>
    <w:rsid w:val="00AE1568"/>
    <w:rsid w:val="00AE1583"/>
    <w:rsid w:val="00AE15A7"/>
    <w:rsid w:val="00AE15BA"/>
    <w:rsid w:val="00AE15E1"/>
    <w:rsid w:val="00AE15FB"/>
    <w:rsid w:val="00AE1622"/>
    <w:rsid w:val="00AE1683"/>
    <w:rsid w:val="00AE16C5"/>
    <w:rsid w:val="00AE16E1"/>
    <w:rsid w:val="00AE16E7"/>
    <w:rsid w:val="00AE1712"/>
    <w:rsid w:val="00AE1791"/>
    <w:rsid w:val="00AE17D1"/>
    <w:rsid w:val="00AE17DF"/>
    <w:rsid w:val="00AE1835"/>
    <w:rsid w:val="00AE1857"/>
    <w:rsid w:val="00AE1884"/>
    <w:rsid w:val="00AE189E"/>
    <w:rsid w:val="00AE18EF"/>
    <w:rsid w:val="00AE1972"/>
    <w:rsid w:val="00AE1989"/>
    <w:rsid w:val="00AE19BC"/>
    <w:rsid w:val="00AE19D9"/>
    <w:rsid w:val="00AE1A1C"/>
    <w:rsid w:val="00AE1A66"/>
    <w:rsid w:val="00AE1A7C"/>
    <w:rsid w:val="00AE1AF1"/>
    <w:rsid w:val="00AE1B25"/>
    <w:rsid w:val="00AE1B2C"/>
    <w:rsid w:val="00AE1B3B"/>
    <w:rsid w:val="00AE1B3C"/>
    <w:rsid w:val="00AE1B4E"/>
    <w:rsid w:val="00AE1BA6"/>
    <w:rsid w:val="00AE1BB6"/>
    <w:rsid w:val="00AE1BDE"/>
    <w:rsid w:val="00AE1BF2"/>
    <w:rsid w:val="00AE1C2A"/>
    <w:rsid w:val="00AE1CA3"/>
    <w:rsid w:val="00AE1CEA"/>
    <w:rsid w:val="00AE1CF1"/>
    <w:rsid w:val="00AE1CFF"/>
    <w:rsid w:val="00AE1D29"/>
    <w:rsid w:val="00AE1D46"/>
    <w:rsid w:val="00AE1D9C"/>
    <w:rsid w:val="00AE1E95"/>
    <w:rsid w:val="00AE1ECD"/>
    <w:rsid w:val="00AE1EFE"/>
    <w:rsid w:val="00AE1EFF"/>
    <w:rsid w:val="00AE2014"/>
    <w:rsid w:val="00AE209E"/>
    <w:rsid w:val="00AE20BE"/>
    <w:rsid w:val="00AE20FD"/>
    <w:rsid w:val="00AE2114"/>
    <w:rsid w:val="00AE217D"/>
    <w:rsid w:val="00AE219E"/>
    <w:rsid w:val="00AE21EA"/>
    <w:rsid w:val="00AE227D"/>
    <w:rsid w:val="00AE2291"/>
    <w:rsid w:val="00AE2336"/>
    <w:rsid w:val="00AE2348"/>
    <w:rsid w:val="00AE2368"/>
    <w:rsid w:val="00AE236F"/>
    <w:rsid w:val="00AE238D"/>
    <w:rsid w:val="00AE239A"/>
    <w:rsid w:val="00AE23D4"/>
    <w:rsid w:val="00AE2421"/>
    <w:rsid w:val="00AE2458"/>
    <w:rsid w:val="00AE24DB"/>
    <w:rsid w:val="00AE24EA"/>
    <w:rsid w:val="00AE2532"/>
    <w:rsid w:val="00AE256E"/>
    <w:rsid w:val="00AE2585"/>
    <w:rsid w:val="00AE25C3"/>
    <w:rsid w:val="00AE2610"/>
    <w:rsid w:val="00AE2611"/>
    <w:rsid w:val="00AE2630"/>
    <w:rsid w:val="00AE26D2"/>
    <w:rsid w:val="00AE279E"/>
    <w:rsid w:val="00AE27EE"/>
    <w:rsid w:val="00AE2801"/>
    <w:rsid w:val="00AE2884"/>
    <w:rsid w:val="00AE2889"/>
    <w:rsid w:val="00AE289B"/>
    <w:rsid w:val="00AE28BA"/>
    <w:rsid w:val="00AE28C4"/>
    <w:rsid w:val="00AE2932"/>
    <w:rsid w:val="00AE295B"/>
    <w:rsid w:val="00AE2970"/>
    <w:rsid w:val="00AE2973"/>
    <w:rsid w:val="00AE297B"/>
    <w:rsid w:val="00AE297D"/>
    <w:rsid w:val="00AE298F"/>
    <w:rsid w:val="00AE29B2"/>
    <w:rsid w:val="00AE29BD"/>
    <w:rsid w:val="00AE29C6"/>
    <w:rsid w:val="00AE2A4F"/>
    <w:rsid w:val="00AE2ACA"/>
    <w:rsid w:val="00AE2B13"/>
    <w:rsid w:val="00AE2B84"/>
    <w:rsid w:val="00AE2B96"/>
    <w:rsid w:val="00AE2C20"/>
    <w:rsid w:val="00AE2C72"/>
    <w:rsid w:val="00AE2CA7"/>
    <w:rsid w:val="00AE2D06"/>
    <w:rsid w:val="00AE2D13"/>
    <w:rsid w:val="00AE2D43"/>
    <w:rsid w:val="00AE2D53"/>
    <w:rsid w:val="00AE2D8F"/>
    <w:rsid w:val="00AE2D97"/>
    <w:rsid w:val="00AE2E1C"/>
    <w:rsid w:val="00AE2E56"/>
    <w:rsid w:val="00AE2E87"/>
    <w:rsid w:val="00AE2EA1"/>
    <w:rsid w:val="00AE2F53"/>
    <w:rsid w:val="00AE2FA3"/>
    <w:rsid w:val="00AE2FAB"/>
    <w:rsid w:val="00AE2FC9"/>
    <w:rsid w:val="00AE2FCA"/>
    <w:rsid w:val="00AE2FED"/>
    <w:rsid w:val="00AE3013"/>
    <w:rsid w:val="00AE3023"/>
    <w:rsid w:val="00AE3027"/>
    <w:rsid w:val="00AE302D"/>
    <w:rsid w:val="00AE305C"/>
    <w:rsid w:val="00AE3091"/>
    <w:rsid w:val="00AE309C"/>
    <w:rsid w:val="00AE30B4"/>
    <w:rsid w:val="00AE30DE"/>
    <w:rsid w:val="00AE30E1"/>
    <w:rsid w:val="00AE3116"/>
    <w:rsid w:val="00AE311E"/>
    <w:rsid w:val="00AE31CD"/>
    <w:rsid w:val="00AE31D8"/>
    <w:rsid w:val="00AE31F0"/>
    <w:rsid w:val="00AE3209"/>
    <w:rsid w:val="00AE329F"/>
    <w:rsid w:val="00AE3305"/>
    <w:rsid w:val="00AE3326"/>
    <w:rsid w:val="00AE333F"/>
    <w:rsid w:val="00AE337B"/>
    <w:rsid w:val="00AE33C8"/>
    <w:rsid w:val="00AE33D9"/>
    <w:rsid w:val="00AE33DE"/>
    <w:rsid w:val="00AE33E3"/>
    <w:rsid w:val="00AE3414"/>
    <w:rsid w:val="00AE3423"/>
    <w:rsid w:val="00AE347C"/>
    <w:rsid w:val="00AE3498"/>
    <w:rsid w:val="00AE3531"/>
    <w:rsid w:val="00AE35AD"/>
    <w:rsid w:val="00AE35BC"/>
    <w:rsid w:val="00AE3627"/>
    <w:rsid w:val="00AE3640"/>
    <w:rsid w:val="00AE3646"/>
    <w:rsid w:val="00AE36D1"/>
    <w:rsid w:val="00AE3733"/>
    <w:rsid w:val="00AE376F"/>
    <w:rsid w:val="00AE37AF"/>
    <w:rsid w:val="00AE37BB"/>
    <w:rsid w:val="00AE37C4"/>
    <w:rsid w:val="00AE37F5"/>
    <w:rsid w:val="00AE37FF"/>
    <w:rsid w:val="00AE381E"/>
    <w:rsid w:val="00AE387F"/>
    <w:rsid w:val="00AE38AD"/>
    <w:rsid w:val="00AE38E2"/>
    <w:rsid w:val="00AE392E"/>
    <w:rsid w:val="00AE3990"/>
    <w:rsid w:val="00AE39AD"/>
    <w:rsid w:val="00AE39DD"/>
    <w:rsid w:val="00AE3A69"/>
    <w:rsid w:val="00AE3A7B"/>
    <w:rsid w:val="00AE3AAC"/>
    <w:rsid w:val="00AE3AB2"/>
    <w:rsid w:val="00AE3AE2"/>
    <w:rsid w:val="00AE3AEF"/>
    <w:rsid w:val="00AE3B2E"/>
    <w:rsid w:val="00AE3B3A"/>
    <w:rsid w:val="00AE3B54"/>
    <w:rsid w:val="00AE3B76"/>
    <w:rsid w:val="00AE3BDC"/>
    <w:rsid w:val="00AE3C2A"/>
    <w:rsid w:val="00AE3C34"/>
    <w:rsid w:val="00AE3C47"/>
    <w:rsid w:val="00AE3C69"/>
    <w:rsid w:val="00AE3C80"/>
    <w:rsid w:val="00AE3CEE"/>
    <w:rsid w:val="00AE3E08"/>
    <w:rsid w:val="00AE3E47"/>
    <w:rsid w:val="00AE3E5F"/>
    <w:rsid w:val="00AE3E62"/>
    <w:rsid w:val="00AE3E7D"/>
    <w:rsid w:val="00AE3EAB"/>
    <w:rsid w:val="00AE3ECE"/>
    <w:rsid w:val="00AE3EF6"/>
    <w:rsid w:val="00AE3F13"/>
    <w:rsid w:val="00AE3F29"/>
    <w:rsid w:val="00AE3F60"/>
    <w:rsid w:val="00AE3F8D"/>
    <w:rsid w:val="00AE3FF9"/>
    <w:rsid w:val="00AE401B"/>
    <w:rsid w:val="00AE405D"/>
    <w:rsid w:val="00AE407F"/>
    <w:rsid w:val="00AE408A"/>
    <w:rsid w:val="00AE40A9"/>
    <w:rsid w:val="00AE40E5"/>
    <w:rsid w:val="00AE40EA"/>
    <w:rsid w:val="00AE40EC"/>
    <w:rsid w:val="00AE414A"/>
    <w:rsid w:val="00AE418F"/>
    <w:rsid w:val="00AE41FA"/>
    <w:rsid w:val="00AE4208"/>
    <w:rsid w:val="00AE4262"/>
    <w:rsid w:val="00AE42AD"/>
    <w:rsid w:val="00AE42EF"/>
    <w:rsid w:val="00AE432C"/>
    <w:rsid w:val="00AE435E"/>
    <w:rsid w:val="00AE43DE"/>
    <w:rsid w:val="00AE4436"/>
    <w:rsid w:val="00AE4444"/>
    <w:rsid w:val="00AE4479"/>
    <w:rsid w:val="00AE448E"/>
    <w:rsid w:val="00AE44A3"/>
    <w:rsid w:val="00AE44D5"/>
    <w:rsid w:val="00AE44DF"/>
    <w:rsid w:val="00AE4531"/>
    <w:rsid w:val="00AE4582"/>
    <w:rsid w:val="00AE45AF"/>
    <w:rsid w:val="00AE45C1"/>
    <w:rsid w:val="00AE45C2"/>
    <w:rsid w:val="00AE45F9"/>
    <w:rsid w:val="00AE4726"/>
    <w:rsid w:val="00AE4734"/>
    <w:rsid w:val="00AE473F"/>
    <w:rsid w:val="00AE476C"/>
    <w:rsid w:val="00AE4791"/>
    <w:rsid w:val="00AE47B6"/>
    <w:rsid w:val="00AE47BD"/>
    <w:rsid w:val="00AE47D2"/>
    <w:rsid w:val="00AE47D7"/>
    <w:rsid w:val="00AE481B"/>
    <w:rsid w:val="00AE481E"/>
    <w:rsid w:val="00AE4860"/>
    <w:rsid w:val="00AE486F"/>
    <w:rsid w:val="00AE48E4"/>
    <w:rsid w:val="00AE48F3"/>
    <w:rsid w:val="00AE48FE"/>
    <w:rsid w:val="00AE4900"/>
    <w:rsid w:val="00AE4934"/>
    <w:rsid w:val="00AE4982"/>
    <w:rsid w:val="00AE4998"/>
    <w:rsid w:val="00AE49E4"/>
    <w:rsid w:val="00AE49EE"/>
    <w:rsid w:val="00AE4A00"/>
    <w:rsid w:val="00AE4A01"/>
    <w:rsid w:val="00AE4A0B"/>
    <w:rsid w:val="00AE4A2C"/>
    <w:rsid w:val="00AE4A52"/>
    <w:rsid w:val="00AE4AF5"/>
    <w:rsid w:val="00AE4B08"/>
    <w:rsid w:val="00AE4B0A"/>
    <w:rsid w:val="00AE4B48"/>
    <w:rsid w:val="00AE4BAA"/>
    <w:rsid w:val="00AE4BCB"/>
    <w:rsid w:val="00AE4C23"/>
    <w:rsid w:val="00AE4CA0"/>
    <w:rsid w:val="00AE4CC4"/>
    <w:rsid w:val="00AE4CE5"/>
    <w:rsid w:val="00AE4CE8"/>
    <w:rsid w:val="00AE4D1A"/>
    <w:rsid w:val="00AE4D7B"/>
    <w:rsid w:val="00AE4DAD"/>
    <w:rsid w:val="00AE4DB3"/>
    <w:rsid w:val="00AE4DED"/>
    <w:rsid w:val="00AE4E0C"/>
    <w:rsid w:val="00AE4E47"/>
    <w:rsid w:val="00AE4E96"/>
    <w:rsid w:val="00AE4EC4"/>
    <w:rsid w:val="00AE4EFA"/>
    <w:rsid w:val="00AE4F06"/>
    <w:rsid w:val="00AE4F1E"/>
    <w:rsid w:val="00AE4F2C"/>
    <w:rsid w:val="00AE4F37"/>
    <w:rsid w:val="00AE4F4F"/>
    <w:rsid w:val="00AE4FE1"/>
    <w:rsid w:val="00AE4FE6"/>
    <w:rsid w:val="00AE5019"/>
    <w:rsid w:val="00AE5030"/>
    <w:rsid w:val="00AE506D"/>
    <w:rsid w:val="00AE50A2"/>
    <w:rsid w:val="00AE50BA"/>
    <w:rsid w:val="00AE50BC"/>
    <w:rsid w:val="00AE50CC"/>
    <w:rsid w:val="00AE50FC"/>
    <w:rsid w:val="00AE512C"/>
    <w:rsid w:val="00AE51D8"/>
    <w:rsid w:val="00AE5201"/>
    <w:rsid w:val="00AE5214"/>
    <w:rsid w:val="00AE5276"/>
    <w:rsid w:val="00AE52CF"/>
    <w:rsid w:val="00AE53CB"/>
    <w:rsid w:val="00AE53FB"/>
    <w:rsid w:val="00AE5431"/>
    <w:rsid w:val="00AE545D"/>
    <w:rsid w:val="00AE5490"/>
    <w:rsid w:val="00AE54D2"/>
    <w:rsid w:val="00AE5581"/>
    <w:rsid w:val="00AE559A"/>
    <w:rsid w:val="00AE55B8"/>
    <w:rsid w:val="00AE55CA"/>
    <w:rsid w:val="00AE55CE"/>
    <w:rsid w:val="00AE561C"/>
    <w:rsid w:val="00AE5627"/>
    <w:rsid w:val="00AE563E"/>
    <w:rsid w:val="00AE5646"/>
    <w:rsid w:val="00AE578C"/>
    <w:rsid w:val="00AE57FE"/>
    <w:rsid w:val="00AE5805"/>
    <w:rsid w:val="00AE5815"/>
    <w:rsid w:val="00AE5828"/>
    <w:rsid w:val="00AE583E"/>
    <w:rsid w:val="00AE584C"/>
    <w:rsid w:val="00AE5878"/>
    <w:rsid w:val="00AE58F1"/>
    <w:rsid w:val="00AE5974"/>
    <w:rsid w:val="00AE5982"/>
    <w:rsid w:val="00AE59A4"/>
    <w:rsid w:val="00AE59CB"/>
    <w:rsid w:val="00AE5A0E"/>
    <w:rsid w:val="00AE5AA5"/>
    <w:rsid w:val="00AE5AB4"/>
    <w:rsid w:val="00AE5AD5"/>
    <w:rsid w:val="00AE5AEF"/>
    <w:rsid w:val="00AE5B64"/>
    <w:rsid w:val="00AE5B9C"/>
    <w:rsid w:val="00AE5C6D"/>
    <w:rsid w:val="00AE5CDD"/>
    <w:rsid w:val="00AE5D12"/>
    <w:rsid w:val="00AE5DFE"/>
    <w:rsid w:val="00AE5E01"/>
    <w:rsid w:val="00AE5E0A"/>
    <w:rsid w:val="00AE5E0B"/>
    <w:rsid w:val="00AE5FC4"/>
    <w:rsid w:val="00AE5FFB"/>
    <w:rsid w:val="00AE6007"/>
    <w:rsid w:val="00AE605C"/>
    <w:rsid w:val="00AE60E5"/>
    <w:rsid w:val="00AE6107"/>
    <w:rsid w:val="00AE6124"/>
    <w:rsid w:val="00AE6128"/>
    <w:rsid w:val="00AE616B"/>
    <w:rsid w:val="00AE623E"/>
    <w:rsid w:val="00AE624A"/>
    <w:rsid w:val="00AE62AF"/>
    <w:rsid w:val="00AE62FE"/>
    <w:rsid w:val="00AE6381"/>
    <w:rsid w:val="00AE639A"/>
    <w:rsid w:val="00AE63D8"/>
    <w:rsid w:val="00AE63DB"/>
    <w:rsid w:val="00AE6404"/>
    <w:rsid w:val="00AE6445"/>
    <w:rsid w:val="00AE646C"/>
    <w:rsid w:val="00AE6491"/>
    <w:rsid w:val="00AE6546"/>
    <w:rsid w:val="00AE65C4"/>
    <w:rsid w:val="00AE664C"/>
    <w:rsid w:val="00AE66B0"/>
    <w:rsid w:val="00AE66BA"/>
    <w:rsid w:val="00AE66DE"/>
    <w:rsid w:val="00AE66E9"/>
    <w:rsid w:val="00AE66EC"/>
    <w:rsid w:val="00AE66ED"/>
    <w:rsid w:val="00AE672D"/>
    <w:rsid w:val="00AE673A"/>
    <w:rsid w:val="00AE6740"/>
    <w:rsid w:val="00AE6766"/>
    <w:rsid w:val="00AE67E7"/>
    <w:rsid w:val="00AE685F"/>
    <w:rsid w:val="00AE6862"/>
    <w:rsid w:val="00AE6884"/>
    <w:rsid w:val="00AE68D8"/>
    <w:rsid w:val="00AE6911"/>
    <w:rsid w:val="00AE6931"/>
    <w:rsid w:val="00AE6953"/>
    <w:rsid w:val="00AE6957"/>
    <w:rsid w:val="00AE6990"/>
    <w:rsid w:val="00AE69BA"/>
    <w:rsid w:val="00AE69BF"/>
    <w:rsid w:val="00AE6A00"/>
    <w:rsid w:val="00AE6A0E"/>
    <w:rsid w:val="00AE6A71"/>
    <w:rsid w:val="00AE6AAB"/>
    <w:rsid w:val="00AE6ABA"/>
    <w:rsid w:val="00AE6B05"/>
    <w:rsid w:val="00AE6B08"/>
    <w:rsid w:val="00AE6B29"/>
    <w:rsid w:val="00AE6B34"/>
    <w:rsid w:val="00AE6B44"/>
    <w:rsid w:val="00AE6B81"/>
    <w:rsid w:val="00AE6B8F"/>
    <w:rsid w:val="00AE6B92"/>
    <w:rsid w:val="00AE6BA5"/>
    <w:rsid w:val="00AE6BC8"/>
    <w:rsid w:val="00AE6C7B"/>
    <w:rsid w:val="00AE6C85"/>
    <w:rsid w:val="00AE6CA8"/>
    <w:rsid w:val="00AE6CAF"/>
    <w:rsid w:val="00AE6CB5"/>
    <w:rsid w:val="00AE6CC3"/>
    <w:rsid w:val="00AE6CDB"/>
    <w:rsid w:val="00AE6CE3"/>
    <w:rsid w:val="00AE6D4B"/>
    <w:rsid w:val="00AE6D6C"/>
    <w:rsid w:val="00AE6D70"/>
    <w:rsid w:val="00AE6D80"/>
    <w:rsid w:val="00AE6D9C"/>
    <w:rsid w:val="00AE6DA6"/>
    <w:rsid w:val="00AE6DD5"/>
    <w:rsid w:val="00AE6E1A"/>
    <w:rsid w:val="00AE6E63"/>
    <w:rsid w:val="00AE6E86"/>
    <w:rsid w:val="00AE6EEC"/>
    <w:rsid w:val="00AE6FAD"/>
    <w:rsid w:val="00AE7004"/>
    <w:rsid w:val="00AE7006"/>
    <w:rsid w:val="00AE7068"/>
    <w:rsid w:val="00AE7079"/>
    <w:rsid w:val="00AE70C0"/>
    <w:rsid w:val="00AE7163"/>
    <w:rsid w:val="00AE726D"/>
    <w:rsid w:val="00AE727F"/>
    <w:rsid w:val="00AE728C"/>
    <w:rsid w:val="00AE732C"/>
    <w:rsid w:val="00AE736E"/>
    <w:rsid w:val="00AE7371"/>
    <w:rsid w:val="00AE73A4"/>
    <w:rsid w:val="00AE73CD"/>
    <w:rsid w:val="00AE73F7"/>
    <w:rsid w:val="00AE74D5"/>
    <w:rsid w:val="00AE74D7"/>
    <w:rsid w:val="00AE74E4"/>
    <w:rsid w:val="00AE750F"/>
    <w:rsid w:val="00AE7549"/>
    <w:rsid w:val="00AE757F"/>
    <w:rsid w:val="00AE7580"/>
    <w:rsid w:val="00AE75D5"/>
    <w:rsid w:val="00AE75E1"/>
    <w:rsid w:val="00AE7644"/>
    <w:rsid w:val="00AE768A"/>
    <w:rsid w:val="00AE769B"/>
    <w:rsid w:val="00AE76F7"/>
    <w:rsid w:val="00AE76FC"/>
    <w:rsid w:val="00AE774C"/>
    <w:rsid w:val="00AE776C"/>
    <w:rsid w:val="00AE77C4"/>
    <w:rsid w:val="00AE77EE"/>
    <w:rsid w:val="00AE7828"/>
    <w:rsid w:val="00AE7872"/>
    <w:rsid w:val="00AE788E"/>
    <w:rsid w:val="00AE78B0"/>
    <w:rsid w:val="00AE78EC"/>
    <w:rsid w:val="00AE78F0"/>
    <w:rsid w:val="00AE7A19"/>
    <w:rsid w:val="00AE7A95"/>
    <w:rsid w:val="00AE7AB5"/>
    <w:rsid w:val="00AE7B0B"/>
    <w:rsid w:val="00AE7B25"/>
    <w:rsid w:val="00AE7B37"/>
    <w:rsid w:val="00AE7B46"/>
    <w:rsid w:val="00AE7B8A"/>
    <w:rsid w:val="00AE7BBF"/>
    <w:rsid w:val="00AE7C00"/>
    <w:rsid w:val="00AE7C56"/>
    <w:rsid w:val="00AE7CB3"/>
    <w:rsid w:val="00AE7CC0"/>
    <w:rsid w:val="00AE7CE5"/>
    <w:rsid w:val="00AE7D0F"/>
    <w:rsid w:val="00AE7D13"/>
    <w:rsid w:val="00AE7D1C"/>
    <w:rsid w:val="00AE7E1B"/>
    <w:rsid w:val="00AE7E5B"/>
    <w:rsid w:val="00AE7EBD"/>
    <w:rsid w:val="00AE7ECE"/>
    <w:rsid w:val="00AE7EFE"/>
    <w:rsid w:val="00AE7F38"/>
    <w:rsid w:val="00AE7F7E"/>
    <w:rsid w:val="00AE7FD9"/>
    <w:rsid w:val="00AE7FF8"/>
    <w:rsid w:val="00AF000C"/>
    <w:rsid w:val="00AF0036"/>
    <w:rsid w:val="00AF0099"/>
    <w:rsid w:val="00AF00FF"/>
    <w:rsid w:val="00AF010B"/>
    <w:rsid w:val="00AF015E"/>
    <w:rsid w:val="00AF016D"/>
    <w:rsid w:val="00AF017C"/>
    <w:rsid w:val="00AF01AF"/>
    <w:rsid w:val="00AF01DB"/>
    <w:rsid w:val="00AF01F8"/>
    <w:rsid w:val="00AF0268"/>
    <w:rsid w:val="00AF02C2"/>
    <w:rsid w:val="00AF02FE"/>
    <w:rsid w:val="00AF0359"/>
    <w:rsid w:val="00AF03E6"/>
    <w:rsid w:val="00AF03EA"/>
    <w:rsid w:val="00AF0439"/>
    <w:rsid w:val="00AF043E"/>
    <w:rsid w:val="00AF0449"/>
    <w:rsid w:val="00AF0514"/>
    <w:rsid w:val="00AF0533"/>
    <w:rsid w:val="00AF053A"/>
    <w:rsid w:val="00AF05E1"/>
    <w:rsid w:val="00AF05EA"/>
    <w:rsid w:val="00AF0622"/>
    <w:rsid w:val="00AF065F"/>
    <w:rsid w:val="00AF06BD"/>
    <w:rsid w:val="00AF074D"/>
    <w:rsid w:val="00AF0803"/>
    <w:rsid w:val="00AF0836"/>
    <w:rsid w:val="00AF0847"/>
    <w:rsid w:val="00AF086B"/>
    <w:rsid w:val="00AF08FB"/>
    <w:rsid w:val="00AF0970"/>
    <w:rsid w:val="00AF09A6"/>
    <w:rsid w:val="00AF09CF"/>
    <w:rsid w:val="00AF09D0"/>
    <w:rsid w:val="00AF09D5"/>
    <w:rsid w:val="00AF0A65"/>
    <w:rsid w:val="00AF0A69"/>
    <w:rsid w:val="00AF0AB4"/>
    <w:rsid w:val="00AF0B0A"/>
    <w:rsid w:val="00AF0B0B"/>
    <w:rsid w:val="00AF0B21"/>
    <w:rsid w:val="00AF0B4F"/>
    <w:rsid w:val="00AF0B97"/>
    <w:rsid w:val="00AF0C0E"/>
    <w:rsid w:val="00AF0C91"/>
    <w:rsid w:val="00AF0CD7"/>
    <w:rsid w:val="00AF0CF1"/>
    <w:rsid w:val="00AF0CF5"/>
    <w:rsid w:val="00AF0DA6"/>
    <w:rsid w:val="00AF0DC7"/>
    <w:rsid w:val="00AF0DE2"/>
    <w:rsid w:val="00AF0DF4"/>
    <w:rsid w:val="00AF0E0E"/>
    <w:rsid w:val="00AF0E1D"/>
    <w:rsid w:val="00AF0E26"/>
    <w:rsid w:val="00AF0EC2"/>
    <w:rsid w:val="00AF0EDC"/>
    <w:rsid w:val="00AF0EE3"/>
    <w:rsid w:val="00AF0EEE"/>
    <w:rsid w:val="00AF0F6D"/>
    <w:rsid w:val="00AF0F7D"/>
    <w:rsid w:val="00AF1022"/>
    <w:rsid w:val="00AF1026"/>
    <w:rsid w:val="00AF1027"/>
    <w:rsid w:val="00AF1039"/>
    <w:rsid w:val="00AF107E"/>
    <w:rsid w:val="00AF1099"/>
    <w:rsid w:val="00AF10D0"/>
    <w:rsid w:val="00AF1118"/>
    <w:rsid w:val="00AF11EA"/>
    <w:rsid w:val="00AF1242"/>
    <w:rsid w:val="00AF1256"/>
    <w:rsid w:val="00AF130D"/>
    <w:rsid w:val="00AF134C"/>
    <w:rsid w:val="00AF135F"/>
    <w:rsid w:val="00AF1396"/>
    <w:rsid w:val="00AF13A5"/>
    <w:rsid w:val="00AF13B0"/>
    <w:rsid w:val="00AF140A"/>
    <w:rsid w:val="00AF1479"/>
    <w:rsid w:val="00AF14DE"/>
    <w:rsid w:val="00AF1520"/>
    <w:rsid w:val="00AF157D"/>
    <w:rsid w:val="00AF15A8"/>
    <w:rsid w:val="00AF15AF"/>
    <w:rsid w:val="00AF15CF"/>
    <w:rsid w:val="00AF15D6"/>
    <w:rsid w:val="00AF162B"/>
    <w:rsid w:val="00AF1652"/>
    <w:rsid w:val="00AF16E9"/>
    <w:rsid w:val="00AF1736"/>
    <w:rsid w:val="00AF1768"/>
    <w:rsid w:val="00AF1821"/>
    <w:rsid w:val="00AF1879"/>
    <w:rsid w:val="00AF189E"/>
    <w:rsid w:val="00AF18A3"/>
    <w:rsid w:val="00AF18B3"/>
    <w:rsid w:val="00AF18FE"/>
    <w:rsid w:val="00AF19F4"/>
    <w:rsid w:val="00AF19F9"/>
    <w:rsid w:val="00AF1A03"/>
    <w:rsid w:val="00AF1A75"/>
    <w:rsid w:val="00AF1AB3"/>
    <w:rsid w:val="00AF1AF0"/>
    <w:rsid w:val="00AF1B16"/>
    <w:rsid w:val="00AF1B2F"/>
    <w:rsid w:val="00AF1BE0"/>
    <w:rsid w:val="00AF1BE4"/>
    <w:rsid w:val="00AF1BF9"/>
    <w:rsid w:val="00AF1C00"/>
    <w:rsid w:val="00AF1C22"/>
    <w:rsid w:val="00AF1C48"/>
    <w:rsid w:val="00AF1C77"/>
    <w:rsid w:val="00AF1CC4"/>
    <w:rsid w:val="00AF1CCD"/>
    <w:rsid w:val="00AF1CE9"/>
    <w:rsid w:val="00AF1CFC"/>
    <w:rsid w:val="00AF1D67"/>
    <w:rsid w:val="00AF1DB2"/>
    <w:rsid w:val="00AF1E02"/>
    <w:rsid w:val="00AF1E24"/>
    <w:rsid w:val="00AF1E3D"/>
    <w:rsid w:val="00AF1E6D"/>
    <w:rsid w:val="00AF1E8A"/>
    <w:rsid w:val="00AF1ED0"/>
    <w:rsid w:val="00AF1ED7"/>
    <w:rsid w:val="00AF1EDF"/>
    <w:rsid w:val="00AF1EE8"/>
    <w:rsid w:val="00AF1F2A"/>
    <w:rsid w:val="00AF1F35"/>
    <w:rsid w:val="00AF1F6A"/>
    <w:rsid w:val="00AF20A4"/>
    <w:rsid w:val="00AF20C5"/>
    <w:rsid w:val="00AF214B"/>
    <w:rsid w:val="00AF21C3"/>
    <w:rsid w:val="00AF21D3"/>
    <w:rsid w:val="00AF21ED"/>
    <w:rsid w:val="00AF2253"/>
    <w:rsid w:val="00AF2267"/>
    <w:rsid w:val="00AF22F8"/>
    <w:rsid w:val="00AF2353"/>
    <w:rsid w:val="00AF23AB"/>
    <w:rsid w:val="00AF23B4"/>
    <w:rsid w:val="00AF23CF"/>
    <w:rsid w:val="00AF2411"/>
    <w:rsid w:val="00AF2420"/>
    <w:rsid w:val="00AF2437"/>
    <w:rsid w:val="00AF24A9"/>
    <w:rsid w:val="00AF254C"/>
    <w:rsid w:val="00AF257A"/>
    <w:rsid w:val="00AF25C0"/>
    <w:rsid w:val="00AF2622"/>
    <w:rsid w:val="00AF263E"/>
    <w:rsid w:val="00AF2673"/>
    <w:rsid w:val="00AF268A"/>
    <w:rsid w:val="00AF26A9"/>
    <w:rsid w:val="00AF26AF"/>
    <w:rsid w:val="00AF26B2"/>
    <w:rsid w:val="00AF270A"/>
    <w:rsid w:val="00AF2723"/>
    <w:rsid w:val="00AF2725"/>
    <w:rsid w:val="00AF2740"/>
    <w:rsid w:val="00AF27D4"/>
    <w:rsid w:val="00AF289C"/>
    <w:rsid w:val="00AF28C4"/>
    <w:rsid w:val="00AF28C9"/>
    <w:rsid w:val="00AF28D0"/>
    <w:rsid w:val="00AF28DA"/>
    <w:rsid w:val="00AF28EB"/>
    <w:rsid w:val="00AF28EE"/>
    <w:rsid w:val="00AF2931"/>
    <w:rsid w:val="00AF2942"/>
    <w:rsid w:val="00AF29B0"/>
    <w:rsid w:val="00AF2A4C"/>
    <w:rsid w:val="00AF2A73"/>
    <w:rsid w:val="00AF2A7E"/>
    <w:rsid w:val="00AF2ACE"/>
    <w:rsid w:val="00AF2B42"/>
    <w:rsid w:val="00AF2B59"/>
    <w:rsid w:val="00AF2BDD"/>
    <w:rsid w:val="00AF2C87"/>
    <w:rsid w:val="00AF2D36"/>
    <w:rsid w:val="00AF2D58"/>
    <w:rsid w:val="00AF2D5E"/>
    <w:rsid w:val="00AF2D61"/>
    <w:rsid w:val="00AF2D70"/>
    <w:rsid w:val="00AF2DD2"/>
    <w:rsid w:val="00AF2DEF"/>
    <w:rsid w:val="00AF2E37"/>
    <w:rsid w:val="00AF2EBF"/>
    <w:rsid w:val="00AF2EDB"/>
    <w:rsid w:val="00AF2F85"/>
    <w:rsid w:val="00AF2FAF"/>
    <w:rsid w:val="00AF2FED"/>
    <w:rsid w:val="00AF3031"/>
    <w:rsid w:val="00AF3046"/>
    <w:rsid w:val="00AF3054"/>
    <w:rsid w:val="00AF3056"/>
    <w:rsid w:val="00AF3082"/>
    <w:rsid w:val="00AF3083"/>
    <w:rsid w:val="00AF3099"/>
    <w:rsid w:val="00AF30A8"/>
    <w:rsid w:val="00AF30CB"/>
    <w:rsid w:val="00AF30E1"/>
    <w:rsid w:val="00AF3148"/>
    <w:rsid w:val="00AF317B"/>
    <w:rsid w:val="00AF31E6"/>
    <w:rsid w:val="00AF321A"/>
    <w:rsid w:val="00AF3251"/>
    <w:rsid w:val="00AF327F"/>
    <w:rsid w:val="00AF32A1"/>
    <w:rsid w:val="00AF32A9"/>
    <w:rsid w:val="00AF32DD"/>
    <w:rsid w:val="00AF3307"/>
    <w:rsid w:val="00AF33B6"/>
    <w:rsid w:val="00AF33BB"/>
    <w:rsid w:val="00AF33FE"/>
    <w:rsid w:val="00AF3435"/>
    <w:rsid w:val="00AF3447"/>
    <w:rsid w:val="00AF345E"/>
    <w:rsid w:val="00AF3549"/>
    <w:rsid w:val="00AF3568"/>
    <w:rsid w:val="00AF356E"/>
    <w:rsid w:val="00AF35B2"/>
    <w:rsid w:val="00AF35FB"/>
    <w:rsid w:val="00AF36C4"/>
    <w:rsid w:val="00AF36ED"/>
    <w:rsid w:val="00AF370C"/>
    <w:rsid w:val="00AF3730"/>
    <w:rsid w:val="00AF3735"/>
    <w:rsid w:val="00AF3781"/>
    <w:rsid w:val="00AF37A6"/>
    <w:rsid w:val="00AF38EB"/>
    <w:rsid w:val="00AF38ED"/>
    <w:rsid w:val="00AF3991"/>
    <w:rsid w:val="00AF3A11"/>
    <w:rsid w:val="00AF3A51"/>
    <w:rsid w:val="00AF3A76"/>
    <w:rsid w:val="00AF3AB9"/>
    <w:rsid w:val="00AF3B04"/>
    <w:rsid w:val="00AF3B1E"/>
    <w:rsid w:val="00AF3B34"/>
    <w:rsid w:val="00AF3BEC"/>
    <w:rsid w:val="00AF3C3A"/>
    <w:rsid w:val="00AF3C45"/>
    <w:rsid w:val="00AF3C4C"/>
    <w:rsid w:val="00AF3C54"/>
    <w:rsid w:val="00AF3CCB"/>
    <w:rsid w:val="00AF3D32"/>
    <w:rsid w:val="00AF3D4D"/>
    <w:rsid w:val="00AF3D64"/>
    <w:rsid w:val="00AF3D9F"/>
    <w:rsid w:val="00AF3E33"/>
    <w:rsid w:val="00AF3E36"/>
    <w:rsid w:val="00AF3ED4"/>
    <w:rsid w:val="00AF3EE2"/>
    <w:rsid w:val="00AF3EFD"/>
    <w:rsid w:val="00AF3F76"/>
    <w:rsid w:val="00AF3FD4"/>
    <w:rsid w:val="00AF403A"/>
    <w:rsid w:val="00AF405B"/>
    <w:rsid w:val="00AF4080"/>
    <w:rsid w:val="00AF40A0"/>
    <w:rsid w:val="00AF40BB"/>
    <w:rsid w:val="00AF40D9"/>
    <w:rsid w:val="00AF4147"/>
    <w:rsid w:val="00AF416A"/>
    <w:rsid w:val="00AF4192"/>
    <w:rsid w:val="00AF41A1"/>
    <w:rsid w:val="00AF41A7"/>
    <w:rsid w:val="00AF41BA"/>
    <w:rsid w:val="00AF41E3"/>
    <w:rsid w:val="00AF4223"/>
    <w:rsid w:val="00AF422A"/>
    <w:rsid w:val="00AF4235"/>
    <w:rsid w:val="00AF4292"/>
    <w:rsid w:val="00AF42AB"/>
    <w:rsid w:val="00AF42BC"/>
    <w:rsid w:val="00AF42E0"/>
    <w:rsid w:val="00AF42F5"/>
    <w:rsid w:val="00AF42FA"/>
    <w:rsid w:val="00AF4308"/>
    <w:rsid w:val="00AF434F"/>
    <w:rsid w:val="00AF4354"/>
    <w:rsid w:val="00AF43A7"/>
    <w:rsid w:val="00AF43D0"/>
    <w:rsid w:val="00AF43DE"/>
    <w:rsid w:val="00AF4449"/>
    <w:rsid w:val="00AF4454"/>
    <w:rsid w:val="00AF4460"/>
    <w:rsid w:val="00AF4485"/>
    <w:rsid w:val="00AF44B9"/>
    <w:rsid w:val="00AF44C8"/>
    <w:rsid w:val="00AF4526"/>
    <w:rsid w:val="00AF455B"/>
    <w:rsid w:val="00AF4572"/>
    <w:rsid w:val="00AF4584"/>
    <w:rsid w:val="00AF46F1"/>
    <w:rsid w:val="00AF477A"/>
    <w:rsid w:val="00AF47CD"/>
    <w:rsid w:val="00AF4828"/>
    <w:rsid w:val="00AF48FE"/>
    <w:rsid w:val="00AF4938"/>
    <w:rsid w:val="00AF4972"/>
    <w:rsid w:val="00AF49D9"/>
    <w:rsid w:val="00AF4B08"/>
    <w:rsid w:val="00AF4B46"/>
    <w:rsid w:val="00AF4B63"/>
    <w:rsid w:val="00AF4B77"/>
    <w:rsid w:val="00AF4B79"/>
    <w:rsid w:val="00AF4BBC"/>
    <w:rsid w:val="00AF4BBE"/>
    <w:rsid w:val="00AF4BF9"/>
    <w:rsid w:val="00AF4C24"/>
    <w:rsid w:val="00AF4C78"/>
    <w:rsid w:val="00AF4CAB"/>
    <w:rsid w:val="00AF4D21"/>
    <w:rsid w:val="00AF4D45"/>
    <w:rsid w:val="00AF4D60"/>
    <w:rsid w:val="00AF4D77"/>
    <w:rsid w:val="00AF4D83"/>
    <w:rsid w:val="00AF4E02"/>
    <w:rsid w:val="00AF4E85"/>
    <w:rsid w:val="00AF4EA9"/>
    <w:rsid w:val="00AF4EB9"/>
    <w:rsid w:val="00AF4F04"/>
    <w:rsid w:val="00AF4F27"/>
    <w:rsid w:val="00AF4F7C"/>
    <w:rsid w:val="00AF4F9E"/>
    <w:rsid w:val="00AF4F9F"/>
    <w:rsid w:val="00AF4FC9"/>
    <w:rsid w:val="00AF501D"/>
    <w:rsid w:val="00AF504F"/>
    <w:rsid w:val="00AF517D"/>
    <w:rsid w:val="00AF5192"/>
    <w:rsid w:val="00AF519C"/>
    <w:rsid w:val="00AF51AC"/>
    <w:rsid w:val="00AF51F9"/>
    <w:rsid w:val="00AF522A"/>
    <w:rsid w:val="00AF525A"/>
    <w:rsid w:val="00AF5263"/>
    <w:rsid w:val="00AF5291"/>
    <w:rsid w:val="00AF529E"/>
    <w:rsid w:val="00AF52B9"/>
    <w:rsid w:val="00AF52F1"/>
    <w:rsid w:val="00AF52FD"/>
    <w:rsid w:val="00AF5377"/>
    <w:rsid w:val="00AF5379"/>
    <w:rsid w:val="00AF53CE"/>
    <w:rsid w:val="00AF53DB"/>
    <w:rsid w:val="00AF53DC"/>
    <w:rsid w:val="00AF53FD"/>
    <w:rsid w:val="00AF543D"/>
    <w:rsid w:val="00AF544D"/>
    <w:rsid w:val="00AF54A4"/>
    <w:rsid w:val="00AF54ED"/>
    <w:rsid w:val="00AF5553"/>
    <w:rsid w:val="00AF55D5"/>
    <w:rsid w:val="00AF55FE"/>
    <w:rsid w:val="00AF561A"/>
    <w:rsid w:val="00AF5655"/>
    <w:rsid w:val="00AF5666"/>
    <w:rsid w:val="00AF567B"/>
    <w:rsid w:val="00AF56CD"/>
    <w:rsid w:val="00AF56CE"/>
    <w:rsid w:val="00AF570F"/>
    <w:rsid w:val="00AF578D"/>
    <w:rsid w:val="00AF57C8"/>
    <w:rsid w:val="00AF5844"/>
    <w:rsid w:val="00AF585D"/>
    <w:rsid w:val="00AF5894"/>
    <w:rsid w:val="00AF58E9"/>
    <w:rsid w:val="00AF5967"/>
    <w:rsid w:val="00AF599A"/>
    <w:rsid w:val="00AF59FC"/>
    <w:rsid w:val="00AF5A0A"/>
    <w:rsid w:val="00AF5A24"/>
    <w:rsid w:val="00AF5A4A"/>
    <w:rsid w:val="00AF5A5D"/>
    <w:rsid w:val="00AF5A9B"/>
    <w:rsid w:val="00AF5ABB"/>
    <w:rsid w:val="00AF5AEC"/>
    <w:rsid w:val="00AF5AF5"/>
    <w:rsid w:val="00AF5B4C"/>
    <w:rsid w:val="00AF5B67"/>
    <w:rsid w:val="00AF5BE2"/>
    <w:rsid w:val="00AF5C17"/>
    <w:rsid w:val="00AF5C1A"/>
    <w:rsid w:val="00AF5C66"/>
    <w:rsid w:val="00AF5C79"/>
    <w:rsid w:val="00AF5C7D"/>
    <w:rsid w:val="00AF5CC9"/>
    <w:rsid w:val="00AF5CCF"/>
    <w:rsid w:val="00AF5CFC"/>
    <w:rsid w:val="00AF5DF5"/>
    <w:rsid w:val="00AF5ED3"/>
    <w:rsid w:val="00AF5EDB"/>
    <w:rsid w:val="00AF5EF7"/>
    <w:rsid w:val="00AF5F3E"/>
    <w:rsid w:val="00AF5F47"/>
    <w:rsid w:val="00AF5F49"/>
    <w:rsid w:val="00AF5FDC"/>
    <w:rsid w:val="00AF5FFD"/>
    <w:rsid w:val="00AF6005"/>
    <w:rsid w:val="00AF6037"/>
    <w:rsid w:val="00AF6054"/>
    <w:rsid w:val="00AF6087"/>
    <w:rsid w:val="00AF61C6"/>
    <w:rsid w:val="00AF61D2"/>
    <w:rsid w:val="00AF61F4"/>
    <w:rsid w:val="00AF6221"/>
    <w:rsid w:val="00AF6235"/>
    <w:rsid w:val="00AF6240"/>
    <w:rsid w:val="00AF6243"/>
    <w:rsid w:val="00AF6288"/>
    <w:rsid w:val="00AF628A"/>
    <w:rsid w:val="00AF62AD"/>
    <w:rsid w:val="00AF62CB"/>
    <w:rsid w:val="00AF62D2"/>
    <w:rsid w:val="00AF62DF"/>
    <w:rsid w:val="00AF62F7"/>
    <w:rsid w:val="00AF6330"/>
    <w:rsid w:val="00AF6336"/>
    <w:rsid w:val="00AF6349"/>
    <w:rsid w:val="00AF639E"/>
    <w:rsid w:val="00AF63B0"/>
    <w:rsid w:val="00AF63DB"/>
    <w:rsid w:val="00AF63E0"/>
    <w:rsid w:val="00AF63EC"/>
    <w:rsid w:val="00AF63F5"/>
    <w:rsid w:val="00AF6439"/>
    <w:rsid w:val="00AF6462"/>
    <w:rsid w:val="00AF648F"/>
    <w:rsid w:val="00AF64A0"/>
    <w:rsid w:val="00AF64B9"/>
    <w:rsid w:val="00AF64D6"/>
    <w:rsid w:val="00AF64DA"/>
    <w:rsid w:val="00AF653A"/>
    <w:rsid w:val="00AF6543"/>
    <w:rsid w:val="00AF65FC"/>
    <w:rsid w:val="00AF6617"/>
    <w:rsid w:val="00AF661A"/>
    <w:rsid w:val="00AF6679"/>
    <w:rsid w:val="00AF6699"/>
    <w:rsid w:val="00AF66B9"/>
    <w:rsid w:val="00AF66D6"/>
    <w:rsid w:val="00AF66F0"/>
    <w:rsid w:val="00AF671E"/>
    <w:rsid w:val="00AF6763"/>
    <w:rsid w:val="00AF6779"/>
    <w:rsid w:val="00AF67C6"/>
    <w:rsid w:val="00AF680E"/>
    <w:rsid w:val="00AF693E"/>
    <w:rsid w:val="00AF697B"/>
    <w:rsid w:val="00AF698B"/>
    <w:rsid w:val="00AF69C2"/>
    <w:rsid w:val="00AF6A33"/>
    <w:rsid w:val="00AF6A92"/>
    <w:rsid w:val="00AF6AF7"/>
    <w:rsid w:val="00AF6B72"/>
    <w:rsid w:val="00AF6B94"/>
    <w:rsid w:val="00AF6C1F"/>
    <w:rsid w:val="00AF6C20"/>
    <w:rsid w:val="00AF6C27"/>
    <w:rsid w:val="00AF6C31"/>
    <w:rsid w:val="00AF6C4D"/>
    <w:rsid w:val="00AF6CA4"/>
    <w:rsid w:val="00AF6CE4"/>
    <w:rsid w:val="00AF6D02"/>
    <w:rsid w:val="00AF6D2B"/>
    <w:rsid w:val="00AF6E0D"/>
    <w:rsid w:val="00AF6E22"/>
    <w:rsid w:val="00AF6E26"/>
    <w:rsid w:val="00AF6E34"/>
    <w:rsid w:val="00AF6E4B"/>
    <w:rsid w:val="00AF6E78"/>
    <w:rsid w:val="00AF6E81"/>
    <w:rsid w:val="00AF6EF6"/>
    <w:rsid w:val="00AF6F31"/>
    <w:rsid w:val="00AF6F4A"/>
    <w:rsid w:val="00AF6F52"/>
    <w:rsid w:val="00AF6F69"/>
    <w:rsid w:val="00AF6FB4"/>
    <w:rsid w:val="00AF6FEE"/>
    <w:rsid w:val="00AF6FF6"/>
    <w:rsid w:val="00AF7072"/>
    <w:rsid w:val="00AF70A2"/>
    <w:rsid w:val="00AF70F2"/>
    <w:rsid w:val="00AF719C"/>
    <w:rsid w:val="00AF71A8"/>
    <w:rsid w:val="00AF71DF"/>
    <w:rsid w:val="00AF71E7"/>
    <w:rsid w:val="00AF728F"/>
    <w:rsid w:val="00AF72B2"/>
    <w:rsid w:val="00AF72C1"/>
    <w:rsid w:val="00AF72CF"/>
    <w:rsid w:val="00AF72D7"/>
    <w:rsid w:val="00AF72E5"/>
    <w:rsid w:val="00AF72EC"/>
    <w:rsid w:val="00AF7350"/>
    <w:rsid w:val="00AF7453"/>
    <w:rsid w:val="00AF7487"/>
    <w:rsid w:val="00AF748B"/>
    <w:rsid w:val="00AF74B7"/>
    <w:rsid w:val="00AF7515"/>
    <w:rsid w:val="00AF751C"/>
    <w:rsid w:val="00AF7524"/>
    <w:rsid w:val="00AF752F"/>
    <w:rsid w:val="00AF7564"/>
    <w:rsid w:val="00AF758A"/>
    <w:rsid w:val="00AF75F9"/>
    <w:rsid w:val="00AF7604"/>
    <w:rsid w:val="00AF762B"/>
    <w:rsid w:val="00AF7640"/>
    <w:rsid w:val="00AF7658"/>
    <w:rsid w:val="00AF7675"/>
    <w:rsid w:val="00AF768A"/>
    <w:rsid w:val="00AF76DD"/>
    <w:rsid w:val="00AF7709"/>
    <w:rsid w:val="00AF7751"/>
    <w:rsid w:val="00AF776A"/>
    <w:rsid w:val="00AF77A6"/>
    <w:rsid w:val="00AF781F"/>
    <w:rsid w:val="00AF782C"/>
    <w:rsid w:val="00AF7896"/>
    <w:rsid w:val="00AF790A"/>
    <w:rsid w:val="00AF793B"/>
    <w:rsid w:val="00AF793F"/>
    <w:rsid w:val="00AF79C7"/>
    <w:rsid w:val="00AF79EB"/>
    <w:rsid w:val="00AF7A18"/>
    <w:rsid w:val="00AF7A3E"/>
    <w:rsid w:val="00AF7AA7"/>
    <w:rsid w:val="00AF7AD9"/>
    <w:rsid w:val="00AF7AFD"/>
    <w:rsid w:val="00AF7B31"/>
    <w:rsid w:val="00AF7B38"/>
    <w:rsid w:val="00AF7B5E"/>
    <w:rsid w:val="00AF7B70"/>
    <w:rsid w:val="00AF7BBC"/>
    <w:rsid w:val="00AF7C2C"/>
    <w:rsid w:val="00AF7C35"/>
    <w:rsid w:val="00AF7C7D"/>
    <w:rsid w:val="00AF7C92"/>
    <w:rsid w:val="00AF7CF1"/>
    <w:rsid w:val="00AF7D40"/>
    <w:rsid w:val="00AF7D5C"/>
    <w:rsid w:val="00AF7D78"/>
    <w:rsid w:val="00AF7D7B"/>
    <w:rsid w:val="00AF7D7D"/>
    <w:rsid w:val="00AF7D80"/>
    <w:rsid w:val="00AF7D93"/>
    <w:rsid w:val="00AF7DA9"/>
    <w:rsid w:val="00AF7DEE"/>
    <w:rsid w:val="00AF7E05"/>
    <w:rsid w:val="00AF7EA5"/>
    <w:rsid w:val="00AF7EFA"/>
    <w:rsid w:val="00AF7F73"/>
    <w:rsid w:val="00AF7F76"/>
    <w:rsid w:val="00AF7F9D"/>
    <w:rsid w:val="00B00077"/>
    <w:rsid w:val="00B000AA"/>
    <w:rsid w:val="00B000AE"/>
    <w:rsid w:val="00B000EB"/>
    <w:rsid w:val="00B00167"/>
    <w:rsid w:val="00B00230"/>
    <w:rsid w:val="00B0023B"/>
    <w:rsid w:val="00B00279"/>
    <w:rsid w:val="00B00287"/>
    <w:rsid w:val="00B0028B"/>
    <w:rsid w:val="00B00389"/>
    <w:rsid w:val="00B00407"/>
    <w:rsid w:val="00B00425"/>
    <w:rsid w:val="00B00456"/>
    <w:rsid w:val="00B00479"/>
    <w:rsid w:val="00B004A8"/>
    <w:rsid w:val="00B004C5"/>
    <w:rsid w:val="00B005BC"/>
    <w:rsid w:val="00B00601"/>
    <w:rsid w:val="00B0060B"/>
    <w:rsid w:val="00B00673"/>
    <w:rsid w:val="00B0068E"/>
    <w:rsid w:val="00B00691"/>
    <w:rsid w:val="00B006CF"/>
    <w:rsid w:val="00B00706"/>
    <w:rsid w:val="00B0076B"/>
    <w:rsid w:val="00B0089A"/>
    <w:rsid w:val="00B008B4"/>
    <w:rsid w:val="00B008E0"/>
    <w:rsid w:val="00B0092B"/>
    <w:rsid w:val="00B0093F"/>
    <w:rsid w:val="00B009C3"/>
    <w:rsid w:val="00B009C9"/>
    <w:rsid w:val="00B00A8E"/>
    <w:rsid w:val="00B00AB6"/>
    <w:rsid w:val="00B00AF5"/>
    <w:rsid w:val="00B00B37"/>
    <w:rsid w:val="00B00B47"/>
    <w:rsid w:val="00B00B7E"/>
    <w:rsid w:val="00B00BC0"/>
    <w:rsid w:val="00B00BC6"/>
    <w:rsid w:val="00B00BD5"/>
    <w:rsid w:val="00B00C46"/>
    <w:rsid w:val="00B00C56"/>
    <w:rsid w:val="00B00C5C"/>
    <w:rsid w:val="00B00C75"/>
    <w:rsid w:val="00B00CB1"/>
    <w:rsid w:val="00B00CB5"/>
    <w:rsid w:val="00B00CC1"/>
    <w:rsid w:val="00B00CCE"/>
    <w:rsid w:val="00B00CF3"/>
    <w:rsid w:val="00B00D09"/>
    <w:rsid w:val="00B00D33"/>
    <w:rsid w:val="00B00D62"/>
    <w:rsid w:val="00B00D98"/>
    <w:rsid w:val="00B00DAC"/>
    <w:rsid w:val="00B00E3D"/>
    <w:rsid w:val="00B00E3E"/>
    <w:rsid w:val="00B00E58"/>
    <w:rsid w:val="00B00E72"/>
    <w:rsid w:val="00B00EA5"/>
    <w:rsid w:val="00B00ED8"/>
    <w:rsid w:val="00B00EED"/>
    <w:rsid w:val="00B00F00"/>
    <w:rsid w:val="00B00F51"/>
    <w:rsid w:val="00B00FA2"/>
    <w:rsid w:val="00B00FA5"/>
    <w:rsid w:val="00B00FB5"/>
    <w:rsid w:val="00B01063"/>
    <w:rsid w:val="00B0109C"/>
    <w:rsid w:val="00B010DF"/>
    <w:rsid w:val="00B0111B"/>
    <w:rsid w:val="00B01135"/>
    <w:rsid w:val="00B01159"/>
    <w:rsid w:val="00B0118A"/>
    <w:rsid w:val="00B011EF"/>
    <w:rsid w:val="00B011FA"/>
    <w:rsid w:val="00B01218"/>
    <w:rsid w:val="00B0121D"/>
    <w:rsid w:val="00B012DA"/>
    <w:rsid w:val="00B0131B"/>
    <w:rsid w:val="00B01349"/>
    <w:rsid w:val="00B0137B"/>
    <w:rsid w:val="00B013B2"/>
    <w:rsid w:val="00B013D8"/>
    <w:rsid w:val="00B013DA"/>
    <w:rsid w:val="00B01405"/>
    <w:rsid w:val="00B01446"/>
    <w:rsid w:val="00B01468"/>
    <w:rsid w:val="00B01499"/>
    <w:rsid w:val="00B015C2"/>
    <w:rsid w:val="00B015E8"/>
    <w:rsid w:val="00B01664"/>
    <w:rsid w:val="00B01696"/>
    <w:rsid w:val="00B016C7"/>
    <w:rsid w:val="00B01768"/>
    <w:rsid w:val="00B017C2"/>
    <w:rsid w:val="00B0181A"/>
    <w:rsid w:val="00B01830"/>
    <w:rsid w:val="00B0183F"/>
    <w:rsid w:val="00B018D0"/>
    <w:rsid w:val="00B01901"/>
    <w:rsid w:val="00B01920"/>
    <w:rsid w:val="00B019E4"/>
    <w:rsid w:val="00B01A08"/>
    <w:rsid w:val="00B01A25"/>
    <w:rsid w:val="00B01A51"/>
    <w:rsid w:val="00B01AA2"/>
    <w:rsid w:val="00B01AB2"/>
    <w:rsid w:val="00B01AC7"/>
    <w:rsid w:val="00B01B22"/>
    <w:rsid w:val="00B01B23"/>
    <w:rsid w:val="00B01B26"/>
    <w:rsid w:val="00B01B43"/>
    <w:rsid w:val="00B01B73"/>
    <w:rsid w:val="00B01B85"/>
    <w:rsid w:val="00B01BAF"/>
    <w:rsid w:val="00B01BF9"/>
    <w:rsid w:val="00B01C1E"/>
    <w:rsid w:val="00B01C3A"/>
    <w:rsid w:val="00B01C42"/>
    <w:rsid w:val="00B01CA5"/>
    <w:rsid w:val="00B01CA6"/>
    <w:rsid w:val="00B01CCE"/>
    <w:rsid w:val="00B01D3A"/>
    <w:rsid w:val="00B01D53"/>
    <w:rsid w:val="00B01D58"/>
    <w:rsid w:val="00B01D7F"/>
    <w:rsid w:val="00B01D86"/>
    <w:rsid w:val="00B01DF5"/>
    <w:rsid w:val="00B01E36"/>
    <w:rsid w:val="00B01E37"/>
    <w:rsid w:val="00B01E70"/>
    <w:rsid w:val="00B01E9A"/>
    <w:rsid w:val="00B01EDA"/>
    <w:rsid w:val="00B01EED"/>
    <w:rsid w:val="00B01EF1"/>
    <w:rsid w:val="00B01F48"/>
    <w:rsid w:val="00B01F4D"/>
    <w:rsid w:val="00B01F8B"/>
    <w:rsid w:val="00B01FA5"/>
    <w:rsid w:val="00B01FE5"/>
    <w:rsid w:val="00B0204D"/>
    <w:rsid w:val="00B0206A"/>
    <w:rsid w:val="00B020E8"/>
    <w:rsid w:val="00B02183"/>
    <w:rsid w:val="00B021AD"/>
    <w:rsid w:val="00B021B4"/>
    <w:rsid w:val="00B0221A"/>
    <w:rsid w:val="00B02240"/>
    <w:rsid w:val="00B0226D"/>
    <w:rsid w:val="00B02275"/>
    <w:rsid w:val="00B0227D"/>
    <w:rsid w:val="00B022B2"/>
    <w:rsid w:val="00B023A3"/>
    <w:rsid w:val="00B023EE"/>
    <w:rsid w:val="00B0247B"/>
    <w:rsid w:val="00B024B1"/>
    <w:rsid w:val="00B025BF"/>
    <w:rsid w:val="00B02604"/>
    <w:rsid w:val="00B02678"/>
    <w:rsid w:val="00B0268C"/>
    <w:rsid w:val="00B026A9"/>
    <w:rsid w:val="00B0270A"/>
    <w:rsid w:val="00B0271E"/>
    <w:rsid w:val="00B02722"/>
    <w:rsid w:val="00B02754"/>
    <w:rsid w:val="00B02756"/>
    <w:rsid w:val="00B02797"/>
    <w:rsid w:val="00B027AF"/>
    <w:rsid w:val="00B02816"/>
    <w:rsid w:val="00B0281F"/>
    <w:rsid w:val="00B0286A"/>
    <w:rsid w:val="00B028AA"/>
    <w:rsid w:val="00B0290B"/>
    <w:rsid w:val="00B02913"/>
    <w:rsid w:val="00B02919"/>
    <w:rsid w:val="00B0293E"/>
    <w:rsid w:val="00B02985"/>
    <w:rsid w:val="00B029AB"/>
    <w:rsid w:val="00B029CD"/>
    <w:rsid w:val="00B029F1"/>
    <w:rsid w:val="00B02A5D"/>
    <w:rsid w:val="00B02A69"/>
    <w:rsid w:val="00B02A90"/>
    <w:rsid w:val="00B02AB8"/>
    <w:rsid w:val="00B02AFD"/>
    <w:rsid w:val="00B02B4E"/>
    <w:rsid w:val="00B02B5C"/>
    <w:rsid w:val="00B02BDC"/>
    <w:rsid w:val="00B02BE1"/>
    <w:rsid w:val="00B02BF7"/>
    <w:rsid w:val="00B02C21"/>
    <w:rsid w:val="00B02C69"/>
    <w:rsid w:val="00B02C93"/>
    <w:rsid w:val="00B02CA3"/>
    <w:rsid w:val="00B02CA5"/>
    <w:rsid w:val="00B02CAF"/>
    <w:rsid w:val="00B02CD8"/>
    <w:rsid w:val="00B02D3B"/>
    <w:rsid w:val="00B02D5A"/>
    <w:rsid w:val="00B02D87"/>
    <w:rsid w:val="00B02D99"/>
    <w:rsid w:val="00B02E22"/>
    <w:rsid w:val="00B02E87"/>
    <w:rsid w:val="00B02EA8"/>
    <w:rsid w:val="00B02ED5"/>
    <w:rsid w:val="00B02EF3"/>
    <w:rsid w:val="00B02EFF"/>
    <w:rsid w:val="00B02F43"/>
    <w:rsid w:val="00B02F71"/>
    <w:rsid w:val="00B02FAA"/>
    <w:rsid w:val="00B02FC3"/>
    <w:rsid w:val="00B02FC4"/>
    <w:rsid w:val="00B02FD0"/>
    <w:rsid w:val="00B02FF1"/>
    <w:rsid w:val="00B0306D"/>
    <w:rsid w:val="00B03088"/>
    <w:rsid w:val="00B03112"/>
    <w:rsid w:val="00B0313D"/>
    <w:rsid w:val="00B03192"/>
    <w:rsid w:val="00B031A6"/>
    <w:rsid w:val="00B031E0"/>
    <w:rsid w:val="00B03276"/>
    <w:rsid w:val="00B03319"/>
    <w:rsid w:val="00B033A8"/>
    <w:rsid w:val="00B033B2"/>
    <w:rsid w:val="00B033E6"/>
    <w:rsid w:val="00B03421"/>
    <w:rsid w:val="00B03424"/>
    <w:rsid w:val="00B0345F"/>
    <w:rsid w:val="00B03479"/>
    <w:rsid w:val="00B034A2"/>
    <w:rsid w:val="00B035B7"/>
    <w:rsid w:val="00B03611"/>
    <w:rsid w:val="00B0364F"/>
    <w:rsid w:val="00B0376A"/>
    <w:rsid w:val="00B0378B"/>
    <w:rsid w:val="00B037B5"/>
    <w:rsid w:val="00B0382A"/>
    <w:rsid w:val="00B03837"/>
    <w:rsid w:val="00B038C9"/>
    <w:rsid w:val="00B038FE"/>
    <w:rsid w:val="00B0394B"/>
    <w:rsid w:val="00B0396F"/>
    <w:rsid w:val="00B03998"/>
    <w:rsid w:val="00B03A14"/>
    <w:rsid w:val="00B03A40"/>
    <w:rsid w:val="00B03A8D"/>
    <w:rsid w:val="00B03AF9"/>
    <w:rsid w:val="00B03B08"/>
    <w:rsid w:val="00B03B15"/>
    <w:rsid w:val="00B03B6A"/>
    <w:rsid w:val="00B03B6D"/>
    <w:rsid w:val="00B03B8D"/>
    <w:rsid w:val="00B03BAB"/>
    <w:rsid w:val="00B03BBC"/>
    <w:rsid w:val="00B03BC0"/>
    <w:rsid w:val="00B03BFF"/>
    <w:rsid w:val="00B03C39"/>
    <w:rsid w:val="00B03CA6"/>
    <w:rsid w:val="00B03D00"/>
    <w:rsid w:val="00B03D43"/>
    <w:rsid w:val="00B03D68"/>
    <w:rsid w:val="00B03E34"/>
    <w:rsid w:val="00B03E69"/>
    <w:rsid w:val="00B03F0B"/>
    <w:rsid w:val="00B03F12"/>
    <w:rsid w:val="00B03F15"/>
    <w:rsid w:val="00B03F46"/>
    <w:rsid w:val="00B03F54"/>
    <w:rsid w:val="00B03F5E"/>
    <w:rsid w:val="00B03F87"/>
    <w:rsid w:val="00B03F88"/>
    <w:rsid w:val="00B03FDD"/>
    <w:rsid w:val="00B0406A"/>
    <w:rsid w:val="00B040B6"/>
    <w:rsid w:val="00B040D3"/>
    <w:rsid w:val="00B04121"/>
    <w:rsid w:val="00B0412E"/>
    <w:rsid w:val="00B04147"/>
    <w:rsid w:val="00B041ED"/>
    <w:rsid w:val="00B0425F"/>
    <w:rsid w:val="00B04299"/>
    <w:rsid w:val="00B042B2"/>
    <w:rsid w:val="00B042F3"/>
    <w:rsid w:val="00B0434E"/>
    <w:rsid w:val="00B04381"/>
    <w:rsid w:val="00B04390"/>
    <w:rsid w:val="00B043C4"/>
    <w:rsid w:val="00B04497"/>
    <w:rsid w:val="00B044DC"/>
    <w:rsid w:val="00B044E9"/>
    <w:rsid w:val="00B0452D"/>
    <w:rsid w:val="00B0453A"/>
    <w:rsid w:val="00B04551"/>
    <w:rsid w:val="00B045C5"/>
    <w:rsid w:val="00B045C8"/>
    <w:rsid w:val="00B045E4"/>
    <w:rsid w:val="00B04611"/>
    <w:rsid w:val="00B046A7"/>
    <w:rsid w:val="00B04745"/>
    <w:rsid w:val="00B0474A"/>
    <w:rsid w:val="00B0475A"/>
    <w:rsid w:val="00B04775"/>
    <w:rsid w:val="00B0479D"/>
    <w:rsid w:val="00B0479F"/>
    <w:rsid w:val="00B047A9"/>
    <w:rsid w:val="00B047D9"/>
    <w:rsid w:val="00B047DF"/>
    <w:rsid w:val="00B047F0"/>
    <w:rsid w:val="00B0481C"/>
    <w:rsid w:val="00B04887"/>
    <w:rsid w:val="00B048A1"/>
    <w:rsid w:val="00B048FD"/>
    <w:rsid w:val="00B04996"/>
    <w:rsid w:val="00B04997"/>
    <w:rsid w:val="00B049D6"/>
    <w:rsid w:val="00B04A1D"/>
    <w:rsid w:val="00B04A1E"/>
    <w:rsid w:val="00B04A3E"/>
    <w:rsid w:val="00B04A91"/>
    <w:rsid w:val="00B04AA5"/>
    <w:rsid w:val="00B04AED"/>
    <w:rsid w:val="00B04B23"/>
    <w:rsid w:val="00B04BF2"/>
    <w:rsid w:val="00B04C21"/>
    <w:rsid w:val="00B04C77"/>
    <w:rsid w:val="00B04C81"/>
    <w:rsid w:val="00B04D09"/>
    <w:rsid w:val="00B04D59"/>
    <w:rsid w:val="00B04D64"/>
    <w:rsid w:val="00B04D91"/>
    <w:rsid w:val="00B04EAB"/>
    <w:rsid w:val="00B04EE1"/>
    <w:rsid w:val="00B04F7A"/>
    <w:rsid w:val="00B04F90"/>
    <w:rsid w:val="00B04FA1"/>
    <w:rsid w:val="00B04FEA"/>
    <w:rsid w:val="00B05031"/>
    <w:rsid w:val="00B05034"/>
    <w:rsid w:val="00B0503A"/>
    <w:rsid w:val="00B050B0"/>
    <w:rsid w:val="00B050BE"/>
    <w:rsid w:val="00B050F0"/>
    <w:rsid w:val="00B05117"/>
    <w:rsid w:val="00B0512E"/>
    <w:rsid w:val="00B0514C"/>
    <w:rsid w:val="00B05172"/>
    <w:rsid w:val="00B0519B"/>
    <w:rsid w:val="00B051A2"/>
    <w:rsid w:val="00B051A3"/>
    <w:rsid w:val="00B051AB"/>
    <w:rsid w:val="00B051AC"/>
    <w:rsid w:val="00B0521A"/>
    <w:rsid w:val="00B05263"/>
    <w:rsid w:val="00B052A4"/>
    <w:rsid w:val="00B052A5"/>
    <w:rsid w:val="00B052CA"/>
    <w:rsid w:val="00B052DD"/>
    <w:rsid w:val="00B052FD"/>
    <w:rsid w:val="00B05311"/>
    <w:rsid w:val="00B0532E"/>
    <w:rsid w:val="00B05340"/>
    <w:rsid w:val="00B05357"/>
    <w:rsid w:val="00B0536A"/>
    <w:rsid w:val="00B0536F"/>
    <w:rsid w:val="00B0538D"/>
    <w:rsid w:val="00B0539F"/>
    <w:rsid w:val="00B05442"/>
    <w:rsid w:val="00B0545E"/>
    <w:rsid w:val="00B0547F"/>
    <w:rsid w:val="00B054B9"/>
    <w:rsid w:val="00B05512"/>
    <w:rsid w:val="00B05514"/>
    <w:rsid w:val="00B0551F"/>
    <w:rsid w:val="00B0553F"/>
    <w:rsid w:val="00B0554A"/>
    <w:rsid w:val="00B05581"/>
    <w:rsid w:val="00B055FE"/>
    <w:rsid w:val="00B05600"/>
    <w:rsid w:val="00B05602"/>
    <w:rsid w:val="00B05621"/>
    <w:rsid w:val="00B05622"/>
    <w:rsid w:val="00B05637"/>
    <w:rsid w:val="00B0564C"/>
    <w:rsid w:val="00B05694"/>
    <w:rsid w:val="00B056AF"/>
    <w:rsid w:val="00B0571F"/>
    <w:rsid w:val="00B05729"/>
    <w:rsid w:val="00B0573A"/>
    <w:rsid w:val="00B05766"/>
    <w:rsid w:val="00B0578C"/>
    <w:rsid w:val="00B05792"/>
    <w:rsid w:val="00B057AD"/>
    <w:rsid w:val="00B057D7"/>
    <w:rsid w:val="00B057E4"/>
    <w:rsid w:val="00B057FC"/>
    <w:rsid w:val="00B0581D"/>
    <w:rsid w:val="00B0581E"/>
    <w:rsid w:val="00B0584D"/>
    <w:rsid w:val="00B05864"/>
    <w:rsid w:val="00B058E3"/>
    <w:rsid w:val="00B0593E"/>
    <w:rsid w:val="00B05945"/>
    <w:rsid w:val="00B05948"/>
    <w:rsid w:val="00B0595C"/>
    <w:rsid w:val="00B05966"/>
    <w:rsid w:val="00B05A00"/>
    <w:rsid w:val="00B05A3E"/>
    <w:rsid w:val="00B05AB2"/>
    <w:rsid w:val="00B05AD0"/>
    <w:rsid w:val="00B05B36"/>
    <w:rsid w:val="00B05B47"/>
    <w:rsid w:val="00B05B4D"/>
    <w:rsid w:val="00B05B54"/>
    <w:rsid w:val="00B05B57"/>
    <w:rsid w:val="00B05B8C"/>
    <w:rsid w:val="00B05BCC"/>
    <w:rsid w:val="00B05C06"/>
    <w:rsid w:val="00B05C41"/>
    <w:rsid w:val="00B05C71"/>
    <w:rsid w:val="00B05C92"/>
    <w:rsid w:val="00B05CA3"/>
    <w:rsid w:val="00B05CA9"/>
    <w:rsid w:val="00B05CCE"/>
    <w:rsid w:val="00B05CE6"/>
    <w:rsid w:val="00B05D24"/>
    <w:rsid w:val="00B05D35"/>
    <w:rsid w:val="00B05D48"/>
    <w:rsid w:val="00B05D55"/>
    <w:rsid w:val="00B05D98"/>
    <w:rsid w:val="00B05DAF"/>
    <w:rsid w:val="00B05E26"/>
    <w:rsid w:val="00B05E3E"/>
    <w:rsid w:val="00B05E73"/>
    <w:rsid w:val="00B05E81"/>
    <w:rsid w:val="00B05F1A"/>
    <w:rsid w:val="00B05F1B"/>
    <w:rsid w:val="00B05F31"/>
    <w:rsid w:val="00B05F7B"/>
    <w:rsid w:val="00B05FA0"/>
    <w:rsid w:val="00B05FC5"/>
    <w:rsid w:val="00B05FE7"/>
    <w:rsid w:val="00B06030"/>
    <w:rsid w:val="00B06054"/>
    <w:rsid w:val="00B0609D"/>
    <w:rsid w:val="00B06175"/>
    <w:rsid w:val="00B06197"/>
    <w:rsid w:val="00B061E4"/>
    <w:rsid w:val="00B06200"/>
    <w:rsid w:val="00B0620A"/>
    <w:rsid w:val="00B06240"/>
    <w:rsid w:val="00B062C9"/>
    <w:rsid w:val="00B062FF"/>
    <w:rsid w:val="00B06315"/>
    <w:rsid w:val="00B06336"/>
    <w:rsid w:val="00B0634A"/>
    <w:rsid w:val="00B06369"/>
    <w:rsid w:val="00B06370"/>
    <w:rsid w:val="00B063E1"/>
    <w:rsid w:val="00B063E7"/>
    <w:rsid w:val="00B06405"/>
    <w:rsid w:val="00B06408"/>
    <w:rsid w:val="00B06423"/>
    <w:rsid w:val="00B06427"/>
    <w:rsid w:val="00B06452"/>
    <w:rsid w:val="00B06502"/>
    <w:rsid w:val="00B0650D"/>
    <w:rsid w:val="00B06521"/>
    <w:rsid w:val="00B065A6"/>
    <w:rsid w:val="00B06657"/>
    <w:rsid w:val="00B06696"/>
    <w:rsid w:val="00B0669E"/>
    <w:rsid w:val="00B066D6"/>
    <w:rsid w:val="00B066F0"/>
    <w:rsid w:val="00B06700"/>
    <w:rsid w:val="00B0671A"/>
    <w:rsid w:val="00B067A6"/>
    <w:rsid w:val="00B06874"/>
    <w:rsid w:val="00B0688A"/>
    <w:rsid w:val="00B0688E"/>
    <w:rsid w:val="00B068C2"/>
    <w:rsid w:val="00B068D0"/>
    <w:rsid w:val="00B06915"/>
    <w:rsid w:val="00B06941"/>
    <w:rsid w:val="00B069CD"/>
    <w:rsid w:val="00B06A22"/>
    <w:rsid w:val="00B06A41"/>
    <w:rsid w:val="00B06A5F"/>
    <w:rsid w:val="00B06AD5"/>
    <w:rsid w:val="00B06ADE"/>
    <w:rsid w:val="00B06AE8"/>
    <w:rsid w:val="00B06AF2"/>
    <w:rsid w:val="00B06B27"/>
    <w:rsid w:val="00B06B4E"/>
    <w:rsid w:val="00B06B6F"/>
    <w:rsid w:val="00B06BAA"/>
    <w:rsid w:val="00B06BB5"/>
    <w:rsid w:val="00B06BB8"/>
    <w:rsid w:val="00B06BBB"/>
    <w:rsid w:val="00B06C17"/>
    <w:rsid w:val="00B06C55"/>
    <w:rsid w:val="00B06C79"/>
    <w:rsid w:val="00B06C8D"/>
    <w:rsid w:val="00B06D3A"/>
    <w:rsid w:val="00B06D5C"/>
    <w:rsid w:val="00B06D6E"/>
    <w:rsid w:val="00B06DD3"/>
    <w:rsid w:val="00B06E43"/>
    <w:rsid w:val="00B06E9A"/>
    <w:rsid w:val="00B06ECF"/>
    <w:rsid w:val="00B06EEB"/>
    <w:rsid w:val="00B06EF2"/>
    <w:rsid w:val="00B06F25"/>
    <w:rsid w:val="00B06FC7"/>
    <w:rsid w:val="00B06FD4"/>
    <w:rsid w:val="00B07011"/>
    <w:rsid w:val="00B07019"/>
    <w:rsid w:val="00B0707C"/>
    <w:rsid w:val="00B0708D"/>
    <w:rsid w:val="00B0710B"/>
    <w:rsid w:val="00B0712F"/>
    <w:rsid w:val="00B0716E"/>
    <w:rsid w:val="00B071FA"/>
    <w:rsid w:val="00B07222"/>
    <w:rsid w:val="00B072A4"/>
    <w:rsid w:val="00B0734A"/>
    <w:rsid w:val="00B0736B"/>
    <w:rsid w:val="00B0739B"/>
    <w:rsid w:val="00B073E8"/>
    <w:rsid w:val="00B0744D"/>
    <w:rsid w:val="00B074E3"/>
    <w:rsid w:val="00B074FF"/>
    <w:rsid w:val="00B0751A"/>
    <w:rsid w:val="00B075BC"/>
    <w:rsid w:val="00B0761B"/>
    <w:rsid w:val="00B07673"/>
    <w:rsid w:val="00B0768C"/>
    <w:rsid w:val="00B07727"/>
    <w:rsid w:val="00B07739"/>
    <w:rsid w:val="00B077E7"/>
    <w:rsid w:val="00B07832"/>
    <w:rsid w:val="00B07861"/>
    <w:rsid w:val="00B0788B"/>
    <w:rsid w:val="00B07893"/>
    <w:rsid w:val="00B078AF"/>
    <w:rsid w:val="00B078CA"/>
    <w:rsid w:val="00B078D4"/>
    <w:rsid w:val="00B079A6"/>
    <w:rsid w:val="00B079B1"/>
    <w:rsid w:val="00B079F5"/>
    <w:rsid w:val="00B07A34"/>
    <w:rsid w:val="00B07A35"/>
    <w:rsid w:val="00B07A45"/>
    <w:rsid w:val="00B07A83"/>
    <w:rsid w:val="00B07ACF"/>
    <w:rsid w:val="00B07ADD"/>
    <w:rsid w:val="00B07AE7"/>
    <w:rsid w:val="00B07AF2"/>
    <w:rsid w:val="00B07B03"/>
    <w:rsid w:val="00B07B1D"/>
    <w:rsid w:val="00B07B2A"/>
    <w:rsid w:val="00B07B4C"/>
    <w:rsid w:val="00B07B6B"/>
    <w:rsid w:val="00B07B99"/>
    <w:rsid w:val="00B07BD4"/>
    <w:rsid w:val="00B07BD5"/>
    <w:rsid w:val="00B07BF3"/>
    <w:rsid w:val="00B07BF7"/>
    <w:rsid w:val="00B07C06"/>
    <w:rsid w:val="00B07C3D"/>
    <w:rsid w:val="00B07C4B"/>
    <w:rsid w:val="00B07C55"/>
    <w:rsid w:val="00B07CDD"/>
    <w:rsid w:val="00B07D1C"/>
    <w:rsid w:val="00B07D24"/>
    <w:rsid w:val="00B07D57"/>
    <w:rsid w:val="00B07DA3"/>
    <w:rsid w:val="00B07DC0"/>
    <w:rsid w:val="00B07E79"/>
    <w:rsid w:val="00B07E7D"/>
    <w:rsid w:val="00B07EBD"/>
    <w:rsid w:val="00B07F0D"/>
    <w:rsid w:val="00B07F25"/>
    <w:rsid w:val="00B07F2A"/>
    <w:rsid w:val="00B07F42"/>
    <w:rsid w:val="00B07F55"/>
    <w:rsid w:val="00B07F7E"/>
    <w:rsid w:val="00B07F9D"/>
    <w:rsid w:val="00B07FAC"/>
    <w:rsid w:val="00B07FB1"/>
    <w:rsid w:val="00B1001D"/>
    <w:rsid w:val="00B1003C"/>
    <w:rsid w:val="00B10041"/>
    <w:rsid w:val="00B10080"/>
    <w:rsid w:val="00B100A0"/>
    <w:rsid w:val="00B100C6"/>
    <w:rsid w:val="00B10114"/>
    <w:rsid w:val="00B10135"/>
    <w:rsid w:val="00B1019A"/>
    <w:rsid w:val="00B101E8"/>
    <w:rsid w:val="00B1021B"/>
    <w:rsid w:val="00B10256"/>
    <w:rsid w:val="00B102C3"/>
    <w:rsid w:val="00B102E1"/>
    <w:rsid w:val="00B102F7"/>
    <w:rsid w:val="00B102FA"/>
    <w:rsid w:val="00B1030F"/>
    <w:rsid w:val="00B10320"/>
    <w:rsid w:val="00B10356"/>
    <w:rsid w:val="00B10399"/>
    <w:rsid w:val="00B103A6"/>
    <w:rsid w:val="00B103CD"/>
    <w:rsid w:val="00B10427"/>
    <w:rsid w:val="00B10447"/>
    <w:rsid w:val="00B1047A"/>
    <w:rsid w:val="00B104A2"/>
    <w:rsid w:val="00B104A8"/>
    <w:rsid w:val="00B104D1"/>
    <w:rsid w:val="00B1051F"/>
    <w:rsid w:val="00B10525"/>
    <w:rsid w:val="00B1052C"/>
    <w:rsid w:val="00B10596"/>
    <w:rsid w:val="00B105A6"/>
    <w:rsid w:val="00B1063C"/>
    <w:rsid w:val="00B1064E"/>
    <w:rsid w:val="00B1069B"/>
    <w:rsid w:val="00B106F2"/>
    <w:rsid w:val="00B10723"/>
    <w:rsid w:val="00B1075A"/>
    <w:rsid w:val="00B10853"/>
    <w:rsid w:val="00B108D3"/>
    <w:rsid w:val="00B108D7"/>
    <w:rsid w:val="00B10924"/>
    <w:rsid w:val="00B1097C"/>
    <w:rsid w:val="00B1098B"/>
    <w:rsid w:val="00B1099F"/>
    <w:rsid w:val="00B109CE"/>
    <w:rsid w:val="00B109D1"/>
    <w:rsid w:val="00B109D2"/>
    <w:rsid w:val="00B109F5"/>
    <w:rsid w:val="00B10A18"/>
    <w:rsid w:val="00B10A32"/>
    <w:rsid w:val="00B10A7F"/>
    <w:rsid w:val="00B10ABC"/>
    <w:rsid w:val="00B10AE3"/>
    <w:rsid w:val="00B10AFB"/>
    <w:rsid w:val="00B10B35"/>
    <w:rsid w:val="00B10B37"/>
    <w:rsid w:val="00B10B7A"/>
    <w:rsid w:val="00B10B81"/>
    <w:rsid w:val="00B10B9E"/>
    <w:rsid w:val="00B10BBF"/>
    <w:rsid w:val="00B10BCE"/>
    <w:rsid w:val="00B10BD9"/>
    <w:rsid w:val="00B10BEE"/>
    <w:rsid w:val="00B10C66"/>
    <w:rsid w:val="00B10C99"/>
    <w:rsid w:val="00B10CA7"/>
    <w:rsid w:val="00B10D0B"/>
    <w:rsid w:val="00B10D14"/>
    <w:rsid w:val="00B10D1F"/>
    <w:rsid w:val="00B10D21"/>
    <w:rsid w:val="00B10D22"/>
    <w:rsid w:val="00B10D2D"/>
    <w:rsid w:val="00B10D36"/>
    <w:rsid w:val="00B10D42"/>
    <w:rsid w:val="00B10DC5"/>
    <w:rsid w:val="00B10DE8"/>
    <w:rsid w:val="00B10E30"/>
    <w:rsid w:val="00B10EA3"/>
    <w:rsid w:val="00B10F18"/>
    <w:rsid w:val="00B10F58"/>
    <w:rsid w:val="00B10F63"/>
    <w:rsid w:val="00B10F6A"/>
    <w:rsid w:val="00B10FB7"/>
    <w:rsid w:val="00B11017"/>
    <w:rsid w:val="00B11023"/>
    <w:rsid w:val="00B11071"/>
    <w:rsid w:val="00B1109B"/>
    <w:rsid w:val="00B110D4"/>
    <w:rsid w:val="00B11135"/>
    <w:rsid w:val="00B1117C"/>
    <w:rsid w:val="00B1118C"/>
    <w:rsid w:val="00B111A9"/>
    <w:rsid w:val="00B111C1"/>
    <w:rsid w:val="00B11213"/>
    <w:rsid w:val="00B1128D"/>
    <w:rsid w:val="00B11296"/>
    <w:rsid w:val="00B112A3"/>
    <w:rsid w:val="00B112BE"/>
    <w:rsid w:val="00B11325"/>
    <w:rsid w:val="00B11341"/>
    <w:rsid w:val="00B113DD"/>
    <w:rsid w:val="00B113F3"/>
    <w:rsid w:val="00B11427"/>
    <w:rsid w:val="00B11470"/>
    <w:rsid w:val="00B114C2"/>
    <w:rsid w:val="00B114DB"/>
    <w:rsid w:val="00B114E9"/>
    <w:rsid w:val="00B11552"/>
    <w:rsid w:val="00B1155A"/>
    <w:rsid w:val="00B1155C"/>
    <w:rsid w:val="00B115A1"/>
    <w:rsid w:val="00B11603"/>
    <w:rsid w:val="00B11657"/>
    <w:rsid w:val="00B11672"/>
    <w:rsid w:val="00B1167E"/>
    <w:rsid w:val="00B116E3"/>
    <w:rsid w:val="00B11704"/>
    <w:rsid w:val="00B1171E"/>
    <w:rsid w:val="00B11763"/>
    <w:rsid w:val="00B11783"/>
    <w:rsid w:val="00B11799"/>
    <w:rsid w:val="00B117A4"/>
    <w:rsid w:val="00B117BA"/>
    <w:rsid w:val="00B11826"/>
    <w:rsid w:val="00B118E8"/>
    <w:rsid w:val="00B11900"/>
    <w:rsid w:val="00B11901"/>
    <w:rsid w:val="00B1190D"/>
    <w:rsid w:val="00B1195F"/>
    <w:rsid w:val="00B11979"/>
    <w:rsid w:val="00B119B1"/>
    <w:rsid w:val="00B11A13"/>
    <w:rsid w:val="00B11A43"/>
    <w:rsid w:val="00B11A4D"/>
    <w:rsid w:val="00B11AAC"/>
    <w:rsid w:val="00B11AE5"/>
    <w:rsid w:val="00B11AF2"/>
    <w:rsid w:val="00B11B33"/>
    <w:rsid w:val="00B11B99"/>
    <w:rsid w:val="00B11BA7"/>
    <w:rsid w:val="00B11BBE"/>
    <w:rsid w:val="00B11BFA"/>
    <w:rsid w:val="00B11C26"/>
    <w:rsid w:val="00B11C34"/>
    <w:rsid w:val="00B11C43"/>
    <w:rsid w:val="00B11C62"/>
    <w:rsid w:val="00B11C67"/>
    <w:rsid w:val="00B11C6D"/>
    <w:rsid w:val="00B11C8B"/>
    <w:rsid w:val="00B11C96"/>
    <w:rsid w:val="00B11C97"/>
    <w:rsid w:val="00B11C9A"/>
    <w:rsid w:val="00B11CB4"/>
    <w:rsid w:val="00B11CC8"/>
    <w:rsid w:val="00B11CEF"/>
    <w:rsid w:val="00B11CFA"/>
    <w:rsid w:val="00B11D0B"/>
    <w:rsid w:val="00B11D19"/>
    <w:rsid w:val="00B11D58"/>
    <w:rsid w:val="00B11D89"/>
    <w:rsid w:val="00B11DA2"/>
    <w:rsid w:val="00B11E41"/>
    <w:rsid w:val="00B11E5E"/>
    <w:rsid w:val="00B11E8A"/>
    <w:rsid w:val="00B11E96"/>
    <w:rsid w:val="00B11E9E"/>
    <w:rsid w:val="00B11EAA"/>
    <w:rsid w:val="00B11EE0"/>
    <w:rsid w:val="00B11F03"/>
    <w:rsid w:val="00B12008"/>
    <w:rsid w:val="00B1200F"/>
    <w:rsid w:val="00B120D3"/>
    <w:rsid w:val="00B12106"/>
    <w:rsid w:val="00B12108"/>
    <w:rsid w:val="00B12161"/>
    <w:rsid w:val="00B1218A"/>
    <w:rsid w:val="00B12259"/>
    <w:rsid w:val="00B12323"/>
    <w:rsid w:val="00B12367"/>
    <w:rsid w:val="00B12437"/>
    <w:rsid w:val="00B124E6"/>
    <w:rsid w:val="00B125B3"/>
    <w:rsid w:val="00B125C2"/>
    <w:rsid w:val="00B12600"/>
    <w:rsid w:val="00B12618"/>
    <w:rsid w:val="00B12653"/>
    <w:rsid w:val="00B12669"/>
    <w:rsid w:val="00B126AE"/>
    <w:rsid w:val="00B126BC"/>
    <w:rsid w:val="00B126F7"/>
    <w:rsid w:val="00B127C6"/>
    <w:rsid w:val="00B127E7"/>
    <w:rsid w:val="00B12806"/>
    <w:rsid w:val="00B12834"/>
    <w:rsid w:val="00B12839"/>
    <w:rsid w:val="00B12868"/>
    <w:rsid w:val="00B12874"/>
    <w:rsid w:val="00B1287C"/>
    <w:rsid w:val="00B1289E"/>
    <w:rsid w:val="00B128B9"/>
    <w:rsid w:val="00B1292B"/>
    <w:rsid w:val="00B12942"/>
    <w:rsid w:val="00B129BF"/>
    <w:rsid w:val="00B129F0"/>
    <w:rsid w:val="00B12A2D"/>
    <w:rsid w:val="00B12A3C"/>
    <w:rsid w:val="00B12A5C"/>
    <w:rsid w:val="00B12AB0"/>
    <w:rsid w:val="00B12B15"/>
    <w:rsid w:val="00B12B32"/>
    <w:rsid w:val="00B12B44"/>
    <w:rsid w:val="00B12B47"/>
    <w:rsid w:val="00B12B8F"/>
    <w:rsid w:val="00B12B98"/>
    <w:rsid w:val="00B12BBF"/>
    <w:rsid w:val="00B12BDB"/>
    <w:rsid w:val="00B12BF7"/>
    <w:rsid w:val="00B12C02"/>
    <w:rsid w:val="00B12C4C"/>
    <w:rsid w:val="00B12C95"/>
    <w:rsid w:val="00B12CEB"/>
    <w:rsid w:val="00B12CFF"/>
    <w:rsid w:val="00B12D38"/>
    <w:rsid w:val="00B12D40"/>
    <w:rsid w:val="00B12D6C"/>
    <w:rsid w:val="00B12DF0"/>
    <w:rsid w:val="00B12E03"/>
    <w:rsid w:val="00B12E44"/>
    <w:rsid w:val="00B12EBF"/>
    <w:rsid w:val="00B12ECD"/>
    <w:rsid w:val="00B12EF6"/>
    <w:rsid w:val="00B12EFD"/>
    <w:rsid w:val="00B12F0F"/>
    <w:rsid w:val="00B12F6E"/>
    <w:rsid w:val="00B12FA3"/>
    <w:rsid w:val="00B12FA8"/>
    <w:rsid w:val="00B1306B"/>
    <w:rsid w:val="00B1319B"/>
    <w:rsid w:val="00B131A2"/>
    <w:rsid w:val="00B131A3"/>
    <w:rsid w:val="00B131DC"/>
    <w:rsid w:val="00B131F2"/>
    <w:rsid w:val="00B1327F"/>
    <w:rsid w:val="00B132CE"/>
    <w:rsid w:val="00B132D1"/>
    <w:rsid w:val="00B132F4"/>
    <w:rsid w:val="00B13300"/>
    <w:rsid w:val="00B1330C"/>
    <w:rsid w:val="00B1330D"/>
    <w:rsid w:val="00B13311"/>
    <w:rsid w:val="00B13327"/>
    <w:rsid w:val="00B133B6"/>
    <w:rsid w:val="00B133B9"/>
    <w:rsid w:val="00B133E3"/>
    <w:rsid w:val="00B133F3"/>
    <w:rsid w:val="00B1343D"/>
    <w:rsid w:val="00B1345F"/>
    <w:rsid w:val="00B13483"/>
    <w:rsid w:val="00B13497"/>
    <w:rsid w:val="00B134A5"/>
    <w:rsid w:val="00B134CA"/>
    <w:rsid w:val="00B134D5"/>
    <w:rsid w:val="00B134E4"/>
    <w:rsid w:val="00B134E8"/>
    <w:rsid w:val="00B13501"/>
    <w:rsid w:val="00B13591"/>
    <w:rsid w:val="00B135E5"/>
    <w:rsid w:val="00B135F5"/>
    <w:rsid w:val="00B13613"/>
    <w:rsid w:val="00B1363C"/>
    <w:rsid w:val="00B13654"/>
    <w:rsid w:val="00B13688"/>
    <w:rsid w:val="00B136DC"/>
    <w:rsid w:val="00B136EE"/>
    <w:rsid w:val="00B1374E"/>
    <w:rsid w:val="00B13760"/>
    <w:rsid w:val="00B13797"/>
    <w:rsid w:val="00B13818"/>
    <w:rsid w:val="00B13822"/>
    <w:rsid w:val="00B13846"/>
    <w:rsid w:val="00B13849"/>
    <w:rsid w:val="00B13871"/>
    <w:rsid w:val="00B138B0"/>
    <w:rsid w:val="00B138C2"/>
    <w:rsid w:val="00B138CB"/>
    <w:rsid w:val="00B138D8"/>
    <w:rsid w:val="00B13944"/>
    <w:rsid w:val="00B1396F"/>
    <w:rsid w:val="00B13992"/>
    <w:rsid w:val="00B139CA"/>
    <w:rsid w:val="00B139D0"/>
    <w:rsid w:val="00B13A28"/>
    <w:rsid w:val="00B13A66"/>
    <w:rsid w:val="00B13A73"/>
    <w:rsid w:val="00B13AE1"/>
    <w:rsid w:val="00B13B68"/>
    <w:rsid w:val="00B13BA9"/>
    <w:rsid w:val="00B13C08"/>
    <w:rsid w:val="00B13C26"/>
    <w:rsid w:val="00B13C3D"/>
    <w:rsid w:val="00B13C98"/>
    <w:rsid w:val="00B13D32"/>
    <w:rsid w:val="00B13D35"/>
    <w:rsid w:val="00B13DC9"/>
    <w:rsid w:val="00B13E09"/>
    <w:rsid w:val="00B13E19"/>
    <w:rsid w:val="00B13E83"/>
    <w:rsid w:val="00B13E91"/>
    <w:rsid w:val="00B13EA0"/>
    <w:rsid w:val="00B13EC3"/>
    <w:rsid w:val="00B13EF0"/>
    <w:rsid w:val="00B13F2A"/>
    <w:rsid w:val="00B13F36"/>
    <w:rsid w:val="00B13FCA"/>
    <w:rsid w:val="00B14036"/>
    <w:rsid w:val="00B14045"/>
    <w:rsid w:val="00B140E8"/>
    <w:rsid w:val="00B141AB"/>
    <w:rsid w:val="00B1420A"/>
    <w:rsid w:val="00B14218"/>
    <w:rsid w:val="00B14259"/>
    <w:rsid w:val="00B14264"/>
    <w:rsid w:val="00B142B1"/>
    <w:rsid w:val="00B14321"/>
    <w:rsid w:val="00B14364"/>
    <w:rsid w:val="00B14382"/>
    <w:rsid w:val="00B143C7"/>
    <w:rsid w:val="00B143E2"/>
    <w:rsid w:val="00B14426"/>
    <w:rsid w:val="00B1444E"/>
    <w:rsid w:val="00B144B8"/>
    <w:rsid w:val="00B144C2"/>
    <w:rsid w:val="00B14524"/>
    <w:rsid w:val="00B14529"/>
    <w:rsid w:val="00B1454C"/>
    <w:rsid w:val="00B14561"/>
    <w:rsid w:val="00B1459C"/>
    <w:rsid w:val="00B145F2"/>
    <w:rsid w:val="00B145FC"/>
    <w:rsid w:val="00B14603"/>
    <w:rsid w:val="00B14664"/>
    <w:rsid w:val="00B14686"/>
    <w:rsid w:val="00B146AC"/>
    <w:rsid w:val="00B146C7"/>
    <w:rsid w:val="00B1471B"/>
    <w:rsid w:val="00B14738"/>
    <w:rsid w:val="00B14761"/>
    <w:rsid w:val="00B14791"/>
    <w:rsid w:val="00B14898"/>
    <w:rsid w:val="00B1489C"/>
    <w:rsid w:val="00B148A6"/>
    <w:rsid w:val="00B14908"/>
    <w:rsid w:val="00B14934"/>
    <w:rsid w:val="00B14971"/>
    <w:rsid w:val="00B14975"/>
    <w:rsid w:val="00B14994"/>
    <w:rsid w:val="00B149C0"/>
    <w:rsid w:val="00B14A3B"/>
    <w:rsid w:val="00B14A5F"/>
    <w:rsid w:val="00B14B26"/>
    <w:rsid w:val="00B14B5A"/>
    <w:rsid w:val="00B14B6B"/>
    <w:rsid w:val="00B14BEF"/>
    <w:rsid w:val="00B14C9A"/>
    <w:rsid w:val="00B14CBA"/>
    <w:rsid w:val="00B14D45"/>
    <w:rsid w:val="00B14D5C"/>
    <w:rsid w:val="00B14D8E"/>
    <w:rsid w:val="00B14DA1"/>
    <w:rsid w:val="00B14DAF"/>
    <w:rsid w:val="00B14E11"/>
    <w:rsid w:val="00B14E13"/>
    <w:rsid w:val="00B14E7A"/>
    <w:rsid w:val="00B14E8C"/>
    <w:rsid w:val="00B14E8F"/>
    <w:rsid w:val="00B14E9F"/>
    <w:rsid w:val="00B14EDC"/>
    <w:rsid w:val="00B14F56"/>
    <w:rsid w:val="00B14F5B"/>
    <w:rsid w:val="00B14F85"/>
    <w:rsid w:val="00B14FC8"/>
    <w:rsid w:val="00B14FD7"/>
    <w:rsid w:val="00B15053"/>
    <w:rsid w:val="00B15181"/>
    <w:rsid w:val="00B15261"/>
    <w:rsid w:val="00B15296"/>
    <w:rsid w:val="00B152A0"/>
    <w:rsid w:val="00B1534A"/>
    <w:rsid w:val="00B15364"/>
    <w:rsid w:val="00B15379"/>
    <w:rsid w:val="00B153DE"/>
    <w:rsid w:val="00B153F1"/>
    <w:rsid w:val="00B153FB"/>
    <w:rsid w:val="00B15428"/>
    <w:rsid w:val="00B15482"/>
    <w:rsid w:val="00B15489"/>
    <w:rsid w:val="00B1548A"/>
    <w:rsid w:val="00B1555D"/>
    <w:rsid w:val="00B15561"/>
    <w:rsid w:val="00B155E2"/>
    <w:rsid w:val="00B155EF"/>
    <w:rsid w:val="00B15612"/>
    <w:rsid w:val="00B15614"/>
    <w:rsid w:val="00B15649"/>
    <w:rsid w:val="00B15682"/>
    <w:rsid w:val="00B15713"/>
    <w:rsid w:val="00B1572E"/>
    <w:rsid w:val="00B15752"/>
    <w:rsid w:val="00B157A2"/>
    <w:rsid w:val="00B157FB"/>
    <w:rsid w:val="00B15816"/>
    <w:rsid w:val="00B1590C"/>
    <w:rsid w:val="00B15934"/>
    <w:rsid w:val="00B1593D"/>
    <w:rsid w:val="00B15989"/>
    <w:rsid w:val="00B159B9"/>
    <w:rsid w:val="00B159C2"/>
    <w:rsid w:val="00B159EF"/>
    <w:rsid w:val="00B15A82"/>
    <w:rsid w:val="00B15A8B"/>
    <w:rsid w:val="00B15A96"/>
    <w:rsid w:val="00B15AA9"/>
    <w:rsid w:val="00B15AC8"/>
    <w:rsid w:val="00B15AD4"/>
    <w:rsid w:val="00B15B66"/>
    <w:rsid w:val="00B15BD8"/>
    <w:rsid w:val="00B15C41"/>
    <w:rsid w:val="00B15C8A"/>
    <w:rsid w:val="00B15D0B"/>
    <w:rsid w:val="00B15D24"/>
    <w:rsid w:val="00B15D2C"/>
    <w:rsid w:val="00B15D5C"/>
    <w:rsid w:val="00B15D85"/>
    <w:rsid w:val="00B15DCC"/>
    <w:rsid w:val="00B15E01"/>
    <w:rsid w:val="00B15E10"/>
    <w:rsid w:val="00B15E48"/>
    <w:rsid w:val="00B15EDA"/>
    <w:rsid w:val="00B15F88"/>
    <w:rsid w:val="00B15FEA"/>
    <w:rsid w:val="00B15FFD"/>
    <w:rsid w:val="00B16005"/>
    <w:rsid w:val="00B16024"/>
    <w:rsid w:val="00B160C0"/>
    <w:rsid w:val="00B160EB"/>
    <w:rsid w:val="00B1613A"/>
    <w:rsid w:val="00B16166"/>
    <w:rsid w:val="00B16194"/>
    <w:rsid w:val="00B161EB"/>
    <w:rsid w:val="00B161EC"/>
    <w:rsid w:val="00B16204"/>
    <w:rsid w:val="00B1620C"/>
    <w:rsid w:val="00B1621F"/>
    <w:rsid w:val="00B1625F"/>
    <w:rsid w:val="00B162FF"/>
    <w:rsid w:val="00B16344"/>
    <w:rsid w:val="00B1644A"/>
    <w:rsid w:val="00B16463"/>
    <w:rsid w:val="00B16467"/>
    <w:rsid w:val="00B16495"/>
    <w:rsid w:val="00B164AA"/>
    <w:rsid w:val="00B164BD"/>
    <w:rsid w:val="00B164D0"/>
    <w:rsid w:val="00B16555"/>
    <w:rsid w:val="00B165BF"/>
    <w:rsid w:val="00B165F1"/>
    <w:rsid w:val="00B165F9"/>
    <w:rsid w:val="00B16622"/>
    <w:rsid w:val="00B1667B"/>
    <w:rsid w:val="00B1667E"/>
    <w:rsid w:val="00B1668A"/>
    <w:rsid w:val="00B16709"/>
    <w:rsid w:val="00B16751"/>
    <w:rsid w:val="00B16778"/>
    <w:rsid w:val="00B16779"/>
    <w:rsid w:val="00B167F1"/>
    <w:rsid w:val="00B16833"/>
    <w:rsid w:val="00B1688C"/>
    <w:rsid w:val="00B16892"/>
    <w:rsid w:val="00B16903"/>
    <w:rsid w:val="00B16914"/>
    <w:rsid w:val="00B16989"/>
    <w:rsid w:val="00B169D8"/>
    <w:rsid w:val="00B169FC"/>
    <w:rsid w:val="00B16A21"/>
    <w:rsid w:val="00B16A53"/>
    <w:rsid w:val="00B16A55"/>
    <w:rsid w:val="00B16B1A"/>
    <w:rsid w:val="00B16B37"/>
    <w:rsid w:val="00B16BC1"/>
    <w:rsid w:val="00B16BDD"/>
    <w:rsid w:val="00B16C59"/>
    <w:rsid w:val="00B16C9E"/>
    <w:rsid w:val="00B16CE0"/>
    <w:rsid w:val="00B16E63"/>
    <w:rsid w:val="00B16F0F"/>
    <w:rsid w:val="00B16F29"/>
    <w:rsid w:val="00B16F74"/>
    <w:rsid w:val="00B16F7B"/>
    <w:rsid w:val="00B16FD7"/>
    <w:rsid w:val="00B1700D"/>
    <w:rsid w:val="00B17017"/>
    <w:rsid w:val="00B17052"/>
    <w:rsid w:val="00B17063"/>
    <w:rsid w:val="00B17064"/>
    <w:rsid w:val="00B17082"/>
    <w:rsid w:val="00B170C9"/>
    <w:rsid w:val="00B17111"/>
    <w:rsid w:val="00B17168"/>
    <w:rsid w:val="00B171A6"/>
    <w:rsid w:val="00B17240"/>
    <w:rsid w:val="00B17289"/>
    <w:rsid w:val="00B172B1"/>
    <w:rsid w:val="00B172B8"/>
    <w:rsid w:val="00B172F8"/>
    <w:rsid w:val="00B173A7"/>
    <w:rsid w:val="00B173F8"/>
    <w:rsid w:val="00B1740D"/>
    <w:rsid w:val="00B1741F"/>
    <w:rsid w:val="00B17463"/>
    <w:rsid w:val="00B174A8"/>
    <w:rsid w:val="00B174E6"/>
    <w:rsid w:val="00B17528"/>
    <w:rsid w:val="00B17548"/>
    <w:rsid w:val="00B1754F"/>
    <w:rsid w:val="00B17576"/>
    <w:rsid w:val="00B175B4"/>
    <w:rsid w:val="00B175CB"/>
    <w:rsid w:val="00B17623"/>
    <w:rsid w:val="00B17650"/>
    <w:rsid w:val="00B17664"/>
    <w:rsid w:val="00B17672"/>
    <w:rsid w:val="00B176B8"/>
    <w:rsid w:val="00B17723"/>
    <w:rsid w:val="00B17737"/>
    <w:rsid w:val="00B17788"/>
    <w:rsid w:val="00B177BD"/>
    <w:rsid w:val="00B177CD"/>
    <w:rsid w:val="00B177E9"/>
    <w:rsid w:val="00B177FA"/>
    <w:rsid w:val="00B17805"/>
    <w:rsid w:val="00B17809"/>
    <w:rsid w:val="00B1781E"/>
    <w:rsid w:val="00B178D4"/>
    <w:rsid w:val="00B1790E"/>
    <w:rsid w:val="00B17925"/>
    <w:rsid w:val="00B17928"/>
    <w:rsid w:val="00B1794F"/>
    <w:rsid w:val="00B17954"/>
    <w:rsid w:val="00B179E8"/>
    <w:rsid w:val="00B17A01"/>
    <w:rsid w:val="00B17A41"/>
    <w:rsid w:val="00B17A8D"/>
    <w:rsid w:val="00B17B08"/>
    <w:rsid w:val="00B17B31"/>
    <w:rsid w:val="00B17B35"/>
    <w:rsid w:val="00B17B3F"/>
    <w:rsid w:val="00B17C1A"/>
    <w:rsid w:val="00B17C1D"/>
    <w:rsid w:val="00B17C2A"/>
    <w:rsid w:val="00B17C44"/>
    <w:rsid w:val="00B17C5A"/>
    <w:rsid w:val="00B17C72"/>
    <w:rsid w:val="00B17CC6"/>
    <w:rsid w:val="00B17CEB"/>
    <w:rsid w:val="00B17CF4"/>
    <w:rsid w:val="00B17D05"/>
    <w:rsid w:val="00B17D60"/>
    <w:rsid w:val="00B17D6B"/>
    <w:rsid w:val="00B17D9B"/>
    <w:rsid w:val="00B17E19"/>
    <w:rsid w:val="00B17E2F"/>
    <w:rsid w:val="00B17E57"/>
    <w:rsid w:val="00B17EAE"/>
    <w:rsid w:val="00B17EEE"/>
    <w:rsid w:val="00B17F84"/>
    <w:rsid w:val="00B17F89"/>
    <w:rsid w:val="00B17F96"/>
    <w:rsid w:val="00B17FC1"/>
    <w:rsid w:val="00B17FDA"/>
    <w:rsid w:val="00B17FEF"/>
    <w:rsid w:val="00B2000E"/>
    <w:rsid w:val="00B2001F"/>
    <w:rsid w:val="00B200AB"/>
    <w:rsid w:val="00B2010A"/>
    <w:rsid w:val="00B2014D"/>
    <w:rsid w:val="00B20158"/>
    <w:rsid w:val="00B2015D"/>
    <w:rsid w:val="00B201B2"/>
    <w:rsid w:val="00B2021D"/>
    <w:rsid w:val="00B2026F"/>
    <w:rsid w:val="00B2027A"/>
    <w:rsid w:val="00B20291"/>
    <w:rsid w:val="00B202F6"/>
    <w:rsid w:val="00B2039F"/>
    <w:rsid w:val="00B203AA"/>
    <w:rsid w:val="00B203C4"/>
    <w:rsid w:val="00B203CE"/>
    <w:rsid w:val="00B203DF"/>
    <w:rsid w:val="00B203E1"/>
    <w:rsid w:val="00B203E6"/>
    <w:rsid w:val="00B20420"/>
    <w:rsid w:val="00B2043F"/>
    <w:rsid w:val="00B204DF"/>
    <w:rsid w:val="00B2051D"/>
    <w:rsid w:val="00B2053B"/>
    <w:rsid w:val="00B2057A"/>
    <w:rsid w:val="00B20589"/>
    <w:rsid w:val="00B2058B"/>
    <w:rsid w:val="00B205CE"/>
    <w:rsid w:val="00B205E7"/>
    <w:rsid w:val="00B20617"/>
    <w:rsid w:val="00B20664"/>
    <w:rsid w:val="00B2066B"/>
    <w:rsid w:val="00B20696"/>
    <w:rsid w:val="00B206BD"/>
    <w:rsid w:val="00B20741"/>
    <w:rsid w:val="00B2078D"/>
    <w:rsid w:val="00B20882"/>
    <w:rsid w:val="00B2089E"/>
    <w:rsid w:val="00B208D9"/>
    <w:rsid w:val="00B20985"/>
    <w:rsid w:val="00B20A0C"/>
    <w:rsid w:val="00B20A1A"/>
    <w:rsid w:val="00B20A2E"/>
    <w:rsid w:val="00B20A30"/>
    <w:rsid w:val="00B20A40"/>
    <w:rsid w:val="00B20ABE"/>
    <w:rsid w:val="00B20AE5"/>
    <w:rsid w:val="00B20AFD"/>
    <w:rsid w:val="00B20B09"/>
    <w:rsid w:val="00B20B0F"/>
    <w:rsid w:val="00B20B2C"/>
    <w:rsid w:val="00B20BAE"/>
    <w:rsid w:val="00B20BBA"/>
    <w:rsid w:val="00B20BD9"/>
    <w:rsid w:val="00B20BE5"/>
    <w:rsid w:val="00B20BFC"/>
    <w:rsid w:val="00B20BFF"/>
    <w:rsid w:val="00B20C1C"/>
    <w:rsid w:val="00B20C7F"/>
    <w:rsid w:val="00B20C94"/>
    <w:rsid w:val="00B20C9E"/>
    <w:rsid w:val="00B20C9F"/>
    <w:rsid w:val="00B20DCA"/>
    <w:rsid w:val="00B20EB5"/>
    <w:rsid w:val="00B20EC5"/>
    <w:rsid w:val="00B20ED8"/>
    <w:rsid w:val="00B20EDE"/>
    <w:rsid w:val="00B20EDF"/>
    <w:rsid w:val="00B20F06"/>
    <w:rsid w:val="00B20F20"/>
    <w:rsid w:val="00B20F24"/>
    <w:rsid w:val="00B20F26"/>
    <w:rsid w:val="00B20F29"/>
    <w:rsid w:val="00B21190"/>
    <w:rsid w:val="00B211C2"/>
    <w:rsid w:val="00B211DA"/>
    <w:rsid w:val="00B21242"/>
    <w:rsid w:val="00B21262"/>
    <w:rsid w:val="00B2126E"/>
    <w:rsid w:val="00B21291"/>
    <w:rsid w:val="00B212FF"/>
    <w:rsid w:val="00B2131D"/>
    <w:rsid w:val="00B2137C"/>
    <w:rsid w:val="00B213A5"/>
    <w:rsid w:val="00B213C8"/>
    <w:rsid w:val="00B21421"/>
    <w:rsid w:val="00B2144B"/>
    <w:rsid w:val="00B21477"/>
    <w:rsid w:val="00B214DD"/>
    <w:rsid w:val="00B2150B"/>
    <w:rsid w:val="00B2152F"/>
    <w:rsid w:val="00B2153C"/>
    <w:rsid w:val="00B21582"/>
    <w:rsid w:val="00B2159E"/>
    <w:rsid w:val="00B215D4"/>
    <w:rsid w:val="00B215F8"/>
    <w:rsid w:val="00B21617"/>
    <w:rsid w:val="00B21634"/>
    <w:rsid w:val="00B21656"/>
    <w:rsid w:val="00B21666"/>
    <w:rsid w:val="00B2167A"/>
    <w:rsid w:val="00B21739"/>
    <w:rsid w:val="00B21771"/>
    <w:rsid w:val="00B21773"/>
    <w:rsid w:val="00B21793"/>
    <w:rsid w:val="00B2179C"/>
    <w:rsid w:val="00B217A9"/>
    <w:rsid w:val="00B217DA"/>
    <w:rsid w:val="00B21805"/>
    <w:rsid w:val="00B2184F"/>
    <w:rsid w:val="00B218AA"/>
    <w:rsid w:val="00B2190D"/>
    <w:rsid w:val="00B2191E"/>
    <w:rsid w:val="00B21A1F"/>
    <w:rsid w:val="00B21A4C"/>
    <w:rsid w:val="00B21A9D"/>
    <w:rsid w:val="00B21AAE"/>
    <w:rsid w:val="00B21AB4"/>
    <w:rsid w:val="00B21AC1"/>
    <w:rsid w:val="00B21AE6"/>
    <w:rsid w:val="00B21BDF"/>
    <w:rsid w:val="00B21BED"/>
    <w:rsid w:val="00B21C0E"/>
    <w:rsid w:val="00B21C30"/>
    <w:rsid w:val="00B21C5E"/>
    <w:rsid w:val="00B21C5F"/>
    <w:rsid w:val="00B21CC4"/>
    <w:rsid w:val="00B21CC7"/>
    <w:rsid w:val="00B21CD6"/>
    <w:rsid w:val="00B21D5B"/>
    <w:rsid w:val="00B21D84"/>
    <w:rsid w:val="00B21DE5"/>
    <w:rsid w:val="00B21EA0"/>
    <w:rsid w:val="00B21EBA"/>
    <w:rsid w:val="00B21EE0"/>
    <w:rsid w:val="00B21F2F"/>
    <w:rsid w:val="00B21F44"/>
    <w:rsid w:val="00B21F4C"/>
    <w:rsid w:val="00B21F62"/>
    <w:rsid w:val="00B21F7C"/>
    <w:rsid w:val="00B21FC5"/>
    <w:rsid w:val="00B21FDD"/>
    <w:rsid w:val="00B22060"/>
    <w:rsid w:val="00B22089"/>
    <w:rsid w:val="00B220A6"/>
    <w:rsid w:val="00B22130"/>
    <w:rsid w:val="00B22139"/>
    <w:rsid w:val="00B22166"/>
    <w:rsid w:val="00B22180"/>
    <w:rsid w:val="00B221AF"/>
    <w:rsid w:val="00B22253"/>
    <w:rsid w:val="00B22254"/>
    <w:rsid w:val="00B22259"/>
    <w:rsid w:val="00B2226C"/>
    <w:rsid w:val="00B2233A"/>
    <w:rsid w:val="00B2237F"/>
    <w:rsid w:val="00B223C6"/>
    <w:rsid w:val="00B22553"/>
    <w:rsid w:val="00B22562"/>
    <w:rsid w:val="00B225D2"/>
    <w:rsid w:val="00B225D9"/>
    <w:rsid w:val="00B225DD"/>
    <w:rsid w:val="00B2271D"/>
    <w:rsid w:val="00B22739"/>
    <w:rsid w:val="00B22743"/>
    <w:rsid w:val="00B22775"/>
    <w:rsid w:val="00B227A6"/>
    <w:rsid w:val="00B227B8"/>
    <w:rsid w:val="00B2283B"/>
    <w:rsid w:val="00B22866"/>
    <w:rsid w:val="00B2288C"/>
    <w:rsid w:val="00B228C1"/>
    <w:rsid w:val="00B228E8"/>
    <w:rsid w:val="00B228EC"/>
    <w:rsid w:val="00B22938"/>
    <w:rsid w:val="00B229A0"/>
    <w:rsid w:val="00B229B2"/>
    <w:rsid w:val="00B229D2"/>
    <w:rsid w:val="00B229F5"/>
    <w:rsid w:val="00B22A09"/>
    <w:rsid w:val="00B22A21"/>
    <w:rsid w:val="00B22A36"/>
    <w:rsid w:val="00B22A94"/>
    <w:rsid w:val="00B22ABA"/>
    <w:rsid w:val="00B22AC1"/>
    <w:rsid w:val="00B22AC4"/>
    <w:rsid w:val="00B22AE5"/>
    <w:rsid w:val="00B22B26"/>
    <w:rsid w:val="00B22B3C"/>
    <w:rsid w:val="00B22B97"/>
    <w:rsid w:val="00B22BC5"/>
    <w:rsid w:val="00B22BC6"/>
    <w:rsid w:val="00B22C02"/>
    <w:rsid w:val="00B22C06"/>
    <w:rsid w:val="00B22C43"/>
    <w:rsid w:val="00B22C55"/>
    <w:rsid w:val="00B22CCB"/>
    <w:rsid w:val="00B22CEC"/>
    <w:rsid w:val="00B22D13"/>
    <w:rsid w:val="00B22D50"/>
    <w:rsid w:val="00B22D61"/>
    <w:rsid w:val="00B22DD4"/>
    <w:rsid w:val="00B22E9D"/>
    <w:rsid w:val="00B22EE6"/>
    <w:rsid w:val="00B22EF9"/>
    <w:rsid w:val="00B22F28"/>
    <w:rsid w:val="00B22F42"/>
    <w:rsid w:val="00B22FA2"/>
    <w:rsid w:val="00B23045"/>
    <w:rsid w:val="00B23070"/>
    <w:rsid w:val="00B230A4"/>
    <w:rsid w:val="00B230A7"/>
    <w:rsid w:val="00B23130"/>
    <w:rsid w:val="00B2315A"/>
    <w:rsid w:val="00B23188"/>
    <w:rsid w:val="00B231B6"/>
    <w:rsid w:val="00B23243"/>
    <w:rsid w:val="00B232E2"/>
    <w:rsid w:val="00B232E4"/>
    <w:rsid w:val="00B233AF"/>
    <w:rsid w:val="00B233B1"/>
    <w:rsid w:val="00B23409"/>
    <w:rsid w:val="00B23418"/>
    <w:rsid w:val="00B2347C"/>
    <w:rsid w:val="00B234A1"/>
    <w:rsid w:val="00B234E9"/>
    <w:rsid w:val="00B23502"/>
    <w:rsid w:val="00B2355F"/>
    <w:rsid w:val="00B23566"/>
    <w:rsid w:val="00B235C1"/>
    <w:rsid w:val="00B235D9"/>
    <w:rsid w:val="00B23680"/>
    <w:rsid w:val="00B236BE"/>
    <w:rsid w:val="00B236C8"/>
    <w:rsid w:val="00B236CE"/>
    <w:rsid w:val="00B236E1"/>
    <w:rsid w:val="00B23712"/>
    <w:rsid w:val="00B23727"/>
    <w:rsid w:val="00B2373C"/>
    <w:rsid w:val="00B23807"/>
    <w:rsid w:val="00B2380D"/>
    <w:rsid w:val="00B2384C"/>
    <w:rsid w:val="00B23860"/>
    <w:rsid w:val="00B238B6"/>
    <w:rsid w:val="00B238CF"/>
    <w:rsid w:val="00B23902"/>
    <w:rsid w:val="00B23907"/>
    <w:rsid w:val="00B23925"/>
    <w:rsid w:val="00B239D9"/>
    <w:rsid w:val="00B239FA"/>
    <w:rsid w:val="00B239FE"/>
    <w:rsid w:val="00B23A26"/>
    <w:rsid w:val="00B23A80"/>
    <w:rsid w:val="00B23AE5"/>
    <w:rsid w:val="00B23AF2"/>
    <w:rsid w:val="00B23B4C"/>
    <w:rsid w:val="00B23B9B"/>
    <w:rsid w:val="00B23BA8"/>
    <w:rsid w:val="00B23BB7"/>
    <w:rsid w:val="00B23BD3"/>
    <w:rsid w:val="00B23BDF"/>
    <w:rsid w:val="00B23BFF"/>
    <w:rsid w:val="00B23C17"/>
    <w:rsid w:val="00B23C58"/>
    <w:rsid w:val="00B23C82"/>
    <w:rsid w:val="00B23CEE"/>
    <w:rsid w:val="00B23D0B"/>
    <w:rsid w:val="00B23D10"/>
    <w:rsid w:val="00B23D44"/>
    <w:rsid w:val="00B23D4F"/>
    <w:rsid w:val="00B23D6B"/>
    <w:rsid w:val="00B23D77"/>
    <w:rsid w:val="00B23D7A"/>
    <w:rsid w:val="00B23DB2"/>
    <w:rsid w:val="00B23DEA"/>
    <w:rsid w:val="00B23E00"/>
    <w:rsid w:val="00B23E18"/>
    <w:rsid w:val="00B23E7B"/>
    <w:rsid w:val="00B23F2D"/>
    <w:rsid w:val="00B23F42"/>
    <w:rsid w:val="00B23F9F"/>
    <w:rsid w:val="00B23FE5"/>
    <w:rsid w:val="00B24038"/>
    <w:rsid w:val="00B2409F"/>
    <w:rsid w:val="00B240BB"/>
    <w:rsid w:val="00B240ED"/>
    <w:rsid w:val="00B24122"/>
    <w:rsid w:val="00B2418D"/>
    <w:rsid w:val="00B241D1"/>
    <w:rsid w:val="00B24217"/>
    <w:rsid w:val="00B24225"/>
    <w:rsid w:val="00B24246"/>
    <w:rsid w:val="00B24250"/>
    <w:rsid w:val="00B24272"/>
    <w:rsid w:val="00B242EA"/>
    <w:rsid w:val="00B242F8"/>
    <w:rsid w:val="00B24348"/>
    <w:rsid w:val="00B243AD"/>
    <w:rsid w:val="00B243B3"/>
    <w:rsid w:val="00B243C0"/>
    <w:rsid w:val="00B2441A"/>
    <w:rsid w:val="00B24428"/>
    <w:rsid w:val="00B2443A"/>
    <w:rsid w:val="00B24445"/>
    <w:rsid w:val="00B24451"/>
    <w:rsid w:val="00B24460"/>
    <w:rsid w:val="00B244AD"/>
    <w:rsid w:val="00B244CB"/>
    <w:rsid w:val="00B244D1"/>
    <w:rsid w:val="00B2463D"/>
    <w:rsid w:val="00B2464E"/>
    <w:rsid w:val="00B2465B"/>
    <w:rsid w:val="00B246B4"/>
    <w:rsid w:val="00B246CB"/>
    <w:rsid w:val="00B2471E"/>
    <w:rsid w:val="00B24743"/>
    <w:rsid w:val="00B247A6"/>
    <w:rsid w:val="00B247A9"/>
    <w:rsid w:val="00B247AF"/>
    <w:rsid w:val="00B247E1"/>
    <w:rsid w:val="00B24820"/>
    <w:rsid w:val="00B2486A"/>
    <w:rsid w:val="00B248C4"/>
    <w:rsid w:val="00B248D4"/>
    <w:rsid w:val="00B248F1"/>
    <w:rsid w:val="00B248F3"/>
    <w:rsid w:val="00B248FC"/>
    <w:rsid w:val="00B2490E"/>
    <w:rsid w:val="00B249A3"/>
    <w:rsid w:val="00B249E1"/>
    <w:rsid w:val="00B24A08"/>
    <w:rsid w:val="00B24A23"/>
    <w:rsid w:val="00B24A4E"/>
    <w:rsid w:val="00B24A7F"/>
    <w:rsid w:val="00B24B01"/>
    <w:rsid w:val="00B24B06"/>
    <w:rsid w:val="00B24BDA"/>
    <w:rsid w:val="00B24BF1"/>
    <w:rsid w:val="00B24C36"/>
    <w:rsid w:val="00B24CB2"/>
    <w:rsid w:val="00B24CB8"/>
    <w:rsid w:val="00B24D7C"/>
    <w:rsid w:val="00B24DB0"/>
    <w:rsid w:val="00B24DD3"/>
    <w:rsid w:val="00B24DF0"/>
    <w:rsid w:val="00B24E03"/>
    <w:rsid w:val="00B24E05"/>
    <w:rsid w:val="00B24E5B"/>
    <w:rsid w:val="00B24EBD"/>
    <w:rsid w:val="00B24EEC"/>
    <w:rsid w:val="00B24F18"/>
    <w:rsid w:val="00B24F25"/>
    <w:rsid w:val="00B24F38"/>
    <w:rsid w:val="00B24F8A"/>
    <w:rsid w:val="00B24FB5"/>
    <w:rsid w:val="00B24FEA"/>
    <w:rsid w:val="00B2500E"/>
    <w:rsid w:val="00B2508D"/>
    <w:rsid w:val="00B250AB"/>
    <w:rsid w:val="00B250E9"/>
    <w:rsid w:val="00B250F3"/>
    <w:rsid w:val="00B25113"/>
    <w:rsid w:val="00B25130"/>
    <w:rsid w:val="00B25139"/>
    <w:rsid w:val="00B2515C"/>
    <w:rsid w:val="00B251A6"/>
    <w:rsid w:val="00B251DE"/>
    <w:rsid w:val="00B2520F"/>
    <w:rsid w:val="00B25215"/>
    <w:rsid w:val="00B2523A"/>
    <w:rsid w:val="00B2524C"/>
    <w:rsid w:val="00B25258"/>
    <w:rsid w:val="00B252C4"/>
    <w:rsid w:val="00B25305"/>
    <w:rsid w:val="00B2531D"/>
    <w:rsid w:val="00B2533A"/>
    <w:rsid w:val="00B2535C"/>
    <w:rsid w:val="00B253AC"/>
    <w:rsid w:val="00B25400"/>
    <w:rsid w:val="00B2540B"/>
    <w:rsid w:val="00B25421"/>
    <w:rsid w:val="00B25461"/>
    <w:rsid w:val="00B254B6"/>
    <w:rsid w:val="00B254CF"/>
    <w:rsid w:val="00B254D8"/>
    <w:rsid w:val="00B25571"/>
    <w:rsid w:val="00B25572"/>
    <w:rsid w:val="00B255DA"/>
    <w:rsid w:val="00B255DE"/>
    <w:rsid w:val="00B2566B"/>
    <w:rsid w:val="00B256AE"/>
    <w:rsid w:val="00B256CE"/>
    <w:rsid w:val="00B256D6"/>
    <w:rsid w:val="00B2579B"/>
    <w:rsid w:val="00B257A3"/>
    <w:rsid w:val="00B257DD"/>
    <w:rsid w:val="00B257F8"/>
    <w:rsid w:val="00B258A7"/>
    <w:rsid w:val="00B258D2"/>
    <w:rsid w:val="00B2590D"/>
    <w:rsid w:val="00B25918"/>
    <w:rsid w:val="00B2598F"/>
    <w:rsid w:val="00B259B9"/>
    <w:rsid w:val="00B259F7"/>
    <w:rsid w:val="00B25A10"/>
    <w:rsid w:val="00B25A31"/>
    <w:rsid w:val="00B25A39"/>
    <w:rsid w:val="00B25A54"/>
    <w:rsid w:val="00B25A8E"/>
    <w:rsid w:val="00B25A96"/>
    <w:rsid w:val="00B25AB0"/>
    <w:rsid w:val="00B25ACA"/>
    <w:rsid w:val="00B25AD1"/>
    <w:rsid w:val="00B25AD8"/>
    <w:rsid w:val="00B25AE4"/>
    <w:rsid w:val="00B25AF1"/>
    <w:rsid w:val="00B25AFC"/>
    <w:rsid w:val="00B25B1C"/>
    <w:rsid w:val="00B25B2F"/>
    <w:rsid w:val="00B25B41"/>
    <w:rsid w:val="00B25B70"/>
    <w:rsid w:val="00B25B90"/>
    <w:rsid w:val="00B25C15"/>
    <w:rsid w:val="00B25C2A"/>
    <w:rsid w:val="00B25C94"/>
    <w:rsid w:val="00B25CE1"/>
    <w:rsid w:val="00B25CEB"/>
    <w:rsid w:val="00B25CF0"/>
    <w:rsid w:val="00B25CF9"/>
    <w:rsid w:val="00B25D03"/>
    <w:rsid w:val="00B25D25"/>
    <w:rsid w:val="00B25D45"/>
    <w:rsid w:val="00B25D68"/>
    <w:rsid w:val="00B25D75"/>
    <w:rsid w:val="00B25D92"/>
    <w:rsid w:val="00B25D96"/>
    <w:rsid w:val="00B25DA1"/>
    <w:rsid w:val="00B25EC8"/>
    <w:rsid w:val="00B25ED3"/>
    <w:rsid w:val="00B25F10"/>
    <w:rsid w:val="00B25F44"/>
    <w:rsid w:val="00B25FBE"/>
    <w:rsid w:val="00B25FCB"/>
    <w:rsid w:val="00B25FD4"/>
    <w:rsid w:val="00B25FD7"/>
    <w:rsid w:val="00B26076"/>
    <w:rsid w:val="00B260C3"/>
    <w:rsid w:val="00B260C8"/>
    <w:rsid w:val="00B260CD"/>
    <w:rsid w:val="00B2610C"/>
    <w:rsid w:val="00B2613C"/>
    <w:rsid w:val="00B261B4"/>
    <w:rsid w:val="00B261BB"/>
    <w:rsid w:val="00B261BC"/>
    <w:rsid w:val="00B261D5"/>
    <w:rsid w:val="00B261D9"/>
    <w:rsid w:val="00B2621B"/>
    <w:rsid w:val="00B2629A"/>
    <w:rsid w:val="00B2637A"/>
    <w:rsid w:val="00B263E2"/>
    <w:rsid w:val="00B26427"/>
    <w:rsid w:val="00B26429"/>
    <w:rsid w:val="00B26433"/>
    <w:rsid w:val="00B2644A"/>
    <w:rsid w:val="00B26484"/>
    <w:rsid w:val="00B264D5"/>
    <w:rsid w:val="00B264E6"/>
    <w:rsid w:val="00B26533"/>
    <w:rsid w:val="00B26538"/>
    <w:rsid w:val="00B2654B"/>
    <w:rsid w:val="00B2655D"/>
    <w:rsid w:val="00B26563"/>
    <w:rsid w:val="00B26566"/>
    <w:rsid w:val="00B26586"/>
    <w:rsid w:val="00B265D5"/>
    <w:rsid w:val="00B265ED"/>
    <w:rsid w:val="00B2667C"/>
    <w:rsid w:val="00B26726"/>
    <w:rsid w:val="00B267BD"/>
    <w:rsid w:val="00B267CD"/>
    <w:rsid w:val="00B267EC"/>
    <w:rsid w:val="00B2681E"/>
    <w:rsid w:val="00B2682A"/>
    <w:rsid w:val="00B26874"/>
    <w:rsid w:val="00B268B3"/>
    <w:rsid w:val="00B268FE"/>
    <w:rsid w:val="00B26901"/>
    <w:rsid w:val="00B2697E"/>
    <w:rsid w:val="00B26A03"/>
    <w:rsid w:val="00B26A30"/>
    <w:rsid w:val="00B26AA3"/>
    <w:rsid w:val="00B26AC8"/>
    <w:rsid w:val="00B26B17"/>
    <w:rsid w:val="00B26B1E"/>
    <w:rsid w:val="00B26B64"/>
    <w:rsid w:val="00B26B80"/>
    <w:rsid w:val="00B26B8E"/>
    <w:rsid w:val="00B26B94"/>
    <w:rsid w:val="00B26BCD"/>
    <w:rsid w:val="00B26C2A"/>
    <w:rsid w:val="00B26C4A"/>
    <w:rsid w:val="00B26C51"/>
    <w:rsid w:val="00B26C89"/>
    <w:rsid w:val="00B26C9C"/>
    <w:rsid w:val="00B26CE0"/>
    <w:rsid w:val="00B26D15"/>
    <w:rsid w:val="00B26D17"/>
    <w:rsid w:val="00B26D1D"/>
    <w:rsid w:val="00B26D24"/>
    <w:rsid w:val="00B26D3C"/>
    <w:rsid w:val="00B26D89"/>
    <w:rsid w:val="00B26D9D"/>
    <w:rsid w:val="00B26DCA"/>
    <w:rsid w:val="00B26DCC"/>
    <w:rsid w:val="00B26E01"/>
    <w:rsid w:val="00B26E19"/>
    <w:rsid w:val="00B26E3B"/>
    <w:rsid w:val="00B26E7D"/>
    <w:rsid w:val="00B26E84"/>
    <w:rsid w:val="00B26E8C"/>
    <w:rsid w:val="00B26ED0"/>
    <w:rsid w:val="00B26ED2"/>
    <w:rsid w:val="00B26EE3"/>
    <w:rsid w:val="00B26EE6"/>
    <w:rsid w:val="00B26EF7"/>
    <w:rsid w:val="00B26F5F"/>
    <w:rsid w:val="00B26FAA"/>
    <w:rsid w:val="00B2702B"/>
    <w:rsid w:val="00B27034"/>
    <w:rsid w:val="00B27057"/>
    <w:rsid w:val="00B270AE"/>
    <w:rsid w:val="00B270B3"/>
    <w:rsid w:val="00B270F3"/>
    <w:rsid w:val="00B27154"/>
    <w:rsid w:val="00B271A7"/>
    <w:rsid w:val="00B271BF"/>
    <w:rsid w:val="00B2721A"/>
    <w:rsid w:val="00B27222"/>
    <w:rsid w:val="00B27281"/>
    <w:rsid w:val="00B272A7"/>
    <w:rsid w:val="00B272BD"/>
    <w:rsid w:val="00B27307"/>
    <w:rsid w:val="00B27330"/>
    <w:rsid w:val="00B27354"/>
    <w:rsid w:val="00B27376"/>
    <w:rsid w:val="00B2738E"/>
    <w:rsid w:val="00B273C4"/>
    <w:rsid w:val="00B27420"/>
    <w:rsid w:val="00B2744C"/>
    <w:rsid w:val="00B27474"/>
    <w:rsid w:val="00B274E7"/>
    <w:rsid w:val="00B27502"/>
    <w:rsid w:val="00B27507"/>
    <w:rsid w:val="00B275B9"/>
    <w:rsid w:val="00B275C8"/>
    <w:rsid w:val="00B275EE"/>
    <w:rsid w:val="00B27609"/>
    <w:rsid w:val="00B27643"/>
    <w:rsid w:val="00B2764C"/>
    <w:rsid w:val="00B27675"/>
    <w:rsid w:val="00B276A1"/>
    <w:rsid w:val="00B276A5"/>
    <w:rsid w:val="00B276F3"/>
    <w:rsid w:val="00B276F9"/>
    <w:rsid w:val="00B27735"/>
    <w:rsid w:val="00B2778E"/>
    <w:rsid w:val="00B277A4"/>
    <w:rsid w:val="00B277DF"/>
    <w:rsid w:val="00B277E4"/>
    <w:rsid w:val="00B27818"/>
    <w:rsid w:val="00B278A4"/>
    <w:rsid w:val="00B278A8"/>
    <w:rsid w:val="00B278B6"/>
    <w:rsid w:val="00B278CB"/>
    <w:rsid w:val="00B278D4"/>
    <w:rsid w:val="00B278F3"/>
    <w:rsid w:val="00B27938"/>
    <w:rsid w:val="00B27988"/>
    <w:rsid w:val="00B279DE"/>
    <w:rsid w:val="00B279FE"/>
    <w:rsid w:val="00B27A5B"/>
    <w:rsid w:val="00B27B27"/>
    <w:rsid w:val="00B27B45"/>
    <w:rsid w:val="00B27C3F"/>
    <w:rsid w:val="00B27C7D"/>
    <w:rsid w:val="00B27CC3"/>
    <w:rsid w:val="00B27D19"/>
    <w:rsid w:val="00B27D1A"/>
    <w:rsid w:val="00B27D6E"/>
    <w:rsid w:val="00B27D83"/>
    <w:rsid w:val="00B27D92"/>
    <w:rsid w:val="00B27DD2"/>
    <w:rsid w:val="00B27DF7"/>
    <w:rsid w:val="00B27E5A"/>
    <w:rsid w:val="00B27E77"/>
    <w:rsid w:val="00B27F0B"/>
    <w:rsid w:val="00B27F0F"/>
    <w:rsid w:val="00B27F18"/>
    <w:rsid w:val="00B27F35"/>
    <w:rsid w:val="00B27F7C"/>
    <w:rsid w:val="00B27F84"/>
    <w:rsid w:val="00B27F9D"/>
    <w:rsid w:val="00B27FEF"/>
    <w:rsid w:val="00B3000B"/>
    <w:rsid w:val="00B3000C"/>
    <w:rsid w:val="00B30052"/>
    <w:rsid w:val="00B30059"/>
    <w:rsid w:val="00B3005B"/>
    <w:rsid w:val="00B300D3"/>
    <w:rsid w:val="00B30129"/>
    <w:rsid w:val="00B30144"/>
    <w:rsid w:val="00B30163"/>
    <w:rsid w:val="00B30171"/>
    <w:rsid w:val="00B3019C"/>
    <w:rsid w:val="00B301D9"/>
    <w:rsid w:val="00B30234"/>
    <w:rsid w:val="00B3026D"/>
    <w:rsid w:val="00B30272"/>
    <w:rsid w:val="00B302E3"/>
    <w:rsid w:val="00B30333"/>
    <w:rsid w:val="00B30358"/>
    <w:rsid w:val="00B303F5"/>
    <w:rsid w:val="00B30402"/>
    <w:rsid w:val="00B3040B"/>
    <w:rsid w:val="00B30455"/>
    <w:rsid w:val="00B304B6"/>
    <w:rsid w:val="00B304BB"/>
    <w:rsid w:val="00B304E1"/>
    <w:rsid w:val="00B3050E"/>
    <w:rsid w:val="00B3056A"/>
    <w:rsid w:val="00B305A0"/>
    <w:rsid w:val="00B305A6"/>
    <w:rsid w:val="00B305DA"/>
    <w:rsid w:val="00B305F7"/>
    <w:rsid w:val="00B3061E"/>
    <w:rsid w:val="00B3063E"/>
    <w:rsid w:val="00B306D5"/>
    <w:rsid w:val="00B3073D"/>
    <w:rsid w:val="00B30750"/>
    <w:rsid w:val="00B307B0"/>
    <w:rsid w:val="00B307BE"/>
    <w:rsid w:val="00B307D0"/>
    <w:rsid w:val="00B307FD"/>
    <w:rsid w:val="00B30812"/>
    <w:rsid w:val="00B3084E"/>
    <w:rsid w:val="00B3088B"/>
    <w:rsid w:val="00B308B7"/>
    <w:rsid w:val="00B308C4"/>
    <w:rsid w:val="00B308CC"/>
    <w:rsid w:val="00B308E2"/>
    <w:rsid w:val="00B30986"/>
    <w:rsid w:val="00B309AB"/>
    <w:rsid w:val="00B30AA5"/>
    <w:rsid w:val="00B30AB0"/>
    <w:rsid w:val="00B30ADF"/>
    <w:rsid w:val="00B30B1C"/>
    <w:rsid w:val="00B30B3D"/>
    <w:rsid w:val="00B30B7C"/>
    <w:rsid w:val="00B30B7D"/>
    <w:rsid w:val="00B30C13"/>
    <w:rsid w:val="00B30C21"/>
    <w:rsid w:val="00B30C65"/>
    <w:rsid w:val="00B30D09"/>
    <w:rsid w:val="00B30D73"/>
    <w:rsid w:val="00B30D76"/>
    <w:rsid w:val="00B30D80"/>
    <w:rsid w:val="00B30D95"/>
    <w:rsid w:val="00B30DCA"/>
    <w:rsid w:val="00B30E8C"/>
    <w:rsid w:val="00B30EB9"/>
    <w:rsid w:val="00B30EC7"/>
    <w:rsid w:val="00B30EDC"/>
    <w:rsid w:val="00B30F3D"/>
    <w:rsid w:val="00B30F54"/>
    <w:rsid w:val="00B30FBC"/>
    <w:rsid w:val="00B30FD2"/>
    <w:rsid w:val="00B30FF2"/>
    <w:rsid w:val="00B3106D"/>
    <w:rsid w:val="00B310A6"/>
    <w:rsid w:val="00B310F9"/>
    <w:rsid w:val="00B31140"/>
    <w:rsid w:val="00B31142"/>
    <w:rsid w:val="00B31186"/>
    <w:rsid w:val="00B31197"/>
    <w:rsid w:val="00B311E1"/>
    <w:rsid w:val="00B31278"/>
    <w:rsid w:val="00B313A6"/>
    <w:rsid w:val="00B3147F"/>
    <w:rsid w:val="00B314C8"/>
    <w:rsid w:val="00B314CC"/>
    <w:rsid w:val="00B31534"/>
    <w:rsid w:val="00B31541"/>
    <w:rsid w:val="00B31552"/>
    <w:rsid w:val="00B315FF"/>
    <w:rsid w:val="00B31616"/>
    <w:rsid w:val="00B3161A"/>
    <w:rsid w:val="00B31625"/>
    <w:rsid w:val="00B31632"/>
    <w:rsid w:val="00B31642"/>
    <w:rsid w:val="00B31652"/>
    <w:rsid w:val="00B31694"/>
    <w:rsid w:val="00B316BB"/>
    <w:rsid w:val="00B316DC"/>
    <w:rsid w:val="00B31771"/>
    <w:rsid w:val="00B31784"/>
    <w:rsid w:val="00B31785"/>
    <w:rsid w:val="00B317AD"/>
    <w:rsid w:val="00B3182F"/>
    <w:rsid w:val="00B31839"/>
    <w:rsid w:val="00B31873"/>
    <w:rsid w:val="00B31899"/>
    <w:rsid w:val="00B318DE"/>
    <w:rsid w:val="00B318E0"/>
    <w:rsid w:val="00B318E8"/>
    <w:rsid w:val="00B318F8"/>
    <w:rsid w:val="00B318FA"/>
    <w:rsid w:val="00B3193F"/>
    <w:rsid w:val="00B31969"/>
    <w:rsid w:val="00B31996"/>
    <w:rsid w:val="00B319CE"/>
    <w:rsid w:val="00B319D7"/>
    <w:rsid w:val="00B31A02"/>
    <w:rsid w:val="00B31A9F"/>
    <w:rsid w:val="00B31B28"/>
    <w:rsid w:val="00B31B7F"/>
    <w:rsid w:val="00B31B90"/>
    <w:rsid w:val="00B31BC5"/>
    <w:rsid w:val="00B31BCF"/>
    <w:rsid w:val="00B31C52"/>
    <w:rsid w:val="00B31C76"/>
    <w:rsid w:val="00B31C83"/>
    <w:rsid w:val="00B31C89"/>
    <w:rsid w:val="00B31CBD"/>
    <w:rsid w:val="00B31CC3"/>
    <w:rsid w:val="00B31CCD"/>
    <w:rsid w:val="00B31CF7"/>
    <w:rsid w:val="00B31DEC"/>
    <w:rsid w:val="00B31E12"/>
    <w:rsid w:val="00B31E8D"/>
    <w:rsid w:val="00B31F5E"/>
    <w:rsid w:val="00B31FDB"/>
    <w:rsid w:val="00B31FF5"/>
    <w:rsid w:val="00B31FFC"/>
    <w:rsid w:val="00B31FFD"/>
    <w:rsid w:val="00B32087"/>
    <w:rsid w:val="00B320E3"/>
    <w:rsid w:val="00B320FD"/>
    <w:rsid w:val="00B3219E"/>
    <w:rsid w:val="00B32216"/>
    <w:rsid w:val="00B32233"/>
    <w:rsid w:val="00B322BD"/>
    <w:rsid w:val="00B322CD"/>
    <w:rsid w:val="00B322E0"/>
    <w:rsid w:val="00B32368"/>
    <w:rsid w:val="00B3237C"/>
    <w:rsid w:val="00B3238F"/>
    <w:rsid w:val="00B323AF"/>
    <w:rsid w:val="00B32438"/>
    <w:rsid w:val="00B32444"/>
    <w:rsid w:val="00B3245E"/>
    <w:rsid w:val="00B324DA"/>
    <w:rsid w:val="00B324F1"/>
    <w:rsid w:val="00B32511"/>
    <w:rsid w:val="00B3255A"/>
    <w:rsid w:val="00B32564"/>
    <w:rsid w:val="00B32588"/>
    <w:rsid w:val="00B325AB"/>
    <w:rsid w:val="00B32607"/>
    <w:rsid w:val="00B3264D"/>
    <w:rsid w:val="00B326DB"/>
    <w:rsid w:val="00B326F0"/>
    <w:rsid w:val="00B327C6"/>
    <w:rsid w:val="00B327F1"/>
    <w:rsid w:val="00B32850"/>
    <w:rsid w:val="00B32885"/>
    <w:rsid w:val="00B3288D"/>
    <w:rsid w:val="00B328F0"/>
    <w:rsid w:val="00B32948"/>
    <w:rsid w:val="00B3296A"/>
    <w:rsid w:val="00B3296D"/>
    <w:rsid w:val="00B32999"/>
    <w:rsid w:val="00B329BB"/>
    <w:rsid w:val="00B329D4"/>
    <w:rsid w:val="00B32A57"/>
    <w:rsid w:val="00B32A84"/>
    <w:rsid w:val="00B32A89"/>
    <w:rsid w:val="00B32A9A"/>
    <w:rsid w:val="00B32A9B"/>
    <w:rsid w:val="00B32AA2"/>
    <w:rsid w:val="00B32BAB"/>
    <w:rsid w:val="00B32BF3"/>
    <w:rsid w:val="00B32BFA"/>
    <w:rsid w:val="00B32C59"/>
    <w:rsid w:val="00B32C70"/>
    <w:rsid w:val="00B32C9E"/>
    <w:rsid w:val="00B32CB1"/>
    <w:rsid w:val="00B32CB8"/>
    <w:rsid w:val="00B32D04"/>
    <w:rsid w:val="00B32D0D"/>
    <w:rsid w:val="00B32D18"/>
    <w:rsid w:val="00B32D1C"/>
    <w:rsid w:val="00B32D3A"/>
    <w:rsid w:val="00B32D50"/>
    <w:rsid w:val="00B32D64"/>
    <w:rsid w:val="00B32DC2"/>
    <w:rsid w:val="00B32E75"/>
    <w:rsid w:val="00B32E82"/>
    <w:rsid w:val="00B32E8B"/>
    <w:rsid w:val="00B32F0A"/>
    <w:rsid w:val="00B32F62"/>
    <w:rsid w:val="00B3304C"/>
    <w:rsid w:val="00B33051"/>
    <w:rsid w:val="00B33071"/>
    <w:rsid w:val="00B330B2"/>
    <w:rsid w:val="00B330CE"/>
    <w:rsid w:val="00B3310D"/>
    <w:rsid w:val="00B33147"/>
    <w:rsid w:val="00B3317D"/>
    <w:rsid w:val="00B331A7"/>
    <w:rsid w:val="00B331B7"/>
    <w:rsid w:val="00B33248"/>
    <w:rsid w:val="00B332A7"/>
    <w:rsid w:val="00B332C4"/>
    <w:rsid w:val="00B332F7"/>
    <w:rsid w:val="00B3330C"/>
    <w:rsid w:val="00B33358"/>
    <w:rsid w:val="00B3336C"/>
    <w:rsid w:val="00B3337B"/>
    <w:rsid w:val="00B3338F"/>
    <w:rsid w:val="00B333A6"/>
    <w:rsid w:val="00B333BA"/>
    <w:rsid w:val="00B33463"/>
    <w:rsid w:val="00B334C4"/>
    <w:rsid w:val="00B334EA"/>
    <w:rsid w:val="00B33534"/>
    <w:rsid w:val="00B33545"/>
    <w:rsid w:val="00B33591"/>
    <w:rsid w:val="00B335BE"/>
    <w:rsid w:val="00B3363F"/>
    <w:rsid w:val="00B33642"/>
    <w:rsid w:val="00B33645"/>
    <w:rsid w:val="00B336B0"/>
    <w:rsid w:val="00B33700"/>
    <w:rsid w:val="00B33883"/>
    <w:rsid w:val="00B338D1"/>
    <w:rsid w:val="00B338E9"/>
    <w:rsid w:val="00B33902"/>
    <w:rsid w:val="00B33948"/>
    <w:rsid w:val="00B3398E"/>
    <w:rsid w:val="00B33994"/>
    <w:rsid w:val="00B339EB"/>
    <w:rsid w:val="00B33A04"/>
    <w:rsid w:val="00B33A2A"/>
    <w:rsid w:val="00B33A3A"/>
    <w:rsid w:val="00B33A3D"/>
    <w:rsid w:val="00B33A57"/>
    <w:rsid w:val="00B33A7A"/>
    <w:rsid w:val="00B33A97"/>
    <w:rsid w:val="00B33AD2"/>
    <w:rsid w:val="00B33B80"/>
    <w:rsid w:val="00B33BAD"/>
    <w:rsid w:val="00B33BB7"/>
    <w:rsid w:val="00B33BFC"/>
    <w:rsid w:val="00B33C77"/>
    <w:rsid w:val="00B33C9A"/>
    <w:rsid w:val="00B33D51"/>
    <w:rsid w:val="00B33D63"/>
    <w:rsid w:val="00B33D77"/>
    <w:rsid w:val="00B33DC4"/>
    <w:rsid w:val="00B33DCA"/>
    <w:rsid w:val="00B33E06"/>
    <w:rsid w:val="00B33E4E"/>
    <w:rsid w:val="00B33E5A"/>
    <w:rsid w:val="00B33E8A"/>
    <w:rsid w:val="00B33FC1"/>
    <w:rsid w:val="00B34026"/>
    <w:rsid w:val="00B3407B"/>
    <w:rsid w:val="00B3417A"/>
    <w:rsid w:val="00B3417D"/>
    <w:rsid w:val="00B3417F"/>
    <w:rsid w:val="00B34181"/>
    <w:rsid w:val="00B34184"/>
    <w:rsid w:val="00B3419D"/>
    <w:rsid w:val="00B3419F"/>
    <w:rsid w:val="00B341B4"/>
    <w:rsid w:val="00B341C9"/>
    <w:rsid w:val="00B341D4"/>
    <w:rsid w:val="00B341D9"/>
    <w:rsid w:val="00B341F2"/>
    <w:rsid w:val="00B341F5"/>
    <w:rsid w:val="00B34219"/>
    <w:rsid w:val="00B34232"/>
    <w:rsid w:val="00B34263"/>
    <w:rsid w:val="00B342BC"/>
    <w:rsid w:val="00B342BE"/>
    <w:rsid w:val="00B34339"/>
    <w:rsid w:val="00B34387"/>
    <w:rsid w:val="00B3438F"/>
    <w:rsid w:val="00B343AD"/>
    <w:rsid w:val="00B34414"/>
    <w:rsid w:val="00B34441"/>
    <w:rsid w:val="00B3446B"/>
    <w:rsid w:val="00B34493"/>
    <w:rsid w:val="00B344C8"/>
    <w:rsid w:val="00B344F0"/>
    <w:rsid w:val="00B34569"/>
    <w:rsid w:val="00B3458A"/>
    <w:rsid w:val="00B345C6"/>
    <w:rsid w:val="00B345D8"/>
    <w:rsid w:val="00B345F7"/>
    <w:rsid w:val="00B34645"/>
    <w:rsid w:val="00B34657"/>
    <w:rsid w:val="00B34665"/>
    <w:rsid w:val="00B346C0"/>
    <w:rsid w:val="00B3472C"/>
    <w:rsid w:val="00B34735"/>
    <w:rsid w:val="00B347B9"/>
    <w:rsid w:val="00B347F5"/>
    <w:rsid w:val="00B34820"/>
    <w:rsid w:val="00B34824"/>
    <w:rsid w:val="00B34868"/>
    <w:rsid w:val="00B34896"/>
    <w:rsid w:val="00B348A0"/>
    <w:rsid w:val="00B348A1"/>
    <w:rsid w:val="00B348B2"/>
    <w:rsid w:val="00B348BA"/>
    <w:rsid w:val="00B34951"/>
    <w:rsid w:val="00B34975"/>
    <w:rsid w:val="00B3498F"/>
    <w:rsid w:val="00B34A13"/>
    <w:rsid w:val="00B34A23"/>
    <w:rsid w:val="00B34A80"/>
    <w:rsid w:val="00B34A98"/>
    <w:rsid w:val="00B34A9B"/>
    <w:rsid w:val="00B34AAA"/>
    <w:rsid w:val="00B34AB5"/>
    <w:rsid w:val="00B34B05"/>
    <w:rsid w:val="00B34B8D"/>
    <w:rsid w:val="00B34B9C"/>
    <w:rsid w:val="00B34BFF"/>
    <w:rsid w:val="00B34C3F"/>
    <w:rsid w:val="00B34C8A"/>
    <w:rsid w:val="00B34CAA"/>
    <w:rsid w:val="00B34CEA"/>
    <w:rsid w:val="00B34D0E"/>
    <w:rsid w:val="00B34D19"/>
    <w:rsid w:val="00B34D30"/>
    <w:rsid w:val="00B34D51"/>
    <w:rsid w:val="00B34D7A"/>
    <w:rsid w:val="00B34D97"/>
    <w:rsid w:val="00B34E43"/>
    <w:rsid w:val="00B34EA2"/>
    <w:rsid w:val="00B34ECC"/>
    <w:rsid w:val="00B34ED0"/>
    <w:rsid w:val="00B34EF5"/>
    <w:rsid w:val="00B34F5D"/>
    <w:rsid w:val="00B34FCC"/>
    <w:rsid w:val="00B34FFF"/>
    <w:rsid w:val="00B3501A"/>
    <w:rsid w:val="00B3501E"/>
    <w:rsid w:val="00B35039"/>
    <w:rsid w:val="00B35079"/>
    <w:rsid w:val="00B3509E"/>
    <w:rsid w:val="00B350A3"/>
    <w:rsid w:val="00B350AC"/>
    <w:rsid w:val="00B350D1"/>
    <w:rsid w:val="00B350D5"/>
    <w:rsid w:val="00B3513B"/>
    <w:rsid w:val="00B3517D"/>
    <w:rsid w:val="00B35263"/>
    <w:rsid w:val="00B3526B"/>
    <w:rsid w:val="00B35273"/>
    <w:rsid w:val="00B352B5"/>
    <w:rsid w:val="00B3535D"/>
    <w:rsid w:val="00B3539F"/>
    <w:rsid w:val="00B353D8"/>
    <w:rsid w:val="00B353DD"/>
    <w:rsid w:val="00B353F3"/>
    <w:rsid w:val="00B3540C"/>
    <w:rsid w:val="00B35417"/>
    <w:rsid w:val="00B35433"/>
    <w:rsid w:val="00B3546D"/>
    <w:rsid w:val="00B354D6"/>
    <w:rsid w:val="00B35504"/>
    <w:rsid w:val="00B35523"/>
    <w:rsid w:val="00B3553C"/>
    <w:rsid w:val="00B35563"/>
    <w:rsid w:val="00B355E0"/>
    <w:rsid w:val="00B355E5"/>
    <w:rsid w:val="00B355F3"/>
    <w:rsid w:val="00B356A4"/>
    <w:rsid w:val="00B356B7"/>
    <w:rsid w:val="00B356D0"/>
    <w:rsid w:val="00B356E6"/>
    <w:rsid w:val="00B35717"/>
    <w:rsid w:val="00B35761"/>
    <w:rsid w:val="00B357A1"/>
    <w:rsid w:val="00B357B6"/>
    <w:rsid w:val="00B357BA"/>
    <w:rsid w:val="00B357D9"/>
    <w:rsid w:val="00B357E2"/>
    <w:rsid w:val="00B3585E"/>
    <w:rsid w:val="00B358B3"/>
    <w:rsid w:val="00B358C2"/>
    <w:rsid w:val="00B358F3"/>
    <w:rsid w:val="00B3590A"/>
    <w:rsid w:val="00B35961"/>
    <w:rsid w:val="00B3597E"/>
    <w:rsid w:val="00B359C3"/>
    <w:rsid w:val="00B359FF"/>
    <w:rsid w:val="00B35A02"/>
    <w:rsid w:val="00B35A46"/>
    <w:rsid w:val="00B35AAE"/>
    <w:rsid w:val="00B35B20"/>
    <w:rsid w:val="00B35B22"/>
    <w:rsid w:val="00B35B28"/>
    <w:rsid w:val="00B35B63"/>
    <w:rsid w:val="00B35B7C"/>
    <w:rsid w:val="00B35C0E"/>
    <w:rsid w:val="00B35C1F"/>
    <w:rsid w:val="00B35C33"/>
    <w:rsid w:val="00B35C8C"/>
    <w:rsid w:val="00B35CA1"/>
    <w:rsid w:val="00B35CAB"/>
    <w:rsid w:val="00B35CF0"/>
    <w:rsid w:val="00B35D06"/>
    <w:rsid w:val="00B35D54"/>
    <w:rsid w:val="00B35D89"/>
    <w:rsid w:val="00B35E20"/>
    <w:rsid w:val="00B35E3F"/>
    <w:rsid w:val="00B35F18"/>
    <w:rsid w:val="00B35F6F"/>
    <w:rsid w:val="00B35F80"/>
    <w:rsid w:val="00B35FA7"/>
    <w:rsid w:val="00B35FB9"/>
    <w:rsid w:val="00B35FBD"/>
    <w:rsid w:val="00B36011"/>
    <w:rsid w:val="00B36018"/>
    <w:rsid w:val="00B36064"/>
    <w:rsid w:val="00B360B7"/>
    <w:rsid w:val="00B360D8"/>
    <w:rsid w:val="00B36141"/>
    <w:rsid w:val="00B36163"/>
    <w:rsid w:val="00B361C4"/>
    <w:rsid w:val="00B361C9"/>
    <w:rsid w:val="00B36219"/>
    <w:rsid w:val="00B36227"/>
    <w:rsid w:val="00B36282"/>
    <w:rsid w:val="00B3629F"/>
    <w:rsid w:val="00B362CE"/>
    <w:rsid w:val="00B36315"/>
    <w:rsid w:val="00B3631B"/>
    <w:rsid w:val="00B36329"/>
    <w:rsid w:val="00B36330"/>
    <w:rsid w:val="00B36370"/>
    <w:rsid w:val="00B363B2"/>
    <w:rsid w:val="00B36433"/>
    <w:rsid w:val="00B36438"/>
    <w:rsid w:val="00B3651E"/>
    <w:rsid w:val="00B36537"/>
    <w:rsid w:val="00B3653F"/>
    <w:rsid w:val="00B3655A"/>
    <w:rsid w:val="00B36565"/>
    <w:rsid w:val="00B36576"/>
    <w:rsid w:val="00B365C0"/>
    <w:rsid w:val="00B365CB"/>
    <w:rsid w:val="00B36610"/>
    <w:rsid w:val="00B3663B"/>
    <w:rsid w:val="00B3665E"/>
    <w:rsid w:val="00B366AE"/>
    <w:rsid w:val="00B367BB"/>
    <w:rsid w:val="00B36829"/>
    <w:rsid w:val="00B3684C"/>
    <w:rsid w:val="00B368B1"/>
    <w:rsid w:val="00B368E0"/>
    <w:rsid w:val="00B36909"/>
    <w:rsid w:val="00B3690F"/>
    <w:rsid w:val="00B36925"/>
    <w:rsid w:val="00B3692C"/>
    <w:rsid w:val="00B36941"/>
    <w:rsid w:val="00B3698E"/>
    <w:rsid w:val="00B369B3"/>
    <w:rsid w:val="00B369D5"/>
    <w:rsid w:val="00B36A00"/>
    <w:rsid w:val="00B36A52"/>
    <w:rsid w:val="00B36A5F"/>
    <w:rsid w:val="00B36A67"/>
    <w:rsid w:val="00B36AF4"/>
    <w:rsid w:val="00B36AFA"/>
    <w:rsid w:val="00B36B09"/>
    <w:rsid w:val="00B36B5C"/>
    <w:rsid w:val="00B36B9F"/>
    <w:rsid w:val="00B36BB9"/>
    <w:rsid w:val="00B36BBF"/>
    <w:rsid w:val="00B36C4B"/>
    <w:rsid w:val="00B36C57"/>
    <w:rsid w:val="00B36C9C"/>
    <w:rsid w:val="00B36CE8"/>
    <w:rsid w:val="00B36CEF"/>
    <w:rsid w:val="00B36D2A"/>
    <w:rsid w:val="00B36D2D"/>
    <w:rsid w:val="00B36D40"/>
    <w:rsid w:val="00B36DF2"/>
    <w:rsid w:val="00B36DFB"/>
    <w:rsid w:val="00B36E33"/>
    <w:rsid w:val="00B36E6C"/>
    <w:rsid w:val="00B36E91"/>
    <w:rsid w:val="00B36EC7"/>
    <w:rsid w:val="00B36EDD"/>
    <w:rsid w:val="00B36EE9"/>
    <w:rsid w:val="00B36F45"/>
    <w:rsid w:val="00B36F4C"/>
    <w:rsid w:val="00B36F6E"/>
    <w:rsid w:val="00B36F77"/>
    <w:rsid w:val="00B36F8C"/>
    <w:rsid w:val="00B36F92"/>
    <w:rsid w:val="00B36FE5"/>
    <w:rsid w:val="00B37022"/>
    <w:rsid w:val="00B37025"/>
    <w:rsid w:val="00B3703C"/>
    <w:rsid w:val="00B37049"/>
    <w:rsid w:val="00B37054"/>
    <w:rsid w:val="00B3709D"/>
    <w:rsid w:val="00B370D2"/>
    <w:rsid w:val="00B370DA"/>
    <w:rsid w:val="00B370EB"/>
    <w:rsid w:val="00B37154"/>
    <w:rsid w:val="00B37173"/>
    <w:rsid w:val="00B37185"/>
    <w:rsid w:val="00B37188"/>
    <w:rsid w:val="00B3719F"/>
    <w:rsid w:val="00B371B2"/>
    <w:rsid w:val="00B371BF"/>
    <w:rsid w:val="00B371DB"/>
    <w:rsid w:val="00B371F5"/>
    <w:rsid w:val="00B3721D"/>
    <w:rsid w:val="00B37248"/>
    <w:rsid w:val="00B3728A"/>
    <w:rsid w:val="00B3728E"/>
    <w:rsid w:val="00B3729E"/>
    <w:rsid w:val="00B372B6"/>
    <w:rsid w:val="00B3733F"/>
    <w:rsid w:val="00B3734D"/>
    <w:rsid w:val="00B3735D"/>
    <w:rsid w:val="00B373D7"/>
    <w:rsid w:val="00B3747B"/>
    <w:rsid w:val="00B374BB"/>
    <w:rsid w:val="00B37527"/>
    <w:rsid w:val="00B37579"/>
    <w:rsid w:val="00B375C5"/>
    <w:rsid w:val="00B375EB"/>
    <w:rsid w:val="00B37608"/>
    <w:rsid w:val="00B37653"/>
    <w:rsid w:val="00B3767F"/>
    <w:rsid w:val="00B376B0"/>
    <w:rsid w:val="00B376F9"/>
    <w:rsid w:val="00B3771A"/>
    <w:rsid w:val="00B37757"/>
    <w:rsid w:val="00B37761"/>
    <w:rsid w:val="00B37779"/>
    <w:rsid w:val="00B3778F"/>
    <w:rsid w:val="00B3782C"/>
    <w:rsid w:val="00B37844"/>
    <w:rsid w:val="00B3787A"/>
    <w:rsid w:val="00B37935"/>
    <w:rsid w:val="00B379ED"/>
    <w:rsid w:val="00B37A40"/>
    <w:rsid w:val="00B37AE0"/>
    <w:rsid w:val="00B37B0D"/>
    <w:rsid w:val="00B37B7C"/>
    <w:rsid w:val="00B37B7D"/>
    <w:rsid w:val="00B37BAD"/>
    <w:rsid w:val="00B37BEE"/>
    <w:rsid w:val="00B37C08"/>
    <w:rsid w:val="00B37C58"/>
    <w:rsid w:val="00B37C87"/>
    <w:rsid w:val="00B37C8C"/>
    <w:rsid w:val="00B37C8E"/>
    <w:rsid w:val="00B37CEC"/>
    <w:rsid w:val="00B37D03"/>
    <w:rsid w:val="00B37D09"/>
    <w:rsid w:val="00B37D3B"/>
    <w:rsid w:val="00B37D8E"/>
    <w:rsid w:val="00B37D95"/>
    <w:rsid w:val="00B37E06"/>
    <w:rsid w:val="00B37E67"/>
    <w:rsid w:val="00B37E7A"/>
    <w:rsid w:val="00B37E9A"/>
    <w:rsid w:val="00B37EAA"/>
    <w:rsid w:val="00B37EAD"/>
    <w:rsid w:val="00B37EC3"/>
    <w:rsid w:val="00B37ED9"/>
    <w:rsid w:val="00B37F2B"/>
    <w:rsid w:val="00B37F2C"/>
    <w:rsid w:val="00B37F3C"/>
    <w:rsid w:val="00B37F3D"/>
    <w:rsid w:val="00B37F47"/>
    <w:rsid w:val="00B37F53"/>
    <w:rsid w:val="00B37F5F"/>
    <w:rsid w:val="00B37F94"/>
    <w:rsid w:val="00B37FB9"/>
    <w:rsid w:val="00B37FBD"/>
    <w:rsid w:val="00B37FCC"/>
    <w:rsid w:val="00B400CC"/>
    <w:rsid w:val="00B400DF"/>
    <w:rsid w:val="00B40127"/>
    <w:rsid w:val="00B40129"/>
    <w:rsid w:val="00B4014A"/>
    <w:rsid w:val="00B4016C"/>
    <w:rsid w:val="00B40176"/>
    <w:rsid w:val="00B40295"/>
    <w:rsid w:val="00B4029A"/>
    <w:rsid w:val="00B402A2"/>
    <w:rsid w:val="00B402AD"/>
    <w:rsid w:val="00B402C0"/>
    <w:rsid w:val="00B402E4"/>
    <w:rsid w:val="00B40396"/>
    <w:rsid w:val="00B403DC"/>
    <w:rsid w:val="00B40405"/>
    <w:rsid w:val="00B4044D"/>
    <w:rsid w:val="00B404BD"/>
    <w:rsid w:val="00B404C7"/>
    <w:rsid w:val="00B404DB"/>
    <w:rsid w:val="00B404E8"/>
    <w:rsid w:val="00B404F5"/>
    <w:rsid w:val="00B40508"/>
    <w:rsid w:val="00B40569"/>
    <w:rsid w:val="00B405E9"/>
    <w:rsid w:val="00B405F3"/>
    <w:rsid w:val="00B40620"/>
    <w:rsid w:val="00B40656"/>
    <w:rsid w:val="00B406BC"/>
    <w:rsid w:val="00B406D7"/>
    <w:rsid w:val="00B40728"/>
    <w:rsid w:val="00B40742"/>
    <w:rsid w:val="00B40749"/>
    <w:rsid w:val="00B40759"/>
    <w:rsid w:val="00B40791"/>
    <w:rsid w:val="00B407CC"/>
    <w:rsid w:val="00B40809"/>
    <w:rsid w:val="00B4081A"/>
    <w:rsid w:val="00B4082B"/>
    <w:rsid w:val="00B408B5"/>
    <w:rsid w:val="00B408BA"/>
    <w:rsid w:val="00B408F9"/>
    <w:rsid w:val="00B40906"/>
    <w:rsid w:val="00B4091A"/>
    <w:rsid w:val="00B40932"/>
    <w:rsid w:val="00B4097F"/>
    <w:rsid w:val="00B40981"/>
    <w:rsid w:val="00B409F2"/>
    <w:rsid w:val="00B40A9C"/>
    <w:rsid w:val="00B40AA4"/>
    <w:rsid w:val="00B40AB4"/>
    <w:rsid w:val="00B40B1A"/>
    <w:rsid w:val="00B40B37"/>
    <w:rsid w:val="00B40B58"/>
    <w:rsid w:val="00B40C0F"/>
    <w:rsid w:val="00B40C4F"/>
    <w:rsid w:val="00B40C63"/>
    <w:rsid w:val="00B40CFA"/>
    <w:rsid w:val="00B40D05"/>
    <w:rsid w:val="00B40D0D"/>
    <w:rsid w:val="00B40D1A"/>
    <w:rsid w:val="00B40D2C"/>
    <w:rsid w:val="00B40D3C"/>
    <w:rsid w:val="00B40D55"/>
    <w:rsid w:val="00B40D97"/>
    <w:rsid w:val="00B40EC8"/>
    <w:rsid w:val="00B40EFB"/>
    <w:rsid w:val="00B40F0D"/>
    <w:rsid w:val="00B40F3F"/>
    <w:rsid w:val="00B40F58"/>
    <w:rsid w:val="00B40F59"/>
    <w:rsid w:val="00B40F6A"/>
    <w:rsid w:val="00B40FE5"/>
    <w:rsid w:val="00B41008"/>
    <w:rsid w:val="00B410CA"/>
    <w:rsid w:val="00B4113F"/>
    <w:rsid w:val="00B41142"/>
    <w:rsid w:val="00B4115F"/>
    <w:rsid w:val="00B41180"/>
    <w:rsid w:val="00B4118A"/>
    <w:rsid w:val="00B411A8"/>
    <w:rsid w:val="00B41296"/>
    <w:rsid w:val="00B412C5"/>
    <w:rsid w:val="00B412D0"/>
    <w:rsid w:val="00B412EC"/>
    <w:rsid w:val="00B413A7"/>
    <w:rsid w:val="00B4143A"/>
    <w:rsid w:val="00B414E5"/>
    <w:rsid w:val="00B4151A"/>
    <w:rsid w:val="00B41556"/>
    <w:rsid w:val="00B41564"/>
    <w:rsid w:val="00B41572"/>
    <w:rsid w:val="00B41663"/>
    <w:rsid w:val="00B4168B"/>
    <w:rsid w:val="00B41742"/>
    <w:rsid w:val="00B4178E"/>
    <w:rsid w:val="00B41792"/>
    <w:rsid w:val="00B41825"/>
    <w:rsid w:val="00B41838"/>
    <w:rsid w:val="00B41895"/>
    <w:rsid w:val="00B4196A"/>
    <w:rsid w:val="00B419AA"/>
    <w:rsid w:val="00B419D4"/>
    <w:rsid w:val="00B41A7F"/>
    <w:rsid w:val="00B41A8D"/>
    <w:rsid w:val="00B41A9D"/>
    <w:rsid w:val="00B41AF9"/>
    <w:rsid w:val="00B41BB2"/>
    <w:rsid w:val="00B41BCB"/>
    <w:rsid w:val="00B41C23"/>
    <w:rsid w:val="00B41C47"/>
    <w:rsid w:val="00B41CC8"/>
    <w:rsid w:val="00B41D12"/>
    <w:rsid w:val="00B41DA3"/>
    <w:rsid w:val="00B41E2D"/>
    <w:rsid w:val="00B41E3A"/>
    <w:rsid w:val="00B41FCE"/>
    <w:rsid w:val="00B41FEB"/>
    <w:rsid w:val="00B42005"/>
    <w:rsid w:val="00B42047"/>
    <w:rsid w:val="00B4207D"/>
    <w:rsid w:val="00B420AC"/>
    <w:rsid w:val="00B420DD"/>
    <w:rsid w:val="00B4213C"/>
    <w:rsid w:val="00B42197"/>
    <w:rsid w:val="00B421AB"/>
    <w:rsid w:val="00B42247"/>
    <w:rsid w:val="00B42261"/>
    <w:rsid w:val="00B42281"/>
    <w:rsid w:val="00B42294"/>
    <w:rsid w:val="00B422AC"/>
    <w:rsid w:val="00B422B2"/>
    <w:rsid w:val="00B422F7"/>
    <w:rsid w:val="00B42313"/>
    <w:rsid w:val="00B4235A"/>
    <w:rsid w:val="00B42375"/>
    <w:rsid w:val="00B42381"/>
    <w:rsid w:val="00B4242D"/>
    <w:rsid w:val="00B42484"/>
    <w:rsid w:val="00B424C9"/>
    <w:rsid w:val="00B424D0"/>
    <w:rsid w:val="00B424E3"/>
    <w:rsid w:val="00B4255A"/>
    <w:rsid w:val="00B425AA"/>
    <w:rsid w:val="00B425E9"/>
    <w:rsid w:val="00B4268A"/>
    <w:rsid w:val="00B426AD"/>
    <w:rsid w:val="00B426C0"/>
    <w:rsid w:val="00B426D4"/>
    <w:rsid w:val="00B426D6"/>
    <w:rsid w:val="00B426EB"/>
    <w:rsid w:val="00B426F1"/>
    <w:rsid w:val="00B42746"/>
    <w:rsid w:val="00B42794"/>
    <w:rsid w:val="00B427C6"/>
    <w:rsid w:val="00B427CA"/>
    <w:rsid w:val="00B427EE"/>
    <w:rsid w:val="00B4281A"/>
    <w:rsid w:val="00B42834"/>
    <w:rsid w:val="00B42850"/>
    <w:rsid w:val="00B428BD"/>
    <w:rsid w:val="00B428E6"/>
    <w:rsid w:val="00B42925"/>
    <w:rsid w:val="00B42944"/>
    <w:rsid w:val="00B4295E"/>
    <w:rsid w:val="00B42979"/>
    <w:rsid w:val="00B429BF"/>
    <w:rsid w:val="00B42A0D"/>
    <w:rsid w:val="00B42A0F"/>
    <w:rsid w:val="00B42A2B"/>
    <w:rsid w:val="00B42A52"/>
    <w:rsid w:val="00B42AE5"/>
    <w:rsid w:val="00B42B0E"/>
    <w:rsid w:val="00B42BC3"/>
    <w:rsid w:val="00B42BCB"/>
    <w:rsid w:val="00B42C06"/>
    <w:rsid w:val="00B42C24"/>
    <w:rsid w:val="00B42C50"/>
    <w:rsid w:val="00B42C66"/>
    <w:rsid w:val="00B42C67"/>
    <w:rsid w:val="00B42C85"/>
    <w:rsid w:val="00B42C90"/>
    <w:rsid w:val="00B42C91"/>
    <w:rsid w:val="00B42CB2"/>
    <w:rsid w:val="00B42D0C"/>
    <w:rsid w:val="00B42D33"/>
    <w:rsid w:val="00B42D59"/>
    <w:rsid w:val="00B42D82"/>
    <w:rsid w:val="00B42DB5"/>
    <w:rsid w:val="00B42DC1"/>
    <w:rsid w:val="00B42DD3"/>
    <w:rsid w:val="00B42DE0"/>
    <w:rsid w:val="00B42DFE"/>
    <w:rsid w:val="00B42E2C"/>
    <w:rsid w:val="00B42E30"/>
    <w:rsid w:val="00B42E6D"/>
    <w:rsid w:val="00B42E81"/>
    <w:rsid w:val="00B42EFF"/>
    <w:rsid w:val="00B42F24"/>
    <w:rsid w:val="00B42F6D"/>
    <w:rsid w:val="00B42F8D"/>
    <w:rsid w:val="00B42FA7"/>
    <w:rsid w:val="00B42FBD"/>
    <w:rsid w:val="00B42FD7"/>
    <w:rsid w:val="00B4303C"/>
    <w:rsid w:val="00B43074"/>
    <w:rsid w:val="00B43097"/>
    <w:rsid w:val="00B430C1"/>
    <w:rsid w:val="00B430C4"/>
    <w:rsid w:val="00B430F7"/>
    <w:rsid w:val="00B43119"/>
    <w:rsid w:val="00B4312F"/>
    <w:rsid w:val="00B43169"/>
    <w:rsid w:val="00B431C3"/>
    <w:rsid w:val="00B431EE"/>
    <w:rsid w:val="00B431F4"/>
    <w:rsid w:val="00B43205"/>
    <w:rsid w:val="00B43233"/>
    <w:rsid w:val="00B43235"/>
    <w:rsid w:val="00B4325F"/>
    <w:rsid w:val="00B4327E"/>
    <w:rsid w:val="00B43286"/>
    <w:rsid w:val="00B4328A"/>
    <w:rsid w:val="00B4328B"/>
    <w:rsid w:val="00B432C8"/>
    <w:rsid w:val="00B4332D"/>
    <w:rsid w:val="00B433A9"/>
    <w:rsid w:val="00B433BA"/>
    <w:rsid w:val="00B43461"/>
    <w:rsid w:val="00B434CD"/>
    <w:rsid w:val="00B43550"/>
    <w:rsid w:val="00B4359B"/>
    <w:rsid w:val="00B435A5"/>
    <w:rsid w:val="00B435A6"/>
    <w:rsid w:val="00B435C4"/>
    <w:rsid w:val="00B435F8"/>
    <w:rsid w:val="00B4366C"/>
    <w:rsid w:val="00B4368A"/>
    <w:rsid w:val="00B436E9"/>
    <w:rsid w:val="00B43712"/>
    <w:rsid w:val="00B43739"/>
    <w:rsid w:val="00B43748"/>
    <w:rsid w:val="00B437C4"/>
    <w:rsid w:val="00B437D9"/>
    <w:rsid w:val="00B437E6"/>
    <w:rsid w:val="00B437E7"/>
    <w:rsid w:val="00B43801"/>
    <w:rsid w:val="00B4380B"/>
    <w:rsid w:val="00B4383C"/>
    <w:rsid w:val="00B43890"/>
    <w:rsid w:val="00B43895"/>
    <w:rsid w:val="00B4389E"/>
    <w:rsid w:val="00B438A6"/>
    <w:rsid w:val="00B438BE"/>
    <w:rsid w:val="00B438C4"/>
    <w:rsid w:val="00B438F0"/>
    <w:rsid w:val="00B43923"/>
    <w:rsid w:val="00B4399B"/>
    <w:rsid w:val="00B439B9"/>
    <w:rsid w:val="00B439C0"/>
    <w:rsid w:val="00B439EF"/>
    <w:rsid w:val="00B43A08"/>
    <w:rsid w:val="00B43A0D"/>
    <w:rsid w:val="00B43A74"/>
    <w:rsid w:val="00B43AA0"/>
    <w:rsid w:val="00B43B06"/>
    <w:rsid w:val="00B43B42"/>
    <w:rsid w:val="00B43B4D"/>
    <w:rsid w:val="00B43B50"/>
    <w:rsid w:val="00B43B60"/>
    <w:rsid w:val="00B43B9D"/>
    <w:rsid w:val="00B43BB7"/>
    <w:rsid w:val="00B43BFC"/>
    <w:rsid w:val="00B43C19"/>
    <w:rsid w:val="00B43C31"/>
    <w:rsid w:val="00B43D5E"/>
    <w:rsid w:val="00B43D6D"/>
    <w:rsid w:val="00B43DB9"/>
    <w:rsid w:val="00B43E83"/>
    <w:rsid w:val="00B43ECE"/>
    <w:rsid w:val="00B43EF2"/>
    <w:rsid w:val="00B43F1A"/>
    <w:rsid w:val="00B43F47"/>
    <w:rsid w:val="00B43F6B"/>
    <w:rsid w:val="00B43FAB"/>
    <w:rsid w:val="00B44006"/>
    <w:rsid w:val="00B4400A"/>
    <w:rsid w:val="00B4400D"/>
    <w:rsid w:val="00B44028"/>
    <w:rsid w:val="00B4406C"/>
    <w:rsid w:val="00B44076"/>
    <w:rsid w:val="00B440BF"/>
    <w:rsid w:val="00B440C3"/>
    <w:rsid w:val="00B44144"/>
    <w:rsid w:val="00B44184"/>
    <w:rsid w:val="00B4419E"/>
    <w:rsid w:val="00B441E9"/>
    <w:rsid w:val="00B442B3"/>
    <w:rsid w:val="00B442F4"/>
    <w:rsid w:val="00B44322"/>
    <w:rsid w:val="00B4432B"/>
    <w:rsid w:val="00B44337"/>
    <w:rsid w:val="00B44352"/>
    <w:rsid w:val="00B443AA"/>
    <w:rsid w:val="00B443C2"/>
    <w:rsid w:val="00B443CA"/>
    <w:rsid w:val="00B44485"/>
    <w:rsid w:val="00B444B0"/>
    <w:rsid w:val="00B444E1"/>
    <w:rsid w:val="00B444F5"/>
    <w:rsid w:val="00B44523"/>
    <w:rsid w:val="00B44567"/>
    <w:rsid w:val="00B445AE"/>
    <w:rsid w:val="00B445EB"/>
    <w:rsid w:val="00B4463C"/>
    <w:rsid w:val="00B446CF"/>
    <w:rsid w:val="00B44739"/>
    <w:rsid w:val="00B447CC"/>
    <w:rsid w:val="00B44817"/>
    <w:rsid w:val="00B44846"/>
    <w:rsid w:val="00B44858"/>
    <w:rsid w:val="00B44880"/>
    <w:rsid w:val="00B448BC"/>
    <w:rsid w:val="00B448EA"/>
    <w:rsid w:val="00B44922"/>
    <w:rsid w:val="00B4499D"/>
    <w:rsid w:val="00B44A3E"/>
    <w:rsid w:val="00B44A3F"/>
    <w:rsid w:val="00B44A56"/>
    <w:rsid w:val="00B44A7B"/>
    <w:rsid w:val="00B44ACE"/>
    <w:rsid w:val="00B44B19"/>
    <w:rsid w:val="00B44B2D"/>
    <w:rsid w:val="00B44B37"/>
    <w:rsid w:val="00B44B8E"/>
    <w:rsid w:val="00B44C2F"/>
    <w:rsid w:val="00B44C84"/>
    <w:rsid w:val="00B44C87"/>
    <w:rsid w:val="00B44C8F"/>
    <w:rsid w:val="00B44CC3"/>
    <w:rsid w:val="00B44D00"/>
    <w:rsid w:val="00B44D17"/>
    <w:rsid w:val="00B44D72"/>
    <w:rsid w:val="00B44DA1"/>
    <w:rsid w:val="00B44E2E"/>
    <w:rsid w:val="00B44E42"/>
    <w:rsid w:val="00B44E66"/>
    <w:rsid w:val="00B44E6B"/>
    <w:rsid w:val="00B44EB0"/>
    <w:rsid w:val="00B44ECE"/>
    <w:rsid w:val="00B44F02"/>
    <w:rsid w:val="00B44F50"/>
    <w:rsid w:val="00B44F5F"/>
    <w:rsid w:val="00B44F69"/>
    <w:rsid w:val="00B45017"/>
    <w:rsid w:val="00B4503E"/>
    <w:rsid w:val="00B45067"/>
    <w:rsid w:val="00B45092"/>
    <w:rsid w:val="00B450B3"/>
    <w:rsid w:val="00B45181"/>
    <w:rsid w:val="00B4519B"/>
    <w:rsid w:val="00B451BE"/>
    <w:rsid w:val="00B451C5"/>
    <w:rsid w:val="00B451C6"/>
    <w:rsid w:val="00B45273"/>
    <w:rsid w:val="00B452C3"/>
    <w:rsid w:val="00B452C6"/>
    <w:rsid w:val="00B4535A"/>
    <w:rsid w:val="00B45389"/>
    <w:rsid w:val="00B453A9"/>
    <w:rsid w:val="00B453C4"/>
    <w:rsid w:val="00B453FD"/>
    <w:rsid w:val="00B45473"/>
    <w:rsid w:val="00B45474"/>
    <w:rsid w:val="00B4549D"/>
    <w:rsid w:val="00B454BA"/>
    <w:rsid w:val="00B454BC"/>
    <w:rsid w:val="00B45514"/>
    <w:rsid w:val="00B45548"/>
    <w:rsid w:val="00B45554"/>
    <w:rsid w:val="00B455D5"/>
    <w:rsid w:val="00B45602"/>
    <w:rsid w:val="00B45614"/>
    <w:rsid w:val="00B45657"/>
    <w:rsid w:val="00B45669"/>
    <w:rsid w:val="00B45671"/>
    <w:rsid w:val="00B456A6"/>
    <w:rsid w:val="00B456AD"/>
    <w:rsid w:val="00B456EA"/>
    <w:rsid w:val="00B45702"/>
    <w:rsid w:val="00B45758"/>
    <w:rsid w:val="00B45794"/>
    <w:rsid w:val="00B4579C"/>
    <w:rsid w:val="00B457A8"/>
    <w:rsid w:val="00B457C2"/>
    <w:rsid w:val="00B457F3"/>
    <w:rsid w:val="00B45813"/>
    <w:rsid w:val="00B45825"/>
    <w:rsid w:val="00B4582F"/>
    <w:rsid w:val="00B4586A"/>
    <w:rsid w:val="00B4587D"/>
    <w:rsid w:val="00B458E3"/>
    <w:rsid w:val="00B45909"/>
    <w:rsid w:val="00B45922"/>
    <w:rsid w:val="00B45924"/>
    <w:rsid w:val="00B45943"/>
    <w:rsid w:val="00B4595F"/>
    <w:rsid w:val="00B459CA"/>
    <w:rsid w:val="00B45A00"/>
    <w:rsid w:val="00B45A2D"/>
    <w:rsid w:val="00B45A65"/>
    <w:rsid w:val="00B45A6B"/>
    <w:rsid w:val="00B45A6E"/>
    <w:rsid w:val="00B45AAE"/>
    <w:rsid w:val="00B45AEC"/>
    <w:rsid w:val="00B45AFF"/>
    <w:rsid w:val="00B45B54"/>
    <w:rsid w:val="00B45B88"/>
    <w:rsid w:val="00B45BDC"/>
    <w:rsid w:val="00B45C7E"/>
    <w:rsid w:val="00B45C9A"/>
    <w:rsid w:val="00B45D50"/>
    <w:rsid w:val="00B45D7B"/>
    <w:rsid w:val="00B45DDB"/>
    <w:rsid w:val="00B45E21"/>
    <w:rsid w:val="00B45E27"/>
    <w:rsid w:val="00B45E2E"/>
    <w:rsid w:val="00B45E51"/>
    <w:rsid w:val="00B45E74"/>
    <w:rsid w:val="00B45EAA"/>
    <w:rsid w:val="00B45ED4"/>
    <w:rsid w:val="00B45EDA"/>
    <w:rsid w:val="00B45EF2"/>
    <w:rsid w:val="00B45F28"/>
    <w:rsid w:val="00B45F90"/>
    <w:rsid w:val="00B45FBC"/>
    <w:rsid w:val="00B46036"/>
    <w:rsid w:val="00B4614F"/>
    <w:rsid w:val="00B46187"/>
    <w:rsid w:val="00B4618F"/>
    <w:rsid w:val="00B461B0"/>
    <w:rsid w:val="00B46210"/>
    <w:rsid w:val="00B46273"/>
    <w:rsid w:val="00B462DB"/>
    <w:rsid w:val="00B462FE"/>
    <w:rsid w:val="00B46327"/>
    <w:rsid w:val="00B46335"/>
    <w:rsid w:val="00B46363"/>
    <w:rsid w:val="00B4636E"/>
    <w:rsid w:val="00B4638D"/>
    <w:rsid w:val="00B463CE"/>
    <w:rsid w:val="00B46406"/>
    <w:rsid w:val="00B46409"/>
    <w:rsid w:val="00B4641C"/>
    <w:rsid w:val="00B46446"/>
    <w:rsid w:val="00B46486"/>
    <w:rsid w:val="00B464B6"/>
    <w:rsid w:val="00B464FD"/>
    <w:rsid w:val="00B4650C"/>
    <w:rsid w:val="00B46531"/>
    <w:rsid w:val="00B46550"/>
    <w:rsid w:val="00B4655E"/>
    <w:rsid w:val="00B465D7"/>
    <w:rsid w:val="00B465E6"/>
    <w:rsid w:val="00B4664E"/>
    <w:rsid w:val="00B4665F"/>
    <w:rsid w:val="00B46670"/>
    <w:rsid w:val="00B46675"/>
    <w:rsid w:val="00B466F0"/>
    <w:rsid w:val="00B466F5"/>
    <w:rsid w:val="00B4676F"/>
    <w:rsid w:val="00B4677B"/>
    <w:rsid w:val="00B467BD"/>
    <w:rsid w:val="00B467C9"/>
    <w:rsid w:val="00B467E5"/>
    <w:rsid w:val="00B467EE"/>
    <w:rsid w:val="00B4680C"/>
    <w:rsid w:val="00B46857"/>
    <w:rsid w:val="00B46859"/>
    <w:rsid w:val="00B46874"/>
    <w:rsid w:val="00B468DB"/>
    <w:rsid w:val="00B468E7"/>
    <w:rsid w:val="00B468F6"/>
    <w:rsid w:val="00B4692C"/>
    <w:rsid w:val="00B469EC"/>
    <w:rsid w:val="00B46A0E"/>
    <w:rsid w:val="00B46A59"/>
    <w:rsid w:val="00B46A63"/>
    <w:rsid w:val="00B46ADE"/>
    <w:rsid w:val="00B46AE6"/>
    <w:rsid w:val="00B46AED"/>
    <w:rsid w:val="00B46B1B"/>
    <w:rsid w:val="00B46B1C"/>
    <w:rsid w:val="00B46BB6"/>
    <w:rsid w:val="00B46C0E"/>
    <w:rsid w:val="00B46C10"/>
    <w:rsid w:val="00B46C14"/>
    <w:rsid w:val="00B46C31"/>
    <w:rsid w:val="00B46C55"/>
    <w:rsid w:val="00B46C69"/>
    <w:rsid w:val="00B46D0B"/>
    <w:rsid w:val="00B46D55"/>
    <w:rsid w:val="00B46DCA"/>
    <w:rsid w:val="00B46DD2"/>
    <w:rsid w:val="00B46E1A"/>
    <w:rsid w:val="00B46E3C"/>
    <w:rsid w:val="00B46E47"/>
    <w:rsid w:val="00B46F34"/>
    <w:rsid w:val="00B46F36"/>
    <w:rsid w:val="00B46F37"/>
    <w:rsid w:val="00B46F39"/>
    <w:rsid w:val="00B46F94"/>
    <w:rsid w:val="00B46FD0"/>
    <w:rsid w:val="00B46FE7"/>
    <w:rsid w:val="00B47024"/>
    <w:rsid w:val="00B4707F"/>
    <w:rsid w:val="00B47120"/>
    <w:rsid w:val="00B471A0"/>
    <w:rsid w:val="00B472CA"/>
    <w:rsid w:val="00B47311"/>
    <w:rsid w:val="00B47383"/>
    <w:rsid w:val="00B47385"/>
    <w:rsid w:val="00B473F2"/>
    <w:rsid w:val="00B473FF"/>
    <w:rsid w:val="00B47407"/>
    <w:rsid w:val="00B47428"/>
    <w:rsid w:val="00B4752B"/>
    <w:rsid w:val="00B47536"/>
    <w:rsid w:val="00B47574"/>
    <w:rsid w:val="00B475AA"/>
    <w:rsid w:val="00B475B7"/>
    <w:rsid w:val="00B475D8"/>
    <w:rsid w:val="00B475DE"/>
    <w:rsid w:val="00B4766D"/>
    <w:rsid w:val="00B476A2"/>
    <w:rsid w:val="00B476AA"/>
    <w:rsid w:val="00B476B9"/>
    <w:rsid w:val="00B47762"/>
    <w:rsid w:val="00B47763"/>
    <w:rsid w:val="00B4776B"/>
    <w:rsid w:val="00B4776E"/>
    <w:rsid w:val="00B47842"/>
    <w:rsid w:val="00B4784E"/>
    <w:rsid w:val="00B4787E"/>
    <w:rsid w:val="00B4790F"/>
    <w:rsid w:val="00B47998"/>
    <w:rsid w:val="00B479F9"/>
    <w:rsid w:val="00B479FF"/>
    <w:rsid w:val="00B47A1A"/>
    <w:rsid w:val="00B47A2C"/>
    <w:rsid w:val="00B47A7B"/>
    <w:rsid w:val="00B47A88"/>
    <w:rsid w:val="00B47AB0"/>
    <w:rsid w:val="00B47AF2"/>
    <w:rsid w:val="00B47AFB"/>
    <w:rsid w:val="00B47B12"/>
    <w:rsid w:val="00B47B19"/>
    <w:rsid w:val="00B47B1E"/>
    <w:rsid w:val="00B47BA2"/>
    <w:rsid w:val="00B47BB2"/>
    <w:rsid w:val="00B47BE2"/>
    <w:rsid w:val="00B47BF2"/>
    <w:rsid w:val="00B47BF8"/>
    <w:rsid w:val="00B47C84"/>
    <w:rsid w:val="00B47CBE"/>
    <w:rsid w:val="00B47D04"/>
    <w:rsid w:val="00B47D19"/>
    <w:rsid w:val="00B47D2F"/>
    <w:rsid w:val="00B47D34"/>
    <w:rsid w:val="00B47D6B"/>
    <w:rsid w:val="00B47DB6"/>
    <w:rsid w:val="00B47DB8"/>
    <w:rsid w:val="00B47DC9"/>
    <w:rsid w:val="00B47DDE"/>
    <w:rsid w:val="00B47E37"/>
    <w:rsid w:val="00B47E3D"/>
    <w:rsid w:val="00B47E41"/>
    <w:rsid w:val="00B47E4E"/>
    <w:rsid w:val="00B47EB7"/>
    <w:rsid w:val="00B47F20"/>
    <w:rsid w:val="00B47FB3"/>
    <w:rsid w:val="00B50006"/>
    <w:rsid w:val="00B50072"/>
    <w:rsid w:val="00B5009E"/>
    <w:rsid w:val="00B500A5"/>
    <w:rsid w:val="00B500D0"/>
    <w:rsid w:val="00B500D7"/>
    <w:rsid w:val="00B50100"/>
    <w:rsid w:val="00B50110"/>
    <w:rsid w:val="00B50144"/>
    <w:rsid w:val="00B50235"/>
    <w:rsid w:val="00B502FE"/>
    <w:rsid w:val="00B5031F"/>
    <w:rsid w:val="00B50383"/>
    <w:rsid w:val="00B503A9"/>
    <w:rsid w:val="00B503B4"/>
    <w:rsid w:val="00B503B8"/>
    <w:rsid w:val="00B503ED"/>
    <w:rsid w:val="00B503F1"/>
    <w:rsid w:val="00B50412"/>
    <w:rsid w:val="00B50443"/>
    <w:rsid w:val="00B5045A"/>
    <w:rsid w:val="00B504B7"/>
    <w:rsid w:val="00B504F5"/>
    <w:rsid w:val="00B50517"/>
    <w:rsid w:val="00B50533"/>
    <w:rsid w:val="00B50551"/>
    <w:rsid w:val="00B50562"/>
    <w:rsid w:val="00B5059E"/>
    <w:rsid w:val="00B505AA"/>
    <w:rsid w:val="00B505F8"/>
    <w:rsid w:val="00B5063E"/>
    <w:rsid w:val="00B50643"/>
    <w:rsid w:val="00B5067F"/>
    <w:rsid w:val="00B50688"/>
    <w:rsid w:val="00B506DD"/>
    <w:rsid w:val="00B50701"/>
    <w:rsid w:val="00B50731"/>
    <w:rsid w:val="00B50735"/>
    <w:rsid w:val="00B50771"/>
    <w:rsid w:val="00B50783"/>
    <w:rsid w:val="00B507BF"/>
    <w:rsid w:val="00B507CB"/>
    <w:rsid w:val="00B507DC"/>
    <w:rsid w:val="00B507E8"/>
    <w:rsid w:val="00B5084A"/>
    <w:rsid w:val="00B5087D"/>
    <w:rsid w:val="00B508B2"/>
    <w:rsid w:val="00B508D8"/>
    <w:rsid w:val="00B508F1"/>
    <w:rsid w:val="00B50921"/>
    <w:rsid w:val="00B50948"/>
    <w:rsid w:val="00B50951"/>
    <w:rsid w:val="00B50985"/>
    <w:rsid w:val="00B509AB"/>
    <w:rsid w:val="00B509FC"/>
    <w:rsid w:val="00B50A18"/>
    <w:rsid w:val="00B50A21"/>
    <w:rsid w:val="00B50A3B"/>
    <w:rsid w:val="00B50A62"/>
    <w:rsid w:val="00B50A8D"/>
    <w:rsid w:val="00B50AC4"/>
    <w:rsid w:val="00B50AE9"/>
    <w:rsid w:val="00B50AF8"/>
    <w:rsid w:val="00B50B22"/>
    <w:rsid w:val="00B50BC6"/>
    <w:rsid w:val="00B50C83"/>
    <w:rsid w:val="00B50CBE"/>
    <w:rsid w:val="00B50D5B"/>
    <w:rsid w:val="00B50D6C"/>
    <w:rsid w:val="00B50DC8"/>
    <w:rsid w:val="00B50DE0"/>
    <w:rsid w:val="00B50DFA"/>
    <w:rsid w:val="00B50E4D"/>
    <w:rsid w:val="00B50E6D"/>
    <w:rsid w:val="00B50E86"/>
    <w:rsid w:val="00B50ED1"/>
    <w:rsid w:val="00B50EE9"/>
    <w:rsid w:val="00B50F09"/>
    <w:rsid w:val="00B50FD2"/>
    <w:rsid w:val="00B50FD4"/>
    <w:rsid w:val="00B51020"/>
    <w:rsid w:val="00B51069"/>
    <w:rsid w:val="00B51083"/>
    <w:rsid w:val="00B510C1"/>
    <w:rsid w:val="00B510E7"/>
    <w:rsid w:val="00B51136"/>
    <w:rsid w:val="00B51248"/>
    <w:rsid w:val="00B5124D"/>
    <w:rsid w:val="00B51311"/>
    <w:rsid w:val="00B51344"/>
    <w:rsid w:val="00B51375"/>
    <w:rsid w:val="00B5139F"/>
    <w:rsid w:val="00B513CE"/>
    <w:rsid w:val="00B51449"/>
    <w:rsid w:val="00B51470"/>
    <w:rsid w:val="00B514DB"/>
    <w:rsid w:val="00B514F4"/>
    <w:rsid w:val="00B51507"/>
    <w:rsid w:val="00B51526"/>
    <w:rsid w:val="00B5153B"/>
    <w:rsid w:val="00B515BA"/>
    <w:rsid w:val="00B51710"/>
    <w:rsid w:val="00B5173D"/>
    <w:rsid w:val="00B51766"/>
    <w:rsid w:val="00B51771"/>
    <w:rsid w:val="00B517AD"/>
    <w:rsid w:val="00B517FA"/>
    <w:rsid w:val="00B5184A"/>
    <w:rsid w:val="00B5184C"/>
    <w:rsid w:val="00B51877"/>
    <w:rsid w:val="00B5187E"/>
    <w:rsid w:val="00B51942"/>
    <w:rsid w:val="00B51951"/>
    <w:rsid w:val="00B5198C"/>
    <w:rsid w:val="00B519B2"/>
    <w:rsid w:val="00B519B6"/>
    <w:rsid w:val="00B51A11"/>
    <w:rsid w:val="00B51A57"/>
    <w:rsid w:val="00B51A77"/>
    <w:rsid w:val="00B51ACF"/>
    <w:rsid w:val="00B51B03"/>
    <w:rsid w:val="00B51B0C"/>
    <w:rsid w:val="00B51B27"/>
    <w:rsid w:val="00B51BAE"/>
    <w:rsid w:val="00B51BCF"/>
    <w:rsid w:val="00B51BF4"/>
    <w:rsid w:val="00B51C02"/>
    <w:rsid w:val="00B51C14"/>
    <w:rsid w:val="00B51C26"/>
    <w:rsid w:val="00B51C2D"/>
    <w:rsid w:val="00B51C4C"/>
    <w:rsid w:val="00B51C59"/>
    <w:rsid w:val="00B51C72"/>
    <w:rsid w:val="00B51CBA"/>
    <w:rsid w:val="00B51E16"/>
    <w:rsid w:val="00B51E6B"/>
    <w:rsid w:val="00B51EFA"/>
    <w:rsid w:val="00B51F66"/>
    <w:rsid w:val="00B51F91"/>
    <w:rsid w:val="00B51F97"/>
    <w:rsid w:val="00B51F9A"/>
    <w:rsid w:val="00B52017"/>
    <w:rsid w:val="00B52052"/>
    <w:rsid w:val="00B52078"/>
    <w:rsid w:val="00B520DD"/>
    <w:rsid w:val="00B52151"/>
    <w:rsid w:val="00B521D7"/>
    <w:rsid w:val="00B521E6"/>
    <w:rsid w:val="00B5222A"/>
    <w:rsid w:val="00B52245"/>
    <w:rsid w:val="00B522A5"/>
    <w:rsid w:val="00B522B6"/>
    <w:rsid w:val="00B522BF"/>
    <w:rsid w:val="00B52313"/>
    <w:rsid w:val="00B52332"/>
    <w:rsid w:val="00B523DB"/>
    <w:rsid w:val="00B52461"/>
    <w:rsid w:val="00B524C9"/>
    <w:rsid w:val="00B52551"/>
    <w:rsid w:val="00B5261E"/>
    <w:rsid w:val="00B5262E"/>
    <w:rsid w:val="00B5269F"/>
    <w:rsid w:val="00B526B9"/>
    <w:rsid w:val="00B526E9"/>
    <w:rsid w:val="00B526ED"/>
    <w:rsid w:val="00B5271A"/>
    <w:rsid w:val="00B52724"/>
    <w:rsid w:val="00B5274E"/>
    <w:rsid w:val="00B5275D"/>
    <w:rsid w:val="00B52764"/>
    <w:rsid w:val="00B5276B"/>
    <w:rsid w:val="00B52861"/>
    <w:rsid w:val="00B5287B"/>
    <w:rsid w:val="00B528F6"/>
    <w:rsid w:val="00B52927"/>
    <w:rsid w:val="00B52932"/>
    <w:rsid w:val="00B52992"/>
    <w:rsid w:val="00B5299B"/>
    <w:rsid w:val="00B529ED"/>
    <w:rsid w:val="00B52A12"/>
    <w:rsid w:val="00B52A43"/>
    <w:rsid w:val="00B52AAD"/>
    <w:rsid w:val="00B52AD5"/>
    <w:rsid w:val="00B52B0D"/>
    <w:rsid w:val="00B52B1E"/>
    <w:rsid w:val="00B52B27"/>
    <w:rsid w:val="00B52BB1"/>
    <w:rsid w:val="00B52C2D"/>
    <w:rsid w:val="00B52C4C"/>
    <w:rsid w:val="00B52C9E"/>
    <w:rsid w:val="00B52CCC"/>
    <w:rsid w:val="00B52CF0"/>
    <w:rsid w:val="00B52D17"/>
    <w:rsid w:val="00B52D48"/>
    <w:rsid w:val="00B52DB0"/>
    <w:rsid w:val="00B52DDE"/>
    <w:rsid w:val="00B52E0C"/>
    <w:rsid w:val="00B52E1A"/>
    <w:rsid w:val="00B52EC3"/>
    <w:rsid w:val="00B52F08"/>
    <w:rsid w:val="00B52F50"/>
    <w:rsid w:val="00B52F57"/>
    <w:rsid w:val="00B53063"/>
    <w:rsid w:val="00B53064"/>
    <w:rsid w:val="00B5308C"/>
    <w:rsid w:val="00B530CC"/>
    <w:rsid w:val="00B530F6"/>
    <w:rsid w:val="00B530F9"/>
    <w:rsid w:val="00B53125"/>
    <w:rsid w:val="00B53141"/>
    <w:rsid w:val="00B53167"/>
    <w:rsid w:val="00B531A5"/>
    <w:rsid w:val="00B531AA"/>
    <w:rsid w:val="00B531D2"/>
    <w:rsid w:val="00B5322C"/>
    <w:rsid w:val="00B53267"/>
    <w:rsid w:val="00B5332B"/>
    <w:rsid w:val="00B53346"/>
    <w:rsid w:val="00B53373"/>
    <w:rsid w:val="00B5337C"/>
    <w:rsid w:val="00B533A9"/>
    <w:rsid w:val="00B53413"/>
    <w:rsid w:val="00B53439"/>
    <w:rsid w:val="00B53452"/>
    <w:rsid w:val="00B53471"/>
    <w:rsid w:val="00B534B1"/>
    <w:rsid w:val="00B53539"/>
    <w:rsid w:val="00B53593"/>
    <w:rsid w:val="00B535E5"/>
    <w:rsid w:val="00B535E8"/>
    <w:rsid w:val="00B5362C"/>
    <w:rsid w:val="00B53685"/>
    <w:rsid w:val="00B536A2"/>
    <w:rsid w:val="00B536AF"/>
    <w:rsid w:val="00B536B6"/>
    <w:rsid w:val="00B536D7"/>
    <w:rsid w:val="00B53742"/>
    <w:rsid w:val="00B5375F"/>
    <w:rsid w:val="00B537F3"/>
    <w:rsid w:val="00B53854"/>
    <w:rsid w:val="00B5386B"/>
    <w:rsid w:val="00B53888"/>
    <w:rsid w:val="00B538A4"/>
    <w:rsid w:val="00B538AF"/>
    <w:rsid w:val="00B538CA"/>
    <w:rsid w:val="00B53944"/>
    <w:rsid w:val="00B53945"/>
    <w:rsid w:val="00B53A71"/>
    <w:rsid w:val="00B53A89"/>
    <w:rsid w:val="00B53A91"/>
    <w:rsid w:val="00B53AD7"/>
    <w:rsid w:val="00B53AE5"/>
    <w:rsid w:val="00B53B1A"/>
    <w:rsid w:val="00B53B67"/>
    <w:rsid w:val="00B53BA3"/>
    <w:rsid w:val="00B53BE4"/>
    <w:rsid w:val="00B53BF6"/>
    <w:rsid w:val="00B53C21"/>
    <w:rsid w:val="00B53C27"/>
    <w:rsid w:val="00B53C4F"/>
    <w:rsid w:val="00B53C52"/>
    <w:rsid w:val="00B53CD4"/>
    <w:rsid w:val="00B53CE1"/>
    <w:rsid w:val="00B53D1F"/>
    <w:rsid w:val="00B53D2C"/>
    <w:rsid w:val="00B53D3B"/>
    <w:rsid w:val="00B53D4E"/>
    <w:rsid w:val="00B53D67"/>
    <w:rsid w:val="00B53DB2"/>
    <w:rsid w:val="00B53DCA"/>
    <w:rsid w:val="00B53DF1"/>
    <w:rsid w:val="00B53E0E"/>
    <w:rsid w:val="00B53E35"/>
    <w:rsid w:val="00B53E3B"/>
    <w:rsid w:val="00B53E4F"/>
    <w:rsid w:val="00B53EBD"/>
    <w:rsid w:val="00B53F04"/>
    <w:rsid w:val="00B53F2D"/>
    <w:rsid w:val="00B53F3E"/>
    <w:rsid w:val="00B54034"/>
    <w:rsid w:val="00B5408B"/>
    <w:rsid w:val="00B540B4"/>
    <w:rsid w:val="00B540C4"/>
    <w:rsid w:val="00B54153"/>
    <w:rsid w:val="00B5416A"/>
    <w:rsid w:val="00B541C9"/>
    <w:rsid w:val="00B5427A"/>
    <w:rsid w:val="00B5427B"/>
    <w:rsid w:val="00B5428F"/>
    <w:rsid w:val="00B542BF"/>
    <w:rsid w:val="00B542E9"/>
    <w:rsid w:val="00B542F5"/>
    <w:rsid w:val="00B54312"/>
    <w:rsid w:val="00B54326"/>
    <w:rsid w:val="00B5432A"/>
    <w:rsid w:val="00B5434C"/>
    <w:rsid w:val="00B5435C"/>
    <w:rsid w:val="00B54362"/>
    <w:rsid w:val="00B5437D"/>
    <w:rsid w:val="00B54394"/>
    <w:rsid w:val="00B543E1"/>
    <w:rsid w:val="00B54402"/>
    <w:rsid w:val="00B54433"/>
    <w:rsid w:val="00B54461"/>
    <w:rsid w:val="00B544CD"/>
    <w:rsid w:val="00B54531"/>
    <w:rsid w:val="00B54538"/>
    <w:rsid w:val="00B54599"/>
    <w:rsid w:val="00B5462C"/>
    <w:rsid w:val="00B54652"/>
    <w:rsid w:val="00B54665"/>
    <w:rsid w:val="00B54685"/>
    <w:rsid w:val="00B546B7"/>
    <w:rsid w:val="00B54703"/>
    <w:rsid w:val="00B54757"/>
    <w:rsid w:val="00B54775"/>
    <w:rsid w:val="00B547B8"/>
    <w:rsid w:val="00B547BD"/>
    <w:rsid w:val="00B547F6"/>
    <w:rsid w:val="00B548C2"/>
    <w:rsid w:val="00B548CD"/>
    <w:rsid w:val="00B548D0"/>
    <w:rsid w:val="00B548EE"/>
    <w:rsid w:val="00B54942"/>
    <w:rsid w:val="00B54956"/>
    <w:rsid w:val="00B5498F"/>
    <w:rsid w:val="00B549EC"/>
    <w:rsid w:val="00B54A60"/>
    <w:rsid w:val="00B54AAD"/>
    <w:rsid w:val="00B54ABF"/>
    <w:rsid w:val="00B54AFE"/>
    <w:rsid w:val="00B54B03"/>
    <w:rsid w:val="00B54B0D"/>
    <w:rsid w:val="00B54B1C"/>
    <w:rsid w:val="00B54B75"/>
    <w:rsid w:val="00B54B8B"/>
    <w:rsid w:val="00B54BD3"/>
    <w:rsid w:val="00B54C10"/>
    <w:rsid w:val="00B54C3D"/>
    <w:rsid w:val="00B54C5C"/>
    <w:rsid w:val="00B54C71"/>
    <w:rsid w:val="00B54C7D"/>
    <w:rsid w:val="00B54CAA"/>
    <w:rsid w:val="00B54CAC"/>
    <w:rsid w:val="00B54CBF"/>
    <w:rsid w:val="00B54CC5"/>
    <w:rsid w:val="00B54CDF"/>
    <w:rsid w:val="00B54CE7"/>
    <w:rsid w:val="00B54D47"/>
    <w:rsid w:val="00B54D76"/>
    <w:rsid w:val="00B54DB2"/>
    <w:rsid w:val="00B54DC8"/>
    <w:rsid w:val="00B54DF6"/>
    <w:rsid w:val="00B54E06"/>
    <w:rsid w:val="00B54E2D"/>
    <w:rsid w:val="00B54E37"/>
    <w:rsid w:val="00B54E5C"/>
    <w:rsid w:val="00B54E79"/>
    <w:rsid w:val="00B54E93"/>
    <w:rsid w:val="00B54ECB"/>
    <w:rsid w:val="00B54ED0"/>
    <w:rsid w:val="00B54EEF"/>
    <w:rsid w:val="00B54EFE"/>
    <w:rsid w:val="00B54F7A"/>
    <w:rsid w:val="00B54FA1"/>
    <w:rsid w:val="00B54FA3"/>
    <w:rsid w:val="00B54FBF"/>
    <w:rsid w:val="00B54FDF"/>
    <w:rsid w:val="00B55000"/>
    <w:rsid w:val="00B5501F"/>
    <w:rsid w:val="00B55023"/>
    <w:rsid w:val="00B55045"/>
    <w:rsid w:val="00B550A8"/>
    <w:rsid w:val="00B550B6"/>
    <w:rsid w:val="00B55157"/>
    <w:rsid w:val="00B5516B"/>
    <w:rsid w:val="00B55178"/>
    <w:rsid w:val="00B5517D"/>
    <w:rsid w:val="00B55188"/>
    <w:rsid w:val="00B5518E"/>
    <w:rsid w:val="00B551A0"/>
    <w:rsid w:val="00B551A2"/>
    <w:rsid w:val="00B551CF"/>
    <w:rsid w:val="00B55200"/>
    <w:rsid w:val="00B55204"/>
    <w:rsid w:val="00B55212"/>
    <w:rsid w:val="00B55266"/>
    <w:rsid w:val="00B55276"/>
    <w:rsid w:val="00B552B9"/>
    <w:rsid w:val="00B552D7"/>
    <w:rsid w:val="00B552E9"/>
    <w:rsid w:val="00B552ED"/>
    <w:rsid w:val="00B552F3"/>
    <w:rsid w:val="00B55303"/>
    <w:rsid w:val="00B5532A"/>
    <w:rsid w:val="00B5533A"/>
    <w:rsid w:val="00B55343"/>
    <w:rsid w:val="00B55356"/>
    <w:rsid w:val="00B55387"/>
    <w:rsid w:val="00B553A7"/>
    <w:rsid w:val="00B553F0"/>
    <w:rsid w:val="00B5541E"/>
    <w:rsid w:val="00B554CF"/>
    <w:rsid w:val="00B554F6"/>
    <w:rsid w:val="00B55500"/>
    <w:rsid w:val="00B55563"/>
    <w:rsid w:val="00B55583"/>
    <w:rsid w:val="00B55605"/>
    <w:rsid w:val="00B55650"/>
    <w:rsid w:val="00B55651"/>
    <w:rsid w:val="00B556C2"/>
    <w:rsid w:val="00B556D7"/>
    <w:rsid w:val="00B55733"/>
    <w:rsid w:val="00B55754"/>
    <w:rsid w:val="00B557C3"/>
    <w:rsid w:val="00B557F8"/>
    <w:rsid w:val="00B55848"/>
    <w:rsid w:val="00B558AE"/>
    <w:rsid w:val="00B558AF"/>
    <w:rsid w:val="00B558FC"/>
    <w:rsid w:val="00B559A4"/>
    <w:rsid w:val="00B559B0"/>
    <w:rsid w:val="00B55A26"/>
    <w:rsid w:val="00B55ABB"/>
    <w:rsid w:val="00B55AE1"/>
    <w:rsid w:val="00B55AFD"/>
    <w:rsid w:val="00B55B41"/>
    <w:rsid w:val="00B55BC8"/>
    <w:rsid w:val="00B55C5A"/>
    <w:rsid w:val="00B55C86"/>
    <w:rsid w:val="00B55C97"/>
    <w:rsid w:val="00B55D2E"/>
    <w:rsid w:val="00B55D73"/>
    <w:rsid w:val="00B55D7A"/>
    <w:rsid w:val="00B55DAE"/>
    <w:rsid w:val="00B55DB2"/>
    <w:rsid w:val="00B55DBC"/>
    <w:rsid w:val="00B55DBD"/>
    <w:rsid w:val="00B55E18"/>
    <w:rsid w:val="00B55E66"/>
    <w:rsid w:val="00B55EF1"/>
    <w:rsid w:val="00B55F43"/>
    <w:rsid w:val="00B55F56"/>
    <w:rsid w:val="00B55F87"/>
    <w:rsid w:val="00B56055"/>
    <w:rsid w:val="00B560B4"/>
    <w:rsid w:val="00B560F2"/>
    <w:rsid w:val="00B56100"/>
    <w:rsid w:val="00B56102"/>
    <w:rsid w:val="00B56120"/>
    <w:rsid w:val="00B56122"/>
    <w:rsid w:val="00B56194"/>
    <w:rsid w:val="00B561A1"/>
    <w:rsid w:val="00B56218"/>
    <w:rsid w:val="00B56294"/>
    <w:rsid w:val="00B562E4"/>
    <w:rsid w:val="00B562FE"/>
    <w:rsid w:val="00B5635A"/>
    <w:rsid w:val="00B5636E"/>
    <w:rsid w:val="00B56370"/>
    <w:rsid w:val="00B5639B"/>
    <w:rsid w:val="00B563A2"/>
    <w:rsid w:val="00B56401"/>
    <w:rsid w:val="00B56408"/>
    <w:rsid w:val="00B56425"/>
    <w:rsid w:val="00B56497"/>
    <w:rsid w:val="00B5651C"/>
    <w:rsid w:val="00B56527"/>
    <w:rsid w:val="00B565B5"/>
    <w:rsid w:val="00B565D8"/>
    <w:rsid w:val="00B56653"/>
    <w:rsid w:val="00B56674"/>
    <w:rsid w:val="00B566C2"/>
    <w:rsid w:val="00B566D6"/>
    <w:rsid w:val="00B5671F"/>
    <w:rsid w:val="00B5672F"/>
    <w:rsid w:val="00B5673B"/>
    <w:rsid w:val="00B56772"/>
    <w:rsid w:val="00B56779"/>
    <w:rsid w:val="00B567DF"/>
    <w:rsid w:val="00B567E2"/>
    <w:rsid w:val="00B56816"/>
    <w:rsid w:val="00B56847"/>
    <w:rsid w:val="00B56885"/>
    <w:rsid w:val="00B568C5"/>
    <w:rsid w:val="00B568EA"/>
    <w:rsid w:val="00B5694C"/>
    <w:rsid w:val="00B5697E"/>
    <w:rsid w:val="00B569D2"/>
    <w:rsid w:val="00B56A31"/>
    <w:rsid w:val="00B56A32"/>
    <w:rsid w:val="00B56A35"/>
    <w:rsid w:val="00B56A65"/>
    <w:rsid w:val="00B56A7E"/>
    <w:rsid w:val="00B56AFA"/>
    <w:rsid w:val="00B56B07"/>
    <w:rsid w:val="00B56B36"/>
    <w:rsid w:val="00B56B52"/>
    <w:rsid w:val="00B56B59"/>
    <w:rsid w:val="00B56B95"/>
    <w:rsid w:val="00B56BCF"/>
    <w:rsid w:val="00B56BE4"/>
    <w:rsid w:val="00B56C2A"/>
    <w:rsid w:val="00B56C89"/>
    <w:rsid w:val="00B56C9A"/>
    <w:rsid w:val="00B56CD4"/>
    <w:rsid w:val="00B56CD9"/>
    <w:rsid w:val="00B56D1B"/>
    <w:rsid w:val="00B56D23"/>
    <w:rsid w:val="00B56D3C"/>
    <w:rsid w:val="00B56DA6"/>
    <w:rsid w:val="00B56DAE"/>
    <w:rsid w:val="00B56DE6"/>
    <w:rsid w:val="00B56E09"/>
    <w:rsid w:val="00B56E5E"/>
    <w:rsid w:val="00B56E75"/>
    <w:rsid w:val="00B56EA3"/>
    <w:rsid w:val="00B56EB0"/>
    <w:rsid w:val="00B56ED2"/>
    <w:rsid w:val="00B56EEC"/>
    <w:rsid w:val="00B56F1F"/>
    <w:rsid w:val="00B56F21"/>
    <w:rsid w:val="00B56F33"/>
    <w:rsid w:val="00B56F6D"/>
    <w:rsid w:val="00B56FDB"/>
    <w:rsid w:val="00B57047"/>
    <w:rsid w:val="00B57057"/>
    <w:rsid w:val="00B57065"/>
    <w:rsid w:val="00B570AB"/>
    <w:rsid w:val="00B570D5"/>
    <w:rsid w:val="00B570F8"/>
    <w:rsid w:val="00B57122"/>
    <w:rsid w:val="00B5713F"/>
    <w:rsid w:val="00B57198"/>
    <w:rsid w:val="00B571A3"/>
    <w:rsid w:val="00B57248"/>
    <w:rsid w:val="00B57259"/>
    <w:rsid w:val="00B57260"/>
    <w:rsid w:val="00B572A9"/>
    <w:rsid w:val="00B572E9"/>
    <w:rsid w:val="00B573DE"/>
    <w:rsid w:val="00B57428"/>
    <w:rsid w:val="00B57442"/>
    <w:rsid w:val="00B574A8"/>
    <w:rsid w:val="00B574D2"/>
    <w:rsid w:val="00B57550"/>
    <w:rsid w:val="00B57557"/>
    <w:rsid w:val="00B57602"/>
    <w:rsid w:val="00B5760A"/>
    <w:rsid w:val="00B57636"/>
    <w:rsid w:val="00B57647"/>
    <w:rsid w:val="00B57676"/>
    <w:rsid w:val="00B57691"/>
    <w:rsid w:val="00B57715"/>
    <w:rsid w:val="00B57727"/>
    <w:rsid w:val="00B57763"/>
    <w:rsid w:val="00B57764"/>
    <w:rsid w:val="00B5779E"/>
    <w:rsid w:val="00B577A6"/>
    <w:rsid w:val="00B577CD"/>
    <w:rsid w:val="00B577F7"/>
    <w:rsid w:val="00B57805"/>
    <w:rsid w:val="00B57810"/>
    <w:rsid w:val="00B578A7"/>
    <w:rsid w:val="00B578E7"/>
    <w:rsid w:val="00B5796E"/>
    <w:rsid w:val="00B5798B"/>
    <w:rsid w:val="00B579A7"/>
    <w:rsid w:val="00B579AB"/>
    <w:rsid w:val="00B579EE"/>
    <w:rsid w:val="00B579F3"/>
    <w:rsid w:val="00B57A3D"/>
    <w:rsid w:val="00B57A45"/>
    <w:rsid w:val="00B57A5F"/>
    <w:rsid w:val="00B57A76"/>
    <w:rsid w:val="00B57AA6"/>
    <w:rsid w:val="00B57B4C"/>
    <w:rsid w:val="00B57B6F"/>
    <w:rsid w:val="00B57B85"/>
    <w:rsid w:val="00B57B8F"/>
    <w:rsid w:val="00B57B90"/>
    <w:rsid w:val="00B57BEE"/>
    <w:rsid w:val="00B57C43"/>
    <w:rsid w:val="00B57C8A"/>
    <w:rsid w:val="00B57C94"/>
    <w:rsid w:val="00B57C9A"/>
    <w:rsid w:val="00B57CD5"/>
    <w:rsid w:val="00B57E3C"/>
    <w:rsid w:val="00B57E8D"/>
    <w:rsid w:val="00B57E9E"/>
    <w:rsid w:val="00B57EB8"/>
    <w:rsid w:val="00B57ECB"/>
    <w:rsid w:val="00B57F12"/>
    <w:rsid w:val="00B57FA5"/>
    <w:rsid w:val="00B57FD8"/>
    <w:rsid w:val="00B57FF3"/>
    <w:rsid w:val="00B6002D"/>
    <w:rsid w:val="00B60039"/>
    <w:rsid w:val="00B60070"/>
    <w:rsid w:val="00B600A5"/>
    <w:rsid w:val="00B600C9"/>
    <w:rsid w:val="00B60140"/>
    <w:rsid w:val="00B6015F"/>
    <w:rsid w:val="00B601B0"/>
    <w:rsid w:val="00B601BF"/>
    <w:rsid w:val="00B60256"/>
    <w:rsid w:val="00B60302"/>
    <w:rsid w:val="00B6030F"/>
    <w:rsid w:val="00B60327"/>
    <w:rsid w:val="00B6033C"/>
    <w:rsid w:val="00B60399"/>
    <w:rsid w:val="00B603B8"/>
    <w:rsid w:val="00B60431"/>
    <w:rsid w:val="00B6043E"/>
    <w:rsid w:val="00B60450"/>
    <w:rsid w:val="00B60469"/>
    <w:rsid w:val="00B604BC"/>
    <w:rsid w:val="00B604E4"/>
    <w:rsid w:val="00B604E9"/>
    <w:rsid w:val="00B60576"/>
    <w:rsid w:val="00B605E0"/>
    <w:rsid w:val="00B605E4"/>
    <w:rsid w:val="00B6062C"/>
    <w:rsid w:val="00B606BD"/>
    <w:rsid w:val="00B6070A"/>
    <w:rsid w:val="00B6070F"/>
    <w:rsid w:val="00B6074C"/>
    <w:rsid w:val="00B60763"/>
    <w:rsid w:val="00B60773"/>
    <w:rsid w:val="00B6079B"/>
    <w:rsid w:val="00B607CD"/>
    <w:rsid w:val="00B60806"/>
    <w:rsid w:val="00B6082E"/>
    <w:rsid w:val="00B6088B"/>
    <w:rsid w:val="00B6088F"/>
    <w:rsid w:val="00B6089D"/>
    <w:rsid w:val="00B60925"/>
    <w:rsid w:val="00B609B5"/>
    <w:rsid w:val="00B609C2"/>
    <w:rsid w:val="00B609FC"/>
    <w:rsid w:val="00B60A2F"/>
    <w:rsid w:val="00B60A3D"/>
    <w:rsid w:val="00B60A40"/>
    <w:rsid w:val="00B60A8D"/>
    <w:rsid w:val="00B60A94"/>
    <w:rsid w:val="00B60A9B"/>
    <w:rsid w:val="00B60AA9"/>
    <w:rsid w:val="00B60AAB"/>
    <w:rsid w:val="00B60AC2"/>
    <w:rsid w:val="00B60AD9"/>
    <w:rsid w:val="00B60AE1"/>
    <w:rsid w:val="00B60B35"/>
    <w:rsid w:val="00B60B65"/>
    <w:rsid w:val="00B60B86"/>
    <w:rsid w:val="00B60C00"/>
    <w:rsid w:val="00B60C07"/>
    <w:rsid w:val="00B60C13"/>
    <w:rsid w:val="00B60C73"/>
    <w:rsid w:val="00B60C74"/>
    <w:rsid w:val="00B60C8A"/>
    <w:rsid w:val="00B60C95"/>
    <w:rsid w:val="00B60D07"/>
    <w:rsid w:val="00B60D18"/>
    <w:rsid w:val="00B60D56"/>
    <w:rsid w:val="00B60D5A"/>
    <w:rsid w:val="00B60D95"/>
    <w:rsid w:val="00B60DAF"/>
    <w:rsid w:val="00B60DB2"/>
    <w:rsid w:val="00B60DB7"/>
    <w:rsid w:val="00B60DC2"/>
    <w:rsid w:val="00B60DD6"/>
    <w:rsid w:val="00B60DE8"/>
    <w:rsid w:val="00B60DEC"/>
    <w:rsid w:val="00B60E2B"/>
    <w:rsid w:val="00B60E41"/>
    <w:rsid w:val="00B60E48"/>
    <w:rsid w:val="00B60E75"/>
    <w:rsid w:val="00B60EAA"/>
    <w:rsid w:val="00B60EE0"/>
    <w:rsid w:val="00B60F65"/>
    <w:rsid w:val="00B60F73"/>
    <w:rsid w:val="00B60F95"/>
    <w:rsid w:val="00B60FB5"/>
    <w:rsid w:val="00B60FD3"/>
    <w:rsid w:val="00B60FDE"/>
    <w:rsid w:val="00B6105B"/>
    <w:rsid w:val="00B61071"/>
    <w:rsid w:val="00B6109E"/>
    <w:rsid w:val="00B610AE"/>
    <w:rsid w:val="00B610E9"/>
    <w:rsid w:val="00B61152"/>
    <w:rsid w:val="00B6115C"/>
    <w:rsid w:val="00B6117A"/>
    <w:rsid w:val="00B6119F"/>
    <w:rsid w:val="00B611D9"/>
    <w:rsid w:val="00B6125C"/>
    <w:rsid w:val="00B6129B"/>
    <w:rsid w:val="00B612BF"/>
    <w:rsid w:val="00B61317"/>
    <w:rsid w:val="00B61335"/>
    <w:rsid w:val="00B613B7"/>
    <w:rsid w:val="00B61415"/>
    <w:rsid w:val="00B61472"/>
    <w:rsid w:val="00B614E1"/>
    <w:rsid w:val="00B614E4"/>
    <w:rsid w:val="00B61530"/>
    <w:rsid w:val="00B61563"/>
    <w:rsid w:val="00B6167A"/>
    <w:rsid w:val="00B61692"/>
    <w:rsid w:val="00B616FF"/>
    <w:rsid w:val="00B6173E"/>
    <w:rsid w:val="00B61755"/>
    <w:rsid w:val="00B61767"/>
    <w:rsid w:val="00B6176B"/>
    <w:rsid w:val="00B61789"/>
    <w:rsid w:val="00B617A3"/>
    <w:rsid w:val="00B617BE"/>
    <w:rsid w:val="00B617FD"/>
    <w:rsid w:val="00B6182F"/>
    <w:rsid w:val="00B6183B"/>
    <w:rsid w:val="00B618AD"/>
    <w:rsid w:val="00B618C5"/>
    <w:rsid w:val="00B61913"/>
    <w:rsid w:val="00B6193C"/>
    <w:rsid w:val="00B6194A"/>
    <w:rsid w:val="00B61970"/>
    <w:rsid w:val="00B6199D"/>
    <w:rsid w:val="00B6199E"/>
    <w:rsid w:val="00B619D9"/>
    <w:rsid w:val="00B61B41"/>
    <w:rsid w:val="00B61B44"/>
    <w:rsid w:val="00B61B5E"/>
    <w:rsid w:val="00B61B64"/>
    <w:rsid w:val="00B61B8A"/>
    <w:rsid w:val="00B61C91"/>
    <w:rsid w:val="00B61C96"/>
    <w:rsid w:val="00B61CB2"/>
    <w:rsid w:val="00B61CBA"/>
    <w:rsid w:val="00B61CCC"/>
    <w:rsid w:val="00B61CFE"/>
    <w:rsid w:val="00B61D02"/>
    <w:rsid w:val="00B61D27"/>
    <w:rsid w:val="00B61D49"/>
    <w:rsid w:val="00B61D4C"/>
    <w:rsid w:val="00B61D7D"/>
    <w:rsid w:val="00B61DA6"/>
    <w:rsid w:val="00B61DFE"/>
    <w:rsid w:val="00B61E4E"/>
    <w:rsid w:val="00B61E71"/>
    <w:rsid w:val="00B61E7E"/>
    <w:rsid w:val="00B61EC2"/>
    <w:rsid w:val="00B61EDD"/>
    <w:rsid w:val="00B61F12"/>
    <w:rsid w:val="00B61F64"/>
    <w:rsid w:val="00B61F72"/>
    <w:rsid w:val="00B61FD0"/>
    <w:rsid w:val="00B61FE5"/>
    <w:rsid w:val="00B62039"/>
    <w:rsid w:val="00B62068"/>
    <w:rsid w:val="00B620EC"/>
    <w:rsid w:val="00B62147"/>
    <w:rsid w:val="00B6217D"/>
    <w:rsid w:val="00B62180"/>
    <w:rsid w:val="00B621E1"/>
    <w:rsid w:val="00B62204"/>
    <w:rsid w:val="00B62207"/>
    <w:rsid w:val="00B6220C"/>
    <w:rsid w:val="00B62272"/>
    <w:rsid w:val="00B62277"/>
    <w:rsid w:val="00B622ED"/>
    <w:rsid w:val="00B62329"/>
    <w:rsid w:val="00B6232A"/>
    <w:rsid w:val="00B623BE"/>
    <w:rsid w:val="00B62408"/>
    <w:rsid w:val="00B62454"/>
    <w:rsid w:val="00B62461"/>
    <w:rsid w:val="00B624AA"/>
    <w:rsid w:val="00B624CC"/>
    <w:rsid w:val="00B62525"/>
    <w:rsid w:val="00B62575"/>
    <w:rsid w:val="00B6257D"/>
    <w:rsid w:val="00B62583"/>
    <w:rsid w:val="00B625C9"/>
    <w:rsid w:val="00B6263B"/>
    <w:rsid w:val="00B626A4"/>
    <w:rsid w:val="00B626EA"/>
    <w:rsid w:val="00B62723"/>
    <w:rsid w:val="00B6274D"/>
    <w:rsid w:val="00B6275D"/>
    <w:rsid w:val="00B6275E"/>
    <w:rsid w:val="00B627BA"/>
    <w:rsid w:val="00B627C8"/>
    <w:rsid w:val="00B62881"/>
    <w:rsid w:val="00B6289D"/>
    <w:rsid w:val="00B628A6"/>
    <w:rsid w:val="00B628C1"/>
    <w:rsid w:val="00B6293A"/>
    <w:rsid w:val="00B62964"/>
    <w:rsid w:val="00B629B7"/>
    <w:rsid w:val="00B629BE"/>
    <w:rsid w:val="00B62A21"/>
    <w:rsid w:val="00B62A23"/>
    <w:rsid w:val="00B62A2D"/>
    <w:rsid w:val="00B62A55"/>
    <w:rsid w:val="00B62A87"/>
    <w:rsid w:val="00B62AA4"/>
    <w:rsid w:val="00B62AA5"/>
    <w:rsid w:val="00B62AA7"/>
    <w:rsid w:val="00B62B43"/>
    <w:rsid w:val="00B62B85"/>
    <w:rsid w:val="00B62B8B"/>
    <w:rsid w:val="00B62BBB"/>
    <w:rsid w:val="00B62C0E"/>
    <w:rsid w:val="00B62C2B"/>
    <w:rsid w:val="00B62C62"/>
    <w:rsid w:val="00B62C95"/>
    <w:rsid w:val="00B62CEB"/>
    <w:rsid w:val="00B62D44"/>
    <w:rsid w:val="00B62D55"/>
    <w:rsid w:val="00B62DF9"/>
    <w:rsid w:val="00B62E05"/>
    <w:rsid w:val="00B62E09"/>
    <w:rsid w:val="00B62E48"/>
    <w:rsid w:val="00B62E84"/>
    <w:rsid w:val="00B62E8A"/>
    <w:rsid w:val="00B62EFD"/>
    <w:rsid w:val="00B62F49"/>
    <w:rsid w:val="00B62F5C"/>
    <w:rsid w:val="00B62F78"/>
    <w:rsid w:val="00B62F79"/>
    <w:rsid w:val="00B62FB7"/>
    <w:rsid w:val="00B62FD7"/>
    <w:rsid w:val="00B62FDC"/>
    <w:rsid w:val="00B62FE2"/>
    <w:rsid w:val="00B63015"/>
    <w:rsid w:val="00B63049"/>
    <w:rsid w:val="00B6305C"/>
    <w:rsid w:val="00B6305E"/>
    <w:rsid w:val="00B630A1"/>
    <w:rsid w:val="00B630D5"/>
    <w:rsid w:val="00B630EE"/>
    <w:rsid w:val="00B630F7"/>
    <w:rsid w:val="00B63115"/>
    <w:rsid w:val="00B63133"/>
    <w:rsid w:val="00B6313A"/>
    <w:rsid w:val="00B631B7"/>
    <w:rsid w:val="00B631C7"/>
    <w:rsid w:val="00B631CA"/>
    <w:rsid w:val="00B63249"/>
    <w:rsid w:val="00B6324F"/>
    <w:rsid w:val="00B632B6"/>
    <w:rsid w:val="00B632B8"/>
    <w:rsid w:val="00B632CD"/>
    <w:rsid w:val="00B6330D"/>
    <w:rsid w:val="00B6330E"/>
    <w:rsid w:val="00B6332E"/>
    <w:rsid w:val="00B63379"/>
    <w:rsid w:val="00B6339A"/>
    <w:rsid w:val="00B633C3"/>
    <w:rsid w:val="00B633DB"/>
    <w:rsid w:val="00B633F5"/>
    <w:rsid w:val="00B63450"/>
    <w:rsid w:val="00B63454"/>
    <w:rsid w:val="00B63466"/>
    <w:rsid w:val="00B634CC"/>
    <w:rsid w:val="00B634D3"/>
    <w:rsid w:val="00B634F8"/>
    <w:rsid w:val="00B63553"/>
    <w:rsid w:val="00B635EF"/>
    <w:rsid w:val="00B6360D"/>
    <w:rsid w:val="00B63632"/>
    <w:rsid w:val="00B63660"/>
    <w:rsid w:val="00B63681"/>
    <w:rsid w:val="00B63687"/>
    <w:rsid w:val="00B636B4"/>
    <w:rsid w:val="00B636DB"/>
    <w:rsid w:val="00B6372E"/>
    <w:rsid w:val="00B6375C"/>
    <w:rsid w:val="00B63778"/>
    <w:rsid w:val="00B6377D"/>
    <w:rsid w:val="00B637F9"/>
    <w:rsid w:val="00B63800"/>
    <w:rsid w:val="00B6385A"/>
    <w:rsid w:val="00B6385F"/>
    <w:rsid w:val="00B63877"/>
    <w:rsid w:val="00B63900"/>
    <w:rsid w:val="00B63902"/>
    <w:rsid w:val="00B63913"/>
    <w:rsid w:val="00B63938"/>
    <w:rsid w:val="00B63992"/>
    <w:rsid w:val="00B639C0"/>
    <w:rsid w:val="00B639D1"/>
    <w:rsid w:val="00B639DE"/>
    <w:rsid w:val="00B63A35"/>
    <w:rsid w:val="00B63A37"/>
    <w:rsid w:val="00B63A51"/>
    <w:rsid w:val="00B63A90"/>
    <w:rsid w:val="00B63AD2"/>
    <w:rsid w:val="00B63ADA"/>
    <w:rsid w:val="00B63AF1"/>
    <w:rsid w:val="00B63B0C"/>
    <w:rsid w:val="00B63B0E"/>
    <w:rsid w:val="00B63B2A"/>
    <w:rsid w:val="00B63B65"/>
    <w:rsid w:val="00B63C3D"/>
    <w:rsid w:val="00B63C77"/>
    <w:rsid w:val="00B63C89"/>
    <w:rsid w:val="00B63C8F"/>
    <w:rsid w:val="00B63CB7"/>
    <w:rsid w:val="00B63CF7"/>
    <w:rsid w:val="00B63D02"/>
    <w:rsid w:val="00B63D51"/>
    <w:rsid w:val="00B63DA5"/>
    <w:rsid w:val="00B63DAD"/>
    <w:rsid w:val="00B63DE4"/>
    <w:rsid w:val="00B63E44"/>
    <w:rsid w:val="00B63E4A"/>
    <w:rsid w:val="00B63E5D"/>
    <w:rsid w:val="00B63E8C"/>
    <w:rsid w:val="00B63EBE"/>
    <w:rsid w:val="00B63EC9"/>
    <w:rsid w:val="00B63EF5"/>
    <w:rsid w:val="00B63EF9"/>
    <w:rsid w:val="00B63EFE"/>
    <w:rsid w:val="00B63FA9"/>
    <w:rsid w:val="00B63FB5"/>
    <w:rsid w:val="00B63FB6"/>
    <w:rsid w:val="00B64010"/>
    <w:rsid w:val="00B6402F"/>
    <w:rsid w:val="00B6403E"/>
    <w:rsid w:val="00B64044"/>
    <w:rsid w:val="00B64053"/>
    <w:rsid w:val="00B6405C"/>
    <w:rsid w:val="00B640A1"/>
    <w:rsid w:val="00B640C5"/>
    <w:rsid w:val="00B6410C"/>
    <w:rsid w:val="00B641B6"/>
    <w:rsid w:val="00B641D8"/>
    <w:rsid w:val="00B64210"/>
    <w:rsid w:val="00B64216"/>
    <w:rsid w:val="00B64256"/>
    <w:rsid w:val="00B6425A"/>
    <w:rsid w:val="00B6426D"/>
    <w:rsid w:val="00B6426E"/>
    <w:rsid w:val="00B64291"/>
    <w:rsid w:val="00B6431D"/>
    <w:rsid w:val="00B64327"/>
    <w:rsid w:val="00B643E3"/>
    <w:rsid w:val="00B643E5"/>
    <w:rsid w:val="00B644D3"/>
    <w:rsid w:val="00B644D5"/>
    <w:rsid w:val="00B644E1"/>
    <w:rsid w:val="00B6452D"/>
    <w:rsid w:val="00B645A0"/>
    <w:rsid w:val="00B645E2"/>
    <w:rsid w:val="00B645FC"/>
    <w:rsid w:val="00B645FF"/>
    <w:rsid w:val="00B64643"/>
    <w:rsid w:val="00B6466A"/>
    <w:rsid w:val="00B646C0"/>
    <w:rsid w:val="00B646D8"/>
    <w:rsid w:val="00B646EB"/>
    <w:rsid w:val="00B646F1"/>
    <w:rsid w:val="00B64749"/>
    <w:rsid w:val="00B6475B"/>
    <w:rsid w:val="00B64782"/>
    <w:rsid w:val="00B6478C"/>
    <w:rsid w:val="00B6479D"/>
    <w:rsid w:val="00B647E3"/>
    <w:rsid w:val="00B649A8"/>
    <w:rsid w:val="00B649F8"/>
    <w:rsid w:val="00B649FD"/>
    <w:rsid w:val="00B64AAA"/>
    <w:rsid w:val="00B64ABA"/>
    <w:rsid w:val="00B64B0B"/>
    <w:rsid w:val="00B64B4B"/>
    <w:rsid w:val="00B64BAE"/>
    <w:rsid w:val="00B64BC5"/>
    <w:rsid w:val="00B64BF9"/>
    <w:rsid w:val="00B64C25"/>
    <w:rsid w:val="00B64C6C"/>
    <w:rsid w:val="00B64CC0"/>
    <w:rsid w:val="00B64D43"/>
    <w:rsid w:val="00B64D68"/>
    <w:rsid w:val="00B64D9F"/>
    <w:rsid w:val="00B64DCA"/>
    <w:rsid w:val="00B64DE7"/>
    <w:rsid w:val="00B64E28"/>
    <w:rsid w:val="00B64E6C"/>
    <w:rsid w:val="00B64E8E"/>
    <w:rsid w:val="00B64EC6"/>
    <w:rsid w:val="00B64F04"/>
    <w:rsid w:val="00B64F38"/>
    <w:rsid w:val="00B64F9A"/>
    <w:rsid w:val="00B6500E"/>
    <w:rsid w:val="00B65013"/>
    <w:rsid w:val="00B65026"/>
    <w:rsid w:val="00B65079"/>
    <w:rsid w:val="00B650C0"/>
    <w:rsid w:val="00B650E7"/>
    <w:rsid w:val="00B65106"/>
    <w:rsid w:val="00B6517B"/>
    <w:rsid w:val="00B651FB"/>
    <w:rsid w:val="00B65219"/>
    <w:rsid w:val="00B6525C"/>
    <w:rsid w:val="00B65266"/>
    <w:rsid w:val="00B65287"/>
    <w:rsid w:val="00B6529D"/>
    <w:rsid w:val="00B65387"/>
    <w:rsid w:val="00B6538B"/>
    <w:rsid w:val="00B6538F"/>
    <w:rsid w:val="00B653A7"/>
    <w:rsid w:val="00B65437"/>
    <w:rsid w:val="00B6543B"/>
    <w:rsid w:val="00B65471"/>
    <w:rsid w:val="00B6549C"/>
    <w:rsid w:val="00B654E3"/>
    <w:rsid w:val="00B655CB"/>
    <w:rsid w:val="00B6561F"/>
    <w:rsid w:val="00B65633"/>
    <w:rsid w:val="00B6567D"/>
    <w:rsid w:val="00B65680"/>
    <w:rsid w:val="00B65774"/>
    <w:rsid w:val="00B657F3"/>
    <w:rsid w:val="00B657F4"/>
    <w:rsid w:val="00B657FD"/>
    <w:rsid w:val="00B65830"/>
    <w:rsid w:val="00B65875"/>
    <w:rsid w:val="00B6587F"/>
    <w:rsid w:val="00B6589B"/>
    <w:rsid w:val="00B658BC"/>
    <w:rsid w:val="00B658F9"/>
    <w:rsid w:val="00B65936"/>
    <w:rsid w:val="00B659DB"/>
    <w:rsid w:val="00B65A04"/>
    <w:rsid w:val="00B65A65"/>
    <w:rsid w:val="00B65A69"/>
    <w:rsid w:val="00B65A75"/>
    <w:rsid w:val="00B65A81"/>
    <w:rsid w:val="00B65A8B"/>
    <w:rsid w:val="00B65B4D"/>
    <w:rsid w:val="00B65B93"/>
    <w:rsid w:val="00B65C2A"/>
    <w:rsid w:val="00B65C9C"/>
    <w:rsid w:val="00B65CF8"/>
    <w:rsid w:val="00B65D3C"/>
    <w:rsid w:val="00B65D4A"/>
    <w:rsid w:val="00B65D5D"/>
    <w:rsid w:val="00B65D65"/>
    <w:rsid w:val="00B65D91"/>
    <w:rsid w:val="00B65D99"/>
    <w:rsid w:val="00B65DD7"/>
    <w:rsid w:val="00B65DF6"/>
    <w:rsid w:val="00B65DFD"/>
    <w:rsid w:val="00B65E10"/>
    <w:rsid w:val="00B65E3E"/>
    <w:rsid w:val="00B65F45"/>
    <w:rsid w:val="00B65F4C"/>
    <w:rsid w:val="00B65F9F"/>
    <w:rsid w:val="00B65FC8"/>
    <w:rsid w:val="00B6601E"/>
    <w:rsid w:val="00B66048"/>
    <w:rsid w:val="00B66063"/>
    <w:rsid w:val="00B6607F"/>
    <w:rsid w:val="00B660A4"/>
    <w:rsid w:val="00B660C3"/>
    <w:rsid w:val="00B660CC"/>
    <w:rsid w:val="00B660DB"/>
    <w:rsid w:val="00B66107"/>
    <w:rsid w:val="00B6616B"/>
    <w:rsid w:val="00B661FA"/>
    <w:rsid w:val="00B66215"/>
    <w:rsid w:val="00B662B7"/>
    <w:rsid w:val="00B662E9"/>
    <w:rsid w:val="00B66300"/>
    <w:rsid w:val="00B66315"/>
    <w:rsid w:val="00B6631C"/>
    <w:rsid w:val="00B6631D"/>
    <w:rsid w:val="00B66342"/>
    <w:rsid w:val="00B663A7"/>
    <w:rsid w:val="00B663BD"/>
    <w:rsid w:val="00B663DB"/>
    <w:rsid w:val="00B663F8"/>
    <w:rsid w:val="00B66420"/>
    <w:rsid w:val="00B66427"/>
    <w:rsid w:val="00B66433"/>
    <w:rsid w:val="00B6643C"/>
    <w:rsid w:val="00B66497"/>
    <w:rsid w:val="00B664C1"/>
    <w:rsid w:val="00B664D8"/>
    <w:rsid w:val="00B664F6"/>
    <w:rsid w:val="00B66566"/>
    <w:rsid w:val="00B6657C"/>
    <w:rsid w:val="00B665AA"/>
    <w:rsid w:val="00B665C7"/>
    <w:rsid w:val="00B665E8"/>
    <w:rsid w:val="00B666DF"/>
    <w:rsid w:val="00B6675D"/>
    <w:rsid w:val="00B66798"/>
    <w:rsid w:val="00B667A9"/>
    <w:rsid w:val="00B667E8"/>
    <w:rsid w:val="00B6681E"/>
    <w:rsid w:val="00B6681F"/>
    <w:rsid w:val="00B6682F"/>
    <w:rsid w:val="00B6686E"/>
    <w:rsid w:val="00B66877"/>
    <w:rsid w:val="00B6688B"/>
    <w:rsid w:val="00B66894"/>
    <w:rsid w:val="00B668CB"/>
    <w:rsid w:val="00B668D9"/>
    <w:rsid w:val="00B6694E"/>
    <w:rsid w:val="00B66967"/>
    <w:rsid w:val="00B66977"/>
    <w:rsid w:val="00B66984"/>
    <w:rsid w:val="00B669F5"/>
    <w:rsid w:val="00B66A2B"/>
    <w:rsid w:val="00B66AC6"/>
    <w:rsid w:val="00B66AC7"/>
    <w:rsid w:val="00B66B09"/>
    <w:rsid w:val="00B66B33"/>
    <w:rsid w:val="00B66B6B"/>
    <w:rsid w:val="00B66BD3"/>
    <w:rsid w:val="00B66C14"/>
    <w:rsid w:val="00B66CE5"/>
    <w:rsid w:val="00B66D32"/>
    <w:rsid w:val="00B66D5C"/>
    <w:rsid w:val="00B66D6B"/>
    <w:rsid w:val="00B66D86"/>
    <w:rsid w:val="00B66DB4"/>
    <w:rsid w:val="00B66DF9"/>
    <w:rsid w:val="00B66E07"/>
    <w:rsid w:val="00B66E08"/>
    <w:rsid w:val="00B66E76"/>
    <w:rsid w:val="00B66E88"/>
    <w:rsid w:val="00B66E89"/>
    <w:rsid w:val="00B66EC6"/>
    <w:rsid w:val="00B66F13"/>
    <w:rsid w:val="00B66F65"/>
    <w:rsid w:val="00B66F8B"/>
    <w:rsid w:val="00B66FA9"/>
    <w:rsid w:val="00B66FCC"/>
    <w:rsid w:val="00B66FDE"/>
    <w:rsid w:val="00B67009"/>
    <w:rsid w:val="00B67151"/>
    <w:rsid w:val="00B67163"/>
    <w:rsid w:val="00B6717C"/>
    <w:rsid w:val="00B67190"/>
    <w:rsid w:val="00B671E3"/>
    <w:rsid w:val="00B671EA"/>
    <w:rsid w:val="00B671F7"/>
    <w:rsid w:val="00B67228"/>
    <w:rsid w:val="00B672AC"/>
    <w:rsid w:val="00B6730F"/>
    <w:rsid w:val="00B67361"/>
    <w:rsid w:val="00B6737E"/>
    <w:rsid w:val="00B673AB"/>
    <w:rsid w:val="00B6743F"/>
    <w:rsid w:val="00B674AB"/>
    <w:rsid w:val="00B674C1"/>
    <w:rsid w:val="00B674D6"/>
    <w:rsid w:val="00B674EA"/>
    <w:rsid w:val="00B67539"/>
    <w:rsid w:val="00B67588"/>
    <w:rsid w:val="00B675BC"/>
    <w:rsid w:val="00B675D5"/>
    <w:rsid w:val="00B675D8"/>
    <w:rsid w:val="00B675DB"/>
    <w:rsid w:val="00B675FC"/>
    <w:rsid w:val="00B67630"/>
    <w:rsid w:val="00B6763A"/>
    <w:rsid w:val="00B67690"/>
    <w:rsid w:val="00B67733"/>
    <w:rsid w:val="00B677B1"/>
    <w:rsid w:val="00B677B7"/>
    <w:rsid w:val="00B677B9"/>
    <w:rsid w:val="00B6780B"/>
    <w:rsid w:val="00B6783C"/>
    <w:rsid w:val="00B6785C"/>
    <w:rsid w:val="00B6785F"/>
    <w:rsid w:val="00B67862"/>
    <w:rsid w:val="00B678E4"/>
    <w:rsid w:val="00B678EA"/>
    <w:rsid w:val="00B678F9"/>
    <w:rsid w:val="00B678FD"/>
    <w:rsid w:val="00B67903"/>
    <w:rsid w:val="00B67947"/>
    <w:rsid w:val="00B67971"/>
    <w:rsid w:val="00B67999"/>
    <w:rsid w:val="00B679FA"/>
    <w:rsid w:val="00B67A0E"/>
    <w:rsid w:val="00B67A17"/>
    <w:rsid w:val="00B67A1F"/>
    <w:rsid w:val="00B67A3F"/>
    <w:rsid w:val="00B67A5E"/>
    <w:rsid w:val="00B67A9A"/>
    <w:rsid w:val="00B67AA6"/>
    <w:rsid w:val="00B67ABD"/>
    <w:rsid w:val="00B67B23"/>
    <w:rsid w:val="00B67B37"/>
    <w:rsid w:val="00B67B49"/>
    <w:rsid w:val="00B67B53"/>
    <w:rsid w:val="00B67B9D"/>
    <w:rsid w:val="00B67BDB"/>
    <w:rsid w:val="00B67BDC"/>
    <w:rsid w:val="00B67BEF"/>
    <w:rsid w:val="00B67BF5"/>
    <w:rsid w:val="00B67C16"/>
    <w:rsid w:val="00B67CB0"/>
    <w:rsid w:val="00B67CBC"/>
    <w:rsid w:val="00B67CBF"/>
    <w:rsid w:val="00B67CCB"/>
    <w:rsid w:val="00B67D0B"/>
    <w:rsid w:val="00B67D0D"/>
    <w:rsid w:val="00B67D16"/>
    <w:rsid w:val="00B67D17"/>
    <w:rsid w:val="00B67D41"/>
    <w:rsid w:val="00B67D63"/>
    <w:rsid w:val="00B67DA1"/>
    <w:rsid w:val="00B67DA4"/>
    <w:rsid w:val="00B67DCC"/>
    <w:rsid w:val="00B67E1A"/>
    <w:rsid w:val="00B67E46"/>
    <w:rsid w:val="00B67E5A"/>
    <w:rsid w:val="00B67EE2"/>
    <w:rsid w:val="00B67F12"/>
    <w:rsid w:val="00B67FF4"/>
    <w:rsid w:val="00B70034"/>
    <w:rsid w:val="00B7008A"/>
    <w:rsid w:val="00B700C5"/>
    <w:rsid w:val="00B700CD"/>
    <w:rsid w:val="00B70121"/>
    <w:rsid w:val="00B7015D"/>
    <w:rsid w:val="00B70167"/>
    <w:rsid w:val="00B70196"/>
    <w:rsid w:val="00B7019D"/>
    <w:rsid w:val="00B701CC"/>
    <w:rsid w:val="00B702B1"/>
    <w:rsid w:val="00B702C0"/>
    <w:rsid w:val="00B702DA"/>
    <w:rsid w:val="00B70304"/>
    <w:rsid w:val="00B7035E"/>
    <w:rsid w:val="00B70370"/>
    <w:rsid w:val="00B70456"/>
    <w:rsid w:val="00B7045A"/>
    <w:rsid w:val="00B7045F"/>
    <w:rsid w:val="00B70464"/>
    <w:rsid w:val="00B7048C"/>
    <w:rsid w:val="00B704B7"/>
    <w:rsid w:val="00B704D7"/>
    <w:rsid w:val="00B704DF"/>
    <w:rsid w:val="00B70517"/>
    <w:rsid w:val="00B7051F"/>
    <w:rsid w:val="00B70539"/>
    <w:rsid w:val="00B70599"/>
    <w:rsid w:val="00B705BE"/>
    <w:rsid w:val="00B705C0"/>
    <w:rsid w:val="00B705F5"/>
    <w:rsid w:val="00B705FC"/>
    <w:rsid w:val="00B7061E"/>
    <w:rsid w:val="00B70675"/>
    <w:rsid w:val="00B70683"/>
    <w:rsid w:val="00B7069A"/>
    <w:rsid w:val="00B706D1"/>
    <w:rsid w:val="00B70730"/>
    <w:rsid w:val="00B7078E"/>
    <w:rsid w:val="00B7078F"/>
    <w:rsid w:val="00B7085A"/>
    <w:rsid w:val="00B7085D"/>
    <w:rsid w:val="00B708B9"/>
    <w:rsid w:val="00B708CC"/>
    <w:rsid w:val="00B708D0"/>
    <w:rsid w:val="00B708F0"/>
    <w:rsid w:val="00B70917"/>
    <w:rsid w:val="00B709A7"/>
    <w:rsid w:val="00B709BF"/>
    <w:rsid w:val="00B709F7"/>
    <w:rsid w:val="00B70A53"/>
    <w:rsid w:val="00B70AD3"/>
    <w:rsid w:val="00B70B3F"/>
    <w:rsid w:val="00B70B42"/>
    <w:rsid w:val="00B70B65"/>
    <w:rsid w:val="00B70BBA"/>
    <w:rsid w:val="00B70C1A"/>
    <w:rsid w:val="00B70C3C"/>
    <w:rsid w:val="00B70C50"/>
    <w:rsid w:val="00B70C5F"/>
    <w:rsid w:val="00B70CDA"/>
    <w:rsid w:val="00B70D16"/>
    <w:rsid w:val="00B70D18"/>
    <w:rsid w:val="00B70D48"/>
    <w:rsid w:val="00B70D73"/>
    <w:rsid w:val="00B70D92"/>
    <w:rsid w:val="00B70D96"/>
    <w:rsid w:val="00B70DAE"/>
    <w:rsid w:val="00B70DC5"/>
    <w:rsid w:val="00B70E1B"/>
    <w:rsid w:val="00B70E34"/>
    <w:rsid w:val="00B70E7C"/>
    <w:rsid w:val="00B70E7E"/>
    <w:rsid w:val="00B70E91"/>
    <w:rsid w:val="00B70EB6"/>
    <w:rsid w:val="00B70ECF"/>
    <w:rsid w:val="00B70F08"/>
    <w:rsid w:val="00B70F12"/>
    <w:rsid w:val="00B70F3E"/>
    <w:rsid w:val="00B70F5C"/>
    <w:rsid w:val="00B70F7A"/>
    <w:rsid w:val="00B70FB4"/>
    <w:rsid w:val="00B70FF2"/>
    <w:rsid w:val="00B70FFB"/>
    <w:rsid w:val="00B7100A"/>
    <w:rsid w:val="00B7100E"/>
    <w:rsid w:val="00B7103B"/>
    <w:rsid w:val="00B710B9"/>
    <w:rsid w:val="00B710E7"/>
    <w:rsid w:val="00B7110A"/>
    <w:rsid w:val="00B7111B"/>
    <w:rsid w:val="00B7111D"/>
    <w:rsid w:val="00B71122"/>
    <w:rsid w:val="00B7112E"/>
    <w:rsid w:val="00B71132"/>
    <w:rsid w:val="00B711AF"/>
    <w:rsid w:val="00B711E5"/>
    <w:rsid w:val="00B711EA"/>
    <w:rsid w:val="00B711FE"/>
    <w:rsid w:val="00B7122A"/>
    <w:rsid w:val="00B7124C"/>
    <w:rsid w:val="00B71286"/>
    <w:rsid w:val="00B712C5"/>
    <w:rsid w:val="00B712F7"/>
    <w:rsid w:val="00B71312"/>
    <w:rsid w:val="00B71313"/>
    <w:rsid w:val="00B7131C"/>
    <w:rsid w:val="00B713C5"/>
    <w:rsid w:val="00B71425"/>
    <w:rsid w:val="00B7142B"/>
    <w:rsid w:val="00B71432"/>
    <w:rsid w:val="00B7146C"/>
    <w:rsid w:val="00B714B6"/>
    <w:rsid w:val="00B7155B"/>
    <w:rsid w:val="00B71560"/>
    <w:rsid w:val="00B7156F"/>
    <w:rsid w:val="00B715DB"/>
    <w:rsid w:val="00B7167E"/>
    <w:rsid w:val="00B716E3"/>
    <w:rsid w:val="00B717BC"/>
    <w:rsid w:val="00B717C9"/>
    <w:rsid w:val="00B717E7"/>
    <w:rsid w:val="00B717EB"/>
    <w:rsid w:val="00B717F9"/>
    <w:rsid w:val="00B7180A"/>
    <w:rsid w:val="00B7186E"/>
    <w:rsid w:val="00B7188A"/>
    <w:rsid w:val="00B718B8"/>
    <w:rsid w:val="00B718DB"/>
    <w:rsid w:val="00B718DF"/>
    <w:rsid w:val="00B718E0"/>
    <w:rsid w:val="00B7191A"/>
    <w:rsid w:val="00B71923"/>
    <w:rsid w:val="00B71947"/>
    <w:rsid w:val="00B7194C"/>
    <w:rsid w:val="00B7199B"/>
    <w:rsid w:val="00B719CC"/>
    <w:rsid w:val="00B71A00"/>
    <w:rsid w:val="00B71A23"/>
    <w:rsid w:val="00B71A3D"/>
    <w:rsid w:val="00B71AEC"/>
    <w:rsid w:val="00B71AED"/>
    <w:rsid w:val="00B71B32"/>
    <w:rsid w:val="00B71B73"/>
    <w:rsid w:val="00B71BA3"/>
    <w:rsid w:val="00B71BCF"/>
    <w:rsid w:val="00B71BD1"/>
    <w:rsid w:val="00B71BE9"/>
    <w:rsid w:val="00B71C3D"/>
    <w:rsid w:val="00B71C7F"/>
    <w:rsid w:val="00B71CA2"/>
    <w:rsid w:val="00B71CA5"/>
    <w:rsid w:val="00B71CFC"/>
    <w:rsid w:val="00B71D41"/>
    <w:rsid w:val="00B71D8A"/>
    <w:rsid w:val="00B71DFA"/>
    <w:rsid w:val="00B71E11"/>
    <w:rsid w:val="00B71E39"/>
    <w:rsid w:val="00B71E48"/>
    <w:rsid w:val="00B71E61"/>
    <w:rsid w:val="00B71E65"/>
    <w:rsid w:val="00B71E99"/>
    <w:rsid w:val="00B71F3B"/>
    <w:rsid w:val="00B71F54"/>
    <w:rsid w:val="00B71F9A"/>
    <w:rsid w:val="00B71FA9"/>
    <w:rsid w:val="00B71FD3"/>
    <w:rsid w:val="00B71FFE"/>
    <w:rsid w:val="00B7200B"/>
    <w:rsid w:val="00B72021"/>
    <w:rsid w:val="00B720A7"/>
    <w:rsid w:val="00B720EB"/>
    <w:rsid w:val="00B7210C"/>
    <w:rsid w:val="00B72140"/>
    <w:rsid w:val="00B7215B"/>
    <w:rsid w:val="00B72161"/>
    <w:rsid w:val="00B72175"/>
    <w:rsid w:val="00B72194"/>
    <w:rsid w:val="00B721A0"/>
    <w:rsid w:val="00B721A8"/>
    <w:rsid w:val="00B721BA"/>
    <w:rsid w:val="00B7220D"/>
    <w:rsid w:val="00B72227"/>
    <w:rsid w:val="00B7223C"/>
    <w:rsid w:val="00B7228F"/>
    <w:rsid w:val="00B72296"/>
    <w:rsid w:val="00B722A0"/>
    <w:rsid w:val="00B722BE"/>
    <w:rsid w:val="00B72308"/>
    <w:rsid w:val="00B7234B"/>
    <w:rsid w:val="00B72383"/>
    <w:rsid w:val="00B723D7"/>
    <w:rsid w:val="00B723E4"/>
    <w:rsid w:val="00B723F7"/>
    <w:rsid w:val="00B72405"/>
    <w:rsid w:val="00B7246A"/>
    <w:rsid w:val="00B72491"/>
    <w:rsid w:val="00B724A8"/>
    <w:rsid w:val="00B724C0"/>
    <w:rsid w:val="00B7255E"/>
    <w:rsid w:val="00B72561"/>
    <w:rsid w:val="00B72572"/>
    <w:rsid w:val="00B72588"/>
    <w:rsid w:val="00B725C4"/>
    <w:rsid w:val="00B725CA"/>
    <w:rsid w:val="00B726A1"/>
    <w:rsid w:val="00B726F0"/>
    <w:rsid w:val="00B72701"/>
    <w:rsid w:val="00B72712"/>
    <w:rsid w:val="00B72719"/>
    <w:rsid w:val="00B7273C"/>
    <w:rsid w:val="00B72788"/>
    <w:rsid w:val="00B727E3"/>
    <w:rsid w:val="00B727F1"/>
    <w:rsid w:val="00B7292B"/>
    <w:rsid w:val="00B72970"/>
    <w:rsid w:val="00B72998"/>
    <w:rsid w:val="00B729DC"/>
    <w:rsid w:val="00B72A16"/>
    <w:rsid w:val="00B72A40"/>
    <w:rsid w:val="00B72A9B"/>
    <w:rsid w:val="00B72AB4"/>
    <w:rsid w:val="00B72B94"/>
    <w:rsid w:val="00B72BA2"/>
    <w:rsid w:val="00B72BD9"/>
    <w:rsid w:val="00B72C01"/>
    <w:rsid w:val="00B72C15"/>
    <w:rsid w:val="00B72C52"/>
    <w:rsid w:val="00B72C5C"/>
    <w:rsid w:val="00B72C75"/>
    <w:rsid w:val="00B72C76"/>
    <w:rsid w:val="00B72CE6"/>
    <w:rsid w:val="00B72D03"/>
    <w:rsid w:val="00B72D09"/>
    <w:rsid w:val="00B72D3C"/>
    <w:rsid w:val="00B72D40"/>
    <w:rsid w:val="00B72D5B"/>
    <w:rsid w:val="00B72D61"/>
    <w:rsid w:val="00B72D6C"/>
    <w:rsid w:val="00B72DBF"/>
    <w:rsid w:val="00B72DCC"/>
    <w:rsid w:val="00B72E6F"/>
    <w:rsid w:val="00B72EC2"/>
    <w:rsid w:val="00B72F0B"/>
    <w:rsid w:val="00B72F0D"/>
    <w:rsid w:val="00B72F33"/>
    <w:rsid w:val="00B72F8B"/>
    <w:rsid w:val="00B72FA9"/>
    <w:rsid w:val="00B72FB3"/>
    <w:rsid w:val="00B72FD0"/>
    <w:rsid w:val="00B7302E"/>
    <w:rsid w:val="00B7304A"/>
    <w:rsid w:val="00B73053"/>
    <w:rsid w:val="00B730DF"/>
    <w:rsid w:val="00B730FE"/>
    <w:rsid w:val="00B73114"/>
    <w:rsid w:val="00B73168"/>
    <w:rsid w:val="00B731C0"/>
    <w:rsid w:val="00B73229"/>
    <w:rsid w:val="00B73278"/>
    <w:rsid w:val="00B73279"/>
    <w:rsid w:val="00B7328E"/>
    <w:rsid w:val="00B73388"/>
    <w:rsid w:val="00B733C3"/>
    <w:rsid w:val="00B734B0"/>
    <w:rsid w:val="00B734C5"/>
    <w:rsid w:val="00B734EA"/>
    <w:rsid w:val="00B7353B"/>
    <w:rsid w:val="00B735C7"/>
    <w:rsid w:val="00B73648"/>
    <w:rsid w:val="00B7371F"/>
    <w:rsid w:val="00B73747"/>
    <w:rsid w:val="00B737B9"/>
    <w:rsid w:val="00B737DC"/>
    <w:rsid w:val="00B73873"/>
    <w:rsid w:val="00B738BF"/>
    <w:rsid w:val="00B738E3"/>
    <w:rsid w:val="00B73902"/>
    <w:rsid w:val="00B73914"/>
    <w:rsid w:val="00B7397C"/>
    <w:rsid w:val="00B7398D"/>
    <w:rsid w:val="00B739B3"/>
    <w:rsid w:val="00B73A01"/>
    <w:rsid w:val="00B73A02"/>
    <w:rsid w:val="00B73A0A"/>
    <w:rsid w:val="00B73A23"/>
    <w:rsid w:val="00B73A3E"/>
    <w:rsid w:val="00B73B00"/>
    <w:rsid w:val="00B73BAE"/>
    <w:rsid w:val="00B73BC1"/>
    <w:rsid w:val="00B73BC2"/>
    <w:rsid w:val="00B73C14"/>
    <w:rsid w:val="00B73C4A"/>
    <w:rsid w:val="00B73C4C"/>
    <w:rsid w:val="00B73C5A"/>
    <w:rsid w:val="00B73C64"/>
    <w:rsid w:val="00B73CA6"/>
    <w:rsid w:val="00B73CB8"/>
    <w:rsid w:val="00B73CDA"/>
    <w:rsid w:val="00B73CFD"/>
    <w:rsid w:val="00B73D50"/>
    <w:rsid w:val="00B73D67"/>
    <w:rsid w:val="00B73D94"/>
    <w:rsid w:val="00B73DB2"/>
    <w:rsid w:val="00B73E40"/>
    <w:rsid w:val="00B73E44"/>
    <w:rsid w:val="00B73E5D"/>
    <w:rsid w:val="00B73EE1"/>
    <w:rsid w:val="00B73EF7"/>
    <w:rsid w:val="00B73F01"/>
    <w:rsid w:val="00B73FAE"/>
    <w:rsid w:val="00B73FDD"/>
    <w:rsid w:val="00B7401C"/>
    <w:rsid w:val="00B74020"/>
    <w:rsid w:val="00B7403D"/>
    <w:rsid w:val="00B74049"/>
    <w:rsid w:val="00B740B8"/>
    <w:rsid w:val="00B74100"/>
    <w:rsid w:val="00B741C2"/>
    <w:rsid w:val="00B74219"/>
    <w:rsid w:val="00B74261"/>
    <w:rsid w:val="00B742A3"/>
    <w:rsid w:val="00B742F5"/>
    <w:rsid w:val="00B74391"/>
    <w:rsid w:val="00B7439B"/>
    <w:rsid w:val="00B743BA"/>
    <w:rsid w:val="00B743FA"/>
    <w:rsid w:val="00B7440F"/>
    <w:rsid w:val="00B74412"/>
    <w:rsid w:val="00B744AA"/>
    <w:rsid w:val="00B744BE"/>
    <w:rsid w:val="00B744D1"/>
    <w:rsid w:val="00B7450C"/>
    <w:rsid w:val="00B74520"/>
    <w:rsid w:val="00B74524"/>
    <w:rsid w:val="00B74551"/>
    <w:rsid w:val="00B74566"/>
    <w:rsid w:val="00B74578"/>
    <w:rsid w:val="00B74590"/>
    <w:rsid w:val="00B745A6"/>
    <w:rsid w:val="00B745C8"/>
    <w:rsid w:val="00B74619"/>
    <w:rsid w:val="00B7461D"/>
    <w:rsid w:val="00B74634"/>
    <w:rsid w:val="00B7464F"/>
    <w:rsid w:val="00B74667"/>
    <w:rsid w:val="00B74670"/>
    <w:rsid w:val="00B746B2"/>
    <w:rsid w:val="00B746BF"/>
    <w:rsid w:val="00B746C7"/>
    <w:rsid w:val="00B746C9"/>
    <w:rsid w:val="00B746D9"/>
    <w:rsid w:val="00B746F8"/>
    <w:rsid w:val="00B7475E"/>
    <w:rsid w:val="00B74771"/>
    <w:rsid w:val="00B747EC"/>
    <w:rsid w:val="00B74857"/>
    <w:rsid w:val="00B7485E"/>
    <w:rsid w:val="00B7487E"/>
    <w:rsid w:val="00B748CD"/>
    <w:rsid w:val="00B7494D"/>
    <w:rsid w:val="00B749DE"/>
    <w:rsid w:val="00B74A05"/>
    <w:rsid w:val="00B74A7D"/>
    <w:rsid w:val="00B74AA7"/>
    <w:rsid w:val="00B74AD6"/>
    <w:rsid w:val="00B74AF8"/>
    <w:rsid w:val="00B74B0C"/>
    <w:rsid w:val="00B74B11"/>
    <w:rsid w:val="00B74B3E"/>
    <w:rsid w:val="00B74B8D"/>
    <w:rsid w:val="00B74B94"/>
    <w:rsid w:val="00B74B97"/>
    <w:rsid w:val="00B74B9D"/>
    <w:rsid w:val="00B74BAD"/>
    <w:rsid w:val="00B74BD9"/>
    <w:rsid w:val="00B74BE7"/>
    <w:rsid w:val="00B74C23"/>
    <w:rsid w:val="00B74C28"/>
    <w:rsid w:val="00B74C4E"/>
    <w:rsid w:val="00B74C94"/>
    <w:rsid w:val="00B74CAD"/>
    <w:rsid w:val="00B74CCE"/>
    <w:rsid w:val="00B74CE4"/>
    <w:rsid w:val="00B74D0B"/>
    <w:rsid w:val="00B74D45"/>
    <w:rsid w:val="00B74D5B"/>
    <w:rsid w:val="00B74DF1"/>
    <w:rsid w:val="00B74E73"/>
    <w:rsid w:val="00B74EA1"/>
    <w:rsid w:val="00B74EA5"/>
    <w:rsid w:val="00B74EB8"/>
    <w:rsid w:val="00B74EFA"/>
    <w:rsid w:val="00B74F0E"/>
    <w:rsid w:val="00B74F1D"/>
    <w:rsid w:val="00B74F4D"/>
    <w:rsid w:val="00B74F68"/>
    <w:rsid w:val="00B74F6B"/>
    <w:rsid w:val="00B74FF2"/>
    <w:rsid w:val="00B75053"/>
    <w:rsid w:val="00B7506D"/>
    <w:rsid w:val="00B751D4"/>
    <w:rsid w:val="00B75229"/>
    <w:rsid w:val="00B75274"/>
    <w:rsid w:val="00B75286"/>
    <w:rsid w:val="00B752CB"/>
    <w:rsid w:val="00B75319"/>
    <w:rsid w:val="00B7534A"/>
    <w:rsid w:val="00B7534E"/>
    <w:rsid w:val="00B7536D"/>
    <w:rsid w:val="00B75391"/>
    <w:rsid w:val="00B753A6"/>
    <w:rsid w:val="00B753CD"/>
    <w:rsid w:val="00B75430"/>
    <w:rsid w:val="00B75453"/>
    <w:rsid w:val="00B7552E"/>
    <w:rsid w:val="00B75546"/>
    <w:rsid w:val="00B7554F"/>
    <w:rsid w:val="00B755C9"/>
    <w:rsid w:val="00B7561F"/>
    <w:rsid w:val="00B7564F"/>
    <w:rsid w:val="00B756DD"/>
    <w:rsid w:val="00B756E8"/>
    <w:rsid w:val="00B756ED"/>
    <w:rsid w:val="00B756F9"/>
    <w:rsid w:val="00B7570C"/>
    <w:rsid w:val="00B75750"/>
    <w:rsid w:val="00B7576F"/>
    <w:rsid w:val="00B757AD"/>
    <w:rsid w:val="00B75835"/>
    <w:rsid w:val="00B75841"/>
    <w:rsid w:val="00B7586A"/>
    <w:rsid w:val="00B7586D"/>
    <w:rsid w:val="00B75871"/>
    <w:rsid w:val="00B75945"/>
    <w:rsid w:val="00B7596A"/>
    <w:rsid w:val="00B75A05"/>
    <w:rsid w:val="00B75A3F"/>
    <w:rsid w:val="00B75A78"/>
    <w:rsid w:val="00B75A8F"/>
    <w:rsid w:val="00B75AA6"/>
    <w:rsid w:val="00B75AD2"/>
    <w:rsid w:val="00B75AF1"/>
    <w:rsid w:val="00B75B14"/>
    <w:rsid w:val="00B75B5F"/>
    <w:rsid w:val="00B75BEE"/>
    <w:rsid w:val="00B75C16"/>
    <w:rsid w:val="00B75D21"/>
    <w:rsid w:val="00B75D27"/>
    <w:rsid w:val="00B75D80"/>
    <w:rsid w:val="00B75E1C"/>
    <w:rsid w:val="00B75E30"/>
    <w:rsid w:val="00B75E62"/>
    <w:rsid w:val="00B75E87"/>
    <w:rsid w:val="00B75E9E"/>
    <w:rsid w:val="00B75EA1"/>
    <w:rsid w:val="00B75EC2"/>
    <w:rsid w:val="00B75F36"/>
    <w:rsid w:val="00B75F38"/>
    <w:rsid w:val="00B75F93"/>
    <w:rsid w:val="00B75FFC"/>
    <w:rsid w:val="00B76061"/>
    <w:rsid w:val="00B7608F"/>
    <w:rsid w:val="00B760A1"/>
    <w:rsid w:val="00B760A3"/>
    <w:rsid w:val="00B760AC"/>
    <w:rsid w:val="00B76145"/>
    <w:rsid w:val="00B7615E"/>
    <w:rsid w:val="00B761CD"/>
    <w:rsid w:val="00B76203"/>
    <w:rsid w:val="00B7621C"/>
    <w:rsid w:val="00B76224"/>
    <w:rsid w:val="00B76275"/>
    <w:rsid w:val="00B76286"/>
    <w:rsid w:val="00B762A5"/>
    <w:rsid w:val="00B762B6"/>
    <w:rsid w:val="00B762DB"/>
    <w:rsid w:val="00B76302"/>
    <w:rsid w:val="00B76395"/>
    <w:rsid w:val="00B763A6"/>
    <w:rsid w:val="00B76476"/>
    <w:rsid w:val="00B764C0"/>
    <w:rsid w:val="00B764DF"/>
    <w:rsid w:val="00B7652A"/>
    <w:rsid w:val="00B765B2"/>
    <w:rsid w:val="00B76650"/>
    <w:rsid w:val="00B7668D"/>
    <w:rsid w:val="00B766D0"/>
    <w:rsid w:val="00B766FE"/>
    <w:rsid w:val="00B76707"/>
    <w:rsid w:val="00B7671A"/>
    <w:rsid w:val="00B7671F"/>
    <w:rsid w:val="00B7674D"/>
    <w:rsid w:val="00B7674F"/>
    <w:rsid w:val="00B767CF"/>
    <w:rsid w:val="00B768AC"/>
    <w:rsid w:val="00B768C5"/>
    <w:rsid w:val="00B768F2"/>
    <w:rsid w:val="00B76919"/>
    <w:rsid w:val="00B76943"/>
    <w:rsid w:val="00B7694C"/>
    <w:rsid w:val="00B76961"/>
    <w:rsid w:val="00B7696F"/>
    <w:rsid w:val="00B76999"/>
    <w:rsid w:val="00B769F2"/>
    <w:rsid w:val="00B76A01"/>
    <w:rsid w:val="00B76A48"/>
    <w:rsid w:val="00B76A5E"/>
    <w:rsid w:val="00B76A61"/>
    <w:rsid w:val="00B76A64"/>
    <w:rsid w:val="00B76A65"/>
    <w:rsid w:val="00B76A6E"/>
    <w:rsid w:val="00B76AAB"/>
    <w:rsid w:val="00B76AE5"/>
    <w:rsid w:val="00B76B93"/>
    <w:rsid w:val="00B76BFE"/>
    <w:rsid w:val="00B76C2C"/>
    <w:rsid w:val="00B76C84"/>
    <w:rsid w:val="00B76C9A"/>
    <w:rsid w:val="00B76CB2"/>
    <w:rsid w:val="00B76CD5"/>
    <w:rsid w:val="00B76CF6"/>
    <w:rsid w:val="00B76D07"/>
    <w:rsid w:val="00B76D43"/>
    <w:rsid w:val="00B76D4E"/>
    <w:rsid w:val="00B76D90"/>
    <w:rsid w:val="00B76DB2"/>
    <w:rsid w:val="00B76DD5"/>
    <w:rsid w:val="00B76DE1"/>
    <w:rsid w:val="00B76E2E"/>
    <w:rsid w:val="00B76E5A"/>
    <w:rsid w:val="00B76E67"/>
    <w:rsid w:val="00B76E9A"/>
    <w:rsid w:val="00B77021"/>
    <w:rsid w:val="00B77033"/>
    <w:rsid w:val="00B7703F"/>
    <w:rsid w:val="00B77058"/>
    <w:rsid w:val="00B77080"/>
    <w:rsid w:val="00B77084"/>
    <w:rsid w:val="00B770B7"/>
    <w:rsid w:val="00B7710D"/>
    <w:rsid w:val="00B7715B"/>
    <w:rsid w:val="00B7719F"/>
    <w:rsid w:val="00B77222"/>
    <w:rsid w:val="00B7722F"/>
    <w:rsid w:val="00B77232"/>
    <w:rsid w:val="00B77290"/>
    <w:rsid w:val="00B7729A"/>
    <w:rsid w:val="00B77338"/>
    <w:rsid w:val="00B773C1"/>
    <w:rsid w:val="00B773D5"/>
    <w:rsid w:val="00B773D6"/>
    <w:rsid w:val="00B77454"/>
    <w:rsid w:val="00B7745E"/>
    <w:rsid w:val="00B7751F"/>
    <w:rsid w:val="00B7753E"/>
    <w:rsid w:val="00B7757C"/>
    <w:rsid w:val="00B775A5"/>
    <w:rsid w:val="00B775B7"/>
    <w:rsid w:val="00B77635"/>
    <w:rsid w:val="00B77646"/>
    <w:rsid w:val="00B77656"/>
    <w:rsid w:val="00B77672"/>
    <w:rsid w:val="00B776F5"/>
    <w:rsid w:val="00B776FB"/>
    <w:rsid w:val="00B77746"/>
    <w:rsid w:val="00B7776F"/>
    <w:rsid w:val="00B77793"/>
    <w:rsid w:val="00B777BB"/>
    <w:rsid w:val="00B777C4"/>
    <w:rsid w:val="00B77804"/>
    <w:rsid w:val="00B77821"/>
    <w:rsid w:val="00B77965"/>
    <w:rsid w:val="00B7796B"/>
    <w:rsid w:val="00B77998"/>
    <w:rsid w:val="00B779FD"/>
    <w:rsid w:val="00B77A19"/>
    <w:rsid w:val="00B77A1D"/>
    <w:rsid w:val="00B77A21"/>
    <w:rsid w:val="00B77A98"/>
    <w:rsid w:val="00B77AA2"/>
    <w:rsid w:val="00B77B70"/>
    <w:rsid w:val="00B77B72"/>
    <w:rsid w:val="00B77B8B"/>
    <w:rsid w:val="00B77B9C"/>
    <w:rsid w:val="00B77BC8"/>
    <w:rsid w:val="00B77BFF"/>
    <w:rsid w:val="00B77C3C"/>
    <w:rsid w:val="00B77C67"/>
    <w:rsid w:val="00B77CAC"/>
    <w:rsid w:val="00B77CE6"/>
    <w:rsid w:val="00B77D22"/>
    <w:rsid w:val="00B77D60"/>
    <w:rsid w:val="00B77D69"/>
    <w:rsid w:val="00B77DAD"/>
    <w:rsid w:val="00B77DBF"/>
    <w:rsid w:val="00B77DE8"/>
    <w:rsid w:val="00B77DF2"/>
    <w:rsid w:val="00B77DF6"/>
    <w:rsid w:val="00B77E21"/>
    <w:rsid w:val="00B77E30"/>
    <w:rsid w:val="00B77E3A"/>
    <w:rsid w:val="00B77E75"/>
    <w:rsid w:val="00B77ED7"/>
    <w:rsid w:val="00B77EDA"/>
    <w:rsid w:val="00B77EEB"/>
    <w:rsid w:val="00B77F85"/>
    <w:rsid w:val="00B77FA2"/>
    <w:rsid w:val="00B80012"/>
    <w:rsid w:val="00B8005E"/>
    <w:rsid w:val="00B80074"/>
    <w:rsid w:val="00B800A0"/>
    <w:rsid w:val="00B800D1"/>
    <w:rsid w:val="00B80222"/>
    <w:rsid w:val="00B80267"/>
    <w:rsid w:val="00B80298"/>
    <w:rsid w:val="00B802AB"/>
    <w:rsid w:val="00B802C8"/>
    <w:rsid w:val="00B802CD"/>
    <w:rsid w:val="00B802CF"/>
    <w:rsid w:val="00B802E1"/>
    <w:rsid w:val="00B80332"/>
    <w:rsid w:val="00B80343"/>
    <w:rsid w:val="00B80370"/>
    <w:rsid w:val="00B80393"/>
    <w:rsid w:val="00B803B7"/>
    <w:rsid w:val="00B803BA"/>
    <w:rsid w:val="00B803C9"/>
    <w:rsid w:val="00B8049E"/>
    <w:rsid w:val="00B804CF"/>
    <w:rsid w:val="00B80546"/>
    <w:rsid w:val="00B80551"/>
    <w:rsid w:val="00B80576"/>
    <w:rsid w:val="00B8057F"/>
    <w:rsid w:val="00B8058A"/>
    <w:rsid w:val="00B805A7"/>
    <w:rsid w:val="00B80637"/>
    <w:rsid w:val="00B8064E"/>
    <w:rsid w:val="00B806CA"/>
    <w:rsid w:val="00B806DA"/>
    <w:rsid w:val="00B806F2"/>
    <w:rsid w:val="00B80771"/>
    <w:rsid w:val="00B8077F"/>
    <w:rsid w:val="00B80796"/>
    <w:rsid w:val="00B807AA"/>
    <w:rsid w:val="00B807BB"/>
    <w:rsid w:val="00B807CB"/>
    <w:rsid w:val="00B80875"/>
    <w:rsid w:val="00B808D6"/>
    <w:rsid w:val="00B808E3"/>
    <w:rsid w:val="00B8099E"/>
    <w:rsid w:val="00B8099F"/>
    <w:rsid w:val="00B809C0"/>
    <w:rsid w:val="00B80A1E"/>
    <w:rsid w:val="00B80A32"/>
    <w:rsid w:val="00B80A3E"/>
    <w:rsid w:val="00B80A64"/>
    <w:rsid w:val="00B80A85"/>
    <w:rsid w:val="00B80BEB"/>
    <w:rsid w:val="00B80C27"/>
    <w:rsid w:val="00B80C7F"/>
    <w:rsid w:val="00B80C9E"/>
    <w:rsid w:val="00B80CC5"/>
    <w:rsid w:val="00B80CDE"/>
    <w:rsid w:val="00B80D22"/>
    <w:rsid w:val="00B80E18"/>
    <w:rsid w:val="00B80E46"/>
    <w:rsid w:val="00B80EA9"/>
    <w:rsid w:val="00B80EB2"/>
    <w:rsid w:val="00B80EB6"/>
    <w:rsid w:val="00B80ECF"/>
    <w:rsid w:val="00B80ED1"/>
    <w:rsid w:val="00B80F5D"/>
    <w:rsid w:val="00B80F73"/>
    <w:rsid w:val="00B80FB4"/>
    <w:rsid w:val="00B80FCD"/>
    <w:rsid w:val="00B80FCF"/>
    <w:rsid w:val="00B80FDB"/>
    <w:rsid w:val="00B80FF7"/>
    <w:rsid w:val="00B810DA"/>
    <w:rsid w:val="00B81108"/>
    <w:rsid w:val="00B8110F"/>
    <w:rsid w:val="00B8112B"/>
    <w:rsid w:val="00B81148"/>
    <w:rsid w:val="00B8115E"/>
    <w:rsid w:val="00B811A8"/>
    <w:rsid w:val="00B811CA"/>
    <w:rsid w:val="00B811D2"/>
    <w:rsid w:val="00B811F9"/>
    <w:rsid w:val="00B81200"/>
    <w:rsid w:val="00B812D4"/>
    <w:rsid w:val="00B8135D"/>
    <w:rsid w:val="00B8135F"/>
    <w:rsid w:val="00B81378"/>
    <w:rsid w:val="00B81413"/>
    <w:rsid w:val="00B8148D"/>
    <w:rsid w:val="00B8149A"/>
    <w:rsid w:val="00B814BB"/>
    <w:rsid w:val="00B814C8"/>
    <w:rsid w:val="00B81533"/>
    <w:rsid w:val="00B81610"/>
    <w:rsid w:val="00B81645"/>
    <w:rsid w:val="00B81654"/>
    <w:rsid w:val="00B81671"/>
    <w:rsid w:val="00B816D0"/>
    <w:rsid w:val="00B816DE"/>
    <w:rsid w:val="00B8172B"/>
    <w:rsid w:val="00B8175C"/>
    <w:rsid w:val="00B8179A"/>
    <w:rsid w:val="00B817E5"/>
    <w:rsid w:val="00B8183C"/>
    <w:rsid w:val="00B818B0"/>
    <w:rsid w:val="00B818FF"/>
    <w:rsid w:val="00B81909"/>
    <w:rsid w:val="00B81942"/>
    <w:rsid w:val="00B81975"/>
    <w:rsid w:val="00B819DB"/>
    <w:rsid w:val="00B819E8"/>
    <w:rsid w:val="00B81A16"/>
    <w:rsid w:val="00B81A59"/>
    <w:rsid w:val="00B81B26"/>
    <w:rsid w:val="00B81B55"/>
    <w:rsid w:val="00B81B78"/>
    <w:rsid w:val="00B81BAB"/>
    <w:rsid w:val="00B81BEA"/>
    <w:rsid w:val="00B81C08"/>
    <w:rsid w:val="00B81C2E"/>
    <w:rsid w:val="00B81C30"/>
    <w:rsid w:val="00B81C95"/>
    <w:rsid w:val="00B81C9D"/>
    <w:rsid w:val="00B81CC2"/>
    <w:rsid w:val="00B81CD3"/>
    <w:rsid w:val="00B81D14"/>
    <w:rsid w:val="00B81D9F"/>
    <w:rsid w:val="00B81DE2"/>
    <w:rsid w:val="00B81E06"/>
    <w:rsid w:val="00B81E30"/>
    <w:rsid w:val="00B81E4F"/>
    <w:rsid w:val="00B81E54"/>
    <w:rsid w:val="00B81E72"/>
    <w:rsid w:val="00B81EEC"/>
    <w:rsid w:val="00B81F20"/>
    <w:rsid w:val="00B81F24"/>
    <w:rsid w:val="00B81F84"/>
    <w:rsid w:val="00B81FB4"/>
    <w:rsid w:val="00B82009"/>
    <w:rsid w:val="00B8203F"/>
    <w:rsid w:val="00B82048"/>
    <w:rsid w:val="00B8204A"/>
    <w:rsid w:val="00B82094"/>
    <w:rsid w:val="00B820D5"/>
    <w:rsid w:val="00B82148"/>
    <w:rsid w:val="00B82171"/>
    <w:rsid w:val="00B8218C"/>
    <w:rsid w:val="00B821ED"/>
    <w:rsid w:val="00B821F4"/>
    <w:rsid w:val="00B821FB"/>
    <w:rsid w:val="00B8221B"/>
    <w:rsid w:val="00B8225D"/>
    <w:rsid w:val="00B82275"/>
    <w:rsid w:val="00B82298"/>
    <w:rsid w:val="00B822BE"/>
    <w:rsid w:val="00B822ED"/>
    <w:rsid w:val="00B82383"/>
    <w:rsid w:val="00B82396"/>
    <w:rsid w:val="00B82399"/>
    <w:rsid w:val="00B823C8"/>
    <w:rsid w:val="00B82428"/>
    <w:rsid w:val="00B82445"/>
    <w:rsid w:val="00B82497"/>
    <w:rsid w:val="00B824D7"/>
    <w:rsid w:val="00B824D9"/>
    <w:rsid w:val="00B82566"/>
    <w:rsid w:val="00B82594"/>
    <w:rsid w:val="00B82597"/>
    <w:rsid w:val="00B8259E"/>
    <w:rsid w:val="00B8266A"/>
    <w:rsid w:val="00B8267E"/>
    <w:rsid w:val="00B82688"/>
    <w:rsid w:val="00B826C4"/>
    <w:rsid w:val="00B826D3"/>
    <w:rsid w:val="00B826DA"/>
    <w:rsid w:val="00B826FB"/>
    <w:rsid w:val="00B827A9"/>
    <w:rsid w:val="00B82824"/>
    <w:rsid w:val="00B8288D"/>
    <w:rsid w:val="00B828AE"/>
    <w:rsid w:val="00B828B8"/>
    <w:rsid w:val="00B828E9"/>
    <w:rsid w:val="00B828EA"/>
    <w:rsid w:val="00B82931"/>
    <w:rsid w:val="00B8293D"/>
    <w:rsid w:val="00B8294D"/>
    <w:rsid w:val="00B82956"/>
    <w:rsid w:val="00B829C2"/>
    <w:rsid w:val="00B829DA"/>
    <w:rsid w:val="00B82A2D"/>
    <w:rsid w:val="00B82A3A"/>
    <w:rsid w:val="00B82AF8"/>
    <w:rsid w:val="00B82B54"/>
    <w:rsid w:val="00B82B65"/>
    <w:rsid w:val="00B82B93"/>
    <w:rsid w:val="00B82BC6"/>
    <w:rsid w:val="00B82BD1"/>
    <w:rsid w:val="00B82BDD"/>
    <w:rsid w:val="00B82BF5"/>
    <w:rsid w:val="00B82C03"/>
    <w:rsid w:val="00B82C3A"/>
    <w:rsid w:val="00B82C79"/>
    <w:rsid w:val="00B82CE3"/>
    <w:rsid w:val="00B82CE8"/>
    <w:rsid w:val="00B82CF5"/>
    <w:rsid w:val="00B82D2B"/>
    <w:rsid w:val="00B82D2C"/>
    <w:rsid w:val="00B82DDD"/>
    <w:rsid w:val="00B82E00"/>
    <w:rsid w:val="00B82E11"/>
    <w:rsid w:val="00B82E38"/>
    <w:rsid w:val="00B82E47"/>
    <w:rsid w:val="00B82E97"/>
    <w:rsid w:val="00B82EA2"/>
    <w:rsid w:val="00B82F0C"/>
    <w:rsid w:val="00B82F4A"/>
    <w:rsid w:val="00B82F6F"/>
    <w:rsid w:val="00B83047"/>
    <w:rsid w:val="00B83082"/>
    <w:rsid w:val="00B830A3"/>
    <w:rsid w:val="00B830CB"/>
    <w:rsid w:val="00B830ED"/>
    <w:rsid w:val="00B83140"/>
    <w:rsid w:val="00B831AD"/>
    <w:rsid w:val="00B832D6"/>
    <w:rsid w:val="00B8331F"/>
    <w:rsid w:val="00B83337"/>
    <w:rsid w:val="00B8338C"/>
    <w:rsid w:val="00B8338F"/>
    <w:rsid w:val="00B833C7"/>
    <w:rsid w:val="00B833D8"/>
    <w:rsid w:val="00B833F6"/>
    <w:rsid w:val="00B8340D"/>
    <w:rsid w:val="00B83412"/>
    <w:rsid w:val="00B83432"/>
    <w:rsid w:val="00B8344B"/>
    <w:rsid w:val="00B8344D"/>
    <w:rsid w:val="00B8349C"/>
    <w:rsid w:val="00B834D8"/>
    <w:rsid w:val="00B834FD"/>
    <w:rsid w:val="00B83510"/>
    <w:rsid w:val="00B83536"/>
    <w:rsid w:val="00B83577"/>
    <w:rsid w:val="00B835B9"/>
    <w:rsid w:val="00B8360D"/>
    <w:rsid w:val="00B8364A"/>
    <w:rsid w:val="00B8366C"/>
    <w:rsid w:val="00B836DF"/>
    <w:rsid w:val="00B836E9"/>
    <w:rsid w:val="00B83711"/>
    <w:rsid w:val="00B83770"/>
    <w:rsid w:val="00B8378E"/>
    <w:rsid w:val="00B837C3"/>
    <w:rsid w:val="00B837EE"/>
    <w:rsid w:val="00B837FC"/>
    <w:rsid w:val="00B8385B"/>
    <w:rsid w:val="00B83880"/>
    <w:rsid w:val="00B83882"/>
    <w:rsid w:val="00B838BB"/>
    <w:rsid w:val="00B838E1"/>
    <w:rsid w:val="00B838FB"/>
    <w:rsid w:val="00B838FC"/>
    <w:rsid w:val="00B83959"/>
    <w:rsid w:val="00B8395D"/>
    <w:rsid w:val="00B839BF"/>
    <w:rsid w:val="00B839DC"/>
    <w:rsid w:val="00B839FA"/>
    <w:rsid w:val="00B83A05"/>
    <w:rsid w:val="00B83A56"/>
    <w:rsid w:val="00B83A5B"/>
    <w:rsid w:val="00B83A71"/>
    <w:rsid w:val="00B83A7F"/>
    <w:rsid w:val="00B83AC7"/>
    <w:rsid w:val="00B83B37"/>
    <w:rsid w:val="00B83B4D"/>
    <w:rsid w:val="00B83B5F"/>
    <w:rsid w:val="00B83B70"/>
    <w:rsid w:val="00B83B82"/>
    <w:rsid w:val="00B83B93"/>
    <w:rsid w:val="00B83BAE"/>
    <w:rsid w:val="00B83BB1"/>
    <w:rsid w:val="00B83BCE"/>
    <w:rsid w:val="00B83C07"/>
    <w:rsid w:val="00B83C0A"/>
    <w:rsid w:val="00B83CAA"/>
    <w:rsid w:val="00B83CF2"/>
    <w:rsid w:val="00B83CF4"/>
    <w:rsid w:val="00B83D23"/>
    <w:rsid w:val="00B83D55"/>
    <w:rsid w:val="00B83D6F"/>
    <w:rsid w:val="00B83D7B"/>
    <w:rsid w:val="00B83DA4"/>
    <w:rsid w:val="00B83DFE"/>
    <w:rsid w:val="00B83E1D"/>
    <w:rsid w:val="00B83E32"/>
    <w:rsid w:val="00B83E55"/>
    <w:rsid w:val="00B83E79"/>
    <w:rsid w:val="00B83ECC"/>
    <w:rsid w:val="00B83F63"/>
    <w:rsid w:val="00B83FE6"/>
    <w:rsid w:val="00B84077"/>
    <w:rsid w:val="00B8408E"/>
    <w:rsid w:val="00B840AF"/>
    <w:rsid w:val="00B840DC"/>
    <w:rsid w:val="00B840FA"/>
    <w:rsid w:val="00B840FE"/>
    <w:rsid w:val="00B8413B"/>
    <w:rsid w:val="00B84167"/>
    <w:rsid w:val="00B8419C"/>
    <w:rsid w:val="00B841F2"/>
    <w:rsid w:val="00B8426F"/>
    <w:rsid w:val="00B84378"/>
    <w:rsid w:val="00B84395"/>
    <w:rsid w:val="00B8439C"/>
    <w:rsid w:val="00B843BD"/>
    <w:rsid w:val="00B843F4"/>
    <w:rsid w:val="00B843F9"/>
    <w:rsid w:val="00B84447"/>
    <w:rsid w:val="00B8444F"/>
    <w:rsid w:val="00B84462"/>
    <w:rsid w:val="00B84488"/>
    <w:rsid w:val="00B84494"/>
    <w:rsid w:val="00B8449E"/>
    <w:rsid w:val="00B844B2"/>
    <w:rsid w:val="00B844EC"/>
    <w:rsid w:val="00B844EF"/>
    <w:rsid w:val="00B844F5"/>
    <w:rsid w:val="00B8459A"/>
    <w:rsid w:val="00B84633"/>
    <w:rsid w:val="00B84683"/>
    <w:rsid w:val="00B846B2"/>
    <w:rsid w:val="00B846C1"/>
    <w:rsid w:val="00B846FA"/>
    <w:rsid w:val="00B8472B"/>
    <w:rsid w:val="00B8472E"/>
    <w:rsid w:val="00B84753"/>
    <w:rsid w:val="00B84771"/>
    <w:rsid w:val="00B847BB"/>
    <w:rsid w:val="00B847BC"/>
    <w:rsid w:val="00B84808"/>
    <w:rsid w:val="00B8485B"/>
    <w:rsid w:val="00B8486C"/>
    <w:rsid w:val="00B84871"/>
    <w:rsid w:val="00B84892"/>
    <w:rsid w:val="00B848D5"/>
    <w:rsid w:val="00B84935"/>
    <w:rsid w:val="00B8494E"/>
    <w:rsid w:val="00B8494F"/>
    <w:rsid w:val="00B8496F"/>
    <w:rsid w:val="00B849AA"/>
    <w:rsid w:val="00B849F6"/>
    <w:rsid w:val="00B84A13"/>
    <w:rsid w:val="00B84A1E"/>
    <w:rsid w:val="00B84A7D"/>
    <w:rsid w:val="00B84A8A"/>
    <w:rsid w:val="00B84AA7"/>
    <w:rsid w:val="00B84AAD"/>
    <w:rsid w:val="00B84AE3"/>
    <w:rsid w:val="00B84BC4"/>
    <w:rsid w:val="00B84C18"/>
    <w:rsid w:val="00B84C22"/>
    <w:rsid w:val="00B84C42"/>
    <w:rsid w:val="00B84C75"/>
    <w:rsid w:val="00B84C8D"/>
    <w:rsid w:val="00B84CCC"/>
    <w:rsid w:val="00B84D19"/>
    <w:rsid w:val="00B84D33"/>
    <w:rsid w:val="00B84D70"/>
    <w:rsid w:val="00B84D9A"/>
    <w:rsid w:val="00B84DBD"/>
    <w:rsid w:val="00B84DC5"/>
    <w:rsid w:val="00B84E2A"/>
    <w:rsid w:val="00B84E4F"/>
    <w:rsid w:val="00B84E51"/>
    <w:rsid w:val="00B84E58"/>
    <w:rsid w:val="00B84E6C"/>
    <w:rsid w:val="00B84F85"/>
    <w:rsid w:val="00B8501A"/>
    <w:rsid w:val="00B8503D"/>
    <w:rsid w:val="00B85081"/>
    <w:rsid w:val="00B850A7"/>
    <w:rsid w:val="00B850CF"/>
    <w:rsid w:val="00B850DA"/>
    <w:rsid w:val="00B8510E"/>
    <w:rsid w:val="00B8511F"/>
    <w:rsid w:val="00B85150"/>
    <w:rsid w:val="00B8516D"/>
    <w:rsid w:val="00B851A4"/>
    <w:rsid w:val="00B851DC"/>
    <w:rsid w:val="00B851F4"/>
    <w:rsid w:val="00B8520C"/>
    <w:rsid w:val="00B85254"/>
    <w:rsid w:val="00B8526A"/>
    <w:rsid w:val="00B852A7"/>
    <w:rsid w:val="00B8531A"/>
    <w:rsid w:val="00B85340"/>
    <w:rsid w:val="00B85359"/>
    <w:rsid w:val="00B853AB"/>
    <w:rsid w:val="00B8540A"/>
    <w:rsid w:val="00B85497"/>
    <w:rsid w:val="00B854BA"/>
    <w:rsid w:val="00B854C2"/>
    <w:rsid w:val="00B8550B"/>
    <w:rsid w:val="00B85566"/>
    <w:rsid w:val="00B855CB"/>
    <w:rsid w:val="00B855FA"/>
    <w:rsid w:val="00B8560A"/>
    <w:rsid w:val="00B8567C"/>
    <w:rsid w:val="00B8569F"/>
    <w:rsid w:val="00B8572F"/>
    <w:rsid w:val="00B8576D"/>
    <w:rsid w:val="00B8577D"/>
    <w:rsid w:val="00B8578E"/>
    <w:rsid w:val="00B85830"/>
    <w:rsid w:val="00B8586C"/>
    <w:rsid w:val="00B8587C"/>
    <w:rsid w:val="00B858AF"/>
    <w:rsid w:val="00B858FC"/>
    <w:rsid w:val="00B85912"/>
    <w:rsid w:val="00B8596F"/>
    <w:rsid w:val="00B859B9"/>
    <w:rsid w:val="00B85A35"/>
    <w:rsid w:val="00B85A3B"/>
    <w:rsid w:val="00B85A56"/>
    <w:rsid w:val="00B85A9D"/>
    <w:rsid w:val="00B85AFC"/>
    <w:rsid w:val="00B85C0A"/>
    <w:rsid w:val="00B85C3C"/>
    <w:rsid w:val="00B85C43"/>
    <w:rsid w:val="00B85C95"/>
    <w:rsid w:val="00B85C98"/>
    <w:rsid w:val="00B85DAC"/>
    <w:rsid w:val="00B85DB4"/>
    <w:rsid w:val="00B85DC8"/>
    <w:rsid w:val="00B85DCF"/>
    <w:rsid w:val="00B85E85"/>
    <w:rsid w:val="00B85EA4"/>
    <w:rsid w:val="00B85EDA"/>
    <w:rsid w:val="00B85F05"/>
    <w:rsid w:val="00B86037"/>
    <w:rsid w:val="00B8604F"/>
    <w:rsid w:val="00B86066"/>
    <w:rsid w:val="00B860D6"/>
    <w:rsid w:val="00B860F2"/>
    <w:rsid w:val="00B861E2"/>
    <w:rsid w:val="00B86220"/>
    <w:rsid w:val="00B8623B"/>
    <w:rsid w:val="00B8625B"/>
    <w:rsid w:val="00B8625F"/>
    <w:rsid w:val="00B86292"/>
    <w:rsid w:val="00B8629E"/>
    <w:rsid w:val="00B862E3"/>
    <w:rsid w:val="00B862E6"/>
    <w:rsid w:val="00B86338"/>
    <w:rsid w:val="00B86355"/>
    <w:rsid w:val="00B86370"/>
    <w:rsid w:val="00B863C0"/>
    <w:rsid w:val="00B8641F"/>
    <w:rsid w:val="00B86432"/>
    <w:rsid w:val="00B86437"/>
    <w:rsid w:val="00B8644F"/>
    <w:rsid w:val="00B86463"/>
    <w:rsid w:val="00B864AF"/>
    <w:rsid w:val="00B86591"/>
    <w:rsid w:val="00B8661B"/>
    <w:rsid w:val="00B86634"/>
    <w:rsid w:val="00B8663C"/>
    <w:rsid w:val="00B86648"/>
    <w:rsid w:val="00B86655"/>
    <w:rsid w:val="00B86683"/>
    <w:rsid w:val="00B86685"/>
    <w:rsid w:val="00B866CB"/>
    <w:rsid w:val="00B86712"/>
    <w:rsid w:val="00B867A2"/>
    <w:rsid w:val="00B867D6"/>
    <w:rsid w:val="00B867F9"/>
    <w:rsid w:val="00B86806"/>
    <w:rsid w:val="00B868A4"/>
    <w:rsid w:val="00B868BB"/>
    <w:rsid w:val="00B868CC"/>
    <w:rsid w:val="00B868D7"/>
    <w:rsid w:val="00B8690C"/>
    <w:rsid w:val="00B86911"/>
    <w:rsid w:val="00B86934"/>
    <w:rsid w:val="00B8697B"/>
    <w:rsid w:val="00B86998"/>
    <w:rsid w:val="00B869A9"/>
    <w:rsid w:val="00B869AE"/>
    <w:rsid w:val="00B869C9"/>
    <w:rsid w:val="00B86A24"/>
    <w:rsid w:val="00B86A33"/>
    <w:rsid w:val="00B86B03"/>
    <w:rsid w:val="00B86B2D"/>
    <w:rsid w:val="00B86B47"/>
    <w:rsid w:val="00B86B6E"/>
    <w:rsid w:val="00B86BEE"/>
    <w:rsid w:val="00B86BFA"/>
    <w:rsid w:val="00B86C02"/>
    <w:rsid w:val="00B86C34"/>
    <w:rsid w:val="00B86C7E"/>
    <w:rsid w:val="00B86C8D"/>
    <w:rsid w:val="00B86CDC"/>
    <w:rsid w:val="00B86D2E"/>
    <w:rsid w:val="00B86DD0"/>
    <w:rsid w:val="00B86E0E"/>
    <w:rsid w:val="00B86E2F"/>
    <w:rsid w:val="00B86E3D"/>
    <w:rsid w:val="00B86E77"/>
    <w:rsid w:val="00B86E98"/>
    <w:rsid w:val="00B86EAF"/>
    <w:rsid w:val="00B86EC7"/>
    <w:rsid w:val="00B86F18"/>
    <w:rsid w:val="00B86F73"/>
    <w:rsid w:val="00B87014"/>
    <w:rsid w:val="00B87058"/>
    <w:rsid w:val="00B8705C"/>
    <w:rsid w:val="00B8705D"/>
    <w:rsid w:val="00B870C8"/>
    <w:rsid w:val="00B870DF"/>
    <w:rsid w:val="00B87108"/>
    <w:rsid w:val="00B8710B"/>
    <w:rsid w:val="00B87116"/>
    <w:rsid w:val="00B87138"/>
    <w:rsid w:val="00B87165"/>
    <w:rsid w:val="00B87181"/>
    <w:rsid w:val="00B87187"/>
    <w:rsid w:val="00B871C9"/>
    <w:rsid w:val="00B871E4"/>
    <w:rsid w:val="00B871F7"/>
    <w:rsid w:val="00B87234"/>
    <w:rsid w:val="00B8725A"/>
    <w:rsid w:val="00B872A4"/>
    <w:rsid w:val="00B872C0"/>
    <w:rsid w:val="00B872D3"/>
    <w:rsid w:val="00B872E8"/>
    <w:rsid w:val="00B87307"/>
    <w:rsid w:val="00B87320"/>
    <w:rsid w:val="00B8735A"/>
    <w:rsid w:val="00B873C6"/>
    <w:rsid w:val="00B873E5"/>
    <w:rsid w:val="00B873F0"/>
    <w:rsid w:val="00B87408"/>
    <w:rsid w:val="00B8748B"/>
    <w:rsid w:val="00B874FB"/>
    <w:rsid w:val="00B8750B"/>
    <w:rsid w:val="00B87661"/>
    <w:rsid w:val="00B87669"/>
    <w:rsid w:val="00B87683"/>
    <w:rsid w:val="00B8768E"/>
    <w:rsid w:val="00B8770A"/>
    <w:rsid w:val="00B8775F"/>
    <w:rsid w:val="00B8778E"/>
    <w:rsid w:val="00B877BE"/>
    <w:rsid w:val="00B877E6"/>
    <w:rsid w:val="00B8780C"/>
    <w:rsid w:val="00B8781B"/>
    <w:rsid w:val="00B87820"/>
    <w:rsid w:val="00B8785B"/>
    <w:rsid w:val="00B87863"/>
    <w:rsid w:val="00B878B1"/>
    <w:rsid w:val="00B87950"/>
    <w:rsid w:val="00B87979"/>
    <w:rsid w:val="00B8799A"/>
    <w:rsid w:val="00B879AA"/>
    <w:rsid w:val="00B879BE"/>
    <w:rsid w:val="00B879D4"/>
    <w:rsid w:val="00B879E6"/>
    <w:rsid w:val="00B87A88"/>
    <w:rsid w:val="00B87AB6"/>
    <w:rsid w:val="00B87AE6"/>
    <w:rsid w:val="00B87B6C"/>
    <w:rsid w:val="00B87BB8"/>
    <w:rsid w:val="00B87BEB"/>
    <w:rsid w:val="00B87C12"/>
    <w:rsid w:val="00B87C33"/>
    <w:rsid w:val="00B87C86"/>
    <w:rsid w:val="00B87C93"/>
    <w:rsid w:val="00B87D02"/>
    <w:rsid w:val="00B87D69"/>
    <w:rsid w:val="00B87D77"/>
    <w:rsid w:val="00B87E04"/>
    <w:rsid w:val="00B87E46"/>
    <w:rsid w:val="00B87E57"/>
    <w:rsid w:val="00B87E8C"/>
    <w:rsid w:val="00B87EB3"/>
    <w:rsid w:val="00B87EC3"/>
    <w:rsid w:val="00B87F41"/>
    <w:rsid w:val="00B9002E"/>
    <w:rsid w:val="00B90079"/>
    <w:rsid w:val="00B9008C"/>
    <w:rsid w:val="00B900FA"/>
    <w:rsid w:val="00B9013C"/>
    <w:rsid w:val="00B90156"/>
    <w:rsid w:val="00B901A1"/>
    <w:rsid w:val="00B901A5"/>
    <w:rsid w:val="00B901B1"/>
    <w:rsid w:val="00B901BD"/>
    <w:rsid w:val="00B90203"/>
    <w:rsid w:val="00B90254"/>
    <w:rsid w:val="00B902AF"/>
    <w:rsid w:val="00B9030E"/>
    <w:rsid w:val="00B9033D"/>
    <w:rsid w:val="00B9039F"/>
    <w:rsid w:val="00B903AC"/>
    <w:rsid w:val="00B903DE"/>
    <w:rsid w:val="00B903E2"/>
    <w:rsid w:val="00B903F4"/>
    <w:rsid w:val="00B9041F"/>
    <w:rsid w:val="00B9045D"/>
    <w:rsid w:val="00B9046A"/>
    <w:rsid w:val="00B9046F"/>
    <w:rsid w:val="00B904AA"/>
    <w:rsid w:val="00B904D1"/>
    <w:rsid w:val="00B90540"/>
    <w:rsid w:val="00B90575"/>
    <w:rsid w:val="00B9059B"/>
    <w:rsid w:val="00B905C0"/>
    <w:rsid w:val="00B905D3"/>
    <w:rsid w:val="00B905FB"/>
    <w:rsid w:val="00B9060D"/>
    <w:rsid w:val="00B90651"/>
    <w:rsid w:val="00B90686"/>
    <w:rsid w:val="00B906D2"/>
    <w:rsid w:val="00B906D9"/>
    <w:rsid w:val="00B90704"/>
    <w:rsid w:val="00B90715"/>
    <w:rsid w:val="00B9072F"/>
    <w:rsid w:val="00B907AD"/>
    <w:rsid w:val="00B907D4"/>
    <w:rsid w:val="00B907FE"/>
    <w:rsid w:val="00B9096B"/>
    <w:rsid w:val="00B9096F"/>
    <w:rsid w:val="00B90970"/>
    <w:rsid w:val="00B9098B"/>
    <w:rsid w:val="00B9099F"/>
    <w:rsid w:val="00B909CF"/>
    <w:rsid w:val="00B90A1A"/>
    <w:rsid w:val="00B90A82"/>
    <w:rsid w:val="00B90A99"/>
    <w:rsid w:val="00B90AD8"/>
    <w:rsid w:val="00B90AE3"/>
    <w:rsid w:val="00B90B2F"/>
    <w:rsid w:val="00B90B53"/>
    <w:rsid w:val="00B90B9B"/>
    <w:rsid w:val="00B90C06"/>
    <w:rsid w:val="00B90C0C"/>
    <w:rsid w:val="00B90C1B"/>
    <w:rsid w:val="00B90C21"/>
    <w:rsid w:val="00B90C63"/>
    <w:rsid w:val="00B90C9E"/>
    <w:rsid w:val="00B90CB2"/>
    <w:rsid w:val="00B90D91"/>
    <w:rsid w:val="00B90DF2"/>
    <w:rsid w:val="00B90E0D"/>
    <w:rsid w:val="00B90E3F"/>
    <w:rsid w:val="00B90E4E"/>
    <w:rsid w:val="00B90E5F"/>
    <w:rsid w:val="00B90EE8"/>
    <w:rsid w:val="00B90EF4"/>
    <w:rsid w:val="00B90F2B"/>
    <w:rsid w:val="00B90F52"/>
    <w:rsid w:val="00B90FF9"/>
    <w:rsid w:val="00B91024"/>
    <w:rsid w:val="00B91030"/>
    <w:rsid w:val="00B91096"/>
    <w:rsid w:val="00B910D8"/>
    <w:rsid w:val="00B91129"/>
    <w:rsid w:val="00B9119C"/>
    <w:rsid w:val="00B911A8"/>
    <w:rsid w:val="00B911EA"/>
    <w:rsid w:val="00B91258"/>
    <w:rsid w:val="00B912A2"/>
    <w:rsid w:val="00B912E9"/>
    <w:rsid w:val="00B91349"/>
    <w:rsid w:val="00B91355"/>
    <w:rsid w:val="00B913AC"/>
    <w:rsid w:val="00B913E2"/>
    <w:rsid w:val="00B913E6"/>
    <w:rsid w:val="00B913FE"/>
    <w:rsid w:val="00B91408"/>
    <w:rsid w:val="00B9145B"/>
    <w:rsid w:val="00B914A6"/>
    <w:rsid w:val="00B914AF"/>
    <w:rsid w:val="00B914D0"/>
    <w:rsid w:val="00B9156D"/>
    <w:rsid w:val="00B91581"/>
    <w:rsid w:val="00B9161E"/>
    <w:rsid w:val="00B91621"/>
    <w:rsid w:val="00B9162C"/>
    <w:rsid w:val="00B91655"/>
    <w:rsid w:val="00B91696"/>
    <w:rsid w:val="00B9174E"/>
    <w:rsid w:val="00B91751"/>
    <w:rsid w:val="00B91756"/>
    <w:rsid w:val="00B917D9"/>
    <w:rsid w:val="00B9183D"/>
    <w:rsid w:val="00B9184C"/>
    <w:rsid w:val="00B91860"/>
    <w:rsid w:val="00B91869"/>
    <w:rsid w:val="00B91874"/>
    <w:rsid w:val="00B918A1"/>
    <w:rsid w:val="00B918C6"/>
    <w:rsid w:val="00B918E3"/>
    <w:rsid w:val="00B918FA"/>
    <w:rsid w:val="00B91937"/>
    <w:rsid w:val="00B9193F"/>
    <w:rsid w:val="00B91950"/>
    <w:rsid w:val="00B9195B"/>
    <w:rsid w:val="00B91988"/>
    <w:rsid w:val="00B919CD"/>
    <w:rsid w:val="00B919EA"/>
    <w:rsid w:val="00B91A2E"/>
    <w:rsid w:val="00B91A4B"/>
    <w:rsid w:val="00B91AE0"/>
    <w:rsid w:val="00B91AE6"/>
    <w:rsid w:val="00B91B1F"/>
    <w:rsid w:val="00B91B54"/>
    <w:rsid w:val="00B91B9A"/>
    <w:rsid w:val="00B91BD3"/>
    <w:rsid w:val="00B91BE9"/>
    <w:rsid w:val="00B91C02"/>
    <w:rsid w:val="00B91C0D"/>
    <w:rsid w:val="00B91C85"/>
    <w:rsid w:val="00B91CC2"/>
    <w:rsid w:val="00B91CFF"/>
    <w:rsid w:val="00B91D1B"/>
    <w:rsid w:val="00B91D48"/>
    <w:rsid w:val="00B91D9C"/>
    <w:rsid w:val="00B91DAD"/>
    <w:rsid w:val="00B91DC6"/>
    <w:rsid w:val="00B91DE0"/>
    <w:rsid w:val="00B91E36"/>
    <w:rsid w:val="00B91E44"/>
    <w:rsid w:val="00B91EE6"/>
    <w:rsid w:val="00B91EF0"/>
    <w:rsid w:val="00B91F27"/>
    <w:rsid w:val="00B91F37"/>
    <w:rsid w:val="00B91F57"/>
    <w:rsid w:val="00B91FE8"/>
    <w:rsid w:val="00B9200E"/>
    <w:rsid w:val="00B9201D"/>
    <w:rsid w:val="00B9202F"/>
    <w:rsid w:val="00B92058"/>
    <w:rsid w:val="00B92083"/>
    <w:rsid w:val="00B92085"/>
    <w:rsid w:val="00B9208F"/>
    <w:rsid w:val="00B920A3"/>
    <w:rsid w:val="00B920B1"/>
    <w:rsid w:val="00B92104"/>
    <w:rsid w:val="00B9212A"/>
    <w:rsid w:val="00B92133"/>
    <w:rsid w:val="00B921B2"/>
    <w:rsid w:val="00B921BD"/>
    <w:rsid w:val="00B921E5"/>
    <w:rsid w:val="00B92205"/>
    <w:rsid w:val="00B92218"/>
    <w:rsid w:val="00B9221E"/>
    <w:rsid w:val="00B92220"/>
    <w:rsid w:val="00B9222C"/>
    <w:rsid w:val="00B92245"/>
    <w:rsid w:val="00B92247"/>
    <w:rsid w:val="00B9225A"/>
    <w:rsid w:val="00B9225C"/>
    <w:rsid w:val="00B92265"/>
    <w:rsid w:val="00B92274"/>
    <w:rsid w:val="00B922CF"/>
    <w:rsid w:val="00B922F8"/>
    <w:rsid w:val="00B9230D"/>
    <w:rsid w:val="00B92317"/>
    <w:rsid w:val="00B92321"/>
    <w:rsid w:val="00B9236D"/>
    <w:rsid w:val="00B923C5"/>
    <w:rsid w:val="00B92697"/>
    <w:rsid w:val="00B926D7"/>
    <w:rsid w:val="00B92704"/>
    <w:rsid w:val="00B9276D"/>
    <w:rsid w:val="00B92775"/>
    <w:rsid w:val="00B927D7"/>
    <w:rsid w:val="00B92894"/>
    <w:rsid w:val="00B928A5"/>
    <w:rsid w:val="00B928DC"/>
    <w:rsid w:val="00B92970"/>
    <w:rsid w:val="00B92976"/>
    <w:rsid w:val="00B92981"/>
    <w:rsid w:val="00B92984"/>
    <w:rsid w:val="00B929B3"/>
    <w:rsid w:val="00B929C4"/>
    <w:rsid w:val="00B929EA"/>
    <w:rsid w:val="00B92A14"/>
    <w:rsid w:val="00B92A28"/>
    <w:rsid w:val="00B92A5D"/>
    <w:rsid w:val="00B92A83"/>
    <w:rsid w:val="00B92AEC"/>
    <w:rsid w:val="00B92B3E"/>
    <w:rsid w:val="00B92B67"/>
    <w:rsid w:val="00B92B7E"/>
    <w:rsid w:val="00B92BF0"/>
    <w:rsid w:val="00B92C30"/>
    <w:rsid w:val="00B92C45"/>
    <w:rsid w:val="00B92C7B"/>
    <w:rsid w:val="00B92D5B"/>
    <w:rsid w:val="00B92D64"/>
    <w:rsid w:val="00B92D68"/>
    <w:rsid w:val="00B92D73"/>
    <w:rsid w:val="00B92DC0"/>
    <w:rsid w:val="00B92DCB"/>
    <w:rsid w:val="00B92E2D"/>
    <w:rsid w:val="00B92E57"/>
    <w:rsid w:val="00B92EB7"/>
    <w:rsid w:val="00B92EBB"/>
    <w:rsid w:val="00B92EC9"/>
    <w:rsid w:val="00B92ECA"/>
    <w:rsid w:val="00B92ED3"/>
    <w:rsid w:val="00B92EDD"/>
    <w:rsid w:val="00B92F0A"/>
    <w:rsid w:val="00B92F59"/>
    <w:rsid w:val="00B92FB0"/>
    <w:rsid w:val="00B92FB4"/>
    <w:rsid w:val="00B92FB7"/>
    <w:rsid w:val="00B92FC4"/>
    <w:rsid w:val="00B92FE2"/>
    <w:rsid w:val="00B92FFA"/>
    <w:rsid w:val="00B93035"/>
    <w:rsid w:val="00B9303C"/>
    <w:rsid w:val="00B9305A"/>
    <w:rsid w:val="00B930BE"/>
    <w:rsid w:val="00B93109"/>
    <w:rsid w:val="00B93142"/>
    <w:rsid w:val="00B93152"/>
    <w:rsid w:val="00B9316C"/>
    <w:rsid w:val="00B9318B"/>
    <w:rsid w:val="00B93195"/>
    <w:rsid w:val="00B9319F"/>
    <w:rsid w:val="00B931C8"/>
    <w:rsid w:val="00B93217"/>
    <w:rsid w:val="00B9322A"/>
    <w:rsid w:val="00B9324A"/>
    <w:rsid w:val="00B9327B"/>
    <w:rsid w:val="00B93298"/>
    <w:rsid w:val="00B932A4"/>
    <w:rsid w:val="00B932BC"/>
    <w:rsid w:val="00B932CB"/>
    <w:rsid w:val="00B9333D"/>
    <w:rsid w:val="00B9333F"/>
    <w:rsid w:val="00B93343"/>
    <w:rsid w:val="00B93362"/>
    <w:rsid w:val="00B93370"/>
    <w:rsid w:val="00B9338B"/>
    <w:rsid w:val="00B933AF"/>
    <w:rsid w:val="00B933BB"/>
    <w:rsid w:val="00B93470"/>
    <w:rsid w:val="00B934AA"/>
    <w:rsid w:val="00B934B5"/>
    <w:rsid w:val="00B934C8"/>
    <w:rsid w:val="00B935E2"/>
    <w:rsid w:val="00B935E3"/>
    <w:rsid w:val="00B93600"/>
    <w:rsid w:val="00B936B7"/>
    <w:rsid w:val="00B9370A"/>
    <w:rsid w:val="00B9370F"/>
    <w:rsid w:val="00B93734"/>
    <w:rsid w:val="00B93736"/>
    <w:rsid w:val="00B9376C"/>
    <w:rsid w:val="00B938C3"/>
    <w:rsid w:val="00B938D4"/>
    <w:rsid w:val="00B938D9"/>
    <w:rsid w:val="00B938E9"/>
    <w:rsid w:val="00B9398E"/>
    <w:rsid w:val="00B9399C"/>
    <w:rsid w:val="00B939D6"/>
    <w:rsid w:val="00B939DA"/>
    <w:rsid w:val="00B93A39"/>
    <w:rsid w:val="00B93A64"/>
    <w:rsid w:val="00B93A71"/>
    <w:rsid w:val="00B93A83"/>
    <w:rsid w:val="00B93A9B"/>
    <w:rsid w:val="00B93AA6"/>
    <w:rsid w:val="00B93AAF"/>
    <w:rsid w:val="00B93BD6"/>
    <w:rsid w:val="00B93BF4"/>
    <w:rsid w:val="00B93C0E"/>
    <w:rsid w:val="00B93C11"/>
    <w:rsid w:val="00B93C3B"/>
    <w:rsid w:val="00B93C51"/>
    <w:rsid w:val="00B93C71"/>
    <w:rsid w:val="00B93C8D"/>
    <w:rsid w:val="00B93CA2"/>
    <w:rsid w:val="00B93CA7"/>
    <w:rsid w:val="00B93CBC"/>
    <w:rsid w:val="00B93D30"/>
    <w:rsid w:val="00B93D43"/>
    <w:rsid w:val="00B93D5B"/>
    <w:rsid w:val="00B93D8E"/>
    <w:rsid w:val="00B93DE6"/>
    <w:rsid w:val="00B93E0F"/>
    <w:rsid w:val="00B93E3D"/>
    <w:rsid w:val="00B93E6A"/>
    <w:rsid w:val="00B93ED5"/>
    <w:rsid w:val="00B93F2E"/>
    <w:rsid w:val="00B93F55"/>
    <w:rsid w:val="00B93F87"/>
    <w:rsid w:val="00B94019"/>
    <w:rsid w:val="00B94047"/>
    <w:rsid w:val="00B9404C"/>
    <w:rsid w:val="00B940B9"/>
    <w:rsid w:val="00B940D1"/>
    <w:rsid w:val="00B940DA"/>
    <w:rsid w:val="00B940FA"/>
    <w:rsid w:val="00B9412F"/>
    <w:rsid w:val="00B9413D"/>
    <w:rsid w:val="00B94140"/>
    <w:rsid w:val="00B94154"/>
    <w:rsid w:val="00B9415B"/>
    <w:rsid w:val="00B94166"/>
    <w:rsid w:val="00B94178"/>
    <w:rsid w:val="00B9418A"/>
    <w:rsid w:val="00B941B1"/>
    <w:rsid w:val="00B941C7"/>
    <w:rsid w:val="00B941CB"/>
    <w:rsid w:val="00B94234"/>
    <w:rsid w:val="00B9428F"/>
    <w:rsid w:val="00B942AF"/>
    <w:rsid w:val="00B94311"/>
    <w:rsid w:val="00B943B8"/>
    <w:rsid w:val="00B94487"/>
    <w:rsid w:val="00B944BA"/>
    <w:rsid w:val="00B944C9"/>
    <w:rsid w:val="00B94539"/>
    <w:rsid w:val="00B9453E"/>
    <w:rsid w:val="00B94541"/>
    <w:rsid w:val="00B9455B"/>
    <w:rsid w:val="00B9457E"/>
    <w:rsid w:val="00B9457F"/>
    <w:rsid w:val="00B945AB"/>
    <w:rsid w:val="00B94655"/>
    <w:rsid w:val="00B94667"/>
    <w:rsid w:val="00B946C7"/>
    <w:rsid w:val="00B946E8"/>
    <w:rsid w:val="00B946F1"/>
    <w:rsid w:val="00B9471A"/>
    <w:rsid w:val="00B9474D"/>
    <w:rsid w:val="00B9477E"/>
    <w:rsid w:val="00B947A3"/>
    <w:rsid w:val="00B948D9"/>
    <w:rsid w:val="00B948FE"/>
    <w:rsid w:val="00B9494A"/>
    <w:rsid w:val="00B9494B"/>
    <w:rsid w:val="00B94991"/>
    <w:rsid w:val="00B949B3"/>
    <w:rsid w:val="00B949BB"/>
    <w:rsid w:val="00B949D8"/>
    <w:rsid w:val="00B949FC"/>
    <w:rsid w:val="00B94A16"/>
    <w:rsid w:val="00B94A6B"/>
    <w:rsid w:val="00B94A8A"/>
    <w:rsid w:val="00B94ABA"/>
    <w:rsid w:val="00B94AD2"/>
    <w:rsid w:val="00B94AEE"/>
    <w:rsid w:val="00B94B0A"/>
    <w:rsid w:val="00B94B1F"/>
    <w:rsid w:val="00B94B44"/>
    <w:rsid w:val="00B94B54"/>
    <w:rsid w:val="00B94B88"/>
    <w:rsid w:val="00B94BD2"/>
    <w:rsid w:val="00B94C59"/>
    <w:rsid w:val="00B94C8F"/>
    <w:rsid w:val="00B94CB0"/>
    <w:rsid w:val="00B94CB8"/>
    <w:rsid w:val="00B94CD0"/>
    <w:rsid w:val="00B94D13"/>
    <w:rsid w:val="00B94D38"/>
    <w:rsid w:val="00B94DD5"/>
    <w:rsid w:val="00B94DF3"/>
    <w:rsid w:val="00B94E9C"/>
    <w:rsid w:val="00B94EA2"/>
    <w:rsid w:val="00B94EC8"/>
    <w:rsid w:val="00B94F29"/>
    <w:rsid w:val="00B94F32"/>
    <w:rsid w:val="00B94F47"/>
    <w:rsid w:val="00B94F5F"/>
    <w:rsid w:val="00B94F63"/>
    <w:rsid w:val="00B94F70"/>
    <w:rsid w:val="00B94F9A"/>
    <w:rsid w:val="00B94FD8"/>
    <w:rsid w:val="00B9500D"/>
    <w:rsid w:val="00B95022"/>
    <w:rsid w:val="00B95043"/>
    <w:rsid w:val="00B9507B"/>
    <w:rsid w:val="00B9509F"/>
    <w:rsid w:val="00B950B0"/>
    <w:rsid w:val="00B950D7"/>
    <w:rsid w:val="00B950DA"/>
    <w:rsid w:val="00B95121"/>
    <w:rsid w:val="00B95134"/>
    <w:rsid w:val="00B95156"/>
    <w:rsid w:val="00B9519E"/>
    <w:rsid w:val="00B951AC"/>
    <w:rsid w:val="00B95201"/>
    <w:rsid w:val="00B952BB"/>
    <w:rsid w:val="00B95317"/>
    <w:rsid w:val="00B953B2"/>
    <w:rsid w:val="00B953ED"/>
    <w:rsid w:val="00B9543A"/>
    <w:rsid w:val="00B9544D"/>
    <w:rsid w:val="00B954CA"/>
    <w:rsid w:val="00B95514"/>
    <w:rsid w:val="00B9557D"/>
    <w:rsid w:val="00B955C6"/>
    <w:rsid w:val="00B955DE"/>
    <w:rsid w:val="00B955EF"/>
    <w:rsid w:val="00B95687"/>
    <w:rsid w:val="00B956C4"/>
    <w:rsid w:val="00B956CF"/>
    <w:rsid w:val="00B95706"/>
    <w:rsid w:val="00B95784"/>
    <w:rsid w:val="00B957B8"/>
    <w:rsid w:val="00B957EC"/>
    <w:rsid w:val="00B95827"/>
    <w:rsid w:val="00B95832"/>
    <w:rsid w:val="00B958A3"/>
    <w:rsid w:val="00B958B7"/>
    <w:rsid w:val="00B958B8"/>
    <w:rsid w:val="00B95975"/>
    <w:rsid w:val="00B959A4"/>
    <w:rsid w:val="00B959BB"/>
    <w:rsid w:val="00B959CB"/>
    <w:rsid w:val="00B95A15"/>
    <w:rsid w:val="00B95A29"/>
    <w:rsid w:val="00B95AB0"/>
    <w:rsid w:val="00B95B16"/>
    <w:rsid w:val="00B95B1C"/>
    <w:rsid w:val="00B95B5D"/>
    <w:rsid w:val="00B95B72"/>
    <w:rsid w:val="00B95BA5"/>
    <w:rsid w:val="00B95BBF"/>
    <w:rsid w:val="00B95BED"/>
    <w:rsid w:val="00B95BEF"/>
    <w:rsid w:val="00B95C0D"/>
    <w:rsid w:val="00B95C9A"/>
    <w:rsid w:val="00B95CD7"/>
    <w:rsid w:val="00B95CF7"/>
    <w:rsid w:val="00B95D03"/>
    <w:rsid w:val="00B95D55"/>
    <w:rsid w:val="00B95DB8"/>
    <w:rsid w:val="00B95DBA"/>
    <w:rsid w:val="00B95DC2"/>
    <w:rsid w:val="00B95DEF"/>
    <w:rsid w:val="00B95DF0"/>
    <w:rsid w:val="00B95E05"/>
    <w:rsid w:val="00B95E7F"/>
    <w:rsid w:val="00B95E85"/>
    <w:rsid w:val="00B95E91"/>
    <w:rsid w:val="00B95E97"/>
    <w:rsid w:val="00B95EC4"/>
    <w:rsid w:val="00B95F23"/>
    <w:rsid w:val="00B95F5C"/>
    <w:rsid w:val="00B95F88"/>
    <w:rsid w:val="00B95FA2"/>
    <w:rsid w:val="00B95FC4"/>
    <w:rsid w:val="00B95FE8"/>
    <w:rsid w:val="00B95FFD"/>
    <w:rsid w:val="00B9601B"/>
    <w:rsid w:val="00B960B6"/>
    <w:rsid w:val="00B960D1"/>
    <w:rsid w:val="00B96104"/>
    <w:rsid w:val="00B9611F"/>
    <w:rsid w:val="00B961A5"/>
    <w:rsid w:val="00B96250"/>
    <w:rsid w:val="00B96253"/>
    <w:rsid w:val="00B9627C"/>
    <w:rsid w:val="00B96281"/>
    <w:rsid w:val="00B962C8"/>
    <w:rsid w:val="00B962CE"/>
    <w:rsid w:val="00B96327"/>
    <w:rsid w:val="00B9636C"/>
    <w:rsid w:val="00B96381"/>
    <w:rsid w:val="00B963A5"/>
    <w:rsid w:val="00B963C7"/>
    <w:rsid w:val="00B9640B"/>
    <w:rsid w:val="00B9645C"/>
    <w:rsid w:val="00B9645D"/>
    <w:rsid w:val="00B96469"/>
    <w:rsid w:val="00B96475"/>
    <w:rsid w:val="00B964DC"/>
    <w:rsid w:val="00B964E3"/>
    <w:rsid w:val="00B964FC"/>
    <w:rsid w:val="00B9652C"/>
    <w:rsid w:val="00B96580"/>
    <w:rsid w:val="00B965BC"/>
    <w:rsid w:val="00B965D2"/>
    <w:rsid w:val="00B965E0"/>
    <w:rsid w:val="00B9665A"/>
    <w:rsid w:val="00B96673"/>
    <w:rsid w:val="00B96700"/>
    <w:rsid w:val="00B96709"/>
    <w:rsid w:val="00B9672D"/>
    <w:rsid w:val="00B96731"/>
    <w:rsid w:val="00B96753"/>
    <w:rsid w:val="00B96769"/>
    <w:rsid w:val="00B967CE"/>
    <w:rsid w:val="00B967D2"/>
    <w:rsid w:val="00B967D5"/>
    <w:rsid w:val="00B967E0"/>
    <w:rsid w:val="00B967E2"/>
    <w:rsid w:val="00B967E7"/>
    <w:rsid w:val="00B9685B"/>
    <w:rsid w:val="00B9689A"/>
    <w:rsid w:val="00B968AE"/>
    <w:rsid w:val="00B968CE"/>
    <w:rsid w:val="00B968EF"/>
    <w:rsid w:val="00B9695C"/>
    <w:rsid w:val="00B96973"/>
    <w:rsid w:val="00B9698C"/>
    <w:rsid w:val="00B969B2"/>
    <w:rsid w:val="00B969C4"/>
    <w:rsid w:val="00B969FD"/>
    <w:rsid w:val="00B96A08"/>
    <w:rsid w:val="00B96A3C"/>
    <w:rsid w:val="00B96A4D"/>
    <w:rsid w:val="00B96A77"/>
    <w:rsid w:val="00B96AB4"/>
    <w:rsid w:val="00B96BA9"/>
    <w:rsid w:val="00B96BD6"/>
    <w:rsid w:val="00B96BE7"/>
    <w:rsid w:val="00B96BE8"/>
    <w:rsid w:val="00B96BF4"/>
    <w:rsid w:val="00B96C21"/>
    <w:rsid w:val="00B96C47"/>
    <w:rsid w:val="00B96CE8"/>
    <w:rsid w:val="00B96D30"/>
    <w:rsid w:val="00B96D44"/>
    <w:rsid w:val="00B96D84"/>
    <w:rsid w:val="00B96DAA"/>
    <w:rsid w:val="00B96DAD"/>
    <w:rsid w:val="00B96DB8"/>
    <w:rsid w:val="00B96DEE"/>
    <w:rsid w:val="00B96E17"/>
    <w:rsid w:val="00B96E77"/>
    <w:rsid w:val="00B96E78"/>
    <w:rsid w:val="00B96E94"/>
    <w:rsid w:val="00B96E99"/>
    <w:rsid w:val="00B96EBD"/>
    <w:rsid w:val="00B96ECD"/>
    <w:rsid w:val="00B96EE7"/>
    <w:rsid w:val="00B96EE8"/>
    <w:rsid w:val="00B96F2E"/>
    <w:rsid w:val="00B96F8C"/>
    <w:rsid w:val="00B96F92"/>
    <w:rsid w:val="00B96FA5"/>
    <w:rsid w:val="00B96FBF"/>
    <w:rsid w:val="00B96FE1"/>
    <w:rsid w:val="00B97013"/>
    <w:rsid w:val="00B97040"/>
    <w:rsid w:val="00B97041"/>
    <w:rsid w:val="00B97098"/>
    <w:rsid w:val="00B9709D"/>
    <w:rsid w:val="00B97108"/>
    <w:rsid w:val="00B97113"/>
    <w:rsid w:val="00B97150"/>
    <w:rsid w:val="00B97152"/>
    <w:rsid w:val="00B97169"/>
    <w:rsid w:val="00B9716F"/>
    <w:rsid w:val="00B971A3"/>
    <w:rsid w:val="00B971D6"/>
    <w:rsid w:val="00B971DB"/>
    <w:rsid w:val="00B971E2"/>
    <w:rsid w:val="00B971F5"/>
    <w:rsid w:val="00B971FE"/>
    <w:rsid w:val="00B9725C"/>
    <w:rsid w:val="00B9728E"/>
    <w:rsid w:val="00B972BA"/>
    <w:rsid w:val="00B972D4"/>
    <w:rsid w:val="00B972E9"/>
    <w:rsid w:val="00B97309"/>
    <w:rsid w:val="00B97323"/>
    <w:rsid w:val="00B9732C"/>
    <w:rsid w:val="00B97341"/>
    <w:rsid w:val="00B97397"/>
    <w:rsid w:val="00B973CD"/>
    <w:rsid w:val="00B973E8"/>
    <w:rsid w:val="00B973F0"/>
    <w:rsid w:val="00B97412"/>
    <w:rsid w:val="00B97477"/>
    <w:rsid w:val="00B974C6"/>
    <w:rsid w:val="00B9753A"/>
    <w:rsid w:val="00B975BD"/>
    <w:rsid w:val="00B975DE"/>
    <w:rsid w:val="00B9760C"/>
    <w:rsid w:val="00B9760D"/>
    <w:rsid w:val="00B9761F"/>
    <w:rsid w:val="00B97653"/>
    <w:rsid w:val="00B97672"/>
    <w:rsid w:val="00B97745"/>
    <w:rsid w:val="00B9775B"/>
    <w:rsid w:val="00B97799"/>
    <w:rsid w:val="00B978B3"/>
    <w:rsid w:val="00B979E9"/>
    <w:rsid w:val="00B979FD"/>
    <w:rsid w:val="00B97A0A"/>
    <w:rsid w:val="00B97A25"/>
    <w:rsid w:val="00B97A4D"/>
    <w:rsid w:val="00B97AA7"/>
    <w:rsid w:val="00B97AB0"/>
    <w:rsid w:val="00B97AD1"/>
    <w:rsid w:val="00B97AD4"/>
    <w:rsid w:val="00B97AE7"/>
    <w:rsid w:val="00B97B11"/>
    <w:rsid w:val="00B97B21"/>
    <w:rsid w:val="00B97B9B"/>
    <w:rsid w:val="00B97B9E"/>
    <w:rsid w:val="00B97B9F"/>
    <w:rsid w:val="00B97BAD"/>
    <w:rsid w:val="00B97BD1"/>
    <w:rsid w:val="00B97BEC"/>
    <w:rsid w:val="00B97BF4"/>
    <w:rsid w:val="00B97C19"/>
    <w:rsid w:val="00B97C1D"/>
    <w:rsid w:val="00B97C20"/>
    <w:rsid w:val="00B97C28"/>
    <w:rsid w:val="00B97C38"/>
    <w:rsid w:val="00B97C77"/>
    <w:rsid w:val="00B97C78"/>
    <w:rsid w:val="00B97D22"/>
    <w:rsid w:val="00B97D61"/>
    <w:rsid w:val="00B97D81"/>
    <w:rsid w:val="00B97E74"/>
    <w:rsid w:val="00B97EB3"/>
    <w:rsid w:val="00B97EDE"/>
    <w:rsid w:val="00B97F10"/>
    <w:rsid w:val="00B97F35"/>
    <w:rsid w:val="00B97F51"/>
    <w:rsid w:val="00B97F59"/>
    <w:rsid w:val="00B97F86"/>
    <w:rsid w:val="00B97F89"/>
    <w:rsid w:val="00B97F97"/>
    <w:rsid w:val="00B97FC9"/>
    <w:rsid w:val="00BA0001"/>
    <w:rsid w:val="00BA00C2"/>
    <w:rsid w:val="00BA00C3"/>
    <w:rsid w:val="00BA00C4"/>
    <w:rsid w:val="00BA00C5"/>
    <w:rsid w:val="00BA00F4"/>
    <w:rsid w:val="00BA0100"/>
    <w:rsid w:val="00BA013E"/>
    <w:rsid w:val="00BA0145"/>
    <w:rsid w:val="00BA0165"/>
    <w:rsid w:val="00BA0187"/>
    <w:rsid w:val="00BA01CD"/>
    <w:rsid w:val="00BA0219"/>
    <w:rsid w:val="00BA024C"/>
    <w:rsid w:val="00BA02A5"/>
    <w:rsid w:val="00BA02A8"/>
    <w:rsid w:val="00BA0346"/>
    <w:rsid w:val="00BA0428"/>
    <w:rsid w:val="00BA0436"/>
    <w:rsid w:val="00BA044A"/>
    <w:rsid w:val="00BA0459"/>
    <w:rsid w:val="00BA04A0"/>
    <w:rsid w:val="00BA0536"/>
    <w:rsid w:val="00BA0574"/>
    <w:rsid w:val="00BA05E7"/>
    <w:rsid w:val="00BA061E"/>
    <w:rsid w:val="00BA06A4"/>
    <w:rsid w:val="00BA073A"/>
    <w:rsid w:val="00BA0746"/>
    <w:rsid w:val="00BA075A"/>
    <w:rsid w:val="00BA078B"/>
    <w:rsid w:val="00BA0792"/>
    <w:rsid w:val="00BA07A2"/>
    <w:rsid w:val="00BA083A"/>
    <w:rsid w:val="00BA088F"/>
    <w:rsid w:val="00BA08DE"/>
    <w:rsid w:val="00BA08E5"/>
    <w:rsid w:val="00BA0908"/>
    <w:rsid w:val="00BA0912"/>
    <w:rsid w:val="00BA0913"/>
    <w:rsid w:val="00BA093A"/>
    <w:rsid w:val="00BA093F"/>
    <w:rsid w:val="00BA09CB"/>
    <w:rsid w:val="00BA0A04"/>
    <w:rsid w:val="00BA0A21"/>
    <w:rsid w:val="00BA0A71"/>
    <w:rsid w:val="00BA0A73"/>
    <w:rsid w:val="00BA0A87"/>
    <w:rsid w:val="00BA0A8C"/>
    <w:rsid w:val="00BA0A8E"/>
    <w:rsid w:val="00BA0AD0"/>
    <w:rsid w:val="00BA0B53"/>
    <w:rsid w:val="00BA0B68"/>
    <w:rsid w:val="00BA0B70"/>
    <w:rsid w:val="00BA0BA7"/>
    <w:rsid w:val="00BA0BEF"/>
    <w:rsid w:val="00BA0C0B"/>
    <w:rsid w:val="00BA0C5E"/>
    <w:rsid w:val="00BA0CBB"/>
    <w:rsid w:val="00BA0CC8"/>
    <w:rsid w:val="00BA0CD9"/>
    <w:rsid w:val="00BA0D3F"/>
    <w:rsid w:val="00BA0D58"/>
    <w:rsid w:val="00BA0D79"/>
    <w:rsid w:val="00BA0D82"/>
    <w:rsid w:val="00BA0DD7"/>
    <w:rsid w:val="00BA0DF1"/>
    <w:rsid w:val="00BA0E02"/>
    <w:rsid w:val="00BA0E20"/>
    <w:rsid w:val="00BA0E28"/>
    <w:rsid w:val="00BA0E7B"/>
    <w:rsid w:val="00BA0EE9"/>
    <w:rsid w:val="00BA0F13"/>
    <w:rsid w:val="00BA0F5C"/>
    <w:rsid w:val="00BA101E"/>
    <w:rsid w:val="00BA1072"/>
    <w:rsid w:val="00BA10AC"/>
    <w:rsid w:val="00BA10C2"/>
    <w:rsid w:val="00BA10C9"/>
    <w:rsid w:val="00BA10D4"/>
    <w:rsid w:val="00BA10FF"/>
    <w:rsid w:val="00BA1127"/>
    <w:rsid w:val="00BA123C"/>
    <w:rsid w:val="00BA123F"/>
    <w:rsid w:val="00BA1261"/>
    <w:rsid w:val="00BA1291"/>
    <w:rsid w:val="00BA1294"/>
    <w:rsid w:val="00BA12D8"/>
    <w:rsid w:val="00BA130B"/>
    <w:rsid w:val="00BA1319"/>
    <w:rsid w:val="00BA1389"/>
    <w:rsid w:val="00BA13B9"/>
    <w:rsid w:val="00BA142F"/>
    <w:rsid w:val="00BA1448"/>
    <w:rsid w:val="00BA145E"/>
    <w:rsid w:val="00BA1470"/>
    <w:rsid w:val="00BA14EB"/>
    <w:rsid w:val="00BA14EE"/>
    <w:rsid w:val="00BA150F"/>
    <w:rsid w:val="00BA1516"/>
    <w:rsid w:val="00BA152D"/>
    <w:rsid w:val="00BA1534"/>
    <w:rsid w:val="00BA1546"/>
    <w:rsid w:val="00BA1582"/>
    <w:rsid w:val="00BA15AA"/>
    <w:rsid w:val="00BA15CA"/>
    <w:rsid w:val="00BA1628"/>
    <w:rsid w:val="00BA1632"/>
    <w:rsid w:val="00BA16A2"/>
    <w:rsid w:val="00BA16E3"/>
    <w:rsid w:val="00BA16F6"/>
    <w:rsid w:val="00BA1718"/>
    <w:rsid w:val="00BA178F"/>
    <w:rsid w:val="00BA17A6"/>
    <w:rsid w:val="00BA17B0"/>
    <w:rsid w:val="00BA17B2"/>
    <w:rsid w:val="00BA182B"/>
    <w:rsid w:val="00BA186F"/>
    <w:rsid w:val="00BA18AC"/>
    <w:rsid w:val="00BA18C6"/>
    <w:rsid w:val="00BA18ED"/>
    <w:rsid w:val="00BA1903"/>
    <w:rsid w:val="00BA1933"/>
    <w:rsid w:val="00BA1952"/>
    <w:rsid w:val="00BA1967"/>
    <w:rsid w:val="00BA1998"/>
    <w:rsid w:val="00BA199D"/>
    <w:rsid w:val="00BA19AE"/>
    <w:rsid w:val="00BA19AF"/>
    <w:rsid w:val="00BA19FD"/>
    <w:rsid w:val="00BA1A0F"/>
    <w:rsid w:val="00BA1A6B"/>
    <w:rsid w:val="00BA1A7B"/>
    <w:rsid w:val="00BA1ADB"/>
    <w:rsid w:val="00BA1AE5"/>
    <w:rsid w:val="00BA1B3A"/>
    <w:rsid w:val="00BA1B80"/>
    <w:rsid w:val="00BA1B89"/>
    <w:rsid w:val="00BA1C1F"/>
    <w:rsid w:val="00BA1C44"/>
    <w:rsid w:val="00BA1CA9"/>
    <w:rsid w:val="00BA1CC0"/>
    <w:rsid w:val="00BA1D23"/>
    <w:rsid w:val="00BA1DE6"/>
    <w:rsid w:val="00BA1DFD"/>
    <w:rsid w:val="00BA1E37"/>
    <w:rsid w:val="00BA1E82"/>
    <w:rsid w:val="00BA1EE5"/>
    <w:rsid w:val="00BA1EE6"/>
    <w:rsid w:val="00BA1F13"/>
    <w:rsid w:val="00BA1FBE"/>
    <w:rsid w:val="00BA1FC0"/>
    <w:rsid w:val="00BA1FCD"/>
    <w:rsid w:val="00BA2006"/>
    <w:rsid w:val="00BA2021"/>
    <w:rsid w:val="00BA2096"/>
    <w:rsid w:val="00BA2102"/>
    <w:rsid w:val="00BA2122"/>
    <w:rsid w:val="00BA2148"/>
    <w:rsid w:val="00BA214C"/>
    <w:rsid w:val="00BA21EE"/>
    <w:rsid w:val="00BA2206"/>
    <w:rsid w:val="00BA222D"/>
    <w:rsid w:val="00BA2254"/>
    <w:rsid w:val="00BA2361"/>
    <w:rsid w:val="00BA2374"/>
    <w:rsid w:val="00BA23A6"/>
    <w:rsid w:val="00BA2408"/>
    <w:rsid w:val="00BA2469"/>
    <w:rsid w:val="00BA2485"/>
    <w:rsid w:val="00BA24A9"/>
    <w:rsid w:val="00BA24AA"/>
    <w:rsid w:val="00BA24B5"/>
    <w:rsid w:val="00BA24C8"/>
    <w:rsid w:val="00BA24F4"/>
    <w:rsid w:val="00BA251E"/>
    <w:rsid w:val="00BA2579"/>
    <w:rsid w:val="00BA2617"/>
    <w:rsid w:val="00BA265B"/>
    <w:rsid w:val="00BA26BB"/>
    <w:rsid w:val="00BA2741"/>
    <w:rsid w:val="00BA274A"/>
    <w:rsid w:val="00BA2764"/>
    <w:rsid w:val="00BA2772"/>
    <w:rsid w:val="00BA2789"/>
    <w:rsid w:val="00BA27D9"/>
    <w:rsid w:val="00BA27EC"/>
    <w:rsid w:val="00BA285E"/>
    <w:rsid w:val="00BA287B"/>
    <w:rsid w:val="00BA28A0"/>
    <w:rsid w:val="00BA28D3"/>
    <w:rsid w:val="00BA28EA"/>
    <w:rsid w:val="00BA2901"/>
    <w:rsid w:val="00BA290E"/>
    <w:rsid w:val="00BA2938"/>
    <w:rsid w:val="00BA297A"/>
    <w:rsid w:val="00BA29B7"/>
    <w:rsid w:val="00BA29D4"/>
    <w:rsid w:val="00BA29F8"/>
    <w:rsid w:val="00BA2A12"/>
    <w:rsid w:val="00BA2A36"/>
    <w:rsid w:val="00BA2A85"/>
    <w:rsid w:val="00BA2A98"/>
    <w:rsid w:val="00BA2C51"/>
    <w:rsid w:val="00BA2CA1"/>
    <w:rsid w:val="00BA2CD3"/>
    <w:rsid w:val="00BA2CEC"/>
    <w:rsid w:val="00BA2D70"/>
    <w:rsid w:val="00BA2DA9"/>
    <w:rsid w:val="00BA2DFC"/>
    <w:rsid w:val="00BA2DFE"/>
    <w:rsid w:val="00BA2ED7"/>
    <w:rsid w:val="00BA2EED"/>
    <w:rsid w:val="00BA2EEE"/>
    <w:rsid w:val="00BA3018"/>
    <w:rsid w:val="00BA3065"/>
    <w:rsid w:val="00BA3103"/>
    <w:rsid w:val="00BA3139"/>
    <w:rsid w:val="00BA31C1"/>
    <w:rsid w:val="00BA3256"/>
    <w:rsid w:val="00BA3269"/>
    <w:rsid w:val="00BA329D"/>
    <w:rsid w:val="00BA32C8"/>
    <w:rsid w:val="00BA3354"/>
    <w:rsid w:val="00BA3399"/>
    <w:rsid w:val="00BA33B3"/>
    <w:rsid w:val="00BA33D6"/>
    <w:rsid w:val="00BA341F"/>
    <w:rsid w:val="00BA3428"/>
    <w:rsid w:val="00BA347F"/>
    <w:rsid w:val="00BA34AC"/>
    <w:rsid w:val="00BA34B6"/>
    <w:rsid w:val="00BA34D7"/>
    <w:rsid w:val="00BA34E0"/>
    <w:rsid w:val="00BA356E"/>
    <w:rsid w:val="00BA3590"/>
    <w:rsid w:val="00BA35FE"/>
    <w:rsid w:val="00BA360E"/>
    <w:rsid w:val="00BA3658"/>
    <w:rsid w:val="00BA367C"/>
    <w:rsid w:val="00BA36CA"/>
    <w:rsid w:val="00BA36F3"/>
    <w:rsid w:val="00BA3709"/>
    <w:rsid w:val="00BA370D"/>
    <w:rsid w:val="00BA3774"/>
    <w:rsid w:val="00BA3777"/>
    <w:rsid w:val="00BA37A6"/>
    <w:rsid w:val="00BA37BC"/>
    <w:rsid w:val="00BA387C"/>
    <w:rsid w:val="00BA38BF"/>
    <w:rsid w:val="00BA38E5"/>
    <w:rsid w:val="00BA390B"/>
    <w:rsid w:val="00BA3922"/>
    <w:rsid w:val="00BA393B"/>
    <w:rsid w:val="00BA3981"/>
    <w:rsid w:val="00BA39AA"/>
    <w:rsid w:val="00BA3A27"/>
    <w:rsid w:val="00BA3A54"/>
    <w:rsid w:val="00BA3A9C"/>
    <w:rsid w:val="00BA3AD1"/>
    <w:rsid w:val="00BA3B0B"/>
    <w:rsid w:val="00BA3B34"/>
    <w:rsid w:val="00BA3B64"/>
    <w:rsid w:val="00BA3BFA"/>
    <w:rsid w:val="00BA3C17"/>
    <w:rsid w:val="00BA3C19"/>
    <w:rsid w:val="00BA3C26"/>
    <w:rsid w:val="00BA3D14"/>
    <w:rsid w:val="00BA3D15"/>
    <w:rsid w:val="00BA3D32"/>
    <w:rsid w:val="00BA3DDC"/>
    <w:rsid w:val="00BA3E25"/>
    <w:rsid w:val="00BA3E65"/>
    <w:rsid w:val="00BA3EF0"/>
    <w:rsid w:val="00BA3F05"/>
    <w:rsid w:val="00BA3F15"/>
    <w:rsid w:val="00BA3F7B"/>
    <w:rsid w:val="00BA3F83"/>
    <w:rsid w:val="00BA3FB8"/>
    <w:rsid w:val="00BA4042"/>
    <w:rsid w:val="00BA4095"/>
    <w:rsid w:val="00BA40B4"/>
    <w:rsid w:val="00BA40B5"/>
    <w:rsid w:val="00BA40C0"/>
    <w:rsid w:val="00BA40CE"/>
    <w:rsid w:val="00BA4143"/>
    <w:rsid w:val="00BA4199"/>
    <w:rsid w:val="00BA419A"/>
    <w:rsid w:val="00BA41B4"/>
    <w:rsid w:val="00BA420E"/>
    <w:rsid w:val="00BA421B"/>
    <w:rsid w:val="00BA4245"/>
    <w:rsid w:val="00BA4264"/>
    <w:rsid w:val="00BA4279"/>
    <w:rsid w:val="00BA428F"/>
    <w:rsid w:val="00BA42D3"/>
    <w:rsid w:val="00BA42D7"/>
    <w:rsid w:val="00BA42D8"/>
    <w:rsid w:val="00BA42DE"/>
    <w:rsid w:val="00BA4375"/>
    <w:rsid w:val="00BA4388"/>
    <w:rsid w:val="00BA43B2"/>
    <w:rsid w:val="00BA43E3"/>
    <w:rsid w:val="00BA444E"/>
    <w:rsid w:val="00BA448A"/>
    <w:rsid w:val="00BA44A5"/>
    <w:rsid w:val="00BA44F1"/>
    <w:rsid w:val="00BA44F7"/>
    <w:rsid w:val="00BA4545"/>
    <w:rsid w:val="00BA4546"/>
    <w:rsid w:val="00BA4561"/>
    <w:rsid w:val="00BA458E"/>
    <w:rsid w:val="00BA4592"/>
    <w:rsid w:val="00BA45D8"/>
    <w:rsid w:val="00BA4670"/>
    <w:rsid w:val="00BA46A5"/>
    <w:rsid w:val="00BA4778"/>
    <w:rsid w:val="00BA4793"/>
    <w:rsid w:val="00BA4808"/>
    <w:rsid w:val="00BA4842"/>
    <w:rsid w:val="00BA487C"/>
    <w:rsid w:val="00BA487D"/>
    <w:rsid w:val="00BA48FC"/>
    <w:rsid w:val="00BA493B"/>
    <w:rsid w:val="00BA4997"/>
    <w:rsid w:val="00BA49A4"/>
    <w:rsid w:val="00BA49C7"/>
    <w:rsid w:val="00BA49E0"/>
    <w:rsid w:val="00BA49E5"/>
    <w:rsid w:val="00BA49F5"/>
    <w:rsid w:val="00BA4A71"/>
    <w:rsid w:val="00BA4A75"/>
    <w:rsid w:val="00BA4A9A"/>
    <w:rsid w:val="00BA4AC9"/>
    <w:rsid w:val="00BA4AEA"/>
    <w:rsid w:val="00BA4B14"/>
    <w:rsid w:val="00BA4B25"/>
    <w:rsid w:val="00BA4B3B"/>
    <w:rsid w:val="00BA4B84"/>
    <w:rsid w:val="00BA4B86"/>
    <w:rsid w:val="00BA4BBF"/>
    <w:rsid w:val="00BA4BD0"/>
    <w:rsid w:val="00BA4BFD"/>
    <w:rsid w:val="00BA4C5B"/>
    <w:rsid w:val="00BA4C76"/>
    <w:rsid w:val="00BA4CCA"/>
    <w:rsid w:val="00BA4CD5"/>
    <w:rsid w:val="00BA4D28"/>
    <w:rsid w:val="00BA4DC5"/>
    <w:rsid w:val="00BA4DEB"/>
    <w:rsid w:val="00BA4E05"/>
    <w:rsid w:val="00BA4E2B"/>
    <w:rsid w:val="00BA4E2E"/>
    <w:rsid w:val="00BA4E69"/>
    <w:rsid w:val="00BA4E8E"/>
    <w:rsid w:val="00BA4EB0"/>
    <w:rsid w:val="00BA4EBF"/>
    <w:rsid w:val="00BA4F0E"/>
    <w:rsid w:val="00BA4F57"/>
    <w:rsid w:val="00BA4F92"/>
    <w:rsid w:val="00BA4FA1"/>
    <w:rsid w:val="00BA4FA9"/>
    <w:rsid w:val="00BA4FBE"/>
    <w:rsid w:val="00BA4FC6"/>
    <w:rsid w:val="00BA5022"/>
    <w:rsid w:val="00BA508B"/>
    <w:rsid w:val="00BA50DB"/>
    <w:rsid w:val="00BA5123"/>
    <w:rsid w:val="00BA51F1"/>
    <w:rsid w:val="00BA5323"/>
    <w:rsid w:val="00BA533F"/>
    <w:rsid w:val="00BA5367"/>
    <w:rsid w:val="00BA53AD"/>
    <w:rsid w:val="00BA541E"/>
    <w:rsid w:val="00BA548E"/>
    <w:rsid w:val="00BA54A5"/>
    <w:rsid w:val="00BA54D0"/>
    <w:rsid w:val="00BA5511"/>
    <w:rsid w:val="00BA5530"/>
    <w:rsid w:val="00BA5541"/>
    <w:rsid w:val="00BA5559"/>
    <w:rsid w:val="00BA556A"/>
    <w:rsid w:val="00BA5591"/>
    <w:rsid w:val="00BA5597"/>
    <w:rsid w:val="00BA55C0"/>
    <w:rsid w:val="00BA56C2"/>
    <w:rsid w:val="00BA56DB"/>
    <w:rsid w:val="00BA56F8"/>
    <w:rsid w:val="00BA56F9"/>
    <w:rsid w:val="00BA5747"/>
    <w:rsid w:val="00BA575B"/>
    <w:rsid w:val="00BA5761"/>
    <w:rsid w:val="00BA578A"/>
    <w:rsid w:val="00BA57B6"/>
    <w:rsid w:val="00BA582A"/>
    <w:rsid w:val="00BA587B"/>
    <w:rsid w:val="00BA591D"/>
    <w:rsid w:val="00BA5923"/>
    <w:rsid w:val="00BA599F"/>
    <w:rsid w:val="00BA59A4"/>
    <w:rsid w:val="00BA59AD"/>
    <w:rsid w:val="00BA59AF"/>
    <w:rsid w:val="00BA59B2"/>
    <w:rsid w:val="00BA59C9"/>
    <w:rsid w:val="00BA59DB"/>
    <w:rsid w:val="00BA5A24"/>
    <w:rsid w:val="00BA5A56"/>
    <w:rsid w:val="00BA5A6C"/>
    <w:rsid w:val="00BA5A88"/>
    <w:rsid w:val="00BA5A9A"/>
    <w:rsid w:val="00BA5B0C"/>
    <w:rsid w:val="00BA5B10"/>
    <w:rsid w:val="00BA5B16"/>
    <w:rsid w:val="00BA5B36"/>
    <w:rsid w:val="00BA5B71"/>
    <w:rsid w:val="00BA5C12"/>
    <w:rsid w:val="00BA5C6F"/>
    <w:rsid w:val="00BA5C7A"/>
    <w:rsid w:val="00BA5C80"/>
    <w:rsid w:val="00BA5C8D"/>
    <w:rsid w:val="00BA5CAE"/>
    <w:rsid w:val="00BA5CAF"/>
    <w:rsid w:val="00BA5D14"/>
    <w:rsid w:val="00BA5D26"/>
    <w:rsid w:val="00BA5D4C"/>
    <w:rsid w:val="00BA5D67"/>
    <w:rsid w:val="00BA5D86"/>
    <w:rsid w:val="00BA5DDE"/>
    <w:rsid w:val="00BA5EB3"/>
    <w:rsid w:val="00BA5EBC"/>
    <w:rsid w:val="00BA5FCE"/>
    <w:rsid w:val="00BA5FE2"/>
    <w:rsid w:val="00BA5FF3"/>
    <w:rsid w:val="00BA6021"/>
    <w:rsid w:val="00BA6035"/>
    <w:rsid w:val="00BA606D"/>
    <w:rsid w:val="00BA60A0"/>
    <w:rsid w:val="00BA60B5"/>
    <w:rsid w:val="00BA611C"/>
    <w:rsid w:val="00BA6138"/>
    <w:rsid w:val="00BA6141"/>
    <w:rsid w:val="00BA61B4"/>
    <w:rsid w:val="00BA6261"/>
    <w:rsid w:val="00BA6275"/>
    <w:rsid w:val="00BA62A9"/>
    <w:rsid w:val="00BA62AE"/>
    <w:rsid w:val="00BA62BB"/>
    <w:rsid w:val="00BA6315"/>
    <w:rsid w:val="00BA6316"/>
    <w:rsid w:val="00BA632D"/>
    <w:rsid w:val="00BA633C"/>
    <w:rsid w:val="00BA6352"/>
    <w:rsid w:val="00BA6372"/>
    <w:rsid w:val="00BA639D"/>
    <w:rsid w:val="00BA63A0"/>
    <w:rsid w:val="00BA63C4"/>
    <w:rsid w:val="00BA63D1"/>
    <w:rsid w:val="00BA63D7"/>
    <w:rsid w:val="00BA645D"/>
    <w:rsid w:val="00BA6577"/>
    <w:rsid w:val="00BA660E"/>
    <w:rsid w:val="00BA661D"/>
    <w:rsid w:val="00BA6624"/>
    <w:rsid w:val="00BA6634"/>
    <w:rsid w:val="00BA668B"/>
    <w:rsid w:val="00BA6698"/>
    <w:rsid w:val="00BA66BC"/>
    <w:rsid w:val="00BA66D4"/>
    <w:rsid w:val="00BA66DA"/>
    <w:rsid w:val="00BA66E9"/>
    <w:rsid w:val="00BA66EA"/>
    <w:rsid w:val="00BA6704"/>
    <w:rsid w:val="00BA671A"/>
    <w:rsid w:val="00BA6729"/>
    <w:rsid w:val="00BA672D"/>
    <w:rsid w:val="00BA6753"/>
    <w:rsid w:val="00BA67C1"/>
    <w:rsid w:val="00BA67E1"/>
    <w:rsid w:val="00BA680E"/>
    <w:rsid w:val="00BA680F"/>
    <w:rsid w:val="00BA683A"/>
    <w:rsid w:val="00BA683E"/>
    <w:rsid w:val="00BA6858"/>
    <w:rsid w:val="00BA6996"/>
    <w:rsid w:val="00BA69D8"/>
    <w:rsid w:val="00BA6AA5"/>
    <w:rsid w:val="00BA6ACC"/>
    <w:rsid w:val="00BA6AD4"/>
    <w:rsid w:val="00BA6AF3"/>
    <w:rsid w:val="00BA6B6A"/>
    <w:rsid w:val="00BA6B9F"/>
    <w:rsid w:val="00BA6BA1"/>
    <w:rsid w:val="00BA6BA5"/>
    <w:rsid w:val="00BA6BC0"/>
    <w:rsid w:val="00BA6BDE"/>
    <w:rsid w:val="00BA6C15"/>
    <w:rsid w:val="00BA6C25"/>
    <w:rsid w:val="00BA6C3A"/>
    <w:rsid w:val="00BA6C54"/>
    <w:rsid w:val="00BA6C59"/>
    <w:rsid w:val="00BA6C60"/>
    <w:rsid w:val="00BA6C61"/>
    <w:rsid w:val="00BA6C93"/>
    <w:rsid w:val="00BA6C9A"/>
    <w:rsid w:val="00BA6CD8"/>
    <w:rsid w:val="00BA6D18"/>
    <w:rsid w:val="00BA6D3C"/>
    <w:rsid w:val="00BA6D41"/>
    <w:rsid w:val="00BA6D7D"/>
    <w:rsid w:val="00BA6DC4"/>
    <w:rsid w:val="00BA6DDE"/>
    <w:rsid w:val="00BA6DF5"/>
    <w:rsid w:val="00BA6E80"/>
    <w:rsid w:val="00BA6EB4"/>
    <w:rsid w:val="00BA6EC0"/>
    <w:rsid w:val="00BA6F94"/>
    <w:rsid w:val="00BA6FB1"/>
    <w:rsid w:val="00BA6FB7"/>
    <w:rsid w:val="00BA6FED"/>
    <w:rsid w:val="00BA701A"/>
    <w:rsid w:val="00BA7054"/>
    <w:rsid w:val="00BA706F"/>
    <w:rsid w:val="00BA7078"/>
    <w:rsid w:val="00BA70E3"/>
    <w:rsid w:val="00BA70E8"/>
    <w:rsid w:val="00BA7174"/>
    <w:rsid w:val="00BA718A"/>
    <w:rsid w:val="00BA71AA"/>
    <w:rsid w:val="00BA71D9"/>
    <w:rsid w:val="00BA7212"/>
    <w:rsid w:val="00BA721F"/>
    <w:rsid w:val="00BA7222"/>
    <w:rsid w:val="00BA722A"/>
    <w:rsid w:val="00BA7233"/>
    <w:rsid w:val="00BA7268"/>
    <w:rsid w:val="00BA7284"/>
    <w:rsid w:val="00BA7290"/>
    <w:rsid w:val="00BA72ED"/>
    <w:rsid w:val="00BA72F2"/>
    <w:rsid w:val="00BA736B"/>
    <w:rsid w:val="00BA7376"/>
    <w:rsid w:val="00BA73B0"/>
    <w:rsid w:val="00BA73F7"/>
    <w:rsid w:val="00BA7489"/>
    <w:rsid w:val="00BA748B"/>
    <w:rsid w:val="00BA7491"/>
    <w:rsid w:val="00BA74BC"/>
    <w:rsid w:val="00BA74FA"/>
    <w:rsid w:val="00BA75DD"/>
    <w:rsid w:val="00BA75EF"/>
    <w:rsid w:val="00BA75FA"/>
    <w:rsid w:val="00BA7640"/>
    <w:rsid w:val="00BA764C"/>
    <w:rsid w:val="00BA7674"/>
    <w:rsid w:val="00BA7681"/>
    <w:rsid w:val="00BA768A"/>
    <w:rsid w:val="00BA7691"/>
    <w:rsid w:val="00BA7710"/>
    <w:rsid w:val="00BA7729"/>
    <w:rsid w:val="00BA7733"/>
    <w:rsid w:val="00BA7744"/>
    <w:rsid w:val="00BA7785"/>
    <w:rsid w:val="00BA7787"/>
    <w:rsid w:val="00BA77BF"/>
    <w:rsid w:val="00BA77DB"/>
    <w:rsid w:val="00BA77E5"/>
    <w:rsid w:val="00BA77FE"/>
    <w:rsid w:val="00BA7805"/>
    <w:rsid w:val="00BA784D"/>
    <w:rsid w:val="00BA7876"/>
    <w:rsid w:val="00BA7968"/>
    <w:rsid w:val="00BA796B"/>
    <w:rsid w:val="00BA7989"/>
    <w:rsid w:val="00BA79ED"/>
    <w:rsid w:val="00BA7A01"/>
    <w:rsid w:val="00BA7A0E"/>
    <w:rsid w:val="00BA7A3F"/>
    <w:rsid w:val="00BA7A5A"/>
    <w:rsid w:val="00BA7A97"/>
    <w:rsid w:val="00BA7AE2"/>
    <w:rsid w:val="00BA7B51"/>
    <w:rsid w:val="00BA7B54"/>
    <w:rsid w:val="00BA7B80"/>
    <w:rsid w:val="00BA7B82"/>
    <w:rsid w:val="00BA7B85"/>
    <w:rsid w:val="00BA7B90"/>
    <w:rsid w:val="00BA7C3D"/>
    <w:rsid w:val="00BA7C6C"/>
    <w:rsid w:val="00BA7C8B"/>
    <w:rsid w:val="00BA7CAF"/>
    <w:rsid w:val="00BA7CB3"/>
    <w:rsid w:val="00BA7CBC"/>
    <w:rsid w:val="00BA7CFB"/>
    <w:rsid w:val="00BA7D54"/>
    <w:rsid w:val="00BA7DC0"/>
    <w:rsid w:val="00BA7DF6"/>
    <w:rsid w:val="00BA7E34"/>
    <w:rsid w:val="00BA7E69"/>
    <w:rsid w:val="00BA7EBC"/>
    <w:rsid w:val="00BA7F27"/>
    <w:rsid w:val="00BA7F37"/>
    <w:rsid w:val="00BA7FA3"/>
    <w:rsid w:val="00BA7FC2"/>
    <w:rsid w:val="00BB0040"/>
    <w:rsid w:val="00BB009A"/>
    <w:rsid w:val="00BB00AA"/>
    <w:rsid w:val="00BB0136"/>
    <w:rsid w:val="00BB0169"/>
    <w:rsid w:val="00BB01A6"/>
    <w:rsid w:val="00BB01B8"/>
    <w:rsid w:val="00BB026A"/>
    <w:rsid w:val="00BB026E"/>
    <w:rsid w:val="00BB026F"/>
    <w:rsid w:val="00BB0296"/>
    <w:rsid w:val="00BB0297"/>
    <w:rsid w:val="00BB02E0"/>
    <w:rsid w:val="00BB0305"/>
    <w:rsid w:val="00BB0334"/>
    <w:rsid w:val="00BB033F"/>
    <w:rsid w:val="00BB0347"/>
    <w:rsid w:val="00BB0383"/>
    <w:rsid w:val="00BB038B"/>
    <w:rsid w:val="00BB03A3"/>
    <w:rsid w:val="00BB03BB"/>
    <w:rsid w:val="00BB03E0"/>
    <w:rsid w:val="00BB03ED"/>
    <w:rsid w:val="00BB0428"/>
    <w:rsid w:val="00BB0469"/>
    <w:rsid w:val="00BB046C"/>
    <w:rsid w:val="00BB04AF"/>
    <w:rsid w:val="00BB04B0"/>
    <w:rsid w:val="00BB04E6"/>
    <w:rsid w:val="00BB050B"/>
    <w:rsid w:val="00BB050D"/>
    <w:rsid w:val="00BB0523"/>
    <w:rsid w:val="00BB0684"/>
    <w:rsid w:val="00BB06B3"/>
    <w:rsid w:val="00BB06DB"/>
    <w:rsid w:val="00BB06E9"/>
    <w:rsid w:val="00BB06EB"/>
    <w:rsid w:val="00BB0739"/>
    <w:rsid w:val="00BB0791"/>
    <w:rsid w:val="00BB07CB"/>
    <w:rsid w:val="00BB07CC"/>
    <w:rsid w:val="00BB0857"/>
    <w:rsid w:val="00BB087F"/>
    <w:rsid w:val="00BB08B0"/>
    <w:rsid w:val="00BB08F5"/>
    <w:rsid w:val="00BB08FF"/>
    <w:rsid w:val="00BB097F"/>
    <w:rsid w:val="00BB0985"/>
    <w:rsid w:val="00BB09C0"/>
    <w:rsid w:val="00BB0A04"/>
    <w:rsid w:val="00BB0A16"/>
    <w:rsid w:val="00BB0A34"/>
    <w:rsid w:val="00BB0A57"/>
    <w:rsid w:val="00BB0AA2"/>
    <w:rsid w:val="00BB0AC6"/>
    <w:rsid w:val="00BB0B0D"/>
    <w:rsid w:val="00BB0B1F"/>
    <w:rsid w:val="00BB0B7D"/>
    <w:rsid w:val="00BB0B99"/>
    <w:rsid w:val="00BB0BA3"/>
    <w:rsid w:val="00BB0BFD"/>
    <w:rsid w:val="00BB0C16"/>
    <w:rsid w:val="00BB0C9A"/>
    <w:rsid w:val="00BB0CCA"/>
    <w:rsid w:val="00BB0D2B"/>
    <w:rsid w:val="00BB0DB3"/>
    <w:rsid w:val="00BB0DC9"/>
    <w:rsid w:val="00BB0DE8"/>
    <w:rsid w:val="00BB0DED"/>
    <w:rsid w:val="00BB0DF3"/>
    <w:rsid w:val="00BB0E0D"/>
    <w:rsid w:val="00BB0E21"/>
    <w:rsid w:val="00BB0E30"/>
    <w:rsid w:val="00BB0E67"/>
    <w:rsid w:val="00BB0E71"/>
    <w:rsid w:val="00BB0E89"/>
    <w:rsid w:val="00BB0E8D"/>
    <w:rsid w:val="00BB0EB7"/>
    <w:rsid w:val="00BB0EE3"/>
    <w:rsid w:val="00BB0F15"/>
    <w:rsid w:val="00BB0F6B"/>
    <w:rsid w:val="00BB0FE3"/>
    <w:rsid w:val="00BB0FE4"/>
    <w:rsid w:val="00BB0FEC"/>
    <w:rsid w:val="00BB0FF3"/>
    <w:rsid w:val="00BB1003"/>
    <w:rsid w:val="00BB107F"/>
    <w:rsid w:val="00BB10EE"/>
    <w:rsid w:val="00BB1190"/>
    <w:rsid w:val="00BB119D"/>
    <w:rsid w:val="00BB124A"/>
    <w:rsid w:val="00BB124F"/>
    <w:rsid w:val="00BB12E6"/>
    <w:rsid w:val="00BB1371"/>
    <w:rsid w:val="00BB13D9"/>
    <w:rsid w:val="00BB13DA"/>
    <w:rsid w:val="00BB13FF"/>
    <w:rsid w:val="00BB1404"/>
    <w:rsid w:val="00BB1501"/>
    <w:rsid w:val="00BB151D"/>
    <w:rsid w:val="00BB154A"/>
    <w:rsid w:val="00BB154B"/>
    <w:rsid w:val="00BB1567"/>
    <w:rsid w:val="00BB1624"/>
    <w:rsid w:val="00BB1691"/>
    <w:rsid w:val="00BB16AB"/>
    <w:rsid w:val="00BB16D6"/>
    <w:rsid w:val="00BB1704"/>
    <w:rsid w:val="00BB171E"/>
    <w:rsid w:val="00BB1735"/>
    <w:rsid w:val="00BB1788"/>
    <w:rsid w:val="00BB17B6"/>
    <w:rsid w:val="00BB1833"/>
    <w:rsid w:val="00BB183B"/>
    <w:rsid w:val="00BB184F"/>
    <w:rsid w:val="00BB1896"/>
    <w:rsid w:val="00BB18D8"/>
    <w:rsid w:val="00BB18E5"/>
    <w:rsid w:val="00BB18ED"/>
    <w:rsid w:val="00BB18EF"/>
    <w:rsid w:val="00BB19BA"/>
    <w:rsid w:val="00BB19E2"/>
    <w:rsid w:val="00BB1A1A"/>
    <w:rsid w:val="00BB1A7D"/>
    <w:rsid w:val="00BB1AC2"/>
    <w:rsid w:val="00BB1B1E"/>
    <w:rsid w:val="00BB1B84"/>
    <w:rsid w:val="00BB1B92"/>
    <w:rsid w:val="00BB1BC2"/>
    <w:rsid w:val="00BB1BEF"/>
    <w:rsid w:val="00BB1C0C"/>
    <w:rsid w:val="00BB1C0D"/>
    <w:rsid w:val="00BB1C1D"/>
    <w:rsid w:val="00BB1C26"/>
    <w:rsid w:val="00BB1C5B"/>
    <w:rsid w:val="00BB1C8E"/>
    <w:rsid w:val="00BB1CC8"/>
    <w:rsid w:val="00BB1CE4"/>
    <w:rsid w:val="00BB1CF8"/>
    <w:rsid w:val="00BB1D60"/>
    <w:rsid w:val="00BB1E8E"/>
    <w:rsid w:val="00BB1EA0"/>
    <w:rsid w:val="00BB1EC0"/>
    <w:rsid w:val="00BB1EFF"/>
    <w:rsid w:val="00BB1F03"/>
    <w:rsid w:val="00BB1F12"/>
    <w:rsid w:val="00BB1F19"/>
    <w:rsid w:val="00BB1F74"/>
    <w:rsid w:val="00BB1FAB"/>
    <w:rsid w:val="00BB1FF7"/>
    <w:rsid w:val="00BB2033"/>
    <w:rsid w:val="00BB206F"/>
    <w:rsid w:val="00BB20CF"/>
    <w:rsid w:val="00BB20E1"/>
    <w:rsid w:val="00BB211F"/>
    <w:rsid w:val="00BB21F9"/>
    <w:rsid w:val="00BB2205"/>
    <w:rsid w:val="00BB226A"/>
    <w:rsid w:val="00BB22B7"/>
    <w:rsid w:val="00BB22C7"/>
    <w:rsid w:val="00BB22FB"/>
    <w:rsid w:val="00BB2314"/>
    <w:rsid w:val="00BB2328"/>
    <w:rsid w:val="00BB2329"/>
    <w:rsid w:val="00BB2345"/>
    <w:rsid w:val="00BB234D"/>
    <w:rsid w:val="00BB237C"/>
    <w:rsid w:val="00BB23C2"/>
    <w:rsid w:val="00BB23CD"/>
    <w:rsid w:val="00BB23E0"/>
    <w:rsid w:val="00BB23EF"/>
    <w:rsid w:val="00BB2418"/>
    <w:rsid w:val="00BB2424"/>
    <w:rsid w:val="00BB2464"/>
    <w:rsid w:val="00BB246E"/>
    <w:rsid w:val="00BB248A"/>
    <w:rsid w:val="00BB24BF"/>
    <w:rsid w:val="00BB24CA"/>
    <w:rsid w:val="00BB24F0"/>
    <w:rsid w:val="00BB2567"/>
    <w:rsid w:val="00BB2568"/>
    <w:rsid w:val="00BB259E"/>
    <w:rsid w:val="00BB25E8"/>
    <w:rsid w:val="00BB25FB"/>
    <w:rsid w:val="00BB260F"/>
    <w:rsid w:val="00BB263B"/>
    <w:rsid w:val="00BB2658"/>
    <w:rsid w:val="00BB267C"/>
    <w:rsid w:val="00BB2683"/>
    <w:rsid w:val="00BB26F2"/>
    <w:rsid w:val="00BB26F7"/>
    <w:rsid w:val="00BB273F"/>
    <w:rsid w:val="00BB276F"/>
    <w:rsid w:val="00BB2792"/>
    <w:rsid w:val="00BB27A7"/>
    <w:rsid w:val="00BB27A9"/>
    <w:rsid w:val="00BB27C6"/>
    <w:rsid w:val="00BB27D5"/>
    <w:rsid w:val="00BB2854"/>
    <w:rsid w:val="00BB287A"/>
    <w:rsid w:val="00BB289F"/>
    <w:rsid w:val="00BB28F7"/>
    <w:rsid w:val="00BB2933"/>
    <w:rsid w:val="00BB29B1"/>
    <w:rsid w:val="00BB29CE"/>
    <w:rsid w:val="00BB2A6B"/>
    <w:rsid w:val="00BB2A8A"/>
    <w:rsid w:val="00BB2A9A"/>
    <w:rsid w:val="00BB2AA2"/>
    <w:rsid w:val="00BB2ADB"/>
    <w:rsid w:val="00BB2B1D"/>
    <w:rsid w:val="00BB2B43"/>
    <w:rsid w:val="00BB2B9D"/>
    <w:rsid w:val="00BB2BA9"/>
    <w:rsid w:val="00BB2BEC"/>
    <w:rsid w:val="00BB2C35"/>
    <w:rsid w:val="00BB2C4F"/>
    <w:rsid w:val="00BB2CA7"/>
    <w:rsid w:val="00BB2CBE"/>
    <w:rsid w:val="00BB2CF2"/>
    <w:rsid w:val="00BB2D8D"/>
    <w:rsid w:val="00BB2DB4"/>
    <w:rsid w:val="00BB2DCD"/>
    <w:rsid w:val="00BB2DEC"/>
    <w:rsid w:val="00BB2E12"/>
    <w:rsid w:val="00BB2E2D"/>
    <w:rsid w:val="00BB2E97"/>
    <w:rsid w:val="00BB2E9F"/>
    <w:rsid w:val="00BB2EA7"/>
    <w:rsid w:val="00BB2EF7"/>
    <w:rsid w:val="00BB2F09"/>
    <w:rsid w:val="00BB2F2F"/>
    <w:rsid w:val="00BB2F30"/>
    <w:rsid w:val="00BB2F68"/>
    <w:rsid w:val="00BB2F7B"/>
    <w:rsid w:val="00BB2FEF"/>
    <w:rsid w:val="00BB2FF7"/>
    <w:rsid w:val="00BB2FF8"/>
    <w:rsid w:val="00BB3027"/>
    <w:rsid w:val="00BB3045"/>
    <w:rsid w:val="00BB3050"/>
    <w:rsid w:val="00BB3051"/>
    <w:rsid w:val="00BB306E"/>
    <w:rsid w:val="00BB3085"/>
    <w:rsid w:val="00BB3096"/>
    <w:rsid w:val="00BB30A1"/>
    <w:rsid w:val="00BB30F8"/>
    <w:rsid w:val="00BB30FA"/>
    <w:rsid w:val="00BB312C"/>
    <w:rsid w:val="00BB313E"/>
    <w:rsid w:val="00BB3164"/>
    <w:rsid w:val="00BB3182"/>
    <w:rsid w:val="00BB31B0"/>
    <w:rsid w:val="00BB3264"/>
    <w:rsid w:val="00BB32A9"/>
    <w:rsid w:val="00BB32AD"/>
    <w:rsid w:val="00BB32B1"/>
    <w:rsid w:val="00BB32D0"/>
    <w:rsid w:val="00BB32F7"/>
    <w:rsid w:val="00BB32FF"/>
    <w:rsid w:val="00BB331C"/>
    <w:rsid w:val="00BB3359"/>
    <w:rsid w:val="00BB33BB"/>
    <w:rsid w:val="00BB340C"/>
    <w:rsid w:val="00BB342F"/>
    <w:rsid w:val="00BB345B"/>
    <w:rsid w:val="00BB3472"/>
    <w:rsid w:val="00BB34BE"/>
    <w:rsid w:val="00BB34CA"/>
    <w:rsid w:val="00BB34CF"/>
    <w:rsid w:val="00BB34F1"/>
    <w:rsid w:val="00BB350E"/>
    <w:rsid w:val="00BB353D"/>
    <w:rsid w:val="00BB355A"/>
    <w:rsid w:val="00BB356B"/>
    <w:rsid w:val="00BB358E"/>
    <w:rsid w:val="00BB36D5"/>
    <w:rsid w:val="00BB3807"/>
    <w:rsid w:val="00BB38AE"/>
    <w:rsid w:val="00BB38B9"/>
    <w:rsid w:val="00BB38FE"/>
    <w:rsid w:val="00BB391A"/>
    <w:rsid w:val="00BB3951"/>
    <w:rsid w:val="00BB397F"/>
    <w:rsid w:val="00BB3996"/>
    <w:rsid w:val="00BB39F5"/>
    <w:rsid w:val="00BB39F6"/>
    <w:rsid w:val="00BB3A76"/>
    <w:rsid w:val="00BB3A96"/>
    <w:rsid w:val="00BB3B24"/>
    <w:rsid w:val="00BB3B72"/>
    <w:rsid w:val="00BB3B7D"/>
    <w:rsid w:val="00BB3C29"/>
    <w:rsid w:val="00BB3CD1"/>
    <w:rsid w:val="00BB3D1E"/>
    <w:rsid w:val="00BB3D62"/>
    <w:rsid w:val="00BB3D9A"/>
    <w:rsid w:val="00BB3DCA"/>
    <w:rsid w:val="00BB3DD2"/>
    <w:rsid w:val="00BB3DE9"/>
    <w:rsid w:val="00BB3E0D"/>
    <w:rsid w:val="00BB3E43"/>
    <w:rsid w:val="00BB3ECC"/>
    <w:rsid w:val="00BB3ECD"/>
    <w:rsid w:val="00BB3ED8"/>
    <w:rsid w:val="00BB3FD9"/>
    <w:rsid w:val="00BB4015"/>
    <w:rsid w:val="00BB4043"/>
    <w:rsid w:val="00BB405B"/>
    <w:rsid w:val="00BB40FF"/>
    <w:rsid w:val="00BB4123"/>
    <w:rsid w:val="00BB4136"/>
    <w:rsid w:val="00BB4138"/>
    <w:rsid w:val="00BB41ED"/>
    <w:rsid w:val="00BB421B"/>
    <w:rsid w:val="00BB4233"/>
    <w:rsid w:val="00BB4239"/>
    <w:rsid w:val="00BB42D6"/>
    <w:rsid w:val="00BB42D7"/>
    <w:rsid w:val="00BB42E1"/>
    <w:rsid w:val="00BB431B"/>
    <w:rsid w:val="00BB434B"/>
    <w:rsid w:val="00BB43A6"/>
    <w:rsid w:val="00BB43C4"/>
    <w:rsid w:val="00BB43DD"/>
    <w:rsid w:val="00BB4449"/>
    <w:rsid w:val="00BB4462"/>
    <w:rsid w:val="00BB4469"/>
    <w:rsid w:val="00BB4471"/>
    <w:rsid w:val="00BB44A7"/>
    <w:rsid w:val="00BB44BE"/>
    <w:rsid w:val="00BB44FB"/>
    <w:rsid w:val="00BB4514"/>
    <w:rsid w:val="00BB4519"/>
    <w:rsid w:val="00BB45B1"/>
    <w:rsid w:val="00BB45BB"/>
    <w:rsid w:val="00BB4684"/>
    <w:rsid w:val="00BB46A0"/>
    <w:rsid w:val="00BB46A6"/>
    <w:rsid w:val="00BB472D"/>
    <w:rsid w:val="00BB4748"/>
    <w:rsid w:val="00BB479D"/>
    <w:rsid w:val="00BB47E0"/>
    <w:rsid w:val="00BB47EC"/>
    <w:rsid w:val="00BB488B"/>
    <w:rsid w:val="00BB48D7"/>
    <w:rsid w:val="00BB49EF"/>
    <w:rsid w:val="00BB4A3B"/>
    <w:rsid w:val="00BB4A4F"/>
    <w:rsid w:val="00BB4A6F"/>
    <w:rsid w:val="00BB4A8B"/>
    <w:rsid w:val="00BB4AB3"/>
    <w:rsid w:val="00BB4AC0"/>
    <w:rsid w:val="00BB4AE3"/>
    <w:rsid w:val="00BB4AEE"/>
    <w:rsid w:val="00BB4B05"/>
    <w:rsid w:val="00BB4B08"/>
    <w:rsid w:val="00BB4B6C"/>
    <w:rsid w:val="00BB4BA8"/>
    <w:rsid w:val="00BB4BC7"/>
    <w:rsid w:val="00BB4C5E"/>
    <w:rsid w:val="00BB4C9B"/>
    <w:rsid w:val="00BB4CA0"/>
    <w:rsid w:val="00BB4D48"/>
    <w:rsid w:val="00BB4DB1"/>
    <w:rsid w:val="00BB4E3C"/>
    <w:rsid w:val="00BB4EE2"/>
    <w:rsid w:val="00BB4EED"/>
    <w:rsid w:val="00BB4F08"/>
    <w:rsid w:val="00BB4F5C"/>
    <w:rsid w:val="00BB4F5E"/>
    <w:rsid w:val="00BB5005"/>
    <w:rsid w:val="00BB5010"/>
    <w:rsid w:val="00BB502B"/>
    <w:rsid w:val="00BB504B"/>
    <w:rsid w:val="00BB5099"/>
    <w:rsid w:val="00BB5165"/>
    <w:rsid w:val="00BB524B"/>
    <w:rsid w:val="00BB52B6"/>
    <w:rsid w:val="00BB536A"/>
    <w:rsid w:val="00BB537D"/>
    <w:rsid w:val="00BB53F5"/>
    <w:rsid w:val="00BB541F"/>
    <w:rsid w:val="00BB5442"/>
    <w:rsid w:val="00BB5466"/>
    <w:rsid w:val="00BB54FD"/>
    <w:rsid w:val="00BB5539"/>
    <w:rsid w:val="00BB5548"/>
    <w:rsid w:val="00BB55A0"/>
    <w:rsid w:val="00BB55A1"/>
    <w:rsid w:val="00BB55A6"/>
    <w:rsid w:val="00BB55B5"/>
    <w:rsid w:val="00BB55C3"/>
    <w:rsid w:val="00BB55E4"/>
    <w:rsid w:val="00BB5625"/>
    <w:rsid w:val="00BB5645"/>
    <w:rsid w:val="00BB5665"/>
    <w:rsid w:val="00BB56A4"/>
    <w:rsid w:val="00BB572E"/>
    <w:rsid w:val="00BB575D"/>
    <w:rsid w:val="00BB5784"/>
    <w:rsid w:val="00BB581A"/>
    <w:rsid w:val="00BB581C"/>
    <w:rsid w:val="00BB58AD"/>
    <w:rsid w:val="00BB58E7"/>
    <w:rsid w:val="00BB58F7"/>
    <w:rsid w:val="00BB58FF"/>
    <w:rsid w:val="00BB594F"/>
    <w:rsid w:val="00BB5972"/>
    <w:rsid w:val="00BB59B5"/>
    <w:rsid w:val="00BB59C5"/>
    <w:rsid w:val="00BB5A33"/>
    <w:rsid w:val="00BB5A4C"/>
    <w:rsid w:val="00BB5A55"/>
    <w:rsid w:val="00BB5A91"/>
    <w:rsid w:val="00BB5ABA"/>
    <w:rsid w:val="00BB5AED"/>
    <w:rsid w:val="00BB5B00"/>
    <w:rsid w:val="00BB5B2A"/>
    <w:rsid w:val="00BB5B6C"/>
    <w:rsid w:val="00BB5B6D"/>
    <w:rsid w:val="00BB5BE5"/>
    <w:rsid w:val="00BB5BFF"/>
    <w:rsid w:val="00BB5C03"/>
    <w:rsid w:val="00BB5C04"/>
    <w:rsid w:val="00BB5C06"/>
    <w:rsid w:val="00BB5C0E"/>
    <w:rsid w:val="00BB5C4F"/>
    <w:rsid w:val="00BB5CDD"/>
    <w:rsid w:val="00BB5CEE"/>
    <w:rsid w:val="00BB5CFE"/>
    <w:rsid w:val="00BB5DA8"/>
    <w:rsid w:val="00BB5DFF"/>
    <w:rsid w:val="00BB5E36"/>
    <w:rsid w:val="00BB5E5F"/>
    <w:rsid w:val="00BB5E81"/>
    <w:rsid w:val="00BB5E90"/>
    <w:rsid w:val="00BB5EDE"/>
    <w:rsid w:val="00BB5EF5"/>
    <w:rsid w:val="00BB5F39"/>
    <w:rsid w:val="00BB5F71"/>
    <w:rsid w:val="00BB5F93"/>
    <w:rsid w:val="00BB5FB2"/>
    <w:rsid w:val="00BB6004"/>
    <w:rsid w:val="00BB601F"/>
    <w:rsid w:val="00BB6066"/>
    <w:rsid w:val="00BB607D"/>
    <w:rsid w:val="00BB6087"/>
    <w:rsid w:val="00BB60DB"/>
    <w:rsid w:val="00BB60F8"/>
    <w:rsid w:val="00BB613F"/>
    <w:rsid w:val="00BB61F9"/>
    <w:rsid w:val="00BB621C"/>
    <w:rsid w:val="00BB6251"/>
    <w:rsid w:val="00BB625E"/>
    <w:rsid w:val="00BB629F"/>
    <w:rsid w:val="00BB6302"/>
    <w:rsid w:val="00BB6335"/>
    <w:rsid w:val="00BB6350"/>
    <w:rsid w:val="00BB6379"/>
    <w:rsid w:val="00BB63C9"/>
    <w:rsid w:val="00BB6407"/>
    <w:rsid w:val="00BB642C"/>
    <w:rsid w:val="00BB6444"/>
    <w:rsid w:val="00BB644D"/>
    <w:rsid w:val="00BB6472"/>
    <w:rsid w:val="00BB6530"/>
    <w:rsid w:val="00BB6589"/>
    <w:rsid w:val="00BB65EF"/>
    <w:rsid w:val="00BB65F3"/>
    <w:rsid w:val="00BB6628"/>
    <w:rsid w:val="00BB678F"/>
    <w:rsid w:val="00BB67C8"/>
    <w:rsid w:val="00BB67D7"/>
    <w:rsid w:val="00BB6807"/>
    <w:rsid w:val="00BB6859"/>
    <w:rsid w:val="00BB68C4"/>
    <w:rsid w:val="00BB68C5"/>
    <w:rsid w:val="00BB6935"/>
    <w:rsid w:val="00BB6953"/>
    <w:rsid w:val="00BB698A"/>
    <w:rsid w:val="00BB69B0"/>
    <w:rsid w:val="00BB69F0"/>
    <w:rsid w:val="00BB69F5"/>
    <w:rsid w:val="00BB6A40"/>
    <w:rsid w:val="00BB6A70"/>
    <w:rsid w:val="00BB6ABF"/>
    <w:rsid w:val="00BB6B3F"/>
    <w:rsid w:val="00BB6B84"/>
    <w:rsid w:val="00BB6BC4"/>
    <w:rsid w:val="00BB6BCB"/>
    <w:rsid w:val="00BB6BEB"/>
    <w:rsid w:val="00BB6CC8"/>
    <w:rsid w:val="00BB6CFF"/>
    <w:rsid w:val="00BB6DD4"/>
    <w:rsid w:val="00BB6DDA"/>
    <w:rsid w:val="00BB6E05"/>
    <w:rsid w:val="00BB6E36"/>
    <w:rsid w:val="00BB6E55"/>
    <w:rsid w:val="00BB6ECF"/>
    <w:rsid w:val="00BB6EDD"/>
    <w:rsid w:val="00BB6F06"/>
    <w:rsid w:val="00BB6F13"/>
    <w:rsid w:val="00BB6F14"/>
    <w:rsid w:val="00BB6F54"/>
    <w:rsid w:val="00BB6F5E"/>
    <w:rsid w:val="00BB6F6D"/>
    <w:rsid w:val="00BB6FE1"/>
    <w:rsid w:val="00BB707D"/>
    <w:rsid w:val="00BB707E"/>
    <w:rsid w:val="00BB7087"/>
    <w:rsid w:val="00BB7090"/>
    <w:rsid w:val="00BB70B0"/>
    <w:rsid w:val="00BB70C8"/>
    <w:rsid w:val="00BB70D3"/>
    <w:rsid w:val="00BB70D5"/>
    <w:rsid w:val="00BB710A"/>
    <w:rsid w:val="00BB7117"/>
    <w:rsid w:val="00BB714E"/>
    <w:rsid w:val="00BB716B"/>
    <w:rsid w:val="00BB71A4"/>
    <w:rsid w:val="00BB71DD"/>
    <w:rsid w:val="00BB71E3"/>
    <w:rsid w:val="00BB71F8"/>
    <w:rsid w:val="00BB72E4"/>
    <w:rsid w:val="00BB7317"/>
    <w:rsid w:val="00BB738F"/>
    <w:rsid w:val="00BB7394"/>
    <w:rsid w:val="00BB73A1"/>
    <w:rsid w:val="00BB7498"/>
    <w:rsid w:val="00BB74A5"/>
    <w:rsid w:val="00BB74BD"/>
    <w:rsid w:val="00BB74E5"/>
    <w:rsid w:val="00BB74FB"/>
    <w:rsid w:val="00BB7506"/>
    <w:rsid w:val="00BB750D"/>
    <w:rsid w:val="00BB7555"/>
    <w:rsid w:val="00BB75BE"/>
    <w:rsid w:val="00BB75C2"/>
    <w:rsid w:val="00BB75F8"/>
    <w:rsid w:val="00BB7623"/>
    <w:rsid w:val="00BB7640"/>
    <w:rsid w:val="00BB7663"/>
    <w:rsid w:val="00BB768B"/>
    <w:rsid w:val="00BB7691"/>
    <w:rsid w:val="00BB76DA"/>
    <w:rsid w:val="00BB7820"/>
    <w:rsid w:val="00BB7899"/>
    <w:rsid w:val="00BB789F"/>
    <w:rsid w:val="00BB793D"/>
    <w:rsid w:val="00BB7955"/>
    <w:rsid w:val="00BB795F"/>
    <w:rsid w:val="00BB7984"/>
    <w:rsid w:val="00BB79D1"/>
    <w:rsid w:val="00BB79ED"/>
    <w:rsid w:val="00BB79EF"/>
    <w:rsid w:val="00BB7A3D"/>
    <w:rsid w:val="00BB7A8E"/>
    <w:rsid w:val="00BB7BBA"/>
    <w:rsid w:val="00BB7BF3"/>
    <w:rsid w:val="00BB7BFA"/>
    <w:rsid w:val="00BB7C04"/>
    <w:rsid w:val="00BB7C49"/>
    <w:rsid w:val="00BB7C6A"/>
    <w:rsid w:val="00BB7C90"/>
    <w:rsid w:val="00BB7CDE"/>
    <w:rsid w:val="00BB7CF8"/>
    <w:rsid w:val="00BB7DEE"/>
    <w:rsid w:val="00BB7E33"/>
    <w:rsid w:val="00BB7E44"/>
    <w:rsid w:val="00BB7E4A"/>
    <w:rsid w:val="00BB7EEB"/>
    <w:rsid w:val="00BB7EFD"/>
    <w:rsid w:val="00BB7FAE"/>
    <w:rsid w:val="00BB7FB6"/>
    <w:rsid w:val="00BB7FDD"/>
    <w:rsid w:val="00BB7FF3"/>
    <w:rsid w:val="00BC000D"/>
    <w:rsid w:val="00BC0024"/>
    <w:rsid w:val="00BC0092"/>
    <w:rsid w:val="00BC011E"/>
    <w:rsid w:val="00BC01C7"/>
    <w:rsid w:val="00BC01D4"/>
    <w:rsid w:val="00BC0297"/>
    <w:rsid w:val="00BC02B9"/>
    <w:rsid w:val="00BC02E6"/>
    <w:rsid w:val="00BC0308"/>
    <w:rsid w:val="00BC034E"/>
    <w:rsid w:val="00BC0383"/>
    <w:rsid w:val="00BC0394"/>
    <w:rsid w:val="00BC03B7"/>
    <w:rsid w:val="00BC0401"/>
    <w:rsid w:val="00BC0407"/>
    <w:rsid w:val="00BC0433"/>
    <w:rsid w:val="00BC043B"/>
    <w:rsid w:val="00BC0445"/>
    <w:rsid w:val="00BC0487"/>
    <w:rsid w:val="00BC04F0"/>
    <w:rsid w:val="00BC0516"/>
    <w:rsid w:val="00BC0548"/>
    <w:rsid w:val="00BC054D"/>
    <w:rsid w:val="00BC0585"/>
    <w:rsid w:val="00BC0634"/>
    <w:rsid w:val="00BC065E"/>
    <w:rsid w:val="00BC0688"/>
    <w:rsid w:val="00BC06C8"/>
    <w:rsid w:val="00BC06D0"/>
    <w:rsid w:val="00BC0735"/>
    <w:rsid w:val="00BC07C1"/>
    <w:rsid w:val="00BC087C"/>
    <w:rsid w:val="00BC089E"/>
    <w:rsid w:val="00BC08A7"/>
    <w:rsid w:val="00BC08AF"/>
    <w:rsid w:val="00BC0934"/>
    <w:rsid w:val="00BC094C"/>
    <w:rsid w:val="00BC09E6"/>
    <w:rsid w:val="00BC0A04"/>
    <w:rsid w:val="00BC0A1C"/>
    <w:rsid w:val="00BC0A41"/>
    <w:rsid w:val="00BC0A54"/>
    <w:rsid w:val="00BC0A6A"/>
    <w:rsid w:val="00BC0AB1"/>
    <w:rsid w:val="00BC0AD4"/>
    <w:rsid w:val="00BC0AD6"/>
    <w:rsid w:val="00BC0B1C"/>
    <w:rsid w:val="00BC0B38"/>
    <w:rsid w:val="00BC0BDB"/>
    <w:rsid w:val="00BC0BE4"/>
    <w:rsid w:val="00BC0C1B"/>
    <w:rsid w:val="00BC0C55"/>
    <w:rsid w:val="00BC0C9B"/>
    <w:rsid w:val="00BC0CC3"/>
    <w:rsid w:val="00BC0CD3"/>
    <w:rsid w:val="00BC0D51"/>
    <w:rsid w:val="00BC0D74"/>
    <w:rsid w:val="00BC0DC9"/>
    <w:rsid w:val="00BC0E06"/>
    <w:rsid w:val="00BC0E0E"/>
    <w:rsid w:val="00BC0E8A"/>
    <w:rsid w:val="00BC0F01"/>
    <w:rsid w:val="00BC0F14"/>
    <w:rsid w:val="00BC0F23"/>
    <w:rsid w:val="00BC0F28"/>
    <w:rsid w:val="00BC0F7F"/>
    <w:rsid w:val="00BC0F98"/>
    <w:rsid w:val="00BC0FBD"/>
    <w:rsid w:val="00BC0FE6"/>
    <w:rsid w:val="00BC100D"/>
    <w:rsid w:val="00BC1016"/>
    <w:rsid w:val="00BC1047"/>
    <w:rsid w:val="00BC1066"/>
    <w:rsid w:val="00BC107B"/>
    <w:rsid w:val="00BC108B"/>
    <w:rsid w:val="00BC10A9"/>
    <w:rsid w:val="00BC10E1"/>
    <w:rsid w:val="00BC1104"/>
    <w:rsid w:val="00BC1109"/>
    <w:rsid w:val="00BC1113"/>
    <w:rsid w:val="00BC1128"/>
    <w:rsid w:val="00BC1190"/>
    <w:rsid w:val="00BC11BC"/>
    <w:rsid w:val="00BC11FE"/>
    <w:rsid w:val="00BC121C"/>
    <w:rsid w:val="00BC1221"/>
    <w:rsid w:val="00BC1256"/>
    <w:rsid w:val="00BC1265"/>
    <w:rsid w:val="00BC127B"/>
    <w:rsid w:val="00BC12B7"/>
    <w:rsid w:val="00BC12C9"/>
    <w:rsid w:val="00BC1318"/>
    <w:rsid w:val="00BC1374"/>
    <w:rsid w:val="00BC13E5"/>
    <w:rsid w:val="00BC13F8"/>
    <w:rsid w:val="00BC140D"/>
    <w:rsid w:val="00BC146D"/>
    <w:rsid w:val="00BC14B7"/>
    <w:rsid w:val="00BC14FA"/>
    <w:rsid w:val="00BC1508"/>
    <w:rsid w:val="00BC152B"/>
    <w:rsid w:val="00BC15EF"/>
    <w:rsid w:val="00BC160E"/>
    <w:rsid w:val="00BC160F"/>
    <w:rsid w:val="00BC168E"/>
    <w:rsid w:val="00BC16A2"/>
    <w:rsid w:val="00BC16D1"/>
    <w:rsid w:val="00BC16E5"/>
    <w:rsid w:val="00BC16F7"/>
    <w:rsid w:val="00BC1787"/>
    <w:rsid w:val="00BC1793"/>
    <w:rsid w:val="00BC17FC"/>
    <w:rsid w:val="00BC1819"/>
    <w:rsid w:val="00BC1828"/>
    <w:rsid w:val="00BC1847"/>
    <w:rsid w:val="00BC18D8"/>
    <w:rsid w:val="00BC190C"/>
    <w:rsid w:val="00BC191F"/>
    <w:rsid w:val="00BC194C"/>
    <w:rsid w:val="00BC1951"/>
    <w:rsid w:val="00BC1978"/>
    <w:rsid w:val="00BC19A9"/>
    <w:rsid w:val="00BC19CA"/>
    <w:rsid w:val="00BC19DA"/>
    <w:rsid w:val="00BC19F8"/>
    <w:rsid w:val="00BC1A11"/>
    <w:rsid w:val="00BC1A1A"/>
    <w:rsid w:val="00BC1A74"/>
    <w:rsid w:val="00BC1AF5"/>
    <w:rsid w:val="00BC1AFB"/>
    <w:rsid w:val="00BC1B58"/>
    <w:rsid w:val="00BC1B7A"/>
    <w:rsid w:val="00BC1B81"/>
    <w:rsid w:val="00BC1B89"/>
    <w:rsid w:val="00BC1BF4"/>
    <w:rsid w:val="00BC1CF4"/>
    <w:rsid w:val="00BC1D1A"/>
    <w:rsid w:val="00BC1D44"/>
    <w:rsid w:val="00BC1D5E"/>
    <w:rsid w:val="00BC1D7B"/>
    <w:rsid w:val="00BC1D7F"/>
    <w:rsid w:val="00BC1D8E"/>
    <w:rsid w:val="00BC1DE1"/>
    <w:rsid w:val="00BC1E1A"/>
    <w:rsid w:val="00BC1E84"/>
    <w:rsid w:val="00BC1E9D"/>
    <w:rsid w:val="00BC1EC9"/>
    <w:rsid w:val="00BC1FB4"/>
    <w:rsid w:val="00BC1FB6"/>
    <w:rsid w:val="00BC2053"/>
    <w:rsid w:val="00BC2054"/>
    <w:rsid w:val="00BC20AD"/>
    <w:rsid w:val="00BC210A"/>
    <w:rsid w:val="00BC210F"/>
    <w:rsid w:val="00BC2149"/>
    <w:rsid w:val="00BC215F"/>
    <w:rsid w:val="00BC21A6"/>
    <w:rsid w:val="00BC21A7"/>
    <w:rsid w:val="00BC21AA"/>
    <w:rsid w:val="00BC21EA"/>
    <w:rsid w:val="00BC2206"/>
    <w:rsid w:val="00BC2229"/>
    <w:rsid w:val="00BC2256"/>
    <w:rsid w:val="00BC2273"/>
    <w:rsid w:val="00BC2281"/>
    <w:rsid w:val="00BC2285"/>
    <w:rsid w:val="00BC22D8"/>
    <w:rsid w:val="00BC2301"/>
    <w:rsid w:val="00BC231F"/>
    <w:rsid w:val="00BC23AD"/>
    <w:rsid w:val="00BC23EF"/>
    <w:rsid w:val="00BC245B"/>
    <w:rsid w:val="00BC246E"/>
    <w:rsid w:val="00BC2471"/>
    <w:rsid w:val="00BC247E"/>
    <w:rsid w:val="00BC2480"/>
    <w:rsid w:val="00BC2484"/>
    <w:rsid w:val="00BC24B7"/>
    <w:rsid w:val="00BC24C5"/>
    <w:rsid w:val="00BC24E1"/>
    <w:rsid w:val="00BC2506"/>
    <w:rsid w:val="00BC252C"/>
    <w:rsid w:val="00BC25BB"/>
    <w:rsid w:val="00BC25EF"/>
    <w:rsid w:val="00BC2618"/>
    <w:rsid w:val="00BC263A"/>
    <w:rsid w:val="00BC2673"/>
    <w:rsid w:val="00BC26A1"/>
    <w:rsid w:val="00BC26E5"/>
    <w:rsid w:val="00BC26F9"/>
    <w:rsid w:val="00BC2705"/>
    <w:rsid w:val="00BC277E"/>
    <w:rsid w:val="00BC27A0"/>
    <w:rsid w:val="00BC27F0"/>
    <w:rsid w:val="00BC27F8"/>
    <w:rsid w:val="00BC27FD"/>
    <w:rsid w:val="00BC2865"/>
    <w:rsid w:val="00BC28FD"/>
    <w:rsid w:val="00BC2932"/>
    <w:rsid w:val="00BC293B"/>
    <w:rsid w:val="00BC294C"/>
    <w:rsid w:val="00BC29B5"/>
    <w:rsid w:val="00BC2A67"/>
    <w:rsid w:val="00BC2AA8"/>
    <w:rsid w:val="00BC2B31"/>
    <w:rsid w:val="00BC2B52"/>
    <w:rsid w:val="00BC2B7C"/>
    <w:rsid w:val="00BC2B94"/>
    <w:rsid w:val="00BC2C17"/>
    <w:rsid w:val="00BC2C5C"/>
    <w:rsid w:val="00BC2C78"/>
    <w:rsid w:val="00BC2C86"/>
    <w:rsid w:val="00BC2C95"/>
    <w:rsid w:val="00BC2CE0"/>
    <w:rsid w:val="00BC2D1B"/>
    <w:rsid w:val="00BC2D67"/>
    <w:rsid w:val="00BC2D74"/>
    <w:rsid w:val="00BC2D8B"/>
    <w:rsid w:val="00BC2DAF"/>
    <w:rsid w:val="00BC2DC8"/>
    <w:rsid w:val="00BC2E07"/>
    <w:rsid w:val="00BC2E37"/>
    <w:rsid w:val="00BC2E72"/>
    <w:rsid w:val="00BC2E9E"/>
    <w:rsid w:val="00BC2EA4"/>
    <w:rsid w:val="00BC2F37"/>
    <w:rsid w:val="00BC2F5E"/>
    <w:rsid w:val="00BC2F85"/>
    <w:rsid w:val="00BC2FD5"/>
    <w:rsid w:val="00BC2FD6"/>
    <w:rsid w:val="00BC2FE4"/>
    <w:rsid w:val="00BC2FEF"/>
    <w:rsid w:val="00BC2FFD"/>
    <w:rsid w:val="00BC2FFE"/>
    <w:rsid w:val="00BC305A"/>
    <w:rsid w:val="00BC30A7"/>
    <w:rsid w:val="00BC30E8"/>
    <w:rsid w:val="00BC3125"/>
    <w:rsid w:val="00BC31BD"/>
    <w:rsid w:val="00BC31E8"/>
    <w:rsid w:val="00BC3238"/>
    <w:rsid w:val="00BC3281"/>
    <w:rsid w:val="00BC32DD"/>
    <w:rsid w:val="00BC32DE"/>
    <w:rsid w:val="00BC3311"/>
    <w:rsid w:val="00BC33BD"/>
    <w:rsid w:val="00BC346A"/>
    <w:rsid w:val="00BC3484"/>
    <w:rsid w:val="00BC348D"/>
    <w:rsid w:val="00BC34D8"/>
    <w:rsid w:val="00BC3529"/>
    <w:rsid w:val="00BC355D"/>
    <w:rsid w:val="00BC364B"/>
    <w:rsid w:val="00BC367A"/>
    <w:rsid w:val="00BC369B"/>
    <w:rsid w:val="00BC36EB"/>
    <w:rsid w:val="00BC3748"/>
    <w:rsid w:val="00BC376D"/>
    <w:rsid w:val="00BC379C"/>
    <w:rsid w:val="00BC37A6"/>
    <w:rsid w:val="00BC37A7"/>
    <w:rsid w:val="00BC37C4"/>
    <w:rsid w:val="00BC3814"/>
    <w:rsid w:val="00BC3819"/>
    <w:rsid w:val="00BC384F"/>
    <w:rsid w:val="00BC3857"/>
    <w:rsid w:val="00BC3934"/>
    <w:rsid w:val="00BC393E"/>
    <w:rsid w:val="00BC3950"/>
    <w:rsid w:val="00BC3995"/>
    <w:rsid w:val="00BC39B4"/>
    <w:rsid w:val="00BC39B8"/>
    <w:rsid w:val="00BC39CE"/>
    <w:rsid w:val="00BC39F0"/>
    <w:rsid w:val="00BC3AB9"/>
    <w:rsid w:val="00BC3ADA"/>
    <w:rsid w:val="00BC3B1C"/>
    <w:rsid w:val="00BC3B94"/>
    <w:rsid w:val="00BC3BCA"/>
    <w:rsid w:val="00BC3BF2"/>
    <w:rsid w:val="00BC3C7F"/>
    <w:rsid w:val="00BC3C97"/>
    <w:rsid w:val="00BC3CB4"/>
    <w:rsid w:val="00BC3CFD"/>
    <w:rsid w:val="00BC3D40"/>
    <w:rsid w:val="00BC3DAB"/>
    <w:rsid w:val="00BC3DAF"/>
    <w:rsid w:val="00BC3DE4"/>
    <w:rsid w:val="00BC3EF6"/>
    <w:rsid w:val="00BC3F57"/>
    <w:rsid w:val="00BC3F67"/>
    <w:rsid w:val="00BC3F70"/>
    <w:rsid w:val="00BC3FCB"/>
    <w:rsid w:val="00BC3FEA"/>
    <w:rsid w:val="00BC409F"/>
    <w:rsid w:val="00BC40EE"/>
    <w:rsid w:val="00BC411F"/>
    <w:rsid w:val="00BC413D"/>
    <w:rsid w:val="00BC41EA"/>
    <w:rsid w:val="00BC41F6"/>
    <w:rsid w:val="00BC4238"/>
    <w:rsid w:val="00BC427E"/>
    <w:rsid w:val="00BC42D7"/>
    <w:rsid w:val="00BC42D8"/>
    <w:rsid w:val="00BC4355"/>
    <w:rsid w:val="00BC4455"/>
    <w:rsid w:val="00BC447F"/>
    <w:rsid w:val="00BC44A0"/>
    <w:rsid w:val="00BC44E8"/>
    <w:rsid w:val="00BC44F1"/>
    <w:rsid w:val="00BC44F8"/>
    <w:rsid w:val="00BC4503"/>
    <w:rsid w:val="00BC4548"/>
    <w:rsid w:val="00BC4550"/>
    <w:rsid w:val="00BC4562"/>
    <w:rsid w:val="00BC4587"/>
    <w:rsid w:val="00BC45A9"/>
    <w:rsid w:val="00BC45B2"/>
    <w:rsid w:val="00BC45BF"/>
    <w:rsid w:val="00BC45C4"/>
    <w:rsid w:val="00BC469B"/>
    <w:rsid w:val="00BC46BA"/>
    <w:rsid w:val="00BC46FC"/>
    <w:rsid w:val="00BC4725"/>
    <w:rsid w:val="00BC472B"/>
    <w:rsid w:val="00BC47B5"/>
    <w:rsid w:val="00BC4801"/>
    <w:rsid w:val="00BC4821"/>
    <w:rsid w:val="00BC4834"/>
    <w:rsid w:val="00BC4840"/>
    <w:rsid w:val="00BC4874"/>
    <w:rsid w:val="00BC48C5"/>
    <w:rsid w:val="00BC48C6"/>
    <w:rsid w:val="00BC48E9"/>
    <w:rsid w:val="00BC49B0"/>
    <w:rsid w:val="00BC4A23"/>
    <w:rsid w:val="00BC4A30"/>
    <w:rsid w:val="00BC4A69"/>
    <w:rsid w:val="00BC4A6D"/>
    <w:rsid w:val="00BC4AA9"/>
    <w:rsid w:val="00BC4AD9"/>
    <w:rsid w:val="00BC4B37"/>
    <w:rsid w:val="00BC4B3B"/>
    <w:rsid w:val="00BC4B54"/>
    <w:rsid w:val="00BC4B5E"/>
    <w:rsid w:val="00BC4BA4"/>
    <w:rsid w:val="00BC4BD2"/>
    <w:rsid w:val="00BC4BE0"/>
    <w:rsid w:val="00BC4BE7"/>
    <w:rsid w:val="00BC4C51"/>
    <w:rsid w:val="00BC4C5E"/>
    <w:rsid w:val="00BC4CDE"/>
    <w:rsid w:val="00BC4CE3"/>
    <w:rsid w:val="00BC4D42"/>
    <w:rsid w:val="00BC4D80"/>
    <w:rsid w:val="00BC4E13"/>
    <w:rsid w:val="00BC4E22"/>
    <w:rsid w:val="00BC4E39"/>
    <w:rsid w:val="00BC4E44"/>
    <w:rsid w:val="00BC4EA7"/>
    <w:rsid w:val="00BC4EB1"/>
    <w:rsid w:val="00BC4F37"/>
    <w:rsid w:val="00BC4F6E"/>
    <w:rsid w:val="00BC4F77"/>
    <w:rsid w:val="00BC4FFC"/>
    <w:rsid w:val="00BC5026"/>
    <w:rsid w:val="00BC5058"/>
    <w:rsid w:val="00BC50B3"/>
    <w:rsid w:val="00BC50DC"/>
    <w:rsid w:val="00BC50F2"/>
    <w:rsid w:val="00BC5104"/>
    <w:rsid w:val="00BC5155"/>
    <w:rsid w:val="00BC5160"/>
    <w:rsid w:val="00BC5172"/>
    <w:rsid w:val="00BC517C"/>
    <w:rsid w:val="00BC51DF"/>
    <w:rsid w:val="00BC520C"/>
    <w:rsid w:val="00BC526D"/>
    <w:rsid w:val="00BC52A3"/>
    <w:rsid w:val="00BC52C8"/>
    <w:rsid w:val="00BC52D8"/>
    <w:rsid w:val="00BC52FF"/>
    <w:rsid w:val="00BC5300"/>
    <w:rsid w:val="00BC5305"/>
    <w:rsid w:val="00BC542A"/>
    <w:rsid w:val="00BC5449"/>
    <w:rsid w:val="00BC547E"/>
    <w:rsid w:val="00BC548D"/>
    <w:rsid w:val="00BC54A3"/>
    <w:rsid w:val="00BC5529"/>
    <w:rsid w:val="00BC55EF"/>
    <w:rsid w:val="00BC55F3"/>
    <w:rsid w:val="00BC5634"/>
    <w:rsid w:val="00BC567F"/>
    <w:rsid w:val="00BC570B"/>
    <w:rsid w:val="00BC574B"/>
    <w:rsid w:val="00BC5859"/>
    <w:rsid w:val="00BC587F"/>
    <w:rsid w:val="00BC58AB"/>
    <w:rsid w:val="00BC58F5"/>
    <w:rsid w:val="00BC58F7"/>
    <w:rsid w:val="00BC58FC"/>
    <w:rsid w:val="00BC5965"/>
    <w:rsid w:val="00BC5979"/>
    <w:rsid w:val="00BC597E"/>
    <w:rsid w:val="00BC59AE"/>
    <w:rsid w:val="00BC5A03"/>
    <w:rsid w:val="00BC5A6F"/>
    <w:rsid w:val="00BC5A9D"/>
    <w:rsid w:val="00BC5B05"/>
    <w:rsid w:val="00BC5B57"/>
    <w:rsid w:val="00BC5B7A"/>
    <w:rsid w:val="00BC5B99"/>
    <w:rsid w:val="00BC5BD9"/>
    <w:rsid w:val="00BC5C49"/>
    <w:rsid w:val="00BC5C9C"/>
    <w:rsid w:val="00BC5CA8"/>
    <w:rsid w:val="00BC5CC7"/>
    <w:rsid w:val="00BC5D32"/>
    <w:rsid w:val="00BC5DAA"/>
    <w:rsid w:val="00BC5E22"/>
    <w:rsid w:val="00BC5E82"/>
    <w:rsid w:val="00BC5EDA"/>
    <w:rsid w:val="00BC5EE6"/>
    <w:rsid w:val="00BC5F24"/>
    <w:rsid w:val="00BC5F92"/>
    <w:rsid w:val="00BC5FA8"/>
    <w:rsid w:val="00BC600A"/>
    <w:rsid w:val="00BC6026"/>
    <w:rsid w:val="00BC60D3"/>
    <w:rsid w:val="00BC6146"/>
    <w:rsid w:val="00BC6155"/>
    <w:rsid w:val="00BC6170"/>
    <w:rsid w:val="00BC61EB"/>
    <w:rsid w:val="00BC62B7"/>
    <w:rsid w:val="00BC6314"/>
    <w:rsid w:val="00BC6366"/>
    <w:rsid w:val="00BC636B"/>
    <w:rsid w:val="00BC6422"/>
    <w:rsid w:val="00BC642E"/>
    <w:rsid w:val="00BC6466"/>
    <w:rsid w:val="00BC647C"/>
    <w:rsid w:val="00BC64AD"/>
    <w:rsid w:val="00BC6502"/>
    <w:rsid w:val="00BC6547"/>
    <w:rsid w:val="00BC654A"/>
    <w:rsid w:val="00BC657C"/>
    <w:rsid w:val="00BC657F"/>
    <w:rsid w:val="00BC65C4"/>
    <w:rsid w:val="00BC663D"/>
    <w:rsid w:val="00BC6663"/>
    <w:rsid w:val="00BC668C"/>
    <w:rsid w:val="00BC66AC"/>
    <w:rsid w:val="00BC66B4"/>
    <w:rsid w:val="00BC66C8"/>
    <w:rsid w:val="00BC670D"/>
    <w:rsid w:val="00BC6728"/>
    <w:rsid w:val="00BC6748"/>
    <w:rsid w:val="00BC676D"/>
    <w:rsid w:val="00BC6775"/>
    <w:rsid w:val="00BC67D5"/>
    <w:rsid w:val="00BC6836"/>
    <w:rsid w:val="00BC6847"/>
    <w:rsid w:val="00BC68A1"/>
    <w:rsid w:val="00BC68D3"/>
    <w:rsid w:val="00BC68EB"/>
    <w:rsid w:val="00BC6901"/>
    <w:rsid w:val="00BC690C"/>
    <w:rsid w:val="00BC6947"/>
    <w:rsid w:val="00BC699F"/>
    <w:rsid w:val="00BC69CC"/>
    <w:rsid w:val="00BC6A27"/>
    <w:rsid w:val="00BC6A29"/>
    <w:rsid w:val="00BC6A3F"/>
    <w:rsid w:val="00BC6A7F"/>
    <w:rsid w:val="00BC6A81"/>
    <w:rsid w:val="00BC6AE2"/>
    <w:rsid w:val="00BC6B04"/>
    <w:rsid w:val="00BC6B06"/>
    <w:rsid w:val="00BC6B30"/>
    <w:rsid w:val="00BC6B3D"/>
    <w:rsid w:val="00BC6B42"/>
    <w:rsid w:val="00BC6B76"/>
    <w:rsid w:val="00BC6BA5"/>
    <w:rsid w:val="00BC6BC8"/>
    <w:rsid w:val="00BC6BD9"/>
    <w:rsid w:val="00BC6C98"/>
    <w:rsid w:val="00BC6CDA"/>
    <w:rsid w:val="00BC6D32"/>
    <w:rsid w:val="00BC6D38"/>
    <w:rsid w:val="00BC6D59"/>
    <w:rsid w:val="00BC6D5E"/>
    <w:rsid w:val="00BC6DA1"/>
    <w:rsid w:val="00BC6DB4"/>
    <w:rsid w:val="00BC6DF7"/>
    <w:rsid w:val="00BC6E45"/>
    <w:rsid w:val="00BC6E7B"/>
    <w:rsid w:val="00BC6E99"/>
    <w:rsid w:val="00BC6EA9"/>
    <w:rsid w:val="00BC6EC9"/>
    <w:rsid w:val="00BC6EFB"/>
    <w:rsid w:val="00BC6F00"/>
    <w:rsid w:val="00BC6F10"/>
    <w:rsid w:val="00BC6F34"/>
    <w:rsid w:val="00BC6FA4"/>
    <w:rsid w:val="00BC6FB3"/>
    <w:rsid w:val="00BC6FFE"/>
    <w:rsid w:val="00BC7008"/>
    <w:rsid w:val="00BC701D"/>
    <w:rsid w:val="00BC702B"/>
    <w:rsid w:val="00BC7096"/>
    <w:rsid w:val="00BC70DF"/>
    <w:rsid w:val="00BC7100"/>
    <w:rsid w:val="00BC7110"/>
    <w:rsid w:val="00BC7137"/>
    <w:rsid w:val="00BC7145"/>
    <w:rsid w:val="00BC7174"/>
    <w:rsid w:val="00BC71AD"/>
    <w:rsid w:val="00BC71B3"/>
    <w:rsid w:val="00BC71E2"/>
    <w:rsid w:val="00BC722C"/>
    <w:rsid w:val="00BC725C"/>
    <w:rsid w:val="00BC7274"/>
    <w:rsid w:val="00BC7294"/>
    <w:rsid w:val="00BC738B"/>
    <w:rsid w:val="00BC7397"/>
    <w:rsid w:val="00BC7414"/>
    <w:rsid w:val="00BC7488"/>
    <w:rsid w:val="00BC7525"/>
    <w:rsid w:val="00BC754C"/>
    <w:rsid w:val="00BC755F"/>
    <w:rsid w:val="00BC75F1"/>
    <w:rsid w:val="00BC7622"/>
    <w:rsid w:val="00BC763E"/>
    <w:rsid w:val="00BC7649"/>
    <w:rsid w:val="00BC765B"/>
    <w:rsid w:val="00BC76A4"/>
    <w:rsid w:val="00BC76C9"/>
    <w:rsid w:val="00BC76CD"/>
    <w:rsid w:val="00BC76D9"/>
    <w:rsid w:val="00BC7755"/>
    <w:rsid w:val="00BC7756"/>
    <w:rsid w:val="00BC776B"/>
    <w:rsid w:val="00BC7796"/>
    <w:rsid w:val="00BC77A9"/>
    <w:rsid w:val="00BC784C"/>
    <w:rsid w:val="00BC78D6"/>
    <w:rsid w:val="00BC78EA"/>
    <w:rsid w:val="00BC792E"/>
    <w:rsid w:val="00BC795E"/>
    <w:rsid w:val="00BC7971"/>
    <w:rsid w:val="00BC7976"/>
    <w:rsid w:val="00BC7999"/>
    <w:rsid w:val="00BC79BA"/>
    <w:rsid w:val="00BC79BE"/>
    <w:rsid w:val="00BC79D4"/>
    <w:rsid w:val="00BC7A05"/>
    <w:rsid w:val="00BC7A06"/>
    <w:rsid w:val="00BC7A86"/>
    <w:rsid w:val="00BC7B19"/>
    <w:rsid w:val="00BC7B6C"/>
    <w:rsid w:val="00BC7BD1"/>
    <w:rsid w:val="00BC7BDF"/>
    <w:rsid w:val="00BC7BE0"/>
    <w:rsid w:val="00BC7CB0"/>
    <w:rsid w:val="00BC7CBF"/>
    <w:rsid w:val="00BC7CD3"/>
    <w:rsid w:val="00BC7D44"/>
    <w:rsid w:val="00BC7D6E"/>
    <w:rsid w:val="00BC7D7F"/>
    <w:rsid w:val="00BC7DA9"/>
    <w:rsid w:val="00BC7DD9"/>
    <w:rsid w:val="00BC7DEB"/>
    <w:rsid w:val="00BC7E26"/>
    <w:rsid w:val="00BC7E61"/>
    <w:rsid w:val="00BC7E80"/>
    <w:rsid w:val="00BC7EA6"/>
    <w:rsid w:val="00BC7EC5"/>
    <w:rsid w:val="00BC7EF1"/>
    <w:rsid w:val="00BC7EF3"/>
    <w:rsid w:val="00BC7F6C"/>
    <w:rsid w:val="00BD0030"/>
    <w:rsid w:val="00BD007B"/>
    <w:rsid w:val="00BD00CB"/>
    <w:rsid w:val="00BD00FC"/>
    <w:rsid w:val="00BD0136"/>
    <w:rsid w:val="00BD016F"/>
    <w:rsid w:val="00BD0191"/>
    <w:rsid w:val="00BD019A"/>
    <w:rsid w:val="00BD01C2"/>
    <w:rsid w:val="00BD01E4"/>
    <w:rsid w:val="00BD020C"/>
    <w:rsid w:val="00BD023A"/>
    <w:rsid w:val="00BD029B"/>
    <w:rsid w:val="00BD02CB"/>
    <w:rsid w:val="00BD02DF"/>
    <w:rsid w:val="00BD02FE"/>
    <w:rsid w:val="00BD030A"/>
    <w:rsid w:val="00BD0318"/>
    <w:rsid w:val="00BD03BC"/>
    <w:rsid w:val="00BD0417"/>
    <w:rsid w:val="00BD0446"/>
    <w:rsid w:val="00BD047C"/>
    <w:rsid w:val="00BD04AA"/>
    <w:rsid w:val="00BD058B"/>
    <w:rsid w:val="00BD0607"/>
    <w:rsid w:val="00BD0610"/>
    <w:rsid w:val="00BD0628"/>
    <w:rsid w:val="00BD063C"/>
    <w:rsid w:val="00BD064D"/>
    <w:rsid w:val="00BD0692"/>
    <w:rsid w:val="00BD06C8"/>
    <w:rsid w:val="00BD0728"/>
    <w:rsid w:val="00BD0776"/>
    <w:rsid w:val="00BD0858"/>
    <w:rsid w:val="00BD0861"/>
    <w:rsid w:val="00BD08B0"/>
    <w:rsid w:val="00BD08CB"/>
    <w:rsid w:val="00BD08D4"/>
    <w:rsid w:val="00BD08D6"/>
    <w:rsid w:val="00BD08E7"/>
    <w:rsid w:val="00BD08EB"/>
    <w:rsid w:val="00BD090E"/>
    <w:rsid w:val="00BD0913"/>
    <w:rsid w:val="00BD0A6A"/>
    <w:rsid w:val="00BD0AD2"/>
    <w:rsid w:val="00BD0BA0"/>
    <w:rsid w:val="00BD0C38"/>
    <w:rsid w:val="00BD0C86"/>
    <w:rsid w:val="00BD0C8A"/>
    <w:rsid w:val="00BD0D7C"/>
    <w:rsid w:val="00BD0DA3"/>
    <w:rsid w:val="00BD0DC9"/>
    <w:rsid w:val="00BD0E2C"/>
    <w:rsid w:val="00BD0E9D"/>
    <w:rsid w:val="00BD0FA4"/>
    <w:rsid w:val="00BD0FBF"/>
    <w:rsid w:val="00BD0FD0"/>
    <w:rsid w:val="00BD0FDF"/>
    <w:rsid w:val="00BD1045"/>
    <w:rsid w:val="00BD1067"/>
    <w:rsid w:val="00BD10CA"/>
    <w:rsid w:val="00BD112C"/>
    <w:rsid w:val="00BD1155"/>
    <w:rsid w:val="00BD1157"/>
    <w:rsid w:val="00BD116C"/>
    <w:rsid w:val="00BD117A"/>
    <w:rsid w:val="00BD1182"/>
    <w:rsid w:val="00BD118E"/>
    <w:rsid w:val="00BD1191"/>
    <w:rsid w:val="00BD1192"/>
    <w:rsid w:val="00BD11AB"/>
    <w:rsid w:val="00BD11AE"/>
    <w:rsid w:val="00BD11BF"/>
    <w:rsid w:val="00BD11EB"/>
    <w:rsid w:val="00BD11FF"/>
    <w:rsid w:val="00BD1232"/>
    <w:rsid w:val="00BD12A8"/>
    <w:rsid w:val="00BD12B0"/>
    <w:rsid w:val="00BD1321"/>
    <w:rsid w:val="00BD1379"/>
    <w:rsid w:val="00BD138D"/>
    <w:rsid w:val="00BD13B2"/>
    <w:rsid w:val="00BD13D5"/>
    <w:rsid w:val="00BD13E8"/>
    <w:rsid w:val="00BD1402"/>
    <w:rsid w:val="00BD1408"/>
    <w:rsid w:val="00BD14BF"/>
    <w:rsid w:val="00BD14EC"/>
    <w:rsid w:val="00BD151E"/>
    <w:rsid w:val="00BD15BC"/>
    <w:rsid w:val="00BD1627"/>
    <w:rsid w:val="00BD168E"/>
    <w:rsid w:val="00BD169F"/>
    <w:rsid w:val="00BD175C"/>
    <w:rsid w:val="00BD1769"/>
    <w:rsid w:val="00BD176D"/>
    <w:rsid w:val="00BD1776"/>
    <w:rsid w:val="00BD1782"/>
    <w:rsid w:val="00BD178F"/>
    <w:rsid w:val="00BD17B1"/>
    <w:rsid w:val="00BD17B5"/>
    <w:rsid w:val="00BD17BF"/>
    <w:rsid w:val="00BD17D9"/>
    <w:rsid w:val="00BD17E2"/>
    <w:rsid w:val="00BD17F1"/>
    <w:rsid w:val="00BD17F9"/>
    <w:rsid w:val="00BD1807"/>
    <w:rsid w:val="00BD186B"/>
    <w:rsid w:val="00BD18DC"/>
    <w:rsid w:val="00BD193D"/>
    <w:rsid w:val="00BD199A"/>
    <w:rsid w:val="00BD19BC"/>
    <w:rsid w:val="00BD1A42"/>
    <w:rsid w:val="00BD1A75"/>
    <w:rsid w:val="00BD1AE3"/>
    <w:rsid w:val="00BD1AF7"/>
    <w:rsid w:val="00BD1AFB"/>
    <w:rsid w:val="00BD1B1C"/>
    <w:rsid w:val="00BD1B21"/>
    <w:rsid w:val="00BD1B48"/>
    <w:rsid w:val="00BD1BD2"/>
    <w:rsid w:val="00BD1BEC"/>
    <w:rsid w:val="00BD1C35"/>
    <w:rsid w:val="00BD1C3E"/>
    <w:rsid w:val="00BD1C62"/>
    <w:rsid w:val="00BD1C90"/>
    <w:rsid w:val="00BD1CC7"/>
    <w:rsid w:val="00BD1D15"/>
    <w:rsid w:val="00BD1D4C"/>
    <w:rsid w:val="00BD1D53"/>
    <w:rsid w:val="00BD1D91"/>
    <w:rsid w:val="00BD1E3D"/>
    <w:rsid w:val="00BD1E68"/>
    <w:rsid w:val="00BD1ECE"/>
    <w:rsid w:val="00BD1ED0"/>
    <w:rsid w:val="00BD1F08"/>
    <w:rsid w:val="00BD1F1C"/>
    <w:rsid w:val="00BD1F27"/>
    <w:rsid w:val="00BD1F3F"/>
    <w:rsid w:val="00BD1F62"/>
    <w:rsid w:val="00BD1F94"/>
    <w:rsid w:val="00BD1F99"/>
    <w:rsid w:val="00BD1FAF"/>
    <w:rsid w:val="00BD1FB7"/>
    <w:rsid w:val="00BD1FD2"/>
    <w:rsid w:val="00BD1FEE"/>
    <w:rsid w:val="00BD201F"/>
    <w:rsid w:val="00BD2051"/>
    <w:rsid w:val="00BD2066"/>
    <w:rsid w:val="00BD2070"/>
    <w:rsid w:val="00BD20AB"/>
    <w:rsid w:val="00BD20B4"/>
    <w:rsid w:val="00BD20B5"/>
    <w:rsid w:val="00BD20BF"/>
    <w:rsid w:val="00BD20F7"/>
    <w:rsid w:val="00BD213F"/>
    <w:rsid w:val="00BD2150"/>
    <w:rsid w:val="00BD21DF"/>
    <w:rsid w:val="00BD2200"/>
    <w:rsid w:val="00BD2207"/>
    <w:rsid w:val="00BD220B"/>
    <w:rsid w:val="00BD220D"/>
    <w:rsid w:val="00BD221D"/>
    <w:rsid w:val="00BD222E"/>
    <w:rsid w:val="00BD2231"/>
    <w:rsid w:val="00BD2235"/>
    <w:rsid w:val="00BD224E"/>
    <w:rsid w:val="00BD22A8"/>
    <w:rsid w:val="00BD22B4"/>
    <w:rsid w:val="00BD2315"/>
    <w:rsid w:val="00BD23A0"/>
    <w:rsid w:val="00BD23A7"/>
    <w:rsid w:val="00BD2410"/>
    <w:rsid w:val="00BD246E"/>
    <w:rsid w:val="00BD2470"/>
    <w:rsid w:val="00BD2485"/>
    <w:rsid w:val="00BD2486"/>
    <w:rsid w:val="00BD2492"/>
    <w:rsid w:val="00BD249A"/>
    <w:rsid w:val="00BD24E2"/>
    <w:rsid w:val="00BD24F2"/>
    <w:rsid w:val="00BD2570"/>
    <w:rsid w:val="00BD2572"/>
    <w:rsid w:val="00BD2579"/>
    <w:rsid w:val="00BD257D"/>
    <w:rsid w:val="00BD25B6"/>
    <w:rsid w:val="00BD2648"/>
    <w:rsid w:val="00BD273D"/>
    <w:rsid w:val="00BD2746"/>
    <w:rsid w:val="00BD274C"/>
    <w:rsid w:val="00BD284C"/>
    <w:rsid w:val="00BD286D"/>
    <w:rsid w:val="00BD2899"/>
    <w:rsid w:val="00BD28AA"/>
    <w:rsid w:val="00BD28F1"/>
    <w:rsid w:val="00BD299E"/>
    <w:rsid w:val="00BD29C1"/>
    <w:rsid w:val="00BD29CD"/>
    <w:rsid w:val="00BD2A34"/>
    <w:rsid w:val="00BD2A37"/>
    <w:rsid w:val="00BD2A46"/>
    <w:rsid w:val="00BD2B0C"/>
    <w:rsid w:val="00BD2B78"/>
    <w:rsid w:val="00BD2B94"/>
    <w:rsid w:val="00BD2BD3"/>
    <w:rsid w:val="00BD2C71"/>
    <w:rsid w:val="00BD2C80"/>
    <w:rsid w:val="00BD2CF6"/>
    <w:rsid w:val="00BD2D20"/>
    <w:rsid w:val="00BD2D2A"/>
    <w:rsid w:val="00BD2D33"/>
    <w:rsid w:val="00BD2D9E"/>
    <w:rsid w:val="00BD2DD9"/>
    <w:rsid w:val="00BD2DDC"/>
    <w:rsid w:val="00BD2E3E"/>
    <w:rsid w:val="00BD2E83"/>
    <w:rsid w:val="00BD2F78"/>
    <w:rsid w:val="00BD2FA4"/>
    <w:rsid w:val="00BD2FAA"/>
    <w:rsid w:val="00BD3005"/>
    <w:rsid w:val="00BD300E"/>
    <w:rsid w:val="00BD3015"/>
    <w:rsid w:val="00BD3021"/>
    <w:rsid w:val="00BD3042"/>
    <w:rsid w:val="00BD304E"/>
    <w:rsid w:val="00BD3065"/>
    <w:rsid w:val="00BD30B7"/>
    <w:rsid w:val="00BD3112"/>
    <w:rsid w:val="00BD3117"/>
    <w:rsid w:val="00BD312C"/>
    <w:rsid w:val="00BD31D0"/>
    <w:rsid w:val="00BD31D3"/>
    <w:rsid w:val="00BD31DD"/>
    <w:rsid w:val="00BD31DF"/>
    <w:rsid w:val="00BD3226"/>
    <w:rsid w:val="00BD3269"/>
    <w:rsid w:val="00BD329D"/>
    <w:rsid w:val="00BD32B4"/>
    <w:rsid w:val="00BD32BD"/>
    <w:rsid w:val="00BD32CB"/>
    <w:rsid w:val="00BD32E2"/>
    <w:rsid w:val="00BD3329"/>
    <w:rsid w:val="00BD3357"/>
    <w:rsid w:val="00BD335A"/>
    <w:rsid w:val="00BD3383"/>
    <w:rsid w:val="00BD338B"/>
    <w:rsid w:val="00BD3393"/>
    <w:rsid w:val="00BD33DE"/>
    <w:rsid w:val="00BD33EB"/>
    <w:rsid w:val="00BD3424"/>
    <w:rsid w:val="00BD343A"/>
    <w:rsid w:val="00BD34A1"/>
    <w:rsid w:val="00BD34C1"/>
    <w:rsid w:val="00BD357A"/>
    <w:rsid w:val="00BD3591"/>
    <w:rsid w:val="00BD3598"/>
    <w:rsid w:val="00BD35B2"/>
    <w:rsid w:val="00BD3614"/>
    <w:rsid w:val="00BD3623"/>
    <w:rsid w:val="00BD364C"/>
    <w:rsid w:val="00BD3686"/>
    <w:rsid w:val="00BD36A4"/>
    <w:rsid w:val="00BD36E0"/>
    <w:rsid w:val="00BD36F3"/>
    <w:rsid w:val="00BD378B"/>
    <w:rsid w:val="00BD37F3"/>
    <w:rsid w:val="00BD3885"/>
    <w:rsid w:val="00BD38B5"/>
    <w:rsid w:val="00BD38CB"/>
    <w:rsid w:val="00BD38FF"/>
    <w:rsid w:val="00BD3931"/>
    <w:rsid w:val="00BD393B"/>
    <w:rsid w:val="00BD396B"/>
    <w:rsid w:val="00BD3973"/>
    <w:rsid w:val="00BD397A"/>
    <w:rsid w:val="00BD397E"/>
    <w:rsid w:val="00BD3A0D"/>
    <w:rsid w:val="00BD3A33"/>
    <w:rsid w:val="00BD3A8B"/>
    <w:rsid w:val="00BD3A94"/>
    <w:rsid w:val="00BD3ADD"/>
    <w:rsid w:val="00BD3B06"/>
    <w:rsid w:val="00BD3B38"/>
    <w:rsid w:val="00BD3B46"/>
    <w:rsid w:val="00BD3B88"/>
    <w:rsid w:val="00BD3BC2"/>
    <w:rsid w:val="00BD3C31"/>
    <w:rsid w:val="00BD3C88"/>
    <w:rsid w:val="00BD3CBE"/>
    <w:rsid w:val="00BD3CE4"/>
    <w:rsid w:val="00BD3E11"/>
    <w:rsid w:val="00BD3E32"/>
    <w:rsid w:val="00BD3E6C"/>
    <w:rsid w:val="00BD3F6D"/>
    <w:rsid w:val="00BD3F91"/>
    <w:rsid w:val="00BD3FB7"/>
    <w:rsid w:val="00BD400B"/>
    <w:rsid w:val="00BD4012"/>
    <w:rsid w:val="00BD405D"/>
    <w:rsid w:val="00BD4064"/>
    <w:rsid w:val="00BD409A"/>
    <w:rsid w:val="00BD412A"/>
    <w:rsid w:val="00BD41E6"/>
    <w:rsid w:val="00BD420F"/>
    <w:rsid w:val="00BD4236"/>
    <w:rsid w:val="00BD42A8"/>
    <w:rsid w:val="00BD42AA"/>
    <w:rsid w:val="00BD4328"/>
    <w:rsid w:val="00BD43A7"/>
    <w:rsid w:val="00BD43D6"/>
    <w:rsid w:val="00BD43F3"/>
    <w:rsid w:val="00BD4416"/>
    <w:rsid w:val="00BD4443"/>
    <w:rsid w:val="00BD446B"/>
    <w:rsid w:val="00BD4474"/>
    <w:rsid w:val="00BD44D5"/>
    <w:rsid w:val="00BD451B"/>
    <w:rsid w:val="00BD4533"/>
    <w:rsid w:val="00BD453C"/>
    <w:rsid w:val="00BD4563"/>
    <w:rsid w:val="00BD456F"/>
    <w:rsid w:val="00BD45B5"/>
    <w:rsid w:val="00BD45E0"/>
    <w:rsid w:val="00BD465F"/>
    <w:rsid w:val="00BD46E1"/>
    <w:rsid w:val="00BD46EF"/>
    <w:rsid w:val="00BD46FB"/>
    <w:rsid w:val="00BD47AF"/>
    <w:rsid w:val="00BD47CB"/>
    <w:rsid w:val="00BD47DF"/>
    <w:rsid w:val="00BD4806"/>
    <w:rsid w:val="00BD481A"/>
    <w:rsid w:val="00BD48B3"/>
    <w:rsid w:val="00BD48F6"/>
    <w:rsid w:val="00BD4931"/>
    <w:rsid w:val="00BD4935"/>
    <w:rsid w:val="00BD4951"/>
    <w:rsid w:val="00BD4968"/>
    <w:rsid w:val="00BD497E"/>
    <w:rsid w:val="00BD4996"/>
    <w:rsid w:val="00BD49B4"/>
    <w:rsid w:val="00BD49D8"/>
    <w:rsid w:val="00BD49ED"/>
    <w:rsid w:val="00BD49F3"/>
    <w:rsid w:val="00BD4A1B"/>
    <w:rsid w:val="00BD4A21"/>
    <w:rsid w:val="00BD4A4B"/>
    <w:rsid w:val="00BD4A54"/>
    <w:rsid w:val="00BD4ACE"/>
    <w:rsid w:val="00BD4B04"/>
    <w:rsid w:val="00BD4B4B"/>
    <w:rsid w:val="00BD4B8D"/>
    <w:rsid w:val="00BD4BC2"/>
    <w:rsid w:val="00BD4BD7"/>
    <w:rsid w:val="00BD4C00"/>
    <w:rsid w:val="00BD4C35"/>
    <w:rsid w:val="00BD4CB9"/>
    <w:rsid w:val="00BD4CE3"/>
    <w:rsid w:val="00BD4D03"/>
    <w:rsid w:val="00BD4D08"/>
    <w:rsid w:val="00BD4D41"/>
    <w:rsid w:val="00BD4D81"/>
    <w:rsid w:val="00BD4E20"/>
    <w:rsid w:val="00BD4E7D"/>
    <w:rsid w:val="00BD4E91"/>
    <w:rsid w:val="00BD4E9F"/>
    <w:rsid w:val="00BD4EA0"/>
    <w:rsid w:val="00BD4EAA"/>
    <w:rsid w:val="00BD4EBA"/>
    <w:rsid w:val="00BD4F27"/>
    <w:rsid w:val="00BD4F3F"/>
    <w:rsid w:val="00BD4F5C"/>
    <w:rsid w:val="00BD4FB3"/>
    <w:rsid w:val="00BD4FF2"/>
    <w:rsid w:val="00BD4FF9"/>
    <w:rsid w:val="00BD5062"/>
    <w:rsid w:val="00BD5099"/>
    <w:rsid w:val="00BD509E"/>
    <w:rsid w:val="00BD50BA"/>
    <w:rsid w:val="00BD5155"/>
    <w:rsid w:val="00BD516C"/>
    <w:rsid w:val="00BD5182"/>
    <w:rsid w:val="00BD51C2"/>
    <w:rsid w:val="00BD51CB"/>
    <w:rsid w:val="00BD51F0"/>
    <w:rsid w:val="00BD5210"/>
    <w:rsid w:val="00BD5246"/>
    <w:rsid w:val="00BD524D"/>
    <w:rsid w:val="00BD52D1"/>
    <w:rsid w:val="00BD5340"/>
    <w:rsid w:val="00BD536D"/>
    <w:rsid w:val="00BD5380"/>
    <w:rsid w:val="00BD539A"/>
    <w:rsid w:val="00BD539F"/>
    <w:rsid w:val="00BD53D2"/>
    <w:rsid w:val="00BD53D9"/>
    <w:rsid w:val="00BD53EE"/>
    <w:rsid w:val="00BD5413"/>
    <w:rsid w:val="00BD5429"/>
    <w:rsid w:val="00BD542F"/>
    <w:rsid w:val="00BD5467"/>
    <w:rsid w:val="00BD54B5"/>
    <w:rsid w:val="00BD54DE"/>
    <w:rsid w:val="00BD5508"/>
    <w:rsid w:val="00BD5520"/>
    <w:rsid w:val="00BD55E6"/>
    <w:rsid w:val="00BD5641"/>
    <w:rsid w:val="00BD5654"/>
    <w:rsid w:val="00BD5691"/>
    <w:rsid w:val="00BD56C8"/>
    <w:rsid w:val="00BD56F5"/>
    <w:rsid w:val="00BD570A"/>
    <w:rsid w:val="00BD5742"/>
    <w:rsid w:val="00BD5779"/>
    <w:rsid w:val="00BD578D"/>
    <w:rsid w:val="00BD5791"/>
    <w:rsid w:val="00BD57AC"/>
    <w:rsid w:val="00BD57D0"/>
    <w:rsid w:val="00BD57F6"/>
    <w:rsid w:val="00BD5852"/>
    <w:rsid w:val="00BD5874"/>
    <w:rsid w:val="00BD58BC"/>
    <w:rsid w:val="00BD58F3"/>
    <w:rsid w:val="00BD58FB"/>
    <w:rsid w:val="00BD5904"/>
    <w:rsid w:val="00BD591B"/>
    <w:rsid w:val="00BD5A35"/>
    <w:rsid w:val="00BD5A3A"/>
    <w:rsid w:val="00BD5AE3"/>
    <w:rsid w:val="00BD5B0C"/>
    <w:rsid w:val="00BD5B40"/>
    <w:rsid w:val="00BD5B80"/>
    <w:rsid w:val="00BD5BB8"/>
    <w:rsid w:val="00BD5BB9"/>
    <w:rsid w:val="00BD5BCC"/>
    <w:rsid w:val="00BD5BD7"/>
    <w:rsid w:val="00BD5BF3"/>
    <w:rsid w:val="00BD5CC9"/>
    <w:rsid w:val="00BD5CEA"/>
    <w:rsid w:val="00BD5D7E"/>
    <w:rsid w:val="00BD5D8C"/>
    <w:rsid w:val="00BD5D91"/>
    <w:rsid w:val="00BD5D9B"/>
    <w:rsid w:val="00BD5DA5"/>
    <w:rsid w:val="00BD5E1A"/>
    <w:rsid w:val="00BD5EEE"/>
    <w:rsid w:val="00BD5EF7"/>
    <w:rsid w:val="00BD5F1B"/>
    <w:rsid w:val="00BD5F52"/>
    <w:rsid w:val="00BD5F89"/>
    <w:rsid w:val="00BD5FB9"/>
    <w:rsid w:val="00BD5FE2"/>
    <w:rsid w:val="00BD6015"/>
    <w:rsid w:val="00BD608D"/>
    <w:rsid w:val="00BD6097"/>
    <w:rsid w:val="00BD61B2"/>
    <w:rsid w:val="00BD61C0"/>
    <w:rsid w:val="00BD61E6"/>
    <w:rsid w:val="00BD6219"/>
    <w:rsid w:val="00BD622A"/>
    <w:rsid w:val="00BD6233"/>
    <w:rsid w:val="00BD623F"/>
    <w:rsid w:val="00BD6248"/>
    <w:rsid w:val="00BD62A9"/>
    <w:rsid w:val="00BD62ED"/>
    <w:rsid w:val="00BD6312"/>
    <w:rsid w:val="00BD6326"/>
    <w:rsid w:val="00BD632E"/>
    <w:rsid w:val="00BD633E"/>
    <w:rsid w:val="00BD63D5"/>
    <w:rsid w:val="00BD63F6"/>
    <w:rsid w:val="00BD63F7"/>
    <w:rsid w:val="00BD63FA"/>
    <w:rsid w:val="00BD6402"/>
    <w:rsid w:val="00BD640B"/>
    <w:rsid w:val="00BD6480"/>
    <w:rsid w:val="00BD64EA"/>
    <w:rsid w:val="00BD64F0"/>
    <w:rsid w:val="00BD6505"/>
    <w:rsid w:val="00BD653F"/>
    <w:rsid w:val="00BD6582"/>
    <w:rsid w:val="00BD65B7"/>
    <w:rsid w:val="00BD6613"/>
    <w:rsid w:val="00BD661A"/>
    <w:rsid w:val="00BD6677"/>
    <w:rsid w:val="00BD667E"/>
    <w:rsid w:val="00BD6681"/>
    <w:rsid w:val="00BD66D9"/>
    <w:rsid w:val="00BD66F3"/>
    <w:rsid w:val="00BD6730"/>
    <w:rsid w:val="00BD6785"/>
    <w:rsid w:val="00BD67AE"/>
    <w:rsid w:val="00BD6812"/>
    <w:rsid w:val="00BD6846"/>
    <w:rsid w:val="00BD68E7"/>
    <w:rsid w:val="00BD6916"/>
    <w:rsid w:val="00BD6931"/>
    <w:rsid w:val="00BD69CA"/>
    <w:rsid w:val="00BD6A3D"/>
    <w:rsid w:val="00BD6AA1"/>
    <w:rsid w:val="00BD6AAA"/>
    <w:rsid w:val="00BD6AB7"/>
    <w:rsid w:val="00BD6ACB"/>
    <w:rsid w:val="00BD6AD1"/>
    <w:rsid w:val="00BD6BA5"/>
    <w:rsid w:val="00BD6BD4"/>
    <w:rsid w:val="00BD6CA7"/>
    <w:rsid w:val="00BD6D16"/>
    <w:rsid w:val="00BD6D1C"/>
    <w:rsid w:val="00BD6D82"/>
    <w:rsid w:val="00BD6E75"/>
    <w:rsid w:val="00BD6ECA"/>
    <w:rsid w:val="00BD6ED6"/>
    <w:rsid w:val="00BD6F45"/>
    <w:rsid w:val="00BD6F4B"/>
    <w:rsid w:val="00BD6F86"/>
    <w:rsid w:val="00BD7039"/>
    <w:rsid w:val="00BD7087"/>
    <w:rsid w:val="00BD70E5"/>
    <w:rsid w:val="00BD71FF"/>
    <w:rsid w:val="00BD7275"/>
    <w:rsid w:val="00BD729B"/>
    <w:rsid w:val="00BD72DB"/>
    <w:rsid w:val="00BD730C"/>
    <w:rsid w:val="00BD7321"/>
    <w:rsid w:val="00BD7357"/>
    <w:rsid w:val="00BD7362"/>
    <w:rsid w:val="00BD739A"/>
    <w:rsid w:val="00BD73BE"/>
    <w:rsid w:val="00BD73E8"/>
    <w:rsid w:val="00BD73F6"/>
    <w:rsid w:val="00BD7425"/>
    <w:rsid w:val="00BD744C"/>
    <w:rsid w:val="00BD7472"/>
    <w:rsid w:val="00BD7491"/>
    <w:rsid w:val="00BD74E7"/>
    <w:rsid w:val="00BD74F1"/>
    <w:rsid w:val="00BD7513"/>
    <w:rsid w:val="00BD7560"/>
    <w:rsid w:val="00BD7592"/>
    <w:rsid w:val="00BD75BC"/>
    <w:rsid w:val="00BD75C0"/>
    <w:rsid w:val="00BD75DA"/>
    <w:rsid w:val="00BD7619"/>
    <w:rsid w:val="00BD761F"/>
    <w:rsid w:val="00BD763C"/>
    <w:rsid w:val="00BD76FA"/>
    <w:rsid w:val="00BD76FC"/>
    <w:rsid w:val="00BD77A7"/>
    <w:rsid w:val="00BD780A"/>
    <w:rsid w:val="00BD7865"/>
    <w:rsid w:val="00BD78AA"/>
    <w:rsid w:val="00BD78B1"/>
    <w:rsid w:val="00BD78BB"/>
    <w:rsid w:val="00BD7939"/>
    <w:rsid w:val="00BD7948"/>
    <w:rsid w:val="00BD794C"/>
    <w:rsid w:val="00BD7973"/>
    <w:rsid w:val="00BD7987"/>
    <w:rsid w:val="00BD79C8"/>
    <w:rsid w:val="00BD79CE"/>
    <w:rsid w:val="00BD79E8"/>
    <w:rsid w:val="00BD7A21"/>
    <w:rsid w:val="00BD7A5E"/>
    <w:rsid w:val="00BD7B18"/>
    <w:rsid w:val="00BD7B73"/>
    <w:rsid w:val="00BD7B89"/>
    <w:rsid w:val="00BD7B9D"/>
    <w:rsid w:val="00BD7BE7"/>
    <w:rsid w:val="00BD7C2D"/>
    <w:rsid w:val="00BD7C74"/>
    <w:rsid w:val="00BD7C8A"/>
    <w:rsid w:val="00BD7CB2"/>
    <w:rsid w:val="00BD7D02"/>
    <w:rsid w:val="00BD7D15"/>
    <w:rsid w:val="00BD7DA3"/>
    <w:rsid w:val="00BD7E32"/>
    <w:rsid w:val="00BD7E40"/>
    <w:rsid w:val="00BD7E99"/>
    <w:rsid w:val="00BD7EB8"/>
    <w:rsid w:val="00BD7EE8"/>
    <w:rsid w:val="00BD7F09"/>
    <w:rsid w:val="00BD7F16"/>
    <w:rsid w:val="00BD7F26"/>
    <w:rsid w:val="00BD7F2E"/>
    <w:rsid w:val="00BD7F37"/>
    <w:rsid w:val="00BD7F54"/>
    <w:rsid w:val="00BD7FEC"/>
    <w:rsid w:val="00BD7FF7"/>
    <w:rsid w:val="00BE0060"/>
    <w:rsid w:val="00BE0070"/>
    <w:rsid w:val="00BE007E"/>
    <w:rsid w:val="00BE00A8"/>
    <w:rsid w:val="00BE0104"/>
    <w:rsid w:val="00BE0115"/>
    <w:rsid w:val="00BE013E"/>
    <w:rsid w:val="00BE015F"/>
    <w:rsid w:val="00BE0164"/>
    <w:rsid w:val="00BE0191"/>
    <w:rsid w:val="00BE019D"/>
    <w:rsid w:val="00BE01D4"/>
    <w:rsid w:val="00BE01DE"/>
    <w:rsid w:val="00BE01E7"/>
    <w:rsid w:val="00BE01E8"/>
    <w:rsid w:val="00BE0212"/>
    <w:rsid w:val="00BE0215"/>
    <w:rsid w:val="00BE0216"/>
    <w:rsid w:val="00BE026E"/>
    <w:rsid w:val="00BE0271"/>
    <w:rsid w:val="00BE027E"/>
    <w:rsid w:val="00BE02C7"/>
    <w:rsid w:val="00BE02E2"/>
    <w:rsid w:val="00BE02F1"/>
    <w:rsid w:val="00BE02FF"/>
    <w:rsid w:val="00BE030D"/>
    <w:rsid w:val="00BE035F"/>
    <w:rsid w:val="00BE042E"/>
    <w:rsid w:val="00BE0462"/>
    <w:rsid w:val="00BE047E"/>
    <w:rsid w:val="00BE049B"/>
    <w:rsid w:val="00BE04FD"/>
    <w:rsid w:val="00BE0528"/>
    <w:rsid w:val="00BE0532"/>
    <w:rsid w:val="00BE054E"/>
    <w:rsid w:val="00BE0570"/>
    <w:rsid w:val="00BE05BC"/>
    <w:rsid w:val="00BE05C7"/>
    <w:rsid w:val="00BE05D4"/>
    <w:rsid w:val="00BE061A"/>
    <w:rsid w:val="00BE06CD"/>
    <w:rsid w:val="00BE06D2"/>
    <w:rsid w:val="00BE073C"/>
    <w:rsid w:val="00BE07AC"/>
    <w:rsid w:val="00BE07BD"/>
    <w:rsid w:val="00BE07FC"/>
    <w:rsid w:val="00BE0833"/>
    <w:rsid w:val="00BE08AB"/>
    <w:rsid w:val="00BE08EF"/>
    <w:rsid w:val="00BE094D"/>
    <w:rsid w:val="00BE0973"/>
    <w:rsid w:val="00BE0A01"/>
    <w:rsid w:val="00BE0A23"/>
    <w:rsid w:val="00BE0A28"/>
    <w:rsid w:val="00BE0AB2"/>
    <w:rsid w:val="00BE0B1F"/>
    <w:rsid w:val="00BE0B29"/>
    <w:rsid w:val="00BE0B3A"/>
    <w:rsid w:val="00BE0B43"/>
    <w:rsid w:val="00BE0B91"/>
    <w:rsid w:val="00BE0C2B"/>
    <w:rsid w:val="00BE0C86"/>
    <w:rsid w:val="00BE0C8C"/>
    <w:rsid w:val="00BE0CA6"/>
    <w:rsid w:val="00BE0CBB"/>
    <w:rsid w:val="00BE0D26"/>
    <w:rsid w:val="00BE0D37"/>
    <w:rsid w:val="00BE0D62"/>
    <w:rsid w:val="00BE0D81"/>
    <w:rsid w:val="00BE0DB9"/>
    <w:rsid w:val="00BE0DBB"/>
    <w:rsid w:val="00BE0E10"/>
    <w:rsid w:val="00BE0E1B"/>
    <w:rsid w:val="00BE0F18"/>
    <w:rsid w:val="00BE0F4D"/>
    <w:rsid w:val="00BE0F66"/>
    <w:rsid w:val="00BE0FB2"/>
    <w:rsid w:val="00BE0FDE"/>
    <w:rsid w:val="00BE0FF5"/>
    <w:rsid w:val="00BE0FF8"/>
    <w:rsid w:val="00BE101D"/>
    <w:rsid w:val="00BE1028"/>
    <w:rsid w:val="00BE1071"/>
    <w:rsid w:val="00BE109D"/>
    <w:rsid w:val="00BE1101"/>
    <w:rsid w:val="00BE1130"/>
    <w:rsid w:val="00BE1133"/>
    <w:rsid w:val="00BE115B"/>
    <w:rsid w:val="00BE1168"/>
    <w:rsid w:val="00BE118C"/>
    <w:rsid w:val="00BE11A0"/>
    <w:rsid w:val="00BE11A5"/>
    <w:rsid w:val="00BE11F5"/>
    <w:rsid w:val="00BE1268"/>
    <w:rsid w:val="00BE1294"/>
    <w:rsid w:val="00BE12E6"/>
    <w:rsid w:val="00BE130B"/>
    <w:rsid w:val="00BE133F"/>
    <w:rsid w:val="00BE1346"/>
    <w:rsid w:val="00BE1381"/>
    <w:rsid w:val="00BE13D8"/>
    <w:rsid w:val="00BE13DF"/>
    <w:rsid w:val="00BE13F8"/>
    <w:rsid w:val="00BE13F9"/>
    <w:rsid w:val="00BE1412"/>
    <w:rsid w:val="00BE142D"/>
    <w:rsid w:val="00BE1502"/>
    <w:rsid w:val="00BE1508"/>
    <w:rsid w:val="00BE1535"/>
    <w:rsid w:val="00BE1547"/>
    <w:rsid w:val="00BE1598"/>
    <w:rsid w:val="00BE15A7"/>
    <w:rsid w:val="00BE15AC"/>
    <w:rsid w:val="00BE162D"/>
    <w:rsid w:val="00BE165D"/>
    <w:rsid w:val="00BE1668"/>
    <w:rsid w:val="00BE16BC"/>
    <w:rsid w:val="00BE1745"/>
    <w:rsid w:val="00BE177F"/>
    <w:rsid w:val="00BE1786"/>
    <w:rsid w:val="00BE1787"/>
    <w:rsid w:val="00BE179B"/>
    <w:rsid w:val="00BE17F0"/>
    <w:rsid w:val="00BE17F5"/>
    <w:rsid w:val="00BE1835"/>
    <w:rsid w:val="00BE18B2"/>
    <w:rsid w:val="00BE18C8"/>
    <w:rsid w:val="00BE18DC"/>
    <w:rsid w:val="00BE18DE"/>
    <w:rsid w:val="00BE1958"/>
    <w:rsid w:val="00BE19D5"/>
    <w:rsid w:val="00BE1A0E"/>
    <w:rsid w:val="00BE1A27"/>
    <w:rsid w:val="00BE1A79"/>
    <w:rsid w:val="00BE1A85"/>
    <w:rsid w:val="00BE1A8B"/>
    <w:rsid w:val="00BE1A97"/>
    <w:rsid w:val="00BE1AA1"/>
    <w:rsid w:val="00BE1AB9"/>
    <w:rsid w:val="00BE1AEF"/>
    <w:rsid w:val="00BE1B04"/>
    <w:rsid w:val="00BE1BC9"/>
    <w:rsid w:val="00BE1C21"/>
    <w:rsid w:val="00BE1C2C"/>
    <w:rsid w:val="00BE1C63"/>
    <w:rsid w:val="00BE1C65"/>
    <w:rsid w:val="00BE1C75"/>
    <w:rsid w:val="00BE1D3A"/>
    <w:rsid w:val="00BE1DA2"/>
    <w:rsid w:val="00BE1E15"/>
    <w:rsid w:val="00BE1E2E"/>
    <w:rsid w:val="00BE1E30"/>
    <w:rsid w:val="00BE1E5D"/>
    <w:rsid w:val="00BE1F05"/>
    <w:rsid w:val="00BE1FD7"/>
    <w:rsid w:val="00BE203F"/>
    <w:rsid w:val="00BE2046"/>
    <w:rsid w:val="00BE2069"/>
    <w:rsid w:val="00BE20A1"/>
    <w:rsid w:val="00BE20A4"/>
    <w:rsid w:val="00BE20CB"/>
    <w:rsid w:val="00BE210C"/>
    <w:rsid w:val="00BE2119"/>
    <w:rsid w:val="00BE2174"/>
    <w:rsid w:val="00BE2230"/>
    <w:rsid w:val="00BE22AB"/>
    <w:rsid w:val="00BE230C"/>
    <w:rsid w:val="00BE2313"/>
    <w:rsid w:val="00BE2356"/>
    <w:rsid w:val="00BE23B8"/>
    <w:rsid w:val="00BE23C5"/>
    <w:rsid w:val="00BE23F7"/>
    <w:rsid w:val="00BE240B"/>
    <w:rsid w:val="00BE245A"/>
    <w:rsid w:val="00BE248A"/>
    <w:rsid w:val="00BE24CB"/>
    <w:rsid w:val="00BE24CD"/>
    <w:rsid w:val="00BE251C"/>
    <w:rsid w:val="00BE2562"/>
    <w:rsid w:val="00BE2563"/>
    <w:rsid w:val="00BE25D7"/>
    <w:rsid w:val="00BE261A"/>
    <w:rsid w:val="00BE2648"/>
    <w:rsid w:val="00BE2740"/>
    <w:rsid w:val="00BE2743"/>
    <w:rsid w:val="00BE274E"/>
    <w:rsid w:val="00BE276E"/>
    <w:rsid w:val="00BE277F"/>
    <w:rsid w:val="00BE27BB"/>
    <w:rsid w:val="00BE27C1"/>
    <w:rsid w:val="00BE27D0"/>
    <w:rsid w:val="00BE27E4"/>
    <w:rsid w:val="00BE27F0"/>
    <w:rsid w:val="00BE2800"/>
    <w:rsid w:val="00BE280C"/>
    <w:rsid w:val="00BE280E"/>
    <w:rsid w:val="00BE287F"/>
    <w:rsid w:val="00BE2916"/>
    <w:rsid w:val="00BE2927"/>
    <w:rsid w:val="00BE292D"/>
    <w:rsid w:val="00BE2948"/>
    <w:rsid w:val="00BE298D"/>
    <w:rsid w:val="00BE29AF"/>
    <w:rsid w:val="00BE29D8"/>
    <w:rsid w:val="00BE2A03"/>
    <w:rsid w:val="00BE2A23"/>
    <w:rsid w:val="00BE2A2F"/>
    <w:rsid w:val="00BE2A7F"/>
    <w:rsid w:val="00BE2A8A"/>
    <w:rsid w:val="00BE2AA1"/>
    <w:rsid w:val="00BE2ACE"/>
    <w:rsid w:val="00BE2AD5"/>
    <w:rsid w:val="00BE2B5D"/>
    <w:rsid w:val="00BE2B97"/>
    <w:rsid w:val="00BE2BCD"/>
    <w:rsid w:val="00BE2BDE"/>
    <w:rsid w:val="00BE2C0A"/>
    <w:rsid w:val="00BE2C14"/>
    <w:rsid w:val="00BE2C38"/>
    <w:rsid w:val="00BE2C53"/>
    <w:rsid w:val="00BE2C7C"/>
    <w:rsid w:val="00BE2CAB"/>
    <w:rsid w:val="00BE2CCD"/>
    <w:rsid w:val="00BE2CFA"/>
    <w:rsid w:val="00BE2D01"/>
    <w:rsid w:val="00BE2D4D"/>
    <w:rsid w:val="00BE2D4E"/>
    <w:rsid w:val="00BE2D87"/>
    <w:rsid w:val="00BE2DB9"/>
    <w:rsid w:val="00BE2DC5"/>
    <w:rsid w:val="00BE2DCC"/>
    <w:rsid w:val="00BE2DD5"/>
    <w:rsid w:val="00BE2E92"/>
    <w:rsid w:val="00BE2EA2"/>
    <w:rsid w:val="00BE2EBC"/>
    <w:rsid w:val="00BE2ECA"/>
    <w:rsid w:val="00BE2F13"/>
    <w:rsid w:val="00BE2F72"/>
    <w:rsid w:val="00BE2F7D"/>
    <w:rsid w:val="00BE2FBE"/>
    <w:rsid w:val="00BE3061"/>
    <w:rsid w:val="00BE311C"/>
    <w:rsid w:val="00BE3129"/>
    <w:rsid w:val="00BE3134"/>
    <w:rsid w:val="00BE3196"/>
    <w:rsid w:val="00BE31A2"/>
    <w:rsid w:val="00BE31D8"/>
    <w:rsid w:val="00BE3210"/>
    <w:rsid w:val="00BE321D"/>
    <w:rsid w:val="00BE322F"/>
    <w:rsid w:val="00BE3238"/>
    <w:rsid w:val="00BE325C"/>
    <w:rsid w:val="00BE3287"/>
    <w:rsid w:val="00BE3298"/>
    <w:rsid w:val="00BE329B"/>
    <w:rsid w:val="00BE32FE"/>
    <w:rsid w:val="00BE331B"/>
    <w:rsid w:val="00BE33E2"/>
    <w:rsid w:val="00BE341B"/>
    <w:rsid w:val="00BE3428"/>
    <w:rsid w:val="00BE34E8"/>
    <w:rsid w:val="00BE355A"/>
    <w:rsid w:val="00BE3581"/>
    <w:rsid w:val="00BE3593"/>
    <w:rsid w:val="00BE35C2"/>
    <w:rsid w:val="00BE35C4"/>
    <w:rsid w:val="00BE3606"/>
    <w:rsid w:val="00BE3623"/>
    <w:rsid w:val="00BE362B"/>
    <w:rsid w:val="00BE362C"/>
    <w:rsid w:val="00BE3666"/>
    <w:rsid w:val="00BE3686"/>
    <w:rsid w:val="00BE36B2"/>
    <w:rsid w:val="00BE36BC"/>
    <w:rsid w:val="00BE36BD"/>
    <w:rsid w:val="00BE36C9"/>
    <w:rsid w:val="00BE36ED"/>
    <w:rsid w:val="00BE3799"/>
    <w:rsid w:val="00BE37B0"/>
    <w:rsid w:val="00BE3818"/>
    <w:rsid w:val="00BE3847"/>
    <w:rsid w:val="00BE384F"/>
    <w:rsid w:val="00BE388B"/>
    <w:rsid w:val="00BE38D3"/>
    <w:rsid w:val="00BE3949"/>
    <w:rsid w:val="00BE3958"/>
    <w:rsid w:val="00BE395D"/>
    <w:rsid w:val="00BE399E"/>
    <w:rsid w:val="00BE39C8"/>
    <w:rsid w:val="00BE39CB"/>
    <w:rsid w:val="00BE39D7"/>
    <w:rsid w:val="00BE39D9"/>
    <w:rsid w:val="00BE39F3"/>
    <w:rsid w:val="00BE3A5D"/>
    <w:rsid w:val="00BE3A77"/>
    <w:rsid w:val="00BE3A8A"/>
    <w:rsid w:val="00BE3A8F"/>
    <w:rsid w:val="00BE3AD5"/>
    <w:rsid w:val="00BE3ADD"/>
    <w:rsid w:val="00BE3B55"/>
    <w:rsid w:val="00BE3BC5"/>
    <w:rsid w:val="00BE3BC9"/>
    <w:rsid w:val="00BE3C05"/>
    <w:rsid w:val="00BE3C32"/>
    <w:rsid w:val="00BE3C37"/>
    <w:rsid w:val="00BE3C54"/>
    <w:rsid w:val="00BE3C9D"/>
    <w:rsid w:val="00BE3CFB"/>
    <w:rsid w:val="00BE3D0A"/>
    <w:rsid w:val="00BE3D1B"/>
    <w:rsid w:val="00BE3DCE"/>
    <w:rsid w:val="00BE3E2C"/>
    <w:rsid w:val="00BE3E5E"/>
    <w:rsid w:val="00BE3E76"/>
    <w:rsid w:val="00BE3EA8"/>
    <w:rsid w:val="00BE3EAC"/>
    <w:rsid w:val="00BE3EBB"/>
    <w:rsid w:val="00BE3F00"/>
    <w:rsid w:val="00BE3F26"/>
    <w:rsid w:val="00BE3F63"/>
    <w:rsid w:val="00BE3FC3"/>
    <w:rsid w:val="00BE4002"/>
    <w:rsid w:val="00BE4047"/>
    <w:rsid w:val="00BE406B"/>
    <w:rsid w:val="00BE4136"/>
    <w:rsid w:val="00BE4147"/>
    <w:rsid w:val="00BE419E"/>
    <w:rsid w:val="00BE41EF"/>
    <w:rsid w:val="00BE4200"/>
    <w:rsid w:val="00BE4295"/>
    <w:rsid w:val="00BE42A6"/>
    <w:rsid w:val="00BE42AA"/>
    <w:rsid w:val="00BE4303"/>
    <w:rsid w:val="00BE4313"/>
    <w:rsid w:val="00BE4335"/>
    <w:rsid w:val="00BE4378"/>
    <w:rsid w:val="00BE43CB"/>
    <w:rsid w:val="00BE441D"/>
    <w:rsid w:val="00BE4480"/>
    <w:rsid w:val="00BE44C0"/>
    <w:rsid w:val="00BE44DD"/>
    <w:rsid w:val="00BE44F5"/>
    <w:rsid w:val="00BE450D"/>
    <w:rsid w:val="00BE4512"/>
    <w:rsid w:val="00BE451D"/>
    <w:rsid w:val="00BE4523"/>
    <w:rsid w:val="00BE4548"/>
    <w:rsid w:val="00BE46C4"/>
    <w:rsid w:val="00BE4722"/>
    <w:rsid w:val="00BE47AE"/>
    <w:rsid w:val="00BE47DC"/>
    <w:rsid w:val="00BE4811"/>
    <w:rsid w:val="00BE481C"/>
    <w:rsid w:val="00BE4853"/>
    <w:rsid w:val="00BE4873"/>
    <w:rsid w:val="00BE48B0"/>
    <w:rsid w:val="00BE48B6"/>
    <w:rsid w:val="00BE48C7"/>
    <w:rsid w:val="00BE494E"/>
    <w:rsid w:val="00BE495C"/>
    <w:rsid w:val="00BE4968"/>
    <w:rsid w:val="00BE4978"/>
    <w:rsid w:val="00BE497B"/>
    <w:rsid w:val="00BE4989"/>
    <w:rsid w:val="00BE4995"/>
    <w:rsid w:val="00BE49AC"/>
    <w:rsid w:val="00BE49B6"/>
    <w:rsid w:val="00BE49E1"/>
    <w:rsid w:val="00BE49FD"/>
    <w:rsid w:val="00BE4A2D"/>
    <w:rsid w:val="00BE4A5B"/>
    <w:rsid w:val="00BE4A74"/>
    <w:rsid w:val="00BE4A7A"/>
    <w:rsid w:val="00BE4A81"/>
    <w:rsid w:val="00BE4A8D"/>
    <w:rsid w:val="00BE4AA2"/>
    <w:rsid w:val="00BE4AC9"/>
    <w:rsid w:val="00BE4AD3"/>
    <w:rsid w:val="00BE4B8F"/>
    <w:rsid w:val="00BE4B97"/>
    <w:rsid w:val="00BE4BB1"/>
    <w:rsid w:val="00BE4BFD"/>
    <w:rsid w:val="00BE4C34"/>
    <w:rsid w:val="00BE4CD8"/>
    <w:rsid w:val="00BE4CE3"/>
    <w:rsid w:val="00BE4D2A"/>
    <w:rsid w:val="00BE4D36"/>
    <w:rsid w:val="00BE4DBB"/>
    <w:rsid w:val="00BE4DE5"/>
    <w:rsid w:val="00BE4E01"/>
    <w:rsid w:val="00BE4E53"/>
    <w:rsid w:val="00BE4E7A"/>
    <w:rsid w:val="00BE4ED5"/>
    <w:rsid w:val="00BE4EDE"/>
    <w:rsid w:val="00BE4F71"/>
    <w:rsid w:val="00BE4FCB"/>
    <w:rsid w:val="00BE4FE9"/>
    <w:rsid w:val="00BE5001"/>
    <w:rsid w:val="00BE501A"/>
    <w:rsid w:val="00BE501F"/>
    <w:rsid w:val="00BE508D"/>
    <w:rsid w:val="00BE5092"/>
    <w:rsid w:val="00BE50D8"/>
    <w:rsid w:val="00BE5125"/>
    <w:rsid w:val="00BE5140"/>
    <w:rsid w:val="00BE5141"/>
    <w:rsid w:val="00BE5171"/>
    <w:rsid w:val="00BE5191"/>
    <w:rsid w:val="00BE519B"/>
    <w:rsid w:val="00BE51BC"/>
    <w:rsid w:val="00BE51C3"/>
    <w:rsid w:val="00BE51C7"/>
    <w:rsid w:val="00BE522E"/>
    <w:rsid w:val="00BE5234"/>
    <w:rsid w:val="00BE5258"/>
    <w:rsid w:val="00BE526E"/>
    <w:rsid w:val="00BE5320"/>
    <w:rsid w:val="00BE5324"/>
    <w:rsid w:val="00BE534F"/>
    <w:rsid w:val="00BE5355"/>
    <w:rsid w:val="00BE5362"/>
    <w:rsid w:val="00BE5456"/>
    <w:rsid w:val="00BE545F"/>
    <w:rsid w:val="00BE54BB"/>
    <w:rsid w:val="00BE5529"/>
    <w:rsid w:val="00BE552D"/>
    <w:rsid w:val="00BE553B"/>
    <w:rsid w:val="00BE5574"/>
    <w:rsid w:val="00BE558C"/>
    <w:rsid w:val="00BE55AE"/>
    <w:rsid w:val="00BE5615"/>
    <w:rsid w:val="00BE565F"/>
    <w:rsid w:val="00BE56CD"/>
    <w:rsid w:val="00BE573F"/>
    <w:rsid w:val="00BE57A7"/>
    <w:rsid w:val="00BE5825"/>
    <w:rsid w:val="00BE586C"/>
    <w:rsid w:val="00BE587D"/>
    <w:rsid w:val="00BE58A0"/>
    <w:rsid w:val="00BE58A6"/>
    <w:rsid w:val="00BE58BE"/>
    <w:rsid w:val="00BE58D0"/>
    <w:rsid w:val="00BE5952"/>
    <w:rsid w:val="00BE5971"/>
    <w:rsid w:val="00BE597C"/>
    <w:rsid w:val="00BE59AD"/>
    <w:rsid w:val="00BE5A22"/>
    <w:rsid w:val="00BE5A49"/>
    <w:rsid w:val="00BE5AA5"/>
    <w:rsid w:val="00BE5AA6"/>
    <w:rsid w:val="00BE5B07"/>
    <w:rsid w:val="00BE5B39"/>
    <w:rsid w:val="00BE5C4B"/>
    <w:rsid w:val="00BE5C8F"/>
    <w:rsid w:val="00BE5CB6"/>
    <w:rsid w:val="00BE5CD1"/>
    <w:rsid w:val="00BE5D39"/>
    <w:rsid w:val="00BE5D64"/>
    <w:rsid w:val="00BE5D91"/>
    <w:rsid w:val="00BE5D97"/>
    <w:rsid w:val="00BE5E54"/>
    <w:rsid w:val="00BE5EA6"/>
    <w:rsid w:val="00BE5ED1"/>
    <w:rsid w:val="00BE5EF5"/>
    <w:rsid w:val="00BE5EFC"/>
    <w:rsid w:val="00BE5F07"/>
    <w:rsid w:val="00BE5F14"/>
    <w:rsid w:val="00BE5F1C"/>
    <w:rsid w:val="00BE5F2D"/>
    <w:rsid w:val="00BE5F8F"/>
    <w:rsid w:val="00BE5FC4"/>
    <w:rsid w:val="00BE5FDB"/>
    <w:rsid w:val="00BE6033"/>
    <w:rsid w:val="00BE6045"/>
    <w:rsid w:val="00BE60D9"/>
    <w:rsid w:val="00BE60E8"/>
    <w:rsid w:val="00BE6151"/>
    <w:rsid w:val="00BE617A"/>
    <w:rsid w:val="00BE6197"/>
    <w:rsid w:val="00BE61E3"/>
    <w:rsid w:val="00BE6242"/>
    <w:rsid w:val="00BE6246"/>
    <w:rsid w:val="00BE62EA"/>
    <w:rsid w:val="00BE6326"/>
    <w:rsid w:val="00BE6331"/>
    <w:rsid w:val="00BE6397"/>
    <w:rsid w:val="00BE639B"/>
    <w:rsid w:val="00BE63BA"/>
    <w:rsid w:val="00BE6420"/>
    <w:rsid w:val="00BE643D"/>
    <w:rsid w:val="00BE6474"/>
    <w:rsid w:val="00BE64A8"/>
    <w:rsid w:val="00BE64C8"/>
    <w:rsid w:val="00BE6506"/>
    <w:rsid w:val="00BE65AD"/>
    <w:rsid w:val="00BE65B1"/>
    <w:rsid w:val="00BE65BE"/>
    <w:rsid w:val="00BE65D1"/>
    <w:rsid w:val="00BE6614"/>
    <w:rsid w:val="00BE6615"/>
    <w:rsid w:val="00BE6620"/>
    <w:rsid w:val="00BE6639"/>
    <w:rsid w:val="00BE669C"/>
    <w:rsid w:val="00BE66C6"/>
    <w:rsid w:val="00BE66F4"/>
    <w:rsid w:val="00BE66FB"/>
    <w:rsid w:val="00BE670C"/>
    <w:rsid w:val="00BE6738"/>
    <w:rsid w:val="00BE677F"/>
    <w:rsid w:val="00BE67FB"/>
    <w:rsid w:val="00BE684F"/>
    <w:rsid w:val="00BE68AB"/>
    <w:rsid w:val="00BE68CF"/>
    <w:rsid w:val="00BE68DC"/>
    <w:rsid w:val="00BE68DD"/>
    <w:rsid w:val="00BE6958"/>
    <w:rsid w:val="00BE6986"/>
    <w:rsid w:val="00BE69FD"/>
    <w:rsid w:val="00BE6A0C"/>
    <w:rsid w:val="00BE6A85"/>
    <w:rsid w:val="00BE6A9F"/>
    <w:rsid w:val="00BE6ABF"/>
    <w:rsid w:val="00BE6B49"/>
    <w:rsid w:val="00BE6B5B"/>
    <w:rsid w:val="00BE6B92"/>
    <w:rsid w:val="00BE6BAF"/>
    <w:rsid w:val="00BE6BB4"/>
    <w:rsid w:val="00BE6BD3"/>
    <w:rsid w:val="00BE6BE5"/>
    <w:rsid w:val="00BE6C00"/>
    <w:rsid w:val="00BE6C20"/>
    <w:rsid w:val="00BE6CA8"/>
    <w:rsid w:val="00BE6CC6"/>
    <w:rsid w:val="00BE6CDA"/>
    <w:rsid w:val="00BE6D1E"/>
    <w:rsid w:val="00BE6D5B"/>
    <w:rsid w:val="00BE6D7A"/>
    <w:rsid w:val="00BE6DD4"/>
    <w:rsid w:val="00BE6E0A"/>
    <w:rsid w:val="00BE6E3B"/>
    <w:rsid w:val="00BE6EA9"/>
    <w:rsid w:val="00BE6F05"/>
    <w:rsid w:val="00BE6F13"/>
    <w:rsid w:val="00BE6F60"/>
    <w:rsid w:val="00BE6F95"/>
    <w:rsid w:val="00BE6F9A"/>
    <w:rsid w:val="00BE6FF2"/>
    <w:rsid w:val="00BE7022"/>
    <w:rsid w:val="00BE7032"/>
    <w:rsid w:val="00BE705F"/>
    <w:rsid w:val="00BE7093"/>
    <w:rsid w:val="00BE70A0"/>
    <w:rsid w:val="00BE70A2"/>
    <w:rsid w:val="00BE70A8"/>
    <w:rsid w:val="00BE70D0"/>
    <w:rsid w:val="00BE70F7"/>
    <w:rsid w:val="00BE7100"/>
    <w:rsid w:val="00BE7170"/>
    <w:rsid w:val="00BE7194"/>
    <w:rsid w:val="00BE71A5"/>
    <w:rsid w:val="00BE71E6"/>
    <w:rsid w:val="00BE721A"/>
    <w:rsid w:val="00BE7221"/>
    <w:rsid w:val="00BE72E5"/>
    <w:rsid w:val="00BE732A"/>
    <w:rsid w:val="00BE734A"/>
    <w:rsid w:val="00BE7389"/>
    <w:rsid w:val="00BE739D"/>
    <w:rsid w:val="00BE73A3"/>
    <w:rsid w:val="00BE7423"/>
    <w:rsid w:val="00BE74DE"/>
    <w:rsid w:val="00BE752E"/>
    <w:rsid w:val="00BE75AA"/>
    <w:rsid w:val="00BE7691"/>
    <w:rsid w:val="00BE7699"/>
    <w:rsid w:val="00BE76A2"/>
    <w:rsid w:val="00BE76A9"/>
    <w:rsid w:val="00BE76B2"/>
    <w:rsid w:val="00BE76DB"/>
    <w:rsid w:val="00BE7706"/>
    <w:rsid w:val="00BE778B"/>
    <w:rsid w:val="00BE7832"/>
    <w:rsid w:val="00BE7838"/>
    <w:rsid w:val="00BE7843"/>
    <w:rsid w:val="00BE788F"/>
    <w:rsid w:val="00BE78E2"/>
    <w:rsid w:val="00BE791B"/>
    <w:rsid w:val="00BE79BC"/>
    <w:rsid w:val="00BE79C9"/>
    <w:rsid w:val="00BE79E1"/>
    <w:rsid w:val="00BE79EC"/>
    <w:rsid w:val="00BE79FC"/>
    <w:rsid w:val="00BE7A03"/>
    <w:rsid w:val="00BE7A77"/>
    <w:rsid w:val="00BE7ABB"/>
    <w:rsid w:val="00BE7B7F"/>
    <w:rsid w:val="00BE7BDB"/>
    <w:rsid w:val="00BE7BF0"/>
    <w:rsid w:val="00BE7BF5"/>
    <w:rsid w:val="00BE7C51"/>
    <w:rsid w:val="00BE7C8C"/>
    <w:rsid w:val="00BE7CE6"/>
    <w:rsid w:val="00BE7D87"/>
    <w:rsid w:val="00BE7DAE"/>
    <w:rsid w:val="00BE7DB3"/>
    <w:rsid w:val="00BE7E01"/>
    <w:rsid w:val="00BE7E24"/>
    <w:rsid w:val="00BE7E65"/>
    <w:rsid w:val="00BE7E9D"/>
    <w:rsid w:val="00BE7EEE"/>
    <w:rsid w:val="00BE7F05"/>
    <w:rsid w:val="00BE7F7B"/>
    <w:rsid w:val="00BE7FD0"/>
    <w:rsid w:val="00BF002F"/>
    <w:rsid w:val="00BF0048"/>
    <w:rsid w:val="00BF0064"/>
    <w:rsid w:val="00BF00CA"/>
    <w:rsid w:val="00BF00F2"/>
    <w:rsid w:val="00BF018B"/>
    <w:rsid w:val="00BF01C7"/>
    <w:rsid w:val="00BF01E0"/>
    <w:rsid w:val="00BF01EE"/>
    <w:rsid w:val="00BF01F9"/>
    <w:rsid w:val="00BF02AC"/>
    <w:rsid w:val="00BF02BF"/>
    <w:rsid w:val="00BF0310"/>
    <w:rsid w:val="00BF0364"/>
    <w:rsid w:val="00BF03AA"/>
    <w:rsid w:val="00BF042E"/>
    <w:rsid w:val="00BF0466"/>
    <w:rsid w:val="00BF04B2"/>
    <w:rsid w:val="00BF051D"/>
    <w:rsid w:val="00BF05A7"/>
    <w:rsid w:val="00BF062F"/>
    <w:rsid w:val="00BF0636"/>
    <w:rsid w:val="00BF0654"/>
    <w:rsid w:val="00BF06D4"/>
    <w:rsid w:val="00BF06E1"/>
    <w:rsid w:val="00BF0712"/>
    <w:rsid w:val="00BF0754"/>
    <w:rsid w:val="00BF076E"/>
    <w:rsid w:val="00BF0776"/>
    <w:rsid w:val="00BF07A1"/>
    <w:rsid w:val="00BF07BF"/>
    <w:rsid w:val="00BF081E"/>
    <w:rsid w:val="00BF0914"/>
    <w:rsid w:val="00BF092F"/>
    <w:rsid w:val="00BF0934"/>
    <w:rsid w:val="00BF0984"/>
    <w:rsid w:val="00BF09A6"/>
    <w:rsid w:val="00BF09A7"/>
    <w:rsid w:val="00BF0A5E"/>
    <w:rsid w:val="00BF0A9C"/>
    <w:rsid w:val="00BF0A9D"/>
    <w:rsid w:val="00BF0B5A"/>
    <w:rsid w:val="00BF0BBB"/>
    <w:rsid w:val="00BF0BC4"/>
    <w:rsid w:val="00BF0C03"/>
    <w:rsid w:val="00BF0C0C"/>
    <w:rsid w:val="00BF0C56"/>
    <w:rsid w:val="00BF0C67"/>
    <w:rsid w:val="00BF0CA2"/>
    <w:rsid w:val="00BF0D0C"/>
    <w:rsid w:val="00BF0D49"/>
    <w:rsid w:val="00BF0D81"/>
    <w:rsid w:val="00BF0DD3"/>
    <w:rsid w:val="00BF0DD7"/>
    <w:rsid w:val="00BF0E0E"/>
    <w:rsid w:val="00BF0EA5"/>
    <w:rsid w:val="00BF0EEE"/>
    <w:rsid w:val="00BF0EF1"/>
    <w:rsid w:val="00BF0EF8"/>
    <w:rsid w:val="00BF0F00"/>
    <w:rsid w:val="00BF0F92"/>
    <w:rsid w:val="00BF0FC7"/>
    <w:rsid w:val="00BF0FE4"/>
    <w:rsid w:val="00BF102C"/>
    <w:rsid w:val="00BF102E"/>
    <w:rsid w:val="00BF1053"/>
    <w:rsid w:val="00BF1090"/>
    <w:rsid w:val="00BF10E1"/>
    <w:rsid w:val="00BF10F0"/>
    <w:rsid w:val="00BF1155"/>
    <w:rsid w:val="00BF118A"/>
    <w:rsid w:val="00BF1190"/>
    <w:rsid w:val="00BF11E2"/>
    <w:rsid w:val="00BF1224"/>
    <w:rsid w:val="00BF1231"/>
    <w:rsid w:val="00BF1237"/>
    <w:rsid w:val="00BF1255"/>
    <w:rsid w:val="00BF134D"/>
    <w:rsid w:val="00BF138E"/>
    <w:rsid w:val="00BF146B"/>
    <w:rsid w:val="00BF14C5"/>
    <w:rsid w:val="00BF14F1"/>
    <w:rsid w:val="00BF14F3"/>
    <w:rsid w:val="00BF14FB"/>
    <w:rsid w:val="00BF1579"/>
    <w:rsid w:val="00BF158A"/>
    <w:rsid w:val="00BF1599"/>
    <w:rsid w:val="00BF15DE"/>
    <w:rsid w:val="00BF15E2"/>
    <w:rsid w:val="00BF1604"/>
    <w:rsid w:val="00BF161F"/>
    <w:rsid w:val="00BF164E"/>
    <w:rsid w:val="00BF168F"/>
    <w:rsid w:val="00BF170E"/>
    <w:rsid w:val="00BF1740"/>
    <w:rsid w:val="00BF179A"/>
    <w:rsid w:val="00BF17CF"/>
    <w:rsid w:val="00BF1811"/>
    <w:rsid w:val="00BF181D"/>
    <w:rsid w:val="00BF1859"/>
    <w:rsid w:val="00BF185E"/>
    <w:rsid w:val="00BF188E"/>
    <w:rsid w:val="00BF18F4"/>
    <w:rsid w:val="00BF1911"/>
    <w:rsid w:val="00BF1939"/>
    <w:rsid w:val="00BF195E"/>
    <w:rsid w:val="00BF198D"/>
    <w:rsid w:val="00BF1A36"/>
    <w:rsid w:val="00BF1A54"/>
    <w:rsid w:val="00BF1A67"/>
    <w:rsid w:val="00BF1A75"/>
    <w:rsid w:val="00BF1AC3"/>
    <w:rsid w:val="00BF1ADA"/>
    <w:rsid w:val="00BF1AF3"/>
    <w:rsid w:val="00BF1B9B"/>
    <w:rsid w:val="00BF1C5B"/>
    <w:rsid w:val="00BF1C9A"/>
    <w:rsid w:val="00BF1CBE"/>
    <w:rsid w:val="00BF1CDA"/>
    <w:rsid w:val="00BF1CF4"/>
    <w:rsid w:val="00BF1D41"/>
    <w:rsid w:val="00BF1D4F"/>
    <w:rsid w:val="00BF1DB1"/>
    <w:rsid w:val="00BF1E0D"/>
    <w:rsid w:val="00BF1E1F"/>
    <w:rsid w:val="00BF1E21"/>
    <w:rsid w:val="00BF1E8B"/>
    <w:rsid w:val="00BF1F2A"/>
    <w:rsid w:val="00BF1F2F"/>
    <w:rsid w:val="00BF1F3F"/>
    <w:rsid w:val="00BF1F51"/>
    <w:rsid w:val="00BF1F95"/>
    <w:rsid w:val="00BF1F9D"/>
    <w:rsid w:val="00BF1FC0"/>
    <w:rsid w:val="00BF1FCA"/>
    <w:rsid w:val="00BF2022"/>
    <w:rsid w:val="00BF207B"/>
    <w:rsid w:val="00BF2090"/>
    <w:rsid w:val="00BF20B1"/>
    <w:rsid w:val="00BF20E9"/>
    <w:rsid w:val="00BF20EB"/>
    <w:rsid w:val="00BF2115"/>
    <w:rsid w:val="00BF2129"/>
    <w:rsid w:val="00BF2139"/>
    <w:rsid w:val="00BF216B"/>
    <w:rsid w:val="00BF21AE"/>
    <w:rsid w:val="00BF21D2"/>
    <w:rsid w:val="00BF224A"/>
    <w:rsid w:val="00BF2297"/>
    <w:rsid w:val="00BF22AC"/>
    <w:rsid w:val="00BF22B1"/>
    <w:rsid w:val="00BF22D4"/>
    <w:rsid w:val="00BF22FA"/>
    <w:rsid w:val="00BF230D"/>
    <w:rsid w:val="00BF231D"/>
    <w:rsid w:val="00BF2336"/>
    <w:rsid w:val="00BF235C"/>
    <w:rsid w:val="00BF2361"/>
    <w:rsid w:val="00BF2395"/>
    <w:rsid w:val="00BF23A5"/>
    <w:rsid w:val="00BF23B6"/>
    <w:rsid w:val="00BF23F5"/>
    <w:rsid w:val="00BF2417"/>
    <w:rsid w:val="00BF2455"/>
    <w:rsid w:val="00BF2489"/>
    <w:rsid w:val="00BF248A"/>
    <w:rsid w:val="00BF2496"/>
    <w:rsid w:val="00BF24ED"/>
    <w:rsid w:val="00BF24F6"/>
    <w:rsid w:val="00BF2502"/>
    <w:rsid w:val="00BF250B"/>
    <w:rsid w:val="00BF2521"/>
    <w:rsid w:val="00BF254B"/>
    <w:rsid w:val="00BF256B"/>
    <w:rsid w:val="00BF261D"/>
    <w:rsid w:val="00BF2623"/>
    <w:rsid w:val="00BF266E"/>
    <w:rsid w:val="00BF2679"/>
    <w:rsid w:val="00BF267C"/>
    <w:rsid w:val="00BF26B2"/>
    <w:rsid w:val="00BF2773"/>
    <w:rsid w:val="00BF285F"/>
    <w:rsid w:val="00BF2871"/>
    <w:rsid w:val="00BF2895"/>
    <w:rsid w:val="00BF28D0"/>
    <w:rsid w:val="00BF2929"/>
    <w:rsid w:val="00BF2933"/>
    <w:rsid w:val="00BF2959"/>
    <w:rsid w:val="00BF2967"/>
    <w:rsid w:val="00BF2977"/>
    <w:rsid w:val="00BF29AD"/>
    <w:rsid w:val="00BF29B3"/>
    <w:rsid w:val="00BF29B5"/>
    <w:rsid w:val="00BF29DC"/>
    <w:rsid w:val="00BF29E5"/>
    <w:rsid w:val="00BF29E9"/>
    <w:rsid w:val="00BF2A6D"/>
    <w:rsid w:val="00BF2A8A"/>
    <w:rsid w:val="00BF2B11"/>
    <w:rsid w:val="00BF2B5D"/>
    <w:rsid w:val="00BF2B5F"/>
    <w:rsid w:val="00BF2D2F"/>
    <w:rsid w:val="00BF2D33"/>
    <w:rsid w:val="00BF2D68"/>
    <w:rsid w:val="00BF2DB8"/>
    <w:rsid w:val="00BF2DBA"/>
    <w:rsid w:val="00BF2DEC"/>
    <w:rsid w:val="00BF2E36"/>
    <w:rsid w:val="00BF2EA0"/>
    <w:rsid w:val="00BF2EC7"/>
    <w:rsid w:val="00BF2ED2"/>
    <w:rsid w:val="00BF2ED3"/>
    <w:rsid w:val="00BF2ED7"/>
    <w:rsid w:val="00BF2EF7"/>
    <w:rsid w:val="00BF2F5A"/>
    <w:rsid w:val="00BF2F6C"/>
    <w:rsid w:val="00BF2F8D"/>
    <w:rsid w:val="00BF2FB3"/>
    <w:rsid w:val="00BF2FE3"/>
    <w:rsid w:val="00BF30B9"/>
    <w:rsid w:val="00BF30D3"/>
    <w:rsid w:val="00BF312A"/>
    <w:rsid w:val="00BF316E"/>
    <w:rsid w:val="00BF319F"/>
    <w:rsid w:val="00BF31DA"/>
    <w:rsid w:val="00BF31E7"/>
    <w:rsid w:val="00BF3220"/>
    <w:rsid w:val="00BF325B"/>
    <w:rsid w:val="00BF32AB"/>
    <w:rsid w:val="00BF32C5"/>
    <w:rsid w:val="00BF32E6"/>
    <w:rsid w:val="00BF3359"/>
    <w:rsid w:val="00BF33A5"/>
    <w:rsid w:val="00BF33BB"/>
    <w:rsid w:val="00BF33CC"/>
    <w:rsid w:val="00BF3426"/>
    <w:rsid w:val="00BF3427"/>
    <w:rsid w:val="00BF3449"/>
    <w:rsid w:val="00BF3451"/>
    <w:rsid w:val="00BF3453"/>
    <w:rsid w:val="00BF346D"/>
    <w:rsid w:val="00BF347B"/>
    <w:rsid w:val="00BF34DE"/>
    <w:rsid w:val="00BF3533"/>
    <w:rsid w:val="00BF35B8"/>
    <w:rsid w:val="00BF35EF"/>
    <w:rsid w:val="00BF360F"/>
    <w:rsid w:val="00BF36AE"/>
    <w:rsid w:val="00BF36BB"/>
    <w:rsid w:val="00BF36D1"/>
    <w:rsid w:val="00BF36ED"/>
    <w:rsid w:val="00BF36FB"/>
    <w:rsid w:val="00BF370C"/>
    <w:rsid w:val="00BF3712"/>
    <w:rsid w:val="00BF371D"/>
    <w:rsid w:val="00BF3756"/>
    <w:rsid w:val="00BF3772"/>
    <w:rsid w:val="00BF3779"/>
    <w:rsid w:val="00BF378B"/>
    <w:rsid w:val="00BF37A8"/>
    <w:rsid w:val="00BF37CE"/>
    <w:rsid w:val="00BF3815"/>
    <w:rsid w:val="00BF3818"/>
    <w:rsid w:val="00BF387E"/>
    <w:rsid w:val="00BF38C2"/>
    <w:rsid w:val="00BF392E"/>
    <w:rsid w:val="00BF3989"/>
    <w:rsid w:val="00BF398E"/>
    <w:rsid w:val="00BF3A12"/>
    <w:rsid w:val="00BF3A18"/>
    <w:rsid w:val="00BF3A55"/>
    <w:rsid w:val="00BF3A77"/>
    <w:rsid w:val="00BF3A99"/>
    <w:rsid w:val="00BF3A9A"/>
    <w:rsid w:val="00BF3AC6"/>
    <w:rsid w:val="00BF3AC7"/>
    <w:rsid w:val="00BF3AEE"/>
    <w:rsid w:val="00BF3B39"/>
    <w:rsid w:val="00BF3B6E"/>
    <w:rsid w:val="00BF3BA0"/>
    <w:rsid w:val="00BF3BB1"/>
    <w:rsid w:val="00BF3BB7"/>
    <w:rsid w:val="00BF3BE4"/>
    <w:rsid w:val="00BF3C09"/>
    <w:rsid w:val="00BF3C29"/>
    <w:rsid w:val="00BF3C7B"/>
    <w:rsid w:val="00BF3CF1"/>
    <w:rsid w:val="00BF3DAE"/>
    <w:rsid w:val="00BF3DBA"/>
    <w:rsid w:val="00BF3DC5"/>
    <w:rsid w:val="00BF3DFF"/>
    <w:rsid w:val="00BF3E3C"/>
    <w:rsid w:val="00BF3E58"/>
    <w:rsid w:val="00BF3E5D"/>
    <w:rsid w:val="00BF3F2B"/>
    <w:rsid w:val="00BF3F74"/>
    <w:rsid w:val="00BF3FC5"/>
    <w:rsid w:val="00BF3FE2"/>
    <w:rsid w:val="00BF3FF9"/>
    <w:rsid w:val="00BF3FFF"/>
    <w:rsid w:val="00BF4046"/>
    <w:rsid w:val="00BF4063"/>
    <w:rsid w:val="00BF4084"/>
    <w:rsid w:val="00BF40A3"/>
    <w:rsid w:val="00BF40E5"/>
    <w:rsid w:val="00BF4119"/>
    <w:rsid w:val="00BF414B"/>
    <w:rsid w:val="00BF415B"/>
    <w:rsid w:val="00BF41D3"/>
    <w:rsid w:val="00BF41F4"/>
    <w:rsid w:val="00BF420A"/>
    <w:rsid w:val="00BF4230"/>
    <w:rsid w:val="00BF4294"/>
    <w:rsid w:val="00BF42A7"/>
    <w:rsid w:val="00BF42D6"/>
    <w:rsid w:val="00BF4355"/>
    <w:rsid w:val="00BF43A8"/>
    <w:rsid w:val="00BF43CF"/>
    <w:rsid w:val="00BF43DF"/>
    <w:rsid w:val="00BF43EC"/>
    <w:rsid w:val="00BF440A"/>
    <w:rsid w:val="00BF4418"/>
    <w:rsid w:val="00BF4494"/>
    <w:rsid w:val="00BF4516"/>
    <w:rsid w:val="00BF4579"/>
    <w:rsid w:val="00BF45A6"/>
    <w:rsid w:val="00BF4625"/>
    <w:rsid w:val="00BF4646"/>
    <w:rsid w:val="00BF4659"/>
    <w:rsid w:val="00BF467D"/>
    <w:rsid w:val="00BF4686"/>
    <w:rsid w:val="00BF46C9"/>
    <w:rsid w:val="00BF46E1"/>
    <w:rsid w:val="00BF46F5"/>
    <w:rsid w:val="00BF470C"/>
    <w:rsid w:val="00BF4747"/>
    <w:rsid w:val="00BF47CF"/>
    <w:rsid w:val="00BF47FC"/>
    <w:rsid w:val="00BF4849"/>
    <w:rsid w:val="00BF4873"/>
    <w:rsid w:val="00BF48A3"/>
    <w:rsid w:val="00BF48C7"/>
    <w:rsid w:val="00BF491E"/>
    <w:rsid w:val="00BF49CE"/>
    <w:rsid w:val="00BF4A39"/>
    <w:rsid w:val="00BF4A63"/>
    <w:rsid w:val="00BF4A67"/>
    <w:rsid w:val="00BF4AF9"/>
    <w:rsid w:val="00BF4AFC"/>
    <w:rsid w:val="00BF4B25"/>
    <w:rsid w:val="00BF4B45"/>
    <w:rsid w:val="00BF4B4B"/>
    <w:rsid w:val="00BF4B5F"/>
    <w:rsid w:val="00BF4BAD"/>
    <w:rsid w:val="00BF4BF5"/>
    <w:rsid w:val="00BF4C89"/>
    <w:rsid w:val="00BF4CD4"/>
    <w:rsid w:val="00BF4D12"/>
    <w:rsid w:val="00BF4D3E"/>
    <w:rsid w:val="00BF4D88"/>
    <w:rsid w:val="00BF4E71"/>
    <w:rsid w:val="00BF4E80"/>
    <w:rsid w:val="00BF4EFC"/>
    <w:rsid w:val="00BF4F91"/>
    <w:rsid w:val="00BF4FD6"/>
    <w:rsid w:val="00BF501C"/>
    <w:rsid w:val="00BF5067"/>
    <w:rsid w:val="00BF50A2"/>
    <w:rsid w:val="00BF511E"/>
    <w:rsid w:val="00BF5166"/>
    <w:rsid w:val="00BF517E"/>
    <w:rsid w:val="00BF519F"/>
    <w:rsid w:val="00BF51B0"/>
    <w:rsid w:val="00BF51B7"/>
    <w:rsid w:val="00BF521C"/>
    <w:rsid w:val="00BF524F"/>
    <w:rsid w:val="00BF525B"/>
    <w:rsid w:val="00BF5268"/>
    <w:rsid w:val="00BF526C"/>
    <w:rsid w:val="00BF5353"/>
    <w:rsid w:val="00BF539F"/>
    <w:rsid w:val="00BF5413"/>
    <w:rsid w:val="00BF5454"/>
    <w:rsid w:val="00BF54B8"/>
    <w:rsid w:val="00BF54ED"/>
    <w:rsid w:val="00BF5503"/>
    <w:rsid w:val="00BF5513"/>
    <w:rsid w:val="00BF5535"/>
    <w:rsid w:val="00BF557A"/>
    <w:rsid w:val="00BF55FA"/>
    <w:rsid w:val="00BF55FE"/>
    <w:rsid w:val="00BF5619"/>
    <w:rsid w:val="00BF5666"/>
    <w:rsid w:val="00BF5690"/>
    <w:rsid w:val="00BF5752"/>
    <w:rsid w:val="00BF5766"/>
    <w:rsid w:val="00BF5815"/>
    <w:rsid w:val="00BF5831"/>
    <w:rsid w:val="00BF5856"/>
    <w:rsid w:val="00BF5862"/>
    <w:rsid w:val="00BF5870"/>
    <w:rsid w:val="00BF58CE"/>
    <w:rsid w:val="00BF58E7"/>
    <w:rsid w:val="00BF58E9"/>
    <w:rsid w:val="00BF593A"/>
    <w:rsid w:val="00BF5940"/>
    <w:rsid w:val="00BF5A49"/>
    <w:rsid w:val="00BF5A81"/>
    <w:rsid w:val="00BF5AD9"/>
    <w:rsid w:val="00BF5AE9"/>
    <w:rsid w:val="00BF5AEB"/>
    <w:rsid w:val="00BF5B1B"/>
    <w:rsid w:val="00BF5B24"/>
    <w:rsid w:val="00BF5B8F"/>
    <w:rsid w:val="00BF5BA7"/>
    <w:rsid w:val="00BF5BE4"/>
    <w:rsid w:val="00BF5BEB"/>
    <w:rsid w:val="00BF5BF8"/>
    <w:rsid w:val="00BF5C8C"/>
    <w:rsid w:val="00BF5CB4"/>
    <w:rsid w:val="00BF5D2E"/>
    <w:rsid w:val="00BF5D53"/>
    <w:rsid w:val="00BF5D54"/>
    <w:rsid w:val="00BF5D75"/>
    <w:rsid w:val="00BF5DC2"/>
    <w:rsid w:val="00BF5DCA"/>
    <w:rsid w:val="00BF5E07"/>
    <w:rsid w:val="00BF5E33"/>
    <w:rsid w:val="00BF5E67"/>
    <w:rsid w:val="00BF5E8C"/>
    <w:rsid w:val="00BF5EEE"/>
    <w:rsid w:val="00BF5F32"/>
    <w:rsid w:val="00BF5F6D"/>
    <w:rsid w:val="00BF5F92"/>
    <w:rsid w:val="00BF5FE3"/>
    <w:rsid w:val="00BF5FEA"/>
    <w:rsid w:val="00BF606D"/>
    <w:rsid w:val="00BF607E"/>
    <w:rsid w:val="00BF607F"/>
    <w:rsid w:val="00BF60F1"/>
    <w:rsid w:val="00BF6146"/>
    <w:rsid w:val="00BF6179"/>
    <w:rsid w:val="00BF620A"/>
    <w:rsid w:val="00BF620C"/>
    <w:rsid w:val="00BF6220"/>
    <w:rsid w:val="00BF623D"/>
    <w:rsid w:val="00BF625C"/>
    <w:rsid w:val="00BF6264"/>
    <w:rsid w:val="00BF6273"/>
    <w:rsid w:val="00BF628B"/>
    <w:rsid w:val="00BF62BF"/>
    <w:rsid w:val="00BF62E2"/>
    <w:rsid w:val="00BF631B"/>
    <w:rsid w:val="00BF637B"/>
    <w:rsid w:val="00BF63C2"/>
    <w:rsid w:val="00BF63E0"/>
    <w:rsid w:val="00BF641E"/>
    <w:rsid w:val="00BF6428"/>
    <w:rsid w:val="00BF6459"/>
    <w:rsid w:val="00BF6464"/>
    <w:rsid w:val="00BF64A2"/>
    <w:rsid w:val="00BF6514"/>
    <w:rsid w:val="00BF6516"/>
    <w:rsid w:val="00BF6527"/>
    <w:rsid w:val="00BF655C"/>
    <w:rsid w:val="00BF65A5"/>
    <w:rsid w:val="00BF65B4"/>
    <w:rsid w:val="00BF65B7"/>
    <w:rsid w:val="00BF672D"/>
    <w:rsid w:val="00BF6734"/>
    <w:rsid w:val="00BF6740"/>
    <w:rsid w:val="00BF6747"/>
    <w:rsid w:val="00BF6752"/>
    <w:rsid w:val="00BF679F"/>
    <w:rsid w:val="00BF67D5"/>
    <w:rsid w:val="00BF67FF"/>
    <w:rsid w:val="00BF6806"/>
    <w:rsid w:val="00BF689C"/>
    <w:rsid w:val="00BF68A4"/>
    <w:rsid w:val="00BF68D6"/>
    <w:rsid w:val="00BF6997"/>
    <w:rsid w:val="00BF69AD"/>
    <w:rsid w:val="00BF69BC"/>
    <w:rsid w:val="00BF69D5"/>
    <w:rsid w:val="00BF69EE"/>
    <w:rsid w:val="00BF6ADB"/>
    <w:rsid w:val="00BF6AF3"/>
    <w:rsid w:val="00BF6B0D"/>
    <w:rsid w:val="00BF6B30"/>
    <w:rsid w:val="00BF6BB2"/>
    <w:rsid w:val="00BF6BEC"/>
    <w:rsid w:val="00BF6C0A"/>
    <w:rsid w:val="00BF6C4C"/>
    <w:rsid w:val="00BF6D34"/>
    <w:rsid w:val="00BF6D60"/>
    <w:rsid w:val="00BF6D96"/>
    <w:rsid w:val="00BF6D97"/>
    <w:rsid w:val="00BF6DAD"/>
    <w:rsid w:val="00BF6DB9"/>
    <w:rsid w:val="00BF6DBE"/>
    <w:rsid w:val="00BF6DC9"/>
    <w:rsid w:val="00BF6DCA"/>
    <w:rsid w:val="00BF6E09"/>
    <w:rsid w:val="00BF6E30"/>
    <w:rsid w:val="00BF6E3C"/>
    <w:rsid w:val="00BF6E44"/>
    <w:rsid w:val="00BF6ED7"/>
    <w:rsid w:val="00BF6EDF"/>
    <w:rsid w:val="00BF6F0A"/>
    <w:rsid w:val="00BF6F4A"/>
    <w:rsid w:val="00BF6F81"/>
    <w:rsid w:val="00BF6FC6"/>
    <w:rsid w:val="00BF702D"/>
    <w:rsid w:val="00BF7041"/>
    <w:rsid w:val="00BF7068"/>
    <w:rsid w:val="00BF7075"/>
    <w:rsid w:val="00BF70A1"/>
    <w:rsid w:val="00BF70D7"/>
    <w:rsid w:val="00BF70DF"/>
    <w:rsid w:val="00BF70F9"/>
    <w:rsid w:val="00BF7153"/>
    <w:rsid w:val="00BF718B"/>
    <w:rsid w:val="00BF718E"/>
    <w:rsid w:val="00BF71AF"/>
    <w:rsid w:val="00BF7202"/>
    <w:rsid w:val="00BF7217"/>
    <w:rsid w:val="00BF724B"/>
    <w:rsid w:val="00BF7255"/>
    <w:rsid w:val="00BF7257"/>
    <w:rsid w:val="00BF725D"/>
    <w:rsid w:val="00BF7263"/>
    <w:rsid w:val="00BF72A5"/>
    <w:rsid w:val="00BF72A7"/>
    <w:rsid w:val="00BF741A"/>
    <w:rsid w:val="00BF7428"/>
    <w:rsid w:val="00BF747D"/>
    <w:rsid w:val="00BF74AF"/>
    <w:rsid w:val="00BF74CD"/>
    <w:rsid w:val="00BF74DC"/>
    <w:rsid w:val="00BF74EA"/>
    <w:rsid w:val="00BF7530"/>
    <w:rsid w:val="00BF75B9"/>
    <w:rsid w:val="00BF764A"/>
    <w:rsid w:val="00BF764D"/>
    <w:rsid w:val="00BF768A"/>
    <w:rsid w:val="00BF76BC"/>
    <w:rsid w:val="00BF76DE"/>
    <w:rsid w:val="00BF7702"/>
    <w:rsid w:val="00BF771B"/>
    <w:rsid w:val="00BF7723"/>
    <w:rsid w:val="00BF773B"/>
    <w:rsid w:val="00BF7797"/>
    <w:rsid w:val="00BF77B6"/>
    <w:rsid w:val="00BF77C9"/>
    <w:rsid w:val="00BF77E9"/>
    <w:rsid w:val="00BF77F1"/>
    <w:rsid w:val="00BF77FA"/>
    <w:rsid w:val="00BF7823"/>
    <w:rsid w:val="00BF783D"/>
    <w:rsid w:val="00BF7883"/>
    <w:rsid w:val="00BF78DB"/>
    <w:rsid w:val="00BF78E6"/>
    <w:rsid w:val="00BF791E"/>
    <w:rsid w:val="00BF7953"/>
    <w:rsid w:val="00BF798C"/>
    <w:rsid w:val="00BF7998"/>
    <w:rsid w:val="00BF79F4"/>
    <w:rsid w:val="00BF7A2B"/>
    <w:rsid w:val="00BF7A31"/>
    <w:rsid w:val="00BF7A49"/>
    <w:rsid w:val="00BF7A4C"/>
    <w:rsid w:val="00BF7A87"/>
    <w:rsid w:val="00BF7AC9"/>
    <w:rsid w:val="00BF7AD3"/>
    <w:rsid w:val="00BF7B2C"/>
    <w:rsid w:val="00BF7B47"/>
    <w:rsid w:val="00BF7B7C"/>
    <w:rsid w:val="00BF7B87"/>
    <w:rsid w:val="00BF7BCA"/>
    <w:rsid w:val="00BF7C33"/>
    <w:rsid w:val="00BF7C3A"/>
    <w:rsid w:val="00BF7C4E"/>
    <w:rsid w:val="00BF7C9B"/>
    <w:rsid w:val="00BF7CBE"/>
    <w:rsid w:val="00BF7CCE"/>
    <w:rsid w:val="00BF7CF8"/>
    <w:rsid w:val="00BF7DD2"/>
    <w:rsid w:val="00BF7DDE"/>
    <w:rsid w:val="00BF7DF2"/>
    <w:rsid w:val="00BF7E89"/>
    <w:rsid w:val="00BF7E95"/>
    <w:rsid w:val="00BF7EA7"/>
    <w:rsid w:val="00BF7F8C"/>
    <w:rsid w:val="00BF7FC8"/>
    <w:rsid w:val="00BF7FCE"/>
    <w:rsid w:val="00BF7FF5"/>
    <w:rsid w:val="00C00000"/>
    <w:rsid w:val="00C00006"/>
    <w:rsid w:val="00C00015"/>
    <w:rsid w:val="00C0004A"/>
    <w:rsid w:val="00C0006F"/>
    <w:rsid w:val="00C000D8"/>
    <w:rsid w:val="00C0010D"/>
    <w:rsid w:val="00C00124"/>
    <w:rsid w:val="00C00144"/>
    <w:rsid w:val="00C0014A"/>
    <w:rsid w:val="00C00185"/>
    <w:rsid w:val="00C00192"/>
    <w:rsid w:val="00C00200"/>
    <w:rsid w:val="00C00221"/>
    <w:rsid w:val="00C0023A"/>
    <w:rsid w:val="00C00266"/>
    <w:rsid w:val="00C0027D"/>
    <w:rsid w:val="00C0029B"/>
    <w:rsid w:val="00C002D6"/>
    <w:rsid w:val="00C002DD"/>
    <w:rsid w:val="00C00315"/>
    <w:rsid w:val="00C00372"/>
    <w:rsid w:val="00C0037A"/>
    <w:rsid w:val="00C003C8"/>
    <w:rsid w:val="00C003D6"/>
    <w:rsid w:val="00C003E1"/>
    <w:rsid w:val="00C00464"/>
    <w:rsid w:val="00C004B2"/>
    <w:rsid w:val="00C004F0"/>
    <w:rsid w:val="00C005BD"/>
    <w:rsid w:val="00C005CB"/>
    <w:rsid w:val="00C005DF"/>
    <w:rsid w:val="00C00613"/>
    <w:rsid w:val="00C00651"/>
    <w:rsid w:val="00C00661"/>
    <w:rsid w:val="00C00670"/>
    <w:rsid w:val="00C0069E"/>
    <w:rsid w:val="00C006CD"/>
    <w:rsid w:val="00C00727"/>
    <w:rsid w:val="00C00743"/>
    <w:rsid w:val="00C00757"/>
    <w:rsid w:val="00C00780"/>
    <w:rsid w:val="00C007C3"/>
    <w:rsid w:val="00C00804"/>
    <w:rsid w:val="00C0080A"/>
    <w:rsid w:val="00C008A6"/>
    <w:rsid w:val="00C008D4"/>
    <w:rsid w:val="00C008E5"/>
    <w:rsid w:val="00C008F0"/>
    <w:rsid w:val="00C008F3"/>
    <w:rsid w:val="00C00921"/>
    <w:rsid w:val="00C0094E"/>
    <w:rsid w:val="00C00981"/>
    <w:rsid w:val="00C00A24"/>
    <w:rsid w:val="00C00A3A"/>
    <w:rsid w:val="00C00A3E"/>
    <w:rsid w:val="00C00AAC"/>
    <w:rsid w:val="00C00ADA"/>
    <w:rsid w:val="00C00B66"/>
    <w:rsid w:val="00C00B69"/>
    <w:rsid w:val="00C00BB8"/>
    <w:rsid w:val="00C00C1B"/>
    <w:rsid w:val="00C00C48"/>
    <w:rsid w:val="00C00C84"/>
    <w:rsid w:val="00C00CBA"/>
    <w:rsid w:val="00C00D10"/>
    <w:rsid w:val="00C00D40"/>
    <w:rsid w:val="00C00D5A"/>
    <w:rsid w:val="00C00D80"/>
    <w:rsid w:val="00C00DA3"/>
    <w:rsid w:val="00C00E07"/>
    <w:rsid w:val="00C00E45"/>
    <w:rsid w:val="00C00E6A"/>
    <w:rsid w:val="00C00E83"/>
    <w:rsid w:val="00C00E8C"/>
    <w:rsid w:val="00C00EC2"/>
    <w:rsid w:val="00C00EC3"/>
    <w:rsid w:val="00C00ED7"/>
    <w:rsid w:val="00C00EE5"/>
    <w:rsid w:val="00C00EF5"/>
    <w:rsid w:val="00C00F2A"/>
    <w:rsid w:val="00C00F43"/>
    <w:rsid w:val="00C00FE8"/>
    <w:rsid w:val="00C01016"/>
    <w:rsid w:val="00C0102D"/>
    <w:rsid w:val="00C01050"/>
    <w:rsid w:val="00C01062"/>
    <w:rsid w:val="00C010B9"/>
    <w:rsid w:val="00C010E2"/>
    <w:rsid w:val="00C010FE"/>
    <w:rsid w:val="00C0111E"/>
    <w:rsid w:val="00C0113D"/>
    <w:rsid w:val="00C0113E"/>
    <w:rsid w:val="00C0116F"/>
    <w:rsid w:val="00C01187"/>
    <w:rsid w:val="00C011BF"/>
    <w:rsid w:val="00C011ED"/>
    <w:rsid w:val="00C011FA"/>
    <w:rsid w:val="00C01259"/>
    <w:rsid w:val="00C012A3"/>
    <w:rsid w:val="00C012D5"/>
    <w:rsid w:val="00C01347"/>
    <w:rsid w:val="00C01353"/>
    <w:rsid w:val="00C01356"/>
    <w:rsid w:val="00C01399"/>
    <w:rsid w:val="00C013A0"/>
    <w:rsid w:val="00C013C9"/>
    <w:rsid w:val="00C01443"/>
    <w:rsid w:val="00C0146D"/>
    <w:rsid w:val="00C014A0"/>
    <w:rsid w:val="00C014FD"/>
    <w:rsid w:val="00C01539"/>
    <w:rsid w:val="00C0154E"/>
    <w:rsid w:val="00C01569"/>
    <w:rsid w:val="00C0158E"/>
    <w:rsid w:val="00C015AE"/>
    <w:rsid w:val="00C015B2"/>
    <w:rsid w:val="00C015B6"/>
    <w:rsid w:val="00C01634"/>
    <w:rsid w:val="00C0165D"/>
    <w:rsid w:val="00C01685"/>
    <w:rsid w:val="00C0168E"/>
    <w:rsid w:val="00C01704"/>
    <w:rsid w:val="00C01728"/>
    <w:rsid w:val="00C0174F"/>
    <w:rsid w:val="00C01753"/>
    <w:rsid w:val="00C0179A"/>
    <w:rsid w:val="00C017D4"/>
    <w:rsid w:val="00C0180B"/>
    <w:rsid w:val="00C0180F"/>
    <w:rsid w:val="00C01816"/>
    <w:rsid w:val="00C01850"/>
    <w:rsid w:val="00C01928"/>
    <w:rsid w:val="00C01931"/>
    <w:rsid w:val="00C01956"/>
    <w:rsid w:val="00C01958"/>
    <w:rsid w:val="00C01978"/>
    <w:rsid w:val="00C01985"/>
    <w:rsid w:val="00C01990"/>
    <w:rsid w:val="00C019BA"/>
    <w:rsid w:val="00C019D0"/>
    <w:rsid w:val="00C019EF"/>
    <w:rsid w:val="00C01AB4"/>
    <w:rsid w:val="00C01B48"/>
    <w:rsid w:val="00C01B50"/>
    <w:rsid w:val="00C01C04"/>
    <w:rsid w:val="00C01C11"/>
    <w:rsid w:val="00C01C22"/>
    <w:rsid w:val="00C01C48"/>
    <w:rsid w:val="00C01C52"/>
    <w:rsid w:val="00C01C94"/>
    <w:rsid w:val="00C01CE3"/>
    <w:rsid w:val="00C01D54"/>
    <w:rsid w:val="00C01D67"/>
    <w:rsid w:val="00C01D9C"/>
    <w:rsid w:val="00C01DAC"/>
    <w:rsid w:val="00C01DE6"/>
    <w:rsid w:val="00C01DE9"/>
    <w:rsid w:val="00C01DEA"/>
    <w:rsid w:val="00C01DFA"/>
    <w:rsid w:val="00C01DFE"/>
    <w:rsid w:val="00C01E01"/>
    <w:rsid w:val="00C01E5C"/>
    <w:rsid w:val="00C01E7F"/>
    <w:rsid w:val="00C01EA2"/>
    <w:rsid w:val="00C01EF3"/>
    <w:rsid w:val="00C01F1D"/>
    <w:rsid w:val="00C01F42"/>
    <w:rsid w:val="00C01F6B"/>
    <w:rsid w:val="00C01FBF"/>
    <w:rsid w:val="00C0203B"/>
    <w:rsid w:val="00C020F9"/>
    <w:rsid w:val="00C02121"/>
    <w:rsid w:val="00C0215C"/>
    <w:rsid w:val="00C02170"/>
    <w:rsid w:val="00C0218F"/>
    <w:rsid w:val="00C021FA"/>
    <w:rsid w:val="00C02205"/>
    <w:rsid w:val="00C02209"/>
    <w:rsid w:val="00C02226"/>
    <w:rsid w:val="00C0227C"/>
    <w:rsid w:val="00C022C8"/>
    <w:rsid w:val="00C0232F"/>
    <w:rsid w:val="00C02394"/>
    <w:rsid w:val="00C0239A"/>
    <w:rsid w:val="00C023C1"/>
    <w:rsid w:val="00C02410"/>
    <w:rsid w:val="00C0247F"/>
    <w:rsid w:val="00C024D0"/>
    <w:rsid w:val="00C0252A"/>
    <w:rsid w:val="00C025BB"/>
    <w:rsid w:val="00C025F9"/>
    <w:rsid w:val="00C02610"/>
    <w:rsid w:val="00C02649"/>
    <w:rsid w:val="00C02679"/>
    <w:rsid w:val="00C0268A"/>
    <w:rsid w:val="00C02695"/>
    <w:rsid w:val="00C026C4"/>
    <w:rsid w:val="00C026EB"/>
    <w:rsid w:val="00C02702"/>
    <w:rsid w:val="00C0271E"/>
    <w:rsid w:val="00C027E3"/>
    <w:rsid w:val="00C02882"/>
    <w:rsid w:val="00C028CF"/>
    <w:rsid w:val="00C02910"/>
    <w:rsid w:val="00C0294E"/>
    <w:rsid w:val="00C029A5"/>
    <w:rsid w:val="00C029AE"/>
    <w:rsid w:val="00C029BE"/>
    <w:rsid w:val="00C029CD"/>
    <w:rsid w:val="00C029DC"/>
    <w:rsid w:val="00C029F2"/>
    <w:rsid w:val="00C02A6F"/>
    <w:rsid w:val="00C02B1C"/>
    <w:rsid w:val="00C02BFC"/>
    <w:rsid w:val="00C02C0C"/>
    <w:rsid w:val="00C02C74"/>
    <w:rsid w:val="00C02DCA"/>
    <w:rsid w:val="00C02E0D"/>
    <w:rsid w:val="00C02E8D"/>
    <w:rsid w:val="00C02E93"/>
    <w:rsid w:val="00C02ED3"/>
    <w:rsid w:val="00C02ED7"/>
    <w:rsid w:val="00C02EDC"/>
    <w:rsid w:val="00C02F16"/>
    <w:rsid w:val="00C02F2E"/>
    <w:rsid w:val="00C02F7E"/>
    <w:rsid w:val="00C030CF"/>
    <w:rsid w:val="00C030DB"/>
    <w:rsid w:val="00C03116"/>
    <w:rsid w:val="00C0312A"/>
    <w:rsid w:val="00C03164"/>
    <w:rsid w:val="00C031D9"/>
    <w:rsid w:val="00C03226"/>
    <w:rsid w:val="00C03253"/>
    <w:rsid w:val="00C0326F"/>
    <w:rsid w:val="00C032B7"/>
    <w:rsid w:val="00C032D9"/>
    <w:rsid w:val="00C032E0"/>
    <w:rsid w:val="00C03309"/>
    <w:rsid w:val="00C0330B"/>
    <w:rsid w:val="00C0332A"/>
    <w:rsid w:val="00C0332E"/>
    <w:rsid w:val="00C0336C"/>
    <w:rsid w:val="00C0337E"/>
    <w:rsid w:val="00C03393"/>
    <w:rsid w:val="00C03398"/>
    <w:rsid w:val="00C033AE"/>
    <w:rsid w:val="00C033E2"/>
    <w:rsid w:val="00C033F8"/>
    <w:rsid w:val="00C03415"/>
    <w:rsid w:val="00C0347B"/>
    <w:rsid w:val="00C03488"/>
    <w:rsid w:val="00C034F5"/>
    <w:rsid w:val="00C0353E"/>
    <w:rsid w:val="00C03566"/>
    <w:rsid w:val="00C03568"/>
    <w:rsid w:val="00C035B7"/>
    <w:rsid w:val="00C035BC"/>
    <w:rsid w:val="00C035BF"/>
    <w:rsid w:val="00C03624"/>
    <w:rsid w:val="00C03641"/>
    <w:rsid w:val="00C0366C"/>
    <w:rsid w:val="00C03677"/>
    <w:rsid w:val="00C036D3"/>
    <w:rsid w:val="00C036D7"/>
    <w:rsid w:val="00C036EF"/>
    <w:rsid w:val="00C0372E"/>
    <w:rsid w:val="00C03741"/>
    <w:rsid w:val="00C03755"/>
    <w:rsid w:val="00C0377A"/>
    <w:rsid w:val="00C03784"/>
    <w:rsid w:val="00C03790"/>
    <w:rsid w:val="00C037AA"/>
    <w:rsid w:val="00C03823"/>
    <w:rsid w:val="00C0384C"/>
    <w:rsid w:val="00C038D9"/>
    <w:rsid w:val="00C03919"/>
    <w:rsid w:val="00C0393B"/>
    <w:rsid w:val="00C039BB"/>
    <w:rsid w:val="00C039ED"/>
    <w:rsid w:val="00C03A54"/>
    <w:rsid w:val="00C03AC4"/>
    <w:rsid w:val="00C03ACF"/>
    <w:rsid w:val="00C03AD0"/>
    <w:rsid w:val="00C03B0A"/>
    <w:rsid w:val="00C03B0E"/>
    <w:rsid w:val="00C03B35"/>
    <w:rsid w:val="00C03B5B"/>
    <w:rsid w:val="00C03C37"/>
    <w:rsid w:val="00C03C4B"/>
    <w:rsid w:val="00C03C57"/>
    <w:rsid w:val="00C03C7E"/>
    <w:rsid w:val="00C03CB1"/>
    <w:rsid w:val="00C03D62"/>
    <w:rsid w:val="00C03DC3"/>
    <w:rsid w:val="00C03E5E"/>
    <w:rsid w:val="00C03E75"/>
    <w:rsid w:val="00C03E83"/>
    <w:rsid w:val="00C03EED"/>
    <w:rsid w:val="00C03F0D"/>
    <w:rsid w:val="00C03F35"/>
    <w:rsid w:val="00C0403B"/>
    <w:rsid w:val="00C040AC"/>
    <w:rsid w:val="00C040B7"/>
    <w:rsid w:val="00C040E9"/>
    <w:rsid w:val="00C04105"/>
    <w:rsid w:val="00C04159"/>
    <w:rsid w:val="00C0417F"/>
    <w:rsid w:val="00C0418C"/>
    <w:rsid w:val="00C041C6"/>
    <w:rsid w:val="00C04227"/>
    <w:rsid w:val="00C0422F"/>
    <w:rsid w:val="00C04235"/>
    <w:rsid w:val="00C0426C"/>
    <w:rsid w:val="00C04285"/>
    <w:rsid w:val="00C042B0"/>
    <w:rsid w:val="00C042F0"/>
    <w:rsid w:val="00C042F2"/>
    <w:rsid w:val="00C0434F"/>
    <w:rsid w:val="00C04370"/>
    <w:rsid w:val="00C04385"/>
    <w:rsid w:val="00C043A2"/>
    <w:rsid w:val="00C043AE"/>
    <w:rsid w:val="00C04401"/>
    <w:rsid w:val="00C0440A"/>
    <w:rsid w:val="00C0443F"/>
    <w:rsid w:val="00C04444"/>
    <w:rsid w:val="00C04476"/>
    <w:rsid w:val="00C04489"/>
    <w:rsid w:val="00C044CF"/>
    <w:rsid w:val="00C044D4"/>
    <w:rsid w:val="00C044FF"/>
    <w:rsid w:val="00C0452B"/>
    <w:rsid w:val="00C04554"/>
    <w:rsid w:val="00C04563"/>
    <w:rsid w:val="00C04577"/>
    <w:rsid w:val="00C045B3"/>
    <w:rsid w:val="00C045D3"/>
    <w:rsid w:val="00C045DA"/>
    <w:rsid w:val="00C045E3"/>
    <w:rsid w:val="00C045EE"/>
    <w:rsid w:val="00C045F0"/>
    <w:rsid w:val="00C0461C"/>
    <w:rsid w:val="00C0462E"/>
    <w:rsid w:val="00C04676"/>
    <w:rsid w:val="00C046AB"/>
    <w:rsid w:val="00C046B3"/>
    <w:rsid w:val="00C0476D"/>
    <w:rsid w:val="00C0479A"/>
    <w:rsid w:val="00C047B8"/>
    <w:rsid w:val="00C0483A"/>
    <w:rsid w:val="00C048EE"/>
    <w:rsid w:val="00C0490B"/>
    <w:rsid w:val="00C04978"/>
    <w:rsid w:val="00C04979"/>
    <w:rsid w:val="00C049D2"/>
    <w:rsid w:val="00C049EA"/>
    <w:rsid w:val="00C049EF"/>
    <w:rsid w:val="00C049F9"/>
    <w:rsid w:val="00C04A1B"/>
    <w:rsid w:val="00C04A29"/>
    <w:rsid w:val="00C04A49"/>
    <w:rsid w:val="00C04A6F"/>
    <w:rsid w:val="00C04AA4"/>
    <w:rsid w:val="00C04B41"/>
    <w:rsid w:val="00C04B5C"/>
    <w:rsid w:val="00C04BA8"/>
    <w:rsid w:val="00C04BAA"/>
    <w:rsid w:val="00C04C21"/>
    <w:rsid w:val="00C04C6A"/>
    <w:rsid w:val="00C04CCC"/>
    <w:rsid w:val="00C04CEE"/>
    <w:rsid w:val="00C04CF4"/>
    <w:rsid w:val="00C04D52"/>
    <w:rsid w:val="00C04D7A"/>
    <w:rsid w:val="00C04D7F"/>
    <w:rsid w:val="00C04D8A"/>
    <w:rsid w:val="00C04D97"/>
    <w:rsid w:val="00C04DC4"/>
    <w:rsid w:val="00C04DE1"/>
    <w:rsid w:val="00C04DFA"/>
    <w:rsid w:val="00C04E48"/>
    <w:rsid w:val="00C04E6A"/>
    <w:rsid w:val="00C04E6D"/>
    <w:rsid w:val="00C04EB2"/>
    <w:rsid w:val="00C04F10"/>
    <w:rsid w:val="00C04F19"/>
    <w:rsid w:val="00C04F38"/>
    <w:rsid w:val="00C04F4E"/>
    <w:rsid w:val="00C04F91"/>
    <w:rsid w:val="00C0500A"/>
    <w:rsid w:val="00C05054"/>
    <w:rsid w:val="00C05068"/>
    <w:rsid w:val="00C05099"/>
    <w:rsid w:val="00C05109"/>
    <w:rsid w:val="00C0510E"/>
    <w:rsid w:val="00C05139"/>
    <w:rsid w:val="00C0515D"/>
    <w:rsid w:val="00C0516B"/>
    <w:rsid w:val="00C05199"/>
    <w:rsid w:val="00C0519D"/>
    <w:rsid w:val="00C051AF"/>
    <w:rsid w:val="00C051EC"/>
    <w:rsid w:val="00C051ED"/>
    <w:rsid w:val="00C05237"/>
    <w:rsid w:val="00C05260"/>
    <w:rsid w:val="00C052D8"/>
    <w:rsid w:val="00C05302"/>
    <w:rsid w:val="00C053AC"/>
    <w:rsid w:val="00C054A3"/>
    <w:rsid w:val="00C05508"/>
    <w:rsid w:val="00C05548"/>
    <w:rsid w:val="00C0555C"/>
    <w:rsid w:val="00C05573"/>
    <w:rsid w:val="00C0558A"/>
    <w:rsid w:val="00C055A3"/>
    <w:rsid w:val="00C055A8"/>
    <w:rsid w:val="00C055D4"/>
    <w:rsid w:val="00C05631"/>
    <w:rsid w:val="00C0567E"/>
    <w:rsid w:val="00C056EC"/>
    <w:rsid w:val="00C05721"/>
    <w:rsid w:val="00C05729"/>
    <w:rsid w:val="00C0572B"/>
    <w:rsid w:val="00C0576C"/>
    <w:rsid w:val="00C05788"/>
    <w:rsid w:val="00C0578F"/>
    <w:rsid w:val="00C057D8"/>
    <w:rsid w:val="00C057E8"/>
    <w:rsid w:val="00C05829"/>
    <w:rsid w:val="00C0586C"/>
    <w:rsid w:val="00C0591B"/>
    <w:rsid w:val="00C0593C"/>
    <w:rsid w:val="00C05959"/>
    <w:rsid w:val="00C0597A"/>
    <w:rsid w:val="00C0597B"/>
    <w:rsid w:val="00C0597E"/>
    <w:rsid w:val="00C05986"/>
    <w:rsid w:val="00C059E6"/>
    <w:rsid w:val="00C05A00"/>
    <w:rsid w:val="00C05A0A"/>
    <w:rsid w:val="00C05A12"/>
    <w:rsid w:val="00C05A1C"/>
    <w:rsid w:val="00C05A73"/>
    <w:rsid w:val="00C05AC8"/>
    <w:rsid w:val="00C05ADB"/>
    <w:rsid w:val="00C05B82"/>
    <w:rsid w:val="00C05BBA"/>
    <w:rsid w:val="00C05BBB"/>
    <w:rsid w:val="00C05BCD"/>
    <w:rsid w:val="00C05C38"/>
    <w:rsid w:val="00C05C4F"/>
    <w:rsid w:val="00C05C83"/>
    <w:rsid w:val="00C05CB7"/>
    <w:rsid w:val="00C05CC1"/>
    <w:rsid w:val="00C05CCC"/>
    <w:rsid w:val="00C05CF6"/>
    <w:rsid w:val="00C05D11"/>
    <w:rsid w:val="00C05D2A"/>
    <w:rsid w:val="00C05D57"/>
    <w:rsid w:val="00C05DE9"/>
    <w:rsid w:val="00C05DEC"/>
    <w:rsid w:val="00C05DF9"/>
    <w:rsid w:val="00C05E31"/>
    <w:rsid w:val="00C05E32"/>
    <w:rsid w:val="00C05E3C"/>
    <w:rsid w:val="00C05E94"/>
    <w:rsid w:val="00C05EA4"/>
    <w:rsid w:val="00C05EEC"/>
    <w:rsid w:val="00C05EF3"/>
    <w:rsid w:val="00C05F02"/>
    <w:rsid w:val="00C05F38"/>
    <w:rsid w:val="00C05F43"/>
    <w:rsid w:val="00C05F4A"/>
    <w:rsid w:val="00C05F9A"/>
    <w:rsid w:val="00C0603E"/>
    <w:rsid w:val="00C06049"/>
    <w:rsid w:val="00C0606C"/>
    <w:rsid w:val="00C060A3"/>
    <w:rsid w:val="00C060CF"/>
    <w:rsid w:val="00C060E6"/>
    <w:rsid w:val="00C06120"/>
    <w:rsid w:val="00C061BF"/>
    <w:rsid w:val="00C061D5"/>
    <w:rsid w:val="00C06213"/>
    <w:rsid w:val="00C06263"/>
    <w:rsid w:val="00C06273"/>
    <w:rsid w:val="00C06288"/>
    <w:rsid w:val="00C06294"/>
    <w:rsid w:val="00C062AE"/>
    <w:rsid w:val="00C062F5"/>
    <w:rsid w:val="00C062FB"/>
    <w:rsid w:val="00C0638C"/>
    <w:rsid w:val="00C063C7"/>
    <w:rsid w:val="00C063E0"/>
    <w:rsid w:val="00C06428"/>
    <w:rsid w:val="00C06438"/>
    <w:rsid w:val="00C06442"/>
    <w:rsid w:val="00C0648D"/>
    <w:rsid w:val="00C06500"/>
    <w:rsid w:val="00C06518"/>
    <w:rsid w:val="00C06567"/>
    <w:rsid w:val="00C065A1"/>
    <w:rsid w:val="00C0662D"/>
    <w:rsid w:val="00C06646"/>
    <w:rsid w:val="00C06659"/>
    <w:rsid w:val="00C0665C"/>
    <w:rsid w:val="00C06689"/>
    <w:rsid w:val="00C06698"/>
    <w:rsid w:val="00C066C4"/>
    <w:rsid w:val="00C066DA"/>
    <w:rsid w:val="00C066E6"/>
    <w:rsid w:val="00C06700"/>
    <w:rsid w:val="00C067EB"/>
    <w:rsid w:val="00C067FD"/>
    <w:rsid w:val="00C06843"/>
    <w:rsid w:val="00C0684D"/>
    <w:rsid w:val="00C06870"/>
    <w:rsid w:val="00C0687E"/>
    <w:rsid w:val="00C068B2"/>
    <w:rsid w:val="00C068C9"/>
    <w:rsid w:val="00C068CE"/>
    <w:rsid w:val="00C068F8"/>
    <w:rsid w:val="00C06901"/>
    <w:rsid w:val="00C0691A"/>
    <w:rsid w:val="00C06951"/>
    <w:rsid w:val="00C06966"/>
    <w:rsid w:val="00C06A03"/>
    <w:rsid w:val="00C06A79"/>
    <w:rsid w:val="00C06AA1"/>
    <w:rsid w:val="00C06B0F"/>
    <w:rsid w:val="00C06B4F"/>
    <w:rsid w:val="00C06C38"/>
    <w:rsid w:val="00C06CC2"/>
    <w:rsid w:val="00C06D09"/>
    <w:rsid w:val="00C06D2B"/>
    <w:rsid w:val="00C06D40"/>
    <w:rsid w:val="00C06D43"/>
    <w:rsid w:val="00C06D55"/>
    <w:rsid w:val="00C06DA6"/>
    <w:rsid w:val="00C06DDE"/>
    <w:rsid w:val="00C06DEE"/>
    <w:rsid w:val="00C06E5E"/>
    <w:rsid w:val="00C06E60"/>
    <w:rsid w:val="00C06EE2"/>
    <w:rsid w:val="00C06F5C"/>
    <w:rsid w:val="00C06F6A"/>
    <w:rsid w:val="00C06F90"/>
    <w:rsid w:val="00C070CB"/>
    <w:rsid w:val="00C070EB"/>
    <w:rsid w:val="00C0710A"/>
    <w:rsid w:val="00C07138"/>
    <w:rsid w:val="00C07139"/>
    <w:rsid w:val="00C07185"/>
    <w:rsid w:val="00C071FA"/>
    <w:rsid w:val="00C0721F"/>
    <w:rsid w:val="00C07220"/>
    <w:rsid w:val="00C0722B"/>
    <w:rsid w:val="00C07276"/>
    <w:rsid w:val="00C07277"/>
    <w:rsid w:val="00C07297"/>
    <w:rsid w:val="00C072A1"/>
    <w:rsid w:val="00C072D0"/>
    <w:rsid w:val="00C072F0"/>
    <w:rsid w:val="00C07318"/>
    <w:rsid w:val="00C07327"/>
    <w:rsid w:val="00C0732D"/>
    <w:rsid w:val="00C07344"/>
    <w:rsid w:val="00C0738D"/>
    <w:rsid w:val="00C07421"/>
    <w:rsid w:val="00C07459"/>
    <w:rsid w:val="00C07465"/>
    <w:rsid w:val="00C0746B"/>
    <w:rsid w:val="00C07481"/>
    <w:rsid w:val="00C074FA"/>
    <w:rsid w:val="00C0753B"/>
    <w:rsid w:val="00C0759A"/>
    <w:rsid w:val="00C075CE"/>
    <w:rsid w:val="00C0764D"/>
    <w:rsid w:val="00C0766C"/>
    <w:rsid w:val="00C07677"/>
    <w:rsid w:val="00C077D0"/>
    <w:rsid w:val="00C077D9"/>
    <w:rsid w:val="00C07856"/>
    <w:rsid w:val="00C078B2"/>
    <w:rsid w:val="00C078FC"/>
    <w:rsid w:val="00C07945"/>
    <w:rsid w:val="00C079C4"/>
    <w:rsid w:val="00C07A69"/>
    <w:rsid w:val="00C07A94"/>
    <w:rsid w:val="00C07AA1"/>
    <w:rsid w:val="00C07AB1"/>
    <w:rsid w:val="00C07AF4"/>
    <w:rsid w:val="00C07BB7"/>
    <w:rsid w:val="00C07BC8"/>
    <w:rsid w:val="00C07BE3"/>
    <w:rsid w:val="00C07BF0"/>
    <w:rsid w:val="00C07BF4"/>
    <w:rsid w:val="00C07C15"/>
    <w:rsid w:val="00C07C22"/>
    <w:rsid w:val="00C07C38"/>
    <w:rsid w:val="00C07C9F"/>
    <w:rsid w:val="00C07CA0"/>
    <w:rsid w:val="00C07CBA"/>
    <w:rsid w:val="00C07CF8"/>
    <w:rsid w:val="00C07D53"/>
    <w:rsid w:val="00C07DFC"/>
    <w:rsid w:val="00C07E03"/>
    <w:rsid w:val="00C07E18"/>
    <w:rsid w:val="00C07E1D"/>
    <w:rsid w:val="00C07EB3"/>
    <w:rsid w:val="00C07ED3"/>
    <w:rsid w:val="00C07F04"/>
    <w:rsid w:val="00C07F4B"/>
    <w:rsid w:val="00C07F5D"/>
    <w:rsid w:val="00C07F6D"/>
    <w:rsid w:val="00C07F96"/>
    <w:rsid w:val="00C07FB9"/>
    <w:rsid w:val="00C07FDE"/>
    <w:rsid w:val="00C10047"/>
    <w:rsid w:val="00C10048"/>
    <w:rsid w:val="00C1004B"/>
    <w:rsid w:val="00C10081"/>
    <w:rsid w:val="00C1008F"/>
    <w:rsid w:val="00C100A7"/>
    <w:rsid w:val="00C100AC"/>
    <w:rsid w:val="00C100E1"/>
    <w:rsid w:val="00C1012C"/>
    <w:rsid w:val="00C10137"/>
    <w:rsid w:val="00C101AF"/>
    <w:rsid w:val="00C101B0"/>
    <w:rsid w:val="00C101B4"/>
    <w:rsid w:val="00C101C9"/>
    <w:rsid w:val="00C1024A"/>
    <w:rsid w:val="00C10270"/>
    <w:rsid w:val="00C10303"/>
    <w:rsid w:val="00C1039E"/>
    <w:rsid w:val="00C1039F"/>
    <w:rsid w:val="00C10493"/>
    <w:rsid w:val="00C104C5"/>
    <w:rsid w:val="00C104D4"/>
    <w:rsid w:val="00C104FC"/>
    <w:rsid w:val="00C10512"/>
    <w:rsid w:val="00C10525"/>
    <w:rsid w:val="00C1054C"/>
    <w:rsid w:val="00C10575"/>
    <w:rsid w:val="00C105B4"/>
    <w:rsid w:val="00C105CE"/>
    <w:rsid w:val="00C105DE"/>
    <w:rsid w:val="00C105EB"/>
    <w:rsid w:val="00C105FF"/>
    <w:rsid w:val="00C10644"/>
    <w:rsid w:val="00C1068D"/>
    <w:rsid w:val="00C106E9"/>
    <w:rsid w:val="00C10769"/>
    <w:rsid w:val="00C10792"/>
    <w:rsid w:val="00C107CC"/>
    <w:rsid w:val="00C107E6"/>
    <w:rsid w:val="00C107FA"/>
    <w:rsid w:val="00C10807"/>
    <w:rsid w:val="00C10876"/>
    <w:rsid w:val="00C10882"/>
    <w:rsid w:val="00C109EE"/>
    <w:rsid w:val="00C10A1C"/>
    <w:rsid w:val="00C10AB0"/>
    <w:rsid w:val="00C10ACB"/>
    <w:rsid w:val="00C10B4D"/>
    <w:rsid w:val="00C10B94"/>
    <w:rsid w:val="00C10B9E"/>
    <w:rsid w:val="00C10BDB"/>
    <w:rsid w:val="00C10BEB"/>
    <w:rsid w:val="00C10C3C"/>
    <w:rsid w:val="00C10C8D"/>
    <w:rsid w:val="00C10CF5"/>
    <w:rsid w:val="00C10D32"/>
    <w:rsid w:val="00C10DCA"/>
    <w:rsid w:val="00C10E00"/>
    <w:rsid w:val="00C10E02"/>
    <w:rsid w:val="00C10E7E"/>
    <w:rsid w:val="00C10E80"/>
    <w:rsid w:val="00C10E94"/>
    <w:rsid w:val="00C10EBF"/>
    <w:rsid w:val="00C10F47"/>
    <w:rsid w:val="00C10F5C"/>
    <w:rsid w:val="00C10F60"/>
    <w:rsid w:val="00C10FA7"/>
    <w:rsid w:val="00C10FB3"/>
    <w:rsid w:val="00C10FFD"/>
    <w:rsid w:val="00C11018"/>
    <w:rsid w:val="00C1104A"/>
    <w:rsid w:val="00C11077"/>
    <w:rsid w:val="00C11106"/>
    <w:rsid w:val="00C111AE"/>
    <w:rsid w:val="00C1122A"/>
    <w:rsid w:val="00C11241"/>
    <w:rsid w:val="00C1127E"/>
    <w:rsid w:val="00C112A1"/>
    <w:rsid w:val="00C112B2"/>
    <w:rsid w:val="00C112C7"/>
    <w:rsid w:val="00C112D3"/>
    <w:rsid w:val="00C112E5"/>
    <w:rsid w:val="00C1131D"/>
    <w:rsid w:val="00C1133A"/>
    <w:rsid w:val="00C113B2"/>
    <w:rsid w:val="00C113B4"/>
    <w:rsid w:val="00C11414"/>
    <w:rsid w:val="00C11446"/>
    <w:rsid w:val="00C11456"/>
    <w:rsid w:val="00C1147A"/>
    <w:rsid w:val="00C114CB"/>
    <w:rsid w:val="00C11501"/>
    <w:rsid w:val="00C1152A"/>
    <w:rsid w:val="00C11559"/>
    <w:rsid w:val="00C115AE"/>
    <w:rsid w:val="00C115B8"/>
    <w:rsid w:val="00C115F3"/>
    <w:rsid w:val="00C1160C"/>
    <w:rsid w:val="00C11611"/>
    <w:rsid w:val="00C1163C"/>
    <w:rsid w:val="00C116B1"/>
    <w:rsid w:val="00C116C1"/>
    <w:rsid w:val="00C116DB"/>
    <w:rsid w:val="00C116EA"/>
    <w:rsid w:val="00C1170C"/>
    <w:rsid w:val="00C1170F"/>
    <w:rsid w:val="00C1174A"/>
    <w:rsid w:val="00C1183E"/>
    <w:rsid w:val="00C1183F"/>
    <w:rsid w:val="00C1184F"/>
    <w:rsid w:val="00C11887"/>
    <w:rsid w:val="00C118E0"/>
    <w:rsid w:val="00C11928"/>
    <w:rsid w:val="00C11958"/>
    <w:rsid w:val="00C11987"/>
    <w:rsid w:val="00C119BF"/>
    <w:rsid w:val="00C119CA"/>
    <w:rsid w:val="00C119DE"/>
    <w:rsid w:val="00C119F8"/>
    <w:rsid w:val="00C11A1F"/>
    <w:rsid w:val="00C11A33"/>
    <w:rsid w:val="00C11B34"/>
    <w:rsid w:val="00C11B83"/>
    <w:rsid w:val="00C11B88"/>
    <w:rsid w:val="00C11BB8"/>
    <w:rsid w:val="00C11BDC"/>
    <w:rsid w:val="00C11BFF"/>
    <w:rsid w:val="00C11C05"/>
    <w:rsid w:val="00C11C21"/>
    <w:rsid w:val="00C11D24"/>
    <w:rsid w:val="00C11D35"/>
    <w:rsid w:val="00C11D55"/>
    <w:rsid w:val="00C11D76"/>
    <w:rsid w:val="00C11D8B"/>
    <w:rsid w:val="00C11DFF"/>
    <w:rsid w:val="00C11E05"/>
    <w:rsid w:val="00C11E50"/>
    <w:rsid w:val="00C11E62"/>
    <w:rsid w:val="00C11E63"/>
    <w:rsid w:val="00C11E81"/>
    <w:rsid w:val="00C11E92"/>
    <w:rsid w:val="00C11EB9"/>
    <w:rsid w:val="00C11EBE"/>
    <w:rsid w:val="00C11EDB"/>
    <w:rsid w:val="00C11F1E"/>
    <w:rsid w:val="00C11F6F"/>
    <w:rsid w:val="00C11FA9"/>
    <w:rsid w:val="00C11FAB"/>
    <w:rsid w:val="00C11FCD"/>
    <w:rsid w:val="00C12033"/>
    <w:rsid w:val="00C12070"/>
    <w:rsid w:val="00C12099"/>
    <w:rsid w:val="00C120B3"/>
    <w:rsid w:val="00C120F3"/>
    <w:rsid w:val="00C12127"/>
    <w:rsid w:val="00C12130"/>
    <w:rsid w:val="00C1214E"/>
    <w:rsid w:val="00C121DB"/>
    <w:rsid w:val="00C12219"/>
    <w:rsid w:val="00C12234"/>
    <w:rsid w:val="00C12253"/>
    <w:rsid w:val="00C122A6"/>
    <w:rsid w:val="00C122B4"/>
    <w:rsid w:val="00C122E7"/>
    <w:rsid w:val="00C1232B"/>
    <w:rsid w:val="00C12355"/>
    <w:rsid w:val="00C123C8"/>
    <w:rsid w:val="00C123EB"/>
    <w:rsid w:val="00C1246D"/>
    <w:rsid w:val="00C12486"/>
    <w:rsid w:val="00C124C2"/>
    <w:rsid w:val="00C124DF"/>
    <w:rsid w:val="00C124F8"/>
    <w:rsid w:val="00C12540"/>
    <w:rsid w:val="00C1258B"/>
    <w:rsid w:val="00C125D3"/>
    <w:rsid w:val="00C125ED"/>
    <w:rsid w:val="00C12617"/>
    <w:rsid w:val="00C126A7"/>
    <w:rsid w:val="00C126B2"/>
    <w:rsid w:val="00C126E4"/>
    <w:rsid w:val="00C126F4"/>
    <w:rsid w:val="00C1271C"/>
    <w:rsid w:val="00C12760"/>
    <w:rsid w:val="00C127B0"/>
    <w:rsid w:val="00C127C6"/>
    <w:rsid w:val="00C127D2"/>
    <w:rsid w:val="00C127D7"/>
    <w:rsid w:val="00C127DC"/>
    <w:rsid w:val="00C12819"/>
    <w:rsid w:val="00C128A3"/>
    <w:rsid w:val="00C128DF"/>
    <w:rsid w:val="00C12A0F"/>
    <w:rsid w:val="00C12A57"/>
    <w:rsid w:val="00C12AE7"/>
    <w:rsid w:val="00C12AED"/>
    <w:rsid w:val="00C12AFE"/>
    <w:rsid w:val="00C12B30"/>
    <w:rsid w:val="00C12B99"/>
    <w:rsid w:val="00C12BA2"/>
    <w:rsid w:val="00C12C1D"/>
    <w:rsid w:val="00C12C29"/>
    <w:rsid w:val="00C12C57"/>
    <w:rsid w:val="00C12CAB"/>
    <w:rsid w:val="00C12CC9"/>
    <w:rsid w:val="00C12CD1"/>
    <w:rsid w:val="00C12CF1"/>
    <w:rsid w:val="00C12D5D"/>
    <w:rsid w:val="00C12DD7"/>
    <w:rsid w:val="00C12DFF"/>
    <w:rsid w:val="00C12E51"/>
    <w:rsid w:val="00C12E62"/>
    <w:rsid w:val="00C12E7F"/>
    <w:rsid w:val="00C12EA4"/>
    <w:rsid w:val="00C12ED2"/>
    <w:rsid w:val="00C12EE7"/>
    <w:rsid w:val="00C12EF1"/>
    <w:rsid w:val="00C12F14"/>
    <w:rsid w:val="00C12F57"/>
    <w:rsid w:val="00C12FFA"/>
    <w:rsid w:val="00C13017"/>
    <w:rsid w:val="00C13071"/>
    <w:rsid w:val="00C130C8"/>
    <w:rsid w:val="00C130FA"/>
    <w:rsid w:val="00C13103"/>
    <w:rsid w:val="00C1315C"/>
    <w:rsid w:val="00C131A4"/>
    <w:rsid w:val="00C131B0"/>
    <w:rsid w:val="00C131EE"/>
    <w:rsid w:val="00C131FA"/>
    <w:rsid w:val="00C132A4"/>
    <w:rsid w:val="00C132BE"/>
    <w:rsid w:val="00C13325"/>
    <w:rsid w:val="00C13354"/>
    <w:rsid w:val="00C1335F"/>
    <w:rsid w:val="00C13426"/>
    <w:rsid w:val="00C13436"/>
    <w:rsid w:val="00C13464"/>
    <w:rsid w:val="00C1354B"/>
    <w:rsid w:val="00C1357B"/>
    <w:rsid w:val="00C135AC"/>
    <w:rsid w:val="00C135AD"/>
    <w:rsid w:val="00C135E2"/>
    <w:rsid w:val="00C13611"/>
    <w:rsid w:val="00C13621"/>
    <w:rsid w:val="00C13635"/>
    <w:rsid w:val="00C13651"/>
    <w:rsid w:val="00C13687"/>
    <w:rsid w:val="00C13688"/>
    <w:rsid w:val="00C136FF"/>
    <w:rsid w:val="00C13713"/>
    <w:rsid w:val="00C1373F"/>
    <w:rsid w:val="00C1378E"/>
    <w:rsid w:val="00C137B8"/>
    <w:rsid w:val="00C137BB"/>
    <w:rsid w:val="00C137EA"/>
    <w:rsid w:val="00C13802"/>
    <w:rsid w:val="00C13841"/>
    <w:rsid w:val="00C1384B"/>
    <w:rsid w:val="00C1386D"/>
    <w:rsid w:val="00C1387A"/>
    <w:rsid w:val="00C13924"/>
    <w:rsid w:val="00C13929"/>
    <w:rsid w:val="00C139B8"/>
    <w:rsid w:val="00C139C4"/>
    <w:rsid w:val="00C139F2"/>
    <w:rsid w:val="00C13A15"/>
    <w:rsid w:val="00C13AC1"/>
    <w:rsid w:val="00C13AF6"/>
    <w:rsid w:val="00C13B0A"/>
    <w:rsid w:val="00C13B1F"/>
    <w:rsid w:val="00C13B9C"/>
    <w:rsid w:val="00C13BB1"/>
    <w:rsid w:val="00C13BBA"/>
    <w:rsid w:val="00C13BF5"/>
    <w:rsid w:val="00C13BF7"/>
    <w:rsid w:val="00C13C07"/>
    <w:rsid w:val="00C13C5D"/>
    <w:rsid w:val="00C13CC7"/>
    <w:rsid w:val="00C13CCE"/>
    <w:rsid w:val="00C13CDB"/>
    <w:rsid w:val="00C13D64"/>
    <w:rsid w:val="00C13D6E"/>
    <w:rsid w:val="00C13DE2"/>
    <w:rsid w:val="00C13E32"/>
    <w:rsid w:val="00C13E8C"/>
    <w:rsid w:val="00C13ED5"/>
    <w:rsid w:val="00C13F04"/>
    <w:rsid w:val="00C13F49"/>
    <w:rsid w:val="00C13FC8"/>
    <w:rsid w:val="00C13FDD"/>
    <w:rsid w:val="00C13FE0"/>
    <w:rsid w:val="00C1400B"/>
    <w:rsid w:val="00C1401B"/>
    <w:rsid w:val="00C14070"/>
    <w:rsid w:val="00C1413F"/>
    <w:rsid w:val="00C14181"/>
    <w:rsid w:val="00C14194"/>
    <w:rsid w:val="00C141C0"/>
    <w:rsid w:val="00C1421C"/>
    <w:rsid w:val="00C1425F"/>
    <w:rsid w:val="00C14270"/>
    <w:rsid w:val="00C14284"/>
    <w:rsid w:val="00C142AD"/>
    <w:rsid w:val="00C142F7"/>
    <w:rsid w:val="00C14329"/>
    <w:rsid w:val="00C14337"/>
    <w:rsid w:val="00C14375"/>
    <w:rsid w:val="00C14380"/>
    <w:rsid w:val="00C14397"/>
    <w:rsid w:val="00C14414"/>
    <w:rsid w:val="00C1442F"/>
    <w:rsid w:val="00C144A7"/>
    <w:rsid w:val="00C14542"/>
    <w:rsid w:val="00C145D5"/>
    <w:rsid w:val="00C145FD"/>
    <w:rsid w:val="00C14602"/>
    <w:rsid w:val="00C1461B"/>
    <w:rsid w:val="00C1464E"/>
    <w:rsid w:val="00C14658"/>
    <w:rsid w:val="00C1465D"/>
    <w:rsid w:val="00C1466B"/>
    <w:rsid w:val="00C14672"/>
    <w:rsid w:val="00C146AB"/>
    <w:rsid w:val="00C146C7"/>
    <w:rsid w:val="00C1471D"/>
    <w:rsid w:val="00C1472D"/>
    <w:rsid w:val="00C147F7"/>
    <w:rsid w:val="00C14805"/>
    <w:rsid w:val="00C148D6"/>
    <w:rsid w:val="00C148EF"/>
    <w:rsid w:val="00C148F8"/>
    <w:rsid w:val="00C14938"/>
    <w:rsid w:val="00C14995"/>
    <w:rsid w:val="00C149D8"/>
    <w:rsid w:val="00C149FF"/>
    <w:rsid w:val="00C14A29"/>
    <w:rsid w:val="00C14A34"/>
    <w:rsid w:val="00C14A66"/>
    <w:rsid w:val="00C14AA4"/>
    <w:rsid w:val="00C14B78"/>
    <w:rsid w:val="00C14BF7"/>
    <w:rsid w:val="00C14BFB"/>
    <w:rsid w:val="00C14C10"/>
    <w:rsid w:val="00C14C1E"/>
    <w:rsid w:val="00C14C38"/>
    <w:rsid w:val="00C14CA9"/>
    <w:rsid w:val="00C14CAF"/>
    <w:rsid w:val="00C14CB4"/>
    <w:rsid w:val="00C14CC0"/>
    <w:rsid w:val="00C14CEC"/>
    <w:rsid w:val="00C14D2B"/>
    <w:rsid w:val="00C14D32"/>
    <w:rsid w:val="00C14D70"/>
    <w:rsid w:val="00C14DAC"/>
    <w:rsid w:val="00C14DC5"/>
    <w:rsid w:val="00C14DC9"/>
    <w:rsid w:val="00C14E0C"/>
    <w:rsid w:val="00C14E12"/>
    <w:rsid w:val="00C14E1D"/>
    <w:rsid w:val="00C14E26"/>
    <w:rsid w:val="00C14E66"/>
    <w:rsid w:val="00C14EAD"/>
    <w:rsid w:val="00C14F0F"/>
    <w:rsid w:val="00C14F4B"/>
    <w:rsid w:val="00C14F55"/>
    <w:rsid w:val="00C14F8B"/>
    <w:rsid w:val="00C14FC5"/>
    <w:rsid w:val="00C15069"/>
    <w:rsid w:val="00C15074"/>
    <w:rsid w:val="00C150FD"/>
    <w:rsid w:val="00C15145"/>
    <w:rsid w:val="00C1514F"/>
    <w:rsid w:val="00C15155"/>
    <w:rsid w:val="00C1515D"/>
    <w:rsid w:val="00C1520D"/>
    <w:rsid w:val="00C1520E"/>
    <w:rsid w:val="00C15214"/>
    <w:rsid w:val="00C15233"/>
    <w:rsid w:val="00C15238"/>
    <w:rsid w:val="00C152BA"/>
    <w:rsid w:val="00C152E0"/>
    <w:rsid w:val="00C1532C"/>
    <w:rsid w:val="00C15331"/>
    <w:rsid w:val="00C1535B"/>
    <w:rsid w:val="00C15367"/>
    <w:rsid w:val="00C153B6"/>
    <w:rsid w:val="00C15440"/>
    <w:rsid w:val="00C15473"/>
    <w:rsid w:val="00C15489"/>
    <w:rsid w:val="00C154B3"/>
    <w:rsid w:val="00C154E5"/>
    <w:rsid w:val="00C154EB"/>
    <w:rsid w:val="00C154F5"/>
    <w:rsid w:val="00C1550F"/>
    <w:rsid w:val="00C1551B"/>
    <w:rsid w:val="00C155A8"/>
    <w:rsid w:val="00C155B8"/>
    <w:rsid w:val="00C155E0"/>
    <w:rsid w:val="00C156D7"/>
    <w:rsid w:val="00C15700"/>
    <w:rsid w:val="00C15726"/>
    <w:rsid w:val="00C1573F"/>
    <w:rsid w:val="00C15782"/>
    <w:rsid w:val="00C1579B"/>
    <w:rsid w:val="00C157AF"/>
    <w:rsid w:val="00C157EF"/>
    <w:rsid w:val="00C1580A"/>
    <w:rsid w:val="00C15834"/>
    <w:rsid w:val="00C1586A"/>
    <w:rsid w:val="00C15870"/>
    <w:rsid w:val="00C15872"/>
    <w:rsid w:val="00C1588C"/>
    <w:rsid w:val="00C15891"/>
    <w:rsid w:val="00C158C8"/>
    <w:rsid w:val="00C158E1"/>
    <w:rsid w:val="00C158EA"/>
    <w:rsid w:val="00C1592C"/>
    <w:rsid w:val="00C15978"/>
    <w:rsid w:val="00C15991"/>
    <w:rsid w:val="00C159D3"/>
    <w:rsid w:val="00C15A85"/>
    <w:rsid w:val="00C15B16"/>
    <w:rsid w:val="00C15B56"/>
    <w:rsid w:val="00C15B8E"/>
    <w:rsid w:val="00C15BC1"/>
    <w:rsid w:val="00C15C14"/>
    <w:rsid w:val="00C15C2E"/>
    <w:rsid w:val="00C15C88"/>
    <w:rsid w:val="00C15C93"/>
    <w:rsid w:val="00C15C9A"/>
    <w:rsid w:val="00C15CCF"/>
    <w:rsid w:val="00C15CDB"/>
    <w:rsid w:val="00C15CFD"/>
    <w:rsid w:val="00C15D1D"/>
    <w:rsid w:val="00C15D20"/>
    <w:rsid w:val="00C15E5E"/>
    <w:rsid w:val="00C15E7D"/>
    <w:rsid w:val="00C15EC4"/>
    <w:rsid w:val="00C15F2B"/>
    <w:rsid w:val="00C15F42"/>
    <w:rsid w:val="00C15F58"/>
    <w:rsid w:val="00C15F8D"/>
    <w:rsid w:val="00C15FAC"/>
    <w:rsid w:val="00C16010"/>
    <w:rsid w:val="00C1604D"/>
    <w:rsid w:val="00C16090"/>
    <w:rsid w:val="00C160D6"/>
    <w:rsid w:val="00C160DD"/>
    <w:rsid w:val="00C1611D"/>
    <w:rsid w:val="00C1612B"/>
    <w:rsid w:val="00C16173"/>
    <w:rsid w:val="00C1617C"/>
    <w:rsid w:val="00C16183"/>
    <w:rsid w:val="00C16191"/>
    <w:rsid w:val="00C161A5"/>
    <w:rsid w:val="00C161B4"/>
    <w:rsid w:val="00C161C3"/>
    <w:rsid w:val="00C16203"/>
    <w:rsid w:val="00C1623A"/>
    <w:rsid w:val="00C1623D"/>
    <w:rsid w:val="00C1629A"/>
    <w:rsid w:val="00C162CA"/>
    <w:rsid w:val="00C162D7"/>
    <w:rsid w:val="00C162F2"/>
    <w:rsid w:val="00C1632A"/>
    <w:rsid w:val="00C16330"/>
    <w:rsid w:val="00C163B5"/>
    <w:rsid w:val="00C163B6"/>
    <w:rsid w:val="00C1640B"/>
    <w:rsid w:val="00C16416"/>
    <w:rsid w:val="00C16435"/>
    <w:rsid w:val="00C16463"/>
    <w:rsid w:val="00C1646B"/>
    <w:rsid w:val="00C164BB"/>
    <w:rsid w:val="00C164DD"/>
    <w:rsid w:val="00C164EF"/>
    <w:rsid w:val="00C164F0"/>
    <w:rsid w:val="00C16522"/>
    <w:rsid w:val="00C16538"/>
    <w:rsid w:val="00C16553"/>
    <w:rsid w:val="00C1655C"/>
    <w:rsid w:val="00C16577"/>
    <w:rsid w:val="00C16590"/>
    <w:rsid w:val="00C1659A"/>
    <w:rsid w:val="00C165B1"/>
    <w:rsid w:val="00C165D2"/>
    <w:rsid w:val="00C165FC"/>
    <w:rsid w:val="00C16629"/>
    <w:rsid w:val="00C1663E"/>
    <w:rsid w:val="00C16660"/>
    <w:rsid w:val="00C1666A"/>
    <w:rsid w:val="00C16682"/>
    <w:rsid w:val="00C166CF"/>
    <w:rsid w:val="00C166F4"/>
    <w:rsid w:val="00C16798"/>
    <w:rsid w:val="00C167B6"/>
    <w:rsid w:val="00C167C1"/>
    <w:rsid w:val="00C167D4"/>
    <w:rsid w:val="00C1684C"/>
    <w:rsid w:val="00C16890"/>
    <w:rsid w:val="00C168B7"/>
    <w:rsid w:val="00C168BE"/>
    <w:rsid w:val="00C168CF"/>
    <w:rsid w:val="00C168D1"/>
    <w:rsid w:val="00C1697A"/>
    <w:rsid w:val="00C169A2"/>
    <w:rsid w:val="00C16A0C"/>
    <w:rsid w:val="00C16AE6"/>
    <w:rsid w:val="00C16B48"/>
    <w:rsid w:val="00C16B8A"/>
    <w:rsid w:val="00C16BCE"/>
    <w:rsid w:val="00C16BE8"/>
    <w:rsid w:val="00C16C2B"/>
    <w:rsid w:val="00C16CAB"/>
    <w:rsid w:val="00C16CBD"/>
    <w:rsid w:val="00C16D35"/>
    <w:rsid w:val="00C16D55"/>
    <w:rsid w:val="00C16D65"/>
    <w:rsid w:val="00C16D72"/>
    <w:rsid w:val="00C16DA0"/>
    <w:rsid w:val="00C16DA3"/>
    <w:rsid w:val="00C16DAD"/>
    <w:rsid w:val="00C16DFC"/>
    <w:rsid w:val="00C16E81"/>
    <w:rsid w:val="00C16E84"/>
    <w:rsid w:val="00C16EA7"/>
    <w:rsid w:val="00C16EBA"/>
    <w:rsid w:val="00C16F0E"/>
    <w:rsid w:val="00C16F1E"/>
    <w:rsid w:val="00C16F6E"/>
    <w:rsid w:val="00C16F7A"/>
    <w:rsid w:val="00C16FFC"/>
    <w:rsid w:val="00C17003"/>
    <w:rsid w:val="00C17022"/>
    <w:rsid w:val="00C1702D"/>
    <w:rsid w:val="00C17038"/>
    <w:rsid w:val="00C170CD"/>
    <w:rsid w:val="00C170D4"/>
    <w:rsid w:val="00C170EC"/>
    <w:rsid w:val="00C170F3"/>
    <w:rsid w:val="00C1710B"/>
    <w:rsid w:val="00C17150"/>
    <w:rsid w:val="00C17197"/>
    <w:rsid w:val="00C171BA"/>
    <w:rsid w:val="00C171CC"/>
    <w:rsid w:val="00C17228"/>
    <w:rsid w:val="00C1722A"/>
    <w:rsid w:val="00C1726E"/>
    <w:rsid w:val="00C17282"/>
    <w:rsid w:val="00C1729E"/>
    <w:rsid w:val="00C17364"/>
    <w:rsid w:val="00C1736D"/>
    <w:rsid w:val="00C1736E"/>
    <w:rsid w:val="00C17382"/>
    <w:rsid w:val="00C17390"/>
    <w:rsid w:val="00C17435"/>
    <w:rsid w:val="00C1743B"/>
    <w:rsid w:val="00C17447"/>
    <w:rsid w:val="00C17463"/>
    <w:rsid w:val="00C1746D"/>
    <w:rsid w:val="00C174A3"/>
    <w:rsid w:val="00C174B5"/>
    <w:rsid w:val="00C17511"/>
    <w:rsid w:val="00C1757D"/>
    <w:rsid w:val="00C17588"/>
    <w:rsid w:val="00C17598"/>
    <w:rsid w:val="00C175D2"/>
    <w:rsid w:val="00C17651"/>
    <w:rsid w:val="00C17662"/>
    <w:rsid w:val="00C17669"/>
    <w:rsid w:val="00C1766F"/>
    <w:rsid w:val="00C1767F"/>
    <w:rsid w:val="00C176B0"/>
    <w:rsid w:val="00C176DF"/>
    <w:rsid w:val="00C176E2"/>
    <w:rsid w:val="00C176EF"/>
    <w:rsid w:val="00C17738"/>
    <w:rsid w:val="00C17779"/>
    <w:rsid w:val="00C17827"/>
    <w:rsid w:val="00C17879"/>
    <w:rsid w:val="00C178C9"/>
    <w:rsid w:val="00C17999"/>
    <w:rsid w:val="00C17A2B"/>
    <w:rsid w:val="00C17A44"/>
    <w:rsid w:val="00C17AC1"/>
    <w:rsid w:val="00C17B13"/>
    <w:rsid w:val="00C17BA8"/>
    <w:rsid w:val="00C17C06"/>
    <w:rsid w:val="00C17C12"/>
    <w:rsid w:val="00C17C57"/>
    <w:rsid w:val="00C17D7A"/>
    <w:rsid w:val="00C17D9F"/>
    <w:rsid w:val="00C17DD5"/>
    <w:rsid w:val="00C17E35"/>
    <w:rsid w:val="00C17E64"/>
    <w:rsid w:val="00C17E74"/>
    <w:rsid w:val="00C17E83"/>
    <w:rsid w:val="00C17EAE"/>
    <w:rsid w:val="00C17ED6"/>
    <w:rsid w:val="00C17EDA"/>
    <w:rsid w:val="00C17F20"/>
    <w:rsid w:val="00C17F32"/>
    <w:rsid w:val="00C17F43"/>
    <w:rsid w:val="00C17F8B"/>
    <w:rsid w:val="00C17FAF"/>
    <w:rsid w:val="00C17FC2"/>
    <w:rsid w:val="00C17FDA"/>
    <w:rsid w:val="00C17FE4"/>
    <w:rsid w:val="00C20037"/>
    <w:rsid w:val="00C20066"/>
    <w:rsid w:val="00C2007B"/>
    <w:rsid w:val="00C200FB"/>
    <w:rsid w:val="00C20116"/>
    <w:rsid w:val="00C20139"/>
    <w:rsid w:val="00C2013E"/>
    <w:rsid w:val="00C20155"/>
    <w:rsid w:val="00C201DE"/>
    <w:rsid w:val="00C201E6"/>
    <w:rsid w:val="00C20216"/>
    <w:rsid w:val="00C2024D"/>
    <w:rsid w:val="00C20251"/>
    <w:rsid w:val="00C20261"/>
    <w:rsid w:val="00C20322"/>
    <w:rsid w:val="00C20355"/>
    <w:rsid w:val="00C20369"/>
    <w:rsid w:val="00C20383"/>
    <w:rsid w:val="00C203AD"/>
    <w:rsid w:val="00C203B1"/>
    <w:rsid w:val="00C203DA"/>
    <w:rsid w:val="00C203F2"/>
    <w:rsid w:val="00C20477"/>
    <w:rsid w:val="00C20492"/>
    <w:rsid w:val="00C204D7"/>
    <w:rsid w:val="00C204F1"/>
    <w:rsid w:val="00C204FB"/>
    <w:rsid w:val="00C20526"/>
    <w:rsid w:val="00C20578"/>
    <w:rsid w:val="00C205E8"/>
    <w:rsid w:val="00C2060F"/>
    <w:rsid w:val="00C206AB"/>
    <w:rsid w:val="00C206C3"/>
    <w:rsid w:val="00C206C6"/>
    <w:rsid w:val="00C206CE"/>
    <w:rsid w:val="00C2073D"/>
    <w:rsid w:val="00C20812"/>
    <w:rsid w:val="00C20886"/>
    <w:rsid w:val="00C208C2"/>
    <w:rsid w:val="00C20911"/>
    <w:rsid w:val="00C20934"/>
    <w:rsid w:val="00C2094C"/>
    <w:rsid w:val="00C20953"/>
    <w:rsid w:val="00C209DE"/>
    <w:rsid w:val="00C209E2"/>
    <w:rsid w:val="00C20A6A"/>
    <w:rsid w:val="00C20A98"/>
    <w:rsid w:val="00C20B28"/>
    <w:rsid w:val="00C20B2B"/>
    <w:rsid w:val="00C20B36"/>
    <w:rsid w:val="00C20B42"/>
    <w:rsid w:val="00C20B87"/>
    <w:rsid w:val="00C20BCB"/>
    <w:rsid w:val="00C20BE4"/>
    <w:rsid w:val="00C20C03"/>
    <w:rsid w:val="00C20C41"/>
    <w:rsid w:val="00C20C50"/>
    <w:rsid w:val="00C20C99"/>
    <w:rsid w:val="00C20CCC"/>
    <w:rsid w:val="00C20CD9"/>
    <w:rsid w:val="00C20D03"/>
    <w:rsid w:val="00C20D0F"/>
    <w:rsid w:val="00C20D16"/>
    <w:rsid w:val="00C20D72"/>
    <w:rsid w:val="00C20DBA"/>
    <w:rsid w:val="00C20E81"/>
    <w:rsid w:val="00C20E90"/>
    <w:rsid w:val="00C20EC6"/>
    <w:rsid w:val="00C20F10"/>
    <w:rsid w:val="00C20F57"/>
    <w:rsid w:val="00C20F97"/>
    <w:rsid w:val="00C20F9E"/>
    <w:rsid w:val="00C20FB2"/>
    <w:rsid w:val="00C210BF"/>
    <w:rsid w:val="00C210D0"/>
    <w:rsid w:val="00C210E8"/>
    <w:rsid w:val="00C21131"/>
    <w:rsid w:val="00C2113E"/>
    <w:rsid w:val="00C21179"/>
    <w:rsid w:val="00C21189"/>
    <w:rsid w:val="00C21192"/>
    <w:rsid w:val="00C21210"/>
    <w:rsid w:val="00C21224"/>
    <w:rsid w:val="00C2122F"/>
    <w:rsid w:val="00C2125E"/>
    <w:rsid w:val="00C212CD"/>
    <w:rsid w:val="00C212E1"/>
    <w:rsid w:val="00C2132C"/>
    <w:rsid w:val="00C21343"/>
    <w:rsid w:val="00C21375"/>
    <w:rsid w:val="00C21399"/>
    <w:rsid w:val="00C2139F"/>
    <w:rsid w:val="00C214CC"/>
    <w:rsid w:val="00C214D7"/>
    <w:rsid w:val="00C215B2"/>
    <w:rsid w:val="00C215D1"/>
    <w:rsid w:val="00C21662"/>
    <w:rsid w:val="00C21664"/>
    <w:rsid w:val="00C216BF"/>
    <w:rsid w:val="00C216EA"/>
    <w:rsid w:val="00C21713"/>
    <w:rsid w:val="00C21743"/>
    <w:rsid w:val="00C21790"/>
    <w:rsid w:val="00C21799"/>
    <w:rsid w:val="00C2179F"/>
    <w:rsid w:val="00C217B4"/>
    <w:rsid w:val="00C2182D"/>
    <w:rsid w:val="00C2186E"/>
    <w:rsid w:val="00C2186F"/>
    <w:rsid w:val="00C2189F"/>
    <w:rsid w:val="00C21945"/>
    <w:rsid w:val="00C2196C"/>
    <w:rsid w:val="00C21975"/>
    <w:rsid w:val="00C21990"/>
    <w:rsid w:val="00C21A09"/>
    <w:rsid w:val="00C21A15"/>
    <w:rsid w:val="00C21A63"/>
    <w:rsid w:val="00C21A77"/>
    <w:rsid w:val="00C21A80"/>
    <w:rsid w:val="00C21A90"/>
    <w:rsid w:val="00C21AD0"/>
    <w:rsid w:val="00C21AFA"/>
    <w:rsid w:val="00C21B06"/>
    <w:rsid w:val="00C21B20"/>
    <w:rsid w:val="00C21B65"/>
    <w:rsid w:val="00C21BA2"/>
    <w:rsid w:val="00C21C4C"/>
    <w:rsid w:val="00C21C63"/>
    <w:rsid w:val="00C21C86"/>
    <w:rsid w:val="00C21CE4"/>
    <w:rsid w:val="00C21CFF"/>
    <w:rsid w:val="00C21D51"/>
    <w:rsid w:val="00C21D72"/>
    <w:rsid w:val="00C21D79"/>
    <w:rsid w:val="00C21DD6"/>
    <w:rsid w:val="00C21E02"/>
    <w:rsid w:val="00C21E27"/>
    <w:rsid w:val="00C21E2B"/>
    <w:rsid w:val="00C21E5E"/>
    <w:rsid w:val="00C21EAB"/>
    <w:rsid w:val="00C21EB5"/>
    <w:rsid w:val="00C21ED8"/>
    <w:rsid w:val="00C21F4D"/>
    <w:rsid w:val="00C21F86"/>
    <w:rsid w:val="00C21FFF"/>
    <w:rsid w:val="00C22027"/>
    <w:rsid w:val="00C22041"/>
    <w:rsid w:val="00C22075"/>
    <w:rsid w:val="00C220AE"/>
    <w:rsid w:val="00C22123"/>
    <w:rsid w:val="00C22124"/>
    <w:rsid w:val="00C221C4"/>
    <w:rsid w:val="00C221FF"/>
    <w:rsid w:val="00C22259"/>
    <w:rsid w:val="00C22267"/>
    <w:rsid w:val="00C22275"/>
    <w:rsid w:val="00C22406"/>
    <w:rsid w:val="00C2240F"/>
    <w:rsid w:val="00C22414"/>
    <w:rsid w:val="00C2241F"/>
    <w:rsid w:val="00C2243A"/>
    <w:rsid w:val="00C22455"/>
    <w:rsid w:val="00C22464"/>
    <w:rsid w:val="00C2246B"/>
    <w:rsid w:val="00C2246E"/>
    <w:rsid w:val="00C224FC"/>
    <w:rsid w:val="00C22598"/>
    <w:rsid w:val="00C2259C"/>
    <w:rsid w:val="00C225DD"/>
    <w:rsid w:val="00C225F3"/>
    <w:rsid w:val="00C22669"/>
    <w:rsid w:val="00C226D4"/>
    <w:rsid w:val="00C2271C"/>
    <w:rsid w:val="00C2271D"/>
    <w:rsid w:val="00C2272E"/>
    <w:rsid w:val="00C227B1"/>
    <w:rsid w:val="00C227BD"/>
    <w:rsid w:val="00C22853"/>
    <w:rsid w:val="00C22873"/>
    <w:rsid w:val="00C2287E"/>
    <w:rsid w:val="00C22894"/>
    <w:rsid w:val="00C228B4"/>
    <w:rsid w:val="00C228E3"/>
    <w:rsid w:val="00C2293B"/>
    <w:rsid w:val="00C22954"/>
    <w:rsid w:val="00C22996"/>
    <w:rsid w:val="00C229F9"/>
    <w:rsid w:val="00C22A15"/>
    <w:rsid w:val="00C22A55"/>
    <w:rsid w:val="00C22A82"/>
    <w:rsid w:val="00C22AB8"/>
    <w:rsid w:val="00C22ADB"/>
    <w:rsid w:val="00C22B16"/>
    <w:rsid w:val="00C22B1C"/>
    <w:rsid w:val="00C22BD2"/>
    <w:rsid w:val="00C22C1D"/>
    <w:rsid w:val="00C22C3E"/>
    <w:rsid w:val="00C22C43"/>
    <w:rsid w:val="00C22CBF"/>
    <w:rsid w:val="00C22CF0"/>
    <w:rsid w:val="00C22CF1"/>
    <w:rsid w:val="00C22D28"/>
    <w:rsid w:val="00C22D65"/>
    <w:rsid w:val="00C22D91"/>
    <w:rsid w:val="00C22D94"/>
    <w:rsid w:val="00C22DB9"/>
    <w:rsid w:val="00C22DC1"/>
    <w:rsid w:val="00C22DD5"/>
    <w:rsid w:val="00C22E14"/>
    <w:rsid w:val="00C22E41"/>
    <w:rsid w:val="00C22E49"/>
    <w:rsid w:val="00C22ED8"/>
    <w:rsid w:val="00C22F28"/>
    <w:rsid w:val="00C22F3C"/>
    <w:rsid w:val="00C22F44"/>
    <w:rsid w:val="00C23006"/>
    <w:rsid w:val="00C23007"/>
    <w:rsid w:val="00C23019"/>
    <w:rsid w:val="00C23061"/>
    <w:rsid w:val="00C230AB"/>
    <w:rsid w:val="00C230D6"/>
    <w:rsid w:val="00C23104"/>
    <w:rsid w:val="00C2311A"/>
    <w:rsid w:val="00C2312E"/>
    <w:rsid w:val="00C23167"/>
    <w:rsid w:val="00C231D5"/>
    <w:rsid w:val="00C231EF"/>
    <w:rsid w:val="00C232A2"/>
    <w:rsid w:val="00C232AA"/>
    <w:rsid w:val="00C23365"/>
    <w:rsid w:val="00C2336D"/>
    <w:rsid w:val="00C233B1"/>
    <w:rsid w:val="00C233B3"/>
    <w:rsid w:val="00C23404"/>
    <w:rsid w:val="00C23408"/>
    <w:rsid w:val="00C23439"/>
    <w:rsid w:val="00C2343C"/>
    <w:rsid w:val="00C23441"/>
    <w:rsid w:val="00C2345B"/>
    <w:rsid w:val="00C234CA"/>
    <w:rsid w:val="00C234D1"/>
    <w:rsid w:val="00C234EF"/>
    <w:rsid w:val="00C23501"/>
    <w:rsid w:val="00C23507"/>
    <w:rsid w:val="00C2351E"/>
    <w:rsid w:val="00C235C0"/>
    <w:rsid w:val="00C235CE"/>
    <w:rsid w:val="00C235D6"/>
    <w:rsid w:val="00C23642"/>
    <w:rsid w:val="00C2367D"/>
    <w:rsid w:val="00C23719"/>
    <w:rsid w:val="00C237B5"/>
    <w:rsid w:val="00C237EE"/>
    <w:rsid w:val="00C23837"/>
    <w:rsid w:val="00C2385D"/>
    <w:rsid w:val="00C23866"/>
    <w:rsid w:val="00C238D3"/>
    <w:rsid w:val="00C2393E"/>
    <w:rsid w:val="00C23945"/>
    <w:rsid w:val="00C23998"/>
    <w:rsid w:val="00C239B7"/>
    <w:rsid w:val="00C239BE"/>
    <w:rsid w:val="00C239DB"/>
    <w:rsid w:val="00C23A95"/>
    <w:rsid w:val="00C23A99"/>
    <w:rsid w:val="00C23AC4"/>
    <w:rsid w:val="00C23B02"/>
    <w:rsid w:val="00C23B09"/>
    <w:rsid w:val="00C23B15"/>
    <w:rsid w:val="00C23B17"/>
    <w:rsid w:val="00C23B8B"/>
    <w:rsid w:val="00C23BE3"/>
    <w:rsid w:val="00C23C1A"/>
    <w:rsid w:val="00C23C32"/>
    <w:rsid w:val="00C23CD7"/>
    <w:rsid w:val="00C23CDF"/>
    <w:rsid w:val="00C23CF6"/>
    <w:rsid w:val="00C23D40"/>
    <w:rsid w:val="00C23D61"/>
    <w:rsid w:val="00C23DB9"/>
    <w:rsid w:val="00C23DC6"/>
    <w:rsid w:val="00C23E59"/>
    <w:rsid w:val="00C23E60"/>
    <w:rsid w:val="00C23E64"/>
    <w:rsid w:val="00C23E9A"/>
    <w:rsid w:val="00C23EFB"/>
    <w:rsid w:val="00C23F3E"/>
    <w:rsid w:val="00C23F63"/>
    <w:rsid w:val="00C23FEF"/>
    <w:rsid w:val="00C24077"/>
    <w:rsid w:val="00C240B7"/>
    <w:rsid w:val="00C240C3"/>
    <w:rsid w:val="00C24142"/>
    <w:rsid w:val="00C24161"/>
    <w:rsid w:val="00C24165"/>
    <w:rsid w:val="00C2419A"/>
    <w:rsid w:val="00C241EB"/>
    <w:rsid w:val="00C24211"/>
    <w:rsid w:val="00C2423A"/>
    <w:rsid w:val="00C2424B"/>
    <w:rsid w:val="00C242B7"/>
    <w:rsid w:val="00C24336"/>
    <w:rsid w:val="00C24346"/>
    <w:rsid w:val="00C2434B"/>
    <w:rsid w:val="00C243F2"/>
    <w:rsid w:val="00C243FD"/>
    <w:rsid w:val="00C24478"/>
    <w:rsid w:val="00C24485"/>
    <w:rsid w:val="00C244CE"/>
    <w:rsid w:val="00C245E8"/>
    <w:rsid w:val="00C245EA"/>
    <w:rsid w:val="00C245EB"/>
    <w:rsid w:val="00C2464E"/>
    <w:rsid w:val="00C246D6"/>
    <w:rsid w:val="00C24710"/>
    <w:rsid w:val="00C24751"/>
    <w:rsid w:val="00C247F5"/>
    <w:rsid w:val="00C24824"/>
    <w:rsid w:val="00C2482D"/>
    <w:rsid w:val="00C24868"/>
    <w:rsid w:val="00C2486A"/>
    <w:rsid w:val="00C2486F"/>
    <w:rsid w:val="00C2487E"/>
    <w:rsid w:val="00C248B9"/>
    <w:rsid w:val="00C248BC"/>
    <w:rsid w:val="00C248C4"/>
    <w:rsid w:val="00C248E7"/>
    <w:rsid w:val="00C2495E"/>
    <w:rsid w:val="00C24A02"/>
    <w:rsid w:val="00C24B04"/>
    <w:rsid w:val="00C24B1B"/>
    <w:rsid w:val="00C24B1E"/>
    <w:rsid w:val="00C24B85"/>
    <w:rsid w:val="00C24B8E"/>
    <w:rsid w:val="00C24BAE"/>
    <w:rsid w:val="00C24CB3"/>
    <w:rsid w:val="00C24CCB"/>
    <w:rsid w:val="00C24CD3"/>
    <w:rsid w:val="00C24CEE"/>
    <w:rsid w:val="00C24CF0"/>
    <w:rsid w:val="00C24CFE"/>
    <w:rsid w:val="00C24D51"/>
    <w:rsid w:val="00C24DC8"/>
    <w:rsid w:val="00C24DE8"/>
    <w:rsid w:val="00C24DEA"/>
    <w:rsid w:val="00C24E35"/>
    <w:rsid w:val="00C24E4A"/>
    <w:rsid w:val="00C24E61"/>
    <w:rsid w:val="00C24EA2"/>
    <w:rsid w:val="00C24F22"/>
    <w:rsid w:val="00C24F25"/>
    <w:rsid w:val="00C24F4D"/>
    <w:rsid w:val="00C24F9E"/>
    <w:rsid w:val="00C24FC5"/>
    <w:rsid w:val="00C24FFB"/>
    <w:rsid w:val="00C25003"/>
    <w:rsid w:val="00C25029"/>
    <w:rsid w:val="00C2509C"/>
    <w:rsid w:val="00C25148"/>
    <w:rsid w:val="00C251BA"/>
    <w:rsid w:val="00C251C1"/>
    <w:rsid w:val="00C251C5"/>
    <w:rsid w:val="00C251E0"/>
    <w:rsid w:val="00C2522F"/>
    <w:rsid w:val="00C25279"/>
    <w:rsid w:val="00C252BC"/>
    <w:rsid w:val="00C252D2"/>
    <w:rsid w:val="00C252F6"/>
    <w:rsid w:val="00C25316"/>
    <w:rsid w:val="00C25369"/>
    <w:rsid w:val="00C25385"/>
    <w:rsid w:val="00C25395"/>
    <w:rsid w:val="00C253BE"/>
    <w:rsid w:val="00C253EC"/>
    <w:rsid w:val="00C25400"/>
    <w:rsid w:val="00C2541A"/>
    <w:rsid w:val="00C25438"/>
    <w:rsid w:val="00C25473"/>
    <w:rsid w:val="00C254B5"/>
    <w:rsid w:val="00C25542"/>
    <w:rsid w:val="00C2554A"/>
    <w:rsid w:val="00C2557C"/>
    <w:rsid w:val="00C25587"/>
    <w:rsid w:val="00C25588"/>
    <w:rsid w:val="00C25597"/>
    <w:rsid w:val="00C255CE"/>
    <w:rsid w:val="00C255DA"/>
    <w:rsid w:val="00C255E0"/>
    <w:rsid w:val="00C255F1"/>
    <w:rsid w:val="00C2560F"/>
    <w:rsid w:val="00C25612"/>
    <w:rsid w:val="00C25617"/>
    <w:rsid w:val="00C256A0"/>
    <w:rsid w:val="00C256F3"/>
    <w:rsid w:val="00C2570D"/>
    <w:rsid w:val="00C2573C"/>
    <w:rsid w:val="00C257AC"/>
    <w:rsid w:val="00C25858"/>
    <w:rsid w:val="00C25910"/>
    <w:rsid w:val="00C25924"/>
    <w:rsid w:val="00C259C5"/>
    <w:rsid w:val="00C259DA"/>
    <w:rsid w:val="00C259DE"/>
    <w:rsid w:val="00C25A03"/>
    <w:rsid w:val="00C25A29"/>
    <w:rsid w:val="00C25A63"/>
    <w:rsid w:val="00C25AF6"/>
    <w:rsid w:val="00C25B40"/>
    <w:rsid w:val="00C25B94"/>
    <w:rsid w:val="00C25B95"/>
    <w:rsid w:val="00C25BAA"/>
    <w:rsid w:val="00C25BC6"/>
    <w:rsid w:val="00C25C04"/>
    <w:rsid w:val="00C25C11"/>
    <w:rsid w:val="00C25C6E"/>
    <w:rsid w:val="00C25C7F"/>
    <w:rsid w:val="00C25C83"/>
    <w:rsid w:val="00C25CC8"/>
    <w:rsid w:val="00C25CDB"/>
    <w:rsid w:val="00C25CF8"/>
    <w:rsid w:val="00C25DEE"/>
    <w:rsid w:val="00C25DFB"/>
    <w:rsid w:val="00C25E2E"/>
    <w:rsid w:val="00C25E35"/>
    <w:rsid w:val="00C25E85"/>
    <w:rsid w:val="00C25E94"/>
    <w:rsid w:val="00C25EAF"/>
    <w:rsid w:val="00C25F9C"/>
    <w:rsid w:val="00C26001"/>
    <w:rsid w:val="00C2601C"/>
    <w:rsid w:val="00C26054"/>
    <w:rsid w:val="00C26063"/>
    <w:rsid w:val="00C2607D"/>
    <w:rsid w:val="00C260C7"/>
    <w:rsid w:val="00C260D5"/>
    <w:rsid w:val="00C260E4"/>
    <w:rsid w:val="00C26149"/>
    <w:rsid w:val="00C261AA"/>
    <w:rsid w:val="00C261C3"/>
    <w:rsid w:val="00C261DA"/>
    <w:rsid w:val="00C26264"/>
    <w:rsid w:val="00C2632A"/>
    <w:rsid w:val="00C263BC"/>
    <w:rsid w:val="00C263DB"/>
    <w:rsid w:val="00C263F9"/>
    <w:rsid w:val="00C26412"/>
    <w:rsid w:val="00C2645A"/>
    <w:rsid w:val="00C26479"/>
    <w:rsid w:val="00C264B8"/>
    <w:rsid w:val="00C264DB"/>
    <w:rsid w:val="00C264EC"/>
    <w:rsid w:val="00C265AD"/>
    <w:rsid w:val="00C265B6"/>
    <w:rsid w:val="00C265E3"/>
    <w:rsid w:val="00C2661B"/>
    <w:rsid w:val="00C26687"/>
    <w:rsid w:val="00C266D2"/>
    <w:rsid w:val="00C26712"/>
    <w:rsid w:val="00C26724"/>
    <w:rsid w:val="00C26778"/>
    <w:rsid w:val="00C26789"/>
    <w:rsid w:val="00C26864"/>
    <w:rsid w:val="00C26873"/>
    <w:rsid w:val="00C26879"/>
    <w:rsid w:val="00C26892"/>
    <w:rsid w:val="00C26895"/>
    <w:rsid w:val="00C268AE"/>
    <w:rsid w:val="00C268E0"/>
    <w:rsid w:val="00C268E4"/>
    <w:rsid w:val="00C26941"/>
    <w:rsid w:val="00C26953"/>
    <w:rsid w:val="00C26964"/>
    <w:rsid w:val="00C26986"/>
    <w:rsid w:val="00C269A7"/>
    <w:rsid w:val="00C269D8"/>
    <w:rsid w:val="00C269EF"/>
    <w:rsid w:val="00C26A82"/>
    <w:rsid w:val="00C26A8F"/>
    <w:rsid w:val="00C26AAD"/>
    <w:rsid w:val="00C26ABD"/>
    <w:rsid w:val="00C26AC9"/>
    <w:rsid w:val="00C26ACF"/>
    <w:rsid w:val="00C26AE2"/>
    <w:rsid w:val="00C26AEC"/>
    <w:rsid w:val="00C26B1A"/>
    <w:rsid w:val="00C26B2B"/>
    <w:rsid w:val="00C26B75"/>
    <w:rsid w:val="00C26BAB"/>
    <w:rsid w:val="00C26BD7"/>
    <w:rsid w:val="00C26BE7"/>
    <w:rsid w:val="00C26C7D"/>
    <w:rsid w:val="00C26CCC"/>
    <w:rsid w:val="00C26D2C"/>
    <w:rsid w:val="00C26D30"/>
    <w:rsid w:val="00C26D41"/>
    <w:rsid w:val="00C26D47"/>
    <w:rsid w:val="00C26DF3"/>
    <w:rsid w:val="00C26E5B"/>
    <w:rsid w:val="00C26F16"/>
    <w:rsid w:val="00C26F1C"/>
    <w:rsid w:val="00C26F71"/>
    <w:rsid w:val="00C26F7F"/>
    <w:rsid w:val="00C27050"/>
    <w:rsid w:val="00C2705B"/>
    <w:rsid w:val="00C27061"/>
    <w:rsid w:val="00C2707D"/>
    <w:rsid w:val="00C270D4"/>
    <w:rsid w:val="00C270EF"/>
    <w:rsid w:val="00C27145"/>
    <w:rsid w:val="00C2714A"/>
    <w:rsid w:val="00C271AE"/>
    <w:rsid w:val="00C271AF"/>
    <w:rsid w:val="00C271D0"/>
    <w:rsid w:val="00C271F4"/>
    <w:rsid w:val="00C27209"/>
    <w:rsid w:val="00C2729C"/>
    <w:rsid w:val="00C272AE"/>
    <w:rsid w:val="00C272BF"/>
    <w:rsid w:val="00C2732B"/>
    <w:rsid w:val="00C27364"/>
    <w:rsid w:val="00C2736C"/>
    <w:rsid w:val="00C273C5"/>
    <w:rsid w:val="00C273C7"/>
    <w:rsid w:val="00C273D1"/>
    <w:rsid w:val="00C2740D"/>
    <w:rsid w:val="00C2741B"/>
    <w:rsid w:val="00C27455"/>
    <w:rsid w:val="00C27464"/>
    <w:rsid w:val="00C27503"/>
    <w:rsid w:val="00C27556"/>
    <w:rsid w:val="00C27567"/>
    <w:rsid w:val="00C27569"/>
    <w:rsid w:val="00C275DD"/>
    <w:rsid w:val="00C27652"/>
    <w:rsid w:val="00C276C0"/>
    <w:rsid w:val="00C27718"/>
    <w:rsid w:val="00C27751"/>
    <w:rsid w:val="00C27763"/>
    <w:rsid w:val="00C27770"/>
    <w:rsid w:val="00C2777D"/>
    <w:rsid w:val="00C27794"/>
    <w:rsid w:val="00C277C2"/>
    <w:rsid w:val="00C277CB"/>
    <w:rsid w:val="00C277F6"/>
    <w:rsid w:val="00C27818"/>
    <w:rsid w:val="00C27866"/>
    <w:rsid w:val="00C278CF"/>
    <w:rsid w:val="00C2794A"/>
    <w:rsid w:val="00C279A5"/>
    <w:rsid w:val="00C279AF"/>
    <w:rsid w:val="00C279C3"/>
    <w:rsid w:val="00C27A75"/>
    <w:rsid w:val="00C27A7C"/>
    <w:rsid w:val="00C27A8F"/>
    <w:rsid w:val="00C27AB0"/>
    <w:rsid w:val="00C27ADD"/>
    <w:rsid w:val="00C27BF2"/>
    <w:rsid w:val="00C27C30"/>
    <w:rsid w:val="00C27C39"/>
    <w:rsid w:val="00C27C61"/>
    <w:rsid w:val="00C27C77"/>
    <w:rsid w:val="00C27D42"/>
    <w:rsid w:val="00C27D82"/>
    <w:rsid w:val="00C27DB0"/>
    <w:rsid w:val="00C27DC5"/>
    <w:rsid w:val="00C27DD2"/>
    <w:rsid w:val="00C27DDD"/>
    <w:rsid w:val="00C27E1E"/>
    <w:rsid w:val="00C27E33"/>
    <w:rsid w:val="00C27E41"/>
    <w:rsid w:val="00C27E84"/>
    <w:rsid w:val="00C27E94"/>
    <w:rsid w:val="00C27E9D"/>
    <w:rsid w:val="00C27ECE"/>
    <w:rsid w:val="00C27EE7"/>
    <w:rsid w:val="00C27F52"/>
    <w:rsid w:val="00C27FC3"/>
    <w:rsid w:val="00C30018"/>
    <w:rsid w:val="00C30034"/>
    <w:rsid w:val="00C30054"/>
    <w:rsid w:val="00C3007A"/>
    <w:rsid w:val="00C300B0"/>
    <w:rsid w:val="00C300F6"/>
    <w:rsid w:val="00C30120"/>
    <w:rsid w:val="00C3012B"/>
    <w:rsid w:val="00C3014E"/>
    <w:rsid w:val="00C3016F"/>
    <w:rsid w:val="00C301AF"/>
    <w:rsid w:val="00C301C6"/>
    <w:rsid w:val="00C30201"/>
    <w:rsid w:val="00C3027F"/>
    <w:rsid w:val="00C30282"/>
    <w:rsid w:val="00C302AA"/>
    <w:rsid w:val="00C302D7"/>
    <w:rsid w:val="00C302EA"/>
    <w:rsid w:val="00C30312"/>
    <w:rsid w:val="00C30426"/>
    <w:rsid w:val="00C30442"/>
    <w:rsid w:val="00C3045C"/>
    <w:rsid w:val="00C3049B"/>
    <w:rsid w:val="00C304AA"/>
    <w:rsid w:val="00C304EE"/>
    <w:rsid w:val="00C30556"/>
    <w:rsid w:val="00C3055B"/>
    <w:rsid w:val="00C30589"/>
    <w:rsid w:val="00C305EA"/>
    <w:rsid w:val="00C30600"/>
    <w:rsid w:val="00C3064F"/>
    <w:rsid w:val="00C3068A"/>
    <w:rsid w:val="00C306AC"/>
    <w:rsid w:val="00C306EE"/>
    <w:rsid w:val="00C306F9"/>
    <w:rsid w:val="00C30748"/>
    <w:rsid w:val="00C30755"/>
    <w:rsid w:val="00C30779"/>
    <w:rsid w:val="00C30797"/>
    <w:rsid w:val="00C30832"/>
    <w:rsid w:val="00C3084F"/>
    <w:rsid w:val="00C30858"/>
    <w:rsid w:val="00C3086A"/>
    <w:rsid w:val="00C30888"/>
    <w:rsid w:val="00C308B2"/>
    <w:rsid w:val="00C30977"/>
    <w:rsid w:val="00C30996"/>
    <w:rsid w:val="00C3099F"/>
    <w:rsid w:val="00C309E8"/>
    <w:rsid w:val="00C30A72"/>
    <w:rsid w:val="00C30A94"/>
    <w:rsid w:val="00C30B22"/>
    <w:rsid w:val="00C30C08"/>
    <w:rsid w:val="00C30C0E"/>
    <w:rsid w:val="00C30C87"/>
    <w:rsid w:val="00C30C9A"/>
    <w:rsid w:val="00C30CD9"/>
    <w:rsid w:val="00C30D1F"/>
    <w:rsid w:val="00C30DD7"/>
    <w:rsid w:val="00C30E0B"/>
    <w:rsid w:val="00C30E47"/>
    <w:rsid w:val="00C30E4B"/>
    <w:rsid w:val="00C30E65"/>
    <w:rsid w:val="00C30E80"/>
    <w:rsid w:val="00C30F45"/>
    <w:rsid w:val="00C30FBF"/>
    <w:rsid w:val="00C30FDE"/>
    <w:rsid w:val="00C31017"/>
    <w:rsid w:val="00C3103E"/>
    <w:rsid w:val="00C3103F"/>
    <w:rsid w:val="00C31062"/>
    <w:rsid w:val="00C3106B"/>
    <w:rsid w:val="00C3112C"/>
    <w:rsid w:val="00C31155"/>
    <w:rsid w:val="00C31183"/>
    <w:rsid w:val="00C31186"/>
    <w:rsid w:val="00C31230"/>
    <w:rsid w:val="00C31267"/>
    <w:rsid w:val="00C31282"/>
    <w:rsid w:val="00C312A4"/>
    <w:rsid w:val="00C31341"/>
    <w:rsid w:val="00C31351"/>
    <w:rsid w:val="00C31352"/>
    <w:rsid w:val="00C3138C"/>
    <w:rsid w:val="00C3139C"/>
    <w:rsid w:val="00C3139D"/>
    <w:rsid w:val="00C313E2"/>
    <w:rsid w:val="00C3143A"/>
    <w:rsid w:val="00C3143B"/>
    <w:rsid w:val="00C31474"/>
    <w:rsid w:val="00C3149C"/>
    <w:rsid w:val="00C31522"/>
    <w:rsid w:val="00C31524"/>
    <w:rsid w:val="00C3152C"/>
    <w:rsid w:val="00C31536"/>
    <w:rsid w:val="00C31584"/>
    <w:rsid w:val="00C31640"/>
    <w:rsid w:val="00C31666"/>
    <w:rsid w:val="00C3168E"/>
    <w:rsid w:val="00C31694"/>
    <w:rsid w:val="00C31737"/>
    <w:rsid w:val="00C31738"/>
    <w:rsid w:val="00C31793"/>
    <w:rsid w:val="00C31883"/>
    <w:rsid w:val="00C318AC"/>
    <w:rsid w:val="00C318BF"/>
    <w:rsid w:val="00C318C1"/>
    <w:rsid w:val="00C31951"/>
    <w:rsid w:val="00C31994"/>
    <w:rsid w:val="00C319C6"/>
    <w:rsid w:val="00C319D9"/>
    <w:rsid w:val="00C319DF"/>
    <w:rsid w:val="00C31A01"/>
    <w:rsid w:val="00C31A0B"/>
    <w:rsid w:val="00C31A73"/>
    <w:rsid w:val="00C31AC4"/>
    <w:rsid w:val="00C31ACA"/>
    <w:rsid w:val="00C31ADD"/>
    <w:rsid w:val="00C31AE3"/>
    <w:rsid w:val="00C31BDE"/>
    <w:rsid w:val="00C31C03"/>
    <w:rsid w:val="00C31C33"/>
    <w:rsid w:val="00C31C40"/>
    <w:rsid w:val="00C31C6D"/>
    <w:rsid w:val="00C31CDB"/>
    <w:rsid w:val="00C31CE8"/>
    <w:rsid w:val="00C31D06"/>
    <w:rsid w:val="00C31D31"/>
    <w:rsid w:val="00C31D71"/>
    <w:rsid w:val="00C31DA4"/>
    <w:rsid w:val="00C31E25"/>
    <w:rsid w:val="00C31E40"/>
    <w:rsid w:val="00C31EB4"/>
    <w:rsid w:val="00C31EB7"/>
    <w:rsid w:val="00C31EDE"/>
    <w:rsid w:val="00C31F07"/>
    <w:rsid w:val="00C31F21"/>
    <w:rsid w:val="00C31F31"/>
    <w:rsid w:val="00C31FF4"/>
    <w:rsid w:val="00C3201D"/>
    <w:rsid w:val="00C3203D"/>
    <w:rsid w:val="00C3207D"/>
    <w:rsid w:val="00C32089"/>
    <w:rsid w:val="00C3209E"/>
    <w:rsid w:val="00C320C7"/>
    <w:rsid w:val="00C320CB"/>
    <w:rsid w:val="00C32127"/>
    <w:rsid w:val="00C32153"/>
    <w:rsid w:val="00C32154"/>
    <w:rsid w:val="00C3219B"/>
    <w:rsid w:val="00C321B3"/>
    <w:rsid w:val="00C32205"/>
    <w:rsid w:val="00C3222C"/>
    <w:rsid w:val="00C3226B"/>
    <w:rsid w:val="00C32288"/>
    <w:rsid w:val="00C3229E"/>
    <w:rsid w:val="00C322AA"/>
    <w:rsid w:val="00C322F8"/>
    <w:rsid w:val="00C3232D"/>
    <w:rsid w:val="00C32340"/>
    <w:rsid w:val="00C32352"/>
    <w:rsid w:val="00C3236E"/>
    <w:rsid w:val="00C32377"/>
    <w:rsid w:val="00C32381"/>
    <w:rsid w:val="00C32388"/>
    <w:rsid w:val="00C323A4"/>
    <w:rsid w:val="00C323CC"/>
    <w:rsid w:val="00C323D5"/>
    <w:rsid w:val="00C3240C"/>
    <w:rsid w:val="00C32423"/>
    <w:rsid w:val="00C32429"/>
    <w:rsid w:val="00C3242C"/>
    <w:rsid w:val="00C324AF"/>
    <w:rsid w:val="00C324B2"/>
    <w:rsid w:val="00C324B7"/>
    <w:rsid w:val="00C324C5"/>
    <w:rsid w:val="00C324E5"/>
    <w:rsid w:val="00C32524"/>
    <w:rsid w:val="00C32534"/>
    <w:rsid w:val="00C32559"/>
    <w:rsid w:val="00C3255B"/>
    <w:rsid w:val="00C3257C"/>
    <w:rsid w:val="00C325A2"/>
    <w:rsid w:val="00C325FC"/>
    <w:rsid w:val="00C3260F"/>
    <w:rsid w:val="00C3266B"/>
    <w:rsid w:val="00C326A8"/>
    <w:rsid w:val="00C326BD"/>
    <w:rsid w:val="00C32819"/>
    <w:rsid w:val="00C32826"/>
    <w:rsid w:val="00C32863"/>
    <w:rsid w:val="00C3286C"/>
    <w:rsid w:val="00C3288F"/>
    <w:rsid w:val="00C328D4"/>
    <w:rsid w:val="00C32903"/>
    <w:rsid w:val="00C32926"/>
    <w:rsid w:val="00C32937"/>
    <w:rsid w:val="00C32962"/>
    <w:rsid w:val="00C3297F"/>
    <w:rsid w:val="00C329BD"/>
    <w:rsid w:val="00C329F1"/>
    <w:rsid w:val="00C32A00"/>
    <w:rsid w:val="00C32A2C"/>
    <w:rsid w:val="00C32A39"/>
    <w:rsid w:val="00C32A3D"/>
    <w:rsid w:val="00C32A47"/>
    <w:rsid w:val="00C32A6B"/>
    <w:rsid w:val="00C32A87"/>
    <w:rsid w:val="00C32AD3"/>
    <w:rsid w:val="00C32B14"/>
    <w:rsid w:val="00C32B60"/>
    <w:rsid w:val="00C32B68"/>
    <w:rsid w:val="00C32B73"/>
    <w:rsid w:val="00C32BAC"/>
    <w:rsid w:val="00C32BEA"/>
    <w:rsid w:val="00C32C5E"/>
    <w:rsid w:val="00C32C69"/>
    <w:rsid w:val="00C32CB9"/>
    <w:rsid w:val="00C32D2A"/>
    <w:rsid w:val="00C32DC6"/>
    <w:rsid w:val="00C32DD3"/>
    <w:rsid w:val="00C32DE9"/>
    <w:rsid w:val="00C32E3B"/>
    <w:rsid w:val="00C32E7D"/>
    <w:rsid w:val="00C32F0F"/>
    <w:rsid w:val="00C3301E"/>
    <w:rsid w:val="00C33029"/>
    <w:rsid w:val="00C33083"/>
    <w:rsid w:val="00C330C3"/>
    <w:rsid w:val="00C330CC"/>
    <w:rsid w:val="00C330CF"/>
    <w:rsid w:val="00C3310B"/>
    <w:rsid w:val="00C3310D"/>
    <w:rsid w:val="00C33138"/>
    <w:rsid w:val="00C33183"/>
    <w:rsid w:val="00C331E0"/>
    <w:rsid w:val="00C33267"/>
    <w:rsid w:val="00C33284"/>
    <w:rsid w:val="00C332BF"/>
    <w:rsid w:val="00C33306"/>
    <w:rsid w:val="00C3331A"/>
    <w:rsid w:val="00C33342"/>
    <w:rsid w:val="00C33346"/>
    <w:rsid w:val="00C33349"/>
    <w:rsid w:val="00C334DE"/>
    <w:rsid w:val="00C334EE"/>
    <w:rsid w:val="00C33525"/>
    <w:rsid w:val="00C33559"/>
    <w:rsid w:val="00C3355E"/>
    <w:rsid w:val="00C3360F"/>
    <w:rsid w:val="00C33622"/>
    <w:rsid w:val="00C33643"/>
    <w:rsid w:val="00C336A3"/>
    <w:rsid w:val="00C336B2"/>
    <w:rsid w:val="00C336D3"/>
    <w:rsid w:val="00C336DE"/>
    <w:rsid w:val="00C33702"/>
    <w:rsid w:val="00C33896"/>
    <w:rsid w:val="00C338B3"/>
    <w:rsid w:val="00C338B7"/>
    <w:rsid w:val="00C3391A"/>
    <w:rsid w:val="00C33932"/>
    <w:rsid w:val="00C33943"/>
    <w:rsid w:val="00C33954"/>
    <w:rsid w:val="00C33957"/>
    <w:rsid w:val="00C33985"/>
    <w:rsid w:val="00C339B0"/>
    <w:rsid w:val="00C339D8"/>
    <w:rsid w:val="00C33A0D"/>
    <w:rsid w:val="00C33A29"/>
    <w:rsid w:val="00C33A5B"/>
    <w:rsid w:val="00C33A63"/>
    <w:rsid w:val="00C33A75"/>
    <w:rsid w:val="00C33AF1"/>
    <w:rsid w:val="00C33B2A"/>
    <w:rsid w:val="00C33B38"/>
    <w:rsid w:val="00C33B7A"/>
    <w:rsid w:val="00C33B92"/>
    <w:rsid w:val="00C33BE6"/>
    <w:rsid w:val="00C33C02"/>
    <w:rsid w:val="00C33C08"/>
    <w:rsid w:val="00C33C24"/>
    <w:rsid w:val="00C33C98"/>
    <w:rsid w:val="00C33D47"/>
    <w:rsid w:val="00C33DA7"/>
    <w:rsid w:val="00C33E90"/>
    <w:rsid w:val="00C33EA1"/>
    <w:rsid w:val="00C33F3C"/>
    <w:rsid w:val="00C33FAF"/>
    <w:rsid w:val="00C33FB3"/>
    <w:rsid w:val="00C34013"/>
    <w:rsid w:val="00C34016"/>
    <w:rsid w:val="00C340B6"/>
    <w:rsid w:val="00C340D9"/>
    <w:rsid w:val="00C340DD"/>
    <w:rsid w:val="00C3416B"/>
    <w:rsid w:val="00C341A9"/>
    <w:rsid w:val="00C341D1"/>
    <w:rsid w:val="00C34240"/>
    <w:rsid w:val="00C34243"/>
    <w:rsid w:val="00C34272"/>
    <w:rsid w:val="00C34286"/>
    <w:rsid w:val="00C3432C"/>
    <w:rsid w:val="00C34380"/>
    <w:rsid w:val="00C34394"/>
    <w:rsid w:val="00C3439E"/>
    <w:rsid w:val="00C343B4"/>
    <w:rsid w:val="00C3440C"/>
    <w:rsid w:val="00C3440D"/>
    <w:rsid w:val="00C34422"/>
    <w:rsid w:val="00C3442F"/>
    <w:rsid w:val="00C34454"/>
    <w:rsid w:val="00C3446C"/>
    <w:rsid w:val="00C3447C"/>
    <w:rsid w:val="00C344E2"/>
    <w:rsid w:val="00C34586"/>
    <w:rsid w:val="00C3459C"/>
    <w:rsid w:val="00C345B6"/>
    <w:rsid w:val="00C345D2"/>
    <w:rsid w:val="00C345D8"/>
    <w:rsid w:val="00C34601"/>
    <w:rsid w:val="00C34618"/>
    <w:rsid w:val="00C346F7"/>
    <w:rsid w:val="00C34737"/>
    <w:rsid w:val="00C347B0"/>
    <w:rsid w:val="00C347C8"/>
    <w:rsid w:val="00C34812"/>
    <w:rsid w:val="00C348B4"/>
    <w:rsid w:val="00C348EE"/>
    <w:rsid w:val="00C34900"/>
    <w:rsid w:val="00C3490A"/>
    <w:rsid w:val="00C34958"/>
    <w:rsid w:val="00C34986"/>
    <w:rsid w:val="00C3498A"/>
    <w:rsid w:val="00C3499A"/>
    <w:rsid w:val="00C34A5B"/>
    <w:rsid w:val="00C34A6F"/>
    <w:rsid w:val="00C34A9D"/>
    <w:rsid w:val="00C34AAF"/>
    <w:rsid w:val="00C34B14"/>
    <w:rsid w:val="00C34B2A"/>
    <w:rsid w:val="00C34B6B"/>
    <w:rsid w:val="00C34B74"/>
    <w:rsid w:val="00C34BC1"/>
    <w:rsid w:val="00C34BE4"/>
    <w:rsid w:val="00C34BEF"/>
    <w:rsid w:val="00C34C11"/>
    <w:rsid w:val="00C34C34"/>
    <w:rsid w:val="00C34C40"/>
    <w:rsid w:val="00C34CE4"/>
    <w:rsid w:val="00C34D20"/>
    <w:rsid w:val="00C34D29"/>
    <w:rsid w:val="00C34DBA"/>
    <w:rsid w:val="00C34DDB"/>
    <w:rsid w:val="00C34F33"/>
    <w:rsid w:val="00C34F99"/>
    <w:rsid w:val="00C34FC5"/>
    <w:rsid w:val="00C35026"/>
    <w:rsid w:val="00C35078"/>
    <w:rsid w:val="00C350A2"/>
    <w:rsid w:val="00C350AF"/>
    <w:rsid w:val="00C350D0"/>
    <w:rsid w:val="00C350D6"/>
    <w:rsid w:val="00C35107"/>
    <w:rsid w:val="00C351DA"/>
    <w:rsid w:val="00C351F3"/>
    <w:rsid w:val="00C35226"/>
    <w:rsid w:val="00C35239"/>
    <w:rsid w:val="00C35246"/>
    <w:rsid w:val="00C35265"/>
    <w:rsid w:val="00C352B0"/>
    <w:rsid w:val="00C352D7"/>
    <w:rsid w:val="00C35304"/>
    <w:rsid w:val="00C35308"/>
    <w:rsid w:val="00C3537A"/>
    <w:rsid w:val="00C353C3"/>
    <w:rsid w:val="00C353E5"/>
    <w:rsid w:val="00C35408"/>
    <w:rsid w:val="00C35474"/>
    <w:rsid w:val="00C35475"/>
    <w:rsid w:val="00C3547E"/>
    <w:rsid w:val="00C3547F"/>
    <w:rsid w:val="00C354BC"/>
    <w:rsid w:val="00C354EE"/>
    <w:rsid w:val="00C354EF"/>
    <w:rsid w:val="00C3550D"/>
    <w:rsid w:val="00C3551F"/>
    <w:rsid w:val="00C3553A"/>
    <w:rsid w:val="00C3553B"/>
    <w:rsid w:val="00C35557"/>
    <w:rsid w:val="00C35584"/>
    <w:rsid w:val="00C3558A"/>
    <w:rsid w:val="00C355D4"/>
    <w:rsid w:val="00C3560E"/>
    <w:rsid w:val="00C35686"/>
    <w:rsid w:val="00C356B5"/>
    <w:rsid w:val="00C3579F"/>
    <w:rsid w:val="00C357C1"/>
    <w:rsid w:val="00C3581D"/>
    <w:rsid w:val="00C3585E"/>
    <w:rsid w:val="00C35860"/>
    <w:rsid w:val="00C35861"/>
    <w:rsid w:val="00C358D4"/>
    <w:rsid w:val="00C35900"/>
    <w:rsid w:val="00C35971"/>
    <w:rsid w:val="00C3599C"/>
    <w:rsid w:val="00C359AB"/>
    <w:rsid w:val="00C359B9"/>
    <w:rsid w:val="00C359DC"/>
    <w:rsid w:val="00C359E0"/>
    <w:rsid w:val="00C359F5"/>
    <w:rsid w:val="00C35A26"/>
    <w:rsid w:val="00C35A41"/>
    <w:rsid w:val="00C35A56"/>
    <w:rsid w:val="00C35AFF"/>
    <w:rsid w:val="00C35B14"/>
    <w:rsid w:val="00C35B42"/>
    <w:rsid w:val="00C35B45"/>
    <w:rsid w:val="00C35B9E"/>
    <w:rsid w:val="00C35C19"/>
    <w:rsid w:val="00C35C2D"/>
    <w:rsid w:val="00C35C77"/>
    <w:rsid w:val="00C35C87"/>
    <w:rsid w:val="00C35C97"/>
    <w:rsid w:val="00C35CCA"/>
    <w:rsid w:val="00C35CDB"/>
    <w:rsid w:val="00C35CE5"/>
    <w:rsid w:val="00C35D38"/>
    <w:rsid w:val="00C35D65"/>
    <w:rsid w:val="00C35D67"/>
    <w:rsid w:val="00C35DCC"/>
    <w:rsid w:val="00C35DDB"/>
    <w:rsid w:val="00C35E2A"/>
    <w:rsid w:val="00C35E49"/>
    <w:rsid w:val="00C35E5E"/>
    <w:rsid w:val="00C35E7C"/>
    <w:rsid w:val="00C35E81"/>
    <w:rsid w:val="00C35F12"/>
    <w:rsid w:val="00C35F4D"/>
    <w:rsid w:val="00C35F80"/>
    <w:rsid w:val="00C35F9B"/>
    <w:rsid w:val="00C35FCD"/>
    <w:rsid w:val="00C36035"/>
    <w:rsid w:val="00C36036"/>
    <w:rsid w:val="00C36051"/>
    <w:rsid w:val="00C36071"/>
    <w:rsid w:val="00C36089"/>
    <w:rsid w:val="00C360CE"/>
    <w:rsid w:val="00C3616C"/>
    <w:rsid w:val="00C3619A"/>
    <w:rsid w:val="00C361C4"/>
    <w:rsid w:val="00C361D9"/>
    <w:rsid w:val="00C36248"/>
    <w:rsid w:val="00C3626A"/>
    <w:rsid w:val="00C36277"/>
    <w:rsid w:val="00C3628C"/>
    <w:rsid w:val="00C362B5"/>
    <w:rsid w:val="00C3634F"/>
    <w:rsid w:val="00C36351"/>
    <w:rsid w:val="00C363AA"/>
    <w:rsid w:val="00C363CB"/>
    <w:rsid w:val="00C3640B"/>
    <w:rsid w:val="00C36416"/>
    <w:rsid w:val="00C3647F"/>
    <w:rsid w:val="00C36487"/>
    <w:rsid w:val="00C3648A"/>
    <w:rsid w:val="00C3648D"/>
    <w:rsid w:val="00C3657D"/>
    <w:rsid w:val="00C365AF"/>
    <w:rsid w:val="00C365B6"/>
    <w:rsid w:val="00C3663A"/>
    <w:rsid w:val="00C36697"/>
    <w:rsid w:val="00C3672B"/>
    <w:rsid w:val="00C36748"/>
    <w:rsid w:val="00C3674F"/>
    <w:rsid w:val="00C36797"/>
    <w:rsid w:val="00C367B9"/>
    <w:rsid w:val="00C367E0"/>
    <w:rsid w:val="00C367EA"/>
    <w:rsid w:val="00C368AF"/>
    <w:rsid w:val="00C368CA"/>
    <w:rsid w:val="00C3691E"/>
    <w:rsid w:val="00C36979"/>
    <w:rsid w:val="00C36987"/>
    <w:rsid w:val="00C369A8"/>
    <w:rsid w:val="00C369C5"/>
    <w:rsid w:val="00C369D4"/>
    <w:rsid w:val="00C36A6E"/>
    <w:rsid w:val="00C36AA9"/>
    <w:rsid w:val="00C36AC4"/>
    <w:rsid w:val="00C36AF0"/>
    <w:rsid w:val="00C36B26"/>
    <w:rsid w:val="00C36B2D"/>
    <w:rsid w:val="00C36B73"/>
    <w:rsid w:val="00C36B86"/>
    <w:rsid w:val="00C36C06"/>
    <w:rsid w:val="00C36CAD"/>
    <w:rsid w:val="00C36CCB"/>
    <w:rsid w:val="00C36D05"/>
    <w:rsid w:val="00C36D94"/>
    <w:rsid w:val="00C36DAC"/>
    <w:rsid w:val="00C36E2D"/>
    <w:rsid w:val="00C36E42"/>
    <w:rsid w:val="00C36E64"/>
    <w:rsid w:val="00C36ECE"/>
    <w:rsid w:val="00C36EDB"/>
    <w:rsid w:val="00C36F17"/>
    <w:rsid w:val="00C36F26"/>
    <w:rsid w:val="00C36F34"/>
    <w:rsid w:val="00C36FB3"/>
    <w:rsid w:val="00C36FC6"/>
    <w:rsid w:val="00C36FD8"/>
    <w:rsid w:val="00C37038"/>
    <w:rsid w:val="00C37092"/>
    <w:rsid w:val="00C370AF"/>
    <w:rsid w:val="00C370C8"/>
    <w:rsid w:val="00C370DB"/>
    <w:rsid w:val="00C3719C"/>
    <w:rsid w:val="00C371D3"/>
    <w:rsid w:val="00C37288"/>
    <w:rsid w:val="00C3728A"/>
    <w:rsid w:val="00C372D6"/>
    <w:rsid w:val="00C372F6"/>
    <w:rsid w:val="00C37322"/>
    <w:rsid w:val="00C37353"/>
    <w:rsid w:val="00C3736A"/>
    <w:rsid w:val="00C37379"/>
    <w:rsid w:val="00C373B8"/>
    <w:rsid w:val="00C373C6"/>
    <w:rsid w:val="00C373E7"/>
    <w:rsid w:val="00C37412"/>
    <w:rsid w:val="00C3741D"/>
    <w:rsid w:val="00C37425"/>
    <w:rsid w:val="00C3742B"/>
    <w:rsid w:val="00C37433"/>
    <w:rsid w:val="00C3745F"/>
    <w:rsid w:val="00C374AA"/>
    <w:rsid w:val="00C374BC"/>
    <w:rsid w:val="00C37530"/>
    <w:rsid w:val="00C3753A"/>
    <w:rsid w:val="00C37553"/>
    <w:rsid w:val="00C375A7"/>
    <w:rsid w:val="00C375DB"/>
    <w:rsid w:val="00C375E2"/>
    <w:rsid w:val="00C375EC"/>
    <w:rsid w:val="00C3764B"/>
    <w:rsid w:val="00C376D6"/>
    <w:rsid w:val="00C376DF"/>
    <w:rsid w:val="00C37785"/>
    <w:rsid w:val="00C3778E"/>
    <w:rsid w:val="00C377A2"/>
    <w:rsid w:val="00C37805"/>
    <w:rsid w:val="00C37831"/>
    <w:rsid w:val="00C37841"/>
    <w:rsid w:val="00C378B6"/>
    <w:rsid w:val="00C378DD"/>
    <w:rsid w:val="00C37904"/>
    <w:rsid w:val="00C3792B"/>
    <w:rsid w:val="00C3797F"/>
    <w:rsid w:val="00C379AF"/>
    <w:rsid w:val="00C379B9"/>
    <w:rsid w:val="00C379D9"/>
    <w:rsid w:val="00C37A4A"/>
    <w:rsid w:val="00C37A5F"/>
    <w:rsid w:val="00C37AB2"/>
    <w:rsid w:val="00C37AB7"/>
    <w:rsid w:val="00C37AC8"/>
    <w:rsid w:val="00C37B19"/>
    <w:rsid w:val="00C37BA0"/>
    <w:rsid w:val="00C37C7F"/>
    <w:rsid w:val="00C37D0B"/>
    <w:rsid w:val="00C37D20"/>
    <w:rsid w:val="00C37D8F"/>
    <w:rsid w:val="00C37DAF"/>
    <w:rsid w:val="00C37DD8"/>
    <w:rsid w:val="00C37DF7"/>
    <w:rsid w:val="00C37E31"/>
    <w:rsid w:val="00C37E93"/>
    <w:rsid w:val="00C37F25"/>
    <w:rsid w:val="00C37F8B"/>
    <w:rsid w:val="00C37F9A"/>
    <w:rsid w:val="00C37FB2"/>
    <w:rsid w:val="00C37FB6"/>
    <w:rsid w:val="00C37FDF"/>
    <w:rsid w:val="00C40005"/>
    <w:rsid w:val="00C40038"/>
    <w:rsid w:val="00C40060"/>
    <w:rsid w:val="00C40062"/>
    <w:rsid w:val="00C400CA"/>
    <w:rsid w:val="00C400CB"/>
    <w:rsid w:val="00C400E2"/>
    <w:rsid w:val="00C400E3"/>
    <w:rsid w:val="00C400EF"/>
    <w:rsid w:val="00C40114"/>
    <w:rsid w:val="00C4012A"/>
    <w:rsid w:val="00C4012B"/>
    <w:rsid w:val="00C4015D"/>
    <w:rsid w:val="00C4018E"/>
    <w:rsid w:val="00C401D7"/>
    <w:rsid w:val="00C401DD"/>
    <w:rsid w:val="00C40208"/>
    <w:rsid w:val="00C40237"/>
    <w:rsid w:val="00C4025D"/>
    <w:rsid w:val="00C4026B"/>
    <w:rsid w:val="00C40323"/>
    <w:rsid w:val="00C40361"/>
    <w:rsid w:val="00C40375"/>
    <w:rsid w:val="00C403C6"/>
    <w:rsid w:val="00C403E2"/>
    <w:rsid w:val="00C403F1"/>
    <w:rsid w:val="00C40401"/>
    <w:rsid w:val="00C4040A"/>
    <w:rsid w:val="00C40473"/>
    <w:rsid w:val="00C40483"/>
    <w:rsid w:val="00C404B2"/>
    <w:rsid w:val="00C404DB"/>
    <w:rsid w:val="00C404E8"/>
    <w:rsid w:val="00C40514"/>
    <w:rsid w:val="00C40528"/>
    <w:rsid w:val="00C40567"/>
    <w:rsid w:val="00C40592"/>
    <w:rsid w:val="00C4059C"/>
    <w:rsid w:val="00C405A6"/>
    <w:rsid w:val="00C40600"/>
    <w:rsid w:val="00C40616"/>
    <w:rsid w:val="00C4061F"/>
    <w:rsid w:val="00C4065D"/>
    <w:rsid w:val="00C40664"/>
    <w:rsid w:val="00C40699"/>
    <w:rsid w:val="00C406F0"/>
    <w:rsid w:val="00C406F3"/>
    <w:rsid w:val="00C4071B"/>
    <w:rsid w:val="00C40746"/>
    <w:rsid w:val="00C40776"/>
    <w:rsid w:val="00C407AC"/>
    <w:rsid w:val="00C4085A"/>
    <w:rsid w:val="00C40891"/>
    <w:rsid w:val="00C40899"/>
    <w:rsid w:val="00C408AE"/>
    <w:rsid w:val="00C40929"/>
    <w:rsid w:val="00C409C2"/>
    <w:rsid w:val="00C40A68"/>
    <w:rsid w:val="00C40A80"/>
    <w:rsid w:val="00C40B2C"/>
    <w:rsid w:val="00C40B9A"/>
    <w:rsid w:val="00C40BA8"/>
    <w:rsid w:val="00C40C1E"/>
    <w:rsid w:val="00C40C4F"/>
    <w:rsid w:val="00C40C73"/>
    <w:rsid w:val="00C40CAD"/>
    <w:rsid w:val="00C40CBA"/>
    <w:rsid w:val="00C40D47"/>
    <w:rsid w:val="00C40D83"/>
    <w:rsid w:val="00C40D9B"/>
    <w:rsid w:val="00C40DF6"/>
    <w:rsid w:val="00C40E3B"/>
    <w:rsid w:val="00C40E56"/>
    <w:rsid w:val="00C40E74"/>
    <w:rsid w:val="00C40E79"/>
    <w:rsid w:val="00C40E84"/>
    <w:rsid w:val="00C40E8F"/>
    <w:rsid w:val="00C40E92"/>
    <w:rsid w:val="00C40EC2"/>
    <w:rsid w:val="00C40EF6"/>
    <w:rsid w:val="00C40F1F"/>
    <w:rsid w:val="00C40F28"/>
    <w:rsid w:val="00C40F3C"/>
    <w:rsid w:val="00C40FDE"/>
    <w:rsid w:val="00C410FC"/>
    <w:rsid w:val="00C41145"/>
    <w:rsid w:val="00C41193"/>
    <w:rsid w:val="00C4119A"/>
    <w:rsid w:val="00C411D5"/>
    <w:rsid w:val="00C4123E"/>
    <w:rsid w:val="00C412BC"/>
    <w:rsid w:val="00C412C2"/>
    <w:rsid w:val="00C412CE"/>
    <w:rsid w:val="00C412F5"/>
    <w:rsid w:val="00C41307"/>
    <w:rsid w:val="00C413CD"/>
    <w:rsid w:val="00C41436"/>
    <w:rsid w:val="00C414F5"/>
    <w:rsid w:val="00C41513"/>
    <w:rsid w:val="00C41578"/>
    <w:rsid w:val="00C415AA"/>
    <w:rsid w:val="00C4160A"/>
    <w:rsid w:val="00C41617"/>
    <w:rsid w:val="00C4163D"/>
    <w:rsid w:val="00C41666"/>
    <w:rsid w:val="00C4169F"/>
    <w:rsid w:val="00C41707"/>
    <w:rsid w:val="00C417CA"/>
    <w:rsid w:val="00C41853"/>
    <w:rsid w:val="00C41863"/>
    <w:rsid w:val="00C4189F"/>
    <w:rsid w:val="00C41938"/>
    <w:rsid w:val="00C4196C"/>
    <w:rsid w:val="00C41985"/>
    <w:rsid w:val="00C41988"/>
    <w:rsid w:val="00C419BB"/>
    <w:rsid w:val="00C419BD"/>
    <w:rsid w:val="00C419D9"/>
    <w:rsid w:val="00C419E1"/>
    <w:rsid w:val="00C41B57"/>
    <w:rsid w:val="00C41B7C"/>
    <w:rsid w:val="00C41B97"/>
    <w:rsid w:val="00C41BB9"/>
    <w:rsid w:val="00C41C04"/>
    <w:rsid w:val="00C41C05"/>
    <w:rsid w:val="00C41C41"/>
    <w:rsid w:val="00C41C53"/>
    <w:rsid w:val="00C41CC4"/>
    <w:rsid w:val="00C41D0E"/>
    <w:rsid w:val="00C41D25"/>
    <w:rsid w:val="00C41D31"/>
    <w:rsid w:val="00C41D4A"/>
    <w:rsid w:val="00C41D6C"/>
    <w:rsid w:val="00C41D6F"/>
    <w:rsid w:val="00C41DE2"/>
    <w:rsid w:val="00C41E60"/>
    <w:rsid w:val="00C41EA3"/>
    <w:rsid w:val="00C41EAC"/>
    <w:rsid w:val="00C41F11"/>
    <w:rsid w:val="00C41FF9"/>
    <w:rsid w:val="00C42052"/>
    <w:rsid w:val="00C420D8"/>
    <w:rsid w:val="00C42127"/>
    <w:rsid w:val="00C42142"/>
    <w:rsid w:val="00C4214F"/>
    <w:rsid w:val="00C42173"/>
    <w:rsid w:val="00C42194"/>
    <w:rsid w:val="00C421C5"/>
    <w:rsid w:val="00C4225E"/>
    <w:rsid w:val="00C422A0"/>
    <w:rsid w:val="00C422DC"/>
    <w:rsid w:val="00C422E4"/>
    <w:rsid w:val="00C42359"/>
    <w:rsid w:val="00C4248F"/>
    <w:rsid w:val="00C424FC"/>
    <w:rsid w:val="00C4251E"/>
    <w:rsid w:val="00C4254C"/>
    <w:rsid w:val="00C42575"/>
    <w:rsid w:val="00C425FD"/>
    <w:rsid w:val="00C4261A"/>
    <w:rsid w:val="00C42628"/>
    <w:rsid w:val="00C4264E"/>
    <w:rsid w:val="00C42694"/>
    <w:rsid w:val="00C426B8"/>
    <w:rsid w:val="00C426FA"/>
    <w:rsid w:val="00C42702"/>
    <w:rsid w:val="00C42730"/>
    <w:rsid w:val="00C4278D"/>
    <w:rsid w:val="00C427AD"/>
    <w:rsid w:val="00C427BD"/>
    <w:rsid w:val="00C427F0"/>
    <w:rsid w:val="00C42879"/>
    <w:rsid w:val="00C42912"/>
    <w:rsid w:val="00C42913"/>
    <w:rsid w:val="00C4291F"/>
    <w:rsid w:val="00C42923"/>
    <w:rsid w:val="00C42985"/>
    <w:rsid w:val="00C429C8"/>
    <w:rsid w:val="00C42A03"/>
    <w:rsid w:val="00C42A8A"/>
    <w:rsid w:val="00C42ACF"/>
    <w:rsid w:val="00C42B92"/>
    <w:rsid w:val="00C42BAF"/>
    <w:rsid w:val="00C42C19"/>
    <w:rsid w:val="00C42C60"/>
    <w:rsid w:val="00C42D03"/>
    <w:rsid w:val="00C42D0B"/>
    <w:rsid w:val="00C42D8C"/>
    <w:rsid w:val="00C42D98"/>
    <w:rsid w:val="00C42DA7"/>
    <w:rsid w:val="00C42DC3"/>
    <w:rsid w:val="00C42E3A"/>
    <w:rsid w:val="00C42E46"/>
    <w:rsid w:val="00C42E52"/>
    <w:rsid w:val="00C42E58"/>
    <w:rsid w:val="00C42E77"/>
    <w:rsid w:val="00C42ED2"/>
    <w:rsid w:val="00C42EF4"/>
    <w:rsid w:val="00C42F07"/>
    <w:rsid w:val="00C42F18"/>
    <w:rsid w:val="00C42F32"/>
    <w:rsid w:val="00C42F9C"/>
    <w:rsid w:val="00C42FA3"/>
    <w:rsid w:val="00C42FD1"/>
    <w:rsid w:val="00C4300F"/>
    <w:rsid w:val="00C4303A"/>
    <w:rsid w:val="00C43055"/>
    <w:rsid w:val="00C43071"/>
    <w:rsid w:val="00C4309D"/>
    <w:rsid w:val="00C430D0"/>
    <w:rsid w:val="00C430F2"/>
    <w:rsid w:val="00C43112"/>
    <w:rsid w:val="00C4312F"/>
    <w:rsid w:val="00C43185"/>
    <w:rsid w:val="00C431B5"/>
    <w:rsid w:val="00C431D1"/>
    <w:rsid w:val="00C431E2"/>
    <w:rsid w:val="00C431F1"/>
    <w:rsid w:val="00C43228"/>
    <w:rsid w:val="00C43241"/>
    <w:rsid w:val="00C4331B"/>
    <w:rsid w:val="00C43399"/>
    <w:rsid w:val="00C43402"/>
    <w:rsid w:val="00C43413"/>
    <w:rsid w:val="00C43448"/>
    <w:rsid w:val="00C43454"/>
    <w:rsid w:val="00C4347E"/>
    <w:rsid w:val="00C43484"/>
    <w:rsid w:val="00C43492"/>
    <w:rsid w:val="00C434D8"/>
    <w:rsid w:val="00C434DE"/>
    <w:rsid w:val="00C434FA"/>
    <w:rsid w:val="00C43546"/>
    <w:rsid w:val="00C4356A"/>
    <w:rsid w:val="00C43572"/>
    <w:rsid w:val="00C43581"/>
    <w:rsid w:val="00C435AA"/>
    <w:rsid w:val="00C435B8"/>
    <w:rsid w:val="00C435E4"/>
    <w:rsid w:val="00C43646"/>
    <w:rsid w:val="00C43667"/>
    <w:rsid w:val="00C43699"/>
    <w:rsid w:val="00C43722"/>
    <w:rsid w:val="00C43753"/>
    <w:rsid w:val="00C4376F"/>
    <w:rsid w:val="00C437B9"/>
    <w:rsid w:val="00C437C2"/>
    <w:rsid w:val="00C437CF"/>
    <w:rsid w:val="00C43837"/>
    <w:rsid w:val="00C43872"/>
    <w:rsid w:val="00C4389B"/>
    <w:rsid w:val="00C438DD"/>
    <w:rsid w:val="00C438E0"/>
    <w:rsid w:val="00C43905"/>
    <w:rsid w:val="00C4392F"/>
    <w:rsid w:val="00C43954"/>
    <w:rsid w:val="00C4396A"/>
    <w:rsid w:val="00C43996"/>
    <w:rsid w:val="00C439A7"/>
    <w:rsid w:val="00C43A1C"/>
    <w:rsid w:val="00C43A2A"/>
    <w:rsid w:val="00C43A8F"/>
    <w:rsid w:val="00C43AAB"/>
    <w:rsid w:val="00C43AEB"/>
    <w:rsid w:val="00C43AFA"/>
    <w:rsid w:val="00C43AFD"/>
    <w:rsid w:val="00C43B82"/>
    <w:rsid w:val="00C43BB7"/>
    <w:rsid w:val="00C43C8C"/>
    <w:rsid w:val="00C43CC5"/>
    <w:rsid w:val="00C43CF1"/>
    <w:rsid w:val="00C43CF9"/>
    <w:rsid w:val="00C43D06"/>
    <w:rsid w:val="00C43D0E"/>
    <w:rsid w:val="00C43D54"/>
    <w:rsid w:val="00C43DBF"/>
    <w:rsid w:val="00C43E69"/>
    <w:rsid w:val="00C43F10"/>
    <w:rsid w:val="00C43F17"/>
    <w:rsid w:val="00C43F4F"/>
    <w:rsid w:val="00C43F95"/>
    <w:rsid w:val="00C43FE0"/>
    <w:rsid w:val="00C43FEA"/>
    <w:rsid w:val="00C43FEE"/>
    <w:rsid w:val="00C44009"/>
    <w:rsid w:val="00C4400C"/>
    <w:rsid w:val="00C44035"/>
    <w:rsid w:val="00C44047"/>
    <w:rsid w:val="00C44048"/>
    <w:rsid w:val="00C44064"/>
    <w:rsid w:val="00C44071"/>
    <w:rsid w:val="00C44088"/>
    <w:rsid w:val="00C4408B"/>
    <w:rsid w:val="00C440A8"/>
    <w:rsid w:val="00C44123"/>
    <w:rsid w:val="00C4414A"/>
    <w:rsid w:val="00C44152"/>
    <w:rsid w:val="00C44187"/>
    <w:rsid w:val="00C441AE"/>
    <w:rsid w:val="00C441D0"/>
    <w:rsid w:val="00C441E0"/>
    <w:rsid w:val="00C441ED"/>
    <w:rsid w:val="00C44223"/>
    <w:rsid w:val="00C4422D"/>
    <w:rsid w:val="00C4424C"/>
    <w:rsid w:val="00C4427B"/>
    <w:rsid w:val="00C4427E"/>
    <w:rsid w:val="00C4429D"/>
    <w:rsid w:val="00C442B0"/>
    <w:rsid w:val="00C442EA"/>
    <w:rsid w:val="00C442F7"/>
    <w:rsid w:val="00C44328"/>
    <w:rsid w:val="00C443C5"/>
    <w:rsid w:val="00C443D3"/>
    <w:rsid w:val="00C443DD"/>
    <w:rsid w:val="00C44408"/>
    <w:rsid w:val="00C44412"/>
    <w:rsid w:val="00C44467"/>
    <w:rsid w:val="00C44481"/>
    <w:rsid w:val="00C44497"/>
    <w:rsid w:val="00C444B9"/>
    <w:rsid w:val="00C4451D"/>
    <w:rsid w:val="00C4451F"/>
    <w:rsid w:val="00C4452B"/>
    <w:rsid w:val="00C44541"/>
    <w:rsid w:val="00C4456B"/>
    <w:rsid w:val="00C445B2"/>
    <w:rsid w:val="00C445C8"/>
    <w:rsid w:val="00C445D3"/>
    <w:rsid w:val="00C445DF"/>
    <w:rsid w:val="00C445F2"/>
    <w:rsid w:val="00C445F7"/>
    <w:rsid w:val="00C445F9"/>
    <w:rsid w:val="00C4462D"/>
    <w:rsid w:val="00C44640"/>
    <w:rsid w:val="00C446C9"/>
    <w:rsid w:val="00C446E8"/>
    <w:rsid w:val="00C44755"/>
    <w:rsid w:val="00C44782"/>
    <w:rsid w:val="00C447A5"/>
    <w:rsid w:val="00C447E6"/>
    <w:rsid w:val="00C447E8"/>
    <w:rsid w:val="00C447FB"/>
    <w:rsid w:val="00C44803"/>
    <w:rsid w:val="00C44816"/>
    <w:rsid w:val="00C4482F"/>
    <w:rsid w:val="00C4485A"/>
    <w:rsid w:val="00C44872"/>
    <w:rsid w:val="00C4487D"/>
    <w:rsid w:val="00C44897"/>
    <w:rsid w:val="00C448CF"/>
    <w:rsid w:val="00C448E4"/>
    <w:rsid w:val="00C4494E"/>
    <w:rsid w:val="00C44956"/>
    <w:rsid w:val="00C4496D"/>
    <w:rsid w:val="00C44970"/>
    <w:rsid w:val="00C44971"/>
    <w:rsid w:val="00C449AC"/>
    <w:rsid w:val="00C449CF"/>
    <w:rsid w:val="00C449D9"/>
    <w:rsid w:val="00C44A05"/>
    <w:rsid w:val="00C44A3A"/>
    <w:rsid w:val="00C44ADA"/>
    <w:rsid w:val="00C44AFE"/>
    <w:rsid w:val="00C44BC3"/>
    <w:rsid w:val="00C44BDF"/>
    <w:rsid w:val="00C44BE3"/>
    <w:rsid w:val="00C44C3B"/>
    <w:rsid w:val="00C44C78"/>
    <w:rsid w:val="00C44C84"/>
    <w:rsid w:val="00C44C93"/>
    <w:rsid w:val="00C44C99"/>
    <w:rsid w:val="00C44CBD"/>
    <w:rsid w:val="00C44D1C"/>
    <w:rsid w:val="00C44D44"/>
    <w:rsid w:val="00C44DC2"/>
    <w:rsid w:val="00C44DCD"/>
    <w:rsid w:val="00C44DEC"/>
    <w:rsid w:val="00C44DF9"/>
    <w:rsid w:val="00C44DFA"/>
    <w:rsid w:val="00C44E42"/>
    <w:rsid w:val="00C44E47"/>
    <w:rsid w:val="00C44E8D"/>
    <w:rsid w:val="00C44F00"/>
    <w:rsid w:val="00C44F02"/>
    <w:rsid w:val="00C44F4A"/>
    <w:rsid w:val="00C44F75"/>
    <w:rsid w:val="00C44F9D"/>
    <w:rsid w:val="00C44FF0"/>
    <w:rsid w:val="00C45014"/>
    <w:rsid w:val="00C45031"/>
    <w:rsid w:val="00C45048"/>
    <w:rsid w:val="00C45051"/>
    <w:rsid w:val="00C45082"/>
    <w:rsid w:val="00C45090"/>
    <w:rsid w:val="00C4509D"/>
    <w:rsid w:val="00C450A6"/>
    <w:rsid w:val="00C450AD"/>
    <w:rsid w:val="00C450B5"/>
    <w:rsid w:val="00C450BA"/>
    <w:rsid w:val="00C450C7"/>
    <w:rsid w:val="00C450DE"/>
    <w:rsid w:val="00C45128"/>
    <w:rsid w:val="00C45143"/>
    <w:rsid w:val="00C45204"/>
    <w:rsid w:val="00C45220"/>
    <w:rsid w:val="00C45221"/>
    <w:rsid w:val="00C45226"/>
    <w:rsid w:val="00C4522D"/>
    <w:rsid w:val="00C452A7"/>
    <w:rsid w:val="00C452A8"/>
    <w:rsid w:val="00C45381"/>
    <w:rsid w:val="00C453B9"/>
    <w:rsid w:val="00C453CB"/>
    <w:rsid w:val="00C4542C"/>
    <w:rsid w:val="00C4542D"/>
    <w:rsid w:val="00C4544B"/>
    <w:rsid w:val="00C45471"/>
    <w:rsid w:val="00C45490"/>
    <w:rsid w:val="00C4549F"/>
    <w:rsid w:val="00C454A6"/>
    <w:rsid w:val="00C4554C"/>
    <w:rsid w:val="00C4557A"/>
    <w:rsid w:val="00C4558E"/>
    <w:rsid w:val="00C4560E"/>
    <w:rsid w:val="00C4560F"/>
    <w:rsid w:val="00C4562E"/>
    <w:rsid w:val="00C45665"/>
    <w:rsid w:val="00C456A5"/>
    <w:rsid w:val="00C456E3"/>
    <w:rsid w:val="00C456EF"/>
    <w:rsid w:val="00C45700"/>
    <w:rsid w:val="00C45720"/>
    <w:rsid w:val="00C4572E"/>
    <w:rsid w:val="00C45793"/>
    <w:rsid w:val="00C4587F"/>
    <w:rsid w:val="00C45899"/>
    <w:rsid w:val="00C458C6"/>
    <w:rsid w:val="00C45908"/>
    <w:rsid w:val="00C4591D"/>
    <w:rsid w:val="00C4592A"/>
    <w:rsid w:val="00C4595A"/>
    <w:rsid w:val="00C459A5"/>
    <w:rsid w:val="00C459FD"/>
    <w:rsid w:val="00C45A58"/>
    <w:rsid w:val="00C45A89"/>
    <w:rsid w:val="00C45AD6"/>
    <w:rsid w:val="00C45AFB"/>
    <w:rsid w:val="00C45B46"/>
    <w:rsid w:val="00C45B5B"/>
    <w:rsid w:val="00C45B7C"/>
    <w:rsid w:val="00C45B90"/>
    <w:rsid w:val="00C45B98"/>
    <w:rsid w:val="00C45BE8"/>
    <w:rsid w:val="00C45BFC"/>
    <w:rsid w:val="00C45C3C"/>
    <w:rsid w:val="00C45C79"/>
    <w:rsid w:val="00C45CAA"/>
    <w:rsid w:val="00C45CC9"/>
    <w:rsid w:val="00C45D00"/>
    <w:rsid w:val="00C45D34"/>
    <w:rsid w:val="00C45D9A"/>
    <w:rsid w:val="00C45DA7"/>
    <w:rsid w:val="00C45DDD"/>
    <w:rsid w:val="00C45DF8"/>
    <w:rsid w:val="00C45E15"/>
    <w:rsid w:val="00C45E75"/>
    <w:rsid w:val="00C45E9A"/>
    <w:rsid w:val="00C45EC4"/>
    <w:rsid w:val="00C45EC9"/>
    <w:rsid w:val="00C45EE7"/>
    <w:rsid w:val="00C45F17"/>
    <w:rsid w:val="00C45F18"/>
    <w:rsid w:val="00C45FDE"/>
    <w:rsid w:val="00C45FE4"/>
    <w:rsid w:val="00C45FF9"/>
    <w:rsid w:val="00C46074"/>
    <w:rsid w:val="00C460DB"/>
    <w:rsid w:val="00C460F3"/>
    <w:rsid w:val="00C46156"/>
    <w:rsid w:val="00C46179"/>
    <w:rsid w:val="00C461A1"/>
    <w:rsid w:val="00C461AD"/>
    <w:rsid w:val="00C46214"/>
    <w:rsid w:val="00C46274"/>
    <w:rsid w:val="00C462CF"/>
    <w:rsid w:val="00C462D7"/>
    <w:rsid w:val="00C462E1"/>
    <w:rsid w:val="00C4638B"/>
    <w:rsid w:val="00C463A1"/>
    <w:rsid w:val="00C463B8"/>
    <w:rsid w:val="00C463D6"/>
    <w:rsid w:val="00C463FA"/>
    <w:rsid w:val="00C464A6"/>
    <w:rsid w:val="00C464E3"/>
    <w:rsid w:val="00C46518"/>
    <w:rsid w:val="00C4653D"/>
    <w:rsid w:val="00C46541"/>
    <w:rsid w:val="00C46546"/>
    <w:rsid w:val="00C4655F"/>
    <w:rsid w:val="00C4662A"/>
    <w:rsid w:val="00C4662F"/>
    <w:rsid w:val="00C46635"/>
    <w:rsid w:val="00C46693"/>
    <w:rsid w:val="00C46714"/>
    <w:rsid w:val="00C4671A"/>
    <w:rsid w:val="00C4671C"/>
    <w:rsid w:val="00C4673E"/>
    <w:rsid w:val="00C46789"/>
    <w:rsid w:val="00C4678B"/>
    <w:rsid w:val="00C467A4"/>
    <w:rsid w:val="00C46838"/>
    <w:rsid w:val="00C4685C"/>
    <w:rsid w:val="00C46886"/>
    <w:rsid w:val="00C46951"/>
    <w:rsid w:val="00C46974"/>
    <w:rsid w:val="00C46A17"/>
    <w:rsid w:val="00C46A4B"/>
    <w:rsid w:val="00C46A4D"/>
    <w:rsid w:val="00C46AD3"/>
    <w:rsid w:val="00C46AE1"/>
    <w:rsid w:val="00C46AF8"/>
    <w:rsid w:val="00C46B38"/>
    <w:rsid w:val="00C46C18"/>
    <w:rsid w:val="00C46C6F"/>
    <w:rsid w:val="00C46C72"/>
    <w:rsid w:val="00C46CB8"/>
    <w:rsid w:val="00C46D50"/>
    <w:rsid w:val="00C46D65"/>
    <w:rsid w:val="00C46D89"/>
    <w:rsid w:val="00C46DB7"/>
    <w:rsid w:val="00C46E09"/>
    <w:rsid w:val="00C46E14"/>
    <w:rsid w:val="00C46E1D"/>
    <w:rsid w:val="00C46EC7"/>
    <w:rsid w:val="00C46EDF"/>
    <w:rsid w:val="00C46F0A"/>
    <w:rsid w:val="00C46F11"/>
    <w:rsid w:val="00C46F41"/>
    <w:rsid w:val="00C46FB7"/>
    <w:rsid w:val="00C46FF8"/>
    <w:rsid w:val="00C46FF9"/>
    <w:rsid w:val="00C46FFA"/>
    <w:rsid w:val="00C47017"/>
    <w:rsid w:val="00C4704A"/>
    <w:rsid w:val="00C47054"/>
    <w:rsid w:val="00C47060"/>
    <w:rsid w:val="00C4706C"/>
    <w:rsid w:val="00C47083"/>
    <w:rsid w:val="00C4709B"/>
    <w:rsid w:val="00C470D2"/>
    <w:rsid w:val="00C4714F"/>
    <w:rsid w:val="00C471B8"/>
    <w:rsid w:val="00C471BD"/>
    <w:rsid w:val="00C471CD"/>
    <w:rsid w:val="00C47224"/>
    <w:rsid w:val="00C47290"/>
    <w:rsid w:val="00C47298"/>
    <w:rsid w:val="00C472BA"/>
    <w:rsid w:val="00C472D2"/>
    <w:rsid w:val="00C47313"/>
    <w:rsid w:val="00C47330"/>
    <w:rsid w:val="00C47428"/>
    <w:rsid w:val="00C474B6"/>
    <w:rsid w:val="00C474E0"/>
    <w:rsid w:val="00C474FA"/>
    <w:rsid w:val="00C47560"/>
    <w:rsid w:val="00C475BE"/>
    <w:rsid w:val="00C475D5"/>
    <w:rsid w:val="00C47616"/>
    <w:rsid w:val="00C47663"/>
    <w:rsid w:val="00C47692"/>
    <w:rsid w:val="00C476BE"/>
    <w:rsid w:val="00C476C1"/>
    <w:rsid w:val="00C47768"/>
    <w:rsid w:val="00C4781D"/>
    <w:rsid w:val="00C4789B"/>
    <w:rsid w:val="00C4791C"/>
    <w:rsid w:val="00C47965"/>
    <w:rsid w:val="00C47999"/>
    <w:rsid w:val="00C47A30"/>
    <w:rsid w:val="00C47A65"/>
    <w:rsid w:val="00C47A6C"/>
    <w:rsid w:val="00C47A6D"/>
    <w:rsid w:val="00C47AA8"/>
    <w:rsid w:val="00C47AF3"/>
    <w:rsid w:val="00C47B11"/>
    <w:rsid w:val="00C47B50"/>
    <w:rsid w:val="00C47B62"/>
    <w:rsid w:val="00C47B93"/>
    <w:rsid w:val="00C47BB6"/>
    <w:rsid w:val="00C47BBF"/>
    <w:rsid w:val="00C47BCA"/>
    <w:rsid w:val="00C47C1A"/>
    <w:rsid w:val="00C47C48"/>
    <w:rsid w:val="00C47C92"/>
    <w:rsid w:val="00C47CA3"/>
    <w:rsid w:val="00C47CBC"/>
    <w:rsid w:val="00C47CE2"/>
    <w:rsid w:val="00C47D3A"/>
    <w:rsid w:val="00C47D62"/>
    <w:rsid w:val="00C47D94"/>
    <w:rsid w:val="00C47DE2"/>
    <w:rsid w:val="00C47DF8"/>
    <w:rsid w:val="00C47E19"/>
    <w:rsid w:val="00C47E6A"/>
    <w:rsid w:val="00C47E88"/>
    <w:rsid w:val="00C47EAE"/>
    <w:rsid w:val="00C47EC4"/>
    <w:rsid w:val="00C47ED3"/>
    <w:rsid w:val="00C47EDB"/>
    <w:rsid w:val="00C47F02"/>
    <w:rsid w:val="00C47F25"/>
    <w:rsid w:val="00C47F57"/>
    <w:rsid w:val="00C50008"/>
    <w:rsid w:val="00C50035"/>
    <w:rsid w:val="00C500B8"/>
    <w:rsid w:val="00C500BE"/>
    <w:rsid w:val="00C50111"/>
    <w:rsid w:val="00C50140"/>
    <w:rsid w:val="00C50183"/>
    <w:rsid w:val="00C50185"/>
    <w:rsid w:val="00C501AE"/>
    <w:rsid w:val="00C501FC"/>
    <w:rsid w:val="00C50204"/>
    <w:rsid w:val="00C5025A"/>
    <w:rsid w:val="00C50265"/>
    <w:rsid w:val="00C5028B"/>
    <w:rsid w:val="00C502A9"/>
    <w:rsid w:val="00C502DC"/>
    <w:rsid w:val="00C502E3"/>
    <w:rsid w:val="00C502E6"/>
    <w:rsid w:val="00C50322"/>
    <w:rsid w:val="00C50396"/>
    <w:rsid w:val="00C503D2"/>
    <w:rsid w:val="00C503FF"/>
    <w:rsid w:val="00C5041A"/>
    <w:rsid w:val="00C50482"/>
    <w:rsid w:val="00C504D4"/>
    <w:rsid w:val="00C50583"/>
    <w:rsid w:val="00C505B5"/>
    <w:rsid w:val="00C505CC"/>
    <w:rsid w:val="00C505D9"/>
    <w:rsid w:val="00C505F1"/>
    <w:rsid w:val="00C5066A"/>
    <w:rsid w:val="00C506BC"/>
    <w:rsid w:val="00C50736"/>
    <w:rsid w:val="00C507E8"/>
    <w:rsid w:val="00C507FD"/>
    <w:rsid w:val="00C50891"/>
    <w:rsid w:val="00C508F0"/>
    <w:rsid w:val="00C50961"/>
    <w:rsid w:val="00C50967"/>
    <w:rsid w:val="00C509A9"/>
    <w:rsid w:val="00C509C5"/>
    <w:rsid w:val="00C509F4"/>
    <w:rsid w:val="00C50A0C"/>
    <w:rsid w:val="00C50A58"/>
    <w:rsid w:val="00C50A91"/>
    <w:rsid w:val="00C50AD3"/>
    <w:rsid w:val="00C50ADA"/>
    <w:rsid w:val="00C50AEC"/>
    <w:rsid w:val="00C50B0D"/>
    <w:rsid w:val="00C50B24"/>
    <w:rsid w:val="00C50B2A"/>
    <w:rsid w:val="00C50B42"/>
    <w:rsid w:val="00C50B57"/>
    <w:rsid w:val="00C50BA9"/>
    <w:rsid w:val="00C50C2A"/>
    <w:rsid w:val="00C50CBE"/>
    <w:rsid w:val="00C50D15"/>
    <w:rsid w:val="00C50D30"/>
    <w:rsid w:val="00C50D39"/>
    <w:rsid w:val="00C50D94"/>
    <w:rsid w:val="00C50E7E"/>
    <w:rsid w:val="00C50EA0"/>
    <w:rsid w:val="00C50EA1"/>
    <w:rsid w:val="00C50EB6"/>
    <w:rsid w:val="00C50F0F"/>
    <w:rsid w:val="00C50F7C"/>
    <w:rsid w:val="00C50FB4"/>
    <w:rsid w:val="00C50FB5"/>
    <w:rsid w:val="00C50FC5"/>
    <w:rsid w:val="00C50FF8"/>
    <w:rsid w:val="00C51027"/>
    <w:rsid w:val="00C5107E"/>
    <w:rsid w:val="00C51090"/>
    <w:rsid w:val="00C510B5"/>
    <w:rsid w:val="00C510C4"/>
    <w:rsid w:val="00C510D5"/>
    <w:rsid w:val="00C51114"/>
    <w:rsid w:val="00C5111E"/>
    <w:rsid w:val="00C5115A"/>
    <w:rsid w:val="00C5117A"/>
    <w:rsid w:val="00C5117C"/>
    <w:rsid w:val="00C511DD"/>
    <w:rsid w:val="00C5121F"/>
    <w:rsid w:val="00C51237"/>
    <w:rsid w:val="00C51248"/>
    <w:rsid w:val="00C5125D"/>
    <w:rsid w:val="00C512BA"/>
    <w:rsid w:val="00C5133C"/>
    <w:rsid w:val="00C51342"/>
    <w:rsid w:val="00C5135F"/>
    <w:rsid w:val="00C513B8"/>
    <w:rsid w:val="00C513D9"/>
    <w:rsid w:val="00C51497"/>
    <w:rsid w:val="00C514AA"/>
    <w:rsid w:val="00C514D0"/>
    <w:rsid w:val="00C514F4"/>
    <w:rsid w:val="00C51500"/>
    <w:rsid w:val="00C51553"/>
    <w:rsid w:val="00C515DC"/>
    <w:rsid w:val="00C516AC"/>
    <w:rsid w:val="00C516B5"/>
    <w:rsid w:val="00C51741"/>
    <w:rsid w:val="00C51752"/>
    <w:rsid w:val="00C5175F"/>
    <w:rsid w:val="00C51771"/>
    <w:rsid w:val="00C517AE"/>
    <w:rsid w:val="00C517CA"/>
    <w:rsid w:val="00C517D3"/>
    <w:rsid w:val="00C517E2"/>
    <w:rsid w:val="00C51828"/>
    <w:rsid w:val="00C5192C"/>
    <w:rsid w:val="00C5196B"/>
    <w:rsid w:val="00C519C9"/>
    <w:rsid w:val="00C51A04"/>
    <w:rsid w:val="00C51A07"/>
    <w:rsid w:val="00C51A14"/>
    <w:rsid w:val="00C51A88"/>
    <w:rsid w:val="00C51AA3"/>
    <w:rsid w:val="00C51AAB"/>
    <w:rsid w:val="00C51AEA"/>
    <w:rsid w:val="00C51C38"/>
    <w:rsid w:val="00C51C3C"/>
    <w:rsid w:val="00C51C53"/>
    <w:rsid w:val="00C51C69"/>
    <w:rsid w:val="00C51CD2"/>
    <w:rsid w:val="00C51CDD"/>
    <w:rsid w:val="00C51CE6"/>
    <w:rsid w:val="00C51D26"/>
    <w:rsid w:val="00C51D57"/>
    <w:rsid w:val="00C51D68"/>
    <w:rsid w:val="00C51DC9"/>
    <w:rsid w:val="00C51E56"/>
    <w:rsid w:val="00C51E77"/>
    <w:rsid w:val="00C51E7D"/>
    <w:rsid w:val="00C51EF7"/>
    <w:rsid w:val="00C51FCE"/>
    <w:rsid w:val="00C51FDD"/>
    <w:rsid w:val="00C52013"/>
    <w:rsid w:val="00C5201E"/>
    <w:rsid w:val="00C52036"/>
    <w:rsid w:val="00C52046"/>
    <w:rsid w:val="00C5205F"/>
    <w:rsid w:val="00C52182"/>
    <w:rsid w:val="00C52206"/>
    <w:rsid w:val="00C52216"/>
    <w:rsid w:val="00C5222A"/>
    <w:rsid w:val="00C52257"/>
    <w:rsid w:val="00C52277"/>
    <w:rsid w:val="00C5229B"/>
    <w:rsid w:val="00C522B6"/>
    <w:rsid w:val="00C522E3"/>
    <w:rsid w:val="00C522F5"/>
    <w:rsid w:val="00C52304"/>
    <w:rsid w:val="00C52338"/>
    <w:rsid w:val="00C5234A"/>
    <w:rsid w:val="00C52382"/>
    <w:rsid w:val="00C5238B"/>
    <w:rsid w:val="00C52414"/>
    <w:rsid w:val="00C5241D"/>
    <w:rsid w:val="00C5242C"/>
    <w:rsid w:val="00C52456"/>
    <w:rsid w:val="00C524A7"/>
    <w:rsid w:val="00C524AD"/>
    <w:rsid w:val="00C524C5"/>
    <w:rsid w:val="00C524D3"/>
    <w:rsid w:val="00C52524"/>
    <w:rsid w:val="00C52527"/>
    <w:rsid w:val="00C5253F"/>
    <w:rsid w:val="00C52554"/>
    <w:rsid w:val="00C525C1"/>
    <w:rsid w:val="00C52620"/>
    <w:rsid w:val="00C5263A"/>
    <w:rsid w:val="00C52692"/>
    <w:rsid w:val="00C5269F"/>
    <w:rsid w:val="00C526D6"/>
    <w:rsid w:val="00C526DA"/>
    <w:rsid w:val="00C526FD"/>
    <w:rsid w:val="00C52792"/>
    <w:rsid w:val="00C528BB"/>
    <w:rsid w:val="00C528C5"/>
    <w:rsid w:val="00C528D1"/>
    <w:rsid w:val="00C52947"/>
    <w:rsid w:val="00C5294D"/>
    <w:rsid w:val="00C52973"/>
    <w:rsid w:val="00C529A1"/>
    <w:rsid w:val="00C52A1D"/>
    <w:rsid w:val="00C52A34"/>
    <w:rsid w:val="00C52ABC"/>
    <w:rsid w:val="00C52AFA"/>
    <w:rsid w:val="00C52BDC"/>
    <w:rsid w:val="00C52C38"/>
    <w:rsid w:val="00C52C48"/>
    <w:rsid w:val="00C52CA4"/>
    <w:rsid w:val="00C52CA6"/>
    <w:rsid w:val="00C52CF7"/>
    <w:rsid w:val="00C52D2A"/>
    <w:rsid w:val="00C52D2E"/>
    <w:rsid w:val="00C52DFF"/>
    <w:rsid w:val="00C52E05"/>
    <w:rsid w:val="00C52E0F"/>
    <w:rsid w:val="00C52E58"/>
    <w:rsid w:val="00C52EC3"/>
    <w:rsid w:val="00C52ED0"/>
    <w:rsid w:val="00C52F18"/>
    <w:rsid w:val="00C52F48"/>
    <w:rsid w:val="00C52F50"/>
    <w:rsid w:val="00C52F53"/>
    <w:rsid w:val="00C53096"/>
    <w:rsid w:val="00C530CD"/>
    <w:rsid w:val="00C530F0"/>
    <w:rsid w:val="00C53132"/>
    <w:rsid w:val="00C53160"/>
    <w:rsid w:val="00C53170"/>
    <w:rsid w:val="00C53186"/>
    <w:rsid w:val="00C531EA"/>
    <w:rsid w:val="00C5321E"/>
    <w:rsid w:val="00C53262"/>
    <w:rsid w:val="00C53275"/>
    <w:rsid w:val="00C5328E"/>
    <w:rsid w:val="00C532A9"/>
    <w:rsid w:val="00C532AC"/>
    <w:rsid w:val="00C532B6"/>
    <w:rsid w:val="00C532C2"/>
    <w:rsid w:val="00C5330C"/>
    <w:rsid w:val="00C5331C"/>
    <w:rsid w:val="00C53327"/>
    <w:rsid w:val="00C533A8"/>
    <w:rsid w:val="00C533AB"/>
    <w:rsid w:val="00C533B1"/>
    <w:rsid w:val="00C53417"/>
    <w:rsid w:val="00C53493"/>
    <w:rsid w:val="00C534A1"/>
    <w:rsid w:val="00C534DD"/>
    <w:rsid w:val="00C534EB"/>
    <w:rsid w:val="00C53500"/>
    <w:rsid w:val="00C53520"/>
    <w:rsid w:val="00C535A2"/>
    <w:rsid w:val="00C535C9"/>
    <w:rsid w:val="00C535D7"/>
    <w:rsid w:val="00C535F5"/>
    <w:rsid w:val="00C5361A"/>
    <w:rsid w:val="00C5369A"/>
    <w:rsid w:val="00C536B5"/>
    <w:rsid w:val="00C536EE"/>
    <w:rsid w:val="00C53702"/>
    <w:rsid w:val="00C53741"/>
    <w:rsid w:val="00C53756"/>
    <w:rsid w:val="00C53779"/>
    <w:rsid w:val="00C5379F"/>
    <w:rsid w:val="00C537B8"/>
    <w:rsid w:val="00C53817"/>
    <w:rsid w:val="00C5381D"/>
    <w:rsid w:val="00C53856"/>
    <w:rsid w:val="00C5387A"/>
    <w:rsid w:val="00C53982"/>
    <w:rsid w:val="00C53989"/>
    <w:rsid w:val="00C539E3"/>
    <w:rsid w:val="00C539EE"/>
    <w:rsid w:val="00C539FB"/>
    <w:rsid w:val="00C53A0D"/>
    <w:rsid w:val="00C53A15"/>
    <w:rsid w:val="00C53A2B"/>
    <w:rsid w:val="00C53A37"/>
    <w:rsid w:val="00C53A3E"/>
    <w:rsid w:val="00C53ACA"/>
    <w:rsid w:val="00C53AF9"/>
    <w:rsid w:val="00C53B32"/>
    <w:rsid w:val="00C53B47"/>
    <w:rsid w:val="00C53B70"/>
    <w:rsid w:val="00C53BB8"/>
    <w:rsid w:val="00C53C33"/>
    <w:rsid w:val="00C53D44"/>
    <w:rsid w:val="00C53DE7"/>
    <w:rsid w:val="00C53DF2"/>
    <w:rsid w:val="00C53DF3"/>
    <w:rsid w:val="00C53E39"/>
    <w:rsid w:val="00C53E92"/>
    <w:rsid w:val="00C53EB4"/>
    <w:rsid w:val="00C53ED8"/>
    <w:rsid w:val="00C53EE4"/>
    <w:rsid w:val="00C53F3B"/>
    <w:rsid w:val="00C53F9C"/>
    <w:rsid w:val="00C53FE6"/>
    <w:rsid w:val="00C54043"/>
    <w:rsid w:val="00C54070"/>
    <w:rsid w:val="00C5409F"/>
    <w:rsid w:val="00C540F7"/>
    <w:rsid w:val="00C54109"/>
    <w:rsid w:val="00C54138"/>
    <w:rsid w:val="00C54163"/>
    <w:rsid w:val="00C54184"/>
    <w:rsid w:val="00C541C5"/>
    <w:rsid w:val="00C541CC"/>
    <w:rsid w:val="00C541F9"/>
    <w:rsid w:val="00C5421F"/>
    <w:rsid w:val="00C5429B"/>
    <w:rsid w:val="00C542A6"/>
    <w:rsid w:val="00C542CE"/>
    <w:rsid w:val="00C542D8"/>
    <w:rsid w:val="00C5430F"/>
    <w:rsid w:val="00C54322"/>
    <w:rsid w:val="00C54356"/>
    <w:rsid w:val="00C5435D"/>
    <w:rsid w:val="00C543A6"/>
    <w:rsid w:val="00C543A8"/>
    <w:rsid w:val="00C543AD"/>
    <w:rsid w:val="00C54420"/>
    <w:rsid w:val="00C54432"/>
    <w:rsid w:val="00C5444D"/>
    <w:rsid w:val="00C5446B"/>
    <w:rsid w:val="00C54488"/>
    <w:rsid w:val="00C54532"/>
    <w:rsid w:val="00C5455A"/>
    <w:rsid w:val="00C545BF"/>
    <w:rsid w:val="00C545F3"/>
    <w:rsid w:val="00C545FA"/>
    <w:rsid w:val="00C5464F"/>
    <w:rsid w:val="00C5465A"/>
    <w:rsid w:val="00C54687"/>
    <w:rsid w:val="00C5470B"/>
    <w:rsid w:val="00C5471B"/>
    <w:rsid w:val="00C54730"/>
    <w:rsid w:val="00C5475E"/>
    <w:rsid w:val="00C54777"/>
    <w:rsid w:val="00C5478A"/>
    <w:rsid w:val="00C54810"/>
    <w:rsid w:val="00C54826"/>
    <w:rsid w:val="00C54864"/>
    <w:rsid w:val="00C5487D"/>
    <w:rsid w:val="00C54884"/>
    <w:rsid w:val="00C54886"/>
    <w:rsid w:val="00C5489F"/>
    <w:rsid w:val="00C548BA"/>
    <w:rsid w:val="00C548F0"/>
    <w:rsid w:val="00C54957"/>
    <w:rsid w:val="00C54959"/>
    <w:rsid w:val="00C5498B"/>
    <w:rsid w:val="00C549B4"/>
    <w:rsid w:val="00C549D1"/>
    <w:rsid w:val="00C54A17"/>
    <w:rsid w:val="00C54A35"/>
    <w:rsid w:val="00C54B27"/>
    <w:rsid w:val="00C54B71"/>
    <w:rsid w:val="00C54B9A"/>
    <w:rsid w:val="00C54BAC"/>
    <w:rsid w:val="00C54BE7"/>
    <w:rsid w:val="00C54BF2"/>
    <w:rsid w:val="00C54C04"/>
    <w:rsid w:val="00C54C52"/>
    <w:rsid w:val="00C54C91"/>
    <w:rsid w:val="00C54C93"/>
    <w:rsid w:val="00C54CA5"/>
    <w:rsid w:val="00C54D37"/>
    <w:rsid w:val="00C54D40"/>
    <w:rsid w:val="00C54D43"/>
    <w:rsid w:val="00C54D53"/>
    <w:rsid w:val="00C54D5D"/>
    <w:rsid w:val="00C54D6E"/>
    <w:rsid w:val="00C54DA3"/>
    <w:rsid w:val="00C54DB8"/>
    <w:rsid w:val="00C54DE7"/>
    <w:rsid w:val="00C54E02"/>
    <w:rsid w:val="00C54E07"/>
    <w:rsid w:val="00C54E0B"/>
    <w:rsid w:val="00C54E15"/>
    <w:rsid w:val="00C54E16"/>
    <w:rsid w:val="00C54ED8"/>
    <w:rsid w:val="00C54F64"/>
    <w:rsid w:val="00C54F9A"/>
    <w:rsid w:val="00C54FD0"/>
    <w:rsid w:val="00C55025"/>
    <w:rsid w:val="00C5503D"/>
    <w:rsid w:val="00C5506F"/>
    <w:rsid w:val="00C550BC"/>
    <w:rsid w:val="00C55103"/>
    <w:rsid w:val="00C55137"/>
    <w:rsid w:val="00C5514C"/>
    <w:rsid w:val="00C551D1"/>
    <w:rsid w:val="00C55254"/>
    <w:rsid w:val="00C55269"/>
    <w:rsid w:val="00C55294"/>
    <w:rsid w:val="00C552CC"/>
    <w:rsid w:val="00C552E8"/>
    <w:rsid w:val="00C5531B"/>
    <w:rsid w:val="00C55335"/>
    <w:rsid w:val="00C5536F"/>
    <w:rsid w:val="00C55379"/>
    <w:rsid w:val="00C55385"/>
    <w:rsid w:val="00C553D8"/>
    <w:rsid w:val="00C553DF"/>
    <w:rsid w:val="00C553F2"/>
    <w:rsid w:val="00C5549F"/>
    <w:rsid w:val="00C554A1"/>
    <w:rsid w:val="00C55512"/>
    <w:rsid w:val="00C5552C"/>
    <w:rsid w:val="00C5554F"/>
    <w:rsid w:val="00C55584"/>
    <w:rsid w:val="00C555E5"/>
    <w:rsid w:val="00C55625"/>
    <w:rsid w:val="00C5563C"/>
    <w:rsid w:val="00C55691"/>
    <w:rsid w:val="00C55695"/>
    <w:rsid w:val="00C556EA"/>
    <w:rsid w:val="00C556F0"/>
    <w:rsid w:val="00C5573B"/>
    <w:rsid w:val="00C55774"/>
    <w:rsid w:val="00C55792"/>
    <w:rsid w:val="00C557A9"/>
    <w:rsid w:val="00C557AB"/>
    <w:rsid w:val="00C55806"/>
    <w:rsid w:val="00C5580A"/>
    <w:rsid w:val="00C55815"/>
    <w:rsid w:val="00C5585A"/>
    <w:rsid w:val="00C558A2"/>
    <w:rsid w:val="00C558A7"/>
    <w:rsid w:val="00C558FC"/>
    <w:rsid w:val="00C55936"/>
    <w:rsid w:val="00C559C9"/>
    <w:rsid w:val="00C559FD"/>
    <w:rsid w:val="00C55A33"/>
    <w:rsid w:val="00C55A86"/>
    <w:rsid w:val="00C55AF2"/>
    <w:rsid w:val="00C55B1A"/>
    <w:rsid w:val="00C55B23"/>
    <w:rsid w:val="00C55B8A"/>
    <w:rsid w:val="00C55BCC"/>
    <w:rsid w:val="00C55BE9"/>
    <w:rsid w:val="00C55BF2"/>
    <w:rsid w:val="00C55C34"/>
    <w:rsid w:val="00C55C75"/>
    <w:rsid w:val="00C55D64"/>
    <w:rsid w:val="00C55D8F"/>
    <w:rsid w:val="00C55E0B"/>
    <w:rsid w:val="00C55E37"/>
    <w:rsid w:val="00C55E65"/>
    <w:rsid w:val="00C55E93"/>
    <w:rsid w:val="00C55E96"/>
    <w:rsid w:val="00C55EA9"/>
    <w:rsid w:val="00C55EDA"/>
    <w:rsid w:val="00C55F8A"/>
    <w:rsid w:val="00C55F8F"/>
    <w:rsid w:val="00C55F90"/>
    <w:rsid w:val="00C55FF8"/>
    <w:rsid w:val="00C56024"/>
    <w:rsid w:val="00C5605D"/>
    <w:rsid w:val="00C5606B"/>
    <w:rsid w:val="00C56091"/>
    <w:rsid w:val="00C560C8"/>
    <w:rsid w:val="00C560EA"/>
    <w:rsid w:val="00C56150"/>
    <w:rsid w:val="00C561AB"/>
    <w:rsid w:val="00C561F8"/>
    <w:rsid w:val="00C56222"/>
    <w:rsid w:val="00C56239"/>
    <w:rsid w:val="00C56267"/>
    <w:rsid w:val="00C563B0"/>
    <w:rsid w:val="00C56456"/>
    <w:rsid w:val="00C564C5"/>
    <w:rsid w:val="00C564CB"/>
    <w:rsid w:val="00C564CD"/>
    <w:rsid w:val="00C564D0"/>
    <w:rsid w:val="00C56519"/>
    <w:rsid w:val="00C56560"/>
    <w:rsid w:val="00C56572"/>
    <w:rsid w:val="00C56596"/>
    <w:rsid w:val="00C565AF"/>
    <w:rsid w:val="00C565CB"/>
    <w:rsid w:val="00C565CC"/>
    <w:rsid w:val="00C565FF"/>
    <w:rsid w:val="00C56606"/>
    <w:rsid w:val="00C5660A"/>
    <w:rsid w:val="00C56617"/>
    <w:rsid w:val="00C56648"/>
    <w:rsid w:val="00C566A2"/>
    <w:rsid w:val="00C56701"/>
    <w:rsid w:val="00C56766"/>
    <w:rsid w:val="00C56786"/>
    <w:rsid w:val="00C56794"/>
    <w:rsid w:val="00C567B3"/>
    <w:rsid w:val="00C567FD"/>
    <w:rsid w:val="00C56825"/>
    <w:rsid w:val="00C56919"/>
    <w:rsid w:val="00C56923"/>
    <w:rsid w:val="00C56931"/>
    <w:rsid w:val="00C56943"/>
    <w:rsid w:val="00C5694E"/>
    <w:rsid w:val="00C56958"/>
    <w:rsid w:val="00C56961"/>
    <w:rsid w:val="00C5697E"/>
    <w:rsid w:val="00C569D8"/>
    <w:rsid w:val="00C569EF"/>
    <w:rsid w:val="00C56A31"/>
    <w:rsid w:val="00C56A36"/>
    <w:rsid w:val="00C56A96"/>
    <w:rsid w:val="00C56AD3"/>
    <w:rsid w:val="00C56B13"/>
    <w:rsid w:val="00C56B18"/>
    <w:rsid w:val="00C56B5D"/>
    <w:rsid w:val="00C56B62"/>
    <w:rsid w:val="00C56B6F"/>
    <w:rsid w:val="00C56B84"/>
    <w:rsid w:val="00C56B98"/>
    <w:rsid w:val="00C56BA3"/>
    <w:rsid w:val="00C56BDE"/>
    <w:rsid w:val="00C56C7D"/>
    <w:rsid w:val="00C56CC5"/>
    <w:rsid w:val="00C56CEE"/>
    <w:rsid w:val="00C56D19"/>
    <w:rsid w:val="00C56D53"/>
    <w:rsid w:val="00C56DAA"/>
    <w:rsid w:val="00C56DED"/>
    <w:rsid w:val="00C56E0D"/>
    <w:rsid w:val="00C56EB4"/>
    <w:rsid w:val="00C56EFB"/>
    <w:rsid w:val="00C56F28"/>
    <w:rsid w:val="00C56F46"/>
    <w:rsid w:val="00C56F90"/>
    <w:rsid w:val="00C56FBF"/>
    <w:rsid w:val="00C56FD2"/>
    <w:rsid w:val="00C56FF9"/>
    <w:rsid w:val="00C5701C"/>
    <w:rsid w:val="00C57028"/>
    <w:rsid w:val="00C57064"/>
    <w:rsid w:val="00C5706F"/>
    <w:rsid w:val="00C57080"/>
    <w:rsid w:val="00C5708D"/>
    <w:rsid w:val="00C571D8"/>
    <w:rsid w:val="00C571DC"/>
    <w:rsid w:val="00C571E9"/>
    <w:rsid w:val="00C57206"/>
    <w:rsid w:val="00C5723C"/>
    <w:rsid w:val="00C57242"/>
    <w:rsid w:val="00C5726E"/>
    <w:rsid w:val="00C57271"/>
    <w:rsid w:val="00C57286"/>
    <w:rsid w:val="00C572A3"/>
    <w:rsid w:val="00C5731D"/>
    <w:rsid w:val="00C5732A"/>
    <w:rsid w:val="00C5737D"/>
    <w:rsid w:val="00C57392"/>
    <w:rsid w:val="00C573AB"/>
    <w:rsid w:val="00C5740A"/>
    <w:rsid w:val="00C5741D"/>
    <w:rsid w:val="00C5747B"/>
    <w:rsid w:val="00C574A2"/>
    <w:rsid w:val="00C574AE"/>
    <w:rsid w:val="00C574E2"/>
    <w:rsid w:val="00C5759A"/>
    <w:rsid w:val="00C575BE"/>
    <w:rsid w:val="00C575C5"/>
    <w:rsid w:val="00C575FC"/>
    <w:rsid w:val="00C57628"/>
    <w:rsid w:val="00C57678"/>
    <w:rsid w:val="00C576B2"/>
    <w:rsid w:val="00C576B5"/>
    <w:rsid w:val="00C576CB"/>
    <w:rsid w:val="00C576F4"/>
    <w:rsid w:val="00C5770A"/>
    <w:rsid w:val="00C57710"/>
    <w:rsid w:val="00C5775F"/>
    <w:rsid w:val="00C57763"/>
    <w:rsid w:val="00C57777"/>
    <w:rsid w:val="00C577C2"/>
    <w:rsid w:val="00C577FA"/>
    <w:rsid w:val="00C57820"/>
    <w:rsid w:val="00C5789B"/>
    <w:rsid w:val="00C57942"/>
    <w:rsid w:val="00C579D4"/>
    <w:rsid w:val="00C579E8"/>
    <w:rsid w:val="00C57A08"/>
    <w:rsid w:val="00C57ABB"/>
    <w:rsid w:val="00C57AD5"/>
    <w:rsid w:val="00C57AF4"/>
    <w:rsid w:val="00C57B10"/>
    <w:rsid w:val="00C57BDD"/>
    <w:rsid w:val="00C57C0A"/>
    <w:rsid w:val="00C57C0F"/>
    <w:rsid w:val="00C57CE4"/>
    <w:rsid w:val="00C57D33"/>
    <w:rsid w:val="00C57D78"/>
    <w:rsid w:val="00C57D9D"/>
    <w:rsid w:val="00C57DC9"/>
    <w:rsid w:val="00C57DD3"/>
    <w:rsid w:val="00C57DD7"/>
    <w:rsid w:val="00C57DF0"/>
    <w:rsid w:val="00C57DFA"/>
    <w:rsid w:val="00C57E08"/>
    <w:rsid w:val="00C57E3A"/>
    <w:rsid w:val="00C57E56"/>
    <w:rsid w:val="00C57EB3"/>
    <w:rsid w:val="00C57EB4"/>
    <w:rsid w:val="00C57F67"/>
    <w:rsid w:val="00C57F8D"/>
    <w:rsid w:val="00C57F8F"/>
    <w:rsid w:val="00C57FA4"/>
    <w:rsid w:val="00C57FB3"/>
    <w:rsid w:val="00C6003F"/>
    <w:rsid w:val="00C60078"/>
    <w:rsid w:val="00C6007D"/>
    <w:rsid w:val="00C600A6"/>
    <w:rsid w:val="00C600DF"/>
    <w:rsid w:val="00C60172"/>
    <w:rsid w:val="00C60194"/>
    <w:rsid w:val="00C60250"/>
    <w:rsid w:val="00C60296"/>
    <w:rsid w:val="00C60302"/>
    <w:rsid w:val="00C60308"/>
    <w:rsid w:val="00C6030F"/>
    <w:rsid w:val="00C60321"/>
    <w:rsid w:val="00C6034C"/>
    <w:rsid w:val="00C603A1"/>
    <w:rsid w:val="00C603C3"/>
    <w:rsid w:val="00C603E8"/>
    <w:rsid w:val="00C60473"/>
    <w:rsid w:val="00C60487"/>
    <w:rsid w:val="00C604E2"/>
    <w:rsid w:val="00C604EC"/>
    <w:rsid w:val="00C60506"/>
    <w:rsid w:val="00C60518"/>
    <w:rsid w:val="00C6051E"/>
    <w:rsid w:val="00C605C1"/>
    <w:rsid w:val="00C605C7"/>
    <w:rsid w:val="00C60646"/>
    <w:rsid w:val="00C60656"/>
    <w:rsid w:val="00C60677"/>
    <w:rsid w:val="00C60708"/>
    <w:rsid w:val="00C60717"/>
    <w:rsid w:val="00C6071E"/>
    <w:rsid w:val="00C6072A"/>
    <w:rsid w:val="00C6075B"/>
    <w:rsid w:val="00C60787"/>
    <w:rsid w:val="00C607A9"/>
    <w:rsid w:val="00C607B5"/>
    <w:rsid w:val="00C607CC"/>
    <w:rsid w:val="00C607F7"/>
    <w:rsid w:val="00C6081A"/>
    <w:rsid w:val="00C60876"/>
    <w:rsid w:val="00C608C0"/>
    <w:rsid w:val="00C608C8"/>
    <w:rsid w:val="00C608DA"/>
    <w:rsid w:val="00C60915"/>
    <w:rsid w:val="00C60936"/>
    <w:rsid w:val="00C60974"/>
    <w:rsid w:val="00C609C3"/>
    <w:rsid w:val="00C609FC"/>
    <w:rsid w:val="00C60A9A"/>
    <w:rsid w:val="00C60AD3"/>
    <w:rsid w:val="00C60B42"/>
    <w:rsid w:val="00C60BFB"/>
    <w:rsid w:val="00C60C87"/>
    <w:rsid w:val="00C60CBB"/>
    <w:rsid w:val="00C60CC2"/>
    <w:rsid w:val="00C60CE2"/>
    <w:rsid w:val="00C60CE8"/>
    <w:rsid w:val="00C60CEF"/>
    <w:rsid w:val="00C60CF7"/>
    <w:rsid w:val="00C60D17"/>
    <w:rsid w:val="00C60D5A"/>
    <w:rsid w:val="00C60DA2"/>
    <w:rsid w:val="00C60DC3"/>
    <w:rsid w:val="00C60DC6"/>
    <w:rsid w:val="00C60DFA"/>
    <w:rsid w:val="00C60E06"/>
    <w:rsid w:val="00C60E0F"/>
    <w:rsid w:val="00C60E1D"/>
    <w:rsid w:val="00C60E1F"/>
    <w:rsid w:val="00C60E7E"/>
    <w:rsid w:val="00C60EBD"/>
    <w:rsid w:val="00C60EBF"/>
    <w:rsid w:val="00C60EC2"/>
    <w:rsid w:val="00C60ECC"/>
    <w:rsid w:val="00C60EF8"/>
    <w:rsid w:val="00C60F3D"/>
    <w:rsid w:val="00C60FA7"/>
    <w:rsid w:val="00C6100C"/>
    <w:rsid w:val="00C61093"/>
    <w:rsid w:val="00C610A9"/>
    <w:rsid w:val="00C610BE"/>
    <w:rsid w:val="00C610D8"/>
    <w:rsid w:val="00C61108"/>
    <w:rsid w:val="00C61119"/>
    <w:rsid w:val="00C6111D"/>
    <w:rsid w:val="00C6112E"/>
    <w:rsid w:val="00C61142"/>
    <w:rsid w:val="00C61154"/>
    <w:rsid w:val="00C6115D"/>
    <w:rsid w:val="00C611A6"/>
    <w:rsid w:val="00C611E5"/>
    <w:rsid w:val="00C611FC"/>
    <w:rsid w:val="00C61204"/>
    <w:rsid w:val="00C612A7"/>
    <w:rsid w:val="00C612AC"/>
    <w:rsid w:val="00C6131B"/>
    <w:rsid w:val="00C6131C"/>
    <w:rsid w:val="00C613C5"/>
    <w:rsid w:val="00C6147B"/>
    <w:rsid w:val="00C61492"/>
    <w:rsid w:val="00C614C0"/>
    <w:rsid w:val="00C61521"/>
    <w:rsid w:val="00C6152F"/>
    <w:rsid w:val="00C61543"/>
    <w:rsid w:val="00C615D0"/>
    <w:rsid w:val="00C616A5"/>
    <w:rsid w:val="00C616AC"/>
    <w:rsid w:val="00C616EA"/>
    <w:rsid w:val="00C616EF"/>
    <w:rsid w:val="00C61733"/>
    <w:rsid w:val="00C61779"/>
    <w:rsid w:val="00C61809"/>
    <w:rsid w:val="00C6190E"/>
    <w:rsid w:val="00C6193F"/>
    <w:rsid w:val="00C6199C"/>
    <w:rsid w:val="00C619A7"/>
    <w:rsid w:val="00C619D7"/>
    <w:rsid w:val="00C619DF"/>
    <w:rsid w:val="00C61A19"/>
    <w:rsid w:val="00C61A44"/>
    <w:rsid w:val="00C61AD8"/>
    <w:rsid w:val="00C61AD9"/>
    <w:rsid w:val="00C61B42"/>
    <w:rsid w:val="00C61B50"/>
    <w:rsid w:val="00C61B6C"/>
    <w:rsid w:val="00C61B9D"/>
    <w:rsid w:val="00C61BA2"/>
    <w:rsid w:val="00C61BBF"/>
    <w:rsid w:val="00C61C16"/>
    <w:rsid w:val="00C61CA5"/>
    <w:rsid w:val="00C61DB9"/>
    <w:rsid w:val="00C61DC8"/>
    <w:rsid w:val="00C61E32"/>
    <w:rsid w:val="00C61E76"/>
    <w:rsid w:val="00C61E8A"/>
    <w:rsid w:val="00C61E8C"/>
    <w:rsid w:val="00C61EA0"/>
    <w:rsid w:val="00C61ED4"/>
    <w:rsid w:val="00C61EDD"/>
    <w:rsid w:val="00C61EFE"/>
    <w:rsid w:val="00C61F15"/>
    <w:rsid w:val="00C61F42"/>
    <w:rsid w:val="00C61F91"/>
    <w:rsid w:val="00C61F92"/>
    <w:rsid w:val="00C61FEC"/>
    <w:rsid w:val="00C62036"/>
    <w:rsid w:val="00C6207D"/>
    <w:rsid w:val="00C62120"/>
    <w:rsid w:val="00C6227F"/>
    <w:rsid w:val="00C62352"/>
    <w:rsid w:val="00C623BA"/>
    <w:rsid w:val="00C623C2"/>
    <w:rsid w:val="00C623C9"/>
    <w:rsid w:val="00C623F6"/>
    <w:rsid w:val="00C62415"/>
    <w:rsid w:val="00C6245E"/>
    <w:rsid w:val="00C624DD"/>
    <w:rsid w:val="00C624EF"/>
    <w:rsid w:val="00C62573"/>
    <w:rsid w:val="00C6257C"/>
    <w:rsid w:val="00C625AD"/>
    <w:rsid w:val="00C625BA"/>
    <w:rsid w:val="00C625F8"/>
    <w:rsid w:val="00C6264F"/>
    <w:rsid w:val="00C6266A"/>
    <w:rsid w:val="00C626AD"/>
    <w:rsid w:val="00C626F6"/>
    <w:rsid w:val="00C62773"/>
    <w:rsid w:val="00C627DD"/>
    <w:rsid w:val="00C627EA"/>
    <w:rsid w:val="00C627FF"/>
    <w:rsid w:val="00C6280F"/>
    <w:rsid w:val="00C62816"/>
    <w:rsid w:val="00C62880"/>
    <w:rsid w:val="00C628DD"/>
    <w:rsid w:val="00C628FC"/>
    <w:rsid w:val="00C6290A"/>
    <w:rsid w:val="00C6293F"/>
    <w:rsid w:val="00C6296D"/>
    <w:rsid w:val="00C6296E"/>
    <w:rsid w:val="00C62A87"/>
    <w:rsid w:val="00C62AB0"/>
    <w:rsid w:val="00C62ACE"/>
    <w:rsid w:val="00C62B0E"/>
    <w:rsid w:val="00C62C0C"/>
    <w:rsid w:val="00C62C36"/>
    <w:rsid w:val="00C62C4C"/>
    <w:rsid w:val="00C62C5C"/>
    <w:rsid w:val="00C62C80"/>
    <w:rsid w:val="00C62C85"/>
    <w:rsid w:val="00C62CA4"/>
    <w:rsid w:val="00C62CE1"/>
    <w:rsid w:val="00C62CE5"/>
    <w:rsid w:val="00C62D61"/>
    <w:rsid w:val="00C62D76"/>
    <w:rsid w:val="00C62DD0"/>
    <w:rsid w:val="00C62E3F"/>
    <w:rsid w:val="00C62E9B"/>
    <w:rsid w:val="00C62F84"/>
    <w:rsid w:val="00C62FF1"/>
    <w:rsid w:val="00C6300D"/>
    <w:rsid w:val="00C6302D"/>
    <w:rsid w:val="00C63042"/>
    <w:rsid w:val="00C63046"/>
    <w:rsid w:val="00C6305D"/>
    <w:rsid w:val="00C6313E"/>
    <w:rsid w:val="00C63172"/>
    <w:rsid w:val="00C6317C"/>
    <w:rsid w:val="00C6317E"/>
    <w:rsid w:val="00C63227"/>
    <w:rsid w:val="00C63282"/>
    <w:rsid w:val="00C63299"/>
    <w:rsid w:val="00C63325"/>
    <w:rsid w:val="00C63367"/>
    <w:rsid w:val="00C63368"/>
    <w:rsid w:val="00C6337C"/>
    <w:rsid w:val="00C6344D"/>
    <w:rsid w:val="00C63478"/>
    <w:rsid w:val="00C63487"/>
    <w:rsid w:val="00C634BA"/>
    <w:rsid w:val="00C6351D"/>
    <w:rsid w:val="00C63531"/>
    <w:rsid w:val="00C635C8"/>
    <w:rsid w:val="00C635D2"/>
    <w:rsid w:val="00C63608"/>
    <w:rsid w:val="00C6361A"/>
    <w:rsid w:val="00C6361E"/>
    <w:rsid w:val="00C63689"/>
    <w:rsid w:val="00C636A7"/>
    <w:rsid w:val="00C6370E"/>
    <w:rsid w:val="00C6374F"/>
    <w:rsid w:val="00C63788"/>
    <w:rsid w:val="00C63813"/>
    <w:rsid w:val="00C6382C"/>
    <w:rsid w:val="00C63896"/>
    <w:rsid w:val="00C63899"/>
    <w:rsid w:val="00C638B4"/>
    <w:rsid w:val="00C638EF"/>
    <w:rsid w:val="00C638F8"/>
    <w:rsid w:val="00C63947"/>
    <w:rsid w:val="00C63957"/>
    <w:rsid w:val="00C63963"/>
    <w:rsid w:val="00C639C4"/>
    <w:rsid w:val="00C63A3E"/>
    <w:rsid w:val="00C63A41"/>
    <w:rsid w:val="00C63A68"/>
    <w:rsid w:val="00C63A78"/>
    <w:rsid w:val="00C63ABE"/>
    <w:rsid w:val="00C63B92"/>
    <w:rsid w:val="00C63BDA"/>
    <w:rsid w:val="00C63BE5"/>
    <w:rsid w:val="00C63C1F"/>
    <w:rsid w:val="00C63C65"/>
    <w:rsid w:val="00C63C67"/>
    <w:rsid w:val="00C63C70"/>
    <w:rsid w:val="00C63C73"/>
    <w:rsid w:val="00C63C7A"/>
    <w:rsid w:val="00C63CDD"/>
    <w:rsid w:val="00C63D1D"/>
    <w:rsid w:val="00C63D22"/>
    <w:rsid w:val="00C63D4D"/>
    <w:rsid w:val="00C63D63"/>
    <w:rsid w:val="00C63D85"/>
    <w:rsid w:val="00C63E06"/>
    <w:rsid w:val="00C63E07"/>
    <w:rsid w:val="00C63E8F"/>
    <w:rsid w:val="00C63F1F"/>
    <w:rsid w:val="00C63F34"/>
    <w:rsid w:val="00C63F89"/>
    <w:rsid w:val="00C63FA1"/>
    <w:rsid w:val="00C64001"/>
    <w:rsid w:val="00C6407C"/>
    <w:rsid w:val="00C6408D"/>
    <w:rsid w:val="00C640E1"/>
    <w:rsid w:val="00C64105"/>
    <w:rsid w:val="00C6410D"/>
    <w:rsid w:val="00C64123"/>
    <w:rsid w:val="00C64130"/>
    <w:rsid w:val="00C64145"/>
    <w:rsid w:val="00C64149"/>
    <w:rsid w:val="00C6422B"/>
    <w:rsid w:val="00C6424B"/>
    <w:rsid w:val="00C64270"/>
    <w:rsid w:val="00C642C0"/>
    <w:rsid w:val="00C642C5"/>
    <w:rsid w:val="00C642DF"/>
    <w:rsid w:val="00C64331"/>
    <w:rsid w:val="00C6433A"/>
    <w:rsid w:val="00C64345"/>
    <w:rsid w:val="00C643D7"/>
    <w:rsid w:val="00C64486"/>
    <w:rsid w:val="00C644B8"/>
    <w:rsid w:val="00C644DE"/>
    <w:rsid w:val="00C644EA"/>
    <w:rsid w:val="00C64514"/>
    <w:rsid w:val="00C6457A"/>
    <w:rsid w:val="00C64580"/>
    <w:rsid w:val="00C64641"/>
    <w:rsid w:val="00C6464A"/>
    <w:rsid w:val="00C647A1"/>
    <w:rsid w:val="00C647AE"/>
    <w:rsid w:val="00C647CC"/>
    <w:rsid w:val="00C647D6"/>
    <w:rsid w:val="00C647EC"/>
    <w:rsid w:val="00C6480F"/>
    <w:rsid w:val="00C64851"/>
    <w:rsid w:val="00C6488F"/>
    <w:rsid w:val="00C6489E"/>
    <w:rsid w:val="00C648CC"/>
    <w:rsid w:val="00C64918"/>
    <w:rsid w:val="00C6491A"/>
    <w:rsid w:val="00C64936"/>
    <w:rsid w:val="00C64990"/>
    <w:rsid w:val="00C649D5"/>
    <w:rsid w:val="00C649EF"/>
    <w:rsid w:val="00C64A69"/>
    <w:rsid w:val="00C64AD4"/>
    <w:rsid w:val="00C64AFB"/>
    <w:rsid w:val="00C64C09"/>
    <w:rsid w:val="00C64C0C"/>
    <w:rsid w:val="00C64C6A"/>
    <w:rsid w:val="00C64CAD"/>
    <w:rsid w:val="00C64CB0"/>
    <w:rsid w:val="00C64D03"/>
    <w:rsid w:val="00C64D9E"/>
    <w:rsid w:val="00C64DB8"/>
    <w:rsid w:val="00C64E23"/>
    <w:rsid w:val="00C64E76"/>
    <w:rsid w:val="00C64ECF"/>
    <w:rsid w:val="00C64ED6"/>
    <w:rsid w:val="00C64EDB"/>
    <w:rsid w:val="00C64EEA"/>
    <w:rsid w:val="00C64EF6"/>
    <w:rsid w:val="00C64F6A"/>
    <w:rsid w:val="00C64FB0"/>
    <w:rsid w:val="00C64FEB"/>
    <w:rsid w:val="00C64FF8"/>
    <w:rsid w:val="00C6503B"/>
    <w:rsid w:val="00C6503F"/>
    <w:rsid w:val="00C6508C"/>
    <w:rsid w:val="00C650D2"/>
    <w:rsid w:val="00C65116"/>
    <w:rsid w:val="00C6514E"/>
    <w:rsid w:val="00C6515A"/>
    <w:rsid w:val="00C6515D"/>
    <w:rsid w:val="00C6516E"/>
    <w:rsid w:val="00C65187"/>
    <w:rsid w:val="00C651A4"/>
    <w:rsid w:val="00C651DC"/>
    <w:rsid w:val="00C6520D"/>
    <w:rsid w:val="00C65243"/>
    <w:rsid w:val="00C652C3"/>
    <w:rsid w:val="00C652CA"/>
    <w:rsid w:val="00C652D7"/>
    <w:rsid w:val="00C652F0"/>
    <w:rsid w:val="00C65352"/>
    <w:rsid w:val="00C65385"/>
    <w:rsid w:val="00C653F3"/>
    <w:rsid w:val="00C65414"/>
    <w:rsid w:val="00C654A5"/>
    <w:rsid w:val="00C654AF"/>
    <w:rsid w:val="00C654EE"/>
    <w:rsid w:val="00C65538"/>
    <w:rsid w:val="00C6555E"/>
    <w:rsid w:val="00C65576"/>
    <w:rsid w:val="00C6559A"/>
    <w:rsid w:val="00C65626"/>
    <w:rsid w:val="00C6562B"/>
    <w:rsid w:val="00C65632"/>
    <w:rsid w:val="00C65671"/>
    <w:rsid w:val="00C65682"/>
    <w:rsid w:val="00C656BF"/>
    <w:rsid w:val="00C65708"/>
    <w:rsid w:val="00C6570C"/>
    <w:rsid w:val="00C65727"/>
    <w:rsid w:val="00C65757"/>
    <w:rsid w:val="00C65786"/>
    <w:rsid w:val="00C657A5"/>
    <w:rsid w:val="00C657CC"/>
    <w:rsid w:val="00C65827"/>
    <w:rsid w:val="00C65869"/>
    <w:rsid w:val="00C658B0"/>
    <w:rsid w:val="00C658BE"/>
    <w:rsid w:val="00C658FE"/>
    <w:rsid w:val="00C65907"/>
    <w:rsid w:val="00C6591E"/>
    <w:rsid w:val="00C65985"/>
    <w:rsid w:val="00C65A62"/>
    <w:rsid w:val="00C65A91"/>
    <w:rsid w:val="00C65A99"/>
    <w:rsid w:val="00C65AA7"/>
    <w:rsid w:val="00C65AB6"/>
    <w:rsid w:val="00C65ACD"/>
    <w:rsid w:val="00C65AD6"/>
    <w:rsid w:val="00C65B18"/>
    <w:rsid w:val="00C65BFA"/>
    <w:rsid w:val="00C65C3B"/>
    <w:rsid w:val="00C65C5F"/>
    <w:rsid w:val="00C65CEA"/>
    <w:rsid w:val="00C65D59"/>
    <w:rsid w:val="00C65DB4"/>
    <w:rsid w:val="00C65DC0"/>
    <w:rsid w:val="00C65E21"/>
    <w:rsid w:val="00C65E37"/>
    <w:rsid w:val="00C65E6A"/>
    <w:rsid w:val="00C65ED8"/>
    <w:rsid w:val="00C65F45"/>
    <w:rsid w:val="00C65F53"/>
    <w:rsid w:val="00C65F69"/>
    <w:rsid w:val="00C65F79"/>
    <w:rsid w:val="00C65FA1"/>
    <w:rsid w:val="00C6606B"/>
    <w:rsid w:val="00C66185"/>
    <w:rsid w:val="00C66187"/>
    <w:rsid w:val="00C661D8"/>
    <w:rsid w:val="00C661E0"/>
    <w:rsid w:val="00C66237"/>
    <w:rsid w:val="00C6624C"/>
    <w:rsid w:val="00C662F7"/>
    <w:rsid w:val="00C6630D"/>
    <w:rsid w:val="00C66359"/>
    <w:rsid w:val="00C6635C"/>
    <w:rsid w:val="00C66374"/>
    <w:rsid w:val="00C663EF"/>
    <w:rsid w:val="00C663F1"/>
    <w:rsid w:val="00C66414"/>
    <w:rsid w:val="00C6645C"/>
    <w:rsid w:val="00C66479"/>
    <w:rsid w:val="00C66480"/>
    <w:rsid w:val="00C664E7"/>
    <w:rsid w:val="00C6655E"/>
    <w:rsid w:val="00C66561"/>
    <w:rsid w:val="00C66608"/>
    <w:rsid w:val="00C66625"/>
    <w:rsid w:val="00C666B5"/>
    <w:rsid w:val="00C666C1"/>
    <w:rsid w:val="00C666EE"/>
    <w:rsid w:val="00C6675E"/>
    <w:rsid w:val="00C667B9"/>
    <w:rsid w:val="00C667BB"/>
    <w:rsid w:val="00C667DF"/>
    <w:rsid w:val="00C667FF"/>
    <w:rsid w:val="00C66885"/>
    <w:rsid w:val="00C668BD"/>
    <w:rsid w:val="00C668D8"/>
    <w:rsid w:val="00C6691A"/>
    <w:rsid w:val="00C6693E"/>
    <w:rsid w:val="00C6695A"/>
    <w:rsid w:val="00C6696C"/>
    <w:rsid w:val="00C6698E"/>
    <w:rsid w:val="00C66996"/>
    <w:rsid w:val="00C66997"/>
    <w:rsid w:val="00C669B5"/>
    <w:rsid w:val="00C669FA"/>
    <w:rsid w:val="00C669FE"/>
    <w:rsid w:val="00C66A13"/>
    <w:rsid w:val="00C66A4E"/>
    <w:rsid w:val="00C66ABF"/>
    <w:rsid w:val="00C66B65"/>
    <w:rsid w:val="00C66B7F"/>
    <w:rsid w:val="00C66BA4"/>
    <w:rsid w:val="00C66C32"/>
    <w:rsid w:val="00C66C54"/>
    <w:rsid w:val="00C66C57"/>
    <w:rsid w:val="00C66CB2"/>
    <w:rsid w:val="00C66D01"/>
    <w:rsid w:val="00C66D2B"/>
    <w:rsid w:val="00C66D4F"/>
    <w:rsid w:val="00C66D61"/>
    <w:rsid w:val="00C66DB8"/>
    <w:rsid w:val="00C66DBC"/>
    <w:rsid w:val="00C66DBE"/>
    <w:rsid w:val="00C66DD7"/>
    <w:rsid w:val="00C66DEC"/>
    <w:rsid w:val="00C66DFE"/>
    <w:rsid w:val="00C66E0D"/>
    <w:rsid w:val="00C66E55"/>
    <w:rsid w:val="00C66EB9"/>
    <w:rsid w:val="00C66EED"/>
    <w:rsid w:val="00C66F39"/>
    <w:rsid w:val="00C66F75"/>
    <w:rsid w:val="00C66FA8"/>
    <w:rsid w:val="00C66FD5"/>
    <w:rsid w:val="00C66FF4"/>
    <w:rsid w:val="00C66FF7"/>
    <w:rsid w:val="00C67010"/>
    <w:rsid w:val="00C6703B"/>
    <w:rsid w:val="00C67083"/>
    <w:rsid w:val="00C67180"/>
    <w:rsid w:val="00C6722F"/>
    <w:rsid w:val="00C67297"/>
    <w:rsid w:val="00C6732F"/>
    <w:rsid w:val="00C6734F"/>
    <w:rsid w:val="00C67355"/>
    <w:rsid w:val="00C673C5"/>
    <w:rsid w:val="00C67431"/>
    <w:rsid w:val="00C6745A"/>
    <w:rsid w:val="00C67467"/>
    <w:rsid w:val="00C674A6"/>
    <w:rsid w:val="00C674B3"/>
    <w:rsid w:val="00C674F9"/>
    <w:rsid w:val="00C67503"/>
    <w:rsid w:val="00C6755D"/>
    <w:rsid w:val="00C676C4"/>
    <w:rsid w:val="00C676CD"/>
    <w:rsid w:val="00C676DB"/>
    <w:rsid w:val="00C676E0"/>
    <w:rsid w:val="00C676E6"/>
    <w:rsid w:val="00C676EE"/>
    <w:rsid w:val="00C67775"/>
    <w:rsid w:val="00C677B6"/>
    <w:rsid w:val="00C67817"/>
    <w:rsid w:val="00C678BB"/>
    <w:rsid w:val="00C6791B"/>
    <w:rsid w:val="00C6792C"/>
    <w:rsid w:val="00C67947"/>
    <w:rsid w:val="00C67971"/>
    <w:rsid w:val="00C67991"/>
    <w:rsid w:val="00C67A42"/>
    <w:rsid w:val="00C67A8C"/>
    <w:rsid w:val="00C67AA1"/>
    <w:rsid w:val="00C67AD7"/>
    <w:rsid w:val="00C67AF9"/>
    <w:rsid w:val="00C67B05"/>
    <w:rsid w:val="00C67B20"/>
    <w:rsid w:val="00C67B35"/>
    <w:rsid w:val="00C67BAD"/>
    <w:rsid w:val="00C67BE9"/>
    <w:rsid w:val="00C67C1F"/>
    <w:rsid w:val="00C67C2B"/>
    <w:rsid w:val="00C67CB9"/>
    <w:rsid w:val="00C67CD7"/>
    <w:rsid w:val="00C67D33"/>
    <w:rsid w:val="00C67D6E"/>
    <w:rsid w:val="00C67D99"/>
    <w:rsid w:val="00C67D9F"/>
    <w:rsid w:val="00C67DC4"/>
    <w:rsid w:val="00C67E24"/>
    <w:rsid w:val="00C67E82"/>
    <w:rsid w:val="00C67EAE"/>
    <w:rsid w:val="00C67F66"/>
    <w:rsid w:val="00C67FE5"/>
    <w:rsid w:val="00C70000"/>
    <w:rsid w:val="00C70072"/>
    <w:rsid w:val="00C7009C"/>
    <w:rsid w:val="00C700B1"/>
    <w:rsid w:val="00C700B4"/>
    <w:rsid w:val="00C700C6"/>
    <w:rsid w:val="00C700E4"/>
    <w:rsid w:val="00C700E7"/>
    <w:rsid w:val="00C70124"/>
    <w:rsid w:val="00C701C0"/>
    <w:rsid w:val="00C701FD"/>
    <w:rsid w:val="00C70210"/>
    <w:rsid w:val="00C70257"/>
    <w:rsid w:val="00C702C4"/>
    <w:rsid w:val="00C70309"/>
    <w:rsid w:val="00C7034A"/>
    <w:rsid w:val="00C70368"/>
    <w:rsid w:val="00C703C5"/>
    <w:rsid w:val="00C703C7"/>
    <w:rsid w:val="00C70431"/>
    <w:rsid w:val="00C7055E"/>
    <w:rsid w:val="00C70589"/>
    <w:rsid w:val="00C705D4"/>
    <w:rsid w:val="00C705F1"/>
    <w:rsid w:val="00C70604"/>
    <w:rsid w:val="00C7062A"/>
    <w:rsid w:val="00C70632"/>
    <w:rsid w:val="00C70633"/>
    <w:rsid w:val="00C70656"/>
    <w:rsid w:val="00C70704"/>
    <w:rsid w:val="00C70708"/>
    <w:rsid w:val="00C70718"/>
    <w:rsid w:val="00C7073C"/>
    <w:rsid w:val="00C707D9"/>
    <w:rsid w:val="00C707E4"/>
    <w:rsid w:val="00C7081D"/>
    <w:rsid w:val="00C70873"/>
    <w:rsid w:val="00C70874"/>
    <w:rsid w:val="00C70890"/>
    <w:rsid w:val="00C708C5"/>
    <w:rsid w:val="00C709DD"/>
    <w:rsid w:val="00C70A4E"/>
    <w:rsid w:val="00C70A82"/>
    <w:rsid w:val="00C70AC8"/>
    <w:rsid w:val="00C70AD6"/>
    <w:rsid w:val="00C70B08"/>
    <w:rsid w:val="00C70B1E"/>
    <w:rsid w:val="00C70B37"/>
    <w:rsid w:val="00C70B49"/>
    <w:rsid w:val="00C70B5C"/>
    <w:rsid w:val="00C70B91"/>
    <w:rsid w:val="00C70BAB"/>
    <w:rsid w:val="00C70BC5"/>
    <w:rsid w:val="00C70BE6"/>
    <w:rsid w:val="00C70CA5"/>
    <w:rsid w:val="00C70CAF"/>
    <w:rsid w:val="00C70CCF"/>
    <w:rsid w:val="00C70D08"/>
    <w:rsid w:val="00C70D64"/>
    <w:rsid w:val="00C70DA4"/>
    <w:rsid w:val="00C70DD8"/>
    <w:rsid w:val="00C70E09"/>
    <w:rsid w:val="00C70E48"/>
    <w:rsid w:val="00C70EAB"/>
    <w:rsid w:val="00C70F01"/>
    <w:rsid w:val="00C70F31"/>
    <w:rsid w:val="00C70F44"/>
    <w:rsid w:val="00C70F58"/>
    <w:rsid w:val="00C70F71"/>
    <w:rsid w:val="00C70FAD"/>
    <w:rsid w:val="00C70FD9"/>
    <w:rsid w:val="00C7100D"/>
    <w:rsid w:val="00C71056"/>
    <w:rsid w:val="00C710A0"/>
    <w:rsid w:val="00C710A8"/>
    <w:rsid w:val="00C710B7"/>
    <w:rsid w:val="00C710BF"/>
    <w:rsid w:val="00C710C6"/>
    <w:rsid w:val="00C71187"/>
    <w:rsid w:val="00C711EF"/>
    <w:rsid w:val="00C71244"/>
    <w:rsid w:val="00C7128E"/>
    <w:rsid w:val="00C712A8"/>
    <w:rsid w:val="00C712B7"/>
    <w:rsid w:val="00C712E7"/>
    <w:rsid w:val="00C712E9"/>
    <w:rsid w:val="00C71314"/>
    <w:rsid w:val="00C7136D"/>
    <w:rsid w:val="00C71395"/>
    <w:rsid w:val="00C713A4"/>
    <w:rsid w:val="00C713D3"/>
    <w:rsid w:val="00C71450"/>
    <w:rsid w:val="00C7152D"/>
    <w:rsid w:val="00C71554"/>
    <w:rsid w:val="00C7157B"/>
    <w:rsid w:val="00C71580"/>
    <w:rsid w:val="00C71581"/>
    <w:rsid w:val="00C71591"/>
    <w:rsid w:val="00C715E6"/>
    <w:rsid w:val="00C715F7"/>
    <w:rsid w:val="00C7163C"/>
    <w:rsid w:val="00C71677"/>
    <w:rsid w:val="00C716CF"/>
    <w:rsid w:val="00C71735"/>
    <w:rsid w:val="00C71759"/>
    <w:rsid w:val="00C71764"/>
    <w:rsid w:val="00C71774"/>
    <w:rsid w:val="00C71792"/>
    <w:rsid w:val="00C717E2"/>
    <w:rsid w:val="00C71812"/>
    <w:rsid w:val="00C7181C"/>
    <w:rsid w:val="00C71834"/>
    <w:rsid w:val="00C7189C"/>
    <w:rsid w:val="00C7189D"/>
    <w:rsid w:val="00C718C8"/>
    <w:rsid w:val="00C718FC"/>
    <w:rsid w:val="00C71909"/>
    <w:rsid w:val="00C71997"/>
    <w:rsid w:val="00C71A2F"/>
    <w:rsid w:val="00C71A37"/>
    <w:rsid w:val="00C71A8F"/>
    <w:rsid w:val="00C71AA9"/>
    <w:rsid w:val="00C71AB2"/>
    <w:rsid w:val="00C71AB9"/>
    <w:rsid w:val="00C71AE5"/>
    <w:rsid w:val="00C71AF6"/>
    <w:rsid w:val="00C71B18"/>
    <w:rsid w:val="00C71B31"/>
    <w:rsid w:val="00C71B5C"/>
    <w:rsid w:val="00C71BA7"/>
    <w:rsid w:val="00C71BC8"/>
    <w:rsid w:val="00C71BDE"/>
    <w:rsid w:val="00C71C5B"/>
    <w:rsid w:val="00C71C5D"/>
    <w:rsid w:val="00C71C63"/>
    <w:rsid w:val="00C71C9A"/>
    <w:rsid w:val="00C71CFC"/>
    <w:rsid w:val="00C71D1E"/>
    <w:rsid w:val="00C71D5D"/>
    <w:rsid w:val="00C71D5E"/>
    <w:rsid w:val="00C71D61"/>
    <w:rsid w:val="00C71D7A"/>
    <w:rsid w:val="00C71DA6"/>
    <w:rsid w:val="00C71DB3"/>
    <w:rsid w:val="00C71DCD"/>
    <w:rsid w:val="00C71E08"/>
    <w:rsid w:val="00C71E5D"/>
    <w:rsid w:val="00C71EC0"/>
    <w:rsid w:val="00C71EE2"/>
    <w:rsid w:val="00C71F00"/>
    <w:rsid w:val="00C71F07"/>
    <w:rsid w:val="00C71F1F"/>
    <w:rsid w:val="00C71F30"/>
    <w:rsid w:val="00C71F58"/>
    <w:rsid w:val="00C71F70"/>
    <w:rsid w:val="00C71FCA"/>
    <w:rsid w:val="00C71FDF"/>
    <w:rsid w:val="00C72002"/>
    <w:rsid w:val="00C7201D"/>
    <w:rsid w:val="00C72023"/>
    <w:rsid w:val="00C72056"/>
    <w:rsid w:val="00C7209F"/>
    <w:rsid w:val="00C7210E"/>
    <w:rsid w:val="00C72114"/>
    <w:rsid w:val="00C72136"/>
    <w:rsid w:val="00C72149"/>
    <w:rsid w:val="00C7218B"/>
    <w:rsid w:val="00C7218E"/>
    <w:rsid w:val="00C72196"/>
    <w:rsid w:val="00C7219E"/>
    <w:rsid w:val="00C721AD"/>
    <w:rsid w:val="00C721C9"/>
    <w:rsid w:val="00C721DE"/>
    <w:rsid w:val="00C72242"/>
    <w:rsid w:val="00C7224B"/>
    <w:rsid w:val="00C7225E"/>
    <w:rsid w:val="00C7230D"/>
    <w:rsid w:val="00C72331"/>
    <w:rsid w:val="00C723DF"/>
    <w:rsid w:val="00C723E6"/>
    <w:rsid w:val="00C7243E"/>
    <w:rsid w:val="00C72447"/>
    <w:rsid w:val="00C724C2"/>
    <w:rsid w:val="00C72501"/>
    <w:rsid w:val="00C7250E"/>
    <w:rsid w:val="00C72529"/>
    <w:rsid w:val="00C7257C"/>
    <w:rsid w:val="00C72598"/>
    <w:rsid w:val="00C7261B"/>
    <w:rsid w:val="00C7262B"/>
    <w:rsid w:val="00C7262C"/>
    <w:rsid w:val="00C726B3"/>
    <w:rsid w:val="00C726BC"/>
    <w:rsid w:val="00C7272E"/>
    <w:rsid w:val="00C7277E"/>
    <w:rsid w:val="00C727A9"/>
    <w:rsid w:val="00C72812"/>
    <w:rsid w:val="00C72826"/>
    <w:rsid w:val="00C7282E"/>
    <w:rsid w:val="00C728A1"/>
    <w:rsid w:val="00C728AC"/>
    <w:rsid w:val="00C728B4"/>
    <w:rsid w:val="00C728BC"/>
    <w:rsid w:val="00C728FD"/>
    <w:rsid w:val="00C72947"/>
    <w:rsid w:val="00C72955"/>
    <w:rsid w:val="00C72995"/>
    <w:rsid w:val="00C72A3B"/>
    <w:rsid w:val="00C72A5B"/>
    <w:rsid w:val="00C72A62"/>
    <w:rsid w:val="00C72A73"/>
    <w:rsid w:val="00C72AC0"/>
    <w:rsid w:val="00C72AF6"/>
    <w:rsid w:val="00C72AF7"/>
    <w:rsid w:val="00C72B1A"/>
    <w:rsid w:val="00C72B57"/>
    <w:rsid w:val="00C72B7E"/>
    <w:rsid w:val="00C72B91"/>
    <w:rsid w:val="00C72B94"/>
    <w:rsid w:val="00C72BF4"/>
    <w:rsid w:val="00C72C28"/>
    <w:rsid w:val="00C72C5B"/>
    <w:rsid w:val="00C72CCD"/>
    <w:rsid w:val="00C72D1F"/>
    <w:rsid w:val="00C72D52"/>
    <w:rsid w:val="00C72D7D"/>
    <w:rsid w:val="00C72D94"/>
    <w:rsid w:val="00C72DE0"/>
    <w:rsid w:val="00C72DF4"/>
    <w:rsid w:val="00C72ED2"/>
    <w:rsid w:val="00C72EFB"/>
    <w:rsid w:val="00C72F59"/>
    <w:rsid w:val="00C72F78"/>
    <w:rsid w:val="00C72F8F"/>
    <w:rsid w:val="00C72F94"/>
    <w:rsid w:val="00C72F9E"/>
    <w:rsid w:val="00C72FD8"/>
    <w:rsid w:val="00C73011"/>
    <w:rsid w:val="00C7302E"/>
    <w:rsid w:val="00C7304D"/>
    <w:rsid w:val="00C73085"/>
    <w:rsid w:val="00C7308A"/>
    <w:rsid w:val="00C7308C"/>
    <w:rsid w:val="00C73121"/>
    <w:rsid w:val="00C73158"/>
    <w:rsid w:val="00C731A1"/>
    <w:rsid w:val="00C731AC"/>
    <w:rsid w:val="00C731B5"/>
    <w:rsid w:val="00C731CD"/>
    <w:rsid w:val="00C73229"/>
    <w:rsid w:val="00C7325D"/>
    <w:rsid w:val="00C732CD"/>
    <w:rsid w:val="00C732CF"/>
    <w:rsid w:val="00C73351"/>
    <w:rsid w:val="00C73353"/>
    <w:rsid w:val="00C7336F"/>
    <w:rsid w:val="00C73388"/>
    <w:rsid w:val="00C73398"/>
    <w:rsid w:val="00C7339E"/>
    <w:rsid w:val="00C733A4"/>
    <w:rsid w:val="00C733A5"/>
    <w:rsid w:val="00C733B4"/>
    <w:rsid w:val="00C733D5"/>
    <w:rsid w:val="00C733FD"/>
    <w:rsid w:val="00C7342B"/>
    <w:rsid w:val="00C7344A"/>
    <w:rsid w:val="00C7345F"/>
    <w:rsid w:val="00C73482"/>
    <w:rsid w:val="00C73485"/>
    <w:rsid w:val="00C734D0"/>
    <w:rsid w:val="00C7354A"/>
    <w:rsid w:val="00C73601"/>
    <w:rsid w:val="00C73661"/>
    <w:rsid w:val="00C73680"/>
    <w:rsid w:val="00C73694"/>
    <w:rsid w:val="00C736AE"/>
    <w:rsid w:val="00C736B5"/>
    <w:rsid w:val="00C73740"/>
    <w:rsid w:val="00C73785"/>
    <w:rsid w:val="00C7378F"/>
    <w:rsid w:val="00C737DC"/>
    <w:rsid w:val="00C7381A"/>
    <w:rsid w:val="00C73878"/>
    <w:rsid w:val="00C738BC"/>
    <w:rsid w:val="00C738CF"/>
    <w:rsid w:val="00C738E9"/>
    <w:rsid w:val="00C738F4"/>
    <w:rsid w:val="00C73912"/>
    <w:rsid w:val="00C73917"/>
    <w:rsid w:val="00C73932"/>
    <w:rsid w:val="00C739A8"/>
    <w:rsid w:val="00C739CC"/>
    <w:rsid w:val="00C739FA"/>
    <w:rsid w:val="00C73A28"/>
    <w:rsid w:val="00C73A7E"/>
    <w:rsid w:val="00C73A8E"/>
    <w:rsid w:val="00C73AC4"/>
    <w:rsid w:val="00C73AFF"/>
    <w:rsid w:val="00C73B00"/>
    <w:rsid w:val="00C73B11"/>
    <w:rsid w:val="00C73B7F"/>
    <w:rsid w:val="00C73B9F"/>
    <w:rsid w:val="00C73BA2"/>
    <w:rsid w:val="00C73BBC"/>
    <w:rsid w:val="00C73BC1"/>
    <w:rsid w:val="00C73BDC"/>
    <w:rsid w:val="00C73BF4"/>
    <w:rsid w:val="00C73BFC"/>
    <w:rsid w:val="00C73C0F"/>
    <w:rsid w:val="00C73C6F"/>
    <w:rsid w:val="00C73C7A"/>
    <w:rsid w:val="00C73C7D"/>
    <w:rsid w:val="00C73D03"/>
    <w:rsid w:val="00C73D19"/>
    <w:rsid w:val="00C73DD9"/>
    <w:rsid w:val="00C73E17"/>
    <w:rsid w:val="00C73E2B"/>
    <w:rsid w:val="00C73E47"/>
    <w:rsid w:val="00C73E81"/>
    <w:rsid w:val="00C73ED4"/>
    <w:rsid w:val="00C73EED"/>
    <w:rsid w:val="00C73EF0"/>
    <w:rsid w:val="00C73EF2"/>
    <w:rsid w:val="00C73F09"/>
    <w:rsid w:val="00C73F5D"/>
    <w:rsid w:val="00C73F7C"/>
    <w:rsid w:val="00C73F8E"/>
    <w:rsid w:val="00C73F98"/>
    <w:rsid w:val="00C73FDA"/>
    <w:rsid w:val="00C7401B"/>
    <w:rsid w:val="00C7403F"/>
    <w:rsid w:val="00C74046"/>
    <w:rsid w:val="00C740AA"/>
    <w:rsid w:val="00C740B5"/>
    <w:rsid w:val="00C740BE"/>
    <w:rsid w:val="00C74111"/>
    <w:rsid w:val="00C74171"/>
    <w:rsid w:val="00C741BA"/>
    <w:rsid w:val="00C7434E"/>
    <w:rsid w:val="00C74351"/>
    <w:rsid w:val="00C74370"/>
    <w:rsid w:val="00C743ED"/>
    <w:rsid w:val="00C74412"/>
    <w:rsid w:val="00C74435"/>
    <w:rsid w:val="00C74442"/>
    <w:rsid w:val="00C7447A"/>
    <w:rsid w:val="00C74493"/>
    <w:rsid w:val="00C744BE"/>
    <w:rsid w:val="00C744E5"/>
    <w:rsid w:val="00C745A9"/>
    <w:rsid w:val="00C745F9"/>
    <w:rsid w:val="00C7466A"/>
    <w:rsid w:val="00C74680"/>
    <w:rsid w:val="00C746BA"/>
    <w:rsid w:val="00C746D5"/>
    <w:rsid w:val="00C74703"/>
    <w:rsid w:val="00C74769"/>
    <w:rsid w:val="00C74796"/>
    <w:rsid w:val="00C7484C"/>
    <w:rsid w:val="00C7487C"/>
    <w:rsid w:val="00C7487E"/>
    <w:rsid w:val="00C74890"/>
    <w:rsid w:val="00C74891"/>
    <w:rsid w:val="00C7489D"/>
    <w:rsid w:val="00C748CD"/>
    <w:rsid w:val="00C748CE"/>
    <w:rsid w:val="00C748DC"/>
    <w:rsid w:val="00C7496D"/>
    <w:rsid w:val="00C749CF"/>
    <w:rsid w:val="00C749F9"/>
    <w:rsid w:val="00C74ABC"/>
    <w:rsid w:val="00C74AF0"/>
    <w:rsid w:val="00C74B03"/>
    <w:rsid w:val="00C74B13"/>
    <w:rsid w:val="00C74B58"/>
    <w:rsid w:val="00C74B9D"/>
    <w:rsid w:val="00C74BE3"/>
    <w:rsid w:val="00C74BF7"/>
    <w:rsid w:val="00C74C66"/>
    <w:rsid w:val="00C74C86"/>
    <w:rsid w:val="00C74C99"/>
    <w:rsid w:val="00C74CA7"/>
    <w:rsid w:val="00C74CAE"/>
    <w:rsid w:val="00C74CB9"/>
    <w:rsid w:val="00C74CD6"/>
    <w:rsid w:val="00C74CFB"/>
    <w:rsid w:val="00C74D30"/>
    <w:rsid w:val="00C74D87"/>
    <w:rsid w:val="00C74E1D"/>
    <w:rsid w:val="00C74E4B"/>
    <w:rsid w:val="00C74EA9"/>
    <w:rsid w:val="00C74ED4"/>
    <w:rsid w:val="00C74ED9"/>
    <w:rsid w:val="00C74F37"/>
    <w:rsid w:val="00C74F4A"/>
    <w:rsid w:val="00C74F6D"/>
    <w:rsid w:val="00C74FAD"/>
    <w:rsid w:val="00C74FB3"/>
    <w:rsid w:val="00C74FD5"/>
    <w:rsid w:val="00C74FFA"/>
    <w:rsid w:val="00C7505B"/>
    <w:rsid w:val="00C750E2"/>
    <w:rsid w:val="00C750EF"/>
    <w:rsid w:val="00C750F4"/>
    <w:rsid w:val="00C75118"/>
    <w:rsid w:val="00C75134"/>
    <w:rsid w:val="00C75135"/>
    <w:rsid w:val="00C751F8"/>
    <w:rsid w:val="00C7520F"/>
    <w:rsid w:val="00C75225"/>
    <w:rsid w:val="00C752CA"/>
    <w:rsid w:val="00C752F1"/>
    <w:rsid w:val="00C753DB"/>
    <w:rsid w:val="00C75405"/>
    <w:rsid w:val="00C7541C"/>
    <w:rsid w:val="00C75427"/>
    <w:rsid w:val="00C75437"/>
    <w:rsid w:val="00C7544F"/>
    <w:rsid w:val="00C75463"/>
    <w:rsid w:val="00C75476"/>
    <w:rsid w:val="00C75496"/>
    <w:rsid w:val="00C7552E"/>
    <w:rsid w:val="00C75563"/>
    <w:rsid w:val="00C755AD"/>
    <w:rsid w:val="00C755AF"/>
    <w:rsid w:val="00C755B3"/>
    <w:rsid w:val="00C755D0"/>
    <w:rsid w:val="00C7565F"/>
    <w:rsid w:val="00C7567E"/>
    <w:rsid w:val="00C75696"/>
    <w:rsid w:val="00C7572E"/>
    <w:rsid w:val="00C7573F"/>
    <w:rsid w:val="00C75794"/>
    <w:rsid w:val="00C757B8"/>
    <w:rsid w:val="00C757CA"/>
    <w:rsid w:val="00C757E7"/>
    <w:rsid w:val="00C757E8"/>
    <w:rsid w:val="00C75851"/>
    <w:rsid w:val="00C75871"/>
    <w:rsid w:val="00C758BD"/>
    <w:rsid w:val="00C75905"/>
    <w:rsid w:val="00C75917"/>
    <w:rsid w:val="00C75938"/>
    <w:rsid w:val="00C75955"/>
    <w:rsid w:val="00C75967"/>
    <w:rsid w:val="00C7598F"/>
    <w:rsid w:val="00C75A12"/>
    <w:rsid w:val="00C75A2D"/>
    <w:rsid w:val="00C75A46"/>
    <w:rsid w:val="00C75A4D"/>
    <w:rsid w:val="00C75A8B"/>
    <w:rsid w:val="00C75AA8"/>
    <w:rsid w:val="00C75AED"/>
    <w:rsid w:val="00C75B89"/>
    <w:rsid w:val="00C75B8E"/>
    <w:rsid w:val="00C75B9F"/>
    <w:rsid w:val="00C75BDD"/>
    <w:rsid w:val="00C75C1C"/>
    <w:rsid w:val="00C75C1F"/>
    <w:rsid w:val="00C75C2B"/>
    <w:rsid w:val="00C75C2E"/>
    <w:rsid w:val="00C75C33"/>
    <w:rsid w:val="00C75C6F"/>
    <w:rsid w:val="00C75C70"/>
    <w:rsid w:val="00C75CA8"/>
    <w:rsid w:val="00C75D7B"/>
    <w:rsid w:val="00C75DCB"/>
    <w:rsid w:val="00C75E3D"/>
    <w:rsid w:val="00C75E52"/>
    <w:rsid w:val="00C75E79"/>
    <w:rsid w:val="00C75EA9"/>
    <w:rsid w:val="00C75EEB"/>
    <w:rsid w:val="00C75F1E"/>
    <w:rsid w:val="00C75F58"/>
    <w:rsid w:val="00C75F76"/>
    <w:rsid w:val="00C75F78"/>
    <w:rsid w:val="00C75F83"/>
    <w:rsid w:val="00C76012"/>
    <w:rsid w:val="00C76020"/>
    <w:rsid w:val="00C7606B"/>
    <w:rsid w:val="00C760BC"/>
    <w:rsid w:val="00C760FA"/>
    <w:rsid w:val="00C76109"/>
    <w:rsid w:val="00C76126"/>
    <w:rsid w:val="00C7613B"/>
    <w:rsid w:val="00C76169"/>
    <w:rsid w:val="00C761FC"/>
    <w:rsid w:val="00C7625D"/>
    <w:rsid w:val="00C76273"/>
    <w:rsid w:val="00C762E5"/>
    <w:rsid w:val="00C762F6"/>
    <w:rsid w:val="00C76353"/>
    <w:rsid w:val="00C763A1"/>
    <w:rsid w:val="00C763A5"/>
    <w:rsid w:val="00C763AC"/>
    <w:rsid w:val="00C763B1"/>
    <w:rsid w:val="00C76481"/>
    <w:rsid w:val="00C76489"/>
    <w:rsid w:val="00C7649A"/>
    <w:rsid w:val="00C764E6"/>
    <w:rsid w:val="00C764EE"/>
    <w:rsid w:val="00C76568"/>
    <w:rsid w:val="00C76569"/>
    <w:rsid w:val="00C765B6"/>
    <w:rsid w:val="00C765C2"/>
    <w:rsid w:val="00C765E1"/>
    <w:rsid w:val="00C7660D"/>
    <w:rsid w:val="00C76685"/>
    <w:rsid w:val="00C76694"/>
    <w:rsid w:val="00C766AB"/>
    <w:rsid w:val="00C766B4"/>
    <w:rsid w:val="00C766DB"/>
    <w:rsid w:val="00C76754"/>
    <w:rsid w:val="00C767AB"/>
    <w:rsid w:val="00C767D6"/>
    <w:rsid w:val="00C767E2"/>
    <w:rsid w:val="00C767EB"/>
    <w:rsid w:val="00C76832"/>
    <w:rsid w:val="00C7683B"/>
    <w:rsid w:val="00C76842"/>
    <w:rsid w:val="00C768A7"/>
    <w:rsid w:val="00C76933"/>
    <w:rsid w:val="00C76971"/>
    <w:rsid w:val="00C7698D"/>
    <w:rsid w:val="00C769A2"/>
    <w:rsid w:val="00C769D0"/>
    <w:rsid w:val="00C769EC"/>
    <w:rsid w:val="00C769F3"/>
    <w:rsid w:val="00C76A00"/>
    <w:rsid w:val="00C76A1E"/>
    <w:rsid w:val="00C76A3B"/>
    <w:rsid w:val="00C76AEC"/>
    <w:rsid w:val="00C76B5C"/>
    <w:rsid w:val="00C76B9E"/>
    <w:rsid w:val="00C76BEA"/>
    <w:rsid w:val="00C76BF5"/>
    <w:rsid w:val="00C76C8E"/>
    <w:rsid w:val="00C76CA7"/>
    <w:rsid w:val="00C76CDD"/>
    <w:rsid w:val="00C76CF4"/>
    <w:rsid w:val="00C76D9F"/>
    <w:rsid w:val="00C76DBB"/>
    <w:rsid w:val="00C76DF6"/>
    <w:rsid w:val="00C76E1B"/>
    <w:rsid w:val="00C76E37"/>
    <w:rsid w:val="00C76E43"/>
    <w:rsid w:val="00C76F69"/>
    <w:rsid w:val="00C76FA9"/>
    <w:rsid w:val="00C76FCE"/>
    <w:rsid w:val="00C76FF7"/>
    <w:rsid w:val="00C770B7"/>
    <w:rsid w:val="00C770B8"/>
    <w:rsid w:val="00C77129"/>
    <w:rsid w:val="00C77144"/>
    <w:rsid w:val="00C7723F"/>
    <w:rsid w:val="00C7726B"/>
    <w:rsid w:val="00C7727B"/>
    <w:rsid w:val="00C7727D"/>
    <w:rsid w:val="00C772FA"/>
    <w:rsid w:val="00C7730E"/>
    <w:rsid w:val="00C77375"/>
    <w:rsid w:val="00C77376"/>
    <w:rsid w:val="00C773B6"/>
    <w:rsid w:val="00C77469"/>
    <w:rsid w:val="00C77488"/>
    <w:rsid w:val="00C774A0"/>
    <w:rsid w:val="00C774D8"/>
    <w:rsid w:val="00C774E1"/>
    <w:rsid w:val="00C774E6"/>
    <w:rsid w:val="00C7750A"/>
    <w:rsid w:val="00C77573"/>
    <w:rsid w:val="00C7758A"/>
    <w:rsid w:val="00C77673"/>
    <w:rsid w:val="00C77684"/>
    <w:rsid w:val="00C77731"/>
    <w:rsid w:val="00C77762"/>
    <w:rsid w:val="00C777BB"/>
    <w:rsid w:val="00C777C7"/>
    <w:rsid w:val="00C777CA"/>
    <w:rsid w:val="00C77806"/>
    <w:rsid w:val="00C77814"/>
    <w:rsid w:val="00C77823"/>
    <w:rsid w:val="00C77842"/>
    <w:rsid w:val="00C77863"/>
    <w:rsid w:val="00C778DC"/>
    <w:rsid w:val="00C778F3"/>
    <w:rsid w:val="00C77940"/>
    <w:rsid w:val="00C77967"/>
    <w:rsid w:val="00C77971"/>
    <w:rsid w:val="00C7797A"/>
    <w:rsid w:val="00C7799C"/>
    <w:rsid w:val="00C77A49"/>
    <w:rsid w:val="00C77A75"/>
    <w:rsid w:val="00C77A81"/>
    <w:rsid w:val="00C77A89"/>
    <w:rsid w:val="00C77A94"/>
    <w:rsid w:val="00C77A97"/>
    <w:rsid w:val="00C77B0B"/>
    <w:rsid w:val="00C77B22"/>
    <w:rsid w:val="00C77B50"/>
    <w:rsid w:val="00C77BC0"/>
    <w:rsid w:val="00C77BDC"/>
    <w:rsid w:val="00C77C34"/>
    <w:rsid w:val="00C77C35"/>
    <w:rsid w:val="00C77C3E"/>
    <w:rsid w:val="00C77C7D"/>
    <w:rsid w:val="00C77CDD"/>
    <w:rsid w:val="00C77CF4"/>
    <w:rsid w:val="00C77D04"/>
    <w:rsid w:val="00C77D1B"/>
    <w:rsid w:val="00C77D2A"/>
    <w:rsid w:val="00C77D88"/>
    <w:rsid w:val="00C77DB1"/>
    <w:rsid w:val="00C77DDA"/>
    <w:rsid w:val="00C77E2B"/>
    <w:rsid w:val="00C77E2F"/>
    <w:rsid w:val="00C77E48"/>
    <w:rsid w:val="00C77E98"/>
    <w:rsid w:val="00C77EAF"/>
    <w:rsid w:val="00C77EC0"/>
    <w:rsid w:val="00C77ECB"/>
    <w:rsid w:val="00C77EDE"/>
    <w:rsid w:val="00C77F57"/>
    <w:rsid w:val="00C8002B"/>
    <w:rsid w:val="00C8002F"/>
    <w:rsid w:val="00C8003C"/>
    <w:rsid w:val="00C8003E"/>
    <w:rsid w:val="00C8005D"/>
    <w:rsid w:val="00C8007D"/>
    <w:rsid w:val="00C800C5"/>
    <w:rsid w:val="00C80160"/>
    <w:rsid w:val="00C801A0"/>
    <w:rsid w:val="00C801BA"/>
    <w:rsid w:val="00C801CC"/>
    <w:rsid w:val="00C801D0"/>
    <w:rsid w:val="00C8022B"/>
    <w:rsid w:val="00C80267"/>
    <w:rsid w:val="00C80341"/>
    <w:rsid w:val="00C803A6"/>
    <w:rsid w:val="00C803A7"/>
    <w:rsid w:val="00C80405"/>
    <w:rsid w:val="00C80412"/>
    <w:rsid w:val="00C8044D"/>
    <w:rsid w:val="00C80550"/>
    <w:rsid w:val="00C80572"/>
    <w:rsid w:val="00C805AA"/>
    <w:rsid w:val="00C805CC"/>
    <w:rsid w:val="00C8061B"/>
    <w:rsid w:val="00C80625"/>
    <w:rsid w:val="00C80628"/>
    <w:rsid w:val="00C8064D"/>
    <w:rsid w:val="00C80674"/>
    <w:rsid w:val="00C80690"/>
    <w:rsid w:val="00C806BA"/>
    <w:rsid w:val="00C806C3"/>
    <w:rsid w:val="00C806CB"/>
    <w:rsid w:val="00C806D8"/>
    <w:rsid w:val="00C806DE"/>
    <w:rsid w:val="00C80771"/>
    <w:rsid w:val="00C807CE"/>
    <w:rsid w:val="00C807DB"/>
    <w:rsid w:val="00C80800"/>
    <w:rsid w:val="00C80802"/>
    <w:rsid w:val="00C80818"/>
    <w:rsid w:val="00C8083E"/>
    <w:rsid w:val="00C80857"/>
    <w:rsid w:val="00C808DA"/>
    <w:rsid w:val="00C808DC"/>
    <w:rsid w:val="00C80916"/>
    <w:rsid w:val="00C8092F"/>
    <w:rsid w:val="00C8094F"/>
    <w:rsid w:val="00C8096E"/>
    <w:rsid w:val="00C809CD"/>
    <w:rsid w:val="00C809EC"/>
    <w:rsid w:val="00C80A0B"/>
    <w:rsid w:val="00C80A44"/>
    <w:rsid w:val="00C80A6E"/>
    <w:rsid w:val="00C80AE9"/>
    <w:rsid w:val="00C80AEA"/>
    <w:rsid w:val="00C80B01"/>
    <w:rsid w:val="00C80B73"/>
    <w:rsid w:val="00C80B90"/>
    <w:rsid w:val="00C80B94"/>
    <w:rsid w:val="00C80B95"/>
    <w:rsid w:val="00C80C0F"/>
    <w:rsid w:val="00C80C7D"/>
    <w:rsid w:val="00C80CA1"/>
    <w:rsid w:val="00C80CAB"/>
    <w:rsid w:val="00C80CC6"/>
    <w:rsid w:val="00C80CF2"/>
    <w:rsid w:val="00C80D05"/>
    <w:rsid w:val="00C80D0F"/>
    <w:rsid w:val="00C80D19"/>
    <w:rsid w:val="00C80D27"/>
    <w:rsid w:val="00C80D54"/>
    <w:rsid w:val="00C80D7A"/>
    <w:rsid w:val="00C80DA9"/>
    <w:rsid w:val="00C80E04"/>
    <w:rsid w:val="00C80E28"/>
    <w:rsid w:val="00C80E37"/>
    <w:rsid w:val="00C80E3A"/>
    <w:rsid w:val="00C80E45"/>
    <w:rsid w:val="00C80EAD"/>
    <w:rsid w:val="00C80EB6"/>
    <w:rsid w:val="00C80EBC"/>
    <w:rsid w:val="00C80F10"/>
    <w:rsid w:val="00C80F26"/>
    <w:rsid w:val="00C80F91"/>
    <w:rsid w:val="00C80FB1"/>
    <w:rsid w:val="00C80FBF"/>
    <w:rsid w:val="00C80FCD"/>
    <w:rsid w:val="00C80FD2"/>
    <w:rsid w:val="00C80FEF"/>
    <w:rsid w:val="00C8102C"/>
    <w:rsid w:val="00C810A0"/>
    <w:rsid w:val="00C810AD"/>
    <w:rsid w:val="00C810B3"/>
    <w:rsid w:val="00C81113"/>
    <w:rsid w:val="00C81156"/>
    <w:rsid w:val="00C81161"/>
    <w:rsid w:val="00C811C1"/>
    <w:rsid w:val="00C81209"/>
    <w:rsid w:val="00C81221"/>
    <w:rsid w:val="00C8126F"/>
    <w:rsid w:val="00C8128A"/>
    <w:rsid w:val="00C81350"/>
    <w:rsid w:val="00C813E2"/>
    <w:rsid w:val="00C81411"/>
    <w:rsid w:val="00C8141A"/>
    <w:rsid w:val="00C8141D"/>
    <w:rsid w:val="00C8145A"/>
    <w:rsid w:val="00C81465"/>
    <w:rsid w:val="00C814A1"/>
    <w:rsid w:val="00C814F1"/>
    <w:rsid w:val="00C814FB"/>
    <w:rsid w:val="00C81506"/>
    <w:rsid w:val="00C8153E"/>
    <w:rsid w:val="00C815C3"/>
    <w:rsid w:val="00C815E5"/>
    <w:rsid w:val="00C81624"/>
    <w:rsid w:val="00C81682"/>
    <w:rsid w:val="00C816A1"/>
    <w:rsid w:val="00C816A2"/>
    <w:rsid w:val="00C816AD"/>
    <w:rsid w:val="00C81754"/>
    <w:rsid w:val="00C8175A"/>
    <w:rsid w:val="00C81771"/>
    <w:rsid w:val="00C817CC"/>
    <w:rsid w:val="00C81805"/>
    <w:rsid w:val="00C818A1"/>
    <w:rsid w:val="00C818FD"/>
    <w:rsid w:val="00C8194E"/>
    <w:rsid w:val="00C81955"/>
    <w:rsid w:val="00C81967"/>
    <w:rsid w:val="00C81994"/>
    <w:rsid w:val="00C819F6"/>
    <w:rsid w:val="00C819FB"/>
    <w:rsid w:val="00C81A4E"/>
    <w:rsid w:val="00C81A50"/>
    <w:rsid w:val="00C81AA9"/>
    <w:rsid w:val="00C81AC5"/>
    <w:rsid w:val="00C81ACB"/>
    <w:rsid w:val="00C81B1E"/>
    <w:rsid w:val="00C81B31"/>
    <w:rsid w:val="00C81BC4"/>
    <w:rsid w:val="00C81C36"/>
    <w:rsid w:val="00C81C3E"/>
    <w:rsid w:val="00C81C49"/>
    <w:rsid w:val="00C81CA5"/>
    <w:rsid w:val="00C81CCE"/>
    <w:rsid w:val="00C81D2F"/>
    <w:rsid w:val="00C81D8B"/>
    <w:rsid w:val="00C81D9E"/>
    <w:rsid w:val="00C81DBA"/>
    <w:rsid w:val="00C81E0F"/>
    <w:rsid w:val="00C81E3B"/>
    <w:rsid w:val="00C81E93"/>
    <w:rsid w:val="00C81EBC"/>
    <w:rsid w:val="00C81EF1"/>
    <w:rsid w:val="00C81EF3"/>
    <w:rsid w:val="00C81F07"/>
    <w:rsid w:val="00C81F22"/>
    <w:rsid w:val="00C81F23"/>
    <w:rsid w:val="00C81F4A"/>
    <w:rsid w:val="00C81F4D"/>
    <w:rsid w:val="00C8209F"/>
    <w:rsid w:val="00C820FC"/>
    <w:rsid w:val="00C82139"/>
    <w:rsid w:val="00C8214A"/>
    <w:rsid w:val="00C82165"/>
    <w:rsid w:val="00C821B8"/>
    <w:rsid w:val="00C821ED"/>
    <w:rsid w:val="00C821FB"/>
    <w:rsid w:val="00C82202"/>
    <w:rsid w:val="00C8220D"/>
    <w:rsid w:val="00C82216"/>
    <w:rsid w:val="00C8227F"/>
    <w:rsid w:val="00C82316"/>
    <w:rsid w:val="00C82343"/>
    <w:rsid w:val="00C82363"/>
    <w:rsid w:val="00C8236F"/>
    <w:rsid w:val="00C82397"/>
    <w:rsid w:val="00C823D2"/>
    <w:rsid w:val="00C823D8"/>
    <w:rsid w:val="00C8246E"/>
    <w:rsid w:val="00C82482"/>
    <w:rsid w:val="00C824D0"/>
    <w:rsid w:val="00C824DD"/>
    <w:rsid w:val="00C82542"/>
    <w:rsid w:val="00C82560"/>
    <w:rsid w:val="00C8262B"/>
    <w:rsid w:val="00C82634"/>
    <w:rsid w:val="00C8264C"/>
    <w:rsid w:val="00C826CE"/>
    <w:rsid w:val="00C826FB"/>
    <w:rsid w:val="00C8270E"/>
    <w:rsid w:val="00C82729"/>
    <w:rsid w:val="00C82742"/>
    <w:rsid w:val="00C8275F"/>
    <w:rsid w:val="00C82772"/>
    <w:rsid w:val="00C8286C"/>
    <w:rsid w:val="00C8287B"/>
    <w:rsid w:val="00C828F8"/>
    <w:rsid w:val="00C828FC"/>
    <w:rsid w:val="00C82902"/>
    <w:rsid w:val="00C82927"/>
    <w:rsid w:val="00C82934"/>
    <w:rsid w:val="00C82937"/>
    <w:rsid w:val="00C82A11"/>
    <w:rsid w:val="00C82A85"/>
    <w:rsid w:val="00C82BAB"/>
    <w:rsid w:val="00C82BC0"/>
    <w:rsid w:val="00C82BE5"/>
    <w:rsid w:val="00C82C1D"/>
    <w:rsid w:val="00C82C48"/>
    <w:rsid w:val="00C82CAD"/>
    <w:rsid w:val="00C82CDD"/>
    <w:rsid w:val="00C82D55"/>
    <w:rsid w:val="00C82D80"/>
    <w:rsid w:val="00C82D82"/>
    <w:rsid w:val="00C82DAA"/>
    <w:rsid w:val="00C82DC2"/>
    <w:rsid w:val="00C82E21"/>
    <w:rsid w:val="00C82E27"/>
    <w:rsid w:val="00C82E57"/>
    <w:rsid w:val="00C82EE6"/>
    <w:rsid w:val="00C82F35"/>
    <w:rsid w:val="00C82F43"/>
    <w:rsid w:val="00C82F4F"/>
    <w:rsid w:val="00C82F52"/>
    <w:rsid w:val="00C82F70"/>
    <w:rsid w:val="00C82F9E"/>
    <w:rsid w:val="00C83025"/>
    <w:rsid w:val="00C83097"/>
    <w:rsid w:val="00C830BC"/>
    <w:rsid w:val="00C830FC"/>
    <w:rsid w:val="00C8310C"/>
    <w:rsid w:val="00C83121"/>
    <w:rsid w:val="00C83142"/>
    <w:rsid w:val="00C8318D"/>
    <w:rsid w:val="00C83271"/>
    <w:rsid w:val="00C8328A"/>
    <w:rsid w:val="00C832A9"/>
    <w:rsid w:val="00C832C7"/>
    <w:rsid w:val="00C83336"/>
    <w:rsid w:val="00C8338E"/>
    <w:rsid w:val="00C83390"/>
    <w:rsid w:val="00C833B8"/>
    <w:rsid w:val="00C833B9"/>
    <w:rsid w:val="00C833E2"/>
    <w:rsid w:val="00C83420"/>
    <w:rsid w:val="00C83432"/>
    <w:rsid w:val="00C8343C"/>
    <w:rsid w:val="00C8343D"/>
    <w:rsid w:val="00C8344F"/>
    <w:rsid w:val="00C83467"/>
    <w:rsid w:val="00C83491"/>
    <w:rsid w:val="00C834D7"/>
    <w:rsid w:val="00C83529"/>
    <w:rsid w:val="00C8357A"/>
    <w:rsid w:val="00C835DB"/>
    <w:rsid w:val="00C83645"/>
    <w:rsid w:val="00C83665"/>
    <w:rsid w:val="00C83671"/>
    <w:rsid w:val="00C8368E"/>
    <w:rsid w:val="00C836DB"/>
    <w:rsid w:val="00C836E1"/>
    <w:rsid w:val="00C83720"/>
    <w:rsid w:val="00C83770"/>
    <w:rsid w:val="00C83774"/>
    <w:rsid w:val="00C837A7"/>
    <w:rsid w:val="00C837DF"/>
    <w:rsid w:val="00C837E1"/>
    <w:rsid w:val="00C837FC"/>
    <w:rsid w:val="00C83818"/>
    <w:rsid w:val="00C83830"/>
    <w:rsid w:val="00C83849"/>
    <w:rsid w:val="00C838C3"/>
    <w:rsid w:val="00C838EF"/>
    <w:rsid w:val="00C83910"/>
    <w:rsid w:val="00C83916"/>
    <w:rsid w:val="00C8396C"/>
    <w:rsid w:val="00C8396F"/>
    <w:rsid w:val="00C839AA"/>
    <w:rsid w:val="00C83A41"/>
    <w:rsid w:val="00C83A93"/>
    <w:rsid w:val="00C83B34"/>
    <w:rsid w:val="00C83B46"/>
    <w:rsid w:val="00C83B59"/>
    <w:rsid w:val="00C83B5B"/>
    <w:rsid w:val="00C83B71"/>
    <w:rsid w:val="00C83B75"/>
    <w:rsid w:val="00C83B98"/>
    <w:rsid w:val="00C83BCA"/>
    <w:rsid w:val="00C83C07"/>
    <w:rsid w:val="00C83C4A"/>
    <w:rsid w:val="00C83C60"/>
    <w:rsid w:val="00C83C7E"/>
    <w:rsid w:val="00C83C86"/>
    <w:rsid w:val="00C83C95"/>
    <w:rsid w:val="00C83CCB"/>
    <w:rsid w:val="00C83CD8"/>
    <w:rsid w:val="00C83D43"/>
    <w:rsid w:val="00C83D6B"/>
    <w:rsid w:val="00C83D6C"/>
    <w:rsid w:val="00C83D77"/>
    <w:rsid w:val="00C83D7A"/>
    <w:rsid w:val="00C83D86"/>
    <w:rsid w:val="00C83DA3"/>
    <w:rsid w:val="00C83E1C"/>
    <w:rsid w:val="00C83E3F"/>
    <w:rsid w:val="00C83E44"/>
    <w:rsid w:val="00C83EAB"/>
    <w:rsid w:val="00C83EAE"/>
    <w:rsid w:val="00C83EBF"/>
    <w:rsid w:val="00C83EE4"/>
    <w:rsid w:val="00C83F52"/>
    <w:rsid w:val="00C8400B"/>
    <w:rsid w:val="00C8403D"/>
    <w:rsid w:val="00C84058"/>
    <w:rsid w:val="00C84089"/>
    <w:rsid w:val="00C840A1"/>
    <w:rsid w:val="00C8410C"/>
    <w:rsid w:val="00C84122"/>
    <w:rsid w:val="00C84192"/>
    <w:rsid w:val="00C841D8"/>
    <w:rsid w:val="00C84200"/>
    <w:rsid w:val="00C8420A"/>
    <w:rsid w:val="00C84248"/>
    <w:rsid w:val="00C84250"/>
    <w:rsid w:val="00C84287"/>
    <w:rsid w:val="00C842BD"/>
    <w:rsid w:val="00C842C4"/>
    <w:rsid w:val="00C84323"/>
    <w:rsid w:val="00C84386"/>
    <w:rsid w:val="00C843B6"/>
    <w:rsid w:val="00C84418"/>
    <w:rsid w:val="00C84445"/>
    <w:rsid w:val="00C8446D"/>
    <w:rsid w:val="00C844AD"/>
    <w:rsid w:val="00C845B1"/>
    <w:rsid w:val="00C846B5"/>
    <w:rsid w:val="00C84709"/>
    <w:rsid w:val="00C84715"/>
    <w:rsid w:val="00C8474F"/>
    <w:rsid w:val="00C847C5"/>
    <w:rsid w:val="00C847DC"/>
    <w:rsid w:val="00C84805"/>
    <w:rsid w:val="00C848B8"/>
    <w:rsid w:val="00C848F6"/>
    <w:rsid w:val="00C8491B"/>
    <w:rsid w:val="00C8493E"/>
    <w:rsid w:val="00C84949"/>
    <w:rsid w:val="00C8495F"/>
    <w:rsid w:val="00C84A7B"/>
    <w:rsid w:val="00C84ABA"/>
    <w:rsid w:val="00C84ABB"/>
    <w:rsid w:val="00C84B1C"/>
    <w:rsid w:val="00C84B28"/>
    <w:rsid w:val="00C84B78"/>
    <w:rsid w:val="00C84BAE"/>
    <w:rsid w:val="00C84BE0"/>
    <w:rsid w:val="00C84BF8"/>
    <w:rsid w:val="00C84C31"/>
    <w:rsid w:val="00C84C52"/>
    <w:rsid w:val="00C84C69"/>
    <w:rsid w:val="00C84C79"/>
    <w:rsid w:val="00C84CB1"/>
    <w:rsid w:val="00C84CB5"/>
    <w:rsid w:val="00C84D1D"/>
    <w:rsid w:val="00C84D2C"/>
    <w:rsid w:val="00C84D56"/>
    <w:rsid w:val="00C84E74"/>
    <w:rsid w:val="00C84E90"/>
    <w:rsid w:val="00C84E96"/>
    <w:rsid w:val="00C84E9B"/>
    <w:rsid w:val="00C84F08"/>
    <w:rsid w:val="00C84F23"/>
    <w:rsid w:val="00C84F35"/>
    <w:rsid w:val="00C84F79"/>
    <w:rsid w:val="00C84F80"/>
    <w:rsid w:val="00C84F85"/>
    <w:rsid w:val="00C84FAF"/>
    <w:rsid w:val="00C84FC4"/>
    <w:rsid w:val="00C84FD6"/>
    <w:rsid w:val="00C84FEE"/>
    <w:rsid w:val="00C8502A"/>
    <w:rsid w:val="00C85052"/>
    <w:rsid w:val="00C8509E"/>
    <w:rsid w:val="00C85135"/>
    <w:rsid w:val="00C8513F"/>
    <w:rsid w:val="00C8515C"/>
    <w:rsid w:val="00C85161"/>
    <w:rsid w:val="00C85169"/>
    <w:rsid w:val="00C8519C"/>
    <w:rsid w:val="00C851D3"/>
    <w:rsid w:val="00C851E5"/>
    <w:rsid w:val="00C85203"/>
    <w:rsid w:val="00C8521F"/>
    <w:rsid w:val="00C85252"/>
    <w:rsid w:val="00C85276"/>
    <w:rsid w:val="00C852C8"/>
    <w:rsid w:val="00C852D1"/>
    <w:rsid w:val="00C85310"/>
    <w:rsid w:val="00C85342"/>
    <w:rsid w:val="00C8535E"/>
    <w:rsid w:val="00C85390"/>
    <w:rsid w:val="00C85447"/>
    <w:rsid w:val="00C85574"/>
    <w:rsid w:val="00C855BE"/>
    <w:rsid w:val="00C855C8"/>
    <w:rsid w:val="00C85614"/>
    <w:rsid w:val="00C85615"/>
    <w:rsid w:val="00C8567F"/>
    <w:rsid w:val="00C85697"/>
    <w:rsid w:val="00C856CA"/>
    <w:rsid w:val="00C857E5"/>
    <w:rsid w:val="00C8581D"/>
    <w:rsid w:val="00C85837"/>
    <w:rsid w:val="00C8589D"/>
    <w:rsid w:val="00C858C7"/>
    <w:rsid w:val="00C858CD"/>
    <w:rsid w:val="00C85902"/>
    <w:rsid w:val="00C85909"/>
    <w:rsid w:val="00C8591B"/>
    <w:rsid w:val="00C8591C"/>
    <w:rsid w:val="00C85923"/>
    <w:rsid w:val="00C85952"/>
    <w:rsid w:val="00C8597A"/>
    <w:rsid w:val="00C8598B"/>
    <w:rsid w:val="00C85996"/>
    <w:rsid w:val="00C8599B"/>
    <w:rsid w:val="00C859C0"/>
    <w:rsid w:val="00C859D3"/>
    <w:rsid w:val="00C859F5"/>
    <w:rsid w:val="00C85ADB"/>
    <w:rsid w:val="00C85B00"/>
    <w:rsid w:val="00C85B1D"/>
    <w:rsid w:val="00C85B6A"/>
    <w:rsid w:val="00C85B7E"/>
    <w:rsid w:val="00C85C34"/>
    <w:rsid w:val="00C85CC2"/>
    <w:rsid w:val="00C85D67"/>
    <w:rsid w:val="00C85D9B"/>
    <w:rsid w:val="00C85DB8"/>
    <w:rsid w:val="00C85DE0"/>
    <w:rsid w:val="00C85EEA"/>
    <w:rsid w:val="00C85F00"/>
    <w:rsid w:val="00C85F09"/>
    <w:rsid w:val="00C85F73"/>
    <w:rsid w:val="00C85F99"/>
    <w:rsid w:val="00C85FC0"/>
    <w:rsid w:val="00C86013"/>
    <w:rsid w:val="00C86023"/>
    <w:rsid w:val="00C8602A"/>
    <w:rsid w:val="00C86053"/>
    <w:rsid w:val="00C86070"/>
    <w:rsid w:val="00C86080"/>
    <w:rsid w:val="00C860E9"/>
    <w:rsid w:val="00C8611A"/>
    <w:rsid w:val="00C8614C"/>
    <w:rsid w:val="00C861D7"/>
    <w:rsid w:val="00C862A3"/>
    <w:rsid w:val="00C862B0"/>
    <w:rsid w:val="00C862CC"/>
    <w:rsid w:val="00C862D3"/>
    <w:rsid w:val="00C862F6"/>
    <w:rsid w:val="00C8631A"/>
    <w:rsid w:val="00C8633F"/>
    <w:rsid w:val="00C8635F"/>
    <w:rsid w:val="00C86380"/>
    <w:rsid w:val="00C8639B"/>
    <w:rsid w:val="00C863B4"/>
    <w:rsid w:val="00C8641B"/>
    <w:rsid w:val="00C86447"/>
    <w:rsid w:val="00C86493"/>
    <w:rsid w:val="00C864F3"/>
    <w:rsid w:val="00C86521"/>
    <w:rsid w:val="00C8654F"/>
    <w:rsid w:val="00C86608"/>
    <w:rsid w:val="00C8661E"/>
    <w:rsid w:val="00C86658"/>
    <w:rsid w:val="00C86688"/>
    <w:rsid w:val="00C866AA"/>
    <w:rsid w:val="00C866AF"/>
    <w:rsid w:val="00C866DB"/>
    <w:rsid w:val="00C86733"/>
    <w:rsid w:val="00C86748"/>
    <w:rsid w:val="00C8683D"/>
    <w:rsid w:val="00C86890"/>
    <w:rsid w:val="00C868AC"/>
    <w:rsid w:val="00C868B3"/>
    <w:rsid w:val="00C868B7"/>
    <w:rsid w:val="00C868DD"/>
    <w:rsid w:val="00C86935"/>
    <w:rsid w:val="00C86966"/>
    <w:rsid w:val="00C86A06"/>
    <w:rsid w:val="00C86A7B"/>
    <w:rsid w:val="00C86AA9"/>
    <w:rsid w:val="00C86AD1"/>
    <w:rsid w:val="00C86B01"/>
    <w:rsid w:val="00C86B53"/>
    <w:rsid w:val="00C86BEF"/>
    <w:rsid w:val="00C86C48"/>
    <w:rsid w:val="00C86CF4"/>
    <w:rsid w:val="00C86D0D"/>
    <w:rsid w:val="00C86D32"/>
    <w:rsid w:val="00C86D76"/>
    <w:rsid w:val="00C86E24"/>
    <w:rsid w:val="00C86E79"/>
    <w:rsid w:val="00C86E8C"/>
    <w:rsid w:val="00C86EDA"/>
    <w:rsid w:val="00C86F0B"/>
    <w:rsid w:val="00C86F10"/>
    <w:rsid w:val="00C86F40"/>
    <w:rsid w:val="00C86FC0"/>
    <w:rsid w:val="00C86FD0"/>
    <w:rsid w:val="00C86FE0"/>
    <w:rsid w:val="00C86FF6"/>
    <w:rsid w:val="00C87069"/>
    <w:rsid w:val="00C870D7"/>
    <w:rsid w:val="00C870DC"/>
    <w:rsid w:val="00C8717F"/>
    <w:rsid w:val="00C8718F"/>
    <w:rsid w:val="00C87194"/>
    <w:rsid w:val="00C8719F"/>
    <w:rsid w:val="00C871D1"/>
    <w:rsid w:val="00C871D8"/>
    <w:rsid w:val="00C8727C"/>
    <w:rsid w:val="00C872A4"/>
    <w:rsid w:val="00C87312"/>
    <w:rsid w:val="00C87336"/>
    <w:rsid w:val="00C87341"/>
    <w:rsid w:val="00C87354"/>
    <w:rsid w:val="00C87365"/>
    <w:rsid w:val="00C8738C"/>
    <w:rsid w:val="00C873B7"/>
    <w:rsid w:val="00C873D9"/>
    <w:rsid w:val="00C87422"/>
    <w:rsid w:val="00C87468"/>
    <w:rsid w:val="00C87492"/>
    <w:rsid w:val="00C874C4"/>
    <w:rsid w:val="00C874CE"/>
    <w:rsid w:val="00C87597"/>
    <w:rsid w:val="00C875EC"/>
    <w:rsid w:val="00C87627"/>
    <w:rsid w:val="00C8762E"/>
    <w:rsid w:val="00C8762F"/>
    <w:rsid w:val="00C8767D"/>
    <w:rsid w:val="00C876B5"/>
    <w:rsid w:val="00C876FC"/>
    <w:rsid w:val="00C87706"/>
    <w:rsid w:val="00C87754"/>
    <w:rsid w:val="00C87758"/>
    <w:rsid w:val="00C87787"/>
    <w:rsid w:val="00C877B8"/>
    <w:rsid w:val="00C877D3"/>
    <w:rsid w:val="00C87848"/>
    <w:rsid w:val="00C87903"/>
    <w:rsid w:val="00C8791B"/>
    <w:rsid w:val="00C879B7"/>
    <w:rsid w:val="00C879BC"/>
    <w:rsid w:val="00C879D2"/>
    <w:rsid w:val="00C87A02"/>
    <w:rsid w:val="00C87A22"/>
    <w:rsid w:val="00C87A86"/>
    <w:rsid w:val="00C87A92"/>
    <w:rsid w:val="00C87A9E"/>
    <w:rsid w:val="00C87AAC"/>
    <w:rsid w:val="00C87AC9"/>
    <w:rsid w:val="00C87ACD"/>
    <w:rsid w:val="00C87AED"/>
    <w:rsid w:val="00C87B20"/>
    <w:rsid w:val="00C87B3E"/>
    <w:rsid w:val="00C87B60"/>
    <w:rsid w:val="00C87B7F"/>
    <w:rsid w:val="00C87B86"/>
    <w:rsid w:val="00C87BD1"/>
    <w:rsid w:val="00C87C02"/>
    <w:rsid w:val="00C87C17"/>
    <w:rsid w:val="00C87C1B"/>
    <w:rsid w:val="00C87C2A"/>
    <w:rsid w:val="00C87CE0"/>
    <w:rsid w:val="00C87DB5"/>
    <w:rsid w:val="00C87DD0"/>
    <w:rsid w:val="00C87DFF"/>
    <w:rsid w:val="00C87E69"/>
    <w:rsid w:val="00C87E74"/>
    <w:rsid w:val="00C87E90"/>
    <w:rsid w:val="00C87ED8"/>
    <w:rsid w:val="00C87EEE"/>
    <w:rsid w:val="00C87F45"/>
    <w:rsid w:val="00C87FED"/>
    <w:rsid w:val="00C90016"/>
    <w:rsid w:val="00C90049"/>
    <w:rsid w:val="00C90069"/>
    <w:rsid w:val="00C900E4"/>
    <w:rsid w:val="00C900E7"/>
    <w:rsid w:val="00C90165"/>
    <w:rsid w:val="00C9019A"/>
    <w:rsid w:val="00C901A4"/>
    <w:rsid w:val="00C901F2"/>
    <w:rsid w:val="00C90229"/>
    <w:rsid w:val="00C90300"/>
    <w:rsid w:val="00C90321"/>
    <w:rsid w:val="00C9033E"/>
    <w:rsid w:val="00C90360"/>
    <w:rsid w:val="00C90397"/>
    <w:rsid w:val="00C903A3"/>
    <w:rsid w:val="00C903F4"/>
    <w:rsid w:val="00C90438"/>
    <w:rsid w:val="00C9046E"/>
    <w:rsid w:val="00C904A4"/>
    <w:rsid w:val="00C904BD"/>
    <w:rsid w:val="00C90507"/>
    <w:rsid w:val="00C9057C"/>
    <w:rsid w:val="00C90589"/>
    <w:rsid w:val="00C9058B"/>
    <w:rsid w:val="00C905BD"/>
    <w:rsid w:val="00C90608"/>
    <w:rsid w:val="00C9062D"/>
    <w:rsid w:val="00C90632"/>
    <w:rsid w:val="00C90668"/>
    <w:rsid w:val="00C90683"/>
    <w:rsid w:val="00C906BC"/>
    <w:rsid w:val="00C90729"/>
    <w:rsid w:val="00C9074C"/>
    <w:rsid w:val="00C9076C"/>
    <w:rsid w:val="00C907D7"/>
    <w:rsid w:val="00C90802"/>
    <w:rsid w:val="00C90807"/>
    <w:rsid w:val="00C90829"/>
    <w:rsid w:val="00C90886"/>
    <w:rsid w:val="00C908CC"/>
    <w:rsid w:val="00C908E7"/>
    <w:rsid w:val="00C9095F"/>
    <w:rsid w:val="00C90965"/>
    <w:rsid w:val="00C90976"/>
    <w:rsid w:val="00C90999"/>
    <w:rsid w:val="00C90A37"/>
    <w:rsid w:val="00C90A7A"/>
    <w:rsid w:val="00C90A83"/>
    <w:rsid w:val="00C90AA5"/>
    <w:rsid w:val="00C90AE2"/>
    <w:rsid w:val="00C90B19"/>
    <w:rsid w:val="00C90B3C"/>
    <w:rsid w:val="00C90B86"/>
    <w:rsid w:val="00C90BA8"/>
    <w:rsid w:val="00C90BA9"/>
    <w:rsid w:val="00C90C11"/>
    <w:rsid w:val="00C90C93"/>
    <w:rsid w:val="00C90CB8"/>
    <w:rsid w:val="00C90D02"/>
    <w:rsid w:val="00C90D2A"/>
    <w:rsid w:val="00C90D4A"/>
    <w:rsid w:val="00C90D54"/>
    <w:rsid w:val="00C90E45"/>
    <w:rsid w:val="00C90ECA"/>
    <w:rsid w:val="00C90F05"/>
    <w:rsid w:val="00C90F5C"/>
    <w:rsid w:val="00C90F9E"/>
    <w:rsid w:val="00C90FA3"/>
    <w:rsid w:val="00C90FD7"/>
    <w:rsid w:val="00C91058"/>
    <w:rsid w:val="00C91120"/>
    <w:rsid w:val="00C9115E"/>
    <w:rsid w:val="00C91188"/>
    <w:rsid w:val="00C9118F"/>
    <w:rsid w:val="00C911D5"/>
    <w:rsid w:val="00C911DE"/>
    <w:rsid w:val="00C9125F"/>
    <w:rsid w:val="00C912C8"/>
    <w:rsid w:val="00C91316"/>
    <w:rsid w:val="00C91364"/>
    <w:rsid w:val="00C913AF"/>
    <w:rsid w:val="00C913C5"/>
    <w:rsid w:val="00C913CD"/>
    <w:rsid w:val="00C913E4"/>
    <w:rsid w:val="00C913EC"/>
    <w:rsid w:val="00C91409"/>
    <w:rsid w:val="00C9143D"/>
    <w:rsid w:val="00C91534"/>
    <w:rsid w:val="00C9155C"/>
    <w:rsid w:val="00C9156A"/>
    <w:rsid w:val="00C91592"/>
    <w:rsid w:val="00C915F6"/>
    <w:rsid w:val="00C9162A"/>
    <w:rsid w:val="00C91667"/>
    <w:rsid w:val="00C916C4"/>
    <w:rsid w:val="00C91701"/>
    <w:rsid w:val="00C91732"/>
    <w:rsid w:val="00C91767"/>
    <w:rsid w:val="00C91769"/>
    <w:rsid w:val="00C91775"/>
    <w:rsid w:val="00C9177D"/>
    <w:rsid w:val="00C9178C"/>
    <w:rsid w:val="00C917A9"/>
    <w:rsid w:val="00C917E3"/>
    <w:rsid w:val="00C9187E"/>
    <w:rsid w:val="00C91930"/>
    <w:rsid w:val="00C91951"/>
    <w:rsid w:val="00C91982"/>
    <w:rsid w:val="00C919E5"/>
    <w:rsid w:val="00C91A0A"/>
    <w:rsid w:val="00C91A32"/>
    <w:rsid w:val="00C91A43"/>
    <w:rsid w:val="00C91AB5"/>
    <w:rsid w:val="00C91AC0"/>
    <w:rsid w:val="00C91B03"/>
    <w:rsid w:val="00C91B64"/>
    <w:rsid w:val="00C91B99"/>
    <w:rsid w:val="00C91C24"/>
    <w:rsid w:val="00C91D27"/>
    <w:rsid w:val="00C91D7A"/>
    <w:rsid w:val="00C91D95"/>
    <w:rsid w:val="00C91DE1"/>
    <w:rsid w:val="00C91DE4"/>
    <w:rsid w:val="00C91DF7"/>
    <w:rsid w:val="00C91E0F"/>
    <w:rsid w:val="00C91E11"/>
    <w:rsid w:val="00C91E3A"/>
    <w:rsid w:val="00C91E62"/>
    <w:rsid w:val="00C91EA4"/>
    <w:rsid w:val="00C91EAC"/>
    <w:rsid w:val="00C91EFB"/>
    <w:rsid w:val="00C91F32"/>
    <w:rsid w:val="00C91F65"/>
    <w:rsid w:val="00C91F6D"/>
    <w:rsid w:val="00C91F88"/>
    <w:rsid w:val="00C91FA9"/>
    <w:rsid w:val="00C91FC8"/>
    <w:rsid w:val="00C92039"/>
    <w:rsid w:val="00C92043"/>
    <w:rsid w:val="00C9204F"/>
    <w:rsid w:val="00C920EE"/>
    <w:rsid w:val="00C9214D"/>
    <w:rsid w:val="00C9219A"/>
    <w:rsid w:val="00C921CD"/>
    <w:rsid w:val="00C9220A"/>
    <w:rsid w:val="00C92214"/>
    <w:rsid w:val="00C92230"/>
    <w:rsid w:val="00C92244"/>
    <w:rsid w:val="00C9227B"/>
    <w:rsid w:val="00C922E3"/>
    <w:rsid w:val="00C92370"/>
    <w:rsid w:val="00C9241E"/>
    <w:rsid w:val="00C92437"/>
    <w:rsid w:val="00C9243A"/>
    <w:rsid w:val="00C92469"/>
    <w:rsid w:val="00C92473"/>
    <w:rsid w:val="00C924A9"/>
    <w:rsid w:val="00C924B3"/>
    <w:rsid w:val="00C9253B"/>
    <w:rsid w:val="00C9254E"/>
    <w:rsid w:val="00C92581"/>
    <w:rsid w:val="00C92590"/>
    <w:rsid w:val="00C925D2"/>
    <w:rsid w:val="00C925FC"/>
    <w:rsid w:val="00C9260A"/>
    <w:rsid w:val="00C9260C"/>
    <w:rsid w:val="00C9268C"/>
    <w:rsid w:val="00C926AC"/>
    <w:rsid w:val="00C926D1"/>
    <w:rsid w:val="00C926D6"/>
    <w:rsid w:val="00C92762"/>
    <w:rsid w:val="00C92775"/>
    <w:rsid w:val="00C927E3"/>
    <w:rsid w:val="00C927ED"/>
    <w:rsid w:val="00C927F8"/>
    <w:rsid w:val="00C92801"/>
    <w:rsid w:val="00C92817"/>
    <w:rsid w:val="00C92883"/>
    <w:rsid w:val="00C928CF"/>
    <w:rsid w:val="00C9291D"/>
    <w:rsid w:val="00C9292B"/>
    <w:rsid w:val="00C9295E"/>
    <w:rsid w:val="00C92968"/>
    <w:rsid w:val="00C9298A"/>
    <w:rsid w:val="00C929BB"/>
    <w:rsid w:val="00C929C8"/>
    <w:rsid w:val="00C92A22"/>
    <w:rsid w:val="00C92AE7"/>
    <w:rsid w:val="00C92AF4"/>
    <w:rsid w:val="00C92B37"/>
    <w:rsid w:val="00C92B3D"/>
    <w:rsid w:val="00C92B72"/>
    <w:rsid w:val="00C92BE3"/>
    <w:rsid w:val="00C92BFE"/>
    <w:rsid w:val="00C92CCB"/>
    <w:rsid w:val="00C92D0A"/>
    <w:rsid w:val="00C92D11"/>
    <w:rsid w:val="00C92D1F"/>
    <w:rsid w:val="00C92D31"/>
    <w:rsid w:val="00C92E05"/>
    <w:rsid w:val="00C92E29"/>
    <w:rsid w:val="00C92E45"/>
    <w:rsid w:val="00C92E70"/>
    <w:rsid w:val="00C92EC4"/>
    <w:rsid w:val="00C92ECD"/>
    <w:rsid w:val="00C92F21"/>
    <w:rsid w:val="00C92F7F"/>
    <w:rsid w:val="00C92F9C"/>
    <w:rsid w:val="00C92FDE"/>
    <w:rsid w:val="00C93050"/>
    <w:rsid w:val="00C9306B"/>
    <w:rsid w:val="00C93077"/>
    <w:rsid w:val="00C930FA"/>
    <w:rsid w:val="00C93130"/>
    <w:rsid w:val="00C93178"/>
    <w:rsid w:val="00C93194"/>
    <w:rsid w:val="00C931E8"/>
    <w:rsid w:val="00C931F9"/>
    <w:rsid w:val="00C93220"/>
    <w:rsid w:val="00C93230"/>
    <w:rsid w:val="00C9323B"/>
    <w:rsid w:val="00C93252"/>
    <w:rsid w:val="00C93269"/>
    <w:rsid w:val="00C93276"/>
    <w:rsid w:val="00C9327C"/>
    <w:rsid w:val="00C9330F"/>
    <w:rsid w:val="00C9331E"/>
    <w:rsid w:val="00C93333"/>
    <w:rsid w:val="00C93346"/>
    <w:rsid w:val="00C9334E"/>
    <w:rsid w:val="00C933D9"/>
    <w:rsid w:val="00C933ED"/>
    <w:rsid w:val="00C934F3"/>
    <w:rsid w:val="00C934F8"/>
    <w:rsid w:val="00C93504"/>
    <w:rsid w:val="00C9353A"/>
    <w:rsid w:val="00C93589"/>
    <w:rsid w:val="00C9359E"/>
    <w:rsid w:val="00C935E5"/>
    <w:rsid w:val="00C935F8"/>
    <w:rsid w:val="00C935FF"/>
    <w:rsid w:val="00C9365E"/>
    <w:rsid w:val="00C9369E"/>
    <w:rsid w:val="00C936B7"/>
    <w:rsid w:val="00C936FF"/>
    <w:rsid w:val="00C93744"/>
    <w:rsid w:val="00C9378D"/>
    <w:rsid w:val="00C937A4"/>
    <w:rsid w:val="00C93829"/>
    <w:rsid w:val="00C9386C"/>
    <w:rsid w:val="00C93890"/>
    <w:rsid w:val="00C93893"/>
    <w:rsid w:val="00C938CE"/>
    <w:rsid w:val="00C93929"/>
    <w:rsid w:val="00C93969"/>
    <w:rsid w:val="00C939D0"/>
    <w:rsid w:val="00C939FA"/>
    <w:rsid w:val="00C93A97"/>
    <w:rsid w:val="00C93AF0"/>
    <w:rsid w:val="00C93B5A"/>
    <w:rsid w:val="00C93BC6"/>
    <w:rsid w:val="00C93C16"/>
    <w:rsid w:val="00C93C2C"/>
    <w:rsid w:val="00C93C34"/>
    <w:rsid w:val="00C93C36"/>
    <w:rsid w:val="00C93C4F"/>
    <w:rsid w:val="00C93C6C"/>
    <w:rsid w:val="00C93C73"/>
    <w:rsid w:val="00C93CAB"/>
    <w:rsid w:val="00C93CDC"/>
    <w:rsid w:val="00C93CF3"/>
    <w:rsid w:val="00C93D32"/>
    <w:rsid w:val="00C93D7B"/>
    <w:rsid w:val="00C93DA2"/>
    <w:rsid w:val="00C93DD8"/>
    <w:rsid w:val="00C93DDD"/>
    <w:rsid w:val="00C93DEB"/>
    <w:rsid w:val="00C93E44"/>
    <w:rsid w:val="00C93E88"/>
    <w:rsid w:val="00C93EF5"/>
    <w:rsid w:val="00C93F2D"/>
    <w:rsid w:val="00C93F77"/>
    <w:rsid w:val="00C93FE7"/>
    <w:rsid w:val="00C93FFB"/>
    <w:rsid w:val="00C9408D"/>
    <w:rsid w:val="00C940CB"/>
    <w:rsid w:val="00C941B2"/>
    <w:rsid w:val="00C941C1"/>
    <w:rsid w:val="00C941C8"/>
    <w:rsid w:val="00C941E4"/>
    <w:rsid w:val="00C94209"/>
    <w:rsid w:val="00C94262"/>
    <w:rsid w:val="00C94272"/>
    <w:rsid w:val="00C942B1"/>
    <w:rsid w:val="00C94301"/>
    <w:rsid w:val="00C94377"/>
    <w:rsid w:val="00C94386"/>
    <w:rsid w:val="00C94391"/>
    <w:rsid w:val="00C943A9"/>
    <w:rsid w:val="00C943D7"/>
    <w:rsid w:val="00C94403"/>
    <w:rsid w:val="00C94404"/>
    <w:rsid w:val="00C9441F"/>
    <w:rsid w:val="00C9442F"/>
    <w:rsid w:val="00C94452"/>
    <w:rsid w:val="00C94453"/>
    <w:rsid w:val="00C94456"/>
    <w:rsid w:val="00C944D0"/>
    <w:rsid w:val="00C944EB"/>
    <w:rsid w:val="00C944FA"/>
    <w:rsid w:val="00C94517"/>
    <w:rsid w:val="00C9456F"/>
    <w:rsid w:val="00C945EE"/>
    <w:rsid w:val="00C94652"/>
    <w:rsid w:val="00C946C1"/>
    <w:rsid w:val="00C94756"/>
    <w:rsid w:val="00C94774"/>
    <w:rsid w:val="00C94781"/>
    <w:rsid w:val="00C947F9"/>
    <w:rsid w:val="00C94862"/>
    <w:rsid w:val="00C9486A"/>
    <w:rsid w:val="00C948A1"/>
    <w:rsid w:val="00C948C9"/>
    <w:rsid w:val="00C948D6"/>
    <w:rsid w:val="00C948ED"/>
    <w:rsid w:val="00C94961"/>
    <w:rsid w:val="00C94984"/>
    <w:rsid w:val="00C9498C"/>
    <w:rsid w:val="00C949AB"/>
    <w:rsid w:val="00C949ED"/>
    <w:rsid w:val="00C94A1A"/>
    <w:rsid w:val="00C94A62"/>
    <w:rsid w:val="00C94A65"/>
    <w:rsid w:val="00C94A76"/>
    <w:rsid w:val="00C94A8A"/>
    <w:rsid w:val="00C94B32"/>
    <w:rsid w:val="00C94B4F"/>
    <w:rsid w:val="00C94B9C"/>
    <w:rsid w:val="00C94BB1"/>
    <w:rsid w:val="00C94C73"/>
    <w:rsid w:val="00C94C76"/>
    <w:rsid w:val="00C94C80"/>
    <w:rsid w:val="00C94C84"/>
    <w:rsid w:val="00C94C8F"/>
    <w:rsid w:val="00C94C98"/>
    <w:rsid w:val="00C94D01"/>
    <w:rsid w:val="00C94D10"/>
    <w:rsid w:val="00C94D18"/>
    <w:rsid w:val="00C94D27"/>
    <w:rsid w:val="00C94D3A"/>
    <w:rsid w:val="00C94D6D"/>
    <w:rsid w:val="00C94E1D"/>
    <w:rsid w:val="00C94E43"/>
    <w:rsid w:val="00C94E56"/>
    <w:rsid w:val="00C94E68"/>
    <w:rsid w:val="00C94E90"/>
    <w:rsid w:val="00C94EE1"/>
    <w:rsid w:val="00C94EF3"/>
    <w:rsid w:val="00C94F1E"/>
    <w:rsid w:val="00C94F45"/>
    <w:rsid w:val="00C94F4D"/>
    <w:rsid w:val="00C94FBD"/>
    <w:rsid w:val="00C94FC5"/>
    <w:rsid w:val="00C94FE7"/>
    <w:rsid w:val="00C95009"/>
    <w:rsid w:val="00C9500A"/>
    <w:rsid w:val="00C95011"/>
    <w:rsid w:val="00C95012"/>
    <w:rsid w:val="00C9507C"/>
    <w:rsid w:val="00C950B0"/>
    <w:rsid w:val="00C95103"/>
    <w:rsid w:val="00C95121"/>
    <w:rsid w:val="00C95127"/>
    <w:rsid w:val="00C95140"/>
    <w:rsid w:val="00C95147"/>
    <w:rsid w:val="00C95175"/>
    <w:rsid w:val="00C951BD"/>
    <w:rsid w:val="00C951D4"/>
    <w:rsid w:val="00C95214"/>
    <w:rsid w:val="00C9526F"/>
    <w:rsid w:val="00C95273"/>
    <w:rsid w:val="00C9529E"/>
    <w:rsid w:val="00C952E4"/>
    <w:rsid w:val="00C95335"/>
    <w:rsid w:val="00C95365"/>
    <w:rsid w:val="00C953CF"/>
    <w:rsid w:val="00C95405"/>
    <w:rsid w:val="00C954AD"/>
    <w:rsid w:val="00C95564"/>
    <w:rsid w:val="00C955A1"/>
    <w:rsid w:val="00C955C5"/>
    <w:rsid w:val="00C955DB"/>
    <w:rsid w:val="00C955DF"/>
    <w:rsid w:val="00C95606"/>
    <w:rsid w:val="00C9563B"/>
    <w:rsid w:val="00C95643"/>
    <w:rsid w:val="00C956BD"/>
    <w:rsid w:val="00C956ED"/>
    <w:rsid w:val="00C95708"/>
    <w:rsid w:val="00C9571E"/>
    <w:rsid w:val="00C9572A"/>
    <w:rsid w:val="00C9573F"/>
    <w:rsid w:val="00C95776"/>
    <w:rsid w:val="00C95777"/>
    <w:rsid w:val="00C957D8"/>
    <w:rsid w:val="00C95811"/>
    <w:rsid w:val="00C9582C"/>
    <w:rsid w:val="00C9596D"/>
    <w:rsid w:val="00C95974"/>
    <w:rsid w:val="00C95995"/>
    <w:rsid w:val="00C959A0"/>
    <w:rsid w:val="00C959A7"/>
    <w:rsid w:val="00C959D6"/>
    <w:rsid w:val="00C95A25"/>
    <w:rsid w:val="00C95A2D"/>
    <w:rsid w:val="00C95A3F"/>
    <w:rsid w:val="00C95A98"/>
    <w:rsid w:val="00C95A9E"/>
    <w:rsid w:val="00C95AAF"/>
    <w:rsid w:val="00C95AC2"/>
    <w:rsid w:val="00C95AC9"/>
    <w:rsid w:val="00C95ACB"/>
    <w:rsid w:val="00C95ACF"/>
    <w:rsid w:val="00C95AD7"/>
    <w:rsid w:val="00C95ADD"/>
    <w:rsid w:val="00C95B6B"/>
    <w:rsid w:val="00C95C31"/>
    <w:rsid w:val="00C95C74"/>
    <w:rsid w:val="00C95CCE"/>
    <w:rsid w:val="00C95D0B"/>
    <w:rsid w:val="00C95D7E"/>
    <w:rsid w:val="00C95DB6"/>
    <w:rsid w:val="00C95DBB"/>
    <w:rsid w:val="00C95E13"/>
    <w:rsid w:val="00C95E26"/>
    <w:rsid w:val="00C95E6A"/>
    <w:rsid w:val="00C95EF1"/>
    <w:rsid w:val="00C95EF3"/>
    <w:rsid w:val="00C95EF8"/>
    <w:rsid w:val="00C95F0F"/>
    <w:rsid w:val="00C95F81"/>
    <w:rsid w:val="00C9604C"/>
    <w:rsid w:val="00C9605A"/>
    <w:rsid w:val="00C96085"/>
    <w:rsid w:val="00C960CF"/>
    <w:rsid w:val="00C960D2"/>
    <w:rsid w:val="00C96123"/>
    <w:rsid w:val="00C96153"/>
    <w:rsid w:val="00C96158"/>
    <w:rsid w:val="00C9617B"/>
    <w:rsid w:val="00C96199"/>
    <w:rsid w:val="00C961AB"/>
    <w:rsid w:val="00C961C2"/>
    <w:rsid w:val="00C961DB"/>
    <w:rsid w:val="00C961E1"/>
    <w:rsid w:val="00C9621B"/>
    <w:rsid w:val="00C96240"/>
    <w:rsid w:val="00C96281"/>
    <w:rsid w:val="00C962A6"/>
    <w:rsid w:val="00C962AB"/>
    <w:rsid w:val="00C96385"/>
    <w:rsid w:val="00C963C0"/>
    <w:rsid w:val="00C963C3"/>
    <w:rsid w:val="00C963C7"/>
    <w:rsid w:val="00C963DF"/>
    <w:rsid w:val="00C9642F"/>
    <w:rsid w:val="00C9644E"/>
    <w:rsid w:val="00C9649E"/>
    <w:rsid w:val="00C964AA"/>
    <w:rsid w:val="00C96520"/>
    <w:rsid w:val="00C96533"/>
    <w:rsid w:val="00C96576"/>
    <w:rsid w:val="00C96586"/>
    <w:rsid w:val="00C965D3"/>
    <w:rsid w:val="00C965F4"/>
    <w:rsid w:val="00C96606"/>
    <w:rsid w:val="00C96618"/>
    <w:rsid w:val="00C96667"/>
    <w:rsid w:val="00C966A5"/>
    <w:rsid w:val="00C966D2"/>
    <w:rsid w:val="00C96704"/>
    <w:rsid w:val="00C9673D"/>
    <w:rsid w:val="00C96769"/>
    <w:rsid w:val="00C9677F"/>
    <w:rsid w:val="00C967E7"/>
    <w:rsid w:val="00C9682D"/>
    <w:rsid w:val="00C9686B"/>
    <w:rsid w:val="00C9697A"/>
    <w:rsid w:val="00C969B4"/>
    <w:rsid w:val="00C96A48"/>
    <w:rsid w:val="00C96A61"/>
    <w:rsid w:val="00C96A75"/>
    <w:rsid w:val="00C96A94"/>
    <w:rsid w:val="00C96AA4"/>
    <w:rsid w:val="00C96AF0"/>
    <w:rsid w:val="00C96B02"/>
    <w:rsid w:val="00C96B38"/>
    <w:rsid w:val="00C96B4E"/>
    <w:rsid w:val="00C96B6D"/>
    <w:rsid w:val="00C96B7B"/>
    <w:rsid w:val="00C96B82"/>
    <w:rsid w:val="00C96B9F"/>
    <w:rsid w:val="00C96BD6"/>
    <w:rsid w:val="00C96C39"/>
    <w:rsid w:val="00C96C64"/>
    <w:rsid w:val="00C96C70"/>
    <w:rsid w:val="00C96CE0"/>
    <w:rsid w:val="00C96CFD"/>
    <w:rsid w:val="00C96D33"/>
    <w:rsid w:val="00C96D4C"/>
    <w:rsid w:val="00C96D50"/>
    <w:rsid w:val="00C96D64"/>
    <w:rsid w:val="00C96DB9"/>
    <w:rsid w:val="00C96DE4"/>
    <w:rsid w:val="00C96F03"/>
    <w:rsid w:val="00C96F15"/>
    <w:rsid w:val="00C96F2A"/>
    <w:rsid w:val="00C96F2E"/>
    <w:rsid w:val="00C96F67"/>
    <w:rsid w:val="00C96FC8"/>
    <w:rsid w:val="00C9703F"/>
    <w:rsid w:val="00C970A9"/>
    <w:rsid w:val="00C970DF"/>
    <w:rsid w:val="00C97110"/>
    <w:rsid w:val="00C971D3"/>
    <w:rsid w:val="00C971E2"/>
    <w:rsid w:val="00C971EF"/>
    <w:rsid w:val="00C97227"/>
    <w:rsid w:val="00C97289"/>
    <w:rsid w:val="00C9729E"/>
    <w:rsid w:val="00C972A5"/>
    <w:rsid w:val="00C972B3"/>
    <w:rsid w:val="00C972E1"/>
    <w:rsid w:val="00C972F4"/>
    <w:rsid w:val="00C972F5"/>
    <w:rsid w:val="00C97326"/>
    <w:rsid w:val="00C973EA"/>
    <w:rsid w:val="00C974CF"/>
    <w:rsid w:val="00C97508"/>
    <w:rsid w:val="00C97541"/>
    <w:rsid w:val="00C9755E"/>
    <w:rsid w:val="00C975F2"/>
    <w:rsid w:val="00C97660"/>
    <w:rsid w:val="00C97663"/>
    <w:rsid w:val="00C97667"/>
    <w:rsid w:val="00C9767E"/>
    <w:rsid w:val="00C97692"/>
    <w:rsid w:val="00C976ED"/>
    <w:rsid w:val="00C9773B"/>
    <w:rsid w:val="00C977C3"/>
    <w:rsid w:val="00C977DE"/>
    <w:rsid w:val="00C977EF"/>
    <w:rsid w:val="00C97846"/>
    <w:rsid w:val="00C97856"/>
    <w:rsid w:val="00C97881"/>
    <w:rsid w:val="00C9788A"/>
    <w:rsid w:val="00C9789A"/>
    <w:rsid w:val="00C978B4"/>
    <w:rsid w:val="00C978E1"/>
    <w:rsid w:val="00C97928"/>
    <w:rsid w:val="00C97937"/>
    <w:rsid w:val="00C97989"/>
    <w:rsid w:val="00C979F8"/>
    <w:rsid w:val="00C97A00"/>
    <w:rsid w:val="00C97A6A"/>
    <w:rsid w:val="00C97A6B"/>
    <w:rsid w:val="00C97AB4"/>
    <w:rsid w:val="00C97ABD"/>
    <w:rsid w:val="00C97ACA"/>
    <w:rsid w:val="00C97ADC"/>
    <w:rsid w:val="00C97AED"/>
    <w:rsid w:val="00C97BA1"/>
    <w:rsid w:val="00C97BBB"/>
    <w:rsid w:val="00C97BF3"/>
    <w:rsid w:val="00C97BFC"/>
    <w:rsid w:val="00C97C07"/>
    <w:rsid w:val="00C97C42"/>
    <w:rsid w:val="00C97C84"/>
    <w:rsid w:val="00C97CD9"/>
    <w:rsid w:val="00C97D31"/>
    <w:rsid w:val="00C97D4B"/>
    <w:rsid w:val="00C97D7E"/>
    <w:rsid w:val="00C97DAB"/>
    <w:rsid w:val="00C97DB3"/>
    <w:rsid w:val="00C97E2E"/>
    <w:rsid w:val="00C97ED9"/>
    <w:rsid w:val="00C97EDE"/>
    <w:rsid w:val="00C97F5D"/>
    <w:rsid w:val="00C97F7A"/>
    <w:rsid w:val="00C97FB7"/>
    <w:rsid w:val="00C97FF1"/>
    <w:rsid w:val="00CA0027"/>
    <w:rsid w:val="00CA0074"/>
    <w:rsid w:val="00CA0080"/>
    <w:rsid w:val="00CA00C9"/>
    <w:rsid w:val="00CA00CA"/>
    <w:rsid w:val="00CA00D3"/>
    <w:rsid w:val="00CA0120"/>
    <w:rsid w:val="00CA0137"/>
    <w:rsid w:val="00CA0143"/>
    <w:rsid w:val="00CA017D"/>
    <w:rsid w:val="00CA0184"/>
    <w:rsid w:val="00CA01C6"/>
    <w:rsid w:val="00CA021F"/>
    <w:rsid w:val="00CA0257"/>
    <w:rsid w:val="00CA026E"/>
    <w:rsid w:val="00CA02EF"/>
    <w:rsid w:val="00CA0359"/>
    <w:rsid w:val="00CA0375"/>
    <w:rsid w:val="00CA0399"/>
    <w:rsid w:val="00CA039E"/>
    <w:rsid w:val="00CA03AE"/>
    <w:rsid w:val="00CA03B6"/>
    <w:rsid w:val="00CA03CB"/>
    <w:rsid w:val="00CA0487"/>
    <w:rsid w:val="00CA04A1"/>
    <w:rsid w:val="00CA04BA"/>
    <w:rsid w:val="00CA0515"/>
    <w:rsid w:val="00CA0522"/>
    <w:rsid w:val="00CA0578"/>
    <w:rsid w:val="00CA061C"/>
    <w:rsid w:val="00CA064F"/>
    <w:rsid w:val="00CA06A8"/>
    <w:rsid w:val="00CA06D5"/>
    <w:rsid w:val="00CA06E8"/>
    <w:rsid w:val="00CA06FA"/>
    <w:rsid w:val="00CA07AC"/>
    <w:rsid w:val="00CA07C6"/>
    <w:rsid w:val="00CA084D"/>
    <w:rsid w:val="00CA0852"/>
    <w:rsid w:val="00CA088F"/>
    <w:rsid w:val="00CA08C3"/>
    <w:rsid w:val="00CA08D2"/>
    <w:rsid w:val="00CA08DA"/>
    <w:rsid w:val="00CA093E"/>
    <w:rsid w:val="00CA09A8"/>
    <w:rsid w:val="00CA09B7"/>
    <w:rsid w:val="00CA09FC"/>
    <w:rsid w:val="00CA0A2F"/>
    <w:rsid w:val="00CA0A41"/>
    <w:rsid w:val="00CA0A60"/>
    <w:rsid w:val="00CA0A9C"/>
    <w:rsid w:val="00CA0B35"/>
    <w:rsid w:val="00CA0B61"/>
    <w:rsid w:val="00CA0BBD"/>
    <w:rsid w:val="00CA0BCB"/>
    <w:rsid w:val="00CA0BFB"/>
    <w:rsid w:val="00CA0C30"/>
    <w:rsid w:val="00CA0D20"/>
    <w:rsid w:val="00CA0D27"/>
    <w:rsid w:val="00CA0D49"/>
    <w:rsid w:val="00CA0D5E"/>
    <w:rsid w:val="00CA0D85"/>
    <w:rsid w:val="00CA0E0C"/>
    <w:rsid w:val="00CA0E39"/>
    <w:rsid w:val="00CA0F12"/>
    <w:rsid w:val="00CA0F16"/>
    <w:rsid w:val="00CA0F89"/>
    <w:rsid w:val="00CA0F95"/>
    <w:rsid w:val="00CA0FC9"/>
    <w:rsid w:val="00CA0FE7"/>
    <w:rsid w:val="00CA0FE9"/>
    <w:rsid w:val="00CA0FF9"/>
    <w:rsid w:val="00CA1011"/>
    <w:rsid w:val="00CA101A"/>
    <w:rsid w:val="00CA1040"/>
    <w:rsid w:val="00CA1077"/>
    <w:rsid w:val="00CA1099"/>
    <w:rsid w:val="00CA10E2"/>
    <w:rsid w:val="00CA110D"/>
    <w:rsid w:val="00CA1158"/>
    <w:rsid w:val="00CA118F"/>
    <w:rsid w:val="00CA11E6"/>
    <w:rsid w:val="00CA1278"/>
    <w:rsid w:val="00CA128C"/>
    <w:rsid w:val="00CA12DB"/>
    <w:rsid w:val="00CA1337"/>
    <w:rsid w:val="00CA135D"/>
    <w:rsid w:val="00CA13B3"/>
    <w:rsid w:val="00CA13BB"/>
    <w:rsid w:val="00CA14BE"/>
    <w:rsid w:val="00CA14C4"/>
    <w:rsid w:val="00CA154B"/>
    <w:rsid w:val="00CA15B3"/>
    <w:rsid w:val="00CA15C5"/>
    <w:rsid w:val="00CA15E6"/>
    <w:rsid w:val="00CA1652"/>
    <w:rsid w:val="00CA165D"/>
    <w:rsid w:val="00CA1665"/>
    <w:rsid w:val="00CA1674"/>
    <w:rsid w:val="00CA169F"/>
    <w:rsid w:val="00CA16D0"/>
    <w:rsid w:val="00CA16FA"/>
    <w:rsid w:val="00CA171E"/>
    <w:rsid w:val="00CA173B"/>
    <w:rsid w:val="00CA177F"/>
    <w:rsid w:val="00CA1783"/>
    <w:rsid w:val="00CA1810"/>
    <w:rsid w:val="00CA1856"/>
    <w:rsid w:val="00CA1866"/>
    <w:rsid w:val="00CA1872"/>
    <w:rsid w:val="00CA1899"/>
    <w:rsid w:val="00CA18D3"/>
    <w:rsid w:val="00CA1900"/>
    <w:rsid w:val="00CA1908"/>
    <w:rsid w:val="00CA1934"/>
    <w:rsid w:val="00CA19DC"/>
    <w:rsid w:val="00CA1A06"/>
    <w:rsid w:val="00CA1A73"/>
    <w:rsid w:val="00CA1A9C"/>
    <w:rsid w:val="00CA1AA4"/>
    <w:rsid w:val="00CA1ACC"/>
    <w:rsid w:val="00CA1B36"/>
    <w:rsid w:val="00CA1B9F"/>
    <w:rsid w:val="00CA1BD1"/>
    <w:rsid w:val="00CA1C19"/>
    <w:rsid w:val="00CA1C45"/>
    <w:rsid w:val="00CA1C4D"/>
    <w:rsid w:val="00CA1C5D"/>
    <w:rsid w:val="00CA1CCA"/>
    <w:rsid w:val="00CA1CD7"/>
    <w:rsid w:val="00CA1CD8"/>
    <w:rsid w:val="00CA1DB8"/>
    <w:rsid w:val="00CA1EBD"/>
    <w:rsid w:val="00CA1EC0"/>
    <w:rsid w:val="00CA1EEE"/>
    <w:rsid w:val="00CA1F63"/>
    <w:rsid w:val="00CA1FB1"/>
    <w:rsid w:val="00CA200D"/>
    <w:rsid w:val="00CA2013"/>
    <w:rsid w:val="00CA2014"/>
    <w:rsid w:val="00CA2054"/>
    <w:rsid w:val="00CA2075"/>
    <w:rsid w:val="00CA20FC"/>
    <w:rsid w:val="00CA20FF"/>
    <w:rsid w:val="00CA2154"/>
    <w:rsid w:val="00CA218C"/>
    <w:rsid w:val="00CA21CC"/>
    <w:rsid w:val="00CA21F5"/>
    <w:rsid w:val="00CA2200"/>
    <w:rsid w:val="00CA2201"/>
    <w:rsid w:val="00CA2278"/>
    <w:rsid w:val="00CA227D"/>
    <w:rsid w:val="00CA22B3"/>
    <w:rsid w:val="00CA22BC"/>
    <w:rsid w:val="00CA22D5"/>
    <w:rsid w:val="00CA231A"/>
    <w:rsid w:val="00CA2320"/>
    <w:rsid w:val="00CA2364"/>
    <w:rsid w:val="00CA238E"/>
    <w:rsid w:val="00CA238F"/>
    <w:rsid w:val="00CA2392"/>
    <w:rsid w:val="00CA23AD"/>
    <w:rsid w:val="00CA2470"/>
    <w:rsid w:val="00CA2485"/>
    <w:rsid w:val="00CA2489"/>
    <w:rsid w:val="00CA248A"/>
    <w:rsid w:val="00CA24AF"/>
    <w:rsid w:val="00CA24FF"/>
    <w:rsid w:val="00CA2527"/>
    <w:rsid w:val="00CA254A"/>
    <w:rsid w:val="00CA2576"/>
    <w:rsid w:val="00CA25BF"/>
    <w:rsid w:val="00CA2627"/>
    <w:rsid w:val="00CA26D2"/>
    <w:rsid w:val="00CA26ED"/>
    <w:rsid w:val="00CA2711"/>
    <w:rsid w:val="00CA2741"/>
    <w:rsid w:val="00CA2776"/>
    <w:rsid w:val="00CA2796"/>
    <w:rsid w:val="00CA27C3"/>
    <w:rsid w:val="00CA27D8"/>
    <w:rsid w:val="00CA27DB"/>
    <w:rsid w:val="00CA2812"/>
    <w:rsid w:val="00CA2888"/>
    <w:rsid w:val="00CA28D5"/>
    <w:rsid w:val="00CA2936"/>
    <w:rsid w:val="00CA297B"/>
    <w:rsid w:val="00CA29C6"/>
    <w:rsid w:val="00CA2A0A"/>
    <w:rsid w:val="00CA2A18"/>
    <w:rsid w:val="00CA2A23"/>
    <w:rsid w:val="00CA2A6F"/>
    <w:rsid w:val="00CA2A7B"/>
    <w:rsid w:val="00CA2A94"/>
    <w:rsid w:val="00CA2AA7"/>
    <w:rsid w:val="00CA2B5C"/>
    <w:rsid w:val="00CA2B65"/>
    <w:rsid w:val="00CA2BC4"/>
    <w:rsid w:val="00CA2BD2"/>
    <w:rsid w:val="00CA2C28"/>
    <w:rsid w:val="00CA2C72"/>
    <w:rsid w:val="00CA2C94"/>
    <w:rsid w:val="00CA2CCA"/>
    <w:rsid w:val="00CA2CF5"/>
    <w:rsid w:val="00CA2D05"/>
    <w:rsid w:val="00CA2D4C"/>
    <w:rsid w:val="00CA2D5A"/>
    <w:rsid w:val="00CA2DB8"/>
    <w:rsid w:val="00CA2DC9"/>
    <w:rsid w:val="00CA2DE4"/>
    <w:rsid w:val="00CA2E11"/>
    <w:rsid w:val="00CA2E6F"/>
    <w:rsid w:val="00CA2F1A"/>
    <w:rsid w:val="00CA2FA9"/>
    <w:rsid w:val="00CA2FD5"/>
    <w:rsid w:val="00CA302F"/>
    <w:rsid w:val="00CA3055"/>
    <w:rsid w:val="00CA3058"/>
    <w:rsid w:val="00CA3075"/>
    <w:rsid w:val="00CA3077"/>
    <w:rsid w:val="00CA30C0"/>
    <w:rsid w:val="00CA30F0"/>
    <w:rsid w:val="00CA30F4"/>
    <w:rsid w:val="00CA30FA"/>
    <w:rsid w:val="00CA3168"/>
    <w:rsid w:val="00CA31B9"/>
    <w:rsid w:val="00CA31C5"/>
    <w:rsid w:val="00CA31CA"/>
    <w:rsid w:val="00CA31FE"/>
    <w:rsid w:val="00CA3257"/>
    <w:rsid w:val="00CA325E"/>
    <w:rsid w:val="00CA3262"/>
    <w:rsid w:val="00CA32EA"/>
    <w:rsid w:val="00CA32F0"/>
    <w:rsid w:val="00CA32F4"/>
    <w:rsid w:val="00CA32FE"/>
    <w:rsid w:val="00CA3316"/>
    <w:rsid w:val="00CA3334"/>
    <w:rsid w:val="00CA3393"/>
    <w:rsid w:val="00CA33E8"/>
    <w:rsid w:val="00CA33FE"/>
    <w:rsid w:val="00CA3434"/>
    <w:rsid w:val="00CA346C"/>
    <w:rsid w:val="00CA349E"/>
    <w:rsid w:val="00CA34C6"/>
    <w:rsid w:val="00CA34E3"/>
    <w:rsid w:val="00CA353B"/>
    <w:rsid w:val="00CA3565"/>
    <w:rsid w:val="00CA357C"/>
    <w:rsid w:val="00CA3592"/>
    <w:rsid w:val="00CA35EB"/>
    <w:rsid w:val="00CA35FE"/>
    <w:rsid w:val="00CA3632"/>
    <w:rsid w:val="00CA367C"/>
    <w:rsid w:val="00CA367F"/>
    <w:rsid w:val="00CA3693"/>
    <w:rsid w:val="00CA36A0"/>
    <w:rsid w:val="00CA36CE"/>
    <w:rsid w:val="00CA36ED"/>
    <w:rsid w:val="00CA36F4"/>
    <w:rsid w:val="00CA36F7"/>
    <w:rsid w:val="00CA373A"/>
    <w:rsid w:val="00CA37CE"/>
    <w:rsid w:val="00CA37EB"/>
    <w:rsid w:val="00CA381B"/>
    <w:rsid w:val="00CA3842"/>
    <w:rsid w:val="00CA3854"/>
    <w:rsid w:val="00CA3855"/>
    <w:rsid w:val="00CA38B7"/>
    <w:rsid w:val="00CA38F1"/>
    <w:rsid w:val="00CA3922"/>
    <w:rsid w:val="00CA399D"/>
    <w:rsid w:val="00CA39C8"/>
    <w:rsid w:val="00CA3A0A"/>
    <w:rsid w:val="00CA3A1F"/>
    <w:rsid w:val="00CA3A74"/>
    <w:rsid w:val="00CA3AD5"/>
    <w:rsid w:val="00CA3AE4"/>
    <w:rsid w:val="00CA3BA5"/>
    <w:rsid w:val="00CA3BB2"/>
    <w:rsid w:val="00CA3C3F"/>
    <w:rsid w:val="00CA3C72"/>
    <w:rsid w:val="00CA3CA9"/>
    <w:rsid w:val="00CA3D72"/>
    <w:rsid w:val="00CA3D8E"/>
    <w:rsid w:val="00CA3D98"/>
    <w:rsid w:val="00CA3DAE"/>
    <w:rsid w:val="00CA3DB6"/>
    <w:rsid w:val="00CA3DBD"/>
    <w:rsid w:val="00CA3DE4"/>
    <w:rsid w:val="00CA3DF3"/>
    <w:rsid w:val="00CA3E28"/>
    <w:rsid w:val="00CA3EBF"/>
    <w:rsid w:val="00CA3EE1"/>
    <w:rsid w:val="00CA3EE3"/>
    <w:rsid w:val="00CA3F6C"/>
    <w:rsid w:val="00CA4050"/>
    <w:rsid w:val="00CA406A"/>
    <w:rsid w:val="00CA40C7"/>
    <w:rsid w:val="00CA4172"/>
    <w:rsid w:val="00CA41A6"/>
    <w:rsid w:val="00CA41B8"/>
    <w:rsid w:val="00CA41D4"/>
    <w:rsid w:val="00CA41FF"/>
    <w:rsid w:val="00CA4217"/>
    <w:rsid w:val="00CA4346"/>
    <w:rsid w:val="00CA4351"/>
    <w:rsid w:val="00CA435B"/>
    <w:rsid w:val="00CA4402"/>
    <w:rsid w:val="00CA4403"/>
    <w:rsid w:val="00CA4432"/>
    <w:rsid w:val="00CA44B5"/>
    <w:rsid w:val="00CA44F4"/>
    <w:rsid w:val="00CA454F"/>
    <w:rsid w:val="00CA45A4"/>
    <w:rsid w:val="00CA4660"/>
    <w:rsid w:val="00CA46B3"/>
    <w:rsid w:val="00CA4743"/>
    <w:rsid w:val="00CA477A"/>
    <w:rsid w:val="00CA479F"/>
    <w:rsid w:val="00CA47EB"/>
    <w:rsid w:val="00CA4867"/>
    <w:rsid w:val="00CA4872"/>
    <w:rsid w:val="00CA48A2"/>
    <w:rsid w:val="00CA48F9"/>
    <w:rsid w:val="00CA48FC"/>
    <w:rsid w:val="00CA4939"/>
    <w:rsid w:val="00CA4976"/>
    <w:rsid w:val="00CA49C9"/>
    <w:rsid w:val="00CA49DE"/>
    <w:rsid w:val="00CA49EE"/>
    <w:rsid w:val="00CA4B05"/>
    <w:rsid w:val="00CA4B15"/>
    <w:rsid w:val="00CA4B23"/>
    <w:rsid w:val="00CA4B81"/>
    <w:rsid w:val="00CA4BE6"/>
    <w:rsid w:val="00CA4BFE"/>
    <w:rsid w:val="00CA4C0C"/>
    <w:rsid w:val="00CA4C11"/>
    <w:rsid w:val="00CA4C91"/>
    <w:rsid w:val="00CA4CB1"/>
    <w:rsid w:val="00CA4CC2"/>
    <w:rsid w:val="00CA4D5A"/>
    <w:rsid w:val="00CA4DDA"/>
    <w:rsid w:val="00CA4E21"/>
    <w:rsid w:val="00CA4E2E"/>
    <w:rsid w:val="00CA4E30"/>
    <w:rsid w:val="00CA4E4A"/>
    <w:rsid w:val="00CA4EBC"/>
    <w:rsid w:val="00CA4EC3"/>
    <w:rsid w:val="00CA4EDD"/>
    <w:rsid w:val="00CA4FB0"/>
    <w:rsid w:val="00CA4FB5"/>
    <w:rsid w:val="00CA4FC6"/>
    <w:rsid w:val="00CA4FC9"/>
    <w:rsid w:val="00CA5025"/>
    <w:rsid w:val="00CA508D"/>
    <w:rsid w:val="00CA50A0"/>
    <w:rsid w:val="00CA510C"/>
    <w:rsid w:val="00CA5154"/>
    <w:rsid w:val="00CA51A0"/>
    <w:rsid w:val="00CA5251"/>
    <w:rsid w:val="00CA52A6"/>
    <w:rsid w:val="00CA5318"/>
    <w:rsid w:val="00CA532B"/>
    <w:rsid w:val="00CA532F"/>
    <w:rsid w:val="00CA534B"/>
    <w:rsid w:val="00CA5389"/>
    <w:rsid w:val="00CA5391"/>
    <w:rsid w:val="00CA53C2"/>
    <w:rsid w:val="00CA53CD"/>
    <w:rsid w:val="00CA53E5"/>
    <w:rsid w:val="00CA5402"/>
    <w:rsid w:val="00CA543F"/>
    <w:rsid w:val="00CA546E"/>
    <w:rsid w:val="00CA546F"/>
    <w:rsid w:val="00CA54A3"/>
    <w:rsid w:val="00CA54DE"/>
    <w:rsid w:val="00CA554C"/>
    <w:rsid w:val="00CA5607"/>
    <w:rsid w:val="00CA5618"/>
    <w:rsid w:val="00CA562D"/>
    <w:rsid w:val="00CA5650"/>
    <w:rsid w:val="00CA5687"/>
    <w:rsid w:val="00CA56D0"/>
    <w:rsid w:val="00CA570B"/>
    <w:rsid w:val="00CA5762"/>
    <w:rsid w:val="00CA5767"/>
    <w:rsid w:val="00CA576C"/>
    <w:rsid w:val="00CA579E"/>
    <w:rsid w:val="00CA579F"/>
    <w:rsid w:val="00CA57BB"/>
    <w:rsid w:val="00CA5830"/>
    <w:rsid w:val="00CA5908"/>
    <w:rsid w:val="00CA5938"/>
    <w:rsid w:val="00CA59BD"/>
    <w:rsid w:val="00CA59C7"/>
    <w:rsid w:val="00CA59DA"/>
    <w:rsid w:val="00CA5A08"/>
    <w:rsid w:val="00CA5A3A"/>
    <w:rsid w:val="00CA5A46"/>
    <w:rsid w:val="00CA5A55"/>
    <w:rsid w:val="00CA5A80"/>
    <w:rsid w:val="00CA5A95"/>
    <w:rsid w:val="00CA5ABF"/>
    <w:rsid w:val="00CA5AD6"/>
    <w:rsid w:val="00CA5AE1"/>
    <w:rsid w:val="00CA5B1A"/>
    <w:rsid w:val="00CA5B37"/>
    <w:rsid w:val="00CA5B4D"/>
    <w:rsid w:val="00CA5B5B"/>
    <w:rsid w:val="00CA5BD8"/>
    <w:rsid w:val="00CA5BFB"/>
    <w:rsid w:val="00CA5C07"/>
    <w:rsid w:val="00CA5C39"/>
    <w:rsid w:val="00CA5C64"/>
    <w:rsid w:val="00CA5C7C"/>
    <w:rsid w:val="00CA5CF9"/>
    <w:rsid w:val="00CA5DAA"/>
    <w:rsid w:val="00CA5DDA"/>
    <w:rsid w:val="00CA5DDB"/>
    <w:rsid w:val="00CA5E0B"/>
    <w:rsid w:val="00CA5E34"/>
    <w:rsid w:val="00CA5E5B"/>
    <w:rsid w:val="00CA5E96"/>
    <w:rsid w:val="00CA5EDC"/>
    <w:rsid w:val="00CA5EF5"/>
    <w:rsid w:val="00CA5F6F"/>
    <w:rsid w:val="00CA5F73"/>
    <w:rsid w:val="00CA5F7A"/>
    <w:rsid w:val="00CA5F7D"/>
    <w:rsid w:val="00CA5F97"/>
    <w:rsid w:val="00CA5FA1"/>
    <w:rsid w:val="00CA6001"/>
    <w:rsid w:val="00CA6024"/>
    <w:rsid w:val="00CA603D"/>
    <w:rsid w:val="00CA604A"/>
    <w:rsid w:val="00CA605B"/>
    <w:rsid w:val="00CA60B3"/>
    <w:rsid w:val="00CA612E"/>
    <w:rsid w:val="00CA6151"/>
    <w:rsid w:val="00CA615D"/>
    <w:rsid w:val="00CA61F0"/>
    <w:rsid w:val="00CA6204"/>
    <w:rsid w:val="00CA6252"/>
    <w:rsid w:val="00CA6257"/>
    <w:rsid w:val="00CA62A8"/>
    <w:rsid w:val="00CA62BF"/>
    <w:rsid w:val="00CA62DF"/>
    <w:rsid w:val="00CA635A"/>
    <w:rsid w:val="00CA638E"/>
    <w:rsid w:val="00CA63EC"/>
    <w:rsid w:val="00CA640A"/>
    <w:rsid w:val="00CA6434"/>
    <w:rsid w:val="00CA6439"/>
    <w:rsid w:val="00CA647F"/>
    <w:rsid w:val="00CA64B6"/>
    <w:rsid w:val="00CA64E7"/>
    <w:rsid w:val="00CA64FD"/>
    <w:rsid w:val="00CA666D"/>
    <w:rsid w:val="00CA668B"/>
    <w:rsid w:val="00CA66CB"/>
    <w:rsid w:val="00CA6713"/>
    <w:rsid w:val="00CA6716"/>
    <w:rsid w:val="00CA6744"/>
    <w:rsid w:val="00CA675E"/>
    <w:rsid w:val="00CA6772"/>
    <w:rsid w:val="00CA678D"/>
    <w:rsid w:val="00CA67A3"/>
    <w:rsid w:val="00CA67BF"/>
    <w:rsid w:val="00CA681F"/>
    <w:rsid w:val="00CA6825"/>
    <w:rsid w:val="00CA68AC"/>
    <w:rsid w:val="00CA68C8"/>
    <w:rsid w:val="00CA6906"/>
    <w:rsid w:val="00CA695E"/>
    <w:rsid w:val="00CA69B1"/>
    <w:rsid w:val="00CA69BC"/>
    <w:rsid w:val="00CA69DD"/>
    <w:rsid w:val="00CA6A2B"/>
    <w:rsid w:val="00CA6A31"/>
    <w:rsid w:val="00CA6A57"/>
    <w:rsid w:val="00CA6A7A"/>
    <w:rsid w:val="00CA6A83"/>
    <w:rsid w:val="00CA6ABB"/>
    <w:rsid w:val="00CA6ABD"/>
    <w:rsid w:val="00CA6B71"/>
    <w:rsid w:val="00CA6BC9"/>
    <w:rsid w:val="00CA6C3B"/>
    <w:rsid w:val="00CA6C83"/>
    <w:rsid w:val="00CA6D45"/>
    <w:rsid w:val="00CA6D95"/>
    <w:rsid w:val="00CA6D98"/>
    <w:rsid w:val="00CA6D9A"/>
    <w:rsid w:val="00CA6DF1"/>
    <w:rsid w:val="00CA6DFA"/>
    <w:rsid w:val="00CA6E02"/>
    <w:rsid w:val="00CA6E95"/>
    <w:rsid w:val="00CA6EB6"/>
    <w:rsid w:val="00CA6EEC"/>
    <w:rsid w:val="00CA6F15"/>
    <w:rsid w:val="00CA6F2E"/>
    <w:rsid w:val="00CA6F3D"/>
    <w:rsid w:val="00CA6FE1"/>
    <w:rsid w:val="00CA6FE7"/>
    <w:rsid w:val="00CA702B"/>
    <w:rsid w:val="00CA703B"/>
    <w:rsid w:val="00CA705A"/>
    <w:rsid w:val="00CA7067"/>
    <w:rsid w:val="00CA7074"/>
    <w:rsid w:val="00CA709B"/>
    <w:rsid w:val="00CA70C3"/>
    <w:rsid w:val="00CA70CA"/>
    <w:rsid w:val="00CA70CE"/>
    <w:rsid w:val="00CA70CF"/>
    <w:rsid w:val="00CA7149"/>
    <w:rsid w:val="00CA7159"/>
    <w:rsid w:val="00CA7168"/>
    <w:rsid w:val="00CA71D1"/>
    <w:rsid w:val="00CA7276"/>
    <w:rsid w:val="00CA7284"/>
    <w:rsid w:val="00CA72B7"/>
    <w:rsid w:val="00CA72D9"/>
    <w:rsid w:val="00CA730D"/>
    <w:rsid w:val="00CA731F"/>
    <w:rsid w:val="00CA73DB"/>
    <w:rsid w:val="00CA7431"/>
    <w:rsid w:val="00CA746A"/>
    <w:rsid w:val="00CA74B3"/>
    <w:rsid w:val="00CA74DF"/>
    <w:rsid w:val="00CA7525"/>
    <w:rsid w:val="00CA7549"/>
    <w:rsid w:val="00CA7551"/>
    <w:rsid w:val="00CA7559"/>
    <w:rsid w:val="00CA75DF"/>
    <w:rsid w:val="00CA75F7"/>
    <w:rsid w:val="00CA762B"/>
    <w:rsid w:val="00CA762F"/>
    <w:rsid w:val="00CA7688"/>
    <w:rsid w:val="00CA76A9"/>
    <w:rsid w:val="00CA76C6"/>
    <w:rsid w:val="00CA7742"/>
    <w:rsid w:val="00CA7761"/>
    <w:rsid w:val="00CA7768"/>
    <w:rsid w:val="00CA77DD"/>
    <w:rsid w:val="00CA788C"/>
    <w:rsid w:val="00CA78BF"/>
    <w:rsid w:val="00CA78E9"/>
    <w:rsid w:val="00CA790E"/>
    <w:rsid w:val="00CA7938"/>
    <w:rsid w:val="00CA794D"/>
    <w:rsid w:val="00CA7956"/>
    <w:rsid w:val="00CA79F7"/>
    <w:rsid w:val="00CA7A74"/>
    <w:rsid w:val="00CA7A7E"/>
    <w:rsid w:val="00CA7AF6"/>
    <w:rsid w:val="00CA7B02"/>
    <w:rsid w:val="00CA7B58"/>
    <w:rsid w:val="00CA7C3C"/>
    <w:rsid w:val="00CA7C69"/>
    <w:rsid w:val="00CA7C80"/>
    <w:rsid w:val="00CA7C9C"/>
    <w:rsid w:val="00CA7CAB"/>
    <w:rsid w:val="00CA7D02"/>
    <w:rsid w:val="00CA7D07"/>
    <w:rsid w:val="00CA7D0C"/>
    <w:rsid w:val="00CA7D36"/>
    <w:rsid w:val="00CA7D5A"/>
    <w:rsid w:val="00CA7E00"/>
    <w:rsid w:val="00CA7E17"/>
    <w:rsid w:val="00CA7E74"/>
    <w:rsid w:val="00CA7EB5"/>
    <w:rsid w:val="00CA7EC7"/>
    <w:rsid w:val="00CA7ECA"/>
    <w:rsid w:val="00CA7ECD"/>
    <w:rsid w:val="00CA7EE7"/>
    <w:rsid w:val="00CA7F1D"/>
    <w:rsid w:val="00CA7F8E"/>
    <w:rsid w:val="00CA7FD5"/>
    <w:rsid w:val="00CB0080"/>
    <w:rsid w:val="00CB00B8"/>
    <w:rsid w:val="00CB00BB"/>
    <w:rsid w:val="00CB01B8"/>
    <w:rsid w:val="00CB021D"/>
    <w:rsid w:val="00CB030A"/>
    <w:rsid w:val="00CB0355"/>
    <w:rsid w:val="00CB03C5"/>
    <w:rsid w:val="00CB03DD"/>
    <w:rsid w:val="00CB03EC"/>
    <w:rsid w:val="00CB03ED"/>
    <w:rsid w:val="00CB0419"/>
    <w:rsid w:val="00CB0444"/>
    <w:rsid w:val="00CB04E0"/>
    <w:rsid w:val="00CB04FA"/>
    <w:rsid w:val="00CB051D"/>
    <w:rsid w:val="00CB0525"/>
    <w:rsid w:val="00CB052F"/>
    <w:rsid w:val="00CB056C"/>
    <w:rsid w:val="00CB05CF"/>
    <w:rsid w:val="00CB060D"/>
    <w:rsid w:val="00CB066E"/>
    <w:rsid w:val="00CB0680"/>
    <w:rsid w:val="00CB06A3"/>
    <w:rsid w:val="00CB0707"/>
    <w:rsid w:val="00CB0742"/>
    <w:rsid w:val="00CB0759"/>
    <w:rsid w:val="00CB07B3"/>
    <w:rsid w:val="00CB07BA"/>
    <w:rsid w:val="00CB07C4"/>
    <w:rsid w:val="00CB07F2"/>
    <w:rsid w:val="00CB0865"/>
    <w:rsid w:val="00CB0867"/>
    <w:rsid w:val="00CB087A"/>
    <w:rsid w:val="00CB091B"/>
    <w:rsid w:val="00CB091F"/>
    <w:rsid w:val="00CB0939"/>
    <w:rsid w:val="00CB0942"/>
    <w:rsid w:val="00CB0961"/>
    <w:rsid w:val="00CB098A"/>
    <w:rsid w:val="00CB09FC"/>
    <w:rsid w:val="00CB0A06"/>
    <w:rsid w:val="00CB0A6D"/>
    <w:rsid w:val="00CB0AE3"/>
    <w:rsid w:val="00CB0B22"/>
    <w:rsid w:val="00CB0B48"/>
    <w:rsid w:val="00CB0B8C"/>
    <w:rsid w:val="00CB0BC2"/>
    <w:rsid w:val="00CB0BDE"/>
    <w:rsid w:val="00CB0C2A"/>
    <w:rsid w:val="00CB0C79"/>
    <w:rsid w:val="00CB0C91"/>
    <w:rsid w:val="00CB0CE6"/>
    <w:rsid w:val="00CB0CE8"/>
    <w:rsid w:val="00CB0CF6"/>
    <w:rsid w:val="00CB0D88"/>
    <w:rsid w:val="00CB0D9C"/>
    <w:rsid w:val="00CB0DA2"/>
    <w:rsid w:val="00CB0DDC"/>
    <w:rsid w:val="00CB0DF7"/>
    <w:rsid w:val="00CB0E34"/>
    <w:rsid w:val="00CB0E39"/>
    <w:rsid w:val="00CB0E72"/>
    <w:rsid w:val="00CB0E9C"/>
    <w:rsid w:val="00CB0EBC"/>
    <w:rsid w:val="00CB0EBF"/>
    <w:rsid w:val="00CB0ED3"/>
    <w:rsid w:val="00CB0EEC"/>
    <w:rsid w:val="00CB0F97"/>
    <w:rsid w:val="00CB0FE1"/>
    <w:rsid w:val="00CB0FE3"/>
    <w:rsid w:val="00CB109C"/>
    <w:rsid w:val="00CB112B"/>
    <w:rsid w:val="00CB1182"/>
    <w:rsid w:val="00CB118C"/>
    <w:rsid w:val="00CB11AE"/>
    <w:rsid w:val="00CB11B2"/>
    <w:rsid w:val="00CB1223"/>
    <w:rsid w:val="00CB1276"/>
    <w:rsid w:val="00CB1287"/>
    <w:rsid w:val="00CB12AC"/>
    <w:rsid w:val="00CB132D"/>
    <w:rsid w:val="00CB135C"/>
    <w:rsid w:val="00CB144E"/>
    <w:rsid w:val="00CB14AF"/>
    <w:rsid w:val="00CB14D0"/>
    <w:rsid w:val="00CB14D8"/>
    <w:rsid w:val="00CB14DE"/>
    <w:rsid w:val="00CB1578"/>
    <w:rsid w:val="00CB15A4"/>
    <w:rsid w:val="00CB15B9"/>
    <w:rsid w:val="00CB15BD"/>
    <w:rsid w:val="00CB15D6"/>
    <w:rsid w:val="00CB15DF"/>
    <w:rsid w:val="00CB160D"/>
    <w:rsid w:val="00CB1630"/>
    <w:rsid w:val="00CB167A"/>
    <w:rsid w:val="00CB1698"/>
    <w:rsid w:val="00CB16D8"/>
    <w:rsid w:val="00CB1702"/>
    <w:rsid w:val="00CB1726"/>
    <w:rsid w:val="00CB172C"/>
    <w:rsid w:val="00CB178B"/>
    <w:rsid w:val="00CB17FA"/>
    <w:rsid w:val="00CB1839"/>
    <w:rsid w:val="00CB1847"/>
    <w:rsid w:val="00CB18C5"/>
    <w:rsid w:val="00CB191F"/>
    <w:rsid w:val="00CB1930"/>
    <w:rsid w:val="00CB1941"/>
    <w:rsid w:val="00CB1951"/>
    <w:rsid w:val="00CB19BB"/>
    <w:rsid w:val="00CB19F6"/>
    <w:rsid w:val="00CB1A24"/>
    <w:rsid w:val="00CB1A47"/>
    <w:rsid w:val="00CB1A73"/>
    <w:rsid w:val="00CB1A91"/>
    <w:rsid w:val="00CB1AAB"/>
    <w:rsid w:val="00CB1AE6"/>
    <w:rsid w:val="00CB1B0D"/>
    <w:rsid w:val="00CB1B44"/>
    <w:rsid w:val="00CB1B51"/>
    <w:rsid w:val="00CB1B8F"/>
    <w:rsid w:val="00CB1B9A"/>
    <w:rsid w:val="00CB1BBA"/>
    <w:rsid w:val="00CB1BC9"/>
    <w:rsid w:val="00CB1BD1"/>
    <w:rsid w:val="00CB1C53"/>
    <w:rsid w:val="00CB1C5D"/>
    <w:rsid w:val="00CB1C7B"/>
    <w:rsid w:val="00CB1C7C"/>
    <w:rsid w:val="00CB1C7E"/>
    <w:rsid w:val="00CB1D0B"/>
    <w:rsid w:val="00CB1D37"/>
    <w:rsid w:val="00CB1D89"/>
    <w:rsid w:val="00CB1D90"/>
    <w:rsid w:val="00CB1D93"/>
    <w:rsid w:val="00CB1DA0"/>
    <w:rsid w:val="00CB1E6B"/>
    <w:rsid w:val="00CB1E6F"/>
    <w:rsid w:val="00CB1ECC"/>
    <w:rsid w:val="00CB1F69"/>
    <w:rsid w:val="00CB1F70"/>
    <w:rsid w:val="00CB1F8C"/>
    <w:rsid w:val="00CB1FA8"/>
    <w:rsid w:val="00CB1FB3"/>
    <w:rsid w:val="00CB1FC2"/>
    <w:rsid w:val="00CB1FE4"/>
    <w:rsid w:val="00CB2013"/>
    <w:rsid w:val="00CB2028"/>
    <w:rsid w:val="00CB2069"/>
    <w:rsid w:val="00CB20A0"/>
    <w:rsid w:val="00CB20F3"/>
    <w:rsid w:val="00CB213F"/>
    <w:rsid w:val="00CB2143"/>
    <w:rsid w:val="00CB2154"/>
    <w:rsid w:val="00CB2171"/>
    <w:rsid w:val="00CB2185"/>
    <w:rsid w:val="00CB2187"/>
    <w:rsid w:val="00CB220D"/>
    <w:rsid w:val="00CB221C"/>
    <w:rsid w:val="00CB2225"/>
    <w:rsid w:val="00CB2276"/>
    <w:rsid w:val="00CB2314"/>
    <w:rsid w:val="00CB237B"/>
    <w:rsid w:val="00CB23D8"/>
    <w:rsid w:val="00CB2403"/>
    <w:rsid w:val="00CB2407"/>
    <w:rsid w:val="00CB242E"/>
    <w:rsid w:val="00CB2438"/>
    <w:rsid w:val="00CB245A"/>
    <w:rsid w:val="00CB247B"/>
    <w:rsid w:val="00CB2485"/>
    <w:rsid w:val="00CB251C"/>
    <w:rsid w:val="00CB251E"/>
    <w:rsid w:val="00CB2559"/>
    <w:rsid w:val="00CB2560"/>
    <w:rsid w:val="00CB256C"/>
    <w:rsid w:val="00CB25A2"/>
    <w:rsid w:val="00CB25EA"/>
    <w:rsid w:val="00CB25F4"/>
    <w:rsid w:val="00CB2618"/>
    <w:rsid w:val="00CB26A5"/>
    <w:rsid w:val="00CB26E8"/>
    <w:rsid w:val="00CB2757"/>
    <w:rsid w:val="00CB276B"/>
    <w:rsid w:val="00CB27B7"/>
    <w:rsid w:val="00CB27E9"/>
    <w:rsid w:val="00CB2817"/>
    <w:rsid w:val="00CB2841"/>
    <w:rsid w:val="00CB2842"/>
    <w:rsid w:val="00CB2867"/>
    <w:rsid w:val="00CB286F"/>
    <w:rsid w:val="00CB28F2"/>
    <w:rsid w:val="00CB292A"/>
    <w:rsid w:val="00CB29A3"/>
    <w:rsid w:val="00CB29A4"/>
    <w:rsid w:val="00CB29BE"/>
    <w:rsid w:val="00CB29BF"/>
    <w:rsid w:val="00CB29E3"/>
    <w:rsid w:val="00CB2A42"/>
    <w:rsid w:val="00CB2A55"/>
    <w:rsid w:val="00CB2A88"/>
    <w:rsid w:val="00CB2B0C"/>
    <w:rsid w:val="00CB2B20"/>
    <w:rsid w:val="00CB2B37"/>
    <w:rsid w:val="00CB2B65"/>
    <w:rsid w:val="00CB2B6F"/>
    <w:rsid w:val="00CB2B96"/>
    <w:rsid w:val="00CB2BA0"/>
    <w:rsid w:val="00CB2BBF"/>
    <w:rsid w:val="00CB2BF7"/>
    <w:rsid w:val="00CB2C83"/>
    <w:rsid w:val="00CB2C9F"/>
    <w:rsid w:val="00CB2D59"/>
    <w:rsid w:val="00CB2D91"/>
    <w:rsid w:val="00CB2DF4"/>
    <w:rsid w:val="00CB2DFA"/>
    <w:rsid w:val="00CB2E78"/>
    <w:rsid w:val="00CB2E94"/>
    <w:rsid w:val="00CB2EA1"/>
    <w:rsid w:val="00CB2F56"/>
    <w:rsid w:val="00CB2FEB"/>
    <w:rsid w:val="00CB2FF0"/>
    <w:rsid w:val="00CB300E"/>
    <w:rsid w:val="00CB303A"/>
    <w:rsid w:val="00CB304B"/>
    <w:rsid w:val="00CB3067"/>
    <w:rsid w:val="00CB3071"/>
    <w:rsid w:val="00CB3082"/>
    <w:rsid w:val="00CB30CE"/>
    <w:rsid w:val="00CB30D6"/>
    <w:rsid w:val="00CB3108"/>
    <w:rsid w:val="00CB31F1"/>
    <w:rsid w:val="00CB3226"/>
    <w:rsid w:val="00CB333B"/>
    <w:rsid w:val="00CB339A"/>
    <w:rsid w:val="00CB33A0"/>
    <w:rsid w:val="00CB33FC"/>
    <w:rsid w:val="00CB3417"/>
    <w:rsid w:val="00CB346B"/>
    <w:rsid w:val="00CB3472"/>
    <w:rsid w:val="00CB3498"/>
    <w:rsid w:val="00CB349A"/>
    <w:rsid w:val="00CB34E7"/>
    <w:rsid w:val="00CB3511"/>
    <w:rsid w:val="00CB3524"/>
    <w:rsid w:val="00CB3527"/>
    <w:rsid w:val="00CB3541"/>
    <w:rsid w:val="00CB354B"/>
    <w:rsid w:val="00CB3560"/>
    <w:rsid w:val="00CB35A0"/>
    <w:rsid w:val="00CB35D0"/>
    <w:rsid w:val="00CB35F4"/>
    <w:rsid w:val="00CB361D"/>
    <w:rsid w:val="00CB3646"/>
    <w:rsid w:val="00CB3673"/>
    <w:rsid w:val="00CB36C3"/>
    <w:rsid w:val="00CB3706"/>
    <w:rsid w:val="00CB3712"/>
    <w:rsid w:val="00CB3784"/>
    <w:rsid w:val="00CB37B5"/>
    <w:rsid w:val="00CB37B9"/>
    <w:rsid w:val="00CB37EF"/>
    <w:rsid w:val="00CB3805"/>
    <w:rsid w:val="00CB3832"/>
    <w:rsid w:val="00CB3840"/>
    <w:rsid w:val="00CB3907"/>
    <w:rsid w:val="00CB3913"/>
    <w:rsid w:val="00CB391E"/>
    <w:rsid w:val="00CB3926"/>
    <w:rsid w:val="00CB3950"/>
    <w:rsid w:val="00CB399C"/>
    <w:rsid w:val="00CB39EA"/>
    <w:rsid w:val="00CB39FE"/>
    <w:rsid w:val="00CB3A04"/>
    <w:rsid w:val="00CB3A1B"/>
    <w:rsid w:val="00CB3A1C"/>
    <w:rsid w:val="00CB3A57"/>
    <w:rsid w:val="00CB3A9C"/>
    <w:rsid w:val="00CB3B2E"/>
    <w:rsid w:val="00CB3B57"/>
    <w:rsid w:val="00CB3B96"/>
    <w:rsid w:val="00CB3C76"/>
    <w:rsid w:val="00CB3CD7"/>
    <w:rsid w:val="00CB3CED"/>
    <w:rsid w:val="00CB3D05"/>
    <w:rsid w:val="00CB3D46"/>
    <w:rsid w:val="00CB3E8E"/>
    <w:rsid w:val="00CB3E91"/>
    <w:rsid w:val="00CB3EC9"/>
    <w:rsid w:val="00CB3F2F"/>
    <w:rsid w:val="00CB3FA7"/>
    <w:rsid w:val="00CB3FCF"/>
    <w:rsid w:val="00CB3FEE"/>
    <w:rsid w:val="00CB40AB"/>
    <w:rsid w:val="00CB40B3"/>
    <w:rsid w:val="00CB40DA"/>
    <w:rsid w:val="00CB40DD"/>
    <w:rsid w:val="00CB40E6"/>
    <w:rsid w:val="00CB40FA"/>
    <w:rsid w:val="00CB4161"/>
    <w:rsid w:val="00CB4165"/>
    <w:rsid w:val="00CB417A"/>
    <w:rsid w:val="00CB4200"/>
    <w:rsid w:val="00CB420E"/>
    <w:rsid w:val="00CB421F"/>
    <w:rsid w:val="00CB4233"/>
    <w:rsid w:val="00CB4237"/>
    <w:rsid w:val="00CB429A"/>
    <w:rsid w:val="00CB42D8"/>
    <w:rsid w:val="00CB42F4"/>
    <w:rsid w:val="00CB4308"/>
    <w:rsid w:val="00CB437C"/>
    <w:rsid w:val="00CB43F3"/>
    <w:rsid w:val="00CB4409"/>
    <w:rsid w:val="00CB441C"/>
    <w:rsid w:val="00CB4421"/>
    <w:rsid w:val="00CB4424"/>
    <w:rsid w:val="00CB442F"/>
    <w:rsid w:val="00CB4430"/>
    <w:rsid w:val="00CB4445"/>
    <w:rsid w:val="00CB446C"/>
    <w:rsid w:val="00CB446F"/>
    <w:rsid w:val="00CB4474"/>
    <w:rsid w:val="00CB4486"/>
    <w:rsid w:val="00CB44C7"/>
    <w:rsid w:val="00CB455B"/>
    <w:rsid w:val="00CB4596"/>
    <w:rsid w:val="00CB45AD"/>
    <w:rsid w:val="00CB45BD"/>
    <w:rsid w:val="00CB45D9"/>
    <w:rsid w:val="00CB45E8"/>
    <w:rsid w:val="00CB45F0"/>
    <w:rsid w:val="00CB464B"/>
    <w:rsid w:val="00CB4658"/>
    <w:rsid w:val="00CB465F"/>
    <w:rsid w:val="00CB46B3"/>
    <w:rsid w:val="00CB46CF"/>
    <w:rsid w:val="00CB46D5"/>
    <w:rsid w:val="00CB46DC"/>
    <w:rsid w:val="00CB46E9"/>
    <w:rsid w:val="00CB4720"/>
    <w:rsid w:val="00CB472A"/>
    <w:rsid w:val="00CB4800"/>
    <w:rsid w:val="00CB480E"/>
    <w:rsid w:val="00CB486E"/>
    <w:rsid w:val="00CB4880"/>
    <w:rsid w:val="00CB4882"/>
    <w:rsid w:val="00CB499A"/>
    <w:rsid w:val="00CB49AC"/>
    <w:rsid w:val="00CB49CC"/>
    <w:rsid w:val="00CB4A7F"/>
    <w:rsid w:val="00CB4A93"/>
    <w:rsid w:val="00CB4AF8"/>
    <w:rsid w:val="00CB4B1F"/>
    <w:rsid w:val="00CB4B33"/>
    <w:rsid w:val="00CB4B3C"/>
    <w:rsid w:val="00CB4B92"/>
    <w:rsid w:val="00CB4BAB"/>
    <w:rsid w:val="00CB4BD5"/>
    <w:rsid w:val="00CB4BEF"/>
    <w:rsid w:val="00CB4C2B"/>
    <w:rsid w:val="00CB4C42"/>
    <w:rsid w:val="00CB4C7A"/>
    <w:rsid w:val="00CB4CE1"/>
    <w:rsid w:val="00CB4D3B"/>
    <w:rsid w:val="00CB4D49"/>
    <w:rsid w:val="00CB4DC8"/>
    <w:rsid w:val="00CB4E40"/>
    <w:rsid w:val="00CB4E61"/>
    <w:rsid w:val="00CB4E7D"/>
    <w:rsid w:val="00CB4E85"/>
    <w:rsid w:val="00CB4E96"/>
    <w:rsid w:val="00CB4E9A"/>
    <w:rsid w:val="00CB4EA0"/>
    <w:rsid w:val="00CB4F1D"/>
    <w:rsid w:val="00CB4F96"/>
    <w:rsid w:val="00CB5036"/>
    <w:rsid w:val="00CB5086"/>
    <w:rsid w:val="00CB509C"/>
    <w:rsid w:val="00CB50CA"/>
    <w:rsid w:val="00CB50F4"/>
    <w:rsid w:val="00CB512D"/>
    <w:rsid w:val="00CB5142"/>
    <w:rsid w:val="00CB514D"/>
    <w:rsid w:val="00CB5155"/>
    <w:rsid w:val="00CB516D"/>
    <w:rsid w:val="00CB5177"/>
    <w:rsid w:val="00CB5190"/>
    <w:rsid w:val="00CB51BE"/>
    <w:rsid w:val="00CB5276"/>
    <w:rsid w:val="00CB529E"/>
    <w:rsid w:val="00CB52F8"/>
    <w:rsid w:val="00CB5307"/>
    <w:rsid w:val="00CB5313"/>
    <w:rsid w:val="00CB5320"/>
    <w:rsid w:val="00CB537B"/>
    <w:rsid w:val="00CB539D"/>
    <w:rsid w:val="00CB53C5"/>
    <w:rsid w:val="00CB53ED"/>
    <w:rsid w:val="00CB548E"/>
    <w:rsid w:val="00CB54B1"/>
    <w:rsid w:val="00CB54E5"/>
    <w:rsid w:val="00CB5580"/>
    <w:rsid w:val="00CB558A"/>
    <w:rsid w:val="00CB55C4"/>
    <w:rsid w:val="00CB55F2"/>
    <w:rsid w:val="00CB56CB"/>
    <w:rsid w:val="00CB56FC"/>
    <w:rsid w:val="00CB5709"/>
    <w:rsid w:val="00CB5719"/>
    <w:rsid w:val="00CB5723"/>
    <w:rsid w:val="00CB57F4"/>
    <w:rsid w:val="00CB584B"/>
    <w:rsid w:val="00CB5850"/>
    <w:rsid w:val="00CB5856"/>
    <w:rsid w:val="00CB58AF"/>
    <w:rsid w:val="00CB593D"/>
    <w:rsid w:val="00CB5947"/>
    <w:rsid w:val="00CB5967"/>
    <w:rsid w:val="00CB5975"/>
    <w:rsid w:val="00CB59A7"/>
    <w:rsid w:val="00CB5AF7"/>
    <w:rsid w:val="00CB5B01"/>
    <w:rsid w:val="00CB5B46"/>
    <w:rsid w:val="00CB5B73"/>
    <w:rsid w:val="00CB5B9D"/>
    <w:rsid w:val="00CB5B9E"/>
    <w:rsid w:val="00CB5C09"/>
    <w:rsid w:val="00CB5C12"/>
    <w:rsid w:val="00CB5C25"/>
    <w:rsid w:val="00CB5C41"/>
    <w:rsid w:val="00CB5CAE"/>
    <w:rsid w:val="00CB5CB4"/>
    <w:rsid w:val="00CB5CC3"/>
    <w:rsid w:val="00CB5CDD"/>
    <w:rsid w:val="00CB5D0A"/>
    <w:rsid w:val="00CB5D27"/>
    <w:rsid w:val="00CB5D30"/>
    <w:rsid w:val="00CB5D3B"/>
    <w:rsid w:val="00CB5D44"/>
    <w:rsid w:val="00CB5D45"/>
    <w:rsid w:val="00CB5D7D"/>
    <w:rsid w:val="00CB5D8E"/>
    <w:rsid w:val="00CB5E46"/>
    <w:rsid w:val="00CB5EAE"/>
    <w:rsid w:val="00CB5F3B"/>
    <w:rsid w:val="00CB5F3F"/>
    <w:rsid w:val="00CB5F43"/>
    <w:rsid w:val="00CB5FF9"/>
    <w:rsid w:val="00CB602A"/>
    <w:rsid w:val="00CB6039"/>
    <w:rsid w:val="00CB6049"/>
    <w:rsid w:val="00CB604E"/>
    <w:rsid w:val="00CB60AD"/>
    <w:rsid w:val="00CB60B4"/>
    <w:rsid w:val="00CB61F6"/>
    <w:rsid w:val="00CB6231"/>
    <w:rsid w:val="00CB628F"/>
    <w:rsid w:val="00CB62F5"/>
    <w:rsid w:val="00CB6303"/>
    <w:rsid w:val="00CB6309"/>
    <w:rsid w:val="00CB6310"/>
    <w:rsid w:val="00CB6324"/>
    <w:rsid w:val="00CB6329"/>
    <w:rsid w:val="00CB6340"/>
    <w:rsid w:val="00CB6389"/>
    <w:rsid w:val="00CB63CD"/>
    <w:rsid w:val="00CB6477"/>
    <w:rsid w:val="00CB647E"/>
    <w:rsid w:val="00CB648A"/>
    <w:rsid w:val="00CB64A8"/>
    <w:rsid w:val="00CB64C1"/>
    <w:rsid w:val="00CB64EF"/>
    <w:rsid w:val="00CB6520"/>
    <w:rsid w:val="00CB6538"/>
    <w:rsid w:val="00CB6550"/>
    <w:rsid w:val="00CB65E5"/>
    <w:rsid w:val="00CB65FC"/>
    <w:rsid w:val="00CB6642"/>
    <w:rsid w:val="00CB668F"/>
    <w:rsid w:val="00CB66FF"/>
    <w:rsid w:val="00CB6715"/>
    <w:rsid w:val="00CB6721"/>
    <w:rsid w:val="00CB6735"/>
    <w:rsid w:val="00CB6797"/>
    <w:rsid w:val="00CB67C2"/>
    <w:rsid w:val="00CB67CA"/>
    <w:rsid w:val="00CB67E0"/>
    <w:rsid w:val="00CB67EE"/>
    <w:rsid w:val="00CB67F0"/>
    <w:rsid w:val="00CB683A"/>
    <w:rsid w:val="00CB6899"/>
    <w:rsid w:val="00CB68CE"/>
    <w:rsid w:val="00CB68D3"/>
    <w:rsid w:val="00CB6908"/>
    <w:rsid w:val="00CB6940"/>
    <w:rsid w:val="00CB6A10"/>
    <w:rsid w:val="00CB6A1A"/>
    <w:rsid w:val="00CB6A50"/>
    <w:rsid w:val="00CB6A63"/>
    <w:rsid w:val="00CB6AB5"/>
    <w:rsid w:val="00CB6AE2"/>
    <w:rsid w:val="00CB6B6D"/>
    <w:rsid w:val="00CB6B75"/>
    <w:rsid w:val="00CB6BA2"/>
    <w:rsid w:val="00CB6BF8"/>
    <w:rsid w:val="00CB6C15"/>
    <w:rsid w:val="00CB6C1C"/>
    <w:rsid w:val="00CB6C22"/>
    <w:rsid w:val="00CB6C2E"/>
    <w:rsid w:val="00CB6C8B"/>
    <w:rsid w:val="00CB6CAF"/>
    <w:rsid w:val="00CB6CD3"/>
    <w:rsid w:val="00CB6CD4"/>
    <w:rsid w:val="00CB6D21"/>
    <w:rsid w:val="00CB6E6A"/>
    <w:rsid w:val="00CB6E7B"/>
    <w:rsid w:val="00CB6EC4"/>
    <w:rsid w:val="00CB6F48"/>
    <w:rsid w:val="00CB6F5F"/>
    <w:rsid w:val="00CB6FAB"/>
    <w:rsid w:val="00CB6FB2"/>
    <w:rsid w:val="00CB6FCF"/>
    <w:rsid w:val="00CB6FE1"/>
    <w:rsid w:val="00CB6FFB"/>
    <w:rsid w:val="00CB7050"/>
    <w:rsid w:val="00CB7061"/>
    <w:rsid w:val="00CB7085"/>
    <w:rsid w:val="00CB70FA"/>
    <w:rsid w:val="00CB7118"/>
    <w:rsid w:val="00CB712B"/>
    <w:rsid w:val="00CB715B"/>
    <w:rsid w:val="00CB719A"/>
    <w:rsid w:val="00CB71A4"/>
    <w:rsid w:val="00CB7203"/>
    <w:rsid w:val="00CB7279"/>
    <w:rsid w:val="00CB727B"/>
    <w:rsid w:val="00CB7291"/>
    <w:rsid w:val="00CB736F"/>
    <w:rsid w:val="00CB7407"/>
    <w:rsid w:val="00CB7408"/>
    <w:rsid w:val="00CB7419"/>
    <w:rsid w:val="00CB741A"/>
    <w:rsid w:val="00CB7424"/>
    <w:rsid w:val="00CB7561"/>
    <w:rsid w:val="00CB759F"/>
    <w:rsid w:val="00CB75BA"/>
    <w:rsid w:val="00CB761E"/>
    <w:rsid w:val="00CB7657"/>
    <w:rsid w:val="00CB7665"/>
    <w:rsid w:val="00CB7675"/>
    <w:rsid w:val="00CB76BF"/>
    <w:rsid w:val="00CB76FE"/>
    <w:rsid w:val="00CB7712"/>
    <w:rsid w:val="00CB773B"/>
    <w:rsid w:val="00CB7745"/>
    <w:rsid w:val="00CB77AB"/>
    <w:rsid w:val="00CB77B8"/>
    <w:rsid w:val="00CB781D"/>
    <w:rsid w:val="00CB7871"/>
    <w:rsid w:val="00CB7877"/>
    <w:rsid w:val="00CB78B2"/>
    <w:rsid w:val="00CB78DC"/>
    <w:rsid w:val="00CB791A"/>
    <w:rsid w:val="00CB7939"/>
    <w:rsid w:val="00CB7960"/>
    <w:rsid w:val="00CB7974"/>
    <w:rsid w:val="00CB79B7"/>
    <w:rsid w:val="00CB79BD"/>
    <w:rsid w:val="00CB79EE"/>
    <w:rsid w:val="00CB7A1D"/>
    <w:rsid w:val="00CB7A34"/>
    <w:rsid w:val="00CB7A51"/>
    <w:rsid w:val="00CB7A74"/>
    <w:rsid w:val="00CB7A81"/>
    <w:rsid w:val="00CB7AD1"/>
    <w:rsid w:val="00CB7B27"/>
    <w:rsid w:val="00CB7B2A"/>
    <w:rsid w:val="00CB7B4A"/>
    <w:rsid w:val="00CB7B66"/>
    <w:rsid w:val="00CB7B70"/>
    <w:rsid w:val="00CB7BA9"/>
    <w:rsid w:val="00CB7BF5"/>
    <w:rsid w:val="00CB7C4F"/>
    <w:rsid w:val="00CB7CAC"/>
    <w:rsid w:val="00CB7CAE"/>
    <w:rsid w:val="00CB7CCD"/>
    <w:rsid w:val="00CB7CDA"/>
    <w:rsid w:val="00CB7D03"/>
    <w:rsid w:val="00CB7D1C"/>
    <w:rsid w:val="00CB7D6E"/>
    <w:rsid w:val="00CB7DA6"/>
    <w:rsid w:val="00CB7DDD"/>
    <w:rsid w:val="00CB7E14"/>
    <w:rsid w:val="00CB7E3D"/>
    <w:rsid w:val="00CB7E62"/>
    <w:rsid w:val="00CB7E9C"/>
    <w:rsid w:val="00CB7EC0"/>
    <w:rsid w:val="00CB7EC1"/>
    <w:rsid w:val="00CB7F51"/>
    <w:rsid w:val="00CB7F76"/>
    <w:rsid w:val="00CB7F8D"/>
    <w:rsid w:val="00CB7FC4"/>
    <w:rsid w:val="00CB7FEF"/>
    <w:rsid w:val="00CC0005"/>
    <w:rsid w:val="00CC000F"/>
    <w:rsid w:val="00CC0019"/>
    <w:rsid w:val="00CC001A"/>
    <w:rsid w:val="00CC008A"/>
    <w:rsid w:val="00CC0099"/>
    <w:rsid w:val="00CC0111"/>
    <w:rsid w:val="00CC0196"/>
    <w:rsid w:val="00CC0218"/>
    <w:rsid w:val="00CC028F"/>
    <w:rsid w:val="00CC029C"/>
    <w:rsid w:val="00CC02C0"/>
    <w:rsid w:val="00CC02D7"/>
    <w:rsid w:val="00CC037D"/>
    <w:rsid w:val="00CC03C6"/>
    <w:rsid w:val="00CC03E3"/>
    <w:rsid w:val="00CC03EC"/>
    <w:rsid w:val="00CC0414"/>
    <w:rsid w:val="00CC042B"/>
    <w:rsid w:val="00CC049C"/>
    <w:rsid w:val="00CC04BF"/>
    <w:rsid w:val="00CC04DA"/>
    <w:rsid w:val="00CC052E"/>
    <w:rsid w:val="00CC052F"/>
    <w:rsid w:val="00CC0539"/>
    <w:rsid w:val="00CC05BB"/>
    <w:rsid w:val="00CC05BC"/>
    <w:rsid w:val="00CC061F"/>
    <w:rsid w:val="00CC0634"/>
    <w:rsid w:val="00CC0652"/>
    <w:rsid w:val="00CC0666"/>
    <w:rsid w:val="00CC0692"/>
    <w:rsid w:val="00CC06B9"/>
    <w:rsid w:val="00CC070C"/>
    <w:rsid w:val="00CC07E7"/>
    <w:rsid w:val="00CC0806"/>
    <w:rsid w:val="00CC080E"/>
    <w:rsid w:val="00CC082B"/>
    <w:rsid w:val="00CC087F"/>
    <w:rsid w:val="00CC0881"/>
    <w:rsid w:val="00CC088F"/>
    <w:rsid w:val="00CC0894"/>
    <w:rsid w:val="00CC08B6"/>
    <w:rsid w:val="00CC08C8"/>
    <w:rsid w:val="00CC08CB"/>
    <w:rsid w:val="00CC08D8"/>
    <w:rsid w:val="00CC08DE"/>
    <w:rsid w:val="00CC0941"/>
    <w:rsid w:val="00CC0950"/>
    <w:rsid w:val="00CC0A00"/>
    <w:rsid w:val="00CC0A02"/>
    <w:rsid w:val="00CC0A6B"/>
    <w:rsid w:val="00CC0A79"/>
    <w:rsid w:val="00CC0A7F"/>
    <w:rsid w:val="00CC0ADD"/>
    <w:rsid w:val="00CC0AE5"/>
    <w:rsid w:val="00CC0B7E"/>
    <w:rsid w:val="00CC0B88"/>
    <w:rsid w:val="00CC0BDF"/>
    <w:rsid w:val="00CC0BF3"/>
    <w:rsid w:val="00CC0BFC"/>
    <w:rsid w:val="00CC0C56"/>
    <w:rsid w:val="00CC0C68"/>
    <w:rsid w:val="00CC0CBF"/>
    <w:rsid w:val="00CC0CCF"/>
    <w:rsid w:val="00CC0D48"/>
    <w:rsid w:val="00CC0D53"/>
    <w:rsid w:val="00CC0D76"/>
    <w:rsid w:val="00CC0E36"/>
    <w:rsid w:val="00CC0E3E"/>
    <w:rsid w:val="00CC0F8C"/>
    <w:rsid w:val="00CC0FC7"/>
    <w:rsid w:val="00CC0FD1"/>
    <w:rsid w:val="00CC0FE2"/>
    <w:rsid w:val="00CC0FE4"/>
    <w:rsid w:val="00CC1002"/>
    <w:rsid w:val="00CC103E"/>
    <w:rsid w:val="00CC104B"/>
    <w:rsid w:val="00CC1075"/>
    <w:rsid w:val="00CC10CE"/>
    <w:rsid w:val="00CC1124"/>
    <w:rsid w:val="00CC1194"/>
    <w:rsid w:val="00CC11AC"/>
    <w:rsid w:val="00CC11C5"/>
    <w:rsid w:val="00CC11D1"/>
    <w:rsid w:val="00CC11E8"/>
    <w:rsid w:val="00CC1203"/>
    <w:rsid w:val="00CC121C"/>
    <w:rsid w:val="00CC1220"/>
    <w:rsid w:val="00CC1227"/>
    <w:rsid w:val="00CC1237"/>
    <w:rsid w:val="00CC1249"/>
    <w:rsid w:val="00CC1276"/>
    <w:rsid w:val="00CC12F8"/>
    <w:rsid w:val="00CC1349"/>
    <w:rsid w:val="00CC138E"/>
    <w:rsid w:val="00CC13C5"/>
    <w:rsid w:val="00CC13DB"/>
    <w:rsid w:val="00CC141C"/>
    <w:rsid w:val="00CC142E"/>
    <w:rsid w:val="00CC1431"/>
    <w:rsid w:val="00CC1439"/>
    <w:rsid w:val="00CC143A"/>
    <w:rsid w:val="00CC1472"/>
    <w:rsid w:val="00CC14D5"/>
    <w:rsid w:val="00CC1502"/>
    <w:rsid w:val="00CC1503"/>
    <w:rsid w:val="00CC1509"/>
    <w:rsid w:val="00CC150E"/>
    <w:rsid w:val="00CC155D"/>
    <w:rsid w:val="00CC1579"/>
    <w:rsid w:val="00CC1699"/>
    <w:rsid w:val="00CC16AA"/>
    <w:rsid w:val="00CC16CC"/>
    <w:rsid w:val="00CC16F5"/>
    <w:rsid w:val="00CC16F6"/>
    <w:rsid w:val="00CC172A"/>
    <w:rsid w:val="00CC1773"/>
    <w:rsid w:val="00CC1799"/>
    <w:rsid w:val="00CC17EE"/>
    <w:rsid w:val="00CC1827"/>
    <w:rsid w:val="00CC183D"/>
    <w:rsid w:val="00CC1854"/>
    <w:rsid w:val="00CC1860"/>
    <w:rsid w:val="00CC18AD"/>
    <w:rsid w:val="00CC18BB"/>
    <w:rsid w:val="00CC18CC"/>
    <w:rsid w:val="00CC1900"/>
    <w:rsid w:val="00CC190A"/>
    <w:rsid w:val="00CC193C"/>
    <w:rsid w:val="00CC193D"/>
    <w:rsid w:val="00CC195C"/>
    <w:rsid w:val="00CC199D"/>
    <w:rsid w:val="00CC19BB"/>
    <w:rsid w:val="00CC19E7"/>
    <w:rsid w:val="00CC19F3"/>
    <w:rsid w:val="00CC19F9"/>
    <w:rsid w:val="00CC1A04"/>
    <w:rsid w:val="00CC1B1B"/>
    <w:rsid w:val="00CC1B25"/>
    <w:rsid w:val="00CC1B48"/>
    <w:rsid w:val="00CC1B68"/>
    <w:rsid w:val="00CC1BA6"/>
    <w:rsid w:val="00CC1BCC"/>
    <w:rsid w:val="00CC1C0B"/>
    <w:rsid w:val="00CC1C4E"/>
    <w:rsid w:val="00CC1C50"/>
    <w:rsid w:val="00CC1CD5"/>
    <w:rsid w:val="00CC1D2D"/>
    <w:rsid w:val="00CC1D3E"/>
    <w:rsid w:val="00CC1D5E"/>
    <w:rsid w:val="00CC1DB0"/>
    <w:rsid w:val="00CC1E28"/>
    <w:rsid w:val="00CC1E71"/>
    <w:rsid w:val="00CC1EBB"/>
    <w:rsid w:val="00CC1EC8"/>
    <w:rsid w:val="00CC1F89"/>
    <w:rsid w:val="00CC1FB1"/>
    <w:rsid w:val="00CC1FD8"/>
    <w:rsid w:val="00CC1FDC"/>
    <w:rsid w:val="00CC1FDD"/>
    <w:rsid w:val="00CC2031"/>
    <w:rsid w:val="00CC204D"/>
    <w:rsid w:val="00CC2072"/>
    <w:rsid w:val="00CC2089"/>
    <w:rsid w:val="00CC2097"/>
    <w:rsid w:val="00CC20DE"/>
    <w:rsid w:val="00CC2101"/>
    <w:rsid w:val="00CC214C"/>
    <w:rsid w:val="00CC216A"/>
    <w:rsid w:val="00CC2171"/>
    <w:rsid w:val="00CC2186"/>
    <w:rsid w:val="00CC21E1"/>
    <w:rsid w:val="00CC220F"/>
    <w:rsid w:val="00CC223F"/>
    <w:rsid w:val="00CC2254"/>
    <w:rsid w:val="00CC2295"/>
    <w:rsid w:val="00CC2332"/>
    <w:rsid w:val="00CC2335"/>
    <w:rsid w:val="00CC235A"/>
    <w:rsid w:val="00CC23CE"/>
    <w:rsid w:val="00CC23EB"/>
    <w:rsid w:val="00CC2444"/>
    <w:rsid w:val="00CC2476"/>
    <w:rsid w:val="00CC247A"/>
    <w:rsid w:val="00CC249C"/>
    <w:rsid w:val="00CC24A8"/>
    <w:rsid w:val="00CC24DD"/>
    <w:rsid w:val="00CC258F"/>
    <w:rsid w:val="00CC25C6"/>
    <w:rsid w:val="00CC260F"/>
    <w:rsid w:val="00CC2630"/>
    <w:rsid w:val="00CC2631"/>
    <w:rsid w:val="00CC2656"/>
    <w:rsid w:val="00CC2675"/>
    <w:rsid w:val="00CC26BF"/>
    <w:rsid w:val="00CC26D8"/>
    <w:rsid w:val="00CC26F8"/>
    <w:rsid w:val="00CC270C"/>
    <w:rsid w:val="00CC2716"/>
    <w:rsid w:val="00CC2718"/>
    <w:rsid w:val="00CC27B2"/>
    <w:rsid w:val="00CC2817"/>
    <w:rsid w:val="00CC2830"/>
    <w:rsid w:val="00CC283D"/>
    <w:rsid w:val="00CC293C"/>
    <w:rsid w:val="00CC295A"/>
    <w:rsid w:val="00CC2962"/>
    <w:rsid w:val="00CC296E"/>
    <w:rsid w:val="00CC29A9"/>
    <w:rsid w:val="00CC29D4"/>
    <w:rsid w:val="00CC2A0F"/>
    <w:rsid w:val="00CC2AE8"/>
    <w:rsid w:val="00CC2AF0"/>
    <w:rsid w:val="00CC2B6B"/>
    <w:rsid w:val="00CC2B91"/>
    <w:rsid w:val="00CC2BA9"/>
    <w:rsid w:val="00CC2C26"/>
    <w:rsid w:val="00CC2C37"/>
    <w:rsid w:val="00CC2C8E"/>
    <w:rsid w:val="00CC2CAA"/>
    <w:rsid w:val="00CC2CD9"/>
    <w:rsid w:val="00CC2D05"/>
    <w:rsid w:val="00CC2D6F"/>
    <w:rsid w:val="00CC2DF6"/>
    <w:rsid w:val="00CC2E29"/>
    <w:rsid w:val="00CC2E5A"/>
    <w:rsid w:val="00CC2ED5"/>
    <w:rsid w:val="00CC2EED"/>
    <w:rsid w:val="00CC2EF5"/>
    <w:rsid w:val="00CC2F17"/>
    <w:rsid w:val="00CC2F2B"/>
    <w:rsid w:val="00CC2F2F"/>
    <w:rsid w:val="00CC2F5F"/>
    <w:rsid w:val="00CC3081"/>
    <w:rsid w:val="00CC30BB"/>
    <w:rsid w:val="00CC30EA"/>
    <w:rsid w:val="00CC3187"/>
    <w:rsid w:val="00CC318D"/>
    <w:rsid w:val="00CC3194"/>
    <w:rsid w:val="00CC31DF"/>
    <w:rsid w:val="00CC3253"/>
    <w:rsid w:val="00CC325B"/>
    <w:rsid w:val="00CC328D"/>
    <w:rsid w:val="00CC328E"/>
    <w:rsid w:val="00CC32A8"/>
    <w:rsid w:val="00CC32B0"/>
    <w:rsid w:val="00CC32FC"/>
    <w:rsid w:val="00CC330A"/>
    <w:rsid w:val="00CC332D"/>
    <w:rsid w:val="00CC3396"/>
    <w:rsid w:val="00CC33BB"/>
    <w:rsid w:val="00CC3400"/>
    <w:rsid w:val="00CC34B1"/>
    <w:rsid w:val="00CC34BB"/>
    <w:rsid w:val="00CC353D"/>
    <w:rsid w:val="00CC3546"/>
    <w:rsid w:val="00CC360F"/>
    <w:rsid w:val="00CC3649"/>
    <w:rsid w:val="00CC3651"/>
    <w:rsid w:val="00CC3667"/>
    <w:rsid w:val="00CC36B3"/>
    <w:rsid w:val="00CC36B8"/>
    <w:rsid w:val="00CC36C1"/>
    <w:rsid w:val="00CC36CB"/>
    <w:rsid w:val="00CC36EB"/>
    <w:rsid w:val="00CC36F0"/>
    <w:rsid w:val="00CC36F6"/>
    <w:rsid w:val="00CC373E"/>
    <w:rsid w:val="00CC374A"/>
    <w:rsid w:val="00CC37C4"/>
    <w:rsid w:val="00CC383C"/>
    <w:rsid w:val="00CC388F"/>
    <w:rsid w:val="00CC38A2"/>
    <w:rsid w:val="00CC38EF"/>
    <w:rsid w:val="00CC39A0"/>
    <w:rsid w:val="00CC39C4"/>
    <w:rsid w:val="00CC3A00"/>
    <w:rsid w:val="00CC3A59"/>
    <w:rsid w:val="00CC3A69"/>
    <w:rsid w:val="00CC3A7A"/>
    <w:rsid w:val="00CC3A9B"/>
    <w:rsid w:val="00CC3ADD"/>
    <w:rsid w:val="00CC3B12"/>
    <w:rsid w:val="00CC3BA5"/>
    <w:rsid w:val="00CC3C00"/>
    <w:rsid w:val="00CC3C25"/>
    <w:rsid w:val="00CC3C42"/>
    <w:rsid w:val="00CC3C49"/>
    <w:rsid w:val="00CC3C4C"/>
    <w:rsid w:val="00CC3C53"/>
    <w:rsid w:val="00CC3C8A"/>
    <w:rsid w:val="00CC3D4F"/>
    <w:rsid w:val="00CC3DC7"/>
    <w:rsid w:val="00CC3E0F"/>
    <w:rsid w:val="00CC3E24"/>
    <w:rsid w:val="00CC3E68"/>
    <w:rsid w:val="00CC3EE5"/>
    <w:rsid w:val="00CC3F13"/>
    <w:rsid w:val="00CC3F1A"/>
    <w:rsid w:val="00CC3F4A"/>
    <w:rsid w:val="00CC3F58"/>
    <w:rsid w:val="00CC3F75"/>
    <w:rsid w:val="00CC3F7A"/>
    <w:rsid w:val="00CC3F89"/>
    <w:rsid w:val="00CC3F9E"/>
    <w:rsid w:val="00CC4067"/>
    <w:rsid w:val="00CC4078"/>
    <w:rsid w:val="00CC4088"/>
    <w:rsid w:val="00CC4159"/>
    <w:rsid w:val="00CC4162"/>
    <w:rsid w:val="00CC4163"/>
    <w:rsid w:val="00CC4169"/>
    <w:rsid w:val="00CC4187"/>
    <w:rsid w:val="00CC419A"/>
    <w:rsid w:val="00CC41C4"/>
    <w:rsid w:val="00CC4207"/>
    <w:rsid w:val="00CC4262"/>
    <w:rsid w:val="00CC4286"/>
    <w:rsid w:val="00CC42A1"/>
    <w:rsid w:val="00CC42DC"/>
    <w:rsid w:val="00CC4303"/>
    <w:rsid w:val="00CC4325"/>
    <w:rsid w:val="00CC434B"/>
    <w:rsid w:val="00CC4359"/>
    <w:rsid w:val="00CC4363"/>
    <w:rsid w:val="00CC4376"/>
    <w:rsid w:val="00CC4379"/>
    <w:rsid w:val="00CC43BC"/>
    <w:rsid w:val="00CC444B"/>
    <w:rsid w:val="00CC446A"/>
    <w:rsid w:val="00CC4485"/>
    <w:rsid w:val="00CC448C"/>
    <w:rsid w:val="00CC448F"/>
    <w:rsid w:val="00CC44BD"/>
    <w:rsid w:val="00CC44D9"/>
    <w:rsid w:val="00CC44DB"/>
    <w:rsid w:val="00CC451A"/>
    <w:rsid w:val="00CC4548"/>
    <w:rsid w:val="00CC456D"/>
    <w:rsid w:val="00CC4587"/>
    <w:rsid w:val="00CC45FC"/>
    <w:rsid w:val="00CC4682"/>
    <w:rsid w:val="00CC46C9"/>
    <w:rsid w:val="00CC46F7"/>
    <w:rsid w:val="00CC4721"/>
    <w:rsid w:val="00CC4745"/>
    <w:rsid w:val="00CC4785"/>
    <w:rsid w:val="00CC47AD"/>
    <w:rsid w:val="00CC4801"/>
    <w:rsid w:val="00CC481A"/>
    <w:rsid w:val="00CC4845"/>
    <w:rsid w:val="00CC484E"/>
    <w:rsid w:val="00CC4895"/>
    <w:rsid w:val="00CC48CC"/>
    <w:rsid w:val="00CC48E9"/>
    <w:rsid w:val="00CC4905"/>
    <w:rsid w:val="00CC493B"/>
    <w:rsid w:val="00CC49F3"/>
    <w:rsid w:val="00CC4A99"/>
    <w:rsid w:val="00CC4ADB"/>
    <w:rsid w:val="00CC4B35"/>
    <w:rsid w:val="00CC4B68"/>
    <w:rsid w:val="00CC4B6C"/>
    <w:rsid w:val="00CC4BB9"/>
    <w:rsid w:val="00CC4C7A"/>
    <w:rsid w:val="00CC4CA7"/>
    <w:rsid w:val="00CC4CB8"/>
    <w:rsid w:val="00CC4CBB"/>
    <w:rsid w:val="00CC4CFE"/>
    <w:rsid w:val="00CC4DBE"/>
    <w:rsid w:val="00CC4DE2"/>
    <w:rsid w:val="00CC4DFF"/>
    <w:rsid w:val="00CC4E0D"/>
    <w:rsid w:val="00CC4E15"/>
    <w:rsid w:val="00CC4E5A"/>
    <w:rsid w:val="00CC4E9F"/>
    <w:rsid w:val="00CC4EE7"/>
    <w:rsid w:val="00CC4EF9"/>
    <w:rsid w:val="00CC4F31"/>
    <w:rsid w:val="00CC4F5E"/>
    <w:rsid w:val="00CC4F8C"/>
    <w:rsid w:val="00CC4FB0"/>
    <w:rsid w:val="00CC4FE6"/>
    <w:rsid w:val="00CC5026"/>
    <w:rsid w:val="00CC5027"/>
    <w:rsid w:val="00CC5035"/>
    <w:rsid w:val="00CC503A"/>
    <w:rsid w:val="00CC505F"/>
    <w:rsid w:val="00CC5078"/>
    <w:rsid w:val="00CC507C"/>
    <w:rsid w:val="00CC5091"/>
    <w:rsid w:val="00CC5094"/>
    <w:rsid w:val="00CC50E9"/>
    <w:rsid w:val="00CC5112"/>
    <w:rsid w:val="00CC5123"/>
    <w:rsid w:val="00CC513E"/>
    <w:rsid w:val="00CC518D"/>
    <w:rsid w:val="00CC51AF"/>
    <w:rsid w:val="00CC5234"/>
    <w:rsid w:val="00CC5239"/>
    <w:rsid w:val="00CC525E"/>
    <w:rsid w:val="00CC5267"/>
    <w:rsid w:val="00CC5294"/>
    <w:rsid w:val="00CC52A0"/>
    <w:rsid w:val="00CC52A9"/>
    <w:rsid w:val="00CC52AA"/>
    <w:rsid w:val="00CC52F1"/>
    <w:rsid w:val="00CC52F4"/>
    <w:rsid w:val="00CC534C"/>
    <w:rsid w:val="00CC53D1"/>
    <w:rsid w:val="00CC5486"/>
    <w:rsid w:val="00CC54EF"/>
    <w:rsid w:val="00CC54F5"/>
    <w:rsid w:val="00CC5545"/>
    <w:rsid w:val="00CC55A1"/>
    <w:rsid w:val="00CC5605"/>
    <w:rsid w:val="00CC562B"/>
    <w:rsid w:val="00CC56EF"/>
    <w:rsid w:val="00CC573F"/>
    <w:rsid w:val="00CC5748"/>
    <w:rsid w:val="00CC576B"/>
    <w:rsid w:val="00CC5776"/>
    <w:rsid w:val="00CC57BD"/>
    <w:rsid w:val="00CC57C4"/>
    <w:rsid w:val="00CC57C5"/>
    <w:rsid w:val="00CC57F0"/>
    <w:rsid w:val="00CC5833"/>
    <w:rsid w:val="00CC5898"/>
    <w:rsid w:val="00CC58A0"/>
    <w:rsid w:val="00CC58B4"/>
    <w:rsid w:val="00CC58F8"/>
    <w:rsid w:val="00CC5944"/>
    <w:rsid w:val="00CC59A5"/>
    <w:rsid w:val="00CC59B1"/>
    <w:rsid w:val="00CC5A46"/>
    <w:rsid w:val="00CC5A61"/>
    <w:rsid w:val="00CC5AAC"/>
    <w:rsid w:val="00CC5AC0"/>
    <w:rsid w:val="00CC5B77"/>
    <w:rsid w:val="00CC5BC3"/>
    <w:rsid w:val="00CC5BD8"/>
    <w:rsid w:val="00CC5BE5"/>
    <w:rsid w:val="00CC5BE7"/>
    <w:rsid w:val="00CC5BFC"/>
    <w:rsid w:val="00CC5C10"/>
    <w:rsid w:val="00CC5C2F"/>
    <w:rsid w:val="00CC5CA3"/>
    <w:rsid w:val="00CC5D2D"/>
    <w:rsid w:val="00CC5D2F"/>
    <w:rsid w:val="00CC5D34"/>
    <w:rsid w:val="00CC5D7F"/>
    <w:rsid w:val="00CC5DA1"/>
    <w:rsid w:val="00CC5DD4"/>
    <w:rsid w:val="00CC5E01"/>
    <w:rsid w:val="00CC5EA4"/>
    <w:rsid w:val="00CC5EC8"/>
    <w:rsid w:val="00CC5EED"/>
    <w:rsid w:val="00CC5EFB"/>
    <w:rsid w:val="00CC5F28"/>
    <w:rsid w:val="00CC5FAC"/>
    <w:rsid w:val="00CC5FF5"/>
    <w:rsid w:val="00CC60AB"/>
    <w:rsid w:val="00CC60EB"/>
    <w:rsid w:val="00CC6104"/>
    <w:rsid w:val="00CC6163"/>
    <w:rsid w:val="00CC6164"/>
    <w:rsid w:val="00CC618F"/>
    <w:rsid w:val="00CC61AE"/>
    <w:rsid w:val="00CC61D5"/>
    <w:rsid w:val="00CC620F"/>
    <w:rsid w:val="00CC6216"/>
    <w:rsid w:val="00CC622D"/>
    <w:rsid w:val="00CC6246"/>
    <w:rsid w:val="00CC6279"/>
    <w:rsid w:val="00CC62E0"/>
    <w:rsid w:val="00CC62ED"/>
    <w:rsid w:val="00CC6317"/>
    <w:rsid w:val="00CC6359"/>
    <w:rsid w:val="00CC636A"/>
    <w:rsid w:val="00CC63B3"/>
    <w:rsid w:val="00CC641A"/>
    <w:rsid w:val="00CC647A"/>
    <w:rsid w:val="00CC64E6"/>
    <w:rsid w:val="00CC652D"/>
    <w:rsid w:val="00CC6537"/>
    <w:rsid w:val="00CC6552"/>
    <w:rsid w:val="00CC6564"/>
    <w:rsid w:val="00CC6629"/>
    <w:rsid w:val="00CC6633"/>
    <w:rsid w:val="00CC666D"/>
    <w:rsid w:val="00CC6687"/>
    <w:rsid w:val="00CC66AA"/>
    <w:rsid w:val="00CC66BD"/>
    <w:rsid w:val="00CC66EE"/>
    <w:rsid w:val="00CC6721"/>
    <w:rsid w:val="00CC6787"/>
    <w:rsid w:val="00CC67EE"/>
    <w:rsid w:val="00CC6829"/>
    <w:rsid w:val="00CC6830"/>
    <w:rsid w:val="00CC68D0"/>
    <w:rsid w:val="00CC68EE"/>
    <w:rsid w:val="00CC6900"/>
    <w:rsid w:val="00CC6971"/>
    <w:rsid w:val="00CC69AD"/>
    <w:rsid w:val="00CC6A13"/>
    <w:rsid w:val="00CC6A64"/>
    <w:rsid w:val="00CC6AE3"/>
    <w:rsid w:val="00CC6B0D"/>
    <w:rsid w:val="00CC6B2B"/>
    <w:rsid w:val="00CC6B40"/>
    <w:rsid w:val="00CC6BD8"/>
    <w:rsid w:val="00CC6BEB"/>
    <w:rsid w:val="00CC6BF9"/>
    <w:rsid w:val="00CC6C28"/>
    <w:rsid w:val="00CC6C72"/>
    <w:rsid w:val="00CC6C81"/>
    <w:rsid w:val="00CC6C97"/>
    <w:rsid w:val="00CC6CA4"/>
    <w:rsid w:val="00CC6D01"/>
    <w:rsid w:val="00CC6D26"/>
    <w:rsid w:val="00CC6D2B"/>
    <w:rsid w:val="00CC6D9E"/>
    <w:rsid w:val="00CC6DB5"/>
    <w:rsid w:val="00CC6DE6"/>
    <w:rsid w:val="00CC6DFB"/>
    <w:rsid w:val="00CC6EE6"/>
    <w:rsid w:val="00CC6F02"/>
    <w:rsid w:val="00CC6F23"/>
    <w:rsid w:val="00CC6F5B"/>
    <w:rsid w:val="00CC6F96"/>
    <w:rsid w:val="00CC6FC4"/>
    <w:rsid w:val="00CC6FDC"/>
    <w:rsid w:val="00CC707C"/>
    <w:rsid w:val="00CC709B"/>
    <w:rsid w:val="00CC70CE"/>
    <w:rsid w:val="00CC70DE"/>
    <w:rsid w:val="00CC7110"/>
    <w:rsid w:val="00CC7121"/>
    <w:rsid w:val="00CC712F"/>
    <w:rsid w:val="00CC716C"/>
    <w:rsid w:val="00CC71D9"/>
    <w:rsid w:val="00CC71E4"/>
    <w:rsid w:val="00CC729C"/>
    <w:rsid w:val="00CC72D6"/>
    <w:rsid w:val="00CC736B"/>
    <w:rsid w:val="00CC7407"/>
    <w:rsid w:val="00CC7422"/>
    <w:rsid w:val="00CC745E"/>
    <w:rsid w:val="00CC7485"/>
    <w:rsid w:val="00CC74A9"/>
    <w:rsid w:val="00CC7511"/>
    <w:rsid w:val="00CC7514"/>
    <w:rsid w:val="00CC7532"/>
    <w:rsid w:val="00CC754E"/>
    <w:rsid w:val="00CC7659"/>
    <w:rsid w:val="00CC768B"/>
    <w:rsid w:val="00CC76A2"/>
    <w:rsid w:val="00CC76B3"/>
    <w:rsid w:val="00CC76C8"/>
    <w:rsid w:val="00CC76EF"/>
    <w:rsid w:val="00CC76F6"/>
    <w:rsid w:val="00CC772C"/>
    <w:rsid w:val="00CC776D"/>
    <w:rsid w:val="00CC7780"/>
    <w:rsid w:val="00CC7798"/>
    <w:rsid w:val="00CC77A4"/>
    <w:rsid w:val="00CC77AA"/>
    <w:rsid w:val="00CC77E6"/>
    <w:rsid w:val="00CC77F8"/>
    <w:rsid w:val="00CC7815"/>
    <w:rsid w:val="00CC7820"/>
    <w:rsid w:val="00CC7845"/>
    <w:rsid w:val="00CC784F"/>
    <w:rsid w:val="00CC7861"/>
    <w:rsid w:val="00CC7892"/>
    <w:rsid w:val="00CC78D2"/>
    <w:rsid w:val="00CC78FC"/>
    <w:rsid w:val="00CC7914"/>
    <w:rsid w:val="00CC7992"/>
    <w:rsid w:val="00CC79F4"/>
    <w:rsid w:val="00CC7A36"/>
    <w:rsid w:val="00CC7A70"/>
    <w:rsid w:val="00CC7A9A"/>
    <w:rsid w:val="00CC7AB1"/>
    <w:rsid w:val="00CC7B36"/>
    <w:rsid w:val="00CC7B38"/>
    <w:rsid w:val="00CC7B66"/>
    <w:rsid w:val="00CC7B97"/>
    <w:rsid w:val="00CC7BF6"/>
    <w:rsid w:val="00CC7C17"/>
    <w:rsid w:val="00CC7C20"/>
    <w:rsid w:val="00CC7C75"/>
    <w:rsid w:val="00CC7CAD"/>
    <w:rsid w:val="00CC7CFA"/>
    <w:rsid w:val="00CC7D20"/>
    <w:rsid w:val="00CC7D3A"/>
    <w:rsid w:val="00CC7D3E"/>
    <w:rsid w:val="00CC7D4E"/>
    <w:rsid w:val="00CC7E05"/>
    <w:rsid w:val="00CC7E3C"/>
    <w:rsid w:val="00CC7E53"/>
    <w:rsid w:val="00CC7EC0"/>
    <w:rsid w:val="00CC7ECC"/>
    <w:rsid w:val="00CC7ED7"/>
    <w:rsid w:val="00CC7F2A"/>
    <w:rsid w:val="00CC7F30"/>
    <w:rsid w:val="00CC7F78"/>
    <w:rsid w:val="00CC7F82"/>
    <w:rsid w:val="00CC7FA3"/>
    <w:rsid w:val="00CC7FA9"/>
    <w:rsid w:val="00CC7FDD"/>
    <w:rsid w:val="00CD003C"/>
    <w:rsid w:val="00CD0043"/>
    <w:rsid w:val="00CD0077"/>
    <w:rsid w:val="00CD009D"/>
    <w:rsid w:val="00CD00D9"/>
    <w:rsid w:val="00CD0124"/>
    <w:rsid w:val="00CD012B"/>
    <w:rsid w:val="00CD012C"/>
    <w:rsid w:val="00CD0144"/>
    <w:rsid w:val="00CD017E"/>
    <w:rsid w:val="00CD01E8"/>
    <w:rsid w:val="00CD01ED"/>
    <w:rsid w:val="00CD021E"/>
    <w:rsid w:val="00CD023B"/>
    <w:rsid w:val="00CD0262"/>
    <w:rsid w:val="00CD0275"/>
    <w:rsid w:val="00CD0298"/>
    <w:rsid w:val="00CD02C9"/>
    <w:rsid w:val="00CD02D8"/>
    <w:rsid w:val="00CD0306"/>
    <w:rsid w:val="00CD0351"/>
    <w:rsid w:val="00CD03A9"/>
    <w:rsid w:val="00CD03B4"/>
    <w:rsid w:val="00CD040A"/>
    <w:rsid w:val="00CD04A6"/>
    <w:rsid w:val="00CD04BD"/>
    <w:rsid w:val="00CD04E5"/>
    <w:rsid w:val="00CD0510"/>
    <w:rsid w:val="00CD053D"/>
    <w:rsid w:val="00CD053F"/>
    <w:rsid w:val="00CD0586"/>
    <w:rsid w:val="00CD0683"/>
    <w:rsid w:val="00CD06AB"/>
    <w:rsid w:val="00CD0721"/>
    <w:rsid w:val="00CD0784"/>
    <w:rsid w:val="00CD0791"/>
    <w:rsid w:val="00CD0801"/>
    <w:rsid w:val="00CD086A"/>
    <w:rsid w:val="00CD088D"/>
    <w:rsid w:val="00CD08CC"/>
    <w:rsid w:val="00CD0908"/>
    <w:rsid w:val="00CD0923"/>
    <w:rsid w:val="00CD096C"/>
    <w:rsid w:val="00CD09AE"/>
    <w:rsid w:val="00CD09CE"/>
    <w:rsid w:val="00CD09E2"/>
    <w:rsid w:val="00CD0A55"/>
    <w:rsid w:val="00CD0A9D"/>
    <w:rsid w:val="00CD0AA3"/>
    <w:rsid w:val="00CD0AC7"/>
    <w:rsid w:val="00CD0B00"/>
    <w:rsid w:val="00CD0B22"/>
    <w:rsid w:val="00CD0B59"/>
    <w:rsid w:val="00CD0B6F"/>
    <w:rsid w:val="00CD0B7D"/>
    <w:rsid w:val="00CD0C08"/>
    <w:rsid w:val="00CD0C0F"/>
    <w:rsid w:val="00CD0C4F"/>
    <w:rsid w:val="00CD0C8D"/>
    <w:rsid w:val="00CD0CA5"/>
    <w:rsid w:val="00CD0CB1"/>
    <w:rsid w:val="00CD0D38"/>
    <w:rsid w:val="00CD0D6B"/>
    <w:rsid w:val="00CD0E06"/>
    <w:rsid w:val="00CD0E10"/>
    <w:rsid w:val="00CD0E11"/>
    <w:rsid w:val="00CD0E2C"/>
    <w:rsid w:val="00CD0E51"/>
    <w:rsid w:val="00CD0F02"/>
    <w:rsid w:val="00CD0F34"/>
    <w:rsid w:val="00CD0F3F"/>
    <w:rsid w:val="00CD0F9B"/>
    <w:rsid w:val="00CD0FBB"/>
    <w:rsid w:val="00CD0FC6"/>
    <w:rsid w:val="00CD0FE4"/>
    <w:rsid w:val="00CD10E1"/>
    <w:rsid w:val="00CD1161"/>
    <w:rsid w:val="00CD1170"/>
    <w:rsid w:val="00CD1184"/>
    <w:rsid w:val="00CD11C6"/>
    <w:rsid w:val="00CD126A"/>
    <w:rsid w:val="00CD1286"/>
    <w:rsid w:val="00CD1341"/>
    <w:rsid w:val="00CD1347"/>
    <w:rsid w:val="00CD139D"/>
    <w:rsid w:val="00CD1452"/>
    <w:rsid w:val="00CD1469"/>
    <w:rsid w:val="00CD147C"/>
    <w:rsid w:val="00CD14B9"/>
    <w:rsid w:val="00CD14F4"/>
    <w:rsid w:val="00CD155A"/>
    <w:rsid w:val="00CD155B"/>
    <w:rsid w:val="00CD155D"/>
    <w:rsid w:val="00CD1596"/>
    <w:rsid w:val="00CD15AC"/>
    <w:rsid w:val="00CD15AD"/>
    <w:rsid w:val="00CD15D1"/>
    <w:rsid w:val="00CD15D5"/>
    <w:rsid w:val="00CD15F0"/>
    <w:rsid w:val="00CD161A"/>
    <w:rsid w:val="00CD171B"/>
    <w:rsid w:val="00CD174A"/>
    <w:rsid w:val="00CD1768"/>
    <w:rsid w:val="00CD1789"/>
    <w:rsid w:val="00CD17D9"/>
    <w:rsid w:val="00CD18DB"/>
    <w:rsid w:val="00CD1944"/>
    <w:rsid w:val="00CD1967"/>
    <w:rsid w:val="00CD1977"/>
    <w:rsid w:val="00CD1994"/>
    <w:rsid w:val="00CD19CB"/>
    <w:rsid w:val="00CD19E8"/>
    <w:rsid w:val="00CD19ED"/>
    <w:rsid w:val="00CD1A14"/>
    <w:rsid w:val="00CD1A22"/>
    <w:rsid w:val="00CD1A39"/>
    <w:rsid w:val="00CD1AAA"/>
    <w:rsid w:val="00CD1AB9"/>
    <w:rsid w:val="00CD1AD0"/>
    <w:rsid w:val="00CD1B56"/>
    <w:rsid w:val="00CD1B84"/>
    <w:rsid w:val="00CD1B90"/>
    <w:rsid w:val="00CD1BB9"/>
    <w:rsid w:val="00CD1BEA"/>
    <w:rsid w:val="00CD1CAE"/>
    <w:rsid w:val="00CD1CAF"/>
    <w:rsid w:val="00CD1CE1"/>
    <w:rsid w:val="00CD1D2C"/>
    <w:rsid w:val="00CD1D3B"/>
    <w:rsid w:val="00CD1D58"/>
    <w:rsid w:val="00CD1DAA"/>
    <w:rsid w:val="00CD1E26"/>
    <w:rsid w:val="00CD1ED9"/>
    <w:rsid w:val="00CD1EEB"/>
    <w:rsid w:val="00CD1F06"/>
    <w:rsid w:val="00CD1F10"/>
    <w:rsid w:val="00CD1F1B"/>
    <w:rsid w:val="00CD1F43"/>
    <w:rsid w:val="00CD1F6B"/>
    <w:rsid w:val="00CD1F7B"/>
    <w:rsid w:val="00CD1F93"/>
    <w:rsid w:val="00CD2077"/>
    <w:rsid w:val="00CD20DE"/>
    <w:rsid w:val="00CD20EE"/>
    <w:rsid w:val="00CD20F7"/>
    <w:rsid w:val="00CD2127"/>
    <w:rsid w:val="00CD21B5"/>
    <w:rsid w:val="00CD21DA"/>
    <w:rsid w:val="00CD2213"/>
    <w:rsid w:val="00CD2236"/>
    <w:rsid w:val="00CD224A"/>
    <w:rsid w:val="00CD22A4"/>
    <w:rsid w:val="00CD2333"/>
    <w:rsid w:val="00CD236B"/>
    <w:rsid w:val="00CD239D"/>
    <w:rsid w:val="00CD23BD"/>
    <w:rsid w:val="00CD23F0"/>
    <w:rsid w:val="00CD241C"/>
    <w:rsid w:val="00CD243E"/>
    <w:rsid w:val="00CD244A"/>
    <w:rsid w:val="00CD24B8"/>
    <w:rsid w:val="00CD24DE"/>
    <w:rsid w:val="00CD2581"/>
    <w:rsid w:val="00CD25B8"/>
    <w:rsid w:val="00CD25BC"/>
    <w:rsid w:val="00CD25E9"/>
    <w:rsid w:val="00CD261E"/>
    <w:rsid w:val="00CD266D"/>
    <w:rsid w:val="00CD268E"/>
    <w:rsid w:val="00CD26C6"/>
    <w:rsid w:val="00CD2733"/>
    <w:rsid w:val="00CD275F"/>
    <w:rsid w:val="00CD277E"/>
    <w:rsid w:val="00CD27A0"/>
    <w:rsid w:val="00CD27A2"/>
    <w:rsid w:val="00CD2813"/>
    <w:rsid w:val="00CD281D"/>
    <w:rsid w:val="00CD281F"/>
    <w:rsid w:val="00CD2840"/>
    <w:rsid w:val="00CD289E"/>
    <w:rsid w:val="00CD28AD"/>
    <w:rsid w:val="00CD28F3"/>
    <w:rsid w:val="00CD2938"/>
    <w:rsid w:val="00CD293A"/>
    <w:rsid w:val="00CD2952"/>
    <w:rsid w:val="00CD2970"/>
    <w:rsid w:val="00CD297B"/>
    <w:rsid w:val="00CD29D1"/>
    <w:rsid w:val="00CD29D9"/>
    <w:rsid w:val="00CD29E3"/>
    <w:rsid w:val="00CD2AA0"/>
    <w:rsid w:val="00CD2AAF"/>
    <w:rsid w:val="00CD2AD7"/>
    <w:rsid w:val="00CD2ADC"/>
    <w:rsid w:val="00CD2BCD"/>
    <w:rsid w:val="00CD2BD9"/>
    <w:rsid w:val="00CD2C05"/>
    <w:rsid w:val="00CD2C0C"/>
    <w:rsid w:val="00CD2C21"/>
    <w:rsid w:val="00CD2C30"/>
    <w:rsid w:val="00CD2C4D"/>
    <w:rsid w:val="00CD2CA8"/>
    <w:rsid w:val="00CD2D0A"/>
    <w:rsid w:val="00CD2D14"/>
    <w:rsid w:val="00CD2D39"/>
    <w:rsid w:val="00CD2D57"/>
    <w:rsid w:val="00CD2D6A"/>
    <w:rsid w:val="00CD2DAD"/>
    <w:rsid w:val="00CD2DC5"/>
    <w:rsid w:val="00CD2DE8"/>
    <w:rsid w:val="00CD2E4E"/>
    <w:rsid w:val="00CD2EC5"/>
    <w:rsid w:val="00CD2EFE"/>
    <w:rsid w:val="00CD2F66"/>
    <w:rsid w:val="00CD2F98"/>
    <w:rsid w:val="00CD306C"/>
    <w:rsid w:val="00CD3077"/>
    <w:rsid w:val="00CD3089"/>
    <w:rsid w:val="00CD308B"/>
    <w:rsid w:val="00CD30B1"/>
    <w:rsid w:val="00CD30C2"/>
    <w:rsid w:val="00CD30F0"/>
    <w:rsid w:val="00CD3122"/>
    <w:rsid w:val="00CD3146"/>
    <w:rsid w:val="00CD31A3"/>
    <w:rsid w:val="00CD3217"/>
    <w:rsid w:val="00CD326F"/>
    <w:rsid w:val="00CD32B4"/>
    <w:rsid w:val="00CD32B7"/>
    <w:rsid w:val="00CD32F1"/>
    <w:rsid w:val="00CD3317"/>
    <w:rsid w:val="00CD3363"/>
    <w:rsid w:val="00CD3377"/>
    <w:rsid w:val="00CD3389"/>
    <w:rsid w:val="00CD3397"/>
    <w:rsid w:val="00CD33A0"/>
    <w:rsid w:val="00CD33A4"/>
    <w:rsid w:val="00CD33B8"/>
    <w:rsid w:val="00CD33E1"/>
    <w:rsid w:val="00CD3493"/>
    <w:rsid w:val="00CD353C"/>
    <w:rsid w:val="00CD3541"/>
    <w:rsid w:val="00CD3575"/>
    <w:rsid w:val="00CD3590"/>
    <w:rsid w:val="00CD35D2"/>
    <w:rsid w:val="00CD35E0"/>
    <w:rsid w:val="00CD35E7"/>
    <w:rsid w:val="00CD35EF"/>
    <w:rsid w:val="00CD35F0"/>
    <w:rsid w:val="00CD35FB"/>
    <w:rsid w:val="00CD3680"/>
    <w:rsid w:val="00CD3683"/>
    <w:rsid w:val="00CD36F1"/>
    <w:rsid w:val="00CD3725"/>
    <w:rsid w:val="00CD3750"/>
    <w:rsid w:val="00CD3760"/>
    <w:rsid w:val="00CD3806"/>
    <w:rsid w:val="00CD3880"/>
    <w:rsid w:val="00CD38C2"/>
    <w:rsid w:val="00CD3908"/>
    <w:rsid w:val="00CD3920"/>
    <w:rsid w:val="00CD398D"/>
    <w:rsid w:val="00CD39E8"/>
    <w:rsid w:val="00CD39FA"/>
    <w:rsid w:val="00CD3A1A"/>
    <w:rsid w:val="00CD3A1D"/>
    <w:rsid w:val="00CD3A4D"/>
    <w:rsid w:val="00CD3AAD"/>
    <w:rsid w:val="00CD3AB7"/>
    <w:rsid w:val="00CD3AC7"/>
    <w:rsid w:val="00CD3AC9"/>
    <w:rsid w:val="00CD3ACF"/>
    <w:rsid w:val="00CD3AE5"/>
    <w:rsid w:val="00CD3B6D"/>
    <w:rsid w:val="00CD3BA3"/>
    <w:rsid w:val="00CD3BA5"/>
    <w:rsid w:val="00CD3BC8"/>
    <w:rsid w:val="00CD3BD9"/>
    <w:rsid w:val="00CD3BE5"/>
    <w:rsid w:val="00CD3C34"/>
    <w:rsid w:val="00CD3C9E"/>
    <w:rsid w:val="00CD3CB7"/>
    <w:rsid w:val="00CD3CFC"/>
    <w:rsid w:val="00CD3D0C"/>
    <w:rsid w:val="00CD3D15"/>
    <w:rsid w:val="00CD3D46"/>
    <w:rsid w:val="00CD3D70"/>
    <w:rsid w:val="00CD3D98"/>
    <w:rsid w:val="00CD3D9E"/>
    <w:rsid w:val="00CD3DCE"/>
    <w:rsid w:val="00CD3DF0"/>
    <w:rsid w:val="00CD3DFC"/>
    <w:rsid w:val="00CD3E15"/>
    <w:rsid w:val="00CD3E5A"/>
    <w:rsid w:val="00CD3E73"/>
    <w:rsid w:val="00CD3E79"/>
    <w:rsid w:val="00CD3E7E"/>
    <w:rsid w:val="00CD3E99"/>
    <w:rsid w:val="00CD3EC6"/>
    <w:rsid w:val="00CD3ECB"/>
    <w:rsid w:val="00CD3F18"/>
    <w:rsid w:val="00CD3FB5"/>
    <w:rsid w:val="00CD3FBD"/>
    <w:rsid w:val="00CD401B"/>
    <w:rsid w:val="00CD401D"/>
    <w:rsid w:val="00CD4024"/>
    <w:rsid w:val="00CD4028"/>
    <w:rsid w:val="00CD4043"/>
    <w:rsid w:val="00CD410F"/>
    <w:rsid w:val="00CD4158"/>
    <w:rsid w:val="00CD4261"/>
    <w:rsid w:val="00CD429B"/>
    <w:rsid w:val="00CD42DF"/>
    <w:rsid w:val="00CD42ED"/>
    <w:rsid w:val="00CD42EE"/>
    <w:rsid w:val="00CD42FA"/>
    <w:rsid w:val="00CD4328"/>
    <w:rsid w:val="00CD4361"/>
    <w:rsid w:val="00CD4405"/>
    <w:rsid w:val="00CD4413"/>
    <w:rsid w:val="00CD444B"/>
    <w:rsid w:val="00CD4498"/>
    <w:rsid w:val="00CD44DA"/>
    <w:rsid w:val="00CD44EB"/>
    <w:rsid w:val="00CD4558"/>
    <w:rsid w:val="00CD4568"/>
    <w:rsid w:val="00CD45A4"/>
    <w:rsid w:val="00CD45D3"/>
    <w:rsid w:val="00CD4632"/>
    <w:rsid w:val="00CD4654"/>
    <w:rsid w:val="00CD4655"/>
    <w:rsid w:val="00CD465A"/>
    <w:rsid w:val="00CD4696"/>
    <w:rsid w:val="00CD46C5"/>
    <w:rsid w:val="00CD46CA"/>
    <w:rsid w:val="00CD46DB"/>
    <w:rsid w:val="00CD4733"/>
    <w:rsid w:val="00CD4796"/>
    <w:rsid w:val="00CD47E5"/>
    <w:rsid w:val="00CD48E9"/>
    <w:rsid w:val="00CD48F3"/>
    <w:rsid w:val="00CD490E"/>
    <w:rsid w:val="00CD4915"/>
    <w:rsid w:val="00CD496B"/>
    <w:rsid w:val="00CD497F"/>
    <w:rsid w:val="00CD49BF"/>
    <w:rsid w:val="00CD49E5"/>
    <w:rsid w:val="00CD49F3"/>
    <w:rsid w:val="00CD49FA"/>
    <w:rsid w:val="00CD4A27"/>
    <w:rsid w:val="00CD4A5E"/>
    <w:rsid w:val="00CD4AAF"/>
    <w:rsid w:val="00CD4B12"/>
    <w:rsid w:val="00CD4B44"/>
    <w:rsid w:val="00CD4BA4"/>
    <w:rsid w:val="00CD4BF7"/>
    <w:rsid w:val="00CD4BFE"/>
    <w:rsid w:val="00CD4C0E"/>
    <w:rsid w:val="00CD4C26"/>
    <w:rsid w:val="00CD4C4B"/>
    <w:rsid w:val="00CD4CF2"/>
    <w:rsid w:val="00CD4D2C"/>
    <w:rsid w:val="00CD4D3B"/>
    <w:rsid w:val="00CD4D3E"/>
    <w:rsid w:val="00CD4DA3"/>
    <w:rsid w:val="00CD4DB8"/>
    <w:rsid w:val="00CD4DE7"/>
    <w:rsid w:val="00CD4DF1"/>
    <w:rsid w:val="00CD4DFA"/>
    <w:rsid w:val="00CD4DFC"/>
    <w:rsid w:val="00CD4E12"/>
    <w:rsid w:val="00CD4E9B"/>
    <w:rsid w:val="00CD4EB9"/>
    <w:rsid w:val="00CD4EE4"/>
    <w:rsid w:val="00CD4F26"/>
    <w:rsid w:val="00CD4F4B"/>
    <w:rsid w:val="00CD4F55"/>
    <w:rsid w:val="00CD4F65"/>
    <w:rsid w:val="00CD4F85"/>
    <w:rsid w:val="00CD4FCE"/>
    <w:rsid w:val="00CD4FE1"/>
    <w:rsid w:val="00CD4FE3"/>
    <w:rsid w:val="00CD500A"/>
    <w:rsid w:val="00CD5042"/>
    <w:rsid w:val="00CD5087"/>
    <w:rsid w:val="00CD5097"/>
    <w:rsid w:val="00CD5149"/>
    <w:rsid w:val="00CD519E"/>
    <w:rsid w:val="00CD51A1"/>
    <w:rsid w:val="00CD51BF"/>
    <w:rsid w:val="00CD51F5"/>
    <w:rsid w:val="00CD51FA"/>
    <w:rsid w:val="00CD521A"/>
    <w:rsid w:val="00CD522D"/>
    <w:rsid w:val="00CD5262"/>
    <w:rsid w:val="00CD52E9"/>
    <w:rsid w:val="00CD5390"/>
    <w:rsid w:val="00CD53AD"/>
    <w:rsid w:val="00CD53DF"/>
    <w:rsid w:val="00CD5407"/>
    <w:rsid w:val="00CD5477"/>
    <w:rsid w:val="00CD547A"/>
    <w:rsid w:val="00CD54A5"/>
    <w:rsid w:val="00CD54FD"/>
    <w:rsid w:val="00CD5536"/>
    <w:rsid w:val="00CD5554"/>
    <w:rsid w:val="00CD5565"/>
    <w:rsid w:val="00CD5569"/>
    <w:rsid w:val="00CD556D"/>
    <w:rsid w:val="00CD557E"/>
    <w:rsid w:val="00CD5587"/>
    <w:rsid w:val="00CD55DA"/>
    <w:rsid w:val="00CD5609"/>
    <w:rsid w:val="00CD560A"/>
    <w:rsid w:val="00CD563E"/>
    <w:rsid w:val="00CD5662"/>
    <w:rsid w:val="00CD5689"/>
    <w:rsid w:val="00CD56DD"/>
    <w:rsid w:val="00CD5706"/>
    <w:rsid w:val="00CD572A"/>
    <w:rsid w:val="00CD5788"/>
    <w:rsid w:val="00CD57F1"/>
    <w:rsid w:val="00CD5833"/>
    <w:rsid w:val="00CD5876"/>
    <w:rsid w:val="00CD594E"/>
    <w:rsid w:val="00CD59E7"/>
    <w:rsid w:val="00CD5A81"/>
    <w:rsid w:val="00CD5AB6"/>
    <w:rsid w:val="00CD5B2A"/>
    <w:rsid w:val="00CD5B2B"/>
    <w:rsid w:val="00CD5B70"/>
    <w:rsid w:val="00CD5B98"/>
    <w:rsid w:val="00CD5C1E"/>
    <w:rsid w:val="00CD5C3A"/>
    <w:rsid w:val="00CD5CA2"/>
    <w:rsid w:val="00CD5CAF"/>
    <w:rsid w:val="00CD5CB7"/>
    <w:rsid w:val="00CD5CF5"/>
    <w:rsid w:val="00CD5D2C"/>
    <w:rsid w:val="00CD5D30"/>
    <w:rsid w:val="00CD5D32"/>
    <w:rsid w:val="00CD5D44"/>
    <w:rsid w:val="00CD5D4F"/>
    <w:rsid w:val="00CD5D60"/>
    <w:rsid w:val="00CD5DA1"/>
    <w:rsid w:val="00CD5DA9"/>
    <w:rsid w:val="00CD5DE6"/>
    <w:rsid w:val="00CD5E38"/>
    <w:rsid w:val="00CD5E60"/>
    <w:rsid w:val="00CD5F1F"/>
    <w:rsid w:val="00CD5F26"/>
    <w:rsid w:val="00CD5F39"/>
    <w:rsid w:val="00CD5F56"/>
    <w:rsid w:val="00CD5F9D"/>
    <w:rsid w:val="00CD5FC7"/>
    <w:rsid w:val="00CD5FCF"/>
    <w:rsid w:val="00CD6004"/>
    <w:rsid w:val="00CD6047"/>
    <w:rsid w:val="00CD6052"/>
    <w:rsid w:val="00CD6072"/>
    <w:rsid w:val="00CD6091"/>
    <w:rsid w:val="00CD610F"/>
    <w:rsid w:val="00CD6142"/>
    <w:rsid w:val="00CD6198"/>
    <w:rsid w:val="00CD61B1"/>
    <w:rsid w:val="00CD61BE"/>
    <w:rsid w:val="00CD61C6"/>
    <w:rsid w:val="00CD61D6"/>
    <w:rsid w:val="00CD6228"/>
    <w:rsid w:val="00CD629C"/>
    <w:rsid w:val="00CD62D5"/>
    <w:rsid w:val="00CD630B"/>
    <w:rsid w:val="00CD6360"/>
    <w:rsid w:val="00CD637D"/>
    <w:rsid w:val="00CD6380"/>
    <w:rsid w:val="00CD63D0"/>
    <w:rsid w:val="00CD640D"/>
    <w:rsid w:val="00CD642A"/>
    <w:rsid w:val="00CD6430"/>
    <w:rsid w:val="00CD643A"/>
    <w:rsid w:val="00CD644F"/>
    <w:rsid w:val="00CD647E"/>
    <w:rsid w:val="00CD6497"/>
    <w:rsid w:val="00CD649D"/>
    <w:rsid w:val="00CD64A2"/>
    <w:rsid w:val="00CD64F6"/>
    <w:rsid w:val="00CD651D"/>
    <w:rsid w:val="00CD653F"/>
    <w:rsid w:val="00CD654A"/>
    <w:rsid w:val="00CD655F"/>
    <w:rsid w:val="00CD6636"/>
    <w:rsid w:val="00CD66D2"/>
    <w:rsid w:val="00CD6717"/>
    <w:rsid w:val="00CD672B"/>
    <w:rsid w:val="00CD6751"/>
    <w:rsid w:val="00CD67CF"/>
    <w:rsid w:val="00CD68D2"/>
    <w:rsid w:val="00CD68D8"/>
    <w:rsid w:val="00CD693F"/>
    <w:rsid w:val="00CD697E"/>
    <w:rsid w:val="00CD6990"/>
    <w:rsid w:val="00CD69A1"/>
    <w:rsid w:val="00CD69D8"/>
    <w:rsid w:val="00CD6A66"/>
    <w:rsid w:val="00CD6A92"/>
    <w:rsid w:val="00CD6B09"/>
    <w:rsid w:val="00CD6B5C"/>
    <w:rsid w:val="00CD6B89"/>
    <w:rsid w:val="00CD6B98"/>
    <w:rsid w:val="00CD6C63"/>
    <w:rsid w:val="00CD6CFB"/>
    <w:rsid w:val="00CD6D36"/>
    <w:rsid w:val="00CD6D3C"/>
    <w:rsid w:val="00CD6DD8"/>
    <w:rsid w:val="00CD6DE7"/>
    <w:rsid w:val="00CD6E13"/>
    <w:rsid w:val="00CD6E16"/>
    <w:rsid w:val="00CD6E45"/>
    <w:rsid w:val="00CD6E83"/>
    <w:rsid w:val="00CD6EED"/>
    <w:rsid w:val="00CD6F3B"/>
    <w:rsid w:val="00CD6F57"/>
    <w:rsid w:val="00CD6F6B"/>
    <w:rsid w:val="00CD6F72"/>
    <w:rsid w:val="00CD6F7D"/>
    <w:rsid w:val="00CD6F96"/>
    <w:rsid w:val="00CD6FA7"/>
    <w:rsid w:val="00CD6FE3"/>
    <w:rsid w:val="00CD7009"/>
    <w:rsid w:val="00CD7026"/>
    <w:rsid w:val="00CD7031"/>
    <w:rsid w:val="00CD7079"/>
    <w:rsid w:val="00CD708F"/>
    <w:rsid w:val="00CD70A8"/>
    <w:rsid w:val="00CD70C2"/>
    <w:rsid w:val="00CD7118"/>
    <w:rsid w:val="00CD712F"/>
    <w:rsid w:val="00CD71C3"/>
    <w:rsid w:val="00CD7211"/>
    <w:rsid w:val="00CD72B4"/>
    <w:rsid w:val="00CD7431"/>
    <w:rsid w:val="00CD7481"/>
    <w:rsid w:val="00CD7489"/>
    <w:rsid w:val="00CD74E1"/>
    <w:rsid w:val="00CD74FD"/>
    <w:rsid w:val="00CD74FE"/>
    <w:rsid w:val="00CD754A"/>
    <w:rsid w:val="00CD7557"/>
    <w:rsid w:val="00CD758E"/>
    <w:rsid w:val="00CD759C"/>
    <w:rsid w:val="00CD75C4"/>
    <w:rsid w:val="00CD7691"/>
    <w:rsid w:val="00CD76AA"/>
    <w:rsid w:val="00CD76F2"/>
    <w:rsid w:val="00CD76FF"/>
    <w:rsid w:val="00CD772E"/>
    <w:rsid w:val="00CD7761"/>
    <w:rsid w:val="00CD7774"/>
    <w:rsid w:val="00CD777B"/>
    <w:rsid w:val="00CD77AA"/>
    <w:rsid w:val="00CD77BE"/>
    <w:rsid w:val="00CD77EB"/>
    <w:rsid w:val="00CD77FB"/>
    <w:rsid w:val="00CD7803"/>
    <w:rsid w:val="00CD7836"/>
    <w:rsid w:val="00CD7847"/>
    <w:rsid w:val="00CD7885"/>
    <w:rsid w:val="00CD7895"/>
    <w:rsid w:val="00CD78B3"/>
    <w:rsid w:val="00CD78C5"/>
    <w:rsid w:val="00CD78DA"/>
    <w:rsid w:val="00CD78EA"/>
    <w:rsid w:val="00CD7945"/>
    <w:rsid w:val="00CD7957"/>
    <w:rsid w:val="00CD799D"/>
    <w:rsid w:val="00CD79B8"/>
    <w:rsid w:val="00CD7A32"/>
    <w:rsid w:val="00CD7A3E"/>
    <w:rsid w:val="00CD7A81"/>
    <w:rsid w:val="00CD7AAC"/>
    <w:rsid w:val="00CD7B06"/>
    <w:rsid w:val="00CD7B46"/>
    <w:rsid w:val="00CD7B89"/>
    <w:rsid w:val="00CD7BAD"/>
    <w:rsid w:val="00CD7BC8"/>
    <w:rsid w:val="00CD7C04"/>
    <w:rsid w:val="00CD7C0C"/>
    <w:rsid w:val="00CD7C56"/>
    <w:rsid w:val="00CD7CA1"/>
    <w:rsid w:val="00CD7CDD"/>
    <w:rsid w:val="00CD7CE1"/>
    <w:rsid w:val="00CD7D64"/>
    <w:rsid w:val="00CD7D71"/>
    <w:rsid w:val="00CD7D9E"/>
    <w:rsid w:val="00CD7DB5"/>
    <w:rsid w:val="00CD7E80"/>
    <w:rsid w:val="00CD7EC0"/>
    <w:rsid w:val="00CD7ED0"/>
    <w:rsid w:val="00CD7EE9"/>
    <w:rsid w:val="00CD7F04"/>
    <w:rsid w:val="00CD7F33"/>
    <w:rsid w:val="00CD7F7C"/>
    <w:rsid w:val="00CD7F94"/>
    <w:rsid w:val="00CD7F9D"/>
    <w:rsid w:val="00CD7FBD"/>
    <w:rsid w:val="00CE0025"/>
    <w:rsid w:val="00CE0096"/>
    <w:rsid w:val="00CE00AD"/>
    <w:rsid w:val="00CE00C9"/>
    <w:rsid w:val="00CE00F2"/>
    <w:rsid w:val="00CE0104"/>
    <w:rsid w:val="00CE014B"/>
    <w:rsid w:val="00CE0155"/>
    <w:rsid w:val="00CE015B"/>
    <w:rsid w:val="00CE0194"/>
    <w:rsid w:val="00CE01D9"/>
    <w:rsid w:val="00CE0218"/>
    <w:rsid w:val="00CE0244"/>
    <w:rsid w:val="00CE0251"/>
    <w:rsid w:val="00CE0276"/>
    <w:rsid w:val="00CE02B5"/>
    <w:rsid w:val="00CE02E2"/>
    <w:rsid w:val="00CE02F6"/>
    <w:rsid w:val="00CE0325"/>
    <w:rsid w:val="00CE03C7"/>
    <w:rsid w:val="00CE03DE"/>
    <w:rsid w:val="00CE03EC"/>
    <w:rsid w:val="00CE0471"/>
    <w:rsid w:val="00CE0498"/>
    <w:rsid w:val="00CE04B6"/>
    <w:rsid w:val="00CE04E3"/>
    <w:rsid w:val="00CE04EC"/>
    <w:rsid w:val="00CE04F4"/>
    <w:rsid w:val="00CE0543"/>
    <w:rsid w:val="00CE0546"/>
    <w:rsid w:val="00CE05A7"/>
    <w:rsid w:val="00CE05ED"/>
    <w:rsid w:val="00CE0610"/>
    <w:rsid w:val="00CE0614"/>
    <w:rsid w:val="00CE0623"/>
    <w:rsid w:val="00CE062A"/>
    <w:rsid w:val="00CE067E"/>
    <w:rsid w:val="00CE069C"/>
    <w:rsid w:val="00CE06EC"/>
    <w:rsid w:val="00CE0792"/>
    <w:rsid w:val="00CE0860"/>
    <w:rsid w:val="00CE08E3"/>
    <w:rsid w:val="00CE08F4"/>
    <w:rsid w:val="00CE08F6"/>
    <w:rsid w:val="00CE0916"/>
    <w:rsid w:val="00CE091B"/>
    <w:rsid w:val="00CE0944"/>
    <w:rsid w:val="00CE0975"/>
    <w:rsid w:val="00CE09A5"/>
    <w:rsid w:val="00CE09FE"/>
    <w:rsid w:val="00CE0A66"/>
    <w:rsid w:val="00CE0AE6"/>
    <w:rsid w:val="00CE0B1E"/>
    <w:rsid w:val="00CE0B44"/>
    <w:rsid w:val="00CE0B9C"/>
    <w:rsid w:val="00CE0BAE"/>
    <w:rsid w:val="00CE0BD6"/>
    <w:rsid w:val="00CE0C2C"/>
    <w:rsid w:val="00CE0C36"/>
    <w:rsid w:val="00CE0C3F"/>
    <w:rsid w:val="00CE0C5D"/>
    <w:rsid w:val="00CE0CDB"/>
    <w:rsid w:val="00CE0DA3"/>
    <w:rsid w:val="00CE0DB1"/>
    <w:rsid w:val="00CE0DDB"/>
    <w:rsid w:val="00CE0E4D"/>
    <w:rsid w:val="00CE0E72"/>
    <w:rsid w:val="00CE0E84"/>
    <w:rsid w:val="00CE0EC6"/>
    <w:rsid w:val="00CE0EE2"/>
    <w:rsid w:val="00CE0F03"/>
    <w:rsid w:val="00CE0F16"/>
    <w:rsid w:val="00CE0F5F"/>
    <w:rsid w:val="00CE0F83"/>
    <w:rsid w:val="00CE0FA7"/>
    <w:rsid w:val="00CE0FC6"/>
    <w:rsid w:val="00CE105D"/>
    <w:rsid w:val="00CE1095"/>
    <w:rsid w:val="00CE10A7"/>
    <w:rsid w:val="00CE10C9"/>
    <w:rsid w:val="00CE10FF"/>
    <w:rsid w:val="00CE1102"/>
    <w:rsid w:val="00CE1118"/>
    <w:rsid w:val="00CE111E"/>
    <w:rsid w:val="00CE1168"/>
    <w:rsid w:val="00CE11AA"/>
    <w:rsid w:val="00CE11C3"/>
    <w:rsid w:val="00CE11E2"/>
    <w:rsid w:val="00CE124C"/>
    <w:rsid w:val="00CE1278"/>
    <w:rsid w:val="00CE1295"/>
    <w:rsid w:val="00CE132A"/>
    <w:rsid w:val="00CE1331"/>
    <w:rsid w:val="00CE1371"/>
    <w:rsid w:val="00CE137A"/>
    <w:rsid w:val="00CE13C4"/>
    <w:rsid w:val="00CE13D0"/>
    <w:rsid w:val="00CE13FC"/>
    <w:rsid w:val="00CE1400"/>
    <w:rsid w:val="00CE142B"/>
    <w:rsid w:val="00CE142F"/>
    <w:rsid w:val="00CE1441"/>
    <w:rsid w:val="00CE144C"/>
    <w:rsid w:val="00CE1478"/>
    <w:rsid w:val="00CE149A"/>
    <w:rsid w:val="00CE14F4"/>
    <w:rsid w:val="00CE156A"/>
    <w:rsid w:val="00CE1587"/>
    <w:rsid w:val="00CE15CF"/>
    <w:rsid w:val="00CE15D0"/>
    <w:rsid w:val="00CE15E0"/>
    <w:rsid w:val="00CE15F0"/>
    <w:rsid w:val="00CE15F3"/>
    <w:rsid w:val="00CE16A8"/>
    <w:rsid w:val="00CE16DA"/>
    <w:rsid w:val="00CE16E3"/>
    <w:rsid w:val="00CE1727"/>
    <w:rsid w:val="00CE17FA"/>
    <w:rsid w:val="00CE17FD"/>
    <w:rsid w:val="00CE180D"/>
    <w:rsid w:val="00CE181A"/>
    <w:rsid w:val="00CE184E"/>
    <w:rsid w:val="00CE18C0"/>
    <w:rsid w:val="00CE18C2"/>
    <w:rsid w:val="00CE18C8"/>
    <w:rsid w:val="00CE18D4"/>
    <w:rsid w:val="00CE190B"/>
    <w:rsid w:val="00CE1968"/>
    <w:rsid w:val="00CE1995"/>
    <w:rsid w:val="00CE19C9"/>
    <w:rsid w:val="00CE1A1A"/>
    <w:rsid w:val="00CE1A1B"/>
    <w:rsid w:val="00CE1A72"/>
    <w:rsid w:val="00CE1AA4"/>
    <w:rsid w:val="00CE1B80"/>
    <w:rsid w:val="00CE1BE5"/>
    <w:rsid w:val="00CE1BED"/>
    <w:rsid w:val="00CE1C2D"/>
    <w:rsid w:val="00CE1C74"/>
    <w:rsid w:val="00CE1D41"/>
    <w:rsid w:val="00CE1D49"/>
    <w:rsid w:val="00CE1DDB"/>
    <w:rsid w:val="00CE1DEF"/>
    <w:rsid w:val="00CE1E00"/>
    <w:rsid w:val="00CE1E89"/>
    <w:rsid w:val="00CE1F5F"/>
    <w:rsid w:val="00CE1F6B"/>
    <w:rsid w:val="00CE1F7E"/>
    <w:rsid w:val="00CE1F98"/>
    <w:rsid w:val="00CE1F9F"/>
    <w:rsid w:val="00CE1FD1"/>
    <w:rsid w:val="00CE20D5"/>
    <w:rsid w:val="00CE20E8"/>
    <w:rsid w:val="00CE2137"/>
    <w:rsid w:val="00CE2190"/>
    <w:rsid w:val="00CE2237"/>
    <w:rsid w:val="00CE225F"/>
    <w:rsid w:val="00CE22BA"/>
    <w:rsid w:val="00CE22E7"/>
    <w:rsid w:val="00CE22EA"/>
    <w:rsid w:val="00CE2300"/>
    <w:rsid w:val="00CE2311"/>
    <w:rsid w:val="00CE237F"/>
    <w:rsid w:val="00CE23A5"/>
    <w:rsid w:val="00CE23AF"/>
    <w:rsid w:val="00CE247B"/>
    <w:rsid w:val="00CE2497"/>
    <w:rsid w:val="00CE24C1"/>
    <w:rsid w:val="00CE24CD"/>
    <w:rsid w:val="00CE2522"/>
    <w:rsid w:val="00CE253E"/>
    <w:rsid w:val="00CE25AA"/>
    <w:rsid w:val="00CE25CC"/>
    <w:rsid w:val="00CE25F0"/>
    <w:rsid w:val="00CE25F4"/>
    <w:rsid w:val="00CE260D"/>
    <w:rsid w:val="00CE261A"/>
    <w:rsid w:val="00CE2621"/>
    <w:rsid w:val="00CE2679"/>
    <w:rsid w:val="00CE2697"/>
    <w:rsid w:val="00CE26A1"/>
    <w:rsid w:val="00CE26AB"/>
    <w:rsid w:val="00CE26C4"/>
    <w:rsid w:val="00CE272F"/>
    <w:rsid w:val="00CE27C7"/>
    <w:rsid w:val="00CE280A"/>
    <w:rsid w:val="00CE2815"/>
    <w:rsid w:val="00CE2861"/>
    <w:rsid w:val="00CE2882"/>
    <w:rsid w:val="00CE2941"/>
    <w:rsid w:val="00CE2942"/>
    <w:rsid w:val="00CE2975"/>
    <w:rsid w:val="00CE297F"/>
    <w:rsid w:val="00CE29E0"/>
    <w:rsid w:val="00CE2A0D"/>
    <w:rsid w:val="00CE2A1F"/>
    <w:rsid w:val="00CE2A78"/>
    <w:rsid w:val="00CE2A81"/>
    <w:rsid w:val="00CE2A8B"/>
    <w:rsid w:val="00CE2AAF"/>
    <w:rsid w:val="00CE2AF8"/>
    <w:rsid w:val="00CE2B1C"/>
    <w:rsid w:val="00CE2B22"/>
    <w:rsid w:val="00CE2B30"/>
    <w:rsid w:val="00CE2B43"/>
    <w:rsid w:val="00CE2BEA"/>
    <w:rsid w:val="00CE2C0C"/>
    <w:rsid w:val="00CE2CAF"/>
    <w:rsid w:val="00CE2CBA"/>
    <w:rsid w:val="00CE2CBE"/>
    <w:rsid w:val="00CE2CFE"/>
    <w:rsid w:val="00CE2D1E"/>
    <w:rsid w:val="00CE2DAF"/>
    <w:rsid w:val="00CE2E2D"/>
    <w:rsid w:val="00CE2ECD"/>
    <w:rsid w:val="00CE2EF5"/>
    <w:rsid w:val="00CE2F0B"/>
    <w:rsid w:val="00CE2F1C"/>
    <w:rsid w:val="00CE2F37"/>
    <w:rsid w:val="00CE2F4D"/>
    <w:rsid w:val="00CE2F6A"/>
    <w:rsid w:val="00CE2F87"/>
    <w:rsid w:val="00CE2FBD"/>
    <w:rsid w:val="00CE3003"/>
    <w:rsid w:val="00CE30FD"/>
    <w:rsid w:val="00CE3193"/>
    <w:rsid w:val="00CE31FF"/>
    <w:rsid w:val="00CE3205"/>
    <w:rsid w:val="00CE324E"/>
    <w:rsid w:val="00CE325A"/>
    <w:rsid w:val="00CE3262"/>
    <w:rsid w:val="00CE3297"/>
    <w:rsid w:val="00CE32CE"/>
    <w:rsid w:val="00CE330A"/>
    <w:rsid w:val="00CE332C"/>
    <w:rsid w:val="00CE3335"/>
    <w:rsid w:val="00CE3336"/>
    <w:rsid w:val="00CE335E"/>
    <w:rsid w:val="00CE338C"/>
    <w:rsid w:val="00CE3395"/>
    <w:rsid w:val="00CE33E1"/>
    <w:rsid w:val="00CE33F6"/>
    <w:rsid w:val="00CE3444"/>
    <w:rsid w:val="00CE34BA"/>
    <w:rsid w:val="00CE34EA"/>
    <w:rsid w:val="00CE3506"/>
    <w:rsid w:val="00CE3535"/>
    <w:rsid w:val="00CE3541"/>
    <w:rsid w:val="00CE35A4"/>
    <w:rsid w:val="00CE3625"/>
    <w:rsid w:val="00CE3663"/>
    <w:rsid w:val="00CE36C9"/>
    <w:rsid w:val="00CE36E3"/>
    <w:rsid w:val="00CE3732"/>
    <w:rsid w:val="00CE373B"/>
    <w:rsid w:val="00CE3792"/>
    <w:rsid w:val="00CE37AC"/>
    <w:rsid w:val="00CE37F7"/>
    <w:rsid w:val="00CE3846"/>
    <w:rsid w:val="00CE38A6"/>
    <w:rsid w:val="00CE3919"/>
    <w:rsid w:val="00CE3926"/>
    <w:rsid w:val="00CE394F"/>
    <w:rsid w:val="00CE39AC"/>
    <w:rsid w:val="00CE39BB"/>
    <w:rsid w:val="00CE39CF"/>
    <w:rsid w:val="00CE39D8"/>
    <w:rsid w:val="00CE39E7"/>
    <w:rsid w:val="00CE3A29"/>
    <w:rsid w:val="00CE3AB9"/>
    <w:rsid w:val="00CE3AD2"/>
    <w:rsid w:val="00CE3AE1"/>
    <w:rsid w:val="00CE3AE5"/>
    <w:rsid w:val="00CE3B41"/>
    <w:rsid w:val="00CE3B52"/>
    <w:rsid w:val="00CE3B89"/>
    <w:rsid w:val="00CE3BCB"/>
    <w:rsid w:val="00CE3BD4"/>
    <w:rsid w:val="00CE3BD6"/>
    <w:rsid w:val="00CE3BF1"/>
    <w:rsid w:val="00CE3C0A"/>
    <w:rsid w:val="00CE3C44"/>
    <w:rsid w:val="00CE3C48"/>
    <w:rsid w:val="00CE3C6A"/>
    <w:rsid w:val="00CE3CC8"/>
    <w:rsid w:val="00CE3CDA"/>
    <w:rsid w:val="00CE3CDF"/>
    <w:rsid w:val="00CE3D03"/>
    <w:rsid w:val="00CE3D15"/>
    <w:rsid w:val="00CE3D61"/>
    <w:rsid w:val="00CE3D64"/>
    <w:rsid w:val="00CE3DE7"/>
    <w:rsid w:val="00CE3DFD"/>
    <w:rsid w:val="00CE3EF6"/>
    <w:rsid w:val="00CE3F31"/>
    <w:rsid w:val="00CE3F5C"/>
    <w:rsid w:val="00CE3F67"/>
    <w:rsid w:val="00CE3F75"/>
    <w:rsid w:val="00CE400F"/>
    <w:rsid w:val="00CE40D3"/>
    <w:rsid w:val="00CE4123"/>
    <w:rsid w:val="00CE413E"/>
    <w:rsid w:val="00CE414B"/>
    <w:rsid w:val="00CE414C"/>
    <w:rsid w:val="00CE41A6"/>
    <w:rsid w:val="00CE41EF"/>
    <w:rsid w:val="00CE4253"/>
    <w:rsid w:val="00CE4276"/>
    <w:rsid w:val="00CE427D"/>
    <w:rsid w:val="00CE42CF"/>
    <w:rsid w:val="00CE4300"/>
    <w:rsid w:val="00CE4344"/>
    <w:rsid w:val="00CE4365"/>
    <w:rsid w:val="00CE4397"/>
    <w:rsid w:val="00CE43A6"/>
    <w:rsid w:val="00CE43CA"/>
    <w:rsid w:val="00CE43EB"/>
    <w:rsid w:val="00CE43EE"/>
    <w:rsid w:val="00CE4403"/>
    <w:rsid w:val="00CE4423"/>
    <w:rsid w:val="00CE4429"/>
    <w:rsid w:val="00CE442B"/>
    <w:rsid w:val="00CE4471"/>
    <w:rsid w:val="00CE448D"/>
    <w:rsid w:val="00CE44DE"/>
    <w:rsid w:val="00CE450E"/>
    <w:rsid w:val="00CE451F"/>
    <w:rsid w:val="00CE45F7"/>
    <w:rsid w:val="00CE46AB"/>
    <w:rsid w:val="00CE46B2"/>
    <w:rsid w:val="00CE46E5"/>
    <w:rsid w:val="00CE4717"/>
    <w:rsid w:val="00CE471C"/>
    <w:rsid w:val="00CE4761"/>
    <w:rsid w:val="00CE47BD"/>
    <w:rsid w:val="00CE47F9"/>
    <w:rsid w:val="00CE4802"/>
    <w:rsid w:val="00CE4831"/>
    <w:rsid w:val="00CE48E8"/>
    <w:rsid w:val="00CE4922"/>
    <w:rsid w:val="00CE4954"/>
    <w:rsid w:val="00CE496E"/>
    <w:rsid w:val="00CE4979"/>
    <w:rsid w:val="00CE497F"/>
    <w:rsid w:val="00CE49CF"/>
    <w:rsid w:val="00CE49E8"/>
    <w:rsid w:val="00CE4AB3"/>
    <w:rsid w:val="00CE4B12"/>
    <w:rsid w:val="00CE4B50"/>
    <w:rsid w:val="00CE4B64"/>
    <w:rsid w:val="00CE4BB5"/>
    <w:rsid w:val="00CE4C82"/>
    <w:rsid w:val="00CE4C91"/>
    <w:rsid w:val="00CE4CFA"/>
    <w:rsid w:val="00CE4D10"/>
    <w:rsid w:val="00CE4DBF"/>
    <w:rsid w:val="00CE4DF4"/>
    <w:rsid w:val="00CE4DFA"/>
    <w:rsid w:val="00CE4E39"/>
    <w:rsid w:val="00CE4E50"/>
    <w:rsid w:val="00CE4EA2"/>
    <w:rsid w:val="00CE4EE5"/>
    <w:rsid w:val="00CE4F2E"/>
    <w:rsid w:val="00CE4F63"/>
    <w:rsid w:val="00CE4FA8"/>
    <w:rsid w:val="00CE4FAE"/>
    <w:rsid w:val="00CE4FE0"/>
    <w:rsid w:val="00CE4FFE"/>
    <w:rsid w:val="00CE5016"/>
    <w:rsid w:val="00CE5024"/>
    <w:rsid w:val="00CE505C"/>
    <w:rsid w:val="00CE505D"/>
    <w:rsid w:val="00CE5089"/>
    <w:rsid w:val="00CE5097"/>
    <w:rsid w:val="00CE5108"/>
    <w:rsid w:val="00CE514C"/>
    <w:rsid w:val="00CE51DB"/>
    <w:rsid w:val="00CE51E7"/>
    <w:rsid w:val="00CE521E"/>
    <w:rsid w:val="00CE5226"/>
    <w:rsid w:val="00CE525F"/>
    <w:rsid w:val="00CE52AD"/>
    <w:rsid w:val="00CE52C8"/>
    <w:rsid w:val="00CE52CD"/>
    <w:rsid w:val="00CE52ED"/>
    <w:rsid w:val="00CE52EF"/>
    <w:rsid w:val="00CE5329"/>
    <w:rsid w:val="00CE5400"/>
    <w:rsid w:val="00CE5413"/>
    <w:rsid w:val="00CE5479"/>
    <w:rsid w:val="00CE547D"/>
    <w:rsid w:val="00CE547F"/>
    <w:rsid w:val="00CE548A"/>
    <w:rsid w:val="00CE548F"/>
    <w:rsid w:val="00CE54F2"/>
    <w:rsid w:val="00CE551C"/>
    <w:rsid w:val="00CE5545"/>
    <w:rsid w:val="00CE5565"/>
    <w:rsid w:val="00CE55BD"/>
    <w:rsid w:val="00CE55DA"/>
    <w:rsid w:val="00CE5602"/>
    <w:rsid w:val="00CE561A"/>
    <w:rsid w:val="00CE563F"/>
    <w:rsid w:val="00CE5641"/>
    <w:rsid w:val="00CE5702"/>
    <w:rsid w:val="00CE572D"/>
    <w:rsid w:val="00CE574D"/>
    <w:rsid w:val="00CE57C8"/>
    <w:rsid w:val="00CE57D2"/>
    <w:rsid w:val="00CE57D8"/>
    <w:rsid w:val="00CE57D9"/>
    <w:rsid w:val="00CE5844"/>
    <w:rsid w:val="00CE5874"/>
    <w:rsid w:val="00CE589E"/>
    <w:rsid w:val="00CE58D5"/>
    <w:rsid w:val="00CE58FD"/>
    <w:rsid w:val="00CE591F"/>
    <w:rsid w:val="00CE5925"/>
    <w:rsid w:val="00CE5928"/>
    <w:rsid w:val="00CE5930"/>
    <w:rsid w:val="00CE5AAE"/>
    <w:rsid w:val="00CE5ADB"/>
    <w:rsid w:val="00CE5AF5"/>
    <w:rsid w:val="00CE5B70"/>
    <w:rsid w:val="00CE5BC4"/>
    <w:rsid w:val="00CE5BEE"/>
    <w:rsid w:val="00CE5CB2"/>
    <w:rsid w:val="00CE5CC9"/>
    <w:rsid w:val="00CE5D36"/>
    <w:rsid w:val="00CE5D65"/>
    <w:rsid w:val="00CE5D67"/>
    <w:rsid w:val="00CE5D71"/>
    <w:rsid w:val="00CE5D91"/>
    <w:rsid w:val="00CE5DCD"/>
    <w:rsid w:val="00CE5E35"/>
    <w:rsid w:val="00CE5E63"/>
    <w:rsid w:val="00CE5EC2"/>
    <w:rsid w:val="00CE5F28"/>
    <w:rsid w:val="00CE5F4C"/>
    <w:rsid w:val="00CE5FA8"/>
    <w:rsid w:val="00CE5FF6"/>
    <w:rsid w:val="00CE6033"/>
    <w:rsid w:val="00CE610C"/>
    <w:rsid w:val="00CE610E"/>
    <w:rsid w:val="00CE6111"/>
    <w:rsid w:val="00CE6115"/>
    <w:rsid w:val="00CE611E"/>
    <w:rsid w:val="00CE6148"/>
    <w:rsid w:val="00CE615C"/>
    <w:rsid w:val="00CE6164"/>
    <w:rsid w:val="00CE617E"/>
    <w:rsid w:val="00CE61A9"/>
    <w:rsid w:val="00CE61CF"/>
    <w:rsid w:val="00CE624B"/>
    <w:rsid w:val="00CE626B"/>
    <w:rsid w:val="00CE626C"/>
    <w:rsid w:val="00CE6282"/>
    <w:rsid w:val="00CE62BC"/>
    <w:rsid w:val="00CE62DD"/>
    <w:rsid w:val="00CE62E1"/>
    <w:rsid w:val="00CE6380"/>
    <w:rsid w:val="00CE63CF"/>
    <w:rsid w:val="00CE6413"/>
    <w:rsid w:val="00CE6455"/>
    <w:rsid w:val="00CE645B"/>
    <w:rsid w:val="00CE645E"/>
    <w:rsid w:val="00CE65E8"/>
    <w:rsid w:val="00CE6608"/>
    <w:rsid w:val="00CE6664"/>
    <w:rsid w:val="00CE6686"/>
    <w:rsid w:val="00CE671D"/>
    <w:rsid w:val="00CE6721"/>
    <w:rsid w:val="00CE674F"/>
    <w:rsid w:val="00CE6757"/>
    <w:rsid w:val="00CE6781"/>
    <w:rsid w:val="00CE678C"/>
    <w:rsid w:val="00CE6824"/>
    <w:rsid w:val="00CE68AD"/>
    <w:rsid w:val="00CE68C8"/>
    <w:rsid w:val="00CE68ED"/>
    <w:rsid w:val="00CE6930"/>
    <w:rsid w:val="00CE6971"/>
    <w:rsid w:val="00CE697D"/>
    <w:rsid w:val="00CE6998"/>
    <w:rsid w:val="00CE699E"/>
    <w:rsid w:val="00CE69B3"/>
    <w:rsid w:val="00CE69CE"/>
    <w:rsid w:val="00CE69DB"/>
    <w:rsid w:val="00CE6A3F"/>
    <w:rsid w:val="00CE6AF7"/>
    <w:rsid w:val="00CE6B37"/>
    <w:rsid w:val="00CE6B67"/>
    <w:rsid w:val="00CE6BA7"/>
    <w:rsid w:val="00CE6BDA"/>
    <w:rsid w:val="00CE6BF7"/>
    <w:rsid w:val="00CE6CA0"/>
    <w:rsid w:val="00CE6D36"/>
    <w:rsid w:val="00CE6D58"/>
    <w:rsid w:val="00CE6D5C"/>
    <w:rsid w:val="00CE6D6F"/>
    <w:rsid w:val="00CE6D8D"/>
    <w:rsid w:val="00CE6DA8"/>
    <w:rsid w:val="00CE6DBB"/>
    <w:rsid w:val="00CE6DCB"/>
    <w:rsid w:val="00CE6DE5"/>
    <w:rsid w:val="00CE6E14"/>
    <w:rsid w:val="00CE6E1A"/>
    <w:rsid w:val="00CE6E27"/>
    <w:rsid w:val="00CE6E80"/>
    <w:rsid w:val="00CE6EA3"/>
    <w:rsid w:val="00CE6EE3"/>
    <w:rsid w:val="00CE6EFF"/>
    <w:rsid w:val="00CE6F32"/>
    <w:rsid w:val="00CE6F8A"/>
    <w:rsid w:val="00CE6F93"/>
    <w:rsid w:val="00CE6F99"/>
    <w:rsid w:val="00CE6FEF"/>
    <w:rsid w:val="00CE7073"/>
    <w:rsid w:val="00CE70D1"/>
    <w:rsid w:val="00CE70E4"/>
    <w:rsid w:val="00CE70EF"/>
    <w:rsid w:val="00CE70F5"/>
    <w:rsid w:val="00CE7113"/>
    <w:rsid w:val="00CE7148"/>
    <w:rsid w:val="00CE7160"/>
    <w:rsid w:val="00CE71D9"/>
    <w:rsid w:val="00CE71DE"/>
    <w:rsid w:val="00CE71FB"/>
    <w:rsid w:val="00CE7221"/>
    <w:rsid w:val="00CE725D"/>
    <w:rsid w:val="00CE7294"/>
    <w:rsid w:val="00CE72B8"/>
    <w:rsid w:val="00CE72C9"/>
    <w:rsid w:val="00CE72E5"/>
    <w:rsid w:val="00CE72F5"/>
    <w:rsid w:val="00CE7309"/>
    <w:rsid w:val="00CE7337"/>
    <w:rsid w:val="00CE7376"/>
    <w:rsid w:val="00CE7382"/>
    <w:rsid w:val="00CE73BD"/>
    <w:rsid w:val="00CE73C5"/>
    <w:rsid w:val="00CE73CD"/>
    <w:rsid w:val="00CE73F1"/>
    <w:rsid w:val="00CE7401"/>
    <w:rsid w:val="00CE74BB"/>
    <w:rsid w:val="00CE74BF"/>
    <w:rsid w:val="00CE75C8"/>
    <w:rsid w:val="00CE75CF"/>
    <w:rsid w:val="00CE75D7"/>
    <w:rsid w:val="00CE7601"/>
    <w:rsid w:val="00CE762B"/>
    <w:rsid w:val="00CE763A"/>
    <w:rsid w:val="00CE767C"/>
    <w:rsid w:val="00CE769B"/>
    <w:rsid w:val="00CE76B6"/>
    <w:rsid w:val="00CE7702"/>
    <w:rsid w:val="00CE775B"/>
    <w:rsid w:val="00CE77D8"/>
    <w:rsid w:val="00CE7813"/>
    <w:rsid w:val="00CE7844"/>
    <w:rsid w:val="00CE784A"/>
    <w:rsid w:val="00CE7857"/>
    <w:rsid w:val="00CE78B8"/>
    <w:rsid w:val="00CE78DF"/>
    <w:rsid w:val="00CE7902"/>
    <w:rsid w:val="00CE791B"/>
    <w:rsid w:val="00CE7928"/>
    <w:rsid w:val="00CE795A"/>
    <w:rsid w:val="00CE7974"/>
    <w:rsid w:val="00CE79C2"/>
    <w:rsid w:val="00CE7A0F"/>
    <w:rsid w:val="00CE7A3F"/>
    <w:rsid w:val="00CE7A78"/>
    <w:rsid w:val="00CE7B03"/>
    <w:rsid w:val="00CE7B55"/>
    <w:rsid w:val="00CE7BC6"/>
    <w:rsid w:val="00CE7C02"/>
    <w:rsid w:val="00CE7C44"/>
    <w:rsid w:val="00CE7C7D"/>
    <w:rsid w:val="00CE7C83"/>
    <w:rsid w:val="00CE7D1B"/>
    <w:rsid w:val="00CE7D5E"/>
    <w:rsid w:val="00CE7DA4"/>
    <w:rsid w:val="00CE7DB7"/>
    <w:rsid w:val="00CE7DBE"/>
    <w:rsid w:val="00CE7DCC"/>
    <w:rsid w:val="00CE7DD4"/>
    <w:rsid w:val="00CE7DD6"/>
    <w:rsid w:val="00CE7DD9"/>
    <w:rsid w:val="00CE7E02"/>
    <w:rsid w:val="00CE7E5E"/>
    <w:rsid w:val="00CE7E72"/>
    <w:rsid w:val="00CE7EBF"/>
    <w:rsid w:val="00CE7F25"/>
    <w:rsid w:val="00CE7F5A"/>
    <w:rsid w:val="00CE7FB7"/>
    <w:rsid w:val="00CF0003"/>
    <w:rsid w:val="00CF0035"/>
    <w:rsid w:val="00CF010B"/>
    <w:rsid w:val="00CF012C"/>
    <w:rsid w:val="00CF014E"/>
    <w:rsid w:val="00CF015B"/>
    <w:rsid w:val="00CF018C"/>
    <w:rsid w:val="00CF0198"/>
    <w:rsid w:val="00CF019D"/>
    <w:rsid w:val="00CF01FA"/>
    <w:rsid w:val="00CF021C"/>
    <w:rsid w:val="00CF0233"/>
    <w:rsid w:val="00CF0248"/>
    <w:rsid w:val="00CF0262"/>
    <w:rsid w:val="00CF0268"/>
    <w:rsid w:val="00CF0297"/>
    <w:rsid w:val="00CF02BC"/>
    <w:rsid w:val="00CF02D8"/>
    <w:rsid w:val="00CF02E5"/>
    <w:rsid w:val="00CF033D"/>
    <w:rsid w:val="00CF035E"/>
    <w:rsid w:val="00CF037E"/>
    <w:rsid w:val="00CF0393"/>
    <w:rsid w:val="00CF03E8"/>
    <w:rsid w:val="00CF0437"/>
    <w:rsid w:val="00CF043E"/>
    <w:rsid w:val="00CF0477"/>
    <w:rsid w:val="00CF04B1"/>
    <w:rsid w:val="00CF04CA"/>
    <w:rsid w:val="00CF050C"/>
    <w:rsid w:val="00CF05A4"/>
    <w:rsid w:val="00CF05EF"/>
    <w:rsid w:val="00CF0630"/>
    <w:rsid w:val="00CF0633"/>
    <w:rsid w:val="00CF065F"/>
    <w:rsid w:val="00CF069B"/>
    <w:rsid w:val="00CF06A1"/>
    <w:rsid w:val="00CF073C"/>
    <w:rsid w:val="00CF0753"/>
    <w:rsid w:val="00CF075E"/>
    <w:rsid w:val="00CF07A1"/>
    <w:rsid w:val="00CF083C"/>
    <w:rsid w:val="00CF0907"/>
    <w:rsid w:val="00CF0952"/>
    <w:rsid w:val="00CF0A6C"/>
    <w:rsid w:val="00CF0AB1"/>
    <w:rsid w:val="00CF0AB9"/>
    <w:rsid w:val="00CF0AF9"/>
    <w:rsid w:val="00CF0B9F"/>
    <w:rsid w:val="00CF0C3B"/>
    <w:rsid w:val="00CF0C81"/>
    <w:rsid w:val="00CF0CA8"/>
    <w:rsid w:val="00CF0CE6"/>
    <w:rsid w:val="00CF0D12"/>
    <w:rsid w:val="00CF0D34"/>
    <w:rsid w:val="00CF0D39"/>
    <w:rsid w:val="00CF0E1A"/>
    <w:rsid w:val="00CF0E51"/>
    <w:rsid w:val="00CF0E84"/>
    <w:rsid w:val="00CF0E8B"/>
    <w:rsid w:val="00CF0E9F"/>
    <w:rsid w:val="00CF0EB3"/>
    <w:rsid w:val="00CF0ED5"/>
    <w:rsid w:val="00CF0F01"/>
    <w:rsid w:val="00CF0F05"/>
    <w:rsid w:val="00CF0F31"/>
    <w:rsid w:val="00CF0F36"/>
    <w:rsid w:val="00CF0F52"/>
    <w:rsid w:val="00CF0F8B"/>
    <w:rsid w:val="00CF0F92"/>
    <w:rsid w:val="00CF0F9C"/>
    <w:rsid w:val="00CF0FB6"/>
    <w:rsid w:val="00CF0FC1"/>
    <w:rsid w:val="00CF1030"/>
    <w:rsid w:val="00CF1070"/>
    <w:rsid w:val="00CF10AD"/>
    <w:rsid w:val="00CF10C1"/>
    <w:rsid w:val="00CF10CD"/>
    <w:rsid w:val="00CF1124"/>
    <w:rsid w:val="00CF1164"/>
    <w:rsid w:val="00CF116C"/>
    <w:rsid w:val="00CF11B0"/>
    <w:rsid w:val="00CF11D3"/>
    <w:rsid w:val="00CF11D5"/>
    <w:rsid w:val="00CF1205"/>
    <w:rsid w:val="00CF1207"/>
    <w:rsid w:val="00CF1240"/>
    <w:rsid w:val="00CF125A"/>
    <w:rsid w:val="00CF1309"/>
    <w:rsid w:val="00CF133F"/>
    <w:rsid w:val="00CF13C1"/>
    <w:rsid w:val="00CF13D4"/>
    <w:rsid w:val="00CF14D4"/>
    <w:rsid w:val="00CF14F2"/>
    <w:rsid w:val="00CF1582"/>
    <w:rsid w:val="00CF158D"/>
    <w:rsid w:val="00CF1637"/>
    <w:rsid w:val="00CF164D"/>
    <w:rsid w:val="00CF164E"/>
    <w:rsid w:val="00CF16A6"/>
    <w:rsid w:val="00CF16BE"/>
    <w:rsid w:val="00CF16CC"/>
    <w:rsid w:val="00CF1759"/>
    <w:rsid w:val="00CF179C"/>
    <w:rsid w:val="00CF17BB"/>
    <w:rsid w:val="00CF18AB"/>
    <w:rsid w:val="00CF18EC"/>
    <w:rsid w:val="00CF191B"/>
    <w:rsid w:val="00CF1966"/>
    <w:rsid w:val="00CF1A2A"/>
    <w:rsid w:val="00CF1A31"/>
    <w:rsid w:val="00CF1A67"/>
    <w:rsid w:val="00CF1A90"/>
    <w:rsid w:val="00CF1ACC"/>
    <w:rsid w:val="00CF1ADB"/>
    <w:rsid w:val="00CF1B18"/>
    <w:rsid w:val="00CF1B6D"/>
    <w:rsid w:val="00CF1B9B"/>
    <w:rsid w:val="00CF1BA1"/>
    <w:rsid w:val="00CF1BDF"/>
    <w:rsid w:val="00CF1C12"/>
    <w:rsid w:val="00CF1C16"/>
    <w:rsid w:val="00CF1C1A"/>
    <w:rsid w:val="00CF1C26"/>
    <w:rsid w:val="00CF1C28"/>
    <w:rsid w:val="00CF1C2A"/>
    <w:rsid w:val="00CF1C4D"/>
    <w:rsid w:val="00CF1D27"/>
    <w:rsid w:val="00CF1D34"/>
    <w:rsid w:val="00CF1D74"/>
    <w:rsid w:val="00CF1D7A"/>
    <w:rsid w:val="00CF1D88"/>
    <w:rsid w:val="00CF1DAA"/>
    <w:rsid w:val="00CF1DED"/>
    <w:rsid w:val="00CF1E4F"/>
    <w:rsid w:val="00CF1E6B"/>
    <w:rsid w:val="00CF1E98"/>
    <w:rsid w:val="00CF1EDE"/>
    <w:rsid w:val="00CF1F43"/>
    <w:rsid w:val="00CF1F50"/>
    <w:rsid w:val="00CF1F57"/>
    <w:rsid w:val="00CF1F72"/>
    <w:rsid w:val="00CF1F7A"/>
    <w:rsid w:val="00CF1F7C"/>
    <w:rsid w:val="00CF1F8A"/>
    <w:rsid w:val="00CF1F9B"/>
    <w:rsid w:val="00CF1F9E"/>
    <w:rsid w:val="00CF1FB9"/>
    <w:rsid w:val="00CF1FC4"/>
    <w:rsid w:val="00CF1FF1"/>
    <w:rsid w:val="00CF1FF4"/>
    <w:rsid w:val="00CF2000"/>
    <w:rsid w:val="00CF2022"/>
    <w:rsid w:val="00CF209E"/>
    <w:rsid w:val="00CF20F0"/>
    <w:rsid w:val="00CF2142"/>
    <w:rsid w:val="00CF2151"/>
    <w:rsid w:val="00CF21AA"/>
    <w:rsid w:val="00CF21B1"/>
    <w:rsid w:val="00CF2210"/>
    <w:rsid w:val="00CF229D"/>
    <w:rsid w:val="00CF22B0"/>
    <w:rsid w:val="00CF2378"/>
    <w:rsid w:val="00CF23A2"/>
    <w:rsid w:val="00CF23B0"/>
    <w:rsid w:val="00CF23B7"/>
    <w:rsid w:val="00CF23BC"/>
    <w:rsid w:val="00CF24AF"/>
    <w:rsid w:val="00CF24B6"/>
    <w:rsid w:val="00CF24C9"/>
    <w:rsid w:val="00CF2516"/>
    <w:rsid w:val="00CF2518"/>
    <w:rsid w:val="00CF25AD"/>
    <w:rsid w:val="00CF25F6"/>
    <w:rsid w:val="00CF2613"/>
    <w:rsid w:val="00CF26AF"/>
    <w:rsid w:val="00CF26B8"/>
    <w:rsid w:val="00CF26DC"/>
    <w:rsid w:val="00CF2748"/>
    <w:rsid w:val="00CF277C"/>
    <w:rsid w:val="00CF27E3"/>
    <w:rsid w:val="00CF27E5"/>
    <w:rsid w:val="00CF2837"/>
    <w:rsid w:val="00CF2860"/>
    <w:rsid w:val="00CF289D"/>
    <w:rsid w:val="00CF28A4"/>
    <w:rsid w:val="00CF28E9"/>
    <w:rsid w:val="00CF2903"/>
    <w:rsid w:val="00CF2907"/>
    <w:rsid w:val="00CF2908"/>
    <w:rsid w:val="00CF2930"/>
    <w:rsid w:val="00CF2937"/>
    <w:rsid w:val="00CF294F"/>
    <w:rsid w:val="00CF29AE"/>
    <w:rsid w:val="00CF29B5"/>
    <w:rsid w:val="00CF29F8"/>
    <w:rsid w:val="00CF29FC"/>
    <w:rsid w:val="00CF2A0E"/>
    <w:rsid w:val="00CF2A22"/>
    <w:rsid w:val="00CF2AAD"/>
    <w:rsid w:val="00CF2AB1"/>
    <w:rsid w:val="00CF2AFB"/>
    <w:rsid w:val="00CF2B0F"/>
    <w:rsid w:val="00CF2B14"/>
    <w:rsid w:val="00CF2B51"/>
    <w:rsid w:val="00CF2B63"/>
    <w:rsid w:val="00CF2B93"/>
    <w:rsid w:val="00CF2BE3"/>
    <w:rsid w:val="00CF2C1A"/>
    <w:rsid w:val="00CF2C2A"/>
    <w:rsid w:val="00CF2C35"/>
    <w:rsid w:val="00CF2C52"/>
    <w:rsid w:val="00CF2C7D"/>
    <w:rsid w:val="00CF2C85"/>
    <w:rsid w:val="00CF2CA8"/>
    <w:rsid w:val="00CF2D52"/>
    <w:rsid w:val="00CF2D6C"/>
    <w:rsid w:val="00CF2D79"/>
    <w:rsid w:val="00CF2D7C"/>
    <w:rsid w:val="00CF2DB4"/>
    <w:rsid w:val="00CF2E26"/>
    <w:rsid w:val="00CF2E45"/>
    <w:rsid w:val="00CF2E4C"/>
    <w:rsid w:val="00CF2E52"/>
    <w:rsid w:val="00CF2EA8"/>
    <w:rsid w:val="00CF2EC2"/>
    <w:rsid w:val="00CF2EE1"/>
    <w:rsid w:val="00CF2EE3"/>
    <w:rsid w:val="00CF2EE9"/>
    <w:rsid w:val="00CF2EFB"/>
    <w:rsid w:val="00CF2FAE"/>
    <w:rsid w:val="00CF2FE8"/>
    <w:rsid w:val="00CF300E"/>
    <w:rsid w:val="00CF302E"/>
    <w:rsid w:val="00CF3084"/>
    <w:rsid w:val="00CF30B1"/>
    <w:rsid w:val="00CF30DC"/>
    <w:rsid w:val="00CF30EC"/>
    <w:rsid w:val="00CF3130"/>
    <w:rsid w:val="00CF313B"/>
    <w:rsid w:val="00CF315B"/>
    <w:rsid w:val="00CF31C4"/>
    <w:rsid w:val="00CF3216"/>
    <w:rsid w:val="00CF3229"/>
    <w:rsid w:val="00CF32E1"/>
    <w:rsid w:val="00CF32FF"/>
    <w:rsid w:val="00CF3327"/>
    <w:rsid w:val="00CF33B3"/>
    <w:rsid w:val="00CF33C9"/>
    <w:rsid w:val="00CF3442"/>
    <w:rsid w:val="00CF3488"/>
    <w:rsid w:val="00CF3494"/>
    <w:rsid w:val="00CF3512"/>
    <w:rsid w:val="00CF3519"/>
    <w:rsid w:val="00CF35B8"/>
    <w:rsid w:val="00CF3659"/>
    <w:rsid w:val="00CF3660"/>
    <w:rsid w:val="00CF3723"/>
    <w:rsid w:val="00CF3742"/>
    <w:rsid w:val="00CF375C"/>
    <w:rsid w:val="00CF37A9"/>
    <w:rsid w:val="00CF37EA"/>
    <w:rsid w:val="00CF3801"/>
    <w:rsid w:val="00CF381C"/>
    <w:rsid w:val="00CF388B"/>
    <w:rsid w:val="00CF38FF"/>
    <w:rsid w:val="00CF3980"/>
    <w:rsid w:val="00CF3989"/>
    <w:rsid w:val="00CF39A5"/>
    <w:rsid w:val="00CF39C5"/>
    <w:rsid w:val="00CF3A00"/>
    <w:rsid w:val="00CF3A08"/>
    <w:rsid w:val="00CF3A5F"/>
    <w:rsid w:val="00CF3B19"/>
    <w:rsid w:val="00CF3B23"/>
    <w:rsid w:val="00CF3B39"/>
    <w:rsid w:val="00CF3B5A"/>
    <w:rsid w:val="00CF3B7A"/>
    <w:rsid w:val="00CF3B9A"/>
    <w:rsid w:val="00CF3C24"/>
    <w:rsid w:val="00CF3C8E"/>
    <w:rsid w:val="00CF3CB4"/>
    <w:rsid w:val="00CF3D06"/>
    <w:rsid w:val="00CF3D0E"/>
    <w:rsid w:val="00CF3D28"/>
    <w:rsid w:val="00CF3D4A"/>
    <w:rsid w:val="00CF3D81"/>
    <w:rsid w:val="00CF3D82"/>
    <w:rsid w:val="00CF3DD7"/>
    <w:rsid w:val="00CF3E3F"/>
    <w:rsid w:val="00CF3EC8"/>
    <w:rsid w:val="00CF3F11"/>
    <w:rsid w:val="00CF3F19"/>
    <w:rsid w:val="00CF3F33"/>
    <w:rsid w:val="00CF3FB3"/>
    <w:rsid w:val="00CF3FEE"/>
    <w:rsid w:val="00CF4017"/>
    <w:rsid w:val="00CF4094"/>
    <w:rsid w:val="00CF40F2"/>
    <w:rsid w:val="00CF4149"/>
    <w:rsid w:val="00CF415B"/>
    <w:rsid w:val="00CF4183"/>
    <w:rsid w:val="00CF41BB"/>
    <w:rsid w:val="00CF41FC"/>
    <w:rsid w:val="00CF4223"/>
    <w:rsid w:val="00CF4269"/>
    <w:rsid w:val="00CF4276"/>
    <w:rsid w:val="00CF4279"/>
    <w:rsid w:val="00CF4338"/>
    <w:rsid w:val="00CF4340"/>
    <w:rsid w:val="00CF437A"/>
    <w:rsid w:val="00CF43E8"/>
    <w:rsid w:val="00CF4493"/>
    <w:rsid w:val="00CF44F0"/>
    <w:rsid w:val="00CF44FA"/>
    <w:rsid w:val="00CF4565"/>
    <w:rsid w:val="00CF457D"/>
    <w:rsid w:val="00CF45A4"/>
    <w:rsid w:val="00CF45DE"/>
    <w:rsid w:val="00CF4664"/>
    <w:rsid w:val="00CF4674"/>
    <w:rsid w:val="00CF469C"/>
    <w:rsid w:val="00CF46A8"/>
    <w:rsid w:val="00CF46DA"/>
    <w:rsid w:val="00CF4716"/>
    <w:rsid w:val="00CF473E"/>
    <w:rsid w:val="00CF4761"/>
    <w:rsid w:val="00CF4776"/>
    <w:rsid w:val="00CF47AE"/>
    <w:rsid w:val="00CF47FC"/>
    <w:rsid w:val="00CF483B"/>
    <w:rsid w:val="00CF4856"/>
    <w:rsid w:val="00CF48E4"/>
    <w:rsid w:val="00CF492B"/>
    <w:rsid w:val="00CF4993"/>
    <w:rsid w:val="00CF49A2"/>
    <w:rsid w:val="00CF49EF"/>
    <w:rsid w:val="00CF4A37"/>
    <w:rsid w:val="00CF4A39"/>
    <w:rsid w:val="00CF4A5F"/>
    <w:rsid w:val="00CF4A68"/>
    <w:rsid w:val="00CF4ACA"/>
    <w:rsid w:val="00CF4ACD"/>
    <w:rsid w:val="00CF4ADF"/>
    <w:rsid w:val="00CF4AEE"/>
    <w:rsid w:val="00CF4AFD"/>
    <w:rsid w:val="00CF4AFF"/>
    <w:rsid w:val="00CF4B2F"/>
    <w:rsid w:val="00CF4B37"/>
    <w:rsid w:val="00CF4B3B"/>
    <w:rsid w:val="00CF4B50"/>
    <w:rsid w:val="00CF4B5B"/>
    <w:rsid w:val="00CF4B60"/>
    <w:rsid w:val="00CF4B65"/>
    <w:rsid w:val="00CF4B71"/>
    <w:rsid w:val="00CF4BB5"/>
    <w:rsid w:val="00CF4BD0"/>
    <w:rsid w:val="00CF4BD4"/>
    <w:rsid w:val="00CF4C58"/>
    <w:rsid w:val="00CF4C6F"/>
    <w:rsid w:val="00CF4C75"/>
    <w:rsid w:val="00CF4CAB"/>
    <w:rsid w:val="00CF4D70"/>
    <w:rsid w:val="00CF4DDD"/>
    <w:rsid w:val="00CF4E04"/>
    <w:rsid w:val="00CF4E16"/>
    <w:rsid w:val="00CF4E2B"/>
    <w:rsid w:val="00CF4E36"/>
    <w:rsid w:val="00CF4E87"/>
    <w:rsid w:val="00CF4EA8"/>
    <w:rsid w:val="00CF4EAA"/>
    <w:rsid w:val="00CF4ED3"/>
    <w:rsid w:val="00CF4EF0"/>
    <w:rsid w:val="00CF4F51"/>
    <w:rsid w:val="00CF4F52"/>
    <w:rsid w:val="00CF4F72"/>
    <w:rsid w:val="00CF4F91"/>
    <w:rsid w:val="00CF5040"/>
    <w:rsid w:val="00CF5046"/>
    <w:rsid w:val="00CF504E"/>
    <w:rsid w:val="00CF5059"/>
    <w:rsid w:val="00CF5087"/>
    <w:rsid w:val="00CF50E2"/>
    <w:rsid w:val="00CF511E"/>
    <w:rsid w:val="00CF5133"/>
    <w:rsid w:val="00CF5138"/>
    <w:rsid w:val="00CF5142"/>
    <w:rsid w:val="00CF514A"/>
    <w:rsid w:val="00CF5294"/>
    <w:rsid w:val="00CF52E4"/>
    <w:rsid w:val="00CF52F8"/>
    <w:rsid w:val="00CF5300"/>
    <w:rsid w:val="00CF536C"/>
    <w:rsid w:val="00CF5385"/>
    <w:rsid w:val="00CF538E"/>
    <w:rsid w:val="00CF53AA"/>
    <w:rsid w:val="00CF53E5"/>
    <w:rsid w:val="00CF5415"/>
    <w:rsid w:val="00CF541D"/>
    <w:rsid w:val="00CF5438"/>
    <w:rsid w:val="00CF5450"/>
    <w:rsid w:val="00CF5452"/>
    <w:rsid w:val="00CF54B4"/>
    <w:rsid w:val="00CF54BE"/>
    <w:rsid w:val="00CF54F8"/>
    <w:rsid w:val="00CF5533"/>
    <w:rsid w:val="00CF554F"/>
    <w:rsid w:val="00CF556E"/>
    <w:rsid w:val="00CF5592"/>
    <w:rsid w:val="00CF55A0"/>
    <w:rsid w:val="00CF55AE"/>
    <w:rsid w:val="00CF56A3"/>
    <w:rsid w:val="00CF56E1"/>
    <w:rsid w:val="00CF56E8"/>
    <w:rsid w:val="00CF56F5"/>
    <w:rsid w:val="00CF57BB"/>
    <w:rsid w:val="00CF57E4"/>
    <w:rsid w:val="00CF582D"/>
    <w:rsid w:val="00CF582F"/>
    <w:rsid w:val="00CF58B7"/>
    <w:rsid w:val="00CF59D9"/>
    <w:rsid w:val="00CF59DE"/>
    <w:rsid w:val="00CF5A2D"/>
    <w:rsid w:val="00CF5A34"/>
    <w:rsid w:val="00CF5A9B"/>
    <w:rsid w:val="00CF5B05"/>
    <w:rsid w:val="00CF5B3D"/>
    <w:rsid w:val="00CF5B48"/>
    <w:rsid w:val="00CF5B53"/>
    <w:rsid w:val="00CF5BA1"/>
    <w:rsid w:val="00CF5C34"/>
    <w:rsid w:val="00CF5C62"/>
    <w:rsid w:val="00CF5C8E"/>
    <w:rsid w:val="00CF5C9B"/>
    <w:rsid w:val="00CF5CCE"/>
    <w:rsid w:val="00CF5CF9"/>
    <w:rsid w:val="00CF5D59"/>
    <w:rsid w:val="00CF5D5D"/>
    <w:rsid w:val="00CF5D6F"/>
    <w:rsid w:val="00CF5DD0"/>
    <w:rsid w:val="00CF5ED2"/>
    <w:rsid w:val="00CF5EF5"/>
    <w:rsid w:val="00CF5EFD"/>
    <w:rsid w:val="00CF5F06"/>
    <w:rsid w:val="00CF5F27"/>
    <w:rsid w:val="00CF5FA4"/>
    <w:rsid w:val="00CF5FAA"/>
    <w:rsid w:val="00CF5FC4"/>
    <w:rsid w:val="00CF5FD7"/>
    <w:rsid w:val="00CF5FF1"/>
    <w:rsid w:val="00CF601E"/>
    <w:rsid w:val="00CF6058"/>
    <w:rsid w:val="00CF6083"/>
    <w:rsid w:val="00CF60B9"/>
    <w:rsid w:val="00CF60F0"/>
    <w:rsid w:val="00CF60FB"/>
    <w:rsid w:val="00CF60FE"/>
    <w:rsid w:val="00CF6115"/>
    <w:rsid w:val="00CF6165"/>
    <w:rsid w:val="00CF619B"/>
    <w:rsid w:val="00CF6254"/>
    <w:rsid w:val="00CF6267"/>
    <w:rsid w:val="00CF6286"/>
    <w:rsid w:val="00CF62D7"/>
    <w:rsid w:val="00CF6382"/>
    <w:rsid w:val="00CF639E"/>
    <w:rsid w:val="00CF63E2"/>
    <w:rsid w:val="00CF63F8"/>
    <w:rsid w:val="00CF6417"/>
    <w:rsid w:val="00CF6425"/>
    <w:rsid w:val="00CF6431"/>
    <w:rsid w:val="00CF649E"/>
    <w:rsid w:val="00CF64BA"/>
    <w:rsid w:val="00CF64CF"/>
    <w:rsid w:val="00CF64F3"/>
    <w:rsid w:val="00CF6524"/>
    <w:rsid w:val="00CF6537"/>
    <w:rsid w:val="00CF6575"/>
    <w:rsid w:val="00CF65C6"/>
    <w:rsid w:val="00CF65EB"/>
    <w:rsid w:val="00CF65FC"/>
    <w:rsid w:val="00CF669E"/>
    <w:rsid w:val="00CF66A1"/>
    <w:rsid w:val="00CF66B2"/>
    <w:rsid w:val="00CF6702"/>
    <w:rsid w:val="00CF6729"/>
    <w:rsid w:val="00CF674A"/>
    <w:rsid w:val="00CF6765"/>
    <w:rsid w:val="00CF67B9"/>
    <w:rsid w:val="00CF6858"/>
    <w:rsid w:val="00CF685F"/>
    <w:rsid w:val="00CF68B5"/>
    <w:rsid w:val="00CF68DE"/>
    <w:rsid w:val="00CF6907"/>
    <w:rsid w:val="00CF6987"/>
    <w:rsid w:val="00CF6991"/>
    <w:rsid w:val="00CF69B8"/>
    <w:rsid w:val="00CF69E2"/>
    <w:rsid w:val="00CF69F5"/>
    <w:rsid w:val="00CF6A08"/>
    <w:rsid w:val="00CF6A3D"/>
    <w:rsid w:val="00CF6B33"/>
    <w:rsid w:val="00CF6B40"/>
    <w:rsid w:val="00CF6B87"/>
    <w:rsid w:val="00CF6BC7"/>
    <w:rsid w:val="00CF6BD4"/>
    <w:rsid w:val="00CF6C3A"/>
    <w:rsid w:val="00CF6C67"/>
    <w:rsid w:val="00CF6C81"/>
    <w:rsid w:val="00CF6CC3"/>
    <w:rsid w:val="00CF6CEE"/>
    <w:rsid w:val="00CF6D13"/>
    <w:rsid w:val="00CF6D17"/>
    <w:rsid w:val="00CF6DD2"/>
    <w:rsid w:val="00CF6E35"/>
    <w:rsid w:val="00CF6E77"/>
    <w:rsid w:val="00CF6EB3"/>
    <w:rsid w:val="00CF6FA2"/>
    <w:rsid w:val="00CF6FEC"/>
    <w:rsid w:val="00CF7010"/>
    <w:rsid w:val="00CF702F"/>
    <w:rsid w:val="00CF703A"/>
    <w:rsid w:val="00CF705D"/>
    <w:rsid w:val="00CF708A"/>
    <w:rsid w:val="00CF7134"/>
    <w:rsid w:val="00CF7142"/>
    <w:rsid w:val="00CF714E"/>
    <w:rsid w:val="00CF718E"/>
    <w:rsid w:val="00CF71BD"/>
    <w:rsid w:val="00CF71E6"/>
    <w:rsid w:val="00CF71FA"/>
    <w:rsid w:val="00CF7213"/>
    <w:rsid w:val="00CF7250"/>
    <w:rsid w:val="00CF725E"/>
    <w:rsid w:val="00CF7293"/>
    <w:rsid w:val="00CF72E3"/>
    <w:rsid w:val="00CF7302"/>
    <w:rsid w:val="00CF7310"/>
    <w:rsid w:val="00CF7321"/>
    <w:rsid w:val="00CF7326"/>
    <w:rsid w:val="00CF7369"/>
    <w:rsid w:val="00CF736C"/>
    <w:rsid w:val="00CF738F"/>
    <w:rsid w:val="00CF73FA"/>
    <w:rsid w:val="00CF7400"/>
    <w:rsid w:val="00CF7418"/>
    <w:rsid w:val="00CF744C"/>
    <w:rsid w:val="00CF7470"/>
    <w:rsid w:val="00CF747E"/>
    <w:rsid w:val="00CF752C"/>
    <w:rsid w:val="00CF7531"/>
    <w:rsid w:val="00CF75A9"/>
    <w:rsid w:val="00CF764D"/>
    <w:rsid w:val="00CF76CA"/>
    <w:rsid w:val="00CF76E2"/>
    <w:rsid w:val="00CF76EF"/>
    <w:rsid w:val="00CF7708"/>
    <w:rsid w:val="00CF771D"/>
    <w:rsid w:val="00CF773C"/>
    <w:rsid w:val="00CF7741"/>
    <w:rsid w:val="00CF7761"/>
    <w:rsid w:val="00CF778D"/>
    <w:rsid w:val="00CF77A6"/>
    <w:rsid w:val="00CF77C6"/>
    <w:rsid w:val="00CF785F"/>
    <w:rsid w:val="00CF7873"/>
    <w:rsid w:val="00CF78B3"/>
    <w:rsid w:val="00CF78BD"/>
    <w:rsid w:val="00CF791D"/>
    <w:rsid w:val="00CF79E2"/>
    <w:rsid w:val="00CF7A1C"/>
    <w:rsid w:val="00CF7A76"/>
    <w:rsid w:val="00CF7A7D"/>
    <w:rsid w:val="00CF7A9C"/>
    <w:rsid w:val="00CF7AAC"/>
    <w:rsid w:val="00CF7ADC"/>
    <w:rsid w:val="00CF7B84"/>
    <w:rsid w:val="00CF7B9F"/>
    <w:rsid w:val="00CF7BDC"/>
    <w:rsid w:val="00CF7BFF"/>
    <w:rsid w:val="00CF7C21"/>
    <w:rsid w:val="00CF7C33"/>
    <w:rsid w:val="00CF7C3C"/>
    <w:rsid w:val="00CF7CAE"/>
    <w:rsid w:val="00CF7D37"/>
    <w:rsid w:val="00CF7D4B"/>
    <w:rsid w:val="00CF7D8D"/>
    <w:rsid w:val="00CF7DC3"/>
    <w:rsid w:val="00CF7DFD"/>
    <w:rsid w:val="00CF7E6D"/>
    <w:rsid w:val="00CF7EA6"/>
    <w:rsid w:val="00CF7EC4"/>
    <w:rsid w:val="00CF7F08"/>
    <w:rsid w:val="00CF7F18"/>
    <w:rsid w:val="00CF7F47"/>
    <w:rsid w:val="00CF7FBC"/>
    <w:rsid w:val="00D00011"/>
    <w:rsid w:val="00D00085"/>
    <w:rsid w:val="00D00110"/>
    <w:rsid w:val="00D00113"/>
    <w:rsid w:val="00D00157"/>
    <w:rsid w:val="00D0015A"/>
    <w:rsid w:val="00D0015F"/>
    <w:rsid w:val="00D0016A"/>
    <w:rsid w:val="00D0019E"/>
    <w:rsid w:val="00D001D9"/>
    <w:rsid w:val="00D001E5"/>
    <w:rsid w:val="00D001E7"/>
    <w:rsid w:val="00D00209"/>
    <w:rsid w:val="00D0020D"/>
    <w:rsid w:val="00D0023D"/>
    <w:rsid w:val="00D00284"/>
    <w:rsid w:val="00D00289"/>
    <w:rsid w:val="00D002C4"/>
    <w:rsid w:val="00D002CA"/>
    <w:rsid w:val="00D002E0"/>
    <w:rsid w:val="00D002EA"/>
    <w:rsid w:val="00D0030C"/>
    <w:rsid w:val="00D00349"/>
    <w:rsid w:val="00D0035A"/>
    <w:rsid w:val="00D003D4"/>
    <w:rsid w:val="00D00408"/>
    <w:rsid w:val="00D00449"/>
    <w:rsid w:val="00D0046C"/>
    <w:rsid w:val="00D004C1"/>
    <w:rsid w:val="00D00555"/>
    <w:rsid w:val="00D00557"/>
    <w:rsid w:val="00D0055B"/>
    <w:rsid w:val="00D0055F"/>
    <w:rsid w:val="00D00681"/>
    <w:rsid w:val="00D0069F"/>
    <w:rsid w:val="00D006AE"/>
    <w:rsid w:val="00D007A5"/>
    <w:rsid w:val="00D007D6"/>
    <w:rsid w:val="00D007FF"/>
    <w:rsid w:val="00D008A9"/>
    <w:rsid w:val="00D008AB"/>
    <w:rsid w:val="00D008C4"/>
    <w:rsid w:val="00D00901"/>
    <w:rsid w:val="00D00904"/>
    <w:rsid w:val="00D00937"/>
    <w:rsid w:val="00D0094B"/>
    <w:rsid w:val="00D00985"/>
    <w:rsid w:val="00D009BD"/>
    <w:rsid w:val="00D009E8"/>
    <w:rsid w:val="00D009EE"/>
    <w:rsid w:val="00D00A50"/>
    <w:rsid w:val="00D00A96"/>
    <w:rsid w:val="00D00B5B"/>
    <w:rsid w:val="00D00B91"/>
    <w:rsid w:val="00D00BB6"/>
    <w:rsid w:val="00D00BC4"/>
    <w:rsid w:val="00D00C32"/>
    <w:rsid w:val="00D00C4B"/>
    <w:rsid w:val="00D00CC3"/>
    <w:rsid w:val="00D00D06"/>
    <w:rsid w:val="00D00D3A"/>
    <w:rsid w:val="00D00D52"/>
    <w:rsid w:val="00D00DD5"/>
    <w:rsid w:val="00D00DE5"/>
    <w:rsid w:val="00D00E3A"/>
    <w:rsid w:val="00D00E8C"/>
    <w:rsid w:val="00D00EE9"/>
    <w:rsid w:val="00D00EF6"/>
    <w:rsid w:val="00D00F2D"/>
    <w:rsid w:val="00D00F34"/>
    <w:rsid w:val="00D00FB3"/>
    <w:rsid w:val="00D0107A"/>
    <w:rsid w:val="00D01084"/>
    <w:rsid w:val="00D01093"/>
    <w:rsid w:val="00D010A2"/>
    <w:rsid w:val="00D010C7"/>
    <w:rsid w:val="00D010E7"/>
    <w:rsid w:val="00D01163"/>
    <w:rsid w:val="00D0117B"/>
    <w:rsid w:val="00D01188"/>
    <w:rsid w:val="00D01199"/>
    <w:rsid w:val="00D011A8"/>
    <w:rsid w:val="00D011B5"/>
    <w:rsid w:val="00D011EB"/>
    <w:rsid w:val="00D01237"/>
    <w:rsid w:val="00D01258"/>
    <w:rsid w:val="00D01284"/>
    <w:rsid w:val="00D0128A"/>
    <w:rsid w:val="00D012F5"/>
    <w:rsid w:val="00D01321"/>
    <w:rsid w:val="00D01326"/>
    <w:rsid w:val="00D0136F"/>
    <w:rsid w:val="00D0139B"/>
    <w:rsid w:val="00D013EB"/>
    <w:rsid w:val="00D01403"/>
    <w:rsid w:val="00D0143F"/>
    <w:rsid w:val="00D014B8"/>
    <w:rsid w:val="00D0151E"/>
    <w:rsid w:val="00D015C7"/>
    <w:rsid w:val="00D01655"/>
    <w:rsid w:val="00D01690"/>
    <w:rsid w:val="00D016A8"/>
    <w:rsid w:val="00D016E9"/>
    <w:rsid w:val="00D017B9"/>
    <w:rsid w:val="00D017C4"/>
    <w:rsid w:val="00D0183D"/>
    <w:rsid w:val="00D01841"/>
    <w:rsid w:val="00D018A5"/>
    <w:rsid w:val="00D018B3"/>
    <w:rsid w:val="00D018FA"/>
    <w:rsid w:val="00D01937"/>
    <w:rsid w:val="00D01951"/>
    <w:rsid w:val="00D01964"/>
    <w:rsid w:val="00D01976"/>
    <w:rsid w:val="00D019B6"/>
    <w:rsid w:val="00D019E3"/>
    <w:rsid w:val="00D019F3"/>
    <w:rsid w:val="00D01A66"/>
    <w:rsid w:val="00D01A71"/>
    <w:rsid w:val="00D01A85"/>
    <w:rsid w:val="00D01AD8"/>
    <w:rsid w:val="00D01B49"/>
    <w:rsid w:val="00D01B5C"/>
    <w:rsid w:val="00D01BA4"/>
    <w:rsid w:val="00D01BBC"/>
    <w:rsid w:val="00D01C39"/>
    <w:rsid w:val="00D01D10"/>
    <w:rsid w:val="00D01D14"/>
    <w:rsid w:val="00D01D23"/>
    <w:rsid w:val="00D01D27"/>
    <w:rsid w:val="00D01DA0"/>
    <w:rsid w:val="00D01DB9"/>
    <w:rsid w:val="00D01E34"/>
    <w:rsid w:val="00D01E88"/>
    <w:rsid w:val="00D01F4B"/>
    <w:rsid w:val="00D01F70"/>
    <w:rsid w:val="00D01FAF"/>
    <w:rsid w:val="00D0200E"/>
    <w:rsid w:val="00D02027"/>
    <w:rsid w:val="00D02062"/>
    <w:rsid w:val="00D020AE"/>
    <w:rsid w:val="00D020B3"/>
    <w:rsid w:val="00D020E9"/>
    <w:rsid w:val="00D02119"/>
    <w:rsid w:val="00D0211E"/>
    <w:rsid w:val="00D02142"/>
    <w:rsid w:val="00D02144"/>
    <w:rsid w:val="00D02177"/>
    <w:rsid w:val="00D021C4"/>
    <w:rsid w:val="00D021E0"/>
    <w:rsid w:val="00D021FD"/>
    <w:rsid w:val="00D0225C"/>
    <w:rsid w:val="00D02291"/>
    <w:rsid w:val="00D02298"/>
    <w:rsid w:val="00D022C0"/>
    <w:rsid w:val="00D02346"/>
    <w:rsid w:val="00D02349"/>
    <w:rsid w:val="00D023CC"/>
    <w:rsid w:val="00D023EA"/>
    <w:rsid w:val="00D024B4"/>
    <w:rsid w:val="00D024FE"/>
    <w:rsid w:val="00D0251C"/>
    <w:rsid w:val="00D0251F"/>
    <w:rsid w:val="00D02563"/>
    <w:rsid w:val="00D02599"/>
    <w:rsid w:val="00D025AA"/>
    <w:rsid w:val="00D025CF"/>
    <w:rsid w:val="00D025DA"/>
    <w:rsid w:val="00D025EC"/>
    <w:rsid w:val="00D02612"/>
    <w:rsid w:val="00D02628"/>
    <w:rsid w:val="00D0263B"/>
    <w:rsid w:val="00D02684"/>
    <w:rsid w:val="00D026CB"/>
    <w:rsid w:val="00D026F3"/>
    <w:rsid w:val="00D026FB"/>
    <w:rsid w:val="00D02716"/>
    <w:rsid w:val="00D0273B"/>
    <w:rsid w:val="00D0277A"/>
    <w:rsid w:val="00D0277F"/>
    <w:rsid w:val="00D027D5"/>
    <w:rsid w:val="00D02897"/>
    <w:rsid w:val="00D02919"/>
    <w:rsid w:val="00D02930"/>
    <w:rsid w:val="00D0297B"/>
    <w:rsid w:val="00D02991"/>
    <w:rsid w:val="00D029A7"/>
    <w:rsid w:val="00D029B9"/>
    <w:rsid w:val="00D02A1F"/>
    <w:rsid w:val="00D02A60"/>
    <w:rsid w:val="00D02A93"/>
    <w:rsid w:val="00D02A9F"/>
    <w:rsid w:val="00D02B2D"/>
    <w:rsid w:val="00D02B92"/>
    <w:rsid w:val="00D02BFA"/>
    <w:rsid w:val="00D02C07"/>
    <w:rsid w:val="00D02C2E"/>
    <w:rsid w:val="00D02C48"/>
    <w:rsid w:val="00D02C98"/>
    <w:rsid w:val="00D02CB5"/>
    <w:rsid w:val="00D02D0E"/>
    <w:rsid w:val="00D02D21"/>
    <w:rsid w:val="00D02D8D"/>
    <w:rsid w:val="00D02DDB"/>
    <w:rsid w:val="00D02DE1"/>
    <w:rsid w:val="00D02E19"/>
    <w:rsid w:val="00D02E27"/>
    <w:rsid w:val="00D02EA4"/>
    <w:rsid w:val="00D02EBD"/>
    <w:rsid w:val="00D02EE3"/>
    <w:rsid w:val="00D02FCB"/>
    <w:rsid w:val="00D02FFF"/>
    <w:rsid w:val="00D03041"/>
    <w:rsid w:val="00D03075"/>
    <w:rsid w:val="00D030A5"/>
    <w:rsid w:val="00D030C9"/>
    <w:rsid w:val="00D03123"/>
    <w:rsid w:val="00D03150"/>
    <w:rsid w:val="00D0315C"/>
    <w:rsid w:val="00D0316A"/>
    <w:rsid w:val="00D03171"/>
    <w:rsid w:val="00D03178"/>
    <w:rsid w:val="00D03248"/>
    <w:rsid w:val="00D03261"/>
    <w:rsid w:val="00D033F6"/>
    <w:rsid w:val="00D03402"/>
    <w:rsid w:val="00D0340E"/>
    <w:rsid w:val="00D03477"/>
    <w:rsid w:val="00D034D3"/>
    <w:rsid w:val="00D034E9"/>
    <w:rsid w:val="00D0352B"/>
    <w:rsid w:val="00D03537"/>
    <w:rsid w:val="00D035C6"/>
    <w:rsid w:val="00D035C7"/>
    <w:rsid w:val="00D03637"/>
    <w:rsid w:val="00D03647"/>
    <w:rsid w:val="00D03671"/>
    <w:rsid w:val="00D03693"/>
    <w:rsid w:val="00D0369F"/>
    <w:rsid w:val="00D036FB"/>
    <w:rsid w:val="00D03707"/>
    <w:rsid w:val="00D03715"/>
    <w:rsid w:val="00D0375B"/>
    <w:rsid w:val="00D03792"/>
    <w:rsid w:val="00D037DF"/>
    <w:rsid w:val="00D03838"/>
    <w:rsid w:val="00D0384B"/>
    <w:rsid w:val="00D0387A"/>
    <w:rsid w:val="00D038FF"/>
    <w:rsid w:val="00D03979"/>
    <w:rsid w:val="00D039FE"/>
    <w:rsid w:val="00D03A51"/>
    <w:rsid w:val="00D03AF4"/>
    <w:rsid w:val="00D03AF5"/>
    <w:rsid w:val="00D03B2C"/>
    <w:rsid w:val="00D03B5C"/>
    <w:rsid w:val="00D03B93"/>
    <w:rsid w:val="00D03BBC"/>
    <w:rsid w:val="00D03BD9"/>
    <w:rsid w:val="00D03C1D"/>
    <w:rsid w:val="00D03C59"/>
    <w:rsid w:val="00D03C6F"/>
    <w:rsid w:val="00D03CC0"/>
    <w:rsid w:val="00D03CCF"/>
    <w:rsid w:val="00D03CEF"/>
    <w:rsid w:val="00D03CFB"/>
    <w:rsid w:val="00D03D06"/>
    <w:rsid w:val="00D03D33"/>
    <w:rsid w:val="00D03D55"/>
    <w:rsid w:val="00D03D68"/>
    <w:rsid w:val="00D03DA8"/>
    <w:rsid w:val="00D03DCB"/>
    <w:rsid w:val="00D03DF9"/>
    <w:rsid w:val="00D03DFE"/>
    <w:rsid w:val="00D03E15"/>
    <w:rsid w:val="00D03E33"/>
    <w:rsid w:val="00D03E43"/>
    <w:rsid w:val="00D03E46"/>
    <w:rsid w:val="00D03E69"/>
    <w:rsid w:val="00D03E78"/>
    <w:rsid w:val="00D03F20"/>
    <w:rsid w:val="00D03F32"/>
    <w:rsid w:val="00D03F6F"/>
    <w:rsid w:val="00D04004"/>
    <w:rsid w:val="00D0400C"/>
    <w:rsid w:val="00D04010"/>
    <w:rsid w:val="00D04016"/>
    <w:rsid w:val="00D04052"/>
    <w:rsid w:val="00D04071"/>
    <w:rsid w:val="00D040B2"/>
    <w:rsid w:val="00D040E4"/>
    <w:rsid w:val="00D0411F"/>
    <w:rsid w:val="00D0414A"/>
    <w:rsid w:val="00D04153"/>
    <w:rsid w:val="00D04162"/>
    <w:rsid w:val="00D041D9"/>
    <w:rsid w:val="00D0420A"/>
    <w:rsid w:val="00D042E5"/>
    <w:rsid w:val="00D04370"/>
    <w:rsid w:val="00D0437D"/>
    <w:rsid w:val="00D043B6"/>
    <w:rsid w:val="00D043C1"/>
    <w:rsid w:val="00D043C8"/>
    <w:rsid w:val="00D043E7"/>
    <w:rsid w:val="00D043F1"/>
    <w:rsid w:val="00D04439"/>
    <w:rsid w:val="00D04454"/>
    <w:rsid w:val="00D04465"/>
    <w:rsid w:val="00D0448F"/>
    <w:rsid w:val="00D044C3"/>
    <w:rsid w:val="00D04507"/>
    <w:rsid w:val="00D04509"/>
    <w:rsid w:val="00D045B8"/>
    <w:rsid w:val="00D0461F"/>
    <w:rsid w:val="00D0468B"/>
    <w:rsid w:val="00D046BA"/>
    <w:rsid w:val="00D04775"/>
    <w:rsid w:val="00D047A6"/>
    <w:rsid w:val="00D0480D"/>
    <w:rsid w:val="00D0488B"/>
    <w:rsid w:val="00D048C8"/>
    <w:rsid w:val="00D048E2"/>
    <w:rsid w:val="00D048EA"/>
    <w:rsid w:val="00D04900"/>
    <w:rsid w:val="00D04952"/>
    <w:rsid w:val="00D049D0"/>
    <w:rsid w:val="00D04A04"/>
    <w:rsid w:val="00D04A0B"/>
    <w:rsid w:val="00D04A71"/>
    <w:rsid w:val="00D04A88"/>
    <w:rsid w:val="00D04AE6"/>
    <w:rsid w:val="00D04AF0"/>
    <w:rsid w:val="00D04B2A"/>
    <w:rsid w:val="00D04B81"/>
    <w:rsid w:val="00D04B83"/>
    <w:rsid w:val="00D04BF0"/>
    <w:rsid w:val="00D04C18"/>
    <w:rsid w:val="00D04C88"/>
    <w:rsid w:val="00D04D22"/>
    <w:rsid w:val="00D04D61"/>
    <w:rsid w:val="00D04D66"/>
    <w:rsid w:val="00D04D68"/>
    <w:rsid w:val="00D04D95"/>
    <w:rsid w:val="00D04DCF"/>
    <w:rsid w:val="00D04DFC"/>
    <w:rsid w:val="00D04E0E"/>
    <w:rsid w:val="00D04E7B"/>
    <w:rsid w:val="00D04E81"/>
    <w:rsid w:val="00D04F5A"/>
    <w:rsid w:val="00D04F67"/>
    <w:rsid w:val="00D04F7B"/>
    <w:rsid w:val="00D04F89"/>
    <w:rsid w:val="00D04F9C"/>
    <w:rsid w:val="00D04FC3"/>
    <w:rsid w:val="00D04FC5"/>
    <w:rsid w:val="00D05008"/>
    <w:rsid w:val="00D05061"/>
    <w:rsid w:val="00D0509C"/>
    <w:rsid w:val="00D050CA"/>
    <w:rsid w:val="00D050E9"/>
    <w:rsid w:val="00D050FF"/>
    <w:rsid w:val="00D0515C"/>
    <w:rsid w:val="00D05166"/>
    <w:rsid w:val="00D0516B"/>
    <w:rsid w:val="00D051B7"/>
    <w:rsid w:val="00D051BC"/>
    <w:rsid w:val="00D051C7"/>
    <w:rsid w:val="00D051E2"/>
    <w:rsid w:val="00D0524A"/>
    <w:rsid w:val="00D05257"/>
    <w:rsid w:val="00D05264"/>
    <w:rsid w:val="00D0526E"/>
    <w:rsid w:val="00D0527E"/>
    <w:rsid w:val="00D0533E"/>
    <w:rsid w:val="00D05371"/>
    <w:rsid w:val="00D05399"/>
    <w:rsid w:val="00D053C0"/>
    <w:rsid w:val="00D05407"/>
    <w:rsid w:val="00D05446"/>
    <w:rsid w:val="00D05449"/>
    <w:rsid w:val="00D05469"/>
    <w:rsid w:val="00D05479"/>
    <w:rsid w:val="00D054D0"/>
    <w:rsid w:val="00D05503"/>
    <w:rsid w:val="00D05519"/>
    <w:rsid w:val="00D0551B"/>
    <w:rsid w:val="00D05524"/>
    <w:rsid w:val="00D05526"/>
    <w:rsid w:val="00D05532"/>
    <w:rsid w:val="00D0553D"/>
    <w:rsid w:val="00D0556B"/>
    <w:rsid w:val="00D05578"/>
    <w:rsid w:val="00D055D3"/>
    <w:rsid w:val="00D055DE"/>
    <w:rsid w:val="00D055EA"/>
    <w:rsid w:val="00D055FF"/>
    <w:rsid w:val="00D0565E"/>
    <w:rsid w:val="00D05747"/>
    <w:rsid w:val="00D05760"/>
    <w:rsid w:val="00D0576B"/>
    <w:rsid w:val="00D057BA"/>
    <w:rsid w:val="00D057CC"/>
    <w:rsid w:val="00D057F9"/>
    <w:rsid w:val="00D0587F"/>
    <w:rsid w:val="00D05884"/>
    <w:rsid w:val="00D058C4"/>
    <w:rsid w:val="00D058DE"/>
    <w:rsid w:val="00D05956"/>
    <w:rsid w:val="00D0598F"/>
    <w:rsid w:val="00D059B5"/>
    <w:rsid w:val="00D059C7"/>
    <w:rsid w:val="00D059CA"/>
    <w:rsid w:val="00D05A08"/>
    <w:rsid w:val="00D05A34"/>
    <w:rsid w:val="00D05AA9"/>
    <w:rsid w:val="00D05AD7"/>
    <w:rsid w:val="00D05AE4"/>
    <w:rsid w:val="00D05B07"/>
    <w:rsid w:val="00D05B45"/>
    <w:rsid w:val="00D05BA9"/>
    <w:rsid w:val="00D05BB8"/>
    <w:rsid w:val="00D05C21"/>
    <w:rsid w:val="00D05C82"/>
    <w:rsid w:val="00D05C9E"/>
    <w:rsid w:val="00D05CC0"/>
    <w:rsid w:val="00D05CF2"/>
    <w:rsid w:val="00D05D4D"/>
    <w:rsid w:val="00D05DBE"/>
    <w:rsid w:val="00D05E9B"/>
    <w:rsid w:val="00D05EF6"/>
    <w:rsid w:val="00D05F17"/>
    <w:rsid w:val="00D05FB5"/>
    <w:rsid w:val="00D05FC7"/>
    <w:rsid w:val="00D0602A"/>
    <w:rsid w:val="00D0607B"/>
    <w:rsid w:val="00D06112"/>
    <w:rsid w:val="00D06114"/>
    <w:rsid w:val="00D06132"/>
    <w:rsid w:val="00D06166"/>
    <w:rsid w:val="00D0616F"/>
    <w:rsid w:val="00D0618C"/>
    <w:rsid w:val="00D061BB"/>
    <w:rsid w:val="00D061FA"/>
    <w:rsid w:val="00D0621B"/>
    <w:rsid w:val="00D0625A"/>
    <w:rsid w:val="00D06296"/>
    <w:rsid w:val="00D062BD"/>
    <w:rsid w:val="00D062FE"/>
    <w:rsid w:val="00D06305"/>
    <w:rsid w:val="00D06360"/>
    <w:rsid w:val="00D0638B"/>
    <w:rsid w:val="00D0638C"/>
    <w:rsid w:val="00D063F2"/>
    <w:rsid w:val="00D063F5"/>
    <w:rsid w:val="00D06426"/>
    <w:rsid w:val="00D0648C"/>
    <w:rsid w:val="00D064DF"/>
    <w:rsid w:val="00D06530"/>
    <w:rsid w:val="00D0654E"/>
    <w:rsid w:val="00D0656C"/>
    <w:rsid w:val="00D0657A"/>
    <w:rsid w:val="00D065A1"/>
    <w:rsid w:val="00D065D1"/>
    <w:rsid w:val="00D065E5"/>
    <w:rsid w:val="00D065EF"/>
    <w:rsid w:val="00D06647"/>
    <w:rsid w:val="00D0666D"/>
    <w:rsid w:val="00D06698"/>
    <w:rsid w:val="00D066A7"/>
    <w:rsid w:val="00D06700"/>
    <w:rsid w:val="00D0672A"/>
    <w:rsid w:val="00D06790"/>
    <w:rsid w:val="00D067A6"/>
    <w:rsid w:val="00D067C0"/>
    <w:rsid w:val="00D067F5"/>
    <w:rsid w:val="00D0680E"/>
    <w:rsid w:val="00D06856"/>
    <w:rsid w:val="00D06941"/>
    <w:rsid w:val="00D069A7"/>
    <w:rsid w:val="00D069ED"/>
    <w:rsid w:val="00D06A01"/>
    <w:rsid w:val="00D06AF8"/>
    <w:rsid w:val="00D06B17"/>
    <w:rsid w:val="00D06B43"/>
    <w:rsid w:val="00D06B4D"/>
    <w:rsid w:val="00D06B58"/>
    <w:rsid w:val="00D06BEC"/>
    <w:rsid w:val="00D06BFD"/>
    <w:rsid w:val="00D06C6A"/>
    <w:rsid w:val="00D06C7C"/>
    <w:rsid w:val="00D06C82"/>
    <w:rsid w:val="00D06C8B"/>
    <w:rsid w:val="00D06C99"/>
    <w:rsid w:val="00D06CBA"/>
    <w:rsid w:val="00D06CD2"/>
    <w:rsid w:val="00D06D0A"/>
    <w:rsid w:val="00D06D21"/>
    <w:rsid w:val="00D06D2E"/>
    <w:rsid w:val="00D06D45"/>
    <w:rsid w:val="00D06D5E"/>
    <w:rsid w:val="00D06D79"/>
    <w:rsid w:val="00D06DFC"/>
    <w:rsid w:val="00D06E21"/>
    <w:rsid w:val="00D06E34"/>
    <w:rsid w:val="00D06E61"/>
    <w:rsid w:val="00D06E7B"/>
    <w:rsid w:val="00D06EFA"/>
    <w:rsid w:val="00D06F02"/>
    <w:rsid w:val="00D06F3C"/>
    <w:rsid w:val="00D06FB7"/>
    <w:rsid w:val="00D06FF3"/>
    <w:rsid w:val="00D07022"/>
    <w:rsid w:val="00D07089"/>
    <w:rsid w:val="00D070A1"/>
    <w:rsid w:val="00D070A4"/>
    <w:rsid w:val="00D070B6"/>
    <w:rsid w:val="00D07111"/>
    <w:rsid w:val="00D0714E"/>
    <w:rsid w:val="00D07197"/>
    <w:rsid w:val="00D07205"/>
    <w:rsid w:val="00D07259"/>
    <w:rsid w:val="00D0728A"/>
    <w:rsid w:val="00D072DE"/>
    <w:rsid w:val="00D072E1"/>
    <w:rsid w:val="00D07306"/>
    <w:rsid w:val="00D0730D"/>
    <w:rsid w:val="00D07379"/>
    <w:rsid w:val="00D073A4"/>
    <w:rsid w:val="00D073B9"/>
    <w:rsid w:val="00D074BE"/>
    <w:rsid w:val="00D07526"/>
    <w:rsid w:val="00D07565"/>
    <w:rsid w:val="00D07572"/>
    <w:rsid w:val="00D075FC"/>
    <w:rsid w:val="00D07647"/>
    <w:rsid w:val="00D076AB"/>
    <w:rsid w:val="00D076B7"/>
    <w:rsid w:val="00D077AB"/>
    <w:rsid w:val="00D07818"/>
    <w:rsid w:val="00D07829"/>
    <w:rsid w:val="00D07851"/>
    <w:rsid w:val="00D07872"/>
    <w:rsid w:val="00D07891"/>
    <w:rsid w:val="00D078B7"/>
    <w:rsid w:val="00D078C9"/>
    <w:rsid w:val="00D0791F"/>
    <w:rsid w:val="00D079C5"/>
    <w:rsid w:val="00D079EC"/>
    <w:rsid w:val="00D07A0E"/>
    <w:rsid w:val="00D07A6B"/>
    <w:rsid w:val="00D07AF2"/>
    <w:rsid w:val="00D07B1A"/>
    <w:rsid w:val="00D07B78"/>
    <w:rsid w:val="00D07B85"/>
    <w:rsid w:val="00D07B8A"/>
    <w:rsid w:val="00D07B9D"/>
    <w:rsid w:val="00D07BB0"/>
    <w:rsid w:val="00D07BCC"/>
    <w:rsid w:val="00D07BE2"/>
    <w:rsid w:val="00D07BE6"/>
    <w:rsid w:val="00D07C23"/>
    <w:rsid w:val="00D07C40"/>
    <w:rsid w:val="00D07C47"/>
    <w:rsid w:val="00D07CAE"/>
    <w:rsid w:val="00D07D8F"/>
    <w:rsid w:val="00D07DD4"/>
    <w:rsid w:val="00D07E07"/>
    <w:rsid w:val="00D07E2D"/>
    <w:rsid w:val="00D07E9E"/>
    <w:rsid w:val="00D07ECA"/>
    <w:rsid w:val="00D07F40"/>
    <w:rsid w:val="00D07F49"/>
    <w:rsid w:val="00D07F67"/>
    <w:rsid w:val="00D07F8D"/>
    <w:rsid w:val="00D07FBF"/>
    <w:rsid w:val="00D07FC4"/>
    <w:rsid w:val="00D07FDB"/>
    <w:rsid w:val="00D100A6"/>
    <w:rsid w:val="00D1012E"/>
    <w:rsid w:val="00D1013B"/>
    <w:rsid w:val="00D10163"/>
    <w:rsid w:val="00D101E5"/>
    <w:rsid w:val="00D1022A"/>
    <w:rsid w:val="00D1029C"/>
    <w:rsid w:val="00D10304"/>
    <w:rsid w:val="00D103E5"/>
    <w:rsid w:val="00D103ED"/>
    <w:rsid w:val="00D104AC"/>
    <w:rsid w:val="00D104BE"/>
    <w:rsid w:val="00D104EE"/>
    <w:rsid w:val="00D1050C"/>
    <w:rsid w:val="00D1050F"/>
    <w:rsid w:val="00D1053C"/>
    <w:rsid w:val="00D10584"/>
    <w:rsid w:val="00D105C8"/>
    <w:rsid w:val="00D105F1"/>
    <w:rsid w:val="00D10655"/>
    <w:rsid w:val="00D10662"/>
    <w:rsid w:val="00D10668"/>
    <w:rsid w:val="00D106F7"/>
    <w:rsid w:val="00D1070E"/>
    <w:rsid w:val="00D1071F"/>
    <w:rsid w:val="00D1075D"/>
    <w:rsid w:val="00D10774"/>
    <w:rsid w:val="00D10798"/>
    <w:rsid w:val="00D107B3"/>
    <w:rsid w:val="00D10826"/>
    <w:rsid w:val="00D10889"/>
    <w:rsid w:val="00D108A1"/>
    <w:rsid w:val="00D108AC"/>
    <w:rsid w:val="00D108EF"/>
    <w:rsid w:val="00D108F5"/>
    <w:rsid w:val="00D1090F"/>
    <w:rsid w:val="00D10912"/>
    <w:rsid w:val="00D10926"/>
    <w:rsid w:val="00D10929"/>
    <w:rsid w:val="00D1095B"/>
    <w:rsid w:val="00D10980"/>
    <w:rsid w:val="00D109B3"/>
    <w:rsid w:val="00D109B5"/>
    <w:rsid w:val="00D109D7"/>
    <w:rsid w:val="00D10A2D"/>
    <w:rsid w:val="00D10A4E"/>
    <w:rsid w:val="00D10A6D"/>
    <w:rsid w:val="00D10A7E"/>
    <w:rsid w:val="00D10A95"/>
    <w:rsid w:val="00D10AE3"/>
    <w:rsid w:val="00D10B0A"/>
    <w:rsid w:val="00D10B0C"/>
    <w:rsid w:val="00D10B2A"/>
    <w:rsid w:val="00D10B6E"/>
    <w:rsid w:val="00D10B87"/>
    <w:rsid w:val="00D10BA5"/>
    <w:rsid w:val="00D10BB4"/>
    <w:rsid w:val="00D10BD8"/>
    <w:rsid w:val="00D10C15"/>
    <w:rsid w:val="00D10C7A"/>
    <w:rsid w:val="00D10CAE"/>
    <w:rsid w:val="00D10D44"/>
    <w:rsid w:val="00D10D45"/>
    <w:rsid w:val="00D10D51"/>
    <w:rsid w:val="00D10D8D"/>
    <w:rsid w:val="00D10DBB"/>
    <w:rsid w:val="00D10E42"/>
    <w:rsid w:val="00D10E4D"/>
    <w:rsid w:val="00D10E68"/>
    <w:rsid w:val="00D10EEB"/>
    <w:rsid w:val="00D10EEE"/>
    <w:rsid w:val="00D10F04"/>
    <w:rsid w:val="00D10F0F"/>
    <w:rsid w:val="00D10F3B"/>
    <w:rsid w:val="00D10F4B"/>
    <w:rsid w:val="00D10F82"/>
    <w:rsid w:val="00D10F89"/>
    <w:rsid w:val="00D10FD9"/>
    <w:rsid w:val="00D10FF8"/>
    <w:rsid w:val="00D1101C"/>
    <w:rsid w:val="00D110AC"/>
    <w:rsid w:val="00D110D7"/>
    <w:rsid w:val="00D110DD"/>
    <w:rsid w:val="00D110E5"/>
    <w:rsid w:val="00D1110A"/>
    <w:rsid w:val="00D11112"/>
    <w:rsid w:val="00D11118"/>
    <w:rsid w:val="00D1112B"/>
    <w:rsid w:val="00D1115B"/>
    <w:rsid w:val="00D111C1"/>
    <w:rsid w:val="00D11242"/>
    <w:rsid w:val="00D1126D"/>
    <w:rsid w:val="00D11271"/>
    <w:rsid w:val="00D112C0"/>
    <w:rsid w:val="00D1130E"/>
    <w:rsid w:val="00D113BD"/>
    <w:rsid w:val="00D11422"/>
    <w:rsid w:val="00D11498"/>
    <w:rsid w:val="00D1149C"/>
    <w:rsid w:val="00D114EA"/>
    <w:rsid w:val="00D1153E"/>
    <w:rsid w:val="00D11599"/>
    <w:rsid w:val="00D1159C"/>
    <w:rsid w:val="00D115A8"/>
    <w:rsid w:val="00D115C9"/>
    <w:rsid w:val="00D11602"/>
    <w:rsid w:val="00D11658"/>
    <w:rsid w:val="00D11666"/>
    <w:rsid w:val="00D116C2"/>
    <w:rsid w:val="00D116DC"/>
    <w:rsid w:val="00D11755"/>
    <w:rsid w:val="00D1175F"/>
    <w:rsid w:val="00D11764"/>
    <w:rsid w:val="00D11775"/>
    <w:rsid w:val="00D117A1"/>
    <w:rsid w:val="00D117A7"/>
    <w:rsid w:val="00D117A8"/>
    <w:rsid w:val="00D117F6"/>
    <w:rsid w:val="00D11802"/>
    <w:rsid w:val="00D1180C"/>
    <w:rsid w:val="00D1180D"/>
    <w:rsid w:val="00D1181C"/>
    <w:rsid w:val="00D11865"/>
    <w:rsid w:val="00D11899"/>
    <w:rsid w:val="00D118A8"/>
    <w:rsid w:val="00D118DC"/>
    <w:rsid w:val="00D119B5"/>
    <w:rsid w:val="00D119CC"/>
    <w:rsid w:val="00D119DA"/>
    <w:rsid w:val="00D11A04"/>
    <w:rsid w:val="00D11A49"/>
    <w:rsid w:val="00D11A6C"/>
    <w:rsid w:val="00D11A95"/>
    <w:rsid w:val="00D11AB1"/>
    <w:rsid w:val="00D11AD5"/>
    <w:rsid w:val="00D11B18"/>
    <w:rsid w:val="00D11B7F"/>
    <w:rsid w:val="00D11BA8"/>
    <w:rsid w:val="00D11C6B"/>
    <w:rsid w:val="00D11C8E"/>
    <w:rsid w:val="00D11CB4"/>
    <w:rsid w:val="00D11CC6"/>
    <w:rsid w:val="00D11D00"/>
    <w:rsid w:val="00D11D20"/>
    <w:rsid w:val="00D11DB8"/>
    <w:rsid w:val="00D11DBA"/>
    <w:rsid w:val="00D11DE4"/>
    <w:rsid w:val="00D11E48"/>
    <w:rsid w:val="00D11E59"/>
    <w:rsid w:val="00D11F39"/>
    <w:rsid w:val="00D11F61"/>
    <w:rsid w:val="00D11F9F"/>
    <w:rsid w:val="00D1200B"/>
    <w:rsid w:val="00D12020"/>
    <w:rsid w:val="00D12050"/>
    <w:rsid w:val="00D120C7"/>
    <w:rsid w:val="00D12100"/>
    <w:rsid w:val="00D12129"/>
    <w:rsid w:val="00D12159"/>
    <w:rsid w:val="00D121DF"/>
    <w:rsid w:val="00D1226F"/>
    <w:rsid w:val="00D12286"/>
    <w:rsid w:val="00D12288"/>
    <w:rsid w:val="00D122C9"/>
    <w:rsid w:val="00D122D8"/>
    <w:rsid w:val="00D1231E"/>
    <w:rsid w:val="00D12389"/>
    <w:rsid w:val="00D123BA"/>
    <w:rsid w:val="00D123C0"/>
    <w:rsid w:val="00D12473"/>
    <w:rsid w:val="00D12486"/>
    <w:rsid w:val="00D12498"/>
    <w:rsid w:val="00D124BB"/>
    <w:rsid w:val="00D12571"/>
    <w:rsid w:val="00D1258F"/>
    <w:rsid w:val="00D1261E"/>
    <w:rsid w:val="00D12652"/>
    <w:rsid w:val="00D12672"/>
    <w:rsid w:val="00D12689"/>
    <w:rsid w:val="00D1268D"/>
    <w:rsid w:val="00D12693"/>
    <w:rsid w:val="00D126E3"/>
    <w:rsid w:val="00D1271E"/>
    <w:rsid w:val="00D12729"/>
    <w:rsid w:val="00D1277A"/>
    <w:rsid w:val="00D127CF"/>
    <w:rsid w:val="00D12821"/>
    <w:rsid w:val="00D1284A"/>
    <w:rsid w:val="00D12877"/>
    <w:rsid w:val="00D1289F"/>
    <w:rsid w:val="00D128B4"/>
    <w:rsid w:val="00D128CF"/>
    <w:rsid w:val="00D12937"/>
    <w:rsid w:val="00D1293D"/>
    <w:rsid w:val="00D12979"/>
    <w:rsid w:val="00D129B2"/>
    <w:rsid w:val="00D129CA"/>
    <w:rsid w:val="00D12A7D"/>
    <w:rsid w:val="00D12B2C"/>
    <w:rsid w:val="00D12B39"/>
    <w:rsid w:val="00D12B64"/>
    <w:rsid w:val="00D12B78"/>
    <w:rsid w:val="00D12B7A"/>
    <w:rsid w:val="00D12BB0"/>
    <w:rsid w:val="00D12C08"/>
    <w:rsid w:val="00D12C24"/>
    <w:rsid w:val="00D12CDB"/>
    <w:rsid w:val="00D12CE8"/>
    <w:rsid w:val="00D12CEA"/>
    <w:rsid w:val="00D12D02"/>
    <w:rsid w:val="00D12D58"/>
    <w:rsid w:val="00D12D80"/>
    <w:rsid w:val="00D12DCD"/>
    <w:rsid w:val="00D12E19"/>
    <w:rsid w:val="00D12E9A"/>
    <w:rsid w:val="00D12EB3"/>
    <w:rsid w:val="00D12EFA"/>
    <w:rsid w:val="00D12F11"/>
    <w:rsid w:val="00D12F20"/>
    <w:rsid w:val="00D12F9B"/>
    <w:rsid w:val="00D12FDE"/>
    <w:rsid w:val="00D1302A"/>
    <w:rsid w:val="00D13038"/>
    <w:rsid w:val="00D1304D"/>
    <w:rsid w:val="00D13054"/>
    <w:rsid w:val="00D13067"/>
    <w:rsid w:val="00D1308C"/>
    <w:rsid w:val="00D130AF"/>
    <w:rsid w:val="00D13130"/>
    <w:rsid w:val="00D1313A"/>
    <w:rsid w:val="00D13154"/>
    <w:rsid w:val="00D13253"/>
    <w:rsid w:val="00D132E0"/>
    <w:rsid w:val="00D132EE"/>
    <w:rsid w:val="00D13352"/>
    <w:rsid w:val="00D13376"/>
    <w:rsid w:val="00D13397"/>
    <w:rsid w:val="00D133B1"/>
    <w:rsid w:val="00D133BD"/>
    <w:rsid w:val="00D133C8"/>
    <w:rsid w:val="00D133CB"/>
    <w:rsid w:val="00D13461"/>
    <w:rsid w:val="00D13462"/>
    <w:rsid w:val="00D1346F"/>
    <w:rsid w:val="00D134C9"/>
    <w:rsid w:val="00D134D6"/>
    <w:rsid w:val="00D134F0"/>
    <w:rsid w:val="00D1354A"/>
    <w:rsid w:val="00D1357D"/>
    <w:rsid w:val="00D1358E"/>
    <w:rsid w:val="00D13593"/>
    <w:rsid w:val="00D135DE"/>
    <w:rsid w:val="00D135E4"/>
    <w:rsid w:val="00D13622"/>
    <w:rsid w:val="00D13636"/>
    <w:rsid w:val="00D13647"/>
    <w:rsid w:val="00D1367F"/>
    <w:rsid w:val="00D13680"/>
    <w:rsid w:val="00D136A1"/>
    <w:rsid w:val="00D136A5"/>
    <w:rsid w:val="00D136D1"/>
    <w:rsid w:val="00D136D8"/>
    <w:rsid w:val="00D136EE"/>
    <w:rsid w:val="00D13711"/>
    <w:rsid w:val="00D13725"/>
    <w:rsid w:val="00D1372D"/>
    <w:rsid w:val="00D13743"/>
    <w:rsid w:val="00D13791"/>
    <w:rsid w:val="00D137BF"/>
    <w:rsid w:val="00D137E7"/>
    <w:rsid w:val="00D13841"/>
    <w:rsid w:val="00D13853"/>
    <w:rsid w:val="00D13862"/>
    <w:rsid w:val="00D13872"/>
    <w:rsid w:val="00D138A4"/>
    <w:rsid w:val="00D138AE"/>
    <w:rsid w:val="00D138E4"/>
    <w:rsid w:val="00D1394B"/>
    <w:rsid w:val="00D139BE"/>
    <w:rsid w:val="00D13A1A"/>
    <w:rsid w:val="00D13A25"/>
    <w:rsid w:val="00D13A79"/>
    <w:rsid w:val="00D13AA0"/>
    <w:rsid w:val="00D13ADF"/>
    <w:rsid w:val="00D13B1F"/>
    <w:rsid w:val="00D13B31"/>
    <w:rsid w:val="00D13B37"/>
    <w:rsid w:val="00D13B3A"/>
    <w:rsid w:val="00D13B52"/>
    <w:rsid w:val="00D13B7B"/>
    <w:rsid w:val="00D13BEC"/>
    <w:rsid w:val="00D13C15"/>
    <w:rsid w:val="00D13C39"/>
    <w:rsid w:val="00D13C7A"/>
    <w:rsid w:val="00D13CC4"/>
    <w:rsid w:val="00D13CCE"/>
    <w:rsid w:val="00D13D0F"/>
    <w:rsid w:val="00D13D41"/>
    <w:rsid w:val="00D13D83"/>
    <w:rsid w:val="00D13D95"/>
    <w:rsid w:val="00D13DD8"/>
    <w:rsid w:val="00D13EB1"/>
    <w:rsid w:val="00D13EDC"/>
    <w:rsid w:val="00D13EF1"/>
    <w:rsid w:val="00D13F59"/>
    <w:rsid w:val="00D13F5C"/>
    <w:rsid w:val="00D13FAC"/>
    <w:rsid w:val="00D13FF0"/>
    <w:rsid w:val="00D14009"/>
    <w:rsid w:val="00D14012"/>
    <w:rsid w:val="00D14025"/>
    <w:rsid w:val="00D14045"/>
    <w:rsid w:val="00D14076"/>
    <w:rsid w:val="00D1407E"/>
    <w:rsid w:val="00D140F1"/>
    <w:rsid w:val="00D141B2"/>
    <w:rsid w:val="00D141F2"/>
    <w:rsid w:val="00D141FB"/>
    <w:rsid w:val="00D1420B"/>
    <w:rsid w:val="00D1424F"/>
    <w:rsid w:val="00D14294"/>
    <w:rsid w:val="00D142DB"/>
    <w:rsid w:val="00D142E9"/>
    <w:rsid w:val="00D14341"/>
    <w:rsid w:val="00D14366"/>
    <w:rsid w:val="00D143DF"/>
    <w:rsid w:val="00D14415"/>
    <w:rsid w:val="00D14456"/>
    <w:rsid w:val="00D14465"/>
    <w:rsid w:val="00D1446D"/>
    <w:rsid w:val="00D14470"/>
    <w:rsid w:val="00D14483"/>
    <w:rsid w:val="00D144EB"/>
    <w:rsid w:val="00D14527"/>
    <w:rsid w:val="00D14536"/>
    <w:rsid w:val="00D145C7"/>
    <w:rsid w:val="00D145F9"/>
    <w:rsid w:val="00D14645"/>
    <w:rsid w:val="00D1468C"/>
    <w:rsid w:val="00D1471F"/>
    <w:rsid w:val="00D14745"/>
    <w:rsid w:val="00D14768"/>
    <w:rsid w:val="00D147E8"/>
    <w:rsid w:val="00D14829"/>
    <w:rsid w:val="00D148AA"/>
    <w:rsid w:val="00D148F3"/>
    <w:rsid w:val="00D14985"/>
    <w:rsid w:val="00D149D8"/>
    <w:rsid w:val="00D149DA"/>
    <w:rsid w:val="00D14A41"/>
    <w:rsid w:val="00D14A93"/>
    <w:rsid w:val="00D14A9A"/>
    <w:rsid w:val="00D14AD1"/>
    <w:rsid w:val="00D14AFB"/>
    <w:rsid w:val="00D14B02"/>
    <w:rsid w:val="00D14B51"/>
    <w:rsid w:val="00D14B64"/>
    <w:rsid w:val="00D14B92"/>
    <w:rsid w:val="00D14B9B"/>
    <w:rsid w:val="00D14BAB"/>
    <w:rsid w:val="00D14BE2"/>
    <w:rsid w:val="00D14C20"/>
    <w:rsid w:val="00D14C6A"/>
    <w:rsid w:val="00D14CCB"/>
    <w:rsid w:val="00D14CD9"/>
    <w:rsid w:val="00D14CE1"/>
    <w:rsid w:val="00D14DC9"/>
    <w:rsid w:val="00D14DE1"/>
    <w:rsid w:val="00D14DF1"/>
    <w:rsid w:val="00D14E12"/>
    <w:rsid w:val="00D14E38"/>
    <w:rsid w:val="00D14E40"/>
    <w:rsid w:val="00D14E7C"/>
    <w:rsid w:val="00D14ECB"/>
    <w:rsid w:val="00D14EE0"/>
    <w:rsid w:val="00D14EE2"/>
    <w:rsid w:val="00D14EEA"/>
    <w:rsid w:val="00D14F19"/>
    <w:rsid w:val="00D14F27"/>
    <w:rsid w:val="00D14F88"/>
    <w:rsid w:val="00D14FA2"/>
    <w:rsid w:val="00D14FB9"/>
    <w:rsid w:val="00D14FF5"/>
    <w:rsid w:val="00D15066"/>
    <w:rsid w:val="00D1509D"/>
    <w:rsid w:val="00D150BC"/>
    <w:rsid w:val="00D151B5"/>
    <w:rsid w:val="00D151F7"/>
    <w:rsid w:val="00D1525E"/>
    <w:rsid w:val="00D15262"/>
    <w:rsid w:val="00D152A3"/>
    <w:rsid w:val="00D152C4"/>
    <w:rsid w:val="00D152F0"/>
    <w:rsid w:val="00D15302"/>
    <w:rsid w:val="00D15358"/>
    <w:rsid w:val="00D153A7"/>
    <w:rsid w:val="00D153B3"/>
    <w:rsid w:val="00D153BE"/>
    <w:rsid w:val="00D153D0"/>
    <w:rsid w:val="00D153E9"/>
    <w:rsid w:val="00D153EA"/>
    <w:rsid w:val="00D1547C"/>
    <w:rsid w:val="00D15481"/>
    <w:rsid w:val="00D154C8"/>
    <w:rsid w:val="00D154F8"/>
    <w:rsid w:val="00D154FB"/>
    <w:rsid w:val="00D1550E"/>
    <w:rsid w:val="00D15543"/>
    <w:rsid w:val="00D15556"/>
    <w:rsid w:val="00D15560"/>
    <w:rsid w:val="00D1556F"/>
    <w:rsid w:val="00D1558C"/>
    <w:rsid w:val="00D15591"/>
    <w:rsid w:val="00D155A9"/>
    <w:rsid w:val="00D155C5"/>
    <w:rsid w:val="00D15622"/>
    <w:rsid w:val="00D15623"/>
    <w:rsid w:val="00D1562C"/>
    <w:rsid w:val="00D1565E"/>
    <w:rsid w:val="00D156A9"/>
    <w:rsid w:val="00D156AD"/>
    <w:rsid w:val="00D156AF"/>
    <w:rsid w:val="00D156EE"/>
    <w:rsid w:val="00D15728"/>
    <w:rsid w:val="00D15773"/>
    <w:rsid w:val="00D157BD"/>
    <w:rsid w:val="00D1588C"/>
    <w:rsid w:val="00D15896"/>
    <w:rsid w:val="00D158C3"/>
    <w:rsid w:val="00D158EC"/>
    <w:rsid w:val="00D15939"/>
    <w:rsid w:val="00D1599A"/>
    <w:rsid w:val="00D159C9"/>
    <w:rsid w:val="00D15A06"/>
    <w:rsid w:val="00D15A30"/>
    <w:rsid w:val="00D15A48"/>
    <w:rsid w:val="00D15A7F"/>
    <w:rsid w:val="00D15A81"/>
    <w:rsid w:val="00D15A9C"/>
    <w:rsid w:val="00D15AED"/>
    <w:rsid w:val="00D15AFA"/>
    <w:rsid w:val="00D15B1F"/>
    <w:rsid w:val="00D15B26"/>
    <w:rsid w:val="00D15B29"/>
    <w:rsid w:val="00D15B9B"/>
    <w:rsid w:val="00D15BC6"/>
    <w:rsid w:val="00D15BD9"/>
    <w:rsid w:val="00D15BE1"/>
    <w:rsid w:val="00D15BE9"/>
    <w:rsid w:val="00D15C3A"/>
    <w:rsid w:val="00D15C8F"/>
    <w:rsid w:val="00D15C9D"/>
    <w:rsid w:val="00D15CAD"/>
    <w:rsid w:val="00D15CB9"/>
    <w:rsid w:val="00D15CCD"/>
    <w:rsid w:val="00D15CD0"/>
    <w:rsid w:val="00D15D4D"/>
    <w:rsid w:val="00D15D52"/>
    <w:rsid w:val="00D15D94"/>
    <w:rsid w:val="00D15DA8"/>
    <w:rsid w:val="00D15DBE"/>
    <w:rsid w:val="00D15DD8"/>
    <w:rsid w:val="00D15E0C"/>
    <w:rsid w:val="00D15E3C"/>
    <w:rsid w:val="00D15EDD"/>
    <w:rsid w:val="00D15EEA"/>
    <w:rsid w:val="00D15F6E"/>
    <w:rsid w:val="00D15FE1"/>
    <w:rsid w:val="00D16087"/>
    <w:rsid w:val="00D1612A"/>
    <w:rsid w:val="00D16171"/>
    <w:rsid w:val="00D161BA"/>
    <w:rsid w:val="00D161DA"/>
    <w:rsid w:val="00D161E5"/>
    <w:rsid w:val="00D16211"/>
    <w:rsid w:val="00D1624D"/>
    <w:rsid w:val="00D1625C"/>
    <w:rsid w:val="00D16299"/>
    <w:rsid w:val="00D162DA"/>
    <w:rsid w:val="00D162EF"/>
    <w:rsid w:val="00D16301"/>
    <w:rsid w:val="00D16329"/>
    <w:rsid w:val="00D1633B"/>
    <w:rsid w:val="00D1634A"/>
    <w:rsid w:val="00D163C0"/>
    <w:rsid w:val="00D163E5"/>
    <w:rsid w:val="00D163EA"/>
    <w:rsid w:val="00D163ED"/>
    <w:rsid w:val="00D16424"/>
    <w:rsid w:val="00D16466"/>
    <w:rsid w:val="00D1646F"/>
    <w:rsid w:val="00D164A9"/>
    <w:rsid w:val="00D1650D"/>
    <w:rsid w:val="00D1659D"/>
    <w:rsid w:val="00D165A2"/>
    <w:rsid w:val="00D165B9"/>
    <w:rsid w:val="00D16605"/>
    <w:rsid w:val="00D1660D"/>
    <w:rsid w:val="00D16613"/>
    <w:rsid w:val="00D16673"/>
    <w:rsid w:val="00D166AE"/>
    <w:rsid w:val="00D166E2"/>
    <w:rsid w:val="00D16749"/>
    <w:rsid w:val="00D167EC"/>
    <w:rsid w:val="00D1680E"/>
    <w:rsid w:val="00D16855"/>
    <w:rsid w:val="00D168A4"/>
    <w:rsid w:val="00D168D8"/>
    <w:rsid w:val="00D1690B"/>
    <w:rsid w:val="00D1691A"/>
    <w:rsid w:val="00D16932"/>
    <w:rsid w:val="00D16971"/>
    <w:rsid w:val="00D16980"/>
    <w:rsid w:val="00D169A7"/>
    <w:rsid w:val="00D169D0"/>
    <w:rsid w:val="00D169E4"/>
    <w:rsid w:val="00D169F9"/>
    <w:rsid w:val="00D16A2D"/>
    <w:rsid w:val="00D16A37"/>
    <w:rsid w:val="00D16A3B"/>
    <w:rsid w:val="00D16A97"/>
    <w:rsid w:val="00D16AB3"/>
    <w:rsid w:val="00D16AF1"/>
    <w:rsid w:val="00D16B1B"/>
    <w:rsid w:val="00D16B46"/>
    <w:rsid w:val="00D16B65"/>
    <w:rsid w:val="00D16BB0"/>
    <w:rsid w:val="00D16BB7"/>
    <w:rsid w:val="00D16BE1"/>
    <w:rsid w:val="00D16C49"/>
    <w:rsid w:val="00D16C62"/>
    <w:rsid w:val="00D16C9D"/>
    <w:rsid w:val="00D16D7F"/>
    <w:rsid w:val="00D16D84"/>
    <w:rsid w:val="00D16DAB"/>
    <w:rsid w:val="00D16DB6"/>
    <w:rsid w:val="00D16DD3"/>
    <w:rsid w:val="00D16DE7"/>
    <w:rsid w:val="00D16E52"/>
    <w:rsid w:val="00D16EB9"/>
    <w:rsid w:val="00D16EDC"/>
    <w:rsid w:val="00D16EF3"/>
    <w:rsid w:val="00D16F8A"/>
    <w:rsid w:val="00D16FC8"/>
    <w:rsid w:val="00D16FD6"/>
    <w:rsid w:val="00D1701B"/>
    <w:rsid w:val="00D17089"/>
    <w:rsid w:val="00D1709F"/>
    <w:rsid w:val="00D170BB"/>
    <w:rsid w:val="00D17129"/>
    <w:rsid w:val="00D17133"/>
    <w:rsid w:val="00D171FC"/>
    <w:rsid w:val="00D17203"/>
    <w:rsid w:val="00D1722D"/>
    <w:rsid w:val="00D1729F"/>
    <w:rsid w:val="00D17323"/>
    <w:rsid w:val="00D1736E"/>
    <w:rsid w:val="00D1737A"/>
    <w:rsid w:val="00D173AC"/>
    <w:rsid w:val="00D173B2"/>
    <w:rsid w:val="00D173BB"/>
    <w:rsid w:val="00D173BF"/>
    <w:rsid w:val="00D1740E"/>
    <w:rsid w:val="00D17461"/>
    <w:rsid w:val="00D1746C"/>
    <w:rsid w:val="00D1749F"/>
    <w:rsid w:val="00D17543"/>
    <w:rsid w:val="00D176DB"/>
    <w:rsid w:val="00D176E4"/>
    <w:rsid w:val="00D1774C"/>
    <w:rsid w:val="00D17778"/>
    <w:rsid w:val="00D177D4"/>
    <w:rsid w:val="00D17823"/>
    <w:rsid w:val="00D17830"/>
    <w:rsid w:val="00D1791D"/>
    <w:rsid w:val="00D17926"/>
    <w:rsid w:val="00D1792E"/>
    <w:rsid w:val="00D179B0"/>
    <w:rsid w:val="00D179D5"/>
    <w:rsid w:val="00D17A22"/>
    <w:rsid w:val="00D17A6E"/>
    <w:rsid w:val="00D17AB1"/>
    <w:rsid w:val="00D17AF0"/>
    <w:rsid w:val="00D17B26"/>
    <w:rsid w:val="00D17B3C"/>
    <w:rsid w:val="00D17C0B"/>
    <w:rsid w:val="00D17C8A"/>
    <w:rsid w:val="00D17CAC"/>
    <w:rsid w:val="00D17CB6"/>
    <w:rsid w:val="00D17CD8"/>
    <w:rsid w:val="00D17D25"/>
    <w:rsid w:val="00D17D6E"/>
    <w:rsid w:val="00D17D7D"/>
    <w:rsid w:val="00D17DA2"/>
    <w:rsid w:val="00D17DAD"/>
    <w:rsid w:val="00D17DC5"/>
    <w:rsid w:val="00D17DC9"/>
    <w:rsid w:val="00D17DE1"/>
    <w:rsid w:val="00D17E08"/>
    <w:rsid w:val="00D17E0D"/>
    <w:rsid w:val="00D17E60"/>
    <w:rsid w:val="00D17EC9"/>
    <w:rsid w:val="00D17EDF"/>
    <w:rsid w:val="00D17EEF"/>
    <w:rsid w:val="00D17F2F"/>
    <w:rsid w:val="00D17F85"/>
    <w:rsid w:val="00D17F90"/>
    <w:rsid w:val="00D17FAD"/>
    <w:rsid w:val="00D17FE9"/>
    <w:rsid w:val="00D20007"/>
    <w:rsid w:val="00D20047"/>
    <w:rsid w:val="00D200D0"/>
    <w:rsid w:val="00D20126"/>
    <w:rsid w:val="00D20148"/>
    <w:rsid w:val="00D20171"/>
    <w:rsid w:val="00D20174"/>
    <w:rsid w:val="00D2018C"/>
    <w:rsid w:val="00D20254"/>
    <w:rsid w:val="00D2025B"/>
    <w:rsid w:val="00D20279"/>
    <w:rsid w:val="00D2029A"/>
    <w:rsid w:val="00D2030E"/>
    <w:rsid w:val="00D20328"/>
    <w:rsid w:val="00D20330"/>
    <w:rsid w:val="00D20387"/>
    <w:rsid w:val="00D203C0"/>
    <w:rsid w:val="00D203EC"/>
    <w:rsid w:val="00D203F1"/>
    <w:rsid w:val="00D204BF"/>
    <w:rsid w:val="00D20534"/>
    <w:rsid w:val="00D20537"/>
    <w:rsid w:val="00D20542"/>
    <w:rsid w:val="00D205D7"/>
    <w:rsid w:val="00D20633"/>
    <w:rsid w:val="00D20650"/>
    <w:rsid w:val="00D20674"/>
    <w:rsid w:val="00D206A2"/>
    <w:rsid w:val="00D206F1"/>
    <w:rsid w:val="00D20706"/>
    <w:rsid w:val="00D20782"/>
    <w:rsid w:val="00D20801"/>
    <w:rsid w:val="00D208E1"/>
    <w:rsid w:val="00D20981"/>
    <w:rsid w:val="00D2099D"/>
    <w:rsid w:val="00D209A3"/>
    <w:rsid w:val="00D20A98"/>
    <w:rsid w:val="00D20AA1"/>
    <w:rsid w:val="00D20AA7"/>
    <w:rsid w:val="00D20AC7"/>
    <w:rsid w:val="00D20B1D"/>
    <w:rsid w:val="00D20B21"/>
    <w:rsid w:val="00D20B49"/>
    <w:rsid w:val="00D20B65"/>
    <w:rsid w:val="00D20BF7"/>
    <w:rsid w:val="00D20C3B"/>
    <w:rsid w:val="00D20C6A"/>
    <w:rsid w:val="00D20C94"/>
    <w:rsid w:val="00D20D35"/>
    <w:rsid w:val="00D20D5B"/>
    <w:rsid w:val="00D20D83"/>
    <w:rsid w:val="00D20D97"/>
    <w:rsid w:val="00D20DA8"/>
    <w:rsid w:val="00D20DC5"/>
    <w:rsid w:val="00D20DCC"/>
    <w:rsid w:val="00D20E0C"/>
    <w:rsid w:val="00D20E8F"/>
    <w:rsid w:val="00D20E95"/>
    <w:rsid w:val="00D20EC2"/>
    <w:rsid w:val="00D20F09"/>
    <w:rsid w:val="00D20F32"/>
    <w:rsid w:val="00D20F78"/>
    <w:rsid w:val="00D20FC0"/>
    <w:rsid w:val="00D20FCA"/>
    <w:rsid w:val="00D20FEE"/>
    <w:rsid w:val="00D21084"/>
    <w:rsid w:val="00D21095"/>
    <w:rsid w:val="00D210E7"/>
    <w:rsid w:val="00D21180"/>
    <w:rsid w:val="00D21226"/>
    <w:rsid w:val="00D21231"/>
    <w:rsid w:val="00D21245"/>
    <w:rsid w:val="00D212AB"/>
    <w:rsid w:val="00D212BE"/>
    <w:rsid w:val="00D212EA"/>
    <w:rsid w:val="00D212F1"/>
    <w:rsid w:val="00D212F2"/>
    <w:rsid w:val="00D21312"/>
    <w:rsid w:val="00D2135A"/>
    <w:rsid w:val="00D21372"/>
    <w:rsid w:val="00D213BB"/>
    <w:rsid w:val="00D21452"/>
    <w:rsid w:val="00D2145D"/>
    <w:rsid w:val="00D21483"/>
    <w:rsid w:val="00D214C3"/>
    <w:rsid w:val="00D2157E"/>
    <w:rsid w:val="00D215BF"/>
    <w:rsid w:val="00D215F5"/>
    <w:rsid w:val="00D21603"/>
    <w:rsid w:val="00D2162A"/>
    <w:rsid w:val="00D2164B"/>
    <w:rsid w:val="00D21690"/>
    <w:rsid w:val="00D21703"/>
    <w:rsid w:val="00D21728"/>
    <w:rsid w:val="00D21733"/>
    <w:rsid w:val="00D2177C"/>
    <w:rsid w:val="00D2178B"/>
    <w:rsid w:val="00D217AC"/>
    <w:rsid w:val="00D217EC"/>
    <w:rsid w:val="00D217EF"/>
    <w:rsid w:val="00D2188B"/>
    <w:rsid w:val="00D2189B"/>
    <w:rsid w:val="00D218A8"/>
    <w:rsid w:val="00D218C4"/>
    <w:rsid w:val="00D21902"/>
    <w:rsid w:val="00D21916"/>
    <w:rsid w:val="00D21962"/>
    <w:rsid w:val="00D2197A"/>
    <w:rsid w:val="00D21A29"/>
    <w:rsid w:val="00D21A40"/>
    <w:rsid w:val="00D21A4A"/>
    <w:rsid w:val="00D21A83"/>
    <w:rsid w:val="00D21AB6"/>
    <w:rsid w:val="00D21AD5"/>
    <w:rsid w:val="00D21AFB"/>
    <w:rsid w:val="00D21B60"/>
    <w:rsid w:val="00D21BC5"/>
    <w:rsid w:val="00D21C97"/>
    <w:rsid w:val="00D21CB4"/>
    <w:rsid w:val="00D21CE4"/>
    <w:rsid w:val="00D21D0E"/>
    <w:rsid w:val="00D21D4A"/>
    <w:rsid w:val="00D21D73"/>
    <w:rsid w:val="00D21D76"/>
    <w:rsid w:val="00D21D89"/>
    <w:rsid w:val="00D21DE3"/>
    <w:rsid w:val="00D21E18"/>
    <w:rsid w:val="00D21E6E"/>
    <w:rsid w:val="00D21ED9"/>
    <w:rsid w:val="00D21EED"/>
    <w:rsid w:val="00D21F14"/>
    <w:rsid w:val="00D21F44"/>
    <w:rsid w:val="00D21F45"/>
    <w:rsid w:val="00D21F79"/>
    <w:rsid w:val="00D21FE0"/>
    <w:rsid w:val="00D21FE4"/>
    <w:rsid w:val="00D22057"/>
    <w:rsid w:val="00D220C1"/>
    <w:rsid w:val="00D220F7"/>
    <w:rsid w:val="00D22136"/>
    <w:rsid w:val="00D22189"/>
    <w:rsid w:val="00D22192"/>
    <w:rsid w:val="00D22199"/>
    <w:rsid w:val="00D2222E"/>
    <w:rsid w:val="00D222B8"/>
    <w:rsid w:val="00D222EE"/>
    <w:rsid w:val="00D22328"/>
    <w:rsid w:val="00D22340"/>
    <w:rsid w:val="00D22347"/>
    <w:rsid w:val="00D2237D"/>
    <w:rsid w:val="00D2238D"/>
    <w:rsid w:val="00D22395"/>
    <w:rsid w:val="00D223CA"/>
    <w:rsid w:val="00D223CB"/>
    <w:rsid w:val="00D2240F"/>
    <w:rsid w:val="00D22411"/>
    <w:rsid w:val="00D2242F"/>
    <w:rsid w:val="00D22445"/>
    <w:rsid w:val="00D22457"/>
    <w:rsid w:val="00D22477"/>
    <w:rsid w:val="00D22485"/>
    <w:rsid w:val="00D224CD"/>
    <w:rsid w:val="00D224EB"/>
    <w:rsid w:val="00D22521"/>
    <w:rsid w:val="00D225C6"/>
    <w:rsid w:val="00D22608"/>
    <w:rsid w:val="00D22619"/>
    <w:rsid w:val="00D2262E"/>
    <w:rsid w:val="00D2266A"/>
    <w:rsid w:val="00D226C8"/>
    <w:rsid w:val="00D2270F"/>
    <w:rsid w:val="00D2275A"/>
    <w:rsid w:val="00D22781"/>
    <w:rsid w:val="00D2282C"/>
    <w:rsid w:val="00D228C1"/>
    <w:rsid w:val="00D228EA"/>
    <w:rsid w:val="00D228F4"/>
    <w:rsid w:val="00D22916"/>
    <w:rsid w:val="00D22959"/>
    <w:rsid w:val="00D22963"/>
    <w:rsid w:val="00D2299D"/>
    <w:rsid w:val="00D22A1B"/>
    <w:rsid w:val="00D22A2C"/>
    <w:rsid w:val="00D22A4F"/>
    <w:rsid w:val="00D22A94"/>
    <w:rsid w:val="00D22AB3"/>
    <w:rsid w:val="00D22AD3"/>
    <w:rsid w:val="00D22B97"/>
    <w:rsid w:val="00D22BC6"/>
    <w:rsid w:val="00D22BDA"/>
    <w:rsid w:val="00D22BDB"/>
    <w:rsid w:val="00D22BEE"/>
    <w:rsid w:val="00D22C5B"/>
    <w:rsid w:val="00D22C80"/>
    <w:rsid w:val="00D22C8B"/>
    <w:rsid w:val="00D22CA6"/>
    <w:rsid w:val="00D22CC2"/>
    <w:rsid w:val="00D22CCB"/>
    <w:rsid w:val="00D22CE9"/>
    <w:rsid w:val="00D22CEB"/>
    <w:rsid w:val="00D22D21"/>
    <w:rsid w:val="00D22D41"/>
    <w:rsid w:val="00D22D83"/>
    <w:rsid w:val="00D22DBC"/>
    <w:rsid w:val="00D22DEE"/>
    <w:rsid w:val="00D22E0A"/>
    <w:rsid w:val="00D22E27"/>
    <w:rsid w:val="00D22E8B"/>
    <w:rsid w:val="00D22ED9"/>
    <w:rsid w:val="00D22EDA"/>
    <w:rsid w:val="00D22EDD"/>
    <w:rsid w:val="00D22EFF"/>
    <w:rsid w:val="00D22F42"/>
    <w:rsid w:val="00D22F78"/>
    <w:rsid w:val="00D22FBF"/>
    <w:rsid w:val="00D2301A"/>
    <w:rsid w:val="00D2304E"/>
    <w:rsid w:val="00D23089"/>
    <w:rsid w:val="00D230CF"/>
    <w:rsid w:val="00D231D5"/>
    <w:rsid w:val="00D231F6"/>
    <w:rsid w:val="00D231FC"/>
    <w:rsid w:val="00D231FF"/>
    <w:rsid w:val="00D232A9"/>
    <w:rsid w:val="00D232B1"/>
    <w:rsid w:val="00D232C4"/>
    <w:rsid w:val="00D2334E"/>
    <w:rsid w:val="00D23359"/>
    <w:rsid w:val="00D2338D"/>
    <w:rsid w:val="00D233DC"/>
    <w:rsid w:val="00D23425"/>
    <w:rsid w:val="00D2342E"/>
    <w:rsid w:val="00D23461"/>
    <w:rsid w:val="00D23482"/>
    <w:rsid w:val="00D23490"/>
    <w:rsid w:val="00D234BC"/>
    <w:rsid w:val="00D2354E"/>
    <w:rsid w:val="00D23551"/>
    <w:rsid w:val="00D2357D"/>
    <w:rsid w:val="00D235C7"/>
    <w:rsid w:val="00D2360D"/>
    <w:rsid w:val="00D2364E"/>
    <w:rsid w:val="00D23663"/>
    <w:rsid w:val="00D2366F"/>
    <w:rsid w:val="00D23675"/>
    <w:rsid w:val="00D236E9"/>
    <w:rsid w:val="00D2375E"/>
    <w:rsid w:val="00D2378C"/>
    <w:rsid w:val="00D2381D"/>
    <w:rsid w:val="00D23823"/>
    <w:rsid w:val="00D238D0"/>
    <w:rsid w:val="00D238E0"/>
    <w:rsid w:val="00D23950"/>
    <w:rsid w:val="00D23A0D"/>
    <w:rsid w:val="00D23A3C"/>
    <w:rsid w:val="00D23A55"/>
    <w:rsid w:val="00D23A8A"/>
    <w:rsid w:val="00D23A8D"/>
    <w:rsid w:val="00D23A9B"/>
    <w:rsid w:val="00D23A9C"/>
    <w:rsid w:val="00D23AF8"/>
    <w:rsid w:val="00D23B4C"/>
    <w:rsid w:val="00D23B73"/>
    <w:rsid w:val="00D23B8C"/>
    <w:rsid w:val="00D23BD9"/>
    <w:rsid w:val="00D23C11"/>
    <w:rsid w:val="00D23C1F"/>
    <w:rsid w:val="00D23D30"/>
    <w:rsid w:val="00D23D53"/>
    <w:rsid w:val="00D23D7E"/>
    <w:rsid w:val="00D23DC4"/>
    <w:rsid w:val="00D23DF9"/>
    <w:rsid w:val="00D23E62"/>
    <w:rsid w:val="00D23E79"/>
    <w:rsid w:val="00D23E7C"/>
    <w:rsid w:val="00D23EC8"/>
    <w:rsid w:val="00D23EF7"/>
    <w:rsid w:val="00D23F3B"/>
    <w:rsid w:val="00D23F77"/>
    <w:rsid w:val="00D23F7C"/>
    <w:rsid w:val="00D23F9C"/>
    <w:rsid w:val="00D23FB1"/>
    <w:rsid w:val="00D23FDD"/>
    <w:rsid w:val="00D240AB"/>
    <w:rsid w:val="00D240F2"/>
    <w:rsid w:val="00D2410A"/>
    <w:rsid w:val="00D24114"/>
    <w:rsid w:val="00D24137"/>
    <w:rsid w:val="00D24145"/>
    <w:rsid w:val="00D2414F"/>
    <w:rsid w:val="00D24176"/>
    <w:rsid w:val="00D24185"/>
    <w:rsid w:val="00D241CE"/>
    <w:rsid w:val="00D24335"/>
    <w:rsid w:val="00D2434F"/>
    <w:rsid w:val="00D24352"/>
    <w:rsid w:val="00D2437D"/>
    <w:rsid w:val="00D24386"/>
    <w:rsid w:val="00D243A2"/>
    <w:rsid w:val="00D243C6"/>
    <w:rsid w:val="00D243EB"/>
    <w:rsid w:val="00D24404"/>
    <w:rsid w:val="00D2445B"/>
    <w:rsid w:val="00D244D9"/>
    <w:rsid w:val="00D2451C"/>
    <w:rsid w:val="00D245B5"/>
    <w:rsid w:val="00D2463E"/>
    <w:rsid w:val="00D24695"/>
    <w:rsid w:val="00D246AA"/>
    <w:rsid w:val="00D246B1"/>
    <w:rsid w:val="00D246C2"/>
    <w:rsid w:val="00D2471D"/>
    <w:rsid w:val="00D24747"/>
    <w:rsid w:val="00D24749"/>
    <w:rsid w:val="00D2479D"/>
    <w:rsid w:val="00D247C7"/>
    <w:rsid w:val="00D247E4"/>
    <w:rsid w:val="00D247F5"/>
    <w:rsid w:val="00D2483F"/>
    <w:rsid w:val="00D24898"/>
    <w:rsid w:val="00D248AF"/>
    <w:rsid w:val="00D248E5"/>
    <w:rsid w:val="00D248EB"/>
    <w:rsid w:val="00D24900"/>
    <w:rsid w:val="00D24917"/>
    <w:rsid w:val="00D2491C"/>
    <w:rsid w:val="00D24954"/>
    <w:rsid w:val="00D2496D"/>
    <w:rsid w:val="00D249A3"/>
    <w:rsid w:val="00D249C8"/>
    <w:rsid w:val="00D24A6C"/>
    <w:rsid w:val="00D24A73"/>
    <w:rsid w:val="00D24AC4"/>
    <w:rsid w:val="00D24B0B"/>
    <w:rsid w:val="00D24B0F"/>
    <w:rsid w:val="00D24B2E"/>
    <w:rsid w:val="00D24B8B"/>
    <w:rsid w:val="00D24B98"/>
    <w:rsid w:val="00D24B99"/>
    <w:rsid w:val="00D24B9A"/>
    <w:rsid w:val="00D24BB2"/>
    <w:rsid w:val="00D24BE2"/>
    <w:rsid w:val="00D24C67"/>
    <w:rsid w:val="00D24C7E"/>
    <w:rsid w:val="00D24C8C"/>
    <w:rsid w:val="00D24CD3"/>
    <w:rsid w:val="00D24CF5"/>
    <w:rsid w:val="00D24D71"/>
    <w:rsid w:val="00D24D7C"/>
    <w:rsid w:val="00D24E06"/>
    <w:rsid w:val="00D24E32"/>
    <w:rsid w:val="00D24ED7"/>
    <w:rsid w:val="00D24F1A"/>
    <w:rsid w:val="00D24F57"/>
    <w:rsid w:val="00D24F79"/>
    <w:rsid w:val="00D24FDA"/>
    <w:rsid w:val="00D24FF8"/>
    <w:rsid w:val="00D2501B"/>
    <w:rsid w:val="00D2503D"/>
    <w:rsid w:val="00D2505B"/>
    <w:rsid w:val="00D2505D"/>
    <w:rsid w:val="00D250C5"/>
    <w:rsid w:val="00D25181"/>
    <w:rsid w:val="00D25191"/>
    <w:rsid w:val="00D2519D"/>
    <w:rsid w:val="00D251B1"/>
    <w:rsid w:val="00D251EE"/>
    <w:rsid w:val="00D2520A"/>
    <w:rsid w:val="00D2520C"/>
    <w:rsid w:val="00D25215"/>
    <w:rsid w:val="00D2526B"/>
    <w:rsid w:val="00D2527C"/>
    <w:rsid w:val="00D2527F"/>
    <w:rsid w:val="00D252AE"/>
    <w:rsid w:val="00D252D9"/>
    <w:rsid w:val="00D25326"/>
    <w:rsid w:val="00D2535A"/>
    <w:rsid w:val="00D253CE"/>
    <w:rsid w:val="00D253E7"/>
    <w:rsid w:val="00D253E9"/>
    <w:rsid w:val="00D253ED"/>
    <w:rsid w:val="00D25420"/>
    <w:rsid w:val="00D25492"/>
    <w:rsid w:val="00D25493"/>
    <w:rsid w:val="00D255A4"/>
    <w:rsid w:val="00D255EA"/>
    <w:rsid w:val="00D25606"/>
    <w:rsid w:val="00D25609"/>
    <w:rsid w:val="00D25633"/>
    <w:rsid w:val="00D25639"/>
    <w:rsid w:val="00D2563B"/>
    <w:rsid w:val="00D2568D"/>
    <w:rsid w:val="00D2568F"/>
    <w:rsid w:val="00D256DF"/>
    <w:rsid w:val="00D25710"/>
    <w:rsid w:val="00D257F4"/>
    <w:rsid w:val="00D2582B"/>
    <w:rsid w:val="00D25833"/>
    <w:rsid w:val="00D2583E"/>
    <w:rsid w:val="00D25876"/>
    <w:rsid w:val="00D258B9"/>
    <w:rsid w:val="00D2596B"/>
    <w:rsid w:val="00D25987"/>
    <w:rsid w:val="00D259A3"/>
    <w:rsid w:val="00D259DE"/>
    <w:rsid w:val="00D259EF"/>
    <w:rsid w:val="00D25A0D"/>
    <w:rsid w:val="00D25A15"/>
    <w:rsid w:val="00D25A5F"/>
    <w:rsid w:val="00D25ABA"/>
    <w:rsid w:val="00D25AF2"/>
    <w:rsid w:val="00D25B6D"/>
    <w:rsid w:val="00D25C00"/>
    <w:rsid w:val="00D25C5B"/>
    <w:rsid w:val="00D25C66"/>
    <w:rsid w:val="00D25C81"/>
    <w:rsid w:val="00D25CB3"/>
    <w:rsid w:val="00D25D51"/>
    <w:rsid w:val="00D25D68"/>
    <w:rsid w:val="00D25D82"/>
    <w:rsid w:val="00D25DBA"/>
    <w:rsid w:val="00D25E05"/>
    <w:rsid w:val="00D25E0A"/>
    <w:rsid w:val="00D25E11"/>
    <w:rsid w:val="00D25E4F"/>
    <w:rsid w:val="00D25E51"/>
    <w:rsid w:val="00D25EEE"/>
    <w:rsid w:val="00D25F27"/>
    <w:rsid w:val="00D25F38"/>
    <w:rsid w:val="00D25F4F"/>
    <w:rsid w:val="00D25F8F"/>
    <w:rsid w:val="00D25FCE"/>
    <w:rsid w:val="00D26012"/>
    <w:rsid w:val="00D26052"/>
    <w:rsid w:val="00D260BA"/>
    <w:rsid w:val="00D260FD"/>
    <w:rsid w:val="00D2613E"/>
    <w:rsid w:val="00D2614F"/>
    <w:rsid w:val="00D2616E"/>
    <w:rsid w:val="00D26172"/>
    <w:rsid w:val="00D261FA"/>
    <w:rsid w:val="00D2624C"/>
    <w:rsid w:val="00D262BB"/>
    <w:rsid w:val="00D26361"/>
    <w:rsid w:val="00D26371"/>
    <w:rsid w:val="00D26383"/>
    <w:rsid w:val="00D2639D"/>
    <w:rsid w:val="00D2640B"/>
    <w:rsid w:val="00D26422"/>
    <w:rsid w:val="00D2643A"/>
    <w:rsid w:val="00D26463"/>
    <w:rsid w:val="00D264C2"/>
    <w:rsid w:val="00D264C5"/>
    <w:rsid w:val="00D264E1"/>
    <w:rsid w:val="00D26533"/>
    <w:rsid w:val="00D26557"/>
    <w:rsid w:val="00D2659D"/>
    <w:rsid w:val="00D265C2"/>
    <w:rsid w:val="00D265FB"/>
    <w:rsid w:val="00D26613"/>
    <w:rsid w:val="00D2662C"/>
    <w:rsid w:val="00D266C0"/>
    <w:rsid w:val="00D26701"/>
    <w:rsid w:val="00D26719"/>
    <w:rsid w:val="00D26751"/>
    <w:rsid w:val="00D2679F"/>
    <w:rsid w:val="00D267D6"/>
    <w:rsid w:val="00D26810"/>
    <w:rsid w:val="00D2681C"/>
    <w:rsid w:val="00D2681F"/>
    <w:rsid w:val="00D26880"/>
    <w:rsid w:val="00D268A8"/>
    <w:rsid w:val="00D268E7"/>
    <w:rsid w:val="00D268F4"/>
    <w:rsid w:val="00D26921"/>
    <w:rsid w:val="00D2696F"/>
    <w:rsid w:val="00D2697C"/>
    <w:rsid w:val="00D26B05"/>
    <w:rsid w:val="00D26B3A"/>
    <w:rsid w:val="00D26B41"/>
    <w:rsid w:val="00D26B69"/>
    <w:rsid w:val="00D26B6D"/>
    <w:rsid w:val="00D26BCF"/>
    <w:rsid w:val="00D26C1C"/>
    <w:rsid w:val="00D26CE9"/>
    <w:rsid w:val="00D26CEE"/>
    <w:rsid w:val="00D26CFA"/>
    <w:rsid w:val="00D26D05"/>
    <w:rsid w:val="00D26D19"/>
    <w:rsid w:val="00D26D4F"/>
    <w:rsid w:val="00D26D7C"/>
    <w:rsid w:val="00D26D82"/>
    <w:rsid w:val="00D26E3E"/>
    <w:rsid w:val="00D26E4C"/>
    <w:rsid w:val="00D26EE7"/>
    <w:rsid w:val="00D26F21"/>
    <w:rsid w:val="00D26F27"/>
    <w:rsid w:val="00D26F43"/>
    <w:rsid w:val="00D26F69"/>
    <w:rsid w:val="00D26F83"/>
    <w:rsid w:val="00D27018"/>
    <w:rsid w:val="00D2706C"/>
    <w:rsid w:val="00D27077"/>
    <w:rsid w:val="00D2709E"/>
    <w:rsid w:val="00D27122"/>
    <w:rsid w:val="00D2721B"/>
    <w:rsid w:val="00D2725D"/>
    <w:rsid w:val="00D27275"/>
    <w:rsid w:val="00D2727C"/>
    <w:rsid w:val="00D273CA"/>
    <w:rsid w:val="00D27459"/>
    <w:rsid w:val="00D27470"/>
    <w:rsid w:val="00D2751D"/>
    <w:rsid w:val="00D2753A"/>
    <w:rsid w:val="00D27558"/>
    <w:rsid w:val="00D27571"/>
    <w:rsid w:val="00D275A8"/>
    <w:rsid w:val="00D275B1"/>
    <w:rsid w:val="00D275B9"/>
    <w:rsid w:val="00D275C0"/>
    <w:rsid w:val="00D275F4"/>
    <w:rsid w:val="00D275F9"/>
    <w:rsid w:val="00D2763F"/>
    <w:rsid w:val="00D27698"/>
    <w:rsid w:val="00D2769D"/>
    <w:rsid w:val="00D276C2"/>
    <w:rsid w:val="00D276DA"/>
    <w:rsid w:val="00D27707"/>
    <w:rsid w:val="00D27787"/>
    <w:rsid w:val="00D2778A"/>
    <w:rsid w:val="00D277BB"/>
    <w:rsid w:val="00D277EE"/>
    <w:rsid w:val="00D2783A"/>
    <w:rsid w:val="00D27915"/>
    <w:rsid w:val="00D27A11"/>
    <w:rsid w:val="00D27A2B"/>
    <w:rsid w:val="00D27A5D"/>
    <w:rsid w:val="00D27A8A"/>
    <w:rsid w:val="00D27AA0"/>
    <w:rsid w:val="00D27AC4"/>
    <w:rsid w:val="00D27ACF"/>
    <w:rsid w:val="00D27B29"/>
    <w:rsid w:val="00D27B3C"/>
    <w:rsid w:val="00D27B4C"/>
    <w:rsid w:val="00D27B51"/>
    <w:rsid w:val="00D27B77"/>
    <w:rsid w:val="00D27BA3"/>
    <w:rsid w:val="00D27C08"/>
    <w:rsid w:val="00D27C19"/>
    <w:rsid w:val="00D27C29"/>
    <w:rsid w:val="00D27C3D"/>
    <w:rsid w:val="00D27C6C"/>
    <w:rsid w:val="00D27C87"/>
    <w:rsid w:val="00D27CE0"/>
    <w:rsid w:val="00D27CFB"/>
    <w:rsid w:val="00D27D0F"/>
    <w:rsid w:val="00D27D1E"/>
    <w:rsid w:val="00D27DC8"/>
    <w:rsid w:val="00D27E35"/>
    <w:rsid w:val="00D27EB0"/>
    <w:rsid w:val="00D27ECC"/>
    <w:rsid w:val="00D27F06"/>
    <w:rsid w:val="00D27F26"/>
    <w:rsid w:val="00D27F4C"/>
    <w:rsid w:val="00D27FA4"/>
    <w:rsid w:val="00D27FC0"/>
    <w:rsid w:val="00D27FD9"/>
    <w:rsid w:val="00D27FE3"/>
    <w:rsid w:val="00D30031"/>
    <w:rsid w:val="00D3007E"/>
    <w:rsid w:val="00D300BB"/>
    <w:rsid w:val="00D300C0"/>
    <w:rsid w:val="00D300C5"/>
    <w:rsid w:val="00D300E9"/>
    <w:rsid w:val="00D3014D"/>
    <w:rsid w:val="00D30161"/>
    <w:rsid w:val="00D30171"/>
    <w:rsid w:val="00D30191"/>
    <w:rsid w:val="00D301E8"/>
    <w:rsid w:val="00D301F7"/>
    <w:rsid w:val="00D301FB"/>
    <w:rsid w:val="00D301FD"/>
    <w:rsid w:val="00D3021B"/>
    <w:rsid w:val="00D3023B"/>
    <w:rsid w:val="00D30271"/>
    <w:rsid w:val="00D302EE"/>
    <w:rsid w:val="00D3031A"/>
    <w:rsid w:val="00D30347"/>
    <w:rsid w:val="00D3039C"/>
    <w:rsid w:val="00D303B7"/>
    <w:rsid w:val="00D303F4"/>
    <w:rsid w:val="00D30414"/>
    <w:rsid w:val="00D30436"/>
    <w:rsid w:val="00D30449"/>
    <w:rsid w:val="00D3046D"/>
    <w:rsid w:val="00D3049F"/>
    <w:rsid w:val="00D304EF"/>
    <w:rsid w:val="00D30515"/>
    <w:rsid w:val="00D305C2"/>
    <w:rsid w:val="00D305D3"/>
    <w:rsid w:val="00D30638"/>
    <w:rsid w:val="00D3068A"/>
    <w:rsid w:val="00D306CB"/>
    <w:rsid w:val="00D306ED"/>
    <w:rsid w:val="00D30760"/>
    <w:rsid w:val="00D30762"/>
    <w:rsid w:val="00D30766"/>
    <w:rsid w:val="00D307AD"/>
    <w:rsid w:val="00D307E9"/>
    <w:rsid w:val="00D30883"/>
    <w:rsid w:val="00D30888"/>
    <w:rsid w:val="00D30924"/>
    <w:rsid w:val="00D30A2A"/>
    <w:rsid w:val="00D30A6C"/>
    <w:rsid w:val="00D30A7D"/>
    <w:rsid w:val="00D30A92"/>
    <w:rsid w:val="00D30AB3"/>
    <w:rsid w:val="00D30AE6"/>
    <w:rsid w:val="00D30AEA"/>
    <w:rsid w:val="00D30AEE"/>
    <w:rsid w:val="00D30B96"/>
    <w:rsid w:val="00D30B97"/>
    <w:rsid w:val="00D30BA3"/>
    <w:rsid w:val="00D30BAF"/>
    <w:rsid w:val="00D30BCB"/>
    <w:rsid w:val="00D30BF9"/>
    <w:rsid w:val="00D30BFB"/>
    <w:rsid w:val="00D30C39"/>
    <w:rsid w:val="00D30C41"/>
    <w:rsid w:val="00D30C83"/>
    <w:rsid w:val="00D30CB8"/>
    <w:rsid w:val="00D30CCD"/>
    <w:rsid w:val="00D30D01"/>
    <w:rsid w:val="00D30D14"/>
    <w:rsid w:val="00D30D29"/>
    <w:rsid w:val="00D30D9E"/>
    <w:rsid w:val="00D30E5B"/>
    <w:rsid w:val="00D30EAF"/>
    <w:rsid w:val="00D30EB5"/>
    <w:rsid w:val="00D30EDB"/>
    <w:rsid w:val="00D30EEE"/>
    <w:rsid w:val="00D30F0F"/>
    <w:rsid w:val="00D30F1C"/>
    <w:rsid w:val="00D30F60"/>
    <w:rsid w:val="00D30F7D"/>
    <w:rsid w:val="00D30FAB"/>
    <w:rsid w:val="00D30FDD"/>
    <w:rsid w:val="00D30FEB"/>
    <w:rsid w:val="00D31077"/>
    <w:rsid w:val="00D31087"/>
    <w:rsid w:val="00D311B0"/>
    <w:rsid w:val="00D311E7"/>
    <w:rsid w:val="00D3128D"/>
    <w:rsid w:val="00D31296"/>
    <w:rsid w:val="00D312EE"/>
    <w:rsid w:val="00D3133C"/>
    <w:rsid w:val="00D3137B"/>
    <w:rsid w:val="00D31457"/>
    <w:rsid w:val="00D31460"/>
    <w:rsid w:val="00D3148D"/>
    <w:rsid w:val="00D314A1"/>
    <w:rsid w:val="00D314DE"/>
    <w:rsid w:val="00D314F2"/>
    <w:rsid w:val="00D31508"/>
    <w:rsid w:val="00D31573"/>
    <w:rsid w:val="00D315A7"/>
    <w:rsid w:val="00D315B6"/>
    <w:rsid w:val="00D315BD"/>
    <w:rsid w:val="00D315BE"/>
    <w:rsid w:val="00D31609"/>
    <w:rsid w:val="00D3166A"/>
    <w:rsid w:val="00D3167C"/>
    <w:rsid w:val="00D3170C"/>
    <w:rsid w:val="00D31714"/>
    <w:rsid w:val="00D31725"/>
    <w:rsid w:val="00D3174D"/>
    <w:rsid w:val="00D317BD"/>
    <w:rsid w:val="00D317CE"/>
    <w:rsid w:val="00D317DA"/>
    <w:rsid w:val="00D317FA"/>
    <w:rsid w:val="00D31817"/>
    <w:rsid w:val="00D31830"/>
    <w:rsid w:val="00D3189F"/>
    <w:rsid w:val="00D318C7"/>
    <w:rsid w:val="00D31944"/>
    <w:rsid w:val="00D31991"/>
    <w:rsid w:val="00D319B6"/>
    <w:rsid w:val="00D319E6"/>
    <w:rsid w:val="00D31A30"/>
    <w:rsid w:val="00D31A53"/>
    <w:rsid w:val="00D31A76"/>
    <w:rsid w:val="00D31ACE"/>
    <w:rsid w:val="00D31B09"/>
    <w:rsid w:val="00D31B44"/>
    <w:rsid w:val="00D31BAF"/>
    <w:rsid w:val="00D31C2F"/>
    <w:rsid w:val="00D31C81"/>
    <w:rsid w:val="00D31CA6"/>
    <w:rsid w:val="00D31D05"/>
    <w:rsid w:val="00D31D19"/>
    <w:rsid w:val="00D31D6E"/>
    <w:rsid w:val="00D31D97"/>
    <w:rsid w:val="00D31DAE"/>
    <w:rsid w:val="00D31E3A"/>
    <w:rsid w:val="00D31E7A"/>
    <w:rsid w:val="00D31E8F"/>
    <w:rsid w:val="00D31E92"/>
    <w:rsid w:val="00D31F0A"/>
    <w:rsid w:val="00D31F2C"/>
    <w:rsid w:val="00D31F58"/>
    <w:rsid w:val="00D31F63"/>
    <w:rsid w:val="00D31FC8"/>
    <w:rsid w:val="00D32092"/>
    <w:rsid w:val="00D320BF"/>
    <w:rsid w:val="00D320C5"/>
    <w:rsid w:val="00D32124"/>
    <w:rsid w:val="00D32127"/>
    <w:rsid w:val="00D3214B"/>
    <w:rsid w:val="00D3215F"/>
    <w:rsid w:val="00D32180"/>
    <w:rsid w:val="00D321B6"/>
    <w:rsid w:val="00D321F8"/>
    <w:rsid w:val="00D3227C"/>
    <w:rsid w:val="00D322C4"/>
    <w:rsid w:val="00D322DA"/>
    <w:rsid w:val="00D32312"/>
    <w:rsid w:val="00D32322"/>
    <w:rsid w:val="00D32377"/>
    <w:rsid w:val="00D32389"/>
    <w:rsid w:val="00D323B6"/>
    <w:rsid w:val="00D323D4"/>
    <w:rsid w:val="00D323EB"/>
    <w:rsid w:val="00D32473"/>
    <w:rsid w:val="00D32496"/>
    <w:rsid w:val="00D324BF"/>
    <w:rsid w:val="00D324DB"/>
    <w:rsid w:val="00D324E4"/>
    <w:rsid w:val="00D32546"/>
    <w:rsid w:val="00D32553"/>
    <w:rsid w:val="00D32557"/>
    <w:rsid w:val="00D32598"/>
    <w:rsid w:val="00D325A1"/>
    <w:rsid w:val="00D325B2"/>
    <w:rsid w:val="00D325DB"/>
    <w:rsid w:val="00D32646"/>
    <w:rsid w:val="00D32666"/>
    <w:rsid w:val="00D3267B"/>
    <w:rsid w:val="00D3269B"/>
    <w:rsid w:val="00D326B9"/>
    <w:rsid w:val="00D326D0"/>
    <w:rsid w:val="00D326F6"/>
    <w:rsid w:val="00D32742"/>
    <w:rsid w:val="00D3274D"/>
    <w:rsid w:val="00D3279A"/>
    <w:rsid w:val="00D327B7"/>
    <w:rsid w:val="00D327D0"/>
    <w:rsid w:val="00D327EA"/>
    <w:rsid w:val="00D32844"/>
    <w:rsid w:val="00D32885"/>
    <w:rsid w:val="00D3288B"/>
    <w:rsid w:val="00D328B3"/>
    <w:rsid w:val="00D328C1"/>
    <w:rsid w:val="00D328C4"/>
    <w:rsid w:val="00D3290C"/>
    <w:rsid w:val="00D32920"/>
    <w:rsid w:val="00D3292F"/>
    <w:rsid w:val="00D3299C"/>
    <w:rsid w:val="00D329B1"/>
    <w:rsid w:val="00D329EB"/>
    <w:rsid w:val="00D329F1"/>
    <w:rsid w:val="00D32A36"/>
    <w:rsid w:val="00D32A5A"/>
    <w:rsid w:val="00D32ACE"/>
    <w:rsid w:val="00D32AD8"/>
    <w:rsid w:val="00D32AFB"/>
    <w:rsid w:val="00D32B11"/>
    <w:rsid w:val="00D32B51"/>
    <w:rsid w:val="00D32BB4"/>
    <w:rsid w:val="00D32C59"/>
    <w:rsid w:val="00D32C85"/>
    <w:rsid w:val="00D32CCC"/>
    <w:rsid w:val="00D32CF4"/>
    <w:rsid w:val="00D32CFB"/>
    <w:rsid w:val="00D32D01"/>
    <w:rsid w:val="00D32D10"/>
    <w:rsid w:val="00D32DA5"/>
    <w:rsid w:val="00D32DD1"/>
    <w:rsid w:val="00D32E00"/>
    <w:rsid w:val="00D32E5F"/>
    <w:rsid w:val="00D32E83"/>
    <w:rsid w:val="00D32EB9"/>
    <w:rsid w:val="00D32EC3"/>
    <w:rsid w:val="00D32ED6"/>
    <w:rsid w:val="00D32F41"/>
    <w:rsid w:val="00D32F54"/>
    <w:rsid w:val="00D32F80"/>
    <w:rsid w:val="00D32FA1"/>
    <w:rsid w:val="00D33026"/>
    <w:rsid w:val="00D33059"/>
    <w:rsid w:val="00D3305B"/>
    <w:rsid w:val="00D33070"/>
    <w:rsid w:val="00D33098"/>
    <w:rsid w:val="00D330E3"/>
    <w:rsid w:val="00D3315C"/>
    <w:rsid w:val="00D33165"/>
    <w:rsid w:val="00D3319D"/>
    <w:rsid w:val="00D33281"/>
    <w:rsid w:val="00D332D9"/>
    <w:rsid w:val="00D33325"/>
    <w:rsid w:val="00D3334A"/>
    <w:rsid w:val="00D3335E"/>
    <w:rsid w:val="00D3336E"/>
    <w:rsid w:val="00D333E3"/>
    <w:rsid w:val="00D3340C"/>
    <w:rsid w:val="00D33452"/>
    <w:rsid w:val="00D33499"/>
    <w:rsid w:val="00D33534"/>
    <w:rsid w:val="00D3354E"/>
    <w:rsid w:val="00D33597"/>
    <w:rsid w:val="00D335EE"/>
    <w:rsid w:val="00D335F8"/>
    <w:rsid w:val="00D33651"/>
    <w:rsid w:val="00D336CE"/>
    <w:rsid w:val="00D33705"/>
    <w:rsid w:val="00D33731"/>
    <w:rsid w:val="00D33788"/>
    <w:rsid w:val="00D337BC"/>
    <w:rsid w:val="00D337E5"/>
    <w:rsid w:val="00D33882"/>
    <w:rsid w:val="00D338A2"/>
    <w:rsid w:val="00D338B5"/>
    <w:rsid w:val="00D33943"/>
    <w:rsid w:val="00D3397C"/>
    <w:rsid w:val="00D339F0"/>
    <w:rsid w:val="00D33A20"/>
    <w:rsid w:val="00D33A36"/>
    <w:rsid w:val="00D33AAE"/>
    <w:rsid w:val="00D33AF0"/>
    <w:rsid w:val="00D33B24"/>
    <w:rsid w:val="00D33B63"/>
    <w:rsid w:val="00D33BB4"/>
    <w:rsid w:val="00D33BD1"/>
    <w:rsid w:val="00D33C97"/>
    <w:rsid w:val="00D33CEE"/>
    <w:rsid w:val="00D33D2A"/>
    <w:rsid w:val="00D33D74"/>
    <w:rsid w:val="00D33D75"/>
    <w:rsid w:val="00D33DB1"/>
    <w:rsid w:val="00D33DC6"/>
    <w:rsid w:val="00D33DD3"/>
    <w:rsid w:val="00D33DE0"/>
    <w:rsid w:val="00D33DF8"/>
    <w:rsid w:val="00D33E00"/>
    <w:rsid w:val="00D33E54"/>
    <w:rsid w:val="00D33E7F"/>
    <w:rsid w:val="00D33F1F"/>
    <w:rsid w:val="00D33F21"/>
    <w:rsid w:val="00D33F42"/>
    <w:rsid w:val="00D33F9F"/>
    <w:rsid w:val="00D33FDF"/>
    <w:rsid w:val="00D34051"/>
    <w:rsid w:val="00D3405C"/>
    <w:rsid w:val="00D3407D"/>
    <w:rsid w:val="00D34087"/>
    <w:rsid w:val="00D340D9"/>
    <w:rsid w:val="00D34100"/>
    <w:rsid w:val="00D34101"/>
    <w:rsid w:val="00D3411F"/>
    <w:rsid w:val="00D34120"/>
    <w:rsid w:val="00D3412E"/>
    <w:rsid w:val="00D34130"/>
    <w:rsid w:val="00D3414C"/>
    <w:rsid w:val="00D3414F"/>
    <w:rsid w:val="00D34186"/>
    <w:rsid w:val="00D341B8"/>
    <w:rsid w:val="00D341D8"/>
    <w:rsid w:val="00D34234"/>
    <w:rsid w:val="00D3429C"/>
    <w:rsid w:val="00D342C5"/>
    <w:rsid w:val="00D3435B"/>
    <w:rsid w:val="00D3436B"/>
    <w:rsid w:val="00D34387"/>
    <w:rsid w:val="00D34397"/>
    <w:rsid w:val="00D34409"/>
    <w:rsid w:val="00D344CB"/>
    <w:rsid w:val="00D3451E"/>
    <w:rsid w:val="00D34523"/>
    <w:rsid w:val="00D34529"/>
    <w:rsid w:val="00D34561"/>
    <w:rsid w:val="00D3456F"/>
    <w:rsid w:val="00D34574"/>
    <w:rsid w:val="00D34582"/>
    <w:rsid w:val="00D34584"/>
    <w:rsid w:val="00D34587"/>
    <w:rsid w:val="00D345B0"/>
    <w:rsid w:val="00D345B4"/>
    <w:rsid w:val="00D345F8"/>
    <w:rsid w:val="00D3461E"/>
    <w:rsid w:val="00D3471E"/>
    <w:rsid w:val="00D34742"/>
    <w:rsid w:val="00D34764"/>
    <w:rsid w:val="00D34839"/>
    <w:rsid w:val="00D348BF"/>
    <w:rsid w:val="00D348D3"/>
    <w:rsid w:val="00D348EF"/>
    <w:rsid w:val="00D34934"/>
    <w:rsid w:val="00D3496D"/>
    <w:rsid w:val="00D34A01"/>
    <w:rsid w:val="00D34A0D"/>
    <w:rsid w:val="00D34A1B"/>
    <w:rsid w:val="00D34A66"/>
    <w:rsid w:val="00D34A82"/>
    <w:rsid w:val="00D34B71"/>
    <w:rsid w:val="00D34BA5"/>
    <w:rsid w:val="00D34BBA"/>
    <w:rsid w:val="00D34BED"/>
    <w:rsid w:val="00D34C10"/>
    <w:rsid w:val="00D34C33"/>
    <w:rsid w:val="00D34C88"/>
    <w:rsid w:val="00D34D18"/>
    <w:rsid w:val="00D34DDC"/>
    <w:rsid w:val="00D34E34"/>
    <w:rsid w:val="00D34E63"/>
    <w:rsid w:val="00D34EAD"/>
    <w:rsid w:val="00D34EC1"/>
    <w:rsid w:val="00D34ECF"/>
    <w:rsid w:val="00D34ED0"/>
    <w:rsid w:val="00D34F00"/>
    <w:rsid w:val="00D34FA3"/>
    <w:rsid w:val="00D34FC8"/>
    <w:rsid w:val="00D3500E"/>
    <w:rsid w:val="00D350AA"/>
    <w:rsid w:val="00D350EE"/>
    <w:rsid w:val="00D3510E"/>
    <w:rsid w:val="00D3512D"/>
    <w:rsid w:val="00D35135"/>
    <w:rsid w:val="00D35166"/>
    <w:rsid w:val="00D35180"/>
    <w:rsid w:val="00D351A7"/>
    <w:rsid w:val="00D351AE"/>
    <w:rsid w:val="00D351B0"/>
    <w:rsid w:val="00D351DD"/>
    <w:rsid w:val="00D3528E"/>
    <w:rsid w:val="00D3529B"/>
    <w:rsid w:val="00D3529C"/>
    <w:rsid w:val="00D352E1"/>
    <w:rsid w:val="00D3530F"/>
    <w:rsid w:val="00D35321"/>
    <w:rsid w:val="00D35341"/>
    <w:rsid w:val="00D3535E"/>
    <w:rsid w:val="00D35420"/>
    <w:rsid w:val="00D35448"/>
    <w:rsid w:val="00D3544D"/>
    <w:rsid w:val="00D35456"/>
    <w:rsid w:val="00D3547D"/>
    <w:rsid w:val="00D354C1"/>
    <w:rsid w:val="00D3550B"/>
    <w:rsid w:val="00D35524"/>
    <w:rsid w:val="00D35549"/>
    <w:rsid w:val="00D3559B"/>
    <w:rsid w:val="00D355FD"/>
    <w:rsid w:val="00D35606"/>
    <w:rsid w:val="00D3560C"/>
    <w:rsid w:val="00D35641"/>
    <w:rsid w:val="00D3567F"/>
    <w:rsid w:val="00D356A4"/>
    <w:rsid w:val="00D356AA"/>
    <w:rsid w:val="00D356B3"/>
    <w:rsid w:val="00D356F0"/>
    <w:rsid w:val="00D3572E"/>
    <w:rsid w:val="00D35806"/>
    <w:rsid w:val="00D35809"/>
    <w:rsid w:val="00D35858"/>
    <w:rsid w:val="00D358B6"/>
    <w:rsid w:val="00D35905"/>
    <w:rsid w:val="00D35936"/>
    <w:rsid w:val="00D3596C"/>
    <w:rsid w:val="00D359DD"/>
    <w:rsid w:val="00D35A18"/>
    <w:rsid w:val="00D35AA5"/>
    <w:rsid w:val="00D35AF1"/>
    <w:rsid w:val="00D35B14"/>
    <w:rsid w:val="00D35B1B"/>
    <w:rsid w:val="00D35B61"/>
    <w:rsid w:val="00D35B69"/>
    <w:rsid w:val="00D35BC3"/>
    <w:rsid w:val="00D35C06"/>
    <w:rsid w:val="00D35C16"/>
    <w:rsid w:val="00D35C1C"/>
    <w:rsid w:val="00D35C3A"/>
    <w:rsid w:val="00D35C5A"/>
    <w:rsid w:val="00D35C65"/>
    <w:rsid w:val="00D35C74"/>
    <w:rsid w:val="00D35C83"/>
    <w:rsid w:val="00D35CFE"/>
    <w:rsid w:val="00D35D37"/>
    <w:rsid w:val="00D35D73"/>
    <w:rsid w:val="00D35D90"/>
    <w:rsid w:val="00D35D93"/>
    <w:rsid w:val="00D35DC9"/>
    <w:rsid w:val="00D35E1F"/>
    <w:rsid w:val="00D35E6C"/>
    <w:rsid w:val="00D35E89"/>
    <w:rsid w:val="00D35EA2"/>
    <w:rsid w:val="00D35EAD"/>
    <w:rsid w:val="00D35EFB"/>
    <w:rsid w:val="00D35F0C"/>
    <w:rsid w:val="00D35F59"/>
    <w:rsid w:val="00D36036"/>
    <w:rsid w:val="00D36074"/>
    <w:rsid w:val="00D36077"/>
    <w:rsid w:val="00D360B0"/>
    <w:rsid w:val="00D360BE"/>
    <w:rsid w:val="00D3615F"/>
    <w:rsid w:val="00D361A2"/>
    <w:rsid w:val="00D361B2"/>
    <w:rsid w:val="00D361B3"/>
    <w:rsid w:val="00D36228"/>
    <w:rsid w:val="00D36245"/>
    <w:rsid w:val="00D3624C"/>
    <w:rsid w:val="00D36254"/>
    <w:rsid w:val="00D36271"/>
    <w:rsid w:val="00D362DE"/>
    <w:rsid w:val="00D36315"/>
    <w:rsid w:val="00D36376"/>
    <w:rsid w:val="00D3641C"/>
    <w:rsid w:val="00D3643A"/>
    <w:rsid w:val="00D36473"/>
    <w:rsid w:val="00D3648F"/>
    <w:rsid w:val="00D3649A"/>
    <w:rsid w:val="00D364A0"/>
    <w:rsid w:val="00D364AC"/>
    <w:rsid w:val="00D364FA"/>
    <w:rsid w:val="00D36511"/>
    <w:rsid w:val="00D36525"/>
    <w:rsid w:val="00D36574"/>
    <w:rsid w:val="00D36577"/>
    <w:rsid w:val="00D3659A"/>
    <w:rsid w:val="00D3660F"/>
    <w:rsid w:val="00D3661B"/>
    <w:rsid w:val="00D36651"/>
    <w:rsid w:val="00D3667D"/>
    <w:rsid w:val="00D366F0"/>
    <w:rsid w:val="00D3671A"/>
    <w:rsid w:val="00D3672A"/>
    <w:rsid w:val="00D3676C"/>
    <w:rsid w:val="00D367BF"/>
    <w:rsid w:val="00D367F6"/>
    <w:rsid w:val="00D36813"/>
    <w:rsid w:val="00D36903"/>
    <w:rsid w:val="00D3691C"/>
    <w:rsid w:val="00D3698A"/>
    <w:rsid w:val="00D369BE"/>
    <w:rsid w:val="00D369E5"/>
    <w:rsid w:val="00D369EB"/>
    <w:rsid w:val="00D369F7"/>
    <w:rsid w:val="00D36A33"/>
    <w:rsid w:val="00D36A54"/>
    <w:rsid w:val="00D36A72"/>
    <w:rsid w:val="00D36AAA"/>
    <w:rsid w:val="00D36ACF"/>
    <w:rsid w:val="00D36B11"/>
    <w:rsid w:val="00D36B12"/>
    <w:rsid w:val="00D36B13"/>
    <w:rsid w:val="00D36B8D"/>
    <w:rsid w:val="00D36BD3"/>
    <w:rsid w:val="00D36BE5"/>
    <w:rsid w:val="00D36C0B"/>
    <w:rsid w:val="00D36C46"/>
    <w:rsid w:val="00D36C49"/>
    <w:rsid w:val="00D36C6A"/>
    <w:rsid w:val="00D36C70"/>
    <w:rsid w:val="00D36CA4"/>
    <w:rsid w:val="00D36CD1"/>
    <w:rsid w:val="00D36D0B"/>
    <w:rsid w:val="00D36D21"/>
    <w:rsid w:val="00D36D66"/>
    <w:rsid w:val="00D36D89"/>
    <w:rsid w:val="00D36D8E"/>
    <w:rsid w:val="00D36DAF"/>
    <w:rsid w:val="00D36DC2"/>
    <w:rsid w:val="00D36DEF"/>
    <w:rsid w:val="00D36DF0"/>
    <w:rsid w:val="00D36EF0"/>
    <w:rsid w:val="00D36EFC"/>
    <w:rsid w:val="00D36F51"/>
    <w:rsid w:val="00D36F64"/>
    <w:rsid w:val="00D36FB8"/>
    <w:rsid w:val="00D36FD7"/>
    <w:rsid w:val="00D36FDC"/>
    <w:rsid w:val="00D36FE4"/>
    <w:rsid w:val="00D36FF9"/>
    <w:rsid w:val="00D37005"/>
    <w:rsid w:val="00D37021"/>
    <w:rsid w:val="00D3704B"/>
    <w:rsid w:val="00D37062"/>
    <w:rsid w:val="00D370A7"/>
    <w:rsid w:val="00D370B8"/>
    <w:rsid w:val="00D370C6"/>
    <w:rsid w:val="00D37101"/>
    <w:rsid w:val="00D37156"/>
    <w:rsid w:val="00D37189"/>
    <w:rsid w:val="00D371D2"/>
    <w:rsid w:val="00D3720B"/>
    <w:rsid w:val="00D3725D"/>
    <w:rsid w:val="00D372B6"/>
    <w:rsid w:val="00D372C2"/>
    <w:rsid w:val="00D372D2"/>
    <w:rsid w:val="00D372E7"/>
    <w:rsid w:val="00D3732D"/>
    <w:rsid w:val="00D3733E"/>
    <w:rsid w:val="00D37370"/>
    <w:rsid w:val="00D3738D"/>
    <w:rsid w:val="00D373AF"/>
    <w:rsid w:val="00D373B5"/>
    <w:rsid w:val="00D37438"/>
    <w:rsid w:val="00D37474"/>
    <w:rsid w:val="00D3747D"/>
    <w:rsid w:val="00D375BF"/>
    <w:rsid w:val="00D375C5"/>
    <w:rsid w:val="00D375DE"/>
    <w:rsid w:val="00D3763E"/>
    <w:rsid w:val="00D37721"/>
    <w:rsid w:val="00D37731"/>
    <w:rsid w:val="00D37754"/>
    <w:rsid w:val="00D37768"/>
    <w:rsid w:val="00D3779A"/>
    <w:rsid w:val="00D377A5"/>
    <w:rsid w:val="00D377EF"/>
    <w:rsid w:val="00D3780F"/>
    <w:rsid w:val="00D3782B"/>
    <w:rsid w:val="00D3791E"/>
    <w:rsid w:val="00D3795C"/>
    <w:rsid w:val="00D37998"/>
    <w:rsid w:val="00D379CE"/>
    <w:rsid w:val="00D379DA"/>
    <w:rsid w:val="00D37A0F"/>
    <w:rsid w:val="00D37A3B"/>
    <w:rsid w:val="00D37A62"/>
    <w:rsid w:val="00D37A8D"/>
    <w:rsid w:val="00D37A9B"/>
    <w:rsid w:val="00D37A9E"/>
    <w:rsid w:val="00D37AA0"/>
    <w:rsid w:val="00D37AA4"/>
    <w:rsid w:val="00D37AE8"/>
    <w:rsid w:val="00D37B3B"/>
    <w:rsid w:val="00D37B72"/>
    <w:rsid w:val="00D37B78"/>
    <w:rsid w:val="00D37B8A"/>
    <w:rsid w:val="00D37BBF"/>
    <w:rsid w:val="00D37BD6"/>
    <w:rsid w:val="00D37C20"/>
    <w:rsid w:val="00D37CA7"/>
    <w:rsid w:val="00D37CF8"/>
    <w:rsid w:val="00D37D0B"/>
    <w:rsid w:val="00D37D16"/>
    <w:rsid w:val="00D37D31"/>
    <w:rsid w:val="00D37D85"/>
    <w:rsid w:val="00D37E00"/>
    <w:rsid w:val="00D37E0B"/>
    <w:rsid w:val="00D37E13"/>
    <w:rsid w:val="00D37E5C"/>
    <w:rsid w:val="00D37F13"/>
    <w:rsid w:val="00D37FAD"/>
    <w:rsid w:val="00D40039"/>
    <w:rsid w:val="00D40053"/>
    <w:rsid w:val="00D40084"/>
    <w:rsid w:val="00D4010C"/>
    <w:rsid w:val="00D40125"/>
    <w:rsid w:val="00D4012A"/>
    <w:rsid w:val="00D40178"/>
    <w:rsid w:val="00D4018B"/>
    <w:rsid w:val="00D401A3"/>
    <w:rsid w:val="00D401AD"/>
    <w:rsid w:val="00D401C3"/>
    <w:rsid w:val="00D401FA"/>
    <w:rsid w:val="00D40228"/>
    <w:rsid w:val="00D40229"/>
    <w:rsid w:val="00D40236"/>
    <w:rsid w:val="00D40239"/>
    <w:rsid w:val="00D40241"/>
    <w:rsid w:val="00D4029C"/>
    <w:rsid w:val="00D402CC"/>
    <w:rsid w:val="00D402DB"/>
    <w:rsid w:val="00D40309"/>
    <w:rsid w:val="00D40310"/>
    <w:rsid w:val="00D40351"/>
    <w:rsid w:val="00D40353"/>
    <w:rsid w:val="00D40388"/>
    <w:rsid w:val="00D403E6"/>
    <w:rsid w:val="00D40447"/>
    <w:rsid w:val="00D40449"/>
    <w:rsid w:val="00D404A4"/>
    <w:rsid w:val="00D404E5"/>
    <w:rsid w:val="00D40590"/>
    <w:rsid w:val="00D405A1"/>
    <w:rsid w:val="00D405AE"/>
    <w:rsid w:val="00D405C3"/>
    <w:rsid w:val="00D405E9"/>
    <w:rsid w:val="00D40641"/>
    <w:rsid w:val="00D40693"/>
    <w:rsid w:val="00D4069A"/>
    <w:rsid w:val="00D406A6"/>
    <w:rsid w:val="00D406AC"/>
    <w:rsid w:val="00D40741"/>
    <w:rsid w:val="00D40758"/>
    <w:rsid w:val="00D407AC"/>
    <w:rsid w:val="00D407BB"/>
    <w:rsid w:val="00D40823"/>
    <w:rsid w:val="00D40843"/>
    <w:rsid w:val="00D4084B"/>
    <w:rsid w:val="00D40864"/>
    <w:rsid w:val="00D40888"/>
    <w:rsid w:val="00D4089A"/>
    <w:rsid w:val="00D40930"/>
    <w:rsid w:val="00D40954"/>
    <w:rsid w:val="00D40967"/>
    <w:rsid w:val="00D4097F"/>
    <w:rsid w:val="00D40989"/>
    <w:rsid w:val="00D409EB"/>
    <w:rsid w:val="00D40A25"/>
    <w:rsid w:val="00D40A30"/>
    <w:rsid w:val="00D40A32"/>
    <w:rsid w:val="00D40A48"/>
    <w:rsid w:val="00D40A54"/>
    <w:rsid w:val="00D40A5C"/>
    <w:rsid w:val="00D40AD7"/>
    <w:rsid w:val="00D40AFF"/>
    <w:rsid w:val="00D40B3A"/>
    <w:rsid w:val="00D40B7A"/>
    <w:rsid w:val="00D40BBF"/>
    <w:rsid w:val="00D40C3E"/>
    <w:rsid w:val="00D40C66"/>
    <w:rsid w:val="00D40CB3"/>
    <w:rsid w:val="00D40CBC"/>
    <w:rsid w:val="00D40CD2"/>
    <w:rsid w:val="00D40D1E"/>
    <w:rsid w:val="00D40D5B"/>
    <w:rsid w:val="00D40D92"/>
    <w:rsid w:val="00D40DCD"/>
    <w:rsid w:val="00D40DDB"/>
    <w:rsid w:val="00D40DE1"/>
    <w:rsid w:val="00D40DF7"/>
    <w:rsid w:val="00D40E52"/>
    <w:rsid w:val="00D40E71"/>
    <w:rsid w:val="00D40E73"/>
    <w:rsid w:val="00D40E83"/>
    <w:rsid w:val="00D40EDD"/>
    <w:rsid w:val="00D40EEA"/>
    <w:rsid w:val="00D40F1B"/>
    <w:rsid w:val="00D40F2D"/>
    <w:rsid w:val="00D40F42"/>
    <w:rsid w:val="00D40F6A"/>
    <w:rsid w:val="00D40FAE"/>
    <w:rsid w:val="00D40FB8"/>
    <w:rsid w:val="00D410FC"/>
    <w:rsid w:val="00D4110E"/>
    <w:rsid w:val="00D41125"/>
    <w:rsid w:val="00D41147"/>
    <w:rsid w:val="00D4117D"/>
    <w:rsid w:val="00D411B1"/>
    <w:rsid w:val="00D411E8"/>
    <w:rsid w:val="00D41218"/>
    <w:rsid w:val="00D41237"/>
    <w:rsid w:val="00D4125B"/>
    <w:rsid w:val="00D41268"/>
    <w:rsid w:val="00D4126D"/>
    <w:rsid w:val="00D41274"/>
    <w:rsid w:val="00D41298"/>
    <w:rsid w:val="00D412EB"/>
    <w:rsid w:val="00D412F8"/>
    <w:rsid w:val="00D4134D"/>
    <w:rsid w:val="00D41351"/>
    <w:rsid w:val="00D413B2"/>
    <w:rsid w:val="00D413B9"/>
    <w:rsid w:val="00D413E8"/>
    <w:rsid w:val="00D41434"/>
    <w:rsid w:val="00D41440"/>
    <w:rsid w:val="00D41478"/>
    <w:rsid w:val="00D4148A"/>
    <w:rsid w:val="00D4151B"/>
    <w:rsid w:val="00D4152F"/>
    <w:rsid w:val="00D4161A"/>
    <w:rsid w:val="00D41646"/>
    <w:rsid w:val="00D416BB"/>
    <w:rsid w:val="00D416D2"/>
    <w:rsid w:val="00D4171A"/>
    <w:rsid w:val="00D4174E"/>
    <w:rsid w:val="00D4180C"/>
    <w:rsid w:val="00D41820"/>
    <w:rsid w:val="00D41928"/>
    <w:rsid w:val="00D4194F"/>
    <w:rsid w:val="00D419E6"/>
    <w:rsid w:val="00D41A06"/>
    <w:rsid w:val="00D41A2F"/>
    <w:rsid w:val="00D41A9B"/>
    <w:rsid w:val="00D41AAD"/>
    <w:rsid w:val="00D41AB2"/>
    <w:rsid w:val="00D41AF6"/>
    <w:rsid w:val="00D41B01"/>
    <w:rsid w:val="00D41B10"/>
    <w:rsid w:val="00D41B6A"/>
    <w:rsid w:val="00D41B7D"/>
    <w:rsid w:val="00D41B90"/>
    <w:rsid w:val="00D41B92"/>
    <w:rsid w:val="00D41B9A"/>
    <w:rsid w:val="00D41C10"/>
    <w:rsid w:val="00D41C38"/>
    <w:rsid w:val="00D41C41"/>
    <w:rsid w:val="00D41D15"/>
    <w:rsid w:val="00D41D52"/>
    <w:rsid w:val="00D41DF9"/>
    <w:rsid w:val="00D41E15"/>
    <w:rsid w:val="00D41E7E"/>
    <w:rsid w:val="00D41E9B"/>
    <w:rsid w:val="00D41EC8"/>
    <w:rsid w:val="00D41EDF"/>
    <w:rsid w:val="00D41F48"/>
    <w:rsid w:val="00D41F97"/>
    <w:rsid w:val="00D41FA1"/>
    <w:rsid w:val="00D42019"/>
    <w:rsid w:val="00D42073"/>
    <w:rsid w:val="00D4207D"/>
    <w:rsid w:val="00D42088"/>
    <w:rsid w:val="00D4208C"/>
    <w:rsid w:val="00D420A0"/>
    <w:rsid w:val="00D4211C"/>
    <w:rsid w:val="00D4214C"/>
    <w:rsid w:val="00D421F1"/>
    <w:rsid w:val="00D42239"/>
    <w:rsid w:val="00D42349"/>
    <w:rsid w:val="00D423B5"/>
    <w:rsid w:val="00D423B8"/>
    <w:rsid w:val="00D423DC"/>
    <w:rsid w:val="00D42429"/>
    <w:rsid w:val="00D4247F"/>
    <w:rsid w:val="00D4249A"/>
    <w:rsid w:val="00D424B2"/>
    <w:rsid w:val="00D424B5"/>
    <w:rsid w:val="00D424DB"/>
    <w:rsid w:val="00D42530"/>
    <w:rsid w:val="00D4260A"/>
    <w:rsid w:val="00D4263E"/>
    <w:rsid w:val="00D42652"/>
    <w:rsid w:val="00D42689"/>
    <w:rsid w:val="00D426C7"/>
    <w:rsid w:val="00D426E0"/>
    <w:rsid w:val="00D42737"/>
    <w:rsid w:val="00D42785"/>
    <w:rsid w:val="00D427A8"/>
    <w:rsid w:val="00D42803"/>
    <w:rsid w:val="00D428EF"/>
    <w:rsid w:val="00D4292E"/>
    <w:rsid w:val="00D42983"/>
    <w:rsid w:val="00D42996"/>
    <w:rsid w:val="00D4299D"/>
    <w:rsid w:val="00D429F3"/>
    <w:rsid w:val="00D42A1B"/>
    <w:rsid w:val="00D42A60"/>
    <w:rsid w:val="00D42AAE"/>
    <w:rsid w:val="00D42B14"/>
    <w:rsid w:val="00D42B3D"/>
    <w:rsid w:val="00D42B40"/>
    <w:rsid w:val="00D42B71"/>
    <w:rsid w:val="00D42BFF"/>
    <w:rsid w:val="00D42CEB"/>
    <w:rsid w:val="00D42D2D"/>
    <w:rsid w:val="00D42E11"/>
    <w:rsid w:val="00D42E54"/>
    <w:rsid w:val="00D42E60"/>
    <w:rsid w:val="00D42E9D"/>
    <w:rsid w:val="00D42EB7"/>
    <w:rsid w:val="00D42EBA"/>
    <w:rsid w:val="00D42EC2"/>
    <w:rsid w:val="00D42EC7"/>
    <w:rsid w:val="00D42F35"/>
    <w:rsid w:val="00D42F83"/>
    <w:rsid w:val="00D42FA9"/>
    <w:rsid w:val="00D42FD2"/>
    <w:rsid w:val="00D43020"/>
    <w:rsid w:val="00D4302A"/>
    <w:rsid w:val="00D430D3"/>
    <w:rsid w:val="00D430E0"/>
    <w:rsid w:val="00D43100"/>
    <w:rsid w:val="00D43101"/>
    <w:rsid w:val="00D43139"/>
    <w:rsid w:val="00D4318F"/>
    <w:rsid w:val="00D431B7"/>
    <w:rsid w:val="00D431BA"/>
    <w:rsid w:val="00D4324A"/>
    <w:rsid w:val="00D43255"/>
    <w:rsid w:val="00D432B2"/>
    <w:rsid w:val="00D432D5"/>
    <w:rsid w:val="00D4331F"/>
    <w:rsid w:val="00D43322"/>
    <w:rsid w:val="00D43343"/>
    <w:rsid w:val="00D433F1"/>
    <w:rsid w:val="00D43401"/>
    <w:rsid w:val="00D4343F"/>
    <w:rsid w:val="00D434AC"/>
    <w:rsid w:val="00D434AE"/>
    <w:rsid w:val="00D434C1"/>
    <w:rsid w:val="00D43501"/>
    <w:rsid w:val="00D4354A"/>
    <w:rsid w:val="00D4354F"/>
    <w:rsid w:val="00D43551"/>
    <w:rsid w:val="00D43594"/>
    <w:rsid w:val="00D435B5"/>
    <w:rsid w:val="00D435C4"/>
    <w:rsid w:val="00D435CC"/>
    <w:rsid w:val="00D435D8"/>
    <w:rsid w:val="00D435EB"/>
    <w:rsid w:val="00D435FB"/>
    <w:rsid w:val="00D43619"/>
    <w:rsid w:val="00D4361E"/>
    <w:rsid w:val="00D436E2"/>
    <w:rsid w:val="00D43707"/>
    <w:rsid w:val="00D43719"/>
    <w:rsid w:val="00D4376D"/>
    <w:rsid w:val="00D437CA"/>
    <w:rsid w:val="00D437EC"/>
    <w:rsid w:val="00D43802"/>
    <w:rsid w:val="00D43805"/>
    <w:rsid w:val="00D4380C"/>
    <w:rsid w:val="00D43841"/>
    <w:rsid w:val="00D43850"/>
    <w:rsid w:val="00D43853"/>
    <w:rsid w:val="00D43857"/>
    <w:rsid w:val="00D43865"/>
    <w:rsid w:val="00D43873"/>
    <w:rsid w:val="00D438B5"/>
    <w:rsid w:val="00D438F9"/>
    <w:rsid w:val="00D43901"/>
    <w:rsid w:val="00D43919"/>
    <w:rsid w:val="00D4393D"/>
    <w:rsid w:val="00D439AF"/>
    <w:rsid w:val="00D439B1"/>
    <w:rsid w:val="00D439B6"/>
    <w:rsid w:val="00D439CE"/>
    <w:rsid w:val="00D43A2E"/>
    <w:rsid w:val="00D43A4B"/>
    <w:rsid w:val="00D43A6B"/>
    <w:rsid w:val="00D43AA7"/>
    <w:rsid w:val="00D43AED"/>
    <w:rsid w:val="00D43B52"/>
    <w:rsid w:val="00D43B57"/>
    <w:rsid w:val="00D43B8C"/>
    <w:rsid w:val="00D43B9C"/>
    <w:rsid w:val="00D43BFA"/>
    <w:rsid w:val="00D43C2E"/>
    <w:rsid w:val="00D43C34"/>
    <w:rsid w:val="00D43C55"/>
    <w:rsid w:val="00D43C6D"/>
    <w:rsid w:val="00D43C78"/>
    <w:rsid w:val="00D43C9E"/>
    <w:rsid w:val="00D43CB2"/>
    <w:rsid w:val="00D43D0A"/>
    <w:rsid w:val="00D43D3D"/>
    <w:rsid w:val="00D43D9A"/>
    <w:rsid w:val="00D43D9C"/>
    <w:rsid w:val="00D43DAF"/>
    <w:rsid w:val="00D43E10"/>
    <w:rsid w:val="00D43E21"/>
    <w:rsid w:val="00D43E31"/>
    <w:rsid w:val="00D43E45"/>
    <w:rsid w:val="00D43EFC"/>
    <w:rsid w:val="00D43F99"/>
    <w:rsid w:val="00D4404D"/>
    <w:rsid w:val="00D440CC"/>
    <w:rsid w:val="00D44101"/>
    <w:rsid w:val="00D44120"/>
    <w:rsid w:val="00D44147"/>
    <w:rsid w:val="00D441C9"/>
    <w:rsid w:val="00D441CD"/>
    <w:rsid w:val="00D441CE"/>
    <w:rsid w:val="00D441D8"/>
    <w:rsid w:val="00D441E5"/>
    <w:rsid w:val="00D44209"/>
    <w:rsid w:val="00D4423F"/>
    <w:rsid w:val="00D44290"/>
    <w:rsid w:val="00D442EF"/>
    <w:rsid w:val="00D44318"/>
    <w:rsid w:val="00D44340"/>
    <w:rsid w:val="00D44372"/>
    <w:rsid w:val="00D443A8"/>
    <w:rsid w:val="00D443D7"/>
    <w:rsid w:val="00D4440C"/>
    <w:rsid w:val="00D44436"/>
    <w:rsid w:val="00D44462"/>
    <w:rsid w:val="00D4449A"/>
    <w:rsid w:val="00D444EE"/>
    <w:rsid w:val="00D44504"/>
    <w:rsid w:val="00D44528"/>
    <w:rsid w:val="00D4456B"/>
    <w:rsid w:val="00D445A1"/>
    <w:rsid w:val="00D445D6"/>
    <w:rsid w:val="00D445DF"/>
    <w:rsid w:val="00D445F1"/>
    <w:rsid w:val="00D44605"/>
    <w:rsid w:val="00D44686"/>
    <w:rsid w:val="00D446E5"/>
    <w:rsid w:val="00D44700"/>
    <w:rsid w:val="00D4471E"/>
    <w:rsid w:val="00D44725"/>
    <w:rsid w:val="00D44759"/>
    <w:rsid w:val="00D44795"/>
    <w:rsid w:val="00D447DA"/>
    <w:rsid w:val="00D4482E"/>
    <w:rsid w:val="00D44863"/>
    <w:rsid w:val="00D4486A"/>
    <w:rsid w:val="00D448FE"/>
    <w:rsid w:val="00D44946"/>
    <w:rsid w:val="00D44957"/>
    <w:rsid w:val="00D449A1"/>
    <w:rsid w:val="00D449DE"/>
    <w:rsid w:val="00D449F1"/>
    <w:rsid w:val="00D44A2E"/>
    <w:rsid w:val="00D44A8E"/>
    <w:rsid w:val="00D44AC7"/>
    <w:rsid w:val="00D44B43"/>
    <w:rsid w:val="00D44BFA"/>
    <w:rsid w:val="00D44C1D"/>
    <w:rsid w:val="00D44C50"/>
    <w:rsid w:val="00D44C90"/>
    <w:rsid w:val="00D44CCB"/>
    <w:rsid w:val="00D44D21"/>
    <w:rsid w:val="00D44D33"/>
    <w:rsid w:val="00D44D40"/>
    <w:rsid w:val="00D44D96"/>
    <w:rsid w:val="00D44DB1"/>
    <w:rsid w:val="00D44DB9"/>
    <w:rsid w:val="00D44DC6"/>
    <w:rsid w:val="00D44E39"/>
    <w:rsid w:val="00D44E3B"/>
    <w:rsid w:val="00D44E4D"/>
    <w:rsid w:val="00D44E67"/>
    <w:rsid w:val="00D44E72"/>
    <w:rsid w:val="00D44E94"/>
    <w:rsid w:val="00D44EB9"/>
    <w:rsid w:val="00D44ED7"/>
    <w:rsid w:val="00D44EDD"/>
    <w:rsid w:val="00D44FC7"/>
    <w:rsid w:val="00D450B4"/>
    <w:rsid w:val="00D450D4"/>
    <w:rsid w:val="00D45100"/>
    <w:rsid w:val="00D4510D"/>
    <w:rsid w:val="00D4511D"/>
    <w:rsid w:val="00D45179"/>
    <w:rsid w:val="00D451C7"/>
    <w:rsid w:val="00D451D4"/>
    <w:rsid w:val="00D4520A"/>
    <w:rsid w:val="00D45224"/>
    <w:rsid w:val="00D45313"/>
    <w:rsid w:val="00D45335"/>
    <w:rsid w:val="00D4537E"/>
    <w:rsid w:val="00D453A2"/>
    <w:rsid w:val="00D45481"/>
    <w:rsid w:val="00D4548F"/>
    <w:rsid w:val="00D454AB"/>
    <w:rsid w:val="00D454BE"/>
    <w:rsid w:val="00D454C0"/>
    <w:rsid w:val="00D45506"/>
    <w:rsid w:val="00D45511"/>
    <w:rsid w:val="00D4552C"/>
    <w:rsid w:val="00D45586"/>
    <w:rsid w:val="00D45599"/>
    <w:rsid w:val="00D455FB"/>
    <w:rsid w:val="00D4560C"/>
    <w:rsid w:val="00D4561F"/>
    <w:rsid w:val="00D45699"/>
    <w:rsid w:val="00D45710"/>
    <w:rsid w:val="00D45720"/>
    <w:rsid w:val="00D4573A"/>
    <w:rsid w:val="00D457EB"/>
    <w:rsid w:val="00D457F5"/>
    <w:rsid w:val="00D45842"/>
    <w:rsid w:val="00D458EA"/>
    <w:rsid w:val="00D459BE"/>
    <w:rsid w:val="00D459DB"/>
    <w:rsid w:val="00D459E6"/>
    <w:rsid w:val="00D45A19"/>
    <w:rsid w:val="00D45A41"/>
    <w:rsid w:val="00D45A63"/>
    <w:rsid w:val="00D45A6F"/>
    <w:rsid w:val="00D45A76"/>
    <w:rsid w:val="00D45A8E"/>
    <w:rsid w:val="00D45A9A"/>
    <w:rsid w:val="00D45AF6"/>
    <w:rsid w:val="00D45B04"/>
    <w:rsid w:val="00D45B4D"/>
    <w:rsid w:val="00D45BC2"/>
    <w:rsid w:val="00D45BD9"/>
    <w:rsid w:val="00D45BE9"/>
    <w:rsid w:val="00D45BFA"/>
    <w:rsid w:val="00D45C06"/>
    <w:rsid w:val="00D45C59"/>
    <w:rsid w:val="00D45C5F"/>
    <w:rsid w:val="00D45C62"/>
    <w:rsid w:val="00D45C9E"/>
    <w:rsid w:val="00D45D55"/>
    <w:rsid w:val="00D45D70"/>
    <w:rsid w:val="00D45D71"/>
    <w:rsid w:val="00D45D79"/>
    <w:rsid w:val="00D45DFD"/>
    <w:rsid w:val="00D45E19"/>
    <w:rsid w:val="00D45E41"/>
    <w:rsid w:val="00D45E4D"/>
    <w:rsid w:val="00D45E5C"/>
    <w:rsid w:val="00D45E79"/>
    <w:rsid w:val="00D45EBB"/>
    <w:rsid w:val="00D45F05"/>
    <w:rsid w:val="00D45F7C"/>
    <w:rsid w:val="00D45F9F"/>
    <w:rsid w:val="00D45FAD"/>
    <w:rsid w:val="00D45FCF"/>
    <w:rsid w:val="00D4600E"/>
    <w:rsid w:val="00D4605F"/>
    <w:rsid w:val="00D46082"/>
    <w:rsid w:val="00D460B3"/>
    <w:rsid w:val="00D460CD"/>
    <w:rsid w:val="00D460D2"/>
    <w:rsid w:val="00D461C2"/>
    <w:rsid w:val="00D4620B"/>
    <w:rsid w:val="00D4620D"/>
    <w:rsid w:val="00D46267"/>
    <w:rsid w:val="00D46268"/>
    <w:rsid w:val="00D4627B"/>
    <w:rsid w:val="00D462F0"/>
    <w:rsid w:val="00D4630A"/>
    <w:rsid w:val="00D4632A"/>
    <w:rsid w:val="00D4634D"/>
    <w:rsid w:val="00D46371"/>
    <w:rsid w:val="00D463D3"/>
    <w:rsid w:val="00D46430"/>
    <w:rsid w:val="00D4646B"/>
    <w:rsid w:val="00D4648F"/>
    <w:rsid w:val="00D464BC"/>
    <w:rsid w:val="00D464C4"/>
    <w:rsid w:val="00D464D8"/>
    <w:rsid w:val="00D4651F"/>
    <w:rsid w:val="00D46548"/>
    <w:rsid w:val="00D46563"/>
    <w:rsid w:val="00D4656A"/>
    <w:rsid w:val="00D465A8"/>
    <w:rsid w:val="00D465AF"/>
    <w:rsid w:val="00D465C2"/>
    <w:rsid w:val="00D46673"/>
    <w:rsid w:val="00D466B0"/>
    <w:rsid w:val="00D4675E"/>
    <w:rsid w:val="00D46775"/>
    <w:rsid w:val="00D4678C"/>
    <w:rsid w:val="00D46795"/>
    <w:rsid w:val="00D46797"/>
    <w:rsid w:val="00D4681D"/>
    <w:rsid w:val="00D4681F"/>
    <w:rsid w:val="00D4682D"/>
    <w:rsid w:val="00D46859"/>
    <w:rsid w:val="00D46873"/>
    <w:rsid w:val="00D46896"/>
    <w:rsid w:val="00D468EF"/>
    <w:rsid w:val="00D468FA"/>
    <w:rsid w:val="00D4693C"/>
    <w:rsid w:val="00D46A12"/>
    <w:rsid w:val="00D46A64"/>
    <w:rsid w:val="00D46A69"/>
    <w:rsid w:val="00D46A76"/>
    <w:rsid w:val="00D46AB6"/>
    <w:rsid w:val="00D46ADE"/>
    <w:rsid w:val="00D46ADF"/>
    <w:rsid w:val="00D46B2D"/>
    <w:rsid w:val="00D46B65"/>
    <w:rsid w:val="00D46BBC"/>
    <w:rsid w:val="00D46C16"/>
    <w:rsid w:val="00D46C20"/>
    <w:rsid w:val="00D46C2F"/>
    <w:rsid w:val="00D46C50"/>
    <w:rsid w:val="00D46C78"/>
    <w:rsid w:val="00D46C85"/>
    <w:rsid w:val="00D46CDD"/>
    <w:rsid w:val="00D46D14"/>
    <w:rsid w:val="00D46D5C"/>
    <w:rsid w:val="00D46D6A"/>
    <w:rsid w:val="00D46E97"/>
    <w:rsid w:val="00D46EAB"/>
    <w:rsid w:val="00D46F3D"/>
    <w:rsid w:val="00D46F74"/>
    <w:rsid w:val="00D46FAD"/>
    <w:rsid w:val="00D46FE1"/>
    <w:rsid w:val="00D46FF3"/>
    <w:rsid w:val="00D46FF6"/>
    <w:rsid w:val="00D47013"/>
    <w:rsid w:val="00D47053"/>
    <w:rsid w:val="00D4706E"/>
    <w:rsid w:val="00D470A4"/>
    <w:rsid w:val="00D470B7"/>
    <w:rsid w:val="00D47102"/>
    <w:rsid w:val="00D47147"/>
    <w:rsid w:val="00D4717E"/>
    <w:rsid w:val="00D471D6"/>
    <w:rsid w:val="00D4720F"/>
    <w:rsid w:val="00D47226"/>
    <w:rsid w:val="00D47250"/>
    <w:rsid w:val="00D47253"/>
    <w:rsid w:val="00D47263"/>
    <w:rsid w:val="00D47269"/>
    <w:rsid w:val="00D472E9"/>
    <w:rsid w:val="00D47367"/>
    <w:rsid w:val="00D4736A"/>
    <w:rsid w:val="00D47378"/>
    <w:rsid w:val="00D473B6"/>
    <w:rsid w:val="00D47414"/>
    <w:rsid w:val="00D47449"/>
    <w:rsid w:val="00D47453"/>
    <w:rsid w:val="00D4745D"/>
    <w:rsid w:val="00D47488"/>
    <w:rsid w:val="00D474BD"/>
    <w:rsid w:val="00D47503"/>
    <w:rsid w:val="00D4752C"/>
    <w:rsid w:val="00D4757B"/>
    <w:rsid w:val="00D475C2"/>
    <w:rsid w:val="00D47620"/>
    <w:rsid w:val="00D4763F"/>
    <w:rsid w:val="00D476F9"/>
    <w:rsid w:val="00D476FD"/>
    <w:rsid w:val="00D4770C"/>
    <w:rsid w:val="00D47711"/>
    <w:rsid w:val="00D4771E"/>
    <w:rsid w:val="00D47748"/>
    <w:rsid w:val="00D4775F"/>
    <w:rsid w:val="00D477A4"/>
    <w:rsid w:val="00D4782C"/>
    <w:rsid w:val="00D47848"/>
    <w:rsid w:val="00D4784F"/>
    <w:rsid w:val="00D47883"/>
    <w:rsid w:val="00D47893"/>
    <w:rsid w:val="00D47896"/>
    <w:rsid w:val="00D478A7"/>
    <w:rsid w:val="00D478AE"/>
    <w:rsid w:val="00D478EE"/>
    <w:rsid w:val="00D47907"/>
    <w:rsid w:val="00D47918"/>
    <w:rsid w:val="00D47931"/>
    <w:rsid w:val="00D47976"/>
    <w:rsid w:val="00D4798C"/>
    <w:rsid w:val="00D479A8"/>
    <w:rsid w:val="00D479B5"/>
    <w:rsid w:val="00D479D5"/>
    <w:rsid w:val="00D479D7"/>
    <w:rsid w:val="00D479E6"/>
    <w:rsid w:val="00D47A1C"/>
    <w:rsid w:val="00D47AA0"/>
    <w:rsid w:val="00D47AE9"/>
    <w:rsid w:val="00D47AF8"/>
    <w:rsid w:val="00D47B01"/>
    <w:rsid w:val="00D47B7F"/>
    <w:rsid w:val="00D47B95"/>
    <w:rsid w:val="00D47C63"/>
    <w:rsid w:val="00D47C64"/>
    <w:rsid w:val="00D47C86"/>
    <w:rsid w:val="00D47C97"/>
    <w:rsid w:val="00D47C9A"/>
    <w:rsid w:val="00D47CD2"/>
    <w:rsid w:val="00D47CD9"/>
    <w:rsid w:val="00D47D13"/>
    <w:rsid w:val="00D47D31"/>
    <w:rsid w:val="00D47D3A"/>
    <w:rsid w:val="00D47D93"/>
    <w:rsid w:val="00D47E26"/>
    <w:rsid w:val="00D47E63"/>
    <w:rsid w:val="00D47EA2"/>
    <w:rsid w:val="00D47EAF"/>
    <w:rsid w:val="00D47EF1"/>
    <w:rsid w:val="00D47F4E"/>
    <w:rsid w:val="00D47F5D"/>
    <w:rsid w:val="00D47F9B"/>
    <w:rsid w:val="00D47FD3"/>
    <w:rsid w:val="00D5000D"/>
    <w:rsid w:val="00D5004B"/>
    <w:rsid w:val="00D500AA"/>
    <w:rsid w:val="00D500D1"/>
    <w:rsid w:val="00D500E8"/>
    <w:rsid w:val="00D50119"/>
    <w:rsid w:val="00D50131"/>
    <w:rsid w:val="00D50138"/>
    <w:rsid w:val="00D5014A"/>
    <w:rsid w:val="00D5016A"/>
    <w:rsid w:val="00D50265"/>
    <w:rsid w:val="00D50272"/>
    <w:rsid w:val="00D50293"/>
    <w:rsid w:val="00D502AC"/>
    <w:rsid w:val="00D502B7"/>
    <w:rsid w:val="00D50357"/>
    <w:rsid w:val="00D50364"/>
    <w:rsid w:val="00D5038A"/>
    <w:rsid w:val="00D50416"/>
    <w:rsid w:val="00D5042E"/>
    <w:rsid w:val="00D50446"/>
    <w:rsid w:val="00D50454"/>
    <w:rsid w:val="00D5045A"/>
    <w:rsid w:val="00D50484"/>
    <w:rsid w:val="00D504B9"/>
    <w:rsid w:val="00D50516"/>
    <w:rsid w:val="00D50529"/>
    <w:rsid w:val="00D5053D"/>
    <w:rsid w:val="00D5058E"/>
    <w:rsid w:val="00D50641"/>
    <w:rsid w:val="00D50649"/>
    <w:rsid w:val="00D50654"/>
    <w:rsid w:val="00D5066A"/>
    <w:rsid w:val="00D50672"/>
    <w:rsid w:val="00D506E1"/>
    <w:rsid w:val="00D5076B"/>
    <w:rsid w:val="00D5077D"/>
    <w:rsid w:val="00D507AA"/>
    <w:rsid w:val="00D507D9"/>
    <w:rsid w:val="00D507F6"/>
    <w:rsid w:val="00D5088A"/>
    <w:rsid w:val="00D50921"/>
    <w:rsid w:val="00D50925"/>
    <w:rsid w:val="00D509C7"/>
    <w:rsid w:val="00D509D5"/>
    <w:rsid w:val="00D50A4B"/>
    <w:rsid w:val="00D50A73"/>
    <w:rsid w:val="00D50A7B"/>
    <w:rsid w:val="00D50AAB"/>
    <w:rsid w:val="00D50ABB"/>
    <w:rsid w:val="00D50AF6"/>
    <w:rsid w:val="00D50B27"/>
    <w:rsid w:val="00D50B3A"/>
    <w:rsid w:val="00D50B57"/>
    <w:rsid w:val="00D50B99"/>
    <w:rsid w:val="00D50BBD"/>
    <w:rsid w:val="00D50BEB"/>
    <w:rsid w:val="00D50C04"/>
    <w:rsid w:val="00D50C31"/>
    <w:rsid w:val="00D50C3B"/>
    <w:rsid w:val="00D50CA9"/>
    <w:rsid w:val="00D50CD1"/>
    <w:rsid w:val="00D50D2B"/>
    <w:rsid w:val="00D50D5D"/>
    <w:rsid w:val="00D50D71"/>
    <w:rsid w:val="00D50D89"/>
    <w:rsid w:val="00D50DEB"/>
    <w:rsid w:val="00D50E63"/>
    <w:rsid w:val="00D50E6A"/>
    <w:rsid w:val="00D50E77"/>
    <w:rsid w:val="00D50E83"/>
    <w:rsid w:val="00D50EA5"/>
    <w:rsid w:val="00D50EB1"/>
    <w:rsid w:val="00D50EC4"/>
    <w:rsid w:val="00D50EEF"/>
    <w:rsid w:val="00D50F37"/>
    <w:rsid w:val="00D50F6F"/>
    <w:rsid w:val="00D50F82"/>
    <w:rsid w:val="00D50F84"/>
    <w:rsid w:val="00D50FD3"/>
    <w:rsid w:val="00D50FFA"/>
    <w:rsid w:val="00D5101C"/>
    <w:rsid w:val="00D51026"/>
    <w:rsid w:val="00D5107E"/>
    <w:rsid w:val="00D51143"/>
    <w:rsid w:val="00D51153"/>
    <w:rsid w:val="00D51209"/>
    <w:rsid w:val="00D5120E"/>
    <w:rsid w:val="00D5128E"/>
    <w:rsid w:val="00D512CC"/>
    <w:rsid w:val="00D51343"/>
    <w:rsid w:val="00D5136F"/>
    <w:rsid w:val="00D51378"/>
    <w:rsid w:val="00D5138C"/>
    <w:rsid w:val="00D51392"/>
    <w:rsid w:val="00D513F8"/>
    <w:rsid w:val="00D51462"/>
    <w:rsid w:val="00D514DA"/>
    <w:rsid w:val="00D5151C"/>
    <w:rsid w:val="00D515A6"/>
    <w:rsid w:val="00D515B2"/>
    <w:rsid w:val="00D515F0"/>
    <w:rsid w:val="00D5164A"/>
    <w:rsid w:val="00D51679"/>
    <w:rsid w:val="00D516E1"/>
    <w:rsid w:val="00D5175F"/>
    <w:rsid w:val="00D51761"/>
    <w:rsid w:val="00D5176D"/>
    <w:rsid w:val="00D51784"/>
    <w:rsid w:val="00D517B1"/>
    <w:rsid w:val="00D51810"/>
    <w:rsid w:val="00D51816"/>
    <w:rsid w:val="00D5183E"/>
    <w:rsid w:val="00D51882"/>
    <w:rsid w:val="00D5188B"/>
    <w:rsid w:val="00D518E1"/>
    <w:rsid w:val="00D518EC"/>
    <w:rsid w:val="00D51969"/>
    <w:rsid w:val="00D51972"/>
    <w:rsid w:val="00D51993"/>
    <w:rsid w:val="00D519AB"/>
    <w:rsid w:val="00D51A40"/>
    <w:rsid w:val="00D51A6A"/>
    <w:rsid w:val="00D51AB2"/>
    <w:rsid w:val="00D51AB6"/>
    <w:rsid w:val="00D51B0D"/>
    <w:rsid w:val="00D51B6A"/>
    <w:rsid w:val="00D51BB4"/>
    <w:rsid w:val="00D51BE8"/>
    <w:rsid w:val="00D51BEB"/>
    <w:rsid w:val="00D51C10"/>
    <w:rsid w:val="00D51C31"/>
    <w:rsid w:val="00D51C5B"/>
    <w:rsid w:val="00D51CA3"/>
    <w:rsid w:val="00D51CC9"/>
    <w:rsid w:val="00D51CE9"/>
    <w:rsid w:val="00D51CEC"/>
    <w:rsid w:val="00D51CFF"/>
    <w:rsid w:val="00D51D86"/>
    <w:rsid w:val="00D51D9D"/>
    <w:rsid w:val="00D51DD0"/>
    <w:rsid w:val="00D51DE8"/>
    <w:rsid w:val="00D51DFD"/>
    <w:rsid w:val="00D51E16"/>
    <w:rsid w:val="00D51E74"/>
    <w:rsid w:val="00D51E7A"/>
    <w:rsid w:val="00D51FE7"/>
    <w:rsid w:val="00D52007"/>
    <w:rsid w:val="00D52035"/>
    <w:rsid w:val="00D5205A"/>
    <w:rsid w:val="00D5205B"/>
    <w:rsid w:val="00D5207F"/>
    <w:rsid w:val="00D52090"/>
    <w:rsid w:val="00D5209D"/>
    <w:rsid w:val="00D5209E"/>
    <w:rsid w:val="00D52102"/>
    <w:rsid w:val="00D5213B"/>
    <w:rsid w:val="00D52144"/>
    <w:rsid w:val="00D52192"/>
    <w:rsid w:val="00D521C9"/>
    <w:rsid w:val="00D521D8"/>
    <w:rsid w:val="00D521E4"/>
    <w:rsid w:val="00D52219"/>
    <w:rsid w:val="00D52232"/>
    <w:rsid w:val="00D52288"/>
    <w:rsid w:val="00D522A7"/>
    <w:rsid w:val="00D522BB"/>
    <w:rsid w:val="00D52307"/>
    <w:rsid w:val="00D52313"/>
    <w:rsid w:val="00D52334"/>
    <w:rsid w:val="00D5236C"/>
    <w:rsid w:val="00D523E3"/>
    <w:rsid w:val="00D523FE"/>
    <w:rsid w:val="00D52416"/>
    <w:rsid w:val="00D5247D"/>
    <w:rsid w:val="00D524BE"/>
    <w:rsid w:val="00D52527"/>
    <w:rsid w:val="00D525A8"/>
    <w:rsid w:val="00D525C2"/>
    <w:rsid w:val="00D525F0"/>
    <w:rsid w:val="00D525FE"/>
    <w:rsid w:val="00D5262B"/>
    <w:rsid w:val="00D5267E"/>
    <w:rsid w:val="00D5268A"/>
    <w:rsid w:val="00D526E4"/>
    <w:rsid w:val="00D52712"/>
    <w:rsid w:val="00D52741"/>
    <w:rsid w:val="00D5274D"/>
    <w:rsid w:val="00D5281C"/>
    <w:rsid w:val="00D52856"/>
    <w:rsid w:val="00D528CF"/>
    <w:rsid w:val="00D528EB"/>
    <w:rsid w:val="00D52921"/>
    <w:rsid w:val="00D5294A"/>
    <w:rsid w:val="00D5295F"/>
    <w:rsid w:val="00D5298B"/>
    <w:rsid w:val="00D52A1E"/>
    <w:rsid w:val="00D52A86"/>
    <w:rsid w:val="00D52AAF"/>
    <w:rsid w:val="00D52ABC"/>
    <w:rsid w:val="00D52AF9"/>
    <w:rsid w:val="00D52B2B"/>
    <w:rsid w:val="00D52B32"/>
    <w:rsid w:val="00D52B7A"/>
    <w:rsid w:val="00D52B7B"/>
    <w:rsid w:val="00D52B7D"/>
    <w:rsid w:val="00D52BAE"/>
    <w:rsid w:val="00D52BBB"/>
    <w:rsid w:val="00D52BED"/>
    <w:rsid w:val="00D52C36"/>
    <w:rsid w:val="00D52C4E"/>
    <w:rsid w:val="00D52C54"/>
    <w:rsid w:val="00D52C5E"/>
    <w:rsid w:val="00D52D21"/>
    <w:rsid w:val="00D52D6E"/>
    <w:rsid w:val="00D52D9D"/>
    <w:rsid w:val="00D52DEF"/>
    <w:rsid w:val="00D52DF0"/>
    <w:rsid w:val="00D52E3D"/>
    <w:rsid w:val="00D52E96"/>
    <w:rsid w:val="00D52EC1"/>
    <w:rsid w:val="00D52F2C"/>
    <w:rsid w:val="00D52F54"/>
    <w:rsid w:val="00D52F66"/>
    <w:rsid w:val="00D52F89"/>
    <w:rsid w:val="00D5300F"/>
    <w:rsid w:val="00D5303D"/>
    <w:rsid w:val="00D5303E"/>
    <w:rsid w:val="00D5303F"/>
    <w:rsid w:val="00D5307E"/>
    <w:rsid w:val="00D530A7"/>
    <w:rsid w:val="00D530CF"/>
    <w:rsid w:val="00D53105"/>
    <w:rsid w:val="00D53114"/>
    <w:rsid w:val="00D53121"/>
    <w:rsid w:val="00D5312A"/>
    <w:rsid w:val="00D5316C"/>
    <w:rsid w:val="00D53226"/>
    <w:rsid w:val="00D53231"/>
    <w:rsid w:val="00D5324F"/>
    <w:rsid w:val="00D532E2"/>
    <w:rsid w:val="00D5332E"/>
    <w:rsid w:val="00D53374"/>
    <w:rsid w:val="00D5340B"/>
    <w:rsid w:val="00D5346C"/>
    <w:rsid w:val="00D53478"/>
    <w:rsid w:val="00D53510"/>
    <w:rsid w:val="00D5354F"/>
    <w:rsid w:val="00D53552"/>
    <w:rsid w:val="00D53569"/>
    <w:rsid w:val="00D5356F"/>
    <w:rsid w:val="00D535B3"/>
    <w:rsid w:val="00D535F3"/>
    <w:rsid w:val="00D5364F"/>
    <w:rsid w:val="00D53683"/>
    <w:rsid w:val="00D536D3"/>
    <w:rsid w:val="00D536E2"/>
    <w:rsid w:val="00D5370C"/>
    <w:rsid w:val="00D53766"/>
    <w:rsid w:val="00D5377F"/>
    <w:rsid w:val="00D5378B"/>
    <w:rsid w:val="00D537F6"/>
    <w:rsid w:val="00D53802"/>
    <w:rsid w:val="00D53828"/>
    <w:rsid w:val="00D5385E"/>
    <w:rsid w:val="00D53861"/>
    <w:rsid w:val="00D538BC"/>
    <w:rsid w:val="00D538EE"/>
    <w:rsid w:val="00D538F1"/>
    <w:rsid w:val="00D53946"/>
    <w:rsid w:val="00D53972"/>
    <w:rsid w:val="00D53987"/>
    <w:rsid w:val="00D539A0"/>
    <w:rsid w:val="00D539B5"/>
    <w:rsid w:val="00D539BF"/>
    <w:rsid w:val="00D539C2"/>
    <w:rsid w:val="00D539C9"/>
    <w:rsid w:val="00D539E7"/>
    <w:rsid w:val="00D53B09"/>
    <w:rsid w:val="00D53B28"/>
    <w:rsid w:val="00D53B40"/>
    <w:rsid w:val="00D53B71"/>
    <w:rsid w:val="00D53B92"/>
    <w:rsid w:val="00D53B93"/>
    <w:rsid w:val="00D53C07"/>
    <w:rsid w:val="00D53C1B"/>
    <w:rsid w:val="00D53C51"/>
    <w:rsid w:val="00D53C5F"/>
    <w:rsid w:val="00D53C9F"/>
    <w:rsid w:val="00D53CA5"/>
    <w:rsid w:val="00D53CE3"/>
    <w:rsid w:val="00D53D01"/>
    <w:rsid w:val="00D53D25"/>
    <w:rsid w:val="00D53D5B"/>
    <w:rsid w:val="00D53E0C"/>
    <w:rsid w:val="00D53E26"/>
    <w:rsid w:val="00D53E37"/>
    <w:rsid w:val="00D53E60"/>
    <w:rsid w:val="00D53E64"/>
    <w:rsid w:val="00D53E6F"/>
    <w:rsid w:val="00D53E74"/>
    <w:rsid w:val="00D53E75"/>
    <w:rsid w:val="00D53EB8"/>
    <w:rsid w:val="00D53ED6"/>
    <w:rsid w:val="00D53F31"/>
    <w:rsid w:val="00D53F6A"/>
    <w:rsid w:val="00D53FCA"/>
    <w:rsid w:val="00D5409E"/>
    <w:rsid w:val="00D54157"/>
    <w:rsid w:val="00D54165"/>
    <w:rsid w:val="00D5416D"/>
    <w:rsid w:val="00D5418B"/>
    <w:rsid w:val="00D54196"/>
    <w:rsid w:val="00D541E4"/>
    <w:rsid w:val="00D54210"/>
    <w:rsid w:val="00D542C1"/>
    <w:rsid w:val="00D542D0"/>
    <w:rsid w:val="00D5430A"/>
    <w:rsid w:val="00D5432F"/>
    <w:rsid w:val="00D54335"/>
    <w:rsid w:val="00D54389"/>
    <w:rsid w:val="00D543A7"/>
    <w:rsid w:val="00D5441F"/>
    <w:rsid w:val="00D5442A"/>
    <w:rsid w:val="00D5442D"/>
    <w:rsid w:val="00D54480"/>
    <w:rsid w:val="00D54496"/>
    <w:rsid w:val="00D544A4"/>
    <w:rsid w:val="00D544A6"/>
    <w:rsid w:val="00D54515"/>
    <w:rsid w:val="00D54575"/>
    <w:rsid w:val="00D54623"/>
    <w:rsid w:val="00D54693"/>
    <w:rsid w:val="00D5469C"/>
    <w:rsid w:val="00D546EA"/>
    <w:rsid w:val="00D546F5"/>
    <w:rsid w:val="00D5471B"/>
    <w:rsid w:val="00D5472A"/>
    <w:rsid w:val="00D54731"/>
    <w:rsid w:val="00D54773"/>
    <w:rsid w:val="00D54788"/>
    <w:rsid w:val="00D547D3"/>
    <w:rsid w:val="00D5482A"/>
    <w:rsid w:val="00D54831"/>
    <w:rsid w:val="00D548C0"/>
    <w:rsid w:val="00D548D1"/>
    <w:rsid w:val="00D548D9"/>
    <w:rsid w:val="00D54938"/>
    <w:rsid w:val="00D54A42"/>
    <w:rsid w:val="00D54A45"/>
    <w:rsid w:val="00D54A4F"/>
    <w:rsid w:val="00D54A93"/>
    <w:rsid w:val="00D54AA5"/>
    <w:rsid w:val="00D54AAA"/>
    <w:rsid w:val="00D54AD1"/>
    <w:rsid w:val="00D54B47"/>
    <w:rsid w:val="00D54B4A"/>
    <w:rsid w:val="00D54B82"/>
    <w:rsid w:val="00D54C08"/>
    <w:rsid w:val="00D54C15"/>
    <w:rsid w:val="00D54C3C"/>
    <w:rsid w:val="00D54C54"/>
    <w:rsid w:val="00D54C75"/>
    <w:rsid w:val="00D54C8D"/>
    <w:rsid w:val="00D54CB6"/>
    <w:rsid w:val="00D54CB8"/>
    <w:rsid w:val="00D54CF2"/>
    <w:rsid w:val="00D54D37"/>
    <w:rsid w:val="00D54D39"/>
    <w:rsid w:val="00D54D81"/>
    <w:rsid w:val="00D54D9D"/>
    <w:rsid w:val="00D54DB6"/>
    <w:rsid w:val="00D54E56"/>
    <w:rsid w:val="00D54E61"/>
    <w:rsid w:val="00D54E72"/>
    <w:rsid w:val="00D54EB8"/>
    <w:rsid w:val="00D54EBD"/>
    <w:rsid w:val="00D54ECE"/>
    <w:rsid w:val="00D54ED1"/>
    <w:rsid w:val="00D54F75"/>
    <w:rsid w:val="00D54F85"/>
    <w:rsid w:val="00D54FB1"/>
    <w:rsid w:val="00D55054"/>
    <w:rsid w:val="00D550F5"/>
    <w:rsid w:val="00D5510C"/>
    <w:rsid w:val="00D55110"/>
    <w:rsid w:val="00D5511C"/>
    <w:rsid w:val="00D55142"/>
    <w:rsid w:val="00D55151"/>
    <w:rsid w:val="00D55168"/>
    <w:rsid w:val="00D55192"/>
    <w:rsid w:val="00D551BC"/>
    <w:rsid w:val="00D551D9"/>
    <w:rsid w:val="00D55236"/>
    <w:rsid w:val="00D55264"/>
    <w:rsid w:val="00D55292"/>
    <w:rsid w:val="00D552EC"/>
    <w:rsid w:val="00D552F9"/>
    <w:rsid w:val="00D552FC"/>
    <w:rsid w:val="00D55307"/>
    <w:rsid w:val="00D5540D"/>
    <w:rsid w:val="00D55433"/>
    <w:rsid w:val="00D554D5"/>
    <w:rsid w:val="00D5550E"/>
    <w:rsid w:val="00D55596"/>
    <w:rsid w:val="00D555B3"/>
    <w:rsid w:val="00D555C8"/>
    <w:rsid w:val="00D555F0"/>
    <w:rsid w:val="00D555F8"/>
    <w:rsid w:val="00D55698"/>
    <w:rsid w:val="00D556A5"/>
    <w:rsid w:val="00D556ED"/>
    <w:rsid w:val="00D55790"/>
    <w:rsid w:val="00D55795"/>
    <w:rsid w:val="00D557A9"/>
    <w:rsid w:val="00D557D7"/>
    <w:rsid w:val="00D557EA"/>
    <w:rsid w:val="00D557F2"/>
    <w:rsid w:val="00D557F4"/>
    <w:rsid w:val="00D55804"/>
    <w:rsid w:val="00D5580C"/>
    <w:rsid w:val="00D5582B"/>
    <w:rsid w:val="00D5584F"/>
    <w:rsid w:val="00D558AE"/>
    <w:rsid w:val="00D558E9"/>
    <w:rsid w:val="00D55910"/>
    <w:rsid w:val="00D55939"/>
    <w:rsid w:val="00D559AD"/>
    <w:rsid w:val="00D559DF"/>
    <w:rsid w:val="00D55A3F"/>
    <w:rsid w:val="00D55A6F"/>
    <w:rsid w:val="00D55B3D"/>
    <w:rsid w:val="00D55B6E"/>
    <w:rsid w:val="00D55C23"/>
    <w:rsid w:val="00D55CC9"/>
    <w:rsid w:val="00D55CD3"/>
    <w:rsid w:val="00D55D79"/>
    <w:rsid w:val="00D55DBB"/>
    <w:rsid w:val="00D55DDD"/>
    <w:rsid w:val="00D55E26"/>
    <w:rsid w:val="00D55E46"/>
    <w:rsid w:val="00D55E8A"/>
    <w:rsid w:val="00D55EF8"/>
    <w:rsid w:val="00D55F06"/>
    <w:rsid w:val="00D55F26"/>
    <w:rsid w:val="00D55F2D"/>
    <w:rsid w:val="00D55F55"/>
    <w:rsid w:val="00D55F78"/>
    <w:rsid w:val="00D560F9"/>
    <w:rsid w:val="00D56103"/>
    <w:rsid w:val="00D5614E"/>
    <w:rsid w:val="00D5614F"/>
    <w:rsid w:val="00D561FC"/>
    <w:rsid w:val="00D5623C"/>
    <w:rsid w:val="00D5625A"/>
    <w:rsid w:val="00D56272"/>
    <w:rsid w:val="00D562A5"/>
    <w:rsid w:val="00D562D7"/>
    <w:rsid w:val="00D562F6"/>
    <w:rsid w:val="00D56389"/>
    <w:rsid w:val="00D563C5"/>
    <w:rsid w:val="00D563D4"/>
    <w:rsid w:val="00D563E4"/>
    <w:rsid w:val="00D563F9"/>
    <w:rsid w:val="00D563FF"/>
    <w:rsid w:val="00D56415"/>
    <w:rsid w:val="00D56421"/>
    <w:rsid w:val="00D56436"/>
    <w:rsid w:val="00D56440"/>
    <w:rsid w:val="00D5645F"/>
    <w:rsid w:val="00D564A5"/>
    <w:rsid w:val="00D564D7"/>
    <w:rsid w:val="00D564FC"/>
    <w:rsid w:val="00D5651F"/>
    <w:rsid w:val="00D5653E"/>
    <w:rsid w:val="00D56542"/>
    <w:rsid w:val="00D56549"/>
    <w:rsid w:val="00D56565"/>
    <w:rsid w:val="00D56571"/>
    <w:rsid w:val="00D565C4"/>
    <w:rsid w:val="00D565E6"/>
    <w:rsid w:val="00D56632"/>
    <w:rsid w:val="00D56638"/>
    <w:rsid w:val="00D5664E"/>
    <w:rsid w:val="00D5666C"/>
    <w:rsid w:val="00D566A7"/>
    <w:rsid w:val="00D566C7"/>
    <w:rsid w:val="00D5670F"/>
    <w:rsid w:val="00D56727"/>
    <w:rsid w:val="00D5672D"/>
    <w:rsid w:val="00D5675E"/>
    <w:rsid w:val="00D56760"/>
    <w:rsid w:val="00D5676A"/>
    <w:rsid w:val="00D5676D"/>
    <w:rsid w:val="00D56784"/>
    <w:rsid w:val="00D567B3"/>
    <w:rsid w:val="00D567C7"/>
    <w:rsid w:val="00D56802"/>
    <w:rsid w:val="00D56814"/>
    <w:rsid w:val="00D5682D"/>
    <w:rsid w:val="00D56871"/>
    <w:rsid w:val="00D5689C"/>
    <w:rsid w:val="00D568A1"/>
    <w:rsid w:val="00D56958"/>
    <w:rsid w:val="00D569AD"/>
    <w:rsid w:val="00D569C8"/>
    <w:rsid w:val="00D56A03"/>
    <w:rsid w:val="00D56A18"/>
    <w:rsid w:val="00D56A4E"/>
    <w:rsid w:val="00D56AC8"/>
    <w:rsid w:val="00D56B03"/>
    <w:rsid w:val="00D56B0A"/>
    <w:rsid w:val="00D56B28"/>
    <w:rsid w:val="00D56B32"/>
    <w:rsid w:val="00D56BB9"/>
    <w:rsid w:val="00D56C0E"/>
    <w:rsid w:val="00D56C26"/>
    <w:rsid w:val="00D56C4A"/>
    <w:rsid w:val="00D56DDD"/>
    <w:rsid w:val="00D56E15"/>
    <w:rsid w:val="00D56E27"/>
    <w:rsid w:val="00D56E6C"/>
    <w:rsid w:val="00D56EB0"/>
    <w:rsid w:val="00D56EB6"/>
    <w:rsid w:val="00D56EC1"/>
    <w:rsid w:val="00D56EDC"/>
    <w:rsid w:val="00D56F57"/>
    <w:rsid w:val="00D56F9A"/>
    <w:rsid w:val="00D56FF3"/>
    <w:rsid w:val="00D57088"/>
    <w:rsid w:val="00D570F0"/>
    <w:rsid w:val="00D57130"/>
    <w:rsid w:val="00D5715A"/>
    <w:rsid w:val="00D57162"/>
    <w:rsid w:val="00D57166"/>
    <w:rsid w:val="00D571A7"/>
    <w:rsid w:val="00D571D6"/>
    <w:rsid w:val="00D571D9"/>
    <w:rsid w:val="00D571E9"/>
    <w:rsid w:val="00D5720E"/>
    <w:rsid w:val="00D5721B"/>
    <w:rsid w:val="00D572A7"/>
    <w:rsid w:val="00D572AC"/>
    <w:rsid w:val="00D572ED"/>
    <w:rsid w:val="00D5732F"/>
    <w:rsid w:val="00D573EB"/>
    <w:rsid w:val="00D57402"/>
    <w:rsid w:val="00D5741F"/>
    <w:rsid w:val="00D5742A"/>
    <w:rsid w:val="00D57467"/>
    <w:rsid w:val="00D574DF"/>
    <w:rsid w:val="00D574ED"/>
    <w:rsid w:val="00D57516"/>
    <w:rsid w:val="00D5755B"/>
    <w:rsid w:val="00D57582"/>
    <w:rsid w:val="00D57618"/>
    <w:rsid w:val="00D57742"/>
    <w:rsid w:val="00D57759"/>
    <w:rsid w:val="00D5780B"/>
    <w:rsid w:val="00D57813"/>
    <w:rsid w:val="00D57841"/>
    <w:rsid w:val="00D5784E"/>
    <w:rsid w:val="00D57895"/>
    <w:rsid w:val="00D57926"/>
    <w:rsid w:val="00D5796F"/>
    <w:rsid w:val="00D579A9"/>
    <w:rsid w:val="00D579CF"/>
    <w:rsid w:val="00D579F9"/>
    <w:rsid w:val="00D57A06"/>
    <w:rsid w:val="00D57A27"/>
    <w:rsid w:val="00D57A35"/>
    <w:rsid w:val="00D57AB2"/>
    <w:rsid w:val="00D57ACB"/>
    <w:rsid w:val="00D57AE2"/>
    <w:rsid w:val="00D57B04"/>
    <w:rsid w:val="00D57B5D"/>
    <w:rsid w:val="00D57BEF"/>
    <w:rsid w:val="00D57C02"/>
    <w:rsid w:val="00D57C1A"/>
    <w:rsid w:val="00D57C62"/>
    <w:rsid w:val="00D57C9F"/>
    <w:rsid w:val="00D57CA9"/>
    <w:rsid w:val="00D57D07"/>
    <w:rsid w:val="00D57D13"/>
    <w:rsid w:val="00D57D81"/>
    <w:rsid w:val="00D57DB5"/>
    <w:rsid w:val="00D57E0F"/>
    <w:rsid w:val="00D57E78"/>
    <w:rsid w:val="00D57E7B"/>
    <w:rsid w:val="00D57EE2"/>
    <w:rsid w:val="00D57F05"/>
    <w:rsid w:val="00D57F14"/>
    <w:rsid w:val="00D57F30"/>
    <w:rsid w:val="00D57F4A"/>
    <w:rsid w:val="00D57F5A"/>
    <w:rsid w:val="00D57F79"/>
    <w:rsid w:val="00D57F82"/>
    <w:rsid w:val="00D57F8D"/>
    <w:rsid w:val="00D57F94"/>
    <w:rsid w:val="00D57FEB"/>
    <w:rsid w:val="00D60001"/>
    <w:rsid w:val="00D60114"/>
    <w:rsid w:val="00D60143"/>
    <w:rsid w:val="00D60156"/>
    <w:rsid w:val="00D60159"/>
    <w:rsid w:val="00D60250"/>
    <w:rsid w:val="00D60282"/>
    <w:rsid w:val="00D602D2"/>
    <w:rsid w:val="00D603BC"/>
    <w:rsid w:val="00D60464"/>
    <w:rsid w:val="00D60467"/>
    <w:rsid w:val="00D60493"/>
    <w:rsid w:val="00D604F8"/>
    <w:rsid w:val="00D605F7"/>
    <w:rsid w:val="00D6068C"/>
    <w:rsid w:val="00D606D6"/>
    <w:rsid w:val="00D60700"/>
    <w:rsid w:val="00D60707"/>
    <w:rsid w:val="00D60742"/>
    <w:rsid w:val="00D6077A"/>
    <w:rsid w:val="00D607DD"/>
    <w:rsid w:val="00D607F1"/>
    <w:rsid w:val="00D60853"/>
    <w:rsid w:val="00D608A4"/>
    <w:rsid w:val="00D608ED"/>
    <w:rsid w:val="00D608F0"/>
    <w:rsid w:val="00D60906"/>
    <w:rsid w:val="00D60986"/>
    <w:rsid w:val="00D60A20"/>
    <w:rsid w:val="00D60A39"/>
    <w:rsid w:val="00D60AC1"/>
    <w:rsid w:val="00D60AC4"/>
    <w:rsid w:val="00D60B85"/>
    <w:rsid w:val="00D60BA3"/>
    <w:rsid w:val="00D60C2A"/>
    <w:rsid w:val="00D60C49"/>
    <w:rsid w:val="00D60CAC"/>
    <w:rsid w:val="00D60CB0"/>
    <w:rsid w:val="00D60CD1"/>
    <w:rsid w:val="00D60D09"/>
    <w:rsid w:val="00D60D61"/>
    <w:rsid w:val="00D60D8F"/>
    <w:rsid w:val="00D60DBE"/>
    <w:rsid w:val="00D60DF5"/>
    <w:rsid w:val="00D60E1B"/>
    <w:rsid w:val="00D60E8F"/>
    <w:rsid w:val="00D60E9E"/>
    <w:rsid w:val="00D60EBF"/>
    <w:rsid w:val="00D60EE4"/>
    <w:rsid w:val="00D60F0D"/>
    <w:rsid w:val="00D60FEB"/>
    <w:rsid w:val="00D61001"/>
    <w:rsid w:val="00D61061"/>
    <w:rsid w:val="00D6107C"/>
    <w:rsid w:val="00D610B8"/>
    <w:rsid w:val="00D610BC"/>
    <w:rsid w:val="00D610CB"/>
    <w:rsid w:val="00D610F9"/>
    <w:rsid w:val="00D610FD"/>
    <w:rsid w:val="00D6110B"/>
    <w:rsid w:val="00D61202"/>
    <w:rsid w:val="00D6122E"/>
    <w:rsid w:val="00D612C2"/>
    <w:rsid w:val="00D61312"/>
    <w:rsid w:val="00D61343"/>
    <w:rsid w:val="00D6140C"/>
    <w:rsid w:val="00D61497"/>
    <w:rsid w:val="00D6149B"/>
    <w:rsid w:val="00D614E2"/>
    <w:rsid w:val="00D614F2"/>
    <w:rsid w:val="00D61515"/>
    <w:rsid w:val="00D61523"/>
    <w:rsid w:val="00D61542"/>
    <w:rsid w:val="00D6161F"/>
    <w:rsid w:val="00D61639"/>
    <w:rsid w:val="00D61656"/>
    <w:rsid w:val="00D6165D"/>
    <w:rsid w:val="00D6169D"/>
    <w:rsid w:val="00D616A7"/>
    <w:rsid w:val="00D616D3"/>
    <w:rsid w:val="00D616D4"/>
    <w:rsid w:val="00D6172A"/>
    <w:rsid w:val="00D6174C"/>
    <w:rsid w:val="00D6175A"/>
    <w:rsid w:val="00D61776"/>
    <w:rsid w:val="00D617B4"/>
    <w:rsid w:val="00D617E3"/>
    <w:rsid w:val="00D61816"/>
    <w:rsid w:val="00D6183F"/>
    <w:rsid w:val="00D6184A"/>
    <w:rsid w:val="00D618C7"/>
    <w:rsid w:val="00D618E5"/>
    <w:rsid w:val="00D61929"/>
    <w:rsid w:val="00D61946"/>
    <w:rsid w:val="00D6194D"/>
    <w:rsid w:val="00D619A6"/>
    <w:rsid w:val="00D619CC"/>
    <w:rsid w:val="00D619ED"/>
    <w:rsid w:val="00D619FD"/>
    <w:rsid w:val="00D61A03"/>
    <w:rsid w:val="00D61A0B"/>
    <w:rsid w:val="00D61AB5"/>
    <w:rsid w:val="00D61ABC"/>
    <w:rsid w:val="00D61B18"/>
    <w:rsid w:val="00D61B36"/>
    <w:rsid w:val="00D61B6B"/>
    <w:rsid w:val="00D61BDB"/>
    <w:rsid w:val="00D61BED"/>
    <w:rsid w:val="00D61BFE"/>
    <w:rsid w:val="00D61C0C"/>
    <w:rsid w:val="00D61C2D"/>
    <w:rsid w:val="00D61C3A"/>
    <w:rsid w:val="00D61C93"/>
    <w:rsid w:val="00D61CAF"/>
    <w:rsid w:val="00D61CB5"/>
    <w:rsid w:val="00D61D09"/>
    <w:rsid w:val="00D61D66"/>
    <w:rsid w:val="00D61D93"/>
    <w:rsid w:val="00D61E6C"/>
    <w:rsid w:val="00D61EBA"/>
    <w:rsid w:val="00D61EBE"/>
    <w:rsid w:val="00D61F6C"/>
    <w:rsid w:val="00D61F7A"/>
    <w:rsid w:val="00D61F91"/>
    <w:rsid w:val="00D6200B"/>
    <w:rsid w:val="00D620BE"/>
    <w:rsid w:val="00D6212B"/>
    <w:rsid w:val="00D6215E"/>
    <w:rsid w:val="00D6215F"/>
    <w:rsid w:val="00D621B7"/>
    <w:rsid w:val="00D621DA"/>
    <w:rsid w:val="00D621FB"/>
    <w:rsid w:val="00D62270"/>
    <w:rsid w:val="00D622A5"/>
    <w:rsid w:val="00D62309"/>
    <w:rsid w:val="00D62313"/>
    <w:rsid w:val="00D62314"/>
    <w:rsid w:val="00D623D5"/>
    <w:rsid w:val="00D62417"/>
    <w:rsid w:val="00D62437"/>
    <w:rsid w:val="00D624CF"/>
    <w:rsid w:val="00D6255F"/>
    <w:rsid w:val="00D625C2"/>
    <w:rsid w:val="00D625FD"/>
    <w:rsid w:val="00D62600"/>
    <w:rsid w:val="00D6263F"/>
    <w:rsid w:val="00D6264C"/>
    <w:rsid w:val="00D62651"/>
    <w:rsid w:val="00D62652"/>
    <w:rsid w:val="00D626B6"/>
    <w:rsid w:val="00D626D8"/>
    <w:rsid w:val="00D62731"/>
    <w:rsid w:val="00D6273F"/>
    <w:rsid w:val="00D6276A"/>
    <w:rsid w:val="00D62776"/>
    <w:rsid w:val="00D62777"/>
    <w:rsid w:val="00D6277C"/>
    <w:rsid w:val="00D627B0"/>
    <w:rsid w:val="00D627E0"/>
    <w:rsid w:val="00D62802"/>
    <w:rsid w:val="00D6289E"/>
    <w:rsid w:val="00D628D5"/>
    <w:rsid w:val="00D628ED"/>
    <w:rsid w:val="00D628F0"/>
    <w:rsid w:val="00D629D6"/>
    <w:rsid w:val="00D62A37"/>
    <w:rsid w:val="00D62A85"/>
    <w:rsid w:val="00D62A86"/>
    <w:rsid w:val="00D62AA8"/>
    <w:rsid w:val="00D62AB6"/>
    <w:rsid w:val="00D62AB9"/>
    <w:rsid w:val="00D62AF8"/>
    <w:rsid w:val="00D62B05"/>
    <w:rsid w:val="00D62B09"/>
    <w:rsid w:val="00D62B36"/>
    <w:rsid w:val="00D62B4E"/>
    <w:rsid w:val="00D62B5C"/>
    <w:rsid w:val="00D62B7C"/>
    <w:rsid w:val="00D62BE6"/>
    <w:rsid w:val="00D62BE9"/>
    <w:rsid w:val="00D62C1E"/>
    <w:rsid w:val="00D62C36"/>
    <w:rsid w:val="00D62C45"/>
    <w:rsid w:val="00D62CEF"/>
    <w:rsid w:val="00D62CFF"/>
    <w:rsid w:val="00D62D35"/>
    <w:rsid w:val="00D62D41"/>
    <w:rsid w:val="00D62D53"/>
    <w:rsid w:val="00D62D61"/>
    <w:rsid w:val="00D62D86"/>
    <w:rsid w:val="00D62DCC"/>
    <w:rsid w:val="00D62E3F"/>
    <w:rsid w:val="00D62F0B"/>
    <w:rsid w:val="00D62F19"/>
    <w:rsid w:val="00D62FAF"/>
    <w:rsid w:val="00D62FEC"/>
    <w:rsid w:val="00D63018"/>
    <w:rsid w:val="00D6306C"/>
    <w:rsid w:val="00D63084"/>
    <w:rsid w:val="00D63192"/>
    <w:rsid w:val="00D631CC"/>
    <w:rsid w:val="00D631D1"/>
    <w:rsid w:val="00D631E9"/>
    <w:rsid w:val="00D6320C"/>
    <w:rsid w:val="00D63230"/>
    <w:rsid w:val="00D63286"/>
    <w:rsid w:val="00D63293"/>
    <w:rsid w:val="00D632B8"/>
    <w:rsid w:val="00D632D0"/>
    <w:rsid w:val="00D632F3"/>
    <w:rsid w:val="00D63344"/>
    <w:rsid w:val="00D6338C"/>
    <w:rsid w:val="00D633A7"/>
    <w:rsid w:val="00D633BE"/>
    <w:rsid w:val="00D633F7"/>
    <w:rsid w:val="00D6341A"/>
    <w:rsid w:val="00D63433"/>
    <w:rsid w:val="00D63437"/>
    <w:rsid w:val="00D63499"/>
    <w:rsid w:val="00D634D1"/>
    <w:rsid w:val="00D6354C"/>
    <w:rsid w:val="00D63553"/>
    <w:rsid w:val="00D63586"/>
    <w:rsid w:val="00D635C9"/>
    <w:rsid w:val="00D635EA"/>
    <w:rsid w:val="00D6363D"/>
    <w:rsid w:val="00D636CC"/>
    <w:rsid w:val="00D63744"/>
    <w:rsid w:val="00D63772"/>
    <w:rsid w:val="00D637B2"/>
    <w:rsid w:val="00D637CA"/>
    <w:rsid w:val="00D637CD"/>
    <w:rsid w:val="00D637D0"/>
    <w:rsid w:val="00D6381A"/>
    <w:rsid w:val="00D6381B"/>
    <w:rsid w:val="00D6382C"/>
    <w:rsid w:val="00D6383C"/>
    <w:rsid w:val="00D6388F"/>
    <w:rsid w:val="00D638E7"/>
    <w:rsid w:val="00D6390D"/>
    <w:rsid w:val="00D63933"/>
    <w:rsid w:val="00D63947"/>
    <w:rsid w:val="00D639E6"/>
    <w:rsid w:val="00D639F5"/>
    <w:rsid w:val="00D63A2E"/>
    <w:rsid w:val="00D63A73"/>
    <w:rsid w:val="00D63A7C"/>
    <w:rsid w:val="00D63AD0"/>
    <w:rsid w:val="00D63B3C"/>
    <w:rsid w:val="00D63B60"/>
    <w:rsid w:val="00D63BA1"/>
    <w:rsid w:val="00D63BA7"/>
    <w:rsid w:val="00D63BF7"/>
    <w:rsid w:val="00D63C0C"/>
    <w:rsid w:val="00D63C0E"/>
    <w:rsid w:val="00D63C75"/>
    <w:rsid w:val="00D63C7F"/>
    <w:rsid w:val="00D63C80"/>
    <w:rsid w:val="00D63CEC"/>
    <w:rsid w:val="00D63D21"/>
    <w:rsid w:val="00D63D4B"/>
    <w:rsid w:val="00D63D5B"/>
    <w:rsid w:val="00D63DF1"/>
    <w:rsid w:val="00D63DFF"/>
    <w:rsid w:val="00D63E33"/>
    <w:rsid w:val="00D63E34"/>
    <w:rsid w:val="00D63E82"/>
    <w:rsid w:val="00D63EAC"/>
    <w:rsid w:val="00D63EB3"/>
    <w:rsid w:val="00D63EB4"/>
    <w:rsid w:val="00D63F1A"/>
    <w:rsid w:val="00D63F3A"/>
    <w:rsid w:val="00D63FA7"/>
    <w:rsid w:val="00D63FAB"/>
    <w:rsid w:val="00D63FD1"/>
    <w:rsid w:val="00D64043"/>
    <w:rsid w:val="00D640D8"/>
    <w:rsid w:val="00D640FA"/>
    <w:rsid w:val="00D64126"/>
    <w:rsid w:val="00D64164"/>
    <w:rsid w:val="00D64170"/>
    <w:rsid w:val="00D641B5"/>
    <w:rsid w:val="00D641CC"/>
    <w:rsid w:val="00D641FB"/>
    <w:rsid w:val="00D64201"/>
    <w:rsid w:val="00D64222"/>
    <w:rsid w:val="00D6423C"/>
    <w:rsid w:val="00D64258"/>
    <w:rsid w:val="00D6425A"/>
    <w:rsid w:val="00D64266"/>
    <w:rsid w:val="00D642CC"/>
    <w:rsid w:val="00D64327"/>
    <w:rsid w:val="00D6432D"/>
    <w:rsid w:val="00D6432F"/>
    <w:rsid w:val="00D64361"/>
    <w:rsid w:val="00D643DA"/>
    <w:rsid w:val="00D64431"/>
    <w:rsid w:val="00D6444D"/>
    <w:rsid w:val="00D64481"/>
    <w:rsid w:val="00D644BE"/>
    <w:rsid w:val="00D64567"/>
    <w:rsid w:val="00D64597"/>
    <w:rsid w:val="00D6459F"/>
    <w:rsid w:val="00D64604"/>
    <w:rsid w:val="00D64606"/>
    <w:rsid w:val="00D6465A"/>
    <w:rsid w:val="00D64671"/>
    <w:rsid w:val="00D64672"/>
    <w:rsid w:val="00D646B9"/>
    <w:rsid w:val="00D647ED"/>
    <w:rsid w:val="00D6487C"/>
    <w:rsid w:val="00D648A8"/>
    <w:rsid w:val="00D648BB"/>
    <w:rsid w:val="00D648BC"/>
    <w:rsid w:val="00D648FA"/>
    <w:rsid w:val="00D6490D"/>
    <w:rsid w:val="00D64913"/>
    <w:rsid w:val="00D6491C"/>
    <w:rsid w:val="00D6497E"/>
    <w:rsid w:val="00D649E2"/>
    <w:rsid w:val="00D649F2"/>
    <w:rsid w:val="00D64A6E"/>
    <w:rsid w:val="00D64A71"/>
    <w:rsid w:val="00D64ADF"/>
    <w:rsid w:val="00D64B01"/>
    <w:rsid w:val="00D64B1B"/>
    <w:rsid w:val="00D64B48"/>
    <w:rsid w:val="00D64B61"/>
    <w:rsid w:val="00D64B9A"/>
    <w:rsid w:val="00D64BB1"/>
    <w:rsid w:val="00D64BB5"/>
    <w:rsid w:val="00D64BB9"/>
    <w:rsid w:val="00D64BCE"/>
    <w:rsid w:val="00D64C75"/>
    <w:rsid w:val="00D64C7D"/>
    <w:rsid w:val="00D64CA7"/>
    <w:rsid w:val="00D64D0C"/>
    <w:rsid w:val="00D64D2A"/>
    <w:rsid w:val="00D64DDC"/>
    <w:rsid w:val="00D64DF4"/>
    <w:rsid w:val="00D64E0D"/>
    <w:rsid w:val="00D64E7C"/>
    <w:rsid w:val="00D64E9A"/>
    <w:rsid w:val="00D64ED9"/>
    <w:rsid w:val="00D64EDA"/>
    <w:rsid w:val="00D64F8E"/>
    <w:rsid w:val="00D64FA7"/>
    <w:rsid w:val="00D64FC5"/>
    <w:rsid w:val="00D65005"/>
    <w:rsid w:val="00D65074"/>
    <w:rsid w:val="00D650F9"/>
    <w:rsid w:val="00D6510C"/>
    <w:rsid w:val="00D65159"/>
    <w:rsid w:val="00D65161"/>
    <w:rsid w:val="00D6517A"/>
    <w:rsid w:val="00D65195"/>
    <w:rsid w:val="00D651AC"/>
    <w:rsid w:val="00D651AF"/>
    <w:rsid w:val="00D65215"/>
    <w:rsid w:val="00D65219"/>
    <w:rsid w:val="00D6521D"/>
    <w:rsid w:val="00D6527B"/>
    <w:rsid w:val="00D652A8"/>
    <w:rsid w:val="00D65302"/>
    <w:rsid w:val="00D65318"/>
    <w:rsid w:val="00D653BF"/>
    <w:rsid w:val="00D653C3"/>
    <w:rsid w:val="00D653E4"/>
    <w:rsid w:val="00D653EB"/>
    <w:rsid w:val="00D6543B"/>
    <w:rsid w:val="00D6544F"/>
    <w:rsid w:val="00D65451"/>
    <w:rsid w:val="00D65484"/>
    <w:rsid w:val="00D654A6"/>
    <w:rsid w:val="00D654AF"/>
    <w:rsid w:val="00D654D0"/>
    <w:rsid w:val="00D65520"/>
    <w:rsid w:val="00D6552D"/>
    <w:rsid w:val="00D65537"/>
    <w:rsid w:val="00D65540"/>
    <w:rsid w:val="00D655F8"/>
    <w:rsid w:val="00D65608"/>
    <w:rsid w:val="00D65695"/>
    <w:rsid w:val="00D656BF"/>
    <w:rsid w:val="00D656DA"/>
    <w:rsid w:val="00D65713"/>
    <w:rsid w:val="00D6571C"/>
    <w:rsid w:val="00D65761"/>
    <w:rsid w:val="00D65771"/>
    <w:rsid w:val="00D65793"/>
    <w:rsid w:val="00D657B9"/>
    <w:rsid w:val="00D657DA"/>
    <w:rsid w:val="00D6581B"/>
    <w:rsid w:val="00D65849"/>
    <w:rsid w:val="00D658C7"/>
    <w:rsid w:val="00D6592E"/>
    <w:rsid w:val="00D6595D"/>
    <w:rsid w:val="00D6596F"/>
    <w:rsid w:val="00D65991"/>
    <w:rsid w:val="00D659B9"/>
    <w:rsid w:val="00D659BF"/>
    <w:rsid w:val="00D65A45"/>
    <w:rsid w:val="00D65AD8"/>
    <w:rsid w:val="00D65B16"/>
    <w:rsid w:val="00D65B35"/>
    <w:rsid w:val="00D65B99"/>
    <w:rsid w:val="00D65BC1"/>
    <w:rsid w:val="00D65BC8"/>
    <w:rsid w:val="00D65BCE"/>
    <w:rsid w:val="00D65C10"/>
    <w:rsid w:val="00D65C28"/>
    <w:rsid w:val="00D65C78"/>
    <w:rsid w:val="00D65C86"/>
    <w:rsid w:val="00D65C8A"/>
    <w:rsid w:val="00D65C9E"/>
    <w:rsid w:val="00D65CCF"/>
    <w:rsid w:val="00D65CE5"/>
    <w:rsid w:val="00D65D24"/>
    <w:rsid w:val="00D65D32"/>
    <w:rsid w:val="00D65D37"/>
    <w:rsid w:val="00D65D5F"/>
    <w:rsid w:val="00D65DAF"/>
    <w:rsid w:val="00D65E31"/>
    <w:rsid w:val="00D65E3A"/>
    <w:rsid w:val="00D65E8D"/>
    <w:rsid w:val="00D65EC8"/>
    <w:rsid w:val="00D65ECA"/>
    <w:rsid w:val="00D65F51"/>
    <w:rsid w:val="00D65FDE"/>
    <w:rsid w:val="00D65FE3"/>
    <w:rsid w:val="00D66034"/>
    <w:rsid w:val="00D66041"/>
    <w:rsid w:val="00D660EC"/>
    <w:rsid w:val="00D660F7"/>
    <w:rsid w:val="00D661AE"/>
    <w:rsid w:val="00D661E6"/>
    <w:rsid w:val="00D6620F"/>
    <w:rsid w:val="00D66281"/>
    <w:rsid w:val="00D66285"/>
    <w:rsid w:val="00D6631E"/>
    <w:rsid w:val="00D6637F"/>
    <w:rsid w:val="00D66413"/>
    <w:rsid w:val="00D66438"/>
    <w:rsid w:val="00D66487"/>
    <w:rsid w:val="00D664B1"/>
    <w:rsid w:val="00D664CC"/>
    <w:rsid w:val="00D66518"/>
    <w:rsid w:val="00D66524"/>
    <w:rsid w:val="00D6653B"/>
    <w:rsid w:val="00D66562"/>
    <w:rsid w:val="00D66580"/>
    <w:rsid w:val="00D665E0"/>
    <w:rsid w:val="00D6662A"/>
    <w:rsid w:val="00D6663F"/>
    <w:rsid w:val="00D666C4"/>
    <w:rsid w:val="00D66752"/>
    <w:rsid w:val="00D66766"/>
    <w:rsid w:val="00D66777"/>
    <w:rsid w:val="00D667A1"/>
    <w:rsid w:val="00D667DD"/>
    <w:rsid w:val="00D66803"/>
    <w:rsid w:val="00D66831"/>
    <w:rsid w:val="00D66846"/>
    <w:rsid w:val="00D6686D"/>
    <w:rsid w:val="00D6691E"/>
    <w:rsid w:val="00D66928"/>
    <w:rsid w:val="00D6692B"/>
    <w:rsid w:val="00D6692D"/>
    <w:rsid w:val="00D6694E"/>
    <w:rsid w:val="00D66969"/>
    <w:rsid w:val="00D66977"/>
    <w:rsid w:val="00D669AD"/>
    <w:rsid w:val="00D669DE"/>
    <w:rsid w:val="00D66A42"/>
    <w:rsid w:val="00D66B38"/>
    <w:rsid w:val="00D66B4B"/>
    <w:rsid w:val="00D66B54"/>
    <w:rsid w:val="00D66B5F"/>
    <w:rsid w:val="00D66BD1"/>
    <w:rsid w:val="00D66BFD"/>
    <w:rsid w:val="00D66C54"/>
    <w:rsid w:val="00D66C64"/>
    <w:rsid w:val="00D66C8C"/>
    <w:rsid w:val="00D66CBE"/>
    <w:rsid w:val="00D66CF0"/>
    <w:rsid w:val="00D66CFA"/>
    <w:rsid w:val="00D66D1A"/>
    <w:rsid w:val="00D66D2F"/>
    <w:rsid w:val="00D66D7E"/>
    <w:rsid w:val="00D66DEC"/>
    <w:rsid w:val="00D66E65"/>
    <w:rsid w:val="00D66ECE"/>
    <w:rsid w:val="00D66F3F"/>
    <w:rsid w:val="00D66F63"/>
    <w:rsid w:val="00D66F69"/>
    <w:rsid w:val="00D6703B"/>
    <w:rsid w:val="00D6703F"/>
    <w:rsid w:val="00D67070"/>
    <w:rsid w:val="00D670B0"/>
    <w:rsid w:val="00D670C9"/>
    <w:rsid w:val="00D67104"/>
    <w:rsid w:val="00D67169"/>
    <w:rsid w:val="00D67230"/>
    <w:rsid w:val="00D6729A"/>
    <w:rsid w:val="00D672E5"/>
    <w:rsid w:val="00D67304"/>
    <w:rsid w:val="00D673BC"/>
    <w:rsid w:val="00D673F0"/>
    <w:rsid w:val="00D67406"/>
    <w:rsid w:val="00D6743E"/>
    <w:rsid w:val="00D674A1"/>
    <w:rsid w:val="00D674B6"/>
    <w:rsid w:val="00D67531"/>
    <w:rsid w:val="00D67563"/>
    <w:rsid w:val="00D6756D"/>
    <w:rsid w:val="00D676AE"/>
    <w:rsid w:val="00D676B6"/>
    <w:rsid w:val="00D676D2"/>
    <w:rsid w:val="00D67719"/>
    <w:rsid w:val="00D67724"/>
    <w:rsid w:val="00D67740"/>
    <w:rsid w:val="00D6775D"/>
    <w:rsid w:val="00D677CC"/>
    <w:rsid w:val="00D677EF"/>
    <w:rsid w:val="00D6782D"/>
    <w:rsid w:val="00D67896"/>
    <w:rsid w:val="00D6790B"/>
    <w:rsid w:val="00D67932"/>
    <w:rsid w:val="00D67937"/>
    <w:rsid w:val="00D6793C"/>
    <w:rsid w:val="00D6794F"/>
    <w:rsid w:val="00D679FA"/>
    <w:rsid w:val="00D67A14"/>
    <w:rsid w:val="00D67A53"/>
    <w:rsid w:val="00D67AA4"/>
    <w:rsid w:val="00D67ACF"/>
    <w:rsid w:val="00D67AF4"/>
    <w:rsid w:val="00D67B00"/>
    <w:rsid w:val="00D67B5C"/>
    <w:rsid w:val="00D67B72"/>
    <w:rsid w:val="00D67BAE"/>
    <w:rsid w:val="00D67BBB"/>
    <w:rsid w:val="00D67BC0"/>
    <w:rsid w:val="00D67C3F"/>
    <w:rsid w:val="00D67C4E"/>
    <w:rsid w:val="00D67C6A"/>
    <w:rsid w:val="00D67C6D"/>
    <w:rsid w:val="00D67C83"/>
    <w:rsid w:val="00D67CB8"/>
    <w:rsid w:val="00D67CC8"/>
    <w:rsid w:val="00D67CEA"/>
    <w:rsid w:val="00D67D57"/>
    <w:rsid w:val="00D67D67"/>
    <w:rsid w:val="00D67D85"/>
    <w:rsid w:val="00D67DA8"/>
    <w:rsid w:val="00D67DAA"/>
    <w:rsid w:val="00D67DE3"/>
    <w:rsid w:val="00D67E04"/>
    <w:rsid w:val="00D67E1F"/>
    <w:rsid w:val="00D67E37"/>
    <w:rsid w:val="00D67E46"/>
    <w:rsid w:val="00D67EA1"/>
    <w:rsid w:val="00D67F19"/>
    <w:rsid w:val="00D700B5"/>
    <w:rsid w:val="00D700F4"/>
    <w:rsid w:val="00D70102"/>
    <w:rsid w:val="00D70159"/>
    <w:rsid w:val="00D701A2"/>
    <w:rsid w:val="00D701B1"/>
    <w:rsid w:val="00D701D5"/>
    <w:rsid w:val="00D702B8"/>
    <w:rsid w:val="00D70319"/>
    <w:rsid w:val="00D70343"/>
    <w:rsid w:val="00D7034C"/>
    <w:rsid w:val="00D7036B"/>
    <w:rsid w:val="00D70494"/>
    <w:rsid w:val="00D70499"/>
    <w:rsid w:val="00D704FA"/>
    <w:rsid w:val="00D7050D"/>
    <w:rsid w:val="00D70531"/>
    <w:rsid w:val="00D7057A"/>
    <w:rsid w:val="00D70581"/>
    <w:rsid w:val="00D70588"/>
    <w:rsid w:val="00D705A6"/>
    <w:rsid w:val="00D705AA"/>
    <w:rsid w:val="00D705D8"/>
    <w:rsid w:val="00D705EE"/>
    <w:rsid w:val="00D70616"/>
    <w:rsid w:val="00D7066F"/>
    <w:rsid w:val="00D706A3"/>
    <w:rsid w:val="00D706CE"/>
    <w:rsid w:val="00D706DA"/>
    <w:rsid w:val="00D706DB"/>
    <w:rsid w:val="00D706E1"/>
    <w:rsid w:val="00D70741"/>
    <w:rsid w:val="00D70787"/>
    <w:rsid w:val="00D707B7"/>
    <w:rsid w:val="00D707B8"/>
    <w:rsid w:val="00D707CB"/>
    <w:rsid w:val="00D7083B"/>
    <w:rsid w:val="00D7086C"/>
    <w:rsid w:val="00D7087E"/>
    <w:rsid w:val="00D7088A"/>
    <w:rsid w:val="00D708A4"/>
    <w:rsid w:val="00D708D5"/>
    <w:rsid w:val="00D708D9"/>
    <w:rsid w:val="00D708DB"/>
    <w:rsid w:val="00D708DE"/>
    <w:rsid w:val="00D708E3"/>
    <w:rsid w:val="00D70900"/>
    <w:rsid w:val="00D709BE"/>
    <w:rsid w:val="00D709DA"/>
    <w:rsid w:val="00D709DC"/>
    <w:rsid w:val="00D70A9F"/>
    <w:rsid w:val="00D70AD5"/>
    <w:rsid w:val="00D70AD9"/>
    <w:rsid w:val="00D70AEF"/>
    <w:rsid w:val="00D70B1E"/>
    <w:rsid w:val="00D70B3D"/>
    <w:rsid w:val="00D70B9C"/>
    <w:rsid w:val="00D70BEC"/>
    <w:rsid w:val="00D70C77"/>
    <w:rsid w:val="00D70C8A"/>
    <w:rsid w:val="00D70CB0"/>
    <w:rsid w:val="00D70CB5"/>
    <w:rsid w:val="00D70CDD"/>
    <w:rsid w:val="00D70D3E"/>
    <w:rsid w:val="00D70D6F"/>
    <w:rsid w:val="00D70DA4"/>
    <w:rsid w:val="00D70E1A"/>
    <w:rsid w:val="00D70EA4"/>
    <w:rsid w:val="00D70ECA"/>
    <w:rsid w:val="00D70ECF"/>
    <w:rsid w:val="00D70EF1"/>
    <w:rsid w:val="00D70F42"/>
    <w:rsid w:val="00D70FC7"/>
    <w:rsid w:val="00D70FD5"/>
    <w:rsid w:val="00D70FDD"/>
    <w:rsid w:val="00D70FEE"/>
    <w:rsid w:val="00D70FF1"/>
    <w:rsid w:val="00D71027"/>
    <w:rsid w:val="00D71053"/>
    <w:rsid w:val="00D71056"/>
    <w:rsid w:val="00D710E3"/>
    <w:rsid w:val="00D7114E"/>
    <w:rsid w:val="00D7115C"/>
    <w:rsid w:val="00D71238"/>
    <w:rsid w:val="00D71256"/>
    <w:rsid w:val="00D71288"/>
    <w:rsid w:val="00D7129D"/>
    <w:rsid w:val="00D712AB"/>
    <w:rsid w:val="00D712E1"/>
    <w:rsid w:val="00D71320"/>
    <w:rsid w:val="00D7134A"/>
    <w:rsid w:val="00D71367"/>
    <w:rsid w:val="00D7138A"/>
    <w:rsid w:val="00D713EE"/>
    <w:rsid w:val="00D7143C"/>
    <w:rsid w:val="00D71466"/>
    <w:rsid w:val="00D714A3"/>
    <w:rsid w:val="00D7150D"/>
    <w:rsid w:val="00D715BD"/>
    <w:rsid w:val="00D71643"/>
    <w:rsid w:val="00D7166A"/>
    <w:rsid w:val="00D7167B"/>
    <w:rsid w:val="00D71691"/>
    <w:rsid w:val="00D716C0"/>
    <w:rsid w:val="00D71725"/>
    <w:rsid w:val="00D7173A"/>
    <w:rsid w:val="00D71766"/>
    <w:rsid w:val="00D717A2"/>
    <w:rsid w:val="00D717CB"/>
    <w:rsid w:val="00D71814"/>
    <w:rsid w:val="00D7194E"/>
    <w:rsid w:val="00D719A3"/>
    <w:rsid w:val="00D719C1"/>
    <w:rsid w:val="00D719C6"/>
    <w:rsid w:val="00D719E4"/>
    <w:rsid w:val="00D71A19"/>
    <w:rsid w:val="00D71A23"/>
    <w:rsid w:val="00D71A35"/>
    <w:rsid w:val="00D71AE6"/>
    <w:rsid w:val="00D71B28"/>
    <w:rsid w:val="00D71BC6"/>
    <w:rsid w:val="00D71BF7"/>
    <w:rsid w:val="00D71C37"/>
    <w:rsid w:val="00D71C53"/>
    <w:rsid w:val="00D71C68"/>
    <w:rsid w:val="00D71C94"/>
    <w:rsid w:val="00D71CEF"/>
    <w:rsid w:val="00D71D1F"/>
    <w:rsid w:val="00D71D5F"/>
    <w:rsid w:val="00D71D6C"/>
    <w:rsid w:val="00D71D7A"/>
    <w:rsid w:val="00D71DA8"/>
    <w:rsid w:val="00D71E41"/>
    <w:rsid w:val="00D71E49"/>
    <w:rsid w:val="00D71E53"/>
    <w:rsid w:val="00D71EA2"/>
    <w:rsid w:val="00D71EAF"/>
    <w:rsid w:val="00D71F0C"/>
    <w:rsid w:val="00D71F44"/>
    <w:rsid w:val="00D71FB3"/>
    <w:rsid w:val="00D71FD1"/>
    <w:rsid w:val="00D71FF3"/>
    <w:rsid w:val="00D7202D"/>
    <w:rsid w:val="00D72055"/>
    <w:rsid w:val="00D72057"/>
    <w:rsid w:val="00D720A9"/>
    <w:rsid w:val="00D720F1"/>
    <w:rsid w:val="00D72116"/>
    <w:rsid w:val="00D7212C"/>
    <w:rsid w:val="00D72138"/>
    <w:rsid w:val="00D72141"/>
    <w:rsid w:val="00D72152"/>
    <w:rsid w:val="00D7215C"/>
    <w:rsid w:val="00D72165"/>
    <w:rsid w:val="00D7218C"/>
    <w:rsid w:val="00D721EE"/>
    <w:rsid w:val="00D721F0"/>
    <w:rsid w:val="00D72201"/>
    <w:rsid w:val="00D7220C"/>
    <w:rsid w:val="00D72278"/>
    <w:rsid w:val="00D72300"/>
    <w:rsid w:val="00D7233C"/>
    <w:rsid w:val="00D7235C"/>
    <w:rsid w:val="00D723DE"/>
    <w:rsid w:val="00D72408"/>
    <w:rsid w:val="00D72412"/>
    <w:rsid w:val="00D72434"/>
    <w:rsid w:val="00D72462"/>
    <w:rsid w:val="00D72492"/>
    <w:rsid w:val="00D724EA"/>
    <w:rsid w:val="00D7252A"/>
    <w:rsid w:val="00D72562"/>
    <w:rsid w:val="00D7257D"/>
    <w:rsid w:val="00D7258E"/>
    <w:rsid w:val="00D725B4"/>
    <w:rsid w:val="00D725CF"/>
    <w:rsid w:val="00D725FF"/>
    <w:rsid w:val="00D7263E"/>
    <w:rsid w:val="00D72652"/>
    <w:rsid w:val="00D72659"/>
    <w:rsid w:val="00D726E0"/>
    <w:rsid w:val="00D726EE"/>
    <w:rsid w:val="00D7272A"/>
    <w:rsid w:val="00D7276B"/>
    <w:rsid w:val="00D72792"/>
    <w:rsid w:val="00D7279D"/>
    <w:rsid w:val="00D727A1"/>
    <w:rsid w:val="00D72804"/>
    <w:rsid w:val="00D72808"/>
    <w:rsid w:val="00D7282A"/>
    <w:rsid w:val="00D7286B"/>
    <w:rsid w:val="00D72882"/>
    <w:rsid w:val="00D728CB"/>
    <w:rsid w:val="00D7291A"/>
    <w:rsid w:val="00D72943"/>
    <w:rsid w:val="00D7297B"/>
    <w:rsid w:val="00D729BD"/>
    <w:rsid w:val="00D729BF"/>
    <w:rsid w:val="00D729F2"/>
    <w:rsid w:val="00D72A72"/>
    <w:rsid w:val="00D72B11"/>
    <w:rsid w:val="00D72B16"/>
    <w:rsid w:val="00D72B1F"/>
    <w:rsid w:val="00D72B40"/>
    <w:rsid w:val="00D72B70"/>
    <w:rsid w:val="00D72B72"/>
    <w:rsid w:val="00D72BF6"/>
    <w:rsid w:val="00D72C0C"/>
    <w:rsid w:val="00D72C7E"/>
    <w:rsid w:val="00D72CAF"/>
    <w:rsid w:val="00D72CB0"/>
    <w:rsid w:val="00D72D20"/>
    <w:rsid w:val="00D72D9B"/>
    <w:rsid w:val="00D72DA0"/>
    <w:rsid w:val="00D72E3F"/>
    <w:rsid w:val="00D72E6F"/>
    <w:rsid w:val="00D72E82"/>
    <w:rsid w:val="00D72ED7"/>
    <w:rsid w:val="00D72EDD"/>
    <w:rsid w:val="00D72F52"/>
    <w:rsid w:val="00D72FFD"/>
    <w:rsid w:val="00D7300C"/>
    <w:rsid w:val="00D73012"/>
    <w:rsid w:val="00D73017"/>
    <w:rsid w:val="00D73050"/>
    <w:rsid w:val="00D73053"/>
    <w:rsid w:val="00D7307E"/>
    <w:rsid w:val="00D73099"/>
    <w:rsid w:val="00D730BA"/>
    <w:rsid w:val="00D73106"/>
    <w:rsid w:val="00D73126"/>
    <w:rsid w:val="00D7315F"/>
    <w:rsid w:val="00D731C9"/>
    <w:rsid w:val="00D731E7"/>
    <w:rsid w:val="00D731E8"/>
    <w:rsid w:val="00D73202"/>
    <w:rsid w:val="00D73290"/>
    <w:rsid w:val="00D73294"/>
    <w:rsid w:val="00D732A3"/>
    <w:rsid w:val="00D73321"/>
    <w:rsid w:val="00D73322"/>
    <w:rsid w:val="00D73354"/>
    <w:rsid w:val="00D7339E"/>
    <w:rsid w:val="00D733A1"/>
    <w:rsid w:val="00D733C5"/>
    <w:rsid w:val="00D733DB"/>
    <w:rsid w:val="00D733EC"/>
    <w:rsid w:val="00D73442"/>
    <w:rsid w:val="00D73443"/>
    <w:rsid w:val="00D73472"/>
    <w:rsid w:val="00D734B6"/>
    <w:rsid w:val="00D734CC"/>
    <w:rsid w:val="00D734D2"/>
    <w:rsid w:val="00D734D5"/>
    <w:rsid w:val="00D734F2"/>
    <w:rsid w:val="00D73572"/>
    <w:rsid w:val="00D7357E"/>
    <w:rsid w:val="00D735A4"/>
    <w:rsid w:val="00D735A8"/>
    <w:rsid w:val="00D735E3"/>
    <w:rsid w:val="00D7362E"/>
    <w:rsid w:val="00D7366E"/>
    <w:rsid w:val="00D736AC"/>
    <w:rsid w:val="00D736DC"/>
    <w:rsid w:val="00D73726"/>
    <w:rsid w:val="00D73733"/>
    <w:rsid w:val="00D73747"/>
    <w:rsid w:val="00D73799"/>
    <w:rsid w:val="00D7383F"/>
    <w:rsid w:val="00D73874"/>
    <w:rsid w:val="00D738C1"/>
    <w:rsid w:val="00D7391A"/>
    <w:rsid w:val="00D73939"/>
    <w:rsid w:val="00D73967"/>
    <w:rsid w:val="00D73A32"/>
    <w:rsid w:val="00D73A33"/>
    <w:rsid w:val="00D73A8C"/>
    <w:rsid w:val="00D73ABD"/>
    <w:rsid w:val="00D73B1D"/>
    <w:rsid w:val="00D73B82"/>
    <w:rsid w:val="00D73B98"/>
    <w:rsid w:val="00D73C43"/>
    <w:rsid w:val="00D73CE1"/>
    <w:rsid w:val="00D73CEA"/>
    <w:rsid w:val="00D73CED"/>
    <w:rsid w:val="00D73D05"/>
    <w:rsid w:val="00D73D08"/>
    <w:rsid w:val="00D73D09"/>
    <w:rsid w:val="00D73D0A"/>
    <w:rsid w:val="00D73D1A"/>
    <w:rsid w:val="00D73D39"/>
    <w:rsid w:val="00D73DBE"/>
    <w:rsid w:val="00D73DC6"/>
    <w:rsid w:val="00D73E21"/>
    <w:rsid w:val="00D73E40"/>
    <w:rsid w:val="00D73EA4"/>
    <w:rsid w:val="00D73F18"/>
    <w:rsid w:val="00D73F73"/>
    <w:rsid w:val="00D73F88"/>
    <w:rsid w:val="00D73F8C"/>
    <w:rsid w:val="00D73FE8"/>
    <w:rsid w:val="00D7402A"/>
    <w:rsid w:val="00D74056"/>
    <w:rsid w:val="00D740A6"/>
    <w:rsid w:val="00D740B6"/>
    <w:rsid w:val="00D740D6"/>
    <w:rsid w:val="00D740F0"/>
    <w:rsid w:val="00D7410D"/>
    <w:rsid w:val="00D74130"/>
    <w:rsid w:val="00D74149"/>
    <w:rsid w:val="00D7417A"/>
    <w:rsid w:val="00D7418C"/>
    <w:rsid w:val="00D741E4"/>
    <w:rsid w:val="00D741FC"/>
    <w:rsid w:val="00D7424B"/>
    <w:rsid w:val="00D74269"/>
    <w:rsid w:val="00D74276"/>
    <w:rsid w:val="00D7428E"/>
    <w:rsid w:val="00D742A5"/>
    <w:rsid w:val="00D742CC"/>
    <w:rsid w:val="00D7430A"/>
    <w:rsid w:val="00D7431B"/>
    <w:rsid w:val="00D74337"/>
    <w:rsid w:val="00D7436E"/>
    <w:rsid w:val="00D743E9"/>
    <w:rsid w:val="00D74469"/>
    <w:rsid w:val="00D7446C"/>
    <w:rsid w:val="00D7449E"/>
    <w:rsid w:val="00D744AD"/>
    <w:rsid w:val="00D744B4"/>
    <w:rsid w:val="00D744EB"/>
    <w:rsid w:val="00D7450C"/>
    <w:rsid w:val="00D74577"/>
    <w:rsid w:val="00D7458D"/>
    <w:rsid w:val="00D74600"/>
    <w:rsid w:val="00D74645"/>
    <w:rsid w:val="00D746DA"/>
    <w:rsid w:val="00D746F4"/>
    <w:rsid w:val="00D74701"/>
    <w:rsid w:val="00D74756"/>
    <w:rsid w:val="00D74794"/>
    <w:rsid w:val="00D747FC"/>
    <w:rsid w:val="00D74820"/>
    <w:rsid w:val="00D74847"/>
    <w:rsid w:val="00D7486F"/>
    <w:rsid w:val="00D748E8"/>
    <w:rsid w:val="00D748FD"/>
    <w:rsid w:val="00D74939"/>
    <w:rsid w:val="00D74947"/>
    <w:rsid w:val="00D7495E"/>
    <w:rsid w:val="00D74972"/>
    <w:rsid w:val="00D7497F"/>
    <w:rsid w:val="00D74992"/>
    <w:rsid w:val="00D7499C"/>
    <w:rsid w:val="00D749BE"/>
    <w:rsid w:val="00D749F5"/>
    <w:rsid w:val="00D74A50"/>
    <w:rsid w:val="00D74A60"/>
    <w:rsid w:val="00D74A99"/>
    <w:rsid w:val="00D74AB8"/>
    <w:rsid w:val="00D74ACE"/>
    <w:rsid w:val="00D74B16"/>
    <w:rsid w:val="00D74B6F"/>
    <w:rsid w:val="00D74BA6"/>
    <w:rsid w:val="00D74BAB"/>
    <w:rsid w:val="00D74C15"/>
    <w:rsid w:val="00D74C5F"/>
    <w:rsid w:val="00D74C66"/>
    <w:rsid w:val="00D74C72"/>
    <w:rsid w:val="00D74CB9"/>
    <w:rsid w:val="00D74CD8"/>
    <w:rsid w:val="00D74CDC"/>
    <w:rsid w:val="00D74CE5"/>
    <w:rsid w:val="00D74E10"/>
    <w:rsid w:val="00D74E1F"/>
    <w:rsid w:val="00D74E7A"/>
    <w:rsid w:val="00D74EAC"/>
    <w:rsid w:val="00D74F58"/>
    <w:rsid w:val="00D74F96"/>
    <w:rsid w:val="00D74FD5"/>
    <w:rsid w:val="00D74FD9"/>
    <w:rsid w:val="00D74FDB"/>
    <w:rsid w:val="00D750C8"/>
    <w:rsid w:val="00D750DE"/>
    <w:rsid w:val="00D75167"/>
    <w:rsid w:val="00D75183"/>
    <w:rsid w:val="00D751ED"/>
    <w:rsid w:val="00D75275"/>
    <w:rsid w:val="00D752F5"/>
    <w:rsid w:val="00D752F8"/>
    <w:rsid w:val="00D7534A"/>
    <w:rsid w:val="00D753EE"/>
    <w:rsid w:val="00D75478"/>
    <w:rsid w:val="00D754D1"/>
    <w:rsid w:val="00D75509"/>
    <w:rsid w:val="00D7554F"/>
    <w:rsid w:val="00D7556F"/>
    <w:rsid w:val="00D75593"/>
    <w:rsid w:val="00D755A9"/>
    <w:rsid w:val="00D755C5"/>
    <w:rsid w:val="00D755E3"/>
    <w:rsid w:val="00D755E8"/>
    <w:rsid w:val="00D7561D"/>
    <w:rsid w:val="00D756B9"/>
    <w:rsid w:val="00D75700"/>
    <w:rsid w:val="00D75726"/>
    <w:rsid w:val="00D757C1"/>
    <w:rsid w:val="00D757CD"/>
    <w:rsid w:val="00D75899"/>
    <w:rsid w:val="00D758A9"/>
    <w:rsid w:val="00D758DF"/>
    <w:rsid w:val="00D75915"/>
    <w:rsid w:val="00D759A0"/>
    <w:rsid w:val="00D759D6"/>
    <w:rsid w:val="00D75A2C"/>
    <w:rsid w:val="00D75A56"/>
    <w:rsid w:val="00D75A6B"/>
    <w:rsid w:val="00D75AA5"/>
    <w:rsid w:val="00D75AFF"/>
    <w:rsid w:val="00D75B01"/>
    <w:rsid w:val="00D75B7A"/>
    <w:rsid w:val="00D75B94"/>
    <w:rsid w:val="00D75B9B"/>
    <w:rsid w:val="00D75BCA"/>
    <w:rsid w:val="00D75C14"/>
    <w:rsid w:val="00D75C20"/>
    <w:rsid w:val="00D75C3E"/>
    <w:rsid w:val="00D75C47"/>
    <w:rsid w:val="00D75C52"/>
    <w:rsid w:val="00D75C57"/>
    <w:rsid w:val="00D75C64"/>
    <w:rsid w:val="00D75CD9"/>
    <w:rsid w:val="00D75CDF"/>
    <w:rsid w:val="00D75D2F"/>
    <w:rsid w:val="00D75D5B"/>
    <w:rsid w:val="00D75D5E"/>
    <w:rsid w:val="00D75DA0"/>
    <w:rsid w:val="00D75DF5"/>
    <w:rsid w:val="00D75DF6"/>
    <w:rsid w:val="00D75E18"/>
    <w:rsid w:val="00D75E60"/>
    <w:rsid w:val="00D75F16"/>
    <w:rsid w:val="00D75F35"/>
    <w:rsid w:val="00D75F41"/>
    <w:rsid w:val="00D75F68"/>
    <w:rsid w:val="00D75F85"/>
    <w:rsid w:val="00D75FA9"/>
    <w:rsid w:val="00D75FD0"/>
    <w:rsid w:val="00D75FF7"/>
    <w:rsid w:val="00D7608A"/>
    <w:rsid w:val="00D76097"/>
    <w:rsid w:val="00D760EB"/>
    <w:rsid w:val="00D7613E"/>
    <w:rsid w:val="00D7615D"/>
    <w:rsid w:val="00D7618E"/>
    <w:rsid w:val="00D7618F"/>
    <w:rsid w:val="00D761B7"/>
    <w:rsid w:val="00D761BA"/>
    <w:rsid w:val="00D761C7"/>
    <w:rsid w:val="00D7622F"/>
    <w:rsid w:val="00D76232"/>
    <w:rsid w:val="00D762B8"/>
    <w:rsid w:val="00D762E2"/>
    <w:rsid w:val="00D76321"/>
    <w:rsid w:val="00D7636C"/>
    <w:rsid w:val="00D76386"/>
    <w:rsid w:val="00D763BE"/>
    <w:rsid w:val="00D76410"/>
    <w:rsid w:val="00D76427"/>
    <w:rsid w:val="00D7646F"/>
    <w:rsid w:val="00D7648D"/>
    <w:rsid w:val="00D7648E"/>
    <w:rsid w:val="00D76496"/>
    <w:rsid w:val="00D764EC"/>
    <w:rsid w:val="00D764F3"/>
    <w:rsid w:val="00D76541"/>
    <w:rsid w:val="00D76581"/>
    <w:rsid w:val="00D765F5"/>
    <w:rsid w:val="00D76611"/>
    <w:rsid w:val="00D7661A"/>
    <w:rsid w:val="00D7665B"/>
    <w:rsid w:val="00D7667A"/>
    <w:rsid w:val="00D7668F"/>
    <w:rsid w:val="00D766A6"/>
    <w:rsid w:val="00D766E4"/>
    <w:rsid w:val="00D76730"/>
    <w:rsid w:val="00D76734"/>
    <w:rsid w:val="00D76743"/>
    <w:rsid w:val="00D7678B"/>
    <w:rsid w:val="00D76798"/>
    <w:rsid w:val="00D767D6"/>
    <w:rsid w:val="00D76906"/>
    <w:rsid w:val="00D76936"/>
    <w:rsid w:val="00D76971"/>
    <w:rsid w:val="00D76A1E"/>
    <w:rsid w:val="00D76A67"/>
    <w:rsid w:val="00D76A70"/>
    <w:rsid w:val="00D76A99"/>
    <w:rsid w:val="00D76B13"/>
    <w:rsid w:val="00D76B46"/>
    <w:rsid w:val="00D76BBD"/>
    <w:rsid w:val="00D76BFD"/>
    <w:rsid w:val="00D76CD1"/>
    <w:rsid w:val="00D76CD9"/>
    <w:rsid w:val="00D76CFC"/>
    <w:rsid w:val="00D76D14"/>
    <w:rsid w:val="00D76D75"/>
    <w:rsid w:val="00D76DB8"/>
    <w:rsid w:val="00D76DDB"/>
    <w:rsid w:val="00D76E04"/>
    <w:rsid w:val="00D76E50"/>
    <w:rsid w:val="00D76E78"/>
    <w:rsid w:val="00D76E94"/>
    <w:rsid w:val="00D76ECF"/>
    <w:rsid w:val="00D76EE0"/>
    <w:rsid w:val="00D76EE1"/>
    <w:rsid w:val="00D76F00"/>
    <w:rsid w:val="00D76F3C"/>
    <w:rsid w:val="00D76F56"/>
    <w:rsid w:val="00D76F86"/>
    <w:rsid w:val="00D76FAE"/>
    <w:rsid w:val="00D76FDD"/>
    <w:rsid w:val="00D77004"/>
    <w:rsid w:val="00D77032"/>
    <w:rsid w:val="00D770A1"/>
    <w:rsid w:val="00D770A4"/>
    <w:rsid w:val="00D770AC"/>
    <w:rsid w:val="00D770C5"/>
    <w:rsid w:val="00D770E9"/>
    <w:rsid w:val="00D77180"/>
    <w:rsid w:val="00D7719C"/>
    <w:rsid w:val="00D771AA"/>
    <w:rsid w:val="00D771D0"/>
    <w:rsid w:val="00D7726A"/>
    <w:rsid w:val="00D772A5"/>
    <w:rsid w:val="00D772B3"/>
    <w:rsid w:val="00D772DB"/>
    <w:rsid w:val="00D77323"/>
    <w:rsid w:val="00D7733C"/>
    <w:rsid w:val="00D7733F"/>
    <w:rsid w:val="00D7736A"/>
    <w:rsid w:val="00D773B6"/>
    <w:rsid w:val="00D773DD"/>
    <w:rsid w:val="00D773F4"/>
    <w:rsid w:val="00D7741E"/>
    <w:rsid w:val="00D7745E"/>
    <w:rsid w:val="00D7747D"/>
    <w:rsid w:val="00D774AC"/>
    <w:rsid w:val="00D774E6"/>
    <w:rsid w:val="00D774EA"/>
    <w:rsid w:val="00D774F8"/>
    <w:rsid w:val="00D7751F"/>
    <w:rsid w:val="00D7762B"/>
    <w:rsid w:val="00D77678"/>
    <w:rsid w:val="00D776AD"/>
    <w:rsid w:val="00D776D0"/>
    <w:rsid w:val="00D776D4"/>
    <w:rsid w:val="00D7773D"/>
    <w:rsid w:val="00D7774B"/>
    <w:rsid w:val="00D7776A"/>
    <w:rsid w:val="00D77789"/>
    <w:rsid w:val="00D777D2"/>
    <w:rsid w:val="00D77813"/>
    <w:rsid w:val="00D77828"/>
    <w:rsid w:val="00D77849"/>
    <w:rsid w:val="00D7789D"/>
    <w:rsid w:val="00D778F9"/>
    <w:rsid w:val="00D77950"/>
    <w:rsid w:val="00D779BA"/>
    <w:rsid w:val="00D779EE"/>
    <w:rsid w:val="00D77A4E"/>
    <w:rsid w:val="00D77ABC"/>
    <w:rsid w:val="00D77B1B"/>
    <w:rsid w:val="00D77B40"/>
    <w:rsid w:val="00D77B41"/>
    <w:rsid w:val="00D77B7A"/>
    <w:rsid w:val="00D77B9D"/>
    <w:rsid w:val="00D77BF5"/>
    <w:rsid w:val="00D77BFA"/>
    <w:rsid w:val="00D77D30"/>
    <w:rsid w:val="00D77D62"/>
    <w:rsid w:val="00D77D68"/>
    <w:rsid w:val="00D77DA2"/>
    <w:rsid w:val="00D77DBF"/>
    <w:rsid w:val="00D77DD5"/>
    <w:rsid w:val="00D77DDF"/>
    <w:rsid w:val="00D77E45"/>
    <w:rsid w:val="00D77E4D"/>
    <w:rsid w:val="00D77E4F"/>
    <w:rsid w:val="00D77E6B"/>
    <w:rsid w:val="00D77E79"/>
    <w:rsid w:val="00D77F25"/>
    <w:rsid w:val="00D77F9F"/>
    <w:rsid w:val="00D77FE9"/>
    <w:rsid w:val="00D80011"/>
    <w:rsid w:val="00D8001F"/>
    <w:rsid w:val="00D800C9"/>
    <w:rsid w:val="00D800EC"/>
    <w:rsid w:val="00D80116"/>
    <w:rsid w:val="00D80164"/>
    <w:rsid w:val="00D801B5"/>
    <w:rsid w:val="00D801CA"/>
    <w:rsid w:val="00D801CE"/>
    <w:rsid w:val="00D801E2"/>
    <w:rsid w:val="00D8022C"/>
    <w:rsid w:val="00D802BD"/>
    <w:rsid w:val="00D8032C"/>
    <w:rsid w:val="00D8034E"/>
    <w:rsid w:val="00D803A1"/>
    <w:rsid w:val="00D803E4"/>
    <w:rsid w:val="00D80402"/>
    <w:rsid w:val="00D8042B"/>
    <w:rsid w:val="00D80458"/>
    <w:rsid w:val="00D8045B"/>
    <w:rsid w:val="00D80484"/>
    <w:rsid w:val="00D804B6"/>
    <w:rsid w:val="00D804C3"/>
    <w:rsid w:val="00D804D1"/>
    <w:rsid w:val="00D80501"/>
    <w:rsid w:val="00D80504"/>
    <w:rsid w:val="00D8051B"/>
    <w:rsid w:val="00D8053D"/>
    <w:rsid w:val="00D80558"/>
    <w:rsid w:val="00D8059E"/>
    <w:rsid w:val="00D805DA"/>
    <w:rsid w:val="00D80633"/>
    <w:rsid w:val="00D806FA"/>
    <w:rsid w:val="00D80741"/>
    <w:rsid w:val="00D8074F"/>
    <w:rsid w:val="00D80750"/>
    <w:rsid w:val="00D8075B"/>
    <w:rsid w:val="00D807A0"/>
    <w:rsid w:val="00D807BD"/>
    <w:rsid w:val="00D807E1"/>
    <w:rsid w:val="00D8080D"/>
    <w:rsid w:val="00D80814"/>
    <w:rsid w:val="00D80858"/>
    <w:rsid w:val="00D80882"/>
    <w:rsid w:val="00D808A4"/>
    <w:rsid w:val="00D808DC"/>
    <w:rsid w:val="00D808EE"/>
    <w:rsid w:val="00D80945"/>
    <w:rsid w:val="00D809A8"/>
    <w:rsid w:val="00D809FE"/>
    <w:rsid w:val="00D809FF"/>
    <w:rsid w:val="00D80A5D"/>
    <w:rsid w:val="00D80AC9"/>
    <w:rsid w:val="00D80AF1"/>
    <w:rsid w:val="00D80B17"/>
    <w:rsid w:val="00D80B2A"/>
    <w:rsid w:val="00D80B5A"/>
    <w:rsid w:val="00D80BEA"/>
    <w:rsid w:val="00D80C0A"/>
    <w:rsid w:val="00D80C0E"/>
    <w:rsid w:val="00D80C4C"/>
    <w:rsid w:val="00D80C4E"/>
    <w:rsid w:val="00D80C61"/>
    <w:rsid w:val="00D80C64"/>
    <w:rsid w:val="00D80D11"/>
    <w:rsid w:val="00D80D16"/>
    <w:rsid w:val="00D80D59"/>
    <w:rsid w:val="00D80DB0"/>
    <w:rsid w:val="00D80DCC"/>
    <w:rsid w:val="00D80DF2"/>
    <w:rsid w:val="00D80E4B"/>
    <w:rsid w:val="00D80E5F"/>
    <w:rsid w:val="00D80E77"/>
    <w:rsid w:val="00D80ED6"/>
    <w:rsid w:val="00D80EEC"/>
    <w:rsid w:val="00D80EF1"/>
    <w:rsid w:val="00D80F11"/>
    <w:rsid w:val="00D80F45"/>
    <w:rsid w:val="00D80F5D"/>
    <w:rsid w:val="00D80F5F"/>
    <w:rsid w:val="00D80F7B"/>
    <w:rsid w:val="00D80FF6"/>
    <w:rsid w:val="00D81024"/>
    <w:rsid w:val="00D81044"/>
    <w:rsid w:val="00D81049"/>
    <w:rsid w:val="00D81079"/>
    <w:rsid w:val="00D810AC"/>
    <w:rsid w:val="00D810F6"/>
    <w:rsid w:val="00D8114A"/>
    <w:rsid w:val="00D811D6"/>
    <w:rsid w:val="00D81211"/>
    <w:rsid w:val="00D81237"/>
    <w:rsid w:val="00D81270"/>
    <w:rsid w:val="00D81275"/>
    <w:rsid w:val="00D812A1"/>
    <w:rsid w:val="00D812A2"/>
    <w:rsid w:val="00D8131A"/>
    <w:rsid w:val="00D81387"/>
    <w:rsid w:val="00D813BA"/>
    <w:rsid w:val="00D813C0"/>
    <w:rsid w:val="00D813D1"/>
    <w:rsid w:val="00D8141F"/>
    <w:rsid w:val="00D8143E"/>
    <w:rsid w:val="00D81454"/>
    <w:rsid w:val="00D81463"/>
    <w:rsid w:val="00D81464"/>
    <w:rsid w:val="00D81487"/>
    <w:rsid w:val="00D814CF"/>
    <w:rsid w:val="00D8151A"/>
    <w:rsid w:val="00D81520"/>
    <w:rsid w:val="00D81533"/>
    <w:rsid w:val="00D81582"/>
    <w:rsid w:val="00D8158E"/>
    <w:rsid w:val="00D81599"/>
    <w:rsid w:val="00D81640"/>
    <w:rsid w:val="00D8165F"/>
    <w:rsid w:val="00D81684"/>
    <w:rsid w:val="00D8169D"/>
    <w:rsid w:val="00D816BD"/>
    <w:rsid w:val="00D816E1"/>
    <w:rsid w:val="00D81752"/>
    <w:rsid w:val="00D81759"/>
    <w:rsid w:val="00D81777"/>
    <w:rsid w:val="00D81778"/>
    <w:rsid w:val="00D8180F"/>
    <w:rsid w:val="00D8181D"/>
    <w:rsid w:val="00D81898"/>
    <w:rsid w:val="00D818CA"/>
    <w:rsid w:val="00D818E7"/>
    <w:rsid w:val="00D818E9"/>
    <w:rsid w:val="00D8195A"/>
    <w:rsid w:val="00D81961"/>
    <w:rsid w:val="00D819A0"/>
    <w:rsid w:val="00D819E1"/>
    <w:rsid w:val="00D819E4"/>
    <w:rsid w:val="00D81A50"/>
    <w:rsid w:val="00D81A65"/>
    <w:rsid w:val="00D81A70"/>
    <w:rsid w:val="00D81ABB"/>
    <w:rsid w:val="00D81AE2"/>
    <w:rsid w:val="00D81AF7"/>
    <w:rsid w:val="00D81B22"/>
    <w:rsid w:val="00D81BA0"/>
    <w:rsid w:val="00D81BAF"/>
    <w:rsid w:val="00D81BCA"/>
    <w:rsid w:val="00D81C3F"/>
    <w:rsid w:val="00D81C7D"/>
    <w:rsid w:val="00D81C90"/>
    <w:rsid w:val="00D81C9D"/>
    <w:rsid w:val="00D81CDD"/>
    <w:rsid w:val="00D81CE1"/>
    <w:rsid w:val="00D81D02"/>
    <w:rsid w:val="00D81D38"/>
    <w:rsid w:val="00D81D41"/>
    <w:rsid w:val="00D81DA5"/>
    <w:rsid w:val="00D81DD1"/>
    <w:rsid w:val="00D81E1D"/>
    <w:rsid w:val="00D81E55"/>
    <w:rsid w:val="00D81E97"/>
    <w:rsid w:val="00D81ED9"/>
    <w:rsid w:val="00D81F09"/>
    <w:rsid w:val="00D81F1D"/>
    <w:rsid w:val="00D81F2B"/>
    <w:rsid w:val="00D81F59"/>
    <w:rsid w:val="00D81F66"/>
    <w:rsid w:val="00D81FBA"/>
    <w:rsid w:val="00D81FDF"/>
    <w:rsid w:val="00D81FEA"/>
    <w:rsid w:val="00D8206F"/>
    <w:rsid w:val="00D82095"/>
    <w:rsid w:val="00D82099"/>
    <w:rsid w:val="00D82106"/>
    <w:rsid w:val="00D8211B"/>
    <w:rsid w:val="00D82132"/>
    <w:rsid w:val="00D82171"/>
    <w:rsid w:val="00D8219B"/>
    <w:rsid w:val="00D821B5"/>
    <w:rsid w:val="00D821F2"/>
    <w:rsid w:val="00D82267"/>
    <w:rsid w:val="00D822AD"/>
    <w:rsid w:val="00D822BD"/>
    <w:rsid w:val="00D822F2"/>
    <w:rsid w:val="00D82303"/>
    <w:rsid w:val="00D8231A"/>
    <w:rsid w:val="00D8234D"/>
    <w:rsid w:val="00D82396"/>
    <w:rsid w:val="00D8239B"/>
    <w:rsid w:val="00D823E2"/>
    <w:rsid w:val="00D82474"/>
    <w:rsid w:val="00D824A5"/>
    <w:rsid w:val="00D8252C"/>
    <w:rsid w:val="00D82534"/>
    <w:rsid w:val="00D82548"/>
    <w:rsid w:val="00D825AC"/>
    <w:rsid w:val="00D82613"/>
    <w:rsid w:val="00D82637"/>
    <w:rsid w:val="00D826A5"/>
    <w:rsid w:val="00D826AC"/>
    <w:rsid w:val="00D826BC"/>
    <w:rsid w:val="00D826C2"/>
    <w:rsid w:val="00D82713"/>
    <w:rsid w:val="00D82739"/>
    <w:rsid w:val="00D8281A"/>
    <w:rsid w:val="00D82834"/>
    <w:rsid w:val="00D8287B"/>
    <w:rsid w:val="00D828A1"/>
    <w:rsid w:val="00D828BF"/>
    <w:rsid w:val="00D828D8"/>
    <w:rsid w:val="00D828ED"/>
    <w:rsid w:val="00D828F5"/>
    <w:rsid w:val="00D82915"/>
    <w:rsid w:val="00D829DA"/>
    <w:rsid w:val="00D829F8"/>
    <w:rsid w:val="00D82A03"/>
    <w:rsid w:val="00D82AB1"/>
    <w:rsid w:val="00D82B08"/>
    <w:rsid w:val="00D82B28"/>
    <w:rsid w:val="00D82B31"/>
    <w:rsid w:val="00D82B3C"/>
    <w:rsid w:val="00D82B4B"/>
    <w:rsid w:val="00D82B90"/>
    <w:rsid w:val="00D82B98"/>
    <w:rsid w:val="00D82C20"/>
    <w:rsid w:val="00D82C3D"/>
    <w:rsid w:val="00D82C41"/>
    <w:rsid w:val="00D82C57"/>
    <w:rsid w:val="00D82C8A"/>
    <w:rsid w:val="00D82C9A"/>
    <w:rsid w:val="00D82CF7"/>
    <w:rsid w:val="00D82D01"/>
    <w:rsid w:val="00D82D34"/>
    <w:rsid w:val="00D82D49"/>
    <w:rsid w:val="00D82D9B"/>
    <w:rsid w:val="00D82E47"/>
    <w:rsid w:val="00D82E98"/>
    <w:rsid w:val="00D82F15"/>
    <w:rsid w:val="00D82F52"/>
    <w:rsid w:val="00D82F57"/>
    <w:rsid w:val="00D82F74"/>
    <w:rsid w:val="00D82F8A"/>
    <w:rsid w:val="00D82FD7"/>
    <w:rsid w:val="00D82FD9"/>
    <w:rsid w:val="00D83022"/>
    <w:rsid w:val="00D830C6"/>
    <w:rsid w:val="00D830CC"/>
    <w:rsid w:val="00D8312A"/>
    <w:rsid w:val="00D831AF"/>
    <w:rsid w:val="00D8320A"/>
    <w:rsid w:val="00D83223"/>
    <w:rsid w:val="00D8325F"/>
    <w:rsid w:val="00D8328B"/>
    <w:rsid w:val="00D832B8"/>
    <w:rsid w:val="00D832BF"/>
    <w:rsid w:val="00D832C9"/>
    <w:rsid w:val="00D83317"/>
    <w:rsid w:val="00D833A2"/>
    <w:rsid w:val="00D8341D"/>
    <w:rsid w:val="00D83499"/>
    <w:rsid w:val="00D834A8"/>
    <w:rsid w:val="00D834B1"/>
    <w:rsid w:val="00D834D2"/>
    <w:rsid w:val="00D834F4"/>
    <w:rsid w:val="00D834F7"/>
    <w:rsid w:val="00D83515"/>
    <w:rsid w:val="00D8352D"/>
    <w:rsid w:val="00D83562"/>
    <w:rsid w:val="00D835DD"/>
    <w:rsid w:val="00D83640"/>
    <w:rsid w:val="00D83663"/>
    <w:rsid w:val="00D83670"/>
    <w:rsid w:val="00D836A2"/>
    <w:rsid w:val="00D836AE"/>
    <w:rsid w:val="00D836D2"/>
    <w:rsid w:val="00D836FC"/>
    <w:rsid w:val="00D83738"/>
    <w:rsid w:val="00D83743"/>
    <w:rsid w:val="00D83776"/>
    <w:rsid w:val="00D8378D"/>
    <w:rsid w:val="00D83887"/>
    <w:rsid w:val="00D838B5"/>
    <w:rsid w:val="00D838C0"/>
    <w:rsid w:val="00D838EE"/>
    <w:rsid w:val="00D83907"/>
    <w:rsid w:val="00D83923"/>
    <w:rsid w:val="00D8392F"/>
    <w:rsid w:val="00D83966"/>
    <w:rsid w:val="00D83975"/>
    <w:rsid w:val="00D8397A"/>
    <w:rsid w:val="00D83989"/>
    <w:rsid w:val="00D839A4"/>
    <w:rsid w:val="00D83A5A"/>
    <w:rsid w:val="00D83AAB"/>
    <w:rsid w:val="00D83AAC"/>
    <w:rsid w:val="00D83AC4"/>
    <w:rsid w:val="00D83AC6"/>
    <w:rsid w:val="00D83B20"/>
    <w:rsid w:val="00D83B29"/>
    <w:rsid w:val="00D83B9B"/>
    <w:rsid w:val="00D83BB2"/>
    <w:rsid w:val="00D83BBF"/>
    <w:rsid w:val="00D83BEC"/>
    <w:rsid w:val="00D83C40"/>
    <w:rsid w:val="00D83C9A"/>
    <w:rsid w:val="00D83CAE"/>
    <w:rsid w:val="00D83CC2"/>
    <w:rsid w:val="00D83CDD"/>
    <w:rsid w:val="00D83D24"/>
    <w:rsid w:val="00D83D58"/>
    <w:rsid w:val="00D83D5D"/>
    <w:rsid w:val="00D83E18"/>
    <w:rsid w:val="00D83E97"/>
    <w:rsid w:val="00D83EA5"/>
    <w:rsid w:val="00D83EC5"/>
    <w:rsid w:val="00D83EE5"/>
    <w:rsid w:val="00D83F39"/>
    <w:rsid w:val="00D83F45"/>
    <w:rsid w:val="00D83F5A"/>
    <w:rsid w:val="00D83F83"/>
    <w:rsid w:val="00D83FB2"/>
    <w:rsid w:val="00D84001"/>
    <w:rsid w:val="00D84061"/>
    <w:rsid w:val="00D840AB"/>
    <w:rsid w:val="00D84132"/>
    <w:rsid w:val="00D8413D"/>
    <w:rsid w:val="00D8418B"/>
    <w:rsid w:val="00D84197"/>
    <w:rsid w:val="00D841A8"/>
    <w:rsid w:val="00D84261"/>
    <w:rsid w:val="00D84275"/>
    <w:rsid w:val="00D84287"/>
    <w:rsid w:val="00D842B8"/>
    <w:rsid w:val="00D842F1"/>
    <w:rsid w:val="00D842F9"/>
    <w:rsid w:val="00D8432D"/>
    <w:rsid w:val="00D84383"/>
    <w:rsid w:val="00D843DF"/>
    <w:rsid w:val="00D843E5"/>
    <w:rsid w:val="00D84403"/>
    <w:rsid w:val="00D8441C"/>
    <w:rsid w:val="00D8446B"/>
    <w:rsid w:val="00D84486"/>
    <w:rsid w:val="00D844C0"/>
    <w:rsid w:val="00D844C9"/>
    <w:rsid w:val="00D844EA"/>
    <w:rsid w:val="00D8450B"/>
    <w:rsid w:val="00D84524"/>
    <w:rsid w:val="00D8456F"/>
    <w:rsid w:val="00D84570"/>
    <w:rsid w:val="00D8458B"/>
    <w:rsid w:val="00D84596"/>
    <w:rsid w:val="00D8460D"/>
    <w:rsid w:val="00D84615"/>
    <w:rsid w:val="00D84629"/>
    <w:rsid w:val="00D84639"/>
    <w:rsid w:val="00D84686"/>
    <w:rsid w:val="00D84687"/>
    <w:rsid w:val="00D846A4"/>
    <w:rsid w:val="00D846BF"/>
    <w:rsid w:val="00D84705"/>
    <w:rsid w:val="00D84793"/>
    <w:rsid w:val="00D84794"/>
    <w:rsid w:val="00D84824"/>
    <w:rsid w:val="00D84826"/>
    <w:rsid w:val="00D84829"/>
    <w:rsid w:val="00D84840"/>
    <w:rsid w:val="00D848FC"/>
    <w:rsid w:val="00D84901"/>
    <w:rsid w:val="00D84907"/>
    <w:rsid w:val="00D84924"/>
    <w:rsid w:val="00D8492B"/>
    <w:rsid w:val="00D849B3"/>
    <w:rsid w:val="00D84A76"/>
    <w:rsid w:val="00D84A9B"/>
    <w:rsid w:val="00D84B02"/>
    <w:rsid w:val="00D84B5E"/>
    <w:rsid w:val="00D84BD7"/>
    <w:rsid w:val="00D84C72"/>
    <w:rsid w:val="00D84CAF"/>
    <w:rsid w:val="00D84CB9"/>
    <w:rsid w:val="00D84D52"/>
    <w:rsid w:val="00D84E06"/>
    <w:rsid w:val="00D84E09"/>
    <w:rsid w:val="00D84E41"/>
    <w:rsid w:val="00D84E61"/>
    <w:rsid w:val="00D84E6A"/>
    <w:rsid w:val="00D84ED1"/>
    <w:rsid w:val="00D84F03"/>
    <w:rsid w:val="00D84F0C"/>
    <w:rsid w:val="00D84F53"/>
    <w:rsid w:val="00D84F57"/>
    <w:rsid w:val="00D84F7F"/>
    <w:rsid w:val="00D84FEE"/>
    <w:rsid w:val="00D85005"/>
    <w:rsid w:val="00D85011"/>
    <w:rsid w:val="00D85082"/>
    <w:rsid w:val="00D850AF"/>
    <w:rsid w:val="00D850EA"/>
    <w:rsid w:val="00D852D0"/>
    <w:rsid w:val="00D852ED"/>
    <w:rsid w:val="00D8532F"/>
    <w:rsid w:val="00D85384"/>
    <w:rsid w:val="00D853F3"/>
    <w:rsid w:val="00D8541E"/>
    <w:rsid w:val="00D854AB"/>
    <w:rsid w:val="00D854CC"/>
    <w:rsid w:val="00D854EC"/>
    <w:rsid w:val="00D85525"/>
    <w:rsid w:val="00D85603"/>
    <w:rsid w:val="00D85695"/>
    <w:rsid w:val="00D8573A"/>
    <w:rsid w:val="00D8573B"/>
    <w:rsid w:val="00D85778"/>
    <w:rsid w:val="00D857EB"/>
    <w:rsid w:val="00D85847"/>
    <w:rsid w:val="00D858A2"/>
    <w:rsid w:val="00D8594D"/>
    <w:rsid w:val="00D85965"/>
    <w:rsid w:val="00D85966"/>
    <w:rsid w:val="00D8596F"/>
    <w:rsid w:val="00D8597D"/>
    <w:rsid w:val="00D859CD"/>
    <w:rsid w:val="00D859CF"/>
    <w:rsid w:val="00D859D1"/>
    <w:rsid w:val="00D85A22"/>
    <w:rsid w:val="00D85AA7"/>
    <w:rsid w:val="00D85AB8"/>
    <w:rsid w:val="00D85AD4"/>
    <w:rsid w:val="00D85AEC"/>
    <w:rsid w:val="00D85AED"/>
    <w:rsid w:val="00D85B24"/>
    <w:rsid w:val="00D85B58"/>
    <w:rsid w:val="00D85B6D"/>
    <w:rsid w:val="00D85B6E"/>
    <w:rsid w:val="00D85B74"/>
    <w:rsid w:val="00D85B8A"/>
    <w:rsid w:val="00D85B9D"/>
    <w:rsid w:val="00D85BD5"/>
    <w:rsid w:val="00D85BF3"/>
    <w:rsid w:val="00D85BF6"/>
    <w:rsid w:val="00D85BF7"/>
    <w:rsid w:val="00D85C47"/>
    <w:rsid w:val="00D85C60"/>
    <w:rsid w:val="00D85C65"/>
    <w:rsid w:val="00D85C98"/>
    <w:rsid w:val="00D85CA8"/>
    <w:rsid w:val="00D85CAC"/>
    <w:rsid w:val="00D85CAD"/>
    <w:rsid w:val="00D85CDE"/>
    <w:rsid w:val="00D85CE0"/>
    <w:rsid w:val="00D85CE7"/>
    <w:rsid w:val="00D85D1D"/>
    <w:rsid w:val="00D85D57"/>
    <w:rsid w:val="00D85D9C"/>
    <w:rsid w:val="00D85E14"/>
    <w:rsid w:val="00D85E3B"/>
    <w:rsid w:val="00D85E46"/>
    <w:rsid w:val="00D85E49"/>
    <w:rsid w:val="00D85E54"/>
    <w:rsid w:val="00D85E61"/>
    <w:rsid w:val="00D85E7C"/>
    <w:rsid w:val="00D85E9D"/>
    <w:rsid w:val="00D85F0D"/>
    <w:rsid w:val="00D85F22"/>
    <w:rsid w:val="00D85F3D"/>
    <w:rsid w:val="00D85F5D"/>
    <w:rsid w:val="00D85F74"/>
    <w:rsid w:val="00D85F99"/>
    <w:rsid w:val="00D85FA4"/>
    <w:rsid w:val="00D85FAB"/>
    <w:rsid w:val="00D85FBD"/>
    <w:rsid w:val="00D85FF4"/>
    <w:rsid w:val="00D86017"/>
    <w:rsid w:val="00D8601C"/>
    <w:rsid w:val="00D8606A"/>
    <w:rsid w:val="00D86082"/>
    <w:rsid w:val="00D860A6"/>
    <w:rsid w:val="00D860BE"/>
    <w:rsid w:val="00D860CD"/>
    <w:rsid w:val="00D86118"/>
    <w:rsid w:val="00D8619C"/>
    <w:rsid w:val="00D86263"/>
    <w:rsid w:val="00D86267"/>
    <w:rsid w:val="00D86282"/>
    <w:rsid w:val="00D862A7"/>
    <w:rsid w:val="00D862B6"/>
    <w:rsid w:val="00D862BC"/>
    <w:rsid w:val="00D862C5"/>
    <w:rsid w:val="00D862DB"/>
    <w:rsid w:val="00D8635A"/>
    <w:rsid w:val="00D8638A"/>
    <w:rsid w:val="00D863A2"/>
    <w:rsid w:val="00D863EB"/>
    <w:rsid w:val="00D86401"/>
    <w:rsid w:val="00D8654D"/>
    <w:rsid w:val="00D865D9"/>
    <w:rsid w:val="00D866F1"/>
    <w:rsid w:val="00D8678B"/>
    <w:rsid w:val="00D867B4"/>
    <w:rsid w:val="00D867CD"/>
    <w:rsid w:val="00D867DB"/>
    <w:rsid w:val="00D8681C"/>
    <w:rsid w:val="00D8681D"/>
    <w:rsid w:val="00D86860"/>
    <w:rsid w:val="00D8686F"/>
    <w:rsid w:val="00D868A9"/>
    <w:rsid w:val="00D86919"/>
    <w:rsid w:val="00D86929"/>
    <w:rsid w:val="00D8699E"/>
    <w:rsid w:val="00D869B1"/>
    <w:rsid w:val="00D869FA"/>
    <w:rsid w:val="00D86A2A"/>
    <w:rsid w:val="00D86A36"/>
    <w:rsid w:val="00D86A7F"/>
    <w:rsid w:val="00D86AB3"/>
    <w:rsid w:val="00D86B02"/>
    <w:rsid w:val="00D86B2D"/>
    <w:rsid w:val="00D86B5C"/>
    <w:rsid w:val="00D86B83"/>
    <w:rsid w:val="00D86BBE"/>
    <w:rsid w:val="00D86BC7"/>
    <w:rsid w:val="00D86BE9"/>
    <w:rsid w:val="00D86C15"/>
    <w:rsid w:val="00D86C5E"/>
    <w:rsid w:val="00D86C85"/>
    <w:rsid w:val="00D86CDE"/>
    <w:rsid w:val="00D86CE2"/>
    <w:rsid w:val="00D86CE5"/>
    <w:rsid w:val="00D86CF4"/>
    <w:rsid w:val="00D86D82"/>
    <w:rsid w:val="00D86D85"/>
    <w:rsid w:val="00D86DBE"/>
    <w:rsid w:val="00D86DFA"/>
    <w:rsid w:val="00D86E0E"/>
    <w:rsid w:val="00D86E28"/>
    <w:rsid w:val="00D86E6C"/>
    <w:rsid w:val="00D86E74"/>
    <w:rsid w:val="00D86E83"/>
    <w:rsid w:val="00D86E95"/>
    <w:rsid w:val="00D86E99"/>
    <w:rsid w:val="00D86EF6"/>
    <w:rsid w:val="00D86F2A"/>
    <w:rsid w:val="00D86F4A"/>
    <w:rsid w:val="00D86F8B"/>
    <w:rsid w:val="00D86F93"/>
    <w:rsid w:val="00D87026"/>
    <w:rsid w:val="00D8702C"/>
    <w:rsid w:val="00D87082"/>
    <w:rsid w:val="00D870A0"/>
    <w:rsid w:val="00D870EA"/>
    <w:rsid w:val="00D87134"/>
    <w:rsid w:val="00D87142"/>
    <w:rsid w:val="00D87156"/>
    <w:rsid w:val="00D87159"/>
    <w:rsid w:val="00D87170"/>
    <w:rsid w:val="00D87187"/>
    <w:rsid w:val="00D871A7"/>
    <w:rsid w:val="00D87264"/>
    <w:rsid w:val="00D8731B"/>
    <w:rsid w:val="00D87326"/>
    <w:rsid w:val="00D87345"/>
    <w:rsid w:val="00D8738A"/>
    <w:rsid w:val="00D87394"/>
    <w:rsid w:val="00D873C9"/>
    <w:rsid w:val="00D873D3"/>
    <w:rsid w:val="00D8741D"/>
    <w:rsid w:val="00D87441"/>
    <w:rsid w:val="00D874C8"/>
    <w:rsid w:val="00D874E8"/>
    <w:rsid w:val="00D87543"/>
    <w:rsid w:val="00D8759C"/>
    <w:rsid w:val="00D875D0"/>
    <w:rsid w:val="00D875DE"/>
    <w:rsid w:val="00D8761E"/>
    <w:rsid w:val="00D87656"/>
    <w:rsid w:val="00D87684"/>
    <w:rsid w:val="00D876B9"/>
    <w:rsid w:val="00D87734"/>
    <w:rsid w:val="00D87743"/>
    <w:rsid w:val="00D87744"/>
    <w:rsid w:val="00D87773"/>
    <w:rsid w:val="00D8779C"/>
    <w:rsid w:val="00D87810"/>
    <w:rsid w:val="00D87815"/>
    <w:rsid w:val="00D87839"/>
    <w:rsid w:val="00D87899"/>
    <w:rsid w:val="00D878E0"/>
    <w:rsid w:val="00D87909"/>
    <w:rsid w:val="00D87A2B"/>
    <w:rsid w:val="00D87A5A"/>
    <w:rsid w:val="00D87B16"/>
    <w:rsid w:val="00D87B17"/>
    <w:rsid w:val="00D87B1A"/>
    <w:rsid w:val="00D87B47"/>
    <w:rsid w:val="00D87B80"/>
    <w:rsid w:val="00D87B94"/>
    <w:rsid w:val="00D87BBA"/>
    <w:rsid w:val="00D87C75"/>
    <w:rsid w:val="00D87C7C"/>
    <w:rsid w:val="00D87CBE"/>
    <w:rsid w:val="00D87CEF"/>
    <w:rsid w:val="00D87CF1"/>
    <w:rsid w:val="00D87D03"/>
    <w:rsid w:val="00D87D23"/>
    <w:rsid w:val="00D87D28"/>
    <w:rsid w:val="00D87D29"/>
    <w:rsid w:val="00D87D50"/>
    <w:rsid w:val="00D87D67"/>
    <w:rsid w:val="00D87D91"/>
    <w:rsid w:val="00D87DD9"/>
    <w:rsid w:val="00D87E0D"/>
    <w:rsid w:val="00D87E5A"/>
    <w:rsid w:val="00D87E7C"/>
    <w:rsid w:val="00D87E98"/>
    <w:rsid w:val="00D87ED1"/>
    <w:rsid w:val="00D87F27"/>
    <w:rsid w:val="00D87F3B"/>
    <w:rsid w:val="00D87F50"/>
    <w:rsid w:val="00D87F69"/>
    <w:rsid w:val="00D87F6D"/>
    <w:rsid w:val="00D87F70"/>
    <w:rsid w:val="00D87F8D"/>
    <w:rsid w:val="00D87F9B"/>
    <w:rsid w:val="00D87FDA"/>
    <w:rsid w:val="00D87FE5"/>
    <w:rsid w:val="00D87FE8"/>
    <w:rsid w:val="00D87FF1"/>
    <w:rsid w:val="00D90012"/>
    <w:rsid w:val="00D90027"/>
    <w:rsid w:val="00D9003C"/>
    <w:rsid w:val="00D9004D"/>
    <w:rsid w:val="00D900A3"/>
    <w:rsid w:val="00D900B5"/>
    <w:rsid w:val="00D900FC"/>
    <w:rsid w:val="00D90123"/>
    <w:rsid w:val="00D90139"/>
    <w:rsid w:val="00D9016F"/>
    <w:rsid w:val="00D90186"/>
    <w:rsid w:val="00D901BB"/>
    <w:rsid w:val="00D901CD"/>
    <w:rsid w:val="00D901EA"/>
    <w:rsid w:val="00D901ED"/>
    <w:rsid w:val="00D90268"/>
    <w:rsid w:val="00D902B1"/>
    <w:rsid w:val="00D9031B"/>
    <w:rsid w:val="00D90325"/>
    <w:rsid w:val="00D90343"/>
    <w:rsid w:val="00D903C6"/>
    <w:rsid w:val="00D903CA"/>
    <w:rsid w:val="00D903D3"/>
    <w:rsid w:val="00D903E3"/>
    <w:rsid w:val="00D903E4"/>
    <w:rsid w:val="00D903EE"/>
    <w:rsid w:val="00D90410"/>
    <w:rsid w:val="00D90477"/>
    <w:rsid w:val="00D904D6"/>
    <w:rsid w:val="00D904F9"/>
    <w:rsid w:val="00D90576"/>
    <w:rsid w:val="00D90582"/>
    <w:rsid w:val="00D905BD"/>
    <w:rsid w:val="00D90618"/>
    <w:rsid w:val="00D9066D"/>
    <w:rsid w:val="00D9066F"/>
    <w:rsid w:val="00D90685"/>
    <w:rsid w:val="00D906C3"/>
    <w:rsid w:val="00D9072E"/>
    <w:rsid w:val="00D90762"/>
    <w:rsid w:val="00D907D4"/>
    <w:rsid w:val="00D907F7"/>
    <w:rsid w:val="00D907F9"/>
    <w:rsid w:val="00D90810"/>
    <w:rsid w:val="00D90840"/>
    <w:rsid w:val="00D9089E"/>
    <w:rsid w:val="00D908DF"/>
    <w:rsid w:val="00D9097D"/>
    <w:rsid w:val="00D9098C"/>
    <w:rsid w:val="00D90A10"/>
    <w:rsid w:val="00D90A4B"/>
    <w:rsid w:val="00D90A6D"/>
    <w:rsid w:val="00D90A7F"/>
    <w:rsid w:val="00D90ACF"/>
    <w:rsid w:val="00D90B37"/>
    <w:rsid w:val="00D90B42"/>
    <w:rsid w:val="00D90B4D"/>
    <w:rsid w:val="00D90B7F"/>
    <w:rsid w:val="00D90B8A"/>
    <w:rsid w:val="00D90C00"/>
    <w:rsid w:val="00D90C16"/>
    <w:rsid w:val="00D90C72"/>
    <w:rsid w:val="00D90CD0"/>
    <w:rsid w:val="00D90CF4"/>
    <w:rsid w:val="00D90CF7"/>
    <w:rsid w:val="00D90D60"/>
    <w:rsid w:val="00D90DB8"/>
    <w:rsid w:val="00D90E5A"/>
    <w:rsid w:val="00D90E7F"/>
    <w:rsid w:val="00D90ECA"/>
    <w:rsid w:val="00D90EDC"/>
    <w:rsid w:val="00D90EE2"/>
    <w:rsid w:val="00D90F0C"/>
    <w:rsid w:val="00D90F0F"/>
    <w:rsid w:val="00D90F54"/>
    <w:rsid w:val="00D90F6D"/>
    <w:rsid w:val="00D90F74"/>
    <w:rsid w:val="00D90F8F"/>
    <w:rsid w:val="00D90FA9"/>
    <w:rsid w:val="00D90FBD"/>
    <w:rsid w:val="00D90FD1"/>
    <w:rsid w:val="00D91008"/>
    <w:rsid w:val="00D91049"/>
    <w:rsid w:val="00D9116D"/>
    <w:rsid w:val="00D911B5"/>
    <w:rsid w:val="00D911B7"/>
    <w:rsid w:val="00D911F7"/>
    <w:rsid w:val="00D91227"/>
    <w:rsid w:val="00D9123C"/>
    <w:rsid w:val="00D912D4"/>
    <w:rsid w:val="00D912DA"/>
    <w:rsid w:val="00D912E0"/>
    <w:rsid w:val="00D91356"/>
    <w:rsid w:val="00D913E1"/>
    <w:rsid w:val="00D9141D"/>
    <w:rsid w:val="00D9142E"/>
    <w:rsid w:val="00D91431"/>
    <w:rsid w:val="00D91434"/>
    <w:rsid w:val="00D91437"/>
    <w:rsid w:val="00D91468"/>
    <w:rsid w:val="00D9148F"/>
    <w:rsid w:val="00D914B5"/>
    <w:rsid w:val="00D914C2"/>
    <w:rsid w:val="00D914D0"/>
    <w:rsid w:val="00D9150B"/>
    <w:rsid w:val="00D9151C"/>
    <w:rsid w:val="00D91533"/>
    <w:rsid w:val="00D9155B"/>
    <w:rsid w:val="00D91575"/>
    <w:rsid w:val="00D91640"/>
    <w:rsid w:val="00D91694"/>
    <w:rsid w:val="00D916DB"/>
    <w:rsid w:val="00D916F3"/>
    <w:rsid w:val="00D91703"/>
    <w:rsid w:val="00D9172A"/>
    <w:rsid w:val="00D91748"/>
    <w:rsid w:val="00D917B9"/>
    <w:rsid w:val="00D917CF"/>
    <w:rsid w:val="00D917D0"/>
    <w:rsid w:val="00D917EF"/>
    <w:rsid w:val="00D917F1"/>
    <w:rsid w:val="00D918EE"/>
    <w:rsid w:val="00D9195B"/>
    <w:rsid w:val="00D9195E"/>
    <w:rsid w:val="00D91990"/>
    <w:rsid w:val="00D919CD"/>
    <w:rsid w:val="00D91A20"/>
    <w:rsid w:val="00D91A23"/>
    <w:rsid w:val="00D91AA0"/>
    <w:rsid w:val="00D91AB4"/>
    <w:rsid w:val="00D91ABC"/>
    <w:rsid w:val="00D91ADD"/>
    <w:rsid w:val="00D91B11"/>
    <w:rsid w:val="00D91B80"/>
    <w:rsid w:val="00D91B8D"/>
    <w:rsid w:val="00D91B91"/>
    <w:rsid w:val="00D91BAF"/>
    <w:rsid w:val="00D91BEE"/>
    <w:rsid w:val="00D91C0B"/>
    <w:rsid w:val="00D91C17"/>
    <w:rsid w:val="00D91C47"/>
    <w:rsid w:val="00D91CB5"/>
    <w:rsid w:val="00D91D06"/>
    <w:rsid w:val="00D91D1C"/>
    <w:rsid w:val="00D91D1E"/>
    <w:rsid w:val="00D91D51"/>
    <w:rsid w:val="00D91DB8"/>
    <w:rsid w:val="00D91E67"/>
    <w:rsid w:val="00D91E6C"/>
    <w:rsid w:val="00D91EAB"/>
    <w:rsid w:val="00D91ED3"/>
    <w:rsid w:val="00D91EF1"/>
    <w:rsid w:val="00D91EF6"/>
    <w:rsid w:val="00D91F07"/>
    <w:rsid w:val="00D91F18"/>
    <w:rsid w:val="00D91F34"/>
    <w:rsid w:val="00D91F79"/>
    <w:rsid w:val="00D91FF7"/>
    <w:rsid w:val="00D92013"/>
    <w:rsid w:val="00D9201A"/>
    <w:rsid w:val="00D9203A"/>
    <w:rsid w:val="00D92088"/>
    <w:rsid w:val="00D920E4"/>
    <w:rsid w:val="00D920E5"/>
    <w:rsid w:val="00D920ED"/>
    <w:rsid w:val="00D92116"/>
    <w:rsid w:val="00D921D3"/>
    <w:rsid w:val="00D921ED"/>
    <w:rsid w:val="00D92288"/>
    <w:rsid w:val="00D922F3"/>
    <w:rsid w:val="00D92383"/>
    <w:rsid w:val="00D92389"/>
    <w:rsid w:val="00D923AA"/>
    <w:rsid w:val="00D92428"/>
    <w:rsid w:val="00D9245D"/>
    <w:rsid w:val="00D92483"/>
    <w:rsid w:val="00D9249B"/>
    <w:rsid w:val="00D924C7"/>
    <w:rsid w:val="00D924D1"/>
    <w:rsid w:val="00D924EB"/>
    <w:rsid w:val="00D924FB"/>
    <w:rsid w:val="00D9250A"/>
    <w:rsid w:val="00D92563"/>
    <w:rsid w:val="00D925B9"/>
    <w:rsid w:val="00D925E8"/>
    <w:rsid w:val="00D925F1"/>
    <w:rsid w:val="00D925F6"/>
    <w:rsid w:val="00D9265E"/>
    <w:rsid w:val="00D9266A"/>
    <w:rsid w:val="00D92683"/>
    <w:rsid w:val="00D9269A"/>
    <w:rsid w:val="00D92799"/>
    <w:rsid w:val="00D92836"/>
    <w:rsid w:val="00D92880"/>
    <w:rsid w:val="00D92921"/>
    <w:rsid w:val="00D92943"/>
    <w:rsid w:val="00D9296A"/>
    <w:rsid w:val="00D9299F"/>
    <w:rsid w:val="00D929D0"/>
    <w:rsid w:val="00D929F3"/>
    <w:rsid w:val="00D92A0B"/>
    <w:rsid w:val="00D92A6A"/>
    <w:rsid w:val="00D92A95"/>
    <w:rsid w:val="00D92AB7"/>
    <w:rsid w:val="00D92AF4"/>
    <w:rsid w:val="00D92B64"/>
    <w:rsid w:val="00D92B74"/>
    <w:rsid w:val="00D92B85"/>
    <w:rsid w:val="00D92BBB"/>
    <w:rsid w:val="00D92BDE"/>
    <w:rsid w:val="00D92BF3"/>
    <w:rsid w:val="00D92C4B"/>
    <w:rsid w:val="00D92C7A"/>
    <w:rsid w:val="00D92CA5"/>
    <w:rsid w:val="00D92CDA"/>
    <w:rsid w:val="00D92CDC"/>
    <w:rsid w:val="00D92D04"/>
    <w:rsid w:val="00D92D32"/>
    <w:rsid w:val="00D92D67"/>
    <w:rsid w:val="00D92DAD"/>
    <w:rsid w:val="00D92E24"/>
    <w:rsid w:val="00D92E2C"/>
    <w:rsid w:val="00D92E51"/>
    <w:rsid w:val="00D92F79"/>
    <w:rsid w:val="00D92FAA"/>
    <w:rsid w:val="00D92FC5"/>
    <w:rsid w:val="00D92FF4"/>
    <w:rsid w:val="00D9302D"/>
    <w:rsid w:val="00D9306C"/>
    <w:rsid w:val="00D93086"/>
    <w:rsid w:val="00D9311F"/>
    <w:rsid w:val="00D93184"/>
    <w:rsid w:val="00D931B4"/>
    <w:rsid w:val="00D931B7"/>
    <w:rsid w:val="00D9321A"/>
    <w:rsid w:val="00D93264"/>
    <w:rsid w:val="00D9329B"/>
    <w:rsid w:val="00D932CA"/>
    <w:rsid w:val="00D9336B"/>
    <w:rsid w:val="00D933DC"/>
    <w:rsid w:val="00D933FE"/>
    <w:rsid w:val="00D93422"/>
    <w:rsid w:val="00D93428"/>
    <w:rsid w:val="00D9348A"/>
    <w:rsid w:val="00D93497"/>
    <w:rsid w:val="00D934EC"/>
    <w:rsid w:val="00D934F1"/>
    <w:rsid w:val="00D9353D"/>
    <w:rsid w:val="00D93567"/>
    <w:rsid w:val="00D93576"/>
    <w:rsid w:val="00D93579"/>
    <w:rsid w:val="00D93605"/>
    <w:rsid w:val="00D93624"/>
    <w:rsid w:val="00D9367B"/>
    <w:rsid w:val="00D936D5"/>
    <w:rsid w:val="00D93720"/>
    <w:rsid w:val="00D93781"/>
    <w:rsid w:val="00D93785"/>
    <w:rsid w:val="00D93791"/>
    <w:rsid w:val="00D937D3"/>
    <w:rsid w:val="00D93848"/>
    <w:rsid w:val="00D9384D"/>
    <w:rsid w:val="00D9384E"/>
    <w:rsid w:val="00D93859"/>
    <w:rsid w:val="00D9385E"/>
    <w:rsid w:val="00D93885"/>
    <w:rsid w:val="00D9388A"/>
    <w:rsid w:val="00D938A3"/>
    <w:rsid w:val="00D938ED"/>
    <w:rsid w:val="00D9392F"/>
    <w:rsid w:val="00D93942"/>
    <w:rsid w:val="00D93952"/>
    <w:rsid w:val="00D9395F"/>
    <w:rsid w:val="00D9396A"/>
    <w:rsid w:val="00D939A3"/>
    <w:rsid w:val="00D939BB"/>
    <w:rsid w:val="00D939F2"/>
    <w:rsid w:val="00D939FB"/>
    <w:rsid w:val="00D93A26"/>
    <w:rsid w:val="00D93A46"/>
    <w:rsid w:val="00D93A6C"/>
    <w:rsid w:val="00D93A8E"/>
    <w:rsid w:val="00D93AAA"/>
    <w:rsid w:val="00D93AE1"/>
    <w:rsid w:val="00D93B0D"/>
    <w:rsid w:val="00D93B38"/>
    <w:rsid w:val="00D93B7F"/>
    <w:rsid w:val="00D93B80"/>
    <w:rsid w:val="00D93B87"/>
    <w:rsid w:val="00D93C60"/>
    <w:rsid w:val="00D93C7A"/>
    <w:rsid w:val="00D93C87"/>
    <w:rsid w:val="00D93CC3"/>
    <w:rsid w:val="00D93D11"/>
    <w:rsid w:val="00D93D3B"/>
    <w:rsid w:val="00D93D63"/>
    <w:rsid w:val="00D93D7C"/>
    <w:rsid w:val="00D93D8C"/>
    <w:rsid w:val="00D93D97"/>
    <w:rsid w:val="00D93DC7"/>
    <w:rsid w:val="00D93E01"/>
    <w:rsid w:val="00D93E2B"/>
    <w:rsid w:val="00D93E54"/>
    <w:rsid w:val="00D93E8B"/>
    <w:rsid w:val="00D93ED6"/>
    <w:rsid w:val="00D93EF3"/>
    <w:rsid w:val="00D93EFB"/>
    <w:rsid w:val="00D93F30"/>
    <w:rsid w:val="00D93F7D"/>
    <w:rsid w:val="00D93FDD"/>
    <w:rsid w:val="00D93FE4"/>
    <w:rsid w:val="00D9401F"/>
    <w:rsid w:val="00D94046"/>
    <w:rsid w:val="00D94070"/>
    <w:rsid w:val="00D94086"/>
    <w:rsid w:val="00D94093"/>
    <w:rsid w:val="00D940E9"/>
    <w:rsid w:val="00D940F9"/>
    <w:rsid w:val="00D9412F"/>
    <w:rsid w:val="00D941EA"/>
    <w:rsid w:val="00D941FF"/>
    <w:rsid w:val="00D94237"/>
    <w:rsid w:val="00D9423F"/>
    <w:rsid w:val="00D9426E"/>
    <w:rsid w:val="00D94308"/>
    <w:rsid w:val="00D9432F"/>
    <w:rsid w:val="00D94343"/>
    <w:rsid w:val="00D9436E"/>
    <w:rsid w:val="00D94384"/>
    <w:rsid w:val="00D943B2"/>
    <w:rsid w:val="00D943B9"/>
    <w:rsid w:val="00D943BF"/>
    <w:rsid w:val="00D943F0"/>
    <w:rsid w:val="00D94415"/>
    <w:rsid w:val="00D94438"/>
    <w:rsid w:val="00D94474"/>
    <w:rsid w:val="00D944B6"/>
    <w:rsid w:val="00D944BC"/>
    <w:rsid w:val="00D944FA"/>
    <w:rsid w:val="00D9454A"/>
    <w:rsid w:val="00D94576"/>
    <w:rsid w:val="00D94624"/>
    <w:rsid w:val="00D94645"/>
    <w:rsid w:val="00D9464C"/>
    <w:rsid w:val="00D94653"/>
    <w:rsid w:val="00D94677"/>
    <w:rsid w:val="00D946AD"/>
    <w:rsid w:val="00D946CB"/>
    <w:rsid w:val="00D946F4"/>
    <w:rsid w:val="00D946FE"/>
    <w:rsid w:val="00D94704"/>
    <w:rsid w:val="00D9470D"/>
    <w:rsid w:val="00D9473D"/>
    <w:rsid w:val="00D94759"/>
    <w:rsid w:val="00D94779"/>
    <w:rsid w:val="00D9482D"/>
    <w:rsid w:val="00D9486E"/>
    <w:rsid w:val="00D948B3"/>
    <w:rsid w:val="00D948B4"/>
    <w:rsid w:val="00D948CC"/>
    <w:rsid w:val="00D948FC"/>
    <w:rsid w:val="00D949C1"/>
    <w:rsid w:val="00D949F2"/>
    <w:rsid w:val="00D94A44"/>
    <w:rsid w:val="00D94AC6"/>
    <w:rsid w:val="00D94B20"/>
    <w:rsid w:val="00D94BC7"/>
    <w:rsid w:val="00D94BE1"/>
    <w:rsid w:val="00D94C69"/>
    <w:rsid w:val="00D94C7C"/>
    <w:rsid w:val="00D94C87"/>
    <w:rsid w:val="00D94CD6"/>
    <w:rsid w:val="00D94D04"/>
    <w:rsid w:val="00D94D1A"/>
    <w:rsid w:val="00D94D22"/>
    <w:rsid w:val="00D94D47"/>
    <w:rsid w:val="00D94D66"/>
    <w:rsid w:val="00D94DC4"/>
    <w:rsid w:val="00D94DC9"/>
    <w:rsid w:val="00D94DDE"/>
    <w:rsid w:val="00D94E1A"/>
    <w:rsid w:val="00D94E20"/>
    <w:rsid w:val="00D94E64"/>
    <w:rsid w:val="00D94EAB"/>
    <w:rsid w:val="00D94EF2"/>
    <w:rsid w:val="00D94EF5"/>
    <w:rsid w:val="00D94EFB"/>
    <w:rsid w:val="00D94F30"/>
    <w:rsid w:val="00D94F73"/>
    <w:rsid w:val="00D94F85"/>
    <w:rsid w:val="00D94FA8"/>
    <w:rsid w:val="00D94FB7"/>
    <w:rsid w:val="00D94FC7"/>
    <w:rsid w:val="00D94FE2"/>
    <w:rsid w:val="00D9501B"/>
    <w:rsid w:val="00D9502E"/>
    <w:rsid w:val="00D9504D"/>
    <w:rsid w:val="00D95064"/>
    <w:rsid w:val="00D9506A"/>
    <w:rsid w:val="00D950F1"/>
    <w:rsid w:val="00D95147"/>
    <w:rsid w:val="00D9518C"/>
    <w:rsid w:val="00D951AF"/>
    <w:rsid w:val="00D95203"/>
    <w:rsid w:val="00D9520D"/>
    <w:rsid w:val="00D9521A"/>
    <w:rsid w:val="00D9524F"/>
    <w:rsid w:val="00D952A0"/>
    <w:rsid w:val="00D952EB"/>
    <w:rsid w:val="00D9532B"/>
    <w:rsid w:val="00D95356"/>
    <w:rsid w:val="00D95385"/>
    <w:rsid w:val="00D95388"/>
    <w:rsid w:val="00D95399"/>
    <w:rsid w:val="00D953C4"/>
    <w:rsid w:val="00D953DD"/>
    <w:rsid w:val="00D9546C"/>
    <w:rsid w:val="00D9554C"/>
    <w:rsid w:val="00D95618"/>
    <w:rsid w:val="00D956E8"/>
    <w:rsid w:val="00D95714"/>
    <w:rsid w:val="00D9572E"/>
    <w:rsid w:val="00D957CC"/>
    <w:rsid w:val="00D9585E"/>
    <w:rsid w:val="00D95862"/>
    <w:rsid w:val="00D958CA"/>
    <w:rsid w:val="00D958FE"/>
    <w:rsid w:val="00D95966"/>
    <w:rsid w:val="00D95975"/>
    <w:rsid w:val="00D95A0D"/>
    <w:rsid w:val="00D95A1D"/>
    <w:rsid w:val="00D95A27"/>
    <w:rsid w:val="00D95A3A"/>
    <w:rsid w:val="00D95A63"/>
    <w:rsid w:val="00D95A72"/>
    <w:rsid w:val="00D95ACE"/>
    <w:rsid w:val="00D95AD2"/>
    <w:rsid w:val="00D95AF6"/>
    <w:rsid w:val="00D95AFD"/>
    <w:rsid w:val="00D95B28"/>
    <w:rsid w:val="00D95B3F"/>
    <w:rsid w:val="00D95B78"/>
    <w:rsid w:val="00D95B9B"/>
    <w:rsid w:val="00D95BAA"/>
    <w:rsid w:val="00D95BAE"/>
    <w:rsid w:val="00D95BEA"/>
    <w:rsid w:val="00D95BFE"/>
    <w:rsid w:val="00D95C24"/>
    <w:rsid w:val="00D95C7A"/>
    <w:rsid w:val="00D95C83"/>
    <w:rsid w:val="00D95CB6"/>
    <w:rsid w:val="00D95CD1"/>
    <w:rsid w:val="00D95CD5"/>
    <w:rsid w:val="00D95D6B"/>
    <w:rsid w:val="00D95DE7"/>
    <w:rsid w:val="00D95E4E"/>
    <w:rsid w:val="00D95E68"/>
    <w:rsid w:val="00D95E84"/>
    <w:rsid w:val="00D95EB0"/>
    <w:rsid w:val="00D95EE7"/>
    <w:rsid w:val="00D95F0E"/>
    <w:rsid w:val="00D95F8C"/>
    <w:rsid w:val="00D95F8E"/>
    <w:rsid w:val="00D96019"/>
    <w:rsid w:val="00D96057"/>
    <w:rsid w:val="00D960BB"/>
    <w:rsid w:val="00D960E7"/>
    <w:rsid w:val="00D96113"/>
    <w:rsid w:val="00D96115"/>
    <w:rsid w:val="00D96173"/>
    <w:rsid w:val="00D961B3"/>
    <w:rsid w:val="00D961E5"/>
    <w:rsid w:val="00D961F9"/>
    <w:rsid w:val="00D961FF"/>
    <w:rsid w:val="00D9625A"/>
    <w:rsid w:val="00D96291"/>
    <w:rsid w:val="00D962A5"/>
    <w:rsid w:val="00D962C7"/>
    <w:rsid w:val="00D96329"/>
    <w:rsid w:val="00D9636E"/>
    <w:rsid w:val="00D9636F"/>
    <w:rsid w:val="00D9637C"/>
    <w:rsid w:val="00D963DD"/>
    <w:rsid w:val="00D96420"/>
    <w:rsid w:val="00D9643C"/>
    <w:rsid w:val="00D96491"/>
    <w:rsid w:val="00D964C0"/>
    <w:rsid w:val="00D964C1"/>
    <w:rsid w:val="00D96523"/>
    <w:rsid w:val="00D9652B"/>
    <w:rsid w:val="00D9652D"/>
    <w:rsid w:val="00D96598"/>
    <w:rsid w:val="00D965C1"/>
    <w:rsid w:val="00D965F7"/>
    <w:rsid w:val="00D9665C"/>
    <w:rsid w:val="00D96662"/>
    <w:rsid w:val="00D9667E"/>
    <w:rsid w:val="00D9676B"/>
    <w:rsid w:val="00D96835"/>
    <w:rsid w:val="00D9687C"/>
    <w:rsid w:val="00D96968"/>
    <w:rsid w:val="00D96974"/>
    <w:rsid w:val="00D969A3"/>
    <w:rsid w:val="00D96A42"/>
    <w:rsid w:val="00D96A46"/>
    <w:rsid w:val="00D96AA4"/>
    <w:rsid w:val="00D96ABE"/>
    <w:rsid w:val="00D96AFD"/>
    <w:rsid w:val="00D96B5F"/>
    <w:rsid w:val="00D96B65"/>
    <w:rsid w:val="00D96C2F"/>
    <w:rsid w:val="00D96C45"/>
    <w:rsid w:val="00D96C59"/>
    <w:rsid w:val="00D96C79"/>
    <w:rsid w:val="00D96C99"/>
    <w:rsid w:val="00D96CAD"/>
    <w:rsid w:val="00D96CD8"/>
    <w:rsid w:val="00D96D7C"/>
    <w:rsid w:val="00D96E71"/>
    <w:rsid w:val="00D96E72"/>
    <w:rsid w:val="00D96E79"/>
    <w:rsid w:val="00D96E7E"/>
    <w:rsid w:val="00D96EA9"/>
    <w:rsid w:val="00D96F05"/>
    <w:rsid w:val="00D96FC6"/>
    <w:rsid w:val="00D97006"/>
    <w:rsid w:val="00D97007"/>
    <w:rsid w:val="00D9700B"/>
    <w:rsid w:val="00D97014"/>
    <w:rsid w:val="00D970B8"/>
    <w:rsid w:val="00D9710B"/>
    <w:rsid w:val="00D9718D"/>
    <w:rsid w:val="00D971CF"/>
    <w:rsid w:val="00D97237"/>
    <w:rsid w:val="00D97242"/>
    <w:rsid w:val="00D9724A"/>
    <w:rsid w:val="00D9724F"/>
    <w:rsid w:val="00D97266"/>
    <w:rsid w:val="00D9728B"/>
    <w:rsid w:val="00D97320"/>
    <w:rsid w:val="00D9733A"/>
    <w:rsid w:val="00D9736A"/>
    <w:rsid w:val="00D9738C"/>
    <w:rsid w:val="00D97391"/>
    <w:rsid w:val="00D973B5"/>
    <w:rsid w:val="00D973BD"/>
    <w:rsid w:val="00D973C9"/>
    <w:rsid w:val="00D973CC"/>
    <w:rsid w:val="00D973D3"/>
    <w:rsid w:val="00D973DF"/>
    <w:rsid w:val="00D973E8"/>
    <w:rsid w:val="00D97403"/>
    <w:rsid w:val="00D97418"/>
    <w:rsid w:val="00D97479"/>
    <w:rsid w:val="00D97481"/>
    <w:rsid w:val="00D974C5"/>
    <w:rsid w:val="00D9752E"/>
    <w:rsid w:val="00D9755C"/>
    <w:rsid w:val="00D97587"/>
    <w:rsid w:val="00D975B3"/>
    <w:rsid w:val="00D975F2"/>
    <w:rsid w:val="00D97609"/>
    <w:rsid w:val="00D97685"/>
    <w:rsid w:val="00D9768B"/>
    <w:rsid w:val="00D97697"/>
    <w:rsid w:val="00D976BA"/>
    <w:rsid w:val="00D976E8"/>
    <w:rsid w:val="00D9770F"/>
    <w:rsid w:val="00D97758"/>
    <w:rsid w:val="00D97783"/>
    <w:rsid w:val="00D977B0"/>
    <w:rsid w:val="00D977C6"/>
    <w:rsid w:val="00D977D0"/>
    <w:rsid w:val="00D977FF"/>
    <w:rsid w:val="00D97805"/>
    <w:rsid w:val="00D97825"/>
    <w:rsid w:val="00D97833"/>
    <w:rsid w:val="00D9787A"/>
    <w:rsid w:val="00D97940"/>
    <w:rsid w:val="00D97962"/>
    <w:rsid w:val="00D97978"/>
    <w:rsid w:val="00D9798E"/>
    <w:rsid w:val="00D979F4"/>
    <w:rsid w:val="00D979FE"/>
    <w:rsid w:val="00D97A52"/>
    <w:rsid w:val="00D97A9E"/>
    <w:rsid w:val="00D97AAC"/>
    <w:rsid w:val="00D97ACF"/>
    <w:rsid w:val="00D97B01"/>
    <w:rsid w:val="00D97B28"/>
    <w:rsid w:val="00D97B59"/>
    <w:rsid w:val="00D97B7B"/>
    <w:rsid w:val="00D97BB7"/>
    <w:rsid w:val="00D97BF6"/>
    <w:rsid w:val="00D97C42"/>
    <w:rsid w:val="00D97C62"/>
    <w:rsid w:val="00D97C78"/>
    <w:rsid w:val="00D97C98"/>
    <w:rsid w:val="00D97D53"/>
    <w:rsid w:val="00D97D95"/>
    <w:rsid w:val="00D97E18"/>
    <w:rsid w:val="00D97E3A"/>
    <w:rsid w:val="00D97E71"/>
    <w:rsid w:val="00D97ED1"/>
    <w:rsid w:val="00D97EDD"/>
    <w:rsid w:val="00D97F1B"/>
    <w:rsid w:val="00D97F6E"/>
    <w:rsid w:val="00D97F8B"/>
    <w:rsid w:val="00D97FD3"/>
    <w:rsid w:val="00DA0024"/>
    <w:rsid w:val="00DA0045"/>
    <w:rsid w:val="00DA0046"/>
    <w:rsid w:val="00DA00B4"/>
    <w:rsid w:val="00DA012F"/>
    <w:rsid w:val="00DA0246"/>
    <w:rsid w:val="00DA026A"/>
    <w:rsid w:val="00DA0271"/>
    <w:rsid w:val="00DA0279"/>
    <w:rsid w:val="00DA027F"/>
    <w:rsid w:val="00DA0287"/>
    <w:rsid w:val="00DA02C7"/>
    <w:rsid w:val="00DA02D3"/>
    <w:rsid w:val="00DA02E8"/>
    <w:rsid w:val="00DA0314"/>
    <w:rsid w:val="00DA0380"/>
    <w:rsid w:val="00DA0385"/>
    <w:rsid w:val="00DA039B"/>
    <w:rsid w:val="00DA03B7"/>
    <w:rsid w:val="00DA03D9"/>
    <w:rsid w:val="00DA040A"/>
    <w:rsid w:val="00DA0492"/>
    <w:rsid w:val="00DA04A2"/>
    <w:rsid w:val="00DA04D7"/>
    <w:rsid w:val="00DA04EB"/>
    <w:rsid w:val="00DA0505"/>
    <w:rsid w:val="00DA0517"/>
    <w:rsid w:val="00DA053A"/>
    <w:rsid w:val="00DA0592"/>
    <w:rsid w:val="00DA05C4"/>
    <w:rsid w:val="00DA05E7"/>
    <w:rsid w:val="00DA0670"/>
    <w:rsid w:val="00DA0681"/>
    <w:rsid w:val="00DA06D7"/>
    <w:rsid w:val="00DA07C8"/>
    <w:rsid w:val="00DA07E2"/>
    <w:rsid w:val="00DA0845"/>
    <w:rsid w:val="00DA0876"/>
    <w:rsid w:val="00DA08A3"/>
    <w:rsid w:val="00DA08A4"/>
    <w:rsid w:val="00DA08B8"/>
    <w:rsid w:val="00DA095F"/>
    <w:rsid w:val="00DA0971"/>
    <w:rsid w:val="00DA098A"/>
    <w:rsid w:val="00DA098D"/>
    <w:rsid w:val="00DA099E"/>
    <w:rsid w:val="00DA0A09"/>
    <w:rsid w:val="00DA0A0B"/>
    <w:rsid w:val="00DA0A11"/>
    <w:rsid w:val="00DA0AE7"/>
    <w:rsid w:val="00DA0B00"/>
    <w:rsid w:val="00DA0B37"/>
    <w:rsid w:val="00DA0B53"/>
    <w:rsid w:val="00DA0B56"/>
    <w:rsid w:val="00DA0C2B"/>
    <w:rsid w:val="00DA0C65"/>
    <w:rsid w:val="00DA0C70"/>
    <w:rsid w:val="00DA0CF0"/>
    <w:rsid w:val="00DA0D05"/>
    <w:rsid w:val="00DA0D29"/>
    <w:rsid w:val="00DA0D31"/>
    <w:rsid w:val="00DA0D3D"/>
    <w:rsid w:val="00DA0D53"/>
    <w:rsid w:val="00DA0D5F"/>
    <w:rsid w:val="00DA0DAD"/>
    <w:rsid w:val="00DA0DF7"/>
    <w:rsid w:val="00DA0DFF"/>
    <w:rsid w:val="00DA0E32"/>
    <w:rsid w:val="00DA0E86"/>
    <w:rsid w:val="00DA0E99"/>
    <w:rsid w:val="00DA0EAC"/>
    <w:rsid w:val="00DA0EDF"/>
    <w:rsid w:val="00DA0EE4"/>
    <w:rsid w:val="00DA0EEB"/>
    <w:rsid w:val="00DA0F59"/>
    <w:rsid w:val="00DA0F99"/>
    <w:rsid w:val="00DA1015"/>
    <w:rsid w:val="00DA103D"/>
    <w:rsid w:val="00DA104B"/>
    <w:rsid w:val="00DA10D9"/>
    <w:rsid w:val="00DA10ED"/>
    <w:rsid w:val="00DA10EE"/>
    <w:rsid w:val="00DA1100"/>
    <w:rsid w:val="00DA1125"/>
    <w:rsid w:val="00DA1137"/>
    <w:rsid w:val="00DA113F"/>
    <w:rsid w:val="00DA1155"/>
    <w:rsid w:val="00DA1185"/>
    <w:rsid w:val="00DA11E2"/>
    <w:rsid w:val="00DA1218"/>
    <w:rsid w:val="00DA1259"/>
    <w:rsid w:val="00DA1278"/>
    <w:rsid w:val="00DA1293"/>
    <w:rsid w:val="00DA12F1"/>
    <w:rsid w:val="00DA133D"/>
    <w:rsid w:val="00DA1342"/>
    <w:rsid w:val="00DA13BC"/>
    <w:rsid w:val="00DA1436"/>
    <w:rsid w:val="00DA1449"/>
    <w:rsid w:val="00DA14D2"/>
    <w:rsid w:val="00DA1503"/>
    <w:rsid w:val="00DA151D"/>
    <w:rsid w:val="00DA158A"/>
    <w:rsid w:val="00DA15A2"/>
    <w:rsid w:val="00DA15A8"/>
    <w:rsid w:val="00DA16A5"/>
    <w:rsid w:val="00DA16FB"/>
    <w:rsid w:val="00DA1725"/>
    <w:rsid w:val="00DA1753"/>
    <w:rsid w:val="00DA1762"/>
    <w:rsid w:val="00DA1794"/>
    <w:rsid w:val="00DA17D4"/>
    <w:rsid w:val="00DA1826"/>
    <w:rsid w:val="00DA183C"/>
    <w:rsid w:val="00DA18AB"/>
    <w:rsid w:val="00DA18DA"/>
    <w:rsid w:val="00DA18DE"/>
    <w:rsid w:val="00DA1905"/>
    <w:rsid w:val="00DA1906"/>
    <w:rsid w:val="00DA193F"/>
    <w:rsid w:val="00DA1949"/>
    <w:rsid w:val="00DA1951"/>
    <w:rsid w:val="00DA1955"/>
    <w:rsid w:val="00DA1965"/>
    <w:rsid w:val="00DA1997"/>
    <w:rsid w:val="00DA19D4"/>
    <w:rsid w:val="00DA1A16"/>
    <w:rsid w:val="00DA1A19"/>
    <w:rsid w:val="00DA1A1A"/>
    <w:rsid w:val="00DA1A32"/>
    <w:rsid w:val="00DA1A5B"/>
    <w:rsid w:val="00DA1A7E"/>
    <w:rsid w:val="00DA1B26"/>
    <w:rsid w:val="00DA1B41"/>
    <w:rsid w:val="00DA1B46"/>
    <w:rsid w:val="00DA1BED"/>
    <w:rsid w:val="00DA1C16"/>
    <w:rsid w:val="00DA1C6E"/>
    <w:rsid w:val="00DA1C8A"/>
    <w:rsid w:val="00DA1CE7"/>
    <w:rsid w:val="00DA1D0B"/>
    <w:rsid w:val="00DA1D3C"/>
    <w:rsid w:val="00DA1D3E"/>
    <w:rsid w:val="00DA1D4F"/>
    <w:rsid w:val="00DA1D52"/>
    <w:rsid w:val="00DA1DBE"/>
    <w:rsid w:val="00DA1DF1"/>
    <w:rsid w:val="00DA1E39"/>
    <w:rsid w:val="00DA1E5C"/>
    <w:rsid w:val="00DA1E5E"/>
    <w:rsid w:val="00DA1EB2"/>
    <w:rsid w:val="00DA1EF4"/>
    <w:rsid w:val="00DA1F13"/>
    <w:rsid w:val="00DA1F6C"/>
    <w:rsid w:val="00DA1FE9"/>
    <w:rsid w:val="00DA2034"/>
    <w:rsid w:val="00DA20B6"/>
    <w:rsid w:val="00DA210F"/>
    <w:rsid w:val="00DA216D"/>
    <w:rsid w:val="00DA216F"/>
    <w:rsid w:val="00DA2181"/>
    <w:rsid w:val="00DA2197"/>
    <w:rsid w:val="00DA2234"/>
    <w:rsid w:val="00DA224F"/>
    <w:rsid w:val="00DA2300"/>
    <w:rsid w:val="00DA2332"/>
    <w:rsid w:val="00DA233E"/>
    <w:rsid w:val="00DA23BF"/>
    <w:rsid w:val="00DA23CC"/>
    <w:rsid w:val="00DA23DD"/>
    <w:rsid w:val="00DA23E2"/>
    <w:rsid w:val="00DA2427"/>
    <w:rsid w:val="00DA245F"/>
    <w:rsid w:val="00DA2474"/>
    <w:rsid w:val="00DA24C0"/>
    <w:rsid w:val="00DA24F2"/>
    <w:rsid w:val="00DA251C"/>
    <w:rsid w:val="00DA2522"/>
    <w:rsid w:val="00DA2539"/>
    <w:rsid w:val="00DA255E"/>
    <w:rsid w:val="00DA25A0"/>
    <w:rsid w:val="00DA25A8"/>
    <w:rsid w:val="00DA25D0"/>
    <w:rsid w:val="00DA260F"/>
    <w:rsid w:val="00DA2636"/>
    <w:rsid w:val="00DA26A5"/>
    <w:rsid w:val="00DA274F"/>
    <w:rsid w:val="00DA2762"/>
    <w:rsid w:val="00DA2769"/>
    <w:rsid w:val="00DA27DB"/>
    <w:rsid w:val="00DA27E1"/>
    <w:rsid w:val="00DA27EB"/>
    <w:rsid w:val="00DA2847"/>
    <w:rsid w:val="00DA2850"/>
    <w:rsid w:val="00DA28E7"/>
    <w:rsid w:val="00DA292D"/>
    <w:rsid w:val="00DA2954"/>
    <w:rsid w:val="00DA2964"/>
    <w:rsid w:val="00DA2985"/>
    <w:rsid w:val="00DA29AE"/>
    <w:rsid w:val="00DA2A19"/>
    <w:rsid w:val="00DA2A27"/>
    <w:rsid w:val="00DA2A3D"/>
    <w:rsid w:val="00DA2A45"/>
    <w:rsid w:val="00DA2B4E"/>
    <w:rsid w:val="00DA2B6B"/>
    <w:rsid w:val="00DA2B80"/>
    <w:rsid w:val="00DA2B94"/>
    <w:rsid w:val="00DA2BB7"/>
    <w:rsid w:val="00DA2CAD"/>
    <w:rsid w:val="00DA2CAE"/>
    <w:rsid w:val="00DA2D1B"/>
    <w:rsid w:val="00DA2D49"/>
    <w:rsid w:val="00DA2D7C"/>
    <w:rsid w:val="00DA2D90"/>
    <w:rsid w:val="00DA2D91"/>
    <w:rsid w:val="00DA2DA1"/>
    <w:rsid w:val="00DA2E14"/>
    <w:rsid w:val="00DA2E32"/>
    <w:rsid w:val="00DA2E7E"/>
    <w:rsid w:val="00DA2E84"/>
    <w:rsid w:val="00DA2F01"/>
    <w:rsid w:val="00DA2F1C"/>
    <w:rsid w:val="00DA2F6B"/>
    <w:rsid w:val="00DA2FCC"/>
    <w:rsid w:val="00DA2FCD"/>
    <w:rsid w:val="00DA3015"/>
    <w:rsid w:val="00DA30AF"/>
    <w:rsid w:val="00DA30B4"/>
    <w:rsid w:val="00DA312E"/>
    <w:rsid w:val="00DA315A"/>
    <w:rsid w:val="00DA3189"/>
    <w:rsid w:val="00DA31B3"/>
    <w:rsid w:val="00DA3203"/>
    <w:rsid w:val="00DA323F"/>
    <w:rsid w:val="00DA3265"/>
    <w:rsid w:val="00DA327B"/>
    <w:rsid w:val="00DA329B"/>
    <w:rsid w:val="00DA333F"/>
    <w:rsid w:val="00DA3342"/>
    <w:rsid w:val="00DA33C4"/>
    <w:rsid w:val="00DA345C"/>
    <w:rsid w:val="00DA345F"/>
    <w:rsid w:val="00DA34B3"/>
    <w:rsid w:val="00DA34B8"/>
    <w:rsid w:val="00DA34BF"/>
    <w:rsid w:val="00DA3563"/>
    <w:rsid w:val="00DA3624"/>
    <w:rsid w:val="00DA3659"/>
    <w:rsid w:val="00DA3692"/>
    <w:rsid w:val="00DA36CA"/>
    <w:rsid w:val="00DA3724"/>
    <w:rsid w:val="00DA3751"/>
    <w:rsid w:val="00DA379C"/>
    <w:rsid w:val="00DA3824"/>
    <w:rsid w:val="00DA384D"/>
    <w:rsid w:val="00DA3852"/>
    <w:rsid w:val="00DA3858"/>
    <w:rsid w:val="00DA3864"/>
    <w:rsid w:val="00DA387A"/>
    <w:rsid w:val="00DA387C"/>
    <w:rsid w:val="00DA38E1"/>
    <w:rsid w:val="00DA38EC"/>
    <w:rsid w:val="00DA3925"/>
    <w:rsid w:val="00DA3943"/>
    <w:rsid w:val="00DA39AE"/>
    <w:rsid w:val="00DA39D0"/>
    <w:rsid w:val="00DA39E4"/>
    <w:rsid w:val="00DA39FF"/>
    <w:rsid w:val="00DA3A68"/>
    <w:rsid w:val="00DA3A6A"/>
    <w:rsid w:val="00DA3A7C"/>
    <w:rsid w:val="00DA3AAE"/>
    <w:rsid w:val="00DA3BA3"/>
    <w:rsid w:val="00DA3C21"/>
    <w:rsid w:val="00DA3CBD"/>
    <w:rsid w:val="00DA3CC2"/>
    <w:rsid w:val="00DA3D37"/>
    <w:rsid w:val="00DA3D48"/>
    <w:rsid w:val="00DA3DFF"/>
    <w:rsid w:val="00DA3E18"/>
    <w:rsid w:val="00DA3E4E"/>
    <w:rsid w:val="00DA3E5A"/>
    <w:rsid w:val="00DA3F4E"/>
    <w:rsid w:val="00DA3F50"/>
    <w:rsid w:val="00DA3F5D"/>
    <w:rsid w:val="00DA3F8F"/>
    <w:rsid w:val="00DA3FA0"/>
    <w:rsid w:val="00DA3FA8"/>
    <w:rsid w:val="00DA3FBE"/>
    <w:rsid w:val="00DA3FED"/>
    <w:rsid w:val="00DA4003"/>
    <w:rsid w:val="00DA403C"/>
    <w:rsid w:val="00DA4048"/>
    <w:rsid w:val="00DA4049"/>
    <w:rsid w:val="00DA40C0"/>
    <w:rsid w:val="00DA40F6"/>
    <w:rsid w:val="00DA418B"/>
    <w:rsid w:val="00DA4280"/>
    <w:rsid w:val="00DA4307"/>
    <w:rsid w:val="00DA4333"/>
    <w:rsid w:val="00DA434B"/>
    <w:rsid w:val="00DA444F"/>
    <w:rsid w:val="00DA4469"/>
    <w:rsid w:val="00DA4495"/>
    <w:rsid w:val="00DA44CE"/>
    <w:rsid w:val="00DA4504"/>
    <w:rsid w:val="00DA4524"/>
    <w:rsid w:val="00DA452B"/>
    <w:rsid w:val="00DA45C1"/>
    <w:rsid w:val="00DA45E9"/>
    <w:rsid w:val="00DA45EC"/>
    <w:rsid w:val="00DA4609"/>
    <w:rsid w:val="00DA46FB"/>
    <w:rsid w:val="00DA4749"/>
    <w:rsid w:val="00DA4762"/>
    <w:rsid w:val="00DA4776"/>
    <w:rsid w:val="00DA47B4"/>
    <w:rsid w:val="00DA47F8"/>
    <w:rsid w:val="00DA47FE"/>
    <w:rsid w:val="00DA480C"/>
    <w:rsid w:val="00DA4866"/>
    <w:rsid w:val="00DA4893"/>
    <w:rsid w:val="00DA490C"/>
    <w:rsid w:val="00DA4941"/>
    <w:rsid w:val="00DA495D"/>
    <w:rsid w:val="00DA4967"/>
    <w:rsid w:val="00DA49D4"/>
    <w:rsid w:val="00DA4A78"/>
    <w:rsid w:val="00DA4A7F"/>
    <w:rsid w:val="00DA4A90"/>
    <w:rsid w:val="00DA4A91"/>
    <w:rsid w:val="00DA4A95"/>
    <w:rsid w:val="00DA4AB5"/>
    <w:rsid w:val="00DA4AD0"/>
    <w:rsid w:val="00DA4AF3"/>
    <w:rsid w:val="00DA4AF7"/>
    <w:rsid w:val="00DA4B0F"/>
    <w:rsid w:val="00DA4B3A"/>
    <w:rsid w:val="00DA4B46"/>
    <w:rsid w:val="00DA4B53"/>
    <w:rsid w:val="00DA4B87"/>
    <w:rsid w:val="00DA4BD4"/>
    <w:rsid w:val="00DA4BF9"/>
    <w:rsid w:val="00DA4C00"/>
    <w:rsid w:val="00DA4C20"/>
    <w:rsid w:val="00DA4C58"/>
    <w:rsid w:val="00DA4C85"/>
    <w:rsid w:val="00DA4C8A"/>
    <w:rsid w:val="00DA4CA7"/>
    <w:rsid w:val="00DA4CE7"/>
    <w:rsid w:val="00DA4E91"/>
    <w:rsid w:val="00DA4ED6"/>
    <w:rsid w:val="00DA4EE6"/>
    <w:rsid w:val="00DA4F1C"/>
    <w:rsid w:val="00DA4F45"/>
    <w:rsid w:val="00DA4F4A"/>
    <w:rsid w:val="00DA4FA1"/>
    <w:rsid w:val="00DA4FCF"/>
    <w:rsid w:val="00DA5077"/>
    <w:rsid w:val="00DA507F"/>
    <w:rsid w:val="00DA509B"/>
    <w:rsid w:val="00DA50AD"/>
    <w:rsid w:val="00DA50B7"/>
    <w:rsid w:val="00DA50E2"/>
    <w:rsid w:val="00DA5126"/>
    <w:rsid w:val="00DA5144"/>
    <w:rsid w:val="00DA5153"/>
    <w:rsid w:val="00DA5167"/>
    <w:rsid w:val="00DA5199"/>
    <w:rsid w:val="00DA51BC"/>
    <w:rsid w:val="00DA51F0"/>
    <w:rsid w:val="00DA51F7"/>
    <w:rsid w:val="00DA51FB"/>
    <w:rsid w:val="00DA524C"/>
    <w:rsid w:val="00DA5265"/>
    <w:rsid w:val="00DA529A"/>
    <w:rsid w:val="00DA52AE"/>
    <w:rsid w:val="00DA52B1"/>
    <w:rsid w:val="00DA52B5"/>
    <w:rsid w:val="00DA52F7"/>
    <w:rsid w:val="00DA5334"/>
    <w:rsid w:val="00DA5370"/>
    <w:rsid w:val="00DA53DA"/>
    <w:rsid w:val="00DA53E1"/>
    <w:rsid w:val="00DA546B"/>
    <w:rsid w:val="00DA5482"/>
    <w:rsid w:val="00DA54D4"/>
    <w:rsid w:val="00DA54DF"/>
    <w:rsid w:val="00DA5524"/>
    <w:rsid w:val="00DA5578"/>
    <w:rsid w:val="00DA5583"/>
    <w:rsid w:val="00DA55B6"/>
    <w:rsid w:val="00DA561C"/>
    <w:rsid w:val="00DA5664"/>
    <w:rsid w:val="00DA5686"/>
    <w:rsid w:val="00DA56C4"/>
    <w:rsid w:val="00DA56CC"/>
    <w:rsid w:val="00DA56D8"/>
    <w:rsid w:val="00DA56ED"/>
    <w:rsid w:val="00DA5704"/>
    <w:rsid w:val="00DA5739"/>
    <w:rsid w:val="00DA5757"/>
    <w:rsid w:val="00DA57C0"/>
    <w:rsid w:val="00DA5885"/>
    <w:rsid w:val="00DA58A2"/>
    <w:rsid w:val="00DA58AA"/>
    <w:rsid w:val="00DA58BA"/>
    <w:rsid w:val="00DA58DF"/>
    <w:rsid w:val="00DA5976"/>
    <w:rsid w:val="00DA59EC"/>
    <w:rsid w:val="00DA5A0B"/>
    <w:rsid w:val="00DA5A4B"/>
    <w:rsid w:val="00DA5A88"/>
    <w:rsid w:val="00DA5AA2"/>
    <w:rsid w:val="00DA5AA8"/>
    <w:rsid w:val="00DA5ACB"/>
    <w:rsid w:val="00DA5B2A"/>
    <w:rsid w:val="00DA5B42"/>
    <w:rsid w:val="00DA5B9F"/>
    <w:rsid w:val="00DA5BB2"/>
    <w:rsid w:val="00DA5BC9"/>
    <w:rsid w:val="00DA5BCD"/>
    <w:rsid w:val="00DA5BFB"/>
    <w:rsid w:val="00DA5C00"/>
    <w:rsid w:val="00DA5C5A"/>
    <w:rsid w:val="00DA5C83"/>
    <w:rsid w:val="00DA5CB9"/>
    <w:rsid w:val="00DA5CF1"/>
    <w:rsid w:val="00DA5D0D"/>
    <w:rsid w:val="00DA5D1B"/>
    <w:rsid w:val="00DA5D74"/>
    <w:rsid w:val="00DA5DC9"/>
    <w:rsid w:val="00DA5DF6"/>
    <w:rsid w:val="00DA5E97"/>
    <w:rsid w:val="00DA5EA5"/>
    <w:rsid w:val="00DA5EC4"/>
    <w:rsid w:val="00DA5ED5"/>
    <w:rsid w:val="00DA5EDE"/>
    <w:rsid w:val="00DA5F05"/>
    <w:rsid w:val="00DA5F0E"/>
    <w:rsid w:val="00DA5F18"/>
    <w:rsid w:val="00DA5F1A"/>
    <w:rsid w:val="00DA5F21"/>
    <w:rsid w:val="00DA5F78"/>
    <w:rsid w:val="00DA5F97"/>
    <w:rsid w:val="00DA5FDF"/>
    <w:rsid w:val="00DA5FFD"/>
    <w:rsid w:val="00DA6034"/>
    <w:rsid w:val="00DA6043"/>
    <w:rsid w:val="00DA605D"/>
    <w:rsid w:val="00DA605E"/>
    <w:rsid w:val="00DA6082"/>
    <w:rsid w:val="00DA6089"/>
    <w:rsid w:val="00DA608F"/>
    <w:rsid w:val="00DA60D8"/>
    <w:rsid w:val="00DA60E7"/>
    <w:rsid w:val="00DA60E8"/>
    <w:rsid w:val="00DA60FA"/>
    <w:rsid w:val="00DA616E"/>
    <w:rsid w:val="00DA61E6"/>
    <w:rsid w:val="00DA61EF"/>
    <w:rsid w:val="00DA622C"/>
    <w:rsid w:val="00DA624F"/>
    <w:rsid w:val="00DA6252"/>
    <w:rsid w:val="00DA626F"/>
    <w:rsid w:val="00DA6295"/>
    <w:rsid w:val="00DA62B5"/>
    <w:rsid w:val="00DA62C6"/>
    <w:rsid w:val="00DA6314"/>
    <w:rsid w:val="00DA6328"/>
    <w:rsid w:val="00DA6369"/>
    <w:rsid w:val="00DA6384"/>
    <w:rsid w:val="00DA639F"/>
    <w:rsid w:val="00DA63EA"/>
    <w:rsid w:val="00DA6402"/>
    <w:rsid w:val="00DA6422"/>
    <w:rsid w:val="00DA6455"/>
    <w:rsid w:val="00DA64A3"/>
    <w:rsid w:val="00DA64B4"/>
    <w:rsid w:val="00DA64C4"/>
    <w:rsid w:val="00DA6540"/>
    <w:rsid w:val="00DA6541"/>
    <w:rsid w:val="00DA65A5"/>
    <w:rsid w:val="00DA661B"/>
    <w:rsid w:val="00DA6648"/>
    <w:rsid w:val="00DA664C"/>
    <w:rsid w:val="00DA664E"/>
    <w:rsid w:val="00DA66F0"/>
    <w:rsid w:val="00DA670B"/>
    <w:rsid w:val="00DA6735"/>
    <w:rsid w:val="00DA6751"/>
    <w:rsid w:val="00DA681E"/>
    <w:rsid w:val="00DA6827"/>
    <w:rsid w:val="00DA685C"/>
    <w:rsid w:val="00DA68AF"/>
    <w:rsid w:val="00DA69D2"/>
    <w:rsid w:val="00DA6A21"/>
    <w:rsid w:val="00DA6A30"/>
    <w:rsid w:val="00DA6A37"/>
    <w:rsid w:val="00DA6A3D"/>
    <w:rsid w:val="00DA6A9D"/>
    <w:rsid w:val="00DA6AE5"/>
    <w:rsid w:val="00DA6AEB"/>
    <w:rsid w:val="00DA6AF3"/>
    <w:rsid w:val="00DA6B5A"/>
    <w:rsid w:val="00DA6C1D"/>
    <w:rsid w:val="00DA6C31"/>
    <w:rsid w:val="00DA6C8E"/>
    <w:rsid w:val="00DA6CBF"/>
    <w:rsid w:val="00DA6CD6"/>
    <w:rsid w:val="00DA6D08"/>
    <w:rsid w:val="00DA6D9A"/>
    <w:rsid w:val="00DA6DE3"/>
    <w:rsid w:val="00DA6E0E"/>
    <w:rsid w:val="00DA6E21"/>
    <w:rsid w:val="00DA6E32"/>
    <w:rsid w:val="00DA6E45"/>
    <w:rsid w:val="00DA6E5B"/>
    <w:rsid w:val="00DA6E7E"/>
    <w:rsid w:val="00DA6E9E"/>
    <w:rsid w:val="00DA6EA8"/>
    <w:rsid w:val="00DA6F4D"/>
    <w:rsid w:val="00DA6F7D"/>
    <w:rsid w:val="00DA7081"/>
    <w:rsid w:val="00DA70ED"/>
    <w:rsid w:val="00DA70F8"/>
    <w:rsid w:val="00DA7120"/>
    <w:rsid w:val="00DA7151"/>
    <w:rsid w:val="00DA7152"/>
    <w:rsid w:val="00DA71EA"/>
    <w:rsid w:val="00DA7299"/>
    <w:rsid w:val="00DA72A5"/>
    <w:rsid w:val="00DA7312"/>
    <w:rsid w:val="00DA73B1"/>
    <w:rsid w:val="00DA73B3"/>
    <w:rsid w:val="00DA7412"/>
    <w:rsid w:val="00DA7430"/>
    <w:rsid w:val="00DA7447"/>
    <w:rsid w:val="00DA7460"/>
    <w:rsid w:val="00DA7497"/>
    <w:rsid w:val="00DA7538"/>
    <w:rsid w:val="00DA754F"/>
    <w:rsid w:val="00DA75B9"/>
    <w:rsid w:val="00DA75CE"/>
    <w:rsid w:val="00DA75EE"/>
    <w:rsid w:val="00DA75F9"/>
    <w:rsid w:val="00DA766E"/>
    <w:rsid w:val="00DA768A"/>
    <w:rsid w:val="00DA7694"/>
    <w:rsid w:val="00DA76D5"/>
    <w:rsid w:val="00DA76EF"/>
    <w:rsid w:val="00DA775C"/>
    <w:rsid w:val="00DA778F"/>
    <w:rsid w:val="00DA7794"/>
    <w:rsid w:val="00DA7795"/>
    <w:rsid w:val="00DA779B"/>
    <w:rsid w:val="00DA77BC"/>
    <w:rsid w:val="00DA781F"/>
    <w:rsid w:val="00DA7852"/>
    <w:rsid w:val="00DA7879"/>
    <w:rsid w:val="00DA78B2"/>
    <w:rsid w:val="00DA78DA"/>
    <w:rsid w:val="00DA790F"/>
    <w:rsid w:val="00DA79D1"/>
    <w:rsid w:val="00DA79F0"/>
    <w:rsid w:val="00DA7A7D"/>
    <w:rsid w:val="00DA7A85"/>
    <w:rsid w:val="00DA7B4F"/>
    <w:rsid w:val="00DA7B56"/>
    <w:rsid w:val="00DA7B77"/>
    <w:rsid w:val="00DA7B7A"/>
    <w:rsid w:val="00DA7B88"/>
    <w:rsid w:val="00DA7B99"/>
    <w:rsid w:val="00DA7BAA"/>
    <w:rsid w:val="00DA7BDC"/>
    <w:rsid w:val="00DA7BE4"/>
    <w:rsid w:val="00DA7BE7"/>
    <w:rsid w:val="00DA7C17"/>
    <w:rsid w:val="00DA7C20"/>
    <w:rsid w:val="00DA7C40"/>
    <w:rsid w:val="00DA7D4C"/>
    <w:rsid w:val="00DA7D75"/>
    <w:rsid w:val="00DA7D8E"/>
    <w:rsid w:val="00DA7E48"/>
    <w:rsid w:val="00DA7E4A"/>
    <w:rsid w:val="00DA7F09"/>
    <w:rsid w:val="00DA7F0B"/>
    <w:rsid w:val="00DA7F50"/>
    <w:rsid w:val="00DA7FB4"/>
    <w:rsid w:val="00DA7FDF"/>
    <w:rsid w:val="00DB0056"/>
    <w:rsid w:val="00DB00D6"/>
    <w:rsid w:val="00DB0133"/>
    <w:rsid w:val="00DB0157"/>
    <w:rsid w:val="00DB0159"/>
    <w:rsid w:val="00DB01D3"/>
    <w:rsid w:val="00DB0220"/>
    <w:rsid w:val="00DB02B3"/>
    <w:rsid w:val="00DB02B8"/>
    <w:rsid w:val="00DB030F"/>
    <w:rsid w:val="00DB0373"/>
    <w:rsid w:val="00DB0379"/>
    <w:rsid w:val="00DB0381"/>
    <w:rsid w:val="00DB044A"/>
    <w:rsid w:val="00DB044F"/>
    <w:rsid w:val="00DB04BA"/>
    <w:rsid w:val="00DB0530"/>
    <w:rsid w:val="00DB0547"/>
    <w:rsid w:val="00DB0579"/>
    <w:rsid w:val="00DB0618"/>
    <w:rsid w:val="00DB0641"/>
    <w:rsid w:val="00DB0690"/>
    <w:rsid w:val="00DB06DB"/>
    <w:rsid w:val="00DB06F8"/>
    <w:rsid w:val="00DB0701"/>
    <w:rsid w:val="00DB0767"/>
    <w:rsid w:val="00DB07AD"/>
    <w:rsid w:val="00DB07CB"/>
    <w:rsid w:val="00DB07E8"/>
    <w:rsid w:val="00DB0809"/>
    <w:rsid w:val="00DB0869"/>
    <w:rsid w:val="00DB086F"/>
    <w:rsid w:val="00DB087E"/>
    <w:rsid w:val="00DB0890"/>
    <w:rsid w:val="00DB08B7"/>
    <w:rsid w:val="00DB08BC"/>
    <w:rsid w:val="00DB090A"/>
    <w:rsid w:val="00DB0931"/>
    <w:rsid w:val="00DB0A11"/>
    <w:rsid w:val="00DB0A23"/>
    <w:rsid w:val="00DB0A88"/>
    <w:rsid w:val="00DB0AE8"/>
    <w:rsid w:val="00DB0AF4"/>
    <w:rsid w:val="00DB0AFD"/>
    <w:rsid w:val="00DB0B27"/>
    <w:rsid w:val="00DB0B33"/>
    <w:rsid w:val="00DB0B50"/>
    <w:rsid w:val="00DB0B80"/>
    <w:rsid w:val="00DB0BA5"/>
    <w:rsid w:val="00DB0BC9"/>
    <w:rsid w:val="00DB0C29"/>
    <w:rsid w:val="00DB0C3C"/>
    <w:rsid w:val="00DB0CA7"/>
    <w:rsid w:val="00DB0CAC"/>
    <w:rsid w:val="00DB0D59"/>
    <w:rsid w:val="00DB0DA7"/>
    <w:rsid w:val="00DB0DE7"/>
    <w:rsid w:val="00DB0DF7"/>
    <w:rsid w:val="00DB0DFC"/>
    <w:rsid w:val="00DB0E75"/>
    <w:rsid w:val="00DB0F0A"/>
    <w:rsid w:val="00DB0F40"/>
    <w:rsid w:val="00DB0F41"/>
    <w:rsid w:val="00DB0F4E"/>
    <w:rsid w:val="00DB0F5E"/>
    <w:rsid w:val="00DB0F79"/>
    <w:rsid w:val="00DB0FC3"/>
    <w:rsid w:val="00DB1004"/>
    <w:rsid w:val="00DB1005"/>
    <w:rsid w:val="00DB108F"/>
    <w:rsid w:val="00DB10D5"/>
    <w:rsid w:val="00DB1102"/>
    <w:rsid w:val="00DB112C"/>
    <w:rsid w:val="00DB1188"/>
    <w:rsid w:val="00DB11B8"/>
    <w:rsid w:val="00DB1224"/>
    <w:rsid w:val="00DB12D8"/>
    <w:rsid w:val="00DB1315"/>
    <w:rsid w:val="00DB135E"/>
    <w:rsid w:val="00DB136A"/>
    <w:rsid w:val="00DB138F"/>
    <w:rsid w:val="00DB13AF"/>
    <w:rsid w:val="00DB13D7"/>
    <w:rsid w:val="00DB13FE"/>
    <w:rsid w:val="00DB140E"/>
    <w:rsid w:val="00DB1410"/>
    <w:rsid w:val="00DB145B"/>
    <w:rsid w:val="00DB1483"/>
    <w:rsid w:val="00DB14BF"/>
    <w:rsid w:val="00DB15D2"/>
    <w:rsid w:val="00DB15D8"/>
    <w:rsid w:val="00DB1608"/>
    <w:rsid w:val="00DB165F"/>
    <w:rsid w:val="00DB168A"/>
    <w:rsid w:val="00DB16B8"/>
    <w:rsid w:val="00DB16C5"/>
    <w:rsid w:val="00DB1707"/>
    <w:rsid w:val="00DB171D"/>
    <w:rsid w:val="00DB172E"/>
    <w:rsid w:val="00DB1753"/>
    <w:rsid w:val="00DB1760"/>
    <w:rsid w:val="00DB1780"/>
    <w:rsid w:val="00DB17ED"/>
    <w:rsid w:val="00DB1800"/>
    <w:rsid w:val="00DB1803"/>
    <w:rsid w:val="00DB181D"/>
    <w:rsid w:val="00DB18BB"/>
    <w:rsid w:val="00DB18CD"/>
    <w:rsid w:val="00DB18F1"/>
    <w:rsid w:val="00DB1943"/>
    <w:rsid w:val="00DB1977"/>
    <w:rsid w:val="00DB1993"/>
    <w:rsid w:val="00DB1997"/>
    <w:rsid w:val="00DB19C1"/>
    <w:rsid w:val="00DB19F6"/>
    <w:rsid w:val="00DB1A17"/>
    <w:rsid w:val="00DB1A96"/>
    <w:rsid w:val="00DB1A9C"/>
    <w:rsid w:val="00DB1AAC"/>
    <w:rsid w:val="00DB1AAE"/>
    <w:rsid w:val="00DB1B11"/>
    <w:rsid w:val="00DB1B73"/>
    <w:rsid w:val="00DB1C00"/>
    <w:rsid w:val="00DB1C43"/>
    <w:rsid w:val="00DB1C69"/>
    <w:rsid w:val="00DB1CB2"/>
    <w:rsid w:val="00DB1CE1"/>
    <w:rsid w:val="00DB1D1D"/>
    <w:rsid w:val="00DB1D38"/>
    <w:rsid w:val="00DB1D78"/>
    <w:rsid w:val="00DB1DB0"/>
    <w:rsid w:val="00DB1DCD"/>
    <w:rsid w:val="00DB1E26"/>
    <w:rsid w:val="00DB1E3C"/>
    <w:rsid w:val="00DB1E44"/>
    <w:rsid w:val="00DB1EB5"/>
    <w:rsid w:val="00DB1EE7"/>
    <w:rsid w:val="00DB1EEE"/>
    <w:rsid w:val="00DB1EFC"/>
    <w:rsid w:val="00DB1F29"/>
    <w:rsid w:val="00DB1F31"/>
    <w:rsid w:val="00DB1F60"/>
    <w:rsid w:val="00DB1F67"/>
    <w:rsid w:val="00DB1F7B"/>
    <w:rsid w:val="00DB1F9A"/>
    <w:rsid w:val="00DB203C"/>
    <w:rsid w:val="00DB2040"/>
    <w:rsid w:val="00DB2048"/>
    <w:rsid w:val="00DB2052"/>
    <w:rsid w:val="00DB208C"/>
    <w:rsid w:val="00DB20B5"/>
    <w:rsid w:val="00DB20C6"/>
    <w:rsid w:val="00DB20CD"/>
    <w:rsid w:val="00DB20E7"/>
    <w:rsid w:val="00DB2116"/>
    <w:rsid w:val="00DB213B"/>
    <w:rsid w:val="00DB216C"/>
    <w:rsid w:val="00DB2174"/>
    <w:rsid w:val="00DB21C1"/>
    <w:rsid w:val="00DB21D1"/>
    <w:rsid w:val="00DB22F6"/>
    <w:rsid w:val="00DB22FF"/>
    <w:rsid w:val="00DB2384"/>
    <w:rsid w:val="00DB2385"/>
    <w:rsid w:val="00DB23C0"/>
    <w:rsid w:val="00DB23FF"/>
    <w:rsid w:val="00DB2434"/>
    <w:rsid w:val="00DB248B"/>
    <w:rsid w:val="00DB24AF"/>
    <w:rsid w:val="00DB2574"/>
    <w:rsid w:val="00DB2626"/>
    <w:rsid w:val="00DB2636"/>
    <w:rsid w:val="00DB265D"/>
    <w:rsid w:val="00DB2685"/>
    <w:rsid w:val="00DB2691"/>
    <w:rsid w:val="00DB26E2"/>
    <w:rsid w:val="00DB270C"/>
    <w:rsid w:val="00DB2736"/>
    <w:rsid w:val="00DB2775"/>
    <w:rsid w:val="00DB2776"/>
    <w:rsid w:val="00DB278B"/>
    <w:rsid w:val="00DB2791"/>
    <w:rsid w:val="00DB27AB"/>
    <w:rsid w:val="00DB27CA"/>
    <w:rsid w:val="00DB280F"/>
    <w:rsid w:val="00DB2828"/>
    <w:rsid w:val="00DB282B"/>
    <w:rsid w:val="00DB282C"/>
    <w:rsid w:val="00DB283D"/>
    <w:rsid w:val="00DB28D3"/>
    <w:rsid w:val="00DB28FA"/>
    <w:rsid w:val="00DB28FF"/>
    <w:rsid w:val="00DB2931"/>
    <w:rsid w:val="00DB29C2"/>
    <w:rsid w:val="00DB29CC"/>
    <w:rsid w:val="00DB29E3"/>
    <w:rsid w:val="00DB29F2"/>
    <w:rsid w:val="00DB2A12"/>
    <w:rsid w:val="00DB2A17"/>
    <w:rsid w:val="00DB2AAB"/>
    <w:rsid w:val="00DB2AEA"/>
    <w:rsid w:val="00DB2B2A"/>
    <w:rsid w:val="00DB2B83"/>
    <w:rsid w:val="00DB2B8B"/>
    <w:rsid w:val="00DB2BA7"/>
    <w:rsid w:val="00DB2C34"/>
    <w:rsid w:val="00DB2C54"/>
    <w:rsid w:val="00DB2C74"/>
    <w:rsid w:val="00DB2CBF"/>
    <w:rsid w:val="00DB2CC2"/>
    <w:rsid w:val="00DB2CDA"/>
    <w:rsid w:val="00DB2D1D"/>
    <w:rsid w:val="00DB2D47"/>
    <w:rsid w:val="00DB2D4B"/>
    <w:rsid w:val="00DB2D6B"/>
    <w:rsid w:val="00DB2D8F"/>
    <w:rsid w:val="00DB2DAD"/>
    <w:rsid w:val="00DB2DCB"/>
    <w:rsid w:val="00DB2DFF"/>
    <w:rsid w:val="00DB2E33"/>
    <w:rsid w:val="00DB2EDE"/>
    <w:rsid w:val="00DB2EF7"/>
    <w:rsid w:val="00DB2F03"/>
    <w:rsid w:val="00DB2F08"/>
    <w:rsid w:val="00DB2F14"/>
    <w:rsid w:val="00DB2F28"/>
    <w:rsid w:val="00DB2F29"/>
    <w:rsid w:val="00DB2F2A"/>
    <w:rsid w:val="00DB2FF2"/>
    <w:rsid w:val="00DB2FF3"/>
    <w:rsid w:val="00DB2FFE"/>
    <w:rsid w:val="00DB3003"/>
    <w:rsid w:val="00DB30FB"/>
    <w:rsid w:val="00DB311D"/>
    <w:rsid w:val="00DB3153"/>
    <w:rsid w:val="00DB3155"/>
    <w:rsid w:val="00DB3235"/>
    <w:rsid w:val="00DB3295"/>
    <w:rsid w:val="00DB3296"/>
    <w:rsid w:val="00DB3310"/>
    <w:rsid w:val="00DB3361"/>
    <w:rsid w:val="00DB338B"/>
    <w:rsid w:val="00DB33BE"/>
    <w:rsid w:val="00DB348F"/>
    <w:rsid w:val="00DB34A9"/>
    <w:rsid w:val="00DB34E9"/>
    <w:rsid w:val="00DB34F9"/>
    <w:rsid w:val="00DB3506"/>
    <w:rsid w:val="00DB3510"/>
    <w:rsid w:val="00DB358A"/>
    <w:rsid w:val="00DB35FE"/>
    <w:rsid w:val="00DB365B"/>
    <w:rsid w:val="00DB366B"/>
    <w:rsid w:val="00DB36C4"/>
    <w:rsid w:val="00DB36CA"/>
    <w:rsid w:val="00DB371F"/>
    <w:rsid w:val="00DB3721"/>
    <w:rsid w:val="00DB378D"/>
    <w:rsid w:val="00DB37C4"/>
    <w:rsid w:val="00DB37EB"/>
    <w:rsid w:val="00DB3809"/>
    <w:rsid w:val="00DB3868"/>
    <w:rsid w:val="00DB388C"/>
    <w:rsid w:val="00DB388F"/>
    <w:rsid w:val="00DB38B2"/>
    <w:rsid w:val="00DB38CA"/>
    <w:rsid w:val="00DB3940"/>
    <w:rsid w:val="00DB3975"/>
    <w:rsid w:val="00DB399F"/>
    <w:rsid w:val="00DB39D8"/>
    <w:rsid w:val="00DB39D9"/>
    <w:rsid w:val="00DB39ED"/>
    <w:rsid w:val="00DB3A28"/>
    <w:rsid w:val="00DB3A5D"/>
    <w:rsid w:val="00DB3A96"/>
    <w:rsid w:val="00DB3AC3"/>
    <w:rsid w:val="00DB3AD6"/>
    <w:rsid w:val="00DB3B16"/>
    <w:rsid w:val="00DB3B27"/>
    <w:rsid w:val="00DB3B82"/>
    <w:rsid w:val="00DB3C11"/>
    <w:rsid w:val="00DB3CFB"/>
    <w:rsid w:val="00DB3D44"/>
    <w:rsid w:val="00DB3D92"/>
    <w:rsid w:val="00DB3DA0"/>
    <w:rsid w:val="00DB3DFD"/>
    <w:rsid w:val="00DB3E31"/>
    <w:rsid w:val="00DB3E7F"/>
    <w:rsid w:val="00DB3EB8"/>
    <w:rsid w:val="00DB3EC1"/>
    <w:rsid w:val="00DB3EC3"/>
    <w:rsid w:val="00DB3EEA"/>
    <w:rsid w:val="00DB3EFC"/>
    <w:rsid w:val="00DB3F21"/>
    <w:rsid w:val="00DB3F4C"/>
    <w:rsid w:val="00DB3FE6"/>
    <w:rsid w:val="00DB4143"/>
    <w:rsid w:val="00DB414B"/>
    <w:rsid w:val="00DB42E5"/>
    <w:rsid w:val="00DB431A"/>
    <w:rsid w:val="00DB4359"/>
    <w:rsid w:val="00DB435D"/>
    <w:rsid w:val="00DB4367"/>
    <w:rsid w:val="00DB4386"/>
    <w:rsid w:val="00DB438A"/>
    <w:rsid w:val="00DB43E2"/>
    <w:rsid w:val="00DB4418"/>
    <w:rsid w:val="00DB445B"/>
    <w:rsid w:val="00DB4463"/>
    <w:rsid w:val="00DB44BA"/>
    <w:rsid w:val="00DB4528"/>
    <w:rsid w:val="00DB4548"/>
    <w:rsid w:val="00DB45C1"/>
    <w:rsid w:val="00DB45E1"/>
    <w:rsid w:val="00DB4637"/>
    <w:rsid w:val="00DB4641"/>
    <w:rsid w:val="00DB467B"/>
    <w:rsid w:val="00DB46DD"/>
    <w:rsid w:val="00DB46EA"/>
    <w:rsid w:val="00DB4716"/>
    <w:rsid w:val="00DB4743"/>
    <w:rsid w:val="00DB4759"/>
    <w:rsid w:val="00DB475F"/>
    <w:rsid w:val="00DB4761"/>
    <w:rsid w:val="00DB4772"/>
    <w:rsid w:val="00DB47A8"/>
    <w:rsid w:val="00DB47BD"/>
    <w:rsid w:val="00DB480C"/>
    <w:rsid w:val="00DB481C"/>
    <w:rsid w:val="00DB4854"/>
    <w:rsid w:val="00DB485C"/>
    <w:rsid w:val="00DB48C4"/>
    <w:rsid w:val="00DB48E0"/>
    <w:rsid w:val="00DB48E6"/>
    <w:rsid w:val="00DB48F2"/>
    <w:rsid w:val="00DB48F3"/>
    <w:rsid w:val="00DB4907"/>
    <w:rsid w:val="00DB492D"/>
    <w:rsid w:val="00DB49A8"/>
    <w:rsid w:val="00DB49BA"/>
    <w:rsid w:val="00DB4A0F"/>
    <w:rsid w:val="00DB4A2C"/>
    <w:rsid w:val="00DB4A54"/>
    <w:rsid w:val="00DB4A61"/>
    <w:rsid w:val="00DB4A8A"/>
    <w:rsid w:val="00DB4B13"/>
    <w:rsid w:val="00DB4B97"/>
    <w:rsid w:val="00DB4BA3"/>
    <w:rsid w:val="00DB4BB1"/>
    <w:rsid w:val="00DB4BC4"/>
    <w:rsid w:val="00DB4BEF"/>
    <w:rsid w:val="00DB4BF4"/>
    <w:rsid w:val="00DB4BFD"/>
    <w:rsid w:val="00DB4C30"/>
    <w:rsid w:val="00DB4C33"/>
    <w:rsid w:val="00DB4C5F"/>
    <w:rsid w:val="00DB4C9F"/>
    <w:rsid w:val="00DB4D0F"/>
    <w:rsid w:val="00DB4D17"/>
    <w:rsid w:val="00DB4D22"/>
    <w:rsid w:val="00DB4D52"/>
    <w:rsid w:val="00DB4D6A"/>
    <w:rsid w:val="00DB4D6D"/>
    <w:rsid w:val="00DB4D77"/>
    <w:rsid w:val="00DB4D91"/>
    <w:rsid w:val="00DB4DCE"/>
    <w:rsid w:val="00DB4E03"/>
    <w:rsid w:val="00DB4E46"/>
    <w:rsid w:val="00DB4E4B"/>
    <w:rsid w:val="00DB4EC0"/>
    <w:rsid w:val="00DB4EC2"/>
    <w:rsid w:val="00DB4F65"/>
    <w:rsid w:val="00DB4F86"/>
    <w:rsid w:val="00DB4FDC"/>
    <w:rsid w:val="00DB5063"/>
    <w:rsid w:val="00DB5137"/>
    <w:rsid w:val="00DB5183"/>
    <w:rsid w:val="00DB51D3"/>
    <w:rsid w:val="00DB51D4"/>
    <w:rsid w:val="00DB51E7"/>
    <w:rsid w:val="00DB5222"/>
    <w:rsid w:val="00DB524C"/>
    <w:rsid w:val="00DB526D"/>
    <w:rsid w:val="00DB52A2"/>
    <w:rsid w:val="00DB52B2"/>
    <w:rsid w:val="00DB531A"/>
    <w:rsid w:val="00DB5351"/>
    <w:rsid w:val="00DB535E"/>
    <w:rsid w:val="00DB53D8"/>
    <w:rsid w:val="00DB5416"/>
    <w:rsid w:val="00DB541F"/>
    <w:rsid w:val="00DB5421"/>
    <w:rsid w:val="00DB5426"/>
    <w:rsid w:val="00DB542F"/>
    <w:rsid w:val="00DB5445"/>
    <w:rsid w:val="00DB5452"/>
    <w:rsid w:val="00DB5470"/>
    <w:rsid w:val="00DB5475"/>
    <w:rsid w:val="00DB5497"/>
    <w:rsid w:val="00DB54D5"/>
    <w:rsid w:val="00DB55A6"/>
    <w:rsid w:val="00DB55D9"/>
    <w:rsid w:val="00DB5625"/>
    <w:rsid w:val="00DB5649"/>
    <w:rsid w:val="00DB566B"/>
    <w:rsid w:val="00DB56A0"/>
    <w:rsid w:val="00DB5755"/>
    <w:rsid w:val="00DB575A"/>
    <w:rsid w:val="00DB5761"/>
    <w:rsid w:val="00DB5772"/>
    <w:rsid w:val="00DB57CB"/>
    <w:rsid w:val="00DB57D9"/>
    <w:rsid w:val="00DB57E7"/>
    <w:rsid w:val="00DB5817"/>
    <w:rsid w:val="00DB5824"/>
    <w:rsid w:val="00DB5848"/>
    <w:rsid w:val="00DB588B"/>
    <w:rsid w:val="00DB58BB"/>
    <w:rsid w:val="00DB58CE"/>
    <w:rsid w:val="00DB58EA"/>
    <w:rsid w:val="00DB58FA"/>
    <w:rsid w:val="00DB5934"/>
    <w:rsid w:val="00DB5953"/>
    <w:rsid w:val="00DB5954"/>
    <w:rsid w:val="00DB59C4"/>
    <w:rsid w:val="00DB59E2"/>
    <w:rsid w:val="00DB5A18"/>
    <w:rsid w:val="00DB5A3E"/>
    <w:rsid w:val="00DB5A3F"/>
    <w:rsid w:val="00DB5A59"/>
    <w:rsid w:val="00DB5A6D"/>
    <w:rsid w:val="00DB5A8C"/>
    <w:rsid w:val="00DB5ADB"/>
    <w:rsid w:val="00DB5AE5"/>
    <w:rsid w:val="00DB5B01"/>
    <w:rsid w:val="00DB5B76"/>
    <w:rsid w:val="00DB5B90"/>
    <w:rsid w:val="00DB5BB8"/>
    <w:rsid w:val="00DB5BF8"/>
    <w:rsid w:val="00DB5C0A"/>
    <w:rsid w:val="00DB5C0D"/>
    <w:rsid w:val="00DB5C60"/>
    <w:rsid w:val="00DB5C86"/>
    <w:rsid w:val="00DB5D39"/>
    <w:rsid w:val="00DB5D61"/>
    <w:rsid w:val="00DB5D6E"/>
    <w:rsid w:val="00DB5DB2"/>
    <w:rsid w:val="00DB5E4C"/>
    <w:rsid w:val="00DB5E83"/>
    <w:rsid w:val="00DB5EC3"/>
    <w:rsid w:val="00DB5ED5"/>
    <w:rsid w:val="00DB5F29"/>
    <w:rsid w:val="00DB5F2C"/>
    <w:rsid w:val="00DB5F97"/>
    <w:rsid w:val="00DB5FAB"/>
    <w:rsid w:val="00DB6007"/>
    <w:rsid w:val="00DB601B"/>
    <w:rsid w:val="00DB6039"/>
    <w:rsid w:val="00DB6075"/>
    <w:rsid w:val="00DB609E"/>
    <w:rsid w:val="00DB60D9"/>
    <w:rsid w:val="00DB6177"/>
    <w:rsid w:val="00DB617C"/>
    <w:rsid w:val="00DB61C5"/>
    <w:rsid w:val="00DB61DD"/>
    <w:rsid w:val="00DB621F"/>
    <w:rsid w:val="00DB6264"/>
    <w:rsid w:val="00DB6269"/>
    <w:rsid w:val="00DB6288"/>
    <w:rsid w:val="00DB62B0"/>
    <w:rsid w:val="00DB62D8"/>
    <w:rsid w:val="00DB6321"/>
    <w:rsid w:val="00DB6405"/>
    <w:rsid w:val="00DB6407"/>
    <w:rsid w:val="00DB6490"/>
    <w:rsid w:val="00DB64AB"/>
    <w:rsid w:val="00DB64C4"/>
    <w:rsid w:val="00DB64CC"/>
    <w:rsid w:val="00DB650A"/>
    <w:rsid w:val="00DB651F"/>
    <w:rsid w:val="00DB6575"/>
    <w:rsid w:val="00DB65C8"/>
    <w:rsid w:val="00DB65E2"/>
    <w:rsid w:val="00DB6646"/>
    <w:rsid w:val="00DB6655"/>
    <w:rsid w:val="00DB66CF"/>
    <w:rsid w:val="00DB6710"/>
    <w:rsid w:val="00DB6715"/>
    <w:rsid w:val="00DB671D"/>
    <w:rsid w:val="00DB6738"/>
    <w:rsid w:val="00DB673E"/>
    <w:rsid w:val="00DB6752"/>
    <w:rsid w:val="00DB681E"/>
    <w:rsid w:val="00DB6840"/>
    <w:rsid w:val="00DB6854"/>
    <w:rsid w:val="00DB6872"/>
    <w:rsid w:val="00DB687C"/>
    <w:rsid w:val="00DB68A4"/>
    <w:rsid w:val="00DB6950"/>
    <w:rsid w:val="00DB697D"/>
    <w:rsid w:val="00DB6987"/>
    <w:rsid w:val="00DB698C"/>
    <w:rsid w:val="00DB69A6"/>
    <w:rsid w:val="00DB69AD"/>
    <w:rsid w:val="00DB69B6"/>
    <w:rsid w:val="00DB69FF"/>
    <w:rsid w:val="00DB6A4B"/>
    <w:rsid w:val="00DB6AAD"/>
    <w:rsid w:val="00DB6AB4"/>
    <w:rsid w:val="00DB6AB8"/>
    <w:rsid w:val="00DB6B18"/>
    <w:rsid w:val="00DB6B24"/>
    <w:rsid w:val="00DB6B37"/>
    <w:rsid w:val="00DB6B62"/>
    <w:rsid w:val="00DB6BD1"/>
    <w:rsid w:val="00DB6BEB"/>
    <w:rsid w:val="00DB6BF7"/>
    <w:rsid w:val="00DB6C0A"/>
    <w:rsid w:val="00DB6C8E"/>
    <w:rsid w:val="00DB6C9B"/>
    <w:rsid w:val="00DB6D25"/>
    <w:rsid w:val="00DB6D38"/>
    <w:rsid w:val="00DB6D4B"/>
    <w:rsid w:val="00DB6D54"/>
    <w:rsid w:val="00DB6DC3"/>
    <w:rsid w:val="00DB6E2F"/>
    <w:rsid w:val="00DB6EA3"/>
    <w:rsid w:val="00DB6F36"/>
    <w:rsid w:val="00DB6FB3"/>
    <w:rsid w:val="00DB6FD1"/>
    <w:rsid w:val="00DB6FEF"/>
    <w:rsid w:val="00DB6FFC"/>
    <w:rsid w:val="00DB7007"/>
    <w:rsid w:val="00DB7008"/>
    <w:rsid w:val="00DB707E"/>
    <w:rsid w:val="00DB7086"/>
    <w:rsid w:val="00DB70AE"/>
    <w:rsid w:val="00DB70BB"/>
    <w:rsid w:val="00DB712E"/>
    <w:rsid w:val="00DB714C"/>
    <w:rsid w:val="00DB7197"/>
    <w:rsid w:val="00DB71A2"/>
    <w:rsid w:val="00DB71F6"/>
    <w:rsid w:val="00DB721F"/>
    <w:rsid w:val="00DB7226"/>
    <w:rsid w:val="00DB7274"/>
    <w:rsid w:val="00DB7298"/>
    <w:rsid w:val="00DB729B"/>
    <w:rsid w:val="00DB72FF"/>
    <w:rsid w:val="00DB73A3"/>
    <w:rsid w:val="00DB73D7"/>
    <w:rsid w:val="00DB73EB"/>
    <w:rsid w:val="00DB7418"/>
    <w:rsid w:val="00DB7458"/>
    <w:rsid w:val="00DB7465"/>
    <w:rsid w:val="00DB7491"/>
    <w:rsid w:val="00DB7497"/>
    <w:rsid w:val="00DB74A1"/>
    <w:rsid w:val="00DB74F3"/>
    <w:rsid w:val="00DB7532"/>
    <w:rsid w:val="00DB7540"/>
    <w:rsid w:val="00DB754D"/>
    <w:rsid w:val="00DB75B5"/>
    <w:rsid w:val="00DB75CD"/>
    <w:rsid w:val="00DB75F2"/>
    <w:rsid w:val="00DB7601"/>
    <w:rsid w:val="00DB76FC"/>
    <w:rsid w:val="00DB7702"/>
    <w:rsid w:val="00DB7790"/>
    <w:rsid w:val="00DB77AF"/>
    <w:rsid w:val="00DB77D2"/>
    <w:rsid w:val="00DB77FE"/>
    <w:rsid w:val="00DB7875"/>
    <w:rsid w:val="00DB7884"/>
    <w:rsid w:val="00DB789A"/>
    <w:rsid w:val="00DB78B9"/>
    <w:rsid w:val="00DB78EA"/>
    <w:rsid w:val="00DB795C"/>
    <w:rsid w:val="00DB79B0"/>
    <w:rsid w:val="00DB79CB"/>
    <w:rsid w:val="00DB79F4"/>
    <w:rsid w:val="00DB7A01"/>
    <w:rsid w:val="00DB7A13"/>
    <w:rsid w:val="00DB7A21"/>
    <w:rsid w:val="00DB7A2B"/>
    <w:rsid w:val="00DB7A44"/>
    <w:rsid w:val="00DB7A5A"/>
    <w:rsid w:val="00DB7AAE"/>
    <w:rsid w:val="00DB7AB3"/>
    <w:rsid w:val="00DB7B32"/>
    <w:rsid w:val="00DB7B3A"/>
    <w:rsid w:val="00DB7B4B"/>
    <w:rsid w:val="00DB7B74"/>
    <w:rsid w:val="00DB7B89"/>
    <w:rsid w:val="00DB7BB4"/>
    <w:rsid w:val="00DB7C04"/>
    <w:rsid w:val="00DB7C16"/>
    <w:rsid w:val="00DB7C36"/>
    <w:rsid w:val="00DB7C3D"/>
    <w:rsid w:val="00DB7C4C"/>
    <w:rsid w:val="00DB7C59"/>
    <w:rsid w:val="00DB7C89"/>
    <w:rsid w:val="00DB7D31"/>
    <w:rsid w:val="00DB7D6D"/>
    <w:rsid w:val="00DB7D77"/>
    <w:rsid w:val="00DB7D90"/>
    <w:rsid w:val="00DB7DF3"/>
    <w:rsid w:val="00DB7E56"/>
    <w:rsid w:val="00DB7E71"/>
    <w:rsid w:val="00DB7E8E"/>
    <w:rsid w:val="00DB7EF4"/>
    <w:rsid w:val="00DB7F26"/>
    <w:rsid w:val="00DB7F6C"/>
    <w:rsid w:val="00DB7F9B"/>
    <w:rsid w:val="00DC0013"/>
    <w:rsid w:val="00DC004E"/>
    <w:rsid w:val="00DC00BE"/>
    <w:rsid w:val="00DC00F9"/>
    <w:rsid w:val="00DC010D"/>
    <w:rsid w:val="00DC010F"/>
    <w:rsid w:val="00DC0112"/>
    <w:rsid w:val="00DC0119"/>
    <w:rsid w:val="00DC013B"/>
    <w:rsid w:val="00DC0174"/>
    <w:rsid w:val="00DC0234"/>
    <w:rsid w:val="00DC027F"/>
    <w:rsid w:val="00DC02BA"/>
    <w:rsid w:val="00DC02D2"/>
    <w:rsid w:val="00DC0397"/>
    <w:rsid w:val="00DC041C"/>
    <w:rsid w:val="00DC0427"/>
    <w:rsid w:val="00DC0430"/>
    <w:rsid w:val="00DC04AB"/>
    <w:rsid w:val="00DC0508"/>
    <w:rsid w:val="00DC0533"/>
    <w:rsid w:val="00DC054D"/>
    <w:rsid w:val="00DC055E"/>
    <w:rsid w:val="00DC05D6"/>
    <w:rsid w:val="00DC05DA"/>
    <w:rsid w:val="00DC0685"/>
    <w:rsid w:val="00DC06D4"/>
    <w:rsid w:val="00DC06DE"/>
    <w:rsid w:val="00DC073F"/>
    <w:rsid w:val="00DC0743"/>
    <w:rsid w:val="00DC0758"/>
    <w:rsid w:val="00DC079B"/>
    <w:rsid w:val="00DC07B0"/>
    <w:rsid w:val="00DC0810"/>
    <w:rsid w:val="00DC0871"/>
    <w:rsid w:val="00DC087A"/>
    <w:rsid w:val="00DC08A5"/>
    <w:rsid w:val="00DC08AB"/>
    <w:rsid w:val="00DC08AD"/>
    <w:rsid w:val="00DC08E3"/>
    <w:rsid w:val="00DC08EA"/>
    <w:rsid w:val="00DC0944"/>
    <w:rsid w:val="00DC098B"/>
    <w:rsid w:val="00DC09DB"/>
    <w:rsid w:val="00DC0A4F"/>
    <w:rsid w:val="00DC0A51"/>
    <w:rsid w:val="00DC0A69"/>
    <w:rsid w:val="00DC0A6A"/>
    <w:rsid w:val="00DC0A90"/>
    <w:rsid w:val="00DC0A93"/>
    <w:rsid w:val="00DC0AB1"/>
    <w:rsid w:val="00DC0AC4"/>
    <w:rsid w:val="00DC0AC5"/>
    <w:rsid w:val="00DC0ADA"/>
    <w:rsid w:val="00DC0AE1"/>
    <w:rsid w:val="00DC0AFE"/>
    <w:rsid w:val="00DC0B24"/>
    <w:rsid w:val="00DC0B7C"/>
    <w:rsid w:val="00DC0B8D"/>
    <w:rsid w:val="00DC0B9D"/>
    <w:rsid w:val="00DC0BB8"/>
    <w:rsid w:val="00DC0C22"/>
    <w:rsid w:val="00DC0C2E"/>
    <w:rsid w:val="00DC0C5D"/>
    <w:rsid w:val="00DC0C7D"/>
    <w:rsid w:val="00DC0C91"/>
    <w:rsid w:val="00DC0CA5"/>
    <w:rsid w:val="00DC0CA9"/>
    <w:rsid w:val="00DC0CAE"/>
    <w:rsid w:val="00DC0D7C"/>
    <w:rsid w:val="00DC0E36"/>
    <w:rsid w:val="00DC0E60"/>
    <w:rsid w:val="00DC0E77"/>
    <w:rsid w:val="00DC0E89"/>
    <w:rsid w:val="00DC0EAC"/>
    <w:rsid w:val="00DC0F24"/>
    <w:rsid w:val="00DC0F29"/>
    <w:rsid w:val="00DC0F60"/>
    <w:rsid w:val="00DC103E"/>
    <w:rsid w:val="00DC1053"/>
    <w:rsid w:val="00DC10B6"/>
    <w:rsid w:val="00DC10C9"/>
    <w:rsid w:val="00DC10CA"/>
    <w:rsid w:val="00DC10DA"/>
    <w:rsid w:val="00DC10FE"/>
    <w:rsid w:val="00DC114F"/>
    <w:rsid w:val="00DC1188"/>
    <w:rsid w:val="00DC11B0"/>
    <w:rsid w:val="00DC11EB"/>
    <w:rsid w:val="00DC121C"/>
    <w:rsid w:val="00DC123F"/>
    <w:rsid w:val="00DC1248"/>
    <w:rsid w:val="00DC12AF"/>
    <w:rsid w:val="00DC12CA"/>
    <w:rsid w:val="00DC12F9"/>
    <w:rsid w:val="00DC135F"/>
    <w:rsid w:val="00DC1368"/>
    <w:rsid w:val="00DC13B5"/>
    <w:rsid w:val="00DC1400"/>
    <w:rsid w:val="00DC144D"/>
    <w:rsid w:val="00DC145E"/>
    <w:rsid w:val="00DC148E"/>
    <w:rsid w:val="00DC14DE"/>
    <w:rsid w:val="00DC1502"/>
    <w:rsid w:val="00DC1587"/>
    <w:rsid w:val="00DC15C8"/>
    <w:rsid w:val="00DC15E2"/>
    <w:rsid w:val="00DC15F2"/>
    <w:rsid w:val="00DC161D"/>
    <w:rsid w:val="00DC1690"/>
    <w:rsid w:val="00DC16A5"/>
    <w:rsid w:val="00DC173E"/>
    <w:rsid w:val="00DC1743"/>
    <w:rsid w:val="00DC174F"/>
    <w:rsid w:val="00DC1750"/>
    <w:rsid w:val="00DC1772"/>
    <w:rsid w:val="00DC178D"/>
    <w:rsid w:val="00DC17DB"/>
    <w:rsid w:val="00DC17E6"/>
    <w:rsid w:val="00DC17F3"/>
    <w:rsid w:val="00DC1803"/>
    <w:rsid w:val="00DC183D"/>
    <w:rsid w:val="00DC184B"/>
    <w:rsid w:val="00DC1883"/>
    <w:rsid w:val="00DC1886"/>
    <w:rsid w:val="00DC1892"/>
    <w:rsid w:val="00DC189B"/>
    <w:rsid w:val="00DC1940"/>
    <w:rsid w:val="00DC194B"/>
    <w:rsid w:val="00DC1991"/>
    <w:rsid w:val="00DC19C1"/>
    <w:rsid w:val="00DC19E4"/>
    <w:rsid w:val="00DC1A11"/>
    <w:rsid w:val="00DC1A19"/>
    <w:rsid w:val="00DC1A2A"/>
    <w:rsid w:val="00DC1A75"/>
    <w:rsid w:val="00DC1AAB"/>
    <w:rsid w:val="00DC1ADE"/>
    <w:rsid w:val="00DC1AF7"/>
    <w:rsid w:val="00DC1B12"/>
    <w:rsid w:val="00DC1B20"/>
    <w:rsid w:val="00DC1BD9"/>
    <w:rsid w:val="00DC1BE6"/>
    <w:rsid w:val="00DC1BEA"/>
    <w:rsid w:val="00DC1C06"/>
    <w:rsid w:val="00DC1C67"/>
    <w:rsid w:val="00DC1CC5"/>
    <w:rsid w:val="00DC1D3F"/>
    <w:rsid w:val="00DC1DA6"/>
    <w:rsid w:val="00DC1E17"/>
    <w:rsid w:val="00DC1E45"/>
    <w:rsid w:val="00DC1E5D"/>
    <w:rsid w:val="00DC1F41"/>
    <w:rsid w:val="00DC1FA5"/>
    <w:rsid w:val="00DC1FBD"/>
    <w:rsid w:val="00DC1FD2"/>
    <w:rsid w:val="00DC1FEB"/>
    <w:rsid w:val="00DC1FF7"/>
    <w:rsid w:val="00DC2033"/>
    <w:rsid w:val="00DC2067"/>
    <w:rsid w:val="00DC2082"/>
    <w:rsid w:val="00DC20AB"/>
    <w:rsid w:val="00DC213C"/>
    <w:rsid w:val="00DC2192"/>
    <w:rsid w:val="00DC219E"/>
    <w:rsid w:val="00DC21B4"/>
    <w:rsid w:val="00DC2202"/>
    <w:rsid w:val="00DC225D"/>
    <w:rsid w:val="00DC22E6"/>
    <w:rsid w:val="00DC22EE"/>
    <w:rsid w:val="00DC2304"/>
    <w:rsid w:val="00DC2318"/>
    <w:rsid w:val="00DC23F5"/>
    <w:rsid w:val="00DC2420"/>
    <w:rsid w:val="00DC242E"/>
    <w:rsid w:val="00DC247E"/>
    <w:rsid w:val="00DC2489"/>
    <w:rsid w:val="00DC24AB"/>
    <w:rsid w:val="00DC24C5"/>
    <w:rsid w:val="00DC2635"/>
    <w:rsid w:val="00DC2637"/>
    <w:rsid w:val="00DC2671"/>
    <w:rsid w:val="00DC26AE"/>
    <w:rsid w:val="00DC26F2"/>
    <w:rsid w:val="00DC26F7"/>
    <w:rsid w:val="00DC2725"/>
    <w:rsid w:val="00DC2750"/>
    <w:rsid w:val="00DC277F"/>
    <w:rsid w:val="00DC2787"/>
    <w:rsid w:val="00DC2827"/>
    <w:rsid w:val="00DC288E"/>
    <w:rsid w:val="00DC2894"/>
    <w:rsid w:val="00DC28AA"/>
    <w:rsid w:val="00DC28B7"/>
    <w:rsid w:val="00DC28FF"/>
    <w:rsid w:val="00DC2997"/>
    <w:rsid w:val="00DC2A12"/>
    <w:rsid w:val="00DC2A31"/>
    <w:rsid w:val="00DC2A6B"/>
    <w:rsid w:val="00DC2A79"/>
    <w:rsid w:val="00DC2AE1"/>
    <w:rsid w:val="00DC2B53"/>
    <w:rsid w:val="00DC2BAD"/>
    <w:rsid w:val="00DC2C05"/>
    <w:rsid w:val="00DC2C07"/>
    <w:rsid w:val="00DC2C0C"/>
    <w:rsid w:val="00DC2C11"/>
    <w:rsid w:val="00DC2C46"/>
    <w:rsid w:val="00DC2C72"/>
    <w:rsid w:val="00DC2C90"/>
    <w:rsid w:val="00DC2CE6"/>
    <w:rsid w:val="00DC2D21"/>
    <w:rsid w:val="00DC2D3A"/>
    <w:rsid w:val="00DC2E3F"/>
    <w:rsid w:val="00DC2E4A"/>
    <w:rsid w:val="00DC2E9D"/>
    <w:rsid w:val="00DC2EA9"/>
    <w:rsid w:val="00DC2EAB"/>
    <w:rsid w:val="00DC2EEA"/>
    <w:rsid w:val="00DC2FC6"/>
    <w:rsid w:val="00DC2FCE"/>
    <w:rsid w:val="00DC2FDF"/>
    <w:rsid w:val="00DC3009"/>
    <w:rsid w:val="00DC3057"/>
    <w:rsid w:val="00DC305A"/>
    <w:rsid w:val="00DC305E"/>
    <w:rsid w:val="00DC3090"/>
    <w:rsid w:val="00DC30DC"/>
    <w:rsid w:val="00DC3135"/>
    <w:rsid w:val="00DC3176"/>
    <w:rsid w:val="00DC317D"/>
    <w:rsid w:val="00DC31A1"/>
    <w:rsid w:val="00DC31B9"/>
    <w:rsid w:val="00DC31BA"/>
    <w:rsid w:val="00DC31EC"/>
    <w:rsid w:val="00DC31FC"/>
    <w:rsid w:val="00DC3209"/>
    <w:rsid w:val="00DC320A"/>
    <w:rsid w:val="00DC325A"/>
    <w:rsid w:val="00DC3267"/>
    <w:rsid w:val="00DC327C"/>
    <w:rsid w:val="00DC332F"/>
    <w:rsid w:val="00DC3369"/>
    <w:rsid w:val="00DC3383"/>
    <w:rsid w:val="00DC33A1"/>
    <w:rsid w:val="00DC33A9"/>
    <w:rsid w:val="00DC33D2"/>
    <w:rsid w:val="00DC33F0"/>
    <w:rsid w:val="00DC33F4"/>
    <w:rsid w:val="00DC3403"/>
    <w:rsid w:val="00DC343D"/>
    <w:rsid w:val="00DC3465"/>
    <w:rsid w:val="00DC34A5"/>
    <w:rsid w:val="00DC34C9"/>
    <w:rsid w:val="00DC352F"/>
    <w:rsid w:val="00DC3531"/>
    <w:rsid w:val="00DC3533"/>
    <w:rsid w:val="00DC35F8"/>
    <w:rsid w:val="00DC3628"/>
    <w:rsid w:val="00DC363E"/>
    <w:rsid w:val="00DC3645"/>
    <w:rsid w:val="00DC3661"/>
    <w:rsid w:val="00DC3682"/>
    <w:rsid w:val="00DC36DB"/>
    <w:rsid w:val="00DC37B2"/>
    <w:rsid w:val="00DC3801"/>
    <w:rsid w:val="00DC3829"/>
    <w:rsid w:val="00DC3878"/>
    <w:rsid w:val="00DC3883"/>
    <w:rsid w:val="00DC38EA"/>
    <w:rsid w:val="00DC393D"/>
    <w:rsid w:val="00DC3946"/>
    <w:rsid w:val="00DC3959"/>
    <w:rsid w:val="00DC3997"/>
    <w:rsid w:val="00DC39F7"/>
    <w:rsid w:val="00DC3A13"/>
    <w:rsid w:val="00DC3AA8"/>
    <w:rsid w:val="00DC3AD5"/>
    <w:rsid w:val="00DC3AF6"/>
    <w:rsid w:val="00DC3AFC"/>
    <w:rsid w:val="00DC3AFE"/>
    <w:rsid w:val="00DC3B0E"/>
    <w:rsid w:val="00DC3B28"/>
    <w:rsid w:val="00DC3B4E"/>
    <w:rsid w:val="00DC3B5F"/>
    <w:rsid w:val="00DC3BA1"/>
    <w:rsid w:val="00DC3BCE"/>
    <w:rsid w:val="00DC3BEF"/>
    <w:rsid w:val="00DC3C44"/>
    <w:rsid w:val="00DC3C60"/>
    <w:rsid w:val="00DC3C6E"/>
    <w:rsid w:val="00DC3C9B"/>
    <w:rsid w:val="00DC3C9E"/>
    <w:rsid w:val="00DC3CBC"/>
    <w:rsid w:val="00DC3D5F"/>
    <w:rsid w:val="00DC3D67"/>
    <w:rsid w:val="00DC3D79"/>
    <w:rsid w:val="00DC3D96"/>
    <w:rsid w:val="00DC3E03"/>
    <w:rsid w:val="00DC3E2A"/>
    <w:rsid w:val="00DC3EF3"/>
    <w:rsid w:val="00DC3F13"/>
    <w:rsid w:val="00DC3F43"/>
    <w:rsid w:val="00DC3F73"/>
    <w:rsid w:val="00DC3FC7"/>
    <w:rsid w:val="00DC3FD9"/>
    <w:rsid w:val="00DC4039"/>
    <w:rsid w:val="00DC403D"/>
    <w:rsid w:val="00DC4061"/>
    <w:rsid w:val="00DC407D"/>
    <w:rsid w:val="00DC40A0"/>
    <w:rsid w:val="00DC40D1"/>
    <w:rsid w:val="00DC40D2"/>
    <w:rsid w:val="00DC4185"/>
    <w:rsid w:val="00DC4236"/>
    <w:rsid w:val="00DC42A8"/>
    <w:rsid w:val="00DC42BF"/>
    <w:rsid w:val="00DC42D1"/>
    <w:rsid w:val="00DC42E8"/>
    <w:rsid w:val="00DC43DE"/>
    <w:rsid w:val="00DC43DF"/>
    <w:rsid w:val="00DC4431"/>
    <w:rsid w:val="00DC4514"/>
    <w:rsid w:val="00DC4529"/>
    <w:rsid w:val="00DC455C"/>
    <w:rsid w:val="00DC45A6"/>
    <w:rsid w:val="00DC45C5"/>
    <w:rsid w:val="00DC4602"/>
    <w:rsid w:val="00DC46A9"/>
    <w:rsid w:val="00DC46B4"/>
    <w:rsid w:val="00DC46BF"/>
    <w:rsid w:val="00DC46FF"/>
    <w:rsid w:val="00DC470D"/>
    <w:rsid w:val="00DC4724"/>
    <w:rsid w:val="00DC4725"/>
    <w:rsid w:val="00DC4809"/>
    <w:rsid w:val="00DC484D"/>
    <w:rsid w:val="00DC4882"/>
    <w:rsid w:val="00DC48DC"/>
    <w:rsid w:val="00DC4914"/>
    <w:rsid w:val="00DC4936"/>
    <w:rsid w:val="00DC4949"/>
    <w:rsid w:val="00DC4957"/>
    <w:rsid w:val="00DC4988"/>
    <w:rsid w:val="00DC4994"/>
    <w:rsid w:val="00DC499C"/>
    <w:rsid w:val="00DC49BE"/>
    <w:rsid w:val="00DC49D6"/>
    <w:rsid w:val="00DC49EF"/>
    <w:rsid w:val="00DC4A95"/>
    <w:rsid w:val="00DC4ABD"/>
    <w:rsid w:val="00DC4AE0"/>
    <w:rsid w:val="00DC4B17"/>
    <w:rsid w:val="00DC4B18"/>
    <w:rsid w:val="00DC4B87"/>
    <w:rsid w:val="00DC4B8E"/>
    <w:rsid w:val="00DC4BE8"/>
    <w:rsid w:val="00DC4C02"/>
    <w:rsid w:val="00DC4C74"/>
    <w:rsid w:val="00DC4CE4"/>
    <w:rsid w:val="00DC4CF6"/>
    <w:rsid w:val="00DC4D2C"/>
    <w:rsid w:val="00DC4D44"/>
    <w:rsid w:val="00DC4D4D"/>
    <w:rsid w:val="00DC4D74"/>
    <w:rsid w:val="00DC4DD2"/>
    <w:rsid w:val="00DC4E24"/>
    <w:rsid w:val="00DC4E6D"/>
    <w:rsid w:val="00DC4EA9"/>
    <w:rsid w:val="00DC4F0E"/>
    <w:rsid w:val="00DC4F91"/>
    <w:rsid w:val="00DC4F93"/>
    <w:rsid w:val="00DC4FC0"/>
    <w:rsid w:val="00DC500D"/>
    <w:rsid w:val="00DC5029"/>
    <w:rsid w:val="00DC50A1"/>
    <w:rsid w:val="00DC50C8"/>
    <w:rsid w:val="00DC50D5"/>
    <w:rsid w:val="00DC50ED"/>
    <w:rsid w:val="00DC50FE"/>
    <w:rsid w:val="00DC511E"/>
    <w:rsid w:val="00DC518F"/>
    <w:rsid w:val="00DC51F6"/>
    <w:rsid w:val="00DC5203"/>
    <w:rsid w:val="00DC520F"/>
    <w:rsid w:val="00DC5271"/>
    <w:rsid w:val="00DC5287"/>
    <w:rsid w:val="00DC5299"/>
    <w:rsid w:val="00DC52B9"/>
    <w:rsid w:val="00DC52DB"/>
    <w:rsid w:val="00DC531E"/>
    <w:rsid w:val="00DC5352"/>
    <w:rsid w:val="00DC53B3"/>
    <w:rsid w:val="00DC53BD"/>
    <w:rsid w:val="00DC53C0"/>
    <w:rsid w:val="00DC53EF"/>
    <w:rsid w:val="00DC53FC"/>
    <w:rsid w:val="00DC540D"/>
    <w:rsid w:val="00DC543A"/>
    <w:rsid w:val="00DC5486"/>
    <w:rsid w:val="00DC54B1"/>
    <w:rsid w:val="00DC5509"/>
    <w:rsid w:val="00DC5560"/>
    <w:rsid w:val="00DC558C"/>
    <w:rsid w:val="00DC55A2"/>
    <w:rsid w:val="00DC566D"/>
    <w:rsid w:val="00DC568C"/>
    <w:rsid w:val="00DC569D"/>
    <w:rsid w:val="00DC56FF"/>
    <w:rsid w:val="00DC574D"/>
    <w:rsid w:val="00DC57C2"/>
    <w:rsid w:val="00DC5826"/>
    <w:rsid w:val="00DC5872"/>
    <w:rsid w:val="00DC5888"/>
    <w:rsid w:val="00DC58F7"/>
    <w:rsid w:val="00DC5905"/>
    <w:rsid w:val="00DC5973"/>
    <w:rsid w:val="00DC59F8"/>
    <w:rsid w:val="00DC5AAD"/>
    <w:rsid w:val="00DC5ACA"/>
    <w:rsid w:val="00DC5AD5"/>
    <w:rsid w:val="00DC5B81"/>
    <w:rsid w:val="00DC5B8A"/>
    <w:rsid w:val="00DC5B8B"/>
    <w:rsid w:val="00DC5BA1"/>
    <w:rsid w:val="00DC5BA9"/>
    <w:rsid w:val="00DC5C03"/>
    <w:rsid w:val="00DC5C15"/>
    <w:rsid w:val="00DC5C2F"/>
    <w:rsid w:val="00DC5D4E"/>
    <w:rsid w:val="00DC5E15"/>
    <w:rsid w:val="00DC5E79"/>
    <w:rsid w:val="00DC5F2B"/>
    <w:rsid w:val="00DC5F2D"/>
    <w:rsid w:val="00DC5F2E"/>
    <w:rsid w:val="00DC5F43"/>
    <w:rsid w:val="00DC5F61"/>
    <w:rsid w:val="00DC5F7B"/>
    <w:rsid w:val="00DC5FA3"/>
    <w:rsid w:val="00DC5FB5"/>
    <w:rsid w:val="00DC5FD3"/>
    <w:rsid w:val="00DC5FE5"/>
    <w:rsid w:val="00DC5FEA"/>
    <w:rsid w:val="00DC603A"/>
    <w:rsid w:val="00DC60CB"/>
    <w:rsid w:val="00DC60FC"/>
    <w:rsid w:val="00DC611D"/>
    <w:rsid w:val="00DC6147"/>
    <w:rsid w:val="00DC615B"/>
    <w:rsid w:val="00DC61C1"/>
    <w:rsid w:val="00DC61FB"/>
    <w:rsid w:val="00DC621F"/>
    <w:rsid w:val="00DC6269"/>
    <w:rsid w:val="00DC6295"/>
    <w:rsid w:val="00DC62B2"/>
    <w:rsid w:val="00DC62BC"/>
    <w:rsid w:val="00DC62C2"/>
    <w:rsid w:val="00DC62DB"/>
    <w:rsid w:val="00DC62FF"/>
    <w:rsid w:val="00DC6336"/>
    <w:rsid w:val="00DC633D"/>
    <w:rsid w:val="00DC6382"/>
    <w:rsid w:val="00DC63E6"/>
    <w:rsid w:val="00DC6448"/>
    <w:rsid w:val="00DC6463"/>
    <w:rsid w:val="00DC64AF"/>
    <w:rsid w:val="00DC64C8"/>
    <w:rsid w:val="00DC652B"/>
    <w:rsid w:val="00DC6571"/>
    <w:rsid w:val="00DC659D"/>
    <w:rsid w:val="00DC6608"/>
    <w:rsid w:val="00DC662E"/>
    <w:rsid w:val="00DC663D"/>
    <w:rsid w:val="00DC6757"/>
    <w:rsid w:val="00DC678A"/>
    <w:rsid w:val="00DC680B"/>
    <w:rsid w:val="00DC68B0"/>
    <w:rsid w:val="00DC6969"/>
    <w:rsid w:val="00DC6981"/>
    <w:rsid w:val="00DC699C"/>
    <w:rsid w:val="00DC69E4"/>
    <w:rsid w:val="00DC69F4"/>
    <w:rsid w:val="00DC6A15"/>
    <w:rsid w:val="00DC6A67"/>
    <w:rsid w:val="00DC6B03"/>
    <w:rsid w:val="00DC6B0C"/>
    <w:rsid w:val="00DC6B3E"/>
    <w:rsid w:val="00DC6B42"/>
    <w:rsid w:val="00DC6B7A"/>
    <w:rsid w:val="00DC6BC9"/>
    <w:rsid w:val="00DC6C0F"/>
    <w:rsid w:val="00DC6C19"/>
    <w:rsid w:val="00DC6C3B"/>
    <w:rsid w:val="00DC6C77"/>
    <w:rsid w:val="00DC6CC7"/>
    <w:rsid w:val="00DC6CC9"/>
    <w:rsid w:val="00DC6CDA"/>
    <w:rsid w:val="00DC6D64"/>
    <w:rsid w:val="00DC6DF3"/>
    <w:rsid w:val="00DC6E28"/>
    <w:rsid w:val="00DC6E3E"/>
    <w:rsid w:val="00DC6E88"/>
    <w:rsid w:val="00DC6EAE"/>
    <w:rsid w:val="00DC6EDE"/>
    <w:rsid w:val="00DC6EE0"/>
    <w:rsid w:val="00DC6F03"/>
    <w:rsid w:val="00DC6F28"/>
    <w:rsid w:val="00DC6F33"/>
    <w:rsid w:val="00DC6F64"/>
    <w:rsid w:val="00DC6FD4"/>
    <w:rsid w:val="00DC6FEB"/>
    <w:rsid w:val="00DC6FF4"/>
    <w:rsid w:val="00DC6FF8"/>
    <w:rsid w:val="00DC700A"/>
    <w:rsid w:val="00DC7020"/>
    <w:rsid w:val="00DC7037"/>
    <w:rsid w:val="00DC70BC"/>
    <w:rsid w:val="00DC70D7"/>
    <w:rsid w:val="00DC70E0"/>
    <w:rsid w:val="00DC70ED"/>
    <w:rsid w:val="00DC711B"/>
    <w:rsid w:val="00DC71D9"/>
    <w:rsid w:val="00DC71E3"/>
    <w:rsid w:val="00DC71FC"/>
    <w:rsid w:val="00DC7201"/>
    <w:rsid w:val="00DC7268"/>
    <w:rsid w:val="00DC726A"/>
    <w:rsid w:val="00DC72A2"/>
    <w:rsid w:val="00DC7364"/>
    <w:rsid w:val="00DC738A"/>
    <w:rsid w:val="00DC73A1"/>
    <w:rsid w:val="00DC73A4"/>
    <w:rsid w:val="00DC73E0"/>
    <w:rsid w:val="00DC7441"/>
    <w:rsid w:val="00DC744D"/>
    <w:rsid w:val="00DC7483"/>
    <w:rsid w:val="00DC74C9"/>
    <w:rsid w:val="00DC754D"/>
    <w:rsid w:val="00DC7603"/>
    <w:rsid w:val="00DC765A"/>
    <w:rsid w:val="00DC7671"/>
    <w:rsid w:val="00DC7674"/>
    <w:rsid w:val="00DC768D"/>
    <w:rsid w:val="00DC7704"/>
    <w:rsid w:val="00DC773B"/>
    <w:rsid w:val="00DC77C5"/>
    <w:rsid w:val="00DC7823"/>
    <w:rsid w:val="00DC783B"/>
    <w:rsid w:val="00DC785F"/>
    <w:rsid w:val="00DC787A"/>
    <w:rsid w:val="00DC789D"/>
    <w:rsid w:val="00DC78D0"/>
    <w:rsid w:val="00DC78F3"/>
    <w:rsid w:val="00DC78F5"/>
    <w:rsid w:val="00DC7923"/>
    <w:rsid w:val="00DC792B"/>
    <w:rsid w:val="00DC7960"/>
    <w:rsid w:val="00DC7A2B"/>
    <w:rsid w:val="00DC7A4D"/>
    <w:rsid w:val="00DC7A8E"/>
    <w:rsid w:val="00DC7A97"/>
    <w:rsid w:val="00DC7AAD"/>
    <w:rsid w:val="00DC7AE9"/>
    <w:rsid w:val="00DC7AFC"/>
    <w:rsid w:val="00DC7B0E"/>
    <w:rsid w:val="00DC7B2E"/>
    <w:rsid w:val="00DC7B30"/>
    <w:rsid w:val="00DC7BC8"/>
    <w:rsid w:val="00DC7BED"/>
    <w:rsid w:val="00DC7C17"/>
    <w:rsid w:val="00DC7C54"/>
    <w:rsid w:val="00DC7C64"/>
    <w:rsid w:val="00DC7CAB"/>
    <w:rsid w:val="00DC7CB3"/>
    <w:rsid w:val="00DC7CD6"/>
    <w:rsid w:val="00DC7CD7"/>
    <w:rsid w:val="00DC7CE4"/>
    <w:rsid w:val="00DC7D21"/>
    <w:rsid w:val="00DC7D4E"/>
    <w:rsid w:val="00DC7D81"/>
    <w:rsid w:val="00DC7D9A"/>
    <w:rsid w:val="00DC7DFE"/>
    <w:rsid w:val="00DC7E20"/>
    <w:rsid w:val="00DC7E39"/>
    <w:rsid w:val="00DC7E6A"/>
    <w:rsid w:val="00DC7EA9"/>
    <w:rsid w:val="00DC7EFD"/>
    <w:rsid w:val="00DC7F81"/>
    <w:rsid w:val="00DC7FDA"/>
    <w:rsid w:val="00DD0066"/>
    <w:rsid w:val="00DD0079"/>
    <w:rsid w:val="00DD0087"/>
    <w:rsid w:val="00DD0096"/>
    <w:rsid w:val="00DD00BF"/>
    <w:rsid w:val="00DD00D7"/>
    <w:rsid w:val="00DD0140"/>
    <w:rsid w:val="00DD0168"/>
    <w:rsid w:val="00DD0178"/>
    <w:rsid w:val="00DD018B"/>
    <w:rsid w:val="00DD01AD"/>
    <w:rsid w:val="00DD01B1"/>
    <w:rsid w:val="00DD01E8"/>
    <w:rsid w:val="00DD01F6"/>
    <w:rsid w:val="00DD0215"/>
    <w:rsid w:val="00DD022D"/>
    <w:rsid w:val="00DD0276"/>
    <w:rsid w:val="00DD02A7"/>
    <w:rsid w:val="00DD02A9"/>
    <w:rsid w:val="00DD02B0"/>
    <w:rsid w:val="00DD02EC"/>
    <w:rsid w:val="00DD02F3"/>
    <w:rsid w:val="00DD0310"/>
    <w:rsid w:val="00DD0323"/>
    <w:rsid w:val="00DD0358"/>
    <w:rsid w:val="00DD038F"/>
    <w:rsid w:val="00DD03F6"/>
    <w:rsid w:val="00DD0428"/>
    <w:rsid w:val="00DD0443"/>
    <w:rsid w:val="00DD0495"/>
    <w:rsid w:val="00DD04B1"/>
    <w:rsid w:val="00DD0501"/>
    <w:rsid w:val="00DD058D"/>
    <w:rsid w:val="00DD059D"/>
    <w:rsid w:val="00DD05EF"/>
    <w:rsid w:val="00DD0601"/>
    <w:rsid w:val="00DD0653"/>
    <w:rsid w:val="00DD0685"/>
    <w:rsid w:val="00DD06F4"/>
    <w:rsid w:val="00DD074C"/>
    <w:rsid w:val="00DD0772"/>
    <w:rsid w:val="00DD0774"/>
    <w:rsid w:val="00DD07CD"/>
    <w:rsid w:val="00DD07CE"/>
    <w:rsid w:val="00DD07D1"/>
    <w:rsid w:val="00DD0810"/>
    <w:rsid w:val="00DD083D"/>
    <w:rsid w:val="00DD08B3"/>
    <w:rsid w:val="00DD08B4"/>
    <w:rsid w:val="00DD08E7"/>
    <w:rsid w:val="00DD08F2"/>
    <w:rsid w:val="00DD096F"/>
    <w:rsid w:val="00DD0972"/>
    <w:rsid w:val="00DD0982"/>
    <w:rsid w:val="00DD0994"/>
    <w:rsid w:val="00DD09E1"/>
    <w:rsid w:val="00DD09EA"/>
    <w:rsid w:val="00DD0A33"/>
    <w:rsid w:val="00DD0A55"/>
    <w:rsid w:val="00DD0A92"/>
    <w:rsid w:val="00DD0ADB"/>
    <w:rsid w:val="00DD0B07"/>
    <w:rsid w:val="00DD0B11"/>
    <w:rsid w:val="00DD0B8C"/>
    <w:rsid w:val="00DD0BC3"/>
    <w:rsid w:val="00DD0BDE"/>
    <w:rsid w:val="00DD0BDF"/>
    <w:rsid w:val="00DD0CD8"/>
    <w:rsid w:val="00DD0D15"/>
    <w:rsid w:val="00DD0D2B"/>
    <w:rsid w:val="00DD0D41"/>
    <w:rsid w:val="00DD0D58"/>
    <w:rsid w:val="00DD0E0A"/>
    <w:rsid w:val="00DD0E97"/>
    <w:rsid w:val="00DD0EB6"/>
    <w:rsid w:val="00DD0EFE"/>
    <w:rsid w:val="00DD0F1D"/>
    <w:rsid w:val="00DD0F5D"/>
    <w:rsid w:val="00DD0F62"/>
    <w:rsid w:val="00DD0FA3"/>
    <w:rsid w:val="00DD1050"/>
    <w:rsid w:val="00DD105D"/>
    <w:rsid w:val="00DD1076"/>
    <w:rsid w:val="00DD107C"/>
    <w:rsid w:val="00DD109F"/>
    <w:rsid w:val="00DD10A3"/>
    <w:rsid w:val="00DD10C0"/>
    <w:rsid w:val="00DD1100"/>
    <w:rsid w:val="00DD1105"/>
    <w:rsid w:val="00DD112D"/>
    <w:rsid w:val="00DD1162"/>
    <w:rsid w:val="00DD1186"/>
    <w:rsid w:val="00DD11A6"/>
    <w:rsid w:val="00DD11AF"/>
    <w:rsid w:val="00DD11E4"/>
    <w:rsid w:val="00DD121E"/>
    <w:rsid w:val="00DD125C"/>
    <w:rsid w:val="00DD12C8"/>
    <w:rsid w:val="00DD12CB"/>
    <w:rsid w:val="00DD131A"/>
    <w:rsid w:val="00DD132D"/>
    <w:rsid w:val="00DD1398"/>
    <w:rsid w:val="00DD13DB"/>
    <w:rsid w:val="00DD1468"/>
    <w:rsid w:val="00DD1470"/>
    <w:rsid w:val="00DD1478"/>
    <w:rsid w:val="00DD14C3"/>
    <w:rsid w:val="00DD14C7"/>
    <w:rsid w:val="00DD14DD"/>
    <w:rsid w:val="00DD14EF"/>
    <w:rsid w:val="00DD1509"/>
    <w:rsid w:val="00DD150E"/>
    <w:rsid w:val="00DD1514"/>
    <w:rsid w:val="00DD1527"/>
    <w:rsid w:val="00DD152C"/>
    <w:rsid w:val="00DD1541"/>
    <w:rsid w:val="00DD157F"/>
    <w:rsid w:val="00DD159C"/>
    <w:rsid w:val="00DD16B4"/>
    <w:rsid w:val="00DD16BE"/>
    <w:rsid w:val="00DD16CD"/>
    <w:rsid w:val="00DD16E8"/>
    <w:rsid w:val="00DD16EE"/>
    <w:rsid w:val="00DD1728"/>
    <w:rsid w:val="00DD1750"/>
    <w:rsid w:val="00DD17A3"/>
    <w:rsid w:val="00DD17A5"/>
    <w:rsid w:val="00DD181C"/>
    <w:rsid w:val="00DD184E"/>
    <w:rsid w:val="00DD186D"/>
    <w:rsid w:val="00DD1874"/>
    <w:rsid w:val="00DD18DD"/>
    <w:rsid w:val="00DD18EB"/>
    <w:rsid w:val="00DD18EC"/>
    <w:rsid w:val="00DD1907"/>
    <w:rsid w:val="00DD191A"/>
    <w:rsid w:val="00DD1992"/>
    <w:rsid w:val="00DD19D4"/>
    <w:rsid w:val="00DD19F2"/>
    <w:rsid w:val="00DD1A12"/>
    <w:rsid w:val="00DD1A38"/>
    <w:rsid w:val="00DD1A6D"/>
    <w:rsid w:val="00DD1AA1"/>
    <w:rsid w:val="00DD1B56"/>
    <w:rsid w:val="00DD1B99"/>
    <w:rsid w:val="00DD1BDA"/>
    <w:rsid w:val="00DD1C12"/>
    <w:rsid w:val="00DD1C30"/>
    <w:rsid w:val="00DD1C33"/>
    <w:rsid w:val="00DD1C47"/>
    <w:rsid w:val="00DD1D45"/>
    <w:rsid w:val="00DD1D86"/>
    <w:rsid w:val="00DD1DAE"/>
    <w:rsid w:val="00DD1DC7"/>
    <w:rsid w:val="00DD1E49"/>
    <w:rsid w:val="00DD1ED8"/>
    <w:rsid w:val="00DD1F16"/>
    <w:rsid w:val="00DD1F31"/>
    <w:rsid w:val="00DD1F66"/>
    <w:rsid w:val="00DD1F82"/>
    <w:rsid w:val="00DD1F87"/>
    <w:rsid w:val="00DD1FAE"/>
    <w:rsid w:val="00DD1FD3"/>
    <w:rsid w:val="00DD1FF2"/>
    <w:rsid w:val="00DD2022"/>
    <w:rsid w:val="00DD203B"/>
    <w:rsid w:val="00DD203E"/>
    <w:rsid w:val="00DD2090"/>
    <w:rsid w:val="00DD20AE"/>
    <w:rsid w:val="00DD20DC"/>
    <w:rsid w:val="00DD2118"/>
    <w:rsid w:val="00DD21B7"/>
    <w:rsid w:val="00DD21CC"/>
    <w:rsid w:val="00DD21D6"/>
    <w:rsid w:val="00DD21E0"/>
    <w:rsid w:val="00DD2224"/>
    <w:rsid w:val="00DD222D"/>
    <w:rsid w:val="00DD2247"/>
    <w:rsid w:val="00DD226B"/>
    <w:rsid w:val="00DD2299"/>
    <w:rsid w:val="00DD22F7"/>
    <w:rsid w:val="00DD2368"/>
    <w:rsid w:val="00DD2394"/>
    <w:rsid w:val="00DD23E2"/>
    <w:rsid w:val="00DD2415"/>
    <w:rsid w:val="00DD2585"/>
    <w:rsid w:val="00DD262E"/>
    <w:rsid w:val="00DD2655"/>
    <w:rsid w:val="00DD265E"/>
    <w:rsid w:val="00DD2676"/>
    <w:rsid w:val="00DD26A3"/>
    <w:rsid w:val="00DD26C4"/>
    <w:rsid w:val="00DD26C8"/>
    <w:rsid w:val="00DD26CB"/>
    <w:rsid w:val="00DD270F"/>
    <w:rsid w:val="00DD2778"/>
    <w:rsid w:val="00DD2797"/>
    <w:rsid w:val="00DD27B2"/>
    <w:rsid w:val="00DD280C"/>
    <w:rsid w:val="00DD28A3"/>
    <w:rsid w:val="00DD290C"/>
    <w:rsid w:val="00DD2922"/>
    <w:rsid w:val="00DD2956"/>
    <w:rsid w:val="00DD297D"/>
    <w:rsid w:val="00DD2983"/>
    <w:rsid w:val="00DD299F"/>
    <w:rsid w:val="00DD29A7"/>
    <w:rsid w:val="00DD29AD"/>
    <w:rsid w:val="00DD29CF"/>
    <w:rsid w:val="00DD2A1E"/>
    <w:rsid w:val="00DD2A42"/>
    <w:rsid w:val="00DD2A45"/>
    <w:rsid w:val="00DD2A50"/>
    <w:rsid w:val="00DD2A5E"/>
    <w:rsid w:val="00DD2A9F"/>
    <w:rsid w:val="00DD2AA7"/>
    <w:rsid w:val="00DD2AC2"/>
    <w:rsid w:val="00DD2B36"/>
    <w:rsid w:val="00DD2BD5"/>
    <w:rsid w:val="00DD2BDE"/>
    <w:rsid w:val="00DD2C12"/>
    <w:rsid w:val="00DD2C66"/>
    <w:rsid w:val="00DD2C7F"/>
    <w:rsid w:val="00DD2CD6"/>
    <w:rsid w:val="00DD2CE1"/>
    <w:rsid w:val="00DD2D07"/>
    <w:rsid w:val="00DD2D24"/>
    <w:rsid w:val="00DD2D29"/>
    <w:rsid w:val="00DD2D36"/>
    <w:rsid w:val="00DD2D8E"/>
    <w:rsid w:val="00DD2DA9"/>
    <w:rsid w:val="00DD2E1A"/>
    <w:rsid w:val="00DD2E4B"/>
    <w:rsid w:val="00DD2ECA"/>
    <w:rsid w:val="00DD2EFC"/>
    <w:rsid w:val="00DD2F41"/>
    <w:rsid w:val="00DD2F49"/>
    <w:rsid w:val="00DD2F71"/>
    <w:rsid w:val="00DD2F7C"/>
    <w:rsid w:val="00DD3035"/>
    <w:rsid w:val="00DD3060"/>
    <w:rsid w:val="00DD3067"/>
    <w:rsid w:val="00DD3073"/>
    <w:rsid w:val="00DD308A"/>
    <w:rsid w:val="00DD318A"/>
    <w:rsid w:val="00DD31A0"/>
    <w:rsid w:val="00DD320E"/>
    <w:rsid w:val="00DD3212"/>
    <w:rsid w:val="00DD327F"/>
    <w:rsid w:val="00DD328A"/>
    <w:rsid w:val="00DD32F6"/>
    <w:rsid w:val="00DD3340"/>
    <w:rsid w:val="00DD334C"/>
    <w:rsid w:val="00DD336F"/>
    <w:rsid w:val="00DD33BF"/>
    <w:rsid w:val="00DD344A"/>
    <w:rsid w:val="00DD347D"/>
    <w:rsid w:val="00DD34CE"/>
    <w:rsid w:val="00DD34E2"/>
    <w:rsid w:val="00DD350F"/>
    <w:rsid w:val="00DD3527"/>
    <w:rsid w:val="00DD3584"/>
    <w:rsid w:val="00DD35B4"/>
    <w:rsid w:val="00DD35E5"/>
    <w:rsid w:val="00DD3604"/>
    <w:rsid w:val="00DD3631"/>
    <w:rsid w:val="00DD367D"/>
    <w:rsid w:val="00DD36AC"/>
    <w:rsid w:val="00DD36BF"/>
    <w:rsid w:val="00DD36DB"/>
    <w:rsid w:val="00DD36F6"/>
    <w:rsid w:val="00DD3777"/>
    <w:rsid w:val="00DD37F4"/>
    <w:rsid w:val="00DD383C"/>
    <w:rsid w:val="00DD387F"/>
    <w:rsid w:val="00DD389C"/>
    <w:rsid w:val="00DD38CD"/>
    <w:rsid w:val="00DD3902"/>
    <w:rsid w:val="00DD3931"/>
    <w:rsid w:val="00DD3947"/>
    <w:rsid w:val="00DD3949"/>
    <w:rsid w:val="00DD3988"/>
    <w:rsid w:val="00DD3994"/>
    <w:rsid w:val="00DD399B"/>
    <w:rsid w:val="00DD39BD"/>
    <w:rsid w:val="00DD39EC"/>
    <w:rsid w:val="00DD39F0"/>
    <w:rsid w:val="00DD39F7"/>
    <w:rsid w:val="00DD39FF"/>
    <w:rsid w:val="00DD3A71"/>
    <w:rsid w:val="00DD3ABC"/>
    <w:rsid w:val="00DD3AEE"/>
    <w:rsid w:val="00DD3B3B"/>
    <w:rsid w:val="00DD3BBA"/>
    <w:rsid w:val="00DD3BC2"/>
    <w:rsid w:val="00DD3BC3"/>
    <w:rsid w:val="00DD3BD5"/>
    <w:rsid w:val="00DD3C12"/>
    <w:rsid w:val="00DD3C17"/>
    <w:rsid w:val="00DD3C27"/>
    <w:rsid w:val="00DD3C7E"/>
    <w:rsid w:val="00DD3CF6"/>
    <w:rsid w:val="00DD3CFF"/>
    <w:rsid w:val="00DD3D1C"/>
    <w:rsid w:val="00DD3D3B"/>
    <w:rsid w:val="00DD3D74"/>
    <w:rsid w:val="00DD3D8A"/>
    <w:rsid w:val="00DD3DBC"/>
    <w:rsid w:val="00DD3DCF"/>
    <w:rsid w:val="00DD3E5C"/>
    <w:rsid w:val="00DD3ECB"/>
    <w:rsid w:val="00DD3ED0"/>
    <w:rsid w:val="00DD3F5E"/>
    <w:rsid w:val="00DD3F6D"/>
    <w:rsid w:val="00DD400A"/>
    <w:rsid w:val="00DD401A"/>
    <w:rsid w:val="00DD40FB"/>
    <w:rsid w:val="00DD416E"/>
    <w:rsid w:val="00DD41AC"/>
    <w:rsid w:val="00DD41B7"/>
    <w:rsid w:val="00DD41C0"/>
    <w:rsid w:val="00DD41D7"/>
    <w:rsid w:val="00DD41E7"/>
    <w:rsid w:val="00DD4205"/>
    <w:rsid w:val="00DD4325"/>
    <w:rsid w:val="00DD436F"/>
    <w:rsid w:val="00DD43B7"/>
    <w:rsid w:val="00DD4453"/>
    <w:rsid w:val="00DD4497"/>
    <w:rsid w:val="00DD44BE"/>
    <w:rsid w:val="00DD4516"/>
    <w:rsid w:val="00DD457F"/>
    <w:rsid w:val="00DD466A"/>
    <w:rsid w:val="00DD4676"/>
    <w:rsid w:val="00DD4695"/>
    <w:rsid w:val="00DD471A"/>
    <w:rsid w:val="00DD4721"/>
    <w:rsid w:val="00DD4750"/>
    <w:rsid w:val="00DD4760"/>
    <w:rsid w:val="00DD476D"/>
    <w:rsid w:val="00DD4772"/>
    <w:rsid w:val="00DD4808"/>
    <w:rsid w:val="00DD480D"/>
    <w:rsid w:val="00DD481A"/>
    <w:rsid w:val="00DD4860"/>
    <w:rsid w:val="00DD4861"/>
    <w:rsid w:val="00DD4865"/>
    <w:rsid w:val="00DD4895"/>
    <w:rsid w:val="00DD489D"/>
    <w:rsid w:val="00DD4914"/>
    <w:rsid w:val="00DD496F"/>
    <w:rsid w:val="00DD498D"/>
    <w:rsid w:val="00DD4999"/>
    <w:rsid w:val="00DD4A43"/>
    <w:rsid w:val="00DD4AD1"/>
    <w:rsid w:val="00DD4AE1"/>
    <w:rsid w:val="00DD4B40"/>
    <w:rsid w:val="00DD4B7E"/>
    <w:rsid w:val="00DD4BBF"/>
    <w:rsid w:val="00DD4BFE"/>
    <w:rsid w:val="00DD4C5C"/>
    <w:rsid w:val="00DD4C74"/>
    <w:rsid w:val="00DD4CBE"/>
    <w:rsid w:val="00DD4D3F"/>
    <w:rsid w:val="00DD4D76"/>
    <w:rsid w:val="00DD4D82"/>
    <w:rsid w:val="00DD4ED9"/>
    <w:rsid w:val="00DD4EDB"/>
    <w:rsid w:val="00DD4EEE"/>
    <w:rsid w:val="00DD4EF8"/>
    <w:rsid w:val="00DD4F07"/>
    <w:rsid w:val="00DD4F0A"/>
    <w:rsid w:val="00DD4FAA"/>
    <w:rsid w:val="00DD4FD4"/>
    <w:rsid w:val="00DD4FDB"/>
    <w:rsid w:val="00DD5010"/>
    <w:rsid w:val="00DD502E"/>
    <w:rsid w:val="00DD504F"/>
    <w:rsid w:val="00DD507F"/>
    <w:rsid w:val="00DD50AB"/>
    <w:rsid w:val="00DD50CE"/>
    <w:rsid w:val="00DD50F6"/>
    <w:rsid w:val="00DD5115"/>
    <w:rsid w:val="00DD5211"/>
    <w:rsid w:val="00DD52CB"/>
    <w:rsid w:val="00DD52EA"/>
    <w:rsid w:val="00DD52EC"/>
    <w:rsid w:val="00DD538E"/>
    <w:rsid w:val="00DD5397"/>
    <w:rsid w:val="00DD53BD"/>
    <w:rsid w:val="00DD53CF"/>
    <w:rsid w:val="00DD53D6"/>
    <w:rsid w:val="00DD53F1"/>
    <w:rsid w:val="00DD53F2"/>
    <w:rsid w:val="00DD5419"/>
    <w:rsid w:val="00DD54CF"/>
    <w:rsid w:val="00DD54FD"/>
    <w:rsid w:val="00DD555E"/>
    <w:rsid w:val="00DD557A"/>
    <w:rsid w:val="00DD5591"/>
    <w:rsid w:val="00DD55DE"/>
    <w:rsid w:val="00DD5623"/>
    <w:rsid w:val="00DD564B"/>
    <w:rsid w:val="00DD56EE"/>
    <w:rsid w:val="00DD56FC"/>
    <w:rsid w:val="00DD5737"/>
    <w:rsid w:val="00DD5864"/>
    <w:rsid w:val="00DD588B"/>
    <w:rsid w:val="00DD58D1"/>
    <w:rsid w:val="00DD5915"/>
    <w:rsid w:val="00DD5920"/>
    <w:rsid w:val="00DD5959"/>
    <w:rsid w:val="00DD596B"/>
    <w:rsid w:val="00DD598F"/>
    <w:rsid w:val="00DD59CD"/>
    <w:rsid w:val="00DD59D6"/>
    <w:rsid w:val="00DD59D9"/>
    <w:rsid w:val="00DD5A16"/>
    <w:rsid w:val="00DD5A22"/>
    <w:rsid w:val="00DD5A6C"/>
    <w:rsid w:val="00DD5A86"/>
    <w:rsid w:val="00DD5A95"/>
    <w:rsid w:val="00DD5AAA"/>
    <w:rsid w:val="00DD5AB5"/>
    <w:rsid w:val="00DD5ABD"/>
    <w:rsid w:val="00DD5AC8"/>
    <w:rsid w:val="00DD5B03"/>
    <w:rsid w:val="00DD5BBB"/>
    <w:rsid w:val="00DD5BF7"/>
    <w:rsid w:val="00DD5C51"/>
    <w:rsid w:val="00DD5C5B"/>
    <w:rsid w:val="00DD5C7D"/>
    <w:rsid w:val="00DD5C95"/>
    <w:rsid w:val="00DD5C96"/>
    <w:rsid w:val="00DD5CB0"/>
    <w:rsid w:val="00DD5D2F"/>
    <w:rsid w:val="00DD5D85"/>
    <w:rsid w:val="00DD5D88"/>
    <w:rsid w:val="00DD5DD0"/>
    <w:rsid w:val="00DD5DEB"/>
    <w:rsid w:val="00DD5DF8"/>
    <w:rsid w:val="00DD5E7E"/>
    <w:rsid w:val="00DD5EC8"/>
    <w:rsid w:val="00DD5F32"/>
    <w:rsid w:val="00DD5F73"/>
    <w:rsid w:val="00DD5F82"/>
    <w:rsid w:val="00DD5FCC"/>
    <w:rsid w:val="00DD5FCF"/>
    <w:rsid w:val="00DD5FE8"/>
    <w:rsid w:val="00DD6021"/>
    <w:rsid w:val="00DD6027"/>
    <w:rsid w:val="00DD6107"/>
    <w:rsid w:val="00DD617F"/>
    <w:rsid w:val="00DD6198"/>
    <w:rsid w:val="00DD61CD"/>
    <w:rsid w:val="00DD61CE"/>
    <w:rsid w:val="00DD61EB"/>
    <w:rsid w:val="00DD622B"/>
    <w:rsid w:val="00DD625D"/>
    <w:rsid w:val="00DD6278"/>
    <w:rsid w:val="00DD62B4"/>
    <w:rsid w:val="00DD62E0"/>
    <w:rsid w:val="00DD62E3"/>
    <w:rsid w:val="00DD62ED"/>
    <w:rsid w:val="00DD62FA"/>
    <w:rsid w:val="00DD633E"/>
    <w:rsid w:val="00DD6357"/>
    <w:rsid w:val="00DD635C"/>
    <w:rsid w:val="00DD637C"/>
    <w:rsid w:val="00DD642C"/>
    <w:rsid w:val="00DD6439"/>
    <w:rsid w:val="00DD643D"/>
    <w:rsid w:val="00DD6479"/>
    <w:rsid w:val="00DD64AA"/>
    <w:rsid w:val="00DD6521"/>
    <w:rsid w:val="00DD655C"/>
    <w:rsid w:val="00DD65F3"/>
    <w:rsid w:val="00DD661F"/>
    <w:rsid w:val="00DD6636"/>
    <w:rsid w:val="00DD6699"/>
    <w:rsid w:val="00DD66A7"/>
    <w:rsid w:val="00DD66B4"/>
    <w:rsid w:val="00DD66DD"/>
    <w:rsid w:val="00DD6705"/>
    <w:rsid w:val="00DD6788"/>
    <w:rsid w:val="00DD67A2"/>
    <w:rsid w:val="00DD6813"/>
    <w:rsid w:val="00DD6855"/>
    <w:rsid w:val="00DD689C"/>
    <w:rsid w:val="00DD68F7"/>
    <w:rsid w:val="00DD690D"/>
    <w:rsid w:val="00DD6954"/>
    <w:rsid w:val="00DD6958"/>
    <w:rsid w:val="00DD699D"/>
    <w:rsid w:val="00DD69AD"/>
    <w:rsid w:val="00DD69C4"/>
    <w:rsid w:val="00DD6A10"/>
    <w:rsid w:val="00DD6A17"/>
    <w:rsid w:val="00DD6A26"/>
    <w:rsid w:val="00DD6A30"/>
    <w:rsid w:val="00DD6A4B"/>
    <w:rsid w:val="00DD6A4E"/>
    <w:rsid w:val="00DD6A60"/>
    <w:rsid w:val="00DD6AD7"/>
    <w:rsid w:val="00DD6AF9"/>
    <w:rsid w:val="00DD6B09"/>
    <w:rsid w:val="00DD6B17"/>
    <w:rsid w:val="00DD6B74"/>
    <w:rsid w:val="00DD6B9A"/>
    <w:rsid w:val="00DD6BA8"/>
    <w:rsid w:val="00DD6C2E"/>
    <w:rsid w:val="00DD6C61"/>
    <w:rsid w:val="00DD6C88"/>
    <w:rsid w:val="00DD6CBC"/>
    <w:rsid w:val="00DD6CCB"/>
    <w:rsid w:val="00DD6CDC"/>
    <w:rsid w:val="00DD6D09"/>
    <w:rsid w:val="00DD6D15"/>
    <w:rsid w:val="00DD6D91"/>
    <w:rsid w:val="00DD6DCF"/>
    <w:rsid w:val="00DD6EDE"/>
    <w:rsid w:val="00DD6EFA"/>
    <w:rsid w:val="00DD6F9E"/>
    <w:rsid w:val="00DD6FD1"/>
    <w:rsid w:val="00DD6FF9"/>
    <w:rsid w:val="00DD6FFD"/>
    <w:rsid w:val="00DD701D"/>
    <w:rsid w:val="00DD7036"/>
    <w:rsid w:val="00DD70D8"/>
    <w:rsid w:val="00DD7137"/>
    <w:rsid w:val="00DD7188"/>
    <w:rsid w:val="00DD71D4"/>
    <w:rsid w:val="00DD71DE"/>
    <w:rsid w:val="00DD71FD"/>
    <w:rsid w:val="00DD723E"/>
    <w:rsid w:val="00DD7269"/>
    <w:rsid w:val="00DD7381"/>
    <w:rsid w:val="00DD7420"/>
    <w:rsid w:val="00DD7422"/>
    <w:rsid w:val="00DD7495"/>
    <w:rsid w:val="00DD74A6"/>
    <w:rsid w:val="00DD7553"/>
    <w:rsid w:val="00DD7585"/>
    <w:rsid w:val="00DD75E8"/>
    <w:rsid w:val="00DD763E"/>
    <w:rsid w:val="00DD7672"/>
    <w:rsid w:val="00DD7678"/>
    <w:rsid w:val="00DD7698"/>
    <w:rsid w:val="00DD76E9"/>
    <w:rsid w:val="00DD7741"/>
    <w:rsid w:val="00DD7742"/>
    <w:rsid w:val="00DD776D"/>
    <w:rsid w:val="00DD77AB"/>
    <w:rsid w:val="00DD77C5"/>
    <w:rsid w:val="00DD7834"/>
    <w:rsid w:val="00DD7889"/>
    <w:rsid w:val="00DD796F"/>
    <w:rsid w:val="00DD79DD"/>
    <w:rsid w:val="00DD79DE"/>
    <w:rsid w:val="00DD7A23"/>
    <w:rsid w:val="00DD7A7A"/>
    <w:rsid w:val="00DD7AA2"/>
    <w:rsid w:val="00DD7ACD"/>
    <w:rsid w:val="00DD7AD7"/>
    <w:rsid w:val="00DD7B69"/>
    <w:rsid w:val="00DD7BAD"/>
    <w:rsid w:val="00DD7CB1"/>
    <w:rsid w:val="00DD7D09"/>
    <w:rsid w:val="00DD7D2E"/>
    <w:rsid w:val="00DD7D9B"/>
    <w:rsid w:val="00DD7DD2"/>
    <w:rsid w:val="00DD7E43"/>
    <w:rsid w:val="00DD7EBF"/>
    <w:rsid w:val="00DD7EF7"/>
    <w:rsid w:val="00DD7F07"/>
    <w:rsid w:val="00DD7F12"/>
    <w:rsid w:val="00DD7F29"/>
    <w:rsid w:val="00DD7FD6"/>
    <w:rsid w:val="00DE00C3"/>
    <w:rsid w:val="00DE0106"/>
    <w:rsid w:val="00DE0122"/>
    <w:rsid w:val="00DE016C"/>
    <w:rsid w:val="00DE023D"/>
    <w:rsid w:val="00DE0253"/>
    <w:rsid w:val="00DE0270"/>
    <w:rsid w:val="00DE02B8"/>
    <w:rsid w:val="00DE02C4"/>
    <w:rsid w:val="00DE02DA"/>
    <w:rsid w:val="00DE02DB"/>
    <w:rsid w:val="00DE02E1"/>
    <w:rsid w:val="00DE034E"/>
    <w:rsid w:val="00DE036D"/>
    <w:rsid w:val="00DE0371"/>
    <w:rsid w:val="00DE03AE"/>
    <w:rsid w:val="00DE03C7"/>
    <w:rsid w:val="00DE03F9"/>
    <w:rsid w:val="00DE041C"/>
    <w:rsid w:val="00DE0480"/>
    <w:rsid w:val="00DE04C7"/>
    <w:rsid w:val="00DE04E5"/>
    <w:rsid w:val="00DE04FA"/>
    <w:rsid w:val="00DE04FD"/>
    <w:rsid w:val="00DE050A"/>
    <w:rsid w:val="00DE05BC"/>
    <w:rsid w:val="00DE05D1"/>
    <w:rsid w:val="00DE05EF"/>
    <w:rsid w:val="00DE063C"/>
    <w:rsid w:val="00DE06A4"/>
    <w:rsid w:val="00DE06DA"/>
    <w:rsid w:val="00DE0706"/>
    <w:rsid w:val="00DE0718"/>
    <w:rsid w:val="00DE0750"/>
    <w:rsid w:val="00DE07F5"/>
    <w:rsid w:val="00DE07F9"/>
    <w:rsid w:val="00DE0835"/>
    <w:rsid w:val="00DE086B"/>
    <w:rsid w:val="00DE08AB"/>
    <w:rsid w:val="00DE08F3"/>
    <w:rsid w:val="00DE099D"/>
    <w:rsid w:val="00DE09BD"/>
    <w:rsid w:val="00DE09D3"/>
    <w:rsid w:val="00DE09EE"/>
    <w:rsid w:val="00DE0A0F"/>
    <w:rsid w:val="00DE0A69"/>
    <w:rsid w:val="00DE0AD5"/>
    <w:rsid w:val="00DE0B2C"/>
    <w:rsid w:val="00DE0B5C"/>
    <w:rsid w:val="00DE0BBD"/>
    <w:rsid w:val="00DE0BDB"/>
    <w:rsid w:val="00DE0C06"/>
    <w:rsid w:val="00DE0C0F"/>
    <w:rsid w:val="00DE0C6F"/>
    <w:rsid w:val="00DE0CB8"/>
    <w:rsid w:val="00DE0CE0"/>
    <w:rsid w:val="00DE0D89"/>
    <w:rsid w:val="00DE0E91"/>
    <w:rsid w:val="00DE0EDD"/>
    <w:rsid w:val="00DE0F28"/>
    <w:rsid w:val="00DE0F35"/>
    <w:rsid w:val="00DE0F65"/>
    <w:rsid w:val="00DE0F7D"/>
    <w:rsid w:val="00DE0F8D"/>
    <w:rsid w:val="00DE0F9E"/>
    <w:rsid w:val="00DE0FA5"/>
    <w:rsid w:val="00DE0FE2"/>
    <w:rsid w:val="00DE1010"/>
    <w:rsid w:val="00DE105A"/>
    <w:rsid w:val="00DE1076"/>
    <w:rsid w:val="00DE110D"/>
    <w:rsid w:val="00DE110F"/>
    <w:rsid w:val="00DE126D"/>
    <w:rsid w:val="00DE12C3"/>
    <w:rsid w:val="00DE12D6"/>
    <w:rsid w:val="00DE12E6"/>
    <w:rsid w:val="00DE1331"/>
    <w:rsid w:val="00DE1335"/>
    <w:rsid w:val="00DE134E"/>
    <w:rsid w:val="00DE1384"/>
    <w:rsid w:val="00DE13D8"/>
    <w:rsid w:val="00DE13EA"/>
    <w:rsid w:val="00DE13EF"/>
    <w:rsid w:val="00DE1401"/>
    <w:rsid w:val="00DE1428"/>
    <w:rsid w:val="00DE143E"/>
    <w:rsid w:val="00DE144B"/>
    <w:rsid w:val="00DE14F1"/>
    <w:rsid w:val="00DE1562"/>
    <w:rsid w:val="00DE15A7"/>
    <w:rsid w:val="00DE1610"/>
    <w:rsid w:val="00DE1635"/>
    <w:rsid w:val="00DE16A8"/>
    <w:rsid w:val="00DE16D5"/>
    <w:rsid w:val="00DE1711"/>
    <w:rsid w:val="00DE1729"/>
    <w:rsid w:val="00DE175C"/>
    <w:rsid w:val="00DE17A0"/>
    <w:rsid w:val="00DE17AC"/>
    <w:rsid w:val="00DE17BD"/>
    <w:rsid w:val="00DE1828"/>
    <w:rsid w:val="00DE1842"/>
    <w:rsid w:val="00DE185D"/>
    <w:rsid w:val="00DE187D"/>
    <w:rsid w:val="00DE187F"/>
    <w:rsid w:val="00DE18CC"/>
    <w:rsid w:val="00DE195D"/>
    <w:rsid w:val="00DE19B6"/>
    <w:rsid w:val="00DE19D4"/>
    <w:rsid w:val="00DE19DB"/>
    <w:rsid w:val="00DE1A31"/>
    <w:rsid w:val="00DE1A43"/>
    <w:rsid w:val="00DE1A8D"/>
    <w:rsid w:val="00DE1AA7"/>
    <w:rsid w:val="00DE1B04"/>
    <w:rsid w:val="00DE1B26"/>
    <w:rsid w:val="00DE1B37"/>
    <w:rsid w:val="00DE1B70"/>
    <w:rsid w:val="00DE1B83"/>
    <w:rsid w:val="00DE1BA9"/>
    <w:rsid w:val="00DE1BB2"/>
    <w:rsid w:val="00DE1BE8"/>
    <w:rsid w:val="00DE1C1D"/>
    <w:rsid w:val="00DE1C31"/>
    <w:rsid w:val="00DE1CA1"/>
    <w:rsid w:val="00DE1D0D"/>
    <w:rsid w:val="00DE1D36"/>
    <w:rsid w:val="00DE1D5B"/>
    <w:rsid w:val="00DE1DC2"/>
    <w:rsid w:val="00DE1DC4"/>
    <w:rsid w:val="00DE1DF7"/>
    <w:rsid w:val="00DE1E02"/>
    <w:rsid w:val="00DE1E2B"/>
    <w:rsid w:val="00DE1E3F"/>
    <w:rsid w:val="00DE1E50"/>
    <w:rsid w:val="00DE1ED2"/>
    <w:rsid w:val="00DE1ED7"/>
    <w:rsid w:val="00DE1F32"/>
    <w:rsid w:val="00DE1FCC"/>
    <w:rsid w:val="00DE1FF6"/>
    <w:rsid w:val="00DE2004"/>
    <w:rsid w:val="00DE200B"/>
    <w:rsid w:val="00DE201F"/>
    <w:rsid w:val="00DE203D"/>
    <w:rsid w:val="00DE2121"/>
    <w:rsid w:val="00DE213B"/>
    <w:rsid w:val="00DE2166"/>
    <w:rsid w:val="00DE21B0"/>
    <w:rsid w:val="00DE223D"/>
    <w:rsid w:val="00DE2270"/>
    <w:rsid w:val="00DE22A6"/>
    <w:rsid w:val="00DE22AD"/>
    <w:rsid w:val="00DE22EB"/>
    <w:rsid w:val="00DE22FF"/>
    <w:rsid w:val="00DE233D"/>
    <w:rsid w:val="00DE2381"/>
    <w:rsid w:val="00DE23E1"/>
    <w:rsid w:val="00DE240B"/>
    <w:rsid w:val="00DE2440"/>
    <w:rsid w:val="00DE2462"/>
    <w:rsid w:val="00DE249A"/>
    <w:rsid w:val="00DE24A1"/>
    <w:rsid w:val="00DE24C6"/>
    <w:rsid w:val="00DE24E1"/>
    <w:rsid w:val="00DE2516"/>
    <w:rsid w:val="00DE2584"/>
    <w:rsid w:val="00DE2588"/>
    <w:rsid w:val="00DE25AC"/>
    <w:rsid w:val="00DE25B9"/>
    <w:rsid w:val="00DE25C7"/>
    <w:rsid w:val="00DE26B9"/>
    <w:rsid w:val="00DE26C1"/>
    <w:rsid w:val="00DE26C3"/>
    <w:rsid w:val="00DE26DE"/>
    <w:rsid w:val="00DE2712"/>
    <w:rsid w:val="00DE2733"/>
    <w:rsid w:val="00DE273B"/>
    <w:rsid w:val="00DE2743"/>
    <w:rsid w:val="00DE2768"/>
    <w:rsid w:val="00DE276C"/>
    <w:rsid w:val="00DE277B"/>
    <w:rsid w:val="00DE277D"/>
    <w:rsid w:val="00DE2787"/>
    <w:rsid w:val="00DE27A6"/>
    <w:rsid w:val="00DE27CC"/>
    <w:rsid w:val="00DE2851"/>
    <w:rsid w:val="00DE2854"/>
    <w:rsid w:val="00DE2966"/>
    <w:rsid w:val="00DE2970"/>
    <w:rsid w:val="00DE2979"/>
    <w:rsid w:val="00DE2980"/>
    <w:rsid w:val="00DE29F6"/>
    <w:rsid w:val="00DE29F7"/>
    <w:rsid w:val="00DE2AA2"/>
    <w:rsid w:val="00DE2AE9"/>
    <w:rsid w:val="00DE2B63"/>
    <w:rsid w:val="00DE2B74"/>
    <w:rsid w:val="00DE2B8C"/>
    <w:rsid w:val="00DE2B90"/>
    <w:rsid w:val="00DE2C59"/>
    <w:rsid w:val="00DE2C8D"/>
    <w:rsid w:val="00DE2C8F"/>
    <w:rsid w:val="00DE2CDA"/>
    <w:rsid w:val="00DE2D14"/>
    <w:rsid w:val="00DE2D34"/>
    <w:rsid w:val="00DE2D53"/>
    <w:rsid w:val="00DE2DDA"/>
    <w:rsid w:val="00DE2E18"/>
    <w:rsid w:val="00DE2E26"/>
    <w:rsid w:val="00DE2E4E"/>
    <w:rsid w:val="00DE2EAF"/>
    <w:rsid w:val="00DE2F5F"/>
    <w:rsid w:val="00DE2FAF"/>
    <w:rsid w:val="00DE2FE2"/>
    <w:rsid w:val="00DE305A"/>
    <w:rsid w:val="00DE30AD"/>
    <w:rsid w:val="00DE30CA"/>
    <w:rsid w:val="00DE30FF"/>
    <w:rsid w:val="00DE3101"/>
    <w:rsid w:val="00DE310A"/>
    <w:rsid w:val="00DE310E"/>
    <w:rsid w:val="00DE3117"/>
    <w:rsid w:val="00DE3148"/>
    <w:rsid w:val="00DE3161"/>
    <w:rsid w:val="00DE317D"/>
    <w:rsid w:val="00DE31A9"/>
    <w:rsid w:val="00DE31B8"/>
    <w:rsid w:val="00DE31D8"/>
    <w:rsid w:val="00DE321E"/>
    <w:rsid w:val="00DE3222"/>
    <w:rsid w:val="00DE3226"/>
    <w:rsid w:val="00DE324C"/>
    <w:rsid w:val="00DE3281"/>
    <w:rsid w:val="00DE32A8"/>
    <w:rsid w:val="00DE32AF"/>
    <w:rsid w:val="00DE3335"/>
    <w:rsid w:val="00DE3338"/>
    <w:rsid w:val="00DE3365"/>
    <w:rsid w:val="00DE3390"/>
    <w:rsid w:val="00DE3399"/>
    <w:rsid w:val="00DE33B8"/>
    <w:rsid w:val="00DE33F2"/>
    <w:rsid w:val="00DE33F6"/>
    <w:rsid w:val="00DE33F8"/>
    <w:rsid w:val="00DE3433"/>
    <w:rsid w:val="00DE343E"/>
    <w:rsid w:val="00DE3460"/>
    <w:rsid w:val="00DE3470"/>
    <w:rsid w:val="00DE3472"/>
    <w:rsid w:val="00DE3494"/>
    <w:rsid w:val="00DE34C4"/>
    <w:rsid w:val="00DE34F2"/>
    <w:rsid w:val="00DE360C"/>
    <w:rsid w:val="00DE3614"/>
    <w:rsid w:val="00DE361D"/>
    <w:rsid w:val="00DE3644"/>
    <w:rsid w:val="00DE3662"/>
    <w:rsid w:val="00DE368D"/>
    <w:rsid w:val="00DE3691"/>
    <w:rsid w:val="00DE369F"/>
    <w:rsid w:val="00DE372C"/>
    <w:rsid w:val="00DE3781"/>
    <w:rsid w:val="00DE37B8"/>
    <w:rsid w:val="00DE37D5"/>
    <w:rsid w:val="00DE381E"/>
    <w:rsid w:val="00DE382D"/>
    <w:rsid w:val="00DE3851"/>
    <w:rsid w:val="00DE3865"/>
    <w:rsid w:val="00DE388F"/>
    <w:rsid w:val="00DE38AA"/>
    <w:rsid w:val="00DE38C5"/>
    <w:rsid w:val="00DE38F3"/>
    <w:rsid w:val="00DE3978"/>
    <w:rsid w:val="00DE398B"/>
    <w:rsid w:val="00DE39AF"/>
    <w:rsid w:val="00DE39B5"/>
    <w:rsid w:val="00DE3A20"/>
    <w:rsid w:val="00DE3A26"/>
    <w:rsid w:val="00DE3A3D"/>
    <w:rsid w:val="00DE3A62"/>
    <w:rsid w:val="00DE3B29"/>
    <w:rsid w:val="00DE3B37"/>
    <w:rsid w:val="00DE3BB3"/>
    <w:rsid w:val="00DE3BCB"/>
    <w:rsid w:val="00DE3CB3"/>
    <w:rsid w:val="00DE3CCD"/>
    <w:rsid w:val="00DE3D01"/>
    <w:rsid w:val="00DE3D84"/>
    <w:rsid w:val="00DE3DAA"/>
    <w:rsid w:val="00DE3DC7"/>
    <w:rsid w:val="00DE3DCF"/>
    <w:rsid w:val="00DE3E03"/>
    <w:rsid w:val="00DE3E46"/>
    <w:rsid w:val="00DE3E9A"/>
    <w:rsid w:val="00DE3EF9"/>
    <w:rsid w:val="00DE3F13"/>
    <w:rsid w:val="00DE3F16"/>
    <w:rsid w:val="00DE3F4E"/>
    <w:rsid w:val="00DE3FC6"/>
    <w:rsid w:val="00DE402A"/>
    <w:rsid w:val="00DE4084"/>
    <w:rsid w:val="00DE4094"/>
    <w:rsid w:val="00DE41B9"/>
    <w:rsid w:val="00DE41BA"/>
    <w:rsid w:val="00DE421D"/>
    <w:rsid w:val="00DE4275"/>
    <w:rsid w:val="00DE42AF"/>
    <w:rsid w:val="00DE42C1"/>
    <w:rsid w:val="00DE42ED"/>
    <w:rsid w:val="00DE431F"/>
    <w:rsid w:val="00DE4338"/>
    <w:rsid w:val="00DE433F"/>
    <w:rsid w:val="00DE4362"/>
    <w:rsid w:val="00DE4372"/>
    <w:rsid w:val="00DE4382"/>
    <w:rsid w:val="00DE440A"/>
    <w:rsid w:val="00DE4456"/>
    <w:rsid w:val="00DE447B"/>
    <w:rsid w:val="00DE4486"/>
    <w:rsid w:val="00DE448F"/>
    <w:rsid w:val="00DE4491"/>
    <w:rsid w:val="00DE44BD"/>
    <w:rsid w:val="00DE456C"/>
    <w:rsid w:val="00DE45CC"/>
    <w:rsid w:val="00DE45D1"/>
    <w:rsid w:val="00DE45DB"/>
    <w:rsid w:val="00DE45F5"/>
    <w:rsid w:val="00DE4619"/>
    <w:rsid w:val="00DE4624"/>
    <w:rsid w:val="00DE4666"/>
    <w:rsid w:val="00DE46BD"/>
    <w:rsid w:val="00DE46DC"/>
    <w:rsid w:val="00DE473D"/>
    <w:rsid w:val="00DE473F"/>
    <w:rsid w:val="00DE4795"/>
    <w:rsid w:val="00DE479A"/>
    <w:rsid w:val="00DE47B7"/>
    <w:rsid w:val="00DE47EA"/>
    <w:rsid w:val="00DE4884"/>
    <w:rsid w:val="00DE4896"/>
    <w:rsid w:val="00DE48D6"/>
    <w:rsid w:val="00DE4902"/>
    <w:rsid w:val="00DE491D"/>
    <w:rsid w:val="00DE4921"/>
    <w:rsid w:val="00DE49AF"/>
    <w:rsid w:val="00DE49B8"/>
    <w:rsid w:val="00DE4A1F"/>
    <w:rsid w:val="00DE4A46"/>
    <w:rsid w:val="00DE4A5F"/>
    <w:rsid w:val="00DE4A66"/>
    <w:rsid w:val="00DE4A81"/>
    <w:rsid w:val="00DE4AB3"/>
    <w:rsid w:val="00DE4AB5"/>
    <w:rsid w:val="00DE4B50"/>
    <w:rsid w:val="00DE4B65"/>
    <w:rsid w:val="00DE4B9D"/>
    <w:rsid w:val="00DE4BAB"/>
    <w:rsid w:val="00DE4BCF"/>
    <w:rsid w:val="00DE4BD4"/>
    <w:rsid w:val="00DE4BE6"/>
    <w:rsid w:val="00DE4C18"/>
    <w:rsid w:val="00DE4CB2"/>
    <w:rsid w:val="00DE4CC6"/>
    <w:rsid w:val="00DE4CEA"/>
    <w:rsid w:val="00DE4CEE"/>
    <w:rsid w:val="00DE4D03"/>
    <w:rsid w:val="00DE4D1F"/>
    <w:rsid w:val="00DE4D92"/>
    <w:rsid w:val="00DE4DC3"/>
    <w:rsid w:val="00DE4DF3"/>
    <w:rsid w:val="00DE4DF9"/>
    <w:rsid w:val="00DE4E4F"/>
    <w:rsid w:val="00DE4E55"/>
    <w:rsid w:val="00DE4E5F"/>
    <w:rsid w:val="00DE4E92"/>
    <w:rsid w:val="00DE4EA6"/>
    <w:rsid w:val="00DE4EA8"/>
    <w:rsid w:val="00DE4ECC"/>
    <w:rsid w:val="00DE4ED6"/>
    <w:rsid w:val="00DE4EDE"/>
    <w:rsid w:val="00DE4F11"/>
    <w:rsid w:val="00DE4FF1"/>
    <w:rsid w:val="00DE5040"/>
    <w:rsid w:val="00DE5077"/>
    <w:rsid w:val="00DE50A0"/>
    <w:rsid w:val="00DE5139"/>
    <w:rsid w:val="00DE5187"/>
    <w:rsid w:val="00DE5196"/>
    <w:rsid w:val="00DE519B"/>
    <w:rsid w:val="00DE51BD"/>
    <w:rsid w:val="00DE51C8"/>
    <w:rsid w:val="00DE51D0"/>
    <w:rsid w:val="00DE51F4"/>
    <w:rsid w:val="00DE51FF"/>
    <w:rsid w:val="00DE5215"/>
    <w:rsid w:val="00DE5219"/>
    <w:rsid w:val="00DE5281"/>
    <w:rsid w:val="00DE52B0"/>
    <w:rsid w:val="00DE52CC"/>
    <w:rsid w:val="00DE52EB"/>
    <w:rsid w:val="00DE5360"/>
    <w:rsid w:val="00DE53A5"/>
    <w:rsid w:val="00DE5435"/>
    <w:rsid w:val="00DE5460"/>
    <w:rsid w:val="00DE546F"/>
    <w:rsid w:val="00DE5491"/>
    <w:rsid w:val="00DE54A0"/>
    <w:rsid w:val="00DE54BC"/>
    <w:rsid w:val="00DE54C9"/>
    <w:rsid w:val="00DE54DE"/>
    <w:rsid w:val="00DE54E2"/>
    <w:rsid w:val="00DE556A"/>
    <w:rsid w:val="00DE5578"/>
    <w:rsid w:val="00DE558D"/>
    <w:rsid w:val="00DE55B4"/>
    <w:rsid w:val="00DE55EB"/>
    <w:rsid w:val="00DE561C"/>
    <w:rsid w:val="00DE563B"/>
    <w:rsid w:val="00DE5656"/>
    <w:rsid w:val="00DE5677"/>
    <w:rsid w:val="00DE567F"/>
    <w:rsid w:val="00DE56C5"/>
    <w:rsid w:val="00DE5714"/>
    <w:rsid w:val="00DE571A"/>
    <w:rsid w:val="00DE5737"/>
    <w:rsid w:val="00DE576F"/>
    <w:rsid w:val="00DE5774"/>
    <w:rsid w:val="00DE57AB"/>
    <w:rsid w:val="00DE58A9"/>
    <w:rsid w:val="00DE5935"/>
    <w:rsid w:val="00DE5938"/>
    <w:rsid w:val="00DE5945"/>
    <w:rsid w:val="00DE59C5"/>
    <w:rsid w:val="00DE59D9"/>
    <w:rsid w:val="00DE5A00"/>
    <w:rsid w:val="00DE5A7C"/>
    <w:rsid w:val="00DE5AF6"/>
    <w:rsid w:val="00DE5B1B"/>
    <w:rsid w:val="00DE5B37"/>
    <w:rsid w:val="00DE5B48"/>
    <w:rsid w:val="00DE5B4C"/>
    <w:rsid w:val="00DE5B5D"/>
    <w:rsid w:val="00DE5B83"/>
    <w:rsid w:val="00DE5BBB"/>
    <w:rsid w:val="00DE5BC2"/>
    <w:rsid w:val="00DE5BE8"/>
    <w:rsid w:val="00DE5C53"/>
    <w:rsid w:val="00DE5D87"/>
    <w:rsid w:val="00DE5DD1"/>
    <w:rsid w:val="00DE5E09"/>
    <w:rsid w:val="00DE5E44"/>
    <w:rsid w:val="00DE5E88"/>
    <w:rsid w:val="00DE5EAC"/>
    <w:rsid w:val="00DE5EC0"/>
    <w:rsid w:val="00DE5F20"/>
    <w:rsid w:val="00DE5F6A"/>
    <w:rsid w:val="00DE5F81"/>
    <w:rsid w:val="00DE5F96"/>
    <w:rsid w:val="00DE5FAD"/>
    <w:rsid w:val="00DE6037"/>
    <w:rsid w:val="00DE6078"/>
    <w:rsid w:val="00DE60C9"/>
    <w:rsid w:val="00DE60CF"/>
    <w:rsid w:val="00DE6132"/>
    <w:rsid w:val="00DE613A"/>
    <w:rsid w:val="00DE629F"/>
    <w:rsid w:val="00DE62F0"/>
    <w:rsid w:val="00DE6301"/>
    <w:rsid w:val="00DE632A"/>
    <w:rsid w:val="00DE632D"/>
    <w:rsid w:val="00DE6388"/>
    <w:rsid w:val="00DE638A"/>
    <w:rsid w:val="00DE63F0"/>
    <w:rsid w:val="00DE6422"/>
    <w:rsid w:val="00DE6470"/>
    <w:rsid w:val="00DE647B"/>
    <w:rsid w:val="00DE6480"/>
    <w:rsid w:val="00DE64B1"/>
    <w:rsid w:val="00DE64D1"/>
    <w:rsid w:val="00DE655A"/>
    <w:rsid w:val="00DE657C"/>
    <w:rsid w:val="00DE6591"/>
    <w:rsid w:val="00DE65B8"/>
    <w:rsid w:val="00DE662D"/>
    <w:rsid w:val="00DE6633"/>
    <w:rsid w:val="00DE6657"/>
    <w:rsid w:val="00DE6661"/>
    <w:rsid w:val="00DE66A7"/>
    <w:rsid w:val="00DE66BF"/>
    <w:rsid w:val="00DE66CB"/>
    <w:rsid w:val="00DE66E2"/>
    <w:rsid w:val="00DE66F4"/>
    <w:rsid w:val="00DE6746"/>
    <w:rsid w:val="00DE67A0"/>
    <w:rsid w:val="00DE67C3"/>
    <w:rsid w:val="00DE67D1"/>
    <w:rsid w:val="00DE67FD"/>
    <w:rsid w:val="00DE6837"/>
    <w:rsid w:val="00DE6893"/>
    <w:rsid w:val="00DE68B2"/>
    <w:rsid w:val="00DE68E3"/>
    <w:rsid w:val="00DE68E5"/>
    <w:rsid w:val="00DE691C"/>
    <w:rsid w:val="00DE6A38"/>
    <w:rsid w:val="00DE6A4A"/>
    <w:rsid w:val="00DE6A81"/>
    <w:rsid w:val="00DE6A8A"/>
    <w:rsid w:val="00DE6A8F"/>
    <w:rsid w:val="00DE6AD5"/>
    <w:rsid w:val="00DE6AEB"/>
    <w:rsid w:val="00DE6B55"/>
    <w:rsid w:val="00DE6B65"/>
    <w:rsid w:val="00DE6BC1"/>
    <w:rsid w:val="00DE6C1C"/>
    <w:rsid w:val="00DE6CFD"/>
    <w:rsid w:val="00DE6D2E"/>
    <w:rsid w:val="00DE6E53"/>
    <w:rsid w:val="00DE6E78"/>
    <w:rsid w:val="00DE6E7E"/>
    <w:rsid w:val="00DE6F06"/>
    <w:rsid w:val="00DE6F22"/>
    <w:rsid w:val="00DE6F48"/>
    <w:rsid w:val="00DE6F52"/>
    <w:rsid w:val="00DE6F71"/>
    <w:rsid w:val="00DE6F74"/>
    <w:rsid w:val="00DE6F8C"/>
    <w:rsid w:val="00DE6FCC"/>
    <w:rsid w:val="00DE7024"/>
    <w:rsid w:val="00DE7067"/>
    <w:rsid w:val="00DE70AF"/>
    <w:rsid w:val="00DE70C2"/>
    <w:rsid w:val="00DE70CD"/>
    <w:rsid w:val="00DE70D6"/>
    <w:rsid w:val="00DE70FA"/>
    <w:rsid w:val="00DE7128"/>
    <w:rsid w:val="00DE7153"/>
    <w:rsid w:val="00DE716B"/>
    <w:rsid w:val="00DE71D2"/>
    <w:rsid w:val="00DE722A"/>
    <w:rsid w:val="00DE725A"/>
    <w:rsid w:val="00DE7268"/>
    <w:rsid w:val="00DE728B"/>
    <w:rsid w:val="00DE7342"/>
    <w:rsid w:val="00DE7344"/>
    <w:rsid w:val="00DE734B"/>
    <w:rsid w:val="00DE734C"/>
    <w:rsid w:val="00DE734D"/>
    <w:rsid w:val="00DE73AA"/>
    <w:rsid w:val="00DE73EE"/>
    <w:rsid w:val="00DE73F7"/>
    <w:rsid w:val="00DE7421"/>
    <w:rsid w:val="00DE7425"/>
    <w:rsid w:val="00DE7433"/>
    <w:rsid w:val="00DE7497"/>
    <w:rsid w:val="00DE74B0"/>
    <w:rsid w:val="00DE74BE"/>
    <w:rsid w:val="00DE7518"/>
    <w:rsid w:val="00DE753F"/>
    <w:rsid w:val="00DE7551"/>
    <w:rsid w:val="00DE757D"/>
    <w:rsid w:val="00DE7606"/>
    <w:rsid w:val="00DE7639"/>
    <w:rsid w:val="00DE76AA"/>
    <w:rsid w:val="00DE7715"/>
    <w:rsid w:val="00DE7731"/>
    <w:rsid w:val="00DE774D"/>
    <w:rsid w:val="00DE7752"/>
    <w:rsid w:val="00DE77E6"/>
    <w:rsid w:val="00DE780A"/>
    <w:rsid w:val="00DE7822"/>
    <w:rsid w:val="00DE7824"/>
    <w:rsid w:val="00DE7854"/>
    <w:rsid w:val="00DE78AB"/>
    <w:rsid w:val="00DE78E4"/>
    <w:rsid w:val="00DE7903"/>
    <w:rsid w:val="00DE7955"/>
    <w:rsid w:val="00DE7963"/>
    <w:rsid w:val="00DE79B1"/>
    <w:rsid w:val="00DE79D1"/>
    <w:rsid w:val="00DE7A06"/>
    <w:rsid w:val="00DE7A2B"/>
    <w:rsid w:val="00DE7A30"/>
    <w:rsid w:val="00DE7A63"/>
    <w:rsid w:val="00DE7A6F"/>
    <w:rsid w:val="00DE7AD6"/>
    <w:rsid w:val="00DE7AF3"/>
    <w:rsid w:val="00DE7B91"/>
    <w:rsid w:val="00DE7B9A"/>
    <w:rsid w:val="00DE7BA7"/>
    <w:rsid w:val="00DE7BCC"/>
    <w:rsid w:val="00DE7C15"/>
    <w:rsid w:val="00DE7C32"/>
    <w:rsid w:val="00DE7C63"/>
    <w:rsid w:val="00DE7CD1"/>
    <w:rsid w:val="00DE7CF0"/>
    <w:rsid w:val="00DE7CF4"/>
    <w:rsid w:val="00DE7D07"/>
    <w:rsid w:val="00DE7D91"/>
    <w:rsid w:val="00DE7DE7"/>
    <w:rsid w:val="00DE7DF8"/>
    <w:rsid w:val="00DE7E0F"/>
    <w:rsid w:val="00DE7EE7"/>
    <w:rsid w:val="00DE7F1F"/>
    <w:rsid w:val="00DE7F24"/>
    <w:rsid w:val="00DE7F42"/>
    <w:rsid w:val="00DE7FB3"/>
    <w:rsid w:val="00DE7FD0"/>
    <w:rsid w:val="00DF0050"/>
    <w:rsid w:val="00DF006E"/>
    <w:rsid w:val="00DF00C7"/>
    <w:rsid w:val="00DF00CA"/>
    <w:rsid w:val="00DF00DE"/>
    <w:rsid w:val="00DF0126"/>
    <w:rsid w:val="00DF01E4"/>
    <w:rsid w:val="00DF0202"/>
    <w:rsid w:val="00DF025A"/>
    <w:rsid w:val="00DF0272"/>
    <w:rsid w:val="00DF02C8"/>
    <w:rsid w:val="00DF02EB"/>
    <w:rsid w:val="00DF0331"/>
    <w:rsid w:val="00DF0381"/>
    <w:rsid w:val="00DF0386"/>
    <w:rsid w:val="00DF03A2"/>
    <w:rsid w:val="00DF03AC"/>
    <w:rsid w:val="00DF03B6"/>
    <w:rsid w:val="00DF03C9"/>
    <w:rsid w:val="00DF042B"/>
    <w:rsid w:val="00DF0468"/>
    <w:rsid w:val="00DF048A"/>
    <w:rsid w:val="00DF049C"/>
    <w:rsid w:val="00DF04BF"/>
    <w:rsid w:val="00DF04EC"/>
    <w:rsid w:val="00DF04F3"/>
    <w:rsid w:val="00DF04F7"/>
    <w:rsid w:val="00DF0509"/>
    <w:rsid w:val="00DF0560"/>
    <w:rsid w:val="00DF0573"/>
    <w:rsid w:val="00DF0576"/>
    <w:rsid w:val="00DF05B3"/>
    <w:rsid w:val="00DF05E5"/>
    <w:rsid w:val="00DF05EB"/>
    <w:rsid w:val="00DF05FD"/>
    <w:rsid w:val="00DF063A"/>
    <w:rsid w:val="00DF0669"/>
    <w:rsid w:val="00DF0707"/>
    <w:rsid w:val="00DF073F"/>
    <w:rsid w:val="00DF0747"/>
    <w:rsid w:val="00DF077A"/>
    <w:rsid w:val="00DF077B"/>
    <w:rsid w:val="00DF07B2"/>
    <w:rsid w:val="00DF0801"/>
    <w:rsid w:val="00DF0842"/>
    <w:rsid w:val="00DF088F"/>
    <w:rsid w:val="00DF089C"/>
    <w:rsid w:val="00DF08EF"/>
    <w:rsid w:val="00DF0974"/>
    <w:rsid w:val="00DF098D"/>
    <w:rsid w:val="00DF098E"/>
    <w:rsid w:val="00DF09E9"/>
    <w:rsid w:val="00DF0A21"/>
    <w:rsid w:val="00DF0A2B"/>
    <w:rsid w:val="00DF0A6F"/>
    <w:rsid w:val="00DF0A7C"/>
    <w:rsid w:val="00DF0A8C"/>
    <w:rsid w:val="00DF0A92"/>
    <w:rsid w:val="00DF0B22"/>
    <w:rsid w:val="00DF0C71"/>
    <w:rsid w:val="00DF0C79"/>
    <w:rsid w:val="00DF0C83"/>
    <w:rsid w:val="00DF0C9B"/>
    <w:rsid w:val="00DF0C9C"/>
    <w:rsid w:val="00DF0CDD"/>
    <w:rsid w:val="00DF0CDF"/>
    <w:rsid w:val="00DF0D0A"/>
    <w:rsid w:val="00DF0D12"/>
    <w:rsid w:val="00DF0D21"/>
    <w:rsid w:val="00DF0D24"/>
    <w:rsid w:val="00DF0D94"/>
    <w:rsid w:val="00DF0D9F"/>
    <w:rsid w:val="00DF0DCE"/>
    <w:rsid w:val="00DF0DF8"/>
    <w:rsid w:val="00DF0E12"/>
    <w:rsid w:val="00DF0E4C"/>
    <w:rsid w:val="00DF0E8A"/>
    <w:rsid w:val="00DF0EC1"/>
    <w:rsid w:val="00DF0EE5"/>
    <w:rsid w:val="00DF0EEB"/>
    <w:rsid w:val="00DF0F2A"/>
    <w:rsid w:val="00DF0F79"/>
    <w:rsid w:val="00DF0FB2"/>
    <w:rsid w:val="00DF0FD4"/>
    <w:rsid w:val="00DF0FD5"/>
    <w:rsid w:val="00DF0FDA"/>
    <w:rsid w:val="00DF0FF1"/>
    <w:rsid w:val="00DF1044"/>
    <w:rsid w:val="00DF104D"/>
    <w:rsid w:val="00DF105D"/>
    <w:rsid w:val="00DF1096"/>
    <w:rsid w:val="00DF10DC"/>
    <w:rsid w:val="00DF1127"/>
    <w:rsid w:val="00DF112C"/>
    <w:rsid w:val="00DF1208"/>
    <w:rsid w:val="00DF120F"/>
    <w:rsid w:val="00DF121D"/>
    <w:rsid w:val="00DF1245"/>
    <w:rsid w:val="00DF1299"/>
    <w:rsid w:val="00DF129D"/>
    <w:rsid w:val="00DF12F9"/>
    <w:rsid w:val="00DF135F"/>
    <w:rsid w:val="00DF13BE"/>
    <w:rsid w:val="00DF13E0"/>
    <w:rsid w:val="00DF14B6"/>
    <w:rsid w:val="00DF14C4"/>
    <w:rsid w:val="00DF14D1"/>
    <w:rsid w:val="00DF1528"/>
    <w:rsid w:val="00DF1537"/>
    <w:rsid w:val="00DF155D"/>
    <w:rsid w:val="00DF15CD"/>
    <w:rsid w:val="00DF15DF"/>
    <w:rsid w:val="00DF1628"/>
    <w:rsid w:val="00DF1641"/>
    <w:rsid w:val="00DF164A"/>
    <w:rsid w:val="00DF1655"/>
    <w:rsid w:val="00DF16AC"/>
    <w:rsid w:val="00DF16AD"/>
    <w:rsid w:val="00DF170D"/>
    <w:rsid w:val="00DF1718"/>
    <w:rsid w:val="00DF171A"/>
    <w:rsid w:val="00DF1721"/>
    <w:rsid w:val="00DF173A"/>
    <w:rsid w:val="00DF1770"/>
    <w:rsid w:val="00DF17CB"/>
    <w:rsid w:val="00DF17F0"/>
    <w:rsid w:val="00DF183E"/>
    <w:rsid w:val="00DF1843"/>
    <w:rsid w:val="00DF185D"/>
    <w:rsid w:val="00DF1894"/>
    <w:rsid w:val="00DF189C"/>
    <w:rsid w:val="00DF1901"/>
    <w:rsid w:val="00DF1933"/>
    <w:rsid w:val="00DF1973"/>
    <w:rsid w:val="00DF1983"/>
    <w:rsid w:val="00DF198A"/>
    <w:rsid w:val="00DF19A3"/>
    <w:rsid w:val="00DF19B2"/>
    <w:rsid w:val="00DF1A46"/>
    <w:rsid w:val="00DF1A52"/>
    <w:rsid w:val="00DF1B13"/>
    <w:rsid w:val="00DF1B31"/>
    <w:rsid w:val="00DF1B39"/>
    <w:rsid w:val="00DF1B44"/>
    <w:rsid w:val="00DF1B4A"/>
    <w:rsid w:val="00DF1B6B"/>
    <w:rsid w:val="00DF1C70"/>
    <w:rsid w:val="00DF1C8F"/>
    <w:rsid w:val="00DF1CA6"/>
    <w:rsid w:val="00DF1CB0"/>
    <w:rsid w:val="00DF1CC3"/>
    <w:rsid w:val="00DF1CF7"/>
    <w:rsid w:val="00DF1D33"/>
    <w:rsid w:val="00DF1D7F"/>
    <w:rsid w:val="00DF1D95"/>
    <w:rsid w:val="00DF1E02"/>
    <w:rsid w:val="00DF1E18"/>
    <w:rsid w:val="00DF1E3F"/>
    <w:rsid w:val="00DF1E4F"/>
    <w:rsid w:val="00DF1E57"/>
    <w:rsid w:val="00DF1E5F"/>
    <w:rsid w:val="00DF1E65"/>
    <w:rsid w:val="00DF1E7C"/>
    <w:rsid w:val="00DF1E91"/>
    <w:rsid w:val="00DF1EA0"/>
    <w:rsid w:val="00DF1EC4"/>
    <w:rsid w:val="00DF1F0F"/>
    <w:rsid w:val="00DF1F3B"/>
    <w:rsid w:val="00DF2028"/>
    <w:rsid w:val="00DF2033"/>
    <w:rsid w:val="00DF2055"/>
    <w:rsid w:val="00DF207A"/>
    <w:rsid w:val="00DF207B"/>
    <w:rsid w:val="00DF20BB"/>
    <w:rsid w:val="00DF20DC"/>
    <w:rsid w:val="00DF2123"/>
    <w:rsid w:val="00DF21A9"/>
    <w:rsid w:val="00DF21AC"/>
    <w:rsid w:val="00DF21B6"/>
    <w:rsid w:val="00DF21DD"/>
    <w:rsid w:val="00DF2212"/>
    <w:rsid w:val="00DF221D"/>
    <w:rsid w:val="00DF2264"/>
    <w:rsid w:val="00DF22AE"/>
    <w:rsid w:val="00DF22FC"/>
    <w:rsid w:val="00DF238C"/>
    <w:rsid w:val="00DF23F3"/>
    <w:rsid w:val="00DF2401"/>
    <w:rsid w:val="00DF2431"/>
    <w:rsid w:val="00DF24B7"/>
    <w:rsid w:val="00DF24D1"/>
    <w:rsid w:val="00DF24FB"/>
    <w:rsid w:val="00DF255D"/>
    <w:rsid w:val="00DF2569"/>
    <w:rsid w:val="00DF256E"/>
    <w:rsid w:val="00DF2617"/>
    <w:rsid w:val="00DF261A"/>
    <w:rsid w:val="00DF2656"/>
    <w:rsid w:val="00DF2665"/>
    <w:rsid w:val="00DF26AF"/>
    <w:rsid w:val="00DF26E4"/>
    <w:rsid w:val="00DF26E7"/>
    <w:rsid w:val="00DF26F7"/>
    <w:rsid w:val="00DF2721"/>
    <w:rsid w:val="00DF274E"/>
    <w:rsid w:val="00DF276D"/>
    <w:rsid w:val="00DF276F"/>
    <w:rsid w:val="00DF27B2"/>
    <w:rsid w:val="00DF27EC"/>
    <w:rsid w:val="00DF282A"/>
    <w:rsid w:val="00DF28DC"/>
    <w:rsid w:val="00DF28F1"/>
    <w:rsid w:val="00DF2920"/>
    <w:rsid w:val="00DF2950"/>
    <w:rsid w:val="00DF2958"/>
    <w:rsid w:val="00DF295F"/>
    <w:rsid w:val="00DF2964"/>
    <w:rsid w:val="00DF296A"/>
    <w:rsid w:val="00DF2984"/>
    <w:rsid w:val="00DF29A5"/>
    <w:rsid w:val="00DF29CF"/>
    <w:rsid w:val="00DF29DF"/>
    <w:rsid w:val="00DF2A29"/>
    <w:rsid w:val="00DF2A56"/>
    <w:rsid w:val="00DF2ABF"/>
    <w:rsid w:val="00DF2AC8"/>
    <w:rsid w:val="00DF2AFD"/>
    <w:rsid w:val="00DF2B01"/>
    <w:rsid w:val="00DF2B24"/>
    <w:rsid w:val="00DF2B71"/>
    <w:rsid w:val="00DF2B7A"/>
    <w:rsid w:val="00DF2B8E"/>
    <w:rsid w:val="00DF2BAF"/>
    <w:rsid w:val="00DF2C05"/>
    <w:rsid w:val="00DF2C22"/>
    <w:rsid w:val="00DF2C2F"/>
    <w:rsid w:val="00DF2C64"/>
    <w:rsid w:val="00DF2C69"/>
    <w:rsid w:val="00DF2C75"/>
    <w:rsid w:val="00DF2CBE"/>
    <w:rsid w:val="00DF2CD0"/>
    <w:rsid w:val="00DF2D30"/>
    <w:rsid w:val="00DF2D5B"/>
    <w:rsid w:val="00DF2DD3"/>
    <w:rsid w:val="00DF2E0F"/>
    <w:rsid w:val="00DF2E41"/>
    <w:rsid w:val="00DF2E52"/>
    <w:rsid w:val="00DF2E9F"/>
    <w:rsid w:val="00DF2EC2"/>
    <w:rsid w:val="00DF2ED2"/>
    <w:rsid w:val="00DF2FBC"/>
    <w:rsid w:val="00DF2FC3"/>
    <w:rsid w:val="00DF2FFA"/>
    <w:rsid w:val="00DF301C"/>
    <w:rsid w:val="00DF306D"/>
    <w:rsid w:val="00DF30CB"/>
    <w:rsid w:val="00DF31B3"/>
    <w:rsid w:val="00DF31FA"/>
    <w:rsid w:val="00DF31FC"/>
    <w:rsid w:val="00DF3208"/>
    <w:rsid w:val="00DF325C"/>
    <w:rsid w:val="00DF3302"/>
    <w:rsid w:val="00DF331A"/>
    <w:rsid w:val="00DF3327"/>
    <w:rsid w:val="00DF3360"/>
    <w:rsid w:val="00DF3369"/>
    <w:rsid w:val="00DF33D0"/>
    <w:rsid w:val="00DF33EF"/>
    <w:rsid w:val="00DF3424"/>
    <w:rsid w:val="00DF343F"/>
    <w:rsid w:val="00DF344C"/>
    <w:rsid w:val="00DF34F8"/>
    <w:rsid w:val="00DF355F"/>
    <w:rsid w:val="00DF3562"/>
    <w:rsid w:val="00DF358F"/>
    <w:rsid w:val="00DF35C7"/>
    <w:rsid w:val="00DF35E3"/>
    <w:rsid w:val="00DF365E"/>
    <w:rsid w:val="00DF3670"/>
    <w:rsid w:val="00DF368E"/>
    <w:rsid w:val="00DF36BE"/>
    <w:rsid w:val="00DF36CB"/>
    <w:rsid w:val="00DF36CF"/>
    <w:rsid w:val="00DF36D7"/>
    <w:rsid w:val="00DF376B"/>
    <w:rsid w:val="00DF378D"/>
    <w:rsid w:val="00DF379C"/>
    <w:rsid w:val="00DF37D2"/>
    <w:rsid w:val="00DF37ED"/>
    <w:rsid w:val="00DF37FA"/>
    <w:rsid w:val="00DF3813"/>
    <w:rsid w:val="00DF3830"/>
    <w:rsid w:val="00DF386D"/>
    <w:rsid w:val="00DF389B"/>
    <w:rsid w:val="00DF38D5"/>
    <w:rsid w:val="00DF3941"/>
    <w:rsid w:val="00DF3952"/>
    <w:rsid w:val="00DF3967"/>
    <w:rsid w:val="00DF3985"/>
    <w:rsid w:val="00DF3A00"/>
    <w:rsid w:val="00DF3A52"/>
    <w:rsid w:val="00DF3ADA"/>
    <w:rsid w:val="00DF3AE5"/>
    <w:rsid w:val="00DF3AF5"/>
    <w:rsid w:val="00DF3B11"/>
    <w:rsid w:val="00DF3B40"/>
    <w:rsid w:val="00DF3B8C"/>
    <w:rsid w:val="00DF3BBE"/>
    <w:rsid w:val="00DF3C09"/>
    <w:rsid w:val="00DF3C22"/>
    <w:rsid w:val="00DF3C29"/>
    <w:rsid w:val="00DF3C58"/>
    <w:rsid w:val="00DF3C60"/>
    <w:rsid w:val="00DF3C84"/>
    <w:rsid w:val="00DF3DA3"/>
    <w:rsid w:val="00DF3DA9"/>
    <w:rsid w:val="00DF3DBE"/>
    <w:rsid w:val="00DF3DCE"/>
    <w:rsid w:val="00DF3DFE"/>
    <w:rsid w:val="00DF3E26"/>
    <w:rsid w:val="00DF3F8B"/>
    <w:rsid w:val="00DF3FD0"/>
    <w:rsid w:val="00DF4009"/>
    <w:rsid w:val="00DF4031"/>
    <w:rsid w:val="00DF4087"/>
    <w:rsid w:val="00DF409E"/>
    <w:rsid w:val="00DF40D4"/>
    <w:rsid w:val="00DF40DC"/>
    <w:rsid w:val="00DF40FE"/>
    <w:rsid w:val="00DF411E"/>
    <w:rsid w:val="00DF4231"/>
    <w:rsid w:val="00DF42B0"/>
    <w:rsid w:val="00DF42C6"/>
    <w:rsid w:val="00DF42D3"/>
    <w:rsid w:val="00DF42EA"/>
    <w:rsid w:val="00DF431C"/>
    <w:rsid w:val="00DF432E"/>
    <w:rsid w:val="00DF439C"/>
    <w:rsid w:val="00DF43BC"/>
    <w:rsid w:val="00DF43E5"/>
    <w:rsid w:val="00DF44AD"/>
    <w:rsid w:val="00DF4598"/>
    <w:rsid w:val="00DF45D1"/>
    <w:rsid w:val="00DF45D6"/>
    <w:rsid w:val="00DF4674"/>
    <w:rsid w:val="00DF470F"/>
    <w:rsid w:val="00DF4776"/>
    <w:rsid w:val="00DF48E3"/>
    <w:rsid w:val="00DF48E7"/>
    <w:rsid w:val="00DF48E9"/>
    <w:rsid w:val="00DF492F"/>
    <w:rsid w:val="00DF496F"/>
    <w:rsid w:val="00DF49F3"/>
    <w:rsid w:val="00DF49F8"/>
    <w:rsid w:val="00DF4A00"/>
    <w:rsid w:val="00DF4A9E"/>
    <w:rsid w:val="00DF4AB4"/>
    <w:rsid w:val="00DF4AD4"/>
    <w:rsid w:val="00DF4B1F"/>
    <w:rsid w:val="00DF4B2A"/>
    <w:rsid w:val="00DF4B58"/>
    <w:rsid w:val="00DF4BB4"/>
    <w:rsid w:val="00DF4BCE"/>
    <w:rsid w:val="00DF4C17"/>
    <w:rsid w:val="00DF4C52"/>
    <w:rsid w:val="00DF4CF2"/>
    <w:rsid w:val="00DF4D00"/>
    <w:rsid w:val="00DF4D68"/>
    <w:rsid w:val="00DF4DCE"/>
    <w:rsid w:val="00DF4E43"/>
    <w:rsid w:val="00DF4E8F"/>
    <w:rsid w:val="00DF4F3C"/>
    <w:rsid w:val="00DF4F90"/>
    <w:rsid w:val="00DF4FA4"/>
    <w:rsid w:val="00DF4FDD"/>
    <w:rsid w:val="00DF5077"/>
    <w:rsid w:val="00DF5086"/>
    <w:rsid w:val="00DF50B2"/>
    <w:rsid w:val="00DF50FD"/>
    <w:rsid w:val="00DF51D1"/>
    <w:rsid w:val="00DF51D5"/>
    <w:rsid w:val="00DF51E1"/>
    <w:rsid w:val="00DF5213"/>
    <w:rsid w:val="00DF522D"/>
    <w:rsid w:val="00DF523B"/>
    <w:rsid w:val="00DF5261"/>
    <w:rsid w:val="00DF5268"/>
    <w:rsid w:val="00DF5280"/>
    <w:rsid w:val="00DF52B5"/>
    <w:rsid w:val="00DF52B7"/>
    <w:rsid w:val="00DF52BB"/>
    <w:rsid w:val="00DF5301"/>
    <w:rsid w:val="00DF538B"/>
    <w:rsid w:val="00DF53B2"/>
    <w:rsid w:val="00DF53EE"/>
    <w:rsid w:val="00DF5408"/>
    <w:rsid w:val="00DF5409"/>
    <w:rsid w:val="00DF5458"/>
    <w:rsid w:val="00DF5469"/>
    <w:rsid w:val="00DF5492"/>
    <w:rsid w:val="00DF5495"/>
    <w:rsid w:val="00DF54C0"/>
    <w:rsid w:val="00DF54FE"/>
    <w:rsid w:val="00DF55D6"/>
    <w:rsid w:val="00DF55F4"/>
    <w:rsid w:val="00DF5608"/>
    <w:rsid w:val="00DF560E"/>
    <w:rsid w:val="00DF56D6"/>
    <w:rsid w:val="00DF5708"/>
    <w:rsid w:val="00DF5718"/>
    <w:rsid w:val="00DF571C"/>
    <w:rsid w:val="00DF577D"/>
    <w:rsid w:val="00DF578F"/>
    <w:rsid w:val="00DF5816"/>
    <w:rsid w:val="00DF585E"/>
    <w:rsid w:val="00DF5890"/>
    <w:rsid w:val="00DF5896"/>
    <w:rsid w:val="00DF58A4"/>
    <w:rsid w:val="00DF590B"/>
    <w:rsid w:val="00DF594A"/>
    <w:rsid w:val="00DF59C5"/>
    <w:rsid w:val="00DF59E0"/>
    <w:rsid w:val="00DF5AAA"/>
    <w:rsid w:val="00DF5B2C"/>
    <w:rsid w:val="00DF5B34"/>
    <w:rsid w:val="00DF5B4D"/>
    <w:rsid w:val="00DF5BEF"/>
    <w:rsid w:val="00DF5C30"/>
    <w:rsid w:val="00DF5C58"/>
    <w:rsid w:val="00DF5C6D"/>
    <w:rsid w:val="00DF5C73"/>
    <w:rsid w:val="00DF5CA4"/>
    <w:rsid w:val="00DF5D07"/>
    <w:rsid w:val="00DF5D59"/>
    <w:rsid w:val="00DF5D76"/>
    <w:rsid w:val="00DF5DC3"/>
    <w:rsid w:val="00DF5DEB"/>
    <w:rsid w:val="00DF5DF8"/>
    <w:rsid w:val="00DF5E49"/>
    <w:rsid w:val="00DF5EB4"/>
    <w:rsid w:val="00DF5EEE"/>
    <w:rsid w:val="00DF5F07"/>
    <w:rsid w:val="00DF5F11"/>
    <w:rsid w:val="00DF5F20"/>
    <w:rsid w:val="00DF5F81"/>
    <w:rsid w:val="00DF5F86"/>
    <w:rsid w:val="00DF5F8E"/>
    <w:rsid w:val="00DF5FA8"/>
    <w:rsid w:val="00DF5FAC"/>
    <w:rsid w:val="00DF5FC6"/>
    <w:rsid w:val="00DF601E"/>
    <w:rsid w:val="00DF604C"/>
    <w:rsid w:val="00DF605F"/>
    <w:rsid w:val="00DF6069"/>
    <w:rsid w:val="00DF60B5"/>
    <w:rsid w:val="00DF60D0"/>
    <w:rsid w:val="00DF60F0"/>
    <w:rsid w:val="00DF611C"/>
    <w:rsid w:val="00DF6141"/>
    <w:rsid w:val="00DF6144"/>
    <w:rsid w:val="00DF6158"/>
    <w:rsid w:val="00DF618A"/>
    <w:rsid w:val="00DF61A1"/>
    <w:rsid w:val="00DF61F5"/>
    <w:rsid w:val="00DF620C"/>
    <w:rsid w:val="00DF621E"/>
    <w:rsid w:val="00DF6231"/>
    <w:rsid w:val="00DF624E"/>
    <w:rsid w:val="00DF6354"/>
    <w:rsid w:val="00DF6360"/>
    <w:rsid w:val="00DF6367"/>
    <w:rsid w:val="00DF6376"/>
    <w:rsid w:val="00DF6389"/>
    <w:rsid w:val="00DF6398"/>
    <w:rsid w:val="00DF63D6"/>
    <w:rsid w:val="00DF63E8"/>
    <w:rsid w:val="00DF64B6"/>
    <w:rsid w:val="00DF64F9"/>
    <w:rsid w:val="00DF6523"/>
    <w:rsid w:val="00DF658F"/>
    <w:rsid w:val="00DF6594"/>
    <w:rsid w:val="00DF65AD"/>
    <w:rsid w:val="00DF65B0"/>
    <w:rsid w:val="00DF65F0"/>
    <w:rsid w:val="00DF665A"/>
    <w:rsid w:val="00DF6695"/>
    <w:rsid w:val="00DF66D6"/>
    <w:rsid w:val="00DF66DE"/>
    <w:rsid w:val="00DF676A"/>
    <w:rsid w:val="00DF6787"/>
    <w:rsid w:val="00DF67F9"/>
    <w:rsid w:val="00DF6832"/>
    <w:rsid w:val="00DF687B"/>
    <w:rsid w:val="00DF68BE"/>
    <w:rsid w:val="00DF68CD"/>
    <w:rsid w:val="00DF68D3"/>
    <w:rsid w:val="00DF6952"/>
    <w:rsid w:val="00DF69BB"/>
    <w:rsid w:val="00DF6A0D"/>
    <w:rsid w:val="00DF6A1E"/>
    <w:rsid w:val="00DF6A28"/>
    <w:rsid w:val="00DF6A3D"/>
    <w:rsid w:val="00DF6A6A"/>
    <w:rsid w:val="00DF6AB0"/>
    <w:rsid w:val="00DF6AC1"/>
    <w:rsid w:val="00DF6AEC"/>
    <w:rsid w:val="00DF6AF3"/>
    <w:rsid w:val="00DF6B15"/>
    <w:rsid w:val="00DF6B3F"/>
    <w:rsid w:val="00DF6B89"/>
    <w:rsid w:val="00DF6BB2"/>
    <w:rsid w:val="00DF6BF6"/>
    <w:rsid w:val="00DF6C59"/>
    <w:rsid w:val="00DF6CF7"/>
    <w:rsid w:val="00DF6D06"/>
    <w:rsid w:val="00DF6DE9"/>
    <w:rsid w:val="00DF6E23"/>
    <w:rsid w:val="00DF6E6A"/>
    <w:rsid w:val="00DF6ECC"/>
    <w:rsid w:val="00DF6ECD"/>
    <w:rsid w:val="00DF6F15"/>
    <w:rsid w:val="00DF6F1E"/>
    <w:rsid w:val="00DF6F34"/>
    <w:rsid w:val="00DF6F56"/>
    <w:rsid w:val="00DF6F60"/>
    <w:rsid w:val="00DF6F79"/>
    <w:rsid w:val="00DF6F9B"/>
    <w:rsid w:val="00DF6FBA"/>
    <w:rsid w:val="00DF6FBD"/>
    <w:rsid w:val="00DF7005"/>
    <w:rsid w:val="00DF7056"/>
    <w:rsid w:val="00DF7059"/>
    <w:rsid w:val="00DF70C8"/>
    <w:rsid w:val="00DF70FF"/>
    <w:rsid w:val="00DF7100"/>
    <w:rsid w:val="00DF7129"/>
    <w:rsid w:val="00DF714C"/>
    <w:rsid w:val="00DF71B1"/>
    <w:rsid w:val="00DF71D9"/>
    <w:rsid w:val="00DF71EF"/>
    <w:rsid w:val="00DF7256"/>
    <w:rsid w:val="00DF7272"/>
    <w:rsid w:val="00DF728D"/>
    <w:rsid w:val="00DF72A9"/>
    <w:rsid w:val="00DF72B6"/>
    <w:rsid w:val="00DF72EA"/>
    <w:rsid w:val="00DF72FA"/>
    <w:rsid w:val="00DF7394"/>
    <w:rsid w:val="00DF745D"/>
    <w:rsid w:val="00DF74A6"/>
    <w:rsid w:val="00DF74DD"/>
    <w:rsid w:val="00DF7576"/>
    <w:rsid w:val="00DF7580"/>
    <w:rsid w:val="00DF7590"/>
    <w:rsid w:val="00DF75A7"/>
    <w:rsid w:val="00DF75A9"/>
    <w:rsid w:val="00DF75BB"/>
    <w:rsid w:val="00DF75DA"/>
    <w:rsid w:val="00DF75DB"/>
    <w:rsid w:val="00DF75FF"/>
    <w:rsid w:val="00DF7636"/>
    <w:rsid w:val="00DF7639"/>
    <w:rsid w:val="00DF766F"/>
    <w:rsid w:val="00DF769E"/>
    <w:rsid w:val="00DF769F"/>
    <w:rsid w:val="00DF76A9"/>
    <w:rsid w:val="00DF76F5"/>
    <w:rsid w:val="00DF7759"/>
    <w:rsid w:val="00DF7760"/>
    <w:rsid w:val="00DF77C5"/>
    <w:rsid w:val="00DF783A"/>
    <w:rsid w:val="00DF785B"/>
    <w:rsid w:val="00DF7865"/>
    <w:rsid w:val="00DF788F"/>
    <w:rsid w:val="00DF78A9"/>
    <w:rsid w:val="00DF790C"/>
    <w:rsid w:val="00DF79F4"/>
    <w:rsid w:val="00DF7A33"/>
    <w:rsid w:val="00DF7A5F"/>
    <w:rsid w:val="00DF7A68"/>
    <w:rsid w:val="00DF7A88"/>
    <w:rsid w:val="00DF7A8E"/>
    <w:rsid w:val="00DF7A92"/>
    <w:rsid w:val="00DF7B16"/>
    <w:rsid w:val="00DF7B27"/>
    <w:rsid w:val="00DF7B34"/>
    <w:rsid w:val="00DF7B56"/>
    <w:rsid w:val="00DF7B5A"/>
    <w:rsid w:val="00DF7B65"/>
    <w:rsid w:val="00DF7B9D"/>
    <w:rsid w:val="00DF7BA3"/>
    <w:rsid w:val="00DF7BB2"/>
    <w:rsid w:val="00DF7BB4"/>
    <w:rsid w:val="00DF7BD3"/>
    <w:rsid w:val="00DF7C0F"/>
    <w:rsid w:val="00DF7C42"/>
    <w:rsid w:val="00DF7C4A"/>
    <w:rsid w:val="00DF7C5B"/>
    <w:rsid w:val="00DF7C5F"/>
    <w:rsid w:val="00DF7C6B"/>
    <w:rsid w:val="00DF7C9B"/>
    <w:rsid w:val="00DF7CC7"/>
    <w:rsid w:val="00DF7CD2"/>
    <w:rsid w:val="00DF7CF9"/>
    <w:rsid w:val="00DF7CFC"/>
    <w:rsid w:val="00DF7D24"/>
    <w:rsid w:val="00DF7D6D"/>
    <w:rsid w:val="00DF7D86"/>
    <w:rsid w:val="00DF7D9B"/>
    <w:rsid w:val="00DF7DAA"/>
    <w:rsid w:val="00DF7DBC"/>
    <w:rsid w:val="00DF7DDB"/>
    <w:rsid w:val="00DF7DE8"/>
    <w:rsid w:val="00DF7E78"/>
    <w:rsid w:val="00DF7E7F"/>
    <w:rsid w:val="00DF7EA3"/>
    <w:rsid w:val="00DF7EC1"/>
    <w:rsid w:val="00DF7F5E"/>
    <w:rsid w:val="00DF7F62"/>
    <w:rsid w:val="00DF7FAA"/>
    <w:rsid w:val="00DF7FBB"/>
    <w:rsid w:val="00DF7FCF"/>
    <w:rsid w:val="00E00057"/>
    <w:rsid w:val="00E0012E"/>
    <w:rsid w:val="00E0014A"/>
    <w:rsid w:val="00E0014B"/>
    <w:rsid w:val="00E00192"/>
    <w:rsid w:val="00E001B6"/>
    <w:rsid w:val="00E001CB"/>
    <w:rsid w:val="00E001D9"/>
    <w:rsid w:val="00E0024F"/>
    <w:rsid w:val="00E00264"/>
    <w:rsid w:val="00E0027C"/>
    <w:rsid w:val="00E002AE"/>
    <w:rsid w:val="00E002B9"/>
    <w:rsid w:val="00E00336"/>
    <w:rsid w:val="00E00343"/>
    <w:rsid w:val="00E00386"/>
    <w:rsid w:val="00E0038B"/>
    <w:rsid w:val="00E003B7"/>
    <w:rsid w:val="00E00416"/>
    <w:rsid w:val="00E00471"/>
    <w:rsid w:val="00E00486"/>
    <w:rsid w:val="00E0049D"/>
    <w:rsid w:val="00E004A4"/>
    <w:rsid w:val="00E004B2"/>
    <w:rsid w:val="00E004BA"/>
    <w:rsid w:val="00E004DA"/>
    <w:rsid w:val="00E00507"/>
    <w:rsid w:val="00E0052B"/>
    <w:rsid w:val="00E0057C"/>
    <w:rsid w:val="00E00587"/>
    <w:rsid w:val="00E00597"/>
    <w:rsid w:val="00E0059C"/>
    <w:rsid w:val="00E005B8"/>
    <w:rsid w:val="00E005B9"/>
    <w:rsid w:val="00E005FC"/>
    <w:rsid w:val="00E00616"/>
    <w:rsid w:val="00E00644"/>
    <w:rsid w:val="00E0066E"/>
    <w:rsid w:val="00E0068F"/>
    <w:rsid w:val="00E0077E"/>
    <w:rsid w:val="00E007B4"/>
    <w:rsid w:val="00E007C5"/>
    <w:rsid w:val="00E007E2"/>
    <w:rsid w:val="00E007F1"/>
    <w:rsid w:val="00E008AD"/>
    <w:rsid w:val="00E008C8"/>
    <w:rsid w:val="00E008D4"/>
    <w:rsid w:val="00E0091D"/>
    <w:rsid w:val="00E0094A"/>
    <w:rsid w:val="00E0094B"/>
    <w:rsid w:val="00E0095B"/>
    <w:rsid w:val="00E00A67"/>
    <w:rsid w:val="00E00A86"/>
    <w:rsid w:val="00E00A8B"/>
    <w:rsid w:val="00E00A96"/>
    <w:rsid w:val="00E00AD4"/>
    <w:rsid w:val="00E00AEF"/>
    <w:rsid w:val="00E00AF4"/>
    <w:rsid w:val="00E00B3C"/>
    <w:rsid w:val="00E00BA0"/>
    <w:rsid w:val="00E00C0E"/>
    <w:rsid w:val="00E00C10"/>
    <w:rsid w:val="00E00C15"/>
    <w:rsid w:val="00E00C40"/>
    <w:rsid w:val="00E00C9E"/>
    <w:rsid w:val="00E00CBD"/>
    <w:rsid w:val="00E00D1B"/>
    <w:rsid w:val="00E00D59"/>
    <w:rsid w:val="00E00D5D"/>
    <w:rsid w:val="00E00D76"/>
    <w:rsid w:val="00E00D87"/>
    <w:rsid w:val="00E00DC9"/>
    <w:rsid w:val="00E00DE0"/>
    <w:rsid w:val="00E00E49"/>
    <w:rsid w:val="00E00E8B"/>
    <w:rsid w:val="00E00EDC"/>
    <w:rsid w:val="00E00F0A"/>
    <w:rsid w:val="00E00F0F"/>
    <w:rsid w:val="00E00F31"/>
    <w:rsid w:val="00E00F7A"/>
    <w:rsid w:val="00E00FE9"/>
    <w:rsid w:val="00E01017"/>
    <w:rsid w:val="00E0103D"/>
    <w:rsid w:val="00E01045"/>
    <w:rsid w:val="00E0106C"/>
    <w:rsid w:val="00E0108A"/>
    <w:rsid w:val="00E01096"/>
    <w:rsid w:val="00E010C1"/>
    <w:rsid w:val="00E01126"/>
    <w:rsid w:val="00E01186"/>
    <w:rsid w:val="00E011B5"/>
    <w:rsid w:val="00E011CB"/>
    <w:rsid w:val="00E0123B"/>
    <w:rsid w:val="00E012C3"/>
    <w:rsid w:val="00E01302"/>
    <w:rsid w:val="00E0134B"/>
    <w:rsid w:val="00E01372"/>
    <w:rsid w:val="00E01377"/>
    <w:rsid w:val="00E013E4"/>
    <w:rsid w:val="00E01402"/>
    <w:rsid w:val="00E01448"/>
    <w:rsid w:val="00E014B5"/>
    <w:rsid w:val="00E0154D"/>
    <w:rsid w:val="00E0156A"/>
    <w:rsid w:val="00E01595"/>
    <w:rsid w:val="00E015AA"/>
    <w:rsid w:val="00E015B0"/>
    <w:rsid w:val="00E015DC"/>
    <w:rsid w:val="00E0160D"/>
    <w:rsid w:val="00E016D4"/>
    <w:rsid w:val="00E016FB"/>
    <w:rsid w:val="00E0170F"/>
    <w:rsid w:val="00E01777"/>
    <w:rsid w:val="00E017C8"/>
    <w:rsid w:val="00E0182C"/>
    <w:rsid w:val="00E0182F"/>
    <w:rsid w:val="00E01856"/>
    <w:rsid w:val="00E01896"/>
    <w:rsid w:val="00E018CC"/>
    <w:rsid w:val="00E0193C"/>
    <w:rsid w:val="00E0194C"/>
    <w:rsid w:val="00E019AB"/>
    <w:rsid w:val="00E019FA"/>
    <w:rsid w:val="00E019FC"/>
    <w:rsid w:val="00E01A2A"/>
    <w:rsid w:val="00E01A39"/>
    <w:rsid w:val="00E01A40"/>
    <w:rsid w:val="00E01A4F"/>
    <w:rsid w:val="00E01ADB"/>
    <w:rsid w:val="00E01AEA"/>
    <w:rsid w:val="00E01B1F"/>
    <w:rsid w:val="00E01B3D"/>
    <w:rsid w:val="00E01B94"/>
    <w:rsid w:val="00E01BA8"/>
    <w:rsid w:val="00E01BB5"/>
    <w:rsid w:val="00E01C09"/>
    <w:rsid w:val="00E01D07"/>
    <w:rsid w:val="00E01D34"/>
    <w:rsid w:val="00E01D40"/>
    <w:rsid w:val="00E01DB9"/>
    <w:rsid w:val="00E01DBC"/>
    <w:rsid w:val="00E01E04"/>
    <w:rsid w:val="00E01E23"/>
    <w:rsid w:val="00E01E9C"/>
    <w:rsid w:val="00E01EA2"/>
    <w:rsid w:val="00E01F16"/>
    <w:rsid w:val="00E01F8D"/>
    <w:rsid w:val="00E01FE3"/>
    <w:rsid w:val="00E02007"/>
    <w:rsid w:val="00E02028"/>
    <w:rsid w:val="00E0203C"/>
    <w:rsid w:val="00E0205B"/>
    <w:rsid w:val="00E02074"/>
    <w:rsid w:val="00E020D9"/>
    <w:rsid w:val="00E02140"/>
    <w:rsid w:val="00E02172"/>
    <w:rsid w:val="00E021B4"/>
    <w:rsid w:val="00E021F9"/>
    <w:rsid w:val="00E022EB"/>
    <w:rsid w:val="00E022ED"/>
    <w:rsid w:val="00E02307"/>
    <w:rsid w:val="00E0230D"/>
    <w:rsid w:val="00E02311"/>
    <w:rsid w:val="00E02326"/>
    <w:rsid w:val="00E023BA"/>
    <w:rsid w:val="00E024AD"/>
    <w:rsid w:val="00E0252C"/>
    <w:rsid w:val="00E0256C"/>
    <w:rsid w:val="00E02595"/>
    <w:rsid w:val="00E025AE"/>
    <w:rsid w:val="00E02602"/>
    <w:rsid w:val="00E0260E"/>
    <w:rsid w:val="00E02637"/>
    <w:rsid w:val="00E0263E"/>
    <w:rsid w:val="00E02672"/>
    <w:rsid w:val="00E0267B"/>
    <w:rsid w:val="00E026A9"/>
    <w:rsid w:val="00E02704"/>
    <w:rsid w:val="00E0270E"/>
    <w:rsid w:val="00E0271A"/>
    <w:rsid w:val="00E02752"/>
    <w:rsid w:val="00E02754"/>
    <w:rsid w:val="00E027A6"/>
    <w:rsid w:val="00E027F3"/>
    <w:rsid w:val="00E028B3"/>
    <w:rsid w:val="00E028BA"/>
    <w:rsid w:val="00E028F5"/>
    <w:rsid w:val="00E029AB"/>
    <w:rsid w:val="00E029D1"/>
    <w:rsid w:val="00E029F7"/>
    <w:rsid w:val="00E02A84"/>
    <w:rsid w:val="00E02A8C"/>
    <w:rsid w:val="00E02AA4"/>
    <w:rsid w:val="00E02AA8"/>
    <w:rsid w:val="00E02ABD"/>
    <w:rsid w:val="00E02AD8"/>
    <w:rsid w:val="00E02B27"/>
    <w:rsid w:val="00E02B33"/>
    <w:rsid w:val="00E02BBC"/>
    <w:rsid w:val="00E02BD3"/>
    <w:rsid w:val="00E02BDB"/>
    <w:rsid w:val="00E02C3F"/>
    <w:rsid w:val="00E02C40"/>
    <w:rsid w:val="00E02C48"/>
    <w:rsid w:val="00E02C62"/>
    <w:rsid w:val="00E02C79"/>
    <w:rsid w:val="00E02C82"/>
    <w:rsid w:val="00E02C88"/>
    <w:rsid w:val="00E02D4E"/>
    <w:rsid w:val="00E02D6F"/>
    <w:rsid w:val="00E02D7C"/>
    <w:rsid w:val="00E02DEB"/>
    <w:rsid w:val="00E02E2D"/>
    <w:rsid w:val="00E02E4F"/>
    <w:rsid w:val="00E02ECC"/>
    <w:rsid w:val="00E02F0E"/>
    <w:rsid w:val="00E02F1A"/>
    <w:rsid w:val="00E02F49"/>
    <w:rsid w:val="00E02F4A"/>
    <w:rsid w:val="00E02F66"/>
    <w:rsid w:val="00E02F7D"/>
    <w:rsid w:val="00E02F91"/>
    <w:rsid w:val="00E02FAB"/>
    <w:rsid w:val="00E02FC2"/>
    <w:rsid w:val="00E02FE8"/>
    <w:rsid w:val="00E03006"/>
    <w:rsid w:val="00E0302A"/>
    <w:rsid w:val="00E03080"/>
    <w:rsid w:val="00E030A9"/>
    <w:rsid w:val="00E030C7"/>
    <w:rsid w:val="00E030E2"/>
    <w:rsid w:val="00E030EA"/>
    <w:rsid w:val="00E03116"/>
    <w:rsid w:val="00E0314F"/>
    <w:rsid w:val="00E031DC"/>
    <w:rsid w:val="00E0320E"/>
    <w:rsid w:val="00E03275"/>
    <w:rsid w:val="00E03282"/>
    <w:rsid w:val="00E032E7"/>
    <w:rsid w:val="00E03315"/>
    <w:rsid w:val="00E03380"/>
    <w:rsid w:val="00E033A6"/>
    <w:rsid w:val="00E03426"/>
    <w:rsid w:val="00E0344B"/>
    <w:rsid w:val="00E03512"/>
    <w:rsid w:val="00E0356E"/>
    <w:rsid w:val="00E0358C"/>
    <w:rsid w:val="00E035E4"/>
    <w:rsid w:val="00E03604"/>
    <w:rsid w:val="00E03606"/>
    <w:rsid w:val="00E0367D"/>
    <w:rsid w:val="00E036E8"/>
    <w:rsid w:val="00E03824"/>
    <w:rsid w:val="00E03840"/>
    <w:rsid w:val="00E03862"/>
    <w:rsid w:val="00E0388A"/>
    <w:rsid w:val="00E038A8"/>
    <w:rsid w:val="00E038AB"/>
    <w:rsid w:val="00E038D1"/>
    <w:rsid w:val="00E03905"/>
    <w:rsid w:val="00E03906"/>
    <w:rsid w:val="00E0394D"/>
    <w:rsid w:val="00E03992"/>
    <w:rsid w:val="00E039B1"/>
    <w:rsid w:val="00E039C9"/>
    <w:rsid w:val="00E03A2B"/>
    <w:rsid w:val="00E03A36"/>
    <w:rsid w:val="00E03A55"/>
    <w:rsid w:val="00E03AA8"/>
    <w:rsid w:val="00E03ADE"/>
    <w:rsid w:val="00E03AEE"/>
    <w:rsid w:val="00E03B01"/>
    <w:rsid w:val="00E03B40"/>
    <w:rsid w:val="00E03B51"/>
    <w:rsid w:val="00E03BF8"/>
    <w:rsid w:val="00E03C30"/>
    <w:rsid w:val="00E03C55"/>
    <w:rsid w:val="00E03C90"/>
    <w:rsid w:val="00E03CB2"/>
    <w:rsid w:val="00E03D42"/>
    <w:rsid w:val="00E03DB4"/>
    <w:rsid w:val="00E03DC6"/>
    <w:rsid w:val="00E03DE1"/>
    <w:rsid w:val="00E03DE3"/>
    <w:rsid w:val="00E03E11"/>
    <w:rsid w:val="00E03E21"/>
    <w:rsid w:val="00E03E51"/>
    <w:rsid w:val="00E03E6D"/>
    <w:rsid w:val="00E03E9F"/>
    <w:rsid w:val="00E03EAD"/>
    <w:rsid w:val="00E03EBD"/>
    <w:rsid w:val="00E03EC6"/>
    <w:rsid w:val="00E03EFB"/>
    <w:rsid w:val="00E03F1C"/>
    <w:rsid w:val="00E03F7F"/>
    <w:rsid w:val="00E03F90"/>
    <w:rsid w:val="00E03FAA"/>
    <w:rsid w:val="00E03FC9"/>
    <w:rsid w:val="00E03FF0"/>
    <w:rsid w:val="00E0401A"/>
    <w:rsid w:val="00E0404C"/>
    <w:rsid w:val="00E04067"/>
    <w:rsid w:val="00E0406A"/>
    <w:rsid w:val="00E040C3"/>
    <w:rsid w:val="00E040EA"/>
    <w:rsid w:val="00E0416C"/>
    <w:rsid w:val="00E0416E"/>
    <w:rsid w:val="00E04176"/>
    <w:rsid w:val="00E04180"/>
    <w:rsid w:val="00E041A1"/>
    <w:rsid w:val="00E041AF"/>
    <w:rsid w:val="00E041D7"/>
    <w:rsid w:val="00E041F0"/>
    <w:rsid w:val="00E0421F"/>
    <w:rsid w:val="00E04294"/>
    <w:rsid w:val="00E042CC"/>
    <w:rsid w:val="00E04357"/>
    <w:rsid w:val="00E04451"/>
    <w:rsid w:val="00E04474"/>
    <w:rsid w:val="00E0449B"/>
    <w:rsid w:val="00E04534"/>
    <w:rsid w:val="00E04537"/>
    <w:rsid w:val="00E0453F"/>
    <w:rsid w:val="00E04563"/>
    <w:rsid w:val="00E045C6"/>
    <w:rsid w:val="00E045CD"/>
    <w:rsid w:val="00E045F6"/>
    <w:rsid w:val="00E045FF"/>
    <w:rsid w:val="00E0463C"/>
    <w:rsid w:val="00E04699"/>
    <w:rsid w:val="00E046CD"/>
    <w:rsid w:val="00E046FF"/>
    <w:rsid w:val="00E04785"/>
    <w:rsid w:val="00E047B7"/>
    <w:rsid w:val="00E047C0"/>
    <w:rsid w:val="00E047CA"/>
    <w:rsid w:val="00E047D2"/>
    <w:rsid w:val="00E04812"/>
    <w:rsid w:val="00E0483A"/>
    <w:rsid w:val="00E0485B"/>
    <w:rsid w:val="00E048BE"/>
    <w:rsid w:val="00E048C5"/>
    <w:rsid w:val="00E048E7"/>
    <w:rsid w:val="00E049C4"/>
    <w:rsid w:val="00E04A1F"/>
    <w:rsid w:val="00E04A55"/>
    <w:rsid w:val="00E04AB3"/>
    <w:rsid w:val="00E04AD4"/>
    <w:rsid w:val="00E04AD8"/>
    <w:rsid w:val="00E04B06"/>
    <w:rsid w:val="00E04B10"/>
    <w:rsid w:val="00E04B42"/>
    <w:rsid w:val="00E04B66"/>
    <w:rsid w:val="00E04B8F"/>
    <w:rsid w:val="00E04BAF"/>
    <w:rsid w:val="00E04BBB"/>
    <w:rsid w:val="00E04C14"/>
    <w:rsid w:val="00E04C1F"/>
    <w:rsid w:val="00E04CA4"/>
    <w:rsid w:val="00E04CA9"/>
    <w:rsid w:val="00E04CC9"/>
    <w:rsid w:val="00E04CCA"/>
    <w:rsid w:val="00E04CD1"/>
    <w:rsid w:val="00E04D01"/>
    <w:rsid w:val="00E04D1E"/>
    <w:rsid w:val="00E04D6D"/>
    <w:rsid w:val="00E04D83"/>
    <w:rsid w:val="00E04D8A"/>
    <w:rsid w:val="00E04DA1"/>
    <w:rsid w:val="00E04DA8"/>
    <w:rsid w:val="00E04DD1"/>
    <w:rsid w:val="00E04E0C"/>
    <w:rsid w:val="00E04E94"/>
    <w:rsid w:val="00E04E9F"/>
    <w:rsid w:val="00E04EDD"/>
    <w:rsid w:val="00E04F82"/>
    <w:rsid w:val="00E04FB2"/>
    <w:rsid w:val="00E04FDD"/>
    <w:rsid w:val="00E05021"/>
    <w:rsid w:val="00E0505E"/>
    <w:rsid w:val="00E05072"/>
    <w:rsid w:val="00E0507E"/>
    <w:rsid w:val="00E05091"/>
    <w:rsid w:val="00E050C9"/>
    <w:rsid w:val="00E05121"/>
    <w:rsid w:val="00E051C7"/>
    <w:rsid w:val="00E051CC"/>
    <w:rsid w:val="00E051F2"/>
    <w:rsid w:val="00E05218"/>
    <w:rsid w:val="00E0522C"/>
    <w:rsid w:val="00E05235"/>
    <w:rsid w:val="00E05242"/>
    <w:rsid w:val="00E05246"/>
    <w:rsid w:val="00E05276"/>
    <w:rsid w:val="00E052A0"/>
    <w:rsid w:val="00E052A2"/>
    <w:rsid w:val="00E052E3"/>
    <w:rsid w:val="00E053B8"/>
    <w:rsid w:val="00E053CE"/>
    <w:rsid w:val="00E05437"/>
    <w:rsid w:val="00E054AA"/>
    <w:rsid w:val="00E055B9"/>
    <w:rsid w:val="00E0561B"/>
    <w:rsid w:val="00E0568E"/>
    <w:rsid w:val="00E056C8"/>
    <w:rsid w:val="00E05712"/>
    <w:rsid w:val="00E05783"/>
    <w:rsid w:val="00E057AD"/>
    <w:rsid w:val="00E05890"/>
    <w:rsid w:val="00E058D7"/>
    <w:rsid w:val="00E05948"/>
    <w:rsid w:val="00E059BC"/>
    <w:rsid w:val="00E059DE"/>
    <w:rsid w:val="00E059E7"/>
    <w:rsid w:val="00E05A31"/>
    <w:rsid w:val="00E05A3C"/>
    <w:rsid w:val="00E05A93"/>
    <w:rsid w:val="00E05AA0"/>
    <w:rsid w:val="00E05AB1"/>
    <w:rsid w:val="00E05B0D"/>
    <w:rsid w:val="00E05B66"/>
    <w:rsid w:val="00E05B8F"/>
    <w:rsid w:val="00E05C03"/>
    <w:rsid w:val="00E05C91"/>
    <w:rsid w:val="00E05C92"/>
    <w:rsid w:val="00E05D2F"/>
    <w:rsid w:val="00E05D43"/>
    <w:rsid w:val="00E05DF5"/>
    <w:rsid w:val="00E05E4D"/>
    <w:rsid w:val="00E05EF7"/>
    <w:rsid w:val="00E05FCE"/>
    <w:rsid w:val="00E06075"/>
    <w:rsid w:val="00E06079"/>
    <w:rsid w:val="00E060D6"/>
    <w:rsid w:val="00E06192"/>
    <w:rsid w:val="00E06217"/>
    <w:rsid w:val="00E0621B"/>
    <w:rsid w:val="00E0627C"/>
    <w:rsid w:val="00E06296"/>
    <w:rsid w:val="00E0629B"/>
    <w:rsid w:val="00E06301"/>
    <w:rsid w:val="00E06304"/>
    <w:rsid w:val="00E06305"/>
    <w:rsid w:val="00E06334"/>
    <w:rsid w:val="00E0633A"/>
    <w:rsid w:val="00E0634C"/>
    <w:rsid w:val="00E06363"/>
    <w:rsid w:val="00E06377"/>
    <w:rsid w:val="00E063A6"/>
    <w:rsid w:val="00E063D1"/>
    <w:rsid w:val="00E06403"/>
    <w:rsid w:val="00E06414"/>
    <w:rsid w:val="00E0641F"/>
    <w:rsid w:val="00E064AA"/>
    <w:rsid w:val="00E064BF"/>
    <w:rsid w:val="00E064CE"/>
    <w:rsid w:val="00E06524"/>
    <w:rsid w:val="00E0658D"/>
    <w:rsid w:val="00E0659B"/>
    <w:rsid w:val="00E0659C"/>
    <w:rsid w:val="00E065B2"/>
    <w:rsid w:val="00E065BB"/>
    <w:rsid w:val="00E06617"/>
    <w:rsid w:val="00E06661"/>
    <w:rsid w:val="00E0668A"/>
    <w:rsid w:val="00E066E4"/>
    <w:rsid w:val="00E06721"/>
    <w:rsid w:val="00E06779"/>
    <w:rsid w:val="00E0677A"/>
    <w:rsid w:val="00E06844"/>
    <w:rsid w:val="00E06867"/>
    <w:rsid w:val="00E06870"/>
    <w:rsid w:val="00E0687F"/>
    <w:rsid w:val="00E0688A"/>
    <w:rsid w:val="00E068BC"/>
    <w:rsid w:val="00E068E2"/>
    <w:rsid w:val="00E068F3"/>
    <w:rsid w:val="00E0691C"/>
    <w:rsid w:val="00E0693B"/>
    <w:rsid w:val="00E0693E"/>
    <w:rsid w:val="00E06A1C"/>
    <w:rsid w:val="00E06A22"/>
    <w:rsid w:val="00E06A36"/>
    <w:rsid w:val="00E06A67"/>
    <w:rsid w:val="00E06AB9"/>
    <w:rsid w:val="00E06AC2"/>
    <w:rsid w:val="00E06AF3"/>
    <w:rsid w:val="00E06B47"/>
    <w:rsid w:val="00E06B53"/>
    <w:rsid w:val="00E06C1F"/>
    <w:rsid w:val="00E06C8D"/>
    <w:rsid w:val="00E06C9C"/>
    <w:rsid w:val="00E06CC4"/>
    <w:rsid w:val="00E06D22"/>
    <w:rsid w:val="00E06D42"/>
    <w:rsid w:val="00E06D47"/>
    <w:rsid w:val="00E06D50"/>
    <w:rsid w:val="00E06D81"/>
    <w:rsid w:val="00E06D83"/>
    <w:rsid w:val="00E06DA1"/>
    <w:rsid w:val="00E06E40"/>
    <w:rsid w:val="00E06E81"/>
    <w:rsid w:val="00E06E95"/>
    <w:rsid w:val="00E06EAF"/>
    <w:rsid w:val="00E06EDF"/>
    <w:rsid w:val="00E06F00"/>
    <w:rsid w:val="00E06F14"/>
    <w:rsid w:val="00E06F29"/>
    <w:rsid w:val="00E06F6C"/>
    <w:rsid w:val="00E06FC6"/>
    <w:rsid w:val="00E06FF1"/>
    <w:rsid w:val="00E070AA"/>
    <w:rsid w:val="00E070C5"/>
    <w:rsid w:val="00E07130"/>
    <w:rsid w:val="00E07150"/>
    <w:rsid w:val="00E07177"/>
    <w:rsid w:val="00E071B7"/>
    <w:rsid w:val="00E0726E"/>
    <w:rsid w:val="00E072A2"/>
    <w:rsid w:val="00E072B3"/>
    <w:rsid w:val="00E072EC"/>
    <w:rsid w:val="00E072F5"/>
    <w:rsid w:val="00E072FC"/>
    <w:rsid w:val="00E0734C"/>
    <w:rsid w:val="00E07380"/>
    <w:rsid w:val="00E073B2"/>
    <w:rsid w:val="00E073D5"/>
    <w:rsid w:val="00E07402"/>
    <w:rsid w:val="00E07409"/>
    <w:rsid w:val="00E0742A"/>
    <w:rsid w:val="00E07434"/>
    <w:rsid w:val="00E074E7"/>
    <w:rsid w:val="00E07508"/>
    <w:rsid w:val="00E07512"/>
    <w:rsid w:val="00E07604"/>
    <w:rsid w:val="00E07610"/>
    <w:rsid w:val="00E0763F"/>
    <w:rsid w:val="00E0764A"/>
    <w:rsid w:val="00E0765D"/>
    <w:rsid w:val="00E076E9"/>
    <w:rsid w:val="00E07703"/>
    <w:rsid w:val="00E07708"/>
    <w:rsid w:val="00E07740"/>
    <w:rsid w:val="00E0774C"/>
    <w:rsid w:val="00E077CD"/>
    <w:rsid w:val="00E07802"/>
    <w:rsid w:val="00E07889"/>
    <w:rsid w:val="00E078D9"/>
    <w:rsid w:val="00E07903"/>
    <w:rsid w:val="00E0792B"/>
    <w:rsid w:val="00E079A8"/>
    <w:rsid w:val="00E079D0"/>
    <w:rsid w:val="00E079DF"/>
    <w:rsid w:val="00E079E2"/>
    <w:rsid w:val="00E079F1"/>
    <w:rsid w:val="00E07A2F"/>
    <w:rsid w:val="00E07A34"/>
    <w:rsid w:val="00E07A7D"/>
    <w:rsid w:val="00E07A8B"/>
    <w:rsid w:val="00E07A9D"/>
    <w:rsid w:val="00E07AD0"/>
    <w:rsid w:val="00E07AFD"/>
    <w:rsid w:val="00E07B08"/>
    <w:rsid w:val="00E07B16"/>
    <w:rsid w:val="00E07B3C"/>
    <w:rsid w:val="00E07BAD"/>
    <w:rsid w:val="00E07CA2"/>
    <w:rsid w:val="00E07CA8"/>
    <w:rsid w:val="00E07CD8"/>
    <w:rsid w:val="00E07D10"/>
    <w:rsid w:val="00E07D26"/>
    <w:rsid w:val="00E07D46"/>
    <w:rsid w:val="00E07DA6"/>
    <w:rsid w:val="00E07DEE"/>
    <w:rsid w:val="00E07DFE"/>
    <w:rsid w:val="00E07E03"/>
    <w:rsid w:val="00E07E31"/>
    <w:rsid w:val="00E07E74"/>
    <w:rsid w:val="00E07EA9"/>
    <w:rsid w:val="00E07F26"/>
    <w:rsid w:val="00E07FA3"/>
    <w:rsid w:val="00E07FF8"/>
    <w:rsid w:val="00E10037"/>
    <w:rsid w:val="00E10124"/>
    <w:rsid w:val="00E1012F"/>
    <w:rsid w:val="00E1016B"/>
    <w:rsid w:val="00E10176"/>
    <w:rsid w:val="00E101C5"/>
    <w:rsid w:val="00E101C8"/>
    <w:rsid w:val="00E1029B"/>
    <w:rsid w:val="00E102D4"/>
    <w:rsid w:val="00E10304"/>
    <w:rsid w:val="00E10342"/>
    <w:rsid w:val="00E10354"/>
    <w:rsid w:val="00E10372"/>
    <w:rsid w:val="00E10384"/>
    <w:rsid w:val="00E103E8"/>
    <w:rsid w:val="00E1040F"/>
    <w:rsid w:val="00E10451"/>
    <w:rsid w:val="00E10463"/>
    <w:rsid w:val="00E10492"/>
    <w:rsid w:val="00E104B4"/>
    <w:rsid w:val="00E104C0"/>
    <w:rsid w:val="00E104C4"/>
    <w:rsid w:val="00E104CA"/>
    <w:rsid w:val="00E104E7"/>
    <w:rsid w:val="00E10531"/>
    <w:rsid w:val="00E1057E"/>
    <w:rsid w:val="00E10584"/>
    <w:rsid w:val="00E105A5"/>
    <w:rsid w:val="00E105DE"/>
    <w:rsid w:val="00E105EC"/>
    <w:rsid w:val="00E105F8"/>
    <w:rsid w:val="00E1060F"/>
    <w:rsid w:val="00E1064F"/>
    <w:rsid w:val="00E10650"/>
    <w:rsid w:val="00E1066F"/>
    <w:rsid w:val="00E1067C"/>
    <w:rsid w:val="00E10690"/>
    <w:rsid w:val="00E106B7"/>
    <w:rsid w:val="00E10741"/>
    <w:rsid w:val="00E1076A"/>
    <w:rsid w:val="00E107E5"/>
    <w:rsid w:val="00E1082B"/>
    <w:rsid w:val="00E10850"/>
    <w:rsid w:val="00E10875"/>
    <w:rsid w:val="00E108B5"/>
    <w:rsid w:val="00E10956"/>
    <w:rsid w:val="00E10982"/>
    <w:rsid w:val="00E109A9"/>
    <w:rsid w:val="00E109D4"/>
    <w:rsid w:val="00E109F5"/>
    <w:rsid w:val="00E10A33"/>
    <w:rsid w:val="00E10A4B"/>
    <w:rsid w:val="00E10AE7"/>
    <w:rsid w:val="00E10B04"/>
    <w:rsid w:val="00E10B24"/>
    <w:rsid w:val="00E10B69"/>
    <w:rsid w:val="00E10BB9"/>
    <w:rsid w:val="00E10BDA"/>
    <w:rsid w:val="00E10BEF"/>
    <w:rsid w:val="00E10BF4"/>
    <w:rsid w:val="00E10C04"/>
    <w:rsid w:val="00E10C16"/>
    <w:rsid w:val="00E10C22"/>
    <w:rsid w:val="00E10C29"/>
    <w:rsid w:val="00E10CAB"/>
    <w:rsid w:val="00E10CDA"/>
    <w:rsid w:val="00E10CE7"/>
    <w:rsid w:val="00E10D51"/>
    <w:rsid w:val="00E10DAC"/>
    <w:rsid w:val="00E10DB0"/>
    <w:rsid w:val="00E10DEE"/>
    <w:rsid w:val="00E10E24"/>
    <w:rsid w:val="00E10E29"/>
    <w:rsid w:val="00E10E33"/>
    <w:rsid w:val="00E10E46"/>
    <w:rsid w:val="00E10E4E"/>
    <w:rsid w:val="00E10E51"/>
    <w:rsid w:val="00E10E56"/>
    <w:rsid w:val="00E10E8B"/>
    <w:rsid w:val="00E10EC3"/>
    <w:rsid w:val="00E10F53"/>
    <w:rsid w:val="00E10F94"/>
    <w:rsid w:val="00E11089"/>
    <w:rsid w:val="00E110AA"/>
    <w:rsid w:val="00E110B9"/>
    <w:rsid w:val="00E110C3"/>
    <w:rsid w:val="00E11103"/>
    <w:rsid w:val="00E11116"/>
    <w:rsid w:val="00E1111B"/>
    <w:rsid w:val="00E11145"/>
    <w:rsid w:val="00E111CB"/>
    <w:rsid w:val="00E111E0"/>
    <w:rsid w:val="00E111E1"/>
    <w:rsid w:val="00E1125A"/>
    <w:rsid w:val="00E11294"/>
    <w:rsid w:val="00E112BC"/>
    <w:rsid w:val="00E112C8"/>
    <w:rsid w:val="00E1133A"/>
    <w:rsid w:val="00E1139C"/>
    <w:rsid w:val="00E113D1"/>
    <w:rsid w:val="00E1147C"/>
    <w:rsid w:val="00E11493"/>
    <w:rsid w:val="00E114CB"/>
    <w:rsid w:val="00E1150B"/>
    <w:rsid w:val="00E1154C"/>
    <w:rsid w:val="00E11552"/>
    <w:rsid w:val="00E11570"/>
    <w:rsid w:val="00E1157E"/>
    <w:rsid w:val="00E115A2"/>
    <w:rsid w:val="00E11663"/>
    <w:rsid w:val="00E116A3"/>
    <w:rsid w:val="00E116C9"/>
    <w:rsid w:val="00E1171D"/>
    <w:rsid w:val="00E11728"/>
    <w:rsid w:val="00E11758"/>
    <w:rsid w:val="00E117EB"/>
    <w:rsid w:val="00E11831"/>
    <w:rsid w:val="00E11847"/>
    <w:rsid w:val="00E1184D"/>
    <w:rsid w:val="00E1185D"/>
    <w:rsid w:val="00E11872"/>
    <w:rsid w:val="00E11883"/>
    <w:rsid w:val="00E11896"/>
    <w:rsid w:val="00E118B2"/>
    <w:rsid w:val="00E118E9"/>
    <w:rsid w:val="00E1195D"/>
    <w:rsid w:val="00E11987"/>
    <w:rsid w:val="00E119A1"/>
    <w:rsid w:val="00E119D8"/>
    <w:rsid w:val="00E119F4"/>
    <w:rsid w:val="00E119F9"/>
    <w:rsid w:val="00E11A2F"/>
    <w:rsid w:val="00E11A3D"/>
    <w:rsid w:val="00E11A40"/>
    <w:rsid w:val="00E11A93"/>
    <w:rsid w:val="00E11A9F"/>
    <w:rsid w:val="00E11AA4"/>
    <w:rsid w:val="00E11B34"/>
    <w:rsid w:val="00E11BD6"/>
    <w:rsid w:val="00E11C34"/>
    <w:rsid w:val="00E11CC4"/>
    <w:rsid w:val="00E11CE9"/>
    <w:rsid w:val="00E11CF8"/>
    <w:rsid w:val="00E11D01"/>
    <w:rsid w:val="00E11D04"/>
    <w:rsid w:val="00E11D0E"/>
    <w:rsid w:val="00E11D1B"/>
    <w:rsid w:val="00E11D4D"/>
    <w:rsid w:val="00E11D61"/>
    <w:rsid w:val="00E11D7E"/>
    <w:rsid w:val="00E11DF6"/>
    <w:rsid w:val="00E11E0C"/>
    <w:rsid w:val="00E11E22"/>
    <w:rsid w:val="00E11E42"/>
    <w:rsid w:val="00E11E5D"/>
    <w:rsid w:val="00E11E94"/>
    <w:rsid w:val="00E11EDD"/>
    <w:rsid w:val="00E11F6A"/>
    <w:rsid w:val="00E11FBF"/>
    <w:rsid w:val="00E11FD5"/>
    <w:rsid w:val="00E1202B"/>
    <w:rsid w:val="00E12037"/>
    <w:rsid w:val="00E12038"/>
    <w:rsid w:val="00E12055"/>
    <w:rsid w:val="00E12078"/>
    <w:rsid w:val="00E1207F"/>
    <w:rsid w:val="00E12118"/>
    <w:rsid w:val="00E1212F"/>
    <w:rsid w:val="00E12141"/>
    <w:rsid w:val="00E12151"/>
    <w:rsid w:val="00E1216D"/>
    <w:rsid w:val="00E12182"/>
    <w:rsid w:val="00E121A6"/>
    <w:rsid w:val="00E121D4"/>
    <w:rsid w:val="00E121EE"/>
    <w:rsid w:val="00E1223C"/>
    <w:rsid w:val="00E12277"/>
    <w:rsid w:val="00E12287"/>
    <w:rsid w:val="00E12294"/>
    <w:rsid w:val="00E122EF"/>
    <w:rsid w:val="00E1234D"/>
    <w:rsid w:val="00E12364"/>
    <w:rsid w:val="00E1238C"/>
    <w:rsid w:val="00E123AB"/>
    <w:rsid w:val="00E123BE"/>
    <w:rsid w:val="00E123D0"/>
    <w:rsid w:val="00E123DB"/>
    <w:rsid w:val="00E1240D"/>
    <w:rsid w:val="00E12443"/>
    <w:rsid w:val="00E1247C"/>
    <w:rsid w:val="00E12488"/>
    <w:rsid w:val="00E12500"/>
    <w:rsid w:val="00E12507"/>
    <w:rsid w:val="00E12545"/>
    <w:rsid w:val="00E125AB"/>
    <w:rsid w:val="00E125B7"/>
    <w:rsid w:val="00E125EC"/>
    <w:rsid w:val="00E12630"/>
    <w:rsid w:val="00E12661"/>
    <w:rsid w:val="00E12731"/>
    <w:rsid w:val="00E1273C"/>
    <w:rsid w:val="00E12749"/>
    <w:rsid w:val="00E1274B"/>
    <w:rsid w:val="00E12778"/>
    <w:rsid w:val="00E12903"/>
    <w:rsid w:val="00E12917"/>
    <w:rsid w:val="00E1295D"/>
    <w:rsid w:val="00E1296C"/>
    <w:rsid w:val="00E1296E"/>
    <w:rsid w:val="00E1298B"/>
    <w:rsid w:val="00E129BE"/>
    <w:rsid w:val="00E129DD"/>
    <w:rsid w:val="00E129FE"/>
    <w:rsid w:val="00E12A39"/>
    <w:rsid w:val="00E12A4F"/>
    <w:rsid w:val="00E12A73"/>
    <w:rsid w:val="00E12AAC"/>
    <w:rsid w:val="00E12AB3"/>
    <w:rsid w:val="00E12B46"/>
    <w:rsid w:val="00E12B5C"/>
    <w:rsid w:val="00E12B8C"/>
    <w:rsid w:val="00E12B8E"/>
    <w:rsid w:val="00E12B9B"/>
    <w:rsid w:val="00E12BBE"/>
    <w:rsid w:val="00E12C04"/>
    <w:rsid w:val="00E12C9E"/>
    <w:rsid w:val="00E12CB2"/>
    <w:rsid w:val="00E12CC0"/>
    <w:rsid w:val="00E12CF3"/>
    <w:rsid w:val="00E12D1B"/>
    <w:rsid w:val="00E12D23"/>
    <w:rsid w:val="00E12D77"/>
    <w:rsid w:val="00E12D92"/>
    <w:rsid w:val="00E12D9F"/>
    <w:rsid w:val="00E12DD8"/>
    <w:rsid w:val="00E12DE6"/>
    <w:rsid w:val="00E12DF6"/>
    <w:rsid w:val="00E12E2A"/>
    <w:rsid w:val="00E12E4B"/>
    <w:rsid w:val="00E12E9F"/>
    <w:rsid w:val="00E12EBA"/>
    <w:rsid w:val="00E12EDF"/>
    <w:rsid w:val="00E12F00"/>
    <w:rsid w:val="00E12F74"/>
    <w:rsid w:val="00E12F75"/>
    <w:rsid w:val="00E12F7F"/>
    <w:rsid w:val="00E12FA2"/>
    <w:rsid w:val="00E12FC8"/>
    <w:rsid w:val="00E13070"/>
    <w:rsid w:val="00E1309D"/>
    <w:rsid w:val="00E130C7"/>
    <w:rsid w:val="00E13129"/>
    <w:rsid w:val="00E131BE"/>
    <w:rsid w:val="00E13257"/>
    <w:rsid w:val="00E1327D"/>
    <w:rsid w:val="00E13287"/>
    <w:rsid w:val="00E13299"/>
    <w:rsid w:val="00E13302"/>
    <w:rsid w:val="00E1337C"/>
    <w:rsid w:val="00E1338B"/>
    <w:rsid w:val="00E13413"/>
    <w:rsid w:val="00E13419"/>
    <w:rsid w:val="00E13422"/>
    <w:rsid w:val="00E13448"/>
    <w:rsid w:val="00E13469"/>
    <w:rsid w:val="00E1349D"/>
    <w:rsid w:val="00E134B9"/>
    <w:rsid w:val="00E134BA"/>
    <w:rsid w:val="00E134E7"/>
    <w:rsid w:val="00E134F8"/>
    <w:rsid w:val="00E134FF"/>
    <w:rsid w:val="00E13549"/>
    <w:rsid w:val="00E1356F"/>
    <w:rsid w:val="00E135D4"/>
    <w:rsid w:val="00E135F4"/>
    <w:rsid w:val="00E13691"/>
    <w:rsid w:val="00E136AA"/>
    <w:rsid w:val="00E136C1"/>
    <w:rsid w:val="00E136EE"/>
    <w:rsid w:val="00E13745"/>
    <w:rsid w:val="00E1376D"/>
    <w:rsid w:val="00E137D9"/>
    <w:rsid w:val="00E13852"/>
    <w:rsid w:val="00E138A7"/>
    <w:rsid w:val="00E138B3"/>
    <w:rsid w:val="00E138BA"/>
    <w:rsid w:val="00E138F9"/>
    <w:rsid w:val="00E1390B"/>
    <w:rsid w:val="00E13940"/>
    <w:rsid w:val="00E1394A"/>
    <w:rsid w:val="00E1397D"/>
    <w:rsid w:val="00E139AC"/>
    <w:rsid w:val="00E13A5A"/>
    <w:rsid w:val="00E13AC1"/>
    <w:rsid w:val="00E13AD1"/>
    <w:rsid w:val="00E13B46"/>
    <w:rsid w:val="00E13BF9"/>
    <w:rsid w:val="00E13BFC"/>
    <w:rsid w:val="00E13C03"/>
    <w:rsid w:val="00E13C1D"/>
    <w:rsid w:val="00E13C50"/>
    <w:rsid w:val="00E13CBC"/>
    <w:rsid w:val="00E13D0A"/>
    <w:rsid w:val="00E13D33"/>
    <w:rsid w:val="00E13D37"/>
    <w:rsid w:val="00E13D62"/>
    <w:rsid w:val="00E13D79"/>
    <w:rsid w:val="00E13DC1"/>
    <w:rsid w:val="00E13DC8"/>
    <w:rsid w:val="00E13DCC"/>
    <w:rsid w:val="00E13E13"/>
    <w:rsid w:val="00E13E7E"/>
    <w:rsid w:val="00E13E9E"/>
    <w:rsid w:val="00E13F01"/>
    <w:rsid w:val="00E13F45"/>
    <w:rsid w:val="00E13F9E"/>
    <w:rsid w:val="00E13FC9"/>
    <w:rsid w:val="00E13FE1"/>
    <w:rsid w:val="00E14025"/>
    <w:rsid w:val="00E1408A"/>
    <w:rsid w:val="00E14096"/>
    <w:rsid w:val="00E140E3"/>
    <w:rsid w:val="00E140F7"/>
    <w:rsid w:val="00E14106"/>
    <w:rsid w:val="00E1416C"/>
    <w:rsid w:val="00E141CE"/>
    <w:rsid w:val="00E1422D"/>
    <w:rsid w:val="00E1426D"/>
    <w:rsid w:val="00E14296"/>
    <w:rsid w:val="00E1429F"/>
    <w:rsid w:val="00E142A3"/>
    <w:rsid w:val="00E142ED"/>
    <w:rsid w:val="00E142F2"/>
    <w:rsid w:val="00E14315"/>
    <w:rsid w:val="00E14317"/>
    <w:rsid w:val="00E14341"/>
    <w:rsid w:val="00E1434D"/>
    <w:rsid w:val="00E14370"/>
    <w:rsid w:val="00E14374"/>
    <w:rsid w:val="00E143A6"/>
    <w:rsid w:val="00E143CA"/>
    <w:rsid w:val="00E143EC"/>
    <w:rsid w:val="00E1440D"/>
    <w:rsid w:val="00E1442C"/>
    <w:rsid w:val="00E1443C"/>
    <w:rsid w:val="00E14475"/>
    <w:rsid w:val="00E14516"/>
    <w:rsid w:val="00E1451E"/>
    <w:rsid w:val="00E14565"/>
    <w:rsid w:val="00E1458B"/>
    <w:rsid w:val="00E14618"/>
    <w:rsid w:val="00E14628"/>
    <w:rsid w:val="00E1462D"/>
    <w:rsid w:val="00E146A7"/>
    <w:rsid w:val="00E146F7"/>
    <w:rsid w:val="00E14740"/>
    <w:rsid w:val="00E147A7"/>
    <w:rsid w:val="00E147AD"/>
    <w:rsid w:val="00E14806"/>
    <w:rsid w:val="00E1489C"/>
    <w:rsid w:val="00E14911"/>
    <w:rsid w:val="00E14924"/>
    <w:rsid w:val="00E14963"/>
    <w:rsid w:val="00E14971"/>
    <w:rsid w:val="00E14987"/>
    <w:rsid w:val="00E149A2"/>
    <w:rsid w:val="00E149D3"/>
    <w:rsid w:val="00E149F5"/>
    <w:rsid w:val="00E14A05"/>
    <w:rsid w:val="00E14ABF"/>
    <w:rsid w:val="00E14AE5"/>
    <w:rsid w:val="00E14B07"/>
    <w:rsid w:val="00E14B10"/>
    <w:rsid w:val="00E14B62"/>
    <w:rsid w:val="00E14BA0"/>
    <w:rsid w:val="00E14BE4"/>
    <w:rsid w:val="00E14BE9"/>
    <w:rsid w:val="00E14C0A"/>
    <w:rsid w:val="00E14C25"/>
    <w:rsid w:val="00E14C47"/>
    <w:rsid w:val="00E14C8B"/>
    <w:rsid w:val="00E14C94"/>
    <w:rsid w:val="00E14CA3"/>
    <w:rsid w:val="00E14D4A"/>
    <w:rsid w:val="00E14D80"/>
    <w:rsid w:val="00E14DB6"/>
    <w:rsid w:val="00E14DD9"/>
    <w:rsid w:val="00E14E69"/>
    <w:rsid w:val="00E14E83"/>
    <w:rsid w:val="00E14E96"/>
    <w:rsid w:val="00E14EE2"/>
    <w:rsid w:val="00E14F47"/>
    <w:rsid w:val="00E14F57"/>
    <w:rsid w:val="00E14FD7"/>
    <w:rsid w:val="00E14FD8"/>
    <w:rsid w:val="00E14FE1"/>
    <w:rsid w:val="00E15018"/>
    <w:rsid w:val="00E15022"/>
    <w:rsid w:val="00E15024"/>
    <w:rsid w:val="00E1513A"/>
    <w:rsid w:val="00E1513B"/>
    <w:rsid w:val="00E1516B"/>
    <w:rsid w:val="00E151E1"/>
    <w:rsid w:val="00E151F1"/>
    <w:rsid w:val="00E15206"/>
    <w:rsid w:val="00E15265"/>
    <w:rsid w:val="00E1526B"/>
    <w:rsid w:val="00E1527C"/>
    <w:rsid w:val="00E152B0"/>
    <w:rsid w:val="00E152ED"/>
    <w:rsid w:val="00E15313"/>
    <w:rsid w:val="00E1537B"/>
    <w:rsid w:val="00E15398"/>
    <w:rsid w:val="00E15425"/>
    <w:rsid w:val="00E1542B"/>
    <w:rsid w:val="00E15454"/>
    <w:rsid w:val="00E15461"/>
    <w:rsid w:val="00E15468"/>
    <w:rsid w:val="00E15479"/>
    <w:rsid w:val="00E154B6"/>
    <w:rsid w:val="00E154FF"/>
    <w:rsid w:val="00E15514"/>
    <w:rsid w:val="00E15542"/>
    <w:rsid w:val="00E1555E"/>
    <w:rsid w:val="00E15574"/>
    <w:rsid w:val="00E1558E"/>
    <w:rsid w:val="00E155C7"/>
    <w:rsid w:val="00E155D4"/>
    <w:rsid w:val="00E155FB"/>
    <w:rsid w:val="00E15623"/>
    <w:rsid w:val="00E1564B"/>
    <w:rsid w:val="00E15675"/>
    <w:rsid w:val="00E156BB"/>
    <w:rsid w:val="00E156F7"/>
    <w:rsid w:val="00E15752"/>
    <w:rsid w:val="00E1575C"/>
    <w:rsid w:val="00E1575E"/>
    <w:rsid w:val="00E1578A"/>
    <w:rsid w:val="00E157DD"/>
    <w:rsid w:val="00E157E5"/>
    <w:rsid w:val="00E1587B"/>
    <w:rsid w:val="00E158A9"/>
    <w:rsid w:val="00E158AA"/>
    <w:rsid w:val="00E158CA"/>
    <w:rsid w:val="00E15926"/>
    <w:rsid w:val="00E1595B"/>
    <w:rsid w:val="00E15968"/>
    <w:rsid w:val="00E1596D"/>
    <w:rsid w:val="00E159B1"/>
    <w:rsid w:val="00E159C9"/>
    <w:rsid w:val="00E159D2"/>
    <w:rsid w:val="00E159D6"/>
    <w:rsid w:val="00E159FB"/>
    <w:rsid w:val="00E159FC"/>
    <w:rsid w:val="00E15A11"/>
    <w:rsid w:val="00E15A1D"/>
    <w:rsid w:val="00E15A2B"/>
    <w:rsid w:val="00E15A51"/>
    <w:rsid w:val="00E15AEF"/>
    <w:rsid w:val="00E15B11"/>
    <w:rsid w:val="00E15B1A"/>
    <w:rsid w:val="00E15B75"/>
    <w:rsid w:val="00E15B92"/>
    <w:rsid w:val="00E15B99"/>
    <w:rsid w:val="00E15BFA"/>
    <w:rsid w:val="00E15C5A"/>
    <w:rsid w:val="00E15C6C"/>
    <w:rsid w:val="00E15C74"/>
    <w:rsid w:val="00E15C9B"/>
    <w:rsid w:val="00E15C9E"/>
    <w:rsid w:val="00E15CB4"/>
    <w:rsid w:val="00E15CBC"/>
    <w:rsid w:val="00E15CCA"/>
    <w:rsid w:val="00E15CD6"/>
    <w:rsid w:val="00E15CEB"/>
    <w:rsid w:val="00E15D3E"/>
    <w:rsid w:val="00E15D8B"/>
    <w:rsid w:val="00E15D9D"/>
    <w:rsid w:val="00E15DAE"/>
    <w:rsid w:val="00E15E27"/>
    <w:rsid w:val="00E15F70"/>
    <w:rsid w:val="00E15FEE"/>
    <w:rsid w:val="00E16023"/>
    <w:rsid w:val="00E16115"/>
    <w:rsid w:val="00E16140"/>
    <w:rsid w:val="00E16200"/>
    <w:rsid w:val="00E1621D"/>
    <w:rsid w:val="00E16235"/>
    <w:rsid w:val="00E1627B"/>
    <w:rsid w:val="00E1636F"/>
    <w:rsid w:val="00E1639D"/>
    <w:rsid w:val="00E163BE"/>
    <w:rsid w:val="00E163DD"/>
    <w:rsid w:val="00E163E6"/>
    <w:rsid w:val="00E163FD"/>
    <w:rsid w:val="00E1640C"/>
    <w:rsid w:val="00E164A1"/>
    <w:rsid w:val="00E164D2"/>
    <w:rsid w:val="00E16518"/>
    <w:rsid w:val="00E16580"/>
    <w:rsid w:val="00E16598"/>
    <w:rsid w:val="00E165DF"/>
    <w:rsid w:val="00E165E2"/>
    <w:rsid w:val="00E16614"/>
    <w:rsid w:val="00E1661B"/>
    <w:rsid w:val="00E1662D"/>
    <w:rsid w:val="00E16679"/>
    <w:rsid w:val="00E1668B"/>
    <w:rsid w:val="00E16739"/>
    <w:rsid w:val="00E1676D"/>
    <w:rsid w:val="00E1679C"/>
    <w:rsid w:val="00E167A0"/>
    <w:rsid w:val="00E16842"/>
    <w:rsid w:val="00E16848"/>
    <w:rsid w:val="00E16856"/>
    <w:rsid w:val="00E1688E"/>
    <w:rsid w:val="00E1689A"/>
    <w:rsid w:val="00E168BE"/>
    <w:rsid w:val="00E168F6"/>
    <w:rsid w:val="00E168F7"/>
    <w:rsid w:val="00E16901"/>
    <w:rsid w:val="00E16919"/>
    <w:rsid w:val="00E1698D"/>
    <w:rsid w:val="00E169C2"/>
    <w:rsid w:val="00E169CC"/>
    <w:rsid w:val="00E16A76"/>
    <w:rsid w:val="00E16AA5"/>
    <w:rsid w:val="00E16AAD"/>
    <w:rsid w:val="00E16B28"/>
    <w:rsid w:val="00E16BAE"/>
    <w:rsid w:val="00E16C11"/>
    <w:rsid w:val="00E16C8D"/>
    <w:rsid w:val="00E16CEB"/>
    <w:rsid w:val="00E16CFC"/>
    <w:rsid w:val="00E16D37"/>
    <w:rsid w:val="00E16D57"/>
    <w:rsid w:val="00E16D5E"/>
    <w:rsid w:val="00E16D67"/>
    <w:rsid w:val="00E16DC8"/>
    <w:rsid w:val="00E16E7A"/>
    <w:rsid w:val="00E16ECD"/>
    <w:rsid w:val="00E16F0D"/>
    <w:rsid w:val="00E16F28"/>
    <w:rsid w:val="00E16F2E"/>
    <w:rsid w:val="00E16F76"/>
    <w:rsid w:val="00E16FE1"/>
    <w:rsid w:val="00E17029"/>
    <w:rsid w:val="00E170AA"/>
    <w:rsid w:val="00E170B6"/>
    <w:rsid w:val="00E17108"/>
    <w:rsid w:val="00E17123"/>
    <w:rsid w:val="00E17222"/>
    <w:rsid w:val="00E17232"/>
    <w:rsid w:val="00E17239"/>
    <w:rsid w:val="00E172B9"/>
    <w:rsid w:val="00E1738C"/>
    <w:rsid w:val="00E173BC"/>
    <w:rsid w:val="00E173C4"/>
    <w:rsid w:val="00E17405"/>
    <w:rsid w:val="00E17425"/>
    <w:rsid w:val="00E17434"/>
    <w:rsid w:val="00E174C1"/>
    <w:rsid w:val="00E174F0"/>
    <w:rsid w:val="00E17500"/>
    <w:rsid w:val="00E1751C"/>
    <w:rsid w:val="00E17537"/>
    <w:rsid w:val="00E1753F"/>
    <w:rsid w:val="00E17562"/>
    <w:rsid w:val="00E17568"/>
    <w:rsid w:val="00E17579"/>
    <w:rsid w:val="00E17582"/>
    <w:rsid w:val="00E17588"/>
    <w:rsid w:val="00E1759C"/>
    <w:rsid w:val="00E17629"/>
    <w:rsid w:val="00E17630"/>
    <w:rsid w:val="00E1763C"/>
    <w:rsid w:val="00E17676"/>
    <w:rsid w:val="00E1768B"/>
    <w:rsid w:val="00E1769F"/>
    <w:rsid w:val="00E176A3"/>
    <w:rsid w:val="00E1774A"/>
    <w:rsid w:val="00E1776E"/>
    <w:rsid w:val="00E177A2"/>
    <w:rsid w:val="00E177A3"/>
    <w:rsid w:val="00E17810"/>
    <w:rsid w:val="00E1786F"/>
    <w:rsid w:val="00E17880"/>
    <w:rsid w:val="00E178AB"/>
    <w:rsid w:val="00E178C7"/>
    <w:rsid w:val="00E178EF"/>
    <w:rsid w:val="00E1791C"/>
    <w:rsid w:val="00E17948"/>
    <w:rsid w:val="00E17956"/>
    <w:rsid w:val="00E17959"/>
    <w:rsid w:val="00E17982"/>
    <w:rsid w:val="00E179D5"/>
    <w:rsid w:val="00E17A0C"/>
    <w:rsid w:val="00E17A23"/>
    <w:rsid w:val="00E17A36"/>
    <w:rsid w:val="00E17AC0"/>
    <w:rsid w:val="00E17B48"/>
    <w:rsid w:val="00E17BC1"/>
    <w:rsid w:val="00E17BCE"/>
    <w:rsid w:val="00E17BE2"/>
    <w:rsid w:val="00E17BE4"/>
    <w:rsid w:val="00E17C24"/>
    <w:rsid w:val="00E17C4C"/>
    <w:rsid w:val="00E17CA5"/>
    <w:rsid w:val="00E17CBC"/>
    <w:rsid w:val="00E17CFA"/>
    <w:rsid w:val="00E17D16"/>
    <w:rsid w:val="00E17D2B"/>
    <w:rsid w:val="00E17D82"/>
    <w:rsid w:val="00E17DFC"/>
    <w:rsid w:val="00E17E21"/>
    <w:rsid w:val="00E17E47"/>
    <w:rsid w:val="00E17E6A"/>
    <w:rsid w:val="00E17E89"/>
    <w:rsid w:val="00E17EB5"/>
    <w:rsid w:val="00E17F7A"/>
    <w:rsid w:val="00E17F7B"/>
    <w:rsid w:val="00E17F7C"/>
    <w:rsid w:val="00E17F91"/>
    <w:rsid w:val="00E17FA1"/>
    <w:rsid w:val="00E20041"/>
    <w:rsid w:val="00E20053"/>
    <w:rsid w:val="00E20094"/>
    <w:rsid w:val="00E20144"/>
    <w:rsid w:val="00E2017B"/>
    <w:rsid w:val="00E201A4"/>
    <w:rsid w:val="00E201C0"/>
    <w:rsid w:val="00E201FC"/>
    <w:rsid w:val="00E20219"/>
    <w:rsid w:val="00E20284"/>
    <w:rsid w:val="00E202A3"/>
    <w:rsid w:val="00E202E3"/>
    <w:rsid w:val="00E2031A"/>
    <w:rsid w:val="00E2043A"/>
    <w:rsid w:val="00E20454"/>
    <w:rsid w:val="00E204FB"/>
    <w:rsid w:val="00E20592"/>
    <w:rsid w:val="00E205B3"/>
    <w:rsid w:val="00E205D3"/>
    <w:rsid w:val="00E20636"/>
    <w:rsid w:val="00E20648"/>
    <w:rsid w:val="00E20658"/>
    <w:rsid w:val="00E20671"/>
    <w:rsid w:val="00E20699"/>
    <w:rsid w:val="00E206FB"/>
    <w:rsid w:val="00E20761"/>
    <w:rsid w:val="00E20792"/>
    <w:rsid w:val="00E207E6"/>
    <w:rsid w:val="00E2084B"/>
    <w:rsid w:val="00E2085B"/>
    <w:rsid w:val="00E208C2"/>
    <w:rsid w:val="00E208D9"/>
    <w:rsid w:val="00E20900"/>
    <w:rsid w:val="00E20942"/>
    <w:rsid w:val="00E2094F"/>
    <w:rsid w:val="00E20994"/>
    <w:rsid w:val="00E209E0"/>
    <w:rsid w:val="00E209FC"/>
    <w:rsid w:val="00E20A0E"/>
    <w:rsid w:val="00E20A15"/>
    <w:rsid w:val="00E20A2F"/>
    <w:rsid w:val="00E20A55"/>
    <w:rsid w:val="00E20A61"/>
    <w:rsid w:val="00E20A9F"/>
    <w:rsid w:val="00E20AA6"/>
    <w:rsid w:val="00E20B25"/>
    <w:rsid w:val="00E20B93"/>
    <w:rsid w:val="00E20B97"/>
    <w:rsid w:val="00E20BED"/>
    <w:rsid w:val="00E20C6A"/>
    <w:rsid w:val="00E20C8A"/>
    <w:rsid w:val="00E20C8B"/>
    <w:rsid w:val="00E20CA5"/>
    <w:rsid w:val="00E20CA7"/>
    <w:rsid w:val="00E20CE9"/>
    <w:rsid w:val="00E20D18"/>
    <w:rsid w:val="00E20D1B"/>
    <w:rsid w:val="00E20D2B"/>
    <w:rsid w:val="00E20D41"/>
    <w:rsid w:val="00E20D4B"/>
    <w:rsid w:val="00E20D60"/>
    <w:rsid w:val="00E20D65"/>
    <w:rsid w:val="00E20DAD"/>
    <w:rsid w:val="00E20E6A"/>
    <w:rsid w:val="00E20EC2"/>
    <w:rsid w:val="00E20EE4"/>
    <w:rsid w:val="00E20F4D"/>
    <w:rsid w:val="00E20FCE"/>
    <w:rsid w:val="00E20FFA"/>
    <w:rsid w:val="00E2106F"/>
    <w:rsid w:val="00E210AE"/>
    <w:rsid w:val="00E21102"/>
    <w:rsid w:val="00E2110F"/>
    <w:rsid w:val="00E21170"/>
    <w:rsid w:val="00E2119E"/>
    <w:rsid w:val="00E211AC"/>
    <w:rsid w:val="00E211F8"/>
    <w:rsid w:val="00E2125C"/>
    <w:rsid w:val="00E212AA"/>
    <w:rsid w:val="00E212AD"/>
    <w:rsid w:val="00E212F8"/>
    <w:rsid w:val="00E212FE"/>
    <w:rsid w:val="00E21300"/>
    <w:rsid w:val="00E21306"/>
    <w:rsid w:val="00E21348"/>
    <w:rsid w:val="00E21368"/>
    <w:rsid w:val="00E21384"/>
    <w:rsid w:val="00E213DE"/>
    <w:rsid w:val="00E2142F"/>
    <w:rsid w:val="00E21434"/>
    <w:rsid w:val="00E21448"/>
    <w:rsid w:val="00E21457"/>
    <w:rsid w:val="00E21495"/>
    <w:rsid w:val="00E21597"/>
    <w:rsid w:val="00E215AE"/>
    <w:rsid w:val="00E21653"/>
    <w:rsid w:val="00E216AD"/>
    <w:rsid w:val="00E216CD"/>
    <w:rsid w:val="00E216DB"/>
    <w:rsid w:val="00E2170C"/>
    <w:rsid w:val="00E21714"/>
    <w:rsid w:val="00E2172E"/>
    <w:rsid w:val="00E21755"/>
    <w:rsid w:val="00E21783"/>
    <w:rsid w:val="00E21795"/>
    <w:rsid w:val="00E217E3"/>
    <w:rsid w:val="00E21825"/>
    <w:rsid w:val="00E2182F"/>
    <w:rsid w:val="00E2185B"/>
    <w:rsid w:val="00E21878"/>
    <w:rsid w:val="00E218AE"/>
    <w:rsid w:val="00E218BD"/>
    <w:rsid w:val="00E21900"/>
    <w:rsid w:val="00E2194E"/>
    <w:rsid w:val="00E21972"/>
    <w:rsid w:val="00E2199E"/>
    <w:rsid w:val="00E219DF"/>
    <w:rsid w:val="00E219FF"/>
    <w:rsid w:val="00E21A16"/>
    <w:rsid w:val="00E21A5D"/>
    <w:rsid w:val="00E21AD3"/>
    <w:rsid w:val="00E21ADB"/>
    <w:rsid w:val="00E21C5B"/>
    <w:rsid w:val="00E21C89"/>
    <w:rsid w:val="00E21C90"/>
    <w:rsid w:val="00E21C95"/>
    <w:rsid w:val="00E21CD2"/>
    <w:rsid w:val="00E21CD6"/>
    <w:rsid w:val="00E21CF1"/>
    <w:rsid w:val="00E21D19"/>
    <w:rsid w:val="00E21D22"/>
    <w:rsid w:val="00E21D37"/>
    <w:rsid w:val="00E21DD1"/>
    <w:rsid w:val="00E21E57"/>
    <w:rsid w:val="00E21F43"/>
    <w:rsid w:val="00E21FAB"/>
    <w:rsid w:val="00E22024"/>
    <w:rsid w:val="00E220D2"/>
    <w:rsid w:val="00E220E6"/>
    <w:rsid w:val="00E220EC"/>
    <w:rsid w:val="00E220F8"/>
    <w:rsid w:val="00E22187"/>
    <w:rsid w:val="00E22197"/>
    <w:rsid w:val="00E2219C"/>
    <w:rsid w:val="00E221A2"/>
    <w:rsid w:val="00E221A9"/>
    <w:rsid w:val="00E221D3"/>
    <w:rsid w:val="00E221E3"/>
    <w:rsid w:val="00E22200"/>
    <w:rsid w:val="00E22224"/>
    <w:rsid w:val="00E222A3"/>
    <w:rsid w:val="00E222A8"/>
    <w:rsid w:val="00E222B3"/>
    <w:rsid w:val="00E222BC"/>
    <w:rsid w:val="00E222CF"/>
    <w:rsid w:val="00E22343"/>
    <w:rsid w:val="00E22358"/>
    <w:rsid w:val="00E2243A"/>
    <w:rsid w:val="00E22482"/>
    <w:rsid w:val="00E22522"/>
    <w:rsid w:val="00E2252F"/>
    <w:rsid w:val="00E225DE"/>
    <w:rsid w:val="00E225E8"/>
    <w:rsid w:val="00E225EC"/>
    <w:rsid w:val="00E226C8"/>
    <w:rsid w:val="00E226FB"/>
    <w:rsid w:val="00E22826"/>
    <w:rsid w:val="00E22844"/>
    <w:rsid w:val="00E22955"/>
    <w:rsid w:val="00E229B6"/>
    <w:rsid w:val="00E229CC"/>
    <w:rsid w:val="00E229E2"/>
    <w:rsid w:val="00E22A1D"/>
    <w:rsid w:val="00E22A3A"/>
    <w:rsid w:val="00E22A7D"/>
    <w:rsid w:val="00E22AD5"/>
    <w:rsid w:val="00E22AF0"/>
    <w:rsid w:val="00E22B19"/>
    <w:rsid w:val="00E22B2E"/>
    <w:rsid w:val="00E22B45"/>
    <w:rsid w:val="00E22C0C"/>
    <w:rsid w:val="00E22C44"/>
    <w:rsid w:val="00E22C51"/>
    <w:rsid w:val="00E22DF6"/>
    <w:rsid w:val="00E22E0B"/>
    <w:rsid w:val="00E22E1B"/>
    <w:rsid w:val="00E22E28"/>
    <w:rsid w:val="00E22E46"/>
    <w:rsid w:val="00E22E47"/>
    <w:rsid w:val="00E22EE3"/>
    <w:rsid w:val="00E22F1B"/>
    <w:rsid w:val="00E22F74"/>
    <w:rsid w:val="00E22F94"/>
    <w:rsid w:val="00E22FBC"/>
    <w:rsid w:val="00E22FF9"/>
    <w:rsid w:val="00E2300F"/>
    <w:rsid w:val="00E23093"/>
    <w:rsid w:val="00E2309C"/>
    <w:rsid w:val="00E230AA"/>
    <w:rsid w:val="00E230DC"/>
    <w:rsid w:val="00E2314D"/>
    <w:rsid w:val="00E23153"/>
    <w:rsid w:val="00E231D4"/>
    <w:rsid w:val="00E231F8"/>
    <w:rsid w:val="00E23205"/>
    <w:rsid w:val="00E2321F"/>
    <w:rsid w:val="00E23237"/>
    <w:rsid w:val="00E232A0"/>
    <w:rsid w:val="00E232C0"/>
    <w:rsid w:val="00E232D6"/>
    <w:rsid w:val="00E2334D"/>
    <w:rsid w:val="00E2335B"/>
    <w:rsid w:val="00E233DA"/>
    <w:rsid w:val="00E2343F"/>
    <w:rsid w:val="00E23455"/>
    <w:rsid w:val="00E234BB"/>
    <w:rsid w:val="00E23506"/>
    <w:rsid w:val="00E23591"/>
    <w:rsid w:val="00E23594"/>
    <w:rsid w:val="00E235E7"/>
    <w:rsid w:val="00E2363E"/>
    <w:rsid w:val="00E23647"/>
    <w:rsid w:val="00E236B0"/>
    <w:rsid w:val="00E23708"/>
    <w:rsid w:val="00E2370C"/>
    <w:rsid w:val="00E2372B"/>
    <w:rsid w:val="00E23754"/>
    <w:rsid w:val="00E23773"/>
    <w:rsid w:val="00E237AA"/>
    <w:rsid w:val="00E237F8"/>
    <w:rsid w:val="00E2383D"/>
    <w:rsid w:val="00E2388D"/>
    <w:rsid w:val="00E23895"/>
    <w:rsid w:val="00E238FB"/>
    <w:rsid w:val="00E23911"/>
    <w:rsid w:val="00E23929"/>
    <w:rsid w:val="00E2393C"/>
    <w:rsid w:val="00E2395B"/>
    <w:rsid w:val="00E23A23"/>
    <w:rsid w:val="00E23A38"/>
    <w:rsid w:val="00E23A41"/>
    <w:rsid w:val="00E23A97"/>
    <w:rsid w:val="00E23ACF"/>
    <w:rsid w:val="00E23AD5"/>
    <w:rsid w:val="00E23BDA"/>
    <w:rsid w:val="00E23C03"/>
    <w:rsid w:val="00E23C24"/>
    <w:rsid w:val="00E23C40"/>
    <w:rsid w:val="00E23C44"/>
    <w:rsid w:val="00E23CFF"/>
    <w:rsid w:val="00E23D10"/>
    <w:rsid w:val="00E23D5A"/>
    <w:rsid w:val="00E23D6E"/>
    <w:rsid w:val="00E23D91"/>
    <w:rsid w:val="00E23D9D"/>
    <w:rsid w:val="00E23E0B"/>
    <w:rsid w:val="00E23E43"/>
    <w:rsid w:val="00E23E73"/>
    <w:rsid w:val="00E23E83"/>
    <w:rsid w:val="00E23ECC"/>
    <w:rsid w:val="00E23F0E"/>
    <w:rsid w:val="00E23F3C"/>
    <w:rsid w:val="00E23FA4"/>
    <w:rsid w:val="00E23FAD"/>
    <w:rsid w:val="00E23FC9"/>
    <w:rsid w:val="00E24102"/>
    <w:rsid w:val="00E2414A"/>
    <w:rsid w:val="00E2417A"/>
    <w:rsid w:val="00E241D7"/>
    <w:rsid w:val="00E24232"/>
    <w:rsid w:val="00E24249"/>
    <w:rsid w:val="00E242B6"/>
    <w:rsid w:val="00E2431C"/>
    <w:rsid w:val="00E2432D"/>
    <w:rsid w:val="00E24339"/>
    <w:rsid w:val="00E24395"/>
    <w:rsid w:val="00E243CB"/>
    <w:rsid w:val="00E24415"/>
    <w:rsid w:val="00E24432"/>
    <w:rsid w:val="00E2443F"/>
    <w:rsid w:val="00E24454"/>
    <w:rsid w:val="00E244DA"/>
    <w:rsid w:val="00E244FA"/>
    <w:rsid w:val="00E2450D"/>
    <w:rsid w:val="00E24540"/>
    <w:rsid w:val="00E24586"/>
    <w:rsid w:val="00E245BC"/>
    <w:rsid w:val="00E245BF"/>
    <w:rsid w:val="00E245EC"/>
    <w:rsid w:val="00E245FC"/>
    <w:rsid w:val="00E24606"/>
    <w:rsid w:val="00E2463D"/>
    <w:rsid w:val="00E24675"/>
    <w:rsid w:val="00E246A7"/>
    <w:rsid w:val="00E246F3"/>
    <w:rsid w:val="00E24700"/>
    <w:rsid w:val="00E24744"/>
    <w:rsid w:val="00E24788"/>
    <w:rsid w:val="00E247B0"/>
    <w:rsid w:val="00E24835"/>
    <w:rsid w:val="00E2484D"/>
    <w:rsid w:val="00E24863"/>
    <w:rsid w:val="00E248D0"/>
    <w:rsid w:val="00E248ED"/>
    <w:rsid w:val="00E24902"/>
    <w:rsid w:val="00E2490D"/>
    <w:rsid w:val="00E2495F"/>
    <w:rsid w:val="00E24963"/>
    <w:rsid w:val="00E24967"/>
    <w:rsid w:val="00E24969"/>
    <w:rsid w:val="00E24978"/>
    <w:rsid w:val="00E24989"/>
    <w:rsid w:val="00E2498B"/>
    <w:rsid w:val="00E249B3"/>
    <w:rsid w:val="00E249B4"/>
    <w:rsid w:val="00E249F8"/>
    <w:rsid w:val="00E249F9"/>
    <w:rsid w:val="00E24A02"/>
    <w:rsid w:val="00E24A25"/>
    <w:rsid w:val="00E24A59"/>
    <w:rsid w:val="00E24AAD"/>
    <w:rsid w:val="00E24B31"/>
    <w:rsid w:val="00E24B7D"/>
    <w:rsid w:val="00E24C09"/>
    <w:rsid w:val="00E24C31"/>
    <w:rsid w:val="00E24C5F"/>
    <w:rsid w:val="00E24CA6"/>
    <w:rsid w:val="00E24CB5"/>
    <w:rsid w:val="00E24CEF"/>
    <w:rsid w:val="00E24D16"/>
    <w:rsid w:val="00E24D2E"/>
    <w:rsid w:val="00E24D60"/>
    <w:rsid w:val="00E24D96"/>
    <w:rsid w:val="00E24D9C"/>
    <w:rsid w:val="00E24DD9"/>
    <w:rsid w:val="00E24DFC"/>
    <w:rsid w:val="00E24E3D"/>
    <w:rsid w:val="00E24E5A"/>
    <w:rsid w:val="00E24E9D"/>
    <w:rsid w:val="00E24EED"/>
    <w:rsid w:val="00E24EF5"/>
    <w:rsid w:val="00E24F49"/>
    <w:rsid w:val="00E24F95"/>
    <w:rsid w:val="00E24FFD"/>
    <w:rsid w:val="00E25051"/>
    <w:rsid w:val="00E251F1"/>
    <w:rsid w:val="00E25200"/>
    <w:rsid w:val="00E25239"/>
    <w:rsid w:val="00E252E3"/>
    <w:rsid w:val="00E252F5"/>
    <w:rsid w:val="00E25314"/>
    <w:rsid w:val="00E25344"/>
    <w:rsid w:val="00E25358"/>
    <w:rsid w:val="00E25363"/>
    <w:rsid w:val="00E2536A"/>
    <w:rsid w:val="00E25370"/>
    <w:rsid w:val="00E25383"/>
    <w:rsid w:val="00E253A0"/>
    <w:rsid w:val="00E253E0"/>
    <w:rsid w:val="00E253E1"/>
    <w:rsid w:val="00E253FA"/>
    <w:rsid w:val="00E25407"/>
    <w:rsid w:val="00E25418"/>
    <w:rsid w:val="00E25498"/>
    <w:rsid w:val="00E254DA"/>
    <w:rsid w:val="00E25503"/>
    <w:rsid w:val="00E25523"/>
    <w:rsid w:val="00E25568"/>
    <w:rsid w:val="00E25572"/>
    <w:rsid w:val="00E25581"/>
    <w:rsid w:val="00E25607"/>
    <w:rsid w:val="00E2566E"/>
    <w:rsid w:val="00E2572F"/>
    <w:rsid w:val="00E257B5"/>
    <w:rsid w:val="00E257C0"/>
    <w:rsid w:val="00E257CB"/>
    <w:rsid w:val="00E257D4"/>
    <w:rsid w:val="00E257F2"/>
    <w:rsid w:val="00E2582A"/>
    <w:rsid w:val="00E25853"/>
    <w:rsid w:val="00E25907"/>
    <w:rsid w:val="00E2590F"/>
    <w:rsid w:val="00E2591F"/>
    <w:rsid w:val="00E259D2"/>
    <w:rsid w:val="00E259DD"/>
    <w:rsid w:val="00E259F9"/>
    <w:rsid w:val="00E25A02"/>
    <w:rsid w:val="00E25A0D"/>
    <w:rsid w:val="00E25A21"/>
    <w:rsid w:val="00E25A4A"/>
    <w:rsid w:val="00E25A6C"/>
    <w:rsid w:val="00E25ABA"/>
    <w:rsid w:val="00E25AFD"/>
    <w:rsid w:val="00E25B30"/>
    <w:rsid w:val="00E25B57"/>
    <w:rsid w:val="00E25B85"/>
    <w:rsid w:val="00E25B88"/>
    <w:rsid w:val="00E25BA6"/>
    <w:rsid w:val="00E25C5A"/>
    <w:rsid w:val="00E25C7B"/>
    <w:rsid w:val="00E25C8C"/>
    <w:rsid w:val="00E25D19"/>
    <w:rsid w:val="00E25D66"/>
    <w:rsid w:val="00E25DDA"/>
    <w:rsid w:val="00E25DDD"/>
    <w:rsid w:val="00E25E23"/>
    <w:rsid w:val="00E25E47"/>
    <w:rsid w:val="00E25E70"/>
    <w:rsid w:val="00E25E89"/>
    <w:rsid w:val="00E25EBF"/>
    <w:rsid w:val="00E25F03"/>
    <w:rsid w:val="00E25F28"/>
    <w:rsid w:val="00E25F70"/>
    <w:rsid w:val="00E25F85"/>
    <w:rsid w:val="00E25FDE"/>
    <w:rsid w:val="00E25FED"/>
    <w:rsid w:val="00E25FFC"/>
    <w:rsid w:val="00E25FFE"/>
    <w:rsid w:val="00E26008"/>
    <w:rsid w:val="00E26010"/>
    <w:rsid w:val="00E26011"/>
    <w:rsid w:val="00E26064"/>
    <w:rsid w:val="00E2607F"/>
    <w:rsid w:val="00E2608D"/>
    <w:rsid w:val="00E26096"/>
    <w:rsid w:val="00E26097"/>
    <w:rsid w:val="00E260B4"/>
    <w:rsid w:val="00E2613E"/>
    <w:rsid w:val="00E2614E"/>
    <w:rsid w:val="00E2615F"/>
    <w:rsid w:val="00E26214"/>
    <w:rsid w:val="00E26218"/>
    <w:rsid w:val="00E26221"/>
    <w:rsid w:val="00E26255"/>
    <w:rsid w:val="00E26256"/>
    <w:rsid w:val="00E26296"/>
    <w:rsid w:val="00E262D3"/>
    <w:rsid w:val="00E262DE"/>
    <w:rsid w:val="00E262FB"/>
    <w:rsid w:val="00E2631B"/>
    <w:rsid w:val="00E26389"/>
    <w:rsid w:val="00E263AB"/>
    <w:rsid w:val="00E263CE"/>
    <w:rsid w:val="00E2641D"/>
    <w:rsid w:val="00E2647D"/>
    <w:rsid w:val="00E26483"/>
    <w:rsid w:val="00E264EC"/>
    <w:rsid w:val="00E264F4"/>
    <w:rsid w:val="00E26503"/>
    <w:rsid w:val="00E26541"/>
    <w:rsid w:val="00E2654F"/>
    <w:rsid w:val="00E265A7"/>
    <w:rsid w:val="00E265BD"/>
    <w:rsid w:val="00E26605"/>
    <w:rsid w:val="00E26637"/>
    <w:rsid w:val="00E26671"/>
    <w:rsid w:val="00E266A3"/>
    <w:rsid w:val="00E266BC"/>
    <w:rsid w:val="00E266C3"/>
    <w:rsid w:val="00E266F6"/>
    <w:rsid w:val="00E2670A"/>
    <w:rsid w:val="00E26720"/>
    <w:rsid w:val="00E26734"/>
    <w:rsid w:val="00E26750"/>
    <w:rsid w:val="00E26774"/>
    <w:rsid w:val="00E267B2"/>
    <w:rsid w:val="00E267E7"/>
    <w:rsid w:val="00E26850"/>
    <w:rsid w:val="00E26852"/>
    <w:rsid w:val="00E2685C"/>
    <w:rsid w:val="00E268B8"/>
    <w:rsid w:val="00E26927"/>
    <w:rsid w:val="00E2693C"/>
    <w:rsid w:val="00E2695D"/>
    <w:rsid w:val="00E26973"/>
    <w:rsid w:val="00E2698E"/>
    <w:rsid w:val="00E269F8"/>
    <w:rsid w:val="00E26A2C"/>
    <w:rsid w:val="00E26A73"/>
    <w:rsid w:val="00E26AD5"/>
    <w:rsid w:val="00E26ADA"/>
    <w:rsid w:val="00E26B32"/>
    <w:rsid w:val="00E26BE3"/>
    <w:rsid w:val="00E26C1D"/>
    <w:rsid w:val="00E26C52"/>
    <w:rsid w:val="00E26C58"/>
    <w:rsid w:val="00E26C5E"/>
    <w:rsid w:val="00E26C8B"/>
    <w:rsid w:val="00E26D00"/>
    <w:rsid w:val="00E26D5F"/>
    <w:rsid w:val="00E26DA4"/>
    <w:rsid w:val="00E26DF3"/>
    <w:rsid w:val="00E26E1A"/>
    <w:rsid w:val="00E26E7F"/>
    <w:rsid w:val="00E26E83"/>
    <w:rsid w:val="00E26E8D"/>
    <w:rsid w:val="00E26E93"/>
    <w:rsid w:val="00E26EB7"/>
    <w:rsid w:val="00E26EC4"/>
    <w:rsid w:val="00E26EC5"/>
    <w:rsid w:val="00E26F5A"/>
    <w:rsid w:val="00E26F5C"/>
    <w:rsid w:val="00E26F5F"/>
    <w:rsid w:val="00E26F84"/>
    <w:rsid w:val="00E26FAF"/>
    <w:rsid w:val="00E26FF1"/>
    <w:rsid w:val="00E26FF3"/>
    <w:rsid w:val="00E27007"/>
    <w:rsid w:val="00E2700B"/>
    <w:rsid w:val="00E27044"/>
    <w:rsid w:val="00E2704C"/>
    <w:rsid w:val="00E27070"/>
    <w:rsid w:val="00E2708C"/>
    <w:rsid w:val="00E270AA"/>
    <w:rsid w:val="00E270D0"/>
    <w:rsid w:val="00E270E5"/>
    <w:rsid w:val="00E27116"/>
    <w:rsid w:val="00E27177"/>
    <w:rsid w:val="00E271FE"/>
    <w:rsid w:val="00E2723F"/>
    <w:rsid w:val="00E272D6"/>
    <w:rsid w:val="00E2730C"/>
    <w:rsid w:val="00E273C1"/>
    <w:rsid w:val="00E273D6"/>
    <w:rsid w:val="00E27478"/>
    <w:rsid w:val="00E27481"/>
    <w:rsid w:val="00E274FF"/>
    <w:rsid w:val="00E27511"/>
    <w:rsid w:val="00E27514"/>
    <w:rsid w:val="00E27578"/>
    <w:rsid w:val="00E275B7"/>
    <w:rsid w:val="00E2764D"/>
    <w:rsid w:val="00E2767A"/>
    <w:rsid w:val="00E27680"/>
    <w:rsid w:val="00E276C4"/>
    <w:rsid w:val="00E276CD"/>
    <w:rsid w:val="00E276E7"/>
    <w:rsid w:val="00E27723"/>
    <w:rsid w:val="00E27725"/>
    <w:rsid w:val="00E2772A"/>
    <w:rsid w:val="00E277F2"/>
    <w:rsid w:val="00E27802"/>
    <w:rsid w:val="00E27831"/>
    <w:rsid w:val="00E27852"/>
    <w:rsid w:val="00E27893"/>
    <w:rsid w:val="00E278D9"/>
    <w:rsid w:val="00E2792D"/>
    <w:rsid w:val="00E2797B"/>
    <w:rsid w:val="00E27A42"/>
    <w:rsid w:val="00E27AB7"/>
    <w:rsid w:val="00E27ABC"/>
    <w:rsid w:val="00E27AFD"/>
    <w:rsid w:val="00E27B46"/>
    <w:rsid w:val="00E27B74"/>
    <w:rsid w:val="00E27B86"/>
    <w:rsid w:val="00E27BAC"/>
    <w:rsid w:val="00E27BE5"/>
    <w:rsid w:val="00E27C76"/>
    <w:rsid w:val="00E27CBF"/>
    <w:rsid w:val="00E27CCA"/>
    <w:rsid w:val="00E27CEF"/>
    <w:rsid w:val="00E27D89"/>
    <w:rsid w:val="00E27DCE"/>
    <w:rsid w:val="00E27DF9"/>
    <w:rsid w:val="00E27F38"/>
    <w:rsid w:val="00E27F3A"/>
    <w:rsid w:val="00E27FCA"/>
    <w:rsid w:val="00E27FFD"/>
    <w:rsid w:val="00E3000B"/>
    <w:rsid w:val="00E3001C"/>
    <w:rsid w:val="00E3001F"/>
    <w:rsid w:val="00E30031"/>
    <w:rsid w:val="00E3005E"/>
    <w:rsid w:val="00E3009A"/>
    <w:rsid w:val="00E3010F"/>
    <w:rsid w:val="00E30128"/>
    <w:rsid w:val="00E30187"/>
    <w:rsid w:val="00E30188"/>
    <w:rsid w:val="00E3018C"/>
    <w:rsid w:val="00E3019D"/>
    <w:rsid w:val="00E301A9"/>
    <w:rsid w:val="00E301CD"/>
    <w:rsid w:val="00E301FC"/>
    <w:rsid w:val="00E30212"/>
    <w:rsid w:val="00E30229"/>
    <w:rsid w:val="00E30234"/>
    <w:rsid w:val="00E3024A"/>
    <w:rsid w:val="00E30301"/>
    <w:rsid w:val="00E30321"/>
    <w:rsid w:val="00E3035C"/>
    <w:rsid w:val="00E3036A"/>
    <w:rsid w:val="00E30392"/>
    <w:rsid w:val="00E303C7"/>
    <w:rsid w:val="00E303F4"/>
    <w:rsid w:val="00E303F6"/>
    <w:rsid w:val="00E30438"/>
    <w:rsid w:val="00E30442"/>
    <w:rsid w:val="00E3046E"/>
    <w:rsid w:val="00E304B9"/>
    <w:rsid w:val="00E30523"/>
    <w:rsid w:val="00E30536"/>
    <w:rsid w:val="00E3056F"/>
    <w:rsid w:val="00E305B0"/>
    <w:rsid w:val="00E305E9"/>
    <w:rsid w:val="00E30600"/>
    <w:rsid w:val="00E30602"/>
    <w:rsid w:val="00E30613"/>
    <w:rsid w:val="00E3065E"/>
    <w:rsid w:val="00E30666"/>
    <w:rsid w:val="00E3068B"/>
    <w:rsid w:val="00E3070B"/>
    <w:rsid w:val="00E30717"/>
    <w:rsid w:val="00E30732"/>
    <w:rsid w:val="00E30761"/>
    <w:rsid w:val="00E3078E"/>
    <w:rsid w:val="00E307A4"/>
    <w:rsid w:val="00E307D6"/>
    <w:rsid w:val="00E307D9"/>
    <w:rsid w:val="00E30811"/>
    <w:rsid w:val="00E30837"/>
    <w:rsid w:val="00E3084C"/>
    <w:rsid w:val="00E30857"/>
    <w:rsid w:val="00E30946"/>
    <w:rsid w:val="00E30953"/>
    <w:rsid w:val="00E3097C"/>
    <w:rsid w:val="00E309EF"/>
    <w:rsid w:val="00E30A1C"/>
    <w:rsid w:val="00E30A2B"/>
    <w:rsid w:val="00E30A6E"/>
    <w:rsid w:val="00E30A76"/>
    <w:rsid w:val="00E30A95"/>
    <w:rsid w:val="00E30ABF"/>
    <w:rsid w:val="00E30AD1"/>
    <w:rsid w:val="00E30BBF"/>
    <w:rsid w:val="00E30C38"/>
    <w:rsid w:val="00E30C45"/>
    <w:rsid w:val="00E30C59"/>
    <w:rsid w:val="00E30C89"/>
    <w:rsid w:val="00E30C92"/>
    <w:rsid w:val="00E30CAD"/>
    <w:rsid w:val="00E30CE7"/>
    <w:rsid w:val="00E30CF6"/>
    <w:rsid w:val="00E30D32"/>
    <w:rsid w:val="00E30D4C"/>
    <w:rsid w:val="00E30DE7"/>
    <w:rsid w:val="00E30DFF"/>
    <w:rsid w:val="00E30E01"/>
    <w:rsid w:val="00E30E11"/>
    <w:rsid w:val="00E30EA1"/>
    <w:rsid w:val="00E30EE6"/>
    <w:rsid w:val="00E30F07"/>
    <w:rsid w:val="00E30F5D"/>
    <w:rsid w:val="00E30F84"/>
    <w:rsid w:val="00E30FB2"/>
    <w:rsid w:val="00E30FC5"/>
    <w:rsid w:val="00E30FCF"/>
    <w:rsid w:val="00E30FE3"/>
    <w:rsid w:val="00E31027"/>
    <w:rsid w:val="00E31047"/>
    <w:rsid w:val="00E31074"/>
    <w:rsid w:val="00E310E4"/>
    <w:rsid w:val="00E3110C"/>
    <w:rsid w:val="00E3111D"/>
    <w:rsid w:val="00E3111F"/>
    <w:rsid w:val="00E31134"/>
    <w:rsid w:val="00E311AA"/>
    <w:rsid w:val="00E311C4"/>
    <w:rsid w:val="00E311DD"/>
    <w:rsid w:val="00E3123A"/>
    <w:rsid w:val="00E31267"/>
    <w:rsid w:val="00E312D3"/>
    <w:rsid w:val="00E312DD"/>
    <w:rsid w:val="00E31301"/>
    <w:rsid w:val="00E31322"/>
    <w:rsid w:val="00E3134E"/>
    <w:rsid w:val="00E3135D"/>
    <w:rsid w:val="00E313C4"/>
    <w:rsid w:val="00E313CA"/>
    <w:rsid w:val="00E313CC"/>
    <w:rsid w:val="00E314E0"/>
    <w:rsid w:val="00E314E7"/>
    <w:rsid w:val="00E314F2"/>
    <w:rsid w:val="00E31517"/>
    <w:rsid w:val="00E3153E"/>
    <w:rsid w:val="00E3154E"/>
    <w:rsid w:val="00E31587"/>
    <w:rsid w:val="00E3159C"/>
    <w:rsid w:val="00E315C6"/>
    <w:rsid w:val="00E315C8"/>
    <w:rsid w:val="00E315D9"/>
    <w:rsid w:val="00E3160E"/>
    <w:rsid w:val="00E31653"/>
    <w:rsid w:val="00E316A8"/>
    <w:rsid w:val="00E316E5"/>
    <w:rsid w:val="00E3170D"/>
    <w:rsid w:val="00E31775"/>
    <w:rsid w:val="00E317C9"/>
    <w:rsid w:val="00E317FC"/>
    <w:rsid w:val="00E3180A"/>
    <w:rsid w:val="00E31830"/>
    <w:rsid w:val="00E31891"/>
    <w:rsid w:val="00E318C9"/>
    <w:rsid w:val="00E318CD"/>
    <w:rsid w:val="00E318ED"/>
    <w:rsid w:val="00E318F9"/>
    <w:rsid w:val="00E31955"/>
    <w:rsid w:val="00E31961"/>
    <w:rsid w:val="00E319B5"/>
    <w:rsid w:val="00E319FC"/>
    <w:rsid w:val="00E31A3D"/>
    <w:rsid w:val="00E31A5A"/>
    <w:rsid w:val="00E31A5E"/>
    <w:rsid w:val="00E31A6B"/>
    <w:rsid w:val="00E31A8F"/>
    <w:rsid w:val="00E31AC6"/>
    <w:rsid w:val="00E31AD9"/>
    <w:rsid w:val="00E31B0B"/>
    <w:rsid w:val="00E31B36"/>
    <w:rsid w:val="00E31B57"/>
    <w:rsid w:val="00E31B5D"/>
    <w:rsid w:val="00E31BE3"/>
    <w:rsid w:val="00E31C25"/>
    <w:rsid w:val="00E31C36"/>
    <w:rsid w:val="00E31C3E"/>
    <w:rsid w:val="00E31C74"/>
    <w:rsid w:val="00E31CDF"/>
    <w:rsid w:val="00E31D08"/>
    <w:rsid w:val="00E31D30"/>
    <w:rsid w:val="00E31D47"/>
    <w:rsid w:val="00E31D8B"/>
    <w:rsid w:val="00E31D9C"/>
    <w:rsid w:val="00E31DC0"/>
    <w:rsid w:val="00E31E0B"/>
    <w:rsid w:val="00E31E42"/>
    <w:rsid w:val="00E31EA2"/>
    <w:rsid w:val="00E31EA5"/>
    <w:rsid w:val="00E31EAC"/>
    <w:rsid w:val="00E31EC7"/>
    <w:rsid w:val="00E31EEA"/>
    <w:rsid w:val="00E31F33"/>
    <w:rsid w:val="00E31F3E"/>
    <w:rsid w:val="00E31F45"/>
    <w:rsid w:val="00E31F49"/>
    <w:rsid w:val="00E31F57"/>
    <w:rsid w:val="00E31FA4"/>
    <w:rsid w:val="00E32005"/>
    <w:rsid w:val="00E3204E"/>
    <w:rsid w:val="00E32063"/>
    <w:rsid w:val="00E3206E"/>
    <w:rsid w:val="00E3208C"/>
    <w:rsid w:val="00E320A3"/>
    <w:rsid w:val="00E320CE"/>
    <w:rsid w:val="00E320E5"/>
    <w:rsid w:val="00E32131"/>
    <w:rsid w:val="00E32143"/>
    <w:rsid w:val="00E321A6"/>
    <w:rsid w:val="00E321C0"/>
    <w:rsid w:val="00E321F1"/>
    <w:rsid w:val="00E321FC"/>
    <w:rsid w:val="00E32224"/>
    <w:rsid w:val="00E32253"/>
    <w:rsid w:val="00E322A0"/>
    <w:rsid w:val="00E322EE"/>
    <w:rsid w:val="00E32325"/>
    <w:rsid w:val="00E32342"/>
    <w:rsid w:val="00E3235A"/>
    <w:rsid w:val="00E3238A"/>
    <w:rsid w:val="00E323DC"/>
    <w:rsid w:val="00E32409"/>
    <w:rsid w:val="00E32448"/>
    <w:rsid w:val="00E32491"/>
    <w:rsid w:val="00E324CB"/>
    <w:rsid w:val="00E3257A"/>
    <w:rsid w:val="00E32622"/>
    <w:rsid w:val="00E326E5"/>
    <w:rsid w:val="00E326FA"/>
    <w:rsid w:val="00E32720"/>
    <w:rsid w:val="00E3275D"/>
    <w:rsid w:val="00E327AD"/>
    <w:rsid w:val="00E327B5"/>
    <w:rsid w:val="00E327F2"/>
    <w:rsid w:val="00E3284E"/>
    <w:rsid w:val="00E32852"/>
    <w:rsid w:val="00E32869"/>
    <w:rsid w:val="00E32920"/>
    <w:rsid w:val="00E3292E"/>
    <w:rsid w:val="00E3294D"/>
    <w:rsid w:val="00E3297D"/>
    <w:rsid w:val="00E329E6"/>
    <w:rsid w:val="00E32A38"/>
    <w:rsid w:val="00E32AB1"/>
    <w:rsid w:val="00E32B1D"/>
    <w:rsid w:val="00E32B59"/>
    <w:rsid w:val="00E32B7E"/>
    <w:rsid w:val="00E32B96"/>
    <w:rsid w:val="00E32BE0"/>
    <w:rsid w:val="00E32C0C"/>
    <w:rsid w:val="00E32C3A"/>
    <w:rsid w:val="00E32C5F"/>
    <w:rsid w:val="00E32C68"/>
    <w:rsid w:val="00E32C78"/>
    <w:rsid w:val="00E32C9D"/>
    <w:rsid w:val="00E32CC8"/>
    <w:rsid w:val="00E32CDD"/>
    <w:rsid w:val="00E32D1C"/>
    <w:rsid w:val="00E32D62"/>
    <w:rsid w:val="00E32D8A"/>
    <w:rsid w:val="00E32E7E"/>
    <w:rsid w:val="00E32EAC"/>
    <w:rsid w:val="00E32EB4"/>
    <w:rsid w:val="00E32EE1"/>
    <w:rsid w:val="00E32F05"/>
    <w:rsid w:val="00E32F10"/>
    <w:rsid w:val="00E32F6A"/>
    <w:rsid w:val="00E32F88"/>
    <w:rsid w:val="00E32FAB"/>
    <w:rsid w:val="00E33017"/>
    <w:rsid w:val="00E33022"/>
    <w:rsid w:val="00E33029"/>
    <w:rsid w:val="00E33031"/>
    <w:rsid w:val="00E330AB"/>
    <w:rsid w:val="00E330D1"/>
    <w:rsid w:val="00E330E4"/>
    <w:rsid w:val="00E330F9"/>
    <w:rsid w:val="00E33124"/>
    <w:rsid w:val="00E3312E"/>
    <w:rsid w:val="00E33147"/>
    <w:rsid w:val="00E3314D"/>
    <w:rsid w:val="00E33152"/>
    <w:rsid w:val="00E33169"/>
    <w:rsid w:val="00E331A4"/>
    <w:rsid w:val="00E331AC"/>
    <w:rsid w:val="00E331C5"/>
    <w:rsid w:val="00E33220"/>
    <w:rsid w:val="00E3325C"/>
    <w:rsid w:val="00E33277"/>
    <w:rsid w:val="00E332E4"/>
    <w:rsid w:val="00E332F2"/>
    <w:rsid w:val="00E33343"/>
    <w:rsid w:val="00E333D4"/>
    <w:rsid w:val="00E333DD"/>
    <w:rsid w:val="00E3347C"/>
    <w:rsid w:val="00E334AB"/>
    <w:rsid w:val="00E334B6"/>
    <w:rsid w:val="00E3352B"/>
    <w:rsid w:val="00E3353B"/>
    <w:rsid w:val="00E33586"/>
    <w:rsid w:val="00E33589"/>
    <w:rsid w:val="00E3359D"/>
    <w:rsid w:val="00E335D4"/>
    <w:rsid w:val="00E335DD"/>
    <w:rsid w:val="00E335E0"/>
    <w:rsid w:val="00E335EF"/>
    <w:rsid w:val="00E33609"/>
    <w:rsid w:val="00E3360F"/>
    <w:rsid w:val="00E33649"/>
    <w:rsid w:val="00E3367F"/>
    <w:rsid w:val="00E336A5"/>
    <w:rsid w:val="00E336B5"/>
    <w:rsid w:val="00E336C7"/>
    <w:rsid w:val="00E336CB"/>
    <w:rsid w:val="00E336E4"/>
    <w:rsid w:val="00E336FF"/>
    <w:rsid w:val="00E33742"/>
    <w:rsid w:val="00E3379E"/>
    <w:rsid w:val="00E337D4"/>
    <w:rsid w:val="00E337F7"/>
    <w:rsid w:val="00E33833"/>
    <w:rsid w:val="00E3384E"/>
    <w:rsid w:val="00E338E4"/>
    <w:rsid w:val="00E338EB"/>
    <w:rsid w:val="00E3390F"/>
    <w:rsid w:val="00E33A07"/>
    <w:rsid w:val="00E33A21"/>
    <w:rsid w:val="00E33A5A"/>
    <w:rsid w:val="00E33A80"/>
    <w:rsid w:val="00E33B02"/>
    <w:rsid w:val="00E33BA3"/>
    <w:rsid w:val="00E33BA5"/>
    <w:rsid w:val="00E33C4B"/>
    <w:rsid w:val="00E33C84"/>
    <w:rsid w:val="00E33CB5"/>
    <w:rsid w:val="00E33CBF"/>
    <w:rsid w:val="00E33CDA"/>
    <w:rsid w:val="00E33CEE"/>
    <w:rsid w:val="00E33D46"/>
    <w:rsid w:val="00E33D47"/>
    <w:rsid w:val="00E33D56"/>
    <w:rsid w:val="00E33D82"/>
    <w:rsid w:val="00E33DB9"/>
    <w:rsid w:val="00E33E5C"/>
    <w:rsid w:val="00E33EC7"/>
    <w:rsid w:val="00E33ED5"/>
    <w:rsid w:val="00E33EE5"/>
    <w:rsid w:val="00E33EF9"/>
    <w:rsid w:val="00E33F12"/>
    <w:rsid w:val="00E33F35"/>
    <w:rsid w:val="00E33FF0"/>
    <w:rsid w:val="00E34059"/>
    <w:rsid w:val="00E34063"/>
    <w:rsid w:val="00E34081"/>
    <w:rsid w:val="00E3409E"/>
    <w:rsid w:val="00E340AD"/>
    <w:rsid w:val="00E340E6"/>
    <w:rsid w:val="00E34131"/>
    <w:rsid w:val="00E3419B"/>
    <w:rsid w:val="00E34250"/>
    <w:rsid w:val="00E3425C"/>
    <w:rsid w:val="00E342AD"/>
    <w:rsid w:val="00E342DA"/>
    <w:rsid w:val="00E342F3"/>
    <w:rsid w:val="00E34305"/>
    <w:rsid w:val="00E34307"/>
    <w:rsid w:val="00E34335"/>
    <w:rsid w:val="00E3436D"/>
    <w:rsid w:val="00E34385"/>
    <w:rsid w:val="00E343E2"/>
    <w:rsid w:val="00E34425"/>
    <w:rsid w:val="00E344A8"/>
    <w:rsid w:val="00E34518"/>
    <w:rsid w:val="00E34524"/>
    <w:rsid w:val="00E3454C"/>
    <w:rsid w:val="00E34588"/>
    <w:rsid w:val="00E3458E"/>
    <w:rsid w:val="00E345C1"/>
    <w:rsid w:val="00E345C2"/>
    <w:rsid w:val="00E345E5"/>
    <w:rsid w:val="00E346AF"/>
    <w:rsid w:val="00E346B2"/>
    <w:rsid w:val="00E346D3"/>
    <w:rsid w:val="00E346D4"/>
    <w:rsid w:val="00E346DD"/>
    <w:rsid w:val="00E3476A"/>
    <w:rsid w:val="00E3476C"/>
    <w:rsid w:val="00E34777"/>
    <w:rsid w:val="00E347B8"/>
    <w:rsid w:val="00E347D0"/>
    <w:rsid w:val="00E34821"/>
    <w:rsid w:val="00E34828"/>
    <w:rsid w:val="00E3483B"/>
    <w:rsid w:val="00E34848"/>
    <w:rsid w:val="00E348E2"/>
    <w:rsid w:val="00E348EF"/>
    <w:rsid w:val="00E34924"/>
    <w:rsid w:val="00E34927"/>
    <w:rsid w:val="00E34950"/>
    <w:rsid w:val="00E3495E"/>
    <w:rsid w:val="00E349BC"/>
    <w:rsid w:val="00E34A09"/>
    <w:rsid w:val="00E34A3F"/>
    <w:rsid w:val="00E34A68"/>
    <w:rsid w:val="00E34A90"/>
    <w:rsid w:val="00E34ADF"/>
    <w:rsid w:val="00E34BC7"/>
    <w:rsid w:val="00E34C4D"/>
    <w:rsid w:val="00E34CB2"/>
    <w:rsid w:val="00E34CF2"/>
    <w:rsid w:val="00E34D6A"/>
    <w:rsid w:val="00E34D9B"/>
    <w:rsid w:val="00E34E1C"/>
    <w:rsid w:val="00E34E1E"/>
    <w:rsid w:val="00E34E71"/>
    <w:rsid w:val="00E34EDE"/>
    <w:rsid w:val="00E34EF9"/>
    <w:rsid w:val="00E34F0E"/>
    <w:rsid w:val="00E34F5C"/>
    <w:rsid w:val="00E34F5F"/>
    <w:rsid w:val="00E34F78"/>
    <w:rsid w:val="00E34F90"/>
    <w:rsid w:val="00E34F9A"/>
    <w:rsid w:val="00E34FBA"/>
    <w:rsid w:val="00E35014"/>
    <w:rsid w:val="00E3504C"/>
    <w:rsid w:val="00E35082"/>
    <w:rsid w:val="00E350CC"/>
    <w:rsid w:val="00E350DA"/>
    <w:rsid w:val="00E350F8"/>
    <w:rsid w:val="00E35105"/>
    <w:rsid w:val="00E35116"/>
    <w:rsid w:val="00E35188"/>
    <w:rsid w:val="00E351BB"/>
    <w:rsid w:val="00E3524B"/>
    <w:rsid w:val="00E3525A"/>
    <w:rsid w:val="00E35279"/>
    <w:rsid w:val="00E352B1"/>
    <w:rsid w:val="00E352BA"/>
    <w:rsid w:val="00E352D3"/>
    <w:rsid w:val="00E353FB"/>
    <w:rsid w:val="00E35401"/>
    <w:rsid w:val="00E3540A"/>
    <w:rsid w:val="00E35415"/>
    <w:rsid w:val="00E354CA"/>
    <w:rsid w:val="00E35513"/>
    <w:rsid w:val="00E35524"/>
    <w:rsid w:val="00E3554D"/>
    <w:rsid w:val="00E35581"/>
    <w:rsid w:val="00E355E5"/>
    <w:rsid w:val="00E355E6"/>
    <w:rsid w:val="00E35602"/>
    <w:rsid w:val="00E35635"/>
    <w:rsid w:val="00E35637"/>
    <w:rsid w:val="00E35651"/>
    <w:rsid w:val="00E35655"/>
    <w:rsid w:val="00E35695"/>
    <w:rsid w:val="00E356B1"/>
    <w:rsid w:val="00E356C4"/>
    <w:rsid w:val="00E356F0"/>
    <w:rsid w:val="00E35729"/>
    <w:rsid w:val="00E3578A"/>
    <w:rsid w:val="00E357F5"/>
    <w:rsid w:val="00E358C1"/>
    <w:rsid w:val="00E358EE"/>
    <w:rsid w:val="00E359DA"/>
    <w:rsid w:val="00E35A61"/>
    <w:rsid w:val="00E35B07"/>
    <w:rsid w:val="00E35B0F"/>
    <w:rsid w:val="00E35B36"/>
    <w:rsid w:val="00E35B97"/>
    <w:rsid w:val="00E35BB7"/>
    <w:rsid w:val="00E35BB9"/>
    <w:rsid w:val="00E35BDC"/>
    <w:rsid w:val="00E35BE0"/>
    <w:rsid w:val="00E35C49"/>
    <w:rsid w:val="00E35C59"/>
    <w:rsid w:val="00E35C7D"/>
    <w:rsid w:val="00E35CC7"/>
    <w:rsid w:val="00E35D3E"/>
    <w:rsid w:val="00E35D4E"/>
    <w:rsid w:val="00E35D7E"/>
    <w:rsid w:val="00E35D97"/>
    <w:rsid w:val="00E35DBB"/>
    <w:rsid w:val="00E35DC2"/>
    <w:rsid w:val="00E35DCF"/>
    <w:rsid w:val="00E35E09"/>
    <w:rsid w:val="00E35E6C"/>
    <w:rsid w:val="00E35E9D"/>
    <w:rsid w:val="00E35ECB"/>
    <w:rsid w:val="00E35ED5"/>
    <w:rsid w:val="00E35EFA"/>
    <w:rsid w:val="00E35F00"/>
    <w:rsid w:val="00E35FE3"/>
    <w:rsid w:val="00E3600B"/>
    <w:rsid w:val="00E3601C"/>
    <w:rsid w:val="00E3606C"/>
    <w:rsid w:val="00E3608C"/>
    <w:rsid w:val="00E3609E"/>
    <w:rsid w:val="00E360FC"/>
    <w:rsid w:val="00E36154"/>
    <w:rsid w:val="00E361BC"/>
    <w:rsid w:val="00E361CD"/>
    <w:rsid w:val="00E361F6"/>
    <w:rsid w:val="00E361FF"/>
    <w:rsid w:val="00E362BA"/>
    <w:rsid w:val="00E362D7"/>
    <w:rsid w:val="00E362F8"/>
    <w:rsid w:val="00E3630D"/>
    <w:rsid w:val="00E3630F"/>
    <w:rsid w:val="00E36327"/>
    <w:rsid w:val="00E3636E"/>
    <w:rsid w:val="00E363E4"/>
    <w:rsid w:val="00E363EF"/>
    <w:rsid w:val="00E364B5"/>
    <w:rsid w:val="00E364BB"/>
    <w:rsid w:val="00E364CB"/>
    <w:rsid w:val="00E36509"/>
    <w:rsid w:val="00E36560"/>
    <w:rsid w:val="00E36579"/>
    <w:rsid w:val="00E36586"/>
    <w:rsid w:val="00E365BE"/>
    <w:rsid w:val="00E365D3"/>
    <w:rsid w:val="00E365F8"/>
    <w:rsid w:val="00E36620"/>
    <w:rsid w:val="00E366C7"/>
    <w:rsid w:val="00E366CC"/>
    <w:rsid w:val="00E366CF"/>
    <w:rsid w:val="00E36723"/>
    <w:rsid w:val="00E36783"/>
    <w:rsid w:val="00E3678B"/>
    <w:rsid w:val="00E36869"/>
    <w:rsid w:val="00E368B2"/>
    <w:rsid w:val="00E3692D"/>
    <w:rsid w:val="00E36938"/>
    <w:rsid w:val="00E36951"/>
    <w:rsid w:val="00E36970"/>
    <w:rsid w:val="00E36AAF"/>
    <w:rsid w:val="00E36B11"/>
    <w:rsid w:val="00E36BED"/>
    <w:rsid w:val="00E36C12"/>
    <w:rsid w:val="00E36C22"/>
    <w:rsid w:val="00E36C2F"/>
    <w:rsid w:val="00E36C3A"/>
    <w:rsid w:val="00E36C58"/>
    <w:rsid w:val="00E36C87"/>
    <w:rsid w:val="00E36C91"/>
    <w:rsid w:val="00E36CD0"/>
    <w:rsid w:val="00E36D2A"/>
    <w:rsid w:val="00E36E6D"/>
    <w:rsid w:val="00E36E87"/>
    <w:rsid w:val="00E36E8F"/>
    <w:rsid w:val="00E36E98"/>
    <w:rsid w:val="00E36EC8"/>
    <w:rsid w:val="00E36EDE"/>
    <w:rsid w:val="00E36F2B"/>
    <w:rsid w:val="00E37030"/>
    <w:rsid w:val="00E37038"/>
    <w:rsid w:val="00E3703C"/>
    <w:rsid w:val="00E3706A"/>
    <w:rsid w:val="00E370B6"/>
    <w:rsid w:val="00E370BA"/>
    <w:rsid w:val="00E370C0"/>
    <w:rsid w:val="00E370FE"/>
    <w:rsid w:val="00E3710E"/>
    <w:rsid w:val="00E3711D"/>
    <w:rsid w:val="00E37157"/>
    <w:rsid w:val="00E3715A"/>
    <w:rsid w:val="00E371CA"/>
    <w:rsid w:val="00E371E5"/>
    <w:rsid w:val="00E371E8"/>
    <w:rsid w:val="00E37204"/>
    <w:rsid w:val="00E3721A"/>
    <w:rsid w:val="00E372A0"/>
    <w:rsid w:val="00E37349"/>
    <w:rsid w:val="00E37359"/>
    <w:rsid w:val="00E3736C"/>
    <w:rsid w:val="00E373A6"/>
    <w:rsid w:val="00E373B8"/>
    <w:rsid w:val="00E373E7"/>
    <w:rsid w:val="00E373F9"/>
    <w:rsid w:val="00E37412"/>
    <w:rsid w:val="00E3744F"/>
    <w:rsid w:val="00E37465"/>
    <w:rsid w:val="00E374D4"/>
    <w:rsid w:val="00E374D5"/>
    <w:rsid w:val="00E374F8"/>
    <w:rsid w:val="00E3752F"/>
    <w:rsid w:val="00E375BE"/>
    <w:rsid w:val="00E375D5"/>
    <w:rsid w:val="00E375EC"/>
    <w:rsid w:val="00E375F3"/>
    <w:rsid w:val="00E37658"/>
    <w:rsid w:val="00E3765E"/>
    <w:rsid w:val="00E37694"/>
    <w:rsid w:val="00E376C9"/>
    <w:rsid w:val="00E3772B"/>
    <w:rsid w:val="00E37739"/>
    <w:rsid w:val="00E37763"/>
    <w:rsid w:val="00E37793"/>
    <w:rsid w:val="00E377B4"/>
    <w:rsid w:val="00E377CA"/>
    <w:rsid w:val="00E37825"/>
    <w:rsid w:val="00E3784B"/>
    <w:rsid w:val="00E378C9"/>
    <w:rsid w:val="00E3790D"/>
    <w:rsid w:val="00E37924"/>
    <w:rsid w:val="00E3793B"/>
    <w:rsid w:val="00E3795C"/>
    <w:rsid w:val="00E37966"/>
    <w:rsid w:val="00E3797B"/>
    <w:rsid w:val="00E3798B"/>
    <w:rsid w:val="00E379C8"/>
    <w:rsid w:val="00E37A15"/>
    <w:rsid w:val="00E37A5F"/>
    <w:rsid w:val="00E37A87"/>
    <w:rsid w:val="00E37AA4"/>
    <w:rsid w:val="00E37AC8"/>
    <w:rsid w:val="00E37AFF"/>
    <w:rsid w:val="00E37B0E"/>
    <w:rsid w:val="00E37B19"/>
    <w:rsid w:val="00E37B6C"/>
    <w:rsid w:val="00E37BA4"/>
    <w:rsid w:val="00E37C7B"/>
    <w:rsid w:val="00E37CCA"/>
    <w:rsid w:val="00E37CCF"/>
    <w:rsid w:val="00E37D42"/>
    <w:rsid w:val="00E37D70"/>
    <w:rsid w:val="00E37D88"/>
    <w:rsid w:val="00E37D95"/>
    <w:rsid w:val="00E37DD5"/>
    <w:rsid w:val="00E37E36"/>
    <w:rsid w:val="00E37E40"/>
    <w:rsid w:val="00E37E7F"/>
    <w:rsid w:val="00E37F52"/>
    <w:rsid w:val="00E37F97"/>
    <w:rsid w:val="00E37FA2"/>
    <w:rsid w:val="00E37FBF"/>
    <w:rsid w:val="00E37FC0"/>
    <w:rsid w:val="00E37FE6"/>
    <w:rsid w:val="00E4002D"/>
    <w:rsid w:val="00E40051"/>
    <w:rsid w:val="00E40069"/>
    <w:rsid w:val="00E40080"/>
    <w:rsid w:val="00E40094"/>
    <w:rsid w:val="00E40117"/>
    <w:rsid w:val="00E4013B"/>
    <w:rsid w:val="00E4017E"/>
    <w:rsid w:val="00E401EF"/>
    <w:rsid w:val="00E40225"/>
    <w:rsid w:val="00E4024D"/>
    <w:rsid w:val="00E402B7"/>
    <w:rsid w:val="00E40339"/>
    <w:rsid w:val="00E40387"/>
    <w:rsid w:val="00E403BA"/>
    <w:rsid w:val="00E403CE"/>
    <w:rsid w:val="00E403D9"/>
    <w:rsid w:val="00E40414"/>
    <w:rsid w:val="00E4041C"/>
    <w:rsid w:val="00E404A6"/>
    <w:rsid w:val="00E404C2"/>
    <w:rsid w:val="00E404CE"/>
    <w:rsid w:val="00E404D4"/>
    <w:rsid w:val="00E404D5"/>
    <w:rsid w:val="00E404DC"/>
    <w:rsid w:val="00E40573"/>
    <w:rsid w:val="00E40596"/>
    <w:rsid w:val="00E405DC"/>
    <w:rsid w:val="00E405E0"/>
    <w:rsid w:val="00E405EC"/>
    <w:rsid w:val="00E4060F"/>
    <w:rsid w:val="00E40619"/>
    <w:rsid w:val="00E4068A"/>
    <w:rsid w:val="00E40703"/>
    <w:rsid w:val="00E40713"/>
    <w:rsid w:val="00E40733"/>
    <w:rsid w:val="00E4075B"/>
    <w:rsid w:val="00E40775"/>
    <w:rsid w:val="00E40785"/>
    <w:rsid w:val="00E407D2"/>
    <w:rsid w:val="00E407DC"/>
    <w:rsid w:val="00E40860"/>
    <w:rsid w:val="00E40872"/>
    <w:rsid w:val="00E40923"/>
    <w:rsid w:val="00E40948"/>
    <w:rsid w:val="00E409EC"/>
    <w:rsid w:val="00E40A6C"/>
    <w:rsid w:val="00E40A73"/>
    <w:rsid w:val="00E40A90"/>
    <w:rsid w:val="00E40AC2"/>
    <w:rsid w:val="00E40BC8"/>
    <w:rsid w:val="00E40C04"/>
    <w:rsid w:val="00E40C18"/>
    <w:rsid w:val="00E40C5A"/>
    <w:rsid w:val="00E40C9C"/>
    <w:rsid w:val="00E40CF6"/>
    <w:rsid w:val="00E40CF7"/>
    <w:rsid w:val="00E40D02"/>
    <w:rsid w:val="00E40D1C"/>
    <w:rsid w:val="00E40D25"/>
    <w:rsid w:val="00E40D4C"/>
    <w:rsid w:val="00E40D75"/>
    <w:rsid w:val="00E40DC3"/>
    <w:rsid w:val="00E40DE6"/>
    <w:rsid w:val="00E40DF1"/>
    <w:rsid w:val="00E40E00"/>
    <w:rsid w:val="00E40E68"/>
    <w:rsid w:val="00E40E8D"/>
    <w:rsid w:val="00E40EE8"/>
    <w:rsid w:val="00E40EED"/>
    <w:rsid w:val="00E40F3F"/>
    <w:rsid w:val="00E40F40"/>
    <w:rsid w:val="00E40F4B"/>
    <w:rsid w:val="00E40F4E"/>
    <w:rsid w:val="00E40F69"/>
    <w:rsid w:val="00E40FC4"/>
    <w:rsid w:val="00E40FD2"/>
    <w:rsid w:val="00E4103D"/>
    <w:rsid w:val="00E41071"/>
    <w:rsid w:val="00E41084"/>
    <w:rsid w:val="00E4109D"/>
    <w:rsid w:val="00E410E5"/>
    <w:rsid w:val="00E41108"/>
    <w:rsid w:val="00E4110E"/>
    <w:rsid w:val="00E4111C"/>
    <w:rsid w:val="00E41189"/>
    <w:rsid w:val="00E4124C"/>
    <w:rsid w:val="00E4128C"/>
    <w:rsid w:val="00E412D5"/>
    <w:rsid w:val="00E412E7"/>
    <w:rsid w:val="00E412FF"/>
    <w:rsid w:val="00E41310"/>
    <w:rsid w:val="00E41316"/>
    <w:rsid w:val="00E41358"/>
    <w:rsid w:val="00E413EB"/>
    <w:rsid w:val="00E413FE"/>
    <w:rsid w:val="00E41491"/>
    <w:rsid w:val="00E41499"/>
    <w:rsid w:val="00E41509"/>
    <w:rsid w:val="00E41519"/>
    <w:rsid w:val="00E41549"/>
    <w:rsid w:val="00E4157D"/>
    <w:rsid w:val="00E41607"/>
    <w:rsid w:val="00E41640"/>
    <w:rsid w:val="00E41692"/>
    <w:rsid w:val="00E416A4"/>
    <w:rsid w:val="00E416F7"/>
    <w:rsid w:val="00E416FB"/>
    <w:rsid w:val="00E41715"/>
    <w:rsid w:val="00E41773"/>
    <w:rsid w:val="00E41780"/>
    <w:rsid w:val="00E4182C"/>
    <w:rsid w:val="00E41875"/>
    <w:rsid w:val="00E418B2"/>
    <w:rsid w:val="00E418B4"/>
    <w:rsid w:val="00E418DB"/>
    <w:rsid w:val="00E41942"/>
    <w:rsid w:val="00E41976"/>
    <w:rsid w:val="00E41979"/>
    <w:rsid w:val="00E419BE"/>
    <w:rsid w:val="00E419E4"/>
    <w:rsid w:val="00E419FB"/>
    <w:rsid w:val="00E41A1E"/>
    <w:rsid w:val="00E41A22"/>
    <w:rsid w:val="00E41A7D"/>
    <w:rsid w:val="00E41A85"/>
    <w:rsid w:val="00E41A98"/>
    <w:rsid w:val="00E41AE9"/>
    <w:rsid w:val="00E41AF2"/>
    <w:rsid w:val="00E41B1F"/>
    <w:rsid w:val="00E41B82"/>
    <w:rsid w:val="00E41B9D"/>
    <w:rsid w:val="00E41BAF"/>
    <w:rsid w:val="00E41BD8"/>
    <w:rsid w:val="00E41C04"/>
    <w:rsid w:val="00E41C0D"/>
    <w:rsid w:val="00E41C63"/>
    <w:rsid w:val="00E41C68"/>
    <w:rsid w:val="00E41C6E"/>
    <w:rsid w:val="00E41CAB"/>
    <w:rsid w:val="00E41D61"/>
    <w:rsid w:val="00E41DCE"/>
    <w:rsid w:val="00E41DD8"/>
    <w:rsid w:val="00E41DE1"/>
    <w:rsid w:val="00E41DE9"/>
    <w:rsid w:val="00E41E06"/>
    <w:rsid w:val="00E41E65"/>
    <w:rsid w:val="00E41E79"/>
    <w:rsid w:val="00E41EBA"/>
    <w:rsid w:val="00E41ECC"/>
    <w:rsid w:val="00E41F23"/>
    <w:rsid w:val="00E41F42"/>
    <w:rsid w:val="00E41F89"/>
    <w:rsid w:val="00E41F9C"/>
    <w:rsid w:val="00E41FC4"/>
    <w:rsid w:val="00E4201C"/>
    <w:rsid w:val="00E4203D"/>
    <w:rsid w:val="00E420A9"/>
    <w:rsid w:val="00E420EC"/>
    <w:rsid w:val="00E42111"/>
    <w:rsid w:val="00E42197"/>
    <w:rsid w:val="00E421B5"/>
    <w:rsid w:val="00E421D2"/>
    <w:rsid w:val="00E421DA"/>
    <w:rsid w:val="00E421F1"/>
    <w:rsid w:val="00E42200"/>
    <w:rsid w:val="00E42203"/>
    <w:rsid w:val="00E42214"/>
    <w:rsid w:val="00E4221B"/>
    <w:rsid w:val="00E42226"/>
    <w:rsid w:val="00E4226E"/>
    <w:rsid w:val="00E422D7"/>
    <w:rsid w:val="00E42314"/>
    <w:rsid w:val="00E42373"/>
    <w:rsid w:val="00E42384"/>
    <w:rsid w:val="00E4239F"/>
    <w:rsid w:val="00E423C2"/>
    <w:rsid w:val="00E423E3"/>
    <w:rsid w:val="00E4242E"/>
    <w:rsid w:val="00E424AA"/>
    <w:rsid w:val="00E424C2"/>
    <w:rsid w:val="00E424D9"/>
    <w:rsid w:val="00E42544"/>
    <w:rsid w:val="00E42556"/>
    <w:rsid w:val="00E42561"/>
    <w:rsid w:val="00E42568"/>
    <w:rsid w:val="00E42574"/>
    <w:rsid w:val="00E42594"/>
    <w:rsid w:val="00E42623"/>
    <w:rsid w:val="00E4263B"/>
    <w:rsid w:val="00E42673"/>
    <w:rsid w:val="00E426B0"/>
    <w:rsid w:val="00E42741"/>
    <w:rsid w:val="00E42759"/>
    <w:rsid w:val="00E427B1"/>
    <w:rsid w:val="00E427CD"/>
    <w:rsid w:val="00E427FC"/>
    <w:rsid w:val="00E4280D"/>
    <w:rsid w:val="00E42883"/>
    <w:rsid w:val="00E4288A"/>
    <w:rsid w:val="00E428B1"/>
    <w:rsid w:val="00E428FC"/>
    <w:rsid w:val="00E42912"/>
    <w:rsid w:val="00E42963"/>
    <w:rsid w:val="00E42978"/>
    <w:rsid w:val="00E4297D"/>
    <w:rsid w:val="00E42985"/>
    <w:rsid w:val="00E429E8"/>
    <w:rsid w:val="00E42A26"/>
    <w:rsid w:val="00E42A38"/>
    <w:rsid w:val="00E42A4A"/>
    <w:rsid w:val="00E42ABE"/>
    <w:rsid w:val="00E42B03"/>
    <w:rsid w:val="00E42B18"/>
    <w:rsid w:val="00E42B35"/>
    <w:rsid w:val="00E42B6C"/>
    <w:rsid w:val="00E42B6F"/>
    <w:rsid w:val="00E42B85"/>
    <w:rsid w:val="00E42B94"/>
    <w:rsid w:val="00E42C04"/>
    <w:rsid w:val="00E42C0A"/>
    <w:rsid w:val="00E42C28"/>
    <w:rsid w:val="00E42C4D"/>
    <w:rsid w:val="00E42C56"/>
    <w:rsid w:val="00E42D28"/>
    <w:rsid w:val="00E42D50"/>
    <w:rsid w:val="00E42D65"/>
    <w:rsid w:val="00E42D74"/>
    <w:rsid w:val="00E42D7B"/>
    <w:rsid w:val="00E42D81"/>
    <w:rsid w:val="00E42DCB"/>
    <w:rsid w:val="00E42E01"/>
    <w:rsid w:val="00E42E3F"/>
    <w:rsid w:val="00E42E97"/>
    <w:rsid w:val="00E42EAE"/>
    <w:rsid w:val="00E42EFC"/>
    <w:rsid w:val="00E42F2A"/>
    <w:rsid w:val="00E42F40"/>
    <w:rsid w:val="00E42F5C"/>
    <w:rsid w:val="00E42F7C"/>
    <w:rsid w:val="00E42F8F"/>
    <w:rsid w:val="00E42FB1"/>
    <w:rsid w:val="00E43055"/>
    <w:rsid w:val="00E43072"/>
    <w:rsid w:val="00E43086"/>
    <w:rsid w:val="00E43099"/>
    <w:rsid w:val="00E4309F"/>
    <w:rsid w:val="00E430C3"/>
    <w:rsid w:val="00E430CB"/>
    <w:rsid w:val="00E4313E"/>
    <w:rsid w:val="00E43143"/>
    <w:rsid w:val="00E43166"/>
    <w:rsid w:val="00E4316A"/>
    <w:rsid w:val="00E43192"/>
    <w:rsid w:val="00E4319F"/>
    <w:rsid w:val="00E43203"/>
    <w:rsid w:val="00E4324E"/>
    <w:rsid w:val="00E43266"/>
    <w:rsid w:val="00E4326D"/>
    <w:rsid w:val="00E432ED"/>
    <w:rsid w:val="00E43323"/>
    <w:rsid w:val="00E43330"/>
    <w:rsid w:val="00E43386"/>
    <w:rsid w:val="00E43398"/>
    <w:rsid w:val="00E43399"/>
    <w:rsid w:val="00E433A9"/>
    <w:rsid w:val="00E433D3"/>
    <w:rsid w:val="00E433FA"/>
    <w:rsid w:val="00E4340A"/>
    <w:rsid w:val="00E4343B"/>
    <w:rsid w:val="00E4346D"/>
    <w:rsid w:val="00E43482"/>
    <w:rsid w:val="00E434AF"/>
    <w:rsid w:val="00E434D9"/>
    <w:rsid w:val="00E43557"/>
    <w:rsid w:val="00E4355F"/>
    <w:rsid w:val="00E43561"/>
    <w:rsid w:val="00E43564"/>
    <w:rsid w:val="00E435D2"/>
    <w:rsid w:val="00E43645"/>
    <w:rsid w:val="00E4364D"/>
    <w:rsid w:val="00E43657"/>
    <w:rsid w:val="00E43658"/>
    <w:rsid w:val="00E43755"/>
    <w:rsid w:val="00E43768"/>
    <w:rsid w:val="00E4376B"/>
    <w:rsid w:val="00E437F5"/>
    <w:rsid w:val="00E43814"/>
    <w:rsid w:val="00E4381A"/>
    <w:rsid w:val="00E4387F"/>
    <w:rsid w:val="00E43888"/>
    <w:rsid w:val="00E438AE"/>
    <w:rsid w:val="00E43984"/>
    <w:rsid w:val="00E43B1D"/>
    <w:rsid w:val="00E43B35"/>
    <w:rsid w:val="00E43B80"/>
    <w:rsid w:val="00E43BCA"/>
    <w:rsid w:val="00E43BF0"/>
    <w:rsid w:val="00E43C1E"/>
    <w:rsid w:val="00E43C68"/>
    <w:rsid w:val="00E43C7C"/>
    <w:rsid w:val="00E43D7D"/>
    <w:rsid w:val="00E43D93"/>
    <w:rsid w:val="00E43DD2"/>
    <w:rsid w:val="00E43DEB"/>
    <w:rsid w:val="00E43E00"/>
    <w:rsid w:val="00E43EB0"/>
    <w:rsid w:val="00E43F03"/>
    <w:rsid w:val="00E43F81"/>
    <w:rsid w:val="00E43F99"/>
    <w:rsid w:val="00E43FA9"/>
    <w:rsid w:val="00E43FAC"/>
    <w:rsid w:val="00E43FAD"/>
    <w:rsid w:val="00E43FCC"/>
    <w:rsid w:val="00E44049"/>
    <w:rsid w:val="00E44075"/>
    <w:rsid w:val="00E440A7"/>
    <w:rsid w:val="00E440D5"/>
    <w:rsid w:val="00E440DE"/>
    <w:rsid w:val="00E440F5"/>
    <w:rsid w:val="00E44100"/>
    <w:rsid w:val="00E4415D"/>
    <w:rsid w:val="00E441D2"/>
    <w:rsid w:val="00E441D5"/>
    <w:rsid w:val="00E441FB"/>
    <w:rsid w:val="00E44200"/>
    <w:rsid w:val="00E44238"/>
    <w:rsid w:val="00E44286"/>
    <w:rsid w:val="00E442B7"/>
    <w:rsid w:val="00E442F5"/>
    <w:rsid w:val="00E442FE"/>
    <w:rsid w:val="00E443BB"/>
    <w:rsid w:val="00E443D5"/>
    <w:rsid w:val="00E4449C"/>
    <w:rsid w:val="00E44525"/>
    <w:rsid w:val="00E44527"/>
    <w:rsid w:val="00E44531"/>
    <w:rsid w:val="00E44546"/>
    <w:rsid w:val="00E44553"/>
    <w:rsid w:val="00E44557"/>
    <w:rsid w:val="00E445A0"/>
    <w:rsid w:val="00E445A3"/>
    <w:rsid w:val="00E445B4"/>
    <w:rsid w:val="00E44628"/>
    <w:rsid w:val="00E44666"/>
    <w:rsid w:val="00E4469D"/>
    <w:rsid w:val="00E446A4"/>
    <w:rsid w:val="00E446DD"/>
    <w:rsid w:val="00E44767"/>
    <w:rsid w:val="00E44789"/>
    <w:rsid w:val="00E447FF"/>
    <w:rsid w:val="00E44806"/>
    <w:rsid w:val="00E4484D"/>
    <w:rsid w:val="00E4486F"/>
    <w:rsid w:val="00E448A9"/>
    <w:rsid w:val="00E448AC"/>
    <w:rsid w:val="00E448B6"/>
    <w:rsid w:val="00E4492B"/>
    <w:rsid w:val="00E4492C"/>
    <w:rsid w:val="00E4493C"/>
    <w:rsid w:val="00E44983"/>
    <w:rsid w:val="00E449A5"/>
    <w:rsid w:val="00E449AF"/>
    <w:rsid w:val="00E44A00"/>
    <w:rsid w:val="00E44A0D"/>
    <w:rsid w:val="00E44A1A"/>
    <w:rsid w:val="00E44A7C"/>
    <w:rsid w:val="00E44AEC"/>
    <w:rsid w:val="00E44B17"/>
    <w:rsid w:val="00E44B1B"/>
    <w:rsid w:val="00E44B1C"/>
    <w:rsid w:val="00E44B4B"/>
    <w:rsid w:val="00E44B75"/>
    <w:rsid w:val="00E44C00"/>
    <w:rsid w:val="00E44C44"/>
    <w:rsid w:val="00E44C6B"/>
    <w:rsid w:val="00E44C98"/>
    <w:rsid w:val="00E44CBC"/>
    <w:rsid w:val="00E44CCB"/>
    <w:rsid w:val="00E44CDD"/>
    <w:rsid w:val="00E44D2B"/>
    <w:rsid w:val="00E44D68"/>
    <w:rsid w:val="00E44D8E"/>
    <w:rsid w:val="00E44DB1"/>
    <w:rsid w:val="00E44DCA"/>
    <w:rsid w:val="00E44DE5"/>
    <w:rsid w:val="00E44E40"/>
    <w:rsid w:val="00E44E41"/>
    <w:rsid w:val="00E44E54"/>
    <w:rsid w:val="00E44F22"/>
    <w:rsid w:val="00E44F74"/>
    <w:rsid w:val="00E44F95"/>
    <w:rsid w:val="00E44FF2"/>
    <w:rsid w:val="00E45015"/>
    <w:rsid w:val="00E45039"/>
    <w:rsid w:val="00E45059"/>
    <w:rsid w:val="00E4506C"/>
    <w:rsid w:val="00E45077"/>
    <w:rsid w:val="00E45144"/>
    <w:rsid w:val="00E4515A"/>
    <w:rsid w:val="00E451B1"/>
    <w:rsid w:val="00E451C0"/>
    <w:rsid w:val="00E45238"/>
    <w:rsid w:val="00E45248"/>
    <w:rsid w:val="00E452AC"/>
    <w:rsid w:val="00E45311"/>
    <w:rsid w:val="00E45324"/>
    <w:rsid w:val="00E4533B"/>
    <w:rsid w:val="00E45340"/>
    <w:rsid w:val="00E45380"/>
    <w:rsid w:val="00E453BA"/>
    <w:rsid w:val="00E453C6"/>
    <w:rsid w:val="00E453DF"/>
    <w:rsid w:val="00E453E2"/>
    <w:rsid w:val="00E4541F"/>
    <w:rsid w:val="00E45479"/>
    <w:rsid w:val="00E4547C"/>
    <w:rsid w:val="00E4549A"/>
    <w:rsid w:val="00E454BE"/>
    <w:rsid w:val="00E454C6"/>
    <w:rsid w:val="00E45509"/>
    <w:rsid w:val="00E45537"/>
    <w:rsid w:val="00E45551"/>
    <w:rsid w:val="00E45572"/>
    <w:rsid w:val="00E45589"/>
    <w:rsid w:val="00E455DC"/>
    <w:rsid w:val="00E455F2"/>
    <w:rsid w:val="00E45689"/>
    <w:rsid w:val="00E45693"/>
    <w:rsid w:val="00E45694"/>
    <w:rsid w:val="00E4569E"/>
    <w:rsid w:val="00E456E1"/>
    <w:rsid w:val="00E45761"/>
    <w:rsid w:val="00E4576A"/>
    <w:rsid w:val="00E4579C"/>
    <w:rsid w:val="00E457B7"/>
    <w:rsid w:val="00E457F6"/>
    <w:rsid w:val="00E457FA"/>
    <w:rsid w:val="00E458EC"/>
    <w:rsid w:val="00E4594B"/>
    <w:rsid w:val="00E45955"/>
    <w:rsid w:val="00E4595D"/>
    <w:rsid w:val="00E45991"/>
    <w:rsid w:val="00E459A8"/>
    <w:rsid w:val="00E459DD"/>
    <w:rsid w:val="00E45A2B"/>
    <w:rsid w:val="00E45A3B"/>
    <w:rsid w:val="00E45A50"/>
    <w:rsid w:val="00E45AC0"/>
    <w:rsid w:val="00E45B01"/>
    <w:rsid w:val="00E45B0B"/>
    <w:rsid w:val="00E45B13"/>
    <w:rsid w:val="00E45C1C"/>
    <w:rsid w:val="00E45C4D"/>
    <w:rsid w:val="00E45C99"/>
    <w:rsid w:val="00E45DD6"/>
    <w:rsid w:val="00E45DE7"/>
    <w:rsid w:val="00E45E00"/>
    <w:rsid w:val="00E45E0A"/>
    <w:rsid w:val="00E45E13"/>
    <w:rsid w:val="00E45E2A"/>
    <w:rsid w:val="00E45E59"/>
    <w:rsid w:val="00E45EB1"/>
    <w:rsid w:val="00E45EF0"/>
    <w:rsid w:val="00E45F0B"/>
    <w:rsid w:val="00E45F17"/>
    <w:rsid w:val="00E45F1A"/>
    <w:rsid w:val="00E45F1C"/>
    <w:rsid w:val="00E45F1F"/>
    <w:rsid w:val="00E45F3D"/>
    <w:rsid w:val="00E45F40"/>
    <w:rsid w:val="00E45F73"/>
    <w:rsid w:val="00E45F85"/>
    <w:rsid w:val="00E45F9B"/>
    <w:rsid w:val="00E45FA6"/>
    <w:rsid w:val="00E45FC4"/>
    <w:rsid w:val="00E45FE9"/>
    <w:rsid w:val="00E46011"/>
    <w:rsid w:val="00E46019"/>
    <w:rsid w:val="00E46030"/>
    <w:rsid w:val="00E46059"/>
    <w:rsid w:val="00E4606B"/>
    <w:rsid w:val="00E460D2"/>
    <w:rsid w:val="00E460FD"/>
    <w:rsid w:val="00E46106"/>
    <w:rsid w:val="00E46133"/>
    <w:rsid w:val="00E46143"/>
    <w:rsid w:val="00E46147"/>
    <w:rsid w:val="00E4618E"/>
    <w:rsid w:val="00E461AD"/>
    <w:rsid w:val="00E461D3"/>
    <w:rsid w:val="00E461E0"/>
    <w:rsid w:val="00E46223"/>
    <w:rsid w:val="00E46234"/>
    <w:rsid w:val="00E4626C"/>
    <w:rsid w:val="00E4631E"/>
    <w:rsid w:val="00E46324"/>
    <w:rsid w:val="00E46395"/>
    <w:rsid w:val="00E463BA"/>
    <w:rsid w:val="00E463C9"/>
    <w:rsid w:val="00E463EA"/>
    <w:rsid w:val="00E4641E"/>
    <w:rsid w:val="00E46441"/>
    <w:rsid w:val="00E46470"/>
    <w:rsid w:val="00E46490"/>
    <w:rsid w:val="00E464A4"/>
    <w:rsid w:val="00E464A7"/>
    <w:rsid w:val="00E464BD"/>
    <w:rsid w:val="00E464F5"/>
    <w:rsid w:val="00E464F6"/>
    <w:rsid w:val="00E46535"/>
    <w:rsid w:val="00E4653E"/>
    <w:rsid w:val="00E46541"/>
    <w:rsid w:val="00E46556"/>
    <w:rsid w:val="00E4655A"/>
    <w:rsid w:val="00E46566"/>
    <w:rsid w:val="00E465DD"/>
    <w:rsid w:val="00E465E9"/>
    <w:rsid w:val="00E46635"/>
    <w:rsid w:val="00E46667"/>
    <w:rsid w:val="00E4668E"/>
    <w:rsid w:val="00E466A3"/>
    <w:rsid w:val="00E466BE"/>
    <w:rsid w:val="00E46731"/>
    <w:rsid w:val="00E4675C"/>
    <w:rsid w:val="00E4678E"/>
    <w:rsid w:val="00E467AB"/>
    <w:rsid w:val="00E467BE"/>
    <w:rsid w:val="00E46829"/>
    <w:rsid w:val="00E468AA"/>
    <w:rsid w:val="00E468B5"/>
    <w:rsid w:val="00E468E0"/>
    <w:rsid w:val="00E468FD"/>
    <w:rsid w:val="00E46919"/>
    <w:rsid w:val="00E469C2"/>
    <w:rsid w:val="00E46A15"/>
    <w:rsid w:val="00E46A23"/>
    <w:rsid w:val="00E46B10"/>
    <w:rsid w:val="00E46B6A"/>
    <w:rsid w:val="00E46B7D"/>
    <w:rsid w:val="00E46B8E"/>
    <w:rsid w:val="00E46C12"/>
    <w:rsid w:val="00E46C62"/>
    <w:rsid w:val="00E46CB4"/>
    <w:rsid w:val="00E46CCC"/>
    <w:rsid w:val="00E46CDE"/>
    <w:rsid w:val="00E46D13"/>
    <w:rsid w:val="00E46D30"/>
    <w:rsid w:val="00E46D37"/>
    <w:rsid w:val="00E46D54"/>
    <w:rsid w:val="00E46D91"/>
    <w:rsid w:val="00E46DB8"/>
    <w:rsid w:val="00E46E10"/>
    <w:rsid w:val="00E46E94"/>
    <w:rsid w:val="00E46ED7"/>
    <w:rsid w:val="00E46F24"/>
    <w:rsid w:val="00E46F3C"/>
    <w:rsid w:val="00E46F51"/>
    <w:rsid w:val="00E47024"/>
    <w:rsid w:val="00E47060"/>
    <w:rsid w:val="00E47098"/>
    <w:rsid w:val="00E4712E"/>
    <w:rsid w:val="00E47130"/>
    <w:rsid w:val="00E47131"/>
    <w:rsid w:val="00E47133"/>
    <w:rsid w:val="00E4714C"/>
    <w:rsid w:val="00E47189"/>
    <w:rsid w:val="00E47200"/>
    <w:rsid w:val="00E4720C"/>
    <w:rsid w:val="00E4730D"/>
    <w:rsid w:val="00E47317"/>
    <w:rsid w:val="00E47338"/>
    <w:rsid w:val="00E473DF"/>
    <w:rsid w:val="00E473F8"/>
    <w:rsid w:val="00E47434"/>
    <w:rsid w:val="00E474B0"/>
    <w:rsid w:val="00E474C7"/>
    <w:rsid w:val="00E47521"/>
    <w:rsid w:val="00E47549"/>
    <w:rsid w:val="00E4757B"/>
    <w:rsid w:val="00E475A4"/>
    <w:rsid w:val="00E4764C"/>
    <w:rsid w:val="00E47651"/>
    <w:rsid w:val="00E4766E"/>
    <w:rsid w:val="00E476B9"/>
    <w:rsid w:val="00E476BB"/>
    <w:rsid w:val="00E476DD"/>
    <w:rsid w:val="00E476E5"/>
    <w:rsid w:val="00E47704"/>
    <w:rsid w:val="00E477A2"/>
    <w:rsid w:val="00E477AA"/>
    <w:rsid w:val="00E477B2"/>
    <w:rsid w:val="00E477FC"/>
    <w:rsid w:val="00E47882"/>
    <w:rsid w:val="00E478E7"/>
    <w:rsid w:val="00E4799B"/>
    <w:rsid w:val="00E47A7A"/>
    <w:rsid w:val="00E47A88"/>
    <w:rsid w:val="00E47AAC"/>
    <w:rsid w:val="00E47B47"/>
    <w:rsid w:val="00E47B55"/>
    <w:rsid w:val="00E47BA8"/>
    <w:rsid w:val="00E47BA9"/>
    <w:rsid w:val="00E47C35"/>
    <w:rsid w:val="00E47C40"/>
    <w:rsid w:val="00E47C49"/>
    <w:rsid w:val="00E47C50"/>
    <w:rsid w:val="00E47C75"/>
    <w:rsid w:val="00E47CA2"/>
    <w:rsid w:val="00E47CE7"/>
    <w:rsid w:val="00E47D0E"/>
    <w:rsid w:val="00E47D7D"/>
    <w:rsid w:val="00E47D83"/>
    <w:rsid w:val="00E47DB8"/>
    <w:rsid w:val="00E47E2E"/>
    <w:rsid w:val="00E47E83"/>
    <w:rsid w:val="00E47ECD"/>
    <w:rsid w:val="00E47ED8"/>
    <w:rsid w:val="00E47F31"/>
    <w:rsid w:val="00E47F39"/>
    <w:rsid w:val="00E47F6C"/>
    <w:rsid w:val="00E50062"/>
    <w:rsid w:val="00E50064"/>
    <w:rsid w:val="00E50098"/>
    <w:rsid w:val="00E50099"/>
    <w:rsid w:val="00E500A1"/>
    <w:rsid w:val="00E5013D"/>
    <w:rsid w:val="00E50179"/>
    <w:rsid w:val="00E5020F"/>
    <w:rsid w:val="00E50250"/>
    <w:rsid w:val="00E50294"/>
    <w:rsid w:val="00E502E7"/>
    <w:rsid w:val="00E50320"/>
    <w:rsid w:val="00E5042C"/>
    <w:rsid w:val="00E5042D"/>
    <w:rsid w:val="00E50449"/>
    <w:rsid w:val="00E50452"/>
    <w:rsid w:val="00E504B8"/>
    <w:rsid w:val="00E504BA"/>
    <w:rsid w:val="00E50500"/>
    <w:rsid w:val="00E5050E"/>
    <w:rsid w:val="00E50588"/>
    <w:rsid w:val="00E505CB"/>
    <w:rsid w:val="00E505E5"/>
    <w:rsid w:val="00E506E9"/>
    <w:rsid w:val="00E506EC"/>
    <w:rsid w:val="00E5075B"/>
    <w:rsid w:val="00E5075E"/>
    <w:rsid w:val="00E507A0"/>
    <w:rsid w:val="00E5082B"/>
    <w:rsid w:val="00E50838"/>
    <w:rsid w:val="00E50852"/>
    <w:rsid w:val="00E50877"/>
    <w:rsid w:val="00E5089D"/>
    <w:rsid w:val="00E508BC"/>
    <w:rsid w:val="00E508BD"/>
    <w:rsid w:val="00E508EC"/>
    <w:rsid w:val="00E508FD"/>
    <w:rsid w:val="00E50A1D"/>
    <w:rsid w:val="00E50A9F"/>
    <w:rsid w:val="00E50AC6"/>
    <w:rsid w:val="00E50AFD"/>
    <w:rsid w:val="00E50B10"/>
    <w:rsid w:val="00E50B39"/>
    <w:rsid w:val="00E50B74"/>
    <w:rsid w:val="00E50B8C"/>
    <w:rsid w:val="00E50BA6"/>
    <w:rsid w:val="00E50C09"/>
    <w:rsid w:val="00E50C13"/>
    <w:rsid w:val="00E50C2C"/>
    <w:rsid w:val="00E50C58"/>
    <w:rsid w:val="00E50C78"/>
    <w:rsid w:val="00E50C81"/>
    <w:rsid w:val="00E50C83"/>
    <w:rsid w:val="00E50C99"/>
    <w:rsid w:val="00E50CB9"/>
    <w:rsid w:val="00E50D21"/>
    <w:rsid w:val="00E50D6D"/>
    <w:rsid w:val="00E50DD7"/>
    <w:rsid w:val="00E50DDC"/>
    <w:rsid w:val="00E50E59"/>
    <w:rsid w:val="00E50E76"/>
    <w:rsid w:val="00E50EF4"/>
    <w:rsid w:val="00E50F04"/>
    <w:rsid w:val="00E50F15"/>
    <w:rsid w:val="00E50F1B"/>
    <w:rsid w:val="00E50F1D"/>
    <w:rsid w:val="00E50F4F"/>
    <w:rsid w:val="00E50FD8"/>
    <w:rsid w:val="00E51060"/>
    <w:rsid w:val="00E51072"/>
    <w:rsid w:val="00E510FE"/>
    <w:rsid w:val="00E51128"/>
    <w:rsid w:val="00E511A9"/>
    <w:rsid w:val="00E511B2"/>
    <w:rsid w:val="00E51228"/>
    <w:rsid w:val="00E5124D"/>
    <w:rsid w:val="00E5128B"/>
    <w:rsid w:val="00E512B0"/>
    <w:rsid w:val="00E51345"/>
    <w:rsid w:val="00E513F4"/>
    <w:rsid w:val="00E514A5"/>
    <w:rsid w:val="00E514E4"/>
    <w:rsid w:val="00E514E7"/>
    <w:rsid w:val="00E514FC"/>
    <w:rsid w:val="00E5151E"/>
    <w:rsid w:val="00E5157F"/>
    <w:rsid w:val="00E515B0"/>
    <w:rsid w:val="00E515C1"/>
    <w:rsid w:val="00E515E9"/>
    <w:rsid w:val="00E51623"/>
    <w:rsid w:val="00E51638"/>
    <w:rsid w:val="00E516AE"/>
    <w:rsid w:val="00E516CB"/>
    <w:rsid w:val="00E5172D"/>
    <w:rsid w:val="00E51752"/>
    <w:rsid w:val="00E51766"/>
    <w:rsid w:val="00E51780"/>
    <w:rsid w:val="00E517E7"/>
    <w:rsid w:val="00E517EC"/>
    <w:rsid w:val="00E51806"/>
    <w:rsid w:val="00E51812"/>
    <w:rsid w:val="00E5181A"/>
    <w:rsid w:val="00E5184F"/>
    <w:rsid w:val="00E5185D"/>
    <w:rsid w:val="00E518CF"/>
    <w:rsid w:val="00E518DD"/>
    <w:rsid w:val="00E518EA"/>
    <w:rsid w:val="00E518F3"/>
    <w:rsid w:val="00E518F9"/>
    <w:rsid w:val="00E5192A"/>
    <w:rsid w:val="00E5193A"/>
    <w:rsid w:val="00E51942"/>
    <w:rsid w:val="00E51974"/>
    <w:rsid w:val="00E519DF"/>
    <w:rsid w:val="00E519E1"/>
    <w:rsid w:val="00E51A29"/>
    <w:rsid w:val="00E51A50"/>
    <w:rsid w:val="00E51AFC"/>
    <w:rsid w:val="00E51B66"/>
    <w:rsid w:val="00E51B67"/>
    <w:rsid w:val="00E51BA4"/>
    <w:rsid w:val="00E51BF0"/>
    <w:rsid w:val="00E51C62"/>
    <w:rsid w:val="00E51C70"/>
    <w:rsid w:val="00E51C95"/>
    <w:rsid w:val="00E51CB7"/>
    <w:rsid w:val="00E51CD7"/>
    <w:rsid w:val="00E51D01"/>
    <w:rsid w:val="00E51D39"/>
    <w:rsid w:val="00E51D75"/>
    <w:rsid w:val="00E51E56"/>
    <w:rsid w:val="00E51E82"/>
    <w:rsid w:val="00E51E87"/>
    <w:rsid w:val="00E51EAB"/>
    <w:rsid w:val="00E51EB6"/>
    <w:rsid w:val="00E51ED5"/>
    <w:rsid w:val="00E51F09"/>
    <w:rsid w:val="00E51F59"/>
    <w:rsid w:val="00E51FBF"/>
    <w:rsid w:val="00E52025"/>
    <w:rsid w:val="00E520F1"/>
    <w:rsid w:val="00E52120"/>
    <w:rsid w:val="00E52163"/>
    <w:rsid w:val="00E5216D"/>
    <w:rsid w:val="00E52177"/>
    <w:rsid w:val="00E5217D"/>
    <w:rsid w:val="00E52181"/>
    <w:rsid w:val="00E521B3"/>
    <w:rsid w:val="00E521CC"/>
    <w:rsid w:val="00E521D2"/>
    <w:rsid w:val="00E521DA"/>
    <w:rsid w:val="00E521F3"/>
    <w:rsid w:val="00E521FB"/>
    <w:rsid w:val="00E5220B"/>
    <w:rsid w:val="00E52220"/>
    <w:rsid w:val="00E5224E"/>
    <w:rsid w:val="00E52309"/>
    <w:rsid w:val="00E5234C"/>
    <w:rsid w:val="00E52350"/>
    <w:rsid w:val="00E52376"/>
    <w:rsid w:val="00E52394"/>
    <w:rsid w:val="00E524EE"/>
    <w:rsid w:val="00E52555"/>
    <w:rsid w:val="00E52558"/>
    <w:rsid w:val="00E52574"/>
    <w:rsid w:val="00E52588"/>
    <w:rsid w:val="00E5259E"/>
    <w:rsid w:val="00E525B3"/>
    <w:rsid w:val="00E525DC"/>
    <w:rsid w:val="00E5265B"/>
    <w:rsid w:val="00E52701"/>
    <w:rsid w:val="00E52741"/>
    <w:rsid w:val="00E52747"/>
    <w:rsid w:val="00E52774"/>
    <w:rsid w:val="00E5277F"/>
    <w:rsid w:val="00E52788"/>
    <w:rsid w:val="00E527C5"/>
    <w:rsid w:val="00E527D2"/>
    <w:rsid w:val="00E52880"/>
    <w:rsid w:val="00E528C9"/>
    <w:rsid w:val="00E5297A"/>
    <w:rsid w:val="00E5297F"/>
    <w:rsid w:val="00E52A03"/>
    <w:rsid w:val="00E52A6B"/>
    <w:rsid w:val="00E52AA4"/>
    <w:rsid w:val="00E52AB5"/>
    <w:rsid w:val="00E52ABD"/>
    <w:rsid w:val="00E52B02"/>
    <w:rsid w:val="00E52B0C"/>
    <w:rsid w:val="00E52B12"/>
    <w:rsid w:val="00E52B18"/>
    <w:rsid w:val="00E52B56"/>
    <w:rsid w:val="00E52B94"/>
    <w:rsid w:val="00E52B9D"/>
    <w:rsid w:val="00E52BAE"/>
    <w:rsid w:val="00E52BC4"/>
    <w:rsid w:val="00E52BDE"/>
    <w:rsid w:val="00E52BEF"/>
    <w:rsid w:val="00E52BF7"/>
    <w:rsid w:val="00E52C13"/>
    <w:rsid w:val="00E52C38"/>
    <w:rsid w:val="00E52C95"/>
    <w:rsid w:val="00E52CAF"/>
    <w:rsid w:val="00E52CBD"/>
    <w:rsid w:val="00E52D66"/>
    <w:rsid w:val="00E52D6A"/>
    <w:rsid w:val="00E52DB5"/>
    <w:rsid w:val="00E52F06"/>
    <w:rsid w:val="00E52F29"/>
    <w:rsid w:val="00E52F55"/>
    <w:rsid w:val="00E52F59"/>
    <w:rsid w:val="00E52F81"/>
    <w:rsid w:val="00E52F9B"/>
    <w:rsid w:val="00E52F9E"/>
    <w:rsid w:val="00E53007"/>
    <w:rsid w:val="00E530F7"/>
    <w:rsid w:val="00E53114"/>
    <w:rsid w:val="00E53130"/>
    <w:rsid w:val="00E5313B"/>
    <w:rsid w:val="00E531AF"/>
    <w:rsid w:val="00E531BB"/>
    <w:rsid w:val="00E5329A"/>
    <w:rsid w:val="00E532B7"/>
    <w:rsid w:val="00E53348"/>
    <w:rsid w:val="00E53370"/>
    <w:rsid w:val="00E53434"/>
    <w:rsid w:val="00E53474"/>
    <w:rsid w:val="00E5352F"/>
    <w:rsid w:val="00E53571"/>
    <w:rsid w:val="00E535B3"/>
    <w:rsid w:val="00E535DF"/>
    <w:rsid w:val="00E53600"/>
    <w:rsid w:val="00E53607"/>
    <w:rsid w:val="00E5361E"/>
    <w:rsid w:val="00E53690"/>
    <w:rsid w:val="00E536E1"/>
    <w:rsid w:val="00E536FB"/>
    <w:rsid w:val="00E53720"/>
    <w:rsid w:val="00E53758"/>
    <w:rsid w:val="00E5378F"/>
    <w:rsid w:val="00E537C8"/>
    <w:rsid w:val="00E5382B"/>
    <w:rsid w:val="00E5382D"/>
    <w:rsid w:val="00E53896"/>
    <w:rsid w:val="00E538D4"/>
    <w:rsid w:val="00E538EC"/>
    <w:rsid w:val="00E5391F"/>
    <w:rsid w:val="00E53936"/>
    <w:rsid w:val="00E5394C"/>
    <w:rsid w:val="00E53950"/>
    <w:rsid w:val="00E53965"/>
    <w:rsid w:val="00E53980"/>
    <w:rsid w:val="00E5398D"/>
    <w:rsid w:val="00E53998"/>
    <w:rsid w:val="00E539B2"/>
    <w:rsid w:val="00E539CE"/>
    <w:rsid w:val="00E539F1"/>
    <w:rsid w:val="00E53A28"/>
    <w:rsid w:val="00E53A31"/>
    <w:rsid w:val="00E53A5D"/>
    <w:rsid w:val="00E53ADD"/>
    <w:rsid w:val="00E53AE0"/>
    <w:rsid w:val="00E53B3E"/>
    <w:rsid w:val="00E53B66"/>
    <w:rsid w:val="00E53B6D"/>
    <w:rsid w:val="00E53BA8"/>
    <w:rsid w:val="00E53BBF"/>
    <w:rsid w:val="00E53BD6"/>
    <w:rsid w:val="00E53BF1"/>
    <w:rsid w:val="00E53C32"/>
    <w:rsid w:val="00E53CFE"/>
    <w:rsid w:val="00E53D6D"/>
    <w:rsid w:val="00E53DB7"/>
    <w:rsid w:val="00E53DF9"/>
    <w:rsid w:val="00E53E25"/>
    <w:rsid w:val="00E53E27"/>
    <w:rsid w:val="00E53E43"/>
    <w:rsid w:val="00E53EB9"/>
    <w:rsid w:val="00E53ED6"/>
    <w:rsid w:val="00E53F58"/>
    <w:rsid w:val="00E53F6B"/>
    <w:rsid w:val="00E53F78"/>
    <w:rsid w:val="00E53F7B"/>
    <w:rsid w:val="00E53F8D"/>
    <w:rsid w:val="00E53FCB"/>
    <w:rsid w:val="00E5402E"/>
    <w:rsid w:val="00E54033"/>
    <w:rsid w:val="00E5403E"/>
    <w:rsid w:val="00E54080"/>
    <w:rsid w:val="00E540B8"/>
    <w:rsid w:val="00E540BF"/>
    <w:rsid w:val="00E5412F"/>
    <w:rsid w:val="00E54173"/>
    <w:rsid w:val="00E541A1"/>
    <w:rsid w:val="00E541B2"/>
    <w:rsid w:val="00E54220"/>
    <w:rsid w:val="00E54228"/>
    <w:rsid w:val="00E54263"/>
    <w:rsid w:val="00E542A2"/>
    <w:rsid w:val="00E542C0"/>
    <w:rsid w:val="00E542D6"/>
    <w:rsid w:val="00E54313"/>
    <w:rsid w:val="00E54320"/>
    <w:rsid w:val="00E54360"/>
    <w:rsid w:val="00E54384"/>
    <w:rsid w:val="00E5438A"/>
    <w:rsid w:val="00E54394"/>
    <w:rsid w:val="00E543BD"/>
    <w:rsid w:val="00E544AE"/>
    <w:rsid w:val="00E544CB"/>
    <w:rsid w:val="00E54532"/>
    <w:rsid w:val="00E54534"/>
    <w:rsid w:val="00E5453C"/>
    <w:rsid w:val="00E5454B"/>
    <w:rsid w:val="00E54570"/>
    <w:rsid w:val="00E54578"/>
    <w:rsid w:val="00E545EA"/>
    <w:rsid w:val="00E54668"/>
    <w:rsid w:val="00E546F9"/>
    <w:rsid w:val="00E5471B"/>
    <w:rsid w:val="00E5472B"/>
    <w:rsid w:val="00E5474E"/>
    <w:rsid w:val="00E547A8"/>
    <w:rsid w:val="00E547B3"/>
    <w:rsid w:val="00E547C2"/>
    <w:rsid w:val="00E547CB"/>
    <w:rsid w:val="00E54878"/>
    <w:rsid w:val="00E5489E"/>
    <w:rsid w:val="00E548A6"/>
    <w:rsid w:val="00E548C3"/>
    <w:rsid w:val="00E548E6"/>
    <w:rsid w:val="00E54943"/>
    <w:rsid w:val="00E5496E"/>
    <w:rsid w:val="00E5496F"/>
    <w:rsid w:val="00E54975"/>
    <w:rsid w:val="00E54994"/>
    <w:rsid w:val="00E549D6"/>
    <w:rsid w:val="00E54A88"/>
    <w:rsid w:val="00E54A96"/>
    <w:rsid w:val="00E54AF8"/>
    <w:rsid w:val="00E54B0D"/>
    <w:rsid w:val="00E54B10"/>
    <w:rsid w:val="00E54B31"/>
    <w:rsid w:val="00E54B4F"/>
    <w:rsid w:val="00E54B98"/>
    <w:rsid w:val="00E54BCA"/>
    <w:rsid w:val="00E54C3E"/>
    <w:rsid w:val="00E54C95"/>
    <w:rsid w:val="00E54CFC"/>
    <w:rsid w:val="00E54D67"/>
    <w:rsid w:val="00E54D97"/>
    <w:rsid w:val="00E54E8B"/>
    <w:rsid w:val="00E54EC0"/>
    <w:rsid w:val="00E54ED7"/>
    <w:rsid w:val="00E54EE0"/>
    <w:rsid w:val="00E54F13"/>
    <w:rsid w:val="00E54F74"/>
    <w:rsid w:val="00E54F7A"/>
    <w:rsid w:val="00E54F7D"/>
    <w:rsid w:val="00E54FB1"/>
    <w:rsid w:val="00E54FB4"/>
    <w:rsid w:val="00E54FC5"/>
    <w:rsid w:val="00E54FFC"/>
    <w:rsid w:val="00E55014"/>
    <w:rsid w:val="00E5505A"/>
    <w:rsid w:val="00E550A8"/>
    <w:rsid w:val="00E550B8"/>
    <w:rsid w:val="00E550D8"/>
    <w:rsid w:val="00E550DB"/>
    <w:rsid w:val="00E550E0"/>
    <w:rsid w:val="00E550FC"/>
    <w:rsid w:val="00E55180"/>
    <w:rsid w:val="00E5523A"/>
    <w:rsid w:val="00E5523F"/>
    <w:rsid w:val="00E55243"/>
    <w:rsid w:val="00E55249"/>
    <w:rsid w:val="00E55264"/>
    <w:rsid w:val="00E5526F"/>
    <w:rsid w:val="00E55286"/>
    <w:rsid w:val="00E55291"/>
    <w:rsid w:val="00E55307"/>
    <w:rsid w:val="00E55324"/>
    <w:rsid w:val="00E55329"/>
    <w:rsid w:val="00E5533D"/>
    <w:rsid w:val="00E5533E"/>
    <w:rsid w:val="00E5538F"/>
    <w:rsid w:val="00E55413"/>
    <w:rsid w:val="00E55440"/>
    <w:rsid w:val="00E55441"/>
    <w:rsid w:val="00E554BD"/>
    <w:rsid w:val="00E554DD"/>
    <w:rsid w:val="00E55514"/>
    <w:rsid w:val="00E5553E"/>
    <w:rsid w:val="00E55543"/>
    <w:rsid w:val="00E5555A"/>
    <w:rsid w:val="00E5556F"/>
    <w:rsid w:val="00E55574"/>
    <w:rsid w:val="00E555C7"/>
    <w:rsid w:val="00E5561C"/>
    <w:rsid w:val="00E55675"/>
    <w:rsid w:val="00E55693"/>
    <w:rsid w:val="00E55697"/>
    <w:rsid w:val="00E55717"/>
    <w:rsid w:val="00E5572F"/>
    <w:rsid w:val="00E5574E"/>
    <w:rsid w:val="00E55791"/>
    <w:rsid w:val="00E557EE"/>
    <w:rsid w:val="00E55810"/>
    <w:rsid w:val="00E55860"/>
    <w:rsid w:val="00E558A8"/>
    <w:rsid w:val="00E558B9"/>
    <w:rsid w:val="00E55927"/>
    <w:rsid w:val="00E55941"/>
    <w:rsid w:val="00E55948"/>
    <w:rsid w:val="00E559D2"/>
    <w:rsid w:val="00E55A0A"/>
    <w:rsid w:val="00E55A0E"/>
    <w:rsid w:val="00E55A1B"/>
    <w:rsid w:val="00E55A21"/>
    <w:rsid w:val="00E55A4A"/>
    <w:rsid w:val="00E55AB6"/>
    <w:rsid w:val="00E55ABE"/>
    <w:rsid w:val="00E55AE7"/>
    <w:rsid w:val="00E55B3A"/>
    <w:rsid w:val="00E55B8A"/>
    <w:rsid w:val="00E55BC8"/>
    <w:rsid w:val="00E55C31"/>
    <w:rsid w:val="00E55C80"/>
    <w:rsid w:val="00E55C85"/>
    <w:rsid w:val="00E55CC8"/>
    <w:rsid w:val="00E55D19"/>
    <w:rsid w:val="00E55D9A"/>
    <w:rsid w:val="00E55DB1"/>
    <w:rsid w:val="00E55DD7"/>
    <w:rsid w:val="00E55E32"/>
    <w:rsid w:val="00E55E3F"/>
    <w:rsid w:val="00E55EC5"/>
    <w:rsid w:val="00E55ED2"/>
    <w:rsid w:val="00E55F19"/>
    <w:rsid w:val="00E55F79"/>
    <w:rsid w:val="00E55F7E"/>
    <w:rsid w:val="00E55F89"/>
    <w:rsid w:val="00E55F9D"/>
    <w:rsid w:val="00E55FAC"/>
    <w:rsid w:val="00E55FB0"/>
    <w:rsid w:val="00E5601D"/>
    <w:rsid w:val="00E56030"/>
    <w:rsid w:val="00E56084"/>
    <w:rsid w:val="00E560B0"/>
    <w:rsid w:val="00E560C1"/>
    <w:rsid w:val="00E56140"/>
    <w:rsid w:val="00E5616E"/>
    <w:rsid w:val="00E56188"/>
    <w:rsid w:val="00E561CE"/>
    <w:rsid w:val="00E56212"/>
    <w:rsid w:val="00E5621C"/>
    <w:rsid w:val="00E56294"/>
    <w:rsid w:val="00E562B6"/>
    <w:rsid w:val="00E562BA"/>
    <w:rsid w:val="00E562EF"/>
    <w:rsid w:val="00E56336"/>
    <w:rsid w:val="00E5636B"/>
    <w:rsid w:val="00E56378"/>
    <w:rsid w:val="00E5637A"/>
    <w:rsid w:val="00E563B0"/>
    <w:rsid w:val="00E563CC"/>
    <w:rsid w:val="00E5642C"/>
    <w:rsid w:val="00E56438"/>
    <w:rsid w:val="00E56446"/>
    <w:rsid w:val="00E56452"/>
    <w:rsid w:val="00E5645B"/>
    <w:rsid w:val="00E564C4"/>
    <w:rsid w:val="00E564D0"/>
    <w:rsid w:val="00E564F9"/>
    <w:rsid w:val="00E5650E"/>
    <w:rsid w:val="00E5655C"/>
    <w:rsid w:val="00E56569"/>
    <w:rsid w:val="00E56578"/>
    <w:rsid w:val="00E565B6"/>
    <w:rsid w:val="00E565C8"/>
    <w:rsid w:val="00E565FB"/>
    <w:rsid w:val="00E56641"/>
    <w:rsid w:val="00E5665A"/>
    <w:rsid w:val="00E56660"/>
    <w:rsid w:val="00E566A9"/>
    <w:rsid w:val="00E566DF"/>
    <w:rsid w:val="00E56899"/>
    <w:rsid w:val="00E568DE"/>
    <w:rsid w:val="00E568E1"/>
    <w:rsid w:val="00E56923"/>
    <w:rsid w:val="00E5696A"/>
    <w:rsid w:val="00E56971"/>
    <w:rsid w:val="00E56973"/>
    <w:rsid w:val="00E56988"/>
    <w:rsid w:val="00E569BF"/>
    <w:rsid w:val="00E569C2"/>
    <w:rsid w:val="00E569D5"/>
    <w:rsid w:val="00E56A03"/>
    <w:rsid w:val="00E56A07"/>
    <w:rsid w:val="00E56A0E"/>
    <w:rsid w:val="00E56A13"/>
    <w:rsid w:val="00E56A75"/>
    <w:rsid w:val="00E56AA0"/>
    <w:rsid w:val="00E56AA1"/>
    <w:rsid w:val="00E56ABB"/>
    <w:rsid w:val="00E56AC2"/>
    <w:rsid w:val="00E56ACC"/>
    <w:rsid w:val="00E56AD0"/>
    <w:rsid w:val="00E56AE0"/>
    <w:rsid w:val="00E56B07"/>
    <w:rsid w:val="00E56B50"/>
    <w:rsid w:val="00E56B5C"/>
    <w:rsid w:val="00E56B6C"/>
    <w:rsid w:val="00E56B8A"/>
    <w:rsid w:val="00E56BE3"/>
    <w:rsid w:val="00E56C7E"/>
    <w:rsid w:val="00E56CAF"/>
    <w:rsid w:val="00E56CC1"/>
    <w:rsid w:val="00E56D6B"/>
    <w:rsid w:val="00E56D83"/>
    <w:rsid w:val="00E56D9D"/>
    <w:rsid w:val="00E56DBD"/>
    <w:rsid w:val="00E56DC8"/>
    <w:rsid w:val="00E56DF5"/>
    <w:rsid w:val="00E56E5C"/>
    <w:rsid w:val="00E56EAB"/>
    <w:rsid w:val="00E56EC0"/>
    <w:rsid w:val="00E56EE7"/>
    <w:rsid w:val="00E56EF8"/>
    <w:rsid w:val="00E56F27"/>
    <w:rsid w:val="00E57022"/>
    <w:rsid w:val="00E5705F"/>
    <w:rsid w:val="00E57063"/>
    <w:rsid w:val="00E570CC"/>
    <w:rsid w:val="00E57120"/>
    <w:rsid w:val="00E57121"/>
    <w:rsid w:val="00E5712B"/>
    <w:rsid w:val="00E57162"/>
    <w:rsid w:val="00E571D0"/>
    <w:rsid w:val="00E571E5"/>
    <w:rsid w:val="00E57286"/>
    <w:rsid w:val="00E572C4"/>
    <w:rsid w:val="00E572F1"/>
    <w:rsid w:val="00E5730C"/>
    <w:rsid w:val="00E57333"/>
    <w:rsid w:val="00E5733E"/>
    <w:rsid w:val="00E5735B"/>
    <w:rsid w:val="00E57381"/>
    <w:rsid w:val="00E573E3"/>
    <w:rsid w:val="00E57408"/>
    <w:rsid w:val="00E5740B"/>
    <w:rsid w:val="00E5744F"/>
    <w:rsid w:val="00E57493"/>
    <w:rsid w:val="00E574DA"/>
    <w:rsid w:val="00E5750A"/>
    <w:rsid w:val="00E57511"/>
    <w:rsid w:val="00E57548"/>
    <w:rsid w:val="00E575C4"/>
    <w:rsid w:val="00E57603"/>
    <w:rsid w:val="00E57605"/>
    <w:rsid w:val="00E5761A"/>
    <w:rsid w:val="00E57674"/>
    <w:rsid w:val="00E576EE"/>
    <w:rsid w:val="00E5770F"/>
    <w:rsid w:val="00E57754"/>
    <w:rsid w:val="00E577A6"/>
    <w:rsid w:val="00E577D1"/>
    <w:rsid w:val="00E577DB"/>
    <w:rsid w:val="00E57807"/>
    <w:rsid w:val="00E57817"/>
    <w:rsid w:val="00E5787D"/>
    <w:rsid w:val="00E578D5"/>
    <w:rsid w:val="00E578D7"/>
    <w:rsid w:val="00E57906"/>
    <w:rsid w:val="00E5790B"/>
    <w:rsid w:val="00E57929"/>
    <w:rsid w:val="00E5795B"/>
    <w:rsid w:val="00E5798D"/>
    <w:rsid w:val="00E579C3"/>
    <w:rsid w:val="00E57A61"/>
    <w:rsid w:val="00E57A78"/>
    <w:rsid w:val="00E57AC8"/>
    <w:rsid w:val="00E57ACA"/>
    <w:rsid w:val="00E57AD3"/>
    <w:rsid w:val="00E57AE1"/>
    <w:rsid w:val="00E57AF6"/>
    <w:rsid w:val="00E57B01"/>
    <w:rsid w:val="00E57B40"/>
    <w:rsid w:val="00E57B5D"/>
    <w:rsid w:val="00E57B75"/>
    <w:rsid w:val="00E57B96"/>
    <w:rsid w:val="00E57BC4"/>
    <w:rsid w:val="00E57BFA"/>
    <w:rsid w:val="00E57C2E"/>
    <w:rsid w:val="00E57C4C"/>
    <w:rsid w:val="00E57CD0"/>
    <w:rsid w:val="00E57CE5"/>
    <w:rsid w:val="00E57D66"/>
    <w:rsid w:val="00E57DB2"/>
    <w:rsid w:val="00E57E0F"/>
    <w:rsid w:val="00E57E2B"/>
    <w:rsid w:val="00E57E45"/>
    <w:rsid w:val="00E57E7B"/>
    <w:rsid w:val="00E57FAF"/>
    <w:rsid w:val="00E57FC0"/>
    <w:rsid w:val="00E60022"/>
    <w:rsid w:val="00E6004D"/>
    <w:rsid w:val="00E6005F"/>
    <w:rsid w:val="00E60087"/>
    <w:rsid w:val="00E6008F"/>
    <w:rsid w:val="00E60095"/>
    <w:rsid w:val="00E600B2"/>
    <w:rsid w:val="00E60150"/>
    <w:rsid w:val="00E601A5"/>
    <w:rsid w:val="00E601B6"/>
    <w:rsid w:val="00E60260"/>
    <w:rsid w:val="00E60291"/>
    <w:rsid w:val="00E602A4"/>
    <w:rsid w:val="00E602AC"/>
    <w:rsid w:val="00E602C4"/>
    <w:rsid w:val="00E60321"/>
    <w:rsid w:val="00E60388"/>
    <w:rsid w:val="00E6039B"/>
    <w:rsid w:val="00E60452"/>
    <w:rsid w:val="00E6047F"/>
    <w:rsid w:val="00E60485"/>
    <w:rsid w:val="00E6051F"/>
    <w:rsid w:val="00E60543"/>
    <w:rsid w:val="00E6054E"/>
    <w:rsid w:val="00E605AC"/>
    <w:rsid w:val="00E605EB"/>
    <w:rsid w:val="00E605F4"/>
    <w:rsid w:val="00E6066E"/>
    <w:rsid w:val="00E606F6"/>
    <w:rsid w:val="00E606FD"/>
    <w:rsid w:val="00E60707"/>
    <w:rsid w:val="00E60742"/>
    <w:rsid w:val="00E6074D"/>
    <w:rsid w:val="00E60755"/>
    <w:rsid w:val="00E607F3"/>
    <w:rsid w:val="00E608B8"/>
    <w:rsid w:val="00E608E2"/>
    <w:rsid w:val="00E608F8"/>
    <w:rsid w:val="00E60952"/>
    <w:rsid w:val="00E6098C"/>
    <w:rsid w:val="00E60A2B"/>
    <w:rsid w:val="00E60A8D"/>
    <w:rsid w:val="00E60AC7"/>
    <w:rsid w:val="00E60AF4"/>
    <w:rsid w:val="00E60B0C"/>
    <w:rsid w:val="00E60B2E"/>
    <w:rsid w:val="00E60B63"/>
    <w:rsid w:val="00E60B8A"/>
    <w:rsid w:val="00E60BA3"/>
    <w:rsid w:val="00E60C67"/>
    <w:rsid w:val="00E60C69"/>
    <w:rsid w:val="00E60CA2"/>
    <w:rsid w:val="00E60CAC"/>
    <w:rsid w:val="00E60CC3"/>
    <w:rsid w:val="00E60CFE"/>
    <w:rsid w:val="00E60D2A"/>
    <w:rsid w:val="00E60D65"/>
    <w:rsid w:val="00E60D83"/>
    <w:rsid w:val="00E60DBC"/>
    <w:rsid w:val="00E60E08"/>
    <w:rsid w:val="00E60E14"/>
    <w:rsid w:val="00E60E38"/>
    <w:rsid w:val="00E60EA5"/>
    <w:rsid w:val="00E60EB2"/>
    <w:rsid w:val="00E60ECF"/>
    <w:rsid w:val="00E60ED5"/>
    <w:rsid w:val="00E60F3F"/>
    <w:rsid w:val="00E60FF5"/>
    <w:rsid w:val="00E60FFA"/>
    <w:rsid w:val="00E61020"/>
    <w:rsid w:val="00E6106D"/>
    <w:rsid w:val="00E610A2"/>
    <w:rsid w:val="00E61105"/>
    <w:rsid w:val="00E6111D"/>
    <w:rsid w:val="00E6118A"/>
    <w:rsid w:val="00E6118F"/>
    <w:rsid w:val="00E611DF"/>
    <w:rsid w:val="00E6122F"/>
    <w:rsid w:val="00E61258"/>
    <w:rsid w:val="00E612BB"/>
    <w:rsid w:val="00E612C9"/>
    <w:rsid w:val="00E6134C"/>
    <w:rsid w:val="00E61354"/>
    <w:rsid w:val="00E61379"/>
    <w:rsid w:val="00E61395"/>
    <w:rsid w:val="00E61397"/>
    <w:rsid w:val="00E613A6"/>
    <w:rsid w:val="00E613C0"/>
    <w:rsid w:val="00E613EF"/>
    <w:rsid w:val="00E613F0"/>
    <w:rsid w:val="00E613FE"/>
    <w:rsid w:val="00E61417"/>
    <w:rsid w:val="00E61429"/>
    <w:rsid w:val="00E6145B"/>
    <w:rsid w:val="00E614ED"/>
    <w:rsid w:val="00E61525"/>
    <w:rsid w:val="00E61535"/>
    <w:rsid w:val="00E6153A"/>
    <w:rsid w:val="00E6153D"/>
    <w:rsid w:val="00E61542"/>
    <w:rsid w:val="00E61586"/>
    <w:rsid w:val="00E6159A"/>
    <w:rsid w:val="00E615AE"/>
    <w:rsid w:val="00E615D6"/>
    <w:rsid w:val="00E61604"/>
    <w:rsid w:val="00E6169E"/>
    <w:rsid w:val="00E6170F"/>
    <w:rsid w:val="00E6176A"/>
    <w:rsid w:val="00E61784"/>
    <w:rsid w:val="00E61788"/>
    <w:rsid w:val="00E61796"/>
    <w:rsid w:val="00E617AC"/>
    <w:rsid w:val="00E617B6"/>
    <w:rsid w:val="00E617D1"/>
    <w:rsid w:val="00E617F3"/>
    <w:rsid w:val="00E617F7"/>
    <w:rsid w:val="00E61809"/>
    <w:rsid w:val="00E61820"/>
    <w:rsid w:val="00E61858"/>
    <w:rsid w:val="00E61883"/>
    <w:rsid w:val="00E6189E"/>
    <w:rsid w:val="00E618D1"/>
    <w:rsid w:val="00E618F4"/>
    <w:rsid w:val="00E61911"/>
    <w:rsid w:val="00E6195A"/>
    <w:rsid w:val="00E61988"/>
    <w:rsid w:val="00E619DA"/>
    <w:rsid w:val="00E619E7"/>
    <w:rsid w:val="00E619F0"/>
    <w:rsid w:val="00E61A19"/>
    <w:rsid w:val="00E61A62"/>
    <w:rsid w:val="00E61A82"/>
    <w:rsid w:val="00E61A90"/>
    <w:rsid w:val="00E61AD6"/>
    <w:rsid w:val="00E61B70"/>
    <w:rsid w:val="00E61BC3"/>
    <w:rsid w:val="00E61BCB"/>
    <w:rsid w:val="00E61BF4"/>
    <w:rsid w:val="00E61C45"/>
    <w:rsid w:val="00E61C56"/>
    <w:rsid w:val="00E61C8A"/>
    <w:rsid w:val="00E61C91"/>
    <w:rsid w:val="00E61C97"/>
    <w:rsid w:val="00E61D7D"/>
    <w:rsid w:val="00E61D99"/>
    <w:rsid w:val="00E61DA9"/>
    <w:rsid w:val="00E61DCE"/>
    <w:rsid w:val="00E61E43"/>
    <w:rsid w:val="00E61E4D"/>
    <w:rsid w:val="00E61E52"/>
    <w:rsid w:val="00E61E57"/>
    <w:rsid w:val="00E61E76"/>
    <w:rsid w:val="00E61EA5"/>
    <w:rsid w:val="00E61EAD"/>
    <w:rsid w:val="00E61EB7"/>
    <w:rsid w:val="00E61F30"/>
    <w:rsid w:val="00E61F31"/>
    <w:rsid w:val="00E6200A"/>
    <w:rsid w:val="00E62012"/>
    <w:rsid w:val="00E62015"/>
    <w:rsid w:val="00E6203A"/>
    <w:rsid w:val="00E62052"/>
    <w:rsid w:val="00E620A5"/>
    <w:rsid w:val="00E620C2"/>
    <w:rsid w:val="00E620E5"/>
    <w:rsid w:val="00E6210C"/>
    <w:rsid w:val="00E62110"/>
    <w:rsid w:val="00E62147"/>
    <w:rsid w:val="00E621AA"/>
    <w:rsid w:val="00E62234"/>
    <w:rsid w:val="00E622A4"/>
    <w:rsid w:val="00E6230D"/>
    <w:rsid w:val="00E6237C"/>
    <w:rsid w:val="00E623C0"/>
    <w:rsid w:val="00E623C5"/>
    <w:rsid w:val="00E623D2"/>
    <w:rsid w:val="00E62404"/>
    <w:rsid w:val="00E6240A"/>
    <w:rsid w:val="00E62482"/>
    <w:rsid w:val="00E62503"/>
    <w:rsid w:val="00E62525"/>
    <w:rsid w:val="00E62654"/>
    <w:rsid w:val="00E62687"/>
    <w:rsid w:val="00E6268F"/>
    <w:rsid w:val="00E62697"/>
    <w:rsid w:val="00E62720"/>
    <w:rsid w:val="00E62740"/>
    <w:rsid w:val="00E6275D"/>
    <w:rsid w:val="00E627AC"/>
    <w:rsid w:val="00E627BD"/>
    <w:rsid w:val="00E627DA"/>
    <w:rsid w:val="00E628B7"/>
    <w:rsid w:val="00E628FF"/>
    <w:rsid w:val="00E62933"/>
    <w:rsid w:val="00E62944"/>
    <w:rsid w:val="00E62995"/>
    <w:rsid w:val="00E629B6"/>
    <w:rsid w:val="00E629D6"/>
    <w:rsid w:val="00E629DE"/>
    <w:rsid w:val="00E62A06"/>
    <w:rsid w:val="00E62A27"/>
    <w:rsid w:val="00E62A38"/>
    <w:rsid w:val="00E62A71"/>
    <w:rsid w:val="00E62A9F"/>
    <w:rsid w:val="00E62AAD"/>
    <w:rsid w:val="00E62ADA"/>
    <w:rsid w:val="00E62B33"/>
    <w:rsid w:val="00E62B7A"/>
    <w:rsid w:val="00E62B90"/>
    <w:rsid w:val="00E62BE7"/>
    <w:rsid w:val="00E62D35"/>
    <w:rsid w:val="00E62D3F"/>
    <w:rsid w:val="00E62D72"/>
    <w:rsid w:val="00E62DB1"/>
    <w:rsid w:val="00E62DBE"/>
    <w:rsid w:val="00E62DEB"/>
    <w:rsid w:val="00E62DF3"/>
    <w:rsid w:val="00E62E48"/>
    <w:rsid w:val="00E62E54"/>
    <w:rsid w:val="00E62EA2"/>
    <w:rsid w:val="00E62EEB"/>
    <w:rsid w:val="00E62EFA"/>
    <w:rsid w:val="00E62F10"/>
    <w:rsid w:val="00E62F59"/>
    <w:rsid w:val="00E62F6A"/>
    <w:rsid w:val="00E62FCF"/>
    <w:rsid w:val="00E62FD2"/>
    <w:rsid w:val="00E62FE3"/>
    <w:rsid w:val="00E6301D"/>
    <w:rsid w:val="00E63023"/>
    <w:rsid w:val="00E6305B"/>
    <w:rsid w:val="00E63064"/>
    <w:rsid w:val="00E6306C"/>
    <w:rsid w:val="00E63085"/>
    <w:rsid w:val="00E63158"/>
    <w:rsid w:val="00E6315C"/>
    <w:rsid w:val="00E63167"/>
    <w:rsid w:val="00E63177"/>
    <w:rsid w:val="00E63195"/>
    <w:rsid w:val="00E631A5"/>
    <w:rsid w:val="00E63267"/>
    <w:rsid w:val="00E6326E"/>
    <w:rsid w:val="00E63271"/>
    <w:rsid w:val="00E632C5"/>
    <w:rsid w:val="00E632F0"/>
    <w:rsid w:val="00E63326"/>
    <w:rsid w:val="00E63361"/>
    <w:rsid w:val="00E63365"/>
    <w:rsid w:val="00E63370"/>
    <w:rsid w:val="00E6337F"/>
    <w:rsid w:val="00E633BE"/>
    <w:rsid w:val="00E63418"/>
    <w:rsid w:val="00E63435"/>
    <w:rsid w:val="00E6345C"/>
    <w:rsid w:val="00E63469"/>
    <w:rsid w:val="00E63491"/>
    <w:rsid w:val="00E634C3"/>
    <w:rsid w:val="00E634E8"/>
    <w:rsid w:val="00E634F4"/>
    <w:rsid w:val="00E63510"/>
    <w:rsid w:val="00E63527"/>
    <w:rsid w:val="00E63545"/>
    <w:rsid w:val="00E63547"/>
    <w:rsid w:val="00E635D5"/>
    <w:rsid w:val="00E63653"/>
    <w:rsid w:val="00E63660"/>
    <w:rsid w:val="00E6366A"/>
    <w:rsid w:val="00E63677"/>
    <w:rsid w:val="00E6367E"/>
    <w:rsid w:val="00E63685"/>
    <w:rsid w:val="00E6368F"/>
    <w:rsid w:val="00E636AE"/>
    <w:rsid w:val="00E636C9"/>
    <w:rsid w:val="00E6378E"/>
    <w:rsid w:val="00E63794"/>
    <w:rsid w:val="00E6379F"/>
    <w:rsid w:val="00E637A0"/>
    <w:rsid w:val="00E637FB"/>
    <w:rsid w:val="00E63892"/>
    <w:rsid w:val="00E638BE"/>
    <w:rsid w:val="00E638EE"/>
    <w:rsid w:val="00E6395E"/>
    <w:rsid w:val="00E63977"/>
    <w:rsid w:val="00E639BC"/>
    <w:rsid w:val="00E63A96"/>
    <w:rsid w:val="00E63AB4"/>
    <w:rsid w:val="00E63AEF"/>
    <w:rsid w:val="00E63B2D"/>
    <w:rsid w:val="00E63B33"/>
    <w:rsid w:val="00E63B38"/>
    <w:rsid w:val="00E63BB6"/>
    <w:rsid w:val="00E63BD6"/>
    <w:rsid w:val="00E63BF1"/>
    <w:rsid w:val="00E63BF4"/>
    <w:rsid w:val="00E63C21"/>
    <w:rsid w:val="00E63C44"/>
    <w:rsid w:val="00E63C58"/>
    <w:rsid w:val="00E63C6D"/>
    <w:rsid w:val="00E63C85"/>
    <w:rsid w:val="00E63CE6"/>
    <w:rsid w:val="00E63D11"/>
    <w:rsid w:val="00E63D1C"/>
    <w:rsid w:val="00E63D23"/>
    <w:rsid w:val="00E63D3A"/>
    <w:rsid w:val="00E63D53"/>
    <w:rsid w:val="00E63D78"/>
    <w:rsid w:val="00E63D84"/>
    <w:rsid w:val="00E63DCD"/>
    <w:rsid w:val="00E63E49"/>
    <w:rsid w:val="00E63E53"/>
    <w:rsid w:val="00E63F12"/>
    <w:rsid w:val="00E63F17"/>
    <w:rsid w:val="00E63FD0"/>
    <w:rsid w:val="00E63FD1"/>
    <w:rsid w:val="00E6402E"/>
    <w:rsid w:val="00E640EB"/>
    <w:rsid w:val="00E64147"/>
    <w:rsid w:val="00E64165"/>
    <w:rsid w:val="00E6416A"/>
    <w:rsid w:val="00E641AF"/>
    <w:rsid w:val="00E64204"/>
    <w:rsid w:val="00E64208"/>
    <w:rsid w:val="00E6423D"/>
    <w:rsid w:val="00E64256"/>
    <w:rsid w:val="00E64282"/>
    <w:rsid w:val="00E642D0"/>
    <w:rsid w:val="00E64329"/>
    <w:rsid w:val="00E643F9"/>
    <w:rsid w:val="00E64444"/>
    <w:rsid w:val="00E64453"/>
    <w:rsid w:val="00E64497"/>
    <w:rsid w:val="00E644DD"/>
    <w:rsid w:val="00E644E0"/>
    <w:rsid w:val="00E6451E"/>
    <w:rsid w:val="00E6458C"/>
    <w:rsid w:val="00E645B6"/>
    <w:rsid w:val="00E645D3"/>
    <w:rsid w:val="00E64603"/>
    <w:rsid w:val="00E6460B"/>
    <w:rsid w:val="00E6462B"/>
    <w:rsid w:val="00E6462D"/>
    <w:rsid w:val="00E6463B"/>
    <w:rsid w:val="00E64696"/>
    <w:rsid w:val="00E64759"/>
    <w:rsid w:val="00E6475C"/>
    <w:rsid w:val="00E647F3"/>
    <w:rsid w:val="00E64819"/>
    <w:rsid w:val="00E6481E"/>
    <w:rsid w:val="00E648D1"/>
    <w:rsid w:val="00E648F1"/>
    <w:rsid w:val="00E6492E"/>
    <w:rsid w:val="00E64957"/>
    <w:rsid w:val="00E64964"/>
    <w:rsid w:val="00E649C0"/>
    <w:rsid w:val="00E64A5C"/>
    <w:rsid w:val="00E64AA0"/>
    <w:rsid w:val="00E64AA2"/>
    <w:rsid w:val="00E64ADA"/>
    <w:rsid w:val="00E64B08"/>
    <w:rsid w:val="00E64B34"/>
    <w:rsid w:val="00E64B35"/>
    <w:rsid w:val="00E64BA0"/>
    <w:rsid w:val="00E64C37"/>
    <w:rsid w:val="00E64C45"/>
    <w:rsid w:val="00E64CD4"/>
    <w:rsid w:val="00E64CF8"/>
    <w:rsid w:val="00E64D20"/>
    <w:rsid w:val="00E64DBC"/>
    <w:rsid w:val="00E64DC1"/>
    <w:rsid w:val="00E64E1A"/>
    <w:rsid w:val="00E64E26"/>
    <w:rsid w:val="00E64E3F"/>
    <w:rsid w:val="00E64E41"/>
    <w:rsid w:val="00E64E99"/>
    <w:rsid w:val="00E64EAE"/>
    <w:rsid w:val="00E64EB6"/>
    <w:rsid w:val="00E64EEA"/>
    <w:rsid w:val="00E64EF7"/>
    <w:rsid w:val="00E64F05"/>
    <w:rsid w:val="00E64F1E"/>
    <w:rsid w:val="00E64F4F"/>
    <w:rsid w:val="00E64F5D"/>
    <w:rsid w:val="00E64F79"/>
    <w:rsid w:val="00E64F8C"/>
    <w:rsid w:val="00E64FA6"/>
    <w:rsid w:val="00E64FFD"/>
    <w:rsid w:val="00E65029"/>
    <w:rsid w:val="00E6502D"/>
    <w:rsid w:val="00E65050"/>
    <w:rsid w:val="00E65062"/>
    <w:rsid w:val="00E65079"/>
    <w:rsid w:val="00E6507B"/>
    <w:rsid w:val="00E6508E"/>
    <w:rsid w:val="00E650A9"/>
    <w:rsid w:val="00E65121"/>
    <w:rsid w:val="00E6514B"/>
    <w:rsid w:val="00E65178"/>
    <w:rsid w:val="00E651D4"/>
    <w:rsid w:val="00E651DC"/>
    <w:rsid w:val="00E651F0"/>
    <w:rsid w:val="00E65248"/>
    <w:rsid w:val="00E6524D"/>
    <w:rsid w:val="00E65261"/>
    <w:rsid w:val="00E65297"/>
    <w:rsid w:val="00E6529A"/>
    <w:rsid w:val="00E652DA"/>
    <w:rsid w:val="00E652DD"/>
    <w:rsid w:val="00E65336"/>
    <w:rsid w:val="00E65365"/>
    <w:rsid w:val="00E653BA"/>
    <w:rsid w:val="00E653E1"/>
    <w:rsid w:val="00E65408"/>
    <w:rsid w:val="00E65412"/>
    <w:rsid w:val="00E6542A"/>
    <w:rsid w:val="00E654F5"/>
    <w:rsid w:val="00E6550A"/>
    <w:rsid w:val="00E65520"/>
    <w:rsid w:val="00E655DA"/>
    <w:rsid w:val="00E656C8"/>
    <w:rsid w:val="00E656D4"/>
    <w:rsid w:val="00E656E8"/>
    <w:rsid w:val="00E6576D"/>
    <w:rsid w:val="00E65775"/>
    <w:rsid w:val="00E65783"/>
    <w:rsid w:val="00E65806"/>
    <w:rsid w:val="00E6580D"/>
    <w:rsid w:val="00E65881"/>
    <w:rsid w:val="00E6588C"/>
    <w:rsid w:val="00E658A0"/>
    <w:rsid w:val="00E658B2"/>
    <w:rsid w:val="00E658EB"/>
    <w:rsid w:val="00E6592A"/>
    <w:rsid w:val="00E65935"/>
    <w:rsid w:val="00E65992"/>
    <w:rsid w:val="00E659D5"/>
    <w:rsid w:val="00E659D6"/>
    <w:rsid w:val="00E65A12"/>
    <w:rsid w:val="00E65A22"/>
    <w:rsid w:val="00E65A43"/>
    <w:rsid w:val="00E65ADA"/>
    <w:rsid w:val="00E65B67"/>
    <w:rsid w:val="00E65B8E"/>
    <w:rsid w:val="00E65B9B"/>
    <w:rsid w:val="00E65BE0"/>
    <w:rsid w:val="00E65BE3"/>
    <w:rsid w:val="00E65C75"/>
    <w:rsid w:val="00E65CD1"/>
    <w:rsid w:val="00E65D0C"/>
    <w:rsid w:val="00E65D1B"/>
    <w:rsid w:val="00E65D7B"/>
    <w:rsid w:val="00E65DDB"/>
    <w:rsid w:val="00E65DE2"/>
    <w:rsid w:val="00E65DF2"/>
    <w:rsid w:val="00E65DFC"/>
    <w:rsid w:val="00E65E0B"/>
    <w:rsid w:val="00E65E15"/>
    <w:rsid w:val="00E65E43"/>
    <w:rsid w:val="00E65E48"/>
    <w:rsid w:val="00E65E59"/>
    <w:rsid w:val="00E65ED5"/>
    <w:rsid w:val="00E65F29"/>
    <w:rsid w:val="00E65FA1"/>
    <w:rsid w:val="00E65FCF"/>
    <w:rsid w:val="00E65FE7"/>
    <w:rsid w:val="00E6601C"/>
    <w:rsid w:val="00E66040"/>
    <w:rsid w:val="00E66081"/>
    <w:rsid w:val="00E66099"/>
    <w:rsid w:val="00E660C6"/>
    <w:rsid w:val="00E660D6"/>
    <w:rsid w:val="00E661B2"/>
    <w:rsid w:val="00E661CE"/>
    <w:rsid w:val="00E66200"/>
    <w:rsid w:val="00E66233"/>
    <w:rsid w:val="00E66275"/>
    <w:rsid w:val="00E66281"/>
    <w:rsid w:val="00E66287"/>
    <w:rsid w:val="00E66289"/>
    <w:rsid w:val="00E66312"/>
    <w:rsid w:val="00E66373"/>
    <w:rsid w:val="00E66399"/>
    <w:rsid w:val="00E6639B"/>
    <w:rsid w:val="00E663A0"/>
    <w:rsid w:val="00E663D8"/>
    <w:rsid w:val="00E663F2"/>
    <w:rsid w:val="00E6644D"/>
    <w:rsid w:val="00E664AC"/>
    <w:rsid w:val="00E664D9"/>
    <w:rsid w:val="00E664DB"/>
    <w:rsid w:val="00E6658C"/>
    <w:rsid w:val="00E66595"/>
    <w:rsid w:val="00E665DC"/>
    <w:rsid w:val="00E665F4"/>
    <w:rsid w:val="00E6660E"/>
    <w:rsid w:val="00E6668E"/>
    <w:rsid w:val="00E666BF"/>
    <w:rsid w:val="00E666F7"/>
    <w:rsid w:val="00E66756"/>
    <w:rsid w:val="00E667C5"/>
    <w:rsid w:val="00E667DB"/>
    <w:rsid w:val="00E66803"/>
    <w:rsid w:val="00E6685C"/>
    <w:rsid w:val="00E66867"/>
    <w:rsid w:val="00E66884"/>
    <w:rsid w:val="00E66897"/>
    <w:rsid w:val="00E668E9"/>
    <w:rsid w:val="00E668EF"/>
    <w:rsid w:val="00E66937"/>
    <w:rsid w:val="00E66944"/>
    <w:rsid w:val="00E669DE"/>
    <w:rsid w:val="00E669DF"/>
    <w:rsid w:val="00E669E2"/>
    <w:rsid w:val="00E669F3"/>
    <w:rsid w:val="00E66A31"/>
    <w:rsid w:val="00E66A3F"/>
    <w:rsid w:val="00E66AC2"/>
    <w:rsid w:val="00E66AD0"/>
    <w:rsid w:val="00E66ADC"/>
    <w:rsid w:val="00E66AEC"/>
    <w:rsid w:val="00E66AFA"/>
    <w:rsid w:val="00E66B3A"/>
    <w:rsid w:val="00E66B7D"/>
    <w:rsid w:val="00E66B93"/>
    <w:rsid w:val="00E66BAA"/>
    <w:rsid w:val="00E66BB8"/>
    <w:rsid w:val="00E66BE7"/>
    <w:rsid w:val="00E66C31"/>
    <w:rsid w:val="00E66C39"/>
    <w:rsid w:val="00E66C3B"/>
    <w:rsid w:val="00E66C4E"/>
    <w:rsid w:val="00E66C81"/>
    <w:rsid w:val="00E66C9E"/>
    <w:rsid w:val="00E66CB7"/>
    <w:rsid w:val="00E66D0A"/>
    <w:rsid w:val="00E66D6D"/>
    <w:rsid w:val="00E66DC2"/>
    <w:rsid w:val="00E66E21"/>
    <w:rsid w:val="00E66E7A"/>
    <w:rsid w:val="00E66E9B"/>
    <w:rsid w:val="00E66EDF"/>
    <w:rsid w:val="00E66EF7"/>
    <w:rsid w:val="00E66F39"/>
    <w:rsid w:val="00E66F63"/>
    <w:rsid w:val="00E66FBB"/>
    <w:rsid w:val="00E66FBE"/>
    <w:rsid w:val="00E67008"/>
    <w:rsid w:val="00E6705A"/>
    <w:rsid w:val="00E67098"/>
    <w:rsid w:val="00E670A5"/>
    <w:rsid w:val="00E670CE"/>
    <w:rsid w:val="00E6714A"/>
    <w:rsid w:val="00E67175"/>
    <w:rsid w:val="00E6719C"/>
    <w:rsid w:val="00E671A3"/>
    <w:rsid w:val="00E671C3"/>
    <w:rsid w:val="00E671F0"/>
    <w:rsid w:val="00E67214"/>
    <w:rsid w:val="00E672B0"/>
    <w:rsid w:val="00E67341"/>
    <w:rsid w:val="00E6738D"/>
    <w:rsid w:val="00E673E3"/>
    <w:rsid w:val="00E67408"/>
    <w:rsid w:val="00E6740E"/>
    <w:rsid w:val="00E67440"/>
    <w:rsid w:val="00E67466"/>
    <w:rsid w:val="00E6746F"/>
    <w:rsid w:val="00E674C8"/>
    <w:rsid w:val="00E674F2"/>
    <w:rsid w:val="00E6751F"/>
    <w:rsid w:val="00E67525"/>
    <w:rsid w:val="00E67554"/>
    <w:rsid w:val="00E67558"/>
    <w:rsid w:val="00E675B1"/>
    <w:rsid w:val="00E67688"/>
    <w:rsid w:val="00E676E2"/>
    <w:rsid w:val="00E6777D"/>
    <w:rsid w:val="00E677DF"/>
    <w:rsid w:val="00E6780B"/>
    <w:rsid w:val="00E67823"/>
    <w:rsid w:val="00E6785A"/>
    <w:rsid w:val="00E67865"/>
    <w:rsid w:val="00E678C3"/>
    <w:rsid w:val="00E67907"/>
    <w:rsid w:val="00E67912"/>
    <w:rsid w:val="00E67962"/>
    <w:rsid w:val="00E67977"/>
    <w:rsid w:val="00E67978"/>
    <w:rsid w:val="00E67997"/>
    <w:rsid w:val="00E67A2B"/>
    <w:rsid w:val="00E67A63"/>
    <w:rsid w:val="00E67A87"/>
    <w:rsid w:val="00E67B31"/>
    <w:rsid w:val="00E67B60"/>
    <w:rsid w:val="00E67BC1"/>
    <w:rsid w:val="00E67C42"/>
    <w:rsid w:val="00E67C57"/>
    <w:rsid w:val="00E67CA3"/>
    <w:rsid w:val="00E67CC3"/>
    <w:rsid w:val="00E67D2D"/>
    <w:rsid w:val="00E67D4E"/>
    <w:rsid w:val="00E67DDD"/>
    <w:rsid w:val="00E67DDF"/>
    <w:rsid w:val="00E67DEE"/>
    <w:rsid w:val="00E67E08"/>
    <w:rsid w:val="00E67EA9"/>
    <w:rsid w:val="00E67EC2"/>
    <w:rsid w:val="00E67ED3"/>
    <w:rsid w:val="00E67EFA"/>
    <w:rsid w:val="00E67F37"/>
    <w:rsid w:val="00E67F3D"/>
    <w:rsid w:val="00E67F6E"/>
    <w:rsid w:val="00E67F98"/>
    <w:rsid w:val="00E67FDD"/>
    <w:rsid w:val="00E7001D"/>
    <w:rsid w:val="00E70028"/>
    <w:rsid w:val="00E70089"/>
    <w:rsid w:val="00E700F5"/>
    <w:rsid w:val="00E700F7"/>
    <w:rsid w:val="00E70119"/>
    <w:rsid w:val="00E70121"/>
    <w:rsid w:val="00E70148"/>
    <w:rsid w:val="00E70155"/>
    <w:rsid w:val="00E70194"/>
    <w:rsid w:val="00E701E7"/>
    <w:rsid w:val="00E70239"/>
    <w:rsid w:val="00E70243"/>
    <w:rsid w:val="00E70287"/>
    <w:rsid w:val="00E7029A"/>
    <w:rsid w:val="00E702A0"/>
    <w:rsid w:val="00E702A7"/>
    <w:rsid w:val="00E702FF"/>
    <w:rsid w:val="00E7033A"/>
    <w:rsid w:val="00E7037A"/>
    <w:rsid w:val="00E7038A"/>
    <w:rsid w:val="00E703AC"/>
    <w:rsid w:val="00E703C4"/>
    <w:rsid w:val="00E703D9"/>
    <w:rsid w:val="00E70406"/>
    <w:rsid w:val="00E70448"/>
    <w:rsid w:val="00E70453"/>
    <w:rsid w:val="00E704B6"/>
    <w:rsid w:val="00E704F5"/>
    <w:rsid w:val="00E70516"/>
    <w:rsid w:val="00E70588"/>
    <w:rsid w:val="00E705C9"/>
    <w:rsid w:val="00E705E0"/>
    <w:rsid w:val="00E7060D"/>
    <w:rsid w:val="00E70619"/>
    <w:rsid w:val="00E70622"/>
    <w:rsid w:val="00E70651"/>
    <w:rsid w:val="00E70766"/>
    <w:rsid w:val="00E7077C"/>
    <w:rsid w:val="00E70793"/>
    <w:rsid w:val="00E707FA"/>
    <w:rsid w:val="00E70801"/>
    <w:rsid w:val="00E70830"/>
    <w:rsid w:val="00E7084C"/>
    <w:rsid w:val="00E70861"/>
    <w:rsid w:val="00E70866"/>
    <w:rsid w:val="00E70870"/>
    <w:rsid w:val="00E7088E"/>
    <w:rsid w:val="00E708BE"/>
    <w:rsid w:val="00E708F0"/>
    <w:rsid w:val="00E708F5"/>
    <w:rsid w:val="00E70901"/>
    <w:rsid w:val="00E70904"/>
    <w:rsid w:val="00E70909"/>
    <w:rsid w:val="00E70920"/>
    <w:rsid w:val="00E7092E"/>
    <w:rsid w:val="00E7095C"/>
    <w:rsid w:val="00E709AB"/>
    <w:rsid w:val="00E709D7"/>
    <w:rsid w:val="00E709EF"/>
    <w:rsid w:val="00E70A07"/>
    <w:rsid w:val="00E70A62"/>
    <w:rsid w:val="00E70A78"/>
    <w:rsid w:val="00E70B12"/>
    <w:rsid w:val="00E70B41"/>
    <w:rsid w:val="00E70B7D"/>
    <w:rsid w:val="00E70BAC"/>
    <w:rsid w:val="00E70C17"/>
    <w:rsid w:val="00E70C3B"/>
    <w:rsid w:val="00E70C83"/>
    <w:rsid w:val="00E70C87"/>
    <w:rsid w:val="00E70D3A"/>
    <w:rsid w:val="00E70D4F"/>
    <w:rsid w:val="00E70D82"/>
    <w:rsid w:val="00E70DE0"/>
    <w:rsid w:val="00E70F24"/>
    <w:rsid w:val="00E70F4F"/>
    <w:rsid w:val="00E70F6C"/>
    <w:rsid w:val="00E70F94"/>
    <w:rsid w:val="00E70FDC"/>
    <w:rsid w:val="00E70FEB"/>
    <w:rsid w:val="00E71001"/>
    <w:rsid w:val="00E71062"/>
    <w:rsid w:val="00E7106D"/>
    <w:rsid w:val="00E71072"/>
    <w:rsid w:val="00E71073"/>
    <w:rsid w:val="00E71098"/>
    <w:rsid w:val="00E710D4"/>
    <w:rsid w:val="00E710D7"/>
    <w:rsid w:val="00E7111C"/>
    <w:rsid w:val="00E71139"/>
    <w:rsid w:val="00E7118C"/>
    <w:rsid w:val="00E711B5"/>
    <w:rsid w:val="00E711BA"/>
    <w:rsid w:val="00E711C6"/>
    <w:rsid w:val="00E7121F"/>
    <w:rsid w:val="00E71239"/>
    <w:rsid w:val="00E71250"/>
    <w:rsid w:val="00E7129F"/>
    <w:rsid w:val="00E712B1"/>
    <w:rsid w:val="00E712DB"/>
    <w:rsid w:val="00E7139B"/>
    <w:rsid w:val="00E713B5"/>
    <w:rsid w:val="00E71470"/>
    <w:rsid w:val="00E71490"/>
    <w:rsid w:val="00E714AD"/>
    <w:rsid w:val="00E714B7"/>
    <w:rsid w:val="00E71537"/>
    <w:rsid w:val="00E71543"/>
    <w:rsid w:val="00E715B5"/>
    <w:rsid w:val="00E715C0"/>
    <w:rsid w:val="00E71610"/>
    <w:rsid w:val="00E71623"/>
    <w:rsid w:val="00E71642"/>
    <w:rsid w:val="00E71713"/>
    <w:rsid w:val="00E7172C"/>
    <w:rsid w:val="00E71734"/>
    <w:rsid w:val="00E7173A"/>
    <w:rsid w:val="00E71755"/>
    <w:rsid w:val="00E71774"/>
    <w:rsid w:val="00E71791"/>
    <w:rsid w:val="00E717DB"/>
    <w:rsid w:val="00E71800"/>
    <w:rsid w:val="00E71819"/>
    <w:rsid w:val="00E7183E"/>
    <w:rsid w:val="00E71845"/>
    <w:rsid w:val="00E7188D"/>
    <w:rsid w:val="00E7188F"/>
    <w:rsid w:val="00E718A5"/>
    <w:rsid w:val="00E718AF"/>
    <w:rsid w:val="00E718D0"/>
    <w:rsid w:val="00E71900"/>
    <w:rsid w:val="00E7196F"/>
    <w:rsid w:val="00E71979"/>
    <w:rsid w:val="00E7198D"/>
    <w:rsid w:val="00E719A9"/>
    <w:rsid w:val="00E719E0"/>
    <w:rsid w:val="00E719E2"/>
    <w:rsid w:val="00E719E7"/>
    <w:rsid w:val="00E719E8"/>
    <w:rsid w:val="00E71AF1"/>
    <w:rsid w:val="00E71B0E"/>
    <w:rsid w:val="00E71B2A"/>
    <w:rsid w:val="00E71B6A"/>
    <w:rsid w:val="00E71B8A"/>
    <w:rsid w:val="00E71BF9"/>
    <w:rsid w:val="00E71C0F"/>
    <w:rsid w:val="00E71C28"/>
    <w:rsid w:val="00E71C57"/>
    <w:rsid w:val="00E71C7E"/>
    <w:rsid w:val="00E71D11"/>
    <w:rsid w:val="00E71D7C"/>
    <w:rsid w:val="00E71DAC"/>
    <w:rsid w:val="00E71DB4"/>
    <w:rsid w:val="00E71DE5"/>
    <w:rsid w:val="00E71E2F"/>
    <w:rsid w:val="00E71E53"/>
    <w:rsid w:val="00E71E5B"/>
    <w:rsid w:val="00E71E64"/>
    <w:rsid w:val="00E71E71"/>
    <w:rsid w:val="00E71E72"/>
    <w:rsid w:val="00E71ED8"/>
    <w:rsid w:val="00E71EF4"/>
    <w:rsid w:val="00E71EFC"/>
    <w:rsid w:val="00E71F19"/>
    <w:rsid w:val="00E71FA8"/>
    <w:rsid w:val="00E71FEF"/>
    <w:rsid w:val="00E71FF4"/>
    <w:rsid w:val="00E7201B"/>
    <w:rsid w:val="00E72041"/>
    <w:rsid w:val="00E72048"/>
    <w:rsid w:val="00E72052"/>
    <w:rsid w:val="00E72076"/>
    <w:rsid w:val="00E72091"/>
    <w:rsid w:val="00E720A1"/>
    <w:rsid w:val="00E720C9"/>
    <w:rsid w:val="00E7210A"/>
    <w:rsid w:val="00E72173"/>
    <w:rsid w:val="00E7221F"/>
    <w:rsid w:val="00E7227F"/>
    <w:rsid w:val="00E722F4"/>
    <w:rsid w:val="00E72326"/>
    <w:rsid w:val="00E72375"/>
    <w:rsid w:val="00E7242E"/>
    <w:rsid w:val="00E72475"/>
    <w:rsid w:val="00E72496"/>
    <w:rsid w:val="00E7250A"/>
    <w:rsid w:val="00E7252F"/>
    <w:rsid w:val="00E72533"/>
    <w:rsid w:val="00E7254C"/>
    <w:rsid w:val="00E725A3"/>
    <w:rsid w:val="00E725B1"/>
    <w:rsid w:val="00E725B6"/>
    <w:rsid w:val="00E725C2"/>
    <w:rsid w:val="00E725CF"/>
    <w:rsid w:val="00E725FE"/>
    <w:rsid w:val="00E72603"/>
    <w:rsid w:val="00E72644"/>
    <w:rsid w:val="00E7269A"/>
    <w:rsid w:val="00E726D9"/>
    <w:rsid w:val="00E7270A"/>
    <w:rsid w:val="00E7272C"/>
    <w:rsid w:val="00E72793"/>
    <w:rsid w:val="00E72795"/>
    <w:rsid w:val="00E72802"/>
    <w:rsid w:val="00E728E5"/>
    <w:rsid w:val="00E7292B"/>
    <w:rsid w:val="00E7299D"/>
    <w:rsid w:val="00E7299E"/>
    <w:rsid w:val="00E729BE"/>
    <w:rsid w:val="00E729D9"/>
    <w:rsid w:val="00E729E2"/>
    <w:rsid w:val="00E729EF"/>
    <w:rsid w:val="00E72A21"/>
    <w:rsid w:val="00E72A24"/>
    <w:rsid w:val="00E72A44"/>
    <w:rsid w:val="00E72A49"/>
    <w:rsid w:val="00E72A59"/>
    <w:rsid w:val="00E72A76"/>
    <w:rsid w:val="00E72ACE"/>
    <w:rsid w:val="00E72B1B"/>
    <w:rsid w:val="00E72B2D"/>
    <w:rsid w:val="00E72B66"/>
    <w:rsid w:val="00E72BA0"/>
    <w:rsid w:val="00E72BA1"/>
    <w:rsid w:val="00E72BA2"/>
    <w:rsid w:val="00E72BB9"/>
    <w:rsid w:val="00E72BDD"/>
    <w:rsid w:val="00E72C9E"/>
    <w:rsid w:val="00E72D3C"/>
    <w:rsid w:val="00E72D4C"/>
    <w:rsid w:val="00E72DD3"/>
    <w:rsid w:val="00E72E48"/>
    <w:rsid w:val="00E72E4D"/>
    <w:rsid w:val="00E72E75"/>
    <w:rsid w:val="00E72E83"/>
    <w:rsid w:val="00E72EA6"/>
    <w:rsid w:val="00E72EC3"/>
    <w:rsid w:val="00E72EC4"/>
    <w:rsid w:val="00E72EE9"/>
    <w:rsid w:val="00E72F29"/>
    <w:rsid w:val="00E72F57"/>
    <w:rsid w:val="00E72F6D"/>
    <w:rsid w:val="00E72FCE"/>
    <w:rsid w:val="00E73066"/>
    <w:rsid w:val="00E73093"/>
    <w:rsid w:val="00E730BB"/>
    <w:rsid w:val="00E730C1"/>
    <w:rsid w:val="00E730DE"/>
    <w:rsid w:val="00E730FD"/>
    <w:rsid w:val="00E73116"/>
    <w:rsid w:val="00E7313A"/>
    <w:rsid w:val="00E7315A"/>
    <w:rsid w:val="00E731A8"/>
    <w:rsid w:val="00E731C5"/>
    <w:rsid w:val="00E73200"/>
    <w:rsid w:val="00E73263"/>
    <w:rsid w:val="00E73265"/>
    <w:rsid w:val="00E7326A"/>
    <w:rsid w:val="00E732E1"/>
    <w:rsid w:val="00E73325"/>
    <w:rsid w:val="00E73356"/>
    <w:rsid w:val="00E73383"/>
    <w:rsid w:val="00E733F0"/>
    <w:rsid w:val="00E7343A"/>
    <w:rsid w:val="00E7348E"/>
    <w:rsid w:val="00E734EF"/>
    <w:rsid w:val="00E734F0"/>
    <w:rsid w:val="00E73505"/>
    <w:rsid w:val="00E7351E"/>
    <w:rsid w:val="00E73534"/>
    <w:rsid w:val="00E73552"/>
    <w:rsid w:val="00E73574"/>
    <w:rsid w:val="00E735BD"/>
    <w:rsid w:val="00E735C5"/>
    <w:rsid w:val="00E73601"/>
    <w:rsid w:val="00E73606"/>
    <w:rsid w:val="00E73654"/>
    <w:rsid w:val="00E7369E"/>
    <w:rsid w:val="00E736AE"/>
    <w:rsid w:val="00E736DC"/>
    <w:rsid w:val="00E7371B"/>
    <w:rsid w:val="00E73730"/>
    <w:rsid w:val="00E7379E"/>
    <w:rsid w:val="00E737F1"/>
    <w:rsid w:val="00E73809"/>
    <w:rsid w:val="00E73851"/>
    <w:rsid w:val="00E73875"/>
    <w:rsid w:val="00E73877"/>
    <w:rsid w:val="00E73895"/>
    <w:rsid w:val="00E738F5"/>
    <w:rsid w:val="00E7399B"/>
    <w:rsid w:val="00E739A8"/>
    <w:rsid w:val="00E73A08"/>
    <w:rsid w:val="00E73A28"/>
    <w:rsid w:val="00E73A30"/>
    <w:rsid w:val="00E73AC4"/>
    <w:rsid w:val="00E73AF0"/>
    <w:rsid w:val="00E73B29"/>
    <w:rsid w:val="00E73B99"/>
    <w:rsid w:val="00E73C03"/>
    <w:rsid w:val="00E73C19"/>
    <w:rsid w:val="00E73C43"/>
    <w:rsid w:val="00E73CAC"/>
    <w:rsid w:val="00E73CCB"/>
    <w:rsid w:val="00E73D65"/>
    <w:rsid w:val="00E73D72"/>
    <w:rsid w:val="00E73D82"/>
    <w:rsid w:val="00E73D86"/>
    <w:rsid w:val="00E73E21"/>
    <w:rsid w:val="00E73EA1"/>
    <w:rsid w:val="00E73EC7"/>
    <w:rsid w:val="00E73EE6"/>
    <w:rsid w:val="00E73EF6"/>
    <w:rsid w:val="00E73F13"/>
    <w:rsid w:val="00E73F14"/>
    <w:rsid w:val="00E73F73"/>
    <w:rsid w:val="00E73FA5"/>
    <w:rsid w:val="00E73FAE"/>
    <w:rsid w:val="00E73FB4"/>
    <w:rsid w:val="00E73FD8"/>
    <w:rsid w:val="00E74023"/>
    <w:rsid w:val="00E74028"/>
    <w:rsid w:val="00E7409B"/>
    <w:rsid w:val="00E740C2"/>
    <w:rsid w:val="00E7414B"/>
    <w:rsid w:val="00E741C3"/>
    <w:rsid w:val="00E74210"/>
    <w:rsid w:val="00E7426E"/>
    <w:rsid w:val="00E742D2"/>
    <w:rsid w:val="00E74321"/>
    <w:rsid w:val="00E74385"/>
    <w:rsid w:val="00E743B0"/>
    <w:rsid w:val="00E743B2"/>
    <w:rsid w:val="00E743CC"/>
    <w:rsid w:val="00E743CF"/>
    <w:rsid w:val="00E74417"/>
    <w:rsid w:val="00E744AF"/>
    <w:rsid w:val="00E7450A"/>
    <w:rsid w:val="00E74543"/>
    <w:rsid w:val="00E745B6"/>
    <w:rsid w:val="00E745F2"/>
    <w:rsid w:val="00E74654"/>
    <w:rsid w:val="00E74665"/>
    <w:rsid w:val="00E746BD"/>
    <w:rsid w:val="00E746D7"/>
    <w:rsid w:val="00E746EC"/>
    <w:rsid w:val="00E74700"/>
    <w:rsid w:val="00E74710"/>
    <w:rsid w:val="00E74734"/>
    <w:rsid w:val="00E74743"/>
    <w:rsid w:val="00E747B5"/>
    <w:rsid w:val="00E74809"/>
    <w:rsid w:val="00E7483D"/>
    <w:rsid w:val="00E74860"/>
    <w:rsid w:val="00E74911"/>
    <w:rsid w:val="00E74932"/>
    <w:rsid w:val="00E74981"/>
    <w:rsid w:val="00E749CA"/>
    <w:rsid w:val="00E74A46"/>
    <w:rsid w:val="00E74A4A"/>
    <w:rsid w:val="00E74AC6"/>
    <w:rsid w:val="00E74AD5"/>
    <w:rsid w:val="00E74AE9"/>
    <w:rsid w:val="00E74B0B"/>
    <w:rsid w:val="00E74B0E"/>
    <w:rsid w:val="00E74B78"/>
    <w:rsid w:val="00E74BA2"/>
    <w:rsid w:val="00E74BF1"/>
    <w:rsid w:val="00E74C87"/>
    <w:rsid w:val="00E74CC2"/>
    <w:rsid w:val="00E74CC7"/>
    <w:rsid w:val="00E74D2C"/>
    <w:rsid w:val="00E74D2E"/>
    <w:rsid w:val="00E74D32"/>
    <w:rsid w:val="00E74D69"/>
    <w:rsid w:val="00E74DE7"/>
    <w:rsid w:val="00E74DED"/>
    <w:rsid w:val="00E74E32"/>
    <w:rsid w:val="00E74E39"/>
    <w:rsid w:val="00E74E3B"/>
    <w:rsid w:val="00E74E5C"/>
    <w:rsid w:val="00E74E5F"/>
    <w:rsid w:val="00E74E68"/>
    <w:rsid w:val="00E74E6D"/>
    <w:rsid w:val="00E74EFE"/>
    <w:rsid w:val="00E74F9A"/>
    <w:rsid w:val="00E74FA3"/>
    <w:rsid w:val="00E74FAE"/>
    <w:rsid w:val="00E75018"/>
    <w:rsid w:val="00E75037"/>
    <w:rsid w:val="00E7505A"/>
    <w:rsid w:val="00E7509B"/>
    <w:rsid w:val="00E750E3"/>
    <w:rsid w:val="00E750EB"/>
    <w:rsid w:val="00E7510F"/>
    <w:rsid w:val="00E75144"/>
    <w:rsid w:val="00E751A3"/>
    <w:rsid w:val="00E751B0"/>
    <w:rsid w:val="00E7521B"/>
    <w:rsid w:val="00E7523A"/>
    <w:rsid w:val="00E75256"/>
    <w:rsid w:val="00E7528E"/>
    <w:rsid w:val="00E752B2"/>
    <w:rsid w:val="00E752C6"/>
    <w:rsid w:val="00E752E0"/>
    <w:rsid w:val="00E752E8"/>
    <w:rsid w:val="00E75317"/>
    <w:rsid w:val="00E75376"/>
    <w:rsid w:val="00E7541C"/>
    <w:rsid w:val="00E7547E"/>
    <w:rsid w:val="00E7548D"/>
    <w:rsid w:val="00E7548F"/>
    <w:rsid w:val="00E754D2"/>
    <w:rsid w:val="00E754D8"/>
    <w:rsid w:val="00E754E2"/>
    <w:rsid w:val="00E75505"/>
    <w:rsid w:val="00E75556"/>
    <w:rsid w:val="00E75582"/>
    <w:rsid w:val="00E755AC"/>
    <w:rsid w:val="00E755B4"/>
    <w:rsid w:val="00E755BE"/>
    <w:rsid w:val="00E755C9"/>
    <w:rsid w:val="00E75601"/>
    <w:rsid w:val="00E75619"/>
    <w:rsid w:val="00E756DF"/>
    <w:rsid w:val="00E75716"/>
    <w:rsid w:val="00E757A1"/>
    <w:rsid w:val="00E7581E"/>
    <w:rsid w:val="00E75842"/>
    <w:rsid w:val="00E75862"/>
    <w:rsid w:val="00E7586F"/>
    <w:rsid w:val="00E75897"/>
    <w:rsid w:val="00E758B4"/>
    <w:rsid w:val="00E75926"/>
    <w:rsid w:val="00E75993"/>
    <w:rsid w:val="00E75996"/>
    <w:rsid w:val="00E759A5"/>
    <w:rsid w:val="00E759AA"/>
    <w:rsid w:val="00E75A23"/>
    <w:rsid w:val="00E75A77"/>
    <w:rsid w:val="00E75AB3"/>
    <w:rsid w:val="00E75AD0"/>
    <w:rsid w:val="00E75AF6"/>
    <w:rsid w:val="00E75B13"/>
    <w:rsid w:val="00E75B24"/>
    <w:rsid w:val="00E75BA0"/>
    <w:rsid w:val="00E75BCC"/>
    <w:rsid w:val="00E75C44"/>
    <w:rsid w:val="00E75C59"/>
    <w:rsid w:val="00E75C5D"/>
    <w:rsid w:val="00E75C6E"/>
    <w:rsid w:val="00E75C77"/>
    <w:rsid w:val="00E75C87"/>
    <w:rsid w:val="00E75C97"/>
    <w:rsid w:val="00E75CC5"/>
    <w:rsid w:val="00E75CD6"/>
    <w:rsid w:val="00E75D57"/>
    <w:rsid w:val="00E75E4A"/>
    <w:rsid w:val="00E75E7A"/>
    <w:rsid w:val="00E75EDA"/>
    <w:rsid w:val="00E75EF5"/>
    <w:rsid w:val="00E75EF6"/>
    <w:rsid w:val="00E75F34"/>
    <w:rsid w:val="00E76004"/>
    <w:rsid w:val="00E7603D"/>
    <w:rsid w:val="00E76043"/>
    <w:rsid w:val="00E7606C"/>
    <w:rsid w:val="00E7609D"/>
    <w:rsid w:val="00E760FE"/>
    <w:rsid w:val="00E76102"/>
    <w:rsid w:val="00E76140"/>
    <w:rsid w:val="00E761BC"/>
    <w:rsid w:val="00E761C5"/>
    <w:rsid w:val="00E761CA"/>
    <w:rsid w:val="00E76216"/>
    <w:rsid w:val="00E76223"/>
    <w:rsid w:val="00E76238"/>
    <w:rsid w:val="00E76245"/>
    <w:rsid w:val="00E76310"/>
    <w:rsid w:val="00E7634C"/>
    <w:rsid w:val="00E76372"/>
    <w:rsid w:val="00E763C7"/>
    <w:rsid w:val="00E763EA"/>
    <w:rsid w:val="00E76429"/>
    <w:rsid w:val="00E7646F"/>
    <w:rsid w:val="00E7648C"/>
    <w:rsid w:val="00E764BE"/>
    <w:rsid w:val="00E764C0"/>
    <w:rsid w:val="00E764C4"/>
    <w:rsid w:val="00E764ED"/>
    <w:rsid w:val="00E76587"/>
    <w:rsid w:val="00E765F5"/>
    <w:rsid w:val="00E765F9"/>
    <w:rsid w:val="00E7661F"/>
    <w:rsid w:val="00E7662D"/>
    <w:rsid w:val="00E7668B"/>
    <w:rsid w:val="00E766AB"/>
    <w:rsid w:val="00E7671F"/>
    <w:rsid w:val="00E76745"/>
    <w:rsid w:val="00E767CB"/>
    <w:rsid w:val="00E768D2"/>
    <w:rsid w:val="00E768F1"/>
    <w:rsid w:val="00E768FD"/>
    <w:rsid w:val="00E7693B"/>
    <w:rsid w:val="00E76941"/>
    <w:rsid w:val="00E769E7"/>
    <w:rsid w:val="00E76A02"/>
    <w:rsid w:val="00E76A39"/>
    <w:rsid w:val="00E76A3A"/>
    <w:rsid w:val="00E76A87"/>
    <w:rsid w:val="00E76AAC"/>
    <w:rsid w:val="00E76AB4"/>
    <w:rsid w:val="00E76AD1"/>
    <w:rsid w:val="00E76B24"/>
    <w:rsid w:val="00E76BBB"/>
    <w:rsid w:val="00E76BCD"/>
    <w:rsid w:val="00E76C0E"/>
    <w:rsid w:val="00E76C32"/>
    <w:rsid w:val="00E76C37"/>
    <w:rsid w:val="00E76C3B"/>
    <w:rsid w:val="00E76C57"/>
    <w:rsid w:val="00E76CA1"/>
    <w:rsid w:val="00E76CCC"/>
    <w:rsid w:val="00E76CD7"/>
    <w:rsid w:val="00E76CE3"/>
    <w:rsid w:val="00E76CFC"/>
    <w:rsid w:val="00E76CFF"/>
    <w:rsid w:val="00E76D07"/>
    <w:rsid w:val="00E76D35"/>
    <w:rsid w:val="00E76D67"/>
    <w:rsid w:val="00E76DBB"/>
    <w:rsid w:val="00E76E06"/>
    <w:rsid w:val="00E76E18"/>
    <w:rsid w:val="00E76E1B"/>
    <w:rsid w:val="00E76E71"/>
    <w:rsid w:val="00E76F16"/>
    <w:rsid w:val="00E76F64"/>
    <w:rsid w:val="00E76FC4"/>
    <w:rsid w:val="00E76FCF"/>
    <w:rsid w:val="00E770A6"/>
    <w:rsid w:val="00E770A9"/>
    <w:rsid w:val="00E77165"/>
    <w:rsid w:val="00E7716B"/>
    <w:rsid w:val="00E771C6"/>
    <w:rsid w:val="00E7724B"/>
    <w:rsid w:val="00E7724F"/>
    <w:rsid w:val="00E772BD"/>
    <w:rsid w:val="00E772F3"/>
    <w:rsid w:val="00E77305"/>
    <w:rsid w:val="00E77330"/>
    <w:rsid w:val="00E7746C"/>
    <w:rsid w:val="00E7749A"/>
    <w:rsid w:val="00E7749E"/>
    <w:rsid w:val="00E774FC"/>
    <w:rsid w:val="00E77503"/>
    <w:rsid w:val="00E7751E"/>
    <w:rsid w:val="00E7755C"/>
    <w:rsid w:val="00E77566"/>
    <w:rsid w:val="00E77620"/>
    <w:rsid w:val="00E77630"/>
    <w:rsid w:val="00E77664"/>
    <w:rsid w:val="00E77669"/>
    <w:rsid w:val="00E776A7"/>
    <w:rsid w:val="00E776D8"/>
    <w:rsid w:val="00E776F7"/>
    <w:rsid w:val="00E7770F"/>
    <w:rsid w:val="00E7776A"/>
    <w:rsid w:val="00E777D3"/>
    <w:rsid w:val="00E777E4"/>
    <w:rsid w:val="00E777E9"/>
    <w:rsid w:val="00E77800"/>
    <w:rsid w:val="00E77886"/>
    <w:rsid w:val="00E77947"/>
    <w:rsid w:val="00E779C2"/>
    <w:rsid w:val="00E779EA"/>
    <w:rsid w:val="00E779FC"/>
    <w:rsid w:val="00E77ACB"/>
    <w:rsid w:val="00E77ADA"/>
    <w:rsid w:val="00E77B27"/>
    <w:rsid w:val="00E77B67"/>
    <w:rsid w:val="00E77B69"/>
    <w:rsid w:val="00E77B9F"/>
    <w:rsid w:val="00E77BB2"/>
    <w:rsid w:val="00E77C47"/>
    <w:rsid w:val="00E77C4A"/>
    <w:rsid w:val="00E77CF8"/>
    <w:rsid w:val="00E77D4F"/>
    <w:rsid w:val="00E77D5E"/>
    <w:rsid w:val="00E77D68"/>
    <w:rsid w:val="00E77DCB"/>
    <w:rsid w:val="00E77DD0"/>
    <w:rsid w:val="00E77DE9"/>
    <w:rsid w:val="00E77E17"/>
    <w:rsid w:val="00E77E44"/>
    <w:rsid w:val="00E77F49"/>
    <w:rsid w:val="00E77F69"/>
    <w:rsid w:val="00E77F87"/>
    <w:rsid w:val="00E77FDA"/>
    <w:rsid w:val="00E80054"/>
    <w:rsid w:val="00E80085"/>
    <w:rsid w:val="00E800D4"/>
    <w:rsid w:val="00E800DE"/>
    <w:rsid w:val="00E800DF"/>
    <w:rsid w:val="00E800F7"/>
    <w:rsid w:val="00E8011A"/>
    <w:rsid w:val="00E801AA"/>
    <w:rsid w:val="00E801F2"/>
    <w:rsid w:val="00E8020D"/>
    <w:rsid w:val="00E8025F"/>
    <w:rsid w:val="00E802B0"/>
    <w:rsid w:val="00E802BE"/>
    <w:rsid w:val="00E802CC"/>
    <w:rsid w:val="00E80311"/>
    <w:rsid w:val="00E8032A"/>
    <w:rsid w:val="00E803E3"/>
    <w:rsid w:val="00E803F6"/>
    <w:rsid w:val="00E80412"/>
    <w:rsid w:val="00E80456"/>
    <w:rsid w:val="00E80470"/>
    <w:rsid w:val="00E804D0"/>
    <w:rsid w:val="00E804E7"/>
    <w:rsid w:val="00E8050E"/>
    <w:rsid w:val="00E80541"/>
    <w:rsid w:val="00E8054D"/>
    <w:rsid w:val="00E805AD"/>
    <w:rsid w:val="00E80612"/>
    <w:rsid w:val="00E8062E"/>
    <w:rsid w:val="00E80669"/>
    <w:rsid w:val="00E80670"/>
    <w:rsid w:val="00E806B2"/>
    <w:rsid w:val="00E80701"/>
    <w:rsid w:val="00E80708"/>
    <w:rsid w:val="00E80789"/>
    <w:rsid w:val="00E807B8"/>
    <w:rsid w:val="00E80802"/>
    <w:rsid w:val="00E80804"/>
    <w:rsid w:val="00E808C2"/>
    <w:rsid w:val="00E808E9"/>
    <w:rsid w:val="00E8096B"/>
    <w:rsid w:val="00E80975"/>
    <w:rsid w:val="00E809AF"/>
    <w:rsid w:val="00E80AB5"/>
    <w:rsid w:val="00E80ADE"/>
    <w:rsid w:val="00E80B02"/>
    <w:rsid w:val="00E80B34"/>
    <w:rsid w:val="00E80B9E"/>
    <w:rsid w:val="00E80BA8"/>
    <w:rsid w:val="00E80BD8"/>
    <w:rsid w:val="00E80C0A"/>
    <w:rsid w:val="00E80C8C"/>
    <w:rsid w:val="00E80C9D"/>
    <w:rsid w:val="00E80CD7"/>
    <w:rsid w:val="00E80CF5"/>
    <w:rsid w:val="00E80D3B"/>
    <w:rsid w:val="00E80D95"/>
    <w:rsid w:val="00E80DA1"/>
    <w:rsid w:val="00E80DBF"/>
    <w:rsid w:val="00E80DFF"/>
    <w:rsid w:val="00E80E8F"/>
    <w:rsid w:val="00E80EA0"/>
    <w:rsid w:val="00E80F02"/>
    <w:rsid w:val="00E80F05"/>
    <w:rsid w:val="00E80FD5"/>
    <w:rsid w:val="00E80FDF"/>
    <w:rsid w:val="00E81031"/>
    <w:rsid w:val="00E81037"/>
    <w:rsid w:val="00E81057"/>
    <w:rsid w:val="00E810BF"/>
    <w:rsid w:val="00E81126"/>
    <w:rsid w:val="00E8113A"/>
    <w:rsid w:val="00E81146"/>
    <w:rsid w:val="00E811C4"/>
    <w:rsid w:val="00E811C9"/>
    <w:rsid w:val="00E811DF"/>
    <w:rsid w:val="00E8120D"/>
    <w:rsid w:val="00E8124F"/>
    <w:rsid w:val="00E81292"/>
    <w:rsid w:val="00E812C7"/>
    <w:rsid w:val="00E813C8"/>
    <w:rsid w:val="00E813CA"/>
    <w:rsid w:val="00E81420"/>
    <w:rsid w:val="00E8142C"/>
    <w:rsid w:val="00E8143E"/>
    <w:rsid w:val="00E81447"/>
    <w:rsid w:val="00E8144D"/>
    <w:rsid w:val="00E81498"/>
    <w:rsid w:val="00E814FA"/>
    <w:rsid w:val="00E814FD"/>
    <w:rsid w:val="00E81562"/>
    <w:rsid w:val="00E81568"/>
    <w:rsid w:val="00E815AF"/>
    <w:rsid w:val="00E815D0"/>
    <w:rsid w:val="00E8164A"/>
    <w:rsid w:val="00E81660"/>
    <w:rsid w:val="00E81669"/>
    <w:rsid w:val="00E816EC"/>
    <w:rsid w:val="00E81737"/>
    <w:rsid w:val="00E8175F"/>
    <w:rsid w:val="00E81772"/>
    <w:rsid w:val="00E817EA"/>
    <w:rsid w:val="00E81816"/>
    <w:rsid w:val="00E8181A"/>
    <w:rsid w:val="00E81899"/>
    <w:rsid w:val="00E8190E"/>
    <w:rsid w:val="00E81956"/>
    <w:rsid w:val="00E81964"/>
    <w:rsid w:val="00E8196F"/>
    <w:rsid w:val="00E81A28"/>
    <w:rsid w:val="00E81A45"/>
    <w:rsid w:val="00E81A55"/>
    <w:rsid w:val="00E81A99"/>
    <w:rsid w:val="00E81A9A"/>
    <w:rsid w:val="00E81AA3"/>
    <w:rsid w:val="00E81AA8"/>
    <w:rsid w:val="00E81B07"/>
    <w:rsid w:val="00E81B0B"/>
    <w:rsid w:val="00E81B40"/>
    <w:rsid w:val="00E81B4D"/>
    <w:rsid w:val="00E81C23"/>
    <w:rsid w:val="00E81C58"/>
    <w:rsid w:val="00E81CA8"/>
    <w:rsid w:val="00E81CF1"/>
    <w:rsid w:val="00E81D1C"/>
    <w:rsid w:val="00E81DB6"/>
    <w:rsid w:val="00E81DBC"/>
    <w:rsid w:val="00E81E18"/>
    <w:rsid w:val="00E81E22"/>
    <w:rsid w:val="00E81E4F"/>
    <w:rsid w:val="00E81E8D"/>
    <w:rsid w:val="00E81EE2"/>
    <w:rsid w:val="00E81F0F"/>
    <w:rsid w:val="00E81F3A"/>
    <w:rsid w:val="00E81F87"/>
    <w:rsid w:val="00E81FA6"/>
    <w:rsid w:val="00E82000"/>
    <w:rsid w:val="00E8216F"/>
    <w:rsid w:val="00E82180"/>
    <w:rsid w:val="00E82184"/>
    <w:rsid w:val="00E8219F"/>
    <w:rsid w:val="00E821B5"/>
    <w:rsid w:val="00E82205"/>
    <w:rsid w:val="00E82220"/>
    <w:rsid w:val="00E82277"/>
    <w:rsid w:val="00E8230B"/>
    <w:rsid w:val="00E82316"/>
    <w:rsid w:val="00E82364"/>
    <w:rsid w:val="00E82397"/>
    <w:rsid w:val="00E82417"/>
    <w:rsid w:val="00E82447"/>
    <w:rsid w:val="00E824BF"/>
    <w:rsid w:val="00E82529"/>
    <w:rsid w:val="00E82569"/>
    <w:rsid w:val="00E82577"/>
    <w:rsid w:val="00E82580"/>
    <w:rsid w:val="00E825EC"/>
    <w:rsid w:val="00E825FD"/>
    <w:rsid w:val="00E82629"/>
    <w:rsid w:val="00E82634"/>
    <w:rsid w:val="00E82652"/>
    <w:rsid w:val="00E8265B"/>
    <w:rsid w:val="00E82664"/>
    <w:rsid w:val="00E8267F"/>
    <w:rsid w:val="00E8268E"/>
    <w:rsid w:val="00E82692"/>
    <w:rsid w:val="00E8275A"/>
    <w:rsid w:val="00E82763"/>
    <w:rsid w:val="00E82769"/>
    <w:rsid w:val="00E827D4"/>
    <w:rsid w:val="00E82815"/>
    <w:rsid w:val="00E82830"/>
    <w:rsid w:val="00E8283A"/>
    <w:rsid w:val="00E8283C"/>
    <w:rsid w:val="00E82879"/>
    <w:rsid w:val="00E828B5"/>
    <w:rsid w:val="00E828D3"/>
    <w:rsid w:val="00E828DA"/>
    <w:rsid w:val="00E82919"/>
    <w:rsid w:val="00E82930"/>
    <w:rsid w:val="00E82949"/>
    <w:rsid w:val="00E82961"/>
    <w:rsid w:val="00E82992"/>
    <w:rsid w:val="00E829BD"/>
    <w:rsid w:val="00E829E4"/>
    <w:rsid w:val="00E829E8"/>
    <w:rsid w:val="00E82A39"/>
    <w:rsid w:val="00E82A6B"/>
    <w:rsid w:val="00E82A82"/>
    <w:rsid w:val="00E82B6A"/>
    <w:rsid w:val="00E82C5A"/>
    <w:rsid w:val="00E82C7E"/>
    <w:rsid w:val="00E82C99"/>
    <w:rsid w:val="00E82CA0"/>
    <w:rsid w:val="00E82D0D"/>
    <w:rsid w:val="00E82D80"/>
    <w:rsid w:val="00E82D81"/>
    <w:rsid w:val="00E82DA0"/>
    <w:rsid w:val="00E82DBE"/>
    <w:rsid w:val="00E82DDC"/>
    <w:rsid w:val="00E82DED"/>
    <w:rsid w:val="00E82E14"/>
    <w:rsid w:val="00E82EB9"/>
    <w:rsid w:val="00E82ED7"/>
    <w:rsid w:val="00E82EE7"/>
    <w:rsid w:val="00E82F5F"/>
    <w:rsid w:val="00E82F67"/>
    <w:rsid w:val="00E82F8D"/>
    <w:rsid w:val="00E82FAD"/>
    <w:rsid w:val="00E82FB3"/>
    <w:rsid w:val="00E82FB9"/>
    <w:rsid w:val="00E82FC4"/>
    <w:rsid w:val="00E82FE0"/>
    <w:rsid w:val="00E8300A"/>
    <w:rsid w:val="00E830CF"/>
    <w:rsid w:val="00E830FF"/>
    <w:rsid w:val="00E8310E"/>
    <w:rsid w:val="00E83131"/>
    <w:rsid w:val="00E8313A"/>
    <w:rsid w:val="00E8314D"/>
    <w:rsid w:val="00E83185"/>
    <w:rsid w:val="00E8319C"/>
    <w:rsid w:val="00E8319D"/>
    <w:rsid w:val="00E831F9"/>
    <w:rsid w:val="00E8321D"/>
    <w:rsid w:val="00E83291"/>
    <w:rsid w:val="00E832C9"/>
    <w:rsid w:val="00E832FF"/>
    <w:rsid w:val="00E83312"/>
    <w:rsid w:val="00E83354"/>
    <w:rsid w:val="00E8343D"/>
    <w:rsid w:val="00E8343E"/>
    <w:rsid w:val="00E83453"/>
    <w:rsid w:val="00E834D4"/>
    <w:rsid w:val="00E83524"/>
    <w:rsid w:val="00E83538"/>
    <w:rsid w:val="00E8354C"/>
    <w:rsid w:val="00E8357F"/>
    <w:rsid w:val="00E83580"/>
    <w:rsid w:val="00E835A4"/>
    <w:rsid w:val="00E835A8"/>
    <w:rsid w:val="00E83719"/>
    <w:rsid w:val="00E83737"/>
    <w:rsid w:val="00E837CC"/>
    <w:rsid w:val="00E837FE"/>
    <w:rsid w:val="00E83813"/>
    <w:rsid w:val="00E838EA"/>
    <w:rsid w:val="00E83906"/>
    <w:rsid w:val="00E83957"/>
    <w:rsid w:val="00E83965"/>
    <w:rsid w:val="00E8397D"/>
    <w:rsid w:val="00E839C9"/>
    <w:rsid w:val="00E839DF"/>
    <w:rsid w:val="00E839E1"/>
    <w:rsid w:val="00E83A39"/>
    <w:rsid w:val="00E83A81"/>
    <w:rsid w:val="00E83AAA"/>
    <w:rsid w:val="00E83AB6"/>
    <w:rsid w:val="00E83AF9"/>
    <w:rsid w:val="00E83B12"/>
    <w:rsid w:val="00E83B1F"/>
    <w:rsid w:val="00E83B8C"/>
    <w:rsid w:val="00E83BBB"/>
    <w:rsid w:val="00E83BBF"/>
    <w:rsid w:val="00E83BFF"/>
    <w:rsid w:val="00E83C1E"/>
    <w:rsid w:val="00E83C4C"/>
    <w:rsid w:val="00E83C62"/>
    <w:rsid w:val="00E83C63"/>
    <w:rsid w:val="00E83C8E"/>
    <w:rsid w:val="00E83C8F"/>
    <w:rsid w:val="00E83CC1"/>
    <w:rsid w:val="00E83CDD"/>
    <w:rsid w:val="00E83CFB"/>
    <w:rsid w:val="00E83D23"/>
    <w:rsid w:val="00E83D5E"/>
    <w:rsid w:val="00E83D5F"/>
    <w:rsid w:val="00E83D7B"/>
    <w:rsid w:val="00E83E2F"/>
    <w:rsid w:val="00E83E49"/>
    <w:rsid w:val="00E83E56"/>
    <w:rsid w:val="00E83EB0"/>
    <w:rsid w:val="00E83EBB"/>
    <w:rsid w:val="00E83ECE"/>
    <w:rsid w:val="00E83F05"/>
    <w:rsid w:val="00E83F40"/>
    <w:rsid w:val="00E83FA3"/>
    <w:rsid w:val="00E83FC7"/>
    <w:rsid w:val="00E83FCA"/>
    <w:rsid w:val="00E83FD6"/>
    <w:rsid w:val="00E83FDC"/>
    <w:rsid w:val="00E84018"/>
    <w:rsid w:val="00E8404C"/>
    <w:rsid w:val="00E84065"/>
    <w:rsid w:val="00E84093"/>
    <w:rsid w:val="00E840D2"/>
    <w:rsid w:val="00E840FF"/>
    <w:rsid w:val="00E84130"/>
    <w:rsid w:val="00E84171"/>
    <w:rsid w:val="00E84187"/>
    <w:rsid w:val="00E841BC"/>
    <w:rsid w:val="00E841C0"/>
    <w:rsid w:val="00E841C1"/>
    <w:rsid w:val="00E84213"/>
    <w:rsid w:val="00E8422C"/>
    <w:rsid w:val="00E8427C"/>
    <w:rsid w:val="00E84291"/>
    <w:rsid w:val="00E842A7"/>
    <w:rsid w:val="00E842B7"/>
    <w:rsid w:val="00E842C4"/>
    <w:rsid w:val="00E842E0"/>
    <w:rsid w:val="00E842E6"/>
    <w:rsid w:val="00E843D3"/>
    <w:rsid w:val="00E84483"/>
    <w:rsid w:val="00E8448D"/>
    <w:rsid w:val="00E844C1"/>
    <w:rsid w:val="00E84500"/>
    <w:rsid w:val="00E8459D"/>
    <w:rsid w:val="00E845A7"/>
    <w:rsid w:val="00E84654"/>
    <w:rsid w:val="00E846B7"/>
    <w:rsid w:val="00E8475A"/>
    <w:rsid w:val="00E8478C"/>
    <w:rsid w:val="00E847CE"/>
    <w:rsid w:val="00E84834"/>
    <w:rsid w:val="00E848AA"/>
    <w:rsid w:val="00E848F8"/>
    <w:rsid w:val="00E848FD"/>
    <w:rsid w:val="00E84933"/>
    <w:rsid w:val="00E8494D"/>
    <w:rsid w:val="00E84998"/>
    <w:rsid w:val="00E849F9"/>
    <w:rsid w:val="00E84A11"/>
    <w:rsid w:val="00E84A41"/>
    <w:rsid w:val="00E84A8D"/>
    <w:rsid w:val="00E84A9C"/>
    <w:rsid w:val="00E84AA1"/>
    <w:rsid w:val="00E84AB6"/>
    <w:rsid w:val="00E84B17"/>
    <w:rsid w:val="00E84B18"/>
    <w:rsid w:val="00E84BB0"/>
    <w:rsid w:val="00E84BCE"/>
    <w:rsid w:val="00E84BD5"/>
    <w:rsid w:val="00E84C23"/>
    <w:rsid w:val="00E84CF6"/>
    <w:rsid w:val="00E84D23"/>
    <w:rsid w:val="00E84D51"/>
    <w:rsid w:val="00E84DD8"/>
    <w:rsid w:val="00E84E15"/>
    <w:rsid w:val="00E84E44"/>
    <w:rsid w:val="00E84F2D"/>
    <w:rsid w:val="00E84F51"/>
    <w:rsid w:val="00E84F52"/>
    <w:rsid w:val="00E85061"/>
    <w:rsid w:val="00E85086"/>
    <w:rsid w:val="00E85088"/>
    <w:rsid w:val="00E8510B"/>
    <w:rsid w:val="00E85161"/>
    <w:rsid w:val="00E85190"/>
    <w:rsid w:val="00E851D0"/>
    <w:rsid w:val="00E85288"/>
    <w:rsid w:val="00E852AE"/>
    <w:rsid w:val="00E852D4"/>
    <w:rsid w:val="00E852D6"/>
    <w:rsid w:val="00E85337"/>
    <w:rsid w:val="00E8538F"/>
    <w:rsid w:val="00E853C5"/>
    <w:rsid w:val="00E853FD"/>
    <w:rsid w:val="00E85476"/>
    <w:rsid w:val="00E854AC"/>
    <w:rsid w:val="00E854CA"/>
    <w:rsid w:val="00E855DF"/>
    <w:rsid w:val="00E85627"/>
    <w:rsid w:val="00E85659"/>
    <w:rsid w:val="00E85679"/>
    <w:rsid w:val="00E856A3"/>
    <w:rsid w:val="00E8575B"/>
    <w:rsid w:val="00E8577A"/>
    <w:rsid w:val="00E857BE"/>
    <w:rsid w:val="00E857CD"/>
    <w:rsid w:val="00E857FF"/>
    <w:rsid w:val="00E85823"/>
    <w:rsid w:val="00E85828"/>
    <w:rsid w:val="00E85838"/>
    <w:rsid w:val="00E85843"/>
    <w:rsid w:val="00E85890"/>
    <w:rsid w:val="00E858B6"/>
    <w:rsid w:val="00E858B7"/>
    <w:rsid w:val="00E858C4"/>
    <w:rsid w:val="00E858E9"/>
    <w:rsid w:val="00E8592D"/>
    <w:rsid w:val="00E85961"/>
    <w:rsid w:val="00E859AD"/>
    <w:rsid w:val="00E859BA"/>
    <w:rsid w:val="00E85A01"/>
    <w:rsid w:val="00E85A3B"/>
    <w:rsid w:val="00E85A62"/>
    <w:rsid w:val="00E85A68"/>
    <w:rsid w:val="00E85A6A"/>
    <w:rsid w:val="00E85A9A"/>
    <w:rsid w:val="00E85A9C"/>
    <w:rsid w:val="00E85AB3"/>
    <w:rsid w:val="00E85AC2"/>
    <w:rsid w:val="00E85AD6"/>
    <w:rsid w:val="00E85ADA"/>
    <w:rsid w:val="00E85AED"/>
    <w:rsid w:val="00E85B16"/>
    <w:rsid w:val="00E85B39"/>
    <w:rsid w:val="00E85B3E"/>
    <w:rsid w:val="00E85B6A"/>
    <w:rsid w:val="00E85B7F"/>
    <w:rsid w:val="00E85B9C"/>
    <w:rsid w:val="00E85C20"/>
    <w:rsid w:val="00E85C65"/>
    <w:rsid w:val="00E85C89"/>
    <w:rsid w:val="00E85C9A"/>
    <w:rsid w:val="00E85CD4"/>
    <w:rsid w:val="00E85CF1"/>
    <w:rsid w:val="00E85D0E"/>
    <w:rsid w:val="00E85D55"/>
    <w:rsid w:val="00E85D9E"/>
    <w:rsid w:val="00E85DB4"/>
    <w:rsid w:val="00E85DEB"/>
    <w:rsid w:val="00E85DF6"/>
    <w:rsid w:val="00E85E49"/>
    <w:rsid w:val="00E85E6B"/>
    <w:rsid w:val="00E85EB5"/>
    <w:rsid w:val="00E85EBF"/>
    <w:rsid w:val="00E85F13"/>
    <w:rsid w:val="00E85F19"/>
    <w:rsid w:val="00E85F28"/>
    <w:rsid w:val="00E85F31"/>
    <w:rsid w:val="00E85F67"/>
    <w:rsid w:val="00E85F89"/>
    <w:rsid w:val="00E85FD0"/>
    <w:rsid w:val="00E85FE7"/>
    <w:rsid w:val="00E8600A"/>
    <w:rsid w:val="00E86062"/>
    <w:rsid w:val="00E86064"/>
    <w:rsid w:val="00E860D0"/>
    <w:rsid w:val="00E860F7"/>
    <w:rsid w:val="00E860FF"/>
    <w:rsid w:val="00E86115"/>
    <w:rsid w:val="00E86146"/>
    <w:rsid w:val="00E86160"/>
    <w:rsid w:val="00E86184"/>
    <w:rsid w:val="00E86228"/>
    <w:rsid w:val="00E8625B"/>
    <w:rsid w:val="00E862FE"/>
    <w:rsid w:val="00E86300"/>
    <w:rsid w:val="00E86320"/>
    <w:rsid w:val="00E86336"/>
    <w:rsid w:val="00E8636F"/>
    <w:rsid w:val="00E863D3"/>
    <w:rsid w:val="00E86492"/>
    <w:rsid w:val="00E8649E"/>
    <w:rsid w:val="00E864C4"/>
    <w:rsid w:val="00E864D2"/>
    <w:rsid w:val="00E8650C"/>
    <w:rsid w:val="00E86517"/>
    <w:rsid w:val="00E86552"/>
    <w:rsid w:val="00E865F0"/>
    <w:rsid w:val="00E865F1"/>
    <w:rsid w:val="00E86602"/>
    <w:rsid w:val="00E86620"/>
    <w:rsid w:val="00E86697"/>
    <w:rsid w:val="00E8669D"/>
    <w:rsid w:val="00E866AC"/>
    <w:rsid w:val="00E866DD"/>
    <w:rsid w:val="00E866E1"/>
    <w:rsid w:val="00E86741"/>
    <w:rsid w:val="00E867B9"/>
    <w:rsid w:val="00E867D5"/>
    <w:rsid w:val="00E867EF"/>
    <w:rsid w:val="00E86815"/>
    <w:rsid w:val="00E8681E"/>
    <w:rsid w:val="00E8684A"/>
    <w:rsid w:val="00E86888"/>
    <w:rsid w:val="00E868A7"/>
    <w:rsid w:val="00E868B6"/>
    <w:rsid w:val="00E8690E"/>
    <w:rsid w:val="00E86933"/>
    <w:rsid w:val="00E86977"/>
    <w:rsid w:val="00E869D5"/>
    <w:rsid w:val="00E869EC"/>
    <w:rsid w:val="00E86A7D"/>
    <w:rsid w:val="00E86AF2"/>
    <w:rsid w:val="00E86B62"/>
    <w:rsid w:val="00E86B7C"/>
    <w:rsid w:val="00E86BC5"/>
    <w:rsid w:val="00E86BDA"/>
    <w:rsid w:val="00E86BF5"/>
    <w:rsid w:val="00E86C3D"/>
    <w:rsid w:val="00E86C75"/>
    <w:rsid w:val="00E86C9A"/>
    <w:rsid w:val="00E86CC4"/>
    <w:rsid w:val="00E86D7E"/>
    <w:rsid w:val="00E86E17"/>
    <w:rsid w:val="00E86E77"/>
    <w:rsid w:val="00E86E96"/>
    <w:rsid w:val="00E86EAA"/>
    <w:rsid w:val="00E86EB6"/>
    <w:rsid w:val="00E86F18"/>
    <w:rsid w:val="00E86F28"/>
    <w:rsid w:val="00E86F64"/>
    <w:rsid w:val="00E86F8D"/>
    <w:rsid w:val="00E86F97"/>
    <w:rsid w:val="00E86FA7"/>
    <w:rsid w:val="00E8704D"/>
    <w:rsid w:val="00E870A3"/>
    <w:rsid w:val="00E870DE"/>
    <w:rsid w:val="00E870E1"/>
    <w:rsid w:val="00E87129"/>
    <w:rsid w:val="00E87176"/>
    <w:rsid w:val="00E871B3"/>
    <w:rsid w:val="00E871E9"/>
    <w:rsid w:val="00E87212"/>
    <w:rsid w:val="00E8722F"/>
    <w:rsid w:val="00E87253"/>
    <w:rsid w:val="00E8726E"/>
    <w:rsid w:val="00E8728D"/>
    <w:rsid w:val="00E87292"/>
    <w:rsid w:val="00E8729E"/>
    <w:rsid w:val="00E872C6"/>
    <w:rsid w:val="00E87321"/>
    <w:rsid w:val="00E87361"/>
    <w:rsid w:val="00E87365"/>
    <w:rsid w:val="00E873EE"/>
    <w:rsid w:val="00E87439"/>
    <w:rsid w:val="00E87443"/>
    <w:rsid w:val="00E87457"/>
    <w:rsid w:val="00E874B2"/>
    <w:rsid w:val="00E874C7"/>
    <w:rsid w:val="00E874C9"/>
    <w:rsid w:val="00E87525"/>
    <w:rsid w:val="00E87568"/>
    <w:rsid w:val="00E8758A"/>
    <w:rsid w:val="00E875D8"/>
    <w:rsid w:val="00E8766D"/>
    <w:rsid w:val="00E87677"/>
    <w:rsid w:val="00E876E1"/>
    <w:rsid w:val="00E876F7"/>
    <w:rsid w:val="00E87718"/>
    <w:rsid w:val="00E87758"/>
    <w:rsid w:val="00E87799"/>
    <w:rsid w:val="00E877A1"/>
    <w:rsid w:val="00E877B2"/>
    <w:rsid w:val="00E877C6"/>
    <w:rsid w:val="00E877D7"/>
    <w:rsid w:val="00E87873"/>
    <w:rsid w:val="00E8792B"/>
    <w:rsid w:val="00E87943"/>
    <w:rsid w:val="00E87944"/>
    <w:rsid w:val="00E87996"/>
    <w:rsid w:val="00E879BA"/>
    <w:rsid w:val="00E879C1"/>
    <w:rsid w:val="00E87A88"/>
    <w:rsid w:val="00E87B6E"/>
    <w:rsid w:val="00E87BEC"/>
    <w:rsid w:val="00E87C1B"/>
    <w:rsid w:val="00E87D3B"/>
    <w:rsid w:val="00E87DAE"/>
    <w:rsid w:val="00E87DB7"/>
    <w:rsid w:val="00E87DC5"/>
    <w:rsid w:val="00E87E12"/>
    <w:rsid w:val="00E87E14"/>
    <w:rsid w:val="00E87E7C"/>
    <w:rsid w:val="00E87EBE"/>
    <w:rsid w:val="00E87F1B"/>
    <w:rsid w:val="00E87F5F"/>
    <w:rsid w:val="00E90001"/>
    <w:rsid w:val="00E9000B"/>
    <w:rsid w:val="00E9002C"/>
    <w:rsid w:val="00E90053"/>
    <w:rsid w:val="00E9006C"/>
    <w:rsid w:val="00E90077"/>
    <w:rsid w:val="00E90099"/>
    <w:rsid w:val="00E900B2"/>
    <w:rsid w:val="00E9016B"/>
    <w:rsid w:val="00E90171"/>
    <w:rsid w:val="00E901BF"/>
    <w:rsid w:val="00E90235"/>
    <w:rsid w:val="00E9023C"/>
    <w:rsid w:val="00E90260"/>
    <w:rsid w:val="00E90289"/>
    <w:rsid w:val="00E90298"/>
    <w:rsid w:val="00E902F5"/>
    <w:rsid w:val="00E90303"/>
    <w:rsid w:val="00E90308"/>
    <w:rsid w:val="00E9034D"/>
    <w:rsid w:val="00E90358"/>
    <w:rsid w:val="00E903FE"/>
    <w:rsid w:val="00E90455"/>
    <w:rsid w:val="00E904BD"/>
    <w:rsid w:val="00E9050D"/>
    <w:rsid w:val="00E90543"/>
    <w:rsid w:val="00E9056D"/>
    <w:rsid w:val="00E90593"/>
    <w:rsid w:val="00E905A6"/>
    <w:rsid w:val="00E90601"/>
    <w:rsid w:val="00E906D0"/>
    <w:rsid w:val="00E906E0"/>
    <w:rsid w:val="00E90703"/>
    <w:rsid w:val="00E90737"/>
    <w:rsid w:val="00E90741"/>
    <w:rsid w:val="00E90777"/>
    <w:rsid w:val="00E9078B"/>
    <w:rsid w:val="00E90803"/>
    <w:rsid w:val="00E90839"/>
    <w:rsid w:val="00E9084E"/>
    <w:rsid w:val="00E90884"/>
    <w:rsid w:val="00E9095A"/>
    <w:rsid w:val="00E9097B"/>
    <w:rsid w:val="00E909BE"/>
    <w:rsid w:val="00E909C8"/>
    <w:rsid w:val="00E909CD"/>
    <w:rsid w:val="00E909FE"/>
    <w:rsid w:val="00E90A50"/>
    <w:rsid w:val="00E90AAA"/>
    <w:rsid w:val="00E90AE2"/>
    <w:rsid w:val="00E90AF6"/>
    <w:rsid w:val="00E90B13"/>
    <w:rsid w:val="00E90B19"/>
    <w:rsid w:val="00E90B88"/>
    <w:rsid w:val="00E90B9E"/>
    <w:rsid w:val="00E90BC9"/>
    <w:rsid w:val="00E90BE1"/>
    <w:rsid w:val="00E90C0B"/>
    <w:rsid w:val="00E90C14"/>
    <w:rsid w:val="00E90C4B"/>
    <w:rsid w:val="00E90C84"/>
    <w:rsid w:val="00E90C8F"/>
    <w:rsid w:val="00E90CA6"/>
    <w:rsid w:val="00E90CB7"/>
    <w:rsid w:val="00E90CC3"/>
    <w:rsid w:val="00E90CC8"/>
    <w:rsid w:val="00E90CDF"/>
    <w:rsid w:val="00E90D12"/>
    <w:rsid w:val="00E90DC2"/>
    <w:rsid w:val="00E90DC7"/>
    <w:rsid w:val="00E90E0B"/>
    <w:rsid w:val="00E90E32"/>
    <w:rsid w:val="00E90EA4"/>
    <w:rsid w:val="00E90EE4"/>
    <w:rsid w:val="00E90F4A"/>
    <w:rsid w:val="00E90F5C"/>
    <w:rsid w:val="00E90F89"/>
    <w:rsid w:val="00E91026"/>
    <w:rsid w:val="00E91076"/>
    <w:rsid w:val="00E910C0"/>
    <w:rsid w:val="00E9111A"/>
    <w:rsid w:val="00E91120"/>
    <w:rsid w:val="00E9113D"/>
    <w:rsid w:val="00E9114B"/>
    <w:rsid w:val="00E9115D"/>
    <w:rsid w:val="00E911C2"/>
    <w:rsid w:val="00E911ED"/>
    <w:rsid w:val="00E91248"/>
    <w:rsid w:val="00E91286"/>
    <w:rsid w:val="00E912E4"/>
    <w:rsid w:val="00E912F5"/>
    <w:rsid w:val="00E91301"/>
    <w:rsid w:val="00E9134E"/>
    <w:rsid w:val="00E91376"/>
    <w:rsid w:val="00E91415"/>
    <w:rsid w:val="00E91421"/>
    <w:rsid w:val="00E91452"/>
    <w:rsid w:val="00E9146F"/>
    <w:rsid w:val="00E9148D"/>
    <w:rsid w:val="00E914FE"/>
    <w:rsid w:val="00E91500"/>
    <w:rsid w:val="00E9152C"/>
    <w:rsid w:val="00E9153F"/>
    <w:rsid w:val="00E91553"/>
    <w:rsid w:val="00E91590"/>
    <w:rsid w:val="00E915AB"/>
    <w:rsid w:val="00E915CD"/>
    <w:rsid w:val="00E91601"/>
    <w:rsid w:val="00E91614"/>
    <w:rsid w:val="00E9163C"/>
    <w:rsid w:val="00E9164E"/>
    <w:rsid w:val="00E9168B"/>
    <w:rsid w:val="00E9168D"/>
    <w:rsid w:val="00E916D2"/>
    <w:rsid w:val="00E916D9"/>
    <w:rsid w:val="00E91703"/>
    <w:rsid w:val="00E91716"/>
    <w:rsid w:val="00E91812"/>
    <w:rsid w:val="00E91816"/>
    <w:rsid w:val="00E9181B"/>
    <w:rsid w:val="00E9189F"/>
    <w:rsid w:val="00E918A8"/>
    <w:rsid w:val="00E918BE"/>
    <w:rsid w:val="00E918D0"/>
    <w:rsid w:val="00E9196F"/>
    <w:rsid w:val="00E91985"/>
    <w:rsid w:val="00E91A10"/>
    <w:rsid w:val="00E91A2E"/>
    <w:rsid w:val="00E91A6B"/>
    <w:rsid w:val="00E91A8E"/>
    <w:rsid w:val="00E91A92"/>
    <w:rsid w:val="00E91B22"/>
    <w:rsid w:val="00E91B2E"/>
    <w:rsid w:val="00E91B42"/>
    <w:rsid w:val="00E91BB1"/>
    <w:rsid w:val="00E91BCC"/>
    <w:rsid w:val="00E91BD4"/>
    <w:rsid w:val="00E91BD7"/>
    <w:rsid w:val="00E91C36"/>
    <w:rsid w:val="00E91C54"/>
    <w:rsid w:val="00E91C69"/>
    <w:rsid w:val="00E91CA1"/>
    <w:rsid w:val="00E91CA8"/>
    <w:rsid w:val="00E91DF8"/>
    <w:rsid w:val="00E91E13"/>
    <w:rsid w:val="00E91E14"/>
    <w:rsid w:val="00E91E23"/>
    <w:rsid w:val="00E91E2C"/>
    <w:rsid w:val="00E91E76"/>
    <w:rsid w:val="00E91E8F"/>
    <w:rsid w:val="00E91E94"/>
    <w:rsid w:val="00E91ED8"/>
    <w:rsid w:val="00E91F0A"/>
    <w:rsid w:val="00E91F1A"/>
    <w:rsid w:val="00E91F72"/>
    <w:rsid w:val="00E91F76"/>
    <w:rsid w:val="00E91F7A"/>
    <w:rsid w:val="00E91FE1"/>
    <w:rsid w:val="00E91FEA"/>
    <w:rsid w:val="00E91FFA"/>
    <w:rsid w:val="00E92012"/>
    <w:rsid w:val="00E920A6"/>
    <w:rsid w:val="00E920E5"/>
    <w:rsid w:val="00E92112"/>
    <w:rsid w:val="00E9215F"/>
    <w:rsid w:val="00E92164"/>
    <w:rsid w:val="00E921BD"/>
    <w:rsid w:val="00E921EE"/>
    <w:rsid w:val="00E9220D"/>
    <w:rsid w:val="00E9226F"/>
    <w:rsid w:val="00E922AD"/>
    <w:rsid w:val="00E922C1"/>
    <w:rsid w:val="00E92310"/>
    <w:rsid w:val="00E92315"/>
    <w:rsid w:val="00E92368"/>
    <w:rsid w:val="00E92492"/>
    <w:rsid w:val="00E92518"/>
    <w:rsid w:val="00E9251A"/>
    <w:rsid w:val="00E925F8"/>
    <w:rsid w:val="00E9267E"/>
    <w:rsid w:val="00E926C9"/>
    <w:rsid w:val="00E9271A"/>
    <w:rsid w:val="00E92751"/>
    <w:rsid w:val="00E92752"/>
    <w:rsid w:val="00E9276F"/>
    <w:rsid w:val="00E92797"/>
    <w:rsid w:val="00E927AE"/>
    <w:rsid w:val="00E927B0"/>
    <w:rsid w:val="00E927EA"/>
    <w:rsid w:val="00E9281D"/>
    <w:rsid w:val="00E92852"/>
    <w:rsid w:val="00E9288F"/>
    <w:rsid w:val="00E928A0"/>
    <w:rsid w:val="00E92933"/>
    <w:rsid w:val="00E9299C"/>
    <w:rsid w:val="00E929D1"/>
    <w:rsid w:val="00E92A2E"/>
    <w:rsid w:val="00E92A37"/>
    <w:rsid w:val="00E92A63"/>
    <w:rsid w:val="00E92A77"/>
    <w:rsid w:val="00E92A99"/>
    <w:rsid w:val="00E92B18"/>
    <w:rsid w:val="00E92BEA"/>
    <w:rsid w:val="00E92C0B"/>
    <w:rsid w:val="00E92C5A"/>
    <w:rsid w:val="00E92C5C"/>
    <w:rsid w:val="00E92CAB"/>
    <w:rsid w:val="00E92D1F"/>
    <w:rsid w:val="00E92D58"/>
    <w:rsid w:val="00E92D74"/>
    <w:rsid w:val="00E92DC0"/>
    <w:rsid w:val="00E92DC2"/>
    <w:rsid w:val="00E92F23"/>
    <w:rsid w:val="00E92F44"/>
    <w:rsid w:val="00E92F9D"/>
    <w:rsid w:val="00E92FDF"/>
    <w:rsid w:val="00E9301B"/>
    <w:rsid w:val="00E930A8"/>
    <w:rsid w:val="00E930CA"/>
    <w:rsid w:val="00E930DC"/>
    <w:rsid w:val="00E931F4"/>
    <w:rsid w:val="00E93291"/>
    <w:rsid w:val="00E9335D"/>
    <w:rsid w:val="00E93365"/>
    <w:rsid w:val="00E93392"/>
    <w:rsid w:val="00E933B1"/>
    <w:rsid w:val="00E933ED"/>
    <w:rsid w:val="00E934B4"/>
    <w:rsid w:val="00E934CA"/>
    <w:rsid w:val="00E93538"/>
    <w:rsid w:val="00E93596"/>
    <w:rsid w:val="00E935A4"/>
    <w:rsid w:val="00E935B5"/>
    <w:rsid w:val="00E935BA"/>
    <w:rsid w:val="00E935C1"/>
    <w:rsid w:val="00E9370A"/>
    <w:rsid w:val="00E93765"/>
    <w:rsid w:val="00E93800"/>
    <w:rsid w:val="00E93835"/>
    <w:rsid w:val="00E93837"/>
    <w:rsid w:val="00E9386C"/>
    <w:rsid w:val="00E938A4"/>
    <w:rsid w:val="00E93902"/>
    <w:rsid w:val="00E9390E"/>
    <w:rsid w:val="00E9394F"/>
    <w:rsid w:val="00E93976"/>
    <w:rsid w:val="00E9398A"/>
    <w:rsid w:val="00E93995"/>
    <w:rsid w:val="00E939BB"/>
    <w:rsid w:val="00E93A06"/>
    <w:rsid w:val="00E93A33"/>
    <w:rsid w:val="00E93A51"/>
    <w:rsid w:val="00E93A7B"/>
    <w:rsid w:val="00E93A8A"/>
    <w:rsid w:val="00E93AB3"/>
    <w:rsid w:val="00E93B39"/>
    <w:rsid w:val="00E93BB1"/>
    <w:rsid w:val="00E93BF9"/>
    <w:rsid w:val="00E93C01"/>
    <w:rsid w:val="00E93C2E"/>
    <w:rsid w:val="00E93C4B"/>
    <w:rsid w:val="00E93C5E"/>
    <w:rsid w:val="00E93CD1"/>
    <w:rsid w:val="00E93D07"/>
    <w:rsid w:val="00E93D18"/>
    <w:rsid w:val="00E93D2D"/>
    <w:rsid w:val="00E93DB8"/>
    <w:rsid w:val="00E93DC6"/>
    <w:rsid w:val="00E93DF5"/>
    <w:rsid w:val="00E93E7C"/>
    <w:rsid w:val="00E93ED3"/>
    <w:rsid w:val="00E93F0E"/>
    <w:rsid w:val="00E93F87"/>
    <w:rsid w:val="00E93FD4"/>
    <w:rsid w:val="00E94012"/>
    <w:rsid w:val="00E94054"/>
    <w:rsid w:val="00E94056"/>
    <w:rsid w:val="00E94063"/>
    <w:rsid w:val="00E9407B"/>
    <w:rsid w:val="00E94089"/>
    <w:rsid w:val="00E940F1"/>
    <w:rsid w:val="00E940F5"/>
    <w:rsid w:val="00E940FD"/>
    <w:rsid w:val="00E941C5"/>
    <w:rsid w:val="00E941DD"/>
    <w:rsid w:val="00E94202"/>
    <w:rsid w:val="00E94258"/>
    <w:rsid w:val="00E9429D"/>
    <w:rsid w:val="00E942A2"/>
    <w:rsid w:val="00E942AE"/>
    <w:rsid w:val="00E942C8"/>
    <w:rsid w:val="00E942D5"/>
    <w:rsid w:val="00E9432D"/>
    <w:rsid w:val="00E94359"/>
    <w:rsid w:val="00E9437B"/>
    <w:rsid w:val="00E943A7"/>
    <w:rsid w:val="00E94424"/>
    <w:rsid w:val="00E94440"/>
    <w:rsid w:val="00E94445"/>
    <w:rsid w:val="00E9449F"/>
    <w:rsid w:val="00E944BF"/>
    <w:rsid w:val="00E944E0"/>
    <w:rsid w:val="00E94516"/>
    <w:rsid w:val="00E9457C"/>
    <w:rsid w:val="00E945D1"/>
    <w:rsid w:val="00E945E6"/>
    <w:rsid w:val="00E9461F"/>
    <w:rsid w:val="00E94635"/>
    <w:rsid w:val="00E94675"/>
    <w:rsid w:val="00E946A1"/>
    <w:rsid w:val="00E946A4"/>
    <w:rsid w:val="00E946CF"/>
    <w:rsid w:val="00E946F4"/>
    <w:rsid w:val="00E94708"/>
    <w:rsid w:val="00E94724"/>
    <w:rsid w:val="00E94741"/>
    <w:rsid w:val="00E94745"/>
    <w:rsid w:val="00E94749"/>
    <w:rsid w:val="00E947A3"/>
    <w:rsid w:val="00E947C6"/>
    <w:rsid w:val="00E947DD"/>
    <w:rsid w:val="00E94811"/>
    <w:rsid w:val="00E9483C"/>
    <w:rsid w:val="00E94870"/>
    <w:rsid w:val="00E9490D"/>
    <w:rsid w:val="00E94915"/>
    <w:rsid w:val="00E94964"/>
    <w:rsid w:val="00E94987"/>
    <w:rsid w:val="00E949EC"/>
    <w:rsid w:val="00E94A0A"/>
    <w:rsid w:val="00E94A12"/>
    <w:rsid w:val="00E94A1F"/>
    <w:rsid w:val="00E94A41"/>
    <w:rsid w:val="00E94A59"/>
    <w:rsid w:val="00E94ABC"/>
    <w:rsid w:val="00E94AF3"/>
    <w:rsid w:val="00E94B28"/>
    <w:rsid w:val="00E94B37"/>
    <w:rsid w:val="00E94B53"/>
    <w:rsid w:val="00E94BD6"/>
    <w:rsid w:val="00E94BEF"/>
    <w:rsid w:val="00E94C68"/>
    <w:rsid w:val="00E94C87"/>
    <w:rsid w:val="00E94CD6"/>
    <w:rsid w:val="00E94D21"/>
    <w:rsid w:val="00E94D2B"/>
    <w:rsid w:val="00E94D86"/>
    <w:rsid w:val="00E94DBD"/>
    <w:rsid w:val="00E94DE2"/>
    <w:rsid w:val="00E94DF9"/>
    <w:rsid w:val="00E94E5D"/>
    <w:rsid w:val="00E94EA7"/>
    <w:rsid w:val="00E94EAF"/>
    <w:rsid w:val="00E94EC1"/>
    <w:rsid w:val="00E94F14"/>
    <w:rsid w:val="00E94F83"/>
    <w:rsid w:val="00E9501E"/>
    <w:rsid w:val="00E95027"/>
    <w:rsid w:val="00E9503F"/>
    <w:rsid w:val="00E95074"/>
    <w:rsid w:val="00E950A4"/>
    <w:rsid w:val="00E950D5"/>
    <w:rsid w:val="00E950FF"/>
    <w:rsid w:val="00E95110"/>
    <w:rsid w:val="00E9516B"/>
    <w:rsid w:val="00E95177"/>
    <w:rsid w:val="00E95194"/>
    <w:rsid w:val="00E95195"/>
    <w:rsid w:val="00E951F2"/>
    <w:rsid w:val="00E951FB"/>
    <w:rsid w:val="00E952D3"/>
    <w:rsid w:val="00E952DA"/>
    <w:rsid w:val="00E9531D"/>
    <w:rsid w:val="00E9533A"/>
    <w:rsid w:val="00E9533F"/>
    <w:rsid w:val="00E95379"/>
    <w:rsid w:val="00E9539C"/>
    <w:rsid w:val="00E953B3"/>
    <w:rsid w:val="00E953D6"/>
    <w:rsid w:val="00E953DD"/>
    <w:rsid w:val="00E953EF"/>
    <w:rsid w:val="00E95408"/>
    <w:rsid w:val="00E9547D"/>
    <w:rsid w:val="00E954C1"/>
    <w:rsid w:val="00E954F5"/>
    <w:rsid w:val="00E95537"/>
    <w:rsid w:val="00E955A3"/>
    <w:rsid w:val="00E955EA"/>
    <w:rsid w:val="00E95630"/>
    <w:rsid w:val="00E9564F"/>
    <w:rsid w:val="00E95655"/>
    <w:rsid w:val="00E95658"/>
    <w:rsid w:val="00E9578B"/>
    <w:rsid w:val="00E957C7"/>
    <w:rsid w:val="00E957EB"/>
    <w:rsid w:val="00E9585F"/>
    <w:rsid w:val="00E958AB"/>
    <w:rsid w:val="00E95908"/>
    <w:rsid w:val="00E9591A"/>
    <w:rsid w:val="00E9594C"/>
    <w:rsid w:val="00E959A9"/>
    <w:rsid w:val="00E959AF"/>
    <w:rsid w:val="00E95A27"/>
    <w:rsid w:val="00E95A29"/>
    <w:rsid w:val="00E95AC3"/>
    <w:rsid w:val="00E95B08"/>
    <w:rsid w:val="00E95B14"/>
    <w:rsid w:val="00E95B76"/>
    <w:rsid w:val="00E95B80"/>
    <w:rsid w:val="00E95B9F"/>
    <w:rsid w:val="00E95BA7"/>
    <w:rsid w:val="00E95BCE"/>
    <w:rsid w:val="00E95BF2"/>
    <w:rsid w:val="00E95C36"/>
    <w:rsid w:val="00E95C63"/>
    <w:rsid w:val="00E95C69"/>
    <w:rsid w:val="00E95C96"/>
    <w:rsid w:val="00E95CE0"/>
    <w:rsid w:val="00E95CE7"/>
    <w:rsid w:val="00E95CF0"/>
    <w:rsid w:val="00E95D0E"/>
    <w:rsid w:val="00E95D28"/>
    <w:rsid w:val="00E95D98"/>
    <w:rsid w:val="00E95DD2"/>
    <w:rsid w:val="00E95E22"/>
    <w:rsid w:val="00E95EB8"/>
    <w:rsid w:val="00E95F0E"/>
    <w:rsid w:val="00E95F29"/>
    <w:rsid w:val="00E95F2E"/>
    <w:rsid w:val="00E95F44"/>
    <w:rsid w:val="00E95F4E"/>
    <w:rsid w:val="00E95F7B"/>
    <w:rsid w:val="00E95F84"/>
    <w:rsid w:val="00E95FAE"/>
    <w:rsid w:val="00E95FEA"/>
    <w:rsid w:val="00E960AE"/>
    <w:rsid w:val="00E9613C"/>
    <w:rsid w:val="00E96192"/>
    <w:rsid w:val="00E961CD"/>
    <w:rsid w:val="00E961D0"/>
    <w:rsid w:val="00E961DA"/>
    <w:rsid w:val="00E9620B"/>
    <w:rsid w:val="00E9625E"/>
    <w:rsid w:val="00E96277"/>
    <w:rsid w:val="00E96282"/>
    <w:rsid w:val="00E962D0"/>
    <w:rsid w:val="00E96329"/>
    <w:rsid w:val="00E9633B"/>
    <w:rsid w:val="00E9635A"/>
    <w:rsid w:val="00E9636B"/>
    <w:rsid w:val="00E96372"/>
    <w:rsid w:val="00E96410"/>
    <w:rsid w:val="00E9644D"/>
    <w:rsid w:val="00E9648A"/>
    <w:rsid w:val="00E964AE"/>
    <w:rsid w:val="00E964E9"/>
    <w:rsid w:val="00E9658E"/>
    <w:rsid w:val="00E9659A"/>
    <w:rsid w:val="00E96623"/>
    <w:rsid w:val="00E9666B"/>
    <w:rsid w:val="00E966B4"/>
    <w:rsid w:val="00E966D2"/>
    <w:rsid w:val="00E966D7"/>
    <w:rsid w:val="00E966FE"/>
    <w:rsid w:val="00E96700"/>
    <w:rsid w:val="00E96710"/>
    <w:rsid w:val="00E96781"/>
    <w:rsid w:val="00E96841"/>
    <w:rsid w:val="00E96893"/>
    <w:rsid w:val="00E968A1"/>
    <w:rsid w:val="00E968B9"/>
    <w:rsid w:val="00E9690F"/>
    <w:rsid w:val="00E96918"/>
    <w:rsid w:val="00E96929"/>
    <w:rsid w:val="00E96935"/>
    <w:rsid w:val="00E9693E"/>
    <w:rsid w:val="00E96960"/>
    <w:rsid w:val="00E9696C"/>
    <w:rsid w:val="00E96981"/>
    <w:rsid w:val="00E969AE"/>
    <w:rsid w:val="00E96ADF"/>
    <w:rsid w:val="00E96B38"/>
    <w:rsid w:val="00E96B76"/>
    <w:rsid w:val="00E96B9C"/>
    <w:rsid w:val="00E96BA7"/>
    <w:rsid w:val="00E96BAE"/>
    <w:rsid w:val="00E96C05"/>
    <w:rsid w:val="00E96C81"/>
    <w:rsid w:val="00E96C97"/>
    <w:rsid w:val="00E96D09"/>
    <w:rsid w:val="00E96D82"/>
    <w:rsid w:val="00E96DF2"/>
    <w:rsid w:val="00E96DF8"/>
    <w:rsid w:val="00E96E01"/>
    <w:rsid w:val="00E96E0B"/>
    <w:rsid w:val="00E96E15"/>
    <w:rsid w:val="00E96E1C"/>
    <w:rsid w:val="00E96E43"/>
    <w:rsid w:val="00E96E4E"/>
    <w:rsid w:val="00E96E58"/>
    <w:rsid w:val="00E96E99"/>
    <w:rsid w:val="00E96F46"/>
    <w:rsid w:val="00E96F6B"/>
    <w:rsid w:val="00E96F85"/>
    <w:rsid w:val="00E96FC4"/>
    <w:rsid w:val="00E96FC5"/>
    <w:rsid w:val="00E96FCD"/>
    <w:rsid w:val="00E96FED"/>
    <w:rsid w:val="00E97020"/>
    <w:rsid w:val="00E97028"/>
    <w:rsid w:val="00E9702A"/>
    <w:rsid w:val="00E97053"/>
    <w:rsid w:val="00E97092"/>
    <w:rsid w:val="00E970B2"/>
    <w:rsid w:val="00E97101"/>
    <w:rsid w:val="00E97140"/>
    <w:rsid w:val="00E971EE"/>
    <w:rsid w:val="00E9727A"/>
    <w:rsid w:val="00E9729B"/>
    <w:rsid w:val="00E972AB"/>
    <w:rsid w:val="00E972C6"/>
    <w:rsid w:val="00E9733B"/>
    <w:rsid w:val="00E97350"/>
    <w:rsid w:val="00E973E2"/>
    <w:rsid w:val="00E97469"/>
    <w:rsid w:val="00E974D5"/>
    <w:rsid w:val="00E974FC"/>
    <w:rsid w:val="00E97511"/>
    <w:rsid w:val="00E97546"/>
    <w:rsid w:val="00E9756D"/>
    <w:rsid w:val="00E975A0"/>
    <w:rsid w:val="00E975CE"/>
    <w:rsid w:val="00E975DC"/>
    <w:rsid w:val="00E9763B"/>
    <w:rsid w:val="00E9768D"/>
    <w:rsid w:val="00E976B8"/>
    <w:rsid w:val="00E976FA"/>
    <w:rsid w:val="00E97744"/>
    <w:rsid w:val="00E97782"/>
    <w:rsid w:val="00E977BE"/>
    <w:rsid w:val="00E977CA"/>
    <w:rsid w:val="00E977CD"/>
    <w:rsid w:val="00E977DF"/>
    <w:rsid w:val="00E977E3"/>
    <w:rsid w:val="00E9786A"/>
    <w:rsid w:val="00E97887"/>
    <w:rsid w:val="00E9789E"/>
    <w:rsid w:val="00E9798C"/>
    <w:rsid w:val="00E979A2"/>
    <w:rsid w:val="00E979C2"/>
    <w:rsid w:val="00E97A33"/>
    <w:rsid w:val="00E97A5E"/>
    <w:rsid w:val="00E97A8A"/>
    <w:rsid w:val="00E97AA3"/>
    <w:rsid w:val="00E97ADE"/>
    <w:rsid w:val="00E97B05"/>
    <w:rsid w:val="00E97B37"/>
    <w:rsid w:val="00E97B8E"/>
    <w:rsid w:val="00E97B8F"/>
    <w:rsid w:val="00E97BE8"/>
    <w:rsid w:val="00E97C32"/>
    <w:rsid w:val="00E97C36"/>
    <w:rsid w:val="00E97C38"/>
    <w:rsid w:val="00E97C3C"/>
    <w:rsid w:val="00E97C8D"/>
    <w:rsid w:val="00E97C95"/>
    <w:rsid w:val="00E97CAA"/>
    <w:rsid w:val="00E97D48"/>
    <w:rsid w:val="00E97D64"/>
    <w:rsid w:val="00E97D98"/>
    <w:rsid w:val="00E97DD2"/>
    <w:rsid w:val="00E97DE2"/>
    <w:rsid w:val="00E97DE3"/>
    <w:rsid w:val="00E97E0E"/>
    <w:rsid w:val="00E97E7C"/>
    <w:rsid w:val="00E97E95"/>
    <w:rsid w:val="00E97EC2"/>
    <w:rsid w:val="00E97F3D"/>
    <w:rsid w:val="00E97F9D"/>
    <w:rsid w:val="00E97FA5"/>
    <w:rsid w:val="00E97FCE"/>
    <w:rsid w:val="00E97FF1"/>
    <w:rsid w:val="00E97FFB"/>
    <w:rsid w:val="00EA001B"/>
    <w:rsid w:val="00EA004C"/>
    <w:rsid w:val="00EA006C"/>
    <w:rsid w:val="00EA0079"/>
    <w:rsid w:val="00EA009B"/>
    <w:rsid w:val="00EA00E0"/>
    <w:rsid w:val="00EA0131"/>
    <w:rsid w:val="00EA0147"/>
    <w:rsid w:val="00EA0148"/>
    <w:rsid w:val="00EA018E"/>
    <w:rsid w:val="00EA0269"/>
    <w:rsid w:val="00EA0274"/>
    <w:rsid w:val="00EA0299"/>
    <w:rsid w:val="00EA02E3"/>
    <w:rsid w:val="00EA02FB"/>
    <w:rsid w:val="00EA0312"/>
    <w:rsid w:val="00EA0333"/>
    <w:rsid w:val="00EA033D"/>
    <w:rsid w:val="00EA038A"/>
    <w:rsid w:val="00EA03AA"/>
    <w:rsid w:val="00EA03D0"/>
    <w:rsid w:val="00EA03D2"/>
    <w:rsid w:val="00EA0444"/>
    <w:rsid w:val="00EA044A"/>
    <w:rsid w:val="00EA0454"/>
    <w:rsid w:val="00EA0492"/>
    <w:rsid w:val="00EA04A1"/>
    <w:rsid w:val="00EA04BA"/>
    <w:rsid w:val="00EA04BB"/>
    <w:rsid w:val="00EA050F"/>
    <w:rsid w:val="00EA056C"/>
    <w:rsid w:val="00EA05AC"/>
    <w:rsid w:val="00EA05B4"/>
    <w:rsid w:val="00EA05D2"/>
    <w:rsid w:val="00EA0609"/>
    <w:rsid w:val="00EA0624"/>
    <w:rsid w:val="00EA0646"/>
    <w:rsid w:val="00EA066D"/>
    <w:rsid w:val="00EA06C1"/>
    <w:rsid w:val="00EA06D8"/>
    <w:rsid w:val="00EA06F2"/>
    <w:rsid w:val="00EA073C"/>
    <w:rsid w:val="00EA074B"/>
    <w:rsid w:val="00EA0776"/>
    <w:rsid w:val="00EA07A3"/>
    <w:rsid w:val="00EA07B2"/>
    <w:rsid w:val="00EA07E9"/>
    <w:rsid w:val="00EA082B"/>
    <w:rsid w:val="00EA0879"/>
    <w:rsid w:val="00EA08A8"/>
    <w:rsid w:val="00EA08AD"/>
    <w:rsid w:val="00EA08BE"/>
    <w:rsid w:val="00EA08C7"/>
    <w:rsid w:val="00EA08E0"/>
    <w:rsid w:val="00EA08FF"/>
    <w:rsid w:val="00EA0919"/>
    <w:rsid w:val="00EA0924"/>
    <w:rsid w:val="00EA0942"/>
    <w:rsid w:val="00EA09C0"/>
    <w:rsid w:val="00EA09F5"/>
    <w:rsid w:val="00EA09F9"/>
    <w:rsid w:val="00EA0A1E"/>
    <w:rsid w:val="00EA0A4F"/>
    <w:rsid w:val="00EA0A52"/>
    <w:rsid w:val="00EA0A62"/>
    <w:rsid w:val="00EA0A6B"/>
    <w:rsid w:val="00EA0AC6"/>
    <w:rsid w:val="00EA0AD3"/>
    <w:rsid w:val="00EA0B0B"/>
    <w:rsid w:val="00EA0B3B"/>
    <w:rsid w:val="00EA0B52"/>
    <w:rsid w:val="00EA0B81"/>
    <w:rsid w:val="00EA0B82"/>
    <w:rsid w:val="00EA0B8E"/>
    <w:rsid w:val="00EA0BCA"/>
    <w:rsid w:val="00EA0BFB"/>
    <w:rsid w:val="00EA0C00"/>
    <w:rsid w:val="00EA0CC3"/>
    <w:rsid w:val="00EA0CC6"/>
    <w:rsid w:val="00EA0E1F"/>
    <w:rsid w:val="00EA0E37"/>
    <w:rsid w:val="00EA0E8D"/>
    <w:rsid w:val="00EA0E94"/>
    <w:rsid w:val="00EA0EA9"/>
    <w:rsid w:val="00EA0EBB"/>
    <w:rsid w:val="00EA0F06"/>
    <w:rsid w:val="00EA1063"/>
    <w:rsid w:val="00EA10A6"/>
    <w:rsid w:val="00EA1112"/>
    <w:rsid w:val="00EA1139"/>
    <w:rsid w:val="00EA1177"/>
    <w:rsid w:val="00EA1197"/>
    <w:rsid w:val="00EA11E3"/>
    <w:rsid w:val="00EA1218"/>
    <w:rsid w:val="00EA1230"/>
    <w:rsid w:val="00EA1243"/>
    <w:rsid w:val="00EA12A1"/>
    <w:rsid w:val="00EA12A7"/>
    <w:rsid w:val="00EA12FC"/>
    <w:rsid w:val="00EA12FD"/>
    <w:rsid w:val="00EA1310"/>
    <w:rsid w:val="00EA1346"/>
    <w:rsid w:val="00EA139E"/>
    <w:rsid w:val="00EA13A5"/>
    <w:rsid w:val="00EA13D1"/>
    <w:rsid w:val="00EA13F0"/>
    <w:rsid w:val="00EA1458"/>
    <w:rsid w:val="00EA14AD"/>
    <w:rsid w:val="00EA14E4"/>
    <w:rsid w:val="00EA150C"/>
    <w:rsid w:val="00EA1524"/>
    <w:rsid w:val="00EA1527"/>
    <w:rsid w:val="00EA1536"/>
    <w:rsid w:val="00EA156B"/>
    <w:rsid w:val="00EA1582"/>
    <w:rsid w:val="00EA15AD"/>
    <w:rsid w:val="00EA15E0"/>
    <w:rsid w:val="00EA1639"/>
    <w:rsid w:val="00EA171D"/>
    <w:rsid w:val="00EA1798"/>
    <w:rsid w:val="00EA17D5"/>
    <w:rsid w:val="00EA1811"/>
    <w:rsid w:val="00EA182D"/>
    <w:rsid w:val="00EA18E6"/>
    <w:rsid w:val="00EA1986"/>
    <w:rsid w:val="00EA199E"/>
    <w:rsid w:val="00EA19EF"/>
    <w:rsid w:val="00EA19F3"/>
    <w:rsid w:val="00EA1A16"/>
    <w:rsid w:val="00EA1A56"/>
    <w:rsid w:val="00EA1A59"/>
    <w:rsid w:val="00EA1A9D"/>
    <w:rsid w:val="00EA1AA0"/>
    <w:rsid w:val="00EA1ABC"/>
    <w:rsid w:val="00EA1AE3"/>
    <w:rsid w:val="00EA1B5E"/>
    <w:rsid w:val="00EA1BA1"/>
    <w:rsid w:val="00EA1BD5"/>
    <w:rsid w:val="00EA1C68"/>
    <w:rsid w:val="00EA1CA2"/>
    <w:rsid w:val="00EA1CA3"/>
    <w:rsid w:val="00EA1CA6"/>
    <w:rsid w:val="00EA1CAD"/>
    <w:rsid w:val="00EA1D62"/>
    <w:rsid w:val="00EA1D8F"/>
    <w:rsid w:val="00EA1DE1"/>
    <w:rsid w:val="00EA1DF6"/>
    <w:rsid w:val="00EA1E59"/>
    <w:rsid w:val="00EA1E8D"/>
    <w:rsid w:val="00EA1FC5"/>
    <w:rsid w:val="00EA1FD4"/>
    <w:rsid w:val="00EA1FDD"/>
    <w:rsid w:val="00EA1FE3"/>
    <w:rsid w:val="00EA1FF5"/>
    <w:rsid w:val="00EA2055"/>
    <w:rsid w:val="00EA2070"/>
    <w:rsid w:val="00EA20BA"/>
    <w:rsid w:val="00EA210B"/>
    <w:rsid w:val="00EA2173"/>
    <w:rsid w:val="00EA2222"/>
    <w:rsid w:val="00EA222F"/>
    <w:rsid w:val="00EA2271"/>
    <w:rsid w:val="00EA22F3"/>
    <w:rsid w:val="00EA22FC"/>
    <w:rsid w:val="00EA2325"/>
    <w:rsid w:val="00EA236B"/>
    <w:rsid w:val="00EA2373"/>
    <w:rsid w:val="00EA23F1"/>
    <w:rsid w:val="00EA2433"/>
    <w:rsid w:val="00EA24C2"/>
    <w:rsid w:val="00EA24FF"/>
    <w:rsid w:val="00EA2510"/>
    <w:rsid w:val="00EA2524"/>
    <w:rsid w:val="00EA2527"/>
    <w:rsid w:val="00EA252A"/>
    <w:rsid w:val="00EA256B"/>
    <w:rsid w:val="00EA2586"/>
    <w:rsid w:val="00EA258A"/>
    <w:rsid w:val="00EA2603"/>
    <w:rsid w:val="00EA2604"/>
    <w:rsid w:val="00EA2676"/>
    <w:rsid w:val="00EA2692"/>
    <w:rsid w:val="00EA26A1"/>
    <w:rsid w:val="00EA26BC"/>
    <w:rsid w:val="00EA26ED"/>
    <w:rsid w:val="00EA2711"/>
    <w:rsid w:val="00EA2719"/>
    <w:rsid w:val="00EA2730"/>
    <w:rsid w:val="00EA274C"/>
    <w:rsid w:val="00EA2751"/>
    <w:rsid w:val="00EA275D"/>
    <w:rsid w:val="00EA276E"/>
    <w:rsid w:val="00EA2775"/>
    <w:rsid w:val="00EA287D"/>
    <w:rsid w:val="00EA28C0"/>
    <w:rsid w:val="00EA28DB"/>
    <w:rsid w:val="00EA292B"/>
    <w:rsid w:val="00EA2994"/>
    <w:rsid w:val="00EA2A09"/>
    <w:rsid w:val="00EA2A29"/>
    <w:rsid w:val="00EA2A92"/>
    <w:rsid w:val="00EA2B52"/>
    <w:rsid w:val="00EA2B8C"/>
    <w:rsid w:val="00EA2BE5"/>
    <w:rsid w:val="00EA2C0B"/>
    <w:rsid w:val="00EA2C57"/>
    <w:rsid w:val="00EA2C70"/>
    <w:rsid w:val="00EA2C7B"/>
    <w:rsid w:val="00EA2C8E"/>
    <w:rsid w:val="00EA2D50"/>
    <w:rsid w:val="00EA2D5D"/>
    <w:rsid w:val="00EA2DC3"/>
    <w:rsid w:val="00EA2DFC"/>
    <w:rsid w:val="00EA2E85"/>
    <w:rsid w:val="00EA2E96"/>
    <w:rsid w:val="00EA2FD7"/>
    <w:rsid w:val="00EA3011"/>
    <w:rsid w:val="00EA3070"/>
    <w:rsid w:val="00EA30E4"/>
    <w:rsid w:val="00EA311D"/>
    <w:rsid w:val="00EA3195"/>
    <w:rsid w:val="00EA320E"/>
    <w:rsid w:val="00EA3215"/>
    <w:rsid w:val="00EA3242"/>
    <w:rsid w:val="00EA324B"/>
    <w:rsid w:val="00EA327B"/>
    <w:rsid w:val="00EA3291"/>
    <w:rsid w:val="00EA3338"/>
    <w:rsid w:val="00EA3349"/>
    <w:rsid w:val="00EA334A"/>
    <w:rsid w:val="00EA3465"/>
    <w:rsid w:val="00EA346A"/>
    <w:rsid w:val="00EA349B"/>
    <w:rsid w:val="00EA34AA"/>
    <w:rsid w:val="00EA34BA"/>
    <w:rsid w:val="00EA34F8"/>
    <w:rsid w:val="00EA352A"/>
    <w:rsid w:val="00EA3540"/>
    <w:rsid w:val="00EA3573"/>
    <w:rsid w:val="00EA36BA"/>
    <w:rsid w:val="00EA36E1"/>
    <w:rsid w:val="00EA36EC"/>
    <w:rsid w:val="00EA36ED"/>
    <w:rsid w:val="00EA3790"/>
    <w:rsid w:val="00EA37DE"/>
    <w:rsid w:val="00EA37F5"/>
    <w:rsid w:val="00EA3861"/>
    <w:rsid w:val="00EA38BE"/>
    <w:rsid w:val="00EA38DD"/>
    <w:rsid w:val="00EA3956"/>
    <w:rsid w:val="00EA39EC"/>
    <w:rsid w:val="00EA39F6"/>
    <w:rsid w:val="00EA3A08"/>
    <w:rsid w:val="00EA3A53"/>
    <w:rsid w:val="00EA3A66"/>
    <w:rsid w:val="00EA3A82"/>
    <w:rsid w:val="00EA3AB4"/>
    <w:rsid w:val="00EA3AFB"/>
    <w:rsid w:val="00EA3B32"/>
    <w:rsid w:val="00EA3B42"/>
    <w:rsid w:val="00EA3B6E"/>
    <w:rsid w:val="00EA3BB4"/>
    <w:rsid w:val="00EA3BC0"/>
    <w:rsid w:val="00EA3CA2"/>
    <w:rsid w:val="00EA3CF2"/>
    <w:rsid w:val="00EA3D1E"/>
    <w:rsid w:val="00EA3D2A"/>
    <w:rsid w:val="00EA3D2B"/>
    <w:rsid w:val="00EA3D81"/>
    <w:rsid w:val="00EA3DC7"/>
    <w:rsid w:val="00EA3DDE"/>
    <w:rsid w:val="00EA3E1D"/>
    <w:rsid w:val="00EA3E20"/>
    <w:rsid w:val="00EA3E45"/>
    <w:rsid w:val="00EA3E4A"/>
    <w:rsid w:val="00EA3E90"/>
    <w:rsid w:val="00EA3EB4"/>
    <w:rsid w:val="00EA3ECB"/>
    <w:rsid w:val="00EA3F48"/>
    <w:rsid w:val="00EA3FA2"/>
    <w:rsid w:val="00EA3FC0"/>
    <w:rsid w:val="00EA3FE0"/>
    <w:rsid w:val="00EA4034"/>
    <w:rsid w:val="00EA4096"/>
    <w:rsid w:val="00EA409E"/>
    <w:rsid w:val="00EA40B9"/>
    <w:rsid w:val="00EA40BD"/>
    <w:rsid w:val="00EA4165"/>
    <w:rsid w:val="00EA4169"/>
    <w:rsid w:val="00EA41AD"/>
    <w:rsid w:val="00EA41D2"/>
    <w:rsid w:val="00EA41F8"/>
    <w:rsid w:val="00EA4200"/>
    <w:rsid w:val="00EA4277"/>
    <w:rsid w:val="00EA428F"/>
    <w:rsid w:val="00EA42DC"/>
    <w:rsid w:val="00EA4305"/>
    <w:rsid w:val="00EA430E"/>
    <w:rsid w:val="00EA43C7"/>
    <w:rsid w:val="00EA43D8"/>
    <w:rsid w:val="00EA4404"/>
    <w:rsid w:val="00EA445D"/>
    <w:rsid w:val="00EA448E"/>
    <w:rsid w:val="00EA450E"/>
    <w:rsid w:val="00EA4529"/>
    <w:rsid w:val="00EA4558"/>
    <w:rsid w:val="00EA456D"/>
    <w:rsid w:val="00EA45BA"/>
    <w:rsid w:val="00EA45C5"/>
    <w:rsid w:val="00EA4628"/>
    <w:rsid w:val="00EA464B"/>
    <w:rsid w:val="00EA46A7"/>
    <w:rsid w:val="00EA46AE"/>
    <w:rsid w:val="00EA46F0"/>
    <w:rsid w:val="00EA46FF"/>
    <w:rsid w:val="00EA4714"/>
    <w:rsid w:val="00EA4730"/>
    <w:rsid w:val="00EA4764"/>
    <w:rsid w:val="00EA476D"/>
    <w:rsid w:val="00EA47A7"/>
    <w:rsid w:val="00EA47C7"/>
    <w:rsid w:val="00EA47D6"/>
    <w:rsid w:val="00EA47DC"/>
    <w:rsid w:val="00EA47E0"/>
    <w:rsid w:val="00EA47F8"/>
    <w:rsid w:val="00EA4816"/>
    <w:rsid w:val="00EA488F"/>
    <w:rsid w:val="00EA48E7"/>
    <w:rsid w:val="00EA48F6"/>
    <w:rsid w:val="00EA492B"/>
    <w:rsid w:val="00EA496D"/>
    <w:rsid w:val="00EA4976"/>
    <w:rsid w:val="00EA49A3"/>
    <w:rsid w:val="00EA49C1"/>
    <w:rsid w:val="00EA4A51"/>
    <w:rsid w:val="00EA4A87"/>
    <w:rsid w:val="00EA4A8C"/>
    <w:rsid w:val="00EA4B01"/>
    <w:rsid w:val="00EA4B44"/>
    <w:rsid w:val="00EA4B59"/>
    <w:rsid w:val="00EA4B70"/>
    <w:rsid w:val="00EA4B80"/>
    <w:rsid w:val="00EA4B88"/>
    <w:rsid w:val="00EA4BCC"/>
    <w:rsid w:val="00EA4BE6"/>
    <w:rsid w:val="00EA4C12"/>
    <w:rsid w:val="00EA4C16"/>
    <w:rsid w:val="00EA4C1C"/>
    <w:rsid w:val="00EA4C5B"/>
    <w:rsid w:val="00EA4CB4"/>
    <w:rsid w:val="00EA4D1F"/>
    <w:rsid w:val="00EA4D98"/>
    <w:rsid w:val="00EA4E80"/>
    <w:rsid w:val="00EA4E81"/>
    <w:rsid w:val="00EA4EC5"/>
    <w:rsid w:val="00EA4EEC"/>
    <w:rsid w:val="00EA4EF2"/>
    <w:rsid w:val="00EA4F0B"/>
    <w:rsid w:val="00EA4F17"/>
    <w:rsid w:val="00EA4F1A"/>
    <w:rsid w:val="00EA4F1B"/>
    <w:rsid w:val="00EA500D"/>
    <w:rsid w:val="00EA5035"/>
    <w:rsid w:val="00EA5052"/>
    <w:rsid w:val="00EA5056"/>
    <w:rsid w:val="00EA5069"/>
    <w:rsid w:val="00EA510A"/>
    <w:rsid w:val="00EA510F"/>
    <w:rsid w:val="00EA5115"/>
    <w:rsid w:val="00EA5121"/>
    <w:rsid w:val="00EA516D"/>
    <w:rsid w:val="00EA5188"/>
    <w:rsid w:val="00EA51A0"/>
    <w:rsid w:val="00EA51F7"/>
    <w:rsid w:val="00EA5200"/>
    <w:rsid w:val="00EA5255"/>
    <w:rsid w:val="00EA5261"/>
    <w:rsid w:val="00EA52CB"/>
    <w:rsid w:val="00EA52D7"/>
    <w:rsid w:val="00EA5343"/>
    <w:rsid w:val="00EA5353"/>
    <w:rsid w:val="00EA5383"/>
    <w:rsid w:val="00EA53A9"/>
    <w:rsid w:val="00EA53F7"/>
    <w:rsid w:val="00EA5419"/>
    <w:rsid w:val="00EA5424"/>
    <w:rsid w:val="00EA5450"/>
    <w:rsid w:val="00EA546A"/>
    <w:rsid w:val="00EA547A"/>
    <w:rsid w:val="00EA549D"/>
    <w:rsid w:val="00EA54F4"/>
    <w:rsid w:val="00EA5513"/>
    <w:rsid w:val="00EA555A"/>
    <w:rsid w:val="00EA55B7"/>
    <w:rsid w:val="00EA5601"/>
    <w:rsid w:val="00EA560E"/>
    <w:rsid w:val="00EA5612"/>
    <w:rsid w:val="00EA5674"/>
    <w:rsid w:val="00EA5708"/>
    <w:rsid w:val="00EA570C"/>
    <w:rsid w:val="00EA572F"/>
    <w:rsid w:val="00EA5757"/>
    <w:rsid w:val="00EA57C1"/>
    <w:rsid w:val="00EA57D2"/>
    <w:rsid w:val="00EA57DF"/>
    <w:rsid w:val="00EA5804"/>
    <w:rsid w:val="00EA585C"/>
    <w:rsid w:val="00EA586C"/>
    <w:rsid w:val="00EA58EF"/>
    <w:rsid w:val="00EA58F7"/>
    <w:rsid w:val="00EA5959"/>
    <w:rsid w:val="00EA59CD"/>
    <w:rsid w:val="00EA5A1A"/>
    <w:rsid w:val="00EA5A20"/>
    <w:rsid w:val="00EA5A4A"/>
    <w:rsid w:val="00EA5A72"/>
    <w:rsid w:val="00EA5A9C"/>
    <w:rsid w:val="00EA5AA5"/>
    <w:rsid w:val="00EA5ABA"/>
    <w:rsid w:val="00EA5BD9"/>
    <w:rsid w:val="00EA5BDF"/>
    <w:rsid w:val="00EA5BEA"/>
    <w:rsid w:val="00EA5C1E"/>
    <w:rsid w:val="00EA5C71"/>
    <w:rsid w:val="00EA5C97"/>
    <w:rsid w:val="00EA5D15"/>
    <w:rsid w:val="00EA5D25"/>
    <w:rsid w:val="00EA5D67"/>
    <w:rsid w:val="00EA5D81"/>
    <w:rsid w:val="00EA5D85"/>
    <w:rsid w:val="00EA5DB7"/>
    <w:rsid w:val="00EA5DD0"/>
    <w:rsid w:val="00EA5DD7"/>
    <w:rsid w:val="00EA5E0D"/>
    <w:rsid w:val="00EA5E2C"/>
    <w:rsid w:val="00EA5E2D"/>
    <w:rsid w:val="00EA5E51"/>
    <w:rsid w:val="00EA5E77"/>
    <w:rsid w:val="00EA5EEE"/>
    <w:rsid w:val="00EA5EF6"/>
    <w:rsid w:val="00EA5F44"/>
    <w:rsid w:val="00EA5F73"/>
    <w:rsid w:val="00EA6030"/>
    <w:rsid w:val="00EA6068"/>
    <w:rsid w:val="00EA60C1"/>
    <w:rsid w:val="00EA60D5"/>
    <w:rsid w:val="00EA60EB"/>
    <w:rsid w:val="00EA6176"/>
    <w:rsid w:val="00EA61A9"/>
    <w:rsid w:val="00EA6213"/>
    <w:rsid w:val="00EA62E3"/>
    <w:rsid w:val="00EA6325"/>
    <w:rsid w:val="00EA632F"/>
    <w:rsid w:val="00EA634B"/>
    <w:rsid w:val="00EA6395"/>
    <w:rsid w:val="00EA63B8"/>
    <w:rsid w:val="00EA63D6"/>
    <w:rsid w:val="00EA640C"/>
    <w:rsid w:val="00EA6431"/>
    <w:rsid w:val="00EA649D"/>
    <w:rsid w:val="00EA64C6"/>
    <w:rsid w:val="00EA6516"/>
    <w:rsid w:val="00EA6561"/>
    <w:rsid w:val="00EA656C"/>
    <w:rsid w:val="00EA65EC"/>
    <w:rsid w:val="00EA661B"/>
    <w:rsid w:val="00EA661D"/>
    <w:rsid w:val="00EA665F"/>
    <w:rsid w:val="00EA66E7"/>
    <w:rsid w:val="00EA6744"/>
    <w:rsid w:val="00EA677A"/>
    <w:rsid w:val="00EA6781"/>
    <w:rsid w:val="00EA6787"/>
    <w:rsid w:val="00EA67A9"/>
    <w:rsid w:val="00EA67AC"/>
    <w:rsid w:val="00EA6802"/>
    <w:rsid w:val="00EA680C"/>
    <w:rsid w:val="00EA682A"/>
    <w:rsid w:val="00EA6836"/>
    <w:rsid w:val="00EA687A"/>
    <w:rsid w:val="00EA68F9"/>
    <w:rsid w:val="00EA691B"/>
    <w:rsid w:val="00EA6968"/>
    <w:rsid w:val="00EA6995"/>
    <w:rsid w:val="00EA69B5"/>
    <w:rsid w:val="00EA69E4"/>
    <w:rsid w:val="00EA6A83"/>
    <w:rsid w:val="00EA6A87"/>
    <w:rsid w:val="00EA6A92"/>
    <w:rsid w:val="00EA6AB2"/>
    <w:rsid w:val="00EA6AF1"/>
    <w:rsid w:val="00EA6B34"/>
    <w:rsid w:val="00EA6BDD"/>
    <w:rsid w:val="00EA6BFA"/>
    <w:rsid w:val="00EA6C31"/>
    <w:rsid w:val="00EA6C97"/>
    <w:rsid w:val="00EA6CE5"/>
    <w:rsid w:val="00EA6D2F"/>
    <w:rsid w:val="00EA6D8F"/>
    <w:rsid w:val="00EA6D97"/>
    <w:rsid w:val="00EA6DB3"/>
    <w:rsid w:val="00EA6DBF"/>
    <w:rsid w:val="00EA6E72"/>
    <w:rsid w:val="00EA6E9B"/>
    <w:rsid w:val="00EA6EAF"/>
    <w:rsid w:val="00EA6EB3"/>
    <w:rsid w:val="00EA6ED5"/>
    <w:rsid w:val="00EA6F0E"/>
    <w:rsid w:val="00EA6F39"/>
    <w:rsid w:val="00EA6F54"/>
    <w:rsid w:val="00EA6F99"/>
    <w:rsid w:val="00EA6FAA"/>
    <w:rsid w:val="00EA701C"/>
    <w:rsid w:val="00EA7081"/>
    <w:rsid w:val="00EA70C1"/>
    <w:rsid w:val="00EA70C9"/>
    <w:rsid w:val="00EA7133"/>
    <w:rsid w:val="00EA7151"/>
    <w:rsid w:val="00EA716C"/>
    <w:rsid w:val="00EA717B"/>
    <w:rsid w:val="00EA717D"/>
    <w:rsid w:val="00EA717E"/>
    <w:rsid w:val="00EA7188"/>
    <w:rsid w:val="00EA71E0"/>
    <w:rsid w:val="00EA7263"/>
    <w:rsid w:val="00EA7279"/>
    <w:rsid w:val="00EA7298"/>
    <w:rsid w:val="00EA72A7"/>
    <w:rsid w:val="00EA72BD"/>
    <w:rsid w:val="00EA72D3"/>
    <w:rsid w:val="00EA731A"/>
    <w:rsid w:val="00EA73EB"/>
    <w:rsid w:val="00EA74A8"/>
    <w:rsid w:val="00EA74EE"/>
    <w:rsid w:val="00EA750C"/>
    <w:rsid w:val="00EA7538"/>
    <w:rsid w:val="00EA7570"/>
    <w:rsid w:val="00EA7583"/>
    <w:rsid w:val="00EA7598"/>
    <w:rsid w:val="00EA75DA"/>
    <w:rsid w:val="00EA75EA"/>
    <w:rsid w:val="00EA7602"/>
    <w:rsid w:val="00EA761F"/>
    <w:rsid w:val="00EA765A"/>
    <w:rsid w:val="00EA767D"/>
    <w:rsid w:val="00EA76BD"/>
    <w:rsid w:val="00EA76C5"/>
    <w:rsid w:val="00EA76CE"/>
    <w:rsid w:val="00EA76EB"/>
    <w:rsid w:val="00EA773A"/>
    <w:rsid w:val="00EA773E"/>
    <w:rsid w:val="00EA776A"/>
    <w:rsid w:val="00EA7778"/>
    <w:rsid w:val="00EA778C"/>
    <w:rsid w:val="00EA77E1"/>
    <w:rsid w:val="00EA781E"/>
    <w:rsid w:val="00EA788E"/>
    <w:rsid w:val="00EA799B"/>
    <w:rsid w:val="00EA79A1"/>
    <w:rsid w:val="00EA7A79"/>
    <w:rsid w:val="00EA7AD0"/>
    <w:rsid w:val="00EA7ADD"/>
    <w:rsid w:val="00EA7B37"/>
    <w:rsid w:val="00EA7B6A"/>
    <w:rsid w:val="00EA7B76"/>
    <w:rsid w:val="00EA7BC1"/>
    <w:rsid w:val="00EA7BD9"/>
    <w:rsid w:val="00EA7C04"/>
    <w:rsid w:val="00EA7C2D"/>
    <w:rsid w:val="00EA7C47"/>
    <w:rsid w:val="00EA7C6B"/>
    <w:rsid w:val="00EA7CB1"/>
    <w:rsid w:val="00EA7CC4"/>
    <w:rsid w:val="00EA7CEE"/>
    <w:rsid w:val="00EA7D22"/>
    <w:rsid w:val="00EA7D54"/>
    <w:rsid w:val="00EA7DA2"/>
    <w:rsid w:val="00EA7DB7"/>
    <w:rsid w:val="00EA7DD7"/>
    <w:rsid w:val="00EA7E07"/>
    <w:rsid w:val="00EA7EE5"/>
    <w:rsid w:val="00EA7EF7"/>
    <w:rsid w:val="00EA7F54"/>
    <w:rsid w:val="00EA7F5C"/>
    <w:rsid w:val="00EA7F61"/>
    <w:rsid w:val="00EA7F70"/>
    <w:rsid w:val="00EA7F91"/>
    <w:rsid w:val="00EA7FDC"/>
    <w:rsid w:val="00EB001B"/>
    <w:rsid w:val="00EB0029"/>
    <w:rsid w:val="00EB005C"/>
    <w:rsid w:val="00EB00A2"/>
    <w:rsid w:val="00EB0118"/>
    <w:rsid w:val="00EB011E"/>
    <w:rsid w:val="00EB0129"/>
    <w:rsid w:val="00EB01F5"/>
    <w:rsid w:val="00EB027F"/>
    <w:rsid w:val="00EB02C5"/>
    <w:rsid w:val="00EB02E4"/>
    <w:rsid w:val="00EB02F4"/>
    <w:rsid w:val="00EB02FB"/>
    <w:rsid w:val="00EB0369"/>
    <w:rsid w:val="00EB03C4"/>
    <w:rsid w:val="00EB0442"/>
    <w:rsid w:val="00EB0447"/>
    <w:rsid w:val="00EB0454"/>
    <w:rsid w:val="00EB046D"/>
    <w:rsid w:val="00EB0491"/>
    <w:rsid w:val="00EB0498"/>
    <w:rsid w:val="00EB04AC"/>
    <w:rsid w:val="00EB04E7"/>
    <w:rsid w:val="00EB0502"/>
    <w:rsid w:val="00EB0503"/>
    <w:rsid w:val="00EB0525"/>
    <w:rsid w:val="00EB0535"/>
    <w:rsid w:val="00EB0552"/>
    <w:rsid w:val="00EB0560"/>
    <w:rsid w:val="00EB057B"/>
    <w:rsid w:val="00EB05B5"/>
    <w:rsid w:val="00EB061C"/>
    <w:rsid w:val="00EB068A"/>
    <w:rsid w:val="00EB06B9"/>
    <w:rsid w:val="00EB06E2"/>
    <w:rsid w:val="00EB0753"/>
    <w:rsid w:val="00EB07E5"/>
    <w:rsid w:val="00EB0804"/>
    <w:rsid w:val="00EB0829"/>
    <w:rsid w:val="00EB0847"/>
    <w:rsid w:val="00EB0899"/>
    <w:rsid w:val="00EB08A1"/>
    <w:rsid w:val="00EB08A6"/>
    <w:rsid w:val="00EB090A"/>
    <w:rsid w:val="00EB091A"/>
    <w:rsid w:val="00EB0920"/>
    <w:rsid w:val="00EB0926"/>
    <w:rsid w:val="00EB0953"/>
    <w:rsid w:val="00EB09F5"/>
    <w:rsid w:val="00EB0A3F"/>
    <w:rsid w:val="00EB0A42"/>
    <w:rsid w:val="00EB0A81"/>
    <w:rsid w:val="00EB0A88"/>
    <w:rsid w:val="00EB0A97"/>
    <w:rsid w:val="00EB0AB0"/>
    <w:rsid w:val="00EB0AB8"/>
    <w:rsid w:val="00EB0ADE"/>
    <w:rsid w:val="00EB0AFE"/>
    <w:rsid w:val="00EB0B17"/>
    <w:rsid w:val="00EB0C51"/>
    <w:rsid w:val="00EB0C59"/>
    <w:rsid w:val="00EB0D38"/>
    <w:rsid w:val="00EB0DE7"/>
    <w:rsid w:val="00EB0E75"/>
    <w:rsid w:val="00EB0E90"/>
    <w:rsid w:val="00EB0E97"/>
    <w:rsid w:val="00EB0EE2"/>
    <w:rsid w:val="00EB0F47"/>
    <w:rsid w:val="00EB0F63"/>
    <w:rsid w:val="00EB0F64"/>
    <w:rsid w:val="00EB0F8E"/>
    <w:rsid w:val="00EB0FBC"/>
    <w:rsid w:val="00EB1010"/>
    <w:rsid w:val="00EB102C"/>
    <w:rsid w:val="00EB1087"/>
    <w:rsid w:val="00EB10E4"/>
    <w:rsid w:val="00EB10F9"/>
    <w:rsid w:val="00EB111E"/>
    <w:rsid w:val="00EB1130"/>
    <w:rsid w:val="00EB117A"/>
    <w:rsid w:val="00EB1259"/>
    <w:rsid w:val="00EB1295"/>
    <w:rsid w:val="00EB1297"/>
    <w:rsid w:val="00EB12BF"/>
    <w:rsid w:val="00EB12E8"/>
    <w:rsid w:val="00EB1307"/>
    <w:rsid w:val="00EB1320"/>
    <w:rsid w:val="00EB13A7"/>
    <w:rsid w:val="00EB13B2"/>
    <w:rsid w:val="00EB13CA"/>
    <w:rsid w:val="00EB13D0"/>
    <w:rsid w:val="00EB13F7"/>
    <w:rsid w:val="00EB14A7"/>
    <w:rsid w:val="00EB14A9"/>
    <w:rsid w:val="00EB14B0"/>
    <w:rsid w:val="00EB1547"/>
    <w:rsid w:val="00EB1567"/>
    <w:rsid w:val="00EB1580"/>
    <w:rsid w:val="00EB1583"/>
    <w:rsid w:val="00EB15B1"/>
    <w:rsid w:val="00EB15D0"/>
    <w:rsid w:val="00EB15F5"/>
    <w:rsid w:val="00EB1609"/>
    <w:rsid w:val="00EB1627"/>
    <w:rsid w:val="00EB1640"/>
    <w:rsid w:val="00EB16B2"/>
    <w:rsid w:val="00EB1712"/>
    <w:rsid w:val="00EB1746"/>
    <w:rsid w:val="00EB17AE"/>
    <w:rsid w:val="00EB17DF"/>
    <w:rsid w:val="00EB1817"/>
    <w:rsid w:val="00EB182D"/>
    <w:rsid w:val="00EB185E"/>
    <w:rsid w:val="00EB1865"/>
    <w:rsid w:val="00EB1869"/>
    <w:rsid w:val="00EB1898"/>
    <w:rsid w:val="00EB18F1"/>
    <w:rsid w:val="00EB18F7"/>
    <w:rsid w:val="00EB191A"/>
    <w:rsid w:val="00EB191B"/>
    <w:rsid w:val="00EB1937"/>
    <w:rsid w:val="00EB197F"/>
    <w:rsid w:val="00EB19CF"/>
    <w:rsid w:val="00EB19E8"/>
    <w:rsid w:val="00EB1A1A"/>
    <w:rsid w:val="00EB1A1F"/>
    <w:rsid w:val="00EB1A40"/>
    <w:rsid w:val="00EB1A76"/>
    <w:rsid w:val="00EB1B15"/>
    <w:rsid w:val="00EB1B42"/>
    <w:rsid w:val="00EB1B87"/>
    <w:rsid w:val="00EB1C41"/>
    <w:rsid w:val="00EB1D1F"/>
    <w:rsid w:val="00EB1D3F"/>
    <w:rsid w:val="00EB1D51"/>
    <w:rsid w:val="00EB1D6D"/>
    <w:rsid w:val="00EB1D8C"/>
    <w:rsid w:val="00EB1DCD"/>
    <w:rsid w:val="00EB1DE8"/>
    <w:rsid w:val="00EB1E1C"/>
    <w:rsid w:val="00EB1E74"/>
    <w:rsid w:val="00EB1E93"/>
    <w:rsid w:val="00EB1E94"/>
    <w:rsid w:val="00EB1F14"/>
    <w:rsid w:val="00EB1F1A"/>
    <w:rsid w:val="00EB1F7B"/>
    <w:rsid w:val="00EB1FF3"/>
    <w:rsid w:val="00EB203D"/>
    <w:rsid w:val="00EB2042"/>
    <w:rsid w:val="00EB206E"/>
    <w:rsid w:val="00EB209F"/>
    <w:rsid w:val="00EB20D4"/>
    <w:rsid w:val="00EB20FC"/>
    <w:rsid w:val="00EB214F"/>
    <w:rsid w:val="00EB21B1"/>
    <w:rsid w:val="00EB21D4"/>
    <w:rsid w:val="00EB228B"/>
    <w:rsid w:val="00EB22B3"/>
    <w:rsid w:val="00EB22B8"/>
    <w:rsid w:val="00EB22DF"/>
    <w:rsid w:val="00EB22ED"/>
    <w:rsid w:val="00EB2315"/>
    <w:rsid w:val="00EB2316"/>
    <w:rsid w:val="00EB2320"/>
    <w:rsid w:val="00EB232C"/>
    <w:rsid w:val="00EB2365"/>
    <w:rsid w:val="00EB2374"/>
    <w:rsid w:val="00EB2403"/>
    <w:rsid w:val="00EB2439"/>
    <w:rsid w:val="00EB243D"/>
    <w:rsid w:val="00EB243F"/>
    <w:rsid w:val="00EB24A6"/>
    <w:rsid w:val="00EB258F"/>
    <w:rsid w:val="00EB2595"/>
    <w:rsid w:val="00EB2612"/>
    <w:rsid w:val="00EB2672"/>
    <w:rsid w:val="00EB2685"/>
    <w:rsid w:val="00EB26AC"/>
    <w:rsid w:val="00EB26DA"/>
    <w:rsid w:val="00EB26EA"/>
    <w:rsid w:val="00EB26FF"/>
    <w:rsid w:val="00EB272E"/>
    <w:rsid w:val="00EB2731"/>
    <w:rsid w:val="00EB2732"/>
    <w:rsid w:val="00EB27AF"/>
    <w:rsid w:val="00EB2802"/>
    <w:rsid w:val="00EB2820"/>
    <w:rsid w:val="00EB286F"/>
    <w:rsid w:val="00EB28B0"/>
    <w:rsid w:val="00EB28B9"/>
    <w:rsid w:val="00EB28C0"/>
    <w:rsid w:val="00EB28DB"/>
    <w:rsid w:val="00EB28FB"/>
    <w:rsid w:val="00EB2921"/>
    <w:rsid w:val="00EB2928"/>
    <w:rsid w:val="00EB2943"/>
    <w:rsid w:val="00EB29CD"/>
    <w:rsid w:val="00EB2A07"/>
    <w:rsid w:val="00EB2A18"/>
    <w:rsid w:val="00EB2A42"/>
    <w:rsid w:val="00EB2A46"/>
    <w:rsid w:val="00EB2A4D"/>
    <w:rsid w:val="00EB2AA6"/>
    <w:rsid w:val="00EB2AB2"/>
    <w:rsid w:val="00EB2AB6"/>
    <w:rsid w:val="00EB2B10"/>
    <w:rsid w:val="00EB2BC2"/>
    <w:rsid w:val="00EB2C0C"/>
    <w:rsid w:val="00EB2C5B"/>
    <w:rsid w:val="00EB2C5E"/>
    <w:rsid w:val="00EB2C5F"/>
    <w:rsid w:val="00EB2CAF"/>
    <w:rsid w:val="00EB2CE9"/>
    <w:rsid w:val="00EB2D00"/>
    <w:rsid w:val="00EB2D08"/>
    <w:rsid w:val="00EB2D50"/>
    <w:rsid w:val="00EB2DD9"/>
    <w:rsid w:val="00EB2DE3"/>
    <w:rsid w:val="00EB2DEE"/>
    <w:rsid w:val="00EB2E56"/>
    <w:rsid w:val="00EB2E63"/>
    <w:rsid w:val="00EB2E6D"/>
    <w:rsid w:val="00EB2EAF"/>
    <w:rsid w:val="00EB2EB1"/>
    <w:rsid w:val="00EB2F02"/>
    <w:rsid w:val="00EB2F03"/>
    <w:rsid w:val="00EB2F4B"/>
    <w:rsid w:val="00EB2F87"/>
    <w:rsid w:val="00EB2FA6"/>
    <w:rsid w:val="00EB3008"/>
    <w:rsid w:val="00EB3038"/>
    <w:rsid w:val="00EB305D"/>
    <w:rsid w:val="00EB307C"/>
    <w:rsid w:val="00EB30AF"/>
    <w:rsid w:val="00EB3124"/>
    <w:rsid w:val="00EB3141"/>
    <w:rsid w:val="00EB316C"/>
    <w:rsid w:val="00EB31A9"/>
    <w:rsid w:val="00EB31C0"/>
    <w:rsid w:val="00EB3239"/>
    <w:rsid w:val="00EB3292"/>
    <w:rsid w:val="00EB3299"/>
    <w:rsid w:val="00EB32EF"/>
    <w:rsid w:val="00EB333B"/>
    <w:rsid w:val="00EB333F"/>
    <w:rsid w:val="00EB3340"/>
    <w:rsid w:val="00EB33D4"/>
    <w:rsid w:val="00EB33DA"/>
    <w:rsid w:val="00EB33FB"/>
    <w:rsid w:val="00EB340F"/>
    <w:rsid w:val="00EB3417"/>
    <w:rsid w:val="00EB34DF"/>
    <w:rsid w:val="00EB359E"/>
    <w:rsid w:val="00EB35D7"/>
    <w:rsid w:val="00EB3605"/>
    <w:rsid w:val="00EB3665"/>
    <w:rsid w:val="00EB3679"/>
    <w:rsid w:val="00EB3685"/>
    <w:rsid w:val="00EB3686"/>
    <w:rsid w:val="00EB368B"/>
    <w:rsid w:val="00EB36B4"/>
    <w:rsid w:val="00EB36BD"/>
    <w:rsid w:val="00EB36BF"/>
    <w:rsid w:val="00EB375E"/>
    <w:rsid w:val="00EB3765"/>
    <w:rsid w:val="00EB377B"/>
    <w:rsid w:val="00EB3795"/>
    <w:rsid w:val="00EB37B6"/>
    <w:rsid w:val="00EB38AF"/>
    <w:rsid w:val="00EB38BA"/>
    <w:rsid w:val="00EB38DD"/>
    <w:rsid w:val="00EB38E1"/>
    <w:rsid w:val="00EB38F3"/>
    <w:rsid w:val="00EB3951"/>
    <w:rsid w:val="00EB396E"/>
    <w:rsid w:val="00EB3975"/>
    <w:rsid w:val="00EB3986"/>
    <w:rsid w:val="00EB39AF"/>
    <w:rsid w:val="00EB39C1"/>
    <w:rsid w:val="00EB3A0B"/>
    <w:rsid w:val="00EB3AAA"/>
    <w:rsid w:val="00EB3AAC"/>
    <w:rsid w:val="00EB3AE2"/>
    <w:rsid w:val="00EB3C00"/>
    <w:rsid w:val="00EB3C5F"/>
    <w:rsid w:val="00EB3CBC"/>
    <w:rsid w:val="00EB3CF6"/>
    <w:rsid w:val="00EB3D84"/>
    <w:rsid w:val="00EB3D9B"/>
    <w:rsid w:val="00EB3DC9"/>
    <w:rsid w:val="00EB3DFA"/>
    <w:rsid w:val="00EB3E2C"/>
    <w:rsid w:val="00EB3E59"/>
    <w:rsid w:val="00EB3E90"/>
    <w:rsid w:val="00EB3EB0"/>
    <w:rsid w:val="00EB3F62"/>
    <w:rsid w:val="00EB3F67"/>
    <w:rsid w:val="00EB3F86"/>
    <w:rsid w:val="00EB3FE0"/>
    <w:rsid w:val="00EB3FE5"/>
    <w:rsid w:val="00EB400E"/>
    <w:rsid w:val="00EB4023"/>
    <w:rsid w:val="00EB4045"/>
    <w:rsid w:val="00EB4050"/>
    <w:rsid w:val="00EB4057"/>
    <w:rsid w:val="00EB40A4"/>
    <w:rsid w:val="00EB4150"/>
    <w:rsid w:val="00EB41C9"/>
    <w:rsid w:val="00EB4274"/>
    <w:rsid w:val="00EB42A6"/>
    <w:rsid w:val="00EB42B2"/>
    <w:rsid w:val="00EB42CA"/>
    <w:rsid w:val="00EB4306"/>
    <w:rsid w:val="00EB4339"/>
    <w:rsid w:val="00EB433E"/>
    <w:rsid w:val="00EB4396"/>
    <w:rsid w:val="00EB43E1"/>
    <w:rsid w:val="00EB4428"/>
    <w:rsid w:val="00EB4447"/>
    <w:rsid w:val="00EB4495"/>
    <w:rsid w:val="00EB44B1"/>
    <w:rsid w:val="00EB44EB"/>
    <w:rsid w:val="00EB4563"/>
    <w:rsid w:val="00EB4603"/>
    <w:rsid w:val="00EB46A7"/>
    <w:rsid w:val="00EB46AB"/>
    <w:rsid w:val="00EB46BE"/>
    <w:rsid w:val="00EB4774"/>
    <w:rsid w:val="00EB4778"/>
    <w:rsid w:val="00EB479A"/>
    <w:rsid w:val="00EB47B1"/>
    <w:rsid w:val="00EB47E4"/>
    <w:rsid w:val="00EB47EA"/>
    <w:rsid w:val="00EB47F3"/>
    <w:rsid w:val="00EB480D"/>
    <w:rsid w:val="00EB485C"/>
    <w:rsid w:val="00EB486B"/>
    <w:rsid w:val="00EB4873"/>
    <w:rsid w:val="00EB4903"/>
    <w:rsid w:val="00EB4933"/>
    <w:rsid w:val="00EB4A17"/>
    <w:rsid w:val="00EB4ADA"/>
    <w:rsid w:val="00EB4ADC"/>
    <w:rsid w:val="00EB4AE9"/>
    <w:rsid w:val="00EB4B59"/>
    <w:rsid w:val="00EB4B76"/>
    <w:rsid w:val="00EB4C03"/>
    <w:rsid w:val="00EB4C0D"/>
    <w:rsid w:val="00EB4C61"/>
    <w:rsid w:val="00EB4C6D"/>
    <w:rsid w:val="00EB4C7A"/>
    <w:rsid w:val="00EB4CBA"/>
    <w:rsid w:val="00EB4CBD"/>
    <w:rsid w:val="00EB4CE8"/>
    <w:rsid w:val="00EB4CFD"/>
    <w:rsid w:val="00EB4D8C"/>
    <w:rsid w:val="00EB4D91"/>
    <w:rsid w:val="00EB4DB4"/>
    <w:rsid w:val="00EB4DC2"/>
    <w:rsid w:val="00EB4E18"/>
    <w:rsid w:val="00EB4EFD"/>
    <w:rsid w:val="00EB4F06"/>
    <w:rsid w:val="00EB4F78"/>
    <w:rsid w:val="00EB4F81"/>
    <w:rsid w:val="00EB4FC9"/>
    <w:rsid w:val="00EB5018"/>
    <w:rsid w:val="00EB5073"/>
    <w:rsid w:val="00EB5087"/>
    <w:rsid w:val="00EB50E2"/>
    <w:rsid w:val="00EB5137"/>
    <w:rsid w:val="00EB514C"/>
    <w:rsid w:val="00EB5197"/>
    <w:rsid w:val="00EB51B5"/>
    <w:rsid w:val="00EB51EF"/>
    <w:rsid w:val="00EB526D"/>
    <w:rsid w:val="00EB5287"/>
    <w:rsid w:val="00EB52C0"/>
    <w:rsid w:val="00EB52FD"/>
    <w:rsid w:val="00EB5308"/>
    <w:rsid w:val="00EB5335"/>
    <w:rsid w:val="00EB5346"/>
    <w:rsid w:val="00EB537F"/>
    <w:rsid w:val="00EB53F5"/>
    <w:rsid w:val="00EB5474"/>
    <w:rsid w:val="00EB5568"/>
    <w:rsid w:val="00EB558A"/>
    <w:rsid w:val="00EB5637"/>
    <w:rsid w:val="00EB564E"/>
    <w:rsid w:val="00EB5677"/>
    <w:rsid w:val="00EB568C"/>
    <w:rsid w:val="00EB56C2"/>
    <w:rsid w:val="00EB56D1"/>
    <w:rsid w:val="00EB56DF"/>
    <w:rsid w:val="00EB573B"/>
    <w:rsid w:val="00EB5742"/>
    <w:rsid w:val="00EB5786"/>
    <w:rsid w:val="00EB57D3"/>
    <w:rsid w:val="00EB57FF"/>
    <w:rsid w:val="00EB580B"/>
    <w:rsid w:val="00EB58D4"/>
    <w:rsid w:val="00EB590A"/>
    <w:rsid w:val="00EB599C"/>
    <w:rsid w:val="00EB59D4"/>
    <w:rsid w:val="00EB59E0"/>
    <w:rsid w:val="00EB59E8"/>
    <w:rsid w:val="00EB5A2C"/>
    <w:rsid w:val="00EB5A52"/>
    <w:rsid w:val="00EB5AD5"/>
    <w:rsid w:val="00EB5B29"/>
    <w:rsid w:val="00EB5B2B"/>
    <w:rsid w:val="00EB5B7F"/>
    <w:rsid w:val="00EB5B87"/>
    <w:rsid w:val="00EB5B96"/>
    <w:rsid w:val="00EB5C0D"/>
    <w:rsid w:val="00EB5C4A"/>
    <w:rsid w:val="00EB5CA5"/>
    <w:rsid w:val="00EB5CBD"/>
    <w:rsid w:val="00EB5CBF"/>
    <w:rsid w:val="00EB5CEB"/>
    <w:rsid w:val="00EB5D43"/>
    <w:rsid w:val="00EB5DEC"/>
    <w:rsid w:val="00EB5DFC"/>
    <w:rsid w:val="00EB5E08"/>
    <w:rsid w:val="00EB5E40"/>
    <w:rsid w:val="00EB5E52"/>
    <w:rsid w:val="00EB5EBD"/>
    <w:rsid w:val="00EB5F14"/>
    <w:rsid w:val="00EB5F44"/>
    <w:rsid w:val="00EB5F58"/>
    <w:rsid w:val="00EB5FAF"/>
    <w:rsid w:val="00EB5FB9"/>
    <w:rsid w:val="00EB5FC8"/>
    <w:rsid w:val="00EB5FD8"/>
    <w:rsid w:val="00EB5FE4"/>
    <w:rsid w:val="00EB6045"/>
    <w:rsid w:val="00EB6051"/>
    <w:rsid w:val="00EB6085"/>
    <w:rsid w:val="00EB6088"/>
    <w:rsid w:val="00EB60F9"/>
    <w:rsid w:val="00EB610E"/>
    <w:rsid w:val="00EB618A"/>
    <w:rsid w:val="00EB61FF"/>
    <w:rsid w:val="00EB6213"/>
    <w:rsid w:val="00EB627E"/>
    <w:rsid w:val="00EB629C"/>
    <w:rsid w:val="00EB62B0"/>
    <w:rsid w:val="00EB63BD"/>
    <w:rsid w:val="00EB63CA"/>
    <w:rsid w:val="00EB6412"/>
    <w:rsid w:val="00EB643A"/>
    <w:rsid w:val="00EB6476"/>
    <w:rsid w:val="00EB64A2"/>
    <w:rsid w:val="00EB64E4"/>
    <w:rsid w:val="00EB65F3"/>
    <w:rsid w:val="00EB6610"/>
    <w:rsid w:val="00EB668C"/>
    <w:rsid w:val="00EB6718"/>
    <w:rsid w:val="00EB6759"/>
    <w:rsid w:val="00EB67C8"/>
    <w:rsid w:val="00EB67DC"/>
    <w:rsid w:val="00EB6820"/>
    <w:rsid w:val="00EB68E4"/>
    <w:rsid w:val="00EB68F2"/>
    <w:rsid w:val="00EB6926"/>
    <w:rsid w:val="00EB698C"/>
    <w:rsid w:val="00EB6994"/>
    <w:rsid w:val="00EB6995"/>
    <w:rsid w:val="00EB69A4"/>
    <w:rsid w:val="00EB69C3"/>
    <w:rsid w:val="00EB6A02"/>
    <w:rsid w:val="00EB6A1E"/>
    <w:rsid w:val="00EB6A7B"/>
    <w:rsid w:val="00EB6A7F"/>
    <w:rsid w:val="00EB6AD2"/>
    <w:rsid w:val="00EB6B04"/>
    <w:rsid w:val="00EB6B8C"/>
    <w:rsid w:val="00EB6BF9"/>
    <w:rsid w:val="00EB6BFC"/>
    <w:rsid w:val="00EB6C0A"/>
    <w:rsid w:val="00EB6C21"/>
    <w:rsid w:val="00EB6C2A"/>
    <w:rsid w:val="00EB6C51"/>
    <w:rsid w:val="00EB6C84"/>
    <w:rsid w:val="00EB6CA9"/>
    <w:rsid w:val="00EB6CAC"/>
    <w:rsid w:val="00EB6D02"/>
    <w:rsid w:val="00EB6D22"/>
    <w:rsid w:val="00EB6D34"/>
    <w:rsid w:val="00EB6D36"/>
    <w:rsid w:val="00EB6E3C"/>
    <w:rsid w:val="00EB6EA5"/>
    <w:rsid w:val="00EB6EA8"/>
    <w:rsid w:val="00EB6EB7"/>
    <w:rsid w:val="00EB6ECF"/>
    <w:rsid w:val="00EB6EDC"/>
    <w:rsid w:val="00EB6EFF"/>
    <w:rsid w:val="00EB6F44"/>
    <w:rsid w:val="00EB6F57"/>
    <w:rsid w:val="00EB6F65"/>
    <w:rsid w:val="00EB6F7F"/>
    <w:rsid w:val="00EB6F8B"/>
    <w:rsid w:val="00EB6FAF"/>
    <w:rsid w:val="00EB6FCD"/>
    <w:rsid w:val="00EB701B"/>
    <w:rsid w:val="00EB7043"/>
    <w:rsid w:val="00EB7085"/>
    <w:rsid w:val="00EB70A5"/>
    <w:rsid w:val="00EB70C7"/>
    <w:rsid w:val="00EB70F2"/>
    <w:rsid w:val="00EB7113"/>
    <w:rsid w:val="00EB71AF"/>
    <w:rsid w:val="00EB71B3"/>
    <w:rsid w:val="00EB71C0"/>
    <w:rsid w:val="00EB7207"/>
    <w:rsid w:val="00EB7210"/>
    <w:rsid w:val="00EB72A0"/>
    <w:rsid w:val="00EB730C"/>
    <w:rsid w:val="00EB730F"/>
    <w:rsid w:val="00EB7341"/>
    <w:rsid w:val="00EB7375"/>
    <w:rsid w:val="00EB73A4"/>
    <w:rsid w:val="00EB73FF"/>
    <w:rsid w:val="00EB7428"/>
    <w:rsid w:val="00EB7456"/>
    <w:rsid w:val="00EB7460"/>
    <w:rsid w:val="00EB746B"/>
    <w:rsid w:val="00EB74E2"/>
    <w:rsid w:val="00EB750B"/>
    <w:rsid w:val="00EB7536"/>
    <w:rsid w:val="00EB7555"/>
    <w:rsid w:val="00EB7585"/>
    <w:rsid w:val="00EB75BB"/>
    <w:rsid w:val="00EB75E4"/>
    <w:rsid w:val="00EB75FF"/>
    <w:rsid w:val="00EB7644"/>
    <w:rsid w:val="00EB764B"/>
    <w:rsid w:val="00EB765B"/>
    <w:rsid w:val="00EB769D"/>
    <w:rsid w:val="00EB76AB"/>
    <w:rsid w:val="00EB76C2"/>
    <w:rsid w:val="00EB76FD"/>
    <w:rsid w:val="00EB76FE"/>
    <w:rsid w:val="00EB7718"/>
    <w:rsid w:val="00EB7735"/>
    <w:rsid w:val="00EB7746"/>
    <w:rsid w:val="00EB7780"/>
    <w:rsid w:val="00EB7796"/>
    <w:rsid w:val="00EB7799"/>
    <w:rsid w:val="00EB77B7"/>
    <w:rsid w:val="00EB783D"/>
    <w:rsid w:val="00EB78CE"/>
    <w:rsid w:val="00EB78E5"/>
    <w:rsid w:val="00EB7947"/>
    <w:rsid w:val="00EB798A"/>
    <w:rsid w:val="00EB79F4"/>
    <w:rsid w:val="00EB7A7E"/>
    <w:rsid w:val="00EB7AD6"/>
    <w:rsid w:val="00EB7ADD"/>
    <w:rsid w:val="00EB7B10"/>
    <w:rsid w:val="00EB7B24"/>
    <w:rsid w:val="00EB7B8D"/>
    <w:rsid w:val="00EB7BF0"/>
    <w:rsid w:val="00EB7BFD"/>
    <w:rsid w:val="00EB7C2D"/>
    <w:rsid w:val="00EB7C32"/>
    <w:rsid w:val="00EB7C59"/>
    <w:rsid w:val="00EB7C7E"/>
    <w:rsid w:val="00EB7CA7"/>
    <w:rsid w:val="00EB7CB1"/>
    <w:rsid w:val="00EB7CD5"/>
    <w:rsid w:val="00EB7CD8"/>
    <w:rsid w:val="00EB7D37"/>
    <w:rsid w:val="00EB7D6E"/>
    <w:rsid w:val="00EB7D78"/>
    <w:rsid w:val="00EB7DA3"/>
    <w:rsid w:val="00EB7DAA"/>
    <w:rsid w:val="00EB7DB1"/>
    <w:rsid w:val="00EB7DC7"/>
    <w:rsid w:val="00EB7DD2"/>
    <w:rsid w:val="00EB7E00"/>
    <w:rsid w:val="00EB7E51"/>
    <w:rsid w:val="00EB7E5A"/>
    <w:rsid w:val="00EB7E79"/>
    <w:rsid w:val="00EB7EA9"/>
    <w:rsid w:val="00EB7EB5"/>
    <w:rsid w:val="00EB7EBE"/>
    <w:rsid w:val="00EB7EDF"/>
    <w:rsid w:val="00EB7F1F"/>
    <w:rsid w:val="00EB7F3B"/>
    <w:rsid w:val="00EB7F6B"/>
    <w:rsid w:val="00EB7F80"/>
    <w:rsid w:val="00EB7F84"/>
    <w:rsid w:val="00EB7FB0"/>
    <w:rsid w:val="00EC0039"/>
    <w:rsid w:val="00EC0049"/>
    <w:rsid w:val="00EC0080"/>
    <w:rsid w:val="00EC00AF"/>
    <w:rsid w:val="00EC00C0"/>
    <w:rsid w:val="00EC00E3"/>
    <w:rsid w:val="00EC00F0"/>
    <w:rsid w:val="00EC012E"/>
    <w:rsid w:val="00EC0134"/>
    <w:rsid w:val="00EC013B"/>
    <w:rsid w:val="00EC0163"/>
    <w:rsid w:val="00EC016C"/>
    <w:rsid w:val="00EC0179"/>
    <w:rsid w:val="00EC024F"/>
    <w:rsid w:val="00EC027C"/>
    <w:rsid w:val="00EC0298"/>
    <w:rsid w:val="00EC02AD"/>
    <w:rsid w:val="00EC02CD"/>
    <w:rsid w:val="00EC032C"/>
    <w:rsid w:val="00EC03B4"/>
    <w:rsid w:val="00EC03CB"/>
    <w:rsid w:val="00EC0430"/>
    <w:rsid w:val="00EC049C"/>
    <w:rsid w:val="00EC04E4"/>
    <w:rsid w:val="00EC04EA"/>
    <w:rsid w:val="00EC0536"/>
    <w:rsid w:val="00EC053A"/>
    <w:rsid w:val="00EC054D"/>
    <w:rsid w:val="00EC0564"/>
    <w:rsid w:val="00EC0571"/>
    <w:rsid w:val="00EC0588"/>
    <w:rsid w:val="00EC05A6"/>
    <w:rsid w:val="00EC05D7"/>
    <w:rsid w:val="00EC0668"/>
    <w:rsid w:val="00EC06A7"/>
    <w:rsid w:val="00EC06B7"/>
    <w:rsid w:val="00EC0777"/>
    <w:rsid w:val="00EC07B5"/>
    <w:rsid w:val="00EC07DC"/>
    <w:rsid w:val="00EC07F3"/>
    <w:rsid w:val="00EC0837"/>
    <w:rsid w:val="00EC085A"/>
    <w:rsid w:val="00EC087A"/>
    <w:rsid w:val="00EC08F7"/>
    <w:rsid w:val="00EC0909"/>
    <w:rsid w:val="00EC090B"/>
    <w:rsid w:val="00EC091F"/>
    <w:rsid w:val="00EC094B"/>
    <w:rsid w:val="00EC0975"/>
    <w:rsid w:val="00EC09AA"/>
    <w:rsid w:val="00EC09C4"/>
    <w:rsid w:val="00EC09F8"/>
    <w:rsid w:val="00EC0A34"/>
    <w:rsid w:val="00EC0AB0"/>
    <w:rsid w:val="00EC0B73"/>
    <w:rsid w:val="00EC0BDC"/>
    <w:rsid w:val="00EC0BE1"/>
    <w:rsid w:val="00EC0BFF"/>
    <w:rsid w:val="00EC0C26"/>
    <w:rsid w:val="00EC0C30"/>
    <w:rsid w:val="00EC0CA9"/>
    <w:rsid w:val="00EC0CC9"/>
    <w:rsid w:val="00EC0CCD"/>
    <w:rsid w:val="00EC0D13"/>
    <w:rsid w:val="00EC0D84"/>
    <w:rsid w:val="00EC0DB8"/>
    <w:rsid w:val="00EC0DEC"/>
    <w:rsid w:val="00EC0E0C"/>
    <w:rsid w:val="00EC0E29"/>
    <w:rsid w:val="00EC0E3C"/>
    <w:rsid w:val="00EC0E5D"/>
    <w:rsid w:val="00EC0E7D"/>
    <w:rsid w:val="00EC0E92"/>
    <w:rsid w:val="00EC0EA2"/>
    <w:rsid w:val="00EC0EA4"/>
    <w:rsid w:val="00EC0EB5"/>
    <w:rsid w:val="00EC0EFC"/>
    <w:rsid w:val="00EC0F16"/>
    <w:rsid w:val="00EC0FC2"/>
    <w:rsid w:val="00EC0FFB"/>
    <w:rsid w:val="00EC101E"/>
    <w:rsid w:val="00EC1043"/>
    <w:rsid w:val="00EC1074"/>
    <w:rsid w:val="00EC1096"/>
    <w:rsid w:val="00EC10A8"/>
    <w:rsid w:val="00EC10D5"/>
    <w:rsid w:val="00EC1195"/>
    <w:rsid w:val="00EC1199"/>
    <w:rsid w:val="00EC11EF"/>
    <w:rsid w:val="00EC11F0"/>
    <w:rsid w:val="00EC1240"/>
    <w:rsid w:val="00EC1260"/>
    <w:rsid w:val="00EC1287"/>
    <w:rsid w:val="00EC12AC"/>
    <w:rsid w:val="00EC1317"/>
    <w:rsid w:val="00EC136F"/>
    <w:rsid w:val="00EC137C"/>
    <w:rsid w:val="00EC13A4"/>
    <w:rsid w:val="00EC13AE"/>
    <w:rsid w:val="00EC13BA"/>
    <w:rsid w:val="00EC143F"/>
    <w:rsid w:val="00EC144D"/>
    <w:rsid w:val="00EC1453"/>
    <w:rsid w:val="00EC1464"/>
    <w:rsid w:val="00EC14A5"/>
    <w:rsid w:val="00EC14A8"/>
    <w:rsid w:val="00EC14CD"/>
    <w:rsid w:val="00EC14E1"/>
    <w:rsid w:val="00EC14EA"/>
    <w:rsid w:val="00EC1541"/>
    <w:rsid w:val="00EC154F"/>
    <w:rsid w:val="00EC1579"/>
    <w:rsid w:val="00EC1581"/>
    <w:rsid w:val="00EC1587"/>
    <w:rsid w:val="00EC15CA"/>
    <w:rsid w:val="00EC164A"/>
    <w:rsid w:val="00EC1705"/>
    <w:rsid w:val="00EC174D"/>
    <w:rsid w:val="00EC175A"/>
    <w:rsid w:val="00EC1816"/>
    <w:rsid w:val="00EC1831"/>
    <w:rsid w:val="00EC18E9"/>
    <w:rsid w:val="00EC18EC"/>
    <w:rsid w:val="00EC18F3"/>
    <w:rsid w:val="00EC18FD"/>
    <w:rsid w:val="00EC1952"/>
    <w:rsid w:val="00EC195F"/>
    <w:rsid w:val="00EC1965"/>
    <w:rsid w:val="00EC19C2"/>
    <w:rsid w:val="00EC1A28"/>
    <w:rsid w:val="00EC1A87"/>
    <w:rsid w:val="00EC1AB9"/>
    <w:rsid w:val="00EC1ACC"/>
    <w:rsid w:val="00EC1AFD"/>
    <w:rsid w:val="00EC1B0F"/>
    <w:rsid w:val="00EC1B23"/>
    <w:rsid w:val="00EC1B79"/>
    <w:rsid w:val="00EC1BAB"/>
    <w:rsid w:val="00EC1BBD"/>
    <w:rsid w:val="00EC1C26"/>
    <w:rsid w:val="00EC1C72"/>
    <w:rsid w:val="00EC1C98"/>
    <w:rsid w:val="00EC1CC3"/>
    <w:rsid w:val="00EC1D28"/>
    <w:rsid w:val="00EC1D4F"/>
    <w:rsid w:val="00EC1D76"/>
    <w:rsid w:val="00EC1D77"/>
    <w:rsid w:val="00EC1DA8"/>
    <w:rsid w:val="00EC1E52"/>
    <w:rsid w:val="00EC1EA4"/>
    <w:rsid w:val="00EC1EA9"/>
    <w:rsid w:val="00EC1EFD"/>
    <w:rsid w:val="00EC1F20"/>
    <w:rsid w:val="00EC1F41"/>
    <w:rsid w:val="00EC1F5F"/>
    <w:rsid w:val="00EC1F60"/>
    <w:rsid w:val="00EC1F7B"/>
    <w:rsid w:val="00EC2014"/>
    <w:rsid w:val="00EC20F4"/>
    <w:rsid w:val="00EC20F6"/>
    <w:rsid w:val="00EC20FC"/>
    <w:rsid w:val="00EC211A"/>
    <w:rsid w:val="00EC211D"/>
    <w:rsid w:val="00EC214C"/>
    <w:rsid w:val="00EC2161"/>
    <w:rsid w:val="00EC216C"/>
    <w:rsid w:val="00EC2181"/>
    <w:rsid w:val="00EC2199"/>
    <w:rsid w:val="00EC21DB"/>
    <w:rsid w:val="00EC2209"/>
    <w:rsid w:val="00EC223B"/>
    <w:rsid w:val="00EC2250"/>
    <w:rsid w:val="00EC22B3"/>
    <w:rsid w:val="00EC230B"/>
    <w:rsid w:val="00EC2312"/>
    <w:rsid w:val="00EC232D"/>
    <w:rsid w:val="00EC237D"/>
    <w:rsid w:val="00EC23B0"/>
    <w:rsid w:val="00EC2400"/>
    <w:rsid w:val="00EC2481"/>
    <w:rsid w:val="00EC2492"/>
    <w:rsid w:val="00EC24A7"/>
    <w:rsid w:val="00EC24D0"/>
    <w:rsid w:val="00EC24E5"/>
    <w:rsid w:val="00EC24F3"/>
    <w:rsid w:val="00EC2510"/>
    <w:rsid w:val="00EC2517"/>
    <w:rsid w:val="00EC251E"/>
    <w:rsid w:val="00EC2568"/>
    <w:rsid w:val="00EC256F"/>
    <w:rsid w:val="00EC2570"/>
    <w:rsid w:val="00EC2574"/>
    <w:rsid w:val="00EC25DC"/>
    <w:rsid w:val="00EC25E4"/>
    <w:rsid w:val="00EC2624"/>
    <w:rsid w:val="00EC2645"/>
    <w:rsid w:val="00EC2682"/>
    <w:rsid w:val="00EC269F"/>
    <w:rsid w:val="00EC273F"/>
    <w:rsid w:val="00EC278A"/>
    <w:rsid w:val="00EC27F1"/>
    <w:rsid w:val="00EC27FE"/>
    <w:rsid w:val="00EC2862"/>
    <w:rsid w:val="00EC2898"/>
    <w:rsid w:val="00EC28AC"/>
    <w:rsid w:val="00EC28B3"/>
    <w:rsid w:val="00EC28B8"/>
    <w:rsid w:val="00EC28B9"/>
    <w:rsid w:val="00EC28D7"/>
    <w:rsid w:val="00EC290E"/>
    <w:rsid w:val="00EC2929"/>
    <w:rsid w:val="00EC296E"/>
    <w:rsid w:val="00EC2997"/>
    <w:rsid w:val="00EC299D"/>
    <w:rsid w:val="00EC2A45"/>
    <w:rsid w:val="00EC2ACA"/>
    <w:rsid w:val="00EC2AEA"/>
    <w:rsid w:val="00EC2B05"/>
    <w:rsid w:val="00EC2B27"/>
    <w:rsid w:val="00EC2B59"/>
    <w:rsid w:val="00EC2B8D"/>
    <w:rsid w:val="00EC2BA8"/>
    <w:rsid w:val="00EC2BC3"/>
    <w:rsid w:val="00EC2C7B"/>
    <w:rsid w:val="00EC2D75"/>
    <w:rsid w:val="00EC2DE7"/>
    <w:rsid w:val="00EC2DF3"/>
    <w:rsid w:val="00EC2EB1"/>
    <w:rsid w:val="00EC2EB8"/>
    <w:rsid w:val="00EC2EFA"/>
    <w:rsid w:val="00EC2FA9"/>
    <w:rsid w:val="00EC2FCB"/>
    <w:rsid w:val="00EC3000"/>
    <w:rsid w:val="00EC3083"/>
    <w:rsid w:val="00EC3088"/>
    <w:rsid w:val="00EC309C"/>
    <w:rsid w:val="00EC30DC"/>
    <w:rsid w:val="00EC3118"/>
    <w:rsid w:val="00EC316C"/>
    <w:rsid w:val="00EC317B"/>
    <w:rsid w:val="00EC31F0"/>
    <w:rsid w:val="00EC32B5"/>
    <w:rsid w:val="00EC32C9"/>
    <w:rsid w:val="00EC32D6"/>
    <w:rsid w:val="00EC333F"/>
    <w:rsid w:val="00EC33AC"/>
    <w:rsid w:val="00EC33B3"/>
    <w:rsid w:val="00EC33E7"/>
    <w:rsid w:val="00EC33EF"/>
    <w:rsid w:val="00EC340F"/>
    <w:rsid w:val="00EC3458"/>
    <w:rsid w:val="00EC3522"/>
    <w:rsid w:val="00EC3545"/>
    <w:rsid w:val="00EC355A"/>
    <w:rsid w:val="00EC356F"/>
    <w:rsid w:val="00EC3603"/>
    <w:rsid w:val="00EC3676"/>
    <w:rsid w:val="00EC3722"/>
    <w:rsid w:val="00EC3764"/>
    <w:rsid w:val="00EC376B"/>
    <w:rsid w:val="00EC376D"/>
    <w:rsid w:val="00EC3783"/>
    <w:rsid w:val="00EC379F"/>
    <w:rsid w:val="00EC37CA"/>
    <w:rsid w:val="00EC37D8"/>
    <w:rsid w:val="00EC3834"/>
    <w:rsid w:val="00EC389A"/>
    <w:rsid w:val="00EC38B9"/>
    <w:rsid w:val="00EC38C7"/>
    <w:rsid w:val="00EC38D2"/>
    <w:rsid w:val="00EC38D7"/>
    <w:rsid w:val="00EC3942"/>
    <w:rsid w:val="00EC394C"/>
    <w:rsid w:val="00EC397B"/>
    <w:rsid w:val="00EC39CA"/>
    <w:rsid w:val="00EC39D6"/>
    <w:rsid w:val="00EC3A7E"/>
    <w:rsid w:val="00EC3A97"/>
    <w:rsid w:val="00EC3AAF"/>
    <w:rsid w:val="00EC3B28"/>
    <w:rsid w:val="00EC3B35"/>
    <w:rsid w:val="00EC3B47"/>
    <w:rsid w:val="00EC3B82"/>
    <w:rsid w:val="00EC3B8C"/>
    <w:rsid w:val="00EC3BE3"/>
    <w:rsid w:val="00EC3C1E"/>
    <w:rsid w:val="00EC3C2F"/>
    <w:rsid w:val="00EC3C50"/>
    <w:rsid w:val="00EC3CF4"/>
    <w:rsid w:val="00EC3D12"/>
    <w:rsid w:val="00EC3D22"/>
    <w:rsid w:val="00EC3D4F"/>
    <w:rsid w:val="00EC3D8A"/>
    <w:rsid w:val="00EC3DA6"/>
    <w:rsid w:val="00EC3DFC"/>
    <w:rsid w:val="00EC3E08"/>
    <w:rsid w:val="00EC3E36"/>
    <w:rsid w:val="00EC3E4F"/>
    <w:rsid w:val="00EC3E56"/>
    <w:rsid w:val="00EC3E6E"/>
    <w:rsid w:val="00EC3ECD"/>
    <w:rsid w:val="00EC3F4D"/>
    <w:rsid w:val="00EC3F5E"/>
    <w:rsid w:val="00EC3F81"/>
    <w:rsid w:val="00EC3F89"/>
    <w:rsid w:val="00EC3FB0"/>
    <w:rsid w:val="00EC401D"/>
    <w:rsid w:val="00EC404E"/>
    <w:rsid w:val="00EC4098"/>
    <w:rsid w:val="00EC40A9"/>
    <w:rsid w:val="00EC40C6"/>
    <w:rsid w:val="00EC40FB"/>
    <w:rsid w:val="00EC4110"/>
    <w:rsid w:val="00EC416F"/>
    <w:rsid w:val="00EC4259"/>
    <w:rsid w:val="00EC426F"/>
    <w:rsid w:val="00EC4296"/>
    <w:rsid w:val="00EC42AB"/>
    <w:rsid w:val="00EC42B9"/>
    <w:rsid w:val="00EC42D0"/>
    <w:rsid w:val="00EC42E3"/>
    <w:rsid w:val="00EC42F8"/>
    <w:rsid w:val="00EC432F"/>
    <w:rsid w:val="00EC4398"/>
    <w:rsid w:val="00EC43C0"/>
    <w:rsid w:val="00EC44BA"/>
    <w:rsid w:val="00EC44CA"/>
    <w:rsid w:val="00EC4529"/>
    <w:rsid w:val="00EC4579"/>
    <w:rsid w:val="00EC45A7"/>
    <w:rsid w:val="00EC45EA"/>
    <w:rsid w:val="00EC45F1"/>
    <w:rsid w:val="00EC4602"/>
    <w:rsid w:val="00EC464C"/>
    <w:rsid w:val="00EC4675"/>
    <w:rsid w:val="00EC468E"/>
    <w:rsid w:val="00EC4732"/>
    <w:rsid w:val="00EC47AA"/>
    <w:rsid w:val="00EC4802"/>
    <w:rsid w:val="00EC4865"/>
    <w:rsid w:val="00EC4893"/>
    <w:rsid w:val="00EC4902"/>
    <w:rsid w:val="00EC491A"/>
    <w:rsid w:val="00EC49C1"/>
    <w:rsid w:val="00EC49CA"/>
    <w:rsid w:val="00EC49ED"/>
    <w:rsid w:val="00EC49F0"/>
    <w:rsid w:val="00EC4A81"/>
    <w:rsid w:val="00EC4A9B"/>
    <w:rsid w:val="00EC4ABE"/>
    <w:rsid w:val="00EC4ACC"/>
    <w:rsid w:val="00EC4B25"/>
    <w:rsid w:val="00EC4B3A"/>
    <w:rsid w:val="00EC4BA5"/>
    <w:rsid w:val="00EC4C02"/>
    <w:rsid w:val="00EC4C16"/>
    <w:rsid w:val="00EC4C4C"/>
    <w:rsid w:val="00EC4CF4"/>
    <w:rsid w:val="00EC4D51"/>
    <w:rsid w:val="00EC4DD1"/>
    <w:rsid w:val="00EC4E3D"/>
    <w:rsid w:val="00EC4E42"/>
    <w:rsid w:val="00EC4E67"/>
    <w:rsid w:val="00EC4E70"/>
    <w:rsid w:val="00EC4E7C"/>
    <w:rsid w:val="00EC4EDC"/>
    <w:rsid w:val="00EC4F66"/>
    <w:rsid w:val="00EC4F6B"/>
    <w:rsid w:val="00EC4F76"/>
    <w:rsid w:val="00EC4FAC"/>
    <w:rsid w:val="00EC4FDC"/>
    <w:rsid w:val="00EC4FE5"/>
    <w:rsid w:val="00EC5048"/>
    <w:rsid w:val="00EC5050"/>
    <w:rsid w:val="00EC5065"/>
    <w:rsid w:val="00EC50BF"/>
    <w:rsid w:val="00EC5107"/>
    <w:rsid w:val="00EC510E"/>
    <w:rsid w:val="00EC5120"/>
    <w:rsid w:val="00EC5123"/>
    <w:rsid w:val="00EC5130"/>
    <w:rsid w:val="00EC519D"/>
    <w:rsid w:val="00EC51EE"/>
    <w:rsid w:val="00EC5242"/>
    <w:rsid w:val="00EC5268"/>
    <w:rsid w:val="00EC52B3"/>
    <w:rsid w:val="00EC5304"/>
    <w:rsid w:val="00EC5327"/>
    <w:rsid w:val="00EC533A"/>
    <w:rsid w:val="00EC5357"/>
    <w:rsid w:val="00EC5368"/>
    <w:rsid w:val="00EC53E6"/>
    <w:rsid w:val="00EC5404"/>
    <w:rsid w:val="00EC5405"/>
    <w:rsid w:val="00EC540E"/>
    <w:rsid w:val="00EC5413"/>
    <w:rsid w:val="00EC541B"/>
    <w:rsid w:val="00EC54B8"/>
    <w:rsid w:val="00EC54C3"/>
    <w:rsid w:val="00EC54C9"/>
    <w:rsid w:val="00EC54CB"/>
    <w:rsid w:val="00EC5516"/>
    <w:rsid w:val="00EC5531"/>
    <w:rsid w:val="00EC5537"/>
    <w:rsid w:val="00EC5569"/>
    <w:rsid w:val="00EC5580"/>
    <w:rsid w:val="00EC55E1"/>
    <w:rsid w:val="00EC5636"/>
    <w:rsid w:val="00EC5664"/>
    <w:rsid w:val="00EC5745"/>
    <w:rsid w:val="00EC5751"/>
    <w:rsid w:val="00EC5755"/>
    <w:rsid w:val="00EC5769"/>
    <w:rsid w:val="00EC5820"/>
    <w:rsid w:val="00EC582E"/>
    <w:rsid w:val="00EC58C8"/>
    <w:rsid w:val="00EC58DF"/>
    <w:rsid w:val="00EC5973"/>
    <w:rsid w:val="00EC59AB"/>
    <w:rsid w:val="00EC59CA"/>
    <w:rsid w:val="00EC59DB"/>
    <w:rsid w:val="00EC5A43"/>
    <w:rsid w:val="00EC5AE9"/>
    <w:rsid w:val="00EC5AF7"/>
    <w:rsid w:val="00EC5B9D"/>
    <w:rsid w:val="00EC5C20"/>
    <w:rsid w:val="00EC5C2C"/>
    <w:rsid w:val="00EC5C47"/>
    <w:rsid w:val="00EC5C88"/>
    <w:rsid w:val="00EC5CAD"/>
    <w:rsid w:val="00EC5D3D"/>
    <w:rsid w:val="00EC5D56"/>
    <w:rsid w:val="00EC5DC8"/>
    <w:rsid w:val="00EC5E1B"/>
    <w:rsid w:val="00EC5E47"/>
    <w:rsid w:val="00EC5E5A"/>
    <w:rsid w:val="00EC5EB0"/>
    <w:rsid w:val="00EC5EB9"/>
    <w:rsid w:val="00EC5F05"/>
    <w:rsid w:val="00EC5F59"/>
    <w:rsid w:val="00EC5F6F"/>
    <w:rsid w:val="00EC5F8D"/>
    <w:rsid w:val="00EC5FA5"/>
    <w:rsid w:val="00EC5FF3"/>
    <w:rsid w:val="00EC6020"/>
    <w:rsid w:val="00EC6053"/>
    <w:rsid w:val="00EC606A"/>
    <w:rsid w:val="00EC607B"/>
    <w:rsid w:val="00EC607E"/>
    <w:rsid w:val="00EC6087"/>
    <w:rsid w:val="00EC6091"/>
    <w:rsid w:val="00EC60D5"/>
    <w:rsid w:val="00EC6101"/>
    <w:rsid w:val="00EC613F"/>
    <w:rsid w:val="00EC6144"/>
    <w:rsid w:val="00EC6156"/>
    <w:rsid w:val="00EC6165"/>
    <w:rsid w:val="00EC6178"/>
    <w:rsid w:val="00EC617B"/>
    <w:rsid w:val="00EC61A9"/>
    <w:rsid w:val="00EC61DE"/>
    <w:rsid w:val="00EC6206"/>
    <w:rsid w:val="00EC6249"/>
    <w:rsid w:val="00EC6288"/>
    <w:rsid w:val="00EC62C0"/>
    <w:rsid w:val="00EC62E0"/>
    <w:rsid w:val="00EC6324"/>
    <w:rsid w:val="00EC635F"/>
    <w:rsid w:val="00EC6366"/>
    <w:rsid w:val="00EC638D"/>
    <w:rsid w:val="00EC63A6"/>
    <w:rsid w:val="00EC63BA"/>
    <w:rsid w:val="00EC6426"/>
    <w:rsid w:val="00EC6474"/>
    <w:rsid w:val="00EC648F"/>
    <w:rsid w:val="00EC649F"/>
    <w:rsid w:val="00EC64B0"/>
    <w:rsid w:val="00EC64B1"/>
    <w:rsid w:val="00EC6577"/>
    <w:rsid w:val="00EC6580"/>
    <w:rsid w:val="00EC65C1"/>
    <w:rsid w:val="00EC65C8"/>
    <w:rsid w:val="00EC65DF"/>
    <w:rsid w:val="00EC65F3"/>
    <w:rsid w:val="00EC6638"/>
    <w:rsid w:val="00EC6751"/>
    <w:rsid w:val="00EC67C8"/>
    <w:rsid w:val="00EC68DD"/>
    <w:rsid w:val="00EC6925"/>
    <w:rsid w:val="00EC6926"/>
    <w:rsid w:val="00EC696C"/>
    <w:rsid w:val="00EC69E3"/>
    <w:rsid w:val="00EC69EC"/>
    <w:rsid w:val="00EC6A1B"/>
    <w:rsid w:val="00EC6A1D"/>
    <w:rsid w:val="00EC6A22"/>
    <w:rsid w:val="00EC6A3C"/>
    <w:rsid w:val="00EC6A7F"/>
    <w:rsid w:val="00EC6AA1"/>
    <w:rsid w:val="00EC6AAE"/>
    <w:rsid w:val="00EC6AFC"/>
    <w:rsid w:val="00EC6B30"/>
    <w:rsid w:val="00EC6B86"/>
    <w:rsid w:val="00EC6BE1"/>
    <w:rsid w:val="00EC6C45"/>
    <w:rsid w:val="00EC6C5F"/>
    <w:rsid w:val="00EC6D58"/>
    <w:rsid w:val="00EC6D97"/>
    <w:rsid w:val="00EC6DBA"/>
    <w:rsid w:val="00EC6DE6"/>
    <w:rsid w:val="00EC6E0E"/>
    <w:rsid w:val="00EC6E6A"/>
    <w:rsid w:val="00EC6E7A"/>
    <w:rsid w:val="00EC6EA6"/>
    <w:rsid w:val="00EC6F22"/>
    <w:rsid w:val="00EC6F24"/>
    <w:rsid w:val="00EC6F29"/>
    <w:rsid w:val="00EC6FF6"/>
    <w:rsid w:val="00EC7001"/>
    <w:rsid w:val="00EC703B"/>
    <w:rsid w:val="00EC7077"/>
    <w:rsid w:val="00EC70F1"/>
    <w:rsid w:val="00EC7103"/>
    <w:rsid w:val="00EC7108"/>
    <w:rsid w:val="00EC7151"/>
    <w:rsid w:val="00EC7191"/>
    <w:rsid w:val="00EC71B0"/>
    <w:rsid w:val="00EC71B3"/>
    <w:rsid w:val="00EC71C2"/>
    <w:rsid w:val="00EC71F6"/>
    <w:rsid w:val="00EC722B"/>
    <w:rsid w:val="00EC7230"/>
    <w:rsid w:val="00EC7234"/>
    <w:rsid w:val="00EC72C1"/>
    <w:rsid w:val="00EC72E6"/>
    <w:rsid w:val="00EC736A"/>
    <w:rsid w:val="00EC7390"/>
    <w:rsid w:val="00EC73F3"/>
    <w:rsid w:val="00EC73F9"/>
    <w:rsid w:val="00EC741E"/>
    <w:rsid w:val="00EC744A"/>
    <w:rsid w:val="00EC7464"/>
    <w:rsid w:val="00EC7468"/>
    <w:rsid w:val="00EC746E"/>
    <w:rsid w:val="00EC748A"/>
    <w:rsid w:val="00EC74CD"/>
    <w:rsid w:val="00EC7538"/>
    <w:rsid w:val="00EC7540"/>
    <w:rsid w:val="00EC7578"/>
    <w:rsid w:val="00EC75D2"/>
    <w:rsid w:val="00EC75EE"/>
    <w:rsid w:val="00EC75EF"/>
    <w:rsid w:val="00EC75FD"/>
    <w:rsid w:val="00EC7610"/>
    <w:rsid w:val="00EC763A"/>
    <w:rsid w:val="00EC766A"/>
    <w:rsid w:val="00EC76A6"/>
    <w:rsid w:val="00EC76AD"/>
    <w:rsid w:val="00EC76B2"/>
    <w:rsid w:val="00EC76B3"/>
    <w:rsid w:val="00EC76BC"/>
    <w:rsid w:val="00EC76C3"/>
    <w:rsid w:val="00EC76EB"/>
    <w:rsid w:val="00EC76EF"/>
    <w:rsid w:val="00EC7747"/>
    <w:rsid w:val="00EC7752"/>
    <w:rsid w:val="00EC7780"/>
    <w:rsid w:val="00EC7783"/>
    <w:rsid w:val="00EC77B0"/>
    <w:rsid w:val="00EC7820"/>
    <w:rsid w:val="00EC7830"/>
    <w:rsid w:val="00EC7859"/>
    <w:rsid w:val="00EC7929"/>
    <w:rsid w:val="00EC792E"/>
    <w:rsid w:val="00EC7933"/>
    <w:rsid w:val="00EC793E"/>
    <w:rsid w:val="00EC794E"/>
    <w:rsid w:val="00EC795D"/>
    <w:rsid w:val="00EC7981"/>
    <w:rsid w:val="00EC798A"/>
    <w:rsid w:val="00EC79D7"/>
    <w:rsid w:val="00EC79E0"/>
    <w:rsid w:val="00EC79F1"/>
    <w:rsid w:val="00EC7A17"/>
    <w:rsid w:val="00EC7A50"/>
    <w:rsid w:val="00EC7AC9"/>
    <w:rsid w:val="00EC7AED"/>
    <w:rsid w:val="00EC7AF5"/>
    <w:rsid w:val="00EC7B30"/>
    <w:rsid w:val="00EC7B48"/>
    <w:rsid w:val="00EC7B97"/>
    <w:rsid w:val="00EC7BE0"/>
    <w:rsid w:val="00EC7BF7"/>
    <w:rsid w:val="00EC7C1B"/>
    <w:rsid w:val="00EC7C32"/>
    <w:rsid w:val="00EC7C8F"/>
    <w:rsid w:val="00EC7CD6"/>
    <w:rsid w:val="00EC7D11"/>
    <w:rsid w:val="00EC7D14"/>
    <w:rsid w:val="00EC7D5F"/>
    <w:rsid w:val="00EC7D6B"/>
    <w:rsid w:val="00EC7DD5"/>
    <w:rsid w:val="00EC7DE6"/>
    <w:rsid w:val="00EC7E56"/>
    <w:rsid w:val="00EC7E87"/>
    <w:rsid w:val="00EC7E90"/>
    <w:rsid w:val="00EC7E97"/>
    <w:rsid w:val="00EC7E98"/>
    <w:rsid w:val="00EC7EA1"/>
    <w:rsid w:val="00EC7EDC"/>
    <w:rsid w:val="00EC7EE6"/>
    <w:rsid w:val="00EC7EF0"/>
    <w:rsid w:val="00EC7F10"/>
    <w:rsid w:val="00EC7FE5"/>
    <w:rsid w:val="00EC7FF7"/>
    <w:rsid w:val="00EC7FFA"/>
    <w:rsid w:val="00ED0004"/>
    <w:rsid w:val="00ED001F"/>
    <w:rsid w:val="00ED004F"/>
    <w:rsid w:val="00ED00A9"/>
    <w:rsid w:val="00ED00C4"/>
    <w:rsid w:val="00ED00D7"/>
    <w:rsid w:val="00ED00F5"/>
    <w:rsid w:val="00ED00FA"/>
    <w:rsid w:val="00ED016C"/>
    <w:rsid w:val="00ED016D"/>
    <w:rsid w:val="00ED01AA"/>
    <w:rsid w:val="00ED027C"/>
    <w:rsid w:val="00ED03C9"/>
    <w:rsid w:val="00ED0458"/>
    <w:rsid w:val="00ED046F"/>
    <w:rsid w:val="00ED0473"/>
    <w:rsid w:val="00ED048A"/>
    <w:rsid w:val="00ED04DA"/>
    <w:rsid w:val="00ED04F3"/>
    <w:rsid w:val="00ED0527"/>
    <w:rsid w:val="00ED055C"/>
    <w:rsid w:val="00ED05D1"/>
    <w:rsid w:val="00ED061A"/>
    <w:rsid w:val="00ED0642"/>
    <w:rsid w:val="00ED066E"/>
    <w:rsid w:val="00ED0673"/>
    <w:rsid w:val="00ED0699"/>
    <w:rsid w:val="00ED069E"/>
    <w:rsid w:val="00ED06BC"/>
    <w:rsid w:val="00ED06BF"/>
    <w:rsid w:val="00ED06D0"/>
    <w:rsid w:val="00ED06E7"/>
    <w:rsid w:val="00ED0720"/>
    <w:rsid w:val="00ED0735"/>
    <w:rsid w:val="00ED073A"/>
    <w:rsid w:val="00ED077B"/>
    <w:rsid w:val="00ED077C"/>
    <w:rsid w:val="00ED078E"/>
    <w:rsid w:val="00ED07A3"/>
    <w:rsid w:val="00ED07B0"/>
    <w:rsid w:val="00ED0805"/>
    <w:rsid w:val="00ED0839"/>
    <w:rsid w:val="00ED08F5"/>
    <w:rsid w:val="00ED08F9"/>
    <w:rsid w:val="00ED0921"/>
    <w:rsid w:val="00ED0988"/>
    <w:rsid w:val="00ED099B"/>
    <w:rsid w:val="00ED09BD"/>
    <w:rsid w:val="00ED0A1F"/>
    <w:rsid w:val="00ED0A37"/>
    <w:rsid w:val="00ED0A3D"/>
    <w:rsid w:val="00ED0A86"/>
    <w:rsid w:val="00ED0AAA"/>
    <w:rsid w:val="00ED0AC2"/>
    <w:rsid w:val="00ED0B68"/>
    <w:rsid w:val="00ED0B86"/>
    <w:rsid w:val="00ED0BA3"/>
    <w:rsid w:val="00ED0BB3"/>
    <w:rsid w:val="00ED0BE3"/>
    <w:rsid w:val="00ED0C06"/>
    <w:rsid w:val="00ED0CA4"/>
    <w:rsid w:val="00ED0D2C"/>
    <w:rsid w:val="00ED0D86"/>
    <w:rsid w:val="00ED0D8A"/>
    <w:rsid w:val="00ED0DAE"/>
    <w:rsid w:val="00ED0DEE"/>
    <w:rsid w:val="00ED0DF3"/>
    <w:rsid w:val="00ED0E3A"/>
    <w:rsid w:val="00ED0E73"/>
    <w:rsid w:val="00ED0EC0"/>
    <w:rsid w:val="00ED0F0B"/>
    <w:rsid w:val="00ED0F26"/>
    <w:rsid w:val="00ED0F49"/>
    <w:rsid w:val="00ED100A"/>
    <w:rsid w:val="00ED1099"/>
    <w:rsid w:val="00ED10B1"/>
    <w:rsid w:val="00ED10E1"/>
    <w:rsid w:val="00ED10F1"/>
    <w:rsid w:val="00ED1116"/>
    <w:rsid w:val="00ED1128"/>
    <w:rsid w:val="00ED1162"/>
    <w:rsid w:val="00ED1192"/>
    <w:rsid w:val="00ED11CF"/>
    <w:rsid w:val="00ED1273"/>
    <w:rsid w:val="00ED12A2"/>
    <w:rsid w:val="00ED12CD"/>
    <w:rsid w:val="00ED12E6"/>
    <w:rsid w:val="00ED1316"/>
    <w:rsid w:val="00ED1331"/>
    <w:rsid w:val="00ED1367"/>
    <w:rsid w:val="00ED13D6"/>
    <w:rsid w:val="00ED1424"/>
    <w:rsid w:val="00ED1455"/>
    <w:rsid w:val="00ED145D"/>
    <w:rsid w:val="00ED149B"/>
    <w:rsid w:val="00ED14DF"/>
    <w:rsid w:val="00ED1503"/>
    <w:rsid w:val="00ED1534"/>
    <w:rsid w:val="00ED1545"/>
    <w:rsid w:val="00ED159A"/>
    <w:rsid w:val="00ED15A6"/>
    <w:rsid w:val="00ED15B4"/>
    <w:rsid w:val="00ED15F2"/>
    <w:rsid w:val="00ED160C"/>
    <w:rsid w:val="00ED1610"/>
    <w:rsid w:val="00ED164D"/>
    <w:rsid w:val="00ED1655"/>
    <w:rsid w:val="00ED167B"/>
    <w:rsid w:val="00ED16C5"/>
    <w:rsid w:val="00ED16D7"/>
    <w:rsid w:val="00ED16F7"/>
    <w:rsid w:val="00ED16FA"/>
    <w:rsid w:val="00ED173B"/>
    <w:rsid w:val="00ED17DD"/>
    <w:rsid w:val="00ED1845"/>
    <w:rsid w:val="00ED1852"/>
    <w:rsid w:val="00ED1874"/>
    <w:rsid w:val="00ED1898"/>
    <w:rsid w:val="00ED18CC"/>
    <w:rsid w:val="00ED18CD"/>
    <w:rsid w:val="00ED1901"/>
    <w:rsid w:val="00ED196E"/>
    <w:rsid w:val="00ED1972"/>
    <w:rsid w:val="00ED1A4E"/>
    <w:rsid w:val="00ED1A5E"/>
    <w:rsid w:val="00ED1A89"/>
    <w:rsid w:val="00ED1ABD"/>
    <w:rsid w:val="00ED1AE0"/>
    <w:rsid w:val="00ED1AF3"/>
    <w:rsid w:val="00ED1AFB"/>
    <w:rsid w:val="00ED1AFD"/>
    <w:rsid w:val="00ED1B15"/>
    <w:rsid w:val="00ED1B52"/>
    <w:rsid w:val="00ED1B62"/>
    <w:rsid w:val="00ED1BAB"/>
    <w:rsid w:val="00ED1BEF"/>
    <w:rsid w:val="00ED1BF9"/>
    <w:rsid w:val="00ED1C6F"/>
    <w:rsid w:val="00ED1CF4"/>
    <w:rsid w:val="00ED1D18"/>
    <w:rsid w:val="00ED1D4A"/>
    <w:rsid w:val="00ED1D59"/>
    <w:rsid w:val="00ED1D67"/>
    <w:rsid w:val="00ED1D83"/>
    <w:rsid w:val="00ED1DBA"/>
    <w:rsid w:val="00ED1DD1"/>
    <w:rsid w:val="00ED1DEC"/>
    <w:rsid w:val="00ED1DFE"/>
    <w:rsid w:val="00ED1E39"/>
    <w:rsid w:val="00ED1E6F"/>
    <w:rsid w:val="00ED1EA7"/>
    <w:rsid w:val="00ED1EAF"/>
    <w:rsid w:val="00ED1EFF"/>
    <w:rsid w:val="00ED1F5C"/>
    <w:rsid w:val="00ED1FAE"/>
    <w:rsid w:val="00ED1FD7"/>
    <w:rsid w:val="00ED2000"/>
    <w:rsid w:val="00ED203B"/>
    <w:rsid w:val="00ED2051"/>
    <w:rsid w:val="00ED20B5"/>
    <w:rsid w:val="00ED2106"/>
    <w:rsid w:val="00ED2151"/>
    <w:rsid w:val="00ED2204"/>
    <w:rsid w:val="00ED2237"/>
    <w:rsid w:val="00ED2288"/>
    <w:rsid w:val="00ED230A"/>
    <w:rsid w:val="00ED2336"/>
    <w:rsid w:val="00ED234C"/>
    <w:rsid w:val="00ED2399"/>
    <w:rsid w:val="00ED23DC"/>
    <w:rsid w:val="00ED244D"/>
    <w:rsid w:val="00ED2469"/>
    <w:rsid w:val="00ED24AA"/>
    <w:rsid w:val="00ED24C4"/>
    <w:rsid w:val="00ED250E"/>
    <w:rsid w:val="00ED2540"/>
    <w:rsid w:val="00ED25CB"/>
    <w:rsid w:val="00ED25D2"/>
    <w:rsid w:val="00ED25E1"/>
    <w:rsid w:val="00ED2614"/>
    <w:rsid w:val="00ED2630"/>
    <w:rsid w:val="00ED264B"/>
    <w:rsid w:val="00ED264F"/>
    <w:rsid w:val="00ED2682"/>
    <w:rsid w:val="00ED26A8"/>
    <w:rsid w:val="00ED26E0"/>
    <w:rsid w:val="00ED2769"/>
    <w:rsid w:val="00ED276E"/>
    <w:rsid w:val="00ED27A4"/>
    <w:rsid w:val="00ED27BB"/>
    <w:rsid w:val="00ED27DF"/>
    <w:rsid w:val="00ED27E6"/>
    <w:rsid w:val="00ED27F5"/>
    <w:rsid w:val="00ED2829"/>
    <w:rsid w:val="00ED286A"/>
    <w:rsid w:val="00ED28A4"/>
    <w:rsid w:val="00ED2907"/>
    <w:rsid w:val="00ED2914"/>
    <w:rsid w:val="00ED291F"/>
    <w:rsid w:val="00ED295C"/>
    <w:rsid w:val="00ED2966"/>
    <w:rsid w:val="00ED29FA"/>
    <w:rsid w:val="00ED2A03"/>
    <w:rsid w:val="00ED2A21"/>
    <w:rsid w:val="00ED2A5E"/>
    <w:rsid w:val="00ED2A7F"/>
    <w:rsid w:val="00ED2AB6"/>
    <w:rsid w:val="00ED2B1F"/>
    <w:rsid w:val="00ED2B60"/>
    <w:rsid w:val="00ED2BAE"/>
    <w:rsid w:val="00ED2BFA"/>
    <w:rsid w:val="00ED2C27"/>
    <w:rsid w:val="00ED2C30"/>
    <w:rsid w:val="00ED2C9A"/>
    <w:rsid w:val="00ED2CCB"/>
    <w:rsid w:val="00ED2CFB"/>
    <w:rsid w:val="00ED2D4C"/>
    <w:rsid w:val="00ED2D57"/>
    <w:rsid w:val="00ED2D80"/>
    <w:rsid w:val="00ED2E10"/>
    <w:rsid w:val="00ED2E28"/>
    <w:rsid w:val="00ED2E8C"/>
    <w:rsid w:val="00ED2ED4"/>
    <w:rsid w:val="00ED2ED6"/>
    <w:rsid w:val="00ED2EE8"/>
    <w:rsid w:val="00ED2EEE"/>
    <w:rsid w:val="00ED2EFB"/>
    <w:rsid w:val="00ED2F43"/>
    <w:rsid w:val="00ED2F66"/>
    <w:rsid w:val="00ED2F6C"/>
    <w:rsid w:val="00ED2F73"/>
    <w:rsid w:val="00ED2F83"/>
    <w:rsid w:val="00ED2F8F"/>
    <w:rsid w:val="00ED2FA9"/>
    <w:rsid w:val="00ED2FFE"/>
    <w:rsid w:val="00ED3005"/>
    <w:rsid w:val="00ED300B"/>
    <w:rsid w:val="00ED300D"/>
    <w:rsid w:val="00ED3054"/>
    <w:rsid w:val="00ED30C7"/>
    <w:rsid w:val="00ED30E0"/>
    <w:rsid w:val="00ED311D"/>
    <w:rsid w:val="00ED3180"/>
    <w:rsid w:val="00ED31B3"/>
    <w:rsid w:val="00ED31B9"/>
    <w:rsid w:val="00ED31CE"/>
    <w:rsid w:val="00ED31F2"/>
    <w:rsid w:val="00ED3240"/>
    <w:rsid w:val="00ED3300"/>
    <w:rsid w:val="00ED3309"/>
    <w:rsid w:val="00ED3322"/>
    <w:rsid w:val="00ED33BE"/>
    <w:rsid w:val="00ED33E1"/>
    <w:rsid w:val="00ED33FC"/>
    <w:rsid w:val="00ED340A"/>
    <w:rsid w:val="00ED345C"/>
    <w:rsid w:val="00ED345F"/>
    <w:rsid w:val="00ED34D3"/>
    <w:rsid w:val="00ED34F8"/>
    <w:rsid w:val="00ED3516"/>
    <w:rsid w:val="00ED352B"/>
    <w:rsid w:val="00ED35CD"/>
    <w:rsid w:val="00ED35EB"/>
    <w:rsid w:val="00ED3666"/>
    <w:rsid w:val="00ED3671"/>
    <w:rsid w:val="00ED36A7"/>
    <w:rsid w:val="00ED36A9"/>
    <w:rsid w:val="00ED36AB"/>
    <w:rsid w:val="00ED36BE"/>
    <w:rsid w:val="00ED3754"/>
    <w:rsid w:val="00ED3770"/>
    <w:rsid w:val="00ED3772"/>
    <w:rsid w:val="00ED379E"/>
    <w:rsid w:val="00ED37AE"/>
    <w:rsid w:val="00ED37E5"/>
    <w:rsid w:val="00ED3801"/>
    <w:rsid w:val="00ED38A7"/>
    <w:rsid w:val="00ED38B6"/>
    <w:rsid w:val="00ED38D2"/>
    <w:rsid w:val="00ED38EF"/>
    <w:rsid w:val="00ED3954"/>
    <w:rsid w:val="00ED3955"/>
    <w:rsid w:val="00ED398A"/>
    <w:rsid w:val="00ED39BC"/>
    <w:rsid w:val="00ED39F6"/>
    <w:rsid w:val="00ED3A04"/>
    <w:rsid w:val="00ED3A76"/>
    <w:rsid w:val="00ED3A7F"/>
    <w:rsid w:val="00ED3A8C"/>
    <w:rsid w:val="00ED3A8E"/>
    <w:rsid w:val="00ED3AFF"/>
    <w:rsid w:val="00ED3B12"/>
    <w:rsid w:val="00ED3B98"/>
    <w:rsid w:val="00ED3BC9"/>
    <w:rsid w:val="00ED3BE4"/>
    <w:rsid w:val="00ED3C4F"/>
    <w:rsid w:val="00ED3CB2"/>
    <w:rsid w:val="00ED3DCA"/>
    <w:rsid w:val="00ED3E09"/>
    <w:rsid w:val="00ED3E12"/>
    <w:rsid w:val="00ED3E40"/>
    <w:rsid w:val="00ED3EAA"/>
    <w:rsid w:val="00ED3ED1"/>
    <w:rsid w:val="00ED3F13"/>
    <w:rsid w:val="00ED4005"/>
    <w:rsid w:val="00ED4077"/>
    <w:rsid w:val="00ED40A9"/>
    <w:rsid w:val="00ED4127"/>
    <w:rsid w:val="00ED41D2"/>
    <w:rsid w:val="00ED4229"/>
    <w:rsid w:val="00ED4242"/>
    <w:rsid w:val="00ED4250"/>
    <w:rsid w:val="00ED42E2"/>
    <w:rsid w:val="00ED4335"/>
    <w:rsid w:val="00ED4371"/>
    <w:rsid w:val="00ED4427"/>
    <w:rsid w:val="00ED4449"/>
    <w:rsid w:val="00ED447B"/>
    <w:rsid w:val="00ED44ED"/>
    <w:rsid w:val="00ED4523"/>
    <w:rsid w:val="00ED4580"/>
    <w:rsid w:val="00ED4582"/>
    <w:rsid w:val="00ED45EE"/>
    <w:rsid w:val="00ED4612"/>
    <w:rsid w:val="00ED461E"/>
    <w:rsid w:val="00ED4670"/>
    <w:rsid w:val="00ED4690"/>
    <w:rsid w:val="00ED46D7"/>
    <w:rsid w:val="00ED47AA"/>
    <w:rsid w:val="00ED47AD"/>
    <w:rsid w:val="00ED47DA"/>
    <w:rsid w:val="00ED4853"/>
    <w:rsid w:val="00ED488F"/>
    <w:rsid w:val="00ED4893"/>
    <w:rsid w:val="00ED48A1"/>
    <w:rsid w:val="00ED48E4"/>
    <w:rsid w:val="00ED4954"/>
    <w:rsid w:val="00ED496C"/>
    <w:rsid w:val="00ED497C"/>
    <w:rsid w:val="00ED4984"/>
    <w:rsid w:val="00ED4A17"/>
    <w:rsid w:val="00ED4A25"/>
    <w:rsid w:val="00ED4A55"/>
    <w:rsid w:val="00ED4A56"/>
    <w:rsid w:val="00ED4A65"/>
    <w:rsid w:val="00ED4A97"/>
    <w:rsid w:val="00ED4B12"/>
    <w:rsid w:val="00ED4B23"/>
    <w:rsid w:val="00ED4B39"/>
    <w:rsid w:val="00ED4B43"/>
    <w:rsid w:val="00ED4B96"/>
    <w:rsid w:val="00ED4CC3"/>
    <w:rsid w:val="00ED4D05"/>
    <w:rsid w:val="00ED4D09"/>
    <w:rsid w:val="00ED4D6C"/>
    <w:rsid w:val="00ED4D7D"/>
    <w:rsid w:val="00ED4D85"/>
    <w:rsid w:val="00ED4D90"/>
    <w:rsid w:val="00ED4DAC"/>
    <w:rsid w:val="00ED4DAE"/>
    <w:rsid w:val="00ED4DBB"/>
    <w:rsid w:val="00ED4DDA"/>
    <w:rsid w:val="00ED4DE9"/>
    <w:rsid w:val="00ED4E16"/>
    <w:rsid w:val="00ED4E45"/>
    <w:rsid w:val="00ED4EA6"/>
    <w:rsid w:val="00ED4EC3"/>
    <w:rsid w:val="00ED4F21"/>
    <w:rsid w:val="00ED4F57"/>
    <w:rsid w:val="00ED4F60"/>
    <w:rsid w:val="00ED4F65"/>
    <w:rsid w:val="00ED4F8A"/>
    <w:rsid w:val="00ED4F8E"/>
    <w:rsid w:val="00ED5018"/>
    <w:rsid w:val="00ED5034"/>
    <w:rsid w:val="00ED5088"/>
    <w:rsid w:val="00ED50C2"/>
    <w:rsid w:val="00ED50D5"/>
    <w:rsid w:val="00ED50E7"/>
    <w:rsid w:val="00ED513D"/>
    <w:rsid w:val="00ED514B"/>
    <w:rsid w:val="00ED516D"/>
    <w:rsid w:val="00ED5182"/>
    <w:rsid w:val="00ED51B3"/>
    <w:rsid w:val="00ED51C3"/>
    <w:rsid w:val="00ED521A"/>
    <w:rsid w:val="00ED52AC"/>
    <w:rsid w:val="00ED52B0"/>
    <w:rsid w:val="00ED535D"/>
    <w:rsid w:val="00ED5379"/>
    <w:rsid w:val="00ED5386"/>
    <w:rsid w:val="00ED538B"/>
    <w:rsid w:val="00ED5423"/>
    <w:rsid w:val="00ED54B1"/>
    <w:rsid w:val="00ED54D5"/>
    <w:rsid w:val="00ED5579"/>
    <w:rsid w:val="00ED558A"/>
    <w:rsid w:val="00ED55AC"/>
    <w:rsid w:val="00ED55AF"/>
    <w:rsid w:val="00ED55D2"/>
    <w:rsid w:val="00ED5604"/>
    <w:rsid w:val="00ED561D"/>
    <w:rsid w:val="00ED5637"/>
    <w:rsid w:val="00ED5639"/>
    <w:rsid w:val="00ED563E"/>
    <w:rsid w:val="00ED5664"/>
    <w:rsid w:val="00ED56BB"/>
    <w:rsid w:val="00ED5700"/>
    <w:rsid w:val="00ED570E"/>
    <w:rsid w:val="00ED5724"/>
    <w:rsid w:val="00ED5789"/>
    <w:rsid w:val="00ED5795"/>
    <w:rsid w:val="00ED57C4"/>
    <w:rsid w:val="00ED5802"/>
    <w:rsid w:val="00ED583E"/>
    <w:rsid w:val="00ED5863"/>
    <w:rsid w:val="00ED5898"/>
    <w:rsid w:val="00ED58A8"/>
    <w:rsid w:val="00ED5928"/>
    <w:rsid w:val="00ED5941"/>
    <w:rsid w:val="00ED59E7"/>
    <w:rsid w:val="00ED59EE"/>
    <w:rsid w:val="00ED5A6C"/>
    <w:rsid w:val="00ED5AAC"/>
    <w:rsid w:val="00ED5AF4"/>
    <w:rsid w:val="00ED5B1E"/>
    <w:rsid w:val="00ED5B78"/>
    <w:rsid w:val="00ED5BC3"/>
    <w:rsid w:val="00ED5BE6"/>
    <w:rsid w:val="00ED5C9F"/>
    <w:rsid w:val="00ED5CC9"/>
    <w:rsid w:val="00ED5D37"/>
    <w:rsid w:val="00ED5D52"/>
    <w:rsid w:val="00ED5D5A"/>
    <w:rsid w:val="00ED5DC6"/>
    <w:rsid w:val="00ED5E10"/>
    <w:rsid w:val="00ED5E16"/>
    <w:rsid w:val="00ED5E81"/>
    <w:rsid w:val="00ED5ECB"/>
    <w:rsid w:val="00ED5F10"/>
    <w:rsid w:val="00ED5FA3"/>
    <w:rsid w:val="00ED6056"/>
    <w:rsid w:val="00ED605B"/>
    <w:rsid w:val="00ED6077"/>
    <w:rsid w:val="00ED6091"/>
    <w:rsid w:val="00ED60BE"/>
    <w:rsid w:val="00ED60DE"/>
    <w:rsid w:val="00ED60DF"/>
    <w:rsid w:val="00ED61B9"/>
    <w:rsid w:val="00ED61DD"/>
    <w:rsid w:val="00ED61F8"/>
    <w:rsid w:val="00ED6245"/>
    <w:rsid w:val="00ED6249"/>
    <w:rsid w:val="00ED62A7"/>
    <w:rsid w:val="00ED62AA"/>
    <w:rsid w:val="00ED633A"/>
    <w:rsid w:val="00ED63A3"/>
    <w:rsid w:val="00ED63B2"/>
    <w:rsid w:val="00ED63D7"/>
    <w:rsid w:val="00ED6413"/>
    <w:rsid w:val="00ED6498"/>
    <w:rsid w:val="00ED64E8"/>
    <w:rsid w:val="00ED6537"/>
    <w:rsid w:val="00ED656A"/>
    <w:rsid w:val="00ED66EF"/>
    <w:rsid w:val="00ED67D1"/>
    <w:rsid w:val="00ED6817"/>
    <w:rsid w:val="00ED6895"/>
    <w:rsid w:val="00ED68C6"/>
    <w:rsid w:val="00ED68E5"/>
    <w:rsid w:val="00ED6912"/>
    <w:rsid w:val="00ED692C"/>
    <w:rsid w:val="00ED694F"/>
    <w:rsid w:val="00ED6981"/>
    <w:rsid w:val="00ED69FC"/>
    <w:rsid w:val="00ED6A07"/>
    <w:rsid w:val="00ED6A2D"/>
    <w:rsid w:val="00ED6A62"/>
    <w:rsid w:val="00ED6A6D"/>
    <w:rsid w:val="00ED6AAE"/>
    <w:rsid w:val="00ED6B14"/>
    <w:rsid w:val="00ED6B86"/>
    <w:rsid w:val="00ED6BC7"/>
    <w:rsid w:val="00ED6BEB"/>
    <w:rsid w:val="00ED6C04"/>
    <w:rsid w:val="00ED6CCD"/>
    <w:rsid w:val="00ED6D03"/>
    <w:rsid w:val="00ED6D07"/>
    <w:rsid w:val="00ED6D4F"/>
    <w:rsid w:val="00ED6D50"/>
    <w:rsid w:val="00ED6D84"/>
    <w:rsid w:val="00ED6DCC"/>
    <w:rsid w:val="00ED6E0D"/>
    <w:rsid w:val="00ED6E2A"/>
    <w:rsid w:val="00ED6EAB"/>
    <w:rsid w:val="00ED6EC7"/>
    <w:rsid w:val="00ED6F22"/>
    <w:rsid w:val="00ED6F51"/>
    <w:rsid w:val="00ED6FCE"/>
    <w:rsid w:val="00ED6FD8"/>
    <w:rsid w:val="00ED70B5"/>
    <w:rsid w:val="00ED70FB"/>
    <w:rsid w:val="00ED716E"/>
    <w:rsid w:val="00ED71A6"/>
    <w:rsid w:val="00ED71DB"/>
    <w:rsid w:val="00ED7207"/>
    <w:rsid w:val="00ED7220"/>
    <w:rsid w:val="00ED724B"/>
    <w:rsid w:val="00ED725B"/>
    <w:rsid w:val="00ED7263"/>
    <w:rsid w:val="00ED72CE"/>
    <w:rsid w:val="00ED72FA"/>
    <w:rsid w:val="00ED7319"/>
    <w:rsid w:val="00ED732E"/>
    <w:rsid w:val="00ED7355"/>
    <w:rsid w:val="00ED736A"/>
    <w:rsid w:val="00ED7371"/>
    <w:rsid w:val="00ED739F"/>
    <w:rsid w:val="00ED73DF"/>
    <w:rsid w:val="00ED73EC"/>
    <w:rsid w:val="00ED7402"/>
    <w:rsid w:val="00ED7495"/>
    <w:rsid w:val="00ED74A0"/>
    <w:rsid w:val="00ED74C5"/>
    <w:rsid w:val="00ED74EE"/>
    <w:rsid w:val="00ED7529"/>
    <w:rsid w:val="00ED752A"/>
    <w:rsid w:val="00ED7530"/>
    <w:rsid w:val="00ED755B"/>
    <w:rsid w:val="00ED75AE"/>
    <w:rsid w:val="00ED75CB"/>
    <w:rsid w:val="00ED763B"/>
    <w:rsid w:val="00ED764B"/>
    <w:rsid w:val="00ED767B"/>
    <w:rsid w:val="00ED76EA"/>
    <w:rsid w:val="00ED7723"/>
    <w:rsid w:val="00ED7745"/>
    <w:rsid w:val="00ED77B6"/>
    <w:rsid w:val="00ED77E0"/>
    <w:rsid w:val="00ED77E7"/>
    <w:rsid w:val="00ED7813"/>
    <w:rsid w:val="00ED782D"/>
    <w:rsid w:val="00ED7830"/>
    <w:rsid w:val="00ED7856"/>
    <w:rsid w:val="00ED7861"/>
    <w:rsid w:val="00ED7905"/>
    <w:rsid w:val="00ED798F"/>
    <w:rsid w:val="00ED7999"/>
    <w:rsid w:val="00ED79AA"/>
    <w:rsid w:val="00ED79D2"/>
    <w:rsid w:val="00ED7A28"/>
    <w:rsid w:val="00ED7A83"/>
    <w:rsid w:val="00ED7AC7"/>
    <w:rsid w:val="00ED7B0B"/>
    <w:rsid w:val="00ED7B2B"/>
    <w:rsid w:val="00ED7B67"/>
    <w:rsid w:val="00ED7B87"/>
    <w:rsid w:val="00ED7BDA"/>
    <w:rsid w:val="00ED7C00"/>
    <w:rsid w:val="00ED7C1D"/>
    <w:rsid w:val="00ED7C2C"/>
    <w:rsid w:val="00ED7C3E"/>
    <w:rsid w:val="00ED7C44"/>
    <w:rsid w:val="00ED7C58"/>
    <w:rsid w:val="00ED7C7F"/>
    <w:rsid w:val="00ED7CA0"/>
    <w:rsid w:val="00ED7D19"/>
    <w:rsid w:val="00ED7D3E"/>
    <w:rsid w:val="00ED7D4F"/>
    <w:rsid w:val="00ED7DBB"/>
    <w:rsid w:val="00ED7DC4"/>
    <w:rsid w:val="00ED7DCD"/>
    <w:rsid w:val="00ED7DF2"/>
    <w:rsid w:val="00ED7E1F"/>
    <w:rsid w:val="00ED7E71"/>
    <w:rsid w:val="00ED7E7B"/>
    <w:rsid w:val="00ED7ED9"/>
    <w:rsid w:val="00ED7FA0"/>
    <w:rsid w:val="00ED7FFA"/>
    <w:rsid w:val="00EE006A"/>
    <w:rsid w:val="00EE0091"/>
    <w:rsid w:val="00EE0123"/>
    <w:rsid w:val="00EE013A"/>
    <w:rsid w:val="00EE0202"/>
    <w:rsid w:val="00EE0253"/>
    <w:rsid w:val="00EE026C"/>
    <w:rsid w:val="00EE02CC"/>
    <w:rsid w:val="00EE02FE"/>
    <w:rsid w:val="00EE0305"/>
    <w:rsid w:val="00EE0372"/>
    <w:rsid w:val="00EE0381"/>
    <w:rsid w:val="00EE03A2"/>
    <w:rsid w:val="00EE03AA"/>
    <w:rsid w:val="00EE03B5"/>
    <w:rsid w:val="00EE03BD"/>
    <w:rsid w:val="00EE03BE"/>
    <w:rsid w:val="00EE03EB"/>
    <w:rsid w:val="00EE0400"/>
    <w:rsid w:val="00EE042F"/>
    <w:rsid w:val="00EE04D1"/>
    <w:rsid w:val="00EE04EB"/>
    <w:rsid w:val="00EE0547"/>
    <w:rsid w:val="00EE056A"/>
    <w:rsid w:val="00EE0583"/>
    <w:rsid w:val="00EE0681"/>
    <w:rsid w:val="00EE068E"/>
    <w:rsid w:val="00EE0692"/>
    <w:rsid w:val="00EE0699"/>
    <w:rsid w:val="00EE069F"/>
    <w:rsid w:val="00EE06A8"/>
    <w:rsid w:val="00EE06F3"/>
    <w:rsid w:val="00EE070B"/>
    <w:rsid w:val="00EE073E"/>
    <w:rsid w:val="00EE0768"/>
    <w:rsid w:val="00EE0790"/>
    <w:rsid w:val="00EE07AE"/>
    <w:rsid w:val="00EE07FD"/>
    <w:rsid w:val="00EE0851"/>
    <w:rsid w:val="00EE087E"/>
    <w:rsid w:val="00EE09BE"/>
    <w:rsid w:val="00EE0A03"/>
    <w:rsid w:val="00EE0A27"/>
    <w:rsid w:val="00EE0A88"/>
    <w:rsid w:val="00EE0B07"/>
    <w:rsid w:val="00EE0B0B"/>
    <w:rsid w:val="00EE0B29"/>
    <w:rsid w:val="00EE0B4F"/>
    <w:rsid w:val="00EE0B7F"/>
    <w:rsid w:val="00EE0B80"/>
    <w:rsid w:val="00EE0B8F"/>
    <w:rsid w:val="00EE0C16"/>
    <w:rsid w:val="00EE0C86"/>
    <w:rsid w:val="00EE0C9F"/>
    <w:rsid w:val="00EE0CA3"/>
    <w:rsid w:val="00EE0CB1"/>
    <w:rsid w:val="00EE0CFB"/>
    <w:rsid w:val="00EE0CFE"/>
    <w:rsid w:val="00EE0D1B"/>
    <w:rsid w:val="00EE0D2E"/>
    <w:rsid w:val="00EE0D53"/>
    <w:rsid w:val="00EE0D7A"/>
    <w:rsid w:val="00EE0DC1"/>
    <w:rsid w:val="00EE0DD0"/>
    <w:rsid w:val="00EE0DE7"/>
    <w:rsid w:val="00EE0E00"/>
    <w:rsid w:val="00EE0E4F"/>
    <w:rsid w:val="00EE0EB6"/>
    <w:rsid w:val="00EE0EDD"/>
    <w:rsid w:val="00EE0F48"/>
    <w:rsid w:val="00EE0F61"/>
    <w:rsid w:val="00EE0F87"/>
    <w:rsid w:val="00EE0F97"/>
    <w:rsid w:val="00EE0FC8"/>
    <w:rsid w:val="00EE0FF2"/>
    <w:rsid w:val="00EE0FFD"/>
    <w:rsid w:val="00EE1049"/>
    <w:rsid w:val="00EE109A"/>
    <w:rsid w:val="00EE10BB"/>
    <w:rsid w:val="00EE1183"/>
    <w:rsid w:val="00EE11BB"/>
    <w:rsid w:val="00EE11D1"/>
    <w:rsid w:val="00EE1219"/>
    <w:rsid w:val="00EE1336"/>
    <w:rsid w:val="00EE1341"/>
    <w:rsid w:val="00EE13C5"/>
    <w:rsid w:val="00EE13D8"/>
    <w:rsid w:val="00EE13EC"/>
    <w:rsid w:val="00EE1403"/>
    <w:rsid w:val="00EE1464"/>
    <w:rsid w:val="00EE146B"/>
    <w:rsid w:val="00EE1470"/>
    <w:rsid w:val="00EE151B"/>
    <w:rsid w:val="00EE154C"/>
    <w:rsid w:val="00EE1553"/>
    <w:rsid w:val="00EE15EB"/>
    <w:rsid w:val="00EE161E"/>
    <w:rsid w:val="00EE1629"/>
    <w:rsid w:val="00EE1641"/>
    <w:rsid w:val="00EE16A9"/>
    <w:rsid w:val="00EE16DD"/>
    <w:rsid w:val="00EE1726"/>
    <w:rsid w:val="00EE1741"/>
    <w:rsid w:val="00EE175C"/>
    <w:rsid w:val="00EE1765"/>
    <w:rsid w:val="00EE17DA"/>
    <w:rsid w:val="00EE17EF"/>
    <w:rsid w:val="00EE1843"/>
    <w:rsid w:val="00EE18AA"/>
    <w:rsid w:val="00EE18AC"/>
    <w:rsid w:val="00EE18EC"/>
    <w:rsid w:val="00EE18ED"/>
    <w:rsid w:val="00EE1936"/>
    <w:rsid w:val="00EE1986"/>
    <w:rsid w:val="00EE19A4"/>
    <w:rsid w:val="00EE19A5"/>
    <w:rsid w:val="00EE19B3"/>
    <w:rsid w:val="00EE19B5"/>
    <w:rsid w:val="00EE1A0E"/>
    <w:rsid w:val="00EE1A29"/>
    <w:rsid w:val="00EE1A38"/>
    <w:rsid w:val="00EE1A9D"/>
    <w:rsid w:val="00EE1AA8"/>
    <w:rsid w:val="00EE1B28"/>
    <w:rsid w:val="00EE1B2C"/>
    <w:rsid w:val="00EE1B2D"/>
    <w:rsid w:val="00EE1B71"/>
    <w:rsid w:val="00EE1BA0"/>
    <w:rsid w:val="00EE1BA2"/>
    <w:rsid w:val="00EE1BE1"/>
    <w:rsid w:val="00EE1C4C"/>
    <w:rsid w:val="00EE1D00"/>
    <w:rsid w:val="00EE1D48"/>
    <w:rsid w:val="00EE1DC6"/>
    <w:rsid w:val="00EE1E30"/>
    <w:rsid w:val="00EE1E3E"/>
    <w:rsid w:val="00EE1E5B"/>
    <w:rsid w:val="00EE1E84"/>
    <w:rsid w:val="00EE1F50"/>
    <w:rsid w:val="00EE1F98"/>
    <w:rsid w:val="00EE1FB9"/>
    <w:rsid w:val="00EE1FBC"/>
    <w:rsid w:val="00EE1FBD"/>
    <w:rsid w:val="00EE1FC0"/>
    <w:rsid w:val="00EE1FC2"/>
    <w:rsid w:val="00EE1FF2"/>
    <w:rsid w:val="00EE204E"/>
    <w:rsid w:val="00EE21B0"/>
    <w:rsid w:val="00EE21EE"/>
    <w:rsid w:val="00EE2216"/>
    <w:rsid w:val="00EE2247"/>
    <w:rsid w:val="00EE224B"/>
    <w:rsid w:val="00EE2283"/>
    <w:rsid w:val="00EE2297"/>
    <w:rsid w:val="00EE22E5"/>
    <w:rsid w:val="00EE22FB"/>
    <w:rsid w:val="00EE2321"/>
    <w:rsid w:val="00EE2330"/>
    <w:rsid w:val="00EE235F"/>
    <w:rsid w:val="00EE236D"/>
    <w:rsid w:val="00EE243C"/>
    <w:rsid w:val="00EE2450"/>
    <w:rsid w:val="00EE2494"/>
    <w:rsid w:val="00EE24C5"/>
    <w:rsid w:val="00EE24CA"/>
    <w:rsid w:val="00EE24F3"/>
    <w:rsid w:val="00EE2521"/>
    <w:rsid w:val="00EE2531"/>
    <w:rsid w:val="00EE2547"/>
    <w:rsid w:val="00EE2573"/>
    <w:rsid w:val="00EE257F"/>
    <w:rsid w:val="00EE261A"/>
    <w:rsid w:val="00EE2626"/>
    <w:rsid w:val="00EE264B"/>
    <w:rsid w:val="00EE2669"/>
    <w:rsid w:val="00EE2687"/>
    <w:rsid w:val="00EE26B4"/>
    <w:rsid w:val="00EE26FE"/>
    <w:rsid w:val="00EE272C"/>
    <w:rsid w:val="00EE273C"/>
    <w:rsid w:val="00EE2749"/>
    <w:rsid w:val="00EE279E"/>
    <w:rsid w:val="00EE27A8"/>
    <w:rsid w:val="00EE27AA"/>
    <w:rsid w:val="00EE27B1"/>
    <w:rsid w:val="00EE27B4"/>
    <w:rsid w:val="00EE27E7"/>
    <w:rsid w:val="00EE27FE"/>
    <w:rsid w:val="00EE280D"/>
    <w:rsid w:val="00EE2817"/>
    <w:rsid w:val="00EE2873"/>
    <w:rsid w:val="00EE287B"/>
    <w:rsid w:val="00EE28E5"/>
    <w:rsid w:val="00EE2930"/>
    <w:rsid w:val="00EE2953"/>
    <w:rsid w:val="00EE2954"/>
    <w:rsid w:val="00EE2956"/>
    <w:rsid w:val="00EE2961"/>
    <w:rsid w:val="00EE2990"/>
    <w:rsid w:val="00EE29D0"/>
    <w:rsid w:val="00EE29D2"/>
    <w:rsid w:val="00EE29D9"/>
    <w:rsid w:val="00EE29E8"/>
    <w:rsid w:val="00EE2A51"/>
    <w:rsid w:val="00EE2A6D"/>
    <w:rsid w:val="00EE2A6E"/>
    <w:rsid w:val="00EE2A88"/>
    <w:rsid w:val="00EE2AA0"/>
    <w:rsid w:val="00EE2AE1"/>
    <w:rsid w:val="00EE2AF1"/>
    <w:rsid w:val="00EE2AF2"/>
    <w:rsid w:val="00EE2AFF"/>
    <w:rsid w:val="00EE2B13"/>
    <w:rsid w:val="00EE2B62"/>
    <w:rsid w:val="00EE2B6D"/>
    <w:rsid w:val="00EE2B72"/>
    <w:rsid w:val="00EE2BD6"/>
    <w:rsid w:val="00EE2BE1"/>
    <w:rsid w:val="00EE2C4C"/>
    <w:rsid w:val="00EE2C52"/>
    <w:rsid w:val="00EE2C83"/>
    <w:rsid w:val="00EE2C8C"/>
    <w:rsid w:val="00EE2CE5"/>
    <w:rsid w:val="00EE2D28"/>
    <w:rsid w:val="00EE2D59"/>
    <w:rsid w:val="00EE2D72"/>
    <w:rsid w:val="00EE2D8E"/>
    <w:rsid w:val="00EE2D9F"/>
    <w:rsid w:val="00EE2E03"/>
    <w:rsid w:val="00EE2E1C"/>
    <w:rsid w:val="00EE2E48"/>
    <w:rsid w:val="00EE2EC3"/>
    <w:rsid w:val="00EE2FDD"/>
    <w:rsid w:val="00EE3006"/>
    <w:rsid w:val="00EE3017"/>
    <w:rsid w:val="00EE3030"/>
    <w:rsid w:val="00EE3065"/>
    <w:rsid w:val="00EE3098"/>
    <w:rsid w:val="00EE30E7"/>
    <w:rsid w:val="00EE30F2"/>
    <w:rsid w:val="00EE3105"/>
    <w:rsid w:val="00EE3107"/>
    <w:rsid w:val="00EE311B"/>
    <w:rsid w:val="00EE3133"/>
    <w:rsid w:val="00EE31A3"/>
    <w:rsid w:val="00EE31A4"/>
    <w:rsid w:val="00EE326E"/>
    <w:rsid w:val="00EE3274"/>
    <w:rsid w:val="00EE327F"/>
    <w:rsid w:val="00EE3297"/>
    <w:rsid w:val="00EE32BE"/>
    <w:rsid w:val="00EE32C2"/>
    <w:rsid w:val="00EE32FE"/>
    <w:rsid w:val="00EE3320"/>
    <w:rsid w:val="00EE332B"/>
    <w:rsid w:val="00EE3330"/>
    <w:rsid w:val="00EE333E"/>
    <w:rsid w:val="00EE3350"/>
    <w:rsid w:val="00EE3385"/>
    <w:rsid w:val="00EE3401"/>
    <w:rsid w:val="00EE342D"/>
    <w:rsid w:val="00EE343C"/>
    <w:rsid w:val="00EE3468"/>
    <w:rsid w:val="00EE34DF"/>
    <w:rsid w:val="00EE34E4"/>
    <w:rsid w:val="00EE3506"/>
    <w:rsid w:val="00EE3515"/>
    <w:rsid w:val="00EE358A"/>
    <w:rsid w:val="00EE35A0"/>
    <w:rsid w:val="00EE35C0"/>
    <w:rsid w:val="00EE35FF"/>
    <w:rsid w:val="00EE365C"/>
    <w:rsid w:val="00EE36C8"/>
    <w:rsid w:val="00EE374C"/>
    <w:rsid w:val="00EE3760"/>
    <w:rsid w:val="00EE377A"/>
    <w:rsid w:val="00EE377B"/>
    <w:rsid w:val="00EE37A6"/>
    <w:rsid w:val="00EE37A9"/>
    <w:rsid w:val="00EE37BB"/>
    <w:rsid w:val="00EE37C3"/>
    <w:rsid w:val="00EE3861"/>
    <w:rsid w:val="00EE38B3"/>
    <w:rsid w:val="00EE38E2"/>
    <w:rsid w:val="00EE3930"/>
    <w:rsid w:val="00EE3967"/>
    <w:rsid w:val="00EE3974"/>
    <w:rsid w:val="00EE397D"/>
    <w:rsid w:val="00EE39CF"/>
    <w:rsid w:val="00EE39D0"/>
    <w:rsid w:val="00EE39DD"/>
    <w:rsid w:val="00EE3A03"/>
    <w:rsid w:val="00EE3A11"/>
    <w:rsid w:val="00EE3A81"/>
    <w:rsid w:val="00EE3A9D"/>
    <w:rsid w:val="00EE3AA4"/>
    <w:rsid w:val="00EE3AD3"/>
    <w:rsid w:val="00EE3AE7"/>
    <w:rsid w:val="00EE3B2B"/>
    <w:rsid w:val="00EE3BE5"/>
    <w:rsid w:val="00EE3C52"/>
    <w:rsid w:val="00EE3C93"/>
    <w:rsid w:val="00EE3CA3"/>
    <w:rsid w:val="00EE3CA4"/>
    <w:rsid w:val="00EE3CC1"/>
    <w:rsid w:val="00EE3CCA"/>
    <w:rsid w:val="00EE3CD3"/>
    <w:rsid w:val="00EE3D58"/>
    <w:rsid w:val="00EE3D5B"/>
    <w:rsid w:val="00EE3D5C"/>
    <w:rsid w:val="00EE3D93"/>
    <w:rsid w:val="00EE3DA5"/>
    <w:rsid w:val="00EE3DB2"/>
    <w:rsid w:val="00EE3DED"/>
    <w:rsid w:val="00EE3DFB"/>
    <w:rsid w:val="00EE3E3C"/>
    <w:rsid w:val="00EE3E4A"/>
    <w:rsid w:val="00EE3E6F"/>
    <w:rsid w:val="00EE3E81"/>
    <w:rsid w:val="00EE3EC6"/>
    <w:rsid w:val="00EE3ED0"/>
    <w:rsid w:val="00EE3F1D"/>
    <w:rsid w:val="00EE3F51"/>
    <w:rsid w:val="00EE3F77"/>
    <w:rsid w:val="00EE401E"/>
    <w:rsid w:val="00EE40C7"/>
    <w:rsid w:val="00EE4108"/>
    <w:rsid w:val="00EE4118"/>
    <w:rsid w:val="00EE411B"/>
    <w:rsid w:val="00EE4137"/>
    <w:rsid w:val="00EE4162"/>
    <w:rsid w:val="00EE419F"/>
    <w:rsid w:val="00EE41A6"/>
    <w:rsid w:val="00EE41E6"/>
    <w:rsid w:val="00EE4216"/>
    <w:rsid w:val="00EE4248"/>
    <w:rsid w:val="00EE4298"/>
    <w:rsid w:val="00EE42A0"/>
    <w:rsid w:val="00EE42A6"/>
    <w:rsid w:val="00EE42D0"/>
    <w:rsid w:val="00EE42D4"/>
    <w:rsid w:val="00EE4336"/>
    <w:rsid w:val="00EE4356"/>
    <w:rsid w:val="00EE4391"/>
    <w:rsid w:val="00EE43E7"/>
    <w:rsid w:val="00EE441C"/>
    <w:rsid w:val="00EE4423"/>
    <w:rsid w:val="00EE4457"/>
    <w:rsid w:val="00EE4462"/>
    <w:rsid w:val="00EE4483"/>
    <w:rsid w:val="00EE44F2"/>
    <w:rsid w:val="00EE4531"/>
    <w:rsid w:val="00EE4599"/>
    <w:rsid w:val="00EE45B5"/>
    <w:rsid w:val="00EE45F8"/>
    <w:rsid w:val="00EE4608"/>
    <w:rsid w:val="00EE463C"/>
    <w:rsid w:val="00EE463F"/>
    <w:rsid w:val="00EE4646"/>
    <w:rsid w:val="00EE4655"/>
    <w:rsid w:val="00EE469A"/>
    <w:rsid w:val="00EE469F"/>
    <w:rsid w:val="00EE46A4"/>
    <w:rsid w:val="00EE4712"/>
    <w:rsid w:val="00EE471B"/>
    <w:rsid w:val="00EE472A"/>
    <w:rsid w:val="00EE4732"/>
    <w:rsid w:val="00EE4747"/>
    <w:rsid w:val="00EE4767"/>
    <w:rsid w:val="00EE478C"/>
    <w:rsid w:val="00EE47E2"/>
    <w:rsid w:val="00EE4807"/>
    <w:rsid w:val="00EE484F"/>
    <w:rsid w:val="00EE488D"/>
    <w:rsid w:val="00EE489D"/>
    <w:rsid w:val="00EE48E3"/>
    <w:rsid w:val="00EE496F"/>
    <w:rsid w:val="00EE49A8"/>
    <w:rsid w:val="00EE49AB"/>
    <w:rsid w:val="00EE49AF"/>
    <w:rsid w:val="00EE49B6"/>
    <w:rsid w:val="00EE49DA"/>
    <w:rsid w:val="00EE49E2"/>
    <w:rsid w:val="00EE4A3C"/>
    <w:rsid w:val="00EE4A7F"/>
    <w:rsid w:val="00EE4AC4"/>
    <w:rsid w:val="00EE4AC5"/>
    <w:rsid w:val="00EE4AD8"/>
    <w:rsid w:val="00EE4AFE"/>
    <w:rsid w:val="00EE4B02"/>
    <w:rsid w:val="00EE4B17"/>
    <w:rsid w:val="00EE4B37"/>
    <w:rsid w:val="00EE4B50"/>
    <w:rsid w:val="00EE4BB1"/>
    <w:rsid w:val="00EE4C06"/>
    <w:rsid w:val="00EE4C59"/>
    <w:rsid w:val="00EE4D2B"/>
    <w:rsid w:val="00EE4D36"/>
    <w:rsid w:val="00EE4D39"/>
    <w:rsid w:val="00EE4D40"/>
    <w:rsid w:val="00EE4DCD"/>
    <w:rsid w:val="00EE4E0E"/>
    <w:rsid w:val="00EE4E1B"/>
    <w:rsid w:val="00EE4EAF"/>
    <w:rsid w:val="00EE4F25"/>
    <w:rsid w:val="00EE4F35"/>
    <w:rsid w:val="00EE4F37"/>
    <w:rsid w:val="00EE4F75"/>
    <w:rsid w:val="00EE5049"/>
    <w:rsid w:val="00EE5085"/>
    <w:rsid w:val="00EE5106"/>
    <w:rsid w:val="00EE5162"/>
    <w:rsid w:val="00EE5172"/>
    <w:rsid w:val="00EE51A7"/>
    <w:rsid w:val="00EE51B0"/>
    <w:rsid w:val="00EE51EB"/>
    <w:rsid w:val="00EE521F"/>
    <w:rsid w:val="00EE5240"/>
    <w:rsid w:val="00EE5285"/>
    <w:rsid w:val="00EE52BF"/>
    <w:rsid w:val="00EE52C7"/>
    <w:rsid w:val="00EE536C"/>
    <w:rsid w:val="00EE5377"/>
    <w:rsid w:val="00EE537D"/>
    <w:rsid w:val="00EE5399"/>
    <w:rsid w:val="00EE53E8"/>
    <w:rsid w:val="00EE53ED"/>
    <w:rsid w:val="00EE5439"/>
    <w:rsid w:val="00EE548A"/>
    <w:rsid w:val="00EE54EA"/>
    <w:rsid w:val="00EE5537"/>
    <w:rsid w:val="00EE5548"/>
    <w:rsid w:val="00EE5560"/>
    <w:rsid w:val="00EE5582"/>
    <w:rsid w:val="00EE5591"/>
    <w:rsid w:val="00EE55D4"/>
    <w:rsid w:val="00EE55EA"/>
    <w:rsid w:val="00EE560A"/>
    <w:rsid w:val="00EE5629"/>
    <w:rsid w:val="00EE56A8"/>
    <w:rsid w:val="00EE56AE"/>
    <w:rsid w:val="00EE56E0"/>
    <w:rsid w:val="00EE5705"/>
    <w:rsid w:val="00EE572C"/>
    <w:rsid w:val="00EE5744"/>
    <w:rsid w:val="00EE5747"/>
    <w:rsid w:val="00EE575A"/>
    <w:rsid w:val="00EE576E"/>
    <w:rsid w:val="00EE579B"/>
    <w:rsid w:val="00EE57B0"/>
    <w:rsid w:val="00EE58EB"/>
    <w:rsid w:val="00EE591A"/>
    <w:rsid w:val="00EE5938"/>
    <w:rsid w:val="00EE5946"/>
    <w:rsid w:val="00EE5993"/>
    <w:rsid w:val="00EE5994"/>
    <w:rsid w:val="00EE59F8"/>
    <w:rsid w:val="00EE5A34"/>
    <w:rsid w:val="00EE5A38"/>
    <w:rsid w:val="00EE5A5A"/>
    <w:rsid w:val="00EE5A9C"/>
    <w:rsid w:val="00EE5AF5"/>
    <w:rsid w:val="00EE5B0A"/>
    <w:rsid w:val="00EE5B48"/>
    <w:rsid w:val="00EE5B70"/>
    <w:rsid w:val="00EE5B7A"/>
    <w:rsid w:val="00EE5B7E"/>
    <w:rsid w:val="00EE5BED"/>
    <w:rsid w:val="00EE5C32"/>
    <w:rsid w:val="00EE5C6D"/>
    <w:rsid w:val="00EE5CAE"/>
    <w:rsid w:val="00EE5CD6"/>
    <w:rsid w:val="00EE5CE4"/>
    <w:rsid w:val="00EE5D00"/>
    <w:rsid w:val="00EE5D13"/>
    <w:rsid w:val="00EE5D8E"/>
    <w:rsid w:val="00EE5DB5"/>
    <w:rsid w:val="00EE5DCC"/>
    <w:rsid w:val="00EE5E34"/>
    <w:rsid w:val="00EE5E4E"/>
    <w:rsid w:val="00EE5E51"/>
    <w:rsid w:val="00EE5E54"/>
    <w:rsid w:val="00EE5F01"/>
    <w:rsid w:val="00EE5F40"/>
    <w:rsid w:val="00EE5F5B"/>
    <w:rsid w:val="00EE5F92"/>
    <w:rsid w:val="00EE5FAC"/>
    <w:rsid w:val="00EE5FCE"/>
    <w:rsid w:val="00EE5FD0"/>
    <w:rsid w:val="00EE6060"/>
    <w:rsid w:val="00EE6084"/>
    <w:rsid w:val="00EE60B2"/>
    <w:rsid w:val="00EE60DD"/>
    <w:rsid w:val="00EE60E9"/>
    <w:rsid w:val="00EE6142"/>
    <w:rsid w:val="00EE614D"/>
    <w:rsid w:val="00EE6187"/>
    <w:rsid w:val="00EE61F9"/>
    <w:rsid w:val="00EE6218"/>
    <w:rsid w:val="00EE625D"/>
    <w:rsid w:val="00EE6333"/>
    <w:rsid w:val="00EE6374"/>
    <w:rsid w:val="00EE6388"/>
    <w:rsid w:val="00EE6392"/>
    <w:rsid w:val="00EE63A4"/>
    <w:rsid w:val="00EE63F7"/>
    <w:rsid w:val="00EE64A3"/>
    <w:rsid w:val="00EE64B8"/>
    <w:rsid w:val="00EE64B9"/>
    <w:rsid w:val="00EE64BC"/>
    <w:rsid w:val="00EE64F4"/>
    <w:rsid w:val="00EE6540"/>
    <w:rsid w:val="00EE656E"/>
    <w:rsid w:val="00EE659F"/>
    <w:rsid w:val="00EE65B8"/>
    <w:rsid w:val="00EE662F"/>
    <w:rsid w:val="00EE6695"/>
    <w:rsid w:val="00EE66E5"/>
    <w:rsid w:val="00EE670A"/>
    <w:rsid w:val="00EE6768"/>
    <w:rsid w:val="00EE677D"/>
    <w:rsid w:val="00EE6786"/>
    <w:rsid w:val="00EE678F"/>
    <w:rsid w:val="00EE67AC"/>
    <w:rsid w:val="00EE67C7"/>
    <w:rsid w:val="00EE680E"/>
    <w:rsid w:val="00EE68AD"/>
    <w:rsid w:val="00EE68CF"/>
    <w:rsid w:val="00EE6905"/>
    <w:rsid w:val="00EE690C"/>
    <w:rsid w:val="00EE691B"/>
    <w:rsid w:val="00EE691C"/>
    <w:rsid w:val="00EE6984"/>
    <w:rsid w:val="00EE6999"/>
    <w:rsid w:val="00EE69EB"/>
    <w:rsid w:val="00EE69F3"/>
    <w:rsid w:val="00EE6A0F"/>
    <w:rsid w:val="00EE6A36"/>
    <w:rsid w:val="00EE6AA1"/>
    <w:rsid w:val="00EE6AD5"/>
    <w:rsid w:val="00EE6AEF"/>
    <w:rsid w:val="00EE6AFB"/>
    <w:rsid w:val="00EE6B1E"/>
    <w:rsid w:val="00EE6B29"/>
    <w:rsid w:val="00EE6B51"/>
    <w:rsid w:val="00EE6B6E"/>
    <w:rsid w:val="00EE6B7B"/>
    <w:rsid w:val="00EE6BB4"/>
    <w:rsid w:val="00EE6C2D"/>
    <w:rsid w:val="00EE6C57"/>
    <w:rsid w:val="00EE6C92"/>
    <w:rsid w:val="00EE6CEC"/>
    <w:rsid w:val="00EE6D36"/>
    <w:rsid w:val="00EE6D56"/>
    <w:rsid w:val="00EE6DF1"/>
    <w:rsid w:val="00EE6E24"/>
    <w:rsid w:val="00EE6E2D"/>
    <w:rsid w:val="00EE6E86"/>
    <w:rsid w:val="00EE6E8D"/>
    <w:rsid w:val="00EE6F8B"/>
    <w:rsid w:val="00EE6FB5"/>
    <w:rsid w:val="00EE7012"/>
    <w:rsid w:val="00EE7076"/>
    <w:rsid w:val="00EE70D1"/>
    <w:rsid w:val="00EE70F3"/>
    <w:rsid w:val="00EE70F7"/>
    <w:rsid w:val="00EE7285"/>
    <w:rsid w:val="00EE7288"/>
    <w:rsid w:val="00EE7294"/>
    <w:rsid w:val="00EE72D9"/>
    <w:rsid w:val="00EE72F7"/>
    <w:rsid w:val="00EE7300"/>
    <w:rsid w:val="00EE730E"/>
    <w:rsid w:val="00EE735E"/>
    <w:rsid w:val="00EE7368"/>
    <w:rsid w:val="00EE7384"/>
    <w:rsid w:val="00EE7385"/>
    <w:rsid w:val="00EE73CB"/>
    <w:rsid w:val="00EE73EF"/>
    <w:rsid w:val="00EE740A"/>
    <w:rsid w:val="00EE741C"/>
    <w:rsid w:val="00EE7429"/>
    <w:rsid w:val="00EE743E"/>
    <w:rsid w:val="00EE7483"/>
    <w:rsid w:val="00EE759E"/>
    <w:rsid w:val="00EE75B4"/>
    <w:rsid w:val="00EE75F8"/>
    <w:rsid w:val="00EE75FD"/>
    <w:rsid w:val="00EE761D"/>
    <w:rsid w:val="00EE7642"/>
    <w:rsid w:val="00EE7668"/>
    <w:rsid w:val="00EE769C"/>
    <w:rsid w:val="00EE7709"/>
    <w:rsid w:val="00EE7748"/>
    <w:rsid w:val="00EE775C"/>
    <w:rsid w:val="00EE776A"/>
    <w:rsid w:val="00EE77F9"/>
    <w:rsid w:val="00EE7832"/>
    <w:rsid w:val="00EE785B"/>
    <w:rsid w:val="00EE7876"/>
    <w:rsid w:val="00EE7897"/>
    <w:rsid w:val="00EE78B8"/>
    <w:rsid w:val="00EE7900"/>
    <w:rsid w:val="00EE7935"/>
    <w:rsid w:val="00EE7A53"/>
    <w:rsid w:val="00EE7A81"/>
    <w:rsid w:val="00EE7A82"/>
    <w:rsid w:val="00EE7ACD"/>
    <w:rsid w:val="00EE7AF0"/>
    <w:rsid w:val="00EE7B0B"/>
    <w:rsid w:val="00EE7B4B"/>
    <w:rsid w:val="00EE7B73"/>
    <w:rsid w:val="00EE7BCA"/>
    <w:rsid w:val="00EE7BEA"/>
    <w:rsid w:val="00EE7BFD"/>
    <w:rsid w:val="00EE7C12"/>
    <w:rsid w:val="00EE7C23"/>
    <w:rsid w:val="00EE7C58"/>
    <w:rsid w:val="00EE7CAD"/>
    <w:rsid w:val="00EE7CB7"/>
    <w:rsid w:val="00EE7CF2"/>
    <w:rsid w:val="00EE7CF5"/>
    <w:rsid w:val="00EE7D24"/>
    <w:rsid w:val="00EE7D3C"/>
    <w:rsid w:val="00EE7D61"/>
    <w:rsid w:val="00EE7D6D"/>
    <w:rsid w:val="00EE7DBE"/>
    <w:rsid w:val="00EE7DC6"/>
    <w:rsid w:val="00EE7DF8"/>
    <w:rsid w:val="00EE7E41"/>
    <w:rsid w:val="00EE7E60"/>
    <w:rsid w:val="00EE7E70"/>
    <w:rsid w:val="00EE7E75"/>
    <w:rsid w:val="00EE7EBC"/>
    <w:rsid w:val="00EE7F37"/>
    <w:rsid w:val="00EE7F6C"/>
    <w:rsid w:val="00EE7F85"/>
    <w:rsid w:val="00EF00BE"/>
    <w:rsid w:val="00EF00C1"/>
    <w:rsid w:val="00EF0232"/>
    <w:rsid w:val="00EF025F"/>
    <w:rsid w:val="00EF0275"/>
    <w:rsid w:val="00EF0361"/>
    <w:rsid w:val="00EF039F"/>
    <w:rsid w:val="00EF03C7"/>
    <w:rsid w:val="00EF0416"/>
    <w:rsid w:val="00EF0441"/>
    <w:rsid w:val="00EF0454"/>
    <w:rsid w:val="00EF04C4"/>
    <w:rsid w:val="00EF04EC"/>
    <w:rsid w:val="00EF0539"/>
    <w:rsid w:val="00EF05C8"/>
    <w:rsid w:val="00EF0602"/>
    <w:rsid w:val="00EF062F"/>
    <w:rsid w:val="00EF065F"/>
    <w:rsid w:val="00EF067A"/>
    <w:rsid w:val="00EF06DC"/>
    <w:rsid w:val="00EF06E3"/>
    <w:rsid w:val="00EF06FC"/>
    <w:rsid w:val="00EF0701"/>
    <w:rsid w:val="00EF0724"/>
    <w:rsid w:val="00EF0767"/>
    <w:rsid w:val="00EF07A2"/>
    <w:rsid w:val="00EF0857"/>
    <w:rsid w:val="00EF08AB"/>
    <w:rsid w:val="00EF0918"/>
    <w:rsid w:val="00EF0928"/>
    <w:rsid w:val="00EF0951"/>
    <w:rsid w:val="00EF0A53"/>
    <w:rsid w:val="00EF0AC2"/>
    <w:rsid w:val="00EF0B16"/>
    <w:rsid w:val="00EF0B1E"/>
    <w:rsid w:val="00EF0B76"/>
    <w:rsid w:val="00EF0B88"/>
    <w:rsid w:val="00EF0BA2"/>
    <w:rsid w:val="00EF0BB7"/>
    <w:rsid w:val="00EF0BE9"/>
    <w:rsid w:val="00EF0BED"/>
    <w:rsid w:val="00EF0C37"/>
    <w:rsid w:val="00EF0C38"/>
    <w:rsid w:val="00EF0C5D"/>
    <w:rsid w:val="00EF0CA1"/>
    <w:rsid w:val="00EF0CBA"/>
    <w:rsid w:val="00EF0CBE"/>
    <w:rsid w:val="00EF0CEC"/>
    <w:rsid w:val="00EF0D2B"/>
    <w:rsid w:val="00EF0D55"/>
    <w:rsid w:val="00EF0D79"/>
    <w:rsid w:val="00EF0DAB"/>
    <w:rsid w:val="00EF0E3F"/>
    <w:rsid w:val="00EF0E57"/>
    <w:rsid w:val="00EF0E65"/>
    <w:rsid w:val="00EF0E77"/>
    <w:rsid w:val="00EF0E98"/>
    <w:rsid w:val="00EF0EA4"/>
    <w:rsid w:val="00EF0ED1"/>
    <w:rsid w:val="00EF0EE2"/>
    <w:rsid w:val="00EF0F83"/>
    <w:rsid w:val="00EF0FA7"/>
    <w:rsid w:val="00EF0FFC"/>
    <w:rsid w:val="00EF101F"/>
    <w:rsid w:val="00EF1049"/>
    <w:rsid w:val="00EF109F"/>
    <w:rsid w:val="00EF10AC"/>
    <w:rsid w:val="00EF110F"/>
    <w:rsid w:val="00EF1187"/>
    <w:rsid w:val="00EF1193"/>
    <w:rsid w:val="00EF11A7"/>
    <w:rsid w:val="00EF11FB"/>
    <w:rsid w:val="00EF1223"/>
    <w:rsid w:val="00EF1274"/>
    <w:rsid w:val="00EF12EE"/>
    <w:rsid w:val="00EF12F4"/>
    <w:rsid w:val="00EF1337"/>
    <w:rsid w:val="00EF13E0"/>
    <w:rsid w:val="00EF142C"/>
    <w:rsid w:val="00EF1450"/>
    <w:rsid w:val="00EF149E"/>
    <w:rsid w:val="00EF14BE"/>
    <w:rsid w:val="00EF14C8"/>
    <w:rsid w:val="00EF14D2"/>
    <w:rsid w:val="00EF1513"/>
    <w:rsid w:val="00EF155D"/>
    <w:rsid w:val="00EF15F1"/>
    <w:rsid w:val="00EF15FE"/>
    <w:rsid w:val="00EF16DB"/>
    <w:rsid w:val="00EF172A"/>
    <w:rsid w:val="00EF1732"/>
    <w:rsid w:val="00EF179A"/>
    <w:rsid w:val="00EF18C2"/>
    <w:rsid w:val="00EF195B"/>
    <w:rsid w:val="00EF1999"/>
    <w:rsid w:val="00EF199B"/>
    <w:rsid w:val="00EF19AA"/>
    <w:rsid w:val="00EF19AD"/>
    <w:rsid w:val="00EF19C7"/>
    <w:rsid w:val="00EF1A0C"/>
    <w:rsid w:val="00EF1A17"/>
    <w:rsid w:val="00EF1A1E"/>
    <w:rsid w:val="00EF1A5D"/>
    <w:rsid w:val="00EF1A71"/>
    <w:rsid w:val="00EF1B92"/>
    <w:rsid w:val="00EF1C32"/>
    <w:rsid w:val="00EF1C3D"/>
    <w:rsid w:val="00EF1C40"/>
    <w:rsid w:val="00EF1C49"/>
    <w:rsid w:val="00EF1CBB"/>
    <w:rsid w:val="00EF1CBD"/>
    <w:rsid w:val="00EF1CEC"/>
    <w:rsid w:val="00EF1CF6"/>
    <w:rsid w:val="00EF1CFC"/>
    <w:rsid w:val="00EF1D1F"/>
    <w:rsid w:val="00EF1D4E"/>
    <w:rsid w:val="00EF1D54"/>
    <w:rsid w:val="00EF1D5A"/>
    <w:rsid w:val="00EF1D8A"/>
    <w:rsid w:val="00EF1DB6"/>
    <w:rsid w:val="00EF1DD1"/>
    <w:rsid w:val="00EF1DD9"/>
    <w:rsid w:val="00EF1DDF"/>
    <w:rsid w:val="00EF1DEF"/>
    <w:rsid w:val="00EF1E01"/>
    <w:rsid w:val="00EF1E04"/>
    <w:rsid w:val="00EF1E14"/>
    <w:rsid w:val="00EF1E7E"/>
    <w:rsid w:val="00EF1E8D"/>
    <w:rsid w:val="00EF1EA2"/>
    <w:rsid w:val="00EF1EBB"/>
    <w:rsid w:val="00EF1ECA"/>
    <w:rsid w:val="00EF1F04"/>
    <w:rsid w:val="00EF1F71"/>
    <w:rsid w:val="00EF1F88"/>
    <w:rsid w:val="00EF1FD6"/>
    <w:rsid w:val="00EF1FFF"/>
    <w:rsid w:val="00EF2002"/>
    <w:rsid w:val="00EF203A"/>
    <w:rsid w:val="00EF2083"/>
    <w:rsid w:val="00EF2092"/>
    <w:rsid w:val="00EF209B"/>
    <w:rsid w:val="00EF20BD"/>
    <w:rsid w:val="00EF20DC"/>
    <w:rsid w:val="00EF2131"/>
    <w:rsid w:val="00EF2158"/>
    <w:rsid w:val="00EF2161"/>
    <w:rsid w:val="00EF2188"/>
    <w:rsid w:val="00EF21AD"/>
    <w:rsid w:val="00EF21ED"/>
    <w:rsid w:val="00EF223D"/>
    <w:rsid w:val="00EF229A"/>
    <w:rsid w:val="00EF22B9"/>
    <w:rsid w:val="00EF22BF"/>
    <w:rsid w:val="00EF22F0"/>
    <w:rsid w:val="00EF232F"/>
    <w:rsid w:val="00EF2354"/>
    <w:rsid w:val="00EF23B1"/>
    <w:rsid w:val="00EF23FB"/>
    <w:rsid w:val="00EF2470"/>
    <w:rsid w:val="00EF2597"/>
    <w:rsid w:val="00EF25A2"/>
    <w:rsid w:val="00EF25D4"/>
    <w:rsid w:val="00EF2619"/>
    <w:rsid w:val="00EF262E"/>
    <w:rsid w:val="00EF266B"/>
    <w:rsid w:val="00EF267A"/>
    <w:rsid w:val="00EF26D0"/>
    <w:rsid w:val="00EF2714"/>
    <w:rsid w:val="00EF282E"/>
    <w:rsid w:val="00EF2845"/>
    <w:rsid w:val="00EF2859"/>
    <w:rsid w:val="00EF2865"/>
    <w:rsid w:val="00EF286D"/>
    <w:rsid w:val="00EF28CF"/>
    <w:rsid w:val="00EF28F3"/>
    <w:rsid w:val="00EF29B2"/>
    <w:rsid w:val="00EF29FA"/>
    <w:rsid w:val="00EF2A0D"/>
    <w:rsid w:val="00EF2A61"/>
    <w:rsid w:val="00EF2A7D"/>
    <w:rsid w:val="00EF2AC0"/>
    <w:rsid w:val="00EF2B1D"/>
    <w:rsid w:val="00EF2B36"/>
    <w:rsid w:val="00EF2B74"/>
    <w:rsid w:val="00EF2B97"/>
    <w:rsid w:val="00EF2BAC"/>
    <w:rsid w:val="00EF2C42"/>
    <w:rsid w:val="00EF2C43"/>
    <w:rsid w:val="00EF2CE1"/>
    <w:rsid w:val="00EF2CF4"/>
    <w:rsid w:val="00EF2CFD"/>
    <w:rsid w:val="00EF2CFE"/>
    <w:rsid w:val="00EF2D4F"/>
    <w:rsid w:val="00EF2D8D"/>
    <w:rsid w:val="00EF2E13"/>
    <w:rsid w:val="00EF2E25"/>
    <w:rsid w:val="00EF2E58"/>
    <w:rsid w:val="00EF2E7D"/>
    <w:rsid w:val="00EF2F3D"/>
    <w:rsid w:val="00EF2FA0"/>
    <w:rsid w:val="00EF2FAB"/>
    <w:rsid w:val="00EF2FC9"/>
    <w:rsid w:val="00EF2FFF"/>
    <w:rsid w:val="00EF3005"/>
    <w:rsid w:val="00EF3070"/>
    <w:rsid w:val="00EF307D"/>
    <w:rsid w:val="00EF30BC"/>
    <w:rsid w:val="00EF30C8"/>
    <w:rsid w:val="00EF30D4"/>
    <w:rsid w:val="00EF3103"/>
    <w:rsid w:val="00EF3185"/>
    <w:rsid w:val="00EF318A"/>
    <w:rsid w:val="00EF3199"/>
    <w:rsid w:val="00EF31D7"/>
    <w:rsid w:val="00EF31F9"/>
    <w:rsid w:val="00EF3204"/>
    <w:rsid w:val="00EF324D"/>
    <w:rsid w:val="00EF3289"/>
    <w:rsid w:val="00EF3298"/>
    <w:rsid w:val="00EF329F"/>
    <w:rsid w:val="00EF32C7"/>
    <w:rsid w:val="00EF330D"/>
    <w:rsid w:val="00EF331B"/>
    <w:rsid w:val="00EF346D"/>
    <w:rsid w:val="00EF34FE"/>
    <w:rsid w:val="00EF352E"/>
    <w:rsid w:val="00EF353C"/>
    <w:rsid w:val="00EF35B0"/>
    <w:rsid w:val="00EF35DC"/>
    <w:rsid w:val="00EF360A"/>
    <w:rsid w:val="00EF3610"/>
    <w:rsid w:val="00EF362E"/>
    <w:rsid w:val="00EF364C"/>
    <w:rsid w:val="00EF369B"/>
    <w:rsid w:val="00EF36F4"/>
    <w:rsid w:val="00EF373D"/>
    <w:rsid w:val="00EF3746"/>
    <w:rsid w:val="00EF3748"/>
    <w:rsid w:val="00EF375C"/>
    <w:rsid w:val="00EF3775"/>
    <w:rsid w:val="00EF37A4"/>
    <w:rsid w:val="00EF37D9"/>
    <w:rsid w:val="00EF37F8"/>
    <w:rsid w:val="00EF386E"/>
    <w:rsid w:val="00EF3899"/>
    <w:rsid w:val="00EF38A1"/>
    <w:rsid w:val="00EF3939"/>
    <w:rsid w:val="00EF393F"/>
    <w:rsid w:val="00EF3942"/>
    <w:rsid w:val="00EF39B2"/>
    <w:rsid w:val="00EF39F6"/>
    <w:rsid w:val="00EF3A2A"/>
    <w:rsid w:val="00EF3A4A"/>
    <w:rsid w:val="00EF3ADC"/>
    <w:rsid w:val="00EF3B7E"/>
    <w:rsid w:val="00EF3BE5"/>
    <w:rsid w:val="00EF3BFB"/>
    <w:rsid w:val="00EF3C35"/>
    <w:rsid w:val="00EF3C3B"/>
    <w:rsid w:val="00EF3C45"/>
    <w:rsid w:val="00EF3C7A"/>
    <w:rsid w:val="00EF3CDF"/>
    <w:rsid w:val="00EF3CF1"/>
    <w:rsid w:val="00EF3D1E"/>
    <w:rsid w:val="00EF3D9A"/>
    <w:rsid w:val="00EF3DF1"/>
    <w:rsid w:val="00EF3E44"/>
    <w:rsid w:val="00EF3E61"/>
    <w:rsid w:val="00EF3ED1"/>
    <w:rsid w:val="00EF3F53"/>
    <w:rsid w:val="00EF3F72"/>
    <w:rsid w:val="00EF3FF1"/>
    <w:rsid w:val="00EF4020"/>
    <w:rsid w:val="00EF402C"/>
    <w:rsid w:val="00EF4078"/>
    <w:rsid w:val="00EF4094"/>
    <w:rsid w:val="00EF40E9"/>
    <w:rsid w:val="00EF40F6"/>
    <w:rsid w:val="00EF4104"/>
    <w:rsid w:val="00EF410A"/>
    <w:rsid w:val="00EF4146"/>
    <w:rsid w:val="00EF41F1"/>
    <w:rsid w:val="00EF421A"/>
    <w:rsid w:val="00EF4224"/>
    <w:rsid w:val="00EF422B"/>
    <w:rsid w:val="00EF428A"/>
    <w:rsid w:val="00EF4304"/>
    <w:rsid w:val="00EF43B5"/>
    <w:rsid w:val="00EF43E8"/>
    <w:rsid w:val="00EF442C"/>
    <w:rsid w:val="00EF4449"/>
    <w:rsid w:val="00EF4466"/>
    <w:rsid w:val="00EF450F"/>
    <w:rsid w:val="00EF4560"/>
    <w:rsid w:val="00EF45FF"/>
    <w:rsid w:val="00EF4663"/>
    <w:rsid w:val="00EF468B"/>
    <w:rsid w:val="00EF46FF"/>
    <w:rsid w:val="00EF4724"/>
    <w:rsid w:val="00EF473A"/>
    <w:rsid w:val="00EF47AE"/>
    <w:rsid w:val="00EF47BA"/>
    <w:rsid w:val="00EF4825"/>
    <w:rsid w:val="00EF4861"/>
    <w:rsid w:val="00EF488A"/>
    <w:rsid w:val="00EF48DE"/>
    <w:rsid w:val="00EF4930"/>
    <w:rsid w:val="00EF493D"/>
    <w:rsid w:val="00EF4963"/>
    <w:rsid w:val="00EF49CC"/>
    <w:rsid w:val="00EF49D2"/>
    <w:rsid w:val="00EF4A86"/>
    <w:rsid w:val="00EF4AFC"/>
    <w:rsid w:val="00EF4B2A"/>
    <w:rsid w:val="00EF4B6D"/>
    <w:rsid w:val="00EF4BBE"/>
    <w:rsid w:val="00EF4BD3"/>
    <w:rsid w:val="00EF4BDF"/>
    <w:rsid w:val="00EF4BFB"/>
    <w:rsid w:val="00EF4C13"/>
    <w:rsid w:val="00EF4C90"/>
    <w:rsid w:val="00EF4CA5"/>
    <w:rsid w:val="00EF4CB8"/>
    <w:rsid w:val="00EF4CC9"/>
    <w:rsid w:val="00EF4CCA"/>
    <w:rsid w:val="00EF4CE5"/>
    <w:rsid w:val="00EF4CF6"/>
    <w:rsid w:val="00EF4D32"/>
    <w:rsid w:val="00EF4DAF"/>
    <w:rsid w:val="00EF4DE6"/>
    <w:rsid w:val="00EF4DEC"/>
    <w:rsid w:val="00EF4DEE"/>
    <w:rsid w:val="00EF4E58"/>
    <w:rsid w:val="00EF4EB9"/>
    <w:rsid w:val="00EF4EBD"/>
    <w:rsid w:val="00EF4ECB"/>
    <w:rsid w:val="00EF4F1A"/>
    <w:rsid w:val="00EF4F28"/>
    <w:rsid w:val="00EF5028"/>
    <w:rsid w:val="00EF505B"/>
    <w:rsid w:val="00EF50A3"/>
    <w:rsid w:val="00EF50C8"/>
    <w:rsid w:val="00EF5108"/>
    <w:rsid w:val="00EF5159"/>
    <w:rsid w:val="00EF51B8"/>
    <w:rsid w:val="00EF5271"/>
    <w:rsid w:val="00EF5283"/>
    <w:rsid w:val="00EF52BC"/>
    <w:rsid w:val="00EF530E"/>
    <w:rsid w:val="00EF5322"/>
    <w:rsid w:val="00EF5346"/>
    <w:rsid w:val="00EF5361"/>
    <w:rsid w:val="00EF53D7"/>
    <w:rsid w:val="00EF5443"/>
    <w:rsid w:val="00EF5474"/>
    <w:rsid w:val="00EF54A7"/>
    <w:rsid w:val="00EF54A8"/>
    <w:rsid w:val="00EF54DE"/>
    <w:rsid w:val="00EF54F7"/>
    <w:rsid w:val="00EF54F8"/>
    <w:rsid w:val="00EF5524"/>
    <w:rsid w:val="00EF5556"/>
    <w:rsid w:val="00EF555B"/>
    <w:rsid w:val="00EF5575"/>
    <w:rsid w:val="00EF55AB"/>
    <w:rsid w:val="00EF55BE"/>
    <w:rsid w:val="00EF55C3"/>
    <w:rsid w:val="00EF55F8"/>
    <w:rsid w:val="00EF5607"/>
    <w:rsid w:val="00EF564A"/>
    <w:rsid w:val="00EF564D"/>
    <w:rsid w:val="00EF569A"/>
    <w:rsid w:val="00EF56E9"/>
    <w:rsid w:val="00EF5702"/>
    <w:rsid w:val="00EF5723"/>
    <w:rsid w:val="00EF573F"/>
    <w:rsid w:val="00EF5758"/>
    <w:rsid w:val="00EF5779"/>
    <w:rsid w:val="00EF57A6"/>
    <w:rsid w:val="00EF580D"/>
    <w:rsid w:val="00EF5831"/>
    <w:rsid w:val="00EF58B0"/>
    <w:rsid w:val="00EF58FE"/>
    <w:rsid w:val="00EF599D"/>
    <w:rsid w:val="00EF59AB"/>
    <w:rsid w:val="00EF59B7"/>
    <w:rsid w:val="00EF59CE"/>
    <w:rsid w:val="00EF59E5"/>
    <w:rsid w:val="00EF59E9"/>
    <w:rsid w:val="00EF5A4A"/>
    <w:rsid w:val="00EF5A59"/>
    <w:rsid w:val="00EF5AC2"/>
    <w:rsid w:val="00EF5ADA"/>
    <w:rsid w:val="00EF5B0C"/>
    <w:rsid w:val="00EF5B1E"/>
    <w:rsid w:val="00EF5B73"/>
    <w:rsid w:val="00EF5B8A"/>
    <w:rsid w:val="00EF5BD1"/>
    <w:rsid w:val="00EF5BF5"/>
    <w:rsid w:val="00EF5C63"/>
    <w:rsid w:val="00EF5C91"/>
    <w:rsid w:val="00EF5CAB"/>
    <w:rsid w:val="00EF5D91"/>
    <w:rsid w:val="00EF5DBA"/>
    <w:rsid w:val="00EF5DD4"/>
    <w:rsid w:val="00EF5DF0"/>
    <w:rsid w:val="00EF5E0C"/>
    <w:rsid w:val="00EF5E1E"/>
    <w:rsid w:val="00EF5E20"/>
    <w:rsid w:val="00EF5E66"/>
    <w:rsid w:val="00EF5E7E"/>
    <w:rsid w:val="00EF5F6B"/>
    <w:rsid w:val="00EF5F78"/>
    <w:rsid w:val="00EF5FDE"/>
    <w:rsid w:val="00EF6051"/>
    <w:rsid w:val="00EF6079"/>
    <w:rsid w:val="00EF6097"/>
    <w:rsid w:val="00EF6166"/>
    <w:rsid w:val="00EF6174"/>
    <w:rsid w:val="00EF617C"/>
    <w:rsid w:val="00EF6195"/>
    <w:rsid w:val="00EF6196"/>
    <w:rsid w:val="00EF61E3"/>
    <w:rsid w:val="00EF61E9"/>
    <w:rsid w:val="00EF6253"/>
    <w:rsid w:val="00EF6254"/>
    <w:rsid w:val="00EF6281"/>
    <w:rsid w:val="00EF6309"/>
    <w:rsid w:val="00EF6340"/>
    <w:rsid w:val="00EF6361"/>
    <w:rsid w:val="00EF6391"/>
    <w:rsid w:val="00EF63C3"/>
    <w:rsid w:val="00EF63E8"/>
    <w:rsid w:val="00EF63F1"/>
    <w:rsid w:val="00EF63F3"/>
    <w:rsid w:val="00EF6400"/>
    <w:rsid w:val="00EF6490"/>
    <w:rsid w:val="00EF649C"/>
    <w:rsid w:val="00EF6513"/>
    <w:rsid w:val="00EF6531"/>
    <w:rsid w:val="00EF65A6"/>
    <w:rsid w:val="00EF6623"/>
    <w:rsid w:val="00EF662C"/>
    <w:rsid w:val="00EF669E"/>
    <w:rsid w:val="00EF66D8"/>
    <w:rsid w:val="00EF672F"/>
    <w:rsid w:val="00EF673F"/>
    <w:rsid w:val="00EF678E"/>
    <w:rsid w:val="00EF679B"/>
    <w:rsid w:val="00EF67B7"/>
    <w:rsid w:val="00EF67F3"/>
    <w:rsid w:val="00EF6820"/>
    <w:rsid w:val="00EF6822"/>
    <w:rsid w:val="00EF68F7"/>
    <w:rsid w:val="00EF6917"/>
    <w:rsid w:val="00EF696D"/>
    <w:rsid w:val="00EF6A20"/>
    <w:rsid w:val="00EF6A6A"/>
    <w:rsid w:val="00EF6A84"/>
    <w:rsid w:val="00EF6AD7"/>
    <w:rsid w:val="00EF6AF6"/>
    <w:rsid w:val="00EF6B00"/>
    <w:rsid w:val="00EF6B24"/>
    <w:rsid w:val="00EF6B36"/>
    <w:rsid w:val="00EF6B73"/>
    <w:rsid w:val="00EF6BD5"/>
    <w:rsid w:val="00EF6BE5"/>
    <w:rsid w:val="00EF6BEB"/>
    <w:rsid w:val="00EF6BF3"/>
    <w:rsid w:val="00EF6C23"/>
    <w:rsid w:val="00EF6C28"/>
    <w:rsid w:val="00EF6C51"/>
    <w:rsid w:val="00EF6C5C"/>
    <w:rsid w:val="00EF6C82"/>
    <w:rsid w:val="00EF6C8F"/>
    <w:rsid w:val="00EF6CC5"/>
    <w:rsid w:val="00EF6CC8"/>
    <w:rsid w:val="00EF6D35"/>
    <w:rsid w:val="00EF6D80"/>
    <w:rsid w:val="00EF6D83"/>
    <w:rsid w:val="00EF6E5E"/>
    <w:rsid w:val="00EF6E86"/>
    <w:rsid w:val="00EF6E8B"/>
    <w:rsid w:val="00EF6EB4"/>
    <w:rsid w:val="00EF6EC0"/>
    <w:rsid w:val="00EF6EDA"/>
    <w:rsid w:val="00EF6EF7"/>
    <w:rsid w:val="00EF6F6D"/>
    <w:rsid w:val="00EF6F9A"/>
    <w:rsid w:val="00EF6FB8"/>
    <w:rsid w:val="00EF6FEC"/>
    <w:rsid w:val="00EF7012"/>
    <w:rsid w:val="00EF7055"/>
    <w:rsid w:val="00EF705D"/>
    <w:rsid w:val="00EF705F"/>
    <w:rsid w:val="00EF7072"/>
    <w:rsid w:val="00EF709B"/>
    <w:rsid w:val="00EF70A2"/>
    <w:rsid w:val="00EF70EF"/>
    <w:rsid w:val="00EF70F9"/>
    <w:rsid w:val="00EF710A"/>
    <w:rsid w:val="00EF716D"/>
    <w:rsid w:val="00EF71A5"/>
    <w:rsid w:val="00EF71CB"/>
    <w:rsid w:val="00EF71EA"/>
    <w:rsid w:val="00EF7241"/>
    <w:rsid w:val="00EF7277"/>
    <w:rsid w:val="00EF72AE"/>
    <w:rsid w:val="00EF72C7"/>
    <w:rsid w:val="00EF7300"/>
    <w:rsid w:val="00EF7307"/>
    <w:rsid w:val="00EF732D"/>
    <w:rsid w:val="00EF7397"/>
    <w:rsid w:val="00EF73A1"/>
    <w:rsid w:val="00EF73A9"/>
    <w:rsid w:val="00EF7421"/>
    <w:rsid w:val="00EF7426"/>
    <w:rsid w:val="00EF7447"/>
    <w:rsid w:val="00EF7463"/>
    <w:rsid w:val="00EF746B"/>
    <w:rsid w:val="00EF748A"/>
    <w:rsid w:val="00EF748B"/>
    <w:rsid w:val="00EF74B2"/>
    <w:rsid w:val="00EF74BF"/>
    <w:rsid w:val="00EF74CB"/>
    <w:rsid w:val="00EF7515"/>
    <w:rsid w:val="00EF752F"/>
    <w:rsid w:val="00EF754D"/>
    <w:rsid w:val="00EF755B"/>
    <w:rsid w:val="00EF7587"/>
    <w:rsid w:val="00EF7590"/>
    <w:rsid w:val="00EF7598"/>
    <w:rsid w:val="00EF75AC"/>
    <w:rsid w:val="00EF75B7"/>
    <w:rsid w:val="00EF75C0"/>
    <w:rsid w:val="00EF7647"/>
    <w:rsid w:val="00EF766C"/>
    <w:rsid w:val="00EF7670"/>
    <w:rsid w:val="00EF7734"/>
    <w:rsid w:val="00EF774F"/>
    <w:rsid w:val="00EF7763"/>
    <w:rsid w:val="00EF777C"/>
    <w:rsid w:val="00EF77A0"/>
    <w:rsid w:val="00EF77C4"/>
    <w:rsid w:val="00EF77D1"/>
    <w:rsid w:val="00EF786E"/>
    <w:rsid w:val="00EF78A2"/>
    <w:rsid w:val="00EF78B9"/>
    <w:rsid w:val="00EF7915"/>
    <w:rsid w:val="00EF7942"/>
    <w:rsid w:val="00EF797A"/>
    <w:rsid w:val="00EF797F"/>
    <w:rsid w:val="00EF79AC"/>
    <w:rsid w:val="00EF7A36"/>
    <w:rsid w:val="00EF7A65"/>
    <w:rsid w:val="00EF7A69"/>
    <w:rsid w:val="00EF7A76"/>
    <w:rsid w:val="00EF7A85"/>
    <w:rsid w:val="00EF7B10"/>
    <w:rsid w:val="00EF7B33"/>
    <w:rsid w:val="00EF7B43"/>
    <w:rsid w:val="00EF7B63"/>
    <w:rsid w:val="00EF7BBB"/>
    <w:rsid w:val="00EF7BEF"/>
    <w:rsid w:val="00EF7C54"/>
    <w:rsid w:val="00EF7C56"/>
    <w:rsid w:val="00EF7CAE"/>
    <w:rsid w:val="00EF7CC4"/>
    <w:rsid w:val="00EF7CE3"/>
    <w:rsid w:val="00EF7D12"/>
    <w:rsid w:val="00EF7D5A"/>
    <w:rsid w:val="00EF7DC0"/>
    <w:rsid w:val="00EF7DF6"/>
    <w:rsid w:val="00EF7E06"/>
    <w:rsid w:val="00EF7E15"/>
    <w:rsid w:val="00EF7E3F"/>
    <w:rsid w:val="00EF7EB1"/>
    <w:rsid w:val="00EF7F70"/>
    <w:rsid w:val="00EF7F9B"/>
    <w:rsid w:val="00EF7F9D"/>
    <w:rsid w:val="00EF7FA6"/>
    <w:rsid w:val="00EF7FF4"/>
    <w:rsid w:val="00F00002"/>
    <w:rsid w:val="00F0003B"/>
    <w:rsid w:val="00F00093"/>
    <w:rsid w:val="00F000B5"/>
    <w:rsid w:val="00F001D2"/>
    <w:rsid w:val="00F001D4"/>
    <w:rsid w:val="00F00216"/>
    <w:rsid w:val="00F00224"/>
    <w:rsid w:val="00F0023E"/>
    <w:rsid w:val="00F00253"/>
    <w:rsid w:val="00F0029F"/>
    <w:rsid w:val="00F002BB"/>
    <w:rsid w:val="00F002E5"/>
    <w:rsid w:val="00F00358"/>
    <w:rsid w:val="00F0040B"/>
    <w:rsid w:val="00F00423"/>
    <w:rsid w:val="00F00434"/>
    <w:rsid w:val="00F00450"/>
    <w:rsid w:val="00F0045D"/>
    <w:rsid w:val="00F00463"/>
    <w:rsid w:val="00F00491"/>
    <w:rsid w:val="00F00499"/>
    <w:rsid w:val="00F0049D"/>
    <w:rsid w:val="00F0056A"/>
    <w:rsid w:val="00F00585"/>
    <w:rsid w:val="00F005E3"/>
    <w:rsid w:val="00F00602"/>
    <w:rsid w:val="00F0063E"/>
    <w:rsid w:val="00F00677"/>
    <w:rsid w:val="00F006C2"/>
    <w:rsid w:val="00F006C7"/>
    <w:rsid w:val="00F006F8"/>
    <w:rsid w:val="00F006FE"/>
    <w:rsid w:val="00F00700"/>
    <w:rsid w:val="00F00743"/>
    <w:rsid w:val="00F007A1"/>
    <w:rsid w:val="00F00805"/>
    <w:rsid w:val="00F0081F"/>
    <w:rsid w:val="00F00821"/>
    <w:rsid w:val="00F00833"/>
    <w:rsid w:val="00F00847"/>
    <w:rsid w:val="00F00859"/>
    <w:rsid w:val="00F0086E"/>
    <w:rsid w:val="00F0088E"/>
    <w:rsid w:val="00F00919"/>
    <w:rsid w:val="00F009A2"/>
    <w:rsid w:val="00F009C1"/>
    <w:rsid w:val="00F009C7"/>
    <w:rsid w:val="00F009E0"/>
    <w:rsid w:val="00F00A0E"/>
    <w:rsid w:val="00F00A4A"/>
    <w:rsid w:val="00F00A6B"/>
    <w:rsid w:val="00F00A8B"/>
    <w:rsid w:val="00F00B5F"/>
    <w:rsid w:val="00F00B68"/>
    <w:rsid w:val="00F00B76"/>
    <w:rsid w:val="00F00B8C"/>
    <w:rsid w:val="00F00BA6"/>
    <w:rsid w:val="00F00BE1"/>
    <w:rsid w:val="00F00BE4"/>
    <w:rsid w:val="00F00BF0"/>
    <w:rsid w:val="00F00BFC"/>
    <w:rsid w:val="00F00C02"/>
    <w:rsid w:val="00F00C55"/>
    <w:rsid w:val="00F00C8B"/>
    <w:rsid w:val="00F00CBF"/>
    <w:rsid w:val="00F00D0A"/>
    <w:rsid w:val="00F00D1F"/>
    <w:rsid w:val="00F00DBA"/>
    <w:rsid w:val="00F00DC6"/>
    <w:rsid w:val="00F00E9D"/>
    <w:rsid w:val="00F00F31"/>
    <w:rsid w:val="00F00F73"/>
    <w:rsid w:val="00F00F77"/>
    <w:rsid w:val="00F00F81"/>
    <w:rsid w:val="00F00FBD"/>
    <w:rsid w:val="00F00FFB"/>
    <w:rsid w:val="00F0100A"/>
    <w:rsid w:val="00F01023"/>
    <w:rsid w:val="00F0102D"/>
    <w:rsid w:val="00F01053"/>
    <w:rsid w:val="00F0114A"/>
    <w:rsid w:val="00F0115A"/>
    <w:rsid w:val="00F011AF"/>
    <w:rsid w:val="00F011D8"/>
    <w:rsid w:val="00F01237"/>
    <w:rsid w:val="00F01248"/>
    <w:rsid w:val="00F0124B"/>
    <w:rsid w:val="00F0126C"/>
    <w:rsid w:val="00F012AF"/>
    <w:rsid w:val="00F012C6"/>
    <w:rsid w:val="00F012CF"/>
    <w:rsid w:val="00F01306"/>
    <w:rsid w:val="00F01351"/>
    <w:rsid w:val="00F01368"/>
    <w:rsid w:val="00F013A4"/>
    <w:rsid w:val="00F013C2"/>
    <w:rsid w:val="00F013CE"/>
    <w:rsid w:val="00F013E9"/>
    <w:rsid w:val="00F013F1"/>
    <w:rsid w:val="00F0146B"/>
    <w:rsid w:val="00F014B2"/>
    <w:rsid w:val="00F014D3"/>
    <w:rsid w:val="00F01548"/>
    <w:rsid w:val="00F01599"/>
    <w:rsid w:val="00F015AF"/>
    <w:rsid w:val="00F015F0"/>
    <w:rsid w:val="00F0161D"/>
    <w:rsid w:val="00F0162D"/>
    <w:rsid w:val="00F01640"/>
    <w:rsid w:val="00F01666"/>
    <w:rsid w:val="00F0169C"/>
    <w:rsid w:val="00F016BD"/>
    <w:rsid w:val="00F016C3"/>
    <w:rsid w:val="00F016C7"/>
    <w:rsid w:val="00F016C9"/>
    <w:rsid w:val="00F016D7"/>
    <w:rsid w:val="00F01704"/>
    <w:rsid w:val="00F0170B"/>
    <w:rsid w:val="00F01737"/>
    <w:rsid w:val="00F0177F"/>
    <w:rsid w:val="00F0178D"/>
    <w:rsid w:val="00F017A8"/>
    <w:rsid w:val="00F0183F"/>
    <w:rsid w:val="00F01856"/>
    <w:rsid w:val="00F0185F"/>
    <w:rsid w:val="00F01881"/>
    <w:rsid w:val="00F018CA"/>
    <w:rsid w:val="00F01963"/>
    <w:rsid w:val="00F019E2"/>
    <w:rsid w:val="00F01A21"/>
    <w:rsid w:val="00F01A54"/>
    <w:rsid w:val="00F01A65"/>
    <w:rsid w:val="00F01A9F"/>
    <w:rsid w:val="00F01AAC"/>
    <w:rsid w:val="00F01B29"/>
    <w:rsid w:val="00F01B34"/>
    <w:rsid w:val="00F01B65"/>
    <w:rsid w:val="00F01B68"/>
    <w:rsid w:val="00F01B90"/>
    <w:rsid w:val="00F01BD7"/>
    <w:rsid w:val="00F01BE9"/>
    <w:rsid w:val="00F01C48"/>
    <w:rsid w:val="00F01CA6"/>
    <w:rsid w:val="00F01CAF"/>
    <w:rsid w:val="00F01CEA"/>
    <w:rsid w:val="00F01CF1"/>
    <w:rsid w:val="00F01CFC"/>
    <w:rsid w:val="00F01D40"/>
    <w:rsid w:val="00F01D61"/>
    <w:rsid w:val="00F01D80"/>
    <w:rsid w:val="00F01D92"/>
    <w:rsid w:val="00F01DA4"/>
    <w:rsid w:val="00F01DC2"/>
    <w:rsid w:val="00F01F0C"/>
    <w:rsid w:val="00F01F12"/>
    <w:rsid w:val="00F01FC0"/>
    <w:rsid w:val="00F01FEE"/>
    <w:rsid w:val="00F020BC"/>
    <w:rsid w:val="00F02101"/>
    <w:rsid w:val="00F0218F"/>
    <w:rsid w:val="00F021AF"/>
    <w:rsid w:val="00F021C7"/>
    <w:rsid w:val="00F0220C"/>
    <w:rsid w:val="00F02213"/>
    <w:rsid w:val="00F022D8"/>
    <w:rsid w:val="00F022E4"/>
    <w:rsid w:val="00F02335"/>
    <w:rsid w:val="00F0234E"/>
    <w:rsid w:val="00F023E9"/>
    <w:rsid w:val="00F02497"/>
    <w:rsid w:val="00F024BF"/>
    <w:rsid w:val="00F024FB"/>
    <w:rsid w:val="00F02506"/>
    <w:rsid w:val="00F02532"/>
    <w:rsid w:val="00F0256C"/>
    <w:rsid w:val="00F02580"/>
    <w:rsid w:val="00F0259E"/>
    <w:rsid w:val="00F025C8"/>
    <w:rsid w:val="00F025CA"/>
    <w:rsid w:val="00F025DF"/>
    <w:rsid w:val="00F025E6"/>
    <w:rsid w:val="00F025F7"/>
    <w:rsid w:val="00F02600"/>
    <w:rsid w:val="00F02642"/>
    <w:rsid w:val="00F02677"/>
    <w:rsid w:val="00F026B4"/>
    <w:rsid w:val="00F026E3"/>
    <w:rsid w:val="00F02718"/>
    <w:rsid w:val="00F02766"/>
    <w:rsid w:val="00F027A2"/>
    <w:rsid w:val="00F027E5"/>
    <w:rsid w:val="00F02821"/>
    <w:rsid w:val="00F028D3"/>
    <w:rsid w:val="00F0297A"/>
    <w:rsid w:val="00F02987"/>
    <w:rsid w:val="00F0298A"/>
    <w:rsid w:val="00F02994"/>
    <w:rsid w:val="00F029B6"/>
    <w:rsid w:val="00F029E5"/>
    <w:rsid w:val="00F029ED"/>
    <w:rsid w:val="00F029EF"/>
    <w:rsid w:val="00F02A31"/>
    <w:rsid w:val="00F02A78"/>
    <w:rsid w:val="00F02A82"/>
    <w:rsid w:val="00F02A96"/>
    <w:rsid w:val="00F02AA6"/>
    <w:rsid w:val="00F02B18"/>
    <w:rsid w:val="00F02C10"/>
    <w:rsid w:val="00F02C43"/>
    <w:rsid w:val="00F02C61"/>
    <w:rsid w:val="00F02C92"/>
    <w:rsid w:val="00F02CAE"/>
    <w:rsid w:val="00F02D0F"/>
    <w:rsid w:val="00F02D5B"/>
    <w:rsid w:val="00F02D70"/>
    <w:rsid w:val="00F02DCA"/>
    <w:rsid w:val="00F02DFC"/>
    <w:rsid w:val="00F02E7B"/>
    <w:rsid w:val="00F02E7E"/>
    <w:rsid w:val="00F02EB4"/>
    <w:rsid w:val="00F02F7D"/>
    <w:rsid w:val="00F02F8D"/>
    <w:rsid w:val="00F02FD9"/>
    <w:rsid w:val="00F02FEB"/>
    <w:rsid w:val="00F02FF2"/>
    <w:rsid w:val="00F02FF9"/>
    <w:rsid w:val="00F03002"/>
    <w:rsid w:val="00F03019"/>
    <w:rsid w:val="00F0302A"/>
    <w:rsid w:val="00F03060"/>
    <w:rsid w:val="00F03077"/>
    <w:rsid w:val="00F030E7"/>
    <w:rsid w:val="00F030FF"/>
    <w:rsid w:val="00F03188"/>
    <w:rsid w:val="00F031A1"/>
    <w:rsid w:val="00F031E2"/>
    <w:rsid w:val="00F03258"/>
    <w:rsid w:val="00F032BE"/>
    <w:rsid w:val="00F033A7"/>
    <w:rsid w:val="00F033BB"/>
    <w:rsid w:val="00F0344F"/>
    <w:rsid w:val="00F03465"/>
    <w:rsid w:val="00F0348A"/>
    <w:rsid w:val="00F034AF"/>
    <w:rsid w:val="00F034B7"/>
    <w:rsid w:val="00F034BA"/>
    <w:rsid w:val="00F034CD"/>
    <w:rsid w:val="00F0358C"/>
    <w:rsid w:val="00F035AF"/>
    <w:rsid w:val="00F035BF"/>
    <w:rsid w:val="00F035FC"/>
    <w:rsid w:val="00F03626"/>
    <w:rsid w:val="00F036BA"/>
    <w:rsid w:val="00F036DC"/>
    <w:rsid w:val="00F036F6"/>
    <w:rsid w:val="00F03713"/>
    <w:rsid w:val="00F03726"/>
    <w:rsid w:val="00F03768"/>
    <w:rsid w:val="00F03816"/>
    <w:rsid w:val="00F03838"/>
    <w:rsid w:val="00F038FF"/>
    <w:rsid w:val="00F0391F"/>
    <w:rsid w:val="00F03953"/>
    <w:rsid w:val="00F03960"/>
    <w:rsid w:val="00F03A12"/>
    <w:rsid w:val="00F03A64"/>
    <w:rsid w:val="00F03A74"/>
    <w:rsid w:val="00F03ADA"/>
    <w:rsid w:val="00F03B1B"/>
    <w:rsid w:val="00F03B1F"/>
    <w:rsid w:val="00F03B23"/>
    <w:rsid w:val="00F03B55"/>
    <w:rsid w:val="00F03BDF"/>
    <w:rsid w:val="00F03C1F"/>
    <w:rsid w:val="00F03C28"/>
    <w:rsid w:val="00F03DC0"/>
    <w:rsid w:val="00F03E79"/>
    <w:rsid w:val="00F03E90"/>
    <w:rsid w:val="00F03EAA"/>
    <w:rsid w:val="00F03EB6"/>
    <w:rsid w:val="00F03F56"/>
    <w:rsid w:val="00F04042"/>
    <w:rsid w:val="00F0408A"/>
    <w:rsid w:val="00F040B1"/>
    <w:rsid w:val="00F040BF"/>
    <w:rsid w:val="00F040E0"/>
    <w:rsid w:val="00F040F8"/>
    <w:rsid w:val="00F0419A"/>
    <w:rsid w:val="00F041A9"/>
    <w:rsid w:val="00F041FB"/>
    <w:rsid w:val="00F0422E"/>
    <w:rsid w:val="00F04249"/>
    <w:rsid w:val="00F04274"/>
    <w:rsid w:val="00F042AE"/>
    <w:rsid w:val="00F042B3"/>
    <w:rsid w:val="00F042B9"/>
    <w:rsid w:val="00F042D8"/>
    <w:rsid w:val="00F042D9"/>
    <w:rsid w:val="00F04311"/>
    <w:rsid w:val="00F0431E"/>
    <w:rsid w:val="00F0432D"/>
    <w:rsid w:val="00F04345"/>
    <w:rsid w:val="00F04371"/>
    <w:rsid w:val="00F043C3"/>
    <w:rsid w:val="00F043C7"/>
    <w:rsid w:val="00F043D4"/>
    <w:rsid w:val="00F043E3"/>
    <w:rsid w:val="00F043EB"/>
    <w:rsid w:val="00F043F5"/>
    <w:rsid w:val="00F0441E"/>
    <w:rsid w:val="00F0443F"/>
    <w:rsid w:val="00F04467"/>
    <w:rsid w:val="00F0447C"/>
    <w:rsid w:val="00F044AC"/>
    <w:rsid w:val="00F044BB"/>
    <w:rsid w:val="00F044D5"/>
    <w:rsid w:val="00F04514"/>
    <w:rsid w:val="00F0451D"/>
    <w:rsid w:val="00F04538"/>
    <w:rsid w:val="00F04546"/>
    <w:rsid w:val="00F0458E"/>
    <w:rsid w:val="00F045DF"/>
    <w:rsid w:val="00F045E9"/>
    <w:rsid w:val="00F045EB"/>
    <w:rsid w:val="00F0462E"/>
    <w:rsid w:val="00F04630"/>
    <w:rsid w:val="00F04680"/>
    <w:rsid w:val="00F046BA"/>
    <w:rsid w:val="00F0470E"/>
    <w:rsid w:val="00F04765"/>
    <w:rsid w:val="00F04791"/>
    <w:rsid w:val="00F047A5"/>
    <w:rsid w:val="00F04824"/>
    <w:rsid w:val="00F048CA"/>
    <w:rsid w:val="00F048E9"/>
    <w:rsid w:val="00F04918"/>
    <w:rsid w:val="00F0493B"/>
    <w:rsid w:val="00F04A1B"/>
    <w:rsid w:val="00F04A68"/>
    <w:rsid w:val="00F04ADE"/>
    <w:rsid w:val="00F04AF8"/>
    <w:rsid w:val="00F04B07"/>
    <w:rsid w:val="00F04BB9"/>
    <w:rsid w:val="00F04BD3"/>
    <w:rsid w:val="00F04BEB"/>
    <w:rsid w:val="00F04C6B"/>
    <w:rsid w:val="00F04CB5"/>
    <w:rsid w:val="00F04D5E"/>
    <w:rsid w:val="00F04E3D"/>
    <w:rsid w:val="00F04E42"/>
    <w:rsid w:val="00F04E4E"/>
    <w:rsid w:val="00F04E84"/>
    <w:rsid w:val="00F04F11"/>
    <w:rsid w:val="00F04F18"/>
    <w:rsid w:val="00F04F80"/>
    <w:rsid w:val="00F04FC0"/>
    <w:rsid w:val="00F0502E"/>
    <w:rsid w:val="00F05058"/>
    <w:rsid w:val="00F050AB"/>
    <w:rsid w:val="00F050B5"/>
    <w:rsid w:val="00F050C5"/>
    <w:rsid w:val="00F050D2"/>
    <w:rsid w:val="00F05184"/>
    <w:rsid w:val="00F051A1"/>
    <w:rsid w:val="00F051A2"/>
    <w:rsid w:val="00F051D1"/>
    <w:rsid w:val="00F051FE"/>
    <w:rsid w:val="00F05249"/>
    <w:rsid w:val="00F052BB"/>
    <w:rsid w:val="00F05308"/>
    <w:rsid w:val="00F05410"/>
    <w:rsid w:val="00F05438"/>
    <w:rsid w:val="00F05441"/>
    <w:rsid w:val="00F0545B"/>
    <w:rsid w:val="00F054FF"/>
    <w:rsid w:val="00F05510"/>
    <w:rsid w:val="00F0557D"/>
    <w:rsid w:val="00F05585"/>
    <w:rsid w:val="00F05597"/>
    <w:rsid w:val="00F055DF"/>
    <w:rsid w:val="00F055E2"/>
    <w:rsid w:val="00F055EC"/>
    <w:rsid w:val="00F055FB"/>
    <w:rsid w:val="00F0561D"/>
    <w:rsid w:val="00F05622"/>
    <w:rsid w:val="00F05632"/>
    <w:rsid w:val="00F056C1"/>
    <w:rsid w:val="00F056F1"/>
    <w:rsid w:val="00F056F2"/>
    <w:rsid w:val="00F05720"/>
    <w:rsid w:val="00F05737"/>
    <w:rsid w:val="00F0573E"/>
    <w:rsid w:val="00F05745"/>
    <w:rsid w:val="00F05774"/>
    <w:rsid w:val="00F057D3"/>
    <w:rsid w:val="00F0582D"/>
    <w:rsid w:val="00F05835"/>
    <w:rsid w:val="00F05842"/>
    <w:rsid w:val="00F05865"/>
    <w:rsid w:val="00F05872"/>
    <w:rsid w:val="00F05927"/>
    <w:rsid w:val="00F05928"/>
    <w:rsid w:val="00F0592E"/>
    <w:rsid w:val="00F0593E"/>
    <w:rsid w:val="00F05970"/>
    <w:rsid w:val="00F059CD"/>
    <w:rsid w:val="00F059FB"/>
    <w:rsid w:val="00F05A38"/>
    <w:rsid w:val="00F05A3D"/>
    <w:rsid w:val="00F05A97"/>
    <w:rsid w:val="00F05AEA"/>
    <w:rsid w:val="00F05BAD"/>
    <w:rsid w:val="00F05BBF"/>
    <w:rsid w:val="00F05BC1"/>
    <w:rsid w:val="00F05BFB"/>
    <w:rsid w:val="00F05C48"/>
    <w:rsid w:val="00F05C49"/>
    <w:rsid w:val="00F05C95"/>
    <w:rsid w:val="00F05C9B"/>
    <w:rsid w:val="00F05CB9"/>
    <w:rsid w:val="00F05CF2"/>
    <w:rsid w:val="00F05D30"/>
    <w:rsid w:val="00F05D7F"/>
    <w:rsid w:val="00F05D80"/>
    <w:rsid w:val="00F05DAD"/>
    <w:rsid w:val="00F05DC3"/>
    <w:rsid w:val="00F05E8A"/>
    <w:rsid w:val="00F05EC2"/>
    <w:rsid w:val="00F05EEA"/>
    <w:rsid w:val="00F05F07"/>
    <w:rsid w:val="00F05F15"/>
    <w:rsid w:val="00F05F9F"/>
    <w:rsid w:val="00F05FF6"/>
    <w:rsid w:val="00F06121"/>
    <w:rsid w:val="00F0612F"/>
    <w:rsid w:val="00F06159"/>
    <w:rsid w:val="00F0615A"/>
    <w:rsid w:val="00F0616C"/>
    <w:rsid w:val="00F0617D"/>
    <w:rsid w:val="00F06191"/>
    <w:rsid w:val="00F061B6"/>
    <w:rsid w:val="00F061BA"/>
    <w:rsid w:val="00F06207"/>
    <w:rsid w:val="00F06219"/>
    <w:rsid w:val="00F06241"/>
    <w:rsid w:val="00F06250"/>
    <w:rsid w:val="00F062B7"/>
    <w:rsid w:val="00F062C2"/>
    <w:rsid w:val="00F0630C"/>
    <w:rsid w:val="00F06314"/>
    <w:rsid w:val="00F06316"/>
    <w:rsid w:val="00F0631F"/>
    <w:rsid w:val="00F063AA"/>
    <w:rsid w:val="00F063DF"/>
    <w:rsid w:val="00F06401"/>
    <w:rsid w:val="00F06419"/>
    <w:rsid w:val="00F06459"/>
    <w:rsid w:val="00F06470"/>
    <w:rsid w:val="00F06473"/>
    <w:rsid w:val="00F06485"/>
    <w:rsid w:val="00F064F4"/>
    <w:rsid w:val="00F06504"/>
    <w:rsid w:val="00F0651F"/>
    <w:rsid w:val="00F06596"/>
    <w:rsid w:val="00F065D0"/>
    <w:rsid w:val="00F065D5"/>
    <w:rsid w:val="00F065DA"/>
    <w:rsid w:val="00F06600"/>
    <w:rsid w:val="00F0667D"/>
    <w:rsid w:val="00F0670B"/>
    <w:rsid w:val="00F06715"/>
    <w:rsid w:val="00F06752"/>
    <w:rsid w:val="00F06754"/>
    <w:rsid w:val="00F0675D"/>
    <w:rsid w:val="00F06777"/>
    <w:rsid w:val="00F0677A"/>
    <w:rsid w:val="00F06799"/>
    <w:rsid w:val="00F067C7"/>
    <w:rsid w:val="00F067EA"/>
    <w:rsid w:val="00F06839"/>
    <w:rsid w:val="00F068F6"/>
    <w:rsid w:val="00F0692F"/>
    <w:rsid w:val="00F06930"/>
    <w:rsid w:val="00F06974"/>
    <w:rsid w:val="00F069B6"/>
    <w:rsid w:val="00F069E8"/>
    <w:rsid w:val="00F069F6"/>
    <w:rsid w:val="00F069F8"/>
    <w:rsid w:val="00F06A02"/>
    <w:rsid w:val="00F06A1C"/>
    <w:rsid w:val="00F06B04"/>
    <w:rsid w:val="00F06B11"/>
    <w:rsid w:val="00F06B1E"/>
    <w:rsid w:val="00F06B58"/>
    <w:rsid w:val="00F06B69"/>
    <w:rsid w:val="00F06B97"/>
    <w:rsid w:val="00F06BAF"/>
    <w:rsid w:val="00F06C0B"/>
    <w:rsid w:val="00F06C24"/>
    <w:rsid w:val="00F06C3C"/>
    <w:rsid w:val="00F06C79"/>
    <w:rsid w:val="00F06CC3"/>
    <w:rsid w:val="00F06D4B"/>
    <w:rsid w:val="00F06D98"/>
    <w:rsid w:val="00F06DBB"/>
    <w:rsid w:val="00F06DFC"/>
    <w:rsid w:val="00F06E4E"/>
    <w:rsid w:val="00F06EA5"/>
    <w:rsid w:val="00F06EDA"/>
    <w:rsid w:val="00F06EDF"/>
    <w:rsid w:val="00F06EE9"/>
    <w:rsid w:val="00F06F25"/>
    <w:rsid w:val="00F06F94"/>
    <w:rsid w:val="00F06FB7"/>
    <w:rsid w:val="00F06FC6"/>
    <w:rsid w:val="00F06FE8"/>
    <w:rsid w:val="00F07020"/>
    <w:rsid w:val="00F07024"/>
    <w:rsid w:val="00F07069"/>
    <w:rsid w:val="00F07105"/>
    <w:rsid w:val="00F0713E"/>
    <w:rsid w:val="00F0715E"/>
    <w:rsid w:val="00F0719C"/>
    <w:rsid w:val="00F071E9"/>
    <w:rsid w:val="00F07262"/>
    <w:rsid w:val="00F0732B"/>
    <w:rsid w:val="00F07371"/>
    <w:rsid w:val="00F0737F"/>
    <w:rsid w:val="00F07395"/>
    <w:rsid w:val="00F073E3"/>
    <w:rsid w:val="00F073FB"/>
    <w:rsid w:val="00F073FE"/>
    <w:rsid w:val="00F07444"/>
    <w:rsid w:val="00F0749F"/>
    <w:rsid w:val="00F074C4"/>
    <w:rsid w:val="00F07541"/>
    <w:rsid w:val="00F0754D"/>
    <w:rsid w:val="00F075B5"/>
    <w:rsid w:val="00F075CB"/>
    <w:rsid w:val="00F075D6"/>
    <w:rsid w:val="00F07611"/>
    <w:rsid w:val="00F0761F"/>
    <w:rsid w:val="00F076AC"/>
    <w:rsid w:val="00F076CD"/>
    <w:rsid w:val="00F0777F"/>
    <w:rsid w:val="00F07798"/>
    <w:rsid w:val="00F07800"/>
    <w:rsid w:val="00F07836"/>
    <w:rsid w:val="00F0783D"/>
    <w:rsid w:val="00F07871"/>
    <w:rsid w:val="00F07889"/>
    <w:rsid w:val="00F07891"/>
    <w:rsid w:val="00F078C1"/>
    <w:rsid w:val="00F078FF"/>
    <w:rsid w:val="00F079FE"/>
    <w:rsid w:val="00F07A43"/>
    <w:rsid w:val="00F07A4B"/>
    <w:rsid w:val="00F07AC1"/>
    <w:rsid w:val="00F07B97"/>
    <w:rsid w:val="00F07BB0"/>
    <w:rsid w:val="00F07BB5"/>
    <w:rsid w:val="00F07BBE"/>
    <w:rsid w:val="00F07BF4"/>
    <w:rsid w:val="00F07C20"/>
    <w:rsid w:val="00F07C57"/>
    <w:rsid w:val="00F07C60"/>
    <w:rsid w:val="00F07CAB"/>
    <w:rsid w:val="00F07CFF"/>
    <w:rsid w:val="00F07D14"/>
    <w:rsid w:val="00F07D84"/>
    <w:rsid w:val="00F07E54"/>
    <w:rsid w:val="00F07E56"/>
    <w:rsid w:val="00F07E67"/>
    <w:rsid w:val="00F07E96"/>
    <w:rsid w:val="00F07EA7"/>
    <w:rsid w:val="00F07EA9"/>
    <w:rsid w:val="00F07F21"/>
    <w:rsid w:val="00F07F32"/>
    <w:rsid w:val="00F07F75"/>
    <w:rsid w:val="00F07FAB"/>
    <w:rsid w:val="00F07FF7"/>
    <w:rsid w:val="00F10012"/>
    <w:rsid w:val="00F10027"/>
    <w:rsid w:val="00F10072"/>
    <w:rsid w:val="00F10163"/>
    <w:rsid w:val="00F10184"/>
    <w:rsid w:val="00F10189"/>
    <w:rsid w:val="00F101A7"/>
    <w:rsid w:val="00F101BA"/>
    <w:rsid w:val="00F10245"/>
    <w:rsid w:val="00F1024A"/>
    <w:rsid w:val="00F1026E"/>
    <w:rsid w:val="00F102E3"/>
    <w:rsid w:val="00F102FB"/>
    <w:rsid w:val="00F10312"/>
    <w:rsid w:val="00F1032F"/>
    <w:rsid w:val="00F10346"/>
    <w:rsid w:val="00F10379"/>
    <w:rsid w:val="00F1037B"/>
    <w:rsid w:val="00F1038A"/>
    <w:rsid w:val="00F103B6"/>
    <w:rsid w:val="00F103D6"/>
    <w:rsid w:val="00F103F3"/>
    <w:rsid w:val="00F10433"/>
    <w:rsid w:val="00F10467"/>
    <w:rsid w:val="00F10496"/>
    <w:rsid w:val="00F104C0"/>
    <w:rsid w:val="00F104C8"/>
    <w:rsid w:val="00F104D2"/>
    <w:rsid w:val="00F104E0"/>
    <w:rsid w:val="00F104FD"/>
    <w:rsid w:val="00F10527"/>
    <w:rsid w:val="00F10577"/>
    <w:rsid w:val="00F105EB"/>
    <w:rsid w:val="00F105F9"/>
    <w:rsid w:val="00F10610"/>
    <w:rsid w:val="00F10612"/>
    <w:rsid w:val="00F1062E"/>
    <w:rsid w:val="00F10657"/>
    <w:rsid w:val="00F10666"/>
    <w:rsid w:val="00F10682"/>
    <w:rsid w:val="00F106BB"/>
    <w:rsid w:val="00F106FA"/>
    <w:rsid w:val="00F10713"/>
    <w:rsid w:val="00F1075E"/>
    <w:rsid w:val="00F107A9"/>
    <w:rsid w:val="00F10825"/>
    <w:rsid w:val="00F10827"/>
    <w:rsid w:val="00F10867"/>
    <w:rsid w:val="00F10875"/>
    <w:rsid w:val="00F10881"/>
    <w:rsid w:val="00F108A7"/>
    <w:rsid w:val="00F10912"/>
    <w:rsid w:val="00F1091F"/>
    <w:rsid w:val="00F10927"/>
    <w:rsid w:val="00F10942"/>
    <w:rsid w:val="00F1096C"/>
    <w:rsid w:val="00F1098E"/>
    <w:rsid w:val="00F10AA9"/>
    <w:rsid w:val="00F10ADE"/>
    <w:rsid w:val="00F10AFA"/>
    <w:rsid w:val="00F10B3B"/>
    <w:rsid w:val="00F10B59"/>
    <w:rsid w:val="00F10B69"/>
    <w:rsid w:val="00F10BC6"/>
    <w:rsid w:val="00F10BF2"/>
    <w:rsid w:val="00F10C0E"/>
    <w:rsid w:val="00F10C11"/>
    <w:rsid w:val="00F10C1C"/>
    <w:rsid w:val="00F10C56"/>
    <w:rsid w:val="00F10C71"/>
    <w:rsid w:val="00F10C7E"/>
    <w:rsid w:val="00F10C8F"/>
    <w:rsid w:val="00F10CDF"/>
    <w:rsid w:val="00F10D07"/>
    <w:rsid w:val="00F10D2F"/>
    <w:rsid w:val="00F10DA5"/>
    <w:rsid w:val="00F10DB2"/>
    <w:rsid w:val="00F10DBC"/>
    <w:rsid w:val="00F10E03"/>
    <w:rsid w:val="00F10E18"/>
    <w:rsid w:val="00F10E2B"/>
    <w:rsid w:val="00F10E95"/>
    <w:rsid w:val="00F10EEE"/>
    <w:rsid w:val="00F10F0D"/>
    <w:rsid w:val="00F10F11"/>
    <w:rsid w:val="00F10F37"/>
    <w:rsid w:val="00F10FDF"/>
    <w:rsid w:val="00F10FF3"/>
    <w:rsid w:val="00F11016"/>
    <w:rsid w:val="00F11047"/>
    <w:rsid w:val="00F11084"/>
    <w:rsid w:val="00F110D8"/>
    <w:rsid w:val="00F11101"/>
    <w:rsid w:val="00F11105"/>
    <w:rsid w:val="00F11137"/>
    <w:rsid w:val="00F1114E"/>
    <w:rsid w:val="00F111B8"/>
    <w:rsid w:val="00F111D5"/>
    <w:rsid w:val="00F11212"/>
    <w:rsid w:val="00F11293"/>
    <w:rsid w:val="00F11303"/>
    <w:rsid w:val="00F113BD"/>
    <w:rsid w:val="00F113C4"/>
    <w:rsid w:val="00F113CF"/>
    <w:rsid w:val="00F113D6"/>
    <w:rsid w:val="00F113DE"/>
    <w:rsid w:val="00F1144D"/>
    <w:rsid w:val="00F114BC"/>
    <w:rsid w:val="00F11509"/>
    <w:rsid w:val="00F1154F"/>
    <w:rsid w:val="00F11565"/>
    <w:rsid w:val="00F115D0"/>
    <w:rsid w:val="00F115E5"/>
    <w:rsid w:val="00F1162B"/>
    <w:rsid w:val="00F116A1"/>
    <w:rsid w:val="00F116CD"/>
    <w:rsid w:val="00F117AD"/>
    <w:rsid w:val="00F11865"/>
    <w:rsid w:val="00F1187C"/>
    <w:rsid w:val="00F1189B"/>
    <w:rsid w:val="00F11915"/>
    <w:rsid w:val="00F1196C"/>
    <w:rsid w:val="00F1199C"/>
    <w:rsid w:val="00F119AE"/>
    <w:rsid w:val="00F11A09"/>
    <w:rsid w:val="00F11A57"/>
    <w:rsid w:val="00F11ABC"/>
    <w:rsid w:val="00F11B29"/>
    <w:rsid w:val="00F11B7C"/>
    <w:rsid w:val="00F11B8D"/>
    <w:rsid w:val="00F11C3F"/>
    <w:rsid w:val="00F11C42"/>
    <w:rsid w:val="00F11C69"/>
    <w:rsid w:val="00F11D2A"/>
    <w:rsid w:val="00F11D39"/>
    <w:rsid w:val="00F11D6D"/>
    <w:rsid w:val="00F11D7A"/>
    <w:rsid w:val="00F11DA6"/>
    <w:rsid w:val="00F11DC3"/>
    <w:rsid w:val="00F11DD9"/>
    <w:rsid w:val="00F11DE5"/>
    <w:rsid w:val="00F11DEC"/>
    <w:rsid w:val="00F11E08"/>
    <w:rsid w:val="00F11E3A"/>
    <w:rsid w:val="00F11E3B"/>
    <w:rsid w:val="00F11E71"/>
    <w:rsid w:val="00F11E7C"/>
    <w:rsid w:val="00F11E81"/>
    <w:rsid w:val="00F11EA7"/>
    <w:rsid w:val="00F11EC9"/>
    <w:rsid w:val="00F11F47"/>
    <w:rsid w:val="00F11FC5"/>
    <w:rsid w:val="00F11FEE"/>
    <w:rsid w:val="00F1203C"/>
    <w:rsid w:val="00F1204C"/>
    <w:rsid w:val="00F12081"/>
    <w:rsid w:val="00F12110"/>
    <w:rsid w:val="00F12111"/>
    <w:rsid w:val="00F12132"/>
    <w:rsid w:val="00F121C7"/>
    <w:rsid w:val="00F121D4"/>
    <w:rsid w:val="00F121DF"/>
    <w:rsid w:val="00F12211"/>
    <w:rsid w:val="00F12213"/>
    <w:rsid w:val="00F12236"/>
    <w:rsid w:val="00F1223A"/>
    <w:rsid w:val="00F12260"/>
    <w:rsid w:val="00F12284"/>
    <w:rsid w:val="00F12294"/>
    <w:rsid w:val="00F122D9"/>
    <w:rsid w:val="00F12392"/>
    <w:rsid w:val="00F12397"/>
    <w:rsid w:val="00F1239D"/>
    <w:rsid w:val="00F123AC"/>
    <w:rsid w:val="00F123B0"/>
    <w:rsid w:val="00F123DF"/>
    <w:rsid w:val="00F123ED"/>
    <w:rsid w:val="00F123F4"/>
    <w:rsid w:val="00F1244B"/>
    <w:rsid w:val="00F12457"/>
    <w:rsid w:val="00F12470"/>
    <w:rsid w:val="00F12497"/>
    <w:rsid w:val="00F1249A"/>
    <w:rsid w:val="00F124CF"/>
    <w:rsid w:val="00F124E9"/>
    <w:rsid w:val="00F12538"/>
    <w:rsid w:val="00F1257A"/>
    <w:rsid w:val="00F125C3"/>
    <w:rsid w:val="00F12629"/>
    <w:rsid w:val="00F12673"/>
    <w:rsid w:val="00F126A2"/>
    <w:rsid w:val="00F126A8"/>
    <w:rsid w:val="00F126F4"/>
    <w:rsid w:val="00F12706"/>
    <w:rsid w:val="00F1279C"/>
    <w:rsid w:val="00F127A9"/>
    <w:rsid w:val="00F127B8"/>
    <w:rsid w:val="00F127B9"/>
    <w:rsid w:val="00F12864"/>
    <w:rsid w:val="00F1288D"/>
    <w:rsid w:val="00F128A8"/>
    <w:rsid w:val="00F128BC"/>
    <w:rsid w:val="00F128FF"/>
    <w:rsid w:val="00F1299B"/>
    <w:rsid w:val="00F129F7"/>
    <w:rsid w:val="00F12A45"/>
    <w:rsid w:val="00F12ACE"/>
    <w:rsid w:val="00F12ADC"/>
    <w:rsid w:val="00F12AEF"/>
    <w:rsid w:val="00F12B15"/>
    <w:rsid w:val="00F12B34"/>
    <w:rsid w:val="00F12B78"/>
    <w:rsid w:val="00F12B91"/>
    <w:rsid w:val="00F12BC7"/>
    <w:rsid w:val="00F12BD2"/>
    <w:rsid w:val="00F12BE7"/>
    <w:rsid w:val="00F12C1B"/>
    <w:rsid w:val="00F12C76"/>
    <w:rsid w:val="00F12CA3"/>
    <w:rsid w:val="00F12CC0"/>
    <w:rsid w:val="00F12CCE"/>
    <w:rsid w:val="00F12D2F"/>
    <w:rsid w:val="00F12D90"/>
    <w:rsid w:val="00F12E5D"/>
    <w:rsid w:val="00F12E7A"/>
    <w:rsid w:val="00F12E88"/>
    <w:rsid w:val="00F12E9D"/>
    <w:rsid w:val="00F12EE2"/>
    <w:rsid w:val="00F12F0A"/>
    <w:rsid w:val="00F12F37"/>
    <w:rsid w:val="00F12FD9"/>
    <w:rsid w:val="00F13007"/>
    <w:rsid w:val="00F1300B"/>
    <w:rsid w:val="00F13012"/>
    <w:rsid w:val="00F13061"/>
    <w:rsid w:val="00F1308F"/>
    <w:rsid w:val="00F130FA"/>
    <w:rsid w:val="00F130FD"/>
    <w:rsid w:val="00F13122"/>
    <w:rsid w:val="00F131A7"/>
    <w:rsid w:val="00F131ED"/>
    <w:rsid w:val="00F13211"/>
    <w:rsid w:val="00F132AA"/>
    <w:rsid w:val="00F132D3"/>
    <w:rsid w:val="00F132E7"/>
    <w:rsid w:val="00F132EB"/>
    <w:rsid w:val="00F13305"/>
    <w:rsid w:val="00F13318"/>
    <w:rsid w:val="00F1332A"/>
    <w:rsid w:val="00F13350"/>
    <w:rsid w:val="00F13351"/>
    <w:rsid w:val="00F133CF"/>
    <w:rsid w:val="00F13418"/>
    <w:rsid w:val="00F13449"/>
    <w:rsid w:val="00F13498"/>
    <w:rsid w:val="00F134A6"/>
    <w:rsid w:val="00F134BA"/>
    <w:rsid w:val="00F134BD"/>
    <w:rsid w:val="00F13517"/>
    <w:rsid w:val="00F1352B"/>
    <w:rsid w:val="00F1352E"/>
    <w:rsid w:val="00F13559"/>
    <w:rsid w:val="00F1356A"/>
    <w:rsid w:val="00F13585"/>
    <w:rsid w:val="00F135B9"/>
    <w:rsid w:val="00F135D4"/>
    <w:rsid w:val="00F135DB"/>
    <w:rsid w:val="00F135E0"/>
    <w:rsid w:val="00F135F1"/>
    <w:rsid w:val="00F1364E"/>
    <w:rsid w:val="00F13696"/>
    <w:rsid w:val="00F136CB"/>
    <w:rsid w:val="00F136F2"/>
    <w:rsid w:val="00F13767"/>
    <w:rsid w:val="00F13781"/>
    <w:rsid w:val="00F137BF"/>
    <w:rsid w:val="00F137D7"/>
    <w:rsid w:val="00F13831"/>
    <w:rsid w:val="00F1386A"/>
    <w:rsid w:val="00F138BD"/>
    <w:rsid w:val="00F138C8"/>
    <w:rsid w:val="00F1396B"/>
    <w:rsid w:val="00F13A14"/>
    <w:rsid w:val="00F13AD8"/>
    <w:rsid w:val="00F13B97"/>
    <w:rsid w:val="00F13BE5"/>
    <w:rsid w:val="00F13C78"/>
    <w:rsid w:val="00F13D0E"/>
    <w:rsid w:val="00F13D44"/>
    <w:rsid w:val="00F13D84"/>
    <w:rsid w:val="00F13D8D"/>
    <w:rsid w:val="00F13D97"/>
    <w:rsid w:val="00F13D9E"/>
    <w:rsid w:val="00F13DA5"/>
    <w:rsid w:val="00F13E35"/>
    <w:rsid w:val="00F13E88"/>
    <w:rsid w:val="00F13EF4"/>
    <w:rsid w:val="00F13F55"/>
    <w:rsid w:val="00F13F7D"/>
    <w:rsid w:val="00F13F9A"/>
    <w:rsid w:val="00F13FE1"/>
    <w:rsid w:val="00F1402C"/>
    <w:rsid w:val="00F14036"/>
    <w:rsid w:val="00F1406D"/>
    <w:rsid w:val="00F14077"/>
    <w:rsid w:val="00F140A4"/>
    <w:rsid w:val="00F140D2"/>
    <w:rsid w:val="00F140E2"/>
    <w:rsid w:val="00F140E9"/>
    <w:rsid w:val="00F14102"/>
    <w:rsid w:val="00F1416C"/>
    <w:rsid w:val="00F1419B"/>
    <w:rsid w:val="00F141A3"/>
    <w:rsid w:val="00F141E1"/>
    <w:rsid w:val="00F141FE"/>
    <w:rsid w:val="00F14267"/>
    <w:rsid w:val="00F14277"/>
    <w:rsid w:val="00F14280"/>
    <w:rsid w:val="00F14287"/>
    <w:rsid w:val="00F142D4"/>
    <w:rsid w:val="00F14378"/>
    <w:rsid w:val="00F14379"/>
    <w:rsid w:val="00F143B6"/>
    <w:rsid w:val="00F14444"/>
    <w:rsid w:val="00F1444D"/>
    <w:rsid w:val="00F14454"/>
    <w:rsid w:val="00F14492"/>
    <w:rsid w:val="00F144AA"/>
    <w:rsid w:val="00F1453F"/>
    <w:rsid w:val="00F1458B"/>
    <w:rsid w:val="00F14641"/>
    <w:rsid w:val="00F14642"/>
    <w:rsid w:val="00F14650"/>
    <w:rsid w:val="00F14651"/>
    <w:rsid w:val="00F14679"/>
    <w:rsid w:val="00F146A5"/>
    <w:rsid w:val="00F146AD"/>
    <w:rsid w:val="00F146D9"/>
    <w:rsid w:val="00F146EC"/>
    <w:rsid w:val="00F14738"/>
    <w:rsid w:val="00F14754"/>
    <w:rsid w:val="00F147C0"/>
    <w:rsid w:val="00F147DB"/>
    <w:rsid w:val="00F147EC"/>
    <w:rsid w:val="00F14876"/>
    <w:rsid w:val="00F148AA"/>
    <w:rsid w:val="00F148CC"/>
    <w:rsid w:val="00F14977"/>
    <w:rsid w:val="00F149D0"/>
    <w:rsid w:val="00F149F1"/>
    <w:rsid w:val="00F14A56"/>
    <w:rsid w:val="00F14A58"/>
    <w:rsid w:val="00F14A94"/>
    <w:rsid w:val="00F14AF7"/>
    <w:rsid w:val="00F14B54"/>
    <w:rsid w:val="00F14B6D"/>
    <w:rsid w:val="00F14BCE"/>
    <w:rsid w:val="00F14BED"/>
    <w:rsid w:val="00F14BF0"/>
    <w:rsid w:val="00F14C28"/>
    <w:rsid w:val="00F14C5B"/>
    <w:rsid w:val="00F14C84"/>
    <w:rsid w:val="00F14CA4"/>
    <w:rsid w:val="00F14CEF"/>
    <w:rsid w:val="00F14CF6"/>
    <w:rsid w:val="00F14D76"/>
    <w:rsid w:val="00F14DA1"/>
    <w:rsid w:val="00F14DCF"/>
    <w:rsid w:val="00F14E3F"/>
    <w:rsid w:val="00F14E5A"/>
    <w:rsid w:val="00F14EA0"/>
    <w:rsid w:val="00F14EC3"/>
    <w:rsid w:val="00F14FA8"/>
    <w:rsid w:val="00F1501C"/>
    <w:rsid w:val="00F15032"/>
    <w:rsid w:val="00F1506E"/>
    <w:rsid w:val="00F1507C"/>
    <w:rsid w:val="00F1509E"/>
    <w:rsid w:val="00F1510C"/>
    <w:rsid w:val="00F1511A"/>
    <w:rsid w:val="00F15189"/>
    <w:rsid w:val="00F151C4"/>
    <w:rsid w:val="00F151C9"/>
    <w:rsid w:val="00F15234"/>
    <w:rsid w:val="00F15238"/>
    <w:rsid w:val="00F1527D"/>
    <w:rsid w:val="00F1529F"/>
    <w:rsid w:val="00F152E1"/>
    <w:rsid w:val="00F152E5"/>
    <w:rsid w:val="00F15318"/>
    <w:rsid w:val="00F1533D"/>
    <w:rsid w:val="00F1536E"/>
    <w:rsid w:val="00F1538F"/>
    <w:rsid w:val="00F153AE"/>
    <w:rsid w:val="00F153D8"/>
    <w:rsid w:val="00F15403"/>
    <w:rsid w:val="00F15434"/>
    <w:rsid w:val="00F15490"/>
    <w:rsid w:val="00F154EE"/>
    <w:rsid w:val="00F15506"/>
    <w:rsid w:val="00F15517"/>
    <w:rsid w:val="00F15523"/>
    <w:rsid w:val="00F1552C"/>
    <w:rsid w:val="00F15536"/>
    <w:rsid w:val="00F1555B"/>
    <w:rsid w:val="00F1556A"/>
    <w:rsid w:val="00F15580"/>
    <w:rsid w:val="00F1559E"/>
    <w:rsid w:val="00F155BD"/>
    <w:rsid w:val="00F155DB"/>
    <w:rsid w:val="00F15602"/>
    <w:rsid w:val="00F1560C"/>
    <w:rsid w:val="00F15626"/>
    <w:rsid w:val="00F15640"/>
    <w:rsid w:val="00F1569D"/>
    <w:rsid w:val="00F156BD"/>
    <w:rsid w:val="00F156FD"/>
    <w:rsid w:val="00F1570B"/>
    <w:rsid w:val="00F15721"/>
    <w:rsid w:val="00F15731"/>
    <w:rsid w:val="00F1575C"/>
    <w:rsid w:val="00F1578B"/>
    <w:rsid w:val="00F1579E"/>
    <w:rsid w:val="00F157A3"/>
    <w:rsid w:val="00F157D8"/>
    <w:rsid w:val="00F157EC"/>
    <w:rsid w:val="00F157ED"/>
    <w:rsid w:val="00F157F6"/>
    <w:rsid w:val="00F1584A"/>
    <w:rsid w:val="00F1585A"/>
    <w:rsid w:val="00F15860"/>
    <w:rsid w:val="00F15878"/>
    <w:rsid w:val="00F158B2"/>
    <w:rsid w:val="00F15998"/>
    <w:rsid w:val="00F1599F"/>
    <w:rsid w:val="00F159AA"/>
    <w:rsid w:val="00F159C0"/>
    <w:rsid w:val="00F159C2"/>
    <w:rsid w:val="00F15A0A"/>
    <w:rsid w:val="00F15A73"/>
    <w:rsid w:val="00F15AAF"/>
    <w:rsid w:val="00F15AB3"/>
    <w:rsid w:val="00F15AD9"/>
    <w:rsid w:val="00F15B0B"/>
    <w:rsid w:val="00F15BA1"/>
    <w:rsid w:val="00F15BEC"/>
    <w:rsid w:val="00F15BF6"/>
    <w:rsid w:val="00F15C2C"/>
    <w:rsid w:val="00F15C65"/>
    <w:rsid w:val="00F15CA7"/>
    <w:rsid w:val="00F15CC1"/>
    <w:rsid w:val="00F15D79"/>
    <w:rsid w:val="00F15DA8"/>
    <w:rsid w:val="00F15E4C"/>
    <w:rsid w:val="00F15E51"/>
    <w:rsid w:val="00F15EC6"/>
    <w:rsid w:val="00F15ED6"/>
    <w:rsid w:val="00F15F13"/>
    <w:rsid w:val="00F16020"/>
    <w:rsid w:val="00F1603E"/>
    <w:rsid w:val="00F1605E"/>
    <w:rsid w:val="00F16076"/>
    <w:rsid w:val="00F160AE"/>
    <w:rsid w:val="00F160E5"/>
    <w:rsid w:val="00F16112"/>
    <w:rsid w:val="00F16148"/>
    <w:rsid w:val="00F16155"/>
    <w:rsid w:val="00F16165"/>
    <w:rsid w:val="00F16185"/>
    <w:rsid w:val="00F161A8"/>
    <w:rsid w:val="00F161B0"/>
    <w:rsid w:val="00F16236"/>
    <w:rsid w:val="00F16256"/>
    <w:rsid w:val="00F16267"/>
    <w:rsid w:val="00F1628C"/>
    <w:rsid w:val="00F16298"/>
    <w:rsid w:val="00F16337"/>
    <w:rsid w:val="00F16346"/>
    <w:rsid w:val="00F1636F"/>
    <w:rsid w:val="00F16373"/>
    <w:rsid w:val="00F16423"/>
    <w:rsid w:val="00F1642D"/>
    <w:rsid w:val="00F16481"/>
    <w:rsid w:val="00F164AF"/>
    <w:rsid w:val="00F164E9"/>
    <w:rsid w:val="00F16509"/>
    <w:rsid w:val="00F1650A"/>
    <w:rsid w:val="00F16518"/>
    <w:rsid w:val="00F16534"/>
    <w:rsid w:val="00F1658B"/>
    <w:rsid w:val="00F165A2"/>
    <w:rsid w:val="00F165CF"/>
    <w:rsid w:val="00F165EB"/>
    <w:rsid w:val="00F165F7"/>
    <w:rsid w:val="00F16629"/>
    <w:rsid w:val="00F1663A"/>
    <w:rsid w:val="00F1663E"/>
    <w:rsid w:val="00F166BA"/>
    <w:rsid w:val="00F166BB"/>
    <w:rsid w:val="00F166D5"/>
    <w:rsid w:val="00F166D9"/>
    <w:rsid w:val="00F16702"/>
    <w:rsid w:val="00F1672D"/>
    <w:rsid w:val="00F16766"/>
    <w:rsid w:val="00F167A3"/>
    <w:rsid w:val="00F167E3"/>
    <w:rsid w:val="00F16814"/>
    <w:rsid w:val="00F168A6"/>
    <w:rsid w:val="00F16934"/>
    <w:rsid w:val="00F1693B"/>
    <w:rsid w:val="00F16970"/>
    <w:rsid w:val="00F169AF"/>
    <w:rsid w:val="00F16A44"/>
    <w:rsid w:val="00F16A5A"/>
    <w:rsid w:val="00F16A69"/>
    <w:rsid w:val="00F16A8F"/>
    <w:rsid w:val="00F16A96"/>
    <w:rsid w:val="00F16B51"/>
    <w:rsid w:val="00F16B56"/>
    <w:rsid w:val="00F16B58"/>
    <w:rsid w:val="00F16B77"/>
    <w:rsid w:val="00F16B8F"/>
    <w:rsid w:val="00F16B95"/>
    <w:rsid w:val="00F16BC5"/>
    <w:rsid w:val="00F16BDB"/>
    <w:rsid w:val="00F16C26"/>
    <w:rsid w:val="00F16C29"/>
    <w:rsid w:val="00F16C86"/>
    <w:rsid w:val="00F16C99"/>
    <w:rsid w:val="00F16CA0"/>
    <w:rsid w:val="00F16CF5"/>
    <w:rsid w:val="00F16D00"/>
    <w:rsid w:val="00F16D0D"/>
    <w:rsid w:val="00F16D28"/>
    <w:rsid w:val="00F16D9E"/>
    <w:rsid w:val="00F16DC5"/>
    <w:rsid w:val="00F16DF2"/>
    <w:rsid w:val="00F16DF7"/>
    <w:rsid w:val="00F16E36"/>
    <w:rsid w:val="00F16EE9"/>
    <w:rsid w:val="00F16F29"/>
    <w:rsid w:val="00F16F38"/>
    <w:rsid w:val="00F16F42"/>
    <w:rsid w:val="00F16F9E"/>
    <w:rsid w:val="00F16FA4"/>
    <w:rsid w:val="00F16FB1"/>
    <w:rsid w:val="00F16FF1"/>
    <w:rsid w:val="00F17009"/>
    <w:rsid w:val="00F17011"/>
    <w:rsid w:val="00F17044"/>
    <w:rsid w:val="00F170AA"/>
    <w:rsid w:val="00F170EF"/>
    <w:rsid w:val="00F170F3"/>
    <w:rsid w:val="00F17123"/>
    <w:rsid w:val="00F1713B"/>
    <w:rsid w:val="00F1718D"/>
    <w:rsid w:val="00F17190"/>
    <w:rsid w:val="00F17290"/>
    <w:rsid w:val="00F1731B"/>
    <w:rsid w:val="00F1734C"/>
    <w:rsid w:val="00F1736F"/>
    <w:rsid w:val="00F1737D"/>
    <w:rsid w:val="00F17413"/>
    <w:rsid w:val="00F17457"/>
    <w:rsid w:val="00F1745B"/>
    <w:rsid w:val="00F174E5"/>
    <w:rsid w:val="00F174E8"/>
    <w:rsid w:val="00F17506"/>
    <w:rsid w:val="00F17553"/>
    <w:rsid w:val="00F1756F"/>
    <w:rsid w:val="00F17583"/>
    <w:rsid w:val="00F17586"/>
    <w:rsid w:val="00F17599"/>
    <w:rsid w:val="00F1759F"/>
    <w:rsid w:val="00F175BB"/>
    <w:rsid w:val="00F175BE"/>
    <w:rsid w:val="00F17616"/>
    <w:rsid w:val="00F1771E"/>
    <w:rsid w:val="00F17734"/>
    <w:rsid w:val="00F1773A"/>
    <w:rsid w:val="00F17757"/>
    <w:rsid w:val="00F17764"/>
    <w:rsid w:val="00F177B8"/>
    <w:rsid w:val="00F177C2"/>
    <w:rsid w:val="00F177E7"/>
    <w:rsid w:val="00F177ED"/>
    <w:rsid w:val="00F17801"/>
    <w:rsid w:val="00F17843"/>
    <w:rsid w:val="00F1786A"/>
    <w:rsid w:val="00F1788C"/>
    <w:rsid w:val="00F17933"/>
    <w:rsid w:val="00F1796E"/>
    <w:rsid w:val="00F17993"/>
    <w:rsid w:val="00F17A19"/>
    <w:rsid w:val="00F17A1A"/>
    <w:rsid w:val="00F17A1D"/>
    <w:rsid w:val="00F17A2A"/>
    <w:rsid w:val="00F17A4B"/>
    <w:rsid w:val="00F17A5E"/>
    <w:rsid w:val="00F17AC5"/>
    <w:rsid w:val="00F17ACA"/>
    <w:rsid w:val="00F17AE4"/>
    <w:rsid w:val="00F17B0F"/>
    <w:rsid w:val="00F17BA5"/>
    <w:rsid w:val="00F17BBE"/>
    <w:rsid w:val="00F17BCC"/>
    <w:rsid w:val="00F17C5D"/>
    <w:rsid w:val="00F17C72"/>
    <w:rsid w:val="00F17CBB"/>
    <w:rsid w:val="00F17CCF"/>
    <w:rsid w:val="00F17CD1"/>
    <w:rsid w:val="00F17CD3"/>
    <w:rsid w:val="00F17D0C"/>
    <w:rsid w:val="00F17D32"/>
    <w:rsid w:val="00F17D69"/>
    <w:rsid w:val="00F17D89"/>
    <w:rsid w:val="00F17DF3"/>
    <w:rsid w:val="00F17DF7"/>
    <w:rsid w:val="00F17E1F"/>
    <w:rsid w:val="00F17E82"/>
    <w:rsid w:val="00F17EFC"/>
    <w:rsid w:val="00F17F0D"/>
    <w:rsid w:val="00F17F35"/>
    <w:rsid w:val="00F17F43"/>
    <w:rsid w:val="00F17F6E"/>
    <w:rsid w:val="00F2002E"/>
    <w:rsid w:val="00F2005C"/>
    <w:rsid w:val="00F200FD"/>
    <w:rsid w:val="00F20110"/>
    <w:rsid w:val="00F20117"/>
    <w:rsid w:val="00F20131"/>
    <w:rsid w:val="00F20187"/>
    <w:rsid w:val="00F201C7"/>
    <w:rsid w:val="00F201D9"/>
    <w:rsid w:val="00F20201"/>
    <w:rsid w:val="00F2023E"/>
    <w:rsid w:val="00F20277"/>
    <w:rsid w:val="00F202C2"/>
    <w:rsid w:val="00F202FD"/>
    <w:rsid w:val="00F20328"/>
    <w:rsid w:val="00F2035B"/>
    <w:rsid w:val="00F203C0"/>
    <w:rsid w:val="00F203CD"/>
    <w:rsid w:val="00F2041D"/>
    <w:rsid w:val="00F20442"/>
    <w:rsid w:val="00F20451"/>
    <w:rsid w:val="00F20488"/>
    <w:rsid w:val="00F204AF"/>
    <w:rsid w:val="00F204BF"/>
    <w:rsid w:val="00F204F3"/>
    <w:rsid w:val="00F2051F"/>
    <w:rsid w:val="00F2054D"/>
    <w:rsid w:val="00F20557"/>
    <w:rsid w:val="00F20583"/>
    <w:rsid w:val="00F205A0"/>
    <w:rsid w:val="00F205A6"/>
    <w:rsid w:val="00F205EB"/>
    <w:rsid w:val="00F20611"/>
    <w:rsid w:val="00F20641"/>
    <w:rsid w:val="00F20643"/>
    <w:rsid w:val="00F206C8"/>
    <w:rsid w:val="00F206EE"/>
    <w:rsid w:val="00F206F6"/>
    <w:rsid w:val="00F20738"/>
    <w:rsid w:val="00F20746"/>
    <w:rsid w:val="00F207BD"/>
    <w:rsid w:val="00F207D0"/>
    <w:rsid w:val="00F207F2"/>
    <w:rsid w:val="00F2088A"/>
    <w:rsid w:val="00F208B6"/>
    <w:rsid w:val="00F20913"/>
    <w:rsid w:val="00F20944"/>
    <w:rsid w:val="00F2096E"/>
    <w:rsid w:val="00F20A61"/>
    <w:rsid w:val="00F20B16"/>
    <w:rsid w:val="00F20B26"/>
    <w:rsid w:val="00F20B69"/>
    <w:rsid w:val="00F20B72"/>
    <w:rsid w:val="00F20B86"/>
    <w:rsid w:val="00F20BA6"/>
    <w:rsid w:val="00F20BB0"/>
    <w:rsid w:val="00F20BBA"/>
    <w:rsid w:val="00F20BFF"/>
    <w:rsid w:val="00F20C46"/>
    <w:rsid w:val="00F20CF5"/>
    <w:rsid w:val="00F20D24"/>
    <w:rsid w:val="00F20D57"/>
    <w:rsid w:val="00F20D69"/>
    <w:rsid w:val="00F20DBC"/>
    <w:rsid w:val="00F20DBD"/>
    <w:rsid w:val="00F20E1A"/>
    <w:rsid w:val="00F20E81"/>
    <w:rsid w:val="00F20ED8"/>
    <w:rsid w:val="00F20EDF"/>
    <w:rsid w:val="00F20F05"/>
    <w:rsid w:val="00F20F0C"/>
    <w:rsid w:val="00F20F77"/>
    <w:rsid w:val="00F20FD9"/>
    <w:rsid w:val="00F21000"/>
    <w:rsid w:val="00F2105C"/>
    <w:rsid w:val="00F21071"/>
    <w:rsid w:val="00F2109E"/>
    <w:rsid w:val="00F210F1"/>
    <w:rsid w:val="00F21134"/>
    <w:rsid w:val="00F21137"/>
    <w:rsid w:val="00F21167"/>
    <w:rsid w:val="00F211A5"/>
    <w:rsid w:val="00F211CE"/>
    <w:rsid w:val="00F211DF"/>
    <w:rsid w:val="00F21249"/>
    <w:rsid w:val="00F2124D"/>
    <w:rsid w:val="00F21250"/>
    <w:rsid w:val="00F2129A"/>
    <w:rsid w:val="00F212A2"/>
    <w:rsid w:val="00F2138F"/>
    <w:rsid w:val="00F21391"/>
    <w:rsid w:val="00F21396"/>
    <w:rsid w:val="00F213B2"/>
    <w:rsid w:val="00F213BB"/>
    <w:rsid w:val="00F213C9"/>
    <w:rsid w:val="00F213EC"/>
    <w:rsid w:val="00F21449"/>
    <w:rsid w:val="00F21454"/>
    <w:rsid w:val="00F214ED"/>
    <w:rsid w:val="00F214F6"/>
    <w:rsid w:val="00F21509"/>
    <w:rsid w:val="00F2154F"/>
    <w:rsid w:val="00F215A4"/>
    <w:rsid w:val="00F215B3"/>
    <w:rsid w:val="00F21702"/>
    <w:rsid w:val="00F21728"/>
    <w:rsid w:val="00F21730"/>
    <w:rsid w:val="00F2173D"/>
    <w:rsid w:val="00F217DB"/>
    <w:rsid w:val="00F218CE"/>
    <w:rsid w:val="00F21913"/>
    <w:rsid w:val="00F2192D"/>
    <w:rsid w:val="00F2198F"/>
    <w:rsid w:val="00F2199B"/>
    <w:rsid w:val="00F219AC"/>
    <w:rsid w:val="00F219AD"/>
    <w:rsid w:val="00F219E7"/>
    <w:rsid w:val="00F219F5"/>
    <w:rsid w:val="00F21A19"/>
    <w:rsid w:val="00F21A2A"/>
    <w:rsid w:val="00F21A39"/>
    <w:rsid w:val="00F21A64"/>
    <w:rsid w:val="00F21A83"/>
    <w:rsid w:val="00F21AD5"/>
    <w:rsid w:val="00F21AF0"/>
    <w:rsid w:val="00F21B0E"/>
    <w:rsid w:val="00F21B1F"/>
    <w:rsid w:val="00F21B23"/>
    <w:rsid w:val="00F21B30"/>
    <w:rsid w:val="00F21B85"/>
    <w:rsid w:val="00F21BF1"/>
    <w:rsid w:val="00F21C1F"/>
    <w:rsid w:val="00F21C2B"/>
    <w:rsid w:val="00F21CB9"/>
    <w:rsid w:val="00F21CFD"/>
    <w:rsid w:val="00F21D18"/>
    <w:rsid w:val="00F21D4A"/>
    <w:rsid w:val="00F21D73"/>
    <w:rsid w:val="00F21D87"/>
    <w:rsid w:val="00F21DCF"/>
    <w:rsid w:val="00F21DFB"/>
    <w:rsid w:val="00F21E33"/>
    <w:rsid w:val="00F21E4A"/>
    <w:rsid w:val="00F21E84"/>
    <w:rsid w:val="00F21EE4"/>
    <w:rsid w:val="00F21F5C"/>
    <w:rsid w:val="00F21F70"/>
    <w:rsid w:val="00F21FDF"/>
    <w:rsid w:val="00F22009"/>
    <w:rsid w:val="00F22032"/>
    <w:rsid w:val="00F22038"/>
    <w:rsid w:val="00F22045"/>
    <w:rsid w:val="00F220E8"/>
    <w:rsid w:val="00F22120"/>
    <w:rsid w:val="00F2213D"/>
    <w:rsid w:val="00F22145"/>
    <w:rsid w:val="00F22166"/>
    <w:rsid w:val="00F221D1"/>
    <w:rsid w:val="00F22233"/>
    <w:rsid w:val="00F22288"/>
    <w:rsid w:val="00F222D3"/>
    <w:rsid w:val="00F2234B"/>
    <w:rsid w:val="00F22356"/>
    <w:rsid w:val="00F223E4"/>
    <w:rsid w:val="00F22405"/>
    <w:rsid w:val="00F22418"/>
    <w:rsid w:val="00F22422"/>
    <w:rsid w:val="00F22460"/>
    <w:rsid w:val="00F2247B"/>
    <w:rsid w:val="00F2252A"/>
    <w:rsid w:val="00F225AB"/>
    <w:rsid w:val="00F225B8"/>
    <w:rsid w:val="00F225C5"/>
    <w:rsid w:val="00F2260F"/>
    <w:rsid w:val="00F2264B"/>
    <w:rsid w:val="00F2266F"/>
    <w:rsid w:val="00F22679"/>
    <w:rsid w:val="00F2268D"/>
    <w:rsid w:val="00F226C9"/>
    <w:rsid w:val="00F226E3"/>
    <w:rsid w:val="00F22702"/>
    <w:rsid w:val="00F2274E"/>
    <w:rsid w:val="00F2277A"/>
    <w:rsid w:val="00F227AE"/>
    <w:rsid w:val="00F228BE"/>
    <w:rsid w:val="00F228FC"/>
    <w:rsid w:val="00F22A54"/>
    <w:rsid w:val="00F22A5A"/>
    <w:rsid w:val="00F22A79"/>
    <w:rsid w:val="00F22A7F"/>
    <w:rsid w:val="00F22AFB"/>
    <w:rsid w:val="00F22B21"/>
    <w:rsid w:val="00F22B46"/>
    <w:rsid w:val="00F22B6B"/>
    <w:rsid w:val="00F22B73"/>
    <w:rsid w:val="00F22B94"/>
    <w:rsid w:val="00F22BF9"/>
    <w:rsid w:val="00F22C0E"/>
    <w:rsid w:val="00F22C38"/>
    <w:rsid w:val="00F22C64"/>
    <w:rsid w:val="00F22CA2"/>
    <w:rsid w:val="00F22CEF"/>
    <w:rsid w:val="00F22D14"/>
    <w:rsid w:val="00F22D1D"/>
    <w:rsid w:val="00F22D2F"/>
    <w:rsid w:val="00F22D32"/>
    <w:rsid w:val="00F22D47"/>
    <w:rsid w:val="00F22D9D"/>
    <w:rsid w:val="00F22E0C"/>
    <w:rsid w:val="00F22E13"/>
    <w:rsid w:val="00F22E40"/>
    <w:rsid w:val="00F22E96"/>
    <w:rsid w:val="00F22F6A"/>
    <w:rsid w:val="00F22F6D"/>
    <w:rsid w:val="00F22F74"/>
    <w:rsid w:val="00F22FAB"/>
    <w:rsid w:val="00F22FBD"/>
    <w:rsid w:val="00F22FCC"/>
    <w:rsid w:val="00F22FE8"/>
    <w:rsid w:val="00F23017"/>
    <w:rsid w:val="00F2303B"/>
    <w:rsid w:val="00F2304B"/>
    <w:rsid w:val="00F2306A"/>
    <w:rsid w:val="00F230C4"/>
    <w:rsid w:val="00F23122"/>
    <w:rsid w:val="00F23136"/>
    <w:rsid w:val="00F23146"/>
    <w:rsid w:val="00F2314A"/>
    <w:rsid w:val="00F23157"/>
    <w:rsid w:val="00F231DB"/>
    <w:rsid w:val="00F2323A"/>
    <w:rsid w:val="00F2324C"/>
    <w:rsid w:val="00F232C1"/>
    <w:rsid w:val="00F232D0"/>
    <w:rsid w:val="00F232F2"/>
    <w:rsid w:val="00F23346"/>
    <w:rsid w:val="00F2334F"/>
    <w:rsid w:val="00F2336A"/>
    <w:rsid w:val="00F23391"/>
    <w:rsid w:val="00F233E1"/>
    <w:rsid w:val="00F23408"/>
    <w:rsid w:val="00F2341A"/>
    <w:rsid w:val="00F23441"/>
    <w:rsid w:val="00F23462"/>
    <w:rsid w:val="00F234F8"/>
    <w:rsid w:val="00F23533"/>
    <w:rsid w:val="00F23547"/>
    <w:rsid w:val="00F23553"/>
    <w:rsid w:val="00F235B2"/>
    <w:rsid w:val="00F235E4"/>
    <w:rsid w:val="00F2362F"/>
    <w:rsid w:val="00F2365D"/>
    <w:rsid w:val="00F2366E"/>
    <w:rsid w:val="00F236B9"/>
    <w:rsid w:val="00F236BC"/>
    <w:rsid w:val="00F236C4"/>
    <w:rsid w:val="00F236F5"/>
    <w:rsid w:val="00F23720"/>
    <w:rsid w:val="00F237C1"/>
    <w:rsid w:val="00F237EA"/>
    <w:rsid w:val="00F23819"/>
    <w:rsid w:val="00F2381C"/>
    <w:rsid w:val="00F23833"/>
    <w:rsid w:val="00F23903"/>
    <w:rsid w:val="00F2390E"/>
    <w:rsid w:val="00F23978"/>
    <w:rsid w:val="00F23A34"/>
    <w:rsid w:val="00F23A3C"/>
    <w:rsid w:val="00F23A8E"/>
    <w:rsid w:val="00F23ABD"/>
    <w:rsid w:val="00F23ACC"/>
    <w:rsid w:val="00F23AF8"/>
    <w:rsid w:val="00F23B19"/>
    <w:rsid w:val="00F23B5C"/>
    <w:rsid w:val="00F23B77"/>
    <w:rsid w:val="00F23BB6"/>
    <w:rsid w:val="00F23BFC"/>
    <w:rsid w:val="00F23C72"/>
    <w:rsid w:val="00F23C74"/>
    <w:rsid w:val="00F23C97"/>
    <w:rsid w:val="00F23CE6"/>
    <w:rsid w:val="00F23CFC"/>
    <w:rsid w:val="00F23D27"/>
    <w:rsid w:val="00F23D2B"/>
    <w:rsid w:val="00F23D46"/>
    <w:rsid w:val="00F23D54"/>
    <w:rsid w:val="00F23D55"/>
    <w:rsid w:val="00F23DC8"/>
    <w:rsid w:val="00F23E61"/>
    <w:rsid w:val="00F23E95"/>
    <w:rsid w:val="00F23EFA"/>
    <w:rsid w:val="00F23F1A"/>
    <w:rsid w:val="00F23F39"/>
    <w:rsid w:val="00F23F6E"/>
    <w:rsid w:val="00F23F7A"/>
    <w:rsid w:val="00F23F96"/>
    <w:rsid w:val="00F23FA3"/>
    <w:rsid w:val="00F24018"/>
    <w:rsid w:val="00F2401C"/>
    <w:rsid w:val="00F24084"/>
    <w:rsid w:val="00F2408F"/>
    <w:rsid w:val="00F24152"/>
    <w:rsid w:val="00F24156"/>
    <w:rsid w:val="00F24159"/>
    <w:rsid w:val="00F2415C"/>
    <w:rsid w:val="00F24185"/>
    <w:rsid w:val="00F24204"/>
    <w:rsid w:val="00F24227"/>
    <w:rsid w:val="00F24234"/>
    <w:rsid w:val="00F2424C"/>
    <w:rsid w:val="00F2425D"/>
    <w:rsid w:val="00F24274"/>
    <w:rsid w:val="00F242A6"/>
    <w:rsid w:val="00F242BB"/>
    <w:rsid w:val="00F242C1"/>
    <w:rsid w:val="00F242E0"/>
    <w:rsid w:val="00F242EE"/>
    <w:rsid w:val="00F242F0"/>
    <w:rsid w:val="00F243E3"/>
    <w:rsid w:val="00F2441C"/>
    <w:rsid w:val="00F24427"/>
    <w:rsid w:val="00F24432"/>
    <w:rsid w:val="00F2445C"/>
    <w:rsid w:val="00F24465"/>
    <w:rsid w:val="00F244A9"/>
    <w:rsid w:val="00F244D7"/>
    <w:rsid w:val="00F244EC"/>
    <w:rsid w:val="00F244ED"/>
    <w:rsid w:val="00F2453D"/>
    <w:rsid w:val="00F2455C"/>
    <w:rsid w:val="00F2457F"/>
    <w:rsid w:val="00F245CB"/>
    <w:rsid w:val="00F24650"/>
    <w:rsid w:val="00F246A1"/>
    <w:rsid w:val="00F24723"/>
    <w:rsid w:val="00F2475F"/>
    <w:rsid w:val="00F247EA"/>
    <w:rsid w:val="00F247EE"/>
    <w:rsid w:val="00F24825"/>
    <w:rsid w:val="00F24849"/>
    <w:rsid w:val="00F2486C"/>
    <w:rsid w:val="00F2487A"/>
    <w:rsid w:val="00F248B8"/>
    <w:rsid w:val="00F248D5"/>
    <w:rsid w:val="00F248E3"/>
    <w:rsid w:val="00F24961"/>
    <w:rsid w:val="00F2499A"/>
    <w:rsid w:val="00F24A05"/>
    <w:rsid w:val="00F24A20"/>
    <w:rsid w:val="00F24A3B"/>
    <w:rsid w:val="00F24A53"/>
    <w:rsid w:val="00F24AEF"/>
    <w:rsid w:val="00F24AF1"/>
    <w:rsid w:val="00F24B56"/>
    <w:rsid w:val="00F24B77"/>
    <w:rsid w:val="00F24B9B"/>
    <w:rsid w:val="00F24BA6"/>
    <w:rsid w:val="00F24BFD"/>
    <w:rsid w:val="00F24C0D"/>
    <w:rsid w:val="00F24C27"/>
    <w:rsid w:val="00F24CBC"/>
    <w:rsid w:val="00F24D24"/>
    <w:rsid w:val="00F24D72"/>
    <w:rsid w:val="00F24DBD"/>
    <w:rsid w:val="00F24DE1"/>
    <w:rsid w:val="00F24DFE"/>
    <w:rsid w:val="00F24E49"/>
    <w:rsid w:val="00F24EB4"/>
    <w:rsid w:val="00F24EB8"/>
    <w:rsid w:val="00F24F6D"/>
    <w:rsid w:val="00F24F98"/>
    <w:rsid w:val="00F24FC5"/>
    <w:rsid w:val="00F250CD"/>
    <w:rsid w:val="00F250FF"/>
    <w:rsid w:val="00F251AF"/>
    <w:rsid w:val="00F251E4"/>
    <w:rsid w:val="00F251EA"/>
    <w:rsid w:val="00F25221"/>
    <w:rsid w:val="00F25231"/>
    <w:rsid w:val="00F25255"/>
    <w:rsid w:val="00F2525C"/>
    <w:rsid w:val="00F25263"/>
    <w:rsid w:val="00F25266"/>
    <w:rsid w:val="00F252AA"/>
    <w:rsid w:val="00F252D7"/>
    <w:rsid w:val="00F25341"/>
    <w:rsid w:val="00F25351"/>
    <w:rsid w:val="00F25363"/>
    <w:rsid w:val="00F253BA"/>
    <w:rsid w:val="00F25443"/>
    <w:rsid w:val="00F2548B"/>
    <w:rsid w:val="00F254A6"/>
    <w:rsid w:val="00F254FC"/>
    <w:rsid w:val="00F2551E"/>
    <w:rsid w:val="00F25570"/>
    <w:rsid w:val="00F2559F"/>
    <w:rsid w:val="00F25638"/>
    <w:rsid w:val="00F25661"/>
    <w:rsid w:val="00F25684"/>
    <w:rsid w:val="00F256AA"/>
    <w:rsid w:val="00F256AC"/>
    <w:rsid w:val="00F256E7"/>
    <w:rsid w:val="00F25745"/>
    <w:rsid w:val="00F25762"/>
    <w:rsid w:val="00F257B5"/>
    <w:rsid w:val="00F257FF"/>
    <w:rsid w:val="00F25821"/>
    <w:rsid w:val="00F25879"/>
    <w:rsid w:val="00F2588B"/>
    <w:rsid w:val="00F258DB"/>
    <w:rsid w:val="00F2595C"/>
    <w:rsid w:val="00F2595E"/>
    <w:rsid w:val="00F259C9"/>
    <w:rsid w:val="00F259D6"/>
    <w:rsid w:val="00F25A0B"/>
    <w:rsid w:val="00F25A2A"/>
    <w:rsid w:val="00F25A50"/>
    <w:rsid w:val="00F25A58"/>
    <w:rsid w:val="00F25AF0"/>
    <w:rsid w:val="00F25AFD"/>
    <w:rsid w:val="00F25B50"/>
    <w:rsid w:val="00F25B78"/>
    <w:rsid w:val="00F25B7B"/>
    <w:rsid w:val="00F25B95"/>
    <w:rsid w:val="00F25BAB"/>
    <w:rsid w:val="00F25BF9"/>
    <w:rsid w:val="00F25C49"/>
    <w:rsid w:val="00F25C6C"/>
    <w:rsid w:val="00F25C73"/>
    <w:rsid w:val="00F25C74"/>
    <w:rsid w:val="00F25CA5"/>
    <w:rsid w:val="00F25D62"/>
    <w:rsid w:val="00F25D76"/>
    <w:rsid w:val="00F25D91"/>
    <w:rsid w:val="00F25D96"/>
    <w:rsid w:val="00F25DAA"/>
    <w:rsid w:val="00F25DB0"/>
    <w:rsid w:val="00F25DCC"/>
    <w:rsid w:val="00F25DE7"/>
    <w:rsid w:val="00F25DE8"/>
    <w:rsid w:val="00F25DF9"/>
    <w:rsid w:val="00F25E2D"/>
    <w:rsid w:val="00F25E67"/>
    <w:rsid w:val="00F25EA3"/>
    <w:rsid w:val="00F25EF7"/>
    <w:rsid w:val="00F25EFA"/>
    <w:rsid w:val="00F25EFC"/>
    <w:rsid w:val="00F25F06"/>
    <w:rsid w:val="00F25F34"/>
    <w:rsid w:val="00F25F60"/>
    <w:rsid w:val="00F25F62"/>
    <w:rsid w:val="00F25F71"/>
    <w:rsid w:val="00F25FD0"/>
    <w:rsid w:val="00F25FED"/>
    <w:rsid w:val="00F26074"/>
    <w:rsid w:val="00F260E8"/>
    <w:rsid w:val="00F2618B"/>
    <w:rsid w:val="00F2618D"/>
    <w:rsid w:val="00F261FA"/>
    <w:rsid w:val="00F2620D"/>
    <w:rsid w:val="00F26262"/>
    <w:rsid w:val="00F26284"/>
    <w:rsid w:val="00F2628E"/>
    <w:rsid w:val="00F262BA"/>
    <w:rsid w:val="00F262C3"/>
    <w:rsid w:val="00F262F8"/>
    <w:rsid w:val="00F262FD"/>
    <w:rsid w:val="00F26305"/>
    <w:rsid w:val="00F2633B"/>
    <w:rsid w:val="00F2635E"/>
    <w:rsid w:val="00F2637A"/>
    <w:rsid w:val="00F26380"/>
    <w:rsid w:val="00F2642D"/>
    <w:rsid w:val="00F26435"/>
    <w:rsid w:val="00F2643A"/>
    <w:rsid w:val="00F2647F"/>
    <w:rsid w:val="00F26489"/>
    <w:rsid w:val="00F264BB"/>
    <w:rsid w:val="00F264D5"/>
    <w:rsid w:val="00F264FD"/>
    <w:rsid w:val="00F26509"/>
    <w:rsid w:val="00F26534"/>
    <w:rsid w:val="00F26571"/>
    <w:rsid w:val="00F265C6"/>
    <w:rsid w:val="00F26604"/>
    <w:rsid w:val="00F2662D"/>
    <w:rsid w:val="00F26681"/>
    <w:rsid w:val="00F26689"/>
    <w:rsid w:val="00F26732"/>
    <w:rsid w:val="00F26766"/>
    <w:rsid w:val="00F267BE"/>
    <w:rsid w:val="00F267C2"/>
    <w:rsid w:val="00F26836"/>
    <w:rsid w:val="00F26846"/>
    <w:rsid w:val="00F2684B"/>
    <w:rsid w:val="00F268A8"/>
    <w:rsid w:val="00F26947"/>
    <w:rsid w:val="00F2695A"/>
    <w:rsid w:val="00F269B7"/>
    <w:rsid w:val="00F269CF"/>
    <w:rsid w:val="00F26A77"/>
    <w:rsid w:val="00F26AC0"/>
    <w:rsid w:val="00F26ADB"/>
    <w:rsid w:val="00F26AF4"/>
    <w:rsid w:val="00F26B02"/>
    <w:rsid w:val="00F26B32"/>
    <w:rsid w:val="00F26B41"/>
    <w:rsid w:val="00F26B44"/>
    <w:rsid w:val="00F26B49"/>
    <w:rsid w:val="00F26B7A"/>
    <w:rsid w:val="00F26B9D"/>
    <w:rsid w:val="00F26BBE"/>
    <w:rsid w:val="00F26BD6"/>
    <w:rsid w:val="00F26BE8"/>
    <w:rsid w:val="00F26C08"/>
    <w:rsid w:val="00F26C5A"/>
    <w:rsid w:val="00F26C89"/>
    <w:rsid w:val="00F26C8F"/>
    <w:rsid w:val="00F26D0F"/>
    <w:rsid w:val="00F26D82"/>
    <w:rsid w:val="00F26DE0"/>
    <w:rsid w:val="00F26DF6"/>
    <w:rsid w:val="00F26DFC"/>
    <w:rsid w:val="00F26DFF"/>
    <w:rsid w:val="00F26EA8"/>
    <w:rsid w:val="00F26F2C"/>
    <w:rsid w:val="00F26F66"/>
    <w:rsid w:val="00F26FA8"/>
    <w:rsid w:val="00F26FEE"/>
    <w:rsid w:val="00F2703F"/>
    <w:rsid w:val="00F27048"/>
    <w:rsid w:val="00F270ED"/>
    <w:rsid w:val="00F270F8"/>
    <w:rsid w:val="00F27114"/>
    <w:rsid w:val="00F2713F"/>
    <w:rsid w:val="00F27185"/>
    <w:rsid w:val="00F271A1"/>
    <w:rsid w:val="00F271A4"/>
    <w:rsid w:val="00F271B6"/>
    <w:rsid w:val="00F2730D"/>
    <w:rsid w:val="00F27331"/>
    <w:rsid w:val="00F27397"/>
    <w:rsid w:val="00F273EC"/>
    <w:rsid w:val="00F2742A"/>
    <w:rsid w:val="00F27461"/>
    <w:rsid w:val="00F274BC"/>
    <w:rsid w:val="00F274C6"/>
    <w:rsid w:val="00F2753A"/>
    <w:rsid w:val="00F2757B"/>
    <w:rsid w:val="00F2758A"/>
    <w:rsid w:val="00F27591"/>
    <w:rsid w:val="00F27593"/>
    <w:rsid w:val="00F275BB"/>
    <w:rsid w:val="00F275D5"/>
    <w:rsid w:val="00F27636"/>
    <w:rsid w:val="00F27651"/>
    <w:rsid w:val="00F27763"/>
    <w:rsid w:val="00F2778D"/>
    <w:rsid w:val="00F27798"/>
    <w:rsid w:val="00F277A0"/>
    <w:rsid w:val="00F277E3"/>
    <w:rsid w:val="00F27813"/>
    <w:rsid w:val="00F278A4"/>
    <w:rsid w:val="00F278B4"/>
    <w:rsid w:val="00F278B6"/>
    <w:rsid w:val="00F2790E"/>
    <w:rsid w:val="00F27927"/>
    <w:rsid w:val="00F27987"/>
    <w:rsid w:val="00F2798A"/>
    <w:rsid w:val="00F27998"/>
    <w:rsid w:val="00F279CC"/>
    <w:rsid w:val="00F279FA"/>
    <w:rsid w:val="00F27A3D"/>
    <w:rsid w:val="00F27AD8"/>
    <w:rsid w:val="00F27AF9"/>
    <w:rsid w:val="00F27B07"/>
    <w:rsid w:val="00F27BB1"/>
    <w:rsid w:val="00F27C62"/>
    <w:rsid w:val="00F27CD0"/>
    <w:rsid w:val="00F27D1A"/>
    <w:rsid w:val="00F27D25"/>
    <w:rsid w:val="00F27D33"/>
    <w:rsid w:val="00F27D37"/>
    <w:rsid w:val="00F27DBF"/>
    <w:rsid w:val="00F27DC3"/>
    <w:rsid w:val="00F27E43"/>
    <w:rsid w:val="00F27E53"/>
    <w:rsid w:val="00F27EB9"/>
    <w:rsid w:val="00F27ED9"/>
    <w:rsid w:val="00F27F34"/>
    <w:rsid w:val="00F27F6E"/>
    <w:rsid w:val="00F27F9E"/>
    <w:rsid w:val="00F27FFB"/>
    <w:rsid w:val="00F3000D"/>
    <w:rsid w:val="00F3001B"/>
    <w:rsid w:val="00F30081"/>
    <w:rsid w:val="00F300AF"/>
    <w:rsid w:val="00F3012A"/>
    <w:rsid w:val="00F30157"/>
    <w:rsid w:val="00F3016F"/>
    <w:rsid w:val="00F301B5"/>
    <w:rsid w:val="00F301BF"/>
    <w:rsid w:val="00F301D4"/>
    <w:rsid w:val="00F301E6"/>
    <w:rsid w:val="00F301F8"/>
    <w:rsid w:val="00F3029E"/>
    <w:rsid w:val="00F302DF"/>
    <w:rsid w:val="00F302E8"/>
    <w:rsid w:val="00F302F7"/>
    <w:rsid w:val="00F302FB"/>
    <w:rsid w:val="00F30375"/>
    <w:rsid w:val="00F303B4"/>
    <w:rsid w:val="00F303B9"/>
    <w:rsid w:val="00F30426"/>
    <w:rsid w:val="00F30458"/>
    <w:rsid w:val="00F3047C"/>
    <w:rsid w:val="00F304A4"/>
    <w:rsid w:val="00F30604"/>
    <w:rsid w:val="00F3060F"/>
    <w:rsid w:val="00F3063A"/>
    <w:rsid w:val="00F3064E"/>
    <w:rsid w:val="00F3067F"/>
    <w:rsid w:val="00F30684"/>
    <w:rsid w:val="00F30690"/>
    <w:rsid w:val="00F306DE"/>
    <w:rsid w:val="00F306E4"/>
    <w:rsid w:val="00F3073D"/>
    <w:rsid w:val="00F30758"/>
    <w:rsid w:val="00F30771"/>
    <w:rsid w:val="00F30782"/>
    <w:rsid w:val="00F3079B"/>
    <w:rsid w:val="00F307DA"/>
    <w:rsid w:val="00F3084E"/>
    <w:rsid w:val="00F30853"/>
    <w:rsid w:val="00F30872"/>
    <w:rsid w:val="00F3087C"/>
    <w:rsid w:val="00F308B6"/>
    <w:rsid w:val="00F308CB"/>
    <w:rsid w:val="00F30908"/>
    <w:rsid w:val="00F3091B"/>
    <w:rsid w:val="00F30949"/>
    <w:rsid w:val="00F3094D"/>
    <w:rsid w:val="00F30952"/>
    <w:rsid w:val="00F30961"/>
    <w:rsid w:val="00F3098F"/>
    <w:rsid w:val="00F309B7"/>
    <w:rsid w:val="00F309ED"/>
    <w:rsid w:val="00F30A0F"/>
    <w:rsid w:val="00F30A57"/>
    <w:rsid w:val="00F30ABA"/>
    <w:rsid w:val="00F30AE7"/>
    <w:rsid w:val="00F30B19"/>
    <w:rsid w:val="00F30B3A"/>
    <w:rsid w:val="00F30B51"/>
    <w:rsid w:val="00F30C16"/>
    <w:rsid w:val="00F30C30"/>
    <w:rsid w:val="00F30C3B"/>
    <w:rsid w:val="00F30CD9"/>
    <w:rsid w:val="00F30D72"/>
    <w:rsid w:val="00F30D73"/>
    <w:rsid w:val="00F30D83"/>
    <w:rsid w:val="00F30D89"/>
    <w:rsid w:val="00F30DD6"/>
    <w:rsid w:val="00F30EA5"/>
    <w:rsid w:val="00F30EBE"/>
    <w:rsid w:val="00F30ED0"/>
    <w:rsid w:val="00F30F85"/>
    <w:rsid w:val="00F31014"/>
    <w:rsid w:val="00F31046"/>
    <w:rsid w:val="00F310BF"/>
    <w:rsid w:val="00F310C2"/>
    <w:rsid w:val="00F310CA"/>
    <w:rsid w:val="00F311A0"/>
    <w:rsid w:val="00F311C7"/>
    <w:rsid w:val="00F311D7"/>
    <w:rsid w:val="00F311E8"/>
    <w:rsid w:val="00F31286"/>
    <w:rsid w:val="00F3128D"/>
    <w:rsid w:val="00F312EC"/>
    <w:rsid w:val="00F312F9"/>
    <w:rsid w:val="00F31322"/>
    <w:rsid w:val="00F31335"/>
    <w:rsid w:val="00F3135D"/>
    <w:rsid w:val="00F31379"/>
    <w:rsid w:val="00F313B5"/>
    <w:rsid w:val="00F313B9"/>
    <w:rsid w:val="00F3141F"/>
    <w:rsid w:val="00F31462"/>
    <w:rsid w:val="00F31494"/>
    <w:rsid w:val="00F314E2"/>
    <w:rsid w:val="00F31504"/>
    <w:rsid w:val="00F31510"/>
    <w:rsid w:val="00F315BB"/>
    <w:rsid w:val="00F3162E"/>
    <w:rsid w:val="00F316BF"/>
    <w:rsid w:val="00F31717"/>
    <w:rsid w:val="00F31792"/>
    <w:rsid w:val="00F31868"/>
    <w:rsid w:val="00F3188A"/>
    <w:rsid w:val="00F318CC"/>
    <w:rsid w:val="00F318F7"/>
    <w:rsid w:val="00F3193B"/>
    <w:rsid w:val="00F31974"/>
    <w:rsid w:val="00F319A0"/>
    <w:rsid w:val="00F319EC"/>
    <w:rsid w:val="00F31A57"/>
    <w:rsid w:val="00F31A70"/>
    <w:rsid w:val="00F31AB8"/>
    <w:rsid w:val="00F31AC6"/>
    <w:rsid w:val="00F31B16"/>
    <w:rsid w:val="00F31B17"/>
    <w:rsid w:val="00F31B34"/>
    <w:rsid w:val="00F31B82"/>
    <w:rsid w:val="00F31BE3"/>
    <w:rsid w:val="00F31BFC"/>
    <w:rsid w:val="00F31C30"/>
    <w:rsid w:val="00F31C3E"/>
    <w:rsid w:val="00F31C51"/>
    <w:rsid w:val="00F31CA9"/>
    <w:rsid w:val="00F31CD7"/>
    <w:rsid w:val="00F31CDC"/>
    <w:rsid w:val="00F31CF1"/>
    <w:rsid w:val="00F31D0A"/>
    <w:rsid w:val="00F31D0C"/>
    <w:rsid w:val="00F31D8F"/>
    <w:rsid w:val="00F31D96"/>
    <w:rsid w:val="00F31DBE"/>
    <w:rsid w:val="00F31DC4"/>
    <w:rsid w:val="00F31DC8"/>
    <w:rsid w:val="00F31DCB"/>
    <w:rsid w:val="00F31E33"/>
    <w:rsid w:val="00F31EA8"/>
    <w:rsid w:val="00F31EEE"/>
    <w:rsid w:val="00F31F17"/>
    <w:rsid w:val="00F31F59"/>
    <w:rsid w:val="00F31F78"/>
    <w:rsid w:val="00F31F97"/>
    <w:rsid w:val="00F31FBA"/>
    <w:rsid w:val="00F31FFE"/>
    <w:rsid w:val="00F3203A"/>
    <w:rsid w:val="00F3206B"/>
    <w:rsid w:val="00F3208A"/>
    <w:rsid w:val="00F320A6"/>
    <w:rsid w:val="00F320B2"/>
    <w:rsid w:val="00F3214B"/>
    <w:rsid w:val="00F32181"/>
    <w:rsid w:val="00F32186"/>
    <w:rsid w:val="00F321B2"/>
    <w:rsid w:val="00F321DB"/>
    <w:rsid w:val="00F32238"/>
    <w:rsid w:val="00F32359"/>
    <w:rsid w:val="00F323B0"/>
    <w:rsid w:val="00F323CE"/>
    <w:rsid w:val="00F323DF"/>
    <w:rsid w:val="00F3241D"/>
    <w:rsid w:val="00F3242D"/>
    <w:rsid w:val="00F32431"/>
    <w:rsid w:val="00F32460"/>
    <w:rsid w:val="00F3246F"/>
    <w:rsid w:val="00F32479"/>
    <w:rsid w:val="00F32480"/>
    <w:rsid w:val="00F32496"/>
    <w:rsid w:val="00F324A8"/>
    <w:rsid w:val="00F324AB"/>
    <w:rsid w:val="00F324D0"/>
    <w:rsid w:val="00F324DE"/>
    <w:rsid w:val="00F3251A"/>
    <w:rsid w:val="00F3251D"/>
    <w:rsid w:val="00F3254D"/>
    <w:rsid w:val="00F32567"/>
    <w:rsid w:val="00F325B0"/>
    <w:rsid w:val="00F325E2"/>
    <w:rsid w:val="00F3260D"/>
    <w:rsid w:val="00F32614"/>
    <w:rsid w:val="00F32630"/>
    <w:rsid w:val="00F32651"/>
    <w:rsid w:val="00F3267E"/>
    <w:rsid w:val="00F3269B"/>
    <w:rsid w:val="00F326B1"/>
    <w:rsid w:val="00F326F0"/>
    <w:rsid w:val="00F32751"/>
    <w:rsid w:val="00F32781"/>
    <w:rsid w:val="00F3279B"/>
    <w:rsid w:val="00F327F7"/>
    <w:rsid w:val="00F32816"/>
    <w:rsid w:val="00F3281E"/>
    <w:rsid w:val="00F32861"/>
    <w:rsid w:val="00F32890"/>
    <w:rsid w:val="00F328AC"/>
    <w:rsid w:val="00F328C3"/>
    <w:rsid w:val="00F328C9"/>
    <w:rsid w:val="00F3295E"/>
    <w:rsid w:val="00F329BF"/>
    <w:rsid w:val="00F32A03"/>
    <w:rsid w:val="00F32A1C"/>
    <w:rsid w:val="00F32A2C"/>
    <w:rsid w:val="00F32A90"/>
    <w:rsid w:val="00F32B03"/>
    <w:rsid w:val="00F32B5F"/>
    <w:rsid w:val="00F32BAB"/>
    <w:rsid w:val="00F32BB1"/>
    <w:rsid w:val="00F32BDA"/>
    <w:rsid w:val="00F32C42"/>
    <w:rsid w:val="00F32C4D"/>
    <w:rsid w:val="00F32D45"/>
    <w:rsid w:val="00F32D52"/>
    <w:rsid w:val="00F32D88"/>
    <w:rsid w:val="00F32DC7"/>
    <w:rsid w:val="00F32DD9"/>
    <w:rsid w:val="00F32DF0"/>
    <w:rsid w:val="00F32E18"/>
    <w:rsid w:val="00F32E53"/>
    <w:rsid w:val="00F32E9A"/>
    <w:rsid w:val="00F32EA0"/>
    <w:rsid w:val="00F32F3D"/>
    <w:rsid w:val="00F32F47"/>
    <w:rsid w:val="00F32F83"/>
    <w:rsid w:val="00F32F86"/>
    <w:rsid w:val="00F32FA3"/>
    <w:rsid w:val="00F33035"/>
    <w:rsid w:val="00F3304F"/>
    <w:rsid w:val="00F3305B"/>
    <w:rsid w:val="00F3305D"/>
    <w:rsid w:val="00F33081"/>
    <w:rsid w:val="00F33084"/>
    <w:rsid w:val="00F330DE"/>
    <w:rsid w:val="00F330FF"/>
    <w:rsid w:val="00F33124"/>
    <w:rsid w:val="00F33159"/>
    <w:rsid w:val="00F33168"/>
    <w:rsid w:val="00F33194"/>
    <w:rsid w:val="00F3319A"/>
    <w:rsid w:val="00F3325C"/>
    <w:rsid w:val="00F3326B"/>
    <w:rsid w:val="00F3328D"/>
    <w:rsid w:val="00F33303"/>
    <w:rsid w:val="00F33309"/>
    <w:rsid w:val="00F3337E"/>
    <w:rsid w:val="00F33392"/>
    <w:rsid w:val="00F333C9"/>
    <w:rsid w:val="00F333DD"/>
    <w:rsid w:val="00F334A6"/>
    <w:rsid w:val="00F334AE"/>
    <w:rsid w:val="00F3352C"/>
    <w:rsid w:val="00F33541"/>
    <w:rsid w:val="00F335DC"/>
    <w:rsid w:val="00F335F4"/>
    <w:rsid w:val="00F3362B"/>
    <w:rsid w:val="00F3368B"/>
    <w:rsid w:val="00F33798"/>
    <w:rsid w:val="00F337E5"/>
    <w:rsid w:val="00F33806"/>
    <w:rsid w:val="00F3381E"/>
    <w:rsid w:val="00F3386F"/>
    <w:rsid w:val="00F33890"/>
    <w:rsid w:val="00F338DC"/>
    <w:rsid w:val="00F3390A"/>
    <w:rsid w:val="00F33915"/>
    <w:rsid w:val="00F33946"/>
    <w:rsid w:val="00F3398F"/>
    <w:rsid w:val="00F339C2"/>
    <w:rsid w:val="00F33A1A"/>
    <w:rsid w:val="00F33A3F"/>
    <w:rsid w:val="00F33A49"/>
    <w:rsid w:val="00F33A81"/>
    <w:rsid w:val="00F33A84"/>
    <w:rsid w:val="00F33AB5"/>
    <w:rsid w:val="00F33AD4"/>
    <w:rsid w:val="00F33B05"/>
    <w:rsid w:val="00F33B94"/>
    <w:rsid w:val="00F33B95"/>
    <w:rsid w:val="00F33BD6"/>
    <w:rsid w:val="00F33C23"/>
    <w:rsid w:val="00F33CC8"/>
    <w:rsid w:val="00F33CE6"/>
    <w:rsid w:val="00F33D40"/>
    <w:rsid w:val="00F33D74"/>
    <w:rsid w:val="00F33D96"/>
    <w:rsid w:val="00F33DC4"/>
    <w:rsid w:val="00F33E97"/>
    <w:rsid w:val="00F33EC0"/>
    <w:rsid w:val="00F33EE0"/>
    <w:rsid w:val="00F33F21"/>
    <w:rsid w:val="00F33F4E"/>
    <w:rsid w:val="00F33F86"/>
    <w:rsid w:val="00F3401A"/>
    <w:rsid w:val="00F34027"/>
    <w:rsid w:val="00F3405B"/>
    <w:rsid w:val="00F34076"/>
    <w:rsid w:val="00F340F3"/>
    <w:rsid w:val="00F34146"/>
    <w:rsid w:val="00F34162"/>
    <w:rsid w:val="00F341A2"/>
    <w:rsid w:val="00F341E5"/>
    <w:rsid w:val="00F34238"/>
    <w:rsid w:val="00F34281"/>
    <w:rsid w:val="00F34287"/>
    <w:rsid w:val="00F343E1"/>
    <w:rsid w:val="00F3440A"/>
    <w:rsid w:val="00F3440F"/>
    <w:rsid w:val="00F34429"/>
    <w:rsid w:val="00F34431"/>
    <w:rsid w:val="00F3446D"/>
    <w:rsid w:val="00F34480"/>
    <w:rsid w:val="00F344B9"/>
    <w:rsid w:val="00F344D7"/>
    <w:rsid w:val="00F344E1"/>
    <w:rsid w:val="00F34528"/>
    <w:rsid w:val="00F3456A"/>
    <w:rsid w:val="00F3457C"/>
    <w:rsid w:val="00F34583"/>
    <w:rsid w:val="00F34588"/>
    <w:rsid w:val="00F34599"/>
    <w:rsid w:val="00F345CE"/>
    <w:rsid w:val="00F345D4"/>
    <w:rsid w:val="00F3460D"/>
    <w:rsid w:val="00F34643"/>
    <w:rsid w:val="00F34682"/>
    <w:rsid w:val="00F3468D"/>
    <w:rsid w:val="00F346C0"/>
    <w:rsid w:val="00F346E6"/>
    <w:rsid w:val="00F346F1"/>
    <w:rsid w:val="00F347C6"/>
    <w:rsid w:val="00F347D8"/>
    <w:rsid w:val="00F348B7"/>
    <w:rsid w:val="00F348C2"/>
    <w:rsid w:val="00F348D5"/>
    <w:rsid w:val="00F3499A"/>
    <w:rsid w:val="00F349CD"/>
    <w:rsid w:val="00F349EB"/>
    <w:rsid w:val="00F34A33"/>
    <w:rsid w:val="00F34A41"/>
    <w:rsid w:val="00F34A55"/>
    <w:rsid w:val="00F34A59"/>
    <w:rsid w:val="00F34A68"/>
    <w:rsid w:val="00F34A98"/>
    <w:rsid w:val="00F34A9B"/>
    <w:rsid w:val="00F34AB9"/>
    <w:rsid w:val="00F34B06"/>
    <w:rsid w:val="00F34B25"/>
    <w:rsid w:val="00F34BC0"/>
    <w:rsid w:val="00F34C23"/>
    <w:rsid w:val="00F34C33"/>
    <w:rsid w:val="00F34C42"/>
    <w:rsid w:val="00F34C7C"/>
    <w:rsid w:val="00F34C97"/>
    <w:rsid w:val="00F34CA3"/>
    <w:rsid w:val="00F34CE8"/>
    <w:rsid w:val="00F34D46"/>
    <w:rsid w:val="00F34D6F"/>
    <w:rsid w:val="00F34D8B"/>
    <w:rsid w:val="00F34D8C"/>
    <w:rsid w:val="00F34DCD"/>
    <w:rsid w:val="00F34DF4"/>
    <w:rsid w:val="00F34DF6"/>
    <w:rsid w:val="00F34E1B"/>
    <w:rsid w:val="00F34E28"/>
    <w:rsid w:val="00F34E33"/>
    <w:rsid w:val="00F34E69"/>
    <w:rsid w:val="00F34EAC"/>
    <w:rsid w:val="00F34F26"/>
    <w:rsid w:val="00F34F32"/>
    <w:rsid w:val="00F34F47"/>
    <w:rsid w:val="00F34F55"/>
    <w:rsid w:val="00F34FC8"/>
    <w:rsid w:val="00F34FE8"/>
    <w:rsid w:val="00F34FFA"/>
    <w:rsid w:val="00F3503E"/>
    <w:rsid w:val="00F35056"/>
    <w:rsid w:val="00F3508C"/>
    <w:rsid w:val="00F350A3"/>
    <w:rsid w:val="00F350D3"/>
    <w:rsid w:val="00F350E2"/>
    <w:rsid w:val="00F35104"/>
    <w:rsid w:val="00F35115"/>
    <w:rsid w:val="00F35126"/>
    <w:rsid w:val="00F35172"/>
    <w:rsid w:val="00F35183"/>
    <w:rsid w:val="00F35186"/>
    <w:rsid w:val="00F35206"/>
    <w:rsid w:val="00F35260"/>
    <w:rsid w:val="00F35286"/>
    <w:rsid w:val="00F3529F"/>
    <w:rsid w:val="00F352B0"/>
    <w:rsid w:val="00F352CE"/>
    <w:rsid w:val="00F352D4"/>
    <w:rsid w:val="00F352D7"/>
    <w:rsid w:val="00F352DD"/>
    <w:rsid w:val="00F352F7"/>
    <w:rsid w:val="00F35359"/>
    <w:rsid w:val="00F35388"/>
    <w:rsid w:val="00F35389"/>
    <w:rsid w:val="00F3539B"/>
    <w:rsid w:val="00F353C2"/>
    <w:rsid w:val="00F35427"/>
    <w:rsid w:val="00F35446"/>
    <w:rsid w:val="00F354CE"/>
    <w:rsid w:val="00F35519"/>
    <w:rsid w:val="00F3552B"/>
    <w:rsid w:val="00F3552E"/>
    <w:rsid w:val="00F3552F"/>
    <w:rsid w:val="00F35543"/>
    <w:rsid w:val="00F355AF"/>
    <w:rsid w:val="00F35639"/>
    <w:rsid w:val="00F35646"/>
    <w:rsid w:val="00F35693"/>
    <w:rsid w:val="00F356D7"/>
    <w:rsid w:val="00F356EA"/>
    <w:rsid w:val="00F35714"/>
    <w:rsid w:val="00F35715"/>
    <w:rsid w:val="00F3575F"/>
    <w:rsid w:val="00F357A8"/>
    <w:rsid w:val="00F35802"/>
    <w:rsid w:val="00F35810"/>
    <w:rsid w:val="00F3581C"/>
    <w:rsid w:val="00F35843"/>
    <w:rsid w:val="00F3587E"/>
    <w:rsid w:val="00F358B9"/>
    <w:rsid w:val="00F358EF"/>
    <w:rsid w:val="00F35995"/>
    <w:rsid w:val="00F359F9"/>
    <w:rsid w:val="00F35A72"/>
    <w:rsid w:val="00F35AF1"/>
    <w:rsid w:val="00F35BBC"/>
    <w:rsid w:val="00F35BD9"/>
    <w:rsid w:val="00F35BF8"/>
    <w:rsid w:val="00F35C05"/>
    <w:rsid w:val="00F35C19"/>
    <w:rsid w:val="00F35C23"/>
    <w:rsid w:val="00F35C33"/>
    <w:rsid w:val="00F35C4D"/>
    <w:rsid w:val="00F35C87"/>
    <w:rsid w:val="00F35CA0"/>
    <w:rsid w:val="00F35CB7"/>
    <w:rsid w:val="00F35CDC"/>
    <w:rsid w:val="00F35D3F"/>
    <w:rsid w:val="00F35DB2"/>
    <w:rsid w:val="00F35DB4"/>
    <w:rsid w:val="00F35F33"/>
    <w:rsid w:val="00F35FA0"/>
    <w:rsid w:val="00F35FBF"/>
    <w:rsid w:val="00F35FD9"/>
    <w:rsid w:val="00F36012"/>
    <w:rsid w:val="00F3609C"/>
    <w:rsid w:val="00F360AE"/>
    <w:rsid w:val="00F3612B"/>
    <w:rsid w:val="00F36220"/>
    <w:rsid w:val="00F36234"/>
    <w:rsid w:val="00F3626D"/>
    <w:rsid w:val="00F36272"/>
    <w:rsid w:val="00F3627B"/>
    <w:rsid w:val="00F362B5"/>
    <w:rsid w:val="00F3636D"/>
    <w:rsid w:val="00F363A5"/>
    <w:rsid w:val="00F363C8"/>
    <w:rsid w:val="00F363F6"/>
    <w:rsid w:val="00F3640B"/>
    <w:rsid w:val="00F36410"/>
    <w:rsid w:val="00F3641A"/>
    <w:rsid w:val="00F3643A"/>
    <w:rsid w:val="00F3646C"/>
    <w:rsid w:val="00F36498"/>
    <w:rsid w:val="00F3649F"/>
    <w:rsid w:val="00F364C6"/>
    <w:rsid w:val="00F364C9"/>
    <w:rsid w:val="00F364CB"/>
    <w:rsid w:val="00F364E0"/>
    <w:rsid w:val="00F364E4"/>
    <w:rsid w:val="00F364FA"/>
    <w:rsid w:val="00F364FF"/>
    <w:rsid w:val="00F36511"/>
    <w:rsid w:val="00F36578"/>
    <w:rsid w:val="00F365C6"/>
    <w:rsid w:val="00F365F1"/>
    <w:rsid w:val="00F3660D"/>
    <w:rsid w:val="00F3670D"/>
    <w:rsid w:val="00F3676B"/>
    <w:rsid w:val="00F36784"/>
    <w:rsid w:val="00F367BE"/>
    <w:rsid w:val="00F367E7"/>
    <w:rsid w:val="00F367FD"/>
    <w:rsid w:val="00F3682E"/>
    <w:rsid w:val="00F36850"/>
    <w:rsid w:val="00F3685F"/>
    <w:rsid w:val="00F36861"/>
    <w:rsid w:val="00F368A4"/>
    <w:rsid w:val="00F36903"/>
    <w:rsid w:val="00F36913"/>
    <w:rsid w:val="00F36957"/>
    <w:rsid w:val="00F36973"/>
    <w:rsid w:val="00F369B1"/>
    <w:rsid w:val="00F369C3"/>
    <w:rsid w:val="00F369D4"/>
    <w:rsid w:val="00F369F3"/>
    <w:rsid w:val="00F36A24"/>
    <w:rsid w:val="00F36A2E"/>
    <w:rsid w:val="00F36A44"/>
    <w:rsid w:val="00F36ACD"/>
    <w:rsid w:val="00F36AE0"/>
    <w:rsid w:val="00F36BB3"/>
    <w:rsid w:val="00F36C58"/>
    <w:rsid w:val="00F36C6C"/>
    <w:rsid w:val="00F36C6D"/>
    <w:rsid w:val="00F36C8B"/>
    <w:rsid w:val="00F36C93"/>
    <w:rsid w:val="00F36CB9"/>
    <w:rsid w:val="00F36CBC"/>
    <w:rsid w:val="00F36CDE"/>
    <w:rsid w:val="00F36CF1"/>
    <w:rsid w:val="00F36D80"/>
    <w:rsid w:val="00F36DA9"/>
    <w:rsid w:val="00F36E6C"/>
    <w:rsid w:val="00F36EA1"/>
    <w:rsid w:val="00F36EE3"/>
    <w:rsid w:val="00F36EE5"/>
    <w:rsid w:val="00F36EED"/>
    <w:rsid w:val="00F36F81"/>
    <w:rsid w:val="00F36FC0"/>
    <w:rsid w:val="00F36FD9"/>
    <w:rsid w:val="00F36FE5"/>
    <w:rsid w:val="00F36FE8"/>
    <w:rsid w:val="00F37055"/>
    <w:rsid w:val="00F3706E"/>
    <w:rsid w:val="00F37125"/>
    <w:rsid w:val="00F3712D"/>
    <w:rsid w:val="00F3714A"/>
    <w:rsid w:val="00F371C3"/>
    <w:rsid w:val="00F371C6"/>
    <w:rsid w:val="00F3725C"/>
    <w:rsid w:val="00F37283"/>
    <w:rsid w:val="00F3729A"/>
    <w:rsid w:val="00F3729B"/>
    <w:rsid w:val="00F372DD"/>
    <w:rsid w:val="00F37309"/>
    <w:rsid w:val="00F37322"/>
    <w:rsid w:val="00F3735E"/>
    <w:rsid w:val="00F3737F"/>
    <w:rsid w:val="00F37430"/>
    <w:rsid w:val="00F37434"/>
    <w:rsid w:val="00F37456"/>
    <w:rsid w:val="00F37458"/>
    <w:rsid w:val="00F37464"/>
    <w:rsid w:val="00F3747F"/>
    <w:rsid w:val="00F374B5"/>
    <w:rsid w:val="00F374DD"/>
    <w:rsid w:val="00F374DF"/>
    <w:rsid w:val="00F374EF"/>
    <w:rsid w:val="00F374FE"/>
    <w:rsid w:val="00F37500"/>
    <w:rsid w:val="00F3753F"/>
    <w:rsid w:val="00F3755D"/>
    <w:rsid w:val="00F37565"/>
    <w:rsid w:val="00F37591"/>
    <w:rsid w:val="00F37596"/>
    <w:rsid w:val="00F375B9"/>
    <w:rsid w:val="00F3761B"/>
    <w:rsid w:val="00F37663"/>
    <w:rsid w:val="00F3766A"/>
    <w:rsid w:val="00F3769E"/>
    <w:rsid w:val="00F376A6"/>
    <w:rsid w:val="00F376EB"/>
    <w:rsid w:val="00F377BB"/>
    <w:rsid w:val="00F37831"/>
    <w:rsid w:val="00F3784E"/>
    <w:rsid w:val="00F3784F"/>
    <w:rsid w:val="00F37852"/>
    <w:rsid w:val="00F37890"/>
    <w:rsid w:val="00F378AB"/>
    <w:rsid w:val="00F378B6"/>
    <w:rsid w:val="00F378BC"/>
    <w:rsid w:val="00F37952"/>
    <w:rsid w:val="00F37989"/>
    <w:rsid w:val="00F3798F"/>
    <w:rsid w:val="00F379BE"/>
    <w:rsid w:val="00F37A16"/>
    <w:rsid w:val="00F37A39"/>
    <w:rsid w:val="00F37A47"/>
    <w:rsid w:val="00F37A59"/>
    <w:rsid w:val="00F37AD3"/>
    <w:rsid w:val="00F37B8A"/>
    <w:rsid w:val="00F37BA3"/>
    <w:rsid w:val="00F37BB1"/>
    <w:rsid w:val="00F37BBE"/>
    <w:rsid w:val="00F37C3A"/>
    <w:rsid w:val="00F37C6E"/>
    <w:rsid w:val="00F37E79"/>
    <w:rsid w:val="00F37EB6"/>
    <w:rsid w:val="00F37EF9"/>
    <w:rsid w:val="00F37F1D"/>
    <w:rsid w:val="00F37F24"/>
    <w:rsid w:val="00F37F48"/>
    <w:rsid w:val="00F37F84"/>
    <w:rsid w:val="00F37FEA"/>
    <w:rsid w:val="00F4000A"/>
    <w:rsid w:val="00F4001C"/>
    <w:rsid w:val="00F40078"/>
    <w:rsid w:val="00F40096"/>
    <w:rsid w:val="00F400C5"/>
    <w:rsid w:val="00F400EA"/>
    <w:rsid w:val="00F40136"/>
    <w:rsid w:val="00F40138"/>
    <w:rsid w:val="00F40187"/>
    <w:rsid w:val="00F4019B"/>
    <w:rsid w:val="00F401C0"/>
    <w:rsid w:val="00F4020A"/>
    <w:rsid w:val="00F40216"/>
    <w:rsid w:val="00F4027E"/>
    <w:rsid w:val="00F4029B"/>
    <w:rsid w:val="00F402EC"/>
    <w:rsid w:val="00F402F5"/>
    <w:rsid w:val="00F4030F"/>
    <w:rsid w:val="00F4031D"/>
    <w:rsid w:val="00F40349"/>
    <w:rsid w:val="00F40358"/>
    <w:rsid w:val="00F40371"/>
    <w:rsid w:val="00F403AD"/>
    <w:rsid w:val="00F403AF"/>
    <w:rsid w:val="00F403B7"/>
    <w:rsid w:val="00F403DB"/>
    <w:rsid w:val="00F403FA"/>
    <w:rsid w:val="00F40429"/>
    <w:rsid w:val="00F40474"/>
    <w:rsid w:val="00F404DC"/>
    <w:rsid w:val="00F404E2"/>
    <w:rsid w:val="00F40505"/>
    <w:rsid w:val="00F4057C"/>
    <w:rsid w:val="00F405DF"/>
    <w:rsid w:val="00F40659"/>
    <w:rsid w:val="00F40673"/>
    <w:rsid w:val="00F40751"/>
    <w:rsid w:val="00F40757"/>
    <w:rsid w:val="00F4075E"/>
    <w:rsid w:val="00F40809"/>
    <w:rsid w:val="00F4082E"/>
    <w:rsid w:val="00F4083A"/>
    <w:rsid w:val="00F40864"/>
    <w:rsid w:val="00F408B3"/>
    <w:rsid w:val="00F40913"/>
    <w:rsid w:val="00F4099C"/>
    <w:rsid w:val="00F409D9"/>
    <w:rsid w:val="00F409DE"/>
    <w:rsid w:val="00F40A01"/>
    <w:rsid w:val="00F40A02"/>
    <w:rsid w:val="00F40A22"/>
    <w:rsid w:val="00F40A23"/>
    <w:rsid w:val="00F40A57"/>
    <w:rsid w:val="00F40A7D"/>
    <w:rsid w:val="00F40A8C"/>
    <w:rsid w:val="00F40AED"/>
    <w:rsid w:val="00F40B1B"/>
    <w:rsid w:val="00F40B7D"/>
    <w:rsid w:val="00F40B89"/>
    <w:rsid w:val="00F40BB4"/>
    <w:rsid w:val="00F40BD0"/>
    <w:rsid w:val="00F40BEF"/>
    <w:rsid w:val="00F40C10"/>
    <w:rsid w:val="00F40C24"/>
    <w:rsid w:val="00F40C6F"/>
    <w:rsid w:val="00F40CB2"/>
    <w:rsid w:val="00F40CCC"/>
    <w:rsid w:val="00F40CD6"/>
    <w:rsid w:val="00F40CFE"/>
    <w:rsid w:val="00F40D30"/>
    <w:rsid w:val="00F40D4B"/>
    <w:rsid w:val="00F40D6B"/>
    <w:rsid w:val="00F40D95"/>
    <w:rsid w:val="00F40DC7"/>
    <w:rsid w:val="00F40E3A"/>
    <w:rsid w:val="00F40E6C"/>
    <w:rsid w:val="00F40E90"/>
    <w:rsid w:val="00F40EAF"/>
    <w:rsid w:val="00F40EBD"/>
    <w:rsid w:val="00F40F01"/>
    <w:rsid w:val="00F40F04"/>
    <w:rsid w:val="00F40F8A"/>
    <w:rsid w:val="00F40F92"/>
    <w:rsid w:val="00F40FAF"/>
    <w:rsid w:val="00F40FCB"/>
    <w:rsid w:val="00F40FCE"/>
    <w:rsid w:val="00F40FE5"/>
    <w:rsid w:val="00F4104E"/>
    <w:rsid w:val="00F41050"/>
    <w:rsid w:val="00F41087"/>
    <w:rsid w:val="00F4108B"/>
    <w:rsid w:val="00F4108E"/>
    <w:rsid w:val="00F410AF"/>
    <w:rsid w:val="00F410C2"/>
    <w:rsid w:val="00F410DD"/>
    <w:rsid w:val="00F410E8"/>
    <w:rsid w:val="00F41175"/>
    <w:rsid w:val="00F41178"/>
    <w:rsid w:val="00F411A2"/>
    <w:rsid w:val="00F411A4"/>
    <w:rsid w:val="00F411A8"/>
    <w:rsid w:val="00F411C0"/>
    <w:rsid w:val="00F411EA"/>
    <w:rsid w:val="00F4120E"/>
    <w:rsid w:val="00F4122A"/>
    <w:rsid w:val="00F4123E"/>
    <w:rsid w:val="00F4125D"/>
    <w:rsid w:val="00F4128F"/>
    <w:rsid w:val="00F41458"/>
    <w:rsid w:val="00F41459"/>
    <w:rsid w:val="00F414E5"/>
    <w:rsid w:val="00F41583"/>
    <w:rsid w:val="00F41636"/>
    <w:rsid w:val="00F4164F"/>
    <w:rsid w:val="00F41699"/>
    <w:rsid w:val="00F416CF"/>
    <w:rsid w:val="00F416D3"/>
    <w:rsid w:val="00F416F0"/>
    <w:rsid w:val="00F41793"/>
    <w:rsid w:val="00F4179B"/>
    <w:rsid w:val="00F417B4"/>
    <w:rsid w:val="00F41801"/>
    <w:rsid w:val="00F41828"/>
    <w:rsid w:val="00F418F6"/>
    <w:rsid w:val="00F41905"/>
    <w:rsid w:val="00F4199B"/>
    <w:rsid w:val="00F419AF"/>
    <w:rsid w:val="00F419E8"/>
    <w:rsid w:val="00F419F2"/>
    <w:rsid w:val="00F41A51"/>
    <w:rsid w:val="00F41A98"/>
    <w:rsid w:val="00F41AA7"/>
    <w:rsid w:val="00F41AC1"/>
    <w:rsid w:val="00F41AF8"/>
    <w:rsid w:val="00F41B2A"/>
    <w:rsid w:val="00F41BB5"/>
    <w:rsid w:val="00F41BDD"/>
    <w:rsid w:val="00F41BE8"/>
    <w:rsid w:val="00F41C01"/>
    <w:rsid w:val="00F41C23"/>
    <w:rsid w:val="00F41C38"/>
    <w:rsid w:val="00F41C6B"/>
    <w:rsid w:val="00F41C92"/>
    <w:rsid w:val="00F41CA2"/>
    <w:rsid w:val="00F41CA7"/>
    <w:rsid w:val="00F41CB6"/>
    <w:rsid w:val="00F41CB9"/>
    <w:rsid w:val="00F41CD7"/>
    <w:rsid w:val="00F41D03"/>
    <w:rsid w:val="00F41D10"/>
    <w:rsid w:val="00F41D14"/>
    <w:rsid w:val="00F41D55"/>
    <w:rsid w:val="00F41D56"/>
    <w:rsid w:val="00F41DAE"/>
    <w:rsid w:val="00F41DC0"/>
    <w:rsid w:val="00F41DDB"/>
    <w:rsid w:val="00F41DF9"/>
    <w:rsid w:val="00F41DFA"/>
    <w:rsid w:val="00F41E1C"/>
    <w:rsid w:val="00F41E27"/>
    <w:rsid w:val="00F41E46"/>
    <w:rsid w:val="00F41E8E"/>
    <w:rsid w:val="00F41EB0"/>
    <w:rsid w:val="00F41F8B"/>
    <w:rsid w:val="00F41F9E"/>
    <w:rsid w:val="00F41FC6"/>
    <w:rsid w:val="00F41FCA"/>
    <w:rsid w:val="00F41FD3"/>
    <w:rsid w:val="00F41FFB"/>
    <w:rsid w:val="00F4200B"/>
    <w:rsid w:val="00F42097"/>
    <w:rsid w:val="00F420E9"/>
    <w:rsid w:val="00F420F5"/>
    <w:rsid w:val="00F4211E"/>
    <w:rsid w:val="00F42131"/>
    <w:rsid w:val="00F42166"/>
    <w:rsid w:val="00F4217C"/>
    <w:rsid w:val="00F421C8"/>
    <w:rsid w:val="00F42203"/>
    <w:rsid w:val="00F42215"/>
    <w:rsid w:val="00F42224"/>
    <w:rsid w:val="00F42241"/>
    <w:rsid w:val="00F422A7"/>
    <w:rsid w:val="00F422B8"/>
    <w:rsid w:val="00F42314"/>
    <w:rsid w:val="00F4233B"/>
    <w:rsid w:val="00F4233E"/>
    <w:rsid w:val="00F4238E"/>
    <w:rsid w:val="00F423A2"/>
    <w:rsid w:val="00F423F8"/>
    <w:rsid w:val="00F423FD"/>
    <w:rsid w:val="00F4240B"/>
    <w:rsid w:val="00F4241C"/>
    <w:rsid w:val="00F4243B"/>
    <w:rsid w:val="00F42442"/>
    <w:rsid w:val="00F42470"/>
    <w:rsid w:val="00F42488"/>
    <w:rsid w:val="00F424C3"/>
    <w:rsid w:val="00F424C5"/>
    <w:rsid w:val="00F424FF"/>
    <w:rsid w:val="00F425C9"/>
    <w:rsid w:val="00F4263F"/>
    <w:rsid w:val="00F42643"/>
    <w:rsid w:val="00F4267F"/>
    <w:rsid w:val="00F42695"/>
    <w:rsid w:val="00F426E6"/>
    <w:rsid w:val="00F426EA"/>
    <w:rsid w:val="00F42704"/>
    <w:rsid w:val="00F4274A"/>
    <w:rsid w:val="00F42755"/>
    <w:rsid w:val="00F42759"/>
    <w:rsid w:val="00F4275A"/>
    <w:rsid w:val="00F4278B"/>
    <w:rsid w:val="00F4278E"/>
    <w:rsid w:val="00F427B8"/>
    <w:rsid w:val="00F427E4"/>
    <w:rsid w:val="00F42833"/>
    <w:rsid w:val="00F42840"/>
    <w:rsid w:val="00F42874"/>
    <w:rsid w:val="00F42880"/>
    <w:rsid w:val="00F428A6"/>
    <w:rsid w:val="00F42935"/>
    <w:rsid w:val="00F4295A"/>
    <w:rsid w:val="00F4295C"/>
    <w:rsid w:val="00F42969"/>
    <w:rsid w:val="00F42981"/>
    <w:rsid w:val="00F4298C"/>
    <w:rsid w:val="00F42A47"/>
    <w:rsid w:val="00F42A51"/>
    <w:rsid w:val="00F42A7A"/>
    <w:rsid w:val="00F42AC5"/>
    <w:rsid w:val="00F42AF2"/>
    <w:rsid w:val="00F42AF9"/>
    <w:rsid w:val="00F42C77"/>
    <w:rsid w:val="00F42CA6"/>
    <w:rsid w:val="00F42CA7"/>
    <w:rsid w:val="00F42CEC"/>
    <w:rsid w:val="00F42D4E"/>
    <w:rsid w:val="00F42D5B"/>
    <w:rsid w:val="00F42D71"/>
    <w:rsid w:val="00F42DA2"/>
    <w:rsid w:val="00F42DAB"/>
    <w:rsid w:val="00F42DB2"/>
    <w:rsid w:val="00F42DBB"/>
    <w:rsid w:val="00F42DCA"/>
    <w:rsid w:val="00F42E47"/>
    <w:rsid w:val="00F42E79"/>
    <w:rsid w:val="00F42EBE"/>
    <w:rsid w:val="00F42EC1"/>
    <w:rsid w:val="00F42EC4"/>
    <w:rsid w:val="00F42ED4"/>
    <w:rsid w:val="00F42F0B"/>
    <w:rsid w:val="00F42F36"/>
    <w:rsid w:val="00F42F6E"/>
    <w:rsid w:val="00F42FBE"/>
    <w:rsid w:val="00F42FE1"/>
    <w:rsid w:val="00F42FE5"/>
    <w:rsid w:val="00F43021"/>
    <w:rsid w:val="00F43068"/>
    <w:rsid w:val="00F430A5"/>
    <w:rsid w:val="00F430BD"/>
    <w:rsid w:val="00F430ED"/>
    <w:rsid w:val="00F430F2"/>
    <w:rsid w:val="00F430F9"/>
    <w:rsid w:val="00F43119"/>
    <w:rsid w:val="00F4313F"/>
    <w:rsid w:val="00F4318A"/>
    <w:rsid w:val="00F43198"/>
    <w:rsid w:val="00F431D8"/>
    <w:rsid w:val="00F43201"/>
    <w:rsid w:val="00F43263"/>
    <w:rsid w:val="00F43269"/>
    <w:rsid w:val="00F432CB"/>
    <w:rsid w:val="00F4337F"/>
    <w:rsid w:val="00F4340A"/>
    <w:rsid w:val="00F43440"/>
    <w:rsid w:val="00F43469"/>
    <w:rsid w:val="00F43483"/>
    <w:rsid w:val="00F4349A"/>
    <w:rsid w:val="00F434C4"/>
    <w:rsid w:val="00F43502"/>
    <w:rsid w:val="00F435D6"/>
    <w:rsid w:val="00F435F8"/>
    <w:rsid w:val="00F4365A"/>
    <w:rsid w:val="00F436D7"/>
    <w:rsid w:val="00F436FC"/>
    <w:rsid w:val="00F4370A"/>
    <w:rsid w:val="00F4371D"/>
    <w:rsid w:val="00F4382E"/>
    <w:rsid w:val="00F43848"/>
    <w:rsid w:val="00F43878"/>
    <w:rsid w:val="00F4387D"/>
    <w:rsid w:val="00F438C6"/>
    <w:rsid w:val="00F438CE"/>
    <w:rsid w:val="00F438D4"/>
    <w:rsid w:val="00F438EE"/>
    <w:rsid w:val="00F438F4"/>
    <w:rsid w:val="00F43925"/>
    <w:rsid w:val="00F43972"/>
    <w:rsid w:val="00F439A5"/>
    <w:rsid w:val="00F439B1"/>
    <w:rsid w:val="00F43A70"/>
    <w:rsid w:val="00F43A88"/>
    <w:rsid w:val="00F43B22"/>
    <w:rsid w:val="00F43B35"/>
    <w:rsid w:val="00F43B76"/>
    <w:rsid w:val="00F43B8F"/>
    <w:rsid w:val="00F43C2F"/>
    <w:rsid w:val="00F43C67"/>
    <w:rsid w:val="00F43D0A"/>
    <w:rsid w:val="00F43D1F"/>
    <w:rsid w:val="00F43DAD"/>
    <w:rsid w:val="00F43DFC"/>
    <w:rsid w:val="00F43E2B"/>
    <w:rsid w:val="00F43E35"/>
    <w:rsid w:val="00F43E83"/>
    <w:rsid w:val="00F43E95"/>
    <w:rsid w:val="00F43E9B"/>
    <w:rsid w:val="00F43EEF"/>
    <w:rsid w:val="00F43F6D"/>
    <w:rsid w:val="00F43FB6"/>
    <w:rsid w:val="00F440C1"/>
    <w:rsid w:val="00F4412B"/>
    <w:rsid w:val="00F4412D"/>
    <w:rsid w:val="00F4413E"/>
    <w:rsid w:val="00F44172"/>
    <w:rsid w:val="00F441FB"/>
    <w:rsid w:val="00F4422A"/>
    <w:rsid w:val="00F442A6"/>
    <w:rsid w:val="00F442B5"/>
    <w:rsid w:val="00F442CC"/>
    <w:rsid w:val="00F4430B"/>
    <w:rsid w:val="00F44358"/>
    <w:rsid w:val="00F4435B"/>
    <w:rsid w:val="00F443C1"/>
    <w:rsid w:val="00F443FE"/>
    <w:rsid w:val="00F444A7"/>
    <w:rsid w:val="00F444CB"/>
    <w:rsid w:val="00F44533"/>
    <w:rsid w:val="00F4453D"/>
    <w:rsid w:val="00F4457A"/>
    <w:rsid w:val="00F44584"/>
    <w:rsid w:val="00F4458D"/>
    <w:rsid w:val="00F44590"/>
    <w:rsid w:val="00F44596"/>
    <w:rsid w:val="00F445B8"/>
    <w:rsid w:val="00F44601"/>
    <w:rsid w:val="00F44624"/>
    <w:rsid w:val="00F44626"/>
    <w:rsid w:val="00F4463F"/>
    <w:rsid w:val="00F4465F"/>
    <w:rsid w:val="00F446B3"/>
    <w:rsid w:val="00F446C8"/>
    <w:rsid w:val="00F446F3"/>
    <w:rsid w:val="00F4474D"/>
    <w:rsid w:val="00F44752"/>
    <w:rsid w:val="00F44785"/>
    <w:rsid w:val="00F447C9"/>
    <w:rsid w:val="00F4498E"/>
    <w:rsid w:val="00F449B5"/>
    <w:rsid w:val="00F449E8"/>
    <w:rsid w:val="00F449F0"/>
    <w:rsid w:val="00F44A3A"/>
    <w:rsid w:val="00F44A54"/>
    <w:rsid w:val="00F44A67"/>
    <w:rsid w:val="00F44AAD"/>
    <w:rsid w:val="00F44AF0"/>
    <w:rsid w:val="00F44AF5"/>
    <w:rsid w:val="00F44B6D"/>
    <w:rsid w:val="00F44BE0"/>
    <w:rsid w:val="00F44BE5"/>
    <w:rsid w:val="00F44C29"/>
    <w:rsid w:val="00F44C70"/>
    <w:rsid w:val="00F44C98"/>
    <w:rsid w:val="00F44CAD"/>
    <w:rsid w:val="00F44CB8"/>
    <w:rsid w:val="00F44CF9"/>
    <w:rsid w:val="00F44D36"/>
    <w:rsid w:val="00F44D56"/>
    <w:rsid w:val="00F44D65"/>
    <w:rsid w:val="00F44DD6"/>
    <w:rsid w:val="00F44E0F"/>
    <w:rsid w:val="00F44E3B"/>
    <w:rsid w:val="00F44ED2"/>
    <w:rsid w:val="00F44EF4"/>
    <w:rsid w:val="00F44F05"/>
    <w:rsid w:val="00F44F09"/>
    <w:rsid w:val="00F44F21"/>
    <w:rsid w:val="00F44F3B"/>
    <w:rsid w:val="00F44F6C"/>
    <w:rsid w:val="00F44FE8"/>
    <w:rsid w:val="00F44FF7"/>
    <w:rsid w:val="00F44FFB"/>
    <w:rsid w:val="00F4500C"/>
    <w:rsid w:val="00F4507A"/>
    <w:rsid w:val="00F4508D"/>
    <w:rsid w:val="00F450C6"/>
    <w:rsid w:val="00F45105"/>
    <w:rsid w:val="00F4511C"/>
    <w:rsid w:val="00F45122"/>
    <w:rsid w:val="00F45150"/>
    <w:rsid w:val="00F45158"/>
    <w:rsid w:val="00F45199"/>
    <w:rsid w:val="00F45239"/>
    <w:rsid w:val="00F4527F"/>
    <w:rsid w:val="00F4529C"/>
    <w:rsid w:val="00F452A3"/>
    <w:rsid w:val="00F452B1"/>
    <w:rsid w:val="00F45328"/>
    <w:rsid w:val="00F4534F"/>
    <w:rsid w:val="00F45436"/>
    <w:rsid w:val="00F4544D"/>
    <w:rsid w:val="00F4545A"/>
    <w:rsid w:val="00F45489"/>
    <w:rsid w:val="00F4549C"/>
    <w:rsid w:val="00F454D8"/>
    <w:rsid w:val="00F454E8"/>
    <w:rsid w:val="00F454FD"/>
    <w:rsid w:val="00F4554D"/>
    <w:rsid w:val="00F45561"/>
    <w:rsid w:val="00F45573"/>
    <w:rsid w:val="00F45594"/>
    <w:rsid w:val="00F45597"/>
    <w:rsid w:val="00F45699"/>
    <w:rsid w:val="00F4569B"/>
    <w:rsid w:val="00F456A6"/>
    <w:rsid w:val="00F456C9"/>
    <w:rsid w:val="00F4572E"/>
    <w:rsid w:val="00F4576C"/>
    <w:rsid w:val="00F457BC"/>
    <w:rsid w:val="00F457C1"/>
    <w:rsid w:val="00F45895"/>
    <w:rsid w:val="00F458BF"/>
    <w:rsid w:val="00F458E6"/>
    <w:rsid w:val="00F458F6"/>
    <w:rsid w:val="00F458FD"/>
    <w:rsid w:val="00F45924"/>
    <w:rsid w:val="00F45952"/>
    <w:rsid w:val="00F45958"/>
    <w:rsid w:val="00F4597E"/>
    <w:rsid w:val="00F459A9"/>
    <w:rsid w:val="00F459CD"/>
    <w:rsid w:val="00F459D8"/>
    <w:rsid w:val="00F459DF"/>
    <w:rsid w:val="00F459E6"/>
    <w:rsid w:val="00F45A03"/>
    <w:rsid w:val="00F45A08"/>
    <w:rsid w:val="00F45A2A"/>
    <w:rsid w:val="00F45AD8"/>
    <w:rsid w:val="00F45B1D"/>
    <w:rsid w:val="00F45B46"/>
    <w:rsid w:val="00F45B6B"/>
    <w:rsid w:val="00F45B73"/>
    <w:rsid w:val="00F45BBE"/>
    <w:rsid w:val="00F45BEB"/>
    <w:rsid w:val="00F45BFA"/>
    <w:rsid w:val="00F45C0B"/>
    <w:rsid w:val="00F45C18"/>
    <w:rsid w:val="00F45C2D"/>
    <w:rsid w:val="00F45C2E"/>
    <w:rsid w:val="00F45C8F"/>
    <w:rsid w:val="00F45C9F"/>
    <w:rsid w:val="00F45D28"/>
    <w:rsid w:val="00F45D41"/>
    <w:rsid w:val="00F45D4C"/>
    <w:rsid w:val="00F45DBA"/>
    <w:rsid w:val="00F45E34"/>
    <w:rsid w:val="00F45E41"/>
    <w:rsid w:val="00F45E50"/>
    <w:rsid w:val="00F45E65"/>
    <w:rsid w:val="00F45F30"/>
    <w:rsid w:val="00F45F84"/>
    <w:rsid w:val="00F45F97"/>
    <w:rsid w:val="00F46022"/>
    <w:rsid w:val="00F4602A"/>
    <w:rsid w:val="00F4607E"/>
    <w:rsid w:val="00F460C5"/>
    <w:rsid w:val="00F46147"/>
    <w:rsid w:val="00F4615B"/>
    <w:rsid w:val="00F4617A"/>
    <w:rsid w:val="00F461A6"/>
    <w:rsid w:val="00F461E1"/>
    <w:rsid w:val="00F46204"/>
    <w:rsid w:val="00F4620F"/>
    <w:rsid w:val="00F46210"/>
    <w:rsid w:val="00F46241"/>
    <w:rsid w:val="00F4625D"/>
    <w:rsid w:val="00F462F4"/>
    <w:rsid w:val="00F462FC"/>
    <w:rsid w:val="00F46361"/>
    <w:rsid w:val="00F46389"/>
    <w:rsid w:val="00F4638A"/>
    <w:rsid w:val="00F463F3"/>
    <w:rsid w:val="00F463FD"/>
    <w:rsid w:val="00F46445"/>
    <w:rsid w:val="00F4645F"/>
    <w:rsid w:val="00F46476"/>
    <w:rsid w:val="00F464B5"/>
    <w:rsid w:val="00F464B6"/>
    <w:rsid w:val="00F46525"/>
    <w:rsid w:val="00F46591"/>
    <w:rsid w:val="00F465DF"/>
    <w:rsid w:val="00F46633"/>
    <w:rsid w:val="00F46649"/>
    <w:rsid w:val="00F46673"/>
    <w:rsid w:val="00F46697"/>
    <w:rsid w:val="00F466F4"/>
    <w:rsid w:val="00F4670B"/>
    <w:rsid w:val="00F46733"/>
    <w:rsid w:val="00F46747"/>
    <w:rsid w:val="00F4676A"/>
    <w:rsid w:val="00F46779"/>
    <w:rsid w:val="00F467B2"/>
    <w:rsid w:val="00F467B6"/>
    <w:rsid w:val="00F4680E"/>
    <w:rsid w:val="00F46896"/>
    <w:rsid w:val="00F46917"/>
    <w:rsid w:val="00F46925"/>
    <w:rsid w:val="00F4692C"/>
    <w:rsid w:val="00F46940"/>
    <w:rsid w:val="00F469B4"/>
    <w:rsid w:val="00F469BB"/>
    <w:rsid w:val="00F46A44"/>
    <w:rsid w:val="00F46ACD"/>
    <w:rsid w:val="00F46AD6"/>
    <w:rsid w:val="00F46B49"/>
    <w:rsid w:val="00F46B57"/>
    <w:rsid w:val="00F46BA0"/>
    <w:rsid w:val="00F46BE6"/>
    <w:rsid w:val="00F46C81"/>
    <w:rsid w:val="00F46C88"/>
    <w:rsid w:val="00F46CEE"/>
    <w:rsid w:val="00F46D5E"/>
    <w:rsid w:val="00F46D9B"/>
    <w:rsid w:val="00F46DAD"/>
    <w:rsid w:val="00F46E05"/>
    <w:rsid w:val="00F46E10"/>
    <w:rsid w:val="00F46EFD"/>
    <w:rsid w:val="00F46F17"/>
    <w:rsid w:val="00F46F33"/>
    <w:rsid w:val="00F46F57"/>
    <w:rsid w:val="00F46FAE"/>
    <w:rsid w:val="00F46FB7"/>
    <w:rsid w:val="00F46FED"/>
    <w:rsid w:val="00F47022"/>
    <w:rsid w:val="00F47089"/>
    <w:rsid w:val="00F470BB"/>
    <w:rsid w:val="00F470BE"/>
    <w:rsid w:val="00F470D0"/>
    <w:rsid w:val="00F47131"/>
    <w:rsid w:val="00F4716B"/>
    <w:rsid w:val="00F471A6"/>
    <w:rsid w:val="00F47286"/>
    <w:rsid w:val="00F47290"/>
    <w:rsid w:val="00F472A1"/>
    <w:rsid w:val="00F472AD"/>
    <w:rsid w:val="00F472BB"/>
    <w:rsid w:val="00F472CF"/>
    <w:rsid w:val="00F47303"/>
    <w:rsid w:val="00F4734B"/>
    <w:rsid w:val="00F47354"/>
    <w:rsid w:val="00F4737E"/>
    <w:rsid w:val="00F473EE"/>
    <w:rsid w:val="00F47425"/>
    <w:rsid w:val="00F47484"/>
    <w:rsid w:val="00F474B3"/>
    <w:rsid w:val="00F47511"/>
    <w:rsid w:val="00F4753C"/>
    <w:rsid w:val="00F47540"/>
    <w:rsid w:val="00F47568"/>
    <w:rsid w:val="00F4756D"/>
    <w:rsid w:val="00F47591"/>
    <w:rsid w:val="00F476A6"/>
    <w:rsid w:val="00F476C9"/>
    <w:rsid w:val="00F476E7"/>
    <w:rsid w:val="00F476FE"/>
    <w:rsid w:val="00F47712"/>
    <w:rsid w:val="00F47730"/>
    <w:rsid w:val="00F47738"/>
    <w:rsid w:val="00F477C7"/>
    <w:rsid w:val="00F477D6"/>
    <w:rsid w:val="00F4782D"/>
    <w:rsid w:val="00F47830"/>
    <w:rsid w:val="00F4785B"/>
    <w:rsid w:val="00F47868"/>
    <w:rsid w:val="00F47897"/>
    <w:rsid w:val="00F478B2"/>
    <w:rsid w:val="00F4793C"/>
    <w:rsid w:val="00F47961"/>
    <w:rsid w:val="00F47979"/>
    <w:rsid w:val="00F47981"/>
    <w:rsid w:val="00F47984"/>
    <w:rsid w:val="00F479F4"/>
    <w:rsid w:val="00F47A41"/>
    <w:rsid w:val="00F47A5C"/>
    <w:rsid w:val="00F47A62"/>
    <w:rsid w:val="00F47A70"/>
    <w:rsid w:val="00F47A85"/>
    <w:rsid w:val="00F47A9E"/>
    <w:rsid w:val="00F47AB4"/>
    <w:rsid w:val="00F47ABB"/>
    <w:rsid w:val="00F47AC9"/>
    <w:rsid w:val="00F47ACB"/>
    <w:rsid w:val="00F47B76"/>
    <w:rsid w:val="00F47BB3"/>
    <w:rsid w:val="00F47BC1"/>
    <w:rsid w:val="00F47C28"/>
    <w:rsid w:val="00F47C48"/>
    <w:rsid w:val="00F47CE3"/>
    <w:rsid w:val="00F47D19"/>
    <w:rsid w:val="00F47D22"/>
    <w:rsid w:val="00F47D45"/>
    <w:rsid w:val="00F47D4C"/>
    <w:rsid w:val="00F47D85"/>
    <w:rsid w:val="00F47DDC"/>
    <w:rsid w:val="00F47DF3"/>
    <w:rsid w:val="00F47DF7"/>
    <w:rsid w:val="00F47E5D"/>
    <w:rsid w:val="00F47EE5"/>
    <w:rsid w:val="00F47F22"/>
    <w:rsid w:val="00F47F3C"/>
    <w:rsid w:val="00F47FCF"/>
    <w:rsid w:val="00F47FD8"/>
    <w:rsid w:val="00F5003A"/>
    <w:rsid w:val="00F5007B"/>
    <w:rsid w:val="00F50080"/>
    <w:rsid w:val="00F5009F"/>
    <w:rsid w:val="00F500C0"/>
    <w:rsid w:val="00F500DC"/>
    <w:rsid w:val="00F500FD"/>
    <w:rsid w:val="00F50144"/>
    <w:rsid w:val="00F501FC"/>
    <w:rsid w:val="00F5020B"/>
    <w:rsid w:val="00F50298"/>
    <w:rsid w:val="00F502B6"/>
    <w:rsid w:val="00F502CE"/>
    <w:rsid w:val="00F5030D"/>
    <w:rsid w:val="00F50333"/>
    <w:rsid w:val="00F50348"/>
    <w:rsid w:val="00F50351"/>
    <w:rsid w:val="00F5036F"/>
    <w:rsid w:val="00F503CF"/>
    <w:rsid w:val="00F50411"/>
    <w:rsid w:val="00F50434"/>
    <w:rsid w:val="00F50442"/>
    <w:rsid w:val="00F5044E"/>
    <w:rsid w:val="00F5045F"/>
    <w:rsid w:val="00F50496"/>
    <w:rsid w:val="00F5053C"/>
    <w:rsid w:val="00F50552"/>
    <w:rsid w:val="00F505CD"/>
    <w:rsid w:val="00F50606"/>
    <w:rsid w:val="00F50629"/>
    <w:rsid w:val="00F50661"/>
    <w:rsid w:val="00F506CD"/>
    <w:rsid w:val="00F506D6"/>
    <w:rsid w:val="00F506DC"/>
    <w:rsid w:val="00F506F0"/>
    <w:rsid w:val="00F50746"/>
    <w:rsid w:val="00F5074A"/>
    <w:rsid w:val="00F50771"/>
    <w:rsid w:val="00F507C0"/>
    <w:rsid w:val="00F507E4"/>
    <w:rsid w:val="00F50811"/>
    <w:rsid w:val="00F50822"/>
    <w:rsid w:val="00F50949"/>
    <w:rsid w:val="00F5096A"/>
    <w:rsid w:val="00F50A31"/>
    <w:rsid w:val="00F50A64"/>
    <w:rsid w:val="00F50A7D"/>
    <w:rsid w:val="00F50B00"/>
    <w:rsid w:val="00F50B79"/>
    <w:rsid w:val="00F50BA9"/>
    <w:rsid w:val="00F50C91"/>
    <w:rsid w:val="00F50CAC"/>
    <w:rsid w:val="00F50CEF"/>
    <w:rsid w:val="00F50CF9"/>
    <w:rsid w:val="00F50CFF"/>
    <w:rsid w:val="00F50D0C"/>
    <w:rsid w:val="00F50DBC"/>
    <w:rsid w:val="00F50DE0"/>
    <w:rsid w:val="00F50DFD"/>
    <w:rsid w:val="00F50E40"/>
    <w:rsid w:val="00F50E42"/>
    <w:rsid w:val="00F50E64"/>
    <w:rsid w:val="00F50E8F"/>
    <w:rsid w:val="00F50EAA"/>
    <w:rsid w:val="00F50F34"/>
    <w:rsid w:val="00F50F38"/>
    <w:rsid w:val="00F50F5A"/>
    <w:rsid w:val="00F50F6C"/>
    <w:rsid w:val="00F50F8A"/>
    <w:rsid w:val="00F50FB3"/>
    <w:rsid w:val="00F50FD9"/>
    <w:rsid w:val="00F50FF3"/>
    <w:rsid w:val="00F51009"/>
    <w:rsid w:val="00F51099"/>
    <w:rsid w:val="00F51187"/>
    <w:rsid w:val="00F5119D"/>
    <w:rsid w:val="00F511FB"/>
    <w:rsid w:val="00F51222"/>
    <w:rsid w:val="00F51258"/>
    <w:rsid w:val="00F5126F"/>
    <w:rsid w:val="00F51273"/>
    <w:rsid w:val="00F512F0"/>
    <w:rsid w:val="00F512FC"/>
    <w:rsid w:val="00F51326"/>
    <w:rsid w:val="00F51396"/>
    <w:rsid w:val="00F513B6"/>
    <w:rsid w:val="00F513BC"/>
    <w:rsid w:val="00F51483"/>
    <w:rsid w:val="00F5148F"/>
    <w:rsid w:val="00F5150C"/>
    <w:rsid w:val="00F5154D"/>
    <w:rsid w:val="00F5156C"/>
    <w:rsid w:val="00F515A3"/>
    <w:rsid w:val="00F51642"/>
    <w:rsid w:val="00F5165C"/>
    <w:rsid w:val="00F51660"/>
    <w:rsid w:val="00F51734"/>
    <w:rsid w:val="00F5175D"/>
    <w:rsid w:val="00F5179F"/>
    <w:rsid w:val="00F517A3"/>
    <w:rsid w:val="00F51807"/>
    <w:rsid w:val="00F5180B"/>
    <w:rsid w:val="00F51838"/>
    <w:rsid w:val="00F5185B"/>
    <w:rsid w:val="00F51876"/>
    <w:rsid w:val="00F51884"/>
    <w:rsid w:val="00F518C2"/>
    <w:rsid w:val="00F518F7"/>
    <w:rsid w:val="00F518F9"/>
    <w:rsid w:val="00F5193B"/>
    <w:rsid w:val="00F51954"/>
    <w:rsid w:val="00F51956"/>
    <w:rsid w:val="00F519B4"/>
    <w:rsid w:val="00F519EB"/>
    <w:rsid w:val="00F51A1B"/>
    <w:rsid w:val="00F51A7A"/>
    <w:rsid w:val="00F51B10"/>
    <w:rsid w:val="00F51B36"/>
    <w:rsid w:val="00F51B5A"/>
    <w:rsid w:val="00F51BB9"/>
    <w:rsid w:val="00F51C0E"/>
    <w:rsid w:val="00F51C97"/>
    <w:rsid w:val="00F51CD3"/>
    <w:rsid w:val="00F51CD6"/>
    <w:rsid w:val="00F51CDF"/>
    <w:rsid w:val="00F51CF1"/>
    <w:rsid w:val="00F51CF2"/>
    <w:rsid w:val="00F51CF7"/>
    <w:rsid w:val="00F51CF9"/>
    <w:rsid w:val="00F51D17"/>
    <w:rsid w:val="00F51D6D"/>
    <w:rsid w:val="00F51D98"/>
    <w:rsid w:val="00F51DD3"/>
    <w:rsid w:val="00F51E2E"/>
    <w:rsid w:val="00F51E83"/>
    <w:rsid w:val="00F51EB6"/>
    <w:rsid w:val="00F51EC1"/>
    <w:rsid w:val="00F51ECE"/>
    <w:rsid w:val="00F51EE3"/>
    <w:rsid w:val="00F51F3D"/>
    <w:rsid w:val="00F51F8F"/>
    <w:rsid w:val="00F51F98"/>
    <w:rsid w:val="00F51FC5"/>
    <w:rsid w:val="00F5204F"/>
    <w:rsid w:val="00F5208E"/>
    <w:rsid w:val="00F520D6"/>
    <w:rsid w:val="00F520DF"/>
    <w:rsid w:val="00F520ED"/>
    <w:rsid w:val="00F52129"/>
    <w:rsid w:val="00F52137"/>
    <w:rsid w:val="00F5217E"/>
    <w:rsid w:val="00F521A3"/>
    <w:rsid w:val="00F5220E"/>
    <w:rsid w:val="00F52228"/>
    <w:rsid w:val="00F5226F"/>
    <w:rsid w:val="00F52271"/>
    <w:rsid w:val="00F52277"/>
    <w:rsid w:val="00F522B5"/>
    <w:rsid w:val="00F5234C"/>
    <w:rsid w:val="00F52352"/>
    <w:rsid w:val="00F52354"/>
    <w:rsid w:val="00F5237C"/>
    <w:rsid w:val="00F523C1"/>
    <w:rsid w:val="00F523E9"/>
    <w:rsid w:val="00F524C2"/>
    <w:rsid w:val="00F5252A"/>
    <w:rsid w:val="00F52559"/>
    <w:rsid w:val="00F52561"/>
    <w:rsid w:val="00F525C9"/>
    <w:rsid w:val="00F525E0"/>
    <w:rsid w:val="00F52629"/>
    <w:rsid w:val="00F52674"/>
    <w:rsid w:val="00F5267A"/>
    <w:rsid w:val="00F526F6"/>
    <w:rsid w:val="00F5274B"/>
    <w:rsid w:val="00F52783"/>
    <w:rsid w:val="00F527CB"/>
    <w:rsid w:val="00F527F5"/>
    <w:rsid w:val="00F52807"/>
    <w:rsid w:val="00F528A9"/>
    <w:rsid w:val="00F528C9"/>
    <w:rsid w:val="00F528D5"/>
    <w:rsid w:val="00F52949"/>
    <w:rsid w:val="00F52972"/>
    <w:rsid w:val="00F52990"/>
    <w:rsid w:val="00F529CC"/>
    <w:rsid w:val="00F529D0"/>
    <w:rsid w:val="00F52A46"/>
    <w:rsid w:val="00F52A6C"/>
    <w:rsid w:val="00F52AA5"/>
    <w:rsid w:val="00F52AA6"/>
    <w:rsid w:val="00F52AB4"/>
    <w:rsid w:val="00F52AF5"/>
    <w:rsid w:val="00F52B66"/>
    <w:rsid w:val="00F52C4B"/>
    <w:rsid w:val="00F52CBC"/>
    <w:rsid w:val="00F52D22"/>
    <w:rsid w:val="00F52D56"/>
    <w:rsid w:val="00F52D93"/>
    <w:rsid w:val="00F52DBD"/>
    <w:rsid w:val="00F52E26"/>
    <w:rsid w:val="00F52E8A"/>
    <w:rsid w:val="00F52EEA"/>
    <w:rsid w:val="00F52EFB"/>
    <w:rsid w:val="00F52F04"/>
    <w:rsid w:val="00F52FAE"/>
    <w:rsid w:val="00F53012"/>
    <w:rsid w:val="00F53015"/>
    <w:rsid w:val="00F53044"/>
    <w:rsid w:val="00F53049"/>
    <w:rsid w:val="00F53053"/>
    <w:rsid w:val="00F53071"/>
    <w:rsid w:val="00F5308E"/>
    <w:rsid w:val="00F530BA"/>
    <w:rsid w:val="00F5310D"/>
    <w:rsid w:val="00F5317C"/>
    <w:rsid w:val="00F5319A"/>
    <w:rsid w:val="00F531BB"/>
    <w:rsid w:val="00F531DC"/>
    <w:rsid w:val="00F531E4"/>
    <w:rsid w:val="00F53247"/>
    <w:rsid w:val="00F53293"/>
    <w:rsid w:val="00F532A9"/>
    <w:rsid w:val="00F532AE"/>
    <w:rsid w:val="00F532D3"/>
    <w:rsid w:val="00F532DA"/>
    <w:rsid w:val="00F532E9"/>
    <w:rsid w:val="00F532F5"/>
    <w:rsid w:val="00F5331D"/>
    <w:rsid w:val="00F53328"/>
    <w:rsid w:val="00F53336"/>
    <w:rsid w:val="00F5334F"/>
    <w:rsid w:val="00F5338C"/>
    <w:rsid w:val="00F5339A"/>
    <w:rsid w:val="00F533B0"/>
    <w:rsid w:val="00F533D7"/>
    <w:rsid w:val="00F53423"/>
    <w:rsid w:val="00F53472"/>
    <w:rsid w:val="00F534CB"/>
    <w:rsid w:val="00F5353A"/>
    <w:rsid w:val="00F5353D"/>
    <w:rsid w:val="00F53576"/>
    <w:rsid w:val="00F535C0"/>
    <w:rsid w:val="00F535D2"/>
    <w:rsid w:val="00F535E6"/>
    <w:rsid w:val="00F535FD"/>
    <w:rsid w:val="00F53602"/>
    <w:rsid w:val="00F5363E"/>
    <w:rsid w:val="00F536A1"/>
    <w:rsid w:val="00F536A5"/>
    <w:rsid w:val="00F536D5"/>
    <w:rsid w:val="00F536D6"/>
    <w:rsid w:val="00F536E2"/>
    <w:rsid w:val="00F5372F"/>
    <w:rsid w:val="00F53744"/>
    <w:rsid w:val="00F5374F"/>
    <w:rsid w:val="00F5375B"/>
    <w:rsid w:val="00F537E0"/>
    <w:rsid w:val="00F53817"/>
    <w:rsid w:val="00F53832"/>
    <w:rsid w:val="00F5387C"/>
    <w:rsid w:val="00F538D6"/>
    <w:rsid w:val="00F5392C"/>
    <w:rsid w:val="00F53941"/>
    <w:rsid w:val="00F53949"/>
    <w:rsid w:val="00F53982"/>
    <w:rsid w:val="00F539D6"/>
    <w:rsid w:val="00F539F0"/>
    <w:rsid w:val="00F53A19"/>
    <w:rsid w:val="00F53A52"/>
    <w:rsid w:val="00F53AA0"/>
    <w:rsid w:val="00F53AB4"/>
    <w:rsid w:val="00F53AB6"/>
    <w:rsid w:val="00F53ACD"/>
    <w:rsid w:val="00F53B6C"/>
    <w:rsid w:val="00F53B8E"/>
    <w:rsid w:val="00F53B96"/>
    <w:rsid w:val="00F53BB0"/>
    <w:rsid w:val="00F53C2B"/>
    <w:rsid w:val="00F53C2C"/>
    <w:rsid w:val="00F53C47"/>
    <w:rsid w:val="00F53C7F"/>
    <w:rsid w:val="00F53C88"/>
    <w:rsid w:val="00F53C93"/>
    <w:rsid w:val="00F53CB4"/>
    <w:rsid w:val="00F53D11"/>
    <w:rsid w:val="00F53D15"/>
    <w:rsid w:val="00F53D56"/>
    <w:rsid w:val="00F53D67"/>
    <w:rsid w:val="00F53D85"/>
    <w:rsid w:val="00F53D88"/>
    <w:rsid w:val="00F53DA8"/>
    <w:rsid w:val="00F53DC3"/>
    <w:rsid w:val="00F53E2D"/>
    <w:rsid w:val="00F53E63"/>
    <w:rsid w:val="00F53ED2"/>
    <w:rsid w:val="00F53EE9"/>
    <w:rsid w:val="00F53EF4"/>
    <w:rsid w:val="00F53F2C"/>
    <w:rsid w:val="00F53F2F"/>
    <w:rsid w:val="00F53F6E"/>
    <w:rsid w:val="00F53F74"/>
    <w:rsid w:val="00F53F79"/>
    <w:rsid w:val="00F53FEC"/>
    <w:rsid w:val="00F5401B"/>
    <w:rsid w:val="00F54057"/>
    <w:rsid w:val="00F5406E"/>
    <w:rsid w:val="00F54076"/>
    <w:rsid w:val="00F5409C"/>
    <w:rsid w:val="00F540E8"/>
    <w:rsid w:val="00F540EA"/>
    <w:rsid w:val="00F540EB"/>
    <w:rsid w:val="00F54134"/>
    <w:rsid w:val="00F541F3"/>
    <w:rsid w:val="00F5428D"/>
    <w:rsid w:val="00F542A9"/>
    <w:rsid w:val="00F54309"/>
    <w:rsid w:val="00F54314"/>
    <w:rsid w:val="00F54393"/>
    <w:rsid w:val="00F543A6"/>
    <w:rsid w:val="00F543B7"/>
    <w:rsid w:val="00F543FA"/>
    <w:rsid w:val="00F54400"/>
    <w:rsid w:val="00F54421"/>
    <w:rsid w:val="00F54473"/>
    <w:rsid w:val="00F544C0"/>
    <w:rsid w:val="00F54510"/>
    <w:rsid w:val="00F545BE"/>
    <w:rsid w:val="00F545C3"/>
    <w:rsid w:val="00F545F2"/>
    <w:rsid w:val="00F5463E"/>
    <w:rsid w:val="00F54697"/>
    <w:rsid w:val="00F546FB"/>
    <w:rsid w:val="00F5470B"/>
    <w:rsid w:val="00F5470F"/>
    <w:rsid w:val="00F5471E"/>
    <w:rsid w:val="00F5472E"/>
    <w:rsid w:val="00F54754"/>
    <w:rsid w:val="00F54759"/>
    <w:rsid w:val="00F547AE"/>
    <w:rsid w:val="00F547C1"/>
    <w:rsid w:val="00F547CD"/>
    <w:rsid w:val="00F547D9"/>
    <w:rsid w:val="00F5481F"/>
    <w:rsid w:val="00F54877"/>
    <w:rsid w:val="00F54908"/>
    <w:rsid w:val="00F54916"/>
    <w:rsid w:val="00F54946"/>
    <w:rsid w:val="00F54951"/>
    <w:rsid w:val="00F54953"/>
    <w:rsid w:val="00F54998"/>
    <w:rsid w:val="00F549BE"/>
    <w:rsid w:val="00F54A63"/>
    <w:rsid w:val="00F54A6E"/>
    <w:rsid w:val="00F54A85"/>
    <w:rsid w:val="00F54A8A"/>
    <w:rsid w:val="00F54B27"/>
    <w:rsid w:val="00F54B54"/>
    <w:rsid w:val="00F54B7E"/>
    <w:rsid w:val="00F54B92"/>
    <w:rsid w:val="00F54BEC"/>
    <w:rsid w:val="00F54C49"/>
    <w:rsid w:val="00F54C6E"/>
    <w:rsid w:val="00F54C8D"/>
    <w:rsid w:val="00F54C93"/>
    <w:rsid w:val="00F54CA1"/>
    <w:rsid w:val="00F54CD3"/>
    <w:rsid w:val="00F54CF9"/>
    <w:rsid w:val="00F54D24"/>
    <w:rsid w:val="00F54D87"/>
    <w:rsid w:val="00F54DA0"/>
    <w:rsid w:val="00F54E51"/>
    <w:rsid w:val="00F54E5B"/>
    <w:rsid w:val="00F54F01"/>
    <w:rsid w:val="00F54F98"/>
    <w:rsid w:val="00F54FA5"/>
    <w:rsid w:val="00F54FD3"/>
    <w:rsid w:val="00F54FE3"/>
    <w:rsid w:val="00F54FEA"/>
    <w:rsid w:val="00F5504A"/>
    <w:rsid w:val="00F55061"/>
    <w:rsid w:val="00F55074"/>
    <w:rsid w:val="00F55086"/>
    <w:rsid w:val="00F550F1"/>
    <w:rsid w:val="00F550F8"/>
    <w:rsid w:val="00F55166"/>
    <w:rsid w:val="00F55183"/>
    <w:rsid w:val="00F55194"/>
    <w:rsid w:val="00F551CC"/>
    <w:rsid w:val="00F551F0"/>
    <w:rsid w:val="00F551FC"/>
    <w:rsid w:val="00F55216"/>
    <w:rsid w:val="00F5523A"/>
    <w:rsid w:val="00F55284"/>
    <w:rsid w:val="00F5529B"/>
    <w:rsid w:val="00F552BA"/>
    <w:rsid w:val="00F552BB"/>
    <w:rsid w:val="00F552F8"/>
    <w:rsid w:val="00F55320"/>
    <w:rsid w:val="00F5532E"/>
    <w:rsid w:val="00F55336"/>
    <w:rsid w:val="00F5533F"/>
    <w:rsid w:val="00F55363"/>
    <w:rsid w:val="00F55366"/>
    <w:rsid w:val="00F5537E"/>
    <w:rsid w:val="00F553C6"/>
    <w:rsid w:val="00F55414"/>
    <w:rsid w:val="00F5541A"/>
    <w:rsid w:val="00F554CA"/>
    <w:rsid w:val="00F55502"/>
    <w:rsid w:val="00F5553E"/>
    <w:rsid w:val="00F55549"/>
    <w:rsid w:val="00F55551"/>
    <w:rsid w:val="00F55566"/>
    <w:rsid w:val="00F5558B"/>
    <w:rsid w:val="00F55599"/>
    <w:rsid w:val="00F5559A"/>
    <w:rsid w:val="00F555FA"/>
    <w:rsid w:val="00F55641"/>
    <w:rsid w:val="00F556D6"/>
    <w:rsid w:val="00F556F6"/>
    <w:rsid w:val="00F55740"/>
    <w:rsid w:val="00F5577E"/>
    <w:rsid w:val="00F557A6"/>
    <w:rsid w:val="00F557C7"/>
    <w:rsid w:val="00F5580A"/>
    <w:rsid w:val="00F55835"/>
    <w:rsid w:val="00F558C5"/>
    <w:rsid w:val="00F558E1"/>
    <w:rsid w:val="00F558E9"/>
    <w:rsid w:val="00F55993"/>
    <w:rsid w:val="00F5599C"/>
    <w:rsid w:val="00F559D8"/>
    <w:rsid w:val="00F55A05"/>
    <w:rsid w:val="00F55A32"/>
    <w:rsid w:val="00F55A86"/>
    <w:rsid w:val="00F55A9C"/>
    <w:rsid w:val="00F55B0C"/>
    <w:rsid w:val="00F55B1F"/>
    <w:rsid w:val="00F55B2A"/>
    <w:rsid w:val="00F55B3B"/>
    <w:rsid w:val="00F55BAF"/>
    <w:rsid w:val="00F55BD7"/>
    <w:rsid w:val="00F55C2F"/>
    <w:rsid w:val="00F55C3E"/>
    <w:rsid w:val="00F55C59"/>
    <w:rsid w:val="00F55C6E"/>
    <w:rsid w:val="00F55CC0"/>
    <w:rsid w:val="00F55CC7"/>
    <w:rsid w:val="00F55CD3"/>
    <w:rsid w:val="00F55CE7"/>
    <w:rsid w:val="00F55D34"/>
    <w:rsid w:val="00F55D49"/>
    <w:rsid w:val="00F55D73"/>
    <w:rsid w:val="00F55D77"/>
    <w:rsid w:val="00F55D8F"/>
    <w:rsid w:val="00F55DA1"/>
    <w:rsid w:val="00F55E0C"/>
    <w:rsid w:val="00F55E1D"/>
    <w:rsid w:val="00F55E3F"/>
    <w:rsid w:val="00F55E7F"/>
    <w:rsid w:val="00F55EAF"/>
    <w:rsid w:val="00F55ED4"/>
    <w:rsid w:val="00F55FAA"/>
    <w:rsid w:val="00F5602C"/>
    <w:rsid w:val="00F56047"/>
    <w:rsid w:val="00F56068"/>
    <w:rsid w:val="00F560AB"/>
    <w:rsid w:val="00F560B4"/>
    <w:rsid w:val="00F560C6"/>
    <w:rsid w:val="00F56106"/>
    <w:rsid w:val="00F5611E"/>
    <w:rsid w:val="00F561AF"/>
    <w:rsid w:val="00F561D2"/>
    <w:rsid w:val="00F561FE"/>
    <w:rsid w:val="00F56242"/>
    <w:rsid w:val="00F56375"/>
    <w:rsid w:val="00F5638D"/>
    <w:rsid w:val="00F563D7"/>
    <w:rsid w:val="00F563ED"/>
    <w:rsid w:val="00F5641D"/>
    <w:rsid w:val="00F564CB"/>
    <w:rsid w:val="00F564D7"/>
    <w:rsid w:val="00F564F7"/>
    <w:rsid w:val="00F5652C"/>
    <w:rsid w:val="00F56587"/>
    <w:rsid w:val="00F565DE"/>
    <w:rsid w:val="00F56648"/>
    <w:rsid w:val="00F5669E"/>
    <w:rsid w:val="00F566AB"/>
    <w:rsid w:val="00F566CF"/>
    <w:rsid w:val="00F566F2"/>
    <w:rsid w:val="00F566F5"/>
    <w:rsid w:val="00F56719"/>
    <w:rsid w:val="00F56757"/>
    <w:rsid w:val="00F567D4"/>
    <w:rsid w:val="00F56817"/>
    <w:rsid w:val="00F5687C"/>
    <w:rsid w:val="00F56896"/>
    <w:rsid w:val="00F56906"/>
    <w:rsid w:val="00F5691A"/>
    <w:rsid w:val="00F56958"/>
    <w:rsid w:val="00F56981"/>
    <w:rsid w:val="00F5699D"/>
    <w:rsid w:val="00F569CC"/>
    <w:rsid w:val="00F569E4"/>
    <w:rsid w:val="00F56A10"/>
    <w:rsid w:val="00F56A5E"/>
    <w:rsid w:val="00F56A60"/>
    <w:rsid w:val="00F56A6B"/>
    <w:rsid w:val="00F56AB0"/>
    <w:rsid w:val="00F56AB6"/>
    <w:rsid w:val="00F56AE1"/>
    <w:rsid w:val="00F56B0D"/>
    <w:rsid w:val="00F56BAA"/>
    <w:rsid w:val="00F56BBD"/>
    <w:rsid w:val="00F56C1D"/>
    <w:rsid w:val="00F56C75"/>
    <w:rsid w:val="00F56C81"/>
    <w:rsid w:val="00F56C8B"/>
    <w:rsid w:val="00F56CA5"/>
    <w:rsid w:val="00F56CD9"/>
    <w:rsid w:val="00F56D59"/>
    <w:rsid w:val="00F56DFA"/>
    <w:rsid w:val="00F56E00"/>
    <w:rsid w:val="00F56E04"/>
    <w:rsid w:val="00F56E21"/>
    <w:rsid w:val="00F56E98"/>
    <w:rsid w:val="00F56F36"/>
    <w:rsid w:val="00F56F38"/>
    <w:rsid w:val="00F56F3A"/>
    <w:rsid w:val="00F56F7B"/>
    <w:rsid w:val="00F56F9A"/>
    <w:rsid w:val="00F56FEA"/>
    <w:rsid w:val="00F56FF6"/>
    <w:rsid w:val="00F57041"/>
    <w:rsid w:val="00F57093"/>
    <w:rsid w:val="00F57100"/>
    <w:rsid w:val="00F5710B"/>
    <w:rsid w:val="00F57157"/>
    <w:rsid w:val="00F5719A"/>
    <w:rsid w:val="00F571B1"/>
    <w:rsid w:val="00F57240"/>
    <w:rsid w:val="00F57241"/>
    <w:rsid w:val="00F57262"/>
    <w:rsid w:val="00F57279"/>
    <w:rsid w:val="00F5729F"/>
    <w:rsid w:val="00F572A1"/>
    <w:rsid w:val="00F572A9"/>
    <w:rsid w:val="00F572EC"/>
    <w:rsid w:val="00F572F2"/>
    <w:rsid w:val="00F572F3"/>
    <w:rsid w:val="00F572F9"/>
    <w:rsid w:val="00F57371"/>
    <w:rsid w:val="00F57380"/>
    <w:rsid w:val="00F573B6"/>
    <w:rsid w:val="00F573EE"/>
    <w:rsid w:val="00F57407"/>
    <w:rsid w:val="00F57512"/>
    <w:rsid w:val="00F57561"/>
    <w:rsid w:val="00F57563"/>
    <w:rsid w:val="00F57567"/>
    <w:rsid w:val="00F575AA"/>
    <w:rsid w:val="00F575B2"/>
    <w:rsid w:val="00F575CD"/>
    <w:rsid w:val="00F575DC"/>
    <w:rsid w:val="00F575E8"/>
    <w:rsid w:val="00F57655"/>
    <w:rsid w:val="00F57659"/>
    <w:rsid w:val="00F57677"/>
    <w:rsid w:val="00F576AA"/>
    <w:rsid w:val="00F576B2"/>
    <w:rsid w:val="00F576B9"/>
    <w:rsid w:val="00F57712"/>
    <w:rsid w:val="00F5771A"/>
    <w:rsid w:val="00F57740"/>
    <w:rsid w:val="00F5774B"/>
    <w:rsid w:val="00F57777"/>
    <w:rsid w:val="00F57785"/>
    <w:rsid w:val="00F577E2"/>
    <w:rsid w:val="00F57855"/>
    <w:rsid w:val="00F57929"/>
    <w:rsid w:val="00F57995"/>
    <w:rsid w:val="00F579E4"/>
    <w:rsid w:val="00F57A33"/>
    <w:rsid w:val="00F57A41"/>
    <w:rsid w:val="00F57AA8"/>
    <w:rsid w:val="00F57AA9"/>
    <w:rsid w:val="00F57B7E"/>
    <w:rsid w:val="00F57B98"/>
    <w:rsid w:val="00F57BF3"/>
    <w:rsid w:val="00F57C0A"/>
    <w:rsid w:val="00F57CEB"/>
    <w:rsid w:val="00F57D00"/>
    <w:rsid w:val="00F57D2E"/>
    <w:rsid w:val="00F57D3A"/>
    <w:rsid w:val="00F57D43"/>
    <w:rsid w:val="00F57D58"/>
    <w:rsid w:val="00F57D76"/>
    <w:rsid w:val="00F57DA2"/>
    <w:rsid w:val="00F57E39"/>
    <w:rsid w:val="00F57E4E"/>
    <w:rsid w:val="00F57F44"/>
    <w:rsid w:val="00F57F52"/>
    <w:rsid w:val="00F57F63"/>
    <w:rsid w:val="00F57F8F"/>
    <w:rsid w:val="00F57F92"/>
    <w:rsid w:val="00F57FB3"/>
    <w:rsid w:val="00F57FCC"/>
    <w:rsid w:val="00F57FCF"/>
    <w:rsid w:val="00F57FD5"/>
    <w:rsid w:val="00F60011"/>
    <w:rsid w:val="00F60044"/>
    <w:rsid w:val="00F60070"/>
    <w:rsid w:val="00F60078"/>
    <w:rsid w:val="00F60084"/>
    <w:rsid w:val="00F600E4"/>
    <w:rsid w:val="00F60142"/>
    <w:rsid w:val="00F6017D"/>
    <w:rsid w:val="00F601F4"/>
    <w:rsid w:val="00F6023C"/>
    <w:rsid w:val="00F602F8"/>
    <w:rsid w:val="00F60326"/>
    <w:rsid w:val="00F603F0"/>
    <w:rsid w:val="00F603F6"/>
    <w:rsid w:val="00F60452"/>
    <w:rsid w:val="00F6055E"/>
    <w:rsid w:val="00F60592"/>
    <w:rsid w:val="00F605AD"/>
    <w:rsid w:val="00F605E4"/>
    <w:rsid w:val="00F605F3"/>
    <w:rsid w:val="00F60671"/>
    <w:rsid w:val="00F60693"/>
    <w:rsid w:val="00F606A6"/>
    <w:rsid w:val="00F606B6"/>
    <w:rsid w:val="00F606F7"/>
    <w:rsid w:val="00F6078C"/>
    <w:rsid w:val="00F607AE"/>
    <w:rsid w:val="00F607AF"/>
    <w:rsid w:val="00F607C9"/>
    <w:rsid w:val="00F6082F"/>
    <w:rsid w:val="00F60846"/>
    <w:rsid w:val="00F60891"/>
    <w:rsid w:val="00F608C3"/>
    <w:rsid w:val="00F608FD"/>
    <w:rsid w:val="00F608FE"/>
    <w:rsid w:val="00F60995"/>
    <w:rsid w:val="00F609A4"/>
    <w:rsid w:val="00F60A29"/>
    <w:rsid w:val="00F60A91"/>
    <w:rsid w:val="00F60AA3"/>
    <w:rsid w:val="00F60AC3"/>
    <w:rsid w:val="00F60B0D"/>
    <w:rsid w:val="00F60B15"/>
    <w:rsid w:val="00F60B4F"/>
    <w:rsid w:val="00F60B77"/>
    <w:rsid w:val="00F60B8B"/>
    <w:rsid w:val="00F60B95"/>
    <w:rsid w:val="00F60BEF"/>
    <w:rsid w:val="00F60C3E"/>
    <w:rsid w:val="00F60D1C"/>
    <w:rsid w:val="00F60DFE"/>
    <w:rsid w:val="00F60E04"/>
    <w:rsid w:val="00F60E5F"/>
    <w:rsid w:val="00F60E82"/>
    <w:rsid w:val="00F60ED9"/>
    <w:rsid w:val="00F60EEB"/>
    <w:rsid w:val="00F60F2E"/>
    <w:rsid w:val="00F60F5E"/>
    <w:rsid w:val="00F60F87"/>
    <w:rsid w:val="00F60FA8"/>
    <w:rsid w:val="00F60FE6"/>
    <w:rsid w:val="00F6100F"/>
    <w:rsid w:val="00F61030"/>
    <w:rsid w:val="00F610A9"/>
    <w:rsid w:val="00F610B7"/>
    <w:rsid w:val="00F610D2"/>
    <w:rsid w:val="00F610D3"/>
    <w:rsid w:val="00F610F0"/>
    <w:rsid w:val="00F61102"/>
    <w:rsid w:val="00F61108"/>
    <w:rsid w:val="00F611A2"/>
    <w:rsid w:val="00F611CA"/>
    <w:rsid w:val="00F611CE"/>
    <w:rsid w:val="00F61239"/>
    <w:rsid w:val="00F61278"/>
    <w:rsid w:val="00F61289"/>
    <w:rsid w:val="00F612E8"/>
    <w:rsid w:val="00F612ED"/>
    <w:rsid w:val="00F612EE"/>
    <w:rsid w:val="00F612F8"/>
    <w:rsid w:val="00F61311"/>
    <w:rsid w:val="00F6133D"/>
    <w:rsid w:val="00F61382"/>
    <w:rsid w:val="00F61402"/>
    <w:rsid w:val="00F61407"/>
    <w:rsid w:val="00F61477"/>
    <w:rsid w:val="00F61488"/>
    <w:rsid w:val="00F61499"/>
    <w:rsid w:val="00F614A6"/>
    <w:rsid w:val="00F614D1"/>
    <w:rsid w:val="00F614EF"/>
    <w:rsid w:val="00F61504"/>
    <w:rsid w:val="00F6153A"/>
    <w:rsid w:val="00F61544"/>
    <w:rsid w:val="00F61546"/>
    <w:rsid w:val="00F61575"/>
    <w:rsid w:val="00F615A6"/>
    <w:rsid w:val="00F615BC"/>
    <w:rsid w:val="00F61645"/>
    <w:rsid w:val="00F6167F"/>
    <w:rsid w:val="00F616DA"/>
    <w:rsid w:val="00F617C8"/>
    <w:rsid w:val="00F617CE"/>
    <w:rsid w:val="00F61844"/>
    <w:rsid w:val="00F61867"/>
    <w:rsid w:val="00F6186B"/>
    <w:rsid w:val="00F618BC"/>
    <w:rsid w:val="00F618BD"/>
    <w:rsid w:val="00F61913"/>
    <w:rsid w:val="00F61968"/>
    <w:rsid w:val="00F61994"/>
    <w:rsid w:val="00F619D7"/>
    <w:rsid w:val="00F61A30"/>
    <w:rsid w:val="00F61A3D"/>
    <w:rsid w:val="00F61AB0"/>
    <w:rsid w:val="00F61ABD"/>
    <w:rsid w:val="00F61AC6"/>
    <w:rsid w:val="00F61AF0"/>
    <w:rsid w:val="00F61B6A"/>
    <w:rsid w:val="00F61C08"/>
    <w:rsid w:val="00F61C32"/>
    <w:rsid w:val="00F61C6B"/>
    <w:rsid w:val="00F61CE4"/>
    <w:rsid w:val="00F61CF2"/>
    <w:rsid w:val="00F61D03"/>
    <w:rsid w:val="00F61D3E"/>
    <w:rsid w:val="00F61D75"/>
    <w:rsid w:val="00F61DC6"/>
    <w:rsid w:val="00F61DD2"/>
    <w:rsid w:val="00F61DD5"/>
    <w:rsid w:val="00F61DDE"/>
    <w:rsid w:val="00F61DE2"/>
    <w:rsid w:val="00F61DEB"/>
    <w:rsid w:val="00F61E40"/>
    <w:rsid w:val="00F61E74"/>
    <w:rsid w:val="00F61EA4"/>
    <w:rsid w:val="00F61EA7"/>
    <w:rsid w:val="00F61F09"/>
    <w:rsid w:val="00F61F1F"/>
    <w:rsid w:val="00F61F47"/>
    <w:rsid w:val="00F61F89"/>
    <w:rsid w:val="00F61FA4"/>
    <w:rsid w:val="00F61FE2"/>
    <w:rsid w:val="00F6202A"/>
    <w:rsid w:val="00F6203B"/>
    <w:rsid w:val="00F62049"/>
    <w:rsid w:val="00F6205A"/>
    <w:rsid w:val="00F620CF"/>
    <w:rsid w:val="00F620F8"/>
    <w:rsid w:val="00F62120"/>
    <w:rsid w:val="00F62125"/>
    <w:rsid w:val="00F62170"/>
    <w:rsid w:val="00F621D3"/>
    <w:rsid w:val="00F621FA"/>
    <w:rsid w:val="00F6220D"/>
    <w:rsid w:val="00F62258"/>
    <w:rsid w:val="00F62284"/>
    <w:rsid w:val="00F622CA"/>
    <w:rsid w:val="00F62338"/>
    <w:rsid w:val="00F62351"/>
    <w:rsid w:val="00F623B9"/>
    <w:rsid w:val="00F62439"/>
    <w:rsid w:val="00F6243E"/>
    <w:rsid w:val="00F6248B"/>
    <w:rsid w:val="00F624A8"/>
    <w:rsid w:val="00F624D1"/>
    <w:rsid w:val="00F624D8"/>
    <w:rsid w:val="00F624DB"/>
    <w:rsid w:val="00F62533"/>
    <w:rsid w:val="00F62546"/>
    <w:rsid w:val="00F62548"/>
    <w:rsid w:val="00F6255E"/>
    <w:rsid w:val="00F62562"/>
    <w:rsid w:val="00F62565"/>
    <w:rsid w:val="00F625B2"/>
    <w:rsid w:val="00F625EA"/>
    <w:rsid w:val="00F62629"/>
    <w:rsid w:val="00F62650"/>
    <w:rsid w:val="00F626A9"/>
    <w:rsid w:val="00F626D8"/>
    <w:rsid w:val="00F6273F"/>
    <w:rsid w:val="00F62744"/>
    <w:rsid w:val="00F62754"/>
    <w:rsid w:val="00F6275E"/>
    <w:rsid w:val="00F62768"/>
    <w:rsid w:val="00F627A2"/>
    <w:rsid w:val="00F627AB"/>
    <w:rsid w:val="00F62860"/>
    <w:rsid w:val="00F62862"/>
    <w:rsid w:val="00F62888"/>
    <w:rsid w:val="00F6288B"/>
    <w:rsid w:val="00F628B3"/>
    <w:rsid w:val="00F628FC"/>
    <w:rsid w:val="00F62939"/>
    <w:rsid w:val="00F6295E"/>
    <w:rsid w:val="00F62962"/>
    <w:rsid w:val="00F62972"/>
    <w:rsid w:val="00F629B6"/>
    <w:rsid w:val="00F629C4"/>
    <w:rsid w:val="00F629CC"/>
    <w:rsid w:val="00F629E0"/>
    <w:rsid w:val="00F62A0D"/>
    <w:rsid w:val="00F62A6B"/>
    <w:rsid w:val="00F62AA0"/>
    <w:rsid w:val="00F62AA8"/>
    <w:rsid w:val="00F62B17"/>
    <w:rsid w:val="00F62B29"/>
    <w:rsid w:val="00F62BAE"/>
    <w:rsid w:val="00F62BDC"/>
    <w:rsid w:val="00F62BF3"/>
    <w:rsid w:val="00F62C05"/>
    <w:rsid w:val="00F62C3E"/>
    <w:rsid w:val="00F62C43"/>
    <w:rsid w:val="00F62CC6"/>
    <w:rsid w:val="00F62D05"/>
    <w:rsid w:val="00F62D35"/>
    <w:rsid w:val="00F62DE1"/>
    <w:rsid w:val="00F62DF5"/>
    <w:rsid w:val="00F62E3D"/>
    <w:rsid w:val="00F62E4F"/>
    <w:rsid w:val="00F62E90"/>
    <w:rsid w:val="00F62ED2"/>
    <w:rsid w:val="00F62EEA"/>
    <w:rsid w:val="00F62F30"/>
    <w:rsid w:val="00F62F4B"/>
    <w:rsid w:val="00F62FC6"/>
    <w:rsid w:val="00F63035"/>
    <w:rsid w:val="00F63070"/>
    <w:rsid w:val="00F6308A"/>
    <w:rsid w:val="00F6312B"/>
    <w:rsid w:val="00F631F7"/>
    <w:rsid w:val="00F63202"/>
    <w:rsid w:val="00F6328D"/>
    <w:rsid w:val="00F6329B"/>
    <w:rsid w:val="00F632A0"/>
    <w:rsid w:val="00F63311"/>
    <w:rsid w:val="00F6331A"/>
    <w:rsid w:val="00F633C6"/>
    <w:rsid w:val="00F63407"/>
    <w:rsid w:val="00F63455"/>
    <w:rsid w:val="00F63462"/>
    <w:rsid w:val="00F63488"/>
    <w:rsid w:val="00F634A8"/>
    <w:rsid w:val="00F6352A"/>
    <w:rsid w:val="00F6358F"/>
    <w:rsid w:val="00F63592"/>
    <w:rsid w:val="00F635EA"/>
    <w:rsid w:val="00F635F3"/>
    <w:rsid w:val="00F63677"/>
    <w:rsid w:val="00F636A3"/>
    <w:rsid w:val="00F636B0"/>
    <w:rsid w:val="00F636BA"/>
    <w:rsid w:val="00F636DD"/>
    <w:rsid w:val="00F636F5"/>
    <w:rsid w:val="00F63731"/>
    <w:rsid w:val="00F63758"/>
    <w:rsid w:val="00F63778"/>
    <w:rsid w:val="00F637BF"/>
    <w:rsid w:val="00F637D9"/>
    <w:rsid w:val="00F6387F"/>
    <w:rsid w:val="00F638B2"/>
    <w:rsid w:val="00F638CF"/>
    <w:rsid w:val="00F638E8"/>
    <w:rsid w:val="00F638FE"/>
    <w:rsid w:val="00F6393B"/>
    <w:rsid w:val="00F63996"/>
    <w:rsid w:val="00F63A1A"/>
    <w:rsid w:val="00F63A88"/>
    <w:rsid w:val="00F63A96"/>
    <w:rsid w:val="00F63AAB"/>
    <w:rsid w:val="00F63AF9"/>
    <w:rsid w:val="00F63B37"/>
    <w:rsid w:val="00F63B86"/>
    <w:rsid w:val="00F63B93"/>
    <w:rsid w:val="00F63BCE"/>
    <w:rsid w:val="00F63BE7"/>
    <w:rsid w:val="00F63C26"/>
    <w:rsid w:val="00F63C27"/>
    <w:rsid w:val="00F63C2B"/>
    <w:rsid w:val="00F63C5F"/>
    <w:rsid w:val="00F63C7A"/>
    <w:rsid w:val="00F63CAF"/>
    <w:rsid w:val="00F63CB5"/>
    <w:rsid w:val="00F63D6C"/>
    <w:rsid w:val="00F63D79"/>
    <w:rsid w:val="00F63DB4"/>
    <w:rsid w:val="00F63E41"/>
    <w:rsid w:val="00F63E5C"/>
    <w:rsid w:val="00F63E60"/>
    <w:rsid w:val="00F63E85"/>
    <w:rsid w:val="00F63EC4"/>
    <w:rsid w:val="00F63EFB"/>
    <w:rsid w:val="00F63F11"/>
    <w:rsid w:val="00F63F21"/>
    <w:rsid w:val="00F63F28"/>
    <w:rsid w:val="00F63F39"/>
    <w:rsid w:val="00F63F46"/>
    <w:rsid w:val="00F63F4D"/>
    <w:rsid w:val="00F63F6D"/>
    <w:rsid w:val="00F63FBB"/>
    <w:rsid w:val="00F63FF2"/>
    <w:rsid w:val="00F6402D"/>
    <w:rsid w:val="00F64054"/>
    <w:rsid w:val="00F6405B"/>
    <w:rsid w:val="00F6406C"/>
    <w:rsid w:val="00F6407F"/>
    <w:rsid w:val="00F640AC"/>
    <w:rsid w:val="00F64108"/>
    <w:rsid w:val="00F64132"/>
    <w:rsid w:val="00F64169"/>
    <w:rsid w:val="00F6421E"/>
    <w:rsid w:val="00F64224"/>
    <w:rsid w:val="00F64252"/>
    <w:rsid w:val="00F64257"/>
    <w:rsid w:val="00F64261"/>
    <w:rsid w:val="00F64264"/>
    <w:rsid w:val="00F642C4"/>
    <w:rsid w:val="00F6430A"/>
    <w:rsid w:val="00F6431D"/>
    <w:rsid w:val="00F6432C"/>
    <w:rsid w:val="00F64397"/>
    <w:rsid w:val="00F643E4"/>
    <w:rsid w:val="00F64400"/>
    <w:rsid w:val="00F6442A"/>
    <w:rsid w:val="00F644B2"/>
    <w:rsid w:val="00F644BA"/>
    <w:rsid w:val="00F64572"/>
    <w:rsid w:val="00F64658"/>
    <w:rsid w:val="00F64693"/>
    <w:rsid w:val="00F646D4"/>
    <w:rsid w:val="00F64763"/>
    <w:rsid w:val="00F64767"/>
    <w:rsid w:val="00F64784"/>
    <w:rsid w:val="00F647D6"/>
    <w:rsid w:val="00F647DB"/>
    <w:rsid w:val="00F647DC"/>
    <w:rsid w:val="00F647DF"/>
    <w:rsid w:val="00F64812"/>
    <w:rsid w:val="00F64847"/>
    <w:rsid w:val="00F648FF"/>
    <w:rsid w:val="00F64930"/>
    <w:rsid w:val="00F64953"/>
    <w:rsid w:val="00F64956"/>
    <w:rsid w:val="00F6496C"/>
    <w:rsid w:val="00F649EE"/>
    <w:rsid w:val="00F64A05"/>
    <w:rsid w:val="00F64A72"/>
    <w:rsid w:val="00F64AA7"/>
    <w:rsid w:val="00F64ADF"/>
    <w:rsid w:val="00F64AF6"/>
    <w:rsid w:val="00F64AFD"/>
    <w:rsid w:val="00F64B0C"/>
    <w:rsid w:val="00F64B58"/>
    <w:rsid w:val="00F64B8D"/>
    <w:rsid w:val="00F64C8A"/>
    <w:rsid w:val="00F64CE5"/>
    <w:rsid w:val="00F64D18"/>
    <w:rsid w:val="00F64D1C"/>
    <w:rsid w:val="00F64D88"/>
    <w:rsid w:val="00F64D90"/>
    <w:rsid w:val="00F64DCB"/>
    <w:rsid w:val="00F64DEF"/>
    <w:rsid w:val="00F64DF4"/>
    <w:rsid w:val="00F64E45"/>
    <w:rsid w:val="00F64E78"/>
    <w:rsid w:val="00F64E7A"/>
    <w:rsid w:val="00F64EAF"/>
    <w:rsid w:val="00F64EE8"/>
    <w:rsid w:val="00F64F78"/>
    <w:rsid w:val="00F64FD1"/>
    <w:rsid w:val="00F65016"/>
    <w:rsid w:val="00F6503C"/>
    <w:rsid w:val="00F65070"/>
    <w:rsid w:val="00F6507D"/>
    <w:rsid w:val="00F6509A"/>
    <w:rsid w:val="00F650A2"/>
    <w:rsid w:val="00F650D5"/>
    <w:rsid w:val="00F650ED"/>
    <w:rsid w:val="00F6510D"/>
    <w:rsid w:val="00F65114"/>
    <w:rsid w:val="00F6512C"/>
    <w:rsid w:val="00F65132"/>
    <w:rsid w:val="00F65155"/>
    <w:rsid w:val="00F6515E"/>
    <w:rsid w:val="00F651BA"/>
    <w:rsid w:val="00F651BB"/>
    <w:rsid w:val="00F651F2"/>
    <w:rsid w:val="00F652AF"/>
    <w:rsid w:val="00F6532C"/>
    <w:rsid w:val="00F65333"/>
    <w:rsid w:val="00F65370"/>
    <w:rsid w:val="00F653C0"/>
    <w:rsid w:val="00F65443"/>
    <w:rsid w:val="00F65470"/>
    <w:rsid w:val="00F6547E"/>
    <w:rsid w:val="00F654E5"/>
    <w:rsid w:val="00F65525"/>
    <w:rsid w:val="00F65561"/>
    <w:rsid w:val="00F655B0"/>
    <w:rsid w:val="00F6567C"/>
    <w:rsid w:val="00F656CE"/>
    <w:rsid w:val="00F656E9"/>
    <w:rsid w:val="00F65759"/>
    <w:rsid w:val="00F65799"/>
    <w:rsid w:val="00F65861"/>
    <w:rsid w:val="00F65917"/>
    <w:rsid w:val="00F65981"/>
    <w:rsid w:val="00F6599B"/>
    <w:rsid w:val="00F65AC8"/>
    <w:rsid w:val="00F65AD8"/>
    <w:rsid w:val="00F65B22"/>
    <w:rsid w:val="00F65B33"/>
    <w:rsid w:val="00F65B58"/>
    <w:rsid w:val="00F65B65"/>
    <w:rsid w:val="00F65BFF"/>
    <w:rsid w:val="00F65C41"/>
    <w:rsid w:val="00F65CA4"/>
    <w:rsid w:val="00F65D19"/>
    <w:rsid w:val="00F65D46"/>
    <w:rsid w:val="00F65D55"/>
    <w:rsid w:val="00F65D7A"/>
    <w:rsid w:val="00F65DC9"/>
    <w:rsid w:val="00F65DF0"/>
    <w:rsid w:val="00F65E0B"/>
    <w:rsid w:val="00F65E22"/>
    <w:rsid w:val="00F65E45"/>
    <w:rsid w:val="00F65E6E"/>
    <w:rsid w:val="00F65F0C"/>
    <w:rsid w:val="00F65FCA"/>
    <w:rsid w:val="00F66003"/>
    <w:rsid w:val="00F6607B"/>
    <w:rsid w:val="00F660CB"/>
    <w:rsid w:val="00F661A0"/>
    <w:rsid w:val="00F661ED"/>
    <w:rsid w:val="00F66297"/>
    <w:rsid w:val="00F662B5"/>
    <w:rsid w:val="00F662F3"/>
    <w:rsid w:val="00F662F6"/>
    <w:rsid w:val="00F66405"/>
    <w:rsid w:val="00F66448"/>
    <w:rsid w:val="00F66482"/>
    <w:rsid w:val="00F6648D"/>
    <w:rsid w:val="00F66492"/>
    <w:rsid w:val="00F6649F"/>
    <w:rsid w:val="00F664C8"/>
    <w:rsid w:val="00F6655E"/>
    <w:rsid w:val="00F6656B"/>
    <w:rsid w:val="00F6656D"/>
    <w:rsid w:val="00F665B3"/>
    <w:rsid w:val="00F6663A"/>
    <w:rsid w:val="00F6664B"/>
    <w:rsid w:val="00F66654"/>
    <w:rsid w:val="00F66657"/>
    <w:rsid w:val="00F6665E"/>
    <w:rsid w:val="00F66666"/>
    <w:rsid w:val="00F666EF"/>
    <w:rsid w:val="00F6671C"/>
    <w:rsid w:val="00F6675A"/>
    <w:rsid w:val="00F66768"/>
    <w:rsid w:val="00F66838"/>
    <w:rsid w:val="00F66843"/>
    <w:rsid w:val="00F668B0"/>
    <w:rsid w:val="00F668C0"/>
    <w:rsid w:val="00F668E7"/>
    <w:rsid w:val="00F668F3"/>
    <w:rsid w:val="00F668FC"/>
    <w:rsid w:val="00F66924"/>
    <w:rsid w:val="00F669BF"/>
    <w:rsid w:val="00F66A46"/>
    <w:rsid w:val="00F66A6D"/>
    <w:rsid w:val="00F66A76"/>
    <w:rsid w:val="00F66A7D"/>
    <w:rsid w:val="00F66BD2"/>
    <w:rsid w:val="00F66BE0"/>
    <w:rsid w:val="00F66C57"/>
    <w:rsid w:val="00F66CB8"/>
    <w:rsid w:val="00F66CC7"/>
    <w:rsid w:val="00F66D64"/>
    <w:rsid w:val="00F66DA7"/>
    <w:rsid w:val="00F66DB9"/>
    <w:rsid w:val="00F66E3A"/>
    <w:rsid w:val="00F66E53"/>
    <w:rsid w:val="00F66EA0"/>
    <w:rsid w:val="00F66EBF"/>
    <w:rsid w:val="00F66ED2"/>
    <w:rsid w:val="00F66EF1"/>
    <w:rsid w:val="00F66EF3"/>
    <w:rsid w:val="00F66F2B"/>
    <w:rsid w:val="00F66FC8"/>
    <w:rsid w:val="00F67041"/>
    <w:rsid w:val="00F67055"/>
    <w:rsid w:val="00F670BB"/>
    <w:rsid w:val="00F670C9"/>
    <w:rsid w:val="00F671F0"/>
    <w:rsid w:val="00F67208"/>
    <w:rsid w:val="00F6722D"/>
    <w:rsid w:val="00F6729A"/>
    <w:rsid w:val="00F672EC"/>
    <w:rsid w:val="00F67305"/>
    <w:rsid w:val="00F67311"/>
    <w:rsid w:val="00F67329"/>
    <w:rsid w:val="00F67330"/>
    <w:rsid w:val="00F6733C"/>
    <w:rsid w:val="00F67342"/>
    <w:rsid w:val="00F67357"/>
    <w:rsid w:val="00F6739E"/>
    <w:rsid w:val="00F673C6"/>
    <w:rsid w:val="00F673C9"/>
    <w:rsid w:val="00F673F0"/>
    <w:rsid w:val="00F6742E"/>
    <w:rsid w:val="00F67430"/>
    <w:rsid w:val="00F67437"/>
    <w:rsid w:val="00F67458"/>
    <w:rsid w:val="00F6746A"/>
    <w:rsid w:val="00F6748F"/>
    <w:rsid w:val="00F6749F"/>
    <w:rsid w:val="00F674B2"/>
    <w:rsid w:val="00F67502"/>
    <w:rsid w:val="00F67533"/>
    <w:rsid w:val="00F67564"/>
    <w:rsid w:val="00F6756C"/>
    <w:rsid w:val="00F6756F"/>
    <w:rsid w:val="00F67594"/>
    <w:rsid w:val="00F675AE"/>
    <w:rsid w:val="00F675E0"/>
    <w:rsid w:val="00F675FB"/>
    <w:rsid w:val="00F67600"/>
    <w:rsid w:val="00F67601"/>
    <w:rsid w:val="00F67680"/>
    <w:rsid w:val="00F67685"/>
    <w:rsid w:val="00F67722"/>
    <w:rsid w:val="00F6772B"/>
    <w:rsid w:val="00F67730"/>
    <w:rsid w:val="00F67765"/>
    <w:rsid w:val="00F677E3"/>
    <w:rsid w:val="00F678B8"/>
    <w:rsid w:val="00F678D9"/>
    <w:rsid w:val="00F679B6"/>
    <w:rsid w:val="00F679BB"/>
    <w:rsid w:val="00F679E1"/>
    <w:rsid w:val="00F679E7"/>
    <w:rsid w:val="00F67A01"/>
    <w:rsid w:val="00F67A24"/>
    <w:rsid w:val="00F67A25"/>
    <w:rsid w:val="00F67A30"/>
    <w:rsid w:val="00F67A95"/>
    <w:rsid w:val="00F67AD3"/>
    <w:rsid w:val="00F67AEB"/>
    <w:rsid w:val="00F67B1B"/>
    <w:rsid w:val="00F67B2E"/>
    <w:rsid w:val="00F67B87"/>
    <w:rsid w:val="00F67BA6"/>
    <w:rsid w:val="00F67BAF"/>
    <w:rsid w:val="00F67BC0"/>
    <w:rsid w:val="00F67BF3"/>
    <w:rsid w:val="00F67C10"/>
    <w:rsid w:val="00F67C14"/>
    <w:rsid w:val="00F67C56"/>
    <w:rsid w:val="00F67CD8"/>
    <w:rsid w:val="00F67CDF"/>
    <w:rsid w:val="00F67D24"/>
    <w:rsid w:val="00F67E29"/>
    <w:rsid w:val="00F67E38"/>
    <w:rsid w:val="00F67E8E"/>
    <w:rsid w:val="00F67E97"/>
    <w:rsid w:val="00F67EB3"/>
    <w:rsid w:val="00F67EB5"/>
    <w:rsid w:val="00F67EB6"/>
    <w:rsid w:val="00F67ED8"/>
    <w:rsid w:val="00F67EDD"/>
    <w:rsid w:val="00F67EF0"/>
    <w:rsid w:val="00F67F77"/>
    <w:rsid w:val="00F67F8C"/>
    <w:rsid w:val="00F67FBC"/>
    <w:rsid w:val="00F67FCE"/>
    <w:rsid w:val="00F70046"/>
    <w:rsid w:val="00F7006C"/>
    <w:rsid w:val="00F70082"/>
    <w:rsid w:val="00F700AB"/>
    <w:rsid w:val="00F70143"/>
    <w:rsid w:val="00F7018A"/>
    <w:rsid w:val="00F701C9"/>
    <w:rsid w:val="00F701EF"/>
    <w:rsid w:val="00F70210"/>
    <w:rsid w:val="00F70267"/>
    <w:rsid w:val="00F7027E"/>
    <w:rsid w:val="00F70296"/>
    <w:rsid w:val="00F702AE"/>
    <w:rsid w:val="00F70322"/>
    <w:rsid w:val="00F70351"/>
    <w:rsid w:val="00F70396"/>
    <w:rsid w:val="00F703C4"/>
    <w:rsid w:val="00F703F3"/>
    <w:rsid w:val="00F703F5"/>
    <w:rsid w:val="00F704A6"/>
    <w:rsid w:val="00F704B7"/>
    <w:rsid w:val="00F704E3"/>
    <w:rsid w:val="00F70541"/>
    <w:rsid w:val="00F70555"/>
    <w:rsid w:val="00F7057B"/>
    <w:rsid w:val="00F705BC"/>
    <w:rsid w:val="00F705FC"/>
    <w:rsid w:val="00F70677"/>
    <w:rsid w:val="00F7068E"/>
    <w:rsid w:val="00F706A6"/>
    <w:rsid w:val="00F706F7"/>
    <w:rsid w:val="00F70704"/>
    <w:rsid w:val="00F70714"/>
    <w:rsid w:val="00F707A0"/>
    <w:rsid w:val="00F707A4"/>
    <w:rsid w:val="00F707B3"/>
    <w:rsid w:val="00F70898"/>
    <w:rsid w:val="00F708CC"/>
    <w:rsid w:val="00F708CD"/>
    <w:rsid w:val="00F70922"/>
    <w:rsid w:val="00F70939"/>
    <w:rsid w:val="00F7093B"/>
    <w:rsid w:val="00F709B4"/>
    <w:rsid w:val="00F709E3"/>
    <w:rsid w:val="00F70A0E"/>
    <w:rsid w:val="00F70A13"/>
    <w:rsid w:val="00F70A15"/>
    <w:rsid w:val="00F70AE0"/>
    <w:rsid w:val="00F70B03"/>
    <w:rsid w:val="00F70BB6"/>
    <w:rsid w:val="00F70BD5"/>
    <w:rsid w:val="00F70BED"/>
    <w:rsid w:val="00F70C1E"/>
    <w:rsid w:val="00F70C24"/>
    <w:rsid w:val="00F70C52"/>
    <w:rsid w:val="00F70C64"/>
    <w:rsid w:val="00F70D96"/>
    <w:rsid w:val="00F70DEB"/>
    <w:rsid w:val="00F70DFD"/>
    <w:rsid w:val="00F70EC3"/>
    <w:rsid w:val="00F70EE7"/>
    <w:rsid w:val="00F70F49"/>
    <w:rsid w:val="00F70F51"/>
    <w:rsid w:val="00F70FA2"/>
    <w:rsid w:val="00F70FD2"/>
    <w:rsid w:val="00F70FFA"/>
    <w:rsid w:val="00F7106A"/>
    <w:rsid w:val="00F7107F"/>
    <w:rsid w:val="00F71087"/>
    <w:rsid w:val="00F71101"/>
    <w:rsid w:val="00F7110A"/>
    <w:rsid w:val="00F7116E"/>
    <w:rsid w:val="00F711F3"/>
    <w:rsid w:val="00F7121F"/>
    <w:rsid w:val="00F71226"/>
    <w:rsid w:val="00F71261"/>
    <w:rsid w:val="00F7127C"/>
    <w:rsid w:val="00F7127E"/>
    <w:rsid w:val="00F7129C"/>
    <w:rsid w:val="00F71326"/>
    <w:rsid w:val="00F71389"/>
    <w:rsid w:val="00F71393"/>
    <w:rsid w:val="00F713B0"/>
    <w:rsid w:val="00F713C2"/>
    <w:rsid w:val="00F71424"/>
    <w:rsid w:val="00F71527"/>
    <w:rsid w:val="00F7157F"/>
    <w:rsid w:val="00F715ED"/>
    <w:rsid w:val="00F715F3"/>
    <w:rsid w:val="00F715FB"/>
    <w:rsid w:val="00F71613"/>
    <w:rsid w:val="00F71639"/>
    <w:rsid w:val="00F71645"/>
    <w:rsid w:val="00F716AE"/>
    <w:rsid w:val="00F716C3"/>
    <w:rsid w:val="00F716F8"/>
    <w:rsid w:val="00F7173B"/>
    <w:rsid w:val="00F7173C"/>
    <w:rsid w:val="00F7176A"/>
    <w:rsid w:val="00F7176D"/>
    <w:rsid w:val="00F71794"/>
    <w:rsid w:val="00F717E2"/>
    <w:rsid w:val="00F717FB"/>
    <w:rsid w:val="00F71834"/>
    <w:rsid w:val="00F7186F"/>
    <w:rsid w:val="00F718DB"/>
    <w:rsid w:val="00F71945"/>
    <w:rsid w:val="00F71965"/>
    <w:rsid w:val="00F71A5B"/>
    <w:rsid w:val="00F71A74"/>
    <w:rsid w:val="00F71A8C"/>
    <w:rsid w:val="00F71A9E"/>
    <w:rsid w:val="00F71AFD"/>
    <w:rsid w:val="00F71B17"/>
    <w:rsid w:val="00F71B4E"/>
    <w:rsid w:val="00F71B52"/>
    <w:rsid w:val="00F71B55"/>
    <w:rsid w:val="00F71B66"/>
    <w:rsid w:val="00F71BF2"/>
    <w:rsid w:val="00F71C18"/>
    <w:rsid w:val="00F71C42"/>
    <w:rsid w:val="00F71C7A"/>
    <w:rsid w:val="00F71D4D"/>
    <w:rsid w:val="00F71D4E"/>
    <w:rsid w:val="00F71D5A"/>
    <w:rsid w:val="00F71D66"/>
    <w:rsid w:val="00F71D70"/>
    <w:rsid w:val="00F71D87"/>
    <w:rsid w:val="00F71D93"/>
    <w:rsid w:val="00F71E11"/>
    <w:rsid w:val="00F71E63"/>
    <w:rsid w:val="00F71E6A"/>
    <w:rsid w:val="00F71F10"/>
    <w:rsid w:val="00F71F19"/>
    <w:rsid w:val="00F71F1E"/>
    <w:rsid w:val="00F71F6D"/>
    <w:rsid w:val="00F71F78"/>
    <w:rsid w:val="00F72047"/>
    <w:rsid w:val="00F7205F"/>
    <w:rsid w:val="00F720C2"/>
    <w:rsid w:val="00F720F4"/>
    <w:rsid w:val="00F72152"/>
    <w:rsid w:val="00F72181"/>
    <w:rsid w:val="00F721C6"/>
    <w:rsid w:val="00F721E3"/>
    <w:rsid w:val="00F721F6"/>
    <w:rsid w:val="00F721F7"/>
    <w:rsid w:val="00F72234"/>
    <w:rsid w:val="00F7224F"/>
    <w:rsid w:val="00F72257"/>
    <w:rsid w:val="00F72267"/>
    <w:rsid w:val="00F722A8"/>
    <w:rsid w:val="00F722B0"/>
    <w:rsid w:val="00F722F2"/>
    <w:rsid w:val="00F72337"/>
    <w:rsid w:val="00F7233B"/>
    <w:rsid w:val="00F72355"/>
    <w:rsid w:val="00F723D7"/>
    <w:rsid w:val="00F723FA"/>
    <w:rsid w:val="00F72409"/>
    <w:rsid w:val="00F724EE"/>
    <w:rsid w:val="00F72517"/>
    <w:rsid w:val="00F7254A"/>
    <w:rsid w:val="00F72568"/>
    <w:rsid w:val="00F725A2"/>
    <w:rsid w:val="00F725AF"/>
    <w:rsid w:val="00F725B6"/>
    <w:rsid w:val="00F725BA"/>
    <w:rsid w:val="00F725DE"/>
    <w:rsid w:val="00F725E5"/>
    <w:rsid w:val="00F72633"/>
    <w:rsid w:val="00F72645"/>
    <w:rsid w:val="00F72685"/>
    <w:rsid w:val="00F7269F"/>
    <w:rsid w:val="00F726CA"/>
    <w:rsid w:val="00F726EB"/>
    <w:rsid w:val="00F726F4"/>
    <w:rsid w:val="00F72742"/>
    <w:rsid w:val="00F727F2"/>
    <w:rsid w:val="00F72835"/>
    <w:rsid w:val="00F7285D"/>
    <w:rsid w:val="00F72865"/>
    <w:rsid w:val="00F728A5"/>
    <w:rsid w:val="00F728B6"/>
    <w:rsid w:val="00F728D0"/>
    <w:rsid w:val="00F728E0"/>
    <w:rsid w:val="00F728ED"/>
    <w:rsid w:val="00F728FF"/>
    <w:rsid w:val="00F7292C"/>
    <w:rsid w:val="00F7293D"/>
    <w:rsid w:val="00F72952"/>
    <w:rsid w:val="00F729FF"/>
    <w:rsid w:val="00F72A07"/>
    <w:rsid w:val="00F72A1C"/>
    <w:rsid w:val="00F72A25"/>
    <w:rsid w:val="00F72A40"/>
    <w:rsid w:val="00F72A63"/>
    <w:rsid w:val="00F72A99"/>
    <w:rsid w:val="00F72AA6"/>
    <w:rsid w:val="00F72AAD"/>
    <w:rsid w:val="00F72AAE"/>
    <w:rsid w:val="00F72ADE"/>
    <w:rsid w:val="00F72B37"/>
    <w:rsid w:val="00F72B4F"/>
    <w:rsid w:val="00F72B75"/>
    <w:rsid w:val="00F72B8F"/>
    <w:rsid w:val="00F72BC2"/>
    <w:rsid w:val="00F72BDE"/>
    <w:rsid w:val="00F72C25"/>
    <w:rsid w:val="00F72C66"/>
    <w:rsid w:val="00F72C7D"/>
    <w:rsid w:val="00F72C9E"/>
    <w:rsid w:val="00F72D26"/>
    <w:rsid w:val="00F72D43"/>
    <w:rsid w:val="00F72D61"/>
    <w:rsid w:val="00F72D94"/>
    <w:rsid w:val="00F72E07"/>
    <w:rsid w:val="00F72E63"/>
    <w:rsid w:val="00F72E6F"/>
    <w:rsid w:val="00F72E99"/>
    <w:rsid w:val="00F72EB2"/>
    <w:rsid w:val="00F72F18"/>
    <w:rsid w:val="00F72F71"/>
    <w:rsid w:val="00F72F8E"/>
    <w:rsid w:val="00F73014"/>
    <w:rsid w:val="00F73020"/>
    <w:rsid w:val="00F73137"/>
    <w:rsid w:val="00F73154"/>
    <w:rsid w:val="00F7317F"/>
    <w:rsid w:val="00F73188"/>
    <w:rsid w:val="00F731AF"/>
    <w:rsid w:val="00F731D4"/>
    <w:rsid w:val="00F731EF"/>
    <w:rsid w:val="00F7320C"/>
    <w:rsid w:val="00F73224"/>
    <w:rsid w:val="00F73241"/>
    <w:rsid w:val="00F73265"/>
    <w:rsid w:val="00F73268"/>
    <w:rsid w:val="00F732EB"/>
    <w:rsid w:val="00F732ED"/>
    <w:rsid w:val="00F732EF"/>
    <w:rsid w:val="00F73362"/>
    <w:rsid w:val="00F73366"/>
    <w:rsid w:val="00F73391"/>
    <w:rsid w:val="00F733A8"/>
    <w:rsid w:val="00F733D0"/>
    <w:rsid w:val="00F73451"/>
    <w:rsid w:val="00F73486"/>
    <w:rsid w:val="00F734C9"/>
    <w:rsid w:val="00F734E9"/>
    <w:rsid w:val="00F734F7"/>
    <w:rsid w:val="00F73537"/>
    <w:rsid w:val="00F7359B"/>
    <w:rsid w:val="00F7363C"/>
    <w:rsid w:val="00F736A4"/>
    <w:rsid w:val="00F736AC"/>
    <w:rsid w:val="00F73744"/>
    <w:rsid w:val="00F7376C"/>
    <w:rsid w:val="00F73782"/>
    <w:rsid w:val="00F737DA"/>
    <w:rsid w:val="00F73848"/>
    <w:rsid w:val="00F7384D"/>
    <w:rsid w:val="00F73894"/>
    <w:rsid w:val="00F7391C"/>
    <w:rsid w:val="00F73978"/>
    <w:rsid w:val="00F7397F"/>
    <w:rsid w:val="00F7398E"/>
    <w:rsid w:val="00F739DC"/>
    <w:rsid w:val="00F739E5"/>
    <w:rsid w:val="00F73A23"/>
    <w:rsid w:val="00F73A33"/>
    <w:rsid w:val="00F73A3C"/>
    <w:rsid w:val="00F73A55"/>
    <w:rsid w:val="00F73A7E"/>
    <w:rsid w:val="00F73A7F"/>
    <w:rsid w:val="00F73A93"/>
    <w:rsid w:val="00F73AB0"/>
    <w:rsid w:val="00F73B04"/>
    <w:rsid w:val="00F73B4A"/>
    <w:rsid w:val="00F73B4E"/>
    <w:rsid w:val="00F73BF5"/>
    <w:rsid w:val="00F73C01"/>
    <w:rsid w:val="00F73C2B"/>
    <w:rsid w:val="00F73C36"/>
    <w:rsid w:val="00F73C3D"/>
    <w:rsid w:val="00F73C53"/>
    <w:rsid w:val="00F73D0A"/>
    <w:rsid w:val="00F73D7C"/>
    <w:rsid w:val="00F73D9C"/>
    <w:rsid w:val="00F73E5B"/>
    <w:rsid w:val="00F73E65"/>
    <w:rsid w:val="00F73E6A"/>
    <w:rsid w:val="00F73E9B"/>
    <w:rsid w:val="00F73F10"/>
    <w:rsid w:val="00F73F16"/>
    <w:rsid w:val="00F73F1E"/>
    <w:rsid w:val="00F73F3F"/>
    <w:rsid w:val="00F73F63"/>
    <w:rsid w:val="00F7401A"/>
    <w:rsid w:val="00F74035"/>
    <w:rsid w:val="00F74097"/>
    <w:rsid w:val="00F740A6"/>
    <w:rsid w:val="00F740D0"/>
    <w:rsid w:val="00F7410C"/>
    <w:rsid w:val="00F7411E"/>
    <w:rsid w:val="00F74133"/>
    <w:rsid w:val="00F74198"/>
    <w:rsid w:val="00F74238"/>
    <w:rsid w:val="00F74239"/>
    <w:rsid w:val="00F74240"/>
    <w:rsid w:val="00F74267"/>
    <w:rsid w:val="00F74281"/>
    <w:rsid w:val="00F742ED"/>
    <w:rsid w:val="00F74306"/>
    <w:rsid w:val="00F7430D"/>
    <w:rsid w:val="00F7431B"/>
    <w:rsid w:val="00F74329"/>
    <w:rsid w:val="00F743A7"/>
    <w:rsid w:val="00F743B4"/>
    <w:rsid w:val="00F743FF"/>
    <w:rsid w:val="00F74474"/>
    <w:rsid w:val="00F744AF"/>
    <w:rsid w:val="00F744FC"/>
    <w:rsid w:val="00F74520"/>
    <w:rsid w:val="00F7458A"/>
    <w:rsid w:val="00F745B6"/>
    <w:rsid w:val="00F746B9"/>
    <w:rsid w:val="00F74722"/>
    <w:rsid w:val="00F7472F"/>
    <w:rsid w:val="00F74754"/>
    <w:rsid w:val="00F74757"/>
    <w:rsid w:val="00F747DE"/>
    <w:rsid w:val="00F74805"/>
    <w:rsid w:val="00F7481A"/>
    <w:rsid w:val="00F74822"/>
    <w:rsid w:val="00F7485A"/>
    <w:rsid w:val="00F7486A"/>
    <w:rsid w:val="00F748E6"/>
    <w:rsid w:val="00F74910"/>
    <w:rsid w:val="00F74941"/>
    <w:rsid w:val="00F74972"/>
    <w:rsid w:val="00F74982"/>
    <w:rsid w:val="00F749B9"/>
    <w:rsid w:val="00F749F1"/>
    <w:rsid w:val="00F749F7"/>
    <w:rsid w:val="00F74A0B"/>
    <w:rsid w:val="00F74A45"/>
    <w:rsid w:val="00F74A55"/>
    <w:rsid w:val="00F74B3F"/>
    <w:rsid w:val="00F74B52"/>
    <w:rsid w:val="00F74B58"/>
    <w:rsid w:val="00F74B7A"/>
    <w:rsid w:val="00F74BA6"/>
    <w:rsid w:val="00F74BFB"/>
    <w:rsid w:val="00F74C05"/>
    <w:rsid w:val="00F74C11"/>
    <w:rsid w:val="00F74C13"/>
    <w:rsid w:val="00F74C21"/>
    <w:rsid w:val="00F74C41"/>
    <w:rsid w:val="00F74C67"/>
    <w:rsid w:val="00F74CAC"/>
    <w:rsid w:val="00F74D83"/>
    <w:rsid w:val="00F74DB5"/>
    <w:rsid w:val="00F74DC0"/>
    <w:rsid w:val="00F74DE8"/>
    <w:rsid w:val="00F74DF5"/>
    <w:rsid w:val="00F74E62"/>
    <w:rsid w:val="00F74EC5"/>
    <w:rsid w:val="00F74F61"/>
    <w:rsid w:val="00F74F85"/>
    <w:rsid w:val="00F74F99"/>
    <w:rsid w:val="00F7502F"/>
    <w:rsid w:val="00F75037"/>
    <w:rsid w:val="00F7503A"/>
    <w:rsid w:val="00F75040"/>
    <w:rsid w:val="00F75044"/>
    <w:rsid w:val="00F75080"/>
    <w:rsid w:val="00F750AD"/>
    <w:rsid w:val="00F750C3"/>
    <w:rsid w:val="00F75180"/>
    <w:rsid w:val="00F751AC"/>
    <w:rsid w:val="00F751C4"/>
    <w:rsid w:val="00F751D8"/>
    <w:rsid w:val="00F751F8"/>
    <w:rsid w:val="00F75209"/>
    <w:rsid w:val="00F75229"/>
    <w:rsid w:val="00F7522B"/>
    <w:rsid w:val="00F7522D"/>
    <w:rsid w:val="00F75256"/>
    <w:rsid w:val="00F75283"/>
    <w:rsid w:val="00F7529A"/>
    <w:rsid w:val="00F752B7"/>
    <w:rsid w:val="00F752CE"/>
    <w:rsid w:val="00F752F6"/>
    <w:rsid w:val="00F75332"/>
    <w:rsid w:val="00F75333"/>
    <w:rsid w:val="00F753AE"/>
    <w:rsid w:val="00F753B1"/>
    <w:rsid w:val="00F753B4"/>
    <w:rsid w:val="00F753B6"/>
    <w:rsid w:val="00F7540E"/>
    <w:rsid w:val="00F75432"/>
    <w:rsid w:val="00F754A7"/>
    <w:rsid w:val="00F754AA"/>
    <w:rsid w:val="00F754BF"/>
    <w:rsid w:val="00F754C8"/>
    <w:rsid w:val="00F75524"/>
    <w:rsid w:val="00F75582"/>
    <w:rsid w:val="00F7563F"/>
    <w:rsid w:val="00F7564C"/>
    <w:rsid w:val="00F756B4"/>
    <w:rsid w:val="00F756C1"/>
    <w:rsid w:val="00F7570F"/>
    <w:rsid w:val="00F7572A"/>
    <w:rsid w:val="00F75756"/>
    <w:rsid w:val="00F7575A"/>
    <w:rsid w:val="00F75763"/>
    <w:rsid w:val="00F7577B"/>
    <w:rsid w:val="00F7578B"/>
    <w:rsid w:val="00F757CA"/>
    <w:rsid w:val="00F757EA"/>
    <w:rsid w:val="00F757FB"/>
    <w:rsid w:val="00F75846"/>
    <w:rsid w:val="00F7586B"/>
    <w:rsid w:val="00F758B8"/>
    <w:rsid w:val="00F758C2"/>
    <w:rsid w:val="00F75901"/>
    <w:rsid w:val="00F759C6"/>
    <w:rsid w:val="00F759FD"/>
    <w:rsid w:val="00F75A01"/>
    <w:rsid w:val="00F75A8C"/>
    <w:rsid w:val="00F75B09"/>
    <w:rsid w:val="00F75B0B"/>
    <w:rsid w:val="00F75B14"/>
    <w:rsid w:val="00F75B1A"/>
    <w:rsid w:val="00F75B51"/>
    <w:rsid w:val="00F75BBE"/>
    <w:rsid w:val="00F75BCC"/>
    <w:rsid w:val="00F75BE7"/>
    <w:rsid w:val="00F75BEF"/>
    <w:rsid w:val="00F75C5E"/>
    <w:rsid w:val="00F75C62"/>
    <w:rsid w:val="00F75CD7"/>
    <w:rsid w:val="00F75CEC"/>
    <w:rsid w:val="00F75D15"/>
    <w:rsid w:val="00F75D1C"/>
    <w:rsid w:val="00F75DAE"/>
    <w:rsid w:val="00F75DDA"/>
    <w:rsid w:val="00F75E94"/>
    <w:rsid w:val="00F75E9E"/>
    <w:rsid w:val="00F75EA7"/>
    <w:rsid w:val="00F75EAD"/>
    <w:rsid w:val="00F75EC3"/>
    <w:rsid w:val="00F75F2F"/>
    <w:rsid w:val="00F75F3D"/>
    <w:rsid w:val="00F75F4F"/>
    <w:rsid w:val="00F75F5B"/>
    <w:rsid w:val="00F75FF0"/>
    <w:rsid w:val="00F75FFB"/>
    <w:rsid w:val="00F7602A"/>
    <w:rsid w:val="00F7607E"/>
    <w:rsid w:val="00F76087"/>
    <w:rsid w:val="00F76089"/>
    <w:rsid w:val="00F7609E"/>
    <w:rsid w:val="00F760FE"/>
    <w:rsid w:val="00F76107"/>
    <w:rsid w:val="00F7610F"/>
    <w:rsid w:val="00F76179"/>
    <w:rsid w:val="00F76180"/>
    <w:rsid w:val="00F76195"/>
    <w:rsid w:val="00F76197"/>
    <w:rsid w:val="00F761F0"/>
    <w:rsid w:val="00F761F2"/>
    <w:rsid w:val="00F761FF"/>
    <w:rsid w:val="00F76228"/>
    <w:rsid w:val="00F76258"/>
    <w:rsid w:val="00F76287"/>
    <w:rsid w:val="00F7629B"/>
    <w:rsid w:val="00F762FD"/>
    <w:rsid w:val="00F76384"/>
    <w:rsid w:val="00F763B9"/>
    <w:rsid w:val="00F763DA"/>
    <w:rsid w:val="00F76437"/>
    <w:rsid w:val="00F764AD"/>
    <w:rsid w:val="00F764AF"/>
    <w:rsid w:val="00F764D9"/>
    <w:rsid w:val="00F7651B"/>
    <w:rsid w:val="00F7653A"/>
    <w:rsid w:val="00F76564"/>
    <w:rsid w:val="00F76569"/>
    <w:rsid w:val="00F7656B"/>
    <w:rsid w:val="00F76570"/>
    <w:rsid w:val="00F76595"/>
    <w:rsid w:val="00F765A3"/>
    <w:rsid w:val="00F765B2"/>
    <w:rsid w:val="00F765B4"/>
    <w:rsid w:val="00F765FE"/>
    <w:rsid w:val="00F76632"/>
    <w:rsid w:val="00F76636"/>
    <w:rsid w:val="00F76659"/>
    <w:rsid w:val="00F7667F"/>
    <w:rsid w:val="00F76683"/>
    <w:rsid w:val="00F76685"/>
    <w:rsid w:val="00F76720"/>
    <w:rsid w:val="00F7673D"/>
    <w:rsid w:val="00F767BE"/>
    <w:rsid w:val="00F767D8"/>
    <w:rsid w:val="00F767F0"/>
    <w:rsid w:val="00F76858"/>
    <w:rsid w:val="00F768AF"/>
    <w:rsid w:val="00F768D3"/>
    <w:rsid w:val="00F76906"/>
    <w:rsid w:val="00F7694F"/>
    <w:rsid w:val="00F76987"/>
    <w:rsid w:val="00F769BD"/>
    <w:rsid w:val="00F769C3"/>
    <w:rsid w:val="00F76A8A"/>
    <w:rsid w:val="00F76AE9"/>
    <w:rsid w:val="00F76AF8"/>
    <w:rsid w:val="00F76B06"/>
    <w:rsid w:val="00F76B11"/>
    <w:rsid w:val="00F76B38"/>
    <w:rsid w:val="00F76B5E"/>
    <w:rsid w:val="00F76B86"/>
    <w:rsid w:val="00F76BB4"/>
    <w:rsid w:val="00F76BC5"/>
    <w:rsid w:val="00F76BE0"/>
    <w:rsid w:val="00F76C3D"/>
    <w:rsid w:val="00F76C59"/>
    <w:rsid w:val="00F76CA5"/>
    <w:rsid w:val="00F76CB2"/>
    <w:rsid w:val="00F76CB4"/>
    <w:rsid w:val="00F76CD3"/>
    <w:rsid w:val="00F76CF6"/>
    <w:rsid w:val="00F76D38"/>
    <w:rsid w:val="00F76D9B"/>
    <w:rsid w:val="00F76DE3"/>
    <w:rsid w:val="00F76E41"/>
    <w:rsid w:val="00F76E6B"/>
    <w:rsid w:val="00F76E95"/>
    <w:rsid w:val="00F76EB7"/>
    <w:rsid w:val="00F76EED"/>
    <w:rsid w:val="00F76F0D"/>
    <w:rsid w:val="00F76F1A"/>
    <w:rsid w:val="00F76F24"/>
    <w:rsid w:val="00F76F38"/>
    <w:rsid w:val="00F76F46"/>
    <w:rsid w:val="00F76F7F"/>
    <w:rsid w:val="00F76FA6"/>
    <w:rsid w:val="00F76FCE"/>
    <w:rsid w:val="00F76FDA"/>
    <w:rsid w:val="00F7702D"/>
    <w:rsid w:val="00F77047"/>
    <w:rsid w:val="00F77049"/>
    <w:rsid w:val="00F77086"/>
    <w:rsid w:val="00F770AD"/>
    <w:rsid w:val="00F770D7"/>
    <w:rsid w:val="00F770E4"/>
    <w:rsid w:val="00F770EA"/>
    <w:rsid w:val="00F7711A"/>
    <w:rsid w:val="00F77135"/>
    <w:rsid w:val="00F771B3"/>
    <w:rsid w:val="00F771C5"/>
    <w:rsid w:val="00F771F5"/>
    <w:rsid w:val="00F77236"/>
    <w:rsid w:val="00F77354"/>
    <w:rsid w:val="00F77360"/>
    <w:rsid w:val="00F77377"/>
    <w:rsid w:val="00F773F6"/>
    <w:rsid w:val="00F77403"/>
    <w:rsid w:val="00F7746F"/>
    <w:rsid w:val="00F7748A"/>
    <w:rsid w:val="00F774BC"/>
    <w:rsid w:val="00F77511"/>
    <w:rsid w:val="00F7753E"/>
    <w:rsid w:val="00F775BA"/>
    <w:rsid w:val="00F775BF"/>
    <w:rsid w:val="00F77657"/>
    <w:rsid w:val="00F7773A"/>
    <w:rsid w:val="00F777D3"/>
    <w:rsid w:val="00F777D7"/>
    <w:rsid w:val="00F77812"/>
    <w:rsid w:val="00F77844"/>
    <w:rsid w:val="00F7785C"/>
    <w:rsid w:val="00F778B9"/>
    <w:rsid w:val="00F778F7"/>
    <w:rsid w:val="00F7791F"/>
    <w:rsid w:val="00F7795C"/>
    <w:rsid w:val="00F779B3"/>
    <w:rsid w:val="00F779D5"/>
    <w:rsid w:val="00F779ED"/>
    <w:rsid w:val="00F779F5"/>
    <w:rsid w:val="00F77A25"/>
    <w:rsid w:val="00F77A58"/>
    <w:rsid w:val="00F77A83"/>
    <w:rsid w:val="00F77AA4"/>
    <w:rsid w:val="00F77AD9"/>
    <w:rsid w:val="00F77AF0"/>
    <w:rsid w:val="00F77B17"/>
    <w:rsid w:val="00F77BBE"/>
    <w:rsid w:val="00F77C22"/>
    <w:rsid w:val="00F77C47"/>
    <w:rsid w:val="00F77C5C"/>
    <w:rsid w:val="00F77C66"/>
    <w:rsid w:val="00F77C9B"/>
    <w:rsid w:val="00F77CD6"/>
    <w:rsid w:val="00F77CDF"/>
    <w:rsid w:val="00F77D21"/>
    <w:rsid w:val="00F77DC4"/>
    <w:rsid w:val="00F77DC7"/>
    <w:rsid w:val="00F77E82"/>
    <w:rsid w:val="00F77ECA"/>
    <w:rsid w:val="00F77EF7"/>
    <w:rsid w:val="00F77F29"/>
    <w:rsid w:val="00F77F8D"/>
    <w:rsid w:val="00F77FE2"/>
    <w:rsid w:val="00F80095"/>
    <w:rsid w:val="00F80097"/>
    <w:rsid w:val="00F800B5"/>
    <w:rsid w:val="00F800E6"/>
    <w:rsid w:val="00F800E9"/>
    <w:rsid w:val="00F800F1"/>
    <w:rsid w:val="00F800F5"/>
    <w:rsid w:val="00F800FC"/>
    <w:rsid w:val="00F80132"/>
    <w:rsid w:val="00F8014E"/>
    <w:rsid w:val="00F8016E"/>
    <w:rsid w:val="00F80192"/>
    <w:rsid w:val="00F8019A"/>
    <w:rsid w:val="00F801C6"/>
    <w:rsid w:val="00F801FF"/>
    <w:rsid w:val="00F8020F"/>
    <w:rsid w:val="00F80225"/>
    <w:rsid w:val="00F802C8"/>
    <w:rsid w:val="00F802DB"/>
    <w:rsid w:val="00F802E4"/>
    <w:rsid w:val="00F80311"/>
    <w:rsid w:val="00F8033B"/>
    <w:rsid w:val="00F803B5"/>
    <w:rsid w:val="00F803E2"/>
    <w:rsid w:val="00F803FE"/>
    <w:rsid w:val="00F8043D"/>
    <w:rsid w:val="00F80492"/>
    <w:rsid w:val="00F804CB"/>
    <w:rsid w:val="00F80500"/>
    <w:rsid w:val="00F80531"/>
    <w:rsid w:val="00F80546"/>
    <w:rsid w:val="00F805EC"/>
    <w:rsid w:val="00F80610"/>
    <w:rsid w:val="00F80664"/>
    <w:rsid w:val="00F80681"/>
    <w:rsid w:val="00F8074D"/>
    <w:rsid w:val="00F8075C"/>
    <w:rsid w:val="00F80813"/>
    <w:rsid w:val="00F80857"/>
    <w:rsid w:val="00F8087E"/>
    <w:rsid w:val="00F8089B"/>
    <w:rsid w:val="00F808BA"/>
    <w:rsid w:val="00F808E8"/>
    <w:rsid w:val="00F80906"/>
    <w:rsid w:val="00F8090B"/>
    <w:rsid w:val="00F80918"/>
    <w:rsid w:val="00F80922"/>
    <w:rsid w:val="00F8092F"/>
    <w:rsid w:val="00F809AA"/>
    <w:rsid w:val="00F809B4"/>
    <w:rsid w:val="00F809CB"/>
    <w:rsid w:val="00F809E3"/>
    <w:rsid w:val="00F80A33"/>
    <w:rsid w:val="00F80A48"/>
    <w:rsid w:val="00F80A54"/>
    <w:rsid w:val="00F80AD2"/>
    <w:rsid w:val="00F80B24"/>
    <w:rsid w:val="00F80B60"/>
    <w:rsid w:val="00F80B63"/>
    <w:rsid w:val="00F80B6E"/>
    <w:rsid w:val="00F80B7C"/>
    <w:rsid w:val="00F80BCB"/>
    <w:rsid w:val="00F80C01"/>
    <w:rsid w:val="00F80C4E"/>
    <w:rsid w:val="00F80C74"/>
    <w:rsid w:val="00F80CB0"/>
    <w:rsid w:val="00F80CF0"/>
    <w:rsid w:val="00F80D08"/>
    <w:rsid w:val="00F80D42"/>
    <w:rsid w:val="00F80D58"/>
    <w:rsid w:val="00F80D68"/>
    <w:rsid w:val="00F80D91"/>
    <w:rsid w:val="00F80DA2"/>
    <w:rsid w:val="00F80DC5"/>
    <w:rsid w:val="00F80E45"/>
    <w:rsid w:val="00F80EAE"/>
    <w:rsid w:val="00F80EEE"/>
    <w:rsid w:val="00F80F08"/>
    <w:rsid w:val="00F80F4C"/>
    <w:rsid w:val="00F80F8F"/>
    <w:rsid w:val="00F80FA4"/>
    <w:rsid w:val="00F81042"/>
    <w:rsid w:val="00F8104A"/>
    <w:rsid w:val="00F810B8"/>
    <w:rsid w:val="00F810D3"/>
    <w:rsid w:val="00F81104"/>
    <w:rsid w:val="00F81118"/>
    <w:rsid w:val="00F8115C"/>
    <w:rsid w:val="00F81188"/>
    <w:rsid w:val="00F811F8"/>
    <w:rsid w:val="00F81206"/>
    <w:rsid w:val="00F81215"/>
    <w:rsid w:val="00F8126C"/>
    <w:rsid w:val="00F8129A"/>
    <w:rsid w:val="00F812C4"/>
    <w:rsid w:val="00F812FB"/>
    <w:rsid w:val="00F812FC"/>
    <w:rsid w:val="00F8133D"/>
    <w:rsid w:val="00F81391"/>
    <w:rsid w:val="00F813A5"/>
    <w:rsid w:val="00F813C9"/>
    <w:rsid w:val="00F8142F"/>
    <w:rsid w:val="00F81480"/>
    <w:rsid w:val="00F81488"/>
    <w:rsid w:val="00F8149A"/>
    <w:rsid w:val="00F814B5"/>
    <w:rsid w:val="00F81504"/>
    <w:rsid w:val="00F81524"/>
    <w:rsid w:val="00F81560"/>
    <w:rsid w:val="00F8156B"/>
    <w:rsid w:val="00F81572"/>
    <w:rsid w:val="00F8157B"/>
    <w:rsid w:val="00F81622"/>
    <w:rsid w:val="00F81646"/>
    <w:rsid w:val="00F81669"/>
    <w:rsid w:val="00F81694"/>
    <w:rsid w:val="00F81750"/>
    <w:rsid w:val="00F817F6"/>
    <w:rsid w:val="00F81855"/>
    <w:rsid w:val="00F81874"/>
    <w:rsid w:val="00F8187E"/>
    <w:rsid w:val="00F818EB"/>
    <w:rsid w:val="00F81934"/>
    <w:rsid w:val="00F8193A"/>
    <w:rsid w:val="00F8193F"/>
    <w:rsid w:val="00F81972"/>
    <w:rsid w:val="00F81A19"/>
    <w:rsid w:val="00F81A31"/>
    <w:rsid w:val="00F81A66"/>
    <w:rsid w:val="00F81ABD"/>
    <w:rsid w:val="00F81AE3"/>
    <w:rsid w:val="00F81B0E"/>
    <w:rsid w:val="00F81BD7"/>
    <w:rsid w:val="00F81C3E"/>
    <w:rsid w:val="00F81C50"/>
    <w:rsid w:val="00F81C5C"/>
    <w:rsid w:val="00F81C64"/>
    <w:rsid w:val="00F81C84"/>
    <w:rsid w:val="00F81C8F"/>
    <w:rsid w:val="00F81D3E"/>
    <w:rsid w:val="00F81D43"/>
    <w:rsid w:val="00F81DB1"/>
    <w:rsid w:val="00F81E1E"/>
    <w:rsid w:val="00F81E2A"/>
    <w:rsid w:val="00F81E2C"/>
    <w:rsid w:val="00F81E49"/>
    <w:rsid w:val="00F81E64"/>
    <w:rsid w:val="00F81E8F"/>
    <w:rsid w:val="00F81EC6"/>
    <w:rsid w:val="00F81F4E"/>
    <w:rsid w:val="00F81F66"/>
    <w:rsid w:val="00F81F6C"/>
    <w:rsid w:val="00F81F72"/>
    <w:rsid w:val="00F81F8A"/>
    <w:rsid w:val="00F81FEB"/>
    <w:rsid w:val="00F82032"/>
    <w:rsid w:val="00F82045"/>
    <w:rsid w:val="00F8206F"/>
    <w:rsid w:val="00F8209E"/>
    <w:rsid w:val="00F820DB"/>
    <w:rsid w:val="00F820DF"/>
    <w:rsid w:val="00F821AD"/>
    <w:rsid w:val="00F821AE"/>
    <w:rsid w:val="00F821B2"/>
    <w:rsid w:val="00F821FC"/>
    <w:rsid w:val="00F82295"/>
    <w:rsid w:val="00F82297"/>
    <w:rsid w:val="00F822CD"/>
    <w:rsid w:val="00F822DC"/>
    <w:rsid w:val="00F822F8"/>
    <w:rsid w:val="00F82319"/>
    <w:rsid w:val="00F82327"/>
    <w:rsid w:val="00F82336"/>
    <w:rsid w:val="00F82343"/>
    <w:rsid w:val="00F8234A"/>
    <w:rsid w:val="00F82356"/>
    <w:rsid w:val="00F82394"/>
    <w:rsid w:val="00F823B9"/>
    <w:rsid w:val="00F823D4"/>
    <w:rsid w:val="00F82401"/>
    <w:rsid w:val="00F82409"/>
    <w:rsid w:val="00F82433"/>
    <w:rsid w:val="00F82498"/>
    <w:rsid w:val="00F824BB"/>
    <w:rsid w:val="00F824D4"/>
    <w:rsid w:val="00F824F7"/>
    <w:rsid w:val="00F82528"/>
    <w:rsid w:val="00F825AB"/>
    <w:rsid w:val="00F825E2"/>
    <w:rsid w:val="00F8263A"/>
    <w:rsid w:val="00F82689"/>
    <w:rsid w:val="00F82691"/>
    <w:rsid w:val="00F826D1"/>
    <w:rsid w:val="00F82763"/>
    <w:rsid w:val="00F82766"/>
    <w:rsid w:val="00F82786"/>
    <w:rsid w:val="00F82870"/>
    <w:rsid w:val="00F8288C"/>
    <w:rsid w:val="00F8291A"/>
    <w:rsid w:val="00F82980"/>
    <w:rsid w:val="00F829AF"/>
    <w:rsid w:val="00F829C1"/>
    <w:rsid w:val="00F829D1"/>
    <w:rsid w:val="00F82A1C"/>
    <w:rsid w:val="00F82B38"/>
    <w:rsid w:val="00F82B55"/>
    <w:rsid w:val="00F82BD7"/>
    <w:rsid w:val="00F82C29"/>
    <w:rsid w:val="00F82C44"/>
    <w:rsid w:val="00F82C98"/>
    <w:rsid w:val="00F82CA0"/>
    <w:rsid w:val="00F82CDE"/>
    <w:rsid w:val="00F82CF2"/>
    <w:rsid w:val="00F82D21"/>
    <w:rsid w:val="00F82D2A"/>
    <w:rsid w:val="00F82D73"/>
    <w:rsid w:val="00F82DDC"/>
    <w:rsid w:val="00F82DE2"/>
    <w:rsid w:val="00F82E25"/>
    <w:rsid w:val="00F82E32"/>
    <w:rsid w:val="00F82EA9"/>
    <w:rsid w:val="00F82EC2"/>
    <w:rsid w:val="00F82ECF"/>
    <w:rsid w:val="00F82F04"/>
    <w:rsid w:val="00F82F1F"/>
    <w:rsid w:val="00F82F37"/>
    <w:rsid w:val="00F82F5C"/>
    <w:rsid w:val="00F82F63"/>
    <w:rsid w:val="00F82FDE"/>
    <w:rsid w:val="00F82FF8"/>
    <w:rsid w:val="00F83016"/>
    <w:rsid w:val="00F8302E"/>
    <w:rsid w:val="00F83030"/>
    <w:rsid w:val="00F83045"/>
    <w:rsid w:val="00F8309E"/>
    <w:rsid w:val="00F830FB"/>
    <w:rsid w:val="00F83129"/>
    <w:rsid w:val="00F83138"/>
    <w:rsid w:val="00F8315E"/>
    <w:rsid w:val="00F831BF"/>
    <w:rsid w:val="00F83225"/>
    <w:rsid w:val="00F8328A"/>
    <w:rsid w:val="00F832DF"/>
    <w:rsid w:val="00F83320"/>
    <w:rsid w:val="00F83326"/>
    <w:rsid w:val="00F8332E"/>
    <w:rsid w:val="00F83396"/>
    <w:rsid w:val="00F8339D"/>
    <w:rsid w:val="00F833A5"/>
    <w:rsid w:val="00F833EB"/>
    <w:rsid w:val="00F83400"/>
    <w:rsid w:val="00F83428"/>
    <w:rsid w:val="00F83452"/>
    <w:rsid w:val="00F8346E"/>
    <w:rsid w:val="00F834EE"/>
    <w:rsid w:val="00F83532"/>
    <w:rsid w:val="00F8357B"/>
    <w:rsid w:val="00F83580"/>
    <w:rsid w:val="00F835B6"/>
    <w:rsid w:val="00F83640"/>
    <w:rsid w:val="00F8364D"/>
    <w:rsid w:val="00F836CA"/>
    <w:rsid w:val="00F836D8"/>
    <w:rsid w:val="00F836E4"/>
    <w:rsid w:val="00F836EC"/>
    <w:rsid w:val="00F836F9"/>
    <w:rsid w:val="00F8370B"/>
    <w:rsid w:val="00F83741"/>
    <w:rsid w:val="00F837B1"/>
    <w:rsid w:val="00F837BA"/>
    <w:rsid w:val="00F837C1"/>
    <w:rsid w:val="00F837EE"/>
    <w:rsid w:val="00F837F7"/>
    <w:rsid w:val="00F8385A"/>
    <w:rsid w:val="00F838C6"/>
    <w:rsid w:val="00F838F0"/>
    <w:rsid w:val="00F838FC"/>
    <w:rsid w:val="00F839B8"/>
    <w:rsid w:val="00F839C6"/>
    <w:rsid w:val="00F839D0"/>
    <w:rsid w:val="00F839D9"/>
    <w:rsid w:val="00F839DE"/>
    <w:rsid w:val="00F83A19"/>
    <w:rsid w:val="00F83A1C"/>
    <w:rsid w:val="00F83A67"/>
    <w:rsid w:val="00F83A79"/>
    <w:rsid w:val="00F83A81"/>
    <w:rsid w:val="00F83AE4"/>
    <w:rsid w:val="00F83B07"/>
    <w:rsid w:val="00F83B97"/>
    <w:rsid w:val="00F83CBA"/>
    <w:rsid w:val="00F83CF1"/>
    <w:rsid w:val="00F83D33"/>
    <w:rsid w:val="00F83D93"/>
    <w:rsid w:val="00F83D9B"/>
    <w:rsid w:val="00F83E03"/>
    <w:rsid w:val="00F83E66"/>
    <w:rsid w:val="00F83EAD"/>
    <w:rsid w:val="00F83ED1"/>
    <w:rsid w:val="00F83FCF"/>
    <w:rsid w:val="00F83FD5"/>
    <w:rsid w:val="00F83FEA"/>
    <w:rsid w:val="00F8400A"/>
    <w:rsid w:val="00F84065"/>
    <w:rsid w:val="00F84081"/>
    <w:rsid w:val="00F84092"/>
    <w:rsid w:val="00F840A9"/>
    <w:rsid w:val="00F840E3"/>
    <w:rsid w:val="00F840F1"/>
    <w:rsid w:val="00F840FE"/>
    <w:rsid w:val="00F84166"/>
    <w:rsid w:val="00F841DA"/>
    <w:rsid w:val="00F84231"/>
    <w:rsid w:val="00F8423A"/>
    <w:rsid w:val="00F8424E"/>
    <w:rsid w:val="00F84268"/>
    <w:rsid w:val="00F84270"/>
    <w:rsid w:val="00F842C4"/>
    <w:rsid w:val="00F842D5"/>
    <w:rsid w:val="00F842E0"/>
    <w:rsid w:val="00F842E3"/>
    <w:rsid w:val="00F842F2"/>
    <w:rsid w:val="00F84322"/>
    <w:rsid w:val="00F8434F"/>
    <w:rsid w:val="00F84377"/>
    <w:rsid w:val="00F843EE"/>
    <w:rsid w:val="00F8442C"/>
    <w:rsid w:val="00F844D9"/>
    <w:rsid w:val="00F844DB"/>
    <w:rsid w:val="00F84574"/>
    <w:rsid w:val="00F8457E"/>
    <w:rsid w:val="00F8458F"/>
    <w:rsid w:val="00F8461A"/>
    <w:rsid w:val="00F8461F"/>
    <w:rsid w:val="00F8467F"/>
    <w:rsid w:val="00F846D6"/>
    <w:rsid w:val="00F846DF"/>
    <w:rsid w:val="00F84839"/>
    <w:rsid w:val="00F849B4"/>
    <w:rsid w:val="00F849DE"/>
    <w:rsid w:val="00F84A2F"/>
    <w:rsid w:val="00F84A3F"/>
    <w:rsid w:val="00F84A54"/>
    <w:rsid w:val="00F84A7A"/>
    <w:rsid w:val="00F84A95"/>
    <w:rsid w:val="00F84A99"/>
    <w:rsid w:val="00F84AB3"/>
    <w:rsid w:val="00F84AE2"/>
    <w:rsid w:val="00F84B69"/>
    <w:rsid w:val="00F84B6D"/>
    <w:rsid w:val="00F84BBC"/>
    <w:rsid w:val="00F84C18"/>
    <w:rsid w:val="00F84C1E"/>
    <w:rsid w:val="00F84C30"/>
    <w:rsid w:val="00F84C45"/>
    <w:rsid w:val="00F84C7F"/>
    <w:rsid w:val="00F84CCE"/>
    <w:rsid w:val="00F84CD9"/>
    <w:rsid w:val="00F84CDB"/>
    <w:rsid w:val="00F84D53"/>
    <w:rsid w:val="00F84D5E"/>
    <w:rsid w:val="00F84D9B"/>
    <w:rsid w:val="00F84DB5"/>
    <w:rsid w:val="00F84DC0"/>
    <w:rsid w:val="00F84DE3"/>
    <w:rsid w:val="00F84E5E"/>
    <w:rsid w:val="00F84EC2"/>
    <w:rsid w:val="00F84EC9"/>
    <w:rsid w:val="00F84EFB"/>
    <w:rsid w:val="00F84FA2"/>
    <w:rsid w:val="00F84FAB"/>
    <w:rsid w:val="00F85033"/>
    <w:rsid w:val="00F85059"/>
    <w:rsid w:val="00F85066"/>
    <w:rsid w:val="00F85087"/>
    <w:rsid w:val="00F8509D"/>
    <w:rsid w:val="00F8509E"/>
    <w:rsid w:val="00F850A7"/>
    <w:rsid w:val="00F850CC"/>
    <w:rsid w:val="00F850E9"/>
    <w:rsid w:val="00F8510D"/>
    <w:rsid w:val="00F85138"/>
    <w:rsid w:val="00F85171"/>
    <w:rsid w:val="00F8517A"/>
    <w:rsid w:val="00F851A5"/>
    <w:rsid w:val="00F851B5"/>
    <w:rsid w:val="00F851E4"/>
    <w:rsid w:val="00F851FE"/>
    <w:rsid w:val="00F852D4"/>
    <w:rsid w:val="00F85319"/>
    <w:rsid w:val="00F85398"/>
    <w:rsid w:val="00F853D5"/>
    <w:rsid w:val="00F853DD"/>
    <w:rsid w:val="00F85436"/>
    <w:rsid w:val="00F85466"/>
    <w:rsid w:val="00F85468"/>
    <w:rsid w:val="00F8546E"/>
    <w:rsid w:val="00F85490"/>
    <w:rsid w:val="00F8549C"/>
    <w:rsid w:val="00F854D8"/>
    <w:rsid w:val="00F854EA"/>
    <w:rsid w:val="00F8554E"/>
    <w:rsid w:val="00F85575"/>
    <w:rsid w:val="00F8558D"/>
    <w:rsid w:val="00F8559D"/>
    <w:rsid w:val="00F855DE"/>
    <w:rsid w:val="00F855F1"/>
    <w:rsid w:val="00F855FE"/>
    <w:rsid w:val="00F85712"/>
    <w:rsid w:val="00F85723"/>
    <w:rsid w:val="00F85753"/>
    <w:rsid w:val="00F8576A"/>
    <w:rsid w:val="00F85789"/>
    <w:rsid w:val="00F8579A"/>
    <w:rsid w:val="00F85838"/>
    <w:rsid w:val="00F858AE"/>
    <w:rsid w:val="00F85906"/>
    <w:rsid w:val="00F85915"/>
    <w:rsid w:val="00F8591C"/>
    <w:rsid w:val="00F8594A"/>
    <w:rsid w:val="00F859A4"/>
    <w:rsid w:val="00F85A0A"/>
    <w:rsid w:val="00F85A36"/>
    <w:rsid w:val="00F85A46"/>
    <w:rsid w:val="00F85A57"/>
    <w:rsid w:val="00F85A5B"/>
    <w:rsid w:val="00F85A7B"/>
    <w:rsid w:val="00F85B22"/>
    <w:rsid w:val="00F85BA8"/>
    <w:rsid w:val="00F85BD7"/>
    <w:rsid w:val="00F85BE5"/>
    <w:rsid w:val="00F85C30"/>
    <w:rsid w:val="00F85C6B"/>
    <w:rsid w:val="00F85C6F"/>
    <w:rsid w:val="00F85C78"/>
    <w:rsid w:val="00F85CB9"/>
    <w:rsid w:val="00F85CD7"/>
    <w:rsid w:val="00F85CFD"/>
    <w:rsid w:val="00F85D31"/>
    <w:rsid w:val="00F85D87"/>
    <w:rsid w:val="00F85DB6"/>
    <w:rsid w:val="00F85DEF"/>
    <w:rsid w:val="00F85E13"/>
    <w:rsid w:val="00F85E2A"/>
    <w:rsid w:val="00F85E47"/>
    <w:rsid w:val="00F85E82"/>
    <w:rsid w:val="00F85EE1"/>
    <w:rsid w:val="00F85F55"/>
    <w:rsid w:val="00F85F5F"/>
    <w:rsid w:val="00F85F86"/>
    <w:rsid w:val="00F85F8C"/>
    <w:rsid w:val="00F85F8E"/>
    <w:rsid w:val="00F85F92"/>
    <w:rsid w:val="00F85FA4"/>
    <w:rsid w:val="00F85FAF"/>
    <w:rsid w:val="00F85FD9"/>
    <w:rsid w:val="00F85FEB"/>
    <w:rsid w:val="00F85FF4"/>
    <w:rsid w:val="00F86007"/>
    <w:rsid w:val="00F8601D"/>
    <w:rsid w:val="00F86044"/>
    <w:rsid w:val="00F8604C"/>
    <w:rsid w:val="00F860AE"/>
    <w:rsid w:val="00F860BB"/>
    <w:rsid w:val="00F860EF"/>
    <w:rsid w:val="00F860FE"/>
    <w:rsid w:val="00F86117"/>
    <w:rsid w:val="00F8611C"/>
    <w:rsid w:val="00F86128"/>
    <w:rsid w:val="00F86131"/>
    <w:rsid w:val="00F86134"/>
    <w:rsid w:val="00F86137"/>
    <w:rsid w:val="00F86151"/>
    <w:rsid w:val="00F86174"/>
    <w:rsid w:val="00F861AB"/>
    <w:rsid w:val="00F861E0"/>
    <w:rsid w:val="00F86211"/>
    <w:rsid w:val="00F862B3"/>
    <w:rsid w:val="00F862CB"/>
    <w:rsid w:val="00F8630F"/>
    <w:rsid w:val="00F86373"/>
    <w:rsid w:val="00F863DF"/>
    <w:rsid w:val="00F86402"/>
    <w:rsid w:val="00F86431"/>
    <w:rsid w:val="00F8643E"/>
    <w:rsid w:val="00F864A8"/>
    <w:rsid w:val="00F864BA"/>
    <w:rsid w:val="00F86513"/>
    <w:rsid w:val="00F86550"/>
    <w:rsid w:val="00F8655A"/>
    <w:rsid w:val="00F86581"/>
    <w:rsid w:val="00F86583"/>
    <w:rsid w:val="00F8658F"/>
    <w:rsid w:val="00F865E1"/>
    <w:rsid w:val="00F8661C"/>
    <w:rsid w:val="00F86625"/>
    <w:rsid w:val="00F8666B"/>
    <w:rsid w:val="00F86691"/>
    <w:rsid w:val="00F866FB"/>
    <w:rsid w:val="00F8676D"/>
    <w:rsid w:val="00F867B5"/>
    <w:rsid w:val="00F867C7"/>
    <w:rsid w:val="00F8680A"/>
    <w:rsid w:val="00F8680E"/>
    <w:rsid w:val="00F8686C"/>
    <w:rsid w:val="00F86871"/>
    <w:rsid w:val="00F86877"/>
    <w:rsid w:val="00F8687D"/>
    <w:rsid w:val="00F86889"/>
    <w:rsid w:val="00F868D9"/>
    <w:rsid w:val="00F868DB"/>
    <w:rsid w:val="00F86907"/>
    <w:rsid w:val="00F86928"/>
    <w:rsid w:val="00F86987"/>
    <w:rsid w:val="00F869EC"/>
    <w:rsid w:val="00F86A69"/>
    <w:rsid w:val="00F86A7E"/>
    <w:rsid w:val="00F86AB0"/>
    <w:rsid w:val="00F86AE3"/>
    <w:rsid w:val="00F86AEA"/>
    <w:rsid w:val="00F86B35"/>
    <w:rsid w:val="00F86B74"/>
    <w:rsid w:val="00F86BC0"/>
    <w:rsid w:val="00F86C15"/>
    <w:rsid w:val="00F86C5D"/>
    <w:rsid w:val="00F86CB8"/>
    <w:rsid w:val="00F86CD9"/>
    <w:rsid w:val="00F86CDC"/>
    <w:rsid w:val="00F86CF8"/>
    <w:rsid w:val="00F86D45"/>
    <w:rsid w:val="00F86D68"/>
    <w:rsid w:val="00F86E6A"/>
    <w:rsid w:val="00F86EDD"/>
    <w:rsid w:val="00F86EF6"/>
    <w:rsid w:val="00F86F37"/>
    <w:rsid w:val="00F86F57"/>
    <w:rsid w:val="00F86F9F"/>
    <w:rsid w:val="00F86FA6"/>
    <w:rsid w:val="00F86FB0"/>
    <w:rsid w:val="00F86FE0"/>
    <w:rsid w:val="00F86FFC"/>
    <w:rsid w:val="00F87010"/>
    <w:rsid w:val="00F87071"/>
    <w:rsid w:val="00F870BF"/>
    <w:rsid w:val="00F87137"/>
    <w:rsid w:val="00F8715E"/>
    <w:rsid w:val="00F87164"/>
    <w:rsid w:val="00F87166"/>
    <w:rsid w:val="00F8718C"/>
    <w:rsid w:val="00F871C3"/>
    <w:rsid w:val="00F87273"/>
    <w:rsid w:val="00F8729B"/>
    <w:rsid w:val="00F8732B"/>
    <w:rsid w:val="00F87355"/>
    <w:rsid w:val="00F8735E"/>
    <w:rsid w:val="00F87363"/>
    <w:rsid w:val="00F873D4"/>
    <w:rsid w:val="00F87423"/>
    <w:rsid w:val="00F8748D"/>
    <w:rsid w:val="00F87589"/>
    <w:rsid w:val="00F875A6"/>
    <w:rsid w:val="00F875BE"/>
    <w:rsid w:val="00F875CA"/>
    <w:rsid w:val="00F8761A"/>
    <w:rsid w:val="00F87646"/>
    <w:rsid w:val="00F8767A"/>
    <w:rsid w:val="00F876DA"/>
    <w:rsid w:val="00F876FD"/>
    <w:rsid w:val="00F8771B"/>
    <w:rsid w:val="00F87734"/>
    <w:rsid w:val="00F87761"/>
    <w:rsid w:val="00F877DC"/>
    <w:rsid w:val="00F8781A"/>
    <w:rsid w:val="00F87870"/>
    <w:rsid w:val="00F87880"/>
    <w:rsid w:val="00F8798C"/>
    <w:rsid w:val="00F879C7"/>
    <w:rsid w:val="00F879CF"/>
    <w:rsid w:val="00F87A44"/>
    <w:rsid w:val="00F87AE5"/>
    <w:rsid w:val="00F87B3B"/>
    <w:rsid w:val="00F87BD4"/>
    <w:rsid w:val="00F87BFB"/>
    <w:rsid w:val="00F87C11"/>
    <w:rsid w:val="00F87C75"/>
    <w:rsid w:val="00F87CE7"/>
    <w:rsid w:val="00F87CE9"/>
    <w:rsid w:val="00F87CED"/>
    <w:rsid w:val="00F87D04"/>
    <w:rsid w:val="00F87D0E"/>
    <w:rsid w:val="00F87D19"/>
    <w:rsid w:val="00F87D1B"/>
    <w:rsid w:val="00F87D33"/>
    <w:rsid w:val="00F87D5D"/>
    <w:rsid w:val="00F87D83"/>
    <w:rsid w:val="00F87DBA"/>
    <w:rsid w:val="00F87DCD"/>
    <w:rsid w:val="00F87DEA"/>
    <w:rsid w:val="00F87E73"/>
    <w:rsid w:val="00F87ECF"/>
    <w:rsid w:val="00F87EFE"/>
    <w:rsid w:val="00F87F04"/>
    <w:rsid w:val="00F87F2C"/>
    <w:rsid w:val="00F87F6B"/>
    <w:rsid w:val="00F87F79"/>
    <w:rsid w:val="00F87FAD"/>
    <w:rsid w:val="00F87FDE"/>
    <w:rsid w:val="00F87FE2"/>
    <w:rsid w:val="00F87FE9"/>
    <w:rsid w:val="00F90014"/>
    <w:rsid w:val="00F90020"/>
    <w:rsid w:val="00F9004E"/>
    <w:rsid w:val="00F90079"/>
    <w:rsid w:val="00F900CB"/>
    <w:rsid w:val="00F900F7"/>
    <w:rsid w:val="00F90171"/>
    <w:rsid w:val="00F9017B"/>
    <w:rsid w:val="00F901BF"/>
    <w:rsid w:val="00F901CE"/>
    <w:rsid w:val="00F9022E"/>
    <w:rsid w:val="00F9025B"/>
    <w:rsid w:val="00F90284"/>
    <w:rsid w:val="00F902A4"/>
    <w:rsid w:val="00F90428"/>
    <w:rsid w:val="00F9043D"/>
    <w:rsid w:val="00F90455"/>
    <w:rsid w:val="00F9049B"/>
    <w:rsid w:val="00F904B2"/>
    <w:rsid w:val="00F904D5"/>
    <w:rsid w:val="00F904F6"/>
    <w:rsid w:val="00F904FB"/>
    <w:rsid w:val="00F90506"/>
    <w:rsid w:val="00F9051A"/>
    <w:rsid w:val="00F90528"/>
    <w:rsid w:val="00F90548"/>
    <w:rsid w:val="00F90559"/>
    <w:rsid w:val="00F9055F"/>
    <w:rsid w:val="00F9057C"/>
    <w:rsid w:val="00F9057D"/>
    <w:rsid w:val="00F90591"/>
    <w:rsid w:val="00F905A0"/>
    <w:rsid w:val="00F905E1"/>
    <w:rsid w:val="00F906EE"/>
    <w:rsid w:val="00F90764"/>
    <w:rsid w:val="00F90765"/>
    <w:rsid w:val="00F9076F"/>
    <w:rsid w:val="00F9077D"/>
    <w:rsid w:val="00F907A6"/>
    <w:rsid w:val="00F907DC"/>
    <w:rsid w:val="00F907F9"/>
    <w:rsid w:val="00F90823"/>
    <w:rsid w:val="00F9085B"/>
    <w:rsid w:val="00F908B4"/>
    <w:rsid w:val="00F908B5"/>
    <w:rsid w:val="00F908FB"/>
    <w:rsid w:val="00F9095E"/>
    <w:rsid w:val="00F9097F"/>
    <w:rsid w:val="00F90986"/>
    <w:rsid w:val="00F9099F"/>
    <w:rsid w:val="00F909F0"/>
    <w:rsid w:val="00F90A02"/>
    <w:rsid w:val="00F90AA3"/>
    <w:rsid w:val="00F90B39"/>
    <w:rsid w:val="00F90B41"/>
    <w:rsid w:val="00F90B64"/>
    <w:rsid w:val="00F90BB6"/>
    <w:rsid w:val="00F90BC4"/>
    <w:rsid w:val="00F90BFB"/>
    <w:rsid w:val="00F90C67"/>
    <w:rsid w:val="00F90C6A"/>
    <w:rsid w:val="00F90CBB"/>
    <w:rsid w:val="00F90D1A"/>
    <w:rsid w:val="00F90D49"/>
    <w:rsid w:val="00F90D6D"/>
    <w:rsid w:val="00F90DA7"/>
    <w:rsid w:val="00F90E1D"/>
    <w:rsid w:val="00F90E21"/>
    <w:rsid w:val="00F90E4B"/>
    <w:rsid w:val="00F90E71"/>
    <w:rsid w:val="00F90E80"/>
    <w:rsid w:val="00F90EBC"/>
    <w:rsid w:val="00F90EDA"/>
    <w:rsid w:val="00F90F36"/>
    <w:rsid w:val="00F90FB4"/>
    <w:rsid w:val="00F91009"/>
    <w:rsid w:val="00F91025"/>
    <w:rsid w:val="00F91048"/>
    <w:rsid w:val="00F910A8"/>
    <w:rsid w:val="00F91104"/>
    <w:rsid w:val="00F9112A"/>
    <w:rsid w:val="00F9112C"/>
    <w:rsid w:val="00F91171"/>
    <w:rsid w:val="00F911BD"/>
    <w:rsid w:val="00F911FF"/>
    <w:rsid w:val="00F91211"/>
    <w:rsid w:val="00F9123B"/>
    <w:rsid w:val="00F9128F"/>
    <w:rsid w:val="00F91292"/>
    <w:rsid w:val="00F912A1"/>
    <w:rsid w:val="00F912BC"/>
    <w:rsid w:val="00F91362"/>
    <w:rsid w:val="00F913B7"/>
    <w:rsid w:val="00F913E5"/>
    <w:rsid w:val="00F91470"/>
    <w:rsid w:val="00F91478"/>
    <w:rsid w:val="00F914A2"/>
    <w:rsid w:val="00F914D5"/>
    <w:rsid w:val="00F91509"/>
    <w:rsid w:val="00F91527"/>
    <w:rsid w:val="00F9152D"/>
    <w:rsid w:val="00F91531"/>
    <w:rsid w:val="00F9154F"/>
    <w:rsid w:val="00F91551"/>
    <w:rsid w:val="00F91577"/>
    <w:rsid w:val="00F915C4"/>
    <w:rsid w:val="00F915DC"/>
    <w:rsid w:val="00F916B4"/>
    <w:rsid w:val="00F916BE"/>
    <w:rsid w:val="00F916ED"/>
    <w:rsid w:val="00F91723"/>
    <w:rsid w:val="00F9177B"/>
    <w:rsid w:val="00F9178D"/>
    <w:rsid w:val="00F917CC"/>
    <w:rsid w:val="00F917DD"/>
    <w:rsid w:val="00F9181B"/>
    <w:rsid w:val="00F91822"/>
    <w:rsid w:val="00F91832"/>
    <w:rsid w:val="00F91875"/>
    <w:rsid w:val="00F91897"/>
    <w:rsid w:val="00F9189C"/>
    <w:rsid w:val="00F91906"/>
    <w:rsid w:val="00F9192F"/>
    <w:rsid w:val="00F91942"/>
    <w:rsid w:val="00F919E9"/>
    <w:rsid w:val="00F91A52"/>
    <w:rsid w:val="00F91A94"/>
    <w:rsid w:val="00F91AAE"/>
    <w:rsid w:val="00F91ADB"/>
    <w:rsid w:val="00F91B04"/>
    <w:rsid w:val="00F91B54"/>
    <w:rsid w:val="00F91B93"/>
    <w:rsid w:val="00F91B99"/>
    <w:rsid w:val="00F91BC4"/>
    <w:rsid w:val="00F91C3B"/>
    <w:rsid w:val="00F91C49"/>
    <w:rsid w:val="00F91C6F"/>
    <w:rsid w:val="00F91C9D"/>
    <w:rsid w:val="00F91CB5"/>
    <w:rsid w:val="00F91CC5"/>
    <w:rsid w:val="00F91CE9"/>
    <w:rsid w:val="00F91D26"/>
    <w:rsid w:val="00F91D5D"/>
    <w:rsid w:val="00F91D5F"/>
    <w:rsid w:val="00F91D82"/>
    <w:rsid w:val="00F91D8F"/>
    <w:rsid w:val="00F91DC9"/>
    <w:rsid w:val="00F91DFF"/>
    <w:rsid w:val="00F91E12"/>
    <w:rsid w:val="00F91E21"/>
    <w:rsid w:val="00F91E5D"/>
    <w:rsid w:val="00F91F05"/>
    <w:rsid w:val="00F91F0D"/>
    <w:rsid w:val="00F91F67"/>
    <w:rsid w:val="00F91F91"/>
    <w:rsid w:val="00F91FB9"/>
    <w:rsid w:val="00F92015"/>
    <w:rsid w:val="00F92023"/>
    <w:rsid w:val="00F92031"/>
    <w:rsid w:val="00F920BE"/>
    <w:rsid w:val="00F920CC"/>
    <w:rsid w:val="00F92132"/>
    <w:rsid w:val="00F921C2"/>
    <w:rsid w:val="00F9224A"/>
    <w:rsid w:val="00F922C7"/>
    <w:rsid w:val="00F922D9"/>
    <w:rsid w:val="00F922E9"/>
    <w:rsid w:val="00F922F9"/>
    <w:rsid w:val="00F9233B"/>
    <w:rsid w:val="00F92384"/>
    <w:rsid w:val="00F923A7"/>
    <w:rsid w:val="00F923A8"/>
    <w:rsid w:val="00F923B5"/>
    <w:rsid w:val="00F923CC"/>
    <w:rsid w:val="00F92455"/>
    <w:rsid w:val="00F92457"/>
    <w:rsid w:val="00F9257B"/>
    <w:rsid w:val="00F925C1"/>
    <w:rsid w:val="00F92690"/>
    <w:rsid w:val="00F926D1"/>
    <w:rsid w:val="00F926E2"/>
    <w:rsid w:val="00F9274F"/>
    <w:rsid w:val="00F927F6"/>
    <w:rsid w:val="00F92820"/>
    <w:rsid w:val="00F92852"/>
    <w:rsid w:val="00F92855"/>
    <w:rsid w:val="00F9288E"/>
    <w:rsid w:val="00F928A2"/>
    <w:rsid w:val="00F92961"/>
    <w:rsid w:val="00F929B8"/>
    <w:rsid w:val="00F929C4"/>
    <w:rsid w:val="00F929F3"/>
    <w:rsid w:val="00F92A04"/>
    <w:rsid w:val="00F92A53"/>
    <w:rsid w:val="00F92A93"/>
    <w:rsid w:val="00F92B6E"/>
    <w:rsid w:val="00F92BCF"/>
    <w:rsid w:val="00F92C54"/>
    <w:rsid w:val="00F92C76"/>
    <w:rsid w:val="00F92C8E"/>
    <w:rsid w:val="00F92D1C"/>
    <w:rsid w:val="00F92D66"/>
    <w:rsid w:val="00F92D67"/>
    <w:rsid w:val="00F92D7E"/>
    <w:rsid w:val="00F92D81"/>
    <w:rsid w:val="00F92D8C"/>
    <w:rsid w:val="00F92D9A"/>
    <w:rsid w:val="00F92D9C"/>
    <w:rsid w:val="00F92DCF"/>
    <w:rsid w:val="00F92DD1"/>
    <w:rsid w:val="00F92DE5"/>
    <w:rsid w:val="00F92DEE"/>
    <w:rsid w:val="00F92DF9"/>
    <w:rsid w:val="00F92E8B"/>
    <w:rsid w:val="00F92EA1"/>
    <w:rsid w:val="00F92EF8"/>
    <w:rsid w:val="00F92F02"/>
    <w:rsid w:val="00F92F59"/>
    <w:rsid w:val="00F92F7D"/>
    <w:rsid w:val="00F92FA2"/>
    <w:rsid w:val="00F92FB7"/>
    <w:rsid w:val="00F92FFE"/>
    <w:rsid w:val="00F9300C"/>
    <w:rsid w:val="00F9300D"/>
    <w:rsid w:val="00F93078"/>
    <w:rsid w:val="00F93096"/>
    <w:rsid w:val="00F9309C"/>
    <w:rsid w:val="00F930FB"/>
    <w:rsid w:val="00F9312C"/>
    <w:rsid w:val="00F9313E"/>
    <w:rsid w:val="00F9317B"/>
    <w:rsid w:val="00F93180"/>
    <w:rsid w:val="00F931A3"/>
    <w:rsid w:val="00F931AA"/>
    <w:rsid w:val="00F931B4"/>
    <w:rsid w:val="00F931CD"/>
    <w:rsid w:val="00F931DD"/>
    <w:rsid w:val="00F9322D"/>
    <w:rsid w:val="00F93231"/>
    <w:rsid w:val="00F93242"/>
    <w:rsid w:val="00F93273"/>
    <w:rsid w:val="00F9328C"/>
    <w:rsid w:val="00F932DC"/>
    <w:rsid w:val="00F93305"/>
    <w:rsid w:val="00F9332C"/>
    <w:rsid w:val="00F93330"/>
    <w:rsid w:val="00F93342"/>
    <w:rsid w:val="00F93343"/>
    <w:rsid w:val="00F93392"/>
    <w:rsid w:val="00F933B8"/>
    <w:rsid w:val="00F933EB"/>
    <w:rsid w:val="00F93428"/>
    <w:rsid w:val="00F93431"/>
    <w:rsid w:val="00F93480"/>
    <w:rsid w:val="00F934C6"/>
    <w:rsid w:val="00F934E7"/>
    <w:rsid w:val="00F934FA"/>
    <w:rsid w:val="00F9353B"/>
    <w:rsid w:val="00F9358D"/>
    <w:rsid w:val="00F935A7"/>
    <w:rsid w:val="00F9360A"/>
    <w:rsid w:val="00F93615"/>
    <w:rsid w:val="00F9363D"/>
    <w:rsid w:val="00F93640"/>
    <w:rsid w:val="00F9366F"/>
    <w:rsid w:val="00F93681"/>
    <w:rsid w:val="00F936B7"/>
    <w:rsid w:val="00F936D6"/>
    <w:rsid w:val="00F936DA"/>
    <w:rsid w:val="00F936DC"/>
    <w:rsid w:val="00F93748"/>
    <w:rsid w:val="00F93750"/>
    <w:rsid w:val="00F93786"/>
    <w:rsid w:val="00F9379D"/>
    <w:rsid w:val="00F937D4"/>
    <w:rsid w:val="00F93811"/>
    <w:rsid w:val="00F938A0"/>
    <w:rsid w:val="00F938DF"/>
    <w:rsid w:val="00F938FB"/>
    <w:rsid w:val="00F93901"/>
    <w:rsid w:val="00F93905"/>
    <w:rsid w:val="00F9391F"/>
    <w:rsid w:val="00F9393E"/>
    <w:rsid w:val="00F939A5"/>
    <w:rsid w:val="00F939A9"/>
    <w:rsid w:val="00F939DC"/>
    <w:rsid w:val="00F939E6"/>
    <w:rsid w:val="00F93A31"/>
    <w:rsid w:val="00F93A32"/>
    <w:rsid w:val="00F93A36"/>
    <w:rsid w:val="00F93A3C"/>
    <w:rsid w:val="00F93A53"/>
    <w:rsid w:val="00F93A6B"/>
    <w:rsid w:val="00F93A7B"/>
    <w:rsid w:val="00F93AB7"/>
    <w:rsid w:val="00F93ADF"/>
    <w:rsid w:val="00F93C3B"/>
    <w:rsid w:val="00F93C76"/>
    <w:rsid w:val="00F93CDC"/>
    <w:rsid w:val="00F93D7D"/>
    <w:rsid w:val="00F93E26"/>
    <w:rsid w:val="00F93EE9"/>
    <w:rsid w:val="00F93EED"/>
    <w:rsid w:val="00F93F3E"/>
    <w:rsid w:val="00F93F66"/>
    <w:rsid w:val="00F93F96"/>
    <w:rsid w:val="00F9403B"/>
    <w:rsid w:val="00F9405A"/>
    <w:rsid w:val="00F9407D"/>
    <w:rsid w:val="00F94094"/>
    <w:rsid w:val="00F940A5"/>
    <w:rsid w:val="00F940C8"/>
    <w:rsid w:val="00F940DF"/>
    <w:rsid w:val="00F940EB"/>
    <w:rsid w:val="00F940F9"/>
    <w:rsid w:val="00F94117"/>
    <w:rsid w:val="00F94132"/>
    <w:rsid w:val="00F94175"/>
    <w:rsid w:val="00F94185"/>
    <w:rsid w:val="00F941A9"/>
    <w:rsid w:val="00F941CD"/>
    <w:rsid w:val="00F941D0"/>
    <w:rsid w:val="00F941F8"/>
    <w:rsid w:val="00F94208"/>
    <w:rsid w:val="00F9423E"/>
    <w:rsid w:val="00F94259"/>
    <w:rsid w:val="00F9426D"/>
    <w:rsid w:val="00F9427F"/>
    <w:rsid w:val="00F942A2"/>
    <w:rsid w:val="00F942A9"/>
    <w:rsid w:val="00F94302"/>
    <w:rsid w:val="00F94334"/>
    <w:rsid w:val="00F9434D"/>
    <w:rsid w:val="00F94382"/>
    <w:rsid w:val="00F9439F"/>
    <w:rsid w:val="00F9448A"/>
    <w:rsid w:val="00F9453C"/>
    <w:rsid w:val="00F94575"/>
    <w:rsid w:val="00F94597"/>
    <w:rsid w:val="00F945E2"/>
    <w:rsid w:val="00F945F5"/>
    <w:rsid w:val="00F94611"/>
    <w:rsid w:val="00F94627"/>
    <w:rsid w:val="00F94644"/>
    <w:rsid w:val="00F94649"/>
    <w:rsid w:val="00F94683"/>
    <w:rsid w:val="00F946C1"/>
    <w:rsid w:val="00F946DE"/>
    <w:rsid w:val="00F946EF"/>
    <w:rsid w:val="00F94761"/>
    <w:rsid w:val="00F9476F"/>
    <w:rsid w:val="00F947D7"/>
    <w:rsid w:val="00F947DB"/>
    <w:rsid w:val="00F94867"/>
    <w:rsid w:val="00F94888"/>
    <w:rsid w:val="00F94900"/>
    <w:rsid w:val="00F9495B"/>
    <w:rsid w:val="00F94968"/>
    <w:rsid w:val="00F9499C"/>
    <w:rsid w:val="00F94A1E"/>
    <w:rsid w:val="00F94A3F"/>
    <w:rsid w:val="00F94A64"/>
    <w:rsid w:val="00F94AA1"/>
    <w:rsid w:val="00F94AB8"/>
    <w:rsid w:val="00F94AC7"/>
    <w:rsid w:val="00F94AF7"/>
    <w:rsid w:val="00F94BBA"/>
    <w:rsid w:val="00F94BBC"/>
    <w:rsid w:val="00F94BE3"/>
    <w:rsid w:val="00F94BE9"/>
    <w:rsid w:val="00F94C14"/>
    <w:rsid w:val="00F94C3D"/>
    <w:rsid w:val="00F94C77"/>
    <w:rsid w:val="00F94CAE"/>
    <w:rsid w:val="00F94CC8"/>
    <w:rsid w:val="00F94CCF"/>
    <w:rsid w:val="00F94D19"/>
    <w:rsid w:val="00F94D4E"/>
    <w:rsid w:val="00F94D4F"/>
    <w:rsid w:val="00F94D6E"/>
    <w:rsid w:val="00F94E1E"/>
    <w:rsid w:val="00F94E27"/>
    <w:rsid w:val="00F94E32"/>
    <w:rsid w:val="00F94E55"/>
    <w:rsid w:val="00F94E59"/>
    <w:rsid w:val="00F94E69"/>
    <w:rsid w:val="00F94F07"/>
    <w:rsid w:val="00F94F6F"/>
    <w:rsid w:val="00F94FA9"/>
    <w:rsid w:val="00F94FF4"/>
    <w:rsid w:val="00F9505C"/>
    <w:rsid w:val="00F95063"/>
    <w:rsid w:val="00F9507F"/>
    <w:rsid w:val="00F95180"/>
    <w:rsid w:val="00F95204"/>
    <w:rsid w:val="00F95221"/>
    <w:rsid w:val="00F9525D"/>
    <w:rsid w:val="00F9527D"/>
    <w:rsid w:val="00F952E2"/>
    <w:rsid w:val="00F95303"/>
    <w:rsid w:val="00F95332"/>
    <w:rsid w:val="00F95352"/>
    <w:rsid w:val="00F95362"/>
    <w:rsid w:val="00F95375"/>
    <w:rsid w:val="00F95384"/>
    <w:rsid w:val="00F953A8"/>
    <w:rsid w:val="00F95436"/>
    <w:rsid w:val="00F9544C"/>
    <w:rsid w:val="00F9557B"/>
    <w:rsid w:val="00F95589"/>
    <w:rsid w:val="00F955BF"/>
    <w:rsid w:val="00F9561E"/>
    <w:rsid w:val="00F956B3"/>
    <w:rsid w:val="00F956D0"/>
    <w:rsid w:val="00F9572D"/>
    <w:rsid w:val="00F95799"/>
    <w:rsid w:val="00F957BC"/>
    <w:rsid w:val="00F95802"/>
    <w:rsid w:val="00F95884"/>
    <w:rsid w:val="00F958CF"/>
    <w:rsid w:val="00F958F1"/>
    <w:rsid w:val="00F95918"/>
    <w:rsid w:val="00F95922"/>
    <w:rsid w:val="00F9595D"/>
    <w:rsid w:val="00F95993"/>
    <w:rsid w:val="00F959F9"/>
    <w:rsid w:val="00F95A44"/>
    <w:rsid w:val="00F95A49"/>
    <w:rsid w:val="00F95A8A"/>
    <w:rsid w:val="00F95ACC"/>
    <w:rsid w:val="00F95AFA"/>
    <w:rsid w:val="00F95B00"/>
    <w:rsid w:val="00F95B1E"/>
    <w:rsid w:val="00F95B47"/>
    <w:rsid w:val="00F95B4E"/>
    <w:rsid w:val="00F95B7E"/>
    <w:rsid w:val="00F95C2B"/>
    <w:rsid w:val="00F95C77"/>
    <w:rsid w:val="00F95C92"/>
    <w:rsid w:val="00F95CF8"/>
    <w:rsid w:val="00F95D32"/>
    <w:rsid w:val="00F95D33"/>
    <w:rsid w:val="00F95D35"/>
    <w:rsid w:val="00F95D58"/>
    <w:rsid w:val="00F95E2A"/>
    <w:rsid w:val="00F95ED6"/>
    <w:rsid w:val="00F95F27"/>
    <w:rsid w:val="00F95F3C"/>
    <w:rsid w:val="00F95F49"/>
    <w:rsid w:val="00F95F72"/>
    <w:rsid w:val="00F95F95"/>
    <w:rsid w:val="00F95FB7"/>
    <w:rsid w:val="00F95FBE"/>
    <w:rsid w:val="00F95FFD"/>
    <w:rsid w:val="00F96017"/>
    <w:rsid w:val="00F96019"/>
    <w:rsid w:val="00F96063"/>
    <w:rsid w:val="00F960B5"/>
    <w:rsid w:val="00F960DE"/>
    <w:rsid w:val="00F96130"/>
    <w:rsid w:val="00F9613F"/>
    <w:rsid w:val="00F96192"/>
    <w:rsid w:val="00F961A6"/>
    <w:rsid w:val="00F961BD"/>
    <w:rsid w:val="00F96201"/>
    <w:rsid w:val="00F96214"/>
    <w:rsid w:val="00F96277"/>
    <w:rsid w:val="00F9627B"/>
    <w:rsid w:val="00F962C8"/>
    <w:rsid w:val="00F962EE"/>
    <w:rsid w:val="00F962F1"/>
    <w:rsid w:val="00F96300"/>
    <w:rsid w:val="00F9630D"/>
    <w:rsid w:val="00F9636A"/>
    <w:rsid w:val="00F9639B"/>
    <w:rsid w:val="00F963DA"/>
    <w:rsid w:val="00F963E1"/>
    <w:rsid w:val="00F96429"/>
    <w:rsid w:val="00F96464"/>
    <w:rsid w:val="00F964B5"/>
    <w:rsid w:val="00F96529"/>
    <w:rsid w:val="00F96546"/>
    <w:rsid w:val="00F96597"/>
    <w:rsid w:val="00F965A5"/>
    <w:rsid w:val="00F96694"/>
    <w:rsid w:val="00F966B8"/>
    <w:rsid w:val="00F966CC"/>
    <w:rsid w:val="00F966D0"/>
    <w:rsid w:val="00F966DF"/>
    <w:rsid w:val="00F96712"/>
    <w:rsid w:val="00F96757"/>
    <w:rsid w:val="00F9676C"/>
    <w:rsid w:val="00F967D3"/>
    <w:rsid w:val="00F96841"/>
    <w:rsid w:val="00F9687F"/>
    <w:rsid w:val="00F9690E"/>
    <w:rsid w:val="00F9697E"/>
    <w:rsid w:val="00F9699A"/>
    <w:rsid w:val="00F969B1"/>
    <w:rsid w:val="00F969FE"/>
    <w:rsid w:val="00F96A1D"/>
    <w:rsid w:val="00F96B31"/>
    <w:rsid w:val="00F96B58"/>
    <w:rsid w:val="00F96B72"/>
    <w:rsid w:val="00F96B8F"/>
    <w:rsid w:val="00F96C1E"/>
    <w:rsid w:val="00F96C4B"/>
    <w:rsid w:val="00F96CA6"/>
    <w:rsid w:val="00F96CAA"/>
    <w:rsid w:val="00F96CD8"/>
    <w:rsid w:val="00F96CD9"/>
    <w:rsid w:val="00F96CDF"/>
    <w:rsid w:val="00F96CE3"/>
    <w:rsid w:val="00F96D05"/>
    <w:rsid w:val="00F96D08"/>
    <w:rsid w:val="00F96D2B"/>
    <w:rsid w:val="00F96D46"/>
    <w:rsid w:val="00F96D63"/>
    <w:rsid w:val="00F96D87"/>
    <w:rsid w:val="00F96DBF"/>
    <w:rsid w:val="00F96E2F"/>
    <w:rsid w:val="00F96E42"/>
    <w:rsid w:val="00F96ECD"/>
    <w:rsid w:val="00F96EE9"/>
    <w:rsid w:val="00F96F0D"/>
    <w:rsid w:val="00F96F2D"/>
    <w:rsid w:val="00F96F52"/>
    <w:rsid w:val="00F96F65"/>
    <w:rsid w:val="00F96F9C"/>
    <w:rsid w:val="00F96F9D"/>
    <w:rsid w:val="00F96FC5"/>
    <w:rsid w:val="00F96FD0"/>
    <w:rsid w:val="00F96FEC"/>
    <w:rsid w:val="00F96FFE"/>
    <w:rsid w:val="00F9705F"/>
    <w:rsid w:val="00F970CF"/>
    <w:rsid w:val="00F970DA"/>
    <w:rsid w:val="00F9711C"/>
    <w:rsid w:val="00F97123"/>
    <w:rsid w:val="00F9718B"/>
    <w:rsid w:val="00F971AA"/>
    <w:rsid w:val="00F971C4"/>
    <w:rsid w:val="00F971CF"/>
    <w:rsid w:val="00F971F9"/>
    <w:rsid w:val="00F9726A"/>
    <w:rsid w:val="00F9726D"/>
    <w:rsid w:val="00F9726F"/>
    <w:rsid w:val="00F97275"/>
    <w:rsid w:val="00F972A4"/>
    <w:rsid w:val="00F972D2"/>
    <w:rsid w:val="00F972DA"/>
    <w:rsid w:val="00F973A6"/>
    <w:rsid w:val="00F973E6"/>
    <w:rsid w:val="00F973F5"/>
    <w:rsid w:val="00F974C3"/>
    <w:rsid w:val="00F97502"/>
    <w:rsid w:val="00F97532"/>
    <w:rsid w:val="00F97622"/>
    <w:rsid w:val="00F97628"/>
    <w:rsid w:val="00F97635"/>
    <w:rsid w:val="00F97673"/>
    <w:rsid w:val="00F9768C"/>
    <w:rsid w:val="00F976AA"/>
    <w:rsid w:val="00F976AF"/>
    <w:rsid w:val="00F976B8"/>
    <w:rsid w:val="00F976FF"/>
    <w:rsid w:val="00F97703"/>
    <w:rsid w:val="00F97723"/>
    <w:rsid w:val="00F9773D"/>
    <w:rsid w:val="00F97742"/>
    <w:rsid w:val="00F9774C"/>
    <w:rsid w:val="00F9776F"/>
    <w:rsid w:val="00F97866"/>
    <w:rsid w:val="00F97867"/>
    <w:rsid w:val="00F97898"/>
    <w:rsid w:val="00F978D5"/>
    <w:rsid w:val="00F978F2"/>
    <w:rsid w:val="00F97918"/>
    <w:rsid w:val="00F97919"/>
    <w:rsid w:val="00F9792F"/>
    <w:rsid w:val="00F97951"/>
    <w:rsid w:val="00F9795D"/>
    <w:rsid w:val="00F97960"/>
    <w:rsid w:val="00F97970"/>
    <w:rsid w:val="00F9797A"/>
    <w:rsid w:val="00F979DF"/>
    <w:rsid w:val="00F97A2A"/>
    <w:rsid w:val="00F97A3C"/>
    <w:rsid w:val="00F97A52"/>
    <w:rsid w:val="00F97A56"/>
    <w:rsid w:val="00F97A57"/>
    <w:rsid w:val="00F97A88"/>
    <w:rsid w:val="00F97AC0"/>
    <w:rsid w:val="00F97AD0"/>
    <w:rsid w:val="00F97B2A"/>
    <w:rsid w:val="00F97B53"/>
    <w:rsid w:val="00F97BEC"/>
    <w:rsid w:val="00F97C1F"/>
    <w:rsid w:val="00F97C3E"/>
    <w:rsid w:val="00F97C51"/>
    <w:rsid w:val="00F97C8B"/>
    <w:rsid w:val="00F97CFE"/>
    <w:rsid w:val="00F97D37"/>
    <w:rsid w:val="00F97D65"/>
    <w:rsid w:val="00F97D73"/>
    <w:rsid w:val="00F97D8F"/>
    <w:rsid w:val="00F97DB6"/>
    <w:rsid w:val="00F97DD0"/>
    <w:rsid w:val="00F97E10"/>
    <w:rsid w:val="00F97E58"/>
    <w:rsid w:val="00F97E60"/>
    <w:rsid w:val="00F97F14"/>
    <w:rsid w:val="00F97F3D"/>
    <w:rsid w:val="00F97F47"/>
    <w:rsid w:val="00F97FD7"/>
    <w:rsid w:val="00FA005A"/>
    <w:rsid w:val="00FA00BF"/>
    <w:rsid w:val="00FA00C6"/>
    <w:rsid w:val="00FA00CA"/>
    <w:rsid w:val="00FA00E6"/>
    <w:rsid w:val="00FA00F1"/>
    <w:rsid w:val="00FA0101"/>
    <w:rsid w:val="00FA0104"/>
    <w:rsid w:val="00FA01F3"/>
    <w:rsid w:val="00FA01FB"/>
    <w:rsid w:val="00FA021E"/>
    <w:rsid w:val="00FA0287"/>
    <w:rsid w:val="00FA0299"/>
    <w:rsid w:val="00FA02A5"/>
    <w:rsid w:val="00FA02CD"/>
    <w:rsid w:val="00FA0347"/>
    <w:rsid w:val="00FA034D"/>
    <w:rsid w:val="00FA0392"/>
    <w:rsid w:val="00FA03FF"/>
    <w:rsid w:val="00FA0409"/>
    <w:rsid w:val="00FA042D"/>
    <w:rsid w:val="00FA046B"/>
    <w:rsid w:val="00FA0496"/>
    <w:rsid w:val="00FA0530"/>
    <w:rsid w:val="00FA05E6"/>
    <w:rsid w:val="00FA0640"/>
    <w:rsid w:val="00FA0682"/>
    <w:rsid w:val="00FA06C9"/>
    <w:rsid w:val="00FA0702"/>
    <w:rsid w:val="00FA0712"/>
    <w:rsid w:val="00FA07BC"/>
    <w:rsid w:val="00FA0833"/>
    <w:rsid w:val="00FA0852"/>
    <w:rsid w:val="00FA0860"/>
    <w:rsid w:val="00FA0880"/>
    <w:rsid w:val="00FA0882"/>
    <w:rsid w:val="00FA088C"/>
    <w:rsid w:val="00FA0898"/>
    <w:rsid w:val="00FA089E"/>
    <w:rsid w:val="00FA08B1"/>
    <w:rsid w:val="00FA08B3"/>
    <w:rsid w:val="00FA08C2"/>
    <w:rsid w:val="00FA0957"/>
    <w:rsid w:val="00FA0967"/>
    <w:rsid w:val="00FA096B"/>
    <w:rsid w:val="00FA097F"/>
    <w:rsid w:val="00FA09A0"/>
    <w:rsid w:val="00FA0A56"/>
    <w:rsid w:val="00FA0AAB"/>
    <w:rsid w:val="00FA0AC5"/>
    <w:rsid w:val="00FA0AD4"/>
    <w:rsid w:val="00FA0AD9"/>
    <w:rsid w:val="00FA0AE4"/>
    <w:rsid w:val="00FA0B16"/>
    <w:rsid w:val="00FA0B57"/>
    <w:rsid w:val="00FA0C5B"/>
    <w:rsid w:val="00FA0CB0"/>
    <w:rsid w:val="00FA0CB9"/>
    <w:rsid w:val="00FA0CD4"/>
    <w:rsid w:val="00FA0CFF"/>
    <w:rsid w:val="00FA0D09"/>
    <w:rsid w:val="00FA0D4C"/>
    <w:rsid w:val="00FA0D61"/>
    <w:rsid w:val="00FA0DE2"/>
    <w:rsid w:val="00FA0DF2"/>
    <w:rsid w:val="00FA0DF4"/>
    <w:rsid w:val="00FA0E42"/>
    <w:rsid w:val="00FA0EDE"/>
    <w:rsid w:val="00FA0F65"/>
    <w:rsid w:val="00FA0F6F"/>
    <w:rsid w:val="00FA0F71"/>
    <w:rsid w:val="00FA0F99"/>
    <w:rsid w:val="00FA0FCB"/>
    <w:rsid w:val="00FA1068"/>
    <w:rsid w:val="00FA1084"/>
    <w:rsid w:val="00FA10BE"/>
    <w:rsid w:val="00FA1137"/>
    <w:rsid w:val="00FA114A"/>
    <w:rsid w:val="00FA1173"/>
    <w:rsid w:val="00FA1189"/>
    <w:rsid w:val="00FA11A5"/>
    <w:rsid w:val="00FA11AC"/>
    <w:rsid w:val="00FA11B0"/>
    <w:rsid w:val="00FA11F2"/>
    <w:rsid w:val="00FA127A"/>
    <w:rsid w:val="00FA1283"/>
    <w:rsid w:val="00FA1298"/>
    <w:rsid w:val="00FA12B3"/>
    <w:rsid w:val="00FA1313"/>
    <w:rsid w:val="00FA13AD"/>
    <w:rsid w:val="00FA13B7"/>
    <w:rsid w:val="00FA13C4"/>
    <w:rsid w:val="00FA13CA"/>
    <w:rsid w:val="00FA13E2"/>
    <w:rsid w:val="00FA13F4"/>
    <w:rsid w:val="00FA1458"/>
    <w:rsid w:val="00FA1468"/>
    <w:rsid w:val="00FA1492"/>
    <w:rsid w:val="00FA14CD"/>
    <w:rsid w:val="00FA14F6"/>
    <w:rsid w:val="00FA1515"/>
    <w:rsid w:val="00FA1540"/>
    <w:rsid w:val="00FA1578"/>
    <w:rsid w:val="00FA15A3"/>
    <w:rsid w:val="00FA15D0"/>
    <w:rsid w:val="00FA15D4"/>
    <w:rsid w:val="00FA161E"/>
    <w:rsid w:val="00FA167E"/>
    <w:rsid w:val="00FA1725"/>
    <w:rsid w:val="00FA175A"/>
    <w:rsid w:val="00FA1778"/>
    <w:rsid w:val="00FA17BB"/>
    <w:rsid w:val="00FA17E9"/>
    <w:rsid w:val="00FA17EF"/>
    <w:rsid w:val="00FA180E"/>
    <w:rsid w:val="00FA1823"/>
    <w:rsid w:val="00FA1833"/>
    <w:rsid w:val="00FA1874"/>
    <w:rsid w:val="00FA1935"/>
    <w:rsid w:val="00FA193B"/>
    <w:rsid w:val="00FA1989"/>
    <w:rsid w:val="00FA198A"/>
    <w:rsid w:val="00FA19EA"/>
    <w:rsid w:val="00FA19EC"/>
    <w:rsid w:val="00FA1AE0"/>
    <w:rsid w:val="00FA1B36"/>
    <w:rsid w:val="00FA1B4F"/>
    <w:rsid w:val="00FA1B7E"/>
    <w:rsid w:val="00FA1BA4"/>
    <w:rsid w:val="00FA1BE4"/>
    <w:rsid w:val="00FA1C1A"/>
    <w:rsid w:val="00FA1C29"/>
    <w:rsid w:val="00FA1C3A"/>
    <w:rsid w:val="00FA1C87"/>
    <w:rsid w:val="00FA1CB8"/>
    <w:rsid w:val="00FA1CCB"/>
    <w:rsid w:val="00FA1CF5"/>
    <w:rsid w:val="00FA1D1D"/>
    <w:rsid w:val="00FA1D2E"/>
    <w:rsid w:val="00FA1DEA"/>
    <w:rsid w:val="00FA1DF8"/>
    <w:rsid w:val="00FA1E14"/>
    <w:rsid w:val="00FA1E62"/>
    <w:rsid w:val="00FA1EBA"/>
    <w:rsid w:val="00FA1F04"/>
    <w:rsid w:val="00FA1F44"/>
    <w:rsid w:val="00FA1F6C"/>
    <w:rsid w:val="00FA1F82"/>
    <w:rsid w:val="00FA1FE2"/>
    <w:rsid w:val="00FA1FE5"/>
    <w:rsid w:val="00FA2018"/>
    <w:rsid w:val="00FA2078"/>
    <w:rsid w:val="00FA208C"/>
    <w:rsid w:val="00FA20AC"/>
    <w:rsid w:val="00FA21AB"/>
    <w:rsid w:val="00FA21B8"/>
    <w:rsid w:val="00FA21C8"/>
    <w:rsid w:val="00FA2208"/>
    <w:rsid w:val="00FA220F"/>
    <w:rsid w:val="00FA2224"/>
    <w:rsid w:val="00FA2235"/>
    <w:rsid w:val="00FA2254"/>
    <w:rsid w:val="00FA226E"/>
    <w:rsid w:val="00FA228C"/>
    <w:rsid w:val="00FA2302"/>
    <w:rsid w:val="00FA2325"/>
    <w:rsid w:val="00FA2330"/>
    <w:rsid w:val="00FA2365"/>
    <w:rsid w:val="00FA237D"/>
    <w:rsid w:val="00FA2387"/>
    <w:rsid w:val="00FA23DD"/>
    <w:rsid w:val="00FA23DF"/>
    <w:rsid w:val="00FA2426"/>
    <w:rsid w:val="00FA2484"/>
    <w:rsid w:val="00FA24A6"/>
    <w:rsid w:val="00FA2547"/>
    <w:rsid w:val="00FA254A"/>
    <w:rsid w:val="00FA25AB"/>
    <w:rsid w:val="00FA25B8"/>
    <w:rsid w:val="00FA25DA"/>
    <w:rsid w:val="00FA25FD"/>
    <w:rsid w:val="00FA2672"/>
    <w:rsid w:val="00FA268F"/>
    <w:rsid w:val="00FA26F3"/>
    <w:rsid w:val="00FA271E"/>
    <w:rsid w:val="00FA2721"/>
    <w:rsid w:val="00FA272C"/>
    <w:rsid w:val="00FA273C"/>
    <w:rsid w:val="00FA27E9"/>
    <w:rsid w:val="00FA2808"/>
    <w:rsid w:val="00FA280F"/>
    <w:rsid w:val="00FA28FD"/>
    <w:rsid w:val="00FA291D"/>
    <w:rsid w:val="00FA294B"/>
    <w:rsid w:val="00FA2975"/>
    <w:rsid w:val="00FA298A"/>
    <w:rsid w:val="00FA29E2"/>
    <w:rsid w:val="00FA2A07"/>
    <w:rsid w:val="00FA2A2C"/>
    <w:rsid w:val="00FA2A87"/>
    <w:rsid w:val="00FA2AC2"/>
    <w:rsid w:val="00FA2ACD"/>
    <w:rsid w:val="00FA2AEE"/>
    <w:rsid w:val="00FA2B71"/>
    <w:rsid w:val="00FA2BAA"/>
    <w:rsid w:val="00FA2BFA"/>
    <w:rsid w:val="00FA2C71"/>
    <w:rsid w:val="00FA2C9E"/>
    <w:rsid w:val="00FA2D10"/>
    <w:rsid w:val="00FA2D49"/>
    <w:rsid w:val="00FA2D9F"/>
    <w:rsid w:val="00FA2E0B"/>
    <w:rsid w:val="00FA2E35"/>
    <w:rsid w:val="00FA2E78"/>
    <w:rsid w:val="00FA2F08"/>
    <w:rsid w:val="00FA2F20"/>
    <w:rsid w:val="00FA2FB3"/>
    <w:rsid w:val="00FA2FEC"/>
    <w:rsid w:val="00FA3082"/>
    <w:rsid w:val="00FA30D8"/>
    <w:rsid w:val="00FA311E"/>
    <w:rsid w:val="00FA312D"/>
    <w:rsid w:val="00FA3152"/>
    <w:rsid w:val="00FA318E"/>
    <w:rsid w:val="00FA3232"/>
    <w:rsid w:val="00FA323A"/>
    <w:rsid w:val="00FA323E"/>
    <w:rsid w:val="00FA325B"/>
    <w:rsid w:val="00FA32F3"/>
    <w:rsid w:val="00FA32F7"/>
    <w:rsid w:val="00FA3307"/>
    <w:rsid w:val="00FA333C"/>
    <w:rsid w:val="00FA336B"/>
    <w:rsid w:val="00FA3395"/>
    <w:rsid w:val="00FA33C7"/>
    <w:rsid w:val="00FA348F"/>
    <w:rsid w:val="00FA34CA"/>
    <w:rsid w:val="00FA34D6"/>
    <w:rsid w:val="00FA34E0"/>
    <w:rsid w:val="00FA34F5"/>
    <w:rsid w:val="00FA34FD"/>
    <w:rsid w:val="00FA3534"/>
    <w:rsid w:val="00FA353A"/>
    <w:rsid w:val="00FA3559"/>
    <w:rsid w:val="00FA3576"/>
    <w:rsid w:val="00FA358A"/>
    <w:rsid w:val="00FA3599"/>
    <w:rsid w:val="00FA35A8"/>
    <w:rsid w:val="00FA35BC"/>
    <w:rsid w:val="00FA35E1"/>
    <w:rsid w:val="00FA3631"/>
    <w:rsid w:val="00FA3646"/>
    <w:rsid w:val="00FA36A0"/>
    <w:rsid w:val="00FA3791"/>
    <w:rsid w:val="00FA3795"/>
    <w:rsid w:val="00FA3815"/>
    <w:rsid w:val="00FA3854"/>
    <w:rsid w:val="00FA3898"/>
    <w:rsid w:val="00FA38C5"/>
    <w:rsid w:val="00FA38F8"/>
    <w:rsid w:val="00FA3900"/>
    <w:rsid w:val="00FA3927"/>
    <w:rsid w:val="00FA392B"/>
    <w:rsid w:val="00FA392F"/>
    <w:rsid w:val="00FA3973"/>
    <w:rsid w:val="00FA39E2"/>
    <w:rsid w:val="00FA3A05"/>
    <w:rsid w:val="00FA3AAE"/>
    <w:rsid w:val="00FA3AB6"/>
    <w:rsid w:val="00FA3AC6"/>
    <w:rsid w:val="00FA3B0B"/>
    <w:rsid w:val="00FA3B51"/>
    <w:rsid w:val="00FA3BB4"/>
    <w:rsid w:val="00FA3C00"/>
    <w:rsid w:val="00FA3C0C"/>
    <w:rsid w:val="00FA3C0E"/>
    <w:rsid w:val="00FA3C3E"/>
    <w:rsid w:val="00FA3C58"/>
    <w:rsid w:val="00FA3C61"/>
    <w:rsid w:val="00FA3C62"/>
    <w:rsid w:val="00FA3C6F"/>
    <w:rsid w:val="00FA3CA5"/>
    <w:rsid w:val="00FA3CAE"/>
    <w:rsid w:val="00FA3CB1"/>
    <w:rsid w:val="00FA3CEC"/>
    <w:rsid w:val="00FA3D25"/>
    <w:rsid w:val="00FA3D2E"/>
    <w:rsid w:val="00FA3D44"/>
    <w:rsid w:val="00FA3D4E"/>
    <w:rsid w:val="00FA3D52"/>
    <w:rsid w:val="00FA3DCC"/>
    <w:rsid w:val="00FA3DF2"/>
    <w:rsid w:val="00FA3E09"/>
    <w:rsid w:val="00FA3E0E"/>
    <w:rsid w:val="00FA3E65"/>
    <w:rsid w:val="00FA3EBE"/>
    <w:rsid w:val="00FA3F5B"/>
    <w:rsid w:val="00FA3FC7"/>
    <w:rsid w:val="00FA3FDE"/>
    <w:rsid w:val="00FA3FE8"/>
    <w:rsid w:val="00FA3FF4"/>
    <w:rsid w:val="00FA4025"/>
    <w:rsid w:val="00FA402E"/>
    <w:rsid w:val="00FA407B"/>
    <w:rsid w:val="00FA40E2"/>
    <w:rsid w:val="00FA4127"/>
    <w:rsid w:val="00FA4144"/>
    <w:rsid w:val="00FA4187"/>
    <w:rsid w:val="00FA418B"/>
    <w:rsid w:val="00FA41FF"/>
    <w:rsid w:val="00FA420B"/>
    <w:rsid w:val="00FA4210"/>
    <w:rsid w:val="00FA4241"/>
    <w:rsid w:val="00FA426A"/>
    <w:rsid w:val="00FA427A"/>
    <w:rsid w:val="00FA42C2"/>
    <w:rsid w:val="00FA42DF"/>
    <w:rsid w:val="00FA42F3"/>
    <w:rsid w:val="00FA4343"/>
    <w:rsid w:val="00FA4394"/>
    <w:rsid w:val="00FA43BD"/>
    <w:rsid w:val="00FA43DE"/>
    <w:rsid w:val="00FA43FD"/>
    <w:rsid w:val="00FA4465"/>
    <w:rsid w:val="00FA447B"/>
    <w:rsid w:val="00FA44A0"/>
    <w:rsid w:val="00FA44FF"/>
    <w:rsid w:val="00FA4557"/>
    <w:rsid w:val="00FA455A"/>
    <w:rsid w:val="00FA4599"/>
    <w:rsid w:val="00FA45BC"/>
    <w:rsid w:val="00FA4611"/>
    <w:rsid w:val="00FA461C"/>
    <w:rsid w:val="00FA4637"/>
    <w:rsid w:val="00FA471B"/>
    <w:rsid w:val="00FA4730"/>
    <w:rsid w:val="00FA4766"/>
    <w:rsid w:val="00FA4769"/>
    <w:rsid w:val="00FA476A"/>
    <w:rsid w:val="00FA4794"/>
    <w:rsid w:val="00FA47EE"/>
    <w:rsid w:val="00FA480A"/>
    <w:rsid w:val="00FA4811"/>
    <w:rsid w:val="00FA4840"/>
    <w:rsid w:val="00FA487F"/>
    <w:rsid w:val="00FA4892"/>
    <w:rsid w:val="00FA48AA"/>
    <w:rsid w:val="00FA49BC"/>
    <w:rsid w:val="00FA4A58"/>
    <w:rsid w:val="00FA4A76"/>
    <w:rsid w:val="00FA4A7B"/>
    <w:rsid w:val="00FA4A80"/>
    <w:rsid w:val="00FA4AC2"/>
    <w:rsid w:val="00FA4AE8"/>
    <w:rsid w:val="00FA4B0E"/>
    <w:rsid w:val="00FA4B18"/>
    <w:rsid w:val="00FA4B29"/>
    <w:rsid w:val="00FA4B2D"/>
    <w:rsid w:val="00FA4B3A"/>
    <w:rsid w:val="00FA4B6E"/>
    <w:rsid w:val="00FA4B79"/>
    <w:rsid w:val="00FA4B9C"/>
    <w:rsid w:val="00FA4BD0"/>
    <w:rsid w:val="00FA4C0C"/>
    <w:rsid w:val="00FA4C17"/>
    <w:rsid w:val="00FA4C19"/>
    <w:rsid w:val="00FA4C1E"/>
    <w:rsid w:val="00FA4C30"/>
    <w:rsid w:val="00FA4C50"/>
    <w:rsid w:val="00FA4CBC"/>
    <w:rsid w:val="00FA4CE5"/>
    <w:rsid w:val="00FA4E95"/>
    <w:rsid w:val="00FA4E9D"/>
    <w:rsid w:val="00FA4ECA"/>
    <w:rsid w:val="00FA4ED8"/>
    <w:rsid w:val="00FA4EE2"/>
    <w:rsid w:val="00FA4F04"/>
    <w:rsid w:val="00FA4F23"/>
    <w:rsid w:val="00FA5032"/>
    <w:rsid w:val="00FA5097"/>
    <w:rsid w:val="00FA50AB"/>
    <w:rsid w:val="00FA5145"/>
    <w:rsid w:val="00FA51AA"/>
    <w:rsid w:val="00FA51B9"/>
    <w:rsid w:val="00FA51C4"/>
    <w:rsid w:val="00FA51E6"/>
    <w:rsid w:val="00FA51E9"/>
    <w:rsid w:val="00FA5204"/>
    <w:rsid w:val="00FA5209"/>
    <w:rsid w:val="00FA528F"/>
    <w:rsid w:val="00FA52C8"/>
    <w:rsid w:val="00FA52F4"/>
    <w:rsid w:val="00FA5319"/>
    <w:rsid w:val="00FA5358"/>
    <w:rsid w:val="00FA53BE"/>
    <w:rsid w:val="00FA5434"/>
    <w:rsid w:val="00FA546C"/>
    <w:rsid w:val="00FA553C"/>
    <w:rsid w:val="00FA555D"/>
    <w:rsid w:val="00FA5561"/>
    <w:rsid w:val="00FA55D3"/>
    <w:rsid w:val="00FA55FB"/>
    <w:rsid w:val="00FA560A"/>
    <w:rsid w:val="00FA5639"/>
    <w:rsid w:val="00FA5653"/>
    <w:rsid w:val="00FA5684"/>
    <w:rsid w:val="00FA5687"/>
    <w:rsid w:val="00FA568E"/>
    <w:rsid w:val="00FA56C0"/>
    <w:rsid w:val="00FA5764"/>
    <w:rsid w:val="00FA57B0"/>
    <w:rsid w:val="00FA57BD"/>
    <w:rsid w:val="00FA580D"/>
    <w:rsid w:val="00FA5861"/>
    <w:rsid w:val="00FA587F"/>
    <w:rsid w:val="00FA58DE"/>
    <w:rsid w:val="00FA5988"/>
    <w:rsid w:val="00FA599D"/>
    <w:rsid w:val="00FA59A2"/>
    <w:rsid w:val="00FA59C0"/>
    <w:rsid w:val="00FA59FC"/>
    <w:rsid w:val="00FA5A04"/>
    <w:rsid w:val="00FA5ABE"/>
    <w:rsid w:val="00FA5AC4"/>
    <w:rsid w:val="00FA5ADD"/>
    <w:rsid w:val="00FA5AE5"/>
    <w:rsid w:val="00FA5B19"/>
    <w:rsid w:val="00FA5B35"/>
    <w:rsid w:val="00FA5B67"/>
    <w:rsid w:val="00FA5BA3"/>
    <w:rsid w:val="00FA5BAE"/>
    <w:rsid w:val="00FA5BDC"/>
    <w:rsid w:val="00FA5BFD"/>
    <w:rsid w:val="00FA5C35"/>
    <w:rsid w:val="00FA5C38"/>
    <w:rsid w:val="00FA5C66"/>
    <w:rsid w:val="00FA5CA2"/>
    <w:rsid w:val="00FA5CC9"/>
    <w:rsid w:val="00FA5D46"/>
    <w:rsid w:val="00FA5D62"/>
    <w:rsid w:val="00FA5E48"/>
    <w:rsid w:val="00FA5E5D"/>
    <w:rsid w:val="00FA5F03"/>
    <w:rsid w:val="00FA5F24"/>
    <w:rsid w:val="00FA5F69"/>
    <w:rsid w:val="00FA5F98"/>
    <w:rsid w:val="00FA5FE1"/>
    <w:rsid w:val="00FA5FEE"/>
    <w:rsid w:val="00FA6036"/>
    <w:rsid w:val="00FA60CA"/>
    <w:rsid w:val="00FA60D3"/>
    <w:rsid w:val="00FA60D9"/>
    <w:rsid w:val="00FA614A"/>
    <w:rsid w:val="00FA617E"/>
    <w:rsid w:val="00FA6194"/>
    <w:rsid w:val="00FA61DF"/>
    <w:rsid w:val="00FA61EE"/>
    <w:rsid w:val="00FA6385"/>
    <w:rsid w:val="00FA63C6"/>
    <w:rsid w:val="00FA6412"/>
    <w:rsid w:val="00FA6422"/>
    <w:rsid w:val="00FA6484"/>
    <w:rsid w:val="00FA649E"/>
    <w:rsid w:val="00FA64EE"/>
    <w:rsid w:val="00FA64F0"/>
    <w:rsid w:val="00FA651A"/>
    <w:rsid w:val="00FA6556"/>
    <w:rsid w:val="00FA6574"/>
    <w:rsid w:val="00FA657B"/>
    <w:rsid w:val="00FA65AF"/>
    <w:rsid w:val="00FA65FD"/>
    <w:rsid w:val="00FA6619"/>
    <w:rsid w:val="00FA6642"/>
    <w:rsid w:val="00FA664E"/>
    <w:rsid w:val="00FA66DA"/>
    <w:rsid w:val="00FA66E0"/>
    <w:rsid w:val="00FA670B"/>
    <w:rsid w:val="00FA6721"/>
    <w:rsid w:val="00FA678E"/>
    <w:rsid w:val="00FA67AA"/>
    <w:rsid w:val="00FA67FC"/>
    <w:rsid w:val="00FA6809"/>
    <w:rsid w:val="00FA6863"/>
    <w:rsid w:val="00FA696B"/>
    <w:rsid w:val="00FA6971"/>
    <w:rsid w:val="00FA6977"/>
    <w:rsid w:val="00FA6A16"/>
    <w:rsid w:val="00FA6AB0"/>
    <w:rsid w:val="00FA6AFF"/>
    <w:rsid w:val="00FA6B6A"/>
    <w:rsid w:val="00FA6C19"/>
    <w:rsid w:val="00FA6C43"/>
    <w:rsid w:val="00FA6C5F"/>
    <w:rsid w:val="00FA6C84"/>
    <w:rsid w:val="00FA6C85"/>
    <w:rsid w:val="00FA6CBF"/>
    <w:rsid w:val="00FA6CDB"/>
    <w:rsid w:val="00FA6D30"/>
    <w:rsid w:val="00FA6D8C"/>
    <w:rsid w:val="00FA6DB3"/>
    <w:rsid w:val="00FA6DB8"/>
    <w:rsid w:val="00FA6DD5"/>
    <w:rsid w:val="00FA6E87"/>
    <w:rsid w:val="00FA6E9C"/>
    <w:rsid w:val="00FA6EDE"/>
    <w:rsid w:val="00FA6EFF"/>
    <w:rsid w:val="00FA6F48"/>
    <w:rsid w:val="00FA6F54"/>
    <w:rsid w:val="00FA6FC1"/>
    <w:rsid w:val="00FA7006"/>
    <w:rsid w:val="00FA7036"/>
    <w:rsid w:val="00FA7076"/>
    <w:rsid w:val="00FA70AF"/>
    <w:rsid w:val="00FA70BC"/>
    <w:rsid w:val="00FA70DD"/>
    <w:rsid w:val="00FA70E0"/>
    <w:rsid w:val="00FA7124"/>
    <w:rsid w:val="00FA714A"/>
    <w:rsid w:val="00FA71ED"/>
    <w:rsid w:val="00FA7220"/>
    <w:rsid w:val="00FA7222"/>
    <w:rsid w:val="00FA725D"/>
    <w:rsid w:val="00FA7287"/>
    <w:rsid w:val="00FA72B9"/>
    <w:rsid w:val="00FA72E3"/>
    <w:rsid w:val="00FA736E"/>
    <w:rsid w:val="00FA738E"/>
    <w:rsid w:val="00FA73FD"/>
    <w:rsid w:val="00FA742E"/>
    <w:rsid w:val="00FA7443"/>
    <w:rsid w:val="00FA744C"/>
    <w:rsid w:val="00FA7451"/>
    <w:rsid w:val="00FA7468"/>
    <w:rsid w:val="00FA7549"/>
    <w:rsid w:val="00FA7550"/>
    <w:rsid w:val="00FA7572"/>
    <w:rsid w:val="00FA757B"/>
    <w:rsid w:val="00FA75F7"/>
    <w:rsid w:val="00FA762B"/>
    <w:rsid w:val="00FA76BD"/>
    <w:rsid w:val="00FA76CA"/>
    <w:rsid w:val="00FA76F2"/>
    <w:rsid w:val="00FA7702"/>
    <w:rsid w:val="00FA7715"/>
    <w:rsid w:val="00FA7716"/>
    <w:rsid w:val="00FA774C"/>
    <w:rsid w:val="00FA777C"/>
    <w:rsid w:val="00FA78FF"/>
    <w:rsid w:val="00FA7901"/>
    <w:rsid w:val="00FA795D"/>
    <w:rsid w:val="00FA7960"/>
    <w:rsid w:val="00FA7987"/>
    <w:rsid w:val="00FA798A"/>
    <w:rsid w:val="00FA79CD"/>
    <w:rsid w:val="00FA79D4"/>
    <w:rsid w:val="00FA7A21"/>
    <w:rsid w:val="00FA7AB6"/>
    <w:rsid w:val="00FA7B1F"/>
    <w:rsid w:val="00FA7B4C"/>
    <w:rsid w:val="00FA7B7E"/>
    <w:rsid w:val="00FA7B8C"/>
    <w:rsid w:val="00FA7C87"/>
    <w:rsid w:val="00FA7CFD"/>
    <w:rsid w:val="00FA7D01"/>
    <w:rsid w:val="00FA7D2B"/>
    <w:rsid w:val="00FA7D87"/>
    <w:rsid w:val="00FA7DA0"/>
    <w:rsid w:val="00FA7E0D"/>
    <w:rsid w:val="00FA7E44"/>
    <w:rsid w:val="00FA7E56"/>
    <w:rsid w:val="00FA7E90"/>
    <w:rsid w:val="00FA7E99"/>
    <w:rsid w:val="00FA7EA4"/>
    <w:rsid w:val="00FA7EB9"/>
    <w:rsid w:val="00FA7EC0"/>
    <w:rsid w:val="00FA7F72"/>
    <w:rsid w:val="00FA7F96"/>
    <w:rsid w:val="00FB0034"/>
    <w:rsid w:val="00FB0047"/>
    <w:rsid w:val="00FB0084"/>
    <w:rsid w:val="00FB00C7"/>
    <w:rsid w:val="00FB00F3"/>
    <w:rsid w:val="00FB021A"/>
    <w:rsid w:val="00FB0228"/>
    <w:rsid w:val="00FB0269"/>
    <w:rsid w:val="00FB02B3"/>
    <w:rsid w:val="00FB02E1"/>
    <w:rsid w:val="00FB02EB"/>
    <w:rsid w:val="00FB0378"/>
    <w:rsid w:val="00FB043C"/>
    <w:rsid w:val="00FB0448"/>
    <w:rsid w:val="00FB045F"/>
    <w:rsid w:val="00FB0491"/>
    <w:rsid w:val="00FB04AD"/>
    <w:rsid w:val="00FB04C6"/>
    <w:rsid w:val="00FB0569"/>
    <w:rsid w:val="00FB05BE"/>
    <w:rsid w:val="00FB05DC"/>
    <w:rsid w:val="00FB061F"/>
    <w:rsid w:val="00FB064E"/>
    <w:rsid w:val="00FB06A5"/>
    <w:rsid w:val="00FB070E"/>
    <w:rsid w:val="00FB0780"/>
    <w:rsid w:val="00FB07A7"/>
    <w:rsid w:val="00FB07B7"/>
    <w:rsid w:val="00FB07BB"/>
    <w:rsid w:val="00FB0811"/>
    <w:rsid w:val="00FB0879"/>
    <w:rsid w:val="00FB0898"/>
    <w:rsid w:val="00FB08AA"/>
    <w:rsid w:val="00FB08B4"/>
    <w:rsid w:val="00FB0964"/>
    <w:rsid w:val="00FB099D"/>
    <w:rsid w:val="00FB09BB"/>
    <w:rsid w:val="00FB0A27"/>
    <w:rsid w:val="00FB0A34"/>
    <w:rsid w:val="00FB0AA6"/>
    <w:rsid w:val="00FB0AD7"/>
    <w:rsid w:val="00FB0ADA"/>
    <w:rsid w:val="00FB0AE0"/>
    <w:rsid w:val="00FB0AFC"/>
    <w:rsid w:val="00FB0B2B"/>
    <w:rsid w:val="00FB0B8F"/>
    <w:rsid w:val="00FB0BC8"/>
    <w:rsid w:val="00FB0BDF"/>
    <w:rsid w:val="00FB0BFB"/>
    <w:rsid w:val="00FB0C38"/>
    <w:rsid w:val="00FB0C72"/>
    <w:rsid w:val="00FB0C79"/>
    <w:rsid w:val="00FB0D11"/>
    <w:rsid w:val="00FB0D38"/>
    <w:rsid w:val="00FB0D44"/>
    <w:rsid w:val="00FB0D45"/>
    <w:rsid w:val="00FB0D76"/>
    <w:rsid w:val="00FB0DDE"/>
    <w:rsid w:val="00FB0E63"/>
    <w:rsid w:val="00FB0E66"/>
    <w:rsid w:val="00FB0E7D"/>
    <w:rsid w:val="00FB0EA0"/>
    <w:rsid w:val="00FB0ECD"/>
    <w:rsid w:val="00FB0EEE"/>
    <w:rsid w:val="00FB0F98"/>
    <w:rsid w:val="00FB0FF4"/>
    <w:rsid w:val="00FB1037"/>
    <w:rsid w:val="00FB1040"/>
    <w:rsid w:val="00FB1073"/>
    <w:rsid w:val="00FB10B9"/>
    <w:rsid w:val="00FB10F0"/>
    <w:rsid w:val="00FB118D"/>
    <w:rsid w:val="00FB11C3"/>
    <w:rsid w:val="00FB11C4"/>
    <w:rsid w:val="00FB121E"/>
    <w:rsid w:val="00FB1225"/>
    <w:rsid w:val="00FB1237"/>
    <w:rsid w:val="00FB1278"/>
    <w:rsid w:val="00FB127D"/>
    <w:rsid w:val="00FB128F"/>
    <w:rsid w:val="00FB12AB"/>
    <w:rsid w:val="00FB12E0"/>
    <w:rsid w:val="00FB1337"/>
    <w:rsid w:val="00FB13BF"/>
    <w:rsid w:val="00FB13D1"/>
    <w:rsid w:val="00FB13E0"/>
    <w:rsid w:val="00FB1401"/>
    <w:rsid w:val="00FB1437"/>
    <w:rsid w:val="00FB1446"/>
    <w:rsid w:val="00FB146D"/>
    <w:rsid w:val="00FB147D"/>
    <w:rsid w:val="00FB15A7"/>
    <w:rsid w:val="00FB15A8"/>
    <w:rsid w:val="00FB1635"/>
    <w:rsid w:val="00FB164D"/>
    <w:rsid w:val="00FB1685"/>
    <w:rsid w:val="00FB16BF"/>
    <w:rsid w:val="00FB16CC"/>
    <w:rsid w:val="00FB16F1"/>
    <w:rsid w:val="00FB1700"/>
    <w:rsid w:val="00FB1738"/>
    <w:rsid w:val="00FB1752"/>
    <w:rsid w:val="00FB1767"/>
    <w:rsid w:val="00FB1791"/>
    <w:rsid w:val="00FB179E"/>
    <w:rsid w:val="00FB17F4"/>
    <w:rsid w:val="00FB1805"/>
    <w:rsid w:val="00FB1878"/>
    <w:rsid w:val="00FB1890"/>
    <w:rsid w:val="00FB18A8"/>
    <w:rsid w:val="00FB18C2"/>
    <w:rsid w:val="00FB18CE"/>
    <w:rsid w:val="00FB1902"/>
    <w:rsid w:val="00FB191A"/>
    <w:rsid w:val="00FB1980"/>
    <w:rsid w:val="00FB198B"/>
    <w:rsid w:val="00FB19D4"/>
    <w:rsid w:val="00FB1A3B"/>
    <w:rsid w:val="00FB1A63"/>
    <w:rsid w:val="00FB1A83"/>
    <w:rsid w:val="00FB1AD5"/>
    <w:rsid w:val="00FB1AF3"/>
    <w:rsid w:val="00FB1AFE"/>
    <w:rsid w:val="00FB1B05"/>
    <w:rsid w:val="00FB1B0C"/>
    <w:rsid w:val="00FB1B0D"/>
    <w:rsid w:val="00FB1B3A"/>
    <w:rsid w:val="00FB1B52"/>
    <w:rsid w:val="00FB1B7F"/>
    <w:rsid w:val="00FB1BAA"/>
    <w:rsid w:val="00FB1BD2"/>
    <w:rsid w:val="00FB1BDF"/>
    <w:rsid w:val="00FB1C8B"/>
    <w:rsid w:val="00FB1C8E"/>
    <w:rsid w:val="00FB1CC7"/>
    <w:rsid w:val="00FB1CF3"/>
    <w:rsid w:val="00FB1D5F"/>
    <w:rsid w:val="00FB1E01"/>
    <w:rsid w:val="00FB1E09"/>
    <w:rsid w:val="00FB1E8A"/>
    <w:rsid w:val="00FB1E90"/>
    <w:rsid w:val="00FB1E9C"/>
    <w:rsid w:val="00FB1EAF"/>
    <w:rsid w:val="00FB1F85"/>
    <w:rsid w:val="00FB1FB5"/>
    <w:rsid w:val="00FB1FBE"/>
    <w:rsid w:val="00FB1FCE"/>
    <w:rsid w:val="00FB1FD7"/>
    <w:rsid w:val="00FB2024"/>
    <w:rsid w:val="00FB2038"/>
    <w:rsid w:val="00FB205A"/>
    <w:rsid w:val="00FB207F"/>
    <w:rsid w:val="00FB2094"/>
    <w:rsid w:val="00FB20C4"/>
    <w:rsid w:val="00FB20E4"/>
    <w:rsid w:val="00FB2110"/>
    <w:rsid w:val="00FB218D"/>
    <w:rsid w:val="00FB2195"/>
    <w:rsid w:val="00FB21AA"/>
    <w:rsid w:val="00FB21E2"/>
    <w:rsid w:val="00FB2203"/>
    <w:rsid w:val="00FB224F"/>
    <w:rsid w:val="00FB2265"/>
    <w:rsid w:val="00FB22BE"/>
    <w:rsid w:val="00FB2337"/>
    <w:rsid w:val="00FB233B"/>
    <w:rsid w:val="00FB23CF"/>
    <w:rsid w:val="00FB23F0"/>
    <w:rsid w:val="00FB246C"/>
    <w:rsid w:val="00FB248F"/>
    <w:rsid w:val="00FB24D4"/>
    <w:rsid w:val="00FB24D8"/>
    <w:rsid w:val="00FB24D9"/>
    <w:rsid w:val="00FB24F3"/>
    <w:rsid w:val="00FB252D"/>
    <w:rsid w:val="00FB2543"/>
    <w:rsid w:val="00FB2563"/>
    <w:rsid w:val="00FB25A3"/>
    <w:rsid w:val="00FB25A7"/>
    <w:rsid w:val="00FB25AF"/>
    <w:rsid w:val="00FB25D2"/>
    <w:rsid w:val="00FB25FA"/>
    <w:rsid w:val="00FB265C"/>
    <w:rsid w:val="00FB2661"/>
    <w:rsid w:val="00FB270D"/>
    <w:rsid w:val="00FB270E"/>
    <w:rsid w:val="00FB2729"/>
    <w:rsid w:val="00FB278E"/>
    <w:rsid w:val="00FB27B3"/>
    <w:rsid w:val="00FB2812"/>
    <w:rsid w:val="00FB28AD"/>
    <w:rsid w:val="00FB28E8"/>
    <w:rsid w:val="00FB292C"/>
    <w:rsid w:val="00FB2990"/>
    <w:rsid w:val="00FB29FC"/>
    <w:rsid w:val="00FB2A01"/>
    <w:rsid w:val="00FB2A4F"/>
    <w:rsid w:val="00FB2A72"/>
    <w:rsid w:val="00FB2A9B"/>
    <w:rsid w:val="00FB2AAF"/>
    <w:rsid w:val="00FB2ACE"/>
    <w:rsid w:val="00FB2B19"/>
    <w:rsid w:val="00FB2B3E"/>
    <w:rsid w:val="00FB2C4A"/>
    <w:rsid w:val="00FB2CE7"/>
    <w:rsid w:val="00FB2CED"/>
    <w:rsid w:val="00FB2D0E"/>
    <w:rsid w:val="00FB2D41"/>
    <w:rsid w:val="00FB2D6F"/>
    <w:rsid w:val="00FB2D86"/>
    <w:rsid w:val="00FB2D9C"/>
    <w:rsid w:val="00FB2DAF"/>
    <w:rsid w:val="00FB2DB8"/>
    <w:rsid w:val="00FB2E38"/>
    <w:rsid w:val="00FB2E6F"/>
    <w:rsid w:val="00FB2EBB"/>
    <w:rsid w:val="00FB2ECB"/>
    <w:rsid w:val="00FB2EE5"/>
    <w:rsid w:val="00FB2EF3"/>
    <w:rsid w:val="00FB2F22"/>
    <w:rsid w:val="00FB2F37"/>
    <w:rsid w:val="00FB2F54"/>
    <w:rsid w:val="00FB3028"/>
    <w:rsid w:val="00FB3037"/>
    <w:rsid w:val="00FB3050"/>
    <w:rsid w:val="00FB3068"/>
    <w:rsid w:val="00FB307C"/>
    <w:rsid w:val="00FB30A1"/>
    <w:rsid w:val="00FB30CF"/>
    <w:rsid w:val="00FB30D6"/>
    <w:rsid w:val="00FB30DA"/>
    <w:rsid w:val="00FB312E"/>
    <w:rsid w:val="00FB314B"/>
    <w:rsid w:val="00FB317C"/>
    <w:rsid w:val="00FB31A9"/>
    <w:rsid w:val="00FB31DF"/>
    <w:rsid w:val="00FB31E8"/>
    <w:rsid w:val="00FB3207"/>
    <w:rsid w:val="00FB32C7"/>
    <w:rsid w:val="00FB32F1"/>
    <w:rsid w:val="00FB332B"/>
    <w:rsid w:val="00FB3335"/>
    <w:rsid w:val="00FB335B"/>
    <w:rsid w:val="00FB33A5"/>
    <w:rsid w:val="00FB33BC"/>
    <w:rsid w:val="00FB33C3"/>
    <w:rsid w:val="00FB33E3"/>
    <w:rsid w:val="00FB3419"/>
    <w:rsid w:val="00FB3430"/>
    <w:rsid w:val="00FB3491"/>
    <w:rsid w:val="00FB34A9"/>
    <w:rsid w:val="00FB34B5"/>
    <w:rsid w:val="00FB34FB"/>
    <w:rsid w:val="00FB3574"/>
    <w:rsid w:val="00FB359D"/>
    <w:rsid w:val="00FB35A6"/>
    <w:rsid w:val="00FB35A8"/>
    <w:rsid w:val="00FB35B6"/>
    <w:rsid w:val="00FB35BE"/>
    <w:rsid w:val="00FB368B"/>
    <w:rsid w:val="00FB36D0"/>
    <w:rsid w:val="00FB371F"/>
    <w:rsid w:val="00FB3724"/>
    <w:rsid w:val="00FB3765"/>
    <w:rsid w:val="00FB376C"/>
    <w:rsid w:val="00FB37EC"/>
    <w:rsid w:val="00FB37F6"/>
    <w:rsid w:val="00FB385F"/>
    <w:rsid w:val="00FB3898"/>
    <w:rsid w:val="00FB38C5"/>
    <w:rsid w:val="00FB38F4"/>
    <w:rsid w:val="00FB38F7"/>
    <w:rsid w:val="00FB38FA"/>
    <w:rsid w:val="00FB3951"/>
    <w:rsid w:val="00FB39A4"/>
    <w:rsid w:val="00FB3A41"/>
    <w:rsid w:val="00FB3A7C"/>
    <w:rsid w:val="00FB3B32"/>
    <w:rsid w:val="00FB3B76"/>
    <w:rsid w:val="00FB3BA9"/>
    <w:rsid w:val="00FB3BB3"/>
    <w:rsid w:val="00FB3C3D"/>
    <w:rsid w:val="00FB3C6A"/>
    <w:rsid w:val="00FB3C7B"/>
    <w:rsid w:val="00FB3CAF"/>
    <w:rsid w:val="00FB3CB9"/>
    <w:rsid w:val="00FB3CC1"/>
    <w:rsid w:val="00FB3CE1"/>
    <w:rsid w:val="00FB3CE9"/>
    <w:rsid w:val="00FB3CF1"/>
    <w:rsid w:val="00FB3D18"/>
    <w:rsid w:val="00FB3D1F"/>
    <w:rsid w:val="00FB3D2B"/>
    <w:rsid w:val="00FB3D39"/>
    <w:rsid w:val="00FB3D44"/>
    <w:rsid w:val="00FB3D91"/>
    <w:rsid w:val="00FB3DA6"/>
    <w:rsid w:val="00FB3DB0"/>
    <w:rsid w:val="00FB3DFA"/>
    <w:rsid w:val="00FB3DFE"/>
    <w:rsid w:val="00FB3E47"/>
    <w:rsid w:val="00FB3E70"/>
    <w:rsid w:val="00FB3EBF"/>
    <w:rsid w:val="00FB3EF4"/>
    <w:rsid w:val="00FB3FD3"/>
    <w:rsid w:val="00FB3FF7"/>
    <w:rsid w:val="00FB4023"/>
    <w:rsid w:val="00FB4032"/>
    <w:rsid w:val="00FB40EB"/>
    <w:rsid w:val="00FB40F0"/>
    <w:rsid w:val="00FB4121"/>
    <w:rsid w:val="00FB413E"/>
    <w:rsid w:val="00FB4166"/>
    <w:rsid w:val="00FB4175"/>
    <w:rsid w:val="00FB41DB"/>
    <w:rsid w:val="00FB41FB"/>
    <w:rsid w:val="00FB420C"/>
    <w:rsid w:val="00FB423F"/>
    <w:rsid w:val="00FB4261"/>
    <w:rsid w:val="00FB426C"/>
    <w:rsid w:val="00FB4317"/>
    <w:rsid w:val="00FB431A"/>
    <w:rsid w:val="00FB43D3"/>
    <w:rsid w:val="00FB43F9"/>
    <w:rsid w:val="00FB441F"/>
    <w:rsid w:val="00FB445B"/>
    <w:rsid w:val="00FB446D"/>
    <w:rsid w:val="00FB44AE"/>
    <w:rsid w:val="00FB44BA"/>
    <w:rsid w:val="00FB44FC"/>
    <w:rsid w:val="00FB44FD"/>
    <w:rsid w:val="00FB458D"/>
    <w:rsid w:val="00FB45A2"/>
    <w:rsid w:val="00FB45AC"/>
    <w:rsid w:val="00FB45C6"/>
    <w:rsid w:val="00FB45F1"/>
    <w:rsid w:val="00FB4622"/>
    <w:rsid w:val="00FB4648"/>
    <w:rsid w:val="00FB46F2"/>
    <w:rsid w:val="00FB473D"/>
    <w:rsid w:val="00FB474E"/>
    <w:rsid w:val="00FB47F7"/>
    <w:rsid w:val="00FB4800"/>
    <w:rsid w:val="00FB4801"/>
    <w:rsid w:val="00FB4804"/>
    <w:rsid w:val="00FB4824"/>
    <w:rsid w:val="00FB4827"/>
    <w:rsid w:val="00FB483F"/>
    <w:rsid w:val="00FB485C"/>
    <w:rsid w:val="00FB486E"/>
    <w:rsid w:val="00FB488E"/>
    <w:rsid w:val="00FB48CC"/>
    <w:rsid w:val="00FB48EE"/>
    <w:rsid w:val="00FB48F9"/>
    <w:rsid w:val="00FB4936"/>
    <w:rsid w:val="00FB494B"/>
    <w:rsid w:val="00FB4961"/>
    <w:rsid w:val="00FB49E5"/>
    <w:rsid w:val="00FB49EE"/>
    <w:rsid w:val="00FB4A36"/>
    <w:rsid w:val="00FB4A76"/>
    <w:rsid w:val="00FB4A8B"/>
    <w:rsid w:val="00FB4AA5"/>
    <w:rsid w:val="00FB4AAE"/>
    <w:rsid w:val="00FB4B18"/>
    <w:rsid w:val="00FB4B4F"/>
    <w:rsid w:val="00FB4B54"/>
    <w:rsid w:val="00FB4B7C"/>
    <w:rsid w:val="00FB4BC4"/>
    <w:rsid w:val="00FB4BF2"/>
    <w:rsid w:val="00FB4C26"/>
    <w:rsid w:val="00FB4C61"/>
    <w:rsid w:val="00FB4C85"/>
    <w:rsid w:val="00FB4C96"/>
    <w:rsid w:val="00FB4CE6"/>
    <w:rsid w:val="00FB4D10"/>
    <w:rsid w:val="00FB4D6F"/>
    <w:rsid w:val="00FB4DEE"/>
    <w:rsid w:val="00FB4E65"/>
    <w:rsid w:val="00FB4EBF"/>
    <w:rsid w:val="00FB4EDC"/>
    <w:rsid w:val="00FB4F5E"/>
    <w:rsid w:val="00FB4FD8"/>
    <w:rsid w:val="00FB5058"/>
    <w:rsid w:val="00FB50B7"/>
    <w:rsid w:val="00FB50F1"/>
    <w:rsid w:val="00FB5104"/>
    <w:rsid w:val="00FB5136"/>
    <w:rsid w:val="00FB51B2"/>
    <w:rsid w:val="00FB51C6"/>
    <w:rsid w:val="00FB51C7"/>
    <w:rsid w:val="00FB5237"/>
    <w:rsid w:val="00FB5300"/>
    <w:rsid w:val="00FB535D"/>
    <w:rsid w:val="00FB53A7"/>
    <w:rsid w:val="00FB542E"/>
    <w:rsid w:val="00FB5450"/>
    <w:rsid w:val="00FB5463"/>
    <w:rsid w:val="00FB547C"/>
    <w:rsid w:val="00FB5484"/>
    <w:rsid w:val="00FB548D"/>
    <w:rsid w:val="00FB54EB"/>
    <w:rsid w:val="00FB550A"/>
    <w:rsid w:val="00FB5514"/>
    <w:rsid w:val="00FB5519"/>
    <w:rsid w:val="00FB551B"/>
    <w:rsid w:val="00FB555B"/>
    <w:rsid w:val="00FB5562"/>
    <w:rsid w:val="00FB5572"/>
    <w:rsid w:val="00FB5597"/>
    <w:rsid w:val="00FB55E3"/>
    <w:rsid w:val="00FB56BB"/>
    <w:rsid w:val="00FB5723"/>
    <w:rsid w:val="00FB5743"/>
    <w:rsid w:val="00FB57C3"/>
    <w:rsid w:val="00FB57E2"/>
    <w:rsid w:val="00FB57E6"/>
    <w:rsid w:val="00FB5859"/>
    <w:rsid w:val="00FB58D3"/>
    <w:rsid w:val="00FB59C6"/>
    <w:rsid w:val="00FB5AB4"/>
    <w:rsid w:val="00FB5ADF"/>
    <w:rsid w:val="00FB5AED"/>
    <w:rsid w:val="00FB5AF8"/>
    <w:rsid w:val="00FB5B34"/>
    <w:rsid w:val="00FB5B63"/>
    <w:rsid w:val="00FB5B70"/>
    <w:rsid w:val="00FB5BBC"/>
    <w:rsid w:val="00FB5BBD"/>
    <w:rsid w:val="00FB5BC2"/>
    <w:rsid w:val="00FB5CAC"/>
    <w:rsid w:val="00FB5CCF"/>
    <w:rsid w:val="00FB5CD5"/>
    <w:rsid w:val="00FB5CDF"/>
    <w:rsid w:val="00FB5D47"/>
    <w:rsid w:val="00FB5E53"/>
    <w:rsid w:val="00FB5E8E"/>
    <w:rsid w:val="00FB5E94"/>
    <w:rsid w:val="00FB5EE2"/>
    <w:rsid w:val="00FB5F70"/>
    <w:rsid w:val="00FB5F83"/>
    <w:rsid w:val="00FB5F9F"/>
    <w:rsid w:val="00FB5FA0"/>
    <w:rsid w:val="00FB5FBA"/>
    <w:rsid w:val="00FB5FD2"/>
    <w:rsid w:val="00FB5FFF"/>
    <w:rsid w:val="00FB601F"/>
    <w:rsid w:val="00FB6027"/>
    <w:rsid w:val="00FB6094"/>
    <w:rsid w:val="00FB60DC"/>
    <w:rsid w:val="00FB6104"/>
    <w:rsid w:val="00FB610B"/>
    <w:rsid w:val="00FB6112"/>
    <w:rsid w:val="00FB614E"/>
    <w:rsid w:val="00FB617C"/>
    <w:rsid w:val="00FB6180"/>
    <w:rsid w:val="00FB61F2"/>
    <w:rsid w:val="00FB61F5"/>
    <w:rsid w:val="00FB6218"/>
    <w:rsid w:val="00FB6237"/>
    <w:rsid w:val="00FB6267"/>
    <w:rsid w:val="00FB627E"/>
    <w:rsid w:val="00FB62B6"/>
    <w:rsid w:val="00FB62B8"/>
    <w:rsid w:val="00FB62FD"/>
    <w:rsid w:val="00FB631A"/>
    <w:rsid w:val="00FB632A"/>
    <w:rsid w:val="00FB6399"/>
    <w:rsid w:val="00FB64D7"/>
    <w:rsid w:val="00FB6513"/>
    <w:rsid w:val="00FB6576"/>
    <w:rsid w:val="00FB65CE"/>
    <w:rsid w:val="00FB662C"/>
    <w:rsid w:val="00FB665D"/>
    <w:rsid w:val="00FB6694"/>
    <w:rsid w:val="00FB66A7"/>
    <w:rsid w:val="00FB6778"/>
    <w:rsid w:val="00FB6796"/>
    <w:rsid w:val="00FB67F1"/>
    <w:rsid w:val="00FB67FC"/>
    <w:rsid w:val="00FB6826"/>
    <w:rsid w:val="00FB685D"/>
    <w:rsid w:val="00FB6886"/>
    <w:rsid w:val="00FB68C8"/>
    <w:rsid w:val="00FB68E5"/>
    <w:rsid w:val="00FB6907"/>
    <w:rsid w:val="00FB6944"/>
    <w:rsid w:val="00FB6960"/>
    <w:rsid w:val="00FB69E9"/>
    <w:rsid w:val="00FB69F3"/>
    <w:rsid w:val="00FB6ADD"/>
    <w:rsid w:val="00FB6B0A"/>
    <w:rsid w:val="00FB6B62"/>
    <w:rsid w:val="00FB6B67"/>
    <w:rsid w:val="00FB6B72"/>
    <w:rsid w:val="00FB6BD3"/>
    <w:rsid w:val="00FB6BE2"/>
    <w:rsid w:val="00FB6BFC"/>
    <w:rsid w:val="00FB6BFE"/>
    <w:rsid w:val="00FB6C07"/>
    <w:rsid w:val="00FB6C19"/>
    <w:rsid w:val="00FB6C75"/>
    <w:rsid w:val="00FB6C84"/>
    <w:rsid w:val="00FB6C9D"/>
    <w:rsid w:val="00FB6CE2"/>
    <w:rsid w:val="00FB6CEB"/>
    <w:rsid w:val="00FB6D00"/>
    <w:rsid w:val="00FB6D44"/>
    <w:rsid w:val="00FB6DA7"/>
    <w:rsid w:val="00FB6DFB"/>
    <w:rsid w:val="00FB6E33"/>
    <w:rsid w:val="00FB6EBB"/>
    <w:rsid w:val="00FB6EF9"/>
    <w:rsid w:val="00FB6F37"/>
    <w:rsid w:val="00FB6F87"/>
    <w:rsid w:val="00FB6F91"/>
    <w:rsid w:val="00FB6FAD"/>
    <w:rsid w:val="00FB6FDE"/>
    <w:rsid w:val="00FB6FFE"/>
    <w:rsid w:val="00FB702F"/>
    <w:rsid w:val="00FB7099"/>
    <w:rsid w:val="00FB70BF"/>
    <w:rsid w:val="00FB7122"/>
    <w:rsid w:val="00FB713D"/>
    <w:rsid w:val="00FB714D"/>
    <w:rsid w:val="00FB719E"/>
    <w:rsid w:val="00FB71A7"/>
    <w:rsid w:val="00FB7207"/>
    <w:rsid w:val="00FB722F"/>
    <w:rsid w:val="00FB7290"/>
    <w:rsid w:val="00FB7298"/>
    <w:rsid w:val="00FB72B1"/>
    <w:rsid w:val="00FB7320"/>
    <w:rsid w:val="00FB7361"/>
    <w:rsid w:val="00FB736C"/>
    <w:rsid w:val="00FB73CB"/>
    <w:rsid w:val="00FB73E3"/>
    <w:rsid w:val="00FB7426"/>
    <w:rsid w:val="00FB742D"/>
    <w:rsid w:val="00FB745D"/>
    <w:rsid w:val="00FB7485"/>
    <w:rsid w:val="00FB7487"/>
    <w:rsid w:val="00FB74D0"/>
    <w:rsid w:val="00FB7534"/>
    <w:rsid w:val="00FB7539"/>
    <w:rsid w:val="00FB753A"/>
    <w:rsid w:val="00FB759E"/>
    <w:rsid w:val="00FB75A3"/>
    <w:rsid w:val="00FB75C0"/>
    <w:rsid w:val="00FB75C8"/>
    <w:rsid w:val="00FB75E4"/>
    <w:rsid w:val="00FB7625"/>
    <w:rsid w:val="00FB7663"/>
    <w:rsid w:val="00FB767E"/>
    <w:rsid w:val="00FB76B0"/>
    <w:rsid w:val="00FB771C"/>
    <w:rsid w:val="00FB774F"/>
    <w:rsid w:val="00FB7784"/>
    <w:rsid w:val="00FB7790"/>
    <w:rsid w:val="00FB77A6"/>
    <w:rsid w:val="00FB77AF"/>
    <w:rsid w:val="00FB77DC"/>
    <w:rsid w:val="00FB7813"/>
    <w:rsid w:val="00FB7818"/>
    <w:rsid w:val="00FB781C"/>
    <w:rsid w:val="00FB78D5"/>
    <w:rsid w:val="00FB78DF"/>
    <w:rsid w:val="00FB78E7"/>
    <w:rsid w:val="00FB78F6"/>
    <w:rsid w:val="00FB790D"/>
    <w:rsid w:val="00FB791B"/>
    <w:rsid w:val="00FB7940"/>
    <w:rsid w:val="00FB7964"/>
    <w:rsid w:val="00FB7A1C"/>
    <w:rsid w:val="00FB7A38"/>
    <w:rsid w:val="00FB7A73"/>
    <w:rsid w:val="00FB7AA4"/>
    <w:rsid w:val="00FB7AFE"/>
    <w:rsid w:val="00FB7B2E"/>
    <w:rsid w:val="00FB7BB6"/>
    <w:rsid w:val="00FB7BF3"/>
    <w:rsid w:val="00FB7BFC"/>
    <w:rsid w:val="00FB7C03"/>
    <w:rsid w:val="00FB7C12"/>
    <w:rsid w:val="00FB7C30"/>
    <w:rsid w:val="00FB7C67"/>
    <w:rsid w:val="00FB7D27"/>
    <w:rsid w:val="00FB7D2F"/>
    <w:rsid w:val="00FB7D54"/>
    <w:rsid w:val="00FB7D63"/>
    <w:rsid w:val="00FB7D6A"/>
    <w:rsid w:val="00FB7D6F"/>
    <w:rsid w:val="00FB7DD1"/>
    <w:rsid w:val="00FB7DD9"/>
    <w:rsid w:val="00FB7EAD"/>
    <w:rsid w:val="00FB7EB1"/>
    <w:rsid w:val="00FB7EB3"/>
    <w:rsid w:val="00FB7EF5"/>
    <w:rsid w:val="00FB7EFD"/>
    <w:rsid w:val="00FB7F08"/>
    <w:rsid w:val="00FB7F1F"/>
    <w:rsid w:val="00FB7F34"/>
    <w:rsid w:val="00FB7F5E"/>
    <w:rsid w:val="00FB7F60"/>
    <w:rsid w:val="00FB7F65"/>
    <w:rsid w:val="00FB7F85"/>
    <w:rsid w:val="00FB7F97"/>
    <w:rsid w:val="00FB7FBE"/>
    <w:rsid w:val="00FB7FFE"/>
    <w:rsid w:val="00FC0016"/>
    <w:rsid w:val="00FC0045"/>
    <w:rsid w:val="00FC00BA"/>
    <w:rsid w:val="00FC00BC"/>
    <w:rsid w:val="00FC00E1"/>
    <w:rsid w:val="00FC0105"/>
    <w:rsid w:val="00FC0115"/>
    <w:rsid w:val="00FC0163"/>
    <w:rsid w:val="00FC01D6"/>
    <w:rsid w:val="00FC0264"/>
    <w:rsid w:val="00FC02AD"/>
    <w:rsid w:val="00FC02D5"/>
    <w:rsid w:val="00FC0344"/>
    <w:rsid w:val="00FC038F"/>
    <w:rsid w:val="00FC03C2"/>
    <w:rsid w:val="00FC03D9"/>
    <w:rsid w:val="00FC03FD"/>
    <w:rsid w:val="00FC0400"/>
    <w:rsid w:val="00FC041F"/>
    <w:rsid w:val="00FC043E"/>
    <w:rsid w:val="00FC0481"/>
    <w:rsid w:val="00FC0510"/>
    <w:rsid w:val="00FC05AB"/>
    <w:rsid w:val="00FC05B3"/>
    <w:rsid w:val="00FC05C2"/>
    <w:rsid w:val="00FC064E"/>
    <w:rsid w:val="00FC0651"/>
    <w:rsid w:val="00FC0654"/>
    <w:rsid w:val="00FC066F"/>
    <w:rsid w:val="00FC06D0"/>
    <w:rsid w:val="00FC06D5"/>
    <w:rsid w:val="00FC06D6"/>
    <w:rsid w:val="00FC06E2"/>
    <w:rsid w:val="00FC06EF"/>
    <w:rsid w:val="00FC06FF"/>
    <w:rsid w:val="00FC07BB"/>
    <w:rsid w:val="00FC07E1"/>
    <w:rsid w:val="00FC0824"/>
    <w:rsid w:val="00FC085F"/>
    <w:rsid w:val="00FC0893"/>
    <w:rsid w:val="00FC0937"/>
    <w:rsid w:val="00FC094C"/>
    <w:rsid w:val="00FC099E"/>
    <w:rsid w:val="00FC09ED"/>
    <w:rsid w:val="00FC09EF"/>
    <w:rsid w:val="00FC0A20"/>
    <w:rsid w:val="00FC0A38"/>
    <w:rsid w:val="00FC0A3A"/>
    <w:rsid w:val="00FC0A83"/>
    <w:rsid w:val="00FC0A95"/>
    <w:rsid w:val="00FC0B26"/>
    <w:rsid w:val="00FC0B7C"/>
    <w:rsid w:val="00FC0BD9"/>
    <w:rsid w:val="00FC0BE2"/>
    <w:rsid w:val="00FC0C10"/>
    <w:rsid w:val="00FC0C21"/>
    <w:rsid w:val="00FC0C75"/>
    <w:rsid w:val="00FC0D2D"/>
    <w:rsid w:val="00FC0D69"/>
    <w:rsid w:val="00FC0D74"/>
    <w:rsid w:val="00FC0DF3"/>
    <w:rsid w:val="00FC0EA9"/>
    <w:rsid w:val="00FC0EAC"/>
    <w:rsid w:val="00FC0EB4"/>
    <w:rsid w:val="00FC0EE8"/>
    <w:rsid w:val="00FC0F5B"/>
    <w:rsid w:val="00FC0FB1"/>
    <w:rsid w:val="00FC0FC6"/>
    <w:rsid w:val="00FC0FE3"/>
    <w:rsid w:val="00FC0FF1"/>
    <w:rsid w:val="00FC0FFD"/>
    <w:rsid w:val="00FC104B"/>
    <w:rsid w:val="00FC108C"/>
    <w:rsid w:val="00FC10A0"/>
    <w:rsid w:val="00FC10F2"/>
    <w:rsid w:val="00FC1146"/>
    <w:rsid w:val="00FC1150"/>
    <w:rsid w:val="00FC11DA"/>
    <w:rsid w:val="00FC121E"/>
    <w:rsid w:val="00FC123F"/>
    <w:rsid w:val="00FC1256"/>
    <w:rsid w:val="00FC1301"/>
    <w:rsid w:val="00FC1315"/>
    <w:rsid w:val="00FC1341"/>
    <w:rsid w:val="00FC1363"/>
    <w:rsid w:val="00FC136B"/>
    <w:rsid w:val="00FC1370"/>
    <w:rsid w:val="00FC139F"/>
    <w:rsid w:val="00FC13B8"/>
    <w:rsid w:val="00FC13C6"/>
    <w:rsid w:val="00FC142C"/>
    <w:rsid w:val="00FC1444"/>
    <w:rsid w:val="00FC145B"/>
    <w:rsid w:val="00FC14D6"/>
    <w:rsid w:val="00FC1511"/>
    <w:rsid w:val="00FC154C"/>
    <w:rsid w:val="00FC15A4"/>
    <w:rsid w:val="00FC15EF"/>
    <w:rsid w:val="00FC1617"/>
    <w:rsid w:val="00FC164B"/>
    <w:rsid w:val="00FC164C"/>
    <w:rsid w:val="00FC1653"/>
    <w:rsid w:val="00FC1682"/>
    <w:rsid w:val="00FC16B4"/>
    <w:rsid w:val="00FC16B7"/>
    <w:rsid w:val="00FC16BB"/>
    <w:rsid w:val="00FC16F5"/>
    <w:rsid w:val="00FC16FD"/>
    <w:rsid w:val="00FC1749"/>
    <w:rsid w:val="00FC1809"/>
    <w:rsid w:val="00FC1814"/>
    <w:rsid w:val="00FC183E"/>
    <w:rsid w:val="00FC18DC"/>
    <w:rsid w:val="00FC194B"/>
    <w:rsid w:val="00FC197B"/>
    <w:rsid w:val="00FC1989"/>
    <w:rsid w:val="00FC198E"/>
    <w:rsid w:val="00FC19EC"/>
    <w:rsid w:val="00FC19F0"/>
    <w:rsid w:val="00FC1A70"/>
    <w:rsid w:val="00FC1A71"/>
    <w:rsid w:val="00FC1A94"/>
    <w:rsid w:val="00FC1ACF"/>
    <w:rsid w:val="00FC1ADE"/>
    <w:rsid w:val="00FC1B05"/>
    <w:rsid w:val="00FC1B44"/>
    <w:rsid w:val="00FC1B46"/>
    <w:rsid w:val="00FC1B96"/>
    <w:rsid w:val="00FC1BF6"/>
    <w:rsid w:val="00FC1BFE"/>
    <w:rsid w:val="00FC1C25"/>
    <w:rsid w:val="00FC1C33"/>
    <w:rsid w:val="00FC1C3F"/>
    <w:rsid w:val="00FC1CCB"/>
    <w:rsid w:val="00FC1D7B"/>
    <w:rsid w:val="00FC1E04"/>
    <w:rsid w:val="00FC1E1B"/>
    <w:rsid w:val="00FC1E72"/>
    <w:rsid w:val="00FC1E78"/>
    <w:rsid w:val="00FC1E9C"/>
    <w:rsid w:val="00FC1EA9"/>
    <w:rsid w:val="00FC1EB3"/>
    <w:rsid w:val="00FC1F51"/>
    <w:rsid w:val="00FC1F87"/>
    <w:rsid w:val="00FC2058"/>
    <w:rsid w:val="00FC2068"/>
    <w:rsid w:val="00FC206E"/>
    <w:rsid w:val="00FC207C"/>
    <w:rsid w:val="00FC20D4"/>
    <w:rsid w:val="00FC20E9"/>
    <w:rsid w:val="00FC20F9"/>
    <w:rsid w:val="00FC20FC"/>
    <w:rsid w:val="00FC2135"/>
    <w:rsid w:val="00FC2141"/>
    <w:rsid w:val="00FC2169"/>
    <w:rsid w:val="00FC2197"/>
    <w:rsid w:val="00FC21BC"/>
    <w:rsid w:val="00FC2201"/>
    <w:rsid w:val="00FC2208"/>
    <w:rsid w:val="00FC222B"/>
    <w:rsid w:val="00FC2290"/>
    <w:rsid w:val="00FC235D"/>
    <w:rsid w:val="00FC2362"/>
    <w:rsid w:val="00FC2374"/>
    <w:rsid w:val="00FC2395"/>
    <w:rsid w:val="00FC2399"/>
    <w:rsid w:val="00FC23B7"/>
    <w:rsid w:val="00FC23BD"/>
    <w:rsid w:val="00FC23FF"/>
    <w:rsid w:val="00FC2429"/>
    <w:rsid w:val="00FC242C"/>
    <w:rsid w:val="00FC242E"/>
    <w:rsid w:val="00FC2449"/>
    <w:rsid w:val="00FC244C"/>
    <w:rsid w:val="00FC24C8"/>
    <w:rsid w:val="00FC2513"/>
    <w:rsid w:val="00FC2539"/>
    <w:rsid w:val="00FC253D"/>
    <w:rsid w:val="00FC2545"/>
    <w:rsid w:val="00FC2594"/>
    <w:rsid w:val="00FC25CE"/>
    <w:rsid w:val="00FC25F3"/>
    <w:rsid w:val="00FC25F8"/>
    <w:rsid w:val="00FC2647"/>
    <w:rsid w:val="00FC2648"/>
    <w:rsid w:val="00FC264D"/>
    <w:rsid w:val="00FC2663"/>
    <w:rsid w:val="00FC266F"/>
    <w:rsid w:val="00FC26C5"/>
    <w:rsid w:val="00FC26CD"/>
    <w:rsid w:val="00FC26DB"/>
    <w:rsid w:val="00FC2713"/>
    <w:rsid w:val="00FC271B"/>
    <w:rsid w:val="00FC274A"/>
    <w:rsid w:val="00FC27B5"/>
    <w:rsid w:val="00FC27F7"/>
    <w:rsid w:val="00FC2812"/>
    <w:rsid w:val="00FC285D"/>
    <w:rsid w:val="00FC28A5"/>
    <w:rsid w:val="00FC28AE"/>
    <w:rsid w:val="00FC28FD"/>
    <w:rsid w:val="00FC294C"/>
    <w:rsid w:val="00FC29C3"/>
    <w:rsid w:val="00FC2A2F"/>
    <w:rsid w:val="00FC2A3B"/>
    <w:rsid w:val="00FC2A96"/>
    <w:rsid w:val="00FC2A99"/>
    <w:rsid w:val="00FC2AA9"/>
    <w:rsid w:val="00FC2AC5"/>
    <w:rsid w:val="00FC2B02"/>
    <w:rsid w:val="00FC2B45"/>
    <w:rsid w:val="00FC2B4C"/>
    <w:rsid w:val="00FC2B5E"/>
    <w:rsid w:val="00FC2B60"/>
    <w:rsid w:val="00FC2BD0"/>
    <w:rsid w:val="00FC2BD9"/>
    <w:rsid w:val="00FC2BDE"/>
    <w:rsid w:val="00FC2C49"/>
    <w:rsid w:val="00FC2C52"/>
    <w:rsid w:val="00FC2C62"/>
    <w:rsid w:val="00FC2C85"/>
    <w:rsid w:val="00FC2C9F"/>
    <w:rsid w:val="00FC2CFC"/>
    <w:rsid w:val="00FC2D0E"/>
    <w:rsid w:val="00FC2D32"/>
    <w:rsid w:val="00FC2D48"/>
    <w:rsid w:val="00FC2D57"/>
    <w:rsid w:val="00FC2D73"/>
    <w:rsid w:val="00FC2DB8"/>
    <w:rsid w:val="00FC2E16"/>
    <w:rsid w:val="00FC2E4C"/>
    <w:rsid w:val="00FC2E56"/>
    <w:rsid w:val="00FC2E5F"/>
    <w:rsid w:val="00FC2E9B"/>
    <w:rsid w:val="00FC2EEF"/>
    <w:rsid w:val="00FC2F02"/>
    <w:rsid w:val="00FC2F44"/>
    <w:rsid w:val="00FC2F4A"/>
    <w:rsid w:val="00FC2F99"/>
    <w:rsid w:val="00FC2FDA"/>
    <w:rsid w:val="00FC3062"/>
    <w:rsid w:val="00FC3085"/>
    <w:rsid w:val="00FC3093"/>
    <w:rsid w:val="00FC30A0"/>
    <w:rsid w:val="00FC30BF"/>
    <w:rsid w:val="00FC30CA"/>
    <w:rsid w:val="00FC313E"/>
    <w:rsid w:val="00FC3161"/>
    <w:rsid w:val="00FC3171"/>
    <w:rsid w:val="00FC31C0"/>
    <w:rsid w:val="00FC31C3"/>
    <w:rsid w:val="00FC31C6"/>
    <w:rsid w:val="00FC3208"/>
    <w:rsid w:val="00FC3230"/>
    <w:rsid w:val="00FC3250"/>
    <w:rsid w:val="00FC3258"/>
    <w:rsid w:val="00FC326D"/>
    <w:rsid w:val="00FC3298"/>
    <w:rsid w:val="00FC32E6"/>
    <w:rsid w:val="00FC32FA"/>
    <w:rsid w:val="00FC3311"/>
    <w:rsid w:val="00FC33B0"/>
    <w:rsid w:val="00FC33B4"/>
    <w:rsid w:val="00FC3441"/>
    <w:rsid w:val="00FC3467"/>
    <w:rsid w:val="00FC3491"/>
    <w:rsid w:val="00FC34B2"/>
    <w:rsid w:val="00FC3520"/>
    <w:rsid w:val="00FC3525"/>
    <w:rsid w:val="00FC3584"/>
    <w:rsid w:val="00FC35CD"/>
    <w:rsid w:val="00FC3634"/>
    <w:rsid w:val="00FC3653"/>
    <w:rsid w:val="00FC36E2"/>
    <w:rsid w:val="00FC3730"/>
    <w:rsid w:val="00FC3747"/>
    <w:rsid w:val="00FC378D"/>
    <w:rsid w:val="00FC37A9"/>
    <w:rsid w:val="00FC37B3"/>
    <w:rsid w:val="00FC37C7"/>
    <w:rsid w:val="00FC3808"/>
    <w:rsid w:val="00FC3846"/>
    <w:rsid w:val="00FC3878"/>
    <w:rsid w:val="00FC3898"/>
    <w:rsid w:val="00FC38B1"/>
    <w:rsid w:val="00FC38B9"/>
    <w:rsid w:val="00FC393D"/>
    <w:rsid w:val="00FC3972"/>
    <w:rsid w:val="00FC39A5"/>
    <w:rsid w:val="00FC3A27"/>
    <w:rsid w:val="00FC3A5E"/>
    <w:rsid w:val="00FC3B49"/>
    <w:rsid w:val="00FC3B4E"/>
    <w:rsid w:val="00FC3B61"/>
    <w:rsid w:val="00FC3B71"/>
    <w:rsid w:val="00FC3B83"/>
    <w:rsid w:val="00FC3BB5"/>
    <w:rsid w:val="00FC3BB7"/>
    <w:rsid w:val="00FC3BD3"/>
    <w:rsid w:val="00FC3C04"/>
    <w:rsid w:val="00FC3C28"/>
    <w:rsid w:val="00FC3C92"/>
    <w:rsid w:val="00FC3CA9"/>
    <w:rsid w:val="00FC3CE0"/>
    <w:rsid w:val="00FC3D13"/>
    <w:rsid w:val="00FC3D18"/>
    <w:rsid w:val="00FC3D1D"/>
    <w:rsid w:val="00FC3D32"/>
    <w:rsid w:val="00FC3D47"/>
    <w:rsid w:val="00FC3D48"/>
    <w:rsid w:val="00FC3D5D"/>
    <w:rsid w:val="00FC3D77"/>
    <w:rsid w:val="00FC3DBC"/>
    <w:rsid w:val="00FC3DCF"/>
    <w:rsid w:val="00FC3E2F"/>
    <w:rsid w:val="00FC3E55"/>
    <w:rsid w:val="00FC3F0A"/>
    <w:rsid w:val="00FC3F19"/>
    <w:rsid w:val="00FC3F21"/>
    <w:rsid w:val="00FC3F6A"/>
    <w:rsid w:val="00FC3F9B"/>
    <w:rsid w:val="00FC3FB0"/>
    <w:rsid w:val="00FC3FD2"/>
    <w:rsid w:val="00FC3FD9"/>
    <w:rsid w:val="00FC4002"/>
    <w:rsid w:val="00FC402C"/>
    <w:rsid w:val="00FC4036"/>
    <w:rsid w:val="00FC4090"/>
    <w:rsid w:val="00FC418C"/>
    <w:rsid w:val="00FC41BF"/>
    <w:rsid w:val="00FC42B6"/>
    <w:rsid w:val="00FC42DC"/>
    <w:rsid w:val="00FC42E1"/>
    <w:rsid w:val="00FC4305"/>
    <w:rsid w:val="00FC4342"/>
    <w:rsid w:val="00FC4365"/>
    <w:rsid w:val="00FC437E"/>
    <w:rsid w:val="00FC43B1"/>
    <w:rsid w:val="00FC43B8"/>
    <w:rsid w:val="00FC43D3"/>
    <w:rsid w:val="00FC43E8"/>
    <w:rsid w:val="00FC43F9"/>
    <w:rsid w:val="00FC4404"/>
    <w:rsid w:val="00FC4429"/>
    <w:rsid w:val="00FC443B"/>
    <w:rsid w:val="00FC4495"/>
    <w:rsid w:val="00FC44E6"/>
    <w:rsid w:val="00FC44E9"/>
    <w:rsid w:val="00FC450B"/>
    <w:rsid w:val="00FC4516"/>
    <w:rsid w:val="00FC4551"/>
    <w:rsid w:val="00FC4591"/>
    <w:rsid w:val="00FC45BC"/>
    <w:rsid w:val="00FC45C2"/>
    <w:rsid w:val="00FC45CB"/>
    <w:rsid w:val="00FC4607"/>
    <w:rsid w:val="00FC4683"/>
    <w:rsid w:val="00FC4685"/>
    <w:rsid w:val="00FC471B"/>
    <w:rsid w:val="00FC47A1"/>
    <w:rsid w:val="00FC47A2"/>
    <w:rsid w:val="00FC47C7"/>
    <w:rsid w:val="00FC481C"/>
    <w:rsid w:val="00FC482C"/>
    <w:rsid w:val="00FC4944"/>
    <w:rsid w:val="00FC4983"/>
    <w:rsid w:val="00FC4990"/>
    <w:rsid w:val="00FC49CC"/>
    <w:rsid w:val="00FC49E3"/>
    <w:rsid w:val="00FC49FD"/>
    <w:rsid w:val="00FC4A09"/>
    <w:rsid w:val="00FC4A11"/>
    <w:rsid w:val="00FC4A50"/>
    <w:rsid w:val="00FC4A53"/>
    <w:rsid w:val="00FC4AA9"/>
    <w:rsid w:val="00FC4AC7"/>
    <w:rsid w:val="00FC4ADA"/>
    <w:rsid w:val="00FC4B2E"/>
    <w:rsid w:val="00FC4B30"/>
    <w:rsid w:val="00FC4B64"/>
    <w:rsid w:val="00FC4B6C"/>
    <w:rsid w:val="00FC4C4C"/>
    <w:rsid w:val="00FC4C51"/>
    <w:rsid w:val="00FC4C79"/>
    <w:rsid w:val="00FC4C83"/>
    <w:rsid w:val="00FC4C89"/>
    <w:rsid w:val="00FC4CAA"/>
    <w:rsid w:val="00FC4CAD"/>
    <w:rsid w:val="00FC4CD8"/>
    <w:rsid w:val="00FC4D47"/>
    <w:rsid w:val="00FC4D4C"/>
    <w:rsid w:val="00FC4DD1"/>
    <w:rsid w:val="00FC4E1C"/>
    <w:rsid w:val="00FC4E7F"/>
    <w:rsid w:val="00FC4EA0"/>
    <w:rsid w:val="00FC4F14"/>
    <w:rsid w:val="00FC4F4E"/>
    <w:rsid w:val="00FC4F7A"/>
    <w:rsid w:val="00FC4F81"/>
    <w:rsid w:val="00FC4F9C"/>
    <w:rsid w:val="00FC4FBC"/>
    <w:rsid w:val="00FC4FCC"/>
    <w:rsid w:val="00FC503E"/>
    <w:rsid w:val="00FC5044"/>
    <w:rsid w:val="00FC5058"/>
    <w:rsid w:val="00FC5077"/>
    <w:rsid w:val="00FC507F"/>
    <w:rsid w:val="00FC50B7"/>
    <w:rsid w:val="00FC50E6"/>
    <w:rsid w:val="00FC50FB"/>
    <w:rsid w:val="00FC5110"/>
    <w:rsid w:val="00FC5155"/>
    <w:rsid w:val="00FC517C"/>
    <w:rsid w:val="00FC5183"/>
    <w:rsid w:val="00FC5193"/>
    <w:rsid w:val="00FC520C"/>
    <w:rsid w:val="00FC523C"/>
    <w:rsid w:val="00FC52BB"/>
    <w:rsid w:val="00FC52CF"/>
    <w:rsid w:val="00FC5379"/>
    <w:rsid w:val="00FC547C"/>
    <w:rsid w:val="00FC5493"/>
    <w:rsid w:val="00FC5496"/>
    <w:rsid w:val="00FC54A7"/>
    <w:rsid w:val="00FC54B2"/>
    <w:rsid w:val="00FC5526"/>
    <w:rsid w:val="00FC5547"/>
    <w:rsid w:val="00FC55A3"/>
    <w:rsid w:val="00FC55CB"/>
    <w:rsid w:val="00FC55E7"/>
    <w:rsid w:val="00FC5614"/>
    <w:rsid w:val="00FC5663"/>
    <w:rsid w:val="00FC5676"/>
    <w:rsid w:val="00FC568F"/>
    <w:rsid w:val="00FC5715"/>
    <w:rsid w:val="00FC571F"/>
    <w:rsid w:val="00FC5762"/>
    <w:rsid w:val="00FC579A"/>
    <w:rsid w:val="00FC581E"/>
    <w:rsid w:val="00FC5827"/>
    <w:rsid w:val="00FC5851"/>
    <w:rsid w:val="00FC5880"/>
    <w:rsid w:val="00FC58CE"/>
    <w:rsid w:val="00FC5942"/>
    <w:rsid w:val="00FC59FF"/>
    <w:rsid w:val="00FC5A26"/>
    <w:rsid w:val="00FC5A87"/>
    <w:rsid w:val="00FC5AA2"/>
    <w:rsid w:val="00FC5B2D"/>
    <w:rsid w:val="00FC5B30"/>
    <w:rsid w:val="00FC5B3D"/>
    <w:rsid w:val="00FC5B96"/>
    <w:rsid w:val="00FC5BDE"/>
    <w:rsid w:val="00FC5C45"/>
    <w:rsid w:val="00FC5C77"/>
    <w:rsid w:val="00FC5CCB"/>
    <w:rsid w:val="00FC5CE7"/>
    <w:rsid w:val="00FC5CFF"/>
    <w:rsid w:val="00FC5D31"/>
    <w:rsid w:val="00FC5D67"/>
    <w:rsid w:val="00FC5E03"/>
    <w:rsid w:val="00FC5E07"/>
    <w:rsid w:val="00FC5E20"/>
    <w:rsid w:val="00FC5E3A"/>
    <w:rsid w:val="00FC5E41"/>
    <w:rsid w:val="00FC5E80"/>
    <w:rsid w:val="00FC5F28"/>
    <w:rsid w:val="00FC5F2F"/>
    <w:rsid w:val="00FC5F7E"/>
    <w:rsid w:val="00FC5F90"/>
    <w:rsid w:val="00FC5F93"/>
    <w:rsid w:val="00FC6044"/>
    <w:rsid w:val="00FC608B"/>
    <w:rsid w:val="00FC617D"/>
    <w:rsid w:val="00FC618F"/>
    <w:rsid w:val="00FC619A"/>
    <w:rsid w:val="00FC61D6"/>
    <w:rsid w:val="00FC61DC"/>
    <w:rsid w:val="00FC62CF"/>
    <w:rsid w:val="00FC62E9"/>
    <w:rsid w:val="00FC6308"/>
    <w:rsid w:val="00FC6339"/>
    <w:rsid w:val="00FC63C6"/>
    <w:rsid w:val="00FC640C"/>
    <w:rsid w:val="00FC645E"/>
    <w:rsid w:val="00FC6469"/>
    <w:rsid w:val="00FC648F"/>
    <w:rsid w:val="00FC64A9"/>
    <w:rsid w:val="00FC64EB"/>
    <w:rsid w:val="00FC6548"/>
    <w:rsid w:val="00FC6570"/>
    <w:rsid w:val="00FC65C7"/>
    <w:rsid w:val="00FC65CF"/>
    <w:rsid w:val="00FC668D"/>
    <w:rsid w:val="00FC66A6"/>
    <w:rsid w:val="00FC66C6"/>
    <w:rsid w:val="00FC66E4"/>
    <w:rsid w:val="00FC66FD"/>
    <w:rsid w:val="00FC670F"/>
    <w:rsid w:val="00FC67F9"/>
    <w:rsid w:val="00FC6815"/>
    <w:rsid w:val="00FC6855"/>
    <w:rsid w:val="00FC6866"/>
    <w:rsid w:val="00FC68C5"/>
    <w:rsid w:val="00FC6907"/>
    <w:rsid w:val="00FC6915"/>
    <w:rsid w:val="00FC6936"/>
    <w:rsid w:val="00FC6938"/>
    <w:rsid w:val="00FC6967"/>
    <w:rsid w:val="00FC69AC"/>
    <w:rsid w:val="00FC69E3"/>
    <w:rsid w:val="00FC69EE"/>
    <w:rsid w:val="00FC69F3"/>
    <w:rsid w:val="00FC6AFD"/>
    <w:rsid w:val="00FC6B37"/>
    <w:rsid w:val="00FC6C1F"/>
    <w:rsid w:val="00FC6C62"/>
    <w:rsid w:val="00FC6C9A"/>
    <w:rsid w:val="00FC6CAB"/>
    <w:rsid w:val="00FC6CB9"/>
    <w:rsid w:val="00FC6CD3"/>
    <w:rsid w:val="00FC6CF7"/>
    <w:rsid w:val="00FC6CF8"/>
    <w:rsid w:val="00FC6D02"/>
    <w:rsid w:val="00FC6D0B"/>
    <w:rsid w:val="00FC6D44"/>
    <w:rsid w:val="00FC6DA5"/>
    <w:rsid w:val="00FC6DA6"/>
    <w:rsid w:val="00FC6DD9"/>
    <w:rsid w:val="00FC6E4B"/>
    <w:rsid w:val="00FC6E91"/>
    <w:rsid w:val="00FC6F8B"/>
    <w:rsid w:val="00FC7001"/>
    <w:rsid w:val="00FC7010"/>
    <w:rsid w:val="00FC703F"/>
    <w:rsid w:val="00FC7071"/>
    <w:rsid w:val="00FC708C"/>
    <w:rsid w:val="00FC70AD"/>
    <w:rsid w:val="00FC713C"/>
    <w:rsid w:val="00FC7148"/>
    <w:rsid w:val="00FC719E"/>
    <w:rsid w:val="00FC71A3"/>
    <w:rsid w:val="00FC71CF"/>
    <w:rsid w:val="00FC71F6"/>
    <w:rsid w:val="00FC7229"/>
    <w:rsid w:val="00FC7237"/>
    <w:rsid w:val="00FC7266"/>
    <w:rsid w:val="00FC7279"/>
    <w:rsid w:val="00FC728B"/>
    <w:rsid w:val="00FC72E3"/>
    <w:rsid w:val="00FC7358"/>
    <w:rsid w:val="00FC7381"/>
    <w:rsid w:val="00FC7382"/>
    <w:rsid w:val="00FC738C"/>
    <w:rsid w:val="00FC73A7"/>
    <w:rsid w:val="00FC73C6"/>
    <w:rsid w:val="00FC73CC"/>
    <w:rsid w:val="00FC73F8"/>
    <w:rsid w:val="00FC742F"/>
    <w:rsid w:val="00FC746A"/>
    <w:rsid w:val="00FC747E"/>
    <w:rsid w:val="00FC7491"/>
    <w:rsid w:val="00FC74EB"/>
    <w:rsid w:val="00FC7540"/>
    <w:rsid w:val="00FC7570"/>
    <w:rsid w:val="00FC7589"/>
    <w:rsid w:val="00FC75C4"/>
    <w:rsid w:val="00FC75CF"/>
    <w:rsid w:val="00FC7620"/>
    <w:rsid w:val="00FC767A"/>
    <w:rsid w:val="00FC769C"/>
    <w:rsid w:val="00FC76A6"/>
    <w:rsid w:val="00FC76C4"/>
    <w:rsid w:val="00FC76DB"/>
    <w:rsid w:val="00FC7702"/>
    <w:rsid w:val="00FC7745"/>
    <w:rsid w:val="00FC774E"/>
    <w:rsid w:val="00FC77BA"/>
    <w:rsid w:val="00FC77FB"/>
    <w:rsid w:val="00FC7846"/>
    <w:rsid w:val="00FC7888"/>
    <w:rsid w:val="00FC788C"/>
    <w:rsid w:val="00FC78D1"/>
    <w:rsid w:val="00FC78DD"/>
    <w:rsid w:val="00FC7908"/>
    <w:rsid w:val="00FC7927"/>
    <w:rsid w:val="00FC7974"/>
    <w:rsid w:val="00FC798B"/>
    <w:rsid w:val="00FC79BA"/>
    <w:rsid w:val="00FC79C7"/>
    <w:rsid w:val="00FC79EC"/>
    <w:rsid w:val="00FC79EE"/>
    <w:rsid w:val="00FC7A10"/>
    <w:rsid w:val="00FC7A7F"/>
    <w:rsid w:val="00FC7AB8"/>
    <w:rsid w:val="00FC7AEE"/>
    <w:rsid w:val="00FC7AF8"/>
    <w:rsid w:val="00FC7B0C"/>
    <w:rsid w:val="00FC7B45"/>
    <w:rsid w:val="00FC7B54"/>
    <w:rsid w:val="00FC7B5B"/>
    <w:rsid w:val="00FC7B74"/>
    <w:rsid w:val="00FC7BA4"/>
    <w:rsid w:val="00FC7BDE"/>
    <w:rsid w:val="00FC7C4A"/>
    <w:rsid w:val="00FC7C6B"/>
    <w:rsid w:val="00FC7CD8"/>
    <w:rsid w:val="00FC7CEC"/>
    <w:rsid w:val="00FC7D39"/>
    <w:rsid w:val="00FC7D64"/>
    <w:rsid w:val="00FC7D67"/>
    <w:rsid w:val="00FC7D82"/>
    <w:rsid w:val="00FC7DC8"/>
    <w:rsid w:val="00FC7DD3"/>
    <w:rsid w:val="00FC7E5B"/>
    <w:rsid w:val="00FC7E6F"/>
    <w:rsid w:val="00FC7E78"/>
    <w:rsid w:val="00FC7EA5"/>
    <w:rsid w:val="00FC7EBB"/>
    <w:rsid w:val="00FC7EEB"/>
    <w:rsid w:val="00FC7F9E"/>
    <w:rsid w:val="00FD00AA"/>
    <w:rsid w:val="00FD00D1"/>
    <w:rsid w:val="00FD00F9"/>
    <w:rsid w:val="00FD0112"/>
    <w:rsid w:val="00FD0130"/>
    <w:rsid w:val="00FD0146"/>
    <w:rsid w:val="00FD015C"/>
    <w:rsid w:val="00FD01B1"/>
    <w:rsid w:val="00FD01E5"/>
    <w:rsid w:val="00FD0238"/>
    <w:rsid w:val="00FD023B"/>
    <w:rsid w:val="00FD023D"/>
    <w:rsid w:val="00FD0241"/>
    <w:rsid w:val="00FD02C2"/>
    <w:rsid w:val="00FD0311"/>
    <w:rsid w:val="00FD0327"/>
    <w:rsid w:val="00FD033C"/>
    <w:rsid w:val="00FD033E"/>
    <w:rsid w:val="00FD0388"/>
    <w:rsid w:val="00FD03B4"/>
    <w:rsid w:val="00FD0413"/>
    <w:rsid w:val="00FD0449"/>
    <w:rsid w:val="00FD0452"/>
    <w:rsid w:val="00FD0471"/>
    <w:rsid w:val="00FD04A3"/>
    <w:rsid w:val="00FD04A4"/>
    <w:rsid w:val="00FD04B8"/>
    <w:rsid w:val="00FD054D"/>
    <w:rsid w:val="00FD0668"/>
    <w:rsid w:val="00FD06A1"/>
    <w:rsid w:val="00FD06A2"/>
    <w:rsid w:val="00FD06BA"/>
    <w:rsid w:val="00FD06DF"/>
    <w:rsid w:val="00FD07B4"/>
    <w:rsid w:val="00FD07CA"/>
    <w:rsid w:val="00FD07D4"/>
    <w:rsid w:val="00FD07D5"/>
    <w:rsid w:val="00FD0853"/>
    <w:rsid w:val="00FD085D"/>
    <w:rsid w:val="00FD08CF"/>
    <w:rsid w:val="00FD08EC"/>
    <w:rsid w:val="00FD08EF"/>
    <w:rsid w:val="00FD091B"/>
    <w:rsid w:val="00FD0921"/>
    <w:rsid w:val="00FD0939"/>
    <w:rsid w:val="00FD094D"/>
    <w:rsid w:val="00FD0975"/>
    <w:rsid w:val="00FD09DD"/>
    <w:rsid w:val="00FD09F2"/>
    <w:rsid w:val="00FD0A3B"/>
    <w:rsid w:val="00FD0A81"/>
    <w:rsid w:val="00FD0AC0"/>
    <w:rsid w:val="00FD0B13"/>
    <w:rsid w:val="00FD0B1A"/>
    <w:rsid w:val="00FD0B30"/>
    <w:rsid w:val="00FD0B36"/>
    <w:rsid w:val="00FD0BD8"/>
    <w:rsid w:val="00FD0CEB"/>
    <w:rsid w:val="00FD0CF4"/>
    <w:rsid w:val="00FD0D3F"/>
    <w:rsid w:val="00FD0D44"/>
    <w:rsid w:val="00FD0D7B"/>
    <w:rsid w:val="00FD0E3B"/>
    <w:rsid w:val="00FD0E59"/>
    <w:rsid w:val="00FD0E63"/>
    <w:rsid w:val="00FD0E71"/>
    <w:rsid w:val="00FD0E79"/>
    <w:rsid w:val="00FD0E7B"/>
    <w:rsid w:val="00FD0E9C"/>
    <w:rsid w:val="00FD0EB8"/>
    <w:rsid w:val="00FD0EBB"/>
    <w:rsid w:val="00FD0F7E"/>
    <w:rsid w:val="00FD0F81"/>
    <w:rsid w:val="00FD0FA4"/>
    <w:rsid w:val="00FD0FD1"/>
    <w:rsid w:val="00FD1016"/>
    <w:rsid w:val="00FD1024"/>
    <w:rsid w:val="00FD1046"/>
    <w:rsid w:val="00FD1057"/>
    <w:rsid w:val="00FD10C2"/>
    <w:rsid w:val="00FD10CB"/>
    <w:rsid w:val="00FD10E4"/>
    <w:rsid w:val="00FD11A0"/>
    <w:rsid w:val="00FD11F6"/>
    <w:rsid w:val="00FD1232"/>
    <w:rsid w:val="00FD1247"/>
    <w:rsid w:val="00FD12C4"/>
    <w:rsid w:val="00FD12FD"/>
    <w:rsid w:val="00FD1305"/>
    <w:rsid w:val="00FD131B"/>
    <w:rsid w:val="00FD133A"/>
    <w:rsid w:val="00FD1343"/>
    <w:rsid w:val="00FD134E"/>
    <w:rsid w:val="00FD1363"/>
    <w:rsid w:val="00FD13F6"/>
    <w:rsid w:val="00FD1454"/>
    <w:rsid w:val="00FD14AE"/>
    <w:rsid w:val="00FD14E4"/>
    <w:rsid w:val="00FD150D"/>
    <w:rsid w:val="00FD151D"/>
    <w:rsid w:val="00FD1529"/>
    <w:rsid w:val="00FD15B1"/>
    <w:rsid w:val="00FD15CA"/>
    <w:rsid w:val="00FD160E"/>
    <w:rsid w:val="00FD163B"/>
    <w:rsid w:val="00FD1653"/>
    <w:rsid w:val="00FD168E"/>
    <w:rsid w:val="00FD16CE"/>
    <w:rsid w:val="00FD172F"/>
    <w:rsid w:val="00FD1731"/>
    <w:rsid w:val="00FD1750"/>
    <w:rsid w:val="00FD1759"/>
    <w:rsid w:val="00FD1790"/>
    <w:rsid w:val="00FD17AC"/>
    <w:rsid w:val="00FD17FF"/>
    <w:rsid w:val="00FD1819"/>
    <w:rsid w:val="00FD185B"/>
    <w:rsid w:val="00FD18B3"/>
    <w:rsid w:val="00FD18B9"/>
    <w:rsid w:val="00FD18DF"/>
    <w:rsid w:val="00FD1920"/>
    <w:rsid w:val="00FD198C"/>
    <w:rsid w:val="00FD1995"/>
    <w:rsid w:val="00FD19B5"/>
    <w:rsid w:val="00FD19F0"/>
    <w:rsid w:val="00FD1A38"/>
    <w:rsid w:val="00FD1A7B"/>
    <w:rsid w:val="00FD1AA7"/>
    <w:rsid w:val="00FD1ADE"/>
    <w:rsid w:val="00FD1AF4"/>
    <w:rsid w:val="00FD1B2E"/>
    <w:rsid w:val="00FD1B60"/>
    <w:rsid w:val="00FD1B70"/>
    <w:rsid w:val="00FD1B83"/>
    <w:rsid w:val="00FD1BA7"/>
    <w:rsid w:val="00FD1BC9"/>
    <w:rsid w:val="00FD1C01"/>
    <w:rsid w:val="00FD1C31"/>
    <w:rsid w:val="00FD1C55"/>
    <w:rsid w:val="00FD1C73"/>
    <w:rsid w:val="00FD1D1D"/>
    <w:rsid w:val="00FD1D4D"/>
    <w:rsid w:val="00FD1D6E"/>
    <w:rsid w:val="00FD1D87"/>
    <w:rsid w:val="00FD1D8D"/>
    <w:rsid w:val="00FD1DA9"/>
    <w:rsid w:val="00FD1DD3"/>
    <w:rsid w:val="00FD1DFF"/>
    <w:rsid w:val="00FD1E3D"/>
    <w:rsid w:val="00FD1E50"/>
    <w:rsid w:val="00FD1E51"/>
    <w:rsid w:val="00FD1E79"/>
    <w:rsid w:val="00FD1E93"/>
    <w:rsid w:val="00FD1E9C"/>
    <w:rsid w:val="00FD1EA1"/>
    <w:rsid w:val="00FD1EF4"/>
    <w:rsid w:val="00FD1F00"/>
    <w:rsid w:val="00FD1F19"/>
    <w:rsid w:val="00FD1F28"/>
    <w:rsid w:val="00FD1F41"/>
    <w:rsid w:val="00FD1FAF"/>
    <w:rsid w:val="00FD1FD1"/>
    <w:rsid w:val="00FD1FD5"/>
    <w:rsid w:val="00FD202D"/>
    <w:rsid w:val="00FD20AA"/>
    <w:rsid w:val="00FD20AB"/>
    <w:rsid w:val="00FD20DC"/>
    <w:rsid w:val="00FD2130"/>
    <w:rsid w:val="00FD2136"/>
    <w:rsid w:val="00FD2138"/>
    <w:rsid w:val="00FD21C5"/>
    <w:rsid w:val="00FD2220"/>
    <w:rsid w:val="00FD2250"/>
    <w:rsid w:val="00FD225B"/>
    <w:rsid w:val="00FD22B2"/>
    <w:rsid w:val="00FD22B4"/>
    <w:rsid w:val="00FD22E6"/>
    <w:rsid w:val="00FD2331"/>
    <w:rsid w:val="00FD2368"/>
    <w:rsid w:val="00FD2369"/>
    <w:rsid w:val="00FD2420"/>
    <w:rsid w:val="00FD2424"/>
    <w:rsid w:val="00FD248B"/>
    <w:rsid w:val="00FD24B7"/>
    <w:rsid w:val="00FD250A"/>
    <w:rsid w:val="00FD2517"/>
    <w:rsid w:val="00FD2549"/>
    <w:rsid w:val="00FD257C"/>
    <w:rsid w:val="00FD2649"/>
    <w:rsid w:val="00FD2763"/>
    <w:rsid w:val="00FD2798"/>
    <w:rsid w:val="00FD27B9"/>
    <w:rsid w:val="00FD27E2"/>
    <w:rsid w:val="00FD2801"/>
    <w:rsid w:val="00FD283C"/>
    <w:rsid w:val="00FD2840"/>
    <w:rsid w:val="00FD2856"/>
    <w:rsid w:val="00FD2869"/>
    <w:rsid w:val="00FD2880"/>
    <w:rsid w:val="00FD28BA"/>
    <w:rsid w:val="00FD28D8"/>
    <w:rsid w:val="00FD28D9"/>
    <w:rsid w:val="00FD2942"/>
    <w:rsid w:val="00FD2974"/>
    <w:rsid w:val="00FD298B"/>
    <w:rsid w:val="00FD29AF"/>
    <w:rsid w:val="00FD29D2"/>
    <w:rsid w:val="00FD2A24"/>
    <w:rsid w:val="00FD2A5A"/>
    <w:rsid w:val="00FD2A69"/>
    <w:rsid w:val="00FD2A9B"/>
    <w:rsid w:val="00FD2AB0"/>
    <w:rsid w:val="00FD2AB5"/>
    <w:rsid w:val="00FD2ABB"/>
    <w:rsid w:val="00FD2B35"/>
    <w:rsid w:val="00FD2B68"/>
    <w:rsid w:val="00FD2BD5"/>
    <w:rsid w:val="00FD2BEE"/>
    <w:rsid w:val="00FD2C04"/>
    <w:rsid w:val="00FD2C3C"/>
    <w:rsid w:val="00FD2CFE"/>
    <w:rsid w:val="00FD2D2D"/>
    <w:rsid w:val="00FD2D41"/>
    <w:rsid w:val="00FD2D6F"/>
    <w:rsid w:val="00FD2DE1"/>
    <w:rsid w:val="00FD2DE3"/>
    <w:rsid w:val="00FD2E4E"/>
    <w:rsid w:val="00FD2E98"/>
    <w:rsid w:val="00FD2EAF"/>
    <w:rsid w:val="00FD2EF0"/>
    <w:rsid w:val="00FD2F38"/>
    <w:rsid w:val="00FD2F6F"/>
    <w:rsid w:val="00FD2F8D"/>
    <w:rsid w:val="00FD2FA2"/>
    <w:rsid w:val="00FD2FBC"/>
    <w:rsid w:val="00FD3002"/>
    <w:rsid w:val="00FD305F"/>
    <w:rsid w:val="00FD306B"/>
    <w:rsid w:val="00FD309F"/>
    <w:rsid w:val="00FD30B4"/>
    <w:rsid w:val="00FD31AD"/>
    <w:rsid w:val="00FD31BA"/>
    <w:rsid w:val="00FD31C3"/>
    <w:rsid w:val="00FD31DA"/>
    <w:rsid w:val="00FD3226"/>
    <w:rsid w:val="00FD3231"/>
    <w:rsid w:val="00FD32E1"/>
    <w:rsid w:val="00FD32F4"/>
    <w:rsid w:val="00FD3311"/>
    <w:rsid w:val="00FD336D"/>
    <w:rsid w:val="00FD33FF"/>
    <w:rsid w:val="00FD3401"/>
    <w:rsid w:val="00FD3449"/>
    <w:rsid w:val="00FD344D"/>
    <w:rsid w:val="00FD3454"/>
    <w:rsid w:val="00FD346B"/>
    <w:rsid w:val="00FD348C"/>
    <w:rsid w:val="00FD34AE"/>
    <w:rsid w:val="00FD34BE"/>
    <w:rsid w:val="00FD34E6"/>
    <w:rsid w:val="00FD350E"/>
    <w:rsid w:val="00FD3558"/>
    <w:rsid w:val="00FD35D9"/>
    <w:rsid w:val="00FD35FA"/>
    <w:rsid w:val="00FD3612"/>
    <w:rsid w:val="00FD3673"/>
    <w:rsid w:val="00FD3727"/>
    <w:rsid w:val="00FD3739"/>
    <w:rsid w:val="00FD3781"/>
    <w:rsid w:val="00FD3792"/>
    <w:rsid w:val="00FD37C4"/>
    <w:rsid w:val="00FD37D6"/>
    <w:rsid w:val="00FD37E3"/>
    <w:rsid w:val="00FD3864"/>
    <w:rsid w:val="00FD3881"/>
    <w:rsid w:val="00FD38D4"/>
    <w:rsid w:val="00FD38E2"/>
    <w:rsid w:val="00FD38FC"/>
    <w:rsid w:val="00FD3926"/>
    <w:rsid w:val="00FD3937"/>
    <w:rsid w:val="00FD399A"/>
    <w:rsid w:val="00FD39E4"/>
    <w:rsid w:val="00FD39E8"/>
    <w:rsid w:val="00FD39F6"/>
    <w:rsid w:val="00FD3A03"/>
    <w:rsid w:val="00FD3A08"/>
    <w:rsid w:val="00FD3A48"/>
    <w:rsid w:val="00FD3A92"/>
    <w:rsid w:val="00FD3AAD"/>
    <w:rsid w:val="00FD3B07"/>
    <w:rsid w:val="00FD3B14"/>
    <w:rsid w:val="00FD3B22"/>
    <w:rsid w:val="00FD3B23"/>
    <w:rsid w:val="00FD3B2F"/>
    <w:rsid w:val="00FD3B4F"/>
    <w:rsid w:val="00FD3B53"/>
    <w:rsid w:val="00FD3B58"/>
    <w:rsid w:val="00FD3C04"/>
    <w:rsid w:val="00FD3C1C"/>
    <w:rsid w:val="00FD3C26"/>
    <w:rsid w:val="00FD3C40"/>
    <w:rsid w:val="00FD3D06"/>
    <w:rsid w:val="00FD3D3F"/>
    <w:rsid w:val="00FD3D43"/>
    <w:rsid w:val="00FD3D44"/>
    <w:rsid w:val="00FD3D51"/>
    <w:rsid w:val="00FD3D62"/>
    <w:rsid w:val="00FD3D96"/>
    <w:rsid w:val="00FD3DB4"/>
    <w:rsid w:val="00FD3E44"/>
    <w:rsid w:val="00FD3EC5"/>
    <w:rsid w:val="00FD3ECE"/>
    <w:rsid w:val="00FD3EDE"/>
    <w:rsid w:val="00FD3F26"/>
    <w:rsid w:val="00FD3F36"/>
    <w:rsid w:val="00FD3F3A"/>
    <w:rsid w:val="00FD3F53"/>
    <w:rsid w:val="00FD3F56"/>
    <w:rsid w:val="00FD3F8F"/>
    <w:rsid w:val="00FD3F97"/>
    <w:rsid w:val="00FD3F98"/>
    <w:rsid w:val="00FD3FD8"/>
    <w:rsid w:val="00FD3FED"/>
    <w:rsid w:val="00FD406A"/>
    <w:rsid w:val="00FD40A0"/>
    <w:rsid w:val="00FD413A"/>
    <w:rsid w:val="00FD4145"/>
    <w:rsid w:val="00FD416B"/>
    <w:rsid w:val="00FD416C"/>
    <w:rsid w:val="00FD417A"/>
    <w:rsid w:val="00FD4190"/>
    <w:rsid w:val="00FD419B"/>
    <w:rsid w:val="00FD41AA"/>
    <w:rsid w:val="00FD4211"/>
    <w:rsid w:val="00FD4241"/>
    <w:rsid w:val="00FD426C"/>
    <w:rsid w:val="00FD429E"/>
    <w:rsid w:val="00FD42B4"/>
    <w:rsid w:val="00FD4312"/>
    <w:rsid w:val="00FD431C"/>
    <w:rsid w:val="00FD4335"/>
    <w:rsid w:val="00FD433E"/>
    <w:rsid w:val="00FD436B"/>
    <w:rsid w:val="00FD4384"/>
    <w:rsid w:val="00FD43B7"/>
    <w:rsid w:val="00FD43CE"/>
    <w:rsid w:val="00FD43F2"/>
    <w:rsid w:val="00FD4441"/>
    <w:rsid w:val="00FD44BE"/>
    <w:rsid w:val="00FD44D9"/>
    <w:rsid w:val="00FD44ED"/>
    <w:rsid w:val="00FD452A"/>
    <w:rsid w:val="00FD4550"/>
    <w:rsid w:val="00FD4566"/>
    <w:rsid w:val="00FD4624"/>
    <w:rsid w:val="00FD4654"/>
    <w:rsid w:val="00FD4660"/>
    <w:rsid w:val="00FD4667"/>
    <w:rsid w:val="00FD4669"/>
    <w:rsid w:val="00FD466D"/>
    <w:rsid w:val="00FD46BF"/>
    <w:rsid w:val="00FD46CE"/>
    <w:rsid w:val="00FD4701"/>
    <w:rsid w:val="00FD470C"/>
    <w:rsid w:val="00FD4747"/>
    <w:rsid w:val="00FD4769"/>
    <w:rsid w:val="00FD4776"/>
    <w:rsid w:val="00FD477D"/>
    <w:rsid w:val="00FD47F1"/>
    <w:rsid w:val="00FD47F2"/>
    <w:rsid w:val="00FD4879"/>
    <w:rsid w:val="00FD491F"/>
    <w:rsid w:val="00FD492E"/>
    <w:rsid w:val="00FD4935"/>
    <w:rsid w:val="00FD4948"/>
    <w:rsid w:val="00FD4975"/>
    <w:rsid w:val="00FD4A5A"/>
    <w:rsid w:val="00FD4A8A"/>
    <w:rsid w:val="00FD4A8D"/>
    <w:rsid w:val="00FD4AED"/>
    <w:rsid w:val="00FD4B08"/>
    <w:rsid w:val="00FD4B66"/>
    <w:rsid w:val="00FD4B6C"/>
    <w:rsid w:val="00FD4C64"/>
    <w:rsid w:val="00FD4CCB"/>
    <w:rsid w:val="00FD4CE2"/>
    <w:rsid w:val="00FD4D3F"/>
    <w:rsid w:val="00FD4D68"/>
    <w:rsid w:val="00FD4D6E"/>
    <w:rsid w:val="00FD4DB0"/>
    <w:rsid w:val="00FD4E03"/>
    <w:rsid w:val="00FD4E55"/>
    <w:rsid w:val="00FD4E8A"/>
    <w:rsid w:val="00FD4E8D"/>
    <w:rsid w:val="00FD4F3A"/>
    <w:rsid w:val="00FD4F98"/>
    <w:rsid w:val="00FD4FD6"/>
    <w:rsid w:val="00FD509C"/>
    <w:rsid w:val="00FD50B0"/>
    <w:rsid w:val="00FD50C8"/>
    <w:rsid w:val="00FD5153"/>
    <w:rsid w:val="00FD51E0"/>
    <w:rsid w:val="00FD520C"/>
    <w:rsid w:val="00FD521A"/>
    <w:rsid w:val="00FD5239"/>
    <w:rsid w:val="00FD5247"/>
    <w:rsid w:val="00FD52ED"/>
    <w:rsid w:val="00FD5300"/>
    <w:rsid w:val="00FD5310"/>
    <w:rsid w:val="00FD536A"/>
    <w:rsid w:val="00FD5379"/>
    <w:rsid w:val="00FD538C"/>
    <w:rsid w:val="00FD53DA"/>
    <w:rsid w:val="00FD5426"/>
    <w:rsid w:val="00FD5438"/>
    <w:rsid w:val="00FD5473"/>
    <w:rsid w:val="00FD54AF"/>
    <w:rsid w:val="00FD54C4"/>
    <w:rsid w:val="00FD54D8"/>
    <w:rsid w:val="00FD54E4"/>
    <w:rsid w:val="00FD54E9"/>
    <w:rsid w:val="00FD54F9"/>
    <w:rsid w:val="00FD553D"/>
    <w:rsid w:val="00FD55A4"/>
    <w:rsid w:val="00FD55F7"/>
    <w:rsid w:val="00FD560A"/>
    <w:rsid w:val="00FD56A4"/>
    <w:rsid w:val="00FD56E4"/>
    <w:rsid w:val="00FD5771"/>
    <w:rsid w:val="00FD5791"/>
    <w:rsid w:val="00FD57C9"/>
    <w:rsid w:val="00FD580C"/>
    <w:rsid w:val="00FD5829"/>
    <w:rsid w:val="00FD58B7"/>
    <w:rsid w:val="00FD5931"/>
    <w:rsid w:val="00FD593D"/>
    <w:rsid w:val="00FD59D6"/>
    <w:rsid w:val="00FD5A7A"/>
    <w:rsid w:val="00FD5A7E"/>
    <w:rsid w:val="00FD5A8B"/>
    <w:rsid w:val="00FD5AC5"/>
    <w:rsid w:val="00FD5AF8"/>
    <w:rsid w:val="00FD5AF9"/>
    <w:rsid w:val="00FD5B12"/>
    <w:rsid w:val="00FD5B19"/>
    <w:rsid w:val="00FD5B6B"/>
    <w:rsid w:val="00FD5BAD"/>
    <w:rsid w:val="00FD5BEE"/>
    <w:rsid w:val="00FD5BF4"/>
    <w:rsid w:val="00FD5C99"/>
    <w:rsid w:val="00FD5CEE"/>
    <w:rsid w:val="00FD5D01"/>
    <w:rsid w:val="00FD5D43"/>
    <w:rsid w:val="00FD5D74"/>
    <w:rsid w:val="00FD5DD8"/>
    <w:rsid w:val="00FD5DEC"/>
    <w:rsid w:val="00FD5E54"/>
    <w:rsid w:val="00FD5EEC"/>
    <w:rsid w:val="00FD5F3C"/>
    <w:rsid w:val="00FD5F75"/>
    <w:rsid w:val="00FD5F90"/>
    <w:rsid w:val="00FD5FD6"/>
    <w:rsid w:val="00FD6024"/>
    <w:rsid w:val="00FD609C"/>
    <w:rsid w:val="00FD60A6"/>
    <w:rsid w:val="00FD60B7"/>
    <w:rsid w:val="00FD60F9"/>
    <w:rsid w:val="00FD613A"/>
    <w:rsid w:val="00FD617E"/>
    <w:rsid w:val="00FD61A2"/>
    <w:rsid w:val="00FD61E6"/>
    <w:rsid w:val="00FD61EE"/>
    <w:rsid w:val="00FD622C"/>
    <w:rsid w:val="00FD6230"/>
    <w:rsid w:val="00FD6257"/>
    <w:rsid w:val="00FD62CA"/>
    <w:rsid w:val="00FD62EB"/>
    <w:rsid w:val="00FD62F8"/>
    <w:rsid w:val="00FD632D"/>
    <w:rsid w:val="00FD6387"/>
    <w:rsid w:val="00FD6394"/>
    <w:rsid w:val="00FD63D9"/>
    <w:rsid w:val="00FD6402"/>
    <w:rsid w:val="00FD6407"/>
    <w:rsid w:val="00FD6466"/>
    <w:rsid w:val="00FD646D"/>
    <w:rsid w:val="00FD648E"/>
    <w:rsid w:val="00FD6521"/>
    <w:rsid w:val="00FD658E"/>
    <w:rsid w:val="00FD6608"/>
    <w:rsid w:val="00FD660C"/>
    <w:rsid w:val="00FD664C"/>
    <w:rsid w:val="00FD6654"/>
    <w:rsid w:val="00FD667D"/>
    <w:rsid w:val="00FD671D"/>
    <w:rsid w:val="00FD680F"/>
    <w:rsid w:val="00FD68AD"/>
    <w:rsid w:val="00FD68BC"/>
    <w:rsid w:val="00FD68DB"/>
    <w:rsid w:val="00FD6901"/>
    <w:rsid w:val="00FD691C"/>
    <w:rsid w:val="00FD694B"/>
    <w:rsid w:val="00FD694D"/>
    <w:rsid w:val="00FD69CE"/>
    <w:rsid w:val="00FD6A2B"/>
    <w:rsid w:val="00FD6A30"/>
    <w:rsid w:val="00FD6AA9"/>
    <w:rsid w:val="00FD6AD8"/>
    <w:rsid w:val="00FD6AEF"/>
    <w:rsid w:val="00FD6B08"/>
    <w:rsid w:val="00FD6B27"/>
    <w:rsid w:val="00FD6BCA"/>
    <w:rsid w:val="00FD6BE9"/>
    <w:rsid w:val="00FD6CA0"/>
    <w:rsid w:val="00FD6D17"/>
    <w:rsid w:val="00FD6D1F"/>
    <w:rsid w:val="00FD6D78"/>
    <w:rsid w:val="00FD6D8F"/>
    <w:rsid w:val="00FD6DC2"/>
    <w:rsid w:val="00FD6E1C"/>
    <w:rsid w:val="00FD6E88"/>
    <w:rsid w:val="00FD6E8A"/>
    <w:rsid w:val="00FD6F24"/>
    <w:rsid w:val="00FD6F2C"/>
    <w:rsid w:val="00FD6F84"/>
    <w:rsid w:val="00FD6F9A"/>
    <w:rsid w:val="00FD6FA5"/>
    <w:rsid w:val="00FD6FAA"/>
    <w:rsid w:val="00FD6FBA"/>
    <w:rsid w:val="00FD6FD4"/>
    <w:rsid w:val="00FD7001"/>
    <w:rsid w:val="00FD7058"/>
    <w:rsid w:val="00FD709C"/>
    <w:rsid w:val="00FD70C2"/>
    <w:rsid w:val="00FD70D8"/>
    <w:rsid w:val="00FD713C"/>
    <w:rsid w:val="00FD7181"/>
    <w:rsid w:val="00FD7195"/>
    <w:rsid w:val="00FD71BD"/>
    <w:rsid w:val="00FD71CE"/>
    <w:rsid w:val="00FD7207"/>
    <w:rsid w:val="00FD7236"/>
    <w:rsid w:val="00FD724B"/>
    <w:rsid w:val="00FD736F"/>
    <w:rsid w:val="00FD73F5"/>
    <w:rsid w:val="00FD7478"/>
    <w:rsid w:val="00FD749E"/>
    <w:rsid w:val="00FD74D7"/>
    <w:rsid w:val="00FD74F7"/>
    <w:rsid w:val="00FD7502"/>
    <w:rsid w:val="00FD7506"/>
    <w:rsid w:val="00FD7510"/>
    <w:rsid w:val="00FD7524"/>
    <w:rsid w:val="00FD7531"/>
    <w:rsid w:val="00FD7568"/>
    <w:rsid w:val="00FD75BF"/>
    <w:rsid w:val="00FD75CC"/>
    <w:rsid w:val="00FD75EE"/>
    <w:rsid w:val="00FD7644"/>
    <w:rsid w:val="00FD7656"/>
    <w:rsid w:val="00FD7680"/>
    <w:rsid w:val="00FD7763"/>
    <w:rsid w:val="00FD77AE"/>
    <w:rsid w:val="00FD781E"/>
    <w:rsid w:val="00FD783A"/>
    <w:rsid w:val="00FD7853"/>
    <w:rsid w:val="00FD78DF"/>
    <w:rsid w:val="00FD792E"/>
    <w:rsid w:val="00FD793D"/>
    <w:rsid w:val="00FD794D"/>
    <w:rsid w:val="00FD7961"/>
    <w:rsid w:val="00FD7987"/>
    <w:rsid w:val="00FD79AD"/>
    <w:rsid w:val="00FD79B1"/>
    <w:rsid w:val="00FD79C3"/>
    <w:rsid w:val="00FD7A31"/>
    <w:rsid w:val="00FD7A60"/>
    <w:rsid w:val="00FD7A8C"/>
    <w:rsid w:val="00FD7B03"/>
    <w:rsid w:val="00FD7B21"/>
    <w:rsid w:val="00FD7B4B"/>
    <w:rsid w:val="00FD7B53"/>
    <w:rsid w:val="00FD7B5D"/>
    <w:rsid w:val="00FD7BB4"/>
    <w:rsid w:val="00FD7BDD"/>
    <w:rsid w:val="00FD7BFA"/>
    <w:rsid w:val="00FD7C3A"/>
    <w:rsid w:val="00FD7C48"/>
    <w:rsid w:val="00FD7C8C"/>
    <w:rsid w:val="00FD7D1E"/>
    <w:rsid w:val="00FD7D4C"/>
    <w:rsid w:val="00FD7D65"/>
    <w:rsid w:val="00FD7E0E"/>
    <w:rsid w:val="00FD7E11"/>
    <w:rsid w:val="00FD7E32"/>
    <w:rsid w:val="00FD7E5A"/>
    <w:rsid w:val="00FD7E98"/>
    <w:rsid w:val="00FD7F35"/>
    <w:rsid w:val="00FD7F37"/>
    <w:rsid w:val="00FD7F5F"/>
    <w:rsid w:val="00FD7F6E"/>
    <w:rsid w:val="00FE0011"/>
    <w:rsid w:val="00FE0079"/>
    <w:rsid w:val="00FE0088"/>
    <w:rsid w:val="00FE008A"/>
    <w:rsid w:val="00FE0091"/>
    <w:rsid w:val="00FE00E6"/>
    <w:rsid w:val="00FE00FB"/>
    <w:rsid w:val="00FE0121"/>
    <w:rsid w:val="00FE01C2"/>
    <w:rsid w:val="00FE01C3"/>
    <w:rsid w:val="00FE025B"/>
    <w:rsid w:val="00FE0280"/>
    <w:rsid w:val="00FE0288"/>
    <w:rsid w:val="00FE028B"/>
    <w:rsid w:val="00FE02A7"/>
    <w:rsid w:val="00FE0349"/>
    <w:rsid w:val="00FE0352"/>
    <w:rsid w:val="00FE03B8"/>
    <w:rsid w:val="00FE03E9"/>
    <w:rsid w:val="00FE0417"/>
    <w:rsid w:val="00FE0418"/>
    <w:rsid w:val="00FE0469"/>
    <w:rsid w:val="00FE0498"/>
    <w:rsid w:val="00FE04B9"/>
    <w:rsid w:val="00FE0537"/>
    <w:rsid w:val="00FE058C"/>
    <w:rsid w:val="00FE05C2"/>
    <w:rsid w:val="00FE0615"/>
    <w:rsid w:val="00FE061E"/>
    <w:rsid w:val="00FE06B9"/>
    <w:rsid w:val="00FE06EC"/>
    <w:rsid w:val="00FE076D"/>
    <w:rsid w:val="00FE07AC"/>
    <w:rsid w:val="00FE07AD"/>
    <w:rsid w:val="00FE07BE"/>
    <w:rsid w:val="00FE08DE"/>
    <w:rsid w:val="00FE08ED"/>
    <w:rsid w:val="00FE0903"/>
    <w:rsid w:val="00FE096F"/>
    <w:rsid w:val="00FE097D"/>
    <w:rsid w:val="00FE0A39"/>
    <w:rsid w:val="00FE0A6B"/>
    <w:rsid w:val="00FE0AA8"/>
    <w:rsid w:val="00FE0BD6"/>
    <w:rsid w:val="00FE0C05"/>
    <w:rsid w:val="00FE0C09"/>
    <w:rsid w:val="00FE0C0C"/>
    <w:rsid w:val="00FE0C0E"/>
    <w:rsid w:val="00FE0C47"/>
    <w:rsid w:val="00FE0C59"/>
    <w:rsid w:val="00FE0CF5"/>
    <w:rsid w:val="00FE0D61"/>
    <w:rsid w:val="00FE0DC7"/>
    <w:rsid w:val="00FE0DCA"/>
    <w:rsid w:val="00FE0E09"/>
    <w:rsid w:val="00FE0E0A"/>
    <w:rsid w:val="00FE0E4E"/>
    <w:rsid w:val="00FE0EA4"/>
    <w:rsid w:val="00FE0EB6"/>
    <w:rsid w:val="00FE0EEC"/>
    <w:rsid w:val="00FE0F1F"/>
    <w:rsid w:val="00FE0F20"/>
    <w:rsid w:val="00FE0F70"/>
    <w:rsid w:val="00FE0F79"/>
    <w:rsid w:val="00FE0F7F"/>
    <w:rsid w:val="00FE0F9E"/>
    <w:rsid w:val="00FE0FE8"/>
    <w:rsid w:val="00FE0FEB"/>
    <w:rsid w:val="00FE0FF3"/>
    <w:rsid w:val="00FE1012"/>
    <w:rsid w:val="00FE1014"/>
    <w:rsid w:val="00FE102C"/>
    <w:rsid w:val="00FE106E"/>
    <w:rsid w:val="00FE1075"/>
    <w:rsid w:val="00FE107D"/>
    <w:rsid w:val="00FE10AB"/>
    <w:rsid w:val="00FE1120"/>
    <w:rsid w:val="00FE1168"/>
    <w:rsid w:val="00FE1182"/>
    <w:rsid w:val="00FE1188"/>
    <w:rsid w:val="00FE1296"/>
    <w:rsid w:val="00FE130F"/>
    <w:rsid w:val="00FE1388"/>
    <w:rsid w:val="00FE13F7"/>
    <w:rsid w:val="00FE14FE"/>
    <w:rsid w:val="00FE154F"/>
    <w:rsid w:val="00FE162A"/>
    <w:rsid w:val="00FE1634"/>
    <w:rsid w:val="00FE1649"/>
    <w:rsid w:val="00FE1697"/>
    <w:rsid w:val="00FE16B4"/>
    <w:rsid w:val="00FE16E5"/>
    <w:rsid w:val="00FE16F7"/>
    <w:rsid w:val="00FE171E"/>
    <w:rsid w:val="00FE173B"/>
    <w:rsid w:val="00FE173F"/>
    <w:rsid w:val="00FE1747"/>
    <w:rsid w:val="00FE1793"/>
    <w:rsid w:val="00FE17B0"/>
    <w:rsid w:val="00FE17D0"/>
    <w:rsid w:val="00FE17D6"/>
    <w:rsid w:val="00FE17DC"/>
    <w:rsid w:val="00FE17ED"/>
    <w:rsid w:val="00FE1822"/>
    <w:rsid w:val="00FE1842"/>
    <w:rsid w:val="00FE185D"/>
    <w:rsid w:val="00FE189D"/>
    <w:rsid w:val="00FE18E7"/>
    <w:rsid w:val="00FE18EF"/>
    <w:rsid w:val="00FE1913"/>
    <w:rsid w:val="00FE1919"/>
    <w:rsid w:val="00FE191D"/>
    <w:rsid w:val="00FE1936"/>
    <w:rsid w:val="00FE1941"/>
    <w:rsid w:val="00FE1987"/>
    <w:rsid w:val="00FE1A65"/>
    <w:rsid w:val="00FE1A9C"/>
    <w:rsid w:val="00FE1AB0"/>
    <w:rsid w:val="00FE1AB6"/>
    <w:rsid w:val="00FE1ACC"/>
    <w:rsid w:val="00FE1AF8"/>
    <w:rsid w:val="00FE1B1C"/>
    <w:rsid w:val="00FE1B41"/>
    <w:rsid w:val="00FE1B5A"/>
    <w:rsid w:val="00FE1B80"/>
    <w:rsid w:val="00FE1C06"/>
    <w:rsid w:val="00FE1C21"/>
    <w:rsid w:val="00FE1C4F"/>
    <w:rsid w:val="00FE1C58"/>
    <w:rsid w:val="00FE1C76"/>
    <w:rsid w:val="00FE1C93"/>
    <w:rsid w:val="00FE1D0A"/>
    <w:rsid w:val="00FE1D15"/>
    <w:rsid w:val="00FE1D32"/>
    <w:rsid w:val="00FE1D42"/>
    <w:rsid w:val="00FE1D94"/>
    <w:rsid w:val="00FE1D9B"/>
    <w:rsid w:val="00FE1E37"/>
    <w:rsid w:val="00FE1E38"/>
    <w:rsid w:val="00FE1E5C"/>
    <w:rsid w:val="00FE1E9F"/>
    <w:rsid w:val="00FE1EED"/>
    <w:rsid w:val="00FE1EF6"/>
    <w:rsid w:val="00FE1F50"/>
    <w:rsid w:val="00FE1F98"/>
    <w:rsid w:val="00FE1FD0"/>
    <w:rsid w:val="00FE1FF1"/>
    <w:rsid w:val="00FE201E"/>
    <w:rsid w:val="00FE2061"/>
    <w:rsid w:val="00FE20AC"/>
    <w:rsid w:val="00FE20EB"/>
    <w:rsid w:val="00FE20FD"/>
    <w:rsid w:val="00FE21CA"/>
    <w:rsid w:val="00FE2216"/>
    <w:rsid w:val="00FE2260"/>
    <w:rsid w:val="00FE228D"/>
    <w:rsid w:val="00FE2296"/>
    <w:rsid w:val="00FE22D9"/>
    <w:rsid w:val="00FE22DD"/>
    <w:rsid w:val="00FE230E"/>
    <w:rsid w:val="00FE2319"/>
    <w:rsid w:val="00FE2338"/>
    <w:rsid w:val="00FE2411"/>
    <w:rsid w:val="00FE2451"/>
    <w:rsid w:val="00FE24F3"/>
    <w:rsid w:val="00FE252E"/>
    <w:rsid w:val="00FE254E"/>
    <w:rsid w:val="00FE2565"/>
    <w:rsid w:val="00FE2567"/>
    <w:rsid w:val="00FE2574"/>
    <w:rsid w:val="00FE257E"/>
    <w:rsid w:val="00FE25C5"/>
    <w:rsid w:val="00FE25E0"/>
    <w:rsid w:val="00FE25F3"/>
    <w:rsid w:val="00FE2606"/>
    <w:rsid w:val="00FE2625"/>
    <w:rsid w:val="00FE265E"/>
    <w:rsid w:val="00FE26FB"/>
    <w:rsid w:val="00FE271F"/>
    <w:rsid w:val="00FE272A"/>
    <w:rsid w:val="00FE273C"/>
    <w:rsid w:val="00FE2769"/>
    <w:rsid w:val="00FE2790"/>
    <w:rsid w:val="00FE27B5"/>
    <w:rsid w:val="00FE27F1"/>
    <w:rsid w:val="00FE2848"/>
    <w:rsid w:val="00FE289A"/>
    <w:rsid w:val="00FE28D8"/>
    <w:rsid w:val="00FE28F5"/>
    <w:rsid w:val="00FE29B7"/>
    <w:rsid w:val="00FE2A67"/>
    <w:rsid w:val="00FE2A69"/>
    <w:rsid w:val="00FE2A81"/>
    <w:rsid w:val="00FE2AC8"/>
    <w:rsid w:val="00FE2AE7"/>
    <w:rsid w:val="00FE2AFE"/>
    <w:rsid w:val="00FE2B06"/>
    <w:rsid w:val="00FE2B14"/>
    <w:rsid w:val="00FE2B3A"/>
    <w:rsid w:val="00FE2BE6"/>
    <w:rsid w:val="00FE2BFB"/>
    <w:rsid w:val="00FE2C42"/>
    <w:rsid w:val="00FE2C45"/>
    <w:rsid w:val="00FE2C72"/>
    <w:rsid w:val="00FE2C76"/>
    <w:rsid w:val="00FE2C7E"/>
    <w:rsid w:val="00FE2CBD"/>
    <w:rsid w:val="00FE2D20"/>
    <w:rsid w:val="00FE2D83"/>
    <w:rsid w:val="00FE2E14"/>
    <w:rsid w:val="00FE2E27"/>
    <w:rsid w:val="00FE2E2E"/>
    <w:rsid w:val="00FE2E5A"/>
    <w:rsid w:val="00FE2E6C"/>
    <w:rsid w:val="00FE2E89"/>
    <w:rsid w:val="00FE2EB1"/>
    <w:rsid w:val="00FE2EBD"/>
    <w:rsid w:val="00FE2F22"/>
    <w:rsid w:val="00FE2F41"/>
    <w:rsid w:val="00FE2F56"/>
    <w:rsid w:val="00FE2F5A"/>
    <w:rsid w:val="00FE2F61"/>
    <w:rsid w:val="00FE2FCC"/>
    <w:rsid w:val="00FE2FCE"/>
    <w:rsid w:val="00FE2FDF"/>
    <w:rsid w:val="00FE2FE7"/>
    <w:rsid w:val="00FE2FEF"/>
    <w:rsid w:val="00FE2FFF"/>
    <w:rsid w:val="00FE3084"/>
    <w:rsid w:val="00FE3086"/>
    <w:rsid w:val="00FE308A"/>
    <w:rsid w:val="00FE30CE"/>
    <w:rsid w:val="00FE30D0"/>
    <w:rsid w:val="00FE3101"/>
    <w:rsid w:val="00FE313A"/>
    <w:rsid w:val="00FE3178"/>
    <w:rsid w:val="00FE31A7"/>
    <w:rsid w:val="00FE31D2"/>
    <w:rsid w:val="00FE31E6"/>
    <w:rsid w:val="00FE31F5"/>
    <w:rsid w:val="00FE3232"/>
    <w:rsid w:val="00FE3283"/>
    <w:rsid w:val="00FE329A"/>
    <w:rsid w:val="00FE32C5"/>
    <w:rsid w:val="00FE333D"/>
    <w:rsid w:val="00FE3346"/>
    <w:rsid w:val="00FE33B6"/>
    <w:rsid w:val="00FE33D1"/>
    <w:rsid w:val="00FE344B"/>
    <w:rsid w:val="00FE3505"/>
    <w:rsid w:val="00FE354F"/>
    <w:rsid w:val="00FE363D"/>
    <w:rsid w:val="00FE364D"/>
    <w:rsid w:val="00FE364F"/>
    <w:rsid w:val="00FE3661"/>
    <w:rsid w:val="00FE3673"/>
    <w:rsid w:val="00FE36AE"/>
    <w:rsid w:val="00FE36BC"/>
    <w:rsid w:val="00FE36CB"/>
    <w:rsid w:val="00FE36E4"/>
    <w:rsid w:val="00FE371F"/>
    <w:rsid w:val="00FE3768"/>
    <w:rsid w:val="00FE378E"/>
    <w:rsid w:val="00FE37E8"/>
    <w:rsid w:val="00FE3856"/>
    <w:rsid w:val="00FE387E"/>
    <w:rsid w:val="00FE38A5"/>
    <w:rsid w:val="00FE38A6"/>
    <w:rsid w:val="00FE38E2"/>
    <w:rsid w:val="00FE3920"/>
    <w:rsid w:val="00FE3938"/>
    <w:rsid w:val="00FE3943"/>
    <w:rsid w:val="00FE3946"/>
    <w:rsid w:val="00FE396D"/>
    <w:rsid w:val="00FE3978"/>
    <w:rsid w:val="00FE39AF"/>
    <w:rsid w:val="00FE39F9"/>
    <w:rsid w:val="00FE3A67"/>
    <w:rsid w:val="00FE3A7B"/>
    <w:rsid w:val="00FE3A8F"/>
    <w:rsid w:val="00FE3ABD"/>
    <w:rsid w:val="00FE3AEA"/>
    <w:rsid w:val="00FE3B23"/>
    <w:rsid w:val="00FE3B3C"/>
    <w:rsid w:val="00FE3B4B"/>
    <w:rsid w:val="00FE3B60"/>
    <w:rsid w:val="00FE3B81"/>
    <w:rsid w:val="00FE3BD4"/>
    <w:rsid w:val="00FE3BEA"/>
    <w:rsid w:val="00FE3CD5"/>
    <w:rsid w:val="00FE3D0A"/>
    <w:rsid w:val="00FE3D0C"/>
    <w:rsid w:val="00FE3D1A"/>
    <w:rsid w:val="00FE3D66"/>
    <w:rsid w:val="00FE3DAF"/>
    <w:rsid w:val="00FE3DEF"/>
    <w:rsid w:val="00FE3E4E"/>
    <w:rsid w:val="00FE3E96"/>
    <w:rsid w:val="00FE3EB0"/>
    <w:rsid w:val="00FE3EF9"/>
    <w:rsid w:val="00FE3EFC"/>
    <w:rsid w:val="00FE3F6A"/>
    <w:rsid w:val="00FE3F93"/>
    <w:rsid w:val="00FE4038"/>
    <w:rsid w:val="00FE407B"/>
    <w:rsid w:val="00FE4093"/>
    <w:rsid w:val="00FE409E"/>
    <w:rsid w:val="00FE40B1"/>
    <w:rsid w:val="00FE417B"/>
    <w:rsid w:val="00FE4183"/>
    <w:rsid w:val="00FE4185"/>
    <w:rsid w:val="00FE41BF"/>
    <w:rsid w:val="00FE41EC"/>
    <w:rsid w:val="00FE4205"/>
    <w:rsid w:val="00FE4208"/>
    <w:rsid w:val="00FE4220"/>
    <w:rsid w:val="00FE42EA"/>
    <w:rsid w:val="00FE4325"/>
    <w:rsid w:val="00FE4336"/>
    <w:rsid w:val="00FE4350"/>
    <w:rsid w:val="00FE4378"/>
    <w:rsid w:val="00FE43B0"/>
    <w:rsid w:val="00FE43C4"/>
    <w:rsid w:val="00FE43FE"/>
    <w:rsid w:val="00FE440E"/>
    <w:rsid w:val="00FE4440"/>
    <w:rsid w:val="00FE445C"/>
    <w:rsid w:val="00FE4466"/>
    <w:rsid w:val="00FE4469"/>
    <w:rsid w:val="00FE44CE"/>
    <w:rsid w:val="00FE44ED"/>
    <w:rsid w:val="00FE4515"/>
    <w:rsid w:val="00FE453B"/>
    <w:rsid w:val="00FE4555"/>
    <w:rsid w:val="00FE455D"/>
    <w:rsid w:val="00FE4563"/>
    <w:rsid w:val="00FE458B"/>
    <w:rsid w:val="00FE45BA"/>
    <w:rsid w:val="00FE45F5"/>
    <w:rsid w:val="00FE4633"/>
    <w:rsid w:val="00FE464C"/>
    <w:rsid w:val="00FE46AB"/>
    <w:rsid w:val="00FE46E7"/>
    <w:rsid w:val="00FE46FF"/>
    <w:rsid w:val="00FE4732"/>
    <w:rsid w:val="00FE473B"/>
    <w:rsid w:val="00FE475C"/>
    <w:rsid w:val="00FE47D6"/>
    <w:rsid w:val="00FE4856"/>
    <w:rsid w:val="00FE4872"/>
    <w:rsid w:val="00FE4882"/>
    <w:rsid w:val="00FE48DE"/>
    <w:rsid w:val="00FE48EC"/>
    <w:rsid w:val="00FE4917"/>
    <w:rsid w:val="00FE492E"/>
    <w:rsid w:val="00FE495E"/>
    <w:rsid w:val="00FE499A"/>
    <w:rsid w:val="00FE4A6A"/>
    <w:rsid w:val="00FE4A90"/>
    <w:rsid w:val="00FE4B63"/>
    <w:rsid w:val="00FE4B72"/>
    <w:rsid w:val="00FE4B7E"/>
    <w:rsid w:val="00FE4B9B"/>
    <w:rsid w:val="00FE4BB3"/>
    <w:rsid w:val="00FE4C5A"/>
    <w:rsid w:val="00FE4C82"/>
    <w:rsid w:val="00FE4D15"/>
    <w:rsid w:val="00FE4DBD"/>
    <w:rsid w:val="00FE4DEE"/>
    <w:rsid w:val="00FE4DFF"/>
    <w:rsid w:val="00FE4E00"/>
    <w:rsid w:val="00FE4E10"/>
    <w:rsid w:val="00FE4E27"/>
    <w:rsid w:val="00FE4F06"/>
    <w:rsid w:val="00FE4F11"/>
    <w:rsid w:val="00FE4F6D"/>
    <w:rsid w:val="00FE5043"/>
    <w:rsid w:val="00FE5045"/>
    <w:rsid w:val="00FE5066"/>
    <w:rsid w:val="00FE5082"/>
    <w:rsid w:val="00FE50A6"/>
    <w:rsid w:val="00FE50C0"/>
    <w:rsid w:val="00FE5112"/>
    <w:rsid w:val="00FE516D"/>
    <w:rsid w:val="00FE517A"/>
    <w:rsid w:val="00FE517C"/>
    <w:rsid w:val="00FE5198"/>
    <w:rsid w:val="00FE51CD"/>
    <w:rsid w:val="00FE51E4"/>
    <w:rsid w:val="00FE524F"/>
    <w:rsid w:val="00FE52B9"/>
    <w:rsid w:val="00FE52F5"/>
    <w:rsid w:val="00FE53B1"/>
    <w:rsid w:val="00FE53DF"/>
    <w:rsid w:val="00FE5434"/>
    <w:rsid w:val="00FE549D"/>
    <w:rsid w:val="00FE54AF"/>
    <w:rsid w:val="00FE54F9"/>
    <w:rsid w:val="00FE5534"/>
    <w:rsid w:val="00FE5570"/>
    <w:rsid w:val="00FE557A"/>
    <w:rsid w:val="00FE55DC"/>
    <w:rsid w:val="00FE55FA"/>
    <w:rsid w:val="00FE5604"/>
    <w:rsid w:val="00FE5610"/>
    <w:rsid w:val="00FE5617"/>
    <w:rsid w:val="00FE56CC"/>
    <w:rsid w:val="00FE56F4"/>
    <w:rsid w:val="00FE5746"/>
    <w:rsid w:val="00FE5757"/>
    <w:rsid w:val="00FE5792"/>
    <w:rsid w:val="00FE57D0"/>
    <w:rsid w:val="00FE57DD"/>
    <w:rsid w:val="00FE57ED"/>
    <w:rsid w:val="00FE588A"/>
    <w:rsid w:val="00FE58A9"/>
    <w:rsid w:val="00FE590F"/>
    <w:rsid w:val="00FE593A"/>
    <w:rsid w:val="00FE5946"/>
    <w:rsid w:val="00FE5948"/>
    <w:rsid w:val="00FE5959"/>
    <w:rsid w:val="00FE598A"/>
    <w:rsid w:val="00FE5A2C"/>
    <w:rsid w:val="00FE5A58"/>
    <w:rsid w:val="00FE5A65"/>
    <w:rsid w:val="00FE5A75"/>
    <w:rsid w:val="00FE5ACB"/>
    <w:rsid w:val="00FE5AD3"/>
    <w:rsid w:val="00FE5B12"/>
    <w:rsid w:val="00FE5B30"/>
    <w:rsid w:val="00FE5B3B"/>
    <w:rsid w:val="00FE5C25"/>
    <w:rsid w:val="00FE5C48"/>
    <w:rsid w:val="00FE5CAB"/>
    <w:rsid w:val="00FE5CFD"/>
    <w:rsid w:val="00FE5D0A"/>
    <w:rsid w:val="00FE5D0D"/>
    <w:rsid w:val="00FE5DE6"/>
    <w:rsid w:val="00FE5E88"/>
    <w:rsid w:val="00FE5E89"/>
    <w:rsid w:val="00FE5ECF"/>
    <w:rsid w:val="00FE5EDD"/>
    <w:rsid w:val="00FE5F53"/>
    <w:rsid w:val="00FE5FB4"/>
    <w:rsid w:val="00FE5FC5"/>
    <w:rsid w:val="00FE5FDF"/>
    <w:rsid w:val="00FE6015"/>
    <w:rsid w:val="00FE6059"/>
    <w:rsid w:val="00FE6065"/>
    <w:rsid w:val="00FE6081"/>
    <w:rsid w:val="00FE60A7"/>
    <w:rsid w:val="00FE60C0"/>
    <w:rsid w:val="00FE60CD"/>
    <w:rsid w:val="00FE60EE"/>
    <w:rsid w:val="00FE6105"/>
    <w:rsid w:val="00FE6203"/>
    <w:rsid w:val="00FE6226"/>
    <w:rsid w:val="00FE6242"/>
    <w:rsid w:val="00FE625B"/>
    <w:rsid w:val="00FE626A"/>
    <w:rsid w:val="00FE6282"/>
    <w:rsid w:val="00FE6338"/>
    <w:rsid w:val="00FE633C"/>
    <w:rsid w:val="00FE64BC"/>
    <w:rsid w:val="00FE6582"/>
    <w:rsid w:val="00FE6597"/>
    <w:rsid w:val="00FE6637"/>
    <w:rsid w:val="00FE6689"/>
    <w:rsid w:val="00FE66C6"/>
    <w:rsid w:val="00FE66E2"/>
    <w:rsid w:val="00FE66FF"/>
    <w:rsid w:val="00FE676A"/>
    <w:rsid w:val="00FE67AC"/>
    <w:rsid w:val="00FE67DA"/>
    <w:rsid w:val="00FE6880"/>
    <w:rsid w:val="00FE6899"/>
    <w:rsid w:val="00FE68E7"/>
    <w:rsid w:val="00FE69E1"/>
    <w:rsid w:val="00FE69F0"/>
    <w:rsid w:val="00FE6A9B"/>
    <w:rsid w:val="00FE6AA4"/>
    <w:rsid w:val="00FE6AC2"/>
    <w:rsid w:val="00FE6ACF"/>
    <w:rsid w:val="00FE6AD3"/>
    <w:rsid w:val="00FE6B92"/>
    <w:rsid w:val="00FE6B9A"/>
    <w:rsid w:val="00FE6C12"/>
    <w:rsid w:val="00FE6CC6"/>
    <w:rsid w:val="00FE6CC8"/>
    <w:rsid w:val="00FE6D3E"/>
    <w:rsid w:val="00FE6D51"/>
    <w:rsid w:val="00FE6D6A"/>
    <w:rsid w:val="00FE6DA4"/>
    <w:rsid w:val="00FE6DAE"/>
    <w:rsid w:val="00FE6DEE"/>
    <w:rsid w:val="00FE6DEF"/>
    <w:rsid w:val="00FE6DF2"/>
    <w:rsid w:val="00FE6E50"/>
    <w:rsid w:val="00FE6E83"/>
    <w:rsid w:val="00FE6E9E"/>
    <w:rsid w:val="00FE6EB7"/>
    <w:rsid w:val="00FE6EE9"/>
    <w:rsid w:val="00FE6EFD"/>
    <w:rsid w:val="00FE6F13"/>
    <w:rsid w:val="00FE6F5D"/>
    <w:rsid w:val="00FE6F93"/>
    <w:rsid w:val="00FE6FB6"/>
    <w:rsid w:val="00FE6FE3"/>
    <w:rsid w:val="00FE708D"/>
    <w:rsid w:val="00FE70D5"/>
    <w:rsid w:val="00FE7165"/>
    <w:rsid w:val="00FE7256"/>
    <w:rsid w:val="00FE728C"/>
    <w:rsid w:val="00FE7308"/>
    <w:rsid w:val="00FE7317"/>
    <w:rsid w:val="00FE7320"/>
    <w:rsid w:val="00FE732C"/>
    <w:rsid w:val="00FE736A"/>
    <w:rsid w:val="00FE73DD"/>
    <w:rsid w:val="00FE73E3"/>
    <w:rsid w:val="00FE740C"/>
    <w:rsid w:val="00FE748A"/>
    <w:rsid w:val="00FE7495"/>
    <w:rsid w:val="00FE74C7"/>
    <w:rsid w:val="00FE74CB"/>
    <w:rsid w:val="00FE74E9"/>
    <w:rsid w:val="00FE7575"/>
    <w:rsid w:val="00FE75BB"/>
    <w:rsid w:val="00FE75C3"/>
    <w:rsid w:val="00FE75D8"/>
    <w:rsid w:val="00FE7606"/>
    <w:rsid w:val="00FE764E"/>
    <w:rsid w:val="00FE768E"/>
    <w:rsid w:val="00FE769E"/>
    <w:rsid w:val="00FE76CC"/>
    <w:rsid w:val="00FE7720"/>
    <w:rsid w:val="00FE7723"/>
    <w:rsid w:val="00FE7749"/>
    <w:rsid w:val="00FE7790"/>
    <w:rsid w:val="00FE77A3"/>
    <w:rsid w:val="00FE77B7"/>
    <w:rsid w:val="00FE77FF"/>
    <w:rsid w:val="00FE7812"/>
    <w:rsid w:val="00FE7837"/>
    <w:rsid w:val="00FE7839"/>
    <w:rsid w:val="00FE7887"/>
    <w:rsid w:val="00FE78CE"/>
    <w:rsid w:val="00FE7908"/>
    <w:rsid w:val="00FE7966"/>
    <w:rsid w:val="00FE7985"/>
    <w:rsid w:val="00FE79A2"/>
    <w:rsid w:val="00FE79AF"/>
    <w:rsid w:val="00FE79C5"/>
    <w:rsid w:val="00FE7A90"/>
    <w:rsid w:val="00FE7AC6"/>
    <w:rsid w:val="00FE7B21"/>
    <w:rsid w:val="00FE7B29"/>
    <w:rsid w:val="00FE7B35"/>
    <w:rsid w:val="00FE7B36"/>
    <w:rsid w:val="00FE7B42"/>
    <w:rsid w:val="00FE7B9D"/>
    <w:rsid w:val="00FE7BD7"/>
    <w:rsid w:val="00FE7BE1"/>
    <w:rsid w:val="00FE7C2B"/>
    <w:rsid w:val="00FE7C69"/>
    <w:rsid w:val="00FE7C95"/>
    <w:rsid w:val="00FE7C96"/>
    <w:rsid w:val="00FE7D14"/>
    <w:rsid w:val="00FE7D51"/>
    <w:rsid w:val="00FE7D85"/>
    <w:rsid w:val="00FE7DB4"/>
    <w:rsid w:val="00FE7DCE"/>
    <w:rsid w:val="00FE7DEF"/>
    <w:rsid w:val="00FE7E2F"/>
    <w:rsid w:val="00FE7E70"/>
    <w:rsid w:val="00FE7ED7"/>
    <w:rsid w:val="00FE7EEC"/>
    <w:rsid w:val="00FE7F1B"/>
    <w:rsid w:val="00FE7F1F"/>
    <w:rsid w:val="00FE7F22"/>
    <w:rsid w:val="00FE7F46"/>
    <w:rsid w:val="00FE7F47"/>
    <w:rsid w:val="00FE7F4E"/>
    <w:rsid w:val="00FE7F8A"/>
    <w:rsid w:val="00FE7FD5"/>
    <w:rsid w:val="00FE7FDB"/>
    <w:rsid w:val="00FF003A"/>
    <w:rsid w:val="00FF0043"/>
    <w:rsid w:val="00FF009E"/>
    <w:rsid w:val="00FF00E8"/>
    <w:rsid w:val="00FF0113"/>
    <w:rsid w:val="00FF0118"/>
    <w:rsid w:val="00FF012D"/>
    <w:rsid w:val="00FF0195"/>
    <w:rsid w:val="00FF01FF"/>
    <w:rsid w:val="00FF025B"/>
    <w:rsid w:val="00FF02A1"/>
    <w:rsid w:val="00FF0346"/>
    <w:rsid w:val="00FF034C"/>
    <w:rsid w:val="00FF0369"/>
    <w:rsid w:val="00FF0373"/>
    <w:rsid w:val="00FF03E9"/>
    <w:rsid w:val="00FF040F"/>
    <w:rsid w:val="00FF041F"/>
    <w:rsid w:val="00FF0424"/>
    <w:rsid w:val="00FF042E"/>
    <w:rsid w:val="00FF044D"/>
    <w:rsid w:val="00FF0467"/>
    <w:rsid w:val="00FF04AD"/>
    <w:rsid w:val="00FF04B6"/>
    <w:rsid w:val="00FF04DD"/>
    <w:rsid w:val="00FF0569"/>
    <w:rsid w:val="00FF056B"/>
    <w:rsid w:val="00FF057C"/>
    <w:rsid w:val="00FF05B0"/>
    <w:rsid w:val="00FF05BE"/>
    <w:rsid w:val="00FF05DC"/>
    <w:rsid w:val="00FF05FA"/>
    <w:rsid w:val="00FF062C"/>
    <w:rsid w:val="00FF065F"/>
    <w:rsid w:val="00FF06CE"/>
    <w:rsid w:val="00FF06F2"/>
    <w:rsid w:val="00FF0720"/>
    <w:rsid w:val="00FF0757"/>
    <w:rsid w:val="00FF0770"/>
    <w:rsid w:val="00FF0775"/>
    <w:rsid w:val="00FF07C7"/>
    <w:rsid w:val="00FF0846"/>
    <w:rsid w:val="00FF089C"/>
    <w:rsid w:val="00FF08B5"/>
    <w:rsid w:val="00FF08C7"/>
    <w:rsid w:val="00FF08E9"/>
    <w:rsid w:val="00FF0979"/>
    <w:rsid w:val="00FF097A"/>
    <w:rsid w:val="00FF097F"/>
    <w:rsid w:val="00FF099D"/>
    <w:rsid w:val="00FF09D2"/>
    <w:rsid w:val="00FF09D5"/>
    <w:rsid w:val="00FF0A21"/>
    <w:rsid w:val="00FF0A80"/>
    <w:rsid w:val="00FF0AB2"/>
    <w:rsid w:val="00FF0AE1"/>
    <w:rsid w:val="00FF0B59"/>
    <w:rsid w:val="00FF0B87"/>
    <w:rsid w:val="00FF0BC7"/>
    <w:rsid w:val="00FF0BD9"/>
    <w:rsid w:val="00FF0BE4"/>
    <w:rsid w:val="00FF0BEF"/>
    <w:rsid w:val="00FF0C04"/>
    <w:rsid w:val="00FF0C06"/>
    <w:rsid w:val="00FF0C14"/>
    <w:rsid w:val="00FF0CB1"/>
    <w:rsid w:val="00FF0CBD"/>
    <w:rsid w:val="00FF0CC0"/>
    <w:rsid w:val="00FF0CCE"/>
    <w:rsid w:val="00FF0CEC"/>
    <w:rsid w:val="00FF0D01"/>
    <w:rsid w:val="00FF0D36"/>
    <w:rsid w:val="00FF0D4F"/>
    <w:rsid w:val="00FF0D9E"/>
    <w:rsid w:val="00FF0DA4"/>
    <w:rsid w:val="00FF0DA8"/>
    <w:rsid w:val="00FF0DB8"/>
    <w:rsid w:val="00FF0DF9"/>
    <w:rsid w:val="00FF0E06"/>
    <w:rsid w:val="00FF0E0D"/>
    <w:rsid w:val="00FF0E61"/>
    <w:rsid w:val="00FF0E91"/>
    <w:rsid w:val="00FF0EFD"/>
    <w:rsid w:val="00FF0F4E"/>
    <w:rsid w:val="00FF0F7E"/>
    <w:rsid w:val="00FF0F8C"/>
    <w:rsid w:val="00FF0F91"/>
    <w:rsid w:val="00FF0FA1"/>
    <w:rsid w:val="00FF106A"/>
    <w:rsid w:val="00FF10DF"/>
    <w:rsid w:val="00FF1175"/>
    <w:rsid w:val="00FF11C5"/>
    <w:rsid w:val="00FF11ED"/>
    <w:rsid w:val="00FF11FF"/>
    <w:rsid w:val="00FF1243"/>
    <w:rsid w:val="00FF1268"/>
    <w:rsid w:val="00FF127E"/>
    <w:rsid w:val="00FF12B2"/>
    <w:rsid w:val="00FF1301"/>
    <w:rsid w:val="00FF1311"/>
    <w:rsid w:val="00FF1315"/>
    <w:rsid w:val="00FF13D7"/>
    <w:rsid w:val="00FF13EE"/>
    <w:rsid w:val="00FF1478"/>
    <w:rsid w:val="00FF1491"/>
    <w:rsid w:val="00FF14C7"/>
    <w:rsid w:val="00FF14F2"/>
    <w:rsid w:val="00FF1581"/>
    <w:rsid w:val="00FF15CA"/>
    <w:rsid w:val="00FF15DA"/>
    <w:rsid w:val="00FF16A1"/>
    <w:rsid w:val="00FF16AD"/>
    <w:rsid w:val="00FF16D9"/>
    <w:rsid w:val="00FF1729"/>
    <w:rsid w:val="00FF176E"/>
    <w:rsid w:val="00FF17AF"/>
    <w:rsid w:val="00FF17C2"/>
    <w:rsid w:val="00FF180C"/>
    <w:rsid w:val="00FF182D"/>
    <w:rsid w:val="00FF1863"/>
    <w:rsid w:val="00FF186E"/>
    <w:rsid w:val="00FF18D8"/>
    <w:rsid w:val="00FF18F3"/>
    <w:rsid w:val="00FF19B6"/>
    <w:rsid w:val="00FF19BB"/>
    <w:rsid w:val="00FF19E8"/>
    <w:rsid w:val="00FF1A57"/>
    <w:rsid w:val="00FF1A8C"/>
    <w:rsid w:val="00FF1AD3"/>
    <w:rsid w:val="00FF1AFF"/>
    <w:rsid w:val="00FF1B2D"/>
    <w:rsid w:val="00FF1B38"/>
    <w:rsid w:val="00FF1B56"/>
    <w:rsid w:val="00FF1B7F"/>
    <w:rsid w:val="00FF1BAB"/>
    <w:rsid w:val="00FF1BC8"/>
    <w:rsid w:val="00FF1C2C"/>
    <w:rsid w:val="00FF1D09"/>
    <w:rsid w:val="00FF1D0D"/>
    <w:rsid w:val="00FF1D37"/>
    <w:rsid w:val="00FF1D5A"/>
    <w:rsid w:val="00FF1D61"/>
    <w:rsid w:val="00FF1D91"/>
    <w:rsid w:val="00FF1D93"/>
    <w:rsid w:val="00FF1DC9"/>
    <w:rsid w:val="00FF1E0F"/>
    <w:rsid w:val="00FF1E49"/>
    <w:rsid w:val="00FF1E4A"/>
    <w:rsid w:val="00FF1E8C"/>
    <w:rsid w:val="00FF1EB8"/>
    <w:rsid w:val="00FF1EFF"/>
    <w:rsid w:val="00FF1F1F"/>
    <w:rsid w:val="00FF1F45"/>
    <w:rsid w:val="00FF205C"/>
    <w:rsid w:val="00FF2089"/>
    <w:rsid w:val="00FF20A6"/>
    <w:rsid w:val="00FF20C3"/>
    <w:rsid w:val="00FF20D8"/>
    <w:rsid w:val="00FF2119"/>
    <w:rsid w:val="00FF2120"/>
    <w:rsid w:val="00FF2135"/>
    <w:rsid w:val="00FF2186"/>
    <w:rsid w:val="00FF22BA"/>
    <w:rsid w:val="00FF22D4"/>
    <w:rsid w:val="00FF22EC"/>
    <w:rsid w:val="00FF2325"/>
    <w:rsid w:val="00FF2338"/>
    <w:rsid w:val="00FF2350"/>
    <w:rsid w:val="00FF2383"/>
    <w:rsid w:val="00FF23B5"/>
    <w:rsid w:val="00FF23C8"/>
    <w:rsid w:val="00FF2436"/>
    <w:rsid w:val="00FF2445"/>
    <w:rsid w:val="00FF2467"/>
    <w:rsid w:val="00FF246E"/>
    <w:rsid w:val="00FF2488"/>
    <w:rsid w:val="00FF24AB"/>
    <w:rsid w:val="00FF24C1"/>
    <w:rsid w:val="00FF24D2"/>
    <w:rsid w:val="00FF251F"/>
    <w:rsid w:val="00FF2533"/>
    <w:rsid w:val="00FF2697"/>
    <w:rsid w:val="00FF26A4"/>
    <w:rsid w:val="00FF26C9"/>
    <w:rsid w:val="00FF2753"/>
    <w:rsid w:val="00FF27A7"/>
    <w:rsid w:val="00FF27CD"/>
    <w:rsid w:val="00FF27D7"/>
    <w:rsid w:val="00FF2822"/>
    <w:rsid w:val="00FF282A"/>
    <w:rsid w:val="00FF2835"/>
    <w:rsid w:val="00FF285A"/>
    <w:rsid w:val="00FF286F"/>
    <w:rsid w:val="00FF2884"/>
    <w:rsid w:val="00FF28CB"/>
    <w:rsid w:val="00FF2907"/>
    <w:rsid w:val="00FF2955"/>
    <w:rsid w:val="00FF296B"/>
    <w:rsid w:val="00FF296E"/>
    <w:rsid w:val="00FF29FE"/>
    <w:rsid w:val="00FF2A1F"/>
    <w:rsid w:val="00FF2A66"/>
    <w:rsid w:val="00FF2A77"/>
    <w:rsid w:val="00FF2AAB"/>
    <w:rsid w:val="00FF2ACC"/>
    <w:rsid w:val="00FF2ACF"/>
    <w:rsid w:val="00FF2ADB"/>
    <w:rsid w:val="00FF2AE6"/>
    <w:rsid w:val="00FF2B68"/>
    <w:rsid w:val="00FF2B6A"/>
    <w:rsid w:val="00FF2B80"/>
    <w:rsid w:val="00FF2BD9"/>
    <w:rsid w:val="00FF2C06"/>
    <w:rsid w:val="00FF2C25"/>
    <w:rsid w:val="00FF2C72"/>
    <w:rsid w:val="00FF2C97"/>
    <w:rsid w:val="00FF2CC3"/>
    <w:rsid w:val="00FF2D05"/>
    <w:rsid w:val="00FF2D3B"/>
    <w:rsid w:val="00FF2D51"/>
    <w:rsid w:val="00FF2D5C"/>
    <w:rsid w:val="00FF2D70"/>
    <w:rsid w:val="00FF2DDD"/>
    <w:rsid w:val="00FF2E05"/>
    <w:rsid w:val="00FF2E1C"/>
    <w:rsid w:val="00FF2E62"/>
    <w:rsid w:val="00FF2E6C"/>
    <w:rsid w:val="00FF2E83"/>
    <w:rsid w:val="00FF2E98"/>
    <w:rsid w:val="00FF2EAA"/>
    <w:rsid w:val="00FF2EBD"/>
    <w:rsid w:val="00FF2FBD"/>
    <w:rsid w:val="00FF2FD1"/>
    <w:rsid w:val="00FF2FDF"/>
    <w:rsid w:val="00FF3022"/>
    <w:rsid w:val="00FF302E"/>
    <w:rsid w:val="00FF3078"/>
    <w:rsid w:val="00FF30A3"/>
    <w:rsid w:val="00FF30F6"/>
    <w:rsid w:val="00FF3160"/>
    <w:rsid w:val="00FF31B8"/>
    <w:rsid w:val="00FF31FD"/>
    <w:rsid w:val="00FF31FE"/>
    <w:rsid w:val="00FF321B"/>
    <w:rsid w:val="00FF324D"/>
    <w:rsid w:val="00FF32F8"/>
    <w:rsid w:val="00FF3315"/>
    <w:rsid w:val="00FF3324"/>
    <w:rsid w:val="00FF3345"/>
    <w:rsid w:val="00FF3351"/>
    <w:rsid w:val="00FF338A"/>
    <w:rsid w:val="00FF33D5"/>
    <w:rsid w:val="00FF33F3"/>
    <w:rsid w:val="00FF3466"/>
    <w:rsid w:val="00FF349A"/>
    <w:rsid w:val="00FF34D6"/>
    <w:rsid w:val="00FF350A"/>
    <w:rsid w:val="00FF3541"/>
    <w:rsid w:val="00FF3555"/>
    <w:rsid w:val="00FF3565"/>
    <w:rsid w:val="00FF356B"/>
    <w:rsid w:val="00FF35EF"/>
    <w:rsid w:val="00FF35FA"/>
    <w:rsid w:val="00FF361E"/>
    <w:rsid w:val="00FF3622"/>
    <w:rsid w:val="00FF3645"/>
    <w:rsid w:val="00FF3676"/>
    <w:rsid w:val="00FF369B"/>
    <w:rsid w:val="00FF373D"/>
    <w:rsid w:val="00FF3770"/>
    <w:rsid w:val="00FF379B"/>
    <w:rsid w:val="00FF37EA"/>
    <w:rsid w:val="00FF3801"/>
    <w:rsid w:val="00FF3818"/>
    <w:rsid w:val="00FF383A"/>
    <w:rsid w:val="00FF385A"/>
    <w:rsid w:val="00FF3869"/>
    <w:rsid w:val="00FF3898"/>
    <w:rsid w:val="00FF38D7"/>
    <w:rsid w:val="00FF3912"/>
    <w:rsid w:val="00FF3945"/>
    <w:rsid w:val="00FF3955"/>
    <w:rsid w:val="00FF3959"/>
    <w:rsid w:val="00FF39C4"/>
    <w:rsid w:val="00FF39C8"/>
    <w:rsid w:val="00FF39C9"/>
    <w:rsid w:val="00FF3A0F"/>
    <w:rsid w:val="00FF3A4E"/>
    <w:rsid w:val="00FF3A79"/>
    <w:rsid w:val="00FF3A93"/>
    <w:rsid w:val="00FF3B54"/>
    <w:rsid w:val="00FF3B70"/>
    <w:rsid w:val="00FF3B9E"/>
    <w:rsid w:val="00FF3BA8"/>
    <w:rsid w:val="00FF3BB7"/>
    <w:rsid w:val="00FF3BBE"/>
    <w:rsid w:val="00FF3C04"/>
    <w:rsid w:val="00FF3C21"/>
    <w:rsid w:val="00FF3C8D"/>
    <w:rsid w:val="00FF3CB3"/>
    <w:rsid w:val="00FF3CD2"/>
    <w:rsid w:val="00FF3DCB"/>
    <w:rsid w:val="00FF3E0D"/>
    <w:rsid w:val="00FF3E65"/>
    <w:rsid w:val="00FF3E74"/>
    <w:rsid w:val="00FF3E86"/>
    <w:rsid w:val="00FF3EA4"/>
    <w:rsid w:val="00FF3EC9"/>
    <w:rsid w:val="00FF3EF7"/>
    <w:rsid w:val="00FF3F18"/>
    <w:rsid w:val="00FF3F3C"/>
    <w:rsid w:val="00FF3F83"/>
    <w:rsid w:val="00FF3FAE"/>
    <w:rsid w:val="00FF4026"/>
    <w:rsid w:val="00FF4058"/>
    <w:rsid w:val="00FF405D"/>
    <w:rsid w:val="00FF409B"/>
    <w:rsid w:val="00FF40AB"/>
    <w:rsid w:val="00FF4131"/>
    <w:rsid w:val="00FF4137"/>
    <w:rsid w:val="00FF4188"/>
    <w:rsid w:val="00FF41A5"/>
    <w:rsid w:val="00FF41AE"/>
    <w:rsid w:val="00FF4245"/>
    <w:rsid w:val="00FF425D"/>
    <w:rsid w:val="00FF4271"/>
    <w:rsid w:val="00FF4279"/>
    <w:rsid w:val="00FF42A3"/>
    <w:rsid w:val="00FF42FD"/>
    <w:rsid w:val="00FF4303"/>
    <w:rsid w:val="00FF4305"/>
    <w:rsid w:val="00FF431F"/>
    <w:rsid w:val="00FF4327"/>
    <w:rsid w:val="00FF437F"/>
    <w:rsid w:val="00FF43D6"/>
    <w:rsid w:val="00FF43F4"/>
    <w:rsid w:val="00FF4416"/>
    <w:rsid w:val="00FF444C"/>
    <w:rsid w:val="00FF444F"/>
    <w:rsid w:val="00FF4462"/>
    <w:rsid w:val="00FF44AB"/>
    <w:rsid w:val="00FF44AE"/>
    <w:rsid w:val="00FF44EB"/>
    <w:rsid w:val="00FF4510"/>
    <w:rsid w:val="00FF45C4"/>
    <w:rsid w:val="00FF4615"/>
    <w:rsid w:val="00FF4633"/>
    <w:rsid w:val="00FF4664"/>
    <w:rsid w:val="00FF46B8"/>
    <w:rsid w:val="00FF46C9"/>
    <w:rsid w:val="00FF4759"/>
    <w:rsid w:val="00FF47A3"/>
    <w:rsid w:val="00FF47E0"/>
    <w:rsid w:val="00FF47F6"/>
    <w:rsid w:val="00FF4801"/>
    <w:rsid w:val="00FF4811"/>
    <w:rsid w:val="00FF4818"/>
    <w:rsid w:val="00FF481C"/>
    <w:rsid w:val="00FF481E"/>
    <w:rsid w:val="00FF4856"/>
    <w:rsid w:val="00FF4934"/>
    <w:rsid w:val="00FF495C"/>
    <w:rsid w:val="00FF4983"/>
    <w:rsid w:val="00FF49BF"/>
    <w:rsid w:val="00FF49DB"/>
    <w:rsid w:val="00FF49FD"/>
    <w:rsid w:val="00FF4A1F"/>
    <w:rsid w:val="00FF4A75"/>
    <w:rsid w:val="00FF4ACF"/>
    <w:rsid w:val="00FF4AE9"/>
    <w:rsid w:val="00FF4AFB"/>
    <w:rsid w:val="00FF4B1D"/>
    <w:rsid w:val="00FF4B59"/>
    <w:rsid w:val="00FF4B8E"/>
    <w:rsid w:val="00FF4BBF"/>
    <w:rsid w:val="00FF4BD9"/>
    <w:rsid w:val="00FF4BF5"/>
    <w:rsid w:val="00FF4C7D"/>
    <w:rsid w:val="00FF4C7E"/>
    <w:rsid w:val="00FF4CC7"/>
    <w:rsid w:val="00FF4D61"/>
    <w:rsid w:val="00FF4DA6"/>
    <w:rsid w:val="00FF4E17"/>
    <w:rsid w:val="00FF4E33"/>
    <w:rsid w:val="00FF4E36"/>
    <w:rsid w:val="00FF4E51"/>
    <w:rsid w:val="00FF4E56"/>
    <w:rsid w:val="00FF4E59"/>
    <w:rsid w:val="00FF4E5C"/>
    <w:rsid w:val="00FF4EC1"/>
    <w:rsid w:val="00FF4EE9"/>
    <w:rsid w:val="00FF4EED"/>
    <w:rsid w:val="00FF4F38"/>
    <w:rsid w:val="00FF4F52"/>
    <w:rsid w:val="00FF4F70"/>
    <w:rsid w:val="00FF4F7F"/>
    <w:rsid w:val="00FF4F8A"/>
    <w:rsid w:val="00FF4FE7"/>
    <w:rsid w:val="00FF5007"/>
    <w:rsid w:val="00FF5074"/>
    <w:rsid w:val="00FF50C5"/>
    <w:rsid w:val="00FF5104"/>
    <w:rsid w:val="00FF5128"/>
    <w:rsid w:val="00FF518F"/>
    <w:rsid w:val="00FF5202"/>
    <w:rsid w:val="00FF5245"/>
    <w:rsid w:val="00FF526D"/>
    <w:rsid w:val="00FF528A"/>
    <w:rsid w:val="00FF5303"/>
    <w:rsid w:val="00FF530F"/>
    <w:rsid w:val="00FF5339"/>
    <w:rsid w:val="00FF534C"/>
    <w:rsid w:val="00FF5356"/>
    <w:rsid w:val="00FF53D7"/>
    <w:rsid w:val="00FF5422"/>
    <w:rsid w:val="00FF544E"/>
    <w:rsid w:val="00FF5451"/>
    <w:rsid w:val="00FF546E"/>
    <w:rsid w:val="00FF54D1"/>
    <w:rsid w:val="00FF54E1"/>
    <w:rsid w:val="00FF5542"/>
    <w:rsid w:val="00FF5567"/>
    <w:rsid w:val="00FF5575"/>
    <w:rsid w:val="00FF558A"/>
    <w:rsid w:val="00FF55CC"/>
    <w:rsid w:val="00FF56AF"/>
    <w:rsid w:val="00FF56C9"/>
    <w:rsid w:val="00FF56D5"/>
    <w:rsid w:val="00FF5725"/>
    <w:rsid w:val="00FF5737"/>
    <w:rsid w:val="00FF5758"/>
    <w:rsid w:val="00FF576D"/>
    <w:rsid w:val="00FF583F"/>
    <w:rsid w:val="00FF585F"/>
    <w:rsid w:val="00FF5879"/>
    <w:rsid w:val="00FF58BA"/>
    <w:rsid w:val="00FF590F"/>
    <w:rsid w:val="00FF5922"/>
    <w:rsid w:val="00FF596E"/>
    <w:rsid w:val="00FF599B"/>
    <w:rsid w:val="00FF5A05"/>
    <w:rsid w:val="00FF5A07"/>
    <w:rsid w:val="00FF5A0C"/>
    <w:rsid w:val="00FF5A0E"/>
    <w:rsid w:val="00FF5A22"/>
    <w:rsid w:val="00FF5A37"/>
    <w:rsid w:val="00FF5A54"/>
    <w:rsid w:val="00FF5A8F"/>
    <w:rsid w:val="00FF5A9B"/>
    <w:rsid w:val="00FF5AF8"/>
    <w:rsid w:val="00FF5B58"/>
    <w:rsid w:val="00FF5B91"/>
    <w:rsid w:val="00FF5BAA"/>
    <w:rsid w:val="00FF5BF0"/>
    <w:rsid w:val="00FF5C19"/>
    <w:rsid w:val="00FF5C23"/>
    <w:rsid w:val="00FF5C26"/>
    <w:rsid w:val="00FF5C33"/>
    <w:rsid w:val="00FF5C58"/>
    <w:rsid w:val="00FF5C6E"/>
    <w:rsid w:val="00FF5CB8"/>
    <w:rsid w:val="00FF5CB9"/>
    <w:rsid w:val="00FF5CE1"/>
    <w:rsid w:val="00FF5CFF"/>
    <w:rsid w:val="00FF5DD0"/>
    <w:rsid w:val="00FF5DE2"/>
    <w:rsid w:val="00FF5DEE"/>
    <w:rsid w:val="00FF5DEF"/>
    <w:rsid w:val="00FF5DFB"/>
    <w:rsid w:val="00FF5E0C"/>
    <w:rsid w:val="00FF5E4F"/>
    <w:rsid w:val="00FF5E57"/>
    <w:rsid w:val="00FF5E7E"/>
    <w:rsid w:val="00FF5EC2"/>
    <w:rsid w:val="00FF5ECB"/>
    <w:rsid w:val="00FF5EDA"/>
    <w:rsid w:val="00FF5F1E"/>
    <w:rsid w:val="00FF5F35"/>
    <w:rsid w:val="00FF5F3A"/>
    <w:rsid w:val="00FF5F45"/>
    <w:rsid w:val="00FF5F61"/>
    <w:rsid w:val="00FF5F7F"/>
    <w:rsid w:val="00FF5F89"/>
    <w:rsid w:val="00FF5F8D"/>
    <w:rsid w:val="00FF5FBE"/>
    <w:rsid w:val="00FF5FDA"/>
    <w:rsid w:val="00FF5FE8"/>
    <w:rsid w:val="00FF6001"/>
    <w:rsid w:val="00FF6027"/>
    <w:rsid w:val="00FF6043"/>
    <w:rsid w:val="00FF609D"/>
    <w:rsid w:val="00FF60AB"/>
    <w:rsid w:val="00FF6111"/>
    <w:rsid w:val="00FF612B"/>
    <w:rsid w:val="00FF61AC"/>
    <w:rsid w:val="00FF61AF"/>
    <w:rsid w:val="00FF6224"/>
    <w:rsid w:val="00FF6265"/>
    <w:rsid w:val="00FF6292"/>
    <w:rsid w:val="00FF6298"/>
    <w:rsid w:val="00FF62A4"/>
    <w:rsid w:val="00FF62B2"/>
    <w:rsid w:val="00FF62CF"/>
    <w:rsid w:val="00FF62DD"/>
    <w:rsid w:val="00FF636E"/>
    <w:rsid w:val="00FF6372"/>
    <w:rsid w:val="00FF63A8"/>
    <w:rsid w:val="00FF63F0"/>
    <w:rsid w:val="00FF642A"/>
    <w:rsid w:val="00FF6444"/>
    <w:rsid w:val="00FF6491"/>
    <w:rsid w:val="00FF6497"/>
    <w:rsid w:val="00FF64A6"/>
    <w:rsid w:val="00FF64BC"/>
    <w:rsid w:val="00FF6516"/>
    <w:rsid w:val="00FF6519"/>
    <w:rsid w:val="00FF6625"/>
    <w:rsid w:val="00FF6632"/>
    <w:rsid w:val="00FF6665"/>
    <w:rsid w:val="00FF6667"/>
    <w:rsid w:val="00FF6682"/>
    <w:rsid w:val="00FF6698"/>
    <w:rsid w:val="00FF66A5"/>
    <w:rsid w:val="00FF66E6"/>
    <w:rsid w:val="00FF66EA"/>
    <w:rsid w:val="00FF66F9"/>
    <w:rsid w:val="00FF6700"/>
    <w:rsid w:val="00FF6744"/>
    <w:rsid w:val="00FF677B"/>
    <w:rsid w:val="00FF67C6"/>
    <w:rsid w:val="00FF67CA"/>
    <w:rsid w:val="00FF67E3"/>
    <w:rsid w:val="00FF6897"/>
    <w:rsid w:val="00FF68CD"/>
    <w:rsid w:val="00FF68EF"/>
    <w:rsid w:val="00FF6903"/>
    <w:rsid w:val="00FF6980"/>
    <w:rsid w:val="00FF6991"/>
    <w:rsid w:val="00FF69AC"/>
    <w:rsid w:val="00FF69C1"/>
    <w:rsid w:val="00FF6A26"/>
    <w:rsid w:val="00FF6AE4"/>
    <w:rsid w:val="00FF6AF0"/>
    <w:rsid w:val="00FF6B27"/>
    <w:rsid w:val="00FF6B42"/>
    <w:rsid w:val="00FF6B65"/>
    <w:rsid w:val="00FF6BEA"/>
    <w:rsid w:val="00FF6BF0"/>
    <w:rsid w:val="00FF6BF8"/>
    <w:rsid w:val="00FF6C0E"/>
    <w:rsid w:val="00FF6C2B"/>
    <w:rsid w:val="00FF6C74"/>
    <w:rsid w:val="00FF6C9C"/>
    <w:rsid w:val="00FF6CD7"/>
    <w:rsid w:val="00FF6D22"/>
    <w:rsid w:val="00FF6D34"/>
    <w:rsid w:val="00FF6D57"/>
    <w:rsid w:val="00FF6E31"/>
    <w:rsid w:val="00FF6E42"/>
    <w:rsid w:val="00FF6E77"/>
    <w:rsid w:val="00FF6ECC"/>
    <w:rsid w:val="00FF6F0D"/>
    <w:rsid w:val="00FF6F6A"/>
    <w:rsid w:val="00FF6F70"/>
    <w:rsid w:val="00FF6F78"/>
    <w:rsid w:val="00FF6F7F"/>
    <w:rsid w:val="00FF6F83"/>
    <w:rsid w:val="00FF7019"/>
    <w:rsid w:val="00FF7030"/>
    <w:rsid w:val="00FF7067"/>
    <w:rsid w:val="00FF7105"/>
    <w:rsid w:val="00FF710B"/>
    <w:rsid w:val="00FF711B"/>
    <w:rsid w:val="00FF7127"/>
    <w:rsid w:val="00FF7131"/>
    <w:rsid w:val="00FF716F"/>
    <w:rsid w:val="00FF717D"/>
    <w:rsid w:val="00FF71CF"/>
    <w:rsid w:val="00FF71DB"/>
    <w:rsid w:val="00FF71F7"/>
    <w:rsid w:val="00FF721C"/>
    <w:rsid w:val="00FF725C"/>
    <w:rsid w:val="00FF7268"/>
    <w:rsid w:val="00FF726C"/>
    <w:rsid w:val="00FF72CE"/>
    <w:rsid w:val="00FF7344"/>
    <w:rsid w:val="00FF737F"/>
    <w:rsid w:val="00FF73C5"/>
    <w:rsid w:val="00FF7437"/>
    <w:rsid w:val="00FF7483"/>
    <w:rsid w:val="00FF7499"/>
    <w:rsid w:val="00FF74C2"/>
    <w:rsid w:val="00FF74CA"/>
    <w:rsid w:val="00FF74D8"/>
    <w:rsid w:val="00FF74FD"/>
    <w:rsid w:val="00FF7554"/>
    <w:rsid w:val="00FF757C"/>
    <w:rsid w:val="00FF757F"/>
    <w:rsid w:val="00FF75AC"/>
    <w:rsid w:val="00FF75DC"/>
    <w:rsid w:val="00FF75DF"/>
    <w:rsid w:val="00FF75F8"/>
    <w:rsid w:val="00FF7690"/>
    <w:rsid w:val="00FF7719"/>
    <w:rsid w:val="00FF778F"/>
    <w:rsid w:val="00FF7795"/>
    <w:rsid w:val="00FF77C5"/>
    <w:rsid w:val="00FF77C9"/>
    <w:rsid w:val="00FF77D3"/>
    <w:rsid w:val="00FF7809"/>
    <w:rsid w:val="00FF784C"/>
    <w:rsid w:val="00FF7879"/>
    <w:rsid w:val="00FF78BA"/>
    <w:rsid w:val="00FF790D"/>
    <w:rsid w:val="00FF7984"/>
    <w:rsid w:val="00FF7988"/>
    <w:rsid w:val="00FF79AC"/>
    <w:rsid w:val="00FF79F6"/>
    <w:rsid w:val="00FF79FE"/>
    <w:rsid w:val="00FF7A2C"/>
    <w:rsid w:val="00FF7A5E"/>
    <w:rsid w:val="00FF7A74"/>
    <w:rsid w:val="00FF7A84"/>
    <w:rsid w:val="00FF7AA4"/>
    <w:rsid w:val="00FF7B0E"/>
    <w:rsid w:val="00FF7B27"/>
    <w:rsid w:val="00FF7B29"/>
    <w:rsid w:val="00FF7B59"/>
    <w:rsid w:val="00FF7B5C"/>
    <w:rsid w:val="00FF7C30"/>
    <w:rsid w:val="00FF7C6C"/>
    <w:rsid w:val="00FF7C6E"/>
    <w:rsid w:val="00FF7CC2"/>
    <w:rsid w:val="00FF7CCD"/>
    <w:rsid w:val="00FF7D7D"/>
    <w:rsid w:val="00FF7DC0"/>
    <w:rsid w:val="00FF7DD8"/>
    <w:rsid w:val="00FF7DDD"/>
    <w:rsid w:val="00FF7DE9"/>
    <w:rsid w:val="00FF7DEB"/>
    <w:rsid w:val="00FF7E04"/>
    <w:rsid w:val="00FF7E11"/>
    <w:rsid w:val="00FF7E70"/>
    <w:rsid w:val="00FF7E8C"/>
    <w:rsid w:val="00FF7EA9"/>
    <w:rsid w:val="00FF7EAA"/>
    <w:rsid w:val="00FF7F20"/>
    <w:rsid w:val="00FF7F8C"/>
    <w:rsid w:val="00FF7FA3"/>
    <w:rsid w:val="00FF7FA7"/>
    <w:rsid w:val="00FF7FAC"/>
    <w:rsid w:val="00FF7FFD"/>
    <w:rsid w:val="08000028"/>
    <w:rsid w:val="080000EA"/>
    <w:rsid w:val="080000F1"/>
    <w:rsid w:val="0800011E"/>
    <w:rsid w:val="08000184"/>
    <w:rsid w:val="080001F2"/>
    <w:rsid w:val="08000280"/>
    <w:rsid w:val="080002AA"/>
    <w:rsid w:val="080002FB"/>
    <w:rsid w:val="08000300"/>
    <w:rsid w:val="0800031F"/>
    <w:rsid w:val="080003A2"/>
    <w:rsid w:val="08000411"/>
    <w:rsid w:val="08000412"/>
    <w:rsid w:val="0800049A"/>
    <w:rsid w:val="080004AB"/>
    <w:rsid w:val="08000500"/>
    <w:rsid w:val="0800053C"/>
    <w:rsid w:val="080005BC"/>
    <w:rsid w:val="0800067F"/>
    <w:rsid w:val="08000691"/>
    <w:rsid w:val="08000737"/>
    <w:rsid w:val="08000840"/>
    <w:rsid w:val="0800093B"/>
    <w:rsid w:val="08000997"/>
    <w:rsid w:val="080009F5"/>
    <w:rsid w:val="08000A1F"/>
    <w:rsid w:val="08000A5E"/>
    <w:rsid w:val="08000BC7"/>
    <w:rsid w:val="08000D02"/>
    <w:rsid w:val="08000D1C"/>
    <w:rsid w:val="08000D49"/>
    <w:rsid w:val="08000D5B"/>
    <w:rsid w:val="08000E07"/>
    <w:rsid w:val="08000E12"/>
    <w:rsid w:val="08000E31"/>
    <w:rsid w:val="08000E58"/>
    <w:rsid w:val="08000EA7"/>
    <w:rsid w:val="08000F08"/>
    <w:rsid w:val="08000F48"/>
    <w:rsid w:val="08000F4A"/>
    <w:rsid w:val="08001043"/>
    <w:rsid w:val="0800105E"/>
    <w:rsid w:val="08001108"/>
    <w:rsid w:val="08001189"/>
    <w:rsid w:val="08001196"/>
    <w:rsid w:val="080011C5"/>
    <w:rsid w:val="0800120A"/>
    <w:rsid w:val="0800127F"/>
    <w:rsid w:val="080012EB"/>
    <w:rsid w:val="0800130F"/>
    <w:rsid w:val="0800132F"/>
    <w:rsid w:val="0800138A"/>
    <w:rsid w:val="0800139A"/>
    <w:rsid w:val="080013D4"/>
    <w:rsid w:val="080013F2"/>
    <w:rsid w:val="080013FC"/>
    <w:rsid w:val="0800144D"/>
    <w:rsid w:val="08001459"/>
    <w:rsid w:val="080014A9"/>
    <w:rsid w:val="080014BE"/>
    <w:rsid w:val="08001517"/>
    <w:rsid w:val="080015AB"/>
    <w:rsid w:val="080015F3"/>
    <w:rsid w:val="08001621"/>
    <w:rsid w:val="0800162C"/>
    <w:rsid w:val="0800166C"/>
    <w:rsid w:val="080016AE"/>
    <w:rsid w:val="08001765"/>
    <w:rsid w:val="08001829"/>
    <w:rsid w:val="080018A8"/>
    <w:rsid w:val="080018CB"/>
    <w:rsid w:val="08001949"/>
    <w:rsid w:val="0800195D"/>
    <w:rsid w:val="080019D5"/>
    <w:rsid w:val="08001A70"/>
    <w:rsid w:val="08001AA3"/>
    <w:rsid w:val="08001B21"/>
    <w:rsid w:val="08001BA6"/>
    <w:rsid w:val="08001C8B"/>
    <w:rsid w:val="08001D01"/>
    <w:rsid w:val="08001E14"/>
    <w:rsid w:val="08001E2B"/>
    <w:rsid w:val="08001E83"/>
    <w:rsid w:val="08001ED4"/>
    <w:rsid w:val="08001F5B"/>
    <w:rsid w:val="08001FAF"/>
    <w:rsid w:val="0800204A"/>
    <w:rsid w:val="0800204F"/>
    <w:rsid w:val="08002091"/>
    <w:rsid w:val="080020E8"/>
    <w:rsid w:val="080020F4"/>
    <w:rsid w:val="08002115"/>
    <w:rsid w:val="08002120"/>
    <w:rsid w:val="0800216F"/>
    <w:rsid w:val="080021C8"/>
    <w:rsid w:val="080022E2"/>
    <w:rsid w:val="080022E3"/>
    <w:rsid w:val="08002308"/>
    <w:rsid w:val="0800234A"/>
    <w:rsid w:val="080023CE"/>
    <w:rsid w:val="08002517"/>
    <w:rsid w:val="0800257A"/>
    <w:rsid w:val="08002592"/>
    <w:rsid w:val="08002700"/>
    <w:rsid w:val="0800288C"/>
    <w:rsid w:val="080028A1"/>
    <w:rsid w:val="080028DB"/>
    <w:rsid w:val="080028DF"/>
    <w:rsid w:val="0800292C"/>
    <w:rsid w:val="08002943"/>
    <w:rsid w:val="08002A48"/>
    <w:rsid w:val="08002AE5"/>
    <w:rsid w:val="08002AF7"/>
    <w:rsid w:val="08002B71"/>
    <w:rsid w:val="08002B99"/>
    <w:rsid w:val="08002C8D"/>
    <w:rsid w:val="08002D58"/>
    <w:rsid w:val="08002E2D"/>
    <w:rsid w:val="08002EF8"/>
    <w:rsid w:val="08002F1D"/>
    <w:rsid w:val="08002F2D"/>
    <w:rsid w:val="08002F73"/>
    <w:rsid w:val="08002FAD"/>
    <w:rsid w:val="08003036"/>
    <w:rsid w:val="08003047"/>
    <w:rsid w:val="080030EB"/>
    <w:rsid w:val="08003197"/>
    <w:rsid w:val="0800323A"/>
    <w:rsid w:val="08003364"/>
    <w:rsid w:val="0800336D"/>
    <w:rsid w:val="0800337A"/>
    <w:rsid w:val="0800341D"/>
    <w:rsid w:val="080034F7"/>
    <w:rsid w:val="080035E0"/>
    <w:rsid w:val="080035FB"/>
    <w:rsid w:val="08003635"/>
    <w:rsid w:val="08003649"/>
    <w:rsid w:val="080037A0"/>
    <w:rsid w:val="080037CF"/>
    <w:rsid w:val="08003859"/>
    <w:rsid w:val="080038A3"/>
    <w:rsid w:val="08003940"/>
    <w:rsid w:val="08003A09"/>
    <w:rsid w:val="08003A20"/>
    <w:rsid w:val="08003AAC"/>
    <w:rsid w:val="08003AE2"/>
    <w:rsid w:val="08003CAE"/>
    <w:rsid w:val="08003D24"/>
    <w:rsid w:val="08003D3F"/>
    <w:rsid w:val="08003DED"/>
    <w:rsid w:val="08003DFA"/>
    <w:rsid w:val="08003E12"/>
    <w:rsid w:val="08003E2D"/>
    <w:rsid w:val="08003E38"/>
    <w:rsid w:val="08003E3C"/>
    <w:rsid w:val="08003F15"/>
    <w:rsid w:val="08003FB0"/>
    <w:rsid w:val="0800404B"/>
    <w:rsid w:val="08004142"/>
    <w:rsid w:val="0800424F"/>
    <w:rsid w:val="0800429F"/>
    <w:rsid w:val="0800437E"/>
    <w:rsid w:val="080043BE"/>
    <w:rsid w:val="0800447D"/>
    <w:rsid w:val="08004484"/>
    <w:rsid w:val="0800460D"/>
    <w:rsid w:val="0800462E"/>
    <w:rsid w:val="08004653"/>
    <w:rsid w:val="08004664"/>
    <w:rsid w:val="08004716"/>
    <w:rsid w:val="08004767"/>
    <w:rsid w:val="080047C3"/>
    <w:rsid w:val="080048B9"/>
    <w:rsid w:val="080049B2"/>
    <w:rsid w:val="080049ED"/>
    <w:rsid w:val="080049F7"/>
    <w:rsid w:val="08004A06"/>
    <w:rsid w:val="08004A29"/>
    <w:rsid w:val="08004B3D"/>
    <w:rsid w:val="08004B3E"/>
    <w:rsid w:val="08004B6B"/>
    <w:rsid w:val="08004BBA"/>
    <w:rsid w:val="08004CAC"/>
    <w:rsid w:val="08004CC4"/>
    <w:rsid w:val="08004D06"/>
    <w:rsid w:val="08004D52"/>
    <w:rsid w:val="08004D70"/>
    <w:rsid w:val="08004E15"/>
    <w:rsid w:val="08004E19"/>
    <w:rsid w:val="08004E26"/>
    <w:rsid w:val="08005051"/>
    <w:rsid w:val="0800509F"/>
    <w:rsid w:val="08005203"/>
    <w:rsid w:val="080052A7"/>
    <w:rsid w:val="08005393"/>
    <w:rsid w:val="080053DA"/>
    <w:rsid w:val="08005428"/>
    <w:rsid w:val="080056BF"/>
    <w:rsid w:val="080056FB"/>
    <w:rsid w:val="08005713"/>
    <w:rsid w:val="08005824"/>
    <w:rsid w:val="0800585C"/>
    <w:rsid w:val="08005881"/>
    <w:rsid w:val="0800590F"/>
    <w:rsid w:val="08005925"/>
    <w:rsid w:val="080059A2"/>
    <w:rsid w:val="08005A10"/>
    <w:rsid w:val="08005A4A"/>
    <w:rsid w:val="08005AE1"/>
    <w:rsid w:val="08005BD3"/>
    <w:rsid w:val="08005C84"/>
    <w:rsid w:val="08005C94"/>
    <w:rsid w:val="08005D14"/>
    <w:rsid w:val="08005D48"/>
    <w:rsid w:val="08005D99"/>
    <w:rsid w:val="08005E17"/>
    <w:rsid w:val="08005E6A"/>
    <w:rsid w:val="08005F59"/>
    <w:rsid w:val="0800607B"/>
    <w:rsid w:val="080061A8"/>
    <w:rsid w:val="080061FA"/>
    <w:rsid w:val="080063F9"/>
    <w:rsid w:val="08006606"/>
    <w:rsid w:val="0800660B"/>
    <w:rsid w:val="08006629"/>
    <w:rsid w:val="08006644"/>
    <w:rsid w:val="08006678"/>
    <w:rsid w:val="080066A8"/>
    <w:rsid w:val="08006818"/>
    <w:rsid w:val="080068AF"/>
    <w:rsid w:val="08006904"/>
    <w:rsid w:val="0800692F"/>
    <w:rsid w:val="080069A2"/>
    <w:rsid w:val="080069CE"/>
    <w:rsid w:val="080069E6"/>
    <w:rsid w:val="080069F5"/>
    <w:rsid w:val="08006A6E"/>
    <w:rsid w:val="08006A88"/>
    <w:rsid w:val="08006CB2"/>
    <w:rsid w:val="08006CC8"/>
    <w:rsid w:val="08006EAA"/>
    <w:rsid w:val="08006EF8"/>
    <w:rsid w:val="08006EF9"/>
    <w:rsid w:val="08006F25"/>
    <w:rsid w:val="08006F7A"/>
    <w:rsid w:val="08006F90"/>
    <w:rsid w:val="08006F9E"/>
    <w:rsid w:val="08006FF9"/>
    <w:rsid w:val="08007034"/>
    <w:rsid w:val="0800715C"/>
    <w:rsid w:val="080071F4"/>
    <w:rsid w:val="08007212"/>
    <w:rsid w:val="0800724C"/>
    <w:rsid w:val="0800727B"/>
    <w:rsid w:val="0800727F"/>
    <w:rsid w:val="08007291"/>
    <w:rsid w:val="080072D5"/>
    <w:rsid w:val="08007307"/>
    <w:rsid w:val="08007310"/>
    <w:rsid w:val="08007391"/>
    <w:rsid w:val="080073B3"/>
    <w:rsid w:val="08007420"/>
    <w:rsid w:val="0800746D"/>
    <w:rsid w:val="08007475"/>
    <w:rsid w:val="08007495"/>
    <w:rsid w:val="080074FD"/>
    <w:rsid w:val="0800753C"/>
    <w:rsid w:val="080075B2"/>
    <w:rsid w:val="080075D2"/>
    <w:rsid w:val="080076F5"/>
    <w:rsid w:val="08007759"/>
    <w:rsid w:val="08007774"/>
    <w:rsid w:val="08007841"/>
    <w:rsid w:val="080079BB"/>
    <w:rsid w:val="08007A38"/>
    <w:rsid w:val="08007ACF"/>
    <w:rsid w:val="08007B02"/>
    <w:rsid w:val="08007C91"/>
    <w:rsid w:val="08007CB4"/>
    <w:rsid w:val="08007DDF"/>
    <w:rsid w:val="08007E6D"/>
    <w:rsid w:val="08007E95"/>
    <w:rsid w:val="08007F46"/>
    <w:rsid w:val="08007F58"/>
    <w:rsid w:val="08007F78"/>
    <w:rsid w:val="08007FA9"/>
    <w:rsid w:val="08007FBC"/>
    <w:rsid w:val="08010022"/>
    <w:rsid w:val="0801002C"/>
    <w:rsid w:val="0801006B"/>
    <w:rsid w:val="080101C5"/>
    <w:rsid w:val="080101E3"/>
    <w:rsid w:val="0801021C"/>
    <w:rsid w:val="08010230"/>
    <w:rsid w:val="08010241"/>
    <w:rsid w:val="08010253"/>
    <w:rsid w:val="080102CC"/>
    <w:rsid w:val="080103C5"/>
    <w:rsid w:val="0801043E"/>
    <w:rsid w:val="080104BE"/>
    <w:rsid w:val="08010591"/>
    <w:rsid w:val="08010656"/>
    <w:rsid w:val="080106A2"/>
    <w:rsid w:val="080106CA"/>
    <w:rsid w:val="080106E1"/>
    <w:rsid w:val="080106F1"/>
    <w:rsid w:val="080106FD"/>
    <w:rsid w:val="0801071E"/>
    <w:rsid w:val="080107D5"/>
    <w:rsid w:val="08010894"/>
    <w:rsid w:val="0801092C"/>
    <w:rsid w:val="080109CF"/>
    <w:rsid w:val="08010A87"/>
    <w:rsid w:val="08010B5B"/>
    <w:rsid w:val="08010BBA"/>
    <w:rsid w:val="08010CA9"/>
    <w:rsid w:val="08010CD9"/>
    <w:rsid w:val="08010CFD"/>
    <w:rsid w:val="08010E23"/>
    <w:rsid w:val="08010E7E"/>
    <w:rsid w:val="08010F09"/>
    <w:rsid w:val="08010FE4"/>
    <w:rsid w:val="08011080"/>
    <w:rsid w:val="08011087"/>
    <w:rsid w:val="080110AE"/>
    <w:rsid w:val="080110FB"/>
    <w:rsid w:val="08011129"/>
    <w:rsid w:val="08011157"/>
    <w:rsid w:val="0801125F"/>
    <w:rsid w:val="0801127C"/>
    <w:rsid w:val="080112F4"/>
    <w:rsid w:val="0801132A"/>
    <w:rsid w:val="0801139E"/>
    <w:rsid w:val="08011461"/>
    <w:rsid w:val="080116D4"/>
    <w:rsid w:val="08011705"/>
    <w:rsid w:val="0801173F"/>
    <w:rsid w:val="08011768"/>
    <w:rsid w:val="08011803"/>
    <w:rsid w:val="080118AF"/>
    <w:rsid w:val="080118FA"/>
    <w:rsid w:val="0801195C"/>
    <w:rsid w:val="080119E4"/>
    <w:rsid w:val="08011A26"/>
    <w:rsid w:val="08011A31"/>
    <w:rsid w:val="08011A41"/>
    <w:rsid w:val="08011A50"/>
    <w:rsid w:val="08011A76"/>
    <w:rsid w:val="08011A8C"/>
    <w:rsid w:val="08011B15"/>
    <w:rsid w:val="08011B7D"/>
    <w:rsid w:val="08011C08"/>
    <w:rsid w:val="08011C15"/>
    <w:rsid w:val="08011CA7"/>
    <w:rsid w:val="08011CF2"/>
    <w:rsid w:val="08011D45"/>
    <w:rsid w:val="08011D7A"/>
    <w:rsid w:val="08011E41"/>
    <w:rsid w:val="08011E5A"/>
    <w:rsid w:val="08011F2E"/>
    <w:rsid w:val="08011F68"/>
    <w:rsid w:val="08011F75"/>
    <w:rsid w:val="08011F78"/>
    <w:rsid w:val="0801201C"/>
    <w:rsid w:val="0801202B"/>
    <w:rsid w:val="08012085"/>
    <w:rsid w:val="080120A6"/>
    <w:rsid w:val="08012117"/>
    <w:rsid w:val="0801212A"/>
    <w:rsid w:val="08012137"/>
    <w:rsid w:val="08012182"/>
    <w:rsid w:val="08012308"/>
    <w:rsid w:val="080124A7"/>
    <w:rsid w:val="080124FF"/>
    <w:rsid w:val="08012501"/>
    <w:rsid w:val="08012653"/>
    <w:rsid w:val="080126C1"/>
    <w:rsid w:val="080126CD"/>
    <w:rsid w:val="080126EE"/>
    <w:rsid w:val="080127D1"/>
    <w:rsid w:val="0801285B"/>
    <w:rsid w:val="0801288C"/>
    <w:rsid w:val="08012897"/>
    <w:rsid w:val="080128AA"/>
    <w:rsid w:val="08012946"/>
    <w:rsid w:val="08012952"/>
    <w:rsid w:val="080129A1"/>
    <w:rsid w:val="08012A36"/>
    <w:rsid w:val="08012A7B"/>
    <w:rsid w:val="08012AE4"/>
    <w:rsid w:val="08012B61"/>
    <w:rsid w:val="08012B96"/>
    <w:rsid w:val="08012BD6"/>
    <w:rsid w:val="08012BF6"/>
    <w:rsid w:val="08012BFF"/>
    <w:rsid w:val="08012C6D"/>
    <w:rsid w:val="08012D02"/>
    <w:rsid w:val="08012D30"/>
    <w:rsid w:val="08012D9F"/>
    <w:rsid w:val="08012DC9"/>
    <w:rsid w:val="08012DF5"/>
    <w:rsid w:val="08012DFE"/>
    <w:rsid w:val="08012E22"/>
    <w:rsid w:val="08012F2A"/>
    <w:rsid w:val="08012FFD"/>
    <w:rsid w:val="08013028"/>
    <w:rsid w:val="0801304D"/>
    <w:rsid w:val="0801305D"/>
    <w:rsid w:val="08013069"/>
    <w:rsid w:val="08013070"/>
    <w:rsid w:val="080130CD"/>
    <w:rsid w:val="080130F9"/>
    <w:rsid w:val="08013123"/>
    <w:rsid w:val="08013131"/>
    <w:rsid w:val="080131F3"/>
    <w:rsid w:val="0801324E"/>
    <w:rsid w:val="08013266"/>
    <w:rsid w:val="0801329C"/>
    <w:rsid w:val="080132EB"/>
    <w:rsid w:val="08013346"/>
    <w:rsid w:val="08013354"/>
    <w:rsid w:val="080134FB"/>
    <w:rsid w:val="080135DC"/>
    <w:rsid w:val="08013627"/>
    <w:rsid w:val="080136A7"/>
    <w:rsid w:val="08013721"/>
    <w:rsid w:val="080138E1"/>
    <w:rsid w:val="08013906"/>
    <w:rsid w:val="0801390C"/>
    <w:rsid w:val="08013960"/>
    <w:rsid w:val="08013A5C"/>
    <w:rsid w:val="08013AA3"/>
    <w:rsid w:val="08013AAC"/>
    <w:rsid w:val="08013C19"/>
    <w:rsid w:val="08013D02"/>
    <w:rsid w:val="08013DD5"/>
    <w:rsid w:val="08013E2B"/>
    <w:rsid w:val="08013E54"/>
    <w:rsid w:val="08013E83"/>
    <w:rsid w:val="08013FF8"/>
    <w:rsid w:val="080140E9"/>
    <w:rsid w:val="08014155"/>
    <w:rsid w:val="08014236"/>
    <w:rsid w:val="08014248"/>
    <w:rsid w:val="080142C1"/>
    <w:rsid w:val="08014333"/>
    <w:rsid w:val="08014393"/>
    <w:rsid w:val="08014458"/>
    <w:rsid w:val="0801448B"/>
    <w:rsid w:val="080144C1"/>
    <w:rsid w:val="080145AA"/>
    <w:rsid w:val="080145FE"/>
    <w:rsid w:val="08014767"/>
    <w:rsid w:val="08014842"/>
    <w:rsid w:val="08014969"/>
    <w:rsid w:val="080149EB"/>
    <w:rsid w:val="08014A0C"/>
    <w:rsid w:val="08014A5A"/>
    <w:rsid w:val="08014B1C"/>
    <w:rsid w:val="08014BA5"/>
    <w:rsid w:val="08014BBF"/>
    <w:rsid w:val="08014C44"/>
    <w:rsid w:val="08014C48"/>
    <w:rsid w:val="08014C69"/>
    <w:rsid w:val="08014C8A"/>
    <w:rsid w:val="08014CC8"/>
    <w:rsid w:val="08014D00"/>
    <w:rsid w:val="08014D55"/>
    <w:rsid w:val="08014D80"/>
    <w:rsid w:val="08014DDF"/>
    <w:rsid w:val="08014F77"/>
    <w:rsid w:val="08015045"/>
    <w:rsid w:val="0801508A"/>
    <w:rsid w:val="080150C6"/>
    <w:rsid w:val="080151B7"/>
    <w:rsid w:val="080151B8"/>
    <w:rsid w:val="080151C8"/>
    <w:rsid w:val="080151D4"/>
    <w:rsid w:val="0801522B"/>
    <w:rsid w:val="0801522E"/>
    <w:rsid w:val="0801523E"/>
    <w:rsid w:val="08015251"/>
    <w:rsid w:val="08015286"/>
    <w:rsid w:val="080152B5"/>
    <w:rsid w:val="08015383"/>
    <w:rsid w:val="08015385"/>
    <w:rsid w:val="0801543C"/>
    <w:rsid w:val="0801544E"/>
    <w:rsid w:val="08015564"/>
    <w:rsid w:val="08015640"/>
    <w:rsid w:val="080156B8"/>
    <w:rsid w:val="08015733"/>
    <w:rsid w:val="08015755"/>
    <w:rsid w:val="080157A2"/>
    <w:rsid w:val="08015800"/>
    <w:rsid w:val="08015829"/>
    <w:rsid w:val="08015929"/>
    <w:rsid w:val="08015A10"/>
    <w:rsid w:val="08015A40"/>
    <w:rsid w:val="08015A6D"/>
    <w:rsid w:val="08015B03"/>
    <w:rsid w:val="08015B1C"/>
    <w:rsid w:val="08015B45"/>
    <w:rsid w:val="08015B4F"/>
    <w:rsid w:val="08015BF2"/>
    <w:rsid w:val="08015D84"/>
    <w:rsid w:val="08015D94"/>
    <w:rsid w:val="08015DAC"/>
    <w:rsid w:val="08015DB3"/>
    <w:rsid w:val="08015E61"/>
    <w:rsid w:val="08015EE4"/>
    <w:rsid w:val="08015F7C"/>
    <w:rsid w:val="08015FD9"/>
    <w:rsid w:val="08015FE6"/>
    <w:rsid w:val="08016071"/>
    <w:rsid w:val="08016191"/>
    <w:rsid w:val="0801619A"/>
    <w:rsid w:val="080161F1"/>
    <w:rsid w:val="08016386"/>
    <w:rsid w:val="08016457"/>
    <w:rsid w:val="08016554"/>
    <w:rsid w:val="08016563"/>
    <w:rsid w:val="080165AD"/>
    <w:rsid w:val="080165C8"/>
    <w:rsid w:val="080165E0"/>
    <w:rsid w:val="0801672B"/>
    <w:rsid w:val="0801675F"/>
    <w:rsid w:val="08016787"/>
    <w:rsid w:val="080168FD"/>
    <w:rsid w:val="08016B79"/>
    <w:rsid w:val="08016BA4"/>
    <w:rsid w:val="08016C31"/>
    <w:rsid w:val="08016C58"/>
    <w:rsid w:val="08016CBA"/>
    <w:rsid w:val="08016CF0"/>
    <w:rsid w:val="08016D38"/>
    <w:rsid w:val="08016E2B"/>
    <w:rsid w:val="08016E6B"/>
    <w:rsid w:val="08016EAD"/>
    <w:rsid w:val="08016EEE"/>
    <w:rsid w:val="08016F47"/>
    <w:rsid w:val="08016F7B"/>
    <w:rsid w:val="08017078"/>
    <w:rsid w:val="08017141"/>
    <w:rsid w:val="0801717E"/>
    <w:rsid w:val="08017214"/>
    <w:rsid w:val="0801725C"/>
    <w:rsid w:val="08017289"/>
    <w:rsid w:val="080172D4"/>
    <w:rsid w:val="080172FB"/>
    <w:rsid w:val="080173C4"/>
    <w:rsid w:val="080174AD"/>
    <w:rsid w:val="0801762E"/>
    <w:rsid w:val="0801769A"/>
    <w:rsid w:val="0801774F"/>
    <w:rsid w:val="08017797"/>
    <w:rsid w:val="080177A0"/>
    <w:rsid w:val="0801786C"/>
    <w:rsid w:val="08017897"/>
    <w:rsid w:val="080178AB"/>
    <w:rsid w:val="080178F4"/>
    <w:rsid w:val="0801790F"/>
    <w:rsid w:val="08017A55"/>
    <w:rsid w:val="08017B72"/>
    <w:rsid w:val="08017BE7"/>
    <w:rsid w:val="08017C89"/>
    <w:rsid w:val="08017CC9"/>
    <w:rsid w:val="08017D77"/>
    <w:rsid w:val="08017E3B"/>
    <w:rsid w:val="08017E89"/>
    <w:rsid w:val="08017E9E"/>
    <w:rsid w:val="08017ECD"/>
    <w:rsid w:val="08017ED4"/>
    <w:rsid w:val="08017EFA"/>
    <w:rsid w:val="08017F4B"/>
    <w:rsid w:val="08017FAC"/>
    <w:rsid w:val="08017FC5"/>
    <w:rsid w:val="08017FD9"/>
    <w:rsid w:val="08020026"/>
    <w:rsid w:val="0802005A"/>
    <w:rsid w:val="080200E2"/>
    <w:rsid w:val="0802010B"/>
    <w:rsid w:val="08020161"/>
    <w:rsid w:val="08020188"/>
    <w:rsid w:val="080201BA"/>
    <w:rsid w:val="080201DC"/>
    <w:rsid w:val="08020213"/>
    <w:rsid w:val="08020235"/>
    <w:rsid w:val="0802029C"/>
    <w:rsid w:val="080202DA"/>
    <w:rsid w:val="08020334"/>
    <w:rsid w:val="0802036B"/>
    <w:rsid w:val="0802038A"/>
    <w:rsid w:val="080203EA"/>
    <w:rsid w:val="08020493"/>
    <w:rsid w:val="08020505"/>
    <w:rsid w:val="08020528"/>
    <w:rsid w:val="0802054B"/>
    <w:rsid w:val="0802054E"/>
    <w:rsid w:val="0802058B"/>
    <w:rsid w:val="08020595"/>
    <w:rsid w:val="0802061E"/>
    <w:rsid w:val="0802062C"/>
    <w:rsid w:val="0802071A"/>
    <w:rsid w:val="0802072A"/>
    <w:rsid w:val="080207D9"/>
    <w:rsid w:val="080207DA"/>
    <w:rsid w:val="0802082C"/>
    <w:rsid w:val="0802084C"/>
    <w:rsid w:val="080208D6"/>
    <w:rsid w:val="080208F4"/>
    <w:rsid w:val="08020926"/>
    <w:rsid w:val="080209E9"/>
    <w:rsid w:val="08020A67"/>
    <w:rsid w:val="08020B7C"/>
    <w:rsid w:val="08020CDA"/>
    <w:rsid w:val="08020D16"/>
    <w:rsid w:val="08020D6D"/>
    <w:rsid w:val="08020DC4"/>
    <w:rsid w:val="08020E03"/>
    <w:rsid w:val="08020E78"/>
    <w:rsid w:val="08020E7D"/>
    <w:rsid w:val="08020EC9"/>
    <w:rsid w:val="08021059"/>
    <w:rsid w:val="08021121"/>
    <w:rsid w:val="080212A9"/>
    <w:rsid w:val="080212BD"/>
    <w:rsid w:val="0802137D"/>
    <w:rsid w:val="080215E8"/>
    <w:rsid w:val="080215FF"/>
    <w:rsid w:val="08021755"/>
    <w:rsid w:val="08021868"/>
    <w:rsid w:val="080218A3"/>
    <w:rsid w:val="080218AD"/>
    <w:rsid w:val="080218D7"/>
    <w:rsid w:val="0802193D"/>
    <w:rsid w:val="08021946"/>
    <w:rsid w:val="08021A49"/>
    <w:rsid w:val="08021A68"/>
    <w:rsid w:val="08021A8D"/>
    <w:rsid w:val="08021B25"/>
    <w:rsid w:val="08021B68"/>
    <w:rsid w:val="08021CD1"/>
    <w:rsid w:val="08021DC4"/>
    <w:rsid w:val="08021DDF"/>
    <w:rsid w:val="08021E1F"/>
    <w:rsid w:val="08021E42"/>
    <w:rsid w:val="08021E88"/>
    <w:rsid w:val="08021EB9"/>
    <w:rsid w:val="08021F75"/>
    <w:rsid w:val="08022172"/>
    <w:rsid w:val="08022213"/>
    <w:rsid w:val="08022272"/>
    <w:rsid w:val="08022286"/>
    <w:rsid w:val="080223E9"/>
    <w:rsid w:val="080224F4"/>
    <w:rsid w:val="08022507"/>
    <w:rsid w:val="08022519"/>
    <w:rsid w:val="0802255D"/>
    <w:rsid w:val="080225C7"/>
    <w:rsid w:val="08022618"/>
    <w:rsid w:val="08022646"/>
    <w:rsid w:val="08022679"/>
    <w:rsid w:val="080226AF"/>
    <w:rsid w:val="0802271C"/>
    <w:rsid w:val="080227E0"/>
    <w:rsid w:val="080227EF"/>
    <w:rsid w:val="080228A9"/>
    <w:rsid w:val="080228CD"/>
    <w:rsid w:val="080228DC"/>
    <w:rsid w:val="08022974"/>
    <w:rsid w:val="08022975"/>
    <w:rsid w:val="08022992"/>
    <w:rsid w:val="08022996"/>
    <w:rsid w:val="08022A3D"/>
    <w:rsid w:val="08022BAB"/>
    <w:rsid w:val="08022BC9"/>
    <w:rsid w:val="08022C72"/>
    <w:rsid w:val="08022CAE"/>
    <w:rsid w:val="08022D37"/>
    <w:rsid w:val="08022E18"/>
    <w:rsid w:val="08022EA1"/>
    <w:rsid w:val="08022FC6"/>
    <w:rsid w:val="08022FF6"/>
    <w:rsid w:val="0802300C"/>
    <w:rsid w:val="0802300E"/>
    <w:rsid w:val="0802307D"/>
    <w:rsid w:val="08023084"/>
    <w:rsid w:val="0802326B"/>
    <w:rsid w:val="08023307"/>
    <w:rsid w:val="0802336F"/>
    <w:rsid w:val="0802339B"/>
    <w:rsid w:val="08023416"/>
    <w:rsid w:val="080234CC"/>
    <w:rsid w:val="08023596"/>
    <w:rsid w:val="0802359D"/>
    <w:rsid w:val="080236D4"/>
    <w:rsid w:val="0802374B"/>
    <w:rsid w:val="0802380F"/>
    <w:rsid w:val="080238A4"/>
    <w:rsid w:val="080238AC"/>
    <w:rsid w:val="080238CF"/>
    <w:rsid w:val="080238F9"/>
    <w:rsid w:val="080239A3"/>
    <w:rsid w:val="08023A86"/>
    <w:rsid w:val="08023A9D"/>
    <w:rsid w:val="08023AA1"/>
    <w:rsid w:val="08023AF3"/>
    <w:rsid w:val="08023AFB"/>
    <w:rsid w:val="08023BD1"/>
    <w:rsid w:val="08023CE2"/>
    <w:rsid w:val="08023D2C"/>
    <w:rsid w:val="08023D43"/>
    <w:rsid w:val="08023D9D"/>
    <w:rsid w:val="08023E20"/>
    <w:rsid w:val="08023E61"/>
    <w:rsid w:val="08023E63"/>
    <w:rsid w:val="08023F1C"/>
    <w:rsid w:val="08023F3B"/>
    <w:rsid w:val="08023F97"/>
    <w:rsid w:val="08023FB7"/>
    <w:rsid w:val="08023FC0"/>
    <w:rsid w:val="08023FC7"/>
    <w:rsid w:val="0802400B"/>
    <w:rsid w:val="08024029"/>
    <w:rsid w:val="080240B7"/>
    <w:rsid w:val="0802414F"/>
    <w:rsid w:val="0802415A"/>
    <w:rsid w:val="080241F7"/>
    <w:rsid w:val="0802426F"/>
    <w:rsid w:val="080242A3"/>
    <w:rsid w:val="08024330"/>
    <w:rsid w:val="08024431"/>
    <w:rsid w:val="080244DB"/>
    <w:rsid w:val="0802450E"/>
    <w:rsid w:val="080245BA"/>
    <w:rsid w:val="08024626"/>
    <w:rsid w:val="080246EF"/>
    <w:rsid w:val="0802470A"/>
    <w:rsid w:val="08024746"/>
    <w:rsid w:val="0802480C"/>
    <w:rsid w:val="080248B7"/>
    <w:rsid w:val="08024925"/>
    <w:rsid w:val="0802492C"/>
    <w:rsid w:val="08024995"/>
    <w:rsid w:val="08024AEA"/>
    <w:rsid w:val="08024AEB"/>
    <w:rsid w:val="08024B7A"/>
    <w:rsid w:val="08024BE9"/>
    <w:rsid w:val="08024BFD"/>
    <w:rsid w:val="08024C8F"/>
    <w:rsid w:val="08024D31"/>
    <w:rsid w:val="08024D9A"/>
    <w:rsid w:val="08024DC4"/>
    <w:rsid w:val="08024F0A"/>
    <w:rsid w:val="08024F2C"/>
    <w:rsid w:val="08025027"/>
    <w:rsid w:val="080250F6"/>
    <w:rsid w:val="0802512F"/>
    <w:rsid w:val="08025133"/>
    <w:rsid w:val="080251BE"/>
    <w:rsid w:val="08025281"/>
    <w:rsid w:val="08025382"/>
    <w:rsid w:val="080253EB"/>
    <w:rsid w:val="080253ED"/>
    <w:rsid w:val="0802550E"/>
    <w:rsid w:val="08025594"/>
    <w:rsid w:val="080255B0"/>
    <w:rsid w:val="08025629"/>
    <w:rsid w:val="08025673"/>
    <w:rsid w:val="080257C3"/>
    <w:rsid w:val="080257C9"/>
    <w:rsid w:val="08025865"/>
    <w:rsid w:val="08025885"/>
    <w:rsid w:val="080258A3"/>
    <w:rsid w:val="08025936"/>
    <w:rsid w:val="08025969"/>
    <w:rsid w:val="08025990"/>
    <w:rsid w:val="08025A7B"/>
    <w:rsid w:val="08025AA9"/>
    <w:rsid w:val="08025B51"/>
    <w:rsid w:val="08025BDF"/>
    <w:rsid w:val="08025C31"/>
    <w:rsid w:val="08025CA6"/>
    <w:rsid w:val="08025D07"/>
    <w:rsid w:val="08025DA3"/>
    <w:rsid w:val="08025DCB"/>
    <w:rsid w:val="08026051"/>
    <w:rsid w:val="080260E2"/>
    <w:rsid w:val="08026126"/>
    <w:rsid w:val="0802617A"/>
    <w:rsid w:val="08026182"/>
    <w:rsid w:val="080261D5"/>
    <w:rsid w:val="080261F3"/>
    <w:rsid w:val="08026256"/>
    <w:rsid w:val="080262A2"/>
    <w:rsid w:val="080262E7"/>
    <w:rsid w:val="08026300"/>
    <w:rsid w:val="080263A4"/>
    <w:rsid w:val="08026403"/>
    <w:rsid w:val="08026429"/>
    <w:rsid w:val="0802651C"/>
    <w:rsid w:val="08026712"/>
    <w:rsid w:val="08026891"/>
    <w:rsid w:val="08026924"/>
    <w:rsid w:val="080269AE"/>
    <w:rsid w:val="080269DF"/>
    <w:rsid w:val="08026A22"/>
    <w:rsid w:val="08026A86"/>
    <w:rsid w:val="08026AB5"/>
    <w:rsid w:val="08026AC8"/>
    <w:rsid w:val="08026AF9"/>
    <w:rsid w:val="08026C55"/>
    <w:rsid w:val="08026C75"/>
    <w:rsid w:val="08026D39"/>
    <w:rsid w:val="08026E02"/>
    <w:rsid w:val="08026E11"/>
    <w:rsid w:val="08026E35"/>
    <w:rsid w:val="08026FAF"/>
    <w:rsid w:val="08027049"/>
    <w:rsid w:val="080272A5"/>
    <w:rsid w:val="08027352"/>
    <w:rsid w:val="0802740C"/>
    <w:rsid w:val="08027452"/>
    <w:rsid w:val="0802746B"/>
    <w:rsid w:val="08027481"/>
    <w:rsid w:val="080274D0"/>
    <w:rsid w:val="08027520"/>
    <w:rsid w:val="08027529"/>
    <w:rsid w:val="08027551"/>
    <w:rsid w:val="0802760C"/>
    <w:rsid w:val="0802771E"/>
    <w:rsid w:val="0802773D"/>
    <w:rsid w:val="08027750"/>
    <w:rsid w:val="080277A0"/>
    <w:rsid w:val="080277A2"/>
    <w:rsid w:val="080277F3"/>
    <w:rsid w:val="0802780C"/>
    <w:rsid w:val="08027903"/>
    <w:rsid w:val="08027973"/>
    <w:rsid w:val="08027977"/>
    <w:rsid w:val="080279A5"/>
    <w:rsid w:val="080279F3"/>
    <w:rsid w:val="08027A54"/>
    <w:rsid w:val="08027AB5"/>
    <w:rsid w:val="08027AC2"/>
    <w:rsid w:val="08027B89"/>
    <w:rsid w:val="08027BEC"/>
    <w:rsid w:val="08027BF2"/>
    <w:rsid w:val="08027C14"/>
    <w:rsid w:val="08027C69"/>
    <w:rsid w:val="08027C8D"/>
    <w:rsid w:val="08027D53"/>
    <w:rsid w:val="08027D85"/>
    <w:rsid w:val="08027DC5"/>
    <w:rsid w:val="08027DE1"/>
    <w:rsid w:val="08027E4F"/>
    <w:rsid w:val="08027ECB"/>
    <w:rsid w:val="08027ED5"/>
    <w:rsid w:val="08027EE9"/>
    <w:rsid w:val="08027EF2"/>
    <w:rsid w:val="08027F1A"/>
    <w:rsid w:val="08027F20"/>
    <w:rsid w:val="08027F5E"/>
    <w:rsid w:val="08027F84"/>
    <w:rsid w:val="08027FDA"/>
    <w:rsid w:val="08030152"/>
    <w:rsid w:val="080301FF"/>
    <w:rsid w:val="08030214"/>
    <w:rsid w:val="080302C9"/>
    <w:rsid w:val="080302DD"/>
    <w:rsid w:val="08030353"/>
    <w:rsid w:val="080303AF"/>
    <w:rsid w:val="08030478"/>
    <w:rsid w:val="0803051C"/>
    <w:rsid w:val="08030694"/>
    <w:rsid w:val="08030700"/>
    <w:rsid w:val="08030781"/>
    <w:rsid w:val="0803078C"/>
    <w:rsid w:val="080307C7"/>
    <w:rsid w:val="0803087D"/>
    <w:rsid w:val="08030912"/>
    <w:rsid w:val="08030939"/>
    <w:rsid w:val="0803097A"/>
    <w:rsid w:val="080309F4"/>
    <w:rsid w:val="08030AC5"/>
    <w:rsid w:val="08030AE9"/>
    <w:rsid w:val="08030B3A"/>
    <w:rsid w:val="08030DAD"/>
    <w:rsid w:val="08030E53"/>
    <w:rsid w:val="08031114"/>
    <w:rsid w:val="08031212"/>
    <w:rsid w:val="08031228"/>
    <w:rsid w:val="0803125D"/>
    <w:rsid w:val="080312F5"/>
    <w:rsid w:val="0803135C"/>
    <w:rsid w:val="080313D2"/>
    <w:rsid w:val="080313F0"/>
    <w:rsid w:val="080314F7"/>
    <w:rsid w:val="08031554"/>
    <w:rsid w:val="080317A6"/>
    <w:rsid w:val="0803187B"/>
    <w:rsid w:val="080318DE"/>
    <w:rsid w:val="08031965"/>
    <w:rsid w:val="080319A1"/>
    <w:rsid w:val="080319F1"/>
    <w:rsid w:val="08031A49"/>
    <w:rsid w:val="08031AF8"/>
    <w:rsid w:val="08031B24"/>
    <w:rsid w:val="08031CB9"/>
    <w:rsid w:val="08031DC7"/>
    <w:rsid w:val="08031E76"/>
    <w:rsid w:val="08031EEA"/>
    <w:rsid w:val="08031F27"/>
    <w:rsid w:val="08031FBF"/>
    <w:rsid w:val="08031FEE"/>
    <w:rsid w:val="08031FFA"/>
    <w:rsid w:val="080320C1"/>
    <w:rsid w:val="080320F7"/>
    <w:rsid w:val="0803212C"/>
    <w:rsid w:val="08032277"/>
    <w:rsid w:val="08032301"/>
    <w:rsid w:val="08032395"/>
    <w:rsid w:val="080323E8"/>
    <w:rsid w:val="0803243C"/>
    <w:rsid w:val="08032468"/>
    <w:rsid w:val="080324C4"/>
    <w:rsid w:val="08032544"/>
    <w:rsid w:val="0803257E"/>
    <w:rsid w:val="080325E7"/>
    <w:rsid w:val="080325FA"/>
    <w:rsid w:val="080326B9"/>
    <w:rsid w:val="08032704"/>
    <w:rsid w:val="08032756"/>
    <w:rsid w:val="08032971"/>
    <w:rsid w:val="08032A03"/>
    <w:rsid w:val="08032A0E"/>
    <w:rsid w:val="08032A69"/>
    <w:rsid w:val="08032AFE"/>
    <w:rsid w:val="08032BEB"/>
    <w:rsid w:val="08032C3A"/>
    <w:rsid w:val="08032D40"/>
    <w:rsid w:val="08032D6A"/>
    <w:rsid w:val="08032D6B"/>
    <w:rsid w:val="08032ED7"/>
    <w:rsid w:val="08032F09"/>
    <w:rsid w:val="0803312C"/>
    <w:rsid w:val="080331C9"/>
    <w:rsid w:val="080331D8"/>
    <w:rsid w:val="08033263"/>
    <w:rsid w:val="08033287"/>
    <w:rsid w:val="080332BE"/>
    <w:rsid w:val="0803330E"/>
    <w:rsid w:val="0803339A"/>
    <w:rsid w:val="080333FD"/>
    <w:rsid w:val="08033494"/>
    <w:rsid w:val="08033523"/>
    <w:rsid w:val="0803358D"/>
    <w:rsid w:val="080335A6"/>
    <w:rsid w:val="08033619"/>
    <w:rsid w:val="0803361F"/>
    <w:rsid w:val="0803364E"/>
    <w:rsid w:val="080336A2"/>
    <w:rsid w:val="080336A3"/>
    <w:rsid w:val="080336BE"/>
    <w:rsid w:val="080336EB"/>
    <w:rsid w:val="080337DE"/>
    <w:rsid w:val="0803389C"/>
    <w:rsid w:val="08033A29"/>
    <w:rsid w:val="08033B0E"/>
    <w:rsid w:val="08033B67"/>
    <w:rsid w:val="08033B89"/>
    <w:rsid w:val="08033BB3"/>
    <w:rsid w:val="08033C81"/>
    <w:rsid w:val="08033CAD"/>
    <w:rsid w:val="08033E38"/>
    <w:rsid w:val="08033E59"/>
    <w:rsid w:val="08033EBC"/>
    <w:rsid w:val="08033EC2"/>
    <w:rsid w:val="08033F01"/>
    <w:rsid w:val="08033F3D"/>
    <w:rsid w:val="08033F82"/>
    <w:rsid w:val="08034140"/>
    <w:rsid w:val="08034177"/>
    <w:rsid w:val="080341BE"/>
    <w:rsid w:val="0803420A"/>
    <w:rsid w:val="08034289"/>
    <w:rsid w:val="080343CA"/>
    <w:rsid w:val="08034438"/>
    <w:rsid w:val="0803446A"/>
    <w:rsid w:val="08034485"/>
    <w:rsid w:val="08034517"/>
    <w:rsid w:val="0803452D"/>
    <w:rsid w:val="08034537"/>
    <w:rsid w:val="08034553"/>
    <w:rsid w:val="080345FA"/>
    <w:rsid w:val="08034631"/>
    <w:rsid w:val="0803469A"/>
    <w:rsid w:val="0803475C"/>
    <w:rsid w:val="0803485B"/>
    <w:rsid w:val="08034877"/>
    <w:rsid w:val="080349E0"/>
    <w:rsid w:val="080349FF"/>
    <w:rsid w:val="08034A30"/>
    <w:rsid w:val="08034B6A"/>
    <w:rsid w:val="08034C72"/>
    <w:rsid w:val="08034CD8"/>
    <w:rsid w:val="08034DCD"/>
    <w:rsid w:val="08034E2B"/>
    <w:rsid w:val="08034E30"/>
    <w:rsid w:val="08034E33"/>
    <w:rsid w:val="08034EAA"/>
    <w:rsid w:val="08034F12"/>
    <w:rsid w:val="08034FC9"/>
    <w:rsid w:val="08035005"/>
    <w:rsid w:val="0803500E"/>
    <w:rsid w:val="08035065"/>
    <w:rsid w:val="080351CB"/>
    <w:rsid w:val="080351F3"/>
    <w:rsid w:val="0803522A"/>
    <w:rsid w:val="0803522F"/>
    <w:rsid w:val="08035241"/>
    <w:rsid w:val="08035324"/>
    <w:rsid w:val="0803551E"/>
    <w:rsid w:val="0803554E"/>
    <w:rsid w:val="08035638"/>
    <w:rsid w:val="0803567B"/>
    <w:rsid w:val="080356F4"/>
    <w:rsid w:val="08035775"/>
    <w:rsid w:val="0803577A"/>
    <w:rsid w:val="080357D5"/>
    <w:rsid w:val="080357DE"/>
    <w:rsid w:val="08035868"/>
    <w:rsid w:val="080358C5"/>
    <w:rsid w:val="08035AF6"/>
    <w:rsid w:val="08035B13"/>
    <w:rsid w:val="08035B20"/>
    <w:rsid w:val="08035B36"/>
    <w:rsid w:val="08035B59"/>
    <w:rsid w:val="08035B9E"/>
    <w:rsid w:val="08035BFC"/>
    <w:rsid w:val="08035C1C"/>
    <w:rsid w:val="08035C24"/>
    <w:rsid w:val="08035CBB"/>
    <w:rsid w:val="08035CEE"/>
    <w:rsid w:val="08035D3D"/>
    <w:rsid w:val="08035D7A"/>
    <w:rsid w:val="08035E06"/>
    <w:rsid w:val="08035EDF"/>
    <w:rsid w:val="08035F07"/>
    <w:rsid w:val="08035F7F"/>
    <w:rsid w:val="08035FF8"/>
    <w:rsid w:val="080360A6"/>
    <w:rsid w:val="08036116"/>
    <w:rsid w:val="080361AA"/>
    <w:rsid w:val="080361B4"/>
    <w:rsid w:val="080361D0"/>
    <w:rsid w:val="08036215"/>
    <w:rsid w:val="0803626B"/>
    <w:rsid w:val="080362F1"/>
    <w:rsid w:val="0803632F"/>
    <w:rsid w:val="0803636E"/>
    <w:rsid w:val="080363EA"/>
    <w:rsid w:val="080364A4"/>
    <w:rsid w:val="080364C2"/>
    <w:rsid w:val="080364CC"/>
    <w:rsid w:val="0803653C"/>
    <w:rsid w:val="0803661D"/>
    <w:rsid w:val="0803663D"/>
    <w:rsid w:val="08036692"/>
    <w:rsid w:val="080367A4"/>
    <w:rsid w:val="08036807"/>
    <w:rsid w:val="08036832"/>
    <w:rsid w:val="080368B8"/>
    <w:rsid w:val="080368FF"/>
    <w:rsid w:val="08036931"/>
    <w:rsid w:val="080369DE"/>
    <w:rsid w:val="08036A9F"/>
    <w:rsid w:val="08036BCD"/>
    <w:rsid w:val="08036BD1"/>
    <w:rsid w:val="08036C06"/>
    <w:rsid w:val="08036C3C"/>
    <w:rsid w:val="08036C5F"/>
    <w:rsid w:val="08036DEE"/>
    <w:rsid w:val="08036EA2"/>
    <w:rsid w:val="08036EF9"/>
    <w:rsid w:val="08036F34"/>
    <w:rsid w:val="08036F63"/>
    <w:rsid w:val="08036F83"/>
    <w:rsid w:val="08036F9A"/>
    <w:rsid w:val="08036FA4"/>
    <w:rsid w:val="08036FC2"/>
    <w:rsid w:val="08036FDB"/>
    <w:rsid w:val="08037036"/>
    <w:rsid w:val="080370FC"/>
    <w:rsid w:val="08037126"/>
    <w:rsid w:val="080371CA"/>
    <w:rsid w:val="08037212"/>
    <w:rsid w:val="08037222"/>
    <w:rsid w:val="08037229"/>
    <w:rsid w:val="0803724E"/>
    <w:rsid w:val="08037269"/>
    <w:rsid w:val="080372C4"/>
    <w:rsid w:val="080372CF"/>
    <w:rsid w:val="08037457"/>
    <w:rsid w:val="0803746B"/>
    <w:rsid w:val="08037513"/>
    <w:rsid w:val="0803752C"/>
    <w:rsid w:val="08037567"/>
    <w:rsid w:val="080375BC"/>
    <w:rsid w:val="080375D2"/>
    <w:rsid w:val="080377C1"/>
    <w:rsid w:val="080377C2"/>
    <w:rsid w:val="0803783A"/>
    <w:rsid w:val="08037961"/>
    <w:rsid w:val="080379AB"/>
    <w:rsid w:val="08037A08"/>
    <w:rsid w:val="08037A3A"/>
    <w:rsid w:val="08037A75"/>
    <w:rsid w:val="08037B0A"/>
    <w:rsid w:val="08037B7D"/>
    <w:rsid w:val="08037B97"/>
    <w:rsid w:val="08037BAC"/>
    <w:rsid w:val="08037C3B"/>
    <w:rsid w:val="08037C47"/>
    <w:rsid w:val="08037D53"/>
    <w:rsid w:val="08037D63"/>
    <w:rsid w:val="08037DA3"/>
    <w:rsid w:val="08037DF3"/>
    <w:rsid w:val="08037E89"/>
    <w:rsid w:val="08037EA3"/>
    <w:rsid w:val="08037EAE"/>
    <w:rsid w:val="08037F9D"/>
    <w:rsid w:val="08037FAE"/>
    <w:rsid w:val="08040068"/>
    <w:rsid w:val="0804012E"/>
    <w:rsid w:val="08040130"/>
    <w:rsid w:val="08040166"/>
    <w:rsid w:val="0804016E"/>
    <w:rsid w:val="080401F6"/>
    <w:rsid w:val="08040289"/>
    <w:rsid w:val="0804029B"/>
    <w:rsid w:val="08040308"/>
    <w:rsid w:val="08040366"/>
    <w:rsid w:val="080403AD"/>
    <w:rsid w:val="080403CA"/>
    <w:rsid w:val="080403CC"/>
    <w:rsid w:val="0804040F"/>
    <w:rsid w:val="080404A3"/>
    <w:rsid w:val="080404F6"/>
    <w:rsid w:val="08040508"/>
    <w:rsid w:val="0804052D"/>
    <w:rsid w:val="0804054B"/>
    <w:rsid w:val="08040590"/>
    <w:rsid w:val="080407FF"/>
    <w:rsid w:val="0804081B"/>
    <w:rsid w:val="080409C0"/>
    <w:rsid w:val="080409D3"/>
    <w:rsid w:val="08040A37"/>
    <w:rsid w:val="08040ABC"/>
    <w:rsid w:val="08040AD9"/>
    <w:rsid w:val="08040B9D"/>
    <w:rsid w:val="08040BDA"/>
    <w:rsid w:val="08040C0F"/>
    <w:rsid w:val="08040C7E"/>
    <w:rsid w:val="08040D64"/>
    <w:rsid w:val="08040DDA"/>
    <w:rsid w:val="08040E9F"/>
    <w:rsid w:val="08040FB5"/>
    <w:rsid w:val="08041061"/>
    <w:rsid w:val="0804114F"/>
    <w:rsid w:val="08041203"/>
    <w:rsid w:val="08041369"/>
    <w:rsid w:val="08041395"/>
    <w:rsid w:val="080413EF"/>
    <w:rsid w:val="08041578"/>
    <w:rsid w:val="08041581"/>
    <w:rsid w:val="080415A4"/>
    <w:rsid w:val="0804164A"/>
    <w:rsid w:val="080417BF"/>
    <w:rsid w:val="080417C8"/>
    <w:rsid w:val="080417DE"/>
    <w:rsid w:val="080417E8"/>
    <w:rsid w:val="080417E9"/>
    <w:rsid w:val="0804188A"/>
    <w:rsid w:val="080418F7"/>
    <w:rsid w:val="08041A6F"/>
    <w:rsid w:val="08041ACC"/>
    <w:rsid w:val="08041B47"/>
    <w:rsid w:val="08041B49"/>
    <w:rsid w:val="08041B9A"/>
    <w:rsid w:val="08041BA7"/>
    <w:rsid w:val="08041C16"/>
    <w:rsid w:val="08041C7F"/>
    <w:rsid w:val="08041CDE"/>
    <w:rsid w:val="08041D09"/>
    <w:rsid w:val="08041DA4"/>
    <w:rsid w:val="08041DCF"/>
    <w:rsid w:val="08041F60"/>
    <w:rsid w:val="08041F76"/>
    <w:rsid w:val="08041F84"/>
    <w:rsid w:val="0804204F"/>
    <w:rsid w:val="08042093"/>
    <w:rsid w:val="080421C0"/>
    <w:rsid w:val="08042223"/>
    <w:rsid w:val="08042277"/>
    <w:rsid w:val="0804227E"/>
    <w:rsid w:val="080422B8"/>
    <w:rsid w:val="080422DE"/>
    <w:rsid w:val="08042307"/>
    <w:rsid w:val="080423BC"/>
    <w:rsid w:val="0804241B"/>
    <w:rsid w:val="08042424"/>
    <w:rsid w:val="08042553"/>
    <w:rsid w:val="08042638"/>
    <w:rsid w:val="0804272F"/>
    <w:rsid w:val="0804279C"/>
    <w:rsid w:val="080427D2"/>
    <w:rsid w:val="080427D6"/>
    <w:rsid w:val="080428B2"/>
    <w:rsid w:val="080428C9"/>
    <w:rsid w:val="0804297C"/>
    <w:rsid w:val="080429DD"/>
    <w:rsid w:val="080429F5"/>
    <w:rsid w:val="08042A29"/>
    <w:rsid w:val="08042B43"/>
    <w:rsid w:val="08042C98"/>
    <w:rsid w:val="08042CA9"/>
    <w:rsid w:val="08042D19"/>
    <w:rsid w:val="08042D7B"/>
    <w:rsid w:val="08042DC2"/>
    <w:rsid w:val="08042DE9"/>
    <w:rsid w:val="0804300A"/>
    <w:rsid w:val="080430CE"/>
    <w:rsid w:val="080431E2"/>
    <w:rsid w:val="08043220"/>
    <w:rsid w:val="080432C7"/>
    <w:rsid w:val="080432D7"/>
    <w:rsid w:val="0804334E"/>
    <w:rsid w:val="080433D4"/>
    <w:rsid w:val="0804357E"/>
    <w:rsid w:val="080435A9"/>
    <w:rsid w:val="0804361C"/>
    <w:rsid w:val="08043646"/>
    <w:rsid w:val="08043649"/>
    <w:rsid w:val="0804373F"/>
    <w:rsid w:val="08043752"/>
    <w:rsid w:val="08043769"/>
    <w:rsid w:val="080437C8"/>
    <w:rsid w:val="08043823"/>
    <w:rsid w:val="080438AB"/>
    <w:rsid w:val="080438C0"/>
    <w:rsid w:val="08043925"/>
    <w:rsid w:val="0804394E"/>
    <w:rsid w:val="080439BE"/>
    <w:rsid w:val="08043A23"/>
    <w:rsid w:val="08043A31"/>
    <w:rsid w:val="08043A81"/>
    <w:rsid w:val="08043AEC"/>
    <w:rsid w:val="08043B33"/>
    <w:rsid w:val="08043BFC"/>
    <w:rsid w:val="08043CAD"/>
    <w:rsid w:val="08043D06"/>
    <w:rsid w:val="08043DD8"/>
    <w:rsid w:val="08043E14"/>
    <w:rsid w:val="08043E1E"/>
    <w:rsid w:val="08043F7C"/>
    <w:rsid w:val="08043FC6"/>
    <w:rsid w:val="0804400E"/>
    <w:rsid w:val="0804411D"/>
    <w:rsid w:val="0804412D"/>
    <w:rsid w:val="080442C2"/>
    <w:rsid w:val="0804431B"/>
    <w:rsid w:val="08044360"/>
    <w:rsid w:val="080443B0"/>
    <w:rsid w:val="0804450A"/>
    <w:rsid w:val="0804454F"/>
    <w:rsid w:val="0804457D"/>
    <w:rsid w:val="0804457F"/>
    <w:rsid w:val="080445F7"/>
    <w:rsid w:val="080445F9"/>
    <w:rsid w:val="0804467C"/>
    <w:rsid w:val="08044686"/>
    <w:rsid w:val="0804469C"/>
    <w:rsid w:val="08044703"/>
    <w:rsid w:val="08044768"/>
    <w:rsid w:val="0804477E"/>
    <w:rsid w:val="08044782"/>
    <w:rsid w:val="0804479D"/>
    <w:rsid w:val="080447A3"/>
    <w:rsid w:val="080447C4"/>
    <w:rsid w:val="080447F4"/>
    <w:rsid w:val="08044809"/>
    <w:rsid w:val="08044935"/>
    <w:rsid w:val="0804497D"/>
    <w:rsid w:val="080449F6"/>
    <w:rsid w:val="08044AA1"/>
    <w:rsid w:val="08044AC0"/>
    <w:rsid w:val="08044B14"/>
    <w:rsid w:val="08044B7A"/>
    <w:rsid w:val="08044B8C"/>
    <w:rsid w:val="08044B93"/>
    <w:rsid w:val="08044BBD"/>
    <w:rsid w:val="08044BFD"/>
    <w:rsid w:val="08044C26"/>
    <w:rsid w:val="08044CF5"/>
    <w:rsid w:val="08044DFD"/>
    <w:rsid w:val="08044E47"/>
    <w:rsid w:val="08044EC2"/>
    <w:rsid w:val="08044FD2"/>
    <w:rsid w:val="0804502D"/>
    <w:rsid w:val="080450A2"/>
    <w:rsid w:val="080450B9"/>
    <w:rsid w:val="080450E2"/>
    <w:rsid w:val="0804513A"/>
    <w:rsid w:val="0804515B"/>
    <w:rsid w:val="080451FC"/>
    <w:rsid w:val="080452BB"/>
    <w:rsid w:val="08045472"/>
    <w:rsid w:val="080454AE"/>
    <w:rsid w:val="08045504"/>
    <w:rsid w:val="08045520"/>
    <w:rsid w:val="0804553C"/>
    <w:rsid w:val="08045555"/>
    <w:rsid w:val="08045558"/>
    <w:rsid w:val="08045567"/>
    <w:rsid w:val="0804561A"/>
    <w:rsid w:val="0804565A"/>
    <w:rsid w:val="0804566A"/>
    <w:rsid w:val="080456BA"/>
    <w:rsid w:val="080456C6"/>
    <w:rsid w:val="080457A3"/>
    <w:rsid w:val="08045851"/>
    <w:rsid w:val="0804595E"/>
    <w:rsid w:val="080459BB"/>
    <w:rsid w:val="08045A61"/>
    <w:rsid w:val="08045AE0"/>
    <w:rsid w:val="08045B02"/>
    <w:rsid w:val="08045C57"/>
    <w:rsid w:val="08045D50"/>
    <w:rsid w:val="08045DB3"/>
    <w:rsid w:val="08045E8E"/>
    <w:rsid w:val="08045EA8"/>
    <w:rsid w:val="08045F7D"/>
    <w:rsid w:val="08045FC2"/>
    <w:rsid w:val="080460B4"/>
    <w:rsid w:val="080460FC"/>
    <w:rsid w:val="080461C4"/>
    <w:rsid w:val="080461F0"/>
    <w:rsid w:val="08046206"/>
    <w:rsid w:val="08046209"/>
    <w:rsid w:val="08046210"/>
    <w:rsid w:val="08046213"/>
    <w:rsid w:val="08046214"/>
    <w:rsid w:val="08046262"/>
    <w:rsid w:val="08046275"/>
    <w:rsid w:val="080462B5"/>
    <w:rsid w:val="080462B6"/>
    <w:rsid w:val="080462E6"/>
    <w:rsid w:val="0804631A"/>
    <w:rsid w:val="080463B6"/>
    <w:rsid w:val="08046421"/>
    <w:rsid w:val="0804646C"/>
    <w:rsid w:val="080464FE"/>
    <w:rsid w:val="08046532"/>
    <w:rsid w:val="0804653A"/>
    <w:rsid w:val="08046599"/>
    <w:rsid w:val="080465DC"/>
    <w:rsid w:val="08046666"/>
    <w:rsid w:val="0804677B"/>
    <w:rsid w:val="08046789"/>
    <w:rsid w:val="080467ED"/>
    <w:rsid w:val="08046882"/>
    <w:rsid w:val="080468DA"/>
    <w:rsid w:val="080468EF"/>
    <w:rsid w:val="08046976"/>
    <w:rsid w:val="080469A3"/>
    <w:rsid w:val="080469C2"/>
    <w:rsid w:val="080469D6"/>
    <w:rsid w:val="08046A37"/>
    <w:rsid w:val="08046A81"/>
    <w:rsid w:val="08046B24"/>
    <w:rsid w:val="08046B56"/>
    <w:rsid w:val="08046BAB"/>
    <w:rsid w:val="08046C59"/>
    <w:rsid w:val="08046C5D"/>
    <w:rsid w:val="08046C6E"/>
    <w:rsid w:val="08046C89"/>
    <w:rsid w:val="08046CBC"/>
    <w:rsid w:val="08046CDF"/>
    <w:rsid w:val="08046DF4"/>
    <w:rsid w:val="0804708E"/>
    <w:rsid w:val="080470A2"/>
    <w:rsid w:val="080470F4"/>
    <w:rsid w:val="08047197"/>
    <w:rsid w:val="080471DB"/>
    <w:rsid w:val="08047260"/>
    <w:rsid w:val="08047279"/>
    <w:rsid w:val="0804728C"/>
    <w:rsid w:val="0804728D"/>
    <w:rsid w:val="080472CD"/>
    <w:rsid w:val="080472D2"/>
    <w:rsid w:val="080472F0"/>
    <w:rsid w:val="08047320"/>
    <w:rsid w:val="08047479"/>
    <w:rsid w:val="0804750C"/>
    <w:rsid w:val="08047568"/>
    <w:rsid w:val="080475D2"/>
    <w:rsid w:val="0804760F"/>
    <w:rsid w:val="080476A5"/>
    <w:rsid w:val="080476D8"/>
    <w:rsid w:val="080476F1"/>
    <w:rsid w:val="08047907"/>
    <w:rsid w:val="08047916"/>
    <w:rsid w:val="0804791D"/>
    <w:rsid w:val="0804799E"/>
    <w:rsid w:val="08047A13"/>
    <w:rsid w:val="08047A3E"/>
    <w:rsid w:val="08047A69"/>
    <w:rsid w:val="08047AF5"/>
    <w:rsid w:val="08047AFE"/>
    <w:rsid w:val="08047B78"/>
    <w:rsid w:val="08047B9C"/>
    <w:rsid w:val="08047C29"/>
    <w:rsid w:val="08047C35"/>
    <w:rsid w:val="08047C78"/>
    <w:rsid w:val="08047CC3"/>
    <w:rsid w:val="08047D0B"/>
    <w:rsid w:val="08047D32"/>
    <w:rsid w:val="08047D66"/>
    <w:rsid w:val="08047D88"/>
    <w:rsid w:val="08047DC5"/>
    <w:rsid w:val="08047EC5"/>
    <w:rsid w:val="08047ECF"/>
    <w:rsid w:val="08047F09"/>
    <w:rsid w:val="08047F3A"/>
    <w:rsid w:val="08047F8B"/>
    <w:rsid w:val="08050014"/>
    <w:rsid w:val="08050031"/>
    <w:rsid w:val="08050059"/>
    <w:rsid w:val="0805010D"/>
    <w:rsid w:val="08050124"/>
    <w:rsid w:val="08050170"/>
    <w:rsid w:val="08050174"/>
    <w:rsid w:val="0805019D"/>
    <w:rsid w:val="08050232"/>
    <w:rsid w:val="0805028C"/>
    <w:rsid w:val="080502A1"/>
    <w:rsid w:val="080502D5"/>
    <w:rsid w:val="080502EF"/>
    <w:rsid w:val="080502F3"/>
    <w:rsid w:val="08050330"/>
    <w:rsid w:val="08050482"/>
    <w:rsid w:val="080504BB"/>
    <w:rsid w:val="08050575"/>
    <w:rsid w:val="080505CB"/>
    <w:rsid w:val="08050683"/>
    <w:rsid w:val="080506BB"/>
    <w:rsid w:val="080507C2"/>
    <w:rsid w:val="08050803"/>
    <w:rsid w:val="080508FB"/>
    <w:rsid w:val="08050907"/>
    <w:rsid w:val="08050929"/>
    <w:rsid w:val="0805093F"/>
    <w:rsid w:val="080509DB"/>
    <w:rsid w:val="08050AC6"/>
    <w:rsid w:val="08050B0C"/>
    <w:rsid w:val="08050B53"/>
    <w:rsid w:val="08050C0E"/>
    <w:rsid w:val="08050C56"/>
    <w:rsid w:val="08050C8F"/>
    <w:rsid w:val="08050D31"/>
    <w:rsid w:val="08050DF6"/>
    <w:rsid w:val="08050E2F"/>
    <w:rsid w:val="08050E30"/>
    <w:rsid w:val="08050E31"/>
    <w:rsid w:val="08050E40"/>
    <w:rsid w:val="08050E42"/>
    <w:rsid w:val="08050EB0"/>
    <w:rsid w:val="08050EE7"/>
    <w:rsid w:val="08050F14"/>
    <w:rsid w:val="08050FBE"/>
    <w:rsid w:val="08050FE0"/>
    <w:rsid w:val="08051005"/>
    <w:rsid w:val="0805108C"/>
    <w:rsid w:val="080510E1"/>
    <w:rsid w:val="08051188"/>
    <w:rsid w:val="080512E2"/>
    <w:rsid w:val="080513B0"/>
    <w:rsid w:val="080513D0"/>
    <w:rsid w:val="08051448"/>
    <w:rsid w:val="08051472"/>
    <w:rsid w:val="080514F1"/>
    <w:rsid w:val="0805152F"/>
    <w:rsid w:val="08051546"/>
    <w:rsid w:val="0805154A"/>
    <w:rsid w:val="080515C9"/>
    <w:rsid w:val="080516AB"/>
    <w:rsid w:val="08051717"/>
    <w:rsid w:val="0805173D"/>
    <w:rsid w:val="08051762"/>
    <w:rsid w:val="08051796"/>
    <w:rsid w:val="08051854"/>
    <w:rsid w:val="08051941"/>
    <w:rsid w:val="08051A07"/>
    <w:rsid w:val="08051B7F"/>
    <w:rsid w:val="08051B84"/>
    <w:rsid w:val="08051C26"/>
    <w:rsid w:val="08051C5C"/>
    <w:rsid w:val="08051D41"/>
    <w:rsid w:val="08051E0D"/>
    <w:rsid w:val="08051E43"/>
    <w:rsid w:val="08051F61"/>
    <w:rsid w:val="08051F72"/>
    <w:rsid w:val="08051F86"/>
    <w:rsid w:val="08051F95"/>
    <w:rsid w:val="080520C1"/>
    <w:rsid w:val="08052132"/>
    <w:rsid w:val="08052231"/>
    <w:rsid w:val="0805224C"/>
    <w:rsid w:val="08052276"/>
    <w:rsid w:val="080522D1"/>
    <w:rsid w:val="080523BB"/>
    <w:rsid w:val="08052402"/>
    <w:rsid w:val="08052412"/>
    <w:rsid w:val="080524A6"/>
    <w:rsid w:val="08052547"/>
    <w:rsid w:val="080525E0"/>
    <w:rsid w:val="080527DA"/>
    <w:rsid w:val="080527DF"/>
    <w:rsid w:val="080527E5"/>
    <w:rsid w:val="08052824"/>
    <w:rsid w:val="0805286D"/>
    <w:rsid w:val="0805287F"/>
    <w:rsid w:val="080528EA"/>
    <w:rsid w:val="080529D3"/>
    <w:rsid w:val="080529E3"/>
    <w:rsid w:val="08052A2E"/>
    <w:rsid w:val="08052A49"/>
    <w:rsid w:val="08052A50"/>
    <w:rsid w:val="08052AB5"/>
    <w:rsid w:val="08052B2E"/>
    <w:rsid w:val="08052B85"/>
    <w:rsid w:val="08052C30"/>
    <w:rsid w:val="08052C4E"/>
    <w:rsid w:val="08052C9D"/>
    <w:rsid w:val="08052CEF"/>
    <w:rsid w:val="08052DA2"/>
    <w:rsid w:val="08052DFC"/>
    <w:rsid w:val="08052E9C"/>
    <w:rsid w:val="08052F03"/>
    <w:rsid w:val="08052F39"/>
    <w:rsid w:val="08052FAC"/>
    <w:rsid w:val="08052FD5"/>
    <w:rsid w:val="08053026"/>
    <w:rsid w:val="080530C5"/>
    <w:rsid w:val="08053113"/>
    <w:rsid w:val="08053180"/>
    <w:rsid w:val="080531B2"/>
    <w:rsid w:val="0805326F"/>
    <w:rsid w:val="080532F3"/>
    <w:rsid w:val="080533AE"/>
    <w:rsid w:val="08053485"/>
    <w:rsid w:val="080534AA"/>
    <w:rsid w:val="0805354A"/>
    <w:rsid w:val="080535DD"/>
    <w:rsid w:val="0805366A"/>
    <w:rsid w:val="08053677"/>
    <w:rsid w:val="080536F7"/>
    <w:rsid w:val="08053739"/>
    <w:rsid w:val="08053775"/>
    <w:rsid w:val="080537CA"/>
    <w:rsid w:val="0805382C"/>
    <w:rsid w:val="0805382E"/>
    <w:rsid w:val="080539B6"/>
    <w:rsid w:val="080539C3"/>
    <w:rsid w:val="080539E2"/>
    <w:rsid w:val="08053A30"/>
    <w:rsid w:val="08053AC6"/>
    <w:rsid w:val="08053C5D"/>
    <w:rsid w:val="08053CCB"/>
    <w:rsid w:val="08053D3F"/>
    <w:rsid w:val="08053DA0"/>
    <w:rsid w:val="08053DCD"/>
    <w:rsid w:val="08053E31"/>
    <w:rsid w:val="08053E59"/>
    <w:rsid w:val="08053E7E"/>
    <w:rsid w:val="08053F99"/>
    <w:rsid w:val="08053FAE"/>
    <w:rsid w:val="080541B9"/>
    <w:rsid w:val="080542EC"/>
    <w:rsid w:val="080542F4"/>
    <w:rsid w:val="080543DE"/>
    <w:rsid w:val="08054488"/>
    <w:rsid w:val="08054494"/>
    <w:rsid w:val="080544F2"/>
    <w:rsid w:val="08054565"/>
    <w:rsid w:val="080545A4"/>
    <w:rsid w:val="080545DE"/>
    <w:rsid w:val="08054607"/>
    <w:rsid w:val="0805467F"/>
    <w:rsid w:val="08054763"/>
    <w:rsid w:val="08054876"/>
    <w:rsid w:val="08054BCA"/>
    <w:rsid w:val="08054BDB"/>
    <w:rsid w:val="08054C38"/>
    <w:rsid w:val="08054C6F"/>
    <w:rsid w:val="08054D28"/>
    <w:rsid w:val="08054E54"/>
    <w:rsid w:val="08054ED4"/>
    <w:rsid w:val="08054F7D"/>
    <w:rsid w:val="08054F84"/>
    <w:rsid w:val="08054FD8"/>
    <w:rsid w:val="08054FDD"/>
    <w:rsid w:val="08055029"/>
    <w:rsid w:val="08055089"/>
    <w:rsid w:val="080550CD"/>
    <w:rsid w:val="080550F6"/>
    <w:rsid w:val="08055143"/>
    <w:rsid w:val="0805515C"/>
    <w:rsid w:val="0805518B"/>
    <w:rsid w:val="080551BB"/>
    <w:rsid w:val="08055239"/>
    <w:rsid w:val="080552AE"/>
    <w:rsid w:val="08055302"/>
    <w:rsid w:val="0805533F"/>
    <w:rsid w:val="080553CA"/>
    <w:rsid w:val="08055438"/>
    <w:rsid w:val="08055442"/>
    <w:rsid w:val="080554FF"/>
    <w:rsid w:val="08055540"/>
    <w:rsid w:val="08055689"/>
    <w:rsid w:val="080556B0"/>
    <w:rsid w:val="08055714"/>
    <w:rsid w:val="0805572B"/>
    <w:rsid w:val="08055870"/>
    <w:rsid w:val="0805592C"/>
    <w:rsid w:val="08055971"/>
    <w:rsid w:val="08055988"/>
    <w:rsid w:val="08055ADE"/>
    <w:rsid w:val="08055AE0"/>
    <w:rsid w:val="08055B2F"/>
    <w:rsid w:val="08055B7C"/>
    <w:rsid w:val="08055BC7"/>
    <w:rsid w:val="08055C1E"/>
    <w:rsid w:val="08055C58"/>
    <w:rsid w:val="08055C6E"/>
    <w:rsid w:val="08055CAA"/>
    <w:rsid w:val="08055CDF"/>
    <w:rsid w:val="08055E23"/>
    <w:rsid w:val="08055EC2"/>
    <w:rsid w:val="08055EE8"/>
    <w:rsid w:val="08055F0D"/>
    <w:rsid w:val="08055F49"/>
    <w:rsid w:val="08055FB1"/>
    <w:rsid w:val="0805610F"/>
    <w:rsid w:val="0805613E"/>
    <w:rsid w:val="080561C2"/>
    <w:rsid w:val="08056279"/>
    <w:rsid w:val="08056295"/>
    <w:rsid w:val="08056298"/>
    <w:rsid w:val="08056332"/>
    <w:rsid w:val="0805645C"/>
    <w:rsid w:val="08056532"/>
    <w:rsid w:val="080565CD"/>
    <w:rsid w:val="080566F9"/>
    <w:rsid w:val="0805673B"/>
    <w:rsid w:val="0805675B"/>
    <w:rsid w:val="0805679D"/>
    <w:rsid w:val="080567C1"/>
    <w:rsid w:val="08056898"/>
    <w:rsid w:val="080569BF"/>
    <w:rsid w:val="08056A4D"/>
    <w:rsid w:val="08056A61"/>
    <w:rsid w:val="08056A75"/>
    <w:rsid w:val="08056A76"/>
    <w:rsid w:val="08056B14"/>
    <w:rsid w:val="08056B3F"/>
    <w:rsid w:val="08056CAA"/>
    <w:rsid w:val="08056CC3"/>
    <w:rsid w:val="08056CC4"/>
    <w:rsid w:val="08056D57"/>
    <w:rsid w:val="08056D7C"/>
    <w:rsid w:val="08056D97"/>
    <w:rsid w:val="08056F02"/>
    <w:rsid w:val="08056F41"/>
    <w:rsid w:val="08056FB4"/>
    <w:rsid w:val="0805708C"/>
    <w:rsid w:val="08057092"/>
    <w:rsid w:val="080570DD"/>
    <w:rsid w:val="0805721E"/>
    <w:rsid w:val="08057264"/>
    <w:rsid w:val="08057300"/>
    <w:rsid w:val="08057365"/>
    <w:rsid w:val="080573C9"/>
    <w:rsid w:val="080575F2"/>
    <w:rsid w:val="08057640"/>
    <w:rsid w:val="08057675"/>
    <w:rsid w:val="080576EB"/>
    <w:rsid w:val="080576EC"/>
    <w:rsid w:val="080577C7"/>
    <w:rsid w:val="080577D3"/>
    <w:rsid w:val="08057819"/>
    <w:rsid w:val="0805797C"/>
    <w:rsid w:val="08057983"/>
    <w:rsid w:val="08057AD9"/>
    <w:rsid w:val="08057B21"/>
    <w:rsid w:val="08057B6E"/>
    <w:rsid w:val="08057B8B"/>
    <w:rsid w:val="08057C48"/>
    <w:rsid w:val="08057C60"/>
    <w:rsid w:val="08057CE6"/>
    <w:rsid w:val="08057CF8"/>
    <w:rsid w:val="08057D12"/>
    <w:rsid w:val="08057D8C"/>
    <w:rsid w:val="08057DAE"/>
    <w:rsid w:val="08057DBF"/>
    <w:rsid w:val="08057E17"/>
    <w:rsid w:val="08057E71"/>
    <w:rsid w:val="08057F00"/>
    <w:rsid w:val="08057F05"/>
    <w:rsid w:val="08057F0E"/>
    <w:rsid w:val="08057FD9"/>
    <w:rsid w:val="08060049"/>
    <w:rsid w:val="080600CE"/>
    <w:rsid w:val="080600FC"/>
    <w:rsid w:val="0806018B"/>
    <w:rsid w:val="08060197"/>
    <w:rsid w:val="080602A9"/>
    <w:rsid w:val="08060302"/>
    <w:rsid w:val="0806031C"/>
    <w:rsid w:val="08060331"/>
    <w:rsid w:val="08060332"/>
    <w:rsid w:val="0806034F"/>
    <w:rsid w:val="0806039B"/>
    <w:rsid w:val="080603C0"/>
    <w:rsid w:val="08060427"/>
    <w:rsid w:val="080604DE"/>
    <w:rsid w:val="080604F0"/>
    <w:rsid w:val="0806052F"/>
    <w:rsid w:val="08060608"/>
    <w:rsid w:val="080606CC"/>
    <w:rsid w:val="08060717"/>
    <w:rsid w:val="08060784"/>
    <w:rsid w:val="080607B0"/>
    <w:rsid w:val="080607FC"/>
    <w:rsid w:val="08060825"/>
    <w:rsid w:val="0806082F"/>
    <w:rsid w:val="08060841"/>
    <w:rsid w:val="080608AE"/>
    <w:rsid w:val="08060980"/>
    <w:rsid w:val="08060A1F"/>
    <w:rsid w:val="08060A93"/>
    <w:rsid w:val="08060C6C"/>
    <w:rsid w:val="08060C9F"/>
    <w:rsid w:val="08060D12"/>
    <w:rsid w:val="08060D2E"/>
    <w:rsid w:val="08060DF3"/>
    <w:rsid w:val="08060E9B"/>
    <w:rsid w:val="08060EC9"/>
    <w:rsid w:val="08060FB9"/>
    <w:rsid w:val="0806101C"/>
    <w:rsid w:val="08061037"/>
    <w:rsid w:val="0806106F"/>
    <w:rsid w:val="0806108C"/>
    <w:rsid w:val="0806113C"/>
    <w:rsid w:val="08061164"/>
    <w:rsid w:val="08061280"/>
    <w:rsid w:val="080612D1"/>
    <w:rsid w:val="0806134C"/>
    <w:rsid w:val="08061355"/>
    <w:rsid w:val="08061429"/>
    <w:rsid w:val="08061437"/>
    <w:rsid w:val="08061477"/>
    <w:rsid w:val="080614D8"/>
    <w:rsid w:val="0806157D"/>
    <w:rsid w:val="0806162E"/>
    <w:rsid w:val="08061647"/>
    <w:rsid w:val="080616BA"/>
    <w:rsid w:val="080617BB"/>
    <w:rsid w:val="080617C2"/>
    <w:rsid w:val="080617C7"/>
    <w:rsid w:val="0806184A"/>
    <w:rsid w:val="08061928"/>
    <w:rsid w:val="080619BB"/>
    <w:rsid w:val="08061A00"/>
    <w:rsid w:val="08061A3F"/>
    <w:rsid w:val="08061A5E"/>
    <w:rsid w:val="08061AC8"/>
    <w:rsid w:val="08061B0A"/>
    <w:rsid w:val="08061B3D"/>
    <w:rsid w:val="08061BB2"/>
    <w:rsid w:val="08061C46"/>
    <w:rsid w:val="08061CD0"/>
    <w:rsid w:val="08061D55"/>
    <w:rsid w:val="08061D66"/>
    <w:rsid w:val="08061DB0"/>
    <w:rsid w:val="08061E3A"/>
    <w:rsid w:val="08061EA6"/>
    <w:rsid w:val="08061F51"/>
    <w:rsid w:val="08061F67"/>
    <w:rsid w:val="08062062"/>
    <w:rsid w:val="0806211D"/>
    <w:rsid w:val="080621EB"/>
    <w:rsid w:val="08062211"/>
    <w:rsid w:val="08062215"/>
    <w:rsid w:val="08062261"/>
    <w:rsid w:val="0806227A"/>
    <w:rsid w:val="08062311"/>
    <w:rsid w:val="0806236A"/>
    <w:rsid w:val="0806238B"/>
    <w:rsid w:val="080623CF"/>
    <w:rsid w:val="080623DC"/>
    <w:rsid w:val="08062462"/>
    <w:rsid w:val="080624F3"/>
    <w:rsid w:val="08062607"/>
    <w:rsid w:val="0806268C"/>
    <w:rsid w:val="080627BE"/>
    <w:rsid w:val="08062934"/>
    <w:rsid w:val="0806297D"/>
    <w:rsid w:val="08062997"/>
    <w:rsid w:val="08062B0F"/>
    <w:rsid w:val="08062B6F"/>
    <w:rsid w:val="08062B89"/>
    <w:rsid w:val="08062B8B"/>
    <w:rsid w:val="08062C63"/>
    <w:rsid w:val="08062D2A"/>
    <w:rsid w:val="08062D47"/>
    <w:rsid w:val="08062D6F"/>
    <w:rsid w:val="08062D83"/>
    <w:rsid w:val="08062DF2"/>
    <w:rsid w:val="08062E51"/>
    <w:rsid w:val="08062FA1"/>
    <w:rsid w:val="080630A4"/>
    <w:rsid w:val="0806312E"/>
    <w:rsid w:val="08063171"/>
    <w:rsid w:val="080633F2"/>
    <w:rsid w:val="08063436"/>
    <w:rsid w:val="08063493"/>
    <w:rsid w:val="080634EF"/>
    <w:rsid w:val="0806351C"/>
    <w:rsid w:val="08063548"/>
    <w:rsid w:val="080635E0"/>
    <w:rsid w:val="08063673"/>
    <w:rsid w:val="080636A9"/>
    <w:rsid w:val="080637AC"/>
    <w:rsid w:val="080637C4"/>
    <w:rsid w:val="08063812"/>
    <w:rsid w:val="08063845"/>
    <w:rsid w:val="080638B0"/>
    <w:rsid w:val="08063949"/>
    <w:rsid w:val="08063987"/>
    <w:rsid w:val="080639F9"/>
    <w:rsid w:val="08063A92"/>
    <w:rsid w:val="08063B36"/>
    <w:rsid w:val="08063BEF"/>
    <w:rsid w:val="08063CD3"/>
    <w:rsid w:val="08063D16"/>
    <w:rsid w:val="08063D1C"/>
    <w:rsid w:val="08063D6E"/>
    <w:rsid w:val="08063F7E"/>
    <w:rsid w:val="08063FD4"/>
    <w:rsid w:val="08064101"/>
    <w:rsid w:val="08064176"/>
    <w:rsid w:val="08064199"/>
    <w:rsid w:val="080641C1"/>
    <w:rsid w:val="08064269"/>
    <w:rsid w:val="08064393"/>
    <w:rsid w:val="080643F6"/>
    <w:rsid w:val="080644F6"/>
    <w:rsid w:val="08064524"/>
    <w:rsid w:val="08064546"/>
    <w:rsid w:val="0806459A"/>
    <w:rsid w:val="080645E9"/>
    <w:rsid w:val="080645EB"/>
    <w:rsid w:val="08064649"/>
    <w:rsid w:val="08064697"/>
    <w:rsid w:val="080646D9"/>
    <w:rsid w:val="0806470E"/>
    <w:rsid w:val="08064729"/>
    <w:rsid w:val="080647BA"/>
    <w:rsid w:val="080647D8"/>
    <w:rsid w:val="08064858"/>
    <w:rsid w:val="0806488E"/>
    <w:rsid w:val="08064897"/>
    <w:rsid w:val="080648B5"/>
    <w:rsid w:val="080648FD"/>
    <w:rsid w:val="08064A6B"/>
    <w:rsid w:val="08064A82"/>
    <w:rsid w:val="08064AB3"/>
    <w:rsid w:val="08064AC3"/>
    <w:rsid w:val="08064AFD"/>
    <w:rsid w:val="08064B4B"/>
    <w:rsid w:val="08064BAA"/>
    <w:rsid w:val="08064CBC"/>
    <w:rsid w:val="08064D07"/>
    <w:rsid w:val="08064E98"/>
    <w:rsid w:val="08064ED9"/>
    <w:rsid w:val="08064EFA"/>
    <w:rsid w:val="08064F73"/>
    <w:rsid w:val="08064F9D"/>
    <w:rsid w:val="08065044"/>
    <w:rsid w:val="080650A6"/>
    <w:rsid w:val="0806523E"/>
    <w:rsid w:val="080652DC"/>
    <w:rsid w:val="0806532E"/>
    <w:rsid w:val="0806532F"/>
    <w:rsid w:val="0806537D"/>
    <w:rsid w:val="08065486"/>
    <w:rsid w:val="08065548"/>
    <w:rsid w:val="080655B9"/>
    <w:rsid w:val="08065602"/>
    <w:rsid w:val="0806566A"/>
    <w:rsid w:val="080656EB"/>
    <w:rsid w:val="08065823"/>
    <w:rsid w:val="0806586D"/>
    <w:rsid w:val="080658A0"/>
    <w:rsid w:val="080658E7"/>
    <w:rsid w:val="08065A2E"/>
    <w:rsid w:val="08065A37"/>
    <w:rsid w:val="08065A54"/>
    <w:rsid w:val="08065A8A"/>
    <w:rsid w:val="08065A94"/>
    <w:rsid w:val="08065B1E"/>
    <w:rsid w:val="08065B70"/>
    <w:rsid w:val="08065BBB"/>
    <w:rsid w:val="08065BC1"/>
    <w:rsid w:val="08065BCC"/>
    <w:rsid w:val="08065BDD"/>
    <w:rsid w:val="08065C91"/>
    <w:rsid w:val="08065CB9"/>
    <w:rsid w:val="08065E15"/>
    <w:rsid w:val="08065F01"/>
    <w:rsid w:val="08065FD1"/>
    <w:rsid w:val="0806604C"/>
    <w:rsid w:val="08066061"/>
    <w:rsid w:val="080660C0"/>
    <w:rsid w:val="08066167"/>
    <w:rsid w:val="080662A6"/>
    <w:rsid w:val="08066396"/>
    <w:rsid w:val="08066402"/>
    <w:rsid w:val="08066425"/>
    <w:rsid w:val="08066525"/>
    <w:rsid w:val="0806653C"/>
    <w:rsid w:val="08066581"/>
    <w:rsid w:val="080665EC"/>
    <w:rsid w:val="0806663D"/>
    <w:rsid w:val="08066751"/>
    <w:rsid w:val="08066789"/>
    <w:rsid w:val="0806679E"/>
    <w:rsid w:val="080667CF"/>
    <w:rsid w:val="08066882"/>
    <w:rsid w:val="08066895"/>
    <w:rsid w:val="080668F5"/>
    <w:rsid w:val="08066958"/>
    <w:rsid w:val="08066976"/>
    <w:rsid w:val="0806697D"/>
    <w:rsid w:val="080669DE"/>
    <w:rsid w:val="08066A05"/>
    <w:rsid w:val="08066ADE"/>
    <w:rsid w:val="08066B36"/>
    <w:rsid w:val="08066B39"/>
    <w:rsid w:val="08066B54"/>
    <w:rsid w:val="08066CFE"/>
    <w:rsid w:val="08066DEE"/>
    <w:rsid w:val="08066E1A"/>
    <w:rsid w:val="08066E1D"/>
    <w:rsid w:val="08066EEF"/>
    <w:rsid w:val="08066F3D"/>
    <w:rsid w:val="08066F96"/>
    <w:rsid w:val="08066FD4"/>
    <w:rsid w:val="0806703C"/>
    <w:rsid w:val="0806714C"/>
    <w:rsid w:val="08067152"/>
    <w:rsid w:val="080671A7"/>
    <w:rsid w:val="08067207"/>
    <w:rsid w:val="08067310"/>
    <w:rsid w:val="08067348"/>
    <w:rsid w:val="08067455"/>
    <w:rsid w:val="080674F7"/>
    <w:rsid w:val="0806757B"/>
    <w:rsid w:val="0806764E"/>
    <w:rsid w:val="080676E0"/>
    <w:rsid w:val="08067717"/>
    <w:rsid w:val="080677D5"/>
    <w:rsid w:val="080677EB"/>
    <w:rsid w:val="0806788F"/>
    <w:rsid w:val="080679C0"/>
    <w:rsid w:val="080679C4"/>
    <w:rsid w:val="08067A45"/>
    <w:rsid w:val="08067AB7"/>
    <w:rsid w:val="08067ACF"/>
    <w:rsid w:val="08067ADB"/>
    <w:rsid w:val="08067AFF"/>
    <w:rsid w:val="08067B3E"/>
    <w:rsid w:val="08067B62"/>
    <w:rsid w:val="08067BD1"/>
    <w:rsid w:val="08067C0C"/>
    <w:rsid w:val="08067C57"/>
    <w:rsid w:val="08067C9B"/>
    <w:rsid w:val="08067CFC"/>
    <w:rsid w:val="08067D57"/>
    <w:rsid w:val="08067DBC"/>
    <w:rsid w:val="08067EAA"/>
    <w:rsid w:val="08067EC2"/>
    <w:rsid w:val="08067F11"/>
    <w:rsid w:val="08067F36"/>
    <w:rsid w:val="08067F47"/>
    <w:rsid w:val="08067F71"/>
    <w:rsid w:val="08067FD9"/>
    <w:rsid w:val="0807006C"/>
    <w:rsid w:val="080700AC"/>
    <w:rsid w:val="080700D2"/>
    <w:rsid w:val="0807013F"/>
    <w:rsid w:val="0807017E"/>
    <w:rsid w:val="08070202"/>
    <w:rsid w:val="08070209"/>
    <w:rsid w:val="08070340"/>
    <w:rsid w:val="08070363"/>
    <w:rsid w:val="0807043D"/>
    <w:rsid w:val="08070456"/>
    <w:rsid w:val="08070509"/>
    <w:rsid w:val="0807055B"/>
    <w:rsid w:val="080705A5"/>
    <w:rsid w:val="08070628"/>
    <w:rsid w:val="0807074C"/>
    <w:rsid w:val="08070850"/>
    <w:rsid w:val="080708D1"/>
    <w:rsid w:val="0807097E"/>
    <w:rsid w:val="080709D4"/>
    <w:rsid w:val="080709E0"/>
    <w:rsid w:val="08070A27"/>
    <w:rsid w:val="08070A9E"/>
    <w:rsid w:val="08070B61"/>
    <w:rsid w:val="08070B81"/>
    <w:rsid w:val="08070BAE"/>
    <w:rsid w:val="08070BF3"/>
    <w:rsid w:val="08070BFE"/>
    <w:rsid w:val="08070C52"/>
    <w:rsid w:val="08070CF0"/>
    <w:rsid w:val="08070D1E"/>
    <w:rsid w:val="08070D68"/>
    <w:rsid w:val="08070E48"/>
    <w:rsid w:val="08070E57"/>
    <w:rsid w:val="08070E66"/>
    <w:rsid w:val="08070F1F"/>
    <w:rsid w:val="08070FCF"/>
    <w:rsid w:val="08071011"/>
    <w:rsid w:val="08071025"/>
    <w:rsid w:val="08071043"/>
    <w:rsid w:val="0807105F"/>
    <w:rsid w:val="080711A4"/>
    <w:rsid w:val="080711EC"/>
    <w:rsid w:val="08071353"/>
    <w:rsid w:val="08071369"/>
    <w:rsid w:val="08071441"/>
    <w:rsid w:val="08071477"/>
    <w:rsid w:val="080715F6"/>
    <w:rsid w:val="08071642"/>
    <w:rsid w:val="08071673"/>
    <w:rsid w:val="08071689"/>
    <w:rsid w:val="08071700"/>
    <w:rsid w:val="08071789"/>
    <w:rsid w:val="08071790"/>
    <w:rsid w:val="080718AD"/>
    <w:rsid w:val="080718F4"/>
    <w:rsid w:val="080718F8"/>
    <w:rsid w:val="08071941"/>
    <w:rsid w:val="08071944"/>
    <w:rsid w:val="08071972"/>
    <w:rsid w:val="08071975"/>
    <w:rsid w:val="080719D7"/>
    <w:rsid w:val="080719FD"/>
    <w:rsid w:val="08071A0F"/>
    <w:rsid w:val="08071A41"/>
    <w:rsid w:val="08071AF3"/>
    <w:rsid w:val="08071B5F"/>
    <w:rsid w:val="08071BB7"/>
    <w:rsid w:val="08071C18"/>
    <w:rsid w:val="08071C64"/>
    <w:rsid w:val="08071D56"/>
    <w:rsid w:val="08071D73"/>
    <w:rsid w:val="08071DC6"/>
    <w:rsid w:val="08071E51"/>
    <w:rsid w:val="08071E89"/>
    <w:rsid w:val="08071EEE"/>
    <w:rsid w:val="08071F0F"/>
    <w:rsid w:val="08071F14"/>
    <w:rsid w:val="08071F3C"/>
    <w:rsid w:val="08071F99"/>
    <w:rsid w:val="08071F9D"/>
    <w:rsid w:val="08071FF8"/>
    <w:rsid w:val="0807201E"/>
    <w:rsid w:val="08072030"/>
    <w:rsid w:val="08072114"/>
    <w:rsid w:val="08072125"/>
    <w:rsid w:val="080721B0"/>
    <w:rsid w:val="080721C8"/>
    <w:rsid w:val="08072205"/>
    <w:rsid w:val="08072299"/>
    <w:rsid w:val="0807231D"/>
    <w:rsid w:val="080723BF"/>
    <w:rsid w:val="08072458"/>
    <w:rsid w:val="080724D8"/>
    <w:rsid w:val="080724FF"/>
    <w:rsid w:val="08072501"/>
    <w:rsid w:val="0807252D"/>
    <w:rsid w:val="08072538"/>
    <w:rsid w:val="08072542"/>
    <w:rsid w:val="0807257B"/>
    <w:rsid w:val="080725B0"/>
    <w:rsid w:val="08072649"/>
    <w:rsid w:val="08072668"/>
    <w:rsid w:val="0807271E"/>
    <w:rsid w:val="080727C5"/>
    <w:rsid w:val="080727D0"/>
    <w:rsid w:val="08072878"/>
    <w:rsid w:val="080729F5"/>
    <w:rsid w:val="08072A19"/>
    <w:rsid w:val="08072A3A"/>
    <w:rsid w:val="08072AC1"/>
    <w:rsid w:val="08072B40"/>
    <w:rsid w:val="08072B50"/>
    <w:rsid w:val="08072BB0"/>
    <w:rsid w:val="08072C29"/>
    <w:rsid w:val="08072C35"/>
    <w:rsid w:val="08072C80"/>
    <w:rsid w:val="08072C8D"/>
    <w:rsid w:val="08072D21"/>
    <w:rsid w:val="08072D45"/>
    <w:rsid w:val="08072D4C"/>
    <w:rsid w:val="08072D68"/>
    <w:rsid w:val="08072D6B"/>
    <w:rsid w:val="08072E6B"/>
    <w:rsid w:val="08072F57"/>
    <w:rsid w:val="08072FAC"/>
    <w:rsid w:val="08073054"/>
    <w:rsid w:val="080730E2"/>
    <w:rsid w:val="08073159"/>
    <w:rsid w:val="080732DA"/>
    <w:rsid w:val="080733BE"/>
    <w:rsid w:val="0807340C"/>
    <w:rsid w:val="080734B7"/>
    <w:rsid w:val="080735ED"/>
    <w:rsid w:val="08073609"/>
    <w:rsid w:val="08073643"/>
    <w:rsid w:val="080737DE"/>
    <w:rsid w:val="080737E2"/>
    <w:rsid w:val="08073830"/>
    <w:rsid w:val="0807386F"/>
    <w:rsid w:val="080738A4"/>
    <w:rsid w:val="08073962"/>
    <w:rsid w:val="08073987"/>
    <w:rsid w:val="080739E3"/>
    <w:rsid w:val="08073A0E"/>
    <w:rsid w:val="08073A36"/>
    <w:rsid w:val="08073ABD"/>
    <w:rsid w:val="08073B4A"/>
    <w:rsid w:val="08073B66"/>
    <w:rsid w:val="08073B8A"/>
    <w:rsid w:val="08073C8F"/>
    <w:rsid w:val="08073D16"/>
    <w:rsid w:val="08073D2C"/>
    <w:rsid w:val="08073DA8"/>
    <w:rsid w:val="08073DFF"/>
    <w:rsid w:val="08073E38"/>
    <w:rsid w:val="08073E58"/>
    <w:rsid w:val="08073E8D"/>
    <w:rsid w:val="08073F78"/>
    <w:rsid w:val="08073F87"/>
    <w:rsid w:val="08074088"/>
    <w:rsid w:val="08074214"/>
    <w:rsid w:val="080742D4"/>
    <w:rsid w:val="080742D6"/>
    <w:rsid w:val="0807434F"/>
    <w:rsid w:val="08074352"/>
    <w:rsid w:val="08074433"/>
    <w:rsid w:val="08074437"/>
    <w:rsid w:val="080744C3"/>
    <w:rsid w:val="080744D0"/>
    <w:rsid w:val="0807461E"/>
    <w:rsid w:val="080746D2"/>
    <w:rsid w:val="08074726"/>
    <w:rsid w:val="08074730"/>
    <w:rsid w:val="08074737"/>
    <w:rsid w:val="08074835"/>
    <w:rsid w:val="080748B5"/>
    <w:rsid w:val="080748E8"/>
    <w:rsid w:val="08074938"/>
    <w:rsid w:val="0807496D"/>
    <w:rsid w:val="08074992"/>
    <w:rsid w:val="08074A03"/>
    <w:rsid w:val="08074A10"/>
    <w:rsid w:val="08074A21"/>
    <w:rsid w:val="08074BC1"/>
    <w:rsid w:val="08074C7E"/>
    <w:rsid w:val="08074CD1"/>
    <w:rsid w:val="08074CFA"/>
    <w:rsid w:val="08074D4E"/>
    <w:rsid w:val="08075002"/>
    <w:rsid w:val="080750E1"/>
    <w:rsid w:val="080750F5"/>
    <w:rsid w:val="08075120"/>
    <w:rsid w:val="0807514A"/>
    <w:rsid w:val="0807525B"/>
    <w:rsid w:val="08075274"/>
    <w:rsid w:val="08075342"/>
    <w:rsid w:val="0807538B"/>
    <w:rsid w:val="080753B0"/>
    <w:rsid w:val="08075422"/>
    <w:rsid w:val="080755C8"/>
    <w:rsid w:val="080755ED"/>
    <w:rsid w:val="080755F6"/>
    <w:rsid w:val="08075605"/>
    <w:rsid w:val="08075766"/>
    <w:rsid w:val="080757BB"/>
    <w:rsid w:val="080757F5"/>
    <w:rsid w:val="0807587D"/>
    <w:rsid w:val="080758BD"/>
    <w:rsid w:val="080758F9"/>
    <w:rsid w:val="080759C3"/>
    <w:rsid w:val="080759E4"/>
    <w:rsid w:val="08075A74"/>
    <w:rsid w:val="08075AFB"/>
    <w:rsid w:val="08075C02"/>
    <w:rsid w:val="08075C2E"/>
    <w:rsid w:val="08075C3D"/>
    <w:rsid w:val="08075C57"/>
    <w:rsid w:val="08075C7B"/>
    <w:rsid w:val="08075CE2"/>
    <w:rsid w:val="08075DD2"/>
    <w:rsid w:val="08075EC4"/>
    <w:rsid w:val="08075F53"/>
    <w:rsid w:val="08075F61"/>
    <w:rsid w:val="08075FA0"/>
    <w:rsid w:val="0807601F"/>
    <w:rsid w:val="0807602F"/>
    <w:rsid w:val="08076076"/>
    <w:rsid w:val="08076137"/>
    <w:rsid w:val="08076252"/>
    <w:rsid w:val="08076296"/>
    <w:rsid w:val="08076313"/>
    <w:rsid w:val="08076386"/>
    <w:rsid w:val="080765C7"/>
    <w:rsid w:val="080765E5"/>
    <w:rsid w:val="0807661F"/>
    <w:rsid w:val="0807664C"/>
    <w:rsid w:val="0807667B"/>
    <w:rsid w:val="080766B8"/>
    <w:rsid w:val="0807671F"/>
    <w:rsid w:val="08076740"/>
    <w:rsid w:val="080767DD"/>
    <w:rsid w:val="080768AB"/>
    <w:rsid w:val="08076924"/>
    <w:rsid w:val="08076964"/>
    <w:rsid w:val="08076992"/>
    <w:rsid w:val="080769BB"/>
    <w:rsid w:val="08076A11"/>
    <w:rsid w:val="08076A1E"/>
    <w:rsid w:val="08076AB4"/>
    <w:rsid w:val="08076AFF"/>
    <w:rsid w:val="08076B3B"/>
    <w:rsid w:val="08076B95"/>
    <w:rsid w:val="08076BC6"/>
    <w:rsid w:val="08076CD8"/>
    <w:rsid w:val="08076CD9"/>
    <w:rsid w:val="08076E54"/>
    <w:rsid w:val="080770CE"/>
    <w:rsid w:val="0807715A"/>
    <w:rsid w:val="080772E6"/>
    <w:rsid w:val="080773B9"/>
    <w:rsid w:val="080773D2"/>
    <w:rsid w:val="080773EB"/>
    <w:rsid w:val="080773F0"/>
    <w:rsid w:val="08077400"/>
    <w:rsid w:val="08077431"/>
    <w:rsid w:val="08077456"/>
    <w:rsid w:val="08077500"/>
    <w:rsid w:val="0807751E"/>
    <w:rsid w:val="0807773D"/>
    <w:rsid w:val="080777E9"/>
    <w:rsid w:val="0807781E"/>
    <w:rsid w:val="08077833"/>
    <w:rsid w:val="0807785A"/>
    <w:rsid w:val="0807787B"/>
    <w:rsid w:val="0807790C"/>
    <w:rsid w:val="08077912"/>
    <w:rsid w:val="080779C9"/>
    <w:rsid w:val="08077AC0"/>
    <w:rsid w:val="08077B14"/>
    <w:rsid w:val="08077B2D"/>
    <w:rsid w:val="08077BB5"/>
    <w:rsid w:val="08077C23"/>
    <w:rsid w:val="08077C79"/>
    <w:rsid w:val="08077C91"/>
    <w:rsid w:val="08077CD9"/>
    <w:rsid w:val="08077CDE"/>
    <w:rsid w:val="08077DAC"/>
    <w:rsid w:val="08077DCF"/>
    <w:rsid w:val="08077E79"/>
    <w:rsid w:val="08077F01"/>
    <w:rsid w:val="08077F09"/>
    <w:rsid w:val="08077F8F"/>
    <w:rsid w:val="080800CA"/>
    <w:rsid w:val="08080132"/>
    <w:rsid w:val="080801C1"/>
    <w:rsid w:val="0808034C"/>
    <w:rsid w:val="080803D5"/>
    <w:rsid w:val="080803E0"/>
    <w:rsid w:val="080803EB"/>
    <w:rsid w:val="080803FB"/>
    <w:rsid w:val="08080443"/>
    <w:rsid w:val="08080469"/>
    <w:rsid w:val="0808056B"/>
    <w:rsid w:val="08080698"/>
    <w:rsid w:val="08080703"/>
    <w:rsid w:val="08080769"/>
    <w:rsid w:val="08080789"/>
    <w:rsid w:val="080807A6"/>
    <w:rsid w:val="080807EE"/>
    <w:rsid w:val="08080913"/>
    <w:rsid w:val="08080948"/>
    <w:rsid w:val="08080952"/>
    <w:rsid w:val="080809A0"/>
    <w:rsid w:val="08080A0C"/>
    <w:rsid w:val="08080A58"/>
    <w:rsid w:val="08080A6D"/>
    <w:rsid w:val="08080A91"/>
    <w:rsid w:val="08080AA3"/>
    <w:rsid w:val="08080D4C"/>
    <w:rsid w:val="08080D6F"/>
    <w:rsid w:val="08080E45"/>
    <w:rsid w:val="08080E5A"/>
    <w:rsid w:val="08080E80"/>
    <w:rsid w:val="08080EAF"/>
    <w:rsid w:val="08080EC6"/>
    <w:rsid w:val="08080F3B"/>
    <w:rsid w:val="0808115F"/>
    <w:rsid w:val="08081198"/>
    <w:rsid w:val="08081245"/>
    <w:rsid w:val="080812A1"/>
    <w:rsid w:val="080813C0"/>
    <w:rsid w:val="080814B4"/>
    <w:rsid w:val="080814D9"/>
    <w:rsid w:val="0808152B"/>
    <w:rsid w:val="08081548"/>
    <w:rsid w:val="080815AF"/>
    <w:rsid w:val="080815DB"/>
    <w:rsid w:val="0808168A"/>
    <w:rsid w:val="0808169B"/>
    <w:rsid w:val="080816AD"/>
    <w:rsid w:val="0808170D"/>
    <w:rsid w:val="0808172F"/>
    <w:rsid w:val="08081730"/>
    <w:rsid w:val="0808178C"/>
    <w:rsid w:val="080818C2"/>
    <w:rsid w:val="080818FD"/>
    <w:rsid w:val="08081A6C"/>
    <w:rsid w:val="08081A9B"/>
    <w:rsid w:val="08081AA4"/>
    <w:rsid w:val="08081C7E"/>
    <w:rsid w:val="08081CF7"/>
    <w:rsid w:val="08081DA9"/>
    <w:rsid w:val="08081F1F"/>
    <w:rsid w:val="08081F26"/>
    <w:rsid w:val="08081FA0"/>
    <w:rsid w:val="08082089"/>
    <w:rsid w:val="08082128"/>
    <w:rsid w:val="08082129"/>
    <w:rsid w:val="08082169"/>
    <w:rsid w:val="08082212"/>
    <w:rsid w:val="08082238"/>
    <w:rsid w:val="08082282"/>
    <w:rsid w:val="080822A3"/>
    <w:rsid w:val="080822DD"/>
    <w:rsid w:val="0808231A"/>
    <w:rsid w:val="0808231E"/>
    <w:rsid w:val="08082340"/>
    <w:rsid w:val="08082380"/>
    <w:rsid w:val="0808239D"/>
    <w:rsid w:val="08082460"/>
    <w:rsid w:val="080824F9"/>
    <w:rsid w:val="08082554"/>
    <w:rsid w:val="0808255E"/>
    <w:rsid w:val="08082563"/>
    <w:rsid w:val="0808257D"/>
    <w:rsid w:val="080825B8"/>
    <w:rsid w:val="080826C8"/>
    <w:rsid w:val="0808276C"/>
    <w:rsid w:val="080827B5"/>
    <w:rsid w:val="080827CB"/>
    <w:rsid w:val="080827EE"/>
    <w:rsid w:val="080827FE"/>
    <w:rsid w:val="08082AA4"/>
    <w:rsid w:val="08082AC4"/>
    <w:rsid w:val="08082B81"/>
    <w:rsid w:val="08082BB0"/>
    <w:rsid w:val="08082D56"/>
    <w:rsid w:val="08082D94"/>
    <w:rsid w:val="08082D9D"/>
    <w:rsid w:val="08083079"/>
    <w:rsid w:val="08083345"/>
    <w:rsid w:val="080833D2"/>
    <w:rsid w:val="080833FE"/>
    <w:rsid w:val="08083433"/>
    <w:rsid w:val="080834A4"/>
    <w:rsid w:val="080834B5"/>
    <w:rsid w:val="0808359C"/>
    <w:rsid w:val="080835BE"/>
    <w:rsid w:val="0808361B"/>
    <w:rsid w:val="08083672"/>
    <w:rsid w:val="08083751"/>
    <w:rsid w:val="08083775"/>
    <w:rsid w:val="08083783"/>
    <w:rsid w:val="080837D2"/>
    <w:rsid w:val="0808381D"/>
    <w:rsid w:val="0808387D"/>
    <w:rsid w:val="08083892"/>
    <w:rsid w:val="08083981"/>
    <w:rsid w:val="0808399D"/>
    <w:rsid w:val="080839DB"/>
    <w:rsid w:val="080839E2"/>
    <w:rsid w:val="08083A4B"/>
    <w:rsid w:val="08083AB3"/>
    <w:rsid w:val="08083AB7"/>
    <w:rsid w:val="08083AF4"/>
    <w:rsid w:val="08083B66"/>
    <w:rsid w:val="08083B6D"/>
    <w:rsid w:val="08083C01"/>
    <w:rsid w:val="08083CCB"/>
    <w:rsid w:val="08083CEA"/>
    <w:rsid w:val="08083D00"/>
    <w:rsid w:val="08083D2F"/>
    <w:rsid w:val="08083E57"/>
    <w:rsid w:val="08083E5E"/>
    <w:rsid w:val="08083E90"/>
    <w:rsid w:val="08083EE3"/>
    <w:rsid w:val="08083FA0"/>
    <w:rsid w:val="080840AF"/>
    <w:rsid w:val="080840E7"/>
    <w:rsid w:val="080840E9"/>
    <w:rsid w:val="080841C2"/>
    <w:rsid w:val="08084432"/>
    <w:rsid w:val="080844D0"/>
    <w:rsid w:val="0808472C"/>
    <w:rsid w:val="08084756"/>
    <w:rsid w:val="080847C2"/>
    <w:rsid w:val="080847EC"/>
    <w:rsid w:val="0808480E"/>
    <w:rsid w:val="08084829"/>
    <w:rsid w:val="080848D6"/>
    <w:rsid w:val="08084950"/>
    <w:rsid w:val="08084A72"/>
    <w:rsid w:val="08084AA8"/>
    <w:rsid w:val="08084ADC"/>
    <w:rsid w:val="08084AEB"/>
    <w:rsid w:val="08084B37"/>
    <w:rsid w:val="08084B8B"/>
    <w:rsid w:val="08084BF7"/>
    <w:rsid w:val="08084C2D"/>
    <w:rsid w:val="08084C95"/>
    <w:rsid w:val="08084CC2"/>
    <w:rsid w:val="08084CDC"/>
    <w:rsid w:val="08084CDF"/>
    <w:rsid w:val="08084CEF"/>
    <w:rsid w:val="08084CF8"/>
    <w:rsid w:val="08084D2B"/>
    <w:rsid w:val="08084D70"/>
    <w:rsid w:val="08084D8C"/>
    <w:rsid w:val="08084DB6"/>
    <w:rsid w:val="08084E28"/>
    <w:rsid w:val="08084E64"/>
    <w:rsid w:val="08084EAC"/>
    <w:rsid w:val="08084FA3"/>
    <w:rsid w:val="08085067"/>
    <w:rsid w:val="080850DC"/>
    <w:rsid w:val="080850EE"/>
    <w:rsid w:val="080850F2"/>
    <w:rsid w:val="080850FF"/>
    <w:rsid w:val="08085152"/>
    <w:rsid w:val="08085197"/>
    <w:rsid w:val="080851CF"/>
    <w:rsid w:val="08085242"/>
    <w:rsid w:val="08085256"/>
    <w:rsid w:val="080852CD"/>
    <w:rsid w:val="08085343"/>
    <w:rsid w:val="08085379"/>
    <w:rsid w:val="08085465"/>
    <w:rsid w:val="080854EF"/>
    <w:rsid w:val="0808550F"/>
    <w:rsid w:val="0808553D"/>
    <w:rsid w:val="0808558F"/>
    <w:rsid w:val="080855E0"/>
    <w:rsid w:val="08085649"/>
    <w:rsid w:val="080856B6"/>
    <w:rsid w:val="08085722"/>
    <w:rsid w:val="0808577F"/>
    <w:rsid w:val="08085793"/>
    <w:rsid w:val="08085802"/>
    <w:rsid w:val="0808584F"/>
    <w:rsid w:val="08085875"/>
    <w:rsid w:val="080858A3"/>
    <w:rsid w:val="0808590E"/>
    <w:rsid w:val="08085944"/>
    <w:rsid w:val="0808598B"/>
    <w:rsid w:val="080859B5"/>
    <w:rsid w:val="080859CB"/>
    <w:rsid w:val="08085A59"/>
    <w:rsid w:val="08085A70"/>
    <w:rsid w:val="08085AD2"/>
    <w:rsid w:val="08085B08"/>
    <w:rsid w:val="08085BF4"/>
    <w:rsid w:val="08085D6C"/>
    <w:rsid w:val="08085DEC"/>
    <w:rsid w:val="08085E50"/>
    <w:rsid w:val="08085EBE"/>
    <w:rsid w:val="08085ECD"/>
    <w:rsid w:val="08085F0E"/>
    <w:rsid w:val="08085F46"/>
    <w:rsid w:val="08085F6C"/>
    <w:rsid w:val="08085F6F"/>
    <w:rsid w:val="08085FD1"/>
    <w:rsid w:val="08085FE3"/>
    <w:rsid w:val="08085FEC"/>
    <w:rsid w:val="08086093"/>
    <w:rsid w:val="08086122"/>
    <w:rsid w:val="08086132"/>
    <w:rsid w:val="08086158"/>
    <w:rsid w:val="0808615C"/>
    <w:rsid w:val="08086256"/>
    <w:rsid w:val="080862CB"/>
    <w:rsid w:val="08086322"/>
    <w:rsid w:val="08086386"/>
    <w:rsid w:val="080865DC"/>
    <w:rsid w:val="080865F9"/>
    <w:rsid w:val="08086649"/>
    <w:rsid w:val="08086655"/>
    <w:rsid w:val="080866B9"/>
    <w:rsid w:val="08086729"/>
    <w:rsid w:val="0808675A"/>
    <w:rsid w:val="08086770"/>
    <w:rsid w:val="08086808"/>
    <w:rsid w:val="08086853"/>
    <w:rsid w:val="080868DE"/>
    <w:rsid w:val="08086946"/>
    <w:rsid w:val="0808699E"/>
    <w:rsid w:val="080869A0"/>
    <w:rsid w:val="080869CC"/>
    <w:rsid w:val="080869FD"/>
    <w:rsid w:val="08086A1D"/>
    <w:rsid w:val="08086A2D"/>
    <w:rsid w:val="08086B10"/>
    <w:rsid w:val="08086B65"/>
    <w:rsid w:val="08086BB1"/>
    <w:rsid w:val="08086BDD"/>
    <w:rsid w:val="08086CA4"/>
    <w:rsid w:val="08086D55"/>
    <w:rsid w:val="08086D57"/>
    <w:rsid w:val="08086DD8"/>
    <w:rsid w:val="08086E13"/>
    <w:rsid w:val="08086E30"/>
    <w:rsid w:val="08086E9A"/>
    <w:rsid w:val="08086E9D"/>
    <w:rsid w:val="08086E9F"/>
    <w:rsid w:val="0808708B"/>
    <w:rsid w:val="080871DC"/>
    <w:rsid w:val="080872E8"/>
    <w:rsid w:val="080874E9"/>
    <w:rsid w:val="080874F7"/>
    <w:rsid w:val="080874FC"/>
    <w:rsid w:val="0808756F"/>
    <w:rsid w:val="08087578"/>
    <w:rsid w:val="080875A2"/>
    <w:rsid w:val="080875DA"/>
    <w:rsid w:val="080875E9"/>
    <w:rsid w:val="08087643"/>
    <w:rsid w:val="08087649"/>
    <w:rsid w:val="08087654"/>
    <w:rsid w:val="08087655"/>
    <w:rsid w:val="08087689"/>
    <w:rsid w:val="08087694"/>
    <w:rsid w:val="080876A9"/>
    <w:rsid w:val="080876C8"/>
    <w:rsid w:val="08087723"/>
    <w:rsid w:val="0808780D"/>
    <w:rsid w:val="08087B05"/>
    <w:rsid w:val="08087B17"/>
    <w:rsid w:val="08087B3C"/>
    <w:rsid w:val="08087BBF"/>
    <w:rsid w:val="08087D70"/>
    <w:rsid w:val="08087D8F"/>
    <w:rsid w:val="08087DAB"/>
    <w:rsid w:val="08087E1D"/>
    <w:rsid w:val="08087E6E"/>
    <w:rsid w:val="08087E8D"/>
    <w:rsid w:val="08087F48"/>
    <w:rsid w:val="08087F4E"/>
    <w:rsid w:val="08087F9B"/>
    <w:rsid w:val="08087FC6"/>
    <w:rsid w:val="08087FE4"/>
    <w:rsid w:val="080900E1"/>
    <w:rsid w:val="08090110"/>
    <w:rsid w:val="080901B2"/>
    <w:rsid w:val="0809024C"/>
    <w:rsid w:val="080902CE"/>
    <w:rsid w:val="080903A9"/>
    <w:rsid w:val="08090411"/>
    <w:rsid w:val="08090412"/>
    <w:rsid w:val="08090467"/>
    <w:rsid w:val="080904DD"/>
    <w:rsid w:val="080904FA"/>
    <w:rsid w:val="08090532"/>
    <w:rsid w:val="0809055B"/>
    <w:rsid w:val="080905AF"/>
    <w:rsid w:val="080905DE"/>
    <w:rsid w:val="080906B3"/>
    <w:rsid w:val="080906B9"/>
    <w:rsid w:val="080906C7"/>
    <w:rsid w:val="0809072D"/>
    <w:rsid w:val="08090784"/>
    <w:rsid w:val="080907DE"/>
    <w:rsid w:val="0809080A"/>
    <w:rsid w:val="08090815"/>
    <w:rsid w:val="08090835"/>
    <w:rsid w:val="080908D1"/>
    <w:rsid w:val="08090A62"/>
    <w:rsid w:val="08090A85"/>
    <w:rsid w:val="08090AC8"/>
    <w:rsid w:val="08090B38"/>
    <w:rsid w:val="08090BC5"/>
    <w:rsid w:val="08090BE7"/>
    <w:rsid w:val="08090C12"/>
    <w:rsid w:val="08090C14"/>
    <w:rsid w:val="08090D1A"/>
    <w:rsid w:val="08090D1B"/>
    <w:rsid w:val="08090E5D"/>
    <w:rsid w:val="08090E8A"/>
    <w:rsid w:val="08090EB9"/>
    <w:rsid w:val="08090F21"/>
    <w:rsid w:val="08090F6F"/>
    <w:rsid w:val="08090F7F"/>
    <w:rsid w:val="08090FBD"/>
    <w:rsid w:val="08090FDB"/>
    <w:rsid w:val="08090FFD"/>
    <w:rsid w:val="08091030"/>
    <w:rsid w:val="080910AA"/>
    <w:rsid w:val="08091116"/>
    <w:rsid w:val="08091180"/>
    <w:rsid w:val="08091199"/>
    <w:rsid w:val="08091257"/>
    <w:rsid w:val="080912FC"/>
    <w:rsid w:val="08091306"/>
    <w:rsid w:val="08091388"/>
    <w:rsid w:val="080913B7"/>
    <w:rsid w:val="080913DF"/>
    <w:rsid w:val="080913ED"/>
    <w:rsid w:val="080913FA"/>
    <w:rsid w:val="080914AA"/>
    <w:rsid w:val="08091547"/>
    <w:rsid w:val="08091571"/>
    <w:rsid w:val="080915CE"/>
    <w:rsid w:val="080916CD"/>
    <w:rsid w:val="08091746"/>
    <w:rsid w:val="0809175F"/>
    <w:rsid w:val="0809176E"/>
    <w:rsid w:val="080917C5"/>
    <w:rsid w:val="080917E9"/>
    <w:rsid w:val="0809181A"/>
    <w:rsid w:val="08091928"/>
    <w:rsid w:val="08091964"/>
    <w:rsid w:val="0809196F"/>
    <w:rsid w:val="080919C4"/>
    <w:rsid w:val="080919DD"/>
    <w:rsid w:val="08091A71"/>
    <w:rsid w:val="08091B62"/>
    <w:rsid w:val="08091B73"/>
    <w:rsid w:val="08091BBC"/>
    <w:rsid w:val="08091C18"/>
    <w:rsid w:val="08091C42"/>
    <w:rsid w:val="08091CD3"/>
    <w:rsid w:val="08091CE1"/>
    <w:rsid w:val="08091CF2"/>
    <w:rsid w:val="08091DBC"/>
    <w:rsid w:val="08091DE4"/>
    <w:rsid w:val="08091DFD"/>
    <w:rsid w:val="08091E2A"/>
    <w:rsid w:val="0809207E"/>
    <w:rsid w:val="080920C3"/>
    <w:rsid w:val="08092148"/>
    <w:rsid w:val="08092163"/>
    <w:rsid w:val="08092175"/>
    <w:rsid w:val="080921DA"/>
    <w:rsid w:val="08092218"/>
    <w:rsid w:val="0809222D"/>
    <w:rsid w:val="08092278"/>
    <w:rsid w:val="080922E9"/>
    <w:rsid w:val="080923DC"/>
    <w:rsid w:val="080923FE"/>
    <w:rsid w:val="08092462"/>
    <w:rsid w:val="0809249A"/>
    <w:rsid w:val="080924ED"/>
    <w:rsid w:val="08092589"/>
    <w:rsid w:val="080925B8"/>
    <w:rsid w:val="0809276D"/>
    <w:rsid w:val="08092810"/>
    <w:rsid w:val="08092892"/>
    <w:rsid w:val="0809289B"/>
    <w:rsid w:val="08092938"/>
    <w:rsid w:val="080929B9"/>
    <w:rsid w:val="080929C4"/>
    <w:rsid w:val="080929EA"/>
    <w:rsid w:val="08092ABF"/>
    <w:rsid w:val="08092B19"/>
    <w:rsid w:val="08092BB3"/>
    <w:rsid w:val="08092BCC"/>
    <w:rsid w:val="08092C0F"/>
    <w:rsid w:val="08092C1B"/>
    <w:rsid w:val="08092C99"/>
    <w:rsid w:val="08092DA6"/>
    <w:rsid w:val="08092DB3"/>
    <w:rsid w:val="08092ED2"/>
    <w:rsid w:val="08092F71"/>
    <w:rsid w:val="08092FDB"/>
    <w:rsid w:val="08092FE5"/>
    <w:rsid w:val="0809300E"/>
    <w:rsid w:val="080930A1"/>
    <w:rsid w:val="0809312A"/>
    <w:rsid w:val="08093180"/>
    <w:rsid w:val="0809319D"/>
    <w:rsid w:val="080931B2"/>
    <w:rsid w:val="0809322E"/>
    <w:rsid w:val="08093294"/>
    <w:rsid w:val="080932ED"/>
    <w:rsid w:val="08093339"/>
    <w:rsid w:val="08093381"/>
    <w:rsid w:val="080933F9"/>
    <w:rsid w:val="080933FB"/>
    <w:rsid w:val="080933FD"/>
    <w:rsid w:val="08093429"/>
    <w:rsid w:val="08093451"/>
    <w:rsid w:val="08093453"/>
    <w:rsid w:val="080934A4"/>
    <w:rsid w:val="080934B7"/>
    <w:rsid w:val="0809357C"/>
    <w:rsid w:val="080935C0"/>
    <w:rsid w:val="080935D7"/>
    <w:rsid w:val="08093681"/>
    <w:rsid w:val="080936A2"/>
    <w:rsid w:val="080936BF"/>
    <w:rsid w:val="08093720"/>
    <w:rsid w:val="08093797"/>
    <w:rsid w:val="080938C0"/>
    <w:rsid w:val="080938C8"/>
    <w:rsid w:val="0809391E"/>
    <w:rsid w:val="08093969"/>
    <w:rsid w:val="08093A3E"/>
    <w:rsid w:val="08093A4A"/>
    <w:rsid w:val="08093ABB"/>
    <w:rsid w:val="08093B41"/>
    <w:rsid w:val="08093B65"/>
    <w:rsid w:val="08093C0A"/>
    <w:rsid w:val="08093C37"/>
    <w:rsid w:val="08093C50"/>
    <w:rsid w:val="08093C88"/>
    <w:rsid w:val="08093E53"/>
    <w:rsid w:val="08093E73"/>
    <w:rsid w:val="08093ED2"/>
    <w:rsid w:val="08094043"/>
    <w:rsid w:val="08094142"/>
    <w:rsid w:val="08094212"/>
    <w:rsid w:val="080942CB"/>
    <w:rsid w:val="0809437A"/>
    <w:rsid w:val="080943B0"/>
    <w:rsid w:val="08094467"/>
    <w:rsid w:val="0809455A"/>
    <w:rsid w:val="080945AA"/>
    <w:rsid w:val="08094606"/>
    <w:rsid w:val="0809464F"/>
    <w:rsid w:val="08094677"/>
    <w:rsid w:val="0809467B"/>
    <w:rsid w:val="08094780"/>
    <w:rsid w:val="080947A4"/>
    <w:rsid w:val="08094843"/>
    <w:rsid w:val="080948BD"/>
    <w:rsid w:val="080948C8"/>
    <w:rsid w:val="08094946"/>
    <w:rsid w:val="080949E4"/>
    <w:rsid w:val="08094A1B"/>
    <w:rsid w:val="08094A8F"/>
    <w:rsid w:val="08094B0E"/>
    <w:rsid w:val="08094D69"/>
    <w:rsid w:val="08094DC8"/>
    <w:rsid w:val="08094DCA"/>
    <w:rsid w:val="08094DE7"/>
    <w:rsid w:val="08094F11"/>
    <w:rsid w:val="08094F20"/>
    <w:rsid w:val="08094F93"/>
    <w:rsid w:val="0809508A"/>
    <w:rsid w:val="08095095"/>
    <w:rsid w:val="0809514B"/>
    <w:rsid w:val="08095224"/>
    <w:rsid w:val="08095231"/>
    <w:rsid w:val="08095373"/>
    <w:rsid w:val="080954FF"/>
    <w:rsid w:val="080955E0"/>
    <w:rsid w:val="0809560E"/>
    <w:rsid w:val="0809583A"/>
    <w:rsid w:val="080958A7"/>
    <w:rsid w:val="080958AE"/>
    <w:rsid w:val="080958D0"/>
    <w:rsid w:val="080958D5"/>
    <w:rsid w:val="0809597A"/>
    <w:rsid w:val="08095A17"/>
    <w:rsid w:val="08095AB0"/>
    <w:rsid w:val="08095C4F"/>
    <w:rsid w:val="08095CFF"/>
    <w:rsid w:val="08095DC0"/>
    <w:rsid w:val="08095E51"/>
    <w:rsid w:val="08095EB7"/>
    <w:rsid w:val="08095F1A"/>
    <w:rsid w:val="08095F1D"/>
    <w:rsid w:val="08095F1F"/>
    <w:rsid w:val="08095F24"/>
    <w:rsid w:val="08095F30"/>
    <w:rsid w:val="08095F31"/>
    <w:rsid w:val="08095F85"/>
    <w:rsid w:val="08096065"/>
    <w:rsid w:val="08096089"/>
    <w:rsid w:val="080960C4"/>
    <w:rsid w:val="0809610E"/>
    <w:rsid w:val="080961C6"/>
    <w:rsid w:val="0809622C"/>
    <w:rsid w:val="08096236"/>
    <w:rsid w:val="0809626C"/>
    <w:rsid w:val="0809627B"/>
    <w:rsid w:val="08096280"/>
    <w:rsid w:val="080963BF"/>
    <w:rsid w:val="08096426"/>
    <w:rsid w:val="080964BD"/>
    <w:rsid w:val="080964DE"/>
    <w:rsid w:val="080966A5"/>
    <w:rsid w:val="080966C0"/>
    <w:rsid w:val="080966E5"/>
    <w:rsid w:val="080966F0"/>
    <w:rsid w:val="08096779"/>
    <w:rsid w:val="08096797"/>
    <w:rsid w:val="0809689F"/>
    <w:rsid w:val="080968C7"/>
    <w:rsid w:val="080969A9"/>
    <w:rsid w:val="08096A3B"/>
    <w:rsid w:val="08096AA2"/>
    <w:rsid w:val="08096BFB"/>
    <w:rsid w:val="08096CB1"/>
    <w:rsid w:val="08096CC7"/>
    <w:rsid w:val="08096CF9"/>
    <w:rsid w:val="08096D3A"/>
    <w:rsid w:val="08096E63"/>
    <w:rsid w:val="08096EEB"/>
    <w:rsid w:val="08096FE7"/>
    <w:rsid w:val="08096FEC"/>
    <w:rsid w:val="080970DC"/>
    <w:rsid w:val="08097154"/>
    <w:rsid w:val="08097255"/>
    <w:rsid w:val="080972F6"/>
    <w:rsid w:val="08097352"/>
    <w:rsid w:val="08097390"/>
    <w:rsid w:val="080973BB"/>
    <w:rsid w:val="0809747D"/>
    <w:rsid w:val="08097494"/>
    <w:rsid w:val="08097599"/>
    <w:rsid w:val="08097736"/>
    <w:rsid w:val="08097767"/>
    <w:rsid w:val="080977A6"/>
    <w:rsid w:val="08097911"/>
    <w:rsid w:val="080979E4"/>
    <w:rsid w:val="08097A0B"/>
    <w:rsid w:val="08097AC5"/>
    <w:rsid w:val="08097C28"/>
    <w:rsid w:val="08097C4B"/>
    <w:rsid w:val="08097CAC"/>
    <w:rsid w:val="08097CD9"/>
    <w:rsid w:val="08097D28"/>
    <w:rsid w:val="08097DF5"/>
    <w:rsid w:val="08097E6F"/>
    <w:rsid w:val="08097EBB"/>
    <w:rsid w:val="08097F08"/>
    <w:rsid w:val="08097FC4"/>
    <w:rsid w:val="080A0045"/>
    <w:rsid w:val="080A0108"/>
    <w:rsid w:val="080A01CB"/>
    <w:rsid w:val="080A02BA"/>
    <w:rsid w:val="080A031C"/>
    <w:rsid w:val="080A033F"/>
    <w:rsid w:val="080A034D"/>
    <w:rsid w:val="080A034E"/>
    <w:rsid w:val="080A0398"/>
    <w:rsid w:val="080A0412"/>
    <w:rsid w:val="080A04B4"/>
    <w:rsid w:val="080A0502"/>
    <w:rsid w:val="080A0588"/>
    <w:rsid w:val="080A076C"/>
    <w:rsid w:val="080A0794"/>
    <w:rsid w:val="080A0878"/>
    <w:rsid w:val="080A0A24"/>
    <w:rsid w:val="080A0AFA"/>
    <w:rsid w:val="080A0B23"/>
    <w:rsid w:val="080A0B36"/>
    <w:rsid w:val="080A0BF8"/>
    <w:rsid w:val="080A0C73"/>
    <w:rsid w:val="080A0DF1"/>
    <w:rsid w:val="080A0E39"/>
    <w:rsid w:val="080A0E51"/>
    <w:rsid w:val="080A0E80"/>
    <w:rsid w:val="080A0EF3"/>
    <w:rsid w:val="080A0FBE"/>
    <w:rsid w:val="080A10AF"/>
    <w:rsid w:val="080A1135"/>
    <w:rsid w:val="080A1195"/>
    <w:rsid w:val="080A11AB"/>
    <w:rsid w:val="080A12FB"/>
    <w:rsid w:val="080A1310"/>
    <w:rsid w:val="080A13AB"/>
    <w:rsid w:val="080A13CD"/>
    <w:rsid w:val="080A14AE"/>
    <w:rsid w:val="080A14DD"/>
    <w:rsid w:val="080A1579"/>
    <w:rsid w:val="080A15AB"/>
    <w:rsid w:val="080A15D3"/>
    <w:rsid w:val="080A15E1"/>
    <w:rsid w:val="080A1642"/>
    <w:rsid w:val="080A173B"/>
    <w:rsid w:val="080A1759"/>
    <w:rsid w:val="080A1762"/>
    <w:rsid w:val="080A1770"/>
    <w:rsid w:val="080A1802"/>
    <w:rsid w:val="080A1844"/>
    <w:rsid w:val="080A189A"/>
    <w:rsid w:val="080A18DE"/>
    <w:rsid w:val="080A191E"/>
    <w:rsid w:val="080A192E"/>
    <w:rsid w:val="080A1932"/>
    <w:rsid w:val="080A19F4"/>
    <w:rsid w:val="080A1ADB"/>
    <w:rsid w:val="080A1B1B"/>
    <w:rsid w:val="080A1BE7"/>
    <w:rsid w:val="080A1C1B"/>
    <w:rsid w:val="080A1C70"/>
    <w:rsid w:val="080A1CC9"/>
    <w:rsid w:val="080A1D70"/>
    <w:rsid w:val="080A1D88"/>
    <w:rsid w:val="080A1DD0"/>
    <w:rsid w:val="080A1DE3"/>
    <w:rsid w:val="080A1E4C"/>
    <w:rsid w:val="080A1EA8"/>
    <w:rsid w:val="080A1EFF"/>
    <w:rsid w:val="080A1F7A"/>
    <w:rsid w:val="080A1F87"/>
    <w:rsid w:val="080A20BB"/>
    <w:rsid w:val="080A216E"/>
    <w:rsid w:val="080A217F"/>
    <w:rsid w:val="080A224D"/>
    <w:rsid w:val="080A2287"/>
    <w:rsid w:val="080A23D4"/>
    <w:rsid w:val="080A2565"/>
    <w:rsid w:val="080A26CD"/>
    <w:rsid w:val="080A26FF"/>
    <w:rsid w:val="080A2701"/>
    <w:rsid w:val="080A2790"/>
    <w:rsid w:val="080A27BE"/>
    <w:rsid w:val="080A2841"/>
    <w:rsid w:val="080A2889"/>
    <w:rsid w:val="080A2A2A"/>
    <w:rsid w:val="080A2A4A"/>
    <w:rsid w:val="080A2B46"/>
    <w:rsid w:val="080A2B5D"/>
    <w:rsid w:val="080A2BDD"/>
    <w:rsid w:val="080A2C2E"/>
    <w:rsid w:val="080A2C6F"/>
    <w:rsid w:val="080A2D22"/>
    <w:rsid w:val="080A2DE6"/>
    <w:rsid w:val="080A2EE2"/>
    <w:rsid w:val="080A3071"/>
    <w:rsid w:val="080A309A"/>
    <w:rsid w:val="080A30B2"/>
    <w:rsid w:val="080A30D5"/>
    <w:rsid w:val="080A31C7"/>
    <w:rsid w:val="080A3231"/>
    <w:rsid w:val="080A3275"/>
    <w:rsid w:val="080A3292"/>
    <w:rsid w:val="080A32A3"/>
    <w:rsid w:val="080A32E0"/>
    <w:rsid w:val="080A32F3"/>
    <w:rsid w:val="080A3346"/>
    <w:rsid w:val="080A3384"/>
    <w:rsid w:val="080A33A3"/>
    <w:rsid w:val="080A33DB"/>
    <w:rsid w:val="080A3436"/>
    <w:rsid w:val="080A3497"/>
    <w:rsid w:val="080A3563"/>
    <w:rsid w:val="080A3580"/>
    <w:rsid w:val="080A359B"/>
    <w:rsid w:val="080A35A4"/>
    <w:rsid w:val="080A3612"/>
    <w:rsid w:val="080A364F"/>
    <w:rsid w:val="080A3665"/>
    <w:rsid w:val="080A36B1"/>
    <w:rsid w:val="080A3753"/>
    <w:rsid w:val="080A378E"/>
    <w:rsid w:val="080A3842"/>
    <w:rsid w:val="080A3872"/>
    <w:rsid w:val="080A3960"/>
    <w:rsid w:val="080A3B0A"/>
    <w:rsid w:val="080A3B77"/>
    <w:rsid w:val="080A3CCC"/>
    <w:rsid w:val="080A3CE4"/>
    <w:rsid w:val="080A3CFD"/>
    <w:rsid w:val="080A3D2C"/>
    <w:rsid w:val="080A3DCB"/>
    <w:rsid w:val="080A3DEA"/>
    <w:rsid w:val="080A3E3C"/>
    <w:rsid w:val="080A3FF3"/>
    <w:rsid w:val="080A4028"/>
    <w:rsid w:val="080A4061"/>
    <w:rsid w:val="080A40A2"/>
    <w:rsid w:val="080A4130"/>
    <w:rsid w:val="080A4132"/>
    <w:rsid w:val="080A4136"/>
    <w:rsid w:val="080A4150"/>
    <w:rsid w:val="080A41B3"/>
    <w:rsid w:val="080A41EE"/>
    <w:rsid w:val="080A427E"/>
    <w:rsid w:val="080A42A6"/>
    <w:rsid w:val="080A42E1"/>
    <w:rsid w:val="080A43FB"/>
    <w:rsid w:val="080A449C"/>
    <w:rsid w:val="080A44AC"/>
    <w:rsid w:val="080A4594"/>
    <w:rsid w:val="080A45E6"/>
    <w:rsid w:val="080A45EC"/>
    <w:rsid w:val="080A4600"/>
    <w:rsid w:val="080A460C"/>
    <w:rsid w:val="080A4639"/>
    <w:rsid w:val="080A4726"/>
    <w:rsid w:val="080A4794"/>
    <w:rsid w:val="080A47BB"/>
    <w:rsid w:val="080A48A2"/>
    <w:rsid w:val="080A48F1"/>
    <w:rsid w:val="080A4907"/>
    <w:rsid w:val="080A49AE"/>
    <w:rsid w:val="080A49CA"/>
    <w:rsid w:val="080A4B9D"/>
    <w:rsid w:val="080A4BC6"/>
    <w:rsid w:val="080A4D03"/>
    <w:rsid w:val="080A4D32"/>
    <w:rsid w:val="080A4D9D"/>
    <w:rsid w:val="080A4DF5"/>
    <w:rsid w:val="080A4E7C"/>
    <w:rsid w:val="080A4F36"/>
    <w:rsid w:val="080A4F4C"/>
    <w:rsid w:val="080A505C"/>
    <w:rsid w:val="080A50AA"/>
    <w:rsid w:val="080A51AC"/>
    <w:rsid w:val="080A5338"/>
    <w:rsid w:val="080A5343"/>
    <w:rsid w:val="080A538E"/>
    <w:rsid w:val="080A540C"/>
    <w:rsid w:val="080A549F"/>
    <w:rsid w:val="080A54C1"/>
    <w:rsid w:val="080A560D"/>
    <w:rsid w:val="080A5630"/>
    <w:rsid w:val="080A56B2"/>
    <w:rsid w:val="080A581E"/>
    <w:rsid w:val="080A583C"/>
    <w:rsid w:val="080A58AF"/>
    <w:rsid w:val="080A5951"/>
    <w:rsid w:val="080A5A31"/>
    <w:rsid w:val="080A5BED"/>
    <w:rsid w:val="080A5C19"/>
    <w:rsid w:val="080A5DCD"/>
    <w:rsid w:val="080A5E55"/>
    <w:rsid w:val="080A5F6C"/>
    <w:rsid w:val="080A5F6D"/>
    <w:rsid w:val="080A5F7C"/>
    <w:rsid w:val="080A5FAE"/>
    <w:rsid w:val="080A6104"/>
    <w:rsid w:val="080A6133"/>
    <w:rsid w:val="080A614F"/>
    <w:rsid w:val="080A617D"/>
    <w:rsid w:val="080A61E4"/>
    <w:rsid w:val="080A620F"/>
    <w:rsid w:val="080A622F"/>
    <w:rsid w:val="080A628A"/>
    <w:rsid w:val="080A636C"/>
    <w:rsid w:val="080A6465"/>
    <w:rsid w:val="080A64AC"/>
    <w:rsid w:val="080A64EC"/>
    <w:rsid w:val="080A64F7"/>
    <w:rsid w:val="080A652C"/>
    <w:rsid w:val="080A6534"/>
    <w:rsid w:val="080A6574"/>
    <w:rsid w:val="080A66D0"/>
    <w:rsid w:val="080A6775"/>
    <w:rsid w:val="080A67C4"/>
    <w:rsid w:val="080A695D"/>
    <w:rsid w:val="080A6971"/>
    <w:rsid w:val="080A697F"/>
    <w:rsid w:val="080A6A15"/>
    <w:rsid w:val="080A6B0A"/>
    <w:rsid w:val="080A6B5B"/>
    <w:rsid w:val="080A6BC4"/>
    <w:rsid w:val="080A6C9B"/>
    <w:rsid w:val="080A6EDD"/>
    <w:rsid w:val="080A7150"/>
    <w:rsid w:val="080A71D8"/>
    <w:rsid w:val="080A7250"/>
    <w:rsid w:val="080A7283"/>
    <w:rsid w:val="080A7285"/>
    <w:rsid w:val="080A72BB"/>
    <w:rsid w:val="080A7381"/>
    <w:rsid w:val="080A7522"/>
    <w:rsid w:val="080A752E"/>
    <w:rsid w:val="080A758F"/>
    <w:rsid w:val="080A7690"/>
    <w:rsid w:val="080A7790"/>
    <w:rsid w:val="080A77C8"/>
    <w:rsid w:val="080A77C9"/>
    <w:rsid w:val="080A7816"/>
    <w:rsid w:val="080A7883"/>
    <w:rsid w:val="080A7909"/>
    <w:rsid w:val="080A7941"/>
    <w:rsid w:val="080A797F"/>
    <w:rsid w:val="080A79C6"/>
    <w:rsid w:val="080A7A3C"/>
    <w:rsid w:val="080A7C0C"/>
    <w:rsid w:val="080A7C22"/>
    <w:rsid w:val="080A7C9E"/>
    <w:rsid w:val="080A7C9F"/>
    <w:rsid w:val="080A7CAF"/>
    <w:rsid w:val="080A7CFF"/>
    <w:rsid w:val="080A7D49"/>
    <w:rsid w:val="080A7D62"/>
    <w:rsid w:val="080A7DBC"/>
    <w:rsid w:val="080A7E60"/>
    <w:rsid w:val="080A7F65"/>
    <w:rsid w:val="080A7F66"/>
    <w:rsid w:val="080A7F9F"/>
    <w:rsid w:val="080A7FC5"/>
    <w:rsid w:val="080B0190"/>
    <w:rsid w:val="080B01C8"/>
    <w:rsid w:val="080B0266"/>
    <w:rsid w:val="080B0294"/>
    <w:rsid w:val="080B0328"/>
    <w:rsid w:val="080B0364"/>
    <w:rsid w:val="080B0407"/>
    <w:rsid w:val="080B05D1"/>
    <w:rsid w:val="080B05FE"/>
    <w:rsid w:val="080B07F2"/>
    <w:rsid w:val="080B0837"/>
    <w:rsid w:val="080B088A"/>
    <w:rsid w:val="080B08DB"/>
    <w:rsid w:val="080B094B"/>
    <w:rsid w:val="080B09B3"/>
    <w:rsid w:val="080B0A3C"/>
    <w:rsid w:val="080B0A67"/>
    <w:rsid w:val="080B0A9F"/>
    <w:rsid w:val="080B0B07"/>
    <w:rsid w:val="080B0B41"/>
    <w:rsid w:val="080B0BA9"/>
    <w:rsid w:val="080B0BB5"/>
    <w:rsid w:val="080B0C0C"/>
    <w:rsid w:val="080B0C47"/>
    <w:rsid w:val="080B0C5D"/>
    <w:rsid w:val="080B0CD0"/>
    <w:rsid w:val="080B0CFF"/>
    <w:rsid w:val="080B0D01"/>
    <w:rsid w:val="080B0D21"/>
    <w:rsid w:val="080B0DA0"/>
    <w:rsid w:val="080B0E53"/>
    <w:rsid w:val="080B0E94"/>
    <w:rsid w:val="080B10DF"/>
    <w:rsid w:val="080B10E2"/>
    <w:rsid w:val="080B11D9"/>
    <w:rsid w:val="080B1270"/>
    <w:rsid w:val="080B13B1"/>
    <w:rsid w:val="080B13E7"/>
    <w:rsid w:val="080B1512"/>
    <w:rsid w:val="080B1515"/>
    <w:rsid w:val="080B1522"/>
    <w:rsid w:val="080B166B"/>
    <w:rsid w:val="080B175D"/>
    <w:rsid w:val="080B17ED"/>
    <w:rsid w:val="080B17FF"/>
    <w:rsid w:val="080B1820"/>
    <w:rsid w:val="080B18A5"/>
    <w:rsid w:val="080B18E8"/>
    <w:rsid w:val="080B1947"/>
    <w:rsid w:val="080B1A2F"/>
    <w:rsid w:val="080B1BBF"/>
    <w:rsid w:val="080B1CAC"/>
    <w:rsid w:val="080B1D06"/>
    <w:rsid w:val="080B1D07"/>
    <w:rsid w:val="080B1D17"/>
    <w:rsid w:val="080B1E09"/>
    <w:rsid w:val="080B1E4C"/>
    <w:rsid w:val="080B1EBA"/>
    <w:rsid w:val="080B1FAD"/>
    <w:rsid w:val="080B208B"/>
    <w:rsid w:val="080B21AE"/>
    <w:rsid w:val="080B21E0"/>
    <w:rsid w:val="080B2216"/>
    <w:rsid w:val="080B2371"/>
    <w:rsid w:val="080B2392"/>
    <w:rsid w:val="080B2431"/>
    <w:rsid w:val="080B24A1"/>
    <w:rsid w:val="080B24EA"/>
    <w:rsid w:val="080B2500"/>
    <w:rsid w:val="080B2512"/>
    <w:rsid w:val="080B2531"/>
    <w:rsid w:val="080B263D"/>
    <w:rsid w:val="080B26F8"/>
    <w:rsid w:val="080B2717"/>
    <w:rsid w:val="080B2746"/>
    <w:rsid w:val="080B27D1"/>
    <w:rsid w:val="080B2824"/>
    <w:rsid w:val="080B2968"/>
    <w:rsid w:val="080B2AAB"/>
    <w:rsid w:val="080B2B64"/>
    <w:rsid w:val="080B2B7A"/>
    <w:rsid w:val="080B2BC8"/>
    <w:rsid w:val="080B2CC7"/>
    <w:rsid w:val="080B2D71"/>
    <w:rsid w:val="080B2DB3"/>
    <w:rsid w:val="080B2E09"/>
    <w:rsid w:val="080B2E64"/>
    <w:rsid w:val="080B2EBC"/>
    <w:rsid w:val="080B2F19"/>
    <w:rsid w:val="080B2F30"/>
    <w:rsid w:val="080B2FA1"/>
    <w:rsid w:val="080B2FB2"/>
    <w:rsid w:val="080B3032"/>
    <w:rsid w:val="080B3067"/>
    <w:rsid w:val="080B3175"/>
    <w:rsid w:val="080B3226"/>
    <w:rsid w:val="080B3393"/>
    <w:rsid w:val="080B3446"/>
    <w:rsid w:val="080B34A0"/>
    <w:rsid w:val="080B3500"/>
    <w:rsid w:val="080B3546"/>
    <w:rsid w:val="080B35FC"/>
    <w:rsid w:val="080B376B"/>
    <w:rsid w:val="080B3789"/>
    <w:rsid w:val="080B3798"/>
    <w:rsid w:val="080B3827"/>
    <w:rsid w:val="080B396B"/>
    <w:rsid w:val="080B3991"/>
    <w:rsid w:val="080B3A57"/>
    <w:rsid w:val="080B3A77"/>
    <w:rsid w:val="080B3A84"/>
    <w:rsid w:val="080B3AA1"/>
    <w:rsid w:val="080B3B8C"/>
    <w:rsid w:val="080B3BB8"/>
    <w:rsid w:val="080B3BD2"/>
    <w:rsid w:val="080B3E33"/>
    <w:rsid w:val="080B3E79"/>
    <w:rsid w:val="080B3E7E"/>
    <w:rsid w:val="080B4022"/>
    <w:rsid w:val="080B403A"/>
    <w:rsid w:val="080B406D"/>
    <w:rsid w:val="080B40BE"/>
    <w:rsid w:val="080B40CE"/>
    <w:rsid w:val="080B4135"/>
    <w:rsid w:val="080B421C"/>
    <w:rsid w:val="080B4226"/>
    <w:rsid w:val="080B4339"/>
    <w:rsid w:val="080B43B6"/>
    <w:rsid w:val="080B43C5"/>
    <w:rsid w:val="080B4502"/>
    <w:rsid w:val="080B4521"/>
    <w:rsid w:val="080B4523"/>
    <w:rsid w:val="080B452E"/>
    <w:rsid w:val="080B4682"/>
    <w:rsid w:val="080B47FB"/>
    <w:rsid w:val="080B4838"/>
    <w:rsid w:val="080B4899"/>
    <w:rsid w:val="080B48B4"/>
    <w:rsid w:val="080B48CC"/>
    <w:rsid w:val="080B4900"/>
    <w:rsid w:val="080B49A0"/>
    <w:rsid w:val="080B49BC"/>
    <w:rsid w:val="080B49C7"/>
    <w:rsid w:val="080B4A08"/>
    <w:rsid w:val="080B4A32"/>
    <w:rsid w:val="080B4A65"/>
    <w:rsid w:val="080B4B0C"/>
    <w:rsid w:val="080B4B16"/>
    <w:rsid w:val="080B4B4D"/>
    <w:rsid w:val="080B4B94"/>
    <w:rsid w:val="080B4BE5"/>
    <w:rsid w:val="080B4BFE"/>
    <w:rsid w:val="080B4CB8"/>
    <w:rsid w:val="080B4DBD"/>
    <w:rsid w:val="080B4EC9"/>
    <w:rsid w:val="080B4F80"/>
    <w:rsid w:val="080B4F96"/>
    <w:rsid w:val="080B4FAC"/>
    <w:rsid w:val="080B5039"/>
    <w:rsid w:val="080B50AF"/>
    <w:rsid w:val="080B50F6"/>
    <w:rsid w:val="080B5185"/>
    <w:rsid w:val="080B51D7"/>
    <w:rsid w:val="080B51DE"/>
    <w:rsid w:val="080B5218"/>
    <w:rsid w:val="080B521D"/>
    <w:rsid w:val="080B524A"/>
    <w:rsid w:val="080B532F"/>
    <w:rsid w:val="080B53A8"/>
    <w:rsid w:val="080B5490"/>
    <w:rsid w:val="080B5507"/>
    <w:rsid w:val="080B5524"/>
    <w:rsid w:val="080B55CE"/>
    <w:rsid w:val="080B5623"/>
    <w:rsid w:val="080B5671"/>
    <w:rsid w:val="080B5676"/>
    <w:rsid w:val="080B5716"/>
    <w:rsid w:val="080B5744"/>
    <w:rsid w:val="080B5769"/>
    <w:rsid w:val="080B579B"/>
    <w:rsid w:val="080B57B3"/>
    <w:rsid w:val="080B57F1"/>
    <w:rsid w:val="080B587E"/>
    <w:rsid w:val="080B5880"/>
    <w:rsid w:val="080B5886"/>
    <w:rsid w:val="080B5905"/>
    <w:rsid w:val="080B5920"/>
    <w:rsid w:val="080B59AC"/>
    <w:rsid w:val="080B5A30"/>
    <w:rsid w:val="080B5A8A"/>
    <w:rsid w:val="080B5A92"/>
    <w:rsid w:val="080B5A9E"/>
    <w:rsid w:val="080B5AC5"/>
    <w:rsid w:val="080B5ADA"/>
    <w:rsid w:val="080B5B05"/>
    <w:rsid w:val="080B5B72"/>
    <w:rsid w:val="080B5BA9"/>
    <w:rsid w:val="080B5BBF"/>
    <w:rsid w:val="080B5D98"/>
    <w:rsid w:val="080B5DA6"/>
    <w:rsid w:val="080B5EB6"/>
    <w:rsid w:val="080B5F09"/>
    <w:rsid w:val="080B60DC"/>
    <w:rsid w:val="080B61F9"/>
    <w:rsid w:val="080B62D2"/>
    <w:rsid w:val="080B6322"/>
    <w:rsid w:val="080B6373"/>
    <w:rsid w:val="080B63C6"/>
    <w:rsid w:val="080B6433"/>
    <w:rsid w:val="080B6476"/>
    <w:rsid w:val="080B64B6"/>
    <w:rsid w:val="080B6666"/>
    <w:rsid w:val="080B67BD"/>
    <w:rsid w:val="080B67BF"/>
    <w:rsid w:val="080B6846"/>
    <w:rsid w:val="080B6879"/>
    <w:rsid w:val="080B6892"/>
    <w:rsid w:val="080B693F"/>
    <w:rsid w:val="080B6958"/>
    <w:rsid w:val="080B6A93"/>
    <w:rsid w:val="080B6AEF"/>
    <w:rsid w:val="080B6AF3"/>
    <w:rsid w:val="080B6D19"/>
    <w:rsid w:val="080B6D23"/>
    <w:rsid w:val="080B6E77"/>
    <w:rsid w:val="080B6F2A"/>
    <w:rsid w:val="080B6FDC"/>
    <w:rsid w:val="080B704A"/>
    <w:rsid w:val="080B70A7"/>
    <w:rsid w:val="080B7110"/>
    <w:rsid w:val="080B7119"/>
    <w:rsid w:val="080B7148"/>
    <w:rsid w:val="080B71E0"/>
    <w:rsid w:val="080B72BA"/>
    <w:rsid w:val="080B72BE"/>
    <w:rsid w:val="080B72F3"/>
    <w:rsid w:val="080B7341"/>
    <w:rsid w:val="080B7362"/>
    <w:rsid w:val="080B738B"/>
    <w:rsid w:val="080B73F6"/>
    <w:rsid w:val="080B7464"/>
    <w:rsid w:val="080B751F"/>
    <w:rsid w:val="080B753E"/>
    <w:rsid w:val="080B754C"/>
    <w:rsid w:val="080B7758"/>
    <w:rsid w:val="080B78E0"/>
    <w:rsid w:val="080B79A6"/>
    <w:rsid w:val="080B7A02"/>
    <w:rsid w:val="080B7A08"/>
    <w:rsid w:val="080B7A26"/>
    <w:rsid w:val="080B7A89"/>
    <w:rsid w:val="080B7DA1"/>
    <w:rsid w:val="080B7E7C"/>
    <w:rsid w:val="080B7E82"/>
    <w:rsid w:val="080B7E8E"/>
    <w:rsid w:val="080B7F5C"/>
    <w:rsid w:val="080B7FFB"/>
    <w:rsid w:val="080C000D"/>
    <w:rsid w:val="080C004F"/>
    <w:rsid w:val="080C00C5"/>
    <w:rsid w:val="080C0105"/>
    <w:rsid w:val="080C01E3"/>
    <w:rsid w:val="080C025B"/>
    <w:rsid w:val="080C026C"/>
    <w:rsid w:val="080C02DB"/>
    <w:rsid w:val="080C03A0"/>
    <w:rsid w:val="080C03EE"/>
    <w:rsid w:val="080C044F"/>
    <w:rsid w:val="080C054F"/>
    <w:rsid w:val="080C0656"/>
    <w:rsid w:val="080C06ED"/>
    <w:rsid w:val="080C071A"/>
    <w:rsid w:val="080C07F0"/>
    <w:rsid w:val="080C0835"/>
    <w:rsid w:val="080C08AA"/>
    <w:rsid w:val="080C0A26"/>
    <w:rsid w:val="080C0A58"/>
    <w:rsid w:val="080C0B65"/>
    <w:rsid w:val="080C0BC0"/>
    <w:rsid w:val="080C0BE0"/>
    <w:rsid w:val="080C0CBC"/>
    <w:rsid w:val="080C0D38"/>
    <w:rsid w:val="080C0D42"/>
    <w:rsid w:val="080C0D4C"/>
    <w:rsid w:val="080C0D59"/>
    <w:rsid w:val="080C0D7F"/>
    <w:rsid w:val="080C0EB2"/>
    <w:rsid w:val="080C0F7A"/>
    <w:rsid w:val="080C0FA6"/>
    <w:rsid w:val="080C102B"/>
    <w:rsid w:val="080C1076"/>
    <w:rsid w:val="080C1138"/>
    <w:rsid w:val="080C1141"/>
    <w:rsid w:val="080C1152"/>
    <w:rsid w:val="080C1161"/>
    <w:rsid w:val="080C1189"/>
    <w:rsid w:val="080C119B"/>
    <w:rsid w:val="080C11E2"/>
    <w:rsid w:val="080C137B"/>
    <w:rsid w:val="080C13BA"/>
    <w:rsid w:val="080C14CF"/>
    <w:rsid w:val="080C1597"/>
    <w:rsid w:val="080C15C2"/>
    <w:rsid w:val="080C1649"/>
    <w:rsid w:val="080C165D"/>
    <w:rsid w:val="080C176B"/>
    <w:rsid w:val="080C17E6"/>
    <w:rsid w:val="080C1879"/>
    <w:rsid w:val="080C190A"/>
    <w:rsid w:val="080C1B95"/>
    <w:rsid w:val="080C1BB5"/>
    <w:rsid w:val="080C1D27"/>
    <w:rsid w:val="080C1D2A"/>
    <w:rsid w:val="080C1D56"/>
    <w:rsid w:val="080C1F3B"/>
    <w:rsid w:val="080C2199"/>
    <w:rsid w:val="080C21CD"/>
    <w:rsid w:val="080C221D"/>
    <w:rsid w:val="080C2359"/>
    <w:rsid w:val="080C236B"/>
    <w:rsid w:val="080C2401"/>
    <w:rsid w:val="080C243A"/>
    <w:rsid w:val="080C243C"/>
    <w:rsid w:val="080C2559"/>
    <w:rsid w:val="080C2678"/>
    <w:rsid w:val="080C2691"/>
    <w:rsid w:val="080C26B0"/>
    <w:rsid w:val="080C26C6"/>
    <w:rsid w:val="080C26D2"/>
    <w:rsid w:val="080C274F"/>
    <w:rsid w:val="080C28B7"/>
    <w:rsid w:val="080C2970"/>
    <w:rsid w:val="080C29B8"/>
    <w:rsid w:val="080C2A43"/>
    <w:rsid w:val="080C2A46"/>
    <w:rsid w:val="080C2A8C"/>
    <w:rsid w:val="080C2A96"/>
    <w:rsid w:val="080C2B37"/>
    <w:rsid w:val="080C2D1F"/>
    <w:rsid w:val="080C2DF9"/>
    <w:rsid w:val="080C2E3C"/>
    <w:rsid w:val="080C2E83"/>
    <w:rsid w:val="080C2F29"/>
    <w:rsid w:val="080C3022"/>
    <w:rsid w:val="080C3030"/>
    <w:rsid w:val="080C3055"/>
    <w:rsid w:val="080C308E"/>
    <w:rsid w:val="080C30A3"/>
    <w:rsid w:val="080C3154"/>
    <w:rsid w:val="080C324A"/>
    <w:rsid w:val="080C324E"/>
    <w:rsid w:val="080C330E"/>
    <w:rsid w:val="080C3375"/>
    <w:rsid w:val="080C3411"/>
    <w:rsid w:val="080C3449"/>
    <w:rsid w:val="080C34D4"/>
    <w:rsid w:val="080C3512"/>
    <w:rsid w:val="080C3592"/>
    <w:rsid w:val="080C35A3"/>
    <w:rsid w:val="080C35C1"/>
    <w:rsid w:val="080C3664"/>
    <w:rsid w:val="080C3756"/>
    <w:rsid w:val="080C37B0"/>
    <w:rsid w:val="080C3812"/>
    <w:rsid w:val="080C3819"/>
    <w:rsid w:val="080C3911"/>
    <w:rsid w:val="080C3978"/>
    <w:rsid w:val="080C397F"/>
    <w:rsid w:val="080C39D9"/>
    <w:rsid w:val="080C3A8F"/>
    <w:rsid w:val="080C3A9F"/>
    <w:rsid w:val="080C3B1B"/>
    <w:rsid w:val="080C3B4D"/>
    <w:rsid w:val="080C3B8A"/>
    <w:rsid w:val="080C3BA1"/>
    <w:rsid w:val="080C3BA6"/>
    <w:rsid w:val="080C3BAE"/>
    <w:rsid w:val="080C3C84"/>
    <w:rsid w:val="080C3D51"/>
    <w:rsid w:val="080C3D79"/>
    <w:rsid w:val="080C3DB4"/>
    <w:rsid w:val="080C3E02"/>
    <w:rsid w:val="080C3E31"/>
    <w:rsid w:val="080C3E65"/>
    <w:rsid w:val="080C3F29"/>
    <w:rsid w:val="080C3F63"/>
    <w:rsid w:val="080C3F80"/>
    <w:rsid w:val="080C3FF7"/>
    <w:rsid w:val="080C40A3"/>
    <w:rsid w:val="080C40EA"/>
    <w:rsid w:val="080C41D8"/>
    <w:rsid w:val="080C41F1"/>
    <w:rsid w:val="080C425C"/>
    <w:rsid w:val="080C426D"/>
    <w:rsid w:val="080C428F"/>
    <w:rsid w:val="080C4307"/>
    <w:rsid w:val="080C431B"/>
    <w:rsid w:val="080C43B6"/>
    <w:rsid w:val="080C4450"/>
    <w:rsid w:val="080C4457"/>
    <w:rsid w:val="080C44BB"/>
    <w:rsid w:val="080C44E8"/>
    <w:rsid w:val="080C4504"/>
    <w:rsid w:val="080C4508"/>
    <w:rsid w:val="080C4616"/>
    <w:rsid w:val="080C46CA"/>
    <w:rsid w:val="080C479C"/>
    <w:rsid w:val="080C4886"/>
    <w:rsid w:val="080C493A"/>
    <w:rsid w:val="080C49DC"/>
    <w:rsid w:val="080C49E4"/>
    <w:rsid w:val="080C4A0A"/>
    <w:rsid w:val="080C4A43"/>
    <w:rsid w:val="080C4B09"/>
    <w:rsid w:val="080C4D6F"/>
    <w:rsid w:val="080C4D9F"/>
    <w:rsid w:val="080C4E7E"/>
    <w:rsid w:val="080C4F72"/>
    <w:rsid w:val="080C4F9F"/>
    <w:rsid w:val="080C5002"/>
    <w:rsid w:val="080C500F"/>
    <w:rsid w:val="080C502B"/>
    <w:rsid w:val="080C50A7"/>
    <w:rsid w:val="080C50F6"/>
    <w:rsid w:val="080C5121"/>
    <w:rsid w:val="080C517E"/>
    <w:rsid w:val="080C51D0"/>
    <w:rsid w:val="080C5210"/>
    <w:rsid w:val="080C5240"/>
    <w:rsid w:val="080C531C"/>
    <w:rsid w:val="080C532A"/>
    <w:rsid w:val="080C5383"/>
    <w:rsid w:val="080C53B7"/>
    <w:rsid w:val="080C54B3"/>
    <w:rsid w:val="080C54B5"/>
    <w:rsid w:val="080C5561"/>
    <w:rsid w:val="080C55DF"/>
    <w:rsid w:val="080C5721"/>
    <w:rsid w:val="080C5736"/>
    <w:rsid w:val="080C57C5"/>
    <w:rsid w:val="080C5963"/>
    <w:rsid w:val="080C59C9"/>
    <w:rsid w:val="080C59E9"/>
    <w:rsid w:val="080C59F6"/>
    <w:rsid w:val="080C5A81"/>
    <w:rsid w:val="080C5AF5"/>
    <w:rsid w:val="080C5B0D"/>
    <w:rsid w:val="080C5B98"/>
    <w:rsid w:val="080C5C30"/>
    <w:rsid w:val="080C5D90"/>
    <w:rsid w:val="080C5DBC"/>
    <w:rsid w:val="080C5E15"/>
    <w:rsid w:val="080C5E64"/>
    <w:rsid w:val="080C5EBF"/>
    <w:rsid w:val="080C5F2A"/>
    <w:rsid w:val="080C5F7D"/>
    <w:rsid w:val="080C5FA4"/>
    <w:rsid w:val="080C5FF5"/>
    <w:rsid w:val="080C60EB"/>
    <w:rsid w:val="080C6113"/>
    <w:rsid w:val="080C618D"/>
    <w:rsid w:val="080C61CC"/>
    <w:rsid w:val="080C6329"/>
    <w:rsid w:val="080C6417"/>
    <w:rsid w:val="080C6476"/>
    <w:rsid w:val="080C647A"/>
    <w:rsid w:val="080C65AA"/>
    <w:rsid w:val="080C6623"/>
    <w:rsid w:val="080C674B"/>
    <w:rsid w:val="080C67EC"/>
    <w:rsid w:val="080C6825"/>
    <w:rsid w:val="080C6A27"/>
    <w:rsid w:val="080C6A35"/>
    <w:rsid w:val="080C6AA7"/>
    <w:rsid w:val="080C6AC1"/>
    <w:rsid w:val="080C6B79"/>
    <w:rsid w:val="080C6C39"/>
    <w:rsid w:val="080C6CBF"/>
    <w:rsid w:val="080C6DB7"/>
    <w:rsid w:val="080C6E01"/>
    <w:rsid w:val="080C6EA3"/>
    <w:rsid w:val="080C6EE8"/>
    <w:rsid w:val="080C6EF7"/>
    <w:rsid w:val="080C6F18"/>
    <w:rsid w:val="080C6F79"/>
    <w:rsid w:val="080C6FB8"/>
    <w:rsid w:val="080C7042"/>
    <w:rsid w:val="080C7074"/>
    <w:rsid w:val="080C70BA"/>
    <w:rsid w:val="080C71AC"/>
    <w:rsid w:val="080C71DD"/>
    <w:rsid w:val="080C724E"/>
    <w:rsid w:val="080C7258"/>
    <w:rsid w:val="080C7281"/>
    <w:rsid w:val="080C72B1"/>
    <w:rsid w:val="080C7331"/>
    <w:rsid w:val="080C755C"/>
    <w:rsid w:val="080C75A1"/>
    <w:rsid w:val="080C762C"/>
    <w:rsid w:val="080C765C"/>
    <w:rsid w:val="080C7738"/>
    <w:rsid w:val="080C774A"/>
    <w:rsid w:val="080C77D8"/>
    <w:rsid w:val="080C78E4"/>
    <w:rsid w:val="080C78EB"/>
    <w:rsid w:val="080C7978"/>
    <w:rsid w:val="080C799D"/>
    <w:rsid w:val="080C79E9"/>
    <w:rsid w:val="080C7A28"/>
    <w:rsid w:val="080C7A37"/>
    <w:rsid w:val="080C7A9E"/>
    <w:rsid w:val="080C7B9B"/>
    <w:rsid w:val="080C7CBC"/>
    <w:rsid w:val="080C7DC2"/>
    <w:rsid w:val="080C7DE6"/>
    <w:rsid w:val="080C7E26"/>
    <w:rsid w:val="080C7F29"/>
    <w:rsid w:val="080C7F83"/>
    <w:rsid w:val="080C7FDB"/>
    <w:rsid w:val="080D0030"/>
    <w:rsid w:val="080D007F"/>
    <w:rsid w:val="080D00E0"/>
    <w:rsid w:val="080D02AC"/>
    <w:rsid w:val="080D02C6"/>
    <w:rsid w:val="080D02DD"/>
    <w:rsid w:val="080D031A"/>
    <w:rsid w:val="080D04CD"/>
    <w:rsid w:val="080D053C"/>
    <w:rsid w:val="080D0546"/>
    <w:rsid w:val="080D05DD"/>
    <w:rsid w:val="080D0643"/>
    <w:rsid w:val="080D0681"/>
    <w:rsid w:val="080D0813"/>
    <w:rsid w:val="080D08C7"/>
    <w:rsid w:val="080D09FB"/>
    <w:rsid w:val="080D0A64"/>
    <w:rsid w:val="080D0AA8"/>
    <w:rsid w:val="080D0B0C"/>
    <w:rsid w:val="080D0B7D"/>
    <w:rsid w:val="080D0BB8"/>
    <w:rsid w:val="080D0CFD"/>
    <w:rsid w:val="080D0F24"/>
    <w:rsid w:val="080D0F6A"/>
    <w:rsid w:val="080D0F8C"/>
    <w:rsid w:val="080D0FD2"/>
    <w:rsid w:val="080D10B0"/>
    <w:rsid w:val="080D10CD"/>
    <w:rsid w:val="080D11F7"/>
    <w:rsid w:val="080D1235"/>
    <w:rsid w:val="080D124B"/>
    <w:rsid w:val="080D124F"/>
    <w:rsid w:val="080D125E"/>
    <w:rsid w:val="080D12D7"/>
    <w:rsid w:val="080D130E"/>
    <w:rsid w:val="080D13EF"/>
    <w:rsid w:val="080D1557"/>
    <w:rsid w:val="080D15D7"/>
    <w:rsid w:val="080D15EA"/>
    <w:rsid w:val="080D1766"/>
    <w:rsid w:val="080D179E"/>
    <w:rsid w:val="080D17DA"/>
    <w:rsid w:val="080D1823"/>
    <w:rsid w:val="080D186B"/>
    <w:rsid w:val="080D18E2"/>
    <w:rsid w:val="080D1911"/>
    <w:rsid w:val="080D196F"/>
    <w:rsid w:val="080D19BC"/>
    <w:rsid w:val="080D1AAA"/>
    <w:rsid w:val="080D1AE7"/>
    <w:rsid w:val="080D1BF3"/>
    <w:rsid w:val="080D1E40"/>
    <w:rsid w:val="080D1EFB"/>
    <w:rsid w:val="080D1F02"/>
    <w:rsid w:val="080D1F1C"/>
    <w:rsid w:val="080D1F67"/>
    <w:rsid w:val="080D1F8C"/>
    <w:rsid w:val="080D1FC0"/>
    <w:rsid w:val="080D203A"/>
    <w:rsid w:val="080D20E2"/>
    <w:rsid w:val="080D212F"/>
    <w:rsid w:val="080D213A"/>
    <w:rsid w:val="080D2157"/>
    <w:rsid w:val="080D2193"/>
    <w:rsid w:val="080D219B"/>
    <w:rsid w:val="080D222D"/>
    <w:rsid w:val="080D22BD"/>
    <w:rsid w:val="080D233A"/>
    <w:rsid w:val="080D2431"/>
    <w:rsid w:val="080D24AE"/>
    <w:rsid w:val="080D24E2"/>
    <w:rsid w:val="080D24FC"/>
    <w:rsid w:val="080D24FE"/>
    <w:rsid w:val="080D25BE"/>
    <w:rsid w:val="080D264B"/>
    <w:rsid w:val="080D2657"/>
    <w:rsid w:val="080D26AF"/>
    <w:rsid w:val="080D273C"/>
    <w:rsid w:val="080D27A4"/>
    <w:rsid w:val="080D27B8"/>
    <w:rsid w:val="080D2813"/>
    <w:rsid w:val="080D2855"/>
    <w:rsid w:val="080D2AA9"/>
    <w:rsid w:val="080D2AD2"/>
    <w:rsid w:val="080D2B45"/>
    <w:rsid w:val="080D2BA1"/>
    <w:rsid w:val="080D2BD1"/>
    <w:rsid w:val="080D2C6C"/>
    <w:rsid w:val="080D2C7C"/>
    <w:rsid w:val="080D2CE0"/>
    <w:rsid w:val="080D2D07"/>
    <w:rsid w:val="080D2ECB"/>
    <w:rsid w:val="080D2F35"/>
    <w:rsid w:val="080D313E"/>
    <w:rsid w:val="080D31A0"/>
    <w:rsid w:val="080D31F0"/>
    <w:rsid w:val="080D3203"/>
    <w:rsid w:val="080D3230"/>
    <w:rsid w:val="080D32EC"/>
    <w:rsid w:val="080D32FC"/>
    <w:rsid w:val="080D352C"/>
    <w:rsid w:val="080D359F"/>
    <w:rsid w:val="080D3653"/>
    <w:rsid w:val="080D374F"/>
    <w:rsid w:val="080D376B"/>
    <w:rsid w:val="080D39ED"/>
    <w:rsid w:val="080D3C22"/>
    <w:rsid w:val="080D3CCE"/>
    <w:rsid w:val="080D3D92"/>
    <w:rsid w:val="080D3DE8"/>
    <w:rsid w:val="080D3DFF"/>
    <w:rsid w:val="080D3E2A"/>
    <w:rsid w:val="080D3E50"/>
    <w:rsid w:val="080D3E5A"/>
    <w:rsid w:val="080D3F0F"/>
    <w:rsid w:val="080D3F6D"/>
    <w:rsid w:val="080D402D"/>
    <w:rsid w:val="080D4056"/>
    <w:rsid w:val="080D40B7"/>
    <w:rsid w:val="080D4272"/>
    <w:rsid w:val="080D42B4"/>
    <w:rsid w:val="080D42BE"/>
    <w:rsid w:val="080D4334"/>
    <w:rsid w:val="080D437A"/>
    <w:rsid w:val="080D43B2"/>
    <w:rsid w:val="080D4479"/>
    <w:rsid w:val="080D448F"/>
    <w:rsid w:val="080D44A2"/>
    <w:rsid w:val="080D45F7"/>
    <w:rsid w:val="080D467B"/>
    <w:rsid w:val="080D467E"/>
    <w:rsid w:val="080D46B0"/>
    <w:rsid w:val="080D46BA"/>
    <w:rsid w:val="080D46DB"/>
    <w:rsid w:val="080D46EA"/>
    <w:rsid w:val="080D4748"/>
    <w:rsid w:val="080D4760"/>
    <w:rsid w:val="080D477D"/>
    <w:rsid w:val="080D479E"/>
    <w:rsid w:val="080D47FB"/>
    <w:rsid w:val="080D4819"/>
    <w:rsid w:val="080D491C"/>
    <w:rsid w:val="080D4A74"/>
    <w:rsid w:val="080D4A79"/>
    <w:rsid w:val="080D4AF8"/>
    <w:rsid w:val="080D4BB3"/>
    <w:rsid w:val="080D4C61"/>
    <w:rsid w:val="080D4CA3"/>
    <w:rsid w:val="080D4CFE"/>
    <w:rsid w:val="080D4D09"/>
    <w:rsid w:val="080D4DDB"/>
    <w:rsid w:val="080D4F22"/>
    <w:rsid w:val="080D4F49"/>
    <w:rsid w:val="080D4F8D"/>
    <w:rsid w:val="080D4FB2"/>
    <w:rsid w:val="080D4FEC"/>
    <w:rsid w:val="080D500D"/>
    <w:rsid w:val="080D51F3"/>
    <w:rsid w:val="080D5269"/>
    <w:rsid w:val="080D5369"/>
    <w:rsid w:val="080D54C1"/>
    <w:rsid w:val="080D5530"/>
    <w:rsid w:val="080D554E"/>
    <w:rsid w:val="080D555B"/>
    <w:rsid w:val="080D55AA"/>
    <w:rsid w:val="080D55C9"/>
    <w:rsid w:val="080D565E"/>
    <w:rsid w:val="080D56DD"/>
    <w:rsid w:val="080D577A"/>
    <w:rsid w:val="080D57AE"/>
    <w:rsid w:val="080D57EA"/>
    <w:rsid w:val="080D57EE"/>
    <w:rsid w:val="080D57F5"/>
    <w:rsid w:val="080D5803"/>
    <w:rsid w:val="080D5804"/>
    <w:rsid w:val="080D580C"/>
    <w:rsid w:val="080D588D"/>
    <w:rsid w:val="080D58DA"/>
    <w:rsid w:val="080D5A15"/>
    <w:rsid w:val="080D5A38"/>
    <w:rsid w:val="080D5A5A"/>
    <w:rsid w:val="080D5A98"/>
    <w:rsid w:val="080D5AC6"/>
    <w:rsid w:val="080D5B39"/>
    <w:rsid w:val="080D5B63"/>
    <w:rsid w:val="080D5B9E"/>
    <w:rsid w:val="080D5C1D"/>
    <w:rsid w:val="080D5C1E"/>
    <w:rsid w:val="080D5C54"/>
    <w:rsid w:val="080D5C55"/>
    <w:rsid w:val="080D5C97"/>
    <w:rsid w:val="080D5D46"/>
    <w:rsid w:val="080D5EB2"/>
    <w:rsid w:val="080D5EBD"/>
    <w:rsid w:val="080D5EF4"/>
    <w:rsid w:val="080D5FDC"/>
    <w:rsid w:val="080D5FEB"/>
    <w:rsid w:val="080D600B"/>
    <w:rsid w:val="080D6148"/>
    <w:rsid w:val="080D61AC"/>
    <w:rsid w:val="080D61CF"/>
    <w:rsid w:val="080D625C"/>
    <w:rsid w:val="080D625E"/>
    <w:rsid w:val="080D6289"/>
    <w:rsid w:val="080D629E"/>
    <w:rsid w:val="080D62CC"/>
    <w:rsid w:val="080D6313"/>
    <w:rsid w:val="080D63DE"/>
    <w:rsid w:val="080D63F5"/>
    <w:rsid w:val="080D6456"/>
    <w:rsid w:val="080D648A"/>
    <w:rsid w:val="080D64F5"/>
    <w:rsid w:val="080D6519"/>
    <w:rsid w:val="080D653C"/>
    <w:rsid w:val="080D6664"/>
    <w:rsid w:val="080D6770"/>
    <w:rsid w:val="080D6794"/>
    <w:rsid w:val="080D6846"/>
    <w:rsid w:val="080D6849"/>
    <w:rsid w:val="080D68BE"/>
    <w:rsid w:val="080D68ED"/>
    <w:rsid w:val="080D68F9"/>
    <w:rsid w:val="080D69A6"/>
    <w:rsid w:val="080D6A29"/>
    <w:rsid w:val="080D6A3E"/>
    <w:rsid w:val="080D6A74"/>
    <w:rsid w:val="080D6AD7"/>
    <w:rsid w:val="080D6B37"/>
    <w:rsid w:val="080D6B53"/>
    <w:rsid w:val="080D6BA0"/>
    <w:rsid w:val="080D6BEC"/>
    <w:rsid w:val="080D6C3D"/>
    <w:rsid w:val="080D6C51"/>
    <w:rsid w:val="080D6C7A"/>
    <w:rsid w:val="080D6CDF"/>
    <w:rsid w:val="080D6D2B"/>
    <w:rsid w:val="080D6DC1"/>
    <w:rsid w:val="080D6DCE"/>
    <w:rsid w:val="080D6DD6"/>
    <w:rsid w:val="080D6DE9"/>
    <w:rsid w:val="080D6DEF"/>
    <w:rsid w:val="080D6E14"/>
    <w:rsid w:val="080D6E1F"/>
    <w:rsid w:val="080D6E3D"/>
    <w:rsid w:val="080D6EB1"/>
    <w:rsid w:val="080D6F72"/>
    <w:rsid w:val="080D6F74"/>
    <w:rsid w:val="080D6F76"/>
    <w:rsid w:val="080D6FBE"/>
    <w:rsid w:val="080D6FF9"/>
    <w:rsid w:val="080D700E"/>
    <w:rsid w:val="080D7032"/>
    <w:rsid w:val="080D7198"/>
    <w:rsid w:val="080D729A"/>
    <w:rsid w:val="080D72A6"/>
    <w:rsid w:val="080D72D3"/>
    <w:rsid w:val="080D7318"/>
    <w:rsid w:val="080D7343"/>
    <w:rsid w:val="080D7368"/>
    <w:rsid w:val="080D736E"/>
    <w:rsid w:val="080D73F4"/>
    <w:rsid w:val="080D7461"/>
    <w:rsid w:val="080D753B"/>
    <w:rsid w:val="080D753F"/>
    <w:rsid w:val="080D754A"/>
    <w:rsid w:val="080D7599"/>
    <w:rsid w:val="080D7617"/>
    <w:rsid w:val="080D7634"/>
    <w:rsid w:val="080D7667"/>
    <w:rsid w:val="080D7681"/>
    <w:rsid w:val="080D7773"/>
    <w:rsid w:val="080D77BE"/>
    <w:rsid w:val="080D77E1"/>
    <w:rsid w:val="080D78FF"/>
    <w:rsid w:val="080D7916"/>
    <w:rsid w:val="080D794B"/>
    <w:rsid w:val="080D795A"/>
    <w:rsid w:val="080D798C"/>
    <w:rsid w:val="080D7A27"/>
    <w:rsid w:val="080D7A32"/>
    <w:rsid w:val="080D7A57"/>
    <w:rsid w:val="080D7A5E"/>
    <w:rsid w:val="080D7B7F"/>
    <w:rsid w:val="080D7BA4"/>
    <w:rsid w:val="080D7C7D"/>
    <w:rsid w:val="080D7CF4"/>
    <w:rsid w:val="080D7D22"/>
    <w:rsid w:val="080D7D88"/>
    <w:rsid w:val="080D7DC6"/>
    <w:rsid w:val="080D7DFD"/>
    <w:rsid w:val="080D7F1F"/>
    <w:rsid w:val="080D7F76"/>
    <w:rsid w:val="080E015F"/>
    <w:rsid w:val="080E01FC"/>
    <w:rsid w:val="080E0241"/>
    <w:rsid w:val="080E0257"/>
    <w:rsid w:val="080E035B"/>
    <w:rsid w:val="080E037C"/>
    <w:rsid w:val="080E03C8"/>
    <w:rsid w:val="080E040B"/>
    <w:rsid w:val="080E0527"/>
    <w:rsid w:val="080E053D"/>
    <w:rsid w:val="080E0663"/>
    <w:rsid w:val="080E06E5"/>
    <w:rsid w:val="080E075B"/>
    <w:rsid w:val="080E07D4"/>
    <w:rsid w:val="080E0802"/>
    <w:rsid w:val="080E0821"/>
    <w:rsid w:val="080E0916"/>
    <w:rsid w:val="080E091A"/>
    <w:rsid w:val="080E0965"/>
    <w:rsid w:val="080E0AA9"/>
    <w:rsid w:val="080E0ACE"/>
    <w:rsid w:val="080E0B39"/>
    <w:rsid w:val="080E0B5C"/>
    <w:rsid w:val="080E0B8D"/>
    <w:rsid w:val="080E0BBF"/>
    <w:rsid w:val="080E0BF5"/>
    <w:rsid w:val="080E0C34"/>
    <w:rsid w:val="080E0C36"/>
    <w:rsid w:val="080E0CEB"/>
    <w:rsid w:val="080E0D14"/>
    <w:rsid w:val="080E0D41"/>
    <w:rsid w:val="080E0D70"/>
    <w:rsid w:val="080E0E72"/>
    <w:rsid w:val="080E0EE2"/>
    <w:rsid w:val="080E0F3C"/>
    <w:rsid w:val="080E1036"/>
    <w:rsid w:val="080E10B1"/>
    <w:rsid w:val="080E10DA"/>
    <w:rsid w:val="080E1147"/>
    <w:rsid w:val="080E11C8"/>
    <w:rsid w:val="080E11D0"/>
    <w:rsid w:val="080E11DC"/>
    <w:rsid w:val="080E1226"/>
    <w:rsid w:val="080E13A3"/>
    <w:rsid w:val="080E141C"/>
    <w:rsid w:val="080E1470"/>
    <w:rsid w:val="080E14EA"/>
    <w:rsid w:val="080E15B8"/>
    <w:rsid w:val="080E161D"/>
    <w:rsid w:val="080E1649"/>
    <w:rsid w:val="080E16A0"/>
    <w:rsid w:val="080E16BA"/>
    <w:rsid w:val="080E17A8"/>
    <w:rsid w:val="080E17CB"/>
    <w:rsid w:val="080E1834"/>
    <w:rsid w:val="080E184C"/>
    <w:rsid w:val="080E187C"/>
    <w:rsid w:val="080E18B3"/>
    <w:rsid w:val="080E18D1"/>
    <w:rsid w:val="080E18E4"/>
    <w:rsid w:val="080E19BE"/>
    <w:rsid w:val="080E1A67"/>
    <w:rsid w:val="080E1A86"/>
    <w:rsid w:val="080E1AFE"/>
    <w:rsid w:val="080E1C87"/>
    <w:rsid w:val="080E1D02"/>
    <w:rsid w:val="080E1D55"/>
    <w:rsid w:val="080E1D67"/>
    <w:rsid w:val="080E1E0F"/>
    <w:rsid w:val="080E1E3A"/>
    <w:rsid w:val="080E1E92"/>
    <w:rsid w:val="080E1EFC"/>
    <w:rsid w:val="080E1F95"/>
    <w:rsid w:val="080E2090"/>
    <w:rsid w:val="080E20B0"/>
    <w:rsid w:val="080E20CC"/>
    <w:rsid w:val="080E20D1"/>
    <w:rsid w:val="080E2180"/>
    <w:rsid w:val="080E21FB"/>
    <w:rsid w:val="080E229C"/>
    <w:rsid w:val="080E22AC"/>
    <w:rsid w:val="080E2381"/>
    <w:rsid w:val="080E241A"/>
    <w:rsid w:val="080E24F8"/>
    <w:rsid w:val="080E2568"/>
    <w:rsid w:val="080E25BD"/>
    <w:rsid w:val="080E25EB"/>
    <w:rsid w:val="080E268C"/>
    <w:rsid w:val="080E27A9"/>
    <w:rsid w:val="080E27D3"/>
    <w:rsid w:val="080E2970"/>
    <w:rsid w:val="080E2989"/>
    <w:rsid w:val="080E29F4"/>
    <w:rsid w:val="080E2A41"/>
    <w:rsid w:val="080E2A8C"/>
    <w:rsid w:val="080E2BA3"/>
    <w:rsid w:val="080E2CC1"/>
    <w:rsid w:val="080E2DBF"/>
    <w:rsid w:val="080E2E62"/>
    <w:rsid w:val="080E2E6D"/>
    <w:rsid w:val="080E2EAF"/>
    <w:rsid w:val="080E2EE9"/>
    <w:rsid w:val="080E2EF2"/>
    <w:rsid w:val="080E302E"/>
    <w:rsid w:val="080E3096"/>
    <w:rsid w:val="080E31D8"/>
    <w:rsid w:val="080E31E7"/>
    <w:rsid w:val="080E3229"/>
    <w:rsid w:val="080E3272"/>
    <w:rsid w:val="080E329B"/>
    <w:rsid w:val="080E32A7"/>
    <w:rsid w:val="080E3387"/>
    <w:rsid w:val="080E338E"/>
    <w:rsid w:val="080E33EB"/>
    <w:rsid w:val="080E343C"/>
    <w:rsid w:val="080E3473"/>
    <w:rsid w:val="080E34DC"/>
    <w:rsid w:val="080E3552"/>
    <w:rsid w:val="080E3687"/>
    <w:rsid w:val="080E36A5"/>
    <w:rsid w:val="080E373A"/>
    <w:rsid w:val="080E375B"/>
    <w:rsid w:val="080E3800"/>
    <w:rsid w:val="080E396D"/>
    <w:rsid w:val="080E3A40"/>
    <w:rsid w:val="080E3AA8"/>
    <w:rsid w:val="080E3AD9"/>
    <w:rsid w:val="080E3B0A"/>
    <w:rsid w:val="080E3B48"/>
    <w:rsid w:val="080E3B4F"/>
    <w:rsid w:val="080E3B56"/>
    <w:rsid w:val="080E3BB5"/>
    <w:rsid w:val="080E3BD1"/>
    <w:rsid w:val="080E3BEA"/>
    <w:rsid w:val="080E3CF6"/>
    <w:rsid w:val="080E3D66"/>
    <w:rsid w:val="080E3DB7"/>
    <w:rsid w:val="080E3DF6"/>
    <w:rsid w:val="080E3EFF"/>
    <w:rsid w:val="080E3F44"/>
    <w:rsid w:val="080E3F9A"/>
    <w:rsid w:val="080E400A"/>
    <w:rsid w:val="080E400C"/>
    <w:rsid w:val="080E4023"/>
    <w:rsid w:val="080E4151"/>
    <w:rsid w:val="080E416C"/>
    <w:rsid w:val="080E4240"/>
    <w:rsid w:val="080E451A"/>
    <w:rsid w:val="080E4565"/>
    <w:rsid w:val="080E4567"/>
    <w:rsid w:val="080E4570"/>
    <w:rsid w:val="080E45F5"/>
    <w:rsid w:val="080E460F"/>
    <w:rsid w:val="080E4620"/>
    <w:rsid w:val="080E4728"/>
    <w:rsid w:val="080E481D"/>
    <w:rsid w:val="080E482F"/>
    <w:rsid w:val="080E48EA"/>
    <w:rsid w:val="080E4948"/>
    <w:rsid w:val="080E497B"/>
    <w:rsid w:val="080E4B11"/>
    <w:rsid w:val="080E4B5C"/>
    <w:rsid w:val="080E4B98"/>
    <w:rsid w:val="080E4BB0"/>
    <w:rsid w:val="080E4BFF"/>
    <w:rsid w:val="080E4C72"/>
    <w:rsid w:val="080E4CB6"/>
    <w:rsid w:val="080E4D67"/>
    <w:rsid w:val="080E4E45"/>
    <w:rsid w:val="080E4E5F"/>
    <w:rsid w:val="080E4E8A"/>
    <w:rsid w:val="080E502E"/>
    <w:rsid w:val="080E511E"/>
    <w:rsid w:val="080E5230"/>
    <w:rsid w:val="080E523D"/>
    <w:rsid w:val="080E5270"/>
    <w:rsid w:val="080E52EA"/>
    <w:rsid w:val="080E5306"/>
    <w:rsid w:val="080E533E"/>
    <w:rsid w:val="080E537B"/>
    <w:rsid w:val="080E5389"/>
    <w:rsid w:val="080E53A8"/>
    <w:rsid w:val="080E53CB"/>
    <w:rsid w:val="080E53FE"/>
    <w:rsid w:val="080E54B4"/>
    <w:rsid w:val="080E54C7"/>
    <w:rsid w:val="080E5595"/>
    <w:rsid w:val="080E560A"/>
    <w:rsid w:val="080E5675"/>
    <w:rsid w:val="080E5681"/>
    <w:rsid w:val="080E5741"/>
    <w:rsid w:val="080E57C9"/>
    <w:rsid w:val="080E57D1"/>
    <w:rsid w:val="080E57FD"/>
    <w:rsid w:val="080E599D"/>
    <w:rsid w:val="080E5B08"/>
    <w:rsid w:val="080E5B11"/>
    <w:rsid w:val="080E5B37"/>
    <w:rsid w:val="080E5C00"/>
    <w:rsid w:val="080E5D2B"/>
    <w:rsid w:val="080E5D8B"/>
    <w:rsid w:val="080E5DCF"/>
    <w:rsid w:val="080E5EE8"/>
    <w:rsid w:val="080E5F09"/>
    <w:rsid w:val="080E5F3B"/>
    <w:rsid w:val="080E5FE3"/>
    <w:rsid w:val="080E6010"/>
    <w:rsid w:val="080E60EC"/>
    <w:rsid w:val="080E613C"/>
    <w:rsid w:val="080E6181"/>
    <w:rsid w:val="080E620F"/>
    <w:rsid w:val="080E6307"/>
    <w:rsid w:val="080E6323"/>
    <w:rsid w:val="080E6364"/>
    <w:rsid w:val="080E63A6"/>
    <w:rsid w:val="080E6428"/>
    <w:rsid w:val="080E667A"/>
    <w:rsid w:val="080E669C"/>
    <w:rsid w:val="080E66F9"/>
    <w:rsid w:val="080E6711"/>
    <w:rsid w:val="080E6740"/>
    <w:rsid w:val="080E6742"/>
    <w:rsid w:val="080E6890"/>
    <w:rsid w:val="080E68B0"/>
    <w:rsid w:val="080E68B9"/>
    <w:rsid w:val="080E68C1"/>
    <w:rsid w:val="080E6915"/>
    <w:rsid w:val="080E694F"/>
    <w:rsid w:val="080E69E9"/>
    <w:rsid w:val="080E69FA"/>
    <w:rsid w:val="080E6A23"/>
    <w:rsid w:val="080E6ABC"/>
    <w:rsid w:val="080E6B09"/>
    <w:rsid w:val="080E6B0D"/>
    <w:rsid w:val="080E6BA7"/>
    <w:rsid w:val="080E6BBE"/>
    <w:rsid w:val="080E6C16"/>
    <w:rsid w:val="080E6CFD"/>
    <w:rsid w:val="080E6D69"/>
    <w:rsid w:val="080E6DB8"/>
    <w:rsid w:val="080E6DCA"/>
    <w:rsid w:val="080E6E5C"/>
    <w:rsid w:val="080E6E70"/>
    <w:rsid w:val="080E6EEF"/>
    <w:rsid w:val="080E6F8E"/>
    <w:rsid w:val="080E6FC0"/>
    <w:rsid w:val="080E7089"/>
    <w:rsid w:val="080E709F"/>
    <w:rsid w:val="080E7107"/>
    <w:rsid w:val="080E710E"/>
    <w:rsid w:val="080E71C6"/>
    <w:rsid w:val="080E734D"/>
    <w:rsid w:val="080E7367"/>
    <w:rsid w:val="080E73DA"/>
    <w:rsid w:val="080E7416"/>
    <w:rsid w:val="080E7452"/>
    <w:rsid w:val="080E74E4"/>
    <w:rsid w:val="080E74F5"/>
    <w:rsid w:val="080E7508"/>
    <w:rsid w:val="080E754A"/>
    <w:rsid w:val="080E7551"/>
    <w:rsid w:val="080E7691"/>
    <w:rsid w:val="080E77B6"/>
    <w:rsid w:val="080E77F6"/>
    <w:rsid w:val="080E780B"/>
    <w:rsid w:val="080E7846"/>
    <w:rsid w:val="080E793B"/>
    <w:rsid w:val="080E793E"/>
    <w:rsid w:val="080E797B"/>
    <w:rsid w:val="080E79C0"/>
    <w:rsid w:val="080E79EC"/>
    <w:rsid w:val="080E7A16"/>
    <w:rsid w:val="080E7A44"/>
    <w:rsid w:val="080E7A68"/>
    <w:rsid w:val="080E7B07"/>
    <w:rsid w:val="080E7B0D"/>
    <w:rsid w:val="080E7B96"/>
    <w:rsid w:val="080E7BC8"/>
    <w:rsid w:val="080E7C44"/>
    <w:rsid w:val="080E7C4B"/>
    <w:rsid w:val="080E7C60"/>
    <w:rsid w:val="080E7DE6"/>
    <w:rsid w:val="080E7E2D"/>
    <w:rsid w:val="080E7E67"/>
    <w:rsid w:val="080E7EC3"/>
    <w:rsid w:val="080E7F28"/>
    <w:rsid w:val="080E7F4F"/>
    <w:rsid w:val="080E7FE7"/>
    <w:rsid w:val="080F009B"/>
    <w:rsid w:val="080F01AF"/>
    <w:rsid w:val="080F026F"/>
    <w:rsid w:val="080F029C"/>
    <w:rsid w:val="080F02A5"/>
    <w:rsid w:val="080F0321"/>
    <w:rsid w:val="080F040F"/>
    <w:rsid w:val="080F0447"/>
    <w:rsid w:val="080F04CD"/>
    <w:rsid w:val="080F05AB"/>
    <w:rsid w:val="080F05C4"/>
    <w:rsid w:val="080F05CE"/>
    <w:rsid w:val="080F061B"/>
    <w:rsid w:val="080F06DB"/>
    <w:rsid w:val="080F0701"/>
    <w:rsid w:val="080F07B6"/>
    <w:rsid w:val="080F0835"/>
    <w:rsid w:val="080F083A"/>
    <w:rsid w:val="080F0881"/>
    <w:rsid w:val="080F097B"/>
    <w:rsid w:val="080F0994"/>
    <w:rsid w:val="080F09EB"/>
    <w:rsid w:val="080F0A40"/>
    <w:rsid w:val="080F0A5C"/>
    <w:rsid w:val="080F0B88"/>
    <w:rsid w:val="080F0B89"/>
    <w:rsid w:val="080F0D2B"/>
    <w:rsid w:val="080F0DD2"/>
    <w:rsid w:val="080F0DD5"/>
    <w:rsid w:val="080F0DE2"/>
    <w:rsid w:val="080F0E2B"/>
    <w:rsid w:val="080F0EB7"/>
    <w:rsid w:val="080F0F48"/>
    <w:rsid w:val="080F1023"/>
    <w:rsid w:val="080F1191"/>
    <w:rsid w:val="080F11B2"/>
    <w:rsid w:val="080F11DA"/>
    <w:rsid w:val="080F11E6"/>
    <w:rsid w:val="080F11F2"/>
    <w:rsid w:val="080F1215"/>
    <w:rsid w:val="080F1326"/>
    <w:rsid w:val="080F143B"/>
    <w:rsid w:val="080F1493"/>
    <w:rsid w:val="080F14BD"/>
    <w:rsid w:val="080F1523"/>
    <w:rsid w:val="080F15E3"/>
    <w:rsid w:val="080F1607"/>
    <w:rsid w:val="080F1685"/>
    <w:rsid w:val="080F168C"/>
    <w:rsid w:val="080F1704"/>
    <w:rsid w:val="080F170E"/>
    <w:rsid w:val="080F1758"/>
    <w:rsid w:val="080F175F"/>
    <w:rsid w:val="080F178A"/>
    <w:rsid w:val="080F18E8"/>
    <w:rsid w:val="080F19D0"/>
    <w:rsid w:val="080F19FA"/>
    <w:rsid w:val="080F1A00"/>
    <w:rsid w:val="080F1B5A"/>
    <w:rsid w:val="080F1B89"/>
    <w:rsid w:val="080F1BD7"/>
    <w:rsid w:val="080F1DDD"/>
    <w:rsid w:val="080F1E83"/>
    <w:rsid w:val="080F1E85"/>
    <w:rsid w:val="080F1F03"/>
    <w:rsid w:val="080F2093"/>
    <w:rsid w:val="080F20BD"/>
    <w:rsid w:val="080F219B"/>
    <w:rsid w:val="080F21C1"/>
    <w:rsid w:val="080F228D"/>
    <w:rsid w:val="080F230C"/>
    <w:rsid w:val="080F239B"/>
    <w:rsid w:val="080F2408"/>
    <w:rsid w:val="080F243C"/>
    <w:rsid w:val="080F2443"/>
    <w:rsid w:val="080F2485"/>
    <w:rsid w:val="080F2497"/>
    <w:rsid w:val="080F24BD"/>
    <w:rsid w:val="080F24DE"/>
    <w:rsid w:val="080F250D"/>
    <w:rsid w:val="080F25B3"/>
    <w:rsid w:val="080F2687"/>
    <w:rsid w:val="080F2696"/>
    <w:rsid w:val="080F26A1"/>
    <w:rsid w:val="080F26A3"/>
    <w:rsid w:val="080F2712"/>
    <w:rsid w:val="080F2756"/>
    <w:rsid w:val="080F27AE"/>
    <w:rsid w:val="080F2868"/>
    <w:rsid w:val="080F28D5"/>
    <w:rsid w:val="080F293F"/>
    <w:rsid w:val="080F2964"/>
    <w:rsid w:val="080F29A0"/>
    <w:rsid w:val="080F2A5F"/>
    <w:rsid w:val="080F2B1C"/>
    <w:rsid w:val="080F2C35"/>
    <w:rsid w:val="080F2C84"/>
    <w:rsid w:val="080F2C85"/>
    <w:rsid w:val="080F2DAE"/>
    <w:rsid w:val="080F2E5B"/>
    <w:rsid w:val="080F2EAD"/>
    <w:rsid w:val="080F2EDB"/>
    <w:rsid w:val="080F2F27"/>
    <w:rsid w:val="080F307D"/>
    <w:rsid w:val="080F31DA"/>
    <w:rsid w:val="080F320B"/>
    <w:rsid w:val="080F3374"/>
    <w:rsid w:val="080F3404"/>
    <w:rsid w:val="080F345A"/>
    <w:rsid w:val="080F3488"/>
    <w:rsid w:val="080F348A"/>
    <w:rsid w:val="080F34B7"/>
    <w:rsid w:val="080F3601"/>
    <w:rsid w:val="080F360F"/>
    <w:rsid w:val="080F363E"/>
    <w:rsid w:val="080F3642"/>
    <w:rsid w:val="080F3674"/>
    <w:rsid w:val="080F3719"/>
    <w:rsid w:val="080F37C4"/>
    <w:rsid w:val="080F3802"/>
    <w:rsid w:val="080F383F"/>
    <w:rsid w:val="080F386C"/>
    <w:rsid w:val="080F3872"/>
    <w:rsid w:val="080F38A6"/>
    <w:rsid w:val="080F395C"/>
    <w:rsid w:val="080F39CD"/>
    <w:rsid w:val="080F39E3"/>
    <w:rsid w:val="080F3A15"/>
    <w:rsid w:val="080F3A4F"/>
    <w:rsid w:val="080F3A8B"/>
    <w:rsid w:val="080F3AB5"/>
    <w:rsid w:val="080F3ADF"/>
    <w:rsid w:val="080F3C2D"/>
    <w:rsid w:val="080F3C67"/>
    <w:rsid w:val="080F3CF6"/>
    <w:rsid w:val="080F3DF5"/>
    <w:rsid w:val="080F3E78"/>
    <w:rsid w:val="080F3F36"/>
    <w:rsid w:val="080F3F87"/>
    <w:rsid w:val="080F3F8E"/>
    <w:rsid w:val="080F40E6"/>
    <w:rsid w:val="080F4160"/>
    <w:rsid w:val="080F4174"/>
    <w:rsid w:val="080F41AF"/>
    <w:rsid w:val="080F41D9"/>
    <w:rsid w:val="080F42A2"/>
    <w:rsid w:val="080F43F1"/>
    <w:rsid w:val="080F4508"/>
    <w:rsid w:val="080F4565"/>
    <w:rsid w:val="080F45E2"/>
    <w:rsid w:val="080F4627"/>
    <w:rsid w:val="080F468E"/>
    <w:rsid w:val="080F47B5"/>
    <w:rsid w:val="080F47EA"/>
    <w:rsid w:val="080F4816"/>
    <w:rsid w:val="080F482B"/>
    <w:rsid w:val="080F4837"/>
    <w:rsid w:val="080F485D"/>
    <w:rsid w:val="080F4865"/>
    <w:rsid w:val="080F4872"/>
    <w:rsid w:val="080F48BF"/>
    <w:rsid w:val="080F493B"/>
    <w:rsid w:val="080F4AFB"/>
    <w:rsid w:val="080F4B08"/>
    <w:rsid w:val="080F4B41"/>
    <w:rsid w:val="080F4BB8"/>
    <w:rsid w:val="080F4BF4"/>
    <w:rsid w:val="080F4DAD"/>
    <w:rsid w:val="080F4DF1"/>
    <w:rsid w:val="080F4E19"/>
    <w:rsid w:val="080F4E84"/>
    <w:rsid w:val="080F5168"/>
    <w:rsid w:val="080F5175"/>
    <w:rsid w:val="080F5233"/>
    <w:rsid w:val="080F53EF"/>
    <w:rsid w:val="080F5490"/>
    <w:rsid w:val="080F54B2"/>
    <w:rsid w:val="080F55AC"/>
    <w:rsid w:val="080F55DF"/>
    <w:rsid w:val="080F57A8"/>
    <w:rsid w:val="080F580E"/>
    <w:rsid w:val="080F588A"/>
    <w:rsid w:val="080F5930"/>
    <w:rsid w:val="080F5968"/>
    <w:rsid w:val="080F5A05"/>
    <w:rsid w:val="080F5AF2"/>
    <w:rsid w:val="080F5B91"/>
    <w:rsid w:val="080F5BE4"/>
    <w:rsid w:val="080F5C88"/>
    <w:rsid w:val="080F5D14"/>
    <w:rsid w:val="080F5D6E"/>
    <w:rsid w:val="080F5DD5"/>
    <w:rsid w:val="080F5EA1"/>
    <w:rsid w:val="080F5EEC"/>
    <w:rsid w:val="080F5FC4"/>
    <w:rsid w:val="080F6023"/>
    <w:rsid w:val="080F60FC"/>
    <w:rsid w:val="080F610A"/>
    <w:rsid w:val="080F6144"/>
    <w:rsid w:val="080F6154"/>
    <w:rsid w:val="080F6171"/>
    <w:rsid w:val="080F61D5"/>
    <w:rsid w:val="080F624E"/>
    <w:rsid w:val="080F62D1"/>
    <w:rsid w:val="080F63B0"/>
    <w:rsid w:val="080F642E"/>
    <w:rsid w:val="080F6500"/>
    <w:rsid w:val="080F654A"/>
    <w:rsid w:val="080F6581"/>
    <w:rsid w:val="080F6651"/>
    <w:rsid w:val="080F6706"/>
    <w:rsid w:val="080F6726"/>
    <w:rsid w:val="080F6738"/>
    <w:rsid w:val="080F6791"/>
    <w:rsid w:val="080F67E5"/>
    <w:rsid w:val="080F684D"/>
    <w:rsid w:val="080F68D9"/>
    <w:rsid w:val="080F6939"/>
    <w:rsid w:val="080F694F"/>
    <w:rsid w:val="080F6A6C"/>
    <w:rsid w:val="080F6AF4"/>
    <w:rsid w:val="080F6AF9"/>
    <w:rsid w:val="080F6B21"/>
    <w:rsid w:val="080F6C53"/>
    <w:rsid w:val="080F6CF5"/>
    <w:rsid w:val="080F6DBA"/>
    <w:rsid w:val="080F6E45"/>
    <w:rsid w:val="080F6E54"/>
    <w:rsid w:val="080F6E59"/>
    <w:rsid w:val="080F6E72"/>
    <w:rsid w:val="080F6F38"/>
    <w:rsid w:val="080F6F98"/>
    <w:rsid w:val="080F701C"/>
    <w:rsid w:val="080F725F"/>
    <w:rsid w:val="080F72DA"/>
    <w:rsid w:val="080F7339"/>
    <w:rsid w:val="080F73D7"/>
    <w:rsid w:val="080F746A"/>
    <w:rsid w:val="080F7601"/>
    <w:rsid w:val="080F7671"/>
    <w:rsid w:val="080F7692"/>
    <w:rsid w:val="080F7700"/>
    <w:rsid w:val="080F7710"/>
    <w:rsid w:val="080F7727"/>
    <w:rsid w:val="080F7729"/>
    <w:rsid w:val="080F780E"/>
    <w:rsid w:val="080F783A"/>
    <w:rsid w:val="080F7872"/>
    <w:rsid w:val="080F78FF"/>
    <w:rsid w:val="080F7969"/>
    <w:rsid w:val="080F79DF"/>
    <w:rsid w:val="080F79E3"/>
    <w:rsid w:val="080F7A0A"/>
    <w:rsid w:val="080F7B78"/>
    <w:rsid w:val="080F7BDB"/>
    <w:rsid w:val="080F7C4F"/>
    <w:rsid w:val="080F7C80"/>
    <w:rsid w:val="080F7D3F"/>
    <w:rsid w:val="080F7D9E"/>
    <w:rsid w:val="080F7DE4"/>
    <w:rsid w:val="080F7E68"/>
    <w:rsid w:val="080F7E6E"/>
    <w:rsid w:val="080F7F3C"/>
    <w:rsid w:val="08100021"/>
    <w:rsid w:val="08100065"/>
    <w:rsid w:val="081000A3"/>
    <w:rsid w:val="081001AF"/>
    <w:rsid w:val="081001BC"/>
    <w:rsid w:val="08100239"/>
    <w:rsid w:val="0810037F"/>
    <w:rsid w:val="081003C4"/>
    <w:rsid w:val="081004C4"/>
    <w:rsid w:val="081004F6"/>
    <w:rsid w:val="08100524"/>
    <w:rsid w:val="08100570"/>
    <w:rsid w:val="081006B9"/>
    <w:rsid w:val="081006E0"/>
    <w:rsid w:val="081006E5"/>
    <w:rsid w:val="08100702"/>
    <w:rsid w:val="08100825"/>
    <w:rsid w:val="08100834"/>
    <w:rsid w:val="08100863"/>
    <w:rsid w:val="081008E4"/>
    <w:rsid w:val="08100937"/>
    <w:rsid w:val="0810094F"/>
    <w:rsid w:val="0810095E"/>
    <w:rsid w:val="08100967"/>
    <w:rsid w:val="08100971"/>
    <w:rsid w:val="08100A1F"/>
    <w:rsid w:val="08100A30"/>
    <w:rsid w:val="08100C0C"/>
    <w:rsid w:val="08100C3B"/>
    <w:rsid w:val="08100CCB"/>
    <w:rsid w:val="08100CED"/>
    <w:rsid w:val="08100CEF"/>
    <w:rsid w:val="08100D3B"/>
    <w:rsid w:val="08100DC3"/>
    <w:rsid w:val="08100E72"/>
    <w:rsid w:val="08100EA7"/>
    <w:rsid w:val="08100FA5"/>
    <w:rsid w:val="08100FC5"/>
    <w:rsid w:val="0810104B"/>
    <w:rsid w:val="08101132"/>
    <w:rsid w:val="08101151"/>
    <w:rsid w:val="081011B5"/>
    <w:rsid w:val="0810128A"/>
    <w:rsid w:val="081012E3"/>
    <w:rsid w:val="08101366"/>
    <w:rsid w:val="08101420"/>
    <w:rsid w:val="08101488"/>
    <w:rsid w:val="08101496"/>
    <w:rsid w:val="0810149F"/>
    <w:rsid w:val="08101509"/>
    <w:rsid w:val="0810153C"/>
    <w:rsid w:val="081015D5"/>
    <w:rsid w:val="08101673"/>
    <w:rsid w:val="081016F1"/>
    <w:rsid w:val="08101737"/>
    <w:rsid w:val="08101746"/>
    <w:rsid w:val="08101784"/>
    <w:rsid w:val="08101898"/>
    <w:rsid w:val="081018C3"/>
    <w:rsid w:val="08101948"/>
    <w:rsid w:val="081019FE"/>
    <w:rsid w:val="08101AEA"/>
    <w:rsid w:val="08101B3E"/>
    <w:rsid w:val="08101B77"/>
    <w:rsid w:val="08101BAE"/>
    <w:rsid w:val="08101D30"/>
    <w:rsid w:val="08101D7B"/>
    <w:rsid w:val="08101D7D"/>
    <w:rsid w:val="08101F6D"/>
    <w:rsid w:val="08101F7A"/>
    <w:rsid w:val="0810205E"/>
    <w:rsid w:val="081021BF"/>
    <w:rsid w:val="08102297"/>
    <w:rsid w:val="081022A2"/>
    <w:rsid w:val="08102302"/>
    <w:rsid w:val="08102492"/>
    <w:rsid w:val="081024A0"/>
    <w:rsid w:val="08102549"/>
    <w:rsid w:val="08102605"/>
    <w:rsid w:val="08102670"/>
    <w:rsid w:val="081027CB"/>
    <w:rsid w:val="08102859"/>
    <w:rsid w:val="081028C3"/>
    <w:rsid w:val="081028F5"/>
    <w:rsid w:val="0810290F"/>
    <w:rsid w:val="08102914"/>
    <w:rsid w:val="08102927"/>
    <w:rsid w:val="081029FD"/>
    <w:rsid w:val="08102A50"/>
    <w:rsid w:val="08102ADA"/>
    <w:rsid w:val="08102B19"/>
    <w:rsid w:val="08102CEE"/>
    <w:rsid w:val="08102DAD"/>
    <w:rsid w:val="08102E36"/>
    <w:rsid w:val="08102EC9"/>
    <w:rsid w:val="08102F01"/>
    <w:rsid w:val="08102F2F"/>
    <w:rsid w:val="08102F92"/>
    <w:rsid w:val="08103046"/>
    <w:rsid w:val="08103060"/>
    <w:rsid w:val="0810316F"/>
    <w:rsid w:val="081031BF"/>
    <w:rsid w:val="081031C3"/>
    <w:rsid w:val="08103243"/>
    <w:rsid w:val="08103249"/>
    <w:rsid w:val="08103279"/>
    <w:rsid w:val="0810327A"/>
    <w:rsid w:val="08103289"/>
    <w:rsid w:val="081033BE"/>
    <w:rsid w:val="081033E5"/>
    <w:rsid w:val="0810345C"/>
    <w:rsid w:val="081034FD"/>
    <w:rsid w:val="0810358B"/>
    <w:rsid w:val="081035C5"/>
    <w:rsid w:val="081035F9"/>
    <w:rsid w:val="081036CC"/>
    <w:rsid w:val="081036FC"/>
    <w:rsid w:val="0810378C"/>
    <w:rsid w:val="081037D7"/>
    <w:rsid w:val="08103815"/>
    <w:rsid w:val="0810386B"/>
    <w:rsid w:val="08103877"/>
    <w:rsid w:val="08103882"/>
    <w:rsid w:val="081038A5"/>
    <w:rsid w:val="08103909"/>
    <w:rsid w:val="08103917"/>
    <w:rsid w:val="08103A66"/>
    <w:rsid w:val="08103AEA"/>
    <w:rsid w:val="08103AEB"/>
    <w:rsid w:val="08103B5E"/>
    <w:rsid w:val="08103B71"/>
    <w:rsid w:val="08103BFB"/>
    <w:rsid w:val="08103C74"/>
    <w:rsid w:val="08103CE3"/>
    <w:rsid w:val="08103D24"/>
    <w:rsid w:val="08103D58"/>
    <w:rsid w:val="08103DB0"/>
    <w:rsid w:val="08103DEF"/>
    <w:rsid w:val="08103DF3"/>
    <w:rsid w:val="08103DF8"/>
    <w:rsid w:val="08103E0D"/>
    <w:rsid w:val="08103E52"/>
    <w:rsid w:val="08103EA0"/>
    <w:rsid w:val="08103FAC"/>
    <w:rsid w:val="08103FB8"/>
    <w:rsid w:val="08104008"/>
    <w:rsid w:val="0810407A"/>
    <w:rsid w:val="081040D5"/>
    <w:rsid w:val="0810413B"/>
    <w:rsid w:val="0810414F"/>
    <w:rsid w:val="08104182"/>
    <w:rsid w:val="0810420C"/>
    <w:rsid w:val="08104213"/>
    <w:rsid w:val="08104280"/>
    <w:rsid w:val="08104295"/>
    <w:rsid w:val="0810431D"/>
    <w:rsid w:val="08104383"/>
    <w:rsid w:val="081043F0"/>
    <w:rsid w:val="0810442E"/>
    <w:rsid w:val="081045A8"/>
    <w:rsid w:val="08104656"/>
    <w:rsid w:val="081047EE"/>
    <w:rsid w:val="0810487D"/>
    <w:rsid w:val="08104958"/>
    <w:rsid w:val="08104A11"/>
    <w:rsid w:val="08104A5C"/>
    <w:rsid w:val="08104BC6"/>
    <w:rsid w:val="08104C02"/>
    <w:rsid w:val="08104C1F"/>
    <w:rsid w:val="08104C3A"/>
    <w:rsid w:val="08104CE8"/>
    <w:rsid w:val="08104ECD"/>
    <w:rsid w:val="0810510D"/>
    <w:rsid w:val="08105157"/>
    <w:rsid w:val="081051AF"/>
    <w:rsid w:val="081051B4"/>
    <w:rsid w:val="081051D0"/>
    <w:rsid w:val="081052DA"/>
    <w:rsid w:val="081053D7"/>
    <w:rsid w:val="08105429"/>
    <w:rsid w:val="0810546B"/>
    <w:rsid w:val="0810549B"/>
    <w:rsid w:val="081054E8"/>
    <w:rsid w:val="08105506"/>
    <w:rsid w:val="08105525"/>
    <w:rsid w:val="08105530"/>
    <w:rsid w:val="08105565"/>
    <w:rsid w:val="08105619"/>
    <w:rsid w:val="081056FE"/>
    <w:rsid w:val="081057A0"/>
    <w:rsid w:val="081057B5"/>
    <w:rsid w:val="081057E4"/>
    <w:rsid w:val="081058A2"/>
    <w:rsid w:val="081058B6"/>
    <w:rsid w:val="081058C6"/>
    <w:rsid w:val="08105905"/>
    <w:rsid w:val="08105915"/>
    <w:rsid w:val="08105919"/>
    <w:rsid w:val="081059AC"/>
    <w:rsid w:val="08105A74"/>
    <w:rsid w:val="08105AE2"/>
    <w:rsid w:val="08105B02"/>
    <w:rsid w:val="08105B49"/>
    <w:rsid w:val="08105B76"/>
    <w:rsid w:val="08105C6A"/>
    <w:rsid w:val="08105CF4"/>
    <w:rsid w:val="08105D0E"/>
    <w:rsid w:val="08105D1B"/>
    <w:rsid w:val="08105D1F"/>
    <w:rsid w:val="08105D2B"/>
    <w:rsid w:val="08105D2D"/>
    <w:rsid w:val="08105F2F"/>
    <w:rsid w:val="08105F41"/>
    <w:rsid w:val="08105F77"/>
    <w:rsid w:val="08105FD6"/>
    <w:rsid w:val="08105FE0"/>
    <w:rsid w:val="08106074"/>
    <w:rsid w:val="08106084"/>
    <w:rsid w:val="081060F7"/>
    <w:rsid w:val="081061D8"/>
    <w:rsid w:val="081062AE"/>
    <w:rsid w:val="08106380"/>
    <w:rsid w:val="081063A4"/>
    <w:rsid w:val="081063F6"/>
    <w:rsid w:val="0810647E"/>
    <w:rsid w:val="081064E9"/>
    <w:rsid w:val="08106524"/>
    <w:rsid w:val="081065C2"/>
    <w:rsid w:val="081065C4"/>
    <w:rsid w:val="081066D2"/>
    <w:rsid w:val="081066F7"/>
    <w:rsid w:val="08106832"/>
    <w:rsid w:val="081068CC"/>
    <w:rsid w:val="081068CD"/>
    <w:rsid w:val="081068F0"/>
    <w:rsid w:val="08106917"/>
    <w:rsid w:val="0810691D"/>
    <w:rsid w:val="0810694D"/>
    <w:rsid w:val="08106957"/>
    <w:rsid w:val="081069DE"/>
    <w:rsid w:val="08106AB5"/>
    <w:rsid w:val="08106BA5"/>
    <w:rsid w:val="08106BB6"/>
    <w:rsid w:val="08106C52"/>
    <w:rsid w:val="08106C79"/>
    <w:rsid w:val="08106CE5"/>
    <w:rsid w:val="08106D03"/>
    <w:rsid w:val="08106D9E"/>
    <w:rsid w:val="08106DB4"/>
    <w:rsid w:val="08106DC9"/>
    <w:rsid w:val="08106DFA"/>
    <w:rsid w:val="08106E33"/>
    <w:rsid w:val="08106E75"/>
    <w:rsid w:val="08106E82"/>
    <w:rsid w:val="08106EC0"/>
    <w:rsid w:val="08106F06"/>
    <w:rsid w:val="08106F34"/>
    <w:rsid w:val="08106FC0"/>
    <w:rsid w:val="08107108"/>
    <w:rsid w:val="0810715C"/>
    <w:rsid w:val="081072A1"/>
    <w:rsid w:val="081072D5"/>
    <w:rsid w:val="08107318"/>
    <w:rsid w:val="081073D9"/>
    <w:rsid w:val="081073E6"/>
    <w:rsid w:val="08107414"/>
    <w:rsid w:val="0810744C"/>
    <w:rsid w:val="0810751B"/>
    <w:rsid w:val="08107550"/>
    <w:rsid w:val="08107556"/>
    <w:rsid w:val="0810756F"/>
    <w:rsid w:val="081075BD"/>
    <w:rsid w:val="081075C8"/>
    <w:rsid w:val="081075D5"/>
    <w:rsid w:val="08107627"/>
    <w:rsid w:val="08107671"/>
    <w:rsid w:val="081076B0"/>
    <w:rsid w:val="081076E5"/>
    <w:rsid w:val="0810785A"/>
    <w:rsid w:val="081078D7"/>
    <w:rsid w:val="081079BD"/>
    <w:rsid w:val="081079C5"/>
    <w:rsid w:val="08107AE1"/>
    <w:rsid w:val="08107AFE"/>
    <w:rsid w:val="08107B6F"/>
    <w:rsid w:val="08107C1F"/>
    <w:rsid w:val="08107E0B"/>
    <w:rsid w:val="08107E7E"/>
    <w:rsid w:val="08107E92"/>
    <w:rsid w:val="08107EA9"/>
    <w:rsid w:val="08107ED2"/>
    <w:rsid w:val="08107F0B"/>
    <w:rsid w:val="08107FA6"/>
    <w:rsid w:val="08107FDD"/>
    <w:rsid w:val="0811006C"/>
    <w:rsid w:val="08110079"/>
    <w:rsid w:val="081100F9"/>
    <w:rsid w:val="08110124"/>
    <w:rsid w:val="0811014E"/>
    <w:rsid w:val="08110262"/>
    <w:rsid w:val="08110281"/>
    <w:rsid w:val="08110285"/>
    <w:rsid w:val="08110399"/>
    <w:rsid w:val="081103C3"/>
    <w:rsid w:val="081103E1"/>
    <w:rsid w:val="0811042B"/>
    <w:rsid w:val="08110434"/>
    <w:rsid w:val="0811048A"/>
    <w:rsid w:val="08110558"/>
    <w:rsid w:val="08110687"/>
    <w:rsid w:val="081106B0"/>
    <w:rsid w:val="081106BC"/>
    <w:rsid w:val="08110795"/>
    <w:rsid w:val="081107D6"/>
    <w:rsid w:val="081107F7"/>
    <w:rsid w:val="081108F8"/>
    <w:rsid w:val="081109A7"/>
    <w:rsid w:val="081109AA"/>
    <w:rsid w:val="08110B43"/>
    <w:rsid w:val="08110C60"/>
    <w:rsid w:val="08110C95"/>
    <w:rsid w:val="08110CA6"/>
    <w:rsid w:val="08110D01"/>
    <w:rsid w:val="08110D79"/>
    <w:rsid w:val="08110DB8"/>
    <w:rsid w:val="08110E7D"/>
    <w:rsid w:val="08110EB4"/>
    <w:rsid w:val="08110EC7"/>
    <w:rsid w:val="08110F53"/>
    <w:rsid w:val="08110FB3"/>
    <w:rsid w:val="08110FBD"/>
    <w:rsid w:val="0811116E"/>
    <w:rsid w:val="08111219"/>
    <w:rsid w:val="08111240"/>
    <w:rsid w:val="0811124D"/>
    <w:rsid w:val="08111301"/>
    <w:rsid w:val="0811136D"/>
    <w:rsid w:val="08111438"/>
    <w:rsid w:val="08111439"/>
    <w:rsid w:val="0811154B"/>
    <w:rsid w:val="08111618"/>
    <w:rsid w:val="0811163E"/>
    <w:rsid w:val="0811164D"/>
    <w:rsid w:val="081116C8"/>
    <w:rsid w:val="081116D5"/>
    <w:rsid w:val="0811171A"/>
    <w:rsid w:val="0811172F"/>
    <w:rsid w:val="081117BA"/>
    <w:rsid w:val="081118A4"/>
    <w:rsid w:val="081118C7"/>
    <w:rsid w:val="08111952"/>
    <w:rsid w:val="081119EC"/>
    <w:rsid w:val="08111A3B"/>
    <w:rsid w:val="08111A52"/>
    <w:rsid w:val="08111A57"/>
    <w:rsid w:val="08111B6F"/>
    <w:rsid w:val="08111C62"/>
    <w:rsid w:val="08111C81"/>
    <w:rsid w:val="08111C89"/>
    <w:rsid w:val="08111C95"/>
    <w:rsid w:val="08111D72"/>
    <w:rsid w:val="08111D7E"/>
    <w:rsid w:val="08111E61"/>
    <w:rsid w:val="08111EA6"/>
    <w:rsid w:val="08111EA7"/>
    <w:rsid w:val="08111EB5"/>
    <w:rsid w:val="08111F31"/>
    <w:rsid w:val="08111F73"/>
    <w:rsid w:val="08111F8A"/>
    <w:rsid w:val="08112104"/>
    <w:rsid w:val="08112113"/>
    <w:rsid w:val="08112139"/>
    <w:rsid w:val="08112267"/>
    <w:rsid w:val="081122B4"/>
    <w:rsid w:val="081122FF"/>
    <w:rsid w:val="0811230F"/>
    <w:rsid w:val="0811247A"/>
    <w:rsid w:val="08112491"/>
    <w:rsid w:val="081124B3"/>
    <w:rsid w:val="08112544"/>
    <w:rsid w:val="081126AC"/>
    <w:rsid w:val="08112745"/>
    <w:rsid w:val="08112754"/>
    <w:rsid w:val="08112776"/>
    <w:rsid w:val="0811278B"/>
    <w:rsid w:val="081128DC"/>
    <w:rsid w:val="0811290A"/>
    <w:rsid w:val="08112976"/>
    <w:rsid w:val="08112977"/>
    <w:rsid w:val="08112A53"/>
    <w:rsid w:val="08112A54"/>
    <w:rsid w:val="08112AE9"/>
    <w:rsid w:val="08112BA9"/>
    <w:rsid w:val="08112BBF"/>
    <w:rsid w:val="08112BCB"/>
    <w:rsid w:val="08112C24"/>
    <w:rsid w:val="08112C30"/>
    <w:rsid w:val="08112D9D"/>
    <w:rsid w:val="08112DB2"/>
    <w:rsid w:val="08112E83"/>
    <w:rsid w:val="08112EA6"/>
    <w:rsid w:val="08112F22"/>
    <w:rsid w:val="08112F6E"/>
    <w:rsid w:val="08112FD6"/>
    <w:rsid w:val="08112FF3"/>
    <w:rsid w:val="081130B9"/>
    <w:rsid w:val="08113247"/>
    <w:rsid w:val="081132E2"/>
    <w:rsid w:val="081133E7"/>
    <w:rsid w:val="081134D8"/>
    <w:rsid w:val="08113622"/>
    <w:rsid w:val="0811378D"/>
    <w:rsid w:val="081137B4"/>
    <w:rsid w:val="081138C2"/>
    <w:rsid w:val="08113903"/>
    <w:rsid w:val="08113941"/>
    <w:rsid w:val="08113A75"/>
    <w:rsid w:val="08113A9D"/>
    <w:rsid w:val="08113B5A"/>
    <w:rsid w:val="08113B81"/>
    <w:rsid w:val="08113BAC"/>
    <w:rsid w:val="08113C56"/>
    <w:rsid w:val="08113C8C"/>
    <w:rsid w:val="08113CE3"/>
    <w:rsid w:val="08113CFC"/>
    <w:rsid w:val="08113D52"/>
    <w:rsid w:val="08113E38"/>
    <w:rsid w:val="08113EBD"/>
    <w:rsid w:val="08113EFA"/>
    <w:rsid w:val="08113F01"/>
    <w:rsid w:val="08113F57"/>
    <w:rsid w:val="0811400B"/>
    <w:rsid w:val="0811400C"/>
    <w:rsid w:val="08114041"/>
    <w:rsid w:val="081140FC"/>
    <w:rsid w:val="0811427F"/>
    <w:rsid w:val="08114281"/>
    <w:rsid w:val="0811428E"/>
    <w:rsid w:val="08114312"/>
    <w:rsid w:val="08114320"/>
    <w:rsid w:val="08114325"/>
    <w:rsid w:val="081143A4"/>
    <w:rsid w:val="081143CA"/>
    <w:rsid w:val="0811446B"/>
    <w:rsid w:val="081144CB"/>
    <w:rsid w:val="08114513"/>
    <w:rsid w:val="08114538"/>
    <w:rsid w:val="08114573"/>
    <w:rsid w:val="0811465F"/>
    <w:rsid w:val="081146CC"/>
    <w:rsid w:val="081146DA"/>
    <w:rsid w:val="08114759"/>
    <w:rsid w:val="0811477C"/>
    <w:rsid w:val="081147A6"/>
    <w:rsid w:val="0811489C"/>
    <w:rsid w:val="0811491C"/>
    <w:rsid w:val="08114A27"/>
    <w:rsid w:val="08114A74"/>
    <w:rsid w:val="08114AE2"/>
    <w:rsid w:val="08114B84"/>
    <w:rsid w:val="08114B9F"/>
    <w:rsid w:val="08114C45"/>
    <w:rsid w:val="08114D27"/>
    <w:rsid w:val="08114F98"/>
    <w:rsid w:val="08114F99"/>
    <w:rsid w:val="081150CD"/>
    <w:rsid w:val="081150F3"/>
    <w:rsid w:val="08115149"/>
    <w:rsid w:val="0811516C"/>
    <w:rsid w:val="0811517C"/>
    <w:rsid w:val="0811519D"/>
    <w:rsid w:val="0811519E"/>
    <w:rsid w:val="081151A5"/>
    <w:rsid w:val="0811524C"/>
    <w:rsid w:val="081152DB"/>
    <w:rsid w:val="08115312"/>
    <w:rsid w:val="08115320"/>
    <w:rsid w:val="0811533C"/>
    <w:rsid w:val="0811536D"/>
    <w:rsid w:val="081153D3"/>
    <w:rsid w:val="0811540B"/>
    <w:rsid w:val="08115422"/>
    <w:rsid w:val="0811552D"/>
    <w:rsid w:val="08115562"/>
    <w:rsid w:val="081155A5"/>
    <w:rsid w:val="0811563E"/>
    <w:rsid w:val="0811565B"/>
    <w:rsid w:val="0811566E"/>
    <w:rsid w:val="08115684"/>
    <w:rsid w:val="08115687"/>
    <w:rsid w:val="081156AD"/>
    <w:rsid w:val="08115768"/>
    <w:rsid w:val="0811579C"/>
    <w:rsid w:val="08115840"/>
    <w:rsid w:val="08115868"/>
    <w:rsid w:val="081159F8"/>
    <w:rsid w:val="08115A7A"/>
    <w:rsid w:val="08115B3B"/>
    <w:rsid w:val="08115B57"/>
    <w:rsid w:val="08115B73"/>
    <w:rsid w:val="08115BE7"/>
    <w:rsid w:val="08115C8B"/>
    <w:rsid w:val="08115D08"/>
    <w:rsid w:val="08115D7E"/>
    <w:rsid w:val="08115DD4"/>
    <w:rsid w:val="08115E2D"/>
    <w:rsid w:val="08115EB7"/>
    <w:rsid w:val="08115EE6"/>
    <w:rsid w:val="081160D5"/>
    <w:rsid w:val="0811610C"/>
    <w:rsid w:val="08116139"/>
    <w:rsid w:val="081161A3"/>
    <w:rsid w:val="081161B3"/>
    <w:rsid w:val="081161B5"/>
    <w:rsid w:val="08116209"/>
    <w:rsid w:val="08116214"/>
    <w:rsid w:val="081162A2"/>
    <w:rsid w:val="081162D9"/>
    <w:rsid w:val="081162E4"/>
    <w:rsid w:val="08116320"/>
    <w:rsid w:val="081164D4"/>
    <w:rsid w:val="08116566"/>
    <w:rsid w:val="08116589"/>
    <w:rsid w:val="081165C3"/>
    <w:rsid w:val="0811666E"/>
    <w:rsid w:val="081166BB"/>
    <w:rsid w:val="081166D5"/>
    <w:rsid w:val="0811670E"/>
    <w:rsid w:val="0811675B"/>
    <w:rsid w:val="08116762"/>
    <w:rsid w:val="08116898"/>
    <w:rsid w:val="081168F0"/>
    <w:rsid w:val="081168FD"/>
    <w:rsid w:val="08116983"/>
    <w:rsid w:val="081169B4"/>
    <w:rsid w:val="08116A09"/>
    <w:rsid w:val="08116A1F"/>
    <w:rsid w:val="08116A44"/>
    <w:rsid w:val="08116A9C"/>
    <w:rsid w:val="08116AB3"/>
    <w:rsid w:val="08116B43"/>
    <w:rsid w:val="08116B51"/>
    <w:rsid w:val="08116BF5"/>
    <w:rsid w:val="08116C29"/>
    <w:rsid w:val="08116CAA"/>
    <w:rsid w:val="08116CFE"/>
    <w:rsid w:val="08116D8C"/>
    <w:rsid w:val="08116D99"/>
    <w:rsid w:val="08116E00"/>
    <w:rsid w:val="08116E1E"/>
    <w:rsid w:val="08116E5D"/>
    <w:rsid w:val="08116F82"/>
    <w:rsid w:val="08116FA2"/>
    <w:rsid w:val="08117030"/>
    <w:rsid w:val="08117095"/>
    <w:rsid w:val="08117107"/>
    <w:rsid w:val="0811719F"/>
    <w:rsid w:val="081171A4"/>
    <w:rsid w:val="081171DE"/>
    <w:rsid w:val="081172C9"/>
    <w:rsid w:val="0811734A"/>
    <w:rsid w:val="0811735E"/>
    <w:rsid w:val="081173DF"/>
    <w:rsid w:val="08117498"/>
    <w:rsid w:val="08117547"/>
    <w:rsid w:val="081176CA"/>
    <w:rsid w:val="081176E2"/>
    <w:rsid w:val="0811772B"/>
    <w:rsid w:val="081177EE"/>
    <w:rsid w:val="08117818"/>
    <w:rsid w:val="08117AF4"/>
    <w:rsid w:val="08117BF8"/>
    <w:rsid w:val="08117C1A"/>
    <w:rsid w:val="08117C6E"/>
    <w:rsid w:val="08117C98"/>
    <w:rsid w:val="08117D8A"/>
    <w:rsid w:val="08117DE4"/>
    <w:rsid w:val="08117E07"/>
    <w:rsid w:val="08117E45"/>
    <w:rsid w:val="08117F79"/>
    <w:rsid w:val="08117F8D"/>
    <w:rsid w:val="08117FA1"/>
    <w:rsid w:val="08117FEC"/>
    <w:rsid w:val="08120001"/>
    <w:rsid w:val="08120039"/>
    <w:rsid w:val="0812007B"/>
    <w:rsid w:val="081200D1"/>
    <w:rsid w:val="081200EF"/>
    <w:rsid w:val="0812029E"/>
    <w:rsid w:val="08120322"/>
    <w:rsid w:val="08120348"/>
    <w:rsid w:val="0812038F"/>
    <w:rsid w:val="081203F5"/>
    <w:rsid w:val="081204B0"/>
    <w:rsid w:val="08120533"/>
    <w:rsid w:val="08120570"/>
    <w:rsid w:val="08120620"/>
    <w:rsid w:val="081206F7"/>
    <w:rsid w:val="0812075C"/>
    <w:rsid w:val="08120817"/>
    <w:rsid w:val="08120962"/>
    <w:rsid w:val="08120997"/>
    <w:rsid w:val="08120AA1"/>
    <w:rsid w:val="08120AC1"/>
    <w:rsid w:val="08120B43"/>
    <w:rsid w:val="08120B98"/>
    <w:rsid w:val="08120C26"/>
    <w:rsid w:val="08120C85"/>
    <w:rsid w:val="08120CBD"/>
    <w:rsid w:val="08120CC7"/>
    <w:rsid w:val="08120CC8"/>
    <w:rsid w:val="08120CCC"/>
    <w:rsid w:val="08120E9C"/>
    <w:rsid w:val="08120E9F"/>
    <w:rsid w:val="08120EA2"/>
    <w:rsid w:val="08120F04"/>
    <w:rsid w:val="08120F53"/>
    <w:rsid w:val="08120F73"/>
    <w:rsid w:val="08120F77"/>
    <w:rsid w:val="08121001"/>
    <w:rsid w:val="08121025"/>
    <w:rsid w:val="08121039"/>
    <w:rsid w:val="08121050"/>
    <w:rsid w:val="08121060"/>
    <w:rsid w:val="08121158"/>
    <w:rsid w:val="0812119C"/>
    <w:rsid w:val="081211FF"/>
    <w:rsid w:val="0812122D"/>
    <w:rsid w:val="0812140B"/>
    <w:rsid w:val="08121543"/>
    <w:rsid w:val="081216D9"/>
    <w:rsid w:val="081217FD"/>
    <w:rsid w:val="08121861"/>
    <w:rsid w:val="0812190B"/>
    <w:rsid w:val="08121947"/>
    <w:rsid w:val="08121A30"/>
    <w:rsid w:val="08121B7D"/>
    <w:rsid w:val="08121BCD"/>
    <w:rsid w:val="08121D81"/>
    <w:rsid w:val="08121DA3"/>
    <w:rsid w:val="08121E1D"/>
    <w:rsid w:val="08121EF1"/>
    <w:rsid w:val="08121F47"/>
    <w:rsid w:val="08121F51"/>
    <w:rsid w:val="08121F7A"/>
    <w:rsid w:val="08121FAA"/>
    <w:rsid w:val="08121FC6"/>
    <w:rsid w:val="08121FDA"/>
    <w:rsid w:val="081220F1"/>
    <w:rsid w:val="081220F8"/>
    <w:rsid w:val="0812215A"/>
    <w:rsid w:val="08122178"/>
    <w:rsid w:val="081221AB"/>
    <w:rsid w:val="081221AF"/>
    <w:rsid w:val="08122244"/>
    <w:rsid w:val="0812231F"/>
    <w:rsid w:val="08122325"/>
    <w:rsid w:val="08122367"/>
    <w:rsid w:val="081223B0"/>
    <w:rsid w:val="08122444"/>
    <w:rsid w:val="0812254A"/>
    <w:rsid w:val="08122563"/>
    <w:rsid w:val="081225F6"/>
    <w:rsid w:val="081227A4"/>
    <w:rsid w:val="081227E0"/>
    <w:rsid w:val="081227EB"/>
    <w:rsid w:val="081228A7"/>
    <w:rsid w:val="081228C8"/>
    <w:rsid w:val="0812294A"/>
    <w:rsid w:val="08122A90"/>
    <w:rsid w:val="08122ADB"/>
    <w:rsid w:val="08122B41"/>
    <w:rsid w:val="08122B80"/>
    <w:rsid w:val="08122B9F"/>
    <w:rsid w:val="08122BA2"/>
    <w:rsid w:val="08122BBF"/>
    <w:rsid w:val="08122BFB"/>
    <w:rsid w:val="08122C04"/>
    <w:rsid w:val="08122C2B"/>
    <w:rsid w:val="08122CC8"/>
    <w:rsid w:val="08122D15"/>
    <w:rsid w:val="08122D8A"/>
    <w:rsid w:val="08122E08"/>
    <w:rsid w:val="08122F51"/>
    <w:rsid w:val="08122FF9"/>
    <w:rsid w:val="0812305C"/>
    <w:rsid w:val="081230A4"/>
    <w:rsid w:val="081230E1"/>
    <w:rsid w:val="0812311F"/>
    <w:rsid w:val="08123198"/>
    <w:rsid w:val="081231C5"/>
    <w:rsid w:val="0812321D"/>
    <w:rsid w:val="081232B8"/>
    <w:rsid w:val="081232F4"/>
    <w:rsid w:val="081233AA"/>
    <w:rsid w:val="08123409"/>
    <w:rsid w:val="0812349F"/>
    <w:rsid w:val="081234B1"/>
    <w:rsid w:val="081234DE"/>
    <w:rsid w:val="081235EF"/>
    <w:rsid w:val="08123607"/>
    <w:rsid w:val="081237CF"/>
    <w:rsid w:val="08123806"/>
    <w:rsid w:val="08123819"/>
    <w:rsid w:val="08123835"/>
    <w:rsid w:val="08123AB1"/>
    <w:rsid w:val="08123AFF"/>
    <w:rsid w:val="08123CCB"/>
    <w:rsid w:val="08123E27"/>
    <w:rsid w:val="08123E6E"/>
    <w:rsid w:val="08123ECA"/>
    <w:rsid w:val="08123ED1"/>
    <w:rsid w:val="08123F06"/>
    <w:rsid w:val="08123FFB"/>
    <w:rsid w:val="081240BD"/>
    <w:rsid w:val="081240F8"/>
    <w:rsid w:val="08124133"/>
    <w:rsid w:val="0812418C"/>
    <w:rsid w:val="08124270"/>
    <w:rsid w:val="081242FC"/>
    <w:rsid w:val="08124315"/>
    <w:rsid w:val="0812441F"/>
    <w:rsid w:val="08124528"/>
    <w:rsid w:val="08124549"/>
    <w:rsid w:val="081245AF"/>
    <w:rsid w:val="0812460D"/>
    <w:rsid w:val="08124622"/>
    <w:rsid w:val="0812463C"/>
    <w:rsid w:val="081246C0"/>
    <w:rsid w:val="08124806"/>
    <w:rsid w:val="08124875"/>
    <w:rsid w:val="081248B7"/>
    <w:rsid w:val="081248DE"/>
    <w:rsid w:val="081249A8"/>
    <w:rsid w:val="081249E0"/>
    <w:rsid w:val="08124A54"/>
    <w:rsid w:val="08124ADF"/>
    <w:rsid w:val="08124B92"/>
    <w:rsid w:val="08124C16"/>
    <w:rsid w:val="08124C82"/>
    <w:rsid w:val="08124D0F"/>
    <w:rsid w:val="08124D5A"/>
    <w:rsid w:val="08124D78"/>
    <w:rsid w:val="08124DE8"/>
    <w:rsid w:val="08124E0B"/>
    <w:rsid w:val="08124EB1"/>
    <w:rsid w:val="08124F03"/>
    <w:rsid w:val="08124FB0"/>
    <w:rsid w:val="08124FD1"/>
    <w:rsid w:val="08125000"/>
    <w:rsid w:val="0812507F"/>
    <w:rsid w:val="081250BA"/>
    <w:rsid w:val="081251C7"/>
    <w:rsid w:val="081251CA"/>
    <w:rsid w:val="08125243"/>
    <w:rsid w:val="08125373"/>
    <w:rsid w:val="08125392"/>
    <w:rsid w:val="081253F2"/>
    <w:rsid w:val="081254F5"/>
    <w:rsid w:val="0812565A"/>
    <w:rsid w:val="08125760"/>
    <w:rsid w:val="08125845"/>
    <w:rsid w:val="08125874"/>
    <w:rsid w:val="0812587F"/>
    <w:rsid w:val="081258C0"/>
    <w:rsid w:val="081258E6"/>
    <w:rsid w:val="08125988"/>
    <w:rsid w:val="08125A59"/>
    <w:rsid w:val="08125A77"/>
    <w:rsid w:val="08125B47"/>
    <w:rsid w:val="08125BE4"/>
    <w:rsid w:val="08125BE5"/>
    <w:rsid w:val="08125BEC"/>
    <w:rsid w:val="08125DB1"/>
    <w:rsid w:val="08125DED"/>
    <w:rsid w:val="08125E4F"/>
    <w:rsid w:val="08125E86"/>
    <w:rsid w:val="08125ED7"/>
    <w:rsid w:val="08125EFA"/>
    <w:rsid w:val="08125F6D"/>
    <w:rsid w:val="08126003"/>
    <w:rsid w:val="08126043"/>
    <w:rsid w:val="08126066"/>
    <w:rsid w:val="08126099"/>
    <w:rsid w:val="081260A7"/>
    <w:rsid w:val="081262B3"/>
    <w:rsid w:val="081262F3"/>
    <w:rsid w:val="08126398"/>
    <w:rsid w:val="081263A3"/>
    <w:rsid w:val="081263E8"/>
    <w:rsid w:val="0812641F"/>
    <w:rsid w:val="08126466"/>
    <w:rsid w:val="0812655B"/>
    <w:rsid w:val="08126674"/>
    <w:rsid w:val="0812667F"/>
    <w:rsid w:val="08126751"/>
    <w:rsid w:val="0812678F"/>
    <w:rsid w:val="0812679D"/>
    <w:rsid w:val="08126884"/>
    <w:rsid w:val="08126955"/>
    <w:rsid w:val="08126999"/>
    <w:rsid w:val="081269E6"/>
    <w:rsid w:val="08126B37"/>
    <w:rsid w:val="08126BDD"/>
    <w:rsid w:val="08126BE1"/>
    <w:rsid w:val="08126C15"/>
    <w:rsid w:val="08126CAD"/>
    <w:rsid w:val="08126D0A"/>
    <w:rsid w:val="08126D14"/>
    <w:rsid w:val="08126D2A"/>
    <w:rsid w:val="08126D2B"/>
    <w:rsid w:val="08126E18"/>
    <w:rsid w:val="08126E95"/>
    <w:rsid w:val="08126EB4"/>
    <w:rsid w:val="08126F17"/>
    <w:rsid w:val="08126F20"/>
    <w:rsid w:val="08126F98"/>
    <w:rsid w:val="08126FB5"/>
    <w:rsid w:val="0812706E"/>
    <w:rsid w:val="08127096"/>
    <w:rsid w:val="08127154"/>
    <w:rsid w:val="081271A3"/>
    <w:rsid w:val="0812744A"/>
    <w:rsid w:val="08127570"/>
    <w:rsid w:val="08127582"/>
    <w:rsid w:val="081275A2"/>
    <w:rsid w:val="081275A7"/>
    <w:rsid w:val="081275D4"/>
    <w:rsid w:val="081275E3"/>
    <w:rsid w:val="08127711"/>
    <w:rsid w:val="08127794"/>
    <w:rsid w:val="081277A2"/>
    <w:rsid w:val="0812783F"/>
    <w:rsid w:val="08127887"/>
    <w:rsid w:val="0812790D"/>
    <w:rsid w:val="081279EC"/>
    <w:rsid w:val="081279F1"/>
    <w:rsid w:val="081279F2"/>
    <w:rsid w:val="08127A59"/>
    <w:rsid w:val="08127ABB"/>
    <w:rsid w:val="08127B3E"/>
    <w:rsid w:val="08127B59"/>
    <w:rsid w:val="08127C82"/>
    <w:rsid w:val="08127D39"/>
    <w:rsid w:val="08127D52"/>
    <w:rsid w:val="08127DBA"/>
    <w:rsid w:val="08127F13"/>
    <w:rsid w:val="08130063"/>
    <w:rsid w:val="08130109"/>
    <w:rsid w:val="08130179"/>
    <w:rsid w:val="08130267"/>
    <w:rsid w:val="08130286"/>
    <w:rsid w:val="0813035E"/>
    <w:rsid w:val="0813036C"/>
    <w:rsid w:val="081303E4"/>
    <w:rsid w:val="08130444"/>
    <w:rsid w:val="081304DA"/>
    <w:rsid w:val="081304EB"/>
    <w:rsid w:val="08130522"/>
    <w:rsid w:val="0813053A"/>
    <w:rsid w:val="081305F1"/>
    <w:rsid w:val="08130670"/>
    <w:rsid w:val="0813068E"/>
    <w:rsid w:val="081306BB"/>
    <w:rsid w:val="081306C4"/>
    <w:rsid w:val="081306C6"/>
    <w:rsid w:val="081306D1"/>
    <w:rsid w:val="0813079A"/>
    <w:rsid w:val="081307C0"/>
    <w:rsid w:val="08130955"/>
    <w:rsid w:val="081309E4"/>
    <w:rsid w:val="08130B22"/>
    <w:rsid w:val="08130BCF"/>
    <w:rsid w:val="08130C31"/>
    <w:rsid w:val="08130C4E"/>
    <w:rsid w:val="08130D35"/>
    <w:rsid w:val="08130D42"/>
    <w:rsid w:val="08130D8A"/>
    <w:rsid w:val="08130DA4"/>
    <w:rsid w:val="08130DF6"/>
    <w:rsid w:val="08130E18"/>
    <w:rsid w:val="08130F0E"/>
    <w:rsid w:val="08130F54"/>
    <w:rsid w:val="0813102B"/>
    <w:rsid w:val="0813103C"/>
    <w:rsid w:val="08131041"/>
    <w:rsid w:val="081310A4"/>
    <w:rsid w:val="081311EE"/>
    <w:rsid w:val="08131208"/>
    <w:rsid w:val="0813124F"/>
    <w:rsid w:val="08131346"/>
    <w:rsid w:val="08131347"/>
    <w:rsid w:val="0813138D"/>
    <w:rsid w:val="08131404"/>
    <w:rsid w:val="0813142C"/>
    <w:rsid w:val="0813142D"/>
    <w:rsid w:val="08131437"/>
    <w:rsid w:val="08131450"/>
    <w:rsid w:val="08131487"/>
    <w:rsid w:val="0813151F"/>
    <w:rsid w:val="08131595"/>
    <w:rsid w:val="08131622"/>
    <w:rsid w:val="08131661"/>
    <w:rsid w:val="08131696"/>
    <w:rsid w:val="081316F6"/>
    <w:rsid w:val="08131721"/>
    <w:rsid w:val="08131741"/>
    <w:rsid w:val="08131774"/>
    <w:rsid w:val="08131790"/>
    <w:rsid w:val="0813179E"/>
    <w:rsid w:val="0813182D"/>
    <w:rsid w:val="08131855"/>
    <w:rsid w:val="08131902"/>
    <w:rsid w:val="0813193C"/>
    <w:rsid w:val="081319F4"/>
    <w:rsid w:val="08131A93"/>
    <w:rsid w:val="08131BCC"/>
    <w:rsid w:val="08131C41"/>
    <w:rsid w:val="08131C57"/>
    <w:rsid w:val="08131C7E"/>
    <w:rsid w:val="08131CA3"/>
    <w:rsid w:val="08131CF5"/>
    <w:rsid w:val="08131E1D"/>
    <w:rsid w:val="08131E27"/>
    <w:rsid w:val="08131E70"/>
    <w:rsid w:val="08131F57"/>
    <w:rsid w:val="081320AB"/>
    <w:rsid w:val="081321F8"/>
    <w:rsid w:val="081322C1"/>
    <w:rsid w:val="0813231A"/>
    <w:rsid w:val="0813238A"/>
    <w:rsid w:val="0813239E"/>
    <w:rsid w:val="0813250E"/>
    <w:rsid w:val="08132525"/>
    <w:rsid w:val="08132594"/>
    <w:rsid w:val="081325C3"/>
    <w:rsid w:val="081325D5"/>
    <w:rsid w:val="081325FA"/>
    <w:rsid w:val="08132720"/>
    <w:rsid w:val="08132722"/>
    <w:rsid w:val="08132724"/>
    <w:rsid w:val="0813273F"/>
    <w:rsid w:val="0813275D"/>
    <w:rsid w:val="081327BC"/>
    <w:rsid w:val="0813286C"/>
    <w:rsid w:val="0813298B"/>
    <w:rsid w:val="081329EF"/>
    <w:rsid w:val="08132A0F"/>
    <w:rsid w:val="08132A35"/>
    <w:rsid w:val="08132AB7"/>
    <w:rsid w:val="08132ACB"/>
    <w:rsid w:val="08132B4C"/>
    <w:rsid w:val="08132C76"/>
    <w:rsid w:val="08132CAB"/>
    <w:rsid w:val="08132CB5"/>
    <w:rsid w:val="08132CD2"/>
    <w:rsid w:val="08132DB4"/>
    <w:rsid w:val="08132E0B"/>
    <w:rsid w:val="08132EEF"/>
    <w:rsid w:val="08132FDB"/>
    <w:rsid w:val="08132FF1"/>
    <w:rsid w:val="081330A2"/>
    <w:rsid w:val="08133216"/>
    <w:rsid w:val="081332F3"/>
    <w:rsid w:val="081333E7"/>
    <w:rsid w:val="0813340B"/>
    <w:rsid w:val="0813347F"/>
    <w:rsid w:val="08133483"/>
    <w:rsid w:val="08133486"/>
    <w:rsid w:val="081334AD"/>
    <w:rsid w:val="08133569"/>
    <w:rsid w:val="0813358E"/>
    <w:rsid w:val="081335E5"/>
    <w:rsid w:val="08133610"/>
    <w:rsid w:val="081336A4"/>
    <w:rsid w:val="0813375A"/>
    <w:rsid w:val="081337A7"/>
    <w:rsid w:val="081337D5"/>
    <w:rsid w:val="081338B2"/>
    <w:rsid w:val="081338D4"/>
    <w:rsid w:val="081338E3"/>
    <w:rsid w:val="08133908"/>
    <w:rsid w:val="08133924"/>
    <w:rsid w:val="081339CD"/>
    <w:rsid w:val="08133A07"/>
    <w:rsid w:val="08133AC8"/>
    <w:rsid w:val="08133B3F"/>
    <w:rsid w:val="08133B86"/>
    <w:rsid w:val="08133C02"/>
    <w:rsid w:val="08133C2B"/>
    <w:rsid w:val="08133CDC"/>
    <w:rsid w:val="08133E33"/>
    <w:rsid w:val="08133E99"/>
    <w:rsid w:val="08133EB9"/>
    <w:rsid w:val="08133FA0"/>
    <w:rsid w:val="08134075"/>
    <w:rsid w:val="0813411A"/>
    <w:rsid w:val="081341A9"/>
    <w:rsid w:val="08134255"/>
    <w:rsid w:val="0813429D"/>
    <w:rsid w:val="081342BA"/>
    <w:rsid w:val="081342E4"/>
    <w:rsid w:val="081342FD"/>
    <w:rsid w:val="081343A0"/>
    <w:rsid w:val="081343D4"/>
    <w:rsid w:val="08134471"/>
    <w:rsid w:val="0813449D"/>
    <w:rsid w:val="08134511"/>
    <w:rsid w:val="0813478B"/>
    <w:rsid w:val="081347F7"/>
    <w:rsid w:val="08134882"/>
    <w:rsid w:val="081348C2"/>
    <w:rsid w:val="081348F9"/>
    <w:rsid w:val="081349B9"/>
    <w:rsid w:val="081349D4"/>
    <w:rsid w:val="08134A1D"/>
    <w:rsid w:val="08134B08"/>
    <w:rsid w:val="08134B0A"/>
    <w:rsid w:val="08134B4B"/>
    <w:rsid w:val="08134B85"/>
    <w:rsid w:val="08134C05"/>
    <w:rsid w:val="08134DE5"/>
    <w:rsid w:val="08134DE6"/>
    <w:rsid w:val="08134E7C"/>
    <w:rsid w:val="08134F5A"/>
    <w:rsid w:val="08134FFC"/>
    <w:rsid w:val="081350B8"/>
    <w:rsid w:val="081350C7"/>
    <w:rsid w:val="0813536C"/>
    <w:rsid w:val="08135517"/>
    <w:rsid w:val="0813554F"/>
    <w:rsid w:val="0813558C"/>
    <w:rsid w:val="081355BE"/>
    <w:rsid w:val="0813567A"/>
    <w:rsid w:val="081356AE"/>
    <w:rsid w:val="081356DE"/>
    <w:rsid w:val="08135707"/>
    <w:rsid w:val="0813575E"/>
    <w:rsid w:val="08135763"/>
    <w:rsid w:val="081357A2"/>
    <w:rsid w:val="08135839"/>
    <w:rsid w:val="0813588C"/>
    <w:rsid w:val="081359AE"/>
    <w:rsid w:val="081359B3"/>
    <w:rsid w:val="08135A67"/>
    <w:rsid w:val="08135C8A"/>
    <w:rsid w:val="08135CD4"/>
    <w:rsid w:val="08135D9D"/>
    <w:rsid w:val="08135DAF"/>
    <w:rsid w:val="08135E18"/>
    <w:rsid w:val="08135E62"/>
    <w:rsid w:val="08135E7F"/>
    <w:rsid w:val="08135FC9"/>
    <w:rsid w:val="08135FFB"/>
    <w:rsid w:val="0813601A"/>
    <w:rsid w:val="08136078"/>
    <w:rsid w:val="081360BE"/>
    <w:rsid w:val="08136111"/>
    <w:rsid w:val="081361CD"/>
    <w:rsid w:val="08136264"/>
    <w:rsid w:val="08136333"/>
    <w:rsid w:val="0813636D"/>
    <w:rsid w:val="08136379"/>
    <w:rsid w:val="081363BA"/>
    <w:rsid w:val="081363C4"/>
    <w:rsid w:val="0813644F"/>
    <w:rsid w:val="08136464"/>
    <w:rsid w:val="08136476"/>
    <w:rsid w:val="08136496"/>
    <w:rsid w:val="081366CB"/>
    <w:rsid w:val="081366E4"/>
    <w:rsid w:val="08136762"/>
    <w:rsid w:val="08136785"/>
    <w:rsid w:val="08136800"/>
    <w:rsid w:val="0813683B"/>
    <w:rsid w:val="08136865"/>
    <w:rsid w:val="0813689D"/>
    <w:rsid w:val="081368BD"/>
    <w:rsid w:val="08136A45"/>
    <w:rsid w:val="08136A9D"/>
    <w:rsid w:val="08136AFA"/>
    <w:rsid w:val="08136AFC"/>
    <w:rsid w:val="08136C7D"/>
    <w:rsid w:val="08136CA3"/>
    <w:rsid w:val="08136CD0"/>
    <w:rsid w:val="08136CE4"/>
    <w:rsid w:val="08136D48"/>
    <w:rsid w:val="08136E60"/>
    <w:rsid w:val="08136E74"/>
    <w:rsid w:val="08136F30"/>
    <w:rsid w:val="08136FA9"/>
    <w:rsid w:val="08136FAC"/>
    <w:rsid w:val="08137093"/>
    <w:rsid w:val="081370D5"/>
    <w:rsid w:val="081370E0"/>
    <w:rsid w:val="08137247"/>
    <w:rsid w:val="081372AD"/>
    <w:rsid w:val="0813743D"/>
    <w:rsid w:val="08137463"/>
    <w:rsid w:val="08137512"/>
    <w:rsid w:val="0813752F"/>
    <w:rsid w:val="0813757C"/>
    <w:rsid w:val="081375A4"/>
    <w:rsid w:val="081375B8"/>
    <w:rsid w:val="081376A9"/>
    <w:rsid w:val="0813771C"/>
    <w:rsid w:val="08137740"/>
    <w:rsid w:val="0813783B"/>
    <w:rsid w:val="081378BE"/>
    <w:rsid w:val="0813794F"/>
    <w:rsid w:val="081379B0"/>
    <w:rsid w:val="081379BD"/>
    <w:rsid w:val="081379F8"/>
    <w:rsid w:val="08137A06"/>
    <w:rsid w:val="08137A17"/>
    <w:rsid w:val="08137ADD"/>
    <w:rsid w:val="08137B20"/>
    <w:rsid w:val="08137B79"/>
    <w:rsid w:val="08137B7C"/>
    <w:rsid w:val="08137B92"/>
    <w:rsid w:val="08137E6F"/>
    <w:rsid w:val="08137EC7"/>
    <w:rsid w:val="0814002E"/>
    <w:rsid w:val="0814003F"/>
    <w:rsid w:val="0814012A"/>
    <w:rsid w:val="08140136"/>
    <w:rsid w:val="0814028A"/>
    <w:rsid w:val="081402A8"/>
    <w:rsid w:val="081402DD"/>
    <w:rsid w:val="0814039D"/>
    <w:rsid w:val="081403FA"/>
    <w:rsid w:val="0814050C"/>
    <w:rsid w:val="08140544"/>
    <w:rsid w:val="081405A4"/>
    <w:rsid w:val="0814060D"/>
    <w:rsid w:val="0814060E"/>
    <w:rsid w:val="0814067B"/>
    <w:rsid w:val="081406C4"/>
    <w:rsid w:val="08140703"/>
    <w:rsid w:val="0814076E"/>
    <w:rsid w:val="08140775"/>
    <w:rsid w:val="0814087E"/>
    <w:rsid w:val="081408A3"/>
    <w:rsid w:val="081408E6"/>
    <w:rsid w:val="0814096C"/>
    <w:rsid w:val="081409AB"/>
    <w:rsid w:val="081409DB"/>
    <w:rsid w:val="081409DF"/>
    <w:rsid w:val="081409EE"/>
    <w:rsid w:val="08140AE2"/>
    <w:rsid w:val="08140AFC"/>
    <w:rsid w:val="08140B22"/>
    <w:rsid w:val="08140B7C"/>
    <w:rsid w:val="08140BCA"/>
    <w:rsid w:val="08140D4F"/>
    <w:rsid w:val="08140D7B"/>
    <w:rsid w:val="08140DB6"/>
    <w:rsid w:val="08140DEB"/>
    <w:rsid w:val="08140E46"/>
    <w:rsid w:val="08140EC1"/>
    <w:rsid w:val="08141016"/>
    <w:rsid w:val="0814110A"/>
    <w:rsid w:val="08141275"/>
    <w:rsid w:val="081412C0"/>
    <w:rsid w:val="081412F5"/>
    <w:rsid w:val="081413BE"/>
    <w:rsid w:val="0814143B"/>
    <w:rsid w:val="08141481"/>
    <w:rsid w:val="08141484"/>
    <w:rsid w:val="081414AE"/>
    <w:rsid w:val="081414FC"/>
    <w:rsid w:val="08141529"/>
    <w:rsid w:val="08141574"/>
    <w:rsid w:val="08141585"/>
    <w:rsid w:val="08141691"/>
    <w:rsid w:val="081416A3"/>
    <w:rsid w:val="0814176F"/>
    <w:rsid w:val="081417C5"/>
    <w:rsid w:val="08141855"/>
    <w:rsid w:val="081418A2"/>
    <w:rsid w:val="081418B8"/>
    <w:rsid w:val="08141967"/>
    <w:rsid w:val="08141A64"/>
    <w:rsid w:val="08141ABF"/>
    <w:rsid w:val="08141ADD"/>
    <w:rsid w:val="08141B17"/>
    <w:rsid w:val="08141B8F"/>
    <w:rsid w:val="08141B9D"/>
    <w:rsid w:val="08141C36"/>
    <w:rsid w:val="08141CB1"/>
    <w:rsid w:val="08141D66"/>
    <w:rsid w:val="08141E7E"/>
    <w:rsid w:val="08141F8E"/>
    <w:rsid w:val="08141FED"/>
    <w:rsid w:val="08142079"/>
    <w:rsid w:val="081420AD"/>
    <w:rsid w:val="08142102"/>
    <w:rsid w:val="08142173"/>
    <w:rsid w:val="081421F8"/>
    <w:rsid w:val="08142257"/>
    <w:rsid w:val="0814229A"/>
    <w:rsid w:val="0814230A"/>
    <w:rsid w:val="08142328"/>
    <w:rsid w:val="081424BF"/>
    <w:rsid w:val="081425A1"/>
    <w:rsid w:val="081425F2"/>
    <w:rsid w:val="08142640"/>
    <w:rsid w:val="08142668"/>
    <w:rsid w:val="081426D2"/>
    <w:rsid w:val="081426E3"/>
    <w:rsid w:val="081427DB"/>
    <w:rsid w:val="081427DC"/>
    <w:rsid w:val="08142831"/>
    <w:rsid w:val="081428EA"/>
    <w:rsid w:val="08142941"/>
    <w:rsid w:val="08142948"/>
    <w:rsid w:val="0814299E"/>
    <w:rsid w:val="081429B2"/>
    <w:rsid w:val="08142A01"/>
    <w:rsid w:val="08142A0D"/>
    <w:rsid w:val="08142A68"/>
    <w:rsid w:val="08142BA1"/>
    <w:rsid w:val="08142D1B"/>
    <w:rsid w:val="08142D6C"/>
    <w:rsid w:val="08142EAF"/>
    <w:rsid w:val="08142EC9"/>
    <w:rsid w:val="08142EE4"/>
    <w:rsid w:val="08142F19"/>
    <w:rsid w:val="08142F62"/>
    <w:rsid w:val="08142FA6"/>
    <w:rsid w:val="08142FDA"/>
    <w:rsid w:val="0814301E"/>
    <w:rsid w:val="08143029"/>
    <w:rsid w:val="08143058"/>
    <w:rsid w:val="081430BF"/>
    <w:rsid w:val="081430E1"/>
    <w:rsid w:val="0814314A"/>
    <w:rsid w:val="0814317D"/>
    <w:rsid w:val="08143319"/>
    <w:rsid w:val="08143427"/>
    <w:rsid w:val="081434CC"/>
    <w:rsid w:val="0814350F"/>
    <w:rsid w:val="08143575"/>
    <w:rsid w:val="081435DD"/>
    <w:rsid w:val="08143631"/>
    <w:rsid w:val="081436A3"/>
    <w:rsid w:val="081436DD"/>
    <w:rsid w:val="081436E7"/>
    <w:rsid w:val="0814372F"/>
    <w:rsid w:val="081438D5"/>
    <w:rsid w:val="08143994"/>
    <w:rsid w:val="081439A2"/>
    <w:rsid w:val="081439A7"/>
    <w:rsid w:val="081439B2"/>
    <w:rsid w:val="081439F2"/>
    <w:rsid w:val="08143A0A"/>
    <w:rsid w:val="08143A2E"/>
    <w:rsid w:val="08143BB1"/>
    <w:rsid w:val="08143BFE"/>
    <w:rsid w:val="08143C5A"/>
    <w:rsid w:val="08143CF8"/>
    <w:rsid w:val="08143D0C"/>
    <w:rsid w:val="08143DBF"/>
    <w:rsid w:val="08143DD7"/>
    <w:rsid w:val="08143E1D"/>
    <w:rsid w:val="08143E60"/>
    <w:rsid w:val="08143F29"/>
    <w:rsid w:val="08143F5B"/>
    <w:rsid w:val="0814403C"/>
    <w:rsid w:val="08144119"/>
    <w:rsid w:val="0814421B"/>
    <w:rsid w:val="081442AD"/>
    <w:rsid w:val="081442B5"/>
    <w:rsid w:val="081442E9"/>
    <w:rsid w:val="08144318"/>
    <w:rsid w:val="081443C9"/>
    <w:rsid w:val="081444D2"/>
    <w:rsid w:val="081445FE"/>
    <w:rsid w:val="0814463A"/>
    <w:rsid w:val="08144685"/>
    <w:rsid w:val="081446AF"/>
    <w:rsid w:val="081446D8"/>
    <w:rsid w:val="08144738"/>
    <w:rsid w:val="08144740"/>
    <w:rsid w:val="08144807"/>
    <w:rsid w:val="081448AA"/>
    <w:rsid w:val="081449E3"/>
    <w:rsid w:val="081449F0"/>
    <w:rsid w:val="08144AC6"/>
    <w:rsid w:val="08144BC5"/>
    <w:rsid w:val="08144C35"/>
    <w:rsid w:val="08144C58"/>
    <w:rsid w:val="08144CCE"/>
    <w:rsid w:val="08144CD8"/>
    <w:rsid w:val="08144DB3"/>
    <w:rsid w:val="08144DC5"/>
    <w:rsid w:val="08144DC8"/>
    <w:rsid w:val="08144DCA"/>
    <w:rsid w:val="08144E51"/>
    <w:rsid w:val="08144E76"/>
    <w:rsid w:val="08144EDC"/>
    <w:rsid w:val="08144F07"/>
    <w:rsid w:val="08144F63"/>
    <w:rsid w:val="08145000"/>
    <w:rsid w:val="08145019"/>
    <w:rsid w:val="0814506D"/>
    <w:rsid w:val="0814517A"/>
    <w:rsid w:val="0814519B"/>
    <w:rsid w:val="0814519C"/>
    <w:rsid w:val="081451CA"/>
    <w:rsid w:val="081451E9"/>
    <w:rsid w:val="08145220"/>
    <w:rsid w:val="081452AF"/>
    <w:rsid w:val="081452F4"/>
    <w:rsid w:val="081453E2"/>
    <w:rsid w:val="081453EA"/>
    <w:rsid w:val="0814548B"/>
    <w:rsid w:val="0814550F"/>
    <w:rsid w:val="0814551C"/>
    <w:rsid w:val="0814559A"/>
    <w:rsid w:val="081455EE"/>
    <w:rsid w:val="08145682"/>
    <w:rsid w:val="081456E5"/>
    <w:rsid w:val="0814574B"/>
    <w:rsid w:val="0814577A"/>
    <w:rsid w:val="081457C6"/>
    <w:rsid w:val="081457E6"/>
    <w:rsid w:val="08145858"/>
    <w:rsid w:val="0814594B"/>
    <w:rsid w:val="081459D1"/>
    <w:rsid w:val="081459F2"/>
    <w:rsid w:val="08145A75"/>
    <w:rsid w:val="08145A9A"/>
    <w:rsid w:val="08145B28"/>
    <w:rsid w:val="08145BB4"/>
    <w:rsid w:val="08145C53"/>
    <w:rsid w:val="08145C82"/>
    <w:rsid w:val="08145CB7"/>
    <w:rsid w:val="08145D26"/>
    <w:rsid w:val="08145DC3"/>
    <w:rsid w:val="08145DD7"/>
    <w:rsid w:val="08145E75"/>
    <w:rsid w:val="08145E9C"/>
    <w:rsid w:val="08146010"/>
    <w:rsid w:val="08146160"/>
    <w:rsid w:val="0814616E"/>
    <w:rsid w:val="08146179"/>
    <w:rsid w:val="0814619D"/>
    <w:rsid w:val="081461E8"/>
    <w:rsid w:val="081462B1"/>
    <w:rsid w:val="08146357"/>
    <w:rsid w:val="081463AF"/>
    <w:rsid w:val="08146406"/>
    <w:rsid w:val="08146503"/>
    <w:rsid w:val="08146520"/>
    <w:rsid w:val="081465BF"/>
    <w:rsid w:val="081465D9"/>
    <w:rsid w:val="0814663E"/>
    <w:rsid w:val="081466D1"/>
    <w:rsid w:val="0814675E"/>
    <w:rsid w:val="08146849"/>
    <w:rsid w:val="08146933"/>
    <w:rsid w:val="08146945"/>
    <w:rsid w:val="0814694F"/>
    <w:rsid w:val="08146B9E"/>
    <w:rsid w:val="08146BDB"/>
    <w:rsid w:val="08146DAD"/>
    <w:rsid w:val="08146E1E"/>
    <w:rsid w:val="08146E88"/>
    <w:rsid w:val="0814702D"/>
    <w:rsid w:val="0814704C"/>
    <w:rsid w:val="0814710F"/>
    <w:rsid w:val="08147112"/>
    <w:rsid w:val="081471D9"/>
    <w:rsid w:val="08147235"/>
    <w:rsid w:val="08147267"/>
    <w:rsid w:val="0814744B"/>
    <w:rsid w:val="081474ED"/>
    <w:rsid w:val="08147530"/>
    <w:rsid w:val="0814753A"/>
    <w:rsid w:val="0814755B"/>
    <w:rsid w:val="081476C9"/>
    <w:rsid w:val="08147886"/>
    <w:rsid w:val="0814788D"/>
    <w:rsid w:val="081479A8"/>
    <w:rsid w:val="08147B4B"/>
    <w:rsid w:val="08147BAC"/>
    <w:rsid w:val="08147BF2"/>
    <w:rsid w:val="08147C47"/>
    <w:rsid w:val="08147CE1"/>
    <w:rsid w:val="08147DC4"/>
    <w:rsid w:val="08147E1A"/>
    <w:rsid w:val="08147E2E"/>
    <w:rsid w:val="08147E44"/>
    <w:rsid w:val="08147E51"/>
    <w:rsid w:val="08147E8E"/>
    <w:rsid w:val="08147EE3"/>
    <w:rsid w:val="08147F09"/>
    <w:rsid w:val="08150035"/>
    <w:rsid w:val="08150051"/>
    <w:rsid w:val="0815021C"/>
    <w:rsid w:val="08150244"/>
    <w:rsid w:val="0815032C"/>
    <w:rsid w:val="081503FE"/>
    <w:rsid w:val="0815044A"/>
    <w:rsid w:val="08150454"/>
    <w:rsid w:val="0815046A"/>
    <w:rsid w:val="08150488"/>
    <w:rsid w:val="081504A1"/>
    <w:rsid w:val="081504E4"/>
    <w:rsid w:val="08150613"/>
    <w:rsid w:val="0815063F"/>
    <w:rsid w:val="081506AA"/>
    <w:rsid w:val="0815071E"/>
    <w:rsid w:val="08150757"/>
    <w:rsid w:val="08150767"/>
    <w:rsid w:val="0815094F"/>
    <w:rsid w:val="0815099C"/>
    <w:rsid w:val="081509A4"/>
    <w:rsid w:val="08150B16"/>
    <w:rsid w:val="08150B3D"/>
    <w:rsid w:val="08150B94"/>
    <w:rsid w:val="08150D6F"/>
    <w:rsid w:val="08150D7A"/>
    <w:rsid w:val="08150E46"/>
    <w:rsid w:val="08150E5D"/>
    <w:rsid w:val="08150EAC"/>
    <w:rsid w:val="08150EC1"/>
    <w:rsid w:val="08150EDA"/>
    <w:rsid w:val="08150F22"/>
    <w:rsid w:val="08150F2E"/>
    <w:rsid w:val="08150F3E"/>
    <w:rsid w:val="0815104B"/>
    <w:rsid w:val="0815109D"/>
    <w:rsid w:val="08151193"/>
    <w:rsid w:val="08151194"/>
    <w:rsid w:val="08151280"/>
    <w:rsid w:val="0815129C"/>
    <w:rsid w:val="081512B6"/>
    <w:rsid w:val="0815141D"/>
    <w:rsid w:val="081515A4"/>
    <w:rsid w:val="08151624"/>
    <w:rsid w:val="08151674"/>
    <w:rsid w:val="081516EE"/>
    <w:rsid w:val="0815171D"/>
    <w:rsid w:val="081517F3"/>
    <w:rsid w:val="0815180A"/>
    <w:rsid w:val="08151992"/>
    <w:rsid w:val="08151998"/>
    <w:rsid w:val="08151A55"/>
    <w:rsid w:val="08151ADB"/>
    <w:rsid w:val="08151B73"/>
    <w:rsid w:val="08151C1A"/>
    <w:rsid w:val="08151CB0"/>
    <w:rsid w:val="08151CCA"/>
    <w:rsid w:val="08151D06"/>
    <w:rsid w:val="08151D67"/>
    <w:rsid w:val="08151E6B"/>
    <w:rsid w:val="08151EA5"/>
    <w:rsid w:val="08151EEE"/>
    <w:rsid w:val="08151F22"/>
    <w:rsid w:val="08151F34"/>
    <w:rsid w:val="08151F69"/>
    <w:rsid w:val="08152134"/>
    <w:rsid w:val="08152141"/>
    <w:rsid w:val="0815216E"/>
    <w:rsid w:val="0815217B"/>
    <w:rsid w:val="08152300"/>
    <w:rsid w:val="081523C7"/>
    <w:rsid w:val="0815244E"/>
    <w:rsid w:val="08152520"/>
    <w:rsid w:val="0815253B"/>
    <w:rsid w:val="08152568"/>
    <w:rsid w:val="081525A0"/>
    <w:rsid w:val="081525A7"/>
    <w:rsid w:val="081525C9"/>
    <w:rsid w:val="081525CC"/>
    <w:rsid w:val="081525D9"/>
    <w:rsid w:val="081526B9"/>
    <w:rsid w:val="08152795"/>
    <w:rsid w:val="081527EE"/>
    <w:rsid w:val="081528B7"/>
    <w:rsid w:val="08152995"/>
    <w:rsid w:val="081529ED"/>
    <w:rsid w:val="08152A0F"/>
    <w:rsid w:val="08152A69"/>
    <w:rsid w:val="08152DD9"/>
    <w:rsid w:val="08152E13"/>
    <w:rsid w:val="08152EEE"/>
    <w:rsid w:val="081530B0"/>
    <w:rsid w:val="081530F7"/>
    <w:rsid w:val="08153144"/>
    <w:rsid w:val="08153182"/>
    <w:rsid w:val="08153293"/>
    <w:rsid w:val="08153339"/>
    <w:rsid w:val="081534FE"/>
    <w:rsid w:val="0815358D"/>
    <w:rsid w:val="08153620"/>
    <w:rsid w:val="081536AF"/>
    <w:rsid w:val="081537F6"/>
    <w:rsid w:val="08153842"/>
    <w:rsid w:val="08153905"/>
    <w:rsid w:val="08153914"/>
    <w:rsid w:val="08153A59"/>
    <w:rsid w:val="08153A66"/>
    <w:rsid w:val="08153AB5"/>
    <w:rsid w:val="08153B7C"/>
    <w:rsid w:val="08153BDA"/>
    <w:rsid w:val="08153CFC"/>
    <w:rsid w:val="08153D9F"/>
    <w:rsid w:val="08153DF0"/>
    <w:rsid w:val="08153E32"/>
    <w:rsid w:val="08153E89"/>
    <w:rsid w:val="08153ECA"/>
    <w:rsid w:val="08153F3C"/>
    <w:rsid w:val="08153FBD"/>
    <w:rsid w:val="08153FD1"/>
    <w:rsid w:val="08154024"/>
    <w:rsid w:val="0815402C"/>
    <w:rsid w:val="08154163"/>
    <w:rsid w:val="08154168"/>
    <w:rsid w:val="08154197"/>
    <w:rsid w:val="081541DA"/>
    <w:rsid w:val="08154226"/>
    <w:rsid w:val="081542E6"/>
    <w:rsid w:val="0815433A"/>
    <w:rsid w:val="08154353"/>
    <w:rsid w:val="081543F5"/>
    <w:rsid w:val="0815443F"/>
    <w:rsid w:val="08154447"/>
    <w:rsid w:val="0815465B"/>
    <w:rsid w:val="081546FE"/>
    <w:rsid w:val="0815472C"/>
    <w:rsid w:val="0815473E"/>
    <w:rsid w:val="08154766"/>
    <w:rsid w:val="08154798"/>
    <w:rsid w:val="08154814"/>
    <w:rsid w:val="08154819"/>
    <w:rsid w:val="08154917"/>
    <w:rsid w:val="08154956"/>
    <w:rsid w:val="08154962"/>
    <w:rsid w:val="08154B3D"/>
    <w:rsid w:val="08154B7C"/>
    <w:rsid w:val="08154B98"/>
    <w:rsid w:val="08154BED"/>
    <w:rsid w:val="08154CF4"/>
    <w:rsid w:val="08154D56"/>
    <w:rsid w:val="08154D63"/>
    <w:rsid w:val="08154D6E"/>
    <w:rsid w:val="08154DD1"/>
    <w:rsid w:val="08154DE0"/>
    <w:rsid w:val="08154E75"/>
    <w:rsid w:val="08154F2A"/>
    <w:rsid w:val="08154F47"/>
    <w:rsid w:val="08154F94"/>
    <w:rsid w:val="08154FB4"/>
    <w:rsid w:val="08155056"/>
    <w:rsid w:val="08155089"/>
    <w:rsid w:val="081551AF"/>
    <w:rsid w:val="081551F1"/>
    <w:rsid w:val="081551F2"/>
    <w:rsid w:val="0815521D"/>
    <w:rsid w:val="08155243"/>
    <w:rsid w:val="081553D3"/>
    <w:rsid w:val="0815549C"/>
    <w:rsid w:val="08155647"/>
    <w:rsid w:val="08155660"/>
    <w:rsid w:val="081556E6"/>
    <w:rsid w:val="08155725"/>
    <w:rsid w:val="0815593E"/>
    <w:rsid w:val="08155AD4"/>
    <w:rsid w:val="08155B17"/>
    <w:rsid w:val="08155B1F"/>
    <w:rsid w:val="08155B97"/>
    <w:rsid w:val="08155BAD"/>
    <w:rsid w:val="08155BDF"/>
    <w:rsid w:val="08155C3A"/>
    <w:rsid w:val="08155C71"/>
    <w:rsid w:val="08155D58"/>
    <w:rsid w:val="08155D79"/>
    <w:rsid w:val="08155E10"/>
    <w:rsid w:val="08155E66"/>
    <w:rsid w:val="08155E83"/>
    <w:rsid w:val="08155E89"/>
    <w:rsid w:val="08155EE8"/>
    <w:rsid w:val="0815606F"/>
    <w:rsid w:val="08156078"/>
    <w:rsid w:val="08156137"/>
    <w:rsid w:val="08156210"/>
    <w:rsid w:val="08156311"/>
    <w:rsid w:val="08156364"/>
    <w:rsid w:val="0815637F"/>
    <w:rsid w:val="0815645E"/>
    <w:rsid w:val="0815646A"/>
    <w:rsid w:val="081564B3"/>
    <w:rsid w:val="081564D4"/>
    <w:rsid w:val="0815658D"/>
    <w:rsid w:val="081566A4"/>
    <w:rsid w:val="08156731"/>
    <w:rsid w:val="0815674C"/>
    <w:rsid w:val="0815677D"/>
    <w:rsid w:val="0815679A"/>
    <w:rsid w:val="081567C3"/>
    <w:rsid w:val="08156879"/>
    <w:rsid w:val="081568F0"/>
    <w:rsid w:val="0815690F"/>
    <w:rsid w:val="0815697C"/>
    <w:rsid w:val="081569CA"/>
    <w:rsid w:val="08156B82"/>
    <w:rsid w:val="08156BF0"/>
    <w:rsid w:val="08156CF2"/>
    <w:rsid w:val="08156D9D"/>
    <w:rsid w:val="08156E67"/>
    <w:rsid w:val="08156E79"/>
    <w:rsid w:val="08156EC9"/>
    <w:rsid w:val="08156F8C"/>
    <w:rsid w:val="08156F9B"/>
    <w:rsid w:val="08156FD5"/>
    <w:rsid w:val="08156FE5"/>
    <w:rsid w:val="0815708A"/>
    <w:rsid w:val="081570AD"/>
    <w:rsid w:val="081570C6"/>
    <w:rsid w:val="081571EA"/>
    <w:rsid w:val="08157222"/>
    <w:rsid w:val="081572A9"/>
    <w:rsid w:val="0815731B"/>
    <w:rsid w:val="0815738E"/>
    <w:rsid w:val="081573CA"/>
    <w:rsid w:val="081573FB"/>
    <w:rsid w:val="0815743A"/>
    <w:rsid w:val="0815748B"/>
    <w:rsid w:val="08157561"/>
    <w:rsid w:val="081575E9"/>
    <w:rsid w:val="08157602"/>
    <w:rsid w:val="08157677"/>
    <w:rsid w:val="08157689"/>
    <w:rsid w:val="0815768F"/>
    <w:rsid w:val="081576D8"/>
    <w:rsid w:val="0815778C"/>
    <w:rsid w:val="0815787B"/>
    <w:rsid w:val="08157964"/>
    <w:rsid w:val="08157992"/>
    <w:rsid w:val="081579E6"/>
    <w:rsid w:val="08157A04"/>
    <w:rsid w:val="08157A0D"/>
    <w:rsid w:val="08157AD3"/>
    <w:rsid w:val="08157AD5"/>
    <w:rsid w:val="08157B21"/>
    <w:rsid w:val="08157BC0"/>
    <w:rsid w:val="08157BC1"/>
    <w:rsid w:val="08157C17"/>
    <w:rsid w:val="08157D19"/>
    <w:rsid w:val="08157DFE"/>
    <w:rsid w:val="08157FF7"/>
    <w:rsid w:val="081600F7"/>
    <w:rsid w:val="08160138"/>
    <w:rsid w:val="08160258"/>
    <w:rsid w:val="0816026D"/>
    <w:rsid w:val="081602CB"/>
    <w:rsid w:val="08160338"/>
    <w:rsid w:val="081604A6"/>
    <w:rsid w:val="08160516"/>
    <w:rsid w:val="08160522"/>
    <w:rsid w:val="081605FB"/>
    <w:rsid w:val="08160609"/>
    <w:rsid w:val="081606AD"/>
    <w:rsid w:val="081606B9"/>
    <w:rsid w:val="08160782"/>
    <w:rsid w:val="08160786"/>
    <w:rsid w:val="08160883"/>
    <w:rsid w:val="081608A4"/>
    <w:rsid w:val="08160955"/>
    <w:rsid w:val="08160A96"/>
    <w:rsid w:val="08160AD6"/>
    <w:rsid w:val="08160B53"/>
    <w:rsid w:val="08160B63"/>
    <w:rsid w:val="08160C1E"/>
    <w:rsid w:val="08160C67"/>
    <w:rsid w:val="08160DC4"/>
    <w:rsid w:val="08160E18"/>
    <w:rsid w:val="08160E4C"/>
    <w:rsid w:val="0816103A"/>
    <w:rsid w:val="08161054"/>
    <w:rsid w:val="081610B4"/>
    <w:rsid w:val="08161106"/>
    <w:rsid w:val="08161215"/>
    <w:rsid w:val="08161251"/>
    <w:rsid w:val="08161257"/>
    <w:rsid w:val="081612E5"/>
    <w:rsid w:val="08161306"/>
    <w:rsid w:val="08161325"/>
    <w:rsid w:val="0816137B"/>
    <w:rsid w:val="081614D6"/>
    <w:rsid w:val="081614E5"/>
    <w:rsid w:val="0816150A"/>
    <w:rsid w:val="08161525"/>
    <w:rsid w:val="08161568"/>
    <w:rsid w:val="08161630"/>
    <w:rsid w:val="08161668"/>
    <w:rsid w:val="08161672"/>
    <w:rsid w:val="081616E2"/>
    <w:rsid w:val="08161715"/>
    <w:rsid w:val="08161783"/>
    <w:rsid w:val="08161813"/>
    <w:rsid w:val="0816188E"/>
    <w:rsid w:val="0816189B"/>
    <w:rsid w:val="081618B1"/>
    <w:rsid w:val="08161911"/>
    <w:rsid w:val="0816191A"/>
    <w:rsid w:val="08161923"/>
    <w:rsid w:val="0816195F"/>
    <w:rsid w:val="081619A9"/>
    <w:rsid w:val="08161A1C"/>
    <w:rsid w:val="08161A6D"/>
    <w:rsid w:val="08161A95"/>
    <w:rsid w:val="08161ADD"/>
    <w:rsid w:val="08161BF5"/>
    <w:rsid w:val="08161C40"/>
    <w:rsid w:val="08161C73"/>
    <w:rsid w:val="08161CA7"/>
    <w:rsid w:val="08161D19"/>
    <w:rsid w:val="08161FF9"/>
    <w:rsid w:val="081621D3"/>
    <w:rsid w:val="08162278"/>
    <w:rsid w:val="081622BB"/>
    <w:rsid w:val="08162356"/>
    <w:rsid w:val="08162376"/>
    <w:rsid w:val="081623D1"/>
    <w:rsid w:val="081623EC"/>
    <w:rsid w:val="0816240D"/>
    <w:rsid w:val="08162442"/>
    <w:rsid w:val="0816245D"/>
    <w:rsid w:val="08162494"/>
    <w:rsid w:val="081624ED"/>
    <w:rsid w:val="08162529"/>
    <w:rsid w:val="08162695"/>
    <w:rsid w:val="0816272F"/>
    <w:rsid w:val="0816277A"/>
    <w:rsid w:val="08162958"/>
    <w:rsid w:val="08162965"/>
    <w:rsid w:val="081629CF"/>
    <w:rsid w:val="08162A36"/>
    <w:rsid w:val="08162A51"/>
    <w:rsid w:val="08162AE3"/>
    <w:rsid w:val="08162AF5"/>
    <w:rsid w:val="08162B0F"/>
    <w:rsid w:val="08162B12"/>
    <w:rsid w:val="08162B98"/>
    <w:rsid w:val="08162C61"/>
    <w:rsid w:val="08162D23"/>
    <w:rsid w:val="08162D43"/>
    <w:rsid w:val="08162D61"/>
    <w:rsid w:val="08162DE1"/>
    <w:rsid w:val="08162DE3"/>
    <w:rsid w:val="08162DE9"/>
    <w:rsid w:val="08162E80"/>
    <w:rsid w:val="08162F9C"/>
    <w:rsid w:val="08162FD6"/>
    <w:rsid w:val="08163013"/>
    <w:rsid w:val="0816307F"/>
    <w:rsid w:val="081630D8"/>
    <w:rsid w:val="081630E4"/>
    <w:rsid w:val="081630ED"/>
    <w:rsid w:val="081632CE"/>
    <w:rsid w:val="08163321"/>
    <w:rsid w:val="08163474"/>
    <w:rsid w:val="0816351E"/>
    <w:rsid w:val="08163526"/>
    <w:rsid w:val="081635AD"/>
    <w:rsid w:val="081635F6"/>
    <w:rsid w:val="08163748"/>
    <w:rsid w:val="081637CB"/>
    <w:rsid w:val="081638C3"/>
    <w:rsid w:val="081639CC"/>
    <w:rsid w:val="08163A6D"/>
    <w:rsid w:val="08163B27"/>
    <w:rsid w:val="08163B2B"/>
    <w:rsid w:val="08163B34"/>
    <w:rsid w:val="08163B89"/>
    <w:rsid w:val="08163BA5"/>
    <w:rsid w:val="08163BC8"/>
    <w:rsid w:val="08163C0C"/>
    <w:rsid w:val="08163C25"/>
    <w:rsid w:val="08163D28"/>
    <w:rsid w:val="08163D67"/>
    <w:rsid w:val="08163D7D"/>
    <w:rsid w:val="08163DA0"/>
    <w:rsid w:val="08163DDC"/>
    <w:rsid w:val="08163DE5"/>
    <w:rsid w:val="08163E16"/>
    <w:rsid w:val="08163FD7"/>
    <w:rsid w:val="08164060"/>
    <w:rsid w:val="08164081"/>
    <w:rsid w:val="081640B3"/>
    <w:rsid w:val="08164105"/>
    <w:rsid w:val="0816414B"/>
    <w:rsid w:val="081641B0"/>
    <w:rsid w:val="081641FC"/>
    <w:rsid w:val="08164205"/>
    <w:rsid w:val="08164254"/>
    <w:rsid w:val="08164265"/>
    <w:rsid w:val="081642C1"/>
    <w:rsid w:val="081642E7"/>
    <w:rsid w:val="081642E9"/>
    <w:rsid w:val="08164388"/>
    <w:rsid w:val="081643F0"/>
    <w:rsid w:val="081644ED"/>
    <w:rsid w:val="0816457E"/>
    <w:rsid w:val="081645C2"/>
    <w:rsid w:val="081646A6"/>
    <w:rsid w:val="081646C4"/>
    <w:rsid w:val="0816470A"/>
    <w:rsid w:val="081647B9"/>
    <w:rsid w:val="081647BC"/>
    <w:rsid w:val="08164926"/>
    <w:rsid w:val="08164942"/>
    <w:rsid w:val="08164975"/>
    <w:rsid w:val="081649AF"/>
    <w:rsid w:val="08164A64"/>
    <w:rsid w:val="08164A72"/>
    <w:rsid w:val="08164B01"/>
    <w:rsid w:val="08164BAA"/>
    <w:rsid w:val="08164C01"/>
    <w:rsid w:val="08164CD3"/>
    <w:rsid w:val="08164CE2"/>
    <w:rsid w:val="08164D30"/>
    <w:rsid w:val="08164D76"/>
    <w:rsid w:val="08164EFC"/>
    <w:rsid w:val="08164F45"/>
    <w:rsid w:val="08164FB2"/>
    <w:rsid w:val="08164FEE"/>
    <w:rsid w:val="08165026"/>
    <w:rsid w:val="081650AF"/>
    <w:rsid w:val="08165126"/>
    <w:rsid w:val="081651B9"/>
    <w:rsid w:val="08165557"/>
    <w:rsid w:val="081655D8"/>
    <w:rsid w:val="08165660"/>
    <w:rsid w:val="081657D4"/>
    <w:rsid w:val="0816580A"/>
    <w:rsid w:val="08165940"/>
    <w:rsid w:val="081659CC"/>
    <w:rsid w:val="081659D3"/>
    <w:rsid w:val="08165A7F"/>
    <w:rsid w:val="08165BD4"/>
    <w:rsid w:val="08165C26"/>
    <w:rsid w:val="08165C81"/>
    <w:rsid w:val="08165CA2"/>
    <w:rsid w:val="08165CB3"/>
    <w:rsid w:val="08165CF5"/>
    <w:rsid w:val="08165D3B"/>
    <w:rsid w:val="08165E43"/>
    <w:rsid w:val="08165EA1"/>
    <w:rsid w:val="08165EF3"/>
    <w:rsid w:val="08165EFE"/>
    <w:rsid w:val="08165F1E"/>
    <w:rsid w:val="08165F40"/>
    <w:rsid w:val="08166085"/>
    <w:rsid w:val="08166123"/>
    <w:rsid w:val="08166281"/>
    <w:rsid w:val="0816628C"/>
    <w:rsid w:val="081662C4"/>
    <w:rsid w:val="0816632B"/>
    <w:rsid w:val="0816632C"/>
    <w:rsid w:val="08166420"/>
    <w:rsid w:val="0816648A"/>
    <w:rsid w:val="081664A2"/>
    <w:rsid w:val="081664F8"/>
    <w:rsid w:val="0816658A"/>
    <w:rsid w:val="081665AB"/>
    <w:rsid w:val="081665E8"/>
    <w:rsid w:val="081666CA"/>
    <w:rsid w:val="08166845"/>
    <w:rsid w:val="0816685F"/>
    <w:rsid w:val="081668D5"/>
    <w:rsid w:val="08166CB5"/>
    <w:rsid w:val="08166D13"/>
    <w:rsid w:val="08166D27"/>
    <w:rsid w:val="08166D3A"/>
    <w:rsid w:val="08166D5F"/>
    <w:rsid w:val="08166DF8"/>
    <w:rsid w:val="08166E37"/>
    <w:rsid w:val="08166EA4"/>
    <w:rsid w:val="08166ECF"/>
    <w:rsid w:val="08166ED6"/>
    <w:rsid w:val="08167072"/>
    <w:rsid w:val="08167088"/>
    <w:rsid w:val="081670EF"/>
    <w:rsid w:val="0816714F"/>
    <w:rsid w:val="08167167"/>
    <w:rsid w:val="0816726D"/>
    <w:rsid w:val="08167271"/>
    <w:rsid w:val="0816744F"/>
    <w:rsid w:val="081674D5"/>
    <w:rsid w:val="081674E3"/>
    <w:rsid w:val="08167514"/>
    <w:rsid w:val="08167576"/>
    <w:rsid w:val="08167589"/>
    <w:rsid w:val="08167701"/>
    <w:rsid w:val="0816770C"/>
    <w:rsid w:val="08167726"/>
    <w:rsid w:val="081677FD"/>
    <w:rsid w:val="081678AB"/>
    <w:rsid w:val="08167960"/>
    <w:rsid w:val="081679EF"/>
    <w:rsid w:val="08167A0A"/>
    <w:rsid w:val="08167A98"/>
    <w:rsid w:val="08167AC6"/>
    <w:rsid w:val="08167AE1"/>
    <w:rsid w:val="08167B3E"/>
    <w:rsid w:val="08167B73"/>
    <w:rsid w:val="08167BEC"/>
    <w:rsid w:val="08167C37"/>
    <w:rsid w:val="08167C59"/>
    <w:rsid w:val="08167CFD"/>
    <w:rsid w:val="08167D23"/>
    <w:rsid w:val="08167D87"/>
    <w:rsid w:val="08167D90"/>
    <w:rsid w:val="08167D9D"/>
    <w:rsid w:val="08167E44"/>
    <w:rsid w:val="08167E5C"/>
    <w:rsid w:val="08167E60"/>
    <w:rsid w:val="08167E91"/>
    <w:rsid w:val="08167E9D"/>
    <w:rsid w:val="08167EC2"/>
    <w:rsid w:val="08167F43"/>
    <w:rsid w:val="08167FF8"/>
    <w:rsid w:val="081700BF"/>
    <w:rsid w:val="081700F0"/>
    <w:rsid w:val="081700F1"/>
    <w:rsid w:val="08170161"/>
    <w:rsid w:val="081701B4"/>
    <w:rsid w:val="08170288"/>
    <w:rsid w:val="0817035E"/>
    <w:rsid w:val="081703B9"/>
    <w:rsid w:val="081703ED"/>
    <w:rsid w:val="08170436"/>
    <w:rsid w:val="08170472"/>
    <w:rsid w:val="081704A3"/>
    <w:rsid w:val="08170629"/>
    <w:rsid w:val="08170631"/>
    <w:rsid w:val="08170670"/>
    <w:rsid w:val="081706BE"/>
    <w:rsid w:val="08170794"/>
    <w:rsid w:val="0817096E"/>
    <w:rsid w:val="08170984"/>
    <w:rsid w:val="08170A3E"/>
    <w:rsid w:val="08170AB8"/>
    <w:rsid w:val="08170B30"/>
    <w:rsid w:val="08170BB5"/>
    <w:rsid w:val="08170BE4"/>
    <w:rsid w:val="08170C8E"/>
    <w:rsid w:val="08170CA7"/>
    <w:rsid w:val="08170CBA"/>
    <w:rsid w:val="08170CC6"/>
    <w:rsid w:val="08170CD0"/>
    <w:rsid w:val="08170E5D"/>
    <w:rsid w:val="08170E8A"/>
    <w:rsid w:val="08170F77"/>
    <w:rsid w:val="08170F84"/>
    <w:rsid w:val="08170FE4"/>
    <w:rsid w:val="08171040"/>
    <w:rsid w:val="08171050"/>
    <w:rsid w:val="08171116"/>
    <w:rsid w:val="08171145"/>
    <w:rsid w:val="0817114A"/>
    <w:rsid w:val="08171214"/>
    <w:rsid w:val="08171369"/>
    <w:rsid w:val="0817138B"/>
    <w:rsid w:val="081713B2"/>
    <w:rsid w:val="081713F8"/>
    <w:rsid w:val="081714C7"/>
    <w:rsid w:val="081714FD"/>
    <w:rsid w:val="0817157B"/>
    <w:rsid w:val="081715DA"/>
    <w:rsid w:val="08171691"/>
    <w:rsid w:val="081716BF"/>
    <w:rsid w:val="08171708"/>
    <w:rsid w:val="0817190F"/>
    <w:rsid w:val="08171958"/>
    <w:rsid w:val="081719C3"/>
    <w:rsid w:val="08171A4C"/>
    <w:rsid w:val="08171AA4"/>
    <w:rsid w:val="08171AB0"/>
    <w:rsid w:val="08171B10"/>
    <w:rsid w:val="08171B5D"/>
    <w:rsid w:val="08171B77"/>
    <w:rsid w:val="08171C60"/>
    <w:rsid w:val="08171C6F"/>
    <w:rsid w:val="08171CCA"/>
    <w:rsid w:val="08171D02"/>
    <w:rsid w:val="08171D42"/>
    <w:rsid w:val="08171D92"/>
    <w:rsid w:val="08171DCB"/>
    <w:rsid w:val="08171DE0"/>
    <w:rsid w:val="08171E5A"/>
    <w:rsid w:val="08171F7D"/>
    <w:rsid w:val="08171FE1"/>
    <w:rsid w:val="08172019"/>
    <w:rsid w:val="0817206D"/>
    <w:rsid w:val="081720BE"/>
    <w:rsid w:val="08172118"/>
    <w:rsid w:val="08172139"/>
    <w:rsid w:val="081721E3"/>
    <w:rsid w:val="0817220B"/>
    <w:rsid w:val="08172396"/>
    <w:rsid w:val="081723AB"/>
    <w:rsid w:val="081723CA"/>
    <w:rsid w:val="08172457"/>
    <w:rsid w:val="08172553"/>
    <w:rsid w:val="081725AF"/>
    <w:rsid w:val="08172619"/>
    <w:rsid w:val="08172627"/>
    <w:rsid w:val="08172650"/>
    <w:rsid w:val="081726B4"/>
    <w:rsid w:val="08172750"/>
    <w:rsid w:val="0817278F"/>
    <w:rsid w:val="081727F9"/>
    <w:rsid w:val="08172832"/>
    <w:rsid w:val="081728E1"/>
    <w:rsid w:val="081729FB"/>
    <w:rsid w:val="08172A15"/>
    <w:rsid w:val="08172A26"/>
    <w:rsid w:val="08172AE7"/>
    <w:rsid w:val="08172B03"/>
    <w:rsid w:val="08172B13"/>
    <w:rsid w:val="08172BC0"/>
    <w:rsid w:val="08172BCF"/>
    <w:rsid w:val="08172CC4"/>
    <w:rsid w:val="08172CEB"/>
    <w:rsid w:val="08172D4B"/>
    <w:rsid w:val="08172E56"/>
    <w:rsid w:val="08172EC0"/>
    <w:rsid w:val="08172EDD"/>
    <w:rsid w:val="08172EEF"/>
    <w:rsid w:val="08172FB0"/>
    <w:rsid w:val="08173014"/>
    <w:rsid w:val="0817307D"/>
    <w:rsid w:val="081730C6"/>
    <w:rsid w:val="08173298"/>
    <w:rsid w:val="081733AB"/>
    <w:rsid w:val="08173485"/>
    <w:rsid w:val="081734B6"/>
    <w:rsid w:val="081734BB"/>
    <w:rsid w:val="081735C7"/>
    <w:rsid w:val="081735CB"/>
    <w:rsid w:val="081735D8"/>
    <w:rsid w:val="081735ED"/>
    <w:rsid w:val="08173763"/>
    <w:rsid w:val="08173798"/>
    <w:rsid w:val="081737FB"/>
    <w:rsid w:val="081738A8"/>
    <w:rsid w:val="0817394A"/>
    <w:rsid w:val="0817394F"/>
    <w:rsid w:val="081739B4"/>
    <w:rsid w:val="08173A0D"/>
    <w:rsid w:val="08173A58"/>
    <w:rsid w:val="08173A9B"/>
    <w:rsid w:val="08173B0E"/>
    <w:rsid w:val="08173B89"/>
    <w:rsid w:val="08173BD6"/>
    <w:rsid w:val="08173C1D"/>
    <w:rsid w:val="08173CB8"/>
    <w:rsid w:val="08173D4D"/>
    <w:rsid w:val="08173D78"/>
    <w:rsid w:val="08173E87"/>
    <w:rsid w:val="08173F03"/>
    <w:rsid w:val="08173F2B"/>
    <w:rsid w:val="08173F77"/>
    <w:rsid w:val="08174011"/>
    <w:rsid w:val="08174044"/>
    <w:rsid w:val="081740EE"/>
    <w:rsid w:val="08174158"/>
    <w:rsid w:val="08174170"/>
    <w:rsid w:val="081741A0"/>
    <w:rsid w:val="081742BA"/>
    <w:rsid w:val="081742CF"/>
    <w:rsid w:val="08174446"/>
    <w:rsid w:val="081744B5"/>
    <w:rsid w:val="081745C0"/>
    <w:rsid w:val="081745E8"/>
    <w:rsid w:val="0817466D"/>
    <w:rsid w:val="081746A2"/>
    <w:rsid w:val="081746D4"/>
    <w:rsid w:val="081746DF"/>
    <w:rsid w:val="0817479E"/>
    <w:rsid w:val="08174811"/>
    <w:rsid w:val="0817483A"/>
    <w:rsid w:val="081748B0"/>
    <w:rsid w:val="08174940"/>
    <w:rsid w:val="0817496F"/>
    <w:rsid w:val="08174A72"/>
    <w:rsid w:val="08174A87"/>
    <w:rsid w:val="08174A8A"/>
    <w:rsid w:val="08174A8D"/>
    <w:rsid w:val="08174B0E"/>
    <w:rsid w:val="08174CC1"/>
    <w:rsid w:val="08174D2A"/>
    <w:rsid w:val="08174DA9"/>
    <w:rsid w:val="08174E31"/>
    <w:rsid w:val="08174E8A"/>
    <w:rsid w:val="08174F10"/>
    <w:rsid w:val="08174FFE"/>
    <w:rsid w:val="08175028"/>
    <w:rsid w:val="081751AF"/>
    <w:rsid w:val="08175265"/>
    <w:rsid w:val="081752D9"/>
    <w:rsid w:val="081752E6"/>
    <w:rsid w:val="08175349"/>
    <w:rsid w:val="08175364"/>
    <w:rsid w:val="0817537C"/>
    <w:rsid w:val="08175386"/>
    <w:rsid w:val="08175453"/>
    <w:rsid w:val="081754BE"/>
    <w:rsid w:val="081754FE"/>
    <w:rsid w:val="08175714"/>
    <w:rsid w:val="081757E4"/>
    <w:rsid w:val="08175811"/>
    <w:rsid w:val="0817581B"/>
    <w:rsid w:val="08175849"/>
    <w:rsid w:val="08175890"/>
    <w:rsid w:val="081758B2"/>
    <w:rsid w:val="08175995"/>
    <w:rsid w:val="081759DA"/>
    <w:rsid w:val="08175A19"/>
    <w:rsid w:val="08175A4D"/>
    <w:rsid w:val="08175A57"/>
    <w:rsid w:val="08175B22"/>
    <w:rsid w:val="08175B2D"/>
    <w:rsid w:val="08175B3E"/>
    <w:rsid w:val="08175B40"/>
    <w:rsid w:val="08175B9C"/>
    <w:rsid w:val="08175C73"/>
    <w:rsid w:val="08175C77"/>
    <w:rsid w:val="08175D6D"/>
    <w:rsid w:val="08175DA8"/>
    <w:rsid w:val="08175E30"/>
    <w:rsid w:val="08175ED7"/>
    <w:rsid w:val="081762E1"/>
    <w:rsid w:val="08176317"/>
    <w:rsid w:val="0817636D"/>
    <w:rsid w:val="081763AA"/>
    <w:rsid w:val="081763FC"/>
    <w:rsid w:val="0817647C"/>
    <w:rsid w:val="08176596"/>
    <w:rsid w:val="0817659B"/>
    <w:rsid w:val="0817665E"/>
    <w:rsid w:val="0817666E"/>
    <w:rsid w:val="081766C5"/>
    <w:rsid w:val="08176798"/>
    <w:rsid w:val="081767FD"/>
    <w:rsid w:val="081768AB"/>
    <w:rsid w:val="08176930"/>
    <w:rsid w:val="0817697F"/>
    <w:rsid w:val="08176A46"/>
    <w:rsid w:val="08176A4C"/>
    <w:rsid w:val="08176AC5"/>
    <w:rsid w:val="08176B17"/>
    <w:rsid w:val="08176B37"/>
    <w:rsid w:val="08176BDD"/>
    <w:rsid w:val="08176C5B"/>
    <w:rsid w:val="08176CC0"/>
    <w:rsid w:val="08176D54"/>
    <w:rsid w:val="08176D6B"/>
    <w:rsid w:val="08176D85"/>
    <w:rsid w:val="08176DA6"/>
    <w:rsid w:val="08176E4A"/>
    <w:rsid w:val="08176E70"/>
    <w:rsid w:val="08176FC6"/>
    <w:rsid w:val="08176FC8"/>
    <w:rsid w:val="081770DF"/>
    <w:rsid w:val="08177265"/>
    <w:rsid w:val="081772A9"/>
    <w:rsid w:val="081772D0"/>
    <w:rsid w:val="081773AB"/>
    <w:rsid w:val="081773EE"/>
    <w:rsid w:val="08177412"/>
    <w:rsid w:val="0817743D"/>
    <w:rsid w:val="081775EF"/>
    <w:rsid w:val="0817760B"/>
    <w:rsid w:val="08177635"/>
    <w:rsid w:val="0817764C"/>
    <w:rsid w:val="081776A2"/>
    <w:rsid w:val="081776B2"/>
    <w:rsid w:val="081777C0"/>
    <w:rsid w:val="08177825"/>
    <w:rsid w:val="08177867"/>
    <w:rsid w:val="081778D5"/>
    <w:rsid w:val="0817799C"/>
    <w:rsid w:val="081779EC"/>
    <w:rsid w:val="08177A80"/>
    <w:rsid w:val="08177A8C"/>
    <w:rsid w:val="08177AE4"/>
    <w:rsid w:val="08177B21"/>
    <w:rsid w:val="08177B29"/>
    <w:rsid w:val="08177B56"/>
    <w:rsid w:val="08177B6D"/>
    <w:rsid w:val="08177BBA"/>
    <w:rsid w:val="08177BC6"/>
    <w:rsid w:val="08177DA4"/>
    <w:rsid w:val="08177DF6"/>
    <w:rsid w:val="08177E59"/>
    <w:rsid w:val="08177E7B"/>
    <w:rsid w:val="08177F9D"/>
    <w:rsid w:val="08177FBE"/>
    <w:rsid w:val="08177FE2"/>
    <w:rsid w:val="08177FF6"/>
    <w:rsid w:val="081800E9"/>
    <w:rsid w:val="08180220"/>
    <w:rsid w:val="0818023B"/>
    <w:rsid w:val="0818024B"/>
    <w:rsid w:val="0818029D"/>
    <w:rsid w:val="081802E0"/>
    <w:rsid w:val="081802E1"/>
    <w:rsid w:val="0818030B"/>
    <w:rsid w:val="081803C7"/>
    <w:rsid w:val="081803FE"/>
    <w:rsid w:val="0818048C"/>
    <w:rsid w:val="0818049E"/>
    <w:rsid w:val="081804AA"/>
    <w:rsid w:val="081804EA"/>
    <w:rsid w:val="0818058B"/>
    <w:rsid w:val="081805BC"/>
    <w:rsid w:val="08180647"/>
    <w:rsid w:val="0818064F"/>
    <w:rsid w:val="0818065B"/>
    <w:rsid w:val="08180695"/>
    <w:rsid w:val="08180752"/>
    <w:rsid w:val="08180841"/>
    <w:rsid w:val="0818089F"/>
    <w:rsid w:val="081808AA"/>
    <w:rsid w:val="08180A8A"/>
    <w:rsid w:val="08180AA1"/>
    <w:rsid w:val="08180AE5"/>
    <w:rsid w:val="08180C25"/>
    <w:rsid w:val="08180C6B"/>
    <w:rsid w:val="08180E19"/>
    <w:rsid w:val="08180EB7"/>
    <w:rsid w:val="08180EBE"/>
    <w:rsid w:val="08180F8C"/>
    <w:rsid w:val="08180FAC"/>
    <w:rsid w:val="08181025"/>
    <w:rsid w:val="08181097"/>
    <w:rsid w:val="08181132"/>
    <w:rsid w:val="08181169"/>
    <w:rsid w:val="081811C0"/>
    <w:rsid w:val="0818126C"/>
    <w:rsid w:val="08181279"/>
    <w:rsid w:val="081813DA"/>
    <w:rsid w:val="08181410"/>
    <w:rsid w:val="081815D3"/>
    <w:rsid w:val="081815E0"/>
    <w:rsid w:val="0818173B"/>
    <w:rsid w:val="08181747"/>
    <w:rsid w:val="081817BB"/>
    <w:rsid w:val="0818185A"/>
    <w:rsid w:val="081818B3"/>
    <w:rsid w:val="081818C6"/>
    <w:rsid w:val="08181950"/>
    <w:rsid w:val="08181977"/>
    <w:rsid w:val="081819A0"/>
    <w:rsid w:val="081819F5"/>
    <w:rsid w:val="08181A1C"/>
    <w:rsid w:val="08181A50"/>
    <w:rsid w:val="08181AC7"/>
    <w:rsid w:val="08181B82"/>
    <w:rsid w:val="08181D19"/>
    <w:rsid w:val="08181D32"/>
    <w:rsid w:val="08181DF9"/>
    <w:rsid w:val="08181E1A"/>
    <w:rsid w:val="08181E63"/>
    <w:rsid w:val="08181E76"/>
    <w:rsid w:val="08181F42"/>
    <w:rsid w:val="08181F46"/>
    <w:rsid w:val="08181FFA"/>
    <w:rsid w:val="081820B4"/>
    <w:rsid w:val="0818211C"/>
    <w:rsid w:val="08182140"/>
    <w:rsid w:val="08182195"/>
    <w:rsid w:val="0818219B"/>
    <w:rsid w:val="0818226D"/>
    <w:rsid w:val="081822F1"/>
    <w:rsid w:val="0818230B"/>
    <w:rsid w:val="0818234B"/>
    <w:rsid w:val="081823D1"/>
    <w:rsid w:val="081823E2"/>
    <w:rsid w:val="081824B9"/>
    <w:rsid w:val="081824E2"/>
    <w:rsid w:val="08182541"/>
    <w:rsid w:val="0818256C"/>
    <w:rsid w:val="08182636"/>
    <w:rsid w:val="08182869"/>
    <w:rsid w:val="08182993"/>
    <w:rsid w:val="081829A7"/>
    <w:rsid w:val="08182A3C"/>
    <w:rsid w:val="08182A80"/>
    <w:rsid w:val="08182A94"/>
    <w:rsid w:val="08182AB1"/>
    <w:rsid w:val="08182C22"/>
    <w:rsid w:val="08182C8A"/>
    <w:rsid w:val="08182C8B"/>
    <w:rsid w:val="08182D14"/>
    <w:rsid w:val="08182D40"/>
    <w:rsid w:val="08182DB9"/>
    <w:rsid w:val="08182DCC"/>
    <w:rsid w:val="08182F11"/>
    <w:rsid w:val="08183082"/>
    <w:rsid w:val="081830AF"/>
    <w:rsid w:val="081830FE"/>
    <w:rsid w:val="0818310C"/>
    <w:rsid w:val="0818317A"/>
    <w:rsid w:val="081831C9"/>
    <w:rsid w:val="0818322D"/>
    <w:rsid w:val="0818328A"/>
    <w:rsid w:val="081832FE"/>
    <w:rsid w:val="08183336"/>
    <w:rsid w:val="0818333A"/>
    <w:rsid w:val="0818337D"/>
    <w:rsid w:val="0818337F"/>
    <w:rsid w:val="08183393"/>
    <w:rsid w:val="081833CE"/>
    <w:rsid w:val="08183494"/>
    <w:rsid w:val="0818353C"/>
    <w:rsid w:val="081835C5"/>
    <w:rsid w:val="0818365A"/>
    <w:rsid w:val="08183867"/>
    <w:rsid w:val="081838A0"/>
    <w:rsid w:val="081838B6"/>
    <w:rsid w:val="081838E3"/>
    <w:rsid w:val="0818390F"/>
    <w:rsid w:val="08183939"/>
    <w:rsid w:val="08183A44"/>
    <w:rsid w:val="08183A4B"/>
    <w:rsid w:val="08183A7A"/>
    <w:rsid w:val="08183B9C"/>
    <w:rsid w:val="08183D02"/>
    <w:rsid w:val="08183E00"/>
    <w:rsid w:val="08183E72"/>
    <w:rsid w:val="08183EDF"/>
    <w:rsid w:val="0818401F"/>
    <w:rsid w:val="08184051"/>
    <w:rsid w:val="081840B5"/>
    <w:rsid w:val="081840F1"/>
    <w:rsid w:val="081841B8"/>
    <w:rsid w:val="08184366"/>
    <w:rsid w:val="08184408"/>
    <w:rsid w:val="0818445E"/>
    <w:rsid w:val="08184477"/>
    <w:rsid w:val="081844D9"/>
    <w:rsid w:val="0818465A"/>
    <w:rsid w:val="0818468F"/>
    <w:rsid w:val="081846D4"/>
    <w:rsid w:val="0818480E"/>
    <w:rsid w:val="08184837"/>
    <w:rsid w:val="0818490F"/>
    <w:rsid w:val="081849D9"/>
    <w:rsid w:val="08184A1B"/>
    <w:rsid w:val="08184A75"/>
    <w:rsid w:val="08184A78"/>
    <w:rsid w:val="08184AD9"/>
    <w:rsid w:val="08184B64"/>
    <w:rsid w:val="08184BD4"/>
    <w:rsid w:val="08184C25"/>
    <w:rsid w:val="08184C37"/>
    <w:rsid w:val="08184C50"/>
    <w:rsid w:val="08184E65"/>
    <w:rsid w:val="08184EF7"/>
    <w:rsid w:val="08184FE2"/>
    <w:rsid w:val="08184FFB"/>
    <w:rsid w:val="08185069"/>
    <w:rsid w:val="0818514C"/>
    <w:rsid w:val="081851A7"/>
    <w:rsid w:val="0818521E"/>
    <w:rsid w:val="0818528A"/>
    <w:rsid w:val="0818536D"/>
    <w:rsid w:val="08185379"/>
    <w:rsid w:val="0818537B"/>
    <w:rsid w:val="08185383"/>
    <w:rsid w:val="08185445"/>
    <w:rsid w:val="0818553D"/>
    <w:rsid w:val="0818553F"/>
    <w:rsid w:val="081855F7"/>
    <w:rsid w:val="08185616"/>
    <w:rsid w:val="081856ED"/>
    <w:rsid w:val="081856F7"/>
    <w:rsid w:val="08185877"/>
    <w:rsid w:val="08185891"/>
    <w:rsid w:val="081858BD"/>
    <w:rsid w:val="081858BE"/>
    <w:rsid w:val="081859B1"/>
    <w:rsid w:val="08185A67"/>
    <w:rsid w:val="08185B0C"/>
    <w:rsid w:val="08185B2B"/>
    <w:rsid w:val="08185BA0"/>
    <w:rsid w:val="08185BA2"/>
    <w:rsid w:val="08185C4B"/>
    <w:rsid w:val="08185C8D"/>
    <w:rsid w:val="08185CD9"/>
    <w:rsid w:val="08185EBD"/>
    <w:rsid w:val="08185F32"/>
    <w:rsid w:val="08185F50"/>
    <w:rsid w:val="08185F54"/>
    <w:rsid w:val="08185FE7"/>
    <w:rsid w:val="0818602F"/>
    <w:rsid w:val="081860EB"/>
    <w:rsid w:val="0818613D"/>
    <w:rsid w:val="08186178"/>
    <w:rsid w:val="08186371"/>
    <w:rsid w:val="081863C4"/>
    <w:rsid w:val="081863E8"/>
    <w:rsid w:val="0818645C"/>
    <w:rsid w:val="08186473"/>
    <w:rsid w:val="08186479"/>
    <w:rsid w:val="08186496"/>
    <w:rsid w:val="081864EA"/>
    <w:rsid w:val="081865D0"/>
    <w:rsid w:val="081865FB"/>
    <w:rsid w:val="0818666C"/>
    <w:rsid w:val="0818689D"/>
    <w:rsid w:val="0818692E"/>
    <w:rsid w:val="0818696D"/>
    <w:rsid w:val="08186A8B"/>
    <w:rsid w:val="08186BB1"/>
    <w:rsid w:val="08186BB7"/>
    <w:rsid w:val="08186CCF"/>
    <w:rsid w:val="08186D37"/>
    <w:rsid w:val="08186DE2"/>
    <w:rsid w:val="08186DED"/>
    <w:rsid w:val="08186E95"/>
    <w:rsid w:val="08186F59"/>
    <w:rsid w:val="08186F92"/>
    <w:rsid w:val="0818712C"/>
    <w:rsid w:val="081871DA"/>
    <w:rsid w:val="08187211"/>
    <w:rsid w:val="081872AB"/>
    <w:rsid w:val="08187372"/>
    <w:rsid w:val="0818738D"/>
    <w:rsid w:val="081873B0"/>
    <w:rsid w:val="081873ED"/>
    <w:rsid w:val="08187407"/>
    <w:rsid w:val="08187437"/>
    <w:rsid w:val="0818746F"/>
    <w:rsid w:val="08187685"/>
    <w:rsid w:val="0818768F"/>
    <w:rsid w:val="08187691"/>
    <w:rsid w:val="08187771"/>
    <w:rsid w:val="08187A2D"/>
    <w:rsid w:val="08187A54"/>
    <w:rsid w:val="08187A7F"/>
    <w:rsid w:val="08187B5D"/>
    <w:rsid w:val="08187B9F"/>
    <w:rsid w:val="08187E18"/>
    <w:rsid w:val="08187E50"/>
    <w:rsid w:val="08187E54"/>
    <w:rsid w:val="08187E82"/>
    <w:rsid w:val="08187E9D"/>
    <w:rsid w:val="08187EA8"/>
    <w:rsid w:val="08187EAD"/>
    <w:rsid w:val="08187EFC"/>
    <w:rsid w:val="08187F14"/>
    <w:rsid w:val="08187F5A"/>
    <w:rsid w:val="08187FC2"/>
    <w:rsid w:val="08187FE9"/>
    <w:rsid w:val="08190066"/>
    <w:rsid w:val="0819011E"/>
    <w:rsid w:val="08190124"/>
    <w:rsid w:val="08190227"/>
    <w:rsid w:val="08190261"/>
    <w:rsid w:val="08190353"/>
    <w:rsid w:val="081903A2"/>
    <w:rsid w:val="08190441"/>
    <w:rsid w:val="08190569"/>
    <w:rsid w:val="08190571"/>
    <w:rsid w:val="08190661"/>
    <w:rsid w:val="0819067F"/>
    <w:rsid w:val="08190732"/>
    <w:rsid w:val="0819078F"/>
    <w:rsid w:val="08190793"/>
    <w:rsid w:val="081907AF"/>
    <w:rsid w:val="081908C5"/>
    <w:rsid w:val="08190999"/>
    <w:rsid w:val="08190C13"/>
    <w:rsid w:val="08190C40"/>
    <w:rsid w:val="08190C64"/>
    <w:rsid w:val="08190C65"/>
    <w:rsid w:val="08190C8F"/>
    <w:rsid w:val="08190CBA"/>
    <w:rsid w:val="08190D12"/>
    <w:rsid w:val="08190F52"/>
    <w:rsid w:val="08190F8D"/>
    <w:rsid w:val="08190FA7"/>
    <w:rsid w:val="0819100B"/>
    <w:rsid w:val="08191037"/>
    <w:rsid w:val="081910C9"/>
    <w:rsid w:val="08191175"/>
    <w:rsid w:val="081911CF"/>
    <w:rsid w:val="08191314"/>
    <w:rsid w:val="0819131D"/>
    <w:rsid w:val="081913E1"/>
    <w:rsid w:val="081913FC"/>
    <w:rsid w:val="081914D1"/>
    <w:rsid w:val="08191582"/>
    <w:rsid w:val="08191585"/>
    <w:rsid w:val="0819169C"/>
    <w:rsid w:val="08191716"/>
    <w:rsid w:val="081917B0"/>
    <w:rsid w:val="08191821"/>
    <w:rsid w:val="0819185C"/>
    <w:rsid w:val="0819195F"/>
    <w:rsid w:val="08191A29"/>
    <w:rsid w:val="08191A2D"/>
    <w:rsid w:val="08191A77"/>
    <w:rsid w:val="08191ACA"/>
    <w:rsid w:val="08191B6B"/>
    <w:rsid w:val="08191B8C"/>
    <w:rsid w:val="08191BE5"/>
    <w:rsid w:val="08191CD5"/>
    <w:rsid w:val="08191D15"/>
    <w:rsid w:val="08191D3A"/>
    <w:rsid w:val="08191F2F"/>
    <w:rsid w:val="08191F7A"/>
    <w:rsid w:val="08191F9A"/>
    <w:rsid w:val="0819201F"/>
    <w:rsid w:val="08192035"/>
    <w:rsid w:val="081920B6"/>
    <w:rsid w:val="08192221"/>
    <w:rsid w:val="0819229A"/>
    <w:rsid w:val="08192404"/>
    <w:rsid w:val="08192504"/>
    <w:rsid w:val="08192527"/>
    <w:rsid w:val="081925B2"/>
    <w:rsid w:val="081926AE"/>
    <w:rsid w:val="081926C4"/>
    <w:rsid w:val="0819277C"/>
    <w:rsid w:val="081927D6"/>
    <w:rsid w:val="08192843"/>
    <w:rsid w:val="08192853"/>
    <w:rsid w:val="08192871"/>
    <w:rsid w:val="0819289C"/>
    <w:rsid w:val="081929DA"/>
    <w:rsid w:val="08192A13"/>
    <w:rsid w:val="08192A30"/>
    <w:rsid w:val="08192A6B"/>
    <w:rsid w:val="08192AB5"/>
    <w:rsid w:val="08192B1D"/>
    <w:rsid w:val="08192B56"/>
    <w:rsid w:val="08192C1D"/>
    <w:rsid w:val="08192CD9"/>
    <w:rsid w:val="08192CFD"/>
    <w:rsid w:val="08192D45"/>
    <w:rsid w:val="08192DC4"/>
    <w:rsid w:val="08192E9F"/>
    <w:rsid w:val="08192EC8"/>
    <w:rsid w:val="08192F13"/>
    <w:rsid w:val="08192F3D"/>
    <w:rsid w:val="08192F99"/>
    <w:rsid w:val="08192FC7"/>
    <w:rsid w:val="08192FE6"/>
    <w:rsid w:val="08193017"/>
    <w:rsid w:val="0819308A"/>
    <w:rsid w:val="081930E1"/>
    <w:rsid w:val="081931EE"/>
    <w:rsid w:val="0819322B"/>
    <w:rsid w:val="0819341F"/>
    <w:rsid w:val="08193453"/>
    <w:rsid w:val="0819348B"/>
    <w:rsid w:val="0819358E"/>
    <w:rsid w:val="081935A6"/>
    <w:rsid w:val="081935FE"/>
    <w:rsid w:val="08193632"/>
    <w:rsid w:val="08193643"/>
    <w:rsid w:val="0819364F"/>
    <w:rsid w:val="08193655"/>
    <w:rsid w:val="0819367C"/>
    <w:rsid w:val="081936C8"/>
    <w:rsid w:val="0819372C"/>
    <w:rsid w:val="08193762"/>
    <w:rsid w:val="081938DD"/>
    <w:rsid w:val="08193900"/>
    <w:rsid w:val="08193913"/>
    <w:rsid w:val="081939B3"/>
    <w:rsid w:val="081939C8"/>
    <w:rsid w:val="08193A0D"/>
    <w:rsid w:val="08193AE6"/>
    <w:rsid w:val="08193B25"/>
    <w:rsid w:val="08193B4A"/>
    <w:rsid w:val="08193BA6"/>
    <w:rsid w:val="08193BF8"/>
    <w:rsid w:val="08193C1B"/>
    <w:rsid w:val="08193C34"/>
    <w:rsid w:val="08193C69"/>
    <w:rsid w:val="08193D3D"/>
    <w:rsid w:val="08193DF4"/>
    <w:rsid w:val="08193E62"/>
    <w:rsid w:val="08193F26"/>
    <w:rsid w:val="08193F6B"/>
    <w:rsid w:val="08193F95"/>
    <w:rsid w:val="08194020"/>
    <w:rsid w:val="08194114"/>
    <w:rsid w:val="0819415B"/>
    <w:rsid w:val="08194198"/>
    <w:rsid w:val="081941CE"/>
    <w:rsid w:val="081942A4"/>
    <w:rsid w:val="08194393"/>
    <w:rsid w:val="081943CF"/>
    <w:rsid w:val="081943D3"/>
    <w:rsid w:val="0819446B"/>
    <w:rsid w:val="081944DE"/>
    <w:rsid w:val="08194569"/>
    <w:rsid w:val="081945A4"/>
    <w:rsid w:val="08194622"/>
    <w:rsid w:val="081946A5"/>
    <w:rsid w:val="081946E6"/>
    <w:rsid w:val="081946EB"/>
    <w:rsid w:val="08194722"/>
    <w:rsid w:val="081947BC"/>
    <w:rsid w:val="08194850"/>
    <w:rsid w:val="0819485B"/>
    <w:rsid w:val="0819498B"/>
    <w:rsid w:val="081949BB"/>
    <w:rsid w:val="08194A73"/>
    <w:rsid w:val="08194AF8"/>
    <w:rsid w:val="08194BAB"/>
    <w:rsid w:val="08194BFD"/>
    <w:rsid w:val="08194C53"/>
    <w:rsid w:val="08194CB5"/>
    <w:rsid w:val="08194CBA"/>
    <w:rsid w:val="08194CD6"/>
    <w:rsid w:val="08194D7D"/>
    <w:rsid w:val="08194E22"/>
    <w:rsid w:val="08194FD7"/>
    <w:rsid w:val="08194FEC"/>
    <w:rsid w:val="081950F5"/>
    <w:rsid w:val="081950FF"/>
    <w:rsid w:val="08195137"/>
    <w:rsid w:val="08195148"/>
    <w:rsid w:val="08195222"/>
    <w:rsid w:val="081952AB"/>
    <w:rsid w:val="081952D5"/>
    <w:rsid w:val="08195361"/>
    <w:rsid w:val="08195399"/>
    <w:rsid w:val="081953AB"/>
    <w:rsid w:val="081953D7"/>
    <w:rsid w:val="08195486"/>
    <w:rsid w:val="081954CC"/>
    <w:rsid w:val="0819558A"/>
    <w:rsid w:val="081955A7"/>
    <w:rsid w:val="081956AD"/>
    <w:rsid w:val="081956E4"/>
    <w:rsid w:val="081957ED"/>
    <w:rsid w:val="08195852"/>
    <w:rsid w:val="08195A08"/>
    <w:rsid w:val="08195A15"/>
    <w:rsid w:val="08195A1C"/>
    <w:rsid w:val="08195A51"/>
    <w:rsid w:val="08195A8A"/>
    <w:rsid w:val="08195A8D"/>
    <w:rsid w:val="08195ADA"/>
    <w:rsid w:val="08195B5A"/>
    <w:rsid w:val="08195BB4"/>
    <w:rsid w:val="08195C41"/>
    <w:rsid w:val="08195CF0"/>
    <w:rsid w:val="08195D6C"/>
    <w:rsid w:val="08195DBC"/>
    <w:rsid w:val="08195E8C"/>
    <w:rsid w:val="08195EA0"/>
    <w:rsid w:val="08195EB3"/>
    <w:rsid w:val="08195ED7"/>
    <w:rsid w:val="08195F8E"/>
    <w:rsid w:val="08196050"/>
    <w:rsid w:val="081960AF"/>
    <w:rsid w:val="081961D1"/>
    <w:rsid w:val="08196243"/>
    <w:rsid w:val="0819636B"/>
    <w:rsid w:val="08196490"/>
    <w:rsid w:val="08196651"/>
    <w:rsid w:val="08196685"/>
    <w:rsid w:val="081966C8"/>
    <w:rsid w:val="081967F2"/>
    <w:rsid w:val="08196800"/>
    <w:rsid w:val="08196891"/>
    <w:rsid w:val="081968A0"/>
    <w:rsid w:val="081968B9"/>
    <w:rsid w:val="081968F6"/>
    <w:rsid w:val="08196955"/>
    <w:rsid w:val="08196964"/>
    <w:rsid w:val="08196971"/>
    <w:rsid w:val="08196AC8"/>
    <w:rsid w:val="08196BA9"/>
    <w:rsid w:val="08196BB5"/>
    <w:rsid w:val="08196BC0"/>
    <w:rsid w:val="08196C1A"/>
    <w:rsid w:val="08196C56"/>
    <w:rsid w:val="08196E77"/>
    <w:rsid w:val="08196E9F"/>
    <w:rsid w:val="08196F87"/>
    <w:rsid w:val="08196FB3"/>
    <w:rsid w:val="08197025"/>
    <w:rsid w:val="0819706C"/>
    <w:rsid w:val="081970B7"/>
    <w:rsid w:val="081970FF"/>
    <w:rsid w:val="0819710B"/>
    <w:rsid w:val="081972E4"/>
    <w:rsid w:val="08197392"/>
    <w:rsid w:val="081974D3"/>
    <w:rsid w:val="081974E3"/>
    <w:rsid w:val="081974F2"/>
    <w:rsid w:val="081974FC"/>
    <w:rsid w:val="08197564"/>
    <w:rsid w:val="0819756D"/>
    <w:rsid w:val="081975D5"/>
    <w:rsid w:val="081976E5"/>
    <w:rsid w:val="0819774B"/>
    <w:rsid w:val="08197782"/>
    <w:rsid w:val="0819779D"/>
    <w:rsid w:val="081977A2"/>
    <w:rsid w:val="081977D8"/>
    <w:rsid w:val="081978C8"/>
    <w:rsid w:val="08197931"/>
    <w:rsid w:val="081979A2"/>
    <w:rsid w:val="081979D6"/>
    <w:rsid w:val="081979E8"/>
    <w:rsid w:val="08197A0A"/>
    <w:rsid w:val="08197A50"/>
    <w:rsid w:val="08197A94"/>
    <w:rsid w:val="08197AB1"/>
    <w:rsid w:val="08197B29"/>
    <w:rsid w:val="08197CC9"/>
    <w:rsid w:val="08197D79"/>
    <w:rsid w:val="08197D96"/>
    <w:rsid w:val="08197D99"/>
    <w:rsid w:val="08197EBC"/>
    <w:rsid w:val="08197F52"/>
    <w:rsid w:val="08197F61"/>
    <w:rsid w:val="08197F89"/>
    <w:rsid w:val="08197FD0"/>
    <w:rsid w:val="081A0045"/>
    <w:rsid w:val="081A007E"/>
    <w:rsid w:val="081A011C"/>
    <w:rsid w:val="081A0187"/>
    <w:rsid w:val="081A0269"/>
    <w:rsid w:val="081A02C0"/>
    <w:rsid w:val="081A02FF"/>
    <w:rsid w:val="081A0423"/>
    <w:rsid w:val="081A0428"/>
    <w:rsid w:val="081A04CB"/>
    <w:rsid w:val="081A050A"/>
    <w:rsid w:val="081A0555"/>
    <w:rsid w:val="081A05DC"/>
    <w:rsid w:val="081A062A"/>
    <w:rsid w:val="081A0645"/>
    <w:rsid w:val="081A06C7"/>
    <w:rsid w:val="081A06E1"/>
    <w:rsid w:val="081A0755"/>
    <w:rsid w:val="081A08D0"/>
    <w:rsid w:val="081A08F5"/>
    <w:rsid w:val="081A0954"/>
    <w:rsid w:val="081A0A52"/>
    <w:rsid w:val="081A0AC2"/>
    <w:rsid w:val="081A0B6D"/>
    <w:rsid w:val="081A0B7F"/>
    <w:rsid w:val="081A0C92"/>
    <w:rsid w:val="081A0CE2"/>
    <w:rsid w:val="081A0CEA"/>
    <w:rsid w:val="081A0CF3"/>
    <w:rsid w:val="081A0D51"/>
    <w:rsid w:val="081A0E01"/>
    <w:rsid w:val="081A0EB2"/>
    <w:rsid w:val="081A0EFE"/>
    <w:rsid w:val="081A1106"/>
    <w:rsid w:val="081A1108"/>
    <w:rsid w:val="081A1245"/>
    <w:rsid w:val="081A1334"/>
    <w:rsid w:val="081A133B"/>
    <w:rsid w:val="081A1357"/>
    <w:rsid w:val="081A13B0"/>
    <w:rsid w:val="081A13D8"/>
    <w:rsid w:val="081A14ED"/>
    <w:rsid w:val="081A150E"/>
    <w:rsid w:val="081A1535"/>
    <w:rsid w:val="081A15D8"/>
    <w:rsid w:val="081A167F"/>
    <w:rsid w:val="081A16CE"/>
    <w:rsid w:val="081A16D3"/>
    <w:rsid w:val="081A17D5"/>
    <w:rsid w:val="081A1958"/>
    <w:rsid w:val="081A197A"/>
    <w:rsid w:val="081A1B14"/>
    <w:rsid w:val="081A1BA4"/>
    <w:rsid w:val="081A1D24"/>
    <w:rsid w:val="081A1DE3"/>
    <w:rsid w:val="081A1EFA"/>
    <w:rsid w:val="081A1F02"/>
    <w:rsid w:val="081A1F98"/>
    <w:rsid w:val="081A1FB6"/>
    <w:rsid w:val="081A2102"/>
    <w:rsid w:val="081A21F2"/>
    <w:rsid w:val="081A21F9"/>
    <w:rsid w:val="081A235E"/>
    <w:rsid w:val="081A2367"/>
    <w:rsid w:val="081A2397"/>
    <w:rsid w:val="081A23DA"/>
    <w:rsid w:val="081A246B"/>
    <w:rsid w:val="081A24E9"/>
    <w:rsid w:val="081A2531"/>
    <w:rsid w:val="081A2555"/>
    <w:rsid w:val="081A2564"/>
    <w:rsid w:val="081A259B"/>
    <w:rsid w:val="081A2638"/>
    <w:rsid w:val="081A2641"/>
    <w:rsid w:val="081A26FB"/>
    <w:rsid w:val="081A2727"/>
    <w:rsid w:val="081A27FB"/>
    <w:rsid w:val="081A2849"/>
    <w:rsid w:val="081A2886"/>
    <w:rsid w:val="081A290A"/>
    <w:rsid w:val="081A29BF"/>
    <w:rsid w:val="081A2B1C"/>
    <w:rsid w:val="081A2B66"/>
    <w:rsid w:val="081A2C28"/>
    <w:rsid w:val="081A2C51"/>
    <w:rsid w:val="081A2C7D"/>
    <w:rsid w:val="081A2D71"/>
    <w:rsid w:val="081A2D86"/>
    <w:rsid w:val="081A2DD3"/>
    <w:rsid w:val="081A2DDF"/>
    <w:rsid w:val="081A2E9E"/>
    <w:rsid w:val="081A2F0B"/>
    <w:rsid w:val="081A3027"/>
    <w:rsid w:val="081A3040"/>
    <w:rsid w:val="081A3074"/>
    <w:rsid w:val="081A31BD"/>
    <w:rsid w:val="081A31EE"/>
    <w:rsid w:val="081A3254"/>
    <w:rsid w:val="081A325B"/>
    <w:rsid w:val="081A32D8"/>
    <w:rsid w:val="081A32DA"/>
    <w:rsid w:val="081A32F9"/>
    <w:rsid w:val="081A33BA"/>
    <w:rsid w:val="081A33C3"/>
    <w:rsid w:val="081A340C"/>
    <w:rsid w:val="081A34BD"/>
    <w:rsid w:val="081A34D4"/>
    <w:rsid w:val="081A3507"/>
    <w:rsid w:val="081A354E"/>
    <w:rsid w:val="081A3568"/>
    <w:rsid w:val="081A35B0"/>
    <w:rsid w:val="081A36BA"/>
    <w:rsid w:val="081A3724"/>
    <w:rsid w:val="081A374D"/>
    <w:rsid w:val="081A374E"/>
    <w:rsid w:val="081A3806"/>
    <w:rsid w:val="081A38A0"/>
    <w:rsid w:val="081A39E3"/>
    <w:rsid w:val="081A39EC"/>
    <w:rsid w:val="081A39F9"/>
    <w:rsid w:val="081A3AEA"/>
    <w:rsid w:val="081A3B31"/>
    <w:rsid w:val="081A3B5F"/>
    <w:rsid w:val="081A3CD2"/>
    <w:rsid w:val="081A3D70"/>
    <w:rsid w:val="081A3E4E"/>
    <w:rsid w:val="081A3EAC"/>
    <w:rsid w:val="081A413C"/>
    <w:rsid w:val="081A42F4"/>
    <w:rsid w:val="081A42F5"/>
    <w:rsid w:val="081A4384"/>
    <w:rsid w:val="081A43AA"/>
    <w:rsid w:val="081A443C"/>
    <w:rsid w:val="081A453B"/>
    <w:rsid w:val="081A453D"/>
    <w:rsid w:val="081A45CD"/>
    <w:rsid w:val="081A45DF"/>
    <w:rsid w:val="081A471D"/>
    <w:rsid w:val="081A4740"/>
    <w:rsid w:val="081A4764"/>
    <w:rsid w:val="081A47A3"/>
    <w:rsid w:val="081A47B0"/>
    <w:rsid w:val="081A47B5"/>
    <w:rsid w:val="081A47D5"/>
    <w:rsid w:val="081A4801"/>
    <w:rsid w:val="081A4811"/>
    <w:rsid w:val="081A48CE"/>
    <w:rsid w:val="081A4929"/>
    <w:rsid w:val="081A49B7"/>
    <w:rsid w:val="081A49D3"/>
    <w:rsid w:val="081A4A31"/>
    <w:rsid w:val="081A4A34"/>
    <w:rsid w:val="081A4A62"/>
    <w:rsid w:val="081A4AE3"/>
    <w:rsid w:val="081A4B89"/>
    <w:rsid w:val="081A4C5A"/>
    <w:rsid w:val="081A4C85"/>
    <w:rsid w:val="081A4CDE"/>
    <w:rsid w:val="081A4D3A"/>
    <w:rsid w:val="081A4D6A"/>
    <w:rsid w:val="081A4D92"/>
    <w:rsid w:val="081A4D98"/>
    <w:rsid w:val="081A501E"/>
    <w:rsid w:val="081A502C"/>
    <w:rsid w:val="081A50CF"/>
    <w:rsid w:val="081A525A"/>
    <w:rsid w:val="081A53B5"/>
    <w:rsid w:val="081A5510"/>
    <w:rsid w:val="081A551B"/>
    <w:rsid w:val="081A561D"/>
    <w:rsid w:val="081A5698"/>
    <w:rsid w:val="081A572C"/>
    <w:rsid w:val="081A5772"/>
    <w:rsid w:val="081A577D"/>
    <w:rsid w:val="081A5793"/>
    <w:rsid w:val="081A57C5"/>
    <w:rsid w:val="081A58A0"/>
    <w:rsid w:val="081A58B0"/>
    <w:rsid w:val="081A599C"/>
    <w:rsid w:val="081A5A0A"/>
    <w:rsid w:val="081A5A1D"/>
    <w:rsid w:val="081A5A79"/>
    <w:rsid w:val="081A5B37"/>
    <w:rsid w:val="081A5C1A"/>
    <w:rsid w:val="081A5C28"/>
    <w:rsid w:val="081A5C61"/>
    <w:rsid w:val="081A5E56"/>
    <w:rsid w:val="081A5F13"/>
    <w:rsid w:val="081A5FC7"/>
    <w:rsid w:val="081A5FFA"/>
    <w:rsid w:val="081A601E"/>
    <w:rsid w:val="081A606A"/>
    <w:rsid w:val="081A606B"/>
    <w:rsid w:val="081A61E7"/>
    <w:rsid w:val="081A63A2"/>
    <w:rsid w:val="081A63CA"/>
    <w:rsid w:val="081A63CC"/>
    <w:rsid w:val="081A63F4"/>
    <w:rsid w:val="081A6428"/>
    <w:rsid w:val="081A6451"/>
    <w:rsid w:val="081A64AA"/>
    <w:rsid w:val="081A64E7"/>
    <w:rsid w:val="081A6520"/>
    <w:rsid w:val="081A6533"/>
    <w:rsid w:val="081A659D"/>
    <w:rsid w:val="081A65D0"/>
    <w:rsid w:val="081A6696"/>
    <w:rsid w:val="081A66DE"/>
    <w:rsid w:val="081A675A"/>
    <w:rsid w:val="081A676F"/>
    <w:rsid w:val="081A681C"/>
    <w:rsid w:val="081A6859"/>
    <w:rsid w:val="081A6865"/>
    <w:rsid w:val="081A6878"/>
    <w:rsid w:val="081A68D1"/>
    <w:rsid w:val="081A699A"/>
    <w:rsid w:val="081A6A80"/>
    <w:rsid w:val="081A6AD8"/>
    <w:rsid w:val="081A6AE6"/>
    <w:rsid w:val="081A6B8E"/>
    <w:rsid w:val="081A6C65"/>
    <w:rsid w:val="081A6D00"/>
    <w:rsid w:val="081A6D1B"/>
    <w:rsid w:val="081A6DE6"/>
    <w:rsid w:val="081A6E1F"/>
    <w:rsid w:val="081A6E25"/>
    <w:rsid w:val="081A6E59"/>
    <w:rsid w:val="081A70FE"/>
    <w:rsid w:val="081A71AF"/>
    <w:rsid w:val="081A71D2"/>
    <w:rsid w:val="081A7362"/>
    <w:rsid w:val="081A736A"/>
    <w:rsid w:val="081A7572"/>
    <w:rsid w:val="081A75C0"/>
    <w:rsid w:val="081A7634"/>
    <w:rsid w:val="081A7674"/>
    <w:rsid w:val="081A767E"/>
    <w:rsid w:val="081A76C6"/>
    <w:rsid w:val="081A76EC"/>
    <w:rsid w:val="081A7703"/>
    <w:rsid w:val="081A772C"/>
    <w:rsid w:val="081A782B"/>
    <w:rsid w:val="081A7868"/>
    <w:rsid w:val="081A7896"/>
    <w:rsid w:val="081A789E"/>
    <w:rsid w:val="081A793C"/>
    <w:rsid w:val="081A796F"/>
    <w:rsid w:val="081A79FD"/>
    <w:rsid w:val="081A7A58"/>
    <w:rsid w:val="081A7AB1"/>
    <w:rsid w:val="081A7B99"/>
    <w:rsid w:val="081A7BFC"/>
    <w:rsid w:val="081A7CAD"/>
    <w:rsid w:val="081A7CB2"/>
    <w:rsid w:val="081A7D2D"/>
    <w:rsid w:val="081A7F2A"/>
    <w:rsid w:val="081B011B"/>
    <w:rsid w:val="081B017A"/>
    <w:rsid w:val="081B0224"/>
    <w:rsid w:val="081B030C"/>
    <w:rsid w:val="081B038B"/>
    <w:rsid w:val="081B05D1"/>
    <w:rsid w:val="081B0648"/>
    <w:rsid w:val="081B0675"/>
    <w:rsid w:val="081B06BE"/>
    <w:rsid w:val="081B078D"/>
    <w:rsid w:val="081B088D"/>
    <w:rsid w:val="081B08AC"/>
    <w:rsid w:val="081B08B0"/>
    <w:rsid w:val="081B0925"/>
    <w:rsid w:val="081B0989"/>
    <w:rsid w:val="081B0AD3"/>
    <w:rsid w:val="081B0B97"/>
    <w:rsid w:val="081B0C35"/>
    <w:rsid w:val="081B0C79"/>
    <w:rsid w:val="081B0EB5"/>
    <w:rsid w:val="081B0EDB"/>
    <w:rsid w:val="081B0F2D"/>
    <w:rsid w:val="081B1030"/>
    <w:rsid w:val="081B1042"/>
    <w:rsid w:val="081B107E"/>
    <w:rsid w:val="081B10B0"/>
    <w:rsid w:val="081B10B3"/>
    <w:rsid w:val="081B110B"/>
    <w:rsid w:val="081B1131"/>
    <w:rsid w:val="081B1147"/>
    <w:rsid w:val="081B11DF"/>
    <w:rsid w:val="081B11F8"/>
    <w:rsid w:val="081B1202"/>
    <w:rsid w:val="081B121C"/>
    <w:rsid w:val="081B1287"/>
    <w:rsid w:val="081B12FC"/>
    <w:rsid w:val="081B1425"/>
    <w:rsid w:val="081B144A"/>
    <w:rsid w:val="081B1474"/>
    <w:rsid w:val="081B14B2"/>
    <w:rsid w:val="081B1595"/>
    <w:rsid w:val="081B15C9"/>
    <w:rsid w:val="081B15D8"/>
    <w:rsid w:val="081B1646"/>
    <w:rsid w:val="081B1654"/>
    <w:rsid w:val="081B1681"/>
    <w:rsid w:val="081B1731"/>
    <w:rsid w:val="081B1750"/>
    <w:rsid w:val="081B1770"/>
    <w:rsid w:val="081B19B5"/>
    <w:rsid w:val="081B19BE"/>
    <w:rsid w:val="081B19DF"/>
    <w:rsid w:val="081B1A10"/>
    <w:rsid w:val="081B1B41"/>
    <w:rsid w:val="081B1B68"/>
    <w:rsid w:val="081B1B71"/>
    <w:rsid w:val="081B1C0D"/>
    <w:rsid w:val="081B1C2C"/>
    <w:rsid w:val="081B1C6F"/>
    <w:rsid w:val="081B1CE8"/>
    <w:rsid w:val="081B1D98"/>
    <w:rsid w:val="081B1E27"/>
    <w:rsid w:val="081B1EF1"/>
    <w:rsid w:val="081B1F35"/>
    <w:rsid w:val="081B2063"/>
    <w:rsid w:val="081B20A8"/>
    <w:rsid w:val="081B20C0"/>
    <w:rsid w:val="081B20CE"/>
    <w:rsid w:val="081B2116"/>
    <w:rsid w:val="081B2132"/>
    <w:rsid w:val="081B228D"/>
    <w:rsid w:val="081B22C4"/>
    <w:rsid w:val="081B238A"/>
    <w:rsid w:val="081B23C3"/>
    <w:rsid w:val="081B23C6"/>
    <w:rsid w:val="081B240D"/>
    <w:rsid w:val="081B2431"/>
    <w:rsid w:val="081B24E8"/>
    <w:rsid w:val="081B24F0"/>
    <w:rsid w:val="081B256D"/>
    <w:rsid w:val="081B25A3"/>
    <w:rsid w:val="081B25BF"/>
    <w:rsid w:val="081B25C4"/>
    <w:rsid w:val="081B2633"/>
    <w:rsid w:val="081B273B"/>
    <w:rsid w:val="081B2745"/>
    <w:rsid w:val="081B2779"/>
    <w:rsid w:val="081B27AE"/>
    <w:rsid w:val="081B2848"/>
    <w:rsid w:val="081B28EE"/>
    <w:rsid w:val="081B2929"/>
    <w:rsid w:val="081B29E6"/>
    <w:rsid w:val="081B2A35"/>
    <w:rsid w:val="081B2A54"/>
    <w:rsid w:val="081B2A85"/>
    <w:rsid w:val="081B2BA4"/>
    <w:rsid w:val="081B2BD5"/>
    <w:rsid w:val="081B2BDC"/>
    <w:rsid w:val="081B2C18"/>
    <w:rsid w:val="081B2C33"/>
    <w:rsid w:val="081B2CCF"/>
    <w:rsid w:val="081B2D55"/>
    <w:rsid w:val="081B2DBF"/>
    <w:rsid w:val="081B2E3B"/>
    <w:rsid w:val="081B2EBA"/>
    <w:rsid w:val="081B2EC7"/>
    <w:rsid w:val="081B2F47"/>
    <w:rsid w:val="081B2F66"/>
    <w:rsid w:val="081B2F88"/>
    <w:rsid w:val="081B2FA8"/>
    <w:rsid w:val="081B2FB7"/>
    <w:rsid w:val="081B2FD7"/>
    <w:rsid w:val="081B3018"/>
    <w:rsid w:val="081B3040"/>
    <w:rsid w:val="081B3091"/>
    <w:rsid w:val="081B3132"/>
    <w:rsid w:val="081B3146"/>
    <w:rsid w:val="081B3173"/>
    <w:rsid w:val="081B31A4"/>
    <w:rsid w:val="081B3236"/>
    <w:rsid w:val="081B324E"/>
    <w:rsid w:val="081B3261"/>
    <w:rsid w:val="081B32C8"/>
    <w:rsid w:val="081B338B"/>
    <w:rsid w:val="081B33AF"/>
    <w:rsid w:val="081B3400"/>
    <w:rsid w:val="081B3401"/>
    <w:rsid w:val="081B341F"/>
    <w:rsid w:val="081B3427"/>
    <w:rsid w:val="081B3461"/>
    <w:rsid w:val="081B34A4"/>
    <w:rsid w:val="081B3526"/>
    <w:rsid w:val="081B3529"/>
    <w:rsid w:val="081B3554"/>
    <w:rsid w:val="081B367A"/>
    <w:rsid w:val="081B36AC"/>
    <w:rsid w:val="081B3711"/>
    <w:rsid w:val="081B3818"/>
    <w:rsid w:val="081B38C8"/>
    <w:rsid w:val="081B38D0"/>
    <w:rsid w:val="081B3959"/>
    <w:rsid w:val="081B3AF8"/>
    <w:rsid w:val="081B3B2C"/>
    <w:rsid w:val="081B3BA0"/>
    <w:rsid w:val="081B3BA9"/>
    <w:rsid w:val="081B3BB0"/>
    <w:rsid w:val="081B3C7A"/>
    <w:rsid w:val="081B3C99"/>
    <w:rsid w:val="081B3CD5"/>
    <w:rsid w:val="081B3DDF"/>
    <w:rsid w:val="081B3FB1"/>
    <w:rsid w:val="081B3FDA"/>
    <w:rsid w:val="081B4051"/>
    <w:rsid w:val="081B4088"/>
    <w:rsid w:val="081B4094"/>
    <w:rsid w:val="081B4120"/>
    <w:rsid w:val="081B4125"/>
    <w:rsid w:val="081B416D"/>
    <w:rsid w:val="081B41C9"/>
    <w:rsid w:val="081B41F0"/>
    <w:rsid w:val="081B4229"/>
    <w:rsid w:val="081B44DE"/>
    <w:rsid w:val="081B4568"/>
    <w:rsid w:val="081B45BE"/>
    <w:rsid w:val="081B47D2"/>
    <w:rsid w:val="081B4804"/>
    <w:rsid w:val="081B485C"/>
    <w:rsid w:val="081B488B"/>
    <w:rsid w:val="081B488D"/>
    <w:rsid w:val="081B48A8"/>
    <w:rsid w:val="081B4A06"/>
    <w:rsid w:val="081B4A3F"/>
    <w:rsid w:val="081B4A65"/>
    <w:rsid w:val="081B4AB9"/>
    <w:rsid w:val="081B4B2B"/>
    <w:rsid w:val="081B4C21"/>
    <w:rsid w:val="081B4C23"/>
    <w:rsid w:val="081B4CB8"/>
    <w:rsid w:val="081B4D80"/>
    <w:rsid w:val="081B4D83"/>
    <w:rsid w:val="081B4E50"/>
    <w:rsid w:val="081B4E96"/>
    <w:rsid w:val="081B4EA5"/>
    <w:rsid w:val="081B4EBC"/>
    <w:rsid w:val="081B4EFD"/>
    <w:rsid w:val="081B4F22"/>
    <w:rsid w:val="081B4FF5"/>
    <w:rsid w:val="081B5008"/>
    <w:rsid w:val="081B501E"/>
    <w:rsid w:val="081B5069"/>
    <w:rsid w:val="081B5101"/>
    <w:rsid w:val="081B522B"/>
    <w:rsid w:val="081B5260"/>
    <w:rsid w:val="081B528A"/>
    <w:rsid w:val="081B52B2"/>
    <w:rsid w:val="081B531E"/>
    <w:rsid w:val="081B5349"/>
    <w:rsid w:val="081B5393"/>
    <w:rsid w:val="081B53AF"/>
    <w:rsid w:val="081B53B5"/>
    <w:rsid w:val="081B53C1"/>
    <w:rsid w:val="081B5468"/>
    <w:rsid w:val="081B55FF"/>
    <w:rsid w:val="081B56E3"/>
    <w:rsid w:val="081B56EE"/>
    <w:rsid w:val="081B57BA"/>
    <w:rsid w:val="081B5832"/>
    <w:rsid w:val="081B5938"/>
    <w:rsid w:val="081B595A"/>
    <w:rsid w:val="081B5963"/>
    <w:rsid w:val="081B597B"/>
    <w:rsid w:val="081B5A57"/>
    <w:rsid w:val="081B5AF4"/>
    <w:rsid w:val="081B5B9D"/>
    <w:rsid w:val="081B5BE6"/>
    <w:rsid w:val="081B5BED"/>
    <w:rsid w:val="081B5C13"/>
    <w:rsid w:val="081B5C18"/>
    <w:rsid w:val="081B5C30"/>
    <w:rsid w:val="081B5CC6"/>
    <w:rsid w:val="081B5CD0"/>
    <w:rsid w:val="081B5D35"/>
    <w:rsid w:val="081B5D4C"/>
    <w:rsid w:val="081B5D6F"/>
    <w:rsid w:val="081B5DA4"/>
    <w:rsid w:val="081B5DBF"/>
    <w:rsid w:val="081B5F7D"/>
    <w:rsid w:val="081B5FC2"/>
    <w:rsid w:val="081B6137"/>
    <w:rsid w:val="081B61DB"/>
    <w:rsid w:val="081B6246"/>
    <w:rsid w:val="081B6357"/>
    <w:rsid w:val="081B6476"/>
    <w:rsid w:val="081B64CD"/>
    <w:rsid w:val="081B6557"/>
    <w:rsid w:val="081B6605"/>
    <w:rsid w:val="081B66A4"/>
    <w:rsid w:val="081B66F6"/>
    <w:rsid w:val="081B681A"/>
    <w:rsid w:val="081B68E0"/>
    <w:rsid w:val="081B6962"/>
    <w:rsid w:val="081B6990"/>
    <w:rsid w:val="081B69D1"/>
    <w:rsid w:val="081B6A31"/>
    <w:rsid w:val="081B6A5D"/>
    <w:rsid w:val="081B6B2B"/>
    <w:rsid w:val="081B6B52"/>
    <w:rsid w:val="081B6B6E"/>
    <w:rsid w:val="081B6BC9"/>
    <w:rsid w:val="081B6C74"/>
    <w:rsid w:val="081B6CFB"/>
    <w:rsid w:val="081B6D15"/>
    <w:rsid w:val="081B6E3A"/>
    <w:rsid w:val="081B6E63"/>
    <w:rsid w:val="081B6F55"/>
    <w:rsid w:val="081B6F69"/>
    <w:rsid w:val="081B6FC1"/>
    <w:rsid w:val="081B712D"/>
    <w:rsid w:val="081B7158"/>
    <w:rsid w:val="081B71C4"/>
    <w:rsid w:val="081B72AF"/>
    <w:rsid w:val="081B72D5"/>
    <w:rsid w:val="081B72F6"/>
    <w:rsid w:val="081B73C7"/>
    <w:rsid w:val="081B73F6"/>
    <w:rsid w:val="081B7421"/>
    <w:rsid w:val="081B7556"/>
    <w:rsid w:val="081B7677"/>
    <w:rsid w:val="081B7767"/>
    <w:rsid w:val="081B77F0"/>
    <w:rsid w:val="081B7840"/>
    <w:rsid w:val="081B785B"/>
    <w:rsid w:val="081B7907"/>
    <w:rsid w:val="081B794B"/>
    <w:rsid w:val="081B7952"/>
    <w:rsid w:val="081B7998"/>
    <w:rsid w:val="081B7A45"/>
    <w:rsid w:val="081B7A7D"/>
    <w:rsid w:val="081B7B95"/>
    <w:rsid w:val="081B7BDB"/>
    <w:rsid w:val="081B7BE9"/>
    <w:rsid w:val="081B7BF4"/>
    <w:rsid w:val="081B7D19"/>
    <w:rsid w:val="081B7E09"/>
    <w:rsid w:val="081B7F51"/>
    <w:rsid w:val="081B7F7C"/>
    <w:rsid w:val="081B7FAB"/>
    <w:rsid w:val="081B7FBA"/>
    <w:rsid w:val="081B7FF9"/>
    <w:rsid w:val="081C00BB"/>
    <w:rsid w:val="081C00EE"/>
    <w:rsid w:val="081C00F1"/>
    <w:rsid w:val="081C010E"/>
    <w:rsid w:val="081C0146"/>
    <w:rsid w:val="081C014D"/>
    <w:rsid w:val="081C0154"/>
    <w:rsid w:val="081C0190"/>
    <w:rsid w:val="081C0199"/>
    <w:rsid w:val="081C0233"/>
    <w:rsid w:val="081C0248"/>
    <w:rsid w:val="081C030B"/>
    <w:rsid w:val="081C0371"/>
    <w:rsid w:val="081C05BB"/>
    <w:rsid w:val="081C07F3"/>
    <w:rsid w:val="081C0813"/>
    <w:rsid w:val="081C082B"/>
    <w:rsid w:val="081C083B"/>
    <w:rsid w:val="081C08AF"/>
    <w:rsid w:val="081C09AE"/>
    <w:rsid w:val="081C0A12"/>
    <w:rsid w:val="081C0A68"/>
    <w:rsid w:val="081C0AB8"/>
    <w:rsid w:val="081C0B6B"/>
    <w:rsid w:val="081C0BB6"/>
    <w:rsid w:val="081C0D08"/>
    <w:rsid w:val="081C0D86"/>
    <w:rsid w:val="081C0D8F"/>
    <w:rsid w:val="081C0DF5"/>
    <w:rsid w:val="081C0E01"/>
    <w:rsid w:val="081C0E53"/>
    <w:rsid w:val="081C0E89"/>
    <w:rsid w:val="081C0F05"/>
    <w:rsid w:val="081C0F14"/>
    <w:rsid w:val="081C0F5B"/>
    <w:rsid w:val="081C0FAE"/>
    <w:rsid w:val="081C104D"/>
    <w:rsid w:val="081C1052"/>
    <w:rsid w:val="081C10CB"/>
    <w:rsid w:val="081C11B3"/>
    <w:rsid w:val="081C1236"/>
    <w:rsid w:val="081C124F"/>
    <w:rsid w:val="081C12BA"/>
    <w:rsid w:val="081C133D"/>
    <w:rsid w:val="081C13E9"/>
    <w:rsid w:val="081C15AF"/>
    <w:rsid w:val="081C15B0"/>
    <w:rsid w:val="081C15FD"/>
    <w:rsid w:val="081C16CC"/>
    <w:rsid w:val="081C1742"/>
    <w:rsid w:val="081C174A"/>
    <w:rsid w:val="081C1763"/>
    <w:rsid w:val="081C1771"/>
    <w:rsid w:val="081C17C2"/>
    <w:rsid w:val="081C17CE"/>
    <w:rsid w:val="081C1823"/>
    <w:rsid w:val="081C1832"/>
    <w:rsid w:val="081C19FE"/>
    <w:rsid w:val="081C1A6B"/>
    <w:rsid w:val="081C1A80"/>
    <w:rsid w:val="081C1A82"/>
    <w:rsid w:val="081C1AE8"/>
    <w:rsid w:val="081C1B2B"/>
    <w:rsid w:val="081C1B69"/>
    <w:rsid w:val="081C1BC0"/>
    <w:rsid w:val="081C1BD8"/>
    <w:rsid w:val="081C1BF8"/>
    <w:rsid w:val="081C1CDE"/>
    <w:rsid w:val="081C1DB6"/>
    <w:rsid w:val="081C1E4E"/>
    <w:rsid w:val="081C1E62"/>
    <w:rsid w:val="081C1EEA"/>
    <w:rsid w:val="081C1F19"/>
    <w:rsid w:val="081C1F9D"/>
    <w:rsid w:val="081C2107"/>
    <w:rsid w:val="081C222B"/>
    <w:rsid w:val="081C2406"/>
    <w:rsid w:val="081C2409"/>
    <w:rsid w:val="081C2565"/>
    <w:rsid w:val="081C257E"/>
    <w:rsid w:val="081C261B"/>
    <w:rsid w:val="081C2657"/>
    <w:rsid w:val="081C26D2"/>
    <w:rsid w:val="081C26D4"/>
    <w:rsid w:val="081C2728"/>
    <w:rsid w:val="081C273D"/>
    <w:rsid w:val="081C282A"/>
    <w:rsid w:val="081C28C2"/>
    <w:rsid w:val="081C2906"/>
    <w:rsid w:val="081C293C"/>
    <w:rsid w:val="081C2961"/>
    <w:rsid w:val="081C29A4"/>
    <w:rsid w:val="081C2B0D"/>
    <w:rsid w:val="081C2B94"/>
    <w:rsid w:val="081C2C53"/>
    <w:rsid w:val="081C2C88"/>
    <w:rsid w:val="081C2D27"/>
    <w:rsid w:val="081C2D68"/>
    <w:rsid w:val="081C2EA4"/>
    <w:rsid w:val="081C2EDA"/>
    <w:rsid w:val="081C2F02"/>
    <w:rsid w:val="081C2F84"/>
    <w:rsid w:val="081C3046"/>
    <w:rsid w:val="081C30BB"/>
    <w:rsid w:val="081C3110"/>
    <w:rsid w:val="081C3135"/>
    <w:rsid w:val="081C313E"/>
    <w:rsid w:val="081C3144"/>
    <w:rsid w:val="081C315A"/>
    <w:rsid w:val="081C3179"/>
    <w:rsid w:val="081C3226"/>
    <w:rsid w:val="081C3348"/>
    <w:rsid w:val="081C3373"/>
    <w:rsid w:val="081C3390"/>
    <w:rsid w:val="081C340C"/>
    <w:rsid w:val="081C3576"/>
    <w:rsid w:val="081C3607"/>
    <w:rsid w:val="081C3683"/>
    <w:rsid w:val="081C3694"/>
    <w:rsid w:val="081C38AE"/>
    <w:rsid w:val="081C38CB"/>
    <w:rsid w:val="081C3954"/>
    <w:rsid w:val="081C3A5D"/>
    <w:rsid w:val="081C3A84"/>
    <w:rsid w:val="081C3AB6"/>
    <w:rsid w:val="081C3ABE"/>
    <w:rsid w:val="081C3B4F"/>
    <w:rsid w:val="081C3BE1"/>
    <w:rsid w:val="081C3C46"/>
    <w:rsid w:val="081C3CAB"/>
    <w:rsid w:val="081C3CC8"/>
    <w:rsid w:val="081C3CC9"/>
    <w:rsid w:val="081C3E01"/>
    <w:rsid w:val="081C3E25"/>
    <w:rsid w:val="081C3F1C"/>
    <w:rsid w:val="081C3FD4"/>
    <w:rsid w:val="081C4012"/>
    <w:rsid w:val="081C402E"/>
    <w:rsid w:val="081C404D"/>
    <w:rsid w:val="081C408F"/>
    <w:rsid w:val="081C40CB"/>
    <w:rsid w:val="081C40F8"/>
    <w:rsid w:val="081C4195"/>
    <w:rsid w:val="081C41C6"/>
    <w:rsid w:val="081C41E8"/>
    <w:rsid w:val="081C4289"/>
    <w:rsid w:val="081C43BB"/>
    <w:rsid w:val="081C43CE"/>
    <w:rsid w:val="081C4473"/>
    <w:rsid w:val="081C4553"/>
    <w:rsid w:val="081C4606"/>
    <w:rsid w:val="081C47B5"/>
    <w:rsid w:val="081C47B8"/>
    <w:rsid w:val="081C47DB"/>
    <w:rsid w:val="081C47F1"/>
    <w:rsid w:val="081C48E0"/>
    <w:rsid w:val="081C4AB9"/>
    <w:rsid w:val="081C4B4F"/>
    <w:rsid w:val="081C4BFF"/>
    <w:rsid w:val="081C4D3C"/>
    <w:rsid w:val="081C4EE7"/>
    <w:rsid w:val="081C4F76"/>
    <w:rsid w:val="081C4FA3"/>
    <w:rsid w:val="081C4FF0"/>
    <w:rsid w:val="081C5213"/>
    <w:rsid w:val="081C523D"/>
    <w:rsid w:val="081C52DF"/>
    <w:rsid w:val="081C5373"/>
    <w:rsid w:val="081C53A4"/>
    <w:rsid w:val="081C5425"/>
    <w:rsid w:val="081C544C"/>
    <w:rsid w:val="081C54E6"/>
    <w:rsid w:val="081C5520"/>
    <w:rsid w:val="081C5573"/>
    <w:rsid w:val="081C5592"/>
    <w:rsid w:val="081C5615"/>
    <w:rsid w:val="081C56D0"/>
    <w:rsid w:val="081C5725"/>
    <w:rsid w:val="081C5AA0"/>
    <w:rsid w:val="081C5AC9"/>
    <w:rsid w:val="081C5C03"/>
    <w:rsid w:val="081C5CC0"/>
    <w:rsid w:val="081C5CC6"/>
    <w:rsid w:val="081C5D43"/>
    <w:rsid w:val="081C5D6E"/>
    <w:rsid w:val="081C5D7C"/>
    <w:rsid w:val="081C5E92"/>
    <w:rsid w:val="081C5FC1"/>
    <w:rsid w:val="081C5FE1"/>
    <w:rsid w:val="081C5FF9"/>
    <w:rsid w:val="081C6084"/>
    <w:rsid w:val="081C611F"/>
    <w:rsid w:val="081C6151"/>
    <w:rsid w:val="081C61A2"/>
    <w:rsid w:val="081C61E2"/>
    <w:rsid w:val="081C622C"/>
    <w:rsid w:val="081C6260"/>
    <w:rsid w:val="081C6290"/>
    <w:rsid w:val="081C633F"/>
    <w:rsid w:val="081C634E"/>
    <w:rsid w:val="081C63C5"/>
    <w:rsid w:val="081C63F9"/>
    <w:rsid w:val="081C6443"/>
    <w:rsid w:val="081C6458"/>
    <w:rsid w:val="081C6643"/>
    <w:rsid w:val="081C684A"/>
    <w:rsid w:val="081C6850"/>
    <w:rsid w:val="081C68B3"/>
    <w:rsid w:val="081C6907"/>
    <w:rsid w:val="081C6973"/>
    <w:rsid w:val="081C698D"/>
    <w:rsid w:val="081C6A36"/>
    <w:rsid w:val="081C6A7F"/>
    <w:rsid w:val="081C6AA1"/>
    <w:rsid w:val="081C6B05"/>
    <w:rsid w:val="081C6B57"/>
    <w:rsid w:val="081C6B75"/>
    <w:rsid w:val="081C6BF2"/>
    <w:rsid w:val="081C6C1E"/>
    <w:rsid w:val="081C6C26"/>
    <w:rsid w:val="081C6D0E"/>
    <w:rsid w:val="081C6D98"/>
    <w:rsid w:val="081C6E1C"/>
    <w:rsid w:val="081C6F51"/>
    <w:rsid w:val="081C6F8D"/>
    <w:rsid w:val="081C6FAF"/>
    <w:rsid w:val="081C6FC9"/>
    <w:rsid w:val="081C7001"/>
    <w:rsid w:val="081C7050"/>
    <w:rsid w:val="081C706E"/>
    <w:rsid w:val="081C70DA"/>
    <w:rsid w:val="081C7120"/>
    <w:rsid w:val="081C71E8"/>
    <w:rsid w:val="081C7245"/>
    <w:rsid w:val="081C7285"/>
    <w:rsid w:val="081C728D"/>
    <w:rsid w:val="081C72B3"/>
    <w:rsid w:val="081C72ED"/>
    <w:rsid w:val="081C730B"/>
    <w:rsid w:val="081C7324"/>
    <w:rsid w:val="081C736E"/>
    <w:rsid w:val="081C737E"/>
    <w:rsid w:val="081C745D"/>
    <w:rsid w:val="081C755D"/>
    <w:rsid w:val="081C7573"/>
    <w:rsid w:val="081C75EE"/>
    <w:rsid w:val="081C7687"/>
    <w:rsid w:val="081C771F"/>
    <w:rsid w:val="081C77F2"/>
    <w:rsid w:val="081C7801"/>
    <w:rsid w:val="081C780D"/>
    <w:rsid w:val="081C7876"/>
    <w:rsid w:val="081C7940"/>
    <w:rsid w:val="081C7946"/>
    <w:rsid w:val="081C79D1"/>
    <w:rsid w:val="081C79EA"/>
    <w:rsid w:val="081C7A59"/>
    <w:rsid w:val="081C7B48"/>
    <w:rsid w:val="081C7BDF"/>
    <w:rsid w:val="081C7C08"/>
    <w:rsid w:val="081C7C80"/>
    <w:rsid w:val="081C7C99"/>
    <w:rsid w:val="081C7CDA"/>
    <w:rsid w:val="081C7DCF"/>
    <w:rsid w:val="081C7DF2"/>
    <w:rsid w:val="081C7ECB"/>
    <w:rsid w:val="081C7EE4"/>
    <w:rsid w:val="081C7F43"/>
    <w:rsid w:val="081D0029"/>
    <w:rsid w:val="081D018C"/>
    <w:rsid w:val="081D0228"/>
    <w:rsid w:val="081D0375"/>
    <w:rsid w:val="081D0394"/>
    <w:rsid w:val="081D0402"/>
    <w:rsid w:val="081D0451"/>
    <w:rsid w:val="081D0483"/>
    <w:rsid w:val="081D04A0"/>
    <w:rsid w:val="081D04A1"/>
    <w:rsid w:val="081D04B2"/>
    <w:rsid w:val="081D0536"/>
    <w:rsid w:val="081D0584"/>
    <w:rsid w:val="081D05A6"/>
    <w:rsid w:val="081D05B3"/>
    <w:rsid w:val="081D061C"/>
    <w:rsid w:val="081D07F8"/>
    <w:rsid w:val="081D0820"/>
    <w:rsid w:val="081D0933"/>
    <w:rsid w:val="081D09B3"/>
    <w:rsid w:val="081D0A1A"/>
    <w:rsid w:val="081D0A90"/>
    <w:rsid w:val="081D0AAF"/>
    <w:rsid w:val="081D0B46"/>
    <w:rsid w:val="081D0B51"/>
    <w:rsid w:val="081D0B76"/>
    <w:rsid w:val="081D0BD7"/>
    <w:rsid w:val="081D0C09"/>
    <w:rsid w:val="081D0C6F"/>
    <w:rsid w:val="081D0DA1"/>
    <w:rsid w:val="081D0DA3"/>
    <w:rsid w:val="081D0DFB"/>
    <w:rsid w:val="081D0E44"/>
    <w:rsid w:val="081D0F03"/>
    <w:rsid w:val="081D0F79"/>
    <w:rsid w:val="081D0FA4"/>
    <w:rsid w:val="081D10CC"/>
    <w:rsid w:val="081D110E"/>
    <w:rsid w:val="081D125F"/>
    <w:rsid w:val="081D130D"/>
    <w:rsid w:val="081D1315"/>
    <w:rsid w:val="081D131D"/>
    <w:rsid w:val="081D1418"/>
    <w:rsid w:val="081D1467"/>
    <w:rsid w:val="081D14F0"/>
    <w:rsid w:val="081D151F"/>
    <w:rsid w:val="081D165B"/>
    <w:rsid w:val="081D16A8"/>
    <w:rsid w:val="081D1752"/>
    <w:rsid w:val="081D178F"/>
    <w:rsid w:val="081D17F0"/>
    <w:rsid w:val="081D1823"/>
    <w:rsid w:val="081D18C8"/>
    <w:rsid w:val="081D1985"/>
    <w:rsid w:val="081D19F5"/>
    <w:rsid w:val="081D1A62"/>
    <w:rsid w:val="081D1A7C"/>
    <w:rsid w:val="081D1AB3"/>
    <w:rsid w:val="081D1C3D"/>
    <w:rsid w:val="081D1C40"/>
    <w:rsid w:val="081D1C44"/>
    <w:rsid w:val="081D1CD5"/>
    <w:rsid w:val="081D1D0F"/>
    <w:rsid w:val="081D1D77"/>
    <w:rsid w:val="081D1DC7"/>
    <w:rsid w:val="081D1ECD"/>
    <w:rsid w:val="081D1F22"/>
    <w:rsid w:val="081D1FEA"/>
    <w:rsid w:val="081D200A"/>
    <w:rsid w:val="081D20D6"/>
    <w:rsid w:val="081D2202"/>
    <w:rsid w:val="081D223F"/>
    <w:rsid w:val="081D2264"/>
    <w:rsid w:val="081D2295"/>
    <w:rsid w:val="081D234C"/>
    <w:rsid w:val="081D2401"/>
    <w:rsid w:val="081D2430"/>
    <w:rsid w:val="081D245E"/>
    <w:rsid w:val="081D2485"/>
    <w:rsid w:val="081D24DF"/>
    <w:rsid w:val="081D24F4"/>
    <w:rsid w:val="081D25A6"/>
    <w:rsid w:val="081D25DC"/>
    <w:rsid w:val="081D262E"/>
    <w:rsid w:val="081D268D"/>
    <w:rsid w:val="081D26B1"/>
    <w:rsid w:val="081D26F2"/>
    <w:rsid w:val="081D2742"/>
    <w:rsid w:val="081D277C"/>
    <w:rsid w:val="081D2814"/>
    <w:rsid w:val="081D2880"/>
    <w:rsid w:val="081D2894"/>
    <w:rsid w:val="081D28CE"/>
    <w:rsid w:val="081D2910"/>
    <w:rsid w:val="081D2A04"/>
    <w:rsid w:val="081D2AD8"/>
    <w:rsid w:val="081D2AF1"/>
    <w:rsid w:val="081D2AF3"/>
    <w:rsid w:val="081D2B05"/>
    <w:rsid w:val="081D2B68"/>
    <w:rsid w:val="081D2B7F"/>
    <w:rsid w:val="081D2B8F"/>
    <w:rsid w:val="081D2C39"/>
    <w:rsid w:val="081D2D02"/>
    <w:rsid w:val="081D2D98"/>
    <w:rsid w:val="081D2DB4"/>
    <w:rsid w:val="081D2E00"/>
    <w:rsid w:val="081D2E80"/>
    <w:rsid w:val="081D2F1F"/>
    <w:rsid w:val="081D2F78"/>
    <w:rsid w:val="081D2FA8"/>
    <w:rsid w:val="081D300B"/>
    <w:rsid w:val="081D3116"/>
    <w:rsid w:val="081D3138"/>
    <w:rsid w:val="081D3147"/>
    <w:rsid w:val="081D3182"/>
    <w:rsid w:val="081D3185"/>
    <w:rsid w:val="081D31F8"/>
    <w:rsid w:val="081D3304"/>
    <w:rsid w:val="081D3343"/>
    <w:rsid w:val="081D3366"/>
    <w:rsid w:val="081D34BE"/>
    <w:rsid w:val="081D351D"/>
    <w:rsid w:val="081D37A6"/>
    <w:rsid w:val="081D37D5"/>
    <w:rsid w:val="081D3808"/>
    <w:rsid w:val="081D382A"/>
    <w:rsid w:val="081D3912"/>
    <w:rsid w:val="081D3926"/>
    <w:rsid w:val="081D398A"/>
    <w:rsid w:val="081D39B6"/>
    <w:rsid w:val="081D39E2"/>
    <w:rsid w:val="081D3B09"/>
    <w:rsid w:val="081D3B1D"/>
    <w:rsid w:val="081D3B31"/>
    <w:rsid w:val="081D3B60"/>
    <w:rsid w:val="081D3C57"/>
    <w:rsid w:val="081D3DEB"/>
    <w:rsid w:val="081D3E49"/>
    <w:rsid w:val="081D3E4E"/>
    <w:rsid w:val="081D3EC8"/>
    <w:rsid w:val="081D3F0B"/>
    <w:rsid w:val="081D3FA0"/>
    <w:rsid w:val="081D403C"/>
    <w:rsid w:val="081D4078"/>
    <w:rsid w:val="081D418F"/>
    <w:rsid w:val="081D41BC"/>
    <w:rsid w:val="081D427A"/>
    <w:rsid w:val="081D4460"/>
    <w:rsid w:val="081D4517"/>
    <w:rsid w:val="081D456A"/>
    <w:rsid w:val="081D45B6"/>
    <w:rsid w:val="081D461D"/>
    <w:rsid w:val="081D464D"/>
    <w:rsid w:val="081D46A6"/>
    <w:rsid w:val="081D46FD"/>
    <w:rsid w:val="081D4708"/>
    <w:rsid w:val="081D4745"/>
    <w:rsid w:val="081D4790"/>
    <w:rsid w:val="081D4793"/>
    <w:rsid w:val="081D486B"/>
    <w:rsid w:val="081D498A"/>
    <w:rsid w:val="081D49BA"/>
    <w:rsid w:val="081D4A0E"/>
    <w:rsid w:val="081D4A38"/>
    <w:rsid w:val="081D4ABB"/>
    <w:rsid w:val="081D4ADE"/>
    <w:rsid w:val="081D4DF3"/>
    <w:rsid w:val="081D4EA0"/>
    <w:rsid w:val="081D4EB3"/>
    <w:rsid w:val="081D4F1F"/>
    <w:rsid w:val="081D4F87"/>
    <w:rsid w:val="081D4FEA"/>
    <w:rsid w:val="081D5075"/>
    <w:rsid w:val="081D50DC"/>
    <w:rsid w:val="081D51A3"/>
    <w:rsid w:val="081D51B3"/>
    <w:rsid w:val="081D5258"/>
    <w:rsid w:val="081D529F"/>
    <w:rsid w:val="081D52A1"/>
    <w:rsid w:val="081D52B1"/>
    <w:rsid w:val="081D52C8"/>
    <w:rsid w:val="081D54C6"/>
    <w:rsid w:val="081D54FD"/>
    <w:rsid w:val="081D5564"/>
    <w:rsid w:val="081D5645"/>
    <w:rsid w:val="081D56A2"/>
    <w:rsid w:val="081D5734"/>
    <w:rsid w:val="081D58B6"/>
    <w:rsid w:val="081D58F2"/>
    <w:rsid w:val="081D5963"/>
    <w:rsid w:val="081D596C"/>
    <w:rsid w:val="081D5AA7"/>
    <w:rsid w:val="081D5B20"/>
    <w:rsid w:val="081D5BD7"/>
    <w:rsid w:val="081D5C38"/>
    <w:rsid w:val="081D5C6E"/>
    <w:rsid w:val="081D5CBB"/>
    <w:rsid w:val="081D5D0B"/>
    <w:rsid w:val="081D5D62"/>
    <w:rsid w:val="081D5EB9"/>
    <w:rsid w:val="081D5F7C"/>
    <w:rsid w:val="081D5FA4"/>
    <w:rsid w:val="081D6112"/>
    <w:rsid w:val="081D6171"/>
    <w:rsid w:val="081D6200"/>
    <w:rsid w:val="081D6250"/>
    <w:rsid w:val="081D627C"/>
    <w:rsid w:val="081D629C"/>
    <w:rsid w:val="081D6322"/>
    <w:rsid w:val="081D63E5"/>
    <w:rsid w:val="081D6507"/>
    <w:rsid w:val="081D6645"/>
    <w:rsid w:val="081D66FC"/>
    <w:rsid w:val="081D675F"/>
    <w:rsid w:val="081D67C5"/>
    <w:rsid w:val="081D6802"/>
    <w:rsid w:val="081D68BD"/>
    <w:rsid w:val="081D68DE"/>
    <w:rsid w:val="081D6A1B"/>
    <w:rsid w:val="081D6A57"/>
    <w:rsid w:val="081D6AAD"/>
    <w:rsid w:val="081D6AFA"/>
    <w:rsid w:val="081D6B01"/>
    <w:rsid w:val="081D6B86"/>
    <w:rsid w:val="081D6BAB"/>
    <w:rsid w:val="081D6C04"/>
    <w:rsid w:val="081D6C74"/>
    <w:rsid w:val="081D6C9D"/>
    <w:rsid w:val="081D6CE6"/>
    <w:rsid w:val="081D6CE8"/>
    <w:rsid w:val="081D6D2F"/>
    <w:rsid w:val="081D6D35"/>
    <w:rsid w:val="081D6D49"/>
    <w:rsid w:val="081D6D5F"/>
    <w:rsid w:val="081D6F29"/>
    <w:rsid w:val="081D6FBD"/>
    <w:rsid w:val="081D7025"/>
    <w:rsid w:val="081D7207"/>
    <w:rsid w:val="081D7258"/>
    <w:rsid w:val="081D72D9"/>
    <w:rsid w:val="081D7301"/>
    <w:rsid w:val="081D7369"/>
    <w:rsid w:val="081D73F0"/>
    <w:rsid w:val="081D745E"/>
    <w:rsid w:val="081D7488"/>
    <w:rsid w:val="081D758B"/>
    <w:rsid w:val="081D75BD"/>
    <w:rsid w:val="081D75FB"/>
    <w:rsid w:val="081D7650"/>
    <w:rsid w:val="081D769B"/>
    <w:rsid w:val="081D771E"/>
    <w:rsid w:val="081D77CF"/>
    <w:rsid w:val="081D77E0"/>
    <w:rsid w:val="081D7836"/>
    <w:rsid w:val="081D78F7"/>
    <w:rsid w:val="081D7954"/>
    <w:rsid w:val="081D7997"/>
    <w:rsid w:val="081D7A15"/>
    <w:rsid w:val="081D7BD9"/>
    <w:rsid w:val="081D7C0C"/>
    <w:rsid w:val="081D7C57"/>
    <w:rsid w:val="081D7CA9"/>
    <w:rsid w:val="081D7D85"/>
    <w:rsid w:val="081D7E69"/>
    <w:rsid w:val="081D7E73"/>
    <w:rsid w:val="081D7ED1"/>
    <w:rsid w:val="081D7F2A"/>
    <w:rsid w:val="081D7F55"/>
    <w:rsid w:val="081D7F92"/>
    <w:rsid w:val="081D7FC5"/>
    <w:rsid w:val="081D7FEC"/>
    <w:rsid w:val="081D7FF4"/>
    <w:rsid w:val="081E01B3"/>
    <w:rsid w:val="081E01CE"/>
    <w:rsid w:val="081E0240"/>
    <w:rsid w:val="081E026F"/>
    <w:rsid w:val="081E02D9"/>
    <w:rsid w:val="081E031D"/>
    <w:rsid w:val="081E0341"/>
    <w:rsid w:val="081E038B"/>
    <w:rsid w:val="081E039D"/>
    <w:rsid w:val="081E0451"/>
    <w:rsid w:val="081E0555"/>
    <w:rsid w:val="081E0737"/>
    <w:rsid w:val="081E07EB"/>
    <w:rsid w:val="081E080B"/>
    <w:rsid w:val="081E0812"/>
    <w:rsid w:val="081E0819"/>
    <w:rsid w:val="081E084D"/>
    <w:rsid w:val="081E0852"/>
    <w:rsid w:val="081E085D"/>
    <w:rsid w:val="081E086B"/>
    <w:rsid w:val="081E0900"/>
    <w:rsid w:val="081E0919"/>
    <w:rsid w:val="081E0A86"/>
    <w:rsid w:val="081E0AF0"/>
    <w:rsid w:val="081E0B1A"/>
    <w:rsid w:val="081E0B94"/>
    <w:rsid w:val="081E0BDC"/>
    <w:rsid w:val="081E0BF7"/>
    <w:rsid w:val="081E0C97"/>
    <w:rsid w:val="081E0C9C"/>
    <w:rsid w:val="081E0E0A"/>
    <w:rsid w:val="081E0E3A"/>
    <w:rsid w:val="081E0EE1"/>
    <w:rsid w:val="081E0EE5"/>
    <w:rsid w:val="081E0F6C"/>
    <w:rsid w:val="081E0F6E"/>
    <w:rsid w:val="081E0FD6"/>
    <w:rsid w:val="081E1002"/>
    <w:rsid w:val="081E102D"/>
    <w:rsid w:val="081E10C5"/>
    <w:rsid w:val="081E11B7"/>
    <w:rsid w:val="081E11C5"/>
    <w:rsid w:val="081E11E1"/>
    <w:rsid w:val="081E1250"/>
    <w:rsid w:val="081E1264"/>
    <w:rsid w:val="081E1274"/>
    <w:rsid w:val="081E12AB"/>
    <w:rsid w:val="081E1347"/>
    <w:rsid w:val="081E1429"/>
    <w:rsid w:val="081E143D"/>
    <w:rsid w:val="081E1495"/>
    <w:rsid w:val="081E14A9"/>
    <w:rsid w:val="081E154B"/>
    <w:rsid w:val="081E1565"/>
    <w:rsid w:val="081E15BD"/>
    <w:rsid w:val="081E15DF"/>
    <w:rsid w:val="081E1618"/>
    <w:rsid w:val="081E16B2"/>
    <w:rsid w:val="081E16E6"/>
    <w:rsid w:val="081E16EF"/>
    <w:rsid w:val="081E17FD"/>
    <w:rsid w:val="081E1823"/>
    <w:rsid w:val="081E18B4"/>
    <w:rsid w:val="081E191C"/>
    <w:rsid w:val="081E19C6"/>
    <w:rsid w:val="081E19E9"/>
    <w:rsid w:val="081E1A18"/>
    <w:rsid w:val="081E1A2A"/>
    <w:rsid w:val="081E1A4C"/>
    <w:rsid w:val="081E1A56"/>
    <w:rsid w:val="081E1A9B"/>
    <w:rsid w:val="081E1B11"/>
    <w:rsid w:val="081E1C37"/>
    <w:rsid w:val="081E1C52"/>
    <w:rsid w:val="081E1C6D"/>
    <w:rsid w:val="081E1D85"/>
    <w:rsid w:val="081E1E6F"/>
    <w:rsid w:val="081E1E81"/>
    <w:rsid w:val="081E1E82"/>
    <w:rsid w:val="081E1F1C"/>
    <w:rsid w:val="081E1F39"/>
    <w:rsid w:val="081E1FEC"/>
    <w:rsid w:val="081E2039"/>
    <w:rsid w:val="081E214A"/>
    <w:rsid w:val="081E21EE"/>
    <w:rsid w:val="081E2224"/>
    <w:rsid w:val="081E229B"/>
    <w:rsid w:val="081E230B"/>
    <w:rsid w:val="081E237B"/>
    <w:rsid w:val="081E265C"/>
    <w:rsid w:val="081E2677"/>
    <w:rsid w:val="081E27CC"/>
    <w:rsid w:val="081E2823"/>
    <w:rsid w:val="081E289D"/>
    <w:rsid w:val="081E28B7"/>
    <w:rsid w:val="081E2995"/>
    <w:rsid w:val="081E29CF"/>
    <w:rsid w:val="081E2AA1"/>
    <w:rsid w:val="081E2B5A"/>
    <w:rsid w:val="081E2C82"/>
    <w:rsid w:val="081E2D2B"/>
    <w:rsid w:val="081E2D74"/>
    <w:rsid w:val="081E2D8A"/>
    <w:rsid w:val="081E2E15"/>
    <w:rsid w:val="081E2EAF"/>
    <w:rsid w:val="081E2ED7"/>
    <w:rsid w:val="081E2FE1"/>
    <w:rsid w:val="081E3063"/>
    <w:rsid w:val="081E319F"/>
    <w:rsid w:val="081E31AE"/>
    <w:rsid w:val="081E323C"/>
    <w:rsid w:val="081E32E8"/>
    <w:rsid w:val="081E3373"/>
    <w:rsid w:val="081E3377"/>
    <w:rsid w:val="081E343A"/>
    <w:rsid w:val="081E3459"/>
    <w:rsid w:val="081E352D"/>
    <w:rsid w:val="081E356B"/>
    <w:rsid w:val="081E3611"/>
    <w:rsid w:val="081E363A"/>
    <w:rsid w:val="081E367B"/>
    <w:rsid w:val="081E3701"/>
    <w:rsid w:val="081E3703"/>
    <w:rsid w:val="081E3715"/>
    <w:rsid w:val="081E377D"/>
    <w:rsid w:val="081E3883"/>
    <w:rsid w:val="081E38E9"/>
    <w:rsid w:val="081E3A45"/>
    <w:rsid w:val="081E3ADD"/>
    <w:rsid w:val="081E3AEE"/>
    <w:rsid w:val="081E3B2C"/>
    <w:rsid w:val="081E3B65"/>
    <w:rsid w:val="081E3B67"/>
    <w:rsid w:val="081E3C74"/>
    <w:rsid w:val="081E3CD6"/>
    <w:rsid w:val="081E3D33"/>
    <w:rsid w:val="081E3DEC"/>
    <w:rsid w:val="081E3E3E"/>
    <w:rsid w:val="081E3E8C"/>
    <w:rsid w:val="081E3FE0"/>
    <w:rsid w:val="081E402D"/>
    <w:rsid w:val="081E40B0"/>
    <w:rsid w:val="081E40D1"/>
    <w:rsid w:val="081E41A5"/>
    <w:rsid w:val="081E4211"/>
    <w:rsid w:val="081E4247"/>
    <w:rsid w:val="081E4307"/>
    <w:rsid w:val="081E43CC"/>
    <w:rsid w:val="081E44EF"/>
    <w:rsid w:val="081E4501"/>
    <w:rsid w:val="081E450A"/>
    <w:rsid w:val="081E458F"/>
    <w:rsid w:val="081E45A4"/>
    <w:rsid w:val="081E469B"/>
    <w:rsid w:val="081E47F3"/>
    <w:rsid w:val="081E4812"/>
    <w:rsid w:val="081E4844"/>
    <w:rsid w:val="081E486B"/>
    <w:rsid w:val="081E48BA"/>
    <w:rsid w:val="081E48E1"/>
    <w:rsid w:val="081E4953"/>
    <w:rsid w:val="081E4AFA"/>
    <w:rsid w:val="081E4B26"/>
    <w:rsid w:val="081E4B70"/>
    <w:rsid w:val="081E4B74"/>
    <w:rsid w:val="081E4C05"/>
    <w:rsid w:val="081E4CAA"/>
    <w:rsid w:val="081E4CC0"/>
    <w:rsid w:val="081E4D45"/>
    <w:rsid w:val="081E4D47"/>
    <w:rsid w:val="081E4D55"/>
    <w:rsid w:val="081E4D91"/>
    <w:rsid w:val="081E4D95"/>
    <w:rsid w:val="081E4E11"/>
    <w:rsid w:val="081E4E8E"/>
    <w:rsid w:val="081E5009"/>
    <w:rsid w:val="081E5028"/>
    <w:rsid w:val="081E5044"/>
    <w:rsid w:val="081E5221"/>
    <w:rsid w:val="081E523F"/>
    <w:rsid w:val="081E5253"/>
    <w:rsid w:val="081E5277"/>
    <w:rsid w:val="081E5382"/>
    <w:rsid w:val="081E53ED"/>
    <w:rsid w:val="081E5416"/>
    <w:rsid w:val="081E552D"/>
    <w:rsid w:val="081E5689"/>
    <w:rsid w:val="081E56C3"/>
    <w:rsid w:val="081E56DA"/>
    <w:rsid w:val="081E5711"/>
    <w:rsid w:val="081E5742"/>
    <w:rsid w:val="081E5793"/>
    <w:rsid w:val="081E57D9"/>
    <w:rsid w:val="081E5903"/>
    <w:rsid w:val="081E598A"/>
    <w:rsid w:val="081E5A24"/>
    <w:rsid w:val="081E5A73"/>
    <w:rsid w:val="081E5A8B"/>
    <w:rsid w:val="081E5ACF"/>
    <w:rsid w:val="081E5AD1"/>
    <w:rsid w:val="081E5BB9"/>
    <w:rsid w:val="081E5BD2"/>
    <w:rsid w:val="081E5C38"/>
    <w:rsid w:val="081E5C9D"/>
    <w:rsid w:val="081E5CC9"/>
    <w:rsid w:val="081E5CD5"/>
    <w:rsid w:val="081E5F3C"/>
    <w:rsid w:val="081E5FEB"/>
    <w:rsid w:val="081E60BC"/>
    <w:rsid w:val="081E61EE"/>
    <w:rsid w:val="081E631F"/>
    <w:rsid w:val="081E6377"/>
    <w:rsid w:val="081E6557"/>
    <w:rsid w:val="081E656C"/>
    <w:rsid w:val="081E6571"/>
    <w:rsid w:val="081E65A2"/>
    <w:rsid w:val="081E6741"/>
    <w:rsid w:val="081E674D"/>
    <w:rsid w:val="081E679E"/>
    <w:rsid w:val="081E67A9"/>
    <w:rsid w:val="081E68A1"/>
    <w:rsid w:val="081E6942"/>
    <w:rsid w:val="081E699E"/>
    <w:rsid w:val="081E69A9"/>
    <w:rsid w:val="081E6A2B"/>
    <w:rsid w:val="081E6A5F"/>
    <w:rsid w:val="081E6AEB"/>
    <w:rsid w:val="081E6BB3"/>
    <w:rsid w:val="081E6BB4"/>
    <w:rsid w:val="081E6BBD"/>
    <w:rsid w:val="081E6C16"/>
    <w:rsid w:val="081E6DBC"/>
    <w:rsid w:val="081E6DC2"/>
    <w:rsid w:val="081E6E0E"/>
    <w:rsid w:val="081E6E14"/>
    <w:rsid w:val="081E6FD0"/>
    <w:rsid w:val="081E703E"/>
    <w:rsid w:val="081E7113"/>
    <w:rsid w:val="081E7132"/>
    <w:rsid w:val="081E7242"/>
    <w:rsid w:val="081E724D"/>
    <w:rsid w:val="081E7286"/>
    <w:rsid w:val="081E7297"/>
    <w:rsid w:val="081E72BD"/>
    <w:rsid w:val="081E732D"/>
    <w:rsid w:val="081E7333"/>
    <w:rsid w:val="081E74D6"/>
    <w:rsid w:val="081E74D9"/>
    <w:rsid w:val="081E7559"/>
    <w:rsid w:val="081E75E8"/>
    <w:rsid w:val="081E7634"/>
    <w:rsid w:val="081E76FB"/>
    <w:rsid w:val="081E777A"/>
    <w:rsid w:val="081E77A0"/>
    <w:rsid w:val="081E7865"/>
    <w:rsid w:val="081E7950"/>
    <w:rsid w:val="081E7A21"/>
    <w:rsid w:val="081E7A26"/>
    <w:rsid w:val="081E7A8A"/>
    <w:rsid w:val="081E7ABF"/>
    <w:rsid w:val="081E7B65"/>
    <w:rsid w:val="081E7B7A"/>
    <w:rsid w:val="081E7BD6"/>
    <w:rsid w:val="081E7CC0"/>
    <w:rsid w:val="081E7D2B"/>
    <w:rsid w:val="081E7DC0"/>
    <w:rsid w:val="081E7DE7"/>
    <w:rsid w:val="081E7E09"/>
    <w:rsid w:val="081E7E54"/>
    <w:rsid w:val="081E7E67"/>
    <w:rsid w:val="081E7ECE"/>
    <w:rsid w:val="081E7F78"/>
    <w:rsid w:val="081F001F"/>
    <w:rsid w:val="081F0085"/>
    <w:rsid w:val="081F00C7"/>
    <w:rsid w:val="081F00EA"/>
    <w:rsid w:val="081F00F5"/>
    <w:rsid w:val="081F0151"/>
    <w:rsid w:val="081F0344"/>
    <w:rsid w:val="081F03CC"/>
    <w:rsid w:val="081F0473"/>
    <w:rsid w:val="081F0491"/>
    <w:rsid w:val="081F052D"/>
    <w:rsid w:val="081F0589"/>
    <w:rsid w:val="081F059E"/>
    <w:rsid w:val="081F05DC"/>
    <w:rsid w:val="081F063D"/>
    <w:rsid w:val="081F0656"/>
    <w:rsid w:val="081F068E"/>
    <w:rsid w:val="081F07A6"/>
    <w:rsid w:val="081F07BE"/>
    <w:rsid w:val="081F082C"/>
    <w:rsid w:val="081F088D"/>
    <w:rsid w:val="081F089B"/>
    <w:rsid w:val="081F08A0"/>
    <w:rsid w:val="081F08C0"/>
    <w:rsid w:val="081F0965"/>
    <w:rsid w:val="081F0A7B"/>
    <w:rsid w:val="081F0C30"/>
    <w:rsid w:val="081F0C37"/>
    <w:rsid w:val="081F0D36"/>
    <w:rsid w:val="081F0E0A"/>
    <w:rsid w:val="081F0E54"/>
    <w:rsid w:val="081F0E80"/>
    <w:rsid w:val="081F0F40"/>
    <w:rsid w:val="081F0FED"/>
    <w:rsid w:val="081F10B0"/>
    <w:rsid w:val="081F1134"/>
    <w:rsid w:val="081F1159"/>
    <w:rsid w:val="081F1161"/>
    <w:rsid w:val="081F1179"/>
    <w:rsid w:val="081F11DC"/>
    <w:rsid w:val="081F1209"/>
    <w:rsid w:val="081F123D"/>
    <w:rsid w:val="081F1274"/>
    <w:rsid w:val="081F1289"/>
    <w:rsid w:val="081F128D"/>
    <w:rsid w:val="081F12CD"/>
    <w:rsid w:val="081F12D3"/>
    <w:rsid w:val="081F1303"/>
    <w:rsid w:val="081F130E"/>
    <w:rsid w:val="081F1408"/>
    <w:rsid w:val="081F1486"/>
    <w:rsid w:val="081F1491"/>
    <w:rsid w:val="081F1514"/>
    <w:rsid w:val="081F1560"/>
    <w:rsid w:val="081F164A"/>
    <w:rsid w:val="081F1682"/>
    <w:rsid w:val="081F171F"/>
    <w:rsid w:val="081F1738"/>
    <w:rsid w:val="081F1800"/>
    <w:rsid w:val="081F1869"/>
    <w:rsid w:val="081F18B2"/>
    <w:rsid w:val="081F1A04"/>
    <w:rsid w:val="081F1A97"/>
    <w:rsid w:val="081F1AA1"/>
    <w:rsid w:val="081F1C64"/>
    <w:rsid w:val="081F1CBD"/>
    <w:rsid w:val="081F1DA1"/>
    <w:rsid w:val="081F1DB7"/>
    <w:rsid w:val="081F1DD0"/>
    <w:rsid w:val="081F1EF7"/>
    <w:rsid w:val="081F1F5E"/>
    <w:rsid w:val="081F1FA0"/>
    <w:rsid w:val="081F2069"/>
    <w:rsid w:val="081F20D0"/>
    <w:rsid w:val="081F2103"/>
    <w:rsid w:val="081F212C"/>
    <w:rsid w:val="081F2184"/>
    <w:rsid w:val="081F21FC"/>
    <w:rsid w:val="081F2228"/>
    <w:rsid w:val="081F22E8"/>
    <w:rsid w:val="081F22F2"/>
    <w:rsid w:val="081F251B"/>
    <w:rsid w:val="081F253B"/>
    <w:rsid w:val="081F2581"/>
    <w:rsid w:val="081F25B7"/>
    <w:rsid w:val="081F2884"/>
    <w:rsid w:val="081F2892"/>
    <w:rsid w:val="081F28B9"/>
    <w:rsid w:val="081F28D2"/>
    <w:rsid w:val="081F2980"/>
    <w:rsid w:val="081F2A0D"/>
    <w:rsid w:val="081F2A26"/>
    <w:rsid w:val="081F2A3D"/>
    <w:rsid w:val="081F2B86"/>
    <w:rsid w:val="081F2BD3"/>
    <w:rsid w:val="081F2C09"/>
    <w:rsid w:val="081F2C1A"/>
    <w:rsid w:val="081F2C35"/>
    <w:rsid w:val="081F2C5B"/>
    <w:rsid w:val="081F2C7E"/>
    <w:rsid w:val="081F2CA7"/>
    <w:rsid w:val="081F2DBB"/>
    <w:rsid w:val="081F2DCF"/>
    <w:rsid w:val="081F2DEB"/>
    <w:rsid w:val="081F2EB4"/>
    <w:rsid w:val="081F2EC8"/>
    <w:rsid w:val="081F2F9D"/>
    <w:rsid w:val="081F304A"/>
    <w:rsid w:val="081F307F"/>
    <w:rsid w:val="081F30B0"/>
    <w:rsid w:val="081F30F7"/>
    <w:rsid w:val="081F313A"/>
    <w:rsid w:val="081F324C"/>
    <w:rsid w:val="081F329F"/>
    <w:rsid w:val="081F32A3"/>
    <w:rsid w:val="081F32E0"/>
    <w:rsid w:val="081F3383"/>
    <w:rsid w:val="081F339C"/>
    <w:rsid w:val="081F339D"/>
    <w:rsid w:val="081F350B"/>
    <w:rsid w:val="081F355A"/>
    <w:rsid w:val="081F3688"/>
    <w:rsid w:val="081F36BF"/>
    <w:rsid w:val="081F36D3"/>
    <w:rsid w:val="081F370B"/>
    <w:rsid w:val="081F3835"/>
    <w:rsid w:val="081F3836"/>
    <w:rsid w:val="081F3837"/>
    <w:rsid w:val="081F3932"/>
    <w:rsid w:val="081F3A3E"/>
    <w:rsid w:val="081F3AB2"/>
    <w:rsid w:val="081F3B68"/>
    <w:rsid w:val="081F3BF9"/>
    <w:rsid w:val="081F3C52"/>
    <w:rsid w:val="081F3CD1"/>
    <w:rsid w:val="081F3D16"/>
    <w:rsid w:val="081F3DA6"/>
    <w:rsid w:val="081F3E5C"/>
    <w:rsid w:val="081F3EAF"/>
    <w:rsid w:val="081F3EC5"/>
    <w:rsid w:val="081F3F5A"/>
    <w:rsid w:val="081F3F6E"/>
    <w:rsid w:val="081F3F80"/>
    <w:rsid w:val="081F3F9F"/>
    <w:rsid w:val="081F3FBC"/>
    <w:rsid w:val="081F3FD5"/>
    <w:rsid w:val="081F4085"/>
    <w:rsid w:val="081F4095"/>
    <w:rsid w:val="081F40AC"/>
    <w:rsid w:val="081F410A"/>
    <w:rsid w:val="081F4175"/>
    <w:rsid w:val="081F4204"/>
    <w:rsid w:val="081F424E"/>
    <w:rsid w:val="081F4255"/>
    <w:rsid w:val="081F42C1"/>
    <w:rsid w:val="081F43DD"/>
    <w:rsid w:val="081F43E1"/>
    <w:rsid w:val="081F43F4"/>
    <w:rsid w:val="081F441A"/>
    <w:rsid w:val="081F448C"/>
    <w:rsid w:val="081F4516"/>
    <w:rsid w:val="081F45B0"/>
    <w:rsid w:val="081F45DD"/>
    <w:rsid w:val="081F45EE"/>
    <w:rsid w:val="081F460D"/>
    <w:rsid w:val="081F4658"/>
    <w:rsid w:val="081F4714"/>
    <w:rsid w:val="081F4801"/>
    <w:rsid w:val="081F4892"/>
    <w:rsid w:val="081F48CB"/>
    <w:rsid w:val="081F4997"/>
    <w:rsid w:val="081F4AAC"/>
    <w:rsid w:val="081F4AF0"/>
    <w:rsid w:val="081F4B66"/>
    <w:rsid w:val="081F4C0F"/>
    <w:rsid w:val="081F4CC8"/>
    <w:rsid w:val="081F4D35"/>
    <w:rsid w:val="081F4E1F"/>
    <w:rsid w:val="081F4F04"/>
    <w:rsid w:val="081F4F13"/>
    <w:rsid w:val="081F4F1A"/>
    <w:rsid w:val="081F4FF2"/>
    <w:rsid w:val="081F5384"/>
    <w:rsid w:val="081F5425"/>
    <w:rsid w:val="081F560F"/>
    <w:rsid w:val="081F561C"/>
    <w:rsid w:val="081F566E"/>
    <w:rsid w:val="081F5786"/>
    <w:rsid w:val="081F578D"/>
    <w:rsid w:val="081F57AF"/>
    <w:rsid w:val="081F5804"/>
    <w:rsid w:val="081F5909"/>
    <w:rsid w:val="081F5949"/>
    <w:rsid w:val="081F5A02"/>
    <w:rsid w:val="081F5A34"/>
    <w:rsid w:val="081F5AE0"/>
    <w:rsid w:val="081F5B4D"/>
    <w:rsid w:val="081F5B6A"/>
    <w:rsid w:val="081F5C5C"/>
    <w:rsid w:val="081F5D23"/>
    <w:rsid w:val="081F5E2F"/>
    <w:rsid w:val="081F5E7C"/>
    <w:rsid w:val="081F5EEE"/>
    <w:rsid w:val="081F602D"/>
    <w:rsid w:val="081F6162"/>
    <w:rsid w:val="081F61CD"/>
    <w:rsid w:val="081F621A"/>
    <w:rsid w:val="081F64BA"/>
    <w:rsid w:val="081F6692"/>
    <w:rsid w:val="081F6730"/>
    <w:rsid w:val="081F680F"/>
    <w:rsid w:val="081F6820"/>
    <w:rsid w:val="081F6849"/>
    <w:rsid w:val="081F68EE"/>
    <w:rsid w:val="081F6A32"/>
    <w:rsid w:val="081F6A96"/>
    <w:rsid w:val="081F6AB4"/>
    <w:rsid w:val="081F6AFA"/>
    <w:rsid w:val="081F6B14"/>
    <w:rsid w:val="081F6B25"/>
    <w:rsid w:val="081F6B2B"/>
    <w:rsid w:val="081F6BEA"/>
    <w:rsid w:val="081F6C0D"/>
    <w:rsid w:val="081F6C46"/>
    <w:rsid w:val="081F6CA6"/>
    <w:rsid w:val="081F6D59"/>
    <w:rsid w:val="081F6D78"/>
    <w:rsid w:val="081F6E81"/>
    <w:rsid w:val="081F6ECB"/>
    <w:rsid w:val="081F6F86"/>
    <w:rsid w:val="081F7208"/>
    <w:rsid w:val="081F721C"/>
    <w:rsid w:val="081F74FA"/>
    <w:rsid w:val="081F75D2"/>
    <w:rsid w:val="081F7603"/>
    <w:rsid w:val="081F76D3"/>
    <w:rsid w:val="081F76D6"/>
    <w:rsid w:val="081F76EB"/>
    <w:rsid w:val="081F76F6"/>
    <w:rsid w:val="081F7841"/>
    <w:rsid w:val="081F789B"/>
    <w:rsid w:val="081F78B6"/>
    <w:rsid w:val="081F78EC"/>
    <w:rsid w:val="081F790F"/>
    <w:rsid w:val="081F7A90"/>
    <w:rsid w:val="081F7AAD"/>
    <w:rsid w:val="081F7B21"/>
    <w:rsid w:val="081F7BA5"/>
    <w:rsid w:val="081F7D0F"/>
    <w:rsid w:val="081F7D26"/>
    <w:rsid w:val="081F7D40"/>
    <w:rsid w:val="081F7D45"/>
    <w:rsid w:val="081F7D6B"/>
    <w:rsid w:val="081F7DA6"/>
    <w:rsid w:val="081F7E42"/>
    <w:rsid w:val="081F7E44"/>
    <w:rsid w:val="081F7E59"/>
    <w:rsid w:val="081F7F33"/>
    <w:rsid w:val="081F7F45"/>
    <w:rsid w:val="081F7F76"/>
    <w:rsid w:val="081F7F8F"/>
    <w:rsid w:val="081F7FB2"/>
    <w:rsid w:val="08200019"/>
    <w:rsid w:val="08200020"/>
    <w:rsid w:val="082000E1"/>
    <w:rsid w:val="08200136"/>
    <w:rsid w:val="08200150"/>
    <w:rsid w:val="082001C3"/>
    <w:rsid w:val="08200249"/>
    <w:rsid w:val="08200264"/>
    <w:rsid w:val="0820027D"/>
    <w:rsid w:val="082002DB"/>
    <w:rsid w:val="0820039D"/>
    <w:rsid w:val="082003DB"/>
    <w:rsid w:val="0820045F"/>
    <w:rsid w:val="082004B5"/>
    <w:rsid w:val="082004CB"/>
    <w:rsid w:val="08200669"/>
    <w:rsid w:val="082006FA"/>
    <w:rsid w:val="082007BE"/>
    <w:rsid w:val="082007FC"/>
    <w:rsid w:val="08200842"/>
    <w:rsid w:val="082008C0"/>
    <w:rsid w:val="082008D8"/>
    <w:rsid w:val="082009FD"/>
    <w:rsid w:val="08200A0A"/>
    <w:rsid w:val="08200BF2"/>
    <w:rsid w:val="08200BFD"/>
    <w:rsid w:val="08200C36"/>
    <w:rsid w:val="08200D52"/>
    <w:rsid w:val="08200D57"/>
    <w:rsid w:val="08200D81"/>
    <w:rsid w:val="08200E1E"/>
    <w:rsid w:val="08200E38"/>
    <w:rsid w:val="08200E91"/>
    <w:rsid w:val="08200ED2"/>
    <w:rsid w:val="08200EF5"/>
    <w:rsid w:val="08200F55"/>
    <w:rsid w:val="08201048"/>
    <w:rsid w:val="08201093"/>
    <w:rsid w:val="082010FE"/>
    <w:rsid w:val="08201139"/>
    <w:rsid w:val="08201167"/>
    <w:rsid w:val="0820118E"/>
    <w:rsid w:val="082011B4"/>
    <w:rsid w:val="08201281"/>
    <w:rsid w:val="082012D2"/>
    <w:rsid w:val="0820133E"/>
    <w:rsid w:val="0820139E"/>
    <w:rsid w:val="082013DC"/>
    <w:rsid w:val="08201607"/>
    <w:rsid w:val="08201653"/>
    <w:rsid w:val="08201698"/>
    <w:rsid w:val="082016C1"/>
    <w:rsid w:val="082016CF"/>
    <w:rsid w:val="08201723"/>
    <w:rsid w:val="0820175B"/>
    <w:rsid w:val="082018B8"/>
    <w:rsid w:val="082018D0"/>
    <w:rsid w:val="08201910"/>
    <w:rsid w:val="08201994"/>
    <w:rsid w:val="082019A6"/>
    <w:rsid w:val="082019BF"/>
    <w:rsid w:val="08201A6A"/>
    <w:rsid w:val="08201AF0"/>
    <w:rsid w:val="08201C1A"/>
    <w:rsid w:val="08201CFE"/>
    <w:rsid w:val="08201E42"/>
    <w:rsid w:val="08201E4C"/>
    <w:rsid w:val="08201F0A"/>
    <w:rsid w:val="08201F17"/>
    <w:rsid w:val="08201F52"/>
    <w:rsid w:val="08201FA3"/>
    <w:rsid w:val="082020D1"/>
    <w:rsid w:val="08202126"/>
    <w:rsid w:val="08202184"/>
    <w:rsid w:val="082021B3"/>
    <w:rsid w:val="082021F8"/>
    <w:rsid w:val="08202211"/>
    <w:rsid w:val="0820224D"/>
    <w:rsid w:val="08202300"/>
    <w:rsid w:val="08202353"/>
    <w:rsid w:val="082023B5"/>
    <w:rsid w:val="082023E2"/>
    <w:rsid w:val="08202482"/>
    <w:rsid w:val="082024DD"/>
    <w:rsid w:val="082025B5"/>
    <w:rsid w:val="082025DF"/>
    <w:rsid w:val="082025E9"/>
    <w:rsid w:val="08202610"/>
    <w:rsid w:val="08202626"/>
    <w:rsid w:val="0820265B"/>
    <w:rsid w:val="0820268A"/>
    <w:rsid w:val="0820270D"/>
    <w:rsid w:val="08202720"/>
    <w:rsid w:val="08202723"/>
    <w:rsid w:val="08202765"/>
    <w:rsid w:val="082027A0"/>
    <w:rsid w:val="082027BA"/>
    <w:rsid w:val="082027D0"/>
    <w:rsid w:val="082028BF"/>
    <w:rsid w:val="082028C9"/>
    <w:rsid w:val="0820296E"/>
    <w:rsid w:val="082029B1"/>
    <w:rsid w:val="08202AE6"/>
    <w:rsid w:val="08202AF7"/>
    <w:rsid w:val="08202B04"/>
    <w:rsid w:val="08202C04"/>
    <w:rsid w:val="08202C4C"/>
    <w:rsid w:val="08202C8F"/>
    <w:rsid w:val="08202C97"/>
    <w:rsid w:val="08202D45"/>
    <w:rsid w:val="08202E0C"/>
    <w:rsid w:val="08202ECE"/>
    <w:rsid w:val="082030EA"/>
    <w:rsid w:val="08203166"/>
    <w:rsid w:val="082031A5"/>
    <w:rsid w:val="082031CB"/>
    <w:rsid w:val="082032DE"/>
    <w:rsid w:val="082033B2"/>
    <w:rsid w:val="082033B9"/>
    <w:rsid w:val="082033C6"/>
    <w:rsid w:val="08203449"/>
    <w:rsid w:val="08203480"/>
    <w:rsid w:val="082034C9"/>
    <w:rsid w:val="082035B2"/>
    <w:rsid w:val="082036AD"/>
    <w:rsid w:val="0820370A"/>
    <w:rsid w:val="0820372C"/>
    <w:rsid w:val="08203740"/>
    <w:rsid w:val="08203875"/>
    <w:rsid w:val="0820387E"/>
    <w:rsid w:val="08203915"/>
    <w:rsid w:val="08203929"/>
    <w:rsid w:val="08203A23"/>
    <w:rsid w:val="08203A2B"/>
    <w:rsid w:val="08203ABF"/>
    <w:rsid w:val="08203AE2"/>
    <w:rsid w:val="08203AE8"/>
    <w:rsid w:val="08203AF3"/>
    <w:rsid w:val="08203B4B"/>
    <w:rsid w:val="08203B78"/>
    <w:rsid w:val="08203D08"/>
    <w:rsid w:val="08203D0F"/>
    <w:rsid w:val="08203E95"/>
    <w:rsid w:val="08203EBB"/>
    <w:rsid w:val="08203ED1"/>
    <w:rsid w:val="08203F49"/>
    <w:rsid w:val="08203F7A"/>
    <w:rsid w:val="08203FC0"/>
    <w:rsid w:val="08203FC4"/>
    <w:rsid w:val="08204036"/>
    <w:rsid w:val="0820408E"/>
    <w:rsid w:val="08204153"/>
    <w:rsid w:val="08204164"/>
    <w:rsid w:val="082041A0"/>
    <w:rsid w:val="082041B6"/>
    <w:rsid w:val="0820421C"/>
    <w:rsid w:val="082042C8"/>
    <w:rsid w:val="082042FB"/>
    <w:rsid w:val="08204338"/>
    <w:rsid w:val="08204380"/>
    <w:rsid w:val="082043B3"/>
    <w:rsid w:val="08204569"/>
    <w:rsid w:val="0820472C"/>
    <w:rsid w:val="08204799"/>
    <w:rsid w:val="082047BE"/>
    <w:rsid w:val="0820483D"/>
    <w:rsid w:val="0820488C"/>
    <w:rsid w:val="08204894"/>
    <w:rsid w:val="0820496C"/>
    <w:rsid w:val="082049B2"/>
    <w:rsid w:val="082049B4"/>
    <w:rsid w:val="08204A26"/>
    <w:rsid w:val="08204A71"/>
    <w:rsid w:val="08204ACC"/>
    <w:rsid w:val="08204B57"/>
    <w:rsid w:val="08204BA8"/>
    <w:rsid w:val="08204BB4"/>
    <w:rsid w:val="08204C0D"/>
    <w:rsid w:val="08204C7A"/>
    <w:rsid w:val="08204CFA"/>
    <w:rsid w:val="08204D8A"/>
    <w:rsid w:val="08204E82"/>
    <w:rsid w:val="08204E90"/>
    <w:rsid w:val="08205017"/>
    <w:rsid w:val="08205027"/>
    <w:rsid w:val="0820504B"/>
    <w:rsid w:val="08205088"/>
    <w:rsid w:val="08205097"/>
    <w:rsid w:val="08205099"/>
    <w:rsid w:val="082050D2"/>
    <w:rsid w:val="0820512A"/>
    <w:rsid w:val="08205176"/>
    <w:rsid w:val="0820523F"/>
    <w:rsid w:val="08205255"/>
    <w:rsid w:val="08205295"/>
    <w:rsid w:val="082052B1"/>
    <w:rsid w:val="082052E9"/>
    <w:rsid w:val="08205314"/>
    <w:rsid w:val="08205376"/>
    <w:rsid w:val="0820538B"/>
    <w:rsid w:val="082053FF"/>
    <w:rsid w:val="08205405"/>
    <w:rsid w:val="08205450"/>
    <w:rsid w:val="08205466"/>
    <w:rsid w:val="08205524"/>
    <w:rsid w:val="08205530"/>
    <w:rsid w:val="0820555A"/>
    <w:rsid w:val="082055FD"/>
    <w:rsid w:val="08205649"/>
    <w:rsid w:val="082057D2"/>
    <w:rsid w:val="082057FA"/>
    <w:rsid w:val="0820587D"/>
    <w:rsid w:val="082059A7"/>
    <w:rsid w:val="08205AAE"/>
    <w:rsid w:val="08205AE5"/>
    <w:rsid w:val="08205B9C"/>
    <w:rsid w:val="08205BBE"/>
    <w:rsid w:val="08205BE8"/>
    <w:rsid w:val="08205C12"/>
    <w:rsid w:val="08205C61"/>
    <w:rsid w:val="08205C67"/>
    <w:rsid w:val="08205D63"/>
    <w:rsid w:val="08205F41"/>
    <w:rsid w:val="08205F92"/>
    <w:rsid w:val="0820602F"/>
    <w:rsid w:val="08206034"/>
    <w:rsid w:val="08206060"/>
    <w:rsid w:val="08206094"/>
    <w:rsid w:val="0820609F"/>
    <w:rsid w:val="082061B7"/>
    <w:rsid w:val="08206383"/>
    <w:rsid w:val="082064BE"/>
    <w:rsid w:val="08206546"/>
    <w:rsid w:val="08206554"/>
    <w:rsid w:val="08206628"/>
    <w:rsid w:val="08206631"/>
    <w:rsid w:val="08206637"/>
    <w:rsid w:val="0820663A"/>
    <w:rsid w:val="0820668E"/>
    <w:rsid w:val="0820671E"/>
    <w:rsid w:val="08206769"/>
    <w:rsid w:val="082067D3"/>
    <w:rsid w:val="082067F7"/>
    <w:rsid w:val="0820680D"/>
    <w:rsid w:val="08206902"/>
    <w:rsid w:val="08206912"/>
    <w:rsid w:val="0820691F"/>
    <w:rsid w:val="0820693E"/>
    <w:rsid w:val="082069B4"/>
    <w:rsid w:val="08206A15"/>
    <w:rsid w:val="08206A34"/>
    <w:rsid w:val="08206A52"/>
    <w:rsid w:val="08206A98"/>
    <w:rsid w:val="08206AA7"/>
    <w:rsid w:val="08206ADC"/>
    <w:rsid w:val="08206B04"/>
    <w:rsid w:val="08206B74"/>
    <w:rsid w:val="08206BBE"/>
    <w:rsid w:val="08206BE2"/>
    <w:rsid w:val="08206C29"/>
    <w:rsid w:val="08206C87"/>
    <w:rsid w:val="08206CCE"/>
    <w:rsid w:val="08206E3D"/>
    <w:rsid w:val="08206E48"/>
    <w:rsid w:val="08206F2A"/>
    <w:rsid w:val="08206FCD"/>
    <w:rsid w:val="0820700E"/>
    <w:rsid w:val="08207043"/>
    <w:rsid w:val="0820706E"/>
    <w:rsid w:val="082070CE"/>
    <w:rsid w:val="08207150"/>
    <w:rsid w:val="08207182"/>
    <w:rsid w:val="08207290"/>
    <w:rsid w:val="082072F9"/>
    <w:rsid w:val="08207355"/>
    <w:rsid w:val="082073F0"/>
    <w:rsid w:val="08207467"/>
    <w:rsid w:val="082074FD"/>
    <w:rsid w:val="082075EF"/>
    <w:rsid w:val="08207611"/>
    <w:rsid w:val="08207616"/>
    <w:rsid w:val="0820777D"/>
    <w:rsid w:val="082077AC"/>
    <w:rsid w:val="0820786F"/>
    <w:rsid w:val="08207981"/>
    <w:rsid w:val="0820798F"/>
    <w:rsid w:val="08207A6A"/>
    <w:rsid w:val="08207B2B"/>
    <w:rsid w:val="08207B48"/>
    <w:rsid w:val="08207C9B"/>
    <w:rsid w:val="08207CA3"/>
    <w:rsid w:val="08207CC1"/>
    <w:rsid w:val="08207CEA"/>
    <w:rsid w:val="08207D30"/>
    <w:rsid w:val="08207E32"/>
    <w:rsid w:val="08207F57"/>
    <w:rsid w:val="08207F6B"/>
    <w:rsid w:val="08207FEE"/>
    <w:rsid w:val="0821001A"/>
    <w:rsid w:val="08210078"/>
    <w:rsid w:val="082100FD"/>
    <w:rsid w:val="08210154"/>
    <w:rsid w:val="08210156"/>
    <w:rsid w:val="08210201"/>
    <w:rsid w:val="0821020B"/>
    <w:rsid w:val="0821027A"/>
    <w:rsid w:val="0821028C"/>
    <w:rsid w:val="0821030C"/>
    <w:rsid w:val="08210464"/>
    <w:rsid w:val="08210490"/>
    <w:rsid w:val="082105B2"/>
    <w:rsid w:val="08210670"/>
    <w:rsid w:val="08210674"/>
    <w:rsid w:val="08210682"/>
    <w:rsid w:val="0821075E"/>
    <w:rsid w:val="0821078B"/>
    <w:rsid w:val="08210827"/>
    <w:rsid w:val="082108DD"/>
    <w:rsid w:val="0821092A"/>
    <w:rsid w:val="08210969"/>
    <w:rsid w:val="0821096E"/>
    <w:rsid w:val="082109AA"/>
    <w:rsid w:val="082109B5"/>
    <w:rsid w:val="082109C8"/>
    <w:rsid w:val="082109DB"/>
    <w:rsid w:val="08210A23"/>
    <w:rsid w:val="08210AF1"/>
    <w:rsid w:val="08210B04"/>
    <w:rsid w:val="08210B89"/>
    <w:rsid w:val="08210BFB"/>
    <w:rsid w:val="08210C99"/>
    <w:rsid w:val="08210CCA"/>
    <w:rsid w:val="08210CDD"/>
    <w:rsid w:val="08210D06"/>
    <w:rsid w:val="08210DCF"/>
    <w:rsid w:val="08210DD5"/>
    <w:rsid w:val="08210E77"/>
    <w:rsid w:val="08210FF1"/>
    <w:rsid w:val="0821113D"/>
    <w:rsid w:val="08211204"/>
    <w:rsid w:val="082112DB"/>
    <w:rsid w:val="08211362"/>
    <w:rsid w:val="082113A5"/>
    <w:rsid w:val="082113FD"/>
    <w:rsid w:val="0821141A"/>
    <w:rsid w:val="0821142A"/>
    <w:rsid w:val="0821142C"/>
    <w:rsid w:val="082114BD"/>
    <w:rsid w:val="0821155B"/>
    <w:rsid w:val="08211603"/>
    <w:rsid w:val="0821161C"/>
    <w:rsid w:val="0821162A"/>
    <w:rsid w:val="082116A6"/>
    <w:rsid w:val="082116CA"/>
    <w:rsid w:val="08211786"/>
    <w:rsid w:val="0821179B"/>
    <w:rsid w:val="0821179D"/>
    <w:rsid w:val="082117B5"/>
    <w:rsid w:val="082117B6"/>
    <w:rsid w:val="0821180B"/>
    <w:rsid w:val="08211834"/>
    <w:rsid w:val="082118F3"/>
    <w:rsid w:val="08211964"/>
    <w:rsid w:val="082119A9"/>
    <w:rsid w:val="08211A3F"/>
    <w:rsid w:val="08211A44"/>
    <w:rsid w:val="08211BDC"/>
    <w:rsid w:val="08211CD4"/>
    <w:rsid w:val="08211D00"/>
    <w:rsid w:val="08211D30"/>
    <w:rsid w:val="08211D51"/>
    <w:rsid w:val="08211D95"/>
    <w:rsid w:val="08211DC3"/>
    <w:rsid w:val="08211DE3"/>
    <w:rsid w:val="08211E0A"/>
    <w:rsid w:val="08211E39"/>
    <w:rsid w:val="08211E61"/>
    <w:rsid w:val="08211EFE"/>
    <w:rsid w:val="08211F7B"/>
    <w:rsid w:val="08211FE0"/>
    <w:rsid w:val="08212002"/>
    <w:rsid w:val="0821209F"/>
    <w:rsid w:val="08212106"/>
    <w:rsid w:val="082121C9"/>
    <w:rsid w:val="08212215"/>
    <w:rsid w:val="08212259"/>
    <w:rsid w:val="082122CE"/>
    <w:rsid w:val="08212395"/>
    <w:rsid w:val="0821239A"/>
    <w:rsid w:val="0821247E"/>
    <w:rsid w:val="08212502"/>
    <w:rsid w:val="08212519"/>
    <w:rsid w:val="0821258F"/>
    <w:rsid w:val="082125CE"/>
    <w:rsid w:val="0821261B"/>
    <w:rsid w:val="08212673"/>
    <w:rsid w:val="08212677"/>
    <w:rsid w:val="0821269C"/>
    <w:rsid w:val="082126EA"/>
    <w:rsid w:val="082126F3"/>
    <w:rsid w:val="08212774"/>
    <w:rsid w:val="082127C4"/>
    <w:rsid w:val="082128D4"/>
    <w:rsid w:val="0821290B"/>
    <w:rsid w:val="082129C0"/>
    <w:rsid w:val="082129F2"/>
    <w:rsid w:val="08212B23"/>
    <w:rsid w:val="08212B48"/>
    <w:rsid w:val="08212C43"/>
    <w:rsid w:val="08212C7F"/>
    <w:rsid w:val="08212CB6"/>
    <w:rsid w:val="08212CF7"/>
    <w:rsid w:val="08212D28"/>
    <w:rsid w:val="08212D9E"/>
    <w:rsid w:val="08212DA5"/>
    <w:rsid w:val="08212DD1"/>
    <w:rsid w:val="08212E6A"/>
    <w:rsid w:val="08212FFC"/>
    <w:rsid w:val="08213033"/>
    <w:rsid w:val="08213044"/>
    <w:rsid w:val="082130DD"/>
    <w:rsid w:val="0821311B"/>
    <w:rsid w:val="08213147"/>
    <w:rsid w:val="0821317D"/>
    <w:rsid w:val="082131A6"/>
    <w:rsid w:val="08213248"/>
    <w:rsid w:val="08213283"/>
    <w:rsid w:val="0821332F"/>
    <w:rsid w:val="0821349B"/>
    <w:rsid w:val="082134D7"/>
    <w:rsid w:val="08213501"/>
    <w:rsid w:val="082135B6"/>
    <w:rsid w:val="082135B9"/>
    <w:rsid w:val="0821361D"/>
    <w:rsid w:val="08213626"/>
    <w:rsid w:val="0821365C"/>
    <w:rsid w:val="082136FB"/>
    <w:rsid w:val="08213709"/>
    <w:rsid w:val="08213A2B"/>
    <w:rsid w:val="08213AEF"/>
    <w:rsid w:val="08213B3E"/>
    <w:rsid w:val="08213B53"/>
    <w:rsid w:val="08213B59"/>
    <w:rsid w:val="08213D00"/>
    <w:rsid w:val="08213D39"/>
    <w:rsid w:val="08213E0A"/>
    <w:rsid w:val="08213E24"/>
    <w:rsid w:val="08213F0F"/>
    <w:rsid w:val="08213F40"/>
    <w:rsid w:val="08213F5E"/>
    <w:rsid w:val="08213FE5"/>
    <w:rsid w:val="08214057"/>
    <w:rsid w:val="0821411E"/>
    <w:rsid w:val="082141D4"/>
    <w:rsid w:val="082141EA"/>
    <w:rsid w:val="0821422A"/>
    <w:rsid w:val="0821429C"/>
    <w:rsid w:val="08214395"/>
    <w:rsid w:val="08214408"/>
    <w:rsid w:val="08214472"/>
    <w:rsid w:val="082144A0"/>
    <w:rsid w:val="082144D4"/>
    <w:rsid w:val="08214513"/>
    <w:rsid w:val="082146BC"/>
    <w:rsid w:val="082146F4"/>
    <w:rsid w:val="08214746"/>
    <w:rsid w:val="08214771"/>
    <w:rsid w:val="08214775"/>
    <w:rsid w:val="08214800"/>
    <w:rsid w:val="082148D8"/>
    <w:rsid w:val="082148E1"/>
    <w:rsid w:val="0821490D"/>
    <w:rsid w:val="08214933"/>
    <w:rsid w:val="082149E7"/>
    <w:rsid w:val="08214A98"/>
    <w:rsid w:val="08214AA6"/>
    <w:rsid w:val="08214ABA"/>
    <w:rsid w:val="08214BA5"/>
    <w:rsid w:val="08214BDE"/>
    <w:rsid w:val="08214BF4"/>
    <w:rsid w:val="08214C05"/>
    <w:rsid w:val="08214C0E"/>
    <w:rsid w:val="08214C51"/>
    <w:rsid w:val="08214D6B"/>
    <w:rsid w:val="08214D79"/>
    <w:rsid w:val="08214DB4"/>
    <w:rsid w:val="08214DE3"/>
    <w:rsid w:val="08215027"/>
    <w:rsid w:val="082150E9"/>
    <w:rsid w:val="082151C4"/>
    <w:rsid w:val="082151D8"/>
    <w:rsid w:val="08215220"/>
    <w:rsid w:val="0821526F"/>
    <w:rsid w:val="082152A3"/>
    <w:rsid w:val="082152B8"/>
    <w:rsid w:val="082152D8"/>
    <w:rsid w:val="0821531B"/>
    <w:rsid w:val="082153A3"/>
    <w:rsid w:val="08215437"/>
    <w:rsid w:val="08215465"/>
    <w:rsid w:val="082154C1"/>
    <w:rsid w:val="082154FC"/>
    <w:rsid w:val="08215590"/>
    <w:rsid w:val="082155D4"/>
    <w:rsid w:val="08215600"/>
    <w:rsid w:val="08215619"/>
    <w:rsid w:val="082156AD"/>
    <w:rsid w:val="082156B7"/>
    <w:rsid w:val="08215775"/>
    <w:rsid w:val="08215782"/>
    <w:rsid w:val="0821578E"/>
    <w:rsid w:val="082157C9"/>
    <w:rsid w:val="082157F5"/>
    <w:rsid w:val="08215800"/>
    <w:rsid w:val="0821580A"/>
    <w:rsid w:val="08215824"/>
    <w:rsid w:val="08215884"/>
    <w:rsid w:val="082158B4"/>
    <w:rsid w:val="08215938"/>
    <w:rsid w:val="0821596C"/>
    <w:rsid w:val="08215A4D"/>
    <w:rsid w:val="08215A9C"/>
    <w:rsid w:val="08215AAF"/>
    <w:rsid w:val="08215B8A"/>
    <w:rsid w:val="08215BC1"/>
    <w:rsid w:val="08215C99"/>
    <w:rsid w:val="08215D45"/>
    <w:rsid w:val="08215ECE"/>
    <w:rsid w:val="08215ED3"/>
    <w:rsid w:val="08215F3B"/>
    <w:rsid w:val="08215FA7"/>
    <w:rsid w:val="08215FCB"/>
    <w:rsid w:val="08215FCF"/>
    <w:rsid w:val="0821601C"/>
    <w:rsid w:val="0821625B"/>
    <w:rsid w:val="08216276"/>
    <w:rsid w:val="08216325"/>
    <w:rsid w:val="0821635A"/>
    <w:rsid w:val="082163A1"/>
    <w:rsid w:val="082163D8"/>
    <w:rsid w:val="08216423"/>
    <w:rsid w:val="0821658D"/>
    <w:rsid w:val="082166EA"/>
    <w:rsid w:val="082167F1"/>
    <w:rsid w:val="08216824"/>
    <w:rsid w:val="08216900"/>
    <w:rsid w:val="08216933"/>
    <w:rsid w:val="08216941"/>
    <w:rsid w:val="08216976"/>
    <w:rsid w:val="082169E3"/>
    <w:rsid w:val="08216A19"/>
    <w:rsid w:val="08216A5C"/>
    <w:rsid w:val="08216AF0"/>
    <w:rsid w:val="08216B4C"/>
    <w:rsid w:val="08216B5C"/>
    <w:rsid w:val="08216B81"/>
    <w:rsid w:val="08216BEB"/>
    <w:rsid w:val="08216C04"/>
    <w:rsid w:val="08216C36"/>
    <w:rsid w:val="08216CA2"/>
    <w:rsid w:val="08216D69"/>
    <w:rsid w:val="08216D89"/>
    <w:rsid w:val="08216DAB"/>
    <w:rsid w:val="08216DD6"/>
    <w:rsid w:val="08216F22"/>
    <w:rsid w:val="08216F81"/>
    <w:rsid w:val="08216FDF"/>
    <w:rsid w:val="082170E7"/>
    <w:rsid w:val="0821712D"/>
    <w:rsid w:val="082171C7"/>
    <w:rsid w:val="0821721E"/>
    <w:rsid w:val="08217221"/>
    <w:rsid w:val="082172DD"/>
    <w:rsid w:val="082172FF"/>
    <w:rsid w:val="08217457"/>
    <w:rsid w:val="082175EF"/>
    <w:rsid w:val="08217794"/>
    <w:rsid w:val="08217804"/>
    <w:rsid w:val="08217910"/>
    <w:rsid w:val="08217972"/>
    <w:rsid w:val="082179AE"/>
    <w:rsid w:val="082179F9"/>
    <w:rsid w:val="08217B47"/>
    <w:rsid w:val="08217C09"/>
    <w:rsid w:val="08217C94"/>
    <w:rsid w:val="08217CCD"/>
    <w:rsid w:val="08217DA8"/>
    <w:rsid w:val="08217E18"/>
    <w:rsid w:val="08217E56"/>
    <w:rsid w:val="08217EE9"/>
    <w:rsid w:val="08217F0C"/>
    <w:rsid w:val="08217F57"/>
    <w:rsid w:val="0822001F"/>
    <w:rsid w:val="08220061"/>
    <w:rsid w:val="08220069"/>
    <w:rsid w:val="0822010A"/>
    <w:rsid w:val="0822011A"/>
    <w:rsid w:val="08220130"/>
    <w:rsid w:val="0822019F"/>
    <w:rsid w:val="082201D5"/>
    <w:rsid w:val="0822022E"/>
    <w:rsid w:val="08220266"/>
    <w:rsid w:val="082202A8"/>
    <w:rsid w:val="082202FB"/>
    <w:rsid w:val="0822040C"/>
    <w:rsid w:val="0822040E"/>
    <w:rsid w:val="082204D3"/>
    <w:rsid w:val="0822054B"/>
    <w:rsid w:val="0822071E"/>
    <w:rsid w:val="082207DE"/>
    <w:rsid w:val="0822081D"/>
    <w:rsid w:val="08220840"/>
    <w:rsid w:val="08220864"/>
    <w:rsid w:val="082208DA"/>
    <w:rsid w:val="08220961"/>
    <w:rsid w:val="08220A98"/>
    <w:rsid w:val="08220B1C"/>
    <w:rsid w:val="08220D0F"/>
    <w:rsid w:val="08220D78"/>
    <w:rsid w:val="08220DED"/>
    <w:rsid w:val="08220EFD"/>
    <w:rsid w:val="08220F22"/>
    <w:rsid w:val="08220F2B"/>
    <w:rsid w:val="08220F3C"/>
    <w:rsid w:val="08220F59"/>
    <w:rsid w:val="08220FCF"/>
    <w:rsid w:val="0822109B"/>
    <w:rsid w:val="082210A4"/>
    <w:rsid w:val="082210D7"/>
    <w:rsid w:val="082211D1"/>
    <w:rsid w:val="08221243"/>
    <w:rsid w:val="08221275"/>
    <w:rsid w:val="082212AF"/>
    <w:rsid w:val="08221437"/>
    <w:rsid w:val="08221489"/>
    <w:rsid w:val="0822149B"/>
    <w:rsid w:val="082214EB"/>
    <w:rsid w:val="08221616"/>
    <w:rsid w:val="0822162E"/>
    <w:rsid w:val="0822163C"/>
    <w:rsid w:val="08221660"/>
    <w:rsid w:val="082216DB"/>
    <w:rsid w:val="082217ED"/>
    <w:rsid w:val="08221913"/>
    <w:rsid w:val="0822193F"/>
    <w:rsid w:val="08221B6A"/>
    <w:rsid w:val="08221C81"/>
    <w:rsid w:val="08221CCA"/>
    <w:rsid w:val="08221CDA"/>
    <w:rsid w:val="08221DD7"/>
    <w:rsid w:val="08221E3A"/>
    <w:rsid w:val="08221E40"/>
    <w:rsid w:val="08221EA0"/>
    <w:rsid w:val="08221FC7"/>
    <w:rsid w:val="0822201E"/>
    <w:rsid w:val="082220B5"/>
    <w:rsid w:val="082220F2"/>
    <w:rsid w:val="0822223C"/>
    <w:rsid w:val="082222FD"/>
    <w:rsid w:val="08222403"/>
    <w:rsid w:val="0822242A"/>
    <w:rsid w:val="0822248E"/>
    <w:rsid w:val="082224B3"/>
    <w:rsid w:val="082224CD"/>
    <w:rsid w:val="082224F2"/>
    <w:rsid w:val="082225C0"/>
    <w:rsid w:val="082225DD"/>
    <w:rsid w:val="082225EB"/>
    <w:rsid w:val="0822263E"/>
    <w:rsid w:val="08222646"/>
    <w:rsid w:val="08222672"/>
    <w:rsid w:val="08222785"/>
    <w:rsid w:val="082227A4"/>
    <w:rsid w:val="08222884"/>
    <w:rsid w:val="08222904"/>
    <w:rsid w:val="08222950"/>
    <w:rsid w:val="08222997"/>
    <w:rsid w:val="082229D7"/>
    <w:rsid w:val="08222AD6"/>
    <w:rsid w:val="08222B65"/>
    <w:rsid w:val="08222BB2"/>
    <w:rsid w:val="08222D05"/>
    <w:rsid w:val="08222E6D"/>
    <w:rsid w:val="08222EFA"/>
    <w:rsid w:val="08223093"/>
    <w:rsid w:val="08223117"/>
    <w:rsid w:val="0822311B"/>
    <w:rsid w:val="0822312D"/>
    <w:rsid w:val="0822317F"/>
    <w:rsid w:val="08223244"/>
    <w:rsid w:val="08223270"/>
    <w:rsid w:val="08223286"/>
    <w:rsid w:val="08223352"/>
    <w:rsid w:val="082233DA"/>
    <w:rsid w:val="0822344A"/>
    <w:rsid w:val="082234F2"/>
    <w:rsid w:val="08223553"/>
    <w:rsid w:val="08223732"/>
    <w:rsid w:val="0822375E"/>
    <w:rsid w:val="08223764"/>
    <w:rsid w:val="08223900"/>
    <w:rsid w:val="08223927"/>
    <w:rsid w:val="0822392B"/>
    <w:rsid w:val="082239B9"/>
    <w:rsid w:val="082239D3"/>
    <w:rsid w:val="082239EB"/>
    <w:rsid w:val="08223B0C"/>
    <w:rsid w:val="08223B3B"/>
    <w:rsid w:val="08223B6D"/>
    <w:rsid w:val="08223B95"/>
    <w:rsid w:val="08223BBF"/>
    <w:rsid w:val="08223C17"/>
    <w:rsid w:val="08223C25"/>
    <w:rsid w:val="08223CC7"/>
    <w:rsid w:val="08223CD4"/>
    <w:rsid w:val="08223E99"/>
    <w:rsid w:val="08223F0F"/>
    <w:rsid w:val="08223F4E"/>
    <w:rsid w:val="08223FB4"/>
    <w:rsid w:val="08224033"/>
    <w:rsid w:val="0822403E"/>
    <w:rsid w:val="08224058"/>
    <w:rsid w:val="082240D3"/>
    <w:rsid w:val="08224113"/>
    <w:rsid w:val="0822413F"/>
    <w:rsid w:val="08224173"/>
    <w:rsid w:val="08224265"/>
    <w:rsid w:val="0822427A"/>
    <w:rsid w:val="08224373"/>
    <w:rsid w:val="082243C2"/>
    <w:rsid w:val="082243F1"/>
    <w:rsid w:val="08224405"/>
    <w:rsid w:val="08224449"/>
    <w:rsid w:val="08224625"/>
    <w:rsid w:val="08224681"/>
    <w:rsid w:val="082246F9"/>
    <w:rsid w:val="08224784"/>
    <w:rsid w:val="08224788"/>
    <w:rsid w:val="0822490A"/>
    <w:rsid w:val="08224936"/>
    <w:rsid w:val="08224958"/>
    <w:rsid w:val="0822496A"/>
    <w:rsid w:val="08224AA9"/>
    <w:rsid w:val="08224ABE"/>
    <w:rsid w:val="08224B0E"/>
    <w:rsid w:val="08224B1C"/>
    <w:rsid w:val="08224B55"/>
    <w:rsid w:val="08224C6A"/>
    <w:rsid w:val="08224D60"/>
    <w:rsid w:val="08224DA3"/>
    <w:rsid w:val="08224DC7"/>
    <w:rsid w:val="08224DDE"/>
    <w:rsid w:val="08224E4B"/>
    <w:rsid w:val="08224E62"/>
    <w:rsid w:val="08224F7F"/>
    <w:rsid w:val="08224FE9"/>
    <w:rsid w:val="08224FEB"/>
    <w:rsid w:val="08225032"/>
    <w:rsid w:val="082250B8"/>
    <w:rsid w:val="082250CA"/>
    <w:rsid w:val="0822511D"/>
    <w:rsid w:val="0822514C"/>
    <w:rsid w:val="08225169"/>
    <w:rsid w:val="08225171"/>
    <w:rsid w:val="0822523E"/>
    <w:rsid w:val="08225286"/>
    <w:rsid w:val="082252A0"/>
    <w:rsid w:val="0822530B"/>
    <w:rsid w:val="08225332"/>
    <w:rsid w:val="08225365"/>
    <w:rsid w:val="08225419"/>
    <w:rsid w:val="0822543A"/>
    <w:rsid w:val="08225484"/>
    <w:rsid w:val="082254D6"/>
    <w:rsid w:val="082254F6"/>
    <w:rsid w:val="082255DB"/>
    <w:rsid w:val="0822563F"/>
    <w:rsid w:val="082256A2"/>
    <w:rsid w:val="082256AB"/>
    <w:rsid w:val="082256D1"/>
    <w:rsid w:val="08225735"/>
    <w:rsid w:val="082257AF"/>
    <w:rsid w:val="082257D9"/>
    <w:rsid w:val="082257EA"/>
    <w:rsid w:val="082258D9"/>
    <w:rsid w:val="08225922"/>
    <w:rsid w:val="08225987"/>
    <w:rsid w:val="0822599E"/>
    <w:rsid w:val="082259F3"/>
    <w:rsid w:val="08225A49"/>
    <w:rsid w:val="08225A9B"/>
    <w:rsid w:val="08225AD0"/>
    <w:rsid w:val="08225B08"/>
    <w:rsid w:val="08225BCA"/>
    <w:rsid w:val="08225BDD"/>
    <w:rsid w:val="08225C0A"/>
    <w:rsid w:val="08225C44"/>
    <w:rsid w:val="08225C9A"/>
    <w:rsid w:val="08225D20"/>
    <w:rsid w:val="08225D57"/>
    <w:rsid w:val="08225D91"/>
    <w:rsid w:val="08225DE9"/>
    <w:rsid w:val="08225DFA"/>
    <w:rsid w:val="08225E28"/>
    <w:rsid w:val="08225E8F"/>
    <w:rsid w:val="08225ECF"/>
    <w:rsid w:val="08225F54"/>
    <w:rsid w:val="08225FDE"/>
    <w:rsid w:val="08225FE7"/>
    <w:rsid w:val="082260D4"/>
    <w:rsid w:val="082261A2"/>
    <w:rsid w:val="082261D4"/>
    <w:rsid w:val="08226268"/>
    <w:rsid w:val="082262CC"/>
    <w:rsid w:val="082262CE"/>
    <w:rsid w:val="082262D5"/>
    <w:rsid w:val="082263CA"/>
    <w:rsid w:val="082263D6"/>
    <w:rsid w:val="0822642F"/>
    <w:rsid w:val="08226458"/>
    <w:rsid w:val="082264C8"/>
    <w:rsid w:val="082264CE"/>
    <w:rsid w:val="082264FD"/>
    <w:rsid w:val="08226565"/>
    <w:rsid w:val="082266E3"/>
    <w:rsid w:val="08226731"/>
    <w:rsid w:val="08226779"/>
    <w:rsid w:val="08226886"/>
    <w:rsid w:val="08226889"/>
    <w:rsid w:val="08226929"/>
    <w:rsid w:val="082269E5"/>
    <w:rsid w:val="08226A0D"/>
    <w:rsid w:val="08226A5F"/>
    <w:rsid w:val="08226AE4"/>
    <w:rsid w:val="08226B1E"/>
    <w:rsid w:val="08226B1F"/>
    <w:rsid w:val="08226B54"/>
    <w:rsid w:val="08226B6B"/>
    <w:rsid w:val="08226B8F"/>
    <w:rsid w:val="08226CB9"/>
    <w:rsid w:val="08226D21"/>
    <w:rsid w:val="08226D2D"/>
    <w:rsid w:val="08226D4F"/>
    <w:rsid w:val="08226D5C"/>
    <w:rsid w:val="08226D68"/>
    <w:rsid w:val="08226D6D"/>
    <w:rsid w:val="08226D71"/>
    <w:rsid w:val="08226D7B"/>
    <w:rsid w:val="08226DB6"/>
    <w:rsid w:val="08226DC2"/>
    <w:rsid w:val="08226E05"/>
    <w:rsid w:val="08226E29"/>
    <w:rsid w:val="08226E50"/>
    <w:rsid w:val="08226EAA"/>
    <w:rsid w:val="08226EB5"/>
    <w:rsid w:val="08226F39"/>
    <w:rsid w:val="08226F7D"/>
    <w:rsid w:val="0822707A"/>
    <w:rsid w:val="082270BE"/>
    <w:rsid w:val="082270C4"/>
    <w:rsid w:val="082271B0"/>
    <w:rsid w:val="0822722A"/>
    <w:rsid w:val="08227247"/>
    <w:rsid w:val="082272D1"/>
    <w:rsid w:val="08227349"/>
    <w:rsid w:val="08227394"/>
    <w:rsid w:val="082273D0"/>
    <w:rsid w:val="082273D2"/>
    <w:rsid w:val="0822745A"/>
    <w:rsid w:val="0822747D"/>
    <w:rsid w:val="0822748C"/>
    <w:rsid w:val="082274A1"/>
    <w:rsid w:val="082274CF"/>
    <w:rsid w:val="0822757C"/>
    <w:rsid w:val="08227627"/>
    <w:rsid w:val="0822775D"/>
    <w:rsid w:val="08227840"/>
    <w:rsid w:val="08227924"/>
    <w:rsid w:val="082279DC"/>
    <w:rsid w:val="08227A22"/>
    <w:rsid w:val="08227A38"/>
    <w:rsid w:val="08227B50"/>
    <w:rsid w:val="08227B8C"/>
    <w:rsid w:val="08227BAD"/>
    <w:rsid w:val="08227BAF"/>
    <w:rsid w:val="08227D0B"/>
    <w:rsid w:val="08227E0A"/>
    <w:rsid w:val="08227E29"/>
    <w:rsid w:val="08227E48"/>
    <w:rsid w:val="08227E6D"/>
    <w:rsid w:val="08227E82"/>
    <w:rsid w:val="08227E89"/>
    <w:rsid w:val="08227EE6"/>
    <w:rsid w:val="08227EF7"/>
    <w:rsid w:val="08227F31"/>
    <w:rsid w:val="08227F35"/>
    <w:rsid w:val="08227F3E"/>
    <w:rsid w:val="08227FA7"/>
    <w:rsid w:val="08230066"/>
    <w:rsid w:val="08230092"/>
    <w:rsid w:val="082300B8"/>
    <w:rsid w:val="082300D9"/>
    <w:rsid w:val="08230333"/>
    <w:rsid w:val="08230383"/>
    <w:rsid w:val="0823043C"/>
    <w:rsid w:val="08230452"/>
    <w:rsid w:val="0823047B"/>
    <w:rsid w:val="082304C6"/>
    <w:rsid w:val="082306F1"/>
    <w:rsid w:val="0823078C"/>
    <w:rsid w:val="08230790"/>
    <w:rsid w:val="0823079A"/>
    <w:rsid w:val="082307FA"/>
    <w:rsid w:val="08230860"/>
    <w:rsid w:val="08230878"/>
    <w:rsid w:val="0823087F"/>
    <w:rsid w:val="0823098E"/>
    <w:rsid w:val="08230996"/>
    <w:rsid w:val="08230A2C"/>
    <w:rsid w:val="08230AA9"/>
    <w:rsid w:val="08230AAB"/>
    <w:rsid w:val="08230AC6"/>
    <w:rsid w:val="08230B6E"/>
    <w:rsid w:val="08230B86"/>
    <w:rsid w:val="08230C53"/>
    <w:rsid w:val="08230D54"/>
    <w:rsid w:val="08230E1B"/>
    <w:rsid w:val="08230E51"/>
    <w:rsid w:val="08230E55"/>
    <w:rsid w:val="08230F44"/>
    <w:rsid w:val="08230F81"/>
    <w:rsid w:val="08230F8F"/>
    <w:rsid w:val="08230FC4"/>
    <w:rsid w:val="08230FF6"/>
    <w:rsid w:val="08231114"/>
    <w:rsid w:val="08231166"/>
    <w:rsid w:val="082311D4"/>
    <w:rsid w:val="08231258"/>
    <w:rsid w:val="082312BD"/>
    <w:rsid w:val="082314C7"/>
    <w:rsid w:val="0823151E"/>
    <w:rsid w:val="08231530"/>
    <w:rsid w:val="082315BE"/>
    <w:rsid w:val="082315DE"/>
    <w:rsid w:val="082317C2"/>
    <w:rsid w:val="08231864"/>
    <w:rsid w:val="082318B6"/>
    <w:rsid w:val="082319A3"/>
    <w:rsid w:val="082319DF"/>
    <w:rsid w:val="08231A2B"/>
    <w:rsid w:val="08231B21"/>
    <w:rsid w:val="08231B58"/>
    <w:rsid w:val="08231BFE"/>
    <w:rsid w:val="08231C4B"/>
    <w:rsid w:val="08231D40"/>
    <w:rsid w:val="08231D48"/>
    <w:rsid w:val="08231D4E"/>
    <w:rsid w:val="08231E4D"/>
    <w:rsid w:val="08231E68"/>
    <w:rsid w:val="08231E9A"/>
    <w:rsid w:val="08231EB4"/>
    <w:rsid w:val="0823206C"/>
    <w:rsid w:val="082321CC"/>
    <w:rsid w:val="082322E9"/>
    <w:rsid w:val="0823234C"/>
    <w:rsid w:val="082323E2"/>
    <w:rsid w:val="08232582"/>
    <w:rsid w:val="08232599"/>
    <w:rsid w:val="082325AD"/>
    <w:rsid w:val="082325C6"/>
    <w:rsid w:val="08232620"/>
    <w:rsid w:val="08232638"/>
    <w:rsid w:val="082326E4"/>
    <w:rsid w:val="08232799"/>
    <w:rsid w:val="0823279B"/>
    <w:rsid w:val="082327DF"/>
    <w:rsid w:val="082328CE"/>
    <w:rsid w:val="08232B51"/>
    <w:rsid w:val="08232C15"/>
    <w:rsid w:val="08232C53"/>
    <w:rsid w:val="08232D9B"/>
    <w:rsid w:val="08232DB9"/>
    <w:rsid w:val="08232DF8"/>
    <w:rsid w:val="08232EA8"/>
    <w:rsid w:val="08232F7C"/>
    <w:rsid w:val="08232F85"/>
    <w:rsid w:val="08233110"/>
    <w:rsid w:val="0823312F"/>
    <w:rsid w:val="08233148"/>
    <w:rsid w:val="08233183"/>
    <w:rsid w:val="08233222"/>
    <w:rsid w:val="08233228"/>
    <w:rsid w:val="0823325C"/>
    <w:rsid w:val="0823328E"/>
    <w:rsid w:val="082332BC"/>
    <w:rsid w:val="082332EB"/>
    <w:rsid w:val="0823335B"/>
    <w:rsid w:val="08233381"/>
    <w:rsid w:val="08233400"/>
    <w:rsid w:val="08233417"/>
    <w:rsid w:val="08233468"/>
    <w:rsid w:val="08233547"/>
    <w:rsid w:val="0823354C"/>
    <w:rsid w:val="082335EC"/>
    <w:rsid w:val="08233607"/>
    <w:rsid w:val="0823360F"/>
    <w:rsid w:val="08233685"/>
    <w:rsid w:val="082337A6"/>
    <w:rsid w:val="082337D6"/>
    <w:rsid w:val="082337F9"/>
    <w:rsid w:val="08233808"/>
    <w:rsid w:val="0823384E"/>
    <w:rsid w:val="082338F6"/>
    <w:rsid w:val="082338FC"/>
    <w:rsid w:val="08233903"/>
    <w:rsid w:val="0823394F"/>
    <w:rsid w:val="08233986"/>
    <w:rsid w:val="082339A1"/>
    <w:rsid w:val="082339E2"/>
    <w:rsid w:val="08233B7B"/>
    <w:rsid w:val="08233C6D"/>
    <w:rsid w:val="08233CCE"/>
    <w:rsid w:val="08233D82"/>
    <w:rsid w:val="08233DBE"/>
    <w:rsid w:val="08233E4D"/>
    <w:rsid w:val="08233F54"/>
    <w:rsid w:val="08233FC9"/>
    <w:rsid w:val="08234020"/>
    <w:rsid w:val="08234069"/>
    <w:rsid w:val="082340B3"/>
    <w:rsid w:val="08234156"/>
    <w:rsid w:val="082341A1"/>
    <w:rsid w:val="082341FE"/>
    <w:rsid w:val="08234276"/>
    <w:rsid w:val="0823431E"/>
    <w:rsid w:val="082343BB"/>
    <w:rsid w:val="082343FE"/>
    <w:rsid w:val="0823440C"/>
    <w:rsid w:val="08234488"/>
    <w:rsid w:val="082344AC"/>
    <w:rsid w:val="082344C0"/>
    <w:rsid w:val="082344ED"/>
    <w:rsid w:val="0823451B"/>
    <w:rsid w:val="08234601"/>
    <w:rsid w:val="0823463C"/>
    <w:rsid w:val="082347C4"/>
    <w:rsid w:val="082347D7"/>
    <w:rsid w:val="082347EA"/>
    <w:rsid w:val="08234813"/>
    <w:rsid w:val="0823485A"/>
    <w:rsid w:val="0823488D"/>
    <w:rsid w:val="082348BB"/>
    <w:rsid w:val="082348F5"/>
    <w:rsid w:val="08234948"/>
    <w:rsid w:val="0823496D"/>
    <w:rsid w:val="0823498D"/>
    <w:rsid w:val="082349C1"/>
    <w:rsid w:val="08234AEF"/>
    <w:rsid w:val="08234B48"/>
    <w:rsid w:val="08234C6D"/>
    <w:rsid w:val="08234CA3"/>
    <w:rsid w:val="08234CDA"/>
    <w:rsid w:val="08234D9F"/>
    <w:rsid w:val="08234FE8"/>
    <w:rsid w:val="08235018"/>
    <w:rsid w:val="08235019"/>
    <w:rsid w:val="0823513B"/>
    <w:rsid w:val="0823516A"/>
    <w:rsid w:val="082352C9"/>
    <w:rsid w:val="08235333"/>
    <w:rsid w:val="0823538D"/>
    <w:rsid w:val="082353D6"/>
    <w:rsid w:val="08235405"/>
    <w:rsid w:val="0823552C"/>
    <w:rsid w:val="08235589"/>
    <w:rsid w:val="08235628"/>
    <w:rsid w:val="0823566E"/>
    <w:rsid w:val="0823576C"/>
    <w:rsid w:val="082357CD"/>
    <w:rsid w:val="08235820"/>
    <w:rsid w:val="082358D6"/>
    <w:rsid w:val="082358E5"/>
    <w:rsid w:val="08235905"/>
    <w:rsid w:val="0823596F"/>
    <w:rsid w:val="08235976"/>
    <w:rsid w:val="0823599E"/>
    <w:rsid w:val="082359B9"/>
    <w:rsid w:val="082359BD"/>
    <w:rsid w:val="08235AC6"/>
    <w:rsid w:val="08235B0A"/>
    <w:rsid w:val="08235B58"/>
    <w:rsid w:val="08235B70"/>
    <w:rsid w:val="08235B9F"/>
    <w:rsid w:val="08235C5F"/>
    <w:rsid w:val="08235C89"/>
    <w:rsid w:val="08235D31"/>
    <w:rsid w:val="08235E05"/>
    <w:rsid w:val="08235E1B"/>
    <w:rsid w:val="08235EDE"/>
    <w:rsid w:val="08235F8C"/>
    <w:rsid w:val="0823601B"/>
    <w:rsid w:val="0823609E"/>
    <w:rsid w:val="082360E6"/>
    <w:rsid w:val="08236133"/>
    <w:rsid w:val="0823615B"/>
    <w:rsid w:val="082361A1"/>
    <w:rsid w:val="082361A3"/>
    <w:rsid w:val="082361A5"/>
    <w:rsid w:val="082361BA"/>
    <w:rsid w:val="082361E9"/>
    <w:rsid w:val="08236260"/>
    <w:rsid w:val="08236286"/>
    <w:rsid w:val="08236403"/>
    <w:rsid w:val="0823646E"/>
    <w:rsid w:val="082364D2"/>
    <w:rsid w:val="08236506"/>
    <w:rsid w:val="08236532"/>
    <w:rsid w:val="082365A0"/>
    <w:rsid w:val="082366C5"/>
    <w:rsid w:val="082366DD"/>
    <w:rsid w:val="082366EF"/>
    <w:rsid w:val="082369B3"/>
    <w:rsid w:val="08236A76"/>
    <w:rsid w:val="08236AAC"/>
    <w:rsid w:val="08236AC9"/>
    <w:rsid w:val="08236B0A"/>
    <w:rsid w:val="08236B8A"/>
    <w:rsid w:val="08236BDB"/>
    <w:rsid w:val="08236C26"/>
    <w:rsid w:val="08236C2B"/>
    <w:rsid w:val="08236C82"/>
    <w:rsid w:val="08236E04"/>
    <w:rsid w:val="08236E84"/>
    <w:rsid w:val="08236E8E"/>
    <w:rsid w:val="08236F8F"/>
    <w:rsid w:val="08236FA1"/>
    <w:rsid w:val="08237035"/>
    <w:rsid w:val="0823704E"/>
    <w:rsid w:val="082370D6"/>
    <w:rsid w:val="082370F1"/>
    <w:rsid w:val="08237270"/>
    <w:rsid w:val="082372E9"/>
    <w:rsid w:val="082373A4"/>
    <w:rsid w:val="08237406"/>
    <w:rsid w:val="0823745D"/>
    <w:rsid w:val="08237479"/>
    <w:rsid w:val="082374A9"/>
    <w:rsid w:val="08237528"/>
    <w:rsid w:val="08237574"/>
    <w:rsid w:val="08237648"/>
    <w:rsid w:val="082376B8"/>
    <w:rsid w:val="08237779"/>
    <w:rsid w:val="082377E4"/>
    <w:rsid w:val="0823781F"/>
    <w:rsid w:val="08237950"/>
    <w:rsid w:val="082379A2"/>
    <w:rsid w:val="082379A9"/>
    <w:rsid w:val="082379DD"/>
    <w:rsid w:val="08237A9B"/>
    <w:rsid w:val="08237AE3"/>
    <w:rsid w:val="08237B4C"/>
    <w:rsid w:val="08237B50"/>
    <w:rsid w:val="08237B7E"/>
    <w:rsid w:val="08237C14"/>
    <w:rsid w:val="08237C2C"/>
    <w:rsid w:val="08237D3F"/>
    <w:rsid w:val="08237D68"/>
    <w:rsid w:val="08237EA7"/>
    <w:rsid w:val="08237EF1"/>
    <w:rsid w:val="08237F2F"/>
    <w:rsid w:val="08237F65"/>
    <w:rsid w:val="0824002A"/>
    <w:rsid w:val="08240062"/>
    <w:rsid w:val="08240078"/>
    <w:rsid w:val="082400CB"/>
    <w:rsid w:val="08240141"/>
    <w:rsid w:val="0824024A"/>
    <w:rsid w:val="08240343"/>
    <w:rsid w:val="082403EF"/>
    <w:rsid w:val="0824046E"/>
    <w:rsid w:val="08240494"/>
    <w:rsid w:val="082404AF"/>
    <w:rsid w:val="082404B7"/>
    <w:rsid w:val="082404BE"/>
    <w:rsid w:val="08240503"/>
    <w:rsid w:val="0824067B"/>
    <w:rsid w:val="08240682"/>
    <w:rsid w:val="08240816"/>
    <w:rsid w:val="08240838"/>
    <w:rsid w:val="0824085A"/>
    <w:rsid w:val="08240879"/>
    <w:rsid w:val="082408A8"/>
    <w:rsid w:val="082408B7"/>
    <w:rsid w:val="0824091F"/>
    <w:rsid w:val="082409BE"/>
    <w:rsid w:val="082409DB"/>
    <w:rsid w:val="08240B20"/>
    <w:rsid w:val="08240BE6"/>
    <w:rsid w:val="08240C3C"/>
    <w:rsid w:val="08240D26"/>
    <w:rsid w:val="08240D3E"/>
    <w:rsid w:val="08240DAF"/>
    <w:rsid w:val="08240DD3"/>
    <w:rsid w:val="08240E1C"/>
    <w:rsid w:val="08240E78"/>
    <w:rsid w:val="08240ED3"/>
    <w:rsid w:val="08240F21"/>
    <w:rsid w:val="08240F49"/>
    <w:rsid w:val="0824100C"/>
    <w:rsid w:val="08241015"/>
    <w:rsid w:val="08241091"/>
    <w:rsid w:val="0824113D"/>
    <w:rsid w:val="0824116F"/>
    <w:rsid w:val="082411CB"/>
    <w:rsid w:val="082411DB"/>
    <w:rsid w:val="08241327"/>
    <w:rsid w:val="0824140D"/>
    <w:rsid w:val="082414AC"/>
    <w:rsid w:val="08241526"/>
    <w:rsid w:val="08241581"/>
    <w:rsid w:val="0824161C"/>
    <w:rsid w:val="08241645"/>
    <w:rsid w:val="08241671"/>
    <w:rsid w:val="082416F0"/>
    <w:rsid w:val="08241798"/>
    <w:rsid w:val="0824189F"/>
    <w:rsid w:val="082418D2"/>
    <w:rsid w:val="08241925"/>
    <w:rsid w:val="082419BB"/>
    <w:rsid w:val="082419C5"/>
    <w:rsid w:val="082419E6"/>
    <w:rsid w:val="08241A07"/>
    <w:rsid w:val="08241A4C"/>
    <w:rsid w:val="08241AC7"/>
    <w:rsid w:val="08241AE2"/>
    <w:rsid w:val="08241B85"/>
    <w:rsid w:val="08241BAC"/>
    <w:rsid w:val="08241BAE"/>
    <w:rsid w:val="08241BDD"/>
    <w:rsid w:val="08241BF7"/>
    <w:rsid w:val="08241C11"/>
    <w:rsid w:val="08241CD2"/>
    <w:rsid w:val="08241DF4"/>
    <w:rsid w:val="08241F3C"/>
    <w:rsid w:val="08241F3E"/>
    <w:rsid w:val="08241FE0"/>
    <w:rsid w:val="08242061"/>
    <w:rsid w:val="08242091"/>
    <w:rsid w:val="0824209C"/>
    <w:rsid w:val="082420FE"/>
    <w:rsid w:val="0824219D"/>
    <w:rsid w:val="082421C6"/>
    <w:rsid w:val="082421F7"/>
    <w:rsid w:val="08242223"/>
    <w:rsid w:val="08242247"/>
    <w:rsid w:val="082422A6"/>
    <w:rsid w:val="082422FC"/>
    <w:rsid w:val="082423B6"/>
    <w:rsid w:val="082423C3"/>
    <w:rsid w:val="082423EE"/>
    <w:rsid w:val="08242550"/>
    <w:rsid w:val="08242575"/>
    <w:rsid w:val="082425A1"/>
    <w:rsid w:val="08242606"/>
    <w:rsid w:val="08242635"/>
    <w:rsid w:val="08242694"/>
    <w:rsid w:val="082426C4"/>
    <w:rsid w:val="08242703"/>
    <w:rsid w:val="08242733"/>
    <w:rsid w:val="0824276B"/>
    <w:rsid w:val="08242770"/>
    <w:rsid w:val="08242779"/>
    <w:rsid w:val="0824280D"/>
    <w:rsid w:val="082428B5"/>
    <w:rsid w:val="0824290E"/>
    <w:rsid w:val="0824291B"/>
    <w:rsid w:val="0824291C"/>
    <w:rsid w:val="08242940"/>
    <w:rsid w:val="0824295F"/>
    <w:rsid w:val="0824296E"/>
    <w:rsid w:val="082429E7"/>
    <w:rsid w:val="08242A41"/>
    <w:rsid w:val="08242AF1"/>
    <w:rsid w:val="08242B31"/>
    <w:rsid w:val="08242C3C"/>
    <w:rsid w:val="08242C82"/>
    <w:rsid w:val="08242CA3"/>
    <w:rsid w:val="08242D16"/>
    <w:rsid w:val="08242E63"/>
    <w:rsid w:val="08242EC6"/>
    <w:rsid w:val="08242EF2"/>
    <w:rsid w:val="08242EF4"/>
    <w:rsid w:val="08242F19"/>
    <w:rsid w:val="08242F27"/>
    <w:rsid w:val="08242F7F"/>
    <w:rsid w:val="082430AE"/>
    <w:rsid w:val="082431BF"/>
    <w:rsid w:val="082431D8"/>
    <w:rsid w:val="08243221"/>
    <w:rsid w:val="08243242"/>
    <w:rsid w:val="082432D2"/>
    <w:rsid w:val="082433F1"/>
    <w:rsid w:val="08243429"/>
    <w:rsid w:val="082434B7"/>
    <w:rsid w:val="082434BC"/>
    <w:rsid w:val="0824359A"/>
    <w:rsid w:val="082435D0"/>
    <w:rsid w:val="082435E5"/>
    <w:rsid w:val="082437C8"/>
    <w:rsid w:val="082437F9"/>
    <w:rsid w:val="0824387D"/>
    <w:rsid w:val="082439CB"/>
    <w:rsid w:val="082439D5"/>
    <w:rsid w:val="08243A13"/>
    <w:rsid w:val="08243A9D"/>
    <w:rsid w:val="08243B27"/>
    <w:rsid w:val="08243C9F"/>
    <w:rsid w:val="08243CA7"/>
    <w:rsid w:val="08243CC8"/>
    <w:rsid w:val="08243CDE"/>
    <w:rsid w:val="08243D75"/>
    <w:rsid w:val="08243D89"/>
    <w:rsid w:val="08244060"/>
    <w:rsid w:val="08244061"/>
    <w:rsid w:val="08244078"/>
    <w:rsid w:val="08244080"/>
    <w:rsid w:val="08244129"/>
    <w:rsid w:val="0824419C"/>
    <w:rsid w:val="082441A1"/>
    <w:rsid w:val="082442C8"/>
    <w:rsid w:val="082442DF"/>
    <w:rsid w:val="082442F6"/>
    <w:rsid w:val="08244326"/>
    <w:rsid w:val="08244336"/>
    <w:rsid w:val="0824435E"/>
    <w:rsid w:val="0824441A"/>
    <w:rsid w:val="08244592"/>
    <w:rsid w:val="082445DE"/>
    <w:rsid w:val="0824468B"/>
    <w:rsid w:val="082446E6"/>
    <w:rsid w:val="082446F8"/>
    <w:rsid w:val="082446FC"/>
    <w:rsid w:val="082447CD"/>
    <w:rsid w:val="082447DE"/>
    <w:rsid w:val="082447EC"/>
    <w:rsid w:val="08244967"/>
    <w:rsid w:val="082449F9"/>
    <w:rsid w:val="08244A00"/>
    <w:rsid w:val="08244C24"/>
    <w:rsid w:val="08244E0E"/>
    <w:rsid w:val="08244E2E"/>
    <w:rsid w:val="08244E57"/>
    <w:rsid w:val="08244F0C"/>
    <w:rsid w:val="08244FAB"/>
    <w:rsid w:val="08245017"/>
    <w:rsid w:val="0824519D"/>
    <w:rsid w:val="082451C4"/>
    <w:rsid w:val="0824520E"/>
    <w:rsid w:val="08245248"/>
    <w:rsid w:val="082452BA"/>
    <w:rsid w:val="082452EB"/>
    <w:rsid w:val="082453D7"/>
    <w:rsid w:val="082454F3"/>
    <w:rsid w:val="08245534"/>
    <w:rsid w:val="08245576"/>
    <w:rsid w:val="08245699"/>
    <w:rsid w:val="082456DC"/>
    <w:rsid w:val="0824572D"/>
    <w:rsid w:val="08245775"/>
    <w:rsid w:val="0824582A"/>
    <w:rsid w:val="082458DB"/>
    <w:rsid w:val="082458F8"/>
    <w:rsid w:val="08245914"/>
    <w:rsid w:val="08245956"/>
    <w:rsid w:val="082459FA"/>
    <w:rsid w:val="08245A11"/>
    <w:rsid w:val="08245AF0"/>
    <w:rsid w:val="08245B60"/>
    <w:rsid w:val="08245B62"/>
    <w:rsid w:val="08245B8D"/>
    <w:rsid w:val="08245B9C"/>
    <w:rsid w:val="08245BBA"/>
    <w:rsid w:val="08245BFD"/>
    <w:rsid w:val="08245C5E"/>
    <w:rsid w:val="08245CC0"/>
    <w:rsid w:val="08245E28"/>
    <w:rsid w:val="08245FFB"/>
    <w:rsid w:val="08246008"/>
    <w:rsid w:val="082460E8"/>
    <w:rsid w:val="0824610E"/>
    <w:rsid w:val="08246210"/>
    <w:rsid w:val="08246239"/>
    <w:rsid w:val="082463D9"/>
    <w:rsid w:val="082463FA"/>
    <w:rsid w:val="08246441"/>
    <w:rsid w:val="082464DD"/>
    <w:rsid w:val="082464FD"/>
    <w:rsid w:val="08246575"/>
    <w:rsid w:val="0824657B"/>
    <w:rsid w:val="08246596"/>
    <w:rsid w:val="0824666A"/>
    <w:rsid w:val="0824669A"/>
    <w:rsid w:val="082466F4"/>
    <w:rsid w:val="082468AF"/>
    <w:rsid w:val="08246933"/>
    <w:rsid w:val="0824697A"/>
    <w:rsid w:val="08246A22"/>
    <w:rsid w:val="08246A4A"/>
    <w:rsid w:val="08246AE3"/>
    <w:rsid w:val="08246AF9"/>
    <w:rsid w:val="08246B47"/>
    <w:rsid w:val="08246B73"/>
    <w:rsid w:val="08246BCA"/>
    <w:rsid w:val="08246C1B"/>
    <w:rsid w:val="08246CCE"/>
    <w:rsid w:val="08246CEC"/>
    <w:rsid w:val="08246CED"/>
    <w:rsid w:val="08246D24"/>
    <w:rsid w:val="08246D48"/>
    <w:rsid w:val="08246DA3"/>
    <w:rsid w:val="08246EDC"/>
    <w:rsid w:val="08246F9D"/>
    <w:rsid w:val="08247028"/>
    <w:rsid w:val="08247085"/>
    <w:rsid w:val="08247206"/>
    <w:rsid w:val="08247344"/>
    <w:rsid w:val="08247359"/>
    <w:rsid w:val="08247447"/>
    <w:rsid w:val="0824747E"/>
    <w:rsid w:val="08247480"/>
    <w:rsid w:val="082474EB"/>
    <w:rsid w:val="082475CD"/>
    <w:rsid w:val="082476D7"/>
    <w:rsid w:val="08247737"/>
    <w:rsid w:val="0824784C"/>
    <w:rsid w:val="0824785F"/>
    <w:rsid w:val="0824791F"/>
    <w:rsid w:val="08247968"/>
    <w:rsid w:val="08247A80"/>
    <w:rsid w:val="08247B05"/>
    <w:rsid w:val="08247B96"/>
    <w:rsid w:val="08247BD2"/>
    <w:rsid w:val="08247C92"/>
    <w:rsid w:val="08247DEA"/>
    <w:rsid w:val="08247E3E"/>
    <w:rsid w:val="08247E73"/>
    <w:rsid w:val="08247F26"/>
    <w:rsid w:val="08247F64"/>
    <w:rsid w:val="08247F69"/>
    <w:rsid w:val="08247F7A"/>
    <w:rsid w:val="08247F7E"/>
    <w:rsid w:val="08247FFC"/>
    <w:rsid w:val="08247FFE"/>
    <w:rsid w:val="08250133"/>
    <w:rsid w:val="0825013C"/>
    <w:rsid w:val="082501C4"/>
    <w:rsid w:val="082501F5"/>
    <w:rsid w:val="08250232"/>
    <w:rsid w:val="08250255"/>
    <w:rsid w:val="08250354"/>
    <w:rsid w:val="08250362"/>
    <w:rsid w:val="082506E5"/>
    <w:rsid w:val="082507DD"/>
    <w:rsid w:val="082507EB"/>
    <w:rsid w:val="082507FA"/>
    <w:rsid w:val="08250804"/>
    <w:rsid w:val="08250A6B"/>
    <w:rsid w:val="08250A71"/>
    <w:rsid w:val="08250B18"/>
    <w:rsid w:val="08250B83"/>
    <w:rsid w:val="08250BE7"/>
    <w:rsid w:val="08250D1D"/>
    <w:rsid w:val="08250E63"/>
    <w:rsid w:val="08250E65"/>
    <w:rsid w:val="08250F40"/>
    <w:rsid w:val="08251045"/>
    <w:rsid w:val="0825106C"/>
    <w:rsid w:val="082511E9"/>
    <w:rsid w:val="08251211"/>
    <w:rsid w:val="0825125A"/>
    <w:rsid w:val="0825128D"/>
    <w:rsid w:val="082512F9"/>
    <w:rsid w:val="082513DB"/>
    <w:rsid w:val="082513E1"/>
    <w:rsid w:val="08251473"/>
    <w:rsid w:val="08251499"/>
    <w:rsid w:val="08251559"/>
    <w:rsid w:val="082515AA"/>
    <w:rsid w:val="082515D2"/>
    <w:rsid w:val="08251602"/>
    <w:rsid w:val="08251614"/>
    <w:rsid w:val="08251644"/>
    <w:rsid w:val="082516CD"/>
    <w:rsid w:val="082516FA"/>
    <w:rsid w:val="082517FA"/>
    <w:rsid w:val="08251836"/>
    <w:rsid w:val="08251A66"/>
    <w:rsid w:val="08251A70"/>
    <w:rsid w:val="08251A88"/>
    <w:rsid w:val="08251AB8"/>
    <w:rsid w:val="08251C06"/>
    <w:rsid w:val="08251C16"/>
    <w:rsid w:val="08251CAE"/>
    <w:rsid w:val="08251CFF"/>
    <w:rsid w:val="08251D1C"/>
    <w:rsid w:val="08251D25"/>
    <w:rsid w:val="08251D47"/>
    <w:rsid w:val="08251D90"/>
    <w:rsid w:val="08251E27"/>
    <w:rsid w:val="08251E6E"/>
    <w:rsid w:val="08251EE1"/>
    <w:rsid w:val="08251F09"/>
    <w:rsid w:val="08251F29"/>
    <w:rsid w:val="08251FB9"/>
    <w:rsid w:val="08252023"/>
    <w:rsid w:val="08252105"/>
    <w:rsid w:val="08252161"/>
    <w:rsid w:val="08252178"/>
    <w:rsid w:val="08252195"/>
    <w:rsid w:val="082521C5"/>
    <w:rsid w:val="08252219"/>
    <w:rsid w:val="08252249"/>
    <w:rsid w:val="082522A3"/>
    <w:rsid w:val="082522BD"/>
    <w:rsid w:val="082522D7"/>
    <w:rsid w:val="082522E8"/>
    <w:rsid w:val="082524F3"/>
    <w:rsid w:val="08252592"/>
    <w:rsid w:val="0825262C"/>
    <w:rsid w:val="082526CF"/>
    <w:rsid w:val="082526E0"/>
    <w:rsid w:val="08252756"/>
    <w:rsid w:val="0825279E"/>
    <w:rsid w:val="082527A7"/>
    <w:rsid w:val="08252841"/>
    <w:rsid w:val="08252886"/>
    <w:rsid w:val="0825297E"/>
    <w:rsid w:val="08252A93"/>
    <w:rsid w:val="08252ADC"/>
    <w:rsid w:val="08252B10"/>
    <w:rsid w:val="08252B27"/>
    <w:rsid w:val="08252C14"/>
    <w:rsid w:val="08252C88"/>
    <w:rsid w:val="08252CB2"/>
    <w:rsid w:val="08252D4B"/>
    <w:rsid w:val="08252DA7"/>
    <w:rsid w:val="08252EE6"/>
    <w:rsid w:val="08252F5D"/>
    <w:rsid w:val="08252FB3"/>
    <w:rsid w:val="082530AD"/>
    <w:rsid w:val="082530D8"/>
    <w:rsid w:val="082530EC"/>
    <w:rsid w:val="0825311F"/>
    <w:rsid w:val="082531F7"/>
    <w:rsid w:val="08253222"/>
    <w:rsid w:val="08253240"/>
    <w:rsid w:val="08253338"/>
    <w:rsid w:val="082533A9"/>
    <w:rsid w:val="082533AA"/>
    <w:rsid w:val="082533E4"/>
    <w:rsid w:val="0825343B"/>
    <w:rsid w:val="082534A1"/>
    <w:rsid w:val="082534EB"/>
    <w:rsid w:val="0825350E"/>
    <w:rsid w:val="08253613"/>
    <w:rsid w:val="08253616"/>
    <w:rsid w:val="0825366B"/>
    <w:rsid w:val="0825369D"/>
    <w:rsid w:val="0825370D"/>
    <w:rsid w:val="08253735"/>
    <w:rsid w:val="08253767"/>
    <w:rsid w:val="082537D9"/>
    <w:rsid w:val="0825382F"/>
    <w:rsid w:val="08253951"/>
    <w:rsid w:val="0825396F"/>
    <w:rsid w:val="08253A79"/>
    <w:rsid w:val="08253B01"/>
    <w:rsid w:val="08253B97"/>
    <w:rsid w:val="08253C50"/>
    <w:rsid w:val="08253CB8"/>
    <w:rsid w:val="08253D9F"/>
    <w:rsid w:val="08253ECA"/>
    <w:rsid w:val="08253F87"/>
    <w:rsid w:val="08253FA6"/>
    <w:rsid w:val="08253FB9"/>
    <w:rsid w:val="08253FDB"/>
    <w:rsid w:val="08253FFD"/>
    <w:rsid w:val="0825403E"/>
    <w:rsid w:val="08254150"/>
    <w:rsid w:val="08254244"/>
    <w:rsid w:val="08254277"/>
    <w:rsid w:val="0825435A"/>
    <w:rsid w:val="082543A8"/>
    <w:rsid w:val="0825447A"/>
    <w:rsid w:val="08254495"/>
    <w:rsid w:val="082544FF"/>
    <w:rsid w:val="08254509"/>
    <w:rsid w:val="0825455F"/>
    <w:rsid w:val="0825467F"/>
    <w:rsid w:val="082546C8"/>
    <w:rsid w:val="082546EC"/>
    <w:rsid w:val="0825474D"/>
    <w:rsid w:val="082547F3"/>
    <w:rsid w:val="08254815"/>
    <w:rsid w:val="082548B0"/>
    <w:rsid w:val="082548B6"/>
    <w:rsid w:val="082548CC"/>
    <w:rsid w:val="08254913"/>
    <w:rsid w:val="082549BD"/>
    <w:rsid w:val="08254A05"/>
    <w:rsid w:val="08254A34"/>
    <w:rsid w:val="08254AB1"/>
    <w:rsid w:val="08254AC5"/>
    <w:rsid w:val="08254B18"/>
    <w:rsid w:val="08254BEA"/>
    <w:rsid w:val="08254C19"/>
    <w:rsid w:val="08254D2A"/>
    <w:rsid w:val="08254F0B"/>
    <w:rsid w:val="0825513B"/>
    <w:rsid w:val="082552C7"/>
    <w:rsid w:val="082552D2"/>
    <w:rsid w:val="082552EE"/>
    <w:rsid w:val="082552F5"/>
    <w:rsid w:val="0825530A"/>
    <w:rsid w:val="08255339"/>
    <w:rsid w:val="08255363"/>
    <w:rsid w:val="082553CD"/>
    <w:rsid w:val="082553DB"/>
    <w:rsid w:val="08255511"/>
    <w:rsid w:val="0825552E"/>
    <w:rsid w:val="0825555D"/>
    <w:rsid w:val="0825561D"/>
    <w:rsid w:val="08255682"/>
    <w:rsid w:val="08255685"/>
    <w:rsid w:val="08255827"/>
    <w:rsid w:val="08255844"/>
    <w:rsid w:val="08255890"/>
    <w:rsid w:val="08255892"/>
    <w:rsid w:val="08255922"/>
    <w:rsid w:val="0825592C"/>
    <w:rsid w:val="082559E3"/>
    <w:rsid w:val="08255AB6"/>
    <w:rsid w:val="08255BAE"/>
    <w:rsid w:val="08255BE7"/>
    <w:rsid w:val="08255BFD"/>
    <w:rsid w:val="08255C34"/>
    <w:rsid w:val="08255CF0"/>
    <w:rsid w:val="08255CFA"/>
    <w:rsid w:val="08255D5E"/>
    <w:rsid w:val="08255EE6"/>
    <w:rsid w:val="08255FC9"/>
    <w:rsid w:val="082560FA"/>
    <w:rsid w:val="08256185"/>
    <w:rsid w:val="0825619B"/>
    <w:rsid w:val="082562C3"/>
    <w:rsid w:val="082562EF"/>
    <w:rsid w:val="0825637D"/>
    <w:rsid w:val="082563E0"/>
    <w:rsid w:val="082564B1"/>
    <w:rsid w:val="08256505"/>
    <w:rsid w:val="08256560"/>
    <w:rsid w:val="082565C6"/>
    <w:rsid w:val="08256656"/>
    <w:rsid w:val="082566A3"/>
    <w:rsid w:val="08256774"/>
    <w:rsid w:val="082568DE"/>
    <w:rsid w:val="08256900"/>
    <w:rsid w:val="0825694B"/>
    <w:rsid w:val="082569D7"/>
    <w:rsid w:val="08256A3C"/>
    <w:rsid w:val="08256A66"/>
    <w:rsid w:val="08256AFF"/>
    <w:rsid w:val="08256B25"/>
    <w:rsid w:val="08256D99"/>
    <w:rsid w:val="08256DBF"/>
    <w:rsid w:val="08256DE0"/>
    <w:rsid w:val="08256EAA"/>
    <w:rsid w:val="08256EC1"/>
    <w:rsid w:val="08256F4A"/>
    <w:rsid w:val="08256FA5"/>
    <w:rsid w:val="08256FAE"/>
    <w:rsid w:val="08256FB1"/>
    <w:rsid w:val="08257034"/>
    <w:rsid w:val="082570AA"/>
    <w:rsid w:val="0825710F"/>
    <w:rsid w:val="082571A5"/>
    <w:rsid w:val="0825731F"/>
    <w:rsid w:val="08257321"/>
    <w:rsid w:val="0825743E"/>
    <w:rsid w:val="08257492"/>
    <w:rsid w:val="082574C1"/>
    <w:rsid w:val="082575A4"/>
    <w:rsid w:val="082575AD"/>
    <w:rsid w:val="082575D3"/>
    <w:rsid w:val="08257639"/>
    <w:rsid w:val="082576E8"/>
    <w:rsid w:val="0825770B"/>
    <w:rsid w:val="0825775E"/>
    <w:rsid w:val="08257770"/>
    <w:rsid w:val="08257868"/>
    <w:rsid w:val="082578D2"/>
    <w:rsid w:val="082578FE"/>
    <w:rsid w:val="0825790B"/>
    <w:rsid w:val="0825795E"/>
    <w:rsid w:val="082579E0"/>
    <w:rsid w:val="082579FF"/>
    <w:rsid w:val="08257A5F"/>
    <w:rsid w:val="08257A80"/>
    <w:rsid w:val="08257A90"/>
    <w:rsid w:val="08257AA8"/>
    <w:rsid w:val="08257AB6"/>
    <w:rsid w:val="08257B61"/>
    <w:rsid w:val="08257BF5"/>
    <w:rsid w:val="08257BF7"/>
    <w:rsid w:val="08257C42"/>
    <w:rsid w:val="08257CAA"/>
    <w:rsid w:val="08257CBC"/>
    <w:rsid w:val="08257D3B"/>
    <w:rsid w:val="08257D4B"/>
    <w:rsid w:val="08257DDF"/>
    <w:rsid w:val="08257E26"/>
    <w:rsid w:val="08257E65"/>
    <w:rsid w:val="08257E6A"/>
    <w:rsid w:val="08257FC3"/>
    <w:rsid w:val="0826007A"/>
    <w:rsid w:val="082600DE"/>
    <w:rsid w:val="08260129"/>
    <w:rsid w:val="0826020E"/>
    <w:rsid w:val="0826036B"/>
    <w:rsid w:val="082603C7"/>
    <w:rsid w:val="0826047C"/>
    <w:rsid w:val="082604BC"/>
    <w:rsid w:val="08260545"/>
    <w:rsid w:val="08260679"/>
    <w:rsid w:val="0826067B"/>
    <w:rsid w:val="082606A6"/>
    <w:rsid w:val="0826072F"/>
    <w:rsid w:val="0826081C"/>
    <w:rsid w:val="08260A67"/>
    <w:rsid w:val="08260AC2"/>
    <w:rsid w:val="08260ADB"/>
    <w:rsid w:val="08260B7F"/>
    <w:rsid w:val="08260C39"/>
    <w:rsid w:val="08260CC2"/>
    <w:rsid w:val="08260CC9"/>
    <w:rsid w:val="08260F26"/>
    <w:rsid w:val="08260F6E"/>
    <w:rsid w:val="08260F70"/>
    <w:rsid w:val="08260FAE"/>
    <w:rsid w:val="08260FBD"/>
    <w:rsid w:val="08261016"/>
    <w:rsid w:val="08261074"/>
    <w:rsid w:val="0826110A"/>
    <w:rsid w:val="08261144"/>
    <w:rsid w:val="0826116B"/>
    <w:rsid w:val="082611CC"/>
    <w:rsid w:val="082612BE"/>
    <w:rsid w:val="08261369"/>
    <w:rsid w:val="08261431"/>
    <w:rsid w:val="0826146B"/>
    <w:rsid w:val="08261583"/>
    <w:rsid w:val="0826158A"/>
    <w:rsid w:val="082615DE"/>
    <w:rsid w:val="08261640"/>
    <w:rsid w:val="082616A7"/>
    <w:rsid w:val="082617EE"/>
    <w:rsid w:val="08261839"/>
    <w:rsid w:val="08261A0A"/>
    <w:rsid w:val="08261A22"/>
    <w:rsid w:val="08261AF8"/>
    <w:rsid w:val="08261B47"/>
    <w:rsid w:val="08261C5A"/>
    <w:rsid w:val="08261CB1"/>
    <w:rsid w:val="08261DE9"/>
    <w:rsid w:val="08261E11"/>
    <w:rsid w:val="08261EBE"/>
    <w:rsid w:val="08261EDB"/>
    <w:rsid w:val="08261FB8"/>
    <w:rsid w:val="0826205D"/>
    <w:rsid w:val="0826213A"/>
    <w:rsid w:val="082621E0"/>
    <w:rsid w:val="082621FB"/>
    <w:rsid w:val="08262204"/>
    <w:rsid w:val="08262275"/>
    <w:rsid w:val="082623BE"/>
    <w:rsid w:val="08262467"/>
    <w:rsid w:val="0826257B"/>
    <w:rsid w:val="0826261D"/>
    <w:rsid w:val="08262689"/>
    <w:rsid w:val="082626D9"/>
    <w:rsid w:val="08262703"/>
    <w:rsid w:val="0826275C"/>
    <w:rsid w:val="082627B1"/>
    <w:rsid w:val="08262810"/>
    <w:rsid w:val="082629A8"/>
    <w:rsid w:val="08262A13"/>
    <w:rsid w:val="08262A5C"/>
    <w:rsid w:val="08262A6D"/>
    <w:rsid w:val="08262AA6"/>
    <w:rsid w:val="08262BA8"/>
    <w:rsid w:val="08262BE5"/>
    <w:rsid w:val="08262C45"/>
    <w:rsid w:val="08262CA2"/>
    <w:rsid w:val="08262D2C"/>
    <w:rsid w:val="08262D48"/>
    <w:rsid w:val="08262E57"/>
    <w:rsid w:val="08262E74"/>
    <w:rsid w:val="08262E79"/>
    <w:rsid w:val="08262F22"/>
    <w:rsid w:val="08262F28"/>
    <w:rsid w:val="0826307B"/>
    <w:rsid w:val="08263164"/>
    <w:rsid w:val="0826324D"/>
    <w:rsid w:val="082632A6"/>
    <w:rsid w:val="08263321"/>
    <w:rsid w:val="0826332E"/>
    <w:rsid w:val="0826339E"/>
    <w:rsid w:val="08263402"/>
    <w:rsid w:val="08263478"/>
    <w:rsid w:val="082634C5"/>
    <w:rsid w:val="082634F8"/>
    <w:rsid w:val="082635B4"/>
    <w:rsid w:val="082635BB"/>
    <w:rsid w:val="082636DA"/>
    <w:rsid w:val="082636DC"/>
    <w:rsid w:val="0826374D"/>
    <w:rsid w:val="0826375C"/>
    <w:rsid w:val="082637BA"/>
    <w:rsid w:val="082637D8"/>
    <w:rsid w:val="0826381B"/>
    <w:rsid w:val="0826386B"/>
    <w:rsid w:val="08263892"/>
    <w:rsid w:val="082638AD"/>
    <w:rsid w:val="0826390B"/>
    <w:rsid w:val="08263AEF"/>
    <w:rsid w:val="08263B7B"/>
    <w:rsid w:val="08263BD8"/>
    <w:rsid w:val="08263BFE"/>
    <w:rsid w:val="08263CCF"/>
    <w:rsid w:val="08263CD4"/>
    <w:rsid w:val="08263D0F"/>
    <w:rsid w:val="08263D7D"/>
    <w:rsid w:val="08263E42"/>
    <w:rsid w:val="08263E74"/>
    <w:rsid w:val="0826406B"/>
    <w:rsid w:val="082640B3"/>
    <w:rsid w:val="082640D7"/>
    <w:rsid w:val="082640E4"/>
    <w:rsid w:val="08264119"/>
    <w:rsid w:val="082641D5"/>
    <w:rsid w:val="08264207"/>
    <w:rsid w:val="082642D5"/>
    <w:rsid w:val="082642DF"/>
    <w:rsid w:val="08264305"/>
    <w:rsid w:val="0826430B"/>
    <w:rsid w:val="0826435B"/>
    <w:rsid w:val="082643AE"/>
    <w:rsid w:val="08264468"/>
    <w:rsid w:val="08264488"/>
    <w:rsid w:val="08264586"/>
    <w:rsid w:val="082645D0"/>
    <w:rsid w:val="082646A3"/>
    <w:rsid w:val="082646E9"/>
    <w:rsid w:val="0826484A"/>
    <w:rsid w:val="0826487B"/>
    <w:rsid w:val="0826492E"/>
    <w:rsid w:val="0826494E"/>
    <w:rsid w:val="082649AE"/>
    <w:rsid w:val="082649B8"/>
    <w:rsid w:val="082649C8"/>
    <w:rsid w:val="08264A43"/>
    <w:rsid w:val="08264AA1"/>
    <w:rsid w:val="08264AC5"/>
    <w:rsid w:val="08264AFF"/>
    <w:rsid w:val="08264B2B"/>
    <w:rsid w:val="08264B2D"/>
    <w:rsid w:val="08264B51"/>
    <w:rsid w:val="08264BD8"/>
    <w:rsid w:val="08264C20"/>
    <w:rsid w:val="08264C6C"/>
    <w:rsid w:val="08264C8A"/>
    <w:rsid w:val="08264D1E"/>
    <w:rsid w:val="08264D29"/>
    <w:rsid w:val="08264DDC"/>
    <w:rsid w:val="08264DE9"/>
    <w:rsid w:val="08264E19"/>
    <w:rsid w:val="08264E60"/>
    <w:rsid w:val="08264EF6"/>
    <w:rsid w:val="08264FF0"/>
    <w:rsid w:val="0826500C"/>
    <w:rsid w:val="082650AA"/>
    <w:rsid w:val="08265113"/>
    <w:rsid w:val="08265121"/>
    <w:rsid w:val="082651B8"/>
    <w:rsid w:val="08265265"/>
    <w:rsid w:val="082652B4"/>
    <w:rsid w:val="082652FD"/>
    <w:rsid w:val="082653B7"/>
    <w:rsid w:val="082653F7"/>
    <w:rsid w:val="0826547D"/>
    <w:rsid w:val="08265552"/>
    <w:rsid w:val="082655A1"/>
    <w:rsid w:val="08265628"/>
    <w:rsid w:val="0826571B"/>
    <w:rsid w:val="08265781"/>
    <w:rsid w:val="082657FA"/>
    <w:rsid w:val="0826588D"/>
    <w:rsid w:val="0826589B"/>
    <w:rsid w:val="08265932"/>
    <w:rsid w:val="08265953"/>
    <w:rsid w:val="082659E7"/>
    <w:rsid w:val="08265AAB"/>
    <w:rsid w:val="08265AC5"/>
    <w:rsid w:val="08265AD8"/>
    <w:rsid w:val="08265B01"/>
    <w:rsid w:val="08265B60"/>
    <w:rsid w:val="08265BEB"/>
    <w:rsid w:val="08265C0C"/>
    <w:rsid w:val="08265C46"/>
    <w:rsid w:val="08265C51"/>
    <w:rsid w:val="08265CE7"/>
    <w:rsid w:val="08265CEC"/>
    <w:rsid w:val="08265D0E"/>
    <w:rsid w:val="08265D77"/>
    <w:rsid w:val="08265DF9"/>
    <w:rsid w:val="08265E24"/>
    <w:rsid w:val="08265EC8"/>
    <w:rsid w:val="08265F41"/>
    <w:rsid w:val="08265F48"/>
    <w:rsid w:val="08265F54"/>
    <w:rsid w:val="08265F62"/>
    <w:rsid w:val="08265F88"/>
    <w:rsid w:val="08265FE5"/>
    <w:rsid w:val="082661E5"/>
    <w:rsid w:val="082661FD"/>
    <w:rsid w:val="08266208"/>
    <w:rsid w:val="0826622B"/>
    <w:rsid w:val="082662CE"/>
    <w:rsid w:val="0826640F"/>
    <w:rsid w:val="0826646C"/>
    <w:rsid w:val="082664A5"/>
    <w:rsid w:val="082664D0"/>
    <w:rsid w:val="082664EC"/>
    <w:rsid w:val="082665B2"/>
    <w:rsid w:val="082665D3"/>
    <w:rsid w:val="0826661B"/>
    <w:rsid w:val="0826662B"/>
    <w:rsid w:val="0826662E"/>
    <w:rsid w:val="082666DE"/>
    <w:rsid w:val="08266702"/>
    <w:rsid w:val="08266799"/>
    <w:rsid w:val="082667DC"/>
    <w:rsid w:val="082668F3"/>
    <w:rsid w:val="082669C6"/>
    <w:rsid w:val="082669F0"/>
    <w:rsid w:val="08266A41"/>
    <w:rsid w:val="08266AD4"/>
    <w:rsid w:val="08266ADA"/>
    <w:rsid w:val="08266B3A"/>
    <w:rsid w:val="08266C13"/>
    <w:rsid w:val="08266CA8"/>
    <w:rsid w:val="08266CC2"/>
    <w:rsid w:val="08266D44"/>
    <w:rsid w:val="08266D7A"/>
    <w:rsid w:val="08266D8A"/>
    <w:rsid w:val="08266DB2"/>
    <w:rsid w:val="08266DC3"/>
    <w:rsid w:val="08266FC9"/>
    <w:rsid w:val="08266FCC"/>
    <w:rsid w:val="08267174"/>
    <w:rsid w:val="08267338"/>
    <w:rsid w:val="0826734D"/>
    <w:rsid w:val="0826738E"/>
    <w:rsid w:val="082673A9"/>
    <w:rsid w:val="082673BC"/>
    <w:rsid w:val="08267495"/>
    <w:rsid w:val="082674D6"/>
    <w:rsid w:val="08267507"/>
    <w:rsid w:val="08267535"/>
    <w:rsid w:val="08267558"/>
    <w:rsid w:val="082675C0"/>
    <w:rsid w:val="08267643"/>
    <w:rsid w:val="082676C9"/>
    <w:rsid w:val="08267707"/>
    <w:rsid w:val="08267795"/>
    <w:rsid w:val="0826782E"/>
    <w:rsid w:val="08267838"/>
    <w:rsid w:val="0826783F"/>
    <w:rsid w:val="0826785A"/>
    <w:rsid w:val="08267864"/>
    <w:rsid w:val="08267915"/>
    <w:rsid w:val="0826792C"/>
    <w:rsid w:val="08267A07"/>
    <w:rsid w:val="08267A94"/>
    <w:rsid w:val="08267AAB"/>
    <w:rsid w:val="08267AEC"/>
    <w:rsid w:val="08267C25"/>
    <w:rsid w:val="08267C30"/>
    <w:rsid w:val="08267C4F"/>
    <w:rsid w:val="08267CA2"/>
    <w:rsid w:val="08267CA6"/>
    <w:rsid w:val="08267CCC"/>
    <w:rsid w:val="08267D4E"/>
    <w:rsid w:val="08267D70"/>
    <w:rsid w:val="08267D90"/>
    <w:rsid w:val="08267D9B"/>
    <w:rsid w:val="08267EB9"/>
    <w:rsid w:val="08267F09"/>
    <w:rsid w:val="08267F46"/>
    <w:rsid w:val="08267F69"/>
    <w:rsid w:val="08267F9C"/>
    <w:rsid w:val="08270028"/>
    <w:rsid w:val="08270070"/>
    <w:rsid w:val="082700B1"/>
    <w:rsid w:val="0827014D"/>
    <w:rsid w:val="08270197"/>
    <w:rsid w:val="082701E5"/>
    <w:rsid w:val="08270345"/>
    <w:rsid w:val="082703A2"/>
    <w:rsid w:val="082703BD"/>
    <w:rsid w:val="082703D0"/>
    <w:rsid w:val="08270548"/>
    <w:rsid w:val="0827058E"/>
    <w:rsid w:val="082705AB"/>
    <w:rsid w:val="082705CA"/>
    <w:rsid w:val="082705DA"/>
    <w:rsid w:val="082705F9"/>
    <w:rsid w:val="08270675"/>
    <w:rsid w:val="0827067E"/>
    <w:rsid w:val="082706BA"/>
    <w:rsid w:val="08270785"/>
    <w:rsid w:val="0827088B"/>
    <w:rsid w:val="08270A98"/>
    <w:rsid w:val="08270AD0"/>
    <w:rsid w:val="08270C0B"/>
    <w:rsid w:val="08270C29"/>
    <w:rsid w:val="08270C77"/>
    <w:rsid w:val="08270C92"/>
    <w:rsid w:val="08270CD1"/>
    <w:rsid w:val="08270CE9"/>
    <w:rsid w:val="08270D6E"/>
    <w:rsid w:val="08270D98"/>
    <w:rsid w:val="08270E90"/>
    <w:rsid w:val="08270EA4"/>
    <w:rsid w:val="08270F71"/>
    <w:rsid w:val="08270FC4"/>
    <w:rsid w:val="08270FC6"/>
    <w:rsid w:val="08271021"/>
    <w:rsid w:val="08271070"/>
    <w:rsid w:val="082710A0"/>
    <w:rsid w:val="0827114F"/>
    <w:rsid w:val="082712FC"/>
    <w:rsid w:val="08271514"/>
    <w:rsid w:val="08271583"/>
    <w:rsid w:val="0827159E"/>
    <w:rsid w:val="082715B7"/>
    <w:rsid w:val="08271718"/>
    <w:rsid w:val="082717D0"/>
    <w:rsid w:val="082717DD"/>
    <w:rsid w:val="08271817"/>
    <w:rsid w:val="08271839"/>
    <w:rsid w:val="08271888"/>
    <w:rsid w:val="082718E4"/>
    <w:rsid w:val="08271945"/>
    <w:rsid w:val="082719C9"/>
    <w:rsid w:val="08271A6B"/>
    <w:rsid w:val="08271B13"/>
    <w:rsid w:val="08271BE6"/>
    <w:rsid w:val="08271C7F"/>
    <w:rsid w:val="08271CE1"/>
    <w:rsid w:val="08271E4E"/>
    <w:rsid w:val="08271E85"/>
    <w:rsid w:val="08271EE4"/>
    <w:rsid w:val="08272043"/>
    <w:rsid w:val="08272108"/>
    <w:rsid w:val="08272231"/>
    <w:rsid w:val="08272266"/>
    <w:rsid w:val="08272388"/>
    <w:rsid w:val="082723C8"/>
    <w:rsid w:val="08272430"/>
    <w:rsid w:val="08272459"/>
    <w:rsid w:val="082724C8"/>
    <w:rsid w:val="0827253E"/>
    <w:rsid w:val="082725E4"/>
    <w:rsid w:val="082725FD"/>
    <w:rsid w:val="082727C7"/>
    <w:rsid w:val="082727D3"/>
    <w:rsid w:val="0827280E"/>
    <w:rsid w:val="08272816"/>
    <w:rsid w:val="0827289D"/>
    <w:rsid w:val="082728A5"/>
    <w:rsid w:val="08272953"/>
    <w:rsid w:val="08272970"/>
    <w:rsid w:val="08272B51"/>
    <w:rsid w:val="08272C2D"/>
    <w:rsid w:val="08272C39"/>
    <w:rsid w:val="08272CDF"/>
    <w:rsid w:val="08272DB4"/>
    <w:rsid w:val="08272DD7"/>
    <w:rsid w:val="08272EF2"/>
    <w:rsid w:val="08272F18"/>
    <w:rsid w:val="0827307A"/>
    <w:rsid w:val="082730D4"/>
    <w:rsid w:val="082731AB"/>
    <w:rsid w:val="0827321D"/>
    <w:rsid w:val="08273234"/>
    <w:rsid w:val="0827326C"/>
    <w:rsid w:val="082732A1"/>
    <w:rsid w:val="082732E2"/>
    <w:rsid w:val="08273318"/>
    <w:rsid w:val="082734C7"/>
    <w:rsid w:val="08273681"/>
    <w:rsid w:val="082736E3"/>
    <w:rsid w:val="0827372F"/>
    <w:rsid w:val="0827378C"/>
    <w:rsid w:val="082737F1"/>
    <w:rsid w:val="08273837"/>
    <w:rsid w:val="082738CC"/>
    <w:rsid w:val="0827394E"/>
    <w:rsid w:val="08273ABB"/>
    <w:rsid w:val="08273C53"/>
    <w:rsid w:val="08273C8D"/>
    <w:rsid w:val="08273CCC"/>
    <w:rsid w:val="08273D36"/>
    <w:rsid w:val="08273DC2"/>
    <w:rsid w:val="08273DFB"/>
    <w:rsid w:val="08273EA7"/>
    <w:rsid w:val="08273EE3"/>
    <w:rsid w:val="08273F1A"/>
    <w:rsid w:val="08273F7C"/>
    <w:rsid w:val="08273FF7"/>
    <w:rsid w:val="0827407F"/>
    <w:rsid w:val="08274152"/>
    <w:rsid w:val="0827419F"/>
    <w:rsid w:val="08274204"/>
    <w:rsid w:val="0827423A"/>
    <w:rsid w:val="08274264"/>
    <w:rsid w:val="082742D5"/>
    <w:rsid w:val="0827433E"/>
    <w:rsid w:val="082743B0"/>
    <w:rsid w:val="08274410"/>
    <w:rsid w:val="0827441A"/>
    <w:rsid w:val="08274517"/>
    <w:rsid w:val="08274622"/>
    <w:rsid w:val="082746D1"/>
    <w:rsid w:val="0827473D"/>
    <w:rsid w:val="082747E0"/>
    <w:rsid w:val="0827480F"/>
    <w:rsid w:val="0827487A"/>
    <w:rsid w:val="082748CC"/>
    <w:rsid w:val="08274928"/>
    <w:rsid w:val="082749F2"/>
    <w:rsid w:val="08274AD1"/>
    <w:rsid w:val="08274B21"/>
    <w:rsid w:val="08274B95"/>
    <w:rsid w:val="08274BB1"/>
    <w:rsid w:val="08274CA7"/>
    <w:rsid w:val="08274D61"/>
    <w:rsid w:val="08274D72"/>
    <w:rsid w:val="08274DAD"/>
    <w:rsid w:val="08274DD8"/>
    <w:rsid w:val="08274E63"/>
    <w:rsid w:val="08274F38"/>
    <w:rsid w:val="08274F65"/>
    <w:rsid w:val="08274F98"/>
    <w:rsid w:val="08274FA5"/>
    <w:rsid w:val="0827511E"/>
    <w:rsid w:val="0827520C"/>
    <w:rsid w:val="082752BF"/>
    <w:rsid w:val="08275322"/>
    <w:rsid w:val="08275333"/>
    <w:rsid w:val="082754FE"/>
    <w:rsid w:val="082756A0"/>
    <w:rsid w:val="082756BE"/>
    <w:rsid w:val="08275787"/>
    <w:rsid w:val="082757AD"/>
    <w:rsid w:val="082757D9"/>
    <w:rsid w:val="082757E7"/>
    <w:rsid w:val="082758C4"/>
    <w:rsid w:val="082759F7"/>
    <w:rsid w:val="08275ABC"/>
    <w:rsid w:val="08275B65"/>
    <w:rsid w:val="08275C04"/>
    <w:rsid w:val="08275D08"/>
    <w:rsid w:val="08275D2F"/>
    <w:rsid w:val="08275D81"/>
    <w:rsid w:val="08275DE8"/>
    <w:rsid w:val="08275DF6"/>
    <w:rsid w:val="08275E84"/>
    <w:rsid w:val="08275F10"/>
    <w:rsid w:val="08275F4B"/>
    <w:rsid w:val="08275FCB"/>
    <w:rsid w:val="0827603B"/>
    <w:rsid w:val="08276046"/>
    <w:rsid w:val="082760E7"/>
    <w:rsid w:val="082760EC"/>
    <w:rsid w:val="08276100"/>
    <w:rsid w:val="08276190"/>
    <w:rsid w:val="082762FD"/>
    <w:rsid w:val="0827630C"/>
    <w:rsid w:val="08276351"/>
    <w:rsid w:val="082763F3"/>
    <w:rsid w:val="0827643E"/>
    <w:rsid w:val="082764AD"/>
    <w:rsid w:val="082765C2"/>
    <w:rsid w:val="082766DE"/>
    <w:rsid w:val="0827672E"/>
    <w:rsid w:val="08276739"/>
    <w:rsid w:val="0827680A"/>
    <w:rsid w:val="0827686E"/>
    <w:rsid w:val="0827692A"/>
    <w:rsid w:val="082769A7"/>
    <w:rsid w:val="082769F9"/>
    <w:rsid w:val="08276ADB"/>
    <w:rsid w:val="08276B38"/>
    <w:rsid w:val="08276BBF"/>
    <w:rsid w:val="08276D3D"/>
    <w:rsid w:val="08276D53"/>
    <w:rsid w:val="08276D78"/>
    <w:rsid w:val="08276E11"/>
    <w:rsid w:val="08276E6C"/>
    <w:rsid w:val="08276E89"/>
    <w:rsid w:val="08276F20"/>
    <w:rsid w:val="08277056"/>
    <w:rsid w:val="082770EB"/>
    <w:rsid w:val="08277147"/>
    <w:rsid w:val="08277155"/>
    <w:rsid w:val="08277301"/>
    <w:rsid w:val="08277325"/>
    <w:rsid w:val="08277394"/>
    <w:rsid w:val="082773AB"/>
    <w:rsid w:val="08277434"/>
    <w:rsid w:val="08277446"/>
    <w:rsid w:val="08277470"/>
    <w:rsid w:val="08277475"/>
    <w:rsid w:val="08277521"/>
    <w:rsid w:val="0827762C"/>
    <w:rsid w:val="082776CC"/>
    <w:rsid w:val="0827774C"/>
    <w:rsid w:val="08277791"/>
    <w:rsid w:val="0827781F"/>
    <w:rsid w:val="08277826"/>
    <w:rsid w:val="08277968"/>
    <w:rsid w:val="082779CF"/>
    <w:rsid w:val="08277A94"/>
    <w:rsid w:val="08277AC8"/>
    <w:rsid w:val="08277D0E"/>
    <w:rsid w:val="08277D12"/>
    <w:rsid w:val="08277E34"/>
    <w:rsid w:val="08277F55"/>
    <w:rsid w:val="08277F75"/>
    <w:rsid w:val="08277FE0"/>
    <w:rsid w:val="08280034"/>
    <w:rsid w:val="08280198"/>
    <w:rsid w:val="0828019A"/>
    <w:rsid w:val="082801EF"/>
    <w:rsid w:val="08280201"/>
    <w:rsid w:val="08280323"/>
    <w:rsid w:val="0828033A"/>
    <w:rsid w:val="0828036B"/>
    <w:rsid w:val="082803AB"/>
    <w:rsid w:val="08280482"/>
    <w:rsid w:val="082804B8"/>
    <w:rsid w:val="082804E5"/>
    <w:rsid w:val="08280504"/>
    <w:rsid w:val="08280541"/>
    <w:rsid w:val="082805A9"/>
    <w:rsid w:val="0828069F"/>
    <w:rsid w:val="082806AD"/>
    <w:rsid w:val="082807D8"/>
    <w:rsid w:val="08280937"/>
    <w:rsid w:val="0828099F"/>
    <w:rsid w:val="08280A16"/>
    <w:rsid w:val="08280A84"/>
    <w:rsid w:val="08280BF8"/>
    <w:rsid w:val="08280CA4"/>
    <w:rsid w:val="08280CBF"/>
    <w:rsid w:val="08280CF7"/>
    <w:rsid w:val="08280D64"/>
    <w:rsid w:val="08280E44"/>
    <w:rsid w:val="08280F36"/>
    <w:rsid w:val="08280F5A"/>
    <w:rsid w:val="08280FD9"/>
    <w:rsid w:val="08280FFD"/>
    <w:rsid w:val="08281015"/>
    <w:rsid w:val="08281032"/>
    <w:rsid w:val="0828104C"/>
    <w:rsid w:val="082810B4"/>
    <w:rsid w:val="082810CB"/>
    <w:rsid w:val="082810FD"/>
    <w:rsid w:val="08281105"/>
    <w:rsid w:val="0828111A"/>
    <w:rsid w:val="082811E1"/>
    <w:rsid w:val="08281322"/>
    <w:rsid w:val="0828132C"/>
    <w:rsid w:val="0828135A"/>
    <w:rsid w:val="0828135F"/>
    <w:rsid w:val="082813BD"/>
    <w:rsid w:val="082813DB"/>
    <w:rsid w:val="082814D8"/>
    <w:rsid w:val="08281526"/>
    <w:rsid w:val="08281587"/>
    <w:rsid w:val="0828159C"/>
    <w:rsid w:val="08281603"/>
    <w:rsid w:val="082816BF"/>
    <w:rsid w:val="082816D2"/>
    <w:rsid w:val="08281709"/>
    <w:rsid w:val="082817E5"/>
    <w:rsid w:val="08281857"/>
    <w:rsid w:val="08281864"/>
    <w:rsid w:val="08281873"/>
    <w:rsid w:val="08281892"/>
    <w:rsid w:val="082818CF"/>
    <w:rsid w:val="0828198C"/>
    <w:rsid w:val="082819B9"/>
    <w:rsid w:val="08281A46"/>
    <w:rsid w:val="08281BD8"/>
    <w:rsid w:val="08281C2B"/>
    <w:rsid w:val="08281C31"/>
    <w:rsid w:val="08281CA1"/>
    <w:rsid w:val="08281CB9"/>
    <w:rsid w:val="08281D24"/>
    <w:rsid w:val="08281DF8"/>
    <w:rsid w:val="08281E3E"/>
    <w:rsid w:val="08281E5E"/>
    <w:rsid w:val="08281F03"/>
    <w:rsid w:val="08281F41"/>
    <w:rsid w:val="08281F94"/>
    <w:rsid w:val="08281FC7"/>
    <w:rsid w:val="08282038"/>
    <w:rsid w:val="0828206E"/>
    <w:rsid w:val="08282190"/>
    <w:rsid w:val="0828219B"/>
    <w:rsid w:val="0828219C"/>
    <w:rsid w:val="082821CB"/>
    <w:rsid w:val="08282200"/>
    <w:rsid w:val="0828222B"/>
    <w:rsid w:val="08282236"/>
    <w:rsid w:val="08282249"/>
    <w:rsid w:val="0828228D"/>
    <w:rsid w:val="0828231A"/>
    <w:rsid w:val="08282353"/>
    <w:rsid w:val="08282454"/>
    <w:rsid w:val="082824C7"/>
    <w:rsid w:val="0828258E"/>
    <w:rsid w:val="08282672"/>
    <w:rsid w:val="08282688"/>
    <w:rsid w:val="082826EC"/>
    <w:rsid w:val="0828284D"/>
    <w:rsid w:val="0828287F"/>
    <w:rsid w:val="0828292E"/>
    <w:rsid w:val="08282945"/>
    <w:rsid w:val="08282962"/>
    <w:rsid w:val="08282B6E"/>
    <w:rsid w:val="08282BBE"/>
    <w:rsid w:val="08282CCA"/>
    <w:rsid w:val="08282DAE"/>
    <w:rsid w:val="08282E89"/>
    <w:rsid w:val="08282E92"/>
    <w:rsid w:val="08282ECC"/>
    <w:rsid w:val="08282ED8"/>
    <w:rsid w:val="08283022"/>
    <w:rsid w:val="08283092"/>
    <w:rsid w:val="0828310F"/>
    <w:rsid w:val="0828315B"/>
    <w:rsid w:val="08283211"/>
    <w:rsid w:val="0828324C"/>
    <w:rsid w:val="08283307"/>
    <w:rsid w:val="08283432"/>
    <w:rsid w:val="0828344C"/>
    <w:rsid w:val="0828344D"/>
    <w:rsid w:val="082834F4"/>
    <w:rsid w:val="08283535"/>
    <w:rsid w:val="0828353C"/>
    <w:rsid w:val="0828354E"/>
    <w:rsid w:val="08283577"/>
    <w:rsid w:val="082835BD"/>
    <w:rsid w:val="08283609"/>
    <w:rsid w:val="08283698"/>
    <w:rsid w:val="0828373D"/>
    <w:rsid w:val="0828381C"/>
    <w:rsid w:val="08283859"/>
    <w:rsid w:val="08283879"/>
    <w:rsid w:val="082838B8"/>
    <w:rsid w:val="08283919"/>
    <w:rsid w:val="08283929"/>
    <w:rsid w:val="08283976"/>
    <w:rsid w:val="08283A2F"/>
    <w:rsid w:val="08283A4F"/>
    <w:rsid w:val="08283B07"/>
    <w:rsid w:val="08283B57"/>
    <w:rsid w:val="08283B6B"/>
    <w:rsid w:val="08283B76"/>
    <w:rsid w:val="08283BC6"/>
    <w:rsid w:val="08283C61"/>
    <w:rsid w:val="08283C95"/>
    <w:rsid w:val="08283D5D"/>
    <w:rsid w:val="08283D73"/>
    <w:rsid w:val="08283DF9"/>
    <w:rsid w:val="08283F54"/>
    <w:rsid w:val="08283F8D"/>
    <w:rsid w:val="08283FB7"/>
    <w:rsid w:val="082841E7"/>
    <w:rsid w:val="082842E1"/>
    <w:rsid w:val="082842E3"/>
    <w:rsid w:val="08284451"/>
    <w:rsid w:val="082845C6"/>
    <w:rsid w:val="082846D5"/>
    <w:rsid w:val="082846DF"/>
    <w:rsid w:val="08284741"/>
    <w:rsid w:val="082847D5"/>
    <w:rsid w:val="0828488D"/>
    <w:rsid w:val="0828489A"/>
    <w:rsid w:val="08284975"/>
    <w:rsid w:val="082849AD"/>
    <w:rsid w:val="08284AE5"/>
    <w:rsid w:val="08284B01"/>
    <w:rsid w:val="08284BA7"/>
    <w:rsid w:val="08284CC7"/>
    <w:rsid w:val="08284D51"/>
    <w:rsid w:val="08284D8B"/>
    <w:rsid w:val="08284D8C"/>
    <w:rsid w:val="08284E24"/>
    <w:rsid w:val="08284E51"/>
    <w:rsid w:val="08284F0B"/>
    <w:rsid w:val="08284F81"/>
    <w:rsid w:val="08284F83"/>
    <w:rsid w:val="08284FED"/>
    <w:rsid w:val="082850A8"/>
    <w:rsid w:val="082850E2"/>
    <w:rsid w:val="082850F4"/>
    <w:rsid w:val="08285143"/>
    <w:rsid w:val="082852C6"/>
    <w:rsid w:val="082852E8"/>
    <w:rsid w:val="082853A6"/>
    <w:rsid w:val="082853B2"/>
    <w:rsid w:val="08285446"/>
    <w:rsid w:val="0828544D"/>
    <w:rsid w:val="08285524"/>
    <w:rsid w:val="08285565"/>
    <w:rsid w:val="0828558D"/>
    <w:rsid w:val="08285606"/>
    <w:rsid w:val="0828562A"/>
    <w:rsid w:val="0828569A"/>
    <w:rsid w:val="082856A4"/>
    <w:rsid w:val="082856E9"/>
    <w:rsid w:val="0828570A"/>
    <w:rsid w:val="0828576B"/>
    <w:rsid w:val="08285784"/>
    <w:rsid w:val="082857BA"/>
    <w:rsid w:val="082857D8"/>
    <w:rsid w:val="0828590D"/>
    <w:rsid w:val="08285A38"/>
    <w:rsid w:val="08285B57"/>
    <w:rsid w:val="08285BA7"/>
    <w:rsid w:val="08285D93"/>
    <w:rsid w:val="08285D99"/>
    <w:rsid w:val="08285DB7"/>
    <w:rsid w:val="08285DBA"/>
    <w:rsid w:val="08285E0A"/>
    <w:rsid w:val="08285E26"/>
    <w:rsid w:val="08285E3D"/>
    <w:rsid w:val="08285E41"/>
    <w:rsid w:val="08285EEA"/>
    <w:rsid w:val="08286037"/>
    <w:rsid w:val="08286066"/>
    <w:rsid w:val="08286080"/>
    <w:rsid w:val="082860D9"/>
    <w:rsid w:val="08286160"/>
    <w:rsid w:val="082861EF"/>
    <w:rsid w:val="0828620C"/>
    <w:rsid w:val="0828629B"/>
    <w:rsid w:val="08286324"/>
    <w:rsid w:val="08286356"/>
    <w:rsid w:val="0828637D"/>
    <w:rsid w:val="08286572"/>
    <w:rsid w:val="0828660D"/>
    <w:rsid w:val="08286615"/>
    <w:rsid w:val="0828664C"/>
    <w:rsid w:val="082866BF"/>
    <w:rsid w:val="08286718"/>
    <w:rsid w:val="0828679A"/>
    <w:rsid w:val="082868F3"/>
    <w:rsid w:val="082869C3"/>
    <w:rsid w:val="08286A22"/>
    <w:rsid w:val="08286A9E"/>
    <w:rsid w:val="08286AD5"/>
    <w:rsid w:val="08286AFE"/>
    <w:rsid w:val="08286B43"/>
    <w:rsid w:val="08286B49"/>
    <w:rsid w:val="08286B90"/>
    <w:rsid w:val="08286C02"/>
    <w:rsid w:val="08286C63"/>
    <w:rsid w:val="08286C8C"/>
    <w:rsid w:val="08286CB1"/>
    <w:rsid w:val="08286F62"/>
    <w:rsid w:val="08286F72"/>
    <w:rsid w:val="0828705D"/>
    <w:rsid w:val="082870DE"/>
    <w:rsid w:val="08287110"/>
    <w:rsid w:val="082871C6"/>
    <w:rsid w:val="082871FD"/>
    <w:rsid w:val="0828723B"/>
    <w:rsid w:val="08287274"/>
    <w:rsid w:val="08287290"/>
    <w:rsid w:val="08287291"/>
    <w:rsid w:val="082872F8"/>
    <w:rsid w:val="08287351"/>
    <w:rsid w:val="08287373"/>
    <w:rsid w:val="08287378"/>
    <w:rsid w:val="082873D2"/>
    <w:rsid w:val="08287469"/>
    <w:rsid w:val="08287470"/>
    <w:rsid w:val="08287500"/>
    <w:rsid w:val="0828756C"/>
    <w:rsid w:val="08287638"/>
    <w:rsid w:val="08287701"/>
    <w:rsid w:val="0828772C"/>
    <w:rsid w:val="0828785B"/>
    <w:rsid w:val="08287A17"/>
    <w:rsid w:val="08287A58"/>
    <w:rsid w:val="08287B41"/>
    <w:rsid w:val="08287B63"/>
    <w:rsid w:val="08287BE7"/>
    <w:rsid w:val="08287CFD"/>
    <w:rsid w:val="08287DAE"/>
    <w:rsid w:val="08287DEA"/>
    <w:rsid w:val="08287E62"/>
    <w:rsid w:val="08287F42"/>
    <w:rsid w:val="08287F93"/>
    <w:rsid w:val="08290077"/>
    <w:rsid w:val="08290118"/>
    <w:rsid w:val="082901E0"/>
    <w:rsid w:val="082901F8"/>
    <w:rsid w:val="08290288"/>
    <w:rsid w:val="08290310"/>
    <w:rsid w:val="0829037A"/>
    <w:rsid w:val="082904F5"/>
    <w:rsid w:val="08290585"/>
    <w:rsid w:val="082905BA"/>
    <w:rsid w:val="082905C8"/>
    <w:rsid w:val="08290637"/>
    <w:rsid w:val="08290722"/>
    <w:rsid w:val="08290747"/>
    <w:rsid w:val="08290798"/>
    <w:rsid w:val="0829081C"/>
    <w:rsid w:val="082908CC"/>
    <w:rsid w:val="08290926"/>
    <w:rsid w:val="0829095E"/>
    <w:rsid w:val="08290984"/>
    <w:rsid w:val="0829099B"/>
    <w:rsid w:val="082909E6"/>
    <w:rsid w:val="082909FC"/>
    <w:rsid w:val="08290A0D"/>
    <w:rsid w:val="08290A27"/>
    <w:rsid w:val="08290AE3"/>
    <w:rsid w:val="08290AE5"/>
    <w:rsid w:val="08290B1C"/>
    <w:rsid w:val="08290CA7"/>
    <w:rsid w:val="08290CE4"/>
    <w:rsid w:val="08290DEF"/>
    <w:rsid w:val="08290E02"/>
    <w:rsid w:val="08290E6C"/>
    <w:rsid w:val="08290E84"/>
    <w:rsid w:val="08290EE9"/>
    <w:rsid w:val="08290F12"/>
    <w:rsid w:val="08290FA8"/>
    <w:rsid w:val="082910FA"/>
    <w:rsid w:val="082910FD"/>
    <w:rsid w:val="08291102"/>
    <w:rsid w:val="08291126"/>
    <w:rsid w:val="082911CC"/>
    <w:rsid w:val="082911FE"/>
    <w:rsid w:val="08291201"/>
    <w:rsid w:val="08291250"/>
    <w:rsid w:val="08291278"/>
    <w:rsid w:val="08291286"/>
    <w:rsid w:val="08291289"/>
    <w:rsid w:val="082912AE"/>
    <w:rsid w:val="08291503"/>
    <w:rsid w:val="082915D3"/>
    <w:rsid w:val="0829161A"/>
    <w:rsid w:val="08291684"/>
    <w:rsid w:val="082916B6"/>
    <w:rsid w:val="0829180D"/>
    <w:rsid w:val="08291814"/>
    <w:rsid w:val="08291815"/>
    <w:rsid w:val="0829182C"/>
    <w:rsid w:val="08291838"/>
    <w:rsid w:val="0829187B"/>
    <w:rsid w:val="082918BD"/>
    <w:rsid w:val="082918DE"/>
    <w:rsid w:val="08291978"/>
    <w:rsid w:val="082919DB"/>
    <w:rsid w:val="08291A76"/>
    <w:rsid w:val="08291AA6"/>
    <w:rsid w:val="08291AEB"/>
    <w:rsid w:val="08291B18"/>
    <w:rsid w:val="08291B2E"/>
    <w:rsid w:val="08291B49"/>
    <w:rsid w:val="08291B4E"/>
    <w:rsid w:val="08291BB1"/>
    <w:rsid w:val="08291CBF"/>
    <w:rsid w:val="08291CD0"/>
    <w:rsid w:val="08291D46"/>
    <w:rsid w:val="08291DE3"/>
    <w:rsid w:val="08291E9D"/>
    <w:rsid w:val="08291F2A"/>
    <w:rsid w:val="08291FC6"/>
    <w:rsid w:val="082921A8"/>
    <w:rsid w:val="082921B3"/>
    <w:rsid w:val="08292258"/>
    <w:rsid w:val="08292261"/>
    <w:rsid w:val="08292264"/>
    <w:rsid w:val="0829230F"/>
    <w:rsid w:val="082923E9"/>
    <w:rsid w:val="082923F2"/>
    <w:rsid w:val="0829241C"/>
    <w:rsid w:val="0829245F"/>
    <w:rsid w:val="082924A2"/>
    <w:rsid w:val="082924CB"/>
    <w:rsid w:val="082924DD"/>
    <w:rsid w:val="0829252F"/>
    <w:rsid w:val="0829265C"/>
    <w:rsid w:val="082926B4"/>
    <w:rsid w:val="08292755"/>
    <w:rsid w:val="08292756"/>
    <w:rsid w:val="0829295D"/>
    <w:rsid w:val="082929B4"/>
    <w:rsid w:val="082929F5"/>
    <w:rsid w:val="08292A30"/>
    <w:rsid w:val="08292A3F"/>
    <w:rsid w:val="08292B7D"/>
    <w:rsid w:val="08292BC4"/>
    <w:rsid w:val="08292BDD"/>
    <w:rsid w:val="08292C03"/>
    <w:rsid w:val="08292C58"/>
    <w:rsid w:val="08292C65"/>
    <w:rsid w:val="08292E19"/>
    <w:rsid w:val="08292ECF"/>
    <w:rsid w:val="08292F5E"/>
    <w:rsid w:val="08292FF6"/>
    <w:rsid w:val="0829305A"/>
    <w:rsid w:val="08293089"/>
    <w:rsid w:val="08293108"/>
    <w:rsid w:val="0829315B"/>
    <w:rsid w:val="0829316F"/>
    <w:rsid w:val="08293230"/>
    <w:rsid w:val="0829323B"/>
    <w:rsid w:val="0829324A"/>
    <w:rsid w:val="0829331A"/>
    <w:rsid w:val="0829349B"/>
    <w:rsid w:val="082934EC"/>
    <w:rsid w:val="08293506"/>
    <w:rsid w:val="08293519"/>
    <w:rsid w:val="0829351D"/>
    <w:rsid w:val="082935C4"/>
    <w:rsid w:val="082936AE"/>
    <w:rsid w:val="082936B2"/>
    <w:rsid w:val="082936FC"/>
    <w:rsid w:val="08293762"/>
    <w:rsid w:val="08293778"/>
    <w:rsid w:val="08293834"/>
    <w:rsid w:val="082938A0"/>
    <w:rsid w:val="082938AC"/>
    <w:rsid w:val="08293958"/>
    <w:rsid w:val="082939E3"/>
    <w:rsid w:val="08293A1B"/>
    <w:rsid w:val="08293A74"/>
    <w:rsid w:val="08293B30"/>
    <w:rsid w:val="08293B4C"/>
    <w:rsid w:val="08293B67"/>
    <w:rsid w:val="08293C61"/>
    <w:rsid w:val="08293C6C"/>
    <w:rsid w:val="08293D67"/>
    <w:rsid w:val="08293D6A"/>
    <w:rsid w:val="08293E32"/>
    <w:rsid w:val="08293E35"/>
    <w:rsid w:val="08293FFA"/>
    <w:rsid w:val="08294015"/>
    <w:rsid w:val="082941C3"/>
    <w:rsid w:val="082941F3"/>
    <w:rsid w:val="0829422D"/>
    <w:rsid w:val="08294296"/>
    <w:rsid w:val="08294465"/>
    <w:rsid w:val="08294485"/>
    <w:rsid w:val="0829452E"/>
    <w:rsid w:val="08294541"/>
    <w:rsid w:val="08294544"/>
    <w:rsid w:val="0829455F"/>
    <w:rsid w:val="08294572"/>
    <w:rsid w:val="08294573"/>
    <w:rsid w:val="0829460C"/>
    <w:rsid w:val="08294663"/>
    <w:rsid w:val="08294666"/>
    <w:rsid w:val="08294669"/>
    <w:rsid w:val="08294741"/>
    <w:rsid w:val="082947D7"/>
    <w:rsid w:val="08294835"/>
    <w:rsid w:val="082949BB"/>
    <w:rsid w:val="08294A1F"/>
    <w:rsid w:val="08294AF7"/>
    <w:rsid w:val="08294B16"/>
    <w:rsid w:val="08294C70"/>
    <w:rsid w:val="08294D10"/>
    <w:rsid w:val="08294D26"/>
    <w:rsid w:val="08294DB5"/>
    <w:rsid w:val="08294DB8"/>
    <w:rsid w:val="08294DD4"/>
    <w:rsid w:val="08294E20"/>
    <w:rsid w:val="08294E3F"/>
    <w:rsid w:val="08294F42"/>
    <w:rsid w:val="08294F57"/>
    <w:rsid w:val="08294F88"/>
    <w:rsid w:val="082950F8"/>
    <w:rsid w:val="082951DF"/>
    <w:rsid w:val="08295227"/>
    <w:rsid w:val="08295265"/>
    <w:rsid w:val="0829530D"/>
    <w:rsid w:val="0829546E"/>
    <w:rsid w:val="08295481"/>
    <w:rsid w:val="08295666"/>
    <w:rsid w:val="082956CE"/>
    <w:rsid w:val="082956F0"/>
    <w:rsid w:val="0829581E"/>
    <w:rsid w:val="0829591D"/>
    <w:rsid w:val="08295924"/>
    <w:rsid w:val="0829592A"/>
    <w:rsid w:val="08295AE8"/>
    <w:rsid w:val="08295AFB"/>
    <w:rsid w:val="08295B3E"/>
    <w:rsid w:val="08295B40"/>
    <w:rsid w:val="08295C12"/>
    <w:rsid w:val="08295C48"/>
    <w:rsid w:val="08295D23"/>
    <w:rsid w:val="08295D4D"/>
    <w:rsid w:val="08295DCE"/>
    <w:rsid w:val="08295DD5"/>
    <w:rsid w:val="08295EAE"/>
    <w:rsid w:val="08295EBC"/>
    <w:rsid w:val="08295F5D"/>
    <w:rsid w:val="08295F70"/>
    <w:rsid w:val="08295FBA"/>
    <w:rsid w:val="08296052"/>
    <w:rsid w:val="082960C6"/>
    <w:rsid w:val="082961F8"/>
    <w:rsid w:val="08296232"/>
    <w:rsid w:val="0829631B"/>
    <w:rsid w:val="0829635E"/>
    <w:rsid w:val="082963B6"/>
    <w:rsid w:val="082963D5"/>
    <w:rsid w:val="082963F1"/>
    <w:rsid w:val="0829643E"/>
    <w:rsid w:val="08296498"/>
    <w:rsid w:val="082964C3"/>
    <w:rsid w:val="082964E5"/>
    <w:rsid w:val="082965BD"/>
    <w:rsid w:val="08296628"/>
    <w:rsid w:val="0829663A"/>
    <w:rsid w:val="082966DA"/>
    <w:rsid w:val="082966DE"/>
    <w:rsid w:val="0829672A"/>
    <w:rsid w:val="0829675C"/>
    <w:rsid w:val="08296882"/>
    <w:rsid w:val="08296890"/>
    <w:rsid w:val="082968C0"/>
    <w:rsid w:val="082968CE"/>
    <w:rsid w:val="08296992"/>
    <w:rsid w:val="082969BD"/>
    <w:rsid w:val="082969F4"/>
    <w:rsid w:val="08296B20"/>
    <w:rsid w:val="08296B64"/>
    <w:rsid w:val="08296B7D"/>
    <w:rsid w:val="08296BB3"/>
    <w:rsid w:val="08296BCE"/>
    <w:rsid w:val="08296C67"/>
    <w:rsid w:val="08296C7E"/>
    <w:rsid w:val="08296CA7"/>
    <w:rsid w:val="08296CAF"/>
    <w:rsid w:val="08296CDD"/>
    <w:rsid w:val="08296DDE"/>
    <w:rsid w:val="08296FEA"/>
    <w:rsid w:val="0829708E"/>
    <w:rsid w:val="08297134"/>
    <w:rsid w:val="08297283"/>
    <w:rsid w:val="082972CE"/>
    <w:rsid w:val="0829751B"/>
    <w:rsid w:val="0829752D"/>
    <w:rsid w:val="082975AC"/>
    <w:rsid w:val="0829764F"/>
    <w:rsid w:val="08297655"/>
    <w:rsid w:val="0829769D"/>
    <w:rsid w:val="082976F7"/>
    <w:rsid w:val="082977B5"/>
    <w:rsid w:val="08297867"/>
    <w:rsid w:val="08297874"/>
    <w:rsid w:val="08297893"/>
    <w:rsid w:val="082978CA"/>
    <w:rsid w:val="082978D6"/>
    <w:rsid w:val="082979E4"/>
    <w:rsid w:val="08297AA3"/>
    <w:rsid w:val="08297B2B"/>
    <w:rsid w:val="08297B63"/>
    <w:rsid w:val="08297C6C"/>
    <w:rsid w:val="08297CC9"/>
    <w:rsid w:val="08297DFE"/>
    <w:rsid w:val="08297E35"/>
    <w:rsid w:val="08297E4C"/>
    <w:rsid w:val="08297EE0"/>
    <w:rsid w:val="08297EE8"/>
    <w:rsid w:val="08297F0D"/>
    <w:rsid w:val="08297F4D"/>
    <w:rsid w:val="08297F4F"/>
    <w:rsid w:val="08297F9F"/>
    <w:rsid w:val="082A00C2"/>
    <w:rsid w:val="082A017E"/>
    <w:rsid w:val="082A01D2"/>
    <w:rsid w:val="082A01E4"/>
    <w:rsid w:val="082A01E9"/>
    <w:rsid w:val="082A026E"/>
    <w:rsid w:val="082A02C4"/>
    <w:rsid w:val="082A02E0"/>
    <w:rsid w:val="082A0355"/>
    <w:rsid w:val="082A03B6"/>
    <w:rsid w:val="082A03F8"/>
    <w:rsid w:val="082A0403"/>
    <w:rsid w:val="082A04B9"/>
    <w:rsid w:val="082A04D1"/>
    <w:rsid w:val="082A0509"/>
    <w:rsid w:val="082A0578"/>
    <w:rsid w:val="082A05CE"/>
    <w:rsid w:val="082A06A2"/>
    <w:rsid w:val="082A080F"/>
    <w:rsid w:val="082A0816"/>
    <w:rsid w:val="082A0872"/>
    <w:rsid w:val="082A0888"/>
    <w:rsid w:val="082A096F"/>
    <w:rsid w:val="082A09F0"/>
    <w:rsid w:val="082A0A08"/>
    <w:rsid w:val="082A0A3E"/>
    <w:rsid w:val="082A0A57"/>
    <w:rsid w:val="082A0AAC"/>
    <w:rsid w:val="082A0ABA"/>
    <w:rsid w:val="082A0B7A"/>
    <w:rsid w:val="082A0BCA"/>
    <w:rsid w:val="082A0BFB"/>
    <w:rsid w:val="082A0C27"/>
    <w:rsid w:val="082A0C2D"/>
    <w:rsid w:val="082A0D06"/>
    <w:rsid w:val="082A0D3C"/>
    <w:rsid w:val="082A0ECF"/>
    <w:rsid w:val="082A0EFB"/>
    <w:rsid w:val="082A103C"/>
    <w:rsid w:val="082A1049"/>
    <w:rsid w:val="082A1128"/>
    <w:rsid w:val="082A113C"/>
    <w:rsid w:val="082A1245"/>
    <w:rsid w:val="082A1277"/>
    <w:rsid w:val="082A12D5"/>
    <w:rsid w:val="082A12DD"/>
    <w:rsid w:val="082A1336"/>
    <w:rsid w:val="082A14A4"/>
    <w:rsid w:val="082A14C0"/>
    <w:rsid w:val="082A157C"/>
    <w:rsid w:val="082A1641"/>
    <w:rsid w:val="082A1693"/>
    <w:rsid w:val="082A17C3"/>
    <w:rsid w:val="082A18AE"/>
    <w:rsid w:val="082A18E8"/>
    <w:rsid w:val="082A190D"/>
    <w:rsid w:val="082A193F"/>
    <w:rsid w:val="082A19AE"/>
    <w:rsid w:val="082A1A46"/>
    <w:rsid w:val="082A1A9C"/>
    <w:rsid w:val="082A1C1D"/>
    <w:rsid w:val="082A1CAB"/>
    <w:rsid w:val="082A1CBB"/>
    <w:rsid w:val="082A1CD2"/>
    <w:rsid w:val="082A1D2C"/>
    <w:rsid w:val="082A1E17"/>
    <w:rsid w:val="082A1EC1"/>
    <w:rsid w:val="082A1F5D"/>
    <w:rsid w:val="082A1F81"/>
    <w:rsid w:val="082A1F83"/>
    <w:rsid w:val="082A2011"/>
    <w:rsid w:val="082A206B"/>
    <w:rsid w:val="082A20C3"/>
    <w:rsid w:val="082A214F"/>
    <w:rsid w:val="082A2153"/>
    <w:rsid w:val="082A2238"/>
    <w:rsid w:val="082A22A6"/>
    <w:rsid w:val="082A232E"/>
    <w:rsid w:val="082A2385"/>
    <w:rsid w:val="082A2544"/>
    <w:rsid w:val="082A25F4"/>
    <w:rsid w:val="082A25FE"/>
    <w:rsid w:val="082A26FD"/>
    <w:rsid w:val="082A27A7"/>
    <w:rsid w:val="082A28BF"/>
    <w:rsid w:val="082A2913"/>
    <w:rsid w:val="082A2A1B"/>
    <w:rsid w:val="082A2A40"/>
    <w:rsid w:val="082A2AFE"/>
    <w:rsid w:val="082A2B7E"/>
    <w:rsid w:val="082A2B88"/>
    <w:rsid w:val="082A2B97"/>
    <w:rsid w:val="082A2BB8"/>
    <w:rsid w:val="082A2C38"/>
    <w:rsid w:val="082A2CF2"/>
    <w:rsid w:val="082A2D51"/>
    <w:rsid w:val="082A2D63"/>
    <w:rsid w:val="082A2D70"/>
    <w:rsid w:val="082A2E16"/>
    <w:rsid w:val="082A2E4A"/>
    <w:rsid w:val="082A2E6F"/>
    <w:rsid w:val="082A2F7E"/>
    <w:rsid w:val="082A2F90"/>
    <w:rsid w:val="082A2FB4"/>
    <w:rsid w:val="082A2FB8"/>
    <w:rsid w:val="082A2FE7"/>
    <w:rsid w:val="082A3020"/>
    <w:rsid w:val="082A305C"/>
    <w:rsid w:val="082A3089"/>
    <w:rsid w:val="082A30FF"/>
    <w:rsid w:val="082A3109"/>
    <w:rsid w:val="082A3114"/>
    <w:rsid w:val="082A3177"/>
    <w:rsid w:val="082A31E2"/>
    <w:rsid w:val="082A320E"/>
    <w:rsid w:val="082A3397"/>
    <w:rsid w:val="082A33D9"/>
    <w:rsid w:val="082A346D"/>
    <w:rsid w:val="082A34DA"/>
    <w:rsid w:val="082A3553"/>
    <w:rsid w:val="082A3556"/>
    <w:rsid w:val="082A35A1"/>
    <w:rsid w:val="082A35D2"/>
    <w:rsid w:val="082A35F8"/>
    <w:rsid w:val="082A3625"/>
    <w:rsid w:val="082A3647"/>
    <w:rsid w:val="082A3696"/>
    <w:rsid w:val="082A37C1"/>
    <w:rsid w:val="082A37E9"/>
    <w:rsid w:val="082A37ED"/>
    <w:rsid w:val="082A385F"/>
    <w:rsid w:val="082A3861"/>
    <w:rsid w:val="082A3915"/>
    <w:rsid w:val="082A39B7"/>
    <w:rsid w:val="082A39CB"/>
    <w:rsid w:val="082A3A6D"/>
    <w:rsid w:val="082A3AF5"/>
    <w:rsid w:val="082A3AFA"/>
    <w:rsid w:val="082A3B3D"/>
    <w:rsid w:val="082A3B48"/>
    <w:rsid w:val="082A3C60"/>
    <w:rsid w:val="082A3DCA"/>
    <w:rsid w:val="082A3DDC"/>
    <w:rsid w:val="082A3E14"/>
    <w:rsid w:val="082A3E33"/>
    <w:rsid w:val="082A3E42"/>
    <w:rsid w:val="082A3EC0"/>
    <w:rsid w:val="082A3F01"/>
    <w:rsid w:val="082A3F61"/>
    <w:rsid w:val="082A3F66"/>
    <w:rsid w:val="082A3F77"/>
    <w:rsid w:val="082A3FF1"/>
    <w:rsid w:val="082A406A"/>
    <w:rsid w:val="082A4089"/>
    <w:rsid w:val="082A40D4"/>
    <w:rsid w:val="082A40E5"/>
    <w:rsid w:val="082A41F2"/>
    <w:rsid w:val="082A420E"/>
    <w:rsid w:val="082A4263"/>
    <w:rsid w:val="082A4272"/>
    <w:rsid w:val="082A42EF"/>
    <w:rsid w:val="082A432C"/>
    <w:rsid w:val="082A4375"/>
    <w:rsid w:val="082A43D6"/>
    <w:rsid w:val="082A4529"/>
    <w:rsid w:val="082A4580"/>
    <w:rsid w:val="082A4614"/>
    <w:rsid w:val="082A46E6"/>
    <w:rsid w:val="082A47EC"/>
    <w:rsid w:val="082A4837"/>
    <w:rsid w:val="082A4932"/>
    <w:rsid w:val="082A4943"/>
    <w:rsid w:val="082A4A40"/>
    <w:rsid w:val="082A4A4B"/>
    <w:rsid w:val="082A4B7C"/>
    <w:rsid w:val="082A4B9D"/>
    <w:rsid w:val="082A4BBD"/>
    <w:rsid w:val="082A4D57"/>
    <w:rsid w:val="082A4DD8"/>
    <w:rsid w:val="082A4DFC"/>
    <w:rsid w:val="082A4E67"/>
    <w:rsid w:val="082A4E79"/>
    <w:rsid w:val="082A4E81"/>
    <w:rsid w:val="082A4F1C"/>
    <w:rsid w:val="082A5052"/>
    <w:rsid w:val="082A5153"/>
    <w:rsid w:val="082A519F"/>
    <w:rsid w:val="082A51C2"/>
    <w:rsid w:val="082A51E9"/>
    <w:rsid w:val="082A5218"/>
    <w:rsid w:val="082A527D"/>
    <w:rsid w:val="082A52ED"/>
    <w:rsid w:val="082A5329"/>
    <w:rsid w:val="082A54A5"/>
    <w:rsid w:val="082A5549"/>
    <w:rsid w:val="082A5580"/>
    <w:rsid w:val="082A5581"/>
    <w:rsid w:val="082A55BE"/>
    <w:rsid w:val="082A55C5"/>
    <w:rsid w:val="082A5658"/>
    <w:rsid w:val="082A57C8"/>
    <w:rsid w:val="082A57D2"/>
    <w:rsid w:val="082A57D3"/>
    <w:rsid w:val="082A5805"/>
    <w:rsid w:val="082A583B"/>
    <w:rsid w:val="082A5883"/>
    <w:rsid w:val="082A593D"/>
    <w:rsid w:val="082A599B"/>
    <w:rsid w:val="082A59D5"/>
    <w:rsid w:val="082A59F2"/>
    <w:rsid w:val="082A5A7A"/>
    <w:rsid w:val="082A5B09"/>
    <w:rsid w:val="082A5B5A"/>
    <w:rsid w:val="082A5BE4"/>
    <w:rsid w:val="082A5D61"/>
    <w:rsid w:val="082A5DFC"/>
    <w:rsid w:val="082A5E2A"/>
    <w:rsid w:val="082A5E45"/>
    <w:rsid w:val="082A5E52"/>
    <w:rsid w:val="082A5ED1"/>
    <w:rsid w:val="082A5EE1"/>
    <w:rsid w:val="082A5FA9"/>
    <w:rsid w:val="082A5FD4"/>
    <w:rsid w:val="082A5FD9"/>
    <w:rsid w:val="082A6187"/>
    <w:rsid w:val="082A6196"/>
    <w:rsid w:val="082A628A"/>
    <w:rsid w:val="082A62C0"/>
    <w:rsid w:val="082A62D6"/>
    <w:rsid w:val="082A63D2"/>
    <w:rsid w:val="082A640D"/>
    <w:rsid w:val="082A64C8"/>
    <w:rsid w:val="082A6568"/>
    <w:rsid w:val="082A6582"/>
    <w:rsid w:val="082A6591"/>
    <w:rsid w:val="082A65C9"/>
    <w:rsid w:val="082A676D"/>
    <w:rsid w:val="082A697A"/>
    <w:rsid w:val="082A6A2A"/>
    <w:rsid w:val="082A6A30"/>
    <w:rsid w:val="082A6BFE"/>
    <w:rsid w:val="082A6CD1"/>
    <w:rsid w:val="082A6D24"/>
    <w:rsid w:val="082A6D6C"/>
    <w:rsid w:val="082A6D7D"/>
    <w:rsid w:val="082A6DE4"/>
    <w:rsid w:val="082A6E37"/>
    <w:rsid w:val="082A6E53"/>
    <w:rsid w:val="082A6EC4"/>
    <w:rsid w:val="082A6F80"/>
    <w:rsid w:val="082A6F9B"/>
    <w:rsid w:val="082A705E"/>
    <w:rsid w:val="082A70B4"/>
    <w:rsid w:val="082A70E1"/>
    <w:rsid w:val="082A715B"/>
    <w:rsid w:val="082A71AD"/>
    <w:rsid w:val="082A71D9"/>
    <w:rsid w:val="082A71DD"/>
    <w:rsid w:val="082A7222"/>
    <w:rsid w:val="082A735C"/>
    <w:rsid w:val="082A7365"/>
    <w:rsid w:val="082A73A8"/>
    <w:rsid w:val="082A73C2"/>
    <w:rsid w:val="082A741E"/>
    <w:rsid w:val="082A7494"/>
    <w:rsid w:val="082A7528"/>
    <w:rsid w:val="082A755E"/>
    <w:rsid w:val="082A7644"/>
    <w:rsid w:val="082A7691"/>
    <w:rsid w:val="082A769D"/>
    <w:rsid w:val="082A76E3"/>
    <w:rsid w:val="082A76F0"/>
    <w:rsid w:val="082A770C"/>
    <w:rsid w:val="082A77D2"/>
    <w:rsid w:val="082A7830"/>
    <w:rsid w:val="082A788D"/>
    <w:rsid w:val="082A795B"/>
    <w:rsid w:val="082A7985"/>
    <w:rsid w:val="082A79EC"/>
    <w:rsid w:val="082A7AC0"/>
    <w:rsid w:val="082A7B05"/>
    <w:rsid w:val="082A7B80"/>
    <w:rsid w:val="082A7BF6"/>
    <w:rsid w:val="082A7CBE"/>
    <w:rsid w:val="082A7D82"/>
    <w:rsid w:val="082A7DC3"/>
    <w:rsid w:val="082A7DE3"/>
    <w:rsid w:val="082A7DEE"/>
    <w:rsid w:val="082A7EEF"/>
    <w:rsid w:val="082B0034"/>
    <w:rsid w:val="082B00EB"/>
    <w:rsid w:val="082B0117"/>
    <w:rsid w:val="082B0125"/>
    <w:rsid w:val="082B0126"/>
    <w:rsid w:val="082B0193"/>
    <w:rsid w:val="082B0268"/>
    <w:rsid w:val="082B02B4"/>
    <w:rsid w:val="082B02FF"/>
    <w:rsid w:val="082B0316"/>
    <w:rsid w:val="082B0380"/>
    <w:rsid w:val="082B039E"/>
    <w:rsid w:val="082B0404"/>
    <w:rsid w:val="082B0497"/>
    <w:rsid w:val="082B04A3"/>
    <w:rsid w:val="082B053F"/>
    <w:rsid w:val="082B056D"/>
    <w:rsid w:val="082B05FD"/>
    <w:rsid w:val="082B0691"/>
    <w:rsid w:val="082B0720"/>
    <w:rsid w:val="082B075A"/>
    <w:rsid w:val="082B0777"/>
    <w:rsid w:val="082B07C6"/>
    <w:rsid w:val="082B07C7"/>
    <w:rsid w:val="082B0828"/>
    <w:rsid w:val="082B0839"/>
    <w:rsid w:val="082B089F"/>
    <w:rsid w:val="082B08F7"/>
    <w:rsid w:val="082B0933"/>
    <w:rsid w:val="082B0935"/>
    <w:rsid w:val="082B0B76"/>
    <w:rsid w:val="082B0BBF"/>
    <w:rsid w:val="082B0C51"/>
    <w:rsid w:val="082B0C91"/>
    <w:rsid w:val="082B0D3A"/>
    <w:rsid w:val="082B0E0D"/>
    <w:rsid w:val="082B0E1F"/>
    <w:rsid w:val="082B0E65"/>
    <w:rsid w:val="082B0E86"/>
    <w:rsid w:val="082B0F3E"/>
    <w:rsid w:val="082B0FFD"/>
    <w:rsid w:val="082B107B"/>
    <w:rsid w:val="082B1090"/>
    <w:rsid w:val="082B10BD"/>
    <w:rsid w:val="082B10ED"/>
    <w:rsid w:val="082B1103"/>
    <w:rsid w:val="082B115F"/>
    <w:rsid w:val="082B1179"/>
    <w:rsid w:val="082B11E7"/>
    <w:rsid w:val="082B1244"/>
    <w:rsid w:val="082B125D"/>
    <w:rsid w:val="082B1358"/>
    <w:rsid w:val="082B136B"/>
    <w:rsid w:val="082B1424"/>
    <w:rsid w:val="082B149D"/>
    <w:rsid w:val="082B15D1"/>
    <w:rsid w:val="082B162E"/>
    <w:rsid w:val="082B1648"/>
    <w:rsid w:val="082B16BC"/>
    <w:rsid w:val="082B16D8"/>
    <w:rsid w:val="082B16E0"/>
    <w:rsid w:val="082B1785"/>
    <w:rsid w:val="082B184E"/>
    <w:rsid w:val="082B1876"/>
    <w:rsid w:val="082B19C8"/>
    <w:rsid w:val="082B1A3F"/>
    <w:rsid w:val="082B1AB7"/>
    <w:rsid w:val="082B1B59"/>
    <w:rsid w:val="082B1C32"/>
    <w:rsid w:val="082B1C4B"/>
    <w:rsid w:val="082B1CD0"/>
    <w:rsid w:val="082B1CE1"/>
    <w:rsid w:val="082B1D23"/>
    <w:rsid w:val="082B1D67"/>
    <w:rsid w:val="082B1D78"/>
    <w:rsid w:val="082B1E55"/>
    <w:rsid w:val="082B1E67"/>
    <w:rsid w:val="082B1E9F"/>
    <w:rsid w:val="082B1EDD"/>
    <w:rsid w:val="082B1EE9"/>
    <w:rsid w:val="082B1EEF"/>
    <w:rsid w:val="082B1FE5"/>
    <w:rsid w:val="082B2162"/>
    <w:rsid w:val="082B21CD"/>
    <w:rsid w:val="082B21FE"/>
    <w:rsid w:val="082B22C9"/>
    <w:rsid w:val="082B234E"/>
    <w:rsid w:val="082B24F3"/>
    <w:rsid w:val="082B2511"/>
    <w:rsid w:val="082B25D6"/>
    <w:rsid w:val="082B260A"/>
    <w:rsid w:val="082B2640"/>
    <w:rsid w:val="082B266E"/>
    <w:rsid w:val="082B2670"/>
    <w:rsid w:val="082B26FF"/>
    <w:rsid w:val="082B2785"/>
    <w:rsid w:val="082B278D"/>
    <w:rsid w:val="082B2809"/>
    <w:rsid w:val="082B282F"/>
    <w:rsid w:val="082B286F"/>
    <w:rsid w:val="082B28BB"/>
    <w:rsid w:val="082B2960"/>
    <w:rsid w:val="082B298B"/>
    <w:rsid w:val="082B2A42"/>
    <w:rsid w:val="082B2B24"/>
    <w:rsid w:val="082B2D6F"/>
    <w:rsid w:val="082B2DCD"/>
    <w:rsid w:val="082B2DCE"/>
    <w:rsid w:val="082B2DDB"/>
    <w:rsid w:val="082B2DE9"/>
    <w:rsid w:val="082B2E07"/>
    <w:rsid w:val="082B2E29"/>
    <w:rsid w:val="082B2E47"/>
    <w:rsid w:val="082B2E7D"/>
    <w:rsid w:val="082B2ED8"/>
    <w:rsid w:val="082B2F4D"/>
    <w:rsid w:val="082B30DD"/>
    <w:rsid w:val="082B319A"/>
    <w:rsid w:val="082B31F1"/>
    <w:rsid w:val="082B33F2"/>
    <w:rsid w:val="082B33FE"/>
    <w:rsid w:val="082B3408"/>
    <w:rsid w:val="082B3497"/>
    <w:rsid w:val="082B34D2"/>
    <w:rsid w:val="082B3504"/>
    <w:rsid w:val="082B351A"/>
    <w:rsid w:val="082B3544"/>
    <w:rsid w:val="082B35E9"/>
    <w:rsid w:val="082B361D"/>
    <w:rsid w:val="082B3673"/>
    <w:rsid w:val="082B37A7"/>
    <w:rsid w:val="082B3805"/>
    <w:rsid w:val="082B3895"/>
    <w:rsid w:val="082B38B5"/>
    <w:rsid w:val="082B391A"/>
    <w:rsid w:val="082B39CC"/>
    <w:rsid w:val="082B3B05"/>
    <w:rsid w:val="082B3B6C"/>
    <w:rsid w:val="082B3C73"/>
    <w:rsid w:val="082B3D37"/>
    <w:rsid w:val="082B3D3F"/>
    <w:rsid w:val="082B3D70"/>
    <w:rsid w:val="082B3E1A"/>
    <w:rsid w:val="082B401F"/>
    <w:rsid w:val="082B40A2"/>
    <w:rsid w:val="082B4168"/>
    <w:rsid w:val="082B42EC"/>
    <w:rsid w:val="082B434F"/>
    <w:rsid w:val="082B439F"/>
    <w:rsid w:val="082B43CA"/>
    <w:rsid w:val="082B44A1"/>
    <w:rsid w:val="082B44C3"/>
    <w:rsid w:val="082B4528"/>
    <w:rsid w:val="082B45F8"/>
    <w:rsid w:val="082B463C"/>
    <w:rsid w:val="082B46E5"/>
    <w:rsid w:val="082B46EC"/>
    <w:rsid w:val="082B4793"/>
    <w:rsid w:val="082B489A"/>
    <w:rsid w:val="082B48A7"/>
    <w:rsid w:val="082B4A4A"/>
    <w:rsid w:val="082B4B1F"/>
    <w:rsid w:val="082B4B31"/>
    <w:rsid w:val="082B4B7D"/>
    <w:rsid w:val="082B4BFA"/>
    <w:rsid w:val="082B4DE7"/>
    <w:rsid w:val="082B4E1C"/>
    <w:rsid w:val="082B4F30"/>
    <w:rsid w:val="082B5066"/>
    <w:rsid w:val="082B50DA"/>
    <w:rsid w:val="082B50F9"/>
    <w:rsid w:val="082B50FB"/>
    <w:rsid w:val="082B516D"/>
    <w:rsid w:val="082B51C5"/>
    <w:rsid w:val="082B51FC"/>
    <w:rsid w:val="082B5243"/>
    <w:rsid w:val="082B52B7"/>
    <w:rsid w:val="082B52E2"/>
    <w:rsid w:val="082B540A"/>
    <w:rsid w:val="082B5461"/>
    <w:rsid w:val="082B5480"/>
    <w:rsid w:val="082B54A1"/>
    <w:rsid w:val="082B54F0"/>
    <w:rsid w:val="082B54F9"/>
    <w:rsid w:val="082B567F"/>
    <w:rsid w:val="082B5680"/>
    <w:rsid w:val="082B56AC"/>
    <w:rsid w:val="082B577F"/>
    <w:rsid w:val="082B57E5"/>
    <w:rsid w:val="082B5816"/>
    <w:rsid w:val="082B58AB"/>
    <w:rsid w:val="082B58F3"/>
    <w:rsid w:val="082B58FC"/>
    <w:rsid w:val="082B5986"/>
    <w:rsid w:val="082B5A00"/>
    <w:rsid w:val="082B5A0C"/>
    <w:rsid w:val="082B5A56"/>
    <w:rsid w:val="082B5AE2"/>
    <w:rsid w:val="082B5B08"/>
    <w:rsid w:val="082B5B9D"/>
    <w:rsid w:val="082B5D19"/>
    <w:rsid w:val="082B5D20"/>
    <w:rsid w:val="082B5DC7"/>
    <w:rsid w:val="082B5E20"/>
    <w:rsid w:val="082B5EB2"/>
    <w:rsid w:val="082B5EE0"/>
    <w:rsid w:val="082B5F82"/>
    <w:rsid w:val="082B6180"/>
    <w:rsid w:val="082B6235"/>
    <w:rsid w:val="082B6254"/>
    <w:rsid w:val="082B627E"/>
    <w:rsid w:val="082B629A"/>
    <w:rsid w:val="082B62C8"/>
    <w:rsid w:val="082B6370"/>
    <w:rsid w:val="082B63B3"/>
    <w:rsid w:val="082B63B6"/>
    <w:rsid w:val="082B63B8"/>
    <w:rsid w:val="082B6457"/>
    <w:rsid w:val="082B64A7"/>
    <w:rsid w:val="082B6590"/>
    <w:rsid w:val="082B65AB"/>
    <w:rsid w:val="082B65C4"/>
    <w:rsid w:val="082B65F1"/>
    <w:rsid w:val="082B6648"/>
    <w:rsid w:val="082B66DB"/>
    <w:rsid w:val="082B6706"/>
    <w:rsid w:val="082B67A4"/>
    <w:rsid w:val="082B67B4"/>
    <w:rsid w:val="082B67C4"/>
    <w:rsid w:val="082B67EC"/>
    <w:rsid w:val="082B689D"/>
    <w:rsid w:val="082B6914"/>
    <w:rsid w:val="082B6975"/>
    <w:rsid w:val="082B69E9"/>
    <w:rsid w:val="082B6A05"/>
    <w:rsid w:val="082B6ADD"/>
    <w:rsid w:val="082B6AF7"/>
    <w:rsid w:val="082B6B44"/>
    <w:rsid w:val="082B6B9C"/>
    <w:rsid w:val="082B6C5A"/>
    <w:rsid w:val="082B6D1E"/>
    <w:rsid w:val="082B6D58"/>
    <w:rsid w:val="082B6D7C"/>
    <w:rsid w:val="082B6EC4"/>
    <w:rsid w:val="082B6F18"/>
    <w:rsid w:val="082B6F76"/>
    <w:rsid w:val="082B7009"/>
    <w:rsid w:val="082B70E3"/>
    <w:rsid w:val="082B710B"/>
    <w:rsid w:val="082B716D"/>
    <w:rsid w:val="082B7173"/>
    <w:rsid w:val="082B71D1"/>
    <w:rsid w:val="082B7215"/>
    <w:rsid w:val="082B72C9"/>
    <w:rsid w:val="082B7333"/>
    <w:rsid w:val="082B741E"/>
    <w:rsid w:val="082B742F"/>
    <w:rsid w:val="082B755C"/>
    <w:rsid w:val="082B7688"/>
    <w:rsid w:val="082B772E"/>
    <w:rsid w:val="082B7822"/>
    <w:rsid w:val="082B78FA"/>
    <w:rsid w:val="082B79CC"/>
    <w:rsid w:val="082B79FA"/>
    <w:rsid w:val="082B7A68"/>
    <w:rsid w:val="082B7A8C"/>
    <w:rsid w:val="082B7A90"/>
    <w:rsid w:val="082B7ACA"/>
    <w:rsid w:val="082B7B2A"/>
    <w:rsid w:val="082B7B70"/>
    <w:rsid w:val="082B7BD7"/>
    <w:rsid w:val="082B7C10"/>
    <w:rsid w:val="082B7C11"/>
    <w:rsid w:val="082B7C14"/>
    <w:rsid w:val="082B7CB2"/>
    <w:rsid w:val="082B7CFE"/>
    <w:rsid w:val="082B7D5E"/>
    <w:rsid w:val="082B7E1C"/>
    <w:rsid w:val="082B7E73"/>
    <w:rsid w:val="082B7E98"/>
    <w:rsid w:val="082B7F40"/>
    <w:rsid w:val="082B7F57"/>
    <w:rsid w:val="082B7FCF"/>
    <w:rsid w:val="082C006A"/>
    <w:rsid w:val="082C00AF"/>
    <w:rsid w:val="082C00C3"/>
    <w:rsid w:val="082C01B0"/>
    <w:rsid w:val="082C01FB"/>
    <w:rsid w:val="082C01FC"/>
    <w:rsid w:val="082C027F"/>
    <w:rsid w:val="082C029A"/>
    <w:rsid w:val="082C0318"/>
    <w:rsid w:val="082C0350"/>
    <w:rsid w:val="082C0441"/>
    <w:rsid w:val="082C045C"/>
    <w:rsid w:val="082C0512"/>
    <w:rsid w:val="082C05D1"/>
    <w:rsid w:val="082C0746"/>
    <w:rsid w:val="082C0754"/>
    <w:rsid w:val="082C0849"/>
    <w:rsid w:val="082C0863"/>
    <w:rsid w:val="082C08F0"/>
    <w:rsid w:val="082C0964"/>
    <w:rsid w:val="082C0AA1"/>
    <w:rsid w:val="082C0AF7"/>
    <w:rsid w:val="082C0B7A"/>
    <w:rsid w:val="082C0C17"/>
    <w:rsid w:val="082C0C57"/>
    <w:rsid w:val="082C0C62"/>
    <w:rsid w:val="082C0C8E"/>
    <w:rsid w:val="082C0C90"/>
    <w:rsid w:val="082C0D22"/>
    <w:rsid w:val="082C0F54"/>
    <w:rsid w:val="082C1136"/>
    <w:rsid w:val="082C11BE"/>
    <w:rsid w:val="082C1306"/>
    <w:rsid w:val="082C146D"/>
    <w:rsid w:val="082C1477"/>
    <w:rsid w:val="082C1497"/>
    <w:rsid w:val="082C149C"/>
    <w:rsid w:val="082C14C7"/>
    <w:rsid w:val="082C14E4"/>
    <w:rsid w:val="082C1557"/>
    <w:rsid w:val="082C15D3"/>
    <w:rsid w:val="082C15E0"/>
    <w:rsid w:val="082C161A"/>
    <w:rsid w:val="082C173C"/>
    <w:rsid w:val="082C17EF"/>
    <w:rsid w:val="082C18BF"/>
    <w:rsid w:val="082C1980"/>
    <w:rsid w:val="082C1998"/>
    <w:rsid w:val="082C19B1"/>
    <w:rsid w:val="082C1A74"/>
    <w:rsid w:val="082C1B3E"/>
    <w:rsid w:val="082C1D0B"/>
    <w:rsid w:val="082C1D3D"/>
    <w:rsid w:val="082C1D57"/>
    <w:rsid w:val="082C1D7C"/>
    <w:rsid w:val="082C1D8B"/>
    <w:rsid w:val="082C1DDD"/>
    <w:rsid w:val="082C1E6A"/>
    <w:rsid w:val="082C1EE6"/>
    <w:rsid w:val="082C1F15"/>
    <w:rsid w:val="082C1FB3"/>
    <w:rsid w:val="082C2003"/>
    <w:rsid w:val="082C20AB"/>
    <w:rsid w:val="082C211E"/>
    <w:rsid w:val="082C21A1"/>
    <w:rsid w:val="082C2218"/>
    <w:rsid w:val="082C2297"/>
    <w:rsid w:val="082C22F6"/>
    <w:rsid w:val="082C2305"/>
    <w:rsid w:val="082C2407"/>
    <w:rsid w:val="082C2445"/>
    <w:rsid w:val="082C266C"/>
    <w:rsid w:val="082C2832"/>
    <w:rsid w:val="082C284A"/>
    <w:rsid w:val="082C2980"/>
    <w:rsid w:val="082C2995"/>
    <w:rsid w:val="082C2A43"/>
    <w:rsid w:val="082C2A6C"/>
    <w:rsid w:val="082C2AAD"/>
    <w:rsid w:val="082C2AE2"/>
    <w:rsid w:val="082C2BD6"/>
    <w:rsid w:val="082C2BEC"/>
    <w:rsid w:val="082C2C10"/>
    <w:rsid w:val="082C2C2E"/>
    <w:rsid w:val="082C2CDF"/>
    <w:rsid w:val="082C2E2A"/>
    <w:rsid w:val="082C2E91"/>
    <w:rsid w:val="082C2F20"/>
    <w:rsid w:val="082C2F47"/>
    <w:rsid w:val="082C2F52"/>
    <w:rsid w:val="082C30BD"/>
    <w:rsid w:val="082C31CE"/>
    <w:rsid w:val="082C31D0"/>
    <w:rsid w:val="082C32E4"/>
    <w:rsid w:val="082C33EC"/>
    <w:rsid w:val="082C33FE"/>
    <w:rsid w:val="082C3438"/>
    <w:rsid w:val="082C3477"/>
    <w:rsid w:val="082C348B"/>
    <w:rsid w:val="082C349F"/>
    <w:rsid w:val="082C3541"/>
    <w:rsid w:val="082C3553"/>
    <w:rsid w:val="082C35A0"/>
    <w:rsid w:val="082C36C7"/>
    <w:rsid w:val="082C371A"/>
    <w:rsid w:val="082C3748"/>
    <w:rsid w:val="082C3809"/>
    <w:rsid w:val="082C3946"/>
    <w:rsid w:val="082C39FB"/>
    <w:rsid w:val="082C3A3F"/>
    <w:rsid w:val="082C3A57"/>
    <w:rsid w:val="082C3AAA"/>
    <w:rsid w:val="082C3ADE"/>
    <w:rsid w:val="082C3BB4"/>
    <w:rsid w:val="082C3BC9"/>
    <w:rsid w:val="082C3CB7"/>
    <w:rsid w:val="082C3CDB"/>
    <w:rsid w:val="082C3CDD"/>
    <w:rsid w:val="082C3CF4"/>
    <w:rsid w:val="082C3DA4"/>
    <w:rsid w:val="082C3DFC"/>
    <w:rsid w:val="082C3EDA"/>
    <w:rsid w:val="082C3EFE"/>
    <w:rsid w:val="082C3F12"/>
    <w:rsid w:val="082C3F90"/>
    <w:rsid w:val="082C3FC5"/>
    <w:rsid w:val="082C4005"/>
    <w:rsid w:val="082C405B"/>
    <w:rsid w:val="082C40C4"/>
    <w:rsid w:val="082C40F7"/>
    <w:rsid w:val="082C412E"/>
    <w:rsid w:val="082C41EB"/>
    <w:rsid w:val="082C4217"/>
    <w:rsid w:val="082C422A"/>
    <w:rsid w:val="082C4274"/>
    <w:rsid w:val="082C4306"/>
    <w:rsid w:val="082C43B7"/>
    <w:rsid w:val="082C44B1"/>
    <w:rsid w:val="082C4590"/>
    <w:rsid w:val="082C463A"/>
    <w:rsid w:val="082C4643"/>
    <w:rsid w:val="082C464E"/>
    <w:rsid w:val="082C46C2"/>
    <w:rsid w:val="082C46E5"/>
    <w:rsid w:val="082C4726"/>
    <w:rsid w:val="082C47E8"/>
    <w:rsid w:val="082C489C"/>
    <w:rsid w:val="082C4A18"/>
    <w:rsid w:val="082C4B51"/>
    <w:rsid w:val="082C4D98"/>
    <w:rsid w:val="082C4E21"/>
    <w:rsid w:val="082C4E46"/>
    <w:rsid w:val="082C4E4F"/>
    <w:rsid w:val="082C4E86"/>
    <w:rsid w:val="082C4EAB"/>
    <w:rsid w:val="082C4F27"/>
    <w:rsid w:val="082C4FFA"/>
    <w:rsid w:val="082C502F"/>
    <w:rsid w:val="082C5209"/>
    <w:rsid w:val="082C5220"/>
    <w:rsid w:val="082C522F"/>
    <w:rsid w:val="082C52A8"/>
    <w:rsid w:val="082C52AF"/>
    <w:rsid w:val="082C52C6"/>
    <w:rsid w:val="082C536C"/>
    <w:rsid w:val="082C5383"/>
    <w:rsid w:val="082C53BE"/>
    <w:rsid w:val="082C53CA"/>
    <w:rsid w:val="082C53E8"/>
    <w:rsid w:val="082C5477"/>
    <w:rsid w:val="082C54B1"/>
    <w:rsid w:val="082C550D"/>
    <w:rsid w:val="082C55D6"/>
    <w:rsid w:val="082C5665"/>
    <w:rsid w:val="082C573B"/>
    <w:rsid w:val="082C57F2"/>
    <w:rsid w:val="082C57FB"/>
    <w:rsid w:val="082C5859"/>
    <w:rsid w:val="082C5894"/>
    <w:rsid w:val="082C58CD"/>
    <w:rsid w:val="082C58D5"/>
    <w:rsid w:val="082C5990"/>
    <w:rsid w:val="082C599A"/>
    <w:rsid w:val="082C5BB7"/>
    <w:rsid w:val="082C5C7C"/>
    <w:rsid w:val="082C5CD2"/>
    <w:rsid w:val="082C5E30"/>
    <w:rsid w:val="082C5E3B"/>
    <w:rsid w:val="082C5E87"/>
    <w:rsid w:val="082C5E8B"/>
    <w:rsid w:val="082C5FC3"/>
    <w:rsid w:val="082C601E"/>
    <w:rsid w:val="082C605F"/>
    <w:rsid w:val="082C6184"/>
    <w:rsid w:val="082C61D9"/>
    <w:rsid w:val="082C61F7"/>
    <w:rsid w:val="082C62F3"/>
    <w:rsid w:val="082C6387"/>
    <w:rsid w:val="082C6412"/>
    <w:rsid w:val="082C644A"/>
    <w:rsid w:val="082C650E"/>
    <w:rsid w:val="082C6557"/>
    <w:rsid w:val="082C6579"/>
    <w:rsid w:val="082C657B"/>
    <w:rsid w:val="082C65E9"/>
    <w:rsid w:val="082C66C4"/>
    <w:rsid w:val="082C66F0"/>
    <w:rsid w:val="082C6735"/>
    <w:rsid w:val="082C6750"/>
    <w:rsid w:val="082C67B5"/>
    <w:rsid w:val="082C67E6"/>
    <w:rsid w:val="082C6889"/>
    <w:rsid w:val="082C68B5"/>
    <w:rsid w:val="082C6967"/>
    <w:rsid w:val="082C69BC"/>
    <w:rsid w:val="082C6AC6"/>
    <w:rsid w:val="082C6B4D"/>
    <w:rsid w:val="082C6BD6"/>
    <w:rsid w:val="082C6D1D"/>
    <w:rsid w:val="082C6DC0"/>
    <w:rsid w:val="082C6E57"/>
    <w:rsid w:val="082C6EB7"/>
    <w:rsid w:val="082C6F67"/>
    <w:rsid w:val="082C6F6B"/>
    <w:rsid w:val="082C6F9F"/>
    <w:rsid w:val="082C70FF"/>
    <w:rsid w:val="082C7128"/>
    <w:rsid w:val="082C7154"/>
    <w:rsid w:val="082C71F0"/>
    <w:rsid w:val="082C7288"/>
    <w:rsid w:val="082C72BE"/>
    <w:rsid w:val="082C72C6"/>
    <w:rsid w:val="082C72F7"/>
    <w:rsid w:val="082C730A"/>
    <w:rsid w:val="082C7394"/>
    <w:rsid w:val="082C7407"/>
    <w:rsid w:val="082C757B"/>
    <w:rsid w:val="082C76ED"/>
    <w:rsid w:val="082C773C"/>
    <w:rsid w:val="082C7817"/>
    <w:rsid w:val="082C7845"/>
    <w:rsid w:val="082C7854"/>
    <w:rsid w:val="082C7947"/>
    <w:rsid w:val="082C7996"/>
    <w:rsid w:val="082C79BD"/>
    <w:rsid w:val="082C79C9"/>
    <w:rsid w:val="082C7AEA"/>
    <w:rsid w:val="082C7B26"/>
    <w:rsid w:val="082C7B4C"/>
    <w:rsid w:val="082C7BE6"/>
    <w:rsid w:val="082C7C41"/>
    <w:rsid w:val="082C7CCD"/>
    <w:rsid w:val="082C7D7B"/>
    <w:rsid w:val="082C7DBD"/>
    <w:rsid w:val="082C7E48"/>
    <w:rsid w:val="082C7EE8"/>
    <w:rsid w:val="082C7F15"/>
    <w:rsid w:val="082C7FA5"/>
    <w:rsid w:val="082D0042"/>
    <w:rsid w:val="082D01BD"/>
    <w:rsid w:val="082D01C2"/>
    <w:rsid w:val="082D01DA"/>
    <w:rsid w:val="082D022D"/>
    <w:rsid w:val="082D02F8"/>
    <w:rsid w:val="082D0340"/>
    <w:rsid w:val="082D0501"/>
    <w:rsid w:val="082D066B"/>
    <w:rsid w:val="082D0730"/>
    <w:rsid w:val="082D0792"/>
    <w:rsid w:val="082D07B5"/>
    <w:rsid w:val="082D07CF"/>
    <w:rsid w:val="082D080E"/>
    <w:rsid w:val="082D0834"/>
    <w:rsid w:val="082D0856"/>
    <w:rsid w:val="082D0884"/>
    <w:rsid w:val="082D0889"/>
    <w:rsid w:val="082D08B4"/>
    <w:rsid w:val="082D08FE"/>
    <w:rsid w:val="082D0A65"/>
    <w:rsid w:val="082D0AC1"/>
    <w:rsid w:val="082D0AD8"/>
    <w:rsid w:val="082D0B91"/>
    <w:rsid w:val="082D0BC7"/>
    <w:rsid w:val="082D0BD3"/>
    <w:rsid w:val="082D0BE7"/>
    <w:rsid w:val="082D0DF2"/>
    <w:rsid w:val="082D0E55"/>
    <w:rsid w:val="082D0E8E"/>
    <w:rsid w:val="082D0E9E"/>
    <w:rsid w:val="082D0F15"/>
    <w:rsid w:val="082D0F4E"/>
    <w:rsid w:val="082D0F5F"/>
    <w:rsid w:val="082D0F7C"/>
    <w:rsid w:val="082D0F91"/>
    <w:rsid w:val="082D100C"/>
    <w:rsid w:val="082D101E"/>
    <w:rsid w:val="082D1073"/>
    <w:rsid w:val="082D117C"/>
    <w:rsid w:val="082D1212"/>
    <w:rsid w:val="082D127C"/>
    <w:rsid w:val="082D12B9"/>
    <w:rsid w:val="082D12ED"/>
    <w:rsid w:val="082D133B"/>
    <w:rsid w:val="082D139D"/>
    <w:rsid w:val="082D13A9"/>
    <w:rsid w:val="082D1409"/>
    <w:rsid w:val="082D14BB"/>
    <w:rsid w:val="082D14C7"/>
    <w:rsid w:val="082D14CB"/>
    <w:rsid w:val="082D1513"/>
    <w:rsid w:val="082D159E"/>
    <w:rsid w:val="082D15CD"/>
    <w:rsid w:val="082D16A6"/>
    <w:rsid w:val="082D17CC"/>
    <w:rsid w:val="082D1829"/>
    <w:rsid w:val="082D186A"/>
    <w:rsid w:val="082D18AF"/>
    <w:rsid w:val="082D18E0"/>
    <w:rsid w:val="082D1902"/>
    <w:rsid w:val="082D1A36"/>
    <w:rsid w:val="082D1B57"/>
    <w:rsid w:val="082D1C48"/>
    <w:rsid w:val="082D1DD9"/>
    <w:rsid w:val="082D1E09"/>
    <w:rsid w:val="082D1E70"/>
    <w:rsid w:val="082D1EE2"/>
    <w:rsid w:val="082D1F51"/>
    <w:rsid w:val="082D1F56"/>
    <w:rsid w:val="082D1F82"/>
    <w:rsid w:val="082D1FBC"/>
    <w:rsid w:val="082D1FC3"/>
    <w:rsid w:val="082D2029"/>
    <w:rsid w:val="082D2031"/>
    <w:rsid w:val="082D2064"/>
    <w:rsid w:val="082D2066"/>
    <w:rsid w:val="082D2089"/>
    <w:rsid w:val="082D20A6"/>
    <w:rsid w:val="082D2193"/>
    <w:rsid w:val="082D21A0"/>
    <w:rsid w:val="082D21BA"/>
    <w:rsid w:val="082D221D"/>
    <w:rsid w:val="082D226A"/>
    <w:rsid w:val="082D234A"/>
    <w:rsid w:val="082D23FB"/>
    <w:rsid w:val="082D2488"/>
    <w:rsid w:val="082D24C4"/>
    <w:rsid w:val="082D24E4"/>
    <w:rsid w:val="082D251F"/>
    <w:rsid w:val="082D2547"/>
    <w:rsid w:val="082D255B"/>
    <w:rsid w:val="082D2578"/>
    <w:rsid w:val="082D2598"/>
    <w:rsid w:val="082D25B7"/>
    <w:rsid w:val="082D25BF"/>
    <w:rsid w:val="082D2675"/>
    <w:rsid w:val="082D2700"/>
    <w:rsid w:val="082D2753"/>
    <w:rsid w:val="082D27B5"/>
    <w:rsid w:val="082D27D1"/>
    <w:rsid w:val="082D282F"/>
    <w:rsid w:val="082D289B"/>
    <w:rsid w:val="082D2A1A"/>
    <w:rsid w:val="082D2A9F"/>
    <w:rsid w:val="082D2AE3"/>
    <w:rsid w:val="082D2B73"/>
    <w:rsid w:val="082D2B7A"/>
    <w:rsid w:val="082D2BAF"/>
    <w:rsid w:val="082D2BDB"/>
    <w:rsid w:val="082D2DC3"/>
    <w:rsid w:val="082D2E26"/>
    <w:rsid w:val="082D2E6A"/>
    <w:rsid w:val="082D2E7F"/>
    <w:rsid w:val="082D2EF4"/>
    <w:rsid w:val="082D2FA6"/>
    <w:rsid w:val="082D31D4"/>
    <w:rsid w:val="082D3224"/>
    <w:rsid w:val="082D3253"/>
    <w:rsid w:val="082D33CF"/>
    <w:rsid w:val="082D3434"/>
    <w:rsid w:val="082D3557"/>
    <w:rsid w:val="082D372E"/>
    <w:rsid w:val="082D375B"/>
    <w:rsid w:val="082D376A"/>
    <w:rsid w:val="082D37BD"/>
    <w:rsid w:val="082D37D1"/>
    <w:rsid w:val="082D38CA"/>
    <w:rsid w:val="082D39F6"/>
    <w:rsid w:val="082D39F8"/>
    <w:rsid w:val="082D3AA8"/>
    <w:rsid w:val="082D3BF6"/>
    <w:rsid w:val="082D3CA3"/>
    <w:rsid w:val="082D3D09"/>
    <w:rsid w:val="082D3D6A"/>
    <w:rsid w:val="082D3DF6"/>
    <w:rsid w:val="082D3E35"/>
    <w:rsid w:val="082D3E41"/>
    <w:rsid w:val="082D3E86"/>
    <w:rsid w:val="082D3EA2"/>
    <w:rsid w:val="082D3EFF"/>
    <w:rsid w:val="082D3F01"/>
    <w:rsid w:val="082D3F26"/>
    <w:rsid w:val="082D3F38"/>
    <w:rsid w:val="082D3F4D"/>
    <w:rsid w:val="082D407D"/>
    <w:rsid w:val="082D414F"/>
    <w:rsid w:val="082D4151"/>
    <w:rsid w:val="082D4211"/>
    <w:rsid w:val="082D42FF"/>
    <w:rsid w:val="082D435F"/>
    <w:rsid w:val="082D4369"/>
    <w:rsid w:val="082D43A3"/>
    <w:rsid w:val="082D43A9"/>
    <w:rsid w:val="082D441B"/>
    <w:rsid w:val="082D44BD"/>
    <w:rsid w:val="082D457F"/>
    <w:rsid w:val="082D45B8"/>
    <w:rsid w:val="082D45C3"/>
    <w:rsid w:val="082D45CA"/>
    <w:rsid w:val="082D45E3"/>
    <w:rsid w:val="082D45FA"/>
    <w:rsid w:val="082D46E5"/>
    <w:rsid w:val="082D489A"/>
    <w:rsid w:val="082D491C"/>
    <w:rsid w:val="082D4929"/>
    <w:rsid w:val="082D4942"/>
    <w:rsid w:val="082D4A66"/>
    <w:rsid w:val="082D4A8D"/>
    <w:rsid w:val="082D4ACD"/>
    <w:rsid w:val="082D4B01"/>
    <w:rsid w:val="082D4BD7"/>
    <w:rsid w:val="082D4D8E"/>
    <w:rsid w:val="082D4E56"/>
    <w:rsid w:val="082D4E6F"/>
    <w:rsid w:val="082D4E78"/>
    <w:rsid w:val="082D4EAB"/>
    <w:rsid w:val="082D4EB5"/>
    <w:rsid w:val="082D5011"/>
    <w:rsid w:val="082D509B"/>
    <w:rsid w:val="082D50E7"/>
    <w:rsid w:val="082D521F"/>
    <w:rsid w:val="082D522F"/>
    <w:rsid w:val="082D52F4"/>
    <w:rsid w:val="082D5381"/>
    <w:rsid w:val="082D53C8"/>
    <w:rsid w:val="082D54E5"/>
    <w:rsid w:val="082D55D9"/>
    <w:rsid w:val="082D55F8"/>
    <w:rsid w:val="082D569E"/>
    <w:rsid w:val="082D56A4"/>
    <w:rsid w:val="082D56B0"/>
    <w:rsid w:val="082D5745"/>
    <w:rsid w:val="082D577D"/>
    <w:rsid w:val="082D580D"/>
    <w:rsid w:val="082D5812"/>
    <w:rsid w:val="082D5846"/>
    <w:rsid w:val="082D58C8"/>
    <w:rsid w:val="082D58FB"/>
    <w:rsid w:val="082D5907"/>
    <w:rsid w:val="082D596B"/>
    <w:rsid w:val="082D597F"/>
    <w:rsid w:val="082D5A1F"/>
    <w:rsid w:val="082D5A91"/>
    <w:rsid w:val="082D5BD4"/>
    <w:rsid w:val="082D5BD6"/>
    <w:rsid w:val="082D5BDF"/>
    <w:rsid w:val="082D5C0A"/>
    <w:rsid w:val="082D5D57"/>
    <w:rsid w:val="082D5D5A"/>
    <w:rsid w:val="082D5D98"/>
    <w:rsid w:val="082D5E46"/>
    <w:rsid w:val="082D5EB4"/>
    <w:rsid w:val="082D5F4F"/>
    <w:rsid w:val="082D6079"/>
    <w:rsid w:val="082D60AB"/>
    <w:rsid w:val="082D60C7"/>
    <w:rsid w:val="082D6143"/>
    <w:rsid w:val="082D61B2"/>
    <w:rsid w:val="082D6282"/>
    <w:rsid w:val="082D62C6"/>
    <w:rsid w:val="082D640D"/>
    <w:rsid w:val="082D648F"/>
    <w:rsid w:val="082D64DA"/>
    <w:rsid w:val="082D663B"/>
    <w:rsid w:val="082D6643"/>
    <w:rsid w:val="082D669B"/>
    <w:rsid w:val="082D66E6"/>
    <w:rsid w:val="082D6702"/>
    <w:rsid w:val="082D67D3"/>
    <w:rsid w:val="082D684E"/>
    <w:rsid w:val="082D6873"/>
    <w:rsid w:val="082D68C6"/>
    <w:rsid w:val="082D6973"/>
    <w:rsid w:val="082D6A22"/>
    <w:rsid w:val="082D6A84"/>
    <w:rsid w:val="082D6AD2"/>
    <w:rsid w:val="082D6B06"/>
    <w:rsid w:val="082D6B86"/>
    <w:rsid w:val="082D6BAB"/>
    <w:rsid w:val="082D6C66"/>
    <w:rsid w:val="082D6CB5"/>
    <w:rsid w:val="082D6D3B"/>
    <w:rsid w:val="082D6D6C"/>
    <w:rsid w:val="082D6EAC"/>
    <w:rsid w:val="082D6ED7"/>
    <w:rsid w:val="082D6F4F"/>
    <w:rsid w:val="082D6FBB"/>
    <w:rsid w:val="082D702C"/>
    <w:rsid w:val="082D7038"/>
    <w:rsid w:val="082D70CC"/>
    <w:rsid w:val="082D72C4"/>
    <w:rsid w:val="082D7325"/>
    <w:rsid w:val="082D7368"/>
    <w:rsid w:val="082D738B"/>
    <w:rsid w:val="082D738E"/>
    <w:rsid w:val="082D73D9"/>
    <w:rsid w:val="082D74B5"/>
    <w:rsid w:val="082D7564"/>
    <w:rsid w:val="082D756A"/>
    <w:rsid w:val="082D7638"/>
    <w:rsid w:val="082D76C9"/>
    <w:rsid w:val="082D7791"/>
    <w:rsid w:val="082D78E7"/>
    <w:rsid w:val="082D796B"/>
    <w:rsid w:val="082D7979"/>
    <w:rsid w:val="082D797F"/>
    <w:rsid w:val="082D79DE"/>
    <w:rsid w:val="082D79F0"/>
    <w:rsid w:val="082D7AEF"/>
    <w:rsid w:val="082D7B3B"/>
    <w:rsid w:val="082D7C11"/>
    <w:rsid w:val="082D7CA7"/>
    <w:rsid w:val="082D7CD5"/>
    <w:rsid w:val="082D7DF0"/>
    <w:rsid w:val="082D7E29"/>
    <w:rsid w:val="082D7E70"/>
    <w:rsid w:val="082D7EB7"/>
    <w:rsid w:val="082D7EEF"/>
    <w:rsid w:val="082D7F4D"/>
    <w:rsid w:val="082D7F53"/>
    <w:rsid w:val="082D7FFA"/>
    <w:rsid w:val="082E0060"/>
    <w:rsid w:val="082E0080"/>
    <w:rsid w:val="082E0094"/>
    <w:rsid w:val="082E014B"/>
    <w:rsid w:val="082E017B"/>
    <w:rsid w:val="082E0235"/>
    <w:rsid w:val="082E024B"/>
    <w:rsid w:val="082E026A"/>
    <w:rsid w:val="082E02DA"/>
    <w:rsid w:val="082E0308"/>
    <w:rsid w:val="082E0379"/>
    <w:rsid w:val="082E0386"/>
    <w:rsid w:val="082E0694"/>
    <w:rsid w:val="082E08D5"/>
    <w:rsid w:val="082E08E8"/>
    <w:rsid w:val="082E0979"/>
    <w:rsid w:val="082E09EF"/>
    <w:rsid w:val="082E0A43"/>
    <w:rsid w:val="082E0A75"/>
    <w:rsid w:val="082E0A83"/>
    <w:rsid w:val="082E0BE1"/>
    <w:rsid w:val="082E0C0A"/>
    <w:rsid w:val="082E0D37"/>
    <w:rsid w:val="082E0D44"/>
    <w:rsid w:val="082E0D73"/>
    <w:rsid w:val="082E0DEF"/>
    <w:rsid w:val="082E0E41"/>
    <w:rsid w:val="082E0EA9"/>
    <w:rsid w:val="082E0EB4"/>
    <w:rsid w:val="082E0ED0"/>
    <w:rsid w:val="082E0F09"/>
    <w:rsid w:val="082E0FEC"/>
    <w:rsid w:val="082E0FFC"/>
    <w:rsid w:val="082E10E6"/>
    <w:rsid w:val="082E113B"/>
    <w:rsid w:val="082E1147"/>
    <w:rsid w:val="082E1165"/>
    <w:rsid w:val="082E11A5"/>
    <w:rsid w:val="082E13B4"/>
    <w:rsid w:val="082E13B6"/>
    <w:rsid w:val="082E13BF"/>
    <w:rsid w:val="082E13FD"/>
    <w:rsid w:val="082E143E"/>
    <w:rsid w:val="082E14B1"/>
    <w:rsid w:val="082E151F"/>
    <w:rsid w:val="082E1653"/>
    <w:rsid w:val="082E16E4"/>
    <w:rsid w:val="082E16E7"/>
    <w:rsid w:val="082E1714"/>
    <w:rsid w:val="082E1719"/>
    <w:rsid w:val="082E17CE"/>
    <w:rsid w:val="082E17F1"/>
    <w:rsid w:val="082E1904"/>
    <w:rsid w:val="082E1946"/>
    <w:rsid w:val="082E1A51"/>
    <w:rsid w:val="082E1A7B"/>
    <w:rsid w:val="082E1CB5"/>
    <w:rsid w:val="082E1DF6"/>
    <w:rsid w:val="082E1E73"/>
    <w:rsid w:val="082E1FD0"/>
    <w:rsid w:val="082E2080"/>
    <w:rsid w:val="082E20EC"/>
    <w:rsid w:val="082E20F7"/>
    <w:rsid w:val="082E2119"/>
    <w:rsid w:val="082E212E"/>
    <w:rsid w:val="082E2139"/>
    <w:rsid w:val="082E2261"/>
    <w:rsid w:val="082E2434"/>
    <w:rsid w:val="082E2452"/>
    <w:rsid w:val="082E255D"/>
    <w:rsid w:val="082E25E4"/>
    <w:rsid w:val="082E2627"/>
    <w:rsid w:val="082E2716"/>
    <w:rsid w:val="082E2768"/>
    <w:rsid w:val="082E27A5"/>
    <w:rsid w:val="082E280F"/>
    <w:rsid w:val="082E2811"/>
    <w:rsid w:val="082E2874"/>
    <w:rsid w:val="082E2905"/>
    <w:rsid w:val="082E2931"/>
    <w:rsid w:val="082E2B1A"/>
    <w:rsid w:val="082E2B3A"/>
    <w:rsid w:val="082E2C20"/>
    <w:rsid w:val="082E2CC3"/>
    <w:rsid w:val="082E2D0E"/>
    <w:rsid w:val="082E2D7A"/>
    <w:rsid w:val="082E2E6A"/>
    <w:rsid w:val="082E2E9C"/>
    <w:rsid w:val="082E2EB3"/>
    <w:rsid w:val="082E2EC3"/>
    <w:rsid w:val="082E2ED2"/>
    <w:rsid w:val="082E2FEF"/>
    <w:rsid w:val="082E2FF1"/>
    <w:rsid w:val="082E3011"/>
    <w:rsid w:val="082E306B"/>
    <w:rsid w:val="082E3081"/>
    <w:rsid w:val="082E3117"/>
    <w:rsid w:val="082E3138"/>
    <w:rsid w:val="082E3163"/>
    <w:rsid w:val="082E3262"/>
    <w:rsid w:val="082E3288"/>
    <w:rsid w:val="082E32D4"/>
    <w:rsid w:val="082E335E"/>
    <w:rsid w:val="082E3450"/>
    <w:rsid w:val="082E34A3"/>
    <w:rsid w:val="082E356F"/>
    <w:rsid w:val="082E363B"/>
    <w:rsid w:val="082E3640"/>
    <w:rsid w:val="082E36E8"/>
    <w:rsid w:val="082E36EA"/>
    <w:rsid w:val="082E3739"/>
    <w:rsid w:val="082E3793"/>
    <w:rsid w:val="082E38B4"/>
    <w:rsid w:val="082E38BD"/>
    <w:rsid w:val="082E3901"/>
    <w:rsid w:val="082E39CD"/>
    <w:rsid w:val="082E39F1"/>
    <w:rsid w:val="082E3A22"/>
    <w:rsid w:val="082E3AFC"/>
    <w:rsid w:val="082E3B56"/>
    <w:rsid w:val="082E3B58"/>
    <w:rsid w:val="082E3B5B"/>
    <w:rsid w:val="082E3B71"/>
    <w:rsid w:val="082E3B9C"/>
    <w:rsid w:val="082E3C56"/>
    <w:rsid w:val="082E3D67"/>
    <w:rsid w:val="082E3D8F"/>
    <w:rsid w:val="082E3FA2"/>
    <w:rsid w:val="082E3FD3"/>
    <w:rsid w:val="082E407C"/>
    <w:rsid w:val="082E40FB"/>
    <w:rsid w:val="082E4178"/>
    <w:rsid w:val="082E418E"/>
    <w:rsid w:val="082E4233"/>
    <w:rsid w:val="082E423D"/>
    <w:rsid w:val="082E4441"/>
    <w:rsid w:val="082E44C6"/>
    <w:rsid w:val="082E454E"/>
    <w:rsid w:val="082E47F7"/>
    <w:rsid w:val="082E4841"/>
    <w:rsid w:val="082E4849"/>
    <w:rsid w:val="082E4854"/>
    <w:rsid w:val="082E486D"/>
    <w:rsid w:val="082E4992"/>
    <w:rsid w:val="082E499A"/>
    <w:rsid w:val="082E4A38"/>
    <w:rsid w:val="082E4A82"/>
    <w:rsid w:val="082E4BF4"/>
    <w:rsid w:val="082E4CA4"/>
    <w:rsid w:val="082E4DFA"/>
    <w:rsid w:val="082E4E3D"/>
    <w:rsid w:val="082E4F45"/>
    <w:rsid w:val="082E4F46"/>
    <w:rsid w:val="082E4F89"/>
    <w:rsid w:val="082E5029"/>
    <w:rsid w:val="082E5062"/>
    <w:rsid w:val="082E513E"/>
    <w:rsid w:val="082E51A3"/>
    <w:rsid w:val="082E51F8"/>
    <w:rsid w:val="082E5263"/>
    <w:rsid w:val="082E52C6"/>
    <w:rsid w:val="082E52D1"/>
    <w:rsid w:val="082E539A"/>
    <w:rsid w:val="082E5474"/>
    <w:rsid w:val="082E554B"/>
    <w:rsid w:val="082E5554"/>
    <w:rsid w:val="082E5569"/>
    <w:rsid w:val="082E55ED"/>
    <w:rsid w:val="082E563C"/>
    <w:rsid w:val="082E576A"/>
    <w:rsid w:val="082E584D"/>
    <w:rsid w:val="082E5989"/>
    <w:rsid w:val="082E5A7E"/>
    <w:rsid w:val="082E5BEC"/>
    <w:rsid w:val="082E5C5F"/>
    <w:rsid w:val="082E5CCF"/>
    <w:rsid w:val="082E5DB2"/>
    <w:rsid w:val="082E5DC4"/>
    <w:rsid w:val="082E5E19"/>
    <w:rsid w:val="082E5E5B"/>
    <w:rsid w:val="082E5E8E"/>
    <w:rsid w:val="082E5EB2"/>
    <w:rsid w:val="082E5EBC"/>
    <w:rsid w:val="082E5F40"/>
    <w:rsid w:val="082E5FAB"/>
    <w:rsid w:val="082E5FF4"/>
    <w:rsid w:val="082E600F"/>
    <w:rsid w:val="082E6012"/>
    <w:rsid w:val="082E6065"/>
    <w:rsid w:val="082E60FA"/>
    <w:rsid w:val="082E6199"/>
    <w:rsid w:val="082E625B"/>
    <w:rsid w:val="082E6264"/>
    <w:rsid w:val="082E6286"/>
    <w:rsid w:val="082E6418"/>
    <w:rsid w:val="082E642B"/>
    <w:rsid w:val="082E6439"/>
    <w:rsid w:val="082E648F"/>
    <w:rsid w:val="082E64CD"/>
    <w:rsid w:val="082E6518"/>
    <w:rsid w:val="082E6571"/>
    <w:rsid w:val="082E6581"/>
    <w:rsid w:val="082E65A4"/>
    <w:rsid w:val="082E6632"/>
    <w:rsid w:val="082E6644"/>
    <w:rsid w:val="082E66EE"/>
    <w:rsid w:val="082E6706"/>
    <w:rsid w:val="082E6807"/>
    <w:rsid w:val="082E68A3"/>
    <w:rsid w:val="082E6926"/>
    <w:rsid w:val="082E696A"/>
    <w:rsid w:val="082E69BF"/>
    <w:rsid w:val="082E6B0C"/>
    <w:rsid w:val="082E6B2F"/>
    <w:rsid w:val="082E6BAF"/>
    <w:rsid w:val="082E6BFB"/>
    <w:rsid w:val="082E6C84"/>
    <w:rsid w:val="082E6CB7"/>
    <w:rsid w:val="082E6CB8"/>
    <w:rsid w:val="082E6D13"/>
    <w:rsid w:val="082E6D48"/>
    <w:rsid w:val="082E6D66"/>
    <w:rsid w:val="082E6DD9"/>
    <w:rsid w:val="082E6EEB"/>
    <w:rsid w:val="082E6F0E"/>
    <w:rsid w:val="082E6FAD"/>
    <w:rsid w:val="082E7153"/>
    <w:rsid w:val="082E7221"/>
    <w:rsid w:val="082E7302"/>
    <w:rsid w:val="082E7330"/>
    <w:rsid w:val="082E73A6"/>
    <w:rsid w:val="082E73BA"/>
    <w:rsid w:val="082E73D7"/>
    <w:rsid w:val="082E7402"/>
    <w:rsid w:val="082E743F"/>
    <w:rsid w:val="082E7541"/>
    <w:rsid w:val="082E7542"/>
    <w:rsid w:val="082E7548"/>
    <w:rsid w:val="082E7590"/>
    <w:rsid w:val="082E764E"/>
    <w:rsid w:val="082E768B"/>
    <w:rsid w:val="082E7712"/>
    <w:rsid w:val="082E7853"/>
    <w:rsid w:val="082E787A"/>
    <w:rsid w:val="082E792D"/>
    <w:rsid w:val="082E7A83"/>
    <w:rsid w:val="082E7B30"/>
    <w:rsid w:val="082E7C7A"/>
    <w:rsid w:val="082E7C93"/>
    <w:rsid w:val="082E7C9F"/>
    <w:rsid w:val="082E7D4B"/>
    <w:rsid w:val="082E7D5D"/>
    <w:rsid w:val="082E7E8D"/>
    <w:rsid w:val="082E7EC3"/>
    <w:rsid w:val="082E7F1D"/>
    <w:rsid w:val="082E7F74"/>
    <w:rsid w:val="082F002B"/>
    <w:rsid w:val="082F0108"/>
    <w:rsid w:val="082F01DA"/>
    <w:rsid w:val="082F0202"/>
    <w:rsid w:val="082F024B"/>
    <w:rsid w:val="082F0252"/>
    <w:rsid w:val="082F02A7"/>
    <w:rsid w:val="082F02D9"/>
    <w:rsid w:val="082F0341"/>
    <w:rsid w:val="082F03E1"/>
    <w:rsid w:val="082F03FB"/>
    <w:rsid w:val="082F0430"/>
    <w:rsid w:val="082F0474"/>
    <w:rsid w:val="082F049D"/>
    <w:rsid w:val="082F050A"/>
    <w:rsid w:val="082F0548"/>
    <w:rsid w:val="082F0618"/>
    <w:rsid w:val="082F0668"/>
    <w:rsid w:val="082F06D2"/>
    <w:rsid w:val="082F0743"/>
    <w:rsid w:val="082F07EA"/>
    <w:rsid w:val="082F08C9"/>
    <w:rsid w:val="082F0980"/>
    <w:rsid w:val="082F098C"/>
    <w:rsid w:val="082F0A01"/>
    <w:rsid w:val="082F0A44"/>
    <w:rsid w:val="082F0B27"/>
    <w:rsid w:val="082F0C17"/>
    <w:rsid w:val="082F0D22"/>
    <w:rsid w:val="082F0DD8"/>
    <w:rsid w:val="082F0DD9"/>
    <w:rsid w:val="082F0E13"/>
    <w:rsid w:val="082F0EAD"/>
    <w:rsid w:val="082F0FB0"/>
    <w:rsid w:val="082F1044"/>
    <w:rsid w:val="082F107E"/>
    <w:rsid w:val="082F10D0"/>
    <w:rsid w:val="082F10DD"/>
    <w:rsid w:val="082F11D1"/>
    <w:rsid w:val="082F1241"/>
    <w:rsid w:val="082F126B"/>
    <w:rsid w:val="082F13E7"/>
    <w:rsid w:val="082F140A"/>
    <w:rsid w:val="082F141F"/>
    <w:rsid w:val="082F145E"/>
    <w:rsid w:val="082F14B3"/>
    <w:rsid w:val="082F14F0"/>
    <w:rsid w:val="082F1534"/>
    <w:rsid w:val="082F165B"/>
    <w:rsid w:val="082F168C"/>
    <w:rsid w:val="082F16AB"/>
    <w:rsid w:val="082F171B"/>
    <w:rsid w:val="082F172B"/>
    <w:rsid w:val="082F17B6"/>
    <w:rsid w:val="082F17F2"/>
    <w:rsid w:val="082F183A"/>
    <w:rsid w:val="082F1927"/>
    <w:rsid w:val="082F1978"/>
    <w:rsid w:val="082F19B9"/>
    <w:rsid w:val="082F19E8"/>
    <w:rsid w:val="082F1A1B"/>
    <w:rsid w:val="082F1B21"/>
    <w:rsid w:val="082F1B49"/>
    <w:rsid w:val="082F1B5F"/>
    <w:rsid w:val="082F1BD1"/>
    <w:rsid w:val="082F1BDD"/>
    <w:rsid w:val="082F1D3C"/>
    <w:rsid w:val="082F1D63"/>
    <w:rsid w:val="082F1F28"/>
    <w:rsid w:val="082F1F34"/>
    <w:rsid w:val="082F1FA0"/>
    <w:rsid w:val="082F2163"/>
    <w:rsid w:val="082F2180"/>
    <w:rsid w:val="082F222D"/>
    <w:rsid w:val="082F22B9"/>
    <w:rsid w:val="082F22C5"/>
    <w:rsid w:val="082F2344"/>
    <w:rsid w:val="082F2475"/>
    <w:rsid w:val="082F247C"/>
    <w:rsid w:val="082F24E9"/>
    <w:rsid w:val="082F2508"/>
    <w:rsid w:val="082F2526"/>
    <w:rsid w:val="082F2694"/>
    <w:rsid w:val="082F27BA"/>
    <w:rsid w:val="082F27F8"/>
    <w:rsid w:val="082F286A"/>
    <w:rsid w:val="082F2895"/>
    <w:rsid w:val="082F2952"/>
    <w:rsid w:val="082F29AA"/>
    <w:rsid w:val="082F2A37"/>
    <w:rsid w:val="082F2A94"/>
    <w:rsid w:val="082F2AC0"/>
    <w:rsid w:val="082F2B00"/>
    <w:rsid w:val="082F2BFB"/>
    <w:rsid w:val="082F2C20"/>
    <w:rsid w:val="082F2CB9"/>
    <w:rsid w:val="082F2CBF"/>
    <w:rsid w:val="082F2D63"/>
    <w:rsid w:val="082F2F48"/>
    <w:rsid w:val="082F30A1"/>
    <w:rsid w:val="082F3232"/>
    <w:rsid w:val="082F33C1"/>
    <w:rsid w:val="082F33D9"/>
    <w:rsid w:val="082F3410"/>
    <w:rsid w:val="082F3462"/>
    <w:rsid w:val="082F3476"/>
    <w:rsid w:val="082F35AB"/>
    <w:rsid w:val="082F35CA"/>
    <w:rsid w:val="082F360F"/>
    <w:rsid w:val="082F3646"/>
    <w:rsid w:val="082F36A9"/>
    <w:rsid w:val="082F3769"/>
    <w:rsid w:val="082F37B8"/>
    <w:rsid w:val="082F3823"/>
    <w:rsid w:val="082F3859"/>
    <w:rsid w:val="082F39F0"/>
    <w:rsid w:val="082F3C46"/>
    <w:rsid w:val="082F3DBF"/>
    <w:rsid w:val="082F3DE8"/>
    <w:rsid w:val="082F3DE9"/>
    <w:rsid w:val="082F3E5B"/>
    <w:rsid w:val="082F3ED1"/>
    <w:rsid w:val="082F407E"/>
    <w:rsid w:val="082F4103"/>
    <w:rsid w:val="082F4156"/>
    <w:rsid w:val="082F415D"/>
    <w:rsid w:val="082F41B8"/>
    <w:rsid w:val="082F4206"/>
    <w:rsid w:val="082F4229"/>
    <w:rsid w:val="082F4349"/>
    <w:rsid w:val="082F4396"/>
    <w:rsid w:val="082F43F6"/>
    <w:rsid w:val="082F4417"/>
    <w:rsid w:val="082F444A"/>
    <w:rsid w:val="082F4474"/>
    <w:rsid w:val="082F4515"/>
    <w:rsid w:val="082F4547"/>
    <w:rsid w:val="082F460D"/>
    <w:rsid w:val="082F46A0"/>
    <w:rsid w:val="082F46E6"/>
    <w:rsid w:val="082F46FC"/>
    <w:rsid w:val="082F47F6"/>
    <w:rsid w:val="082F481A"/>
    <w:rsid w:val="082F48B6"/>
    <w:rsid w:val="082F48BB"/>
    <w:rsid w:val="082F48DC"/>
    <w:rsid w:val="082F4B35"/>
    <w:rsid w:val="082F4B45"/>
    <w:rsid w:val="082F4D15"/>
    <w:rsid w:val="082F4E25"/>
    <w:rsid w:val="082F4E2C"/>
    <w:rsid w:val="082F4EB3"/>
    <w:rsid w:val="082F4ECF"/>
    <w:rsid w:val="082F4F35"/>
    <w:rsid w:val="082F4F99"/>
    <w:rsid w:val="082F506F"/>
    <w:rsid w:val="082F508B"/>
    <w:rsid w:val="082F5175"/>
    <w:rsid w:val="082F52D8"/>
    <w:rsid w:val="082F537A"/>
    <w:rsid w:val="082F5479"/>
    <w:rsid w:val="082F5658"/>
    <w:rsid w:val="082F565E"/>
    <w:rsid w:val="082F567C"/>
    <w:rsid w:val="082F5873"/>
    <w:rsid w:val="082F5879"/>
    <w:rsid w:val="082F58AB"/>
    <w:rsid w:val="082F58C3"/>
    <w:rsid w:val="082F5984"/>
    <w:rsid w:val="082F59B3"/>
    <w:rsid w:val="082F59BA"/>
    <w:rsid w:val="082F5A00"/>
    <w:rsid w:val="082F5A01"/>
    <w:rsid w:val="082F5A7E"/>
    <w:rsid w:val="082F5AE6"/>
    <w:rsid w:val="082F5BCE"/>
    <w:rsid w:val="082F5C1D"/>
    <w:rsid w:val="082F5C5D"/>
    <w:rsid w:val="082F5C8D"/>
    <w:rsid w:val="082F5D28"/>
    <w:rsid w:val="082F5D4C"/>
    <w:rsid w:val="082F5D61"/>
    <w:rsid w:val="082F5DE7"/>
    <w:rsid w:val="082F5E50"/>
    <w:rsid w:val="082F5F2A"/>
    <w:rsid w:val="082F5FA5"/>
    <w:rsid w:val="082F602A"/>
    <w:rsid w:val="082F6032"/>
    <w:rsid w:val="082F61D7"/>
    <w:rsid w:val="082F61F5"/>
    <w:rsid w:val="082F6259"/>
    <w:rsid w:val="082F631D"/>
    <w:rsid w:val="082F641F"/>
    <w:rsid w:val="082F6553"/>
    <w:rsid w:val="082F65A8"/>
    <w:rsid w:val="082F65E6"/>
    <w:rsid w:val="082F65FA"/>
    <w:rsid w:val="082F6685"/>
    <w:rsid w:val="082F66A8"/>
    <w:rsid w:val="082F678C"/>
    <w:rsid w:val="082F6846"/>
    <w:rsid w:val="082F68A3"/>
    <w:rsid w:val="082F68C7"/>
    <w:rsid w:val="082F6935"/>
    <w:rsid w:val="082F6968"/>
    <w:rsid w:val="082F6977"/>
    <w:rsid w:val="082F6990"/>
    <w:rsid w:val="082F6993"/>
    <w:rsid w:val="082F6A0A"/>
    <w:rsid w:val="082F6AAF"/>
    <w:rsid w:val="082F6B6D"/>
    <w:rsid w:val="082F6B8B"/>
    <w:rsid w:val="082F6BA0"/>
    <w:rsid w:val="082F6BB3"/>
    <w:rsid w:val="082F6BCF"/>
    <w:rsid w:val="082F6C39"/>
    <w:rsid w:val="082F6C82"/>
    <w:rsid w:val="082F6CBA"/>
    <w:rsid w:val="082F6D0F"/>
    <w:rsid w:val="082F6F22"/>
    <w:rsid w:val="082F6FAA"/>
    <w:rsid w:val="082F6FD4"/>
    <w:rsid w:val="082F7084"/>
    <w:rsid w:val="082F70D0"/>
    <w:rsid w:val="082F7108"/>
    <w:rsid w:val="082F71AC"/>
    <w:rsid w:val="082F72C7"/>
    <w:rsid w:val="082F7318"/>
    <w:rsid w:val="082F7328"/>
    <w:rsid w:val="082F73BB"/>
    <w:rsid w:val="082F7480"/>
    <w:rsid w:val="082F74B0"/>
    <w:rsid w:val="082F74E9"/>
    <w:rsid w:val="082F7535"/>
    <w:rsid w:val="082F755B"/>
    <w:rsid w:val="082F75F3"/>
    <w:rsid w:val="082F765A"/>
    <w:rsid w:val="082F76AE"/>
    <w:rsid w:val="082F76FB"/>
    <w:rsid w:val="082F771F"/>
    <w:rsid w:val="082F779E"/>
    <w:rsid w:val="082F77B2"/>
    <w:rsid w:val="082F7834"/>
    <w:rsid w:val="082F78B9"/>
    <w:rsid w:val="082F78D1"/>
    <w:rsid w:val="082F78EC"/>
    <w:rsid w:val="082F79B0"/>
    <w:rsid w:val="082F79D5"/>
    <w:rsid w:val="082F79D8"/>
    <w:rsid w:val="082F79E3"/>
    <w:rsid w:val="082F7A82"/>
    <w:rsid w:val="082F7B59"/>
    <w:rsid w:val="082F7B7D"/>
    <w:rsid w:val="082F7BCD"/>
    <w:rsid w:val="082F7BD7"/>
    <w:rsid w:val="082F7BFE"/>
    <w:rsid w:val="082F7C00"/>
    <w:rsid w:val="082F7C1F"/>
    <w:rsid w:val="082F7C77"/>
    <w:rsid w:val="082F7CE6"/>
    <w:rsid w:val="082F7D18"/>
    <w:rsid w:val="082F7E0D"/>
    <w:rsid w:val="082F7E60"/>
    <w:rsid w:val="082F7F42"/>
    <w:rsid w:val="082F7F8B"/>
    <w:rsid w:val="082F7FD8"/>
    <w:rsid w:val="0830010C"/>
    <w:rsid w:val="08300140"/>
    <w:rsid w:val="0830028E"/>
    <w:rsid w:val="083002CF"/>
    <w:rsid w:val="083002DC"/>
    <w:rsid w:val="08300303"/>
    <w:rsid w:val="083003B7"/>
    <w:rsid w:val="083003CA"/>
    <w:rsid w:val="083003DA"/>
    <w:rsid w:val="083003EA"/>
    <w:rsid w:val="083003ED"/>
    <w:rsid w:val="08300463"/>
    <w:rsid w:val="08300581"/>
    <w:rsid w:val="083005CF"/>
    <w:rsid w:val="0830063D"/>
    <w:rsid w:val="083006AD"/>
    <w:rsid w:val="083006E3"/>
    <w:rsid w:val="08300772"/>
    <w:rsid w:val="08300785"/>
    <w:rsid w:val="083007D9"/>
    <w:rsid w:val="08300883"/>
    <w:rsid w:val="08300927"/>
    <w:rsid w:val="08300964"/>
    <w:rsid w:val="083009E7"/>
    <w:rsid w:val="08300A43"/>
    <w:rsid w:val="08300BB9"/>
    <w:rsid w:val="08300C5D"/>
    <w:rsid w:val="08300D1C"/>
    <w:rsid w:val="08300D64"/>
    <w:rsid w:val="08300E43"/>
    <w:rsid w:val="08300E8B"/>
    <w:rsid w:val="08300FBA"/>
    <w:rsid w:val="08300FD5"/>
    <w:rsid w:val="08300FE1"/>
    <w:rsid w:val="08301148"/>
    <w:rsid w:val="0830122C"/>
    <w:rsid w:val="08301237"/>
    <w:rsid w:val="08301242"/>
    <w:rsid w:val="08301377"/>
    <w:rsid w:val="08301438"/>
    <w:rsid w:val="083014EE"/>
    <w:rsid w:val="0830150B"/>
    <w:rsid w:val="08301534"/>
    <w:rsid w:val="083015C3"/>
    <w:rsid w:val="083015E7"/>
    <w:rsid w:val="083015F4"/>
    <w:rsid w:val="083015F5"/>
    <w:rsid w:val="0830165F"/>
    <w:rsid w:val="083016BD"/>
    <w:rsid w:val="083017A5"/>
    <w:rsid w:val="083017AE"/>
    <w:rsid w:val="0830180B"/>
    <w:rsid w:val="08301829"/>
    <w:rsid w:val="083018EC"/>
    <w:rsid w:val="08301ADE"/>
    <w:rsid w:val="08301B1B"/>
    <w:rsid w:val="08301BB8"/>
    <w:rsid w:val="08301BDE"/>
    <w:rsid w:val="08301C7F"/>
    <w:rsid w:val="08301C91"/>
    <w:rsid w:val="08301CB9"/>
    <w:rsid w:val="08301CCC"/>
    <w:rsid w:val="08301D0E"/>
    <w:rsid w:val="08301DE7"/>
    <w:rsid w:val="08301EEB"/>
    <w:rsid w:val="08301F3D"/>
    <w:rsid w:val="08302039"/>
    <w:rsid w:val="083020A7"/>
    <w:rsid w:val="083020F6"/>
    <w:rsid w:val="08302106"/>
    <w:rsid w:val="08302161"/>
    <w:rsid w:val="083021C8"/>
    <w:rsid w:val="08302204"/>
    <w:rsid w:val="0830226D"/>
    <w:rsid w:val="083023B0"/>
    <w:rsid w:val="08302420"/>
    <w:rsid w:val="08302439"/>
    <w:rsid w:val="08302511"/>
    <w:rsid w:val="08302532"/>
    <w:rsid w:val="08302563"/>
    <w:rsid w:val="083025BA"/>
    <w:rsid w:val="083025DC"/>
    <w:rsid w:val="0830268E"/>
    <w:rsid w:val="08302705"/>
    <w:rsid w:val="083029FF"/>
    <w:rsid w:val="08302B49"/>
    <w:rsid w:val="08302B97"/>
    <w:rsid w:val="08302BE9"/>
    <w:rsid w:val="08302C31"/>
    <w:rsid w:val="08302C33"/>
    <w:rsid w:val="08302C4E"/>
    <w:rsid w:val="08302C57"/>
    <w:rsid w:val="08302D3A"/>
    <w:rsid w:val="08302DAF"/>
    <w:rsid w:val="08302F3C"/>
    <w:rsid w:val="08302F81"/>
    <w:rsid w:val="08302FAB"/>
    <w:rsid w:val="083031C3"/>
    <w:rsid w:val="08303217"/>
    <w:rsid w:val="0830323D"/>
    <w:rsid w:val="08303295"/>
    <w:rsid w:val="083032B1"/>
    <w:rsid w:val="0830339D"/>
    <w:rsid w:val="083033BA"/>
    <w:rsid w:val="08303469"/>
    <w:rsid w:val="08303486"/>
    <w:rsid w:val="08303493"/>
    <w:rsid w:val="083034BB"/>
    <w:rsid w:val="0830367B"/>
    <w:rsid w:val="08303692"/>
    <w:rsid w:val="083036B0"/>
    <w:rsid w:val="083037A7"/>
    <w:rsid w:val="08303878"/>
    <w:rsid w:val="08303895"/>
    <w:rsid w:val="083038B5"/>
    <w:rsid w:val="083038C1"/>
    <w:rsid w:val="08303976"/>
    <w:rsid w:val="08303A15"/>
    <w:rsid w:val="08303A52"/>
    <w:rsid w:val="08303A56"/>
    <w:rsid w:val="08303A71"/>
    <w:rsid w:val="08303B93"/>
    <w:rsid w:val="08303BA3"/>
    <w:rsid w:val="08303BC5"/>
    <w:rsid w:val="08303BC8"/>
    <w:rsid w:val="08303BDC"/>
    <w:rsid w:val="08303C1A"/>
    <w:rsid w:val="08303C61"/>
    <w:rsid w:val="08303D0F"/>
    <w:rsid w:val="08303D78"/>
    <w:rsid w:val="08303D82"/>
    <w:rsid w:val="08303D92"/>
    <w:rsid w:val="08303E6F"/>
    <w:rsid w:val="08303ECB"/>
    <w:rsid w:val="08303F60"/>
    <w:rsid w:val="08303F6A"/>
    <w:rsid w:val="08304060"/>
    <w:rsid w:val="08304109"/>
    <w:rsid w:val="08304184"/>
    <w:rsid w:val="083041B1"/>
    <w:rsid w:val="08304206"/>
    <w:rsid w:val="08304301"/>
    <w:rsid w:val="0830432F"/>
    <w:rsid w:val="0830439A"/>
    <w:rsid w:val="083043EA"/>
    <w:rsid w:val="08304449"/>
    <w:rsid w:val="0830449B"/>
    <w:rsid w:val="08304527"/>
    <w:rsid w:val="0830457C"/>
    <w:rsid w:val="0830458C"/>
    <w:rsid w:val="083045B2"/>
    <w:rsid w:val="0830460A"/>
    <w:rsid w:val="08304635"/>
    <w:rsid w:val="083046AA"/>
    <w:rsid w:val="08304793"/>
    <w:rsid w:val="0830484A"/>
    <w:rsid w:val="083048C0"/>
    <w:rsid w:val="0830497A"/>
    <w:rsid w:val="08304A66"/>
    <w:rsid w:val="08304C6B"/>
    <w:rsid w:val="08304C70"/>
    <w:rsid w:val="08304D3D"/>
    <w:rsid w:val="08304DB2"/>
    <w:rsid w:val="08304FB6"/>
    <w:rsid w:val="08304FC6"/>
    <w:rsid w:val="08304FE0"/>
    <w:rsid w:val="0830501E"/>
    <w:rsid w:val="08305089"/>
    <w:rsid w:val="083050B3"/>
    <w:rsid w:val="08305173"/>
    <w:rsid w:val="0830523D"/>
    <w:rsid w:val="08305252"/>
    <w:rsid w:val="0830532A"/>
    <w:rsid w:val="08305361"/>
    <w:rsid w:val="083053D7"/>
    <w:rsid w:val="08305536"/>
    <w:rsid w:val="0830559E"/>
    <w:rsid w:val="083057C7"/>
    <w:rsid w:val="083057CD"/>
    <w:rsid w:val="083058F8"/>
    <w:rsid w:val="08305903"/>
    <w:rsid w:val="0830591E"/>
    <w:rsid w:val="083059A8"/>
    <w:rsid w:val="08305A02"/>
    <w:rsid w:val="08305B49"/>
    <w:rsid w:val="08305BBE"/>
    <w:rsid w:val="08305BE7"/>
    <w:rsid w:val="08305D2E"/>
    <w:rsid w:val="08305DBC"/>
    <w:rsid w:val="08305DC0"/>
    <w:rsid w:val="08305E26"/>
    <w:rsid w:val="08305E9C"/>
    <w:rsid w:val="08305F04"/>
    <w:rsid w:val="08305F12"/>
    <w:rsid w:val="08306018"/>
    <w:rsid w:val="0830609A"/>
    <w:rsid w:val="083060BA"/>
    <w:rsid w:val="083060E7"/>
    <w:rsid w:val="08306107"/>
    <w:rsid w:val="0830612B"/>
    <w:rsid w:val="08306162"/>
    <w:rsid w:val="0830621D"/>
    <w:rsid w:val="08306230"/>
    <w:rsid w:val="0830624E"/>
    <w:rsid w:val="083062B8"/>
    <w:rsid w:val="0830639E"/>
    <w:rsid w:val="083063F2"/>
    <w:rsid w:val="08306409"/>
    <w:rsid w:val="083064C8"/>
    <w:rsid w:val="08306570"/>
    <w:rsid w:val="083065CC"/>
    <w:rsid w:val="083066D0"/>
    <w:rsid w:val="083067BC"/>
    <w:rsid w:val="08306956"/>
    <w:rsid w:val="0830697D"/>
    <w:rsid w:val="0830697E"/>
    <w:rsid w:val="083069AC"/>
    <w:rsid w:val="08306B06"/>
    <w:rsid w:val="08306B64"/>
    <w:rsid w:val="08306B9C"/>
    <w:rsid w:val="08306C29"/>
    <w:rsid w:val="08306C75"/>
    <w:rsid w:val="08306D99"/>
    <w:rsid w:val="08306DD6"/>
    <w:rsid w:val="08306F55"/>
    <w:rsid w:val="08306F9A"/>
    <w:rsid w:val="08306FA5"/>
    <w:rsid w:val="08306FC8"/>
    <w:rsid w:val="08306FEE"/>
    <w:rsid w:val="08306FFD"/>
    <w:rsid w:val="0830702B"/>
    <w:rsid w:val="08307174"/>
    <w:rsid w:val="08307324"/>
    <w:rsid w:val="0830735A"/>
    <w:rsid w:val="0830749D"/>
    <w:rsid w:val="083074DE"/>
    <w:rsid w:val="08307517"/>
    <w:rsid w:val="0830786C"/>
    <w:rsid w:val="083079D1"/>
    <w:rsid w:val="083079DF"/>
    <w:rsid w:val="08307A24"/>
    <w:rsid w:val="08307A76"/>
    <w:rsid w:val="08307AA6"/>
    <w:rsid w:val="08307B0A"/>
    <w:rsid w:val="08307B35"/>
    <w:rsid w:val="08307B49"/>
    <w:rsid w:val="08307CBE"/>
    <w:rsid w:val="08307D6F"/>
    <w:rsid w:val="08307DB7"/>
    <w:rsid w:val="08307E06"/>
    <w:rsid w:val="08307E61"/>
    <w:rsid w:val="08307F5F"/>
    <w:rsid w:val="08307F66"/>
    <w:rsid w:val="08307F8C"/>
    <w:rsid w:val="0831007D"/>
    <w:rsid w:val="08310108"/>
    <w:rsid w:val="08310135"/>
    <w:rsid w:val="0831014D"/>
    <w:rsid w:val="08310153"/>
    <w:rsid w:val="08310195"/>
    <w:rsid w:val="083101C1"/>
    <w:rsid w:val="08310255"/>
    <w:rsid w:val="0831026E"/>
    <w:rsid w:val="0831029D"/>
    <w:rsid w:val="08310353"/>
    <w:rsid w:val="0831040C"/>
    <w:rsid w:val="08310497"/>
    <w:rsid w:val="083104C8"/>
    <w:rsid w:val="083104FB"/>
    <w:rsid w:val="083105D8"/>
    <w:rsid w:val="08310640"/>
    <w:rsid w:val="083106AF"/>
    <w:rsid w:val="08310A68"/>
    <w:rsid w:val="08310AAF"/>
    <w:rsid w:val="08310B41"/>
    <w:rsid w:val="08310BD7"/>
    <w:rsid w:val="08310DED"/>
    <w:rsid w:val="08310E0A"/>
    <w:rsid w:val="08310E70"/>
    <w:rsid w:val="08310E90"/>
    <w:rsid w:val="08310E9C"/>
    <w:rsid w:val="08310EA2"/>
    <w:rsid w:val="08310ECA"/>
    <w:rsid w:val="08310F05"/>
    <w:rsid w:val="08310F0C"/>
    <w:rsid w:val="08310F56"/>
    <w:rsid w:val="08310FFC"/>
    <w:rsid w:val="083110D2"/>
    <w:rsid w:val="083110E7"/>
    <w:rsid w:val="0831118C"/>
    <w:rsid w:val="08311196"/>
    <w:rsid w:val="083111A2"/>
    <w:rsid w:val="083112B6"/>
    <w:rsid w:val="083112D2"/>
    <w:rsid w:val="08311377"/>
    <w:rsid w:val="0831138F"/>
    <w:rsid w:val="083113DB"/>
    <w:rsid w:val="083113E5"/>
    <w:rsid w:val="08311432"/>
    <w:rsid w:val="0831145A"/>
    <w:rsid w:val="08311550"/>
    <w:rsid w:val="08311574"/>
    <w:rsid w:val="083115D5"/>
    <w:rsid w:val="083115DF"/>
    <w:rsid w:val="0831162D"/>
    <w:rsid w:val="08311632"/>
    <w:rsid w:val="08311652"/>
    <w:rsid w:val="08311654"/>
    <w:rsid w:val="0831166D"/>
    <w:rsid w:val="08311705"/>
    <w:rsid w:val="083117F5"/>
    <w:rsid w:val="083118A3"/>
    <w:rsid w:val="083119BE"/>
    <w:rsid w:val="08311A2C"/>
    <w:rsid w:val="08311B8D"/>
    <w:rsid w:val="08311B8E"/>
    <w:rsid w:val="08311BA0"/>
    <w:rsid w:val="08311C4E"/>
    <w:rsid w:val="08311C74"/>
    <w:rsid w:val="08311CD8"/>
    <w:rsid w:val="08311D08"/>
    <w:rsid w:val="08311D24"/>
    <w:rsid w:val="08311E57"/>
    <w:rsid w:val="08311E76"/>
    <w:rsid w:val="08311FA4"/>
    <w:rsid w:val="08311FAF"/>
    <w:rsid w:val="08311FD9"/>
    <w:rsid w:val="08312004"/>
    <w:rsid w:val="083120BB"/>
    <w:rsid w:val="083120DD"/>
    <w:rsid w:val="083120FC"/>
    <w:rsid w:val="08312106"/>
    <w:rsid w:val="08312195"/>
    <w:rsid w:val="0831219A"/>
    <w:rsid w:val="0831219C"/>
    <w:rsid w:val="083121AE"/>
    <w:rsid w:val="083122DB"/>
    <w:rsid w:val="083122ED"/>
    <w:rsid w:val="08312375"/>
    <w:rsid w:val="08312390"/>
    <w:rsid w:val="08312450"/>
    <w:rsid w:val="08312467"/>
    <w:rsid w:val="08312561"/>
    <w:rsid w:val="083125E4"/>
    <w:rsid w:val="083126CF"/>
    <w:rsid w:val="0831274E"/>
    <w:rsid w:val="08312A8B"/>
    <w:rsid w:val="08312A9D"/>
    <w:rsid w:val="08312AE2"/>
    <w:rsid w:val="08312B34"/>
    <w:rsid w:val="08312B8F"/>
    <w:rsid w:val="08312BFB"/>
    <w:rsid w:val="08312C92"/>
    <w:rsid w:val="08312CFC"/>
    <w:rsid w:val="08312DE5"/>
    <w:rsid w:val="08312DE6"/>
    <w:rsid w:val="08312E06"/>
    <w:rsid w:val="08312ED9"/>
    <w:rsid w:val="08312F44"/>
    <w:rsid w:val="08313021"/>
    <w:rsid w:val="08313044"/>
    <w:rsid w:val="0831313B"/>
    <w:rsid w:val="0831319B"/>
    <w:rsid w:val="08313231"/>
    <w:rsid w:val="0831323A"/>
    <w:rsid w:val="083132B3"/>
    <w:rsid w:val="08313304"/>
    <w:rsid w:val="08313305"/>
    <w:rsid w:val="08313366"/>
    <w:rsid w:val="083133DA"/>
    <w:rsid w:val="08313417"/>
    <w:rsid w:val="08313474"/>
    <w:rsid w:val="083134BF"/>
    <w:rsid w:val="083134E4"/>
    <w:rsid w:val="08313670"/>
    <w:rsid w:val="08313676"/>
    <w:rsid w:val="08313688"/>
    <w:rsid w:val="083136CE"/>
    <w:rsid w:val="083136DF"/>
    <w:rsid w:val="083136E4"/>
    <w:rsid w:val="08313841"/>
    <w:rsid w:val="083138A0"/>
    <w:rsid w:val="083138AE"/>
    <w:rsid w:val="08313944"/>
    <w:rsid w:val="08313AA2"/>
    <w:rsid w:val="08313B74"/>
    <w:rsid w:val="08313BCB"/>
    <w:rsid w:val="08313BF4"/>
    <w:rsid w:val="08313C2A"/>
    <w:rsid w:val="08313D55"/>
    <w:rsid w:val="08313DCA"/>
    <w:rsid w:val="08313F4F"/>
    <w:rsid w:val="08313F5C"/>
    <w:rsid w:val="08313FAC"/>
    <w:rsid w:val="0831405C"/>
    <w:rsid w:val="08314081"/>
    <w:rsid w:val="0831429F"/>
    <w:rsid w:val="083142D3"/>
    <w:rsid w:val="083143E0"/>
    <w:rsid w:val="08314410"/>
    <w:rsid w:val="0831442E"/>
    <w:rsid w:val="08314441"/>
    <w:rsid w:val="0831445E"/>
    <w:rsid w:val="08314467"/>
    <w:rsid w:val="083146B4"/>
    <w:rsid w:val="083147DD"/>
    <w:rsid w:val="083148D9"/>
    <w:rsid w:val="0831492F"/>
    <w:rsid w:val="08314957"/>
    <w:rsid w:val="08314AF8"/>
    <w:rsid w:val="08314B09"/>
    <w:rsid w:val="08314B16"/>
    <w:rsid w:val="08314B38"/>
    <w:rsid w:val="08314BAD"/>
    <w:rsid w:val="08314C03"/>
    <w:rsid w:val="08314C5F"/>
    <w:rsid w:val="08314C60"/>
    <w:rsid w:val="08314CB4"/>
    <w:rsid w:val="08314CC7"/>
    <w:rsid w:val="08314D4B"/>
    <w:rsid w:val="08314D6B"/>
    <w:rsid w:val="08314DEC"/>
    <w:rsid w:val="08314E1F"/>
    <w:rsid w:val="08314E59"/>
    <w:rsid w:val="08314EA7"/>
    <w:rsid w:val="08314F16"/>
    <w:rsid w:val="08314FA7"/>
    <w:rsid w:val="08314FBF"/>
    <w:rsid w:val="083151DD"/>
    <w:rsid w:val="083151F8"/>
    <w:rsid w:val="083152B9"/>
    <w:rsid w:val="08315334"/>
    <w:rsid w:val="08315383"/>
    <w:rsid w:val="083153B3"/>
    <w:rsid w:val="08315494"/>
    <w:rsid w:val="083154A7"/>
    <w:rsid w:val="083155AE"/>
    <w:rsid w:val="08315723"/>
    <w:rsid w:val="08315734"/>
    <w:rsid w:val="0831573E"/>
    <w:rsid w:val="0831583D"/>
    <w:rsid w:val="08315842"/>
    <w:rsid w:val="08315861"/>
    <w:rsid w:val="08315921"/>
    <w:rsid w:val="0831592B"/>
    <w:rsid w:val="08315A8D"/>
    <w:rsid w:val="08315C11"/>
    <w:rsid w:val="08315CA8"/>
    <w:rsid w:val="08315D3E"/>
    <w:rsid w:val="08315DB1"/>
    <w:rsid w:val="08315FB7"/>
    <w:rsid w:val="0831603B"/>
    <w:rsid w:val="08316049"/>
    <w:rsid w:val="0831605B"/>
    <w:rsid w:val="0831612B"/>
    <w:rsid w:val="0831617A"/>
    <w:rsid w:val="083161F5"/>
    <w:rsid w:val="08316201"/>
    <w:rsid w:val="08316227"/>
    <w:rsid w:val="08316228"/>
    <w:rsid w:val="08316287"/>
    <w:rsid w:val="0831629F"/>
    <w:rsid w:val="083162C3"/>
    <w:rsid w:val="083162E9"/>
    <w:rsid w:val="0831649D"/>
    <w:rsid w:val="083164EB"/>
    <w:rsid w:val="08316547"/>
    <w:rsid w:val="083165A6"/>
    <w:rsid w:val="08316614"/>
    <w:rsid w:val="08316624"/>
    <w:rsid w:val="08316655"/>
    <w:rsid w:val="083166C6"/>
    <w:rsid w:val="083167EE"/>
    <w:rsid w:val="083169E7"/>
    <w:rsid w:val="08316A1A"/>
    <w:rsid w:val="08316A36"/>
    <w:rsid w:val="08316A91"/>
    <w:rsid w:val="08316AA9"/>
    <w:rsid w:val="08316B4D"/>
    <w:rsid w:val="08316C72"/>
    <w:rsid w:val="08316D88"/>
    <w:rsid w:val="08316E10"/>
    <w:rsid w:val="08316E1B"/>
    <w:rsid w:val="08316E21"/>
    <w:rsid w:val="08316F21"/>
    <w:rsid w:val="08316F75"/>
    <w:rsid w:val="08316F90"/>
    <w:rsid w:val="08316FCC"/>
    <w:rsid w:val="0831705D"/>
    <w:rsid w:val="083170B4"/>
    <w:rsid w:val="083170FA"/>
    <w:rsid w:val="0831714A"/>
    <w:rsid w:val="0831719C"/>
    <w:rsid w:val="083173BD"/>
    <w:rsid w:val="083173D9"/>
    <w:rsid w:val="0831747D"/>
    <w:rsid w:val="083174F9"/>
    <w:rsid w:val="08317682"/>
    <w:rsid w:val="083176BB"/>
    <w:rsid w:val="083176E8"/>
    <w:rsid w:val="0831773A"/>
    <w:rsid w:val="0831779F"/>
    <w:rsid w:val="0831782F"/>
    <w:rsid w:val="08317850"/>
    <w:rsid w:val="083178C4"/>
    <w:rsid w:val="08317A4C"/>
    <w:rsid w:val="08317A64"/>
    <w:rsid w:val="08317B03"/>
    <w:rsid w:val="08317D08"/>
    <w:rsid w:val="08317D62"/>
    <w:rsid w:val="08317E4B"/>
    <w:rsid w:val="08317EAF"/>
    <w:rsid w:val="08317F3D"/>
    <w:rsid w:val="08317FED"/>
    <w:rsid w:val="08320074"/>
    <w:rsid w:val="0832014A"/>
    <w:rsid w:val="08320300"/>
    <w:rsid w:val="08320354"/>
    <w:rsid w:val="0832035A"/>
    <w:rsid w:val="08320385"/>
    <w:rsid w:val="0832039C"/>
    <w:rsid w:val="0832041E"/>
    <w:rsid w:val="0832049B"/>
    <w:rsid w:val="0832057E"/>
    <w:rsid w:val="0832058F"/>
    <w:rsid w:val="08320628"/>
    <w:rsid w:val="08320704"/>
    <w:rsid w:val="08320729"/>
    <w:rsid w:val="083207FB"/>
    <w:rsid w:val="08320849"/>
    <w:rsid w:val="083208F3"/>
    <w:rsid w:val="08320918"/>
    <w:rsid w:val="0832092C"/>
    <w:rsid w:val="08320AFA"/>
    <w:rsid w:val="08320C21"/>
    <w:rsid w:val="08320C4B"/>
    <w:rsid w:val="08320D11"/>
    <w:rsid w:val="08320D52"/>
    <w:rsid w:val="08320DE2"/>
    <w:rsid w:val="08320E18"/>
    <w:rsid w:val="08320E3C"/>
    <w:rsid w:val="08320E91"/>
    <w:rsid w:val="08320E94"/>
    <w:rsid w:val="08320F6A"/>
    <w:rsid w:val="08320FB4"/>
    <w:rsid w:val="08321005"/>
    <w:rsid w:val="08321060"/>
    <w:rsid w:val="083210FD"/>
    <w:rsid w:val="08321158"/>
    <w:rsid w:val="083211A9"/>
    <w:rsid w:val="08321224"/>
    <w:rsid w:val="08321281"/>
    <w:rsid w:val="08321291"/>
    <w:rsid w:val="0832135C"/>
    <w:rsid w:val="083213EB"/>
    <w:rsid w:val="08321489"/>
    <w:rsid w:val="08321520"/>
    <w:rsid w:val="083215F6"/>
    <w:rsid w:val="08321660"/>
    <w:rsid w:val="08321690"/>
    <w:rsid w:val="083216DD"/>
    <w:rsid w:val="083217BA"/>
    <w:rsid w:val="0832183E"/>
    <w:rsid w:val="08321868"/>
    <w:rsid w:val="08321915"/>
    <w:rsid w:val="08321AEA"/>
    <w:rsid w:val="08321B01"/>
    <w:rsid w:val="08321B2B"/>
    <w:rsid w:val="08321B35"/>
    <w:rsid w:val="08321B53"/>
    <w:rsid w:val="08321B67"/>
    <w:rsid w:val="08321B8B"/>
    <w:rsid w:val="08321BA1"/>
    <w:rsid w:val="08321C9A"/>
    <w:rsid w:val="08321CA6"/>
    <w:rsid w:val="08321D6D"/>
    <w:rsid w:val="08321F6B"/>
    <w:rsid w:val="08321F6E"/>
    <w:rsid w:val="08321FDC"/>
    <w:rsid w:val="08321FF4"/>
    <w:rsid w:val="0832203E"/>
    <w:rsid w:val="083220AA"/>
    <w:rsid w:val="0832214A"/>
    <w:rsid w:val="0832214C"/>
    <w:rsid w:val="0832217A"/>
    <w:rsid w:val="083221B4"/>
    <w:rsid w:val="083221EF"/>
    <w:rsid w:val="083221F7"/>
    <w:rsid w:val="083222D5"/>
    <w:rsid w:val="083223CA"/>
    <w:rsid w:val="083223F8"/>
    <w:rsid w:val="08322443"/>
    <w:rsid w:val="08322461"/>
    <w:rsid w:val="08322470"/>
    <w:rsid w:val="08322484"/>
    <w:rsid w:val="083224B7"/>
    <w:rsid w:val="083225C3"/>
    <w:rsid w:val="0832266E"/>
    <w:rsid w:val="0832269B"/>
    <w:rsid w:val="083226F1"/>
    <w:rsid w:val="08322734"/>
    <w:rsid w:val="08322750"/>
    <w:rsid w:val="0832276D"/>
    <w:rsid w:val="0832278E"/>
    <w:rsid w:val="083227CF"/>
    <w:rsid w:val="08322868"/>
    <w:rsid w:val="083228FB"/>
    <w:rsid w:val="083229A1"/>
    <w:rsid w:val="08322A9E"/>
    <w:rsid w:val="08322AD4"/>
    <w:rsid w:val="08322AFF"/>
    <w:rsid w:val="08322B05"/>
    <w:rsid w:val="08322C06"/>
    <w:rsid w:val="08322C15"/>
    <w:rsid w:val="08322DA1"/>
    <w:rsid w:val="08322DD7"/>
    <w:rsid w:val="08322DE7"/>
    <w:rsid w:val="08322E2F"/>
    <w:rsid w:val="08322E8C"/>
    <w:rsid w:val="08322EB9"/>
    <w:rsid w:val="08322EDE"/>
    <w:rsid w:val="08322F46"/>
    <w:rsid w:val="08322F5F"/>
    <w:rsid w:val="08322FA8"/>
    <w:rsid w:val="083230B0"/>
    <w:rsid w:val="08323137"/>
    <w:rsid w:val="0832313E"/>
    <w:rsid w:val="083231E3"/>
    <w:rsid w:val="08323201"/>
    <w:rsid w:val="08323231"/>
    <w:rsid w:val="083232B8"/>
    <w:rsid w:val="08323397"/>
    <w:rsid w:val="083233B5"/>
    <w:rsid w:val="0832341C"/>
    <w:rsid w:val="08323452"/>
    <w:rsid w:val="083234CD"/>
    <w:rsid w:val="083235AC"/>
    <w:rsid w:val="083235C0"/>
    <w:rsid w:val="0832366E"/>
    <w:rsid w:val="08323810"/>
    <w:rsid w:val="08323889"/>
    <w:rsid w:val="08323A0E"/>
    <w:rsid w:val="08323A4A"/>
    <w:rsid w:val="08323AD1"/>
    <w:rsid w:val="08323AF8"/>
    <w:rsid w:val="08323B21"/>
    <w:rsid w:val="08323CA8"/>
    <w:rsid w:val="08323D19"/>
    <w:rsid w:val="08323D7F"/>
    <w:rsid w:val="08323DDA"/>
    <w:rsid w:val="08323ECF"/>
    <w:rsid w:val="08323ED7"/>
    <w:rsid w:val="08323F78"/>
    <w:rsid w:val="08323F9D"/>
    <w:rsid w:val="08324112"/>
    <w:rsid w:val="0832426C"/>
    <w:rsid w:val="083242A4"/>
    <w:rsid w:val="0832430B"/>
    <w:rsid w:val="08324334"/>
    <w:rsid w:val="08324378"/>
    <w:rsid w:val="0832437E"/>
    <w:rsid w:val="083243D6"/>
    <w:rsid w:val="0832440E"/>
    <w:rsid w:val="08324463"/>
    <w:rsid w:val="08324469"/>
    <w:rsid w:val="083244C6"/>
    <w:rsid w:val="083245A4"/>
    <w:rsid w:val="08324611"/>
    <w:rsid w:val="0832461F"/>
    <w:rsid w:val="08324694"/>
    <w:rsid w:val="08324723"/>
    <w:rsid w:val="0832472A"/>
    <w:rsid w:val="08324794"/>
    <w:rsid w:val="083247A4"/>
    <w:rsid w:val="083247B6"/>
    <w:rsid w:val="083248DD"/>
    <w:rsid w:val="08324905"/>
    <w:rsid w:val="0832496C"/>
    <w:rsid w:val="083249D7"/>
    <w:rsid w:val="08324A6B"/>
    <w:rsid w:val="08324B00"/>
    <w:rsid w:val="08324BB1"/>
    <w:rsid w:val="08324BC7"/>
    <w:rsid w:val="08324C2A"/>
    <w:rsid w:val="08324C5D"/>
    <w:rsid w:val="08324D23"/>
    <w:rsid w:val="08324D3B"/>
    <w:rsid w:val="08324E4A"/>
    <w:rsid w:val="08324EF3"/>
    <w:rsid w:val="08324F26"/>
    <w:rsid w:val="08324F36"/>
    <w:rsid w:val="08324F68"/>
    <w:rsid w:val="08324FD2"/>
    <w:rsid w:val="08324FE7"/>
    <w:rsid w:val="0832504D"/>
    <w:rsid w:val="08325059"/>
    <w:rsid w:val="083250E0"/>
    <w:rsid w:val="083250F5"/>
    <w:rsid w:val="083251AC"/>
    <w:rsid w:val="083251CA"/>
    <w:rsid w:val="083251DB"/>
    <w:rsid w:val="08325241"/>
    <w:rsid w:val="08325274"/>
    <w:rsid w:val="0832528B"/>
    <w:rsid w:val="0832529D"/>
    <w:rsid w:val="08325301"/>
    <w:rsid w:val="08325539"/>
    <w:rsid w:val="0832553C"/>
    <w:rsid w:val="0832558B"/>
    <w:rsid w:val="08325598"/>
    <w:rsid w:val="0832560B"/>
    <w:rsid w:val="08325671"/>
    <w:rsid w:val="0832567B"/>
    <w:rsid w:val="0832567D"/>
    <w:rsid w:val="083256B9"/>
    <w:rsid w:val="08325745"/>
    <w:rsid w:val="0832575B"/>
    <w:rsid w:val="083257FA"/>
    <w:rsid w:val="083258A6"/>
    <w:rsid w:val="083258E2"/>
    <w:rsid w:val="08325945"/>
    <w:rsid w:val="083259CA"/>
    <w:rsid w:val="08325A66"/>
    <w:rsid w:val="08325AE0"/>
    <w:rsid w:val="08325B0B"/>
    <w:rsid w:val="08325B17"/>
    <w:rsid w:val="08325B3E"/>
    <w:rsid w:val="08325BE5"/>
    <w:rsid w:val="08325CDA"/>
    <w:rsid w:val="08325D10"/>
    <w:rsid w:val="08325DAF"/>
    <w:rsid w:val="08325DCD"/>
    <w:rsid w:val="08326078"/>
    <w:rsid w:val="083260D6"/>
    <w:rsid w:val="08326148"/>
    <w:rsid w:val="083261C1"/>
    <w:rsid w:val="083262BC"/>
    <w:rsid w:val="083262C1"/>
    <w:rsid w:val="08326357"/>
    <w:rsid w:val="083263C2"/>
    <w:rsid w:val="0832641A"/>
    <w:rsid w:val="08326498"/>
    <w:rsid w:val="083264C6"/>
    <w:rsid w:val="08326533"/>
    <w:rsid w:val="08326542"/>
    <w:rsid w:val="08326596"/>
    <w:rsid w:val="083265B8"/>
    <w:rsid w:val="08326601"/>
    <w:rsid w:val="08326747"/>
    <w:rsid w:val="083267AB"/>
    <w:rsid w:val="083267D2"/>
    <w:rsid w:val="0832689C"/>
    <w:rsid w:val="083268E7"/>
    <w:rsid w:val="083268FD"/>
    <w:rsid w:val="083269A3"/>
    <w:rsid w:val="083269B3"/>
    <w:rsid w:val="083269E7"/>
    <w:rsid w:val="08326A3F"/>
    <w:rsid w:val="08326A4B"/>
    <w:rsid w:val="08326B0B"/>
    <w:rsid w:val="08326B46"/>
    <w:rsid w:val="08326B49"/>
    <w:rsid w:val="08326BC6"/>
    <w:rsid w:val="08326C8D"/>
    <w:rsid w:val="08326D31"/>
    <w:rsid w:val="08326E68"/>
    <w:rsid w:val="08326EC3"/>
    <w:rsid w:val="08326F1A"/>
    <w:rsid w:val="08326F31"/>
    <w:rsid w:val="08326F50"/>
    <w:rsid w:val="0832713C"/>
    <w:rsid w:val="08327288"/>
    <w:rsid w:val="08327294"/>
    <w:rsid w:val="083272AE"/>
    <w:rsid w:val="083272F1"/>
    <w:rsid w:val="08327453"/>
    <w:rsid w:val="083274BB"/>
    <w:rsid w:val="08327532"/>
    <w:rsid w:val="083276A0"/>
    <w:rsid w:val="0832771A"/>
    <w:rsid w:val="0832775D"/>
    <w:rsid w:val="0832782E"/>
    <w:rsid w:val="08327880"/>
    <w:rsid w:val="083278E4"/>
    <w:rsid w:val="0832791A"/>
    <w:rsid w:val="08327969"/>
    <w:rsid w:val="083279AD"/>
    <w:rsid w:val="083279DC"/>
    <w:rsid w:val="083279EA"/>
    <w:rsid w:val="083279F8"/>
    <w:rsid w:val="08327B47"/>
    <w:rsid w:val="08327BAA"/>
    <w:rsid w:val="08327CC3"/>
    <w:rsid w:val="08327CCD"/>
    <w:rsid w:val="08327CF0"/>
    <w:rsid w:val="08327D0B"/>
    <w:rsid w:val="08327D0D"/>
    <w:rsid w:val="08327D62"/>
    <w:rsid w:val="08327E7D"/>
    <w:rsid w:val="08327E94"/>
    <w:rsid w:val="08327ECB"/>
    <w:rsid w:val="083300A5"/>
    <w:rsid w:val="083301A2"/>
    <w:rsid w:val="0833020D"/>
    <w:rsid w:val="0833024D"/>
    <w:rsid w:val="08330286"/>
    <w:rsid w:val="08330299"/>
    <w:rsid w:val="083302A1"/>
    <w:rsid w:val="08330329"/>
    <w:rsid w:val="08330498"/>
    <w:rsid w:val="08330503"/>
    <w:rsid w:val="0833059D"/>
    <w:rsid w:val="083305B1"/>
    <w:rsid w:val="083306D8"/>
    <w:rsid w:val="0833080F"/>
    <w:rsid w:val="0833082F"/>
    <w:rsid w:val="0833083F"/>
    <w:rsid w:val="0833085D"/>
    <w:rsid w:val="08330908"/>
    <w:rsid w:val="0833092B"/>
    <w:rsid w:val="083309BA"/>
    <w:rsid w:val="083309F7"/>
    <w:rsid w:val="08330ACB"/>
    <w:rsid w:val="08330AD0"/>
    <w:rsid w:val="08330ADE"/>
    <w:rsid w:val="08330B08"/>
    <w:rsid w:val="08330B1D"/>
    <w:rsid w:val="08330B37"/>
    <w:rsid w:val="08330B8C"/>
    <w:rsid w:val="08330C12"/>
    <w:rsid w:val="08330C69"/>
    <w:rsid w:val="08330CAD"/>
    <w:rsid w:val="08330CC2"/>
    <w:rsid w:val="08330EB4"/>
    <w:rsid w:val="08330ED9"/>
    <w:rsid w:val="08330EDF"/>
    <w:rsid w:val="08330F15"/>
    <w:rsid w:val="08330F66"/>
    <w:rsid w:val="08330F70"/>
    <w:rsid w:val="08331002"/>
    <w:rsid w:val="08331022"/>
    <w:rsid w:val="08331052"/>
    <w:rsid w:val="08331064"/>
    <w:rsid w:val="083310D4"/>
    <w:rsid w:val="083310E7"/>
    <w:rsid w:val="0833112B"/>
    <w:rsid w:val="083311EC"/>
    <w:rsid w:val="08331285"/>
    <w:rsid w:val="08331359"/>
    <w:rsid w:val="0833135F"/>
    <w:rsid w:val="08331461"/>
    <w:rsid w:val="08331488"/>
    <w:rsid w:val="0833149F"/>
    <w:rsid w:val="083314BE"/>
    <w:rsid w:val="083314F5"/>
    <w:rsid w:val="083316D1"/>
    <w:rsid w:val="083317B7"/>
    <w:rsid w:val="08331834"/>
    <w:rsid w:val="08331849"/>
    <w:rsid w:val="083318A3"/>
    <w:rsid w:val="083318CC"/>
    <w:rsid w:val="0833190D"/>
    <w:rsid w:val="0833195E"/>
    <w:rsid w:val="083319B8"/>
    <w:rsid w:val="08331A24"/>
    <w:rsid w:val="08331AC0"/>
    <w:rsid w:val="08331B18"/>
    <w:rsid w:val="08331BFC"/>
    <w:rsid w:val="08331C1D"/>
    <w:rsid w:val="08331C21"/>
    <w:rsid w:val="08331C22"/>
    <w:rsid w:val="08331C8F"/>
    <w:rsid w:val="08331CA8"/>
    <w:rsid w:val="08331CF6"/>
    <w:rsid w:val="08331D38"/>
    <w:rsid w:val="08331D9D"/>
    <w:rsid w:val="08331E47"/>
    <w:rsid w:val="08331E73"/>
    <w:rsid w:val="08331ED7"/>
    <w:rsid w:val="08331F4E"/>
    <w:rsid w:val="08331F8D"/>
    <w:rsid w:val="08331F9F"/>
    <w:rsid w:val="08331FE2"/>
    <w:rsid w:val="08332002"/>
    <w:rsid w:val="08332126"/>
    <w:rsid w:val="08332170"/>
    <w:rsid w:val="083321B4"/>
    <w:rsid w:val="083321F7"/>
    <w:rsid w:val="08332255"/>
    <w:rsid w:val="08332258"/>
    <w:rsid w:val="08332266"/>
    <w:rsid w:val="08332292"/>
    <w:rsid w:val="083322D7"/>
    <w:rsid w:val="083322E9"/>
    <w:rsid w:val="083322EA"/>
    <w:rsid w:val="08332324"/>
    <w:rsid w:val="08332362"/>
    <w:rsid w:val="083323D4"/>
    <w:rsid w:val="083323D8"/>
    <w:rsid w:val="08332439"/>
    <w:rsid w:val="083324B5"/>
    <w:rsid w:val="083324FB"/>
    <w:rsid w:val="083325E6"/>
    <w:rsid w:val="083326B3"/>
    <w:rsid w:val="083326CA"/>
    <w:rsid w:val="083326E0"/>
    <w:rsid w:val="0833271B"/>
    <w:rsid w:val="08332917"/>
    <w:rsid w:val="0833291C"/>
    <w:rsid w:val="08332981"/>
    <w:rsid w:val="08332A08"/>
    <w:rsid w:val="08332A80"/>
    <w:rsid w:val="08332AF8"/>
    <w:rsid w:val="08332B36"/>
    <w:rsid w:val="08332C72"/>
    <w:rsid w:val="08332D0E"/>
    <w:rsid w:val="08332DCC"/>
    <w:rsid w:val="08332DEC"/>
    <w:rsid w:val="08332E25"/>
    <w:rsid w:val="08333067"/>
    <w:rsid w:val="0833306A"/>
    <w:rsid w:val="0833306C"/>
    <w:rsid w:val="083330F8"/>
    <w:rsid w:val="0833314B"/>
    <w:rsid w:val="08333162"/>
    <w:rsid w:val="0833336E"/>
    <w:rsid w:val="08333380"/>
    <w:rsid w:val="083333A2"/>
    <w:rsid w:val="083333D9"/>
    <w:rsid w:val="0833349D"/>
    <w:rsid w:val="08333630"/>
    <w:rsid w:val="083336D4"/>
    <w:rsid w:val="083336F2"/>
    <w:rsid w:val="0833372A"/>
    <w:rsid w:val="0833377A"/>
    <w:rsid w:val="08333794"/>
    <w:rsid w:val="083337B3"/>
    <w:rsid w:val="083337D5"/>
    <w:rsid w:val="08333812"/>
    <w:rsid w:val="083338E9"/>
    <w:rsid w:val="08333915"/>
    <w:rsid w:val="08333932"/>
    <w:rsid w:val="0833395D"/>
    <w:rsid w:val="0833395F"/>
    <w:rsid w:val="08333A03"/>
    <w:rsid w:val="08333A0A"/>
    <w:rsid w:val="08333AC8"/>
    <w:rsid w:val="08333B04"/>
    <w:rsid w:val="08333BA5"/>
    <w:rsid w:val="08333BDC"/>
    <w:rsid w:val="08333BE2"/>
    <w:rsid w:val="08333CC4"/>
    <w:rsid w:val="08333D1D"/>
    <w:rsid w:val="08333D63"/>
    <w:rsid w:val="08333ECD"/>
    <w:rsid w:val="08333ECE"/>
    <w:rsid w:val="08333ED7"/>
    <w:rsid w:val="08333EE2"/>
    <w:rsid w:val="08333F09"/>
    <w:rsid w:val="08333F0E"/>
    <w:rsid w:val="08334065"/>
    <w:rsid w:val="0833406F"/>
    <w:rsid w:val="083340AA"/>
    <w:rsid w:val="083340AD"/>
    <w:rsid w:val="083340E0"/>
    <w:rsid w:val="0833415C"/>
    <w:rsid w:val="08334171"/>
    <w:rsid w:val="0833418E"/>
    <w:rsid w:val="083341E3"/>
    <w:rsid w:val="083341E9"/>
    <w:rsid w:val="0833424E"/>
    <w:rsid w:val="083342C3"/>
    <w:rsid w:val="0833432E"/>
    <w:rsid w:val="083344F0"/>
    <w:rsid w:val="08334512"/>
    <w:rsid w:val="08334586"/>
    <w:rsid w:val="083347B8"/>
    <w:rsid w:val="083347C9"/>
    <w:rsid w:val="0833487C"/>
    <w:rsid w:val="0833494F"/>
    <w:rsid w:val="0833496F"/>
    <w:rsid w:val="0833499F"/>
    <w:rsid w:val="08334A12"/>
    <w:rsid w:val="08334A70"/>
    <w:rsid w:val="08334B16"/>
    <w:rsid w:val="08334B40"/>
    <w:rsid w:val="08334B71"/>
    <w:rsid w:val="08334BEC"/>
    <w:rsid w:val="08334C23"/>
    <w:rsid w:val="08334C9E"/>
    <w:rsid w:val="08334CCB"/>
    <w:rsid w:val="08334D26"/>
    <w:rsid w:val="08334D44"/>
    <w:rsid w:val="08334D71"/>
    <w:rsid w:val="08334F4E"/>
    <w:rsid w:val="08334F64"/>
    <w:rsid w:val="08334F6D"/>
    <w:rsid w:val="08334FF0"/>
    <w:rsid w:val="08335031"/>
    <w:rsid w:val="08335050"/>
    <w:rsid w:val="0833507B"/>
    <w:rsid w:val="0833513F"/>
    <w:rsid w:val="08335261"/>
    <w:rsid w:val="08335397"/>
    <w:rsid w:val="0833546D"/>
    <w:rsid w:val="0833547F"/>
    <w:rsid w:val="08335501"/>
    <w:rsid w:val="0833555E"/>
    <w:rsid w:val="083356A7"/>
    <w:rsid w:val="08335706"/>
    <w:rsid w:val="0833572D"/>
    <w:rsid w:val="08335790"/>
    <w:rsid w:val="083357CF"/>
    <w:rsid w:val="083357D3"/>
    <w:rsid w:val="083357E7"/>
    <w:rsid w:val="0833583A"/>
    <w:rsid w:val="083358A7"/>
    <w:rsid w:val="08335912"/>
    <w:rsid w:val="08335916"/>
    <w:rsid w:val="08335945"/>
    <w:rsid w:val="083359CD"/>
    <w:rsid w:val="08335AC5"/>
    <w:rsid w:val="08335B2C"/>
    <w:rsid w:val="08335D09"/>
    <w:rsid w:val="08335DEA"/>
    <w:rsid w:val="08335E07"/>
    <w:rsid w:val="08335EE6"/>
    <w:rsid w:val="08335F23"/>
    <w:rsid w:val="08335FCB"/>
    <w:rsid w:val="08335FF9"/>
    <w:rsid w:val="08336033"/>
    <w:rsid w:val="083360A9"/>
    <w:rsid w:val="08336119"/>
    <w:rsid w:val="0833614E"/>
    <w:rsid w:val="08336197"/>
    <w:rsid w:val="08336201"/>
    <w:rsid w:val="08336274"/>
    <w:rsid w:val="083362B4"/>
    <w:rsid w:val="0833636A"/>
    <w:rsid w:val="08336390"/>
    <w:rsid w:val="0833639E"/>
    <w:rsid w:val="08336437"/>
    <w:rsid w:val="08336486"/>
    <w:rsid w:val="083364F9"/>
    <w:rsid w:val="0833650D"/>
    <w:rsid w:val="08336608"/>
    <w:rsid w:val="083366F7"/>
    <w:rsid w:val="08336838"/>
    <w:rsid w:val="08336894"/>
    <w:rsid w:val="083368F4"/>
    <w:rsid w:val="083368F6"/>
    <w:rsid w:val="0833696B"/>
    <w:rsid w:val="08336A7F"/>
    <w:rsid w:val="08336B1D"/>
    <w:rsid w:val="08336C20"/>
    <w:rsid w:val="08336C9D"/>
    <w:rsid w:val="08336CFF"/>
    <w:rsid w:val="08336D6D"/>
    <w:rsid w:val="08336DDC"/>
    <w:rsid w:val="08336DDD"/>
    <w:rsid w:val="08336F3C"/>
    <w:rsid w:val="08336F78"/>
    <w:rsid w:val="083371EC"/>
    <w:rsid w:val="0833721D"/>
    <w:rsid w:val="0833723D"/>
    <w:rsid w:val="0833724D"/>
    <w:rsid w:val="083372D4"/>
    <w:rsid w:val="08337362"/>
    <w:rsid w:val="0833747F"/>
    <w:rsid w:val="08337491"/>
    <w:rsid w:val="083374C2"/>
    <w:rsid w:val="08337507"/>
    <w:rsid w:val="0833753B"/>
    <w:rsid w:val="08337592"/>
    <w:rsid w:val="083375DE"/>
    <w:rsid w:val="0833766F"/>
    <w:rsid w:val="08337742"/>
    <w:rsid w:val="08337959"/>
    <w:rsid w:val="08337964"/>
    <w:rsid w:val="083379C1"/>
    <w:rsid w:val="083379E5"/>
    <w:rsid w:val="08337A22"/>
    <w:rsid w:val="08337AB2"/>
    <w:rsid w:val="08337AF5"/>
    <w:rsid w:val="08337B35"/>
    <w:rsid w:val="08337B80"/>
    <w:rsid w:val="08337B97"/>
    <w:rsid w:val="08337C62"/>
    <w:rsid w:val="08337D38"/>
    <w:rsid w:val="08337DDD"/>
    <w:rsid w:val="08337E09"/>
    <w:rsid w:val="08337E26"/>
    <w:rsid w:val="08337ECD"/>
    <w:rsid w:val="08337F1E"/>
    <w:rsid w:val="08337F75"/>
    <w:rsid w:val="08337FF9"/>
    <w:rsid w:val="0834001E"/>
    <w:rsid w:val="083400C2"/>
    <w:rsid w:val="083401CF"/>
    <w:rsid w:val="083403DF"/>
    <w:rsid w:val="083403F3"/>
    <w:rsid w:val="08340456"/>
    <w:rsid w:val="08340457"/>
    <w:rsid w:val="08340547"/>
    <w:rsid w:val="08340580"/>
    <w:rsid w:val="08340638"/>
    <w:rsid w:val="0834068C"/>
    <w:rsid w:val="0834069C"/>
    <w:rsid w:val="0834077A"/>
    <w:rsid w:val="0834078C"/>
    <w:rsid w:val="083407CC"/>
    <w:rsid w:val="08340851"/>
    <w:rsid w:val="083409C7"/>
    <w:rsid w:val="08340A13"/>
    <w:rsid w:val="08340AF3"/>
    <w:rsid w:val="08340B06"/>
    <w:rsid w:val="08340B2A"/>
    <w:rsid w:val="08340B2F"/>
    <w:rsid w:val="08340BEE"/>
    <w:rsid w:val="08340CCE"/>
    <w:rsid w:val="08340CF8"/>
    <w:rsid w:val="08340D27"/>
    <w:rsid w:val="08340D59"/>
    <w:rsid w:val="08340DEB"/>
    <w:rsid w:val="08340E2B"/>
    <w:rsid w:val="08340E61"/>
    <w:rsid w:val="08340EAD"/>
    <w:rsid w:val="08340F06"/>
    <w:rsid w:val="08341035"/>
    <w:rsid w:val="0834106E"/>
    <w:rsid w:val="083410B5"/>
    <w:rsid w:val="08341130"/>
    <w:rsid w:val="08341132"/>
    <w:rsid w:val="083411D1"/>
    <w:rsid w:val="0834121B"/>
    <w:rsid w:val="08341305"/>
    <w:rsid w:val="08341313"/>
    <w:rsid w:val="08341524"/>
    <w:rsid w:val="08341550"/>
    <w:rsid w:val="0834167A"/>
    <w:rsid w:val="0834167B"/>
    <w:rsid w:val="08341684"/>
    <w:rsid w:val="08341730"/>
    <w:rsid w:val="08341772"/>
    <w:rsid w:val="083417E5"/>
    <w:rsid w:val="08341887"/>
    <w:rsid w:val="083418B3"/>
    <w:rsid w:val="083419DA"/>
    <w:rsid w:val="08341A1F"/>
    <w:rsid w:val="08341AF3"/>
    <w:rsid w:val="08341B2D"/>
    <w:rsid w:val="08341BB0"/>
    <w:rsid w:val="08341C5C"/>
    <w:rsid w:val="08341C6C"/>
    <w:rsid w:val="08341C76"/>
    <w:rsid w:val="08341CBD"/>
    <w:rsid w:val="08341D46"/>
    <w:rsid w:val="08341D4A"/>
    <w:rsid w:val="08341D52"/>
    <w:rsid w:val="08341D6A"/>
    <w:rsid w:val="08341E4E"/>
    <w:rsid w:val="08341F74"/>
    <w:rsid w:val="08341FA4"/>
    <w:rsid w:val="08341FEA"/>
    <w:rsid w:val="08342011"/>
    <w:rsid w:val="08342048"/>
    <w:rsid w:val="08342084"/>
    <w:rsid w:val="08342099"/>
    <w:rsid w:val="083420DC"/>
    <w:rsid w:val="083420E4"/>
    <w:rsid w:val="08342168"/>
    <w:rsid w:val="08342218"/>
    <w:rsid w:val="0834229E"/>
    <w:rsid w:val="083422FA"/>
    <w:rsid w:val="08342304"/>
    <w:rsid w:val="0834239E"/>
    <w:rsid w:val="0834244F"/>
    <w:rsid w:val="08342546"/>
    <w:rsid w:val="0834256C"/>
    <w:rsid w:val="0834256F"/>
    <w:rsid w:val="0834257E"/>
    <w:rsid w:val="08342580"/>
    <w:rsid w:val="08342733"/>
    <w:rsid w:val="083427AB"/>
    <w:rsid w:val="083427B2"/>
    <w:rsid w:val="08342827"/>
    <w:rsid w:val="08342837"/>
    <w:rsid w:val="083428A9"/>
    <w:rsid w:val="083428E0"/>
    <w:rsid w:val="083429BA"/>
    <w:rsid w:val="08342A3A"/>
    <w:rsid w:val="08342BB5"/>
    <w:rsid w:val="08342BDC"/>
    <w:rsid w:val="08342C42"/>
    <w:rsid w:val="08342C60"/>
    <w:rsid w:val="08342CD2"/>
    <w:rsid w:val="08342D3C"/>
    <w:rsid w:val="08342D44"/>
    <w:rsid w:val="08342D6B"/>
    <w:rsid w:val="08342D8B"/>
    <w:rsid w:val="08342DA6"/>
    <w:rsid w:val="08342DEC"/>
    <w:rsid w:val="08342EF6"/>
    <w:rsid w:val="08342FC8"/>
    <w:rsid w:val="0834309C"/>
    <w:rsid w:val="0834312D"/>
    <w:rsid w:val="08343152"/>
    <w:rsid w:val="08343171"/>
    <w:rsid w:val="0834318B"/>
    <w:rsid w:val="083431B0"/>
    <w:rsid w:val="083431C5"/>
    <w:rsid w:val="0834321A"/>
    <w:rsid w:val="0834322A"/>
    <w:rsid w:val="08343313"/>
    <w:rsid w:val="0834336C"/>
    <w:rsid w:val="08343382"/>
    <w:rsid w:val="083433BE"/>
    <w:rsid w:val="0834344A"/>
    <w:rsid w:val="0834349C"/>
    <w:rsid w:val="083434E7"/>
    <w:rsid w:val="08343607"/>
    <w:rsid w:val="0834366A"/>
    <w:rsid w:val="0834370F"/>
    <w:rsid w:val="083438BC"/>
    <w:rsid w:val="083438D7"/>
    <w:rsid w:val="083438DB"/>
    <w:rsid w:val="08343901"/>
    <w:rsid w:val="08343905"/>
    <w:rsid w:val="08343932"/>
    <w:rsid w:val="0834393B"/>
    <w:rsid w:val="08343974"/>
    <w:rsid w:val="08343A22"/>
    <w:rsid w:val="08343A8D"/>
    <w:rsid w:val="08343BDD"/>
    <w:rsid w:val="08343CC6"/>
    <w:rsid w:val="08343D39"/>
    <w:rsid w:val="08343DA3"/>
    <w:rsid w:val="08343E2C"/>
    <w:rsid w:val="08343F78"/>
    <w:rsid w:val="08343F9C"/>
    <w:rsid w:val="08344089"/>
    <w:rsid w:val="083440FA"/>
    <w:rsid w:val="08344199"/>
    <w:rsid w:val="0834419B"/>
    <w:rsid w:val="083441A5"/>
    <w:rsid w:val="083441CA"/>
    <w:rsid w:val="083442E8"/>
    <w:rsid w:val="083442FE"/>
    <w:rsid w:val="08344407"/>
    <w:rsid w:val="0834446F"/>
    <w:rsid w:val="083445C3"/>
    <w:rsid w:val="083445D6"/>
    <w:rsid w:val="083445FF"/>
    <w:rsid w:val="08344635"/>
    <w:rsid w:val="08344690"/>
    <w:rsid w:val="0834474E"/>
    <w:rsid w:val="08344783"/>
    <w:rsid w:val="08344798"/>
    <w:rsid w:val="08344856"/>
    <w:rsid w:val="08344876"/>
    <w:rsid w:val="083448A3"/>
    <w:rsid w:val="083448FC"/>
    <w:rsid w:val="08344924"/>
    <w:rsid w:val="08344A64"/>
    <w:rsid w:val="08344A72"/>
    <w:rsid w:val="08344AF1"/>
    <w:rsid w:val="08344C34"/>
    <w:rsid w:val="08344CB1"/>
    <w:rsid w:val="08344CCA"/>
    <w:rsid w:val="08344D03"/>
    <w:rsid w:val="08344D37"/>
    <w:rsid w:val="08344D3C"/>
    <w:rsid w:val="08344E26"/>
    <w:rsid w:val="08344E2C"/>
    <w:rsid w:val="08344F61"/>
    <w:rsid w:val="08344F65"/>
    <w:rsid w:val="08344F72"/>
    <w:rsid w:val="08344FB8"/>
    <w:rsid w:val="08345039"/>
    <w:rsid w:val="08345054"/>
    <w:rsid w:val="08345119"/>
    <w:rsid w:val="083451BF"/>
    <w:rsid w:val="08345228"/>
    <w:rsid w:val="08345237"/>
    <w:rsid w:val="08345312"/>
    <w:rsid w:val="08345329"/>
    <w:rsid w:val="08345338"/>
    <w:rsid w:val="0834542E"/>
    <w:rsid w:val="0834544F"/>
    <w:rsid w:val="0834548F"/>
    <w:rsid w:val="083454C0"/>
    <w:rsid w:val="083454C8"/>
    <w:rsid w:val="083454EC"/>
    <w:rsid w:val="083454F6"/>
    <w:rsid w:val="083454FB"/>
    <w:rsid w:val="08345634"/>
    <w:rsid w:val="08345665"/>
    <w:rsid w:val="08345676"/>
    <w:rsid w:val="08345718"/>
    <w:rsid w:val="0834580B"/>
    <w:rsid w:val="083458B0"/>
    <w:rsid w:val="083458D6"/>
    <w:rsid w:val="08345907"/>
    <w:rsid w:val="0834594B"/>
    <w:rsid w:val="0834596E"/>
    <w:rsid w:val="0834599F"/>
    <w:rsid w:val="083459C7"/>
    <w:rsid w:val="08345A06"/>
    <w:rsid w:val="08345AA0"/>
    <w:rsid w:val="08345AC9"/>
    <w:rsid w:val="08345AE6"/>
    <w:rsid w:val="08345B33"/>
    <w:rsid w:val="08345BD6"/>
    <w:rsid w:val="08345CD4"/>
    <w:rsid w:val="08345D74"/>
    <w:rsid w:val="08345E47"/>
    <w:rsid w:val="08345F03"/>
    <w:rsid w:val="08345FCC"/>
    <w:rsid w:val="083460F4"/>
    <w:rsid w:val="08346103"/>
    <w:rsid w:val="0834611C"/>
    <w:rsid w:val="08346125"/>
    <w:rsid w:val="083461E4"/>
    <w:rsid w:val="0834620B"/>
    <w:rsid w:val="08346258"/>
    <w:rsid w:val="08346265"/>
    <w:rsid w:val="083462E1"/>
    <w:rsid w:val="0834632D"/>
    <w:rsid w:val="08346347"/>
    <w:rsid w:val="08346354"/>
    <w:rsid w:val="083463F3"/>
    <w:rsid w:val="083463FB"/>
    <w:rsid w:val="08346494"/>
    <w:rsid w:val="083464F1"/>
    <w:rsid w:val="08346506"/>
    <w:rsid w:val="0834657C"/>
    <w:rsid w:val="0834659B"/>
    <w:rsid w:val="083466C2"/>
    <w:rsid w:val="08346803"/>
    <w:rsid w:val="083468CB"/>
    <w:rsid w:val="083468DF"/>
    <w:rsid w:val="0834690B"/>
    <w:rsid w:val="08346984"/>
    <w:rsid w:val="08346992"/>
    <w:rsid w:val="083469CD"/>
    <w:rsid w:val="08346ACF"/>
    <w:rsid w:val="08346B1B"/>
    <w:rsid w:val="08346B9B"/>
    <w:rsid w:val="08346C08"/>
    <w:rsid w:val="08346C2E"/>
    <w:rsid w:val="08346C9D"/>
    <w:rsid w:val="08346DD1"/>
    <w:rsid w:val="08346E67"/>
    <w:rsid w:val="08346E7A"/>
    <w:rsid w:val="08346FDF"/>
    <w:rsid w:val="08347036"/>
    <w:rsid w:val="08347077"/>
    <w:rsid w:val="083470C1"/>
    <w:rsid w:val="0834711A"/>
    <w:rsid w:val="0834717F"/>
    <w:rsid w:val="083471B3"/>
    <w:rsid w:val="083472B9"/>
    <w:rsid w:val="08347319"/>
    <w:rsid w:val="08347379"/>
    <w:rsid w:val="0834744B"/>
    <w:rsid w:val="083474C0"/>
    <w:rsid w:val="083474D2"/>
    <w:rsid w:val="083474E1"/>
    <w:rsid w:val="08347607"/>
    <w:rsid w:val="08347614"/>
    <w:rsid w:val="0834761A"/>
    <w:rsid w:val="08347662"/>
    <w:rsid w:val="08347712"/>
    <w:rsid w:val="08347766"/>
    <w:rsid w:val="08347768"/>
    <w:rsid w:val="083477AA"/>
    <w:rsid w:val="0834787D"/>
    <w:rsid w:val="083478C3"/>
    <w:rsid w:val="08347903"/>
    <w:rsid w:val="0834792F"/>
    <w:rsid w:val="08347937"/>
    <w:rsid w:val="08347A8D"/>
    <w:rsid w:val="08347AF8"/>
    <w:rsid w:val="08347B0B"/>
    <w:rsid w:val="08347B14"/>
    <w:rsid w:val="08347BAC"/>
    <w:rsid w:val="08347C47"/>
    <w:rsid w:val="08347C7E"/>
    <w:rsid w:val="08347CFA"/>
    <w:rsid w:val="08347D40"/>
    <w:rsid w:val="08347D83"/>
    <w:rsid w:val="08347E70"/>
    <w:rsid w:val="08347EAE"/>
    <w:rsid w:val="08347F13"/>
    <w:rsid w:val="08350016"/>
    <w:rsid w:val="0835003E"/>
    <w:rsid w:val="0835004A"/>
    <w:rsid w:val="08350088"/>
    <w:rsid w:val="083500A0"/>
    <w:rsid w:val="083500CE"/>
    <w:rsid w:val="0835014F"/>
    <w:rsid w:val="083501BB"/>
    <w:rsid w:val="0835028B"/>
    <w:rsid w:val="083503C0"/>
    <w:rsid w:val="083503CE"/>
    <w:rsid w:val="08350452"/>
    <w:rsid w:val="0835048A"/>
    <w:rsid w:val="083504D2"/>
    <w:rsid w:val="083504ED"/>
    <w:rsid w:val="083505BA"/>
    <w:rsid w:val="08350649"/>
    <w:rsid w:val="08350663"/>
    <w:rsid w:val="083507E9"/>
    <w:rsid w:val="08350869"/>
    <w:rsid w:val="08350877"/>
    <w:rsid w:val="083508A5"/>
    <w:rsid w:val="08350930"/>
    <w:rsid w:val="083509D4"/>
    <w:rsid w:val="083509FD"/>
    <w:rsid w:val="08350A1A"/>
    <w:rsid w:val="08350AB1"/>
    <w:rsid w:val="08350AFC"/>
    <w:rsid w:val="08350B14"/>
    <w:rsid w:val="08350B5B"/>
    <w:rsid w:val="08350B80"/>
    <w:rsid w:val="08350B9C"/>
    <w:rsid w:val="08350C2D"/>
    <w:rsid w:val="08350DE6"/>
    <w:rsid w:val="08350DE8"/>
    <w:rsid w:val="08350E19"/>
    <w:rsid w:val="08350E63"/>
    <w:rsid w:val="08350F8F"/>
    <w:rsid w:val="08351054"/>
    <w:rsid w:val="083511EE"/>
    <w:rsid w:val="0835122A"/>
    <w:rsid w:val="083512C0"/>
    <w:rsid w:val="083512FC"/>
    <w:rsid w:val="08351300"/>
    <w:rsid w:val="08351409"/>
    <w:rsid w:val="08351468"/>
    <w:rsid w:val="083514D7"/>
    <w:rsid w:val="0835156E"/>
    <w:rsid w:val="08351680"/>
    <w:rsid w:val="083517C5"/>
    <w:rsid w:val="083517C6"/>
    <w:rsid w:val="083517CD"/>
    <w:rsid w:val="08351856"/>
    <w:rsid w:val="08351900"/>
    <w:rsid w:val="0835194A"/>
    <w:rsid w:val="08351996"/>
    <w:rsid w:val="083519C7"/>
    <w:rsid w:val="08351A19"/>
    <w:rsid w:val="08351AE2"/>
    <w:rsid w:val="08351AEB"/>
    <w:rsid w:val="08351AED"/>
    <w:rsid w:val="08351B17"/>
    <w:rsid w:val="08351B49"/>
    <w:rsid w:val="08351B5D"/>
    <w:rsid w:val="08351BEC"/>
    <w:rsid w:val="08351C14"/>
    <w:rsid w:val="08351C84"/>
    <w:rsid w:val="08351CAD"/>
    <w:rsid w:val="08351CD5"/>
    <w:rsid w:val="08351CEC"/>
    <w:rsid w:val="08351D22"/>
    <w:rsid w:val="08351D2C"/>
    <w:rsid w:val="08351D3E"/>
    <w:rsid w:val="08351E00"/>
    <w:rsid w:val="08351ED9"/>
    <w:rsid w:val="08351EDC"/>
    <w:rsid w:val="083521EB"/>
    <w:rsid w:val="0835227F"/>
    <w:rsid w:val="0835229F"/>
    <w:rsid w:val="083522D4"/>
    <w:rsid w:val="08352354"/>
    <w:rsid w:val="083523B7"/>
    <w:rsid w:val="08352416"/>
    <w:rsid w:val="08352432"/>
    <w:rsid w:val="083524DE"/>
    <w:rsid w:val="083525A1"/>
    <w:rsid w:val="083525C7"/>
    <w:rsid w:val="083528B5"/>
    <w:rsid w:val="08352995"/>
    <w:rsid w:val="083529DF"/>
    <w:rsid w:val="083529FF"/>
    <w:rsid w:val="08352A46"/>
    <w:rsid w:val="08352A4A"/>
    <w:rsid w:val="08352A71"/>
    <w:rsid w:val="08352A74"/>
    <w:rsid w:val="08352A7D"/>
    <w:rsid w:val="08352A85"/>
    <w:rsid w:val="08352AA7"/>
    <w:rsid w:val="08352ACB"/>
    <w:rsid w:val="08352AD1"/>
    <w:rsid w:val="08352B10"/>
    <w:rsid w:val="08352B36"/>
    <w:rsid w:val="08352B84"/>
    <w:rsid w:val="08352CB2"/>
    <w:rsid w:val="08352D28"/>
    <w:rsid w:val="08352D42"/>
    <w:rsid w:val="08352E49"/>
    <w:rsid w:val="08352F3D"/>
    <w:rsid w:val="08352F41"/>
    <w:rsid w:val="0835300E"/>
    <w:rsid w:val="08353029"/>
    <w:rsid w:val="083530B8"/>
    <w:rsid w:val="08353165"/>
    <w:rsid w:val="0835319D"/>
    <w:rsid w:val="0835333D"/>
    <w:rsid w:val="083534D6"/>
    <w:rsid w:val="08353504"/>
    <w:rsid w:val="08353536"/>
    <w:rsid w:val="08353565"/>
    <w:rsid w:val="08353603"/>
    <w:rsid w:val="0835364E"/>
    <w:rsid w:val="08353680"/>
    <w:rsid w:val="08353692"/>
    <w:rsid w:val="083536F0"/>
    <w:rsid w:val="08353705"/>
    <w:rsid w:val="0835375D"/>
    <w:rsid w:val="083537A0"/>
    <w:rsid w:val="083538F4"/>
    <w:rsid w:val="08353949"/>
    <w:rsid w:val="08353954"/>
    <w:rsid w:val="08353970"/>
    <w:rsid w:val="08353A5E"/>
    <w:rsid w:val="08353B22"/>
    <w:rsid w:val="08353BD3"/>
    <w:rsid w:val="08353E1B"/>
    <w:rsid w:val="08353F6E"/>
    <w:rsid w:val="08353FC3"/>
    <w:rsid w:val="08353FF1"/>
    <w:rsid w:val="0835415C"/>
    <w:rsid w:val="0835415E"/>
    <w:rsid w:val="0835415F"/>
    <w:rsid w:val="08354221"/>
    <w:rsid w:val="0835423C"/>
    <w:rsid w:val="08354284"/>
    <w:rsid w:val="08354498"/>
    <w:rsid w:val="0835455B"/>
    <w:rsid w:val="083545D4"/>
    <w:rsid w:val="083546A9"/>
    <w:rsid w:val="0835470E"/>
    <w:rsid w:val="083547BC"/>
    <w:rsid w:val="0835480C"/>
    <w:rsid w:val="08354898"/>
    <w:rsid w:val="083548EF"/>
    <w:rsid w:val="083549D9"/>
    <w:rsid w:val="083549DD"/>
    <w:rsid w:val="08354AC6"/>
    <w:rsid w:val="08354BAE"/>
    <w:rsid w:val="08354BC0"/>
    <w:rsid w:val="08354D1B"/>
    <w:rsid w:val="08354D42"/>
    <w:rsid w:val="08354D90"/>
    <w:rsid w:val="08354E77"/>
    <w:rsid w:val="08354EB1"/>
    <w:rsid w:val="08354EC8"/>
    <w:rsid w:val="08354ED9"/>
    <w:rsid w:val="08354F42"/>
    <w:rsid w:val="08354FAD"/>
    <w:rsid w:val="08354FF8"/>
    <w:rsid w:val="08355019"/>
    <w:rsid w:val="083550E4"/>
    <w:rsid w:val="08355106"/>
    <w:rsid w:val="08355162"/>
    <w:rsid w:val="083552CD"/>
    <w:rsid w:val="08355313"/>
    <w:rsid w:val="08355332"/>
    <w:rsid w:val="08355348"/>
    <w:rsid w:val="08355355"/>
    <w:rsid w:val="083555CF"/>
    <w:rsid w:val="083556B2"/>
    <w:rsid w:val="083556F8"/>
    <w:rsid w:val="08355723"/>
    <w:rsid w:val="0835572C"/>
    <w:rsid w:val="083557DB"/>
    <w:rsid w:val="083558B8"/>
    <w:rsid w:val="083559B3"/>
    <w:rsid w:val="08355ADD"/>
    <w:rsid w:val="08355B71"/>
    <w:rsid w:val="08355BEC"/>
    <w:rsid w:val="08355BF1"/>
    <w:rsid w:val="08355C1F"/>
    <w:rsid w:val="08355C49"/>
    <w:rsid w:val="08355C59"/>
    <w:rsid w:val="08355C6A"/>
    <w:rsid w:val="08355C81"/>
    <w:rsid w:val="08355CFA"/>
    <w:rsid w:val="08355DE2"/>
    <w:rsid w:val="08355E76"/>
    <w:rsid w:val="08355EDE"/>
    <w:rsid w:val="08355FB3"/>
    <w:rsid w:val="08356028"/>
    <w:rsid w:val="08356061"/>
    <w:rsid w:val="08356117"/>
    <w:rsid w:val="08356188"/>
    <w:rsid w:val="08356195"/>
    <w:rsid w:val="083562CC"/>
    <w:rsid w:val="0835630F"/>
    <w:rsid w:val="08356324"/>
    <w:rsid w:val="08356424"/>
    <w:rsid w:val="0835655E"/>
    <w:rsid w:val="083565F7"/>
    <w:rsid w:val="08356636"/>
    <w:rsid w:val="08356776"/>
    <w:rsid w:val="0835688A"/>
    <w:rsid w:val="083568C9"/>
    <w:rsid w:val="08356935"/>
    <w:rsid w:val="08356A29"/>
    <w:rsid w:val="08356A35"/>
    <w:rsid w:val="08356AAA"/>
    <w:rsid w:val="08356B02"/>
    <w:rsid w:val="08356CA4"/>
    <w:rsid w:val="08356CFB"/>
    <w:rsid w:val="08356DC1"/>
    <w:rsid w:val="08356E37"/>
    <w:rsid w:val="08356E51"/>
    <w:rsid w:val="08356F98"/>
    <w:rsid w:val="08356FAA"/>
    <w:rsid w:val="08357158"/>
    <w:rsid w:val="08357178"/>
    <w:rsid w:val="0835717B"/>
    <w:rsid w:val="08357245"/>
    <w:rsid w:val="08357390"/>
    <w:rsid w:val="08357405"/>
    <w:rsid w:val="0835742B"/>
    <w:rsid w:val="0835745E"/>
    <w:rsid w:val="08357488"/>
    <w:rsid w:val="08357555"/>
    <w:rsid w:val="08357604"/>
    <w:rsid w:val="0835761C"/>
    <w:rsid w:val="08357624"/>
    <w:rsid w:val="08357686"/>
    <w:rsid w:val="083577A4"/>
    <w:rsid w:val="083577D4"/>
    <w:rsid w:val="083577FF"/>
    <w:rsid w:val="0835787C"/>
    <w:rsid w:val="083578FC"/>
    <w:rsid w:val="08357994"/>
    <w:rsid w:val="08357999"/>
    <w:rsid w:val="083579A3"/>
    <w:rsid w:val="083579E0"/>
    <w:rsid w:val="08357A13"/>
    <w:rsid w:val="08357A4E"/>
    <w:rsid w:val="08357A8F"/>
    <w:rsid w:val="08357AE3"/>
    <w:rsid w:val="08357B2F"/>
    <w:rsid w:val="08357B94"/>
    <w:rsid w:val="08357BC3"/>
    <w:rsid w:val="08357C5A"/>
    <w:rsid w:val="08357CB1"/>
    <w:rsid w:val="08357CE6"/>
    <w:rsid w:val="08357DB1"/>
    <w:rsid w:val="08357E66"/>
    <w:rsid w:val="08357EF3"/>
    <w:rsid w:val="08357F19"/>
    <w:rsid w:val="08357F4D"/>
    <w:rsid w:val="08357FC5"/>
    <w:rsid w:val="08357FE5"/>
    <w:rsid w:val="0836009B"/>
    <w:rsid w:val="08360239"/>
    <w:rsid w:val="08360316"/>
    <w:rsid w:val="08360383"/>
    <w:rsid w:val="08360385"/>
    <w:rsid w:val="083603FA"/>
    <w:rsid w:val="08360507"/>
    <w:rsid w:val="083605F4"/>
    <w:rsid w:val="083605FA"/>
    <w:rsid w:val="0836060D"/>
    <w:rsid w:val="08360659"/>
    <w:rsid w:val="083606BC"/>
    <w:rsid w:val="08360715"/>
    <w:rsid w:val="08360798"/>
    <w:rsid w:val="083607B9"/>
    <w:rsid w:val="083607C1"/>
    <w:rsid w:val="0836083B"/>
    <w:rsid w:val="08360952"/>
    <w:rsid w:val="083609EF"/>
    <w:rsid w:val="08360A23"/>
    <w:rsid w:val="08360A58"/>
    <w:rsid w:val="08360A70"/>
    <w:rsid w:val="08360A98"/>
    <w:rsid w:val="08360AF1"/>
    <w:rsid w:val="08360C99"/>
    <w:rsid w:val="08360DC7"/>
    <w:rsid w:val="08360DCC"/>
    <w:rsid w:val="08360EF7"/>
    <w:rsid w:val="08360FC0"/>
    <w:rsid w:val="08360FC5"/>
    <w:rsid w:val="083610D8"/>
    <w:rsid w:val="083610FE"/>
    <w:rsid w:val="08361157"/>
    <w:rsid w:val="083611E5"/>
    <w:rsid w:val="08361258"/>
    <w:rsid w:val="08361288"/>
    <w:rsid w:val="0836141C"/>
    <w:rsid w:val="083615B0"/>
    <w:rsid w:val="083615DD"/>
    <w:rsid w:val="083615FA"/>
    <w:rsid w:val="08361640"/>
    <w:rsid w:val="08361692"/>
    <w:rsid w:val="08361693"/>
    <w:rsid w:val="083616C7"/>
    <w:rsid w:val="08361730"/>
    <w:rsid w:val="083617DD"/>
    <w:rsid w:val="08361839"/>
    <w:rsid w:val="083618B8"/>
    <w:rsid w:val="083619B5"/>
    <w:rsid w:val="08361A0C"/>
    <w:rsid w:val="08361A51"/>
    <w:rsid w:val="08361B38"/>
    <w:rsid w:val="08361BC3"/>
    <w:rsid w:val="08361BD7"/>
    <w:rsid w:val="08361C1C"/>
    <w:rsid w:val="08361C60"/>
    <w:rsid w:val="08361D0F"/>
    <w:rsid w:val="08361E49"/>
    <w:rsid w:val="08361E66"/>
    <w:rsid w:val="08361F7E"/>
    <w:rsid w:val="08362061"/>
    <w:rsid w:val="08362188"/>
    <w:rsid w:val="083621DA"/>
    <w:rsid w:val="08362265"/>
    <w:rsid w:val="08362354"/>
    <w:rsid w:val="08362392"/>
    <w:rsid w:val="083623E9"/>
    <w:rsid w:val="083623EC"/>
    <w:rsid w:val="08362404"/>
    <w:rsid w:val="0836242E"/>
    <w:rsid w:val="08362486"/>
    <w:rsid w:val="083624E8"/>
    <w:rsid w:val="08362569"/>
    <w:rsid w:val="083625E4"/>
    <w:rsid w:val="083625EB"/>
    <w:rsid w:val="08362629"/>
    <w:rsid w:val="0836265F"/>
    <w:rsid w:val="083626D0"/>
    <w:rsid w:val="0836279C"/>
    <w:rsid w:val="083627F1"/>
    <w:rsid w:val="0836280B"/>
    <w:rsid w:val="08362838"/>
    <w:rsid w:val="08362849"/>
    <w:rsid w:val="08362886"/>
    <w:rsid w:val="083628B6"/>
    <w:rsid w:val="083628BF"/>
    <w:rsid w:val="083628DC"/>
    <w:rsid w:val="08362976"/>
    <w:rsid w:val="08362996"/>
    <w:rsid w:val="0836299B"/>
    <w:rsid w:val="08362A22"/>
    <w:rsid w:val="08362A26"/>
    <w:rsid w:val="08362A97"/>
    <w:rsid w:val="08362AC4"/>
    <w:rsid w:val="08362AE3"/>
    <w:rsid w:val="08362AEE"/>
    <w:rsid w:val="08362BB6"/>
    <w:rsid w:val="08362C1B"/>
    <w:rsid w:val="08362C22"/>
    <w:rsid w:val="08362C8C"/>
    <w:rsid w:val="08362C9F"/>
    <w:rsid w:val="08362D86"/>
    <w:rsid w:val="08362D94"/>
    <w:rsid w:val="08362EBE"/>
    <w:rsid w:val="08362F5A"/>
    <w:rsid w:val="08362F62"/>
    <w:rsid w:val="083630D7"/>
    <w:rsid w:val="08363127"/>
    <w:rsid w:val="08363198"/>
    <w:rsid w:val="0836322D"/>
    <w:rsid w:val="08363301"/>
    <w:rsid w:val="0836333B"/>
    <w:rsid w:val="0836341A"/>
    <w:rsid w:val="08363444"/>
    <w:rsid w:val="0836344D"/>
    <w:rsid w:val="08363488"/>
    <w:rsid w:val="0836348F"/>
    <w:rsid w:val="083634B8"/>
    <w:rsid w:val="0836350D"/>
    <w:rsid w:val="08363570"/>
    <w:rsid w:val="08363574"/>
    <w:rsid w:val="08363612"/>
    <w:rsid w:val="0836364C"/>
    <w:rsid w:val="0836366F"/>
    <w:rsid w:val="083636AE"/>
    <w:rsid w:val="083636FE"/>
    <w:rsid w:val="08363718"/>
    <w:rsid w:val="08363728"/>
    <w:rsid w:val="0836373B"/>
    <w:rsid w:val="0836374C"/>
    <w:rsid w:val="083637A3"/>
    <w:rsid w:val="083637E5"/>
    <w:rsid w:val="08363832"/>
    <w:rsid w:val="08363837"/>
    <w:rsid w:val="083638BF"/>
    <w:rsid w:val="0836390F"/>
    <w:rsid w:val="08363960"/>
    <w:rsid w:val="083639CF"/>
    <w:rsid w:val="08363BAB"/>
    <w:rsid w:val="08363BD0"/>
    <w:rsid w:val="08363BF2"/>
    <w:rsid w:val="08363C0C"/>
    <w:rsid w:val="08363CF5"/>
    <w:rsid w:val="08363D1A"/>
    <w:rsid w:val="08363E0C"/>
    <w:rsid w:val="08363E11"/>
    <w:rsid w:val="08363E71"/>
    <w:rsid w:val="08363E73"/>
    <w:rsid w:val="08363F08"/>
    <w:rsid w:val="08363F17"/>
    <w:rsid w:val="08363FE6"/>
    <w:rsid w:val="083640A7"/>
    <w:rsid w:val="083640BC"/>
    <w:rsid w:val="08364107"/>
    <w:rsid w:val="083641BD"/>
    <w:rsid w:val="083641D3"/>
    <w:rsid w:val="083642FC"/>
    <w:rsid w:val="08364300"/>
    <w:rsid w:val="08364349"/>
    <w:rsid w:val="08364355"/>
    <w:rsid w:val="0836442C"/>
    <w:rsid w:val="08364504"/>
    <w:rsid w:val="08364511"/>
    <w:rsid w:val="08364574"/>
    <w:rsid w:val="083645F6"/>
    <w:rsid w:val="083646D3"/>
    <w:rsid w:val="08364737"/>
    <w:rsid w:val="0836479D"/>
    <w:rsid w:val="083647E4"/>
    <w:rsid w:val="083647FD"/>
    <w:rsid w:val="08364866"/>
    <w:rsid w:val="083649A3"/>
    <w:rsid w:val="08364A47"/>
    <w:rsid w:val="08364B40"/>
    <w:rsid w:val="08364B47"/>
    <w:rsid w:val="08364B4D"/>
    <w:rsid w:val="08364B87"/>
    <w:rsid w:val="08364C9A"/>
    <w:rsid w:val="08364D7A"/>
    <w:rsid w:val="08364E07"/>
    <w:rsid w:val="08364E3B"/>
    <w:rsid w:val="08364E6A"/>
    <w:rsid w:val="08364EAE"/>
    <w:rsid w:val="08364ED9"/>
    <w:rsid w:val="08364F97"/>
    <w:rsid w:val="08364FF7"/>
    <w:rsid w:val="0836500A"/>
    <w:rsid w:val="0836505B"/>
    <w:rsid w:val="08365068"/>
    <w:rsid w:val="0836508E"/>
    <w:rsid w:val="08365100"/>
    <w:rsid w:val="083651F4"/>
    <w:rsid w:val="08365200"/>
    <w:rsid w:val="0836520A"/>
    <w:rsid w:val="0836526A"/>
    <w:rsid w:val="08365287"/>
    <w:rsid w:val="0836529B"/>
    <w:rsid w:val="083652A0"/>
    <w:rsid w:val="0836534D"/>
    <w:rsid w:val="0836535A"/>
    <w:rsid w:val="08365393"/>
    <w:rsid w:val="08365604"/>
    <w:rsid w:val="08365750"/>
    <w:rsid w:val="08365764"/>
    <w:rsid w:val="083657DB"/>
    <w:rsid w:val="08365829"/>
    <w:rsid w:val="08365878"/>
    <w:rsid w:val="083658C3"/>
    <w:rsid w:val="0836592A"/>
    <w:rsid w:val="08365950"/>
    <w:rsid w:val="08365959"/>
    <w:rsid w:val="083659DF"/>
    <w:rsid w:val="08365A01"/>
    <w:rsid w:val="08365A81"/>
    <w:rsid w:val="08365AAC"/>
    <w:rsid w:val="08365B36"/>
    <w:rsid w:val="08365B3D"/>
    <w:rsid w:val="08365B67"/>
    <w:rsid w:val="08365BC5"/>
    <w:rsid w:val="08365C2D"/>
    <w:rsid w:val="08365CD5"/>
    <w:rsid w:val="08365CFA"/>
    <w:rsid w:val="08365DCB"/>
    <w:rsid w:val="08365DDE"/>
    <w:rsid w:val="08365F9E"/>
    <w:rsid w:val="08365F9F"/>
    <w:rsid w:val="08365FAA"/>
    <w:rsid w:val="08365FC5"/>
    <w:rsid w:val="08365FED"/>
    <w:rsid w:val="083660D0"/>
    <w:rsid w:val="08366103"/>
    <w:rsid w:val="08366149"/>
    <w:rsid w:val="083661A1"/>
    <w:rsid w:val="083662CC"/>
    <w:rsid w:val="0836632D"/>
    <w:rsid w:val="08366429"/>
    <w:rsid w:val="0836646C"/>
    <w:rsid w:val="08366472"/>
    <w:rsid w:val="0836655A"/>
    <w:rsid w:val="0836656B"/>
    <w:rsid w:val="0836657B"/>
    <w:rsid w:val="083665AE"/>
    <w:rsid w:val="0836665F"/>
    <w:rsid w:val="083667C1"/>
    <w:rsid w:val="083667ED"/>
    <w:rsid w:val="0836682E"/>
    <w:rsid w:val="0836689D"/>
    <w:rsid w:val="083668CA"/>
    <w:rsid w:val="083668E5"/>
    <w:rsid w:val="083669AE"/>
    <w:rsid w:val="083669D9"/>
    <w:rsid w:val="08366A28"/>
    <w:rsid w:val="08366A2A"/>
    <w:rsid w:val="08366A34"/>
    <w:rsid w:val="08366A51"/>
    <w:rsid w:val="08366A6B"/>
    <w:rsid w:val="08366AF7"/>
    <w:rsid w:val="08366B46"/>
    <w:rsid w:val="08366B89"/>
    <w:rsid w:val="08366D00"/>
    <w:rsid w:val="08366DD2"/>
    <w:rsid w:val="08366DF3"/>
    <w:rsid w:val="08366E32"/>
    <w:rsid w:val="08366E5E"/>
    <w:rsid w:val="08366EB7"/>
    <w:rsid w:val="08366F8E"/>
    <w:rsid w:val="08366FB0"/>
    <w:rsid w:val="0836708B"/>
    <w:rsid w:val="08367141"/>
    <w:rsid w:val="0836722D"/>
    <w:rsid w:val="0836734B"/>
    <w:rsid w:val="08367372"/>
    <w:rsid w:val="083673B9"/>
    <w:rsid w:val="083674DD"/>
    <w:rsid w:val="08367529"/>
    <w:rsid w:val="08367548"/>
    <w:rsid w:val="0836757B"/>
    <w:rsid w:val="08367691"/>
    <w:rsid w:val="083676AF"/>
    <w:rsid w:val="08367702"/>
    <w:rsid w:val="08367779"/>
    <w:rsid w:val="083677BF"/>
    <w:rsid w:val="083678D2"/>
    <w:rsid w:val="083678E0"/>
    <w:rsid w:val="0836794F"/>
    <w:rsid w:val="08367992"/>
    <w:rsid w:val="0836799C"/>
    <w:rsid w:val="08367A08"/>
    <w:rsid w:val="08367AB2"/>
    <w:rsid w:val="08367B0F"/>
    <w:rsid w:val="08367B53"/>
    <w:rsid w:val="08367B7A"/>
    <w:rsid w:val="08367C08"/>
    <w:rsid w:val="08367CE6"/>
    <w:rsid w:val="08367D37"/>
    <w:rsid w:val="08367E14"/>
    <w:rsid w:val="08367F26"/>
    <w:rsid w:val="08367F38"/>
    <w:rsid w:val="08367F90"/>
    <w:rsid w:val="08367FE3"/>
    <w:rsid w:val="08370018"/>
    <w:rsid w:val="0837015A"/>
    <w:rsid w:val="083701A6"/>
    <w:rsid w:val="08370220"/>
    <w:rsid w:val="0837027D"/>
    <w:rsid w:val="083702CA"/>
    <w:rsid w:val="083703F4"/>
    <w:rsid w:val="083704FF"/>
    <w:rsid w:val="0837063E"/>
    <w:rsid w:val="08370686"/>
    <w:rsid w:val="0837073F"/>
    <w:rsid w:val="08370812"/>
    <w:rsid w:val="0837083D"/>
    <w:rsid w:val="08370853"/>
    <w:rsid w:val="0837088D"/>
    <w:rsid w:val="08370A73"/>
    <w:rsid w:val="08370AA9"/>
    <w:rsid w:val="08370AF8"/>
    <w:rsid w:val="08370BAE"/>
    <w:rsid w:val="08370BB0"/>
    <w:rsid w:val="08370C62"/>
    <w:rsid w:val="08370C85"/>
    <w:rsid w:val="08370C90"/>
    <w:rsid w:val="08370CA0"/>
    <w:rsid w:val="08370DF0"/>
    <w:rsid w:val="08370E1F"/>
    <w:rsid w:val="08370EF5"/>
    <w:rsid w:val="08370FDB"/>
    <w:rsid w:val="083710CB"/>
    <w:rsid w:val="083711BF"/>
    <w:rsid w:val="08371203"/>
    <w:rsid w:val="083712D5"/>
    <w:rsid w:val="083712E6"/>
    <w:rsid w:val="083712EF"/>
    <w:rsid w:val="083712FC"/>
    <w:rsid w:val="08371319"/>
    <w:rsid w:val="0837134D"/>
    <w:rsid w:val="0837135B"/>
    <w:rsid w:val="0837138F"/>
    <w:rsid w:val="083713D8"/>
    <w:rsid w:val="083713E1"/>
    <w:rsid w:val="083713F4"/>
    <w:rsid w:val="08371413"/>
    <w:rsid w:val="083714B5"/>
    <w:rsid w:val="0837155B"/>
    <w:rsid w:val="08371567"/>
    <w:rsid w:val="08371615"/>
    <w:rsid w:val="08371693"/>
    <w:rsid w:val="083716C5"/>
    <w:rsid w:val="083716D2"/>
    <w:rsid w:val="083716EE"/>
    <w:rsid w:val="0837171C"/>
    <w:rsid w:val="08371767"/>
    <w:rsid w:val="0837177D"/>
    <w:rsid w:val="0837179A"/>
    <w:rsid w:val="083718EB"/>
    <w:rsid w:val="083719B2"/>
    <w:rsid w:val="083719C0"/>
    <w:rsid w:val="08371A39"/>
    <w:rsid w:val="08371A3A"/>
    <w:rsid w:val="08371A40"/>
    <w:rsid w:val="08371B03"/>
    <w:rsid w:val="08371BCD"/>
    <w:rsid w:val="08371C2B"/>
    <w:rsid w:val="08371DB0"/>
    <w:rsid w:val="08371E26"/>
    <w:rsid w:val="08371EAA"/>
    <w:rsid w:val="08371FB8"/>
    <w:rsid w:val="08372003"/>
    <w:rsid w:val="08372145"/>
    <w:rsid w:val="083721CE"/>
    <w:rsid w:val="08372322"/>
    <w:rsid w:val="08372368"/>
    <w:rsid w:val="083723FB"/>
    <w:rsid w:val="08372415"/>
    <w:rsid w:val="0837243E"/>
    <w:rsid w:val="083724AA"/>
    <w:rsid w:val="083724D2"/>
    <w:rsid w:val="0837257F"/>
    <w:rsid w:val="083725F2"/>
    <w:rsid w:val="0837264E"/>
    <w:rsid w:val="0837269F"/>
    <w:rsid w:val="0837278D"/>
    <w:rsid w:val="083727E8"/>
    <w:rsid w:val="083728C1"/>
    <w:rsid w:val="083729B9"/>
    <w:rsid w:val="083729D6"/>
    <w:rsid w:val="08372ADD"/>
    <w:rsid w:val="08372AE8"/>
    <w:rsid w:val="08372B49"/>
    <w:rsid w:val="08372BE7"/>
    <w:rsid w:val="08372D20"/>
    <w:rsid w:val="08372E39"/>
    <w:rsid w:val="08372E3C"/>
    <w:rsid w:val="08372ECD"/>
    <w:rsid w:val="08372F5A"/>
    <w:rsid w:val="08372FD9"/>
    <w:rsid w:val="08373070"/>
    <w:rsid w:val="08373102"/>
    <w:rsid w:val="083731A3"/>
    <w:rsid w:val="08373312"/>
    <w:rsid w:val="08373346"/>
    <w:rsid w:val="083733FC"/>
    <w:rsid w:val="083735E8"/>
    <w:rsid w:val="0837360D"/>
    <w:rsid w:val="08373619"/>
    <w:rsid w:val="08373675"/>
    <w:rsid w:val="083736A4"/>
    <w:rsid w:val="083736B2"/>
    <w:rsid w:val="083736C7"/>
    <w:rsid w:val="0837389A"/>
    <w:rsid w:val="08373962"/>
    <w:rsid w:val="08373969"/>
    <w:rsid w:val="08373A0F"/>
    <w:rsid w:val="08373A75"/>
    <w:rsid w:val="08373ACC"/>
    <w:rsid w:val="08373B6D"/>
    <w:rsid w:val="08373B9F"/>
    <w:rsid w:val="08373C3D"/>
    <w:rsid w:val="08373D7A"/>
    <w:rsid w:val="08373DC4"/>
    <w:rsid w:val="08373DD4"/>
    <w:rsid w:val="08373DF3"/>
    <w:rsid w:val="08373E1C"/>
    <w:rsid w:val="08373EF4"/>
    <w:rsid w:val="08373F09"/>
    <w:rsid w:val="08373F61"/>
    <w:rsid w:val="08373F85"/>
    <w:rsid w:val="08373FE9"/>
    <w:rsid w:val="083740FB"/>
    <w:rsid w:val="0837415F"/>
    <w:rsid w:val="0837424B"/>
    <w:rsid w:val="0837429E"/>
    <w:rsid w:val="0837429F"/>
    <w:rsid w:val="083742BE"/>
    <w:rsid w:val="08374305"/>
    <w:rsid w:val="08374425"/>
    <w:rsid w:val="083744BA"/>
    <w:rsid w:val="083744FE"/>
    <w:rsid w:val="08374512"/>
    <w:rsid w:val="083745B1"/>
    <w:rsid w:val="083745C3"/>
    <w:rsid w:val="083745C6"/>
    <w:rsid w:val="083745FE"/>
    <w:rsid w:val="08374673"/>
    <w:rsid w:val="0837468A"/>
    <w:rsid w:val="083746DF"/>
    <w:rsid w:val="083746E3"/>
    <w:rsid w:val="08374707"/>
    <w:rsid w:val="08374749"/>
    <w:rsid w:val="083747F7"/>
    <w:rsid w:val="0837482B"/>
    <w:rsid w:val="08374939"/>
    <w:rsid w:val="0837495B"/>
    <w:rsid w:val="083749FE"/>
    <w:rsid w:val="08374A49"/>
    <w:rsid w:val="08374A52"/>
    <w:rsid w:val="08374AB1"/>
    <w:rsid w:val="08374B36"/>
    <w:rsid w:val="08374B47"/>
    <w:rsid w:val="08374BDE"/>
    <w:rsid w:val="08374C7F"/>
    <w:rsid w:val="08374D47"/>
    <w:rsid w:val="08374DD3"/>
    <w:rsid w:val="08374E9D"/>
    <w:rsid w:val="08374F09"/>
    <w:rsid w:val="08375000"/>
    <w:rsid w:val="083750DA"/>
    <w:rsid w:val="083751E5"/>
    <w:rsid w:val="083751EF"/>
    <w:rsid w:val="08375252"/>
    <w:rsid w:val="083752C9"/>
    <w:rsid w:val="083753CF"/>
    <w:rsid w:val="08375416"/>
    <w:rsid w:val="0837543D"/>
    <w:rsid w:val="0837546B"/>
    <w:rsid w:val="083754DD"/>
    <w:rsid w:val="083754DF"/>
    <w:rsid w:val="083755A7"/>
    <w:rsid w:val="0837566C"/>
    <w:rsid w:val="083756D8"/>
    <w:rsid w:val="0837572D"/>
    <w:rsid w:val="08375953"/>
    <w:rsid w:val="08375A95"/>
    <w:rsid w:val="08375ADE"/>
    <w:rsid w:val="08375B59"/>
    <w:rsid w:val="08375C4F"/>
    <w:rsid w:val="08375C8D"/>
    <w:rsid w:val="08375CAD"/>
    <w:rsid w:val="08375D39"/>
    <w:rsid w:val="08375D80"/>
    <w:rsid w:val="08375DBE"/>
    <w:rsid w:val="08375E58"/>
    <w:rsid w:val="08375E91"/>
    <w:rsid w:val="08375EB5"/>
    <w:rsid w:val="08375EB6"/>
    <w:rsid w:val="08376113"/>
    <w:rsid w:val="083761C5"/>
    <w:rsid w:val="08376238"/>
    <w:rsid w:val="08376283"/>
    <w:rsid w:val="083762ED"/>
    <w:rsid w:val="08376348"/>
    <w:rsid w:val="083763E1"/>
    <w:rsid w:val="0837653E"/>
    <w:rsid w:val="08376622"/>
    <w:rsid w:val="08376624"/>
    <w:rsid w:val="08376639"/>
    <w:rsid w:val="08376641"/>
    <w:rsid w:val="083766B9"/>
    <w:rsid w:val="083766EF"/>
    <w:rsid w:val="0837677E"/>
    <w:rsid w:val="083767B2"/>
    <w:rsid w:val="083767C3"/>
    <w:rsid w:val="0837682A"/>
    <w:rsid w:val="08376896"/>
    <w:rsid w:val="083768AB"/>
    <w:rsid w:val="08376A15"/>
    <w:rsid w:val="08376A28"/>
    <w:rsid w:val="08376A93"/>
    <w:rsid w:val="08376B83"/>
    <w:rsid w:val="08376CA8"/>
    <w:rsid w:val="08376D0D"/>
    <w:rsid w:val="08376D6C"/>
    <w:rsid w:val="08376DAE"/>
    <w:rsid w:val="08376E55"/>
    <w:rsid w:val="08376FF7"/>
    <w:rsid w:val="08377012"/>
    <w:rsid w:val="0837705A"/>
    <w:rsid w:val="083770B4"/>
    <w:rsid w:val="0837714B"/>
    <w:rsid w:val="083771D4"/>
    <w:rsid w:val="08377210"/>
    <w:rsid w:val="08377250"/>
    <w:rsid w:val="08377284"/>
    <w:rsid w:val="083773AF"/>
    <w:rsid w:val="083773B1"/>
    <w:rsid w:val="08377404"/>
    <w:rsid w:val="0837742D"/>
    <w:rsid w:val="08377465"/>
    <w:rsid w:val="0837746C"/>
    <w:rsid w:val="08377488"/>
    <w:rsid w:val="0837755F"/>
    <w:rsid w:val="08377582"/>
    <w:rsid w:val="083775C1"/>
    <w:rsid w:val="083776C1"/>
    <w:rsid w:val="0837786F"/>
    <w:rsid w:val="08377876"/>
    <w:rsid w:val="083778B3"/>
    <w:rsid w:val="083778DD"/>
    <w:rsid w:val="08377916"/>
    <w:rsid w:val="0837799A"/>
    <w:rsid w:val="08377A31"/>
    <w:rsid w:val="08377A42"/>
    <w:rsid w:val="08377A71"/>
    <w:rsid w:val="08377ADF"/>
    <w:rsid w:val="08377CBF"/>
    <w:rsid w:val="08377D41"/>
    <w:rsid w:val="08377DA0"/>
    <w:rsid w:val="08377DA4"/>
    <w:rsid w:val="08377E1B"/>
    <w:rsid w:val="08377E28"/>
    <w:rsid w:val="08377E43"/>
    <w:rsid w:val="08377E56"/>
    <w:rsid w:val="08377E5D"/>
    <w:rsid w:val="08377EC0"/>
    <w:rsid w:val="08377F27"/>
    <w:rsid w:val="08377FA8"/>
    <w:rsid w:val="08377FDC"/>
    <w:rsid w:val="08380006"/>
    <w:rsid w:val="08380029"/>
    <w:rsid w:val="08380050"/>
    <w:rsid w:val="0838005E"/>
    <w:rsid w:val="08380229"/>
    <w:rsid w:val="0838022B"/>
    <w:rsid w:val="0838031F"/>
    <w:rsid w:val="08380404"/>
    <w:rsid w:val="0838043A"/>
    <w:rsid w:val="08380449"/>
    <w:rsid w:val="083804D4"/>
    <w:rsid w:val="0838060D"/>
    <w:rsid w:val="08380682"/>
    <w:rsid w:val="0838073B"/>
    <w:rsid w:val="0838078C"/>
    <w:rsid w:val="0838081B"/>
    <w:rsid w:val="08380820"/>
    <w:rsid w:val="08380853"/>
    <w:rsid w:val="083808CD"/>
    <w:rsid w:val="08380926"/>
    <w:rsid w:val="08380938"/>
    <w:rsid w:val="08380A5B"/>
    <w:rsid w:val="08380A85"/>
    <w:rsid w:val="08380A89"/>
    <w:rsid w:val="08380B86"/>
    <w:rsid w:val="08380BB9"/>
    <w:rsid w:val="08380C15"/>
    <w:rsid w:val="08380D1C"/>
    <w:rsid w:val="08380D3F"/>
    <w:rsid w:val="08380D56"/>
    <w:rsid w:val="08380D6B"/>
    <w:rsid w:val="08380F40"/>
    <w:rsid w:val="08380F68"/>
    <w:rsid w:val="08380F9E"/>
    <w:rsid w:val="08380FC6"/>
    <w:rsid w:val="08381093"/>
    <w:rsid w:val="08381105"/>
    <w:rsid w:val="08381163"/>
    <w:rsid w:val="08381184"/>
    <w:rsid w:val="08381208"/>
    <w:rsid w:val="08381241"/>
    <w:rsid w:val="083812CE"/>
    <w:rsid w:val="083813EE"/>
    <w:rsid w:val="08381446"/>
    <w:rsid w:val="08381492"/>
    <w:rsid w:val="08381571"/>
    <w:rsid w:val="083815CA"/>
    <w:rsid w:val="08381662"/>
    <w:rsid w:val="08381760"/>
    <w:rsid w:val="083818AF"/>
    <w:rsid w:val="083818C4"/>
    <w:rsid w:val="083819DE"/>
    <w:rsid w:val="08381ABC"/>
    <w:rsid w:val="08381C1B"/>
    <w:rsid w:val="08381C60"/>
    <w:rsid w:val="08381CFF"/>
    <w:rsid w:val="08381D2D"/>
    <w:rsid w:val="08381D7A"/>
    <w:rsid w:val="08381DB6"/>
    <w:rsid w:val="08381DDA"/>
    <w:rsid w:val="08381E22"/>
    <w:rsid w:val="08381E80"/>
    <w:rsid w:val="08381F05"/>
    <w:rsid w:val="08381F1F"/>
    <w:rsid w:val="08381F3B"/>
    <w:rsid w:val="08381F4A"/>
    <w:rsid w:val="08381F82"/>
    <w:rsid w:val="08381FBC"/>
    <w:rsid w:val="08381FF4"/>
    <w:rsid w:val="08382146"/>
    <w:rsid w:val="083822EF"/>
    <w:rsid w:val="0838237B"/>
    <w:rsid w:val="083823F2"/>
    <w:rsid w:val="083823FA"/>
    <w:rsid w:val="0838241D"/>
    <w:rsid w:val="08382463"/>
    <w:rsid w:val="08382482"/>
    <w:rsid w:val="08382550"/>
    <w:rsid w:val="08382591"/>
    <w:rsid w:val="0838260F"/>
    <w:rsid w:val="0838266A"/>
    <w:rsid w:val="083826CC"/>
    <w:rsid w:val="08382857"/>
    <w:rsid w:val="0838286E"/>
    <w:rsid w:val="08382873"/>
    <w:rsid w:val="083828EA"/>
    <w:rsid w:val="08382917"/>
    <w:rsid w:val="083829D5"/>
    <w:rsid w:val="083829F0"/>
    <w:rsid w:val="08382B93"/>
    <w:rsid w:val="08382BD1"/>
    <w:rsid w:val="08382BE5"/>
    <w:rsid w:val="08382C48"/>
    <w:rsid w:val="08382C51"/>
    <w:rsid w:val="08382CCD"/>
    <w:rsid w:val="08382D15"/>
    <w:rsid w:val="08382E4F"/>
    <w:rsid w:val="08382E54"/>
    <w:rsid w:val="08382E8B"/>
    <w:rsid w:val="08382EB8"/>
    <w:rsid w:val="0838302A"/>
    <w:rsid w:val="0838302E"/>
    <w:rsid w:val="083830D3"/>
    <w:rsid w:val="08383133"/>
    <w:rsid w:val="08383153"/>
    <w:rsid w:val="08383180"/>
    <w:rsid w:val="08383224"/>
    <w:rsid w:val="08383268"/>
    <w:rsid w:val="083832A3"/>
    <w:rsid w:val="083832C9"/>
    <w:rsid w:val="083832D7"/>
    <w:rsid w:val="0838330A"/>
    <w:rsid w:val="0838339D"/>
    <w:rsid w:val="083833B2"/>
    <w:rsid w:val="083834BB"/>
    <w:rsid w:val="083835D9"/>
    <w:rsid w:val="083835F7"/>
    <w:rsid w:val="08383669"/>
    <w:rsid w:val="0838367C"/>
    <w:rsid w:val="0838376A"/>
    <w:rsid w:val="0838382B"/>
    <w:rsid w:val="0838382E"/>
    <w:rsid w:val="08383859"/>
    <w:rsid w:val="0838388C"/>
    <w:rsid w:val="083838A7"/>
    <w:rsid w:val="083838F9"/>
    <w:rsid w:val="08383B76"/>
    <w:rsid w:val="08383BD3"/>
    <w:rsid w:val="08383CB2"/>
    <w:rsid w:val="08383D76"/>
    <w:rsid w:val="08383DFE"/>
    <w:rsid w:val="08383ED1"/>
    <w:rsid w:val="08383F4C"/>
    <w:rsid w:val="08383FEF"/>
    <w:rsid w:val="0838404E"/>
    <w:rsid w:val="083840D5"/>
    <w:rsid w:val="083840E0"/>
    <w:rsid w:val="083840EE"/>
    <w:rsid w:val="0838411B"/>
    <w:rsid w:val="08384173"/>
    <w:rsid w:val="083841A7"/>
    <w:rsid w:val="083841C9"/>
    <w:rsid w:val="08384283"/>
    <w:rsid w:val="083842E3"/>
    <w:rsid w:val="08384362"/>
    <w:rsid w:val="08384372"/>
    <w:rsid w:val="0838441A"/>
    <w:rsid w:val="0838443C"/>
    <w:rsid w:val="083845DF"/>
    <w:rsid w:val="083846BB"/>
    <w:rsid w:val="083847A8"/>
    <w:rsid w:val="083847F8"/>
    <w:rsid w:val="08384875"/>
    <w:rsid w:val="083848B8"/>
    <w:rsid w:val="08384906"/>
    <w:rsid w:val="08384962"/>
    <w:rsid w:val="08384979"/>
    <w:rsid w:val="08384A8B"/>
    <w:rsid w:val="08384B4A"/>
    <w:rsid w:val="08384B54"/>
    <w:rsid w:val="08384B73"/>
    <w:rsid w:val="08384B77"/>
    <w:rsid w:val="08384C03"/>
    <w:rsid w:val="08384CDC"/>
    <w:rsid w:val="08384D05"/>
    <w:rsid w:val="08384D36"/>
    <w:rsid w:val="08384D92"/>
    <w:rsid w:val="08384DF1"/>
    <w:rsid w:val="08384E0C"/>
    <w:rsid w:val="08384E74"/>
    <w:rsid w:val="08384EC5"/>
    <w:rsid w:val="08384ED5"/>
    <w:rsid w:val="08384EEA"/>
    <w:rsid w:val="08384FCD"/>
    <w:rsid w:val="08384FD7"/>
    <w:rsid w:val="083851D5"/>
    <w:rsid w:val="0838527F"/>
    <w:rsid w:val="0838538E"/>
    <w:rsid w:val="083853B2"/>
    <w:rsid w:val="083853C2"/>
    <w:rsid w:val="083854F5"/>
    <w:rsid w:val="083855E4"/>
    <w:rsid w:val="083856C9"/>
    <w:rsid w:val="083856CA"/>
    <w:rsid w:val="0838570C"/>
    <w:rsid w:val="08385737"/>
    <w:rsid w:val="08385741"/>
    <w:rsid w:val="08385762"/>
    <w:rsid w:val="08385770"/>
    <w:rsid w:val="083857E4"/>
    <w:rsid w:val="08385901"/>
    <w:rsid w:val="083859C6"/>
    <w:rsid w:val="08385ABC"/>
    <w:rsid w:val="08385AC4"/>
    <w:rsid w:val="08385B4C"/>
    <w:rsid w:val="08385B6E"/>
    <w:rsid w:val="08385B73"/>
    <w:rsid w:val="08385BF0"/>
    <w:rsid w:val="08385C38"/>
    <w:rsid w:val="08385C5B"/>
    <w:rsid w:val="08385CA5"/>
    <w:rsid w:val="08385D07"/>
    <w:rsid w:val="08385E16"/>
    <w:rsid w:val="08385EA5"/>
    <w:rsid w:val="08385EC8"/>
    <w:rsid w:val="08385F02"/>
    <w:rsid w:val="08385F4B"/>
    <w:rsid w:val="08386009"/>
    <w:rsid w:val="0838601B"/>
    <w:rsid w:val="0838606C"/>
    <w:rsid w:val="083860BE"/>
    <w:rsid w:val="083860DE"/>
    <w:rsid w:val="08386106"/>
    <w:rsid w:val="0838610A"/>
    <w:rsid w:val="08386153"/>
    <w:rsid w:val="08386174"/>
    <w:rsid w:val="083861E1"/>
    <w:rsid w:val="083861F3"/>
    <w:rsid w:val="083862AA"/>
    <w:rsid w:val="08386334"/>
    <w:rsid w:val="083863AA"/>
    <w:rsid w:val="083863F5"/>
    <w:rsid w:val="0838646F"/>
    <w:rsid w:val="0838649D"/>
    <w:rsid w:val="083864B5"/>
    <w:rsid w:val="083864D9"/>
    <w:rsid w:val="083864EB"/>
    <w:rsid w:val="08386548"/>
    <w:rsid w:val="0838669D"/>
    <w:rsid w:val="083866DA"/>
    <w:rsid w:val="0838673E"/>
    <w:rsid w:val="08386756"/>
    <w:rsid w:val="08386790"/>
    <w:rsid w:val="083867C7"/>
    <w:rsid w:val="08386811"/>
    <w:rsid w:val="08386898"/>
    <w:rsid w:val="083868F3"/>
    <w:rsid w:val="08386982"/>
    <w:rsid w:val="0838699B"/>
    <w:rsid w:val="08386A86"/>
    <w:rsid w:val="08386AFD"/>
    <w:rsid w:val="08386BAC"/>
    <w:rsid w:val="08386BCD"/>
    <w:rsid w:val="08386C5C"/>
    <w:rsid w:val="08386E4A"/>
    <w:rsid w:val="08386EDF"/>
    <w:rsid w:val="08386EE0"/>
    <w:rsid w:val="08387055"/>
    <w:rsid w:val="0838718B"/>
    <w:rsid w:val="083871DD"/>
    <w:rsid w:val="083871E5"/>
    <w:rsid w:val="08387215"/>
    <w:rsid w:val="08387259"/>
    <w:rsid w:val="083872CA"/>
    <w:rsid w:val="083872E4"/>
    <w:rsid w:val="083873D8"/>
    <w:rsid w:val="083873DB"/>
    <w:rsid w:val="083873EE"/>
    <w:rsid w:val="08387494"/>
    <w:rsid w:val="0838749B"/>
    <w:rsid w:val="08387554"/>
    <w:rsid w:val="08387594"/>
    <w:rsid w:val="08387677"/>
    <w:rsid w:val="083876C4"/>
    <w:rsid w:val="083877C8"/>
    <w:rsid w:val="08387822"/>
    <w:rsid w:val="08387856"/>
    <w:rsid w:val="08387887"/>
    <w:rsid w:val="0838788D"/>
    <w:rsid w:val="083878B0"/>
    <w:rsid w:val="08387985"/>
    <w:rsid w:val="083879E5"/>
    <w:rsid w:val="08387A4F"/>
    <w:rsid w:val="08387A76"/>
    <w:rsid w:val="08387AAF"/>
    <w:rsid w:val="08387B15"/>
    <w:rsid w:val="08387B18"/>
    <w:rsid w:val="08387C22"/>
    <w:rsid w:val="08387C7D"/>
    <w:rsid w:val="08387EFE"/>
    <w:rsid w:val="08387F20"/>
    <w:rsid w:val="08387F35"/>
    <w:rsid w:val="08387FB3"/>
    <w:rsid w:val="08387FC7"/>
    <w:rsid w:val="08390070"/>
    <w:rsid w:val="08390134"/>
    <w:rsid w:val="08390147"/>
    <w:rsid w:val="08390195"/>
    <w:rsid w:val="083901B3"/>
    <w:rsid w:val="08390233"/>
    <w:rsid w:val="08390418"/>
    <w:rsid w:val="08390478"/>
    <w:rsid w:val="083904D1"/>
    <w:rsid w:val="083904ED"/>
    <w:rsid w:val="083904F1"/>
    <w:rsid w:val="08390514"/>
    <w:rsid w:val="08390543"/>
    <w:rsid w:val="08390699"/>
    <w:rsid w:val="083906F1"/>
    <w:rsid w:val="083908F5"/>
    <w:rsid w:val="08390AED"/>
    <w:rsid w:val="08390AF7"/>
    <w:rsid w:val="08390B04"/>
    <w:rsid w:val="08390B41"/>
    <w:rsid w:val="08390BB2"/>
    <w:rsid w:val="08390BFC"/>
    <w:rsid w:val="08390C01"/>
    <w:rsid w:val="08390C14"/>
    <w:rsid w:val="08390CFB"/>
    <w:rsid w:val="08390D04"/>
    <w:rsid w:val="08390D2A"/>
    <w:rsid w:val="08390E5C"/>
    <w:rsid w:val="08390FC4"/>
    <w:rsid w:val="0839108C"/>
    <w:rsid w:val="083910B7"/>
    <w:rsid w:val="083910F7"/>
    <w:rsid w:val="083910F8"/>
    <w:rsid w:val="083911CE"/>
    <w:rsid w:val="08391305"/>
    <w:rsid w:val="083913C0"/>
    <w:rsid w:val="0839144A"/>
    <w:rsid w:val="083915AD"/>
    <w:rsid w:val="08391661"/>
    <w:rsid w:val="08391671"/>
    <w:rsid w:val="083916C6"/>
    <w:rsid w:val="08391741"/>
    <w:rsid w:val="083917BC"/>
    <w:rsid w:val="0839180C"/>
    <w:rsid w:val="0839186C"/>
    <w:rsid w:val="08391904"/>
    <w:rsid w:val="0839195C"/>
    <w:rsid w:val="0839199E"/>
    <w:rsid w:val="083919AF"/>
    <w:rsid w:val="083919E5"/>
    <w:rsid w:val="08391A7A"/>
    <w:rsid w:val="08391AB6"/>
    <w:rsid w:val="08391ACC"/>
    <w:rsid w:val="08391ADE"/>
    <w:rsid w:val="08391AEB"/>
    <w:rsid w:val="08391AF3"/>
    <w:rsid w:val="08391D21"/>
    <w:rsid w:val="08391E56"/>
    <w:rsid w:val="08391F1E"/>
    <w:rsid w:val="08391F6A"/>
    <w:rsid w:val="08391F70"/>
    <w:rsid w:val="08391FA0"/>
    <w:rsid w:val="0839201A"/>
    <w:rsid w:val="0839209F"/>
    <w:rsid w:val="083921BF"/>
    <w:rsid w:val="0839223F"/>
    <w:rsid w:val="08392294"/>
    <w:rsid w:val="083922AF"/>
    <w:rsid w:val="08392360"/>
    <w:rsid w:val="083923AF"/>
    <w:rsid w:val="083923FD"/>
    <w:rsid w:val="08392483"/>
    <w:rsid w:val="08392791"/>
    <w:rsid w:val="08392874"/>
    <w:rsid w:val="08392934"/>
    <w:rsid w:val="08392947"/>
    <w:rsid w:val="083929A9"/>
    <w:rsid w:val="083929E9"/>
    <w:rsid w:val="08392A0B"/>
    <w:rsid w:val="08392A27"/>
    <w:rsid w:val="08392A7C"/>
    <w:rsid w:val="08392B5A"/>
    <w:rsid w:val="08392BFA"/>
    <w:rsid w:val="08392C85"/>
    <w:rsid w:val="08392CEF"/>
    <w:rsid w:val="08392D65"/>
    <w:rsid w:val="08392D8A"/>
    <w:rsid w:val="08392EAA"/>
    <w:rsid w:val="08392EDC"/>
    <w:rsid w:val="08392F63"/>
    <w:rsid w:val="08392FDB"/>
    <w:rsid w:val="08393001"/>
    <w:rsid w:val="08393026"/>
    <w:rsid w:val="08393039"/>
    <w:rsid w:val="08393155"/>
    <w:rsid w:val="08393264"/>
    <w:rsid w:val="08393282"/>
    <w:rsid w:val="08393328"/>
    <w:rsid w:val="08393464"/>
    <w:rsid w:val="083934A5"/>
    <w:rsid w:val="08393519"/>
    <w:rsid w:val="08393525"/>
    <w:rsid w:val="083935D5"/>
    <w:rsid w:val="083935EB"/>
    <w:rsid w:val="0839370A"/>
    <w:rsid w:val="08393763"/>
    <w:rsid w:val="08393773"/>
    <w:rsid w:val="08393804"/>
    <w:rsid w:val="08393822"/>
    <w:rsid w:val="0839388F"/>
    <w:rsid w:val="083938F5"/>
    <w:rsid w:val="08393958"/>
    <w:rsid w:val="083939A6"/>
    <w:rsid w:val="083939AE"/>
    <w:rsid w:val="083939EE"/>
    <w:rsid w:val="08393A8D"/>
    <w:rsid w:val="08393A9F"/>
    <w:rsid w:val="08393AB6"/>
    <w:rsid w:val="08393B70"/>
    <w:rsid w:val="08393BC6"/>
    <w:rsid w:val="08393C1D"/>
    <w:rsid w:val="08393C6F"/>
    <w:rsid w:val="08393CF5"/>
    <w:rsid w:val="08393D66"/>
    <w:rsid w:val="08393D93"/>
    <w:rsid w:val="08393E33"/>
    <w:rsid w:val="08393E43"/>
    <w:rsid w:val="08393F85"/>
    <w:rsid w:val="08393F87"/>
    <w:rsid w:val="08393F89"/>
    <w:rsid w:val="08393FB4"/>
    <w:rsid w:val="08394052"/>
    <w:rsid w:val="083940B1"/>
    <w:rsid w:val="08394126"/>
    <w:rsid w:val="08394136"/>
    <w:rsid w:val="08394138"/>
    <w:rsid w:val="08394149"/>
    <w:rsid w:val="0839417A"/>
    <w:rsid w:val="0839417B"/>
    <w:rsid w:val="08394185"/>
    <w:rsid w:val="083941D3"/>
    <w:rsid w:val="0839421A"/>
    <w:rsid w:val="0839425C"/>
    <w:rsid w:val="0839435D"/>
    <w:rsid w:val="0839444E"/>
    <w:rsid w:val="083944A8"/>
    <w:rsid w:val="0839451C"/>
    <w:rsid w:val="08394594"/>
    <w:rsid w:val="083945B4"/>
    <w:rsid w:val="083945D2"/>
    <w:rsid w:val="083945F2"/>
    <w:rsid w:val="083945FC"/>
    <w:rsid w:val="08394732"/>
    <w:rsid w:val="08394776"/>
    <w:rsid w:val="083947E2"/>
    <w:rsid w:val="08394827"/>
    <w:rsid w:val="0839484A"/>
    <w:rsid w:val="0839485A"/>
    <w:rsid w:val="083948DC"/>
    <w:rsid w:val="0839494C"/>
    <w:rsid w:val="08394ADF"/>
    <w:rsid w:val="08394AFE"/>
    <w:rsid w:val="08394B4B"/>
    <w:rsid w:val="08394D23"/>
    <w:rsid w:val="08395053"/>
    <w:rsid w:val="0839510A"/>
    <w:rsid w:val="08395132"/>
    <w:rsid w:val="08395171"/>
    <w:rsid w:val="083951AF"/>
    <w:rsid w:val="083951D1"/>
    <w:rsid w:val="08395283"/>
    <w:rsid w:val="08395293"/>
    <w:rsid w:val="083952C1"/>
    <w:rsid w:val="08395308"/>
    <w:rsid w:val="08395518"/>
    <w:rsid w:val="08395542"/>
    <w:rsid w:val="083955CA"/>
    <w:rsid w:val="083955D5"/>
    <w:rsid w:val="083955D8"/>
    <w:rsid w:val="08395612"/>
    <w:rsid w:val="083956D0"/>
    <w:rsid w:val="0839584C"/>
    <w:rsid w:val="083958AA"/>
    <w:rsid w:val="08395969"/>
    <w:rsid w:val="08395A6F"/>
    <w:rsid w:val="08395AA5"/>
    <w:rsid w:val="08395B1C"/>
    <w:rsid w:val="08395B7A"/>
    <w:rsid w:val="08395BD0"/>
    <w:rsid w:val="08395BDA"/>
    <w:rsid w:val="08395C3A"/>
    <w:rsid w:val="08395C5F"/>
    <w:rsid w:val="08395D0A"/>
    <w:rsid w:val="08395D92"/>
    <w:rsid w:val="08395E29"/>
    <w:rsid w:val="08395E6D"/>
    <w:rsid w:val="08395E7B"/>
    <w:rsid w:val="08395EB4"/>
    <w:rsid w:val="08395EC5"/>
    <w:rsid w:val="08395EDF"/>
    <w:rsid w:val="08395EFE"/>
    <w:rsid w:val="0839602C"/>
    <w:rsid w:val="0839606D"/>
    <w:rsid w:val="08396080"/>
    <w:rsid w:val="08396106"/>
    <w:rsid w:val="083961A0"/>
    <w:rsid w:val="08396242"/>
    <w:rsid w:val="08396369"/>
    <w:rsid w:val="083963AA"/>
    <w:rsid w:val="08396456"/>
    <w:rsid w:val="0839649B"/>
    <w:rsid w:val="083964B0"/>
    <w:rsid w:val="083964B2"/>
    <w:rsid w:val="083964B8"/>
    <w:rsid w:val="0839664A"/>
    <w:rsid w:val="08396655"/>
    <w:rsid w:val="083966B4"/>
    <w:rsid w:val="0839676D"/>
    <w:rsid w:val="0839677E"/>
    <w:rsid w:val="083967C0"/>
    <w:rsid w:val="083967FC"/>
    <w:rsid w:val="08396846"/>
    <w:rsid w:val="08396856"/>
    <w:rsid w:val="083968C3"/>
    <w:rsid w:val="083968FF"/>
    <w:rsid w:val="08396908"/>
    <w:rsid w:val="083969D9"/>
    <w:rsid w:val="083969FC"/>
    <w:rsid w:val="08396A39"/>
    <w:rsid w:val="08396A94"/>
    <w:rsid w:val="08396AF3"/>
    <w:rsid w:val="08396B23"/>
    <w:rsid w:val="08396B2A"/>
    <w:rsid w:val="08396B67"/>
    <w:rsid w:val="08396BA3"/>
    <w:rsid w:val="08396C1E"/>
    <w:rsid w:val="08396C73"/>
    <w:rsid w:val="08396C8B"/>
    <w:rsid w:val="08396D11"/>
    <w:rsid w:val="08396D57"/>
    <w:rsid w:val="08396DE6"/>
    <w:rsid w:val="08396E88"/>
    <w:rsid w:val="08396F2F"/>
    <w:rsid w:val="08396FB5"/>
    <w:rsid w:val="08396FE3"/>
    <w:rsid w:val="08396FEF"/>
    <w:rsid w:val="08397049"/>
    <w:rsid w:val="083971D7"/>
    <w:rsid w:val="08397207"/>
    <w:rsid w:val="0839734F"/>
    <w:rsid w:val="083975A1"/>
    <w:rsid w:val="08397602"/>
    <w:rsid w:val="08397822"/>
    <w:rsid w:val="08397880"/>
    <w:rsid w:val="08397921"/>
    <w:rsid w:val="08397936"/>
    <w:rsid w:val="0839794B"/>
    <w:rsid w:val="0839795D"/>
    <w:rsid w:val="08397998"/>
    <w:rsid w:val="08397A39"/>
    <w:rsid w:val="08397A4F"/>
    <w:rsid w:val="08397AF5"/>
    <w:rsid w:val="08397B0A"/>
    <w:rsid w:val="08397B4C"/>
    <w:rsid w:val="08397B89"/>
    <w:rsid w:val="08397D0A"/>
    <w:rsid w:val="08397D14"/>
    <w:rsid w:val="08397D9F"/>
    <w:rsid w:val="08397E21"/>
    <w:rsid w:val="08397EC3"/>
    <w:rsid w:val="08397ED1"/>
    <w:rsid w:val="08397F15"/>
    <w:rsid w:val="08397F22"/>
    <w:rsid w:val="08397F7D"/>
    <w:rsid w:val="083A00F5"/>
    <w:rsid w:val="083A0147"/>
    <w:rsid w:val="083A017D"/>
    <w:rsid w:val="083A018C"/>
    <w:rsid w:val="083A01F2"/>
    <w:rsid w:val="083A0224"/>
    <w:rsid w:val="083A02B8"/>
    <w:rsid w:val="083A0341"/>
    <w:rsid w:val="083A038E"/>
    <w:rsid w:val="083A0390"/>
    <w:rsid w:val="083A03C4"/>
    <w:rsid w:val="083A0501"/>
    <w:rsid w:val="083A05CE"/>
    <w:rsid w:val="083A0623"/>
    <w:rsid w:val="083A06B6"/>
    <w:rsid w:val="083A079F"/>
    <w:rsid w:val="083A07F2"/>
    <w:rsid w:val="083A0836"/>
    <w:rsid w:val="083A0840"/>
    <w:rsid w:val="083A0905"/>
    <w:rsid w:val="083A0AA8"/>
    <w:rsid w:val="083A0AEA"/>
    <w:rsid w:val="083A0B12"/>
    <w:rsid w:val="083A0B51"/>
    <w:rsid w:val="083A0B5E"/>
    <w:rsid w:val="083A0B70"/>
    <w:rsid w:val="083A0B74"/>
    <w:rsid w:val="083A0B8B"/>
    <w:rsid w:val="083A0C02"/>
    <w:rsid w:val="083A0CEF"/>
    <w:rsid w:val="083A0D1D"/>
    <w:rsid w:val="083A0E8E"/>
    <w:rsid w:val="083A0F7E"/>
    <w:rsid w:val="083A0F8C"/>
    <w:rsid w:val="083A0FDC"/>
    <w:rsid w:val="083A0FF9"/>
    <w:rsid w:val="083A101D"/>
    <w:rsid w:val="083A12BA"/>
    <w:rsid w:val="083A1335"/>
    <w:rsid w:val="083A1342"/>
    <w:rsid w:val="083A13EE"/>
    <w:rsid w:val="083A1553"/>
    <w:rsid w:val="083A160C"/>
    <w:rsid w:val="083A169F"/>
    <w:rsid w:val="083A1793"/>
    <w:rsid w:val="083A181E"/>
    <w:rsid w:val="083A183E"/>
    <w:rsid w:val="083A1890"/>
    <w:rsid w:val="083A18BF"/>
    <w:rsid w:val="083A199B"/>
    <w:rsid w:val="083A19B8"/>
    <w:rsid w:val="083A19F2"/>
    <w:rsid w:val="083A1A30"/>
    <w:rsid w:val="083A1A4B"/>
    <w:rsid w:val="083A1AC0"/>
    <w:rsid w:val="083A1B24"/>
    <w:rsid w:val="083A1B7F"/>
    <w:rsid w:val="083A1B9A"/>
    <w:rsid w:val="083A1BE6"/>
    <w:rsid w:val="083A1C34"/>
    <w:rsid w:val="083A1CC6"/>
    <w:rsid w:val="083A1D13"/>
    <w:rsid w:val="083A1D82"/>
    <w:rsid w:val="083A1E36"/>
    <w:rsid w:val="083A1E55"/>
    <w:rsid w:val="083A1ECA"/>
    <w:rsid w:val="083A1EE9"/>
    <w:rsid w:val="083A1F0B"/>
    <w:rsid w:val="083A1F63"/>
    <w:rsid w:val="083A20FC"/>
    <w:rsid w:val="083A210A"/>
    <w:rsid w:val="083A21DA"/>
    <w:rsid w:val="083A21FE"/>
    <w:rsid w:val="083A221B"/>
    <w:rsid w:val="083A22BD"/>
    <w:rsid w:val="083A236D"/>
    <w:rsid w:val="083A23A8"/>
    <w:rsid w:val="083A23BE"/>
    <w:rsid w:val="083A2403"/>
    <w:rsid w:val="083A241F"/>
    <w:rsid w:val="083A24B0"/>
    <w:rsid w:val="083A24F3"/>
    <w:rsid w:val="083A2560"/>
    <w:rsid w:val="083A2598"/>
    <w:rsid w:val="083A25C8"/>
    <w:rsid w:val="083A26AA"/>
    <w:rsid w:val="083A26F1"/>
    <w:rsid w:val="083A279E"/>
    <w:rsid w:val="083A28F7"/>
    <w:rsid w:val="083A292E"/>
    <w:rsid w:val="083A29E1"/>
    <w:rsid w:val="083A2A38"/>
    <w:rsid w:val="083A2AC0"/>
    <w:rsid w:val="083A2B92"/>
    <w:rsid w:val="083A2CFA"/>
    <w:rsid w:val="083A2D11"/>
    <w:rsid w:val="083A2D2A"/>
    <w:rsid w:val="083A2D45"/>
    <w:rsid w:val="083A2F57"/>
    <w:rsid w:val="083A3012"/>
    <w:rsid w:val="083A3016"/>
    <w:rsid w:val="083A3187"/>
    <w:rsid w:val="083A31CC"/>
    <w:rsid w:val="083A328D"/>
    <w:rsid w:val="083A3348"/>
    <w:rsid w:val="083A33AF"/>
    <w:rsid w:val="083A34AF"/>
    <w:rsid w:val="083A34F5"/>
    <w:rsid w:val="083A3582"/>
    <w:rsid w:val="083A3682"/>
    <w:rsid w:val="083A3786"/>
    <w:rsid w:val="083A37FC"/>
    <w:rsid w:val="083A3825"/>
    <w:rsid w:val="083A382C"/>
    <w:rsid w:val="083A3878"/>
    <w:rsid w:val="083A390D"/>
    <w:rsid w:val="083A3933"/>
    <w:rsid w:val="083A39CF"/>
    <w:rsid w:val="083A3A8E"/>
    <w:rsid w:val="083A3ABF"/>
    <w:rsid w:val="083A3AFC"/>
    <w:rsid w:val="083A3C26"/>
    <w:rsid w:val="083A3C5D"/>
    <w:rsid w:val="083A3D0E"/>
    <w:rsid w:val="083A3D92"/>
    <w:rsid w:val="083A3DAF"/>
    <w:rsid w:val="083A3DBB"/>
    <w:rsid w:val="083A3E00"/>
    <w:rsid w:val="083A3E72"/>
    <w:rsid w:val="083A3F3D"/>
    <w:rsid w:val="083A3F80"/>
    <w:rsid w:val="083A3F86"/>
    <w:rsid w:val="083A402D"/>
    <w:rsid w:val="083A4108"/>
    <w:rsid w:val="083A41BD"/>
    <w:rsid w:val="083A4249"/>
    <w:rsid w:val="083A424D"/>
    <w:rsid w:val="083A4265"/>
    <w:rsid w:val="083A42F3"/>
    <w:rsid w:val="083A441A"/>
    <w:rsid w:val="083A444D"/>
    <w:rsid w:val="083A4456"/>
    <w:rsid w:val="083A4501"/>
    <w:rsid w:val="083A461B"/>
    <w:rsid w:val="083A4623"/>
    <w:rsid w:val="083A4629"/>
    <w:rsid w:val="083A468E"/>
    <w:rsid w:val="083A46E0"/>
    <w:rsid w:val="083A4726"/>
    <w:rsid w:val="083A47AD"/>
    <w:rsid w:val="083A4832"/>
    <w:rsid w:val="083A491C"/>
    <w:rsid w:val="083A4954"/>
    <w:rsid w:val="083A4985"/>
    <w:rsid w:val="083A4A07"/>
    <w:rsid w:val="083A4A13"/>
    <w:rsid w:val="083A4A16"/>
    <w:rsid w:val="083A4A61"/>
    <w:rsid w:val="083A4A88"/>
    <w:rsid w:val="083A4B61"/>
    <w:rsid w:val="083A4CF6"/>
    <w:rsid w:val="083A4D0B"/>
    <w:rsid w:val="083A4D85"/>
    <w:rsid w:val="083A4E10"/>
    <w:rsid w:val="083A4E57"/>
    <w:rsid w:val="083A4E74"/>
    <w:rsid w:val="083A4EBB"/>
    <w:rsid w:val="083A4F29"/>
    <w:rsid w:val="083A4F71"/>
    <w:rsid w:val="083A4FAF"/>
    <w:rsid w:val="083A4FFC"/>
    <w:rsid w:val="083A5015"/>
    <w:rsid w:val="083A5100"/>
    <w:rsid w:val="083A5132"/>
    <w:rsid w:val="083A51BC"/>
    <w:rsid w:val="083A5232"/>
    <w:rsid w:val="083A5234"/>
    <w:rsid w:val="083A525D"/>
    <w:rsid w:val="083A52B0"/>
    <w:rsid w:val="083A533F"/>
    <w:rsid w:val="083A5388"/>
    <w:rsid w:val="083A53C7"/>
    <w:rsid w:val="083A5421"/>
    <w:rsid w:val="083A5469"/>
    <w:rsid w:val="083A5479"/>
    <w:rsid w:val="083A54BA"/>
    <w:rsid w:val="083A5533"/>
    <w:rsid w:val="083A5589"/>
    <w:rsid w:val="083A5646"/>
    <w:rsid w:val="083A5760"/>
    <w:rsid w:val="083A5808"/>
    <w:rsid w:val="083A59F0"/>
    <w:rsid w:val="083A5AAC"/>
    <w:rsid w:val="083A5ADD"/>
    <w:rsid w:val="083A5B59"/>
    <w:rsid w:val="083A5B7B"/>
    <w:rsid w:val="083A5CC5"/>
    <w:rsid w:val="083A5CC8"/>
    <w:rsid w:val="083A5CCC"/>
    <w:rsid w:val="083A5CF2"/>
    <w:rsid w:val="083A5CFD"/>
    <w:rsid w:val="083A5D20"/>
    <w:rsid w:val="083A5D28"/>
    <w:rsid w:val="083A5D3F"/>
    <w:rsid w:val="083A5D8E"/>
    <w:rsid w:val="083A5D96"/>
    <w:rsid w:val="083A5EE0"/>
    <w:rsid w:val="083A5F75"/>
    <w:rsid w:val="083A5FA3"/>
    <w:rsid w:val="083A5FB8"/>
    <w:rsid w:val="083A6067"/>
    <w:rsid w:val="083A6087"/>
    <w:rsid w:val="083A60C6"/>
    <w:rsid w:val="083A6166"/>
    <w:rsid w:val="083A61D3"/>
    <w:rsid w:val="083A6228"/>
    <w:rsid w:val="083A6279"/>
    <w:rsid w:val="083A633D"/>
    <w:rsid w:val="083A63F8"/>
    <w:rsid w:val="083A64EA"/>
    <w:rsid w:val="083A654D"/>
    <w:rsid w:val="083A6575"/>
    <w:rsid w:val="083A65A5"/>
    <w:rsid w:val="083A6700"/>
    <w:rsid w:val="083A671D"/>
    <w:rsid w:val="083A67E2"/>
    <w:rsid w:val="083A680F"/>
    <w:rsid w:val="083A692F"/>
    <w:rsid w:val="083A6971"/>
    <w:rsid w:val="083A6AD0"/>
    <w:rsid w:val="083A6B4A"/>
    <w:rsid w:val="083A6B51"/>
    <w:rsid w:val="083A6CF2"/>
    <w:rsid w:val="083A6CF6"/>
    <w:rsid w:val="083A6EB9"/>
    <w:rsid w:val="083A6EEB"/>
    <w:rsid w:val="083A6EFF"/>
    <w:rsid w:val="083A6F9B"/>
    <w:rsid w:val="083A7072"/>
    <w:rsid w:val="083A70A0"/>
    <w:rsid w:val="083A7127"/>
    <w:rsid w:val="083A7204"/>
    <w:rsid w:val="083A720F"/>
    <w:rsid w:val="083A7249"/>
    <w:rsid w:val="083A724E"/>
    <w:rsid w:val="083A7271"/>
    <w:rsid w:val="083A727D"/>
    <w:rsid w:val="083A72E1"/>
    <w:rsid w:val="083A7304"/>
    <w:rsid w:val="083A73A5"/>
    <w:rsid w:val="083A73D0"/>
    <w:rsid w:val="083A74D1"/>
    <w:rsid w:val="083A7612"/>
    <w:rsid w:val="083A7640"/>
    <w:rsid w:val="083A768E"/>
    <w:rsid w:val="083A76C7"/>
    <w:rsid w:val="083A76DF"/>
    <w:rsid w:val="083A76F4"/>
    <w:rsid w:val="083A77AD"/>
    <w:rsid w:val="083A7801"/>
    <w:rsid w:val="083A78D5"/>
    <w:rsid w:val="083A78FD"/>
    <w:rsid w:val="083A797A"/>
    <w:rsid w:val="083A79E1"/>
    <w:rsid w:val="083A79E8"/>
    <w:rsid w:val="083A7A0A"/>
    <w:rsid w:val="083A7A73"/>
    <w:rsid w:val="083A7A9C"/>
    <w:rsid w:val="083A7BD3"/>
    <w:rsid w:val="083A7BDF"/>
    <w:rsid w:val="083A7C24"/>
    <w:rsid w:val="083A7C5D"/>
    <w:rsid w:val="083A7C61"/>
    <w:rsid w:val="083A7D58"/>
    <w:rsid w:val="083A7E4F"/>
    <w:rsid w:val="083A7E6C"/>
    <w:rsid w:val="083A7E76"/>
    <w:rsid w:val="083A7ED9"/>
    <w:rsid w:val="083A7EF1"/>
    <w:rsid w:val="083A7F16"/>
    <w:rsid w:val="083A7FD2"/>
    <w:rsid w:val="083A7FD3"/>
    <w:rsid w:val="083B002D"/>
    <w:rsid w:val="083B003A"/>
    <w:rsid w:val="083B0120"/>
    <w:rsid w:val="083B0333"/>
    <w:rsid w:val="083B03D7"/>
    <w:rsid w:val="083B03DF"/>
    <w:rsid w:val="083B051E"/>
    <w:rsid w:val="083B059A"/>
    <w:rsid w:val="083B05AC"/>
    <w:rsid w:val="083B05E6"/>
    <w:rsid w:val="083B0648"/>
    <w:rsid w:val="083B0665"/>
    <w:rsid w:val="083B069E"/>
    <w:rsid w:val="083B0739"/>
    <w:rsid w:val="083B07F0"/>
    <w:rsid w:val="083B082A"/>
    <w:rsid w:val="083B0933"/>
    <w:rsid w:val="083B095D"/>
    <w:rsid w:val="083B099E"/>
    <w:rsid w:val="083B0A97"/>
    <w:rsid w:val="083B0B25"/>
    <w:rsid w:val="083B0BBE"/>
    <w:rsid w:val="083B0C3C"/>
    <w:rsid w:val="083B0CBA"/>
    <w:rsid w:val="083B0D1A"/>
    <w:rsid w:val="083B0D8F"/>
    <w:rsid w:val="083B0DD9"/>
    <w:rsid w:val="083B0E6D"/>
    <w:rsid w:val="083B0E86"/>
    <w:rsid w:val="083B0F4E"/>
    <w:rsid w:val="083B0FBE"/>
    <w:rsid w:val="083B1034"/>
    <w:rsid w:val="083B109B"/>
    <w:rsid w:val="083B112F"/>
    <w:rsid w:val="083B11B7"/>
    <w:rsid w:val="083B11EB"/>
    <w:rsid w:val="083B12D1"/>
    <w:rsid w:val="083B1327"/>
    <w:rsid w:val="083B13A9"/>
    <w:rsid w:val="083B148C"/>
    <w:rsid w:val="083B14F9"/>
    <w:rsid w:val="083B15E7"/>
    <w:rsid w:val="083B1693"/>
    <w:rsid w:val="083B1842"/>
    <w:rsid w:val="083B18E3"/>
    <w:rsid w:val="083B1949"/>
    <w:rsid w:val="083B1979"/>
    <w:rsid w:val="083B197C"/>
    <w:rsid w:val="083B1993"/>
    <w:rsid w:val="083B1A9A"/>
    <w:rsid w:val="083B1B6B"/>
    <w:rsid w:val="083B1B6D"/>
    <w:rsid w:val="083B1BF3"/>
    <w:rsid w:val="083B1C73"/>
    <w:rsid w:val="083B1D18"/>
    <w:rsid w:val="083B1DCA"/>
    <w:rsid w:val="083B1DCE"/>
    <w:rsid w:val="083B1EF7"/>
    <w:rsid w:val="083B1F80"/>
    <w:rsid w:val="083B2051"/>
    <w:rsid w:val="083B2064"/>
    <w:rsid w:val="083B2076"/>
    <w:rsid w:val="083B21B0"/>
    <w:rsid w:val="083B22A6"/>
    <w:rsid w:val="083B22E7"/>
    <w:rsid w:val="083B22F9"/>
    <w:rsid w:val="083B2332"/>
    <w:rsid w:val="083B2366"/>
    <w:rsid w:val="083B2382"/>
    <w:rsid w:val="083B238F"/>
    <w:rsid w:val="083B244F"/>
    <w:rsid w:val="083B24A6"/>
    <w:rsid w:val="083B25A1"/>
    <w:rsid w:val="083B25AD"/>
    <w:rsid w:val="083B268D"/>
    <w:rsid w:val="083B2704"/>
    <w:rsid w:val="083B27E9"/>
    <w:rsid w:val="083B27EA"/>
    <w:rsid w:val="083B27FA"/>
    <w:rsid w:val="083B296D"/>
    <w:rsid w:val="083B299A"/>
    <w:rsid w:val="083B29A9"/>
    <w:rsid w:val="083B2A89"/>
    <w:rsid w:val="083B2AFC"/>
    <w:rsid w:val="083B2B09"/>
    <w:rsid w:val="083B2B3F"/>
    <w:rsid w:val="083B2BA2"/>
    <w:rsid w:val="083B2BF8"/>
    <w:rsid w:val="083B2CE0"/>
    <w:rsid w:val="083B2DD4"/>
    <w:rsid w:val="083B2E7B"/>
    <w:rsid w:val="083B2EE3"/>
    <w:rsid w:val="083B2F44"/>
    <w:rsid w:val="083B2F9E"/>
    <w:rsid w:val="083B2FAF"/>
    <w:rsid w:val="083B2FE7"/>
    <w:rsid w:val="083B3023"/>
    <w:rsid w:val="083B3034"/>
    <w:rsid w:val="083B3056"/>
    <w:rsid w:val="083B30CB"/>
    <w:rsid w:val="083B3151"/>
    <w:rsid w:val="083B3155"/>
    <w:rsid w:val="083B32C1"/>
    <w:rsid w:val="083B3318"/>
    <w:rsid w:val="083B338D"/>
    <w:rsid w:val="083B33DA"/>
    <w:rsid w:val="083B342F"/>
    <w:rsid w:val="083B3469"/>
    <w:rsid w:val="083B3470"/>
    <w:rsid w:val="083B3536"/>
    <w:rsid w:val="083B3633"/>
    <w:rsid w:val="083B39C7"/>
    <w:rsid w:val="083B3B56"/>
    <w:rsid w:val="083B3C64"/>
    <w:rsid w:val="083B3C81"/>
    <w:rsid w:val="083B3CA9"/>
    <w:rsid w:val="083B3D06"/>
    <w:rsid w:val="083B3EF4"/>
    <w:rsid w:val="083B4048"/>
    <w:rsid w:val="083B406F"/>
    <w:rsid w:val="083B40AE"/>
    <w:rsid w:val="083B420C"/>
    <w:rsid w:val="083B421B"/>
    <w:rsid w:val="083B421C"/>
    <w:rsid w:val="083B423D"/>
    <w:rsid w:val="083B42BB"/>
    <w:rsid w:val="083B43A4"/>
    <w:rsid w:val="083B43B5"/>
    <w:rsid w:val="083B43BF"/>
    <w:rsid w:val="083B4412"/>
    <w:rsid w:val="083B4451"/>
    <w:rsid w:val="083B448A"/>
    <w:rsid w:val="083B449C"/>
    <w:rsid w:val="083B44A1"/>
    <w:rsid w:val="083B45DC"/>
    <w:rsid w:val="083B45EC"/>
    <w:rsid w:val="083B4602"/>
    <w:rsid w:val="083B4637"/>
    <w:rsid w:val="083B464B"/>
    <w:rsid w:val="083B4696"/>
    <w:rsid w:val="083B46FD"/>
    <w:rsid w:val="083B4752"/>
    <w:rsid w:val="083B47EA"/>
    <w:rsid w:val="083B4854"/>
    <w:rsid w:val="083B4940"/>
    <w:rsid w:val="083B494C"/>
    <w:rsid w:val="083B494E"/>
    <w:rsid w:val="083B4996"/>
    <w:rsid w:val="083B49E6"/>
    <w:rsid w:val="083B4B23"/>
    <w:rsid w:val="083B4C0A"/>
    <w:rsid w:val="083B4CCF"/>
    <w:rsid w:val="083B4D5A"/>
    <w:rsid w:val="083B4D80"/>
    <w:rsid w:val="083B4EC9"/>
    <w:rsid w:val="083B4EFA"/>
    <w:rsid w:val="083B4F54"/>
    <w:rsid w:val="083B4FE1"/>
    <w:rsid w:val="083B5003"/>
    <w:rsid w:val="083B5021"/>
    <w:rsid w:val="083B5093"/>
    <w:rsid w:val="083B5158"/>
    <w:rsid w:val="083B516A"/>
    <w:rsid w:val="083B516D"/>
    <w:rsid w:val="083B51FE"/>
    <w:rsid w:val="083B524F"/>
    <w:rsid w:val="083B52C6"/>
    <w:rsid w:val="083B54F8"/>
    <w:rsid w:val="083B5664"/>
    <w:rsid w:val="083B5667"/>
    <w:rsid w:val="083B5862"/>
    <w:rsid w:val="083B58C4"/>
    <w:rsid w:val="083B59B9"/>
    <w:rsid w:val="083B5AF2"/>
    <w:rsid w:val="083B5B6E"/>
    <w:rsid w:val="083B5BDE"/>
    <w:rsid w:val="083B5CA9"/>
    <w:rsid w:val="083B5CB8"/>
    <w:rsid w:val="083B5D01"/>
    <w:rsid w:val="083B5D54"/>
    <w:rsid w:val="083B5D68"/>
    <w:rsid w:val="083B5DAF"/>
    <w:rsid w:val="083B5EEA"/>
    <w:rsid w:val="083B5F28"/>
    <w:rsid w:val="083B5F5F"/>
    <w:rsid w:val="083B5F85"/>
    <w:rsid w:val="083B5FE6"/>
    <w:rsid w:val="083B608E"/>
    <w:rsid w:val="083B6187"/>
    <w:rsid w:val="083B619B"/>
    <w:rsid w:val="083B6310"/>
    <w:rsid w:val="083B6371"/>
    <w:rsid w:val="083B6405"/>
    <w:rsid w:val="083B6416"/>
    <w:rsid w:val="083B6478"/>
    <w:rsid w:val="083B6598"/>
    <w:rsid w:val="083B662A"/>
    <w:rsid w:val="083B66B2"/>
    <w:rsid w:val="083B6724"/>
    <w:rsid w:val="083B67EB"/>
    <w:rsid w:val="083B67F3"/>
    <w:rsid w:val="083B6887"/>
    <w:rsid w:val="083B68AE"/>
    <w:rsid w:val="083B68FC"/>
    <w:rsid w:val="083B6955"/>
    <w:rsid w:val="083B6998"/>
    <w:rsid w:val="083B6A0A"/>
    <w:rsid w:val="083B6A80"/>
    <w:rsid w:val="083B6AF4"/>
    <w:rsid w:val="083B6B0A"/>
    <w:rsid w:val="083B6B24"/>
    <w:rsid w:val="083B6B69"/>
    <w:rsid w:val="083B6BD3"/>
    <w:rsid w:val="083B6C52"/>
    <w:rsid w:val="083B6DC8"/>
    <w:rsid w:val="083B6E7F"/>
    <w:rsid w:val="083B6EB2"/>
    <w:rsid w:val="083B6F1C"/>
    <w:rsid w:val="083B6F5E"/>
    <w:rsid w:val="083B6F86"/>
    <w:rsid w:val="083B701A"/>
    <w:rsid w:val="083B70A8"/>
    <w:rsid w:val="083B70AD"/>
    <w:rsid w:val="083B70F1"/>
    <w:rsid w:val="083B7189"/>
    <w:rsid w:val="083B72BE"/>
    <w:rsid w:val="083B732C"/>
    <w:rsid w:val="083B73DE"/>
    <w:rsid w:val="083B7414"/>
    <w:rsid w:val="083B7421"/>
    <w:rsid w:val="083B74BE"/>
    <w:rsid w:val="083B74CD"/>
    <w:rsid w:val="083B74D6"/>
    <w:rsid w:val="083B74E5"/>
    <w:rsid w:val="083B7588"/>
    <w:rsid w:val="083B75F3"/>
    <w:rsid w:val="083B7618"/>
    <w:rsid w:val="083B7703"/>
    <w:rsid w:val="083B777B"/>
    <w:rsid w:val="083B77A0"/>
    <w:rsid w:val="083B77E6"/>
    <w:rsid w:val="083B780F"/>
    <w:rsid w:val="083B783C"/>
    <w:rsid w:val="083B7849"/>
    <w:rsid w:val="083B785E"/>
    <w:rsid w:val="083B7883"/>
    <w:rsid w:val="083B78D1"/>
    <w:rsid w:val="083B796C"/>
    <w:rsid w:val="083B79D4"/>
    <w:rsid w:val="083B7A02"/>
    <w:rsid w:val="083B7B23"/>
    <w:rsid w:val="083B7B49"/>
    <w:rsid w:val="083B7BDC"/>
    <w:rsid w:val="083B7BE5"/>
    <w:rsid w:val="083B7C30"/>
    <w:rsid w:val="083B7D43"/>
    <w:rsid w:val="083B7DB9"/>
    <w:rsid w:val="083B7DEA"/>
    <w:rsid w:val="083B7E28"/>
    <w:rsid w:val="083B7E2D"/>
    <w:rsid w:val="083B7E9E"/>
    <w:rsid w:val="083B7EBE"/>
    <w:rsid w:val="083B7F7C"/>
    <w:rsid w:val="083B7FF8"/>
    <w:rsid w:val="083C0035"/>
    <w:rsid w:val="083C0074"/>
    <w:rsid w:val="083C00F4"/>
    <w:rsid w:val="083C0200"/>
    <w:rsid w:val="083C022D"/>
    <w:rsid w:val="083C0246"/>
    <w:rsid w:val="083C0248"/>
    <w:rsid w:val="083C0266"/>
    <w:rsid w:val="083C02B6"/>
    <w:rsid w:val="083C0389"/>
    <w:rsid w:val="083C0395"/>
    <w:rsid w:val="083C03EB"/>
    <w:rsid w:val="083C040F"/>
    <w:rsid w:val="083C0480"/>
    <w:rsid w:val="083C04E1"/>
    <w:rsid w:val="083C04EB"/>
    <w:rsid w:val="083C0569"/>
    <w:rsid w:val="083C0573"/>
    <w:rsid w:val="083C05D4"/>
    <w:rsid w:val="083C060E"/>
    <w:rsid w:val="083C064A"/>
    <w:rsid w:val="083C064E"/>
    <w:rsid w:val="083C0671"/>
    <w:rsid w:val="083C069D"/>
    <w:rsid w:val="083C0736"/>
    <w:rsid w:val="083C0817"/>
    <w:rsid w:val="083C0B57"/>
    <w:rsid w:val="083C0BC7"/>
    <w:rsid w:val="083C0BFA"/>
    <w:rsid w:val="083C0C65"/>
    <w:rsid w:val="083C0C78"/>
    <w:rsid w:val="083C0CA5"/>
    <w:rsid w:val="083C0CC7"/>
    <w:rsid w:val="083C0DDD"/>
    <w:rsid w:val="083C0E2C"/>
    <w:rsid w:val="083C0E4D"/>
    <w:rsid w:val="083C0E53"/>
    <w:rsid w:val="083C0EA0"/>
    <w:rsid w:val="083C101E"/>
    <w:rsid w:val="083C1231"/>
    <w:rsid w:val="083C1242"/>
    <w:rsid w:val="083C124F"/>
    <w:rsid w:val="083C1287"/>
    <w:rsid w:val="083C12D2"/>
    <w:rsid w:val="083C143B"/>
    <w:rsid w:val="083C14DA"/>
    <w:rsid w:val="083C1534"/>
    <w:rsid w:val="083C15F6"/>
    <w:rsid w:val="083C1709"/>
    <w:rsid w:val="083C17BB"/>
    <w:rsid w:val="083C17D3"/>
    <w:rsid w:val="083C17D7"/>
    <w:rsid w:val="083C18CE"/>
    <w:rsid w:val="083C1966"/>
    <w:rsid w:val="083C19D7"/>
    <w:rsid w:val="083C1A4E"/>
    <w:rsid w:val="083C1A92"/>
    <w:rsid w:val="083C1AA1"/>
    <w:rsid w:val="083C1AA6"/>
    <w:rsid w:val="083C1AAB"/>
    <w:rsid w:val="083C1C2B"/>
    <w:rsid w:val="083C1C6B"/>
    <w:rsid w:val="083C1D10"/>
    <w:rsid w:val="083C1D3C"/>
    <w:rsid w:val="083C1DEC"/>
    <w:rsid w:val="083C1EC2"/>
    <w:rsid w:val="083C1EE2"/>
    <w:rsid w:val="083C1EF9"/>
    <w:rsid w:val="083C1F12"/>
    <w:rsid w:val="083C1F69"/>
    <w:rsid w:val="083C1F7B"/>
    <w:rsid w:val="083C1FD6"/>
    <w:rsid w:val="083C2035"/>
    <w:rsid w:val="083C2130"/>
    <w:rsid w:val="083C21BD"/>
    <w:rsid w:val="083C222A"/>
    <w:rsid w:val="083C22D9"/>
    <w:rsid w:val="083C2317"/>
    <w:rsid w:val="083C23A2"/>
    <w:rsid w:val="083C23CD"/>
    <w:rsid w:val="083C2405"/>
    <w:rsid w:val="083C2408"/>
    <w:rsid w:val="083C25F8"/>
    <w:rsid w:val="083C2621"/>
    <w:rsid w:val="083C2622"/>
    <w:rsid w:val="083C2635"/>
    <w:rsid w:val="083C265A"/>
    <w:rsid w:val="083C2700"/>
    <w:rsid w:val="083C275C"/>
    <w:rsid w:val="083C27D1"/>
    <w:rsid w:val="083C2884"/>
    <w:rsid w:val="083C28B2"/>
    <w:rsid w:val="083C28BF"/>
    <w:rsid w:val="083C2994"/>
    <w:rsid w:val="083C2A02"/>
    <w:rsid w:val="083C2A20"/>
    <w:rsid w:val="083C2A66"/>
    <w:rsid w:val="083C2ADB"/>
    <w:rsid w:val="083C2B31"/>
    <w:rsid w:val="083C2B4A"/>
    <w:rsid w:val="083C2BAE"/>
    <w:rsid w:val="083C2C27"/>
    <w:rsid w:val="083C2F68"/>
    <w:rsid w:val="083C2F79"/>
    <w:rsid w:val="083C3000"/>
    <w:rsid w:val="083C300A"/>
    <w:rsid w:val="083C3073"/>
    <w:rsid w:val="083C3107"/>
    <w:rsid w:val="083C315D"/>
    <w:rsid w:val="083C315F"/>
    <w:rsid w:val="083C318C"/>
    <w:rsid w:val="083C31AE"/>
    <w:rsid w:val="083C31BB"/>
    <w:rsid w:val="083C322E"/>
    <w:rsid w:val="083C3283"/>
    <w:rsid w:val="083C3292"/>
    <w:rsid w:val="083C32BC"/>
    <w:rsid w:val="083C33DA"/>
    <w:rsid w:val="083C344B"/>
    <w:rsid w:val="083C348D"/>
    <w:rsid w:val="083C34A6"/>
    <w:rsid w:val="083C34D3"/>
    <w:rsid w:val="083C34D6"/>
    <w:rsid w:val="083C3514"/>
    <w:rsid w:val="083C35FC"/>
    <w:rsid w:val="083C3619"/>
    <w:rsid w:val="083C366D"/>
    <w:rsid w:val="083C367B"/>
    <w:rsid w:val="083C375A"/>
    <w:rsid w:val="083C3847"/>
    <w:rsid w:val="083C3943"/>
    <w:rsid w:val="083C39B8"/>
    <w:rsid w:val="083C39DD"/>
    <w:rsid w:val="083C3A44"/>
    <w:rsid w:val="083C3AB9"/>
    <w:rsid w:val="083C3B23"/>
    <w:rsid w:val="083C3B57"/>
    <w:rsid w:val="083C3B6E"/>
    <w:rsid w:val="083C3BA9"/>
    <w:rsid w:val="083C3C23"/>
    <w:rsid w:val="083C3C59"/>
    <w:rsid w:val="083C3CFC"/>
    <w:rsid w:val="083C3D0D"/>
    <w:rsid w:val="083C3D0F"/>
    <w:rsid w:val="083C3D31"/>
    <w:rsid w:val="083C3D3B"/>
    <w:rsid w:val="083C3E97"/>
    <w:rsid w:val="083C3F66"/>
    <w:rsid w:val="083C3F79"/>
    <w:rsid w:val="083C412B"/>
    <w:rsid w:val="083C417D"/>
    <w:rsid w:val="083C4239"/>
    <w:rsid w:val="083C43FF"/>
    <w:rsid w:val="083C44A7"/>
    <w:rsid w:val="083C454F"/>
    <w:rsid w:val="083C4553"/>
    <w:rsid w:val="083C4598"/>
    <w:rsid w:val="083C45D1"/>
    <w:rsid w:val="083C45F4"/>
    <w:rsid w:val="083C46E2"/>
    <w:rsid w:val="083C4712"/>
    <w:rsid w:val="083C476D"/>
    <w:rsid w:val="083C478F"/>
    <w:rsid w:val="083C48DB"/>
    <w:rsid w:val="083C499C"/>
    <w:rsid w:val="083C49C1"/>
    <w:rsid w:val="083C49D1"/>
    <w:rsid w:val="083C4A5E"/>
    <w:rsid w:val="083C4B19"/>
    <w:rsid w:val="083C4B5B"/>
    <w:rsid w:val="083C4B68"/>
    <w:rsid w:val="083C4B83"/>
    <w:rsid w:val="083C4BFC"/>
    <w:rsid w:val="083C4ED5"/>
    <w:rsid w:val="083C4F62"/>
    <w:rsid w:val="083C4FB9"/>
    <w:rsid w:val="083C4FC7"/>
    <w:rsid w:val="083C5055"/>
    <w:rsid w:val="083C50FA"/>
    <w:rsid w:val="083C5175"/>
    <w:rsid w:val="083C51BE"/>
    <w:rsid w:val="083C51FF"/>
    <w:rsid w:val="083C5230"/>
    <w:rsid w:val="083C52D8"/>
    <w:rsid w:val="083C52E9"/>
    <w:rsid w:val="083C5308"/>
    <w:rsid w:val="083C544F"/>
    <w:rsid w:val="083C5473"/>
    <w:rsid w:val="083C5475"/>
    <w:rsid w:val="083C54FE"/>
    <w:rsid w:val="083C55F5"/>
    <w:rsid w:val="083C571B"/>
    <w:rsid w:val="083C572F"/>
    <w:rsid w:val="083C582C"/>
    <w:rsid w:val="083C5916"/>
    <w:rsid w:val="083C5AD5"/>
    <w:rsid w:val="083C5AEF"/>
    <w:rsid w:val="083C5BCA"/>
    <w:rsid w:val="083C5C08"/>
    <w:rsid w:val="083C5CC5"/>
    <w:rsid w:val="083C5DCA"/>
    <w:rsid w:val="083C5EC1"/>
    <w:rsid w:val="083C5F7D"/>
    <w:rsid w:val="083C5FAE"/>
    <w:rsid w:val="083C60AD"/>
    <w:rsid w:val="083C60FC"/>
    <w:rsid w:val="083C6171"/>
    <w:rsid w:val="083C61F2"/>
    <w:rsid w:val="083C6275"/>
    <w:rsid w:val="083C62E5"/>
    <w:rsid w:val="083C62F2"/>
    <w:rsid w:val="083C63B1"/>
    <w:rsid w:val="083C6473"/>
    <w:rsid w:val="083C655F"/>
    <w:rsid w:val="083C6577"/>
    <w:rsid w:val="083C65BB"/>
    <w:rsid w:val="083C65DA"/>
    <w:rsid w:val="083C66DE"/>
    <w:rsid w:val="083C670F"/>
    <w:rsid w:val="083C672E"/>
    <w:rsid w:val="083C67A2"/>
    <w:rsid w:val="083C67CD"/>
    <w:rsid w:val="083C6838"/>
    <w:rsid w:val="083C6846"/>
    <w:rsid w:val="083C6858"/>
    <w:rsid w:val="083C6895"/>
    <w:rsid w:val="083C6910"/>
    <w:rsid w:val="083C6933"/>
    <w:rsid w:val="083C6991"/>
    <w:rsid w:val="083C6A4E"/>
    <w:rsid w:val="083C6A82"/>
    <w:rsid w:val="083C6D1C"/>
    <w:rsid w:val="083C6D40"/>
    <w:rsid w:val="083C6D60"/>
    <w:rsid w:val="083C6DA8"/>
    <w:rsid w:val="083C6E7D"/>
    <w:rsid w:val="083C6E91"/>
    <w:rsid w:val="083C6F28"/>
    <w:rsid w:val="083C6F4F"/>
    <w:rsid w:val="083C70CD"/>
    <w:rsid w:val="083C7162"/>
    <w:rsid w:val="083C7285"/>
    <w:rsid w:val="083C73D6"/>
    <w:rsid w:val="083C73D9"/>
    <w:rsid w:val="083C7417"/>
    <w:rsid w:val="083C741C"/>
    <w:rsid w:val="083C7461"/>
    <w:rsid w:val="083C74B6"/>
    <w:rsid w:val="083C74BC"/>
    <w:rsid w:val="083C74CF"/>
    <w:rsid w:val="083C7582"/>
    <w:rsid w:val="083C75B3"/>
    <w:rsid w:val="083C7615"/>
    <w:rsid w:val="083C761E"/>
    <w:rsid w:val="083C7667"/>
    <w:rsid w:val="083C766E"/>
    <w:rsid w:val="083C7704"/>
    <w:rsid w:val="083C7831"/>
    <w:rsid w:val="083C7887"/>
    <w:rsid w:val="083C78D6"/>
    <w:rsid w:val="083C795E"/>
    <w:rsid w:val="083C796B"/>
    <w:rsid w:val="083C7AD0"/>
    <w:rsid w:val="083C7AEC"/>
    <w:rsid w:val="083C7B15"/>
    <w:rsid w:val="083C7C26"/>
    <w:rsid w:val="083C7C53"/>
    <w:rsid w:val="083C7D43"/>
    <w:rsid w:val="083C7D79"/>
    <w:rsid w:val="083C7D8D"/>
    <w:rsid w:val="083C7EAC"/>
    <w:rsid w:val="083C7F88"/>
    <w:rsid w:val="083C7FAA"/>
    <w:rsid w:val="083D0011"/>
    <w:rsid w:val="083D0014"/>
    <w:rsid w:val="083D0045"/>
    <w:rsid w:val="083D009C"/>
    <w:rsid w:val="083D0115"/>
    <w:rsid w:val="083D01EB"/>
    <w:rsid w:val="083D02E3"/>
    <w:rsid w:val="083D0488"/>
    <w:rsid w:val="083D04DF"/>
    <w:rsid w:val="083D055C"/>
    <w:rsid w:val="083D0595"/>
    <w:rsid w:val="083D05C6"/>
    <w:rsid w:val="083D0684"/>
    <w:rsid w:val="083D0686"/>
    <w:rsid w:val="083D06CD"/>
    <w:rsid w:val="083D071F"/>
    <w:rsid w:val="083D0755"/>
    <w:rsid w:val="083D0764"/>
    <w:rsid w:val="083D07C3"/>
    <w:rsid w:val="083D086C"/>
    <w:rsid w:val="083D09EE"/>
    <w:rsid w:val="083D0AA7"/>
    <w:rsid w:val="083D0AD1"/>
    <w:rsid w:val="083D0B24"/>
    <w:rsid w:val="083D0C36"/>
    <w:rsid w:val="083D0C5D"/>
    <w:rsid w:val="083D0C85"/>
    <w:rsid w:val="083D0D84"/>
    <w:rsid w:val="083D0DB3"/>
    <w:rsid w:val="083D0E36"/>
    <w:rsid w:val="083D0EB6"/>
    <w:rsid w:val="083D104C"/>
    <w:rsid w:val="083D10DA"/>
    <w:rsid w:val="083D1103"/>
    <w:rsid w:val="083D1202"/>
    <w:rsid w:val="083D1264"/>
    <w:rsid w:val="083D131F"/>
    <w:rsid w:val="083D13C0"/>
    <w:rsid w:val="083D13EF"/>
    <w:rsid w:val="083D146B"/>
    <w:rsid w:val="083D1523"/>
    <w:rsid w:val="083D1525"/>
    <w:rsid w:val="083D1549"/>
    <w:rsid w:val="083D1560"/>
    <w:rsid w:val="083D1598"/>
    <w:rsid w:val="083D15E6"/>
    <w:rsid w:val="083D1602"/>
    <w:rsid w:val="083D1609"/>
    <w:rsid w:val="083D1752"/>
    <w:rsid w:val="083D17C9"/>
    <w:rsid w:val="083D17E3"/>
    <w:rsid w:val="083D1876"/>
    <w:rsid w:val="083D18F5"/>
    <w:rsid w:val="083D1910"/>
    <w:rsid w:val="083D1911"/>
    <w:rsid w:val="083D19B6"/>
    <w:rsid w:val="083D1A7E"/>
    <w:rsid w:val="083D1B4E"/>
    <w:rsid w:val="083D1C9D"/>
    <w:rsid w:val="083D1CBE"/>
    <w:rsid w:val="083D1CFF"/>
    <w:rsid w:val="083D1D77"/>
    <w:rsid w:val="083D1EEC"/>
    <w:rsid w:val="083D1F38"/>
    <w:rsid w:val="083D2012"/>
    <w:rsid w:val="083D207D"/>
    <w:rsid w:val="083D20E9"/>
    <w:rsid w:val="083D20EE"/>
    <w:rsid w:val="083D2142"/>
    <w:rsid w:val="083D2157"/>
    <w:rsid w:val="083D21B3"/>
    <w:rsid w:val="083D2217"/>
    <w:rsid w:val="083D2265"/>
    <w:rsid w:val="083D2306"/>
    <w:rsid w:val="083D24A7"/>
    <w:rsid w:val="083D24F0"/>
    <w:rsid w:val="083D2581"/>
    <w:rsid w:val="083D258D"/>
    <w:rsid w:val="083D27C0"/>
    <w:rsid w:val="083D287E"/>
    <w:rsid w:val="083D28A7"/>
    <w:rsid w:val="083D29A2"/>
    <w:rsid w:val="083D2A23"/>
    <w:rsid w:val="083D2B88"/>
    <w:rsid w:val="083D2DE7"/>
    <w:rsid w:val="083D2E19"/>
    <w:rsid w:val="083D2E2A"/>
    <w:rsid w:val="083D2EA9"/>
    <w:rsid w:val="083D2EFC"/>
    <w:rsid w:val="083D2F31"/>
    <w:rsid w:val="083D2FED"/>
    <w:rsid w:val="083D3015"/>
    <w:rsid w:val="083D308C"/>
    <w:rsid w:val="083D30DF"/>
    <w:rsid w:val="083D3150"/>
    <w:rsid w:val="083D3200"/>
    <w:rsid w:val="083D3224"/>
    <w:rsid w:val="083D324F"/>
    <w:rsid w:val="083D328B"/>
    <w:rsid w:val="083D32AE"/>
    <w:rsid w:val="083D3302"/>
    <w:rsid w:val="083D3318"/>
    <w:rsid w:val="083D3401"/>
    <w:rsid w:val="083D3411"/>
    <w:rsid w:val="083D3416"/>
    <w:rsid w:val="083D3419"/>
    <w:rsid w:val="083D3749"/>
    <w:rsid w:val="083D3760"/>
    <w:rsid w:val="083D38F9"/>
    <w:rsid w:val="083D3979"/>
    <w:rsid w:val="083D3A75"/>
    <w:rsid w:val="083D3A7A"/>
    <w:rsid w:val="083D3A9B"/>
    <w:rsid w:val="083D3AF1"/>
    <w:rsid w:val="083D3BD7"/>
    <w:rsid w:val="083D3BDD"/>
    <w:rsid w:val="083D3C85"/>
    <w:rsid w:val="083D3C8D"/>
    <w:rsid w:val="083D3CCB"/>
    <w:rsid w:val="083D3CE6"/>
    <w:rsid w:val="083D3DB4"/>
    <w:rsid w:val="083D3DBA"/>
    <w:rsid w:val="083D3E22"/>
    <w:rsid w:val="083D3E58"/>
    <w:rsid w:val="083D3E6C"/>
    <w:rsid w:val="083D3E73"/>
    <w:rsid w:val="083D3EA0"/>
    <w:rsid w:val="083D3F61"/>
    <w:rsid w:val="083D3F64"/>
    <w:rsid w:val="083D3F65"/>
    <w:rsid w:val="083D3FE1"/>
    <w:rsid w:val="083D3FEE"/>
    <w:rsid w:val="083D4147"/>
    <w:rsid w:val="083D414B"/>
    <w:rsid w:val="083D422C"/>
    <w:rsid w:val="083D4232"/>
    <w:rsid w:val="083D423D"/>
    <w:rsid w:val="083D42A3"/>
    <w:rsid w:val="083D4316"/>
    <w:rsid w:val="083D435C"/>
    <w:rsid w:val="083D4360"/>
    <w:rsid w:val="083D4405"/>
    <w:rsid w:val="083D442F"/>
    <w:rsid w:val="083D45A2"/>
    <w:rsid w:val="083D461C"/>
    <w:rsid w:val="083D46B1"/>
    <w:rsid w:val="083D4749"/>
    <w:rsid w:val="083D47B5"/>
    <w:rsid w:val="083D480E"/>
    <w:rsid w:val="083D48D0"/>
    <w:rsid w:val="083D4981"/>
    <w:rsid w:val="083D498D"/>
    <w:rsid w:val="083D4A29"/>
    <w:rsid w:val="083D4AAE"/>
    <w:rsid w:val="083D4BDF"/>
    <w:rsid w:val="083D4C5D"/>
    <w:rsid w:val="083D4CBD"/>
    <w:rsid w:val="083D4CC0"/>
    <w:rsid w:val="083D4D98"/>
    <w:rsid w:val="083D4EC9"/>
    <w:rsid w:val="083D4EEE"/>
    <w:rsid w:val="083D4F15"/>
    <w:rsid w:val="083D4F4C"/>
    <w:rsid w:val="083D502A"/>
    <w:rsid w:val="083D5050"/>
    <w:rsid w:val="083D509B"/>
    <w:rsid w:val="083D509C"/>
    <w:rsid w:val="083D50BE"/>
    <w:rsid w:val="083D5145"/>
    <w:rsid w:val="083D514B"/>
    <w:rsid w:val="083D5164"/>
    <w:rsid w:val="083D5165"/>
    <w:rsid w:val="083D5237"/>
    <w:rsid w:val="083D52B4"/>
    <w:rsid w:val="083D52F4"/>
    <w:rsid w:val="083D5300"/>
    <w:rsid w:val="083D5448"/>
    <w:rsid w:val="083D54E2"/>
    <w:rsid w:val="083D54FA"/>
    <w:rsid w:val="083D556D"/>
    <w:rsid w:val="083D55AC"/>
    <w:rsid w:val="083D569B"/>
    <w:rsid w:val="083D5790"/>
    <w:rsid w:val="083D58AA"/>
    <w:rsid w:val="083D58AB"/>
    <w:rsid w:val="083D58B9"/>
    <w:rsid w:val="083D58FE"/>
    <w:rsid w:val="083D592D"/>
    <w:rsid w:val="083D597D"/>
    <w:rsid w:val="083D5994"/>
    <w:rsid w:val="083D59AD"/>
    <w:rsid w:val="083D59DB"/>
    <w:rsid w:val="083D5A29"/>
    <w:rsid w:val="083D5AD8"/>
    <w:rsid w:val="083D5BD1"/>
    <w:rsid w:val="083D5DF2"/>
    <w:rsid w:val="083D5E45"/>
    <w:rsid w:val="083D5E7C"/>
    <w:rsid w:val="083D5F69"/>
    <w:rsid w:val="083D5FCD"/>
    <w:rsid w:val="083D6022"/>
    <w:rsid w:val="083D60D2"/>
    <w:rsid w:val="083D61A3"/>
    <w:rsid w:val="083D6272"/>
    <w:rsid w:val="083D630F"/>
    <w:rsid w:val="083D6324"/>
    <w:rsid w:val="083D639C"/>
    <w:rsid w:val="083D63D3"/>
    <w:rsid w:val="083D63F9"/>
    <w:rsid w:val="083D6413"/>
    <w:rsid w:val="083D647B"/>
    <w:rsid w:val="083D64F6"/>
    <w:rsid w:val="083D6561"/>
    <w:rsid w:val="083D65D7"/>
    <w:rsid w:val="083D65F9"/>
    <w:rsid w:val="083D6608"/>
    <w:rsid w:val="083D67DE"/>
    <w:rsid w:val="083D681D"/>
    <w:rsid w:val="083D6AAE"/>
    <w:rsid w:val="083D6B3C"/>
    <w:rsid w:val="083D6BD9"/>
    <w:rsid w:val="083D6BDA"/>
    <w:rsid w:val="083D6BFD"/>
    <w:rsid w:val="083D6CD3"/>
    <w:rsid w:val="083D6D3C"/>
    <w:rsid w:val="083D6D64"/>
    <w:rsid w:val="083D6E0E"/>
    <w:rsid w:val="083D6E1A"/>
    <w:rsid w:val="083D6E5C"/>
    <w:rsid w:val="083D6E80"/>
    <w:rsid w:val="083D6FF9"/>
    <w:rsid w:val="083D70D5"/>
    <w:rsid w:val="083D710B"/>
    <w:rsid w:val="083D718D"/>
    <w:rsid w:val="083D7195"/>
    <w:rsid w:val="083D72ED"/>
    <w:rsid w:val="083D7430"/>
    <w:rsid w:val="083D7451"/>
    <w:rsid w:val="083D7492"/>
    <w:rsid w:val="083D74AC"/>
    <w:rsid w:val="083D74B7"/>
    <w:rsid w:val="083D7598"/>
    <w:rsid w:val="083D75B1"/>
    <w:rsid w:val="083D7678"/>
    <w:rsid w:val="083D77AF"/>
    <w:rsid w:val="083D77E8"/>
    <w:rsid w:val="083D7831"/>
    <w:rsid w:val="083D78BE"/>
    <w:rsid w:val="083D78FE"/>
    <w:rsid w:val="083D7953"/>
    <w:rsid w:val="083D7A23"/>
    <w:rsid w:val="083D7BA6"/>
    <w:rsid w:val="083D7D42"/>
    <w:rsid w:val="083D7D54"/>
    <w:rsid w:val="083D7DA9"/>
    <w:rsid w:val="083D7DF4"/>
    <w:rsid w:val="083D7E16"/>
    <w:rsid w:val="083D7E3A"/>
    <w:rsid w:val="083D7E73"/>
    <w:rsid w:val="083D7F4B"/>
    <w:rsid w:val="083D7F7A"/>
    <w:rsid w:val="083D7FC4"/>
    <w:rsid w:val="083E008A"/>
    <w:rsid w:val="083E0158"/>
    <w:rsid w:val="083E0177"/>
    <w:rsid w:val="083E0258"/>
    <w:rsid w:val="083E0261"/>
    <w:rsid w:val="083E028B"/>
    <w:rsid w:val="083E035E"/>
    <w:rsid w:val="083E04AD"/>
    <w:rsid w:val="083E04BB"/>
    <w:rsid w:val="083E0694"/>
    <w:rsid w:val="083E073D"/>
    <w:rsid w:val="083E0744"/>
    <w:rsid w:val="083E0767"/>
    <w:rsid w:val="083E07EC"/>
    <w:rsid w:val="083E0803"/>
    <w:rsid w:val="083E084E"/>
    <w:rsid w:val="083E0A2F"/>
    <w:rsid w:val="083E0A5A"/>
    <w:rsid w:val="083E0A66"/>
    <w:rsid w:val="083E0A89"/>
    <w:rsid w:val="083E0A94"/>
    <w:rsid w:val="083E0BF8"/>
    <w:rsid w:val="083E0D2C"/>
    <w:rsid w:val="083E0D3A"/>
    <w:rsid w:val="083E0E2E"/>
    <w:rsid w:val="083E0EBC"/>
    <w:rsid w:val="083E0ED3"/>
    <w:rsid w:val="083E0F1B"/>
    <w:rsid w:val="083E0F8C"/>
    <w:rsid w:val="083E0FA8"/>
    <w:rsid w:val="083E106C"/>
    <w:rsid w:val="083E10F9"/>
    <w:rsid w:val="083E1164"/>
    <w:rsid w:val="083E11E0"/>
    <w:rsid w:val="083E1246"/>
    <w:rsid w:val="083E12BC"/>
    <w:rsid w:val="083E134E"/>
    <w:rsid w:val="083E1357"/>
    <w:rsid w:val="083E13B2"/>
    <w:rsid w:val="083E14F7"/>
    <w:rsid w:val="083E1532"/>
    <w:rsid w:val="083E15AE"/>
    <w:rsid w:val="083E15C8"/>
    <w:rsid w:val="083E15EF"/>
    <w:rsid w:val="083E15F2"/>
    <w:rsid w:val="083E165B"/>
    <w:rsid w:val="083E18BC"/>
    <w:rsid w:val="083E1932"/>
    <w:rsid w:val="083E1BD0"/>
    <w:rsid w:val="083E1C07"/>
    <w:rsid w:val="083E1C0F"/>
    <w:rsid w:val="083E1CCC"/>
    <w:rsid w:val="083E1D0B"/>
    <w:rsid w:val="083E1E74"/>
    <w:rsid w:val="083E1E7F"/>
    <w:rsid w:val="083E1F56"/>
    <w:rsid w:val="083E1F80"/>
    <w:rsid w:val="083E2201"/>
    <w:rsid w:val="083E242A"/>
    <w:rsid w:val="083E2530"/>
    <w:rsid w:val="083E2545"/>
    <w:rsid w:val="083E266C"/>
    <w:rsid w:val="083E2698"/>
    <w:rsid w:val="083E274B"/>
    <w:rsid w:val="083E2781"/>
    <w:rsid w:val="083E2810"/>
    <w:rsid w:val="083E28C6"/>
    <w:rsid w:val="083E2997"/>
    <w:rsid w:val="083E29AE"/>
    <w:rsid w:val="083E2A11"/>
    <w:rsid w:val="083E2A82"/>
    <w:rsid w:val="083E2BC5"/>
    <w:rsid w:val="083E2C27"/>
    <w:rsid w:val="083E2C6B"/>
    <w:rsid w:val="083E2C80"/>
    <w:rsid w:val="083E2CD5"/>
    <w:rsid w:val="083E2CFF"/>
    <w:rsid w:val="083E2D6B"/>
    <w:rsid w:val="083E2D70"/>
    <w:rsid w:val="083E2E7B"/>
    <w:rsid w:val="083E2E9E"/>
    <w:rsid w:val="083E2FEF"/>
    <w:rsid w:val="083E302C"/>
    <w:rsid w:val="083E3074"/>
    <w:rsid w:val="083E308C"/>
    <w:rsid w:val="083E30C5"/>
    <w:rsid w:val="083E30D1"/>
    <w:rsid w:val="083E31EC"/>
    <w:rsid w:val="083E326E"/>
    <w:rsid w:val="083E3327"/>
    <w:rsid w:val="083E337B"/>
    <w:rsid w:val="083E3407"/>
    <w:rsid w:val="083E3444"/>
    <w:rsid w:val="083E3487"/>
    <w:rsid w:val="083E34A2"/>
    <w:rsid w:val="083E3510"/>
    <w:rsid w:val="083E356B"/>
    <w:rsid w:val="083E359B"/>
    <w:rsid w:val="083E365E"/>
    <w:rsid w:val="083E367D"/>
    <w:rsid w:val="083E36A1"/>
    <w:rsid w:val="083E36DB"/>
    <w:rsid w:val="083E36F9"/>
    <w:rsid w:val="083E37A0"/>
    <w:rsid w:val="083E380B"/>
    <w:rsid w:val="083E382F"/>
    <w:rsid w:val="083E39C9"/>
    <w:rsid w:val="083E39D3"/>
    <w:rsid w:val="083E3A4B"/>
    <w:rsid w:val="083E3A71"/>
    <w:rsid w:val="083E3AAA"/>
    <w:rsid w:val="083E3AAF"/>
    <w:rsid w:val="083E3B14"/>
    <w:rsid w:val="083E3B19"/>
    <w:rsid w:val="083E3C41"/>
    <w:rsid w:val="083E3D31"/>
    <w:rsid w:val="083E3EBF"/>
    <w:rsid w:val="083E3ECA"/>
    <w:rsid w:val="083E3FB0"/>
    <w:rsid w:val="083E4014"/>
    <w:rsid w:val="083E40A5"/>
    <w:rsid w:val="083E4111"/>
    <w:rsid w:val="083E4133"/>
    <w:rsid w:val="083E41F7"/>
    <w:rsid w:val="083E41FA"/>
    <w:rsid w:val="083E4291"/>
    <w:rsid w:val="083E429E"/>
    <w:rsid w:val="083E43FB"/>
    <w:rsid w:val="083E4426"/>
    <w:rsid w:val="083E44DE"/>
    <w:rsid w:val="083E4516"/>
    <w:rsid w:val="083E4531"/>
    <w:rsid w:val="083E454B"/>
    <w:rsid w:val="083E4589"/>
    <w:rsid w:val="083E45DF"/>
    <w:rsid w:val="083E4609"/>
    <w:rsid w:val="083E4633"/>
    <w:rsid w:val="083E4653"/>
    <w:rsid w:val="083E46AB"/>
    <w:rsid w:val="083E4712"/>
    <w:rsid w:val="083E4790"/>
    <w:rsid w:val="083E4870"/>
    <w:rsid w:val="083E488C"/>
    <w:rsid w:val="083E4934"/>
    <w:rsid w:val="083E4A82"/>
    <w:rsid w:val="083E4ACA"/>
    <w:rsid w:val="083E4B20"/>
    <w:rsid w:val="083E4C8A"/>
    <w:rsid w:val="083E4D30"/>
    <w:rsid w:val="083E4D58"/>
    <w:rsid w:val="083E4D8D"/>
    <w:rsid w:val="083E4DCD"/>
    <w:rsid w:val="083E4DD5"/>
    <w:rsid w:val="083E500F"/>
    <w:rsid w:val="083E5071"/>
    <w:rsid w:val="083E510A"/>
    <w:rsid w:val="083E5288"/>
    <w:rsid w:val="083E538F"/>
    <w:rsid w:val="083E5403"/>
    <w:rsid w:val="083E5589"/>
    <w:rsid w:val="083E5624"/>
    <w:rsid w:val="083E566E"/>
    <w:rsid w:val="083E580A"/>
    <w:rsid w:val="083E585A"/>
    <w:rsid w:val="083E58C7"/>
    <w:rsid w:val="083E598E"/>
    <w:rsid w:val="083E5A52"/>
    <w:rsid w:val="083E5AF6"/>
    <w:rsid w:val="083E5BD9"/>
    <w:rsid w:val="083E5D7A"/>
    <w:rsid w:val="083E5D8C"/>
    <w:rsid w:val="083E5DDC"/>
    <w:rsid w:val="083E5E35"/>
    <w:rsid w:val="083E5E67"/>
    <w:rsid w:val="083E5E71"/>
    <w:rsid w:val="083E5F35"/>
    <w:rsid w:val="083E5F7E"/>
    <w:rsid w:val="083E5FA7"/>
    <w:rsid w:val="083E6000"/>
    <w:rsid w:val="083E60A0"/>
    <w:rsid w:val="083E60AD"/>
    <w:rsid w:val="083E60D3"/>
    <w:rsid w:val="083E617B"/>
    <w:rsid w:val="083E61E2"/>
    <w:rsid w:val="083E620D"/>
    <w:rsid w:val="083E6214"/>
    <w:rsid w:val="083E6232"/>
    <w:rsid w:val="083E623D"/>
    <w:rsid w:val="083E624F"/>
    <w:rsid w:val="083E632F"/>
    <w:rsid w:val="083E63D0"/>
    <w:rsid w:val="083E64C6"/>
    <w:rsid w:val="083E64DE"/>
    <w:rsid w:val="083E65B2"/>
    <w:rsid w:val="083E6616"/>
    <w:rsid w:val="083E667C"/>
    <w:rsid w:val="083E6728"/>
    <w:rsid w:val="083E6789"/>
    <w:rsid w:val="083E67EA"/>
    <w:rsid w:val="083E6941"/>
    <w:rsid w:val="083E6971"/>
    <w:rsid w:val="083E6A13"/>
    <w:rsid w:val="083E6BDF"/>
    <w:rsid w:val="083E6C37"/>
    <w:rsid w:val="083E6D8B"/>
    <w:rsid w:val="083E6E10"/>
    <w:rsid w:val="083E6E6C"/>
    <w:rsid w:val="083E6EC8"/>
    <w:rsid w:val="083E6ED9"/>
    <w:rsid w:val="083E6F2D"/>
    <w:rsid w:val="083E707C"/>
    <w:rsid w:val="083E70E3"/>
    <w:rsid w:val="083E7117"/>
    <w:rsid w:val="083E7225"/>
    <w:rsid w:val="083E7338"/>
    <w:rsid w:val="083E7410"/>
    <w:rsid w:val="083E745B"/>
    <w:rsid w:val="083E74CE"/>
    <w:rsid w:val="083E74E3"/>
    <w:rsid w:val="083E75E0"/>
    <w:rsid w:val="083E7648"/>
    <w:rsid w:val="083E7674"/>
    <w:rsid w:val="083E770E"/>
    <w:rsid w:val="083E7782"/>
    <w:rsid w:val="083E782F"/>
    <w:rsid w:val="083E7912"/>
    <w:rsid w:val="083E7985"/>
    <w:rsid w:val="083E79D7"/>
    <w:rsid w:val="083E79E5"/>
    <w:rsid w:val="083E7A5C"/>
    <w:rsid w:val="083E7A8F"/>
    <w:rsid w:val="083E7A95"/>
    <w:rsid w:val="083E7B1E"/>
    <w:rsid w:val="083E7B5F"/>
    <w:rsid w:val="083E7B6C"/>
    <w:rsid w:val="083E7B7A"/>
    <w:rsid w:val="083E7B82"/>
    <w:rsid w:val="083E7BA2"/>
    <w:rsid w:val="083E7D2A"/>
    <w:rsid w:val="083E7E6C"/>
    <w:rsid w:val="083E7ED2"/>
    <w:rsid w:val="083E7F23"/>
    <w:rsid w:val="083E7F27"/>
    <w:rsid w:val="083E7F2F"/>
    <w:rsid w:val="083E7F39"/>
    <w:rsid w:val="083E7F73"/>
    <w:rsid w:val="083F0052"/>
    <w:rsid w:val="083F007B"/>
    <w:rsid w:val="083F00AE"/>
    <w:rsid w:val="083F00AF"/>
    <w:rsid w:val="083F00C5"/>
    <w:rsid w:val="083F0111"/>
    <w:rsid w:val="083F0189"/>
    <w:rsid w:val="083F018E"/>
    <w:rsid w:val="083F0263"/>
    <w:rsid w:val="083F028F"/>
    <w:rsid w:val="083F029B"/>
    <w:rsid w:val="083F030B"/>
    <w:rsid w:val="083F0413"/>
    <w:rsid w:val="083F043A"/>
    <w:rsid w:val="083F046C"/>
    <w:rsid w:val="083F04A6"/>
    <w:rsid w:val="083F04F0"/>
    <w:rsid w:val="083F0513"/>
    <w:rsid w:val="083F0633"/>
    <w:rsid w:val="083F0644"/>
    <w:rsid w:val="083F06A9"/>
    <w:rsid w:val="083F06D3"/>
    <w:rsid w:val="083F0704"/>
    <w:rsid w:val="083F0769"/>
    <w:rsid w:val="083F07B1"/>
    <w:rsid w:val="083F07D8"/>
    <w:rsid w:val="083F0868"/>
    <w:rsid w:val="083F096E"/>
    <w:rsid w:val="083F0AC3"/>
    <w:rsid w:val="083F0B35"/>
    <w:rsid w:val="083F0B6E"/>
    <w:rsid w:val="083F0B72"/>
    <w:rsid w:val="083F0B8B"/>
    <w:rsid w:val="083F0C26"/>
    <w:rsid w:val="083F0C47"/>
    <w:rsid w:val="083F0C90"/>
    <w:rsid w:val="083F0D3A"/>
    <w:rsid w:val="083F0DED"/>
    <w:rsid w:val="083F0E24"/>
    <w:rsid w:val="083F0E9C"/>
    <w:rsid w:val="083F0F47"/>
    <w:rsid w:val="083F0F69"/>
    <w:rsid w:val="083F0F91"/>
    <w:rsid w:val="083F0FA7"/>
    <w:rsid w:val="083F0FC3"/>
    <w:rsid w:val="083F0FC4"/>
    <w:rsid w:val="083F1032"/>
    <w:rsid w:val="083F1079"/>
    <w:rsid w:val="083F111F"/>
    <w:rsid w:val="083F112D"/>
    <w:rsid w:val="083F1173"/>
    <w:rsid w:val="083F1179"/>
    <w:rsid w:val="083F11E0"/>
    <w:rsid w:val="083F128E"/>
    <w:rsid w:val="083F12E7"/>
    <w:rsid w:val="083F13DF"/>
    <w:rsid w:val="083F141E"/>
    <w:rsid w:val="083F145C"/>
    <w:rsid w:val="083F153D"/>
    <w:rsid w:val="083F1620"/>
    <w:rsid w:val="083F1736"/>
    <w:rsid w:val="083F17CC"/>
    <w:rsid w:val="083F17D9"/>
    <w:rsid w:val="083F1877"/>
    <w:rsid w:val="083F18A6"/>
    <w:rsid w:val="083F18F9"/>
    <w:rsid w:val="083F199F"/>
    <w:rsid w:val="083F19B8"/>
    <w:rsid w:val="083F1A78"/>
    <w:rsid w:val="083F1ADB"/>
    <w:rsid w:val="083F1ADC"/>
    <w:rsid w:val="083F1B51"/>
    <w:rsid w:val="083F1C09"/>
    <w:rsid w:val="083F1CD8"/>
    <w:rsid w:val="083F1D48"/>
    <w:rsid w:val="083F1EC5"/>
    <w:rsid w:val="083F1F4A"/>
    <w:rsid w:val="083F2008"/>
    <w:rsid w:val="083F202D"/>
    <w:rsid w:val="083F20D3"/>
    <w:rsid w:val="083F20E4"/>
    <w:rsid w:val="083F2108"/>
    <w:rsid w:val="083F218C"/>
    <w:rsid w:val="083F218D"/>
    <w:rsid w:val="083F21A7"/>
    <w:rsid w:val="083F2289"/>
    <w:rsid w:val="083F2298"/>
    <w:rsid w:val="083F2340"/>
    <w:rsid w:val="083F237D"/>
    <w:rsid w:val="083F243E"/>
    <w:rsid w:val="083F2564"/>
    <w:rsid w:val="083F25A6"/>
    <w:rsid w:val="083F2671"/>
    <w:rsid w:val="083F26C2"/>
    <w:rsid w:val="083F2795"/>
    <w:rsid w:val="083F27BA"/>
    <w:rsid w:val="083F27D4"/>
    <w:rsid w:val="083F27E5"/>
    <w:rsid w:val="083F283C"/>
    <w:rsid w:val="083F2849"/>
    <w:rsid w:val="083F28CB"/>
    <w:rsid w:val="083F2943"/>
    <w:rsid w:val="083F2BB7"/>
    <w:rsid w:val="083F2BE4"/>
    <w:rsid w:val="083F2C4A"/>
    <w:rsid w:val="083F2C8C"/>
    <w:rsid w:val="083F2C9D"/>
    <w:rsid w:val="083F2CF3"/>
    <w:rsid w:val="083F2D40"/>
    <w:rsid w:val="083F2D8A"/>
    <w:rsid w:val="083F2E92"/>
    <w:rsid w:val="083F2E98"/>
    <w:rsid w:val="083F2EF3"/>
    <w:rsid w:val="083F2F2D"/>
    <w:rsid w:val="083F3023"/>
    <w:rsid w:val="083F3036"/>
    <w:rsid w:val="083F3103"/>
    <w:rsid w:val="083F3107"/>
    <w:rsid w:val="083F3170"/>
    <w:rsid w:val="083F3205"/>
    <w:rsid w:val="083F3220"/>
    <w:rsid w:val="083F3368"/>
    <w:rsid w:val="083F3388"/>
    <w:rsid w:val="083F33D5"/>
    <w:rsid w:val="083F343B"/>
    <w:rsid w:val="083F3476"/>
    <w:rsid w:val="083F34D8"/>
    <w:rsid w:val="083F34E6"/>
    <w:rsid w:val="083F3524"/>
    <w:rsid w:val="083F3545"/>
    <w:rsid w:val="083F3561"/>
    <w:rsid w:val="083F3584"/>
    <w:rsid w:val="083F35BA"/>
    <w:rsid w:val="083F35FE"/>
    <w:rsid w:val="083F362D"/>
    <w:rsid w:val="083F368A"/>
    <w:rsid w:val="083F3696"/>
    <w:rsid w:val="083F36E4"/>
    <w:rsid w:val="083F36F6"/>
    <w:rsid w:val="083F3710"/>
    <w:rsid w:val="083F38FD"/>
    <w:rsid w:val="083F3906"/>
    <w:rsid w:val="083F3950"/>
    <w:rsid w:val="083F3AEB"/>
    <w:rsid w:val="083F3AED"/>
    <w:rsid w:val="083F3BAB"/>
    <w:rsid w:val="083F3C19"/>
    <w:rsid w:val="083F3CA3"/>
    <w:rsid w:val="083F3CBE"/>
    <w:rsid w:val="083F3D14"/>
    <w:rsid w:val="083F3D46"/>
    <w:rsid w:val="083F3DE1"/>
    <w:rsid w:val="083F3E20"/>
    <w:rsid w:val="083F3E55"/>
    <w:rsid w:val="083F3EA8"/>
    <w:rsid w:val="083F3ECA"/>
    <w:rsid w:val="083F3EF7"/>
    <w:rsid w:val="083F3FCA"/>
    <w:rsid w:val="083F3FCC"/>
    <w:rsid w:val="083F4027"/>
    <w:rsid w:val="083F4038"/>
    <w:rsid w:val="083F4062"/>
    <w:rsid w:val="083F413B"/>
    <w:rsid w:val="083F4226"/>
    <w:rsid w:val="083F4266"/>
    <w:rsid w:val="083F4433"/>
    <w:rsid w:val="083F4459"/>
    <w:rsid w:val="083F44A2"/>
    <w:rsid w:val="083F4518"/>
    <w:rsid w:val="083F4528"/>
    <w:rsid w:val="083F455A"/>
    <w:rsid w:val="083F45A7"/>
    <w:rsid w:val="083F45AD"/>
    <w:rsid w:val="083F4685"/>
    <w:rsid w:val="083F483A"/>
    <w:rsid w:val="083F489B"/>
    <w:rsid w:val="083F48D4"/>
    <w:rsid w:val="083F493D"/>
    <w:rsid w:val="083F494B"/>
    <w:rsid w:val="083F4953"/>
    <w:rsid w:val="083F4960"/>
    <w:rsid w:val="083F4AC9"/>
    <w:rsid w:val="083F4C13"/>
    <w:rsid w:val="083F4C9A"/>
    <w:rsid w:val="083F4CAF"/>
    <w:rsid w:val="083F4CB3"/>
    <w:rsid w:val="083F4D15"/>
    <w:rsid w:val="083F4D85"/>
    <w:rsid w:val="083F4DAB"/>
    <w:rsid w:val="083F4EA3"/>
    <w:rsid w:val="083F4EC2"/>
    <w:rsid w:val="083F4EF3"/>
    <w:rsid w:val="083F4F06"/>
    <w:rsid w:val="083F4F4E"/>
    <w:rsid w:val="083F4F58"/>
    <w:rsid w:val="083F4F6B"/>
    <w:rsid w:val="083F5019"/>
    <w:rsid w:val="083F50A0"/>
    <w:rsid w:val="083F50AD"/>
    <w:rsid w:val="083F51F1"/>
    <w:rsid w:val="083F52EB"/>
    <w:rsid w:val="083F534A"/>
    <w:rsid w:val="083F547F"/>
    <w:rsid w:val="083F5527"/>
    <w:rsid w:val="083F554C"/>
    <w:rsid w:val="083F5570"/>
    <w:rsid w:val="083F55B4"/>
    <w:rsid w:val="083F55DD"/>
    <w:rsid w:val="083F566C"/>
    <w:rsid w:val="083F567E"/>
    <w:rsid w:val="083F571E"/>
    <w:rsid w:val="083F5758"/>
    <w:rsid w:val="083F57C1"/>
    <w:rsid w:val="083F584F"/>
    <w:rsid w:val="083F587A"/>
    <w:rsid w:val="083F588E"/>
    <w:rsid w:val="083F5926"/>
    <w:rsid w:val="083F5B59"/>
    <w:rsid w:val="083F5BAE"/>
    <w:rsid w:val="083F5C3C"/>
    <w:rsid w:val="083F5D81"/>
    <w:rsid w:val="083F5DDF"/>
    <w:rsid w:val="083F5ECE"/>
    <w:rsid w:val="083F5F64"/>
    <w:rsid w:val="083F6010"/>
    <w:rsid w:val="083F6093"/>
    <w:rsid w:val="083F60A6"/>
    <w:rsid w:val="083F613C"/>
    <w:rsid w:val="083F6189"/>
    <w:rsid w:val="083F61A9"/>
    <w:rsid w:val="083F624D"/>
    <w:rsid w:val="083F627C"/>
    <w:rsid w:val="083F62D4"/>
    <w:rsid w:val="083F631F"/>
    <w:rsid w:val="083F6368"/>
    <w:rsid w:val="083F63E7"/>
    <w:rsid w:val="083F643C"/>
    <w:rsid w:val="083F6474"/>
    <w:rsid w:val="083F64F3"/>
    <w:rsid w:val="083F64F6"/>
    <w:rsid w:val="083F655F"/>
    <w:rsid w:val="083F65BF"/>
    <w:rsid w:val="083F6616"/>
    <w:rsid w:val="083F6623"/>
    <w:rsid w:val="083F6697"/>
    <w:rsid w:val="083F66E4"/>
    <w:rsid w:val="083F66E9"/>
    <w:rsid w:val="083F6712"/>
    <w:rsid w:val="083F671C"/>
    <w:rsid w:val="083F6754"/>
    <w:rsid w:val="083F6802"/>
    <w:rsid w:val="083F6991"/>
    <w:rsid w:val="083F6994"/>
    <w:rsid w:val="083F6A1C"/>
    <w:rsid w:val="083F6A33"/>
    <w:rsid w:val="083F6ABB"/>
    <w:rsid w:val="083F6ACF"/>
    <w:rsid w:val="083F6AE0"/>
    <w:rsid w:val="083F6B50"/>
    <w:rsid w:val="083F6B7A"/>
    <w:rsid w:val="083F6BA9"/>
    <w:rsid w:val="083F6BB7"/>
    <w:rsid w:val="083F6BE9"/>
    <w:rsid w:val="083F6D8D"/>
    <w:rsid w:val="083F6DA2"/>
    <w:rsid w:val="083F6DD9"/>
    <w:rsid w:val="083F6DF3"/>
    <w:rsid w:val="083F6E58"/>
    <w:rsid w:val="083F6EDE"/>
    <w:rsid w:val="083F6F58"/>
    <w:rsid w:val="083F6F59"/>
    <w:rsid w:val="083F6FAB"/>
    <w:rsid w:val="083F702C"/>
    <w:rsid w:val="083F702D"/>
    <w:rsid w:val="083F713F"/>
    <w:rsid w:val="083F71A5"/>
    <w:rsid w:val="083F7271"/>
    <w:rsid w:val="083F7273"/>
    <w:rsid w:val="083F7320"/>
    <w:rsid w:val="083F738E"/>
    <w:rsid w:val="083F73D7"/>
    <w:rsid w:val="083F743F"/>
    <w:rsid w:val="083F748C"/>
    <w:rsid w:val="083F74AA"/>
    <w:rsid w:val="083F74C8"/>
    <w:rsid w:val="083F7516"/>
    <w:rsid w:val="083F7648"/>
    <w:rsid w:val="083F7790"/>
    <w:rsid w:val="083F77F4"/>
    <w:rsid w:val="083F7859"/>
    <w:rsid w:val="083F78E5"/>
    <w:rsid w:val="083F790A"/>
    <w:rsid w:val="083F79A6"/>
    <w:rsid w:val="083F79DF"/>
    <w:rsid w:val="083F7A6B"/>
    <w:rsid w:val="083F7B08"/>
    <w:rsid w:val="083F7B21"/>
    <w:rsid w:val="083F7C16"/>
    <w:rsid w:val="083F7D3C"/>
    <w:rsid w:val="083F7D8B"/>
    <w:rsid w:val="083F7DBD"/>
    <w:rsid w:val="083F7E00"/>
    <w:rsid w:val="083F7F30"/>
    <w:rsid w:val="083F7F34"/>
    <w:rsid w:val="083F7F43"/>
    <w:rsid w:val="083F7F73"/>
    <w:rsid w:val="083F7F7B"/>
    <w:rsid w:val="083F7F96"/>
    <w:rsid w:val="083F7FAA"/>
    <w:rsid w:val="0840000C"/>
    <w:rsid w:val="08400038"/>
    <w:rsid w:val="0840006B"/>
    <w:rsid w:val="084000A3"/>
    <w:rsid w:val="084000FB"/>
    <w:rsid w:val="08400157"/>
    <w:rsid w:val="08400180"/>
    <w:rsid w:val="084001E4"/>
    <w:rsid w:val="08400329"/>
    <w:rsid w:val="0840032B"/>
    <w:rsid w:val="084003CC"/>
    <w:rsid w:val="0840043A"/>
    <w:rsid w:val="084004C7"/>
    <w:rsid w:val="08400522"/>
    <w:rsid w:val="084005C2"/>
    <w:rsid w:val="08400612"/>
    <w:rsid w:val="0840063C"/>
    <w:rsid w:val="08400736"/>
    <w:rsid w:val="0840079F"/>
    <w:rsid w:val="08400800"/>
    <w:rsid w:val="0840081E"/>
    <w:rsid w:val="084008EB"/>
    <w:rsid w:val="08400979"/>
    <w:rsid w:val="08400A1F"/>
    <w:rsid w:val="08400A65"/>
    <w:rsid w:val="08400A92"/>
    <w:rsid w:val="08400B08"/>
    <w:rsid w:val="08400B37"/>
    <w:rsid w:val="08400BF1"/>
    <w:rsid w:val="08400C37"/>
    <w:rsid w:val="08400CAE"/>
    <w:rsid w:val="08400CBB"/>
    <w:rsid w:val="08400D36"/>
    <w:rsid w:val="08400D54"/>
    <w:rsid w:val="08401069"/>
    <w:rsid w:val="084010FC"/>
    <w:rsid w:val="084010FD"/>
    <w:rsid w:val="08401140"/>
    <w:rsid w:val="084011A0"/>
    <w:rsid w:val="084011CF"/>
    <w:rsid w:val="08401210"/>
    <w:rsid w:val="084012CC"/>
    <w:rsid w:val="084012E8"/>
    <w:rsid w:val="08401443"/>
    <w:rsid w:val="0840146F"/>
    <w:rsid w:val="08401539"/>
    <w:rsid w:val="0840154F"/>
    <w:rsid w:val="08401585"/>
    <w:rsid w:val="084015D8"/>
    <w:rsid w:val="084015F5"/>
    <w:rsid w:val="08401619"/>
    <w:rsid w:val="08401643"/>
    <w:rsid w:val="08401678"/>
    <w:rsid w:val="084016D6"/>
    <w:rsid w:val="084018CA"/>
    <w:rsid w:val="08401995"/>
    <w:rsid w:val="08401A8A"/>
    <w:rsid w:val="08401B16"/>
    <w:rsid w:val="08401B67"/>
    <w:rsid w:val="08401C3E"/>
    <w:rsid w:val="08401CE2"/>
    <w:rsid w:val="08401D62"/>
    <w:rsid w:val="08401DD0"/>
    <w:rsid w:val="08401DE2"/>
    <w:rsid w:val="08401DED"/>
    <w:rsid w:val="08401E97"/>
    <w:rsid w:val="08401E9B"/>
    <w:rsid w:val="08401E9D"/>
    <w:rsid w:val="08401EA2"/>
    <w:rsid w:val="08401EC7"/>
    <w:rsid w:val="08401F71"/>
    <w:rsid w:val="08402040"/>
    <w:rsid w:val="08402094"/>
    <w:rsid w:val="08402129"/>
    <w:rsid w:val="08402132"/>
    <w:rsid w:val="0840213C"/>
    <w:rsid w:val="0840224C"/>
    <w:rsid w:val="084022E8"/>
    <w:rsid w:val="0840231F"/>
    <w:rsid w:val="08402353"/>
    <w:rsid w:val="084023B2"/>
    <w:rsid w:val="0840240B"/>
    <w:rsid w:val="08402423"/>
    <w:rsid w:val="08402434"/>
    <w:rsid w:val="08402437"/>
    <w:rsid w:val="08402502"/>
    <w:rsid w:val="08402576"/>
    <w:rsid w:val="084025D0"/>
    <w:rsid w:val="0840264F"/>
    <w:rsid w:val="084027B5"/>
    <w:rsid w:val="084027C9"/>
    <w:rsid w:val="08402841"/>
    <w:rsid w:val="08402904"/>
    <w:rsid w:val="084029A1"/>
    <w:rsid w:val="08402A24"/>
    <w:rsid w:val="08402A27"/>
    <w:rsid w:val="08402A9E"/>
    <w:rsid w:val="08402B1B"/>
    <w:rsid w:val="08402B75"/>
    <w:rsid w:val="08402B9C"/>
    <w:rsid w:val="08402CD2"/>
    <w:rsid w:val="08402CF9"/>
    <w:rsid w:val="08402D01"/>
    <w:rsid w:val="08402D23"/>
    <w:rsid w:val="08402D65"/>
    <w:rsid w:val="08402DA6"/>
    <w:rsid w:val="08402E60"/>
    <w:rsid w:val="08402E77"/>
    <w:rsid w:val="08402EF8"/>
    <w:rsid w:val="08402F80"/>
    <w:rsid w:val="08403045"/>
    <w:rsid w:val="08403111"/>
    <w:rsid w:val="08403122"/>
    <w:rsid w:val="0840330B"/>
    <w:rsid w:val="08403374"/>
    <w:rsid w:val="0840339E"/>
    <w:rsid w:val="08403484"/>
    <w:rsid w:val="084034C0"/>
    <w:rsid w:val="084034C9"/>
    <w:rsid w:val="08403519"/>
    <w:rsid w:val="08403520"/>
    <w:rsid w:val="08403547"/>
    <w:rsid w:val="0840354A"/>
    <w:rsid w:val="084035B6"/>
    <w:rsid w:val="084035D4"/>
    <w:rsid w:val="08403600"/>
    <w:rsid w:val="08403613"/>
    <w:rsid w:val="08403688"/>
    <w:rsid w:val="084036BD"/>
    <w:rsid w:val="0840370F"/>
    <w:rsid w:val="08403786"/>
    <w:rsid w:val="0840396D"/>
    <w:rsid w:val="08403AE5"/>
    <w:rsid w:val="08403B2D"/>
    <w:rsid w:val="08403C8B"/>
    <w:rsid w:val="08403CD1"/>
    <w:rsid w:val="08403CD8"/>
    <w:rsid w:val="08403D2E"/>
    <w:rsid w:val="08403DA8"/>
    <w:rsid w:val="08403DD3"/>
    <w:rsid w:val="08403E01"/>
    <w:rsid w:val="08403EFA"/>
    <w:rsid w:val="08403FA6"/>
    <w:rsid w:val="08403FAB"/>
    <w:rsid w:val="0840404A"/>
    <w:rsid w:val="0840417F"/>
    <w:rsid w:val="0840418F"/>
    <w:rsid w:val="08404286"/>
    <w:rsid w:val="084042EF"/>
    <w:rsid w:val="084042F6"/>
    <w:rsid w:val="0840430D"/>
    <w:rsid w:val="0840436E"/>
    <w:rsid w:val="084043C1"/>
    <w:rsid w:val="08404548"/>
    <w:rsid w:val="08404587"/>
    <w:rsid w:val="08404595"/>
    <w:rsid w:val="084045AD"/>
    <w:rsid w:val="08404608"/>
    <w:rsid w:val="084046B3"/>
    <w:rsid w:val="084046DE"/>
    <w:rsid w:val="084047C0"/>
    <w:rsid w:val="08404878"/>
    <w:rsid w:val="0840489D"/>
    <w:rsid w:val="0840490E"/>
    <w:rsid w:val="0840493A"/>
    <w:rsid w:val="08404990"/>
    <w:rsid w:val="08404A1D"/>
    <w:rsid w:val="08404AA4"/>
    <w:rsid w:val="08404AC3"/>
    <w:rsid w:val="08404B03"/>
    <w:rsid w:val="08404B10"/>
    <w:rsid w:val="08404F2E"/>
    <w:rsid w:val="08404F72"/>
    <w:rsid w:val="08404F7B"/>
    <w:rsid w:val="08404FB9"/>
    <w:rsid w:val="08405090"/>
    <w:rsid w:val="08405092"/>
    <w:rsid w:val="08405102"/>
    <w:rsid w:val="08405135"/>
    <w:rsid w:val="08405139"/>
    <w:rsid w:val="0840514B"/>
    <w:rsid w:val="08405151"/>
    <w:rsid w:val="084051DF"/>
    <w:rsid w:val="0840525C"/>
    <w:rsid w:val="08405278"/>
    <w:rsid w:val="08405404"/>
    <w:rsid w:val="0840541C"/>
    <w:rsid w:val="0840548F"/>
    <w:rsid w:val="08405531"/>
    <w:rsid w:val="08405535"/>
    <w:rsid w:val="0840557D"/>
    <w:rsid w:val="084055A2"/>
    <w:rsid w:val="0840560D"/>
    <w:rsid w:val="08405715"/>
    <w:rsid w:val="08405720"/>
    <w:rsid w:val="084057BE"/>
    <w:rsid w:val="08405818"/>
    <w:rsid w:val="08405888"/>
    <w:rsid w:val="084058D7"/>
    <w:rsid w:val="08405906"/>
    <w:rsid w:val="08405A06"/>
    <w:rsid w:val="08405AEE"/>
    <w:rsid w:val="08405B2B"/>
    <w:rsid w:val="08405B8F"/>
    <w:rsid w:val="08405CAA"/>
    <w:rsid w:val="08405D39"/>
    <w:rsid w:val="08405E29"/>
    <w:rsid w:val="08405E4F"/>
    <w:rsid w:val="08405E86"/>
    <w:rsid w:val="08405ED2"/>
    <w:rsid w:val="08405FDA"/>
    <w:rsid w:val="08406021"/>
    <w:rsid w:val="084060A0"/>
    <w:rsid w:val="08406131"/>
    <w:rsid w:val="08406395"/>
    <w:rsid w:val="0840639B"/>
    <w:rsid w:val="084063CE"/>
    <w:rsid w:val="084063DC"/>
    <w:rsid w:val="0840642E"/>
    <w:rsid w:val="084064CE"/>
    <w:rsid w:val="0840651B"/>
    <w:rsid w:val="084065CF"/>
    <w:rsid w:val="08406674"/>
    <w:rsid w:val="0840669C"/>
    <w:rsid w:val="084066A9"/>
    <w:rsid w:val="084067BE"/>
    <w:rsid w:val="084068B6"/>
    <w:rsid w:val="084068D5"/>
    <w:rsid w:val="08406903"/>
    <w:rsid w:val="08406914"/>
    <w:rsid w:val="084069CA"/>
    <w:rsid w:val="08406A62"/>
    <w:rsid w:val="08406A9D"/>
    <w:rsid w:val="08406CE0"/>
    <w:rsid w:val="08406D63"/>
    <w:rsid w:val="08406DAE"/>
    <w:rsid w:val="08406EF2"/>
    <w:rsid w:val="08406F27"/>
    <w:rsid w:val="08406FA2"/>
    <w:rsid w:val="084070B1"/>
    <w:rsid w:val="084070CF"/>
    <w:rsid w:val="08407187"/>
    <w:rsid w:val="084072F3"/>
    <w:rsid w:val="08407419"/>
    <w:rsid w:val="084074B5"/>
    <w:rsid w:val="084074FA"/>
    <w:rsid w:val="0840751A"/>
    <w:rsid w:val="08407543"/>
    <w:rsid w:val="084075D2"/>
    <w:rsid w:val="08407609"/>
    <w:rsid w:val="08407655"/>
    <w:rsid w:val="084076EC"/>
    <w:rsid w:val="084077D1"/>
    <w:rsid w:val="0840788F"/>
    <w:rsid w:val="08407967"/>
    <w:rsid w:val="08407994"/>
    <w:rsid w:val="08407998"/>
    <w:rsid w:val="084079C2"/>
    <w:rsid w:val="08407A30"/>
    <w:rsid w:val="08407B0F"/>
    <w:rsid w:val="08407BB3"/>
    <w:rsid w:val="08407BB4"/>
    <w:rsid w:val="08407C18"/>
    <w:rsid w:val="08407CD2"/>
    <w:rsid w:val="08407D45"/>
    <w:rsid w:val="08407D7A"/>
    <w:rsid w:val="08407E2D"/>
    <w:rsid w:val="08407E48"/>
    <w:rsid w:val="08407EF2"/>
    <w:rsid w:val="08407F76"/>
    <w:rsid w:val="08407FAF"/>
    <w:rsid w:val="084100BA"/>
    <w:rsid w:val="08410124"/>
    <w:rsid w:val="0841012B"/>
    <w:rsid w:val="0841019F"/>
    <w:rsid w:val="0841020D"/>
    <w:rsid w:val="0841025A"/>
    <w:rsid w:val="08410307"/>
    <w:rsid w:val="08410318"/>
    <w:rsid w:val="08410352"/>
    <w:rsid w:val="084103BA"/>
    <w:rsid w:val="084103F5"/>
    <w:rsid w:val="084104B8"/>
    <w:rsid w:val="084105A9"/>
    <w:rsid w:val="08410632"/>
    <w:rsid w:val="08410761"/>
    <w:rsid w:val="0841080D"/>
    <w:rsid w:val="084108AF"/>
    <w:rsid w:val="084108B2"/>
    <w:rsid w:val="084108C9"/>
    <w:rsid w:val="08410952"/>
    <w:rsid w:val="08410A55"/>
    <w:rsid w:val="08410A84"/>
    <w:rsid w:val="08410A9D"/>
    <w:rsid w:val="08410B1F"/>
    <w:rsid w:val="08410E30"/>
    <w:rsid w:val="08410E49"/>
    <w:rsid w:val="08410EBA"/>
    <w:rsid w:val="08411126"/>
    <w:rsid w:val="08411127"/>
    <w:rsid w:val="08411134"/>
    <w:rsid w:val="084111B5"/>
    <w:rsid w:val="084111C9"/>
    <w:rsid w:val="084111F6"/>
    <w:rsid w:val="08411231"/>
    <w:rsid w:val="0841126D"/>
    <w:rsid w:val="08411370"/>
    <w:rsid w:val="0841140E"/>
    <w:rsid w:val="0841141C"/>
    <w:rsid w:val="084114B8"/>
    <w:rsid w:val="084114F0"/>
    <w:rsid w:val="08411540"/>
    <w:rsid w:val="084115D8"/>
    <w:rsid w:val="0841172C"/>
    <w:rsid w:val="084117A9"/>
    <w:rsid w:val="084117B9"/>
    <w:rsid w:val="084117BD"/>
    <w:rsid w:val="084117E5"/>
    <w:rsid w:val="084118D8"/>
    <w:rsid w:val="084118DB"/>
    <w:rsid w:val="0841198D"/>
    <w:rsid w:val="084119ED"/>
    <w:rsid w:val="08411B3F"/>
    <w:rsid w:val="08411B84"/>
    <w:rsid w:val="08411BF7"/>
    <w:rsid w:val="08411C1F"/>
    <w:rsid w:val="08411CA2"/>
    <w:rsid w:val="08411DB4"/>
    <w:rsid w:val="08411DFD"/>
    <w:rsid w:val="08411E6F"/>
    <w:rsid w:val="08411ED2"/>
    <w:rsid w:val="08411F56"/>
    <w:rsid w:val="08411F5D"/>
    <w:rsid w:val="08411F7F"/>
    <w:rsid w:val="08411FC8"/>
    <w:rsid w:val="084120C7"/>
    <w:rsid w:val="084120EB"/>
    <w:rsid w:val="08412130"/>
    <w:rsid w:val="08412170"/>
    <w:rsid w:val="08412205"/>
    <w:rsid w:val="08412293"/>
    <w:rsid w:val="0841229C"/>
    <w:rsid w:val="08412377"/>
    <w:rsid w:val="08412381"/>
    <w:rsid w:val="084123CD"/>
    <w:rsid w:val="084123D2"/>
    <w:rsid w:val="0841243B"/>
    <w:rsid w:val="08412472"/>
    <w:rsid w:val="0841249F"/>
    <w:rsid w:val="08412543"/>
    <w:rsid w:val="08412596"/>
    <w:rsid w:val="084125B4"/>
    <w:rsid w:val="0841261D"/>
    <w:rsid w:val="084126D1"/>
    <w:rsid w:val="084126F5"/>
    <w:rsid w:val="084127D2"/>
    <w:rsid w:val="08412830"/>
    <w:rsid w:val="08412884"/>
    <w:rsid w:val="08412909"/>
    <w:rsid w:val="08412988"/>
    <w:rsid w:val="08412A53"/>
    <w:rsid w:val="08412A99"/>
    <w:rsid w:val="08412A9B"/>
    <w:rsid w:val="08412AD1"/>
    <w:rsid w:val="08412B28"/>
    <w:rsid w:val="08412BF0"/>
    <w:rsid w:val="08412C60"/>
    <w:rsid w:val="08412CAF"/>
    <w:rsid w:val="08412E48"/>
    <w:rsid w:val="08412F75"/>
    <w:rsid w:val="08412FC3"/>
    <w:rsid w:val="08413025"/>
    <w:rsid w:val="0841324A"/>
    <w:rsid w:val="0841328A"/>
    <w:rsid w:val="084132C1"/>
    <w:rsid w:val="0841330D"/>
    <w:rsid w:val="084133C2"/>
    <w:rsid w:val="0841340D"/>
    <w:rsid w:val="08413413"/>
    <w:rsid w:val="0841344D"/>
    <w:rsid w:val="084134C2"/>
    <w:rsid w:val="084135BE"/>
    <w:rsid w:val="0841363D"/>
    <w:rsid w:val="08413648"/>
    <w:rsid w:val="0841364C"/>
    <w:rsid w:val="084136A1"/>
    <w:rsid w:val="084138A4"/>
    <w:rsid w:val="084139C3"/>
    <w:rsid w:val="08413A3A"/>
    <w:rsid w:val="08413A66"/>
    <w:rsid w:val="08413A6A"/>
    <w:rsid w:val="08413AD8"/>
    <w:rsid w:val="08413B45"/>
    <w:rsid w:val="08413C41"/>
    <w:rsid w:val="08413C6A"/>
    <w:rsid w:val="08413CAC"/>
    <w:rsid w:val="08413D0D"/>
    <w:rsid w:val="08413D27"/>
    <w:rsid w:val="08413D2A"/>
    <w:rsid w:val="08413D5F"/>
    <w:rsid w:val="08413DC2"/>
    <w:rsid w:val="08413E06"/>
    <w:rsid w:val="08413E69"/>
    <w:rsid w:val="08413F32"/>
    <w:rsid w:val="08413FCF"/>
    <w:rsid w:val="084140B3"/>
    <w:rsid w:val="084140F9"/>
    <w:rsid w:val="084140FF"/>
    <w:rsid w:val="084141F6"/>
    <w:rsid w:val="08414227"/>
    <w:rsid w:val="084142A8"/>
    <w:rsid w:val="084143A7"/>
    <w:rsid w:val="084143C1"/>
    <w:rsid w:val="084143C6"/>
    <w:rsid w:val="084143D0"/>
    <w:rsid w:val="084143D7"/>
    <w:rsid w:val="08414423"/>
    <w:rsid w:val="0841446C"/>
    <w:rsid w:val="084144DE"/>
    <w:rsid w:val="084145B3"/>
    <w:rsid w:val="084145F5"/>
    <w:rsid w:val="084145FE"/>
    <w:rsid w:val="0841471F"/>
    <w:rsid w:val="084147D6"/>
    <w:rsid w:val="0841485E"/>
    <w:rsid w:val="08414899"/>
    <w:rsid w:val="0841489C"/>
    <w:rsid w:val="08414931"/>
    <w:rsid w:val="08414967"/>
    <w:rsid w:val="084149A9"/>
    <w:rsid w:val="084149F7"/>
    <w:rsid w:val="08414B61"/>
    <w:rsid w:val="08414C48"/>
    <w:rsid w:val="08414C69"/>
    <w:rsid w:val="08414D0C"/>
    <w:rsid w:val="08414D40"/>
    <w:rsid w:val="08414D64"/>
    <w:rsid w:val="08414DA3"/>
    <w:rsid w:val="08414DC9"/>
    <w:rsid w:val="08414E3D"/>
    <w:rsid w:val="08414EB7"/>
    <w:rsid w:val="08414F8D"/>
    <w:rsid w:val="08414FEC"/>
    <w:rsid w:val="084151D2"/>
    <w:rsid w:val="084151DB"/>
    <w:rsid w:val="0841528D"/>
    <w:rsid w:val="08415290"/>
    <w:rsid w:val="08415298"/>
    <w:rsid w:val="084152A3"/>
    <w:rsid w:val="084152EB"/>
    <w:rsid w:val="0841535D"/>
    <w:rsid w:val="08415361"/>
    <w:rsid w:val="08415426"/>
    <w:rsid w:val="0841551D"/>
    <w:rsid w:val="0841555E"/>
    <w:rsid w:val="084155AB"/>
    <w:rsid w:val="084155CA"/>
    <w:rsid w:val="08415681"/>
    <w:rsid w:val="08415694"/>
    <w:rsid w:val="084156C3"/>
    <w:rsid w:val="0841579A"/>
    <w:rsid w:val="08415888"/>
    <w:rsid w:val="08415896"/>
    <w:rsid w:val="0841599D"/>
    <w:rsid w:val="08415A94"/>
    <w:rsid w:val="08415AF3"/>
    <w:rsid w:val="08415BCD"/>
    <w:rsid w:val="08415BF7"/>
    <w:rsid w:val="08415C9B"/>
    <w:rsid w:val="08415CFE"/>
    <w:rsid w:val="08415D28"/>
    <w:rsid w:val="08415EE5"/>
    <w:rsid w:val="08416004"/>
    <w:rsid w:val="0841603D"/>
    <w:rsid w:val="08416096"/>
    <w:rsid w:val="0841610F"/>
    <w:rsid w:val="08416193"/>
    <w:rsid w:val="084161FD"/>
    <w:rsid w:val="08416205"/>
    <w:rsid w:val="08416238"/>
    <w:rsid w:val="084162B4"/>
    <w:rsid w:val="084162BB"/>
    <w:rsid w:val="08416328"/>
    <w:rsid w:val="0841637E"/>
    <w:rsid w:val="0841639F"/>
    <w:rsid w:val="084163A3"/>
    <w:rsid w:val="084163E7"/>
    <w:rsid w:val="08416449"/>
    <w:rsid w:val="084164F3"/>
    <w:rsid w:val="08416573"/>
    <w:rsid w:val="084165C9"/>
    <w:rsid w:val="084165F8"/>
    <w:rsid w:val="08416611"/>
    <w:rsid w:val="08416695"/>
    <w:rsid w:val="084166A4"/>
    <w:rsid w:val="0841674B"/>
    <w:rsid w:val="08416762"/>
    <w:rsid w:val="08416780"/>
    <w:rsid w:val="08416782"/>
    <w:rsid w:val="084167D9"/>
    <w:rsid w:val="0841680A"/>
    <w:rsid w:val="08416930"/>
    <w:rsid w:val="084169B3"/>
    <w:rsid w:val="08416A38"/>
    <w:rsid w:val="08416A9B"/>
    <w:rsid w:val="08416B49"/>
    <w:rsid w:val="08416BEB"/>
    <w:rsid w:val="08416CFD"/>
    <w:rsid w:val="08416D0F"/>
    <w:rsid w:val="08416D2D"/>
    <w:rsid w:val="08416D68"/>
    <w:rsid w:val="08416DD5"/>
    <w:rsid w:val="08416E61"/>
    <w:rsid w:val="08416E98"/>
    <w:rsid w:val="08416ECF"/>
    <w:rsid w:val="08416FB5"/>
    <w:rsid w:val="08416FC6"/>
    <w:rsid w:val="08416FE4"/>
    <w:rsid w:val="08416FEC"/>
    <w:rsid w:val="0841700C"/>
    <w:rsid w:val="08417129"/>
    <w:rsid w:val="0841715F"/>
    <w:rsid w:val="0841720B"/>
    <w:rsid w:val="084173C5"/>
    <w:rsid w:val="084173D2"/>
    <w:rsid w:val="0841759B"/>
    <w:rsid w:val="084176B5"/>
    <w:rsid w:val="0841772A"/>
    <w:rsid w:val="08417849"/>
    <w:rsid w:val="084178D0"/>
    <w:rsid w:val="08417A01"/>
    <w:rsid w:val="08417A06"/>
    <w:rsid w:val="08417A6D"/>
    <w:rsid w:val="08417C6C"/>
    <w:rsid w:val="08417CBE"/>
    <w:rsid w:val="08417D8E"/>
    <w:rsid w:val="08417D97"/>
    <w:rsid w:val="08417E55"/>
    <w:rsid w:val="08417F15"/>
    <w:rsid w:val="08417F71"/>
    <w:rsid w:val="08417F9E"/>
    <w:rsid w:val="08417FA0"/>
    <w:rsid w:val="084200AB"/>
    <w:rsid w:val="084200C2"/>
    <w:rsid w:val="08420197"/>
    <w:rsid w:val="084201F5"/>
    <w:rsid w:val="0842027E"/>
    <w:rsid w:val="08420287"/>
    <w:rsid w:val="0842039A"/>
    <w:rsid w:val="084203DA"/>
    <w:rsid w:val="0842041C"/>
    <w:rsid w:val="0842043B"/>
    <w:rsid w:val="084204B6"/>
    <w:rsid w:val="084204F3"/>
    <w:rsid w:val="0842058A"/>
    <w:rsid w:val="0842065E"/>
    <w:rsid w:val="08420684"/>
    <w:rsid w:val="084206EC"/>
    <w:rsid w:val="0842088D"/>
    <w:rsid w:val="0842088E"/>
    <w:rsid w:val="084208D9"/>
    <w:rsid w:val="0842094C"/>
    <w:rsid w:val="08420AE4"/>
    <w:rsid w:val="08420BB7"/>
    <w:rsid w:val="08420D48"/>
    <w:rsid w:val="08420D4E"/>
    <w:rsid w:val="08420DD6"/>
    <w:rsid w:val="08420DF3"/>
    <w:rsid w:val="08420E58"/>
    <w:rsid w:val="08420F0D"/>
    <w:rsid w:val="08420F2B"/>
    <w:rsid w:val="08420F45"/>
    <w:rsid w:val="08420FD1"/>
    <w:rsid w:val="08421024"/>
    <w:rsid w:val="0842105C"/>
    <w:rsid w:val="084210CB"/>
    <w:rsid w:val="08421103"/>
    <w:rsid w:val="08421153"/>
    <w:rsid w:val="084211E7"/>
    <w:rsid w:val="084212A3"/>
    <w:rsid w:val="084212EA"/>
    <w:rsid w:val="084213E4"/>
    <w:rsid w:val="084215A9"/>
    <w:rsid w:val="084215DC"/>
    <w:rsid w:val="084216EB"/>
    <w:rsid w:val="0842171B"/>
    <w:rsid w:val="0842178D"/>
    <w:rsid w:val="084217B2"/>
    <w:rsid w:val="084217CE"/>
    <w:rsid w:val="08421855"/>
    <w:rsid w:val="08421866"/>
    <w:rsid w:val="0842188B"/>
    <w:rsid w:val="084218DC"/>
    <w:rsid w:val="08421A0C"/>
    <w:rsid w:val="08421A2E"/>
    <w:rsid w:val="08421AA4"/>
    <w:rsid w:val="08421AC0"/>
    <w:rsid w:val="08421B1E"/>
    <w:rsid w:val="08421B35"/>
    <w:rsid w:val="08421B4F"/>
    <w:rsid w:val="08421B50"/>
    <w:rsid w:val="08421B65"/>
    <w:rsid w:val="08421C1B"/>
    <w:rsid w:val="08421CC3"/>
    <w:rsid w:val="08421D30"/>
    <w:rsid w:val="08421DD6"/>
    <w:rsid w:val="08421E63"/>
    <w:rsid w:val="08421ECD"/>
    <w:rsid w:val="08421F11"/>
    <w:rsid w:val="08421F48"/>
    <w:rsid w:val="08421F53"/>
    <w:rsid w:val="08421FE8"/>
    <w:rsid w:val="0842206E"/>
    <w:rsid w:val="0842208D"/>
    <w:rsid w:val="084220B0"/>
    <w:rsid w:val="084220C4"/>
    <w:rsid w:val="084220F9"/>
    <w:rsid w:val="084221CC"/>
    <w:rsid w:val="08422293"/>
    <w:rsid w:val="084222E9"/>
    <w:rsid w:val="084223A5"/>
    <w:rsid w:val="084223AF"/>
    <w:rsid w:val="084223D4"/>
    <w:rsid w:val="08422408"/>
    <w:rsid w:val="08422438"/>
    <w:rsid w:val="08422493"/>
    <w:rsid w:val="084224FD"/>
    <w:rsid w:val="084225FE"/>
    <w:rsid w:val="08422612"/>
    <w:rsid w:val="084226CC"/>
    <w:rsid w:val="084226E6"/>
    <w:rsid w:val="08422779"/>
    <w:rsid w:val="08422895"/>
    <w:rsid w:val="084228E1"/>
    <w:rsid w:val="08422BF7"/>
    <w:rsid w:val="08422C85"/>
    <w:rsid w:val="08422CE9"/>
    <w:rsid w:val="08422D8A"/>
    <w:rsid w:val="08422E27"/>
    <w:rsid w:val="08422E4C"/>
    <w:rsid w:val="08422F53"/>
    <w:rsid w:val="0842306C"/>
    <w:rsid w:val="08423095"/>
    <w:rsid w:val="08423135"/>
    <w:rsid w:val="084231CF"/>
    <w:rsid w:val="0842324D"/>
    <w:rsid w:val="08423254"/>
    <w:rsid w:val="08423334"/>
    <w:rsid w:val="08423348"/>
    <w:rsid w:val="0842339D"/>
    <w:rsid w:val="08423411"/>
    <w:rsid w:val="0842341E"/>
    <w:rsid w:val="08423462"/>
    <w:rsid w:val="08423483"/>
    <w:rsid w:val="0842356D"/>
    <w:rsid w:val="08423620"/>
    <w:rsid w:val="08423693"/>
    <w:rsid w:val="084236B4"/>
    <w:rsid w:val="08423712"/>
    <w:rsid w:val="084237D6"/>
    <w:rsid w:val="084238F3"/>
    <w:rsid w:val="08423915"/>
    <w:rsid w:val="08423916"/>
    <w:rsid w:val="0842393B"/>
    <w:rsid w:val="08423948"/>
    <w:rsid w:val="08423988"/>
    <w:rsid w:val="084239EE"/>
    <w:rsid w:val="08423AC8"/>
    <w:rsid w:val="08423B5F"/>
    <w:rsid w:val="08423BF8"/>
    <w:rsid w:val="08423C30"/>
    <w:rsid w:val="08423CD5"/>
    <w:rsid w:val="08423CED"/>
    <w:rsid w:val="08423D1B"/>
    <w:rsid w:val="08423D72"/>
    <w:rsid w:val="08423DF4"/>
    <w:rsid w:val="08423E28"/>
    <w:rsid w:val="08423E4A"/>
    <w:rsid w:val="08423E91"/>
    <w:rsid w:val="08424053"/>
    <w:rsid w:val="084240B6"/>
    <w:rsid w:val="084240FA"/>
    <w:rsid w:val="08424158"/>
    <w:rsid w:val="0842422E"/>
    <w:rsid w:val="08424300"/>
    <w:rsid w:val="08424362"/>
    <w:rsid w:val="0842436F"/>
    <w:rsid w:val="084243E7"/>
    <w:rsid w:val="08424518"/>
    <w:rsid w:val="08424546"/>
    <w:rsid w:val="084245A4"/>
    <w:rsid w:val="084245DC"/>
    <w:rsid w:val="08424661"/>
    <w:rsid w:val="08424688"/>
    <w:rsid w:val="08424697"/>
    <w:rsid w:val="084246B8"/>
    <w:rsid w:val="084246EF"/>
    <w:rsid w:val="08424700"/>
    <w:rsid w:val="0842482D"/>
    <w:rsid w:val="0842494E"/>
    <w:rsid w:val="084249D3"/>
    <w:rsid w:val="08424ADC"/>
    <w:rsid w:val="08424B32"/>
    <w:rsid w:val="08424D16"/>
    <w:rsid w:val="08424D29"/>
    <w:rsid w:val="08424DDD"/>
    <w:rsid w:val="08424E5E"/>
    <w:rsid w:val="08424F39"/>
    <w:rsid w:val="08424F62"/>
    <w:rsid w:val="08424FAF"/>
    <w:rsid w:val="08424FD0"/>
    <w:rsid w:val="08425017"/>
    <w:rsid w:val="0842509C"/>
    <w:rsid w:val="084250C4"/>
    <w:rsid w:val="084250C6"/>
    <w:rsid w:val="0842512A"/>
    <w:rsid w:val="08425203"/>
    <w:rsid w:val="08425257"/>
    <w:rsid w:val="08425295"/>
    <w:rsid w:val="084252DA"/>
    <w:rsid w:val="084252DC"/>
    <w:rsid w:val="084253E8"/>
    <w:rsid w:val="084254D1"/>
    <w:rsid w:val="08425524"/>
    <w:rsid w:val="08425542"/>
    <w:rsid w:val="084255A8"/>
    <w:rsid w:val="084255D8"/>
    <w:rsid w:val="084255FB"/>
    <w:rsid w:val="08425613"/>
    <w:rsid w:val="08425629"/>
    <w:rsid w:val="0842562B"/>
    <w:rsid w:val="08425730"/>
    <w:rsid w:val="084257CD"/>
    <w:rsid w:val="084258E8"/>
    <w:rsid w:val="08425A00"/>
    <w:rsid w:val="08425A3B"/>
    <w:rsid w:val="08425AEB"/>
    <w:rsid w:val="08425B50"/>
    <w:rsid w:val="08425C62"/>
    <w:rsid w:val="08425C8C"/>
    <w:rsid w:val="08425D65"/>
    <w:rsid w:val="08425D96"/>
    <w:rsid w:val="08425E0F"/>
    <w:rsid w:val="08425E6E"/>
    <w:rsid w:val="08425F78"/>
    <w:rsid w:val="0842616A"/>
    <w:rsid w:val="084261B1"/>
    <w:rsid w:val="084261F6"/>
    <w:rsid w:val="084262B3"/>
    <w:rsid w:val="08426346"/>
    <w:rsid w:val="084263C7"/>
    <w:rsid w:val="08426453"/>
    <w:rsid w:val="084264A6"/>
    <w:rsid w:val="08426513"/>
    <w:rsid w:val="08426532"/>
    <w:rsid w:val="08426544"/>
    <w:rsid w:val="08426569"/>
    <w:rsid w:val="08426629"/>
    <w:rsid w:val="084266A7"/>
    <w:rsid w:val="084266AD"/>
    <w:rsid w:val="0842674A"/>
    <w:rsid w:val="0842679C"/>
    <w:rsid w:val="08426832"/>
    <w:rsid w:val="084268CA"/>
    <w:rsid w:val="0842693D"/>
    <w:rsid w:val="08426950"/>
    <w:rsid w:val="084269AD"/>
    <w:rsid w:val="084269E4"/>
    <w:rsid w:val="08426A46"/>
    <w:rsid w:val="08426B4B"/>
    <w:rsid w:val="08426B66"/>
    <w:rsid w:val="08426BD8"/>
    <w:rsid w:val="08426C04"/>
    <w:rsid w:val="08426C6F"/>
    <w:rsid w:val="08426D48"/>
    <w:rsid w:val="08426DB4"/>
    <w:rsid w:val="08426F23"/>
    <w:rsid w:val="08426F7F"/>
    <w:rsid w:val="08426F89"/>
    <w:rsid w:val="08426FDF"/>
    <w:rsid w:val="08426FE1"/>
    <w:rsid w:val="084270DF"/>
    <w:rsid w:val="084270F4"/>
    <w:rsid w:val="0842711A"/>
    <w:rsid w:val="08427192"/>
    <w:rsid w:val="084271A2"/>
    <w:rsid w:val="08427234"/>
    <w:rsid w:val="0842723C"/>
    <w:rsid w:val="08427280"/>
    <w:rsid w:val="0842737B"/>
    <w:rsid w:val="0842738C"/>
    <w:rsid w:val="084273D3"/>
    <w:rsid w:val="08427457"/>
    <w:rsid w:val="08427529"/>
    <w:rsid w:val="0842758D"/>
    <w:rsid w:val="08427613"/>
    <w:rsid w:val="084276C2"/>
    <w:rsid w:val="084276E3"/>
    <w:rsid w:val="08427739"/>
    <w:rsid w:val="084277B9"/>
    <w:rsid w:val="0842787A"/>
    <w:rsid w:val="084278B3"/>
    <w:rsid w:val="084278FA"/>
    <w:rsid w:val="0842796F"/>
    <w:rsid w:val="0842797B"/>
    <w:rsid w:val="08427980"/>
    <w:rsid w:val="08427987"/>
    <w:rsid w:val="08427AB2"/>
    <w:rsid w:val="08427ABF"/>
    <w:rsid w:val="08427AFF"/>
    <w:rsid w:val="08427B70"/>
    <w:rsid w:val="08427B72"/>
    <w:rsid w:val="08427BC2"/>
    <w:rsid w:val="08427D1F"/>
    <w:rsid w:val="08427D83"/>
    <w:rsid w:val="08427DE2"/>
    <w:rsid w:val="08427E79"/>
    <w:rsid w:val="08427F7C"/>
    <w:rsid w:val="084300BA"/>
    <w:rsid w:val="084300C7"/>
    <w:rsid w:val="084301E0"/>
    <w:rsid w:val="084301E4"/>
    <w:rsid w:val="084304B5"/>
    <w:rsid w:val="0843052F"/>
    <w:rsid w:val="08430576"/>
    <w:rsid w:val="08430598"/>
    <w:rsid w:val="084306A2"/>
    <w:rsid w:val="084306F2"/>
    <w:rsid w:val="084308FC"/>
    <w:rsid w:val="08430965"/>
    <w:rsid w:val="084309F3"/>
    <w:rsid w:val="08430BEE"/>
    <w:rsid w:val="08430BEF"/>
    <w:rsid w:val="08430CA6"/>
    <w:rsid w:val="08430CB1"/>
    <w:rsid w:val="08430CB4"/>
    <w:rsid w:val="08430CE9"/>
    <w:rsid w:val="08430D21"/>
    <w:rsid w:val="08430E29"/>
    <w:rsid w:val="08430E99"/>
    <w:rsid w:val="08430EA1"/>
    <w:rsid w:val="08430EF3"/>
    <w:rsid w:val="08430F70"/>
    <w:rsid w:val="08430F87"/>
    <w:rsid w:val="08431081"/>
    <w:rsid w:val="084310C1"/>
    <w:rsid w:val="08431100"/>
    <w:rsid w:val="084311CE"/>
    <w:rsid w:val="084311E3"/>
    <w:rsid w:val="084311FB"/>
    <w:rsid w:val="08431202"/>
    <w:rsid w:val="0843128F"/>
    <w:rsid w:val="084312B2"/>
    <w:rsid w:val="08431379"/>
    <w:rsid w:val="084313B5"/>
    <w:rsid w:val="084314AA"/>
    <w:rsid w:val="08431532"/>
    <w:rsid w:val="0843160A"/>
    <w:rsid w:val="08431611"/>
    <w:rsid w:val="08431659"/>
    <w:rsid w:val="0843170B"/>
    <w:rsid w:val="08431742"/>
    <w:rsid w:val="0843177F"/>
    <w:rsid w:val="084317B0"/>
    <w:rsid w:val="084317BA"/>
    <w:rsid w:val="08431830"/>
    <w:rsid w:val="0843185D"/>
    <w:rsid w:val="08431992"/>
    <w:rsid w:val="08431B13"/>
    <w:rsid w:val="08431B1F"/>
    <w:rsid w:val="08431B2D"/>
    <w:rsid w:val="08431C33"/>
    <w:rsid w:val="08431C60"/>
    <w:rsid w:val="08431C96"/>
    <w:rsid w:val="08431CB0"/>
    <w:rsid w:val="08431CDD"/>
    <w:rsid w:val="08431D14"/>
    <w:rsid w:val="08431E68"/>
    <w:rsid w:val="08431E76"/>
    <w:rsid w:val="08431E82"/>
    <w:rsid w:val="08431F2F"/>
    <w:rsid w:val="08432044"/>
    <w:rsid w:val="084320A5"/>
    <w:rsid w:val="08432119"/>
    <w:rsid w:val="0843211A"/>
    <w:rsid w:val="0843213E"/>
    <w:rsid w:val="08432172"/>
    <w:rsid w:val="084321BF"/>
    <w:rsid w:val="08432386"/>
    <w:rsid w:val="084323E3"/>
    <w:rsid w:val="0843241F"/>
    <w:rsid w:val="0843242C"/>
    <w:rsid w:val="0843248A"/>
    <w:rsid w:val="0843249E"/>
    <w:rsid w:val="084324BA"/>
    <w:rsid w:val="084324BB"/>
    <w:rsid w:val="084324FF"/>
    <w:rsid w:val="08432550"/>
    <w:rsid w:val="0843259E"/>
    <w:rsid w:val="0843266A"/>
    <w:rsid w:val="084326B5"/>
    <w:rsid w:val="08432751"/>
    <w:rsid w:val="0843279E"/>
    <w:rsid w:val="08432862"/>
    <w:rsid w:val="08432885"/>
    <w:rsid w:val="084328C5"/>
    <w:rsid w:val="0843295E"/>
    <w:rsid w:val="08432979"/>
    <w:rsid w:val="0843299A"/>
    <w:rsid w:val="08432AEB"/>
    <w:rsid w:val="08432B15"/>
    <w:rsid w:val="08432B7E"/>
    <w:rsid w:val="08432BCC"/>
    <w:rsid w:val="08432D04"/>
    <w:rsid w:val="08432D79"/>
    <w:rsid w:val="08432E2B"/>
    <w:rsid w:val="08432E5F"/>
    <w:rsid w:val="08432ECD"/>
    <w:rsid w:val="08432EF4"/>
    <w:rsid w:val="08432FAD"/>
    <w:rsid w:val="08433018"/>
    <w:rsid w:val="08433099"/>
    <w:rsid w:val="08433103"/>
    <w:rsid w:val="0843316B"/>
    <w:rsid w:val="084332C6"/>
    <w:rsid w:val="08433370"/>
    <w:rsid w:val="084333CF"/>
    <w:rsid w:val="084334D8"/>
    <w:rsid w:val="08433581"/>
    <w:rsid w:val="084335DE"/>
    <w:rsid w:val="084335E4"/>
    <w:rsid w:val="08433632"/>
    <w:rsid w:val="08433757"/>
    <w:rsid w:val="084337D7"/>
    <w:rsid w:val="084338B2"/>
    <w:rsid w:val="0843390F"/>
    <w:rsid w:val="08433A4A"/>
    <w:rsid w:val="08433B4E"/>
    <w:rsid w:val="08433BDB"/>
    <w:rsid w:val="08433BFE"/>
    <w:rsid w:val="08433CE4"/>
    <w:rsid w:val="08433EC6"/>
    <w:rsid w:val="08433F5A"/>
    <w:rsid w:val="08433FF0"/>
    <w:rsid w:val="08434003"/>
    <w:rsid w:val="0843407A"/>
    <w:rsid w:val="0843407E"/>
    <w:rsid w:val="084340FC"/>
    <w:rsid w:val="0843415A"/>
    <w:rsid w:val="0843418A"/>
    <w:rsid w:val="08434228"/>
    <w:rsid w:val="084342AA"/>
    <w:rsid w:val="084342B4"/>
    <w:rsid w:val="084342E7"/>
    <w:rsid w:val="08434382"/>
    <w:rsid w:val="08434453"/>
    <w:rsid w:val="08434581"/>
    <w:rsid w:val="08434597"/>
    <w:rsid w:val="084346E9"/>
    <w:rsid w:val="08434703"/>
    <w:rsid w:val="08434749"/>
    <w:rsid w:val="084347F3"/>
    <w:rsid w:val="08434811"/>
    <w:rsid w:val="0843484E"/>
    <w:rsid w:val="084348DB"/>
    <w:rsid w:val="084349C5"/>
    <w:rsid w:val="084349FF"/>
    <w:rsid w:val="08434B59"/>
    <w:rsid w:val="08434BB9"/>
    <w:rsid w:val="08434BDF"/>
    <w:rsid w:val="08434C0C"/>
    <w:rsid w:val="08434C62"/>
    <w:rsid w:val="08434CD9"/>
    <w:rsid w:val="08434CE5"/>
    <w:rsid w:val="08434CF1"/>
    <w:rsid w:val="08434D37"/>
    <w:rsid w:val="08434D91"/>
    <w:rsid w:val="08434E11"/>
    <w:rsid w:val="08434E1D"/>
    <w:rsid w:val="08434E20"/>
    <w:rsid w:val="08434E40"/>
    <w:rsid w:val="08434E48"/>
    <w:rsid w:val="08434EC2"/>
    <w:rsid w:val="08434F4C"/>
    <w:rsid w:val="084350BD"/>
    <w:rsid w:val="084350CC"/>
    <w:rsid w:val="08435108"/>
    <w:rsid w:val="0843515E"/>
    <w:rsid w:val="08435165"/>
    <w:rsid w:val="08435226"/>
    <w:rsid w:val="0843529F"/>
    <w:rsid w:val="084353E2"/>
    <w:rsid w:val="0843549B"/>
    <w:rsid w:val="084354FD"/>
    <w:rsid w:val="08435543"/>
    <w:rsid w:val="0843558C"/>
    <w:rsid w:val="084355EC"/>
    <w:rsid w:val="0843566F"/>
    <w:rsid w:val="08435701"/>
    <w:rsid w:val="08435717"/>
    <w:rsid w:val="08435773"/>
    <w:rsid w:val="08435804"/>
    <w:rsid w:val="084358A8"/>
    <w:rsid w:val="084358DE"/>
    <w:rsid w:val="08435990"/>
    <w:rsid w:val="084359AF"/>
    <w:rsid w:val="08435ADB"/>
    <w:rsid w:val="08435B05"/>
    <w:rsid w:val="08435BE5"/>
    <w:rsid w:val="08435BE6"/>
    <w:rsid w:val="08435CBE"/>
    <w:rsid w:val="08435D61"/>
    <w:rsid w:val="08435DA0"/>
    <w:rsid w:val="08435E05"/>
    <w:rsid w:val="08435E22"/>
    <w:rsid w:val="08435E3B"/>
    <w:rsid w:val="08435ECA"/>
    <w:rsid w:val="08436009"/>
    <w:rsid w:val="0843602B"/>
    <w:rsid w:val="0843602D"/>
    <w:rsid w:val="08436089"/>
    <w:rsid w:val="08436091"/>
    <w:rsid w:val="084360C5"/>
    <w:rsid w:val="0843623F"/>
    <w:rsid w:val="08436257"/>
    <w:rsid w:val="08436582"/>
    <w:rsid w:val="0843660B"/>
    <w:rsid w:val="08436681"/>
    <w:rsid w:val="08436683"/>
    <w:rsid w:val="084366A8"/>
    <w:rsid w:val="0843670A"/>
    <w:rsid w:val="08436727"/>
    <w:rsid w:val="084367EE"/>
    <w:rsid w:val="0843686B"/>
    <w:rsid w:val="084368F4"/>
    <w:rsid w:val="0843699A"/>
    <w:rsid w:val="08436A06"/>
    <w:rsid w:val="08436B04"/>
    <w:rsid w:val="08436BEC"/>
    <w:rsid w:val="08436C02"/>
    <w:rsid w:val="08436C19"/>
    <w:rsid w:val="08436C73"/>
    <w:rsid w:val="08436C7B"/>
    <w:rsid w:val="08436DBD"/>
    <w:rsid w:val="08436F7A"/>
    <w:rsid w:val="0843703C"/>
    <w:rsid w:val="08437084"/>
    <w:rsid w:val="08437253"/>
    <w:rsid w:val="084372BB"/>
    <w:rsid w:val="084372CB"/>
    <w:rsid w:val="08437353"/>
    <w:rsid w:val="084373A9"/>
    <w:rsid w:val="08437491"/>
    <w:rsid w:val="084374DF"/>
    <w:rsid w:val="084375EA"/>
    <w:rsid w:val="0843767B"/>
    <w:rsid w:val="08437685"/>
    <w:rsid w:val="08437700"/>
    <w:rsid w:val="0843771A"/>
    <w:rsid w:val="0843773D"/>
    <w:rsid w:val="08437741"/>
    <w:rsid w:val="08437797"/>
    <w:rsid w:val="08437826"/>
    <w:rsid w:val="08437835"/>
    <w:rsid w:val="08437950"/>
    <w:rsid w:val="084379A9"/>
    <w:rsid w:val="08437A01"/>
    <w:rsid w:val="08437A5E"/>
    <w:rsid w:val="08437A79"/>
    <w:rsid w:val="08437C5F"/>
    <w:rsid w:val="08437CD0"/>
    <w:rsid w:val="08437D0C"/>
    <w:rsid w:val="08437D24"/>
    <w:rsid w:val="08437D29"/>
    <w:rsid w:val="08437D77"/>
    <w:rsid w:val="08437D94"/>
    <w:rsid w:val="08437DA2"/>
    <w:rsid w:val="08437DE4"/>
    <w:rsid w:val="08437DFE"/>
    <w:rsid w:val="08437E00"/>
    <w:rsid w:val="08437E91"/>
    <w:rsid w:val="08437E94"/>
    <w:rsid w:val="08437F67"/>
    <w:rsid w:val="08437FAB"/>
    <w:rsid w:val="08437FF1"/>
    <w:rsid w:val="08440005"/>
    <w:rsid w:val="08440196"/>
    <w:rsid w:val="084401A5"/>
    <w:rsid w:val="08440200"/>
    <w:rsid w:val="0844027A"/>
    <w:rsid w:val="084402DD"/>
    <w:rsid w:val="08440401"/>
    <w:rsid w:val="0844046A"/>
    <w:rsid w:val="084404A1"/>
    <w:rsid w:val="084404D0"/>
    <w:rsid w:val="084405C7"/>
    <w:rsid w:val="08440842"/>
    <w:rsid w:val="0844084A"/>
    <w:rsid w:val="0844084E"/>
    <w:rsid w:val="08440917"/>
    <w:rsid w:val="08440926"/>
    <w:rsid w:val="084409F8"/>
    <w:rsid w:val="08440C82"/>
    <w:rsid w:val="08440D04"/>
    <w:rsid w:val="08440D69"/>
    <w:rsid w:val="08440DFE"/>
    <w:rsid w:val="08440E35"/>
    <w:rsid w:val="08440E3E"/>
    <w:rsid w:val="08440EC6"/>
    <w:rsid w:val="08440F2E"/>
    <w:rsid w:val="08440F68"/>
    <w:rsid w:val="08440F80"/>
    <w:rsid w:val="08440FA1"/>
    <w:rsid w:val="0844101D"/>
    <w:rsid w:val="08441071"/>
    <w:rsid w:val="0844108E"/>
    <w:rsid w:val="08441105"/>
    <w:rsid w:val="0844111D"/>
    <w:rsid w:val="0844114F"/>
    <w:rsid w:val="084411BF"/>
    <w:rsid w:val="08441280"/>
    <w:rsid w:val="08441355"/>
    <w:rsid w:val="0844139A"/>
    <w:rsid w:val="084413AD"/>
    <w:rsid w:val="0844154C"/>
    <w:rsid w:val="08441754"/>
    <w:rsid w:val="08441792"/>
    <w:rsid w:val="084417BB"/>
    <w:rsid w:val="0844185D"/>
    <w:rsid w:val="0844188F"/>
    <w:rsid w:val="08441914"/>
    <w:rsid w:val="0844193F"/>
    <w:rsid w:val="08441950"/>
    <w:rsid w:val="08441979"/>
    <w:rsid w:val="084419A4"/>
    <w:rsid w:val="084419C0"/>
    <w:rsid w:val="08441A87"/>
    <w:rsid w:val="08441AB0"/>
    <w:rsid w:val="08441AD0"/>
    <w:rsid w:val="08441B13"/>
    <w:rsid w:val="08441B44"/>
    <w:rsid w:val="08441B5E"/>
    <w:rsid w:val="08441B6E"/>
    <w:rsid w:val="08441BC5"/>
    <w:rsid w:val="08441CA7"/>
    <w:rsid w:val="08441CC2"/>
    <w:rsid w:val="08441E2D"/>
    <w:rsid w:val="08441F58"/>
    <w:rsid w:val="08441FE2"/>
    <w:rsid w:val="08441FF9"/>
    <w:rsid w:val="0844200E"/>
    <w:rsid w:val="0844206E"/>
    <w:rsid w:val="084420A4"/>
    <w:rsid w:val="0844216A"/>
    <w:rsid w:val="0844223E"/>
    <w:rsid w:val="0844229D"/>
    <w:rsid w:val="08442546"/>
    <w:rsid w:val="08442548"/>
    <w:rsid w:val="08442590"/>
    <w:rsid w:val="08442600"/>
    <w:rsid w:val="08442629"/>
    <w:rsid w:val="08442661"/>
    <w:rsid w:val="0844267F"/>
    <w:rsid w:val="084426D1"/>
    <w:rsid w:val="08442716"/>
    <w:rsid w:val="0844287E"/>
    <w:rsid w:val="08442914"/>
    <w:rsid w:val="0844292E"/>
    <w:rsid w:val="08442947"/>
    <w:rsid w:val="08442A2A"/>
    <w:rsid w:val="08442B00"/>
    <w:rsid w:val="08442DD0"/>
    <w:rsid w:val="08442E2C"/>
    <w:rsid w:val="08442EEA"/>
    <w:rsid w:val="08442EEC"/>
    <w:rsid w:val="08442F44"/>
    <w:rsid w:val="08443087"/>
    <w:rsid w:val="084430C7"/>
    <w:rsid w:val="0844312C"/>
    <w:rsid w:val="084431EA"/>
    <w:rsid w:val="08443213"/>
    <w:rsid w:val="08443257"/>
    <w:rsid w:val="08443294"/>
    <w:rsid w:val="084432D5"/>
    <w:rsid w:val="08443385"/>
    <w:rsid w:val="084433D2"/>
    <w:rsid w:val="08443471"/>
    <w:rsid w:val="08443525"/>
    <w:rsid w:val="08443559"/>
    <w:rsid w:val="08443649"/>
    <w:rsid w:val="08443657"/>
    <w:rsid w:val="084436A0"/>
    <w:rsid w:val="084436CB"/>
    <w:rsid w:val="084436ED"/>
    <w:rsid w:val="0844376C"/>
    <w:rsid w:val="084437C2"/>
    <w:rsid w:val="084437F7"/>
    <w:rsid w:val="08443813"/>
    <w:rsid w:val="08443920"/>
    <w:rsid w:val="08443934"/>
    <w:rsid w:val="084439C0"/>
    <w:rsid w:val="084439F7"/>
    <w:rsid w:val="08443B54"/>
    <w:rsid w:val="08443BD5"/>
    <w:rsid w:val="08443BF9"/>
    <w:rsid w:val="08443C28"/>
    <w:rsid w:val="08443C48"/>
    <w:rsid w:val="08443D0D"/>
    <w:rsid w:val="08443D23"/>
    <w:rsid w:val="08443D5E"/>
    <w:rsid w:val="08443EC6"/>
    <w:rsid w:val="08443F34"/>
    <w:rsid w:val="08443F5D"/>
    <w:rsid w:val="08443F97"/>
    <w:rsid w:val="08444018"/>
    <w:rsid w:val="0844401C"/>
    <w:rsid w:val="0844409F"/>
    <w:rsid w:val="084440B4"/>
    <w:rsid w:val="08444195"/>
    <w:rsid w:val="0844422D"/>
    <w:rsid w:val="08444261"/>
    <w:rsid w:val="08444277"/>
    <w:rsid w:val="08444299"/>
    <w:rsid w:val="084442AA"/>
    <w:rsid w:val="084442ED"/>
    <w:rsid w:val="08444338"/>
    <w:rsid w:val="08444401"/>
    <w:rsid w:val="08444420"/>
    <w:rsid w:val="08444441"/>
    <w:rsid w:val="0844449D"/>
    <w:rsid w:val="08444517"/>
    <w:rsid w:val="08444538"/>
    <w:rsid w:val="0844453B"/>
    <w:rsid w:val="0844457D"/>
    <w:rsid w:val="084445C3"/>
    <w:rsid w:val="0844471E"/>
    <w:rsid w:val="0844474E"/>
    <w:rsid w:val="08444836"/>
    <w:rsid w:val="08444892"/>
    <w:rsid w:val="084448AE"/>
    <w:rsid w:val="084448E3"/>
    <w:rsid w:val="08444934"/>
    <w:rsid w:val="08444AD3"/>
    <w:rsid w:val="08444B1B"/>
    <w:rsid w:val="08444B77"/>
    <w:rsid w:val="08444BD1"/>
    <w:rsid w:val="08444BFB"/>
    <w:rsid w:val="08444EDC"/>
    <w:rsid w:val="08444EE7"/>
    <w:rsid w:val="08444F63"/>
    <w:rsid w:val="08444FC8"/>
    <w:rsid w:val="084450A5"/>
    <w:rsid w:val="084450B5"/>
    <w:rsid w:val="084450C9"/>
    <w:rsid w:val="084450CF"/>
    <w:rsid w:val="084450DD"/>
    <w:rsid w:val="08445103"/>
    <w:rsid w:val="0844512B"/>
    <w:rsid w:val="08445137"/>
    <w:rsid w:val="08445306"/>
    <w:rsid w:val="0844539E"/>
    <w:rsid w:val="08445487"/>
    <w:rsid w:val="084454B5"/>
    <w:rsid w:val="084454F8"/>
    <w:rsid w:val="08445508"/>
    <w:rsid w:val="084455AF"/>
    <w:rsid w:val="08445707"/>
    <w:rsid w:val="0844572C"/>
    <w:rsid w:val="0844576B"/>
    <w:rsid w:val="08445795"/>
    <w:rsid w:val="084457B0"/>
    <w:rsid w:val="084457DE"/>
    <w:rsid w:val="08445892"/>
    <w:rsid w:val="084459C9"/>
    <w:rsid w:val="084459ED"/>
    <w:rsid w:val="08445A20"/>
    <w:rsid w:val="08445A4E"/>
    <w:rsid w:val="08445B31"/>
    <w:rsid w:val="08445BB4"/>
    <w:rsid w:val="08445BC9"/>
    <w:rsid w:val="08445C5C"/>
    <w:rsid w:val="08445D45"/>
    <w:rsid w:val="08445DDD"/>
    <w:rsid w:val="08445E77"/>
    <w:rsid w:val="08445E79"/>
    <w:rsid w:val="08445EBA"/>
    <w:rsid w:val="08445F9C"/>
    <w:rsid w:val="08445FEB"/>
    <w:rsid w:val="08446068"/>
    <w:rsid w:val="0844612B"/>
    <w:rsid w:val="08446138"/>
    <w:rsid w:val="0844625C"/>
    <w:rsid w:val="08446260"/>
    <w:rsid w:val="084462C5"/>
    <w:rsid w:val="084463A6"/>
    <w:rsid w:val="084463F7"/>
    <w:rsid w:val="0844643F"/>
    <w:rsid w:val="0844644A"/>
    <w:rsid w:val="084464B0"/>
    <w:rsid w:val="08446551"/>
    <w:rsid w:val="08446556"/>
    <w:rsid w:val="08446574"/>
    <w:rsid w:val="08446580"/>
    <w:rsid w:val="084466EE"/>
    <w:rsid w:val="084466F1"/>
    <w:rsid w:val="08446718"/>
    <w:rsid w:val="084467BB"/>
    <w:rsid w:val="084467CC"/>
    <w:rsid w:val="084467D8"/>
    <w:rsid w:val="08446844"/>
    <w:rsid w:val="0844690A"/>
    <w:rsid w:val="08446923"/>
    <w:rsid w:val="0844697A"/>
    <w:rsid w:val="08446A02"/>
    <w:rsid w:val="08446AC3"/>
    <w:rsid w:val="08446D09"/>
    <w:rsid w:val="08446E8A"/>
    <w:rsid w:val="08446ED7"/>
    <w:rsid w:val="08446F40"/>
    <w:rsid w:val="08446FA3"/>
    <w:rsid w:val="08447086"/>
    <w:rsid w:val="084470BE"/>
    <w:rsid w:val="08447129"/>
    <w:rsid w:val="08447130"/>
    <w:rsid w:val="084471D8"/>
    <w:rsid w:val="08447239"/>
    <w:rsid w:val="084472A1"/>
    <w:rsid w:val="084472C4"/>
    <w:rsid w:val="08447332"/>
    <w:rsid w:val="0844737F"/>
    <w:rsid w:val="0844749A"/>
    <w:rsid w:val="08447599"/>
    <w:rsid w:val="084475A0"/>
    <w:rsid w:val="084475E0"/>
    <w:rsid w:val="084476DD"/>
    <w:rsid w:val="08447774"/>
    <w:rsid w:val="08447B67"/>
    <w:rsid w:val="08447BE8"/>
    <w:rsid w:val="08447BF2"/>
    <w:rsid w:val="08447C61"/>
    <w:rsid w:val="08447CE1"/>
    <w:rsid w:val="08447D4F"/>
    <w:rsid w:val="08447D89"/>
    <w:rsid w:val="08447DE4"/>
    <w:rsid w:val="08447E9A"/>
    <w:rsid w:val="08447EDB"/>
    <w:rsid w:val="08447EE0"/>
    <w:rsid w:val="08447F59"/>
    <w:rsid w:val="08447F97"/>
    <w:rsid w:val="08447FC1"/>
    <w:rsid w:val="08447FD5"/>
    <w:rsid w:val="08450065"/>
    <w:rsid w:val="084501A4"/>
    <w:rsid w:val="0845026F"/>
    <w:rsid w:val="08450286"/>
    <w:rsid w:val="08450300"/>
    <w:rsid w:val="084503B0"/>
    <w:rsid w:val="08450491"/>
    <w:rsid w:val="08450578"/>
    <w:rsid w:val="08450583"/>
    <w:rsid w:val="084505AB"/>
    <w:rsid w:val="0845067C"/>
    <w:rsid w:val="084506C8"/>
    <w:rsid w:val="084506E0"/>
    <w:rsid w:val="084507B1"/>
    <w:rsid w:val="08450825"/>
    <w:rsid w:val="084508A7"/>
    <w:rsid w:val="08450946"/>
    <w:rsid w:val="08450A18"/>
    <w:rsid w:val="08450A53"/>
    <w:rsid w:val="08450AD4"/>
    <w:rsid w:val="08450AE5"/>
    <w:rsid w:val="08450B41"/>
    <w:rsid w:val="08450B5D"/>
    <w:rsid w:val="08450B92"/>
    <w:rsid w:val="08450C31"/>
    <w:rsid w:val="08450C71"/>
    <w:rsid w:val="08450CA5"/>
    <w:rsid w:val="08450D3D"/>
    <w:rsid w:val="08450D6D"/>
    <w:rsid w:val="08450DA6"/>
    <w:rsid w:val="08450E30"/>
    <w:rsid w:val="08450E6E"/>
    <w:rsid w:val="08450EF8"/>
    <w:rsid w:val="08450F58"/>
    <w:rsid w:val="08450F8B"/>
    <w:rsid w:val="08450FA0"/>
    <w:rsid w:val="0845106C"/>
    <w:rsid w:val="0845107F"/>
    <w:rsid w:val="08451090"/>
    <w:rsid w:val="084510C1"/>
    <w:rsid w:val="08451252"/>
    <w:rsid w:val="08451298"/>
    <w:rsid w:val="08451360"/>
    <w:rsid w:val="084513B9"/>
    <w:rsid w:val="084513DC"/>
    <w:rsid w:val="08451411"/>
    <w:rsid w:val="084514BC"/>
    <w:rsid w:val="08451500"/>
    <w:rsid w:val="08451506"/>
    <w:rsid w:val="08451513"/>
    <w:rsid w:val="08451515"/>
    <w:rsid w:val="08451542"/>
    <w:rsid w:val="084516AB"/>
    <w:rsid w:val="0845175E"/>
    <w:rsid w:val="0845177E"/>
    <w:rsid w:val="08451789"/>
    <w:rsid w:val="084517D1"/>
    <w:rsid w:val="084517EA"/>
    <w:rsid w:val="0845182A"/>
    <w:rsid w:val="08451882"/>
    <w:rsid w:val="084518EE"/>
    <w:rsid w:val="0845193A"/>
    <w:rsid w:val="08451950"/>
    <w:rsid w:val="08451B28"/>
    <w:rsid w:val="08451BB7"/>
    <w:rsid w:val="08451C1B"/>
    <w:rsid w:val="08451C56"/>
    <w:rsid w:val="08451CCB"/>
    <w:rsid w:val="08451CE1"/>
    <w:rsid w:val="08451D96"/>
    <w:rsid w:val="08451DA0"/>
    <w:rsid w:val="08451DC9"/>
    <w:rsid w:val="08451F0E"/>
    <w:rsid w:val="08451F8A"/>
    <w:rsid w:val="08451F9B"/>
    <w:rsid w:val="0845207A"/>
    <w:rsid w:val="084520DE"/>
    <w:rsid w:val="084520FF"/>
    <w:rsid w:val="08452187"/>
    <w:rsid w:val="0845225C"/>
    <w:rsid w:val="08452315"/>
    <w:rsid w:val="08452369"/>
    <w:rsid w:val="084523AD"/>
    <w:rsid w:val="08452495"/>
    <w:rsid w:val="084524A6"/>
    <w:rsid w:val="0845261D"/>
    <w:rsid w:val="0845268A"/>
    <w:rsid w:val="084526C5"/>
    <w:rsid w:val="084527CB"/>
    <w:rsid w:val="08452808"/>
    <w:rsid w:val="0845283F"/>
    <w:rsid w:val="08452917"/>
    <w:rsid w:val="08452992"/>
    <w:rsid w:val="084529B6"/>
    <w:rsid w:val="084529BF"/>
    <w:rsid w:val="08452A0C"/>
    <w:rsid w:val="08452A4A"/>
    <w:rsid w:val="08452A87"/>
    <w:rsid w:val="08452C96"/>
    <w:rsid w:val="08452D0A"/>
    <w:rsid w:val="08452DA2"/>
    <w:rsid w:val="08452DFB"/>
    <w:rsid w:val="08452E24"/>
    <w:rsid w:val="08452E8B"/>
    <w:rsid w:val="08452EC2"/>
    <w:rsid w:val="08452F4D"/>
    <w:rsid w:val="08452F52"/>
    <w:rsid w:val="08452F55"/>
    <w:rsid w:val="0845303E"/>
    <w:rsid w:val="084530AB"/>
    <w:rsid w:val="084530CE"/>
    <w:rsid w:val="08453199"/>
    <w:rsid w:val="08453209"/>
    <w:rsid w:val="084532D6"/>
    <w:rsid w:val="084533DF"/>
    <w:rsid w:val="08453432"/>
    <w:rsid w:val="08453467"/>
    <w:rsid w:val="084534A1"/>
    <w:rsid w:val="08453506"/>
    <w:rsid w:val="08453549"/>
    <w:rsid w:val="08453558"/>
    <w:rsid w:val="08453583"/>
    <w:rsid w:val="084535A8"/>
    <w:rsid w:val="084535C1"/>
    <w:rsid w:val="084535ED"/>
    <w:rsid w:val="084536A9"/>
    <w:rsid w:val="0845376E"/>
    <w:rsid w:val="084537C4"/>
    <w:rsid w:val="08453889"/>
    <w:rsid w:val="0845388D"/>
    <w:rsid w:val="084538E3"/>
    <w:rsid w:val="084539A6"/>
    <w:rsid w:val="084539D4"/>
    <w:rsid w:val="08453A33"/>
    <w:rsid w:val="08453ADB"/>
    <w:rsid w:val="08453B7D"/>
    <w:rsid w:val="08453B7E"/>
    <w:rsid w:val="08453CEC"/>
    <w:rsid w:val="08453D43"/>
    <w:rsid w:val="08453D81"/>
    <w:rsid w:val="08453DDB"/>
    <w:rsid w:val="08453E3A"/>
    <w:rsid w:val="08453E77"/>
    <w:rsid w:val="08453EAE"/>
    <w:rsid w:val="08453EE7"/>
    <w:rsid w:val="084540C6"/>
    <w:rsid w:val="0845414C"/>
    <w:rsid w:val="084541EC"/>
    <w:rsid w:val="08454292"/>
    <w:rsid w:val="084542E5"/>
    <w:rsid w:val="0845443A"/>
    <w:rsid w:val="08454523"/>
    <w:rsid w:val="08454615"/>
    <w:rsid w:val="0845461D"/>
    <w:rsid w:val="084546A9"/>
    <w:rsid w:val="084546CF"/>
    <w:rsid w:val="084547D6"/>
    <w:rsid w:val="08454870"/>
    <w:rsid w:val="08454888"/>
    <w:rsid w:val="0845489A"/>
    <w:rsid w:val="08454986"/>
    <w:rsid w:val="084549D0"/>
    <w:rsid w:val="08454A17"/>
    <w:rsid w:val="08454A1D"/>
    <w:rsid w:val="08454A20"/>
    <w:rsid w:val="08454A24"/>
    <w:rsid w:val="08454AD5"/>
    <w:rsid w:val="08454B55"/>
    <w:rsid w:val="08454CAA"/>
    <w:rsid w:val="08454D0B"/>
    <w:rsid w:val="08454DF8"/>
    <w:rsid w:val="08454E08"/>
    <w:rsid w:val="08454E85"/>
    <w:rsid w:val="08454ECC"/>
    <w:rsid w:val="08454EE0"/>
    <w:rsid w:val="08454F3D"/>
    <w:rsid w:val="08454FBD"/>
    <w:rsid w:val="08455017"/>
    <w:rsid w:val="084550A9"/>
    <w:rsid w:val="0845513B"/>
    <w:rsid w:val="08455171"/>
    <w:rsid w:val="084551F0"/>
    <w:rsid w:val="08455268"/>
    <w:rsid w:val="0845528C"/>
    <w:rsid w:val="084552F5"/>
    <w:rsid w:val="08455305"/>
    <w:rsid w:val="084553B3"/>
    <w:rsid w:val="0845544C"/>
    <w:rsid w:val="084555B6"/>
    <w:rsid w:val="08455627"/>
    <w:rsid w:val="08455662"/>
    <w:rsid w:val="08455695"/>
    <w:rsid w:val="0845569E"/>
    <w:rsid w:val="084556B7"/>
    <w:rsid w:val="0845573B"/>
    <w:rsid w:val="08455796"/>
    <w:rsid w:val="084557AD"/>
    <w:rsid w:val="084558C2"/>
    <w:rsid w:val="084558D7"/>
    <w:rsid w:val="08455B12"/>
    <w:rsid w:val="08455B1A"/>
    <w:rsid w:val="08455C15"/>
    <w:rsid w:val="08455CD4"/>
    <w:rsid w:val="08455D6B"/>
    <w:rsid w:val="08455D9A"/>
    <w:rsid w:val="08455DAE"/>
    <w:rsid w:val="08455E0E"/>
    <w:rsid w:val="08455F41"/>
    <w:rsid w:val="08455F91"/>
    <w:rsid w:val="08455FDF"/>
    <w:rsid w:val="0845602D"/>
    <w:rsid w:val="0845604D"/>
    <w:rsid w:val="084560A4"/>
    <w:rsid w:val="084560FD"/>
    <w:rsid w:val="08456108"/>
    <w:rsid w:val="08456113"/>
    <w:rsid w:val="08456163"/>
    <w:rsid w:val="08456169"/>
    <w:rsid w:val="0845617E"/>
    <w:rsid w:val="084561EB"/>
    <w:rsid w:val="0845620C"/>
    <w:rsid w:val="08456260"/>
    <w:rsid w:val="0845640D"/>
    <w:rsid w:val="08456456"/>
    <w:rsid w:val="084564A8"/>
    <w:rsid w:val="084564B4"/>
    <w:rsid w:val="084564E7"/>
    <w:rsid w:val="084564F3"/>
    <w:rsid w:val="08456554"/>
    <w:rsid w:val="08456557"/>
    <w:rsid w:val="0845658A"/>
    <w:rsid w:val="084565E9"/>
    <w:rsid w:val="08456603"/>
    <w:rsid w:val="084566CD"/>
    <w:rsid w:val="08456706"/>
    <w:rsid w:val="08456745"/>
    <w:rsid w:val="084567C1"/>
    <w:rsid w:val="0845680A"/>
    <w:rsid w:val="0845685B"/>
    <w:rsid w:val="084568B4"/>
    <w:rsid w:val="0845691C"/>
    <w:rsid w:val="08456A31"/>
    <w:rsid w:val="08456A65"/>
    <w:rsid w:val="08456A80"/>
    <w:rsid w:val="08456AB4"/>
    <w:rsid w:val="08456B9E"/>
    <w:rsid w:val="08456BD7"/>
    <w:rsid w:val="08456C57"/>
    <w:rsid w:val="08456D66"/>
    <w:rsid w:val="08456D6C"/>
    <w:rsid w:val="08456DCE"/>
    <w:rsid w:val="08456E76"/>
    <w:rsid w:val="08456EDE"/>
    <w:rsid w:val="08457012"/>
    <w:rsid w:val="08457117"/>
    <w:rsid w:val="08457145"/>
    <w:rsid w:val="0845721E"/>
    <w:rsid w:val="08457236"/>
    <w:rsid w:val="084572D6"/>
    <w:rsid w:val="08457361"/>
    <w:rsid w:val="08457380"/>
    <w:rsid w:val="084573DA"/>
    <w:rsid w:val="084573E9"/>
    <w:rsid w:val="08457403"/>
    <w:rsid w:val="0845741C"/>
    <w:rsid w:val="0845743B"/>
    <w:rsid w:val="084574A6"/>
    <w:rsid w:val="084574A8"/>
    <w:rsid w:val="084574EF"/>
    <w:rsid w:val="084575C1"/>
    <w:rsid w:val="084575EF"/>
    <w:rsid w:val="08457758"/>
    <w:rsid w:val="084577E4"/>
    <w:rsid w:val="08457879"/>
    <w:rsid w:val="08457887"/>
    <w:rsid w:val="0845788A"/>
    <w:rsid w:val="08457996"/>
    <w:rsid w:val="08457997"/>
    <w:rsid w:val="08457B43"/>
    <w:rsid w:val="08457B69"/>
    <w:rsid w:val="08457C34"/>
    <w:rsid w:val="08457C53"/>
    <w:rsid w:val="08457E0C"/>
    <w:rsid w:val="08457FB1"/>
    <w:rsid w:val="08457FCC"/>
    <w:rsid w:val="08460002"/>
    <w:rsid w:val="084600E6"/>
    <w:rsid w:val="08460122"/>
    <w:rsid w:val="084601AF"/>
    <w:rsid w:val="084601F7"/>
    <w:rsid w:val="084602B7"/>
    <w:rsid w:val="084602D6"/>
    <w:rsid w:val="08460384"/>
    <w:rsid w:val="08460436"/>
    <w:rsid w:val="08460452"/>
    <w:rsid w:val="084604FA"/>
    <w:rsid w:val="08460591"/>
    <w:rsid w:val="084605C6"/>
    <w:rsid w:val="084606A1"/>
    <w:rsid w:val="084606F7"/>
    <w:rsid w:val="08460966"/>
    <w:rsid w:val="084609B8"/>
    <w:rsid w:val="08460A6C"/>
    <w:rsid w:val="08460BFC"/>
    <w:rsid w:val="08460CCD"/>
    <w:rsid w:val="08460CD0"/>
    <w:rsid w:val="08460D5C"/>
    <w:rsid w:val="08460E20"/>
    <w:rsid w:val="08460E57"/>
    <w:rsid w:val="08460F32"/>
    <w:rsid w:val="08460F8E"/>
    <w:rsid w:val="08460FA6"/>
    <w:rsid w:val="0846101F"/>
    <w:rsid w:val="0846103F"/>
    <w:rsid w:val="0846107B"/>
    <w:rsid w:val="0846110C"/>
    <w:rsid w:val="0846113E"/>
    <w:rsid w:val="084611AE"/>
    <w:rsid w:val="0846127D"/>
    <w:rsid w:val="084612C0"/>
    <w:rsid w:val="084612D7"/>
    <w:rsid w:val="08461303"/>
    <w:rsid w:val="0846131E"/>
    <w:rsid w:val="08461322"/>
    <w:rsid w:val="084614D8"/>
    <w:rsid w:val="0846150B"/>
    <w:rsid w:val="084615A9"/>
    <w:rsid w:val="0846170D"/>
    <w:rsid w:val="0846174A"/>
    <w:rsid w:val="084617EC"/>
    <w:rsid w:val="084618E6"/>
    <w:rsid w:val="0846194F"/>
    <w:rsid w:val="08461967"/>
    <w:rsid w:val="08461A90"/>
    <w:rsid w:val="08461ABC"/>
    <w:rsid w:val="08461C0B"/>
    <w:rsid w:val="08461CC0"/>
    <w:rsid w:val="08461CCC"/>
    <w:rsid w:val="08461E52"/>
    <w:rsid w:val="08461E6C"/>
    <w:rsid w:val="08461EAC"/>
    <w:rsid w:val="08461ED8"/>
    <w:rsid w:val="08461EDE"/>
    <w:rsid w:val="08461F18"/>
    <w:rsid w:val="08461F5B"/>
    <w:rsid w:val="08461F95"/>
    <w:rsid w:val="0846203A"/>
    <w:rsid w:val="08462101"/>
    <w:rsid w:val="084622B8"/>
    <w:rsid w:val="08462341"/>
    <w:rsid w:val="084624CC"/>
    <w:rsid w:val="084624F8"/>
    <w:rsid w:val="08462666"/>
    <w:rsid w:val="08462670"/>
    <w:rsid w:val="084626BC"/>
    <w:rsid w:val="0846275E"/>
    <w:rsid w:val="08462799"/>
    <w:rsid w:val="0846286C"/>
    <w:rsid w:val="0846289D"/>
    <w:rsid w:val="084628B5"/>
    <w:rsid w:val="084628E6"/>
    <w:rsid w:val="08462949"/>
    <w:rsid w:val="08462A8C"/>
    <w:rsid w:val="08462AE4"/>
    <w:rsid w:val="08462AF2"/>
    <w:rsid w:val="08462B49"/>
    <w:rsid w:val="08462BF1"/>
    <w:rsid w:val="08462C43"/>
    <w:rsid w:val="08462C4B"/>
    <w:rsid w:val="08462D85"/>
    <w:rsid w:val="08462D91"/>
    <w:rsid w:val="08462DF1"/>
    <w:rsid w:val="08462EB2"/>
    <w:rsid w:val="08462F12"/>
    <w:rsid w:val="08463061"/>
    <w:rsid w:val="08463074"/>
    <w:rsid w:val="084631A0"/>
    <w:rsid w:val="08463247"/>
    <w:rsid w:val="084633C9"/>
    <w:rsid w:val="084633DD"/>
    <w:rsid w:val="084633DF"/>
    <w:rsid w:val="0846341A"/>
    <w:rsid w:val="0846348C"/>
    <w:rsid w:val="084634B4"/>
    <w:rsid w:val="084634B9"/>
    <w:rsid w:val="084634E3"/>
    <w:rsid w:val="084634E7"/>
    <w:rsid w:val="0846350D"/>
    <w:rsid w:val="08463563"/>
    <w:rsid w:val="08463583"/>
    <w:rsid w:val="084635A6"/>
    <w:rsid w:val="08463641"/>
    <w:rsid w:val="08463646"/>
    <w:rsid w:val="08463667"/>
    <w:rsid w:val="084636EB"/>
    <w:rsid w:val="08463832"/>
    <w:rsid w:val="084638D9"/>
    <w:rsid w:val="08463940"/>
    <w:rsid w:val="08463A26"/>
    <w:rsid w:val="08463A8F"/>
    <w:rsid w:val="08463AC9"/>
    <w:rsid w:val="08463AE9"/>
    <w:rsid w:val="08463AEC"/>
    <w:rsid w:val="08463B8D"/>
    <w:rsid w:val="08463BDC"/>
    <w:rsid w:val="08463BE6"/>
    <w:rsid w:val="08463D0F"/>
    <w:rsid w:val="08463D25"/>
    <w:rsid w:val="08463D2F"/>
    <w:rsid w:val="08463D30"/>
    <w:rsid w:val="08463D5D"/>
    <w:rsid w:val="08463D9F"/>
    <w:rsid w:val="08463EE4"/>
    <w:rsid w:val="08463EFB"/>
    <w:rsid w:val="08463EFD"/>
    <w:rsid w:val="08463F42"/>
    <w:rsid w:val="0846409E"/>
    <w:rsid w:val="08464154"/>
    <w:rsid w:val="084641B9"/>
    <w:rsid w:val="0846430A"/>
    <w:rsid w:val="08464314"/>
    <w:rsid w:val="08464336"/>
    <w:rsid w:val="0846442E"/>
    <w:rsid w:val="0846447E"/>
    <w:rsid w:val="08464489"/>
    <w:rsid w:val="084644A8"/>
    <w:rsid w:val="08464527"/>
    <w:rsid w:val="08464598"/>
    <w:rsid w:val="084645DB"/>
    <w:rsid w:val="08464633"/>
    <w:rsid w:val="08464702"/>
    <w:rsid w:val="0846479A"/>
    <w:rsid w:val="084647EF"/>
    <w:rsid w:val="084648DC"/>
    <w:rsid w:val="08464939"/>
    <w:rsid w:val="08464949"/>
    <w:rsid w:val="084649C6"/>
    <w:rsid w:val="08464A47"/>
    <w:rsid w:val="08464B60"/>
    <w:rsid w:val="08464B81"/>
    <w:rsid w:val="08464BCC"/>
    <w:rsid w:val="08464C16"/>
    <w:rsid w:val="08464C57"/>
    <w:rsid w:val="08464C5D"/>
    <w:rsid w:val="08464CE4"/>
    <w:rsid w:val="08464DF7"/>
    <w:rsid w:val="08464E0B"/>
    <w:rsid w:val="08464E22"/>
    <w:rsid w:val="08464E86"/>
    <w:rsid w:val="08464FA3"/>
    <w:rsid w:val="08465015"/>
    <w:rsid w:val="08465079"/>
    <w:rsid w:val="084650C3"/>
    <w:rsid w:val="08465108"/>
    <w:rsid w:val="08465136"/>
    <w:rsid w:val="08465138"/>
    <w:rsid w:val="0846520C"/>
    <w:rsid w:val="08465223"/>
    <w:rsid w:val="0846528E"/>
    <w:rsid w:val="084653AA"/>
    <w:rsid w:val="0846546E"/>
    <w:rsid w:val="08465572"/>
    <w:rsid w:val="084656DB"/>
    <w:rsid w:val="084656E5"/>
    <w:rsid w:val="084656F8"/>
    <w:rsid w:val="08465710"/>
    <w:rsid w:val="0846572E"/>
    <w:rsid w:val="084657AC"/>
    <w:rsid w:val="084657B2"/>
    <w:rsid w:val="08465958"/>
    <w:rsid w:val="08465967"/>
    <w:rsid w:val="084659D3"/>
    <w:rsid w:val="084659F3"/>
    <w:rsid w:val="08465B29"/>
    <w:rsid w:val="08465C70"/>
    <w:rsid w:val="08465CFF"/>
    <w:rsid w:val="08465D89"/>
    <w:rsid w:val="08465E7A"/>
    <w:rsid w:val="08465FA7"/>
    <w:rsid w:val="08465FC3"/>
    <w:rsid w:val="08466051"/>
    <w:rsid w:val="08466101"/>
    <w:rsid w:val="0846613D"/>
    <w:rsid w:val="08466202"/>
    <w:rsid w:val="084662B3"/>
    <w:rsid w:val="08466305"/>
    <w:rsid w:val="0846631A"/>
    <w:rsid w:val="08466379"/>
    <w:rsid w:val="084663E1"/>
    <w:rsid w:val="08466406"/>
    <w:rsid w:val="08466453"/>
    <w:rsid w:val="084664E8"/>
    <w:rsid w:val="08466569"/>
    <w:rsid w:val="084665BE"/>
    <w:rsid w:val="084665C8"/>
    <w:rsid w:val="084666FC"/>
    <w:rsid w:val="0846676B"/>
    <w:rsid w:val="084667A6"/>
    <w:rsid w:val="084667ED"/>
    <w:rsid w:val="084667F2"/>
    <w:rsid w:val="0846690F"/>
    <w:rsid w:val="0846698F"/>
    <w:rsid w:val="084669A9"/>
    <w:rsid w:val="08466A0A"/>
    <w:rsid w:val="08466A26"/>
    <w:rsid w:val="08466B14"/>
    <w:rsid w:val="08466B5E"/>
    <w:rsid w:val="08466BED"/>
    <w:rsid w:val="08466C4D"/>
    <w:rsid w:val="08466CB8"/>
    <w:rsid w:val="08466CC4"/>
    <w:rsid w:val="08466E9C"/>
    <w:rsid w:val="08467008"/>
    <w:rsid w:val="08467017"/>
    <w:rsid w:val="0846703C"/>
    <w:rsid w:val="0846704E"/>
    <w:rsid w:val="08467052"/>
    <w:rsid w:val="0846707F"/>
    <w:rsid w:val="084671BA"/>
    <w:rsid w:val="08467398"/>
    <w:rsid w:val="08467498"/>
    <w:rsid w:val="08467605"/>
    <w:rsid w:val="08467616"/>
    <w:rsid w:val="084676C6"/>
    <w:rsid w:val="084676CB"/>
    <w:rsid w:val="08467713"/>
    <w:rsid w:val="08467752"/>
    <w:rsid w:val="0846775F"/>
    <w:rsid w:val="08467772"/>
    <w:rsid w:val="084678A0"/>
    <w:rsid w:val="084678C6"/>
    <w:rsid w:val="08467902"/>
    <w:rsid w:val="08467B53"/>
    <w:rsid w:val="08467C07"/>
    <w:rsid w:val="08467CFF"/>
    <w:rsid w:val="08467D50"/>
    <w:rsid w:val="08467DA3"/>
    <w:rsid w:val="08467DCD"/>
    <w:rsid w:val="08467F09"/>
    <w:rsid w:val="0847005E"/>
    <w:rsid w:val="0847010F"/>
    <w:rsid w:val="08470114"/>
    <w:rsid w:val="08470121"/>
    <w:rsid w:val="08470152"/>
    <w:rsid w:val="08470204"/>
    <w:rsid w:val="08470254"/>
    <w:rsid w:val="0847026B"/>
    <w:rsid w:val="08470292"/>
    <w:rsid w:val="08470304"/>
    <w:rsid w:val="0847039B"/>
    <w:rsid w:val="0847054F"/>
    <w:rsid w:val="0847064F"/>
    <w:rsid w:val="084706A3"/>
    <w:rsid w:val="08470770"/>
    <w:rsid w:val="084707B3"/>
    <w:rsid w:val="08470856"/>
    <w:rsid w:val="0847085D"/>
    <w:rsid w:val="08470880"/>
    <w:rsid w:val="084709E3"/>
    <w:rsid w:val="08470A28"/>
    <w:rsid w:val="08470A92"/>
    <w:rsid w:val="08470AF1"/>
    <w:rsid w:val="08470B2D"/>
    <w:rsid w:val="08470B44"/>
    <w:rsid w:val="08470B5A"/>
    <w:rsid w:val="08470BB6"/>
    <w:rsid w:val="08470C07"/>
    <w:rsid w:val="08470CD6"/>
    <w:rsid w:val="08470D59"/>
    <w:rsid w:val="08470FA9"/>
    <w:rsid w:val="08471000"/>
    <w:rsid w:val="08471181"/>
    <w:rsid w:val="08471187"/>
    <w:rsid w:val="08471269"/>
    <w:rsid w:val="084712CB"/>
    <w:rsid w:val="08471319"/>
    <w:rsid w:val="0847133A"/>
    <w:rsid w:val="08471378"/>
    <w:rsid w:val="08471457"/>
    <w:rsid w:val="08471470"/>
    <w:rsid w:val="084714C1"/>
    <w:rsid w:val="08471565"/>
    <w:rsid w:val="084715DD"/>
    <w:rsid w:val="08471606"/>
    <w:rsid w:val="0847161D"/>
    <w:rsid w:val="0847162D"/>
    <w:rsid w:val="08471683"/>
    <w:rsid w:val="08471785"/>
    <w:rsid w:val="084717B8"/>
    <w:rsid w:val="084717D2"/>
    <w:rsid w:val="08471817"/>
    <w:rsid w:val="08471855"/>
    <w:rsid w:val="0847185D"/>
    <w:rsid w:val="08471870"/>
    <w:rsid w:val="084718C0"/>
    <w:rsid w:val="08471A30"/>
    <w:rsid w:val="08471AC8"/>
    <w:rsid w:val="08471B45"/>
    <w:rsid w:val="08471B5F"/>
    <w:rsid w:val="08471B63"/>
    <w:rsid w:val="08471B73"/>
    <w:rsid w:val="08471C72"/>
    <w:rsid w:val="08471C96"/>
    <w:rsid w:val="08471CCD"/>
    <w:rsid w:val="08471D1E"/>
    <w:rsid w:val="08471E48"/>
    <w:rsid w:val="08471E86"/>
    <w:rsid w:val="08471EA7"/>
    <w:rsid w:val="08471EEA"/>
    <w:rsid w:val="08471F32"/>
    <w:rsid w:val="08471F3D"/>
    <w:rsid w:val="08471F41"/>
    <w:rsid w:val="08471F4A"/>
    <w:rsid w:val="08471F6F"/>
    <w:rsid w:val="08471F70"/>
    <w:rsid w:val="08471F77"/>
    <w:rsid w:val="0847205B"/>
    <w:rsid w:val="08472093"/>
    <w:rsid w:val="0847213C"/>
    <w:rsid w:val="084721EB"/>
    <w:rsid w:val="08472299"/>
    <w:rsid w:val="08472339"/>
    <w:rsid w:val="08472372"/>
    <w:rsid w:val="084723C8"/>
    <w:rsid w:val="084723D9"/>
    <w:rsid w:val="08472407"/>
    <w:rsid w:val="0847240C"/>
    <w:rsid w:val="08472451"/>
    <w:rsid w:val="0847245A"/>
    <w:rsid w:val="084724FF"/>
    <w:rsid w:val="0847254D"/>
    <w:rsid w:val="08472558"/>
    <w:rsid w:val="084725B3"/>
    <w:rsid w:val="08472608"/>
    <w:rsid w:val="084726E1"/>
    <w:rsid w:val="084726E6"/>
    <w:rsid w:val="084726E7"/>
    <w:rsid w:val="0847279B"/>
    <w:rsid w:val="0847280E"/>
    <w:rsid w:val="084729EB"/>
    <w:rsid w:val="08472A50"/>
    <w:rsid w:val="08472AB2"/>
    <w:rsid w:val="08472AD7"/>
    <w:rsid w:val="08472B20"/>
    <w:rsid w:val="08472BA3"/>
    <w:rsid w:val="08472BCE"/>
    <w:rsid w:val="08472BF6"/>
    <w:rsid w:val="08472C1D"/>
    <w:rsid w:val="08472C62"/>
    <w:rsid w:val="08472C6A"/>
    <w:rsid w:val="08472CE0"/>
    <w:rsid w:val="08472CF9"/>
    <w:rsid w:val="08472D11"/>
    <w:rsid w:val="08472DBB"/>
    <w:rsid w:val="08472E54"/>
    <w:rsid w:val="08472EA0"/>
    <w:rsid w:val="08472F14"/>
    <w:rsid w:val="08472FFC"/>
    <w:rsid w:val="08473110"/>
    <w:rsid w:val="0847312B"/>
    <w:rsid w:val="084731D3"/>
    <w:rsid w:val="084731E6"/>
    <w:rsid w:val="0847323A"/>
    <w:rsid w:val="08473279"/>
    <w:rsid w:val="084732AF"/>
    <w:rsid w:val="08473303"/>
    <w:rsid w:val="0847335E"/>
    <w:rsid w:val="0847337A"/>
    <w:rsid w:val="0847337E"/>
    <w:rsid w:val="084733B4"/>
    <w:rsid w:val="084733CD"/>
    <w:rsid w:val="084733CE"/>
    <w:rsid w:val="08473468"/>
    <w:rsid w:val="084734DF"/>
    <w:rsid w:val="08473551"/>
    <w:rsid w:val="084735B1"/>
    <w:rsid w:val="084735EE"/>
    <w:rsid w:val="08473612"/>
    <w:rsid w:val="08473618"/>
    <w:rsid w:val="0847364C"/>
    <w:rsid w:val="0847365F"/>
    <w:rsid w:val="084736CF"/>
    <w:rsid w:val="0847370C"/>
    <w:rsid w:val="08473749"/>
    <w:rsid w:val="08473787"/>
    <w:rsid w:val="08473801"/>
    <w:rsid w:val="08473908"/>
    <w:rsid w:val="08473A99"/>
    <w:rsid w:val="08473B11"/>
    <w:rsid w:val="08473C4B"/>
    <w:rsid w:val="08473D69"/>
    <w:rsid w:val="08473D7F"/>
    <w:rsid w:val="08473D8D"/>
    <w:rsid w:val="08473E8F"/>
    <w:rsid w:val="08473FEA"/>
    <w:rsid w:val="08474052"/>
    <w:rsid w:val="084740E1"/>
    <w:rsid w:val="08474173"/>
    <w:rsid w:val="08474175"/>
    <w:rsid w:val="0847424E"/>
    <w:rsid w:val="08474286"/>
    <w:rsid w:val="08474321"/>
    <w:rsid w:val="0847440A"/>
    <w:rsid w:val="084744B3"/>
    <w:rsid w:val="0847456B"/>
    <w:rsid w:val="08474576"/>
    <w:rsid w:val="084745A9"/>
    <w:rsid w:val="084745FE"/>
    <w:rsid w:val="0847464A"/>
    <w:rsid w:val="084746E5"/>
    <w:rsid w:val="0847481D"/>
    <w:rsid w:val="08474820"/>
    <w:rsid w:val="0847482C"/>
    <w:rsid w:val="08474832"/>
    <w:rsid w:val="084749CF"/>
    <w:rsid w:val="084749D4"/>
    <w:rsid w:val="08474A41"/>
    <w:rsid w:val="08474ACC"/>
    <w:rsid w:val="08474B99"/>
    <w:rsid w:val="08474BB1"/>
    <w:rsid w:val="08474CA6"/>
    <w:rsid w:val="08474CFB"/>
    <w:rsid w:val="08474D32"/>
    <w:rsid w:val="08474DAF"/>
    <w:rsid w:val="08474DB9"/>
    <w:rsid w:val="08474DD0"/>
    <w:rsid w:val="08474E9B"/>
    <w:rsid w:val="08474EA9"/>
    <w:rsid w:val="08474EE7"/>
    <w:rsid w:val="08474F07"/>
    <w:rsid w:val="08474FDD"/>
    <w:rsid w:val="08474FE1"/>
    <w:rsid w:val="08475010"/>
    <w:rsid w:val="08475041"/>
    <w:rsid w:val="0847516A"/>
    <w:rsid w:val="084751B0"/>
    <w:rsid w:val="084751E4"/>
    <w:rsid w:val="08475204"/>
    <w:rsid w:val="0847520A"/>
    <w:rsid w:val="084752B8"/>
    <w:rsid w:val="08475444"/>
    <w:rsid w:val="084754A2"/>
    <w:rsid w:val="084754C2"/>
    <w:rsid w:val="084754C5"/>
    <w:rsid w:val="084754DB"/>
    <w:rsid w:val="08475537"/>
    <w:rsid w:val="08475538"/>
    <w:rsid w:val="0847553F"/>
    <w:rsid w:val="08475562"/>
    <w:rsid w:val="08475575"/>
    <w:rsid w:val="0847570D"/>
    <w:rsid w:val="08475786"/>
    <w:rsid w:val="0847579D"/>
    <w:rsid w:val="084757C9"/>
    <w:rsid w:val="08475B52"/>
    <w:rsid w:val="08475BE4"/>
    <w:rsid w:val="08475C07"/>
    <w:rsid w:val="08475C1F"/>
    <w:rsid w:val="08475C5A"/>
    <w:rsid w:val="08475CF7"/>
    <w:rsid w:val="08475D42"/>
    <w:rsid w:val="08475D80"/>
    <w:rsid w:val="08475E2A"/>
    <w:rsid w:val="08475EA4"/>
    <w:rsid w:val="08475F62"/>
    <w:rsid w:val="08475FCB"/>
    <w:rsid w:val="0847601D"/>
    <w:rsid w:val="0847601F"/>
    <w:rsid w:val="084760BC"/>
    <w:rsid w:val="08476117"/>
    <w:rsid w:val="08476137"/>
    <w:rsid w:val="084761FE"/>
    <w:rsid w:val="084762F1"/>
    <w:rsid w:val="0847632F"/>
    <w:rsid w:val="08476438"/>
    <w:rsid w:val="084764DA"/>
    <w:rsid w:val="084764EC"/>
    <w:rsid w:val="0847651D"/>
    <w:rsid w:val="0847652A"/>
    <w:rsid w:val="08476545"/>
    <w:rsid w:val="084766BF"/>
    <w:rsid w:val="084766DB"/>
    <w:rsid w:val="08476726"/>
    <w:rsid w:val="08476788"/>
    <w:rsid w:val="084767B5"/>
    <w:rsid w:val="08476832"/>
    <w:rsid w:val="08476836"/>
    <w:rsid w:val="084768E5"/>
    <w:rsid w:val="084768EE"/>
    <w:rsid w:val="08476906"/>
    <w:rsid w:val="084769CC"/>
    <w:rsid w:val="08476B34"/>
    <w:rsid w:val="08476B56"/>
    <w:rsid w:val="08476BB5"/>
    <w:rsid w:val="08476BF5"/>
    <w:rsid w:val="08476CD9"/>
    <w:rsid w:val="08476D1F"/>
    <w:rsid w:val="08476E7D"/>
    <w:rsid w:val="08476F6A"/>
    <w:rsid w:val="08476FDF"/>
    <w:rsid w:val="08476FEE"/>
    <w:rsid w:val="08477048"/>
    <w:rsid w:val="0847706E"/>
    <w:rsid w:val="0847707E"/>
    <w:rsid w:val="084770C2"/>
    <w:rsid w:val="08477107"/>
    <w:rsid w:val="08477128"/>
    <w:rsid w:val="084771B2"/>
    <w:rsid w:val="08477205"/>
    <w:rsid w:val="08477225"/>
    <w:rsid w:val="08477266"/>
    <w:rsid w:val="084772B9"/>
    <w:rsid w:val="084772C7"/>
    <w:rsid w:val="0847734A"/>
    <w:rsid w:val="08477402"/>
    <w:rsid w:val="08477405"/>
    <w:rsid w:val="08477437"/>
    <w:rsid w:val="084774DC"/>
    <w:rsid w:val="08477500"/>
    <w:rsid w:val="08477634"/>
    <w:rsid w:val="0847770D"/>
    <w:rsid w:val="084777B9"/>
    <w:rsid w:val="084778B9"/>
    <w:rsid w:val="08477956"/>
    <w:rsid w:val="0847795D"/>
    <w:rsid w:val="0847797F"/>
    <w:rsid w:val="08477A2E"/>
    <w:rsid w:val="08477A2F"/>
    <w:rsid w:val="08477B26"/>
    <w:rsid w:val="08477C02"/>
    <w:rsid w:val="08477D43"/>
    <w:rsid w:val="08477DCE"/>
    <w:rsid w:val="08477E65"/>
    <w:rsid w:val="08477E81"/>
    <w:rsid w:val="08477F10"/>
    <w:rsid w:val="08477F58"/>
    <w:rsid w:val="08477F74"/>
    <w:rsid w:val="08477FB2"/>
    <w:rsid w:val="08477FF5"/>
    <w:rsid w:val="08480022"/>
    <w:rsid w:val="08480042"/>
    <w:rsid w:val="0848007C"/>
    <w:rsid w:val="084800AB"/>
    <w:rsid w:val="08480145"/>
    <w:rsid w:val="084801A3"/>
    <w:rsid w:val="08480280"/>
    <w:rsid w:val="0848037A"/>
    <w:rsid w:val="0848043E"/>
    <w:rsid w:val="08480579"/>
    <w:rsid w:val="084805C7"/>
    <w:rsid w:val="08480696"/>
    <w:rsid w:val="0848072C"/>
    <w:rsid w:val="0848075D"/>
    <w:rsid w:val="08480775"/>
    <w:rsid w:val="084807F4"/>
    <w:rsid w:val="08480819"/>
    <w:rsid w:val="0848092A"/>
    <w:rsid w:val="0848097C"/>
    <w:rsid w:val="08480987"/>
    <w:rsid w:val="084809A2"/>
    <w:rsid w:val="08480A1D"/>
    <w:rsid w:val="08480A37"/>
    <w:rsid w:val="08480A6C"/>
    <w:rsid w:val="08480B38"/>
    <w:rsid w:val="08480BAC"/>
    <w:rsid w:val="08480C89"/>
    <w:rsid w:val="08480CA5"/>
    <w:rsid w:val="08480CC3"/>
    <w:rsid w:val="08480D5A"/>
    <w:rsid w:val="08480D61"/>
    <w:rsid w:val="08480DCA"/>
    <w:rsid w:val="08480DFB"/>
    <w:rsid w:val="08480E03"/>
    <w:rsid w:val="08480E3E"/>
    <w:rsid w:val="08480E45"/>
    <w:rsid w:val="08480E93"/>
    <w:rsid w:val="08480EB7"/>
    <w:rsid w:val="08480F19"/>
    <w:rsid w:val="08480F6F"/>
    <w:rsid w:val="08481044"/>
    <w:rsid w:val="08481095"/>
    <w:rsid w:val="084810CF"/>
    <w:rsid w:val="08481151"/>
    <w:rsid w:val="0848118F"/>
    <w:rsid w:val="084811DD"/>
    <w:rsid w:val="0848122C"/>
    <w:rsid w:val="0848127D"/>
    <w:rsid w:val="08481282"/>
    <w:rsid w:val="08481391"/>
    <w:rsid w:val="084813DC"/>
    <w:rsid w:val="084813DD"/>
    <w:rsid w:val="0848144A"/>
    <w:rsid w:val="084814C3"/>
    <w:rsid w:val="084814E4"/>
    <w:rsid w:val="084814ED"/>
    <w:rsid w:val="0848158B"/>
    <w:rsid w:val="08481662"/>
    <w:rsid w:val="084816FD"/>
    <w:rsid w:val="08481709"/>
    <w:rsid w:val="0848171D"/>
    <w:rsid w:val="08481793"/>
    <w:rsid w:val="084818A0"/>
    <w:rsid w:val="084818AB"/>
    <w:rsid w:val="084818E9"/>
    <w:rsid w:val="084819F6"/>
    <w:rsid w:val="08481B71"/>
    <w:rsid w:val="08481BBF"/>
    <w:rsid w:val="08481C38"/>
    <w:rsid w:val="08481C9C"/>
    <w:rsid w:val="08481CA2"/>
    <w:rsid w:val="08481D75"/>
    <w:rsid w:val="08481E16"/>
    <w:rsid w:val="0848201D"/>
    <w:rsid w:val="0848206A"/>
    <w:rsid w:val="08482098"/>
    <w:rsid w:val="08482124"/>
    <w:rsid w:val="08482193"/>
    <w:rsid w:val="08482225"/>
    <w:rsid w:val="0848233E"/>
    <w:rsid w:val="0848234E"/>
    <w:rsid w:val="0848262C"/>
    <w:rsid w:val="08482693"/>
    <w:rsid w:val="084826A3"/>
    <w:rsid w:val="084826E5"/>
    <w:rsid w:val="084827BA"/>
    <w:rsid w:val="0848282D"/>
    <w:rsid w:val="0848295C"/>
    <w:rsid w:val="0848297B"/>
    <w:rsid w:val="084829A7"/>
    <w:rsid w:val="084829B9"/>
    <w:rsid w:val="084829BD"/>
    <w:rsid w:val="084829D4"/>
    <w:rsid w:val="08482A3A"/>
    <w:rsid w:val="08482A66"/>
    <w:rsid w:val="08482AA8"/>
    <w:rsid w:val="08482AE6"/>
    <w:rsid w:val="08482B5F"/>
    <w:rsid w:val="08482BA1"/>
    <w:rsid w:val="08482C15"/>
    <w:rsid w:val="08482DA7"/>
    <w:rsid w:val="08482DE6"/>
    <w:rsid w:val="08482DE8"/>
    <w:rsid w:val="08482E2C"/>
    <w:rsid w:val="08482E36"/>
    <w:rsid w:val="08482E76"/>
    <w:rsid w:val="08482EBE"/>
    <w:rsid w:val="08482EDE"/>
    <w:rsid w:val="08482FDE"/>
    <w:rsid w:val="084830BC"/>
    <w:rsid w:val="084830E3"/>
    <w:rsid w:val="08483121"/>
    <w:rsid w:val="084832C0"/>
    <w:rsid w:val="08483333"/>
    <w:rsid w:val="08483422"/>
    <w:rsid w:val="08483436"/>
    <w:rsid w:val="08483449"/>
    <w:rsid w:val="084835BD"/>
    <w:rsid w:val="084835F6"/>
    <w:rsid w:val="0848369E"/>
    <w:rsid w:val="0848370B"/>
    <w:rsid w:val="08483714"/>
    <w:rsid w:val="084837AB"/>
    <w:rsid w:val="084837EE"/>
    <w:rsid w:val="0848382F"/>
    <w:rsid w:val="08483999"/>
    <w:rsid w:val="08483A3D"/>
    <w:rsid w:val="08483ACE"/>
    <w:rsid w:val="08483AFD"/>
    <w:rsid w:val="08483C2A"/>
    <w:rsid w:val="08483C4A"/>
    <w:rsid w:val="08483C8F"/>
    <w:rsid w:val="08483D2E"/>
    <w:rsid w:val="08483D58"/>
    <w:rsid w:val="08483D6C"/>
    <w:rsid w:val="08483D98"/>
    <w:rsid w:val="08483DB0"/>
    <w:rsid w:val="08483DD7"/>
    <w:rsid w:val="08483E6D"/>
    <w:rsid w:val="08483EDB"/>
    <w:rsid w:val="08483F08"/>
    <w:rsid w:val="0848409D"/>
    <w:rsid w:val="084840F1"/>
    <w:rsid w:val="0848417C"/>
    <w:rsid w:val="084842BC"/>
    <w:rsid w:val="0848433C"/>
    <w:rsid w:val="08484393"/>
    <w:rsid w:val="0848446C"/>
    <w:rsid w:val="0848447E"/>
    <w:rsid w:val="08484526"/>
    <w:rsid w:val="08484544"/>
    <w:rsid w:val="08484581"/>
    <w:rsid w:val="084846E6"/>
    <w:rsid w:val="08484888"/>
    <w:rsid w:val="08484893"/>
    <w:rsid w:val="08484899"/>
    <w:rsid w:val="0848491F"/>
    <w:rsid w:val="08484929"/>
    <w:rsid w:val="08484961"/>
    <w:rsid w:val="084849AD"/>
    <w:rsid w:val="08484ACE"/>
    <w:rsid w:val="08484B11"/>
    <w:rsid w:val="08484B6C"/>
    <w:rsid w:val="08484BF2"/>
    <w:rsid w:val="08484C14"/>
    <w:rsid w:val="08484C90"/>
    <w:rsid w:val="08484E17"/>
    <w:rsid w:val="08484EAB"/>
    <w:rsid w:val="08484F0F"/>
    <w:rsid w:val="08484F4E"/>
    <w:rsid w:val="08484F9F"/>
    <w:rsid w:val="08484FB4"/>
    <w:rsid w:val="08484FD0"/>
    <w:rsid w:val="08485067"/>
    <w:rsid w:val="084850BD"/>
    <w:rsid w:val="0848516E"/>
    <w:rsid w:val="084851C6"/>
    <w:rsid w:val="084851DE"/>
    <w:rsid w:val="08485224"/>
    <w:rsid w:val="0848538F"/>
    <w:rsid w:val="08485390"/>
    <w:rsid w:val="084853BC"/>
    <w:rsid w:val="084853D1"/>
    <w:rsid w:val="08485460"/>
    <w:rsid w:val="084854FF"/>
    <w:rsid w:val="08485665"/>
    <w:rsid w:val="08485825"/>
    <w:rsid w:val="08485873"/>
    <w:rsid w:val="08485885"/>
    <w:rsid w:val="084858AF"/>
    <w:rsid w:val="08485969"/>
    <w:rsid w:val="0848596D"/>
    <w:rsid w:val="08485988"/>
    <w:rsid w:val="084859B9"/>
    <w:rsid w:val="084859D2"/>
    <w:rsid w:val="08485A7A"/>
    <w:rsid w:val="08485A8C"/>
    <w:rsid w:val="08485A93"/>
    <w:rsid w:val="08485B88"/>
    <w:rsid w:val="08485BAE"/>
    <w:rsid w:val="08485BF7"/>
    <w:rsid w:val="08485CE7"/>
    <w:rsid w:val="08485D17"/>
    <w:rsid w:val="08485D41"/>
    <w:rsid w:val="08485D68"/>
    <w:rsid w:val="08485DC0"/>
    <w:rsid w:val="08485DDD"/>
    <w:rsid w:val="08485E2A"/>
    <w:rsid w:val="08485E89"/>
    <w:rsid w:val="08485EAB"/>
    <w:rsid w:val="08485F48"/>
    <w:rsid w:val="08486001"/>
    <w:rsid w:val="08486011"/>
    <w:rsid w:val="0848608D"/>
    <w:rsid w:val="08486132"/>
    <w:rsid w:val="08486296"/>
    <w:rsid w:val="084862D1"/>
    <w:rsid w:val="08486331"/>
    <w:rsid w:val="08486379"/>
    <w:rsid w:val="08486459"/>
    <w:rsid w:val="084864A1"/>
    <w:rsid w:val="084864A8"/>
    <w:rsid w:val="08486559"/>
    <w:rsid w:val="08486572"/>
    <w:rsid w:val="084865BE"/>
    <w:rsid w:val="08486632"/>
    <w:rsid w:val="084866F3"/>
    <w:rsid w:val="084866F9"/>
    <w:rsid w:val="08486883"/>
    <w:rsid w:val="084868CC"/>
    <w:rsid w:val="08486963"/>
    <w:rsid w:val="0848697D"/>
    <w:rsid w:val="08486A80"/>
    <w:rsid w:val="08486A85"/>
    <w:rsid w:val="08486B87"/>
    <w:rsid w:val="08486B9C"/>
    <w:rsid w:val="08486BB9"/>
    <w:rsid w:val="08486BC3"/>
    <w:rsid w:val="08486BF9"/>
    <w:rsid w:val="08486C78"/>
    <w:rsid w:val="08486CBF"/>
    <w:rsid w:val="08486D4D"/>
    <w:rsid w:val="08486E69"/>
    <w:rsid w:val="08486E87"/>
    <w:rsid w:val="08486EB0"/>
    <w:rsid w:val="08486EE7"/>
    <w:rsid w:val="0848706B"/>
    <w:rsid w:val="0848707B"/>
    <w:rsid w:val="084870E6"/>
    <w:rsid w:val="08487130"/>
    <w:rsid w:val="08487134"/>
    <w:rsid w:val="0848713F"/>
    <w:rsid w:val="08487185"/>
    <w:rsid w:val="084871B5"/>
    <w:rsid w:val="084871D2"/>
    <w:rsid w:val="08487202"/>
    <w:rsid w:val="084872BF"/>
    <w:rsid w:val="08487334"/>
    <w:rsid w:val="08487364"/>
    <w:rsid w:val="084873CC"/>
    <w:rsid w:val="08487427"/>
    <w:rsid w:val="08487435"/>
    <w:rsid w:val="084874A5"/>
    <w:rsid w:val="084874AE"/>
    <w:rsid w:val="084874C0"/>
    <w:rsid w:val="084875E4"/>
    <w:rsid w:val="0848772E"/>
    <w:rsid w:val="0848782C"/>
    <w:rsid w:val="08487830"/>
    <w:rsid w:val="084878B3"/>
    <w:rsid w:val="08487915"/>
    <w:rsid w:val="08487984"/>
    <w:rsid w:val="08487A30"/>
    <w:rsid w:val="08487B19"/>
    <w:rsid w:val="08487B2C"/>
    <w:rsid w:val="08487C64"/>
    <w:rsid w:val="08487C97"/>
    <w:rsid w:val="08487CE2"/>
    <w:rsid w:val="08487D51"/>
    <w:rsid w:val="08487D66"/>
    <w:rsid w:val="08487D84"/>
    <w:rsid w:val="08487D88"/>
    <w:rsid w:val="08487DA0"/>
    <w:rsid w:val="08487E1E"/>
    <w:rsid w:val="08487E34"/>
    <w:rsid w:val="08487E66"/>
    <w:rsid w:val="08487EF4"/>
    <w:rsid w:val="08487F9C"/>
    <w:rsid w:val="0849000C"/>
    <w:rsid w:val="0849007D"/>
    <w:rsid w:val="08490159"/>
    <w:rsid w:val="084901A7"/>
    <w:rsid w:val="08490442"/>
    <w:rsid w:val="084904D6"/>
    <w:rsid w:val="08490555"/>
    <w:rsid w:val="0849056D"/>
    <w:rsid w:val="0849057F"/>
    <w:rsid w:val="08490599"/>
    <w:rsid w:val="0849064C"/>
    <w:rsid w:val="084906C9"/>
    <w:rsid w:val="08490715"/>
    <w:rsid w:val="084907D5"/>
    <w:rsid w:val="084908D6"/>
    <w:rsid w:val="084908D8"/>
    <w:rsid w:val="0849090E"/>
    <w:rsid w:val="08490914"/>
    <w:rsid w:val="0849094A"/>
    <w:rsid w:val="084909E0"/>
    <w:rsid w:val="08490A0D"/>
    <w:rsid w:val="08490A1E"/>
    <w:rsid w:val="08490AB0"/>
    <w:rsid w:val="08490C4B"/>
    <w:rsid w:val="08490C5F"/>
    <w:rsid w:val="08490CD9"/>
    <w:rsid w:val="08490D0E"/>
    <w:rsid w:val="08490D1E"/>
    <w:rsid w:val="08490DE6"/>
    <w:rsid w:val="08490EF2"/>
    <w:rsid w:val="08490F06"/>
    <w:rsid w:val="08490F76"/>
    <w:rsid w:val="08490F77"/>
    <w:rsid w:val="08490FD9"/>
    <w:rsid w:val="0849100F"/>
    <w:rsid w:val="08491085"/>
    <w:rsid w:val="084910A4"/>
    <w:rsid w:val="084911C8"/>
    <w:rsid w:val="0849120B"/>
    <w:rsid w:val="08491324"/>
    <w:rsid w:val="08491325"/>
    <w:rsid w:val="08491348"/>
    <w:rsid w:val="08491368"/>
    <w:rsid w:val="084913A3"/>
    <w:rsid w:val="084913D0"/>
    <w:rsid w:val="08491406"/>
    <w:rsid w:val="084914A2"/>
    <w:rsid w:val="084914D2"/>
    <w:rsid w:val="0849153E"/>
    <w:rsid w:val="08491558"/>
    <w:rsid w:val="084915A6"/>
    <w:rsid w:val="08491660"/>
    <w:rsid w:val="084916A3"/>
    <w:rsid w:val="084916E1"/>
    <w:rsid w:val="08491715"/>
    <w:rsid w:val="0849175E"/>
    <w:rsid w:val="08491796"/>
    <w:rsid w:val="084917DC"/>
    <w:rsid w:val="08491800"/>
    <w:rsid w:val="0849180F"/>
    <w:rsid w:val="08491828"/>
    <w:rsid w:val="08491872"/>
    <w:rsid w:val="08491957"/>
    <w:rsid w:val="084919C4"/>
    <w:rsid w:val="084919FD"/>
    <w:rsid w:val="08491B07"/>
    <w:rsid w:val="08491B22"/>
    <w:rsid w:val="08491BE0"/>
    <w:rsid w:val="08491BFA"/>
    <w:rsid w:val="08491BFB"/>
    <w:rsid w:val="08491C43"/>
    <w:rsid w:val="08491C68"/>
    <w:rsid w:val="08491C82"/>
    <w:rsid w:val="08491CE3"/>
    <w:rsid w:val="08491CFC"/>
    <w:rsid w:val="08491D05"/>
    <w:rsid w:val="08491D1F"/>
    <w:rsid w:val="08491D75"/>
    <w:rsid w:val="08491E26"/>
    <w:rsid w:val="08491E35"/>
    <w:rsid w:val="08491E8B"/>
    <w:rsid w:val="08491EB6"/>
    <w:rsid w:val="08491F60"/>
    <w:rsid w:val="08492060"/>
    <w:rsid w:val="084920A4"/>
    <w:rsid w:val="08492181"/>
    <w:rsid w:val="084922CD"/>
    <w:rsid w:val="084922F7"/>
    <w:rsid w:val="0849231E"/>
    <w:rsid w:val="084923AA"/>
    <w:rsid w:val="084923C4"/>
    <w:rsid w:val="084924B9"/>
    <w:rsid w:val="084924CC"/>
    <w:rsid w:val="084924F7"/>
    <w:rsid w:val="084925A9"/>
    <w:rsid w:val="08492690"/>
    <w:rsid w:val="08492698"/>
    <w:rsid w:val="0849270E"/>
    <w:rsid w:val="084927C7"/>
    <w:rsid w:val="084927EB"/>
    <w:rsid w:val="0849280F"/>
    <w:rsid w:val="0849281B"/>
    <w:rsid w:val="08492944"/>
    <w:rsid w:val="084929B4"/>
    <w:rsid w:val="084929BA"/>
    <w:rsid w:val="08492A38"/>
    <w:rsid w:val="08492B24"/>
    <w:rsid w:val="08492BCC"/>
    <w:rsid w:val="08492BFA"/>
    <w:rsid w:val="08492E47"/>
    <w:rsid w:val="08492ECB"/>
    <w:rsid w:val="08493057"/>
    <w:rsid w:val="08493083"/>
    <w:rsid w:val="084930B2"/>
    <w:rsid w:val="0849316C"/>
    <w:rsid w:val="08493187"/>
    <w:rsid w:val="08493256"/>
    <w:rsid w:val="084932BC"/>
    <w:rsid w:val="08493388"/>
    <w:rsid w:val="08493436"/>
    <w:rsid w:val="0849349A"/>
    <w:rsid w:val="08493588"/>
    <w:rsid w:val="0849369F"/>
    <w:rsid w:val="084937B5"/>
    <w:rsid w:val="08493843"/>
    <w:rsid w:val="084938DB"/>
    <w:rsid w:val="08493A87"/>
    <w:rsid w:val="08493ADD"/>
    <w:rsid w:val="08493AFE"/>
    <w:rsid w:val="08493C90"/>
    <w:rsid w:val="08493CF2"/>
    <w:rsid w:val="08493D95"/>
    <w:rsid w:val="08493E85"/>
    <w:rsid w:val="08493E87"/>
    <w:rsid w:val="08493E93"/>
    <w:rsid w:val="08493E96"/>
    <w:rsid w:val="08493ECF"/>
    <w:rsid w:val="0849407E"/>
    <w:rsid w:val="084940F9"/>
    <w:rsid w:val="084941B7"/>
    <w:rsid w:val="084941D2"/>
    <w:rsid w:val="084941F0"/>
    <w:rsid w:val="08494260"/>
    <w:rsid w:val="08494287"/>
    <w:rsid w:val="0849439D"/>
    <w:rsid w:val="084943CE"/>
    <w:rsid w:val="0849442F"/>
    <w:rsid w:val="084944C1"/>
    <w:rsid w:val="084944CB"/>
    <w:rsid w:val="08494528"/>
    <w:rsid w:val="084945C0"/>
    <w:rsid w:val="08494725"/>
    <w:rsid w:val="08494762"/>
    <w:rsid w:val="084947EC"/>
    <w:rsid w:val="08494808"/>
    <w:rsid w:val="08494881"/>
    <w:rsid w:val="08494887"/>
    <w:rsid w:val="0849497F"/>
    <w:rsid w:val="084949DF"/>
    <w:rsid w:val="08494B56"/>
    <w:rsid w:val="08494BF0"/>
    <w:rsid w:val="08494CD3"/>
    <w:rsid w:val="08494CF7"/>
    <w:rsid w:val="08494DAF"/>
    <w:rsid w:val="08494DB0"/>
    <w:rsid w:val="08494DE8"/>
    <w:rsid w:val="08494DF0"/>
    <w:rsid w:val="08494E33"/>
    <w:rsid w:val="08494EC3"/>
    <w:rsid w:val="08494F2A"/>
    <w:rsid w:val="08494F9E"/>
    <w:rsid w:val="08494FA8"/>
    <w:rsid w:val="08494FF0"/>
    <w:rsid w:val="084950BD"/>
    <w:rsid w:val="08495124"/>
    <w:rsid w:val="08495148"/>
    <w:rsid w:val="084952D3"/>
    <w:rsid w:val="08495307"/>
    <w:rsid w:val="0849539C"/>
    <w:rsid w:val="084953AC"/>
    <w:rsid w:val="08495478"/>
    <w:rsid w:val="0849552B"/>
    <w:rsid w:val="08495607"/>
    <w:rsid w:val="084956B5"/>
    <w:rsid w:val="084956F1"/>
    <w:rsid w:val="0849571E"/>
    <w:rsid w:val="08495792"/>
    <w:rsid w:val="0849583E"/>
    <w:rsid w:val="08495857"/>
    <w:rsid w:val="084958B6"/>
    <w:rsid w:val="084959C9"/>
    <w:rsid w:val="084959F6"/>
    <w:rsid w:val="08495A27"/>
    <w:rsid w:val="08495A73"/>
    <w:rsid w:val="08495A9D"/>
    <w:rsid w:val="08495AE4"/>
    <w:rsid w:val="08495C7D"/>
    <w:rsid w:val="08495D5C"/>
    <w:rsid w:val="08495DC5"/>
    <w:rsid w:val="08495E35"/>
    <w:rsid w:val="08495F3B"/>
    <w:rsid w:val="08495F44"/>
    <w:rsid w:val="08495F78"/>
    <w:rsid w:val="08495FCE"/>
    <w:rsid w:val="0849600E"/>
    <w:rsid w:val="08496064"/>
    <w:rsid w:val="0849607D"/>
    <w:rsid w:val="0849610A"/>
    <w:rsid w:val="08496120"/>
    <w:rsid w:val="084961E7"/>
    <w:rsid w:val="08496233"/>
    <w:rsid w:val="0849626D"/>
    <w:rsid w:val="084962CE"/>
    <w:rsid w:val="084962E6"/>
    <w:rsid w:val="08496322"/>
    <w:rsid w:val="08496385"/>
    <w:rsid w:val="084963C8"/>
    <w:rsid w:val="084963E4"/>
    <w:rsid w:val="0849640B"/>
    <w:rsid w:val="0849643A"/>
    <w:rsid w:val="084964C3"/>
    <w:rsid w:val="084964D0"/>
    <w:rsid w:val="08496526"/>
    <w:rsid w:val="08496531"/>
    <w:rsid w:val="084965E3"/>
    <w:rsid w:val="084966CE"/>
    <w:rsid w:val="084966FC"/>
    <w:rsid w:val="0849674B"/>
    <w:rsid w:val="0849674E"/>
    <w:rsid w:val="08496871"/>
    <w:rsid w:val="0849689E"/>
    <w:rsid w:val="084968B1"/>
    <w:rsid w:val="084968BD"/>
    <w:rsid w:val="0849696E"/>
    <w:rsid w:val="08496A2D"/>
    <w:rsid w:val="08496A35"/>
    <w:rsid w:val="08496A61"/>
    <w:rsid w:val="08496AC9"/>
    <w:rsid w:val="08496B16"/>
    <w:rsid w:val="08496B6A"/>
    <w:rsid w:val="08496BAE"/>
    <w:rsid w:val="08496C36"/>
    <w:rsid w:val="08496CE2"/>
    <w:rsid w:val="08496D03"/>
    <w:rsid w:val="08496D1F"/>
    <w:rsid w:val="08496DA6"/>
    <w:rsid w:val="08496E1B"/>
    <w:rsid w:val="084970E3"/>
    <w:rsid w:val="084970F5"/>
    <w:rsid w:val="08497178"/>
    <w:rsid w:val="08497200"/>
    <w:rsid w:val="0849726C"/>
    <w:rsid w:val="084972D1"/>
    <w:rsid w:val="084972EE"/>
    <w:rsid w:val="0849730E"/>
    <w:rsid w:val="084974A9"/>
    <w:rsid w:val="084974BB"/>
    <w:rsid w:val="084974E4"/>
    <w:rsid w:val="0849752C"/>
    <w:rsid w:val="08497536"/>
    <w:rsid w:val="084975E2"/>
    <w:rsid w:val="0849767C"/>
    <w:rsid w:val="08497694"/>
    <w:rsid w:val="0849769F"/>
    <w:rsid w:val="084977AE"/>
    <w:rsid w:val="084977C1"/>
    <w:rsid w:val="08497866"/>
    <w:rsid w:val="08497930"/>
    <w:rsid w:val="08497A0D"/>
    <w:rsid w:val="08497A6C"/>
    <w:rsid w:val="08497B25"/>
    <w:rsid w:val="08497B5E"/>
    <w:rsid w:val="08497C9C"/>
    <w:rsid w:val="08497DBA"/>
    <w:rsid w:val="08497DDB"/>
    <w:rsid w:val="08497E0F"/>
    <w:rsid w:val="08497E52"/>
    <w:rsid w:val="08497ED7"/>
    <w:rsid w:val="084A00A3"/>
    <w:rsid w:val="084A0167"/>
    <w:rsid w:val="084A0177"/>
    <w:rsid w:val="084A01BD"/>
    <w:rsid w:val="084A01D3"/>
    <w:rsid w:val="084A01DC"/>
    <w:rsid w:val="084A0262"/>
    <w:rsid w:val="084A02A6"/>
    <w:rsid w:val="084A0363"/>
    <w:rsid w:val="084A0385"/>
    <w:rsid w:val="084A04A3"/>
    <w:rsid w:val="084A04F2"/>
    <w:rsid w:val="084A0669"/>
    <w:rsid w:val="084A078D"/>
    <w:rsid w:val="084A07CC"/>
    <w:rsid w:val="084A08CC"/>
    <w:rsid w:val="084A090B"/>
    <w:rsid w:val="084A0939"/>
    <w:rsid w:val="084A0B29"/>
    <w:rsid w:val="084A0BA5"/>
    <w:rsid w:val="084A0BBE"/>
    <w:rsid w:val="084A0C28"/>
    <w:rsid w:val="084A0D26"/>
    <w:rsid w:val="084A0D56"/>
    <w:rsid w:val="084A0D6C"/>
    <w:rsid w:val="084A0D75"/>
    <w:rsid w:val="084A0DAB"/>
    <w:rsid w:val="084A0DD0"/>
    <w:rsid w:val="084A0DF3"/>
    <w:rsid w:val="084A0E5D"/>
    <w:rsid w:val="084A0EBC"/>
    <w:rsid w:val="084A0F6B"/>
    <w:rsid w:val="084A1076"/>
    <w:rsid w:val="084A10E3"/>
    <w:rsid w:val="084A11AF"/>
    <w:rsid w:val="084A11C0"/>
    <w:rsid w:val="084A11C7"/>
    <w:rsid w:val="084A11C9"/>
    <w:rsid w:val="084A11DC"/>
    <w:rsid w:val="084A129A"/>
    <w:rsid w:val="084A1332"/>
    <w:rsid w:val="084A1419"/>
    <w:rsid w:val="084A14A3"/>
    <w:rsid w:val="084A154C"/>
    <w:rsid w:val="084A15A2"/>
    <w:rsid w:val="084A15A4"/>
    <w:rsid w:val="084A168E"/>
    <w:rsid w:val="084A1751"/>
    <w:rsid w:val="084A1753"/>
    <w:rsid w:val="084A179F"/>
    <w:rsid w:val="084A1824"/>
    <w:rsid w:val="084A1877"/>
    <w:rsid w:val="084A18FF"/>
    <w:rsid w:val="084A19EE"/>
    <w:rsid w:val="084A1A73"/>
    <w:rsid w:val="084A1ABE"/>
    <w:rsid w:val="084A1B16"/>
    <w:rsid w:val="084A1B59"/>
    <w:rsid w:val="084A1B66"/>
    <w:rsid w:val="084A1B6E"/>
    <w:rsid w:val="084A1BC5"/>
    <w:rsid w:val="084A1C4A"/>
    <w:rsid w:val="084A1CC1"/>
    <w:rsid w:val="084A1CD2"/>
    <w:rsid w:val="084A1CDE"/>
    <w:rsid w:val="084A1F61"/>
    <w:rsid w:val="084A1FEC"/>
    <w:rsid w:val="084A2041"/>
    <w:rsid w:val="084A208B"/>
    <w:rsid w:val="084A20C6"/>
    <w:rsid w:val="084A20DA"/>
    <w:rsid w:val="084A233F"/>
    <w:rsid w:val="084A242F"/>
    <w:rsid w:val="084A24A5"/>
    <w:rsid w:val="084A24D2"/>
    <w:rsid w:val="084A2583"/>
    <w:rsid w:val="084A25C3"/>
    <w:rsid w:val="084A26D2"/>
    <w:rsid w:val="084A2745"/>
    <w:rsid w:val="084A2793"/>
    <w:rsid w:val="084A27B5"/>
    <w:rsid w:val="084A27C7"/>
    <w:rsid w:val="084A282D"/>
    <w:rsid w:val="084A2830"/>
    <w:rsid w:val="084A283A"/>
    <w:rsid w:val="084A28B4"/>
    <w:rsid w:val="084A28B6"/>
    <w:rsid w:val="084A28D1"/>
    <w:rsid w:val="084A292D"/>
    <w:rsid w:val="084A2981"/>
    <w:rsid w:val="084A298E"/>
    <w:rsid w:val="084A2A27"/>
    <w:rsid w:val="084A2B1C"/>
    <w:rsid w:val="084A2B67"/>
    <w:rsid w:val="084A2B97"/>
    <w:rsid w:val="084A2BF7"/>
    <w:rsid w:val="084A2BF8"/>
    <w:rsid w:val="084A2C4D"/>
    <w:rsid w:val="084A2C94"/>
    <w:rsid w:val="084A2D3F"/>
    <w:rsid w:val="084A2D80"/>
    <w:rsid w:val="084A2DAB"/>
    <w:rsid w:val="084A2E4C"/>
    <w:rsid w:val="084A2EA5"/>
    <w:rsid w:val="084A2F88"/>
    <w:rsid w:val="084A2F89"/>
    <w:rsid w:val="084A2FE1"/>
    <w:rsid w:val="084A3036"/>
    <w:rsid w:val="084A30BC"/>
    <w:rsid w:val="084A319E"/>
    <w:rsid w:val="084A331E"/>
    <w:rsid w:val="084A331F"/>
    <w:rsid w:val="084A3327"/>
    <w:rsid w:val="084A3353"/>
    <w:rsid w:val="084A342F"/>
    <w:rsid w:val="084A3464"/>
    <w:rsid w:val="084A346B"/>
    <w:rsid w:val="084A34AC"/>
    <w:rsid w:val="084A35A4"/>
    <w:rsid w:val="084A378B"/>
    <w:rsid w:val="084A37F2"/>
    <w:rsid w:val="084A38E4"/>
    <w:rsid w:val="084A38F6"/>
    <w:rsid w:val="084A392A"/>
    <w:rsid w:val="084A393C"/>
    <w:rsid w:val="084A3977"/>
    <w:rsid w:val="084A398D"/>
    <w:rsid w:val="084A3999"/>
    <w:rsid w:val="084A39F0"/>
    <w:rsid w:val="084A3B14"/>
    <w:rsid w:val="084A3B83"/>
    <w:rsid w:val="084A3C26"/>
    <w:rsid w:val="084A3C82"/>
    <w:rsid w:val="084A3D40"/>
    <w:rsid w:val="084A3D52"/>
    <w:rsid w:val="084A3D9F"/>
    <w:rsid w:val="084A3DCE"/>
    <w:rsid w:val="084A3E1B"/>
    <w:rsid w:val="084A3E8F"/>
    <w:rsid w:val="084A3EB4"/>
    <w:rsid w:val="084A3EB5"/>
    <w:rsid w:val="084A3F2E"/>
    <w:rsid w:val="084A406A"/>
    <w:rsid w:val="084A40AD"/>
    <w:rsid w:val="084A414C"/>
    <w:rsid w:val="084A428D"/>
    <w:rsid w:val="084A42B1"/>
    <w:rsid w:val="084A42E0"/>
    <w:rsid w:val="084A4387"/>
    <w:rsid w:val="084A43A4"/>
    <w:rsid w:val="084A43A8"/>
    <w:rsid w:val="084A444D"/>
    <w:rsid w:val="084A4533"/>
    <w:rsid w:val="084A4626"/>
    <w:rsid w:val="084A46BC"/>
    <w:rsid w:val="084A472A"/>
    <w:rsid w:val="084A484A"/>
    <w:rsid w:val="084A48AF"/>
    <w:rsid w:val="084A4994"/>
    <w:rsid w:val="084A49D0"/>
    <w:rsid w:val="084A4A26"/>
    <w:rsid w:val="084A4A50"/>
    <w:rsid w:val="084A4A6C"/>
    <w:rsid w:val="084A4A80"/>
    <w:rsid w:val="084A4C0C"/>
    <w:rsid w:val="084A4C58"/>
    <w:rsid w:val="084A4CD3"/>
    <w:rsid w:val="084A4D83"/>
    <w:rsid w:val="084A4E50"/>
    <w:rsid w:val="084A4F0D"/>
    <w:rsid w:val="084A4F93"/>
    <w:rsid w:val="084A4FF3"/>
    <w:rsid w:val="084A501F"/>
    <w:rsid w:val="084A50D0"/>
    <w:rsid w:val="084A5109"/>
    <w:rsid w:val="084A514D"/>
    <w:rsid w:val="084A5161"/>
    <w:rsid w:val="084A51A3"/>
    <w:rsid w:val="084A51CA"/>
    <w:rsid w:val="084A51E2"/>
    <w:rsid w:val="084A5241"/>
    <w:rsid w:val="084A52E7"/>
    <w:rsid w:val="084A532F"/>
    <w:rsid w:val="084A54B8"/>
    <w:rsid w:val="084A5501"/>
    <w:rsid w:val="084A55A7"/>
    <w:rsid w:val="084A5667"/>
    <w:rsid w:val="084A56ED"/>
    <w:rsid w:val="084A5731"/>
    <w:rsid w:val="084A574D"/>
    <w:rsid w:val="084A578C"/>
    <w:rsid w:val="084A579D"/>
    <w:rsid w:val="084A57E3"/>
    <w:rsid w:val="084A580B"/>
    <w:rsid w:val="084A5B0E"/>
    <w:rsid w:val="084A5BCB"/>
    <w:rsid w:val="084A5C57"/>
    <w:rsid w:val="084A5C9B"/>
    <w:rsid w:val="084A5CE0"/>
    <w:rsid w:val="084A5CF6"/>
    <w:rsid w:val="084A5D15"/>
    <w:rsid w:val="084A5D72"/>
    <w:rsid w:val="084A5D81"/>
    <w:rsid w:val="084A5E54"/>
    <w:rsid w:val="084A5F8E"/>
    <w:rsid w:val="084A5FDD"/>
    <w:rsid w:val="084A600D"/>
    <w:rsid w:val="084A602B"/>
    <w:rsid w:val="084A6068"/>
    <w:rsid w:val="084A60D1"/>
    <w:rsid w:val="084A60DB"/>
    <w:rsid w:val="084A6150"/>
    <w:rsid w:val="084A6273"/>
    <w:rsid w:val="084A62C0"/>
    <w:rsid w:val="084A62F1"/>
    <w:rsid w:val="084A6379"/>
    <w:rsid w:val="084A639C"/>
    <w:rsid w:val="084A64A6"/>
    <w:rsid w:val="084A64C5"/>
    <w:rsid w:val="084A655F"/>
    <w:rsid w:val="084A65A0"/>
    <w:rsid w:val="084A65E2"/>
    <w:rsid w:val="084A65EA"/>
    <w:rsid w:val="084A6617"/>
    <w:rsid w:val="084A66BC"/>
    <w:rsid w:val="084A66CF"/>
    <w:rsid w:val="084A66F5"/>
    <w:rsid w:val="084A6703"/>
    <w:rsid w:val="084A6816"/>
    <w:rsid w:val="084A6858"/>
    <w:rsid w:val="084A68F3"/>
    <w:rsid w:val="084A6A09"/>
    <w:rsid w:val="084A6A0A"/>
    <w:rsid w:val="084A6A23"/>
    <w:rsid w:val="084A6BC3"/>
    <w:rsid w:val="084A6C1D"/>
    <w:rsid w:val="084A6FC6"/>
    <w:rsid w:val="084A7091"/>
    <w:rsid w:val="084A713B"/>
    <w:rsid w:val="084A7233"/>
    <w:rsid w:val="084A72C0"/>
    <w:rsid w:val="084A73F1"/>
    <w:rsid w:val="084A7437"/>
    <w:rsid w:val="084A74BB"/>
    <w:rsid w:val="084A74E6"/>
    <w:rsid w:val="084A7500"/>
    <w:rsid w:val="084A75A5"/>
    <w:rsid w:val="084A75E2"/>
    <w:rsid w:val="084A762F"/>
    <w:rsid w:val="084A7709"/>
    <w:rsid w:val="084A7732"/>
    <w:rsid w:val="084A775E"/>
    <w:rsid w:val="084A78AE"/>
    <w:rsid w:val="084A78E6"/>
    <w:rsid w:val="084A7A09"/>
    <w:rsid w:val="084A7AB6"/>
    <w:rsid w:val="084A7C0D"/>
    <w:rsid w:val="084A7C9A"/>
    <w:rsid w:val="084A7CBC"/>
    <w:rsid w:val="084A7CF2"/>
    <w:rsid w:val="084A7E6D"/>
    <w:rsid w:val="084A7EA4"/>
    <w:rsid w:val="084A7ED3"/>
    <w:rsid w:val="084A7F15"/>
    <w:rsid w:val="084A7F90"/>
    <w:rsid w:val="084A7FD7"/>
    <w:rsid w:val="084B0028"/>
    <w:rsid w:val="084B00AF"/>
    <w:rsid w:val="084B0102"/>
    <w:rsid w:val="084B01C3"/>
    <w:rsid w:val="084B033C"/>
    <w:rsid w:val="084B038A"/>
    <w:rsid w:val="084B03C5"/>
    <w:rsid w:val="084B0447"/>
    <w:rsid w:val="084B050B"/>
    <w:rsid w:val="084B0691"/>
    <w:rsid w:val="084B072D"/>
    <w:rsid w:val="084B076E"/>
    <w:rsid w:val="084B0911"/>
    <w:rsid w:val="084B0AD8"/>
    <w:rsid w:val="084B0ADC"/>
    <w:rsid w:val="084B0B16"/>
    <w:rsid w:val="084B0BA3"/>
    <w:rsid w:val="084B0C95"/>
    <w:rsid w:val="084B0D4F"/>
    <w:rsid w:val="084B0DF7"/>
    <w:rsid w:val="084B0E8A"/>
    <w:rsid w:val="084B0E8B"/>
    <w:rsid w:val="084B0F6D"/>
    <w:rsid w:val="084B1040"/>
    <w:rsid w:val="084B1062"/>
    <w:rsid w:val="084B109A"/>
    <w:rsid w:val="084B10AC"/>
    <w:rsid w:val="084B116D"/>
    <w:rsid w:val="084B11B9"/>
    <w:rsid w:val="084B129E"/>
    <w:rsid w:val="084B1325"/>
    <w:rsid w:val="084B137F"/>
    <w:rsid w:val="084B1432"/>
    <w:rsid w:val="084B1456"/>
    <w:rsid w:val="084B14CB"/>
    <w:rsid w:val="084B16A8"/>
    <w:rsid w:val="084B16EF"/>
    <w:rsid w:val="084B17CC"/>
    <w:rsid w:val="084B186A"/>
    <w:rsid w:val="084B18DD"/>
    <w:rsid w:val="084B18F2"/>
    <w:rsid w:val="084B1913"/>
    <w:rsid w:val="084B1944"/>
    <w:rsid w:val="084B1983"/>
    <w:rsid w:val="084B1A03"/>
    <w:rsid w:val="084B1A1F"/>
    <w:rsid w:val="084B1A9A"/>
    <w:rsid w:val="084B1AAD"/>
    <w:rsid w:val="084B1ABB"/>
    <w:rsid w:val="084B1BCD"/>
    <w:rsid w:val="084B1BF5"/>
    <w:rsid w:val="084B1D44"/>
    <w:rsid w:val="084B1D48"/>
    <w:rsid w:val="084B1E07"/>
    <w:rsid w:val="084B1EBC"/>
    <w:rsid w:val="084B1EFF"/>
    <w:rsid w:val="084B1F05"/>
    <w:rsid w:val="084B1FD3"/>
    <w:rsid w:val="084B1FE3"/>
    <w:rsid w:val="084B2081"/>
    <w:rsid w:val="084B2091"/>
    <w:rsid w:val="084B20DC"/>
    <w:rsid w:val="084B2195"/>
    <w:rsid w:val="084B227F"/>
    <w:rsid w:val="084B2296"/>
    <w:rsid w:val="084B23F1"/>
    <w:rsid w:val="084B2406"/>
    <w:rsid w:val="084B242F"/>
    <w:rsid w:val="084B245B"/>
    <w:rsid w:val="084B2493"/>
    <w:rsid w:val="084B24CD"/>
    <w:rsid w:val="084B256F"/>
    <w:rsid w:val="084B25B9"/>
    <w:rsid w:val="084B25C6"/>
    <w:rsid w:val="084B25F7"/>
    <w:rsid w:val="084B26C6"/>
    <w:rsid w:val="084B27F9"/>
    <w:rsid w:val="084B28B1"/>
    <w:rsid w:val="084B2931"/>
    <w:rsid w:val="084B296C"/>
    <w:rsid w:val="084B2997"/>
    <w:rsid w:val="084B29E4"/>
    <w:rsid w:val="084B2A75"/>
    <w:rsid w:val="084B2A94"/>
    <w:rsid w:val="084B2AA1"/>
    <w:rsid w:val="084B2B26"/>
    <w:rsid w:val="084B2BB3"/>
    <w:rsid w:val="084B2BEB"/>
    <w:rsid w:val="084B2C11"/>
    <w:rsid w:val="084B2C36"/>
    <w:rsid w:val="084B2C42"/>
    <w:rsid w:val="084B2D30"/>
    <w:rsid w:val="084B2D72"/>
    <w:rsid w:val="084B2D8A"/>
    <w:rsid w:val="084B2D93"/>
    <w:rsid w:val="084B2DCB"/>
    <w:rsid w:val="084B2DD1"/>
    <w:rsid w:val="084B2E52"/>
    <w:rsid w:val="084B2E6A"/>
    <w:rsid w:val="084B2EAF"/>
    <w:rsid w:val="084B2FC6"/>
    <w:rsid w:val="084B3021"/>
    <w:rsid w:val="084B306B"/>
    <w:rsid w:val="084B30BD"/>
    <w:rsid w:val="084B30BE"/>
    <w:rsid w:val="084B30E4"/>
    <w:rsid w:val="084B31E3"/>
    <w:rsid w:val="084B3201"/>
    <w:rsid w:val="084B3266"/>
    <w:rsid w:val="084B32A8"/>
    <w:rsid w:val="084B32F7"/>
    <w:rsid w:val="084B3345"/>
    <w:rsid w:val="084B336D"/>
    <w:rsid w:val="084B3430"/>
    <w:rsid w:val="084B3493"/>
    <w:rsid w:val="084B3525"/>
    <w:rsid w:val="084B362D"/>
    <w:rsid w:val="084B3631"/>
    <w:rsid w:val="084B3639"/>
    <w:rsid w:val="084B3674"/>
    <w:rsid w:val="084B36DE"/>
    <w:rsid w:val="084B3710"/>
    <w:rsid w:val="084B37FB"/>
    <w:rsid w:val="084B38B6"/>
    <w:rsid w:val="084B397A"/>
    <w:rsid w:val="084B3A1E"/>
    <w:rsid w:val="084B3A84"/>
    <w:rsid w:val="084B3B26"/>
    <w:rsid w:val="084B3B30"/>
    <w:rsid w:val="084B3B54"/>
    <w:rsid w:val="084B3B8A"/>
    <w:rsid w:val="084B3BCE"/>
    <w:rsid w:val="084B3C16"/>
    <w:rsid w:val="084B3C6A"/>
    <w:rsid w:val="084B3CDF"/>
    <w:rsid w:val="084B3D86"/>
    <w:rsid w:val="084B3DA8"/>
    <w:rsid w:val="084B3DF5"/>
    <w:rsid w:val="084B3E83"/>
    <w:rsid w:val="084B3FF1"/>
    <w:rsid w:val="084B403B"/>
    <w:rsid w:val="084B40BF"/>
    <w:rsid w:val="084B411B"/>
    <w:rsid w:val="084B414C"/>
    <w:rsid w:val="084B41D3"/>
    <w:rsid w:val="084B41FE"/>
    <w:rsid w:val="084B4217"/>
    <w:rsid w:val="084B42AD"/>
    <w:rsid w:val="084B4314"/>
    <w:rsid w:val="084B4333"/>
    <w:rsid w:val="084B436D"/>
    <w:rsid w:val="084B43B6"/>
    <w:rsid w:val="084B4455"/>
    <w:rsid w:val="084B459F"/>
    <w:rsid w:val="084B45A6"/>
    <w:rsid w:val="084B45CC"/>
    <w:rsid w:val="084B4629"/>
    <w:rsid w:val="084B4701"/>
    <w:rsid w:val="084B4712"/>
    <w:rsid w:val="084B4741"/>
    <w:rsid w:val="084B4801"/>
    <w:rsid w:val="084B482B"/>
    <w:rsid w:val="084B4865"/>
    <w:rsid w:val="084B48BC"/>
    <w:rsid w:val="084B48D0"/>
    <w:rsid w:val="084B4987"/>
    <w:rsid w:val="084B49CC"/>
    <w:rsid w:val="084B49F0"/>
    <w:rsid w:val="084B4A0A"/>
    <w:rsid w:val="084B4AC3"/>
    <w:rsid w:val="084B4AC6"/>
    <w:rsid w:val="084B4B53"/>
    <w:rsid w:val="084B4B73"/>
    <w:rsid w:val="084B4BF9"/>
    <w:rsid w:val="084B4C30"/>
    <w:rsid w:val="084B4CC0"/>
    <w:rsid w:val="084B4D6E"/>
    <w:rsid w:val="084B4DE0"/>
    <w:rsid w:val="084B4E36"/>
    <w:rsid w:val="084B4E79"/>
    <w:rsid w:val="084B4FA7"/>
    <w:rsid w:val="084B508F"/>
    <w:rsid w:val="084B513A"/>
    <w:rsid w:val="084B51AA"/>
    <w:rsid w:val="084B51B6"/>
    <w:rsid w:val="084B51E8"/>
    <w:rsid w:val="084B521D"/>
    <w:rsid w:val="084B527F"/>
    <w:rsid w:val="084B52BC"/>
    <w:rsid w:val="084B5398"/>
    <w:rsid w:val="084B5418"/>
    <w:rsid w:val="084B542F"/>
    <w:rsid w:val="084B549C"/>
    <w:rsid w:val="084B5513"/>
    <w:rsid w:val="084B5597"/>
    <w:rsid w:val="084B563C"/>
    <w:rsid w:val="084B5653"/>
    <w:rsid w:val="084B56AC"/>
    <w:rsid w:val="084B574C"/>
    <w:rsid w:val="084B5808"/>
    <w:rsid w:val="084B5815"/>
    <w:rsid w:val="084B581A"/>
    <w:rsid w:val="084B58C6"/>
    <w:rsid w:val="084B599A"/>
    <w:rsid w:val="084B59AB"/>
    <w:rsid w:val="084B59F1"/>
    <w:rsid w:val="084B5A02"/>
    <w:rsid w:val="084B5A05"/>
    <w:rsid w:val="084B5A39"/>
    <w:rsid w:val="084B5B54"/>
    <w:rsid w:val="084B5C26"/>
    <w:rsid w:val="084B5CD4"/>
    <w:rsid w:val="084B5DEC"/>
    <w:rsid w:val="084B5E2B"/>
    <w:rsid w:val="084B5F04"/>
    <w:rsid w:val="084B5F49"/>
    <w:rsid w:val="084B5F4D"/>
    <w:rsid w:val="084B5F7C"/>
    <w:rsid w:val="084B610C"/>
    <w:rsid w:val="084B6164"/>
    <w:rsid w:val="084B6397"/>
    <w:rsid w:val="084B63EC"/>
    <w:rsid w:val="084B63FC"/>
    <w:rsid w:val="084B64FB"/>
    <w:rsid w:val="084B65BD"/>
    <w:rsid w:val="084B664A"/>
    <w:rsid w:val="084B67D8"/>
    <w:rsid w:val="084B67ED"/>
    <w:rsid w:val="084B67F2"/>
    <w:rsid w:val="084B69CB"/>
    <w:rsid w:val="084B6A61"/>
    <w:rsid w:val="084B6C0E"/>
    <w:rsid w:val="084B6CA4"/>
    <w:rsid w:val="084B6CC9"/>
    <w:rsid w:val="084B6D60"/>
    <w:rsid w:val="084B6DC5"/>
    <w:rsid w:val="084B6DE0"/>
    <w:rsid w:val="084B6E24"/>
    <w:rsid w:val="084B6E50"/>
    <w:rsid w:val="084B7050"/>
    <w:rsid w:val="084B707B"/>
    <w:rsid w:val="084B7087"/>
    <w:rsid w:val="084B70C8"/>
    <w:rsid w:val="084B712F"/>
    <w:rsid w:val="084B71A7"/>
    <w:rsid w:val="084B7216"/>
    <w:rsid w:val="084B72F9"/>
    <w:rsid w:val="084B737A"/>
    <w:rsid w:val="084B73C2"/>
    <w:rsid w:val="084B73DF"/>
    <w:rsid w:val="084B7408"/>
    <w:rsid w:val="084B748F"/>
    <w:rsid w:val="084B74FB"/>
    <w:rsid w:val="084B7611"/>
    <w:rsid w:val="084B7645"/>
    <w:rsid w:val="084B7651"/>
    <w:rsid w:val="084B7691"/>
    <w:rsid w:val="084B76A8"/>
    <w:rsid w:val="084B76B0"/>
    <w:rsid w:val="084B7708"/>
    <w:rsid w:val="084B771B"/>
    <w:rsid w:val="084B77A4"/>
    <w:rsid w:val="084B77CB"/>
    <w:rsid w:val="084B7885"/>
    <w:rsid w:val="084B7905"/>
    <w:rsid w:val="084B79C0"/>
    <w:rsid w:val="084B7AF8"/>
    <w:rsid w:val="084B7BCF"/>
    <w:rsid w:val="084B7BF3"/>
    <w:rsid w:val="084B7C97"/>
    <w:rsid w:val="084B7E2E"/>
    <w:rsid w:val="084B7E42"/>
    <w:rsid w:val="084B7E6C"/>
    <w:rsid w:val="084B7EA1"/>
    <w:rsid w:val="084B7EDC"/>
    <w:rsid w:val="084C011B"/>
    <w:rsid w:val="084C016D"/>
    <w:rsid w:val="084C0192"/>
    <w:rsid w:val="084C019E"/>
    <w:rsid w:val="084C01A8"/>
    <w:rsid w:val="084C01B8"/>
    <w:rsid w:val="084C0257"/>
    <w:rsid w:val="084C0265"/>
    <w:rsid w:val="084C02A1"/>
    <w:rsid w:val="084C031A"/>
    <w:rsid w:val="084C04F5"/>
    <w:rsid w:val="084C04FF"/>
    <w:rsid w:val="084C06D3"/>
    <w:rsid w:val="084C0762"/>
    <w:rsid w:val="084C07F7"/>
    <w:rsid w:val="084C080F"/>
    <w:rsid w:val="084C0828"/>
    <w:rsid w:val="084C0834"/>
    <w:rsid w:val="084C0847"/>
    <w:rsid w:val="084C09A3"/>
    <w:rsid w:val="084C09E4"/>
    <w:rsid w:val="084C0A9D"/>
    <w:rsid w:val="084C0AD1"/>
    <w:rsid w:val="084C0AFA"/>
    <w:rsid w:val="084C0B15"/>
    <w:rsid w:val="084C0B16"/>
    <w:rsid w:val="084C0B6E"/>
    <w:rsid w:val="084C0C1C"/>
    <w:rsid w:val="084C0C60"/>
    <w:rsid w:val="084C0D36"/>
    <w:rsid w:val="084C0DA1"/>
    <w:rsid w:val="084C0DAC"/>
    <w:rsid w:val="084C0DC5"/>
    <w:rsid w:val="084C0DCB"/>
    <w:rsid w:val="084C0EA2"/>
    <w:rsid w:val="084C0EF1"/>
    <w:rsid w:val="084C0F2E"/>
    <w:rsid w:val="084C0F62"/>
    <w:rsid w:val="084C1096"/>
    <w:rsid w:val="084C1177"/>
    <w:rsid w:val="084C11AA"/>
    <w:rsid w:val="084C1217"/>
    <w:rsid w:val="084C126E"/>
    <w:rsid w:val="084C12B2"/>
    <w:rsid w:val="084C12E3"/>
    <w:rsid w:val="084C1376"/>
    <w:rsid w:val="084C1387"/>
    <w:rsid w:val="084C13F9"/>
    <w:rsid w:val="084C15BD"/>
    <w:rsid w:val="084C16D7"/>
    <w:rsid w:val="084C16F3"/>
    <w:rsid w:val="084C1730"/>
    <w:rsid w:val="084C1747"/>
    <w:rsid w:val="084C179F"/>
    <w:rsid w:val="084C17BF"/>
    <w:rsid w:val="084C17EA"/>
    <w:rsid w:val="084C181F"/>
    <w:rsid w:val="084C1821"/>
    <w:rsid w:val="084C18E4"/>
    <w:rsid w:val="084C1B1B"/>
    <w:rsid w:val="084C1B25"/>
    <w:rsid w:val="084C1C3C"/>
    <w:rsid w:val="084C1C99"/>
    <w:rsid w:val="084C1CC8"/>
    <w:rsid w:val="084C1CE0"/>
    <w:rsid w:val="084C1CEF"/>
    <w:rsid w:val="084C1E0A"/>
    <w:rsid w:val="084C1E5E"/>
    <w:rsid w:val="084C1E63"/>
    <w:rsid w:val="084C1EF1"/>
    <w:rsid w:val="084C2020"/>
    <w:rsid w:val="084C216D"/>
    <w:rsid w:val="084C217E"/>
    <w:rsid w:val="084C2225"/>
    <w:rsid w:val="084C22E5"/>
    <w:rsid w:val="084C22EB"/>
    <w:rsid w:val="084C23C7"/>
    <w:rsid w:val="084C2491"/>
    <w:rsid w:val="084C24C1"/>
    <w:rsid w:val="084C24D4"/>
    <w:rsid w:val="084C2740"/>
    <w:rsid w:val="084C27F3"/>
    <w:rsid w:val="084C281A"/>
    <w:rsid w:val="084C2894"/>
    <w:rsid w:val="084C28A7"/>
    <w:rsid w:val="084C28E4"/>
    <w:rsid w:val="084C296D"/>
    <w:rsid w:val="084C29AE"/>
    <w:rsid w:val="084C29E7"/>
    <w:rsid w:val="084C2A42"/>
    <w:rsid w:val="084C2AAE"/>
    <w:rsid w:val="084C2AD0"/>
    <w:rsid w:val="084C2AF9"/>
    <w:rsid w:val="084C2B6D"/>
    <w:rsid w:val="084C2B7F"/>
    <w:rsid w:val="084C2B9C"/>
    <w:rsid w:val="084C2BA6"/>
    <w:rsid w:val="084C2BAD"/>
    <w:rsid w:val="084C2C1F"/>
    <w:rsid w:val="084C2D01"/>
    <w:rsid w:val="084C2DAF"/>
    <w:rsid w:val="084C2E63"/>
    <w:rsid w:val="084C2F00"/>
    <w:rsid w:val="084C2F11"/>
    <w:rsid w:val="084C2F48"/>
    <w:rsid w:val="084C2F68"/>
    <w:rsid w:val="084C2F6D"/>
    <w:rsid w:val="084C2FF8"/>
    <w:rsid w:val="084C3042"/>
    <w:rsid w:val="084C30E8"/>
    <w:rsid w:val="084C3174"/>
    <w:rsid w:val="084C31B6"/>
    <w:rsid w:val="084C31BF"/>
    <w:rsid w:val="084C3255"/>
    <w:rsid w:val="084C3263"/>
    <w:rsid w:val="084C32B2"/>
    <w:rsid w:val="084C3306"/>
    <w:rsid w:val="084C333D"/>
    <w:rsid w:val="084C3345"/>
    <w:rsid w:val="084C3399"/>
    <w:rsid w:val="084C3440"/>
    <w:rsid w:val="084C34CC"/>
    <w:rsid w:val="084C35BA"/>
    <w:rsid w:val="084C35F2"/>
    <w:rsid w:val="084C362F"/>
    <w:rsid w:val="084C3682"/>
    <w:rsid w:val="084C3701"/>
    <w:rsid w:val="084C380E"/>
    <w:rsid w:val="084C3838"/>
    <w:rsid w:val="084C3884"/>
    <w:rsid w:val="084C3A24"/>
    <w:rsid w:val="084C3AA6"/>
    <w:rsid w:val="084C3AED"/>
    <w:rsid w:val="084C3B09"/>
    <w:rsid w:val="084C3B58"/>
    <w:rsid w:val="084C3C88"/>
    <w:rsid w:val="084C3CE0"/>
    <w:rsid w:val="084C3E19"/>
    <w:rsid w:val="084C3E24"/>
    <w:rsid w:val="084C3E33"/>
    <w:rsid w:val="084C3FD1"/>
    <w:rsid w:val="084C3FE5"/>
    <w:rsid w:val="084C3FEC"/>
    <w:rsid w:val="084C403E"/>
    <w:rsid w:val="084C4041"/>
    <w:rsid w:val="084C4143"/>
    <w:rsid w:val="084C41BF"/>
    <w:rsid w:val="084C41FB"/>
    <w:rsid w:val="084C4259"/>
    <w:rsid w:val="084C42B1"/>
    <w:rsid w:val="084C42C7"/>
    <w:rsid w:val="084C42D4"/>
    <w:rsid w:val="084C4322"/>
    <w:rsid w:val="084C433F"/>
    <w:rsid w:val="084C4386"/>
    <w:rsid w:val="084C4393"/>
    <w:rsid w:val="084C43EB"/>
    <w:rsid w:val="084C4480"/>
    <w:rsid w:val="084C44A5"/>
    <w:rsid w:val="084C44A6"/>
    <w:rsid w:val="084C4514"/>
    <w:rsid w:val="084C454B"/>
    <w:rsid w:val="084C4599"/>
    <w:rsid w:val="084C45C1"/>
    <w:rsid w:val="084C4643"/>
    <w:rsid w:val="084C472C"/>
    <w:rsid w:val="084C476F"/>
    <w:rsid w:val="084C4830"/>
    <w:rsid w:val="084C4848"/>
    <w:rsid w:val="084C4A17"/>
    <w:rsid w:val="084C4A23"/>
    <w:rsid w:val="084C4A2A"/>
    <w:rsid w:val="084C4AC6"/>
    <w:rsid w:val="084C4B30"/>
    <w:rsid w:val="084C4B74"/>
    <w:rsid w:val="084C4BA6"/>
    <w:rsid w:val="084C4BC7"/>
    <w:rsid w:val="084C4C26"/>
    <w:rsid w:val="084C4C5B"/>
    <w:rsid w:val="084C4CB7"/>
    <w:rsid w:val="084C4CD9"/>
    <w:rsid w:val="084C4CF2"/>
    <w:rsid w:val="084C4D43"/>
    <w:rsid w:val="084C4E0E"/>
    <w:rsid w:val="084C4EF4"/>
    <w:rsid w:val="084C4F5D"/>
    <w:rsid w:val="084C5029"/>
    <w:rsid w:val="084C502D"/>
    <w:rsid w:val="084C51F9"/>
    <w:rsid w:val="084C5207"/>
    <w:rsid w:val="084C5250"/>
    <w:rsid w:val="084C525D"/>
    <w:rsid w:val="084C52E3"/>
    <w:rsid w:val="084C53C6"/>
    <w:rsid w:val="084C5400"/>
    <w:rsid w:val="084C540F"/>
    <w:rsid w:val="084C543D"/>
    <w:rsid w:val="084C5497"/>
    <w:rsid w:val="084C5686"/>
    <w:rsid w:val="084C56F7"/>
    <w:rsid w:val="084C5708"/>
    <w:rsid w:val="084C585D"/>
    <w:rsid w:val="084C5873"/>
    <w:rsid w:val="084C5912"/>
    <w:rsid w:val="084C592C"/>
    <w:rsid w:val="084C5942"/>
    <w:rsid w:val="084C5946"/>
    <w:rsid w:val="084C5A62"/>
    <w:rsid w:val="084C5AED"/>
    <w:rsid w:val="084C5B25"/>
    <w:rsid w:val="084C5B47"/>
    <w:rsid w:val="084C5B95"/>
    <w:rsid w:val="084C5B9B"/>
    <w:rsid w:val="084C5CF4"/>
    <w:rsid w:val="084C5D91"/>
    <w:rsid w:val="084C5DAF"/>
    <w:rsid w:val="084C5DF5"/>
    <w:rsid w:val="084C5E27"/>
    <w:rsid w:val="084C5E58"/>
    <w:rsid w:val="084C5E71"/>
    <w:rsid w:val="084C5EAF"/>
    <w:rsid w:val="084C5F0A"/>
    <w:rsid w:val="084C5F17"/>
    <w:rsid w:val="084C5F21"/>
    <w:rsid w:val="084C6045"/>
    <w:rsid w:val="084C6081"/>
    <w:rsid w:val="084C610D"/>
    <w:rsid w:val="084C6247"/>
    <w:rsid w:val="084C63C1"/>
    <w:rsid w:val="084C63C9"/>
    <w:rsid w:val="084C6520"/>
    <w:rsid w:val="084C6626"/>
    <w:rsid w:val="084C666D"/>
    <w:rsid w:val="084C6699"/>
    <w:rsid w:val="084C6727"/>
    <w:rsid w:val="084C6835"/>
    <w:rsid w:val="084C6894"/>
    <w:rsid w:val="084C68CA"/>
    <w:rsid w:val="084C68D4"/>
    <w:rsid w:val="084C6914"/>
    <w:rsid w:val="084C69BC"/>
    <w:rsid w:val="084C69D9"/>
    <w:rsid w:val="084C6B66"/>
    <w:rsid w:val="084C6BCB"/>
    <w:rsid w:val="084C6BE2"/>
    <w:rsid w:val="084C6BF0"/>
    <w:rsid w:val="084C6C34"/>
    <w:rsid w:val="084C6C4C"/>
    <w:rsid w:val="084C6CF0"/>
    <w:rsid w:val="084C6DAD"/>
    <w:rsid w:val="084C6E39"/>
    <w:rsid w:val="084C6EF8"/>
    <w:rsid w:val="084C7057"/>
    <w:rsid w:val="084C7135"/>
    <w:rsid w:val="084C71E9"/>
    <w:rsid w:val="084C729A"/>
    <w:rsid w:val="084C72BB"/>
    <w:rsid w:val="084C730F"/>
    <w:rsid w:val="084C736A"/>
    <w:rsid w:val="084C73EB"/>
    <w:rsid w:val="084C7409"/>
    <w:rsid w:val="084C7412"/>
    <w:rsid w:val="084C74DA"/>
    <w:rsid w:val="084C74DD"/>
    <w:rsid w:val="084C755B"/>
    <w:rsid w:val="084C75DC"/>
    <w:rsid w:val="084C75EC"/>
    <w:rsid w:val="084C7634"/>
    <w:rsid w:val="084C76A6"/>
    <w:rsid w:val="084C76BD"/>
    <w:rsid w:val="084C7720"/>
    <w:rsid w:val="084C7AB7"/>
    <w:rsid w:val="084C7B03"/>
    <w:rsid w:val="084C7B55"/>
    <w:rsid w:val="084C7B86"/>
    <w:rsid w:val="084C7BBD"/>
    <w:rsid w:val="084C7BCE"/>
    <w:rsid w:val="084C7D11"/>
    <w:rsid w:val="084C7D62"/>
    <w:rsid w:val="084C7E06"/>
    <w:rsid w:val="084C7E0F"/>
    <w:rsid w:val="084C7EF6"/>
    <w:rsid w:val="084C7F64"/>
    <w:rsid w:val="084C7F92"/>
    <w:rsid w:val="084C7FE5"/>
    <w:rsid w:val="084D0020"/>
    <w:rsid w:val="084D004B"/>
    <w:rsid w:val="084D00BB"/>
    <w:rsid w:val="084D0127"/>
    <w:rsid w:val="084D014F"/>
    <w:rsid w:val="084D02F7"/>
    <w:rsid w:val="084D0344"/>
    <w:rsid w:val="084D03D9"/>
    <w:rsid w:val="084D03FD"/>
    <w:rsid w:val="084D040D"/>
    <w:rsid w:val="084D040E"/>
    <w:rsid w:val="084D04DC"/>
    <w:rsid w:val="084D0508"/>
    <w:rsid w:val="084D052E"/>
    <w:rsid w:val="084D0592"/>
    <w:rsid w:val="084D0620"/>
    <w:rsid w:val="084D066E"/>
    <w:rsid w:val="084D075C"/>
    <w:rsid w:val="084D07E5"/>
    <w:rsid w:val="084D08B2"/>
    <w:rsid w:val="084D09EF"/>
    <w:rsid w:val="084D0A13"/>
    <w:rsid w:val="084D0ABB"/>
    <w:rsid w:val="084D0B12"/>
    <w:rsid w:val="084D0B1F"/>
    <w:rsid w:val="084D0C24"/>
    <w:rsid w:val="084D0D96"/>
    <w:rsid w:val="084D0DA2"/>
    <w:rsid w:val="084D0EB6"/>
    <w:rsid w:val="084D0EE4"/>
    <w:rsid w:val="084D0F24"/>
    <w:rsid w:val="084D0F27"/>
    <w:rsid w:val="084D0F36"/>
    <w:rsid w:val="084D106E"/>
    <w:rsid w:val="084D1200"/>
    <w:rsid w:val="084D1201"/>
    <w:rsid w:val="084D120B"/>
    <w:rsid w:val="084D12F5"/>
    <w:rsid w:val="084D1415"/>
    <w:rsid w:val="084D1426"/>
    <w:rsid w:val="084D1494"/>
    <w:rsid w:val="084D14EB"/>
    <w:rsid w:val="084D1526"/>
    <w:rsid w:val="084D15A4"/>
    <w:rsid w:val="084D15EB"/>
    <w:rsid w:val="084D1687"/>
    <w:rsid w:val="084D16FA"/>
    <w:rsid w:val="084D171C"/>
    <w:rsid w:val="084D172F"/>
    <w:rsid w:val="084D17AF"/>
    <w:rsid w:val="084D18E8"/>
    <w:rsid w:val="084D192D"/>
    <w:rsid w:val="084D1931"/>
    <w:rsid w:val="084D199D"/>
    <w:rsid w:val="084D19ED"/>
    <w:rsid w:val="084D1A19"/>
    <w:rsid w:val="084D1A28"/>
    <w:rsid w:val="084D1A7A"/>
    <w:rsid w:val="084D1A9A"/>
    <w:rsid w:val="084D1AC3"/>
    <w:rsid w:val="084D1B2C"/>
    <w:rsid w:val="084D1C73"/>
    <w:rsid w:val="084D1CAA"/>
    <w:rsid w:val="084D1CBD"/>
    <w:rsid w:val="084D1CFF"/>
    <w:rsid w:val="084D1D9B"/>
    <w:rsid w:val="084D1DF6"/>
    <w:rsid w:val="084D1E56"/>
    <w:rsid w:val="084D1EAC"/>
    <w:rsid w:val="084D1EEA"/>
    <w:rsid w:val="084D1EF1"/>
    <w:rsid w:val="084D1F6B"/>
    <w:rsid w:val="084D203E"/>
    <w:rsid w:val="084D20AE"/>
    <w:rsid w:val="084D2140"/>
    <w:rsid w:val="084D2329"/>
    <w:rsid w:val="084D24B6"/>
    <w:rsid w:val="084D25EB"/>
    <w:rsid w:val="084D2805"/>
    <w:rsid w:val="084D2920"/>
    <w:rsid w:val="084D2924"/>
    <w:rsid w:val="084D299E"/>
    <w:rsid w:val="084D29C2"/>
    <w:rsid w:val="084D2A7C"/>
    <w:rsid w:val="084D2B92"/>
    <w:rsid w:val="084D2C5E"/>
    <w:rsid w:val="084D2C65"/>
    <w:rsid w:val="084D2C7F"/>
    <w:rsid w:val="084D2D1D"/>
    <w:rsid w:val="084D2DCD"/>
    <w:rsid w:val="084D2EA6"/>
    <w:rsid w:val="084D2EE5"/>
    <w:rsid w:val="084D2F2C"/>
    <w:rsid w:val="084D2FC6"/>
    <w:rsid w:val="084D303B"/>
    <w:rsid w:val="084D3150"/>
    <w:rsid w:val="084D321F"/>
    <w:rsid w:val="084D3229"/>
    <w:rsid w:val="084D331C"/>
    <w:rsid w:val="084D335A"/>
    <w:rsid w:val="084D3367"/>
    <w:rsid w:val="084D33F7"/>
    <w:rsid w:val="084D3402"/>
    <w:rsid w:val="084D34A2"/>
    <w:rsid w:val="084D34AD"/>
    <w:rsid w:val="084D3549"/>
    <w:rsid w:val="084D358C"/>
    <w:rsid w:val="084D3626"/>
    <w:rsid w:val="084D3673"/>
    <w:rsid w:val="084D3788"/>
    <w:rsid w:val="084D37B4"/>
    <w:rsid w:val="084D37B6"/>
    <w:rsid w:val="084D38C0"/>
    <w:rsid w:val="084D38E2"/>
    <w:rsid w:val="084D38ED"/>
    <w:rsid w:val="084D3938"/>
    <w:rsid w:val="084D3958"/>
    <w:rsid w:val="084D39A3"/>
    <w:rsid w:val="084D39C9"/>
    <w:rsid w:val="084D3A8B"/>
    <w:rsid w:val="084D3B4B"/>
    <w:rsid w:val="084D3C92"/>
    <w:rsid w:val="084D3D2A"/>
    <w:rsid w:val="084D3E5B"/>
    <w:rsid w:val="084D3EA8"/>
    <w:rsid w:val="084D3EC0"/>
    <w:rsid w:val="084D3F19"/>
    <w:rsid w:val="084D3FCF"/>
    <w:rsid w:val="084D4085"/>
    <w:rsid w:val="084D40FA"/>
    <w:rsid w:val="084D416B"/>
    <w:rsid w:val="084D4177"/>
    <w:rsid w:val="084D41FB"/>
    <w:rsid w:val="084D4341"/>
    <w:rsid w:val="084D437A"/>
    <w:rsid w:val="084D4419"/>
    <w:rsid w:val="084D45F8"/>
    <w:rsid w:val="084D461E"/>
    <w:rsid w:val="084D4649"/>
    <w:rsid w:val="084D46A0"/>
    <w:rsid w:val="084D470C"/>
    <w:rsid w:val="084D47FF"/>
    <w:rsid w:val="084D4922"/>
    <w:rsid w:val="084D4943"/>
    <w:rsid w:val="084D49A8"/>
    <w:rsid w:val="084D4A23"/>
    <w:rsid w:val="084D4A49"/>
    <w:rsid w:val="084D4ADF"/>
    <w:rsid w:val="084D4B0B"/>
    <w:rsid w:val="084D4B2C"/>
    <w:rsid w:val="084D4B67"/>
    <w:rsid w:val="084D4B87"/>
    <w:rsid w:val="084D4BF5"/>
    <w:rsid w:val="084D4C08"/>
    <w:rsid w:val="084D4C2A"/>
    <w:rsid w:val="084D4C97"/>
    <w:rsid w:val="084D4CCF"/>
    <w:rsid w:val="084D4D14"/>
    <w:rsid w:val="084D4E26"/>
    <w:rsid w:val="084D4E34"/>
    <w:rsid w:val="084D4F58"/>
    <w:rsid w:val="084D4F73"/>
    <w:rsid w:val="084D4FA3"/>
    <w:rsid w:val="084D4FB2"/>
    <w:rsid w:val="084D4FED"/>
    <w:rsid w:val="084D5005"/>
    <w:rsid w:val="084D5039"/>
    <w:rsid w:val="084D5044"/>
    <w:rsid w:val="084D5059"/>
    <w:rsid w:val="084D509B"/>
    <w:rsid w:val="084D50AC"/>
    <w:rsid w:val="084D50F5"/>
    <w:rsid w:val="084D5195"/>
    <w:rsid w:val="084D51B8"/>
    <w:rsid w:val="084D5268"/>
    <w:rsid w:val="084D5319"/>
    <w:rsid w:val="084D5365"/>
    <w:rsid w:val="084D5543"/>
    <w:rsid w:val="084D560A"/>
    <w:rsid w:val="084D5647"/>
    <w:rsid w:val="084D568A"/>
    <w:rsid w:val="084D5695"/>
    <w:rsid w:val="084D57A1"/>
    <w:rsid w:val="084D58B8"/>
    <w:rsid w:val="084D5918"/>
    <w:rsid w:val="084D5947"/>
    <w:rsid w:val="084D59CC"/>
    <w:rsid w:val="084D5A75"/>
    <w:rsid w:val="084D5B59"/>
    <w:rsid w:val="084D5BB9"/>
    <w:rsid w:val="084D5CDE"/>
    <w:rsid w:val="084D5D2A"/>
    <w:rsid w:val="084D5DBD"/>
    <w:rsid w:val="084D5ED1"/>
    <w:rsid w:val="084D5F1E"/>
    <w:rsid w:val="084D5F73"/>
    <w:rsid w:val="084D5FD8"/>
    <w:rsid w:val="084D5FDE"/>
    <w:rsid w:val="084D6250"/>
    <w:rsid w:val="084D6251"/>
    <w:rsid w:val="084D6359"/>
    <w:rsid w:val="084D63AF"/>
    <w:rsid w:val="084D6487"/>
    <w:rsid w:val="084D652E"/>
    <w:rsid w:val="084D6556"/>
    <w:rsid w:val="084D655F"/>
    <w:rsid w:val="084D65C5"/>
    <w:rsid w:val="084D6747"/>
    <w:rsid w:val="084D6767"/>
    <w:rsid w:val="084D67F2"/>
    <w:rsid w:val="084D6804"/>
    <w:rsid w:val="084D6916"/>
    <w:rsid w:val="084D6978"/>
    <w:rsid w:val="084D69DA"/>
    <w:rsid w:val="084D6A54"/>
    <w:rsid w:val="084D6A79"/>
    <w:rsid w:val="084D6B09"/>
    <w:rsid w:val="084D6B8E"/>
    <w:rsid w:val="084D6BCA"/>
    <w:rsid w:val="084D6C07"/>
    <w:rsid w:val="084D6C72"/>
    <w:rsid w:val="084D6C84"/>
    <w:rsid w:val="084D6C8F"/>
    <w:rsid w:val="084D6CFC"/>
    <w:rsid w:val="084D6D0D"/>
    <w:rsid w:val="084D6D55"/>
    <w:rsid w:val="084D6D6B"/>
    <w:rsid w:val="084D6E02"/>
    <w:rsid w:val="084D6EA5"/>
    <w:rsid w:val="084D6ED2"/>
    <w:rsid w:val="084D6F23"/>
    <w:rsid w:val="084D6FFA"/>
    <w:rsid w:val="084D70C1"/>
    <w:rsid w:val="084D70E1"/>
    <w:rsid w:val="084D70E8"/>
    <w:rsid w:val="084D7119"/>
    <w:rsid w:val="084D7122"/>
    <w:rsid w:val="084D7123"/>
    <w:rsid w:val="084D715C"/>
    <w:rsid w:val="084D7184"/>
    <w:rsid w:val="084D71E7"/>
    <w:rsid w:val="084D71E8"/>
    <w:rsid w:val="084D7236"/>
    <w:rsid w:val="084D726A"/>
    <w:rsid w:val="084D73B7"/>
    <w:rsid w:val="084D745F"/>
    <w:rsid w:val="084D7491"/>
    <w:rsid w:val="084D74C3"/>
    <w:rsid w:val="084D74D6"/>
    <w:rsid w:val="084D751F"/>
    <w:rsid w:val="084D752E"/>
    <w:rsid w:val="084D7587"/>
    <w:rsid w:val="084D75A4"/>
    <w:rsid w:val="084D75A6"/>
    <w:rsid w:val="084D75B2"/>
    <w:rsid w:val="084D75D9"/>
    <w:rsid w:val="084D75FB"/>
    <w:rsid w:val="084D7732"/>
    <w:rsid w:val="084D7741"/>
    <w:rsid w:val="084D777E"/>
    <w:rsid w:val="084D77F2"/>
    <w:rsid w:val="084D7876"/>
    <w:rsid w:val="084D78EC"/>
    <w:rsid w:val="084D791F"/>
    <w:rsid w:val="084D7958"/>
    <w:rsid w:val="084D7969"/>
    <w:rsid w:val="084D79CB"/>
    <w:rsid w:val="084D7A2A"/>
    <w:rsid w:val="084D7A92"/>
    <w:rsid w:val="084D7BA6"/>
    <w:rsid w:val="084D7BBA"/>
    <w:rsid w:val="084D7C02"/>
    <w:rsid w:val="084D7CA1"/>
    <w:rsid w:val="084D7CFB"/>
    <w:rsid w:val="084D7D5D"/>
    <w:rsid w:val="084D7E2B"/>
    <w:rsid w:val="084D7E48"/>
    <w:rsid w:val="084D7E4B"/>
    <w:rsid w:val="084D7EF8"/>
    <w:rsid w:val="084D7FB1"/>
    <w:rsid w:val="084E0036"/>
    <w:rsid w:val="084E0099"/>
    <w:rsid w:val="084E00C1"/>
    <w:rsid w:val="084E00CC"/>
    <w:rsid w:val="084E0103"/>
    <w:rsid w:val="084E010A"/>
    <w:rsid w:val="084E017B"/>
    <w:rsid w:val="084E01CB"/>
    <w:rsid w:val="084E01E1"/>
    <w:rsid w:val="084E0206"/>
    <w:rsid w:val="084E0268"/>
    <w:rsid w:val="084E026F"/>
    <w:rsid w:val="084E0273"/>
    <w:rsid w:val="084E02B1"/>
    <w:rsid w:val="084E02D9"/>
    <w:rsid w:val="084E0404"/>
    <w:rsid w:val="084E042C"/>
    <w:rsid w:val="084E045F"/>
    <w:rsid w:val="084E04B0"/>
    <w:rsid w:val="084E04C2"/>
    <w:rsid w:val="084E0512"/>
    <w:rsid w:val="084E056D"/>
    <w:rsid w:val="084E05C9"/>
    <w:rsid w:val="084E0613"/>
    <w:rsid w:val="084E0812"/>
    <w:rsid w:val="084E0824"/>
    <w:rsid w:val="084E0842"/>
    <w:rsid w:val="084E085D"/>
    <w:rsid w:val="084E08F2"/>
    <w:rsid w:val="084E092F"/>
    <w:rsid w:val="084E0952"/>
    <w:rsid w:val="084E098C"/>
    <w:rsid w:val="084E0A2A"/>
    <w:rsid w:val="084E0A69"/>
    <w:rsid w:val="084E0AF5"/>
    <w:rsid w:val="084E0B56"/>
    <w:rsid w:val="084E0B8A"/>
    <w:rsid w:val="084E0BCA"/>
    <w:rsid w:val="084E0C76"/>
    <w:rsid w:val="084E0CB1"/>
    <w:rsid w:val="084E0CD5"/>
    <w:rsid w:val="084E0E91"/>
    <w:rsid w:val="084E0E99"/>
    <w:rsid w:val="084E0F1D"/>
    <w:rsid w:val="084E0F1F"/>
    <w:rsid w:val="084E0F41"/>
    <w:rsid w:val="084E0F5F"/>
    <w:rsid w:val="084E104D"/>
    <w:rsid w:val="084E120E"/>
    <w:rsid w:val="084E12E6"/>
    <w:rsid w:val="084E130E"/>
    <w:rsid w:val="084E137D"/>
    <w:rsid w:val="084E14B7"/>
    <w:rsid w:val="084E14D0"/>
    <w:rsid w:val="084E1626"/>
    <w:rsid w:val="084E1680"/>
    <w:rsid w:val="084E1709"/>
    <w:rsid w:val="084E178A"/>
    <w:rsid w:val="084E17A6"/>
    <w:rsid w:val="084E1888"/>
    <w:rsid w:val="084E1967"/>
    <w:rsid w:val="084E19AC"/>
    <w:rsid w:val="084E19D3"/>
    <w:rsid w:val="084E1A1F"/>
    <w:rsid w:val="084E1B2F"/>
    <w:rsid w:val="084E1B43"/>
    <w:rsid w:val="084E1BB0"/>
    <w:rsid w:val="084E1C98"/>
    <w:rsid w:val="084E1D46"/>
    <w:rsid w:val="084E1E48"/>
    <w:rsid w:val="084E1F70"/>
    <w:rsid w:val="084E2073"/>
    <w:rsid w:val="084E212F"/>
    <w:rsid w:val="084E21B1"/>
    <w:rsid w:val="084E2234"/>
    <w:rsid w:val="084E22D7"/>
    <w:rsid w:val="084E2441"/>
    <w:rsid w:val="084E24C5"/>
    <w:rsid w:val="084E252A"/>
    <w:rsid w:val="084E252E"/>
    <w:rsid w:val="084E2641"/>
    <w:rsid w:val="084E270D"/>
    <w:rsid w:val="084E27A9"/>
    <w:rsid w:val="084E2877"/>
    <w:rsid w:val="084E28E5"/>
    <w:rsid w:val="084E291D"/>
    <w:rsid w:val="084E2960"/>
    <w:rsid w:val="084E2989"/>
    <w:rsid w:val="084E2B02"/>
    <w:rsid w:val="084E2BAF"/>
    <w:rsid w:val="084E2BB4"/>
    <w:rsid w:val="084E2BC9"/>
    <w:rsid w:val="084E2C1E"/>
    <w:rsid w:val="084E2CC7"/>
    <w:rsid w:val="084E2CF9"/>
    <w:rsid w:val="084E2D27"/>
    <w:rsid w:val="084E2D46"/>
    <w:rsid w:val="084E2D5C"/>
    <w:rsid w:val="084E2D9A"/>
    <w:rsid w:val="084E2DAC"/>
    <w:rsid w:val="084E2DAE"/>
    <w:rsid w:val="084E2E02"/>
    <w:rsid w:val="084E2E8E"/>
    <w:rsid w:val="084E2F00"/>
    <w:rsid w:val="084E2F01"/>
    <w:rsid w:val="084E2F08"/>
    <w:rsid w:val="084E2F0B"/>
    <w:rsid w:val="084E30CC"/>
    <w:rsid w:val="084E316D"/>
    <w:rsid w:val="084E31D5"/>
    <w:rsid w:val="084E32DC"/>
    <w:rsid w:val="084E3367"/>
    <w:rsid w:val="084E33A0"/>
    <w:rsid w:val="084E3544"/>
    <w:rsid w:val="084E3582"/>
    <w:rsid w:val="084E35BA"/>
    <w:rsid w:val="084E3645"/>
    <w:rsid w:val="084E3648"/>
    <w:rsid w:val="084E3A80"/>
    <w:rsid w:val="084E3A84"/>
    <w:rsid w:val="084E3A8E"/>
    <w:rsid w:val="084E3ACB"/>
    <w:rsid w:val="084E3AD4"/>
    <w:rsid w:val="084E3B0A"/>
    <w:rsid w:val="084E3B7A"/>
    <w:rsid w:val="084E3C05"/>
    <w:rsid w:val="084E3C0E"/>
    <w:rsid w:val="084E3CCB"/>
    <w:rsid w:val="084E3CF4"/>
    <w:rsid w:val="084E3CFC"/>
    <w:rsid w:val="084E3D05"/>
    <w:rsid w:val="084E3D29"/>
    <w:rsid w:val="084E3DEC"/>
    <w:rsid w:val="084E3E49"/>
    <w:rsid w:val="084E3E90"/>
    <w:rsid w:val="084E3FB4"/>
    <w:rsid w:val="084E3FD0"/>
    <w:rsid w:val="084E40B9"/>
    <w:rsid w:val="084E40BD"/>
    <w:rsid w:val="084E40EA"/>
    <w:rsid w:val="084E4120"/>
    <w:rsid w:val="084E4227"/>
    <w:rsid w:val="084E430B"/>
    <w:rsid w:val="084E434D"/>
    <w:rsid w:val="084E4359"/>
    <w:rsid w:val="084E4411"/>
    <w:rsid w:val="084E4442"/>
    <w:rsid w:val="084E4454"/>
    <w:rsid w:val="084E4455"/>
    <w:rsid w:val="084E447B"/>
    <w:rsid w:val="084E4547"/>
    <w:rsid w:val="084E4652"/>
    <w:rsid w:val="084E46B9"/>
    <w:rsid w:val="084E46F3"/>
    <w:rsid w:val="084E4724"/>
    <w:rsid w:val="084E475E"/>
    <w:rsid w:val="084E4769"/>
    <w:rsid w:val="084E47D3"/>
    <w:rsid w:val="084E4838"/>
    <w:rsid w:val="084E4840"/>
    <w:rsid w:val="084E48B5"/>
    <w:rsid w:val="084E4910"/>
    <w:rsid w:val="084E495D"/>
    <w:rsid w:val="084E4984"/>
    <w:rsid w:val="084E49C1"/>
    <w:rsid w:val="084E49F9"/>
    <w:rsid w:val="084E4A65"/>
    <w:rsid w:val="084E4AAB"/>
    <w:rsid w:val="084E4AE9"/>
    <w:rsid w:val="084E4AFD"/>
    <w:rsid w:val="084E4B59"/>
    <w:rsid w:val="084E4D5B"/>
    <w:rsid w:val="084E4D93"/>
    <w:rsid w:val="084E4F76"/>
    <w:rsid w:val="084E4FE4"/>
    <w:rsid w:val="084E5030"/>
    <w:rsid w:val="084E5051"/>
    <w:rsid w:val="084E507F"/>
    <w:rsid w:val="084E5102"/>
    <w:rsid w:val="084E513A"/>
    <w:rsid w:val="084E53B1"/>
    <w:rsid w:val="084E53E8"/>
    <w:rsid w:val="084E542E"/>
    <w:rsid w:val="084E54D8"/>
    <w:rsid w:val="084E54DF"/>
    <w:rsid w:val="084E554A"/>
    <w:rsid w:val="084E55DF"/>
    <w:rsid w:val="084E55FA"/>
    <w:rsid w:val="084E5641"/>
    <w:rsid w:val="084E5659"/>
    <w:rsid w:val="084E569F"/>
    <w:rsid w:val="084E56F9"/>
    <w:rsid w:val="084E573E"/>
    <w:rsid w:val="084E5889"/>
    <w:rsid w:val="084E58E0"/>
    <w:rsid w:val="084E59C7"/>
    <w:rsid w:val="084E59E8"/>
    <w:rsid w:val="084E59FB"/>
    <w:rsid w:val="084E5A4F"/>
    <w:rsid w:val="084E5A5C"/>
    <w:rsid w:val="084E5B82"/>
    <w:rsid w:val="084E5BD3"/>
    <w:rsid w:val="084E5BE7"/>
    <w:rsid w:val="084E5C13"/>
    <w:rsid w:val="084E5C28"/>
    <w:rsid w:val="084E5C6F"/>
    <w:rsid w:val="084E5D1C"/>
    <w:rsid w:val="084E5D51"/>
    <w:rsid w:val="084E5D57"/>
    <w:rsid w:val="084E5DC5"/>
    <w:rsid w:val="084E5DE8"/>
    <w:rsid w:val="084E5DF5"/>
    <w:rsid w:val="084E5E74"/>
    <w:rsid w:val="084E5E89"/>
    <w:rsid w:val="084E5E8D"/>
    <w:rsid w:val="084E5EE8"/>
    <w:rsid w:val="084E5F38"/>
    <w:rsid w:val="084E5F39"/>
    <w:rsid w:val="084E6090"/>
    <w:rsid w:val="084E620D"/>
    <w:rsid w:val="084E63D2"/>
    <w:rsid w:val="084E645C"/>
    <w:rsid w:val="084E647B"/>
    <w:rsid w:val="084E6495"/>
    <w:rsid w:val="084E651B"/>
    <w:rsid w:val="084E6523"/>
    <w:rsid w:val="084E6536"/>
    <w:rsid w:val="084E6592"/>
    <w:rsid w:val="084E663F"/>
    <w:rsid w:val="084E6769"/>
    <w:rsid w:val="084E677C"/>
    <w:rsid w:val="084E67DD"/>
    <w:rsid w:val="084E67E2"/>
    <w:rsid w:val="084E68E9"/>
    <w:rsid w:val="084E68F4"/>
    <w:rsid w:val="084E6943"/>
    <w:rsid w:val="084E69F0"/>
    <w:rsid w:val="084E6A40"/>
    <w:rsid w:val="084E6A6F"/>
    <w:rsid w:val="084E6AEA"/>
    <w:rsid w:val="084E6B1E"/>
    <w:rsid w:val="084E6B64"/>
    <w:rsid w:val="084E6C0E"/>
    <w:rsid w:val="084E6C71"/>
    <w:rsid w:val="084E6CC6"/>
    <w:rsid w:val="084E6DA0"/>
    <w:rsid w:val="084E6DE0"/>
    <w:rsid w:val="084E6E71"/>
    <w:rsid w:val="084E6F7D"/>
    <w:rsid w:val="084E6F96"/>
    <w:rsid w:val="084E6FDE"/>
    <w:rsid w:val="084E7057"/>
    <w:rsid w:val="084E707B"/>
    <w:rsid w:val="084E70AD"/>
    <w:rsid w:val="084E7108"/>
    <w:rsid w:val="084E716F"/>
    <w:rsid w:val="084E720C"/>
    <w:rsid w:val="084E72A6"/>
    <w:rsid w:val="084E73E4"/>
    <w:rsid w:val="084E7456"/>
    <w:rsid w:val="084E7483"/>
    <w:rsid w:val="084E7496"/>
    <w:rsid w:val="084E7558"/>
    <w:rsid w:val="084E75C6"/>
    <w:rsid w:val="084E765E"/>
    <w:rsid w:val="084E76CD"/>
    <w:rsid w:val="084E7883"/>
    <w:rsid w:val="084E7903"/>
    <w:rsid w:val="084E791B"/>
    <w:rsid w:val="084E7952"/>
    <w:rsid w:val="084E798E"/>
    <w:rsid w:val="084E79D7"/>
    <w:rsid w:val="084E79FE"/>
    <w:rsid w:val="084E7A15"/>
    <w:rsid w:val="084E7A78"/>
    <w:rsid w:val="084E7B98"/>
    <w:rsid w:val="084E7BFA"/>
    <w:rsid w:val="084E7C2B"/>
    <w:rsid w:val="084E7D15"/>
    <w:rsid w:val="084E7E44"/>
    <w:rsid w:val="084E7E68"/>
    <w:rsid w:val="084E7EC6"/>
    <w:rsid w:val="084E7EEB"/>
    <w:rsid w:val="084E7F31"/>
    <w:rsid w:val="084F0060"/>
    <w:rsid w:val="084F0171"/>
    <w:rsid w:val="084F01C4"/>
    <w:rsid w:val="084F01FA"/>
    <w:rsid w:val="084F0296"/>
    <w:rsid w:val="084F02A5"/>
    <w:rsid w:val="084F02B7"/>
    <w:rsid w:val="084F03AF"/>
    <w:rsid w:val="084F03C2"/>
    <w:rsid w:val="084F03CE"/>
    <w:rsid w:val="084F041B"/>
    <w:rsid w:val="084F0485"/>
    <w:rsid w:val="084F0530"/>
    <w:rsid w:val="084F0565"/>
    <w:rsid w:val="084F05EC"/>
    <w:rsid w:val="084F0623"/>
    <w:rsid w:val="084F066A"/>
    <w:rsid w:val="084F06C5"/>
    <w:rsid w:val="084F08EC"/>
    <w:rsid w:val="084F08F2"/>
    <w:rsid w:val="084F0A47"/>
    <w:rsid w:val="084F0A9A"/>
    <w:rsid w:val="084F0AD6"/>
    <w:rsid w:val="084F0AF1"/>
    <w:rsid w:val="084F0B20"/>
    <w:rsid w:val="084F0B5B"/>
    <w:rsid w:val="084F0B90"/>
    <w:rsid w:val="084F0C09"/>
    <w:rsid w:val="084F0C1D"/>
    <w:rsid w:val="084F0C41"/>
    <w:rsid w:val="084F0C7B"/>
    <w:rsid w:val="084F0CF9"/>
    <w:rsid w:val="084F0DC2"/>
    <w:rsid w:val="084F0DC6"/>
    <w:rsid w:val="084F0E83"/>
    <w:rsid w:val="084F0EAB"/>
    <w:rsid w:val="084F0ED8"/>
    <w:rsid w:val="084F0EFA"/>
    <w:rsid w:val="084F0F15"/>
    <w:rsid w:val="084F0F2E"/>
    <w:rsid w:val="084F0F69"/>
    <w:rsid w:val="084F0F76"/>
    <w:rsid w:val="084F0FD8"/>
    <w:rsid w:val="084F0FE8"/>
    <w:rsid w:val="084F0FEE"/>
    <w:rsid w:val="084F1022"/>
    <w:rsid w:val="084F1042"/>
    <w:rsid w:val="084F116A"/>
    <w:rsid w:val="084F1183"/>
    <w:rsid w:val="084F129E"/>
    <w:rsid w:val="084F12D0"/>
    <w:rsid w:val="084F131B"/>
    <w:rsid w:val="084F1351"/>
    <w:rsid w:val="084F1445"/>
    <w:rsid w:val="084F1449"/>
    <w:rsid w:val="084F14A5"/>
    <w:rsid w:val="084F154C"/>
    <w:rsid w:val="084F154F"/>
    <w:rsid w:val="084F169C"/>
    <w:rsid w:val="084F16A6"/>
    <w:rsid w:val="084F173D"/>
    <w:rsid w:val="084F17BD"/>
    <w:rsid w:val="084F1882"/>
    <w:rsid w:val="084F18B8"/>
    <w:rsid w:val="084F18E8"/>
    <w:rsid w:val="084F1978"/>
    <w:rsid w:val="084F1A5C"/>
    <w:rsid w:val="084F1AAB"/>
    <w:rsid w:val="084F1AC6"/>
    <w:rsid w:val="084F1B20"/>
    <w:rsid w:val="084F1B5B"/>
    <w:rsid w:val="084F1BBA"/>
    <w:rsid w:val="084F1CC4"/>
    <w:rsid w:val="084F1FF7"/>
    <w:rsid w:val="084F209B"/>
    <w:rsid w:val="084F20D6"/>
    <w:rsid w:val="084F20E9"/>
    <w:rsid w:val="084F21CC"/>
    <w:rsid w:val="084F2281"/>
    <w:rsid w:val="084F2353"/>
    <w:rsid w:val="084F2458"/>
    <w:rsid w:val="084F253A"/>
    <w:rsid w:val="084F2561"/>
    <w:rsid w:val="084F2583"/>
    <w:rsid w:val="084F2678"/>
    <w:rsid w:val="084F268D"/>
    <w:rsid w:val="084F26F3"/>
    <w:rsid w:val="084F27B5"/>
    <w:rsid w:val="084F27FD"/>
    <w:rsid w:val="084F2867"/>
    <w:rsid w:val="084F2914"/>
    <w:rsid w:val="084F2988"/>
    <w:rsid w:val="084F2993"/>
    <w:rsid w:val="084F299D"/>
    <w:rsid w:val="084F2A97"/>
    <w:rsid w:val="084F2BF0"/>
    <w:rsid w:val="084F2BF2"/>
    <w:rsid w:val="084F2C09"/>
    <w:rsid w:val="084F2C40"/>
    <w:rsid w:val="084F2C4A"/>
    <w:rsid w:val="084F2D4E"/>
    <w:rsid w:val="084F2D63"/>
    <w:rsid w:val="084F2D66"/>
    <w:rsid w:val="084F2D8D"/>
    <w:rsid w:val="084F2E30"/>
    <w:rsid w:val="084F2E6C"/>
    <w:rsid w:val="084F2EA3"/>
    <w:rsid w:val="084F2EAE"/>
    <w:rsid w:val="084F2EF6"/>
    <w:rsid w:val="084F2F56"/>
    <w:rsid w:val="084F2FBC"/>
    <w:rsid w:val="084F2FE1"/>
    <w:rsid w:val="084F2FFD"/>
    <w:rsid w:val="084F3004"/>
    <w:rsid w:val="084F3080"/>
    <w:rsid w:val="084F30EA"/>
    <w:rsid w:val="084F30EF"/>
    <w:rsid w:val="084F312D"/>
    <w:rsid w:val="084F31C2"/>
    <w:rsid w:val="084F3204"/>
    <w:rsid w:val="084F3240"/>
    <w:rsid w:val="084F331A"/>
    <w:rsid w:val="084F3321"/>
    <w:rsid w:val="084F33B9"/>
    <w:rsid w:val="084F342E"/>
    <w:rsid w:val="084F345E"/>
    <w:rsid w:val="084F34D1"/>
    <w:rsid w:val="084F34DA"/>
    <w:rsid w:val="084F3626"/>
    <w:rsid w:val="084F369F"/>
    <w:rsid w:val="084F36F5"/>
    <w:rsid w:val="084F371F"/>
    <w:rsid w:val="084F380C"/>
    <w:rsid w:val="084F3887"/>
    <w:rsid w:val="084F38E1"/>
    <w:rsid w:val="084F390D"/>
    <w:rsid w:val="084F3A7C"/>
    <w:rsid w:val="084F3AA0"/>
    <w:rsid w:val="084F3BC3"/>
    <w:rsid w:val="084F3CAF"/>
    <w:rsid w:val="084F3D0C"/>
    <w:rsid w:val="084F3D4B"/>
    <w:rsid w:val="084F3D7F"/>
    <w:rsid w:val="084F3DDF"/>
    <w:rsid w:val="084F3F65"/>
    <w:rsid w:val="084F3FDE"/>
    <w:rsid w:val="084F3FEC"/>
    <w:rsid w:val="084F4028"/>
    <w:rsid w:val="084F415C"/>
    <w:rsid w:val="084F41CC"/>
    <w:rsid w:val="084F41D3"/>
    <w:rsid w:val="084F41ED"/>
    <w:rsid w:val="084F425D"/>
    <w:rsid w:val="084F42C6"/>
    <w:rsid w:val="084F42CF"/>
    <w:rsid w:val="084F4322"/>
    <w:rsid w:val="084F434A"/>
    <w:rsid w:val="084F434B"/>
    <w:rsid w:val="084F43D4"/>
    <w:rsid w:val="084F4434"/>
    <w:rsid w:val="084F4593"/>
    <w:rsid w:val="084F4596"/>
    <w:rsid w:val="084F462B"/>
    <w:rsid w:val="084F4696"/>
    <w:rsid w:val="084F46BB"/>
    <w:rsid w:val="084F46E3"/>
    <w:rsid w:val="084F4718"/>
    <w:rsid w:val="084F47A2"/>
    <w:rsid w:val="084F47E9"/>
    <w:rsid w:val="084F4816"/>
    <w:rsid w:val="084F48AC"/>
    <w:rsid w:val="084F494E"/>
    <w:rsid w:val="084F496F"/>
    <w:rsid w:val="084F499D"/>
    <w:rsid w:val="084F49A8"/>
    <w:rsid w:val="084F49DC"/>
    <w:rsid w:val="084F4A9D"/>
    <w:rsid w:val="084F4AD5"/>
    <w:rsid w:val="084F4B45"/>
    <w:rsid w:val="084F4BCE"/>
    <w:rsid w:val="084F4C0F"/>
    <w:rsid w:val="084F4C93"/>
    <w:rsid w:val="084F4D0F"/>
    <w:rsid w:val="084F4D3C"/>
    <w:rsid w:val="084F4E73"/>
    <w:rsid w:val="084F4E7A"/>
    <w:rsid w:val="084F4EA0"/>
    <w:rsid w:val="084F4EB7"/>
    <w:rsid w:val="084F4EC0"/>
    <w:rsid w:val="084F4F97"/>
    <w:rsid w:val="084F4FAA"/>
    <w:rsid w:val="084F513E"/>
    <w:rsid w:val="084F52E7"/>
    <w:rsid w:val="084F5498"/>
    <w:rsid w:val="084F54A1"/>
    <w:rsid w:val="084F54CF"/>
    <w:rsid w:val="084F54DA"/>
    <w:rsid w:val="084F550E"/>
    <w:rsid w:val="084F551C"/>
    <w:rsid w:val="084F553E"/>
    <w:rsid w:val="084F574A"/>
    <w:rsid w:val="084F587A"/>
    <w:rsid w:val="084F5925"/>
    <w:rsid w:val="084F5942"/>
    <w:rsid w:val="084F5A43"/>
    <w:rsid w:val="084F5AB0"/>
    <w:rsid w:val="084F5AE2"/>
    <w:rsid w:val="084F5B5A"/>
    <w:rsid w:val="084F5BAE"/>
    <w:rsid w:val="084F5BF5"/>
    <w:rsid w:val="084F5BFE"/>
    <w:rsid w:val="084F5C19"/>
    <w:rsid w:val="084F5D70"/>
    <w:rsid w:val="084F5DAA"/>
    <w:rsid w:val="084F5DE6"/>
    <w:rsid w:val="084F5EDA"/>
    <w:rsid w:val="084F5F89"/>
    <w:rsid w:val="084F6015"/>
    <w:rsid w:val="084F6064"/>
    <w:rsid w:val="084F60E7"/>
    <w:rsid w:val="084F6177"/>
    <w:rsid w:val="084F618C"/>
    <w:rsid w:val="084F6197"/>
    <w:rsid w:val="084F619F"/>
    <w:rsid w:val="084F61B5"/>
    <w:rsid w:val="084F61C3"/>
    <w:rsid w:val="084F629E"/>
    <w:rsid w:val="084F62B8"/>
    <w:rsid w:val="084F633F"/>
    <w:rsid w:val="084F63DB"/>
    <w:rsid w:val="084F6443"/>
    <w:rsid w:val="084F6456"/>
    <w:rsid w:val="084F64CD"/>
    <w:rsid w:val="084F64DF"/>
    <w:rsid w:val="084F64F6"/>
    <w:rsid w:val="084F6595"/>
    <w:rsid w:val="084F675C"/>
    <w:rsid w:val="084F6778"/>
    <w:rsid w:val="084F67AC"/>
    <w:rsid w:val="084F6851"/>
    <w:rsid w:val="084F6883"/>
    <w:rsid w:val="084F68E3"/>
    <w:rsid w:val="084F6929"/>
    <w:rsid w:val="084F6A02"/>
    <w:rsid w:val="084F6A21"/>
    <w:rsid w:val="084F6B3C"/>
    <w:rsid w:val="084F6B8E"/>
    <w:rsid w:val="084F6BD7"/>
    <w:rsid w:val="084F6C78"/>
    <w:rsid w:val="084F6CAD"/>
    <w:rsid w:val="084F6CC3"/>
    <w:rsid w:val="084F6CE8"/>
    <w:rsid w:val="084F6D06"/>
    <w:rsid w:val="084F6D36"/>
    <w:rsid w:val="084F6E2E"/>
    <w:rsid w:val="084F6FAE"/>
    <w:rsid w:val="084F7134"/>
    <w:rsid w:val="084F7203"/>
    <w:rsid w:val="084F721B"/>
    <w:rsid w:val="084F72A9"/>
    <w:rsid w:val="084F72E1"/>
    <w:rsid w:val="084F7494"/>
    <w:rsid w:val="084F74CF"/>
    <w:rsid w:val="084F74DD"/>
    <w:rsid w:val="084F756A"/>
    <w:rsid w:val="084F7621"/>
    <w:rsid w:val="084F76F5"/>
    <w:rsid w:val="084F77DA"/>
    <w:rsid w:val="084F780E"/>
    <w:rsid w:val="084F7885"/>
    <w:rsid w:val="084F78DF"/>
    <w:rsid w:val="084F7956"/>
    <w:rsid w:val="084F7960"/>
    <w:rsid w:val="084F79E9"/>
    <w:rsid w:val="084F79EA"/>
    <w:rsid w:val="084F7A8C"/>
    <w:rsid w:val="084F7AC6"/>
    <w:rsid w:val="084F7AEB"/>
    <w:rsid w:val="084F7C78"/>
    <w:rsid w:val="084F7D72"/>
    <w:rsid w:val="084F7F75"/>
    <w:rsid w:val="084F7F94"/>
    <w:rsid w:val="085000B3"/>
    <w:rsid w:val="085000CE"/>
    <w:rsid w:val="085000E8"/>
    <w:rsid w:val="08500131"/>
    <w:rsid w:val="08500132"/>
    <w:rsid w:val="0850017D"/>
    <w:rsid w:val="085001C3"/>
    <w:rsid w:val="0850021E"/>
    <w:rsid w:val="085002BE"/>
    <w:rsid w:val="08500321"/>
    <w:rsid w:val="08500352"/>
    <w:rsid w:val="08500375"/>
    <w:rsid w:val="0850042D"/>
    <w:rsid w:val="085004D5"/>
    <w:rsid w:val="08500624"/>
    <w:rsid w:val="0850062B"/>
    <w:rsid w:val="0850062D"/>
    <w:rsid w:val="0850063E"/>
    <w:rsid w:val="0850079D"/>
    <w:rsid w:val="085007D1"/>
    <w:rsid w:val="08500809"/>
    <w:rsid w:val="085008AD"/>
    <w:rsid w:val="08500918"/>
    <w:rsid w:val="08500938"/>
    <w:rsid w:val="085009FF"/>
    <w:rsid w:val="08500AE6"/>
    <w:rsid w:val="08500B41"/>
    <w:rsid w:val="08500C55"/>
    <w:rsid w:val="08500C5C"/>
    <w:rsid w:val="08500CE4"/>
    <w:rsid w:val="08500DEA"/>
    <w:rsid w:val="08500E37"/>
    <w:rsid w:val="08500E5A"/>
    <w:rsid w:val="08500E62"/>
    <w:rsid w:val="08500EDC"/>
    <w:rsid w:val="08500EEC"/>
    <w:rsid w:val="08500FE9"/>
    <w:rsid w:val="085010E2"/>
    <w:rsid w:val="08501172"/>
    <w:rsid w:val="085011A9"/>
    <w:rsid w:val="085012A3"/>
    <w:rsid w:val="085012B8"/>
    <w:rsid w:val="08501327"/>
    <w:rsid w:val="0850134E"/>
    <w:rsid w:val="085013F4"/>
    <w:rsid w:val="08501465"/>
    <w:rsid w:val="085014C7"/>
    <w:rsid w:val="085014E5"/>
    <w:rsid w:val="08501545"/>
    <w:rsid w:val="0850154A"/>
    <w:rsid w:val="0850165E"/>
    <w:rsid w:val="08501702"/>
    <w:rsid w:val="08501726"/>
    <w:rsid w:val="0850178E"/>
    <w:rsid w:val="08501792"/>
    <w:rsid w:val="085017B5"/>
    <w:rsid w:val="085017CB"/>
    <w:rsid w:val="085018FD"/>
    <w:rsid w:val="08501978"/>
    <w:rsid w:val="085019EF"/>
    <w:rsid w:val="08501A24"/>
    <w:rsid w:val="08501AC4"/>
    <w:rsid w:val="08501B12"/>
    <w:rsid w:val="08501B30"/>
    <w:rsid w:val="08501BAA"/>
    <w:rsid w:val="08501BFC"/>
    <w:rsid w:val="08501C0B"/>
    <w:rsid w:val="08501C38"/>
    <w:rsid w:val="08501C39"/>
    <w:rsid w:val="08501C42"/>
    <w:rsid w:val="08501C78"/>
    <w:rsid w:val="08501C8E"/>
    <w:rsid w:val="08501CC6"/>
    <w:rsid w:val="08501CE5"/>
    <w:rsid w:val="08501D5A"/>
    <w:rsid w:val="08501DAE"/>
    <w:rsid w:val="085020D5"/>
    <w:rsid w:val="085020D6"/>
    <w:rsid w:val="085020D7"/>
    <w:rsid w:val="08502150"/>
    <w:rsid w:val="08502175"/>
    <w:rsid w:val="085021EB"/>
    <w:rsid w:val="08502250"/>
    <w:rsid w:val="08502296"/>
    <w:rsid w:val="085022FC"/>
    <w:rsid w:val="08502347"/>
    <w:rsid w:val="085023C1"/>
    <w:rsid w:val="085023DB"/>
    <w:rsid w:val="08502459"/>
    <w:rsid w:val="085024CD"/>
    <w:rsid w:val="0850253A"/>
    <w:rsid w:val="08502552"/>
    <w:rsid w:val="08502580"/>
    <w:rsid w:val="085025E3"/>
    <w:rsid w:val="0850263E"/>
    <w:rsid w:val="0850266F"/>
    <w:rsid w:val="0850267D"/>
    <w:rsid w:val="085026A0"/>
    <w:rsid w:val="085026B7"/>
    <w:rsid w:val="08502783"/>
    <w:rsid w:val="08502945"/>
    <w:rsid w:val="08502969"/>
    <w:rsid w:val="085029BF"/>
    <w:rsid w:val="08502A73"/>
    <w:rsid w:val="08502A8B"/>
    <w:rsid w:val="08502B29"/>
    <w:rsid w:val="08502BE2"/>
    <w:rsid w:val="08502CE3"/>
    <w:rsid w:val="08502DA8"/>
    <w:rsid w:val="08502E18"/>
    <w:rsid w:val="08502E6F"/>
    <w:rsid w:val="08502F5D"/>
    <w:rsid w:val="08502F95"/>
    <w:rsid w:val="08502FB7"/>
    <w:rsid w:val="08502FD3"/>
    <w:rsid w:val="08503034"/>
    <w:rsid w:val="085031B3"/>
    <w:rsid w:val="085031C2"/>
    <w:rsid w:val="08503234"/>
    <w:rsid w:val="0850325C"/>
    <w:rsid w:val="085032FB"/>
    <w:rsid w:val="0850335A"/>
    <w:rsid w:val="085033D4"/>
    <w:rsid w:val="085033D8"/>
    <w:rsid w:val="08503457"/>
    <w:rsid w:val="0850348D"/>
    <w:rsid w:val="085034A7"/>
    <w:rsid w:val="085034D9"/>
    <w:rsid w:val="08503567"/>
    <w:rsid w:val="08503628"/>
    <w:rsid w:val="08503724"/>
    <w:rsid w:val="0850383D"/>
    <w:rsid w:val="08503998"/>
    <w:rsid w:val="085039D6"/>
    <w:rsid w:val="08503A05"/>
    <w:rsid w:val="08503A65"/>
    <w:rsid w:val="08503A67"/>
    <w:rsid w:val="08503B8D"/>
    <w:rsid w:val="08503BFB"/>
    <w:rsid w:val="08503C17"/>
    <w:rsid w:val="08503C5D"/>
    <w:rsid w:val="08503CD0"/>
    <w:rsid w:val="08503CE3"/>
    <w:rsid w:val="08503D22"/>
    <w:rsid w:val="08503D3D"/>
    <w:rsid w:val="08503E29"/>
    <w:rsid w:val="08503E36"/>
    <w:rsid w:val="08503E53"/>
    <w:rsid w:val="08503EC9"/>
    <w:rsid w:val="08503F54"/>
    <w:rsid w:val="08503FF0"/>
    <w:rsid w:val="085040F3"/>
    <w:rsid w:val="08504178"/>
    <w:rsid w:val="0850426A"/>
    <w:rsid w:val="085043A7"/>
    <w:rsid w:val="085044E6"/>
    <w:rsid w:val="08504503"/>
    <w:rsid w:val="0850460A"/>
    <w:rsid w:val="08504677"/>
    <w:rsid w:val="085046A7"/>
    <w:rsid w:val="085046AF"/>
    <w:rsid w:val="085046BF"/>
    <w:rsid w:val="08504751"/>
    <w:rsid w:val="08504857"/>
    <w:rsid w:val="085048FA"/>
    <w:rsid w:val="0850491B"/>
    <w:rsid w:val="0850494B"/>
    <w:rsid w:val="08504958"/>
    <w:rsid w:val="08504AB3"/>
    <w:rsid w:val="08504AF1"/>
    <w:rsid w:val="08504B78"/>
    <w:rsid w:val="08504BCE"/>
    <w:rsid w:val="08504D24"/>
    <w:rsid w:val="08504DF6"/>
    <w:rsid w:val="08504E14"/>
    <w:rsid w:val="08504E6B"/>
    <w:rsid w:val="08504EA7"/>
    <w:rsid w:val="08504F44"/>
    <w:rsid w:val="08504FF0"/>
    <w:rsid w:val="085050C8"/>
    <w:rsid w:val="085050CC"/>
    <w:rsid w:val="085050E0"/>
    <w:rsid w:val="0850540E"/>
    <w:rsid w:val="0850546C"/>
    <w:rsid w:val="08505547"/>
    <w:rsid w:val="08505564"/>
    <w:rsid w:val="08505584"/>
    <w:rsid w:val="0850568C"/>
    <w:rsid w:val="085056D2"/>
    <w:rsid w:val="085056F7"/>
    <w:rsid w:val="085057C8"/>
    <w:rsid w:val="085057CB"/>
    <w:rsid w:val="08505853"/>
    <w:rsid w:val="08505868"/>
    <w:rsid w:val="08505873"/>
    <w:rsid w:val="0850598E"/>
    <w:rsid w:val="08505BCB"/>
    <w:rsid w:val="08505C69"/>
    <w:rsid w:val="08505E75"/>
    <w:rsid w:val="08505E95"/>
    <w:rsid w:val="08505F8D"/>
    <w:rsid w:val="08505FC5"/>
    <w:rsid w:val="0850602B"/>
    <w:rsid w:val="085060E2"/>
    <w:rsid w:val="08506150"/>
    <w:rsid w:val="08506200"/>
    <w:rsid w:val="08506299"/>
    <w:rsid w:val="0850630E"/>
    <w:rsid w:val="0850634E"/>
    <w:rsid w:val="08506376"/>
    <w:rsid w:val="085063EF"/>
    <w:rsid w:val="08506423"/>
    <w:rsid w:val="085065E9"/>
    <w:rsid w:val="0850665A"/>
    <w:rsid w:val="0850666F"/>
    <w:rsid w:val="085066AB"/>
    <w:rsid w:val="08506741"/>
    <w:rsid w:val="08506785"/>
    <w:rsid w:val="08506809"/>
    <w:rsid w:val="08506851"/>
    <w:rsid w:val="0850687A"/>
    <w:rsid w:val="085068B6"/>
    <w:rsid w:val="085068C1"/>
    <w:rsid w:val="0850691C"/>
    <w:rsid w:val="08506969"/>
    <w:rsid w:val="08506B62"/>
    <w:rsid w:val="08506C8D"/>
    <w:rsid w:val="08506E9E"/>
    <w:rsid w:val="08506F59"/>
    <w:rsid w:val="08506FDD"/>
    <w:rsid w:val="08507015"/>
    <w:rsid w:val="08507178"/>
    <w:rsid w:val="085071A4"/>
    <w:rsid w:val="085072D4"/>
    <w:rsid w:val="085072D8"/>
    <w:rsid w:val="08507327"/>
    <w:rsid w:val="08507402"/>
    <w:rsid w:val="085074DF"/>
    <w:rsid w:val="08507542"/>
    <w:rsid w:val="08507579"/>
    <w:rsid w:val="085075BE"/>
    <w:rsid w:val="085075CC"/>
    <w:rsid w:val="085075E3"/>
    <w:rsid w:val="0850764B"/>
    <w:rsid w:val="085076A7"/>
    <w:rsid w:val="085076B4"/>
    <w:rsid w:val="085076D5"/>
    <w:rsid w:val="08507745"/>
    <w:rsid w:val="08507799"/>
    <w:rsid w:val="085077EF"/>
    <w:rsid w:val="08507866"/>
    <w:rsid w:val="0850786A"/>
    <w:rsid w:val="08507902"/>
    <w:rsid w:val="08507998"/>
    <w:rsid w:val="085079C2"/>
    <w:rsid w:val="085079D3"/>
    <w:rsid w:val="08507A31"/>
    <w:rsid w:val="08507B0A"/>
    <w:rsid w:val="08507B9A"/>
    <w:rsid w:val="08507C4D"/>
    <w:rsid w:val="08507C52"/>
    <w:rsid w:val="08507CA5"/>
    <w:rsid w:val="08507CD4"/>
    <w:rsid w:val="08507CEF"/>
    <w:rsid w:val="08507DD9"/>
    <w:rsid w:val="08507E2E"/>
    <w:rsid w:val="08507EA7"/>
    <w:rsid w:val="08507FE4"/>
    <w:rsid w:val="08510192"/>
    <w:rsid w:val="085101C4"/>
    <w:rsid w:val="085102EB"/>
    <w:rsid w:val="0851049A"/>
    <w:rsid w:val="085104F2"/>
    <w:rsid w:val="08510515"/>
    <w:rsid w:val="0851069A"/>
    <w:rsid w:val="085106A6"/>
    <w:rsid w:val="085106AE"/>
    <w:rsid w:val="08510713"/>
    <w:rsid w:val="08510773"/>
    <w:rsid w:val="085107A6"/>
    <w:rsid w:val="085107B0"/>
    <w:rsid w:val="085107E4"/>
    <w:rsid w:val="08510877"/>
    <w:rsid w:val="085108E0"/>
    <w:rsid w:val="0851090A"/>
    <w:rsid w:val="0851093E"/>
    <w:rsid w:val="08510956"/>
    <w:rsid w:val="085109FF"/>
    <w:rsid w:val="08510A00"/>
    <w:rsid w:val="08510A01"/>
    <w:rsid w:val="08510A62"/>
    <w:rsid w:val="08510AB6"/>
    <w:rsid w:val="08510BD5"/>
    <w:rsid w:val="08510BE0"/>
    <w:rsid w:val="08510C3C"/>
    <w:rsid w:val="08510C40"/>
    <w:rsid w:val="08510D15"/>
    <w:rsid w:val="08510D88"/>
    <w:rsid w:val="08510DCC"/>
    <w:rsid w:val="08510E66"/>
    <w:rsid w:val="08510E6F"/>
    <w:rsid w:val="08510F58"/>
    <w:rsid w:val="08510FA8"/>
    <w:rsid w:val="08511030"/>
    <w:rsid w:val="08511038"/>
    <w:rsid w:val="0851103F"/>
    <w:rsid w:val="08511044"/>
    <w:rsid w:val="085110E3"/>
    <w:rsid w:val="085110F8"/>
    <w:rsid w:val="085110FD"/>
    <w:rsid w:val="08511127"/>
    <w:rsid w:val="085111AD"/>
    <w:rsid w:val="085111D3"/>
    <w:rsid w:val="085112CD"/>
    <w:rsid w:val="085113B6"/>
    <w:rsid w:val="08511528"/>
    <w:rsid w:val="0851156A"/>
    <w:rsid w:val="085115BA"/>
    <w:rsid w:val="085115BF"/>
    <w:rsid w:val="08511707"/>
    <w:rsid w:val="08511758"/>
    <w:rsid w:val="0851185D"/>
    <w:rsid w:val="085118C0"/>
    <w:rsid w:val="085118EC"/>
    <w:rsid w:val="08511903"/>
    <w:rsid w:val="08511A0D"/>
    <w:rsid w:val="08511AB4"/>
    <w:rsid w:val="08511BEA"/>
    <w:rsid w:val="08511C8D"/>
    <w:rsid w:val="08511CAB"/>
    <w:rsid w:val="08511CC8"/>
    <w:rsid w:val="08511DB6"/>
    <w:rsid w:val="08511E53"/>
    <w:rsid w:val="08511EBE"/>
    <w:rsid w:val="08511FB4"/>
    <w:rsid w:val="08512040"/>
    <w:rsid w:val="085120EA"/>
    <w:rsid w:val="085121DF"/>
    <w:rsid w:val="08512269"/>
    <w:rsid w:val="0851228B"/>
    <w:rsid w:val="085122F7"/>
    <w:rsid w:val="0851231E"/>
    <w:rsid w:val="08512353"/>
    <w:rsid w:val="08512405"/>
    <w:rsid w:val="08512640"/>
    <w:rsid w:val="0851264C"/>
    <w:rsid w:val="085126AC"/>
    <w:rsid w:val="08512793"/>
    <w:rsid w:val="085127D3"/>
    <w:rsid w:val="08512875"/>
    <w:rsid w:val="08512896"/>
    <w:rsid w:val="085128D5"/>
    <w:rsid w:val="085128F2"/>
    <w:rsid w:val="0851290A"/>
    <w:rsid w:val="0851294B"/>
    <w:rsid w:val="08512A03"/>
    <w:rsid w:val="08512A13"/>
    <w:rsid w:val="08512A77"/>
    <w:rsid w:val="08512AB0"/>
    <w:rsid w:val="08512C0D"/>
    <w:rsid w:val="08512C34"/>
    <w:rsid w:val="08512C77"/>
    <w:rsid w:val="08512D6F"/>
    <w:rsid w:val="08512D7E"/>
    <w:rsid w:val="08512E02"/>
    <w:rsid w:val="08512E88"/>
    <w:rsid w:val="08512EE8"/>
    <w:rsid w:val="08512F17"/>
    <w:rsid w:val="08512F86"/>
    <w:rsid w:val="08512F89"/>
    <w:rsid w:val="08512FDE"/>
    <w:rsid w:val="08513064"/>
    <w:rsid w:val="08513106"/>
    <w:rsid w:val="08513126"/>
    <w:rsid w:val="0851320B"/>
    <w:rsid w:val="085132D7"/>
    <w:rsid w:val="085132ED"/>
    <w:rsid w:val="08513301"/>
    <w:rsid w:val="08513351"/>
    <w:rsid w:val="08513384"/>
    <w:rsid w:val="08513396"/>
    <w:rsid w:val="08513489"/>
    <w:rsid w:val="085135D4"/>
    <w:rsid w:val="085136B5"/>
    <w:rsid w:val="085136FC"/>
    <w:rsid w:val="0851374C"/>
    <w:rsid w:val="08513797"/>
    <w:rsid w:val="08513837"/>
    <w:rsid w:val="085138CE"/>
    <w:rsid w:val="085138EB"/>
    <w:rsid w:val="085139F2"/>
    <w:rsid w:val="08513B87"/>
    <w:rsid w:val="08513BF4"/>
    <w:rsid w:val="08513BFB"/>
    <w:rsid w:val="08513C24"/>
    <w:rsid w:val="08513C25"/>
    <w:rsid w:val="08513C9D"/>
    <w:rsid w:val="08513CDB"/>
    <w:rsid w:val="08513D6A"/>
    <w:rsid w:val="08513E68"/>
    <w:rsid w:val="08513E74"/>
    <w:rsid w:val="08513ED6"/>
    <w:rsid w:val="08513F0F"/>
    <w:rsid w:val="085140DE"/>
    <w:rsid w:val="08514129"/>
    <w:rsid w:val="0851413A"/>
    <w:rsid w:val="0851418D"/>
    <w:rsid w:val="085141B3"/>
    <w:rsid w:val="085141CD"/>
    <w:rsid w:val="085141D9"/>
    <w:rsid w:val="085142A6"/>
    <w:rsid w:val="0851431D"/>
    <w:rsid w:val="08514385"/>
    <w:rsid w:val="085143DC"/>
    <w:rsid w:val="085143E1"/>
    <w:rsid w:val="085144F9"/>
    <w:rsid w:val="085145A9"/>
    <w:rsid w:val="085145C1"/>
    <w:rsid w:val="085145DF"/>
    <w:rsid w:val="08514637"/>
    <w:rsid w:val="08514645"/>
    <w:rsid w:val="085146D8"/>
    <w:rsid w:val="085146E0"/>
    <w:rsid w:val="08514795"/>
    <w:rsid w:val="08514824"/>
    <w:rsid w:val="0851484C"/>
    <w:rsid w:val="08514855"/>
    <w:rsid w:val="085148A8"/>
    <w:rsid w:val="0851491A"/>
    <w:rsid w:val="08514969"/>
    <w:rsid w:val="085149AB"/>
    <w:rsid w:val="08514B79"/>
    <w:rsid w:val="08514BBF"/>
    <w:rsid w:val="08514C16"/>
    <w:rsid w:val="08514C37"/>
    <w:rsid w:val="08514CD1"/>
    <w:rsid w:val="08514CE5"/>
    <w:rsid w:val="08514CEC"/>
    <w:rsid w:val="08514D2B"/>
    <w:rsid w:val="08514E5E"/>
    <w:rsid w:val="08514E70"/>
    <w:rsid w:val="08514EC8"/>
    <w:rsid w:val="08514F5D"/>
    <w:rsid w:val="08514F87"/>
    <w:rsid w:val="08514FB8"/>
    <w:rsid w:val="08514FF2"/>
    <w:rsid w:val="08515135"/>
    <w:rsid w:val="0851521E"/>
    <w:rsid w:val="08515229"/>
    <w:rsid w:val="0851524A"/>
    <w:rsid w:val="0851525D"/>
    <w:rsid w:val="08515273"/>
    <w:rsid w:val="085152AB"/>
    <w:rsid w:val="0851534D"/>
    <w:rsid w:val="0851535A"/>
    <w:rsid w:val="085153B4"/>
    <w:rsid w:val="0851544F"/>
    <w:rsid w:val="085154B9"/>
    <w:rsid w:val="085154E1"/>
    <w:rsid w:val="08515504"/>
    <w:rsid w:val="08515538"/>
    <w:rsid w:val="085155B9"/>
    <w:rsid w:val="085156BF"/>
    <w:rsid w:val="08515720"/>
    <w:rsid w:val="08515868"/>
    <w:rsid w:val="085158CA"/>
    <w:rsid w:val="085158F1"/>
    <w:rsid w:val="08515930"/>
    <w:rsid w:val="0851597B"/>
    <w:rsid w:val="08515AD6"/>
    <w:rsid w:val="08515B24"/>
    <w:rsid w:val="08515B28"/>
    <w:rsid w:val="08515B59"/>
    <w:rsid w:val="08515BAB"/>
    <w:rsid w:val="08515C3B"/>
    <w:rsid w:val="08515C8A"/>
    <w:rsid w:val="08515CF5"/>
    <w:rsid w:val="08515D07"/>
    <w:rsid w:val="08515DFE"/>
    <w:rsid w:val="08515E09"/>
    <w:rsid w:val="08515E5F"/>
    <w:rsid w:val="08515F66"/>
    <w:rsid w:val="08515F91"/>
    <w:rsid w:val="08515F9C"/>
    <w:rsid w:val="08515FD5"/>
    <w:rsid w:val="08516046"/>
    <w:rsid w:val="08516050"/>
    <w:rsid w:val="0851615F"/>
    <w:rsid w:val="085161AA"/>
    <w:rsid w:val="085161C5"/>
    <w:rsid w:val="085161EA"/>
    <w:rsid w:val="085163CE"/>
    <w:rsid w:val="08516497"/>
    <w:rsid w:val="0851650D"/>
    <w:rsid w:val="08516527"/>
    <w:rsid w:val="08516582"/>
    <w:rsid w:val="08516597"/>
    <w:rsid w:val="085165C8"/>
    <w:rsid w:val="08516640"/>
    <w:rsid w:val="08516670"/>
    <w:rsid w:val="08516671"/>
    <w:rsid w:val="0851668B"/>
    <w:rsid w:val="08516746"/>
    <w:rsid w:val="08516773"/>
    <w:rsid w:val="08516783"/>
    <w:rsid w:val="08516834"/>
    <w:rsid w:val="0851691F"/>
    <w:rsid w:val="0851692C"/>
    <w:rsid w:val="0851693F"/>
    <w:rsid w:val="08516943"/>
    <w:rsid w:val="08516990"/>
    <w:rsid w:val="08516995"/>
    <w:rsid w:val="08516A10"/>
    <w:rsid w:val="08516A43"/>
    <w:rsid w:val="08516A67"/>
    <w:rsid w:val="08516BD6"/>
    <w:rsid w:val="08516CE4"/>
    <w:rsid w:val="08516D2E"/>
    <w:rsid w:val="08516D96"/>
    <w:rsid w:val="08516DB1"/>
    <w:rsid w:val="08516DE7"/>
    <w:rsid w:val="08516E45"/>
    <w:rsid w:val="08516EDC"/>
    <w:rsid w:val="08516F02"/>
    <w:rsid w:val="08516F6B"/>
    <w:rsid w:val="08516FE2"/>
    <w:rsid w:val="08517012"/>
    <w:rsid w:val="08517027"/>
    <w:rsid w:val="0851702F"/>
    <w:rsid w:val="0851706E"/>
    <w:rsid w:val="08517075"/>
    <w:rsid w:val="0851711C"/>
    <w:rsid w:val="085171BA"/>
    <w:rsid w:val="08517237"/>
    <w:rsid w:val="08517263"/>
    <w:rsid w:val="0851726A"/>
    <w:rsid w:val="08517276"/>
    <w:rsid w:val="08517411"/>
    <w:rsid w:val="0851751F"/>
    <w:rsid w:val="08517578"/>
    <w:rsid w:val="085175B2"/>
    <w:rsid w:val="085175F8"/>
    <w:rsid w:val="08517660"/>
    <w:rsid w:val="0851768F"/>
    <w:rsid w:val="08517696"/>
    <w:rsid w:val="085176F2"/>
    <w:rsid w:val="08517776"/>
    <w:rsid w:val="085177DD"/>
    <w:rsid w:val="085177E9"/>
    <w:rsid w:val="0851784F"/>
    <w:rsid w:val="08517951"/>
    <w:rsid w:val="085179BE"/>
    <w:rsid w:val="08517AF8"/>
    <w:rsid w:val="08517B8A"/>
    <w:rsid w:val="08517BE1"/>
    <w:rsid w:val="08517BF7"/>
    <w:rsid w:val="08517D19"/>
    <w:rsid w:val="08517E24"/>
    <w:rsid w:val="08517EA6"/>
    <w:rsid w:val="08517FEC"/>
    <w:rsid w:val="08520013"/>
    <w:rsid w:val="0852001B"/>
    <w:rsid w:val="08520083"/>
    <w:rsid w:val="085200CC"/>
    <w:rsid w:val="085200FE"/>
    <w:rsid w:val="0852011D"/>
    <w:rsid w:val="0852025D"/>
    <w:rsid w:val="085202C2"/>
    <w:rsid w:val="085202E6"/>
    <w:rsid w:val="085202F7"/>
    <w:rsid w:val="0852032E"/>
    <w:rsid w:val="08520333"/>
    <w:rsid w:val="085203BD"/>
    <w:rsid w:val="085203E2"/>
    <w:rsid w:val="08520459"/>
    <w:rsid w:val="08520531"/>
    <w:rsid w:val="085205BF"/>
    <w:rsid w:val="085205F6"/>
    <w:rsid w:val="08520605"/>
    <w:rsid w:val="0852063F"/>
    <w:rsid w:val="08520713"/>
    <w:rsid w:val="08520749"/>
    <w:rsid w:val="0852083C"/>
    <w:rsid w:val="085208A5"/>
    <w:rsid w:val="085208CC"/>
    <w:rsid w:val="085208F0"/>
    <w:rsid w:val="0852092D"/>
    <w:rsid w:val="0852095A"/>
    <w:rsid w:val="08520B20"/>
    <w:rsid w:val="08520BF5"/>
    <w:rsid w:val="08520C13"/>
    <w:rsid w:val="08520C4F"/>
    <w:rsid w:val="08520C81"/>
    <w:rsid w:val="08520CAE"/>
    <w:rsid w:val="08520CE0"/>
    <w:rsid w:val="08520CEF"/>
    <w:rsid w:val="08520D74"/>
    <w:rsid w:val="08520E45"/>
    <w:rsid w:val="08520E8C"/>
    <w:rsid w:val="08520EBE"/>
    <w:rsid w:val="08520F3D"/>
    <w:rsid w:val="08520F4E"/>
    <w:rsid w:val="08520F7F"/>
    <w:rsid w:val="08520FF7"/>
    <w:rsid w:val="08521056"/>
    <w:rsid w:val="085210CA"/>
    <w:rsid w:val="08521162"/>
    <w:rsid w:val="08521185"/>
    <w:rsid w:val="085212F7"/>
    <w:rsid w:val="08521475"/>
    <w:rsid w:val="08521510"/>
    <w:rsid w:val="085215FA"/>
    <w:rsid w:val="08521637"/>
    <w:rsid w:val="0852169B"/>
    <w:rsid w:val="08521706"/>
    <w:rsid w:val="08521863"/>
    <w:rsid w:val="085218B7"/>
    <w:rsid w:val="0852190D"/>
    <w:rsid w:val="08521911"/>
    <w:rsid w:val="085219A9"/>
    <w:rsid w:val="08521A6E"/>
    <w:rsid w:val="08521AC6"/>
    <w:rsid w:val="08521B49"/>
    <w:rsid w:val="08521B82"/>
    <w:rsid w:val="08521BD0"/>
    <w:rsid w:val="08521C62"/>
    <w:rsid w:val="08521D7A"/>
    <w:rsid w:val="08521D7E"/>
    <w:rsid w:val="08521DD2"/>
    <w:rsid w:val="08521DE7"/>
    <w:rsid w:val="08521E35"/>
    <w:rsid w:val="08521E41"/>
    <w:rsid w:val="08521ED0"/>
    <w:rsid w:val="08521EDB"/>
    <w:rsid w:val="08521F5B"/>
    <w:rsid w:val="08521F99"/>
    <w:rsid w:val="08521FA4"/>
    <w:rsid w:val="08521FC9"/>
    <w:rsid w:val="08521FE2"/>
    <w:rsid w:val="0852204F"/>
    <w:rsid w:val="085220B2"/>
    <w:rsid w:val="08522108"/>
    <w:rsid w:val="0852211F"/>
    <w:rsid w:val="08522127"/>
    <w:rsid w:val="08522355"/>
    <w:rsid w:val="08522427"/>
    <w:rsid w:val="08522464"/>
    <w:rsid w:val="08522484"/>
    <w:rsid w:val="085224E8"/>
    <w:rsid w:val="08522513"/>
    <w:rsid w:val="0852256C"/>
    <w:rsid w:val="0852266D"/>
    <w:rsid w:val="085226B1"/>
    <w:rsid w:val="08522767"/>
    <w:rsid w:val="0852289D"/>
    <w:rsid w:val="08522935"/>
    <w:rsid w:val="0852299B"/>
    <w:rsid w:val="08522B42"/>
    <w:rsid w:val="08522B51"/>
    <w:rsid w:val="08522CF9"/>
    <w:rsid w:val="08522D17"/>
    <w:rsid w:val="08522D25"/>
    <w:rsid w:val="08522DAE"/>
    <w:rsid w:val="08522DFE"/>
    <w:rsid w:val="08522E26"/>
    <w:rsid w:val="08522E33"/>
    <w:rsid w:val="08522F2D"/>
    <w:rsid w:val="08522F47"/>
    <w:rsid w:val="08522FA0"/>
    <w:rsid w:val="08523019"/>
    <w:rsid w:val="0852304B"/>
    <w:rsid w:val="08523288"/>
    <w:rsid w:val="0852328B"/>
    <w:rsid w:val="08523299"/>
    <w:rsid w:val="0852329F"/>
    <w:rsid w:val="085232D6"/>
    <w:rsid w:val="085232F3"/>
    <w:rsid w:val="08523317"/>
    <w:rsid w:val="0852342E"/>
    <w:rsid w:val="085234CB"/>
    <w:rsid w:val="08523512"/>
    <w:rsid w:val="08523596"/>
    <w:rsid w:val="085235B3"/>
    <w:rsid w:val="0852362E"/>
    <w:rsid w:val="085236FB"/>
    <w:rsid w:val="0852381C"/>
    <w:rsid w:val="0852386E"/>
    <w:rsid w:val="085238EC"/>
    <w:rsid w:val="08523913"/>
    <w:rsid w:val="0852396F"/>
    <w:rsid w:val="08523983"/>
    <w:rsid w:val="08523A03"/>
    <w:rsid w:val="08523A4F"/>
    <w:rsid w:val="08523AF6"/>
    <w:rsid w:val="08523BA5"/>
    <w:rsid w:val="08523C0C"/>
    <w:rsid w:val="08523D41"/>
    <w:rsid w:val="08523DC3"/>
    <w:rsid w:val="08523DF5"/>
    <w:rsid w:val="08523E81"/>
    <w:rsid w:val="08523F2E"/>
    <w:rsid w:val="08523FC7"/>
    <w:rsid w:val="08523FCA"/>
    <w:rsid w:val="08524004"/>
    <w:rsid w:val="08524048"/>
    <w:rsid w:val="085240BD"/>
    <w:rsid w:val="085240C3"/>
    <w:rsid w:val="08524126"/>
    <w:rsid w:val="085241A5"/>
    <w:rsid w:val="085241E4"/>
    <w:rsid w:val="085242BC"/>
    <w:rsid w:val="085242F9"/>
    <w:rsid w:val="0852434B"/>
    <w:rsid w:val="08524380"/>
    <w:rsid w:val="085243AE"/>
    <w:rsid w:val="085243EE"/>
    <w:rsid w:val="085244CA"/>
    <w:rsid w:val="08524505"/>
    <w:rsid w:val="08524542"/>
    <w:rsid w:val="085245CB"/>
    <w:rsid w:val="0852489A"/>
    <w:rsid w:val="08524915"/>
    <w:rsid w:val="085249DF"/>
    <w:rsid w:val="08524A41"/>
    <w:rsid w:val="08524A60"/>
    <w:rsid w:val="08524A90"/>
    <w:rsid w:val="08524B85"/>
    <w:rsid w:val="08524BB3"/>
    <w:rsid w:val="08524BE8"/>
    <w:rsid w:val="08524C45"/>
    <w:rsid w:val="08524C4B"/>
    <w:rsid w:val="08524C70"/>
    <w:rsid w:val="08524DB7"/>
    <w:rsid w:val="08524DC0"/>
    <w:rsid w:val="08524DD3"/>
    <w:rsid w:val="08524E1B"/>
    <w:rsid w:val="08524E46"/>
    <w:rsid w:val="08524E91"/>
    <w:rsid w:val="08524F2F"/>
    <w:rsid w:val="08524F9F"/>
    <w:rsid w:val="08524FD4"/>
    <w:rsid w:val="08524FFA"/>
    <w:rsid w:val="08525073"/>
    <w:rsid w:val="0852508F"/>
    <w:rsid w:val="0852514B"/>
    <w:rsid w:val="0852519F"/>
    <w:rsid w:val="085251C5"/>
    <w:rsid w:val="0852523E"/>
    <w:rsid w:val="085253F1"/>
    <w:rsid w:val="08525446"/>
    <w:rsid w:val="085255D3"/>
    <w:rsid w:val="08525659"/>
    <w:rsid w:val="08525695"/>
    <w:rsid w:val="085256D4"/>
    <w:rsid w:val="085256F0"/>
    <w:rsid w:val="08525759"/>
    <w:rsid w:val="08525773"/>
    <w:rsid w:val="085257AE"/>
    <w:rsid w:val="085257BB"/>
    <w:rsid w:val="085258A7"/>
    <w:rsid w:val="085258E9"/>
    <w:rsid w:val="08525970"/>
    <w:rsid w:val="08525991"/>
    <w:rsid w:val="08525A3B"/>
    <w:rsid w:val="08525B02"/>
    <w:rsid w:val="08525B03"/>
    <w:rsid w:val="08525BC5"/>
    <w:rsid w:val="08525C9B"/>
    <w:rsid w:val="08525CBA"/>
    <w:rsid w:val="08525D9D"/>
    <w:rsid w:val="08525DEF"/>
    <w:rsid w:val="08525E54"/>
    <w:rsid w:val="08525E5D"/>
    <w:rsid w:val="08525E65"/>
    <w:rsid w:val="085260E7"/>
    <w:rsid w:val="0852614D"/>
    <w:rsid w:val="0852615C"/>
    <w:rsid w:val="0852644D"/>
    <w:rsid w:val="085264A4"/>
    <w:rsid w:val="085264E3"/>
    <w:rsid w:val="085264E8"/>
    <w:rsid w:val="0852651E"/>
    <w:rsid w:val="08526524"/>
    <w:rsid w:val="08526586"/>
    <w:rsid w:val="08526631"/>
    <w:rsid w:val="085266BD"/>
    <w:rsid w:val="085266F6"/>
    <w:rsid w:val="085267C4"/>
    <w:rsid w:val="085267DA"/>
    <w:rsid w:val="085268F2"/>
    <w:rsid w:val="08526A02"/>
    <w:rsid w:val="08526B4C"/>
    <w:rsid w:val="08526C3F"/>
    <w:rsid w:val="08526C94"/>
    <w:rsid w:val="08526CB1"/>
    <w:rsid w:val="08526D3E"/>
    <w:rsid w:val="08526D65"/>
    <w:rsid w:val="08526D68"/>
    <w:rsid w:val="08526DF8"/>
    <w:rsid w:val="08526E47"/>
    <w:rsid w:val="08526E6E"/>
    <w:rsid w:val="08526E75"/>
    <w:rsid w:val="0852702C"/>
    <w:rsid w:val="08527062"/>
    <w:rsid w:val="08527084"/>
    <w:rsid w:val="085270E7"/>
    <w:rsid w:val="08527100"/>
    <w:rsid w:val="08527102"/>
    <w:rsid w:val="0852715E"/>
    <w:rsid w:val="0852716C"/>
    <w:rsid w:val="0852718F"/>
    <w:rsid w:val="08527239"/>
    <w:rsid w:val="085272E5"/>
    <w:rsid w:val="08527345"/>
    <w:rsid w:val="08527378"/>
    <w:rsid w:val="085273A7"/>
    <w:rsid w:val="085273AD"/>
    <w:rsid w:val="085273F2"/>
    <w:rsid w:val="0852745D"/>
    <w:rsid w:val="08527490"/>
    <w:rsid w:val="0852755E"/>
    <w:rsid w:val="085275E0"/>
    <w:rsid w:val="085275E6"/>
    <w:rsid w:val="0852760C"/>
    <w:rsid w:val="085276FF"/>
    <w:rsid w:val="08527719"/>
    <w:rsid w:val="0852789D"/>
    <w:rsid w:val="085278E1"/>
    <w:rsid w:val="085278EC"/>
    <w:rsid w:val="08527A17"/>
    <w:rsid w:val="08527A61"/>
    <w:rsid w:val="08527CB7"/>
    <w:rsid w:val="08527D08"/>
    <w:rsid w:val="08527D3D"/>
    <w:rsid w:val="08527F49"/>
    <w:rsid w:val="08527F62"/>
    <w:rsid w:val="08527F78"/>
    <w:rsid w:val="08527F7F"/>
    <w:rsid w:val="08530013"/>
    <w:rsid w:val="085301B6"/>
    <w:rsid w:val="085301FF"/>
    <w:rsid w:val="08530209"/>
    <w:rsid w:val="08530285"/>
    <w:rsid w:val="085302B6"/>
    <w:rsid w:val="08530323"/>
    <w:rsid w:val="08530327"/>
    <w:rsid w:val="0853037B"/>
    <w:rsid w:val="08530401"/>
    <w:rsid w:val="08530457"/>
    <w:rsid w:val="08530460"/>
    <w:rsid w:val="0853059C"/>
    <w:rsid w:val="085305C2"/>
    <w:rsid w:val="08530603"/>
    <w:rsid w:val="0853062D"/>
    <w:rsid w:val="08530656"/>
    <w:rsid w:val="085306D0"/>
    <w:rsid w:val="085307A1"/>
    <w:rsid w:val="085307CD"/>
    <w:rsid w:val="085307D4"/>
    <w:rsid w:val="085307FD"/>
    <w:rsid w:val="085308C7"/>
    <w:rsid w:val="08530903"/>
    <w:rsid w:val="0853094D"/>
    <w:rsid w:val="0853099F"/>
    <w:rsid w:val="08530A51"/>
    <w:rsid w:val="08530AA0"/>
    <w:rsid w:val="08530AA1"/>
    <w:rsid w:val="08530C8F"/>
    <w:rsid w:val="08530CAE"/>
    <w:rsid w:val="08530CCC"/>
    <w:rsid w:val="08530CE2"/>
    <w:rsid w:val="08530D06"/>
    <w:rsid w:val="08530D47"/>
    <w:rsid w:val="08530D4E"/>
    <w:rsid w:val="08530D83"/>
    <w:rsid w:val="08530E44"/>
    <w:rsid w:val="08530EA3"/>
    <w:rsid w:val="08530F4B"/>
    <w:rsid w:val="08530FAC"/>
    <w:rsid w:val="08530FC0"/>
    <w:rsid w:val="08531054"/>
    <w:rsid w:val="085310A7"/>
    <w:rsid w:val="08531121"/>
    <w:rsid w:val="0853112E"/>
    <w:rsid w:val="085311A4"/>
    <w:rsid w:val="085311CD"/>
    <w:rsid w:val="0853120F"/>
    <w:rsid w:val="08531241"/>
    <w:rsid w:val="08531292"/>
    <w:rsid w:val="08531300"/>
    <w:rsid w:val="08531311"/>
    <w:rsid w:val="08531342"/>
    <w:rsid w:val="085313BE"/>
    <w:rsid w:val="085313DF"/>
    <w:rsid w:val="085313F5"/>
    <w:rsid w:val="085313FB"/>
    <w:rsid w:val="08531435"/>
    <w:rsid w:val="0853143D"/>
    <w:rsid w:val="08531446"/>
    <w:rsid w:val="085314AA"/>
    <w:rsid w:val="0853150C"/>
    <w:rsid w:val="08531565"/>
    <w:rsid w:val="08531569"/>
    <w:rsid w:val="08531571"/>
    <w:rsid w:val="085315E5"/>
    <w:rsid w:val="085316B0"/>
    <w:rsid w:val="085316B5"/>
    <w:rsid w:val="085316FD"/>
    <w:rsid w:val="08531729"/>
    <w:rsid w:val="0853177D"/>
    <w:rsid w:val="085317AD"/>
    <w:rsid w:val="085317DA"/>
    <w:rsid w:val="0853183E"/>
    <w:rsid w:val="0853185C"/>
    <w:rsid w:val="085319B2"/>
    <w:rsid w:val="085319D9"/>
    <w:rsid w:val="08531A04"/>
    <w:rsid w:val="08531AAA"/>
    <w:rsid w:val="08531AC5"/>
    <w:rsid w:val="08531B1F"/>
    <w:rsid w:val="08531B6F"/>
    <w:rsid w:val="08531BBB"/>
    <w:rsid w:val="08531CA3"/>
    <w:rsid w:val="08531D7B"/>
    <w:rsid w:val="08531DCD"/>
    <w:rsid w:val="08531E05"/>
    <w:rsid w:val="08531E1A"/>
    <w:rsid w:val="08531E3C"/>
    <w:rsid w:val="08531EA9"/>
    <w:rsid w:val="08531F61"/>
    <w:rsid w:val="08531F7E"/>
    <w:rsid w:val="085320B0"/>
    <w:rsid w:val="08532145"/>
    <w:rsid w:val="08532192"/>
    <w:rsid w:val="085321FF"/>
    <w:rsid w:val="0853227A"/>
    <w:rsid w:val="085322C1"/>
    <w:rsid w:val="085325CB"/>
    <w:rsid w:val="085326E2"/>
    <w:rsid w:val="0853272F"/>
    <w:rsid w:val="085327D7"/>
    <w:rsid w:val="085327E1"/>
    <w:rsid w:val="08532809"/>
    <w:rsid w:val="0853281B"/>
    <w:rsid w:val="08532856"/>
    <w:rsid w:val="08532985"/>
    <w:rsid w:val="085329B6"/>
    <w:rsid w:val="085329CF"/>
    <w:rsid w:val="08532A42"/>
    <w:rsid w:val="08532A82"/>
    <w:rsid w:val="08532A85"/>
    <w:rsid w:val="08532A97"/>
    <w:rsid w:val="08532AAC"/>
    <w:rsid w:val="08532AD0"/>
    <w:rsid w:val="08532AFD"/>
    <w:rsid w:val="08532B63"/>
    <w:rsid w:val="08532BA6"/>
    <w:rsid w:val="08532BEE"/>
    <w:rsid w:val="08532C41"/>
    <w:rsid w:val="08532DF6"/>
    <w:rsid w:val="08532DFF"/>
    <w:rsid w:val="08532EAD"/>
    <w:rsid w:val="08532F14"/>
    <w:rsid w:val="08532F55"/>
    <w:rsid w:val="085330DF"/>
    <w:rsid w:val="08533182"/>
    <w:rsid w:val="0853319D"/>
    <w:rsid w:val="0853325D"/>
    <w:rsid w:val="08533273"/>
    <w:rsid w:val="08533280"/>
    <w:rsid w:val="08533296"/>
    <w:rsid w:val="085332F6"/>
    <w:rsid w:val="08533393"/>
    <w:rsid w:val="08533462"/>
    <w:rsid w:val="08533485"/>
    <w:rsid w:val="085334A0"/>
    <w:rsid w:val="085335B0"/>
    <w:rsid w:val="085336D1"/>
    <w:rsid w:val="08533739"/>
    <w:rsid w:val="085337AE"/>
    <w:rsid w:val="08533876"/>
    <w:rsid w:val="0853392B"/>
    <w:rsid w:val="08533967"/>
    <w:rsid w:val="085339F6"/>
    <w:rsid w:val="08533A4C"/>
    <w:rsid w:val="08533B1C"/>
    <w:rsid w:val="08533BA1"/>
    <w:rsid w:val="08533C2D"/>
    <w:rsid w:val="08533C62"/>
    <w:rsid w:val="08533C9C"/>
    <w:rsid w:val="08533D46"/>
    <w:rsid w:val="08533DA2"/>
    <w:rsid w:val="08533DA5"/>
    <w:rsid w:val="08533DFE"/>
    <w:rsid w:val="08533E9D"/>
    <w:rsid w:val="08533FA9"/>
    <w:rsid w:val="08533FD5"/>
    <w:rsid w:val="0853406A"/>
    <w:rsid w:val="085340E9"/>
    <w:rsid w:val="0853412D"/>
    <w:rsid w:val="08534150"/>
    <w:rsid w:val="085341B4"/>
    <w:rsid w:val="085341DF"/>
    <w:rsid w:val="08534254"/>
    <w:rsid w:val="085342B5"/>
    <w:rsid w:val="085342D6"/>
    <w:rsid w:val="085343E4"/>
    <w:rsid w:val="0853440B"/>
    <w:rsid w:val="08534534"/>
    <w:rsid w:val="08534597"/>
    <w:rsid w:val="085345DE"/>
    <w:rsid w:val="0853461A"/>
    <w:rsid w:val="0853466F"/>
    <w:rsid w:val="085346C1"/>
    <w:rsid w:val="085347F0"/>
    <w:rsid w:val="0853486F"/>
    <w:rsid w:val="0853487A"/>
    <w:rsid w:val="08534892"/>
    <w:rsid w:val="08534971"/>
    <w:rsid w:val="08534B58"/>
    <w:rsid w:val="08534BA3"/>
    <w:rsid w:val="08534BDB"/>
    <w:rsid w:val="08534BE3"/>
    <w:rsid w:val="08534C19"/>
    <w:rsid w:val="08534C2E"/>
    <w:rsid w:val="08534D18"/>
    <w:rsid w:val="08534D6E"/>
    <w:rsid w:val="08534D81"/>
    <w:rsid w:val="08534DAC"/>
    <w:rsid w:val="08534DF4"/>
    <w:rsid w:val="08534EF1"/>
    <w:rsid w:val="08534EFA"/>
    <w:rsid w:val="08534FBE"/>
    <w:rsid w:val="0853511F"/>
    <w:rsid w:val="085351A2"/>
    <w:rsid w:val="085351CA"/>
    <w:rsid w:val="0853520D"/>
    <w:rsid w:val="0853525B"/>
    <w:rsid w:val="085352B9"/>
    <w:rsid w:val="08535373"/>
    <w:rsid w:val="08535415"/>
    <w:rsid w:val="08535434"/>
    <w:rsid w:val="0853549B"/>
    <w:rsid w:val="085354EB"/>
    <w:rsid w:val="085354FD"/>
    <w:rsid w:val="085355F7"/>
    <w:rsid w:val="08535637"/>
    <w:rsid w:val="0853564A"/>
    <w:rsid w:val="085356E3"/>
    <w:rsid w:val="0853573F"/>
    <w:rsid w:val="0853574F"/>
    <w:rsid w:val="085357CD"/>
    <w:rsid w:val="085357DE"/>
    <w:rsid w:val="0853580F"/>
    <w:rsid w:val="08535894"/>
    <w:rsid w:val="085358EF"/>
    <w:rsid w:val="085358FA"/>
    <w:rsid w:val="08535975"/>
    <w:rsid w:val="085359B2"/>
    <w:rsid w:val="085359BF"/>
    <w:rsid w:val="08535A3A"/>
    <w:rsid w:val="08535A87"/>
    <w:rsid w:val="08535AA2"/>
    <w:rsid w:val="08535AB2"/>
    <w:rsid w:val="08535BF7"/>
    <w:rsid w:val="08535C70"/>
    <w:rsid w:val="08535CBD"/>
    <w:rsid w:val="08535CE6"/>
    <w:rsid w:val="08535D66"/>
    <w:rsid w:val="08535DC0"/>
    <w:rsid w:val="08535E07"/>
    <w:rsid w:val="08535E30"/>
    <w:rsid w:val="08535ECE"/>
    <w:rsid w:val="08535F22"/>
    <w:rsid w:val="08535F2E"/>
    <w:rsid w:val="08535F34"/>
    <w:rsid w:val="08535F4A"/>
    <w:rsid w:val="08535FBC"/>
    <w:rsid w:val="08536035"/>
    <w:rsid w:val="08536172"/>
    <w:rsid w:val="08536221"/>
    <w:rsid w:val="08536257"/>
    <w:rsid w:val="08536270"/>
    <w:rsid w:val="085362A3"/>
    <w:rsid w:val="085362BC"/>
    <w:rsid w:val="085362C7"/>
    <w:rsid w:val="085362CC"/>
    <w:rsid w:val="085362FD"/>
    <w:rsid w:val="08536426"/>
    <w:rsid w:val="08536435"/>
    <w:rsid w:val="08536472"/>
    <w:rsid w:val="08536477"/>
    <w:rsid w:val="0853647E"/>
    <w:rsid w:val="085364A6"/>
    <w:rsid w:val="08536521"/>
    <w:rsid w:val="0853653B"/>
    <w:rsid w:val="08536553"/>
    <w:rsid w:val="08536579"/>
    <w:rsid w:val="085365EC"/>
    <w:rsid w:val="085366D1"/>
    <w:rsid w:val="085366D9"/>
    <w:rsid w:val="085367A2"/>
    <w:rsid w:val="085367C6"/>
    <w:rsid w:val="085367F5"/>
    <w:rsid w:val="08536834"/>
    <w:rsid w:val="08536893"/>
    <w:rsid w:val="0853689C"/>
    <w:rsid w:val="085368C3"/>
    <w:rsid w:val="08536960"/>
    <w:rsid w:val="08536966"/>
    <w:rsid w:val="08536A50"/>
    <w:rsid w:val="08536AB1"/>
    <w:rsid w:val="08536B56"/>
    <w:rsid w:val="08536C0B"/>
    <w:rsid w:val="08536C60"/>
    <w:rsid w:val="08536C6D"/>
    <w:rsid w:val="0853707D"/>
    <w:rsid w:val="08537088"/>
    <w:rsid w:val="085370DE"/>
    <w:rsid w:val="085370ED"/>
    <w:rsid w:val="085372BC"/>
    <w:rsid w:val="085372C5"/>
    <w:rsid w:val="085372CC"/>
    <w:rsid w:val="08537327"/>
    <w:rsid w:val="085373CD"/>
    <w:rsid w:val="085374B4"/>
    <w:rsid w:val="085374C2"/>
    <w:rsid w:val="085374CA"/>
    <w:rsid w:val="085374ED"/>
    <w:rsid w:val="08537662"/>
    <w:rsid w:val="0853769D"/>
    <w:rsid w:val="0853774C"/>
    <w:rsid w:val="08537761"/>
    <w:rsid w:val="08537779"/>
    <w:rsid w:val="085377DF"/>
    <w:rsid w:val="0853781E"/>
    <w:rsid w:val="0853785B"/>
    <w:rsid w:val="08537872"/>
    <w:rsid w:val="08537899"/>
    <w:rsid w:val="085379A7"/>
    <w:rsid w:val="085379AB"/>
    <w:rsid w:val="085379E4"/>
    <w:rsid w:val="08537A2B"/>
    <w:rsid w:val="08537B28"/>
    <w:rsid w:val="08537B74"/>
    <w:rsid w:val="08537B84"/>
    <w:rsid w:val="08537B86"/>
    <w:rsid w:val="08537BAB"/>
    <w:rsid w:val="08537C3D"/>
    <w:rsid w:val="08537CFF"/>
    <w:rsid w:val="08537D16"/>
    <w:rsid w:val="08537D24"/>
    <w:rsid w:val="08537D6A"/>
    <w:rsid w:val="08537DB2"/>
    <w:rsid w:val="08537E49"/>
    <w:rsid w:val="08537E67"/>
    <w:rsid w:val="08537EBD"/>
    <w:rsid w:val="08537F3C"/>
    <w:rsid w:val="08537F5D"/>
    <w:rsid w:val="08537F96"/>
    <w:rsid w:val="08540014"/>
    <w:rsid w:val="085400B1"/>
    <w:rsid w:val="085400D1"/>
    <w:rsid w:val="085400FD"/>
    <w:rsid w:val="085401A7"/>
    <w:rsid w:val="08540215"/>
    <w:rsid w:val="0854028E"/>
    <w:rsid w:val="085402F0"/>
    <w:rsid w:val="08540370"/>
    <w:rsid w:val="08540377"/>
    <w:rsid w:val="0854037E"/>
    <w:rsid w:val="0854041B"/>
    <w:rsid w:val="08540436"/>
    <w:rsid w:val="08540445"/>
    <w:rsid w:val="085405C3"/>
    <w:rsid w:val="085405D8"/>
    <w:rsid w:val="08540647"/>
    <w:rsid w:val="085406DB"/>
    <w:rsid w:val="085407F7"/>
    <w:rsid w:val="08540805"/>
    <w:rsid w:val="085408AC"/>
    <w:rsid w:val="0854091D"/>
    <w:rsid w:val="08540938"/>
    <w:rsid w:val="08540955"/>
    <w:rsid w:val="08540A51"/>
    <w:rsid w:val="08540A6D"/>
    <w:rsid w:val="08540A78"/>
    <w:rsid w:val="08540A82"/>
    <w:rsid w:val="08540B68"/>
    <w:rsid w:val="08540BCA"/>
    <w:rsid w:val="08540C0D"/>
    <w:rsid w:val="08540C7D"/>
    <w:rsid w:val="08540CA8"/>
    <w:rsid w:val="08540CD1"/>
    <w:rsid w:val="08540CDE"/>
    <w:rsid w:val="08540D14"/>
    <w:rsid w:val="08540D2F"/>
    <w:rsid w:val="08540DAB"/>
    <w:rsid w:val="08540DC6"/>
    <w:rsid w:val="08540E4A"/>
    <w:rsid w:val="08540E52"/>
    <w:rsid w:val="08540EEF"/>
    <w:rsid w:val="08540EF4"/>
    <w:rsid w:val="08540F7B"/>
    <w:rsid w:val="08541043"/>
    <w:rsid w:val="085410A6"/>
    <w:rsid w:val="085411B4"/>
    <w:rsid w:val="08541313"/>
    <w:rsid w:val="0854131C"/>
    <w:rsid w:val="08541329"/>
    <w:rsid w:val="0854147C"/>
    <w:rsid w:val="085414AD"/>
    <w:rsid w:val="085414CA"/>
    <w:rsid w:val="08541522"/>
    <w:rsid w:val="08541562"/>
    <w:rsid w:val="08541706"/>
    <w:rsid w:val="08541810"/>
    <w:rsid w:val="085418A4"/>
    <w:rsid w:val="085418E8"/>
    <w:rsid w:val="0854191A"/>
    <w:rsid w:val="08541945"/>
    <w:rsid w:val="08541A8E"/>
    <w:rsid w:val="08541AFB"/>
    <w:rsid w:val="08541AFD"/>
    <w:rsid w:val="08541B4B"/>
    <w:rsid w:val="08541C5D"/>
    <w:rsid w:val="08541C7A"/>
    <w:rsid w:val="08541D38"/>
    <w:rsid w:val="08541E70"/>
    <w:rsid w:val="08541EAE"/>
    <w:rsid w:val="08541F8A"/>
    <w:rsid w:val="08542063"/>
    <w:rsid w:val="0854206B"/>
    <w:rsid w:val="085420F2"/>
    <w:rsid w:val="08542141"/>
    <w:rsid w:val="0854215D"/>
    <w:rsid w:val="08542255"/>
    <w:rsid w:val="08542375"/>
    <w:rsid w:val="0854239A"/>
    <w:rsid w:val="08542425"/>
    <w:rsid w:val="0854276C"/>
    <w:rsid w:val="085427C6"/>
    <w:rsid w:val="085427EF"/>
    <w:rsid w:val="085427FA"/>
    <w:rsid w:val="08542808"/>
    <w:rsid w:val="08542813"/>
    <w:rsid w:val="08542819"/>
    <w:rsid w:val="08542831"/>
    <w:rsid w:val="085428DD"/>
    <w:rsid w:val="08542945"/>
    <w:rsid w:val="08542A79"/>
    <w:rsid w:val="08542B35"/>
    <w:rsid w:val="08542B84"/>
    <w:rsid w:val="08542BCE"/>
    <w:rsid w:val="08542C31"/>
    <w:rsid w:val="08542C33"/>
    <w:rsid w:val="08542DB5"/>
    <w:rsid w:val="08542DCA"/>
    <w:rsid w:val="08542E85"/>
    <w:rsid w:val="08542ECB"/>
    <w:rsid w:val="08542EEA"/>
    <w:rsid w:val="08543079"/>
    <w:rsid w:val="08543086"/>
    <w:rsid w:val="085430F0"/>
    <w:rsid w:val="08543190"/>
    <w:rsid w:val="0854321D"/>
    <w:rsid w:val="08543252"/>
    <w:rsid w:val="085433BE"/>
    <w:rsid w:val="08543456"/>
    <w:rsid w:val="08543464"/>
    <w:rsid w:val="085434EA"/>
    <w:rsid w:val="085435EB"/>
    <w:rsid w:val="085435FA"/>
    <w:rsid w:val="08543619"/>
    <w:rsid w:val="08543758"/>
    <w:rsid w:val="0854379F"/>
    <w:rsid w:val="08543846"/>
    <w:rsid w:val="0854387E"/>
    <w:rsid w:val="085438C7"/>
    <w:rsid w:val="08543A9A"/>
    <w:rsid w:val="08543B4F"/>
    <w:rsid w:val="08543B83"/>
    <w:rsid w:val="08543BC4"/>
    <w:rsid w:val="08543C1D"/>
    <w:rsid w:val="08543C36"/>
    <w:rsid w:val="08543C75"/>
    <w:rsid w:val="08543C8D"/>
    <w:rsid w:val="08543C92"/>
    <w:rsid w:val="08543D03"/>
    <w:rsid w:val="08543D38"/>
    <w:rsid w:val="08543D83"/>
    <w:rsid w:val="08543D84"/>
    <w:rsid w:val="08543E08"/>
    <w:rsid w:val="08543ED6"/>
    <w:rsid w:val="08543EFE"/>
    <w:rsid w:val="08543F7E"/>
    <w:rsid w:val="08543F86"/>
    <w:rsid w:val="08544039"/>
    <w:rsid w:val="08544075"/>
    <w:rsid w:val="08544088"/>
    <w:rsid w:val="08544099"/>
    <w:rsid w:val="0854409F"/>
    <w:rsid w:val="085440A3"/>
    <w:rsid w:val="085440B7"/>
    <w:rsid w:val="08544172"/>
    <w:rsid w:val="08544262"/>
    <w:rsid w:val="0854432A"/>
    <w:rsid w:val="085443DF"/>
    <w:rsid w:val="08544479"/>
    <w:rsid w:val="08544513"/>
    <w:rsid w:val="08544537"/>
    <w:rsid w:val="085446DF"/>
    <w:rsid w:val="085447FC"/>
    <w:rsid w:val="085448A8"/>
    <w:rsid w:val="085448BC"/>
    <w:rsid w:val="08544973"/>
    <w:rsid w:val="08544A2F"/>
    <w:rsid w:val="08544AA0"/>
    <w:rsid w:val="08544B8C"/>
    <w:rsid w:val="08544B8D"/>
    <w:rsid w:val="08544BD7"/>
    <w:rsid w:val="08544BF2"/>
    <w:rsid w:val="08544C3E"/>
    <w:rsid w:val="08544C47"/>
    <w:rsid w:val="08544CEA"/>
    <w:rsid w:val="08544D4B"/>
    <w:rsid w:val="08544EE9"/>
    <w:rsid w:val="08544EFF"/>
    <w:rsid w:val="08544F38"/>
    <w:rsid w:val="08544F75"/>
    <w:rsid w:val="08545069"/>
    <w:rsid w:val="085450CA"/>
    <w:rsid w:val="0854517E"/>
    <w:rsid w:val="08545262"/>
    <w:rsid w:val="08545276"/>
    <w:rsid w:val="08545394"/>
    <w:rsid w:val="08545430"/>
    <w:rsid w:val="08545513"/>
    <w:rsid w:val="08545536"/>
    <w:rsid w:val="085455C0"/>
    <w:rsid w:val="085455D0"/>
    <w:rsid w:val="08545666"/>
    <w:rsid w:val="08545787"/>
    <w:rsid w:val="0854579C"/>
    <w:rsid w:val="085457A8"/>
    <w:rsid w:val="085457F8"/>
    <w:rsid w:val="08545863"/>
    <w:rsid w:val="0854589F"/>
    <w:rsid w:val="0854592E"/>
    <w:rsid w:val="085459EF"/>
    <w:rsid w:val="08545AF2"/>
    <w:rsid w:val="08545AF8"/>
    <w:rsid w:val="08545BF9"/>
    <w:rsid w:val="08545C98"/>
    <w:rsid w:val="08545C9C"/>
    <w:rsid w:val="08545CAF"/>
    <w:rsid w:val="08545CEC"/>
    <w:rsid w:val="08545D2D"/>
    <w:rsid w:val="08545DBC"/>
    <w:rsid w:val="08545E19"/>
    <w:rsid w:val="08545E8A"/>
    <w:rsid w:val="08545F29"/>
    <w:rsid w:val="08545FB2"/>
    <w:rsid w:val="08546048"/>
    <w:rsid w:val="08546057"/>
    <w:rsid w:val="085461B4"/>
    <w:rsid w:val="0854620B"/>
    <w:rsid w:val="08546254"/>
    <w:rsid w:val="08546275"/>
    <w:rsid w:val="085462EA"/>
    <w:rsid w:val="08546425"/>
    <w:rsid w:val="0854647A"/>
    <w:rsid w:val="085465D6"/>
    <w:rsid w:val="08546661"/>
    <w:rsid w:val="08546691"/>
    <w:rsid w:val="085466F1"/>
    <w:rsid w:val="08546784"/>
    <w:rsid w:val="085467BA"/>
    <w:rsid w:val="0854690C"/>
    <w:rsid w:val="08546B42"/>
    <w:rsid w:val="08546B6B"/>
    <w:rsid w:val="08546C2C"/>
    <w:rsid w:val="08546C41"/>
    <w:rsid w:val="08546D53"/>
    <w:rsid w:val="08546D65"/>
    <w:rsid w:val="08546D98"/>
    <w:rsid w:val="08546DCD"/>
    <w:rsid w:val="08546E60"/>
    <w:rsid w:val="08546E98"/>
    <w:rsid w:val="08546EF2"/>
    <w:rsid w:val="08546F1F"/>
    <w:rsid w:val="08546F5D"/>
    <w:rsid w:val="08546FAE"/>
    <w:rsid w:val="0854703C"/>
    <w:rsid w:val="0854709C"/>
    <w:rsid w:val="085472ED"/>
    <w:rsid w:val="08547347"/>
    <w:rsid w:val="0854734C"/>
    <w:rsid w:val="0854742C"/>
    <w:rsid w:val="0854742D"/>
    <w:rsid w:val="0854748E"/>
    <w:rsid w:val="085474E2"/>
    <w:rsid w:val="085475DF"/>
    <w:rsid w:val="0854773B"/>
    <w:rsid w:val="08547758"/>
    <w:rsid w:val="0854775A"/>
    <w:rsid w:val="085477C3"/>
    <w:rsid w:val="085477EE"/>
    <w:rsid w:val="08547849"/>
    <w:rsid w:val="085478A5"/>
    <w:rsid w:val="085478AB"/>
    <w:rsid w:val="08547944"/>
    <w:rsid w:val="085479C6"/>
    <w:rsid w:val="085479F8"/>
    <w:rsid w:val="08547BBC"/>
    <w:rsid w:val="08547C5C"/>
    <w:rsid w:val="08547C65"/>
    <w:rsid w:val="08547C6A"/>
    <w:rsid w:val="08547D59"/>
    <w:rsid w:val="08547D91"/>
    <w:rsid w:val="08547DA8"/>
    <w:rsid w:val="08547DDC"/>
    <w:rsid w:val="08547E5A"/>
    <w:rsid w:val="08547E77"/>
    <w:rsid w:val="08547EF5"/>
    <w:rsid w:val="08547F0F"/>
    <w:rsid w:val="08547F43"/>
    <w:rsid w:val="08547FBC"/>
    <w:rsid w:val="0855015A"/>
    <w:rsid w:val="08550211"/>
    <w:rsid w:val="08550230"/>
    <w:rsid w:val="0855027D"/>
    <w:rsid w:val="08550367"/>
    <w:rsid w:val="0855037D"/>
    <w:rsid w:val="085503B8"/>
    <w:rsid w:val="085503E8"/>
    <w:rsid w:val="0855041D"/>
    <w:rsid w:val="08550539"/>
    <w:rsid w:val="08550541"/>
    <w:rsid w:val="08550660"/>
    <w:rsid w:val="08550661"/>
    <w:rsid w:val="0855072E"/>
    <w:rsid w:val="08550775"/>
    <w:rsid w:val="08550791"/>
    <w:rsid w:val="08550903"/>
    <w:rsid w:val="08550932"/>
    <w:rsid w:val="08550952"/>
    <w:rsid w:val="085509A3"/>
    <w:rsid w:val="085509D6"/>
    <w:rsid w:val="08550A27"/>
    <w:rsid w:val="08550B00"/>
    <w:rsid w:val="08550B50"/>
    <w:rsid w:val="08550B60"/>
    <w:rsid w:val="08550C82"/>
    <w:rsid w:val="08550C85"/>
    <w:rsid w:val="08550C8C"/>
    <w:rsid w:val="08550CAF"/>
    <w:rsid w:val="08550DA6"/>
    <w:rsid w:val="08550DE7"/>
    <w:rsid w:val="08550F20"/>
    <w:rsid w:val="08550F2F"/>
    <w:rsid w:val="08550F30"/>
    <w:rsid w:val="08550F66"/>
    <w:rsid w:val="08550FA8"/>
    <w:rsid w:val="08550FB5"/>
    <w:rsid w:val="0855100F"/>
    <w:rsid w:val="0855105F"/>
    <w:rsid w:val="0855107E"/>
    <w:rsid w:val="085510EE"/>
    <w:rsid w:val="085510F5"/>
    <w:rsid w:val="08551154"/>
    <w:rsid w:val="085511D0"/>
    <w:rsid w:val="08551237"/>
    <w:rsid w:val="085512C7"/>
    <w:rsid w:val="08551432"/>
    <w:rsid w:val="08551440"/>
    <w:rsid w:val="085514B2"/>
    <w:rsid w:val="085514E7"/>
    <w:rsid w:val="08551540"/>
    <w:rsid w:val="085515F2"/>
    <w:rsid w:val="0855163A"/>
    <w:rsid w:val="085516B1"/>
    <w:rsid w:val="08551837"/>
    <w:rsid w:val="085518D1"/>
    <w:rsid w:val="085518FD"/>
    <w:rsid w:val="08551968"/>
    <w:rsid w:val="085519AA"/>
    <w:rsid w:val="085519AC"/>
    <w:rsid w:val="08551A9C"/>
    <w:rsid w:val="08551AAE"/>
    <w:rsid w:val="08551B96"/>
    <w:rsid w:val="08551C27"/>
    <w:rsid w:val="08551C46"/>
    <w:rsid w:val="08551DAB"/>
    <w:rsid w:val="08551DC6"/>
    <w:rsid w:val="08551E2B"/>
    <w:rsid w:val="08551EDB"/>
    <w:rsid w:val="08551F04"/>
    <w:rsid w:val="08551F36"/>
    <w:rsid w:val="08551FF7"/>
    <w:rsid w:val="08552173"/>
    <w:rsid w:val="08552179"/>
    <w:rsid w:val="0855219D"/>
    <w:rsid w:val="085521A8"/>
    <w:rsid w:val="085521B5"/>
    <w:rsid w:val="08552201"/>
    <w:rsid w:val="08552290"/>
    <w:rsid w:val="08552477"/>
    <w:rsid w:val="085524BE"/>
    <w:rsid w:val="08552514"/>
    <w:rsid w:val="0855255A"/>
    <w:rsid w:val="08552560"/>
    <w:rsid w:val="085525DB"/>
    <w:rsid w:val="08552934"/>
    <w:rsid w:val="0855294D"/>
    <w:rsid w:val="08552989"/>
    <w:rsid w:val="085529E7"/>
    <w:rsid w:val="08552AA6"/>
    <w:rsid w:val="08552BEA"/>
    <w:rsid w:val="08552C23"/>
    <w:rsid w:val="08552C3F"/>
    <w:rsid w:val="08552C72"/>
    <w:rsid w:val="08552CD2"/>
    <w:rsid w:val="08552D20"/>
    <w:rsid w:val="08552DE5"/>
    <w:rsid w:val="08552F6D"/>
    <w:rsid w:val="08553003"/>
    <w:rsid w:val="0855302D"/>
    <w:rsid w:val="08553241"/>
    <w:rsid w:val="08553291"/>
    <w:rsid w:val="085532C2"/>
    <w:rsid w:val="08553320"/>
    <w:rsid w:val="08553326"/>
    <w:rsid w:val="08553340"/>
    <w:rsid w:val="08553357"/>
    <w:rsid w:val="08553370"/>
    <w:rsid w:val="08553411"/>
    <w:rsid w:val="08553429"/>
    <w:rsid w:val="085534CE"/>
    <w:rsid w:val="08553568"/>
    <w:rsid w:val="0855359D"/>
    <w:rsid w:val="085535C2"/>
    <w:rsid w:val="08553685"/>
    <w:rsid w:val="0855380E"/>
    <w:rsid w:val="08553811"/>
    <w:rsid w:val="08553815"/>
    <w:rsid w:val="0855382C"/>
    <w:rsid w:val="08553889"/>
    <w:rsid w:val="0855393F"/>
    <w:rsid w:val="085539CC"/>
    <w:rsid w:val="08553AA6"/>
    <w:rsid w:val="08553AE0"/>
    <w:rsid w:val="08553B34"/>
    <w:rsid w:val="08553B7B"/>
    <w:rsid w:val="08553BCC"/>
    <w:rsid w:val="08553C00"/>
    <w:rsid w:val="08553C83"/>
    <w:rsid w:val="08553D56"/>
    <w:rsid w:val="08553DA5"/>
    <w:rsid w:val="08553DB7"/>
    <w:rsid w:val="08553E1C"/>
    <w:rsid w:val="08553E27"/>
    <w:rsid w:val="08553EDE"/>
    <w:rsid w:val="08553F19"/>
    <w:rsid w:val="08553F62"/>
    <w:rsid w:val="08553FDE"/>
    <w:rsid w:val="08553FF4"/>
    <w:rsid w:val="08554003"/>
    <w:rsid w:val="08554079"/>
    <w:rsid w:val="08554134"/>
    <w:rsid w:val="08554189"/>
    <w:rsid w:val="085541EC"/>
    <w:rsid w:val="085541F7"/>
    <w:rsid w:val="0855438B"/>
    <w:rsid w:val="085544A1"/>
    <w:rsid w:val="08554536"/>
    <w:rsid w:val="08554625"/>
    <w:rsid w:val="085546FF"/>
    <w:rsid w:val="08554778"/>
    <w:rsid w:val="08554816"/>
    <w:rsid w:val="08554950"/>
    <w:rsid w:val="085549F6"/>
    <w:rsid w:val="08554A66"/>
    <w:rsid w:val="08554B54"/>
    <w:rsid w:val="08554BD3"/>
    <w:rsid w:val="08554C1E"/>
    <w:rsid w:val="08554CA1"/>
    <w:rsid w:val="08554D97"/>
    <w:rsid w:val="08554E7B"/>
    <w:rsid w:val="08554EB3"/>
    <w:rsid w:val="08554F0A"/>
    <w:rsid w:val="08554F20"/>
    <w:rsid w:val="08554F45"/>
    <w:rsid w:val="08554F75"/>
    <w:rsid w:val="085550BD"/>
    <w:rsid w:val="08555159"/>
    <w:rsid w:val="08555187"/>
    <w:rsid w:val="0855527F"/>
    <w:rsid w:val="085552C0"/>
    <w:rsid w:val="085552D0"/>
    <w:rsid w:val="0855536C"/>
    <w:rsid w:val="085553AE"/>
    <w:rsid w:val="08555432"/>
    <w:rsid w:val="08555480"/>
    <w:rsid w:val="08555499"/>
    <w:rsid w:val="085554B0"/>
    <w:rsid w:val="085554D6"/>
    <w:rsid w:val="085554FA"/>
    <w:rsid w:val="08555532"/>
    <w:rsid w:val="0855558F"/>
    <w:rsid w:val="085555B5"/>
    <w:rsid w:val="08555618"/>
    <w:rsid w:val="0855565D"/>
    <w:rsid w:val="08555805"/>
    <w:rsid w:val="08555809"/>
    <w:rsid w:val="08555851"/>
    <w:rsid w:val="08555981"/>
    <w:rsid w:val="08555990"/>
    <w:rsid w:val="08555A0D"/>
    <w:rsid w:val="08555B10"/>
    <w:rsid w:val="08555CDE"/>
    <w:rsid w:val="08555D51"/>
    <w:rsid w:val="08555D69"/>
    <w:rsid w:val="08555D83"/>
    <w:rsid w:val="08555D88"/>
    <w:rsid w:val="08555DB8"/>
    <w:rsid w:val="08555DE8"/>
    <w:rsid w:val="08555DEA"/>
    <w:rsid w:val="08555E08"/>
    <w:rsid w:val="08555F5E"/>
    <w:rsid w:val="085560BC"/>
    <w:rsid w:val="08556131"/>
    <w:rsid w:val="08556283"/>
    <w:rsid w:val="085562A8"/>
    <w:rsid w:val="08556430"/>
    <w:rsid w:val="08556438"/>
    <w:rsid w:val="0855643D"/>
    <w:rsid w:val="08556472"/>
    <w:rsid w:val="08556474"/>
    <w:rsid w:val="085564D1"/>
    <w:rsid w:val="0855657D"/>
    <w:rsid w:val="085565D6"/>
    <w:rsid w:val="085565D7"/>
    <w:rsid w:val="08556682"/>
    <w:rsid w:val="08556706"/>
    <w:rsid w:val="0855676C"/>
    <w:rsid w:val="0855684C"/>
    <w:rsid w:val="085568A0"/>
    <w:rsid w:val="085568F0"/>
    <w:rsid w:val="08556915"/>
    <w:rsid w:val="08556925"/>
    <w:rsid w:val="0855694A"/>
    <w:rsid w:val="085569A9"/>
    <w:rsid w:val="08556A63"/>
    <w:rsid w:val="08556A9C"/>
    <w:rsid w:val="08556AB6"/>
    <w:rsid w:val="08556B42"/>
    <w:rsid w:val="08556CFF"/>
    <w:rsid w:val="08556D18"/>
    <w:rsid w:val="08556D93"/>
    <w:rsid w:val="08556E0F"/>
    <w:rsid w:val="08556E64"/>
    <w:rsid w:val="08556F12"/>
    <w:rsid w:val="08556F5F"/>
    <w:rsid w:val="08556FAA"/>
    <w:rsid w:val="08556FDF"/>
    <w:rsid w:val="08557006"/>
    <w:rsid w:val="085570CE"/>
    <w:rsid w:val="08557123"/>
    <w:rsid w:val="08557139"/>
    <w:rsid w:val="0855713A"/>
    <w:rsid w:val="08557156"/>
    <w:rsid w:val="08557181"/>
    <w:rsid w:val="085572A8"/>
    <w:rsid w:val="08557359"/>
    <w:rsid w:val="0855739A"/>
    <w:rsid w:val="085573A3"/>
    <w:rsid w:val="0855740D"/>
    <w:rsid w:val="08557427"/>
    <w:rsid w:val="0855743E"/>
    <w:rsid w:val="0855744A"/>
    <w:rsid w:val="0855745D"/>
    <w:rsid w:val="08557471"/>
    <w:rsid w:val="08557472"/>
    <w:rsid w:val="085574E3"/>
    <w:rsid w:val="08557514"/>
    <w:rsid w:val="0855758E"/>
    <w:rsid w:val="085575C4"/>
    <w:rsid w:val="0855761B"/>
    <w:rsid w:val="0855768D"/>
    <w:rsid w:val="0855769A"/>
    <w:rsid w:val="0855771F"/>
    <w:rsid w:val="08557807"/>
    <w:rsid w:val="0855788A"/>
    <w:rsid w:val="08557973"/>
    <w:rsid w:val="08557A95"/>
    <w:rsid w:val="08557A97"/>
    <w:rsid w:val="08557B86"/>
    <w:rsid w:val="08557BB7"/>
    <w:rsid w:val="08557C59"/>
    <w:rsid w:val="08557C7C"/>
    <w:rsid w:val="08557D15"/>
    <w:rsid w:val="08557D17"/>
    <w:rsid w:val="08557D34"/>
    <w:rsid w:val="08557D4E"/>
    <w:rsid w:val="08557EAF"/>
    <w:rsid w:val="08557EC2"/>
    <w:rsid w:val="08560000"/>
    <w:rsid w:val="0856001A"/>
    <w:rsid w:val="085600B6"/>
    <w:rsid w:val="0856014B"/>
    <w:rsid w:val="08560205"/>
    <w:rsid w:val="0856026C"/>
    <w:rsid w:val="085602C3"/>
    <w:rsid w:val="085602C4"/>
    <w:rsid w:val="085602D8"/>
    <w:rsid w:val="085602FD"/>
    <w:rsid w:val="0856031D"/>
    <w:rsid w:val="085603AB"/>
    <w:rsid w:val="08560405"/>
    <w:rsid w:val="08560420"/>
    <w:rsid w:val="08560488"/>
    <w:rsid w:val="085604B9"/>
    <w:rsid w:val="08560517"/>
    <w:rsid w:val="085605A5"/>
    <w:rsid w:val="085605E2"/>
    <w:rsid w:val="0856064F"/>
    <w:rsid w:val="0856065D"/>
    <w:rsid w:val="085607FE"/>
    <w:rsid w:val="085608DA"/>
    <w:rsid w:val="0856090A"/>
    <w:rsid w:val="08560916"/>
    <w:rsid w:val="0856091C"/>
    <w:rsid w:val="08560922"/>
    <w:rsid w:val="08560A01"/>
    <w:rsid w:val="08560A30"/>
    <w:rsid w:val="08560AD8"/>
    <w:rsid w:val="08560DD4"/>
    <w:rsid w:val="08560E1C"/>
    <w:rsid w:val="08560E7F"/>
    <w:rsid w:val="08560F40"/>
    <w:rsid w:val="08560FE4"/>
    <w:rsid w:val="08561019"/>
    <w:rsid w:val="08561082"/>
    <w:rsid w:val="085610EE"/>
    <w:rsid w:val="0856111B"/>
    <w:rsid w:val="0856114C"/>
    <w:rsid w:val="08561153"/>
    <w:rsid w:val="08561169"/>
    <w:rsid w:val="08561195"/>
    <w:rsid w:val="085611BE"/>
    <w:rsid w:val="085611C0"/>
    <w:rsid w:val="0856132F"/>
    <w:rsid w:val="0856138E"/>
    <w:rsid w:val="085613C8"/>
    <w:rsid w:val="085614BC"/>
    <w:rsid w:val="0856154E"/>
    <w:rsid w:val="085615CF"/>
    <w:rsid w:val="085615E1"/>
    <w:rsid w:val="08561607"/>
    <w:rsid w:val="0856166E"/>
    <w:rsid w:val="085616C1"/>
    <w:rsid w:val="08561722"/>
    <w:rsid w:val="08561786"/>
    <w:rsid w:val="085617D4"/>
    <w:rsid w:val="0856182C"/>
    <w:rsid w:val="085618CE"/>
    <w:rsid w:val="085618FB"/>
    <w:rsid w:val="08561920"/>
    <w:rsid w:val="085619EB"/>
    <w:rsid w:val="08561A18"/>
    <w:rsid w:val="08561A28"/>
    <w:rsid w:val="08561ABA"/>
    <w:rsid w:val="08561AD1"/>
    <w:rsid w:val="08561B50"/>
    <w:rsid w:val="08561B66"/>
    <w:rsid w:val="08561C00"/>
    <w:rsid w:val="08561C37"/>
    <w:rsid w:val="08561D8F"/>
    <w:rsid w:val="08561E06"/>
    <w:rsid w:val="08561EB3"/>
    <w:rsid w:val="08561EB9"/>
    <w:rsid w:val="08561ED8"/>
    <w:rsid w:val="08561F45"/>
    <w:rsid w:val="08561F4A"/>
    <w:rsid w:val="08561F9C"/>
    <w:rsid w:val="08562180"/>
    <w:rsid w:val="0856220B"/>
    <w:rsid w:val="08562251"/>
    <w:rsid w:val="08562299"/>
    <w:rsid w:val="085622F6"/>
    <w:rsid w:val="085623A9"/>
    <w:rsid w:val="08562521"/>
    <w:rsid w:val="085625CE"/>
    <w:rsid w:val="08562631"/>
    <w:rsid w:val="08562634"/>
    <w:rsid w:val="085626C6"/>
    <w:rsid w:val="08562799"/>
    <w:rsid w:val="08562867"/>
    <w:rsid w:val="0856290D"/>
    <w:rsid w:val="085629F6"/>
    <w:rsid w:val="08562AAA"/>
    <w:rsid w:val="08562AEB"/>
    <w:rsid w:val="08562B60"/>
    <w:rsid w:val="08562B90"/>
    <w:rsid w:val="08562BA5"/>
    <w:rsid w:val="08562C60"/>
    <w:rsid w:val="08562C7C"/>
    <w:rsid w:val="08562C9E"/>
    <w:rsid w:val="08562CEB"/>
    <w:rsid w:val="08562DDC"/>
    <w:rsid w:val="08562E3E"/>
    <w:rsid w:val="08562E6A"/>
    <w:rsid w:val="08562EC2"/>
    <w:rsid w:val="08562EC8"/>
    <w:rsid w:val="08562EEB"/>
    <w:rsid w:val="08562F02"/>
    <w:rsid w:val="08562F05"/>
    <w:rsid w:val="0856301E"/>
    <w:rsid w:val="08563187"/>
    <w:rsid w:val="08563203"/>
    <w:rsid w:val="085632EC"/>
    <w:rsid w:val="08563310"/>
    <w:rsid w:val="08563343"/>
    <w:rsid w:val="08563357"/>
    <w:rsid w:val="08563366"/>
    <w:rsid w:val="0856338D"/>
    <w:rsid w:val="08563434"/>
    <w:rsid w:val="0856345A"/>
    <w:rsid w:val="0856361E"/>
    <w:rsid w:val="08563661"/>
    <w:rsid w:val="08563667"/>
    <w:rsid w:val="085636E1"/>
    <w:rsid w:val="08563732"/>
    <w:rsid w:val="08563781"/>
    <w:rsid w:val="085637DA"/>
    <w:rsid w:val="085637FF"/>
    <w:rsid w:val="08563845"/>
    <w:rsid w:val="08563A44"/>
    <w:rsid w:val="08563D79"/>
    <w:rsid w:val="08563E36"/>
    <w:rsid w:val="08563FBF"/>
    <w:rsid w:val="08563FED"/>
    <w:rsid w:val="0856403A"/>
    <w:rsid w:val="085640F6"/>
    <w:rsid w:val="08564100"/>
    <w:rsid w:val="085641BE"/>
    <w:rsid w:val="085641E8"/>
    <w:rsid w:val="085642AE"/>
    <w:rsid w:val="08564301"/>
    <w:rsid w:val="08564305"/>
    <w:rsid w:val="08564334"/>
    <w:rsid w:val="0856433D"/>
    <w:rsid w:val="085643AA"/>
    <w:rsid w:val="08564420"/>
    <w:rsid w:val="08564564"/>
    <w:rsid w:val="08564566"/>
    <w:rsid w:val="08564581"/>
    <w:rsid w:val="085645D6"/>
    <w:rsid w:val="0856479F"/>
    <w:rsid w:val="0856491C"/>
    <w:rsid w:val="0856492C"/>
    <w:rsid w:val="0856496A"/>
    <w:rsid w:val="085649C1"/>
    <w:rsid w:val="085649C5"/>
    <w:rsid w:val="08564A53"/>
    <w:rsid w:val="08564B7D"/>
    <w:rsid w:val="08564B8F"/>
    <w:rsid w:val="08564C1D"/>
    <w:rsid w:val="08564CD9"/>
    <w:rsid w:val="08564D3F"/>
    <w:rsid w:val="08564DE6"/>
    <w:rsid w:val="08564E00"/>
    <w:rsid w:val="08564E37"/>
    <w:rsid w:val="08564EE9"/>
    <w:rsid w:val="08564F84"/>
    <w:rsid w:val="08564FFB"/>
    <w:rsid w:val="08565002"/>
    <w:rsid w:val="085650F6"/>
    <w:rsid w:val="08565238"/>
    <w:rsid w:val="08565301"/>
    <w:rsid w:val="08565404"/>
    <w:rsid w:val="0856541D"/>
    <w:rsid w:val="0856544D"/>
    <w:rsid w:val="08565506"/>
    <w:rsid w:val="08565568"/>
    <w:rsid w:val="085655B6"/>
    <w:rsid w:val="085655DE"/>
    <w:rsid w:val="085655F1"/>
    <w:rsid w:val="085656BA"/>
    <w:rsid w:val="08565714"/>
    <w:rsid w:val="08565756"/>
    <w:rsid w:val="085657C4"/>
    <w:rsid w:val="085657D5"/>
    <w:rsid w:val="08565845"/>
    <w:rsid w:val="08565979"/>
    <w:rsid w:val="0856598F"/>
    <w:rsid w:val="08565A22"/>
    <w:rsid w:val="08565A3C"/>
    <w:rsid w:val="08565AC7"/>
    <w:rsid w:val="08565AED"/>
    <w:rsid w:val="08565B37"/>
    <w:rsid w:val="08565BC2"/>
    <w:rsid w:val="08565C4A"/>
    <w:rsid w:val="08565D35"/>
    <w:rsid w:val="08565DD4"/>
    <w:rsid w:val="08565DE5"/>
    <w:rsid w:val="08565E4C"/>
    <w:rsid w:val="08565E93"/>
    <w:rsid w:val="08565EB3"/>
    <w:rsid w:val="08565F53"/>
    <w:rsid w:val="08565FF7"/>
    <w:rsid w:val="08565FFE"/>
    <w:rsid w:val="0856602B"/>
    <w:rsid w:val="08566031"/>
    <w:rsid w:val="08566051"/>
    <w:rsid w:val="0856626D"/>
    <w:rsid w:val="08566290"/>
    <w:rsid w:val="085662C0"/>
    <w:rsid w:val="08566312"/>
    <w:rsid w:val="08566313"/>
    <w:rsid w:val="08566324"/>
    <w:rsid w:val="08566327"/>
    <w:rsid w:val="0856633E"/>
    <w:rsid w:val="08566370"/>
    <w:rsid w:val="08566374"/>
    <w:rsid w:val="085663E3"/>
    <w:rsid w:val="085664C2"/>
    <w:rsid w:val="0856651E"/>
    <w:rsid w:val="085665AA"/>
    <w:rsid w:val="085665B8"/>
    <w:rsid w:val="085665E6"/>
    <w:rsid w:val="0856663D"/>
    <w:rsid w:val="0856674F"/>
    <w:rsid w:val="085668A6"/>
    <w:rsid w:val="085668AD"/>
    <w:rsid w:val="085668EA"/>
    <w:rsid w:val="08566938"/>
    <w:rsid w:val="08566965"/>
    <w:rsid w:val="08566997"/>
    <w:rsid w:val="08566A2B"/>
    <w:rsid w:val="08566B71"/>
    <w:rsid w:val="08566B93"/>
    <w:rsid w:val="08566C3E"/>
    <w:rsid w:val="08566C4F"/>
    <w:rsid w:val="08566C55"/>
    <w:rsid w:val="08566CE0"/>
    <w:rsid w:val="08566D41"/>
    <w:rsid w:val="08566D43"/>
    <w:rsid w:val="08566EBF"/>
    <w:rsid w:val="08567015"/>
    <w:rsid w:val="08567062"/>
    <w:rsid w:val="085671D4"/>
    <w:rsid w:val="085672F3"/>
    <w:rsid w:val="0856739A"/>
    <w:rsid w:val="085673CD"/>
    <w:rsid w:val="08567489"/>
    <w:rsid w:val="08567529"/>
    <w:rsid w:val="08567578"/>
    <w:rsid w:val="0856758C"/>
    <w:rsid w:val="085675AB"/>
    <w:rsid w:val="085675C8"/>
    <w:rsid w:val="085675E6"/>
    <w:rsid w:val="08567607"/>
    <w:rsid w:val="085676A4"/>
    <w:rsid w:val="085676B7"/>
    <w:rsid w:val="08567773"/>
    <w:rsid w:val="0856779D"/>
    <w:rsid w:val="0856783D"/>
    <w:rsid w:val="085678B1"/>
    <w:rsid w:val="08567932"/>
    <w:rsid w:val="08567A25"/>
    <w:rsid w:val="08567A37"/>
    <w:rsid w:val="08567AAC"/>
    <w:rsid w:val="08567B6B"/>
    <w:rsid w:val="08567B75"/>
    <w:rsid w:val="08567BF6"/>
    <w:rsid w:val="08567C63"/>
    <w:rsid w:val="08567CB1"/>
    <w:rsid w:val="08567D1B"/>
    <w:rsid w:val="08567DC3"/>
    <w:rsid w:val="08567DCD"/>
    <w:rsid w:val="08567EA6"/>
    <w:rsid w:val="08567F27"/>
    <w:rsid w:val="08567F28"/>
    <w:rsid w:val="08567F60"/>
    <w:rsid w:val="08567FA6"/>
    <w:rsid w:val="08567FC5"/>
    <w:rsid w:val="08567FEC"/>
    <w:rsid w:val="08570008"/>
    <w:rsid w:val="08570060"/>
    <w:rsid w:val="08570068"/>
    <w:rsid w:val="0857015E"/>
    <w:rsid w:val="085701BB"/>
    <w:rsid w:val="0857024A"/>
    <w:rsid w:val="085702BF"/>
    <w:rsid w:val="0857033B"/>
    <w:rsid w:val="08570380"/>
    <w:rsid w:val="08570415"/>
    <w:rsid w:val="085705CD"/>
    <w:rsid w:val="08570636"/>
    <w:rsid w:val="0857069C"/>
    <w:rsid w:val="085706E9"/>
    <w:rsid w:val="0857072A"/>
    <w:rsid w:val="08570734"/>
    <w:rsid w:val="08570898"/>
    <w:rsid w:val="08570927"/>
    <w:rsid w:val="08570979"/>
    <w:rsid w:val="085709BA"/>
    <w:rsid w:val="08570A14"/>
    <w:rsid w:val="08570C44"/>
    <w:rsid w:val="08570D40"/>
    <w:rsid w:val="08570E48"/>
    <w:rsid w:val="08570EAD"/>
    <w:rsid w:val="08570EEE"/>
    <w:rsid w:val="08570FC7"/>
    <w:rsid w:val="08571050"/>
    <w:rsid w:val="08571064"/>
    <w:rsid w:val="085710E7"/>
    <w:rsid w:val="08571102"/>
    <w:rsid w:val="0857131A"/>
    <w:rsid w:val="08571366"/>
    <w:rsid w:val="08571421"/>
    <w:rsid w:val="085714EC"/>
    <w:rsid w:val="08571585"/>
    <w:rsid w:val="08571593"/>
    <w:rsid w:val="085716EA"/>
    <w:rsid w:val="085716F5"/>
    <w:rsid w:val="0857177D"/>
    <w:rsid w:val="085717F2"/>
    <w:rsid w:val="08571962"/>
    <w:rsid w:val="0857199A"/>
    <w:rsid w:val="085719C5"/>
    <w:rsid w:val="085719FF"/>
    <w:rsid w:val="08571AA2"/>
    <w:rsid w:val="08571B17"/>
    <w:rsid w:val="08571B94"/>
    <w:rsid w:val="08571BBA"/>
    <w:rsid w:val="08571CA1"/>
    <w:rsid w:val="08571CDB"/>
    <w:rsid w:val="08571D07"/>
    <w:rsid w:val="08571D2F"/>
    <w:rsid w:val="08571D3B"/>
    <w:rsid w:val="08571E0D"/>
    <w:rsid w:val="08571ED4"/>
    <w:rsid w:val="08572026"/>
    <w:rsid w:val="0857205C"/>
    <w:rsid w:val="085720CB"/>
    <w:rsid w:val="085720EE"/>
    <w:rsid w:val="085720F6"/>
    <w:rsid w:val="0857212D"/>
    <w:rsid w:val="0857214A"/>
    <w:rsid w:val="085721A2"/>
    <w:rsid w:val="08572224"/>
    <w:rsid w:val="085722B3"/>
    <w:rsid w:val="085723A0"/>
    <w:rsid w:val="085723E5"/>
    <w:rsid w:val="08572440"/>
    <w:rsid w:val="08572479"/>
    <w:rsid w:val="0857252D"/>
    <w:rsid w:val="0857259E"/>
    <w:rsid w:val="085725D7"/>
    <w:rsid w:val="085725E4"/>
    <w:rsid w:val="08572626"/>
    <w:rsid w:val="085726C5"/>
    <w:rsid w:val="0857274B"/>
    <w:rsid w:val="085727C3"/>
    <w:rsid w:val="0857287A"/>
    <w:rsid w:val="085728AF"/>
    <w:rsid w:val="085728FE"/>
    <w:rsid w:val="08572964"/>
    <w:rsid w:val="08572A08"/>
    <w:rsid w:val="08572A5C"/>
    <w:rsid w:val="08572A8D"/>
    <w:rsid w:val="08572B4C"/>
    <w:rsid w:val="08572BB2"/>
    <w:rsid w:val="08572BF4"/>
    <w:rsid w:val="08572C53"/>
    <w:rsid w:val="08572C79"/>
    <w:rsid w:val="08572D2C"/>
    <w:rsid w:val="08572D6F"/>
    <w:rsid w:val="08572DB1"/>
    <w:rsid w:val="08572DB3"/>
    <w:rsid w:val="08572E9D"/>
    <w:rsid w:val="08572EE9"/>
    <w:rsid w:val="08572F64"/>
    <w:rsid w:val="0857303B"/>
    <w:rsid w:val="0857305D"/>
    <w:rsid w:val="08573143"/>
    <w:rsid w:val="0857316A"/>
    <w:rsid w:val="08573177"/>
    <w:rsid w:val="0857317D"/>
    <w:rsid w:val="085731AF"/>
    <w:rsid w:val="085731C6"/>
    <w:rsid w:val="085731D6"/>
    <w:rsid w:val="085731F0"/>
    <w:rsid w:val="085732D2"/>
    <w:rsid w:val="085732F7"/>
    <w:rsid w:val="0857331C"/>
    <w:rsid w:val="08573404"/>
    <w:rsid w:val="0857346C"/>
    <w:rsid w:val="085734BB"/>
    <w:rsid w:val="085734EF"/>
    <w:rsid w:val="08573623"/>
    <w:rsid w:val="085736D9"/>
    <w:rsid w:val="085736EE"/>
    <w:rsid w:val="08573710"/>
    <w:rsid w:val="08573737"/>
    <w:rsid w:val="08573744"/>
    <w:rsid w:val="085737E8"/>
    <w:rsid w:val="0857382D"/>
    <w:rsid w:val="08573842"/>
    <w:rsid w:val="0857386B"/>
    <w:rsid w:val="0857386C"/>
    <w:rsid w:val="0857386E"/>
    <w:rsid w:val="085738B8"/>
    <w:rsid w:val="08573918"/>
    <w:rsid w:val="08573957"/>
    <w:rsid w:val="08573A73"/>
    <w:rsid w:val="08573A81"/>
    <w:rsid w:val="08573B03"/>
    <w:rsid w:val="08573B27"/>
    <w:rsid w:val="08573C1A"/>
    <w:rsid w:val="08573CF7"/>
    <w:rsid w:val="08573D02"/>
    <w:rsid w:val="08573D17"/>
    <w:rsid w:val="08573D92"/>
    <w:rsid w:val="08573DF5"/>
    <w:rsid w:val="08573E15"/>
    <w:rsid w:val="08573F01"/>
    <w:rsid w:val="08573F9E"/>
    <w:rsid w:val="08573FA0"/>
    <w:rsid w:val="08573FD7"/>
    <w:rsid w:val="085740BA"/>
    <w:rsid w:val="085741AC"/>
    <w:rsid w:val="085741FD"/>
    <w:rsid w:val="0857427F"/>
    <w:rsid w:val="08574293"/>
    <w:rsid w:val="0857429C"/>
    <w:rsid w:val="08574419"/>
    <w:rsid w:val="08574425"/>
    <w:rsid w:val="08574470"/>
    <w:rsid w:val="085744DA"/>
    <w:rsid w:val="085744F6"/>
    <w:rsid w:val="08574574"/>
    <w:rsid w:val="085745FA"/>
    <w:rsid w:val="0857465C"/>
    <w:rsid w:val="0857466C"/>
    <w:rsid w:val="085746B4"/>
    <w:rsid w:val="0857471C"/>
    <w:rsid w:val="08574747"/>
    <w:rsid w:val="085747D4"/>
    <w:rsid w:val="085748B6"/>
    <w:rsid w:val="08574925"/>
    <w:rsid w:val="085749E6"/>
    <w:rsid w:val="08574A20"/>
    <w:rsid w:val="08574A64"/>
    <w:rsid w:val="08574A8C"/>
    <w:rsid w:val="08574C7A"/>
    <w:rsid w:val="08574CBB"/>
    <w:rsid w:val="08574D4A"/>
    <w:rsid w:val="08574DD9"/>
    <w:rsid w:val="08574E21"/>
    <w:rsid w:val="08574E30"/>
    <w:rsid w:val="08574E66"/>
    <w:rsid w:val="08574E98"/>
    <w:rsid w:val="08574F1C"/>
    <w:rsid w:val="08574F99"/>
    <w:rsid w:val="08574FA5"/>
    <w:rsid w:val="0857501A"/>
    <w:rsid w:val="08575139"/>
    <w:rsid w:val="0857515C"/>
    <w:rsid w:val="08575169"/>
    <w:rsid w:val="085751A7"/>
    <w:rsid w:val="085751D1"/>
    <w:rsid w:val="085752FA"/>
    <w:rsid w:val="08575338"/>
    <w:rsid w:val="08575356"/>
    <w:rsid w:val="08575363"/>
    <w:rsid w:val="08575419"/>
    <w:rsid w:val="08575594"/>
    <w:rsid w:val="085755EE"/>
    <w:rsid w:val="085755F4"/>
    <w:rsid w:val="08575631"/>
    <w:rsid w:val="085756DE"/>
    <w:rsid w:val="08575781"/>
    <w:rsid w:val="08575841"/>
    <w:rsid w:val="085759A9"/>
    <w:rsid w:val="085759D2"/>
    <w:rsid w:val="085759E1"/>
    <w:rsid w:val="08575A6D"/>
    <w:rsid w:val="08575B09"/>
    <w:rsid w:val="08575B8B"/>
    <w:rsid w:val="08575C35"/>
    <w:rsid w:val="08575C93"/>
    <w:rsid w:val="08575D88"/>
    <w:rsid w:val="08575DB1"/>
    <w:rsid w:val="08575DC3"/>
    <w:rsid w:val="08575DF4"/>
    <w:rsid w:val="08575E86"/>
    <w:rsid w:val="08575E95"/>
    <w:rsid w:val="08575FF2"/>
    <w:rsid w:val="08575FF3"/>
    <w:rsid w:val="08576033"/>
    <w:rsid w:val="085760C9"/>
    <w:rsid w:val="08576139"/>
    <w:rsid w:val="08576147"/>
    <w:rsid w:val="085761EF"/>
    <w:rsid w:val="08576286"/>
    <w:rsid w:val="085762C4"/>
    <w:rsid w:val="0857639A"/>
    <w:rsid w:val="085763DD"/>
    <w:rsid w:val="08576431"/>
    <w:rsid w:val="0857648E"/>
    <w:rsid w:val="08576611"/>
    <w:rsid w:val="08576662"/>
    <w:rsid w:val="08576722"/>
    <w:rsid w:val="0857672C"/>
    <w:rsid w:val="085767DF"/>
    <w:rsid w:val="085768C7"/>
    <w:rsid w:val="085769B1"/>
    <w:rsid w:val="08576A02"/>
    <w:rsid w:val="08576A33"/>
    <w:rsid w:val="08576A4E"/>
    <w:rsid w:val="08576AC2"/>
    <w:rsid w:val="08576B52"/>
    <w:rsid w:val="08576B6D"/>
    <w:rsid w:val="08576B99"/>
    <w:rsid w:val="08576BED"/>
    <w:rsid w:val="08576C3F"/>
    <w:rsid w:val="08576C74"/>
    <w:rsid w:val="08576D03"/>
    <w:rsid w:val="08576D46"/>
    <w:rsid w:val="08576D63"/>
    <w:rsid w:val="08576E57"/>
    <w:rsid w:val="08576EC1"/>
    <w:rsid w:val="08576EC5"/>
    <w:rsid w:val="08576F0F"/>
    <w:rsid w:val="08576F40"/>
    <w:rsid w:val="0857704D"/>
    <w:rsid w:val="08577055"/>
    <w:rsid w:val="0857711A"/>
    <w:rsid w:val="0857716F"/>
    <w:rsid w:val="085771D6"/>
    <w:rsid w:val="085771F0"/>
    <w:rsid w:val="08577218"/>
    <w:rsid w:val="08577270"/>
    <w:rsid w:val="085772D5"/>
    <w:rsid w:val="08577322"/>
    <w:rsid w:val="085773CC"/>
    <w:rsid w:val="08577419"/>
    <w:rsid w:val="0857746F"/>
    <w:rsid w:val="0857747C"/>
    <w:rsid w:val="0857750B"/>
    <w:rsid w:val="0857751B"/>
    <w:rsid w:val="08577593"/>
    <w:rsid w:val="0857760F"/>
    <w:rsid w:val="08577640"/>
    <w:rsid w:val="08577646"/>
    <w:rsid w:val="08577748"/>
    <w:rsid w:val="085778A2"/>
    <w:rsid w:val="085779B2"/>
    <w:rsid w:val="085779CD"/>
    <w:rsid w:val="08577A85"/>
    <w:rsid w:val="08577AEE"/>
    <w:rsid w:val="08577B87"/>
    <w:rsid w:val="08577C4E"/>
    <w:rsid w:val="08577D3B"/>
    <w:rsid w:val="08577D63"/>
    <w:rsid w:val="08577E24"/>
    <w:rsid w:val="08577E55"/>
    <w:rsid w:val="08577EE3"/>
    <w:rsid w:val="08577F3A"/>
    <w:rsid w:val="08577FAD"/>
    <w:rsid w:val="08580048"/>
    <w:rsid w:val="0858005F"/>
    <w:rsid w:val="0858008E"/>
    <w:rsid w:val="085800C6"/>
    <w:rsid w:val="08580180"/>
    <w:rsid w:val="08580191"/>
    <w:rsid w:val="085801D6"/>
    <w:rsid w:val="085801E6"/>
    <w:rsid w:val="0858029A"/>
    <w:rsid w:val="085802C5"/>
    <w:rsid w:val="085802E3"/>
    <w:rsid w:val="0858032A"/>
    <w:rsid w:val="0858039D"/>
    <w:rsid w:val="085803FF"/>
    <w:rsid w:val="085804EB"/>
    <w:rsid w:val="0858053A"/>
    <w:rsid w:val="08580653"/>
    <w:rsid w:val="0858078C"/>
    <w:rsid w:val="0858079C"/>
    <w:rsid w:val="085807D8"/>
    <w:rsid w:val="085807FB"/>
    <w:rsid w:val="08580892"/>
    <w:rsid w:val="0858089E"/>
    <w:rsid w:val="085808C6"/>
    <w:rsid w:val="085808F5"/>
    <w:rsid w:val="08580958"/>
    <w:rsid w:val="08580971"/>
    <w:rsid w:val="085809E9"/>
    <w:rsid w:val="08580A7E"/>
    <w:rsid w:val="08580AAE"/>
    <w:rsid w:val="08580BC7"/>
    <w:rsid w:val="08580BD7"/>
    <w:rsid w:val="08580C12"/>
    <w:rsid w:val="08580C82"/>
    <w:rsid w:val="08580D18"/>
    <w:rsid w:val="08580D1F"/>
    <w:rsid w:val="08580D6B"/>
    <w:rsid w:val="08580F40"/>
    <w:rsid w:val="08580FC0"/>
    <w:rsid w:val="08580FC1"/>
    <w:rsid w:val="0858102A"/>
    <w:rsid w:val="08581130"/>
    <w:rsid w:val="0858113C"/>
    <w:rsid w:val="0858113E"/>
    <w:rsid w:val="085811B7"/>
    <w:rsid w:val="085811D3"/>
    <w:rsid w:val="08581234"/>
    <w:rsid w:val="08581252"/>
    <w:rsid w:val="0858126B"/>
    <w:rsid w:val="08581371"/>
    <w:rsid w:val="0858138F"/>
    <w:rsid w:val="0858147D"/>
    <w:rsid w:val="0858150D"/>
    <w:rsid w:val="08581524"/>
    <w:rsid w:val="08581561"/>
    <w:rsid w:val="0858157C"/>
    <w:rsid w:val="0858159F"/>
    <w:rsid w:val="085816A0"/>
    <w:rsid w:val="08581795"/>
    <w:rsid w:val="085817C5"/>
    <w:rsid w:val="08581840"/>
    <w:rsid w:val="085818C8"/>
    <w:rsid w:val="085818E0"/>
    <w:rsid w:val="085818E7"/>
    <w:rsid w:val="08581922"/>
    <w:rsid w:val="085819EE"/>
    <w:rsid w:val="08581AE4"/>
    <w:rsid w:val="08581B41"/>
    <w:rsid w:val="08581B72"/>
    <w:rsid w:val="08581B8C"/>
    <w:rsid w:val="08581CE7"/>
    <w:rsid w:val="08581DAA"/>
    <w:rsid w:val="08581E57"/>
    <w:rsid w:val="08581E79"/>
    <w:rsid w:val="08581EDA"/>
    <w:rsid w:val="08582054"/>
    <w:rsid w:val="08582055"/>
    <w:rsid w:val="0858205E"/>
    <w:rsid w:val="08582073"/>
    <w:rsid w:val="085821A8"/>
    <w:rsid w:val="08582247"/>
    <w:rsid w:val="08582316"/>
    <w:rsid w:val="08582338"/>
    <w:rsid w:val="085823A1"/>
    <w:rsid w:val="085823F0"/>
    <w:rsid w:val="085823FA"/>
    <w:rsid w:val="085825F9"/>
    <w:rsid w:val="08582613"/>
    <w:rsid w:val="08582649"/>
    <w:rsid w:val="08582677"/>
    <w:rsid w:val="0858268F"/>
    <w:rsid w:val="08582744"/>
    <w:rsid w:val="085827AC"/>
    <w:rsid w:val="085827C1"/>
    <w:rsid w:val="085827FA"/>
    <w:rsid w:val="085828C6"/>
    <w:rsid w:val="08582988"/>
    <w:rsid w:val="08582AAC"/>
    <w:rsid w:val="08582AEE"/>
    <w:rsid w:val="08582B08"/>
    <w:rsid w:val="08582B4C"/>
    <w:rsid w:val="08582B8F"/>
    <w:rsid w:val="08582C02"/>
    <w:rsid w:val="08582CC3"/>
    <w:rsid w:val="08582D64"/>
    <w:rsid w:val="08582DF1"/>
    <w:rsid w:val="08582DFF"/>
    <w:rsid w:val="08582EA3"/>
    <w:rsid w:val="08582EB7"/>
    <w:rsid w:val="08582FFA"/>
    <w:rsid w:val="08583078"/>
    <w:rsid w:val="08583098"/>
    <w:rsid w:val="08583106"/>
    <w:rsid w:val="085832EF"/>
    <w:rsid w:val="0858352B"/>
    <w:rsid w:val="08583631"/>
    <w:rsid w:val="0858363E"/>
    <w:rsid w:val="08583657"/>
    <w:rsid w:val="085836A5"/>
    <w:rsid w:val="08583704"/>
    <w:rsid w:val="085838B6"/>
    <w:rsid w:val="085838B8"/>
    <w:rsid w:val="08583925"/>
    <w:rsid w:val="08583966"/>
    <w:rsid w:val="08583B0E"/>
    <w:rsid w:val="08583B11"/>
    <w:rsid w:val="08583B12"/>
    <w:rsid w:val="08583C70"/>
    <w:rsid w:val="08583CE9"/>
    <w:rsid w:val="08583D21"/>
    <w:rsid w:val="08583D83"/>
    <w:rsid w:val="08583DA6"/>
    <w:rsid w:val="08583DD9"/>
    <w:rsid w:val="08583E90"/>
    <w:rsid w:val="0858407B"/>
    <w:rsid w:val="0858409C"/>
    <w:rsid w:val="0858417E"/>
    <w:rsid w:val="08584335"/>
    <w:rsid w:val="08584346"/>
    <w:rsid w:val="085843BF"/>
    <w:rsid w:val="085845E2"/>
    <w:rsid w:val="0858463F"/>
    <w:rsid w:val="085846A3"/>
    <w:rsid w:val="08584771"/>
    <w:rsid w:val="085848DF"/>
    <w:rsid w:val="08584963"/>
    <w:rsid w:val="08584A52"/>
    <w:rsid w:val="08584A57"/>
    <w:rsid w:val="08584C72"/>
    <w:rsid w:val="08584D40"/>
    <w:rsid w:val="08584D46"/>
    <w:rsid w:val="08584E16"/>
    <w:rsid w:val="08584F25"/>
    <w:rsid w:val="08584F29"/>
    <w:rsid w:val="08584F34"/>
    <w:rsid w:val="08584F42"/>
    <w:rsid w:val="08584FB5"/>
    <w:rsid w:val="08585112"/>
    <w:rsid w:val="0858513A"/>
    <w:rsid w:val="085851D7"/>
    <w:rsid w:val="08585381"/>
    <w:rsid w:val="0858539E"/>
    <w:rsid w:val="085853BF"/>
    <w:rsid w:val="085854A9"/>
    <w:rsid w:val="085855DD"/>
    <w:rsid w:val="08585668"/>
    <w:rsid w:val="085856EF"/>
    <w:rsid w:val="085856FB"/>
    <w:rsid w:val="0858573F"/>
    <w:rsid w:val="08585781"/>
    <w:rsid w:val="085858D3"/>
    <w:rsid w:val="085858E5"/>
    <w:rsid w:val="0858593B"/>
    <w:rsid w:val="08585958"/>
    <w:rsid w:val="0858595D"/>
    <w:rsid w:val="08585A01"/>
    <w:rsid w:val="08585A32"/>
    <w:rsid w:val="08585B35"/>
    <w:rsid w:val="08585B56"/>
    <w:rsid w:val="08585B57"/>
    <w:rsid w:val="08585B5D"/>
    <w:rsid w:val="08585B5F"/>
    <w:rsid w:val="08585C80"/>
    <w:rsid w:val="08585CA4"/>
    <w:rsid w:val="08585D03"/>
    <w:rsid w:val="08585DC0"/>
    <w:rsid w:val="08585DCE"/>
    <w:rsid w:val="08585F44"/>
    <w:rsid w:val="08585F9F"/>
    <w:rsid w:val="08585FBB"/>
    <w:rsid w:val="08585FE8"/>
    <w:rsid w:val="08585FE9"/>
    <w:rsid w:val="08586025"/>
    <w:rsid w:val="08586035"/>
    <w:rsid w:val="08586061"/>
    <w:rsid w:val="0858608B"/>
    <w:rsid w:val="085860DA"/>
    <w:rsid w:val="085861C3"/>
    <w:rsid w:val="08586219"/>
    <w:rsid w:val="08586232"/>
    <w:rsid w:val="08586274"/>
    <w:rsid w:val="085862C6"/>
    <w:rsid w:val="085864D8"/>
    <w:rsid w:val="0858650B"/>
    <w:rsid w:val="085865B7"/>
    <w:rsid w:val="08586620"/>
    <w:rsid w:val="08586628"/>
    <w:rsid w:val="085866C8"/>
    <w:rsid w:val="08586794"/>
    <w:rsid w:val="085867CD"/>
    <w:rsid w:val="085867E6"/>
    <w:rsid w:val="08586875"/>
    <w:rsid w:val="08586967"/>
    <w:rsid w:val="08586983"/>
    <w:rsid w:val="08586A6D"/>
    <w:rsid w:val="08586ADE"/>
    <w:rsid w:val="08586AE2"/>
    <w:rsid w:val="08586B91"/>
    <w:rsid w:val="08586BFD"/>
    <w:rsid w:val="08586C0F"/>
    <w:rsid w:val="08586C37"/>
    <w:rsid w:val="08586C58"/>
    <w:rsid w:val="08586C80"/>
    <w:rsid w:val="08586CC8"/>
    <w:rsid w:val="08586CF1"/>
    <w:rsid w:val="08586D30"/>
    <w:rsid w:val="08586D31"/>
    <w:rsid w:val="08586D6F"/>
    <w:rsid w:val="08586DDB"/>
    <w:rsid w:val="08586E36"/>
    <w:rsid w:val="08586E6D"/>
    <w:rsid w:val="08586E85"/>
    <w:rsid w:val="08586E92"/>
    <w:rsid w:val="08586E9C"/>
    <w:rsid w:val="08586F85"/>
    <w:rsid w:val="08586FFD"/>
    <w:rsid w:val="08587042"/>
    <w:rsid w:val="0858717B"/>
    <w:rsid w:val="085871FB"/>
    <w:rsid w:val="08587207"/>
    <w:rsid w:val="08587264"/>
    <w:rsid w:val="0858728E"/>
    <w:rsid w:val="085872EF"/>
    <w:rsid w:val="0858730C"/>
    <w:rsid w:val="085873F9"/>
    <w:rsid w:val="08587401"/>
    <w:rsid w:val="0858741F"/>
    <w:rsid w:val="085874DA"/>
    <w:rsid w:val="085875A0"/>
    <w:rsid w:val="08587819"/>
    <w:rsid w:val="085878BD"/>
    <w:rsid w:val="085878F7"/>
    <w:rsid w:val="0858790D"/>
    <w:rsid w:val="0858791C"/>
    <w:rsid w:val="0858794E"/>
    <w:rsid w:val="085879D3"/>
    <w:rsid w:val="08587AB0"/>
    <w:rsid w:val="08587BF4"/>
    <w:rsid w:val="08587C1F"/>
    <w:rsid w:val="08587D77"/>
    <w:rsid w:val="08587DA2"/>
    <w:rsid w:val="08587E96"/>
    <w:rsid w:val="08587EC5"/>
    <w:rsid w:val="08587FDF"/>
    <w:rsid w:val="0859004C"/>
    <w:rsid w:val="0859011D"/>
    <w:rsid w:val="0859029A"/>
    <w:rsid w:val="0859035B"/>
    <w:rsid w:val="0859044B"/>
    <w:rsid w:val="085904D1"/>
    <w:rsid w:val="08590563"/>
    <w:rsid w:val="0859056E"/>
    <w:rsid w:val="0859057A"/>
    <w:rsid w:val="085905BE"/>
    <w:rsid w:val="08590622"/>
    <w:rsid w:val="0859068B"/>
    <w:rsid w:val="08590748"/>
    <w:rsid w:val="08590791"/>
    <w:rsid w:val="085907DD"/>
    <w:rsid w:val="085908E2"/>
    <w:rsid w:val="08590AB7"/>
    <w:rsid w:val="08590BCE"/>
    <w:rsid w:val="08590D0A"/>
    <w:rsid w:val="08590DB0"/>
    <w:rsid w:val="08590DF4"/>
    <w:rsid w:val="08590E13"/>
    <w:rsid w:val="08590E2D"/>
    <w:rsid w:val="08590E6E"/>
    <w:rsid w:val="08590EA8"/>
    <w:rsid w:val="08590F71"/>
    <w:rsid w:val="08590FF0"/>
    <w:rsid w:val="0859109B"/>
    <w:rsid w:val="08591258"/>
    <w:rsid w:val="0859127B"/>
    <w:rsid w:val="085912D1"/>
    <w:rsid w:val="08591309"/>
    <w:rsid w:val="08591310"/>
    <w:rsid w:val="0859138B"/>
    <w:rsid w:val="0859139C"/>
    <w:rsid w:val="085913D2"/>
    <w:rsid w:val="085913FC"/>
    <w:rsid w:val="085914F8"/>
    <w:rsid w:val="08591557"/>
    <w:rsid w:val="0859158E"/>
    <w:rsid w:val="08591639"/>
    <w:rsid w:val="085916B0"/>
    <w:rsid w:val="08591742"/>
    <w:rsid w:val="085917D7"/>
    <w:rsid w:val="08591815"/>
    <w:rsid w:val="0859185D"/>
    <w:rsid w:val="085918C0"/>
    <w:rsid w:val="085918CF"/>
    <w:rsid w:val="08591938"/>
    <w:rsid w:val="08591A2E"/>
    <w:rsid w:val="08591A72"/>
    <w:rsid w:val="08591AA6"/>
    <w:rsid w:val="08591BEA"/>
    <w:rsid w:val="08591DAC"/>
    <w:rsid w:val="08591DC0"/>
    <w:rsid w:val="08591E64"/>
    <w:rsid w:val="08591FE0"/>
    <w:rsid w:val="08591FE7"/>
    <w:rsid w:val="08592061"/>
    <w:rsid w:val="085921FE"/>
    <w:rsid w:val="08592279"/>
    <w:rsid w:val="085922A1"/>
    <w:rsid w:val="085922E3"/>
    <w:rsid w:val="08592424"/>
    <w:rsid w:val="08592451"/>
    <w:rsid w:val="0859250C"/>
    <w:rsid w:val="0859256B"/>
    <w:rsid w:val="0859257E"/>
    <w:rsid w:val="085925D9"/>
    <w:rsid w:val="0859262B"/>
    <w:rsid w:val="08592642"/>
    <w:rsid w:val="08592672"/>
    <w:rsid w:val="0859268E"/>
    <w:rsid w:val="085926AF"/>
    <w:rsid w:val="08592701"/>
    <w:rsid w:val="08592747"/>
    <w:rsid w:val="0859274A"/>
    <w:rsid w:val="08592759"/>
    <w:rsid w:val="08592925"/>
    <w:rsid w:val="08592AA2"/>
    <w:rsid w:val="08592B7E"/>
    <w:rsid w:val="08592BB6"/>
    <w:rsid w:val="08592BD7"/>
    <w:rsid w:val="08592C02"/>
    <w:rsid w:val="08592CDE"/>
    <w:rsid w:val="08592D18"/>
    <w:rsid w:val="08592D19"/>
    <w:rsid w:val="08592D57"/>
    <w:rsid w:val="08592E09"/>
    <w:rsid w:val="08592E1C"/>
    <w:rsid w:val="08592E87"/>
    <w:rsid w:val="08592FA7"/>
    <w:rsid w:val="08592FD3"/>
    <w:rsid w:val="08592FFC"/>
    <w:rsid w:val="0859304C"/>
    <w:rsid w:val="0859308C"/>
    <w:rsid w:val="085930A5"/>
    <w:rsid w:val="08593176"/>
    <w:rsid w:val="08593332"/>
    <w:rsid w:val="08593360"/>
    <w:rsid w:val="0859348E"/>
    <w:rsid w:val="08593505"/>
    <w:rsid w:val="08593741"/>
    <w:rsid w:val="0859375C"/>
    <w:rsid w:val="085937CA"/>
    <w:rsid w:val="08593858"/>
    <w:rsid w:val="0859388D"/>
    <w:rsid w:val="08593908"/>
    <w:rsid w:val="0859397D"/>
    <w:rsid w:val="08593A12"/>
    <w:rsid w:val="08593A2D"/>
    <w:rsid w:val="08593A59"/>
    <w:rsid w:val="08593B6C"/>
    <w:rsid w:val="08593B93"/>
    <w:rsid w:val="08593DB1"/>
    <w:rsid w:val="08593E46"/>
    <w:rsid w:val="08593E5D"/>
    <w:rsid w:val="08593E5F"/>
    <w:rsid w:val="08593E93"/>
    <w:rsid w:val="08593EEB"/>
    <w:rsid w:val="08593F23"/>
    <w:rsid w:val="08593F66"/>
    <w:rsid w:val="08593FB1"/>
    <w:rsid w:val="08594011"/>
    <w:rsid w:val="085940BC"/>
    <w:rsid w:val="085940EF"/>
    <w:rsid w:val="0859414A"/>
    <w:rsid w:val="085941A9"/>
    <w:rsid w:val="085942B7"/>
    <w:rsid w:val="085943C7"/>
    <w:rsid w:val="08594488"/>
    <w:rsid w:val="085944C0"/>
    <w:rsid w:val="0859453F"/>
    <w:rsid w:val="0859454C"/>
    <w:rsid w:val="085945F5"/>
    <w:rsid w:val="08594655"/>
    <w:rsid w:val="085946B3"/>
    <w:rsid w:val="08594799"/>
    <w:rsid w:val="0859480C"/>
    <w:rsid w:val="08594826"/>
    <w:rsid w:val="08594864"/>
    <w:rsid w:val="085949D2"/>
    <w:rsid w:val="08594AE1"/>
    <w:rsid w:val="08594AEE"/>
    <w:rsid w:val="08594B31"/>
    <w:rsid w:val="08594BE9"/>
    <w:rsid w:val="08594BF2"/>
    <w:rsid w:val="08594C0E"/>
    <w:rsid w:val="08594CD3"/>
    <w:rsid w:val="08594D44"/>
    <w:rsid w:val="08594D58"/>
    <w:rsid w:val="08594DB9"/>
    <w:rsid w:val="08594E4D"/>
    <w:rsid w:val="08594ECA"/>
    <w:rsid w:val="08594F2D"/>
    <w:rsid w:val="08595081"/>
    <w:rsid w:val="08595093"/>
    <w:rsid w:val="085950E0"/>
    <w:rsid w:val="08595102"/>
    <w:rsid w:val="085951C7"/>
    <w:rsid w:val="085951E1"/>
    <w:rsid w:val="085951E3"/>
    <w:rsid w:val="08595219"/>
    <w:rsid w:val="08595245"/>
    <w:rsid w:val="085952A2"/>
    <w:rsid w:val="085952EF"/>
    <w:rsid w:val="0859531D"/>
    <w:rsid w:val="08595394"/>
    <w:rsid w:val="085953BC"/>
    <w:rsid w:val="0859548C"/>
    <w:rsid w:val="085954FA"/>
    <w:rsid w:val="08595529"/>
    <w:rsid w:val="08595579"/>
    <w:rsid w:val="08595582"/>
    <w:rsid w:val="08595631"/>
    <w:rsid w:val="08595634"/>
    <w:rsid w:val="0859567A"/>
    <w:rsid w:val="085956C3"/>
    <w:rsid w:val="085956C8"/>
    <w:rsid w:val="0859571E"/>
    <w:rsid w:val="08595741"/>
    <w:rsid w:val="08595765"/>
    <w:rsid w:val="085957CA"/>
    <w:rsid w:val="085958B2"/>
    <w:rsid w:val="08595944"/>
    <w:rsid w:val="0859597D"/>
    <w:rsid w:val="085959B1"/>
    <w:rsid w:val="085959CA"/>
    <w:rsid w:val="085959D1"/>
    <w:rsid w:val="08595A78"/>
    <w:rsid w:val="08595BE6"/>
    <w:rsid w:val="08595BF3"/>
    <w:rsid w:val="08595C01"/>
    <w:rsid w:val="08595D2B"/>
    <w:rsid w:val="08595D6D"/>
    <w:rsid w:val="08595DA6"/>
    <w:rsid w:val="08595E24"/>
    <w:rsid w:val="08595F25"/>
    <w:rsid w:val="08595F85"/>
    <w:rsid w:val="08595FC3"/>
    <w:rsid w:val="08596030"/>
    <w:rsid w:val="08596091"/>
    <w:rsid w:val="085960E6"/>
    <w:rsid w:val="08596101"/>
    <w:rsid w:val="085961AD"/>
    <w:rsid w:val="085961AE"/>
    <w:rsid w:val="085961F1"/>
    <w:rsid w:val="085962A1"/>
    <w:rsid w:val="0859631F"/>
    <w:rsid w:val="085963E6"/>
    <w:rsid w:val="085963FF"/>
    <w:rsid w:val="08596421"/>
    <w:rsid w:val="0859643F"/>
    <w:rsid w:val="085964DA"/>
    <w:rsid w:val="085965AF"/>
    <w:rsid w:val="085967B2"/>
    <w:rsid w:val="085967D5"/>
    <w:rsid w:val="08596891"/>
    <w:rsid w:val="08596909"/>
    <w:rsid w:val="085969A5"/>
    <w:rsid w:val="085969E7"/>
    <w:rsid w:val="085969F4"/>
    <w:rsid w:val="08596A46"/>
    <w:rsid w:val="08596B29"/>
    <w:rsid w:val="08596B76"/>
    <w:rsid w:val="08596BD6"/>
    <w:rsid w:val="08596C32"/>
    <w:rsid w:val="08596C36"/>
    <w:rsid w:val="08596D26"/>
    <w:rsid w:val="08596D47"/>
    <w:rsid w:val="08596E90"/>
    <w:rsid w:val="08596F2C"/>
    <w:rsid w:val="08597032"/>
    <w:rsid w:val="08597050"/>
    <w:rsid w:val="08597070"/>
    <w:rsid w:val="085970BF"/>
    <w:rsid w:val="08597188"/>
    <w:rsid w:val="08597271"/>
    <w:rsid w:val="085972F9"/>
    <w:rsid w:val="085973E1"/>
    <w:rsid w:val="0859741E"/>
    <w:rsid w:val="085974C6"/>
    <w:rsid w:val="08597528"/>
    <w:rsid w:val="08597561"/>
    <w:rsid w:val="0859757B"/>
    <w:rsid w:val="085975E7"/>
    <w:rsid w:val="0859760D"/>
    <w:rsid w:val="0859769A"/>
    <w:rsid w:val="08597717"/>
    <w:rsid w:val="085977BE"/>
    <w:rsid w:val="085977F9"/>
    <w:rsid w:val="08597847"/>
    <w:rsid w:val="085978C7"/>
    <w:rsid w:val="0859792F"/>
    <w:rsid w:val="085979FD"/>
    <w:rsid w:val="08597A66"/>
    <w:rsid w:val="08597B9E"/>
    <w:rsid w:val="08597BBD"/>
    <w:rsid w:val="08597BC1"/>
    <w:rsid w:val="08597BF0"/>
    <w:rsid w:val="08597C88"/>
    <w:rsid w:val="08597CC8"/>
    <w:rsid w:val="08597CF3"/>
    <w:rsid w:val="08597D6C"/>
    <w:rsid w:val="08597D86"/>
    <w:rsid w:val="08597EC7"/>
    <w:rsid w:val="08597EF6"/>
    <w:rsid w:val="08597F68"/>
    <w:rsid w:val="08597F69"/>
    <w:rsid w:val="08597F8B"/>
    <w:rsid w:val="08597FAF"/>
    <w:rsid w:val="08597FDB"/>
    <w:rsid w:val="085A008D"/>
    <w:rsid w:val="085A00D8"/>
    <w:rsid w:val="085A016B"/>
    <w:rsid w:val="085A01DF"/>
    <w:rsid w:val="085A022B"/>
    <w:rsid w:val="085A026E"/>
    <w:rsid w:val="085A0275"/>
    <w:rsid w:val="085A028C"/>
    <w:rsid w:val="085A029F"/>
    <w:rsid w:val="085A034A"/>
    <w:rsid w:val="085A03E8"/>
    <w:rsid w:val="085A0470"/>
    <w:rsid w:val="085A0629"/>
    <w:rsid w:val="085A078E"/>
    <w:rsid w:val="085A0866"/>
    <w:rsid w:val="085A08D3"/>
    <w:rsid w:val="085A08E3"/>
    <w:rsid w:val="085A08EA"/>
    <w:rsid w:val="085A09DB"/>
    <w:rsid w:val="085A09FF"/>
    <w:rsid w:val="085A0A4F"/>
    <w:rsid w:val="085A0B0E"/>
    <w:rsid w:val="085A0B31"/>
    <w:rsid w:val="085A0C49"/>
    <w:rsid w:val="085A0C97"/>
    <w:rsid w:val="085A0D20"/>
    <w:rsid w:val="085A0D3B"/>
    <w:rsid w:val="085A0DB2"/>
    <w:rsid w:val="085A0DE4"/>
    <w:rsid w:val="085A0DE6"/>
    <w:rsid w:val="085A0E26"/>
    <w:rsid w:val="085A0E86"/>
    <w:rsid w:val="085A0E95"/>
    <w:rsid w:val="085A0EA5"/>
    <w:rsid w:val="085A0EC2"/>
    <w:rsid w:val="085A0FE0"/>
    <w:rsid w:val="085A10F0"/>
    <w:rsid w:val="085A110F"/>
    <w:rsid w:val="085A11A0"/>
    <w:rsid w:val="085A11D8"/>
    <w:rsid w:val="085A1291"/>
    <w:rsid w:val="085A12C5"/>
    <w:rsid w:val="085A1333"/>
    <w:rsid w:val="085A13A5"/>
    <w:rsid w:val="085A13F6"/>
    <w:rsid w:val="085A1451"/>
    <w:rsid w:val="085A14A0"/>
    <w:rsid w:val="085A14F7"/>
    <w:rsid w:val="085A15CC"/>
    <w:rsid w:val="085A160F"/>
    <w:rsid w:val="085A1619"/>
    <w:rsid w:val="085A161A"/>
    <w:rsid w:val="085A1690"/>
    <w:rsid w:val="085A174C"/>
    <w:rsid w:val="085A1790"/>
    <w:rsid w:val="085A17E9"/>
    <w:rsid w:val="085A17F3"/>
    <w:rsid w:val="085A17F5"/>
    <w:rsid w:val="085A187D"/>
    <w:rsid w:val="085A18E7"/>
    <w:rsid w:val="085A18F3"/>
    <w:rsid w:val="085A1B03"/>
    <w:rsid w:val="085A1B22"/>
    <w:rsid w:val="085A1BC4"/>
    <w:rsid w:val="085A1BEC"/>
    <w:rsid w:val="085A1C47"/>
    <w:rsid w:val="085A1C69"/>
    <w:rsid w:val="085A1C75"/>
    <w:rsid w:val="085A1E45"/>
    <w:rsid w:val="085A1EED"/>
    <w:rsid w:val="085A1F02"/>
    <w:rsid w:val="085A1F90"/>
    <w:rsid w:val="085A20AC"/>
    <w:rsid w:val="085A20BC"/>
    <w:rsid w:val="085A215D"/>
    <w:rsid w:val="085A21AD"/>
    <w:rsid w:val="085A227B"/>
    <w:rsid w:val="085A22F4"/>
    <w:rsid w:val="085A2305"/>
    <w:rsid w:val="085A2384"/>
    <w:rsid w:val="085A243E"/>
    <w:rsid w:val="085A24D1"/>
    <w:rsid w:val="085A24EE"/>
    <w:rsid w:val="085A25E7"/>
    <w:rsid w:val="085A263B"/>
    <w:rsid w:val="085A266A"/>
    <w:rsid w:val="085A274D"/>
    <w:rsid w:val="085A283F"/>
    <w:rsid w:val="085A291C"/>
    <w:rsid w:val="085A291E"/>
    <w:rsid w:val="085A2931"/>
    <w:rsid w:val="085A29F6"/>
    <w:rsid w:val="085A2A80"/>
    <w:rsid w:val="085A2AAC"/>
    <w:rsid w:val="085A2AE9"/>
    <w:rsid w:val="085A2B68"/>
    <w:rsid w:val="085A2D16"/>
    <w:rsid w:val="085A2D40"/>
    <w:rsid w:val="085A2DA8"/>
    <w:rsid w:val="085A2E49"/>
    <w:rsid w:val="085A2EF4"/>
    <w:rsid w:val="085A3022"/>
    <w:rsid w:val="085A307D"/>
    <w:rsid w:val="085A308D"/>
    <w:rsid w:val="085A313E"/>
    <w:rsid w:val="085A31C7"/>
    <w:rsid w:val="085A32AC"/>
    <w:rsid w:val="085A32EB"/>
    <w:rsid w:val="085A3303"/>
    <w:rsid w:val="085A33D1"/>
    <w:rsid w:val="085A34A7"/>
    <w:rsid w:val="085A3522"/>
    <w:rsid w:val="085A356C"/>
    <w:rsid w:val="085A35B3"/>
    <w:rsid w:val="085A35FE"/>
    <w:rsid w:val="085A3619"/>
    <w:rsid w:val="085A37D3"/>
    <w:rsid w:val="085A37D5"/>
    <w:rsid w:val="085A37FA"/>
    <w:rsid w:val="085A37FD"/>
    <w:rsid w:val="085A3862"/>
    <w:rsid w:val="085A397A"/>
    <w:rsid w:val="085A3989"/>
    <w:rsid w:val="085A39DF"/>
    <w:rsid w:val="085A3A77"/>
    <w:rsid w:val="085A3AFB"/>
    <w:rsid w:val="085A3D24"/>
    <w:rsid w:val="085A3DFA"/>
    <w:rsid w:val="085A3EBE"/>
    <w:rsid w:val="085A3FFA"/>
    <w:rsid w:val="085A4003"/>
    <w:rsid w:val="085A413F"/>
    <w:rsid w:val="085A4172"/>
    <w:rsid w:val="085A4190"/>
    <w:rsid w:val="085A41C6"/>
    <w:rsid w:val="085A43FC"/>
    <w:rsid w:val="085A4439"/>
    <w:rsid w:val="085A4464"/>
    <w:rsid w:val="085A44AF"/>
    <w:rsid w:val="085A44CA"/>
    <w:rsid w:val="085A44CD"/>
    <w:rsid w:val="085A4525"/>
    <w:rsid w:val="085A4554"/>
    <w:rsid w:val="085A4579"/>
    <w:rsid w:val="085A4600"/>
    <w:rsid w:val="085A46CA"/>
    <w:rsid w:val="085A4727"/>
    <w:rsid w:val="085A4757"/>
    <w:rsid w:val="085A475E"/>
    <w:rsid w:val="085A479A"/>
    <w:rsid w:val="085A4892"/>
    <w:rsid w:val="085A48AC"/>
    <w:rsid w:val="085A48DD"/>
    <w:rsid w:val="085A498B"/>
    <w:rsid w:val="085A4A62"/>
    <w:rsid w:val="085A4B8D"/>
    <w:rsid w:val="085A4B99"/>
    <w:rsid w:val="085A4BD7"/>
    <w:rsid w:val="085A4D75"/>
    <w:rsid w:val="085A4E2F"/>
    <w:rsid w:val="085A4E53"/>
    <w:rsid w:val="085A4E7F"/>
    <w:rsid w:val="085A4EAA"/>
    <w:rsid w:val="085A4EB2"/>
    <w:rsid w:val="085A4F0D"/>
    <w:rsid w:val="085A4F17"/>
    <w:rsid w:val="085A506B"/>
    <w:rsid w:val="085A506C"/>
    <w:rsid w:val="085A50B1"/>
    <w:rsid w:val="085A50FD"/>
    <w:rsid w:val="085A5172"/>
    <w:rsid w:val="085A51D6"/>
    <w:rsid w:val="085A52BE"/>
    <w:rsid w:val="085A52F6"/>
    <w:rsid w:val="085A537C"/>
    <w:rsid w:val="085A54EE"/>
    <w:rsid w:val="085A550A"/>
    <w:rsid w:val="085A5524"/>
    <w:rsid w:val="085A55A9"/>
    <w:rsid w:val="085A55C7"/>
    <w:rsid w:val="085A5722"/>
    <w:rsid w:val="085A57D9"/>
    <w:rsid w:val="085A57EC"/>
    <w:rsid w:val="085A5899"/>
    <w:rsid w:val="085A58C2"/>
    <w:rsid w:val="085A5946"/>
    <w:rsid w:val="085A596D"/>
    <w:rsid w:val="085A59FA"/>
    <w:rsid w:val="085A5B3C"/>
    <w:rsid w:val="085A5BAF"/>
    <w:rsid w:val="085A5BD2"/>
    <w:rsid w:val="085A5BF9"/>
    <w:rsid w:val="085A5DA5"/>
    <w:rsid w:val="085A5DDD"/>
    <w:rsid w:val="085A5DF4"/>
    <w:rsid w:val="085A5ECE"/>
    <w:rsid w:val="085A5EED"/>
    <w:rsid w:val="085A5F5E"/>
    <w:rsid w:val="085A5FAE"/>
    <w:rsid w:val="085A5FE5"/>
    <w:rsid w:val="085A6005"/>
    <w:rsid w:val="085A6044"/>
    <w:rsid w:val="085A60B5"/>
    <w:rsid w:val="085A60BC"/>
    <w:rsid w:val="085A6148"/>
    <w:rsid w:val="085A618C"/>
    <w:rsid w:val="085A61E4"/>
    <w:rsid w:val="085A6258"/>
    <w:rsid w:val="085A62F1"/>
    <w:rsid w:val="085A637E"/>
    <w:rsid w:val="085A6397"/>
    <w:rsid w:val="085A63C8"/>
    <w:rsid w:val="085A6423"/>
    <w:rsid w:val="085A660F"/>
    <w:rsid w:val="085A661F"/>
    <w:rsid w:val="085A6805"/>
    <w:rsid w:val="085A68A8"/>
    <w:rsid w:val="085A690F"/>
    <w:rsid w:val="085A69D0"/>
    <w:rsid w:val="085A6A2A"/>
    <w:rsid w:val="085A6ADB"/>
    <w:rsid w:val="085A6B5C"/>
    <w:rsid w:val="085A6D18"/>
    <w:rsid w:val="085A6D32"/>
    <w:rsid w:val="085A6D81"/>
    <w:rsid w:val="085A6E28"/>
    <w:rsid w:val="085A6E5D"/>
    <w:rsid w:val="085A6F31"/>
    <w:rsid w:val="085A6FBB"/>
    <w:rsid w:val="085A6FD3"/>
    <w:rsid w:val="085A703B"/>
    <w:rsid w:val="085A70D8"/>
    <w:rsid w:val="085A71F5"/>
    <w:rsid w:val="085A7252"/>
    <w:rsid w:val="085A7298"/>
    <w:rsid w:val="085A72D0"/>
    <w:rsid w:val="085A72E1"/>
    <w:rsid w:val="085A7318"/>
    <w:rsid w:val="085A73E2"/>
    <w:rsid w:val="085A7495"/>
    <w:rsid w:val="085A74C1"/>
    <w:rsid w:val="085A74D1"/>
    <w:rsid w:val="085A74DE"/>
    <w:rsid w:val="085A74EA"/>
    <w:rsid w:val="085A7507"/>
    <w:rsid w:val="085A758D"/>
    <w:rsid w:val="085A7590"/>
    <w:rsid w:val="085A75D3"/>
    <w:rsid w:val="085A7653"/>
    <w:rsid w:val="085A7697"/>
    <w:rsid w:val="085A76B4"/>
    <w:rsid w:val="085A7770"/>
    <w:rsid w:val="085A7781"/>
    <w:rsid w:val="085A7792"/>
    <w:rsid w:val="085A77A0"/>
    <w:rsid w:val="085A7836"/>
    <w:rsid w:val="085A78B7"/>
    <w:rsid w:val="085A7934"/>
    <w:rsid w:val="085A7964"/>
    <w:rsid w:val="085A79FA"/>
    <w:rsid w:val="085A7A30"/>
    <w:rsid w:val="085A7A6B"/>
    <w:rsid w:val="085A7A73"/>
    <w:rsid w:val="085A7A97"/>
    <w:rsid w:val="085A7AA2"/>
    <w:rsid w:val="085A7B85"/>
    <w:rsid w:val="085A7BD6"/>
    <w:rsid w:val="085A7C1A"/>
    <w:rsid w:val="085A7CB9"/>
    <w:rsid w:val="085A7E30"/>
    <w:rsid w:val="085A7E69"/>
    <w:rsid w:val="085A7E8D"/>
    <w:rsid w:val="085A7F75"/>
    <w:rsid w:val="085A7F8C"/>
    <w:rsid w:val="085B0077"/>
    <w:rsid w:val="085B00DD"/>
    <w:rsid w:val="085B00E4"/>
    <w:rsid w:val="085B0144"/>
    <w:rsid w:val="085B021C"/>
    <w:rsid w:val="085B022A"/>
    <w:rsid w:val="085B025C"/>
    <w:rsid w:val="085B025E"/>
    <w:rsid w:val="085B0376"/>
    <w:rsid w:val="085B03D8"/>
    <w:rsid w:val="085B04C6"/>
    <w:rsid w:val="085B04CE"/>
    <w:rsid w:val="085B060B"/>
    <w:rsid w:val="085B0688"/>
    <w:rsid w:val="085B069D"/>
    <w:rsid w:val="085B06FB"/>
    <w:rsid w:val="085B0754"/>
    <w:rsid w:val="085B07CE"/>
    <w:rsid w:val="085B084E"/>
    <w:rsid w:val="085B085C"/>
    <w:rsid w:val="085B08BA"/>
    <w:rsid w:val="085B08F9"/>
    <w:rsid w:val="085B0965"/>
    <w:rsid w:val="085B0975"/>
    <w:rsid w:val="085B0A22"/>
    <w:rsid w:val="085B0A2C"/>
    <w:rsid w:val="085B0AAF"/>
    <w:rsid w:val="085B0B53"/>
    <w:rsid w:val="085B0BD3"/>
    <w:rsid w:val="085B0C89"/>
    <w:rsid w:val="085B0CAF"/>
    <w:rsid w:val="085B0D38"/>
    <w:rsid w:val="085B0D8F"/>
    <w:rsid w:val="085B0DA1"/>
    <w:rsid w:val="085B0DCD"/>
    <w:rsid w:val="085B0DD1"/>
    <w:rsid w:val="085B0E21"/>
    <w:rsid w:val="085B0ECD"/>
    <w:rsid w:val="085B0F67"/>
    <w:rsid w:val="085B1018"/>
    <w:rsid w:val="085B1094"/>
    <w:rsid w:val="085B10DF"/>
    <w:rsid w:val="085B120C"/>
    <w:rsid w:val="085B1342"/>
    <w:rsid w:val="085B1352"/>
    <w:rsid w:val="085B1615"/>
    <w:rsid w:val="085B1618"/>
    <w:rsid w:val="085B1645"/>
    <w:rsid w:val="085B16D2"/>
    <w:rsid w:val="085B16DF"/>
    <w:rsid w:val="085B173C"/>
    <w:rsid w:val="085B17DB"/>
    <w:rsid w:val="085B187D"/>
    <w:rsid w:val="085B199B"/>
    <w:rsid w:val="085B19CF"/>
    <w:rsid w:val="085B1A47"/>
    <w:rsid w:val="085B1B28"/>
    <w:rsid w:val="085B1B58"/>
    <w:rsid w:val="085B1BDF"/>
    <w:rsid w:val="085B1C02"/>
    <w:rsid w:val="085B1D70"/>
    <w:rsid w:val="085B1E19"/>
    <w:rsid w:val="085B1F06"/>
    <w:rsid w:val="085B1F3C"/>
    <w:rsid w:val="085B1F54"/>
    <w:rsid w:val="085B2040"/>
    <w:rsid w:val="085B205E"/>
    <w:rsid w:val="085B212E"/>
    <w:rsid w:val="085B214F"/>
    <w:rsid w:val="085B21CE"/>
    <w:rsid w:val="085B2247"/>
    <w:rsid w:val="085B22D8"/>
    <w:rsid w:val="085B23E5"/>
    <w:rsid w:val="085B23FB"/>
    <w:rsid w:val="085B242F"/>
    <w:rsid w:val="085B247F"/>
    <w:rsid w:val="085B2560"/>
    <w:rsid w:val="085B2623"/>
    <w:rsid w:val="085B2686"/>
    <w:rsid w:val="085B2691"/>
    <w:rsid w:val="085B2789"/>
    <w:rsid w:val="085B289C"/>
    <w:rsid w:val="085B28BD"/>
    <w:rsid w:val="085B2985"/>
    <w:rsid w:val="085B2A3E"/>
    <w:rsid w:val="085B2AE9"/>
    <w:rsid w:val="085B2B60"/>
    <w:rsid w:val="085B2C44"/>
    <w:rsid w:val="085B2CFF"/>
    <w:rsid w:val="085B2D1D"/>
    <w:rsid w:val="085B2D42"/>
    <w:rsid w:val="085B2DD2"/>
    <w:rsid w:val="085B2DE8"/>
    <w:rsid w:val="085B2E69"/>
    <w:rsid w:val="085B2F4C"/>
    <w:rsid w:val="085B2F6F"/>
    <w:rsid w:val="085B300B"/>
    <w:rsid w:val="085B308E"/>
    <w:rsid w:val="085B30A6"/>
    <w:rsid w:val="085B30A9"/>
    <w:rsid w:val="085B31B6"/>
    <w:rsid w:val="085B325A"/>
    <w:rsid w:val="085B3264"/>
    <w:rsid w:val="085B3282"/>
    <w:rsid w:val="085B330C"/>
    <w:rsid w:val="085B331D"/>
    <w:rsid w:val="085B3379"/>
    <w:rsid w:val="085B3408"/>
    <w:rsid w:val="085B3481"/>
    <w:rsid w:val="085B35ED"/>
    <w:rsid w:val="085B3614"/>
    <w:rsid w:val="085B365C"/>
    <w:rsid w:val="085B366D"/>
    <w:rsid w:val="085B36B3"/>
    <w:rsid w:val="085B36B8"/>
    <w:rsid w:val="085B3735"/>
    <w:rsid w:val="085B3754"/>
    <w:rsid w:val="085B394D"/>
    <w:rsid w:val="085B3978"/>
    <w:rsid w:val="085B3A0E"/>
    <w:rsid w:val="085B3A6D"/>
    <w:rsid w:val="085B3B4D"/>
    <w:rsid w:val="085B3C66"/>
    <w:rsid w:val="085B3FBB"/>
    <w:rsid w:val="085B3FF4"/>
    <w:rsid w:val="085B402B"/>
    <w:rsid w:val="085B404D"/>
    <w:rsid w:val="085B4050"/>
    <w:rsid w:val="085B4074"/>
    <w:rsid w:val="085B40D2"/>
    <w:rsid w:val="085B41A7"/>
    <w:rsid w:val="085B42DF"/>
    <w:rsid w:val="085B436F"/>
    <w:rsid w:val="085B4398"/>
    <w:rsid w:val="085B43F5"/>
    <w:rsid w:val="085B4415"/>
    <w:rsid w:val="085B444B"/>
    <w:rsid w:val="085B448C"/>
    <w:rsid w:val="085B448E"/>
    <w:rsid w:val="085B4504"/>
    <w:rsid w:val="085B45B6"/>
    <w:rsid w:val="085B45ED"/>
    <w:rsid w:val="085B469C"/>
    <w:rsid w:val="085B4740"/>
    <w:rsid w:val="085B47DA"/>
    <w:rsid w:val="085B482C"/>
    <w:rsid w:val="085B4904"/>
    <w:rsid w:val="085B4A8E"/>
    <w:rsid w:val="085B4B86"/>
    <w:rsid w:val="085B4B9A"/>
    <w:rsid w:val="085B4C1B"/>
    <w:rsid w:val="085B4C78"/>
    <w:rsid w:val="085B4CAC"/>
    <w:rsid w:val="085B4D37"/>
    <w:rsid w:val="085B4D84"/>
    <w:rsid w:val="085B4D98"/>
    <w:rsid w:val="085B4E4D"/>
    <w:rsid w:val="085B4FC5"/>
    <w:rsid w:val="085B501A"/>
    <w:rsid w:val="085B5046"/>
    <w:rsid w:val="085B5084"/>
    <w:rsid w:val="085B512F"/>
    <w:rsid w:val="085B5257"/>
    <w:rsid w:val="085B52C0"/>
    <w:rsid w:val="085B52F5"/>
    <w:rsid w:val="085B5458"/>
    <w:rsid w:val="085B55B2"/>
    <w:rsid w:val="085B57E3"/>
    <w:rsid w:val="085B586D"/>
    <w:rsid w:val="085B5A42"/>
    <w:rsid w:val="085B5A55"/>
    <w:rsid w:val="085B5B33"/>
    <w:rsid w:val="085B5BBD"/>
    <w:rsid w:val="085B5BC9"/>
    <w:rsid w:val="085B5C6F"/>
    <w:rsid w:val="085B5C7E"/>
    <w:rsid w:val="085B5D24"/>
    <w:rsid w:val="085B5D65"/>
    <w:rsid w:val="085B5D6B"/>
    <w:rsid w:val="085B5DC8"/>
    <w:rsid w:val="085B5E7B"/>
    <w:rsid w:val="085B5EB0"/>
    <w:rsid w:val="085B5F68"/>
    <w:rsid w:val="085B5F9A"/>
    <w:rsid w:val="085B5FC0"/>
    <w:rsid w:val="085B5FED"/>
    <w:rsid w:val="085B60C7"/>
    <w:rsid w:val="085B60E1"/>
    <w:rsid w:val="085B6136"/>
    <w:rsid w:val="085B6194"/>
    <w:rsid w:val="085B6229"/>
    <w:rsid w:val="085B62A0"/>
    <w:rsid w:val="085B62B6"/>
    <w:rsid w:val="085B637A"/>
    <w:rsid w:val="085B63D8"/>
    <w:rsid w:val="085B63E6"/>
    <w:rsid w:val="085B63F2"/>
    <w:rsid w:val="085B6408"/>
    <w:rsid w:val="085B65EF"/>
    <w:rsid w:val="085B664D"/>
    <w:rsid w:val="085B669C"/>
    <w:rsid w:val="085B6834"/>
    <w:rsid w:val="085B6857"/>
    <w:rsid w:val="085B6873"/>
    <w:rsid w:val="085B6879"/>
    <w:rsid w:val="085B68A9"/>
    <w:rsid w:val="085B6928"/>
    <w:rsid w:val="085B6A09"/>
    <w:rsid w:val="085B6AF1"/>
    <w:rsid w:val="085B6B60"/>
    <w:rsid w:val="085B6C42"/>
    <w:rsid w:val="085B6CC0"/>
    <w:rsid w:val="085B6CED"/>
    <w:rsid w:val="085B6D10"/>
    <w:rsid w:val="085B6D39"/>
    <w:rsid w:val="085B6D7D"/>
    <w:rsid w:val="085B6DC9"/>
    <w:rsid w:val="085B6E52"/>
    <w:rsid w:val="085B6E82"/>
    <w:rsid w:val="085B6F07"/>
    <w:rsid w:val="085B703C"/>
    <w:rsid w:val="085B7040"/>
    <w:rsid w:val="085B70AF"/>
    <w:rsid w:val="085B70C1"/>
    <w:rsid w:val="085B70D4"/>
    <w:rsid w:val="085B71DB"/>
    <w:rsid w:val="085B7301"/>
    <w:rsid w:val="085B7308"/>
    <w:rsid w:val="085B733E"/>
    <w:rsid w:val="085B7387"/>
    <w:rsid w:val="085B7433"/>
    <w:rsid w:val="085B74B4"/>
    <w:rsid w:val="085B755B"/>
    <w:rsid w:val="085B75D6"/>
    <w:rsid w:val="085B7626"/>
    <w:rsid w:val="085B7688"/>
    <w:rsid w:val="085B76D0"/>
    <w:rsid w:val="085B7720"/>
    <w:rsid w:val="085B78CE"/>
    <w:rsid w:val="085B7932"/>
    <w:rsid w:val="085B79E2"/>
    <w:rsid w:val="085B79E9"/>
    <w:rsid w:val="085B7B99"/>
    <w:rsid w:val="085B7C15"/>
    <w:rsid w:val="085B7C7C"/>
    <w:rsid w:val="085B7CAF"/>
    <w:rsid w:val="085B7CE1"/>
    <w:rsid w:val="085B7DA2"/>
    <w:rsid w:val="085B7E3C"/>
    <w:rsid w:val="085B7E97"/>
    <w:rsid w:val="085B7FBF"/>
    <w:rsid w:val="085B7FE4"/>
    <w:rsid w:val="085C0054"/>
    <w:rsid w:val="085C00F1"/>
    <w:rsid w:val="085C01E7"/>
    <w:rsid w:val="085C0267"/>
    <w:rsid w:val="085C02B5"/>
    <w:rsid w:val="085C0363"/>
    <w:rsid w:val="085C03D2"/>
    <w:rsid w:val="085C03D9"/>
    <w:rsid w:val="085C0419"/>
    <w:rsid w:val="085C0521"/>
    <w:rsid w:val="085C0584"/>
    <w:rsid w:val="085C05B7"/>
    <w:rsid w:val="085C05FB"/>
    <w:rsid w:val="085C069B"/>
    <w:rsid w:val="085C078B"/>
    <w:rsid w:val="085C07CF"/>
    <w:rsid w:val="085C0A08"/>
    <w:rsid w:val="085C0A1B"/>
    <w:rsid w:val="085C0A51"/>
    <w:rsid w:val="085C0A7F"/>
    <w:rsid w:val="085C0A8D"/>
    <w:rsid w:val="085C0AFC"/>
    <w:rsid w:val="085C0B08"/>
    <w:rsid w:val="085C0B73"/>
    <w:rsid w:val="085C0B7C"/>
    <w:rsid w:val="085C0C30"/>
    <w:rsid w:val="085C0C33"/>
    <w:rsid w:val="085C0C70"/>
    <w:rsid w:val="085C0C7C"/>
    <w:rsid w:val="085C0CE5"/>
    <w:rsid w:val="085C0D64"/>
    <w:rsid w:val="085C0D9C"/>
    <w:rsid w:val="085C0DDD"/>
    <w:rsid w:val="085C0E2F"/>
    <w:rsid w:val="085C0E30"/>
    <w:rsid w:val="085C0E42"/>
    <w:rsid w:val="085C0F3B"/>
    <w:rsid w:val="085C0F44"/>
    <w:rsid w:val="085C10F0"/>
    <w:rsid w:val="085C1170"/>
    <w:rsid w:val="085C12CC"/>
    <w:rsid w:val="085C12D1"/>
    <w:rsid w:val="085C130C"/>
    <w:rsid w:val="085C133F"/>
    <w:rsid w:val="085C1365"/>
    <w:rsid w:val="085C1376"/>
    <w:rsid w:val="085C13FE"/>
    <w:rsid w:val="085C1519"/>
    <w:rsid w:val="085C1530"/>
    <w:rsid w:val="085C15C4"/>
    <w:rsid w:val="085C15DF"/>
    <w:rsid w:val="085C1611"/>
    <w:rsid w:val="085C164D"/>
    <w:rsid w:val="085C1710"/>
    <w:rsid w:val="085C1772"/>
    <w:rsid w:val="085C1824"/>
    <w:rsid w:val="085C1850"/>
    <w:rsid w:val="085C18C6"/>
    <w:rsid w:val="085C1AD7"/>
    <w:rsid w:val="085C1B1D"/>
    <w:rsid w:val="085C1B4D"/>
    <w:rsid w:val="085C1BC3"/>
    <w:rsid w:val="085C1BD8"/>
    <w:rsid w:val="085C1BDD"/>
    <w:rsid w:val="085C1C65"/>
    <w:rsid w:val="085C1CB1"/>
    <w:rsid w:val="085C1CC0"/>
    <w:rsid w:val="085C1D0C"/>
    <w:rsid w:val="085C1DAF"/>
    <w:rsid w:val="085C1DE0"/>
    <w:rsid w:val="085C1DE5"/>
    <w:rsid w:val="085C1E54"/>
    <w:rsid w:val="085C1E72"/>
    <w:rsid w:val="085C1E73"/>
    <w:rsid w:val="085C1EB0"/>
    <w:rsid w:val="085C1F52"/>
    <w:rsid w:val="085C1FFA"/>
    <w:rsid w:val="085C203D"/>
    <w:rsid w:val="085C20B6"/>
    <w:rsid w:val="085C20E1"/>
    <w:rsid w:val="085C2202"/>
    <w:rsid w:val="085C2249"/>
    <w:rsid w:val="085C226D"/>
    <w:rsid w:val="085C2288"/>
    <w:rsid w:val="085C22AB"/>
    <w:rsid w:val="085C2394"/>
    <w:rsid w:val="085C23C1"/>
    <w:rsid w:val="085C23DF"/>
    <w:rsid w:val="085C23F7"/>
    <w:rsid w:val="085C2400"/>
    <w:rsid w:val="085C2413"/>
    <w:rsid w:val="085C24DA"/>
    <w:rsid w:val="085C24FB"/>
    <w:rsid w:val="085C252D"/>
    <w:rsid w:val="085C25FF"/>
    <w:rsid w:val="085C2653"/>
    <w:rsid w:val="085C2660"/>
    <w:rsid w:val="085C2838"/>
    <w:rsid w:val="085C2913"/>
    <w:rsid w:val="085C2A48"/>
    <w:rsid w:val="085C2ABB"/>
    <w:rsid w:val="085C2AF0"/>
    <w:rsid w:val="085C2B05"/>
    <w:rsid w:val="085C2B1E"/>
    <w:rsid w:val="085C2B83"/>
    <w:rsid w:val="085C2CF1"/>
    <w:rsid w:val="085C2D3D"/>
    <w:rsid w:val="085C2DB3"/>
    <w:rsid w:val="085C2DB7"/>
    <w:rsid w:val="085C2DF8"/>
    <w:rsid w:val="085C2F0B"/>
    <w:rsid w:val="085C2F34"/>
    <w:rsid w:val="085C302A"/>
    <w:rsid w:val="085C3065"/>
    <w:rsid w:val="085C30BE"/>
    <w:rsid w:val="085C31B8"/>
    <w:rsid w:val="085C3229"/>
    <w:rsid w:val="085C3255"/>
    <w:rsid w:val="085C3256"/>
    <w:rsid w:val="085C32AD"/>
    <w:rsid w:val="085C32BE"/>
    <w:rsid w:val="085C32E0"/>
    <w:rsid w:val="085C330E"/>
    <w:rsid w:val="085C3380"/>
    <w:rsid w:val="085C345B"/>
    <w:rsid w:val="085C3464"/>
    <w:rsid w:val="085C3503"/>
    <w:rsid w:val="085C353A"/>
    <w:rsid w:val="085C35D4"/>
    <w:rsid w:val="085C365E"/>
    <w:rsid w:val="085C36A5"/>
    <w:rsid w:val="085C36E8"/>
    <w:rsid w:val="085C36F5"/>
    <w:rsid w:val="085C3788"/>
    <w:rsid w:val="085C387D"/>
    <w:rsid w:val="085C3A5A"/>
    <w:rsid w:val="085C3ABC"/>
    <w:rsid w:val="085C3BA3"/>
    <w:rsid w:val="085C3BFA"/>
    <w:rsid w:val="085C3C43"/>
    <w:rsid w:val="085C3CB3"/>
    <w:rsid w:val="085C3CCB"/>
    <w:rsid w:val="085C3DD3"/>
    <w:rsid w:val="085C3DED"/>
    <w:rsid w:val="085C3E3B"/>
    <w:rsid w:val="085C3E53"/>
    <w:rsid w:val="085C3E84"/>
    <w:rsid w:val="085C3FAA"/>
    <w:rsid w:val="085C3FFE"/>
    <w:rsid w:val="085C4026"/>
    <w:rsid w:val="085C40BC"/>
    <w:rsid w:val="085C41B0"/>
    <w:rsid w:val="085C41FA"/>
    <w:rsid w:val="085C420B"/>
    <w:rsid w:val="085C425D"/>
    <w:rsid w:val="085C4330"/>
    <w:rsid w:val="085C4333"/>
    <w:rsid w:val="085C4379"/>
    <w:rsid w:val="085C447D"/>
    <w:rsid w:val="085C44FF"/>
    <w:rsid w:val="085C45BB"/>
    <w:rsid w:val="085C4624"/>
    <w:rsid w:val="085C4671"/>
    <w:rsid w:val="085C47C1"/>
    <w:rsid w:val="085C47C7"/>
    <w:rsid w:val="085C47D2"/>
    <w:rsid w:val="085C47E6"/>
    <w:rsid w:val="085C4A48"/>
    <w:rsid w:val="085C4A65"/>
    <w:rsid w:val="085C4A67"/>
    <w:rsid w:val="085C4A85"/>
    <w:rsid w:val="085C4B00"/>
    <w:rsid w:val="085C4D21"/>
    <w:rsid w:val="085C4D7F"/>
    <w:rsid w:val="085C4DB9"/>
    <w:rsid w:val="085C4DF7"/>
    <w:rsid w:val="085C4E86"/>
    <w:rsid w:val="085C4E87"/>
    <w:rsid w:val="085C4EEA"/>
    <w:rsid w:val="085C5011"/>
    <w:rsid w:val="085C502D"/>
    <w:rsid w:val="085C50A3"/>
    <w:rsid w:val="085C50D2"/>
    <w:rsid w:val="085C5138"/>
    <w:rsid w:val="085C5249"/>
    <w:rsid w:val="085C5261"/>
    <w:rsid w:val="085C5273"/>
    <w:rsid w:val="085C53E8"/>
    <w:rsid w:val="085C5477"/>
    <w:rsid w:val="085C552A"/>
    <w:rsid w:val="085C55F1"/>
    <w:rsid w:val="085C56D3"/>
    <w:rsid w:val="085C56E3"/>
    <w:rsid w:val="085C584E"/>
    <w:rsid w:val="085C595D"/>
    <w:rsid w:val="085C59D7"/>
    <w:rsid w:val="085C5A24"/>
    <w:rsid w:val="085C5A7D"/>
    <w:rsid w:val="085C5B29"/>
    <w:rsid w:val="085C5B50"/>
    <w:rsid w:val="085C5BEA"/>
    <w:rsid w:val="085C5C3D"/>
    <w:rsid w:val="085C5C9F"/>
    <w:rsid w:val="085C5D04"/>
    <w:rsid w:val="085C5D41"/>
    <w:rsid w:val="085C5DD5"/>
    <w:rsid w:val="085C5E2E"/>
    <w:rsid w:val="085C5E8E"/>
    <w:rsid w:val="085C5EAE"/>
    <w:rsid w:val="085C5EB3"/>
    <w:rsid w:val="085C5FE7"/>
    <w:rsid w:val="085C6013"/>
    <w:rsid w:val="085C6065"/>
    <w:rsid w:val="085C611F"/>
    <w:rsid w:val="085C6197"/>
    <w:rsid w:val="085C61AE"/>
    <w:rsid w:val="085C61B6"/>
    <w:rsid w:val="085C61EB"/>
    <w:rsid w:val="085C61F9"/>
    <w:rsid w:val="085C6208"/>
    <w:rsid w:val="085C6320"/>
    <w:rsid w:val="085C6403"/>
    <w:rsid w:val="085C642C"/>
    <w:rsid w:val="085C64EB"/>
    <w:rsid w:val="085C6508"/>
    <w:rsid w:val="085C651A"/>
    <w:rsid w:val="085C656C"/>
    <w:rsid w:val="085C6636"/>
    <w:rsid w:val="085C6641"/>
    <w:rsid w:val="085C664A"/>
    <w:rsid w:val="085C67A3"/>
    <w:rsid w:val="085C67CA"/>
    <w:rsid w:val="085C67FF"/>
    <w:rsid w:val="085C6A22"/>
    <w:rsid w:val="085C6A25"/>
    <w:rsid w:val="085C6A44"/>
    <w:rsid w:val="085C6A4D"/>
    <w:rsid w:val="085C6A65"/>
    <w:rsid w:val="085C6B71"/>
    <w:rsid w:val="085C6BB0"/>
    <w:rsid w:val="085C6C35"/>
    <w:rsid w:val="085C6C58"/>
    <w:rsid w:val="085C6DC2"/>
    <w:rsid w:val="085C6E7E"/>
    <w:rsid w:val="085C6F90"/>
    <w:rsid w:val="085C70EA"/>
    <w:rsid w:val="085C7136"/>
    <w:rsid w:val="085C714A"/>
    <w:rsid w:val="085C71D4"/>
    <w:rsid w:val="085C7214"/>
    <w:rsid w:val="085C72E0"/>
    <w:rsid w:val="085C7321"/>
    <w:rsid w:val="085C739F"/>
    <w:rsid w:val="085C7425"/>
    <w:rsid w:val="085C7479"/>
    <w:rsid w:val="085C7497"/>
    <w:rsid w:val="085C74AB"/>
    <w:rsid w:val="085C74E0"/>
    <w:rsid w:val="085C75BE"/>
    <w:rsid w:val="085C765B"/>
    <w:rsid w:val="085C7676"/>
    <w:rsid w:val="085C76A7"/>
    <w:rsid w:val="085C7732"/>
    <w:rsid w:val="085C776B"/>
    <w:rsid w:val="085C783D"/>
    <w:rsid w:val="085C78B7"/>
    <w:rsid w:val="085C78FA"/>
    <w:rsid w:val="085C7941"/>
    <w:rsid w:val="085C7A03"/>
    <w:rsid w:val="085C7B53"/>
    <w:rsid w:val="085C7C05"/>
    <w:rsid w:val="085C7C2C"/>
    <w:rsid w:val="085C7C73"/>
    <w:rsid w:val="085C7D3F"/>
    <w:rsid w:val="085C7D5C"/>
    <w:rsid w:val="085C7DE8"/>
    <w:rsid w:val="085C7DF3"/>
    <w:rsid w:val="085C7E13"/>
    <w:rsid w:val="085C7E1E"/>
    <w:rsid w:val="085C7ECC"/>
    <w:rsid w:val="085C7EEF"/>
    <w:rsid w:val="085C7FA5"/>
    <w:rsid w:val="085D0134"/>
    <w:rsid w:val="085D0153"/>
    <w:rsid w:val="085D01C8"/>
    <w:rsid w:val="085D0214"/>
    <w:rsid w:val="085D0215"/>
    <w:rsid w:val="085D0330"/>
    <w:rsid w:val="085D0359"/>
    <w:rsid w:val="085D03A7"/>
    <w:rsid w:val="085D04AA"/>
    <w:rsid w:val="085D04D3"/>
    <w:rsid w:val="085D05FF"/>
    <w:rsid w:val="085D0636"/>
    <w:rsid w:val="085D06BA"/>
    <w:rsid w:val="085D06E6"/>
    <w:rsid w:val="085D08BE"/>
    <w:rsid w:val="085D08F3"/>
    <w:rsid w:val="085D0994"/>
    <w:rsid w:val="085D09F5"/>
    <w:rsid w:val="085D0A83"/>
    <w:rsid w:val="085D0C29"/>
    <w:rsid w:val="085D0C69"/>
    <w:rsid w:val="085D0C7E"/>
    <w:rsid w:val="085D0CAB"/>
    <w:rsid w:val="085D0CB0"/>
    <w:rsid w:val="085D0D49"/>
    <w:rsid w:val="085D0DC2"/>
    <w:rsid w:val="085D0E0E"/>
    <w:rsid w:val="085D0E65"/>
    <w:rsid w:val="085D0E9C"/>
    <w:rsid w:val="085D0F27"/>
    <w:rsid w:val="085D0F4A"/>
    <w:rsid w:val="085D1041"/>
    <w:rsid w:val="085D1063"/>
    <w:rsid w:val="085D10C6"/>
    <w:rsid w:val="085D110E"/>
    <w:rsid w:val="085D1129"/>
    <w:rsid w:val="085D1175"/>
    <w:rsid w:val="085D1176"/>
    <w:rsid w:val="085D1178"/>
    <w:rsid w:val="085D11B9"/>
    <w:rsid w:val="085D11EA"/>
    <w:rsid w:val="085D12BB"/>
    <w:rsid w:val="085D13CB"/>
    <w:rsid w:val="085D13E2"/>
    <w:rsid w:val="085D1404"/>
    <w:rsid w:val="085D1473"/>
    <w:rsid w:val="085D14B6"/>
    <w:rsid w:val="085D14C0"/>
    <w:rsid w:val="085D1512"/>
    <w:rsid w:val="085D15A4"/>
    <w:rsid w:val="085D15BA"/>
    <w:rsid w:val="085D1665"/>
    <w:rsid w:val="085D1694"/>
    <w:rsid w:val="085D16C4"/>
    <w:rsid w:val="085D1726"/>
    <w:rsid w:val="085D1765"/>
    <w:rsid w:val="085D1775"/>
    <w:rsid w:val="085D17D6"/>
    <w:rsid w:val="085D1848"/>
    <w:rsid w:val="085D18C5"/>
    <w:rsid w:val="085D18C8"/>
    <w:rsid w:val="085D18DE"/>
    <w:rsid w:val="085D1C40"/>
    <w:rsid w:val="085D1C6F"/>
    <w:rsid w:val="085D1D78"/>
    <w:rsid w:val="085D1DC0"/>
    <w:rsid w:val="085D1F7C"/>
    <w:rsid w:val="085D20A3"/>
    <w:rsid w:val="085D21F5"/>
    <w:rsid w:val="085D2209"/>
    <w:rsid w:val="085D22FC"/>
    <w:rsid w:val="085D2378"/>
    <w:rsid w:val="085D23DA"/>
    <w:rsid w:val="085D23E2"/>
    <w:rsid w:val="085D2492"/>
    <w:rsid w:val="085D24EE"/>
    <w:rsid w:val="085D256B"/>
    <w:rsid w:val="085D2582"/>
    <w:rsid w:val="085D26D5"/>
    <w:rsid w:val="085D284B"/>
    <w:rsid w:val="085D2990"/>
    <w:rsid w:val="085D29B9"/>
    <w:rsid w:val="085D29FA"/>
    <w:rsid w:val="085D2A72"/>
    <w:rsid w:val="085D2AB4"/>
    <w:rsid w:val="085D2AD2"/>
    <w:rsid w:val="085D2B5F"/>
    <w:rsid w:val="085D2BC9"/>
    <w:rsid w:val="085D2C3E"/>
    <w:rsid w:val="085D2D56"/>
    <w:rsid w:val="085D2D8B"/>
    <w:rsid w:val="085D2D99"/>
    <w:rsid w:val="085D2EAD"/>
    <w:rsid w:val="085D2ECB"/>
    <w:rsid w:val="085D2EF8"/>
    <w:rsid w:val="085D2F8F"/>
    <w:rsid w:val="085D300C"/>
    <w:rsid w:val="085D3031"/>
    <w:rsid w:val="085D307D"/>
    <w:rsid w:val="085D314C"/>
    <w:rsid w:val="085D31C3"/>
    <w:rsid w:val="085D31FB"/>
    <w:rsid w:val="085D3200"/>
    <w:rsid w:val="085D327E"/>
    <w:rsid w:val="085D32CB"/>
    <w:rsid w:val="085D332C"/>
    <w:rsid w:val="085D335E"/>
    <w:rsid w:val="085D33E2"/>
    <w:rsid w:val="085D3481"/>
    <w:rsid w:val="085D34EF"/>
    <w:rsid w:val="085D3691"/>
    <w:rsid w:val="085D372C"/>
    <w:rsid w:val="085D3733"/>
    <w:rsid w:val="085D3759"/>
    <w:rsid w:val="085D377E"/>
    <w:rsid w:val="085D37E1"/>
    <w:rsid w:val="085D37F3"/>
    <w:rsid w:val="085D3854"/>
    <w:rsid w:val="085D3924"/>
    <w:rsid w:val="085D39B6"/>
    <w:rsid w:val="085D3BFC"/>
    <w:rsid w:val="085D3C2D"/>
    <w:rsid w:val="085D3C32"/>
    <w:rsid w:val="085D3D13"/>
    <w:rsid w:val="085D3E4E"/>
    <w:rsid w:val="085D3EA9"/>
    <w:rsid w:val="085D3ED4"/>
    <w:rsid w:val="085D413A"/>
    <w:rsid w:val="085D4171"/>
    <w:rsid w:val="085D41DE"/>
    <w:rsid w:val="085D4205"/>
    <w:rsid w:val="085D42B4"/>
    <w:rsid w:val="085D42DE"/>
    <w:rsid w:val="085D4335"/>
    <w:rsid w:val="085D433B"/>
    <w:rsid w:val="085D4343"/>
    <w:rsid w:val="085D4347"/>
    <w:rsid w:val="085D4352"/>
    <w:rsid w:val="085D443E"/>
    <w:rsid w:val="085D4469"/>
    <w:rsid w:val="085D44A1"/>
    <w:rsid w:val="085D44B5"/>
    <w:rsid w:val="085D451A"/>
    <w:rsid w:val="085D4560"/>
    <w:rsid w:val="085D45C3"/>
    <w:rsid w:val="085D4610"/>
    <w:rsid w:val="085D4611"/>
    <w:rsid w:val="085D48BB"/>
    <w:rsid w:val="085D48E2"/>
    <w:rsid w:val="085D492B"/>
    <w:rsid w:val="085D4979"/>
    <w:rsid w:val="085D498A"/>
    <w:rsid w:val="085D4999"/>
    <w:rsid w:val="085D4AD2"/>
    <w:rsid w:val="085D4B58"/>
    <w:rsid w:val="085D4B7D"/>
    <w:rsid w:val="085D4BA1"/>
    <w:rsid w:val="085D4C9E"/>
    <w:rsid w:val="085D4CFB"/>
    <w:rsid w:val="085D4D96"/>
    <w:rsid w:val="085D4DE0"/>
    <w:rsid w:val="085D4E38"/>
    <w:rsid w:val="085D4F54"/>
    <w:rsid w:val="085D4FC5"/>
    <w:rsid w:val="085D5016"/>
    <w:rsid w:val="085D501A"/>
    <w:rsid w:val="085D50B1"/>
    <w:rsid w:val="085D50DA"/>
    <w:rsid w:val="085D51E3"/>
    <w:rsid w:val="085D52DF"/>
    <w:rsid w:val="085D52F4"/>
    <w:rsid w:val="085D5444"/>
    <w:rsid w:val="085D54F1"/>
    <w:rsid w:val="085D5526"/>
    <w:rsid w:val="085D55DD"/>
    <w:rsid w:val="085D564F"/>
    <w:rsid w:val="085D566D"/>
    <w:rsid w:val="085D569B"/>
    <w:rsid w:val="085D571B"/>
    <w:rsid w:val="085D57AD"/>
    <w:rsid w:val="085D584D"/>
    <w:rsid w:val="085D586E"/>
    <w:rsid w:val="085D58B8"/>
    <w:rsid w:val="085D590A"/>
    <w:rsid w:val="085D5939"/>
    <w:rsid w:val="085D5A4B"/>
    <w:rsid w:val="085D5A7F"/>
    <w:rsid w:val="085D5A94"/>
    <w:rsid w:val="085D5AAF"/>
    <w:rsid w:val="085D5BCC"/>
    <w:rsid w:val="085D5BD9"/>
    <w:rsid w:val="085D5BF5"/>
    <w:rsid w:val="085D5C47"/>
    <w:rsid w:val="085D5C67"/>
    <w:rsid w:val="085D5C9B"/>
    <w:rsid w:val="085D5CE9"/>
    <w:rsid w:val="085D5D03"/>
    <w:rsid w:val="085D5E21"/>
    <w:rsid w:val="085D5E2E"/>
    <w:rsid w:val="085D5F26"/>
    <w:rsid w:val="085D5F8E"/>
    <w:rsid w:val="085D5FA9"/>
    <w:rsid w:val="085D601B"/>
    <w:rsid w:val="085D60F3"/>
    <w:rsid w:val="085D6174"/>
    <w:rsid w:val="085D61DF"/>
    <w:rsid w:val="085D62CA"/>
    <w:rsid w:val="085D62CB"/>
    <w:rsid w:val="085D6354"/>
    <w:rsid w:val="085D6391"/>
    <w:rsid w:val="085D6408"/>
    <w:rsid w:val="085D6422"/>
    <w:rsid w:val="085D6447"/>
    <w:rsid w:val="085D6448"/>
    <w:rsid w:val="085D647F"/>
    <w:rsid w:val="085D64C5"/>
    <w:rsid w:val="085D65B6"/>
    <w:rsid w:val="085D65E0"/>
    <w:rsid w:val="085D660A"/>
    <w:rsid w:val="085D6659"/>
    <w:rsid w:val="085D66D9"/>
    <w:rsid w:val="085D6715"/>
    <w:rsid w:val="085D67FB"/>
    <w:rsid w:val="085D689C"/>
    <w:rsid w:val="085D68DD"/>
    <w:rsid w:val="085D6954"/>
    <w:rsid w:val="085D695F"/>
    <w:rsid w:val="085D69A1"/>
    <w:rsid w:val="085D6A8B"/>
    <w:rsid w:val="085D6AB7"/>
    <w:rsid w:val="085D6BAD"/>
    <w:rsid w:val="085D6BCA"/>
    <w:rsid w:val="085D6BD2"/>
    <w:rsid w:val="085D6C45"/>
    <w:rsid w:val="085D6CB9"/>
    <w:rsid w:val="085D6CF1"/>
    <w:rsid w:val="085D6D10"/>
    <w:rsid w:val="085D6E0D"/>
    <w:rsid w:val="085D6F10"/>
    <w:rsid w:val="085D6F40"/>
    <w:rsid w:val="085D6FBE"/>
    <w:rsid w:val="085D7069"/>
    <w:rsid w:val="085D709F"/>
    <w:rsid w:val="085D7221"/>
    <w:rsid w:val="085D7255"/>
    <w:rsid w:val="085D729C"/>
    <w:rsid w:val="085D72E7"/>
    <w:rsid w:val="085D737D"/>
    <w:rsid w:val="085D738D"/>
    <w:rsid w:val="085D73E2"/>
    <w:rsid w:val="085D744C"/>
    <w:rsid w:val="085D74A0"/>
    <w:rsid w:val="085D74F4"/>
    <w:rsid w:val="085D7587"/>
    <w:rsid w:val="085D75C6"/>
    <w:rsid w:val="085D7858"/>
    <w:rsid w:val="085D78AC"/>
    <w:rsid w:val="085D7900"/>
    <w:rsid w:val="085D7A04"/>
    <w:rsid w:val="085D7A19"/>
    <w:rsid w:val="085D7AC2"/>
    <w:rsid w:val="085D7B58"/>
    <w:rsid w:val="085D7CF1"/>
    <w:rsid w:val="085D7D2A"/>
    <w:rsid w:val="085D7D5B"/>
    <w:rsid w:val="085D7DF9"/>
    <w:rsid w:val="085D7E26"/>
    <w:rsid w:val="085D7E62"/>
    <w:rsid w:val="085D7EFF"/>
    <w:rsid w:val="085D7F5A"/>
    <w:rsid w:val="085D7F66"/>
    <w:rsid w:val="085D7F9D"/>
    <w:rsid w:val="085E0013"/>
    <w:rsid w:val="085E012F"/>
    <w:rsid w:val="085E0195"/>
    <w:rsid w:val="085E01C7"/>
    <w:rsid w:val="085E027B"/>
    <w:rsid w:val="085E02E3"/>
    <w:rsid w:val="085E02EB"/>
    <w:rsid w:val="085E032D"/>
    <w:rsid w:val="085E036C"/>
    <w:rsid w:val="085E0429"/>
    <w:rsid w:val="085E05C0"/>
    <w:rsid w:val="085E0635"/>
    <w:rsid w:val="085E0653"/>
    <w:rsid w:val="085E07BD"/>
    <w:rsid w:val="085E08E5"/>
    <w:rsid w:val="085E0904"/>
    <w:rsid w:val="085E0934"/>
    <w:rsid w:val="085E0A2F"/>
    <w:rsid w:val="085E0C66"/>
    <w:rsid w:val="085E0CBF"/>
    <w:rsid w:val="085E0CD3"/>
    <w:rsid w:val="085E0D26"/>
    <w:rsid w:val="085E0D48"/>
    <w:rsid w:val="085E0D8D"/>
    <w:rsid w:val="085E0D8F"/>
    <w:rsid w:val="085E0F6E"/>
    <w:rsid w:val="085E0FC6"/>
    <w:rsid w:val="085E0FE0"/>
    <w:rsid w:val="085E0FEE"/>
    <w:rsid w:val="085E101C"/>
    <w:rsid w:val="085E1035"/>
    <w:rsid w:val="085E1158"/>
    <w:rsid w:val="085E1194"/>
    <w:rsid w:val="085E1263"/>
    <w:rsid w:val="085E12DF"/>
    <w:rsid w:val="085E1312"/>
    <w:rsid w:val="085E1339"/>
    <w:rsid w:val="085E1429"/>
    <w:rsid w:val="085E149D"/>
    <w:rsid w:val="085E14DB"/>
    <w:rsid w:val="085E14FD"/>
    <w:rsid w:val="085E1556"/>
    <w:rsid w:val="085E15B6"/>
    <w:rsid w:val="085E15CD"/>
    <w:rsid w:val="085E1672"/>
    <w:rsid w:val="085E1740"/>
    <w:rsid w:val="085E17E7"/>
    <w:rsid w:val="085E185C"/>
    <w:rsid w:val="085E18E0"/>
    <w:rsid w:val="085E1903"/>
    <w:rsid w:val="085E1949"/>
    <w:rsid w:val="085E194A"/>
    <w:rsid w:val="085E19BB"/>
    <w:rsid w:val="085E19D0"/>
    <w:rsid w:val="085E1A1C"/>
    <w:rsid w:val="085E1AEA"/>
    <w:rsid w:val="085E1C34"/>
    <w:rsid w:val="085E1C36"/>
    <w:rsid w:val="085E1C6F"/>
    <w:rsid w:val="085E1C89"/>
    <w:rsid w:val="085E1CBF"/>
    <w:rsid w:val="085E1D52"/>
    <w:rsid w:val="085E1DA0"/>
    <w:rsid w:val="085E1E2C"/>
    <w:rsid w:val="085E1E55"/>
    <w:rsid w:val="085E1E89"/>
    <w:rsid w:val="085E1FA6"/>
    <w:rsid w:val="085E20CB"/>
    <w:rsid w:val="085E20D2"/>
    <w:rsid w:val="085E217F"/>
    <w:rsid w:val="085E21B9"/>
    <w:rsid w:val="085E2297"/>
    <w:rsid w:val="085E22F6"/>
    <w:rsid w:val="085E22FC"/>
    <w:rsid w:val="085E2337"/>
    <w:rsid w:val="085E236D"/>
    <w:rsid w:val="085E2438"/>
    <w:rsid w:val="085E24F8"/>
    <w:rsid w:val="085E251B"/>
    <w:rsid w:val="085E2543"/>
    <w:rsid w:val="085E25B3"/>
    <w:rsid w:val="085E25E8"/>
    <w:rsid w:val="085E25EF"/>
    <w:rsid w:val="085E265B"/>
    <w:rsid w:val="085E266C"/>
    <w:rsid w:val="085E2686"/>
    <w:rsid w:val="085E26B0"/>
    <w:rsid w:val="085E273A"/>
    <w:rsid w:val="085E2755"/>
    <w:rsid w:val="085E2878"/>
    <w:rsid w:val="085E2884"/>
    <w:rsid w:val="085E28C5"/>
    <w:rsid w:val="085E2A06"/>
    <w:rsid w:val="085E2A3E"/>
    <w:rsid w:val="085E2AAF"/>
    <w:rsid w:val="085E2AED"/>
    <w:rsid w:val="085E2B53"/>
    <w:rsid w:val="085E2BD4"/>
    <w:rsid w:val="085E2C3F"/>
    <w:rsid w:val="085E2C4C"/>
    <w:rsid w:val="085E2C6B"/>
    <w:rsid w:val="085E2D1A"/>
    <w:rsid w:val="085E2DB9"/>
    <w:rsid w:val="085E2E5E"/>
    <w:rsid w:val="085E2E8C"/>
    <w:rsid w:val="085E2EAA"/>
    <w:rsid w:val="085E2EEF"/>
    <w:rsid w:val="085E3122"/>
    <w:rsid w:val="085E3198"/>
    <w:rsid w:val="085E3215"/>
    <w:rsid w:val="085E325F"/>
    <w:rsid w:val="085E326E"/>
    <w:rsid w:val="085E3285"/>
    <w:rsid w:val="085E32BA"/>
    <w:rsid w:val="085E32F4"/>
    <w:rsid w:val="085E33DC"/>
    <w:rsid w:val="085E33E1"/>
    <w:rsid w:val="085E33EB"/>
    <w:rsid w:val="085E34F5"/>
    <w:rsid w:val="085E3505"/>
    <w:rsid w:val="085E37B3"/>
    <w:rsid w:val="085E37BD"/>
    <w:rsid w:val="085E37FA"/>
    <w:rsid w:val="085E384E"/>
    <w:rsid w:val="085E3B61"/>
    <w:rsid w:val="085E3B65"/>
    <w:rsid w:val="085E3C19"/>
    <w:rsid w:val="085E3C6C"/>
    <w:rsid w:val="085E3C71"/>
    <w:rsid w:val="085E3C98"/>
    <w:rsid w:val="085E3E28"/>
    <w:rsid w:val="085E3E60"/>
    <w:rsid w:val="085E3EA7"/>
    <w:rsid w:val="085E3F6D"/>
    <w:rsid w:val="085E3F73"/>
    <w:rsid w:val="085E4028"/>
    <w:rsid w:val="085E4030"/>
    <w:rsid w:val="085E4108"/>
    <w:rsid w:val="085E41F5"/>
    <w:rsid w:val="085E4291"/>
    <w:rsid w:val="085E42C6"/>
    <w:rsid w:val="085E4349"/>
    <w:rsid w:val="085E43DC"/>
    <w:rsid w:val="085E44A2"/>
    <w:rsid w:val="085E458C"/>
    <w:rsid w:val="085E4603"/>
    <w:rsid w:val="085E4646"/>
    <w:rsid w:val="085E4658"/>
    <w:rsid w:val="085E46D7"/>
    <w:rsid w:val="085E46FA"/>
    <w:rsid w:val="085E4729"/>
    <w:rsid w:val="085E4740"/>
    <w:rsid w:val="085E4805"/>
    <w:rsid w:val="085E4829"/>
    <w:rsid w:val="085E48A1"/>
    <w:rsid w:val="085E491E"/>
    <w:rsid w:val="085E4956"/>
    <w:rsid w:val="085E4980"/>
    <w:rsid w:val="085E4982"/>
    <w:rsid w:val="085E4A2D"/>
    <w:rsid w:val="085E4AAB"/>
    <w:rsid w:val="085E4B11"/>
    <w:rsid w:val="085E4B5B"/>
    <w:rsid w:val="085E4C43"/>
    <w:rsid w:val="085E4D02"/>
    <w:rsid w:val="085E4D21"/>
    <w:rsid w:val="085E4DA6"/>
    <w:rsid w:val="085E4DDB"/>
    <w:rsid w:val="085E4DF1"/>
    <w:rsid w:val="085E4E9D"/>
    <w:rsid w:val="085E4EAF"/>
    <w:rsid w:val="085E4EE8"/>
    <w:rsid w:val="085E4F55"/>
    <w:rsid w:val="085E5004"/>
    <w:rsid w:val="085E5074"/>
    <w:rsid w:val="085E5084"/>
    <w:rsid w:val="085E5185"/>
    <w:rsid w:val="085E51A0"/>
    <w:rsid w:val="085E51DD"/>
    <w:rsid w:val="085E5288"/>
    <w:rsid w:val="085E52BB"/>
    <w:rsid w:val="085E53B4"/>
    <w:rsid w:val="085E53C2"/>
    <w:rsid w:val="085E53D9"/>
    <w:rsid w:val="085E5496"/>
    <w:rsid w:val="085E54AE"/>
    <w:rsid w:val="085E54DA"/>
    <w:rsid w:val="085E5701"/>
    <w:rsid w:val="085E5756"/>
    <w:rsid w:val="085E57BE"/>
    <w:rsid w:val="085E5804"/>
    <w:rsid w:val="085E5872"/>
    <w:rsid w:val="085E5964"/>
    <w:rsid w:val="085E5981"/>
    <w:rsid w:val="085E59B1"/>
    <w:rsid w:val="085E59BF"/>
    <w:rsid w:val="085E5AFC"/>
    <w:rsid w:val="085E5B4A"/>
    <w:rsid w:val="085E5C16"/>
    <w:rsid w:val="085E5D43"/>
    <w:rsid w:val="085E5DC7"/>
    <w:rsid w:val="085E5E40"/>
    <w:rsid w:val="085E5E41"/>
    <w:rsid w:val="085E5EEA"/>
    <w:rsid w:val="085E5FC8"/>
    <w:rsid w:val="085E61A9"/>
    <w:rsid w:val="085E61F2"/>
    <w:rsid w:val="085E6255"/>
    <w:rsid w:val="085E62A9"/>
    <w:rsid w:val="085E634B"/>
    <w:rsid w:val="085E636A"/>
    <w:rsid w:val="085E636D"/>
    <w:rsid w:val="085E638B"/>
    <w:rsid w:val="085E6394"/>
    <w:rsid w:val="085E6429"/>
    <w:rsid w:val="085E64E6"/>
    <w:rsid w:val="085E6540"/>
    <w:rsid w:val="085E6578"/>
    <w:rsid w:val="085E65AB"/>
    <w:rsid w:val="085E6663"/>
    <w:rsid w:val="085E6700"/>
    <w:rsid w:val="085E6719"/>
    <w:rsid w:val="085E6738"/>
    <w:rsid w:val="085E6781"/>
    <w:rsid w:val="085E67EF"/>
    <w:rsid w:val="085E6863"/>
    <w:rsid w:val="085E6980"/>
    <w:rsid w:val="085E6A68"/>
    <w:rsid w:val="085E6A95"/>
    <w:rsid w:val="085E6BBF"/>
    <w:rsid w:val="085E6D1B"/>
    <w:rsid w:val="085E6D99"/>
    <w:rsid w:val="085E6D9B"/>
    <w:rsid w:val="085E6E6B"/>
    <w:rsid w:val="085E6EEE"/>
    <w:rsid w:val="085E6F38"/>
    <w:rsid w:val="085E6F3A"/>
    <w:rsid w:val="085E6F6C"/>
    <w:rsid w:val="085E6F6F"/>
    <w:rsid w:val="085E701D"/>
    <w:rsid w:val="085E7021"/>
    <w:rsid w:val="085E7122"/>
    <w:rsid w:val="085E71EA"/>
    <w:rsid w:val="085E727E"/>
    <w:rsid w:val="085E72B2"/>
    <w:rsid w:val="085E72E0"/>
    <w:rsid w:val="085E73B2"/>
    <w:rsid w:val="085E73FC"/>
    <w:rsid w:val="085E74E8"/>
    <w:rsid w:val="085E750D"/>
    <w:rsid w:val="085E7573"/>
    <w:rsid w:val="085E75C1"/>
    <w:rsid w:val="085E7704"/>
    <w:rsid w:val="085E7815"/>
    <w:rsid w:val="085E7886"/>
    <w:rsid w:val="085E79CC"/>
    <w:rsid w:val="085E7A31"/>
    <w:rsid w:val="085E7A34"/>
    <w:rsid w:val="085E7A94"/>
    <w:rsid w:val="085E7B32"/>
    <w:rsid w:val="085E7C12"/>
    <w:rsid w:val="085E7C5C"/>
    <w:rsid w:val="085E7CA5"/>
    <w:rsid w:val="085E7CB7"/>
    <w:rsid w:val="085E7CEC"/>
    <w:rsid w:val="085E7D3E"/>
    <w:rsid w:val="085E7D98"/>
    <w:rsid w:val="085E7D9F"/>
    <w:rsid w:val="085E7DD4"/>
    <w:rsid w:val="085E7E1A"/>
    <w:rsid w:val="085E7E9C"/>
    <w:rsid w:val="085E7F8B"/>
    <w:rsid w:val="085E7FCD"/>
    <w:rsid w:val="085E7FF5"/>
    <w:rsid w:val="085F0175"/>
    <w:rsid w:val="085F01CD"/>
    <w:rsid w:val="085F0200"/>
    <w:rsid w:val="085F0264"/>
    <w:rsid w:val="085F0270"/>
    <w:rsid w:val="085F02BE"/>
    <w:rsid w:val="085F02C1"/>
    <w:rsid w:val="085F02E2"/>
    <w:rsid w:val="085F02F4"/>
    <w:rsid w:val="085F0339"/>
    <w:rsid w:val="085F0366"/>
    <w:rsid w:val="085F0426"/>
    <w:rsid w:val="085F0454"/>
    <w:rsid w:val="085F049C"/>
    <w:rsid w:val="085F04BD"/>
    <w:rsid w:val="085F0525"/>
    <w:rsid w:val="085F0554"/>
    <w:rsid w:val="085F0675"/>
    <w:rsid w:val="085F0693"/>
    <w:rsid w:val="085F07BA"/>
    <w:rsid w:val="085F07BF"/>
    <w:rsid w:val="085F08CF"/>
    <w:rsid w:val="085F08D9"/>
    <w:rsid w:val="085F091F"/>
    <w:rsid w:val="085F0965"/>
    <w:rsid w:val="085F09C8"/>
    <w:rsid w:val="085F09E8"/>
    <w:rsid w:val="085F0C70"/>
    <w:rsid w:val="085F0C97"/>
    <w:rsid w:val="085F0CED"/>
    <w:rsid w:val="085F0D8F"/>
    <w:rsid w:val="085F0D99"/>
    <w:rsid w:val="085F0DDA"/>
    <w:rsid w:val="085F0E1C"/>
    <w:rsid w:val="085F0E3C"/>
    <w:rsid w:val="085F0F71"/>
    <w:rsid w:val="085F0FBA"/>
    <w:rsid w:val="085F106C"/>
    <w:rsid w:val="085F10A1"/>
    <w:rsid w:val="085F10BC"/>
    <w:rsid w:val="085F10C0"/>
    <w:rsid w:val="085F10D3"/>
    <w:rsid w:val="085F113F"/>
    <w:rsid w:val="085F1215"/>
    <w:rsid w:val="085F12B0"/>
    <w:rsid w:val="085F1313"/>
    <w:rsid w:val="085F1335"/>
    <w:rsid w:val="085F1374"/>
    <w:rsid w:val="085F13CD"/>
    <w:rsid w:val="085F145B"/>
    <w:rsid w:val="085F146F"/>
    <w:rsid w:val="085F14E3"/>
    <w:rsid w:val="085F1568"/>
    <w:rsid w:val="085F1596"/>
    <w:rsid w:val="085F159C"/>
    <w:rsid w:val="085F15DE"/>
    <w:rsid w:val="085F1606"/>
    <w:rsid w:val="085F1669"/>
    <w:rsid w:val="085F167E"/>
    <w:rsid w:val="085F16DB"/>
    <w:rsid w:val="085F1851"/>
    <w:rsid w:val="085F18C5"/>
    <w:rsid w:val="085F18FA"/>
    <w:rsid w:val="085F191C"/>
    <w:rsid w:val="085F198D"/>
    <w:rsid w:val="085F1A03"/>
    <w:rsid w:val="085F1A68"/>
    <w:rsid w:val="085F1C4D"/>
    <w:rsid w:val="085F1CDE"/>
    <w:rsid w:val="085F1DF3"/>
    <w:rsid w:val="085F1E25"/>
    <w:rsid w:val="085F1E6C"/>
    <w:rsid w:val="085F1E83"/>
    <w:rsid w:val="085F211C"/>
    <w:rsid w:val="085F2212"/>
    <w:rsid w:val="085F223A"/>
    <w:rsid w:val="085F2392"/>
    <w:rsid w:val="085F23F7"/>
    <w:rsid w:val="085F2407"/>
    <w:rsid w:val="085F2420"/>
    <w:rsid w:val="085F2436"/>
    <w:rsid w:val="085F2491"/>
    <w:rsid w:val="085F24CF"/>
    <w:rsid w:val="085F255A"/>
    <w:rsid w:val="085F259F"/>
    <w:rsid w:val="085F261E"/>
    <w:rsid w:val="085F2697"/>
    <w:rsid w:val="085F269E"/>
    <w:rsid w:val="085F26A0"/>
    <w:rsid w:val="085F280D"/>
    <w:rsid w:val="085F291A"/>
    <w:rsid w:val="085F29A1"/>
    <w:rsid w:val="085F29DD"/>
    <w:rsid w:val="085F2AD1"/>
    <w:rsid w:val="085F2B07"/>
    <w:rsid w:val="085F2BB4"/>
    <w:rsid w:val="085F2C42"/>
    <w:rsid w:val="085F2D0A"/>
    <w:rsid w:val="085F2D1A"/>
    <w:rsid w:val="085F2DB3"/>
    <w:rsid w:val="085F2DB8"/>
    <w:rsid w:val="085F2E07"/>
    <w:rsid w:val="085F2E91"/>
    <w:rsid w:val="085F2EC0"/>
    <w:rsid w:val="085F2F15"/>
    <w:rsid w:val="085F2FA2"/>
    <w:rsid w:val="085F312B"/>
    <w:rsid w:val="085F3151"/>
    <w:rsid w:val="085F3155"/>
    <w:rsid w:val="085F31F8"/>
    <w:rsid w:val="085F322C"/>
    <w:rsid w:val="085F32D6"/>
    <w:rsid w:val="085F32E8"/>
    <w:rsid w:val="085F32FC"/>
    <w:rsid w:val="085F3358"/>
    <w:rsid w:val="085F33A9"/>
    <w:rsid w:val="085F33E5"/>
    <w:rsid w:val="085F3459"/>
    <w:rsid w:val="085F35B9"/>
    <w:rsid w:val="085F35F1"/>
    <w:rsid w:val="085F3608"/>
    <w:rsid w:val="085F36F0"/>
    <w:rsid w:val="085F36FD"/>
    <w:rsid w:val="085F371A"/>
    <w:rsid w:val="085F3768"/>
    <w:rsid w:val="085F37A1"/>
    <w:rsid w:val="085F37AC"/>
    <w:rsid w:val="085F381D"/>
    <w:rsid w:val="085F3890"/>
    <w:rsid w:val="085F3986"/>
    <w:rsid w:val="085F3A51"/>
    <w:rsid w:val="085F3A99"/>
    <w:rsid w:val="085F3AFF"/>
    <w:rsid w:val="085F3B1A"/>
    <w:rsid w:val="085F3BBA"/>
    <w:rsid w:val="085F3C42"/>
    <w:rsid w:val="085F3C54"/>
    <w:rsid w:val="085F3D99"/>
    <w:rsid w:val="085F3E87"/>
    <w:rsid w:val="085F3EA4"/>
    <w:rsid w:val="085F3F66"/>
    <w:rsid w:val="085F3FF1"/>
    <w:rsid w:val="085F4124"/>
    <w:rsid w:val="085F423C"/>
    <w:rsid w:val="085F4249"/>
    <w:rsid w:val="085F42DF"/>
    <w:rsid w:val="085F4370"/>
    <w:rsid w:val="085F44A1"/>
    <w:rsid w:val="085F4532"/>
    <w:rsid w:val="085F45B7"/>
    <w:rsid w:val="085F46A9"/>
    <w:rsid w:val="085F47F4"/>
    <w:rsid w:val="085F47FD"/>
    <w:rsid w:val="085F481B"/>
    <w:rsid w:val="085F482B"/>
    <w:rsid w:val="085F4840"/>
    <w:rsid w:val="085F48D0"/>
    <w:rsid w:val="085F492E"/>
    <w:rsid w:val="085F4A97"/>
    <w:rsid w:val="085F4AB7"/>
    <w:rsid w:val="085F4B85"/>
    <w:rsid w:val="085F4E57"/>
    <w:rsid w:val="085F4EC8"/>
    <w:rsid w:val="085F4F86"/>
    <w:rsid w:val="085F4FB5"/>
    <w:rsid w:val="085F4FDD"/>
    <w:rsid w:val="085F5039"/>
    <w:rsid w:val="085F5064"/>
    <w:rsid w:val="085F5124"/>
    <w:rsid w:val="085F5198"/>
    <w:rsid w:val="085F51D5"/>
    <w:rsid w:val="085F51EC"/>
    <w:rsid w:val="085F521B"/>
    <w:rsid w:val="085F5260"/>
    <w:rsid w:val="085F52D2"/>
    <w:rsid w:val="085F540F"/>
    <w:rsid w:val="085F5448"/>
    <w:rsid w:val="085F547E"/>
    <w:rsid w:val="085F54AB"/>
    <w:rsid w:val="085F54D3"/>
    <w:rsid w:val="085F5578"/>
    <w:rsid w:val="085F5592"/>
    <w:rsid w:val="085F5624"/>
    <w:rsid w:val="085F5642"/>
    <w:rsid w:val="085F5655"/>
    <w:rsid w:val="085F5660"/>
    <w:rsid w:val="085F5696"/>
    <w:rsid w:val="085F56C6"/>
    <w:rsid w:val="085F56D8"/>
    <w:rsid w:val="085F5747"/>
    <w:rsid w:val="085F57D6"/>
    <w:rsid w:val="085F57FF"/>
    <w:rsid w:val="085F5841"/>
    <w:rsid w:val="085F58AE"/>
    <w:rsid w:val="085F58C1"/>
    <w:rsid w:val="085F58FF"/>
    <w:rsid w:val="085F5946"/>
    <w:rsid w:val="085F5A05"/>
    <w:rsid w:val="085F5A5B"/>
    <w:rsid w:val="085F5AE9"/>
    <w:rsid w:val="085F5AEC"/>
    <w:rsid w:val="085F5B34"/>
    <w:rsid w:val="085F5B4F"/>
    <w:rsid w:val="085F5BA4"/>
    <w:rsid w:val="085F5C26"/>
    <w:rsid w:val="085F5C59"/>
    <w:rsid w:val="085F5CA3"/>
    <w:rsid w:val="085F5D3A"/>
    <w:rsid w:val="085F5DAD"/>
    <w:rsid w:val="085F5DC3"/>
    <w:rsid w:val="085F5DE9"/>
    <w:rsid w:val="085F5E68"/>
    <w:rsid w:val="085F5E74"/>
    <w:rsid w:val="085F5EF5"/>
    <w:rsid w:val="085F5EF6"/>
    <w:rsid w:val="085F5F9D"/>
    <w:rsid w:val="085F5FBC"/>
    <w:rsid w:val="085F5FC4"/>
    <w:rsid w:val="085F6027"/>
    <w:rsid w:val="085F60D3"/>
    <w:rsid w:val="085F60D7"/>
    <w:rsid w:val="085F613C"/>
    <w:rsid w:val="085F621F"/>
    <w:rsid w:val="085F6296"/>
    <w:rsid w:val="085F62EA"/>
    <w:rsid w:val="085F62EC"/>
    <w:rsid w:val="085F634C"/>
    <w:rsid w:val="085F63C2"/>
    <w:rsid w:val="085F63E4"/>
    <w:rsid w:val="085F6470"/>
    <w:rsid w:val="085F648B"/>
    <w:rsid w:val="085F64BD"/>
    <w:rsid w:val="085F6529"/>
    <w:rsid w:val="085F65DD"/>
    <w:rsid w:val="085F65ED"/>
    <w:rsid w:val="085F6608"/>
    <w:rsid w:val="085F6624"/>
    <w:rsid w:val="085F6661"/>
    <w:rsid w:val="085F668F"/>
    <w:rsid w:val="085F6842"/>
    <w:rsid w:val="085F68F3"/>
    <w:rsid w:val="085F6974"/>
    <w:rsid w:val="085F69A9"/>
    <w:rsid w:val="085F69E3"/>
    <w:rsid w:val="085F6AC8"/>
    <w:rsid w:val="085F6ADF"/>
    <w:rsid w:val="085F6B28"/>
    <w:rsid w:val="085F6B5B"/>
    <w:rsid w:val="085F6BBF"/>
    <w:rsid w:val="085F6BC7"/>
    <w:rsid w:val="085F6BC9"/>
    <w:rsid w:val="085F6BFF"/>
    <w:rsid w:val="085F6C28"/>
    <w:rsid w:val="085F6CA8"/>
    <w:rsid w:val="085F6D08"/>
    <w:rsid w:val="085F6DC6"/>
    <w:rsid w:val="085F6DD5"/>
    <w:rsid w:val="085F6DDE"/>
    <w:rsid w:val="085F6E44"/>
    <w:rsid w:val="085F6FC7"/>
    <w:rsid w:val="085F6FD5"/>
    <w:rsid w:val="085F701B"/>
    <w:rsid w:val="085F70D4"/>
    <w:rsid w:val="085F70F0"/>
    <w:rsid w:val="085F7171"/>
    <w:rsid w:val="085F71A4"/>
    <w:rsid w:val="085F71B7"/>
    <w:rsid w:val="085F71F4"/>
    <w:rsid w:val="085F724C"/>
    <w:rsid w:val="085F7292"/>
    <w:rsid w:val="085F72A2"/>
    <w:rsid w:val="085F72B6"/>
    <w:rsid w:val="085F7367"/>
    <w:rsid w:val="085F73A2"/>
    <w:rsid w:val="085F740A"/>
    <w:rsid w:val="085F74BD"/>
    <w:rsid w:val="085F756B"/>
    <w:rsid w:val="085F75C9"/>
    <w:rsid w:val="085F75FB"/>
    <w:rsid w:val="085F767C"/>
    <w:rsid w:val="085F7738"/>
    <w:rsid w:val="085F77BD"/>
    <w:rsid w:val="085F781B"/>
    <w:rsid w:val="085F7835"/>
    <w:rsid w:val="085F7860"/>
    <w:rsid w:val="085F7923"/>
    <w:rsid w:val="085F7940"/>
    <w:rsid w:val="085F799B"/>
    <w:rsid w:val="085F79A9"/>
    <w:rsid w:val="085F7A10"/>
    <w:rsid w:val="085F7A18"/>
    <w:rsid w:val="085F7AFA"/>
    <w:rsid w:val="085F7C5F"/>
    <w:rsid w:val="085F7EA0"/>
    <w:rsid w:val="085F7EAD"/>
    <w:rsid w:val="085F7F30"/>
    <w:rsid w:val="086001AE"/>
    <w:rsid w:val="0860023D"/>
    <w:rsid w:val="0860025B"/>
    <w:rsid w:val="0860029C"/>
    <w:rsid w:val="086002AE"/>
    <w:rsid w:val="086002EF"/>
    <w:rsid w:val="086003C1"/>
    <w:rsid w:val="086004C0"/>
    <w:rsid w:val="08600559"/>
    <w:rsid w:val="08600584"/>
    <w:rsid w:val="0860058C"/>
    <w:rsid w:val="086005AF"/>
    <w:rsid w:val="08600605"/>
    <w:rsid w:val="08600692"/>
    <w:rsid w:val="086007E3"/>
    <w:rsid w:val="086009F8"/>
    <w:rsid w:val="08600AD7"/>
    <w:rsid w:val="08600B2A"/>
    <w:rsid w:val="08600BA2"/>
    <w:rsid w:val="08600BA6"/>
    <w:rsid w:val="08600BB3"/>
    <w:rsid w:val="08600C54"/>
    <w:rsid w:val="08600C97"/>
    <w:rsid w:val="08600CFF"/>
    <w:rsid w:val="08600D5B"/>
    <w:rsid w:val="08600D84"/>
    <w:rsid w:val="08600DD2"/>
    <w:rsid w:val="08600E7C"/>
    <w:rsid w:val="08600F5B"/>
    <w:rsid w:val="08600F64"/>
    <w:rsid w:val="08600F6C"/>
    <w:rsid w:val="08600F7A"/>
    <w:rsid w:val="08600FE5"/>
    <w:rsid w:val="0860102E"/>
    <w:rsid w:val="08601087"/>
    <w:rsid w:val="086010F5"/>
    <w:rsid w:val="08601164"/>
    <w:rsid w:val="086011AB"/>
    <w:rsid w:val="0860121E"/>
    <w:rsid w:val="08601249"/>
    <w:rsid w:val="08601297"/>
    <w:rsid w:val="08601365"/>
    <w:rsid w:val="086013A5"/>
    <w:rsid w:val="086013FF"/>
    <w:rsid w:val="086014A5"/>
    <w:rsid w:val="0860152A"/>
    <w:rsid w:val="086016C0"/>
    <w:rsid w:val="086016DB"/>
    <w:rsid w:val="08601807"/>
    <w:rsid w:val="08601808"/>
    <w:rsid w:val="0860186C"/>
    <w:rsid w:val="086018D2"/>
    <w:rsid w:val="086019C0"/>
    <w:rsid w:val="08601A3E"/>
    <w:rsid w:val="08601A8D"/>
    <w:rsid w:val="08601AC3"/>
    <w:rsid w:val="08601ACC"/>
    <w:rsid w:val="08601B40"/>
    <w:rsid w:val="08601BA8"/>
    <w:rsid w:val="08601CC8"/>
    <w:rsid w:val="08601D8F"/>
    <w:rsid w:val="08601DB8"/>
    <w:rsid w:val="08601E3A"/>
    <w:rsid w:val="08601E76"/>
    <w:rsid w:val="08601E89"/>
    <w:rsid w:val="08601EFE"/>
    <w:rsid w:val="08601F46"/>
    <w:rsid w:val="08601FAE"/>
    <w:rsid w:val="08602021"/>
    <w:rsid w:val="08602088"/>
    <w:rsid w:val="086020CB"/>
    <w:rsid w:val="086020D3"/>
    <w:rsid w:val="08602203"/>
    <w:rsid w:val="08602246"/>
    <w:rsid w:val="0860224C"/>
    <w:rsid w:val="08602265"/>
    <w:rsid w:val="08602298"/>
    <w:rsid w:val="0860235D"/>
    <w:rsid w:val="0860241C"/>
    <w:rsid w:val="08602524"/>
    <w:rsid w:val="08602588"/>
    <w:rsid w:val="086025E4"/>
    <w:rsid w:val="0860260B"/>
    <w:rsid w:val="08602668"/>
    <w:rsid w:val="0860277C"/>
    <w:rsid w:val="08602790"/>
    <w:rsid w:val="0860282C"/>
    <w:rsid w:val="086028A2"/>
    <w:rsid w:val="08602AE6"/>
    <w:rsid w:val="08602B57"/>
    <w:rsid w:val="08602BA8"/>
    <w:rsid w:val="08602BB5"/>
    <w:rsid w:val="08602CD3"/>
    <w:rsid w:val="08602CDA"/>
    <w:rsid w:val="08602D91"/>
    <w:rsid w:val="08602DC6"/>
    <w:rsid w:val="08602DFC"/>
    <w:rsid w:val="08602E2E"/>
    <w:rsid w:val="08602E4D"/>
    <w:rsid w:val="08602EC2"/>
    <w:rsid w:val="08602F02"/>
    <w:rsid w:val="08602F2B"/>
    <w:rsid w:val="08602F7A"/>
    <w:rsid w:val="08602FA0"/>
    <w:rsid w:val="0860310D"/>
    <w:rsid w:val="08603149"/>
    <w:rsid w:val="0860318B"/>
    <w:rsid w:val="086031CC"/>
    <w:rsid w:val="0860329E"/>
    <w:rsid w:val="086032AD"/>
    <w:rsid w:val="08603366"/>
    <w:rsid w:val="0860339E"/>
    <w:rsid w:val="0860341F"/>
    <w:rsid w:val="086034A8"/>
    <w:rsid w:val="086034B1"/>
    <w:rsid w:val="086035A4"/>
    <w:rsid w:val="086035ED"/>
    <w:rsid w:val="08603652"/>
    <w:rsid w:val="08603653"/>
    <w:rsid w:val="0860367E"/>
    <w:rsid w:val="086036ED"/>
    <w:rsid w:val="0860376D"/>
    <w:rsid w:val="08603842"/>
    <w:rsid w:val="0860388F"/>
    <w:rsid w:val="08603891"/>
    <w:rsid w:val="086038EE"/>
    <w:rsid w:val="08603967"/>
    <w:rsid w:val="086039CC"/>
    <w:rsid w:val="086039F4"/>
    <w:rsid w:val="08603AE0"/>
    <w:rsid w:val="08603B03"/>
    <w:rsid w:val="08603B5B"/>
    <w:rsid w:val="08603C5E"/>
    <w:rsid w:val="08603D91"/>
    <w:rsid w:val="08603DEA"/>
    <w:rsid w:val="08603E0C"/>
    <w:rsid w:val="08603E43"/>
    <w:rsid w:val="08603F31"/>
    <w:rsid w:val="08603F61"/>
    <w:rsid w:val="0860410D"/>
    <w:rsid w:val="086041A2"/>
    <w:rsid w:val="086041B5"/>
    <w:rsid w:val="086041E9"/>
    <w:rsid w:val="0860422B"/>
    <w:rsid w:val="08604280"/>
    <w:rsid w:val="086044F2"/>
    <w:rsid w:val="086044F8"/>
    <w:rsid w:val="08604518"/>
    <w:rsid w:val="0860463F"/>
    <w:rsid w:val="086046F8"/>
    <w:rsid w:val="0860472D"/>
    <w:rsid w:val="086047D1"/>
    <w:rsid w:val="08604823"/>
    <w:rsid w:val="08604987"/>
    <w:rsid w:val="08604AB5"/>
    <w:rsid w:val="08604ADE"/>
    <w:rsid w:val="08604AEB"/>
    <w:rsid w:val="08604BD9"/>
    <w:rsid w:val="08604C1D"/>
    <w:rsid w:val="08604C25"/>
    <w:rsid w:val="08604CA6"/>
    <w:rsid w:val="08604D54"/>
    <w:rsid w:val="08604DB0"/>
    <w:rsid w:val="08604E29"/>
    <w:rsid w:val="08604E6E"/>
    <w:rsid w:val="08604EBB"/>
    <w:rsid w:val="08604ECF"/>
    <w:rsid w:val="08604F05"/>
    <w:rsid w:val="08605024"/>
    <w:rsid w:val="08605033"/>
    <w:rsid w:val="0860504B"/>
    <w:rsid w:val="086050F0"/>
    <w:rsid w:val="0860519E"/>
    <w:rsid w:val="086051FE"/>
    <w:rsid w:val="08605224"/>
    <w:rsid w:val="0860528F"/>
    <w:rsid w:val="08605360"/>
    <w:rsid w:val="086053A1"/>
    <w:rsid w:val="086053D6"/>
    <w:rsid w:val="086054AC"/>
    <w:rsid w:val="0860551D"/>
    <w:rsid w:val="0860556A"/>
    <w:rsid w:val="0860558F"/>
    <w:rsid w:val="08605659"/>
    <w:rsid w:val="08605692"/>
    <w:rsid w:val="08605780"/>
    <w:rsid w:val="086057A6"/>
    <w:rsid w:val="086057FB"/>
    <w:rsid w:val="08605811"/>
    <w:rsid w:val="08605892"/>
    <w:rsid w:val="0860595D"/>
    <w:rsid w:val="08605987"/>
    <w:rsid w:val="0860599B"/>
    <w:rsid w:val="08605A88"/>
    <w:rsid w:val="08605A8C"/>
    <w:rsid w:val="08605C64"/>
    <w:rsid w:val="08605CFA"/>
    <w:rsid w:val="08605D09"/>
    <w:rsid w:val="08605D56"/>
    <w:rsid w:val="08605E2C"/>
    <w:rsid w:val="08605F6B"/>
    <w:rsid w:val="08605FDA"/>
    <w:rsid w:val="08605FEF"/>
    <w:rsid w:val="08605FF2"/>
    <w:rsid w:val="0860604C"/>
    <w:rsid w:val="086060C3"/>
    <w:rsid w:val="0860610F"/>
    <w:rsid w:val="0860612B"/>
    <w:rsid w:val="0860618C"/>
    <w:rsid w:val="08606296"/>
    <w:rsid w:val="0860643B"/>
    <w:rsid w:val="0860658C"/>
    <w:rsid w:val="086065A8"/>
    <w:rsid w:val="086065E2"/>
    <w:rsid w:val="08606665"/>
    <w:rsid w:val="08606701"/>
    <w:rsid w:val="086067AE"/>
    <w:rsid w:val="086067EB"/>
    <w:rsid w:val="08606884"/>
    <w:rsid w:val="08606AB3"/>
    <w:rsid w:val="08606ACC"/>
    <w:rsid w:val="08606C57"/>
    <w:rsid w:val="08606C6F"/>
    <w:rsid w:val="08606C74"/>
    <w:rsid w:val="08606CBE"/>
    <w:rsid w:val="08606CF8"/>
    <w:rsid w:val="08606CFD"/>
    <w:rsid w:val="08606D85"/>
    <w:rsid w:val="08606DBE"/>
    <w:rsid w:val="08606DF5"/>
    <w:rsid w:val="08606E0E"/>
    <w:rsid w:val="08606E26"/>
    <w:rsid w:val="08606E58"/>
    <w:rsid w:val="08606F16"/>
    <w:rsid w:val="08606F99"/>
    <w:rsid w:val="08607002"/>
    <w:rsid w:val="08607022"/>
    <w:rsid w:val="086070B0"/>
    <w:rsid w:val="08607116"/>
    <w:rsid w:val="0860714F"/>
    <w:rsid w:val="0860716A"/>
    <w:rsid w:val="086071E1"/>
    <w:rsid w:val="08607219"/>
    <w:rsid w:val="086072F6"/>
    <w:rsid w:val="0860733C"/>
    <w:rsid w:val="08607381"/>
    <w:rsid w:val="08607480"/>
    <w:rsid w:val="086074D1"/>
    <w:rsid w:val="086074D3"/>
    <w:rsid w:val="086075B7"/>
    <w:rsid w:val="08607607"/>
    <w:rsid w:val="0860760F"/>
    <w:rsid w:val="08607695"/>
    <w:rsid w:val="0860769F"/>
    <w:rsid w:val="086076EE"/>
    <w:rsid w:val="0860776C"/>
    <w:rsid w:val="08607855"/>
    <w:rsid w:val="08607870"/>
    <w:rsid w:val="08607908"/>
    <w:rsid w:val="086079D4"/>
    <w:rsid w:val="086079EE"/>
    <w:rsid w:val="08607AD4"/>
    <w:rsid w:val="08607B93"/>
    <w:rsid w:val="08607BC4"/>
    <w:rsid w:val="08607D0B"/>
    <w:rsid w:val="08607EDC"/>
    <w:rsid w:val="08607F6F"/>
    <w:rsid w:val="08610057"/>
    <w:rsid w:val="08610093"/>
    <w:rsid w:val="08610119"/>
    <w:rsid w:val="0861012F"/>
    <w:rsid w:val="086102BB"/>
    <w:rsid w:val="08610301"/>
    <w:rsid w:val="08610344"/>
    <w:rsid w:val="086103BF"/>
    <w:rsid w:val="0861044F"/>
    <w:rsid w:val="08610451"/>
    <w:rsid w:val="08610495"/>
    <w:rsid w:val="0861054B"/>
    <w:rsid w:val="08610592"/>
    <w:rsid w:val="086105C2"/>
    <w:rsid w:val="08610756"/>
    <w:rsid w:val="0861087A"/>
    <w:rsid w:val="086109F2"/>
    <w:rsid w:val="08610AD1"/>
    <w:rsid w:val="08610AE9"/>
    <w:rsid w:val="08610B48"/>
    <w:rsid w:val="08610B5D"/>
    <w:rsid w:val="08610B6A"/>
    <w:rsid w:val="08610B88"/>
    <w:rsid w:val="08610C62"/>
    <w:rsid w:val="08610CF9"/>
    <w:rsid w:val="08610D29"/>
    <w:rsid w:val="08610D5F"/>
    <w:rsid w:val="08610D64"/>
    <w:rsid w:val="08610D92"/>
    <w:rsid w:val="08610ED1"/>
    <w:rsid w:val="08610F15"/>
    <w:rsid w:val="08610F21"/>
    <w:rsid w:val="08610F69"/>
    <w:rsid w:val="08611045"/>
    <w:rsid w:val="0861106C"/>
    <w:rsid w:val="086110CA"/>
    <w:rsid w:val="086110D9"/>
    <w:rsid w:val="086110E5"/>
    <w:rsid w:val="0861118D"/>
    <w:rsid w:val="086111D2"/>
    <w:rsid w:val="08611253"/>
    <w:rsid w:val="08611259"/>
    <w:rsid w:val="086112DD"/>
    <w:rsid w:val="0861139E"/>
    <w:rsid w:val="086113BB"/>
    <w:rsid w:val="086114D9"/>
    <w:rsid w:val="08611503"/>
    <w:rsid w:val="08611624"/>
    <w:rsid w:val="08611649"/>
    <w:rsid w:val="086116A3"/>
    <w:rsid w:val="0861177C"/>
    <w:rsid w:val="086117E7"/>
    <w:rsid w:val="08611838"/>
    <w:rsid w:val="0861185C"/>
    <w:rsid w:val="086118EE"/>
    <w:rsid w:val="086118FC"/>
    <w:rsid w:val="086119B6"/>
    <w:rsid w:val="086119C3"/>
    <w:rsid w:val="086119C8"/>
    <w:rsid w:val="08611A53"/>
    <w:rsid w:val="08611AD2"/>
    <w:rsid w:val="08611B29"/>
    <w:rsid w:val="08611C39"/>
    <w:rsid w:val="08611D09"/>
    <w:rsid w:val="08611EB4"/>
    <w:rsid w:val="08611EBA"/>
    <w:rsid w:val="08611ECE"/>
    <w:rsid w:val="08611EDE"/>
    <w:rsid w:val="08611F07"/>
    <w:rsid w:val="08611F14"/>
    <w:rsid w:val="08611F21"/>
    <w:rsid w:val="0861220E"/>
    <w:rsid w:val="086122C1"/>
    <w:rsid w:val="08612322"/>
    <w:rsid w:val="0861239A"/>
    <w:rsid w:val="08612401"/>
    <w:rsid w:val="08612526"/>
    <w:rsid w:val="0861253C"/>
    <w:rsid w:val="0861259C"/>
    <w:rsid w:val="086126A7"/>
    <w:rsid w:val="086126AE"/>
    <w:rsid w:val="086127CB"/>
    <w:rsid w:val="0861298B"/>
    <w:rsid w:val="086129DE"/>
    <w:rsid w:val="08612A07"/>
    <w:rsid w:val="08612A46"/>
    <w:rsid w:val="08612A49"/>
    <w:rsid w:val="08612A76"/>
    <w:rsid w:val="08612A95"/>
    <w:rsid w:val="08612AA6"/>
    <w:rsid w:val="08612AC2"/>
    <w:rsid w:val="08612B20"/>
    <w:rsid w:val="08612B7C"/>
    <w:rsid w:val="08612BDB"/>
    <w:rsid w:val="08612C60"/>
    <w:rsid w:val="08612C98"/>
    <w:rsid w:val="08612D36"/>
    <w:rsid w:val="08612D66"/>
    <w:rsid w:val="08612DDC"/>
    <w:rsid w:val="08612E6D"/>
    <w:rsid w:val="08612E98"/>
    <w:rsid w:val="08612ED6"/>
    <w:rsid w:val="08612F55"/>
    <w:rsid w:val="08612F77"/>
    <w:rsid w:val="08612FCE"/>
    <w:rsid w:val="08612FF8"/>
    <w:rsid w:val="08613226"/>
    <w:rsid w:val="08613447"/>
    <w:rsid w:val="08613464"/>
    <w:rsid w:val="08613530"/>
    <w:rsid w:val="08613547"/>
    <w:rsid w:val="086136CC"/>
    <w:rsid w:val="086136E1"/>
    <w:rsid w:val="08613712"/>
    <w:rsid w:val="0861371A"/>
    <w:rsid w:val="086137D3"/>
    <w:rsid w:val="086137FE"/>
    <w:rsid w:val="0861393E"/>
    <w:rsid w:val="0861397C"/>
    <w:rsid w:val="08613A33"/>
    <w:rsid w:val="08613AAE"/>
    <w:rsid w:val="08613B81"/>
    <w:rsid w:val="08613B87"/>
    <w:rsid w:val="08613BCF"/>
    <w:rsid w:val="08613C0A"/>
    <w:rsid w:val="08613C16"/>
    <w:rsid w:val="08613C44"/>
    <w:rsid w:val="08613C5F"/>
    <w:rsid w:val="08613D63"/>
    <w:rsid w:val="08613D64"/>
    <w:rsid w:val="08613D83"/>
    <w:rsid w:val="08613D9E"/>
    <w:rsid w:val="08613E02"/>
    <w:rsid w:val="08613E34"/>
    <w:rsid w:val="08613E4C"/>
    <w:rsid w:val="08613E87"/>
    <w:rsid w:val="08613E8F"/>
    <w:rsid w:val="08613EB1"/>
    <w:rsid w:val="08613EBF"/>
    <w:rsid w:val="08613F64"/>
    <w:rsid w:val="08613F8B"/>
    <w:rsid w:val="08613FA9"/>
    <w:rsid w:val="08613FC6"/>
    <w:rsid w:val="08613FFC"/>
    <w:rsid w:val="08614040"/>
    <w:rsid w:val="08614122"/>
    <w:rsid w:val="08614161"/>
    <w:rsid w:val="0861418C"/>
    <w:rsid w:val="08614344"/>
    <w:rsid w:val="08614392"/>
    <w:rsid w:val="0861439E"/>
    <w:rsid w:val="086143EA"/>
    <w:rsid w:val="0861441E"/>
    <w:rsid w:val="08614473"/>
    <w:rsid w:val="0861479B"/>
    <w:rsid w:val="086147B5"/>
    <w:rsid w:val="0861482C"/>
    <w:rsid w:val="08614970"/>
    <w:rsid w:val="086149C7"/>
    <w:rsid w:val="08614A7B"/>
    <w:rsid w:val="08614AFA"/>
    <w:rsid w:val="08614B37"/>
    <w:rsid w:val="08614B3B"/>
    <w:rsid w:val="08614C0C"/>
    <w:rsid w:val="08614C60"/>
    <w:rsid w:val="08614C69"/>
    <w:rsid w:val="08614E44"/>
    <w:rsid w:val="08614E5A"/>
    <w:rsid w:val="08614F4E"/>
    <w:rsid w:val="08615058"/>
    <w:rsid w:val="0861506C"/>
    <w:rsid w:val="08615095"/>
    <w:rsid w:val="086151BE"/>
    <w:rsid w:val="086151E6"/>
    <w:rsid w:val="086151EB"/>
    <w:rsid w:val="08615247"/>
    <w:rsid w:val="086152D9"/>
    <w:rsid w:val="08615305"/>
    <w:rsid w:val="0861533B"/>
    <w:rsid w:val="08615355"/>
    <w:rsid w:val="08615370"/>
    <w:rsid w:val="08615413"/>
    <w:rsid w:val="086154BE"/>
    <w:rsid w:val="086155AB"/>
    <w:rsid w:val="086155F2"/>
    <w:rsid w:val="086156A5"/>
    <w:rsid w:val="0861571C"/>
    <w:rsid w:val="0861575F"/>
    <w:rsid w:val="086157AF"/>
    <w:rsid w:val="08615A7D"/>
    <w:rsid w:val="08615A9E"/>
    <w:rsid w:val="08615B90"/>
    <w:rsid w:val="08615BF4"/>
    <w:rsid w:val="08615C8B"/>
    <w:rsid w:val="08615C92"/>
    <w:rsid w:val="08615D68"/>
    <w:rsid w:val="08615E0C"/>
    <w:rsid w:val="08615E15"/>
    <w:rsid w:val="08615EC0"/>
    <w:rsid w:val="08615F64"/>
    <w:rsid w:val="08615F6D"/>
    <w:rsid w:val="08616081"/>
    <w:rsid w:val="086160E6"/>
    <w:rsid w:val="08616107"/>
    <w:rsid w:val="08616143"/>
    <w:rsid w:val="0861614D"/>
    <w:rsid w:val="0861622D"/>
    <w:rsid w:val="0861628C"/>
    <w:rsid w:val="086162E6"/>
    <w:rsid w:val="08616438"/>
    <w:rsid w:val="08616484"/>
    <w:rsid w:val="086164A0"/>
    <w:rsid w:val="086164E4"/>
    <w:rsid w:val="08616647"/>
    <w:rsid w:val="086166B0"/>
    <w:rsid w:val="08616703"/>
    <w:rsid w:val="086167F1"/>
    <w:rsid w:val="0861683F"/>
    <w:rsid w:val="08616891"/>
    <w:rsid w:val="086168BF"/>
    <w:rsid w:val="0861692F"/>
    <w:rsid w:val="08616966"/>
    <w:rsid w:val="08616988"/>
    <w:rsid w:val="086169B3"/>
    <w:rsid w:val="086169D7"/>
    <w:rsid w:val="08616B0E"/>
    <w:rsid w:val="08616B68"/>
    <w:rsid w:val="08616B6A"/>
    <w:rsid w:val="08616BD2"/>
    <w:rsid w:val="08616C14"/>
    <w:rsid w:val="08616C51"/>
    <w:rsid w:val="08616D11"/>
    <w:rsid w:val="08616E7B"/>
    <w:rsid w:val="08616F2E"/>
    <w:rsid w:val="08616F47"/>
    <w:rsid w:val="08616F77"/>
    <w:rsid w:val="08617089"/>
    <w:rsid w:val="086170AF"/>
    <w:rsid w:val="08617136"/>
    <w:rsid w:val="086171A0"/>
    <w:rsid w:val="08617275"/>
    <w:rsid w:val="086172DB"/>
    <w:rsid w:val="08617321"/>
    <w:rsid w:val="08617336"/>
    <w:rsid w:val="08617445"/>
    <w:rsid w:val="0861754D"/>
    <w:rsid w:val="08617565"/>
    <w:rsid w:val="086175CC"/>
    <w:rsid w:val="08617795"/>
    <w:rsid w:val="086177EB"/>
    <w:rsid w:val="08617818"/>
    <w:rsid w:val="086178C8"/>
    <w:rsid w:val="086178F0"/>
    <w:rsid w:val="086178F7"/>
    <w:rsid w:val="08617987"/>
    <w:rsid w:val="08617A1E"/>
    <w:rsid w:val="08617A7C"/>
    <w:rsid w:val="08617A89"/>
    <w:rsid w:val="08617B66"/>
    <w:rsid w:val="08617C49"/>
    <w:rsid w:val="08617C50"/>
    <w:rsid w:val="08617C5C"/>
    <w:rsid w:val="08617C78"/>
    <w:rsid w:val="08617D7D"/>
    <w:rsid w:val="08617DDC"/>
    <w:rsid w:val="08620050"/>
    <w:rsid w:val="08620069"/>
    <w:rsid w:val="086200ED"/>
    <w:rsid w:val="0862014D"/>
    <w:rsid w:val="08620171"/>
    <w:rsid w:val="086201BC"/>
    <w:rsid w:val="086201D4"/>
    <w:rsid w:val="0862040A"/>
    <w:rsid w:val="0862045C"/>
    <w:rsid w:val="0862046A"/>
    <w:rsid w:val="08620495"/>
    <w:rsid w:val="086204CF"/>
    <w:rsid w:val="08620605"/>
    <w:rsid w:val="0862071C"/>
    <w:rsid w:val="08620724"/>
    <w:rsid w:val="08620755"/>
    <w:rsid w:val="0862075E"/>
    <w:rsid w:val="08620905"/>
    <w:rsid w:val="08620930"/>
    <w:rsid w:val="0862096C"/>
    <w:rsid w:val="086209A8"/>
    <w:rsid w:val="086209B8"/>
    <w:rsid w:val="08620AAE"/>
    <w:rsid w:val="08620C2B"/>
    <w:rsid w:val="08620C42"/>
    <w:rsid w:val="08620C8C"/>
    <w:rsid w:val="08620CD1"/>
    <w:rsid w:val="08620DB0"/>
    <w:rsid w:val="08620E1A"/>
    <w:rsid w:val="08620F50"/>
    <w:rsid w:val="08620F64"/>
    <w:rsid w:val="0862106F"/>
    <w:rsid w:val="08621082"/>
    <w:rsid w:val="0862112B"/>
    <w:rsid w:val="0862113F"/>
    <w:rsid w:val="08621191"/>
    <w:rsid w:val="086211A6"/>
    <w:rsid w:val="086211C8"/>
    <w:rsid w:val="0862122B"/>
    <w:rsid w:val="0862132B"/>
    <w:rsid w:val="08621414"/>
    <w:rsid w:val="0862146A"/>
    <w:rsid w:val="086214BC"/>
    <w:rsid w:val="0862162F"/>
    <w:rsid w:val="0862166A"/>
    <w:rsid w:val="08621714"/>
    <w:rsid w:val="08621727"/>
    <w:rsid w:val="08621774"/>
    <w:rsid w:val="08621779"/>
    <w:rsid w:val="0862178F"/>
    <w:rsid w:val="086217A2"/>
    <w:rsid w:val="086218A7"/>
    <w:rsid w:val="086219D0"/>
    <w:rsid w:val="086219F2"/>
    <w:rsid w:val="086219FA"/>
    <w:rsid w:val="08621A7D"/>
    <w:rsid w:val="08621AD2"/>
    <w:rsid w:val="08621AD6"/>
    <w:rsid w:val="08621BAE"/>
    <w:rsid w:val="08621BF1"/>
    <w:rsid w:val="08621C19"/>
    <w:rsid w:val="08621CA0"/>
    <w:rsid w:val="08621DFF"/>
    <w:rsid w:val="08621E87"/>
    <w:rsid w:val="08621E9E"/>
    <w:rsid w:val="08621EB3"/>
    <w:rsid w:val="08621EB6"/>
    <w:rsid w:val="08621F53"/>
    <w:rsid w:val="08621F7F"/>
    <w:rsid w:val="08621FA0"/>
    <w:rsid w:val="08621FA6"/>
    <w:rsid w:val="08621FD3"/>
    <w:rsid w:val="0862200E"/>
    <w:rsid w:val="08622186"/>
    <w:rsid w:val="08622214"/>
    <w:rsid w:val="08622263"/>
    <w:rsid w:val="0862228F"/>
    <w:rsid w:val="086222B8"/>
    <w:rsid w:val="0862231F"/>
    <w:rsid w:val="086223B0"/>
    <w:rsid w:val="08622406"/>
    <w:rsid w:val="0862241C"/>
    <w:rsid w:val="08622427"/>
    <w:rsid w:val="08622431"/>
    <w:rsid w:val="08622446"/>
    <w:rsid w:val="086224C3"/>
    <w:rsid w:val="0862258D"/>
    <w:rsid w:val="086225AD"/>
    <w:rsid w:val="086226BF"/>
    <w:rsid w:val="086226D6"/>
    <w:rsid w:val="0862272B"/>
    <w:rsid w:val="08622791"/>
    <w:rsid w:val="086228BF"/>
    <w:rsid w:val="086229E2"/>
    <w:rsid w:val="086229E8"/>
    <w:rsid w:val="08622AD3"/>
    <w:rsid w:val="08622B2C"/>
    <w:rsid w:val="08622B96"/>
    <w:rsid w:val="08622BE7"/>
    <w:rsid w:val="08622C88"/>
    <w:rsid w:val="08622D7B"/>
    <w:rsid w:val="08622E40"/>
    <w:rsid w:val="08622E64"/>
    <w:rsid w:val="08622FE3"/>
    <w:rsid w:val="0862308E"/>
    <w:rsid w:val="0862311E"/>
    <w:rsid w:val="08623170"/>
    <w:rsid w:val="08623213"/>
    <w:rsid w:val="086232A4"/>
    <w:rsid w:val="086232B2"/>
    <w:rsid w:val="08623326"/>
    <w:rsid w:val="0862332A"/>
    <w:rsid w:val="08623337"/>
    <w:rsid w:val="08623369"/>
    <w:rsid w:val="0862336B"/>
    <w:rsid w:val="0862341E"/>
    <w:rsid w:val="08623445"/>
    <w:rsid w:val="08623461"/>
    <w:rsid w:val="08623532"/>
    <w:rsid w:val="08623545"/>
    <w:rsid w:val="08623571"/>
    <w:rsid w:val="086235FE"/>
    <w:rsid w:val="08623636"/>
    <w:rsid w:val="08623666"/>
    <w:rsid w:val="086236C9"/>
    <w:rsid w:val="08623709"/>
    <w:rsid w:val="08623770"/>
    <w:rsid w:val="08623773"/>
    <w:rsid w:val="0862379F"/>
    <w:rsid w:val="08623885"/>
    <w:rsid w:val="086238DE"/>
    <w:rsid w:val="086238F2"/>
    <w:rsid w:val="0862392C"/>
    <w:rsid w:val="08623931"/>
    <w:rsid w:val="086239AC"/>
    <w:rsid w:val="08623A00"/>
    <w:rsid w:val="08623A62"/>
    <w:rsid w:val="08623BEE"/>
    <w:rsid w:val="08623C6C"/>
    <w:rsid w:val="08623C75"/>
    <w:rsid w:val="08623CD2"/>
    <w:rsid w:val="08623CD5"/>
    <w:rsid w:val="08623CE8"/>
    <w:rsid w:val="08623D00"/>
    <w:rsid w:val="08623D5E"/>
    <w:rsid w:val="08623EA8"/>
    <w:rsid w:val="0862406A"/>
    <w:rsid w:val="086240BF"/>
    <w:rsid w:val="086240D3"/>
    <w:rsid w:val="086243EA"/>
    <w:rsid w:val="08624414"/>
    <w:rsid w:val="0862446F"/>
    <w:rsid w:val="086244C1"/>
    <w:rsid w:val="08624552"/>
    <w:rsid w:val="0862456D"/>
    <w:rsid w:val="086245B2"/>
    <w:rsid w:val="086245DB"/>
    <w:rsid w:val="08624755"/>
    <w:rsid w:val="086247F4"/>
    <w:rsid w:val="0862486F"/>
    <w:rsid w:val="0862496F"/>
    <w:rsid w:val="08624974"/>
    <w:rsid w:val="086249E8"/>
    <w:rsid w:val="08624A6E"/>
    <w:rsid w:val="08624AEF"/>
    <w:rsid w:val="08624BFD"/>
    <w:rsid w:val="08624D27"/>
    <w:rsid w:val="08624D3D"/>
    <w:rsid w:val="08624D86"/>
    <w:rsid w:val="08624DE6"/>
    <w:rsid w:val="08624E27"/>
    <w:rsid w:val="08624EC4"/>
    <w:rsid w:val="08624EF1"/>
    <w:rsid w:val="08624EFA"/>
    <w:rsid w:val="08624F80"/>
    <w:rsid w:val="0862507F"/>
    <w:rsid w:val="086250A2"/>
    <w:rsid w:val="086250FA"/>
    <w:rsid w:val="0862515D"/>
    <w:rsid w:val="08625167"/>
    <w:rsid w:val="08625179"/>
    <w:rsid w:val="0862518A"/>
    <w:rsid w:val="0862525E"/>
    <w:rsid w:val="0862533B"/>
    <w:rsid w:val="08625391"/>
    <w:rsid w:val="086253E9"/>
    <w:rsid w:val="086253F8"/>
    <w:rsid w:val="0862545F"/>
    <w:rsid w:val="086254AC"/>
    <w:rsid w:val="086255C7"/>
    <w:rsid w:val="0862561F"/>
    <w:rsid w:val="0862563D"/>
    <w:rsid w:val="08625647"/>
    <w:rsid w:val="08625757"/>
    <w:rsid w:val="08625829"/>
    <w:rsid w:val="08625890"/>
    <w:rsid w:val="086259A9"/>
    <w:rsid w:val="08625A01"/>
    <w:rsid w:val="08625A2B"/>
    <w:rsid w:val="08625A78"/>
    <w:rsid w:val="08625AB4"/>
    <w:rsid w:val="08625BA1"/>
    <w:rsid w:val="08625BC8"/>
    <w:rsid w:val="08625C7F"/>
    <w:rsid w:val="08625CC4"/>
    <w:rsid w:val="08625E40"/>
    <w:rsid w:val="08625E8F"/>
    <w:rsid w:val="086260A4"/>
    <w:rsid w:val="08626147"/>
    <w:rsid w:val="0862630B"/>
    <w:rsid w:val="0862647A"/>
    <w:rsid w:val="086265BF"/>
    <w:rsid w:val="086265F2"/>
    <w:rsid w:val="08626627"/>
    <w:rsid w:val="086266B5"/>
    <w:rsid w:val="086266F3"/>
    <w:rsid w:val="08626711"/>
    <w:rsid w:val="0862680C"/>
    <w:rsid w:val="0862688E"/>
    <w:rsid w:val="08626896"/>
    <w:rsid w:val="086268D7"/>
    <w:rsid w:val="086268EE"/>
    <w:rsid w:val="08626918"/>
    <w:rsid w:val="08626946"/>
    <w:rsid w:val="08626A3C"/>
    <w:rsid w:val="08626BCF"/>
    <w:rsid w:val="08626BE7"/>
    <w:rsid w:val="08626C70"/>
    <w:rsid w:val="08626C95"/>
    <w:rsid w:val="08626CC0"/>
    <w:rsid w:val="08626D82"/>
    <w:rsid w:val="08626D89"/>
    <w:rsid w:val="08626DD2"/>
    <w:rsid w:val="08626E44"/>
    <w:rsid w:val="08626E54"/>
    <w:rsid w:val="08626E9F"/>
    <w:rsid w:val="08626ED1"/>
    <w:rsid w:val="08626F2C"/>
    <w:rsid w:val="08626FE1"/>
    <w:rsid w:val="08626FF6"/>
    <w:rsid w:val="0862704D"/>
    <w:rsid w:val="08627081"/>
    <w:rsid w:val="086271B8"/>
    <w:rsid w:val="086271F7"/>
    <w:rsid w:val="08627202"/>
    <w:rsid w:val="086272AD"/>
    <w:rsid w:val="086272FE"/>
    <w:rsid w:val="08627353"/>
    <w:rsid w:val="08627368"/>
    <w:rsid w:val="08627398"/>
    <w:rsid w:val="086273F7"/>
    <w:rsid w:val="08627468"/>
    <w:rsid w:val="0862747C"/>
    <w:rsid w:val="0862750A"/>
    <w:rsid w:val="0862750D"/>
    <w:rsid w:val="08627560"/>
    <w:rsid w:val="08627583"/>
    <w:rsid w:val="08627606"/>
    <w:rsid w:val="0862762F"/>
    <w:rsid w:val="086276C9"/>
    <w:rsid w:val="086276DF"/>
    <w:rsid w:val="086276FC"/>
    <w:rsid w:val="08627726"/>
    <w:rsid w:val="086277E9"/>
    <w:rsid w:val="08627859"/>
    <w:rsid w:val="08627864"/>
    <w:rsid w:val="086278A1"/>
    <w:rsid w:val="086278CB"/>
    <w:rsid w:val="08627988"/>
    <w:rsid w:val="086279B9"/>
    <w:rsid w:val="08627B36"/>
    <w:rsid w:val="08627C9C"/>
    <w:rsid w:val="08627CE9"/>
    <w:rsid w:val="08627D2A"/>
    <w:rsid w:val="08627D65"/>
    <w:rsid w:val="08627D70"/>
    <w:rsid w:val="08627DA7"/>
    <w:rsid w:val="08627EF7"/>
    <w:rsid w:val="08627F53"/>
    <w:rsid w:val="08630125"/>
    <w:rsid w:val="08630142"/>
    <w:rsid w:val="08630189"/>
    <w:rsid w:val="086301A2"/>
    <w:rsid w:val="086301F2"/>
    <w:rsid w:val="0863022D"/>
    <w:rsid w:val="0863027D"/>
    <w:rsid w:val="08630291"/>
    <w:rsid w:val="086302D8"/>
    <w:rsid w:val="08630312"/>
    <w:rsid w:val="0863033F"/>
    <w:rsid w:val="0863044B"/>
    <w:rsid w:val="08630520"/>
    <w:rsid w:val="08630552"/>
    <w:rsid w:val="08630577"/>
    <w:rsid w:val="08630622"/>
    <w:rsid w:val="08630627"/>
    <w:rsid w:val="0863063D"/>
    <w:rsid w:val="08630711"/>
    <w:rsid w:val="08630714"/>
    <w:rsid w:val="0863075E"/>
    <w:rsid w:val="08630765"/>
    <w:rsid w:val="08630775"/>
    <w:rsid w:val="086307EC"/>
    <w:rsid w:val="0863080B"/>
    <w:rsid w:val="0863084A"/>
    <w:rsid w:val="086308C9"/>
    <w:rsid w:val="08630915"/>
    <w:rsid w:val="0863096B"/>
    <w:rsid w:val="08630A2A"/>
    <w:rsid w:val="08630A90"/>
    <w:rsid w:val="08630AF5"/>
    <w:rsid w:val="08630BD4"/>
    <w:rsid w:val="08630C8A"/>
    <w:rsid w:val="08630D1E"/>
    <w:rsid w:val="08630E25"/>
    <w:rsid w:val="08630EC6"/>
    <w:rsid w:val="08630F32"/>
    <w:rsid w:val="08630F97"/>
    <w:rsid w:val="08630FBF"/>
    <w:rsid w:val="08630FCA"/>
    <w:rsid w:val="08631059"/>
    <w:rsid w:val="0863105A"/>
    <w:rsid w:val="08631158"/>
    <w:rsid w:val="08631188"/>
    <w:rsid w:val="086311B4"/>
    <w:rsid w:val="08631229"/>
    <w:rsid w:val="0863128C"/>
    <w:rsid w:val="086312D7"/>
    <w:rsid w:val="08631338"/>
    <w:rsid w:val="08631384"/>
    <w:rsid w:val="086313BA"/>
    <w:rsid w:val="0863152B"/>
    <w:rsid w:val="08631533"/>
    <w:rsid w:val="08631645"/>
    <w:rsid w:val="08631701"/>
    <w:rsid w:val="0863176D"/>
    <w:rsid w:val="0863185B"/>
    <w:rsid w:val="086318A4"/>
    <w:rsid w:val="08631918"/>
    <w:rsid w:val="08631984"/>
    <w:rsid w:val="086319F8"/>
    <w:rsid w:val="08631A79"/>
    <w:rsid w:val="08631ADF"/>
    <w:rsid w:val="08631B9F"/>
    <w:rsid w:val="08631C3D"/>
    <w:rsid w:val="08631CC7"/>
    <w:rsid w:val="08631D4A"/>
    <w:rsid w:val="08631D57"/>
    <w:rsid w:val="08631D8A"/>
    <w:rsid w:val="08631E0B"/>
    <w:rsid w:val="08631EDA"/>
    <w:rsid w:val="086321AE"/>
    <w:rsid w:val="086321AF"/>
    <w:rsid w:val="086321E9"/>
    <w:rsid w:val="08632365"/>
    <w:rsid w:val="08632369"/>
    <w:rsid w:val="0863237E"/>
    <w:rsid w:val="08632380"/>
    <w:rsid w:val="086325AE"/>
    <w:rsid w:val="08632672"/>
    <w:rsid w:val="086326B0"/>
    <w:rsid w:val="086326F2"/>
    <w:rsid w:val="08632707"/>
    <w:rsid w:val="0863279E"/>
    <w:rsid w:val="086327F0"/>
    <w:rsid w:val="08632812"/>
    <w:rsid w:val="0863281F"/>
    <w:rsid w:val="086328C9"/>
    <w:rsid w:val="086328F5"/>
    <w:rsid w:val="08632959"/>
    <w:rsid w:val="0863296F"/>
    <w:rsid w:val="08632A7E"/>
    <w:rsid w:val="08632AEF"/>
    <w:rsid w:val="08632B31"/>
    <w:rsid w:val="08632C80"/>
    <w:rsid w:val="08632C8A"/>
    <w:rsid w:val="08632C90"/>
    <w:rsid w:val="08632C9B"/>
    <w:rsid w:val="08632E68"/>
    <w:rsid w:val="08632EDB"/>
    <w:rsid w:val="08632EE9"/>
    <w:rsid w:val="08632EF0"/>
    <w:rsid w:val="08632FD7"/>
    <w:rsid w:val="08632FDB"/>
    <w:rsid w:val="0863301C"/>
    <w:rsid w:val="0863303D"/>
    <w:rsid w:val="08633070"/>
    <w:rsid w:val="086330DF"/>
    <w:rsid w:val="086330ED"/>
    <w:rsid w:val="08633136"/>
    <w:rsid w:val="08633181"/>
    <w:rsid w:val="086332B0"/>
    <w:rsid w:val="086332D6"/>
    <w:rsid w:val="08633333"/>
    <w:rsid w:val="08633369"/>
    <w:rsid w:val="08633377"/>
    <w:rsid w:val="0863338B"/>
    <w:rsid w:val="08633451"/>
    <w:rsid w:val="08633458"/>
    <w:rsid w:val="08633460"/>
    <w:rsid w:val="086334BA"/>
    <w:rsid w:val="0863354D"/>
    <w:rsid w:val="0863361B"/>
    <w:rsid w:val="08633699"/>
    <w:rsid w:val="086336DF"/>
    <w:rsid w:val="086336E9"/>
    <w:rsid w:val="0863371A"/>
    <w:rsid w:val="086337A1"/>
    <w:rsid w:val="086337D4"/>
    <w:rsid w:val="0863386A"/>
    <w:rsid w:val="086339EC"/>
    <w:rsid w:val="08633A44"/>
    <w:rsid w:val="08633A84"/>
    <w:rsid w:val="08633B13"/>
    <w:rsid w:val="08633B49"/>
    <w:rsid w:val="08633BD3"/>
    <w:rsid w:val="08633C64"/>
    <w:rsid w:val="08633D5D"/>
    <w:rsid w:val="08633D62"/>
    <w:rsid w:val="08633EAA"/>
    <w:rsid w:val="08633EEE"/>
    <w:rsid w:val="08634055"/>
    <w:rsid w:val="086340EF"/>
    <w:rsid w:val="086341CD"/>
    <w:rsid w:val="08634258"/>
    <w:rsid w:val="0863431B"/>
    <w:rsid w:val="0863440E"/>
    <w:rsid w:val="0863444A"/>
    <w:rsid w:val="08634507"/>
    <w:rsid w:val="086345E0"/>
    <w:rsid w:val="086345E9"/>
    <w:rsid w:val="08634644"/>
    <w:rsid w:val="08634665"/>
    <w:rsid w:val="086346EF"/>
    <w:rsid w:val="0863475D"/>
    <w:rsid w:val="086347CE"/>
    <w:rsid w:val="08634867"/>
    <w:rsid w:val="086348A3"/>
    <w:rsid w:val="08634A19"/>
    <w:rsid w:val="08634AC0"/>
    <w:rsid w:val="08634AE3"/>
    <w:rsid w:val="08634B4C"/>
    <w:rsid w:val="08634B60"/>
    <w:rsid w:val="08634CC7"/>
    <w:rsid w:val="08634CEE"/>
    <w:rsid w:val="08634D67"/>
    <w:rsid w:val="08634D6C"/>
    <w:rsid w:val="08634DB4"/>
    <w:rsid w:val="08634EB9"/>
    <w:rsid w:val="08634EE5"/>
    <w:rsid w:val="08634F0F"/>
    <w:rsid w:val="08634F25"/>
    <w:rsid w:val="08634F37"/>
    <w:rsid w:val="0863508F"/>
    <w:rsid w:val="08635139"/>
    <w:rsid w:val="086351A2"/>
    <w:rsid w:val="086351A6"/>
    <w:rsid w:val="086351A7"/>
    <w:rsid w:val="086351C3"/>
    <w:rsid w:val="086352E9"/>
    <w:rsid w:val="086353A2"/>
    <w:rsid w:val="08635460"/>
    <w:rsid w:val="0863560B"/>
    <w:rsid w:val="08635634"/>
    <w:rsid w:val="086356E3"/>
    <w:rsid w:val="086356F5"/>
    <w:rsid w:val="08635941"/>
    <w:rsid w:val="08635999"/>
    <w:rsid w:val="086359E1"/>
    <w:rsid w:val="086359FE"/>
    <w:rsid w:val="08635A78"/>
    <w:rsid w:val="08635A96"/>
    <w:rsid w:val="08635AAC"/>
    <w:rsid w:val="08635AC7"/>
    <w:rsid w:val="08635B0B"/>
    <w:rsid w:val="08635B7B"/>
    <w:rsid w:val="08635C15"/>
    <w:rsid w:val="08635C43"/>
    <w:rsid w:val="08635C54"/>
    <w:rsid w:val="08635D3D"/>
    <w:rsid w:val="08635D71"/>
    <w:rsid w:val="08635D9A"/>
    <w:rsid w:val="08635DAE"/>
    <w:rsid w:val="08635E92"/>
    <w:rsid w:val="08635E97"/>
    <w:rsid w:val="08635EF1"/>
    <w:rsid w:val="08635F41"/>
    <w:rsid w:val="08635FDD"/>
    <w:rsid w:val="08636088"/>
    <w:rsid w:val="086360EF"/>
    <w:rsid w:val="086360F5"/>
    <w:rsid w:val="08636106"/>
    <w:rsid w:val="08636119"/>
    <w:rsid w:val="0863617B"/>
    <w:rsid w:val="08636269"/>
    <w:rsid w:val="08636285"/>
    <w:rsid w:val="086362B5"/>
    <w:rsid w:val="086362DB"/>
    <w:rsid w:val="0863630F"/>
    <w:rsid w:val="086363F9"/>
    <w:rsid w:val="08636445"/>
    <w:rsid w:val="08636472"/>
    <w:rsid w:val="086364B2"/>
    <w:rsid w:val="0863659E"/>
    <w:rsid w:val="086366CF"/>
    <w:rsid w:val="0863676C"/>
    <w:rsid w:val="086367C8"/>
    <w:rsid w:val="086367DC"/>
    <w:rsid w:val="08636804"/>
    <w:rsid w:val="086368ED"/>
    <w:rsid w:val="08636A41"/>
    <w:rsid w:val="08636ABE"/>
    <w:rsid w:val="08636AC9"/>
    <w:rsid w:val="08636B7F"/>
    <w:rsid w:val="08636BAF"/>
    <w:rsid w:val="08636C42"/>
    <w:rsid w:val="08636C4F"/>
    <w:rsid w:val="08636CD2"/>
    <w:rsid w:val="08636D0B"/>
    <w:rsid w:val="08636D8F"/>
    <w:rsid w:val="08636EDB"/>
    <w:rsid w:val="08636EE7"/>
    <w:rsid w:val="08636F07"/>
    <w:rsid w:val="08636F2B"/>
    <w:rsid w:val="08636F4A"/>
    <w:rsid w:val="08636F90"/>
    <w:rsid w:val="08636FB0"/>
    <w:rsid w:val="08636FF3"/>
    <w:rsid w:val="086370D0"/>
    <w:rsid w:val="08637156"/>
    <w:rsid w:val="08637167"/>
    <w:rsid w:val="086371D9"/>
    <w:rsid w:val="086371FD"/>
    <w:rsid w:val="0863724E"/>
    <w:rsid w:val="086372D9"/>
    <w:rsid w:val="086372DD"/>
    <w:rsid w:val="086372EB"/>
    <w:rsid w:val="086372F4"/>
    <w:rsid w:val="08637321"/>
    <w:rsid w:val="08637388"/>
    <w:rsid w:val="086373E6"/>
    <w:rsid w:val="08637489"/>
    <w:rsid w:val="08637499"/>
    <w:rsid w:val="086374B5"/>
    <w:rsid w:val="0863754A"/>
    <w:rsid w:val="0863755A"/>
    <w:rsid w:val="086375D1"/>
    <w:rsid w:val="086376A4"/>
    <w:rsid w:val="08637797"/>
    <w:rsid w:val="086377B8"/>
    <w:rsid w:val="086377DF"/>
    <w:rsid w:val="086377EA"/>
    <w:rsid w:val="0863780A"/>
    <w:rsid w:val="08637814"/>
    <w:rsid w:val="08637819"/>
    <w:rsid w:val="0863781C"/>
    <w:rsid w:val="08637835"/>
    <w:rsid w:val="0863783C"/>
    <w:rsid w:val="08637893"/>
    <w:rsid w:val="08637927"/>
    <w:rsid w:val="0863795C"/>
    <w:rsid w:val="08637A2C"/>
    <w:rsid w:val="08637A9C"/>
    <w:rsid w:val="08637A9D"/>
    <w:rsid w:val="08637B01"/>
    <w:rsid w:val="08637B2F"/>
    <w:rsid w:val="08637BA9"/>
    <w:rsid w:val="08637C0B"/>
    <w:rsid w:val="08637C64"/>
    <w:rsid w:val="08637CFC"/>
    <w:rsid w:val="08637D8A"/>
    <w:rsid w:val="08637DC2"/>
    <w:rsid w:val="08637DF9"/>
    <w:rsid w:val="08637E58"/>
    <w:rsid w:val="08637F36"/>
    <w:rsid w:val="08637FAB"/>
    <w:rsid w:val="08637FBA"/>
    <w:rsid w:val="0864001C"/>
    <w:rsid w:val="0864002D"/>
    <w:rsid w:val="08640098"/>
    <w:rsid w:val="0864010C"/>
    <w:rsid w:val="0864012D"/>
    <w:rsid w:val="086401D5"/>
    <w:rsid w:val="08640201"/>
    <w:rsid w:val="08640352"/>
    <w:rsid w:val="086404B7"/>
    <w:rsid w:val="086404B9"/>
    <w:rsid w:val="086405C1"/>
    <w:rsid w:val="08640693"/>
    <w:rsid w:val="086406C7"/>
    <w:rsid w:val="0864075A"/>
    <w:rsid w:val="086407EA"/>
    <w:rsid w:val="08640815"/>
    <w:rsid w:val="08640835"/>
    <w:rsid w:val="086408C5"/>
    <w:rsid w:val="08640906"/>
    <w:rsid w:val="08640925"/>
    <w:rsid w:val="086409F4"/>
    <w:rsid w:val="08640AE5"/>
    <w:rsid w:val="08640C00"/>
    <w:rsid w:val="08640C3C"/>
    <w:rsid w:val="08640C8F"/>
    <w:rsid w:val="08640CBF"/>
    <w:rsid w:val="08640D0C"/>
    <w:rsid w:val="08640DBE"/>
    <w:rsid w:val="08640DC1"/>
    <w:rsid w:val="08640DCE"/>
    <w:rsid w:val="08640EB7"/>
    <w:rsid w:val="08640F74"/>
    <w:rsid w:val="08641101"/>
    <w:rsid w:val="08641121"/>
    <w:rsid w:val="0864124F"/>
    <w:rsid w:val="08641263"/>
    <w:rsid w:val="0864128C"/>
    <w:rsid w:val="086413F1"/>
    <w:rsid w:val="086414B2"/>
    <w:rsid w:val="086415EB"/>
    <w:rsid w:val="086416F4"/>
    <w:rsid w:val="08641792"/>
    <w:rsid w:val="086417E7"/>
    <w:rsid w:val="08641919"/>
    <w:rsid w:val="08641A29"/>
    <w:rsid w:val="08641AFE"/>
    <w:rsid w:val="08641C83"/>
    <w:rsid w:val="08641D0C"/>
    <w:rsid w:val="08641D7C"/>
    <w:rsid w:val="08641DE0"/>
    <w:rsid w:val="08641EF3"/>
    <w:rsid w:val="08641FEB"/>
    <w:rsid w:val="08642091"/>
    <w:rsid w:val="08642235"/>
    <w:rsid w:val="08642634"/>
    <w:rsid w:val="08642641"/>
    <w:rsid w:val="086427E8"/>
    <w:rsid w:val="08642810"/>
    <w:rsid w:val="086428AA"/>
    <w:rsid w:val="0864291B"/>
    <w:rsid w:val="0864292E"/>
    <w:rsid w:val="08642952"/>
    <w:rsid w:val="08642980"/>
    <w:rsid w:val="08642987"/>
    <w:rsid w:val="0864299E"/>
    <w:rsid w:val="08642A0C"/>
    <w:rsid w:val="08642A3F"/>
    <w:rsid w:val="08642B3D"/>
    <w:rsid w:val="08642B4E"/>
    <w:rsid w:val="08642C26"/>
    <w:rsid w:val="08642C6B"/>
    <w:rsid w:val="08642D2F"/>
    <w:rsid w:val="08642D3F"/>
    <w:rsid w:val="08642D54"/>
    <w:rsid w:val="0864307C"/>
    <w:rsid w:val="0864311E"/>
    <w:rsid w:val="08643154"/>
    <w:rsid w:val="08643185"/>
    <w:rsid w:val="08643225"/>
    <w:rsid w:val="08643272"/>
    <w:rsid w:val="0864336D"/>
    <w:rsid w:val="0864339D"/>
    <w:rsid w:val="08643409"/>
    <w:rsid w:val="08643456"/>
    <w:rsid w:val="08643483"/>
    <w:rsid w:val="0864357D"/>
    <w:rsid w:val="086436C4"/>
    <w:rsid w:val="086436C7"/>
    <w:rsid w:val="08643734"/>
    <w:rsid w:val="08643750"/>
    <w:rsid w:val="0864378E"/>
    <w:rsid w:val="086437B5"/>
    <w:rsid w:val="086437DE"/>
    <w:rsid w:val="086437F8"/>
    <w:rsid w:val="08643827"/>
    <w:rsid w:val="08643865"/>
    <w:rsid w:val="08643AB9"/>
    <w:rsid w:val="08643ACE"/>
    <w:rsid w:val="08643B68"/>
    <w:rsid w:val="08643C97"/>
    <w:rsid w:val="08643CA5"/>
    <w:rsid w:val="08643CA9"/>
    <w:rsid w:val="08643CCF"/>
    <w:rsid w:val="08643D63"/>
    <w:rsid w:val="08643D6B"/>
    <w:rsid w:val="08643DAD"/>
    <w:rsid w:val="08643DDE"/>
    <w:rsid w:val="08643E28"/>
    <w:rsid w:val="08643E40"/>
    <w:rsid w:val="08643E7E"/>
    <w:rsid w:val="08643EEA"/>
    <w:rsid w:val="08643F28"/>
    <w:rsid w:val="08644059"/>
    <w:rsid w:val="086440AC"/>
    <w:rsid w:val="086440CC"/>
    <w:rsid w:val="08644126"/>
    <w:rsid w:val="08644153"/>
    <w:rsid w:val="08644173"/>
    <w:rsid w:val="08644255"/>
    <w:rsid w:val="0864426E"/>
    <w:rsid w:val="08644343"/>
    <w:rsid w:val="08644399"/>
    <w:rsid w:val="086444A7"/>
    <w:rsid w:val="086444E2"/>
    <w:rsid w:val="086444F5"/>
    <w:rsid w:val="08644603"/>
    <w:rsid w:val="086446EF"/>
    <w:rsid w:val="086446FD"/>
    <w:rsid w:val="08644792"/>
    <w:rsid w:val="08644793"/>
    <w:rsid w:val="08644798"/>
    <w:rsid w:val="086447D0"/>
    <w:rsid w:val="086447F7"/>
    <w:rsid w:val="08644880"/>
    <w:rsid w:val="086448AD"/>
    <w:rsid w:val="086448C6"/>
    <w:rsid w:val="08644910"/>
    <w:rsid w:val="08644918"/>
    <w:rsid w:val="0864497D"/>
    <w:rsid w:val="08644991"/>
    <w:rsid w:val="08644A37"/>
    <w:rsid w:val="08644A81"/>
    <w:rsid w:val="08644A91"/>
    <w:rsid w:val="08644AA6"/>
    <w:rsid w:val="08644B67"/>
    <w:rsid w:val="08644B84"/>
    <w:rsid w:val="08644BF6"/>
    <w:rsid w:val="08644C4D"/>
    <w:rsid w:val="08644DAF"/>
    <w:rsid w:val="08644DD7"/>
    <w:rsid w:val="08644E22"/>
    <w:rsid w:val="08644E6C"/>
    <w:rsid w:val="0864502D"/>
    <w:rsid w:val="086451DB"/>
    <w:rsid w:val="086451F4"/>
    <w:rsid w:val="086452BB"/>
    <w:rsid w:val="08645315"/>
    <w:rsid w:val="08645318"/>
    <w:rsid w:val="0864535E"/>
    <w:rsid w:val="086453D5"/>
    <w:rsid w:val="086453FC"/>
    <w:rsid w:val="086454E0"/>
    <w:rsid w:val="08645523"/>
    <w:rsid w:val="086455AA"/>
    <w:rsid w:val="08645799"/>
    <w:rsid w:val="08645858"/>
    <w:rsid w:val="0864585C"/>
    <w:rsid w:val="0864586C"/>
    <w:rsid w:val="08645988"/>
    <w:rsid w:val="086459B8"/>
    <w:rsid w:val="086459E5"/>
    <w:rsid w:val="08645A2E"/>
    <w:rsid w:val="08645A34"/>
    <w:rsid w:val="08645AB5"/>
    <w:rsid w:val="08645ADA"/>
    <w:rsid w:val="08645ADD"/>
    <w:rsid w:val="08645AE2"/>
    <w:rsid w:val="08645B21"/>
    <w:rsid w:val="08645B41"/>
    <w:rsid w:val="08645BAD"/>
    <w:rsid w:val="08645BEA"/>
    <w:rsid w:val="08645E95"/>
    <w:rsid w:val="08645F68"/>
    <w:rsid w:val="08645F9F"/>
    <w:rsid w:val="08645FA0"/>
    <w:rsid w:val="08645FA1"/>
    <w:rsid w:val="08645FBB"/>
    <w:rsid w:val="0864601E"/>
    <w:rsid w:val="0864601F"/>
    <w:rsid w:val="08646071"/>
    <w:rsid w:val="0864608D"/>
    <w:rsid w:val="086460A0"/>
    <w:rsid w:val="086461B4"/>
    <w:rsid w:val="086461CC"/>
    <w:rsid w:val="086461E3"/>
    <w:rsid w:val="086462D8"/>
    <w:rsid w:val="08646369"/>
    <w:rsid w:val="086463E6"/>
    <w:rsid w:val="086463E8"/>
    <w:rsid w:val="08646430"/>
    <w:rsid w:val="08646445"/>
    <w:rsid w:val="086464CC"/>
    <w:rsid w:val="08646519"/>
    <w:rsid w:val="086465AB"/>
    <w:rsid w:val="08646741"/>
    <w:rsid w:val="086467B8"/>
    <w:rsid w:val="08646850"/>
    <w:rsid w:val="086468BD"/>
    <w:rsid w:val="0864692E"/>
    <w:rsid w:val="08646955"/>
    <w:rsid w:val="086469A0"/>
    <w:rsid w:val="086469AE"/>
    <w:rsid w:val="08646A13"/>
    <w:rsid w:val="08646A3A"/>
    <w:rsid w:val="08646A86"/>
    <w:rsid w:val="08646C6A"/>
    <w:rsid w:val="08646D04"/>
    <w:rsid w:val="08646D79"/>
    <w:rsid w:val="08646E60"/>
    <w:rsid w:val="08646FB3"/>
    <w:rsid w:val="08646FDD"/>
    <w:rsid w:val="0864705E"/>
    <w:rsid w:val="0864706D"/>
    <w:rsid w:val="0864712D"/>
    <w:rsid w:val="08647142"/>
    <w:rsid w:val="0864714F"/>
    <w:rsid w:val="08647262"/>
    <w:rsid w:val="086472BE"/>
    <w:rsid w:val="086472C8"/>
    <w:rsid w:val="0864736F"/>
    <w:rsid w:val="086473CD"/>
    <w:rsid w:val="08647449"/>
    <w:rsid w:val="086474D7"/>
    <w:rsid w:val="086474E7"/>
    <w:rsid w:val="0864751C"/>
    <w:rsid w:val="0864753A"/>
    <w:rsid w:val="08647583"/>
    <w:rsid w:val="0864762D"/>
    <w:rsid w:val="0864767F"/>
    <w:rsid w:val="086476AF"/>
    <w:rsid w:val="086476C1"/>
    <w:rsid w:val="086476C3"/>
    <w:rsid w:val="0864776E"/>
    <w:rsid w:val="086477EF"/>
    <w:rsid w:val="086478E6"/>
    <w:rsid w:val="0864793A"/>
    <w:rsid w:val="08647970"/>
    <w:rsid w:val="086479E8"/>
    <w:rsid w:val="08647A23"/>
    <w:rsid w:val="08647A82"/>
    <w:rsid w:val="08647ACC"/>
    <w:rsid w:val="08647CBB"/>
    <w:rsid w:val="08647D01"/>
    <w:rsid w:val="08647D1E"/>
    <w:rsid w:val="08647D23"/>
    <w:rsid w:val="08647D6A"/>
    <w:rsid w:val="08647DC8"/>
    <w:rsid w:val="08647EA3"/>
    <w:rsid w:val="08647F5D"/>
    <w:rsid w:val="08647F92"/>
    <w:rsid w:val="0865004C"/>
    <w:rsid w:val="08650078"/>
    <w:rsid w:val="086502BE"/>
    <w:rsid w:val="086502F1"/>
    <w:rsid w:val="086504D2"/>
    <w:rsid w:val="0865062F"/>
    <w:rsid w:val="086506DB"/>
    <w:rsid w:val="0865070C"/>
    <w:rsid w:val="08650736"/>
    <w:rsid w:val="086507E7"/>
    <w:rsid w:val="08650814"/>
    <w:rsid w:val="08650831"/>
    <w:rsid w:val="0865084A"/>
    <w:rsid w:val="08650992"/>
    <w:rsid w:val="08650A45"/>
    <w:rsid w:val="08650A5A"/>
    <w:rsid w:val="08650A97"/>
    <w:rsid w:val="08650B00"/>
    <w:rsid w:val="08650BCE"/>
    <w:rsid w:val="08650CA1"/>
    <w:rsid w:val="08650D98"/>
    <w:rsid w:val="08650E2B"/>
    <w:rsid w:val="08650F2F"/>
    <w:rsid w:val="08651073"/>
    <w:rsid w:val="086510FE"/>
    <w:rsid w:val="0865115F"/>
    <w:rsid w:val="0865116C"/>
    <w:rsid w:val="0865117C"/>
    <w:rsid w:val="08651209"/>
    <w:rsid w:val="08651227"/>
    <w:rsid w:val="08651280"/>
    <w:rsid w:val="08651300"/>
    <w:rsid w:val="086513B2"/>
    <w:rsid w:val="08651475"/>
    <w:rsid w:val="086514FF"/>
    <w:rsid w:val="0865161F"/>
    <w:rsid w:val="08651795"/>
    <w:rsid w:val="08651856"/>
    <w:rsid w:val="08651969"/>
    <w:rsid w:val="08651973"/>
    <w:rsid w:val="086519DE"/>
    <w:rsid w:val="08651A4F"/>
    <w:rsid w:val="08651A6D"/>
    <w:rsid w:val="08651BAB"/>
    <w:rsid w:val="08651C2A"/>
    <w:rsid w:val="08651C83"/>
    <w:rsid w:val="08651DD3"/>
    <w:rsid w:val="08651DF1"/>
    <w:rsid w:val="08651E18"/>
    <w:rsid w:val="08651E7D"/>
    <w:rsid w:val="08651E94"/>
    <w:rsid w:val="08651ECC"/>
    <w:rsid w:val="08651F01"/>
    <w:rsid w:val="08651F1E"/>
    <w:rsid w:val="08651F3D"/>
    <w:rsid w:val="08651FA8"/>
    <w:rsid w:val="08651FB7"/>
    <w:rsid w:val="086520CF"/>
    <w:rsid w:val="086520E4"/>
    <w:rsid w:val="08652111"/>
    <w:rsid w:val="086521D6"/>
    <w:rsid w:val="086522B4"/>
    <w:rsid w:val="086522CA"/>
    <w:rsid w:val="086522E3"/>
    <w:rsid w:val="08652375"/>
    <w:rsid w:val="08652416"/>
    <w:rsid w:val="086524FC"/>
    <w:rsid w:val="0865250D"/>
    <w:rsid w:val="086525E4"/>
    <w:rsid w:val="08652689"/>
    <w:rsid w:val="08652890"/>
    <w:rsid w:val="08652910"/>
    <w:rsid w:val="086529A8"/>
    <w:rsid w:val="086529DD"/>
    <w:rsid w:val="08652A2A"/>
    <w:rsid w:val="08652B55"/>
    <w:rsid w:val="08652BA5"/>
    <w:rsid w:val="08652D43"/>
    <w:rsid w:val="08652E44"/>
    <w:rsid w:val="08652E47"/>
    <w:rsid w:val="08652EB1"/>
    <w:rsid w:val="08652EC7"/>
    <w:rsid w:val="08652F2E"/>
    <w:rsid w:val="08652F7A"/>
    <w:rsid w:val="08652F97"/>
    <w:rsid w:val="08652FC5"/>
    <w:rsid w:val="08652FCD"/>
    <w:rsid w:val="08653077"/>
    <w:rsid w:val="086530C6"/>
    <w:rsid w:val="086531E8"/>
    <w:rsid w:val="08653258"/>
    <w:rsid w:val="0865333A"/>
    <w:rsid w:val="08653351"/>
    <w:rsid w:val="08653373"/>
    <w:rsid w:val="08653402"/>
    <w:rsid w:val="08653463"/>
    <w:rsid w:val="08653519"/>
    <w:rsid w:val="08653553"/>
    <w:rsid w:val="086535BB"/>
    <w:rsid w:val="086535D5"/>
    <w:rsid w:val="08653600"/>
    <w:rsid w:val="08653601"/>
    <w:rsid w:val="086536ED"/>
    <w:rsid w:val="086536F3"/>
    <w:rsid w:val="086536FE"/>
    <w:rsid w:val="08653748"/>
    <w:rsid w:val="0865374E"/>
    <w:rsid w:val="086537B5"/>
    <w:rsid w:val="08653846"/>
    <w:rsid w:val="0865388F"/>
    <w:rsid w:val="086538A7"/>
    <w:rsid w:val="0865392E"/>
    <w:rsid w:val="0865398F"/>
    <w:rsid w:val="086539C2"/>
    <w:rsid w:val="086539D4"/>
    <w:rsid w:val="08653B11"/>
    <w:rsid w:val="08653B74"/>
    <w:rsid w:val="08653BCD"/>
    <w:rsid w:val="08653CF4"/>
    <w:rsid w:val="08653D23"/>
    <w:rsid w:val="08653D45"/>
    <w:rsid w:val="08653D75"/>
    <w:rsid w:val="08653DB7"/>
    <w:rsid w:val="08653DD6"/>
    <w:rsid w:val="08653E86"/>
    <w:rsid w:val="08653F02"/>
    <w:rsid w:val="08653F6E"/>
    <w:rsid w:val="08653F7C"/>
    <w:rsid w:val="08654085"/>
    <w:rsid w:val="08654283"/>
    <w:rsid w:val="08654337"/>
    <w:rsid w:val="0865440D"/>
    <w:rsid w:val="0865441F"/>
    <w:rsid w:val="0865445A"/>
    <w:rsid w:val="086544B7"/>
    <w:rsid w:val="086544C1"/>
    <w:rsid w:val="08654573"/>
    <w:rsid w:val="0865457C"/>
    <w:rsid w:val="08654649"/>
    <w:rsid w:val="086546C5"/>
    <w:rsid w:val="086546F9"/>
    <w:rsid w:val="086547A8"/>
    <w:rsid w:val="08654800"/>
    <w:rsid w:val="086548CC"/>
    <w:rsid w:val="0865490E"/>
    <w:rsid w:val="0865493D"/>
    <w:rsid w:val="08654991"/>
    <w:rsid w:val="086549B5"/>
    <w:rsid w:val="086549D3"/>
    <w:rsid w:val="08654A1D"/>
    <w:rsid w:val="08654B2E"/>
    <w:rsid w:val="08654B6C"/>
    <w:rsid w:val="08654BE8"/>
    <w:rsid w:val="08654D72"/>
    <w:rsid w:val="08654DE6"/>
    <w:rsid w:val="08654E68"/>
    <w:rsid w:val="08654F45"/>
    <w:rsid w:val="08654F83"/>
    <w:rsid w:val="08655044"/>
    <w:rsid w:val="08655101"/>
    <w:rsid w:val="0865510B"/>
    <w:rsid w:val="086551FA"/>
    <w:rsid w:val="08655363"/>
    <w:rsid w:val="08655533"/>
    <w:rsid w:val="0865557D"/>
    <w:rsid w:val="086555B1"/>
    <w:rsid w:val="086555B6"/>
    <w:rsid w:val="086555E1"/>
    <w:rsid w:val="086556F6"/>
    <w:rsid w:val="08655790"/>
    <w:rsid w:val="08655812"/>
    <w:rsid w:val="0865585C"/>
    <w:rsid w:val="0865590F"/>
    <w:rsid w:val="0865597A"/>
    <w:rsid w:val="086559DB"/>
    <w:rsid w:val="08655A7C"/>
    <w:rsid w:val="08655A96"/>
    <w:rsid w:val="08655AE1"/>
    <w:rsid w:val="08655BD3"/>
    <w:rsid w:val="08655BD4"/>
    <w:rsid w:val="08655C34"/>
    <w:rsid w:val="08655CE6"/>
    <w:rsid w:val="08655D4B"/>
    <w:rsid w:val="08655D74"/>
    <w:rsid w:val="08655E3D"/>
    <w:rsid w:val="08655E8D"/>
    <w:rsid w:val="08655E90"/>
    <w:rsid w:val="08655E98"/>
    <w:rsid w:val="08655F8E"/>
    <w:rsid w:val="08655F97"/>
    <w:rsid w:val="08655FDB"/>
    <w:rsid w:val="086560D2"/>
    <w:rsid w:val="08656107"/>
    <w:rsid w:val="0865618A"/>
    <w:rsid w:val="086561AE"/>
    <w:rsid w:val="086561BE"/>
    <w:rsid w:val="086562A7"/>
    <w:rsid w:val="08656394"/>
    <w:rsid w:val="086563C8"/>
    <w:rsid w:val="0865640A"/>
    <w:rsid w:val="08656431"/>
    <w:rsid w:val="08656460"/>
    <w:rsid w:val="086564DD"/>
    <w:rsid w:val="086564F8"/>
    <w:rsid w:val="08656553"/>
    <w:rsid w:val="08656588"/>
    <w:rsid w:val="0865659E"/>
    <w:rsid w:val="08656641"/>
    <w:rsid w:val="0865665E"/>
    <w:rsid w:val="08656663"/>
    <w:rsid w:val="08656760"/>
    <w:rsid w:val="0865679E"/>
    <w:rsid w:val="086567DC"/>
    <w:rsid w:val="086568AB"/>
    <w:rsid w:val="086568C2"/>
    <w:rsid w:val="08656956"/>
    <w:rsid w:val="08656966"/>
    <w:rsid w:val="08656998"/>
    <w:rsid w:val="086569AB"/>
    <w:rsid w:val="08656A8C"/>
    <w:rsid w:val="08656BB3"/>
    <w:rsid w:val="08656BCB"/>
    <w:rsid w:val="08656C57"/>
    <w:rsid w:val="08656CFA"/>
    <w:rsid w:val="08656D76"/>
    <w:rsid w:val="08656DD0"/>
    <w:rsid w:val="08656DDC"/>
    <w:rsid w:val="08656FD2"/>
    <w:rsid w:val="08657127"/>
    <w:rsid w:val="08657209"/>
    <w:rsid w:val="08657269"/>
    <w:rsid w:val="0865728C"/>
    <w:rsid w:val="086572C4"/>
    <w:rsid w:val="086573D6"/>
    <w:rsid w:val="086573EA"/>
    <w:rsid w:val="08657605"/>
    <w:rsid w:val="08657622"/>
    <w:rsid w:val="0865764E"/>
    <w:rsid w:val="086576C0"/>
    <w:rsid w:val="086576CC"/>
    <w:rsid w:val="0865776F"/>
    <w:rsid w:val="086577EE"/>
    <w:rsid w:val="08657813"/>
    <w:rsid w:val="08657885"/>
    <w:rsid w:val="08657946"/>
    <w:rsid w:val="08657A52"/>
    <w:rsid w:val="08657A60"/>
    <w:rsid w:val="08657AC6"/>
    <w:rsid w:val="08657ADC"/>
    <w:rsid w:val="08657B32"/>
    <w:rsid w:val="08657B34"/>
    <w:rsid w:val="08657B8D"/>
    <w:rsid w:val="08657C07"/>
    <w:rsid w:val="08657C2D"/>
    <w:rsid w:val="08657CC4"/>
    <w:rsid w:val="08657E51"/>
    <w:rsid w:val="08657F15"/>
    <w:rsid w:val="08660005"/>
    <w:rsid w:val="08660076"/>
    <w:rsid w:val="08660182"/>
    <w:rsid w:val="08660191"/>
    <w:rsid w:val="086602B2"/>
    <w:rsid w:val="0866033E"/>
    <w:rsid w:val="08660349"/>
    <w:rsid w:val="08660387"/>
    <w:rsid w:val="08660457"/>
    <w:rsid w:val="08660529"/>
    <w:rsid w:val="0866052E"/>
    <w:rsid w:val="08660532"/>
    <w:rsid w:val="0866056C"/>
    <w:rsid w:val="086605BD"/>
    <w:rsid w:val="0866079B"/>
    <w:rsid w:val="08660881"/>
    <w:rsid w:val="0866099B"/>
    <w:rsid w:val="086609C1"/>
    <w:rsid w:val="08660ADB"/>
    <w:rsid w:val="08660B6A"/>
    <w:rsid w:val="08660BA7"/>
    <w:rsid w:val="08660C92"/>
    <w:rsid w:val="08660DA3"/>
    <w:rsid w:val="08660E12"/>
    <w:rsid w:val="08660E67"/>
    <w:rsid w:val="08660EF0"/>
    <w:rsid w:val="08660F2B"/>
    <w:rsid w:val="08660F42"/>
    <w:rsid w:val="08660F5E"/>
    <w:rsid w:val="08660FA5"/>
    <w:rsid w:val="0866101B"/>
    <w:rsid w:val="08661050"/>
    <w:rsid w:val="08661177"/>
    <w:rsid w:val="0866118B"/>
    <w:rsid w:val="0866118F"/>
    <w:rsid w:val="0866130F"/>
    <w:rsid w:val="0866133E"/>
    <w:rsid w:val="086613F8"/>
    <w:rsid w:val="08661413"/>
    <w:rsid w:val="08661416"/>
    <w:rsid w:val="0866141C"/>
    <w:rsid w:val="0866144F"/>
    <w:rsid w:val="08661487"/>
    <w:rsid w:val="086614A0"/>
    <w:rsid w:val="086614E8"/>
    <w:rsid w:val="0866150C"/>
    <w:rsid w:val="08661541"/>
    <w:rsid w:val="0866155B"/>
    <w:rsid w:val="0866155E"/>
    <w:rsid w:val="08661786"/>
    <w:rsid w:val="0866180F"/>
    <w:rsid w:val="0866191C"/>
    <w:rsid w:val="08661980"/>
    <w:rsid w:val="0866198D"/>
    <w:rsid w:val="08661A75"/>
    <w:rsid w:val="08661AE0"/>
    <w:rsid w:val="08661B28"/>
    <w:rsid w:val="08661C49"/>
    <w:rsid w:val="08661C5B"/>
    <w:rsid w:val="08661C7C"/>
    <w:rsid w:val="08661D81"/>
    <w:rsid w:val="08661DA8"/>
    <w:rsid w:val="08661E6E"/>
    <w:rsid w:val="08661E98"/>
    <w:rsid w:val="08661F28"/>
    <w:rsid w:val="08662010"/>
    <w:rsid w:val="08662138"/>
    <w:rsid w:val="0866217F"/>
    <w:rsid w:val="086621B1"/>
    <w:rsid w:val="086622D0"/>
    <w:rsid w:val="086622F1"/>
    <w:rsid w:val="08662434"/>
    <w:rsid w:val="08662507"/>
    <w:rsid w:val="0866256B"/>
    <w:rsid w:val="0866256F"/>
    <w:rsid w:val="08662591"/>
    <w:rsid w:val="086625D3"/>
    <w:rsid w:val="08662746"/>
    <w:rsid w:val="086627F9"/>
    <w:rsid w:val="086627FB"/>
    <w:rsid w:val="086628CA"/>
    <w:rsid w:val="086628CB"/>
    <w:rsid w:val="08662A17"/>
    <w:rsid w:val="08662A3A"/>
    <w:rsid w:val="08662AD2"/>
    <w:rsid w:val="08662C23"/>
    <w:rsid w:val="08662C86"/>
    <w:rsid w:val="08662CEE"/>
    <w:rsid w:val="08662D4F"/>
    <w:rsid w:val="08662D50"/>
    <w:rsid w:val="08662E77"/>
    <w:rsid w:val="08662ED7"/>
    <w:rsid w:val="08662F11"/>
    <w:rsid w:val="08662F32"/>
    <w:rsid w:val="0866317C"/>
    <w:rsid w:val="08663182"/>
    <w:rsid w:val="0866318B"/>
    <w:rsid w:val="08663292"/>
    <w:rsid w:val="086632D5"/>
    <w:rsid w:val="086633A5"/>
    <w:rsid w:val="086633F9"/>
    <w:rsid w:val="086634C0"/>
    <w:rsid w:val="086634F5"/>
    <w:rsid w:val="0866351D"/>
    <w:rsid w:val="0866369E"/>
    <w:rsid w:val="08663706"/>
    <w:rsid w:val="0866373D"/>
    <w:rsid w:val="0866384B"/>
    <w:rsid w:val="08663855"/>
    <w:rsid w:val="086638B6"/>
    <w:rsid w:val="086638E3"/>
    <w:rsid w:val="08663962"/>
    <w:rsid w:val="086639AC"/>
    <w:rsid w:val="086639C2"/>
    <w:rsid w:val="08663A55"/>
    <w:rsid w:val="08663B25"/>
    <w:rsid w:val="08663B4C"/>
    <w:rsid w:val="08663C08"/>
    <w:rsid w:val="08663C38"/>
    <w:rsid w:val="08663C77"/>
    <w:rsid w:val="08663D08"/>
    <w:rsid w:val="08663D2F"/>
    <w:rsid w:val="08663DC5"/>
    <w:rsid w:val="08663E8C"/>
    <w:rsid w:val="08663EB6"/>
    <w:rsid w:val="08663F74"/>
    <w:rsid w:val="08663F8F"/>
    <w:rsid w:val="0866406F"/>
    <w:rsid w:val="0866408F"/>
    <w:rsid w:val="0866409B"/>
    <w:rsid w:val="086640CE"/>
    <w:rsid w:val="08664134"/>
    <w:rsid w:val="08664155"/>
    <w:rsid w:val="0866416F"/>
    <w:rsid w:val="08664176"/>
    <w:rsid w:val="0866424B"/>
    <w:rsid w:val="08664259"/>
    <w:rsid w:val="0866427A"/>
    <w:rsid w:val="086642C0"/>
    <w:rsid w:val="0866439C"/>
    <w:rsid w:val="086644A5"/>
    <w:rsid w:val="086644D0"/>
    <w:rsid w:val="086644ED"/>
    <w:rsid w:val="08664543"/>
    <w:rsid w:val="08664601"/>
    <w:rsid w:val="0866461A"/>
    <w:rsid w:val="0866461B"/>
    <w:rsid w:val="08664698"/>
    <w:rsid w:val="0866476C"/>
    <w:rsid w:val="08664787"/>
    <w:rsid w:val="086647CF"/>
    <w:rsid w:val="08664814"/>
    <w:rsid w:val="086648C6"/>
    <w:rsid w:val="086648E8"/>
    <w:rsid w:val="0866498B"/>
    <w:rsid w:val="0866498F"/>
    <w:rsid w:val="08664B4A"/>
    <w:rsid w:val="08664B84"/>
    <w:rsid w:val="08664BF2"/>
    <w:rsid w:val="08664C45"/>
    <w:rsid w:val="08664C58"/>
    <w:rsid w:val="08664C62"/>
    <w:rsid w:val="08664D44"/>
    <w:rsid w:val="08664D78"/>
    <w:rsid w:val="08664DB1"/>
    <w:rsid w:val="08664DC3"/>
    <w:rsid w:val="08664E06"/>
    <w:rsid w:val="08664E60"/>
    <w:rsid w:val="08664E70"/>
    <w:rsid w:val="08664EC9"/>
    <w:rsid w:val="08664F82"/>
    <w:rsid w:val="0866505A"/>
    <w:rsid w:val="08665074"/>
    <w:rsid w:val="08665089"/>
    <w:rsid w:val="08665099"/>
    <w:rsid w:val="0866518A"/>
    <w:rsid w:val="0866518E"/>
    <w:rsid w:val="086651BF"/>
    <w:rsid w:val="086651DF"/>
    <w:rsid w:val="08665228"/>
    <w:rsid w:val="0866524D"/>
    <w:rsid w:val="086653CC"/>
    <w:rsid w:val="08665418"/>
    <w:rsid w:val="0866541A"/>
    <w:rsid w:val="0866550B"/>
    <w:rsid w:val="08665542"/>
    <w:rsid w:val="08665613"/>
    <w:rsid w:val="086656DF"/>
    <w:rsid w:val="08665705"/>
    <w:rsid w:val="0866573E"/>
    <w:rsid w:val="08665749"/>
    <w:rsid w:val="08665751"/>
    <w:rsid w:val="08665877"/>
    <w:rsid w:val="0866592C"/>
    <w:rsid w:val="08665AAD"/>
    <w:rsid w:val="08665AAF"/>
    <w:rsid w:val="08665ADF"/>
    <w:rsid w:val="08665AFA"/>
    <w:rsid w:val="08665B4D"/>
    <w:rsid w:val="08665BFF"/>
    <w:rsid w:val="08665C5D"/>
    <w:rsid w:val="08665CCD"/>
    <w:rsid w:val="08665D7E"/>
    <w:rsid w:val="08665D8D"/>
    <w:rsid w:val="08665DFF"/>
    <w:rsid w:val="08665E0A"/>
    <w:rsid w:val="08665E25"/>
    <w:rsid w:val="08666024"/>
    <w:rsid w:val="086660A0"/>
    <w:rsid w:val="086660A1"/>
    <w:rsid w:val="08666182"/>
    <w:rsid w:val="0866624B"/>
    <w:rsid w:val="08666266"/>
    <w:rsid w:val="086662D2"/>
    <w:rsid w:val="0866634D"/>
    <w:rsid w:val="086663B7"/>
    <w:rsid w:val="08666411"/>
    <w:rsid w:val="0866643F"/>
    <w:rsid w:val="0866657B"/>
    <w:rsid w:val="0866659D"/>
    <w:rsid w:val="08666652"/>
    <w:rsid w:val="086666BF"/>
    <w:rsid w:val="086667C4"/>
    <w:rsid w:val="08666865"/>
    <w:rsid w:val="08666898"/>
    <w:rsid w:val="0866689F"/>
    <w:rsid w:val="08666920"/>
    <w:rsid w:val="08666968"/>
    <w:rsid w:val="086669F1"/>
    <w:rsid w:val="08666A65"/>
    <w:rsid w:val="08666C3D"/>
    <w:rsid w:val="08666CFA"/>
    <w:rsid w:val="08666F1B"/>
    <w:rsid w:val="08667001"/>
    <w:rsid w:val="08667009"/>
    <w:rsid w:val="0866701F"/>
    <w:rsid w:val="08667087"/>
    <w:rsid w:val="086671E8"/>
    <w:rsid w:val="086671E9"/>
    <w:rsid w:val="0866726D"/>
    <w:rsid w:val="086672C3"/>
    <w:rsid w:val="086672D6"/>
    <w:rsid w:val="08667364"/>
    <w:rsid w:val="08667379"/>
    <w:rsid w:val="086673B0"/>
    <w:rsid w:val="086673DB"/>
    <w:rsid w:val="08667437"/>
    <w:rsid w:val="0866746F"/>
    <w:rsid w:val="0866751E"/>
    <w:rsid w:val="08667595"/>
    <w:rsid w:val="0866759F"/>
    <w:rsid w:val="086675CD"/>
    <w:rsid w:val="0866767D"/>
    <w:rsid w:val="086676A4"/>
    <w:rsid w:val="0866783E"/>
    <w:rsid w:val="0866787B"/>
    <w:rsid w:val="0866787D"/>
    <w:rsid w:val="08667893"/>
    <w:rsid w:val="086678BF"/>
    <w:rsid w:val="08667933"/>
    <w:rsid w:val="0866798A"/>
    <w:rsid w:val="08667A00"/>
    <w:rsid w:val="08667A0C"/>
    <w:rsid w:val="08667A19"/>
    <w:rsid w:val="08667AAA"/>
    <w:rsid w:val="08667B14"/>
    <w:rsid w:val="08667B2A"/>
    <w:rsid w:val="08667B34"/>
    <w:rsid w:val="08667B3B"/>
    <w:rsid w:val="08667BD5"/>
    <w:rsid w:val="08667BD8"/>
    <w:rsid w:val="08667C37"/>
    <w:rsid w:val="08667C3F"/>
    <w:rsid w:val="08667DAB"/>
    <w:rsid w:val="08667ED2"/>
    <w:rsid w:val="08670084"/>
    <w:rsid w:val="086700E8"/>
    <w:rsid w:val="08670106"/>
    <w:rsid w:val="086701CA"/>
    <w:rsid w:val="086701FD"/>
    <w:rsid w:val="0867023B"/>
    <w:rsid w:val="08670257"/>
    <w:rsid w:val="0867026C"/>
    <w:rsid w:val="086702EA"/>
    <w:rsid w:val="0867034E"/>
    <w:rsid w:val="08670386"/>
    <w:rsid w:val="086703B3"/>
    <w:rsid w:val="086703E9"/>
    <w:rsid w:val="086703EF"/>
    <w:rsid w:val="086704D8"/>
    <w:rsid w:val="08670502"/>
    <w:rsid w:val="0867057E"/>
    <w:rsid w:val="08670604"/>
    <w:rsid w:val="08670666"/>
    <w:rsid w:val="086706C0"/>
    <w:rsid w:val="086707F3"/>
    <w:rsid w:val="08670853"/>
    <w:rsid w:val="086708AC"/>
    <w:rsid w:val="086708E2"/>
    <w:rsid w:val="086708EB"/>
    <w:rsid w:val="0867099A"/>
    <w:rsid w:val="08670AB3"/>
    <w:rsid w:val="08670B46"/>
    <w:rsid w:val="08670B96"/>
    <w:rsid w:val="08670C0B"/>
    <w:rsid w:val="08670CFC"/>
    <w:rsid w:val="08670DCF"/>
    <w:rsid w:val="08670E03"/>
    <w:rsid w:val="08670E30"/>
    <w:rsid w:val="08670F04"/>
    <w:rsid w:val="08670FA6"/>
    <w:rsid w:val="0867103E"/>
    <w:rsid w:val="0867105A"/>
    <w:rsid w:val="0867112C"/>
    <w:rsid w:val="08671186"/>
    <w:rsid w:val="086711BD"/>
    <w:rsid w:val="086711D8"/>
    <w:rsid w:val="08671209"/>
    <w:rsid w:val="0867123F"/>
    <w:rsid w:val="086712BE"/>
    <w:rsid w:val="086712DA"/>
    <w:rsid w:val="086712F0"/>
    <w:rsid w:val="08671304"/>
    <w:rsid w:val="08671345"/>
    <w:rsid w:val="086713EE"/>
    <w:rsid w:val="0867157D"/>
    <w:rsid w:val="086715B4"/>
    <w:rsid w:val="086715DB"/>
    <w:rsid w:val="08671673"/>
    <w:rsid w:val="0867168B"/>
    <w:rsid w:val="086716E2"/>
    <w:rsid w:val="086718CA"/>
    <w:rsid w:val="0867196E"/>
    <w:rsid w:val="086719D9"/>
    <w:rsid w:val="08671B5F"/>
    <w:rsid w:val="08671C2C"/>
    <w:rsid w:val="08671CCC"/>
    <w:rsid w:val="08671D04"/>
    <w:rsid w:val="08671D15"/>
    <w:rsid w:val="08671D33"/>
    <w:rsid w:val="08671D42"/>
    <w:rsid w:val="08671D91"/>
    <w:rsid w:val="08671E10"/>
    <w:rsid w:val="08671EA5"/>
    <w:rsid w:val="08671EA9"/>
    <w:rsid w:val="08671F1F"/>
    <w:rsid w:val="08671F3D"/>
    <w:rsid w:val="08671F9B"/>
    <w:rsid w:val="08671FCA"/>
    <w:rsid w:val="0867223F"/>
    <w:rsid w:val="08672268"/>
    <w:rsid w:val="08672311"/>
    <w:rsid w:val="086723EF"/>
    <w:rsid w:val="08672450"/>
    <w:rsid w:val="08672491"/>
    <w:rsid w:val="086724AB"/>
    <w:rsid w:val="08672560"/>
    <w:rsid w:val="086725B9"/>
    <w:rsid w:val="086726AB"/>
    <w:rsid w:val="0867273A"/>
    <w:rsid w:val="0867279E"/>
    <w:rsid w:val="086727A1"/>
    <w:rsid w:val="086727D1"/>
    <w:rsid w:val="0867285F"/>
    <w:rsid w:val="086728FC"/>
    <w:rsid w:val="08672910"/>
    <w:rsid w:val="086729C2"/>
    <w:rsid w:val="08672A40"/>
    <w:rsid w:val="08672A6A"/>
    <w:rsid w:val="08672B39"/>
    <w:rsid w:val="08672B82"/>
    <w:rsid w:val="08672BC6"/>
    <w:rsid w:val="08672BF7"/>
    <w:rsid w:val="08672C99"/>
    <w:rsid w:val="08672CD0"/>
    <w:rsid w:val="08672D0A"/>
    <w:rsid w:val="08672D1E"/>
    <w:rsid w:val="08672DED"/>
    <w:rsid w:val="08672E28"/>
    <w:rsid w:val="08672E65"/>
    <w:rsid w:val="08672E8F"/>
    <w:rsid w:val="08672EF2"/>
    <w:rsid w:val="08672F89"/>
    <w:rsid w:val="08672FED"/>
    <w:rsid w:val="0867302E"/>
    <w:rsid w:val="08673146"/>
    <w:rsid w:val="08673218"/>
    <w:rsid w:val="08673250"/>
    <w:rsid w:val="086732BF"/>
    <w:rsid w:val="08673347"/>
    <w:rsid w:val="08673373"/>
    <w:rsid w:val="0867339B"/>
    <w:rsid w:val="0867340C"/>
    <w:rsid w:val="0867340E"/>
    <w:rsid w:val="0867346E"/>
    <w:rsid w:val="08673542"/>
    <w:rsid w:val="086735FA"/>
    <w:rsid w:val="0867368E"/>
    <w:rsid w:val="086736B2"/>
    <w:rsid w:val="086736C5"/>
    <w:rsid w:val="0867376E"/>
    <w:rsid w:val="086738C1"/>
    <w:rsid w:val="08673A61"/>
    <w:rsid w:val="08673AB4"/>
    <w:rsid w:val="08673B32"/>
    <w:rsid w:val="08673BB9"/>
    <w:rsid w:val="08673BFE"/>
    <w:rsid w:val="08673C8B"/>
    <w:rsid w:val="08673D06"/>
    <w:rsid w:val="08673D7A"/>
    <w:rsid w:val="08673DA4"/>
    <w:rsid w:val="08673DCD"/>
    <w:rsid w:val="08673EBD"/>
    <w:rsid w:val="08673F1B"/>
    <w:rsid w:val="08673F60"/>
    <w:rsid w:val="0867400C"/>
    <w:rsid w:val="08674044"/>
    <w:rsid w:val="086740AE"/>
    <w:rsid w:val="08674173"/>
    <w:rsid w:val="08674174"/>
    <w:rsid w:val="08674191"/>
    <w:rsid w:val="086741A2"/>
    <w:rsid w:val="086741D1"/>
    <w:rsid w:val="086741E0"/>
    <w:rsid w:val="0867423B"/>
    <w:rsid w:val="086742B7"/>
    <w:rsid w:val="086742DB"/>
    <w:rsid w:val="086742E6"/>
    <w:rsid w:val="086742EC"/>
    <w:rsid w:val="086742EF"/>
    <w:rsid w:val="08674309"/>
    <w:rsid w:val="086743D2"/>
    <w:rsid w:val="086743E3"/>
    <w:rsid w:val="086744DB"/>
    <w:rsid w:val="08674553"/>
    <w:rsid w:val="086745F5"/>
    <w:rsid w:val="08674607"/>
    <w:rsid w:val="086746AA"/>
    <w:rsid w:val="086746ED"/>
    <w:rsid w:val="0867479D"/>
    <w:rsid w:val="08674974"/>
    <w:rsid w:val="08674984"/>
    <w:rsid w:val="086749A2"/>
    <w:rsid w:val="086749CC"/>
    <w:rsid w:val="08674A69"/>
    <w:rsid w:val="08674A8D"/>
    <w:rsid w:val="08674AA8"/>
    <w:rsid w:val="08674B40"/>
    <w:rsid w:val="08674B79"/>
    <w:rsid w:val="08674BB4"/>
    <w:rsid w:val="08674C13"/>
    <w:rsid w:val="08674C33"/>
    <w:rsid w:val="08674CCC"/>
    <w:rsid w:val="08674D59"/>
    <w:rsid w:val="08674D6E"/>
    <w:rsid w:val="08674E4C"/>
    <w:rsid w:val="08674F18"/>
    <w:rsid w:val="08674F43"/>
    <w:rsid w:val="08674F8C"/>
    <w:rsid w:val="086750CC"/>
    <w:rsid w:val="086750D4"/>
    <w:rsid w:val="0867514A"/>
    <w:rsid w:val="0867519E"/>
    <w:rsid w:val="086752CE"/>
    <w:rsid w:val="08675401"/>
    <w:rsid w:val="086754C5"/>
    <w:rsid w:val="086754DC"/>
    <w:rsid w:val="086756B9"/>
    <w:rsid w:val="08675755"/>
    <w:rsid w:val="08675799"/>
    <w:rsid w:val="086757AF"/>
    <w:rsid w:val="086757CB"/>
    <w:rsid w:val="08675860"/>
    <w:rsid w:val="086758FC"/>
    <w:rsid w:val="08675946"/>
    <w:rsid w:val="0867594C"/>
    <w:rsid w:val="0867595F"/>
    <w:rsid w:val="08675B65"/>
    <w:rsid w:val="08675BCC"/>
    <w:rsid w:val="08675E3F"/>
    <w:rsid w:val="08675EA0"/>
    <w:rsid w:val="08675F47"/>
    <w:rsid w:val="08675FCE"/>
    <w:rsid w:val="08675FFE"/>
    <w:rsid w:val="08676009"/>
    <w:rsid w:val="0867606C"/>
    <w:rsid w:val="0867612B"/>
    <w:rsid w:val="08676167"/>
    <w:rsid w:val="086761BE"/>
    <w:rsid w:val="08676229"/>
    <w:rsid w:val="08676311"/>
    <w:rsid w:val="0867632C"/>
    <w:rsid w:val="086765B7"/>
    <w:rsid w:val="08676626"/>
    <w:rsid w:val="0867671F"/>
    <w:rsid w:val="0867676A"/>
    <w:rsid w:val="086767D8"/>
    <w:rsid w:val="086768CA"/>
    <w:rsid w:val="0867693C"/>
    <w:rsid w:val="086769DD"/>
    <w:rsid w:val="08676A2F"/>
    <w:rsid w:val="08676A99"/>
    <w:rsid w:val="08676B7D"/>
    <w:rsid w:val="08676B94"/>
    <w:rsid w:val="08676BE0"/>
    <w:rsid w:val="08676C62"/>
    <w:rsid w:val="08676C6C"/>
    <w:rsid w:val="08676CEF"/>
    <w:rsid w:val="08676E61"/>
    <w:rsid w:val="08676EA5"/>
    <w:rsid w:val="08676FEF"/>
    <w:rsid w:val="08677097"/>
    <w:rsid w:val="086770C2"/>
    <w:rsid w:val="0867726B"/>
    <w:rsid w:val="086773D6"/>
    <w:rsid w:val="0867745B"/>
    <w:rsid w:val="0867747B"/>
    <w:rsid w:val="086774AF"/>
    <w:rsid w:val="086774CA"/>
    <w:rsid w:val="086774F9"/>
    <w:rsid w:val="08677578"/>
    <w:rsid w:val="086775B7"/>
    <w:rsid w:val="086775BE"/>
    <w:rsid w:val="086776BA"/>
    <w:rsid w:val="086776C2"/>
    <w:rsid w:val="086779EA"/>
    <w:rsid w:val="08677A7C"/>
    <w:rsid w:val="08677AC6"/>
    <w:rsid w:val="08677AE8"/>
    <w:rsid w:val="08677B16"/>
    <w:rsid w:val="08677B76"/>
    <w:rsid w:val="08677BB0"/>
    <w:rsid w:val="08677BC7"/>
    <w:rsid w:val="08677C6D"/>
    <w:rsid w:val="08677E0D"/>
    <w:rsid w:val="08677E7B"/>
    <w:rsid w:val="08677EF4"/>
    <w:rsid w:val="08677F27"/>
    <w:rsid w:val="08677F31"/>
    <w:rsid w:val="08677F44"/>
    <w:rsid w:val="08680041"/>
    <w:rsid w:val="0868017B"/>
    <w:rsid w:val="0868019B"/>
    <w:rsid w:val="086801D2"/>
    <w:rsid w:val="086801F2"/>
    <w:rsid w:val="08680332"/>
    <w:rsid w:val="08680376"/>
    <w:rsid w:val="086803CE"/>
    <w:rsid w:val="0868043C"/>
    <w:rsid w:val="08680446"/>
    <w:rsid w:val="08680458"/>
    <w:rsid w:val="086804CF"/>
    <w:rsid w:val="0868053A"/>
    <w:rsid w:val="08680567"/>
    <w:rsid w:val="0868057D"/>
    <w:rsid w:val="08680618"/>
    <w:rsid w:val="086806A1"/>
    <w:rsid w:val="08680805"/>
    <w:rsid w:val="08680833"/>
    <w:rsid w:val="0868084C"/>
    <w:rsid w:val="0868085B"/>
    <w:rsid w:val="086808E1"/>
    <w:rsid w:val="0868094B"/>
    <w:rsid w:val="086809B6"/>
    <w:rsid w:val="086809E6"/>
    <w:rsid w:val="08680BAA"/>
    <w:rsid w:val="08680BBB"/>
    <w:rsid w:val="08680BE9"/>
    <w:rsid w:val="08680C41"/>
    <w:rsid w:val="08680CD8"/>
    <w:rsid w:val="08680D9A"/>
    <w:rsid w:val="08680EBE"/>
    <w:rsid w:val="08680F4C"/>
    <w:rsid w:val="08680F8E"/>
    <w:rsid w:val="08681024"/>
    <w:rsid w:val="0868106B"/>
    <w:rsid w:val="086810BB"/>
    <w:rsid w:val="08681184"/>
    <w:rsid w:val="0868119E"/>
    <w:rsid w:val="086811BC"/>
    <w:rsid w:val="0868122E"/>
    <w:rsid w:val="0868137D"/>
    <w:rsid w:val="0868138C"/>
    <w:rsid w:val="086813D4"/>
    <w:rsid w:val="086813F2"/>
    <w:rsid w:val="0868148E"/>
    <w:rsid w:val="08681499"/>
    <w:rsid w:val="086814F3"/>
    <w:rsid w:val="08681692"/>
    <w:rsid w:val="086816AD"/>
    <w:rsid w:val="086816C5"/>
    <w:rsid w:val="08681804"/>
    <w:rsid w:val="0868189C"/>
    <w:rsid w:val="08681931"/>
    <w:rsid w:val="086819F4"/>
    <w:rsid w:val="08681AD9"/>
    <w:rsid w:val="08681B95"/>
    <w:rsid w:val="08681C5E"/>
    <w:rsid w:val="08681C81"/>
    <w:rsid w:val="08681C8B"/>
    <w:rsid w:val="08681E17"/>
    <w:rsid w:val="08681E71"/>
    <w:rsid w:val="08681E82"/>
    <w:rsid w:val="08681F54"/>
    <w:rsid w:val="08681F7A"/>
    <w:rsid w:val="08681F9D"/>
    <w:rsid w:val="0868207D"/>
    <w:rsid w:val="086820E7"/>
    <w:rsid w:val="0868212B"/>
    <w:rsid w:val="0868212D"/>
    <w:rsid w:val="0868216F"/>
    <w:rsid w:val="086821DB"/>
    <w:rsid w:val="086821EB"/>
    <w:rsid w:val="08682251"/>
    <w:rsid w:val="08682276"/>
    <w:rsid w:val="08682319"/>
    <w:rsid w:val="08682330"/>
    <w:rsid w:val="0868237D"/>
    <w:rsid w:val="08682389"/>
    <w:rsid w:val="08682475"/>
    <w:rsid w:val="08682529"/>
    <w:rsid w:val="08682626"/>
    <w:rsid w:val="08682765"/>
    <w:rsid w:val="086827B4"/>
    <w:rsid w:val="08682800"/>
    <w:rsid w:val="086828DE"/>
    <w:rsid w:val="08682912"/>
    <w:rsid w:val="086829FC"/>
    <w:rsid w:val="08682A23"/>
    <w:rsid w:val="08682AE8"/>
    <w:rsid w:val="08682B03"/>
    <w:rsid w:val="08682C0E"/>
    <w:rsid w:val="08682D0C"/>
    <w:rsid w:val="08682D1C"/>
    <w:rsid w:val="08682D84"/>
    <w:rsid w:val="08682D9C"/>
    <w:rsid w:val="08682DB8"/>
    <w:rsid w:val="08682E2C"/>
    <w:rsid w:val="08682F15"/>
    <w:rsid w:val="08682FB6"/>
    <w:rsid w:val="086830DC"/>
    <w:rsid w:val="086830E7"/>
    <w:rsid w:val="08683117"/>
    <w:rsid w:val="0868312F"/>
    <w:rsid w:val="0868317A"/>
    <w:rsid w:val="0868326B"/>
    <w:rsid w:val="08683285"/>
    <w:rsid w:val="086832FC"/>
    <w:rsid w:val="0868332B"/>
    <w:rsid w:val="086835CE"/>
    <w:rsid w:val="0868360B"/>
    <w:rsid w:val="08683659"/>
    <w:rsid w:val="086836DE"/>
    <w:rsid w:val="086836EE"/>
    <w:rsid w:val="08683772"/>
    <w:rsid w:val="0868378F"/>
    <w:rsid w:val="086837A5"/>
    <w:rsid w:val="086837DC"/>
    <w:rsid w:val="08683812"/>
    <w:rsid w:val="08683912"/>
    <w:rsid w:val="0868397D"/>
    <w:rsid w:val="086839C7"/>
    <w:rsid w:val="086839D3"/>
    <w:rsid w:val="086839E4"/>
    <w:rsid w:val="08683A73"/>
    <w:rsid w:val="08683B26"/>
    <w:rsid w:val="08683B3B"/>
    <w:rsid w:val="08683BEC"/>
    <w:rsid w:val="08683BFE"/>
    <w:rsid w:val="08683CD2"/>
    <w:rsid w:val="08683CD5"/>
    <w:rsid w:val="08683D41"/>
    <w:rsid w:val="08683E6E"/>
    <w:rsid w:val="08683E85"/>
    <w:rsid w:val="08683EDF"/>
    <w:rsid w:val="08683F14"/>
    <w:rsid w:val="08683F62"/>
    <w:rsid w:val="08683F87"/>
    <w:rsid w:val="0868408B"/>
    <w:rsid w:val="08684090"/>
    <w:rsid w:val="086840D4"/>
    <w:rsid w:val="08684123"/>
    <w:rsid w:val="0868417F"/>
    <w:rsid w:val="086841BD"/>
    <w:rsid w:val="086841C5"/>
    <w:rsid w:val="08684226"/>
    <w:rsid w:val="0868435C"/>
    <w:rsid w:val="086843BE"/>
    <w:rsid w:val="0868447B"/>
    <w:rsid w:val="08684482"/>
    <w:rsid w:val="086845BD"/>
    <w:rsid w:val="0868467A"/>
    <w:rsid w:val="08684683"/>
    <w:rsid w:val="086846A7"/>
    <w:rsid w:val="08684753"/>
    <w:rsid w:val="086848C8"/>
    <w:rsid w:val="086848D6"/>
    <w:rsid w:val="086848EA"/>
    <w:rsid w:val="0868492A"/>
    <w:rsid w:val="08684A24"/>
    <w:rsid w:val="08684AC1"/>
    <w:rsid w:val="08684B23"/>
    <w:rsid w:val="08684B3F"/>
    <w:rsid w:val="08684BA9"/>
    <w:rsid w:val="08684BE3"/>
    <w:rsid w:val="08684C6F"/>
    <w:rsid w:val="08684D3B"/>
    <w:rsid w:val="08684D95"/>
    <w:rsid w:val="08684DA5"/>
    <w:rsid w:val="08684DAF"/>
    <w:rsid w:val="08684FA0"/>
    <w:rsid w:val="08685005"/>
    <w:rsid w:val="08685075"/>
    <w:rsid w:val="086850BB"/>
    <w:rsid w:val="0868533D"/>
    <w:rsid w:val="086853CF"/>
    <w:rsid w:val="08685466"/>
    <w:rsid w:val="08685477"/>
    <w:rsid w:val="086854AC"/>
    <w:rsid w:val="086854C0"/>
    <w:rsid w:val="086854C3"/>
    <w:rsid w:val="0868553F"/>
    <w:rsid w:val="0868557E"/>
    <w:rsid w:val="0868568A"/>
    <w:rsid w:val="086856BF"/>
    <w:rsid w:val="086856C0"/>
    <w:rsid w:val="086857A3"/>
    <w:rsid w:val="086857E0"/>
    <w:rsid w:val="0868586B"/>
    <w:rsid w:val="086858F4"/>
    <w:rsid w:val="08685973"/>
    <w:rsid w:val="08685A85"/>
    <w:rsid w:val="08685AEB"/>
    <w:rsid w:val="08685AEF"/>
    <w:rsid w:val="08685BD4"/>
    <w:rsid w:val="08685C1F"/>
    <w:rsid w:val="08685C5D"/>
    <w:rsid w:val="08685CE7"/>
    <w:rsid w:val="08685D70"/>
    <w:rsid w:val="08685DA9"/>
    <w:rsid w:val="08685DB5"/>
    <w:rsid w:val="08685EAF"/>
    <w:rsid w:val="08685F69"/>
    <w:rsid w:val="0868603C"/>
    <w:rsid w:val="08686052"/>
    <w:rsid w:val="08686082"/>
    <w:rsid w:val="08686265"/>
    <w:rsid w:val="086862E8"/>
    <w:rsid w:val="086863A2"/>
    <w:rsid w:val="0868643D"/>
    <w:rsid w:val="086864CD"/>
    <w:rsid w:val="086864D0"/>
    <w:rsid w:val="0868668C"/>
    <w:rsid w:val="0868672D"/>
    <w:rsid w:val="086867EC"/>
    <w:rsid w:val="08686819"/>
    <w:rsid w:val="08686891"/>
    <w:rsid w:val="086868B7"/>
    <w:rsid w:val="08686A05"/>
    <w:rsid w:val="08686A67"/>
    <w:rsid w:val="08686A70"/>
    <w:rsid w:val="08686ACF"/>
    <w:rsid w:val="08686B85"/>
    <w:rsid w:val="08686BB5"/>
    <w:rsid w:val="08686BC0"/>
    <w:rsid w:val="08686C3E"/>
    <w:rsid w:val="08686CA8"/>
    <w:rsid w:val="08686D0F"/>
    <w:rsid w:val="08686D13"/>
    <w:rsid w:val="08686E30"/>
    <w:rsid w:val="08686E36"/>
    <w:rsid w:val="08686E39"/>
    <w:rsid w:val="08686E6E"/>
    <w:rsid w:val="08686F11"/>
    <w:rsid w:val="08686F7E"/>
    <w:rsid w:val="08686FBA"/>
    <w:rsid w:val="08687033"/>
    <w:rsid w:val="0868714B"/>
    <w:rsid w:val="08687170"/>
    <w:rsid w:val="086871C4"/>
    <w:rsid w:val="0868723C"/>
    <w:rsid w:val="0868746C"/>
    <w:rsid w:val="086874F7"/>
    <w:rsid w:val="0868755D"/>
    <w:rsid w:val="086876B3"/>
    <w:rsid w:val="086876BB"/>
    <w:rsid w:val="0868771D"/>
    <w:rsid w:val="08687761"/>
    <w:rsid w:val="086877B4"/>
    <w:rsid w:val="086877B9"/>
    <w:rsid w:val="086877CB"/>
    <w:rsid w:val="086879A9"/>
    <w:rsid w:val="086879D5"/>
    <w:rsid w:val="08687A22"/>
    <w:rsid w:val="08687AA2"/>
    <w:rsid w:val="08687B00"/>
    <w:rsid w:val="08687B03"/>
    <w:rsid w:val="08687B79"/>
    <w:rsid w:val="08687BDC"/>
    <w:rsid w:val="08687CF4"/>
    <w:rsid w:val="08687DC0"/>
    <w:rsid w:val="08687E3D"/>
    <w:rsid w:val="08687E9E"/>
    <w:rsid w:val="08687FB5"/>
    <w:rsid w:val="08690033"/>
    <w:rsid w:val="0869008C"/>
    <w:rsid w:val="086900A9"/>
    <w:rsid w:val="0869019F"/>
    <w:rsid w:val="086901B7"/>
    <w:rsid w:val="08690452"/>
    <w:rsid w:val="08690499"/>
    <w:rsid w:val="08690768"/>
    <w:rsid w:val="086907C7"/>
    <w:rsid w:val="0869080D"/>
    <w:rsid w:val="0869084F"/>
    <w:rsid w:val="0869089E"/>
    <w:rsid w:val="086908F7"/>
    <w:rsid w:val="0869095E"/>
    <w:rsid w:val="086909CA"/>
    <w:rsid w:val="08690ACA"/>
    <w:rsid w:val="08690AD3"/>
    <w:rsid w:val="08690B62"/>
    <w:rsid w:val="08690B89"/>
    <w:rsid w:val="08690C59"/>
    <w:rsid w:val="08690CF2"/>
    <w:rsid w:val="08690DDC"/>
    <w:rsid w:val="08690F23"/>
    <w:rsid w:val="08690F61"/>
    <w:rsid w:val="08690FA2"/>
    <w:rsid w:val="08691050"/>
    <w:rsid w:val="08691087"/>
    <w:rsid w:val="08691163"/>
    <w:rsid w:val="086912F6"/>
    <w:rsid w:val="08691300"/>
    <w:rsid w:val="086913BE"/>
    <w:rsid w:val="086913C2"/>
    <w:rsid w:val="0869150B"/>
    <w:rsid w:val="08691539"/>
    <w:rsid w:val="08691548"/>
    <w:rsid w:val="086915FC"/>
    <w:rsid w:val="0869161C"/>
    <w:rsid w:val="0869173E"/>
    <w:rsid w:val="086917C3"/>
    <w:rsid w:val="086919AF"/>
    <w:rsid w:val="086919D7"/>
    <w:rsid w:val="08691A7F"/>
    <w:rsid w:val="08691B76"/>
    <w:rsid w:val="08691BDF"/>
    <w:rsid w:val="08691BE9"/>
    <w:rsid w:val="08691C2E"/>
    <w:rsid w:val="08691CAE"/>
    <w:rsid w:val="08691F1D"/>
    <w:rsid w:val="08691F25"/>
    <w:rsid w:val="08691F63"/>
    <w:rsid w:val="08691F6F"/>
    <w:rsid w:val="08691FA1"/>
    <w:rsid w:val="08691FD6"/>
    <w:rsid w:val="0869211C"/>
    <w:rsid w:val="086921A6"/>
    <w:rsid w:val="086921E0"/>
    <w:rsid w:val="08692214"/>
    <w:rsid w:val="08692340"/>
    <w:rsid w:val="0869234F"/>
    <w:rsid w:val="086923E5"/>
    <w:rsid w:val="08692469"/>
    <w:rsid w:val="08692518"/>
    <w:rsid w:val="0869258B"/>
    <w:rsid w:val="086925C2"/>
    <w:rsid w:val="086925E1"/>
    <w:rsid w:val="0869274B"/>
    <w:rsid w:val="08692787"/>
    <w:rsid w:val="086927B4"/>
    <w:rsid w:val="086927C9"/>
    <w:rsid w:val="0869282B"/>
    <w:rsid w:val="0869286A"/>
    <w:rsid w:val="08692883"/>
    <w:rsid w:val="08692962"/>
    <w:rsid w:val="08692985"/>
    <w:rsid w:val="086929A7"/>
    <w:rsid w:val="08692A0F"/>
    <w:rsid w:val="08692A56"/>
    <w:rsid w:val="08692AD6"/>
    <w:rsid w:val="08692C1D"/>
    <w:rsid w:val="08692D81"/>
    <w:rsid w:val="08692E3B"/>
    <w:rsid w:val="08692E48"/>
    <w:rsid w:val="08692F33"/>
    <w:rsid w:val="0869303A"/>
    <w:rsid w:val="086930B0"/>
    <w:rsid w:val="086930CF"/>
    <w:rsid w:val="0869318E"/>
    <w:rsid w:val="086931D4"/>
    <w:rsid w:val="08693200"/>
    <w:rsid w:val="08693205"/>
    <w:rsid w:val="086932CC"/>
    <w:rsid w:val="086934A0"/>
    <w:rsid w:val="0869352D"/>
    <w:rsid w:val="086935A4"/>
    <w:rsid w:val="086935C1"/>
    <w:rsid w:val="08693659"/>
    <w:rsid w:val="0869370C"/>
    <w:rsid w:val="086937D0"/>
    <w:rsid w:val="08693828"/>
    <w:rsid w:val="08693865"/>
    <w:rsid w:val="0869387A"/>
    <w:rsid w:val="086938CE"/>
    <w:rsid w:val="086938D8"/>
    <w:rsid w:val="08693AC2"/>
    <w:rsid w:val="08693AE7"/>
    <w:rsid w:val="08693B3F"/>
    <w:rsid w:val="08693C81"/>
    <w:rsid w:val="08693D24"/>
    <w:rsid w:val="08693D8D"/>
    <w:rsid w:val="08693E16"/>
    <w:rsid w:val="08693E41"/>
    <w:rsid w:val="08693E4F"/>
    <w:rsid w:val="08693ED2"/>
    <w:rsid w:val="08693F3C"/>
    <w:rsid w:val="08693F65"/>
    <w:rsid w:val="08693FCC"/>
    <w:rsid w:val="086940F3"/>
    <w:rsid w:val="0869419D"/>
    <w:rsid w:val="086941AB"/>
    <w:rsid w:val="086941FE"/>
    <w:rsid w:val="0869421A"/>
    <w:rsid w:val="0869423E"/>
    <w:rsid w:val="08694294"/>
    <w:rsid w:val="086942B1"/>
    <w:rsid w:val="08694373"/>
    <w:rsid w:val="08694393"/>
    <w:rsid w:val="08694424"/>
    <w:rsid w:val="08694431"/>
    <w:rsid w:val="08694585"/>
    <w:rsid w:val="0869464C"/>
    <w:rsid w:val="08694658"/>
    <w:rsid w:val="08694745"/>
    <w:rsid w:val="0869476E"/>
    <w:rsid w:val="08694791"/>
    <w:rsid w:val="086947BF"/>
    <w:rsid w:val="086947F0"/>
    <w:rsid w:val="0869483A"/>
    <w:rsid w:val="086949A6"/>
    <w:rsid w:val="08694A5C"/>
    <w:rsid w:val="08694BA4"/>
    <w:rsid w:val="08694BF2"/>
    <w:rsid w:val="08694D0C"/>
    <w:rsid w:val="08694D34"/>
    <w:rsid w:val="08694F60"/>
    <w:rsid w:val="08694F8F"/>
    <w:rsid w:val="08694FB3"/>
    <w:rsid w:val="08695001"/>
    <w:rsid w:val="086950DF"/>
    <w:rsid w:val="086950EE"/>
    <w:rsid w:val="08695109"/>
    <w:rsid w:val="0869516B"/>
    <w:rsid w:val="08695176"/>
    <w:rsid w:val="0869524D"/>
    <w:rsid w:val="0869530A"/>
    <w:rsid w:val="08695331"/>
    <w:rsid w:val="0869542E"/>
    <w:rsid w:val="08695453"/>
    <w:rsid w:val="0869548A"/>
    <w:rsid w:val="08695568"/>
    <w:rsid w:val="0869564A"/>
    <w:rsid w:val="086956A5"/>
    <w:rsid w:val="08695725"/>
    <w:rsid w:val="08695742"/>
    <w:rsid w:val="0869574E"/>
    <w:rsid w:val="086957CE"/>
    <w:rsid w:val="08695834"/>
    <w:rsid w:val="086958C7"/>
    <w:rsid w:val="0869590C"/>
    <w:rsid w:val="0869598E"/>
    <w:rsid w:val="086959F0"/>
    <w:rsid w:val="08695ABA"/>
    <w:rsid w:val="08695AC4"/>
    <w:rsid w:val="08695AD9"/>
    <w:rsid w:val="08695B57"/>
    <w:rsid w:val="08695B9E"/>
    <w:rsid w:val="08695BA2"/>
    <w:rsid w:val="08695CA8"/>
    <w:rsid w:val="08695D98"/>
    <w:rsid w:val="08695E2B"/>
    <w:rsid w:val="08695E6D"/>
    <w:rsid w:val="08695F07"/>
    <w:rsid w:val="08695F14"/>
    <w:rsid w:val="08695F16"/>
    <w:rsid w:val="08695F56"/>
    <w:rsid w:val="08695F87"/>
    <w:rsid w:val="08695FDC"/>
    <w:rsid w:val="08696017"/>
    <w:rsid w:val="08696019"/>
    <w:rsid w:val="08696067"/>
    <w:rsid w:val="08696118"/>
    <w:rsid w:val="086962BB"/>
    <w:rsid w:val="086962F3"/>
    <w:rsid w:val="08696303"/>
    <w:rsid w:val="08696347"/>
    <w:rsid w:val="0869649B"/>
    <w:rsid w:val="086964A8"/>
    <w:rsid w:val="086964BA"/>
    <w:rsid w:val="08696514"/>
    <w:rsid w:val="08696543"/>
    <w:rsid w:val="08696564"/>
    <w:rsid w:val="086966CE"/>
    <w:rsid w:val="086966D6"/>
    <w:rsid w:val="0869672D"/>
    <w:rsid w:val="0869673F"/>
    <w:rsid w:val="08696784"/>
    <w:rsid w:val="086967B8"/>
    <w:rsid w:val="0869683D"/>
    <w:rsid w:val="08696881"/>
    <w:rsid w:val="08696941"/>
    <w:rsid w:val="0869698A"/>
    <w:rsid w:val="08696A75"/>
    <w:rsid w:val="08696B1B"/>
    <w:rsid w:val="08696B1E"/>
    <w:rsid w:val="08696C29"/>
    <w:rsid w:val="08696C76"/>
    <w:rsid w:val="08696D53"/>
    <w:rsid w:val="08696E43"/>
    <w:rsid w:val="08696FDC"/>
    <w:rsid w:val="086970B4"/>
    <w:rsid w:val="086970B5"/>
    <w:rsid w:val="086970C8"/>
    <w:rsid w:val="086970CE"/>
    <w:rsid w:val="08697175"/>
    <w:rsid w:val="0869718C"/>
    <w:rsid w:val="086971C8"/>
    <w:rsid w:val="08697204"/>
    <w:rsid w:val="08697211"/>
    <w:rsid w:val="0869724B"/>
    <w:rsid w:val="08697261"/>
    <w:rsid w:val="08697276"/>
    <w:rsid w:val="08697281"/>
    <w:rsid w:val="0869728A"/>
    <w:rsid w:val="086972B8"/>
    <w:rsid w:val="08697399"/>
    <w:rsid w:val="0869743C"/>
    <w:rsid w:val="0869751D"/>
    <w:rsid w:val="08697630"/>
    <w:rsid w:val="08697775"/>
    <w:rsid w:val="086977B5"/>
    <w:rsid w:val="086977F4"/>
    <w:rsid w:val="0869782C"/>
    <w:rsid w:val="0869785C"/>
    <w:rsid w:val="0869786B"/>
    <w:rsid w:val="086978B0"/>
    <w:rsid w:val="086978CF"/>
    <w:rsid w:val="08697965"/>
    <w:rsid w:val="0869796B"/>
    <w:rsid w:val="08697974"/>
    <w:rsid w:val="08697985"/>
    <w:rsid w:val="086979C9"/>
    <w:rsid w:val="08697A29"/>
    <w:rsid w:val="08697A4F"/>
    <w:rsid w:val="08697BB0"/>
    <w:rsid w:val="08697BB1"/>
    <w:rsid w:val="08697C60"/>
    <w:rsid w:val="08697C6F"/>
    <w:rsid w:val="08697CD8"/>
    <w:rsid w:val="08697DB6"/>
    <w:rsid w:val="08697DC3"/>
    <w:rsid w:val="08697E19"/>
    <w:rsid w:val="08697E55"/>
    <w:rsid w:val="08697E58"/>
    <w:rsid w:val="08697F69"/>
    <w:rsid w:val="086A004A"/>
    <w:rsid w:val="086A00D2"/>
    <w:rsid w:val="086A00FB"/>
    <w:rsid w:val="086A01CE"/>
    <w:rsid w:val="086A0363"/>
    <w:rsid w:val="086A037A"/>
    <w:rsid w:val="086A03A0"/>
    <w:rsid w:val="086A03A5"/>
    <w:rsid w:val="086A03AF"/>
    <w:rsid w:val="086A0407"/>
    <w:rsid w:val="086A0577"/>
    <w:rsid w:val="086A0588"/>
    <w:rsid w:val="086A05A8"/>
    <w:rsid w:val="086A0687"/>
    <w:rsid w:val="086A0740"/>
    <w:rsid w:val="086A0745"/>
    <w:rsid w:val="086A0754"/>
    <w:rsid w:val="086A077C"/>
    <w:rsid w:val="086A0822"/>
    <w:rsid w:val="086A08A2"/>
    <w:rsid w:val="086A08BD"/>
    <w:rsid w:val="086A08E3"/>
    <w:rsid w:val="086A08ED"/>
    <w:rsid w:val="086A090D"/>
    <w:rsid w:val="086A093A"/>
    <w:rsid w:val="086A0A0B"/>
    <w:rsid w:val="086A0AA5"/>
    <w:rsid w:val="086A0B04"/>
    <w:rsid w:val="086A0B41"/>
    <w:rsid w:val="086A0B53"/>
    <w:rsid w:val="086A0B6D"/>
    <w:rsid w:val="086A0BF3"/>
    <w:rsid w:val="086A0C5C"/>
    <w:rsid w:val="086A0D10"/>
    <w:rsid w:val="086A0D38"/>
    <w:rsid w:val="086A0E17"/>
    <w:rsid w:val="086A0E81"/>
    <w:rsid w:val="086A0E8B"/>
    <w:rsid w:val="086A0EC7"/>
    <w:rsid w:val="086A0EE1"/>
    <w:rsid w:val="086A0F50"/>
    <w:rsid w:val="086A0F55"/>
    <w:rsid w:val="086A106B"/>
    <w:rsid w:val="086A1077"/>
    <w:rsid w:val="086A10B0"/>
    <w:rsid w:val="086A10E8"/>
    <w:rsid w:val="086A1102"/>
    <w:rsid w:val="086A1124"/>
    <w:rsid w:val="086A1146"/>
    <w:rsid w:val="086A1158"/>
    <w:rsid w:val="086A11A6"/>
    <w:rsid w:val="086A11C3"/>
    <w:rsid w:val="086A1212"/>
    <w:rsid w:val="086A12BB"/>
    <w:rsid w:val="086A12E7"/>
    <w:rsid w:val="086A13FC"/>
    <w:rsid w:val="086A1467"/>
    <w:rsid w:val="086A1473"/>
    <w:rsid w:val="086A14CC"/>
    <w:rsid w:val="086A150E"/>
    <w:rsid w:val="086A15A7"/>
    <w:rsid w:val="086A1658"/>
    <w:rsid w:val="086A1665"/>
    <w:rsid w:val="086A16D7"/>
    <w:rsid w:val="086A1715"/>
    <w:rsid w:val="086A17A7"/>
    <w:rsid w:val="086A1800"/>
    <w:rsid w:val="086A18F7"/>
    <w:rsid w:val="086A19F7"/>
    <w:rsid w:val="086A1AB1"/>
    <w:rsid w:val="086A1B34"/>
    <w:rsid w:val="086A1B57"/>
    <w:rsid w:val="086A1BCF"/>
    <w:rsid w:val="086A1BD9"/>
    <w:rsid w:val="086A1C48"/>
    <w:rsid w:val="086A1C5F"/>
    <w:rsid w:val="086A1C82"/>
    <w:rsid w:val="086A1CAE"/>
    <w:rsid w:val="086A1E64"/>
    <w:rsid w:val="086A1F3F"/>
    <w:rsid w:val="086A1FDA"/>
    <w:rsid w:val="086A2020"/>
    <w:rsid w:val="086A208E"/>
    <w:rsid w:val="086A2190"/>
    <w:rsid w:val="086A2228"/>
    <w:rsid w:val="086A22CB"/>
    <w:rsid w:val="086A232A"/>
    <w:rsid w:val="086A232C"/>
    <w:rsid w:val="086A2384"/>
    <w:rsid w:val="086A23FB"/>
    <w:rsid w:val="086A2511"/>
    <w:rsid w:val="086A255A"/>
    <w:rsid w:val="086A2623"/>
    <w:rsid w:val="086A27B1"/>
    <w:rsid w:val="086A2ADB"/>
    <w:rsid w:val="086A2B7A"/>
    <w:rsid w:val="086A2BF1"/>
    <w:rsid w:val="086A2C8B"/>
    <w:rsid w:val="086A2D4D"/>
    <w:rsid w:val="086A2D6F"/>
    <w:rsid w:val="086A2DC7"/>
    <w:rsid w:val="086A2E11"/>
    <w:rsid w:val="086A2E35"/>
    <w:rsid w:val="086A2E73"/>
    <w:rsid w:val="086A2E83"/>
    <w:rsid w:val="086A2E87"/>
    <w:rsid w:val="086A2F70"/>
    <w:rsid w:val="086A2F90"/>
    <w:rsid w:val="086A2FBE"/>
    <w:rsid w:val="086A3032"/>
    <w:rsid w:val="086A30B0"/>
    <w:rsid w:val="086A3121"/>
    <w:rsid w:val="086A313F"/>
    <w:rsid w:val="086A31E9"/>
    <w:rsid w:val="086A333C"/>
    <w:rsid w:val="086A3421"/>
    <w:rsid w:val="086A345F"/>
    <w:rsid w:val="086A34AE"/>
    <w:rsid w:val="086A34C4"/>
    <w:rsid w:val="086A3542"/>
    <w:rsid w:val="086A3652"/>
    <w:rsid w:val="086A367A"/>
    <w:rsid w:val="086A36C3"/>
    <w:rsid w:val="086A394B"/>
    <w:rsid w:val="086A39CA"/>
    <w:rsid w:val="086A39DE"/>
    <w:rsid w:val="086A3A4A"/>
    <w:rsid w:val="086A3AD0"/>
    <w:rsid w:val="086A3AE0"/>
    <w:rsid w:val="086A3B72"/>
    <w:rsid w:val="086A3BB5"/>
    <w:rsid w:val="086A3C00"/>
    <w:rsid w:val="086A3C85"/>
    <w:rsid w:val="086A3D22"/>
    <w:rsid w:val="086A3D50"/>
    <w:rsid w:val="086A3E95"/>
    <w:rsid w:val="086A3F1C"/>
    <w:rsid w:val="086A3F52"/>
    <w:rsid w:val="086A410E"/>
    <w:rsid w:val="086A41CF"/>
    <w:rsid w:val="086A4212"/>
    <w:rsid w:val="086A4229"/>
    <w:rsid w:val="086A4346"/>
    <w:rsid w:val="086A4365"/>
    <w:rsid w:val="086A4388"/>
    <w:rsid w:val="086A43E9"/>
    <w:rsid w:val="086A4427"/>
    <w:rsid w:val="086A449E"/>
    <w:rsid w:val="086A44F5"/>
    <w:rsid w:val="086A458A"/>
    <w:rsid w:val="086A4735"/>
    <w:rsid w:val="086A4764"/>
    <w:rsid w:val="086A479C"/>
    <w:rsid w:val="086A480E"/>
    <w:rsid w:val="086A4851"/>
    <w:rsid w:val="086A48B4"/>
    <w:rsid w:val="086A48BC"/>
    <w:rsid w:val="086A48C0"/>
    <w:rsid w:val="086A4989"/>
    <w:rsid w:val="086A4A09"/>
    <w:rsid w:val="086A4C56"/>
    <w:rsid w:val="086A4D1B"/>
    <w:rsid w:val="086A4D2E"/>
    <w:rsid w:val="086A4E2F"/>
    <w:rsid w:val="086A4E5B"/>
    <w:rsid w:val="086A4EEB"/>
    <w:rsid w:val="086A4F53"/>
    <w:rsid w:val="086A5070"/>
    <w:rsid w:val="086A5140"/>
    <w:rsid w:val="086A5187"/>
    <w:rsid w:val="086A51B6"/>
    <w:rsid w:val="086A5316"/>
    <w:rsid w:val="086A53A8"/>
    <w:rsid w:val="086A559C"/>
    <w:rsid w:val="086A56BB"/>
    <w:rsid w:val="086A5719"/>
    <w:rsid w:val="086A5779"/>
    <w:rsid w:val="086A58B6"/>
    <w:rsid w:val="086A5922"/>
    <w:rsid w:val="086A5962"/>
    <w:rsid w:val="086A5A02"/>
    <w:rsid w:val="086A5AB8"/>
    <w:rsid w:val="086A5B60"/>
    <w:rsid w:val="086A5BDF"/>
    <w:rsid w:val="086A5C21"/>
    <w:rsid w:val="086A5C83"/>
    <w:rsid w:val="086A5D5D"/>
    <w:rsid w:val="086A5ED0"/>
    <w:rsid w:val="086A5EF0"/>
    <w:rsid w:val="086A6045"/>
    <w:rsid w:val="086A60C6"/>
    <w:rsid w:val="086A6128"/>
    <w:rsid w:val="086A6140"/>
    <w:rsid w:val="086A6145"/>
    <w:rsid w:val="086A6181"/>
    <w:rsid w:val="086A61F1"/>
    <w:rsid w:val="086A6211"/>
    <w:rsid w:val="086A621D"/>
    <w:rsid w:val="086A623B"/>
    <w:rsid w:val="086A6286"/>
    <w:rsid w:val="086A62B9"/>
    <w:rsid w:val="086A62F6"/>
    <w:rsid w:val="086A62FA"/>
    <w:rsid w:val="086A6382"/>
    <w:rsid w:val="086A6387"/>
    <w:rsid w:val="086A63F1"/>
    <w:rsid w:val="086A6638"/>
    <w:rsid w:val="086A6654"/>
    <w:rsid w:val="086A67DB"/>
    <w:rsid w:val="086A687E"/>
    <w:rsid w:val="086A6888"/>
    <w:rsid w:val="086A6973"/>
    <w:rsid w:val="086A69A6"/>
    <w:rsid w:val="086A6A4D"/>
    <w:rsid w:val="086A6A6C"/>
    <w:rsid w:val="086A6A86"/>
    <w:rsid w:val="086A6A94"/>
    <w:rsid w:val="086A6B1E"/>
    <w:rsid w:val="086A6B6C"/>
    <w:rsid w:val="086A6BBD"/>
    <w:rsid w:val="086A6C38"/>
    <w:rsid w:val="086A6C71"/>
    <w:rsid w:val="086A6D94"/>
    <w:rsid w:val="086A6E26"/>
    <w:rsid w:val="086A6EA9"/>
    <w:rsid w:val="086A6EBF"/>
    <w:rsid w:val="086A6FA7"/>
    <w:rsid w:val="086A6FD1"/>
    <w:rsid w:val="086A7047"/>
    <w:rsid w:val="086A7059"/>
    <w:rsid w:val="086A705E"/>
    <w:rsid w:val="086A70FC"/>
    <w:rsid w:val="086A712E"/>
    <w:rsid w:val="086A7164"/>
    <w:rsid w:val="086A7200"/>
    <w:rsid w:val="086A7216"/>
    <w:rsid w:val="086A7230"/>
    <w:rsid w:val="086A727C"/>
    <w:rsid w:val="086A728D"/>
    <w:rsid w:val="086A72B3"/>
    <w:rsid w:val="086A730B"/>
    <w:rsid w:val="086A734D"/>
    <w:rsid w:val="086A73C3"/>
    <w:rsid w:val="086A7440"/>
    <w:rsid w:val="086A74EB"/>
    <w:rsid w:val="086A754F"/>
    <w:rsid w:val="086A7660"/>
    <w:rsid w:val="086A76F1"/>
    <w:rsid w:val="086A773A"/>
    <w:rsid w:val="086A7753"/>
    <w:rsid w:val="086A784F"/>
    <w:rsid w:val="086A7864"/>
    <w:rsid w:val="086A790B"/>
    <w:rsid w:val="086A79BA"/>
    <w:rsid w:val="086A79D6"/>
    <w:rsid w:val="086A7A48"/>
    <w:rsid w:val="086A7A5A"/>
    <w:rsid w:val="086A7B16"/>
    <w:rsid w:val="086A7B53"/>
    <w:rsid w:val="086A7B8D"/>
    <w:rsid w:val="086A7BD2"/>
    <w:rsid w:val="086A7C2A"/>
    <w:rsid w:val="086A7F7A"/>
    <w:rsid w:val="086A7FA2"/>
    <w:rsid w:val="086B002A"/>
    <w:rsid w:val="086B006E"/>
    <w:rsid w:val="086B00D9"/>
    <w:rsid w:val="086B012B"/>
    <w:rsid w:val="086B017B"/>
    <w:rsid w:val="086B018B"/>
    <w:rsid w:val="086B02A4"/>
    <w:rsid w:val="086B0328"/>
    <w:rsid w:val="086B0408"/>
    <w:rsid w:val="086B043E"/>
    <w:rsid w:val="086B0446"/>
    <w:rsid w:val="086B0449"/>
    <w:rsid w:val="086B0477"/>
    <w:rsid w:val="086B04C7"/>
    <w:rsid w:val="086B04D0"/>
    <w:rsid w:val="086B05AE"/>
    <w:rsid w:val="086B05F3"/>
    <w:rsid w:val="086B0604"/>
    <w:rsid w:val="086B0642"/>
    <w:rsid w:val="086B0656"/>
    <w:rsid w:val="086B068D"/>
    <w:rsid w:val="086B0696"/>
    <w:rsid w:val="086B06E9"/>
    <w:rsid w:val="086B073B"/>
    <w:rsid w:val="086B0751"/>
    <w:rsid w:val="086B079C"/>
    <w:rsid w:val="086B0894"/>
    <w:rsid w:val="086B0975"/>
    <w:rsid w:val="086B09A1"/>
    <w:rsid w:val="086B09F5"/>
    <w:rsid w:val="086B0A5D"/>
    <w:rsid w:val="086B0AAB"/>
    <w:rsid w:val="086B0AD0"/>
    <w:rsid w:val="086B0AEE"/>
    <w:rsid w:val="086B0BC6"/>
    <w:rsid w:val="086B0C27"/>
    <w:rsid w:val="086B0C71"/>
    <w:rsid w:val="086B0CE8"/>
    <w:rsid w:val="086B0D3C"/>
    <w:rsid w:val="086B0E7E"/>
    <w:rsid w:val="086B0FA8"/>
    <w:rsid w:val="086B10B0"/>
    <w:rsid w:val="086B10DE"/>
    <w:rsid w:val="086B10FB"/>
    <w:rsid w:val="086B111F"/>
    <w:rsid w:val="086B1132"/>
    <w:rsid w:val="086B1176"/>
    <w:rsid w:val="086B120A"/>
    <w:rsid w:val="086B1300"/>
    <w:rsid w:val="086B130C"/>
    <w:rsid w:val="086B1522"/>
    <w:rsid w:val="086B152B"/>
    <w:rsid w:val="086B1550"/>
    <w:rsid w:val="086B15B1"/>
    <w:rsid w:val="086B1602"/>
    <w:rsid w:val="086B163A"/>
    <w:rsid w:val="086B1678"/>
    <w:rsid w:val="086B1690"/>
    <w:rsid w:val="086B16C4"/>
    <w:rsid w:val="086B16C7"/>
    <w:rsid w:val="086B1753"/>
    <w:rsid w:val="086B175C"/>
    <w:rsid w:val="086B184A"/>
    <w:rsid w:val="086B185E"/>
    <w:rsid w:val="086B18AA"/>
    <w:rsid w:val="086B18CE"/>
    <w:rsid w:val="086B1B0E"/>
    <w:rsid w:val="086B1B6B"/>
    <w:rsid w:val="086B1BD0"/>
    <w:rsid w:val="086B1BF8"/>
    <w:rsid w:val="086B1C1A"/>
    <w:rsid w:val="086B1C72"/>
    <w:rsid w:val="086B1DCC"/>
    <w:rsid w:val="086B1E24"/>
    <w:rsid w:val="086B1EB0"/>
    <w:rsid w:val="086B1EE4"/>
    <w:rsid w:val="086B1EFF"/>
    <w:rsid w:val="086B1F70"/>
    <w:rsid w:val="086B207F"/>
    <w:rsid w:val="086B20AE"/>
    <w:rsid w:val="086B2153"/>
    <w:rsid w:val="086B21CD"/>
    <w:rsid w:val="086B2385"/>
    <w:rsid w:val="086B23B6"/>
    <w:rsid w:val="086B23C4"/>
    <w:rsid w:val="086B2516"/>
    <w:rsid w:val="086B2530"/>
    <w:rsid w:val="086B255B"/>
    <w:rsid w:val="086B256D"/>
    <w:rsid w:val="086B2588"/>
    <w:rsid w:val="086B261C"/>
    <w:rsid w:val="086B2746"/>
    <w:rsid w:val="086B283E"/>
    <w:rsid w:val="086B2844"/>
    <w:rsid w:val="086B2885"/>
    <w:rsid w:val="086B289F"/>
    <w:rsid w:val="086B28AB"/>
    <w:rsid w:val="086B2917"/>
    <w:rsid w:val="086B2959"/>
    <w:rsid w:val="086B2A54"/>
    <w:rsid w:val="086B2B0A"/>
    <w:rsid w:val="086B2BCA"/>
    <w:rsid w:val="086B2BD6"/>
    <w:rsid w:val="086B2C62"/>
    <w:rsid w:val="086B2CAF"/>
    <w:rsid w:val="086B2CD2"/>
    <w:rsid w:val="086B2D61"/>
    <w:rsid w:val="086B2D8E"/>
    <w:rsid w:val="086B2D91"/>
    <w:rsid w:val="086B2FD3"/>
    <w:rsid w:val="086B3068"/>
    <w:rsid w:val="086B3070"/>
    <w:rsid w:val="086B3094"/>
    <w:rsid w:val="086B3173"/>
    <w:rsid w:val="086B31A3"/>
    <w:rsid w:val="086B3246"/>
    <w:rsid w:val="086B335B"/>
    <w:rsid w:val="086B335C"/>
    <w:rsid w:val="086B33CE"/>
    <w:rsid w:val="086B33E6"/>
    <w:rsid w:val="086B342D"/>
    <w:rsid w:val="086B3470"/>
    <w:rsid w:val="086B34C9"/>
    <w:rsid w:val="086B3597"/>
    <w:rsid w:val="086B35CB"/>
    <w:rsid w:val="086B3697"/>
    <w:rsid w:val="086B36C4"/>
    <w:rsid w:val="086B36C8"/>
    <w:rsid w:val="086B36ED"/>
    <w:rsid w:val="086B3701"/>
    <w:rsid w:val="086B391A"/>
    <w:rsid w:val="086B3A08"/>
    <w:rsid w:val="086B3AC7"/>
    <w:rsid w:val="086B3BAF"/>
    <w:rsid w:val="086B3BC9"/>
    <w:rsid w:val="086B3C19"/>
    <w:rsid w:val="086B3C5A"/>
    <w:rsid w:val="086B3D5C"/>
    <w:rsid w:val="086B3D72"/>
    <w:rsid w:val="086B3D8D"/>
    <w:rsid w:val="086B3E11"/>
    <w:rsid w:val="086B3E4A"/>
    <w:rsid w:val="086B3E76"/>
    <w:rsid w:val="086B3EA7"/>
    <w:rsid w:val="086B3F7E"/>
    <w:rsid w:val="086B3F8A"/>
    <w:rsid w:val="086B3FCC"/>
    <w:rsid w:val="086B4007"/>
    <w:rsid w:val="086B4066"/>
    <w:rsid w:val="086B40D5"/>
    <w:rsid w:val="086B40EE"/>
    <w:rsid w:val="086B40F7"/>
    <w:rsid w:val="086B41E0"/>
    <w:rsid w:val="086B4249"/>
    <w:rsid w:val="086B42C2"/>
    <w:rsid w:val="086B4300"/>
    <w:rsid w:val="086B4399"/>
    <w:rsid w:val="086B43D8"/>
    <w:rsid w:val="086B443E"/>
    <w:rsid w:val="086B4442"/>
    <w:rsid w:val="086B4445"/>
    <w:rsid w:val="086B4495"/>
    <w:rsid w:val="086B44B4"/>
    <w:rsid w:val="086B4549"/>
    <w:rsid w:val="086B45AA"/>
    <w:rsid w:val="086B45BC"/>
    <w:rsid w:val="086B45CC"/>
    <w:rsid w:val="086B4619"/>
    <w:rsid w:val="086B4664"/>
    <w:rsid w:val="086B46E6"/>
    <w:rsid w:val="086B477D"/>
    <w:rsid w:val="086B489F"/>
    <w:rsid w:val="086B48BF"/>
    <w:rsid w:val="086B494F"/>
    <w:rsid w:val="086B4953"/>
    <w:rsid w:val="086B4976"/>
    <w:rsid w:val="086B4A40"/>
    <w:rsid w:val="086B4B40"/>
    <w:rsid w:val="086B4B76"/>
    <w:rsid w:val="086B4CB3"/>
    <w:rsid w:val="086B4CB5"/>
    <w:rsid w:val="086B4CBC"/>
    <w:rsid w:val="086B4E2E"/>
    <w:rsid w:val="086B4E6D"/>
    <w:rsid w:val="086B4E9D"/>
    <w:rsid w:val="086B4EF9"/>
    <w:rsid w:val="086B4EFD"/>
    <w:rsid w:val="086B4FD9"/>
    <w:rsid w:val="086B5042"/>
    <w:rsid w:val="086B507F"/>
    <w:rsid w:val="086B50E3"/>
    <w:rsid w:val="086B5128"/>
    <w:rsid w:val="086B518C"/>
    <w:rsid w:val="086B519B"/>
    <w:rsid w:val="086B51A4"/>
    <w:rsid w:val="086B5285"/>
    <w:rsid w:val="086B52F8"/>
    <w:rsid w:val="086B5302"/>
    <w:rsid w:val="086B5447"/>
    <w:rsid w:val="086B548E"/>
    <w:rsid w:val="086B554B"/>
    <w:rsid w:val="086B55B6"/>
    <w:rsid w:val="086B5624"/>
    <w:rsid w:val="086B5667"/>
    <w:rsid w:val="086B5685"/>
    <w:rsid w:val="086B572A"/>
    <w:rsid w:val="086B572F"/>
    <w:rsid w:val="086B577D"/>
    <w:rsid w:val="086B58EF"/>
    <w:rsid w:val="086B59CC"/>
    <w:rsid w:val="086B5A2E"/>
    <w:rsid w:val="086B5AD0"/>
    <w:rsid w:val="086B5B54"/>
    <w:rsid w:val="086B5B8E"/>
    <w:rsid w:val="086B5D4A"/>
    <w:rsid w:val="086B5D78"/>
    <w:rsid w:val="086B5DB8"/>
    <w:rsid w:val="086B5DEE"/>
    <w:rsid w:val="086B5E06"/>
    <w:rsid w:val="086B5E60"/>
    <w:rsid w:val="086B5E6E"/>
    <w:rsid w:val="086B5EB7"/>
    <w:rsid w:val="086B5F59"/>
    <w:rsid w:val="086B5F75"/>
    <w:rsid w:val="086B5F92"/>
    <w:rsid w:val="086B5FBA"/>
    <w:rsid w:val="086B60C6"/>
    <w:rsid w:val="086B60F7"/>
    <w:rsid w:val="086B614E"/>
    <w:rsid w:val="086B625C"/>
    <w:rsid w:val="086B627B"/>
    <w:rsid w:val="086B62FB"/>
    <w:rsid w:val="086B632A"/>
    <w:rsid w:val="086B64BB"/>
    <w:rsid w:val="086B6505"/>
    <w:rsid w:val="086B651D"/>
    <w:rsid w:val="086B651F"/>
    <w:rsid w:val="086B6524"/>
    <w:rsid w:val="086B656F"/>
    <w:rsid w:val="086B65A4"/>
    <w:rsid w:val="086B6660"/>
    <w:rsid w:val="086B6661"/>
    <w:rsid w:val="086B668C"/>
    <w:rsid w:val="086B66BE"/>
    <w:rsid w:val="086B6705"/>
    <w:rsid w:val="086B6718"/>
    <w:rsid w:val="086B68E0"/>
    <w:rsid w:val="086B692E"/>
    <w:rsid w:val="086B6962"/>
    <w:rsid w:val="086B69A9"/>
    <w:rsid w:val="086B69DF"/>
    <w:rsid w:val="086B6AAA"/>
    <w:rsid w:val="086B6AC3"/>
    <w:rsid w:val="086B6C4F"/>
    <w:rsid w:val="086B6C85"/>
    <w:rsid w:val="086B6DFE"/>
    <w:rsid w:val="086B6E6A"/>
    <w:rsid w:val="086B6E6F"/>
    <w:rsid w:val="086B6F80"/>
    <w:rsid w:val="086B70CB"/>
    <w:rsid w:val="086B7167"/>
    <w:rsid w:val="086B71D7"/>
    <w:rsid w:val="086B71EF"/>
    <w:rsid w:val="086B72C4"/>
    <w:rsid w:val="086B72CB"/>
    <w:rsid w:val="086B72E7"/>
    <w:rsid w:val="086B7339"/>
    <w:rsid w:val="086B736D"/>
    <w:rsid w:val="086B740B"/>
    <w:rsid w:val="086B746D"/>
    <w:rsid w:val="086B74D2"/>
    <w:rsid w:val="086B74DE"/>
    <w:rsid w:val="086B7564"/>
    <w:rsid w:val="086B761B"/>
    <w:rsid w:val="086B774D"/>
    <w:rsid w:val="086B77C7"/>
    <w:rsid w:val="086B78D0"/>
    <w:rsid w:val="086B78ED"/>
    <w:rsid w:val="086B7971"/>
    <w:rsid w:val="086B7982"/>
    <w:rsid w:val="086B798D"/>
    <w:rsid w:val="086B79E4"/>
    <w:rsid w:val="086B7A2B"/>
    <w:rsid w:val="086B7A97"/>
    <w:rsid w:val="086B7C13"/>
    <w:rsid w:val="086B7C6F"/>
    <w:rsid w:val="086B7D09"/>
    <w:rsid w:val="086B7D66"/>
    <w:rsid w:val="086B7E5F"/>
    <w:rsid w:val="086B7E65"/>
    <w:rsid w:val="086B7EAD"/>
    <w:rsid w:val="086B7EED"/>
    <w:rsid w:val="086B7F09"/>
    <w:rsid w:val="086B7F82"/>
    <w:rsid w:val="086B7FEC"/>
    <w:rsid w:val="086C001B"/>
    <w:rsid w:val="086C0029"/>
    <w:rsid w:val="086C0077"/>
    <w:rsid w:val="086C00A2"/>
    <w:rsid w:val="086C0133"/>
    <w:rsid w:val="086C01AB"/>
    <w:rsid w:val="086C01D4"/>
    <w:rsid w:val="086C01F7"/>
    <w:rsid w:val="086C0239"/>
    <w:rsid w:val="086C030E"/>
    <w:rsid w:val="086C0342"/>
    <w:rsid w:val="086C036F"/>
    <w:rsid w:val="086C03C8"/>
    <w:rsid w:val="086C047F"/>
    <w:rsid w:val="086C0497"/>
    <w:rsid w:val="086C0571"/>
    <w:rsid w:val="086C062D"/>
    <w:rsid w:val="086C0673"/>
    <w:rsid w:val="086C071A"/>
    <w:rsid w:val="086C0723"/>
    <w:rsid w:val="086C0738"/>
    <w:rsid w:val="086C0849"/>
    <w:rsid w:val="086C09DB"/>
    <w:rsid w:val="086C09ED"/>
    <w:rsid w:val="086C0A7C"/>
    <w:rsid w:val="086C0A86"/>
    <w:rsid w:val="086C0AA1"/>
    <w:rsid w:val="086C0AFE"/>
    <w:rsid w:val="086C0B38"/>
    <w:rsid w:val="086C0BF8"/>
    <w:rsid w:val="086C0C19"/>
    <w:rsid w:val="086C0CA4"/>
    <w:rsid w:val="086C0CD3"/>
    <w:rsid w:val="086C0D0D"/>
    <w:rsid w:val="086C0D8B"/>
    <w:rsid w:val="086C0DBB"/>
    <w:rsid w:val="086C0E22"/>
    <w:rsid w:val="086C0E3E"/>
    <w:rsid w:val="086C0F3E"/>
    <w:rsid w:val="086C0FFB"/>
    <w:rsid w:val="086C1013"/>
    <w:rsid w:val="086C105D"/>
    <w:rsid w:val="086C10CF"/>
    <w:rsid w:val="086C10E7"/>
    <w:rsid w:val="086C10ED"/>
    <w:rsid w:val="086C1171"/>
    <w:rsid w:val="086C11B9"/>
    <w:rsid w:val="086C12A6"/>
    <w:rsid w:val="086C155A"/>
    <w:rsid w:val="086C155C"/>
    <w:rsid w:val="086C1618"/>
    <w:rsid w:val="086C1679"/>
    <w:rsid w:val="086C16E6"/>
    <w:rsid w:val="086C170B"/>
    <w:rsid w:val="086C1727"/>
    <w:rsid w:val="086C17DB"/>
    <w:rsid w:val="086C17E6"/>
    <w:rsid w:val="086C197F"/>
    <w:rsid w:val="086C1984"/>
    <w:rsid w:val="086C1A97"/>
    <w:rsid w:val="086C1B71"/>
    <w:rsid w:val="086C1BAB"/>
    <w:rsid w:val="086C1BD8"/>
    <w:rsid w:val="086C1BDD"/>
    <w:rsid w:val="086C1C7C"/>
    <w:rsid w:val="086C1D11"/>
    <w:rsid w:val="086C1D41"/>
    <w:rsid w:val="086C1D46"/>
    <w:rsid w:val="086C1D81"/>
    <w:rsid w:val="086C1DC0"/>
    <w:rsid w:val="086C1F19"/>
    <w:rsid w:val="086C1FB2"/>
    <w:rsid w:val="086C1FEC"/>
    <w:rsid w:val="086C1FF5"/>
    <w:rsid w:val="086C2023"/>
    <w:rsid w:val="086C203A"/>
    <w:rsid w:val="086C209C"/>
    <w:rsid w:val="086C20BC"/>
    <w:rsid w:val="086C20FC"/>
    <w:rsid w:val="086C2123"/>
    <w:rsid w:val="086C218A"/>
    <w:rsid w:val="086C22D0"/>
    <w:rsid w:val="086C2391"/>
    <w:rsid w:val="086C245A"/>
    <w:rsid w:val="086C24EE"/>
    <w:rsid w:val="086C2508"/>
    <w:rsid w:val="086C25CA"/>
    <w:rsid w:val="086C25DA"/>
    <w:rsid w:val="086C26A4"/>
    <w:rsid w:val="086C26C3"/>
    <w:rsid w:val="086C27A8"/>
    <w:rsid w:val="086C27C3"/>
    <w:rsid w:val="086C2876"/>
    <w:rsid w:val="086C2919"/>
    <w:rsid w:val="086C2948"/>
    <w:rsid w:val="086C29CF"/>
    <w:rsid w:val="086C29D8"/>
    <w:rsid w:val="086C2B00"/>
    <w:rsid w:val="086C2B0C"/>
    <w:rsid w:val="086C2B1D"/>
    <w:rsid w:val="086C2B94"/>
    <w:rsid w:val="086C2BE2"/>
    <w:rsid w:val="086C2C1D"/>
    <w:rsid w:val="086C2C5E"/>
    <w:rsid w:val="086C2CC6"/>
    <w:rsid w:val="086C2D0E"/>
    <w:rsid w:val="086C2E9B"/>
    <w:rsid w:val="086C3126"/>
    <w:rsid w:val="086C3178"/>
    <w:rsid w:val="086C3189"/>
    <w:rsid w:val="086C319D"/>
    <w:rsid w:val="086C31DD"/>
    <w:rsid w:val="086C339F"/>
    <w:rsid w:val="086C33E5"/>
    <w:rsid w:val="086C3411"/>
    <w:rsid w:val="086C3420"/>
    <w:rsid w:val="086C343A"/>
    <w:rsid w:val="086C35A7"/>
    <w:rsid w:val="086C35DF"/>
    <w:rsid w:val="086C365A"/>
    <w:rsid w:val="086C3699"/>
    <w:rsid w:val="086C36DA"/>
    <w:rsid w:val="086C3745"/>
    <w:rsid w:val="086C378B"/>
    <w:rsid w:val="086C37FD"/>
    <w:rsid w:val="086C3840"/>
    <w:rsid w:val="086C3868"/>
    <w:rsid w:val="086C387A"/>
    <w:rsid w:val="086C38A6"/>
    <w:rsid w:val="086C38D3"/>
    <w:rsid w:val="086C390D"/>
    <w:rsid w:val="086C3956"/>
    <w:rsid w:val="086C3A90"/>
    <w:rsid w:val="086C3AC3"/>
    <w:rsid w:val="086C3AF8"/>
    <w:rsid w:val="086C3B3B"/>
    <w:rsid w:val="086C3BC7"/>
    <w:rsid w:val="086C3C64"/>
    <w:rsid w:val="086C3D58"/>
    <w:rsid w:val="086C3D59"/>
    <w:rsid w:val="086C3E45"/>
    <w:rsid w:val="086C3E4D"/>
    <w:rsid w:val="086C3F5C"/>
    <w:rsid w:val="086C3FAE"/>
    <w:rsid w:val="086C4037"/>
    <w:rsid w:val="086C405B"/>
    <w:rsid w:val="086C4095"/>
    <w:rsid w:val="086C40EA"/>
    <w:rsid w:val="086C4184"/>
    <w:rsid w:val="086C4193"/>
    <w:rsid w:val="086C44DE"/>
    <w:rsid w:val="086C4555"/>
    <w:rsid w:val="086C455A"/>
    <w:rsid w:val="086C45C7"/>
    <w:rsid w:val="086C4604"/>
    <w:rsid w:val="086C46A2"/>
    <w:rsid w:val="086C476B"/>
    <w:rsid w:val="086C476F"/>
    <w:rsid w:val="086C479C"/>
    <w:rsid w:val="086C47DF"/>
    <w:rsid w:val="086C49F5"/>
    <w:rsid w:val="086C4A52"/>
    <w:rsid w:val="086C4AB4"/>
    <w:rsid w:val="086C4B22"/>
    <w:rsid w:val="086C4B62"/>
    <w:rsid w:val="086C4BBE"/>
    <w:rsid w:val="086C4C14"/>
    <w:rsid w:val="086C4CEA"/>
    <w:rsid w:val="086C4D6B"/>
    <w:rsid w:val="086C4DBE"/>
    <w:rsid w:val="086C4DE8"/>
    <w:rsid w:val="086C4EC3"/>
    <w:rsid w:val="086C4EFA"/>
    <w:rsid w:val="086C5017"/>
    <w:rsid w:val="086C5025"/>
    <w:rsid w:val="086C5047"/>
    <w:rsid w:val="086C5095"/>
    <w:rsid w:val="086C510E"/>
    <w:rsid w:val="086C51C3"/>
    <w:rsid w:val="086C51E6"/>
    <w:rsid w:val="086C5256"/>
    <w:rsid w:val="086C52EF"/>
    <w:rsid w:val="086C5321"/>
    <w:rsid w:val="086C535F"/>
    <w:rsid w:val="086C53C3"/>
    <w:rsid w:val="086C5401"/>
    <w:rsid w:val="086C5592"/>
    <w:rsid w:val="086C56C5"/>
    <w:rsid w:val="086C56FC"/>
    <w:rsid w:val="086C57FD"/>
    <w:rsid w:val="086C5AE1"/>
    <w:rsid w:val="086C5BBB"/>
    <w:rsid w:val="086C5C18"/>
    <w:rsid w:val="086C5C28"/>
    <w:rsid w:val="086C5C30"/>
    <w:rsid w:val="086C5C35"/>
    <w:rsid w:val="086C5CE1"/>
    <w:rsid w:val="086C5CEF"/>
    <w:rsid w:val="086C5D9E"/>
    <w:rsid w:val="086C5DCE"/>
    <w:rsid w:val="086C5DD3"/>
    <w:rsid w:val="086C5E3E"/>
    <w:rsid w:val="086C6056"/>
    <w:rsid w:val="086C6062"/>
    <w:rsid w:val="086C6068"/>
    <w:rsid w:val="086C61FE"/>
    <w:rsid w:val="086C623F"/>
    <w:rsid w:val="086C6367"/>
    <w:rsid w:val="086C6460"/>
    <w:rsid w:val="086C646A"/>
    <w:rsid w:val="086C64F4"/>
    <w:rsid w:val="086C6578"/>
    <w:rsid w:val="086C6679"/>
    <w:rsid w:val="086C66F1"/>
    <w:rsid w:val="086C6712"/>
    <w:rsid w:val="086C6718"/>
    <w:rsid w:val="086C6782"/>
    <w:rsid w:val="086C67AA"/>
    <w:rsid w:val="086C67F2"/>
    <w:rsid w:val="086C680E"/>
    <w:rsid w:val="086C6821"/>
    <w:rsid w:val="086C6984"/>
    <w:rsid w:val="086C6A18"/>
    <w:rsid w:val="086C6B1C"/>
    <w:rsid w:val="086C6B6D"/>
    <w:rsid w:val="086C6B8E"/>
    <w:rsid w:val="086C6C1D"/>
    <w:rsid w:val="086C6C33"/>
    <w:rsid w:val="086C6C9C"/>
    <w:rsid w:val="086C6E0E"/>
    <w:rsid w:val="086C6EE7"/>
    <w:rsid w:val="086C6F2B"/>
    <w:rsid w:val="086C6F6C"/>
    <w:rsid w:val="086C7017"/>
    <w:rsid w:val="086C7125"/>
    <w:rsid w:val="086C712D"/>
    <w:rsid w:val="086C7291"/>
    <w:rsid w:val="086C7370"/>
    <w:rsid w:val="086C7408"/>
    <w:rsid w:val="086C7444"/>
    <w:rsid w:val="086C7450"/>
    <w:rsid w:val="086C74F6"/>
    <w:rsid w:val="086C7583"/>
    <w:rsid w:val="086C76E2"/>
    <w:rsid w:val="086C7780"/>
    <w:rsid w:val="086C7933"/>
    <w:rsid w:val="086C79FD"/>
    <w:rsid w:val="086C7A36"/>
    <w:rsid w:val="086C7AFF"/>
    <w:rsid w:val="086C7B16"/>
    <w:rsid w:val="086C7B33"/>
    <w:rsid w:val="086C7B70"/>
    <w:rsid w:val="086C7B96"/>
    <w:rsid w:val="086C7BE6"/>
    <w:rsid w:val="086C7D15"/>
    <w:rsid w:val="086C7E48"/>
    <w:rsid w:val="086C7E92"/>
    <w:rsid w:val="086C7F38"/>
    <w:rsid w:val="086C7F4F"/>
    <w:rsid w:val="086C7F72"/>
    <w:rsid w:val="086C7F9F"/>
    <w:rsid w:val="086C7FFE"/>
    <w:rsid w:val="086D0050"/>
    <w:rsid w:val="086D00FB"/>
    <w:rsid w:val="086D0152"/>
    <w:rsid w:val="086D0158"/>
    <w:rsid w:val="086D016B"/>
    <w:rsid w:val="086D035C"/>
    <w:rsid w:val="086D0389"/>
    <w:rsid w:val="086D0434"/>
    <w:rsid w:val="086D0474"/>
    <w:rsid w:val="086D04B8"/>
    <w:rsid w:val="086D04BD"/>
    <w:rsid w:val="086D04D5"/>
    <w:rsid w:val="086D05A2"/>
    <w:rsid w:val="086D05B3"/>
    <w:rsid w:val="086D05DF"/>
    <w:rsid w:val="086D05E5"/>
    <w:rsid w:val="086D0614"/>
    <w:rsid w:val="086D0643"/>
    <w:rsid w:val="086D0736"/>
    <w:rsid w:val="086D07AA"/>
    <w:rsid w:val="086D0871"/>
    <w:rsid w:val="086D096F"/>
    <w:rsid w:val="086D0AC4"/>
    <w:rsid w:val="086D0B01"/>
    <w:rsid w:val="086D0B26"/>
    <w:rsid w:val="086D0C4F"/>
    <w:rsid w:val="086D0C96"/>
    <w:rsid w:val="086D0D49"/>
    <w:rsid w:val="086D0D8E"/>
    <w:rsid w:val="086D0E2D"/>
    <w:rsid w:val="086D0E70"/>
    <w:rsid w:val="086D0E8A"/>
    <w:rsid w:val="086D0EC3"/>
    <w:rsid w:val="086D0EC6"/>
    <w:rsid w:val="086D0ED2"/>
    <w:rsid w:val="086D0F33"/>
    <w:rsid w:val="086D0F9F"/>
    <w:rsid w:val="086D0FFA"/>
    <w:rsid w:val="086D101F"/>
    <w:rsid w:val="086D113F"/>
    <w:rsid w:val="086D1173"/>
    <w:rsid w:val="086D139A"/>
    <w:rsid w:val="086D13FD"/>
    <w:rsid w:val="086D148A"/>
    <w:rsid w:val="086D14DE"/>
    <w:rsid w:val="086D150B"/>
    <w:rsid w:val="086D159F"/>
    <w:rsid w:val="086D1610"/>
    <w:rsid w:val="086D17CA"/>
    <w:rsid w:val="086D1892"/>
    <w:rsid w:val="086D18B0"/>
    <w:rsid w:val="086D1966"/>
    <w:rsid w:val="086D19E8"/>
    <w:rsid w:val="086D1AC0"/>
    <w:rsid w:val="086D1BA4"/>
    <w:rsid w:val="086D1BB5"/>
    <w:rsid w:val="086D1C14"/>
    <w:rsid w:val="086D1C4B"/>
    <w:rsid w:val="086D1C54"/>
    <w:rsid w:val="086D1C6B"/>
    <w:rsid w:val="086D1CF1"/>
    <w:rsid w:val="086D1D27"/>
    <w:rsid w:val="086D1D5D"/>
    <w:rsid w:val="086D1DD6"/>
    <w:rsid w:val="086D1E08"/>
    <w:rsid w:val="086D1E35"/>
    <w:rsid w:val="086D1F11"/>
    <w:rsid w:val="086D1F81"/>
    <w:rsid w:val="086D1FFB"/>
    <w:rsid w:val="086D205A"/>
    <w:rsid w:val="086D20B3"/>
    <w:rsid w:val="086D213F"/>
    <w:rsid w:val="086D2145"/>
    <w:rsid w:val="086D221C"/>
    <w:rsid w:val="086D2236"/>
    <w:rsid w:val="086D2247"/>
    <w:rsid w:val="086D234B"/>
    <w:rsid w:val="086D234E"/>
    <w:rsid w:val="086D2409"/>
    <w:rsid w:val="086D2465"/>
    <w:rsid w:val="086D24AD"/>
    <w:rsid w:val="086D256F"/>
    <w:rsid w:val="086D257E"/>
    <w:rsid w:val="086D25BE"/>
    <w:rsid w:val="086D25CB"/>
    <w:rsid w:val="086D25D2"/>
    <w:rsid w:val="086D25D3"/>
    <w:rsid w:val="086D26BE"/>
    <w:rsid w:val="086D2780"/>
    <w:rsid w:val="086D2799"/>
    <w:rsid w:val="086D27CD"/>
    <w:rsid w:val="086D27E8"/>
    <w:rsid w:val="086D2803"/>
    <w:rsid w:val="086D2850"/>
    <w:rsid w:val="086D2878"/>
    <w:rsid w:val="086D2960"/>
    <w:rsid w:val="086D2A04"/>
    <w:rsid w:val="086D2A63"/>
    <w:rsid w:val="086D2AAB"/>
    <w:rsid w:val="086D2B06"/>
    <w:rsid w:val="086D2BAF"/>
    <w:rsid w:val="086D2BCC"/>
    <w:rsid w:val="086D2D4D"/>
    <w:rsid w:val="086D2DDC"/>
    <w:rsid w:val="086D2E16"/>
    <w:rsid w:val="086D2EDD"/>
    <w:rsid w:val="086D2EE6"/>
    <w:rsid w:val="086D3013"/>
    <w:rsid w:val="086D30E9"/>
    <w:rsid w:val="086D313C"/>
    <w:rsid w:val="086D314A"/>
    <w:rsid w:val="086D3211"/>
    <w:rsid w:val="086D32A9"/>
    <w:rsid w:val="086D3407"/>
    <w:rsid w:val="086D3409"/>
    <w:rsid w:val="086D3474"/>
    <w:rsid w:val="086D3560"/>
    <w:rsid w:val="086D359C"/>
    <w:rsid w:val="086D35DC"/>
    <w:rsid w:val="086D3699"/>
    <w:rsid w:val="086D3749"/>
    <w:rsid w:val="086D387A"/>
    <w:rsid w:val="086D3959"/>
    <w:rsid w:val="086D3985"/>
    <w:rsid w:val="086D3A15"/>
    <w:rsid w:val="086D3A24"/>
    <w:rsid w:val="086D3B09"/>
    <w:rsid w:val="086D3B9D"/>
    <w:rsid w:val="086D3BA8"/>
    <w:rsid w:val="086D3BDF"/>
    <w:rsid w:val="086D3C17"/>
    <w:rsid w:val="086D3C6B"/>
    <w:rsid w:val="086D3CF9"/>
    <w:rsid w:val="086D3DBD"/>
    <w:rsid w:val="086D3E3E"/>
    <w:rsid w:val="086D3E48"/>
    <w:rsid w:val="086D3E9B"/>
    <w:rsid w:val="086D3EE1"/>
    <w:rsid w:val="086D3F19"/>
    <w:rsid w:val="086D3FFA"/>
    <w:rsid w:val="086D404C"/>
    <w:rsid w:val="086D40B8"/>
    <w:rsid w:val="086D4121"/>
    <w:rsid w:val="086D41FC"/>
    <w:rsid w:val="086D422D"/>
    <w:rsid w:val="086D4242"/>
    <w:rsid w:val="086D42DB"/>
    <w:rsid w:val="086D4308"/>
    <w:rsid w:val="086D4339"/>
    <w:rsid w:val="086D434D"/>
    <w:rsid w:val="086D43CC"/>
    <w:rsid w:val="086D4446"/>
    <w:rsid w:val="086D4448"/>
    <w:rsid w:val="086D44D0"/>
    <w:rsid w:val="086D4528"/>
    <w:rsid w:val="086D4618"/>
    <w:rsid w:val="086D467A"/>
    <w:rsid w:val="086D467E"/>
    <w:rsid w:val="086D46ED"/>
    <w:rsid w:val="086D473D"/>
    <w:rsid w:val="086D482E"/>
    <w:rsid w:val="086D48C6"/>
    <w:rsid w:val="086D4A7D"/>
    <w:rsid w:val="086D4A8A"/>
    <w:rsid w:val="086D4AAA"/>
    <w:rsid w:val="086D4AEA"/>
    <w:rsid w:val="086D4CA2"/>
    <w:rsid w:val="086D4CA3"/>
    <w:rsid w:val="086D4CE7"/>
    <w:rsid w:val="086D4E70"/>
    <w:rsid w:val="086D4E77"/>
    <w:rsid w:val="086D4F59"/>
    <w:rsid w:val="086D4FED"/>
    <w:rsid w:val="086D4FFA"/>
    <w:rsid w:val="086D504B"/>
    <w:rsid w:val="086D5176"/>
    <w:rsid w:val="086D525B"/>
    <w:rsid w:val="086D52C7"/>
    <w:rsid w:val="086D540A"/>
    <w:rsid w:val="086D5483"/>
    <w:rsid w:val="086D5513"/>
    <w:rsid w:val="086D5517"/>
    <w:rsid w:val="086D55B8"/>
    <w:rsid w:val="086D5630"/>
    <w:rsid w:val="086D5654"/>
    <w:rsid w:val="086D5681"/>
    <w:rsid w:val="086D56C2"/>
    <w:rsid w:val="086D572D"/>
    <w:rsid w:val="086D5779"/>
    <w:rsid w:val="086D57CC"/>
    <w:rsid w:val="086D5821"/>
    <w:rsid w:val="086D5828"/>
    <w:rsid w:val="086D582F"/>
    <w:rsid w:val="086D5887"/>
    <w:rsid w:val="086D596C"/>
    <w:rsid w:val="086D59FD"/>
    <w:rsid w:val="086D5A13"/>
    <w:rsid w:val="086D5A27"/>
    <w:rsid w:val="086D5B5B"/>
    <w:rsid w:val="086D5B5E"/>
    <w:rsid w:val="086D5BDC"/>
    <w:rsid w:val="086D5BF1"/>
    <w:rsid w:val="086D5C16"/>
    <w:rsid w:val="086D5C6F"/>
    <w:rsid w:val="086D5D21"/>
    <w:rsid w:val="086D5D38"/>
    <w:rsid w:val="086D5D52"/>
    <w:rsid w:val="086D5E7B"/>
    <w:rsid w:val="086D5E92"/>
    <w:rsid w:val="086D5ED1"/>
    <w:rsid w:val="086D5EEF"/>
    <w:rsid w:val="086D6058"/>
    <w:rsid w:val="086D6060"/>
    <w:rsid w:val="086D60AA"/>
    <w:rsid w:val="086D6160"/>
    <w:rsid w:val="086D61DC"/>
    <w:rsid w:val="086D61F9"/>
    <w:rsid w:val="086D628F"/>
    <w:rsid w:val="086D63AA"/>
    <w:rsid w:val="086D63C6"/>
    <w:rsid w:val="086D6443"/>
    <w:rsid w:val="086D6469"/>
    <w:rsid w:val="086D64CF"/>
    <w:rsid w:val="086D656B"/>
    <w:rsid w:val="086D65C0"/>
    <w:rsid w:val="086D65E6"/>
    <w:rsid w:val="086D6794"/>
    <w:rsid w:val="086D67EF"/>
    <w:rsid w:val="086D67F5"/>
    <w:rsid w:val="086D6888"/>
    <w:rsid w:val="086D690E"/>
    <w:rsid w:val="086D692E"/>
    <w:rsid w:val="086D695F"/>
    <w:rsid w:val="086D6A50"/>
    <w:rsid w:val="086D6ACB"/>
    <w:rsid w:val="086D6C60"/>
    <w:rsid w:val="086D6C81"/>
    <w:rsid w:val="086D6C9A"/>
    <w:rsid w:val="086D6D06"/>
    <w:rsid w:val="086D6D1D"/>
    <w:rsid w:val="086D6D5B"/>
    <w:rsid w:val="086D6D8E"/>
    <w:rsid w:val="086D6DCA"/>
    <w:rsid w:val="086D6DE2"/>
    <w:rsid w:val="086D6DE4"/>
    <w:rsid w:val="086D6E2F"/>
    <w:rsid w:val="086D6E33"/>
    <w:rsid w:val="086D6E8D"/>
    <w:rsid w:val="086D6ED1"/>
    <w:rsid w:val="086D6F05"/>
    <w:rsid w:val="086D6F12"/>
    <w:rsid w:val="086D6F2E"/>
    <w:rsid w:val="086D6F39"/>
    <w:rsid w:val="086D6F8F"/>
    <w:rsid w:val="086D6F90"/>
    <w:rsid w:val="086D6FDE"/>
    <w:rsid w:val="086D70B1"/>
    <w:rsid w:val="086D7190"/>
    <w:rsid w:val="086D72C9"/>
    <w:rsid w:val="086D73A3"/>
    <w:rsid w:val="086D73C7"/>
    <w:rsid w:val="086D7413"/>
    <w:rsid w:val="086D742F"/>
    <w:rsid w:val="086D746F"/>
    <w:rsid w:val="086D7496"/>
    <w:rsid w:val="086D74E5"/>
    <w:rsid w:val="086D7527"/>
    <w:rsid w:val="086D75CA"/>
    <w:rsid w:val="086D76A5"/>
    <w:rsid w:val="086D76F7"/>
    <w:rsid w:val="086D7706"/>
    <w:rsid w:val="086D7756"/>
    <w:rsid w:val="086D7778"/>
    <w:rsid w:val="086D795C"/>
    <w:rsid w:val="086D796E"/>
    <w:rsid w:val="086D7984"/>
    <w:rsid w:val="086D79CA"/>
    <w:rsid w:val="086D7AC1"/>
    <w:rsid w:val="086D7B34"/>
    <w:rsid w:val="086D7B59"/>
    <w:rsid w:val="086D7BDA"/>
    <w:rsid w:val="086D7D7C"/>
    <w:rsid w:val="086D7D94"/>
    <w:rsid w:val="086D7DD9"/>
    <w:rsid w:val="086D7EB7"/>
    <w:rsid w:val="086D7EC8"/>
    <w:rsid w:val="086D7F42"/>
    <w:rsid w:val="086D7F82"/>
    <w:rsid w:val="086D7FDF"/>
    <w:rsid w:val="086D7FFE"/>
    <w:rsid w:val="086E003A"/>
    <w:rsid w:val="086E01EF"/>
    <w:rsid w:val="086E030B"/>
    <w:rsid w:val="086E0373"/>
    <w:rsid w:val="086E03F9"/>
    <w:rsid w:val="086E053B"/>
    <w:rsid w:val="086E0555"/>
    <w:rsid w:val="086E058C"/>
    <w:rsid w:val="086E059C"/>
    <w:rsid w:val="086E05B3"/>
    <w:rsid w:val="086E0647"/>
    <w:rsid w:val="086E0666"/>
    <w:rsid w:val="086E0675"/>
    <w:rsid w:val="086E081C"/>
    <w:rsid w:val="086E0941"/>
    <w:rsid w:val="086E0A53"/>
    <w:rsid w:val="086E0A84"/>
    <w:rsid w:val="086E0A8A"/>
    <w:rsid w:val="086E0B07"/>
    <w:rsid w:val="086E0B22"/>
    <w:rsid w:val="086E0BB5"/>
    <w:rsid w:val="086E0BE5"/>
    <w:rsid w:val="086E0DD3"/>
    <w:rsid w:val="086E0E1F"/>
    <w:rsid w:val="086E0E38"/>
    <w:rsid w:val="086E0E87"/>
    <w:rsid w:val="086E0F44"/>
    <w:rsid w:val="086E0FB8"/>
    <w:rsid w:val="086E1018"/>
    <w:rsid w:val="086E104D"/>
    <w:rsid w:val="086E110C"/>
    <w:rsid w:val="086E1142"/>
    <w:rsid w:val="086E1196"/>
    <w:rsid w:val="086E119C"/>
    <w:rsid w:val="086E11C3"/>
    <w:rsid w:val="086E122C"/>
    <w:rsid w:val="086E1360"/>
    <w:rsid w:val="086E138A"/>
    <w:rsid w:val="086E13C4"/>
    <w:rsid w:val="086E1410"/>
    <w:rsid w:val="086E1449"/>
    <w:rsid w:val="086E1467"/>
    <w:rsid w:val="086E1483"/>
    <w:rsid w:val="086E14A4"/>
    <w:rsid w:val="086E15FC"/>
    <w:rsid w:val="086E165B"/>
    <w:rsid w:val="086E1740"/>
    <w:rsid w:val="086E17CF"/>
    <w:rsid w:val="086E1851"/>
    <w:rsid w:val="086E186E"/>
    <w:rsid w:val="086E1876"/>
    <w:rsid w:val="086E1925"/>
    <w:rsid w:val="086E19DF"/>
    <w:rsid w:val="086E1A19"/>
    <w:rsid w:val="086E1A7A"/>
    <w:rsid w:val="086E1AE1"/>
    <w:rsid w:val="086E1AF0"/>
    <w:rsid w:val="086E1B28"/>
    <w:rsid w:val="086E1B99"/>
    <w:rsid w:val="086E1BCB"/>
    <w:rsid w:val="086E1CC4"/>
    <w:rsid w:val="086E1D79"/>
    <w:rsid w:val="086E1D8D"/>
    <w:rsid w:val="086E1DAF"/>
    <w:rsid w:val="086E1DD8"/>
    <w:rsid w:val="086E1DEB"/>
    <w:rsid w:val="086E1E5C"/>
    <w:rsid w:val="086E1F68"/>
    <w:rsid w:val="086E200B"/>
    <w:rsid w:val="086E2065"/>
    <w:rsid w:val="086E208F"/>
    <w:rsid w:val="086E2106"/>
    <w:rsid w:val="086E2247"/>
    <w:rsid w:val="086E22F3"/>
    <w:rsid w:val="086E2370"/>
    <w:rsid w:val="086E23BC"/>
    <w:rsid w:val="086E23D8"/>
    <w:rsid w:val="086E2411"/>
    <w:rsid w:val="086E2627"/>
    <w:rsid w:val="086E2651"/>
    <w:rsid w:val="086E26BC"/>
    <w:rsid w:val="086E26BD"/>
    <w:rsid w:val="086E26F2"/>
    <w:rsid w:val="086E27BD"/>
    <w:rsid w:val="086E2814"/>
    <w:rsid w:val="086E281E"/>
    <w:rsid w:val="086E290F"/>
    <w:rsid w:val="086E2911"/>
    <w:rsid w:val="086E2929"/>
    <w:rsid w:val="086E294B"/>
    <w:rsid w:val="086E2BFA"/>
    <w:rsid w:val="086E2C5A"/>
    <w:rsid w:val="086E2CA7"/>
    <w:rsid w:val="086E2D68"/>
    <w:rsid w:val="086E2D7F"/>
    <w:rsid w:val="086E2D9F"/>
    <w:rsid w:val="086E2DA3"/>
    <w:rsid w:val="086E2E19"/>
    <w:rsid w:val="086E2F81"/>
    <w:rsid w:val="086E2FED"/>
    <w:rsid w:val="086E30E6"/>
    <w:rsid w:val="086E324A"/>
    <w:rsid w:val="086E3285"/>
    <w:rsid w:val="086E32AB"/>
    <w:rsid w:val="086E32B2"/>
    <w:rsid w:val="086E3307"/>
    <w:rsid w:val="086E342E"/>
    <w:rsid w:val="086E345B"/>
    <w:rsid w:val="086E352E"/>
    <w:rsid w:val="086E360C"/>
    <w:rsid w:val="086E364B"/>
    <w:rsid w:val="086E391E"/>
    <w:rsid w:val="086E3931"/>
    <w:rsid w:val="086E39D8"/>
    <w:rsid w:val="086E3AE0"/>
    <w:rsid w:val="086E3B3D"/>
    <w:rsid w:val="086E3B8B"/>
    <w:rsid w:val="086E3BD3"/>
    <w:rsid w:val="086E3BF8"/>
    <w:rsid w:val="086E3D8F"/>
    <w:rsid w:val="086E3DAF"/>
    <w:rsid w:val="086E3E34"/>
    <w:rsid w:val="086E3E70"/>
    <w:rsid w:val="086E3E9D"/>
    <w:rsid w:val="086E3EA3"/>
    <w:rsid w:val="086E3ED2"/>
    <w:rsid w:val="086E3F4D"/>
    <w:rsid w:val="086E3FAA"/>
    <w:rsid w:val="086E4024"/>
    <w:rsid w:val="086E4050"/>
    <w:rsid w:val="086E405A"/>
    <w:rsid w:val="086E4158"/>
    <w:rsid w:val="086E418E"/>
    <w:rsid w:val="086E4298"/>
    <w:rsid w:val="086E42D1"/>
    <w:rsid w:val="086E4353"/>
    <w:rsid w:val="086E451A"/>
    <w:rsid w:val="086E46F8"/>
    <w:rsid w:val="086E4716"/>
    <w:rsid w:val="086E4828"/>
    <w:rsid w:val="086E482C"/>
    <w:rsid w:val="086E48A0"/>
    <w:rsid w:val="086E48FC"/>
    <w:rsid w:val="086E4942"/>
    <w:rsid w:val="086E498B"/>
    <w:rsid w:val="086E49D0"/>
    <w:rsid w:val="086E49E3"/>
    <w:rsid w:val="086E49EF"/>
    <w:rsid w:val="086E4A38"/>
    <w:rsid w:val="086E4AFD"/>
    <w:rsid w:val="086E4B17"/>
    <w:rsid w:val="086E4B77"/>
    <w:rsid w:val="086E4C23"/>
    <w:rsid w:val="086E4C33"/>
    <w:rsid w:val="086E4C48"/>
    <w:rsid w:val="086E4D13"/>
    <w:rsid w:val="086E4DC2"/>
    <w:rsid w:val="086E4DF4"/>
    <w:rsid w:val="086E4E00"/>
    <w:rsid w:val="086E4E6B"/>
    <w:rsid w:val="086E4FCF"/>
    <w:rsid w:val="086E503C"/>
    <w:rsid w:val="086E5092"/>
    <w:rsid w:val="086E510D"/>
    <w:rsid w:val="086E5211"/>
    <w:rsid w:val="086E5214"/>
    <w:rsid w:val="086E521F"/>
    <w:rsid w:val="086E5299"/>
    <w:rsid w:val="086E52A4"/>
    <w:rsid w:val="086E52F9"/>
    <w:rsid w:val="086E5342"/>
    <w:rsid w:val="086E5379"/>
    <w:rsid w:val="086E541A"/>
    <w:rsid w:val="086E54A9"/>
    <w:rsid w:val="086E556E"/>
    <w:rsid w:val="086E55A1"/>
    <w:rsid w:val="086E564A"/>
    <w:rsid w:val="086E568F"/>
    <w:rsid w:val="086E56B0"/>
    <w:rsid w:val="086E56FF"/>
    <w:rsid w:val="086E5751"/>
    <w:rsid w:val="086E5753"/>
    <w:rsid w:val="086E576F"/>
    <w:rsid w:val="086E57B6"/>
    <w:rsid w:val="086E57D9"/>
    <w:rsid w:val="086E5829"/>
    <w:rsid w:val="086E58AF"/>
    <w:rsid w:val="086E591A"/>
    <w:rsid w:val="086E5922"/>
    <w:rsid w:val="086E598A"/>
    <w:rsid w:val="086E59A8"/>
    <w:rsid w:val="086E59D2"/>
    <w:rsid w:val="086E59DD"/>
    <w:rsid w:val="086E5AA4"/>
    <w:rsid w:val="086E5B09"/>
    <w:rsid w:val="086E5BD2"/>
    <w:rsid w:val="086E5C04"/>
    <w:rsid w:val="086E5CB0"/>
    <w:rsid w:val="086E5CCB"/>
    <w:rsid w:val="086E5DD5"/>
    <w:rsid w:val="086E5DF5"/>
    <w:rsid w:val="086E5E58"/>
    <w:rsid w:val="086E5E77"/>
    <w:rsid w:val="086E5FBB"/>
    <w:rsid w:val="086E5FDE"/>
    <w:rsid w:val="086E60C5"/>
    <w:rsid w:val="086E60D3"/>
    <w:rsid w:val="086E6182"/>
    <w:rsid w:val="086E61A0"/>
    <w:rsid w:val="086E61BC"/>
    <w:rsid w:val="086E61CA"/>
    <w:rsid w:val="086E6208"/>
    <w:rsid w:val="086E62EA"/>
    <w:rsid w:val="086E634B"/>
    <w:rsid w:val="086E63B4"/>
    <w:rsid w:val="086E6475"/>
    <w:rsid w:val="086E6497"/>
    <w:rsid w:val="086E649F"/>
    <w:rsid w:val="086E64AF"/>
    <w:rsid w:val="086E65E0"/>
    <w:rsid w:val="086E6613"/>
    <w:rsid w:val="086E66A0"/>
    <w:rsid w:val="086E66FE"/>
    <w:rsid w:val="086E6775"/>
    <w:rsid w:val="086E6797"/>
    <w:rsid w:val="086E67E3"/>
    <w:rsid w:val="086E6854"/>
    <w:rsid w:val="086E685F"/>
    <w:rsid w:val="086E68F3"/>
    <w:rsid w:val="086E68F7"/>
    <w:rsid w:val="086E69E5"/>
    <w:rsid w:val="086E6A4F"/>
    <w:rsid w:val="086E6B15"/>
    <w:rsid w:val="086E6BA0"/>
    <w:rsid w:val="086E6BC7"/>
    <w:rsid w:val="086E6C36"/>
    <w:rsid w:val="086E6CA4"/>
    <w:rsid w:val="086E6D2F"/>
    <w:rsid w:val="086E6D76"/>
    <w:rsid w:val="086E6E0A"/>
    <w:rsid w:val="086E6E1F"/>
    <w:rsid w:val="086E6F9E"/>
    <w:rsid w:val="086E6FA5"/>
    <w:rsid w:val="086E7080"/>
    <w:rsid w:val="086E70ED"/>
    <w:rsid w:val="086E71CC"/>
    <w:rsid w:val="086E728D"/>
    <w:rsid w:val="086E7384"/>
    <w:rsid w:val="086E73DF"/>
    <w:rsid w:val="086E73ED"/>
    <w:rsid w:val="086E74EC"/>
    <w:rsid w:val="086E7552"/>
    <w:rsid w:val="086E7597"/>
    <w:rsid w:val="086E75A2"/>
    <w:rsid w:val="086E75DE"/>
    <w:rsid w:val="086E78F0"/>
    <w:rsid w:val="086E7A11"/>
    <w:rsid w:val="086E7AEB"/>
    <w:rsid w:val="086E7B8F"/>
    <w:rsid w:val="086E7BC0"/>
    <w:rsid w:val="086E7BE1"/>
    <w:rsid w:val="086E7C6C"/>
    <w:rsid w:val="086E7C83"/>
    <w:rsid w:val="086E7D19"/>
    <w:rsid w:val="086E7E56"/>
    <w:rsid w:val="086E7F30"/>
    <w:rsid w:val="086E7F39"/>
    <w:rsid w:val="086E7FBD"/>
    <w:rsid w:val="086F005F"/>
    <w:rsid w:val="086F00D7"/>
    <w:rsid w:val="086F00F6"/>
    <w:rsid w:val="086F0164"/>
    <w:rsid w:val="086F026A"/>
    <w:rsid w:val="086F029E"/>
    <w:rsid w:val="086F02EB"/>
    <w:rsid w:val="086F03E4"/>
    <w:rsid w:val="086F0486"/>
    <w:rsid w:val="086F04B1"/>
    <w:rsid w:val="086F04E7"/>
    <w:rsid w:val="086F055A"/>
    <w:rsid w:val="086F0620"/>
    <w:rsid w:val="086F06E3"/>
    <w:rsid w:val="086F0725"/>
    <w:rsid w:val="086F075D"/>
    <w:rsid w:val="086F07D7"/>
    <w:rsid w:val="086F0927"/>
    <w:rsid w:val="086F0993"/>
    <w:rsid w:val="086F0997"/>
    <w:rsid w:val="086F0A52"/>
    <w:rsid w:val="086F0A73"/>
    <w:rsid w:val="086F0B15"/>
    <w:rsid w:val="086F0B8C"/>
    <w:rsid w:val="086F0BD1"/>
    <w:rsid w:val="086F0C3B"/>
    <w:rsid w:val="086F0DA2"/>
    <w:rsid w:val="086F0DF6"/>
    <w:rsid w:val="086F0E11"/>
    <w:rsid w:val="086F0E2C"/>
    <w:rsid w:val="086F0FD2"/>
    <w:rsid w:val="086F0FF9"/>
    <w:rsid w:val="086F100D"/>
    <w:rsid w:val="086F108A"/>
    <w:rsid w:val="086F1102"/>
    <w:rsid w:val="086F1121"/>
    <w:rsid w:val="086F114B"/>
    <w:rsid w:val="086F114C"/>
    <w:rsid w:val="086F11FC"/>
    <w:rsid w:val="086F1214"/>
    <w:rsid w:val="086F1242"/>
    <w:rsid w:val="086F1552"/>
    <w:rsid w:val="086F155E"/>
    <w:rsid w:val="086F15AC"/>
    <w:rsid w:val="086F162D"/>
    <w:rsid w:val="086F1639"/>
    <w:rsid w:val="086F16AC"/>
    <w:rsid w:val="086F16DE"/>
    <w:rsid w:val="086F1825"/>
    <w:rsid w:val="086F18AA"/>
    <w:rsid w:val="086F1958"/>
    <w:rsid w:val="086F197C"/>
    <w:rsid w:val="086F19D9"/>
    <w:rsid w:val="086F1A52"/>
    <w:rsid w:val="086F1A73"/>
    <w:rsid w:val="086F1ABF"/>
    <w:rsid w:val="086F1B25"/>
    <w:rsid w:val="086F1CFE"/>
    <w:rsid w:val="086F1E04"/>
    <w:rsid w:val="086F1E46"/>
    <w:rsid w:val="086F1ED0"/>
    <w:rsid w:val="086F1EF5"/>
    <w:rsid w:val="086F1EF9"/>
    <w:rsid w:val="086F1F09"/>
    <w:rsid w:val="086F1F22"/>
    <w:rsid w:val="086F1FA3"/>
    <w:rsid w:val="086F1FD4"/>
    <w:rsid w:val="086F205B"/>
    <w:rsid w:val="086F2096"/>
    <w:rsid w:val="086F20F5"/>
    <w:rsid w:val="086F2226"/>
    <w:rsid w:val="086F2231"/>
    <w:rsid w:val="086F225A"/>
    <w:rsid w:val="086F24A0"/>
    <w:rsid w:val="086F256F"/>
    <w:rsid w:val="086F257F"/>
    <w:rsid w:val="086F262D"/>
    <w:rsid w:val="086F2689"/>
    <w:rsid w:val="086F26AA"/>
    <w:rsid w:val="086F26DB"/>
    <w:rsid w:val="086F2707"/>
    <w:rsid w:val="086F2766"/>
    <w:rsid w:val="086F2770"/>
    <w:rsid w:val="086F2812"/>
    <w:rsid w:val="086F288F"/>
    <w:rsid w:val="086F2A36"/>
    <w:rsid w:val="086F2A56"/>
    <w:rsid w:val="086F2A9D"/>
    <w:rsid w:val="086F2B01"/>
    <w:rsid w:val="086F2B19"/>
    <w:rsid w:val="086F2B1D"/>
    <w:rsid w:val="086F2CE8"/>
    <w:rsid w:val="086F2D46"/>
    <w:rsid w:val="086F2D87"/>
    <w:rsid w:val="086F2E6B"/>
    <w:rsid w:val="086F2F12"/>
    <w:rsid w:val="086F2F49"/>
    <w:rsid w:val="086F2F4D"/>
    <w:rsid w:val="086F2FAC"/>
    <w:rsid w:val="086F3056"/>
    <w:rsid w:val="086F30E2"/>
    <w:rsid w:val="086F325E"/>
    <w:rsid w:val="086F32AE"/>
    <w:rsid w:val="086F32D2"/>
    <w:rsid w:val="086F32E5"/>
    <w:rsid w:val="086F32E9"/>
    <w:rsid w:val="086F3349"/>
    <w:rsid w:val="086F3357"/>
    <w:rsid w:val="086F33B5"/>
    <w:rsid w:val="086F33D1"/>
    <w:rsid w:val="086F3443"/>
    <w:rsid w:val="086F3488"/>
    <w:rsid w:val="086F34FB"/>
    <w:rsid w:val="086F352C"/>
    <w:rsid w:val="086F35FB"/>
    <w:rsid w:val="086F36C4"/>
    <w:rsid w:val="086F3749"/>
    <w:rsid w:val="086F374A"/>
    <w:rsid w:val="086F37A5"/>
    <w:rsid w:val="086F38FA"/>
    <w:rsid w:val="086F3967"/>
    <w:rsid w:val="086F39DD"/>
    <w:rsid w:val="086F3A48"/>
    <w:rsid w:val="086F3AC2"/>
    <w:rsid w:val="086F3B13"/>
    <w:rsid w:val="086F3B6A"/>
    <w:rsid w:val="086F3B6C"/>
    <w:rsid w:val="086F3C09"/>
    <w:rsid w:val="086F3C62"/>
    <w:rsid w:val="086F3C73"/>
    <w:rsid w:val="086F3CE9"/>
    <w:rsid w:val="086F3CFF"/>
    <w:rsid w:val="086F3DB1"/>
    <w:rsid w:val="086F3EF1"/>
    <w:rsid w:val="086F3F2A"/>
    <w:rsid w:val="086F3F38"/>
    <w:rsid w:val="086F3F5D"/>
    <w:rsid w:val="086F3FAA"/>
    <w:rsid w:val="086F3FD4"/>
    <w:rsid w:val="086F3FE7"/>
    <w:rsid w:val="086F4029"/>
    <w:rsid w:val="086F403E"/>
    <w:rsid w:val="086F4049"/>
    <w:rsid w:val="086F4162"/>
    <w:rsid w:val="086F41B8"/>
    <w:rsid w:val="086F4200"/>
    <w:rsid w:val="086F433B"/>
    <w:rsid w:val="086F436F"/>
    <w:rsid w:val="086F445F"/>
    <w:rsid w:val="086F4461"/>
    <w:rsid w:val="086F450C"/>
    <w:rsid w:val="086F4535"/>
    <w:rsid w:val="086F4610"/>
    <w:rsid w:val="086F4657"/>
    <w:rsid w:val="086F46A2"/>
    <w:rsid w:val="086F4720"/>
    <w:rsid w:val="086F4780"/>
    <w:rsid w:val="086F4782"/>
    <w:rsid w:val="086F4897"/>
    <w:rsid w:val="086F48E0"/>
    <w:rsid w:val="086F4958"/>
    <w:rsid w:val="086F49EF"/>
    <w:rsid w:val="086F4CA8"/>
    <w:rsid w:val="086F4F5D"/>
    <w:rsid w:val="086F502F"/>
    <w:rsid w:val="086F504A"/>
    <w:rsid w:val="086F5079"/>
    <w:rsid w:val="086F50B2"/>
    <w:rsid w:val="086F50CC"/>
    <w:rsid w:val="086F5157"/>
    <w:rsid w:val="086F517B"/>
    <w:rsid w:val="086F51EB"/>
    <w:rsid w:val="086F521A"/>
    <w:rsid w:val="086F528A"/>
    <w:rsid w:val="086F538A"/>
    <w:rsid w:val="086F53F5"/>
    <w:rsid w:val="086F5492"/>
    <w:rsid w:val="086F54E1"/>
    <w:rsid w:val="086F54EC"/>
    <w:rsid w:val="086F54EE"/>
    <w:rsid w:val="086F557E"/>
    <w:rsid w:val="086F55A5"/>
    <w:rsid w:val="086F56B9"/>
    <w:rsid w:val="086F56C0"/>
    <w:rsid w:val="086F570A"/>
    <w:rsid w:val="086F5714"/>
    <w:rsid w:val="086F57CB"/>
    <w:rsid w:val="086F57F0"/>
    <w:rsid w:val="086F5841"/>
    <w:rsid w:val="086F5848"/>
    <w:rsid w:val="086F58F9"/>
    <w:rsid w:val="086F593D"/>
    <w:rsid w:val="086F59D5"/>
    <w:rsid w:val="086F5A18"/>
    <w:rsid w:val="086F5AAC"/>
    <w:rsid w:val="086F5ACE"/>
    <w:rsid w:val="086F5B4B"/>
    <w:rsid w:val="086F5B67"/>
    <w:rsid w:val="086F5C40"/>
    <w:rsid w:val="086F5D6D"/>
    <w:rsid w:val="086F5E05"/>
    <w:rsid w:val="086F5E45"/>
    <w:rsid w:val="086F5E82"/>
    <w:rsid w:val="086F5F20"/>
    <w:rsid w:val="086F5FBE"/>
    <w:rsid w:val="086F605F"/>
    <w:rsid w:val="086F6086"/>
    <w:rsid w:val="086F6157"/>
    <w:rsid w:val="086F625E"/>
    <w:rsid w:val="086F625F"/>
    <w:rsid w:val="086F6269"/>
    <w:rsid w:val="086F6274"/>
    <w:rsid w:val="086F6280"/>
    <w:rsid w:val="086F62D7"/>
    <w:rsid w:val="086F6312"/>
    <w:rsid w:val="086F6415"/>
    <w:rsid w:val="086F64E7"/>
    <w:rsid w:val="086F65FB"/>
    <w:rsid w:val="086F6616"/>
    <w:rsid w:val="086F66F8"/>
    <w:rsid w:val="086F670B"/>
    <w:rsid w:val="086F672C"/>
    <w:rsid w:val="086F674B"/>
    <w:rsid w:val="086F678D"/>
    <w:rsid w:val="086F6895"/>
    <w:rsid w:val="086F6A97"/>
    <w:rsid w:val="086F6AF0"/>
    <w:rsid w:val="086F6B18"/>
    <w:rsid w:val="086F6BC2"/>
    <w:rsid w:val="086F6C0F"/>
    <w:rsid w:val="086F6C27"/>
    <w:rsid w:val="086F6C44"/>
    <w:rsid w:val="086F6CF1"/>
    <w:rsid w:val="086F6D49"/>
    <w:rsid w:val="086F6D53"/>
    <w:rsid w:val="086F6D88"/>
    <w:rsid w:val="086F6D90"/>
    <w:rsid w:val="086F6F4B"/>
    <w:rsid w:val="086F6FB4"/>
    <w:rsid w:val="086F6FC0"/>
    <w:rsid w:val="086F6FD2"/>
    <w:rsid w:val="086F700F"/>
    <w:rsid w:val="086F7022"/>
    <w:rsid w:val="086F708C"/>
    <w:rsid w:val="086F7182"/>
    <w:rsid w:val="086F71C9"/>
    <w:rsid w:val="086F71E2"/>
    <w:rsid w:val="086F7251"/>
    <w:rsid w:val="086F72E8"/>
    <w:rsid w:val="086F7431"/>
    <w:rsid w:val="086F749A"/>
    <w:rsid w:val="086F75D0"/>
    <w:rsid w:val="086F7715"/>
    <w:rsid w:val="086F7746"/>
    <w:rsid w:val="086F775F"/>
    <w:rsid w:val="086F7763"/>
    <w:rsid w:val="086F7792"/>
    <w:rsid w:val="086F77D5"/>
    <w:rsid w:val="086F7810"/>
    <w:rsid w:val="086F7847"/>
    <w:rsid w:val="086F7885"/>
    <w:rsid w:val="086F78A5"/>
    <w:rsid w:val="086F78EA"/>
    <w:rsid w:val="086F78EC"/>
    <w:rsid w:val="086F7934"/>
    <w:rsid w:val="086F798A"/>
    <w:rsid w:val="086F7AA3"/>
    <w:rsid w:val="086F7AAD"/>
    <w:rsid w:val="086F7B2B"/>
    <w:rsid w:val="086F7C45"/>
    <w:rsid w:val="086F7CAB"/>
    <w:rsid w:val="086F7CD7"/>
    <w:rsid w:val="086F7D25"/>
    <w:rsid w:val="086F7DCF"/>
    <w:rsid w:val="086F7E08"/>
    <w:rsid w:val="086F7ECF"/>
    <w:rsid w:val="086F7EF3"/>
    <w:rsid w:val="086F7F30"/>
    <w:rsid w:val="0870001A"/>
    <w:rsid w:val="0870007C"/>
    <w:rsid w:val="087000D8"/>
    <w:rsid w:val="08700140"/>
    <w:rsid w:val="08700295"/>
    <w:rsid w:val="087003B4"/>
    <w:rsid w:val="087003EA"/>
    <w:rsid w:val="08700408"/>
    <w:rsid w:val="08700429"/>
    <w:rsid w:val="0870043F"/>
    <w:rsid w:val="08700445"/>
    <w:rsid w:val="087004A4"/>
    <w:rsid w:val="087004E5"/>
    <w:rsid w:val="0870053F"/>
    <w:rsid w:val="08700555"/>
    <w:rsid w:val="087005F4"/>
    <w:rsid w:val="087006CE"/>
    <w:rsid w:val="087006D6"/>
    <w:rsid w:val="0870097A"/>
    <w:rsid w:val="087009E6"/>
    <w:rsid w:val="087009FC"/>
    <w:rsid w:val="08700BD0"/>
    <w:rsid w:val="08700C7A"/>
    <w:rsid w:val="08700CAD"/>
    <w:rsid w:val="08700CE0"/>
    <w:rsid w:val="08700DB2"/>
    <w:rsid w:val="08700DD4"/>
    <w:rsid w:val="08700E89"/>
    <w:rsid w:val="08700E8F"/>
    <w:rsid w:val="08700EB2"/>
    <w:rsid w:val="08700EF5"/>
    <w:rsid w:val="08700FEF"/>
    <w:rsid w:val="08701031"/>
    <w:rsid w:val="0870104F"/>
    <w:rsid w:val="08701063"/>
    <w:rsid w:val="08701116"/>
    <w:rsid w:val="0870117B"/>
    <w:rsid w:val="087011D1"/>
    <w:rsid w:val="087011DE"/>
    <w:rsid w:val="087011E7"/>
    <w:rsid w:val="08701317"/>
    <w:rsid w:val="08701338"/>
    <w:rsid w:val="0870146C"/>
    <w:rsid w:val="08701476"/>
    <w:rsid w:val="08701496"/>
    <w:rsid w:val="0870149C"/>
    <w:rsid w:val="0870153B"/>
    <w:rsid w:val="08701563"/>
    <w:rsid w:val="08701678"/>
    <w:rsid w:val="087016B0"/>
    <w:rsid w:val="087017AF"/>
    <w:rsid w:val="0870194E"/>
    <w:rsid w:val="087019E4"/>
    <w:rsid w:val="08701A3A"/>
    <w:rsid w:val="08701A66"/>
    <w:rsid w:val="08701A75"/>
    <w:rsid w:val="08701A89"/>
    <w:rsid w:val="08701A92"/>
    <w:rsid w:val="08701AA6"/>
    <w:rsid w:val="08701AF6"/>
    <w:rsid w:val="08701CC1"/>
    <w:rsid w:val="08701D48"/>
    <w:rsid w:val="08701DD8"/>
    <w:rsid w:val="08701DE5"/>
    <w:rsid w:val="08701E0A"/>
    <w:rsid w:val="08701E0C"/>
    <w:rsid w:val="08701E3F"/>
    <w:rsid w:val="08701E9E"/>
    <w:rsid w:val="08701ECD"/>
    <w:rsid w:val="08701EEA"/>
    <w:rsid w:val="08701EFE"/>
    <w:rsid w:val="08701F26"/>
    <w:rsid w:val="08701F53"/>
    <w:rsid w:val="08701F83"/>
    <w:rsid w:val="0870200F"/>
    <w:rsid w:val="08702080"/>
    <w:rsid w:val="08702200"/>
    <w:rsid w:val="08702237"/>
    <w:rsid w:val="08702341"/>
    <w:rsid w:val="087023C7"/>
    <w:rsid w:val="087023E8"/>
    <w:rsid w:val="08702571"/>
    <w:rsid w:val="08702750"/>
    <w:rsid w:val="08702762"/>
    <w:rsid w:val="087027B6"/>
    <w:rsid w:val="08702838"/>
    <w:rsid w:val="0870286B"/>
    <w:rsid w:val="08702890"/>
    <w:rsid w:val="087029C5"/>
    <w:rsid w:val="08702A86"/>
    <w:rsid w:val="08702A97"/>
    <w:rsid w:val="08702AA4"/>
    <w:rsid w:val="08702B59"/>
    <w:rsid w:val="08702B8F"/>
    <w:rsid w:val="08702B92"/>
    <w:rsid w:val="08702B9F"/>
    <w:rsid w:val="08702C8A"/>
    <w:rsid w:val="08702CBA"/>
    <w:rsid w:val="08702CE3"/>
    <w:rsid w:val="08702DD1"/>
    <w:rsid w:val="08702DF7"/>
    <w:rsid w:val="08702E66"/>
    <w:rsid w:val="08702EA0"/>
    <w:rsid w:val="08702EF0"/>
    <w:rsid w:val="08703008"/>
    <w:rsid w:val="0870309E"/>
    <w:rsid w:val="0870318C"/>
    <w:rsid w:val="0870328E"/>
    <w:rsid w:val="087032B2"/>
    <w:rsid w:val="087032BA"/>
    <w:rsid w:val="087032F8"/>
    <w:rsid w:val="08703309"/>
    <w:rsid w:val="087033F6"/>
    <w:rsid w:val="08703402"/>
    <w:rsid w:val="087034C1"/>
    <w:rsid w:val="08703585"/>
    <w:rsid w:val="0870358D"/>
    <w:rsid w:val="087035A1"/>
    <w:rsid w:val="087035BE"/>
    <w:rsid w:val="0870368F"/>
    <w:rsid w:val="087036B2"/>
    <w:rsid w:val="087036E9"/>
    <w:rsid w:val="0870379A"/>
    <w:rsid w:val="087037FA"/>
    <w:rsid w:val="08703848"/>
    <w:rsid w:val="087038F5"/>
    <w:rsid w:val="08703904"/>
    <w:rsid w:val="087039EB"/>
    <w:rsid w:val="08703A23"/>
    <w:rsid w:val="08703AD4"/>
    <w:rsid w:val="08703B92"/>
    <w:rsid w:val="08703BFB"/>
    <w:rsid w:val="08703C0F"/>
    <w:rsid w:val="08703C68"/>
    <w:rsid w:val="08703D3D"/>
    <w:rsid w:val="08703E5C"/>
    <w:rsid w:val="08703EA7"/>
    <w:rsid w:val="08703F6E"/>
    <w:rsid w:val="08704036"/>
    <w:rsid w:val="0870407D"/>
    <w:rsid w:val="087040E2"/>
    <w:rsid w:val="08704130"/>
    <w:rsid w:val="08704161"/>
    <w:rsid w:val="08704213"/>
    <w:rsid w:val="08704234"/>
    <w:rsid w:val="0870424A"/>
    <w:rsid w:val="087042B5"/>
    <w:rsid w:val="087042EC"/>
    <w:rsid w:val="08704401"/>
    <w:rsid w:val="087044C5"/>
    <w:rsid w:val="087044D6"/>
    <w:rsid w:val="087044E5"/>
    <w:rsid w:val="08704558"/>
    <w:rsid w:val="0870456C"/>
    <w:rsid w:val="087045AC"/>
    <w:rsid w:val="087045D1"/>
    <w:rsid w:val="08704622"/>
    <w:rsid w:val="087046C1"/>
    <w:rsid w:val="087046CE"/>
    <w:rsid w:val="08704701"/>
    <w:rsid w:val="08704709"/>
    <w:rsid w:val="087047D4"/>
    <w:rsid w:val="08704886"/>
    <w:rsid w:val="087049D6"/>
    <w:rsid w:val="08704A06"/>
    <w:rsid w:val="08704A9F"/>
    <w:rsid w:val="08704B70"/>
    <w:rsid w:val="08704BBC"/>
    <w:rsid w:val="08704C33"/>
    <w:rsid w:val="08704C58"/>
    <w:rsid w:val="08704CF3"/>
    <w:rsid w:val="08704D68"/>
    <w:rsid w:val="08704D70"/>
    <w:rsid w:val="08704F70"/>
    <w:rsid w:val="08704FA5"/>
    <w:rsid w:val="08704FA9"/>
    <w:rsid w:val="08704FD9"/>
    <w:rsid w:val="08705063"/>
    <w:rsid w:val="08705082"/>
    <w:rsid w:val="0870508B"/>
    <w:rsid w:val="087050B3"/>
    <w:rsid w:val="087050E7"/>
    <w:rsid w:val="087050F6"/>
    <w:rsid w:val="08705145"/>
    <w:rsid w:val="0870520D"/>
    <w:rsid w:val="08705213"/>
    <w:rsid w:val="08705241"/>
    <w:rsid w:val="08705332"/>
    <w:rsid w:val="087053A2"/>
    <w:rsid w:val="08705409"/>
    <w:rsid w:val="08705479"/>
    <w:rsid w:val="087055A8"/>
    <w:rsid w:val="08705615"/>
    <w:rsid w:val="0870567B"/>
    <w:rsid w:val="0870568D"/>
    <w:rsid w:val="0870572E"/>
    <w:rsid w:val="08705791"/>
    <w:rsid w:val="087057DB"/>
    <w:rsid w:val="08705856"/>
    <w:rsid w:val="08705952"/>
    <w:rsid w:val="08705979"/>
    <w:rsid w:val="087059BF"/>
    <w:rsid w:val="087059F6"/>
    <w:rsid w:val="08705ABA"/>
    <w:rsid w:val="08705B0A"/>
    <w:rsid w:val="08705B40"/>
    <w:rsid w:val="08705B51"/>
    <w:rsid w:val="08705B65"/>
    <w:rsid w:val="08705C43"/>
    <w:rsid w:val="08705C4F"/>
    <w:rsid w:val="08705CF9"/>
    <w:rsid w:val="08705DA0"/>
    <w:rsid w:val="08705ED2"/>
    <w:rsid w:val="08705F51"/>
    <w:rsid w:val="08705F83"/>
    <w:rsid w:val="08706058"/>
    <w:rsid w:val="08706068"/>
    <w:rsid w:val="087060CF"/>
    <w:rsid w:val="087060E0"/>
    <w:rsid w:val="08706160"/>
    <w:rsid w:val="087061B5"/>
    <w:rsid w:val="08706202"/>
    <w:rsid w:val="0870621F"/>
    <w:rsid w:val="0870631A"/>
    <w:rsid w:val="08706369"/>
    <w:rsid w:val="087063CE"/>
    <w:rsid w:val="08706421"/>
    <w:rsid w:val="08706516"/>
    <w:rsid w:val="08706544"/>
    <w:rsid w:val="08706555"/>
    <w:rsid w:val="0870656A"/>
    <w:rsid w:val="08706643"/>
    <w:rsid w:val="08706701"/>
    <w:rsid w:val="0870675A"/>
    <w:rsid w:val="0870676C"/>
    <w:rsid w:val="08706810"/>
    <w:rsid w:val="08706965"/>
    <w:rsid w:val="08706968"/>
    <w:rsid w:val="087069DA"/>
    <w:rsid w:val="08706A76"/>
    <w:rsid w:val="08706B78"/>
    <w:rsid w:val="08706BAE"/>
    <w:rsid w:val="08706BB4"/>
    <w:rsid w:val="08706BBE"/>
    <w:rsid w:val="08706BCB"/>
    <w:rsid w:val="08706CBC"/>
    <w:rsid w:val="08706D8F"/>
    <w:rsid w:val="08706DB4"/>
    <w:rsid w:val="08706DC0"/>
    <w:rsid w:val="08706FBF"/>
    <w:rsid w:val="08706FC8"/>
    <w:rsid w:val="08706FCD"/>
    <w:rsid w:val="08707007"/>
    <w:rsid w:val="0870706B"/>
    <w:rsid w:val="0870715E"/>
    <w:rsid w:val="087072A6"/>
    <w:rsid w:val="087073DF"/>
    <w:rsid w:val="08707427"/>
    <w:rsid w:val="087075AF"/>
    <w:rsid w:val="08707629"/>
    <w:rsid w:val="0870765E"/>
    <w:rsid w:val="0870765F"/>
    <w:rsid w:val="087076A2"/>
    <w:rsid w:val="087076DC"/>
    <w:rsid w:val="08707720"/>
    <w:rsid w:val="0870778A"/>
    <w:rsid w:val="087077CE"/>
    <w:rsid w:val="0870780D"/>
    <w:rsid w:val="0870781A"/>
    <w:rsid w:val="087078A4"/>
    <w:rsid w:val="087078B3"/>
    <w:rsid w:val="087078FF"/>
    <w:rsid w:val="0870790A"/>
    <w:rsid w:val="087079A4"/>
    <w:rsid w:val="087079AB"/>
    <w:rsid w:val="08707A24"/>
    <w:rsid w:val="08707A6F"/>
    <w:rsid w:val="08707A73"/>
    <w:rsid w:val="08707B8B"/>
    <w:rsid w:val="08707BF6"/>
    <w:rsid w:val="08707C09"/>
    <w:rsid w:val="08707C6D"/>
    <w:rsid w:val="08707C73"/>
    <w:rsid w:val="08707C98"/>
    <w:rsid w:val="08707CA8"/>
    <w:rsid w:val="08707CC7"/>
    <w:rsid w:val="08707CEC"/>
    <w:rsid w:val="08707D0A"/>
    <w:rsid w:val="08707D3E"/>
    <w:rsid w:val="08707DE5"/>
    <w:rsid w:val="08707ED1"/>
    <w:rsid w:val="08707EF0"/>
    <w:rsid w:val="08707FBD"/>
    <w:rsid w:val="087100E2"/>
    <w:rsid w:val="08710188"/>
    <w:rsid w:val="087101C3"/>
    <w:rsid w:val="087101DF"/>
    <w:rsid w:val="087102D3"/>
    <w:rsid w:val="08710316"/>
    <w:rsid w:val="08710338"/>
    <w:rsid w:val="087103BE"/>
    <w:rsid w:val="08710440"/>
    <w:rsid w:val="0871050B"/>
    <w:rsid w:val="08710587"/>
    <w:rsid w:val="0871065E"/>
    <w:rsid w:val="08710663"/>
    <w:rsid w:val="08710679"/>
    <w:rsid w:val="08710790"/>
    <w:rsid w:val="087107AF"/>
    <w:rsid w:val="087107EB"/>
    <w:rsid w:val="08710801"/>
    <w:rsid w:val="087108C0"/>
    <w:rsid w:val="087108FD"/>
    <w:rsid w:val="08710997"/>
    <w:rsid w:val="08710A0D"/>
    <w:rsid w:val="08710A5B"/>
    <w:rsid w:val="08710AA8"/>
    <w:rsid w:val="08710B05"/>
    <w:rsid w:val="08710B0E"/>
    <w:rsid w:val="08710B66"/>
    <w:rsid w:val="08710B9A"/>
    <w:rsid w:val="08710BB5"/>
    <w:rsid w:val="08710BC4"/>
    <w:rsid w:val="08710C0C"/>
    <w:rsid w:val="08710C3E"/>
    <w:rsid w:val="08710C56"/>
    <w:rsid w:val="08710CCD"/>
    <w:rsid w:val="08710D93"/>
    <w:rsid w:val="08710E9A"/>
    <w:rsid w:val="08710F1C"/>
    <w:rsid w:val="08710F48"/>
    <w:rsid w:val="08710FC4"/>
    <w:rsid w:val="08710FE1"/>
    <w:rsid w:val="08711196"/>
    <w:rsid w:val="087111CB"/>
    <w:rsid w:val="08711230"/>
    <w:rsid w:val="08711280"/>
    <w:rsid w:val="08711303"/>
    <w:rsid w:val="0871134E"/>
    <w:rsid w:val="087113D7"/>
    <w:rsid w:val="08711442"/>
    <w:rsid w:val="0871155C"/>
    <w:rsid w:val="08711567"/>
    <w:rsid w:val="08711716"/>
    <w:rsid w:val="0871172A"/>
    <w:rsid w:val="08711744"/>
    <w:rsid w:val="087117BE"/>
    <w:rsid w:val="087117CF"/>
    <w:rsid w:val="08711824"/>
    <w:rsid w:val="08711877"/>
    <w:rsid w:val="087118E6"/>
    <w:rsid w:val="08711937"/>
    <w:rsid w:val="087119D4"/>
    <w:rsid w:val="087119DA"/>
    <w:rsid w:val="087119F3"/>
    <w:rsid w:val="08711A34"/>
    <w:rsid w:val="08711A4F"/>
    <w:rsid w:val="08711A81"/>
    <w:rsid w:val="08711A90"/>
    <w:rsid w:val="08711AAF"/>
    <w:rsid w:val="08711AB3"/>
    <w:rsid w:val="08711B41"/>
    <w:rsid w:val="08711B4A"/>
    <w:rsid w:val="08711B90"/>
    <w:rsid w:val="08711BA6"/>
    <w:rsid w:val="08711C3A"/>
    <w:rsid w:val="08711D55"/>
    <w:rsid w:val="08711D7B"/>
    <w:rsid w:val="08711D9B"/>
    <w:rsid w:val="08711E11"/>
    <w:rsid w:val="08711E15"/>
    <w:rsid w:val="08711E5C"/>
    <w:rsid w:val="08711EA5"/>
    <w:rsid w:val="08711EB9"/>
    <w:rsid w:val="08711ECE"/>
    <w:rsid w:val="08711EE6"/>
    <w:rsid w:val="08711F01"/>
    <w:rsid w:val="08711F70"/>
    <w:rsid w:val="087120E6"/>
    <w:rsid w:val="087120F6"/>
    <w:rsid w:val="08712181"/>
    <w:rsid w:val="087121AD"/>
    <w:rsid w:val="087121B1"/>
    <w:rsid w:val="087121CB"/>
    <w:rsid w:val="087121F2"/>
    <w:rsid w:val="0871220E"/>
    <w:rsid w:val="08712368"/>
    <w:rsid w:val="08712389"/>
    <w:rsid w:val="0871238F"/>
    <w:rsid w:val="087123B2"/>
    <w:rsid w:val="0871243D"/>
    <w:rsid w:val="087124AD"/>
    <w:rsid w:val="087124D9"/>
    <w:rsid w:val="087124E2"/>
    <w:rsid w:val="08712540"/>
    <w:rsid w:val="0871259A"/>
    <w:rsid w:val="0871268D"/>
    <w:rsid w:val="0871269A"/>
    <w:rsid w:val="0871276F"/>
    <w:rsid w:val="087127EF"/>
    <w:rsid w:val="087128DB"/>
    <w:rsid w:val="08712923"/>
    <w:rsid w:val="08712A73"/>
    <w:rsid w:val="08712ABF"/>
    <w:rsid w:val="08712B6A"/>
    <w:rsid w:val="08712C3E"/>
    <w:rsid w:val="08712DDA"/>
    <w:rsid w:val="08712E3A"/>
    <w:rsid w:val="08712EBF"/>
    <w:rsid w:val="08712F8B"/>
    <w:rsid w:val="08713039"/>
    <w:rsid w:val="0871308A"/>
    <w:rsid w:val="087130E1"/>
    <w:rsid w:val="087131B5"/>
    <w:rsid w:val="087131FD"/>
    <w:rsid w:val="08713297"/>
    <w:rsid w:val="087132F3"/>
    <w:rsid w:val="087133AB"/>
    <w:rsid w:val="087133D7"/>
    <w:rsid w:val="08713408"/>
    <w:rsid w:val="08713438"/>
    <w:rsid w:val="0871343D"/>
    <w:rsid w:val="0871355D"/>
    <w:rsid w:val="087135A7"/>
    <w:rsid w:val="087135AE"/>
    <w:rsid w:val="0871366A"/>
    <w:rsid w:val="08713672"/>
    <w:rsid w:val="087137E4"/>
    <w:rsid w:val="08713853"/>
    <w:rsid w:val="087138F3"/>
    <w:rsid w:val="087139DA"/>
    <w:rsid w:val="08713A6B"/>
    <w:rsid w:val="08713B23"/>
    <w:rsid w:val="08713BA1"/>
    <w:rsid w:val="08713BA2"/>
    <w:rsid w:val="08713BB0"/>
    <w:rsid w:val="08713BDF"/>
    <w:rsid w:val="08713C0D"/>
    <w:rsid w:val="08713C76"/>
    <w:rsid w:val="08713E4F"/>
    <w:rsid w:val="08713EC8"/>
    <w:rsid w:val="08713F13"/>
    <w:rsid w:val="08713F7C"/>
    <w:rsid w:val="0871411E"/>
    <w:rsid w:val="08714134"/>
    <w:rsid w:val="08714135"/>
    <w:rsid w:val="08714168"/>
    <w:rsid w:val="08714191"/>
    <w:rsid w:val="087141E4"/>
    <w:rsid w:val="087143E4"/>
    <w:rsid w:val="08714481"/>
    <w:rsid w:val="087144AF"/>
    <w:rsid w:val="087144E4"/>
    <w:rsid w:val="08714579"/>
    <w:rsid w:val="08714597"/>
    <w:rsid w:val="0871463F"/>
    <w:rsid w:val="087146BB"/>
    <w:rsid w:val="087146C0"/>
    <w:rsid w:val="08714769"/>
    <w:rsid w:val="08714797"/>
    <w:rsid w:val="0871491F"/>
    <w:rsid w:val="08714A21"/>
    <w:rsid w:val="08714A6A"/>
    <w:rsid w:val="08714AD6"/>
    <w:rsid w:val="08714B06"/>
    <w:rsid w:val="08714B3E"/>
    <w:rsid w:val="08714BB2"/>
    <w:rsid w:val="08714BC4"/>
    <w:rsid w:val="08714BE6"/>
    <w:rsid w:val="08714C73"/>
    <w:rsid w:val="08714CF2"/>
    <w:rsid w:val="08714CF7"/>
    <w:rsid w:val="08714D4E"/>
    <w:rsid w:val="08714DB8"/>
    <w:rsid w:val="08714E42"/>
    <w:rsid w:val="08714EB7"/>
    <w:rsid w:val="087150C6"/>
    <w:rsid w:val="08715143"/>
    <w:rsid w:val="0871515C"/>
    <w:rsid w:val="08715183"/>
    <w:rsid w:val="087152DA"/>
    <w:rsid w:val="08715309"/>
    <w:rsid w:val="0871531A"/>
    <w:rsid w:val="0871539F"/>
    <w:rsid w:val="08715406"/>
    <w:rsid w:val="0871544E"/>
    <w:rsid w:val="0871547D"/>
    <w:rsid w:val="08715498"/>
    <w:rsid w:val="0871550C"/>
    <w:rsid w:val="08715560"/>
    <w:rsid w:val="087155DF"/>
    <w:rsid w:val="087156CD"/>
    <w:rsid w:val="0871576F"/>
    <w:rsid w:val="08715900"/>
    <w:rsid w:val="087159CB"/>
    <w:rsid w:val="087159D7"/>
    <w:rsid w:val="08715A35"/>
    <w:rsid w:val="08715AD4"/>
    <w:rsid w:val="08715AEA"/>
    <w:rsid w:val="08715B52"/>
    <w:rsid w:val="08715BAA"/>
    <w:rsid w:val="08715BE6"/>
    <w:rsid w:val="08715C24"/>
    <w:rsid w:val="08715C33"/>
    <w:rsid w:val="08715C45"/>
    <w:rsid w:val="08715CB2"/>
    <w:rsid w:val="08715D1B"/>
    <w:rsid w:val="08715D1E"/>
    <w:rsid w:val="08715D61"/>
    <w:rsid w:val="08715E80"/>
    <w:rsid w:val="08715EAE"/>
    <w:rsid w:val="08715FAE"/>
    <w:rsid w:val="08716007"/>
    <w:rsid w:val="08716050"/>
    <w:rsid w:val="0871606A"/>
    <w:rsid w:val="08716077"/>
    <w:rsid w:val="087160AB"/>
    <w:rsid w:val="087160BF"/>
    <w:rsid w:val="0871613D"/>
    <w:rsid w:val="0871618F"/>
    <w:rsid w:val="0871619A"/>
    <w:rsid w:val="087161CE"/>
    <w:rsid w:val="08716267"/>
    <w:rsid w:val="08716271"/>
    <w:rsid w:val="08716278"/>
    <w:rsid w:val="08716366"/>
    <w:rsid w:val="08716373"/>
    <w:rsid w:val="0871637D"/>
    <w:rsid w:val="08716416"/>
    <w:rsid w:val="08716464"/>
    <w:rsid w:val="08716492"/>
    <w:rsid w:val="08716513"/>
    <w:rsid w:val="0871660B"/>
    <w:rsid w:val="08716656"/>
    <w:rsid w:val="087166B9"/>
    <w:rsid w:val="08716712"/>
    <w:rsid w:val="0871671E"/>
    <w:rsid w:val="0871679A"/>
    <w:rsid w:val="087167DC"/>
    <w:rsid w:val="0871686F"/>
    <w:rsid w:val="087168C7"/>
    <w:rsid w:val="087169BA"/>
    <w:rsid w:val="08716A56"/>
    <w:rsid w:val="08716A5F"/>
    <w:rsid w:val="08716BFA"/>
    <w:rsid w:val="08716C10"/>
    <w:rsid w:val="08716DA8"/>
    <w:rsid w:val="08716DCF"/>
    <w:rsid w:val="08716E8A"/>
    <w:rsid w:val="08716F46"/>
    <w:rsid w:val="08717067"/>
    <w:rsid w:val="08717073"/>
    <w:rsid w:val="08717106"/>
    <w:rsid w:val="08717145"/>
    <w:rsid w:val="0871715F"/>
    <w:rsid w:val="08717186"/>
    <w:rsid w:val="087171FD"/>
    <w:rsid w:val="08717237"/>
    <w:rsid w:val="08717265"/>
    <w:rsid w:val="0871745C"/>
    <w:rsid w:val="08717521"/>
    <w:rsid w:val="0871752A"/>
    <w:rsid w:val="0871752F"/>
    <w:rsid w:val="0871756C"/>
    <w:rsid w:val="087175A5"/>
    <w:rsid w:val="087175C5"/>
    <w:rsid w:val="087175EA"/>
    <w:rsid w:val="0871763C"/>
    <w:rsid w:val="08717642"/>
    <w:rsid w:val="0871765E"/>
    <w:rsid w:val="087176C1"/>
    <w:rsid w:val="0871783F"/>
    <w:rsid w:val="0871784C"/>
    <w:rsid w:val="087178CD"/>
    <w:rsid w:val="08717966"/>
    <w:rsid w:val="08717A11"/>
    <w:rsid w:val="08717A70"/>
    <w:rsid w:val="08717AB0"/>
    <w:rsid w:val="08717B4A"/>
    <w:rsid w:val="08717BB9"/>
    <w:rsid w:val="08717BCE"/>
    <w:rsid w:val="08717BD7"/>
    <w:rsid w:val="08717EE6"/>
    <w:rsid w:val="08717EF5"/>
    <w:rsid w:val="08717F4A"/>
    <w:rsid w:val="08717F6A"/>
    <w:rsid w:val="08717F9F"/>
    <w:rsid w:val="08717FB2"/>
    <w:rsid w:val="08717FCD"/>
    <w:rsid w:val="08720092"/>
    <w:rsid w:val="087200AE"/>
    <w:rsid w:val="087200F7"/>
    <w:rsid w:val="08720156"/>
    <w:rsid w:val="0872019A"/>
    <w:rsid w:val="087201D8"/>
    <w:rsid w:val="0872021E"/>
    <w:rsid w:val="08720273"/>
    <w:rsid w:val="087202A2"/>
    <w:rsid w:val="087202D9"/>
    <w:rsid w:val="0872034A"/>
    <w:rsid w:val="08720434"/>
    <w:rsid w:val="08720462"/>
    <w:rsid w:val="087206A0"/>
    <w:rsid w:val="087206D9"/>
    <w:rsid w:val="08720704"/>
    <w:rsid w:val="087207CB"/>
    <w:rsid w:val="087207D9"/>
    <w:rsid w:val="087207FC"/>
    <w:rsid w:val="087209B3"/>
    <w:rsid w:val="08720A12"/>
    <w:rsid w:val="08720ADC"/>
    <w:rsid w:val="08720B4C"/>
    <w:rsid w:val="08720C3B"/>
    <w:rsid w:val="08720D75"/>
    <w:rsid w:val="08720DDF"/>
    <w:rsid w:val="08720EC1"/>
    <w:rsid w:val="08720EFA"/>
    <w:rsid w:val="08720EFC"/>
    <w:rsid w:val="08720F6B"/>
    <w:rsid w:val="08720FAB"/>
    <w:rsid w:val="08720FF5"/>
    <w:rsid w:val="087210D2"/>
    <w:rsid w:val="0872114A"/>
    <w:rsid w:val="0872114F"/>
    <w:rsid w:val="08721155"/>
    <w:rsid w:val="08721166"/>
    <w:rsid w:val="0872117C"/>
    <w:rsid w:val="08721219"/>
    <w:rsid w:val="08721260"/>
    <w:rsid w:val="0872126B"/>
    <w:rsid w:val="0872129C"/>
    <w:rsid w:val="08721358"/>
    <w:rsid w:val="0872143F"/>
    <w:rsid w:val="08721482"/>
    <w:rsid w:val="08721488"/>
    <w:rsid w:val="08721570"/>
    <w:rsid w:val="08721599"/>
    <w:rsid w:val="087215FD"/>
    <w:rsid w:val="0872167B"/>
    <w:rsid w:val="0872172A"/>
    <w:rsid w:val="0872172F"/>
    <w:rsid w:val="0872179A"/>
    <w:rsid w:val="08721805"/>
    <w:rsid w:val="08721809"/>
    <w:rsid w:val="08721828"/>
    <w:rsid w:val="08721911"/>
    <w:rsid w:val="0872195F"/>
    <w:rsid w:val="087219F4"/>
    <w:rsid w:val="08721A18"/>
    <w:rsid w:val="08721B8D"/>
    <w:rsid w:val="08721C4B"/>
    <w:rsid w:val="08721DC8"/>
    <w:rsid w:val="08721E84"/>
    <w:rsid w:val="08721E88"/>
    <w:rsid w:val="08721EA8"/>
    <w:rsid w:val="08721ED8"/>
    <w:rsid w:val="08721EE0"/>
    <w:rsid w:val="08721EEB"/>
    <w:rsid w:val="08721F82"/>
    <w:rsid w:val="08721FBE"/>
    <w:rsid w:val="08721FC8"/>
    <w:rsid w:val="08721FCA"/>
    <w:rsid w:val="08722156"/>
    <w:rsid w:val="08722208"/>
    <w:rsid w:val="0872235E"/>
    <w:rsid w:val="08722386"/>
    <w:rsid w:val="08722394"/>
    <w:rsid w:val="0872260E"/>
    <w:rsid w:val="087226C2"/>
    <w:rsid w:val="087226E5"/>
    <w:rsid w:val="0872272B"/>
    <w:rsid w:val="087227A8"/>
    <w:rsid w:val="087227C2"/>
    <w:rsid w:val="087227C9"/>
    <w:rsid w:val="08722845"/>
    <w:rsid w:val="0872288A"/>
    <w:rsid w:val="087228C2"/>
    <w:rsid w:val="087228DD"/>
    <w:rsid w:val="0872292E"/>
    <w:rsid w:val="08722955"/>
    <w:rsid w:val="0872297C"/>
    <w:rsid w:val="08722989"/>
    <w:rsid w:val="08722993"/>
    <w:rsid w:val="08722998"/>
    <w:rsid w:val="08722A12"/>
    <w:rsid w:val="08722A6E"/>
    <w:rsid w:val="08722A8A"/>
    <w:rsid w:val="08722AA2"/>
    <w:rsid w:val="08722B11"/>
    <w:rsid w:val="08722B7D"/>
    <w:rsid w:val="08722C1A"/>
    <w:rsid w:val="08722C34"/>
    <w:rsid w:val="08722CA7"/>
    <w:rsid w:val="08722D09"/>
    <w:rsid w:val="08722DF6"/>
    <w:rsid w:val="08722E4E"/>
    <w:rsid w:val="08722E65"/>
    <w:rsid w:val="08723193"/>
    <w:rsid w:val="087231DB"/>
    <w:rsid w:val="0872324D"/>
    <w:rsid w:val="0872327F"/>
    <w:rsid w:val="087232B6"/>
    <w:rsid w:val="0872331C"/>
    <w:rsid w:val="08723323"/>
    <w:rsid w:val="087234A0"/>
    <w:rsid w:val="08723536"/>
    <w:rsid w:val="087235C2"/>
    <w:rsid w:val="08723620"/>
    <w:rsid w:val="08723621"/>
    <w:rsid w:val="08723675"/>
    <w:rsid w:val="087236EB"/>
    <w:rsid w:val="087236FC"/>
    <w:rsid w:val="08723786"/>
    <w:rsid w:val="087237C2"/>
    <w:rsid w:val="08723826"/>
    <w:rsid w:val="087238A7"/>
    <w:rsid w:val="08723911"/>
    <w:rsid w:val="0872393F"/>
    <w:rsid w:val="0872394F"/>
    <w:rsid w:val="087239DB"/>
    <w:rsid w:val="08723A1B"/>
    <w:rsid w:val="08723A59"/>
    <w:rsid w:val="08723A8C"/>
    <w:rsid w:val="08723B07"/>
    <w:rsid w:val="08723B65"/>
    <w:rsid w:val="08723C64"/>
    <w:rsid w:val="08723C93"/>
    <w:rsid w:val="08723D4C"/>
    <w:rsid w:val="08723DAD"/>
    <w:rsid w:val="08723E73"/>
    <w:rsid w:val="08723EC0"/>
    <w:rsid w:val="08723EF4"/>
    <w:rsid w:val="08723F61"/>
    <w:rsid w:val="08723F8E"/>
    <w:rsid w:val="0872400A"/>
    <w:rsid w:val="0872403C"/>
    <w:rsid w:val="0872403D"/>
    <w:rsid w:val="087240C5"/>
    <w:rsid w:val="087240EE"/>
    <w:rsid w:val="087241C9"/>
    <w:rsid w:val="0872424F"/>
    <w:rsid w:val="08724283"/>
    <w:rsid w:val="087242D1"/>
    <w:rsid w:val="0872434D"/>
    <w:rsid w:val="087243B1"/>
    <w:rsid w:val="08724468"/>
    <w:rsid w:val="0872447E"/>
    <w:rsid w:val="087244B4"/>
    <w:rsid w:val="0872464C"/>
    <w:rsid w:val="08724681"/>
    <w:rsid w:val="087246B4"/>
    <w:rsid w:val="087246EE"/>
    <w:rsid w:val="08724701"/>
    <w:rsid w:val="0872479A"/>
    <w:rsid w:val="087247D1"/>
    <w:rsid w:val="087247FD"/>
    <w:rsid w:val="08724806"/>
    <w:rsid w:val="0872481F"/>
    <w:rsid w:val="0872487A"/>
    <w:rsid w:val="087248C2"/>
    <w:rsid w:val="08724941"/>
    <w:rsid w:val="087249EE"/>
    <w:rsid w:val="08724A29"/>
    <w:rsid w:val="08724C11"/>
    <w:rsid w:val="08724C85"/>
    <w:rsid w:val="08724DA6"/>
    <w:rsid w:val="08724E08"/>
    <w:rsid w:val="08724E09"/>
    <w:rsid w:val="08724E6F"/>
    <w:rsid w:val="08724ED7"/>
    <w:rsid w:val="08724ED8"/>
    <w:rsid w:val="08724F44"/>
    <w:rsid w:val="08724F51"/>
    <w:rsid w:val="08724F60"/>
    <w:rsid w:val="08724F75"/>
    <w:rsid w:val="08724FDF"/>
    <w:rsid w:val="08724FEA"/>
    <w:rsid w:val="08724FFD"/>
    <w:rsid w:val="08725026"/>
    <w:rsid w:val="087250DD"/>
    <w:rsid w:val="08725115"/>
    <w:rsid w:val="0872514A"/>
    <w:rsid w:val="087251D3"/>
    <w:rsid w:val="087252B6"/>
    <w:rsid w:val="08725301"/>
    <w:rsid w:val="0872533D"/>
    <w:rsid w:val="08725347"/>
    <w:rsid w:val="0872538A"/>
    <w:rsid w:val="087253EF"/>
    <w:rsid w:val="08725457"/>
    <w:rsid w:val="087254CD"/>
    <w:rsid w:val="087254E0"/>
    <w:rsid w:val="08725500"/>
    <w:rsid w:val="08725523"/>
    <w:rsid w:val="08725549"/>
    <w:rsid w:val="0872556A"/>
    <w:rsid w:val="08725587"/>
    <w:rsid w:val="087255C6"/>
    <w:rsid w:val="087256F8"/>
    <w:rsid w:val="0872571B"/>
    <w:rsid w:val="0872573D"/>
    <w:rsid w:val="087257CC"/>
    <w:rsid w:val="087258C9"/>
    <w:rsid w:val="08725B11"/>
    <w:rsid w:val="08725B1A"/>
    <w:rsid w:val="08725CA2"/>
    <w:rsid w:val="08725CA5"/>
    <w:rsid w:val="08725CFF"/>
    <w:rsid w:val="08725DD2"/>
    <w:rsid w:val="08725DE2"/>
    <w:rsid w:val="08725DEC"/>
    <w:rsid w:val="08725F8D"/>
    <w:rsid w:val="08725FC1"/>
    <w:rsid w:val="08726031"/>
    <w:rsid w:val="08726061"/>
    <w:rsid w:val="08726108"/>
    <w:rsid w:val="08726140"/>
    <w:rsid w:val="08726288"/>
    <w:rsid w:val="08726297"/>
    <w:rsid w:val="0872632F"/>
    <w:rsid w:val="087263CF"/>
    <w:rsid w:val="08726408"/>
    <w:rsid w:val="0872640A"/>
    <w:rsid w:val="0872651C"/>
    <w:rsid w:val="087265DD"/>
    <w:rsid w:val="0872669F"/>
    <w:rsid w:val="0872673B"/>
    <w:rsid w:val="0872684E"/>
    <w:rsid w:val="08726978"/>
    <w:rsid w:val="08726979"/>
    <w:rsid w:val="087269DC"/>
    <w:rsid w:val="087269DD"/>
    <w:rsid w:val="08726ABB"/>
    <w:rsid w:val="08726AD7"/>
    <w:rsid w:val="08726AFC"/>
    <w:rsid w:val="08726B23"/>
    <w:rsid w:val="08726B53"/>
    <w:rsid w:val="08726B7F"/>
    <w:rsid w:val="08726B94"/>
    <w:rsid w:val="08726BA4"/>
    <w:rsid w:val="08726CCD"/>
    <w:rsid w:val="08726DBF"/>
    <w:rsid w:val="08726E42"/>
    <w:rsid w:val="08726E55"/>
    <w:rsid w:val="08726E83"/>
    <w:rsid w:val="08726F95"/>
    <w:rsid w:val="08727050"/>
    <w:rsid w:val="08727078"/>
    <w:rsid w:val="087271A8"/>
    <w:rsid w:val="087271B2"/>
    <w:rsid w:val="087271BF"/>
    <w:rsid w:val="0872724E"/>
    <w:rsid w:val="08727251"/>
    <w:rsid w:val="087272B6"/>
    <w:rsid w:val="087272C0"/>
    <w:rsid w:val="087272D0"/>
    <w:rsid w:val="0872730A"/>
    <w:rsid w:val="08727343"/>
    <w:rsid w:val="08727362"/>
    <w:rsid w:val="087273CF"/>
    <w:rsid w:val="0872746E"/>
    <w:rsid w:val="08727554"/>
    <w:rsid w:val="08727592"/>
    <w:rsid w:val="08727651"/>
    <w:rsid w:val="087276B2"/>
    <w:rsid w:val="08727862"/>
    <w:rsid w:val="0872795A"/>
    <w:rsid w:val="08727970"/>
    <w:rsid w:val="087279A7"/>
    <w:rsid w:val="087279D5"/>
    <w:rsid w:val="08727A55"/>
    <w:rsid w:val="08727A57"/>
    <w:rsid w:val="08727AA7"/>
    <w:rsid w:val="08727B12"/>
    <w:rsid w:val="08727B2D"/>
    <w:rsid w:val="08727B76"/>
    <w:rsid w:val="08727BD6"/>
    <w:rsid w:val="08727C36"/>
    <w:rsid w:val="08727CDD"/>
    <w:rsid w:val="08727CFD"/>
    <w:rsid w:val="08727D03"/>
    <w:rsid w:val="08727D07"/>
    <w:rsid w:val="08727D5A"/>
    <w:rsid w:val="08727E17"/>
    <w:rsid w:val="08727ED7"/>
    <w:rsid w:val="08727EFD"/>
    <w:rsid w:val="087301AD"/>
    <w:rsid w:val="087301F2"/>
    <w:rsid w:val="08730252"/>
    <w:rsid w:val="087302AC"/>
    <w:rsid w:val="087302BE"/>
    <w:rsid w:val="08730334"/>
    <w:rsid w:val="0873044F"/>
    <w:rsid w:val="087305B6"/>
    <w:rsid w:val="0873068B"/>
    <w:rsid w:val="087306D8"/>
    <w:rsid w:val="0873076A"/>
    <w:rsid w:val="087307C6"/>
    <w:rsid w:val="08730810"/>
    <w:rsid w:val="0873093A"/>
    <w:rsid w:val="08730A06"/>
    <w:rsid w:val="08730AF0"/>
    <w:rsid w:val="08730AFA"/>
    <w:rsid w:val="08730B7B"/>
    <w:rsid w:val="08730C05"/>
    <w:rsid w:val="08730C4B"/>
    <w:rsid w:val="08730C4E"/>
    <w:rsid w:val="08730CC4"/>
    <w:rsid w:val="08730DA4"/>
    <w:rsid w:val="08730DEC"/>
    <w:rsid w:val="08730EF5"/>
    <w:rsid w:val="08730F68"/>
    <w:rsid w:val="08731078"/>
    <w:rsid w:val="087310BD"/>
    <w:rsid w:val="087311A8"/>
    <w:rsid w:val="087311F0"/>
    <w:rsid w:val="08731227"/>
    <w:rsid w:val="08731257"/>
    <w:rsid w:val="08731288"/>
    <w:rsid w:val="087313C0"/>
    <w:rsid w:val="08731478"/>
    <w:rsid w:val="087315AC"/>
    <w:rsid w:val="08731606"/>
    <w:rsid w:val="08731611"/>
    <w:rsid w:val="0873161B"/>
    <w:rsid w:val="08731680"/>
    <w:rsid w:val="087316DF"/>
    <w:rsid w:val="087317D7"/>
    <w:rsid w:val="08731845"/>
    <w:rsid w:val="0873186F"/>
    <w:rsid w:val="08731908"/>
    <w:rsid w:val="08731974"/>
    <w:rsid w:val="087319A1"/>
    <w:rsid w:val="08731A53"/>
    <w:rsid w:val="08731B90"/>
    <w:rsid w:val="08731C3D"/>
    <w:rsid w:val="08731D3E"/>
    <w:rsid w:val="08731D45"/>
    <w:rsid w:val="0873202C"/>
    <w:rsid w:val="08732035"/>
    <w:rsid w:val="08732082"/>
    <w:rsid w:val="08732101"/>
    <w:rsid w:val="08732138"/>
    <w:rsid w:val="0873228B"/>
    <w:rsid w:val="087322F0"/>
    <w:rsid w:val="08732337"/>
    <w:rsid w:val="08732376"/>
    <w:rsid w:val="0873237E"/>
    <w:rsid w:val="08732381"/>
    <w:rsid w:val="08732440"/>
    <w:rsid w:val="0873248E"/>
    <w:rsid w:val="08732493"/>
    <w:rsid w:val="08732527"/>
    <w:rsid w:val="08732573"/>
    <w:rsid w:val="08732672"/>
    <w:rsid w:val="087326C9"/>
    <w:rsid w:val="087327F8"/>
    <w:rsid w:val="08732834"/>
    <w:rsid w:val="0873289B"/>
    <w:rsid w:val="087328F3"/>
    <w:rsid w:val="08732910"/>
    <w:rsid w:val="087329DA"/>
    <w:rsid w:val="08732A76"/>
    <w:rsid w:val="08732B45"/>
    <w:rsid w:val="08732B94"/>
    <w:rsid w:val="08732B96"/>
    <w:rsid w:val="08732B98"/>
    <w:rsid w:val="08732CA4"/>
    <w:rsid w:val="08732D10"/>
    <w:rsid w:val="08732D20"/>
    <w:rsid w:val="08732D25"/>
    <w:rsid w:val="08732D58"/>
    <w:rsid w:val="08732E8C"/>
    <w:rsid w:val="08732EC9"/>
    <w:rsid w:val="08732FC8"/>
    <w:rsid w:val="08733010"/>
    <w:rsid w:val="08733189"/>
    <w:rsid w:val="087331FD"/>
    <w:rsid w:val="0873321B"/>
    <w:rsid w:val="08733239"/>
    <w:rsid w:val="08733274"/>
    <w:rsid w:val="0873330A"/>
    <w:rsid w:val="08733322"/>
    <w:rsid w:val="08733409"/>
    <w:rsid w:val="08733454"/>
    <w:rsid w:val="0873347C"/>
    <w:rsid w:val="087334BA"/>
    <w:rsid w:val="087334D5"/>
    <w:rsid w:val="08733529"/>
    <w:rsid w:val="0873358F"/>
    <w:rsid w:val="087335BA"/>
    <w:rsid w:val="08733619"/>
    <w:rsid w:val="08733651"/>
    <w:rsid w:val="08733665"/>
    <w:rsid w:val="087336CF"/>
    <w:rsid w:val="087336F8"/>
    <w:rsid w:val="0873371E"/>
    <w:rsid w:val="0873374E"/>
    <w:rsid w:val="08733823"/>
    <w:rsid w:val="087338CD"/>
    <w:rsid w:val="087338F8"/>
    <w:rsid w:val="08733904"/>
    <w:rsid w:val="08733A57"/>
    <w:rsid w:val="08733A83"/>
    <w:rsid w:val="08733A94"/>
    <w:rsid w:val="08733BB3"/>
    <w:rsid w:val="08733C7A"/>
    <w:rsid w:val="08733E0F"/>
    <w:rsid w:val="08733E17"/>
    <w:rsid w:val="08733E1F"/>
    <w:rsid w:val="08733EF0"/>
    <w:rsid w:val="08733F1F"/>
    <w:rsid w:val="08733F2C"/>
    <w:rsid w:val="08733F8E"/>
    <w:rsid w:val="08734188"/>
    <w:rsid w:val="087341AC"/>
    <w:rsid w:val="08734283"/>
    <w:rsid w:val="08734299"/>
    <w:rsid w:val="087343AC"/>
    <w:rsid w:val="08734419"/>
    <w:rsid w:val="0873441F"/>
    <w:rsid w:val="08734518"/>
    <w:rsid w:val="08734520"/>
    <w:rsid w:val="08734574"/>
    <w:rsid w:val="087345F8"/>
    <w:rsid w:val="08734617"/>
    <w:rsid w:val="08734711"/>
    <w:rsid w:val="0873471B"/>
    <w:rsid w:val="08734752"/>
    <w:rsid w:val="08734762"/>
    <w:rsid w:val="08734779"/>
    <w:rsid w:val="087347CE"/>
    <w:rsid w:val="08734810"/>
    <w:rsid w:val="0873483E"/>
    <w:rsid w:val="087348B4"/>
    <w:rsid w:val="0873497D"/>
    <w:rsid w:val="087349AB"/>
    <w:rsid w:val="08734A67"/>
    <w:rsid w:val="08734B27"/>
    <w:rsid w:val="08734B35"/>
    <w:rsid w:val="08734B9D"/>
    <w:rsid w:val="08734BAD"/>
    <w:rsid w:val="08734C4C"/>
    <w:rsid w:val="08734CEF"/>
    <w:rsid w:val="08734D0E"/>
    <w:rsid w:val="08734D30"/>
    <w:rsid w:val="08734D82"/>
    <w:rsid w:val="08734E2D"/>
    <w:rsid w:val="08734F79"/>
    <w:rsid w:val="08734FFA"/>
    <w:rsid w:val="0873506F"/>
    <w:rsid w:val="087350AE"/>
    <w:rsid w:val="08735126"/>
    <w:rsid w:val="08735222"/>
    <w:rsid w:val="087352CD"/>
    <w:rsid w:val="087352DD"/>
    <w:rsid w:val="08735360"/>
    <w:rsid w:val="087353D2"/>
    <w:rsid w:val="08735465"/>
    <w:rsid w:val="087354BD"/>
    <w:rsid w:val="087354C2"/>
    <w:rsid w:val="0873552B"/>
    <w:rsid w:val="08735579"/>
    <w:rsid w:val="0873557B"/>
    <w:rsid w:val="08735594"/>
    <w:rsid w:val="08735600"/>
    <w:rsid w:val="08735628"/>
    <w:rsid w:val="08735661"/>
    <w:rsid w:val="0873570D"/>
    <w:rsid w:val="087357B9"/>
    <w:rsid w:val="08735826"/>
    <w:rsid w:val="08735865"/>
    <w:rsid w:val="087359C1"/>
    <w:rsid w:val="08735A5D"/>
    <w:rsid w:val="08735AD1"/>
    <w:rsid w:val="08735BD6"/>
    <w:rsid w:val="08735C4E"/>
    <w:rsid w:val="08735C61"/>
    <w:rsid w:val="08735CBC"/>
    <w:rsid w:val="08735CEA"/>
    <w:rsid w:val="08735D0C"/>
    <w:rsid w:val="08735D5C"/>
    <w:rsid w:val="08735DF2"/>
    <w:rsid w:val="08735EDB"/>
    <w:rsid w:val="08735F5A"/>
    <w:rsid w:val="08735F5B"/>
    <w:rsid w:val="08736022"/>
    <w:rsid w:val="0873609F"/>
    <w:rsid w:val="087361D2"/>
    <w:rsid w:val="087362CD"/>
    <w:rsid w:val="0873637A"/>
    <w:rsid w:val="08736453"/>
    <w:rsid w:val="08736475"/>
    <w:rsid w:val="08736592"/>
    <w:rsid w:val="087365A0"/>
    <w:rsid w:val="087365DE"/>
    <w:rsid w:val="0873666E"/>
    <w:rsid w:val="087366DB"/>
    <w:rsid w:val="0873672B"/>
    <w:rsid w:val="0873674F"/>
    <w:rsid w:val="0873677E"/>
    <w:rsid w:val="087367CD"/>
    <w:rsid w:val="087368B5"/>
    <w:rsid w:val="08736A21"/>
    <w:rsid w:val="08736A8A"/>
    <w:rsid w:val="08736ABD"/>
    <w:rsid w:val="08736B07"/>
    <w:rsid w:val="08736B5D"/>
    <w:rsid w:val="08736BD4"/>
    <w:rsid w:val="08736D33"/>
    <w:rsid w:val="08736E1E"/>
    <w:rsid w:val="08737021"/>
    <w:rsid w:val="087371D8"/>
    <w:rsid w:val="08737200"/>
    <w:rsid w:val="0873723C"/>
    <w:rsid w:val="087372DD"/>
    <w:rsid w:val="087373B3"/>
    <w:rsid w:val="08737414"/>
    <w:rsid w:val="08737488"/>
    <w:rsid w:val="087374B1"/>
    <w:rsid w:val="087374C3"/>
    <w:rsid w:val="08737546"/>
    <w:rsid w:val="08737781"/>
    <w:rsid w:val="087378BA"/>
    <w:rsid w:val="087378F8"/>
    <w:rsid w:val="08737924"/>
    <w:rsid w:val="08737941"/>
    <w:rsid w:val="0873796B"/>
    <w:rsid w:val="087379A1"/>
    <w:rsid w:val="087379BD"/>
    <w:rsid w:val="08737A3A"/>
    <w:rsid w:val="08737A8A"/>
    <w:rsid w:val="08737AEB"/>
    <w:rsid w:val="08737B34"/>
    <w:rsid w:val="08737B98"/>
    <w:rsid w:val="08737BB6"/>
    <w:rsid w:val="08737BD0"/>
    <w:rsid w:val="08737BFF"/>
    <w:rsid w:val="08737C11"/>
    <w:rsid w:val="08737C93"/>
    <w:rsid w:val="08737D20"/>
    <w:rsid w:val="08737D3B"/>
    <w:rsid w:val="08737D40"/>
    <w:rsid w:val="08737D8D"/>
    <w:rsid w:val="08737DF7"/>
    <w:rsid w:val="08737E22"/>
    <w:rsid w:val="08737E8C"/>
    <w:rsid w:val="08737EB5"/>
    <w:rsid w:val="08737F84"/>
    <w:rsid w:val="0874004F"/>
    <w:rsid w:val="087400DD"/>
    <w:rsid w:val="0874017E"/>
    <w:rsid w:val="087401E9"/>
    <w:rsid w:val="0874032A"/>
    <w:rsid w:val="087403CB"/>
    <w:rsid w:val="087403D5"/>
    <w:rsid w:val="087403E5"/>
    <w:rsid w:val="087404EB"/>
    <w:rsid w:val="087405CD"/>
    <w:rsid w:val="0874062B"/>
    <w:rsid w:val="08740643"/>
    <w:rsid w:val="087406EC"/>
    <w:rsid w:val="08740711"/>
    <w:rsid w:val="08740737"/>
    <w:rsid w:val="0874081D"/>
    <w:rsid w:val="08740829"/>
    <w:rsid w:val="0874084A"/>
    <w:rsid w:val="0874096B"/>
    <w:rsid w:val="08740A36"/>
    <w:rsid w:val="08740ABE"/>
    <w:rsid w:val="08740B8C"/>
    <w:rsid w:val="08740BB3"/>
    <w:rsid w:val="08740BBA"/>
    <w:rsid w:val="08740CDB"/>
    <w:rsid w:val="08740D10"/>
    <w:rsid w:val="08740D67"/>
    <w:rsid w:val="08740E62"/>
    <w:rsid w:val="08740EB3"/>
    <w:rsid w:val="087410F8"/>
    <w:rsid w:val="087411A9"/>
    <w:rsid w:val="087411F2"/>
    <w:rsid w:val="087411F5"/>
    <w:rsid w:val="0874120D"/>
    <w:rsid w:val="08741256"/>
    <w:rsid w:val="08741265"/>
    <w:rsid w:val="08741294"/>
    <w:rsid w:val="08741298"/>
    <w:rsid w:val="0874137F"/>
    <w:rsid w:val="08741386"/>
    <w:rsid w:val="0874140C"/>
    <w:rsid w:val="0874140F"/>
    <w:rsid w:val="087414A0"/>
    <w:rsid w:val="08741590"/>
    <w:rsid w:val="087415A7"/>
    <w:rsid w:val="087415B6"/>
    <w:rsid w:val="087415CC"/>
    <w:rsid w:val="0874161F"/>
    <w:rsid w:val="087416D3"/>
    <w:rsid w:val="087417C8"/>
    <w:rsid w:val="08741854"/>
    <w:rsid w:val="087418F2"/>
    <w:rsid w:val="08741901"/>
    <w:rsid w:val="08741984"/>
    <w:rsid w:val="08741996"/>
    <w:rsid w:val="08741A2F"/>
    <w:rsid w:val="08741A4E"/>
    <w:rsid w:val="08741A64"/>
    <w:rsid w:val="08741AE5"/>
    <w:rsid w:val="08741B95"/>
    <w:rsid w:val="08741BB4"/>
    <w:rsid w:val="08741C03"/>
    <w:rsid w:val="08741C19"/>
    <w:rsid w:val="08741D7E"/>
    <w:rsid w:val="08741EE2"/>
    <w:rsid w:val="08741EF0"/>
    <w:rsid w:val="08741F37"/>
    <w:rsid w:val="08741F52"/>
    <w:rsid w:val="08741F9D"/>
    <w:rsid w:val="08741FC9"/>
    <w:rsid w:val="08741FCA"/>
    <w:rsid w:val="08742049"/>
    <w:rsid w:val="08742052"/>
    <w:rsid w:val="08742094"/>
    <w:rsid w:val="087420A0"/>
    <w:rsid w:val="087421D7"/>
    <w:rsid w:val="08742221"/>
    <w:rsid w:val="087422DF"/>
    <w:rsid w:val="08742370"/>
    <w:rsid w:val="08742419"/>
    <w:rsid w:val="08742431"/>
    <w:rsid w:val="08742475"/>
    <w:rsid w:val="087424A5"/>
    <w:rsid w:val="08742534"/>
    <w:rsid w:val="087425B2"/>
    <w:rsid w:val="08742606"/>
    <w:rsid w:val="087426EC"/>
    <w:rsid w:val="087427A4"/>
    <w:rsid w:val="087427EC"/>
    <w:rsid w:val="0874281A"/>
    <w:rsid w:val="08742860"/>
    <w:rsid w:val="087428A0"/>
    <w:rsid w:val="08742A30"/>
    <w:rsid w:val="08742AB5"/>
    <w:rsid w:val="08742B2C"/>
    <w:rsid w:val="08742B30"/>
    <w:rsid w:val="08742BD5"/>
    <w:rsid w:val="08742BE2"/>
    <w:rsid w:val="08742C01"/>
    <w:rsid w:val="08742C3B"/>
    <w:rsid w:val="08742C44"/>
    <w:rsid w:val="08742C9B"/>
    <w:rsid w:val="08742D44"/>
    <w:rsid w:val="08742DD5"/>
    <w:rsid w:val="08742E93"/>
    <w:rsid w:val="08742FB3"/>
    <w:rsid w:val="0874307B"/>
    <w:rsid w:val="0874307F"/>
    <w:rsid w:val="087430BB"/>
    <w:rsid w:val="087430C4"/>
    <w:rsid w:val="0874310B"/>
    <w:rsid w:val="08743287"/>
    <w:rsid w:val="087432E9"/>
    <w:rsid w:val="087433E7"/>
    <w:rsid w:val="08743417"/>
    <w:rsid w:val="087434AB"/>
    <w:rsid w:val="087434E7"/>
    <w:rsid w:val="087436E6"/>
    <w:rsid w:val="08743735"/>
    <w:rsid w:val="08743797"/>
    <w:rsid w:val="0874384C"/>
    <w:rsid w:val="0874385E"/>
    <w:rsid w:val="08743884"/>
    <w:rsid w:val="087438FB"/>
    <w:rsid w:val="08743980"/>
    <w:rsid w:val="08743A4C"/>
    <w:rsid w:val="08743AE7"/>
    <w:rsid w:val="08743AEE"/>
    <w:rsid w:val="08743B14"/>
    <w:rsid w:val="08743B51"/>
    <w:rsid w:val="08743BDD"/>
    <w:rsid w:val="08743DA6"/>
    <w:rsid w:val="08743DAD"/>
    <w:rsid w:val="08743E1E"/>
    <w:rsid w:val="08743E3B"/>
    <w:rsid w:val="08743EFC"/>
    <w:rsid w:val="08743F17"/>
    <w:rsid w:val="08743F36"/>
    <w:rsid w:val="08743F4E"/>
    <w:rsid w:val="08743F57"/>
    <w:rsid w:val="08743F9B"/>
    <w:rsid w:val="08744039"/>
    <w:rsid w:val="08744188"/>
    <w:rsid w:val="08744237"/>
    <w:rsid w:val="0874423E"/>
    <w:rsid w:val="08744284"/>
    <w:rsid w:val="087442BA"/>
    <w:rsid w:val="087442F5"/>
    <w:rsid w:val="08744336"/>
    <w:rsid w:val="0874435C"/>
    <w:rsid w:val="087443E0"/>
    <w:rsid w:val="08744429"/>
    <w:rsid w:val="08744437"/>
    <w:rsid w:val="087444F4"/>
    <w:rsid w:val="08744519"/>
    <w:rsid w:val="08744643"/>
    <w:rsid w:val="087446A5"/>
    <w:rsid w:val="0874470C"/>
    <w:rsid w:val="087447B8"/>
    <w:rsid w:val="08744890"/>
    <w:rsid w:val="087448BA"/>
    <w:rsid w:val="08744921"/>
    <w:rsid w:val="08744937"/>
    <w:rsid w:val="0874493F"/>
    <w:rsid w:val="08744949"/>
    <w:rsid w:val="08744A18"/>
    <w:rsid w:val="08744A26"/>
    <w:rsid w:val="08744A9C"/>
    <w:rsid w:val="08744ABD"/>
    <w:rsid w:val="08744ADB"/>
    <w:rsid w:val="08744C08"/>
    <w:rsid w:val="08744CBC"/>
    <w:rsid w:val="08744CD9"/>
    <w:rsid w:val="08744CDF"/>
    <w:rsid w:val="08744CE5"/>
    <w:rsid w:val="08744D7B"/>
    <w:rsid w:val="08744DAF"/>
    <w:rsid w:val="08744E05"/>
    <w:rsid w:val="08744E70"/>
    <w:rsid w:val="08744F05"/>
    <w:rsid w:val="08744F0D"/>
    <w:rsid w:val="08744F28"/>
    <w:rsid w:val="08744F73"/>
    <w:rsid w:val="08745032"/>
    <w:rsid w:val="08745077"/>
    <w:rsid w:val="08745098"/>
    <w:rsid w:val="087450E9"/>
    <w:rsid w:val="0874510E"/>
    <w:rsid w:val="087451E3"/>
    <w:rsid w:val="087451ED"/>
    <w:rsid w:val="08745244"/>
    <w:rsid w:val="08745283"/>
    <w:rsid w:val="087452C0"/>
    <w:rsid w:val="087452EF"/>
    <w:rsid w:val="08745335"/>
    <w:rsid w:val="087455B8"/>
    <w:rsid w:val="087455F9"/>
    <w:rsid w:val="08745639"/>
    <w:rsid w:val="0874563C"/>
    <w:rsid w:val="08745709"/>
    <w:rsid w:val="0874572C"/>
    <w:rsid w:val="0874581B"/>
    <w:rsid w:val="08745861"/>
    <w:rsid w:val="087458C5"/>
    <w:rsid w:val="087459D7"/>
    <w:rsid w:val="08745A1F"/>
    <w:rsid w:val="08745A6C"/>
    <w:rsid w:val="08745AA3"/>
    <w:rsid w:val="08745AEC"/>
    <w:rsid w:val="08745BD4"/>
    <w:rsid w:val="08745D3F"/>
    <w:rsid w:val="08745D4F"/>
    <w:rsid w:val="08745D8F"/>
    <w:rsid w:val="08745DDF"/>
    <w:rsid w:val="08745E11"/>
    <w:rsid w:val="08745E56"/>
    <w:rsid w:val="08745EBC"/>
    <w:rsid w:val="0874600F"/>
    <w:rsid w:val="08746030"/>
    <w:rsid w:val="087460C8"/>
    <w:rsid w:val="0874619B"/>
    <w:rsid w:val="08746245"/>
    <w:rsid w:val="0874629E"/>
    <w:rsid w:val="087462B1"/>
    <w:rsid w:val="0874633B"/>
    <w:rsid w:val="0874641C"/>
    <w:rsid w:val="08746451"/>
    <w:rsid w:val="087464BF"/>
    <w:rsid w:val="087464EF"/>
    <w:rsid w:val="087465C6"/>
    <w:rsid w:val="08746606"/>
    <w:rsid w:val="087467BD"/>
    <w:rsid w:val="087467F3"/>
    <w:rsid w:val="087467F4"/>
    <w:rsid w:val="08746842"/>
    <w:rsid w:val="0874684B"/>
    <w:rsid w:val="087468CE"/>
    <w:rsid w:val="087468EB"/>
    <w:rsid w:val="0874693E"/>
    <w:rsid w:val="087469B0"/>
    <w:rsid w:val="087469E1"/>
    <w:rsid w:val="08746AA6"/>
    <w:rsid w:val="08746AD5"/>
    <w:rsid w:val="08746AE6"/>
    <w:rsid w:val="08746B20"/>
    <w:rsid w:val="08746B64"/>
    <w:rsid w:val="08746B85"/>
    <w:rsid w:val="08746B86"/>
    <w:rsid w:val="08746BB9"/>
    <w:rsid w:val="08746C2A"/>
    <w:rsid w:val="08746C74"/>
    <w:rsid w:val="08746CFB"/>
    <w:rsid w:val="08746D66"/>
    <w:rsid w:val="08746D8E"/>
    <w:rsid w:val="08746DB4"/>
    <w:rsid w:val="08746DD6"/>
    <w:rsid w:val="08746DFB"/>
    <w:rsid w:val="08746DFC"/>
    <w:rsid w:val="08746E11"/>
    <w:rsid w:val="08746FC0"/>
    <w:rsid w:val="08746FD5"/>
    <w:rsid w:val="08747019"/>
    <w:rsid w:val="0874709B"/>
    <w:rsid w:val="08747135"/>
    <w:rsid w:val="08747156"/>
    <w:rsid w:val="0874717A"/>
    <w:rsid w:val="087471A2"/>
    <w:rsid w:val="087471BC"/>
    <w:rsid w:val="087471C5"/>
    <w:rsid w:val="0874720E"/>
    <w:rsid w:val="08747213"/>
    <w:rsid w:val="0874733C"/>
    <w:rsid w:val="08747391"/>
    <w:rsid w:val="087473C7"/>
    <w:rsid w:val="087473DE"/>
    <w:rsid w:val="087474B4"/>
    <w:rsid w:val="087474F1"/>
    <w:rsid w:val="08747543"/>
    <w:rsid w:val="087475CB"/>
    <w:rsid w:val="087475FF"/>
    <w:rsid w:val="0874761C"/>
    <w:rsid w:val="08747633"/>
    <w:rsid w:val="08747719"/>
    <w:rsid w:val="087477F3"/>
    <w:rsid w:val="08747897"/>
    <w:rsid w:val="08747926"/>
    <w:rsid w:val="0874799C"/>
    <w:rsid w:val="087479BE"/>
    <w:rsid w:val="08747A41"/>
    <w:rsid w:val="08747AB0"/>
    <w:rsid w:val="08747ABE"/>
    <w:rsid w:val="08747AFC"/>
    <w:rsid w:val="08747B38"/>
    <w:rsid w:val="08747BBB"/>
    <w:rsid w:val="08747BDB"/>
    <w:rsid w:val="08747CA3"/>
    <w:rsid w:val="08747D61"/>
    <w:rsid w:val="08747E2D"/>
    <w:rsid w:val="08747E4D"/>
    <w:rsid w:val="08747ECD"/>
    <w:rsid w:val="08747F69"/>
    <w:rsid w:val="08747F8D"/>
    <w:rsid w:val="0875001F"/>
    <w:rsid w:val="08750021"/>
    <w:rsid w:val="0875008A"/>
    <w:rsid w:val="08750099"/>
    <w:rsid w:val="087500B4"/>
    <w:rsid w:val="087501CD"/>
    <w:rsid w:val="08750296"/>
    <w:rsid w:val="087502E1"/>
    <w:rsid w:val="087502E6"/>
    <w:rsid w:val="08750371"/>
    <w:rsid w:val="0875037F"/>
    <w:rsid w:val="087503B6"/>
    <w:rsid w:val="0875041A"/>
    <w:rsid w:val="08750424"/>
    <w:rsid w:val="08750498"/>
    <w:rsid w:val="087504AD"/>
    <w:rsid w:val="08750539"/>
    <w:rsid w:val="08750581"/>
    <w:rsid w:val="087505ED"/>
    <w:rsid w:val="08750665"/>
    <w:rsid w:val="08750671"/>
    <w:rsid w:val="087506A4"/>
    <w:rsid w:val="087506C8"/>
    <w:rsid w:val="087506E5"/>
    <w:rsid w:val="08750798"/>
    <w:rsid w:val="087507C1"/>
    <w:rsid w:val="087507CA"/>
    <w:rsid w:val="0875081F"/>
    <w:rsid w:val="0875082F"/>
    <w:rsid w:val="087509A2"/>
    <w:rsid w:val="08750A01"/>
    <w:rsid w:val="08750A3B"/>
    <w:rsid w:val="08750A74"/>
    <w:rsid w:val="08750A77"/>
    <w:rsid w:val="08750B0D"/>
    <w:rsid w:val="08750B40"/>
    <w:rsid w:val="08750C12"/>
    <w:rsid w:val="08750C5F"/>
    <w:rsid w:val="08750C65"/>
    <w:rsid w:val="08750D0C"/>
    <w:rsid w:val="08750E0B"/>
    <w:rsid w:val="08750F24"/>
    <w:rsid w:val="08750F29"/>
    <w:rsid w:val="08751021"/>
    <w:rsid w:val="0875102D"/>
    <w:rsid w:val="087510A9"/>
    <w:rsid w:val="087510C6"/>
    <w:rsid w:val="08751116"/>
    <w:rsid w:val="087511F4"/>
    <w:rsid w:val="087511FA"/>
    <w:rsid w:val="08751298"/>
    <w:rsid w:val="087512AC"/>
    <w:rsid w:val="087512F6"/>
    <w:rsid w:val="08751306"/>
    <w:rsid w:val="08751327"/>
    <w:rsid w:val="08751454"/>
    <w:rsid w:val="087514CA"/>
    <w:rsid w:val="0875150D"/>
    <w:rsid w:val="08751523"/>
    <w:rsid w:val="087515B3"/>
    <w:rsid w:val="087515D0"/>
    <w:rsid w:val="087516C4"/>
    <w:rsid w:val="08751782"/>
    <w:rsid w:val="087517AB"/>
    <w:rsid w:val="087517AC"/>
    <w:rsid w:val="087517B1"/>
    <w:rsid w:val="087517C0"/>
    <w:rsid w:val="087517C1"/>
    <w:rsid w:val="087517C6"/>
    <w:rsid w:val="087517CE"/>
    <w:rsid w:val="08751820"/>
    <w:rsid w:val="08751917"/>
    <w:rsid w:val="08751964"/>
    <w:rsid w:val="08751A73"/>
    <w:rsid w:val="08751B0A"/>
    <w:rsid w:val="08751B43"/>
    <w:rsid w:val="08751B4B"/>
    <w:rsid w:val="08751BE9"/>
    <w:rsid w:val="08751C53"/>
    <w:rsid w:val="08751D79"/>
    <w:rsid w:val="08751DA1"/>
    <w:rsid w:val="08751EEA"/>
    <w:rsid w:val="08751F94"/>
    <w:rsid w:val="08751FE6"/>
    <w:rsid w:val="08751FEF"/>
    <w:rsid w:val="0875215C"/>
    <w:rsid w:val="087521D1"/>
    <w:rsid w:val="0875226B"/>
    <w:rsid w:val="087522A3"/>
    <w:rsid w:val="0875234A"/>
    <w:rsid w:val="08752393"/>
    <w:rsid w:val="087523C4"/>
    <w:rsid w:val="0875250C"/>
    <w:rsid w:val="08752558"/>
    <w:rsid w:val="087526DD"/>
    <w:rsid w:val="08752739"/>
    <w:rsid w:val="08752799"/>
    <w:rsid w:val="087527D8"/>
    <w:rsid w:val="08752834"/>
    <w:rsid w:val="08752855"/>
    <w:rsid w:val="0875286F"/>
    <w:rsid w:val="087528A2"/>
    <w:rsid w:val="087528DE"/>
    <w:rsid w:val="08752975"/>
    <w:rsid w:val="08752B5D"/>
    <w:rsid w:val="08752C0C"/>
    <w:rsid w:val="08752C0F"/>
    <w:rsid w:val="08752C85"/>
    <w:rsid w:val="08752C91"/>
    <w:rsid w:val="08752CB6"/>
    <w:rsid w:val="08752CE6"/>
    <w:rsid w:val="08752D0B"/>
    <w:rsid w:val="08752DA9"/>
    <w:rsid w:val="08752DC9"/>
    <w:rsid w:val="08752DF8"/>
    <w:rsid w:val="08752E14"/>
    <w:rsid w:val="08752E86"/>
    <w:rsid w:val="08752F2B"/>
    <w:rsid w:val="08752F53"/>
    <w:rsid w:val="08753027"/>
    <w:rsid w:val="08753065"/>
    <w:rsid w:val="0875310F"/>
    <w:rsid w:val="08753140"/>
    <w:rsid w:val="087531BB"/>
    <w:rsid w:val="08753242"/>
    <w:rsid w:val="08753256"/>
    <w:rsid w:val="087532DF"/>
    <w:rsid w:val="08753453"/>
    <w:rsid w:val="08753487"/>
    <w:rsid w:val="08753492"/>
    <w:rsid w:val="087534A5"/>
    <w:rsid w:val="087534FD"/>
    <w:rsid w:val="0875351E"/>
    <w:rsid w:val="0875356A"/>
    <w:rsid w:val="08753579"/>
    <w:rsid w:val="087535BE"/>
    <w:rsid w:val="087536B8"/>
    <w:rsid w:val="08753707"/>
    <w:rsid w:val="08753751"/>
    <w:rsid w:val="087537F9"/>
    <w:rsid w:val="08753857"/>
    <w:rsid w:val="0875391F"/>
    <w:rsid w:val="08753920"/>
    <w:rsid w:val="0875395E"/>
    <w:rsid w:val="08753969"/>
    <w:rsid w:val="08753A6C"/>
    <w:rsid w:val="08753A9B"/>
    <w:rsid w:val="08753ADE"/>
    <w:rsid w:val="08753B24"/>
    <w:rsid w:val="08753B75"/>
    <w:rsid w:val="08753C0B"/>
    <w:rsid w:val="08753C14"/>
    <w:rsid w:val="08753C4A"/>
    <w:rsid w:val="08753CE4"/>
    <w:rsid w:val="08753CEB"/>
    <w:rsid w:val="08753D02"/>
    <w:rsid w:val="08753DF0"/>
    <w:rsid w:val="08753EF5"/>
    <w:rsid w:val="08753F2D"/>
    <w:rsid w:val="08753FC1"/>
    <w:rsid w:val="08754072"/>
    <w:rsid w:val="0875409E"/>
    <w:rsid w:val="087541AD"/>
    <w:rsid w:val="087541D0"/>
    <w:rsid w:val="0875420E"/>
    <w:rsid w:val="087542F1"/>
    <w:rsid w:val="08754306"/>
    <w:rsid w:val="0875444F"/>
    <w:rsid w:val="08754530"/>
    <w:rsid w:val="08754538"/>
    <w:rsid w:val="0875456A"/>
    <w:rsid w:val="087545F4"/>
    <w:rsid w:val="087547F4"/>
    <w:rsid w:val="0875481D"/>
    <w:rsid w:val="08754855"/>
    <w:rsid w:val="0875487C"/>
    <w:rsid w:val="087548E5"/>
    <w:rsid w:val="087548EF"/>
    <w:rsid w:val="0875495E"/>
    <w:rsid w:val="08754977"/>
    <w:rsid w:val="08754986"/>
    <w:rsid w:val="087549E5"/>
    <w:rsid w:val="08754AD0"/>
    <w:rsid w:val="08754B69"/>
    <w:rsid w:val="08754BB8"/>
    <w:rsid w:val="08754BDF"/>
    <w:rsid w:val="08754C2D"/>
    <w:rsid w:val="08754E0B"/>
    <w:rsid w:val="08754EBA"/>
    <w:rsid w:val="0875500F"/>
    <w:rsid w:val="08755073"/>
    <w:rsid w:val="087550FD"/>
    <w:rsid w:val="08755210"/>
    <w:rsid w:val="0875526E"/>
    <w:rsid w:val="08755270"/>
    <w:rsid w:val="08755296"/>
    <w:rsid w:val="087553FA"/>
    <w:rsid w:val="0875550C"/>
    <w:rsid w:val="0875554C"/>
    <w:rsid w:val="08755588"/>
    <w:rsid w:val="087555F3"/>
    <w:rsid w:val="0875564E"/>
    <w:rsid w:val="08755659"/>
    <w:rsid w:val="0875571B"/>
    <w:rsid w:val="0875577D"/>
    <w:rsid w:val="087557DF"/>
    <w:rsid w:val="08755818"/>
    <w:rsid w:val="08755974"/>
    <w:rsid w:val="08755980"/>
    <w:rsid w:val="08755A1E"/>
    <w:rsid w:val="08755B08"/>
    <w:rsid w:val="08755B16"/>
    <w:rsid w:val="08755B3E"/>
    <w:rsid w:val="08755B42"/>
    <w:rsid w:val="08755B96"/>
    <w:rsid w:val="08755CA7"/>
    <w:rsid w:val="08755CC8"/>
    <w:rsid w:val="08755CEC"/>
    <w:rsid w:val="08755CF4"/>
    <w:rsid w:val="08755D72"/>
    <w:rsid w:val="08755D76"/>
    <w:rsid w:val="08755DCA"/>
    <w:rsid w:val="08755DDD"/>
    <w:rsid w:val="08755F05"/>
    <w:rsid w:val="08755F32"/>
    <w:rsid w:val="08755F69"/>
    <w:rsid w:val="08755F7D"/>
    <w:rsid w:val="08755FA3"/>
    <w:rsid w:val="08756075"/>
    <w:rsid w:val="08756107"/>
    <w:rsid w:val="087561F1"/>
    <w:rsid w:val="087562A1"/>
    <w:rsid w:val="08756341"/>
    <w:rsid w:val="087563D8"/>
    <w:rsid w:val="0875640C"/>
    <w:rsid w:val="0875643D"/>
    <w:rsid w:val="08756452"/>
    <w:rsid w:val="087564FF"/>
    <w:rsid w:val="0875654F"/>
    <w:rsid w:val="08756619"/>
    <w:rsid w:val="087567A7"/>
    <w:rsid w:val="087567E3"/>
    <w:rsid w:val="08756811"/>
    <w:rsid w:val="087568B2"/>
    <w:rsid w:val="087568C4"/>
    <w:rsid w:val="0875691A"/>
    <w:rsid w:val="087569AD"/>
    <w:rsid w:val="087569E7"/>
    <w:rsid w:val="087569F2"/>
    <w:rsid w:val="08756A03"/>
    <w:rsid w:val="08756A19"/>
    <w:rsid w:val="08756B25"/>
    <w:rsid w:val="08756B41"/>
    <w:rsid w:val="08756B86"/>
    <w:rsid w:val="08756C03"/>
    <w:rsid w:val="08756C2B"/>
    <w:rsid w:val="08756C55"/>
    <w:rsid w:val="08756CD4"/>
    <w:rsid w:val="08756CFA"/>
    <w:rsid w:val="08756D62"/>
    <w:rsid w:val="08756E86"/>
    <w:rsid w:val="08756E92"/>
    <w:rsid w:val="08756EC2"/>
    <w:rsid w:val="08756F00"/>
    <w:rsid w:val="08757070"/>
    <w:rsid w:val="08757072"/>
    <w:rsid w:val="087570DC"/>
    <w:rsid w:val="0875710B"/>
    <w:rsid w:val="0875715A"/>
    <w:rsid w:val="08757163"/>
    <w:rsid w:val="087571A6"/>
    <w:rsid w:val="087571F8"/>
    <w:rsid w:val="08757236"/>
    <w:rsid w:val="08757285"/>
    <w:rsid w:val="087572AC"/>
    <w:rsid w:val="087572C0"/>
    <w:rsid w:val="087572CC"/>
    <w:rsid w:val="08757317"/>
    <w:rsid w:val="087573DE"/>
    <w:rsid w:val="0875745B"/>
    <w:rsid w:val="0875745E"/>
    <w:rsid w:val="087574BE"/>
    <w:rsid w:val="0875754A"/>
    <w:rsid w:val="08757573"/>
    <w:rsid w:val="08757599"/>
    <w:rsid w:val="08757696"/>
    <w:rsid w:val="08757793"/>
    <w:rsid w:val="087577B8"/>
    <w:rsid w:val="087577BD"/>
    <w:rsid w:val="087577DE"/>
    <w:rsid w:val="087577E2"/>
    <w:rsid w:val="087577F2"/>
    <w:rsid w:val="08757907"/>
    <w:rsid w:val="087579FC"/>
    <w:rsid w:val="08757A6C"/>
    <w:rsid w:val="08757B23"/>
    <w:rsid w:val="08757B4C"/>
    <w:rsid w:val="08757B68"/>
    <w:rsid w:val="08757BC3"/>
    <w:rsid w:val="08757C48"/>
    <w:rsid w:val="08757C4F"/>
    <w:rsid w:val="08757C77"/>
    <w:rsid w:val="08757C91"/>
    <w:rsid w:val="08757D2A"/>
    <w:rsid w:val="08757D46"/>
    <w:rsid w:val="08757D6D"/>
    <w:rsid w:val="08757DC6"/>
    <w:rsid w:val="08757E00"/>
    <w:rsid w:val="08757E3D"/>
    <w:rsid w:val="08757E6F"/>
    <w:rsid w:val="08757E73"/>
    <w:rsid w:val="08757E88"/>
    <w:rsid w:val="08757EA1"/>
    <w:rsid w:val="08757EAE"/>
    <w:rsid w:val="08757EDC"/>
    <w:rsid w:val="08757F11"/>
    <w:rsid w:val="08760068"/>
    <w:rsid w:val="08760095"/>
    <w:rsid w:val="087600D7"/>
    <w:rsid w:val="0876012B"/>
    <w:rsid w:val="087601B1"/>
    <w:rsid w:val="08760258"/>
    <w:rsid w:val="08760261"/>
    <w:rsid w:val="08760321"/>
    <w:rsid w:val="08760377"/>
    <w:rsid w:val="087603CB"/>
    <w:rsid w:val="08760432"/>
    <w:rsid w:val="087604A3"/>
    <w:rsid w:val="087604C0"/>
    <w:rsid w:val="087604E7"/>
    <w:rsid w:val="08760505"/>
    <w:rsid w:val="08760598"/>
    <w:rsid w:val="087605AC"/>
    <w:rsid w:val="087605D3"/>
    <w:rsid w:val="0876063F"/>
    <w:rsid w:val="08760689"/>
    <w:rsid w:val="087606B7"/>
    <w:rsid w:val="087606E3"/>
    <w:rsid w:val="08760899"/>
    <w:rsid w:val="08760971"/>
    <w:rsid w:val="087609D7"/>
    <w:rsid w:val="087609E2"/>
    <w:rsid w:val="08760A5A"/>
    <w:rsid w:val="08760AFA"/>
    <w:rsid w:val="08760D37"/>
    <w:rsid w:val="08760D45"/>
    <w:rsid w:val="08760D76"/>
    <w:rsid w:val="08760DD7"/>
    <w:rsid w:val="08760DE5"/>
    <w:rsid w:val="08760F23"/>
    <w:rsid w:val="08760F8C"/>
    <w:rsid w:val="08761075"/>
    <w:rsid w:val="0876109A"/>
    <w:rsid w:val="087610E5"/>
    <w:rsid w:val="0876114C"/>
    <w:rsid w:val="0876123D"/>
    <w:rsid w:val="087612F4"/>
    <w:rsid w:val="0876142C"/>
    <w:rsid w:val="08761433"/>
    <w:rsid w:val="08761451"/>
    <w:rsid w:val="08761479"/>
    <w:rsid w:val="0876147D"/>
    <w:rsid w:val="087615DA"/>
    <w:rsid w:val="087615E8"/>
    <w:rsid w:val="08761882"/>
    <w:rsid w:val="08761928"/>
    <w:rsid w:val="08761946"/>
    <w:rsid w:val="08761977"/>
    <w:rsid w:val="087619C7"/>
    <w:rsid w:val="08761A21"/>
    <w:rsid w:val="08761A99"/>
    <w:rsid w:val="08761AAB"/>
    <w:rsid w:val="08761AE6"/>
    <w:rsid w:val="08761BB4"/>
    <w:rsid w:val="08761BBE"/>
    <w:rsid w:val="08761BC5"/>
    <w:rsid w:val="08761BD1"/>
    <w:rsid w:val="08761CC5"/>
    <w:rsid w:val="08761CCD"/>
    <w:rsid w:val="08761D5F"/>
    <w:rsid w:val="08761E42"/>
    <w:rsid w:val="08761E6A"/>
    <w:rsid w:val="08761E6F"/>
    <w:rsid w:val="08761E8D"/>
    <w:rsid w:val="0876206D"/>
    <w:rsid w:val="087620EF"/>
    <w:rsid w:val="08762184"/>
    <w:rsid w:val="0876221E"/>
    <w:rsid w:val="08762292"/>
    <w:rsid w:val="0876230B"/>
    <w:rsid w:val="08762388"/>
    <w:rsid w:val="0876239A"/>
    <w:rsid w:val="087623F5"/>
    <w:rsid w:val="08762442"/>
    <w:rsid w:val="08762483"/>
    <w:rsid w:val="08762532"/>
    <w:rsid w:val="08762604"/>
    <w:rsid w:val="08762639"/>
    <w:rsid w:val="08762706"/>
    <w:rsid w:val="0876282D"/>
    <w:rsid w:val="08762844"/>
    <w:rsid w:val="0876285A"/>
    <w:rsid w:val="08762980"/>
    <w:rsid w:val="0876298C"/>
    <w:rsid w:val="087629CB"/>
    <w:rsid w:val="087629D6"/>
    <w:rsid w:val="087629F8"/>
    <w:rsid w:val="08762A4E"/>
    <w:rsid w:val="08762BB4"/>
    <w:rsid w:val="08762C77"/>
    <w:rsid w:val="08762CF6"/>
    <w:rsid w:val="08762CF9"/>
    <w:rsid w:val="08762CFC"/>
    <w:rsid w:val="08762D48"/>
    <w:rsid w:val="08762D76"/>
    <w:rsid w:val="08762DB1"/>
    <w:rsid w:val="08762E57"/>
    <w:rsid w:val="08762E60"/>
    <w:rsid w:val="08762F9B"/>
    <w:rsid w:val="08762F9C"/>
    <w:rsid w:val="08762F9D"/>
    <w:rsid w:val="0876301F"/>
    <w:rsid w:val="087630C9"/>
    <w:rsid w:val="087630DC"/>
    <w:rsid w:val="08763133"/>
    <w:rsid w:val="0876313D"/>
    <w:rsid w:val="087631AF"/>
    <w:rsid w:val="087632B0"/>
    <w:rsid w:val="08763429"/>
    <w:rsid w:val="08763480"/>
    <w:rsid w:val="08763488"/>
    <w:rsid w:val="0876353D"/>
    <w:rsid w:val="08763591"/>
    <w:rsid w:val="087635F4"/>
    <w:rsid w:val="087635FD"/>
    <w:rsid w:val="08763655"/>
    <w:rsid w:val="08763702"/>
    <w:rsid w:val="0876371F"/>
    <w:rsid w:val="0876379E"/>
    <w:rsid w:val="087637DE"/>
    <w:rsid w:val="08763814"/>
    <w:rsid w:val="0876385A"/>
    <w:rsid w:val="08763863"/>
    <w:rsid w:val="08763947"/>
    <w:rsid w:val="087639B8"/>
    <w:rsid w:val="087639B9"/>
    <w:rsid w:val="08763A8A"/>
    <w:rsid w:val="08763B18"/>
    <w:rsid w:val="08763B48"/>
    <w:rsid w:val="08763C02"/>
    <w:rsid w:val="08763C1E"/>
    <w:rsid w:val="08763C4C"/>
    <w:rsid w:val="08763CD5"/>
    <w:rsid w:val="08763CDF"/>
    <w:rsid w:val="08763D03"/>
    <w:rsid w:val="08763D4D"/>
    <w:rsid w:val="08763DF3"/>
    <w:rsid w:val="08763F05"/>
    <w:rsid w:val="08764011"/>
    <w:rsid w:val="08764029"/>
    <w:rsid w:val="08764056"/>
    <w:rsid w:val="08764156"/>
    <w:rsid w:val="087641D2"/>
    <w:rsid w:val="087641FB"/>
    <w:rsid w:val="0876426D"/>
    <w:rsid w:val="08764291"/>
    <w:rsid w:val="087642BF"/>
    <w:rsid w:val="087642E4"/>
    <w:rsid w:val="087643D2"/>
    <w:rsid w:val="0876453B"/>
    <w:rsid w:val="087645B6"/>
    <w:rsid w:val="08764658"/>
    <w:rsid w:val="0876467D"/>
    <w:rsid w:val="087647A0"/>
    <w:rsid w:val="087647D2"/>
    <w:rsid w:val="08764868"/>
    <w:rsid w:val="08764AAE"/>
    <w:rsid w:val="08764AB2"/>
    <w:rsid w:val="08764B01"/>
    <w:rsid w:val="08764B19"/>
    <w:rsid w:val="08764BD4"/>
    <w:rsid w:val="08764BF5"/>
    <w:rsid w:val="08764C37"/>
    <w:rsid w:val="08764CAC"/>
    <w:rsid w:val="08764CFD"/>
    <w:rsid w:val="08764DFD"/>
    <w:rsid w:val="08764F46"/>
    <w:rsid w:val="08764F84"/>
    <w:rsid w:val="08764F88"/>
    <w:rsid w:val="08764F8F"/>
    <w:rsid w:val="08764FA3"/>
    <w:rsid w:val="08765090"/>
    <w:rsid w:val="087650EA"/>
    <w:rsid w:val="0876515E"/>
    <w:rsid w:val="0876519E"/>
    <w:rsid w:val="0876521C"/>
    <w:rsid w:val="087652D7"/>
    <w:rsid w:val="087652E8"/>
    <w:rsid w:val="0876532A"/>
    <w:rsid w:val="087653A8"/>
    <w:rsid w:val="08765493"/>
    <w:rsid w:val="08765515"/>
    <w:rsid w:val="08765533"/>
    <w:rsid w:val="08765698"/>
    <w:rsid w:val="087656C5"/>
    <w:rsid w:val="08765784"/>
    <w:rsid w:val="087657AD"/>
    <w:rsid w:val="08765884"/>
    <w:rsid w:val="08765893"/>
    <w:rsid w:val="0876597E"/>
    <w:rsid w:val="08765AC2"/>
    <w:rsid w:val="08765AE9"/>
    <w:rsid w:val="08765BCC"/>
    <w:rsid w:val="08765BED"/>
    <w:rsid w:val="08765BFE"/>
    <w:rsid w:val="08765C4C"/>
    <w:rsid w:val="08765CEF"/>
    <w:rsid w:val="08765D2F"/>
    <w:rsid w:val="08765D94"/>
    <w:rsid w:val="08765DC1"/>
    <w:rsid w:val="08765E37"/>
    <w:rsid w:val="08765E8B"/>
    <w:rsid w:val="08765F1A"/>
    <w:rsid w:val="08765F1C"/>
    <w:rsid w:val="08765F40"/>
    <w:rsid w:val="0876604F"/>
    <w:rsid w:val="0876617D"/>
    <w:rsid w:val="08766265"/>
    <w:rsid w:val="08766278"/>
    <w:rsid w:val="087663A7"/>
    <w:rsid w:val="087663FC"/>
    <w:rsid w:val="08766414"/>
    <w:rsid w:val="0876651C"/>
    <w:rsid w:val="08766531"/>
    <w:rsid w:val="08766534"/>
    <w:rsid w:val="08766708"/>
    <w:rsid w:val="0876673A"/>
    <w:rsid w:val="0876673E"/>
    <w:rsid w:val="08766782"/>
    <w:rsid w:val="087667B3"/>
    <w:rsid w:val="08766978"/>
    <w:rsid w:val="08766979"/>
    <w:rsid w:val="087669B8"/>
    <w:rsid w:val="087669C7"/>
    <w:rsid w:val="087669E1"/>
    <w:rsid w:val="087669EE"/>
    <w:rsid w:val="08766A17"/>
    <w:rsid w:val="08766A75"/>
    <w:rsid w:val="08766BB9"/>
    <w:rsid w:val="08766C11"/>
    <w:rsid w:val="08766C70"/>
    <w:rsid w:val="08766DAA"/>
    <w:rsid w:val="08766DFE"/>
    <w:rsid w:val="08766E68"/>
    <w:rsid w:val="08766F22"/>
    <w:rsid w:val="08766F48"/>
    <w:rsid w:val="087671E5"/>
    <w:rsid w:val="087673C2"/>
    <w:rsid w:val="0876743F"/>
    <w:rsid w:val="087675BC"/>
    <w:rsid w:val="0876762A"/>
    <w:rsid w:val="08767631"/>
    <w:rsid w:val="08767633"/>
    <w:rsid w:val="087676F9"/>
    <w:rsid w:val="087676FD"/>
    <w:rsid w:val="08767745"/>
    <w:rsid w:val="08767900"/>
    <w:rsid w:val="08767946"/>
    <w:rsid w:val="08767964"/>
    <w:rsid w:val="087679D4"/>
    <w:rsid w:val="087679EF"/>
    <w:rsid w:val="08767A1D"/>
    <w:rsid w:val="08767A69"/>
    <w:rsid w:val="08767B10"/>
    <w:rsid w:val="08767B34"/>
    <w:rsid w:val="08767B48"/>
    <w:rsid w:val="08767B7A"/>
    <w:rsid w:val="08767BF1"/>
    <w:rsid w:val="08767BF5"/>
    <w:rsid w:val="08767C7F"/>
    <w:rsid w:val="08767CF0"/>
    <w:rsid w:val="08767D15"/>
    <w:rsid w:val="08767D39"/>
    <w:rsid w:val="08767D5B"/>
    <w:rsid w:val="08767DA7"/>
    <w:rsid w:val="08767EF6"/>
    <w:rsid w:val="08767F02"/>
    <w:rsid w:val="08767F70"/>
    <w:rsid w:val="087700C6"/>
    <w:rsid w:val="087700F3"/>
    <w:rsid w:val="08770186"/>
    <w:rsid w:val="08770234"/>
    <w:rsid w:val="087703A9"/>
    <w:rsid w:val="087704F4"/>
    <w:rsid w:val="0877054F"/>
    <w:rsid w:val="08770553"/>
    <w:rsid w:val="087705CA"/>
    <w:rsid w:val="087705FC"/>
    <w:rsid w:val="087706A6"/>
    <w:rsid w:val="08770748"/>
    <w:rsid w:val="08770819"/>
    <w:rsid w:val="08770823"/>
    <w:rsid w:val="08770829"/>
    <w:rsid w:val="08770864"/>
    <w:rsid w:val="0877099E"/>
    <w:rsid w:val="087709C7"/>
    <w:rsid w:val="087709EC"/>
    <w:rsid w:val="087709F0"/>
    <w:rsid w:val="08770A71"/>
    <w:rsid w:val="08770AA3"/>
    <w:rsid w:val="08770ABD"/>
    <w:rsid w:val="08770AD8"/>
    <w:rsid w:val="08770B2E"/>
    <w:rsid w:val="08770B88"/>
    <w:rsid w:val="08770D0A"/>
    <w:rsid w:val="08770D2D"/>
    <w:rsid w:val="08770D5F"/>
    <w:rsid w:val="08770E24"/>
    <w:rsid w:val="08770E54"/>
    <w:rsid w:val="08770F3C"/>
    <w:rsid w:val="08770FBA"/>
    <w:rsid w:val="0877104F"/>
    <w:rsid w:val="08771112"/>
    <w:rsid w:val="087711C1"/>
    <w:rsid w:val="087712A5"/>
    <w:rsid w:val="087712AE"/>
    <w:rsid w:val="0877135B"/>
    <w:rsid w:val="0877141F"/>
    <w:rsid w:val="0877144A"/>
    <w:rsid w:val="0877146F"/>
    <w:rsid w:val="0877155E"/>
    <w:rsid w:val="08771598"/>
    <w:rsid w:val="0877170E"/>
    <w:rsid w:val="087717E1"/>
    <w:rsid w:val="087717F3"/>
    <w:rsid w:val="087718D7"/>
    <w:rsid w:val="0877191E"/>
    <w:rsid w:val="087719CA"/>
    <w:rsid w:val="087719DE"/>
    <w:rsid w:val="08771A2D"/>
    <w:rsid w:val="08771B7D"/>
    <w:rsid w:val="08771BEA"/>
    <w:rsid w:val="08771C30"/>
    <w:rsid w:val="08771CCE"/>
    <w:rsid w:val="08771CE5"/>
    <w:rsid w:val="08771CEC"/>
    <w:rsid w:val="08771D28"/>
    <w:rsid w:val="08771DF2"/>
    <w:rsid w:val="08771E6B"/>
    <w:rsid w:val="08771EB9"/>
    <w:rsid w:val="08771EC0"/>
    <w:rsid w:val="08771F35"/>
    <w:rsid w:val="08771F71"/>
    <w:rsid w:val="08771F98"/>
    <w:rsid w:val="08771FDA"/>
    <w:rsid w:val="08771FF4"/>
    <w:rsid w:val="087720A4"/>
    <w:rsid w:val="08772115"/>
    <w:rsid w:val="08772161"/>
    <w:rsid w:val="087721C9"/>
    <w:rsid w:val="0877222A"/>
    <w:rsid w:val="08772235"/>
    <w:rsid w:val="08772258"/>
    <w:rsid w:val="0877227D"/>
    <w:rsid w:val="087722C7"/>
    <w:rsid w:val="087724AC"/>
    <w:rsid w:val="087724B7"/>
    <w:rsid w:val="087724DA"/>
    <w:rsid w:val="0877252B"/>
    <w:rsid w:val="08772542"/>
    <w:rsid w:val="087725C8"/>
    <w:rsid w:val="087726A5"/>
    <w:rsid w:val="0877273A"/>
    <w:rsid w:val="087727B8"/>
    <w:rsid w:val="08772809"/>
    <w:rsid w:val="08772833"/>
    <w:rsid w:val="08772A2F"/>
    <w:rsid w:val="08772A50"/>
    <w:rsid w:val="08772BA3"/>
    <w:rsid w:val="08772BBF"/>
    <w:rsid w:val="08772BE0"/>
    <w:rsid w:val="08772CC4"/>
    <w:rsid w:val="08772CC8"/>
    <w:rsid w:val="08772D9F"/>
    <w:rsid w:val="08772DDC"/>
    <w:rsid w:val="08772EFF"/>
    <w:rsid w:val="08772F52"/>
    <w:rsid w:val="08772F8D"/>
    <w:rsid w:val="08772FA4"/>
    <w:rsid w:val="08772FBD"/>
    <w:rsid w:val="08773004"/>
    <w:rsid w:val="0877306E"/>
    <w:rsid w:val="0877308D"/>
    <w:rsid w:val="087730DE"/>
    <w:rsid w:val="087730E4"/>
    <w:rsid w:val="0877356C"/>
    <w:rsid w:val="08773596"/>
    <w:rsid w:val="087735C1"/>
    <w:rsid w:val="08773604"/>
    <w:rsid w:val="0877361A"/>
    <w:rsid w:val="0877369A"/>
    <w:rsid w:val="08773721"/>
    <w:rsid w:val="087737CB"/>
    <w:rsid w:val="087737E1"/>
    <w:rsid w:val="087739A0"/>
    <w:rsid w:val="08773A16"/>
    <w:rsid w:val="08773AEA"/>
    <w:rsid w:val="08773B8E"/>
    <w:rsid w:val="08773BD6"/>
    <w:rsid w:val="08773BF6"/>
    <w:rsid w:val="08773CCA"/>
    <w:rsid w:val="08773D91"/>
    <w:rsid w:val="08773D99"/>
    <w:rsid w:val="08773EAD"/>
    <w:rsid w:val="08773ED9"/>
    <w:rsid w:val="08773EFF"/>
    <w:rsid w:val="08773FAA"/>
    <w:rsid w:val="08774020"/>
    <w:rsid w:val="08774049"/>
    <w:rsid w:val="0877407C"/>
    <w:rsid w:val="0877412E"/>
    <w:rsid w:val="0877415C"/>
    <w:rsid w:val="087741B4"/>
    <w:rsid w:val="087743BB"/>
    <w:rsid w:val="087743C2"/>
    <w:rsid w:val="087743CA"/>
    <w:rsid w:val="0877448E"/>
    <w:rsid w:val="087744EF"/>
    <w:rsid w:val="0877450D"/>
    <w:rsid w:val="0877464D"/>
    <w:rsid w:val="087746A8"/>
    <w:rsid w:val="087746EF"/>
    <w:rsid w:val="087746FE"/>
    <w:rsid w:val="08774706"/>
    <w:rsid w:val="08774722"/>
    <w:rsid w:val="0877479B"/>
    <w:rsid w:val="0877482A"/>
    <w:rsid w:val="08774871"/>
    <w:rsid w:val="08774954"/>
    <w:rsid w:val="087749BF"/>
    <w:rsid w:val="08774A3D"/>
    <w:rsid w:val="08774B02"/>
    <w:rsid w:val="08774B10"/>
    <w:rsid w:val="08774CBB"/>
    <w:rsid w:val="08774D97"/>
    <w:rsid w:val="08774F2B"/>
    <w:rsid w:val="08774F8D"/>
    <w:rsid w:val="08774FA4"/>
    <w:rsid w:val="08774FA7"/>
    <w:rsid w:val="0877504C"/>
    <w:rsid w:val="087751E8"/>
    <w:rsid w:val="0877521C"/>
    <w:rsid w:val="087752AF"/>
    <w:rsid w:val="087752CF"/>
    <w:rsid w:val="087752DE"/>
    <w:rsid w:val="08775311"/>
    <w:rsid w:val="0877543E"/>
    <w:rsid w:val="08775485"/>
    <w:rsid w:val="0877552A"/>
    <w:rsid w:val="0877553E"/>
    <w:rsid w:val="087755DE"/>
    <w:rsid w:val="0877561B"/>
    <w:rsid w:val="087756DC"/>
    <w:rsid w:val="08775717"/>
    <w:rsid w:val="08775720"/>
    <w:rsid w:val="08775747"/>
    <w:rsid w:val="0877578D"/>
    <w:rsid w:val="087757AF"/>
    <w:rsid w:val="0877584C"/>
    <w:rsid w:val="08775875"/>
    <w:rsid w:val="08775876"/>
    <w:rsid w:val="08775891"/>
    <w:rsid w:val="087758DA"/>
    <w:rsid w:val="087759C5"/>
    <w:rsid w:val="08775A66"/>
    <w:rsid w:val="08775CF4"/>
    <w:rsid w:val="08775E63"/>
    <w:rsid w:val="08775EEB"/>
    <w:rsid w:val="08775F5C"/>
    <w:rsid w:val="08776175"/>
    <w:rsid w:val="08776199"/>
    <w:rsid w:val="0877630E"/>
    <w:rsid w:val="087763F8"/>
    <w:rsid w:val="08776461"/>
    <w:rsid w:val="08776477"/>
    <w:rsid w:val="08776494"/>
    <w:rsid w:val="08776562"/>
    <w:rsid w:val="087765A9"/>
    <w:rsid w:val="087765AC"/>
    <w:rsid w:val="08776607"/>
    <w:rsid w:val="08776657"/>
    <w:rsid w:val="08776667"/>
    <w:rsid w:val="087766A9"/>
    <w:rsid w:val="0877687B"/>
    <w:rsid w:val="08776899"/>
    <w:rsid w:val="087768AB"/>
    <w:rsid w:val="08776925"/>
    <w:rsid w:val="0877697E"/>
    <w:rsid w:val="08776A53"/>
    <w:rsid w:val="08776A74"/>
    <w:rsid w:val="08776A84"/>
    <w:rsid w:val="08776A98"/>
    <w:rsid w:val="08776B23"/>
    <w:rsid w:val="08776B94"/>
    <w:rsid w:val="08776C55"/>
    <w:rsid w:val="08776C98"/>
    <w:rsid w:val="08776CD0"/>
    <w:rsid w:val="08776D40"/>
    <w:rsid w:val="08776D5B"/>
    <w:rsid w:val="08776EEF"/>
    <w:rsid w:val="08776F33"/>
    <w:rsid w:val="08776F66"/>
    <w:rsid w:val="08776FBD"/>
    <w:rsid w:val="08776FC9"/>
    <w:rsid w:val="08777070"/>
    <w:rsid w:val="087770B9"/>
    <w:rsid w:val="087770BE"/>
    <w:rsid w:val="087770DF"/>
    <w:rsid w:val="08777181"/>
    <w:rsid w:val="08777187"/>
    <w:rsid w:val="087771E0"/>
    <w:rsid w:val="087771E3"/>
    <w:rsid w:val="08777340"/>
    <w:rsid w:val="087773C8"/>
    <w:rsid w:val="0877745E"/>
    <w:rsid w:val="087774C3"/>
    <w:rsid w:val="08777528"/>
    <w:rsid w:val="087776FA"/>
    <w:rsid w:val="087777C6"/>
    <w:rsid w:val="087777EA"/>
    <w:rsid w:val="08777825"/>
    <w:rsid w:val="08777866"/>
    <w:rsid w:val="087778BE"/>
    <w:rsid w:val="08777936"/>
    <w:rsid w:val="087779DC"/>
    <w:rsid w:val="08777A6B"/>
    <w:rsid w:val="08777A9D"/>
    <w:rsid w:val="08777B20"/>
    <w:rsid w:val="08777B7E"/>
    <w:rsid w:val="08777BAC"/>
    <w:rsid w:val="08777BEE"/>
    <w:rsid w:val="08777C53"/>
    <w:rsid w:val="08777C86"/>
    <w:rsid w:val="08777CD7"/>
    <w:rsid w:val="08777DA9"/>
    <w:rsid w:val="08777DC1"/>
    <w:rsid w:val="08777DD1"/>
    <w:rsid w:val="08777E0C"/>
    <w:rsid w:val="08777E9D"/>
    <w:rsid w:val="08777EB0"/>
    <w:rsid w:val="08777ECD"/>
    <w:rsid w:val="08777F5F"/>
    <w:rsid w:val="08777FA8"/>
    <w:rsid w:val="08777FB0"/>
    <w:rsid w:val="08777FB6"/>
    <w:rsid w:val="08780018"/>
    <w:rsid w:val="08780071"/>
    <w:rsid w:val="0878010A"/>
    <w:rsid w:val="08780129"/>
    <w:rsid w:val="0878017A"/>
    <w:rsid w:val="08780207"/>
    <w:rsid w:val="08780284"/>
    <w:rsid w:val="0878028F"/>
    <w:rsid w:val="087802D1"/>
    <w:rsid w:val="0878035D"/>
    <w:rsid w:val="0878040A"/>
    <w:rsid w:val="0878046B"/>
    <w:rsid w:val="087804C7"/>
    <w:rsid w:val="087805A0"/>
    <w:rsid w:val="087805B6"/>
    <w:rsid w:val="087805DB"/>
    <w:rsid w:val="0878062F"/>
    <w:rsid w:val="08780745"/>
    <w:rsid w:val="0878074A"/>
    <w:rsid w:val="08780778"/>
    <w:rsid w:val="087807AD"/>
    <w:rsid w:val="08780827"/>
    <w:rsid w:val="0878085B"/>
    <w:rsid w:val="087808FC"/>
    <w:rsid w:val="08780919"/>
    <w:rsid w:val="08780923"/>
    <w:rsid w:val="08780957"/>
    <w:rsid w:val="08780B20"/>
    <w:rsid w:val="08780C8C"/>
    <w:rsid w:val="08780D3D"/>
    <w:rsid w:val="08780E8C"/>
    <w:rsid w:val="08780EA2"/>
    <w:rsid w:val="08780EB9"/>
    <w:rsid w:val="08780EE7"/>
    <w:rsid w:val="08780F61"/>
    <w:rsid w:val="08780F7D"/>
    <w:rsid w:val="087810CA"/>
    <w:rsid w:val="087811AA"/>
    <w:rsid w:val="087811DD"/>
    <w:rsid w:val="087812E4"/>
    <w:rsid w:val="087812F7"/>
    <w:rsid w:val="08781311"/>
    <w:rsid w:val="08781337"/>
    <w:rsid w:val="0878139B"/>
    <w:rsid w:val="0878147C"/>
    <w:rsid w:val="0878148C"/>
    <w:rsid w:val="087814DE"/>
    <w:rsid w:val="0878152E"/>
    <w:rsid w:val="08781562"/>
    <w:rsid w:val="08781593"/>
    <w:rsid w:val="087815E4"/>
    <w:rsid w:val="087816F7"/>
    <w:rsid w:val="0878181E"/>
    <w:rsid w:val="0878184A"/>
    <w:rsid w:val="087819D7"/>
    <w:rsid w:val="08781AC0"/>
    <w:rsid w:val="08781AF6"/>
    <w:rsid w:val="08781B3C"/>
    <w:rsid w:val="08781B41"/>
    <w:rsid w:val="08781B83"/>
    <w:rsid w:val="08781BB7"/>
    <w:rsid w:val="08781BE4"/>
    <w:rsid w:val="08781C07"/>
    <w:rsid w:val="08781C0C"/>
    <w:rsid w:val="08781C7F"/>
    <w:rsid w:val="08781C93"/>
    <w:rsid w:val="08781CB1"/>
    <w:rsid w:val="08781CCD"/>
    <w:rsid w:val="08781CF1"/>
    <w:rsid w:val="08781D0E"/>
    <w:rsid w:val="08781D27"/>
    <w:rsid w:val="08781D6D"/>
    <w:rsid w:val="08781D77"/>
    <w:rsid w:val="08781E29"/>
    <w:rsid w:val="08781E3A"/>
    <w:rsid w:val="08781E5F"/>
    <w:rsid w:val="08781E73"/>
    <w:rsid w:val="08781E9F"/>
    <w:rsid w:val="08781F01"/>
    <w:rsid w:val="08781F82"/>
    <w:rsid w:val="08781FC1"/>
    <w:rsid w:val="08782006"/>
    <w:rsid w:val="087820F7"/>
    <w:rsid w:val="08782138"/>
    <w:rsid w:val="0878213B"/>
    <w:rsid w:val="0878213D"/>
    <w:rsid w:val="0878216A"/>
    <w:rsid w:val="087821AD"/>
    <w:rsid w:val="087821D6"/>
    <w:rsid w:val="0878220C"/>
    <w:rsid w:val="08782217"/>
    <w:rsid w:val="0878221A"/>
    <w:rsid w:val="08782220"/>
    <w:rsid w:val="0878225C"/>
    <w:rsid w:val="0878227E"/>
    <w:rsid w:val="087822D4"/>
    <w:rsid w:val="087822FF"/>
    <w:rsid w:val="0878238C"/>
    <w:rsid w:val="0878242C"/>
    <w:rsid w:val="08782471"/>
    <w:rsid w:val="08782613"/>
    <w:rsid w:val="08782692"/>
    <w:rsid w:val="087826BF"/>
    <w:rsid w:val="087826F3"/>
    <w:rsid w:val="08782718"/>
    <w:rsid w:val="087827AF"/>
    <w:rsid w:val="087827CB"/>
    <w:rsid w:val="087827FC"/>
    <w:rsid w:val="087828C3"/>
    <w:rsid w:val="08782926"/>
    <w:rsid w:val="08782A10"/>
    <w:rsid w:val="08782B18"/>
    <w:rsid w:val="08782C19"/>
    <w:rsid w:val="08782C6C"/>
    <w:rsid w:val="08782CB9"/>
    <w:rsid w:val="08782CCB"/>
    <w:rsid w:val="08782EAD"/>
    <w:rsid w:val="08782EB0"/>
    <w:rsid w:val="08782F25"/>
    <w:rsid w:val="08782F67"/>
    <w:rsid w:val="0878302E"/>
    <w:rsid w:val="087830CF"/>
    <w:rsid w:val="0878326F"/>
    <w:rsid w:val="08783280"/>
    <w:rsid w:val="087832A2"/>
    <w:rsid w:val="087832EC"/>
    <w:rsid w:val="0878337B"/>
    <w:rsid w:val="087833BC"/>
    <w:rsid w:val="0878344B"/>
    <w:rsid w:val="087834D5"/>
    <w:rsid w:val="087834DA"/>
    <w:rsid w:val="087835A1"/>
    <w:rsid w:val="087835BA"/>
    <w:rsid w:val="08783600"/>
    <w:rsid w:val="08783675"/>
    <w:rsid w:val="087836AB"/>
    <w:rsid w:val="087836EA"/>
    <w:rsid w:val="0878379D"/>
    <w:rsid w:val="087837CB"/>
    <w:rsid w:val="08783810"/>
    <w:rsid w:val="08783814"/>
    <w:rsid w:val="0878381A"/>
    <w:rsid w:val="08783831"/>
    <w:rsid w:val="08783844"/>
    <w:rsid w:val="08783849"/>
    <w:rsid w:val="08783887"/>
    <w:rsid w:val="08783969"/>
    <w:rsid w:val="087839D2"/>
    <w:rsid w:val="087839D9"/>
    <w:rsid w:val="08783A19"/>
    <w:rsid w:val="08783A57"/>
    <w:rsid w:val="08783AC9"/>
    <w:rsid w:val="08783B01"/>
    <w:rsid w:val="08783B04"/>
    <w:rsid w:val="08783C3A"/>
    <w:rsid w:val="08783CC9"/>
    <w:rsid w:val="08783D30"/>
    <w:rsid w:val="08783D5E"/>
    <w:rsid w:val="08783D97"/>
    <w:rsid w:val="08783DC6"/>
    <w:rsid w:val="08783E3E"/>
    <w:rsid w:val="08783F1A"/>
    <w:rsid w:val="08783F4C"/>
    <w:rsid w:val="08783F68"/>
    <w:rsid w:val="08784185"/>
    <w:rsid w:val="0878418E"/>
    <w:rsid w:val="08784223"/>
    <w:rsid w:val="0878424D"/>
    <w:rsid w:val="0878429A"/>
    <w:rsid w:val="0878429E"/>
    <w:rsid w:val="087842EA"/>
    <w:rsid w:val="0878433B"/>
    <w:rsid w:val="08784380"/>
    <w:rsid w:val="087843CC"/>
    <w:rsid w:val="08784418"/>
    <w:rsid w:val="08784444"/>
    <w:rsid w:val="08784506"/>
    <w:rsid w:val="087845ED"/>
    <w:rsid w:val="08784631"/>
    <w:rsid w:val="087846C9"/>
    <w:rsid w:val="087847A3"/>
    <w:rsid w:val="0878483B"/>
    <w:rsid w:val="08784875"/>
    <w:rsid w:val="087848AF"/>
    <w:rsid w:val="08784A61"/>
    <w:rsid w:val="08784A77"/>
    <w:rsid w:val="08784A9A"/>
    <w:rsid w:val="08784AAC"/>
    <w:rsid w:val="08784AF3"/>
    <w:rsid w:val="08784B14"/>
    <w:rsid w:val="08784B5F"/>
    <w:rsid w:val="08784BC4"/>
    <w:rsid w:val="08784BD5"/>
    <w:rsid w:val="08784BF4"/>
    <w:rsid w:val="08784C12"/>
    <w:rsid w:val="08784D44"/>
    <w:rsid w:val="08784DCD"/>
    <w:rsid w:val="08784E59"/>
    <w:rsid w:val="08784F7E"/>
    <w:rsid w:val="0878502D"/>
    <w:rsid w:val="08785090"/>
    <w:rsid w:val="08785097"/>
    <w:rsid w:val="08785106"/>
    <w:rsid w:val="0878512D"/>
    <w:rsid w:val="0878516E"/>
    <w:rsid w:val="08785279"/>
    <w:rsid w:val="0878529B"/>
    <w:rsid w:val="08785340"/>
    <w:rsid w:val="0878538B"/>
    <w:rsid w:val="087853EA"/>
    <w:rsid w:val="08785485"/>
    <w:rsid w:val="08785550"/>
    <w:rsid w:val="087855B3"/>
    <w:rsid w:val="08785666"/>
    <w:rsid w:val="087856C9"/>
    <w:rsid w:val="087856F1"/>
    <w:rsid w:val="08785760"/>
    <w:rsid w:val="0878577C"/>
    <w:rsid w:val="08785789"/>
    <w:rsid w:val="087858BA"/>
    <w:rsid w:val="087858C9"/>
    <w:rsid w:val="08785990"/>
    <w:rsid w:val="087859DE"/>
    <w:rsid w:val="08785A0D"/>
    <w:rsid w:val="08785A5A"/>
    <w:rsid w:val="08785B29"/>
    <w:rsid w:val="08785BCF"/>
    <w:rsid w:val="08785C7C"/>
    <w:rsid w:val="08785CA9"/>
    <w:rsid w:val="08785CBE"/>
    <w:rsid w:val="08785CC4"/>
    <w:rsid w:val="08785DDF"/>
    <w:rsid w:val="08785E59"/>
    <w:rsid w:val="087862E2"/>
    <w:rsid w:val="08786363"/>
    <w:rsid w:val="087863CD"/>
    <w:rsid w:val="08786448"/>
    <w:rsid w:val="08786495"/>
    <w:rsid w:val="087864B5"/>
    <w:rsid w:val="087864F4"/>
    <w:rsid w:val="087865B0"/>
    <w:rsid w:val="087865DF"/>
    <w:rsid w:val="087865F7"/>
    <w:rsid w:val="087866A1"/>
    <w:rsid w:val="087866CD"/>
    <w:rsid w:val="087866DD"/>
    <w:rsid w:val="087866E9"/>
    <w:rsid w:val="0878675A"/>
    <w:rsid w:val="08786832"/>
    <w:rsid w:val="08786972"/>
    <w:rsid w:val="08786975"/>
    <w:rsid w:val="087869F9"/>
    <w:rsid w:val="08786A61"/>
    <w:rsid w:val="08786A8D"/>
    <w:rsid w:val="08786AB9"/>
    <w:rsid w:val="08786B57"/>
    <w:rsid w:val="08786BBD"/>
    <w:rsid w:val="08786BDB"/>
    <w:rsid w:val="08786C15"/>
    <w:rsid w:val="08786C21"/>
    <w:rsid w:val="08786C23"/>
    <w:rsid w:val="08786C2C"/>
    <w:rsid w:val="08786C71"/>
    <w:rsid w:val="08786CA4"/>
    <w:rsid w:val="08786CC5"/>
    <w:rsid w:val="08786D09"/>
    <w:rsid w:val="08786D56"/>
    <w:rsid w:val="08786EB6"/>
    <w:rsid w:val="08786EF0"/>
    <w:rsid w:val="08786FA7"/>
    <w:rsid w:val="087870C4"/>
    <w:rsid w:val="087871EC"/>
    <w:rsid w:val="087872E4"/>
    <w:rsid w:val="08787379"/>
    <w:rsid w:val="08787434"/>
    <w:rsid w:val="08787548"/>
    <w:rsid w:val="0878756A"/>
    <w:rsid w:val="08787596"/>
    <w:rsid w:val="087875BA"/>
    <w:rsid w:val="0878762B"/>
    <w:rsid w:val="0878762D"/>
    <w:rsid w:val="08787630"/>
    <w:rsid w:val="087876C7"/>
    <w:rsid w:val="08787701"/>
    <w:rsid w:val="08787720"/>
    <w:rsid w:val="08787725"/>
    <w:rsid w:val="0878772C"/>
    <w:rsid w:val="08787794"/>
    <w:rsid w:val="08787870"/>
    <w:rsid w:val="08787872"/>
    <w:rsid w:val="08787937"/>
    <w:rsid w:val="087879A5"/>
    <w:rsid w:val="087879C4"/>
    <w:rsid w:val="087879E3"/>
    <w:rsid w:val="087879F5"/>
    <w:rsid w:val="08787A0A"/>
    <w:rsid w:val="08787A53"/>
    <w:rsid w:val="08787A5D"/>
    <w:rsid w:val="08787A61"/>
    <w:rsid w:val="08787B78"/>
    <w:rsid w:val="08787BBD"/>
    <w:rsid w:val="08787C12"/>
    <w:rsid w:val="08787C64"/>
    <w:rsid w:val="08787D21"/>
    <w:rsid w:val="08787D91"/>
    <w:rsid w:val="08787F39"/>
    <w:rsid w:val="08790023"/>
    <w:rsid w:val="08790094"/>
    <w:rsid w:val="087900BD"/>
    <w:rsid w:val="08790107"/>
    <w:rsid w:val="0879028E"/>
    <w:rsid w:val="08790315"/>
    <w:rsid w:val="08790340"/>
    <w:rsid w:val="087904BE"/>
    <w:rsid w:val="087904C8"/>
    <w:rsid w:val="0879057D"/>
    <w:rsid w:val="08790599"/>
    <w:rsid w:val="08790795"/>
    <w:rsid w:val="0879082F"/>
    <w:rsid w:val="08790884"/>
    <w:rsid w:val="087908DE"/>
    <w:rsid w:val="087908FC"/>
    <w:rsid w:val="08790939"/>
    <w:rsid w:val="087909E6"/>
    <w:rsid w:val="087909FF"/>
    <w:rsid w:val="08790A21"/>
    <w:rsid w:val="08790B68"/>
    <w:rsid w:val="08790BFB"/>
    <w:rsid w:val="08790C0B"/>
    <w:rsid w:val="08790C6B"/>
    <w:rsid w:val="08790CA8"/>
    <w:rsid w:val="08790CAF"/>
    <w:rsid w:val="08790CB2"/>
    <w:rsid w:val="08790E29"/>
    <w:rsid w:val="08791025"/>
    <w:rsid w:val="087910B0"/>
    <w:rsid w:val="087910FB"/>
    <w:rsid w:val="08791132"/>
    <w:rsid w:val="08791162"/>
    <w:rsid w:val="08791172"/>
    <w:rsid w:val="0879122C"/>
    <w:rsid w:val="08791294"/>
    <w:rsid w:val="08791336"/>
    <w:rsid w:val="0879134E"/>
    <w:rsid w:val="087913C1"/>
    <w:rsid w:val="08791549"/>
    <w:rsid w:val="08791591"/>
    <w:rsid w:val="087915F8"/>
    <w:rsid w:val="087916EB"/>
    <w:rsid w:val="0879173E"/>
    <w:rsid w:val="0879176E"/>
    <w:rsid w:val="0879179F"/>
    <w:rsid w:val="087917F9"/>
    <w:rsid w:val="0879181E"/>
    <w:rsid w:val="08791866"/>
    <w:rsid w:val="087918A6"/>
    <w:rsid w:val="087918C3"/>
    <w:rsid w:val="087918C7"/>
    <w:rsid w:val="087918F7"/>
    <w:rsid w:val="08791965"/>
    <w:rsid w:val="08791973"/>
    <w:rsid w:val="08791988"/>
    <w:rsid w:val="08791A16"/>
    <w:rsid w:val="08791B2F"/>
    <w:rsid w:val="08791C2F"/>
    <w:rsid w:val="08791C53"/>
    <w:rsid w:val="08791CED"/>
    <w:rsid w:val="08791D6F"/>
    <w:rsid w:val="08791D7C"/>
    <w:rsid w:val="08791E23"/>
    <w:rsid w:val="08791E92"/>
    <w:rsid w:val="08792050"/>
    <w:rsid w:val="08792068"/>
    <w:rsid w:val="087920A5"/>
    <w:rsid w:val="087920D5"/>
    <w:rsid w:val="0879211F"/>
    <w:rsid w:val="08792141"/>
    <w:rsid w:val="0879219E"/>
    <w:rsid w:val="087921E7"/>
    <w:rsid w:val="087922CF"/>
    <w:rsid w:val="087923A6"/>
    <w:rsid w:val="08792487"/>
    <w:rsid w:val="0879248B"/>
    <w:rsid w:val="087924F1"/>
    <w:rsid w:val="087925AF"/>
    <w:rsid w:val="0879266C"/>
    <w:rsid w:val="08792681"/>
    <w:rsid w:val="08792758"/>
    <w:rsid w:val="08792770"/>
    <w:rsid w:val="0879295B"/>
    <w:rsid w:val="08792991"/>
    <w:rsid w:val="0879299F"/>
    <w:rsid w:val="087929C7"/>
    <w:rsid w:val="087929D3"/>
    <w:rsid w:val="087929D5"/>
    <w:rsid w:val="087929F1"/>
    <w:rsid w:val="08792A15"/>
    <w:rsid w:val="08792A50"/>
    <w:rsid w:val="08792B72"/>
    <w:rsid w:val="08792B7C"/>
    <w:rsid w:val="08792B7E"/>
    <w:rsid w:val="08792BA3"/>
    <w:rsid w:val="08792C2E"/>
    <w:rsid w:val="08792D12"/>
    <w:rsid w:val="08792D36"/>
    <w:rsid w:val="08792E64"/>
    <w:rsid w:val="08792E7D"/>
    <w:rsid w:val="08792F35"/>
    <w:rsid w:val="08792FAC"/>
    <w:rsid w:val="08792FF5"/>
    <w:rsid w:val="08793000"/>
    <w:rsid w:val="08793098"/>
    <w:rsid w:val="087930C3"/>
    <w:rsid w:val="08793111"/>
    <w:rsid w:val="08793115"/>
    <w:rsid w:val="087931C1"/>
    <w:rsid w:val="0879324A"/>
    <w:rsid w:val="087932B5"/>
    <w:rsid w:val="08793301"/>
    <w:rsid w:val="08793346"/>
    <w:rsid w:val="08793376"/>
    <w:rsid w:val="08793400"/>
    <w:rsid w:val="08793468"/>
    <w:rsid w:val="087934A2"/>
    <w:rsid w:val="087935DE"/>
    <w:rsid w:val="087935EE"/>
    <w:rsid w:val="08793634"/>
    <w:rsid w:val="087936D6"/>
    <w:rsid w:val="08793728"/>
    <w:rsid w:val="08793740"/>
    <w:rsid w:val="0879375C"/>
    <w:rsid w:val="087937D6"/>
    <w:rsid w:val="08793865"/>
    <w:rsid w:val="08793899"/>
    <w:rsid w:val="0879395C"/>
    <w:rsid w:val="087939F1"/>
    <w:rsid w:val="08793AE5"/>
    <w:rsid w:val="08793B05"/>
    <w:rsid w:val="08793B54"/>
    <w:rsid w:val="08793C07"/>
    <w:rsid w:val="08793C51"/>
    <w:rsid w:val="08793D5E"/>
    <w:rsid w:val="08793D7C"/>
    <w:rsid w:val="08793DDF"/>
    <w:rsid w:val="08793EE6"/>
    <w:rsid w:val="08793F09"/>
    <w:rsid w:val="08793F44"/>
    <w:rsid w:val="08793F7B"/>
    <w:rsid w:val="08793FED"/>
    <w:rsid w:val="08794017"/>
    <w:rsid w:val="08794084"/>
    <w:rsid w:val="087940B9"/>
    <w:rsid w:val="087940C7"/>
    <w:rsid w:val="08794123"/>
    <w:rsid w:val="08794204"/>
    <w:rsid w:val="08794281"/>
    <w:rsid w:val="087942A4"/>
    <w:rsid w:val="087942B2"/>
    <w:rsid w:val="0879433A"/>
    <w:rsid w:val="087943C0"/>
    <w:rsid w:val="0879444F"/>
    <w:rsid w:val="08794510"/>
    <w:rsid w:val="08794553"/>
    <w:rsid w:val="08794569"/>
    <w:rsid w:val="087945B6"/>
    <w:rsid w:val="0879473E"/>
    <w:rsid w:val="0879476A"/>
    <w:rsid w:val="0879476B"/>
    <w:rsid w:val="0879478A"/>
    <w:rsid w:val="08794792"/>
    <w:rsid w:val="08794854"/>
    <w:rsid w:val="08794868"/>
    <w:rsid w:val="087948FF"/>
    <w:rsid w:val="0879492F"/>
    <w:rsid w:val="08794933"/>
    <w:rsid w:val="08794974"/>
    <w:rsid w:val="087949C0"/>
    <w:rsid w:val="08794A0B"/>
    <w:rsid w:val="08794A0F"/>
    <w:rsid w:val="08794A4D"/>
    <w:rsid w:val="08794A70"/>
    <w:rsid w:val="08794AE2"/>
    <w:rsid w:val="08794B2B"/>
    <w:rsid w:val="08794BDF"/>
    <w:rsid w:val="08794C89"/>
    <w:rsid w:val="08794CF7"/>
    <w:rsid w:val="08794D93"/>
    <w:rsid w:val="08794E50"/>
    <w:rsid w:val="08794E6E"/>
    <w:rsid w:val="08794E85"/>
    <w:rsid w:val="08794F7E"/>
    <w:rsid w:val="08794FA2"/>
    <w:rsid w:val="08795021"/>
    <w:rsid w:val="08795063"/>
    <w:rsid w:val="087950D0"/>
    <w:rsid w:val="087950D6"/>
    <w:rsid w:val="08795120"/>
    <w:rsid w:val="08795171"/>
    <w:rsid w:val="0879521D"/>
    <w:rsid w:val="08795513"/>
    <w:rsid w:val="087955D3"/>
    <w:rsid w:val="08795663"/>
    <w:rsid w:val="08795679"/>
    <w:rsid w:val="08795749"/>
    <w:rsid w:val="0879579D"/>
    <w:rsid w:val="0879594F"/>
    <w:rsid w:val="08795A4F"/>
    <w:rsid w:val="08795A57"/>
    <w:rsid w:val="08795ADA"/>
    <w:rsid w:val="08795B0A"/>
    <w:rsid w:val="08795C20"/>
    <w:rsid w:val="08795D4D"/>
    <w:rsid w:val="08795E02"/>
    <w:rsid w:val="08795F39"/>
    <w:rsid w:val="08795F89"/>
    <w:rsid w:val="087962BB"/>
    <w:rsid w:val="087962EC"/>
    <w:rsid w:val="08796305"/>
    <w:rsid w:val="087963DD"/>
    <w:rsid w:val="08796435"/>
    <w:rsid w:val="08796439"/>
    <w:rsid w:val="0879647C"/>
    <w:rsid w:val="087964DD"/>
    <w:rsid w:val="0879652B"/>
    <w:rsid w:val="08796582"/>
    <w:rsid w:val="087965EE"/>
    <w:rsid w:val="087966AA"/>
    <w:rsid w:val="0879674E"/>
    <w:rsid w:val="08796765"/>
    <w:rsid w:val="087967A8"/>
    <w:rsid w:val="0879681A"/>
    <w:rsid w:val="08796879"/>
    <w:rsid w:val="087968BB"/>
    <w:rsid w:val="087968D3"/>
    <w:rsid w:val="087968D9"/>
    <w:rsid w:val="087969FC"/>
    <w:rsid w:val="08796A2E"/>
    <w:rsid w:val="08796A34"/>
    <w:rsid w:val="08796A76"/>
    <w:rsid w:val="08796A82"/>
    <w:rsid w:val="08796AEA"/>
    <w:rsid w:val="08796BEF"/>
    <w:rsid w:val="08796CD6"/>
    <w:rsid w:val="08796CDE"/>
    <w:rsid w:val="08796CE7"/>
    <w:rsid w:val="08796D4A"/>
    <w:rsid w:val="08796D5E"/>
    <w:rsid w:val="08796D73"/>
    <w:rsid w:val="08796E2D"/>
    <w:rsid w:val="08796E3F"/>
    <w:rsid w:val="08796E4C"/>
    <w:rsid w:val="08796E78"/>
    <w:rsid w:val="08796EDE"/>
    <w:rsid w:val="08796F79"/>
    <w:rsid w:val="08796F98"/>
    <w:rsid w:val="08796FF1"/>
    <w:rsid w:val="08797004"/>
    <w:rsid w:val="08797041"/>
    <w:rsid w:val="0879709D"/>
    <w:rsid w:val="087970CB"/>
    <w:rsid w:val="08797109"/>
    <w:rsid w:val="08797145"/>
    <w:rsid w:val="08797246"/>
    <w:rsid w:val="08797302"/>
    <w:rsid w:val="08797325"/>
    <w:rsid w:val="08797399"/>
    <w:rsid w:val="087973E5"/>
    <w:rsid w:val="08797416"/>
    <w:rsid w:val="0879741C"/>
    <w:rsid w:val="08797452"/>
    <w:rsid w:val="0879747D"/>
    <w:rsid w:val="087974C5"/>
    <w:rsid w:val="087974CB"/>
    <w:rsid w:val="08797506"/>
    <w:rsid w:val="0879754C"/>
    <w:rsid w:val="087975D6"/>
    <w:rsid w:val="0879763C"/>
    <w:rsid w:val="0879769D"/>
    <w:rsid w:val="087976FC"/>
    <w:rsid w:val="0879776B"/>
    <w:rsid w:val="087978E5"/>
    <w:rsid w:val="08797A0A"/>
    <w:rsid w:val="08797ACD"/>
    <w:rsid w:val="08797BDF"/>
    <w:rsid w:val="08797C52"/>
    <w:rsid w:val="08797CD6"/>
    <w:rsid w:val="08797D05"/>
    <w:rsid w:val="08797D5A"/>
    <w:rsid w:val="08797E0F"/>
    <w:rsid w:val="08797FD9"/>
    <w:rsid w:val="087A00C8"/>
    <w:rsid w:val="087A01AC"/>
    <w:rsid w:val="087A01CB"/>
    <w:rsid w:val="087A01D6"/>
    <w:rsid w:val="087A025D"/>
    <w:rsid w:val="087A02C5"/>
    <w:rsid w:val="087A033E"/>
    <w:rsid w:val="087A03BF"/>
    <w:rsid w:val="087A0492"/>
    <w:rsid w:val="087A04CC"/>
    <w:rsid w:val="087A054F"/>
    <w:rsid w:val="087A0599"/>
    <w:rsid w:val="087A0621"/>
    <w:rsid w:val="087A062E"/>
    <w:rsid w:val="087A06DA"/>
    <w:rsid w:val="087A0758"/>
    <w:rsid w:val="087A0885"/>
    <w:rsid w:val="087A0889"/>
    <w:rsid w:val="087A0892"/>
    <w:rsid w:val="087A089B"/>
    <w:rsid w:val="087A0946"/>
    <w:rsid w:val="087A094C"/>
    <w:rsid w:val="087A09A8"/>
    <w:rsid w:val="087A0A5C"/>
    <w:rsid w:val="087A0D19"/>
    <w:rsid w:val="087A0D66"/>
    <w:rsid w:val="087A0DA5"/>
    <w:rsid w:val="087A0DCD"/>
    <w:rsid w:val="087A0E79"/>
    <w:rsid w:val="087A0E9B"/>
    <w:rsid w:val="087A0FAC"/>
    <w:rsid w:val="087A1027"/>
    <w:rsid w:val="087A111A"/>
    <w:rsid w:val="087A1128"/>
    <w:rsid w:val="087A11F5"/>
    <w:rsid w:val="087A1203"/>
    <w:rsid w:val="087A1247"/>
    <w:rsid w:val="087A12BE"/>
    <w:rsid w:val="087A1307"/>
    <w:rsid w:val="087A1380"/>
    <w:rsid w:val="087A13BD"/>
    <w:rsid w:val="087A142F"/>
    <w:rsid w:val="087A14FF"/>
    <w:rsid w:val="087A160B"/>
    <w:rsid w:val="087A1690"/>
    <w:rsid w:val="087A16C6"/>
    <w:rsid w:val="087A1717"/>
    <w:rsid w:val="087A1773"/>
    <w:rsid w:val="087A1774"/>
    <w:rsid w:val="087A177B"/>
    <w:rsid w:val="087A17DE"/>
    <w:rsid w:val="087A18DB"/>
    <w:rsid w:val="087A18F5"/>
    <w:rsid w:val="087A195B"/>
    <w:rsid w:val="087A1B51"/>
    <w:rsid w:val="087A1BD9"/>
    <w:rsid w:val="087A1C76"/>
    <w:rsid w:val="087A1C9C"/>
    <w:rsid w:val="087A1D43"/>
    <w:rsid w:val="087A1DAA"/>
    <w:rsid w:val="087A1E72"/>
    <w:rsid w:val="087A1E91"/>
    <w:rsid w:val="087A1F5B"/>
    <w:rsid w:val="087A1F6F"/>
    <w:rsid w:val="087A20BD"/>
    <w:rsid w:val="087A20C6"/>
    <w:rsid w:val="087A217A"/>
    <w:rsid w:val="087A218A"/>
    <w:rsid w:val="087A2190"/>
    <w:rsid w:val="087A21BE"/>
    <w:rsid w:val="087A226E"/>
    <w:rsid w:val="087A2270"/>
    <w:rsid w:val="087A2322"/>
    <w:rsid w:val="087A2359"/>
    <w:rsid w:val="087A239A"/>
    <w:rsid w:val="087A2408"/>
    <w:rsid w:val="087A240C"/>
    <w:rsid w:val="087A244A"/>
    <w:rsid w:val="087A2704"/>
    <w:rsid w:val="087A274D"/>
    <w:rsid w:val="087A279B"/>
    <w:rsid w:val="087A28A8"/>
    <w:rsid w:val="087A28C0"/>
    <w:rsid w:val="087A29B4"/>
    <w:rsid w:val="087A2A9D"/>
    <w:rsid w:val="087A2AB0"/>
    <w:rsid w:val="087A2AD9"/>
    <w:rsid w:val="087A2AE6"/>
    <w:rsid w:val="087A2AEA"/>
    <w:rsid w:val="087A2AF2"/>
    <w:rsid w:val="087A2B4A"/>
    <w:rsid w:val="087A2BD6"/>
    <w:rsid w:val="087A2BE4"/>
    <w:rsid w:val="087A2C76"/>
    <w:rsid w:val="087A2CC5"/>
    <w:rsid w:val="087A2D38"/>
    <w:rsid w:val="087A2D57"/>
    <w:rsid w:val="087A2D81"/>
    <w:rsid w:val="087A2DA9"/>
    <w:rsid w:val="087A2DAB"/>
    <w:rsid w:val="087A2E26"/>
    <w:rsid w:val="087A2E91"/>
    <w:rsid w:val="087A2F6F"/>
    <w:rsid w:val="087A3029"/>
    <w:rsid w:val="087A3044"/>
    <w:rsid w:val="087A30B8"/>
    <w:rsid w:val="087A30C6"/>
    <w:rsid w:val="087A31A0"/>
    <w:rsid w:val="087A326A"/>
    <w:rsid w:val="087A3281"/>
    <w:rsid w:val="087A32DE"/>
    <w:rsid w:val="087A3337"/>
    <w:rsid w:val="087A3397"/>
    <w:rsid w:val="087A339B"/>
    <w:rsid w:val="087A33B2"/>
    <w:rsid w:val="087A33C1"/>
    <w:rsid w:val="087A33E9"/>
    <w:rsid w:val="087A3400"/>
    <w:rsid w:val="087A34B2"/>
    <w:rsid w:val="087A34BE"/>
    <w:rsid w:val="087A351C"/>
    <w:rsid w:val="087A3546"/>
    <w:rsid w:val="087A35B7"/>
    <w:rsid w:val="087A35F3"/>
    <w:rsid w:val="087A3697"/>
    <w:rsid w:val="087A36F8"/>
    <w:rsid w:val="087A376A"/>
    <w:rsid w:val="087A3793"/>
    <w:rsid w:val="087A37D0"/>
    <w:rsid w:val="087A3827"/>
    <w:rsid w:val="087A3864"/>
    <w:rsid w:val="087A38F7"/>
    <w:rsid w:val="087A3958"/>
    <w:rsid w:val="087A3991"/>
    <w:rsid w:val="087A39B0"/>
    <w:rsid w:val="087A3A74"/>
    <w:rsid w:val="087A3A7A"/>
    <w:rsid w:val="087A3AD8"/>
    <w:rsid w:val="087A3C08"/>
    <w:rsid w:val="087A3C17"/>
    <w:rsid w:val="087A3C2C"/>
    <w:rsid w:val="087A3CFD"/>
    <w:rsid w:val="087A3D0D"/>
    <w:rsid w:val="087A3D1A"/>
    <w:rsid w:val="087A3D7B"/>
    <w:rsid w:val="087A3D88"/>
    <w:rsid w:val="087A3EA4"/>
    <w:rsid w:val="087A3EAF"/>
    <w:rsid w:val="087A4091"/>
    <w:rsid w:val="087A40BC"/>
    <w:rsid w:val="087A410E"/>
    <w:rsid w:val="087A4203"/>
    <w:rsid w:val="087A4284"/>
    <w:rsid w:val="087A42AF"/>
    <w:rsid w:val="087A433F"/>
    <w:rsid w:val="087A437C"/>
    <w:rsid w:val="087A43A9"/>
    <w:rsid w:val="087A43F0"/>
    <w:rsid w:val="087A4477"/>
    <w:rsid w:val="087A447D"/>
    <w:rsid w:val="087A44E0"/>
    <w:rsid w:val="087A451D"/>
    <w:rsid w:val="087A4532"/>
    <w:rsid w:val="087A456D"/>
    <w:rsid w:val="087A45D0"/>
    <w:rsid w:val="087A46D6"/>
    <w:rsid w:val="087A4768"/>
    <w:rsid w:val="087A4840"/>
    <w:rsid w:val="087A4844"/>
    <w:rsid w:val="087A4873"/>
    <w:rsid w:val="087A49CF"/>
    <w:rsid w:val="087A4A5E"/>
    <w:rsid w:val="087A4A85"/>
    <w:rsid w:val="087A4A93"/>
    <w:rsid w:val="087A4AB2"/>
    <w:rsid w:val="087A4AB6"/>
    <w:rsid w:val="087A4AD6"/>
    <w:rsid w:val="087A4AF3"/>
    <w:rsid w:val="087A4B60"/>
    <w:rsid w:val="087A4BA7"/>
    <w:rsid w:val="087A4FF2"/>
    <w:rsid w:val="087A5080"/>
    <w:rsid w:val="087A5087"/>
    <w:rsid w:val="087A50D5"/>
    <w:rsid w:val="087A528D"/>
    <w:rsid w:val="087A52AF"/>
    <w:rsid w:val="087A5438"/>
    <w:rsid w:val="087A548D"/>
    <w:rsid w:val="087A549D"/>
    <w:rsid w:val="087A54F5"/>
    <w:rsid w:val="087A5599"/>
    <w:rsid w:val="087A559D"/>
    <w:rsid w:val="087A5645"/>
    <w:rsid w:val="087A5729"/>
    <w:rsid w:val="087A5774"/>
    <w:rsid w:val="087A583E"/>
    <w:rsid w:val="087A58F0"/>
    <w:rsid w:val="087A592D"/>
    <w:rsid w:val="087A5938"/>
    <w:rsid w:val="087A59F3"/>
    <w:rsid w:val="087A5A09"/>
    <w:rsid w:val="087A5A57"/>
    <w:rsid w:val="087A5AE6"/>
    <w:rsid w:val="087A5B44"/>
    <w:rsid w:val="087A5BA6"/>
    <w:rsid w:val="087A5BAF"/>
    <w:rsid w:val="087A5BB8"/>
    <w:rsid w:val="087A5C56"/>
    <w:rsid w:val="087A5CBB"/>
    <w:rsid w:val="087A5CBD"/>
    <w:rsid w:val="087A5CEB"/>
    <w:rsid w:val="087A5D94"/>
    <w:rsid w:val="087A5D9B"/>
    <w:rsid w:val="087A5E6F"/>
    <w:rsid w:val="087A5E89"/>
    <w:rsid w:val="087A5EC7"/>
    <w:rsid w:val="087A5EDD"/>
    <w:rsid w:val="087A5EFB"/>
    <w:rsid w:val="087A601F"/>
    <w:rsid w:val="087A6090"/>
    <w:rsid w:val="087A60C5"/>
    <w:rsid w:val="087A60C9"/>
    <w:rsid w:val="087A611D"/>
    <w:rsid w:val="087A61FD"/>
    <w:rsid w:val="087A623E"/>
    <w:rsid w:val="087A6401"/>
    <w:rsid w:val="087A647F"/>
    <w:rsid w:val="087A649F"/>
    <w:rsid w:val="087A6531"/>
    <w:rsid w:val="087A65EC"/>
    <w:rsid w:val="087A661E"/>
    <w:rsid w:val="087A6721"/>
    <w:rsid w:val="087A676D"/>
    <w:rsid w:val="087A6772"/>
    <w:rsid w:val="087A67A1"/>
    <w:rsid w:val="087A67B3"/>
    <w:rsid w:val="087A67F2"/>
    <w:rsid w:val="087A6814"/>
    <w:rsid w:val="087A685F"/>
    <w:rsid w:val="087A68EB"/>
    <w:rsid w:val="087A6923"/>
    <w:rsid w:val="087A6924"/>
    <w:rsid w:val="087A69A3"/>
    <w:rsid w:val="087A6A78"/>
    <w:rsid w:val="087A6A9A"/>
    <w:rsid w:val="087A6ADD"/>
    <w:rsid w:val="087A6AE2"/>
    <w:rsid w:val="087A6B28"/>
    <w:rsid w:val="087A6B2E"/>
    <w:rsid w:val="087A6B5E"/>
    <w:rsid w:val="087A6C15"/>
    <w:rsid w:val="087A6CB9"/>
    <w:rsid w:val="087A6CBA"/>
    <w:rsid w:val="087A6D7B"/>
    <w:rsid w:val="087A6DE5"/>
    <w:rsid w:val="087A6E11"/>
    <w:rsid w:val="087A6E7A"/>
    <w:rsid w:val="087A6EDA"/>
    <w:rsid w:val="087A6F38"/>
    <w:rsid w:val="087A7085"/>
    <w:rsid w:val="087A709A"/>
    <w:rsid w:val="087A70C9"/>
    <w:rsid w:val="087A71E0"/>
    <w:rsid w:val="087A72A6"/>
    <w:rsid w:val="087A72F1"/>
    <w:rsid w:val="087A7316"/>
    <w:rsid w:val="087A7359"/>
    <w:rsid w:val="087A737E"/>
    <w:rsid w:val="087A7412"/>
    <w:rsid w:val="087A7448"/>
    <w:rsid w:val="087A74BB"/>
    <w:rsid w:val="087A753F"/>
    <w:rsid w:val="087A7588"/>
    <w:rsid w:val="087A75A9"/>
    <w:rsid w:val="087A764A"/>
    <w:rsid w:val="087A7675"/>
    <w:rsid w:val="087A767E"/>
    <w:rsid w:val="087A76A9"/>
    <w:rsid w:val="087A7724"/>
    <w:rsid w:val="087A7775"/>
    <w:rsid w:val="087A7882"/>
    <w:rsid w:val="087A7891"/>
    <w:rsid w:val="087A792B"/>
    <w:rsid w:val="087A79B0"/>
    <w:rsid w:val="087A7A04"/>
    <w:rsid w:val="087A7A91"/>
    <w:rsid w:val="087A7AA8"/>
    <w:rsid w:val="087A7AC5"/>
    <w:rsid w:val="087A7B4F"/>
    <w:rsid w:val="087A7BBA"/>
    <w:rsid w:val="087A7C99"/>
    <w:rsid w:val="087A7DBA"/>
    <w:rsid w:val="087A7E50"/>
    <w:rsid w:val="087A7E79"/>
    <w:rsid w:val="087A7E92"/>
    <w:rsid w:val="087A7EA6"/>
    <w:rsid w:val="087A7F3E"/>
    <w:rsid w:val="087A7F5E"/>
    <w:rsid w:val="087A7F6A"/>
    <w:rsid w:val="087B007D"/>
    <w:rsid w:val="087B0087"/>
    <w:rsid w:val="087B0142"/>
    <w:rsid w:val="087B0165"/>
    <w:rsid w:val="087B0210"/>
    <w:rsid w:val="087B0329"/>
    <w:rsid w:val="087B032D"/>
    <w:rsid w:val="087B03C7"/>
    <w:rsid w:val="087B0416"/>
    <w:rsid w:val="087B0444"/>
    <w:rsid w:val="087B0454"/>
    <w:rsid w:val="087B0487"/>
    <w:rsid w:val="087B04AC"/>
    <w:rsid w:val="087B04BD"/>
    <w:rsid w:val="087B05E9"/>
    <w:rsid w:val="087B0685"/>
    <w:rsid w:val="087B06A9"/>
    <w:rsid w:val="087B06B7"/>
    <w:rsid w:val="087B076F"/>
    <w:rsid w:val="087B07A7"/>
    <w:rsid w:val="087B080D"/>
    <w:rsid w:val="087B0820"/>
    <w:rsid w:val="087B083B"/>
    <w:rsid w:val="087B08AD"/>
    <w:rsid w:val="087B08C8"/>
    <w:rsid w:val="087B08F9"/>
    <w:rsid w:val="087B0909"/>
    <w:rsid w:val="087B09CC"/>
    <w:rsid w:val="087B0A02"/>
    <w:rsid w:val="087B0A8F"/>
    <w:rsid w:val="087B0A90"/>
    <w:rsid w:val="087B0ACD"/>
    <w:rsid w:val="087B0B37"/>
    <w:rsid w:val="087B0B3A"/>
    <w:rsid w:val="087B0C06"/>
    <w:rsid w:val="087B0C8E"/>
    <w:rsid w:val="087B0CB4"/>
    <w:rsid w:val="087B0D87"/>
    <w:rsid w:val="087B0DE4"/>
    <w:rsid w:val="087B0E19"/>
    <w:rsid w:val="087B0E57"/>
    <w:rsid w:val="087B0ED9"/>
    <w:rsid w:val="087B0F06"/>
    <w:rsid w:val="087B0FD1"/>
    <w:rsid w:val="087B1020"/>
    <w:rsid w:val="087B1077"/>
    <w:rsid w:val="087B112B"/>
    <w:rsid w:val="087B121D"/>
    <w:rsid w:val="087B1252"/>
    <w:rsid w:val="087B127D"/>
    <w:rsid w:val="087B142F"/>
    <w:rsid w:val="087B146D"/>
    <w:rsid w:val="087B1474"/>
    <w:rsid w:val="087B1483"/>
    <w:rsid w:val="087B154A"/>
    <w:rsid w:val="087B154F"/>
    <w:rsid w:val="087B1597"/>
    <w:rsid w:val="087B15B1"/>
    <w:rsid w:val="087B1686"/>
    <w:rsid w:val="087B16A8"/>
    <w:rsid w:val="087B172C"/>
    <w:rsid w:val="087B1762"/>
    <w:rsid w:val="087B189B"/>
    <w:rsid w:val="087B18C4"/>
    <w:rsid w:val="087B18D7"/>
    <w:rsid w:val="087B18E4"/>
    <w:rsid w:val="087B1961"/>
    <w:rsid w:val="087B19E9"/>
    <w:rsid w:val="087B1A0E"/>
    <w:rsid w:val="087B1A5A"/>
    <w:rsid w:val="087B1B04"/>
    <w:rsid w:val="087B1B83"/>
    <w:rsid w:val="087B1B8F"/>
    <w:rsid w:val="087B1CD4"/>
    <w:rsid w:val="087B1D11"/>
    <w:rsid w:val="087B1D20"/>
    <w:rsid w:val="087B1DA8"/>
    <w:rsid w:val="087B1E1F"/>
    <w:rsid w:val="087B1E6C"/>
    <w:rsid w:val="087B1E73"/>
    <w:rsid w:val="087B1EA1"/>
    <w:rsid w:val="087B1EBE"/>
    <w:rsid w:val="087B1ED0"/>
    <w:rsid w:val="087B1F14"/>
    <w:rsid w:val="087B1F34"/>
    <w:rsid w:val="087B1FF8"/>
    <w:rsid w:val="087B20B4"/>
    <w:rsid w:val="087B20E5"/>
    <w:rsid w:val="087B233E"/>
    <w:rsid w:val="087B23B6"/>
    <w:rsid w:val="087B23E0"/>
    <w:rsid w:val="087B244A"/>
    <w:rsid w:val="087B25E0"/>
    <w:rsid w:val="087B2631"/>
    <w:rsid w:val="087B264D"/>
    <w:rsid w:val="087B26F8"/>
    <w:rsid w:val="087B271C"/>
    <w:rsid w:val="087B2778"/>
    <w:rsid w:val="087B27E0"/>
    <w:rsid w:val="087B291B"/>
    <w:rsid w:val="087B29AE"/>
    <w:rsid w:val="087B2B23"/>
    <w:rsid w:val="087B2C51"/>
    <w:rsid w:val="087B2CC7"/>
    <w:rsid w:val="087B2CD2"/>
    <w:rsid w:val="087B2D28"/>
    <w:rsid w:val="087B2E6F"/>
    <w:rsid w:val="087B2F67"/>
    <w:rsid w:val="087B2FD9"/>
    <w:rsid w:val="087B3041"/>
    <w:rsid w:val="087B3101"/>
    <w:rsid w:val="087B325C"/>
    <w:rsid w:val="087B327B"/>
    <w:rsid w:val="087B331A"/>
    <w:rsid w:val="087B33A1"/>
    <w:rsid w:val="087B33DB"/>
    <w:rsid w:val="087B3426"/>
    <w:rsid w:val="087B346E"/>
    <w:rsid w:val="087B3496"/>
    <w:rsid w:val="087B358B"/>
    <w:rsid w:val="087B35A2"/>
    <w:rsid w:val="087B35EF"/>
    <w:rsid w:val="087B367F"/>
    <w:rsid w:val="087B3731"/>
    <w:rsid w:val="087B37B9"/>
    <w:rsid w:val="087B3831"/>
    <w:rsid w:val="087B3862"/>
    <w:rsid w:val="087B38D8"/>
    <w:rsid w:val="087B3996"/>
    <w:rsid w:val="087B3AC1"/>
    <w:rsid w:val="087B3AC6"/>
    <w:rsid w:val="087B3AC7"/>
    <w:rsid w:val="087B3AE4"/>
    <w:rsid w:val="087B3B6F"/>
    <w:rsid w:val="087B3BF0"/>
    <w:rsid w:val="087B3C6E"/>
    <w:rsid w:val="087B3C86"/>
    <w:rsid w:val="087B3CE5"/>
    <w:rsid w:val="087B3D1C"/>
    <w:rsid w:val="087B3D2B"/>
    <w:rsid w:val="087B3D36"/>
    <w:rsid w:val="087B3DE9"/>
    <w:rsid w:val="087B3E54"/>
    <w:rsid w:val="087B3EE8"/>
    <w:rsid w:val="087B3EF3"/>
    <w:rsid w:val="087B3F40"/>
    <w:rsid w:val="087B3F70"/>
    <w:rsid w:val="087B3FE9"/>
    <w:rsid w:val="087B4096"/>
    <w:rsid w:val="087B41BE"/>
    <w:rsid w:val="087B41E7"/>
    <w:rsid w:val="087B42CB"/>
    <w:rsid w:val="087B4348"/>
    <w:rsid w:val="087B434F"/>
    <w:rsid w:val="087B4396"/>
    <w:rsid w:val="087B43AE"/>
    <w:rsid w:val="087B43F9"/>
    <w:rsid w:val="087B4502"/>
    <w:rsid w:val="087B4555"/>
    <w:rsid w:val="087B4558"/>
    <w:rsid w:val="087B461E"/>
    <w:rsid w:val="087B4629"/>
    <w:rsid w:val="087B469D"/>
    <w:rsid w:val="087B46AD"/>
    <w:rsid w:val="087B4722"/>
    <w:rsid w:val="087B4837"/>
    <w:rsid w:val="087B4884"/>
    <w:rsid w:val="087B4999"/>
    <w:rsid w:val="087B4A78"/>
    <w:rsid w:val="087B4AEC"/>
    <w:rsid w:val="087B4B5F"/>
    <w:rsid w:val="087B4BD8"/>
    <w:rsid w:val="087B4C88"/>
    <w:rsid w:val="087B4CB2"/>
    <w:rsid w:val="087B4D97"/>
    <w:rsid w:val="087B4E0C"/>
    <w:rsid w:val="087B4EF4"/>
    <w:rsid w:val="087B4F7D"/>
    <w:rsid w:val="087B4FB5"/>
    <w:rsid w:val="087B50F3"/>
    <w:rsid w:val="087B50FB"/>
    <w:rsid w:val="087B510B"/>
    <w:rsid w:val="087B5130"/>
    <w:rsid w:val="087B5160"/>
    <w:rsid w:val="087B51D3"/>
    <w:rsid w:val="087B5267"/>
    <w:rsid w:val="087B526E"/>
    <w:rsid w:val="087B52AA"/>
    <w:rsid w:val="087B5342"/>
    <w:rsid w:val="087B5382"/>
    <w:rsid w:val="087B5389"/>
    <w:rsid w:val="087B53A9"/>
    <w:rsid w:val="087B542E"/>
    <w:rsid w:val="087B5434"/>
    <w:rsid w:val="087B54FE"/>
    <w:rsid w:val="087B564F"/>
    <w:rsid w:val="087B56D7"/>
    <w:rsid w:val="087B5705"/>
    <w:rsid w:val="087B572B"/>
    <w:rsid w:val="087B581B"/>
    <w:rsid w:val="087B588C"/>
    <w:rsid w:val="087B58C0"/>
    <w:rsid w:val="087B5965"/>
    <w:rsid w:val="087B59DE"/>
    <w:rsid w:val="087B59F0"/>
    <w:rsid w:val="087B5A22"/>
    <w:rsid w:val="087B5A2B"/>
    <w:rsid w:val="087B5A3E"/>
    <w:rsid w:val="087B5A8F"/>
    <w:rsid w:val="087B5BB1"/>
    <w:rsid w:val="087B5C88"/>
    <w:rsid w:val="087B5C97"/>
    <w:rsid w:val="087B5E38"/>
    <w:rsid w:val="087B5ECE"/>
    <w:rsid w:val="087B5F23"/>
    <w:rsid w:val="087B5F3C"/>
    <w:rsid w:val="087B5F64"/>
    <w:rsid w:val="087B5FB0"/>
    <w:rsid w:val="087B6046"/>
    <w:rsid w:val="087B6051"/>
    <w:rsid w:val="087B607E"/>
    <w:rsid w:val="087B60C4"/>
    <w:rsid w:val="087B6121"/>
    <w:rsid w:val="087B62A7"/>
    <w:rsid w:val="087B62C6"/>
    <w:rsid w:val="087B6362"/>
    <w:rsid w:val="087B63DF"/>
    <w:rsid w:val="087B640E"/>
    <w:rsid w:val="087B64A7"/>
    <w:rsid w:val="087B6614"/>
    <w:rsid w:val="087B6698"/>
    <w:rsid w:val="087B673C"/>
    <w:rsid w:val="087B6749"/>
    <w:rsid w:val="087B67DA"/>
    <w:rsid w:val="087B6822"/>
    <w:rsid w:val="087B6971"/>
    <w:rsid w:val="087B6AD5"/>
    <w:rsid w:val="087B6B49"/>
    <w:rsid w:val="087B6C0C"/>
    <w:rsid w:val="087B6CE3"/>
    <w:rsid w:val="087B6D6B"/>
    <w:rsid w:val="087B6D86"/>
    <w:rsid w:val="087B6D9A"/>
    <w:rsid w:val="087B6DA8"/>
    <w:rsid w:val="087B6E38"/>
    <w:rsid w:val="087B6EB6"/>
    <w:rsid w:val="087B7068"/>
    <w:rsid w:val="087B709C"/>
    <w:rsid w:val="087B7107"/>
    <w:rsid w:val="087B716E"/>
    <w:rsid w:val="087B71B9"/>
    <w:rsid w:val="087B71EC"/>
    <w:rsid w:val="087B7260"/>
    <w:rsid w:val="087B7344"/>
    <w:rsid w:val="087B7363"/>
    <w:rsid w:val="087B737A"/>
    <w:rsid w:val="087B7381"/>
    <w:rsid w:val="087B7421"/>
    <w:rsid w:val="087B7461"/>
    <w:rsid w:val="087B7496"/>
    <w:rsid w:val="087B74EA"/>
    <w:rsid w:val="087B755D"/>
    <w:rsid w:val="087B757A"/>
    <w:rsid w:val="087B75AE"/>
    <w:rsid w:val="087B761B"/>
    <w:rsid w:val="087B7776"/>
    <w:rsid w:val="087B7871"/>
    <w:rsid w:val="087B7A2F"/>
    <w:rsid w:val="087B7B3E"/>
    <w:rsid w:val="087B7BCD"/>
    <w:rsid w:val="087B7BED"/>
    <w:rsid w:val="087B7C66"/>
    <w:rsid w:val="087B7CBC"/>
    <w:rsid w:val="087B7D00"/>
    <w:rsid w:val="087B7D42"/>
    <w:rsid w:val="087B7D57"/>
    <w:rsid w:val="087B7E6D"/>
    <w:rsid w:val="087B7ED9"/>
    <w:rsid w:val="087B7F13"/>
    <w:rsid w:val="087C010B"/>
    <w:rsid w:val="087C0112"/>
    <w:rsid w:val="087C017C"/>
    <w:rsid w:val="087C0276"/>
    <w:rsid w:val="087C02C1"/>
    <w:rsid w:val="087C0362"/>
    <w:rsid w:val="087C03BB"/>
    <w:rsid w:val="087C0473"/>
    <w:rsid w:val="087C04D6"/>
    <w:rsid w:val="087C04DF"/>
    <w:rsid w:val="087C0512"/>
    <w:rsid w:val="087C056F"/>
    <w:rsid w:val="087C0572"/>
    <w:rsid w:val="087C05D9"/>
    <w:rsid w:val="087C0751"/>
    <w:rsid w:val="087C0775"/>
    <w:rsid w:val="087C082D"/>
    <w:rsid w:val="087C08AC"/>
    <w:rsid w:val="087C0937"/>
    <w:rsid w:val="087C0A01"/>
    <w:rsid w:val="087C0A25"/>
    <w:rsid w:val="087C0A32"/>
    <w:rsid w:val="087C0A41"/>
    <w:rsid w:val="087C0A49"/>
    <w:rsid w:val="087C0AB9"/>
    <w:rsid w:val="087C0B2E"/>
    <w:rsid w:val="087C0C21"/>
    <w:rsid w:val="087C0C9E"/>
    <w:rsid w:val="087C0D31"/>
    <w:rsid w:val="087C0D77"/>
    <w:rsid w:val="087C0DD2"/>
    <w:rsid w:val="087C0DDC"/>
    <w:rsid w:val="087C0DF9"/>
    <w:rsid w:val="087C0E1A"/>
    <w:rsid w:val="087C0E2F"/>
    <w:rsid w:val="087C0E69"/>
    <w:rsid w:val="087C0ED7"/>
    <w:rsid w:val="087C0EF2"/>
    <w:rsid w:val="087C0F00"/>
    <w:rsid w:val="087C0F2E"/>
    <w:rsid w:val="087C100C"/>
    <w:rsid w:val="087C102F"/>
    <w:rsid w:val="087C1103"/>
    <w:rsid w:val="087C1201"/>
    <w:rsid w:val="087C1411"/>
    <w:rsid w:val="087C1465"/>
    <w:rsid w:val="087C14B6"/>
    <w:rsid w:val="087C15C1"/>
    <w:rsid w:val="087C1604"/>
    <w:rsid w:val="087C1722"/>
    <w:rsid w:val="087C1725"/>
    <w:rsid w:val="087C178C"/>
    <w:rsid w:val="087C17D0"/>
    <w:rsid w:val="087C1886"/>
    <w:rsid w:val="087C188D"/>
    <w:rsid w:val="087C18C0"/>
    <w:rsid w:val="087C18C5"/>
    <w:rsid w:val="087C18E9"/>
    <w:rsid w:val="087C1A33"/>
    <w:rsid w:val="087C1AAC"/>
    <w:rsid w:val="087C1AE6"/>
    <w:rsid w:val="087C1B34"/>
    <w:rsid w:val="087C1B36"/>
    <w:rsid w:val="087C1B4E"/>
    <w:rsid w:val="087C1BC7"/>
    <w:rsid w:val="087C1BCF"/>
    <w:rsid w:val="087C1BED"/>
    <w:rsid w:val="087C1C2F"/>
    <w:rsid w:val="087C1C8A"/>
    <w:rsid w:val="087C1CF9"/>
    <w:rsid w:val="087C1D65"/>
    <w:rsid w:val="087C1D7D"/>
    <w:rsid w:val="087C1DBF"/>
    <w:rsid w:val="087C1EA5"/>
    <w:rsid w:val="087C1EB9"/>
    <w:rsid w:val="087C1F05"/>
    <w:rsid w:val="087C1F06"/>
    <w:rsid w:val="087C1F74"/>
    <w:rsid w:val="087C2012"/>
    <w:rsid w:val="087C204F"/>
    <w:rsid w:val="087C20D6"/>
    <w:rsid w:val="087C2166"/>
    <w:rsid w:val="087C2188"/>
    <w:rsid w:val="087C224D"/>
    <w:rsid w:val="087C2280"/>
    <w:rsid w:val="087C22B3"/>
    <w:rsid w:val="087C22B8"/>
    <w:rsid w:val="087C22D5"/>
    <w:rsid w:val="087C23CF"/>
    <w:rsid w:val="087C23FE"/>
    <w:rsid w:val="087C248F"/>
    <w:rsid w:val="087C2590"/>
    <w:rsid w:val="087C25C8"/>
    <w:rsid w:val="087C25E1"/>
    <w:rsid w:val="087C264C"/>
    <w:rsid w:val="087C26BA"/>
    <w:rsid w:val="087C26E2"/>
    <w:rsid w:val="087C2717"/>
    <w:rsid w:val="087C2764"/>
    <w:rsid w:val="087C2970"/>
    <w:rsid w:val="087C29A3"/>
    <w:rsid w:val="087C2B2A"/>
    <w:rsid w:val="087C2C4C"/>
    <w:rsid w:val="087C2E51"/>
    <w:rsid w:val="087C2EEB"/>
    <w:rsid w:val="087C2FA7"/>
    <w:rsid w:val="087C30CD"/>
    <w:rsid w:val="087C30FA"/>
    <w:rsid w:val="087C3192"/>
    <w:rsid w:val="087C32EE"/>
    <w:rsid w:val="087C32F2"/>
    <w:rsid w:val="087C33A3"/>
    <w:rsid w:val="087C3470"/>
    <w:rsid w:val="087C3580"/>
    <w:rsid w:val="087C36AD"/>
    <w:rsid w:val="087C37E9"/>
    <w:rsid w:val="087C387F"/>
    <w:rsid w:val="087C38CF"/>
    <w:rsid w:val="087C38EF"/>
    <w:rsid w:val="087C394C"/>
    <w:rsid w:val="087C395C"/>
    <w:rsid w:val="087C3998"/>
    <w:rsid w:val="087C3A01"/>
    <w:rsid w:val="087C3B58"/>
    <w:rsid w:val="087C3B67"/>
    <w:rsid w:val="087C3BF8"/>
    <w:rsid w:val="087C3C75"/>
    <w:rsid w:val="087C3C80"/>
    <w:rsid w:val="087C3D7A"/>
    <w:rsid w:val="087C3EE5"/>
    <w:rsid w:val="087C3F31"/>
    <w:rsid w:val="087C3FA3"/>
    <w:rsid w:val="087C3FEC"/>
    <w:rsid w:val="087C40CF"/>
    <w:rsid w:val="087C413F"/>
    <w:rsid w:val="087C4164"/>
    <w:rsid w:val="087C4167"/>
    <w:rsid w:val="087C4185"/>
    <w:rsid w:val="087C41B5"/>
    <w:rsid w:val="087C41CA"/>
    <w:rsid w:val="087C4219"/>
    <w:rsid w:val="087C423D"/>
    <w:rsid w:val="087C4240"/>
    <w:rsid w:val="087C42BB"/>
    <w:rsid w:val="087C42DB"/>
    <w:rsid w:val="087C42DC"/>
    <w:rsid w:val="087C433C"/>
    <w:rsid w:val="087C437D"/>
    <w:rsid w:val="087C4421"/>
    <w:rsid w:val="087C44A7"/>
    <w:rsid w:val="087C44AC"/>
    <w:rsid w:val="087C44B1"/>
    <w:rsid w:val="087C4504"/>
    <w:rsid w:val="087C4532"/>
    <w:rsid w:val="087C457F"/>
    <w:rsid w:val="087C4582"/>
    <w:rsid w:val="087C459A"/>
    <w:rsid w:val="087C45AE"/>
    <w:rsid w:val="087C46FF"/>
    <w:rsid w:val="087C47F7"/>
    <w:rsid w:val="087C48B5"/>
    <w:rsid w:val="087C493E"/>
    <w:rsid w:val="087C49F0"/>
    <w:rsid w:val="087C4A2A"/>
    <w:rsid w:val="087C4BC9"/>
    <w:rsid w:val="087C4C30"/>
    <w:rsid w:val="087C4C79"/>
    <w:rsid w:val="087C4C94"/>
    <w:rsid w:val="087C4CBC"/>
    <w:rsid w:val="087C4CDC"/>
    <w:rsid w:val="087C4DBF"/>
    <w:rsid w:val="087C4E09"/>
    <w:rsid w:val="087C4E37"/>
    <w:rsid w:val="087C4EA1"/>
    <w:rsid w:val="087C4F02"/>
    <w:rsid w:val="087C4F17"/>
    <w:rsid w:val="087C4FFC"/>
    <w:rsid w:val="087C5028"/>
    <w:rsid w:val="087C51B4"/>
    <w:rsid w:val="087C5221"/>
    <w:rsid w:val="087C5400"/>
    <w:rsid w:val="087C5472"/>
    <w:rsid w:val="087C563E"/>
    <w:rsid w:val="087C5686"/>
    <w:rsid w:val="087C56C5"/>
    <w:rsid w:val="087C56D3"/>
    <w:rsid w:val="087C56FC"/>
    <w:rsid w:val="087C5718"/>
    <w:rsid w:val="087C57B5"/>
    <w:rsid w:val="087C57D3"/>
    <w:rsid w:val="087C582A"/>
    <w:rsid w:val="087C58B9"/>
    <w:rsid w:val="087C5924"/>
    <w:rsid w:val="087C5932"/>
    <w:rsid w:val="087C595D"/>
    <w:rsid w:val="087C5988"/>
    <w:rsid w:val="087C59FE"/>
    <w:rsid w:val="087C5ADA"/>
    <w:rsid w:val="087C5B84"/>
    <w:rsid w:val="087C5C53"/>
    <w:rsid w:val="087C5C98"/>
    <w:rsid w:val="087C5D79"/>
    <w:rsid w:val="087C5DAF"/>
    <w:rsid w:val="087C5DEC"/>
    <w:rsid w:val="087C5E5D"/>
    <w:rsid w:val="087C5EF4"/>
    <w:rsid w:val="087C60C7"/>
    <w:rsid w:val="087C60D9"/>
    <w:rsid w:val="087C60F0"/>
    <w:rsid w:val="087C61A2"/>
    <w:rsid w:val="087C61C0"/>
    <w:rsid w:val="087C61F7"/>
    <w:rsid w:val="087C6210"/>
    <w:rsid w:val="087C6307"/>
    <w:rsid w:val="087C6350"/>
    <w:rsid w:val="087C63FF"/>
    <w:rsid w:val="087C64A0"/>
    <w:rsid w:val="087C654C"/>
    <w:rsid w:val="087C6581"/>
    <w:rsid w:val="087C658F"/>
    <w:rsid w:val="087C6608"/>
    <w:rsid w:val="087C6614"/>
    <w:rsid w:val="087C6618"/>
    <w:rsid w:val="087C673C"/>
    <w:rsid w:val="087C67CE"/>
    <w:rsid w:val="087C67E5"/>
    <w:rsid w:val="087C688C"/>
    <w:rsid w:val="087C68AF"/>
    <w:rsid w:val="087C690F"/>
    <w:rsid w:val="087C6AA5"/>
    <w:rsid w:val="087C6B09"/>
    <w:rsid w:val="087C6B33"/>
    <w:rsid w:val="087C6BEA"/>
    <w:rsid w:val="087C6BFB"/>
    <w:rsid w:val="087C6BFC"/>
    <w:rsid w:val="087C6C44"/>
    <w:rsid w:val="087C6CA3"/>
    <w:rsid w:val="087C6CFA"/>
    <w:rsid w:val="087C6DD2"/>
    <w:rsid w:val="087C6E83"/>
    <w:rsid w:val="087C6E9A"/>
    <w:rsid w:val="087C70E0"/>
    <w:rsid w:val="087C70E2"/>
    <w:rsid w:val="087C7159"/>
    <w:rsid w:val="087C7234"/>
    <w:rsid w:val="087C72D7"/>
    <w:rsid w:val="087C7315"/>
    <w:rsid w:val="087C735A"/>
    <w:rsid w:val="087C74AB"/>
    <w:rsid w:val="087C7673"/>
    <w:rsid w:val="087C775D"/>
    <w:rsid w:val="087C79E6"/>
    <w:rsid w:val="087C7AC9"/>
    <w:rsid w:val="087C7AD4"/>
    <w:rsid w:val="087C7AD6"/>
    <w:rsid w:val="087C7B9A"/>
    <w:rsid w:val="087C7BA3"/>
    <w:rsid w:val="087C7BE3"/>
    <w:rsid w:val="087C7BEA"/>
    <w:rsid w:val="087C7BEC"/>
    <w:rsid w:val="087C7C09"/>
    <w:rsid w:val="087C7D19"/>
    <w:rsid w:val="087C7D2D"/>
    <w:rsid w:val="087C7D92"/>
    <w:rsid w:val="087C7DAA"/>
    <w:rsid w:val="087C7E05"/>
    <w:rsid w:val="087C7E21"/>
    <w:rsid w:val="087C7E5C"/>
    <w:rsid w:val="087C7E61"/>
    <w:rsid w:val="087C7EC2"/>
    <w:rsid w:val="087C7F1E"/>
    <w:rsid w:val="087C7F6B"/>
    <w:rsid w:val="087C7FF6"/>
    <w:rsid w:val="087D018B"/>
    <w:rsid w:val="087D01A4"/>
    <w:rsid w:val="087D0236"/>
    <w:rsid w:val="087D02BA"/>
    <w:rsid w:val="087D0337"/>
    <w:rsid w:val="087D0446"/>
    <w:rsid w:val="087D0451"/>
    <w:rsid w:val="087D0544"/>
    <w:rsid w:val="087D0567"/>
    <w:rsid w:val="087D061E"/>
    <w:rsid w:val="087D0691"/>
    <w:rsid w:val="087D06F3"/>
    <w:rsid w:val="087D071A"/>
    <w:rsid w:val="087D078F"/>
    <w:rsid w:val="087D0825"/>
    <w:rsid w:val="087D0918"/>
    <w:rsid w:val="087D091F"/>
    <w:rsid w:val="087D097F"/>
    <w:rsid w:val="087D09C6"/>
    <w:rsid w:val="087D0A2D"/>
    <w:rsid w:val="087D0A9A"/>
    <w:rsid w:val="087D0BD0"/>
    <w:rsid w:val="087D0C9C"/>
    <w:rsid w:val="087D0D1F"/>
    <w:rsid w:val="087D0D95"/>
    <w:rsid w:val="087D0E60"/>
    <w:rsid w:val="087D0F92"/>
    <w:rsid w:val="087D0F93"/>
    <w:rsid w:val="087D0F9A"/>
    <w:rsid w:val="087D10D4"/>
    <w:rsid w:val="087D10DC"/>
    <w:rsid w:val="087D1119"/>
    <w:rsid w:val="087D112C"/>
    <w:rsid w:val="087D1149"/>
    <w:rsid w:val="087D119F"/>
    <w:rsid w:val="087D1212"/>
    <w:rsid w:val="087D121B"/>
    <w:rsid w:val="087D1236"/>
    <w:rsid w:val="087D12A0"/>
    <w:rsid w:val="087D12C5"/>
    <w:rsid w:val="087D12EA"/>
    <w:rsid w:val="087D1304"/>
    <w:rsid w:val="087D131F"/>
    <w:rsid w:val="087D1342"/>
    <w:rsid w:val="087D137F"/>
    <w:rsid w:val="087D1393"/>
    <w:rsid w:val="087D139A"/>
    <w:rsid w:val="087D13D4"/>
    <w:rsid w:val="087D13D8"/>
    <w:rsid w:val="087D141A"/>
    <w:rsid w:val="087D143D"/>
    <w:rsid w:val="087D1460"/>
    <w:rsid w:val="087D1495"/>
    <w:rsid w:val="087D1590"/>
    <w:rsid w:val="087D1624"/>
    <w:rsid w:val="087D163E"/>
    <w:rsid w:val="087D170F"/>
    <w:rsid w:val="087D171B"/>
    <w:rsid w:val="087D1760"/>
    <w:rsid w:val="087D1774"/>
    <w:rsid w:val="087D17E2"/>
    <w:rsid w:val="087D195F"/>
    <w:rsid w:val="087D197E"/>
    <w:rsid w:val="087D198D"/>
    <w:rsid w:val="087D199E"/>
    <w:rsid w:val="087D19D1"/>
    <w:rsid w:val="087D19F6"/>
    <w:rsid w:val="087D1A75"/>
    <w:rsid w:val="087D1B79"/>
    <w:rsid w:val="087D1BB2"/>
    <w:rsid w:val="087D1C5E"/>
    <w:rsid w:val="087D1CE1"/>
    <w:rsid w:val="087D1D93"/>
    <w:rsid w:val="087D1DA1"/>
    <w:rsid w:val="087D1E07"/>
    <w:rsid w:val="087D1F26"/>
    <w:rsid w:val="087D1F73"/>
    <w:rsid w:val="087D1FFD"/>
    <w:rsid w:val="087D2006"/>
    <w:rsid w:val="087D201C"/>
    <w:rsid w:val="087D2027"/>
    <w:rsid w:val="087D204D"/>
    <w:rsid w:val="087D20CD"/>
    <w:rsid w:val="087D21A0"/>
    <w:rsid w:val="087D21B7"/>
    <w:rsid w:val="087D21EB"/>
    <w:rsid w:val="087D22BD"/>
    <w:rsid w:val="087D23A3"/>
    <w:rsid w:val="087D23F2"/>
    <w:rsid w:val="087D247E"/>
    <w:rsid w:val="087D24B2"/>
    <w:rsid w:val="087D2542"/>
    <w:rsid w:val="087D26DE"/>
    <w:rsid w:val="087D2770"/>
    <w:rsid w:val="087D27AE"/>
    <w:rsid w:val="087D27AF"/>
    <w:rsid w:val="087D288F"/>
    <w:rsid w:val="087D28C5"/>
    <w:rsid w:val="087D2ABC"/>
    <w:rsid w:val="087D2BAD"/>
    <w:rsid w:val="087D2BB4"/>
    <w:rsid w:val="087D2BCD"/>
    <w:rsid w:val="087D2BD7"/>
    <w:rsid w:val="087D2BE3"/>
    <w:rsid w:val="087D2C86"/>
    <w:rsid w:val="087D2CB4"/>
    <w:rsid w:val="087D2D86"/>
    <w:rsid w:val="087D2DA6"/>
    <w:rsid w:val="087D2E03"/>
    <w:rsid w:val="087D2E52"/>
    <w:rsid w:val="087D2EEC"/>
    <w:rsid w:val="087D2F34"/>
    <w:rsid w:val="087D2F53"/>
    <w:rsid w:val="087D2FDC"/>
    <w:rsid w:val="087D311D"/>
    <w:rsid w:val="087D31E5"/>
    <w:rsid w:val="087D3243"/>
    <w:rsid w:val="087D3257"/>
    <w:rsid w:val="087D32EC"/>
    <w:rsid w:val="087D3313"/>
    <w:rsid w:val="087D3327"/>
    <w:rsid w:val="087D33AA"/>
    <w:rsid w:val="087D3470"/>
    <w:rsid w:val="087D34C8"/>
    <w:rsid w:val="087D34ED"/>
    <w:rsid w:val="087D3580"/>
    <w:rsid w:val="087D3733"/>
    <w:rsid w:val="087D37D8"/>
    <w:rsid w:val="087D37EC"/>
    <w:rsid w:val="087D3850"/>
    <w:rsid w:val="087D3886"/>
    <w:rsid w:val="087D38EB"/>
    <w:rsid w:val="087D397D"/>
    <w:rsid w:val="087D3992"/>
    <w:rsid w:val="087D3A87"/>
    <w:rsid w:val="087D3B17"/>
    <w:rsid w:val="087D3B8F"/>
    <w:rsid w:val="087D3C1F"/>
    <w:rsid w:val="087D3C22"/>
    <w:rsid w:val="087D3CCA"/>
    <w:rsid w:val="087D3D03"/>
    <w:rsid w:val="087D3D1C"/>
    <w:rsid w:val="087D3D9E"/>
    <w:rsid w:val="087D3DCF"/>
    <w:rsid w:val="087D3E2F"/>
    <w:rsid w:val="087D3E41"/>
    <w:rsid w:val="087D4011"/>
    <w:rsid w:val="087D402D"/>
    <w:rsid w:val="087D40AD"/>
    <w:rsid w:val="087D4110"/>
    <w:rsid w:val="087D4130"/>
    <w:rsid w:val="087D41EC"/>
    <w:rsid w:val="087D4280"/>
    <w:rsid w:val="087D42FE"/>
    <w:rsid w:val="087D4319"/>
    <w:rsid w:val="087D4368"/>
    <w:rsid w:val="087D4423"/>
    <w:rsid w:val="087D4546"/>
    <w:rsid w:val="087D45FC"/>
    <w:rsid w:val="087D462D"/>
    <w:rsid w:val="087D467A"/>
    <w:rsid w:val="087D4808"/>
    <w:rsid w:val="087D48A1"/>
    <w:rsid w:val="087D4A54"/>
    <w:rsid w:val="087D4A7D"/>
    <w:rsid w:val="087D4B23"/>
    <w:rsid w:val="087D4B3C"/>
    <w:rsid w:val="087D4C37"/>
    <w:rsid w:val="087D4C49"/>
    <w:rsid w:val="087D4C52"/>
    <w:rsid w:val="087D4D05"/>
    <w:rsid w:val="087D4D26"/>
    <w:rsid w:val="087D4D4A"/>
    <w:rsid w:val="087D4D8B"/>
    <w:rsid w:val="087D4DA4"/>
    <w:rsid w:val="087D4DE7"/>
    <w:rsid w:val="087D4DE9"/>
    <w:rsid w:val="087D4F03"/>
    <w:rsid w:val="087D5019"/>
    <w:rsid w:val="087D5090"/>
    <w:rsid w:val="087D527F"/>
    <w:rsid w:val="087D5286"/>
    <w:rsid w:val="087D5465"/>
    <w:rsid w:val="087D5589"/>
    <w:rsid w:val="087D558D"/>
    <w:rsid w:val="087D55E6"/>
    <w:rsid w:val="087D560C"/>
    <w:rsid w:val="087D5645"/>
    <w:rsid w:val="087D5662"/>
    <w:rsid w:val="087D5780"/>
    <w:rsid w:val="087D5789"/>
    <w:rsid w:val="087D582F"/>
    <w:rsid w:val="087D592D"/>
    <w:rsid w:val="087D5A86"/>
    <w:rsid w:val="087D5C3A"/>
    <w:rsid w:val="087D5D05"/>
    <w:rsid w:val="087D5D41"/>
    <w:rsid w:val="087D5E1C"/>
    <w:rsid w:val="087D5E5C"/>
    <w:rsid w:val="087D5FF0"/>
    <w:rsid w:val="087D60EA"/>
    <w:rsid w:val="087D6115"/>
    <w:rsid w:val="087D6135"/>
    <w:rsid w:val="087D6144"/>
    <w:rsid w:val="087D617A"/>
    <w:rsid w:val="087D628F"/>
    <w:rsid w:val="087D6292"/>
    <w:rsid w:val="087D62D6"/>
    <w:rsid w:val="087D62DF"/>
    <w:rsid w:val="087D62FD"/>
    <w:rsid w:val="087D6373"/>
    <w:rsid w:val="087D650B"/>
    <w:rsid w:val="087D664C"/>
    <w:rsid w:val="087D66D6"/>
    <w:rsid w:val="087D66D8"/>
    <w:rsid w:val="087D66E4"/>
    <w:rsid w:val="087D6739"/>
    <w:rsid w:val="087D6789"/>
    <w:rsid w:val="087D6795"/>
    <w:rsid w:val="087D67EA"/>
    <w:rsid w:val="087D6874"/>
    <w:rsid w:val="087D68A0"/>
    <w:rsid w:val="087D68F1"/>
    <w:rsid w:val="087D697B"/>
    <w:rsid w:val="087D69D7"/>
    <w:rsid w:val="087D6A35"/>
    <w:rsid w:val="087D6A59"/>
    <w:rsid w:val="087D6B75"/>
    <w:rsid w:val="087D6B93"/>
    <w:rsid w:val="087D6BCC"/>
    <w:rsid w:val="087D6C33"/>
    <w:rsid w:val="087D6CC9"/>
    <w:rsid w:val="087D6DFA"/>
    <w:rsid w:val="087D6EB4"/>
    <w:rsid w:val="087D6F01"/>
    <w:rsid w:val="087D6F7A"/>
    <w:rsid w:val="087D6FAE"/>
    <w:rsid w:val="087D7011"/>
    <w:rsid w:val="087D7103"/>
    <w:rsid w:val="087D713A"/>
    <w:rsid w:val="087D71E1"/>
    <w:rsid w:val="087D725F"/>
    <w:rsid w:val="087D72AF"/>
    <w:rsid w:val="087D72E5"/>
    <w:rsid w:val="087D7330"/>
    <w:rsid w:val="087D7336"/>
    <w:rsid w:val="087D7338"/>
    <w:rsid w:val="087D73CB"/>
    <w:rsid w:val="087D73F9"/>
    <w:rsid w:val="087D73FF"/>
    <w:rsid w:val="087D7484"/>
    <w:rsid w:val="087D74AE"/>
    <w:rsid w:val="087D74F3"/>
    <w:rsid w:val="087D754A"/>
    <w:rsid w:val="087D7577"/>
    <w:rsid w:val="087D7652"/>
    <w:rsid w:val="087D76A3"/>
    <w:rsid w:val="087D76FB"/>
    <w:rsid w:val="087D7700"/>
    <w:rsid w:val="087D77A1"/>
    <w:rsid w:val="087D78DC"/>
    <w:rsid w:val="087D7924"/>
    <w:rsid w:val="087D79E2"/>
    <w:rsid w:val="087D7A14"/>
    <w:rsid w:val="087D7A85"/>
    <w:rsid w:val="087D7AA0"/>
    <w:rsid w:val="087D7AD0"/>
    <w:rsid w:val="087D7AFC"/>
    <w:rsid w:val="087D7B05"/>
    <w:rsid w:val="087D7B7E"/>
    <w:rsid w:val="087D7BA1"/>
    <w:rsid w:val="087D7BB7"/>
    <w:rsid w:val="087D7C43"/>
    <w:rsid w:val="087D7C46"/>
    <w:rsid w:val="087D7DB7"/>
    <w:rsid w:val="087D7DEF"/>
    <w:rsid w:val="087D7E4A"/>
    <w:rsid w:val="087D7F6C"/>
    <w:rsid w:val="087E0008"/>
    <w:rsid w:val="087E0036"/>
    <w:rsid w:val="087E00BE"/>
    <w:rsid w:val="087E017D"/>
    <w:rsid w:val="087E020C"/>
    <w:rsid w:val="087E02CB"/>
    <w:rsid w:val="087E02CF"/>
    <w:rsid w:val="087E031D"/>
    <w:rsid w:val="087E033B"/>
    <w:rsid w:val="087E0353"/>
    <w:rsid w:val="087E04AA"/>
    <w:rsid w:val="087E04B2"/>
    <w:rsid w:val="087E04E2"/>
    <w:rsid w:val="087E05A1"/>
    <w:rsid w:val="087E0688"/>
    <w:rsid w:val="087E070C"/>
    <w:rsid w:val="087E071E"/>
    <w:rsid w:val="087E08D2"/>
    <w:rsid w:val="087E08F5"/>
    <w:rsid w:val="087E0919"/>
    <w:rsid w:val="087E0946"/>
    <w:rsid w:val="087E09E5"/>
    <w:rsid w:val="087E0B35"/>
    <w:rsid w:val="087E0BF7"/>
    <w:rsid w:val="087E0C65"/>
    <w:rsid w:val="087E0D30"/>
    <w:rsid w:val="087E0E86"/>
    <w:rsid w:val="087E0EE9"/>
    <w:rsid w:val="087E0F39"/>
    <w:rsid w:val="087E0FAC"/>
    <w:rsid w:val="087E1108"/>
    <w:rsid w:val="087E113B"/>
    <w:rsid w:val="087E11B5"/>
    <w:rsid w:val="087E12DF"/>
    <w:rsid w:val="087E141C"/>
    <w:rsid w:val="087E146E"/>
    <w:rsid w:val="087E15C6"/>
    <w:rsid w:val="087E173D"/>
    <w:rsid w:val="087E1740"/>
    <w:rsid w:val="087E1812"/>
    <w:rsid w:val="087E1867"/>
    <w:rsid w:val="087E187B"/>
    <w:rsid w:val="087E18AA"/>
    <w:rsid w:val="087E194C"/>
    <w:rsid w:val="087E194F"/>
    <w:rsid w:val="087E1989"/>
    <w:rsid w:val="087E1A6B"/>
    <w:rsid w:val="087E1AA3"/>
    <w:rsid w:val="087E1ACC"/>
    <w:rsid w:val="087E1B04"/>
    <w:rsid w:val="087E1CA7"/>
    <w:rsid w:val="087E1E2D"/>
    <w:rsid w:val="087E1EC8"/>
    <w:rsid w:val="087E1F22"/>
    <w:rsid w:val="087E1F3A"/>
    <w:rsid w:val="087E1F5D"/>
    <w:rsid w:val="087E1FBD"/>
    <w:rsid w:val="087E212A"/>
    <w:rsid w:val="087E2182"/>
    <w:rsid w:val="087E2239"/>
    <w:rsid w:val="087E2275"/>
    <w:rsid w:val="087E2303"/>
    <w:rsid w:val="087E2319"/>
    <w:rsid w:val="087E2347"/>
    <w:rsid w:val="087E248E"/>
    <w:rsid w:val="087E248F"/>
    <w:rsid w:val="087E24C3"/>
    <w:rsid w:val="087E2555"/>
    <w:rsid w:val="087E2586"/>
    <w:rsid w:val="087E259D"/>
    <w:rsid w:val="087E25F2"/>
    <w:rsid w:val="087E262C"/>
    <w:rsid w:val="087E2677"/>
    <w:rsid w:val="087E269D"/>
    <w:rsid w:val="087E26A8"/>
    <w:rsid w:val="087E26BA"/>
    <w:rsid w:val="087E26DB"/>
    <w:rsid w:val="087E272B"/>
    <w:rsid w:val="087E276D"/>
    <w:rsid w:val="087E27D2"/>
    <w:rsid w:val="087E27F1"/>
    <w:rsid w:val="087E2803"/>
    <w:rsid w:val="087E28A3"/>
    <w:rsid w:val="087E296E"/>
    <w:rsid w:val="087E299E"/>
    <w:rsid w:val="087E29F0"/>
    <w:rsid w:val="087E2A15"/>
    <w:rsid w:val="087E2AC0"/>
    <w:rsid w:val="087E2B45"/>
    <w:rsid w:val="087E2BCF"/>
    <w:rsid w:val="087E2C9B"/>
    <w:rsid w:val="087E2CEF"/>
    <w:rsid w:val="087E2D8F"/>
    <w:rsid w:val="087E2E5E"/>
    <w:rsid w:val="087E2E7B"/>
    <w:rsid w:val="087E2EB3"/>
    <w:rsid w:val="087E2EDB"/>
    <w:rsid w:val="087E2EE4"/>
    <w:rsid w:val="087E2F3D"/>
    <w:rsid w:val="087E2F73"/>
    <w:rsid w:val="087E2F8A"/>
    <w:rsid w:val="087E3087"/>
    <w:rsid w:val="087E30EC"/>
    <w:rsid w:val="087E3361"/>
    <w:rsid w:val="087E33DD"/>
    <w:rsid w:val="087E3403"/>
    <w:rsid w:val="087E3527"/>
    <w:rsid w:val="087E358C"/>
    <w:rsid w:val="087E35DB"/>
    <w:rsid w:val="087E35FE"/>
    <w:rsid w:val="087E3639"/>
    <w:rsid w:val="087E3644"/>
    <w:rsid w:val="087E36AE"/>
    <w:rsid w:val="087E372A"/>
    <w:rsid w:val="087E376E"/>
    <w:rsid w:val="087E37EA"/>
    <w:rsid w:val="087E38BB"/>
    <w:rsid w:val="087E38FC"/>
    <w:rsid w:val="087E39AF"/>
    <w:rsid w:val="087E39D2"/>
    <w:rsid w:val="087E39E8"/>
    <w:rsid w:val="087E3AB9"/>
    <w:rsid w:val="087E3B6C"/>
    <w:rsid w:val="087E3B82"/>
    <w:rsid w:val="087E3B88"/>
    <w:rsid w:val="087E3BA0"/>
    <w:rsid w:val="087E3BEF"/>
    <w:rsid w:val="087E3BF4"/>
    <w:rsid w:val="087E3C73"/>
    <w:rsid w:val="087E3C96"/>
    <w:rsid w:val="087E3CCF"/>
    <w:rsid w:val="087E3CD6"/>
    <w:rsid w:val="087E3CE6"/>
    <w:rsid w:val="087E3D45"/>
    <w:rsid w:val="087E3D88"/>
    <w:rsid w:val="087E3E01"/>
    <w:rsid w:val="087E3E23"/>
    <w:rsid w:val="087E3EAB"/>
    <w:rsid w:val="087E3F5B"/>
    <w:rsid w:val="087E3F78"/>
    <w:rsid w:val="087E3F92"/>
    <w:rsid w:val="087E3FB3"/>
    <w:rsid w:val="087E3FB5"/>
    <w:rsid w:val="087E3FBF"/>
    <w:rsid w:val="087E3FDF"/>
    <w:rsid w:val="087E41DB"/>
    <w:rsid w:val="087E41ED"/>
    <w:rsid w:val="087E4279"/>
    <w:rsid w:val="087E43FB"/>
    <w:rsid w:val="087E440B"/>
    <w:rsid w:val="087E4410"/>
    <w:rsid w:val="087E44B6"/>
    <w:rsid w:val="087E45AE"/>
    <w:rsid w:val="087E45E2"/>
    <w:rsid w:val="087E4692"/>
    <w:rsid w:val="087E48D0"/>
    <w:rsid w:val="087E48D9"/>
    <w:rsid w:val="087E48E6"/>
    <w:rsid w:val="087E49A9"/>
    <w:rsid w:val="087E49CF"/>
    <w:rsid w:val="087E49E1"/>
    <w:rsid w:val="087E49FD"/>
    <w:rsid w:val="087E4AB9"/>
    <w:rsid w:val="087E4ACD"/>
    <w:rsid w:val="087E4B1E"/>
    <w:rsid w:val="087E4C1E"/>
    <w:rsid w:val="087E4D55"/>
    <w:rsid w:val="087E4DBE"/>
    <w:rsid w:val="087E4DC4"/>
    <w:rsid w:val="087E4E5A"/>
    <w:rsid w:val="087E4E80"/>
    <w:rsid w:val="087E4ED3"/>
    <w:rsid w:val="087E4F18"/>
    <w:rsid w:val="087E4F4A"/>
    <w:rsid w:val="087E4FC1"/>
    <w:rsid w:val="087E4FEC"/>
    <w:rsid w:val="087E5168"/>
    <w:rsid w:val="087E51B7"/>
    <w:rsid w:val="087E52BE"/>
    <w:rsid w:val="087E5359"/>
    <w:rsid w:val="087E53C2"/>
    <w:rsid w:val="087E53F6"/>
    <w:rsid w:val="087E5424"/>
    <w:rsid w:val="087E5538"/>
    <w:rsid w:val="087E5712"/>
    <w:rsid w:val="087E5757"/>
    <w:rsid w:val="087E57A4"/>
    <w:rsid w:val="087E585C"/>
    <w:rsid w:val="087E58E4"/>
    <w:rsid w:val="087E5922"/>
    <w:rsid w:val="087E5999"/>
    <w:rsid w:val="087E59BE"/>
    <w:rsid w:val="087E5AC0"/>
    <w:rsid w:val="087E5B6E"/>
    <w:rsid w:val="087E5CC6"/>
    <w:rsid w:val="087E5DC5"/>
    <w:rsid w:val="087E5DE3"/>
    <w:rsid w:val="087E5DED"/>
    <w:rsid w:val="087E5E20"/>
    <w:rsid w:val="087E5EEC"/>
    <w:rsid w:val="087E618F"/>
    <w:rsid w:val="087E6193"/>
    <w:rsid w:val="087E6225"/>
    <w:rsid w:val="087E628A"/>
    <w:rsid w:val="087E62DD"/>
    <w:rsid w:val="087E6340"/>
    <w:rsid w:val="087E6360"/>
    <w:rsid w:val="087E637A"/>
    <w:rsid w:val="087E6553"/>
    <w:rsid w:val="087E656D"/>
    <w:rsid w:val="087E6596"/>
    <w:rsid w:val="087E65BA"/>
    <w:rsid w:val="087E6692"/>
    <w:rsid w:val="087E673B"/>
    <w:rsid w:val="087E675E"/>
    <w:rsid w:val="087E67AC"/>
    <w:rsid w:val="087E67D7"/>
    <w:rsid w:val="087E67FA"/>
    <w:rsid w:val="087E684D"/>
    <w:rsid w:val="087E686D"/>
    <w:rsid w:val="087E68E6"/>
    <w:rsid w:val="087E691B"/>
    <w:rsid w:val="087E692F"/>
    <w:rsid w:val="087E69A6"/>
    <w:rsid w:val="087E6A5A"/>
    <w:rsid w:val="087E6AEF"/>
    <w:rsid w:val="087E6B89"/>
    <w:rsid w:val="087E6C68"/>
    <w:rsid w:val="087E6C92"/>
    <w:rsid w:val="087E6CA2"/>
    <w:rsid w:val="087E6E81"/>
    <w:rsid w:val="087E6E9C"/>
    <w:rsid w:val="087E6F28"/>
    <w:rsid w:val="087E708B"/>
    <w:rsid w:val="087E708D"/>
    <w:rsid w:val="087E70A9"/>
    <w:rsid w:val="087E70E9"/>
    <w:rsid w:val="087E71E2"/>
    <w:rsid w:val="087E72C5"/>
    <w:rsid w:val="087E73B7"/>
    <w:rsid w:val="087E73DC"/>
    <w:rsid w:val="087E73EF"/>
    <w:rsid w:val="087E740C"/>
    <w:rsid w:val="087E74A9"/>
    <w:rsid w:val="087E7510"/>
    <w:rsid w:val="087E7518"/>
    <w:rsid w:val="087E7581"/>
    <w:rsid w:val="087E759A"/>
    <w:rsid w:val="087E764E"/>
    <w:rsid w:val="087E7678"/>
    <w:rsid w:val="087E7764"/>
    <w:rsid w:val="087E7788"/>
    <w:rsid w:val="087E78C9"/>
    <w:rsid w:val="087E793A"/>
    <w:rsid w:val="087E7978"/>
    <w:rsid w:val="087E79B4"/>
    <w:rsid w:val="087E7C60"/>
    <w:rsid w:val="087E7D7E"/>
    <w:rsid w:val="087E7DE8"/>
    <w:rsid w:val="087E7DF6"/>
    <w:rsid w:val="087E7E09"/>
    <w:rsid w:val="087E7FD9"/>
    <w:rsid w:val="087F00AF"/>
    <w:rsid w:val="087F00DF"/>
    <w:rsid w:val="087F0111"/>
    <w:rsid w:val="087F0188"/>
    <w:rsid w:val="087F024D"/>
    <w:rsid w:val="087F02A9"/>
    <w:rsid w:val="087F03CB"/>
    <w:rsid w:val="087F04D8"/>
    <w:rsid w:val="087F04F9"/>
    <w:rsid w:val="087F056D"/>
    <w:rsid w:val="087F0667"/>
    <w:rsid w:val="087F06C9"/>
    <w:rsid w:val="087F06F2"/>
    <w:rsid w:val="087F0740"/>
    <w:rsid w:val="087F080C"/>
    <w:rsid w:val="087F0859"/>
    <w:rsid w:val="087F0879"/>
    <w:rsid w:val="087F087D"/>
    <w:rsid w:val="087F08B1"/>
    <w:rsid w:val="087F091D"/>
    <w:rsid w:val="087F095F"/>
    <w:rsid w:val="087F09A9"/>
    <w:rsid w:val="087F09CB"/>
    <w:rsid w:val="087F0A66"/>
    <w:rsid w:val="087F0A93"/>
    <w:rsid w:val="087F0B10"/>
    <w:rsid w:val="087F0B2F"/>
    <w:rsid w:val="087F0BF6"/>
    <w:rsid w:val="087F0BFB"/>
    <w:rsid w:val="087F0C61"/>
    <w:rsid w:val="087F0C76"/>
    <w:rsid w:val="087F0CA3"/>
    <w:rsid w:val="087F0CB5"/>
    <w:rsid w:val="087F0CF6"/>
    <w:rsid w:val="087F0D10"/>
    <w:rsid w:val="087F0D22"/>
    <w:rsid w:val="087F0D56"/>
    <w:rsid w:val="087F0F64"/>
    <w:rsid w:val="087F0F7A"/>
    <w:rsid w:val="087F0FF3"/>
    <w:rsid w:val="087F1012"/>
    <w:rsid w:val="087F1035"/>
    <w:rsid w:val="087F109F"/>
    <w:rsid w:val="087F10E0"/>
    <w:rsid w:val="087F1208"/>
    <w:rsid w:val="087F1235"/>
    <w:rsid w:val="087F1271"/>
    <w:rsid w:val="087F12A0"/>
    <w:rsid w:val="087F12EB"/>
    <w:rsid w:val="087F138E"/>
    <w:rsid w:val="087F13AC"/>
    <w:rsid w:val="087F14A3"/>
    <w:rsid w:val="087F14A4"/>
    <w:rsid w:val="087F1578"/>
    <w:rsid w:val="087F15A1"/>
    <w:rsid w:val="087F1621"/>
    <w:rsid w:val="087F16DF"/>
    <w:rsid w:val="087F1779"/>
    <w:rsid w:val="087F17D0"/>
    <w:rsid w:val="087F17DD"/>
    <w:rsid w:val="087F17EE"/>
    <w:rsid w:val="087F182D"/>
    <w:rsid w:val="087F1959"/>
    <w:rsid w:val="087F19A4"/>
    <w:rsid w:val="087F19DF"/>
    <w:rsid w:val="087F19FD"/>
    <w:rsid w:val="087F1A22"/>
    <w:rsid w:val="087F1A79"/>
    <w:rsid w:val="087F1B24"/>
    <w:rsid w:val="087F1BFA"/>
    <w:rsid w:val="087F1C05"/>
    <w:rsid w:val="087F1C1C"/>
    <w:rsid w:val="087F1C22"/>
    <w:rsid w:val="087F1C40"/>
    <w:rsid w:val="087F1C8E"/>
    <w:rsid w:val="087F1CA2"/>
    <w:rsid w:val="087F1CC0"/>
    <w:rsid w:val="087F1CE8"/>
    <w:rsid w:val="087F1CFF"/>
    <w:rsid w:val="087F1D23"/>
    <w:rsid w:val="087F1D29"/>
    <w:rsid w:val="087F1DE8"/>
    <w:rsid w:val="087F1E71"/>
    <w:rsid w:val="087F1EAB"/>
    <w:rsid w:val="087F1ED7"/>
    <w:rsid w:val="087F1EE1"/>
    <w:rsid w:val="087F2035"/>
    <w:rsid w:val="087F2099"/>
    <w:rsid w:val="087F213C"/>
    <w:rsid w:val="087F233C"/>
    <w:rsid w:val="087F23D1"/>
    <w:rsid w:val="087F2433"/>
    <w:rsid w:val="087F248A"/>
    <w:rsid w:val="087F2515"/>
    <w:rsid w:val="087F25BA"/>
    <w:rsid w:val="087F262B"/>
    <w:rsid w:val="087F2696"/>
    <w:rsid w:val="087F26EE"/>
    <w:rsid w:val="087F277A"/>
    <w:rsid w:val="087F278E"/>
    <w:rsid w:val="087F2790"/>
    <w:rsid w:val="087F2794"/>
    <w:rsid w:val="087F27FC"/>
    <w:rsid w:val="087F2816"/>
    <w:rsid w:val="087F2826"/>
    <w:rsid w:val="087F296E"/>
    <w:rsid w:val="087F29DA"/>
    <w:rsid w:val="087F2A29"/>
    <w:rsid w:val="087F2B20"/>
    <w:rsid w:val="087F2B84"/>
    <w:rsid w:val="087F2BDA"/>
    <w:rsid w:val="087F2CEE"/>
    <w:rsid w:val="087F2D62"/>
    <w:rsid w:val="087F2E3D"/>
    <w:rsid w:val="087F2E53"/>
    <w:rsid w:val="087F2F04"/>
    <w:rsid w:val="087F2F40"/>
    <w:rsid w:val="087F2F57"/>
    <w:rsid w:val="087F2FB6"/>
    <w:rsid w:val="087F2FB8"/>
    <w:rsid w:val="087F304B"/>
    <w:rsid w:val="087F306B"/>
    <w:rsid w:val="087F30C3"/>
    <w:rsid w:val="087F3112"/>
    <w:rsid w:val="087F3140"/>
    <w:rsid w:val="087F3141"/>
    <w:rsid w:val="087F31B7"/>
    <w:rsid w:val="087F31C4"/>
    <w:rsid w:val="087F3223"/>
    <w:rsid w:val="087F3365"/>
    <w:rsid w:val="087F337F"/>
    <w:rsid w:val="087F3393"/>
    <w:rsid w:val="087F339F"/>
    <w:rsid w:val="087F343F"/>
    <w:rsid w:val="087F3456"/>
    <w:rsid w:val="087F3489"/>
    <w:rsid w:val="087F3519"/>
    <w:rsid w:val="087F35BB"/>
    <w:rsid w:val="087F360C"/>
    <w:rsid w:val="087F3680"/>
    <w:rsid w:val="087F36A9"/>
    <w:rsid w:val="087F3766"/>
    <w:rsid w:val="087F3918"/>
    <w:rsid w:val="087F3947"/>
    <w:rsid w:val="087F39BE"/>
    <w:rsid w:val="087F3A17"/>
    <w:rsid w:val="087F3B5B"/>
    <w:rsid w:val="087F3B62"/>
    <w:rsid w:val="087F3C20"/>
    <w:rsid w:val="087F3CBB"/>
    <w:rsid w:val="087F3CD1"/>
    <w:rsid w:val="087F3CE4"/>
    <w:rsid w:val="087F3D5E"/>
    <w:rsid w:val="087F3DAE"/>
    <w:rsid w:val="087F3E3C"/>
    <w:rsid w:val="087F3E8C"/>
    <w:rsid w:val="087F405C"/>
    <w:rsid w:val="087F4068"/>
    <w:rsid w:val="087F40AA"/>
    <w:rsid w:val="087F4141"/>
    <w:rsid w:val="087F4169"/>
    <w:rsid w:val="087F4240"/>
    <w:rsid w:val="087F4266"/>
    <w:rsid w:val="087F42FB"/>
    <w:rsid w:val="087F4309"/>
    <w:rsid w:val="087F4575"/>
    <w:rsid w:val="087F460E"/>
    <w:rsid w:val="087F4655"/>
    <w:rsid w:val="087F4663"/>
    <w:rsid w:val="087F46CC"/>
    <w:rsid w:val="087F472D"/>
    <w:rsid w:val="087F477E"/>
    <w:rsid w:val="087F477F"/>
    <w:rsid w:val="087F47C3"/>
    <w:rsid w:val="087F48D0"/>
    <w:rsid w:val="087F4913"/>
    <w:rsid w:val="087F4916"/>
    <w:rsid w:val="087F4A74"/>
    <w:rsid w:val="087F4A9A"/>
    <w:rsid w:val="087F4AEA"/>
    <w:rsid w:val="087F4B27"/>
    <w:rsid w:val="087F4B35"/>
    <w:rsid w:val="087F4B68"/>
    <w:rsid w:val="087F4B6E"/>
    <w:rsid w:val="087F4BD6"/>
    <w:rsid w:val="087F4BDB"/>
    <w:rsid w:val="087F4C70"/>
    <w:rsid w:val="087F4C8E"/>
    <w:rsid w:val="087F4E6E"/>
    <w:rsid w:val="087F4E93"/>
    <w:rsid w:val="087F4EAB"/>
    <w:rsid w:val="087F4EDC"/>
    <w:rsid w:val="087F4F14"/>
    <w:rsid w:val="087F4FAB"/>
    <w:rsid w:val="087F506B"/>
    <w:rsid w:val="087F507D"/>
    <w:rsid w:val="087F5088"/>
    <w:rsid w:val="087F50C8"/>
    <w:rsid w:val="087F517E"/>
    <w:rsid w:val="087F51AC"/>
    <w:rsid w:val="087F525F"/>
    <w:rsid w:val="087F5349"/>
    <w:rsid w:val="087F5357"/>
    <w:rsid w:val="087F5386"/>
    <w:rsid w:val="087F53A8"/>
    <w:rsid w:val="087F549E"/>
    <w:rsid w:val="087F5582"/>
    <w:rsid w:val="087F56EB"/>
    <w:rsid w:val="087F56F4"/>
    <w:rsid w:val="087F5791"/>
    <w:rsid w:val="087F582D"/>
    <w:rsid w:val="087F59A5"/>
    <w:rsid w:val="087F59ED"/>
    <w:rsid w:val="087F5A0F"/>
    <w:rsid w:val="087F5A53"/>
    <w:rsid w:val="087F5BA0"/>
    <w:rsid w:val="087F5C1E"/>
    <w:rsid w:val="087F5C40"/>
    <w:rsid w:val="087F5C64"/>
    <w:rsid w:val="087F5CD4"/>
    <w:rsid w:val="087F5D14"/>
    <w:rsid w:val="087F5D21"/>
    <w:rsid w:val="087F5E29"/>
    <w:rsid w:val="087F5EC5"/>
    <w:rsid w:val="087F5ED0"/>
    <w:rsid w:val="087F5EDF"/>
    <w:rsid w:val="087F5FA7"/>
    <w:rsid w:val="087F5FCB"/>
    <w:rsid w:val="087F5FCC"/>
    <w:rsid w:val="087F6029"/>
    <w:rsid w:val="087F6095"/>
    <w:rsid w:val="087F60B7"/>
    <w:rsid w:val="087F60E9"/>
    <w:rsid w:val="087F6116"/>
    <w:rsid w:val="087F6242"/>
    <w:rsid w:val="087F6270"/>
    <w:rsid w:val="087F64A8"/>
    <w:rsid w:val="087F64D3"/>
    <w:rsid w:val="087F6538"/>
    <w:rsid w:val="087F659C"/>
    <w:rsid w:val="087F65A5"/>
    <w:rsid w:val="087F664E"/>
    <w:rsid w:val="087F667B"/>
    <w:rsid w:val="087F667D"/>
    <w:rsid w:val="087F66B6"/>
    <w:rsid w:val="087F66CF"/>
    <w:rsid w:val="087F673E"/>
    <w:rsid w:val="087F6781"/>
    <w:rsid w:val="087F67A5"/>
    <w:rsid w:val="087F67B8"/>
    <w:rsid w:val="087F67C1"/>
    <w:rsid w:val="087F67F5"/>
    <w:rsid w:val="087F6845"/>
    <w:rsid w:val="087F68DB"/>
    <w:rsid w:val="087F692B"/>
    <w:rsid w:val="087F69DF"/>
    <w:rsid w:val="087F6A39"/>
    <w:rsid w:val="087F6ACC"/>
    <w:rsid w:val="087F6B36"/>
    <w:rsid w:val="087F6B51"/>
    <w:rsid w:val="087F6C4A"/>
    <w:rsid w:val="087F6C69"/>
    <w:rsid w:val="087F6DC9"/>
    <w:rsid w:val="087F6E25"/>
    <w:rsid w:val="087F6EDF"/>
    <w:rsid w:val="087F6F0E"/>
    <w:rsid w:val="087F6F1C"/>
    <w:rsid w:val="087F6F56"/>
    <w:rsid w:val="087F6F65"/>
    <w:rsid w:val="087F70F1"/>
    <w:rsid w:val="087F714C"/>
    <w:rsid w:val="087F715F"/>
    <w:rsid w:val="087F7196"/>
    <w:rsid w:val="087F7230"/>
    <w:rsid w:val="087F7342"/>
    <w:rsid w:val="087F737A"/>
    <w:rsid w:val="087F7415"/>
    <w:rsid w:val="087F74DC"/>
    <w:rsid w:val="087F753D"/>
    <w:rsid w:val="087F75B0"/>
    <w:rsid w:val="087F764E"/>
    <w:rsid w:val="087F775C"/>
    <w:rsid w:val="087F79F6"/>
    <w:rsid w:val="087F7A19"/>
    <w:rsid w:val="087F7A1C"/>
    <w:rsid w:val="087F7A2C"/>
    <w:rsid w:val="087F7A76"/>
    <w:rsid w:val="087F7AB7"/>
    <w:rsid w:val="087F7AC2"/>
    <w:rsid w:val="087F7ACA"/>
    <w:rsid w:val="087F7B98"/>
    <w:rsid w:val="087F7BC9"/>
    <w:rsid w:val="087F7BF1"/>
    <w:rsid w:val="087F7D4E"/>
    <w:rsid w:val="087F7D88"/>
    <w:rsid w:val="087F7F72"/>
    <w:rsid w:val="087F7FBF"/>
    <w:rsid w:val="0880003D"/>
    <w:rsid w:val="08800052"/>
    <w:rsid w:val="08800053"/>
    <w:rsid w:val="08800089"/>
    <w:rsid w:val="08800096"/>
    <w:rsid w:val="0880010B"/>
    <w:rsid w:val="08800164"/>
    <w:rsid w:val="088001A9"/>
    <w:rsid w:val="088001D7"/>
    <w:rsid w:val="0880027C"/>
    <w:rsid w:val="088002DC"/>
    <w:rsid w:val="08800352"/>
    <w:rsid w:val="0880038F"/>
    <w:rsid w:val="08800434"/>
    <w:rsid w:val="08800473"/>
    <w:rsid w:val="0880053D"/>
    <w:rsid w:val="08800562"/>
    <w:rsid w:val="08800588"/>
    <w:rsid w:val="08800650"/>
    <w:rsid w:val="0880065A"/>
    <w:rsid w:val="08800793"/>
    <w:rsid w:val="088007A8"/>
    <w:rsid w:val="0880080A"/>
    <w:rsid w:val="088008DF"/>
    <w:rsid w:val="08800AAA"/>
    <w:rsid w:val="08800AB1"/>
    <w:rsid w:val="08800B1C"/>
    <w:rsid w:val="08800BFD"/>
    <w:rsid w:val="08800C1B"/>
    <w:rsid w:val="08800D37"/>
    <w:rsid w:val="08800D52"/>
    <w:rsid w:val="08800D8A"/>
    <w:rsid w:val="08800DA2"/>
    <w:rsid w:val="08800DD9"/>
    <w:rsid w:val="08800E09"/>
    <w:rsid w:val="08800E1F"/>
    <w:rsid w:val="08800E81"/>
    <w:rsid w:val="08800FE5"/>
    <w:rsid w:val="08800FF9"/>
    <w:rsid w:val="08801048"/>
    <w:rsid w:val="08801193"/>
    <w:rsid w:val="08801215"/>
    <w:rsid w:val="08801230"/>
    <w:rsid w:val="0880126F"/>
    <w:rsid w:val="0880132E"/>
    <w:rsid w:val="08801337"/>
    <w:rsid w:val="08801400"/>
    <w:rsid w:val="0880144B"/>
    <w:rsid w:val="088014C2"/>
    <w:rsid w:val="08801634"/>
    <w:rsid w:val="0880164C"/>
    <w:rsid w:val="08801670"/>
    <w:rsid w:val="08801680"/>
    <w:rsid w:val="08801699"/>
    <w:rsid w:val="0880169C"/>
    <w:rsid w:val="088016BB"/>
    <w:rsid w:val="08801718"/>
    <w:rsid w:val="08801887"/>
    <w:rsid w:val="08801940"/>
    <w:rsid w:val="08801945"/>
    <w:rsid w:val="08801975"/>
    <w:rsid w:val="0880197A"/>
    <w:rsid w:val="08801A72"/>
    <w:rsid w:val="08801D43"/>
    <w:rsid w:val="08801E11"/>
    <w:rsid w:val="08801EFF"/>
    <w:rsid w:val="08801F3C"/>
    <w:rsid w:val="08801F4E"/>
    <w:rsid w:val="088020DB"/>
    <w:rsid w:val="088020F4"/>
    <w:rsid w:val="08802137"/>
    <w:rsid w:val="0880214D"/>
    <w:rsid w:val="0880223A"/>
    <w:rsid w:val="0880224C"/>
    <w:rsid w:val="0880229F"/>
    <w:rsid w:val="088022B6"/>
    <w:rsid w:val="088023AD"/>
    <w:rsid w:val="08802464"/>
    <w:rsid w:val="08802698"/>
    <w:rsid w:val="088026B7"/>
    <w:rsid w:val="0880276F"/>
    <w:rsid w:val="08802786"/>
    <w:rsid w:val="088027E6"/>
    <w:rsid w:val="08802823"/>
    <w:rsid w:val="088028B8"/>
    <w:rsid w:val="088028DD"/>
    <w:rsid w:val="0880295C"/>
    <w:rsid w:val="0880296A"/>
    <w:rsid w:val="0880297D"/>
    <w:rsid w:val="088029C0"/>
    <w:rsid w:val="08802AB8"/>
    <w:rsid w:val="08802B22"/>
    <w:rsid w:val="08802B7A"/>
    <w:rsid w:val="08802C11"/>
    <w:rsid w:val="08802C1F"/>
    <w:rsid w:val="08802C87"/>
    <w:rsid w:val="08802EDF"/>
    <w:rsid w:val="08802F8C"/>
    <w:rsid w:val="0880303E"/>
    <w:rsid w:val="08803041"/>
    <w:rsid w:val="08803105"/>
    <w:rsid w:val="0880315F"/>
    <w:rsid w:val="08803174"/>
    <w:rsid w:val="08803186"/>
    <w:rsid w:val="088031EE"/>
    <w:rsid w:val="08803208"/>
    <w:rsid w:val="0880323E"/>
    <w:rsid w:val="088032AF"/>
    <w:rsid w:val="088032B2"/>
    <w:rsid w:val="088032CA"/>
    <w:rsid w:val="08803310"/>
    <w:rsid w:val="08803325"/>
    <w:rsid w:val="08803326"/>
    <w:rsid w:val="088033BD"/>
    <w:rsid w:val="0880342E"/>
    <w:rsid w:val="088034FB"/>
    <w:rsid w:val="088035BF"/>
    <w:rsid w:val="088035EF"/>
    <w:rsid w:val="08803635"/>
    <w:rsid w:val="08803671"/>
    <w:rsid w:val="088036CE"/>
    <w:rsid w:val="088036CF"/>
    <w:rsid w:val="088036DA"/>
    <w:rsid w:val="08803725"/>
    <w:rsid w:val="08803750"/>
    <w:rsid w:val="0880377A"/>
    <w:rsid w:val="088037C7"/>
    <w:rsid w:val="088037D8"/>
    <w:rsid w:val="0880387C"/>
    <w:rsid w:val="0880394F"/>
    <w:rsid w:val="08803A43"/>
    <w:rsid w:val="08803AD9"/>
    <w:rsid w:val="08803E2E"/>
    <w:rsid w:val="08803EA6"/>
    <w:rsid w:val="08803EC5"/>
    <w:rsid w:val="08803FDD"/>
    <w:rsid w:val="08803FEA"/>
    <w:rsid w:val="08804067"/>
    <w:rsid w:val="08804088"/>
    <w:rsid w:val="08804108"/>
    <w:rsid w:val="0880414D"/>
    <w:rsid w:val="08804277"/>
    <w:rsid w:val="088042FC"/>
    <w:rsid w:val="08804579"/>
    <w:rsid w:val="0880462E"/>
    <w:rsid w:val="08804727"/>
    <w:rsid w:val="0880473E"/>
    <w:rsid w:val="08804810"/>
    <w:rsid w:val="08804944"/>
    <w:rsid w:val="08804A01"/>
    <w:rsid w:val="08804A10"/>
    <w:rsid w:val="08804A8D"/>
    <w:rsid w:val="08804C1F"/>
    <w:rsid w:val="08804C4F"/>
    <w:rsid w:val="08804C85"/>
    <w:rsid w:val="08804DBB"/>
    <w:rsid w:val="08804DF7"/>
    <w:rsid w:val="08804E68"/>
    <w:rsid w:val="08804E95"/>
    <w:rsid w:val="08804EDF"/>
    <w:rsid w:val="08804F54"/>
    <w:rsid w:val="08804F75"/>
    <w:rsid w:val="08804F8F"/>
    <w:rsid w:val="08804F98"/>
    <w:rsid w:val="08805042"/>
    <w:rsid w:val="0880516A"/>
    <w:rsid w:val="08805358"/>
    <w:rsid w:val="088055CD"/>
    <w:rsid w:val="088056B8"/>
    <w:rsid w:val="08805702"/>
    <w:rsid w:val="08805745"/>
    <w:rsid w:val="0880575D"/>
    <w:rsid w:val="0880579E"/>
    <w:rsid w:val="088057AE"/>
    <w:rsid w:val="088057D6"/>
    <w:rsid w:val="0880582B"/>
    <w:rsid w:val="0880587C"/>
    <w:rsid w:val="088058B1"/>
    <w:rsid w:val="08805933"/>
    <w:rsid w:val="0880594E"/>
    <w:rsid w:val="088059B0"/>
    <w:rsid w:val="088059FE"/>
    <w:rsid w:val="08805B92"/>
    <w:rsid w:val="08805C6E"/>
    <w:rsid w:val="08805CC4"/>
    <w:rsid w:val="08805CEF"/>
    <w:rsid w:val="08805CFA"/>
    <w:rsid w:val="08805D1E"/>
    <w:rsid w:val="08805E7A"/>
    <w:rsid w:val="08805EA5"/>
    <w:rsid w:val="08805EF3"/>
    <w:rsid w:val="08805F4A"/>
    <w:rsid w:val="08805F77"/>
    <w:rsid w:val="08806001"/>
    <w:rsid w:val="08806100"/>
    <w:rsid w:val="088061F3"/>
    <w:rsid w:val="088063A7"/>
    <w:rsid w:val="08806440"/>
    <w:rsid w:val="08806472"/>
    <w:rsid w:val="088064C1"/>
    <w:rsid w:val="08806571"/>
    <w:rsid w:val="08806675"/>
    <w:rsid w:val="088066C9"/>
    <w:rsid w:val="088066ED"/>
    <w:rsid w:val="08806780"/>
    <w:rsid w:val="08806799"/>
    <w:rsid w:val="088067AE"/>
    <w:rsid w:val="088067E1"/>
    <w:rsid w:val="0880680A"/>
    <w:rsid w:val="0880682F"/>
    <w:rsid w:val="08806886"/>
    <w:rsid w:val="0880689E"/>
    <w:rsid w:val="08806953"/>
    <w:rsid w:val="08806A03"/>
    <w:rsid w:val="08806BCB"/>
    <w:rsid w:val="08806C0E"/>
    <w:rsid w:val="08806D71"/>
    <w:rsid w:val="08806F19"/>
    <w:rsid w:val="088070CC"/>
    <w:rsid w:val="088070DB"/>
    <w:rsid w:val="08807141"/>
    <w:rsid w:val="08807178"/>
    <w:rsid w:val="08807246"/>
    <w:rsid w:val="08807261"/>
    <w:rsid w:val="08807491"/>
    <w:rsid w:val="088074B7"/>
    <w:rsid w:val="088074DB"/>
    <w:rsid w:val="088074DF"/>
    <w:rsid w:val="088075B9"/>
    <w:rsid w:val="088075E0"/>
    <w:rsid w:val="0880760F"/>
    <w:rsid w:val="08807610"/>
    <w:rsid w:val="08807625"/>
    <w:rsid w:val="08807663"/>
    <w:rsid w:val="08807735"/>
    <w:rsid w:val="0880782B"/>
    <w:rsid w:val="08807869"/>
    <w:rsid w:val="088078A3"/>
    <w:rsid w:val="088078D5"/>
    <w:rsid w:val="088079D8"/>
    <w:rsid w:val="08807A5A"/>
    <w:rsid w:val="08807C51"/>
    <w:rsid w:val="08807C5F"/>
    <w:rsid w:val="08807CBF"/>
    <w:rsid w:val="08807D42"/>
    <w:rsid w:val="08807DE8"/>
    <w:rsid w:val="08807DFB"/>
    <w:rsid w:val="08807E39"/>
    <w:rsid w:val="08807E57"/>
    <w:rsid w:val="08807E6D"/>
    <w:rsid w:val="08807EB1"/>
    <w:rsid w:val="08807ED9"/>
    <w:rsid w:val="08810057"/>
    <w:rsid w:val="088100A1"/>
    <w:rsid w:val="088100C9"/>
    <w:rsid w:val="0881015F"/>
    <w:rsid w:val="088101DA"/>
    <w:rsid w:val="0881020D"/>
    <w:rsid w:val="08810297"/>
    <w:rsid w:val="08810334"/>
    <w:rsid w:val="0881039F"/>
    <w:rsid w:val="088103C0"/>
    <w:rsid w:val="088103CD"/>
    <w:rsid w:val="088103F5"/>
    <w:rsid w:val="088104B0"/>
    <w:rsid w:val="088104DD"/>
    <w:rsid w:val="088106AB"/>
    <w:rsid w:val="08810707"/>
    <w:rsid w:val="08810723"/>
    <w:rsid w:val="08810845"/>
    <w:rsid w:val="0881087D"/>
    <w:rsid w:val="0881089B"/>
    <w:rsid w:val="08810945"/>
    <w:rsid w:val="08810950"/>
    <w:rsid w:val="08810969"/>
    <w:rsid w:val="08810977"/>
    <w:rsid w:val="08810A00"/>
    <w:rsid w:val="08810A46"/>
    <w:rsid w:val="08810A6F"/>
    <w:rsid w:val="08810A83"/>
    <w:rsid w:val="08810AC7"/>
    <w:rsid w:val="08810AD1"/>
    <w:rsid w:val="08810B55"/>
    <w:rsid w:val="08810BE4"/>
    <w:rsid w:val="08810C6B"/>
    <w:rsid w:val="08810C88"/>
    <w:rsid w:val="08810CCF"/>
    <w:rsid w:val="08810D06"/>
    <w:rsid w:val="08810D30"/>
    <w:rsid w:val="08810D3D"/>
    <w:rsid w:val="08810D8D"/>
    <w:rsid w:val="08810DC3"/>
    <w:rsid w:val="08810E17"/>
    <w:rsid w:val="08810E30"/>
    <w:rsid w:val="08810EA5"/>
    <w:rsid w:val="08810F0D"/>
    <w:rsid w:val="08810F89"/>
    <w:rsid w:val="088110AC"/>
    <w:rsid w:val="088110E2"/>
    <w:rsid w:val="08811161"/>
    <w:rsid w:val="088111B6"/>
    <w:rsid w:val="0881121F"/>
    <w:rsid w:val="08811268"/>
    <w:rsid w:val="088112C9"/>
    <w:rsid w:val="088112D0"/>
    <w:rsid w:val="088113F3"/>
    <w:rsid w:val="08811541"/>
    <w:rsid w:val="088115BD"/>
    <w:rsid w:val="088115DE"/>
    <w:rsid w:val="088115FA"/>
    <w:rsid w:val="0881160E"/>
    <w:rsid w:val="08811627"/>
    <w:rsid w:val="0881163F"/>
    <w:rsid w:val="08811653"/>
    <w:rsid w:val="088116FB"/>
    <w:rsid w:val="0881178C"/>
    <w:rsid w:val="088117CA"/>
    <w:rsid w:val="088118E1"/>
    <w:rsid w:val="0881199B"/>
    <w:rsid w:val="08811A46"/>
    <w:rsid w:val="08811A52"/>
    <w:rsid w:val="08811A6E"/>
    <w:rsid w:val="08811B7E"/>
    <w:rsid w:val="08811C58"/>
    <w:rsid w:val="08811DB8"/>
    <w:rsid w:val="08812430"/>
    <w:rsid w:val="08812497"/>
    <w:rsid w:val="088125AD"/>
    <w:rsid w:val="088125D6"/>
    <w:rsid w:val="08812673"/>
    <w:rsid w:val="088126C9"/>
    <w:rsid w:val="08812700"/>
    <w:rsid w:val="088127ED"/>
    <w:rsid w:val="088129D4"/>
    <w:rsid w:val="08812A48"/>
    <w:rsid w:val="08812BD0"/>
    <w:rsid w:val="08812CE6"/>
    <w:rsid w:val="08812DEF"/>
    <w:rsid w:val="08812DF5"/>
    <w:rsid w:val="08812E4B"/>
    <w:rsid w:val="08812ECE"/>
    <w:rsid w:val="08812EF6"/>
    <w:rsid w:val="08812F2E"/>
    <w:rsid w:val="08812F78"/>
    <w:rsid w:val="08812F82"/>
    <w:rsid w:val="08812FFE"/>
    <w:rsid w:val="0881305E"/>
    <w:rsid w:val="08813172"/>
    <w:rsid w:val="0881321F"/>
    <w:rsid w:val="08813326"/>
    <w:rsid w:val="08813397"/>
    <w:rsid w:val="08813408"/>
    <w:rsid w:val="08813469"/>
    <w:rsid w:val="088134AD"/>
    <w:rsid w:val="08813620"/>
    <w:rsid w:val="08813726"/>
    <w:rsid w:val="088137F8"/>
    <w:rsid w:val="08813849"/>
    <w:rsid w:val="088139FC"/>
    <w:rsid w:val="08813A96"/>
    <w:rsid w:val="08813B24"/>
    <w:rsid w:val="08813B2D"/>
    <w:rsid w:val="08813B4B"/>
    <w:rsid w:val="08813B8A"/>
    <w:rsid w:val="08813C37"/>
    <w:rsid w:val="08813C77"/>
    <w:rsid w:val="08813E5B"/>
    <w:rsid w:val="08813EB7"/>
    <w:rsid w:val="08813ECF"/>
    <w:rsid w:val="08813EDC"/>
    <w:rsid w:val="08813F5A"/>
    <w:rsid w:val="08813F9F"/>
    <w:rsid w:val="08813FB7"/>
    <w:rsid w:val="08814109"/>
    <w:rsid w:val="08814264"/>
    <w:rsid w:val="0881427D"/>
    <w:rsid w:val="088143A3"/>
    <w:rsid w:val="088143BE"/>
    <w:rsid w:val="088143C9"/>
    <w:rsid w:val="08814471"/>
    <w:rsid w:val="08814500"/>
    <w:rsid w:val="08814542"/>
    <w:rsid w:val="0881460D"/>
    <w:rsid w:val="0881465C"/>
    <w:rsid w:val="088146F9"/>
    <w:rsid w:val="08814771"/>
    <w:rsid w:val="088147E6"/>
    <w:rsid w:val="08814894"/>
    <w:rsid w:val="08814919"/>
    <w:rsid w:val="088149F9"/>
    <w:rsid w:val="088149FC"/>
    <w:rsid w:val="08814A20"/>
    <w:rsid w:val="08814ABD"/>
    <w:rsid w:val="08814AE0"/>
    <w:rsid w:val="08814B19"/>
    <w:rsid w:val="08814B4F"/>
    <w:rsid w:val="08814C0A"/>
    <w:rsid w:val="08814C4D"/>
    <w:rsid w:val="08814C52"/>
    <w:rsid w:val="08814D37"/>
    <w:rsid w:val="08814D8A"/>
    <w:rsid w:val="08814D97"/>
    <w:rsid w:val="08814E95"/>
    <w:rsid w:val="08814FD3"/>
    <w:rsid w:val="08814FE1"/>
    <w:rsid w:val="08815021"/>
    <w:rsid w:val="08815065"/>
    <w:rsid w:val="088150DB"/>
    <w:rsid w:val="088150FC"/>
    <w:rsid w:val="0881518C"/>
    <w:rsid w:val="088151B5"/>
    <w:rsid w:val="08815318"/>
    <w:rsid w:val="0881532C"/>
    <w:rsid w:val="0881533E"/>
    <w:rsid w:val="0881543B"/>
    <w:rsid w:val="0881544C"/>
    <w:rsid w:val="0881551B"/>
    <w:rsid w:val="08815580"/>
    <w:rsid w:val="088155BD"/>
    <w:rsid w:val="088155D7"/>
    <w:rsid w:val="08815609"/>
    <w:rsid w:val="08815614"/>
    <w:rsid w:val="0881563E"/>
    <w:rsid w:val="08815644"/>
    <w:rsid w:val="08815726"/>
    <w:rsid w:val="0881579B"/>
    <w:rsid w:val="088157F4"/>
    <w:rsid w:val="08815857"/>
    <w:rsid w:val="088158D1"/>
    <w:rsid w:val="0881590B"/>
    <w:rsid w:val="088159DA"/>
    <w:rsid w:val="08815A49"/>
    <w:rsid w:val="08815AFD"/>
    <w:rsid w:val="08815B7D"/>
    <w:rsid w:val="08815C87"/>
    <w:rsid w:val="08815CC1"/>
    <w:rsid w:val="08815DB7"/>
    <w:rsid w:val="08815DB9"/>
    <w:rsid w:val="08815DC6"/>
    <w:rsid w:val="08815DCF"/>
    <w:rsid w:val="08815E09"/>
    <w:rsid w:val="08815E36"/>
    <w:rsid w:val="08815E5D"/>
    <w:rsid w:val="08815EA3"/>
    <w:rsid w:val="08815EAD"/>
    <w:rsid w:val="08815EB6"/>
    <w:rsid w:val="08815EBE"/>
    <w:rsid w:val="08815EC8"/>
    <w:rsid w:val="08815EE4"/>
    <w:rsid w:val="08815FD1"/>
    <w:rsid w:val="088160E7"/>
    <w:rsid w:val="0881610D"/>
    <w:rsid w:val="08816167"/>
    <w:rsid w:val="0881617C"/>
    <w:rsid w:val="088161D3"/>
    <w:rsid w:val="088161D7"/>
    <w:rsid w:val="088161E0"/>
    <w:rsid w:val="08816290"/>
    <w:rsid w:val="08816303"/>
    <w:rsid w:val="0881637B"/>
    <w:rsid w:val="0881639D"/>
    <w:rsid w:val="08816416"/>
    <w:rsid w:val="08816509"/>
    <w:rsid w:val="088165EA"/>
    <w:rsid w:val="08816696"/>
    <w:rsid w:val="088166C5"/>
    <w:rsid w:val="088167DC"/>
    <w:rsid w:val="08816805"/>
    <w:rsid w:val="08816869"/>
    <w:rsid w:val="08816903"/>
    <w:rsid w:val="08816A56"/>
    <w:rsid w:val="08816B6A"/>
    <w:rsid w:val="08816B85"/>
    <w:rsid w:val="08816C21"/>
    <w:rsid w:val="08816C88"/>
    <w:rsid w:val="08816CA5"/>
    <w:rsid w:val="08816D0B"/>
    <w:rsid w:val="08816D2C"/>
    <w:rsid w:val="08816D38"/>
    <w:rsid w:val="08816E13"/>
    <w:rsid w:val="08816E73"/>
    <w:rsid w:val="08816F28"/>
    <w:rsid w:val="0881707D"/>
    <w:rsid w:val="088170D2"/>
    <w:rsid w:val="08817170"/>
    <w:rsid w:val="08817184"/>
    <w:rsid w:val="088171CD"/>
    <w:rsid w:val="088172B9"/>
    <w:rsid w:val="088172F5"/>
    <w:rsid w:val="08817334"/>
    <w:rsid w:val="08817379"/>
    <w:rsid w:val="0881737D"/>
    <w:rsid w:val="08817394"/>
    <w:rsid w:val="0881740A"/>
    <w:rsid w:val="088174D8"/>
    <w:rsid w:val="088174F8"/>
    <w:rsid w:val="08817502"/>
    <w:rsid w:val="08817507"/>
    <w:rsid w:val="08817547"/>
    <w:rsid w:val="0881757D"/>
    <w:rsid w:val="08817583"/>
    <w:rsid w:val="088175B2"/>
    <w:rsid w:val="0881764E"/>
    <w:rsid w:val="08817685"/>
    <w:rsid w:val="0881768B"/>
    <w:rsid w:val="088176FF"/>
    <w:rsid w:val="0881779B"/>
    <w:rsid w:val="08817871"/>
    <w:rsid w:val="088179AA"/>
    <w:rsid w:val="08817A19"/>
    <w:rsid w:val="08817AA8"/>
    <w:rsid w:val="08817AD1"/>
    <w:rsid w:val="08817AFD"/>
    <w:rsid w:val="08817B5D"/>
    <w:rsid w:val="08817BC3"/>
    <w:rsid w:val="08817E2E"/>
    <w:rsid w:val="08817E4F"/>
    <w:rsid w:val="08817E63"/>
    <w:rsid w:val="08817EAB"/>
    <w:rsid w:val="08817F85"/>
    <w:rsid w:val="08817FC8"/>
    <w:rsid w:val="0882003A"/>
    <w:rsid w:val="08820063"/>
    <w:rsid w:val="08820096"/>
    <w:rsid w:val="088200ED"/>
    <w:rsid w:val="08820171"/>
    <w:rsid w:val="08820198"/>
    <w:rsid w:val="088201B8"/>
    <w:rsid w:val="088202B1"/>
    <w:rsid w:val="088203F0"/>
    <w:rsid w:val="0882045A"/>
    <w:rsid w:val="088204CA"/>
    <w:rsid w:val="0882057E"/>
    <w:rsid w:val="08820595"/>
    <w:rsid w:val="088205C0"/>
    <w:rsid w:val="088205E2"/>
    <w:rsid w:val="0882068E"/>
    <w:rsid w:val="08820742"/>
    <w:rsid w:val="088207A6"/>
    <w:rsid w:val="088207AB"/>
    <w:rsid w:val="088207EA"/>
    <w:rsid w:val="088207FF"/>
    <w:rsid w:val="08820807"/>
    <w:rsid w:val="08820854"/>
    <w:rsid w:val="088208A8"/>
    <w:rsid w:val="08820902"/>
    <w:rsid w:val="08820947"/>
    <w:rsid w:val="08820E5D"/>
    <w:rsid w:val="08820E9B"/>
    <w:rsid w:val="08820FF3"/>
    <w:rsid w:val="08821065"/>
    <w:rsid w:val="08821078"/>
    <w:rsid w:val="088210DA"/>
    <w:rsid w:val="08821118"/>
    <w:rsid w:val="088211FA"/>
    <w:rsid w:val="08821225"/>
    <w:rsid w:val="08821276"/>
    <w:rsid w:val="0882130A"/>
    <w:rsid w:val="088213E2"/>
    <w:rsid w:val="0882147A"/>
    <w:rsid w:val="0882157A"/>
    <w:rsid w:val="088215A0"/>
    <w:rsid w:val="088216F7"/>
    <w:rsid w:val="08821763"/>
    <w:rsid w:val="088217F9"/>
    <w:rsid w:val="08821809"/>
    <w:rsid w:val="08821935"/>
    <w:rsid w:val="0882198D"/>
    <w:rsid w:val="088219A2"/>
    <w:rsid w:val="08821A07"/>
    <w:rsid w:val="08821A3C"/>
    <w:rsid w:val="08821AF7"/>
    <w:rsid w:val="08821BA3"/>
    <w:rsid w:val="08821BAA"/>
    <w:rsid w:val="08821C00"/>
    <w:rsid w:val="08821C8A"/>
    <w:rsid w:val="08821E72"/>
    <w:rsid w:val="08821ED2"/>
    <w:rsid w:val="08821F3A"/>
    <w:rsid w:val="08821F3B"/>
    <w:rsid w:val="08821F5E"/>
    <w:rsid w:val="08821FE0"/>
    <w:rsid w:val="0882202D"/>
    <w:rsid w:val="0882203E"/>
    <w:rsid w:val="088220C8"/>
    <w:rsid w:val="088220FA"/>
    <w:rsid w:val="08822180"/>
    <w:rsid w:val="08822259"/>
    <w:rsid w:val="088222B7"/>
    <w:rsid w:val="088222BF"/>
    <w:rsid w:val="088222C2"/>
    <w:rsid w:val="08822390"/>
    <w:rsid w:val="088223F4"/>
    <w:rsid w:val="088224FD"/>
    <w:rsid w:val="0882266D"/>
    <w:rsid w:val="08822701"/>
    <w:rsid w:val="088228C0"/>
    <w:rsid w:val="088228CF"/>
    <w:rsid w:val="088228D0"/>
    <w:rsid w:val="088228E5"/>
    <w:rsid w:val="088229DD"/>
    <w:rsid w:val="08822B9B"/>
    <w:rsid w:val="08822C23"/>
    <w:rsid w:val="08822C50"/>
    <w:rsid w:val="08822CA2"/>
    <w:rsid w:val="08822D67"/>
    <w:rsid w:val="08822DE3"/>
    <w:rsid w:val="08822EE5"/>
    <w:rsid w:val="08822F1E"/>
    <w:rsid w:val="08822F23"/>
    <w:rsid w:val="08822FC0"/>
    <w:rsid w:val="088230A7"/>
    <w:rsid w:val="088232EF"/>
    <w:rsid w:val="08823301"/>
    <w:rsid w:val="08823302"/>
    <w:rsid w:val="08823306"/>
    <w:rsid w:val="0882330A"/>
    <w:rsid w:val="088233A3"/>
    <w:rsid w:val="0882340F"/>
    <w:rsid w:val="0882344E"/>
    <w:rsid w:val="08823478"/>
    <w:rsid w:val="08823481"/>
    <w:rsid w:val="088234AA"/>
    <w:rsid w:val="088234CC"/>
    <w:rsid w:val="088236B3"/>
    <w:rsid w:val="088236D0"/>
    <w:rsid w:val="088236EE"/>
    <w:rsid w:val="0882370A"/>
    <w:rsid w:val="08823813"/>
    <w:rsid w:val="08823822"/>
    <w:rsid w:val="08823833"/>
    <w:rsid w:val="0882383C"/>
    <w:rsid w:val="08823952"/>
    <w:rsid w:val="0882395F"/>
    <w:rsid w:val="088239A4"/>
    <w:rsid w:val="08823AE1"/>
    <w:rsid w:val="08823AE3"/>
    <w:rsid w:val="08823B0C"/>
    <w:rsid w:val="08823B39"/>
    <w:rsid w:val="08823BEA"/>
    <w:rsid w:val="08823BF3"/>
    <w:rsid w:val="08823C45"/>
    <w:rsid w:val="08823C8D"/>
    <w:rsid w:val="08823E30"/>
    <w:rsid w:val="08823E4C"/>
    <w:rsid w:val="08823F4F"/>
    <w:rsid w:val="08823FD6"/>
    <w:rsid w:val="0882400C"/>
    <w:rsid w:val="08824089"/>
    <w:rsid w:val="0882409B"/>
    <w:rsid w:val="088240AD"/>
    <w:rsid w:val="0882410F"/>
    <w:rsid w:val="08824188"/>
    <w:rsid w:val="088241F1"/>
    <w:rsid w:val="08824202"/>
    <w:rsid w:val="08824266"/>
    <w:rsid w:val="08824329"/>
    <w:rsid w:val="088243E6"/>
    <w:rsid w:val="0882444C"/>
    <w:rsid w:val="0882448C"/>
    <w:rsid w:val="088244B9"/>
    <w:rsid w:val="08824567"/>
    <w:rsid w:val="08824710"/>
    <w:rsid w:val="08824748"/>
    <w:rsid w:val="088247F8"/>
    <w:rsid w:val="088248FE"/>
    <w:rsid w:val="08824907"/>
    <w:rsid w:val="0882499B"/>
    <w:rsid w:val="088249DB"/>
    <w:rsid w:val="08824A43"/>
    <w:rsid w:val="08824B07"/>
    <w:rsid w:val="08824B89"/>
    <w:rsid w:val="08824CDA"/>
    <w:rsid w:val="08824DBD"/>
    <w:rsid w:val="08824E9F"/>
    <w:rsid w:val="08824EAC"/>
    <w:rsid w:val="08824F70"/>
    <w:rsid w:val="08824F86"/>
    <w:rsid w:val="08824FBC"/>
    <w:rsid w:val="088250A7"/>
    <w:rsid w:val="088252E4"/>
    <w:rsid w:val="08825328"/>
    <w:rsid w:val="0882536D"/>
    <w:rsid w:val="088256AC"/>
    <w:rsid w:val="08825744"/>
    <w:rsid w:val="0882574A"/>
    <w:rsid w:val="08825995"/>
    <w:rsid w:val="088259B1"/>
    <w:rsid w:val="088259DB"/>
    <w:rsid w:val="08825A25"/>
    <w:rsid w:val="08825A40"/>
    <w:rsid w:val="08825C46"/>
    <w:rsid w:val="08825C7E"/>
    <w:rsid w:val="08825CF2"/>
    <w:rsid w:val="08825D1A"/>
    <w:rsid w:val="08825D8A"/>
    <w:rsid w:val="08825F06"/>
    <w:rsid w:val="0882612F"/>
    <w:rsid w:val="08826137"/>
    <w:rsid w:val="088262AF"/>
    <w:rsid w:val="0882634E"/>
    <w:rsid w:val="08826410"/>
    <w:rsid w:val="08826444"/>
    <w:rsid w:val="088264DD"/>
    <w:rsid w:val="08826666"/>
    <w:rsid w:val="088266F3"/>
    <w:rsid w:val="08826803"/>
    <w:rsid w:val="08826840"/>
    <w:rsid w:val="08826845"/>
    <w:rsid w:val="08826995"/>
    <w:rsid w:val="088269BB"/>
    <w:rsid w:val="08826ACE"/>
    <w:rsid w:val="08826AEE"/>
    <w:rsid w:val="08826B1A"/>
    <w:rsid w:val="08826B2B"/>
    <w:rsid w:val="08826B67"/>
    <w:rsid w:val="08826BAF"/>
    <w:rsid w:val="08826BD8"/>
    <w:rsid w:val="08826C71"/>
    <w:rsid w:val="08826D2A"/>
    <w:rsid w:val="08826DFB"/>
    <w:rsid w:val="08826E1E"/>
    <w:rsid w:val="08826E86"/>
    <w:rsid w:val="08826F0E"/>
    <w:rsid w:val="08826FBF"/>
    <w:rsid w:val="08826FEA"/>
    <w:rsid w:val="08827016"/>
    <w:rsid w:val="08827089"/>
    <w:rsid w:val="0882708C"/>
    <w:rsid w:val="08827092"/>
    <w:rsid w:val="0882713E"/>
    <w:rsid w:val="088271F8"/>
    <w:rsid w:val="0882722E"/>
    <w:rsid w:val="0882726B"/>
    <w:rsid w:val="08827281"/>
    <w:rsid w:val="088272C2"/>
    <w:rsid w:val="088272D4"/>
    <w:rsid w:val="088274D2"/>
    <w:rsid w:val="0882752E"/>
    <w:rsid w:val="0882771A"/>
    <w:rsid w:val="088277C2"/>
    <w:rsid w:val="08827A45"/>
    <w:rsid w:val="08827A7B"/>
    <w:rsid w:val="08827A86"/>
    <w:rsid w:val="08827ACB"/>
    <w:rsid w:val="08827B65"/>
    <w:rsid w:val="08827BA4"/>
    <w:rsid w:val="08827C05"/>
    <w:rsid w:val="08827C50"/>
    <w:rsid w:val="08827CF8"/>
    <w:rsid w:val="08827D31"/>
    <w:rsid w:val="08827DBF"/>
    <w:rsid w:val="08827DEC"/>
    <w:rsid w:val="08827E00"/>
    <w:rsid w:val="08827E3C"/>
    <w:rsid w:val="08827E7E"/>
    <w:rsid w:val="0883005D"/>
    <w:rsid w:val="08830090"/>
    <w:rsid w:val="088300C8"/>
    <w:rsid w:val="08830169"/>
    <w:rsid w:val="08830184"/>
    <w:rsid w:val="08830236"/>
    <w:rsid w:val="088302E4"/>
    <w:rsid w:val="088302F0"/>
    <w:rsid w:val="08830428"/>
    <w:rsid w:val="08830488"/>
    <w:rsid w:val="088304DC"/>
    <w:rsid w:val="08830506"/>
    <w:rsid w:val="0883057E"/>
    <w:rsid w:val="0883063D"/>
    <w:rsid w:val="08830690"/>
    <w:rsid w:val="088306A6"/>
    <w:rsid w:val="08830750"/>
    <w:rsid w:val="08830757"/>
    <w:rsid w:val="088307BD"/>
    <w:rsid w:val="0883092C"/>
    <w:rsid w:val="08830963"/>
    <w:rsid w:val="088309AF"/>
    <w:rsid w:val="088309D5"/>
    <w:rsid w:val="08830A83"/>
    <w:rsid w:val="08830A95"/>
    <w:rsid w:val="08830B0D"/>
    <w:rsid w:val="08830B7B"/>
    <w:rsid w:val="08830C01"/>
    <w:rsid w:val="08830C4A"/>
    <w:rsid w:val="08830C98"/>
    <w:rsid w:val="08830CC4"/>
    <w:rsid w:val="08830CE8"/>
    <w:rsid w:val="08830D0B"/>
    <w:rsid w:val="08830D43"/>
    <w:rsid w:val="08830D76"/>
    <w:rsid w:val="08830DC2"/>
    <w:rsid w:val="08830DCB"/>
    <w:rsid w:val="08830DE8"/>
    <w:rsid w:val="08830E54"/>
    <w:rsid w:val="08830F0D"/>
    <w:rsid w:val="08830F21"/>
    <w:rsid w:val="088310AB"/>
    <w:rsid w:val="08831283"/>
    <w:rsid w:val="08831323"/>
    <w:rsid w:val="088313CC"/>
    <w:rsid w:val="0883146A"/>
    <w:rsid w:val="088314EE"/>
    <w:rsid w:val="08831503"/>
    <w:rsid w:val="0883152E"/>
    <w:rsid w:val="0883156C"/>
    <w:rsid w:val="08831610"/>
    <w:rsid w:val="08831677"/>
    <w:rsid w:val="08831693"/>
    <w:rsid w:val="088317F3"/>
    <w:rsid w:val="08831928"/>
    <w:rsid w:val="0883193D"/>
    <w:rsid w:val="0883198F"/>
    <w:rsid w:val="088319C1"/>
    <w:rsid w:val="088319F2"/>
    <w:rsid w:val="08831B6B"/>
    <w:rsid w:val="08831BA6"/>
    <w:rsid w:val="08831BD6"/>
    <w:rsid w:val="08831C07"/>
    <w:rsid w:val="08831C75"/>
    <w:rsid w:val="08831CAC"/>
    <w:rsid w:val="08831CF5"/>
    <w:rsid w:val="08831CF6"/>
    <w:rsid w:val="08831D13"/>
    <w:rsid w:val="08831DA1"/>
    <w:rsid w:val="08831DDB"/>
    <w:rsid w:val="08831E4C"/>
    <w:rsid w:val="08831EF8"/>
    <w:rsid w:val="08831F8B"/>
    <w:rsid w:val="08831F94"/>
    <w:rsid w:val="08831FA1"/>
    <w:rsid w:val="0883212F"/>
    <w:rsid w:val="08832193"/>
    <w:rsid w:val="088321AF"/>
    <w:rsid w:val="088322BB"/>
    <w:rsid w:val="088322FC"/>
    <w:rsid w:val="08832393"/>
    <w:rsid w:val="088323A2"/>
    <w:rsid w:val="08832409"/>
    <w:rsid w:val="0883255C"/>
    <w:rsid w:val="08832611"/>
    <w:rsid w:val="0883267E"/>
    <w:rsid w:val="088326F6"/>
    <w:rsid w:val="0883274D"/>
    <w:rsid w:val="088328F9"/>
    <w:rsid w:val="08832942"/>
    <w:rsid w:val="08832945"/>
    <w:rsid w:val="08832981"/>
    <w:rsid w:val="088329BB"/>
    <w:rsid w:val="088329D9"/>
    <w:rsid w:val="08832ADD"/>
    <w:rsid w:val="08832B0F"/>
    <w:rsid w:val="08832B94"/>
    <w:rsid w:val="08832B9B"/>
    <w:rsid w:val="08832BBD"/>
    <w:rsid w:val="08832BCF"/>
    <w:rsid w:val="08832C9F"/>
    <w:rsid w:val="08832CBE"/>
    <w:rsid w:val="08832D07"/>
    <w:rsid w:val="08832D96"/>
    <w:rsid w:val="08832E04"/>
    <w:rsid w:val="08832F19"/>
    <w:rsid w:val="08832F6A"/>
    <w:rsid w:val="08832F7B"/>
    <w:rsid w:val="08832FD0"/>
    <w:rsid w:val="0883301B"/>
    <w:rsid w:val="08833020"/>
    <w:rsid w:val="0883306C"/>
    <w:rsid w:val="0883307E"/>
    <w:rsid w:val="088330B3"/>
    <w:rsid w:val="088330CF"/>
    <w:rsid w:val="088330ED"/>
    <w:rsid w:val="08833121"/>
    <w:rsid w:val="0883313B"/>
    <w:rsid w:val="08833159"/>
    <w:rsid w:val="088331C4"/>
    <w:rsid w:val="088331F8"/>
    <w:rsid w:val="088333B0"/>
    <w:rsid w:val="08833475"/>
    <w:rsid w:val="08833567"/>
    <w:rsid w:val="088335B7"/>
    <w:rsid w:val="088336A4"/>
    <w:rsid w:val="088338E7"/>
    <w:rsid w:val="088338EF"/>
    <w:rsid w:val="0883393A"/>
    <w:rsid w:val="0883395A"/>
    <w:rsid w:val="08833A54"/>
    <w:rsid w:val="08833A99"/>
    <w:rsid w:val="08833B5E"/>
    <w:rsid w:val="08833B6C"/>
    <w:rsid w:val="08833BBC"/>
    <w:rsid w:val="08833BDD"/>
    <w:rsid w:val="08833C04"/>
    <w:rsid w:val="08833C0D"/>
    <w:rsid w:val="08833C97"/>
    <w:rsid w:val="08833D4A"/>
    <w:rsid w:val="08833D6E"/>
    <w:rsid w:val="08833DAC"/>
    <w:rsid w:val="08833FD6"/>
    <w:rsid w:val="08833FD8"/>
    <w:rsid w:val="08834073"/>
    <w:rsid w:val="08834109"/>
    <w:rsid w:val="0883421D"/>
    <w:rsid w:val="088342F8"/>
    <w:rsid w:val="0883435B"/>
    <w:rsid w:val="08834364"/>
    <w:rsid w:val="08834429"/>
    <w:rsid w:val="0883444C"/>
    <w:rsid w:val="08834562"/>
    <w:rsid w:val="0883464E"/>
    <w:rsid w:val="08834658"/>
    <w:rsid w:val="0883466E"/>
    <w:rsid w:val="088346BB"/>
    <w:rsid w:val="088347A5"/>
    <w:rsid w:val="08834827"/>
    <w:rsid w:val="08834858"/>
    <w:rsid w:val="088348DF"/>
    <w:rsid w:val="08834944"/>
    <w:rsid w:val="08834949"/>
    <w:rsid w:val="08834A53"/>
    <w:rsid w:val="08834ACA"/>
    <w:rsid w:val="08834B1E"/>
    <w:rsid w:val="08834B64"/>
    <w:rsid w:val="08834BA4"/>
    <w:rsid w:val="08834BA7"/>
    <w:rsid w:val="08834BEA"/>
    <w:rsid w:val="08834CD5"/>
    <w:rsid w:val="08834CD7"/>
    <w:rsid w:val="08834D18"/>
    <w:rsid w:val="08834D44"/>
    <w:rsid w:val="08834E04"/>
    <w:rsid w:val="08834EAC"/>
    <w:rsid w:val="08834EC7"/>
    <w:rsid w:val="08834F2A"/>
    <w:rsid w:val="08834F87"/>
    <w:rsid w:val="08834FCB"/>
    <w:rsid w:val="08834FF9"/>
    <w:rsid w:val="088350D6"/>
    <w:rsid w:val="08835177"/>
    <w:rsid w:val="08835257"/>
    <w:rsid w:val="0883525B"/>
    <w:rsid w:val="08835326"/>
    <w:rsid w:val="08835338"/>
    <w:rsid w:val="08835359"/>
    <w:rsid w:val="088353AB"/>
    <w:rsid w:val="088353EF"/>
    <w:rsid w:val="0883542E"/>
    <w:rsid w:val="0883544C"/>
    <w:rsid w:val="08835464"/>
    <w:rsid w:val="08835504"/>
    <w:rsid w:val="08835596"/>
    <w:rsid w:val="08835598"/>
    <w:rsid w:val="0883559A"/>
    <w:rsid w:val="088355D5"/>
    <w:rsid w:val="088355EF"/>
    <w:rsid w:val="0883566E"/>
    <w:rsid w:val="08835712"/>
    <w:rsid w:val="08835715"/>
    <w:rsid w:val="0883586D"/>
    <w:rsid w:val="0883588B"/>
    <w:rsid w:val="08835927"/>
    <w:rsid w:val="08835939"/>
    <w:rsid w:val="088359F5"/>
    <w:rsid w:val="08835A7A"/>
    <w:rsid w:val="08835AF6"/>
    <w:rsid w:val="08835B36"/>
    <w:rsid w:val="08835BB7"/>
    <w:rsid w:val="08835CA8"/>
    <w:rsid w:val="08835D18"/>
    <w:rsid w:val="08835D53"/>
    <w:rsid w:val="08835D73"/>
    <w:rsid w:val="08835D88"/>
    <w:rsid w:val="08835E59"/>
    <w:rsid w:val="08835F1E"/>
    <w:rsid w:val="08835F35"/>
    <w:rsid w:val="08835F45"/>
    <w:rsid w:val="08835F4C"/>
    <w:rsid w:val="08835FDF"/>
    <w:rsid w:val="08836080"/>
    <w:rsid w:val="0883609B"/>
    <w:rsid w:val="088360DA"/>
    <w:rsid w:val="088362DD"/>
    <w:rsid w:val="088362E7"/>
    <w:rsid w:val="0883636F"/>
    <w:rsid w:val="088363B7"/>
    <w:rsid w:val="088363FF"/>
    <w:rsid w:val="088364A0"/>
    <w:rsid w:val="088364E4"/>
    <w:rsid w:val="0883668F"/>
    <w:rsid w:val="08836724"/>
    <w:rsid w:val="08836730"/>
    <w:rsid w:val="0883673E"/>
    <w:rsid w:val="0883678F"/>
    <w:rsid w:val="0883682D"/>
    <w:rsid w:val="08836877"/>
    <w:rsid w:val="088368AA"/>
    <w:rsid w:val="08836934"/>
    <w:rsid w:val="0883694B"/>
    <w:rsid w:val="0883694F"/>
    <w:rsid w:val="088369A3"/>
    <w:rsid w:val="08836A2B"/>
    <w:rsid w:val="08836A78"/>
    <w:rsid w:val="08836B0B"/>
    <w:rsid w:val="08836B5C"/>
    <w:rsid w:val="08836B71"/>
    <w:rsid w:val="08836C43"/>
    <w:rsid w:val="08836D01"/>
    <w:rsid w:val="08836D36"/>
    <w:rsid w:val="08836E54"/>
    <w:rsid w:val="08836EEA"/>
    <w:rsid w:val="08836F94"/>
    <w:rsid w:val="088370B1"/>
    <w:rsid w:val="08837108"/>
    <w:rsid w:val="0883717E"/>
    <w:rsid w:val="088371FA"/>
    <w:rsid w:val="088372D4"/>
    <w:rsid w:val="08837390"/>
    <w:rsid w:val="0883742C"/>
    <w:rsid w:val="088374FC"/>
    <w:rsid w:val="08837508"/>
    <w:rsid w:val="08837560"/>
    <w:rsid w:val="0883758B"/>
    <w:rsid w:val="08837659"/>
    <w:rsid w:val="088376F4"/>
    <w:rsid w:val="08837715"/>
    <w:rsid w:val="0883771D"/>
    <w:rsid w:val="0883775D"/>
    <w:rsid w:val="0883780D"/>
    <w:rsid w:val="08837812"/>
    <w:rsid w:val="0883782B"/>
    <w:rsid w:val="088378A5"/>
    <w:rsid w:val="08837AE2"/>
    <w:rsid w:val="08837B08"/>
    <w:rsid w:val="08837B25"/>
    <w:rsid w:val="08837B99"/>
    <w:rsid w:val="08837BC9"/>
    <w:rsid w:val="08837C9C"/>
    <w:rsid w:val="08837D1C"/>
    <w:rsid w:val="08837D58"/>
    <w:rsid w:val="08837D9A"/>
    <w:rsid w:val="08837DA1"/>
    <w:rsid w:val="08837F2F"/>
    <w:rsid w:val="08837F8E"/>
    <w:rsid w:val="0884003C"/>
    <w:rsid w:val="0884005F"/>
    <w:rsid w:val="0884007E"/>
    <w:rsid w:val="088400DF"/>
    <w:rsid w:val="0884015C"/>
    <w:rsid w:val="088401C0"/>
    <w:rsid w:val="08840242"/>
    <w:rsid w:val="0884028A"/>
    <w:rsid w:val="088402E4"/>
    <w:rsid w:val="08840307"/>
    <w:rsid w:val="088403FC"/>
    <w:rsid w:val="0884044F"/>
    <w:rsid w:val="088404BA"/>
    <w:rsid w:val="08840501"/>
    <w:rsid w:val="08840540"/>
    <w:rsid w:val="088405B8"/>
    <w:rsid w:val="088405D2"/>
    <w:rsid w:val="088405FA"/>
    <w:rsid w:val="0884067D"/>
    <w:rsid w:val="088406AE"/>
    <w:rsid w:val="088406DE"/>
    <w:rsid w:val="08840723"/>
    <w:rsid w:val="088407C4"/>
    <w:rsid w:val="088407C6"/>
    <w:rsid w:val="0884083F"/>
    <w:rsid w:val="088408FE"/>
    <w:rsid w:val="088409B2"/>
    <w:rsid w:val="08840AB7"/>
    <w:rsid w:val="08840ADC"/>
    <w:rsid w:val="08840B39"/>
    <w:rsid w:val="08840B77"/>
    <w:rsid w:val="08840C5C"/>
    <w:rsid w:val="08840CC8"/>
    <w:rsid w:val="08840D7D"/>
    <w:rsid w:val="08840DAC"/>
    <w:rsid w:val="08840EE3"/>
    <w:rsid w:val="08840EFF"/>
    <w:rsid w:val="08840F8F"/>
    <w:rsid w:val="08841137"/>
    <w:rsid w:val="08841214"/>
    <w:rsid w:val="0884121D"/>
    <w:rsid w:val="08841235"/>
    <w:rsid w:val="08841321"/>
    <w:rsid w:val="0884139E"/>
    <w:rsid w:val="08841476"/>
    <w:rsid w:val="0884148C"/>
    <w:rsid w:val="088414EA"/>
    <w:rsid w:val="0884151D"/>
    <w:rsid w:val="08841546"/>
    <w:rsid w:val="088416AD"/>
    <w:rsid w:val="08841751"/>
    <w:rsid w:val="088417E6"/>
    <w:rsid w:val="0884182D"/>
    <w:rsid w:val="0884183D"/>
    <w:rsid w:val="088418B3"/>
    <w:rsid w:val="088418D5"/>
    <w:rsid w:val="08841948"/>
    <w:rsid w:val="08841973"/>
    <w:rsid w:val="088419B6"/>
    <w:rsid w:val="088419C2"/>
    <w:rsid w:val="08841A40"/>
    <w:rsid w:val="08841A6B"/>
    <w:rsid w:val="08841A94"/>
    <w:rsid w:val="08841B47"/>
    <w:rsid w:val="08841B6D"/>
    <w:rsid w:val="08841B8C"/>
    <w:rsid w:val="08841BC4"/>
    <w:rsid w:val="08841D18"/>
    <w:rsid w:val="08841D9B"/>
    <w:rsid w:val="08841EA0"/>
    <w:rsid w:val="08841F2D"/>
    <w:rsid w:val="0884203D"/>
    <w:rsid w:val="0884212C"/>
    <w:rsid w:val="08842154"/>
    <w:rsid w:val="0884219F"/>
    <w:rsid w:val="088421BA"/>
    <w:rsid w:val="088422E5"/>
    <w:rsid w:val="08842345"/>
    <w:rsid w:val="08842399"/>
    <w:rsid w:val="088423B8"/>
    <w:rsid w:val="08842405"/>
    <w:rsid w:val="0884245B"/>
    <w:rsid w:val="088424CF"/>
    <w:rsid w:val="08842510"/>
    <w:rsid w:val="0884260C"/>
    <w:rsid w:val="08842788"/>
    <w:rsid w:val="0884279B"/>
    <w:rsid w:val="088427B8"/>
    <w:rsid w:val="08842853"/>
    <w:rsid w:val="08842954"/>
    <w:rsid w:val="08842AFE"/>
    <w:rsid w:val="08842B53"/>
    <w:rsid w:val="08842B74"/>
    <w:rsid w:val="08842B76"/>
    <w:rsid w:val="08842C43"/>
    <w:rsid w:val="08842C88"/>
    <w:rsid w:val="08842CC9"/>
    <w:rsid w:val="08842E9A"/>
    <w:rsid w:val="08842F08"/>
    <w:rsid w:val="08842F7E"/>
    <w:rsid w:val="08842FA4"/>
    <w:rsid w:val="08843036"/>
    <w:rsid w:val="08843105"/>
    <w:rsid w:val="08843126"/>
    <w:rsid w:val="08843164"/>
    <w:rsid w:val="08843281"/>
    <w:rsid w:val="088432A7"/>
    <w:rsid w:val="08843450"/>
    <w:rsid w:val="088434A5"/>
    <w:rsid w:val="088434BA"/>
    <w:rsid w:val="088435BE"/>
    <w:rsid w:val="08843723"/>
    <w:rsid w:val="08843724"/>
    <w:rsid w:val="08843745"/>
    <w:rsid w:val="088437C1"/>
    <w:rsid w:val="088437DB"/>
    <w:rsid w:val="088438A4"/>
    <w:rsid w:val="088438B4"/>
    <w:rsid w:val="088438D3"/>
    <w:rsid w:val="08843902"/>
    <w:rsid w:val="0884395C"/>
    <w:rsid w:val="0884399B"/>
    <w:rsid w:val="088439A3"/>
    <w:rsid w:val="088439D7"/>
    <w:rsid w:val="088439EC"/>
    <w:rsid w:val="088439F0"/>
    <w:rsid w:val="08843AAF"/>
    <w:rsid w:val="08843AEC"/>
    <w:rsid w:val="08843BC5"/>
    <w:rsid w:val="08843BD8"/>
    <w:rsid w:val="08843CEF"/>
    <w:rsid w:val="08843D0A"/>
    <w:rsid w:val="08843D5B"/>
    <w:rsid w:val="08843DCD"/>
    <w:rsid w:val="08843EAE"/>
    <w:rsid w:val="08843F7A"/>
    <w:rsid w:val="08843FF6"/>
    <w:rsid w:val="08843FFA"/>
    <w:rsid w:val="0884406C"/>
    <w:rsid w:val="088440A6"/>
    <w:rsid w:val="0884416C"/>
    <w:rsid w:val="08844176"/>
    <w:rsid w:val="0884419E"/>
    <w:rsid w:val="08844264"/>
    <w:rsid w:val="08844290"/>
    <w:rsid w:val="08844338"/>
    <w:rsid w:val="08844339"/>
    <w:rsid w:val="08844349"/>
    <w:rsid w:val="08844391"/>
    <w:rsid w:val="088443C1"/>
    <w:rsid w:val="088443E6"/>
    <w:rsid w:val="0884444B"/>
    <w:rsid w:val="0884447C"/>
    <w:rsid w:val="088444AA"/>
    <w:rsid w:val="0884452A"/>
    <w:rsid w:val="088447B8"/>
    <w:rsid w:val="088447E3"/>
    <w:rsid w:val="088447EA"/>
    <w:rsid w:val="08844805"/>
    <w:rsid w:val="0884494D"/>
    <w:rsid w:val="088449C8"/>
    <w:rsid w:val="088449ED"/>
    <w:rsid w:val="08844A9C"/>
    <w:rsid w:val="08844AAC"/>
    <w:rsid w:val="08844AD2"/>
    <w:rsid w:val="08844B2F"/>
    <w:rsid w:val="08844B36"/>
    <w:rsid w:val="08844C31"/>
    <w:rsid w:val="08844D34"/>
    <w:rsid w:val="08844D63"/>
    <w:rsid w:val="08844D89"/>
    <w:rsid w:val="08844E2B"/>
    <w:rsid w:val="08844EB4"/>
    <w:rsid w:val="08844F35"/>
    <w:rsid w:val="08844F3D"/>
    <w:rsid w:val="08844F49"/>
    <w:rsid w:val="08844F5A"/>
    <w:rsid w:val="08845069"/>
    <w:rsid w:val="088450C2"/>
    <w:rsid w:val="08845101"/>
    <w:rsid w:val="0884519D"/>
    <w:rsid w:val="08845273"/>
    <w:rsid w:val="0884527B"/>
    <w:rsid w:val="088452D8"/>
    <w:rsid w:val="088452F8"/>
    <w:rsid w:val="088453B3"/>
    <w:rsid w:val="08845407"/>
    <w:rsid w:val="088454AE"/>
    <w:rsid w:val="088454F7"/>
    <w:rsid w:val="0884551F"/>
    <w:rsid w:val="0884557B"/>
    <w:rsid w:val="088455D4"/>
    <w:rsid w:val="08845604"/>
    <w:rsid w:val="0884566F"/>
    <w:rsid w:val="088456CD"/>
    <w:rsid w:val="088456D2"/>
    <w:rsid w:val="0884590F"/>
    <w:rsid w:val="0884594E"/>
    <w:rsid w:val="08845A08"/>
    <w:rsid w:val="08845A91"/>
    <w:rsid w:val="08845ABB"/>
    <w:rsid w:val="08845B11"/>
    <w:rsid w:val="08845B57"/>
    <w:rsid w:val="08845C05"/>
    <w:rsid w:val="08845CB3"/>
    <w:rsid w:val="08845CCC"/>
    <w:rsid w:val="08845CCE"/>
    <w:rsid w:val="08845D5C"/>
    <w:rsid w:val="08845D69"/>
    <w:rsid w:val="08845DB2"/>
    <w:rsid w:val="08845DCD"/>
    <w:rsid w:val="08845E4C"/>
    <w:rsid w:val="08845EE9"/>
    <w:rsid w:val="08845F03"/>
    <w:rsid w:val="08846046"/>
    <w:rsid w:val="088460AF"/>
    <w:rsid w:val="08846125"/>
    <w:rsid w:val="088461C4"/>
    <w:rsid w:val="08846253"/>
    <w:rsid w:val="08846366"/>
    <w:rsid w:val="08846394"/>
    <w:rsid w:val="088463BB"/>
    <w:rsid w:val="08846402"/>
    <w:rsid w:val="08846446"/>
    <w:rsid w:val="08846561"/>
    <w:rsid w:val="088465CA"/>
    <w:rsid w:val="088465EB"/>
    <w:rsid w:val="0884665D"/>
    <w:rsid w:val="08846667"/>
    <w:rsid w:val="08846703"/>
    <w:rsid w:val="088467C0"/>
    <w:rsid w:val="088468AD"/>
    <w:rsid w:val="0884696A"/>
    <w:rsid w:val="088469AE"/>
    <w:rsid w:val="088469C5"/>
    <w:rsid w:val="088469FF"/>
    <w:rsid w:val="08846A11"/>
    <w:rsid w:val="08846AD3"/>
    <w:rsid w:val="08846B2A"/>
    <w:rsid w:val="08846C27"/>
    <w:rsid w:val="08846C2D"/>
    <w:rsid w:val="08846CBE"/>
    <w:rsid w:val="08846CFD"/>
    <w:rsid w:val="08846D36"/>
    <w:rsid w:val="08846D96"/>
    <w:rsid w:val="08846E18"/>
    <w:rsid w:val="08847036"/>
    <w:rsid w:val="08847053"/>
    <w:rsid w:val="08847054"/>
    <w:rsid w:val="08847133"/>
    <w:rsid w:val="08847253"/>
    <w:rsid w:val="08847254"/>
    <w:rsid w:val="08847361"/>
    <w:rsid w:val="088473F3"/>
    <w:rsid w:val="0884743C"/>
    <w:rsid w:val="088474AE"/>
    <w:rsid w:val="08847536"/>
    <w:rsid w:val="0884763C"/>
    <w:rsid w:val="08847669"/>
    <w:rsid w:val="0884769B"/>
    <w:rsid w:val="088477BB"/>
    <w:rsid w:val="088477D8"/>
    <w:rsid w:val="088477F7"/>
    <w:rsid w:val="088478BC"/>
    <w:rsid w:val="088478CF"/>
    <w:rsid w:val="08847938"/>
    <w:rsid w:val="08847998"/>
    <w:rsid w:val="0884799B"/>
    <w:rsid w:val="088479F4"/>
    <w:rsid w:val="08847B49"/>
    <w:rsid w:val="08847C68"/>
    <w:rsid w:val="08847C8C"/>
    <w:rsid w:val="08847CAA"/>
    <w:rsid w:val="08847DAE"/>
    <w:rsid w:val="08847E60"/>
    <w:rsid w:val="08847E73"/>
    <w:rsid w:val="08847E84"/>
    <w:rsid w:val="08847EC3"/>
    <w:rsid w:val="08847F27"/>
    <w:rsid w:val="08847F46"/>
    <w:rsid w:val="08847FB2"/>
    <w:rsid w:val="08847FD0"/>
    <w:rsid w:val="08847FDA"/>
    <w:rsid w:val="088500A6"/>
    <w:rsid w:val="0885035D"/>
    <w:rsid w:val="08850368"/>
    <w:rsid w:val="088503CC"/>
    <w:rsid w:val="08850427"/>
    <w:rsid w:val="088504A3"/>
    <w:rsid w:val="0885052F"/>
    <w:rsid w:val="08850593"/>
    <w:rsid w:val="088506C1"/>
    <w:rsid w:val="0885071C"/>
    <w:rsid w:val="08850790"/>
    <w:rsid w:val="088507BE"/>
    <w:rsid w:val="088507C8"/>
    <w:rsid w:val="088507DD"/>
    <w:rsid w:val="08850966"/>
    <w:rsid w:val="088509D0"/>
    <w:rsid w:val="088509F5"/>
    <w:rsid w:val="08850A3B"/>
    <w:rsid w:val="08850A53"/>
    <w:rsid w:val="08850A7E"/>
    <w:rsid w:val="08850B1F"/>
    <w:rsid w:val="08850C9D"/>
    <w:rsid w:val="08850D43"/>
    <w:rsid w:val="08850DBD"/>
    <w:rsid w:val="08850E0A"/>
    <w:rsid w:val="08850E6D"/>
    <w:rsid w:val="08850E85"/>
    <w:rsid w:val="08850F33"/>
    <w:rsid w:val="08850F72"/>
    <w:rsid w:val="08851094"/>
    <w:rsid w:val="08851107"/>
    <w:rsid w:val="08851136"/>
    <w:rsid w:val="08851165"/>
    <w:rsid w:val="0885116B"/>
    <w:rsid w:val="088511AC"/>
    <w:rsid w:val="08851287"/>
    <w:rsid w:val="08851293"/>
    <w:rsid w:val="088512A4"/>
    <w:rsid w:val="0885131E"/>
    <w:rsid w:val="088513FE"/>
    <w:rsid w:val="0885141B"/>
    <w:rsid w:val="08851539"/>
    <w:rsid w:val="088515A1"/>
    <w:rsid w:val="088515D2"/>
    <w:rsid w:val="08851672"/>
    <w:rsid w:val="088516FC"/>
    <w:rsid w:val="0885171C"/>
    <w:rsid w:val="088517F7"/>
    <w:rsid w:val="08851810"/>
    <w:rsid w:val="08851859"/>
    <w:rsid w:val="088518DE"/>
    <w:rsid w:val="088519FE"/>
    <w:rsid w:val="08851A8C"/>
    <w:rsid w:val="08851A94"/>
    <w:rsid w:val="08851A9C"/>
    <w:rsid w:val="08851B1F"/>
    <w:rsid w:val="08851B75"/>
    <w:rsid w:val="08851B82"/>
    <w:rsid w:val="08851BC9"/>
    <w:rsid w:val="08851BCA"/>
    <w:rsid w:val="08851C4A"/>
    <w:rsid w:val="08851C69"/>
    <w:rsid w:val="08851CE7"/>
    <w:rsid w:val="08851E73"/>
    <w:rsid w:val="08851EC0"/>
    <w:rsid w:val="08852144"/>
    <w:rsid w:val="0885214D"/>
    <w:rsid w:val="0885228C"/>
    <w:rsid w:val="088522A7"/>
    <w:rsid w:val="0885236F"/>
    <w:rsid w:val="088523B9"/>
    <w:rsid w:val="088523CA"/>
    <w:rsid w:val="08852402"/>
    <w:rsid w:val="08852459"/>
    <w:rsid w:val="08852462"/>
    <w:rsid w:val="08852480"/>
    <w:rsid w:val="088524E1"/>
    <w:rsid w:val="088525AB"/>
    <w:rsid w:val="08852645"/>
    <w:rsid w:val="08852702"/>
    <w:rsid w:val="0885274F"/>
    <w:rsid w:val="088527C4"/>
    <w:rsid w:val="08852804"/>
    <w:rsid w:val="0885282E"/>
    <w:rsid w:val="08852861"/>
    <w:rsid w:val="088528AC"/>
    <w:rsid w:val="08852904"/>
    <w:rsid w:val="08852953"/>
    <w:rsid w:val="088529BD"/>
    <w:rsid w:val="08852B62"/>
    <w:rsid w:val="08852B88"/>
    <w:rsid w:val="08852B95"/>
    <w:rsid w:val="08852CE8"/>
    <w:rsid w:val="08852CF7"/>
    <w:rsid w:val="08852EB1"/>
    <w:rsid w:val="08853012"/>
    <w:rsid w:val="088530D0"/>
    <w:rsid w:val="088530DB"/>
    <w:rsid w:val="088530F2"/>
    <w:rsid w:val="08853129"/>
    <w:rsid w:val="0885317B"/>
    <w:rsid w:val="088531BF"/>
    <w:rsid w:val="088531EA"/>
    <w:rsid w:val="08853215"/>
    <w:rsid w:val="0885324C"/>
    <w:rsid w:val="088532BA"/>
    <w:rsid w:val="088533A7"/>
    <w:rsid w:val="08853467"/>
    <w:rsid w:val="0885348A"/>
    <w:rsid w:val="088534D2"/>
    <w:rsid w:val="088534F7"/>
    <w:rsid w:val="088537B8"/>
    <w:rsid w:val="088537D5"/>
    <w:rsid w:val="088538D7"/>
    <w:rsid w:val="08853995"/>
    <w:rsid w:val="088539D1"/>
    <w:rsid w:val="08853B14"/>
    <w:rsid w:val="08853B82"/>
    <w:rsid w:val="08853BF3"/>
    <w:rsid w:val="08853C14"/>
    <w:rsid w:val="08853DA3"/>
    <w:rsid w:val="08853E53"/>
    <w:rsid w:val="08853EA8"/>
    <w:rsid w:val="08853F02"/>
    <w:rsid w:val="08853F50"/>
    <w:rsid w:val="08853F84"/>
    <w:rsid w:val="08854063"/>
    <w:rsid w:val="088540B8"/>
    <w:rsid w:val="08854101"/>
    <w:rsid w:val="08854135"/>
    <w:rsid w:val="088542DD"/>
    <w:rsid w:val="08854324"/>
    <w:rsid w:val="08854343"/>
    <w:rsid w:val="0885438D"/>
    <w:rsid w:val="088543CF"/>
    <w:rsid w:val="088544B9"/>
    <w:rsid w:val="08854531"/>
    <w:rsid w:val="088545D6"/>
    <w:rsid w:val="088545D7"/>
    <w:rsid w:val="088545DE"/>
    <w:rsid w:val="08854609"/>
    <w:rsid w:val="0885463D"/>
    <w:rsid w:val="08854695"/>
    <w:rsid w:val="088546BB"/>
    <w:rsid w:val="088546C6"/>
    <w:rsid w:val="08854760"/>
    <w:rsid w:val="088547AC"/>
    <w:rsid w:val="088547F6"/>
    <w:rsid w:val="0885486E"/>
    <w:rsid w:val="08854933"/>
    <w:rsid w:val="088549C6"/>
    <w:rsid w:val="088549D2"/>
    <w:rsid w:val="08854ABD"/>
    <w:rsid w:val="08854B32"/>
    <w:rsid w:val="08854BB6"/>
    <w:rsid w:val="08854C29"/>
    <w:rsid w:val="08854CF2"/>
    <w:rsid w:val="08854D0D"/>
    <w:rsid w:val="08854D3F"/>
    <w:rsid w:val="08854E06"/>
    <w:rsid w:val="08854E43"/>
    <w:rsid w:val="08854EEC"/>
    <w:rsid w:val="08854F6C"/>
    <w:rsid w:val="08854F7E"/>
    <w:rsid w:val="0885501E"/>
    <w:rsid w:val="088550A1"/>
    <w:rsid w:val="08855152"/>
    <w:rsid w:val="088551A6"/>
    <w:rsid w:val="0885528A"/>
    <w:rsid w:val="08855407"/>
    <w:rsid w:val="08855415"/>
    <w:rsid w:val="08855422"/>
    <w:rsid w:val="088554B5"/>
    <w:rsid w:val="08855556"/>
    <w:rsid w:val="08855645"/>
    <w:rsid w:val="08855667"/>
    <w:rsid w:val="08855668"/>
    <w:rsid w:val="088556BE"/>
    <w:rsid w:val="088556C0"/>
    <w:rsid w:val="088556C4"/>
    <w:rsid w:val="088557F1"/>
    <w:rsid w:val="08855875"/>
    <w:rsid w:val="088558B2"/>
    <w:rsid w:val="088558D9"/>
    <w:rsid w:val="088558F9"/>
    <w:rsid w:val="08855945"/>
    <w:rsid w:val="08855962"/>
    <w:rsid w:val="08855A2C"/>
    <w:rsid w:val="08855B2F"/>
    <w:rsid w:val="08855B56"/>
    <w:rsid w:val="08855BE4"/>
    <w:rsid w:val="08855BFC"/>
    <w:rsid w:val="08855C17"/>
    <w:rsid w:val="08855C57"/>
    <w:rsid w:val="08855E4B"/>
    <w:rsid w:val="08855E6A"/>
    <w:rsid w:val="08855EE0"/>
    <w:rsid w:val="08855EE3"/>
    <w:rsid w:val="08855EFE"/>
    <w:rsid w:val="08855F53"/>
    <w:rsid w:val="08855FC7"/>
    <w:rsid w:val="08855FE3"/>
    <w:rsid w:val="08856198"/>
    <w:rsid w:val="088561A5"/>
    <w:rsid w:val="088562D6"/>
    <w:rsid w:val="088563B9"/>
    <w:rsid w:val="088563CA"/>
    <w:rsid w:val="0885641F"/>
    <w:rsid w:val="088564AA"/>
    <w:rsid w:val="08856529"/>
    <w:rsid w:val="088566D5"/>
    <w:rsid w:val="088566FD"/>
    <w:rsid w:val="088567E3"/>
    <w:rsid w:val="08856824"/>
    <w:rsid w:val="0885688E"/>
    <w:rsid w:val="08856900"/>
    <w:rsid w:val="08856902"/>
    <w:rsid w:val="08856984"/>
    <w:rsid w:val="088569A7"/>
    <w:rsid w:val="08856A2B"/>
    <w:rsid w:val="08856A30"/>
    <w:rsid w:val="08856A32"/>
    <w:rsid w:val="08856AD3"/>
    <w:rsid w:val="08856AEA"/>
    <w:rsid w:val="08856B66"/>
    <w:rsid w:val="08856BA1"/>
    <w:rsid w:val="08856C03"/>
    <w:rsid w:val="08856C12"/>
    <w:rsid w:val="08856C72"/>
    <w:rsid w:val="08856D14"/>
    <w:rsid w:val="08856DDC"/>
    <w:rsid w:val="08856E10"/>
    <w:rsid w:val="08856E20"/>
    <w:rsid w:val="08856E57"/>
    <w:rsid w:val="08856F31"/>
    <w:rsid w:val="08856FD1"/>
    <w:rsid w:val="08857038"/>
    <w:rsid w:val="08857065"/>
    <w:rsid w:val="0885706A"/>
    <w:rsid w:val="0885719A"/>
    <w:rsid w:val="088571B1"/>
    <w:rsid w:val="088571D5"/>
    <w:rsid w:val="088571DC"/>
    <w:rsid w:val="0885723E"/>
    <w:rsid w:val="08857308"/>
    <w:rsid w:val="08857365"/>
    <w:rsid w:val="088573DB"/>
    <w:rsid w:val="088573FF"/>
    <w:rsid w:val="088574B8"/>
    <w:rsid w:val="08857501"/>
    <w:rsid w:val="08857537"/>
    <w:rsid w:val="08857547"/>
    <w:rsid w:val="08857568"/>
    <w:rsid w:val="088575A3"/>
    <w:rsid w:val="08857604"/>
    <w:rsid w:val="08857678"/>
    <w:rsid w:val="08857711"/>
    <w:rsid w:val="08857832"/>
    <w:rsid w:val="088578BE"/>
    <w:rsid w:val="08857A36"/>
    <w:rsid w:val="08857A79"/>
    <w:rsid w:val="08857BF1"/>
    <w:rsid w:val="08857CD3"/>
    <w:rsid w:val="08857D0B"/>
    <w:rsid w:val="08857DA5"/>
    <w:rsid w:val="08857EC1"/>
    <w:rsid w:val="088600F1"/>
    <w:rsid w:val="088601CD"/>
    <w:rsid w:val="08860348"/>
    <w:rsid w:val="0886036B"/>
    <w:rsid w:val="0886037D"/>
    <w:rsid w:val="088605A4"/>
    <w:rsid w:val="08860676"/>
    <w:rsid w:val="0886069C"/>
    <w:rsid w:val="08860721"/>
    <w:rsid w:val="0886081B"/>
    <w:rsid w:val="088608DC"/>
    <w:rsid w:val="08860989"/>
    <w:rsid w:val="08860A37"/>
    <w:rsid w:val="08860A39"/>
    <w:rsid w:val="08860B56"/>
    <w:rsid w:val="08860C0D"/>
    <w:rsid w:val="08860C2E"/>
    <w:rsid w:val="08860C9E"/>
    <w:rsid w:val="08860D1C"/>
    <w:rsid w:val="08860E8F"/>
    <w:rsid w:val="08860EA8"/>
    <w:rsid w:val="08860EEC"/>
    <w:rsid w:val="08860EED"/>
    <w:rsid w:val="08860F86"/>
    <w:rsid w:val="08860F9B"/>
    <w:rsid w:val="0886105E"/>
    <w:rsid w:val="08861076"/>
    <w:rsid w:val="088610A6"/>
    <w:rsid w:val="088611C0"/>
    <w:rsid w:val="08861427"/>
    <w:rsid w:val="0886148F"/>
    <w:rsid w:val="088614FE"/>
    <w:rsid w:val="0886156B"/>
    <w:rsid w:val="088615FE"/>
    <w:rsid w:val="08861654"/>
    <w:rsid w:val="08861697"/>
    <w:rsid w:val="088616FE"/>
    <w:rsid w:val="0886174E"/>
    <w:rsid w:val="088617D7"/>
    <w:rsid w:val="08861896"/>
    <w:rsid w:val="088618A3"/>
    <w:rsid w:val="0886190C"/>
    <w:rsid w:val="0886190E"/>
    <w:rsid w:val="08861955"/>
    <w:rsid w:val="08861970"/>
    <w:rsid w:val="088619EC"/>
    <w:rsid w:val="08861A79"/>
    <w:rsid w:val="08861AA5"/>
    <w:rsid w:val="08861AAB"/>
    <w:rsid w:val="08861ABD"/>
    <w:rsid w:val="08861CD1"/>
    <w:rsid w:val="08861CD3"/>
    <w:rsid w:val="08861D28"/>
    <w:rsid w:val="08861DDA"/>
    <w:rsid w:val="08861E67"/>
    <w:rsid w:val="08861EB3"/>
    <w:rsid w:val="08861EBA"/>
    <w:rsid w:val="08861EBE"/>
    <w:rsid w:val="08862079"/>
    <w:rsid w:val="088620A0"/>
    <w:rsid w:val="08862157"/>
    <w:rsid w:val="08862230"/>
    <w:rsid w:val="08862250"/>
    <w:rsid w:val="08862292"/>
    <w:rsid w:val="08862343"/>
    <w:rsid w:val="08862355"/>
    <w:rsid w:val="088624B2"/>
    <w:rsid w:val="08862526"/>
    <w:rsid w:val="088625A8"/>
    <w:rsid w:val="08862603"/>
    <w:rsid w:val="08862639"/>
    <w:rsid w:val="08862701"/>
    <w:rsid w:val="08862739"/>
    <w:rsid w:val="08862750"/>
    <w:rsid w:val="08862780"/>
    <w:rsid w:val="08862856"/>
    <w:rsid w:val="0886285D"/>
    <w:rsid w:val="08862879"/>
    <w:rsid w:val="08862903"/>
    <w:rsid w:val="08862960"/>
    <w:rsid w:val="0886299D"/>
    <w:rsid w:val="088629FC"/>
    <w:rsid w:val="08862AD6"/>
    <w:rsid w:val="08862BB5"/>
    <w:rsid w:val="08862C4F"/>
    <w:rsid w:val="08862C7E"/>
    <w:rsid w:val="08862CE2"/>
    <w:rsid w:val="08862CEE"/>
    <w:rsid w:val="08862D28"/>
    <w:rsid w:val="08862D8C"/>
    <w:rsid w:val="08862DC3"/>
    <w:rsid w:val="08862E1B"/>
    <w:rsid w:val="08862E25"/>
    <w:rsid w:val="08862EF7"/>
    <w:rsid w:val="08862F2F"/>
    <w:rsid w:val="08862FEF"/>
    <w:rsid w:val="0886305E"/>
    <w:rsid w:val="0886306C"/>
    <w:rsid w:val="08863071"/>
    <w:rsid w:val="088630C2"/>
    <w:rsid w:val="088630EC"/>
    <w:rsid w:val="08863128"/>
    <w:rsid w:val="08863164"/>
    <w:rsid w:val="08863207"/>
    <w:rsid w:val="0886321A"/>
    <w:rsid w:val="08863238"/>
    <w:rsid w:val="0886348A"/>
    <w:rsid w:val="088634AE"/>
    <w:rsid w:val="08863569"/>
    <w:rsid w:val="08863576"/>
    <w:rsid w:val="0886359C"/>
    <w:rsid w:val="0886367C"/>
    <w:rsid w:val="08863720"/>
    <w:rsid w:val="08863730"/>
    <w:rsid w:val="08863784"/>
    <w:rsid w:val="08863816"/>
    <w:rsid w:val="088638CD"/>
    <w:rsid w:val="088638DB"/>
    <w:rsid w:val="0886395F"/>
    <w:rsid w:val="088639CC"/>
    <w:rsid w:val="08863A2A"/>
    <w:rsid w:val="08863B6F"/>
    <w:rsid w:val="08863C72"/>
    <w:rsid w:val="08863CC6"/>
    <w:rsid w:val="08863CDE"/>
    <w:rsid w:val="08863D6E"/>
    <w:rsid w:val="08863E08"/>
    <w:rsid w:val="08863E62"/>
    <w:rsid w:val="08863E71"/>
    <w:rsid w:val="08863F42"/>
    <w:rsid w:val="08863FB5"/>
    <w:rsid w:val="08864089"/>
    <w:rsid w:val="088641B3"/>
    <w:rsid w:val="088641EE"/>
    <w:rsid w:val="0886443D"/>
    <w:rsid w:val="08864499"/>
    <w:rsid w:val="088644F6"/>
    <w:rsid w:val="08864561"/>
    <w:rsid w:val="0886459C"/>
    <w:rsid w:val="088645C2"/>
    <w:rsid w:val="0886471B"/>
    <w:rsid w:val="088647F0"/>
    <w:rsid w:val="0886480E"/>
    <w:rsid w:val="08864810"/>
    <w:rsid w:val="0886487C"/>
    <w:rsid w:val="088648F9"/>
    <w:rsid w:val="08864972"/>
    <w:rsid w:val="08864A3E"/>
    <w:rsid w:val="08864A9B"/>
    <w:rsid w:val="08864AAC"/>
    <w:rsid w:val="08864B42"/>
    <w:rsid w:val="08864B5A"/>
    <w:rsid w:val="08864C2E"/>
    <w:rsid w:val="08864C4B"/>
    <w:rsid w:val="08864CB4"/>
    <w:rsid w:val="08864CBC"/>
    <w:rsid w:val="08864CC6"/>
    <w:rsid w:val="08864D25"/>
    <w:rsid w:val="08864D93"/>
    <w:rsid w:val="08864E79"/>
    <w:rsid w:val="08864EB9"/>
    <w:rsid w:val="08864ECB"/>
    <w:rsid w:val="08864EF6"/>
    <w:rsid w:val="08864F4F"/>
    <w:rsid w:val="08864FA5"/>
    <w:rsid w:val="08865058"/>
    <w:rsid w:val="0886507B"/>
    <w:rsid w:val="08865114"/>
    <w:rsid w:val="088651AB"/>
    <w:rsid w:val="088651CD"/>
    <w:rsid w:val="08865244"/>
    <w:rsid w:val="08865246"/>
    <w:rsid w:val="088652D5"/>
    <w:rsid w:val="08865309"/>
    <w:rsid w:val="08865358"/>
    <w:rsid w:val="08865540"/>
    <w:rsid w:val="08865556"/>
    <w:rsid w:val="0886569F"/>
    <w:rsid w:val="088656F4"/>
    <w:rsid w:val="088656F9"/>
    <w:rsid w:val="0886570D"/>
    <w:rsid w:val="0886575A"/>
    <w:rsid w:val="08865767"/>
    <w:rsid w:val="0886579E"/>
    <w:rsid w:val="08865819"/>
    <w:rsid w:val="088658DE"/>
    <w:rsid w:val="08865960"/>
    <w:rsid w:val="0886598F"/>
    <w:rsid w:val="08865AB4"/>
    <w:rsid w:val="08865AC7"/>
    <w:rsid w:val="08865AD5"/>
    <w:rsid w:val="08865AE5"/>
    <w:rsid w:val="08865B9E"/>
    <w:rsid w:val="08865C27"/>
    <w:rsid w:val="08865CA8"/>
    <w:rsid w:val="08865CB2"/>
    <w:rsid w:val="08865CC4"/>
    <w:rsid w:val="08865CDF"/>
    <w:rsid w:val="08865CF0"/>
    <w:rsid w:val="08865D91"/>
    <w:rsid w:val="08865DDD"/>
    <w:rsid w:val="08865E2E"/>
    <w:rsid w:val="08865E69"/>
    <w:rsid w:val="08865EFC"/>
    <w:rsid w:val="08865F46"/>
    <w:rsid w:val="08865FA6"/>
    <w:rsid w:val="08865FF5"/>
    <w:rsid w:val="08865FF6"/>
    <w:rsid w:val="088660F4"/>
    <w:rsid w:val="08866111"/>
    <w:rsid w:val="08866189"/>
    <w:rsid w:val="0886619D"/>
    <w:rsid w:val="088661D7"/>
    <w:rsid w:val="0886621B"/>
    <w:rsid w:val="088662B8"/>
    <w:rsid w:val="088662DA"/>
    <w:rsid w:val="088663F3"/>
    <w:rsid w:val="08866449"/>
    <w:rsid w:val="08866454"/>
    <w:rsid w:val="08866669"/>
    <w:rsid w:val="08866701"/>
    <w:rsid w:val="088667F7"/>
    <w:rsid w:val="08866806"/>
    <w:rsid w:val="0886680B"/>
    <w:rsid w:val="0886685C"/>
    <w:rsid w:val="08866861"/>
    <w:rsid w:val="08866876"/>
    <w:rsid w:val="08866889"/>
    <w:rsid w:val="088668E5"/>
    <w:rsid w:val="0886692E"/>
    <w:rsid w:val="0886694D"/>
    <w:rsid w:val="0886699E"/>
    <w:rsid w:val="08866A3C"/>
    <w:rsid w:val="08866A81"/>
    <w:rsid w:val="08866AF3"/>
    <w:rsid w:val="08866B42"/>
    <w:rsid w:val="08866BE3"/>
    <w:rsid w:val="08866C37"/>
    <w:rsid w:val="08866D64"/>
    <w:rsid w:val="08866D8B"/>
    <w:rsid w:val="08866E7F"/>
    <w:rsid w:val="08866F88"/>
    <w:rsid w:val="0886707C"/>
    <w:rsid w:val="08867136"/>
    <w:rsid w:val="08867161"/>
    <w:rsid w:val="088671A7"/>
    <w:rsid w:val="08867222"/>
    <w:rsid w:val="08867223"/>
    <w:rsid w:val="088672FA"/>
    <w:rsid w:val="08867359"/>
    <w:rsid w:val="08867394"/>
    <w:rsid w:val="088673D2"/>
    <w:rsid w:val="08867464"/>
    <w:rsid w:val="0886749D"/>
    <w:rsid w:val="088674D6"/>
    <w:rsid w:val="088674EE"/>
    <w:rsid w:val="08867553"/>
    <w:rsid w:val="088675DD"/>
    <w:rsid w:val="088676CD"/>
    <w:rsid w:val="088676DD"/>
    <w:rsid w:val="088676F5"/>
    <w:rsid w:val="08867799"/>
    <w:rsid w:val="088677D3"/>
    <w:rsid w:val="08867817"/>
    <w:rsid w:val="08867825"/>
    <w:rsid w:val="0886783C"/>
    <w:rsid w:val="0886785A"/>
    <w:rsid w:val="08867865"/>
    <w:rsid w:val="0886796D"/>
    <w:rsid w:val="08867995"/>
    <w:rsid w:val="088679D3"/>
    <w:rsid w:val="08867A4C"/>
    <w:rsid w:val="08867A9E"/>
    <w:rsid w:val="08867AEE"/>
    <w:rsid w:val="08867B83"/>
    <w:rsid w:val="08867BD6"/>
    <w:rsid w:val="08867BEC"/>
    <w:rsid w:val="08867C0D"/>
    <w:rsid w:val="08867CC9"/>
    <w:rsid w:val="08867D95"/>
    <w:rsid w:val="08867E35"/>
    <w:rsid w:val="08867E76"/>
    <w:rsid w:val="08867E8F"/>
    <w:rsid w:val="08867E91"/>
    <w:rsid w:val="08867F00"/>
    <w:rsid w:val="08867F19"/>
    <w:rsid w:val="08867F65"/>
    <w:rsid w:val="08870028"/>
    <w:rsid w:val="08870330"/>
    <w:rsid w:val="08870348"/>
    <w:rsid w:val="08870357"/>
    <w:rsid w:val="08870362"/>
    <w:rsid w:val="088703AA"/>
    <w:rsid w:val="088703B9"/>
    <w:rsid w:val="088703FA"/>
    <w:rsid w:val="088704AB"/>
    <w:rsid w:val="088704F4"/>
    <w:rsid w:val="08870539"/>
    <w:rsid w:val="0887073E"/>
    <w:rsid w:val="0887078B"/>
    <w:rsid w:val="088707AB"/>
    <w:rsid w:val="088707BF"/>
    <w:rsid w:val="088707DD"/>
    <w:rsid w:val="088709AC"/>
    <w:rsid w:val="08870A2C"/>
    <w:rsid w:val="08870A8C"/>
    <w:rsid w:val="08870BE9"/>
    <w:rsid w:val="08870CD1"/>
    <w:rsid w:val="08870D78"/>
    <w:rsid w:val="08870E0E"/>
    <w:rsid w:val="08870EA2"/>
    <w:rsid w:val="08870EF1"/>
    <w:rsid w:val="08870FED"/>
    <w:rsid w:val="08871004"/>
    <w:rsid w:val="0887108C"/>
    <w:rsid w:val="0887111F"/>
    <w:rsid w:val="08871173"/>
    <w:rsid w:val="0887128D"/>
    <w:rsid w:val="088712B4"/>
    <w:rsid w:val="08871347"/>
    <w:rsid w:val="0887136C"/>
    <w:rsid w:val="08871432"/>
    <w:rsid w:val="08871550"/>
    <w:rsid w:val="08871577"/>
    <w:rsid w:val="0887157D"/>
    <w:rsid w:val="0887176E"/>
    <w:rsid w:val="08871793"/>
    <w:rsid w:val="0887181B"/>
    <w:rsid w:val="08871845"/>
    <w:rsid w:val="088718D0"/>
    <w:rsid w:val="088719B2"/>
    <w:rsid w:val="088719FA"/>
    <w:rsid w:val="08871A06"/>
    <w:rsid w:val="08871A15"/>
    <w:rsid w:val="08871A92"/>
    <w:rsid w:val="08871AE6"/>
    <w:rsid w:val="08871AE7"/>
    <w:rsid w:val="08871B16"/>
    <w:rsid w:val="08871B22"/>
    <w:rsid w:val="08871BBE"/>
    <w:rsid w:val="08871C5E"/>
    <w:rsid w:val="08871C97"/>
    <w:rsid w:val="08871CA7"/>
    <w:rsid w:val="08871CC3"/>
    <w:rsid w:val="08871DB9"/>
    <w:rsid w:val="08871E95"/>
    <w:rsid w:val="08871EA6"/>
    <w:rsid w:val="08871EE5"/>
    <w:rsid w:val="08871FBE"/>
    <w:rsid w:val="0887203F"/>
    <w:rsid w:val="08872147"/>
    <w:rsid w:val="088721ED"/>
    <w:rsid w:val="08872243"/>
    <w:rsid w:val="08872280"/>
    <w:rsid w:val="088722A3"/>
    <w:rsid w:val="088722AD"/>
    <w:rsid w:val="0887231F"/>
    <w:rsid w:val="0887238F"/>
    <w:rsid w:val="088723CA"/>
    <w:rsid w:val="08872413"/>
    <w:rsid w:val="088724E2"/>
    <w:rsid w:val="088725EA"/>
    <w:rsid w:val="0887266C"/>
    <w:rsid w:val="08872688"/>
    <w:rsid w:val="088726CA"/>
    <w:rsid w:val="08872747"/>
    <w:rsid w:val="08872770"/>
    <w:rsid w:val="088727EA"/>
    <w:rsid w:val="0887284D"/>
    <w:rsid w:val="0887295C"/>
    <w:rsid w:val="088729A5"/>
    <w:rsid w:val="08872A4E"/>
    <w:rsid w:val="08872A68"/>
    <w:rsid w:val="08872A8D"/>
    <w:rsid w:val="08872B54"/>
    <w:rsid w:val="08872B8C"/>
    <w:rsid w:val="08872BB9"/>
    <w:rsid w:val="08872BC9"/>
    <w:rsid w:val="08872C81"/>
    <w:rsid w:val="08872F87"/>
    <w:rsid w:val="08872FC5"/>
    <w:rsid w:val="08872FE3"/>
    <w:rsid w:val="08873067"/>
    <w:rsid w:val="08873081"/>
    <w:rsid w:val="08873158"/>
    <w:rsid w:val="088731A7"/>
    <w:rsid w:val="088731B7"/>
    <w:rsid w:val="088731CA"/>
    <w:rsid w:val="088731EA"/>
    <w:rsid w:val="088732A2"/>
    <w:rsid w:val="08873371"/>
    <w:rsid w:val="088733D1"/>
    <w:rsid w:val="08873440"/>
    <w:rsid w:val="08873527"/>
    <w:rsid w:val="0887358B"/>
    <w:rsid w:val="0887359A"/>
    <w:rsid w:val="08873670"/>
    <w:rsid w:val="08873673"/>
    <w:rsid w:val="088736D2"/>
    <w:rsid w:val="088736F2"/>
    <w:rsid w:val="08873707"/>
    <w:rsid w:val="08873708"/>
    <w:rsid w:val="08873759"/>
    <w:rsid w:val="08873797"/>
    <w:rsid w:val="08873810"/>
    <w:rsid w:val="08873837"/>
    <w:rsid w:val="088738F9"/>
    <w:rsid w:val="088739A8"/>
    <w:rsid w:val="088739CF"/>
    <w:rsid w:val="08873B2B"/>
    <w:rsid w:val="08873B9D"/>
    <w:rsid w:val="08873C3C"/>
    <w:rsid w:val="08873C46"/>
    <w:rsid w:val="08873CA8"/>
    <w:rsid w:val="08873CD1"/>
    <w:rsid w:val="08873D2B"/>
    <w:rsid w:val="08873D4C"/>
    <w:rsid w:val="08873DBE"/>
    <w:rsid w:val="08873DE2"/>
    <w:rsid w:val="08873E83"/>
    <w:rsid w:val="08873EA7"/>
    <w:rsid w:val="08873F31"/>
    <w:rsid w:val="08873F3E"/>
    <w:rsid w:val="08873FC1"/>
    <w:rsid w:val="088740A5"/>
    <w:rsid w:val="08874147"/>
    <w:rsid w:val="088741D1"/>
    <w:rsid w:val="08874207"/>
    <w:rsid w:val="0887427E"/>
    <w:rsid w:val="088742D0"/>
    <w:rsid w:val="088743BB"/>
    <w:rsid w:val="088743D2"/>
    <w:rsid w:val="088743E1"/>
    <w:rsid w:val="08874498"/>
    <w:rsid w:val="0887457C"/>
    <w:rsid w:val="088746BE"/>
    <w:rsid w:val="08874740"/>
    <w:rsid w:val="088747BF"/>
    <w:rsid w:val="08874849"/>
    <w:rsid w:val="088749CF"/>
    <w:rsid w:val="08874A1B"/>
    <w:rsid w:val="08874A45"/>
    <w:rsid w:val="08874A4F"/>
    <w:rsid w:val="08874A5D"/>
    <w:rsid w:val="08874AA9"/>
    <w:rsid w:val="08874ADC"/>
    <w:rsid w:val="08874AEA"/>
    <w:rsid w:val="08874B81"/>
    <w:rsid w:val="08874BC0"/>
    <w:rsid w:val="08874BF9"/>
    <w:rsid w:val="08874C24"/>
    <w:rsid w:val="08874CB9"/>
    <w:rsid w:val="08874D20"/>
    <w:rsid w:val="08874D2D"/>
    <w:rsid w:val="08874EA7"/>
    <w:rsid w:val="08874EF2"/>
    <w:rsid w:val="08874F0C"/>
    <w:rsid w:val="08874F17"/>
    <w:rsid w:val="08874F3A"/>
    <w:rsid w:val="0887500A"/>
    <w:rsid w:val="08875018"/>
    <w:rsid w:val="0887501A"/>
    <w:rsid w:val="088750B0"/>
    <w:rsid w:val="088750B6"/>
    <w:rsid w:val="0887517E"/>
    <w:rsid w:val="0887522F"/>
    <w:rsid w:val="088752D6"/>
    <w:rsid w:val="0887532C"/>
    <w:rsid w:val="0887535B"/>
    <w:rsid w:val="0887536F"/>
    <w:rsid w:val="08875373"/>
    <w:rsid w:val="08875462"/>
    <w:rsid w:val="0887552A"/>
    <w:rsid w:val="0887555B"/>
    <w:rsid w:val="088755A1"/>
    <w:rsid w:val="088755AB"/>
    <w:rsid w:val="08875712"/>
    <w:rsid w:val="0887572C"/>
    <w:rsid w:val="088758E6"/>
    <w:rsid w:val="08875916"/>
    <w:rsid w:val="08875A64"/>
    <w:rsid w:val="08875A7E"/>
    <w:rsid w:val="08875AB0"/>
    <w:rsid w:val="08875AC8"/>
    <w:rsid w:val="08875AE2"/>
    <w:rsid w:val="08875C51"/>
    <w:rsid w:val="08875C82"/>
    <w:rsid w:val="08875CC0"/>
    <w:rsid w:val="08875D90"/>
    <w:rsid w:val="08875DCD"/>
    <w:rsid w:val="08875DEE"/>
    <w:rsid w:val="08875E66"/>
    <w:rsid w:val="08875ED0"/>
    <w:rsid w:val="08875FBA"/>
    <w:rsid w:val="088760B2"/>
    <w:rsid w:val="088760E7"/>
    <w:rsid w:val="088761AB"/>
    <w:rsid w:val="088761CF"/>
    <w:rsid w:val="088761F9"/>
    <w:rsid w:val="08876331"/>
    <w:rsid w:val="0887639E"/>
    <w:rsid w:val="088763AB"/>
    <w:rsid w:val="088763CF"/>
    <w:rsid w:val="0887661A"/>
    <w:rsid w:val="08876699"/>
    <w:rsid w:val="08876762"/>
    <w:rsid w:val="0887678C"/>
    <w:rsid w:val="088768B5"/>
    <w:rsid w:val="08876944"/>
    <w:rsid w:val="08876959"/>
    <w:rsid w:val="08876977"/>
    <w:rsid w:val="08876978"/>
    <w:rsid w:val="08876A94"/>
    <w:rsid w:val="08876A9E"/>
    <w:rsid w:val="08876AE0"/>
    <w:rsid w:val="08876B7E"/>
    <w:rsid w:val="08876BA8"/>
    <w:rsid w:val="08876BF3"/>
    <w:rsid w:val="08876C0C"/>
    <w:rsid w:val="08876C0F"/>
    <w:rsid w:val="08876C11"/>
    <w:rsid w:val="08876C59"/>
    <w:rsid w:val="08876CCF"/>
    <w:rsid w:val="08876CE3"/>
    <w:rsid w:val="08876CF5"/>
    <w:rsid w:val="08876D08"/>
    <w:rsid w:val="08876D33"/>
    <w:rsid w:val="08876FA9"/>
    <w:rsid w:val="0887700B"/>
    <w:rsid w:val="08877073"/>
    <w:rsid w:val="08877116"/>
    <w:rsid w:val="08877175"/>
    <w:rsid w:val="088771A8"/>
    <w:rsid w:val="088772DD"/>
    <w:rsid w:val="08877333"/>
    <w:rsid w:val="08877405"/>
    <w:rsid w:val="0887742A"/>
    <w:rsid w:val="0887742D"/>
    <w:rsid w:val="08877494"/>
    <w:rsid w:val="088774F2"/>
    <w:rsid w:val="08877608"/>
    <w:rsid w:val="08877759"/>
    <w:rsid w:val="088777F7"/>
    <w:rsid w:val="08877828"/>
    <w:rsid w:val="088778AA"/>
    <w:rsid w:val="08877903"/>
    <w:rsid w:val="0887799B"/>
    <w:rsid w:val="088779BF"/>
    <w:rsid w:val="08877A1B"/>
    <w:rsid w:val="08877A49"/>
    <w:rsid w:val="08877A79"/>
    <w:rsid w:val="08877A9A"/>
    <w:rsid w:val="08877B6D"/>
    <w:rsid w:val="08877C3F"/>
    <w:rsid w:val="08877C8D"/>
    <w:rsid w:val="08877CB5"/>
    <w:rsid w:val="08877D55"/>
    <w:rsid w:val="08877D60"/>
    <w:rsid w:val="08877D92"/>
    <w:rsid w:val="08877EA0"/>
    <w:rsid w:val="08877F2A"/>
    <w:rsid w:val="08877F41"/>
    <w:rsid w:val="08877F67"/>
    <w:rsid w:val="08877F88"/>
    <w:rsid w:val="08880019"/>
    <w:rsid w:val="08880054"/>
    <w:rsid w:val="088800DE"/>
    <w:rsid w:val="088800EB"/>
    <w:rsid w:val="08880126"/>
    <w:rsid w:val="08880139"/>
    <w:rsid w:val="0888019A"/>
    <w:rsid w:val="0888021C"/>
    <w:rsid w:val="088802F1"/>
    <w:rsid w:val="088803DF"/>
    <w:rsid w:val="088803F7"/>
    <w:rsid w:val="08880425"/>
    <w:rsid w:val="088804CD"/>
    <w:rsid w:val="088804D1"/>
    <w:rsid w:val="088804F1"/>
    <w:rsid w:val="08880651"/>
    <w:rsid w:val="0888068A"/>
    <w:rsid w:val="08880692"/>
    <w:rsid w:val="088806B4"/>
    <w:rsid w:val="088806E3"/>
    <w:rsid w:val="08880740"/>
    <w:rsid w:val="08880746"/>
    <w:rsid w:val="08880798"/>
    <w:rsid w:val="088807A5"/>
    <w:rsid w:val="088809BB"/>
    <w:rsid w:val="088809F3"/>
    <w:rsid w:val="08880A62"/>
    <w:rsid w:val="08880A6D"/>
    <w:rsid w:val="08880AC1"/>
    <w:rsid w:val="08880BA5"/>
    <w:rsid w:val="08880C74"/>
    <w:rsid w:val="08880C94"/>
    <w:rsid w:val="08880CE7"/>
    <w:rsid w:val="08880DCD"/>
    <w:rsid w:val="08880E2B"/>
    <w:rsid w:val="08880E62"/>
    <w:rsid w:val="08880EA8"/>
    <w:rsid w:val="08880EE3"/>
    <w:rsid w:val="08880F00"/>
    <w:rsid w:val="08880F72"/>
    <w:rsid w:val="08880F7D"/>
    <w:rsid w:val="08880FF6"/>
    <w:rsid w:val="0888107C"/>
    <w:rsid w:val="0888109A"/>
    <w:rsid w:val="088810D2"/>
    <w:rsid w:val="08881137"/>
    <w:rsid w:val="0888114B"/>
    <w:rsid w:val="0888118B"/>
    <w:rsid w:val="0888119F"/>
    <w:rsid w:val="08881251"/>
    <w:rsid w:val="0888128B"/>
    <w:rsid w:val="0888147F"/>
    <w:rsid w:val="088814FF"/>
    <w:rsid w:val="0888164F"/>
    <w:rsid w:val="088816CC"/>
    <w:rsid w:val="08881722"/>
    <w:rsid w:val="08881737"/>
    <w:rsid w:val="08881772"/>
    <w:rsid w:val="088817F9"/>
    <w:rsid w:val="08881826"/>
    <w:rsid w:val="088818A5"/>
    <w:rsid w:val="08881909"/>
    <w:rsid w:val="08881A49"/>
    <w:rsid w:val="08881A4F"/>
    <w:rsid w:val="08881A6E"/>
    <w:rsid w:val="08881B33"/>
    <w:rsid w:val="08881B56"/>
    <w:rsid w:val="08881CA2"/>
    <w:rsid w:val="08881E04"/>
    <w:rsid w:val="08881E9E"/>
    <w:rsid w:val="08881EA3"/>
    <w:rsid w:val="08881EF6"/>
    <w:rsid w:val="08881FCE"/>
    <w:rsid w:val="08882162"/>
    <w:rsid w:val="088821C4"/>
    <w:rsid w:val="0888223F"/>
    <w:rsid w:val="08882349"/>
    <w:rsid w:val="088823C2"/>
    <w:rsid w:val="08882432"/>
    <w:rsid w:val="088824C1"/>
    <w:rsid w:val="08882550"/>
    <w:rsid w:val="088825DF"/>
    <w:rsid w:val="0888260E"/>
    <w:rsid w:val="08882731"/>
    <w:rsid w:val="0888273E"/>
    <w:rsid w:val="0888278F"/>
    <w:rsid w:val="0888279B"/>
    <w:rsid w:val="088827A5"/>
    <w:rsid w:val="088827B4"/>
    <w:rsid w:val="088827EE"/>
    <w:rsid w:val="08882847"/>
    <w:rsid w:val="0888285A"/>
    <w:rsid w:val="0888288F"/>
    <w:rsid w:val="08882898"/>
    <w:rsid w:val="08882985"/>
    <w:rsid w:val="0888299E"/>
    <w:rsid w:val="088829B2"/>
    <w:rsid w:val="088829EE"/>
    <w:rsid w:val="08882ABB"/>
    <w:rsid w:val="08882AE0"/>
    <w:rsid w:val="08882BD0"/>
    <w:rsid w:val="08882C64"/>
    <w:rsid w:val="08882C80"/>
    <w:rsid w:val="08882CD1"/>
    <w:rsid w:val="08882DDA"/>
    <w:rsid w:val="08882DFB"/>
    <w:rsid w:val="08882E13"/>
    <w:rsid w:val="08882E57"/>
    <w:rsid w:val="08882EC3"/>
    <w:rsid w:val="08882F89"/>
    <w:rsid w:val="088830CE"/>
    <w:rsid w:val="08883141"/>
    <w:rsid w:val="0888323B"/>
    <w:rsid w:val="08883278"/>
    <w:rsid w:val="088832DA"/>
    <w:rsid w:val="08883416"/>
    <w:rsid w:val="08883445"/>
    <w:rsid w:val="088834AC"/>
    <w:rsid w:val="08883514"/>
    <w:rsid w:val="08883532"/>
    <w:rsid w:val="08883583"/>
    <w:rsid w:val="08883603"/>
    <w:rsid w:val="0888361C"/>
    <w:rsid w:val="08883657"/>
    <w:rsid w:val="088836CC"/>
    <w:rsid w:val="088836D6"/>
    <w:rsid w:val="0888374D"/>
    <w:rsid w:val="088837CA"/>
    <w:rsid w:val="0888385C"/>
    <w:rsid w:val="08883874"/>
    <w:rsid w:val="08883900"/>
    <w:rsid w:val="08883931"/>
    <w:rsid w:val="0888395C"/>
    <w:rsid w:val="0888396C"/>
    <w:rsid w:val="088839DF"/>
    <w:rsid w:val="08883CAF"/>
    <w:rsid w:val="08883D63"/>
    <w:rsid w:val="08883DBB"/>
    <w:rsid w:val="08883DC3"/>
    <w:rsid w:val="08883E59"/>
    <w:rsid w:val="08883F6B"/>
    <w:rsid w:val="08883F6C"/>
    <w:rsid w:val="08883F8D"/>
    <w:rsid w:val="08883FB1"/>
    <w:rsid w:val="088840ED"/>
    <w:rsid w:val="088840FA"/>
    <w:rsid w:val="0888414A"/>
    <w:rsid w:val="0888414D"/>
    <w:rsid w:val="0888415C"/>
    <w:rsid w:val="08884270"/>
    <w:rsid w:val="08884276"/>
    <w:rsid w:val="088842AE"/>
    <w:rsid w:val="08884338"/>
    <w:rsid w:val="0888439A"/>
    <w:rsid w:val="088843DF"/>
    <w:rsid w:val="088843FB"/>
    <w:rsid w:val="088843FF"/>
    <w:rsid w:val="0888440D"/>
    <w:rsid w:val="08884502"/>
    <w:rsid w:val="08884528"/>
    <w:rsid w:val="08884642"/>
    <w:rsid w:val="08884682"/>
    <w:rsid w:val="088846CA"/>
    <w:rsid w:val="088846D3"/>
    <w:rsid w:val="088846EE"/>
    <w:rsid w:val="0888476A"/>
    <w:rsid w:val="088849F0"/>
    <w:rsid w:val="08884A86"/>
    <w:rsid w:val="08884AFA"/>
    <w:rsid w:val="08884B58"/>
    <w:rsid w:val="08884B8D"/>
    <w:rsid w:val="08884BCF"/>
    <w:rsid w:val="08884C34"/>
    <w:rsid w:val="08884CDB"/>
    <w:rsid w:val="08884D02"/>
    <w:rsid w:val="08884D2D"/>
    <w:rsid w:val="08884D5E"/>
    <w:rsid w:val="08884D7C"/>
    <w:rsid w:val="08884DA0"/>
    <w:rsid w:val="08884DBA"/>
    <w:rsid w:val="08884E77"/>
    <w:rsid w:val="08884ED8"/>
    <w:rsid w:val="08884EE1"/>
    <w:rsid w:val="08884F09"/>
    <w:rsid w:val="08884F3E"/>
    <w:rsid w:val="08884FBB"/>
    <w:rsid w:val="088850A5"/>
    <w:rsid w:val="088850EF"/>
    <w:rsid w:val="0888511B"/>
    <w:rsid w:val="08885189"/>
    <w:rsid w:val="08885260"/>
    <w:rsid w:val="0888530A"/>
    <w:rsid w:val="08885315"/>
    <w:rsid w:val="08885377"/>
    <w:rsid w:val="088853B8"/>
    <w:rsid w:val="088854F1"/>
    <w:rsid w:val="08885558"/>
    <w:rsid w:val="0888561D"/>
    <w:rsid w:val="0888564D"/>
    <w:rsid w:val="088857C7"/>
    <w:rsid w:val="088857DE"/>
    <w:rsid w:val="088858B1"/>
    <w:rsid w:val="08885931"/>
    <w:rsid w:val="08885A35"/>
    <w:rsid w:val="08885AD2"/>
    <w:rsid w:val="08885B8B"/>
    <w:rsid w:val="08885BF1"/>
    <w:rsid w:val="08885CFE"/>
    <w:rsid w:val="08885DCE"/>
    <w:rsid w:val="08885DFB"/>
    <w:rsid w:val="08885E91"/>
    <w:rsid w:val="08885F13"/>
    <w:rsid w:val="08885F55"/>
    <w:rsid w:val="0888600D"/>
    <w:rsid w:val="0888616F"/>
    <w:rsid w:val="08886211"/>
    <w:rsid w:val="0888621F"/>
    <w:rsid w:val="08886241"/>
    <w:rsid w:val="0888625B"/>
    <w:rsid w:val="088862B5"/>
    <w:rsid w:val="088862FA"/>
    <w:rsid w:val="0888633D"/>
    <w:rsid w:val="08886340"/>
    <w:rsid w:val="088863B0"/>
    <w:rsid w:val="0888641E"/>
    <w:rsid w:val="088864AF"/>
    <w:rsid w:val="088864D7"/>
    <w:rsid w:val="08886651"/>
    <w:rsid w:val="088866F3"/>
    <w:rsid w:val="08886761"/>
    <w:rsid w:val="08886772"/>
    <w:rsid w:val="08886807"/>
    <w:rsid w:val="0888690A"/>
    <w:rsid w:val="088869D4"/>
    <w:rsid w:val="08886B02"/>
    <w:rsid w:val="08886B97"/>
    <w:rsid w:val="08886C31"/>
    <w:rsid w:val="08886C68"/>
    <w:rsid w:val="08886D38"/>
    <w:rsid w:val="08886D46"/>
    <w:rsid w:val="08886D9C"/>
    <w:rsid w:val="08886E3F"/>
    <w:rsid w:val="08886E81"/>
    <w:rsid w:val="08886ED2"/>
    <w:rsid w:val="08886EFA"/>
    <w:rsid w:val="08886F00"/>
    <w:rsid w:val="0888730D"/>
    <w:rsid w:val="08887349"/>
    <w:rsid w:val="0888735B"/>
    <w:rsid w:val="0888737D"/>
    <w:rsid w:val="08887392"/>
    <w:rsid w:val="08887399"/>
    <w:rsid w:val="088873A9"/>
    <w:rsid w:val="088873C9"/>
    <w:rsid w:val="08887417"/>
    <w:rsid w:val="08887478"/>
    <w:rsid w:val="08887495"/>
    <w:rsid w:val="088874AD"/>
    <w:rsid w:val="088874E2"/>
    <w:rsid w:val="088875BE"/>
    <w:rsid w:val="088876B1"/>
    <w:rsid w:val="08887742"/>
    <w:rsid w:val="08887780"/>
    <w:rsid w:val="088877DA"/>
    <w:rsid w:val="08887918"/>
    <w:rsid w:val="088879B3"/>
    <w:rsid w:val="08887A4A"/>
    <w:rsid w:val="08887A8A"/>
    <w:rsid w:val="08887B61"/>
    <w:rsid w:val="08887BF8"/>
    <w:rsid w:val="08887D5A"/>
    <w:rsid w:val="08887D85"/>
    <w:rsid w:val="08887EF3"/>
    <w:rsid w:val="08887F8F"/>
    <w:rsid w:val="08890000"/>
    <w:rsid w:val="08890059"/>
    <w:rsid w:val="088900F3"/>
    <w:rsid w:val="0889013B"/>
    <w:rsid w:val="0889014A"/>
    <w:rsid w:val="0889019B"/>
    <w:rsid w:val="088901E5"/>
    <w:rsid w:val="08890238"/>
    <w:rsid w:val="08890368"/>
    <w:rsid w:val="088903C0"/>
    <w:rsid w:val="0889050A"/>
    <w:rsid w:val="08890534"/>
    <w:rsid w:val="08890565"/>
    <w:rsid w:val="08890577"/>
    <w:rsid w:val="088905B5"/>
    <w:rsid w:val="088905BA"/>
    <w:rsid w:val="0889076A"/>
    <w:rsid w:val="08890930"/>
    <w:rsid w:val="088909AD"/>
    <w:rsid w:val="08890BDF"/>
    <w:rsid w:val="08890BEB"/>
    <w:rsid w:val="08890C2A"/>
    <w:rsid w:val="08890C2C"/>
    <w:rsid w:val="08890C45"/>
    <w:rsid w:val="08890CCB"/>
    <w:rsid w:val="08890D39"/>
    <w:rsid w:val="08890D6E"/>
    <w:rsid w:val="08890DDA"/>
    <w:rsid w:val="08890E3B"/>
    <w:rsid w:val="08890E50"/>
    <w:rsid w:val="08890E77"/>
    <w:rsid w:val="08891030"/>
    <w:rsid w:val="0889103B"/>
    <w:rsid w:val="08891054"/>
    <w:rsid w:val="088910A0"/>
    <w:rsid w:val="0889114B"/>
    <w:rsid w:val="08891190"/>
    <w:rsid w:val="08891196"/>
    <w:rsid w:val="0889125E"/>
    <w:rsid w:val="08891294"/>
    <w:rsid w:val="088912A2"/>
    <w:rsid w:val="088912B3"/>
    <w:rsid w:val="088912BB"/>
    <w:rsid w:val="088912C6"/>
    <w:rsid w:val="08891362"/>
    <w:rsid w:val="0889138D"/>
    <w:rsid w:val="088913AA"/>
    <w:rsid w:val="088913E5"/>
    <w:rsid w:val="088913E9"/>
    <w:rsid w:val="0889142D"/>
    <w:rsid w:val="0889144C"/>
    <w:rsid w:val="088914A4"/>
    <w:rsid w:val="08891539"/>
    <w:rsid w:val="08891616"/>
    <w:rsid w:val="08891675"/>
    <w:rsid w:val="0889178F"/>
    <w:rsid w:val="0889179F"/>
    <w:rsid w:val="088917F9"/>
    <w:rsid w:val="08891809"/>
    <w:rsid w:val="0889186B"/>
    <w:rsid w:val="08891871"/>
    <w:rsid w:val="08891905"/>
    <w:rsid w:val="08891A0C"/>
    <w:rsid w:val="08891A35"/>
    <w:rsid w:val="08891B0A"/>
    <w:rsid w:val="08891B31"/>
    <w:rsid w:val="08891B85"/>
    <w:rsid w:val="08891C3B"/>
    <w:rsid w:val="08891CE2"/>
    <w:rsid w:val="08891D48"/>
    <w:rsid w:val="08891DE0"/>
    <w:rsid w:val="08891DF2"/>
    <w:rsid w:val="08891E01"/>
    <w:rsid w:val="08891EC8"/>
    <w:rsid w:val="08891EFA"/>
    <w:rsid w:val="08891EFD"/>
    <w:rsid w:val="088920E5"/>
    <w:rsid w:val="088921AB"/>
    <w:rsid w:val="0889232F"/>
    <w:rsid w:val="08892342"/>
    <w:rsid w:val="088924FB"/>
    <w:rsid w:val="08892530"/>
    <w:rsid w:val="0889254D"/>
    <w:rsid w:val="08892601"/>
    <w:rsid w:val="08892731"/>
    <w:rsid w:val="08892785"/>
    <w:rsid w:val="088927AF"/>
    <w:rsid w:val="08892829"/>
    <w:rsid w:val="088928BF"/>
    <w:rsid w:val="0889299D"/>
    <w:rsid w:val="08892A0C"/>
    <w:rsid w:val="08892B15"/>
    <w:rsid w:val="08892B4B"/>
    <w:rsid w:val="08892C24"/>
    <w:rsid w:val="08892C61"/>
    <w:rsid w:val="08892D4B"/>
    <w:rsid w:val="08892D60"/>
    <w:rsid w:val="08892DA5"/>
    <w:rsid w:val="08892E52"/>
    <w:rsid w:val="08892E8F"/>
    <w:rsid w:val="08892E96"/>
    <w:rsid w:val="08892F90"/>
    <w:rsid w:val="08892FA0"/>
    <w:rsid w:val="08892FE6"/>
    <w:rsid w:val="08892FF6"/>
    <w:rsid w:val="0889301F"/>
    <w:rsid w:val="08893045"/>
    <w:rsid w:val="088930A5"/>
    <w:rsid w:val="08893116"/>
    <w:rsid w:val="088931EE"/>
    <w:rsid w:val="08893241"/>
    <w:rsid w:val="08893243"/>
    <w:rsid w:val="08893257"/>
    <w:rsid w:val="08893301"/>
    <w:rsid w:val="0889331D"/>
    <w:rsid w:val="0889332A"/>
    <w:rsid w:val="08893364"/>
    <w:rsid w:val="088933E3"/>
    <w:rsid w:val="088934D9"/>
    <w:rsid w:val="0889350E"/>
    <w:rsid w:val="0889352C"/>
    <w:rsid w:val="08893573"/>
    <w:rsid w:val="088935DB"/>
    <w:rsid w:val="08893607"/>
    <w:rsid w:val="0889361B"/>
    <w:rsid w:val="08893623"/>
    <w:rsid w:val="08893674"/>
    <w:rsid w:val="088936EB"/>
    <w:rsid w:val="0889371C"/>
    <w:rsid w:val="08893729"/>
    <w:rsid w:val="08893818"/>
    <w:rsid w:val="08893891"/>
    <w:rsid w:val="0889390A"/>
    <w:rsid w:val="08893976"/>
    <w:rsid w:val="088939C1"/>
    <w:rsid w:val="08893A29"/>
    <w:rsid w:val="08893AA5"/>
    <w:rsid w:val="08893B21"/>
    <w:rsid w:val="08893C18"/>
    <w:rsid w:val="08893C3F"/>
    <w:rsid w:val="08893C66"/>
    <w:rsid w:val="08893C79"/>
    <w:rsid w:val="08893CA9"/>
    <w:rsid w:val="08893D9F"/>
    <w:rsid w:val="08893DB2"/>
    <w:rsid w:val="08893DC3"/>
    <w:rsid w:val="08893E7D"/>
    <w:rsid w:val="08893ED9"/>
    <w:rsid w:val="08893F4A"/>
    <w:rsid w:val="08893FAE"/>
    <w:rsid w:val="08893FFC"/>
    <w:rsid w:val="08894050"/>
    <w:rsid w:val="088940E2"/>
    <w:rsid w:val="088940F8"/>
    <w:rsid w:val="08894133"/>
    <w:rsid w:val="0889413F"/>
    <w:rsid w:val="08894142"/>
    <w:rsid w:val="08894168"/>
    <w:rsid w:val="0889417B"/>
    <w:rsid w:val="088943E0"/>
    <w:rsid w:val="08894412"/>
    <w:rsid w:val="08894415"/>
    <w:rsid w:val="0889443D"/>
    <w:rsid w:val="08894469"/>
    <w:rsid w:val="08894494"/>
    <w:rsid w:val="088944E1"/>
    <w:rsid w:val="088944F4"/>
    <w:rsid w:val="0889452A"/>
    <w:rsid w:val="08894619"/>
    <w:rsid w:val="088947FC"/>
    <w:rsid w:val="0889489A"/>
    <w:rsid w:val="08894902"/>
    <w:rsid w:val="0889493B"/>
    <w:rsid w:val="08894A2E"/>
    <w:rsid w:val="08894A36"/>
    <w:rsid w:val="08894A8E"/>
    <w:rsid w:val="08894ABE"/>
    <w:rsid w:val="08894B11"/>
    <w:rsid w:val="08894BA7"/>
    <w:rsid w:val="08894BB2"/>
    <w:rsid w:val="08894BE5"/>
    <w:rsid w:val="08894BF2"/>
    <w:rsid w:val="08894C56"/>
    <w:rsid w:val="08894CD6"/>
    <w:rsid w:val="08894CDF"/>
    <w:rsid w:val="08894E42"/>
    <w:rsid w:val="08894F13"/>
    <w:rsid w:val="0889502B"/>
    <w:rsid w:val="088950E8"/>
    <w:rsid w:val="088950FC"/>
    <w:rsid w:val="0889510D"/>
    <w:rsid w:val="08895118"/>
    <w:rsid w:val="0889511D"/>
    <w:rsid w:val="08895131"/>
    <w:rsid w:val="08895181"/>
    <w:rsid w:val="08895187"/>
    <w:rsid w:val="088951D0"/>
    <w:rsid w:val="08895217"/>
    <w:rsid w:val="0889521F"/>
    <w:rsid w:val="088952E4"/>
    <w:rsid w:val="08895338"/>
    <w:rsid w:val="0889536C"/>
    <w:rsid w:val="088953B3"/>
    <w:rsid w:val="08895470"/>
    <w:rsid w:val="08895495"/>
    <w:rsid w:val="0889550A"/>
    <w:rsid w:val="0889550F"/>
    <w:rsid w:val="08895546"/>
    <w:rsid w:val="088955D2"/>
    <w:rsid w:val="08895602"/>
    <w:rsid w:val="0889564B"/>
    <w:rsid w:val="08895651"/>
    <w:rsid w:val="088957B1"/>
    <w:rsid w:val="0889584D"/>
    <w:rsid w:val="08895948"/>
    <w:rsid w:val="08895957"/>
    <w:rsid w:val="088959A4"/>
    <w:rsid w:val="088959C4"/>
    <w:rsid w:val="08895AFF"/>
    <w:rsid w:val="08895B61"/>
    <w:rsid w:val="08895DF7"/>
    <w:rsid w:val="08895E1C"/>
    <w:rsid w:val="08895E22"/>
    <w:rsid w:val="08895F68"/>
    <w:rsid w:val="08895F9C"/>
    <w:rsid w:val="08896058"/>
    <w:rsid w:val="088960CE"/>
    <w:rsid w:val="088960D2"/>
    <w:rsid w:val="08896137"/>
    <w:rsid w:val="0889618A"/>
    <w:rsid w:val="08896197"/>
    <w:rsid w:val="088961D4"/>
    <w:rsid w:val="08896312"/>
    <w:rsid w:val="08896373"/>
    <w:rsid w:val="088963AD"/>
    <w:rsid w:val="088963C2"/>
    <w:rsid w:val="08896410"/>
    <w:rsid w:val="0889647A"/>
    <w:rsid w:val="08896570"/>
    <w:rsid w:val="0889660B"/>
    <w:rsid w:val="0889664E"/>
    <w:rsid w:val="08896682"/>
    <w:rsid w:val="088967C3"/>
    <w:rsid w:val="088967EE"/>
    <w:rsid w:val="08896814"/>
    <w:rsid w:val="08896826"/>
    <w:rsid w:val="08896895"/>
    <w:rsid w:val="088968A2"/>
    <w:rsid w:val="088968F9"/>
    <w:rsid w:val="08896987"/>
    <w:rsid w:val="08896A86"/>
    <w:rsid w:val="08896B70"/>
    <w:rsid w:val="08896BB5"/>
    <w:rsid w:val="08896BF7"/>
    <w:rsid w:val="08896BFC"/>
    <w:rsid w:val="08896C08"/>
    <w:rsid w:val="08896C5D"/>
    <w:rsid w:val="08896CA0"/>
    <w:rsid w:val="08896CCD"/>
    <w:rsid w:val="08896CEE"/>
    <w:rsid w:val="08896D24"/>
    <w:rsid w:val="08896DF8"/>
    <w:rsid w:val="08896E44"/>
    <w:rsid w:val="08896E9E"/>
    <w:rsid w:val="08896EA4"/>
    <w:rsid w:val="08896F8D"/>
    <w:rsid w:val="08896FDA"/>
    <w:rsid w:val="08897030"/>
    <w:rsid w:val="0889705E"/>
    <w:rsid w:val="088970DD"/>
    <w:rsid w:val="0889711A"/>
    <w:rsid w:val="08897159"/>
    <w:rsid w:val="08897174"/>
    <w:rsid w:val="088971C8"/>
    <w:rsid w:val="088971E2"/>
    <w:rsid w:val="0889720B"/>
    <w:rsid w:val="08897468"/>
    <w:rsid w:val="088974B1"/>
    <w:rsid w:val="08897521"/>
    <w:rsid w:val="0889758E"/>
    <w:rsid w:val="088977AA"/>
    <w:rsid w:val="088977EF"/>
    <w:rsid w:val="08897842"/>
    <w:rsid w:val="088978A7"/>
    <w:rsid w:val="088978FD"/>
    <w:rsid w:val="08897B0F"/>
    <w:rsid w:val="08897B25"/>
    <w:rsid w:val="08897B46"/>
    <w:rsid w:val="08897D05"/>
    <w:rsid w:val="08897DB7"/>
    <w:rsid w:val="08897F1C"/>
    <w:rsid w:val="08897FB0"/>
    <w:rsid w:val="088A0021"/>
    <w:rsid w:val="088A0035"/>
    <w:rsid w:val="088A0098"/>
    <w:rsid w:val="088A00A0"/>
    <w:rsid w:val="088A00CA"/>
    <w:rsid w:val="088A00EE"/>
    <w:rsid w:val="088A0126"/>
    <w:rsid w:val="088A0192"/>
    <w:rsid w:val="088A0199"/>
    <w:rsid w:val="088A0211"/>
    <w:rsid w:val="088A0290"/>
    <w:rsid w:val="088A02BA"/>
    <w:rsid w:val="088A02E8"/>
    <w:rsid w:val="088A0337"/>
    <w:rsid w:val="088A039E"/>
    <w:rsid w:val="088A03A8"/>
    <w:rsid w:val="088A03FD"/>
    <w:rsid w:val="088A0402"/>
    <w:rsid w:val="088A04CD"/>
    <w:rsid w:val="088A0615"/>
    <w:rsid w:val="088A0616"/>
    <w:rsid w:val="088A0644"/>
    <w:rsid w:val="088A06B0"/>
    <w:rsid w:val="088A09D4"/>
    <w:rsid w:val="088A0A22"/>
    <w:rsid w:val="088A0A99"/>
    <w:rsid w:val="088A0BA3"/>
    <w:rsid w:val="088A0BD0"/>
    <w:rsid w:val="088A0C51"/>
    <w:rsid w:val="088A0C7A"/>
    <w:rsid w:val="088A0C94"/>
    <w:rsid w:val="088A0D25"/>
    <w:rsid w:val="088A0D34"/>
    <w:rsid w:val="088A0D58"/>
    <w:rsid w:val="088A0DE0"/>
    <w:rsid w:val="088A0E09"/>
    <w:rsid w:val="088A0EB5"/>
    <w:rsid w:val="088A0FC1"/>
    <w:rsid w:val="088A102E"/>
    <w:rsid w:val="088A1037"/>
    <w:rsid w:val="088A1072"/>
    <w:rsid w:val="088A107B"/>
    <w:rsid w:val="088A1141"/>
    <w:rsid w:val="088A118A"/>
    <w:rsid w:val="088A11A2"/>
    <w:rsid w:val="088A1238"/>
    <w:rsid w:val="088A124F"/>
    <w:rsid w:val="088A128B"/>
    <w:rsid w:val="088A1301"/>
    <w:rsid w:val="088A1367"/>
    <w:rsid w:val="088A13FF"/>
    <w:rsid w:val="088A140B"/>
    <w:rsid w:val="088A141E"/>
    <w:rsid w:val="088A1427"/>
    <w:rsid w:val="088A149F"/>
    <w:rsid w:val="088A14D5"/>
    <w:rsid w:val="088A150D"/>
    <w:rsid w:val="088A1535"/>
    <w:rsid w:val="088A15F1"/>
    <w:rsid w:val="088A16C3"/>
    <w:rsid w:val="088A1739"/>
    <w:rsid w:val="088A1789"/>
    <w:rsid w:val="088A17D9"/>
    <w:rsid w:val="088A1801"/>
    <w:rsid w:val="088A1810"/>
    <w:rsid w:val="088A1814"/>
    <w:rsid w:val="088A18E5"/>
    <w:rsid w:val="088A19A2"/>
    <w:rsid w:val="088A1A94"/>
    <w:rsid w:val="088A1AAF"/>
    <w:rsid w:val="088A1ADF"/>
    <w:rsid w:val="088A1AE8"/>
    <w:rsid w:val="088A1B25"/>
    <w:rsid w:val="088A1B78"/>
    <w:rsid w:val="088A1BAB"/>
    <w:rsid w:val="088A1C3F"/>
    <w:rsid w:val="088A1C78"/>
    <w:rsid w:val="088A1D34"/>
    <w:rsid w:val="088A1E2E"/>
    <w:rsid w:val="088A1E9A"/>
    <w:rsid w:val="088A1EC0"/>
    <w:rsid w:val="088A1F01"/>
    <w:rsid w:val="088A1F2C"/>
    <w:rsid w:val="088A1F76"/>
    <w:rsid w:val="088A2076"/>
    <w:rsid w:val="088A213B"/>
    <w:rsid w:val="088A21A9"/>
    <w:rsid w:val="088A2206"/>
    <w:rsid w:val="088A2210"/>
    <w:rsid w:val="088A2234"/>
    <w:rsid w:val="088A226C"/>
    <w:rsid w:val="088A22AE"/>
    <w:rsid w:val="088A240B"/>
    <w:rsid w:val="088A250C"/>
    <w:rsid w:val="088A2651"/>
    <w:rsid w:val="088A26A1"/>
    <w:rsid w:val="088A26F3"/>
    <w:rsid w:val="088A2799"/>
    <w:rsid w:val="088A298D"/>
    <w:rsid w:val="088A2ADC"/>
    <w:rsid w:val="088A2C95"/>
    <w:rsid w:val="088A2CB8"/>
    <w:rsid w:val="088A2D33"/>
    <w:rsid w:val="088A2DE1"/>
    <w:rsid w:val="088A2DE4"/>
    <w:rsid w:val="088A2EF0"/>
    <w:rsid w:val="088A2F4F"/>
    <w:rsid w:val="088A2F78"/>
    <w:rsid w:val="088A2F7A"/>
    <w:rsid w:val="088A2FEE"/>
    <w:rsid w:val="088A2FF8"/>
    <w:rsid w:val="088A2FFA"/>
    <w:rsid w:val="088A3035"/>
    <w:rsid w:val="088A308A"/>
    <w:rsid w:val="088A3164"/>
    <w:rsid w:val="088A31DF"/>
    <w:rsid w:val="088A3226"/>
    <w:rsid w:val="088A3236"/>
    <w:rsid w:val="088A329C"/>
    <w:rsid w:val="088A337D"/>
    <w:rsid w:val="088A34CA"/>
    <w:rsid w:val="088A370D"/>
    <w:rsid w:val="088A3972"/>
    <w:rsid w:val="088A39C3"/>
    <w:rsid w:val="088A3B3B"/>
    <w:rsid w:val="088A3B9E"/>
    <w:rsid w:val="088A3BC6"/>
    <w:rsid w:val="088A3C63"/>
    <w:rsid w:val="088A3C6C"/>
    <w:rsid w:val="088A3C85"/>
    <w:rsid w:val="088A3D2B"/>
    <w:rsid w:val="088A3D2E"/>
    <w:rsid w:val="088A3D3A"/>
    <w:rsid w:val="088A3D8B"/>
    <w:rsid w:val="088A3D94"/>
    <w:rsid w:val="088A3E6D"/>
    <w:rsid w:val="088A3F33"/>
    <w:rsid w:val="088A3F71"/>
    <w:rsid w:val="088A408F"/>
    <w:rsid w:val="088A4097"/>
    <w:rsid w:val="088A4202"/>
    <w:rsid w:val="088A4208"/>
    <w:rsid w:val="088A425F"/>
    <w:rsid w:val="088A427F"/>
    <w:rsid w:val="088A42A9"/>
    <w:rsid w:val="088A42F7"/>
    <w:rsid w:val="088A439C"/>
    <w:rsid w:val="088A43E2"/>
    <w:rsid w:val="088A4417"/>
    <w:rsid w:val="088A4432"/>
    <w:rsid w:val="088A44BC"/>
    <w:rsid w:val="088A44F6"/>
    <w:rsid w:val="088A4648"/>
    <w:rsid w:val="088A4767"/>
    <w:rsid w:val="088A4769"/>
    <w:rsid w:val="088A47B6"/>
    <w:rsid w:val="088A47E8"/>
    <w:rsid w:val="088A4836"/>
    <w:rsid w:val="088A4910"/>
    <w:rsid w:val="088A49A0"/>
    <w:rsid w:val="088A49AA"/>
    <w:rsid w:val="088A49C8"/>
    <w:rsid w:val="088A49F5"/>
    <w:rsid w:val="088A4A02"/>
    <w:rsid w:val="088A4AA4"/>
    <w:rsid w:val="088A4AE5"/>
    <w:rsid w:val="088A4AF1"/>
    <w:rsid w:val="088A4B2D"/>
    <w:rsid w:val="088A4B80"/>
    <w:rsid w:val="088A4B96"/>
    <w:rsid w:val="088A4BE9"/>
    <w:rsid w:val="088A4CEF"/>
    <w:rsid w:val="088A4EED"/>
    <w:rsid w:val="088A4F1D"/>
    <w:rsid w:val="088A4F43"/>
    <w:rsid w:val="088A4F6F"/>
    <w:rsid w:val="088A4F92"/>
    <w:rsid w:val="088A4FA0"/>
    <w:rsid w:val="088A4FD4"/>
    <w:rsid w:val="088A5003"/>
    <w:rsid w:val="088A50CC"/>
    <w:rsid w:val="088A517A"/>
    <w:rsid w:val="088A518E"/>
    <w:rsid w:val="088A5198"/>
    <w:rsid w:val="088A51BE"/>
    <w:rsid w:val="088A53C8"/>
    <w:rsid w:val="088A5456"/>
    <w:rsid w:val="088A54B2"/>
    <w:rsid w:val="088A5555"/>
    <w:rsid w:val="088A55EA"/>
    <w:rsid w:val="088A567F"/>
    <w:rsid w:val="088A56A2"/>
    <w:rsid w:val="088A56F7"/>
    <w:rsid w:val="088A5800"/>
    <w:rsid w:val="088A5818"/>
    <w:rsid w:val="088A587A"/>
    <w:rsid w:val="088A58E9"/>
    <w:rsid w:val="088A592A"/>
    <w:rsid w:val="088A5967"/>
    <w:rsid w:val="088A5A56"/>
    <w:rsid w:val="088A5B3D"/>
    <w:rsid w:val="088A5B72"/>
    <w:rsid w:val="088A5B7D"/>
    <w:rsid w:val="088A5C37"/>
    <w:rsid w:val="088A5CAD"/>
    <w:rsid w:val="088A5CBE"/>
    <w:rsid w:val="088A5CCC"/>
    <w:rsid w:val="088A5D2D"/>
    <w:rsid w:val="088A5D8D"/>
    <w:rsid w:val="088A5DA3"/>
    <w:rsid w:val="088A5E38"/>
    <w:rsid w:val="088A5F34"/>
    <w:rsid w:val="088A602B"/>
    <w:rsid w:val="088A6033"/>
    <w:rsid w:val="088A6056"/>
    <w:rsid w:val="088A6099"/>
    <w:rsid w:val="088A6143"/>
    <w:rsid w:val="088A627B"/>
    <w:rsid w:val="088A631E"/>
    <w:rsid w:val="088A6348"/>
    <w:rsid w:val="088A6368"/>
    <w:rsid w:val="088A638E"/>
    <w:rsid w:val="088A646C"/>
    <w:rsid w:val="088A64B2"/>
    <w:rsid w:val="088A64C0"/>
    <w:rsid w:val="088A650C"/>
    <w:rsid w:val="088A6516"/>
    <w:rsid w:val="088A6544"/>
    <w:rsid w:val="088A655C"/>
    <w:rsid w:val="088A65EC"/>
    <w:rsid w:val="088A6618"/>
    <w:rsid w:val="088A6698"/>
    <w:rsid w:val="088A66FC"/>
    <w:rsid w:val="088A6778"/>
    <w:rsid w:val="088A67CF"/>
    <w:rsid w:val="088A6857"/>
    <w:rsid w:val="088A69A4"/>
    <w:rsid w:val="088A6A15"/>
    <w:rsid w:val="088A6A24"/>
    <w:rsid w:val="088A6A3D"/>
    <w:rsid w:val="088A6B0C"/>
    <w:rsid w:val="088A6B61"/>
    <w:rsid w:val="088A6BFD"/>
    <w:rsid w:val="088A6C34"/>
    <w:rsid w:val="088A6CCE"/>
    <w:rsid w:val="088A6D23"/>
    <w:rsid w:val="088A6DDF"/>
    <w:rsid w:val="088A6FD0"/>
    <w:rsid w:val="088A6FED"/>
    <w:rsid w:val="088A7003"/>
    <w:rsid w:val="088A709F"/>
    <w:rsid w:val="088A70BD"/>
    <w:rsid w:val="088A7203"/>
    <w:rsid w:val="088A726E"/>
    <w:rsid w:val="088A72E8"/>
    <w:rsid w:val="088A732D"/>
    <w:rsid w:val="088A73E1"/>
    <w:rsid w:val="088A7402"/>
    <w:rsid w:val="088A74F1"/>
    <w:rsid w:val="088A77AA"/>
    <w:rsid w:val="088A77D6"/>
    <w:rsid w:val="088A7800"/>
    <w:rsid w:val="088A7975"/>
    <w:rsid w:val="088A798F"/>
    <w:rsid w:val="088A79CE"/>
    <w:rsid w:val="088A7A00"/>
    <w:rsid w:val="088A7AD3"/>
    <w:rsid w:val="088A7BBC"/>
    <w:rsid w:val="088A7D43"/>
    <w:rsid w:val="088A7D45"/>
    <w:rsid w:val="088A7FDF"/>
    <w:rsid w:val="088B009C"/>
    <w:rsid w:val="088B0125"/>
    <w:rsid w:val="088B01B3"/>
    <w:rsid w:val="088B0220"/>
    <w:rsid w:val="088B022E"/>
    <w:rsid w:val="088B02A5"/>
    <w:rsid w:val="088B02C9"/>
    <w:rsid w:val="088B0302"/>
    <w:rsid w:val="088B0341"/>
    <w:rsid w:val="088B0353"/>
    <w:rsid w:val="088B03BD"/>
    <w:rsid w:val="088B03FF"/>
    <w:rsid w:val="088B042C"/>
    <w:rsid w:val="088B0439"/>
    <w:rsid w:val="088B04EA"/>
    <w:rsid w:val="088B05FA"/>
    <w:rsid w:val="088B0606"/>
    <w:rsid w:val="088B071C"/>
    <w:rsid w:val="088B0750"/>
    <w:rsid w:val="088B0764"/>
    <w:rsid w:val="088B0772"/>
    <w:rsid w:val="088B07FF"/>
    <w:rsid w:val="088B08C9"/>
    <w:rsid w:val="088B08D3"/>
    <w:rsid w:val="088B08FD"/>
    <w:rsid w:val="088B096F"/>
    <w:rsid w:val="088B0987"/>
    <w:rsid w:val="088B09B4"/>
    <w:rsid w:val="088B0A71"/>
    <w:rsid w:val="088B0BCA"/>
    <w:rsid w:val="088B0C23"/>
    <w:rsid w:val="088B0CD3"/>
    <w:rsid w:val="088B0D3A"/>
    <w:rsid w:val="088B0D6D"/>
    <w:rsid w:val="088B0D88"/>
    <w:rsid w:val="088B0DB2"/>
    <w:rsid w:val="088B0DF1"/>
    <w:rsid w:val="088B0E37"/>
    <w:rsid w:val="088B0FE1"/>
    <w:rsid w:val="088B1075"/>
    <w:rsid w:val="088B10AC"/>
    <w:rsid w:val="088B10EF"/>
    <w:rsid w:val="088B1188"/>
    <w:rsid w:val="088B1216"/>
    <w:rsid w:val="088B133D"/>
    <w:rsid w:val="088B1378"/>
    <w:rsid w:val="088B13D1"/>
    <w:rsid w:val="088B13FD"/>
    <w:rsid w:val="088B144E"/>
    <w:rsid w:val="088B14AF"/>
    <w:rsid w:val="088B14CF"/>
    <w:rsid w:val="088B1554"/>
    <w:rsid w:val="088B15CA"/>
    <w:rsid w:val="088B15D1"/>
    <w:rsid w:val="088B15E2"/>
    <w:rsid w:val="088B15FD"/>
    <w:rsid w:val="088B16E7"/>
    <w:rsid w:val="088B1805"/>
    <w:rsid w:val="088B1831"/>
    <w:rsid w:val="088B190C"/>
    <w:rsid w:val="088B1921"/>
    <w:rsid w:val="088B196F"/>
    <w:rsid w:val="088B199D"/>
    <w:rsid w:val="088B19BD"/>
    <w:rsid w:val="088B1C60"/>
    <w:rsid w:val="088B1C78"/>
    <w:rsid w:val="088B1C93"/>
    <w:rsid w:val="088B1D13"/>
    <w:rsid w:val="088B1D2C"/>
    <w:rsid w:val="088B1D72"/>
    <w:rsid w:val="088B1D75"/>
    <w:rsid w:val="088B1DB4"/>
    <w:rsid w:val="088B1FAD"/>
    <w:rsid w:val="088B2065"/>
    <w:rsid w:val="088B20A3"/>
    <w:rsid w:val="088B20AF"/>
    <w:rsid w:val="088B211B"/>
    <w:rsid w:val="088B212A"/>
    <w:rsid w:val="088B2201"/>
    <w:rsid w:val="088B2278"/>
    <w:rsid w:val="088B2296"/>
    <w:rsid w:val="088B22EA"/>
    <w:rsid w:val="088B2308"/>
    <w:rsid w:val="088B2317"/>
    <w:rsid w:val="088B237C"/>
    <w:rsid w:val="088B2381"/>
    <w:rsid w:val="088B2446"/>
    <w:rsid w:val="088B24B6"/>
    <w:rsid w:val="088B24C5"/>
    <w:rsid w:val="088B254A"/>
    <w:rsid w:val="088B254C"/>
    <w:rsid w:val="088B2618"/>
    <w:rsid w:val="088B2627"/>
    <w:rsid w:val="088B2955"/>
    <w:rsid w:val="088B2973"/>
    <w:rsid w:val="088B29BE"/>
    <w:rsid w:val="088B29CB"/>
    <w:rsid w:val="088B29D3"/>
    <w:rsid w:val="088B29E6"/>
    <w:rsid w:val="088B2A1D"/>
    <w:rsid w:val="088B2A6E"/>
    <w:rsid w:val="088B2BB6"/>
    <w:rsid w:val="088B2C2D"/>
    <w:rsid w:val="088B2CE2"/>
    <w:rsid w:val="088B2D31"/>
    <w:rsid w:val="088B2E4D"/>
    <w:rsid w:val="088B2F42"/>
    <w:rsid w:val="088B2F72"/>
    <w:rsid w:val="088B3038"/>
    <w:rsid w:val="088B3051"/>
    <w:rsid w:val="088B306E"/>
    <w:rsid w:val="088B316D"/>
    <w:rsid w:val="088B31AC"/>
    <w:rsid w:val="088B3255"/>
    <w:rsid w:val="088B3355"/>
    <w:rsid w:val="088B33EE"/>
    <w:rsid w:val="088B3411"/>
    <w:rsid w:val="088B34FD"/>
    <w:rsid w:val="088B3536"/>
    <w:rsid w:val="088B355E"/>
    <w:rsid w:val="088B3577"/>
    <w:rsid w:val="088B35CD"/>
    <w:rsid w:val="088B3799"/>
    <w:rsid w:val="088B38E9"/>
    <w:rsid w:val="088B3970"/>
    <w:rsid w:val="088B39D3"/>
    <w:rsid w:val="088B3A0C"/>
    <w:rsid w:val="088B3B58"/>
    <w:rsid w:val="088B3DE9"/>
    <w:rsid w:val="088B3DEA"/>
    <w:rsid w:val="088B3E1C"/>
    <w:rsid w:val="088B3ECD"/>
    <w:rsid w:val="088B3EDF"/>
    <w:rsid w:val="088B3F1F"/>
    <w:rsid w:val="088B3F64"/>
    <w:rsid w:val="088B4031"/>
    <w:rsid w:val="088B4178"/>
    <w:rsid w:val="088B4182"/>
    <w:rsid w:val="088B4186"/>
    <w:rsid w:val="088B41BE"/>
    <w:rsid w:val="088B4251"/>
    <w:rsid w:val="088B427D"/>
    <w:rsid w:val="088B42D1"/>
    <w:rsid w:val="088B442A"/>
    <w:rsid w:val="088B45D3"/>
    <w:rsid w:val="088B4633"/>
    <w:rsid w:val="088B4734"/>
    <w:rsid w:val="088B473B"/>
    <w:rsid w:val="088B47D9"/>
    <w:rsid w:val="088B47E7"/>
    <w:rsid w:val="088B4847"/>
    <w:rsid w:val="088B484E"/>
    <w:rsid w:val="088B4859"/>
    <w:rsid w:val="088B4862"/>
    <w:rsid w:val="088B486F"/>
    <w:rsid w:val="088B48A2"/>
    <w:rsid w:val="088B48DB"/>
    <w:rsid w:val="088B48EA"/>
    <w:rsid w:val="088B49CB"/>
    <w:rsid w:val="088B49CC"/>
    <w:rsid w:val="088B49DB"/>
    <w:rsid w:val="088B4A34"/>
    <w:rsid w:val="088B4B2A"/>
    <w:rsid w:val="088B4B74"/>
    <w:rsid w:val="088B4BA0"/>
    <w:rsid w:val="088B4BBF"/>
    <w:rsid w:val="088B4D06"/>
    <w:rsid w:val="088B4D3A"/>
    <w:rsid w:val="088B4D6B"/>
    <w:rsid w:val="088B4DEF"/>
    <w:rsid w:val="088B4ECB"/>
    <w:rsid w:val="088B4F32"/>
    <w:rsid w:val="088B4FF2"/>
    <w:rsid w:val="088B5008"/>
    <w:rsid w:val="088B5024"/>
    <w:rsid w:val="088B50A1"/>
    <w:rsid w:val="088B50F1"/>
    <w:rsid w:val="088B51C5"/>
    <w:rsid w:val="088B51E3"/>
    <w:rsid w:val="088B52B7"/>
    <w:rsid w:val="088B52C4"/>
    <w:rsid w:val="088B53B3"/>
    <w:rsid w:val="088B5486"/>
    <w:rsid w:val="088B54CA"/>
    <w:rsid w:val="088B560D"/>
    <w:rsid w:val="088B5708"/>
    <w:rsid w:val="088B5734"/>
    <w:rsid w:val="088B5749"/>
    <w:rsid w:val="088B57C2"/>
    <w:rsid w:val="088B58DA"/>
    <w:rsid w:val="088B58DF"/>
    <w:rsid w:val="088B59B0"/>
    <w:rsid w:val="088B5A23"/>
    <w:rsid w:val="088B5A9A"/>
    <w:rsid w:val="088B5AFA"/>
    <w:rsid w:val="088B5B91"/>
    <w:rsid w:val="088B5BB9"/>
    <w:rsid w:val="088B5C3A"/>
    <w:rsid w:val="088B5CC6"/>
    <w:rsid w:val="088B5D8E"/>
    <w:rsid w:val="088B5DC1"/>
    <w:rsid w:val="088B5E39"/>
    <w:rsid w:val="088B5EC0"/>
    <w:rsid w:val="088B5EE7"/>
    <w:rsid w:val="088B5FA0"/>
    <w:rsid w:val="088B5FB9"/>
    <w:rsid w:val="088B6010"/>
    <w:rsid w:val="088B60BD"/>
    <w:rsid w:val="088B6142"/>
    <w:rsid w:val="088B6157"/>
    <w:rsid w:val="088B6198"/>
    <w:rsid w:val="088B61FF"/>
    <w:rsid w:val="088B6226"/>
    <w:rsid w:val="088B6248"/>
    <w:rsid w:val="088B62D8"/>
    <w:rsid w:val="088B6382"/>
    <w:rsid w:val="088B6415"/>
    <w:rsid w:val="088B646B"/>
    <w:rsid w:val="088B6489"/>
    <w:rsid w:val="088B64B5"/>
    <w:rsid w:val="088B652E"/>
    <w:rsid w:val="088B6548"/>
    <w:rsid w:val="088B6611"/>
    <w:rsid w:val="088B6681"/>
    <w:rsid w:val="088B6696"/>
    <w:rsid w:val="088B66D0"/>
    <w:rsid w:val="088B66EA"/>
    <w:rsid w:val="088B6869"/>
    <w:rsid w:val="088B68D8"/>
    <w:rsid w:val="088B6942"/>
    <w:rsid w:val="088B69C5"/>
    <w:rsid w:val="088B6B3D"/>
    <w:rsid w:val="088B6B4C"/>
    <w:rsid w:val="088B6B5F"/>
    <w:rsid w:val="088B6C43"/>
    <w:rsid w:val="088B6C7F"/>
    <w:rsid w:val="088B6D4D"/>
    <w:rsid w:val="088B6D9E"/>
    <w:rsid w:val="088B6E3E"/>
    <w:rsid w:val="088B6E49"/>
    <w:rsid w:val="088B6F1D"/>
    <w:rsid w:val="088B702C"/>
    <w:rsid w:val="088B7091"/>
    <w:rsid w:val="088B711D"/>
    <w:rsid w:val="088B713D"/>
    <w:rsid w:val="088B7169"/>
    <w:rsid w:val="088B71A0"/>
    <w:rsid w:val="088B71AF"/>
    <w:rsid w:val="088B724F"/>
    <w:rsid w:val="088B7327"/>
    <w:rsid w:val="088B7354"/>
    <w:rsid w:val="088B735C"/>
    <w:rsid w:val="088B7395"/>
    <w:rsid w:val="088B7448"/>
    <w:rsid w:val="088B7474"/>
    <w:rsid w:val="088B74A5"/>
    <w:rsid w:val="088B757E"/>
    <w:rsid w:val="088B75B9"/>
    <w:rsid w:val="088B7600"/>
    <w:rsid w:val="088B775B"/>
    <w:rsid w:val="088B77AD"/>
    <w:rsid w:val="088B77C4"/>
    <w:rsid w:val="088B7857"/>
    <w:rsid w:val="088B7863"/>
    <w:rsid w:val="088B78B3"/>
    <w:rsid w:val="088B794C"/>
    <w:rsid w:val="088B795D"/>
    <w:rsid w:val="088B796D"/>
    <w:rsid w:val="088B7A1F"/>
    <w:rsid w:val="088B7A35"/>
    <w:rsid w:val="088B7A69"/>
    <w:rsid w:val="088B7AA3"/>
    <w:rsid w:val="088B7AE4"/>
    <w:rsid w:val="088B7B17"/>
    <w:rsid w:val="088B7B2F"/>
    <w:rsid w:val="088B7B48"/>
    <w:rsid w:val="088B7B6B"/>
    <w:rsid w:val="088B7B6E"/>
    <w:rsid w:val="088B7BF5"/>
    <w:rsid w:val="088B7BFF"/>
    <w:rsid w:val="088B7C96"/>
    <w:rsid w:val="088B7CF5"/>
    <w:rsid w:val="088B7DBC"/>
    <w:rsid w:val="088B7E7E"/>
    <w:rsid w:val="088B7E9C"/>
    <w:rsid w:val="088B7EBA"/>
    <w:rsid w:val="088B7EE0"/>
    <w:rsid w:val="088B7F40"/>
    <w:rsid w:val="088B7F4F"/>
    <w:rsid w:val="088C0057"/>
    <w:rsid w:val="088C006D"/>
    <w:rsid w:val="088C0276"/>
    <w:rsid w:val="088C02A4"/>
    <w:rsid w:val="088C03A3"/>
    <w:rsid w:val="088C0439"/>
    <w:rsid w:val="088C05AE"/>
    <w:rsid w:val="088C0621"/>
    <w:rsid w:val="088C06E6"/>
    <w:rsid w:val="088C06E7"/>
    <w:rsid w:val="088C06EE"/>
    <w:rsid w:val="088C06FA"/>
    <w:rsid w:val="088C073D"/>
    <w:rsid w:val="088C07A5"/>
    <w:rsid w:val="088C08BA"/>
    <w:rsid w:val="088C0921"/>
    <w:rsid w:val="088C0956"/>
    <w:rsid w:val="088C0996"/>
    <w:rsid w:val="088C09D7"/>
    <w:rsid w:val="088C09FC"/>
    <w:rsid w:val="088C0A6E"/>
    <w:rsid w:val="088C0B89"/>
    <w:rsid w:val="088C0BA1"/>
    <w:rsid w:val="088C0C5D"/>
    <w:rsid w:val="088C0D0D"/>
    <w:rsid w:val="088C0F8F"/>
    <w:rsid w:val="088C0F93"/>
    <w:rsid w:val="088C1077"/>
    <w:rsid w:val="088C108A"/>
    <w:rsid w:val="088C10B3"/>
    <w:rsid w:val="088C1137"/>
    <w:rsid w:val="088C11A6"/>
    <w:rsid w:val="088C1248"/>
    <w:rsid w:val="088C1275"/>
    <w:rsid w:val="088C12AE"/>
    <w:rsid w:val="088C1320"/>
    <w:rsid w:val="088C136B"/>
    <w:rsid w:val="088C137F"/>
    <w:rsid w:val="088C1439"/>
    <w:rsid w:val="088C156C"/>
    <w:rsid w:val="088C15A8"/>
    <w:rsid w:val="088C15B2"/>
    <w:rsid w:val="088C15E3"/>
    <w:rsid w:val="088C160B"/>
    <w:rsid w:val="088C166F"/>
    <w:rsid w:val="088C16F2"/>
    <w:rsid w:val="088C177C"/>
    <w:rsid w:val="088C180E"/>
    <w:rsid w:val="088C18E9"/>
    <w:rsid w:val="088C19F9"/>
    <w:rsid w:val="088C19FB"/>
    <w:rsid w:val="088C1A7A"/>
    <w:rsid w:val="088C1AC9"/>
    <w:rsid w:val="088C1B04"/>
    <w:rsid w:val="088C1B3B"/>
    <w:rsid w:val="088C1B3D"/>
    <w:rsid w:val="088C1B48"/>
    <w:rsid w:val="088C1B6C"/>
    <w:rsid w:val="088C1B95"/>
    <w:rsid w:val="088C1C25"/>
    <w:rsid w:val="088C1D23"/>
    <w:rsid w:val="088C1E27"/>
    <w:rsid w:val="088C1EAE"/>
    <w:rsid w:val="088C1EE1"/>
    <w:rsid w:val="088C1FAA"/>
    <w:rsid w:val="088C2011"/>
    <w:rsid w:val="088C20CC"/>
    <w:rsid w:val="088C216D"/>
    <w:rsid w:val="088C217D"/>
    <w:rsid w:val="088C2267"/>
    <w:rsid w:val="088C2312"/>
    <w:rsid w:val="088C233F"/>
    <w:rsid w:val="088C239E"/>
    <w:rsid w:val="088C2414"/>
    <w:rsid w:val="088C24DB"/>
    <w:rsid w:val="088C2524"/>
    <w:rsid w:val="088C25CA"/>
    <w:rsid w:val="088C25FC"/>
    <w:rsid w:val="088C2630"/>
    <w:rsid w:val="088C2655"/>
    <w:rsid w:val="088C2694"/>
    <w:rsid w:val="088C2714"/>
    <w:rsid w:val="088C2777"/>
    <w:rsid w:val="088C281D"/>
    <w:rsid w:val="088C28E8"/>
    <w:rsid w:val="088C29B0"/>
    <w:rsid w:val="088C2A40"/>
    <w:rsid w:val="088C2AAA"/>
    <w:rsid w:val="088C2AD8"/>
    <w:rsid w:val="088C2B5B"/>
    <w:rsid w:val="088C2C24"/>
    <w:rsid w:val="088C2C8A"/>
    <w:rsid w:val="088C2D10"/>
    <w:rsid w:val="088C2E34"/>
    <w:rsid w:val="088C2F24"/>
    <w:rsid w:val="088C2FA1"/>
    <w:rsid w:val="088C2FDB"/>
    <w:rsid w:val="088C3069"/>
    <w:rsid w:val="088C308D"/>
    <w:rsid w:val="088C30E5"/>
    <w:rsid w:val="088C3124"/>
    <w:rsid w:val="088C3198"/>
    <w:rsid w:val="088C31FF"/>
    <w:rsid w:val="088C3313"/>
    <w:rsid w:val="088C33B3"/>
    <w:rsid w:val="088C3442"/>
    <w:rsid w:val="088C3459"/>
    <w:rsid w:val="088C346D"/>
    <w:rsid w:val="088C34C8"/>
    <w:rsid w:val="088C34D9"/>
    <w:rsid w:val="088C3555"/>
    <w:rsid w:val="088C35C7"/>
    <w:rsid w:val="088C35D4"/>
    <w:rsid w:val="088C363B"/>
    <w:rsid w:val="088C36EB"/>
    <w:rsid w:val="088C374E"/>
    <w:rsid w:val="088C37F6"/>
    <w:rsid w:val="088C381B"/>
    <w:rsid w:val="088C3838"/>
    <w:rsid w:val="088C392D"/>
    <w:rsid w:val="088C39EE"/>
    <w:rsid w:val="088C3A93"/>
    <w:rsid w:val="088C3AC2"/>
    <w:rsid w:val="088C3B33"/>
    <w:rsid w:val="088C3B74"/>
    <w:rsid w:val="088C3B7D"/>
    <w:rsid w:val="088C3B9C"/>
    <w:rsid w:val="088C3BBB"/>
    <w:rsid w:val="088C3BFE"/>
    <w:rsid w:val="088C3CAB"/>
    <w:rsid w:val="088C3CEF"/>
    <w:rsid w:val="088C3D49"/>
    <w:rsid w:val="088C3DBD"/>
    <w:rsid w:val="088C3DF4"/>
    <w:rsid w:val="088C3E9F"/>
    <w:rsid w:val="088C3EB1"/>
    <w:rsid w:val="088C3F03"/>
    <w:rsid w:val="088C4099"/>
    <w:rsid w:val="088C4118"/>
    <w:rsid w:val="088C4141"/>
    <w:rsid w:val="088C4285"/>
    <w:rsid w:val="088C4289"/>
    <w:rsid w:val="088C42F8"/>
    <w:rsid w:val="088C4423"/>
    <w:rsid w:val="088C44F3"/>
    <w:rsid w:val="088C452C"/>
    <w:rsid w:val="088C458F"/>
    <w:rsid w:val="088C4600"/>
    <w:rsid w:val="088C4694"/>
    <w:rsid w:val="088C4778"/>
    <w:rsid w:val="088C482A"/>
    <w:rsid w:val="088C4858"/>
    <w:rsid w:val="088C48F0"/>
    <w:rsid w:val="088C4987"/>
    <w:rsid w:val="088C49E1"/>
    <w:rsid w:val="088C4AD6"/>
    <w:rsid w:val="088C4B87"/>
    <w:rsid w:val="088C4BE1"/>
    <w:rsid w:val="088C4CA7"/>
    <w:rsid w:val="088C4D43"/>
    <w:rsid w:val="088C4E9F"/>
    <w:rsid w:val="088C4F3B"/>
    <w:rsid w:val="088C5033"/>
    <w:rsid w:val="088C50B3"/>
    <w:rsid w:val="088C5133"/>
    <w:rsid w:val="088C51C3"/>
    <w:rsid w:val="088C51E6"/>
    <w:rsid w:val="088C51ED"/>
    <w:rsid w:val="088C527A"/>
    <w:rsid w:val="088C5296"/>
    <w:rsid w:val="088C52A3"/>
    <w:rsid w:val="088C52C2"/>
    <w:rsid w:val="088C5301"/>
    <w:rsid w:val="088C53F3"/>
    <w:rsid w:val="088C542F"/>
    <w:rsid w:val="088C5438"/>
    <w:rsid w:val="088C5576"/>
    <w:rsid w:val="088C566D"/>
    <w:rsid w:val="088C56A1"/>
    <w:rsid w:val="088C56BE"/>
    <w:rsid w:val="088C5712"/>
    <w:rsid w:val="088C571B"/>
    <w:rsid w:val="088C5756"/>
    <w:rsid w:val="088C57E9"/>
    <w:rsid w:val="088C588D"/>
    <w:rsid w:val="088C58A7"/>
    <w:rsid w:val="088C5918"/>
    <w:rsid w:val="088C5995"/>
    <w:rsid w:val="088C5A69"/>
    <w:rsid w:val="088C5A9C"/>
    <w:rsid w:val="088C5BC3"/>
    <w:rsid w:val="088C5C47"/>
    <w:rsid w:val="088C5C7A"/>
    <w:rsid w:val="088C5C88"/>
    <w:rsid w:val="088C5CC7"/>
    <w:rsid w:val="088C5CDB"/>
    <w:rsid w:val="088C5D2D"/>
    <w:rsid w:val="088C5D37"/>
    <w:rsid w:val="088C5D8B"/>
    <w:rsid w:val="088C5E19"/>
    <w:rsid w:val="088C5ED9"/>
    <w:rsid w:val="088C5F1B"/>
    <w:rsid w:val="088C5F1E"/>
    <w:rsid w:val="088C5F2B"/>
    <w:rsid w:val="088C5FA5"/>
    <w:rsid w:val="088C5FD7"/>
    <w:rsid w:val="088C5FEA"/>
    <w:rsid w:val="088C608F"/>
    <w:rsid w:val="088C60A1"/>
    <w:rsid w:val="088C60A8"/>
    <w:rsid w:val="088C60B4"/>
    <w:rsid w:val="088C60F8"/>
    <w:rsid w:val="088C618D"/>
    <w:rsid w:val="088C629F"/>
    <w:rsid w:val="088C62B3"/>
    <w:rsid w:val="088C62D0"/>
    <w:rsid w:val="088C62E6"/>
    <w:rsid w:val="088C6370"/>
    <w:rsid w:val="088C6467"/>
    <w:rsid w:val="088C652B"/>
    <w:rsid w:val="088C6534"/>
    <w:rsid w:val="088C65C4"/>
    <w:rsid w:val="088C6828"/>
    <w:rsid w:val="088C6835"/>
    <w:rsid w:val="088C688C"/>
    <w:rsid w:val="088C68C9"/>
    <w:rsid w:val="088C6955"/>
    <w:rsid w:val="088C695B"/>
    <w:rsid w:val="088C6966"/>
    <w:rsid w:val="088C697F"/>
    <w:rsid w:val="088C69BD"/>
    <w:rsid w:val="088C6A62"/>
    <w:rsid w:val="088C6A69"/>
    <w:rsid w:val="088C6A74"/>
    <w:rsid w:val="088C6B10"/>
    <w:rsid w:val="088C6B97"/>
    <w:rsid w:val="088C6B9F"/>
    <w:rsid w:val="088C6CFE"/>
    <w:rsid w:val="088C6DC0"/>
    <w:rsid w:val="088C6E00"/>
    <w:rsid w:val="088C6E3C"/>
    <w:rsid w:val="088C6E65"/>
    <w:rsid w:val="088C6F09"/>
    <w:rsid w:val="088C6F1F"/>
    <w:rsid w:val="088C6FA5"/>
    <w:rsid w:val="088C6FF1"/>
    <w:rsid w:val="088C709F"/>
    <w:rsid w:val="088C7273"/>
    <w:rsid w:val="088C72E5"/>
    <w:rsid w:val="088C72F6"/>
    <w:rsid w:val="088C7322"/>
    <w:rsid w:val="088C7360"/>
    <w:rsid w:val="088C739B"/>
    <w:rsid w:val="088C7472"/>
    <w:rsid w:val="088C74BE"/>
    <w:rsid w:val="088C74EA"/>
    <w:rsid w:val="088C7510"/>
    <w:rsid w:val="088C765E"/>
    <w:rsid w:val="088C7698"/>
    <w:rsid w:val="088C774A"/>
    <w:rsid w:val="088C7802"/>
    <w:rsid w:val="088C7827"/>
    <w:rsid w:val="088C78B9"/>
    <w:rsid w:val="088C79D1"/>
    <w:rsid w:val="088C7A3B"/>
    <w:rsid w:val="088C7B96"/>
    <w:rsid w:val="088C7BB2"/>
    <w:rsid w:val="088C7BDE"/>
    <w:rsid w:val="088C7C85"/>
    <w:rsid w:val="088C7D4B"/>
    <w:rsid w:val="088C7DA5"/>
    <w:rsid w:val="088C7E19"/>
    <w:rsid w:val="088C7E81"/>
    <w:rsid w:val="088C7ED6"/>
    <w:rsid w:val="088C7F42"/>
    <w:rsid w:val="088C7F7D"/>
    <w:rsid w:val="088D0035"/>
    <w:rsid w:val="088D0061"/>
    <w:rsid w:val="088D0097"/>
    <w:rsid w:val="088D00BB"/>
    <w:rsid w:val="088D0111"/>
    <w:rsid w:val="088D0124"/>
    <w:rsid w:val="088D01AB"/>
    <w:rsid w:val="088D01D6"/>
    <w:rsid w:val="088D0262"/>
    <w:rsid w:val="088D02BB"/>
    <w:rsid w:val="088D037E"/>
    <w:rsid w:val="088D0437"/>
    <w:rsid w:val="088D05CC"/>
    <w:rsid w:val="088D060D"/>
    <w:rsid w:val="088D0727"/>
    <w:rsid w:val="088D0740"/>
    <w:rsid w:val="088D079E"/>
    <w:rsid w:val="088D07B0"/>
    <w:rsid w:val="088D07B5"/>
    <w:rsid w:val="088D07FB"/>
    <w:rsid w:val="088D0874"/>
    <w:rsid w:val="088D08E7"/>
    <w:rsid w:val="088D094E"/>
    <w:rsid w:val="088D0ADB"/>
    <w:rsid w:val="088D0AEC"/>
    <w:rsid w:val="088D0BC2"/>
    <w:rsid w:val="088D0BED"/>
    <w:rsid w:val="088D0C22"/>
    <w:rsid w:val="088D0CEF"/>
    <w:rsid w:val="088D0D3C"/>
    <w:rsid w:val="088D0DF1"/>
    <w:rsid w:val="088D0E25"/>
    <w:rsid w:val="088D0E64"/>
    <w:rsid w:val="088D0EC7"/>
    <w:rsid w:val="088D0F14"/>
    <w:rsid w:val="088D0F2D"/>
    <w:rsid w:val="088D10F2"/>
    <w:rsid w:val="088D1334"/>
    <w:rsid w:val="088D1377"/>
    <w:rsid w:val="088D13C3"/>
    <w:rsid w:val="088D1576"/>
    <w:rsid w:val="088D15A6"/>
    <w:rsid w:val="088D16E9"/>
    <w:rsid w:val="088D1715"/>
    <w:rsid w:val="088D17BB"/>
    <w:rsid w:val="088D17E9"/>
    <w:rsid w:val="088D1955"/>
    <w:rsid w:val="088D1AFC"/>
    <w:rsid w:val="088D1C79"/>
    <w:rsid w:val="088D1D1C"/>
    <w:rsid w:val="088D1D28"/>
    <w:rsid w:val="088D1D44"/>
    <w:rsid w:val="088D1D49"/>
    <w:rsid w:val="088D1D4F"/>
    <w:rsid w:val="088D1E36"/>
    <w:rsid w:val="088D1E97"/>
    <w:rsid w:val="088D1F7A"/>
    <w:rsid w:val="088D20AB"/>
    <w:rsid w:val="088D2206"/>
    <w:rsid w:val="088D2210"/>
    <w:rsid w:val="088D2312"/>
    <w:rsid w:val="088D232C"/>
    <w:rsid w:val="088D232D"/>
    <w:rsid w:val="088D23AD"/>
    <w:rsid w:val="088D247E"/>
    <w:rsid w:val="088D25DE"/>
    <w:rsid w:val="088D2679"/>
    <w:rsid w:val="088D2775"/>
    <w:rsid w:val="088D2841"/>
    <w:rsid w:val="088D28D0"/>
    <w:rsid w:val="088D298D"/>
    <w:rsid w:val="088D2993"/>
    <w:rsid w:val="088D29AF"/>
    <w:rsid w:val="088D2A03"/>
    <w:rsid w:val="088D2A35"/>
    <w:rsid w:val="088D2A42"/>
    <w:rsid w:val="088D2C40"/>
    <w:rsid w:val="088D2C65"/>
    <w:rsid w:val="088D2C78"/>
    <w:rsid w:val="088D2D00"/>
    <w:rsid w:val="088D2D98"/>
    <w:rsid w:val="088D2DC9"/>
    <w:rsid w:val="088D2E14"/>
    <w:rsid w:val="088D2E64"/>
    <w:rsid w:val="088D2E70"/>
    <w:rsid w:val="088D2F95"/>
    <w:rsid w:val="088D2FA1"/>
    <w:rsid w:val="088D2FCE"/>
    <w:rsid w:val="088D2FD5"/>
    <w:rsid w:val="088D3070"/>
    <w:rsid w:val="088D307D"/>
    <w:rsid w:val="088D308E"/>
    <w:rsid w:val="088D3158"/>
    <w:rsid w:val="088D317A"/>
    <w:rsid w:val="088D31A6"/>
    <w:rsid w:val="088D31F0"/>
    <w:rsid w:val="088D32A0"/>
    <w:rsid w:val="088D32AE"/>
    <w:rsid w:val="088D32C2"/>
    <w:rsid w:val="088D32D1"/>
    <w:rsid w:val="088D32DE"/>
    <w:rsid w:val="088D32F8"/>
    <w:rsid w:val="088D3316"/>
    <w:rsid w:val="088D3379"/>
    <w:rsid w:val="088D33B6"/>
    <w:rsid w:val="088D33D0"/>
    <w:rsid w:val="088D3410"/>
    <w:rsid w:val="088D3455"/>
    <w:rsid w:val="088D34EF"/>
    <w:rsid w:val="088D3506"/>
    <w:rsid w:val="088D3592"/>
    <w:rsid w:val="088D359C"/>
    <w:rsid w:val="088D367F"/>
    <w:rsid w:val="088D36E9"/>
    <w:rsid w:val="088D3712"/>
    <w:rsid w:val="088D38F9"/>
    <w:rsid w:val="088D3912"/>
    <w:rsid w:val="088D393E"/>
    <w:rsid w:val="088D3957"/>
    <w:rsid w:val="088D39CE"/>
    <w:rsid w:val="088D3A9D"/>
    <w:rsid w:val="088D3B3E"/>
    <w:rsid w:val="088D3B72"/>
    <w:rsid w:val="088D3BB1"/>
    <w:rsid w:val="088D3C51"/>
    <w:rsid w:val="088D3D49"/>
    <w:rsid w:val="088D3E6E"/>
    <w:rsid w:val="088D3F2D"/>
    <w:rsid w:val="088D3F4A"/>
    <w:rsid w:val="088D4053"/>
    <w:rsid w:val="088D40C3"/>
    <w:rsid w:val="088D426E"/>
    <w:rsid w:val="088D4278"/>
    <w:rsid w:val="088D4300"/>
    <w:rsid w:val="088D4309"/>
    <w:rsid w:val="088D434E"/>
    <w:rsid w:val="088D4358"/>
    <w:rsid w:val="088D4374"/>
    <w:rsid w:val="088D43B3"/>
    <w:rsid w:val="088D43C2"/>
    <w:rsid w:val="088D43EB"/>
    <w:rsid w:val="088D4457"/>
    <w:rsid w:val="088D44DE"/>
    <w:rsid w:val="088D4520"/>
    <w:rsid w:val="088D4530"/>
    <w:rsid w:val="088D4622"/>
    <w:rsid w:val="088D4651"/>
    <w:rsid w:val="088D474C"/>
    <w:rsid w:val="088D4800"/>
    <w:rsid w:val="088D48AB"/>
    <w:rsid w:val="088D48F4"/>
    <w:rsid w:val="088D493B"/>
    <w:rsid w:val="088D4998"/>
    <w:rsid w:val="088D49B3"/>
    <w:rsid w:val="088D49CA"/>
    <w:rsid w:val="088D49E9"/>
    <w:rsid w:val="088D4A18"/>
    <w:rsid w:val="088D4A2C"/>
    <w:rsid w:val="088D4A69"/>
    <w:rsid w:val="088D4A6F"/>
    <w:rsid w:val="088D4A7E"/>
    <w:rsid w:val="088D4B78"/>
    <w:rsid w:val="088D4BA3"/>
    <w:rsid w:val="088D4BF7"/>
    <w:rsid w:val="088D4CE2"/>
    <w:rsid w:val="088D4D44"/>
    <w:rsid w:val="088D4DBE"/>
    <w:rsid w:val="088D4DF4"/>
    <w:rsid w:val="088D4E0E"/>
    <w:rsid w:val="088D4FAF"/>
    <w:rsid w:val="088D501C"/>
    <w:rsid w:val="088D5129"/>
    <w:rsid w:val="088D5168"/>
    <w:rsid w:val="088D5179"/>
    <w:rsid w:val="088D51A4"/>
    <w:rsid w:val="088D51B3"/>
    <w:rsid w:val="088D51B5"/>
    <w:rsid w:val="088D5219"/>
    <w:rsid w:val="088D5259"/>
    <w:rsid w:val="088D5268"/>
    <w:rsid w:val="088D529E"/>
    <w:rsid w:val="088D52F8"/>
    <w:rsid w:val="088D5306"/>
    <w:rsid w:val="088D533C"/>
    <w:rsid w:val="088D53AB"/>
    <w:rsid w:val="088D5430"/>
    <w:rsid w:val="088D54FE"/>
    <w:rsid w:val="088D5528"/>
    <w:rsid w:val="088D562B"/>
    <w:rsid w:val="088D566E"/>
    <w:rsid w:val="088D56DB"/>
    <w:rsid w:val="088D56F7"/>
    <w:rsid w:val="088D57DF"/>
    <w:rsid w:val="088D5845"/>
    <w:rsid w:val="088D5846"/>
    <w:rsid w:val="088D58EC"/>
    <w:rsid w:val="088D598F"/>
    <w:rsid w:val="088D59F1"/>
    <w:rsid w:val="088D5ABA"/>
    <w:rsid w:val="088D5B4B"/>
    <w:rsid w:val="088D5B74"/>
    <w:rsid w:val="088D5BB1"/>
    <w:rsid w:val="088D5BFD"/>
    <w:rsid w:val="088D5C53"/>
    <w:rsid w:val="088D5C6F"/>
    <w:rsid w:val="088D5C7B"/>
    <w:rsid w:val="088D5C88"/>
    <w:rsid w:val="088D5DC4"/>
    <w:rsid w:val="088D5DE8"/>
    <w:rsid w:val="088D5EC6"/>
    <w:rsid w:val="088D5EF0"/>
    <w:rsid w:val="088D5F73"/>
    <w:rsid w:val="088D5F84"/>
    <w:rsid w:val="088D5FFA"/>
    <w:rsid w:val="088D6006"/>
    <w:rsid w:val="088D6045"/>
    <w:rsid w:val="088D6133"/>
    <w:rsid w:val="088D6221"/>
    <w:rsid w:val="088D625E"/>
    <w:rsid w:val="088D629E"/>
    <w:rsid w:val="088D6344"/>
    <w:rsid w:val="088D639C"/>
    <w:rsid w:val="088D63E0"/>
    <w:rsid w:val="088D6443"/>
    <w:rsid w:val="088D64E7"/>
    <w:rsid w:val="088D6513"/>
    <w:rsid w:val="088D65F3"/>
    <w:rsid w:val="088D6638"/>
    <w:rsid w:val="088D6657"/>
    <w:rsid w:val="088D66A1"/>
    <w:rsid w:val="088D6717"/>
    <w:rsid w:val="088D6761"/>
    <w:rsid w:val="088D6780"/>
    <w:rsid w:val="088D67B7"/>
    <w:rsid w:val="088D683B"/>
    <w:rsid w:val="088D6A07"/>
    <w:rsid w:val="088D6A5F"/>
    <w:rsid w:val="088D6BE4"/>
    <w:rsid w:val="088D6C3F"/>
    <w:rsid w:val="088D6C48"/>
    <w:rsid w:val="088D6CC5"/>
    <w:rsid w:val="088D6CF6"/>
    <w:rsid w:val="088D6D7F"/>
    <w:rsid w:val="088D6D8F"/>
    <w:rsid w:val="088D6D91"/>
    <w:rsid w:val="088D6D9C"/>
    <w:rsid w:val="088D6DC1"/>
    <w:rsid w:val="088D6E12"/>
    <w:rsid w:val="088D6E32"/>
    <w:rsid w:val="088D6E62"/>
    <w:rsid w:val="088D6F51"/>
    <w:rsid w:val="088D708F"/>
    <w:rsid w:val="088D70B5"/>
    <w:rsid w:val="088D70DF"/>
    <w:rsid w:val="088D714D"/>
    <w:rsid w:val="088D715C"/>
    <w:rsid w:val="088D7326"/>
    <w:rsid w:val="088D7389"/>
    <w:rsid w:val="088D738F"/>
    <w:rsid w:val="088D73E9"/>
    <w:rsid w:val="088D7437"/>
    <w:rsid w:val="088D7461"/>
    <w:rsid w:val="088D74C1"/>
    <w:rsid w:val="088D7522"/>
    <w:rsid w:val="088D76A4"/>
    <w:rsid w:val="088D778F"/>
    <w:rsid w:val="088D77E7"/>
    <w:rsid w:val="088D7878"/>
    <w:rsid w:val="088D7912"/>
    <w:rsid w:val="088D7989"/>
    <w:rsid w:val="088D79A7"/>
    <w:rsid w:val="088D79DA"/>
    <w:rsid w:val="088D7A3A"/>
    <w:rsid w:val="088D7A4C"/>
    <w:rsid w:val="088D7A61"/>
    <w:rsid w:val="088D7A77"/>
    <w:rsid w:val="088D7ADD"/>
    <w:rsid w:val="088D7ADF"/>
    <w:rsid w:val="088D7B38"/>
    <w:rsid w:val="088D7BED"/>
    <w:rsid w:val="088D7BF0"/>
    <w:rsid w:val="088D7C0D"/>
    <w:rsid w:val="088D7C0F"/>
    <w:rsid w:val="088D7C3E"/>
    <w:rsid w:val="088D7C4A"/>
    <w:rsid w:val="088D7C9A"/>
    <w:rsid w:val="088D7CE4"/>
    <w:rsid w:val="088D7E32"/>
    <w:rsid w:val="088D7E39"/>
    <w:rsid w:val="088D7F36"/>
    <w:rsid w:val="088D7FD8"/>
    <w:rsid w:val="088D7FE0"/>
    <w:rsid w:val="088E0005"/>
    <w:rsid w:val="088E0074"/>
    <w:rsid w:val="088E010D"/>
    <w:rsid w:val="088E0161"/>
    <w:rsid w:val="088E0180"/>
    <w:rsid w:val="088E01BD"/>
    <w:rsid w:val="088E0225"/>
    <w:rsid w:val="088E024F"/>
    <w:rsid w:val="088E0265"/>
    <w:rsid w:val="088E02F2"/>
    <w:rsid w:val="088E02FE"/>
    <w:rsid w:val="088E032A"/>
    <w:rsid w:val="088E0330"/>
    <w:rsid w:val="088E04C8"/>
    <w:rsid w:val="088E04D4"/>
    <w:rsid w:val="088E04F5"/>
    <w:rsid w:val="088E0515"/>
    <w:rsid w:val="088E0568"/>
    <w:rsid w:val="088E057E"/>
    <w:rsid w:val="088E0595"/>
    <w:rsid w:val="088E05BE"/>
    <w:rsid w:val="088E0638"/>
    <w:rsid w:val="088E0650"/>
    <w:rsid w:val="088E065E"/>
    <w:rsid w:val="088E07B8"/>
    <w:rsid w:val="088E0829"/>
    <w:rsid w:val="088E086A"/>
    <w:rsid w:val="088E089C"/>
    <w:rsid w:val="088E08E5"/>
    <w:rsid w:val="088E0952"/>
    <w:rsid w:val="088E09C8"/>
    <w:rsid w:val="088E09D7"/>
    <w:rsid w:val="088E09E8"/>
    <w:rsid w:val="088E09FC"/>
    <w:rsid w:val="088E0AEB"/>
    <w:rsid w:val="088E0BF9"/>
    <w:rsid w:val="088E0E5C"/>
    <w:rsid w:val="088E0E8E"/>
    <w:rsid w:val="088E0EB8"/>
    <w:rsid w:val="088E0F66"/>
    <w:rsid w:val="088E1070"/>
    <w:rsid w:val="088E114C"/>
    <w:rsid w:val="088E11CC"/>
    <w:rsid w:val="088E1268"/>
    <w:rsid w:val="088E1301"/>
    <w:rsid w:val="088E131A"/>
    <w:rsid w:val="088E13BC"/>
    <w:rsid w:val="088E1414"/>
    <w:rsid w:val="088E14AC"/>
    <w:rsid w:val="088E1541"/>
    <w:rsid w:val="088E15C3"/>
    <w:rsid w:val="088E15CE"/>
    <w:rsid w:val="088E160A"/>
    <w:rsid w:val="088E1614"/>
    <w:rsid w:val="088E1620"/>
    <w:rsid w:val="088E1666"/>
    <w:rsid w:val="088E16EF"/>
    <w:rsid w:val="088E1797"/>
    <w:rsid w:val="088E17A6"/>
    <w:rsid w:val="088E18FD"/>
    <w:rsid w:val="088E1933"/>
    <w:rsid w:val="088E19F6"/>
    <w:rsid w:val="088E1A13"/>
    <w:rsid w:val="088E1A3C"/>
    <w:rsid w:val="088E1A88"/>
    <w:rsid w:val="088E1A9E"/>
    <w:rsid w:val="088E1B6A"/>
    <w:rsid w:val="088E1BC5"/>
    <w:rsid w:val="088E1BC9"/>
    <w:rsid w:val="088E1C35"/>
    <w:rsid w:val="088E1D14"/>
    <w:rsid w:val="088E1DC8"/>
    <w:rsid w:val="088E1E70"/>
    <w:rsid w:val="088E2034"/>
    <w:rsid w:val="088E20F8"/>
    <w:rsid w:val="088E2151"/>
    <w:rsid w:val="088E2192"/>
    <w:rsid w:val="088E21C2"/>
    <w:rsid w:val="088E21C4"/>
    <w:rsid w:val="088E21DD"/>
    <w:rsid w:val="088E22D2"/>
    <w:rsid w:val="088E23DF"/>
    <w:rsid w:val="088E24CF"/>
    <w:rsid w:val="088E25C1"/>
    <w:rsid w:val="088E266B"/>
    <w:rsid w:val="088E270C"/>
    <w:rsid w:val="088E2778"/>
    <w:rsid w:val="088E2850"/>
    <w:rsid w:val="088E285F"/>
    <w:rsid w:val="088E286E"/>
    <w:rsid w:val="088E28E5"/>
    <w:rsid w:val="088E2923"/>
    <w:rsid w:val="088E29D1"/>
    <w:rsid w:val="088E29E3"/>
    <w:rsid w:val="088E2A4E"/>
    <w:rsid w:val="088E2A5A"/>
    <w:rsid w:val="088E2AF6"/>
    <w:rsid w:val="088E2AFC"/>
    <w:rsid w:val="088E2B30"/>
    <w:rsid w:val="088E2BCD"/>
    <w:rsid w:val="088E2BD3"/>
    <w:rsid w:val="088E2BF3"/>
    <w:rsid w:val="088E2CBE"/>
    <w:rsid w:val="088E2DD1"/>
    <w:rsid w:val="088E2DF3"/>
    <w:rsid w:val="088E2EC5"/>
    <w:rsid w:val="088E2F2B"/>
    <w:rsid w:val="088E3032"/>
    <w:rsid w:val="088E307F"/>
    <w:rsid w:val="088E3095"/>
    <w:rsid w:val="088E3127"/>
    <w:rsid w:val="088E3282"/>
    <w:rsid w:val="088E3283"/>
    <w:rsid w:val="088E3296"/>
    <w:rsid w:val="088E32CE"/>
    <w:rsid w:val="088E337C"/>
    <w:rsid w:val="088E3470"/>
    <w:rsid w:val="088E347E"/>
    <w:rsid w:val="088E347F"/>
    <w:rsid w:val="088E348D"/>
    <w:rsid w:val="088E3680"/>
    <w:rsid w:val="088E38D1"/>
    <w:rsid w:val="088E390D"/>
    <w:rsid w:val="088E3915"/>
    <w:rsid w:val="088E3951"/>
    <w:rsid w:val="088E3A37"/>
    <w:rsid w:val="088E3A4F"/>
    <w:rsid w:val="088E3ABE"/>
    <w:rsid w:val="088E3AC0"/>
    <w:rsid w:val="088E3B04"/>
    <w:rsid w:val="088E3B67"/>
    <w:rsid w:val="088E3B74"/>
    <w:rsid w:val="088E3BAF"/>
    <w:rsid w:val="088E3C13"/>
    <w:rsid w:val="088E3C37"/>
    <w:rsid w:val="088E3D30"/>
    <w:rsid w:val="088E3D34"/>
    <w:rsid w:val="088E3DA7"/>
    <w:rsid w:val="088E3E82"/>
    <w:rsid w:val="088E3E94"/>
    <w:rsid w:val="088E3E99"/>
    <w:rsid w:val="088E3EA1"/>
    <w:rsid w:val="088E3ED6"/>
    <w:rsid w:val="088E3F46"/>
    <w:rsid w:val="088E4023"/>
    <w:rsid w:val="088E4061"/>
    <w:rsid w:val="088E40D0"/>
    <w:rsid w:val="088E411A"/>
    <w:rsid w:val="088E42C6"/>
    <w:rsid w:val="088E42EF"/>
    <w:rsid w:val="088E440D"/>
    <w:rsid w:val="088E44F2"/>
    <w:rsid w:val="088E450D"/>
    <w:rsid w:val="088E460D"/>
    <w:rsid w:val="088E4624"/>
    <w:rsid w:val="088E471F"/>
    <w:rsid w:val="088E4788"/>
    <w:rsid w:val="088E4789"/>
    <w:rsid w:val="088E481D"/>
    <w:rsid w:val="088E481E"/>
    <w:rsid w:val="088E4977"/>
    <w:rsid w:val="088E4990"/>
    <w:rsid w:val="088E49A7"/>
    <w:rsid w:val="088E4A16"/>
    <w:rsid w:val="088E4AA7"/>
    <w:rsid w:val="088E4ABC"/>
    <w:rsid w:val="088E4B0A"/>
    <w:rsid w:val="088E4BC1"/>
    <w:rsid w:val="088E4BC5"/>
    <w:rsid w:val="088E4CBE"/>
    <w:rsid w:val="088E4CF2"/>
    <w:rsid w:val="088E4DA8"/>
    <w:rsid w:val="088E4DBD"/>
    <w:rsid w:val="088E4EB9"/>
    <w:rsid w:val="088E4F85"/>
    <w:rsid w:val="088E4F89"/>
    <w:rsid w:val="088E4F8B"/>
    <w:rsid w:val="088E5119"/>
    <w:rsid w:val="088E513B"/>
    <w:rsid w:val="088E51EA"/>
    <w:rsid w:val="088E5215"/>
    <w:rsid w:val="088E521B"/>
    <w:rsid w:val="088E527D"/>
    <w:rsid w:val="088E52D9"/>
    <w:rsid w:val="088E5393"/>
    <w:rsid w:val="088E5410"/>
    <w:rsid w:val="088E5462"/>
    <w:rsid w:val="088E54EF"/>
    <w:rsid w:val="088E55A1"/>
    <w:rsid w:val="088E55C0"/>
    <w:rsid w:val="088E55E0"/>
    <w:rsid w:val="088E5776"/>
    <w:rsid w:val="088E577C"/>
    <w:rsid w:val="088E58A3"/>
    <w:rsid w:val="088E5921"/>
    <w:rsid w:val="088E5975"/>
    <w:rsid w:val="088E5A65"/>
    <w:rsid w:val="088E5B36"/>
    <w:rsid w:val="088E5B6D"/>
    <w:rsid w:val="088E5BB9"/>
    <w:rsid w:val="088E5BDA"/>
    <w:rsid w:val="088E5BFF"/>
    <w:rsid w:val="088E5C78"/>
    <w:rsid w:val="088E5C7D"/>
    <w:rsid w:val="088E5CD6"/>
    <w:rsid w:val="088E5D95"/>
    <w:rsid w:val="088E5DBF"/>
    <w:rsid w:val="088E5E76"/>
    <w:rsid w:val="088E5FD4"/>
    <w:rsid w:val="088E607D"/>
    <w:rsid w:val="088E60F5"/>
    <w:rsid w:val="088E6314"/>
    <w:rsid w:val="088E632F"/>
    <w:rsid w:val="088E6331"/>
    <w:rsid w:val="088E6370"/>
    <w:rsid w:val="088E6382"/>
    <w:rsid w:val="088E63B5"/>
    <w:rsid w:val="088E6406"/>
    <w:rsid w:val="088E651D"/>
    <w:rsid w:val="088E65E4"/>
    <w:rsid w:val="088E65F3"/>
    <w:rsid w:val="088E66CF"/>
    <w:rsid w:val="088E66D3"/>
    <w:rsid w:val="088E6737"/>
    <w:rsid w:val="088E67AB"/>
    <w:rsid w:val="088E67CC"/>
    <w:rsid w:val="088E6844"/>
    <w:rsid w:val="088E690C"/>
    <w:rsid w:val="088E6912"/>
    <w:rsid w:val="088E6926"/>
    <w:rsid w:val="088E6985"/>
    <w:rsid w:val="088E69D9"/>
    <w:rsid w:val="088E6AFA"/>
    <w:rsid w:val="088E6BBD"/>
    <w:rsid w:val="088E6BD4"/>
    <w:rsid w:val="088E6C6D"/>
    <w:rsid w:val="088E6D56"/>
    <w:rsid w:val="088E6D5F"/>
    <w:rsid w:val="088E6D85"/>
    <w:rsid w:val="088E6DB0"/>
    <w:rsid w:val="088E6DD6"/>
    <w:rsid w:val="088E6DE0"/>
    <w:rsid w:val="088E6EEC"/>
    <w:rsid w:val="088E6F5A"/>
    <w:rsid w:val="088E6FF5"/>
    <w:rsid w:val="088E7014"/>
    <w:rsid w:val="088E711A"/>
    <w:rsid w:val="088E7218"/>
    <w:rsid w:val="088E724E"/>
    <w:rsid w:val="088E72CD"/>
    <w:rsid w:val="088E7302"/>
    <w:rsid w:val="088E7406"/>
    <w:rsid w:val="088E742A"/>
    <w:rsid w:val="088E7490"/>
    <w:rsid w:val="088E74B0"/>
    <w:rsid w:val="088E7546"/>
    <w:rsid w:val="088E76A3"/>
    <w:rsid w:val="088E7706"/>
    <w:rsid w:val="088E78A6"/>
    <w:rsid w:val="088E79B8"/>
    <w:rsid w:val="088E7A61"/>
    <w:rsid w:val="088E7A98"/>
    <w:rsid w:val="088E7C28"/>
    <w:rsid w:val="088E7C95"/>
    <w:rsid w:val="088E7D20"/>
    <w:rsid w:val="088E7DEB"/>
    <w:rsid w:val="088E7E14"/>
    <w:rsid w:val="088E7E1E"/>
    <w:rsid w:val="088E7E8D"/>
    <w:rsid w:val="088E7EBF"/>
    <w:rsid w:val="088E7EF4"/>
    <w:rsid w:val="088F0004"/>
    <w:rsid w:val="088F0088"/>
    <w:rsid w:val="088F0098"/>
    <w:rsid w:val="088F00E2"/>
    <w:rsid w:val="088F0121"/>
    <w:rsid w:val="088F0124"/>
    <w:rsid w:val="088F019B"/>
    <w:rsid w:val="088F01D4"/>
    <w:rsid w:val="088F0241"/>
    <w:rsid w:val="088F0267"/>
    <w:rsid w:val="088F02E4"/>
    <w:rsid w:val="088F02EE"/>
    <w:rsid w:val="088F0393"/>
    <w:rsid w:val="088F0483"/>
    <w:rsid w:val="088F0518"/>
    <w:rsid w:val="088F05FF"/>
    <w:rsid w:val="088F062C"/>
    <w:rsid w:val="088F0732"/>
    <w:rsid w:val="088F0748"/>
    <w:rsid w:val="088F07D5"/>
    <w:rsid w:val="088F07DD"/>
    <w:rsid w:val="088F0886"/>
    <w:rsid w:val="088F0898"/>
    <w:rsid w:val="088F0908"/>
    <w:rsid w:val="088F092B"/>
    <w:rsid w:val="088F0A06"/>
    <w:rsid w:val="088F0A2E"/>
    <w:rsid w:val="088F0A65"/>
    <w:rsid w:val="088F0B66"/>
    <w:rsid w:val="088F0B6D"/>
    <w:rsid w:val="088F0BBB"/>
    <w:rsid w:val="088F0C40"/>
    <w:rsid w:val="088F0C98"/>
    <w:rsid w:val="088F0D34"/>
    <w:rsid w:val="088F0D63"/>
    <w:rsid w:val="088F0DD7"/>
    <w:rsid w:val="088F0E0B"/>
    <w:rsid w:val="088F0EAF"/>
    <w:rsid w:val="088F0EC5"/>
    <w:rsid w:val="088F0EDE"/>
    <w:rsid w:val="088F0F4A"/>
    <w:rsid w:val="088F0F9E"/>
    <w:rsid w:val="088F1022"/>
    <w:rsid w:val="088F1121"/>
    <w:rsid w:val="088F1124"/>
    <w:rsid w:val="088F1176"/>
    <w:rsid w:val="088F117E"/>
    <w:rsid w:val="088F11DE"/>
    <w:rsid w:val="088F12EB"/>
    <w:rsid w:val="088F1347"/>
    <w:rsid w:val="088F1390"/>
    <w:rsid w:val="088F13BC"/>
    <w:rsid w:val="088F1428"/>
    <w:rsid w:val="088F155C"/>
    <w:rsid w:val="088F1697"/>
    <w:rsid w:val="088F16AE"/>
    <w:rsid w:val="088F16E6"/>
    <w:rsid w:val="088F1753"/>
    <w:rsid w:val="088F184C"/>
    <w:rsid w:val="088F1942"/>
    <w:rsid w:val="088F1A9E"/>
    <w:rsid w:val="088F1B4B"/>
    <w:rsid w:val="088F1B5A"/>
    <w:rsid w:val="088F1C21"/>
    <w:rsid w:val="088F1C41"/>
    <w:rsid w:val="088F1C76"/>
    <w:rsid w:val="088F1C8F"/>
    <w:rsid w:val="088F1CDE"/>
    <w:rsid w:val="088F1CE2"/>
    <w:rsid w:val="088F1CF0"/>
    <w:rsid w:val="088F1D98"/>
    <w:rsid w:val="088F1DC4"/>
    <w:rsid w:val="088F1E22"/>
    <w:rsid w:val="088F1E40"/>
    <w:rsid w:val="088F1E66"/>
    <w:rsid w:val="088F1E78"/>
    <w:rsid w:val="088F2066"/>
    <w:rsid w:val="088F2079"/>
    <w:rsid w:val="088F20C2"/>
    <w:rsid w:val="088F2117"/>
    <w:rsid w:val="088F21D4"/>
    <w:rsid w:val="088F21E3"/>
    <w:rsid w:val="088F221E"/>
    <w:rsid w:val="088F229B"/>
    <w:rsid w:val="088F22EC"/>
    <w:rsid w:val="088F23CB"/>
    <w:rsid w:val="088F248F"/>
    <w:rsid w:val="088F24C5"/>
    <w:rsid w:val="088F25C1"/>
    <w:rsid w:val="088F25D9"/>
    <w:rsid w:val="088F26BA"/>
    <w:rsid w:val="088F2738"/>
    <w:rsid w:val="088F27AC"/>
    <w:rsid w:val="088F2835"/>
    <w:rsid w:val="088F286B"/>
    <w:rsid w:val="088F28FC"/>
    <w:rsid w:val="088F29D0"/>
    <w:rsid w:val="088F2AF9"/>
    <w:rsid w:val="088F2B68"/>
    <w:rsid w:val="088F2C46"/>
    <w:rsid w:val="088F2CE9"/>
    <w:rsid w:val="088F2DB2"/>
    <w:rsid w:val="088F2E53"/>
    <w:rsid w:val="088F2EF9"/>
    <w:rsid w:val="088F2F03"/>
    <w:rsid w:val="088F2F59"/>
    <w:rsid w:val="088F3092"/>
    <w:rsid w:val="088F3095"/>
    <w:rsid w:val="088F30B7"/>
    <w:rsid w:val="088F31EF"/>
    <w:rsid w:val="088F338C"/>
    <w:rsid w:val="088F3447"/>
    <w:rsid w:val="088F357D"/>
    <w:rsid w:val="088F3595"/>
    <w:rsid w:val="088F3632"/>
    <w:rsid w:val="088F3668"/>
    <w:rsid w:val="088F3771"/>
    <w:rsid w:val="088F382C"/>
    <w:rsid w:val="088F393A"/>
    <w:rsid w:val="088F3A9C"/>
    <w:rsid w:val="088F3A9E"/>
    <w:rsid w:val="088F3AB8"/>
    <w:rsid w:val="088F3B04"/>
    <w:rsid w:val="088F3BDA"/>
    <w:rsid w:val="088F3CF6"/>
    <w:rsid w:val="088F3D02"/>
    <w:rsid w:val="088F3D48"/>
    <w:rsid w:val="088F3D82"/>
    <w:rsid w:val="088F3D86"/>
    <w:rsid w:val="088F3D8C"/>
    <w:rsid w:val="088F3DA7"/>
    <w:rsid w:val="088F3E30"/>
    <w:rsid w:val="088F3E4F"/>
    <w:rsid w:val="088F3E9B"/>
    <w:rsid w:val="088F3EA0"/>
    <w:rsid w:val="088F3EBE"/>
    <w:rsid w:val="088F3F06"/>
    <w:rsid w:val="088F4035"/>
    <w:rsid w:val="088F441D"/>
    <w:rsid w:val="088F4467"/>
    <w:rsid w:val="088F449D"/>
    <w:rsid w:val="088F44D1"/>
    <w:rsid w:val="088F44D7"/>
    <w:rsid w:val="088F452C"/>
    <w:rsid w:val="088F4679"/>
    <w:rsid w:val="088F480E"/>
    <w:rsid w:val="088F48ED"/>
    <w:rsid w:val="088F48F2"/>
    <w:rsid w:val="088F49F5"/>
    <w:rsid w:val="088F49FD"/>
    <w:rsid w:val="088F4B7C"/>
    <w:rsid w:val="088F4B81"/>
    <w:rsid w:val="088F4BB1"/>
    <w:rsid w:val="088F4BFB"/>
    <w:rsid w:val="088F4C73"/>
    <w:rsid w:val="088F4CDC"/>
    <w:rsid w:val="088F4D87"/>
    <w:rsid w:val="088F4DF0"/>
    <w:rsid w:val="088F4E72"/>
    <w:rsid w:val="088F4E90"/>
    <w:rsid w:val="088F4F84"/>
    <w:rsid w:val="088F4F92"/>
    <w:rsid w:val="088F4FB2"/>
    <w:rsid w:val="088F4FB7"/>
    <w:rsid w:val="088F4FEF"/>
    <w:rsid w:val="088F5070"/>
    <w:rsid w:val="088F50AF"/>
    <w:rsid w:val="088F50C5"/>
    <w:rsid w:val="088F50E0"/>
    <w:rsid w:val="088F50F8"/>
    <w:rsid w:val="088F5274"/>
    <w:rsid w:val="088F52A1"/>
    <w:rsid w:val="088F5397"/>
    <w:rsid w:val="088F5488"/>
    <w:rsid w:val="088F54CC"/>
    <w:rsid w:val="088F54F2"/>
    <w:rsid w:val="088F54FB"/>
    <w:rsid w:val="088F550B"/>
    <w:rsid w:val="088F567A"/>
    <w:rsid w:val="088F56D2"/>
    <w:rsid w:val="088F5701"/>
    <w:rsid w:val="088F577B"/>
    <w:rsid w:val="088F57DB"/>
    <w:rsid w:val="088F57F7"/>
    <w:rsid w:val="088F587E"/>
    <w:rsid w:val="088F5940"/>
    <w:rsid w:val="088F5948"/>
    <w:rsid w:val="088F59AB"/>
    <w:rsid w:val="088F5A83"/>
    <w:rsid w:val="088F5ADB"/>
    <w:rsid w:val="088F5AF0"/>
    <w:rsid w:val="088F5B1D"/>
    <w:rsid w:val="088F5B70"/>
    <w:rsid w:val="088F5BC5"/>
    <w:rsid w:val="088F5C00"/>
    <w:rsid w:val="088F5CD5"/>
    <w:rsid w:val="088F5D4F"/>
    <w:rsid w:val="088F5D81"/>
    <w:rsid w:val="088F5DE1"/>
    <w:rsid w:val="088F5E13"/>
    <w:rsid w:val="088F5E19"/>
    <w:rsid w:val="088F5E2E"/>
    <w:rsid w:val="088F5E2F"/>
    <w:rsid w:val="088F5EB0"/>
    <w:rsid w:val="088F5ED5"/>
    <w:rsid w:val="088F5EF6"/>
    <w:rsid w:val="088F5F2E"/>
    <w:rsid w:val="088F6097"/>
    <w:rsid w:val="088F60F3"/>
    <w:rsid w:val="088F6180"/>
    <w:rsid w:val="088F6321"/>
    <w:rsid w:val="088F632B"/>
    <w:rsid w:val="088F64BD"/>
    <w:rsid w:val="088F64CC"/>
    <w:rsid w:val="088F64E6"/>
    <w:rsid w:val="088F655B"/>
    <w:rsid w:val="088F6664"/>
    <w:rsid w:val="088F66AA"/>
    <w:rsid w:val="088F66E8"/>
    <w:rsid w:val="088F675D"/>
    <w:rsid w:val="088F6769"/>
    <w:rsid w:val="088F6822"/>
    <w:rsid w:val="088F6853"/>
    <w:rsid w:val="088F69B5"/>
    <w:rsid w:val="088F69F6"/>
    <w:rsid w:val="088F6A29"/>
    <w:rsid w:val="088F6A54"/>
    <w:rsid w:val="088F6AF7"/>
    <w:rsid w:val="088F6B55"/>
    <w:rsid w:val="088F6B58"/>
    <w:rsid w:val="088F6B9E"/>
    <w:rsid w:val="088F6C07"/>
    <w:rsid w:val="088F6C3C"/>
    <w:rsid w:val="088F6C3E"/>
    <w:rsid w:val="088F6D0D"/>
    <w:rsid w:val="088F6D59"/>
    <w:rsid w:val="088F6DAC"/>
    <w:rsid w:val="088F6DF8"/>
    <w:rsid w:val="088F6E14"/>
    <w:rsid w:val="088F6FA8"/>
    <w:rsid w:val="088F6FEA"/>
    <w:rsid w:val="088F7037"/>
    <w:rsid w:val="088F70A4"/>
    <w:rsid w:val="088F71F6"/>
    <w:rsid w:val="088F72C5"/>
    <w:rsid w:val="088F7341"/>
    <w:rsid w:val="088F73B7"/>
    <w:rsid w:val="088F7423"/>
    <w:rsid w:val="088F74D1"/>
    <w:rsid w:val="088F753C"/>
    <w:rsid w:val="088F763F"/>
    <w:rsid w:val="088F76C6"/>
    <w:rsid w:val="088F76E9"/>
    <w:rsid w:val="088F779E"/>
    <w:rsid w:val="088F77F9"/>
    <w:rsid w:val="088F7864"/>
    <w:rsid w:val="088F7884"/>
    <w:rsid w:val="088F7994"/>
    <w:rsid w:val="088F79F2"/>
    <w:rsid w:val="088F7A9F"/>
    <w:rsid w:val="088F7B93"/>
    <w:rsid w:val="088F7C3B"/>
    <w:rsid w:val="088F7C3D"/>
    <w:rsid w:val="088F7C55"/>
    <w:rsid w:val="088F7CF7"/>
    <w:rsid w:val="088F7D5B"/>
    <w:rsid w:val="088F7D64"/>
    <w:rsid w:val="088F7ED8"/>
    <w:rsid w:val="088F7F84"/>
    <w:rsid w:val="0890001A"/>
    <w:rsid w:val="089000B2"/>
    <w:rsid w:val="0890010B"/>
    <w:rsid w:val="08900156"/>
    <w:rsid w:val="089001F3"/>
    <w:rsid w:val="0890026B"/>
    <w:rsid w:val="0890028C"/>
    <w:rsid w:val="0890030D"/>
    <w:rsid w:val="08900316"/>
    <w:rsid w:val="0890034A"/>
    <w:rsid w:val="089003BC"/>
    <w:rsid w:val="089003F2"/>
    <w:rsid w:val="08900493"/>
    <w:rsid w:val="089004A7"/>
    <w:rsid w:val="089004FC"/>
    <w:rsid w:val="08900611"/>
    <w:rsid w:val="0890063E"/>
    <w:rsid w:val="0890065D"/>
    <w:rsid w:val="089006BC"/>
    <w:rsid w:val="08900702"/>
    <w:rsid w:val="0890072E"/>
    <w:rsid w:val="08900779"/>
    <w:rsid w:val="089007AA"/>
    <w:rsid w:val="0890089A"/>
    <w:rsid w:val="089008E1"/>
    <w:rsid w:val="08900908"/>
    <w:rsid w:val="0890091C"/>
    <w:rsid w:val="08900970"/>
    <w:rsid w:val="0890098F"/>
    <w:rsid w:val="08900A7C"/>
    <w:rsid w:val="08900AD0"/>
    <w:rsid w:val="08900BB5"/>
    <w:rsid w:val="08900D6C"/>
    <w:rsid w:val="08900DCD"/>
    <w:rsid w:val="08900E35"/>
    <w:rsid w:val="08900E4C"/>
    <w:rsid w:val="08900E81"/>
    <w:rsid w:val="08900E8D"/>
    <w:rsid w:val="08900F24"/>
    <w:rsid w:val="08900FE3"/>
    <w:rsid w:val="08901103"/>
    <w:rsid w:val="08901165"/>
    <w:rsid w:val="08901180"/>
    <w:rsid w:val="089011C8"/>
    <w:rsid w:val="089011D2"/>
    <w:rsid w:val="08901200"/>
    <w:rsid w:val="089012A4"/>
    <w:rsid w:val="08901318"/>
    <w:rsid w:val="0890132A"/>
    <w:rsid w:val="08901396"/>
    <w:rsid w:val="08901531"/>
    <w:rsid w:val="08901566"/>
    <w:rsid w:val="08901568"/>
    <w:rsid w:val="089016D8"/>
    <w:rsid w:val="08901741"/>
    <w:rsid w:val="08901755"/>
    <w:rsid w:val="08901783"/>
    <w:rsid w:val="08901849"/>
    <w:rsid w:val="08901880"/>
    <w:rsid w:val="0890198D"/>
    <w:rsid w:val="089019AD"/>
    <w:rsid w:val="08901A51"/>
    <w:rsid w:val="08901B2F"/>
    <w:rsid w:val="08901B5B"/>
    <w:rsid w:val="08901BAD"/>
    <w:rsid w:val="08901C26"/>
    <w:rsid w:val="08901C2D"/>
    <w:rsid w:val="08901C7B"/>
    <w:rsid w:val="08901C7D"/>
    <w:rsid w:val="08901CEF"/>
    <w:rsid w:val="08901D60"/>
    <w:rsid w:val="08901E04"/>
    <w:rsid w:val="08901E52"/>
    <w:rsid w:val="08901E78"/>
    <w:rsid w:val="08901FF6"/>
    <w:rsid w:val="0890203E"/>
    <w:rsid w:val="08902092"/>
    <w:rsid w:val="089020C3"/>
    <w:rsid w:val="08902162"/>
    <w:rsid w:val="0890242E"/>
    <w:rsid w:val="089025E8"/>
    <w:rsid w:val="08902636"/>
    <w:rsid w:val="0890267E"/>
    <w:rsid w:val="089026AE"/>
    <w:rsid w:val="0890276D"/>
    <w:rsid w:val="089027D0"/>
    <w:rsid w:val="089027FF"/>
    <w:rsid w:val="08902886"/>
    <w:rsid w:val="089029A1"/>
    <w:rsid w:val="089029D7"/>
    <w:rsid w:val="089029E7"/>
    <w:rsid w:val="08902A34"/>
    <w:rsid w:val="08902A40"/>
    <w:rsid w:val="08902B16"/>
    <w:rsid w:val="08902B2F"/>
    <w:rsid w:val="08902D3F"/>
    <w:rsid w:val="08902D48"/>
    <w:rsid w:val="08902D58"/>
    <w:rsid w:val="08902DE9"/>
    <w:rsid w:val="08902F13"/>
    <w:rsid w:val="08902FA6"/>
    <w:rsid w:val="089030D3"/>
    <w:rsid w:val="089030E9"/>
    <w:rsid w:val="08903115"/>
    <w:rsid w:val="0890312D"/>
    <w:rsid w:val="089032AE"/>
    <w:rsid w:val="08903357"/>
    <w:rsid w:val="08903361"/>
    <w:rsid w:val="089033AC"/>
    <w:rsid w:val="089033B8"/>
    <w:rsid w:val="08903421"/>
    <w:rsid w:val="0890343E"/>
    <w:rsid w:val="089034A0"/>
    <w:rsid w:val="089035B2"/>
    <w:rsid w:val="089035BF"/>
    <w:rsid w:val="089035C3"/>
    <w:rsid w:val="08903629"/>
    <w:rsid w:val="08903633"/>
    <w:rsid w:val="08903642"/>
    <w:rsid w:val="08903741"/>
    <w:rsid w:val="089037A1"/>
    <w:rsid w:val="089037DE"/>
    <w:rsid w:val="089037E3"/>
    <w:rsid w:val="08903816"/>
    <w:rsid w:val="0890383B"/>
    <w:rsid w:val="08903931"/>
    <w:rsid w:val="0890398C"/>
    <w:rsid w:val="089039BB"/>
    <w:rsid w:val="08903A4B"/>
    <w:rsid w:val="08903A8B"/>
    <w:rsid w:val="08903A8D"/>
    <w:rsid w:val="08903B21"/>
    <w:rsid w:val="08903BEE"/>
    <w:rsid w:val="08903CDE"/>
    <w:rsid w:val="08903CE2"/>
    <w:rsid w:val="08903D09"/>
    <w:rsid w:val="08903D31"/>
    <w:rsid w:val="08903D48"/>
    <w:rsid w:val="08903E0C"/>
    <w:rsid w:val="08903E10"/>
    <w:rsid w:val="08903E4D"/>
    <w:rsid w:val="08903EBA"/>
    <w:rsid w:val="08903F03"/>
    <w:rsid w:val="089040E1"/>
    <w:rsid w:val="08904192"/>
    <w:rsid w:val="089041BE"/>
    <w:rsid w:val="089041C9"/>
    <w:rsid w:val="089041EA"/>
    <w:rsid w:val="089041FB"/>
    <w:rsid w:val="0890443C"/>
    <w:rsid w:val="089044EC"/>
    <w:rsid w:val="08904500"/>
    <w:rsid w:val="0890451A"/>
    <w:rsid w:val="08904534"/>
    <w:rsid w:val="0890456F"/>
    <w:rsid w:val="08904575"/>
    <w:rsid w:val="08904579"/>
    <w:rsid w:val="089045E4"/>
    <w:rsid w:val="089046DC"/>
    <w:rsid w:val="08904708"/>
    <w:rsid w:val="089047E0"/>
    <w:rsid w:val="0890481C"/>
    <w:rsid w:val="089048B6"/>
    <w:rsid w:val="089048C2"/>
    <w:rsid w:val="089048D4"/>
    <w:rsid w:val="0890498C"/>
    <w:rsid w:val="089049B1"/>
    <w:rsid w:val="08904A47"/>
    <w:rsid w:val="08904B07"/>
    <w:rsid w:val="08904B08"/>
    <w:rsid w:val="08904B10"/>
    <w:rsid w:val="08904B11"/>
    <w:rsid w:val="08904B6F"/>
    <w:rsid w:val="08904B9C"/>
    <w:rsid w:val="08904C8C"/>
    <w:rsid w:val="08904C9F"/>
    <w:rsid w:val="08904CB0"/>
    <w:rsid w:val="08904CFA"/>
    <w:rsid w:val="08904D4F"/>
    <w:rsid w:val="08904D6E"/>
    <w:rsid w:val="08904DC3"/>
    <w:rsid w:val="08904DF2"/>
    <w:rsid w:val="08904E04"/>
    <w:rsid w:val="08904EED"/>
    <w:rsid w:val="08904F2F"/>
    <w:rsid w:val="08904F3F"/>
    <w:rsid w:val="08904F7E"/>
    <w:rsid w:val="08904F80"/>
    <w:rsid w:val="08904FF0"/>
    <w:rsid w:val="08904FFE"/>
    <w:rsid w:val="08905014"/>
    <w:rsid w:val="089050A2"/>
    <w:rsid w:val="08905162"/>
    <w:rsid w:val="089051B7"/>
    <w:rsid w:val="08905297"/>
    <w:rsid w:val="089052B1"/>
    <w:rsid w:val="089052F1"/>
    <w:rsid w:val="089052FF"/>
    <w:rsid w:val="08905300"/>
    <w:rsid w:val="089053C2"/>
    <w:rsid w:val="089053D9"/>
    <w:rsid w:val="0890541D"/>
    <w:rsid w:val="08905508"/>
    <w:rsid w:val="08905764"/>
    <w:rsid w:val="0890576B"/>
    <w:rsid w:val="0890576F"/>
    <w:rsid w:val="08905800"/>
    <w:rsid w:val="08905840"/>
    <w:rsid w:val="08905856"/>
    <w:rsid w:val="089058D4"/>
    <w:rsid w:val="0890597F"/>
    <w:rsid w:val="08905AA9"/>
    <w:rsid w:val="08905AED"/>
    <w:rsid w:val="08905B18"/>
    <w:rsid w:val="08905B26"/>
    <w:rsid w:val="08905BCE"/>
    <w:rsid w:val="08905C80"/>
    <w:rsid w:val="08905CF9"/>
    <w:rsid w:val="08905D09"/>
    <w:rsid w:val="08905D2B"/>
    <w:rsid w:val="08905D64"/>
    <w:rsid w:val="08905D96"/>
    <w:rsid w:val="08905DBA"/>
    <w:rsid w:val="08905DFE"/>
    <w:rsid w:val="08905E93"/>
    <w:rsid w:val="08905EB8"/>
    <w:rsid w:val="08905EF4"/>
    <w:rsid w:val="08905FD6"/>
    <w:rsid w:val="08906014"/>
    <w:rsid w:val="08906094"/>
    <w:rsid w:val="089060A7"/>
    <w:rsid w:val="08906131"/>
    <w:rsid w:val="089061B5"/>
    <w:rsid w:val="0890622D"/>
    <w:rsid w:val="08906293"/>
    <w:rsid w:val="089062E2"/>
    <w:rsid w:val="08906409"/>
    <w:rsid w:val="08906423"/>
    <w:rsid w:val="08906431"/>
    <w:rsid w:val="089064F8"/>
    <w:rsid w:val="0890653F"/>
    <w:rsid w:val="089065C8"/>
    <w:rsid w:val="08906699"/>
    <w:rsid w:val="089066AD"/>
    <w:rsid w:val="08906718"/>
    <w:rsid w:val="0890676A"/>
    <w:rsid w:val="089067A2"/>
    <w:rsid w:val="0890690D"/>
    <w:rsid w:val="08906996"/>
    <w:rsid w:val="089069D5"/>
    <w:rsid w:val="08906A27"/>
    <w:rsid w:val="08906A79"/>
    <w:rsid w:val="08906A8A"/>
    <w:rsid w:val="08906B27"/>
    <w:rsid w:val="08906B71"/>
    <w:rsid w:val="08906BF0"/>
    <w:rsid w:val="08906C84"/>
    <w:rsid w:val="08906CDB"/>
    <w:rsid w:val="08906D45"/>
    <w:rsid w:val="08906DEA"/>
    <w:rsid w:val="08906E7D"/>
    <w:rsid w:val="08906EDE"/>
    <w:rsid w:val="08906F67"/>
    <w:rsid w:val="08906FE2"/>
    <w:rsid w:val="089070FA"/>
    <w:rsid w:val="089071F2"/>
    <w:rsid w:val="08907233"/>
    <w:rsid w:val="089072F5"/>
    <w:rsid w:val="08907448"/>
    <w:rsid w:val="089074C0"/>
    <w:rsid w:val="089074C1"/>
    <w:rsid w:val="08907500"/>
    <w:rsid w:val="08907581"/>
    <w:rsid w:val="08907593"/>
    <w:rsid w:val="089075FC"/>
    <w:rsid w:val="089076A2"/>
    <w:rsid w:val="089076AA"/>
    <w:rsid w:val="08907808"/>
    <w:rsid w:val="089078D0"/>
    <w:rsid w:val="089078F6"/>
    <w:rsid w:val="0890799B"/>
    <w:rsid w:val="08907B1D"/>
    <w:rsid w:val="08907B2A"/>
    <w:rsid w:val="08907B2D"/>
    <w:rsid w:val="08907B37"/>
    <w:rsid w:val="08907B94"/>
    <w:rsid w:val="08907BD6"/>
    <w:rsid w:val="08907C08"/>
    <w:rsid w:val="08907C7A"/>
    <w:rsid w:val="08907C7B"/>
    <w:rsid w:val="08907C8E"/>
    <w:rsid w:val="08907E02"/>
    <w:rsid w:val="08907E3A"/>
    <w:rsid w:val="08907EAC"/>
    <w:rsid w:val="08907EDF"/>
    <w:rsid w:val="08907EEB"/>
    <w:rsid w:val="08907FEC"/>
    <w:rsid w:val="08907FF0"/>
    <w:rsid w:val="08910004"/>
    <w:rsid w:val="08910038"/>
    <w:rsid w:val="08910041"/>
    <w:rsid w:val="089101A2"/>
    <w:rsid w:val="089101F5"/>
    <w:rsid w:val="089101FE"/>
    <w:rsid w:val="0891022D"/>
    <w:rsid w:val="089102EC"/>
    <w:rsid w:val="08910434"/>
    <w:rsid w:val="089104AC"/>
    <w:rsid w:val="08910516"/>
    <w:rsid w:val="08910568"/>
    <w:rsid w:val="08910570"/>
    <w:rsid w:val="0891061D"/>
    <w:rsid w:val="08910637"/>
    <w:rsid w:val="08910671"/>
    <w:rsid w:val="08910674"/>
    <w:rsid w:val="08910675"/>
    <w:rsid w:val="08910720"/>
    <w:rsid w:val="0891083F"/>
    <w:rsid w:val="0891089E"/>
    <w:rsid w:val="089108BD"/>
    <w:rsid w:val="089108C4"/>
    <w:rsid w:val="089108E8"/>
    <w:rsid w:val="0891097C"/>
    <w:rsid w:val="08910A77"/>
    <w:rsid w:val="08910A99"/>
    <w:rsid w:val="08910B31"/>
    <w:rsid w:val="08910B73"/>
    <w:rsid w:val="08910B78"/>
    <w:rsid w:val="08910BEB"/>
    <w:rsid w:val="08910CF4"/>
    <w:rsid w:val="08910D0C"/>
    <w:rsid w:val="08910D8A"/>
    <w:rsid w:val="08910E04"/>
    <w:rsid w:val="08910E24"/>
    <w:rsid w:val="08910E89"/>
    <w:rsid w:val="08910EB8"/>
    <w:rsid w:val="0891101F"/>
    <w:rsid w:val="08911099"/>
    <w:rsid w:val="089110CA"/>
    <w:rsid w:val="089110DA"/>
    <w:rsid w:val="08911136"/>
    <w:rsid w:val="0891113C"/>
    <w:rsid w:val="08911176"/>
    <w:rsid w:val="0891119A"/>
    <w:rsid w:val="089111EF"/>
    <w:rsid w:val="08911243"/>
    <w:rsid w:val="08911253"/>
    <w:rsid w:val="08911278"/>
    <w:rsid w:val="089112B0"/>
    <w:rsid w:val="08911349"/>
    <w:rsid w:val="08911350"/>
    <w:rsid w:val="08911357"/>
    <w:rsid w:val="08911386"/>
    <w:rsid w:val="0891157B"/>
    <w:rsid w:val="089115D0"/>
    <w:rsid w:val="0891163F"/>
    <w:rsid w:val="08911694"/>
    <w:rsid w:val="0891169C"/>
    <w:rsid w:val="089116BF"/>
    <w:rsid w:val="0891189D"/>
    <w:rsid w:val="089118BD"/>
    <w:rsid w:val="089118FC"/>
    <w:rsid w:val="0891190B"/>
    <w:rsid w:val="08911927"/>
    <w:rsid w:val="089119CF"/>
    <w:rsid w:val="089119F2"/>
    <w:rsid w:val="08911A14"/>
    <w:rsid w:val="08911A57"/>
    <w:rsid w:val="08911A6C"/>
    <w:rsid w:val="08911AC6"/>
    <w:rsid w:val="08911B71"/>
    <w:rsid w:val="08911CD6"/>
    <w:rsid w:val="08911D96"/>
    <w:rsid w:val="08911D9E"/>
    <w:rsid w:val="08911DF1"/>
    <w:rsid w:val="08911E26"/>
    <w:rsid w:val="08911E5A"/>
    <w:rsid w:val="08911EA3"/>
    <w:rsid w:val="08911EBC"/>
    <w:rsid w:val="08911F2E"/>
    <w:rsid w:val="08911F6F"/>
    <w:rsid w:val="08911FC6"/>
    <w:rsid w:val="08911FEC"/>
    <w:rsid w:val="08911FED"/>
    <w:rsid w:val="089120DD"/>
    <w:rsid w:val="08912126"/>
    <w:rsid w:val="0891216B"/>
    <w:rsid w:val="089121D7"/>
    <w:rsid w:val="089121DA"/>
    <w:rsid w:val="089121FD"/>
    <w:rsid w:val="08912230"/>
    <w:rsid w:val="08912231"/>
    <w:rsid w:val="08912240"/>
    <w:rsid w:val="08912500"/>
    <w:rsid w:val="08912548"/>
    <w:rsid w:val="0891256C"/>
    <w:rsid w:val="08912579"/>
    <w:rsid w:val="089125C6"/>
    <w:rsid w:val="089125F4"/>
    <w:rsid w:val="0891260D"/>
    <w:rsid w:val="089126A3"/>
    <w:rsid w:val="089126FC"/>
    <w:rsid w:val="089127B5"/>
    <w:rsid w:val="089127C5"/>
    <w:rsid w:val="089128C2"/>
    <w:rsid w:val="0891294B"/>
    <w:rsid w:val="089129D4"/>
    <w:rsid w:val="089129E2"/>
    <w:rsid w:val="08912B33"/>
    <w:rsid w:val="08912D45"/>
    <w:rsid w:val="08912DC0"/>
    <w:rsid w:val="08912DEC"/>
    <w:rsid w:val="08912E26"/>
    <w:rsid w:val="08912E7D"/>
    <w:rsid w:val="08912F5F"/>
    <w:rsid w:val="089130F2"/>
    <w:rsid w:val="089131CE"/>
    <w:rsid w:val="089132AF"/>
    <w:rsid w:val="089132D5"/>
    <w:rsid w:val="089133A5"/>
    <w:rsid w:val="089133A8"/>
    <w:rsid w:val="08913416"/>
    <w:rsid w:val="0891341B"/>
    <w:rsid w:val="08913429"/>
    <w:rsid w:val="0891346E"/>
    <w:rsid w:val="0891347F"/>
    <w:rsid w:val="089134A7"/>
    <w:rsid w:val="089134CC"/>
    <w:rsid w:val="089135C5"/>
    <w:rsid w:val="08913631"/>
    <w:rsid w:val="0891366C"/>
    <w:rsid w:val="089137A9"/>
    <w:rsid w:val="089137D1"/>
    <w:rsid w:val="08913812"/>
    <w:rsid w:val="0891383F"/>
    <w:rsid w:val="0891387A"/>
    <w:rsid w:val="0891395D"/>
    <w:rsid w:val="08913976"/>
    <w:rsid w:val="08913A14"/>
    <w:rsid w:val="08913ABC"/>
    <w:rsid w:val="08913B77"/>
    <w:rsid w:val="08913D10"/>
    <w:rsid w:val="08913D1B"/>
    <w:rsid w:val="08913D25"/>
    <w:rsid w:val="08913E0F"/>
    <w:rsid w:val="08913E38"/>
    <w:rsid w:val="08913F41"/>
    <w:rsid w:val="0891406B"/>
    <w:rsid w:val="08914078"/>
    <w:rsid w:val="0891414C"/>
    <w:rsid w:val="08914151"/>
    <w:rsid w:val="08914168"/>
    <w:rsid w:val="0891419F"/>
    <w:rsid w:val="089142D8"/>
    <w:rsid w:val="089142F2"/>
    <w:rsid w:val="08914338"/>
    <w:rsid w:val="089143D4"/>
    <w:rsid w:val="0891440A"/>
    <w:rsid w:val="089144C1"/>
    <w:rsid w:val="08914556"/>
    <w:rsid w:val="0891456B"/>
    <w:rsid w:val="089145E6"/>
    <w:rsid w:val="089147F8"/>
    <w:rsid w:val="0891489D"/>
    <w:rsid w:val="089148B8"/>
    <w:rsid w:val="089148DF"/>
    <w:rsid w:val="08914923"/>
    <w:rsid w:val="089149A4"/>
    <w:rsid w:val="089149B2"/>
    <w:rsid w:val="089149FB"/>
    <w:rsid w:val="08914A34"/>
    <w:rsid w:val="08914AA3"/>
    <w:rsid w:val="08914AE3"/>
    <w:rsid w:val="08914B67"/>
    <w:rsid w:val="08914C05"/>
    <w:rsid w:val="08914C63"/>
    <w:rsid w:val="08914D5A"/>
    <w:rsid w:val="08914D84"/>
    <w:rsid w:val="08914D92"/>
    <w:rsid w:val="08914DCE"/>
    <w:rsid w:val="08914E08"/>
    <w:rsid w:val="08914F22"/>
    <w:rsid w:val="0891505A"/>
    <w:rsid w:val="089150B6"/>
    <w:rsid w:val="089151F7"/>
    <w:rsid w:val="0891525D"/>
    <w:rsid w:val="08915272"/>
    <w:rsid w:val="089152C5"/>
    <w:rsid w:val="0891530F"/>
    <w:rsid w:val="08915358"/>
    <w:rsid w:val="08915359"/>
    <w:rsid w:val="089153FF"/>
    <w:rsid w:val="0891540E"/>
    <w:rsid w:val="08915490"/>
    <w:rsid w:val="0891549E"/>
    <w:rsid w:val="089154A0"/>
    <w:rsid w:val="089154D1"/>
    <w:rsid w:val="089154F7"/>
    <w:rsid w:val="08915516"/>
    <w:rsid w:val="08915556"/>
    <w:rsid w:val="08915658"/>
    <w:rsid w:val="089156CD"/>
    <w:rsid w:val="089156E5"/>
    <w:rsid w:val="08915729"/>
    <w:rsid w:val="089157C4"/>
    <w:rsid w:val="089157D6"/>
    <w:rsid w:val="089157F7"/>
    <w:rsid w:val="089157FE"/>
    <w:rsid w:val="08915814"/>
    <w:rsid w:val="08915816"/>
    <w:rsid w:val="0891587D"/>
    <w:rsid w:val="089159EE"/>
    <w:rsid w:val="08915A16"/>
    <w:rsid w:val="08915B6C"/>
    <w:rsid w:val="08915B6E"/>
    <w:rsid w:val="08915D28"/>
    <w:rsid w:val="08915D62"/>
    <w:rsid w:val="08915E15"/>
    <w:rsid w:val="08915E2A"/>
    <w:rsid w:val="08915EC4"/>
    <w:rsid w:val="08915F4E"/>
    <w:rsid w:val="08915FB6"/>
    <w:rsid w:val="08916014"/>
    <w:rsid w:val="0891603B"/>
    <w:rsid w:val="08916133"/>
    <w:rsid w:val="0891616C"/>
    <w:rsid w:val="0891617A"/>
    <w:rsid w:val="089161D9"/>
    <w:rsid w:val="08916239"/>
    <w:rsid w:val="0891628B"/>
    <w:rsid w:val="08916362"/>
    <w:rsid w:val="0891646D"/>
    <w:rsid w:val="08916481"/>
    <w:rsid w:val="089164E4"/>
    <w:rsid w:val="089165E7"/>
    <w:rsid w:val="08916606"/>
    <w:rsid w:val="08916759"/>
    <w:rsid w:val="0891675E"/>
    <w:rsid w:val="08916766"/>
    <w:rsid w:val="089167A6"/>
    <w:rsid w:val="089167AD"/>
    <w:rsid w:val="089167DE"/>
    <w:rsid w:val="08916862"/>
    <w:rsid w:val="089168BF"/>
    <w:rsid w:val="08916906"/>
    <w:rsid w:val="08916929"/>
    <w:rsid w:val="089169CD"/>
    <w:rsid w:val="089169EF"/>
    <w:rsid w:val="089169FF"/>
    <w:rsid w:val="08916B0A"/>
    <w:rsid w:val="08916B19"/>
    <w:rsid w:val="08916C64"/>
    <w:rsid w:val="08916C6F"/>
    <w:rsid w:val="08916D03"/>
    <w:rsid w:val="08916D16"/>
    <w:rsid w:val="08916D38"/>
    <w:rsid w:val="08916DAD"/>
    <w:rsid w:val="08916E1C"/>
    <w:rsid w:val="08916F51"/>
    <w:rsid w:val="08917081"/>
    <w:rsid w:val="0891709A"/>
    <w:rsid w:val="08917155"/>
    <w:rsid w:val="0891720B"/>
    <w:rsid w:val="08917286"/>
    <w:rsid w:val="089172CD"/>
    <w:rsid w:val="089172DB"/>
    <w:rsid w:val="08917313"/>
    <w:rsid w:val="08917359"/>
    <w:rsid w:val="0891741E"/>
    <w:rsid w:val="08917426"/>
    <w:rsid w:val="0891749F"/>
    <w:rsid w:val="089175D1"/>
    <w:rsid w:val="089176A1"/>
    <w:rsid w:val="0891770B"/>
    <w:rsid w:val="08917753"/>
    <w:rsid w:val="0891775B"/>
    <w:rsid w:val="089177DD"/>
    <w:rsid w:val="0891797E"/>
    <w:rsid w:val="089179B8"/>
    <w:rsid w:val="08917A87"/>
    <w:rsid w:val="08917B2B"/>
    <w:rsid w:val="08917B60"/>
    <w:rsid w:val="08917B9C"/>
    <w:rsid w:val="08917C11"/>
    <w:rsid w:val="08917C85"/>
    <w:rsid w:val="08917D60"/>
    <w:rsid w:val="08917E25"/>
    <w:rsid w:val="08917F75"/>
    <w:rsid w:val="08917FF1"/>
    <w:rsid w:val="08920021"/>
    <w:rsid w:val="0892012D"/>
    <w:rsid w:val="0892012F"/>
    <w:rsid w:val="0892025E"/>
    <w:rsid w:val="08920270"/>
    <w:rsid w:val="089202E8"/>
    <w:rsid w:val="089202EE"/>
    <w:rsid w:val="0892033C"/>
    <w:rsid w:val="0892047C"/>
    <w:rsid w:val="089204AB"/>
    <w:rsid w:val="08920531"/>
    <w:rsid w:val="08920665"/>
    <w:rsid w:val="089206A3"/>
    <w:rsid w:val="089206CD"/>
    <w:rsid w:val="089206E8"/>
    <w:rsid w:val="08920709"/>
    <w:rsid w:val="08920740"/>
    <w:rsid w:val="089207BD"/>
    <w:rsid w:val="08920882"/>
    <w:rsid w:val="0892089A"/>
    <w:rsid w:val="089208CB"/>
    <w:rsid w:val="08920929"/>
    <w:rsid w:val="08920962"/>
    <w:rsid w:val="089209E2"/>
    <w:rsid w:val="08920A6E"/>
    <w:rsid w:val="08920AB1"/>
    <w:rsid w:val="08920AE7"/>
    <w:rsid w:val="08920B3F"/>
    <w:rsid w:val="08920B6A"/>
    <w:rsid w:val="08920B70"/>
    <w:rsid w:val="08920CD2"/>
    <w:rsid w:val="08920CEA"/>
    <w:rsid w:val="08920DC8"/>
    <w:rsid w:val="08920F9B"/>
    <w:rsid w:val="0892100C"/>
    <w:rsid w:val="0892108F"/>
    <w:rsid w:val="0892109E"/>
    <w:rsid w:val="089210A4"/>
    <w:rsid w:val="089210B4"/>
    <w:rsid w:val="089210C6"/>
    <w:rsid w:val="08921100"/>
    <w:rsid w:val="089212A2"/>
    <w:rsid w:val="089212DE"/>
    <w:rsid w:val="08921302"/>
    <w:rsid w:val="0892130C"/>
    <w:rsid w:val="08921381"/>
    <w:rsid w:val="089213DB"/>
    <w:rsid w:val="08921456"/>
    <w:rsid w:val="089214BF"/>
    <w:rsid w:val="08921508"/>
    <w:rsid w:val="0892153F"/>
    <w:rsid w:val="08921541"/>
    <w:rsid w:val="089215E7"/>
    <w:rsid w:val="0892174A"/>
    <w:rsid w:val="08921801"/>
    <w:rsid w:val="0892181A"/>
    <w:rsid w:val="089218C4"/>
    <w:rsid w:val="089219C8"/>
    <w:rsid w:val="08921A2B"/>
    <w:rsid w:val="08921A5E"/>
    <w:rsid w:val="08921A92"/>
    <w:rsid w:val="08921A9F"/>
    <w:rsid w:val="08921ABE"/>
    <w:rsid w:val="08921C52"/>
    <w:rsid w:val="08921C60"/>
    <w:rsid w:val="08921C75"/>
    <w:rsid w:val="08921CC3"/>
    <w:rsid w:val="08921D0D"/>
    <w:rsid w:val="08921D8E"/>
    <w:rsid w:val="08921DD9"/>
    <w:rsid w:val="08921EE3"/>
    <w:rsid w:val="08921FE8"/>
    <w:rsid w:val="08921FF0"/>
    <w:rsid w:val="08922050"/>
    <w:rsid w:val="08922063"/>
    <w:rsid w:val="08922092"/>
    <w:rsid w:val="089220CD"/>
    <w:rsid w:val="08922207"/>
    <w:rsid w:val="0892222C"/>
    <w:rsid w:val="089222DC"/>
    <w:rsid w:val="089222DF"/>
    <w:rsid w:val="08922355"/>
    <w:rsid w:val="0892235C"/>
    <w:rsid w:val="08922411"/>
    <w:rsid w:val="089225E7"/>
    <w:rsid w:val="08922649"/>
    <w:rsid w:val="0892278D"/>
    <w:rsid w:val="0892284C"/>
    <w:rsid w:val="08922897"/>
    <w:rsid w:val="0892289D"/>
    <w:rsid w:val="089228AA"/>
    <w:rsid w:val="08922927"/>
    <w:rsid w:val="08922933"/>
    <w:rsid w:val="08922A12"/>
    <w:rsid w:val="08922A21"/>
    <w:rsid w:val="08922A47"/>
    <w:rsid w:val="08922A53"/>
    <w:rsid w:val="08922AA9"/>
    <w:rsid w:val="08922B15"/>
    <w:rsid w:val="08922BD4"/>
    <w:rsid w:val="08922C66"/>
    <w:rsid w:val="08922C9F"/>
    <w:rsid w:val="08922E63"/>
    <w:rsid w:val="08922F1B"/>
    <w:rsid w:val="08922FE8"/>
    <w:rsid w:val="08923091"/>
    <w:rsid w:val="089230A0"/>
    <w:rsid w:val="089230B9"/>
    <w:rsid w:val="089230C7"/>
    <w:rsid w:val="089230E7"/>
    <w:rsid w:val="08923182"/>
    <w:rsid w:val="08923184"/>
    <w:rsid w:val="089231DB"/>
    <w:rsid w:val="0892322A"/>
    <w:rsid w:val="089232B3"/>
    <w:rsid w:val="08923313"/>
    <w:rsid w:val="089233DC"/>
    <w:rsid w:val="08923596"/>
    <w:rsid w:val="089235AD"/>
    <w:rsid w:val="0892361A"/>
    <w:rsid w:val="08923721"/>
    <w:rsid w:val="0892372F"/>
    <w:rsid w:val="089237BB"/>
    <w:rsid w:val="089237EE"/>
    <w:rsid w:val="089237F5"/>
    <w:rsid w:val="0892383B"/>
    <w:rsid w:val="0892390C"/>
    <w:rsid w:val="08923910"/>
    <w:rsid w:val="0892394F"/>
    <w:rsid w:val="08923A8C"/>
    <w:rsid w:val="08923C59"/>
    <w:rsid w:val="08923CA1"/>
    <w:rsid w:val="08923CF5"/>
    <w:rsid w:val="08923D4B"/>
    <w:rsid w:val="08923D59"/>
    <w:rsid w:val="08923D87"/>
    <w:rsid w:val="08923E04"/>
    <w:rsid w:val="08923E31"/>
    <w:rsid w:val="08923E44"/>
    <w:rsid w:val="08923E5D"/>
    <w:rsid w:val="08923E5E"/>
    <w:rsid w:val="08923F46"/>
    <w:rsid w:val="089240A6"/>
    <w:rsid w:val="089240B9"/>
    <w:rsid w:val="089240CC"/>
    <w:rsid w:val="0892410A"/>
    <w:rsid w:val="0892411F"/>
    <w:rsid w:val="08924198"/>
    <w:rsid w:val="089241B2"/>
    <w:rsid w:val="089242F1"/>
    <w:rsid w:val="08924368"/>
    <w:rsid w:val="0892438C"/>
    <w:rsid w:val="089243C8"/>
    <w:rsid w:val="089244A8"/>
    <w:rsid w:val="089244B3"/>
    <w:rsid w:val="08924608"/>
    <w:rsid w:val="0892465B"/>
    <w:rsid w:val="08924698"/>
    <w:rsid w:val="0892478E"/>
    <w:rsid w:val="08924794"/>
    <w:rsid w:val="089247A2"/>
    <w:rsid w:val="089248A0"/>
    <w:rsid w:val="089248A1"/>
    <w:rsid w:val="08924966"/>
    <w:rsid w:val="089249AC"/>
    <w:rsid w:val="08924A01"/>
    <w:rsid w:val="08924AA4"/>
    <w:rsid w:val="08924B06"/>
    <w:rsid w:val="08924B6E"/>
    <w:rsid w:val="08924B7B"/>
    <w:rsid w:val="08924BD0"/>
    <w:rsid w:val="08924C39"/>
    <w:rsid w:val="08924C48"/>
    <w:rsid w:val="08924CBB"/>
    <w:rsid w:val="08924CBC"/>
    <w:rsid w:val="08924D61"/>
    <w:rsid w:val="08924D75"/>
    <w:rsid w:val="08924E2A"/>
    <w:rsid w:val="08924F05"/>
    <w:rsid w:val="08924F1C"/>
    <w:rsid w:val="08924F60"/>
    <w:rsid w:val="08924F7D"/>
    <w:rsid w:val="089250CF"/>
    <w:rsid w:val="08925104"/>
    <w:rsid w:val="08925123"/>
    <w:rsid w:val="08925163"/>
    <w:rsid w:val="08925207"/>
    <w:rsid w:val="089252EE"/>
    <w:rsid w:val="0892534B"/>
    <w:rsid w:val="089253A9"/>
    <w:rsid w:val="08925411"/>
    <w:rsid w:val="0892549F"/>
    <w:rsid w:val="08925514"/>
    <w:rsid w:val="0892553E"/>
    <w:rsid w:val="08925563"/>
    <w:rsid w:val="08925630"/>
    <w:rsid w:val="089256FD"/>
    <w:rsid w:val="089257CA"/>
    <w:rsid w:val="089257E2"/>
    <w:rsid w:val="0892580B"/>
    <w:rsid w:val="0892580F"/>
    <w:rsid w:val="089258F4"/>
    <w:rsid w:val="089259A5"/>
    <w:rsid w:val="08925A6A"/>
    <w:rsid w:val="08925B79"/>
    <w:rsid w:val="08925B92"/>
    <w:rsid w:val="08925BA9"/>
    <w:rsid w:val="08925D85"/>
    <w:rsid w:val="08925EA3"/>
    <w:rsid w:val="08925F47"/>
    <w:rsid w:val="08925F85"/>
    <w:rsid w:val="08925FBD"/>
    <w:rsid w:val="08925FC5"/>
    <w:rsid w:val="08925FCB"/>
    <w:rsid w:val="08926030"/>
    <w:rsid w:val="0892605A"/>
    <w:rsid w:val="08926112"/>
    <w:rsid w:val="08926196"/>
    <w:rsid w:val="08926219"/>
    <w:rsid w:val="0892624A"/>
    <w:rsid w:val="08926324"/>
    <w:rsid w:val="0892636E"/>
    <w:rsid w:val="089263EA"/>
    <w:rsid w:val="08926423"/>
    <w:rsid w:val="0892644C"/>
    <w:rsid w:val="089264F9"/>
    <w:rsid w:val="0892650A"/>
    <w:rsid w:val="0892657C"/>
    <w:rsid w:val="089265A8"/>
    <w:rsid w:val="08926618"/>
    <w:rsid w:val="089266C8"/>
    <w:rsid w:val="089266CD"/>
    <w:rsid w:val="089266F9"/>
    <w:rsid w:val="08926738"/>
    <w:rsid w:val="08926754"/>
    <w:rsid w:val="0892677B"/>
    <w:rsid w:val="08926785"/>
    <w:rsid w:val="089268AD"/>
    <w:rsid w:val="0892690B"/>
    <w:rsid w:val="0892693E"/>
    <w:rsid w:val="08926A04"/>
    <w:rsid w:val="08926A86"/>
    <w:rsid w:val="08926B7F"/>
    <w:rsid w:val="08926C47"/>
    <w:rsid w:val="08926C8C"/>
    <w:rsid w:val="08926CBA"/>
    <w:rsid w:val="08926D9B"/>
    <w:rsid w:val="08926DB5"/>
    <w:rsid w:val="08926E2C"/>
    <w:rsid w:val="08926E33"/>
    <w:rsid w:val="08926F39"/>
    <w:rsid w:val="0892701D"/>
    <w:rsid w:val="0892707E"/>
    <w:rsid w:val="089270A0"/>
    <w:rsid w:val="08927204"/>
    <w:rsid w:val="08927211"/>
    <w:rsid w:val="089272C7"/>
    <w:rsid w:val="089272F1"/>
    <w:rsid w:val="08927345"/>
    <w:rsid w:val="08927361"/>
    <w:rsid w:val="08927378"/>
    <w:rsid w:val="089273D8"/>
    <w:rsid w:val="08927432"/>
    <w:rsid w:val="08927480"/>
    <w:rsid w:val="089274E2"/>
    <w:rsid w:val="089275BC"/>
    <w:rsid w:val="089275E1"/>
    <w:rsid w:val="0892762F"/>
    <w:rsid w:val="0892764A"/>
    <w:rsid w:val="0892764F"/>
    <w:rsid w:val="08927777"/>
    <w:rsid w:val="0892780E"/>
    <w:rsid w:val="089278B3"/>
    <w:rsid w:val="08927980"/>
    <w:rsid w:val="0892798F"/>
    <w:rsid w:val="089279B4"/>
    <w:rsid w:val="089279D7"/>
    <w:rsid w:val="089279E9"/>
    <w:rsid w:val="089279F0"/>
    <w:rsid w:val="08927A17"/>
    <w:rsid w:val="08927A28"/>
    <w:rsid w:val="08927A2A"/>
    <w:rsid w:val="08927A5C"/>
    <w:rsid w:val="08927A6D"/>
    <w:rsid w:val="08927A76"/>
    <w:rsid w:val="08927A8A"/>
    <w:rsid w:val="08927ABB"/>
    <w:rsid w:val="08927B71"/>
    <w:rsid w:val="08927BB0"/>
    <w:rsid w:val="08927CC8"/>
    <w:rsid w:val="08927D78"/>
    <w:rsid w:val="08927D9C"/>
    <w:rsid w:val="08927DC7"/>
    <w:rsid w:val="08927E5B"/>
    <w:rsid w:val="08927E94"/>
    <w:rsid w:val="08927EB8"/>
    <w:rsid w:val="08927EB9"/>
    <w:rsid w:val="08927FAA"/>
    <w:rsid w:val="08927FD4"/>
    <w:rsid w:val="08930217"/>
    <w:rsid w:val="08930248"/>
    <w:rsid w:val="08930384"/>
    <w:rsid w:val="0893038E"/>
    <w:rsid w:val="08930444"/>
    <w:rsid w:val="08930453"/>
    <w:rsid w:val="0893058D"/>
    <w:rsid w:val="0893067E"/>
    <w:rsid w:val="089306BA"/>
    <w:rsid w:val="089306DF"/>
    <w:rsid w:val="089306EB"/>
    <w:rsid w:val="08930763"/>
    <w:rsid w:val="089307F2"/>
    <w:rsid w:val="089307F9"/>
    <w:rsid w:val="0893083F"/>
    <w:rsid w:val="089308CC"/>
    <w:rsid w:val="08930942"/>
    <w:rsid w:val="08930944"/>
    <w:rsid w:val="0893095A"/>
    <w:rsid w:val="089309CA"/>
    <w:rsid w:val="08930B1B"/>
    <w:rsid w:val="08930BAA"/>
    <w:rsid w:val="08930D4B"/>
    <w:rsid w:val="08930D7F"/>
    <w:rsid w:val="08930E58"/>
    <w:rsid w:val="08930E8A"/>
    <w:rsid w:val="08930EEC"/>
    <w:rsid w:val="08930EFD"/>
    <w:rsid w:val="08930F67"/>
    <w:rsid w:val="08931123"/>
    <w:rsid w:val="089312D9"/>
    <w:rsid w:val="0893135C"/>
    <w:rsid w:val="089313B9"/>
    <w:rsid w:val="089313E4"/>
    <w:rsid w:val="08931456"/>
    <w:rsid w:val="08931551"/>
    <w:rsid w:val="08931591"/>
    <w:rsid w:val="0893163A"/>
    <w:rsid w:val="08931670"/>
    <w:rsid w:val="089316C6"/>
    <w:rsid w:val="08931714"/>
    <w:rsid w:val="0893176C"/>
    <w:rsid w:val="089317B7"/>
    <w:rsid w:val="089317E3"/>
    <w:rsid w:val="089317F8"/>
    <w:rsid w:val="0893180D"/>
    <w:rsid w:val="08931815"/>
    <w:rsid w:val="089318C8"/>
    <w:rsid w:val="089319AF"/>
    <w:rsid w:val="08931A8A"/>
    <w:rsid w:val="08931AA4"/>
    <w:rsid w:val="08931ABB"/>
    <w:rsid w:val="08931AEA"/>
    <w:rsid w:val="08931BDA"/>
    <w:rsid w:val="08931C73"/>
    <w:rsid w:val="08931C8D"/>
    <w:rsid w:val="08931CD7"/>
    <w:rsid w:val="08931CE3"/>
    <w:rsid w:val="08931D2D"/>
    <w:rsid w:val="08931DF4"/>
    <w:rsid w:val="08931E13"/>
    <w:rsid w:val="08931E3E"/>
    <w:rsid w:val="08931EC0"/>
    <w:rsid w:val="08931F23"/>
    <w:rsid w:val="08931FA0"/>
    <w:rsid w:val="08931FCD"/>
    <w:rsid w:val="0893202B"/>
    <w:rsid w:val="089320CE"/>
    <w:rsid w:val="08932155"/>
    <w:rsid w:val="089321EE"/>
    <w:rsid w:val="0893241A"/>
    <w:rsid w:val="089324BD"/>
    <w:rsid w:val="089324E3"/>
    <w:rsid w:val="089324F7"/>
    <w:rsid w:val="08932510"/>
    <w:rsid w:val="089326AD"/>
    <w:rsid w:val="089326C9"/>
    <w:rsid w:val="08932709"/>
    <w:rsid w:val="0893271D"/>
    <w:rsid w:val="08932803"/>
    <w:rsid w:val="08932911"/>
    <w:rsid w:val="0893293B"/>
    <w:rsid w:val="08932942"/>
    <w:rsid w:val="089329DA"/>
    <w:rsid w:val="08932B4D"/>
    <w:rsid w:val="08932BAD"/>
    <w:rsid w:val="08932BD4"/>
    <w:rsid w:val="08932C7A"/>
    <w:rsid w:val="08932C7E"/>
    <w:rsid w:val="08932D04"/>
    <w:rsid w:val="08932D10"/>
    <w:rsid w:val="08932D3A"/>
    <w:rsid w:val="08932E71"/>
    <w:rsid w:val="08932FED"/>
    <w:rsid w:val="0893300E"/>
    <w:rsid w:val="08933021"/>
    <w:rsid w:val="0893307B"/>
    <w:rsid w:val="0893309E"/>
    <w:rsid w:val="089330CA"/>
    <w:rsid w:val="089330F5"/>
    <w:rsid w:val="0893319F"/>
    <w:rsid w:val="089331BF"/>
    <w:rsid w:val="089331DC"/>
    <w:rsid w:val="0893321B"/>
    <w:rsid w:val="089333BD"/>
    <w:rsid w:val="089335CC"/>
    <w:rsid w:val="08933679"/>
    <w:rsid w:val="08933786"/>
    <w:rsid w:val="0893378D"/>
    <w:rsid w:val="0893380D"/>
    <w:rsid w:val="08933813"/>
    <w:rsid w:val="089338DC"/>
    <w:rsid w:val="0893395B"/>
    <w:rsid w:val="089339B1"/>
    <w:rsid w:val="089339FB"/>
    <w:rsid w:val="089339FE"/>
    <w:rsid w:val="08933A26"/>
    <w:rsid w:val="08933A2B"/>
    <w:rsid w:val="08933A89"/>
    <w:rsid w:val="08933AEE"/>
    <w:rsid w:val="08933B66"/>
    <w:rsid w:val="08933B71"/>
    <w:rsid w:val="08933B84"/>
    <w:rsid w:val="08933BE0"/>
    <w:rsid w:val="08933C9B"/>
    <w:rsid w:val="08933CA2"/>
    <w:rsid w:val="08933D24"/>
    <w:rsid w:val="08933DD5"/>
    <w:rsid w:val="08933E48"/>
    <w:rsid w:val="08933E72"/>
    <w:rsid w:val="08933ECD"/>
    <w:rsid w:val="08933EFC"/>
    <w:rsid w:val="08933FE2"/>
    <w:rsid w:val="0893406E"/>
    <w:rsid w:val="08934154"/>
    <w:rsid w:val="0893416D"/>
    <w:rsid w:val="08934285"/>
    <w:rsid w:val="089342AB"/>
    <w:rsid w:val="08934504"/>
    <w:rsid w:val="08934525"/>
    <w:rsid w:val="0893454D"/>
    <w:rsid w:val="08934668"/>
    <w:rsid w:val="08934684"/>
    <w:rsid w:val="08934697"/>
    <w:rsid w:val="0893476F"/>
    <w:rsid w:val="0893477D"/>
    <w:rsid w:val="08934887"/>
    <w:rsid w:val="089348B7"/>
    <w:rsid w:val="08934936"/>
    <w:rsid w:val="0893496F"/>
    <w:rsid w:val="08934A13"/>
    <w:rsid w:val="08934A51"/>
    <w:rsid w:val="08934A6B"/>
    <w:rsid w:val="08934B1F"/>
    <w:rsid w:val="08934B89"/>
    <w:rsid w:val="08934C64"/>
    <w:rsid w:val="08934E25"/>
    <w:rsid w:val="08934EB3"/>
    <w:rsid w:val="08934EBA"/>
    <w:rsid w:val="08934ECE"/>
    <w:rsid w:val="08934EF7"/>
    <w:rsid w:val="08934F5B"/>
    <w:rsid w:val="089350E3"/>
    <w:rsid w:val="089350E4"/>
    <w:rsid w:val="089351FD"/>
    <w:rsid w:val="08935210"/>
    <w:rsid w:val="0893521B"/>
    <w:rsid w:val="08935352"/>
    <w:rsid w:val="089353B0"/>
    <w:rsid w:val="089353D5"/>
    <w:rsid w:val="08935441"/>
    <w:rsid w:val="0893545B"/>
    <w:rsid w:val="08935530"/>
    <w:rsid w:val="08935610"/>
    <w:rsid w:val="0893561F"/>
    <w:rsid w:val="0893563F"/>
    <w:rsid w:val="08935660"/>
    <w:rsid w:val="08935693"/>
    <w:rsid w:val="0893572D"/>
    <w:rsid w:val="08935741"/>
    <w:rsid w:val="0893576F"/>
    <w:rsid w:val="08935785"/>
    <w:rsid w:val="089357B1"/>
    <w:rsid w:val="089358C5"/>
    <w:rsid w:val="0893591B"/>
    <w:rsid w:val="08935A48"/>
    <w:rsid w:val="08935C07"/>
    <w:rsid w:val="08935C3D"/>
    <w:rsid w:val="08935CD0"/>
    <w:rsid w:val="08935D1C"/>
    <w:rsid w:val="08935D74"/>
    <w:rsid w:val="08935E61"/>
    <w:rsid w:val="08935E82"/>
    <w:rsid w:val="08935EF8"/>
    <w:rsid w:val="08935F40"/>
    <w:rsid w:val="08935F7F"/>
    <w:rsid w:val="08935F8D"/>
    <w:rsid w:val="08935FC0"/>
    <w:rsid w:val="08935FCC"/>
    <w:rsid w:val="08936023"/>
    <w:rsid w:val="08936047"/>
    <w:rsid w:val="08936111"/>
    <w:rsid w:val="08936172"/>
    <w:rsid w:val="08936220"/>
    <w:rsid w:val="08936221"/>
    <w:rsid w:val="08936282"/>
    <w:rsid w:val="0893634D"/>
    <w:rsid w:val="089363E9"/>
    <w:rsid w:val="089363FA"/>
    <w:rsid w:val="089364B4"/>
    <w:rsid w:val="08936647"/>
    <w:rsid w:val="08936881"/>
    <w:rsid w:val="089368B5"/>
    <w:rsid w:val="08936929"/>
    <w:rsid w:val="08936964"/>
    <w:rsid w:val="0893698A"/>
    <w:rsid w:val="08936993"/>
    <w:rsid w:val="089369B5"/>
    <w:rsid w:val="089369F0"/>
    <w:rsid w:val="08936A3A"/>
    <w:rsid w:val="08936B12"/>
    <w:rsid w:val="08936B4C"/>
    <w:rsid w:val="08936B90"/>
    <w:rsid w:val="08936C27"/>
    <w:rsid w:val="08936CC2"/>
    <w:rsid w:val="08936D1A"/>
    <w:rsid w:val="08936D38"/>
    <w:rsid w:val="08936D50"/>
    <w:rsid w:val="08936DBA"/>
    <w:rsid w:val="08936DEC"/>
    <w:rsid w:val="08936DF3"/>
    <w:rsid w:val="08936EEB"/>
    <w:rsid w:val="08936FC9"/>
    <w:rsid w:val="08937062"/>
    <w:rsid w:val="0893707F"/>
    <w:rsid w:val="0893718B"/>
    <w:rsid w:val="089371B2"/>
    <w:rsid w:val="089371EC"/>
    <w:rsid w:val="0893725B"/>
    <w:rsid w:val="089372E9"/>
    <w:rsid w:val="0893730C"/>
    <w:rsid w:val="0893730D"/>
    <w:rsid w:val="08937376"/>
    <w:rsid w:val="089373A4"/>
    <w:rsid w:val="089373C5"/>
    <w:rsid w:val="089373D5"/>
    <w:rsid w:val="0893742E"/>
    <w:rsid w:val="089374B6"/>
    <w:rsid w:val="089375CE"/>
    <w:rsid w:val="089375F0"/>
    <w:rsid w:val="08937676"/>
    <w:rsid w:val="08937744"/>
    <w:rsid w:val="0893780D"/>
    <w:rsid w:val="08937820"/>
    <w:rsid w:val="089378A2"/>
    <w:rsid w:val="089378E8"/>
    <w:rsid w:val="0893793B"/>
    <w:rsid w:val="08937A39"/>
    <w:rsid w:val="08937AE2"/>
    <w:rsid w:val="08937BA4"/>
    <w:rsid w:val="08937C2C"/>
    <w:rsid w:val="08937C75"/>
    <w:rsid w:val="08937C91"/>
    <w:rsid w:val="08937CB4"/>
    <w:rsid w:val="08937CF5"/>
    <w:rsid w:val="08937D4F"/>
    <w:rsid w:val="08937DA8"/>
    <w:rsid w:val="08937F16"/>
    <w:rsid w:val="08937F3A"/>
    <w:rsid w:val="08937F40"/>
    <w:rsid w:val="08937FB0"/>
    <w:rsid w:val="08937FE8"/>
    <w:rsid w:val="08940022"/>
    <w:rsid w:val="089401D8"/>
    <w:rsid w:val="08940221"/>
    <w:rsid w:val="089402C0"/>
    <w:rsid w:val="089402E7"/>
    <w:rsid w:val="0894042C"/>
    <w:rsid w:val="089404BB"/>
    <w:rsid w:val="0894051D"/>
    <w:rsid w:val="08940599"/>
    <w:rsid w:val="089405C2"/>
    <w:rsid w:val="089405EC"/>
    <w:rsid w:val="089405ED"/>
    <w:rsid w:val="08940677"/>
    <w:rsid w:val="08940807"/>
    <w:rsid w:val="08940858"/>
    <w:rsid w:val="089409BB"/>
    <w:rsid w:val="08940A42"/>
    <w:rsid w:val="08940BC1"/>
    <w:rsid w:val="08940BCB"/>
    <w:rsid w:val="08940C23"/>
    <w:rsid w:val="08940C98"/>
    <w:rsid w:val="08940CDC"/>
    <w:rsid w:val="08940CFA"/>
    <w:rsid w:val="08940D24"/>
    <w:rsid w:val="08940D4F"/>
    <w:rsid w:val="08940F54"/>
    <w:rsid w:val="08940FF7"/>
    <w:rsid w:val="089410E2"/>
    <w:rsid w:val="08941121"/>
    <w:rsid w:val="089412C8"/>
    <w:rsid w:val="089412F7"/>
    <w:rsid w:val="08941351"/>
    <w:rsid w:val="08941380"/>
    <w:rsid w:val="08941422"/>
    <w:rsid w:val="0894155A"/>
    <w:rsid w:val="08941624"/>
    <w:rsid w:val="0894168F"/>
    <w:rsid w:val="089416D8"/>
    <w:rsid w:val="089416F6"/>
    <w:rsid w:val="0894173C"/>
    <w:rsid w:val="08941827"/>
    <w:rsid w:val="0894188A"/>
    <w:rsid w:val="08941921"/>
    <w:rsid w:val="08941983"/>
    <w:rsid w:val="08941A5E"/>
    <w:rsid w:val="08941AB7"/>
    <w:rsid w:val="08941AD4"/>
    <w:rsid w:val="08941B46"/>
    <w:rsid w:val="08941BF7"/>
    <w:rsid w:val="08941C45"/>
    <w:rsid w:val="08941C6F"/>
    <w:rsid w:val="08941C7B"/>
    <w:rsid w:val="08941D09"/>
    <w:rsid w:val="08941E0B"/>
    <w:rsid w:val="08941E9F"/>
    <w:rsid w:val="08941EAD"/>
    <w:rsid w:val="08941FD8"/>
    <w:rsid w:val="08941FF3"/>
    <w:rsid w:val="0894203A"/>
    <w:rsid w:val="0894206A"/>
    <w:rsid w:val="08942073"/>
    <w:rsid w:val="08942099"/>
    <w:rsid w:val="0894216F"/>
    <w:rsid w:val="0894217A"/>
    <w:rsid w:val="089421D6"/>
    <w:rsid w:val="08942270"/>
    <w:rsid w:val="089422A2"/>
    <w:rsid w:val="08942325"/>
    <w:rsid w:val="0894233D"/>
    <w:rsid w:val="08942368"/>
    <w:rsid w:val="089423C1"/>
    <w:rsid w:val="089424B0"/>
    <w:rsid w:val="089424E0"/>
    <w:rsid w:val="08942548"/>
    <w:rsid w:val="0894263D"/>
    <w:rsid w:val="08942644"/>
    <w:rsid w:val="08942678"/>
    <w:rsid w:val="0894274A"/>
    <w:rsid w:val="08942758"/>
    <w:rsid w:val="08942767"/>
    <w:rsid w:val="089427D4"/>
    <w:rsid w:val="089427EB"/>
    <w:rsid w:val="08942838"/>
    <w:rsid w:val="08942886"/>
    <w:rsid w:val="08942898"/>
    <w:rsid w:val="089429D3"/>
    <w:rsid w:val="089429E4"/>
    <w:rsid w:val="08942A0E"/>
    <w:rsid w:val="08942A36"/>
    <w:rsid w:val="08942A9C"/>
    <w:rsid w:val="08942AA2"/>
    <w:rsid w:val="08942AB5"/>
    <w:rsid w:val="08942B1B"/>
    <w:rsid w:val="08942BD8"/>
    <w:rsid w:val="08942BE1"/>
    <w:rsid w:val="08942BE3"/>
    <w:rsid w:val="08942C4F"/>
    <w:rsid w:val="08942D9B"/>
    <w:rsid w:val="08942E2E"/>
    <w:rsid w:val="08942F8F"/>
    <w:rsid w:val="08942FAB"/>
    <w:rsid w:val="08942FEC"/>
    <w:rsid w:val="0894301D"/>
    <w:rsid w:val="08943035"/>
    <w:rsid w:val="08943055"/>
    <w:rsid w:val="0894312E"/>
    <w:rsid w:val="08943136"/>
    <w:rsid w:val="08943286"/>
    <w:rsid w:val="089432AC"/>
    <w:rsid w:val="089432AE"/>
    <w:rsid w:val="089433C2"/>
    <w:rsid w:val="089433DE"/>
    <w:rsid w:val="08943452"/>
    <w:rsid w:val="08943480"/>
    <w:rsid w:val="0894349F"/>
    <w:rsid w:val="089434A0"/>
    <w:rsid w:val="089434C2"/>
    <w:rsid w:val="08943530"/>
    <w:rsid w:val="0894356F"/>
    <w:rsid w:val="089435FF"/>
    <w:rsid w:val="0894364F"/>
    <w:rsid w:val="08943685"/>
    <w:rsid w:val="08943686"/>
    <w:rsid w:val="089436E7"/>
    <w:rsid w:val="089437B3"/>
    <w:rsid w:val="08943806"/>
    <w:rsid w:val="08943813"/>
    <w:rsid w:val="0894394E"/>
    <w:rsid w:val="08943996"/>
    <w:rsid w:val="08943ABE"/>
    <w:rsid w:val="08943AE1"/>
    <w:rsid w:val="08943B64"/>
    <w:rsid w:val="08943BB3"/>
    <w:rsid w:val="08943BC2"/>
    <w:rsid w:val="08943BEB"/>
    <w:rsid w:val="08943BF0"/>
    <w:rsid w:val="08943C3E"/>
    <w:rsid w:val="08943CAB"/>
    <w:rsid w:val="08943CBC"/>
    <w:rsid w:val="08943D0F"/>
    <w:rsid w:val="08943DBB"/>
    <w:rsid w:val="08943DF7"/>
    <w:rsid w:val="08943E5B"/>
    <w:rsid w:val="08943EAE"/>
    <w:rsid w:val="08943EEE"/>
    <w:rsid w:val="08943F3C"/>
    <w:rsid w:val="08943FD8"/>
    <w:rsid w:val="08944210"/>
    <w:rsid w:val="08944262"/>
    <w:rsid w:val="08944266"/>
    <w:rsid w:val="0894433E"/>
    <w:rsid w:val="0894436C"/>
    <w:rsid w:val="08944399"/>
    <w:rsid w:val="089443BB"/>
    <w:rsid w:val="089443D6"/>
    <w:rsid w:val="089443ED"/>
    <w:rsid w:val="08944455"/>
    <w:rsid w:val="089444B1"/>
    <w:rsid w:val="089444C2"/>
    <w:rsid w:val="08944525"/>
    <w:rsid w:val="08944539"/>
    <w:rsid w:val="08944543"/>
    <w:rsid w:val="089445BD"/>
    <w:rsid w:val="08944638"/>
    <w:rsid w:val="08944660"/>
    <w:rsid w:val="089446E6"/>
    <w:rsid w:val="08944765"/>
    <w:rsid w:val="08944799"/>
    <w:rsid w:val="0894485A"/>
    <w:rsid w:val="089448F9"/>
    <w:rsid w:val="089448FC"/>
    <w:rsid w:val="089448FF"/>
    <w:rsid w:val="08944983"/>
    <w:rsid w:val="089449C9"/>
    <w:rsid w:val="08944B2B"/>
    <w:rsid w:val="08944C92"/>
    <w:rsid w:val="08944CB5"/>
    <w:rsid w:val="08944D89"/>
    <w:rsid w:val="08944DD7"/>
    <w:rsid w:val="08944DFE"/>
    <w:rsid w:val="08944E23"/>
    <w:rsid w:val="08944E67"/>
    <w:rsid w:val="08944E94"/>
    <w:rsid w:val="08944FDC"/>
    <w:rsid w:val="0894505D"/>
    <w:rsid w:val="08945093"/>
    <w:rsid w:val="089450D2"/>
    <w:rsid w:val="089451B0"/>
    <w:rsid w:val="0894522C"/>
    <w:rsid w:val="089452EC"/>
    <w:rsid w:val="08945358"/>
    <w:rsid w:val="08945434"/>
    <w:rsid w:val="089454FA"/>
    <w:rsid w:val="0894556C"/>
    <w:rsid w:val="0894558A"/>
    <w:rsid w:val="08945782"/>
    <w:rsid w:val="089457D5"/>
    <w:rsid w:val="089457DB"/>
    <w:rsid w:val="0894583A"/>
    <w:rsid w:val="0894585D"/>
    <w:rsid w:val="08945919"/>
    <w:rsid w:val="089459C0"/>
    <w:rsid w:val="08945A44"/>
    <w:rsid w:val="08945A75"/>
    <w:rsid w:val="08945AE6"/>
    <w:rsid w:val="08945B63"/>
    <w:rsid w:val="08945BA0"/>
    <w:rsid w:val="08945C66"/>
    <w:rsid w:val="08945D08"/>
    <w:rsid w:val="08945D3B"/>
    <w:rsid w:val="08945DB9"/>
    <w:rsid w:val="08945E92"/>
    <w:rsid w:val="08945E9A"/>
    <w:rsid w:val="08945EA5"/>
    <w:rsid w:val="08945EFA"/>
    <w:rsid w:val="08945F0A"/>
    <w:rsid w:val="08945F4D"/>
    <w:rsid w:val="08945F5B"/>
    <w:rsid w:val="08945F7A"/>
    <w:rsid w:val="08945F9B"/>
    <w:rsid w:val="08946006"/>
    <w:rsid w:val="08946008"/>
    <w:rsid w:val="0894608F"/>
    <w:rsid w:val="089460E1"/>
    <w:rsid w:val="089460F4"/>
    <w:rsid w:val="08946159"/>
    <w:rsid w:val="089461E7"/>
    <w:rsid w:val="08946230"/>
    <w:rsid w:val="0894625B"/>
    <w:rsid w:val="089462E7"/>
    <w:rsid w:val="08946376"/>
    <w:rsid w:val="089463D4"/>
    <w:rsid w:val="08946417"/>
    <w:rsid w:val="0894647D"/>
    <w:rsid w:val="089465B2"/>
    <w:rsid w:val="089465CA"/>
    <w:rsid w:val="08946601"/>
    <w:rsid w:val="0894662D"/>
    <w:rsid w:val="089466EA"/>
    <w:rsid w:val="08946702"/>
    <w:rsid w:val="089467B0"/>
    <w:rsid w:val="089467CD"/>
    <w:rsid w:val="089468A0"/>
    <w:rsid w:val="089468DD"/>
    <w:rsid w:val="0894690E"/>
    <w:rsid w:val="089469FE"/>
    <w:rsid w:val="08946A97"/>
    <w:rsid w:val="08946AB8"/>
    <w:rsid w:val="08946ADF"/>
    <w:rsid w:val="08946BA3"/>
    <w:rsid w:val="08946BD1"/>
    <w:rsid w:val="08946C65"/>
    <w:rsid w:val="08946C88"/>
    <w:rsid w:val="08946D7A"/>
    <w:rsid w:val="08946DB6"/>
    <w:rsid w:val="08946DDE"/>
    <w:rsid w:val="08946E9B"/>
    <w:rsid w:val="08946F79"/>
    <w:rsid w:val="08946FD3"/>
    <w:rsid w:val="08947128"/>
    <w:rsid w:val="089471A7"/>
    <w:rsid w:val="089471BC"/>
    <w:rsid w:val="0894722E"/>
    <w:rsid w:val="08947240"/>
    <w:rsid w:val="0894729B"/>
    <w:rsid w:val="089472F4"/>
    <w:rsid w:val="089473D9"/>
    <w:rsid w:val="08947538"/>
    <w:rsid w:val="089476C5"/>
    <w:rsid w:val="089476D5"/>
    <w:rsid w:val="0894775A"/>
    <w:rsid w:val="08947761"/>
    <w:rsid w:val="0894778D"/>
    <w:rsid w:val="089477BE"/>
    <w:rsid w:val="089477FF"/>
    <w:rsid w:val="08947802"/>
    <w:rsid w:val="08947912"/>
    <w:rsid w:val="089479F1"/>
    <w:rsid w:val="08947A6B"/>
    <w:rsid w:val="08947AEE"/>
    <w:rsid w:val="08947B00"/>
    <w:rsid w:val="08947B2A"/>
    <w:rsid w:val="08947B44"/>
    <w:rsid w:val="08947BB7"/>
    <w:rsid w:val="08947C09"/>
    <w:rsid w:val="08947CA0"/>
    <w:rsid w:val="08947FE1"/>
    <w:rsid w:val="08950032"/>
    <w:rsid w:val="08950068"/>
    <w:rsid w:val="0895008B"/>
    <w:rsid w:val="089500B1"/>
    <w:rsid w:val="0895012B"/>
    <w:rsid w:val="08950259"/>
    <w:rsid w:val="0895026E"/>
    <w:rsid w:val="08950291"/>
    <w:rsid w:val="089502A5"/>
    <w:rsid w:val="0895030E"/>
    <w:rsid w:val="08950331"/>
    <w:rsid w:val="089503EB"/>
    <w:rsid w:val="0895041D"/>
    <w:rsid w:val="089504EC"/>
    <w:rsid w:val="089504FD"/>
    <w:rsid w:val="08950576"/>
    <w:rsid w:val="0895069F"/>
    <w:rsid w:val="089507C2"/>
    <w:rsid w:val="089507CB"/>
    <w:rsid w:val="089507D1"/>
    <w:rsid w:val="08950974"/>
    <w:rsid w:val="08950A28"/>
    <w:rsid w:val="08950A61"/>
    <w:rsid w:val="08950A89"/>
    <w:rsid w:val="08950AA8"/>
    <w:rsid w:val="08950AD1"/>
    <w:rsid w:val="08950AFD"/>
    <w:rsid w:val="08950B50"/>
    <w:rsid w:val="08950C1B"/>
    <w:rsid w:val="08950C7D"/>
    <w:rsid w:val="08950D15"/>
    <w:rsid w:val="08950D61"/>
    <w:rsid w:val="08950D9A"/>
    <w:rsid w:val="08950EDD"/>
    <w:rsid w:val="08950F76"/>
    <w:rsid w:val="08950FDA"/>
    <w:rsid w:val="08951054"/>
    <w:rsid w:val="0895129D"/>
    <w:rsid w:val="089512D2"/>
    <w:rsid w:val="0895130E"/>
    <w:rsid w:val="08951323"/>
    <w:rsid w:val="08951327"/>
    <w:rsid w:val="0895133C"/>
    <w:rsid w:val="08951372"/>
    <w:rsid w:val="08951381"/>
    <w:rsid w:val="089513D5"/>
    <w:rsid w:val="089513E1"/>
    <w:rsid w:val="08951453"/>
    <w:rsid w:val="08951488"/>
    <w:rsid w:val="0895157E"/>
    <w:rsid w:val="08951655"/>
    <w:rsid w:val="089516DE"/>
    <w:rsid w:val="08951756"/>
    <w:rsid w:val="089518FA"/>
    <w:rsid w:val="08951942"/>
    <w:rsid w:val="08951A30"/>
    <w:rsid w:val="08951A62"/>
    <w:rsid w:val="08951B0C"/>
    <w:rsid w:val="08951B81"/>
    <w:rsid w:val="08951B9A"/>
    <w:rsid w:val="08951C10"/>
    <w:rsid w:val="08951C6B"/>
    <w:rsid w:val="08951E1B"/>
    <w:rsid w:val="08951E21"/>
    <w:rsid w:val="08951EC6"/>
    <w:rsid w:val="08952020"/>
    <w:rsid w:val="0895206A"/>
    <w:rsid w:val="089520A4"/>
    <w:rsid w:val="089520B3"/>
    <w:rsid w:val="08952180"/>
    <w:rsid w:val="089521A6"/>
    <w:rsid w:val="089521B0"/>
    <w:rsid w:val="08952239"/>
    <w:rsid w:val="0895223C"/>
    <w:rsid w:val="0895229D"/>
    <w:rsid w:val="089522B4"/>
    <w:rsid w:val="089522FA"/>
    <w:rsid w:val="089523ED"/>
    <w:rsid w:val="0895242E"/>
    <w:rsid w:val="0895243F"/>
    <w:rsid w:val="0895248A"/>
    <w:rsid w:val="089524BE"/>
    <w:rsid w:val="08952507"/>
    <w:rsid w:val="089525C5"/>
    <w:rsid w:val="08952797"/>
    <w:rsid w:val="089527BF"/>
    <w:rsid w:val="089527F7"/>
    <w:rsid w:val="0895285F"/>
    <w:rsid w:val="0895294E"/>
    <w:rsid w:val="08952AD8"/>
    <w:rsid w:val="08952BC3"/>
    <w:rsid w:val="08952BD0"/>
    <w:rsid w:val="08952C96"/>
    <w:rsid w:val="08952D6B"/>
    <w:rsid w:val="08952D96"/>
    <w:rsid w:val="08952DA0"/>
    <w:rsid w:val="08952DB0"/>
    <w:rsid w:val="08952E60"/>
    <w:rsid w:val="08953004"/>
    <w:rsid w:val="089530C4"/>
    <w:rsid w:val="089530F1"/>
    <w:rsid w:val="089530FD"/>
    <w:rsid w:val="0895315A"/>
    <w:rsid w:val="08953166"/>
    <w:rsid w:val="089532E2"/>
    <w:rsid w:val="0895334E"/>
    <w:rsid w:val="089533C1"/>
    <w:rsid w:val="08953453"/>
    <w:rsid w:val="08953490"/>
    <w:rsid w:val="08953609"/>
    <w:rsid w:val="0895363E"/>
    <w:rsid w:val="089537A1"/>
    <w:rsid w:val="089537A6"/>
    <w:rsid w:val="0895383D"/>
    <w:rsid w:val="08953870"/>
    <w:rsid w:val="08953896"/>
    <w:rsid w:val="0895393C"/>
    <w:rsid w:val="0895398D"/>
    <w:rsid w:val="0895398E"/>
    <w:rsid w:val="089539C9"/>
    <w:rsid w:val="08953A10"/>
    <w:rsid w:val="08953B50"/>
    <w:rsid w:val="08953B54"/>
    <w:rsid w:val="08953D98"/>
    <w:rsid w:val="08953DC6"/>
    <w:rsid w:val="08953E66"/>
    <w:rsid w:val="08953ED1"/>
    <w:rsid w:val="08953F81"/>
    <w:rsid w:val="08953FDB"/>
    <w:rsid w:val="08954036"/>
    <w:rsid w:val="089540EF"/>
    <w:rsid w:val="0895424F"/>
    <w:rsid w:val="08954315"/>
    <w:rsid w:val="089544C2"/>
    <w:rsid w:val="08954564"/>
    <w:rsid w:val="08954574"/>
    <w:rsid w:val="089545BF"/>
    <w:rsid w:val="08954696"/>
    <w:rsid w:val="0895469A"/>
    <w:rsid w:val="089546BE"/>
    <w:rsid w:val="0895477B"/>
    <w:rsid w:val="08954812"/>
    <w:rsid w:val="08954821"/>
    <w:rsid w:val="0895484A"/>
    <w:rsid w:val="0895489B"/>
    <w:rsid w:val="089548C3"/>
    <w:rsid w:val="08954915"/>
    <w:rsid w:val="08954A20"/>
    <w:rsid w:val="08954A8B"/>
    <w:rsid w:val="08954BFF"/>
    <w:rsid w:val="08954C17"/>
    <w:rsid w:val="08954C1A"/>
    <w:rsid w:val="08954C34"/>
    <w:rsid w:val="08954C97"/>
    <w:rsid w:val="08954CFD"/>
    <w:rsid w:val="08954D16"/>
    <w:rsid w:val="08954D17"/>
    <w:rsid w:val="08954E30"/>
    <w:rsid w:val="08954E62"/>
    <w:rsid w:val="08954FCC"/>
    <w:rsid w:val="08954FE2"/>
    <w:rsid w:val="08954FEB"/>
    <w:rsid w:val="08955009"/>
    <w:rsid w:val="08955118"/>
    <w:rsid w:val="0895516A"/>
    <w:rsid w:val="089551AF"/>
    <w:rsid w:val="089551E0"/>
    <w:rsid w:val="08955247"/>
    <w:rsid w:val="08955291"/>
    <w:rsid w:val="089552D2"/>
    <w:rsid w:val="089552E9"/>
    <w:rsid w:val="089553C1"/>
    <w:rsid w:val="089553FD"/>
    <w:rsid w:val="08955405"/>
    <w:rsid w:val="08955409"/>
    <w:rsid w:val="0895542E"/>
    <w:rsid w:val="0895543D"/>
    <w:rsid w:val="0895545C"/>
    <w:rsid w:val="08955560"/>
    <w:rsid w:val="089555C2"/>
    <w:rsid w:val="0895561F"/>
    <w:rsid w:val="0895565A"/>
    <w:rsid w:val="0895567D"/>
    <w:rsid w:val="08955713"/>
    <w:rsid w:val="089558C3"/>
    <w:rsid w:val="089558F4"/>
    <w:rsid w:val="08955925"/>
    <w:rsid w:val="0895598F"/>
    <w:rsid w:val="089559F7"/>
    <w:rsid w:val="08955AEE"/>
    <w:rsid w:val="08955C9A"/>
    <w:rsid w:val="08955CE5"/>
    <w:rsid w:val="08955DF6"/>
    <w:rsid w:val="08955E00"/>
    <w:rsid w:val="08955E05"/>
    <w:rsid w:val="08955E68"/>
    <w:rsid w:val="08955E6B"/>
    <w:rsid w:val="08955E76"/>
    <w:rsid w:val="08955E77"/>
    <w:rsid w:val="08955EBA"/>
    <w:rsid w:val="08955EC0"/>
    <w:rsid w:val="08955F1A"/>
    <w:rsid w:val="08955F32"/>
    <w:rsid w:val="08955F59"/>
    <w:rsid w:val="08955FD9"/>
    <w:rsid w:val="08956130"/>
    <w:rsid w:val="0895617C"/>
    <w:rsid w:val="089561CE"/>
    <w:rsid w:val="08956256"/>
    <w:rsid w:val="08956347"/>
    <w:rsid w:val="08956401"/>
    <w:rsid w:val="0895642E"/>
    <w:rsid w:val="08956482"/>
    <w:rsid w:val="089564EB"/>
    <w:rsid w:val="08956658"/>
    <w:rsid w:val="0895670C"/>
    <w:rsid w:val="08956726"/>
    <w:rsid w:val="08956763"/>
    <w:rsid w:val="08956774"/>
    <w:rsid w:val="089567AD"/>
    <w:rsid w:val="0895685B"/>
    <w:rsid w:val="089568A9"/>
    <w:rsid w:val="089568EA"/>
    <w:rsid w:val="08956997"/>
    <w:rsid w:val="08956A81"/>
    <w:rsid w:val="08956B8E"/>
    <w:rsid w:val="08956BD7"/>
    <w:rsid w:val="08956BED"/>
    <w:rsid w:val="08956C27"/>
    <w:rsid w:val="08956C29"/>
    <w:rsid w:val="08956C9F"/>
    <w:rsid w:val="08956CB9"/>
    <w:rsid w:val="08956D34"/>
    <w:rsid w:val="08956D41"/>
    <w:rsid w:val="08956D58"/>
    <w:rsid w:val="08956D8D"/>
    <w:rsid w:val="08956DAA"/>
    <w:rsid w:val="08956DC7"/>
    <w:rsid w:val="08956F7B"/>
    <w:rsid w:val="089570B6"/>
    <w:rsid w:val="089570FA"/>
    <w:rsid w:val="08957199"/>
    <w:rsid w:val="089571D8"/>
    <w:rsid w:val="0895723B"/>
    <w:rsid w:val="08957310"/>
    <w:rsid w:val="08957321"/>
    <w:rsid w:val="08957348"/>
    <w:rsid w:val="08957353"/>
    <w:rsid w:val="089573A2"/>
    <w:rsid w:val="089573AD"/>
    <w:rsid w:val="089573C8"/>
    <w:rsid w:val="089573C9"/>
    <w:rsid w:val="0895743A"/>
    <w:rsid w:val="08957542"/>
    <w:rsid w:val="08957546"/>
    <w:rsid w:val="0895758E"/>
    <w:rsid w:val="089575A1"/>
    <w:rsid w:val="08957692"/>
    <w:rsid w:val="089576C3"/>
    <w:rsid w:val="089576D3"/>
    <w:rsid w:val="08957774"/>
    <w:rsid w:val="0895794A"/>
    <w:rsid w:val="08957991"/>
    <w:rsid w:val="08957996"/>
    <w:rsid w:val="089579E7"/>
    <w:rsid w:val="089579EA"/>
    <w:rsid w:val="08957A85"/>
    <w:rsid w:val="08957AE5"/>
    <w:rsid w:val="08957B94"/>
    <w:rsid w:val="08957B99"/>
    <w:rsid w:val="08957BE3"/>
    <w:rsid w:val="08957C57"/>
    <w:rsid w:val="08957E27"/>
    <w:rsid w:val="0896009E"/>
    <w:rsid w:val="089600BE"/>
    <w:rsid w:val="08960136"/>
    <w:rsid w:val="08960259"/>
    <w:rsid w:val="089602A5"/>
    <w:rsid w:val="089602F0"/>
    <w:rsid w:val="0896034E"/>
    <w:rsid w:val="089603BE"/>
    <w:rsid w:val="0896049C"/>
    <w:rsid w:val="089604E3"/>
    <w:rsid w:val="089605F0"/>
    <w:rsid w:val="0896066C"/>
    <w:rsid w:val="089606B8"/>
    <w:rsid w:val="08960753"/>
    <w:rsid w:val="08960769"/>
    <w:rsid w:val="089607DB"/>
    <w:rsid w:val="08960832"/>
    <w:rsid w:val="08960975"/>
    <w:rsid w:val="0896097F"/>
    <w:rsid w:val="089609B4"/>
    <w:rsid w:val="089609FB"/>
    <w:rsid w:val="08960A6C"/>
    <w:rsid w:val="08960A95"/>
    <w:rsid w:val="08960B0D"/>
    <w:rsid w:val="08960B1A"/>
    <w:rsid w:val="08960BA9"/>
    <w:rsid w:val="08960C51"/>
    <w:rsid w:val="08960C70"/>
    <w:rsid w:val="08960D5B"/>
    <w:rsid w:val="08960DEF"/>
    <w:rsid w:val="08960E27"/>
    <w:rsid w:val="08960E39"/>
    <w:rsid w:val="08960E7D"/>
    <w:rsid w:val="08960E81"/>
    <w:rsid w:val="08960E97"/>
    <w:rsid w:val="08960EDC"/>
    <w:rsid w:val="08960F27"/>
    <w:rsid w:val="08960F56"/>
    <w:rsid w:val="08960F94"/>
    <w:rsid w:val="08960FCB"/>
    <w:rsid w:val="08960FDE"/>
    <w:rsid w:val="08960FF6"/>
    <w:rsid w:val="0896100C"/>
    <w:rsid w:val="0896117C"/>
    <w:rsid w:val="089611A8"/>
    <w:rsid w:val="089611C2"/>
    <w:rsid w:val="089611D6"/>
    <w:rsid w:val="08961215"/>
    <w:rsid w:val="089613E3"/>
    <w:rsid w:val="089614CD"/>
    <w:rsid w:val="0896155F"/>
    <w:rsid w:val="08961570"/>
    <w:rsid w:val="08961576"/>
    <w:rsid w:val="089615D5"/>
    <w:rsid w:val="08961615"/>
    <w:rsid w:val="089616C3"/>
    <w:rsid w:val="089616FE"/>
    <w:rsid w:val="08961751"/>
    <w:rsid w:val="08961756"/>
    <w:rsid w:val="08961793"/>
    <w:rsid w:val="08961814"/>
    <w:rsid w:val="0896184A"/>
    <w:rsid w:val="08961852"/>
    <w:rsid w:val="089618C1"/>
    <w:rsid w:val="08961972"/>
    <w:rsid w:val="089619B6"/>
    <w:rsid w:val="089619F2"/>
    <w:rsid w:val="08961A6D"/>
    <w:rsid w:val="08961C18"/>
    <w:rsid w:val="08961C44"/>
    <w:rsid w:val="08961CF1"/>
    <w:rsid w:val="08961DB5"/>
    <w:rsid w:val="08961EAF"/>
    <w:rsid w:val="08961EF7"/>
    <w:rsid w:val="08962040"/>
    <w:rsid w:val="0896209E"/>
    <w:rsid w:val="089620A2"/>
    <w:rsid w:val="089622FC"/>
    <w:rsid w:val="089623E3"/>
    <w:rsid w:val="089624C4"/>
    <w:rsid w:val="089624DF"/>
    <w:rsid w:val="08962551"/>
    <w:rsid w:val="089625E4"/>
    <w:rsid w:val="089625EA"/>
    <w:rsid w:val="089625F0"/>
    <w:rsid w:val="0896260F"/>
    <w:rsid w:val="08962613"/>
    <w:rsid w:val="089626C4"/>
    <w:rsid w:val="0896270C"/>
    <w:rsid w:val="08962730"/>
    <w:rsid w:val="089627FA"/>
    <w:rsid w:val="08962A2B"/>
    <w:rsid w:val="08962A42"/>
    <w:rsid w:val="08962A62"/>
    <w:rsid w:val="08962A8F"/>
    <w:rsid w:val="08962AD1"/>
    <w:rsid w:val="08962AE4"/>
    <w:rsid w:val="08962BBF"/>
    <w:rsid w:val="08962BEC"/>
    <w:rsid w:val="08962C74"/>
    <w:rsid w:val="08962CD0"/>
    <w:rsid w:val="08962E47"/>
    <w:rsid w:val="08962F73"/>
    <w:rsid w:val="08962FED"/>
    <w:rsid w:val="0896301D"/>
    <w:rsid w:val="08963030"/>
    <w:rsid w:val="0896306D"/>
    <w:rsid w:val="0896306E"/>
    <w:rsid w:val="08963100"/>
    <w:rsid w:val="08963219"/>
    <w:rsid w:val="0896321A"/>
    <w:rsid w:val="08963316"/>
    <w:rsid w:val="0896332B"/>
    <w:rsid w:val="08963347"/>
    <w:rsid w:val="08963367"/>
    <w:rsid w:val="0896350A"/>
    <w:rsid w:val="0896353E"/>
    <w:rsid w:val="0896359A"/>
    <w:rsid w:val="089635A9"/>
    <w:rsid w:val="089635FF"/>
    <w:rsid w:val="089636E6"/>
    <w:rsid w:val="0896373A"/>
    <w:rsid w:val="08963790"/>
    <w:rsid w:val="089637C7"/>
    <w:rsid w:val="08963973"/>
    <w:rsid w:val="089639AD"/>
    <w:rsid w:val="089639FA"/>
    <w:rsid w:val="08963A20"/>
    <w:rsid w:val="08963A8F"/>
    <w:rsid w:val="08963AAA"/>
    <w:rsid w:val="08963B1C"/>
    <w:rsid w:val="08963CB1"/>
    <w:rsid w:val="08963D2B"/>
    <w:rsid w:val="08963D97"/>
    <w:rsid w:val="08963ED4"/>
    <w:rsid w:val="08963F8F"/>
    <w:rsid w:val="089640EF"/>
    <w:rsid w:val="0896410B"/>
    <w:rsid w:val="08964124"/>
    <w:rsid w:val="08964177"/>
    <w:rsid w:val="08964183"/>
    <w:rsid w:val="08964202"/>
    <w:rsid w:val="08964254"/>
    <w:rsid w:val="08964324"/>
    <w:rsid w:val="0896432F"/>
    <w:rsid w:val="0896436D"/>
    <w:rsid w:val="089643B1"/>
    <w:rsid w:val="089643B2"/>
    <w:rsid w:val="089646D6"/>
    <w:rsid w:val="08964804"/>
    <w:rsid w:val="08964836"/>
    <w:rsid w:val="0896489E"/>
    <w:rsid w:val="089649BF"/>
    <w:rsid w:val="08964A18"/>
    <w:rsid w:val="08964A5B"/>
    <w:rsid w:val="08964AD3"/>
    <w:rsid w:val="08964AE0"/>
    <w:rsid w:val="08964AFA"/>
    <w:rsid w:val="08964B25"/>
    <w:rsid w:val="08964B3F"/>
    <w:rsid w:val="08964B46"/>
    <w:rsid w:val="08964B4E"/>
    <w:rsid w:val="08964B72"/>
    <w:rsid w:val="08964C59"/>
    <w:rsid w:val="08964C5A"/>
    <w:rsid w:val="08964C95"/>
    <w:rsid w:val="08964CAC"/>
    <w:rsid w:val="08964CBC"/>
    <w:rsid w:val="08964CD3"/>
    <w:rsid w:val="08964CF6"/>
    <w:rsid w:val="08964DE8"/>
    <w:rsid w:val="08964E12"/>
    <w:rsid w:val="08964EC4"/>
    <w:rsid w:val="08964F38"/>
    <w:rsid w:val="08964FA3"/>
    <w:rsid w:val="08964FB5"/>
    <w:rsid w:val="08964FFB"/>
    <w:rsid w:val="0896501D"/>
    <w:rsid w:val="0896512B"/>
    <w:rsid w:val="089651BF"/>
    <w:rsid w:val="089651C9"/>
    <w:rsid w:val="089651F8"/>
    <w:rsid w:val="08965406"/>
    <w:rsid w:val="08965416"/>
    <w:rsid w:val="0896541E"/>
    <w:rsid w:val="0896541F"/>
    <w:rsid w:val="08965436"/>
    <w:rsid w:val="08965487"/>
    <w:rsid w:val="089654B6"/>
    <w:rsid w:val="08965677"/>
    <w:rsid w:val="089656ED"/>
    <w:rsid w:val="0896579E"/>
    <w:rsid w:val="089659F1"/>
    <w:rsid w:val="089659F5"/>
    <w:rsid w:val="08965A84"/>
    <w:rsid w:val="08965B05"/>
    <w:rsid w:val="08965B14"/>
    <w:rsid w:val="08965B44"/>
    <w:rsid w:val="08965D06"/>
    <w:rsid w:val="08965D1B"/>
    <w:rsid w:val="08965D3B"/>
    <w:rsid w:val="08965D5E"/>
    <w:rsid w:val="08965E95"/>
    <w:rsid w:val="08965FA2"/>
    <w:rsid w:val="08965FDE"/>
    <w:rsid w:val="0896601B"/>
    <w:rsid w:val="089660BB"/>
    <w:rsid w:val="0896610B"/>
    <w:rsid w:val="089661AD"/>
    <w:rsid w:val="089662D9"/>
    <w:rsid w:val="08966374"/>
    <w:rsid w:val="089663B3"/>
    <w:rsid w:val="08966450"/>
    <w:rsid w:val="0896649D"/>
    <w:rsid w:val="089664C6"/>
    <w:rsid w:val="08966641"/>
    <w:rsid w:val="089666B1"/>
    <w:rsid w:val="089668D9"/>
    <w:rsid w:val="08966992"/>
    <w:rsid w:val="089669B3"/>
    <w:rsid w:val="089669B7"/>
    <w:rsid w:val="08966A0F"/>
    <w:rsid w:val="08966A19"/>
    <w:rsid w:val="08966AC1"/>
    <w:rsid w:val="08966ACF"/>
    <w:rsid w:val="08966BC7"/>
    <w:rsid w:val="08966C57"/>
    <w:rsid w:val="08966D17"/>
    <w:rsid w:val="08966DAA"/>
    <w:rsid w:val="08966DD1"/>
    <w:rsid w:val="08966E3A"/>
    <w:rsid w:val="08966E83"/>
    <w:rsid w:val="08966F03"/>
    <w:rsid w:val="08966F5D"/>
    <w:rsid w:val="08967007"/>
    <w:rsid w:val="08967051"/>
    <w:rsid w:val="08967135"/>
    <w:rsid w:val="08967146"/>
    <w:rsid w:val="089671DA"/>
    <w:rsid w:val="089671DD"/>
    <w:rsid w:val="089671DE"/>
    <w:rsid w:val="0896722E"/>
    <w:rsid w:val="08967251"/>
    <w:rsid w:val="08967281"/>
    <w:rsid w:val="0896734A"/>
    <w:rsid w:val="08967351"/>
    <w:rsid w:val="08967412"/>
    <w:rsid w:val="08967465"/>
    <w:rsid w:val="0896747A"/>
    <w:rsid w:val="089674DB"/>
    <w:rsid w:val="08967503"/>
    <w:rsid w:val="08967538"/>
    <w:rsid w:val="08967546"/>
    <w:rsid w:val="08967557"/>
    <w:rsid w:val="0896758A"/>
    <w:rsid w:val="08967618"/>
    <w:rsid w:val="08967659"/>
    <w:rsid w:val="08967696"/>
    <w:rsid w:val="08967729"/>
    <w:rsid w:val="08967733"/>
    <w:rsid w:val="08967903"/>
    <w:rsid w:val="08967979"/>
    <w:rsid w:val="0896798D"/>
    <w:rsid w:val="08967997"/>
    <w:rsid w:val="08967A41"/>
    <w:rsid w:val="08967A68"/>
    <w:rsid w:val="08967A85"/>
    <w:rsid w:val="08967AC0"/>
    <w:rsid w:val="08967B37"/>
    <w:rsid w:val="08967BA6"/>
    <w:rsid w:val="08967CF4"/>
    <w:rsid w:val="08967D4A"/>
    <w:rsid w:val="08967F5B"/>
    <w:rsid w:val="08970108"/>
    <w:rsid w:val="08970147"/>
    <w:rsid w:val="08970157"/>
    <w:rsid w:val="08970159"/>
    <w:rsid w:val="089701A6"/>
    <w:rsid w:val="089701F4"/>
    <w:rsid w:val="08970250"/>
    <w:rsid w:val="08970320"/>
    <w:rsid w:val="08970371"/>
    <w:rsid w:val="08970372"/>
    <w:rsid w:val="089703AF"/>
    <w:rsid w:val="089703D7"/>
    <w:rsid w:val="089703EF"/>
    <w:rsid w:val="089704D3"/>
    <w:rsid w:val="08970575"/>
    <w:rsid w:val="089705AB"/>
    <w:rsid w:val="0897069F"/>
    <w:rsid w:val="08970711"/>
    <w:rsid w:val="0897082A"/>
    <w:rsid w:val="089708FD"/>
    <w:rsid w:val="08970A8B"/>
    <w:rsid w:val="08970B56"/>
    <w:rsid w:val="08970BDA"/>
    <w:rsid w:val="08970C2F"/>
    <w:rsid w:val="08970C3A"/>
    <w:rsid w:val="08970C4B"/>
    <w:rsid w:val="08970D1C"/>
    <w:rsid w:val="08970D27"/>
    <w:rsid w:val="08970D69"/>
    <w:rsid w:val="08970E38"/>
    <w:rsid w:val="08970E6A"/>
    <w:rsid w:val="08970EC3"/>
    <w:rsid w:val="08970F97"/>
    <w:rsid w:val="08970FD5"/>
    <w:rsid w:val="08971004"/>
    <w:rsid w:val="0897104F"/>
    <w:rsid w:val="08971134"/>
    <w:rsid w:val="089711A5"/>
    <w:rsid w:val="08971297"/>
    <w:rsid w:val="0897131E"/>
    <w:rsid w:val="08971327"/>
    <w:rsid w:val="08971367"/>
    <w:rsid w:val="089713B3"/>
    <w:rsid w:val="0897155D"/>
    <w:rsid w:val="089715DD"/>
    <w:rsid w:val="089715FF"/>
    <w:rsid w:val="08971608"/>
    <w:rsid w:val="0897164E"/>
    <w:rsid w:val="08971661"/>
    <w:rsid w:val="089716DB"/>
    <w:rsid w:val="089717DD"/>
    <w:rsid w:val="0897180B"/>
    <w:rsid w:val="08971827"/>
    <w:rsid w:val="089718D3"/>
    <w:rsid w:val="08971901"/>
    <w:rsid w:val="08971931"/>
    <w:rsid w:val="08971AB7"/>
    <w:rsid w:val="08971ACA"/>
    <w:rsid w:val="08971B0A"/>
    <w:rsid w:val="08971B16"/>
    <w:rsid w:val="08971B7F"/>
    <w:rsid w:val="08971BF9"/>
    <w:rsid w:val="08971C75"/>
    <w:rsid w:val="08971C84"/>
    <w:rsid w:val="08971D86"/>
    <w:rsid w:val="08971E05"/>
    <w:rsid w:val="08971E9C"/>
    <w:rsid w:val="08971EA0"/>
    <w:rsid w:val="08971FC3"/>
    <w:rsid w:val="089720BA"/>
    <w:rsid w:val="08972106"/>
    <w:rsid w:val="08972119"/>
    <w:rsid w:val="089721B9"/>
    <w:rsid w:val="089722B3"/>
    <w:rsid w:val="089722FE"/>
    <w:rsid w:val="0897238D"/>
    <w:rsid w:val="089723EB"/>
    <w:rsid w:val="08972451"/>
    <w:rsid w:val="0897253A"/>
    <w:rsid w:val="08972590"/>
    <w:rsid w:val="089725A1"/>
    <w:rsid w:val="089725EA"/>
    <w:rsid w:val="089725EE"/>
    <w:rsid w:val="08972670"/>
    <w:rsid w:val="0897269B"/>
    <w:rsid w:val="08972701"/>
    <w:rsid w:val="089727C4"/>
    <w:rsid w:val="08972806"/>
    <w:rsid w:val="08972930"/>
    <w:rsid w:val="089729FD"/>
    <w:rsid w:val="08972A0E"/>
    <w:rsid w:val="08972A65"/>
    <w:rsid w:val="08972B2E"/>
    <w:rsid w:val="08972B82"/>
    <w:rsid w:val="08972BC0"/>
    <w:rsid w:val="08972C03"/>
    <w:rsid w:val="08972C96"/>
    <w:rsid w:val="08972D59"/>
    <w:rsid w:val="08972DA8"/>
    <w:rsid w:val="08972E02"/>
    <w:rsid w:val="08972E68"/>
    <w:rsid w:val="08972E7A"/>
    <w:rsid w:val="08972F12"/>
    <w:rsid w:val="08972F57"/>
    <w:rsid w:val="08972F81"/>
    <w:rsid w:val="08972FB4"/>
    <w:rsid w:val="0897306F"/>
    <w:rsid w:val="089730FE"/>
    <w:rsid w:val="0897313B"/>
    <w:rsid w:val="08973150"/>
    <w:rsid w:val="08973184"/>
    <w:rsid w:val="089731BC"/>
    <w:rsid w:val="08973362"/>
    <w:rsid w:val="089733AF"/>
    <w:rsid w:val="089733E9"/>
    <w:rsid w:val="089734AC"/>
    <w:rsid w:val="089734C9"/>
    <w:rsid w:val="08973506"/>
    <w:rsid w:val="0897356B"/>
    <w:rsid w:val="089735A2"/>
    <w:rsid w:val="0897363E"/>
    <w:rsid w:val="08973648"/>
    <w:rsid w:val="089736F4"/>
    <w:rsid w:val="0897371B"/>
    <w:rsid w:val="08973721"/>
    <w:rsid w:val="0897372E"/>
    <w:rsid w:val="089738A3"/>
    <w:rsid w:val="0897395B"/>
    <w:rsid w:val="08973A4B"/>
    <w:rsid w:val="08973A89"/>
    <w:rsid w:val="08973AAF"/>
    <w:rsid w:val="08973AB1"/>
    <w:rsid w:val="08973AD2"/>
    <w:rsid w:val="08973B4A"/>
    <w:rsid w:val="08973BDC"/>
    <w:rsid w:val="08973D3F"/>
    <w:rsid w:val="08973DEE"/>
    <w:rsid w:val="08973F55"/>
    <w:rsid w:val="0897407C"/>
    <w:rsid w:val="0897408C"/>
    <w:rsid w:val="089740F6"/>
    <w:rsid w:val="08974117"/>
    <w:rsid w:val="08974179"/>
    <w:rsid w:val="08974258"/>
    <w:rsid w:val="089742FF"/>
    <w:rsid w:val="08974335"/>
    <w:rsid w:val="08974436"/>
    <w:rsid w:val="08974468"/>
    <w:rsid w:val="0897450E"/>
    <w:rsid w:val="08974532"/>
    <w:rsid w:val="08974580"/>
    <w:rsid w:val="089745AC"/>
    <w:rsid w:val="089745C3"/>
    <w:rsid w:val="08974638"/>
    <w:rsid w:val="089747B5"/>
    <w:rsid w:val="089747D6"/>
    <w:rsid w:val="0897489F"/>
    <w:rsid w:val="089748D9"/>
    <w:rsid w:val="089749EE"/>
    <w:rsid w:val="08974A5A"/>
    <w:rsid w:val="08974A79"/>
    <w:rsid w:val="08974A95"/>
    <w:rsid w:val="08974B10"/>
    <w:rsid w:val="08974B1D"/>
    <w:rsid w:val="08974B82"/>
    <w:rsid w:val="08974BFB"/>
    <w:rsid w:val="08974C00"/>
    <w:rsid w:val="08974C43"/>
    <w:rsid w:val="08974C5E"/>
    <w:rsid w:val="08974C83"/>
    <w:rsid w:val="08974CAA"/>
    <w:rsid w:val="08974D0C"/>
    <w:rsid w:val="08974EC3"/>
    <w:rsid w:val="08974F1D"/>
    <w:rsid w:val="08974F2B"/>
    <w:rsid w:val="08974FAF"/>
    <w:rsid w:val="08975003"/>
    <w:rsid w:val="08975097"/>
    <w:rsid w:val="089750E9"/>
    <w:rsid w:val="08975125"/>
    <w:rsid w:val="0897514F"/>
    <w:rsid w:val="08975187"/>
    <w:rsid w:val="08975261"/>
    <w:rsid w:val="089752D6"/>
    <w:rsid w:val="089753A0"/>
    <w:rsid w:val="089753CF"/>
    <w:rsid w:val="0897541B"/>
    <w:rsid w:val="0897553A"/>
    <w:rsid w:val="08975598"/>
    <w:rsid w:val="089755AA"/>
    <w:rsid w:val="089755B9"/>
    <w:rsid w:val="0897564C"/>
    <w:rsid w:val="08975811"/>
    <w:rsid w:val="08975836"/>
    <w:rsid w:val="0897587D"/>
    <w:rsid w:val="08975915"/>
    <w:rsid w:val="0897598C"/>
    <w:rsid w:val="089759B7"/>
    <w:rsid w:val="089759F9"/>
    <w:rsid w:val="08975A53"/>
    <w:rsid w:val="08975A66"/>
    <w:rsid w:val="08975BD2"/>
    <w:rsid w:val="08975BE4"/>
    <w:rsid w:val="08975CE1"/>
    <w:rsid w:val="08975D58"/>
    <w:rsid w:val="08975D5B"/>
    <w:rsid w:val="08975D6D"/>
    <w:rsid w:val="08975DB4"/>
    <w:rsid w:val="08975DBC"/>
    <w:rsid w:val="08975DD9"/>
    <w:rsid w:val="08975DE4"/>
    <w:rsid w:val="08975EF0"/>
    <w:rsid w:val="08975F03"/>
    <w:rsid w:val="08975F38"/>
    <w:rsid w:val="08975FE9"/>
    <w:rsid w:val="08976076"/>
    <w:rsid w:val="0897607F"/>
    <w:rsid w:val="08976094"/>
    <w:rsid w:val="089760AC"/>
    <w:rsid w:val="08976187"/>
    <w:rsid w:val="089761B0"/>
    <w:rsid w:val="089761D8"/>
    <w:rsid w:val="089761D9"/>
    <w:rsid w:val="0897633C"/>
    <w:rsid w:val="0897641C"/>
    <w:rsid w:val="089764FB"/>
    <w:rsid w:val="089765B3"/>
    <w:rsid w:val="089765DA"/>
    <w:rsid w:val="08976604"/>
    <w:rsid w:val="0897664A"/>
    <w:rsid w:val="089766AB"/>
    <w:rsid w:val="089766D6"/>
    <w:rsid w:val="08976710"/>
    <w:rsid w:val="0897673A"/>
    <w:rsid w:val="08976779"/>
    <w:rsid w:val="0897680E"/>
    <w:rsid w:val="08976818"/>
    <w:rsid w:val="08976877"/>
    <w:rsid w:val="089768F1"/>
    <w:rsid w:val="089769D2"/>
    <w:rsid w:val="08976A47"/>
    <w:rsid w:val="08976B93"/>
    <w:rsid w:val="08976C34"/>
    <w:rsid w:val="08976C86"/>
    <w:rsid w:val="08976CB5"/>
    <w:rsid w:val="08976EBC"/>
    <w:rsid w:val="0897707A"/>
    <w:rsid w:val="089770D1"/>
    <w:rsid w:val="089771F7"/>
    <w:rsid w:val="08977201"/>
    <w:rsid w:val="08977268"/>
    <w:rsid w:val="0897727A"/>
    <w:rsid w:val="0897728A"/>
    <w:rsid w:val="08977300"/>
    <w:rsid w:val="089773A7"/>
    <w:rsid w:val="089773C4"/>
    <w:rsid w:val="0897763E"/>
    <w:rsid w:val="089776D8"/>
    <w:rsid w:val="0897780B"/>
    <w:rsid w:val="08977818"/>
    <w:rsid w:val="08977873"/>
    <w:rsid w:val="08977898"/>
    <w:rsid w:val="08977AB7"/>
    <w:rsid w:val="08977B56"/>
    <w:rsid w:val="08977B93"/>
    <w:rsid w:val="08977D06"/>
    <w:rsid w:val="08977E64"/>
    <w:rsid w:val="08977E66"/>
    <w:rsid w:val="08977ED2"/>
    <w:rsid w:val="08977F93"/>
    <w:rsid w:val="08977FBC"/>
    <w:rsid w:val="08977FCC"/>
    <w:rsid w:val="08980098"/>
    <w:rsid w:val="089800E6"/>
    <w:rsid w:val="08980141"/>
    <w:rsid w:val="0898016E"/>
    <w:rsid w:val="0898025D"/>
    <w:rsid w:val="089803E4"/>
    <w:rsid w:val="0898057E"/>
    <w:rsid w:val="0898062A"/>
    <w:rsid w:val="08980654"/>
    <w:rsid w:val="0898072C"/>
    <w:rsid w:val="0898073B"/>
    <w:rsid w:val="08980871"/>
    <w:rsid w:val="08980903"/>
    <w:rsid w:val="08980915"/>
    <w:rsid w:val="08980968"/>
    <w:rsid w:val="0898096F"/>
    <w:rsid w:val="089809A3"/>
    <w:rsid w:val="089809B9"/>
    <w:rsid w:val="089809F5"/>
    <w:rsid w:val="089809FF"/>
    <w:rsid w:val="08980A40"/>
    <w:rsid w:val="08980ACF"/>
    <w:rsid w:val="08980B53"/>
    <w:rsid w:val="08980BB4"/>
    <w:rsid w:val="08980BE1"/>
    <w:rsid w:val="08980C45"/>
    <w:rsid w:val="08980CEE"/>
    <w:rsid w:val="08980D27"/>
    <w:rsid w:val="08980DEC"/>
    <w:rsid w:val="08980DFA"/>
    <w:rsid w:val="08980E8D"/>
    <w:rsid w:val="08980F82"/>
    <w:rsid w:val="0898103A"/>
    <w:rsid w:val="089810B3"/>
    <w:rsid w:val="0898112B"/>
    <w:rsid w:val="089811AE"/>
    <w:rsid w:val="089811FF"/>
    <w:rsid w:val="08981273"/>
    <w:rsid w:val="089812B0"/>
    <w:rsid w:val="08981348"/>
    <w:rsid w:val="0898134A"/>
    <w:rsid w:val="0898136D"/>
    <w:rsid w:val="089813ED"/>
    <w:rsid w:val="08981453"/>
    <w:rsid w:val="089815F8"/>
    <w:rsid w:val="0898168B"/>
    <w:rsid w:val="08981728"/>
    <w:rsid w:val="08981899"/>
    <w:rsid w:val="089818BD"/>
    <w:rsid w:val="089819F3"/>
    <w:rsid w:val="08981CFC"/>
    <w:rsid w:val="08981D62"/>
    <w:rsid w:val="08981E0A"/>
    <w:rsid w:val="08981ED3"/>
    <w:rsid w:val="08981F1B"/>
    <w:rsid w:val="08981FEF"/>
    <w:rsid w:val="08982031"/>
    <w:rsid w:val="08982086"/>
    <w:rsid w:val="089820CF"/>
    <w:rsid w:val="08982140"/>
    <w:rsid w:val="0898216E"/>
    <w:rsid w:val="089821CF"/>
    <w:rsid w:val="089822A6"/>
    <w:rsid w:val="089822B1"/>
    <w:rsid w:val="0898236D"/>
    <w:rsid w:val="089824AF"/>
    <w:rsid w:val="089825A6"/>
    <w:rsid w:val="089825B0"/>
    <w:rsid w:val="089825E2"/>
    <w:rsid w:val="08982635"/>
    <w:rsid w:val="08982737"/>
    <w:rsid w:val="08982753"/>
    <w:rsid w:val="08982845"/>
    <w:rsid w:val="08982855"/>
    <w:rsid w:val="08982861"/>
    <w:rsid w:val="08982870"/>
    <w:rsid w:val="089828D6"/>
    <w:rsid w:val="089828F4"/>
    <w:rsid w:val="08982953"/>
    <w:rsid w:val="08982989"/>
    <w:rsid w:val="089829B3"/>
    <w:rsid w:val="089829EF"/>
    <w:rsid w:val="08982A07"/>
    <w:rsid w:val="08982A0E"/>
    <w:rsid w:val="08982A6E"/>
    <w:rsid w:val="08982B6A"/>
    <w:rsid w:val="08982BD1"/>
    <w:rsid w:val="08982C0C"/>
    <w:rsid w:val="08982C32"/>
    <w:rsid w:val="08982CC1"/>
    <w:rsid w:val="08982CC2"/>
    <w:rsid w:val="08982E75"/>
    <w:rsid w:val="08982E9E"/>
    <w:rsid w:val="08982EFD"/>
    <w:rsid w:val="08982F00"/>
    <w:rsid w:val="08982FC5"/>
    <w:rsid w:val="089830E3"/>
    <w:rsid w:val="089830F0"/>
    <w:rsid w:val="0898314D"/>
    <w:rsid w:val="08983201"/>
    <w:rsid w:val="089832CA"/>
    <w:rsid w:val="089832E8"/>
    <w:rsid w:val="089833CC"/>
    <w:rsid w:val="08983422"/>
    <w:rsid w:val="0898345C"/>
    <w:rsid w:val="08983569"/>
    <w:rsid w:val="089835B4"/>
    <w:rsid w:val="0898364A"/>
    <w:rsid w:val="0898369A"/>
    <w:rsid w:val="08983728"/>
    <w:rsid w:val="08983774"/>
    <w:rsid w:val="08983784"/>
    <w:rsid w:val="089837C7"/>
    <w:rsid w:val="0898383F"/>
    <w:rsid w:val="0898385C"/>
    <w:rsid w:val="0898387F"/>
    <w:rsid w:val="08983887"/>
    <w:rsid w:val="08983908"/>
    <w:rsid w:val="0898393A"/>
    <w:rsid w:val="0898393C"/>
    <w:rsid w:val="089839B4"/>
    <w:rsid w:val="08983A72"/>
    <w:rsid w:val="08983AFA"/>
    <w:rsid w:val="08983B60"/>
    <w:rsid w:val="08983B77"/>
    <w:rsid w:val="08983B79"/>
    <w:rsid w:val="08983C7A"/>
    <w:rsid w:val="08983C80"/>
    <w:rsid w:val="08983CB0"/>
    <w:rsid w:val="08983D9D"/>
    <w:rsid w:val="08983EC8"/>
    <w:rsid w:val="08983F05"/>
    <w:rsid w:val="089840DA"/>
    <w:rsid w:val="08984131"/>
    <w:rsid w:val="089842DE"/>
    <w:rsid w:val="08984480"/>
    <w:rsid w:val="089844D3"/>
    <w:rsid w:val="08984507"/>
    <w:rsid w:val="0898453A"/>
    <w:rsid w:val="0898466A"/>
    <w:rsid w:val="089846C9"/>
    <w:rsid w:val="0898478F"/>
    <w:rsid w:val="089847DB"/>
    <w:rsid w:val="089847F6"/>
    <w:rsid w:val="089848E2"/>
    <w:rsid w:val="089848E3"/>
    <w:rsid w:val="08984971"/>
    <w:rsid w:val="0898497C"/>
    <w:rsid w:val="089849DE"/>
    <w:rsid w:val="08984A2E"/>
    <w:rsid w:val="08984AFF"/>
    <w:rsid w:val="08984B34"/>
    <w:rsid w:val="08984B4F"/>
    <w:rsid w:val="08984BB4"/>
    <w:rsid w:val="08984C13"/>
    <w:rsid w:val="08984C41"/>
    <w:rsid w:val="08984C81"/>
    <w:rsid w:val="08984D5F"/>
    <w:rsid w:val="08984DA7"/>
    <w:rsid w:val="08984DC1"/>
    <w:rsid w:val="08984DFF"/>
    <w:rsid w:val="08984E4C"/>
    <w:rsid w:val="08984EB0"/>
    <w:rsid w:val="08984F73"/>
    <w:rsid w:val="08984F76"/>
    <w:rsid w:val="08985054"/>
    <w:rsid w:val="089850A9"/>
    <w:rsid w:val="0898511B"/>
    <w:rsid w:val="08985252"/>
    <w:rsid w:val="0898526F"/>
    <w:rsid w:val="089852A6"/>
    <w:rsid w:val="089853EE"/>
    <w:rsid w:val="089854B4"/>
    <w:rsid w:val="08985520"/>
    <w:rsid w:val="08985578"/>
    <w:rsid w:val="0898558B"/>
    <w:rsid w:val="089856A1"/>
    <w:rsid w:val="089856E5"/>
    <w:rsid w:val="08985727"/>
    <w:rsid w:val="08985771"/>
    <w:rsid w:val="0898591E"/>
    <w:rsid w:val="089859EF"/>
    <w:rsid w:val="089859F6"/>
    <w:rsid w:val="08985A99"/>
    <w:rsid w:val="08985B04"/>
    <w:rsid w:val="08985C84"/>
    <w:rsid w:val="08985CBD"/>
    <w:rsid w:val="08985D79"/>
    <w:rsid w:val="08985D86"/>
    <w:rsid w:val="08985F7F"/>
    <w:rsid w:val="08985FCB"/>
    <w:rsid w:val="08986058"/>
    <w:rsid w:val="089860B1"/>
    <w:rsid w:val="089860D7"/>
    <w:rsid w:val="089860E9"/>
    <w:rsid w:val="0898612E"/>
    <w:rsid w:val="0898613D"/>
    <w:rsid w:val="08986155"/>
    <w:rsid w:val="08986190"/>
    <w:rsid w:val="089861C3"/>
    <w:rsid w:val="08986267"/>
    <w:rsid w:val="0898626B"/>
    <w:rsid w:val="0898628B"/>
    <w:rsid w:val="089862F2"/>
    <w:rsid w:val="089863BF"/>
    <w:rsid w:val="089863C4"/>
    <w:rsid w:val="089863E3"/>
    <w:rsid w:val="089863F2"/>
    <w:rsid w:val="08986406"/>
    <w:rsid w:val="089864BF"/>
    <w:rsid w:val="089864D0"/>
    <w:rsid w:val="089864FF"/>
    <w:rsid w:val="089865F2"/>
    <w:rsid w:val="0898670E"/>
    <w:rsid w:val="089867A1"/>
    <w:rsid w:val="089867D0"/>
    <w:rsid w:val="0898684E"/>
    <w:rsid w:val="0898688A"/>
    <w:rsid w:val="089868A3"/>
    <w:rsid w:val="08986984"/>
    <w:rsid w:val="08986985"/>
    <w:rsid w:val="089869B6"/>
    <w:rsid w:val="08986ADF"/>
    <w:rsid w:val="08986AE4"/>
    <w:rsid w:val="08986BEF"/>
    <w:rsid w:val="08986C0E"/>
    <w:rsid w:val="08986C6E"/>
    <w:rsid w:val="08986CB3"/>
    <w:rsid w:val="08986CC4"/>
    <w:rsid w:val="08986DBB"/>
    <w:rsid w:val="08986E08"/>
    <w:rsid w:val="08986E4A"/>
    <w:rsid w:val="08986FC6"/>
    <w:rsid w:val="0898703A"/>
    <w:rsid w:val="0898713D"/>
    <w:rsid w:val="0898718F"/>
    <w:rsid w:val="089872A7"/>
    <w:rsid w:val="089872BC"/>
    <w:rsid w:val="089872C4"/>
    <w:rsid w:val="089872F6"/>
    <w:rsid w:val="089873E4"/>
    <w:rsid w:val="08987431"/>
    <w:rsid w:val="08987542"/>
    <w:rsid w:val="08987599"/>
    <w:rsid w:val="089875FD"/>
    <w:rsid w:val="089876BB"/>
    <w:rsid w:val="089876F6"/>
    <w:rsid w:val="08987705"/>
    <w:rsid w:val="08987716"/>
    <w:rsid w:val="08987732"/>
    <w:rsid w:val="08987747"/>
    <w:rsid w:val="08987765"/>
    <w:rsid w:val="0898779B"/>
    <w:rsid w:val="089877A7"/>
    <w:rsid w:val="089877C0"/>
    <w:rsid w:val="08987829"/>
    <w:rsid w:val="08987833"/>
    <w:rsid w:val="089878D5"/>
    <w:rsid w:val="0898797D"/>
    <w:rsid w:val="089879F2"/>
    <w:rsid w:val="08987A28"/>
    <w:rsid w:val="08987A99"/>
    <w:rsid w:val="08987AEB"/>
    <w:rsid w:val="08987B27"/>
    <w:rsid w:val="08987BF9"/>
    <w:rsid w:val="08987C35"/>
    <w:rsid w:val="08987C4E"/>
    <w:rsid w:val="08987D5E"/>
    <w:rsid w:val="08987E40"/>
    <w:rsid w:val="08987EDB"/>
    <w:rsid w:val="08987F29"/>
    <w:rsid w:val="08987F5A"/>
    <w:rsid w:val="08987FA4"/>
    <w:rsid w:val="08990004"/>
    <w:rsid w:val="089901DD"/>
    <w:rsid w:val="08990213"/>
    <w:rsid w:val="08990217"/>
    <w:rsid w:val="08990242"/>
    <w:rsid w:val="0899025D"/>
    <w:rsid w:val="0899032B"/>
    <w:rsid w:val="08990393"/>
    <w:rsid w:val="0899052D"/>
    <w:rsid w:val="089905BE"/>
    <w:rsid w:val="089905E2"/>
    <w:rsid w:val="08990619"/>
    <w:rsid w:val="0899063A"/>
    <w:rsid w:val="08990660"/>
    <w:rsid w:val="0899069F"/>
    <w:rsid w:val="089906DD"/>
    <w:rsid w:val="08990883"/>
    <w:rsid w:val="0899091D"/>
    <w:rsid w:val="089909C2"/>
    <w:rsid w:val="08990A93"/>
    <w:rsid w:val="08990AB8"/>
    <w:rsid w:val="08990B3A"/>
    <w:rsid w:val="08990C79"/>
    <w:rsid w:val="08990CF2"/>
    <w:rsid w:val="08990DAB"/>
    <w:rsid w:val="08990F13"/>
    <w:rsid w:val="08990F35"/>
    <w:rsid w:val="08990F44"/>
    <w:rsid w:val="08990F9C"/>
    <w:rsid w:val="08990FF6"/>
    <w:rsid w:val="0899106B"/>
    <w:rsid w:val="089910E8"/>
    <w:rsid w:val="08991449"/>
    <w:rsid w:val="08991455"/>
    <w:rsid w:val="08991522"/>
    <w:rsid w:val="08991574"/>
    <w:rsid w:val="089915DA"/>
    <w:rsid w:val="08991620"/>
    <w:rsid w:val="0899164B"/>
    <w:rsid w:val="08991682"/>
    <w:rsid w:val="08991721"/>
    <w:rsid w:val="0899175C"/>
    <w:rsid w:val="08991837"/>
    <w:rsid w:val="08991866"/>
    <w:rsid w:val="08991985"/>
    <w:rsid w:val="0899198B"/>
    <w:rsid w:val="089919E9"/>
    <w:rsid w:val="08991B7F"/>
    <w:rsid w:val="08991C3D"/>
    <w:rsid w:val="08991CF9"/>
    <w:rsid w:val="08991D3B"/>
    <w:rsid w:val="08991EA7"/>
    <w:rsid w:val="08991F28"/>
    <w:rsid w:val="08991F57"/>
    <w:rsid w:val="08991FB6"/>
    <w:rsid w:val="08991FC2"/>
    <w:rsid w:val="089920D2"/>
    <w:rsid w:val="0899223B"/>
    <w:rsid w:val="089922E9"/>
    <w:rsid w:val="0899233F"/>
    <w:rsid w:val="089924EE"/>
    <w:rsid w:val="0899250F"/>
    <w:rsid w:val="0899251E"/>
    <w:rsid w:val="08992663"/>
    <w:rsid w:val="089926F6"/>
    <w:rsid w:val="089927E7"/>
    <w:rsid w:val="089927FA"/>
    <w:rsid w:val="089928BB"/>
    <w:rsid w:val="0899291F"/>
    <w:rsid w:val="08992961"/>
    <w:rsid w:val="08992A47"/>
    <w:rsid w:val="08992ABF"/>
    <w:rsid w:val="08992ADF"/>
    <w:rsid w:val="08992BAC"/>
    <w:rsid w:val="08992C6F"/>
    <w:rsid w:val="08992CAA"/>
    <w:rsid w:val="08992D0C"/>
    <w:rsid w:val="08992D8A"/>
    <w:rsid w:val="08992DD1"/>
    <w:rsid w:val="08992DE4"/>
    <w:rsid w:val="08992E06"/>
    <w:rsid w:val="08992E53"/>
    <w:rsid w:val="08992E6C"/>
    <w:rsid w:val="08992EB8"/>
    <w:rsid w:val="08992EF1"/>
    <w:rsid w:val="08992F4A"/>
    <w:rsid w:val="08992F9D"/>
    <w:rsid w:val="08992FA4"/>
    <w:rsid w:val="08992FAF"/>
    <w:rsid w:val="08992FFD"/>
    <w:rsid w:val="089930DA"/>
    <w:rsid w:val="089930FD"/>
    <w:rsid w:val="0899312D"/>
    <w:rsid w:val="08993245"/>
    <w:rsid w:val="0899324C"/>
    <w:rsid w:val="08993382"/>
    <w:rsid w:val="0899343A"/>
    <w:rsid w:val="089934A7"/>
    <w:rsid w:val="089934F8"/>
    <w:rsid w:val="0899352D"/>
    <w:rsid w:val="08993607"/>
    <w:rsid w:val="08993910"/>
    <w:rsid w:val="08993914"/>
    <w:rsid w:val="08993925"/>
    <w:rsid w:val="08993A76"/>
    <w:rsid w:val="08993AAB"/>
    <w:rsid w:val="08993AE5"/>
    <w:rsid w:val="08993B0B"/>
    <w:rsid w:val="08993C51"/>
    <w:rsid w:val="08993C6D"/>
    <w:rsid w:val="08993CC2"/>
    <w:rsid w:val="08993D58"/>
    <w:rsid w:val="08993D82"/>
    <w:rsid w:val="08993DA8"/>
    <w:rsid w:val="08993DFD"/>
    <w:rsid w:val="08993F27"/>
    <w:rsid w:val="08993F49"/>
    <w:rsid w:val="08993FE3"/>
    <w:rsid w:val="08994053"/>
    <w:rsid w:val="089940E7"/>
    <w:rsid w:val="089942A3"/>
    <w:rsid w:val="089942C6"/>
    <w:rsid w:val="08994394"/>
    <w:rsid w:val="08994439"/>
    <w:rsid w:val="0899453D"/>
    <w:rsid w:val="089945A8"/>
    <w:rsid w:val="0899467E"/>
    <w:rsid w:val="089946C7"/>
    <w:rsid w:val="089947F2"/>
    <w:rsid w:val="08994825"/>
    <w:rsid w:val="08994862"/>
    <w:rsid w:val="0899486B"/>
    <w:rsid w:val="08994A81"/>
    <w:rsid w:val="08994B2B"/>
    <w:rsid w:val="08994B49"/>
    <w:rsid w:val="08994C22"/>
    <w:rsid w:val="08994C33"/>
    <w:rsid w:val="08994CEC"/>
    <w:rsid w:val="08994D2D"/>
    <w:rsid w:val="08994DE9"/>
    <w:rsid w:val="08994E79"/>
    <w:rsid w:val="08994E8E"/>
    <w:rsid w:val="08994E9A"/>
    <w:rsid w:val="08994F8A"/>
    <w:rsid w:val="08994FFC"/>
    <w:rsid w:val="08995005"/>
    <w:rsid w:val="08995033"/>
    <w:rsid w:val="08995093"/>
    <w:rsid w:val="089950A3"/>
    <w:rsid w:val="08995117"/>
    <w:rsid w:val="089951B8"/>
    <w:rsid w:val="08995254"/>
    <w:rsid w:val="089952B1"/>
    <w:rsid w:val="08995360"/>
    <w:rsid w:val="08995391"/>
    <w:rsid w:val="089953D9"/>
    <w:rsid w:val="089953F2"/>
    <w:rsid w:val="0899552F"/>
    <w:rsid w:val="08995547"/>
    <w:rsid w:val="08995558"/>
    <w:rsid w:val="08995561"/>
    <w:rsid w:val="0899565F"/>
    <w:rsid w:val="08995700"/>
    <w:rsid w:val="08995788"/>
    <w:rsid w:val="089957A2"/>
    <w:rsid w:val="089957CB"/>
    <w:rsid w:val="089957CF"/>
    <w:rsid w:val="08995911"/>
    <w:rsid w:val="08995976"/>
    <w:rsid w:val="08995A74"/>
    <w:rsid w:val="08995ABD"/>
    <w:rsid w:val="08995B39"/>
    <w:rsid w:val="08995C16"/>
    <w:rsid w:val="08995D59"/>
    <w:rsid w:val="08995E14"/>
    <w:rsid w:val="08995E7F"/>
    <w:rsid w:val="08995EDC"/>
    <w:rsid w:val="0899604F"/>
    <w:rsid w:val="08996251"/>
    <w:rsid w:val="08996292"/>
    <w:rsid w:val="089962BD"/>
    <w:rsid w:val="089962C6"/>
    <w:rsid w:val="089963E3"/>
    <w:rsid w:val="0899649D"/>
    <w:rsid w:val="089964B9"/>
    <w:rsid w:val="089964CF"/>
    <w:rsid w:val="08996501"/>
    <w:rsid w:val="089965A9"/>
    <w:rsid w:val="0899680A"/>
    <w:rsid w:val="08996857"/>
    <w:rsid w:val="0899688D"/>
    <w:rsid w:val="089968FD"/>
    <w:rsid w:val="0899692A"/>
    <w:rsid w:val="0899692E"/>
    <w:rsid w:val="0899694A"/>
    <w:rsid w:val="0899697D"/>
    <w:rsid w:val="08996A67"/>
    <w:rsid w:val="08996B05"/>
    <w:rsid w:val="08996B2A"/>
    <w:rsid w:val="08996BDF"/>
    <w:rsid w:val="08996CA3"/>
    <w:rsid w:val="08996D03"/>
    <w:rsid w:val="08996D40"/>
    <w:rsid w:val="08996D53"/>
    <w:rsid w:val="08996DFA"/>
    <w:rsid w:val="08996EB6"/>
    <w:rsid w:val="08996F07"/>
    <w:rsid w:val="08996F24"/>
    <w:rsid w:val="08996F56"/>
    <w:rsid w:val="08996FB8"/>
    <w:rsid w:val="089970AA"/>
    <w:rsid w:val="08997178"/>
    <w:rsid w:val="089971AE"/>
    <w:rsid w:val="089971D8"/>
    <w:rsid w:val="089972E9"/>
    <w:rsid w:val="08997347"/>
    <w:rsid w:val="08997363"/>
    <w:rsid w:val="08997379"/>
    <w:rsid w:val="089973A5"/>
    <w:rsid w:val="08997421"/>
    <w:rsid w:val="08997434"/>
    <w:rsid w:val="0899751C"/>
    <w:rsid w:val="08997525"/>
    <w:rsid w:val="0899752F"/>
    <w:rsid w:val="08997541"/>
    <w:rsid w:val="08997597"/>
    <w:rsid w:val="08997609"/>
    <w:rsid w:val="08997616"/>
    <w:rsid w:val="08997738"/>
    <w:rsid w:val="0899774A"/>
    <w:rsid w:val="0899779B"/>
    <w:rsid w:val="089977E8"/>
    <w:rsid w:val="08997B13"/>
    <w:rsid w:val="08997B64"/>
    <w:rsid w:val="08997CAC"/>
    <w:rsid w:val="08997D19"/>
    <w:rsid w:val="08997D26"/>
    <w:rsid w:val="08997D2B"/>
    <w:rsid w:val="08997D92"/>
    <w:rsid w:val="08997E2B"/>
    <w:rsid w:val="08997E52"/>
    <w:rsid w:val="08997F81"/>
    <w:rsid w:val="08997FB3"/>
    <w:rsid w:val="089A00A0"/>
    <w:rsid w:val="089A0109"/>
    <w:rsid w:val="089A0184"/>
    <w:rsid w:val="089A0271"/>
    <w:rsid w:val="089A027F"/>
    <w:rsid w:val="089A0292"/>
    <w:rsid w:val="089A0335"/>
    <w:rsid w:val="089A03FD"/>
    <w:rsid w:val="089A0415"/>
    <w:rsid w:val="089A04AE"/>
    <w:rsid w:val="089A04BF"/>
    <w:rsid w:val="089A04CA"/>
    <w:rsid w:val="089A04FF"/>
    <w:rsid w:val="089A0541"/>
    <w:rsid w:val="089A0584"/>
    <w:rsid w:val="089A0678"/>
    <w:rsid w:val="089A072B"/>
    <w:rsid w:val="089A07A5"/>
    <w:rsid w:val="089A07E9"/>
    <w:rsid w:val="089A09B4"/>
    <w:rsid w:val="089A09E8"/>
    <w:rsid w:val="089A0AA8"/>
    <w:rsid w:val="089A0AF2"/>
    <w:rsid w:val="089A0B6C"/>
    <w:rsid w:val="089A0C48"/>
    <w:rsid w:val="089A0C72"/>
    <w:rsid w:val="089A0CB7"/>
    <w:rsid w:val="089A0D54"/>
    <w:rsid w:val="089A0D9E"/>
    <w:rsid w:val="089A0E23"/>
    <w:rsid w:val="089A0F8B"/>
    <w:rsid w:val="089A1033"/>
    <w:rsid w:val="089A1098"/>
    <w:rsid w:val="089A116C"/>
    <w:rsid w:val="089A116D"/>
    <w:rsid w:val="089A11BA"/>
    <w:rsid w:val="089A12B3"/>
    <w:rsid w:val="089A1353"/>
    <w:rsid w:val="089A135F"/>
    <w:rsid w:val="089A1361"/>
    <w:rsid w:val="089A1392"/>
    <w:rsid w:val="089A13E3"/>
    <w:rsid w:val="089A1406"/>
    <w:rsid w:val="089A141B"/>
    <w:rsid w:val="089A148E"/>
    <w:rsid w:val="089A1496"/>
    <w:rsid w:val="089A14CF"/>
    <w:rsid w:val="089A15B2"/>
    <w:rsid w:val="089A15D6"/>
    <w:rsid w:val="089A15EB"/>
    <w:rsid w:val="089A173D"/>
    <w:rsid w:val="089A177A"/>
    <w:rsid w:val="089A17F1"/>
    <w:rsid w:val="089A1867"/>
    <w:rsid w:val="089A194F"/>
    <w:rsid w:val="089A19AA"/>
    <w:rsid w:val="089A1A01"/>
    <w:rsid w:val="089A1A95"/>
    <w:rsid w:val="089A1B25"/>
    <w:rsid w:val="089A1B6F"/>
    <w:rsid w:val="089A1B7C"/>
    <w:rsid w:val="089A1B99"/>
    <w:rsid w:val="089A1C02"/>
    <w:rsid w:val="089A1C9D"/>
    <w:rsid w:val="089A1D41"/>
    <w:rsid w:val="089A1D43"/>
    <w:rsid w:val="089A1D53"/>
    <w:rsid w:val="089A1D89"/>
    <w:rsid w:val="089A1E2B"/>
    <w:rsid w:val="089A1E41"/>
    <w:rsid w:val="089A1E55"/>
    <w:rsid w:val="089A1E90"/>
    <w:rsid w:val="089A1F02"/>
    <w:rsid w:val="089A1F3B"/>
    <w:rsid w:val="089A2051"/>
    <w:rsid w:val="089A2061"/>
    <w:rsid w:val="089A20A9"/>
    <w:rsid w:val="089A2126"/>
    <w:rsid w:val="089A222A"/>
    <w:rsid w:val="089A2240"/>
    <w:rsid w:val="089A2384"/>
    <w:rsid w:val="089A23B6"/>
    <w:rsid w:val="089A242A"/>
    <w:rsid w:val="089A24E7"/>
    <w:rsid w:val="089A253E"/>
    <w:rsid w:val="089A255C"/>
    <w:rsid w:val="089A259C"/>
    <w:rsid w:val="089A25CE"/>
    <w:rsid w:val="089A25DC"/>
    <w:rsid w:val="089A25EF"/>
    <w:rsid w:val="089A260C"/>
    <w:rsid w:val="089A26A2"/>
    <w:rsid w:val="089A272C"/>
    <w:rsid w:val="089A2738"/>
    <w:rsid w:val="089A2797"/>
    <w:rsid w:val="089A280F"/>
    <w:rsid w:val="089A2826"/>
    <w:rsid w:val="089A2852"/>
    <w:rsid w:val="089A28C2"/>
    <w:rsid w:val="089A28C6"/>
    <w:rsid w:val="089A2A31"/>
    <w:rsid w:val="089A2A74"/>
    <w:rsid w:val="089A2AFD"/>
    <w:rsid w:val="089A2BC2"/>
    <w:rsid w:val="089A2BC7"/>
    <w:rsid w:val="089A2BE8"/>
    <w:rsid w:val="089A2BF2"/>
    <w:rsid w:val="089A2C9C"/>
    <w:rsid w:val="089A2CA9"/>
    <w:rsid w:val="089A2CE5"/>
    <w:rsid w:val="089A2D26"/>
    <w:rsid w:val="089A2DBC"/>
    <w:rsid w:val="089A2E25"/>
    <w:rsid w:val="089A2EBD"/>
    <w:rsid w:val="089A2F37"/>
    <w:rsid w:val="089A2F5C"/>
    <w:rsid w:val="089A2F6C"/>
    <w:rsid w:val="089A3015"/>
    <w:rsid w:val="089A3082"/>
    <w:rsid w:val="089A3097"/>
    <w:rsid w:val="089A312E"/>
    <w:rsid w:val="089A3149"/>
    <w:rsid w:val="089A3159"/>
    <w:rsid w:val="089A31E0"/>
    <w:rsid w:val="089A31FF"/>
    <w:rsid w:val="089A3206"/>
    <w:rsid w:val="089A3209"/>
    <w:rsid w:val="089A323A"/>
    <w:rsid w:val="089A324A"/>
    <w:rsid w:val="089A324F"/>
    <w:rsid w:val="089A3269"/>
    <w:rsid w:val="089A32A1"/>
    <w:rsid w:val="089A32EE"/>
    <w:rsid w:val="089A33A9"/>
    <w:rsid w:val="089A3416"/>
    <w:rsid w:val="089A34E5"/>
    <w:rsid w:val="089A358B"/>
    <w:rsid w:val="089A35EB"/>
    <w:rsid w:val="089A36DD"/>
    <w:rsid w:val="089A371A"/>
    <w:rsid w:val="089A3804"/>
    <w:rsid w:val="089A3847"/>
    <w:rsid w:val="089A384D"/>
    <w:rsid w:val="089A3943"/>
    <w:rsid w:val="089A39DA"/>
    <w:rsid w:val="089A3B8C"/>
    <w:rsid w:val="089A3C0B"/>
    <w:rsid w:val="089A3C7E"/>
    <w:rsid w:val="089A3C8D"/>
    <w:rsid w:val="089A3C8E"/>
    <w:rsid w:val="089A3D9D"/>
    <w:rsid w:val="089A3DE0"/>
    <w:rsid w:val="089A3EB5"/>
    <w:rsid w:val="089A3EBF"/>
    <w:rsid w:val="089A3ED6"/>
    <w:rsid w:val="089A3EEA"/>
    <w:rsid w:val="089A408F"/>
    <w:rsid w:val="089A42A1"/>
    <w:rsid w:val="089A4433"/>
    <w:rsid w:val="089A443B"/>
    <w:rsid w:val="089A446D"/>
    <w:rsid w:val="089A44F0"/>
    <w:rsid w:val="089A451A"/>
    <w:rsid w:val="089A4556"/>
    <w:rsid w:val="089A468D"/>
    <w:rsid w:val="089A491C"/>
    <w:rsid w:val="089A49C3"/>
    <w:rsid w:val="089A49FA"/>
    <w:rsid w:val="089A4A87"/>
    <w:rsid w:val="089A4ABA"/>
    <w:rsid w:val="089A4BC9"/>
    <w:rsid w:val="089A4BF8"/>
    <w:rsid w:val="089A4BFB"/>
    <w:rsid w:val="089A4C31"/>
    <w:rsid w:val="089A4C4F"/>
    <w:rsid w:val="089A4C78"/>
    <w:rsid w:val="089A4CA9"/>
    <w:rsid w:val="089A4E71"/>
    <w:rsid w:val="089A4EFB"/>
    <w:rsid w:val="089A4F8A"/>
    <w:rsid w:val="089A50FB"/>
    <w:rsid w:val="089A51C9"/>
    <w:rsid w:val="089A52EF"/>
    <w:rsid w:val="089A5334"/>
    <w:rsid w:val="089A536C"/>
    <w:rsid w:val="089A5426"/>
    <w:rsid w:val="089A5611"/>
    <w:rsid w:val="089A5642"/>
    <w:rsid w:val="089A56D2"/>
    <w:rsid w:val="089A56FE"/>
    <w:rsid w:val="089A5791"/>
    <w:rsid w:val="089A5821"/>
    <w:rsid w:val="089A5897"/>
    <w:rsid w:val="089A58E2"/>
    <w:rsid w:val="089A5991"/>
    <w:rsid w:val="089A5A0B"/>
    <w:rsid w:val="089A5A25"/>
    <w:rsid w:val="089A5A59"/>
    <w:rsid w:val="089A5A9A"/>
    <w:rsid w:val="089A5AA7"/>
    <w:rsid w:val="089A5AD5"/>
    <w:rsid w:val="089A5B4B"/>
    <w:rsid w:val="089A5B88"/>
    <w:rsid w:val="089A5BF4"/>
    <w:rsid w:val="089A5C96"/>
    <w:rsid w:val="089A5CA4"/>
    <w:rsid w:val="089A5CAA"/>
    <w:rsid w:val="089A5D34"/>
    <w:rsid w:val="089A5D40"/>
    <w:rsid w:val="089A5DDC"/>
    <w:rsid w:val="089A5F64"/>
    <w:rsid w:val="089A5FB9"/>
    <w:rsid w:val="089A5FD5"/>
    <w:rsid w:val="089A6009"/>
    <w:rsid w:val="089A6017"/>
    <w:rsid w:val="089A607F"/>
    <w:rsid w:val="089A60A7"/>
    <w:rsid w:val="089A612B"/>
    <w:rsid w:val="089A617D"/>
    <w:rsid w:val="089A6212"/>
    <w:rsid w:val="089A6258"/>
    <w:rsid w:val="089A6269"/>
    <w:rsid w:val="089A6469"/>
    <w:rsid w:val="089A64FE"/>
    <w:rsid w:val="089A6535"/>
    <w:rsid w:val="089A655B"/>
    <w:rsid w:val="089A65AD"/>
    <w:rsid w:val="089A665F"/>
    <w:rsid w:val="089A66F3"/>
    <w:rsid w:val="089A683A"/>
    <w:rsid w:val="089A6852"/>
    <w:rsid w:val="089A6853"/>
    <w:rsid w:val="089A68DF"/>
    <w:rsid w:val="089A698C"/>
    <w:rsid w:val="089A69F6"/>
    <w:rsid w:val="089A6B0E"/>
    <w:rsid w:val="089A6B23"/>
    <w:rsid w:val="089A6B47"/>
    <w:rsid w:val="089A6B5F"/>
    <w:rsid w:val="089A6B93"/>
    <w:rsid w:val="089A6C63"/>
    <w:rsid w:val="089A6CDB"/>
    <w:rsid w:val="089A6CF2"/>
    <w:rsid w:val="089A6D15"/>
    <w:rsid w:val="089A6D6E"/>
    <w:rsid w:val="089A6DA7"/>
    <w:rsid w:val="089A6DD1"/>
    <w:rsid w:val="089A6E78"/>
    <w:rsid w:val="089A6ED6"/>
    <w:rsid w:val="089A6EFF"/>
    <w:rsid w:val="089A6F5A"/>
    <w:rsid w:val="089A703B"/>
    <w:rsid w:val="089A710E"/>
    <w:rsid w:val="089A7171"/>
    <w:rsid w:val="089A72A5"/>
    <w:rsid w:val="089A72B7"/>
    <w:rsid w:val="089A72FF"/>
    <w:rsid w:val="089A7434"/>
    <w:rsid w:val="089A7567"/>
    <w:rsid w:val="089A75FC"/>
    <w:rsid w:val="089A765F"/>
    <w:rsid w:val="089A77A5"/>
    <w:rsid w:val="089A77C9"/>
    <w:rsid w:val="089A77E5"/>
    <w:rsid w:val="089A780C"/>
    <w:rsid w:val="089A7896"/>
    <w:rsid w:val="089A7922"/>
    <w:rsid w:val="089A7946"/>
    <w:rsid w:val="089A79EF"/>
    <w:rsid w:val="089A7A9C"/>
    <w:rsid w:val="089A7B08"/>
    <w:rsid w:val="089A7B94"/>
    <w:rsid w:val="089A7BBA"/>
    <w:rsid w:val="089A7BBE"/>
    <w:rsid w:val="089A7E02"/>
    <w:rsid w:val="089A7E09"/>
    <w:rsid w:val="089A7E4F"/>
    <w:rsid w:val="089A7E65"/>
    <w:rsid w:val="089A7E7F"/>
    <w:rsid w:val="089A7EBD"/>
    <w:rsid w:val="089A7EC6"/>
    <w:rsid w:val="089A7F55"/>
    <w:rsid w:val="089A7FA2"/>
    <w:rsid w:val="089A7FF8"/>
    <w:rsid w:val="089B00DD"/>
    <w:rsid w:val="089B022F"/>
    <w:rsid w:val="089B0282"/>
    <w:rsid w:val="089B02DF"/>
    <w:rsid w:val="089B02EC"/>
    <w:rsid w:val="089B0379"/>
    <w:rsid w:val="089B0394"/>
    <w:rsid w:val="089B0428"/>
    <w:rsid w:val="089B04DD"/>
    <w:rsid w:val="089B06BE"/>
    <w:rsid w:val="089B0735"/>
    <w:rsid w:val="089B0758"/>
    <w:rsid w:val="089B07D7"/>
    <w:rsid w:val="089B0917"/>
    <w:rsid w:val="089B09F6"/>
    <w:rsid w:val="089B0A06"/>
    <w:rsid w:val="089B0A2E"/>
    <w:rsid w:val="089B0AEC"/>
    <w:rsid w:val="089B0B01"/>
    <w:rsid w:val="089B0B02"/>
    <w:rsid w:val="089B0C07"/>
    <w:rsid w:val="089B0E23"/>
    <w:rsid w:val="089B0E35"/>
    <w:rsid w:val="089B0E46"/>
    <w:rsid w:val="089B0E5B"/>
    <w:rsid w:val="089B0FB1"/>
    <w:rsid w:val="089B10FF"/>
    <w:rsid w:val="089B1183"/>
    <w:rsid w:val="089B1260"/>
    <w:rsid w:val="089B1288"/>
    <w:rsid w:val="089B12D1"/>
    <w:rsid w:val="089B12F8"/>
    <w:rsid w:val="089B137E"/>
    <w:rsid w:val="089B1415"/>
    <w:rsid w:val="089B1453"/>
    <w:rsid w:val="089B1462"/>
    <w:rsid w:val="089B14B9"/>
    <w:rsid w:val="089B14F1"/>
    <w:rsid w:val="089B1543"/>
    <w:rsid w:val="089B1547"/>
    <w:rsid w:val="089B1580"/>
    <w:rsid w:val="089B159B"/>
    <w:rsid w:val="089B15C1"/>
    <w:rsid w:val="089B15CC"/>
    <w:rsid w:val="089B1742"/>
    <w:rsid w:val="089B1772"/>
    <w:rsid w:val="089B18DE"/>
    <w:rsid w:val="089B1957"/>
    <w:rsid w:val="089B1999"/>
    <w:rsid w:val="089B19DE"/>
    <w:rsid w:val="089B1A0E"/>
    <w:rsid w:val="089B1A0F"/>
    <w:rsid w:val="089B1A77"/>
    <w:rsid w:val="089B1A79"/>
    <w:rsid w:val="089B1AA1"/>
    <w:rsid w:val="089B1ABB"/>
    <w:rsid w:val="089B1ABC"/>
    <w:rsid w:val="089B1AF8"/>
    <w:rsid w:val="089B1B3A"/>
    <w:rsid w:val="089B1C99"/>
    <w:rsid w:val="089B1CE4"/>
    <w:rsid w:val="089B1DB6"/>
    <w:rsid w:val="089B1DBF"/>
    <w:rsid w:val="089B1EFE"/>
    <w:rsid w:val="089B1F95"/>
    <w:rsid w:val="089B1FCE"/>
    <w:rsid w:val="089B207E"/>
    <w:rsid w:val="089B20CC"/>
    <w:rsid w:val="089B2235"/>
    <w:rsid w:val="089B22D2"/>
    <w:rsid w:val="089B22D3"/>
    <w:rsid w:val="089B2321"/>
    <w:rsid w:val="089B2332"/>
    <w:rsid w:val="089B2392"/>
    <w:rsid w:val="089B2456"/>
    <w:rsid w:val="089B2457"/>
    <w:rsid w:val="089B2619"/>
    <w:rsid w:val="089B2626"/>
    <w:rsid w:val="089B26DC"/>
    <w:rsid w:val="089B2741"/>
    <w:rsid w:val="089B27B5"/>
    <w:rsid w:val="089B27FD"/>
    <w:rsid w:val="089B280F"/>
    <w:rsid w:val="089B284B"/>
    <w:rsid w:val="089B28D6"/>
    <w:rsid w:val="089B292D"/>
    <w:rsid w:val="089B2A39"/>
    <w:rsid w:val="089B2A45"/>
    <w:rsid w:val="089B2ACB"/>
    <w:rsid w:val="089B2B9E"/>
    <w:rsid w:val="089B2C07"/>
    <w:rsid w:val="089B2CB7"/>
    <w:rsid w:val="089B2D8A"/>
    <w:rsid w:val="089B2E00"/>
    <w:rsid w:val="089B2E01"/>
    <w:rsid w:val="089B2E0D"/>
    <w:rsid w:val="089B2E18"/>
    <w:rsid w:val="089B2E1B"/>
    <w:rsid w:val="089B2E48"/>
    <w:rsid w:val="089B2E65"/>
    <w:rsid w:val="089B2F98"/>
    <w:rsid w:val="089B2FD5"/>
    <w:rsid w:val="089B2FD8"/>
    <w:rsid w:val="089B3038"/>
    <w:rsid w:val="089B30C4"/>
    <w:rsid w:val="089B30C7"/>
    <w:rsid w:val="089B31E9"/>
    <w:rsid w:val="089B32AA"/>
    <w:rsid w:val="089B32C8"/>
    <w:rsid w:val="089B3304"/>
    <w:rsid w:val="089B332B"/>
    <w:rsid w:val="089B33A0"/>
    <w:rsid w:val="089B33BC"/>
    <w:rsid w:val="089B33BD"/>
    <w:rsid w:val="089B3474"/>
    <w:rsid w:val="089B3478"/>
    <w:rsid w:val="089B370B"/>
    <w:rsid w:val="089B376C"/>
    <w:rsid w:val="089B37A9"/>
    <w:rsid w:val="089B37B8"/>
    <w:rsid w:val="089B387D"/>
    <w:rsid w:val="089B392D"/>
    <w:rsid w:val="089B3940"/>
    <w:rsid w:val="089B3A30"/>
    <w:rsid w:val="089B3A73"/>
    <w:rsid w:val="089B3ACD"/>
    <w:rsid w:val="089B3B5D"/>
    <w:rsid w:val="089B3B75"/>
    <w:rsid w:val="089B3B8C"/>
    <w:rsid w:val="089B3C05"/>
    <w:rsid w:val="089B3C65"/>
    <w:rsid w:val="089B3C75"/>
    <w:rsid w:val="089B3D23"/>
    <w:rsid w:val="089B3D28"/>
    <w:rsid w:val="089B3E10"/>
    <w:rsid w:val="089B3E35"/>
    <w:rsid w:val="089B3EDB"/>
    <w:rsid w:val="089B3EDF"/>
    <w:rsid w:val="089B3F23"/>
    <w:rsid w:val="089B3F4E"/>
    <w:rsid w:val="089B40E8"/>
    <w:rsid w:val="089B41CB"/>
    <w:rsid w:val="089B4232"/>
    <w:rsid w:val="089B4244"/>
    <w:rsid w:val="089B4247"/>
    <w:rsid w:val="089B42F3"/>
    <w:rsid w:val="089B4352"/>
    <w:rsid w:val="089B43A0"/>
    <w:rsid w:val="089B44C4"/>
    <w:rsid w:val="089B44C8"/>
    <w:rsid w:val="089B44E4"/>
    <w:rsid w:val="089B44E9"/>
    <w:rsid w:val="089B4589"/>
    <w:rsid w:val="089B45D0"/>
    <w:rsid w:val="089B465B"/>
    <w:rsid w:val="089B4689"/>
    <w:rsid w:val="089B469B"/>
    <w:rsid w:val="089B46E3"/>
    <w:rsid w:val="089B4721"/>
    <w:rsid w:val="089B476D"/>
    <w:rsid w:val="089B478F"/>
    <w:rsid w:val="089B4882"/>
    <w:rsid w:val="089B48CD"/>
    <w:rsid w:val="089B4A50"/>
    <w:rsid w:val="089B4A6E"/>
    <w:rsid w:val="089B4A9C"/>
    <w:rsid w:val="089B4B2B"/>
    <w:rsid w:val="089B4BA8"/>
    <w:rsid w:val="089B4CB3"/>
    <w:rsid w:val="089B4DA7"/>
    <w:rsid w:val="089B4DB7"/>
    <w:rsid w:val="089B4DED"/>
    <w:rsid w:val="089B4E53"/>
    <w:rsid w:val="089B5125"/>
    <w:rsid w:val="089B515E"/>
    <w:rsid w:val="089B51F6"/>
    <w:rsid w:val="089B52A2"/>
    <w:rsid w:val="089B53E4"/>
    <w:rsid w:val="089B5444"/>
    <w:rsid w:val="089B544B"/>
    <w:rsid w:val="089B54B0"/>
    <w:rsid w:val="089B54B4"/>
    <w:rsid w:val="089B54E5"/>
    <w:rsid w:val="089B5509"/>
    <w:rsid w:val="089B5586"/>
    <w:rsid w:val="089B56EA"/>
    <w:rsid w:val="089B5714"/>
    <w:rsid w:val="089B571F"/>
    <w:rsid w:val="089B580C"/>
    <w:rsid w:val="089B5819"/>
    <w:rsid w:val="089B583A"/>
    <w:rsid w:val="089B5844"/>
    <w:rsid w:val="089B5856"/>
    <w:rsid w:val="089B58A5"/>
    <w:rsid w:val="089B5982"/>
    <w:rsid w:val="089B5999"/>
    <w:rsid w:val="089B59B7"/>
    <w:rsid w:val="089B5A7A"/>
    <w:rsid w:val="089B5B0F"/>
    <w:rsid w:val="089B5B9A"/>
    <w:rsid w:val="089B5BA4"/>
    <w:rsid w:val="089B5CBA"/>
    <w:rsid w:val="089B5D64"/>
    <w:rsid w:val="089B5D81"/>
    <w:rsid w:val="089B5E2B"/>
    <w:rsid w:val="089B5F60"/>
    <w:rsid w:val="089B5FAD"/>
    <w:rsid w:val="089B612B"/>
    <w:rsid w:val="089B620C"/>
    <w:rsid w:val="089B62D6"/>
    <w:rsid w:val="089B62E6"/>
    <w:rsid w:val="089B6312"/>
    <w:rsid w:val="089B6360"/>
    <w:rsid w:val="089B63F6"/>
    <w:rsid w:val="089B643F"/>
    <w:rsid w:val="089B64CA"/>
    <w:rsid w:val="089B6517"/>
    <w:rsid w:val="089B6557"/>
    <w:rsid w:val="089B6660"/>
    <w:rsid w:val="089B666C"/>
    <w:rsid w:val="089B673B"/>
    <w:rsid w:val="089B6743"/>
    <w:rsid w:val="089B6755"/>
    <w:rsid w:val="089B6779"/>
    <w:rsid w:val="089B6794"/>
    <w:rsid w:val="089B67DC"/>
    <w:rsid w:val="089B67F9"/>
    <w:rsid w:val="089B682C"/>
    <w:rsid w:val="089B6841"/>
    <w:rsid w:val="089B6848"/>
    <w:rsid w:val="089B6861"/>
    <w:rsid w:val="089B6881"/>
    <w:rsid w:val="089B6893"/>
    <w:rsid w:val="089B68E4"/>
    <w:rsid w:val="089B6918"/>
    <w:rsid w:val="089B69E4"/>
    <w:rsid w:val="089B6A2E"/>
    <w:rsid w:val="089B6AA5"/>
    <w:rsid w:val="089B6AA9"/>
    <w:rsid w:val="089B6BC1"/>
    <w:rsid w:val="089B6BC6"/>
    <w:rsid w:val="089B6C19"/>
    <w:rsid w:val="089B6C63"/>
    <w:rsid w:val="089B6C7B"/>
    <w:rsid w:val="089B6CB4"/>
    <w:rsid w:val="089B6D74"/>
    <w:rsid w:val="089B6DEC"/>
    <w:rsid w:val="089B6E27"/>
    <w:rsid w:val="089B6E80"/>
    <w:rsid w:val="089B6ED7"/>
    <w:rsid w:val="089B6F7E"/>
    <w:rsid w:val="089B6F90"/>
    <w:rsid w:val="089B6FBF"/>
    <w:rsid w:val="089B6FE8"/>
    <w:rsid w:val="089B719B"/>
    <w:rsid w:val="089B7267"/>
    <w:rsid w:val="089B739E"/>
    <w:rsid w:val="089B73E4"/>
    <w:rsid w:val="089B73EA"/>
    <w:rsid w:val="089B7570"/>
    <w:rsid w:val="089B7590"/>
    <w:rsid w:val="089B761C"/>
    <w:rsid w:val="089B7745"/>
    <w:rsid w:val="089B77DC"/>
    <w:rsid w:val="089B7851"/>
    <w:rsid w:val="089B787F"/>
    <w:rsid w:val="089B7901"/>
    <w:rsid w:val="089B790E"/>
    <w:rsid w:val="089B793C"/>
    <w:rsid w:val="089B793F"/>
    <w:rsid w:val="089B7954"/>
    <w:rsid w:val="089B79E0"/>
    <w:rsid w:val="089B7A35"/>
    <w:rsid w:val="089B7AB8"/>
    <w:rsid w:val="089B7AE7"/>
    <w:rsid w:val="089B7B07"/>
    <w:rsid w:val="089B7B49"/>
    <w:rsid w:val="089B7B53"/>
    <w:rsid w:val="089B7B69"/>
    <w:rsid w:val="089B7B82"/>
    <w:rsid w:val="089B7BEF"/>
    <w:rsid w:val="089B7D1F"/>
    <w:rsid w:val="089B7D20"/>
    <w:rsid w:val="089B7D58"/>
    <w:rsid w:val="089B7DA7"/>
    <w:rsid w:val="089B7DE9"/>
    <w:rsid w:val="089B7E2C"/>
    <w:rsid w:val="089B7E81"/>
    <w:rsid w:val="089B7EC6"/>
    <w:rsid w:val="089C00F3"/>
    <w:rsid w:val="089C0113"/>
    <w:rsid w:val="089C0129"/>
    <w:rsid w:val="089C0211"/>
    <w:rsid w:val="089C034E"/>
    <w:rsid w:val="089C03F6"/>
    <w:rsid w:val="089C041A"/>
    <w:rsid w:val="089C0441"/>
    <w:rsid w:val="089C054B"/>
    <w:rsid w:val="089C055B"/>
    <w:rsid w:val="089C05C6"/>
    <w:rsid w:val="089C05CB"/>
    <w:rsid w:val="089C069B"/>
    <w:rsid w:val="089C06E3"/>
    <w:rsid w:val="089C0732"/>
    <w:rsid w:val="089C0746"/>
    <w:rsid w:val="089C078D"/>
    <w:rsid w:val="089C078E"/>
    <w:rsid w:val="089C07A0"/>
    <w:rsid w:val="089C0859"/>
    <w:rsid w:val="089C0895"/>
    <w:rsid w:val="089C08AC"/>
    <w:rsid w:val="089C08ED"/>
    <w:rsid w:val="089C0900"/>
    <w:rsid w:val="089C0A0D"/>
    <w:rsid w:val="089C0A16"/>
    <w:rsid w:val="089C0A56"/>
    <w:rsid w:val="089C0B93"/>
    <w:rsid w:val="089C0BCA"/>
    <w:rsid w:val="089C0BFE"/>
    <w:rsid w:val="089C0C00"/>
    <w:rsid w:val="089C0C4C"/>
    <w:rsid w:val="089C0C7A"/>
    <w:rsid w:val="089C0E65"/>
    <w:rsid w:val="089C0EC1"/>
    <w:rsid w:val="089C0F8C"/>
    <w:rsid w:val="089C0FF1"/>
    <w:rsid w:val="089C10A1"/>
    <w:rsid w:val="089C1125"/>
    <w:rsid w:val="089C11CD"/>
    <w:rsid w:val="089C1274"/>
    <w:rsid w:val="089C12E3"/>
    <w:rsid w:val="089C135A"/>
    <w:rsid w:val="089C13B0"/>
    <w:rsid w:val="089C13CB"/>
    <w:rsid w:val="089C13E0"/>
    <w:rsid w:val="089C1464"/>
    <w:rsid w:val="089C14E0"/>
    <w:rsid w:val="089C14F2"/>
    <w:rsid w:val="089C15BC"/>
    <w:rsid w:val="089C16D4"/>
    <w:rsid w:val="089C170A"/>
    <w:rsid w:val="089C172F"/>
    <w:rsid w:val="089C1988"/>
    <w:rsid w:val="089C19B5"/>
    <w:rsid w:val="089C19FB"/>
    <w:rsid w:val="089C1ACD"/>
    <w:rsid w:val="089C1B0C"/>
    <w:rsid w:val="089C1C73"/>
    <w:rsid w:val="089C1CBB"/>
    <w:rsid w:val="089C1D6B"/>
    <w:rsid w:val="089C1DEB"/>
    <w:rsid w:val="089C1DFC"/>
    <w:rsid w:val="089C1EE3"/>
    <w:rsid w:val="089C1EFC"/>
    <w:rsid w:val="089C1F0C"/>
    <w:rsid w:val="089C1F10"/>
    <w:rsid w:val="089C1F2A"/>
    <w:rsid w:val="089C1FBB"/>
    <w:rsid w:val="089C1FBF"/>
    <w:rsid w:val="089C2068"/>
    <w:rsid w:val="089C20A9"/>
    <w:rsid w:val="089C2184"/>
    <w:rsid w:val="089C21A9"/>
    <w:rsid w:val="089C21B6"/>
    <w:rsid w:val="089C21E2"/>
    <w:rsid w:val="089C2203"/>
    <w:rsid w:val="089C2275"/>
    <w:rsid w:val="089C2364"/>
    <w:rsid w:val="089C242C"/>
    <w:rsid w:val="089C249B"/>
    <w:rsid w:val="089C24BD"/>
    <w:rsid w:val="089C24FA"/>
    <w:rsid w:val="089C2590"/>
    <w:rsid w:val="089C25CA"/>
    <w:rsid w:val="089C25F4"/>
    <w:rsid w:val="089C26AE"/>
    <w:rsid w:val="089C26C7"/>
    <w:rsid w:val="089C2745"/>
    <w:rsid w:val="089C27EA"/>
    <w:rsid w:val="089C2854"/>
    <w:rsid w:val="089C2A0D"/>
    <w:rsid w:val="089C2C6F"/>
    <w:rsid w:val="089C2C8D"/>
    <w:rsid w:val="089C2CAB"/>
    <w:rsid w:val="089C2CF5"/>
    <w:rsid w:val="089C2CFB"/>
    <w:rsid w:val="089C2D65"/>
    <w:rsid w:val="089C2E6E"/>
    <w:rsid w:val="089C2FE2"/>
    <w:rsid w:val="089C3005"/>
    <w:rsid w:val="089C3097"/>
    <w:rsid w:val="089C31E1"/>
    <w:rsid w:val="089C3250"/>
    <w:rsid w:val="089C326C"/>
    <w:rsid w:val="089C3304"/>
    <w:rsid w:val="089C332B"/>
    <w:rsid w:val="089C3380"/>
    <w:rsid w:val="089C339F"/>
    <w:rsid w:val="089C33EF"/>
    <w:rsid w:val="089C344D"/>
    <w:rsid w:val="089C349A"/>
    <w:rsid w:val="089C35AA"/>
    <w:rsid w:val="089C35BA"/>
    <w:rsid w:val="089C36D2"/>
    <w:rsid w:val="089C3725"/>
    <w:rsid w:val="089C37AD"/>
    <w:rsid w:val="089C37D6"/>
    <w:rsid w:val="089C381B"/>
    <w:rsid w:val="089C382F"/>
    <w:rsid w:val="089C384D"/>
    <w:rsid w:val="089C38D5"/>
    <w:rsid w:val="089C3D76"/>
    <w:rsid w:val="089C3DC2"/>
    <w:rsid w:val="089C3F0C"/>
    <w:rsid w:val="089C3FD9"/>
    <w:rsid w:val="089C40CC"/>
    <w:rsid w:val="089C40D5"/>
    <w:rsid w:val="089C4111"/>
    <w:rsid w:val="089C4185"/>
    <w:rsid w:val="089C4195"/>
    <w:rsid w:val="089C41DC"/>
    <w:rsid w:val="089C41DF"/>
    <w:rsid w:val="089C4353"/>
    <w:rsid w:val="089C44BA"/>
    <w:rsid w:val="089C45E0"/>
    <w:rsid w:val="089C4606"/>
    <w:rsid w:val="089C462E"/>
    <w:rsid w:val="089C46DD"/>
    <w:rsid w:val="089C46F4"/>
    <w:rsid w:val="089C474A"/>
    <w:rsid w:val="089C47DD"/>
    <w:rsid w:val="089C4811"/>
    <w:rsid w:val="089C48A8"/>
    <w:rsid w:val="089C48B2"/>
    <w:rsid w:val="089C48DD"/>
    <w:rsid w:val="089C4952"/>
    <w:rsid w:val="089C499D"/>
    <w:rsid w:val="089C4A71"/>
    <w:rsid w:val="089C4A80"/>
    <w:rsid w:val="089C4AD4"/>
    <w:rsid w:val="089C4AE2"/>
    <w:rsid w:val="089C4B20"/>
    <w:rsid w:val="089C4B6B"/>
    <w:rsid w:val="089C4BE6"/>
    <w:rsid w:val="089C4C7E"/>
    <w:rsid w:val="089C4D00"/>
    <w:rsid w:val="089C4F13"/>
    <w:rsid w:val="089C4F6B"/>
    <w:rsid w:val="089C4F70"/>
    <w:rsid w:val="089C501F"/>
    <w:rsid w:val="089C5039"/>
    <w:rsid w:val="089C5049"/>
    <w:rsid w:val="089C5053"/>
    <w:rsid w:val="089C5115"/>
    <w:rsid w:val="089C5133"/>
    <w:rsid w:val="089C51B2"/>
    <w:rsid w:val="089C5283"/>
    <w:rsid w:val="089C52B3"/>
    <w:rsid w:val="089C5528"/>
    <w:rsid w:val="089C5672"/>
    <w:rsid w:val="089C568F"/>
    <w:rsid w:val="089C577B"/>
    <w:rsid w:val="089C57BB"/>
    <w:rsid w:val="089C57E5"/>
    <w:rsid w:val="089C5933"/>
    <w:rsid w:val="089C5984"/>
    <w:rsid w:val="089C59D2"/>
    <w:rsid w:val="089C5A5A"/>
    <w:rsid w:val="089C5A60"/>
    <w:rsid w:val="089C5B74"/>
    <w:rsid w:val="089C5BBA"/>
    <w:rsid w:val="089C5C27"/>
    <w:rsid w:val="089C5C2A"/>
    <w:rsid w:val="089C5D12"/>
    <w:rsid w:val="089C5D19"/>
    <w:rsid w:val="089C5D5C"/>
    <w:rsid w:val="089C5D88"/>
    <w:rsid w:val="089C5DC6"/>
    <w:rsid w:val="089C5DF3"/>
    <w:rsid w:val="089C5E33"/>
    <w:rsid w:val="089C5EB3"/>
    <w:rsid w:val="089C5ECA"/>
    <w:rsid w:val="089C5F1B"/>
    <w:rsid w:val="089C5F46"/>
    <w:rsid w:val="089C5F47"/>
    <w:rsid w:val="089C5F7B"/>
    <w:rsid w:val="089C5FDA"/>
    <w:rsid w:val="089C603C"/>
    <w:rsid w:val="089C6068"/>
    <w:rsid w:val="089C607C"/>
    <w:rsid w:val="089C6177"/>
    <w:rsid w:val="089C61DE"/>
    <w:rsid w:val="089C636A"/>
    <w:rsid w:val="089C63A3"/>
    <w:rsid w:val="089C64A9"/>
    <w:rsid w:val="089C6515"/>
    <w:rsid w:val="089C6591"/>
    <w:rsid w:val="089C65FA"/>
    <w:rsid w:val="089C666B"/>
    <w:rsid w:val="089C66D4"/>
    <w:rsid w:val="089C66E9"/>
    <w:rsid w:val="089C6784"/>
    <w:rsid w:val="089C6843"/>
    <w:rsid w:val="089C68C2"/>
    <w:rsid w:val="089C68E0"/>
    <w:rsid w:val="089C68E2"/>
    <w:rsid w:val="089C6909"/>
    <w:rsid w:val="089C696E"/>
    <w:rsid w:val="089C69B9"/>
    <w:rsid w:val="089C69E9"/>
    <w:rsid w:val="089C6B07"/>
    <w:rsid w:val="089C6B1B"/>
    <w:rsid w:val="089C6C77"/>
    <w:rsid w:val="089C6CD0"/>
    <w:rsid w:val="089C6D16"/>
    <w:rsid w:val="089C6D24"/>
    <w:rsid w:val="089C6D30"/>
    <w:rsid w:val="089C6D46"/>
    <w:rsid w:val="089C6D9D"/>
    <w:rsid w:val="089C6DBF"/>
    <w:rsid w:val="089C6E65"/>
    <w:rsid w:val="089C6EC3"/>
    <w:rsid w:val="089C6FFA"/>
    <w:rsid w:val="089C70BA"/>
    <w:rsid w:val="089C71E0"/>
    <w:rsid w:val="089C7252"/>
    <w:rsid w:val="089C733C"/>
    <w:rsid w:val="089C73B0"/>
    <w:rsid w:val="089C7420"/>
    <w:rsid w:val="089C7494"/>
    <w:rsid w:val="089C74AF"/>
    <w:rsid w:val="089C74EB"/>
    <w:rsid w:val="089C757F"/>
    <w:rsid w:val="089C7645"/>
    <w:rsid w:val="089C77A5"/>
    <w:rsid w:val="089C77CB"/>
    <w:rsid w:val="089C7812"/>
    <w:rsid w:val="089C7836"/>
    <w:rsid w:val="089C7897"/>
    <w:rsid w:val="089C78BD"/>
    <w:rsid w:val="089C794E"/>
    <w:rsid w:val="089C7971"/>
    <w:rsid w:val="089C7A45"/>
    <w:rsid w:val="089C7A80"/>
    <w:rsid w:val="089C7B34"/>
    <w:rsid w:val="089C7B60"/>
    <w:rsid w:val="089C7C50"/>
    <w:rsid w:val="089C7C76"/>
    <w:rsid w:val="089C7C94"/>
    <w:rsid w:val="089C7CA2"/>
    <w:rsid w:val="089C7E53"/>
    <w:rsid w:val="089C7E57"/>
    <w:rsid w:val="089D013A"/>
    <w:rsid w:val="089D015F"/>
    <w:rsid w:val="089D01EC"/>
    <w:rsid w:val="089D0224"/>
    <w:rsid w:val="089D02A2"/>
    <w:rsid w:val="089D02B0"/>
    <w:rsid w:val="089D03A5"/>
    <w:rsid w:val="089D03E4"/>
    <w:rsid w:val="089D07FC"/>
    <w:rsid w:val="089D0837"/>
    <w:rsid w:val="089D0862"/>
    <w:rsid w:val="089D08A5"/>
    <w:rsid w:val="089D094F"/>
    <w:rsid w:val="089D0953"/>
    <w:rsid w:val="089D096E"/>
    <w:rsid w:val="089D0A25"/>
    <w:rsid w:val="089D0C86"/>
    <w:rsid w:val="089D0D15"/>
    <w:rsid w:val="089D0D2A"/>
    <w:rsid w:val="089D0DD6"/>
    <w:rsid w:val="089D0DDD"/>
    <w:rsid w:val="089D0E08"/>
    <w:rsid w:val="089D0EAE"/>
    <w:rsid w:val="089D0EBE"/>
    <w:rsid w:val="089D0F17"/>
    <w:rsid w:val="089D0FBF"/>
    <w:rsid w:val="089D107D"/>
    <w:rsid w:val="089D10F8"/>
    <w:rsid w:val="089D1203"/>
    <w:rsid w:val="089D123F"/>
    <w:rsid w:val="089D1303"/>
    <w:rsid w:val="089D136F"/>
    <w:rsid w:val="089D145A"/>
    <w:rsid w:val="089D14AE"/>
    <w:rsid w:val="089D1594"/>
    <w:rsid w:val="089D159A"/>
    <w:rsid w:val="089D15F1"/>
    <w:rsid w:val="089D162B"/>
    <w:rsid w:val="089D16A5"/>
    <w:rsid w:val="089D178E"/>
    <w:rsid w:val="089D17D6"/>
    <w:rsid w:val="089D18E2"/>
    <w:rsid w:val="089D18F1"/>
    <w:rsid w:val="089D191A"/>
    <w:rsid w:val="089D19F9"/>
    <w:rsid w:val="089D1A7C"/>
    <w:rsid w:val="089D1AF8"/>
    <w:rsid w:val="089D1B45"/>
    <w:rsid w:val="089D1BEC"/>
    <w:rsid w:val="089D1C47"/>
    <w:rsid w:val="089D1CCA"/>
    <w:rsid w:val="089D1D0A"/>
    <w:rsid w:val="089D1D25"/>
    <w:rsid w:val="089D1D2D"/>
    <w:rsid w:val="089D1EC4"/>
    <w:rsid w:val="089D2090"/>
    <w:rsid w:val="089D217B"/>
    <w:rsid w:val="089D21AE"/>
    <w:rsid w:val="089D21D4"/>
    <w:rsid w:val="089D2211"/>
    <w:rsid w:val="089D2234"/>
    <w:rsid w:val="089D22E7"/>
    <w:rsid w:val="089D2334"/>
    <w:rsid w:val="089D2335"/>
    <w:rsid w:val="089D2412"/>
    <w:rsid w:val="089D244D"/>
    <w:rsid w:val="089D2456"/>
    <w:rsid w:val="089D24D8"/>
    <w:rsid w:val="089D24FE"/>
    <w:rsid w:val="089D266F"/>
    <w:rsid w:val="089D271F"/>
    <w:rsid w:val="089D2831"/>
    <w:rsid w:val="089D289C"/>
    <w:rsid w:val="089D292E"/>
    <w:rsid w:val="089D2950"/>
    <w:rsid w:val="089D2A26"/>
    <w:rsid w:val="089D2B12"/>
    <w:rsid w:val="089D2BB3"/>
    <w:rsid w:val="089D2BBC"/>
    <w:rsid w:val="089D2CA9"/>
    <w:rsid w:val="089D2D81"/>
    <w:rsid w:val="089D2E06"/>
    <w:rsid w:val="089D2EC1"/>
    <w:rsid w:val="089D3002"/>
    <w:rsid w:val="089D31E8"/>
    <w:rsid w:val="089D3332"/>
    <w:rsid w:val="089D33F4"/>
    <w:rsid w:val="089D3408"/>
    <w:rsid w:val="089D348C"/>
    <w:rsid w:val="089D34C1"/>
    <w:rsid w:val="089D34E5"/>
    <w:rsid w:val="089D34F2"/>
    <w:rsid w:val="089D35BA"/>
    <w:rsid w:val="089D36EF"/>
    <w:rsid w:val="089D373C"/>
    <w:rsid w:val="089D37F3"/>
    <w:rsid w:val="089D38C7"/>
    <w:rsid w:val="089D38D1"/>
    <w:rsid w:val="089D39CD"/>
    <w:rsid w:val="089D3A0B"/>
    <w:rsid w:val="089D3A65"/>
    <w:rsid w:val="089D3A6F"/>
    <w:rsid w:val="089D3B70"/>
    <w:rsid w:val="089D3B74"/>
    <w:rsid w:val="089D3BB9"/>
    <w:rsid w:val="089D3C1F"/>
    <w:rsid w:val="089D3CD3"/>
    <w:rsid w:val="089D3DF8"/>
    <w:rsid w:val="089D3E71"/>
    <w:rsid w:val="089D3F23"/>
    <w:rsid w:val="089D3F69"/>
    <w:rsid w:val="089D3FAD"/>
    <w:rsid w:val="089D3FE4"/>
    <w:rsid w:val="089D4002"/>
    <w:rsid w:val="089D40E4"/>
    <w:rsid w:val="089D41BE"/>
    <w:rsid w:val="089D428B"/>
    <w:rsid w:val="089D42D4"/>
    <w:rsid w:val="089D43C7"/>
    <w:rsid w:val="089D43E0"/>
    <w:rsid w:val="089D4515"/>
    <w:rsid w:val="089D4631"/>
    <w:rsid w:val="089D4650"/>
    <w:rsid w:val="089D469C"/>
    <w:rsid w:val="089D46DF"/>
    <w:rsid w:val="089D46E5"/>
    <w:rsid w:val="089D4729"/>
    <w:rsid w:val="089D4768"/>
    <w:rsid w:val="089D4784"/>
    <w:rsid w:val="089D47A5"/>
    <w:rsid w:val="089D4936"/>
    <w:rsid w:val="089D4A92"/>
    <w:rsid w:val="089D4AAA"/>
    <w:rsid w:val="089D4B90"/>
    <w:rsid w:val="089D4C4A"/>
    <w:rsid w:val="089D4C9F"/>
    <w:rsid w:val="089D4CA0"/>
    <w:rsid w:val="089D4CB6"/>
    <w:rsid w:val="089D4D9B"/>
    <w:rsid w:val="089D4D9E"/>
    <w:rsid w:val="089D4E31"/>
    <w:rsid w:val="089D4E4E"/>
    <w:rsid w:val="089D4EA1"/>
    <w:rsid w:val="089D4ED7"/>
    <w:rsid w:val="089D4EDA"/>
    <w:rsid w:val="089D4F27"/>
    <w:rsid w:val="089D4F7D"/>
    <w:rsid w:val="089D50B1"/>
    <w:rsid w:val="089D5104"/>
    <w:rsid w:val="089D52BC"/>
    <w:rsid w:val="089D5329"/>
    <w:rsid w:val="089D53E8"/>
    <w:rsid w:val="089D53EC"/>
    <w:rsid w:val="089D5434"/>
    <w:rsid w:val="089D54A0"/>
    <w:rsid w:val="089D555C"/>
    <w:rsid w:val="089D5608"/>
    <w:rsid w:val="089D5651"/>
    <w:rsid w:val="089D56D1"/>
    <w:rsid w:val="089D56ED"/>
    <w:rsid w:val="089D5893"/>
    <w:rsid w:val="089D58FA"/>
    <w:rsid w:val="089D5920"/>
    <w:rsid w:val="089D5990"/>
    <w:rsid w:val="089D5A33"/>
    <w:rsid w:val="089D5A45"/>
    <w:rsid w:val="089D5B7B"/>
    <w:rsid w:val="089D5BB2"/>
    <w:rsid w:val="089D5D6E"/>
    <w:rsid w:val="089D5D86"/>
    <w:rsid w:val="089D5DC4"/>
    <w:rsid w:val="089D5DD0"/>
    <w:rsid w:val="089D5F0A"/>
    <w:rsid w:val="089D6017"/>
    <w:rsid w:val="089D608C"/>
    <w:rsid w:val="089D627F"/>
    <w:rsid w:val="089D62BF"/>
    <w:rsid w:val="089D62EC"/>
    <w:rsid w:val="089D63DB"/>
    <w:rsid w:val="089D642B"/>
    <w:rsid w:val="089D652C"/>
    <w:rsid w:val="089D6592"/>
    <w:rsid w:val="089D66A1"/>
    <w:rsid w:val="089D676B"/>
    <w:rsid w:val="089D6848"/>
    <w:rsid w:val="089D69E0"/>
    <w:rsid w:val="089D69EB"/>
    <w:rsid w:val="089D69FC"/>
    <w:rsid w:val="089D6B0F"/>
    <w:rsid w:val="089D6BA1"/>
    <w:rsid w:val="089D6BF9"/>
    <w:rsid w:val="089D6C5E"/>
    <w:rsid w:val="089D6C86"/>
    <w:rsid w:val="089D6D23"/>
    <w:rsid w:val="089D6D2F"/>
    <w:rsid w:val="089D6D63"/>
    <w:rsid w:val="089D6D87"/>
    <w:rsid w:val="089D6E08"/>
    <w:rsid w:val="089D6E11"/>
    <w:rsid w:val="089D6EAB"/>
    <w:rsid w:val="089D6EB0"/>
    <w:rsid w:val="089D6FAB"/>
    <w:rsid w:val="089D6FF3"/>
    <w:rsid w:val="089D705B"/>
    <w:rsid w:val="089D7068"/>
    <w:rsid w:val="089D7144"/>
    <w:rsid w:val="089D7186"/>
    <w:rsid w:val="089D71E2"/>
    <w:rsid w:val="089D733D"/>
    <w:rsid w:val="089D733F"/>
    <w:rsid w:val="089D739F"/>
    <w:rsid w:val="089D7454"/>
    <w:rsid w:val="089D7478"/>
    <w:rsid w:val="089D747D"/>
    <w:rsid w:val="089D75BA"/>
    <w:rsid w:val="089D7652"/>
    <w:rsid w:val="089D7660"/>
    <w:rsid w:val="089D7690"/>
    <w:rsid w:val="089D76ED"/>
    <w:rsid w:val="089D7721"/>
    <w:rsid w:val="089D7723"/>
    <w:rsid w:val="089D77B8"/>
    <w:rsid w:val="089D782C"/>
    <w:rsid w:val="089D784B"/>
    <w:rsid w:val="089D785E"/>
    <w:rsid w:val="089D786F"/>
    <w:rsid w:val="089D79AA"/>
    <w:rsid w:val="089D79BB"/>
    <w:rsid w:val="089D7A1F"/>
    <w:rsid w:val="089D7AC0"/>
    <w:rsid w:val="089D7B08"/>
    <w:rsid w:val="089D7B79"/>
    <w:rsid w:val="089D7BDA"/>
    <w:rsid w:val="089D7C39"/>
    <w:rsid w:val="089D7D0C"/>
    <w:rsid w:val="089D7D1D"/>
    <w:rsid w:val="089D7DA9"/>
    <w:rsid w:val="089D7E29"/>
    <w:rsid w:val="089D7E8D"/>
    <w:rsid w:val="089D7EF2"/>
    <w:rsid w:val="089D7F26"/>
    <w:rsid w:val="089D7F9E"/>
    <w:rsid w:val="089D7FA8"/>
    <w:rsid w:val="089E0058"/>
    <w:rsid w:val="089E0091"/>
    <w:rsid w:val="089E0094"/>
    <w:rsid w:val="089E00AF"/>
    <w:rsid w:val="089E013A"/>
    <w:rsid w:val="089E0147"/>
    <w:rsid w:val="089E020B"/>
    <w:rsid w:val="089E026B"/>
    <w:rsid w:val="089E027C"/>
    <w:rsid w:val="089E0437"/>
    <w:rsid w:val="089E0638"/>
    <w:rsid w:val="089E0645"/>
    <w:rsid w:val="089E08D5"/>
    <w:rsid w:val="089E08E9"/>
    <w:rsid w:val="089E08F7"/>
    <w:rsid w:val="089E0985"/>
    <w:rsid w:val="089E0A22"/>
    <w:rsid w:val="089E0A2B"/>
    <w:rsid w:val="089E0A4F"/>
    <w:rsid w:val="089E0A9B"/>
    <w:rsid w:val="089E0AAB"/>
    <w:rsid w:val="089E0B3C"/>
    <w:rsid w:val="089E0BD7"/>
    <w:rsid w:val="089E0BE8"/>
    <w:rsid w:val="089E0C6F"/>
    <w:rsid w:val="089E0CA6"/>
    <w:rsid w:val="089E0CAC"/>
    <w:rsid w:val="089E0D6F"/>
    <w:rsid w:val="089E0DF9"/>
    <w:rsid w:val="089E0ED8"/>
    <w:rsid w:val="089E0ED9"/>
    <w:rsid w:val="089E0F0A"/>
    <w:rsid w:val="089E0F30"/>
    <w:rsid w:val="089E0F34"/>
    <w:rsid w:val="089E101A"/>
    <w:rsid w:val="089E1079"/>
    <w:rsid w:val="089E107C"/>
    <w:rsid w:val="089E108C"/>
    <w:rsid w:val="089E10D4"/>
    <w:rsid w:val="089E1114"/>
    <w:rsid w:val="089E1164"/>
    <w:rsid w:val="089E117D"/>
    <w:rsid w:val="089E11CD"/>
    <w:rsid w:val="089E11D8"/>
    <w:rsid w:val="089E11F7"/>
    <w:rsid w:val="089E121A"/>
    <w:rsid w:val="089E12D7"/>
    <w:rsid w:val="089E1420"/>
    <w:rsid w:val="089E1424"/>
    <w:rsid w:val="089E1429"/>
    <w:rsid w:val="089E14ED"/>
    <w:rsid w:val="089E1653"/>
    <w:rsid w:val="089E16BD"/>
    <w:rsid w:val="089E16FB"/>
    <w:rsid w:val="089E1828"/>
    <w:rsid w:val="089E18F5"/>
    <w:rsid w:val="089E197A"/>
    <w:rsid w:val="089E1A19"/>
    <w:rsid w:val="089E1A1A"/>
    <w:rsid w:val="089E1B96"/>
    <w:rsid w:val="089E1C37"/>
    <w:rsid w:val="089E1C3B"/>
    <w:rsid w:val="089E1CF1"/>
    <w:rsid w:val="089E1E92"/>
    <w:rsid w:val="089E1F10"/>
    <w:rsid w:val="089E1F3E"/>
    <w:rsid w:val="089E1FDB"/>
    <w:rsid w:val="089E1FFC"/>
    <w:rsid w:val="089E20C3"/>
    <w:rsid w:val="089E213D"/>
    <w:rsid w:val="089E218B"/>
    <w:rsid w:val="089E228C"/>
    <w:rsid w:val="089E22DB"/>
    <w:rsid w:val="089E2363"/>
    <w:rsid w:val="089E2375"/>
    <w:rsid w:val="089E2383"/>
    <w:rsid w:val="089E24BB"/>
    <w:rsid w:val="089E256C"/>
    <w:rsid w:val="089E265B"/>
    <w:rsid w:val="089E2792"/>
    <w:rsid w:val="089E2897"/>
    <w:rsid w:val="089E28CE"/>
    <w:rsid w:val="089E2923"/>
    <w:rsid w:val="089E2926"/>
    <w:rsid w:val="089E293D"/>
    <w:rsid w:val="089E298E"/>
    <w:rsid w:val="089E29BA"/>
    <w:rsid w:val="089E29C2"/>
    <w:rsid w:val="089E29E8"/>
    <w:rsid w:val="089E2A45"/>
    <w:rsid w:val="089E2A79"/>
    <w:rsid w:val="089E2AB9"/>
    <w:rsid w:val="089E2B09"/>
    <w:rsid w:val="089E2B7C"/>
    <w:rsid w:val="089E2C6B"/>
    <w:rsid w:val="089E2D1A"/>
    <w:rsid w:val="089E2DB3"/>
    <w:rsid w:val="089E2FF9"/>
    <w:rsid w:val="089E309C"/>
    <w:rsid w:val="089E3235"/>
    <w:rsid w:val="089E32A9"/>
    <w:rsid w:val="089E332E"/>
    <w:rsid w:val="089E3366"/>
    <w:rsid w:val="089E33BD"/>
    <w:rsid w:val="089E344A"/>
    <w:rsid w:val="089E3472"/>
    <w:rsid w:val="089E347C"/>
    <w:rsid w:val="089E3538"/>
    <w:rsid w:val="089E359F"/>
    <w:rsid w:val="089E35F6"/>
    <w:rsid w:val="089E36F2"/>
    <w:rsid w:val="089E3767"/>
    <w:rsid w:val="089E376D"/>
    <w:rsid w:val="089E376E"/>
    <w:rsid w:val="089E37B8"/>
    <w:rsid w:val="089E3807"/>
    <w:rsid w:val="089E3832"/>
    <w:rsid w:val="089E3894"/>
    <w:rsid w:val="089E3896"/>
    <w:rsid w:val="089E38AF"/>
    <w:rsid w:val="089E395A"/>
    <w:rsid w:val="089E39B1"/>
    <w:rsid w:val="089E39C9"/>
    <w:rsid w:val="089E39DC"/>
    <w:rsid w:val="089E3A42"/>
    <w:rsid w:val="089E3A84"/>
    <w:rsid w:val="089E3B08"/>
    <w:rsid w:val="089E3B11"/>
    <w:rsid w:val="089E3B88"/>
    <w:rsid w:val="089E3C07"/>
    <w:rsid w:val="089E3CE5"/>
    <w:rsid w:val="089E3DC5"/>
    <w:rsid w:val="089E3DD6"/>
    <w:rsid w:val="089E3E73"/>
    <w:rsid w:val="089E3ECB"/>
    <w:rsid w:val="089E3F4F"/>
    <w:rsid w:val="089E3F7C"/>
    <w:rsid w:val="089E40D5"/>
    <w:rsid w:val="089E41F2"/>
    <w:rsid w:val="089E422D"/>
    <w:rsid w:val="089E4267"/>
    <w:rsid w:val="089E43AD"/>
    <w:rsid w:val="089E44AA"/>
    <w:rsid w:val="089E452D"/>
    <w:rsid w:val="089E454B"/>
    <w:rsid w:val="089E4646"/>
    <w:rsid w:val="089E479D"/>
    <w:rsid w:val="089E4832"/>
    <w:rsid w:val="089E487E"/>
    <w:rsid w:val="089E48AC"/>
    <w:rsid w:val="089E48CF"/>
    <w:rsid w:val="089E49CE"/>
    <w:rsid w:val="089E49D1"/>
    <w:rsid w:val="089E4A05"/>
    <w:rsid w:val="089E4A0A"/>
    <w:rsid w:val="089E4AB5"/>
    <w:rsid w:val="089E4AB8"/>
    <w:rsid w:val="089E4B7D"/>
    <w:rsid w:val="089E4BB3"/>
    <w:rsid w:val="089E4C14"/>
    <w:rsid w:val="089E4CD7"/>
    <w:rsid w:val="089E4D54"/>
    <w:rsid w:val="089E4EE9"/>
    <w:rsid w:val="089E506D"/>
    <w:rsid w:val="089E51A3"/>
    <w:rsid w:val="089E51DA"/>
    <w:rsid w:val="089E52BE"/>
    <w:rsid w:val="089E5340"/>
    <w:rsid w:val="089E54CA"/>
    <w:rsid w:val="089E54E5"/>
    <w:rsid w:val="089E54E6"/>
    <w:rsid w:val="089E552D"/>
    <w:rsid w:val="089E5540"/>
    <w:rsid w:val="089E5556"/>
    <w:rsid w:val="089E55C7"/>
    <w:rsid w:val="089E55FD"/>
    <w:rsid w:val="089E5605"/>
    <w:rsid w:val="089E561A"/>
    <w:rsid w:val="089E561F"/>
    <w:rsid w:val="089E56D4"/>
    <w:rsid w:val="089E56F6"/>
    <w:rsid w:val="089E5705"/>
    <w:rsid w:val="089E572F"/>
    <w:rsid w:val="089E5806"/>
    <w:rsid w:val="089E5857"/>
    <w:rsid w:val="089E585A"/>
    <w:rsid w:val="089E585B"/>
    <w:rsid w:val="089E58AE"/>
    <w:rsid w:val="089E58F6"/>
    <w:rsid w:val="089E594E"/>
    <w:rsid w:val="089E5962"/>
    <w:rsid w:val="089E59C9"/>
    <w:rsid w:val="089E5B0F"/>
    <w:rsid w:val="089E5B39"/>
    <w:rsid w:val="089E5B4E"/>
    <w:rsid w:val="089E5CB3"/>
    <w:rsid w:val="089E5CBC"/>
    <w:rsid w:val="089E5D7C"/>
    <w:rsid w:val="089E5DA8"/>
    <w:rsid w:val="089E5DE7"/>
    <w:rsid w:val="089E5DF8"/>
    <w:rsid w:val="089E5E54"/>
    <w:rsid w:val="089E5EDE"/>
    <w:rsid w:val="089E5F35"/>
    <w:rsid w:val="089E5FA0"/>
    <w:rsid w:val="089E5FFA"/>
    <w:rsid w:val="089E6020"/>
    <w:rsid w:val="089E6094"/>
    <w:rsid w:val="089E60AC"/>
    <w:rsid w:val="089E6154"/>
    <w:rsid w:val="089E6159"/>
    <w:rsid w:val="089E6176"/>
    <w:rsid w:val="089E6179"/>
    <w:rsid w:val="089E6187"/>
    <w:rsid w:val="089E61B6"/>
    <w:rsid w:val="089E6268"/>
    <w:rsid w:val="089E62E3"/>
    <w:rsid w:val="089E63AC"/>
    <w:rsid w:val="089E63C7"/>
    <w:rsid w:val="089E63D0"/>
    <w:rsid w:val="089E647D"/>
    <w:rsid w:val="089E662D"/>
    <w:rsid w:val="089E6658"/>
    <w:rsid w:val="089E673E"/>
    <w:rsid w:val="089E6797"/>
    <w:rsid w:val="089E67BF"/>
    <w:rsid w:val="089E69FD"/>
    <w:rsid w:val="089E6B1E"/>
    <w:rsid w:val="089E6D85"/>
    <w:rsid w:val="089E6E07"/>
    <w:rsid w:val="089E6E52"/>
    <w:rsid w:val="089E6F35"/>
    <w:rsid w:val="089E700C"/>
    <w:rsid w:val="089E7052"/>
    <w:rsid w:val="089E7096"/>
    <w:rsid w:val="089E70D8"/>
    <w:rsid w:val="089E7125"/>
    <w:rsid w:val="089E718C"/>
    <w:rsid w:val="089E7299"/>
    <w:rsid w:val="089E7325"/>
    <w:rsid w:val="089E73CB"/>
    <w:rsid w:val="089E747D"/>
    <w:rsid w:val="089E74C7"/>
    <w:rsid w:val="089E7577"/>
    <w:rsid w:val="089E75B3"/>
    <w:rsid w:val="089E75C5"/>
    <w:rsid w:val="089E75CA"/>
    <w:rsid w:val="089E7681"/>
    <w:rsid w:val="089E76D0"/>
    <w:rsid w:val="089E77D3"/>
    <w:rsid w:val="089E77D8"/>
    <w:rsid w:val="089E78D9"/>
    <w:rsid w:val="089E7918"/>
    <w:rsid w:val="089E791A"/>
    <w:rsid w:val="089E7930"/>
    <w:rsid w:val="089E793E"/>
    <w:rsid w:val="089E79D1"/>
    <w:rsid w:val="089E7A3F"/>
    <w:rsid w:val="089E7A56"/>
    <w:rsid w:val="089E7A9C"/>
    <w:rsid w:val="089E7C5F"/>
    <w:rsid w:val="089E7D94"/>
    <w:rsid w:val="089E7E84"/>
    <w:rsid w:val="089E7EA6"/>
    <w:rsid w:val="089E7ECB"/>
    <w:rsid w:val="089E7F20"/>
    <w:rsid w:val="089E7FB8"/>
    <w:rsid w:val="089E7FCE"/>
    <w:rsid w:val="089F00C1"/>
    <w:rsid w:val="089F014E"/>
    <w:rsid w:val="089F01A1"/>
    <w:rsid w:val="089F020B"/>
    <w:rsid w:val="089F027C"/>
    <w:rsid w:val="089F02AA"/>
    <w:rsid w:val="089F0371"/>
    <w:rsid w:val="089F04EC"/>
    <w:rsid w:val="089F05C7"/>
    <w:rsid w:val="089F05D7"/>
    <w:rsid w:val="089F0634"/>
    <w:rsid w:val="089F0679"/>
    <w:rsid w:val="089F06DE"/>
    <w:rsid w:val="089F072A"/>
    <w:rsid w:val="089F073F"/>
    <w:rsid w:val="089F0750"/>
    <w:rsid w:val="089F0755"/>
    <w:rsid w:val="089F0775"/>
    <w:rsid w:val="089F0803"/>
    <w:rsid w:val="089F088C"/>
    <w:rsid w:val="089F08A1"/>
    <w:rsid w:val="089F08A2"/>
    <w:rsid w:val="089F095E"/>
    <w:rsid w:val="089F096D"/>
    <w:rsid w:val="089F0982"/>
    <w:rsid w:val="089F0984"/>
    <w:rsid w:val="089F0997"/>
    <w:rsid w:val="089F09B8"/>
    <w:rsid w:val="089F09DA"/>
    <w:rsid w:val="089F0A0D"/>
    <w:rsid w:val="089F0A61"/>
    <w:rsid w:val="089F0DA9"/>
    <w:rsid w:val="089F0DC9"/>
    <w:rsid w:val="089F0E21"/>
    <w:rsid w:val="089F0E99"/>
    <w:rsid w:val="089F0E9B"/>
    <w:rsid w:val="089F0EC5"/>
    <w:rsid w:val="089F0F2B"/>
    <w:rsid w:val="089F1058"/>
    <w:rsid w:val="089F10B8"/>
    <w:rsid w:val="089F1105"/>
    <w:rsid w:val="089F1170"/>
    <w:rsid w:val="089F11E0"/>
    <w:rsid w:val="089F11EC"/>
    <w:rsid w:val="089F1224"/>
    <w:rsid w:val="089F1257"/>
    <w:rsid w:val="089F1332"/>
    <w:rsid w:val="089F14D5"/>
    <w:rsid w:val="089F14FD"/>
    <w:rsid w:val="089F1516"/>
    <w:rsid w:val="089F1531"/>
    <w:rsid w:val="089F1596"/>
    <w:rsid w:val="089F1633"/>
    <w:rsid w:val="089F1656"/>
    <w:rsid w:val="089F166E"/>
    <w:rsid w:val="089F1798"/>
    <w:rsid w:val="089F17D8"/>
    <w:rsid w:val="089F181D"/>
    <w:rsid w:val="089F1862"/>
    <w:rsid w:val="089F188C"/>
    <w:rsid w:val="089F18A3"/>
    <w:rsid w:val="089F18B8"/>
    <w:rsid w:val="089F1927"/>
    <w:rsid w:val="089F1959"/>
    <w:rsid w:val="089F19B3"/>
    <w:rsid w:val="089F19C2"/>
    <w:rsid w:val="089F1A30"/>
    <w:rsid w:val="089F1A9A"/>
    <w:rsid w:val="089F1AB0"/>
    <w:rsid w:val="089F1B11"/>
    <w:rsid w:val="089F1BCD"/>
    <w:rsid w:val="089F1C74"/>
    <w:rsid w:val="089F1CE4"/>
    <w:rsid w:val="089F1F70"/>
    <w:rsid w:val="089F2021"/>
    <w:rsid w:val="089F20DF"/>
    <w:rsid w:val="089F222E"/>
    <w:rsid w:val="089F223E"/>
    <w:rsid w:val="089F22C7"/>
    <w:rsid w:val="089F22DD"/>
    <w:rsid w:val="089F23C1"/>
    <w:rsid w:val="089F2400"/>
    <w:rsid w:val="089F262E"/>
    <w:rsid w:val="089F2688"/>
    <w:rsid w:val="089F26C4"/>
    <w:rsid w:val="089F26D2"/>
    <w:rsid w:val="089F274D"/>
    <w:rsid w:val="089F29D0"/>
    <w:rsid w:val="089F2A44"/>
    <w:rsid w:val="089F2A88"/>
    <w:rsid w:val="089F2B25"/>
    <w:rsid w:val="089F2CEA"/>
    <w:rsid w:val="089F2CFF"/>
    <w:rsid w:val="089F2F41"/>
    <w:rsid w:val="089F300F"/>
    <w:rsid w:val="089F3123"/>
    <w:rsid w:val="089F3351"/>
    <w:rsid w:val="089F3368"/>
    <w:rsid w:val="089F3441"/>
    <w:rsid w:val="089F3477"/>
    <w:rsid w:val="089F34A1"/>
    <w:rsid w:val="089F34F7"/>
    <w:rsid w:val="089F350E"/>
    <w:rsid w:val="089F355A"/>
    <w:rsid w:val="089F357F"/>
    <w:rsid w:val="089F35AD"/>
    <w:rsid w:val="089F35DF"/>
    <w:rsid w:val="089F360C"/>
    <w:rsid w:val="089F3657"/>
    <w:rsid w:val="089F3729"/>
    <w:rsid w:val="089F3791"/>
    <w:rsid w:val="089F37B8"/>
    <w:rsid w:val="089F3899"/>
    <w:rsid w:val="089F38EB"/>
    <w:rsid w:val="089F397C"/>
    <w:rsid w:val="089F39EA"/>
    <w:rsid w:val="089F3A4A"/>
    <w:rsid w:val="089F3A73"/>
    <w:rsid w:val="089F3A96"/>
    <w:rsid w:val="089F3AF2"/>
    <w:rsid w:val="089F3C16"/>
    <w:rsid w:val="089F3C2B"/>
    <w:rsid w:val="089F3C7C"/>
    <w:rsid w:val="089F3DE6"/>
    <w:rsid w:val="089F3E9C"/>
    <w:rsid w:val="089F3F61"/>
    <w:rsid w:val="089F3F75"/>
    <w:rsid w:val="089F3F94"/>
    <w:rsid w:val="089F3FC8"/>
    <w:rsid w:val="089F3FDF"/>
    <w:rsid w:val="089F405A"/>
    <w:rsid w:val="089F4178"/>
    <w:rsid w:val="089F42DC"/>
    <w:rsid w:val="089F441C"/>
    <w:rsid w:val="089F442E"/>
    <w:rsid w:val="089F4488"/>
    <w:rsid w:val="089F463A"/>
    <w:rsid w:val="089F4901"/>
    <w:rsid w:val="089F4963"/>
    <w:rsid w:val="089F49D6"/>
    <w:rsid w:val="089F49FF"/>
    <w:rsid w:val="089F4A37"/>
    <w:rsid w:val="089F4AB1"/>
    <w:rsid w:val="089F4B85"/>
    <w:rsid w:val="089F4B93"/>
    <w:rsid w:val="089F4BAC"/>
    <w:rsid w:val="089F4BB9"/>
    <w:rsid w:val="089F4C29"/>
    <w:rsid w:val="089F4C46"/>
    <w:rsid w:val="089F4CD7"/>
    <w:rsid w:val="089F4CF6"/>
    <w:rsid w:val="089F4CFC"/>
    <w:rsid w:val="089F4D8D"/>
    <w:rsid w:val="089F4E39"/>
    <w:rsid w:val="089F4EAA"/>
    <w:rsid w:val="089F50CD"/>
    <w:rsid w:val="089F50DD"/>
    <w:rsid w:val="089F521A"/>
    <w:rsid w:val="089F524C"/>
    <w:rsid w:val="089F535F"/>
    <w:rsid w:val="089F5360"/>
    <w:rsid w:val="089F53BF"/>
    <w:rsid w:val="089F53C6"/>
    <w:rsid w:val="089F53EA"/>
    <w:rsid w:val="089F548F"/>
    <w:rsid w:val="089F5554"/>
    <w:rsid w:val="089F5575"/>
    <w:rsid w:val="089F55C5"/>
    <w:rsid w:val="089F5693"/>
    <w:rsid w:val="089F56B9"/>
    <w:rsid w:val="089F57B5"/>
    <w:rsid w:val="089F580C"/>
    <w:rsid w:val="089F581E"/>
    <w:rsid w:val="089F5844"/>
    <w:rsid w:val="089F5904"/>
    <w:rsid w:val="089F595A"/>
    <w:rsid w:val="089F59C3"/>
    <w:rsid w:val="089F59E2"/>
    <w:rsid w:val="089F5A20"/>
    <w:rsid w:val="089F5A2E"/>
    <w:rsid w:val="089F5AA1"/>
    <w:rsid w:val="089F5AEC"/>
    <w:rsid w:val="089F5B52"/>
    <w:rsid w:val="089F5BDD"/>
    <w:rsid w:val="089F5BE2"/>
    <w:rsid w:val="089F5D65"/>
    <w:rsid w:val="089F5E04"/>
    <w:rsid w:val="089F5E3F"/>
    <w:rsid w:val="089F5E5E"/>
    <w:rsid w:val="089F5EBE"/>
    <w:rsid w:val="089F5F9A"/>
    <w:rsid w:val="089F6009"/>
    <w:rsid w:val="089F6059"/>
    <w:rsid w:val="089F614D"/>
    <w:rsid w:val="089F6206"/>
    <w:rsid w:val="089F627D"/>
    <w:rsid w:val="089F62D1"/>
    <w:rsid w:val="089F62DA"/>
    <w:rsid w:val="089F6369"/>
    <w:rsid w:val="089F63BF"/>
    <w:rsid w:val="089F6554"/>
    <w:rsid w:val="089F6599"/>
    <w:rsid w:val="089F665A"/>
    <w:rsid w:val="089F6691"/>
    <w:rsid w:val="089F66A2"/>
    <w:rsid w:val="089F6707"/>
    <w:rsid w:val="089F6708"/>
    <w:rsid w:val="089F6719"/>
    <w:rsid w:val="089F6844"/>
    <w:rsid w:val="089F6854"/>
    <w:rsid w:val="089F686E"/>
    <w:rsid w:val="089F6889"/>
    <w:rsid w:val="089F68A8"/>
    <w:rsid w:val="089F6983"/>
    <w:rsid w:val="089F69C9"/>
    <w:rsid w:val="089F6A48"/>
    <w:rsid w:val="089F6B51"/>
    <w:rsid w:val="089F6BBD"/>
    <w:rsid w:val="089F6CFE"/>
    <w:rsid w:val="089F6E49"/>
    <w:rsid w:val="089F6FFD"/>
    <w:rsid w:val="089F7000"/>
    <w:rsid w:val="089F7087"/>
    <w:rsid w:val="089F70E9"/>
    <w:rsid w:val="089F7288"/>
    <w:rsid w:val="089F72CD"/>
    <w:rsid w:val="089F7302"/>
    <w:rsid w:val="089F7304"/>
    <w:rsid w:val="089F7360"/>
    <w:rsid w:val="089F7391"/>
    <w:rsid w:val="089F73D4"/>
    <w:rsid w:val="089F73EF"/>
    <w:rsid w:val="089F7441"/>
    <w:rsid w:val="089F7479"/>
    <w:rsid w:val="089F7483"/>
    <w:rsid w:val="089F756B"/>
    <w:rsid w:val="089F75D4"/>
    <w:rsid w:val="089F75F1"/>
    <w:rsid w:val="089F760E"/>
    <w:rsid w:val="089F76A8"/>
    <w:rsid w:val="089F773E"/>
    <w:rsid w:val="089F77CF"/>
    <w:rsid w:val="089F78F4"/>
    <w:rsid w:val="089F78FD"/>
    <w:rsid w:val="089F7928"/>
    <w:rsid w:val="089F7935"/>
    <w:rsid w:val="089F797F"/>
    <w:rsid w:val="089F79E2"/>
    <w:rsid w:val="089F79EF"/>
    <w:rsid w:val="089F7A07"/>
    <w:rsid w:val="089F7AEE"/>
    <w:rsid w:val="089F7B19"/>
    <w:rsid w:val="089F7B96"/>
    <w:rsid w:val="089F7BEA"/>
    <w:rsid w:val="089F7C66"/>
    <w:rsid w:val="089F7C6E"/>
    <w:rsid w:val="089F7C86"/>
    <w:rsid w:val="089F7D41"/>
    <w:rsid w:val="089F7D70"/>
    <w:rsid w:val="089F7E98"/>
    <w:rsid w:val="089F7F19"/>
    <w:rsid w:val="089F7F4F"/>
    <w:rsid w:val="089F7F9B"/>
    <w:rsid w:val="089F7FAC"/>
    <w:rsid w:val="089F7FC5"/>
    <w:rsid w:val="089F7FD0"/>
    <w:rsid w:val="089F7FE0"/>
    <w:rsid w:val="08A0009B"/>
    <w:rsid w:val="08A000F0"/>
    <w:rsid w:val="08A00205"/>
    <w:rsid w:val="08A00259"/>
    <w:rsid w:val="08A00342"/>
    <w:rsid w:val="08A00364"/>
    <w:rsid w:val="08A00366"/>
    <w:rsid w:val="08A0038C"/>
    <w:rsid w:val="08A003ED"/>
    <w:rsid w:val="08A00475"/>
    <w:rsid w:val="08A00525"/>
    <w:rsid w:val="08A00561"/>
    <w:rsid w:val="08A00573"/>
    <w:rsid w:val="08A005E6"/>
    <w:rsid w:val="08A006B6"/>
    <w:rsid w:val="08A008F6"/>
    <w:rsid w:val="08A00963"/>
    <w:rsid w:val="08A009ED"/>
    <w:rsid w:val="08A00A30"/>
    <w:rsid w:val="08A00A5E"/>
    <w:rsid w:val="08A00AA0"/>
    <w:rsid w:val="08A00BBE"/>
    <w:rsid w:val="08A00BFD"/>
    <w:rsid w:val="08A00C1B"/>
    <w:rsid w:val="08A00C4C"/>
    <w:rsid w:val="08A00C69"/>
    <w:rsid w:val="08A00C81"/>
    <w:rsid w:val="08A00CA1"/>
    <w:rsid w:val="08A00CEC"/>
    <w:rsid w:val="08A00D35"/>
    <w:rsid w:val="08A00DEB"/>
    <w:rsid w:val="08A00E53"/>
    <w:rsid w:val="08A00F26"/>
    <w:rsid w:val="08A00F67"/>
    <w:rsid w:val="08A00F8B"/>
    <w:rsid w:val="08A0100E"/>
    <w:rsid w:val="08A0113B"/>
    <w:rsid w:val="08A0116B"/>
    <w:rsid w:val="08A0119D"/>
    <w:rsid w:val="08A012A7"/>
    <w:rsid w:val="08A01325"/>
    <w:rsid w:val="08A0134C"/>
    <w:rsid w:val="08A01368"/>
    <w:rsid w:val="08A0136C"/>
    <w:rsid w:val="08A014E9"/>
    <w:rsid w:val="08A0154D"/>
    <w:rsid w:val="08A015EE"/>
    <w:rsid w:val="08A01621"/>
    <w:rsid w:val="08A01628"/>
    <w:rsid w:val="08A0164A"/>
    <w:rsid w:val="08A016B9"/>
    <w:rsid w:val="08A016D7"/>
    <w:rsid w:val="08A01755"/>
    <w:rsid w:val="08A017E6"/>
    <w:rsid w:val="08A01836"/>
    <w:rsid w:val="08A0187B"/>
    <w:rsid w:val="08A01933"/>
    <w:rsid w:val="08A01970"/>
    <w:rsid w:val="08A01B01"/>
    <w:rsid w:val="08A01B59"/>
    <w:rsid w:val="08A01C67"/>
    <w:rsid w:val="08A01C72"/>
    <w:rsid w:val="08A01C8B"/>
    <w:rsid w:val="08A01D17"/>
    <w:rsid w:val="08A01D51"/>
    <w:rsid w:val="08A01D9C"/>
    <w:rsid w:val="08A01DE9"/>
    <w:rsid w:val="08A01E0C"/>
    <w:rsid w:val="08A01F89"/>
    <w:rsid w:val="08A0206A"/>
    <w:rsid w:val="08A02092"/>
    <w:rsid w:val="08A0209B"/>
    <w:rsid w:val="08A020B2"/>
    <w:rsid w:val="08A020FA"/>
    <w:rsid w:val="08A0217D"/>
    <w:rsid w:val="08A02239"/>
    <w:rsid w:val="08A02293"/>
    <w:rsid w:val="08A022AD"/>
    <w:rsid w:val="08A02318"/>
    <w:rsid w:val="08A0239B"/>
    <w:rsid w:val="08A023D9"/>
    <w:rsid w:val="08A0248F"/>
    <w:rsid w:val="08A024CD"/>
    <w:rsid w:val="08A02540"/>
    <w:rsid w:val="08A025EF"/>
    <w:rsid w:val="08A0260B"/>
    <w:rsid w:val="08A0277A"/>
    <w:rsid w:val="08A027F0"/>
    <w:rsid w:val="08A02876"/>
    <w:rsid w:val="08A028BD"/>
    <w:rsid w:val="08A02945"/>
    <w:rsid w:val="08A02974"/>
    <w:rsid w:val="08A02983"/>
    <w:rsid w:val="08A029B7"/>
    <w:rsid w:val="08A02A6C"/>
    <w:rsid w:val="08A02B34"/>
    <w:rsid w:val="08A02B8E"/>
    <w:rsid w:val="08A02BB1"/>
    <w:rsid w:val="08A02D7C"/>
    <w:rsid w:val="08A02DAB"/>
    <w:rsid w:val="08A02E80"/>
    <w:rsid w:val="08A02ECF"/>
    <w:rsid w:val="08A02F18"/>
    <w:rsid w:val="08A02FCE"/>
    <w:rsid w:val="08A02FDD"/>
    <w:rsid w:val="08A0301A"/>
    <w:rsid w:val="08A03203"/>
    <w:rsid w:val="08A0322B"/>
    <w:rsid w:val="08A0322F"/>
    <w:rsid w:val="08A032CC"/>
    <w:rsid w:val="08A0342B"/>
    <w:rsid w:val="08A03459"/>
    <w:rsid w:val="08A034B6"/>
    <w:rsid w:val="08A03508"/>
    <w:rsid w:val="08A035C9"/>
    <w:rsid w:val="08A036E1"/>
    <w:rsid w:val="08A037AA"/>
    <w:rsid w:val="08A037E9"/>
    <w:rsid w:val="08A037F2"/>
    <w:rsid w:val="08A03853"/>
    <w:rsid w:val="08A03897"/>
    <w:rsid w:val="08A038A3"/>
    <w:rsid w:val="08A038F7"/>
    <w:rsid w:val="08A03955"/>
    <w:rsid w:val="08A03B2C"/>
    <w:rsid w:val="08A03B49"/>
    <w:rsid w:val="08A03B8A"/>
    <w:rsid w:val="08A03BA1"/>
    <w:rsid w:val="08A03BE8"/>
    <w:rsid w:val="08A03C2A"/>
    <w:rsid w:val="08A03CB2"/>
    <w:rsid w:val="08A03D2B"/>
    <w:rsid w:val="08A03D39"/>
    <w:rsid w:val="08A03DCA"/>
    <w:rsid w:val="08A03E31"/>
    <w:rsid w:val="08A03F21"/>
    <w:rsid w:val="08A03F8C"/>
    <w:rsid w:val="08A040F1"/>
    <w:rsid w:val="08A0410E"/>
    <w:rsid w:val="08A04111"/>
    <w:rsid w:val="08A0443F"/>
    <w:rsid w:val="08A04601"/>
    <w:rsid w:val="08A04986"/>
    <w:rsid w:val="08A04A03"/>
    <w:rsid w:val="08A04ABF"/>
    <w:rsid w:val="08A04AE5"/>
    <w:rsid w:val="08A04BAA"/>
    <w:rsid w:val="08A04BAB"/>
    <w:rsid w:val="08A04C38"/>
    <w:rsid w:val="08A04C4E"/>
    <w:rsid w:val="08A04C86"/>
    <w:rsid w:val="08A04CD4"/>
    <w:rsid w:val="08A04D6B"/>
    <w:rsid w:val="08A04DAA"/>
    <w:rsid w:val="08A04DC6"/>
    <w:rsid w:val="08A04DF4"/>
    <w:rsid w:val="08A04E0A"/>
    <w:rsid w:val="08A04E89"/>
    <w:rsid w:val="08A04EA6"/>
    <w:rsid w:val="08A04F69"/>
    <w:rsid w:val="08A050B9"/>
    <w:rsid w:val="08A0513A"/>
    <w:rsid w:val="08A051DF"/>
    <w:rsid w:val="08A05211"/>
    <w:rsid w:val="08A05282"/>
    <w:rsid w:val="08A05351"/>
    <w:rsid w:val="08A05365"/>
    <w:rsid w:val="08A05372"/>
    <w:rsid w:val="08A053A1"/>
    <w:rsid w:val="08A054E2"/>
    <w:rsid w:val="08A055DC"/>
    <w:rsid w:val="08A0563F"/>
    <w:rsid w:val="08A056B0"/>
    <w:rsid w:val="08A0571F"/>
    <w:rsid w:val="08A057F0"/>
    <w:rsid w:val="08A05896"/>
    <w:rsid w:val="08A05929"/>
    <w:rsid w:val="08A059DD"/>
    <w:rsid w:val="08A05A00"/>
    <w:rsid w:val="08A05ADF"/>
    <w:rsid w:val="08A05C2B"/>
    <w:rsid w:val="08A05C47"/>
    <w:rsid w:val="08A05DA1"/>
    <w:rsid w:val="08A05F07"/>
    <w:rsid w:val="08A05F9E"/>
    <w:rsid w:val="08A05FF7"/>
    <w:rsid w:val="08A05FFA"/>
    <w:rsid w:val="08A06123"/>
    <w:rsid w:val="08A06175"/>
    <w:rsid w:val="08A061FE"/>
    <w:rsid w:val="08A06202"/>
    <w:rsid w:val="08A062BA"/>
    <w:rsid w:val="08A06400"/>
    <w:rsid w:val="08A065BC"/>
    <w:rsid w:val="08A065D9"/>
    <w:rsid w:val="08A0661B"/>
    <w:rsid w:val="08A066B3"/>
    <w:rsid w:val="08A066C6"/>
    <w:rsid w:val="08A066ED"/>
    <w:rsid w:val="08A067DB"/>
    <w:rsid w:val="08A067E6"/>
    <w:rsid w:val="08A0689F"/>
    <w:rsid w:val="08A068FD"/>
    <w:rsid w:val="08A06ADB"/>
    <w:rsid w:val="08A06B51"/>
    <w:rsid w:val="08A06D6C"/>
    <w:rsid w:val="08A06DEB"/>
    <w:rsid w:val="08A06EBC"/>
    <w:rsid w:val="08A06EC2"/>
    <w:rsid w:val="08A06F0D"/>
    <w:rsid w:val="08A06F34"/>
    <w:rsid w:val="08A06F66"/>
    <w:rsid w:val="08A06F83"/>
    <w:rsid w:val="08A06FBC"/>
    <w:rsid w:val="08A06FDB"/>
    <w:rsid w:val="08A070C7"/>
    <w:rsid w:val="08A07142"/>
    <w:rsid w:val="08A071C0"/>
    <w:rsid w:val="08A071CE"/>
    <w:rsid w:val="08A0730F"/>
    <w:rsid w:val="08A07334"/>
    <w:rsid w:val="08A07394"/>
    <w:rsid w:val="08A0740A"/>
    <w:rsid w:val="08A07418"/>
    <w:rsid w:val="08A074F9"/>
    <w:rsid w:val="08A074FC"/>
    <w:rsid w:val="08A075DF"/>
    <w:rsid w:val="08A075E1"/>
    <w:rsid w:val="08A076F6"/>
    <w:rsid w:val="08A07767"/>
    <w:rsid w:val="08A077ED"/>
    <w:rsid w:val="08A07986"/>
    <w:rsid w:val="08A079C9"/>
    <w:rsid w:val="08A07A3C"/>
    <w:rsid w:val="08A07A88"/>
    <w:rsid w:val="08A07AAE"/>
    <w:rsid w:val="08A07BD3"/>
    <w:rsid w:val="08A07BD5"/>
    <w:rsid w:val="08A07C21"/>
    <w:rsid w:val="08A07C94"/>
    <w:rsid w:val="08A07CE4"/>
    <w:rsid w:val="08A07D7D"/>
    <w:rsid w:val="08A07F4A"/>
    <w:rsid w:val="08A07F9B"/>
    <w:rsid w:val="08A10059"/>
    <w:rsid w:val="08A10146"/>
    <w:rsid w:val="08A10159"/>
    <w:rsid w:val="08A101B9"/>
    <w:rsid w:val="08A101EE"/>
    <w:rsid w:val="08A103A9"/>
    <w:rsid w:val="08A103C5"/>
    <w:rsid w:val="08A1040A"/>
    <w:rsid w:val="08A10422"/>
    <w:rsid w:val="08A1042C"/>
    <w:rsid w:val="08A1044F"/>
    <w:rsid w:val="08A10487"/>
    <w:rsid w:val="08A104DA"/>
    <w:rsid w:val="08A104E5"/>
    <w:rsid w:val="08A105AE"/>
    <w:rsid w:val="08A105DC"/>
    <w:rsid w:val="08A10755"/>
    <w:rsid w:val="08A10772"/>
    <w:rsid w:val="08A107B4"/>
    <w:rsid w:val="08A10851"/>
    <w:rsid w:val="08A10879"/>
    <w:rsid w:val="08A10955"/>
    <w:rsid w:val="08A10ADF"/>
    <w:rsid w:val="08A10C16"/>
    <w:rsid w:val="08A10C77"/>
    <w:rsid w:val="08A10D25"/>
    <w:rsid w:val="08A10D5A"/>
    <w:rsid w:val="08A10D6A"/>
    <w:rsid w:val="08A10D8B"/>
    <w:rsid w:val="08A10E13"/>
    <w:rsid w:val="08A10E24"/>
    <w:rsid w:val="08A10E3B"/>
    <w:rsid w:val="08A10EB0"/>
    <w:rsid w:val="08A10EBC"/>
    <w:rsid w:val="08A10EE7"/>
    <w:rsid w:val="08A10F1D"/>
    <w:rsid w:val="08A11006"/>
    <w:rsid w:val="08A1104C"/>
    <w:rsid w:val="08A1107F"/>
    <w:rsid w:val="08A111C6"/>
    <w:rsid w:val="08A111E5"/>
    <w:rsid w:val="08A1120E"/>
    <w:rsid w:val="08A112CE"/>
    <w:rsid w:val="08A112D4"/>
    <w:rsid w:val="08A1141F"/>
    <w:rsid w:val="08A11602"/>
    <w:rsid w:val="08A11605"/>
    <w:rsid w:val="08A11690"/>
    <w:rsid w:val="08A117D3"/>
    <w:rsid w:val="08A1185A"/>
    <w:rsid w:val="08A1189A"/>
    <w:rsid w:val="08A1198D"/>
    <w:rsid w:val="08A119C3"/>
    <w:rsid w:val="08A119D5"/>
    <w:rsid w:val="08A119F7"/>
    <w:rsid w:val="08A11A32"/>
    <w:rsid w:val="08A11A3A"/>
    <w:rsid w:val="08A11AB4"/>
    <w:rsid w:val="08A11B7F"/>
    <w:rsid w:val="08A11C35"/>
    <w:rsid w:val="08A11C5A"/>
    <w:rsid w:val="08A11CF0"/>
    <w:rsid w:val="08A11D2A"/>
    <w:rsid w:val="08A11D45"/>
    <w:rsid w:val="08A11DDE"/>
    <w:rsid w:val="08A11DE5"/>
    <w:rsid w:val="08A11EA9"/>
    <w:rsid w:val="08A11F34"/>
    <w:rsid w:val="08A11F8D"/>
    <w:rsid w:val="08A11FA1"/>
    <w:rsid w:val="08A11FF3"/>
    <w:rsid w:val="08A1207E"/>
    <w:rsid w:val="08A120C3"/>
    <w:rsid w:val="08A120E3"/>
    <w:rsid w:val="08A1213E"/>
    <w:rsid w:val="08A12193"/>
    <w:rsid w:val="08A12210"/>
    <w:rsid w:val="08A12265"/>
    <w:rsid w:val="08A122E4"/>
    <w:rsid w:val="08A1234D"/>
    <w:rsid w:val="08A1237D"/>
    <w:rsid w:val="08A123E0"/>
    <w:rsid w:val="08A12413"/>
    <w:rsid w:val="08A12479"/>
    <w:rsid w:val="08A12522"/>
    <w:rsid w:val="08A12765"/>
    <w:rsid w:val="08A1287D"/>
    <w:rsid w:val="08A128BA"/>
    <w:rsid w:val="08A128FC"/>
    <w:rsid w:val="08A1294E"/>
    <w:rsid w:val="08A12981"/>
    <w:rsid w:val="08A12A39"/>
    <w:rsid w:val="08A12A60"/>
    <w:rsid w:val="08A12ACB"/>
    <w:rsid w:val="08A12B04"/>
    <w:rsid w:val="08A12BE8"/>
    <w:rsid w:val="08A12C1C"/>
    <w:rsid w:val="08A12D34"/>
    <w:rsid w:val="08A12D4B"/>
    <w:rsid w:val="08A12D86"/>
    <w:rsid w:val="08A12DD9"/>
    <w:rsid w:val="08A12E00"/>
    <w:rsid w:val="08A12E84"/>
    <w:rsid w:val="08A12EA0"/>
    <w:rsid w:val="08A12F5C"/>
    <w:rsid w:val="08A12F75"/>
    <w:rsid w:val="08A1301F"/>
    <w:rsid w:val="08A1310C"/>
    <w:rsid w:val="08A13143"/>
    <w:rsid w:val="08A132C2"/>
    <w:rsid w:val="08A132F2"/>
    <w:rsid w:val="08A13458"/>
    <w:rsid w:val="08A13481"/>
    <w:rsid w:val="08A135D3"/>
    <w:rsid w:val="08A135DE"/>
    <w:rsid w:val="08A13680"/>
    <w:rsid w:val="08A136B0"/>
    <w:rsid w:val="08A136E9"/>
    <w:rsid w:val="08A13709"/>
    <w:rsid w:val="08A1378E"/>
    <w:rsid w:val="08A137CA"/>
    <w:rsid w:val="08A137DD"/>
    <w:rsid w:val="08A138C1"/>
    <w:rsid w:val="08A138D1"/>
    <w:rsid w:val="08A1394E"/>
    <w:rsid w:val="08A1398E"/>
    <w:rsid w:val="08A13B03"/>
    <w:rsid w:val="08A13B58"/>
    <w:rsid w:val="08A13C3C"/>
    <w:rsid w:val="08A13C8F"/>
    <w:rsid w:val="08A13DD7"/>
    <w:rsid w:val="08A13E1C"/>
    <w:rsid w:val="08A13E65"/>
    <w:rsid w:val="08A13E7C"/>
    <w:rsid w:val="08A13E80"/>
    <w:rsid w:val="08A13F23"/>
    <w:rsid w:val="08A13F2A"/>
    <w:rsid w:val="08A13F2B"/>
    <w:rsid w:val="08A13F51"/>
    <w:rsid w:val="08A13F59"/>
    <w:rsid w:val="08A13FD0"/>
    <w:rsid w:val="08A13FED"/>
    <w:rsid w:val="08A1404B"/>
    <w:rsid w:val="08A140BA"/>
    <w:rsid w:val="08A14180"/>
    <w:rsid w:val="08A14189"/>
    <w:rsid w:val="08A142D7"/>
    <w:rsid w:val="08A142DD"/>
    <w:rsid w:val="08A142FF"/>
    <w:rsid w:val="08A14336"/>
    <w:rsid w:val="08A1436C"/>
    <w:rsid w:val="08A143AB"/>
    <w:rsid w:val="08A1443B"/>
    <w:rsid w:val="08A1446A"/>
    <w:rsid w:val="08A14493"/>
    <w:rsid w:val="08A145CB"/>
    <w:rsid w:val="08A145E7"/>
    <w:rsid w:val="08A1460B"/>
    <w:rsid w:val="08A14615"/>
    <w:rsid w:val="08A146BD"/>
    <w:rsid w:val="08A1471D"/>
    <w:rsid w:val="08A14774"/>
    <w:rsid w:val="08A1477B"/>
    <w:rsid w:val="08A149FA"/>
    <w:rsid w:val="08A14A8F"/>
    <w:rsid w:val="08A14AE5"/>
    <w:rsid w:val="08A14B3C"/>
    <w:rsid w:val="08A14B6A"/>
    <w:rsid w:val="08A14BB1"/>
    <w:rsid w:val="08A14CB0"/>
    <w:rsid w:val="08A14D92"/>
    <w:rsid w:val="08A14E1A"/>
    <w:rsid w:val="08A14E35"/>
    <w:rsid w:val="08A14FC8"/>
    <w:rsid w:val="08A1509E"/>
    <w:rsid w:val="08A15161"/>
    <w:rsid w:val="08A15201"/>
    <w:rsid w:val="08A15264"/>
    <w:rsid w:val="08A152B1"/>
    <w:rsid w:val="08A152FC"/>
    <w:rsid w:val="08A15312"/>
    <w:rsid w:val="08A1538B"/>
    <w:rsid w:val="08A15494"/>
    <w:rsid w:val="08A155B6"/>
    <w:rsid w:val="08A155C6"/>
    <w:rsid w:val="08A1563B"/>
    <w:rsid w:val="08A1570A"/>
    <w:rsid w:val="08A15830"/>
    <w:rsid w:val="08A158B5"/>
    <w:rsid w:val="08A15940"/>
    <w:rsid w:val="08A15998"/>
    <w:rsid w:val="08A159F9"/>
    <w:rsid w:val="08A15AD9"/>
    <w:rsid w:val="08A15C1F"/>
    <w:rsid w:val="08A15CE0"/>
    <w:rsid w:val="08A15D20"/>
    <w:rsid w:val="08A15D24"/>
    <w:rsid w:val="08A15D2A"/>
    <w:rsid w:val="08A15D39"/>
    <w:rsid w:val="08A15D5B"/>
    <w:rsid w:val="08A15DE1"/>
    <w:rsid w:val="08A15FB4"/>
    <w:rsid w:val="08A15FBD"/>
    <w:rsid w:val="08A15FE0"/>
    <w:rsid w:val="08A1612C"/>
    <w:rsid w:val="08A16138"/>
    <w:rsid w:val="08A1615D"/>
    <w:rsid w:val="08A16163"/>
    <w:rsid w:val="08A1619E"/>
    <w:rsid w:val="08A161FC"/>
    <w:rsid w:val="08A16263"/>
    <w:rsid w:val="08A16279"/>
    <w:rsid w:val="08A162EC"/>
    <w:rsid w:val="08A16362"/>
    <w:rsid w:val="08A1638C"/>
    <w:rsid w:val="08A16398"/>
    <w:rsid w:val="08A163A5"/>
    <w:rsid w:val="08A16410"/>
    <w:rsid w:val="08A16415"/>
    <w:rsid w:val="08A16449"/>
    <w:rsid w:val="08A16462"/>
    <w:rsid w:val="08A1658C"/>
    <w:rsid w:val="08A1658F"/>
    <w:rsid w:val="08A16603"/>
    <w:rsid w:val="08A16722"/>
    <w:rsid w:val="08A167F7"/>
    <w:rsid w:val="08A16834"/>
    <w:rsid w:val="08A16899"/>
    <w:rsid w:val="08A168DB"/>
    <w:rsid w:val="08A169E5"/>
    <w:rsid w:val="08A16A45"/>
    <w:rsid w:val="08A16B31"/>
    <w:rsid w:val="08A16B50"/>
    <w:rsid w:val="08A16C64"/>
    <w:rsid w:val="08A16C70"/>
    <w:rsid w:val="08A16D10"/>
    <w:rsid w:val="08A16D6E"/>
    <w:rsid w:val="08A16E9C"/>
    <w:rsid w:val="08A16EAA"/>
    <w:rsid w:val="08A16EAD"/>
    <w:rsid w:val="08A16F10"/>
    <w:rsid w:val="08A16F66"/>
    <w:rsid w:val="08A16FC6"/>
    <w:rsid w:val="08A16FF1"/>
    <w:rsid w:val="08A171A1"/>
    <w:rsid w:val="08A171BC"/>
    <w:rsid w:val="08A171C5"/>
    <w:rsid w:val="08A172DD"/>
    <w:rsid w:val="08A1733D"/>
    <w:rsid w:val="08A1745B"/>
    <w:rsid w:val="08A17475"/>
    <w:rsid w:val="08A1747C"/>
    <w:rsid w:val="08A1747F"/>
    <w:rsid w:val="08A1748D"/>
    <w:rsid w:val="08A174B6"/>
    <w:rsid w:val="08A1755B"/>
    <w:rsid w:val="08A1759B"/>
    <w:rsid w:val="08A175AC"/>
    <w:rsid w:val="08A17615"/>
    <w:rsid w:val="08A1761A"/>
    <w:rsid w:val="08A17651"/>
    <w:rsid w:val="08A17751"/>
    <w:rsid w:val="08A1778F"/>
    <w:rsid w:val="08A17807"/>
    <w:rsid w:val="08A17871"/>
    <w:rsid w:val="08A17875"/>
    <w:rsid w:val="08A1796E"/>
    <w:rsid w:val="08A17973"/>
    <w:rsid w:val="08A17A68"/>
    <w:rsid w:val="08A17AC3"/>
    <w:rsid w:val="08A17B26"/>
    <w:rsid w:val="08A17B43"/>
    <w:rsid w:val="08A17C26"/>
    <w:rsid w:val="08A17C3F"/>
    <w:rsid w:val="08A17CBD"/>
    <w:rsid w:val="08A17CCE"/>
    <w:rsid w:val="08A17D32"/>
    <w:rsid w:val="08A17D71"/>
    <w:rsid w:val="08A17DC9"/>
    <w:rsid w:val="08A17F22"/>
    <w:rsid w:val="08A17F64"/>
    <w:rsid w:val="08A17FBA"/>
    <w:rsid w:val="08A17FE0"/>
    <w:rsid w:val="08A2000E"/>
    <w:rsid w:val="08A20059"/>
    <w:rsid w:val="08A2007E"/>
    <w:rsid w:val="08A20105"/>
    <w:rsid w:val="08A20128"/>
    <w:rsid w:val="08A2014C"/>
    <w:rsid w:val="08A201B8"/>
    <w:rsid w:val="08A201D1"/>
    <w:rsid w:val="08A20258"/>
    <w:rsid w:val="08A2028A"/>
    <w:rsid w:val="08A204DA"/>
    <w:rsid w:val="08A20557"/>
    <w:rsid w:val="08A2063D"/>
    <w:rsid w:val="08A206EA"/>
    <w:rsid w:val="08A2089E"/>
    <w:rsid w:val="08A208C1"/>
    <w:rsid w:val="08A209C6"/>
    <w:rsid w:val="08A209CF"/>
    <w:rsid w:val="08A20A8E"/>
    <w:rsid w:val="08A20ABB"/>
    <w:rsid w:val="08A20B04"/>
    <w:rsid w:val="08A20B8A"/>
    <w:rsid w:val="08A20B9C"/>
    <w:rsid w:val="08A20BC1"/>
    <w:rsid w:val="08A20BC9"/>
    <w:rsid w:val="08A20C75"/>
    <w:rsid w:val="08A20C8D"/>
    <w:rsid w:val="08A20CED"/>
    <w:rsid w:val="08A20D0D"/>
    <w:rsid w:val="08A20D74"/>
    <w:rsid w:val="08A20D8A"/>
    <w:rsid w:val="08A20D96"/>
    <w:rsid w:val="08A20F18"/>
    <w:rsid w:val="08A20F57"/>
    <w:rsid w:val="08A20F66"/>
    <w:rsid w:val="08A2116B"/>
    <w:rsid w:val="08A211AE"/>
    <w:rsid w:val="08A2120E"/>
    <w:rsid w:val="08A21247"/>
    <w:rsid w:val="08A212A0"/>
    <w:rsid w:val="08A212E1"/>
    <w:rsid w:val="08A212E3"/>
    <w:rsid w:val="08A21346"/>
    <w:rsid w:val="08A2135C"/>
    <w:rsid w:val="08A21373"/>
    <w:rsid w:val="08A21419"/>
    <w:rsid w:val="08A21426"/>
    <w:rsid w:val="08A21503"/>
    <w:rsid w:val="08A21531"/>
    <w:rsid w:val="08A2157C"/>
    <w:rsid w:val="08A2160F"/>
    <w:rsid w:val="08A2163B"/>
    <w:rsid w:val="08A21688"/>
    <w:rsid w:val="08A21797"/>
    <w:rsid w:val="08A217E1"/>
    <w:rsid w:val="08A217FC"/>
    <w:rsid w:val="08A21828"/>
    <w:rsid w:val="08A218C0"/>
    <w:rsid w:val="08A218CD"/>
    <w:rsid w:val="08A21939"/>
    <w:rsid w:val="08A21A02"/>
    <w:rsid w:val="08A21A13"/>
    <w:rsid w:val="08A21A1D"/>
    <w:rsid w:val="08A21CA8"/>
    <w:rsid w:val="08A21CB0"/>
    <w:rsid w:val="08A21E1E"/>
    <w:rsid w:val="08A21E71"/>
    <w:rsid w:val="08A21F60"/>
    <w:rsid w:val="08A21F94"/>
    <w:rsid w:val="08A22012"/>
    <w:rsid w:val="08A22097"/>
    <w:rsid w:val="08A220ED"/>
    <w:rsid w:val="08A22132"/>
    <w:rsid w:val="08A2223B"/>
    <w:rsid w:val="08A222CC"/>
    <w:rsid w:val="08A22342"/>
    <w:rsid w:val="08A2236A"/>
    <w:rsid w:val="08A223E1"/>
    <w:rsid w:val="08A223E9"/>
    <w:rsid w:val="08A22428"/>
    <w:rsid w:val="08A2245B"/>
    <w:rsid w:val="08A2247B"/>
    <w:rsid w:val="08A22541"/>
    <w:rsid w:val="08A225DC"/>
    <w:rsid w:val="08A225E8"/>
    <w:rsid w:val="08A22691"/>
    <w:rsid w:val="08A22739"/>
    <w:rsid w:val="08A22753"/>
    <w:rsid w:val="08A227B6"/>
    <w:rsid w:val="08A227EE"/>
    <w:rsid w:val="08A2280B"/>
    <w:rsid w:val="08A2288F"/>
    <w:rsid w:val="08A2289E"/>
    <w:rsid w:val="08A228B2"/>
    <w:rsid w:val="08A22900"/>
    <w:rsid w:val="08A22958"/>
    <w:rsid w:val="08A22967"/>
    <w:rsid w:val="08A22970"/>
    <w:rsid w:val="08A22994"/>
    <w:rsid w:val="08A22A75"/>
    <w:rsid w:val="08A22ADB"/>
    <w:rsid w:val="08A22B51"/>
    <w:rsid w:val="08A22B6B"/>
    <w:rsid w:val="08A22C0A"/>
    <w:rsid w:val="08A22C0E"/>
    <w:rsid w:val="08A22D2D"/>
    <w:rsid w:val="08A22D5B"/>
    <w:rsid w:val="08A22E26"/>
    <w:rsid w:val="08A22E30"/>
    <w:rsid w:val="08A22E3E"/>
    <w:rsid w:val="08A22E81"/>
    <w:rsid w:val="08A22F95"/>
    <w:rsid w:val="08A22FA2"/>
    <w:rsid w:val="08A22FA6"/>
    <w:rsid w:val="08A22FD0"/>
    <w:rsid w:val="08A22FE5"/>
    <w:rsid w:val="08A2300D"/>
    <w:rsid w:val="08A23022"/>
    <w:rsid w:val="08A23037"/>
    <w:rsid w:val="08A231E5"/>
    <w:rsid w:val="08A23202"/>
    <w:rsid w:val="08A232D2"/>
    <w:rsid w:val="08A232EE"/>
    <w:rsid w:val="08A23367"/>
    <w:rsid w:val="08A233A3"/>
    <w:rsid w:val="08A23436"/>
    <w:rsid w:val="08A23437"/>
    <w:rsid w:val="08A23494"/>
    <w:rsid w:val="08A234D6"/>
    <w:rsid w:val="08A235F1"/>
    <w:rsid w:val="08A23607"/>
    <w:rsid w:val="08A2366C"/>
    <w:rsid w:val="08A23752"/>
    <w:rsid w:val="08A237D9"/>
    <w:rsid w:val="08A2380C"/>
    <w:rsid w:val="08A23831"/>
    <w:rsid w:val="08A238E8"/>
    <w:rsid w:val="08A239E9"/>
    <w:rsid w:val="08A23A2C"/>
    <w:rsid w:val="08A23AD0"/>
    <w:rsid w:val="08A23AF7"/>
    <w:rsid w:val="08A23D7C"/>
    <w:rsid w:val="08A23D8E"/>
    <w:rsid w:val="08A23DB4"/>
    <w:rsid w:val="08A23DF5"/>
    <w:rsid w:val="08A23E0C"/>
    <w:rsid w:val="08A23F27"/>
    <w:rsid w:val="08A2404A"/>
    <w:rsid w:val="08A2405F"/>
    <w:rsid w:val="08A2407E"/>
    <w:rsid w:val="08A24090"/>
    <w:rsid w:val="08A241FF"/>
    <w:rsid w:val="08A242BA"/>
    <w:rsid w:val="08A242E5"/>
    <w:rsid w:val="08A243C4"/>
    <w:rsid w:val="08A244B7"/>
    <w:rsid w:val="08A24511"/>
    <w:rsid w:val="08A2451A"/>
    <w:rsid w:val="08A24540"/>
    <w:rsid w:val="08A24580"/>
    <w:rsid w:val="08A245B4"/>
    <w:rsid w:val="08A245C3"/>
    <w:rsid w:val="08A24629"/>
    <w:rsid w:val="08A24631"/>
    <w:rsid w:val="08A24646"/>
    <w:rsid w:val="08A24654"/>
    <w:rsid w:val="08A24682"/>
    <w:rsid w:val="08A24704"/>
    <w:rsid w:val="08A24718"/>
    <w:rsid w:val="08A247BE"/>
    <w:rsid w:val="08A2486A"/>
    <w:rsid w:val="08A2486F"/>
    <w:rsid w:val="08A24872"/>
    <w:rsid w:val="08A249A7"/>
    <w:rsid w:val="08A249D9"/>
    <w:rsid w:val="08A24BE3"/>
    <w:rsid w:val="08A24BFE"/>
    <w:rsid w:val="08A24CE0"/>
    <w:rsid w:val="08A24D0D"/>
    <w:rsid w:val="08A24E9E"/>
    <w:rsid w:val="08A24EA7"/>
    <w:rsid w:val="08A24F3B"/>
    <w:rsid w:val="08A24F79"/>
    <w:rsid w:val="08A24F8E"/>
    <w:rsid w:val="08A24FEA"/>
    <w:rsid w:val="08A25049"/>
    <w:rsid w:val="08A25067"/>
    <w:rsid w:val="08A2506C"/>
    <w:rsid w:val="08A25134"/>
    <w:rsid w:val="08A25141"/>
    <w:rsid w:val="08A251C3"/>
    <w:rsid w:val="08A251E5"/>
    <w:rsid w:val="08A25371"/>
    <w:rsid w:val="08A2555A"/>
    <w:rsid w:val="08A255C3"/>
    <w:rsid w:val="08A255D9"/>
    <w:rsid w:val="08A25653"/>
    <w:rsid w:val="08A2565A"/>
    <w:rsid w:val="08A256DB"/>
    <w:rsid w:val="08A258C0"/>
    <w:rsid w:val="08A258EA"/>
    <w:rsid w:val="08A25987"/>
    <w:rsid w:val="08A25BE2"/>
    <w:rsid w:val="08A25BEB"/>
    <w:rsid w:val="08A25C14"/>
    <w:rsid w:val="08A25C3D"/>
    <w:rsid w:val="08A25CB3"/>
    <w:rsid w:val="08A25CC2"/>
    <w:rsid w:val="08A25D23"/>
    <w:rsid w:val="08A25D62"/>
    <w:rsid w:val="08A25DBD"/>
    <w:rsid w:val="08A25E0A"/>
    <w:rsid w:val="08A25ED9"/>
    <w:rsid w:val="08A25F0C"/>
    <w:rsid w:val="08A25F3A"/>
    <w:rsid w:val="08A26002"/>
    <w:rsid w:val="08A2617C"/>
    <w:rsid w:val="08A261BF"/>
    <w:rsid w:val="08A2633A"/>
    <w:rsid w:val="08A26540"/>
    <w:rsid w:val="08A26565"/>
    <w:rsid w:val="08A265A5"/>
    <w:rsid w:val="08A265AD"/>
    <w:rsid w:val="08A26632"/>
    <w:rsid w:val="08A26641"/>
    <w:rsid w:val="08A26658"/>
    <w:rsid w:val="08A266DB"/>
    <w:rsid w:val="08A26708"/>
    <w:rsid w:val="08A26773"/>
    <w:rsid w:val="08A267CE"/>
    <w:rsid w:val="08A2682D"/>
    <w:rsid w:val="08A26904"/>
    <w:rsid w:val="08A26941"/>
    <w:rsid w:val="08A269A0"/>
    <w:rsid w:val="08A26A08"/>
    <w:rsid w:val="08A26A4D"/>
    <w:rsid w:val="08A26AC2"/>
    <w:rsid w:val="08A26AF0"/>
    <w:rsid w:val="08A26C19"/>
    <w:rsid w:val="08A26F02"/>
    <w:rsid w:val="08A26F52"/>
    <w:rsid w:val="08A26F57"/>
    <w:rsid w:val="08A26F58"/>
    <w:rsid w:val="08A26F98"/>
    <w:rsid w:val="08A26FF7"/>
    <w:rsid w:val="08A2701B"/>
    <w:rsid w:val="08A27029"/>
    <w:rsid w:val="08A270CF"/>
    <w:rsid w:val="08A27150"/>
    <w:rsid w:val="08A2715A"/>
    <w:rsid w:val="08A271CF"/>
    <w:rsid w:val="08A27221"/>
    <w:rsid w:val="08A27342"/>
    <w:rsid w:val="08A27388"/>
    <w:rsid w:val="08A27407"/>
    <w:rsid w:val="08A274B8"/>
    <w:rsid w:val="08A27590"/>
    <w:rsid w:val="08A275B0"/>
    <w:rsid w:val="08A2762E"/>
    <w:rsid w:val="08A276D0"/>
    <w:rsid w:val="08A2772F"/>
    <w:rsid w:val="08A277B8"/>
    <w:rsid w:val="08A277BD"/>
    <w:rsid w:val="08A278BA"/>
    <w:rsid w:val="08A278E2"/>
    <w:rsid w:val="08A2790F"/>
    <w:rsid w:val="08A27912"/>
    <w:rsid w:val="08A27AA4"/>
    <w:rsid w:val="08A27B4E"/>
    <w:rsid w:val="08A27B6C"/>
    <w:rsid w:val="08A27B80"/>
    <w:rsid w:val="08A27BDA"/>
    <w:rsid w:val="08A27BF9"/>
    <w:rsid w:val="08A27C2E"/>
    <w:rsid w:val="08A27CF6"/>
    <w:rsid w:val="08A27D6A"/>
    <w:rsid w:val="08A27D6B"/>
    <w:rsid w:val="08A27EF3"/>
    <w:rsid w:val="08A27F3F"/>
    <w:rsid w:val="08A27F41"/>
    <w:rsid w:val="08A3005E"/>
    <w:rsid w:val="08A300B9"/>
    <w:rsid w:val="08A300D1"/>
    <w:rsid w:val="08A300EC"/>
    <w:rsid w:val="08A30215"/>
    <w:rsid w:val="08A3029A"/>
    <w:rsid w:val="08A302CC"/>
    <w:rsid w:val="08A30336"/>
    <w:rsid w:val="08A30387"/>
    <w:rsid w:val="08A30429"/>
    <w:rsid w:val="08A3049F"/>
    <w:rsid w:val="08A305AA"/>
    <w:rsid w:val="08A305D8"/>
    <w:rsid w:val="08A305F3"/>
    <w:rsid w:val="08A30629"/>
    <w:rsid w:val="08A30681"/>
    <w:rsid w:val="08A30730"/>
    <w:rsid w:val="08A308C7"/>
    <w:rsid w:val="08A308E6"/>
    <w:rsid w:val="08A3095F"/>
    <w:rsid w:val="08A30970"/>
    <w:rsid w:val="08A30977"/>
    <w:rsid w:val="08A30A5F"/>
    <w:rsid w:val="08A30ACE"/>
    <w:rsid w:val="08A30B08"/>
    <w:rsid w:val="08A30B7E"/>
    <w:rsid w:val="08A30C12"/>
    <w:rsid w:val="08A30C54"/>
    <w:rsid w:val="08A30D34"/>
    <w:rsid w:val="08A30D54"/>
    <w:rsid w:val="08A30F35"/>
    <w:rsid w:val="08A30F67"/>
    <w:rsid w:val="08A310FA"/>
    <w:rsid w:val="08A3112E"/>
    <w:rsid w:val="08A31235"/>
    <w:rsid w:val="08A31283"/>
    <w:rsid w:val="08A312DF"/>
    <w:rsid w:val="08A3136C"/>
    <w:rsid w:val="08A31377"/>
    <w:rsid w:val="08A3143F"/>
    <w:rsid w:val="08A31476"/>
    <w:rsid w:val="08A31499"/>
    <w:rsid w:val="08A314E0"/>
    <w:rsid w:val="08A315C7"/>
    <w:rsid w:val="08A31684"/>
    <w:rsid w:val="08A316A8"/>
    <w:rsid w:val="08A316BF"/>
    <w:rsid w:val="08A317B9"/>
    <w:rsid w:val="08A31809"/>
    <w:rsid w:val="08A31919"/>
    <w:rsid w:val="08A31961"/>
    <w:rsid w:val="08A31983"/>
    <w:rsid w:val="08A319B9"/>
    <w:rsid w:val="08A319BB"/>
    <w:rsid w:val="08A319D8"/>
    <w:rsid w:val="08A31A04"/>
    <w:rsid w:val="08A31B44"/>
    <w:rsid w:val="08A31B45"/>
    <w:rsid w:val="08A31B5E"/>
    <w:rsid w:val="08A31C52"/>
    <w:rsid w:val="08A31CB0"/>
    <w:rsid w:val="08A31DB8"/>
    <w:rsid w:val="08A31E6A"/>
    <w:rsid w:val="08A31EB3"/>
    <w:rsid w:val="08A31EB4"/>
    <w:rsid w:val="08A31F1C"/>
    <w:rsid w:val="08A31F58"/>
    <w:rsid w:val="08A31FB7"/>
    <w:rsid w:val="08A3203B"/>
    <w:rsid w:val="08A320E0"/>
    <w:rsid w:val="08A32165"/>
    <w:rsid w:val="08A32495"/>
    <w:rsid w:val="08A3251C"/>
    <w:rsid w:val="08A3256B"/>
    <w:rsid w:val="08A325C5"/>
    <w:rsid w:val="08A32646"/>
    <w:rsid w:val="08A326F8"/>
    <w:rsid w:val="08A32755"/>
    <w:rsid w:val="08A32808"/>
    <w:rsid w:val="08A328A2"/>
    <w:rsid w:val="08A328C0"/>
    <w:rsid w:val="08A328F4"/>
    <w:rsid w:val="08A329FE"/>
    <w:rsid w:val="08A32A04"/>
    <w:rsid w:val="08A32A75"/>
    <w:rsid w:val="08A32A7E"/>
    <w:rsid w:val="08A32C7C"/>
    <w:rsid w:val="08A32C9A"/>
    <w:rsid w:val="08A32CCA"/>
    <w:rsid w:val="08A32D21"/>
    <w:rsid w:val="08A32E11"/>
    <w:rsid w:val="08A32EEF"/>
    <w:rsid w:val="08A32F50"/>
    <w:rsid w:val="08A32F63"/>
    <w:rsid w:val="08A3315E"/>
    <w:rsid w:val="08A3325A"/>
    <w:rsid w:val="08A33267"/>
    <w:rsid w:val="08A33268"/>
    <w:rsid w:val="08A33289"/>
    <w:rsid w:val="08A3333D"/>
    <w:rsid w:val="08A3337A"/>
    <w:rsid w:val="08A333EB"/>
    <w:rsid w:val="08A3346C"/>
    <w:rsid w:val="08A334D2"/>
    <w:rsid w:val="08A33558"/>
    <w:rsid w:val="08A335A4"/>
    <w:rsid w:val="08A33607"/>
    <w:rsid w:val="08A3360B"/>
    <w:rsid w:val="08A33675"/>
    <w:rsid w:val="08A336B2"/>
    <w:rsid w:val="08A336B5"/>
    <w:rsid w:val="08A336E8"/>
    <w:rsid w:val="08A33715"/>
    <w:rsid w:val="08A33790"/>
    <w:rsid w:val="08A338EB"/>
    <w:rsid w:val="08A338F8"/>
    <w:rsid w:val="08A33A0F"/>
    <w:rsid w:val="08A33A72"/>
    <w:rsid w:val="08A33A8E"/>
    <w:rsid w:val="08A33AA7"/>
    <w:rsid w:val="08A33AF3"/>
    <w:rsid w:val="08A33B8A"/>
    <w:rsid w:val="08A33BFF"/>
    <w:rsid w:val="08A33C93"/>
    <w:rsid w:val="08A33CF9"/>
    <w:rsid w:val="08A33DB4"/>
    <w:rsid w:val="08A33E35"/>
    <w:rsid w:val="08A33EBF"/>
    <w:rsid w:val="08A34021"/>
    <w:rsid w:val="08A340F5"/>
    <w:rsid w:val="08A3418C"/>
    <w:rsid w:val="08A34191"/>
    <w:rsid w:val="08A341F1"/>
    <w:rsid w:val="08A341F6"/>
    <w:rsid w:val="08A3434A"/>
    <w:rsid w:val="08A34431"/>
    <w:rsid w:val="08A344FE"/>
    <w:rsid w:val="08A3453E"/>
    <w:rsid w:val="08A34561"/>
    <w:rsid w:val="08A345E1"/>
    <w:rsid w:val="08A34626"/>
    <w:rsid w:val="08A3462C"/>
    <w:rsid w:val="08A3462F"/>
    <w:rsid w:val="08A3468B"/>
    <w:rsid w:val="08A346BA"/>
    <w:rsid w:val="08A347FF"/>
    <w:rsid w:val="08A348A0"/>
    <w:rsid w:val="08A34954"/>
    <w:rsid w:val="08A34971"/>
    <w:rsid w:val="08A34975"/>
    <w:rsid w:val="08A349CC"/>
    <w:rsid w:val="08A34A94"/>
    <w:rsid w:val="08A34AF9"/>
    <w:rsid w:val="08A34B9C"/>
    <w:rsid w:val="08A34C15"/>
    <w:rsid w:val="08A34C7F"/>
    <w:rsid w:val="08A34D11"/>
    <w:rsid w:val="08A34D95"/>
    <w:rsid w:val="08A34DAA"/>
    <w:rsid w:val="08A34E1A"/>
    <w:rsid w:val="08A34E30"/>
    <w:rsid w:val="08A34F85"/>
    <w:rsid w:val="08A350A3"/>
    <w:rsid w:val="08A351A7"/>
    <w:rsid w:val="08A351EA"/>
    <w:rsid w:val="08A351F1"/>
    <w:rsid w:val="08A35243"/>
    <w:rsid w:val="08A35269"/>
    <w:rsid w:val="08A35298"/>
    <w:rsid w:val="08A3529A"/>
    <w:rsid w:val="08A352AC"/>
    <w:rsid w:val="08A352C0"/>
    <w:rsid w:val="08A35403"/>
    <w:rsid w:val="08A354F6"/>
    <w:rsid w:val="08A35513"/>
    <w:rsid w:val="08A355AD"/>
    <w:rsid w:val="08A3569E"/>
    <w:rsid w:val="08A356B8"/>
    <w:rsid w:val="08A357BB"/>
    <w:rsid w:val="08A357BF"/>
    <w:rsid w:val="08A3583C"/>
    <w:rsid w:val="08A35840"/>
    <w:rsid w:val="08A359A0"/>
    <w:rsid w:val="08A35A0D"/>
    <w:rsid w:val="08A35A14"/>
    <w:rsid w:val="08A35ABF"/>
    <w:rsid w:val="08A35B0D"/>
    <w:rsid w:val="08A35C90"/>
    <w:rsid w:val="08A35CC7"/>
    <w:rsid w:val="08A35D70"/>
    <w:rsid w:val="08A35DFD"/>
    <w:rsid w:val="08A35E6D"/>
    <w:rsid w:val="08A35F13"/>
    <w:rsid w:val="08A35FA4"/>
    <w:rsid w:val="08A35FA9"/>
    <w:rsid w:val="08A3609F"/>
    <w:rsid w:val="08A360AE"/>
    <w:rsid w:val="08A3618D"/>
    <w:rsid w:val="08A361D4"/>
    <w:rsid w:val="08A36212"/>
    <w:rsid w:val="08A362C5"/>
    <w:rsid w:val="08A362FB"/>
    <w:rsid w:val="08A36393"/>
    <w:rsid w:val="08A3643A"/>
    <w:rsid w:val="08A364C5"/>
    <w:rsid w:val="08A36501"/>
    <w:rsid w:val="08A36514"/>
    <w:rsid w:val="08A3666E"/>
    <w:rsid w:val="08A36671"/>
    <w:rsid w:val="08A366DD"/>
    <w:rsid w:val="08A367F3"/>
    <w:rsid w:val="08A36825"/>
    <w:rsid w:val="08A3688E"/>
    <w:rsid w:val="08A368F5"/>
    <w:rsid w:val="08A3696B"/>
    <w:rsid w:val="08A36A98"/>
    <w:rsid w:val="08A36A99"/>
    <w:rsid w:val="08A36A9B"/>
    <w:rsid w:val="08A36B69"/>
    <w:rsid w:val="08A36BA2"/>
    <w:rsid w:val="08A36BBC"/>
    <w:rsid w:val="08A36CA1"/>
    <w:rsid w:val="08A36CB1"/>
    <w:rsid w:val="08A36D4B"/>
    <w:rsid w:val="08A36D6D"/>
    <w:rsid w:val="08A36E00"/>
    <w:rsid w:val="08A36E2A"/>
    <w:rsid w:val="08A36F07"/>
    <w:rsid w:val="08A36F56"/>
    <w:rsid w:val="08A3710B"/>
    <w:rsid w:val="08A37142"/>
    <w:rsid w:val="08A3719C"/>
    <w:rsid w:val="08A3722D"/>
    <w:rsid w:val="08A37282"/>
    <w:rsid w:val="08A37284"/>
    <w:rsid w:val="08A372BC"/>
    <w:rsid w:val="08A37366"/>
    <w:rsid w:val="08A375CC"/>
    <w:rsid w:val="08A3764C"/>
    <w:rsid w:val="08A37687"/>
    <w:rsid w:val="08A37753"/>
    <w:rsid w:val="08A377A8"/>
    <w:rsid w:val="08A37880"/>
    <w:rsid w:val="08A37946"/>
    <w:rsid w:val="08A379BA"/>
    <w:rsid w:val="08A37A3D"/>
    <w:rsid w:val="08A37A4F"/>
    <w:rsid w:val="08A37AF1"/>
    <w:rsid w:val="08A37B70"/>
    <w:rsid w:val="08A37BC5"/>
    <w:rsid w:val="08A37D23"/>
    <w:rsid w:val="08A37D40"/>
    <w:rsid w:val="08A37D9F"/>
    <w:rsid w:val="08A37E0A"/>
    <w:rsid w:val="08A37E99"/>
    <w:rsid w:val="08A37F60"/>
    <w:rsid w:val="08A40006"/>
    <w:rsid w:val="08A40021"/>
    <w:rsid w:val="08A40067"/>
    <w:rsid w:val="08A4007A"/>
    <w:rsid w:val="08A400AA"/>
    <w:rsid w:val="08A400AD"/>
    <w:rsid w:val="08A40142"/>
    <w:rsid w:val="08A401B9"/>
    <w:rsid w:val="08A401BC"/>
    <w:rsid w:val="08A401E1"/>
    <w:rsid w:val="08A40210"/>
    <w:rsid w:val="08A40224"/>
    <w:rsid w:val="08A40249"/>
    <w:rsid w:val="08A40378"/>
    <w:rsid w:val="08A40471"/>
    <w:rsid w:val="08A404B5"/>
    <w:rsid w:val="08A404F4"/>
    <w:rsid w:val="08A4052E"/>
    <w:rsid w:val="08A4055F"/>
    <w:rsid w:val="08A4056B"/>
    <w:rsid w:val="08A4062D"/>
    <w:rsid w:val="08A40766"/>
    <w:rsid w:val="08A40826"/>
    <w:rsid w:val="08A40871"/>
    <w:rsid w:val="08A40881"/>
    <w:rsid w:val="08A408AC"/>
    <w:rsid w:val="08A40950"/>
    <w:rsid w:val="08A4095B"/>
    <w:rsid w:val="08A4097D"/>
    <w:rsid w:val="08A409C4"/>
    <w:rsid w:val="08A40BD3"/>
    <w:rsid w:val="08A40C44"/>
    <w:rsid w:val="08A40C4D"/>
    <w:rsid w:val="08A40CB5"/>
    <w:rsid w:val="08A40D30"/>
    <w:rsid w:val="08A40DBA"/>
    <w:rsid w:val="08A40DCD"/>
    <w:rsid w:val="08A40ECB"/>
    <w:rsid w:val="08A40F2E"/>
    <w:rsid w:val="08A40FCE"/>
    <w:rsid w:val="08A41016"/>
    <w:rsid w:val="08A410D8"/>
    <w:rsid w:val="08A4112B"/>
    <w:rsid w:val="08A411C7"/>
    <w:rsid w:val="08A411EF"/>
    <w:rsid w:val="08A411FF"/>
    <w:rsid w:val="08A41234"/>
    <w:rsid w:val="08A4123B"/>
    <w:rsid w:val="08A4124A"/>
    <w:rsid w:val="08A41297"/>
    <w:rsid w:val="08A412B6"/>
    <w:rsid w:val="08A41332"/>
    <w:rsid w:val="08A41378"/>
    <w:rsid w:val="08A413E3"/>
    <w:rsid w:val="08A4146C"/>
    <w:rsid w:val="08A41502"/>
    <w:rsid w:val="08A4169F"/>
    <w:rsid w:val="08A416DB"/>
    <w:rsid w:val="08A417DB"/>
    <w:rsid w:val="08A418A6"/>
    <w:rsid w:val="08A41981"/>
    <w:rsid w:val="08A4198D"/>
    <w:rsid w:val="08A41A07"/>
    <w:rsid w:val="08A41A46"/>
    <w:rsid w:val="08A41B04"/>
    <w:rsid w:val="08A41B84"/>
    <w:rsid w:val="08A41B98"/>
    <w:rsid w:val="08A41B9B"/>
    <w:rsid w:val="08A41BEA"/>
    <w:rsid w:val="08A41BED"/>
    <w:rsid w:val="08A41C62"/>
    <w:rsid w:val="08A41D16"/>
    <w:rsid w:val="08A41D59"/>
    <w:rsid w:val="08A41E08"/>
    <w:rsid w:val="08A42021"/>
    <w:rsid w:val="08A4206A"/>
    <w:rsid w:val="08A420E6"/>
    <w:rsid w:val="08A420F8"/>
    <w:rsid w:val="08A420FB"/>
    <w:rsid w:val="08A42193"/>
    <w:rsid w:val="08A421C8"/>
    <w:rsid w:val="08A42383"/>
    <w:rsid w:val="08A42396"/>
    <w:rsid w:val="08A42428"/>
    <w:rsid w:val="08A424CC"/>
    <w:rsid w:val="08A424E8"/>
    <w:rsid w:val="08A42586"/>
    <w:rsid w:val="08A426E3"/>
    <w:rsid w:val="08A4278B"/>
    <w:rsid w:val="08A427CC"/>
    <w:rsid w:val="08A4288B"/>
    <w:rsid w:val="08A428AD"/>
    <w:rsid w:val="08A428B4"/>
    <w:rsid w:val="08A428CE"/>
    <w:rsid w:val="08A4292B"/>
    <w:rsid w:val="08A4295C"/>
    <w:rsid w:val="08A4297D"/>
    <w:rsid w:val="08A429A6"/>
    <w:rsid w:val="08A42A0D"/>
    <w:rsid w:val="08A42A81"/>
    <w:rsid w:val="08A42BA7"/>
    <w:rsid w:val="08A42BEE"/>
    <w:rsid w:val="08A42BF0"/>
    <w:rsid w:val="08A42C11"/>
    <w:rsid w:val="08A42CFE"/>
    <w:rsid w:val="08A42D8B"/>
    <w:rsid w:val="08A42D97"/>
    <w:rsid w:val="08A42DC5"/>
    <w:rsid w:val="08A42DF8"/>
    <w:rsid w:val="08A42E40"/>
    <w:rsid w:val="08A42E46"/>
    <w:rsid w:val="08A42E53"/>
    <w:rsid w:val="08A42ED6"/>
    <w:rsid w:val="08A42EEB"/>
    <w:rsid w:val="08A43027"/>
    <w:rsid w:val="08A4315F"/>
    <w:rsid w:val="08A43173"/>
    <w:rsid w:val="08A431AA"/>
    <w:rsid w:val="08A431BE"/>
    <w:rsid w:val="08A431F1"/>
    <w:rsid w:val="08A43288"/>
    <w:rsid w:val="08A4328D"/>
    <w:rsid w:val="08A432D0"/>
    <w:rsid w:val="08A43317"/>
    <w:rsid w:val="08A43450"/>
    <w:rsid w:val="08A434B8"/>
    <w:rsid w:val="08A436E9"/>
    <w:rsid w:val="08A43713"/>
    <w:rsid w:val="08A43783"/>
    <w:rsid w:val="08A43799"/>
    <w:rsid w:val="08A437C4"/>
    <w:rsid w:val="08A4388D"/>
    <w:rsid w:val="08A43919"/>
    <w:rsid w:val="08A4395F"/>
    <w:rsid w:val="08A43989"/>
    <w:rsid w:val="08A43AD5"/>
    <w:rsid w:val="08A43AE0"/>
    <w:rsid w:val="08A43B63"/>
    <w:rsid w:val="08A43B6D"/>
    <w:rsid w:val="08A43BBB"/>
    <w:rsid w:val="08A43CC6"/>
    <w:rsid w:val="08A43DDD"/>
    <w:rsid w:val="08A43E79"/>
    <w:rsid w:val="08A43E99"/>
    <w:rsid w:val="08A43EC1"/>
    <w:rsid w:val="08A43F52"/>
    <w:rsid w:val="08A43F81"/>
    <w:rsid w:val="08A4402F"/>
    <w:rsid w:val="08A44059"/>
    <w:rsid w:val="08A441EB"/>
    <w:rsid w:val="08A44280"/>
    <w:rsid w:val="08A44307"/>
    <w:rsid w:val="08A4431C"/>
    <w:rsid w:val="08A443C6"/>
    <w:rsid w:val="08A443E7"/>
    <w:rsid w:val="08A4449F"/>
    <w:rsid w:val="08A444B3"/>
    <w:rsid w:val="08A44532"/>
    <w:rsid w:val="08A445F5"/>
    <w:rsid w:val="08A44691"/>
    <w:rsid w:val="08A4473E"/>
    <w:rsid w:val="08A44792"/>
    <w:rsid w:val="08A44899"/>
    <w:rsid w:val="08A448E7"/>
    <w:rsid w:val="08A449AD"/>
    <w:rsid w:val="08A44A52"/>
    <w:rsid w:val="08A44A8E"/>
    <w:rsid w:val="08A44C84"/>
    <w:rsid w:val="08A44CCB"/>
    <w:rsid w:val="08A44D53"/>
    <w:rsid w:val="08A44D6F"/>
    <w:rsid w:val="08A44D83"/>
    <w:rsid w:val="08A44E23"/>
    <w:rsid w:val="08A44E33"/>
    <w:rsid w:val="08A44E54"/>
    <w:rsid w:val="08A44E59"/>
    <w:rsid w:val="08A44ED5"/>
    <w:rsid w:val="08A44F2D"/>
    <w:rsid w:val="08A44F36"/>
    <w:rsid w:val="08A44F5D"/>
    <w:rsid w:val="08A44F82"/>
    <w:rsid w:val="08A44FB3"/>
    <w:rsid w:val="08A4504B"/>
    <w:rsid w:val="08A450C9"/>
    <w:rsid w:val="08A4515F"/>
    <w:rsid w:val="08A451D4"/>
    <w:rsid w:val="08A451EF"/>
    <w:rsid w:val="08A452A6"/>
    <w:rsid w:val="08A45312"/>
    <w:rsid w:val="08A453A3"/>
    <w:rsid w:val="08A45457"/>
    <w:rsid w:val="08A45463"/>
    <w:rsid w:val="08A45489"/>
    <w:rsid w:val="08A4549B"/>
    <w:rsid w:val="08A454B9"/>
    <w:rsid w:val="08A45550"/>
    <w:rsid w:val="08A4568B"/>
    <w:rsid w:val="08A45760"/>
    <w:rsid w:val="08A457E2"/>
    <w:rsid w:val="08A45836"/>
    <w:rsid w:val="08A4591E"/>
    <w:rsid w:val="08A4597B"/>
    <w:rsid w:val="08A459E8"/>
    <w:rsid w:val="08A45C6B"/>
    <w:rsid w:val="08A45C73"/>
    <w:rsid w:val="08A45C97"/>
    <w:rsid w:val="08A45D1B"/>
    <w:rsid w:val="08A45D1F"/>
    <w:rsid w:val="08A45D71"/>
    <w:rsid w:val="08A45F18"/>
    <w:rsid w:val="08A45FE6"/>
    <w:rsid w:val="08A46008"/>
    <w:rsid w:val="08A46014"/>
    <w:rsid w:val="08A460E0"/>
    <w:rsid w:val="08A460FE"/>
    <w:rsid w:val="08A461A8"/>
    <w:rsid w:val="08A4626D"/>
    <w:rsid w:val="08A46382"/>
    <w:rsid w:val="08A4641E"/>
    <w:rsid w:val="08A46556"/>
    <w:rsid w:val="08A465E9"/>
    <w:rsid w:val="08A46832"/>
    <w:rsid w:val="08A4685E"/>
    <w:rsid w:val="08A46AB7"/>
    <w:rsid w:val="08A46B03"/>
    <w:rsid w:val="08A46B37"/>
    <w:rsid w:val="08A46B51"/>
    <w:rsid w:val="08A46B82"/>
    <w:rsid w:val="08A46BE3"/>
    <w:rsid w:val="08A46CEC"/>
    <w:rsid w:val="08A46E00"/>
    <w:rsid w:val="08A46E29"/>
    <w:rsid w:val="08A46E8A"/>
    <w:rsid w:val="08A46F07"/>
    <w:rsid w:val="08A46FCA"/>
    <w:rsid w:val="08A470F5"/>
    <w:rsid w:val="08A47156"/>
    <w:rsid w:val="08A471AD"/>
    <w:rsid w:val="08A471BC"/>
    <w:rsid w:val="08A47386"/>
    <w:rsid w:val="08A473F9"/>
    <w:rsid w:val="08A4747E"/>
    <w:rsid w:val="08A4751E"/>
    <w:rsid w:val="08A47557"/>
    <w:rsid w:val="08A4758B"/>
    <w:rsid w:val="08A475C0"/>
    <w:rsid w:val="08A475F7"/>
    <w:rsid w:val="08A4761C"/>
    <w:rsid w:val="08A4764E"/>
    <w:rsid w:val="08A47693"/>
    <w:rsid w:val="08A4770B"/>
    <w:rsid w:val="08A47747"/>
    <w:rsid w:val="08A47821"/>
    <w:rsid w:val="08A478DC"/>
    <w:rsid w:val="08A4793A"/>
    <w:rsid w:val="08A47A8F"/>
    <w:rsid w:val="08A47B29"/>
    <w:rsid w:val="08A47B5D"/>
    <w:rsid w:val="08A47C46"/>
    <w:rsid w:val="08A47CB6"/>
    <w:rsid w:val="08A47D48"/>
    <w:rsid w:val="08A47D59"/>
    <w:rsid w:val="08A47E88"/>
    <w:rsid w:val="08A47EA9"/>
    <w:rsid w:val="08A47ED5"/>
    <w:rsid w:val="08A47EE0"/>
    <w:rsid w:val="08A47F13"/>
    <w:rsid w:val="08A47F1F"/>
    <w:rsid w:val="08A50032"/>
    <w:rsid w:val="08A50042"/>
    <w:rsid w:val="08A502BA"/>
    <w:rsid w:val="08A50333"/>
    <w:rsid w:val="08A50360"/>
    <w:rsid w:val="08A505F0"/>
    <w:rsid w:val="08A505F8"/>
    <w:rsid w:val="08A5067D"/>
    <w:rsid w:val="08A5068F"/>
    <w:rsid w:val="08A506BA"/>
    <w:rsid w:val="08A50722"/>
    <w:rsid w:val="08A50823"/>
    <w:rsid w:val="08A50929"/>
    <w:rsid w:val="08A5092B"/>
    <w:rsid w:val="08A50965"/>
    <w:rsid w:val="08A509D2"/>
    <w:rsid w:val="08A50A1C"/>
    <w:rsid w:val="08A50AEA"/>
    <w:rsid w:val="08A50BA6"/>
    <w:rsid w:val="08A50BE4"/>
    <w:rsid w:val="08A50CB2"/>
    <w:rsid w:val="08A50D82"/>
    <w:rsid w:val="08A50EC1"/>
    <w:rsid w:val="08A50F21"/>
    <w:rsid w:val="08A5101C"/>
    <w:rsid w:val="08A51037"/>
    <w:rsid w:val="08A5103A"/>
    <w:rsid w:val="08A5106C"/>
    <w:rsid w:val="08A510F0"/>
    <w:rsid w:val="08A511F8"/>
    <w:rsid w:val="08A5136A"/>
    <w:rsid w:val="08A51412"/>
    <w:rsid w:val="08A51452"/>
    <w:rsid w:val="08A514DE"/>
    <w:rsid w:val="08A5152C"/>
    <w:rsid w:val="08A5155A"/>
    <w:rsid w:val="08A515A9"/>
    <w:rsid w:val="08A515C8"/>
    <w:rsid w:val="08A51645"/>
    <w:rsid w:val="08A516AB"/>
    <w:rsid w:val="08A516B7"/>
    <w:rsid w:val="08A516BF"/>
    <w:rsid w:val="08A517F4"/>
    <w:rsid w:val="08A518F4"/>
    <w:rsid w:val="08A519A5"/>
    <w:rsid w:val="08A519C0"/>
    <w:rsid w:val="08A519C2"/>
    <w:rsid w:val="08A51A57"/>
    <w:rsid w:val="08A51AE6"/>
    <w:rsid w:val="08A51C57"/>
    <w:rsid w:val="08A51D74"/>
    <w:rsid w:val="08A51DF5"/>
    <w:rsid w:val="08A51F43"/>
    <w:rsid w:val="08A51F9C"/>
    <w:rsid w:val="08A51FB6"/>
    <w:rsid w:val="08A52115"/>
    <w:rsid w:val="08A521D9"/>
    <w:rsid w:val="08A52208"/>
    <w:rsid w:val="08A52251"/>
    <w:rsid w:val="08A52253"/>
    <w:rsid w:val="08A5229B"/>
    <w:rsid w:val="08A52322"/>
    <w:rsid w:val="08A52349"/>
    <w:rsid w:val="08A5237E"/>
    <w:rsid w:val="08A523BB"/>
    <w:rsid w:val="08A524D8"/>
    <w:rsid w:val="08A5265A"/>
    <w:rsid w:val="08A52697"/>
    <w:rsid w:val="08A526B1"/>
    <w:rsid w:val="08A52719"/>
    <w:rsid w:val="08A52733"/>
    <w:rsid w:val="08A527E5"/>
    <w:rsid w:val="08A52875"/>
    <w:rsid w:val="08A5287C"/>
    <w:rsid w:val="08A528B0"/>
    <w:rsid w:val="08A528B2"/>
    <w:rsid w:val="08A52AAB"/>
    <w:rsid w:val="08A52ADD"/>
    <w:rsid w:val="08A52AE7"/>
    <w:rsid w:val="08A52AEA"/>
    <w:rsid w:val="08A52B65"/>
    <w:rsid w:val="08A52B71"/>
    <w:rsid w:val="08A52B7F"/>
    <w:rsid w:val="08A52BCF"/>
    <w:rsid w:val="08A52BD2"/>
    <w:rsid w:val="08A52C01"/>
    <w:rsid w:val="08A52C24"/>
    <w:rsid w:val="08A52C7C"/>
    <w:rsid w:val="08A52D09"/>
    <w:rsid w:val="08A52DD4"/>
    <w:rsid w:val="08A52E5D"/>
    <w:rsid w:val="08A52EBC"/>
    <w:rsid w:val="08A52FD7"/>
    <w:rsid w:val="08A53022"/>
    <w:rsid w:val="08A53066"/>
    <w:rsid w:val="08A53082"/>
    <w:rsid w:val="08A530AE"/>
    <w:rsid w:val="08A5313B"/>
    <w:rsid w:val="08A531A2"/>
    <w:rsid w:val="08A531B1"/>
    <w:rsid w:val="08A531DD"/>
    <w:rsid w:val="08A531E1"/>
    <w:rsid w:val="08A5322F"/>
    <w:rsid w:val="08A5329D"/>
    <w:rsid w:val="08A53329"/>
    <w:rsid w:val="08A53339"/>
    <w:rsid w:val="08A53388"/>
    <w:rsid w:val="08A533C7"/>
    <w:rsid w:val="08A53404"/>
    <w:rsid w:val="08A53540"/>
    <w:rsid w:val="08A53645"/>
    <w:rsid w:val="08A53757"/>
    <w:rsid w:val="08A5377F"/>
    <w:rsid w:val="08A538B0"/>
    <w:rsid w:val="08A538BC"/>
    <w:rsid w:val="08A538D2"/>
    <w:rsid w:val="08A5390C"/>
    <w:rsid w:val="08A5391A"/>
    <w:rsid w:val="08A539C9"/>
    <w:rsid w:val="08A539F6"/>
    <w:rsid w:val="08A53A13"/>
    <w:rsid w:val="08A53AA0"/>
    <w:rsid w:val="08A53B42"/>
    <w:rsid w:val="08A53BBD"/>
    <w:rsid w:val="08A53C8F"/>
    <w:rsid w:val="08A53CB0"/>
    <w:rsid w:val="08A53D88"/>
    <w:rsid w:val="08A53E16"/>
    <w:rsid w:val="08A53E50"/>
    <w:rsid w:val="08A53F40"/>
    <w:rsid w:val="08A53F45"/>
    <w:rsid w:val="08A540D4"/>
    <w:rsid w:val="08A540FA"/>
    <w:rsid w:val="08A5410D"/>
    <w:rsid w:val="08A54137"/>
    <w:rsid w:val="08A54159"/>
    <w:rsid w:val="08A541A8"/>
    <w:rsid w:val="08A54220"/>
    <w:rsid w:val="08A5422B"/>
    <w:rsid w:val="08A5425D"/>
    <w:rsid w:val="08A543EA"/>
    <w:rsid w:val="08A543FD"/>
    <w:rsid w:val="08A544C5"/>
    <w:rsid w:val="08A54516"/>
    <w:rsid w:val="08A5461A"/>
    <w:rsid w:val="08A546B0"/>
    <w:rsid w:val="08A546C0"/>
    <w:rsid w:val="08A54910"/>
    <w:rsid w:val="08A54920"/>
    <w:rsid w:val="08A54938"/>
    <w:rsid w:val="08A54962"/>
    <w:rsid w:val="08A549F3"/>
    <w:rsid w:val="08A54A0D"/>
    <w:rsid w:val="08A54B67"/>
    <w:rsid w:val="08A54B76"/>
    <w:rsid w:val="08A54CF6"/>
    <w:rsid w:val="08A54DEB"/>
    <w:rsid w:val="08A54E0B"/>
    <w:rsid w:val="08A54F23"/>
    <w:rsid w:val="08A54FB0"/>
    <w:rsid w:val="08A5509A"/>
    <w:rsid w:val="08A55198"/>
    <w:rsid w:val="08A551A7"/>
    <w:rsid w:val="08A551AE"/>
    <w:rsid w:val="08A551CE"/>
    <w:rsid w:val="08A551F3"/>
    <w:rsid w:val="08A55262"/>
    <w:rsid w:val="08A55291"/>
    <w:rsid w:val="08A552FA"/>
    <w:rsid w:val="08A55321"/>
    <w:rsid w:val="08A55389"/>
    <w:rsid w:val="08A55440"/>
    <w:rsid w:val="08A554F8"/>
    <w:rsid w:val="08A555AE"/>
    <w:rsid w:val="08A555C4"/>
    <w:rsid w:val="08A555D4"/>
    <w:rsid w:val="08A55615"/>
    <w:rsid w:val="08A5565F"/>
    <w:rsid w:val="08A556FD"/>
    <w:rsid w:val="08A55792"/>
    <w:rsid w:val="08A55996"/>
    <w:rsid w:val="08A55A72"/>
    <w:rsid w:val="08A55B70"/>
    <w:rsid w:val="08A55B81"/>
    <w:rsid w:val="08A55BC3"/>
    <w:rsid w:val="08A55C27"/>
    <w:rsid w:val="08A55CDD"/>
    <w:rsid w:val="08A55CF2"/>
    <w:rsid w:val="08A55D4F"/>
    <w:rsid w:val="08A55D58"/>
    <w:rsid w:val="08A55D9F"/>
    <w:rsid w:val="08A55E46"/>
    <w:rsid w:val="08A55FD5"/>
    <w:rsid w:val="08A56025"/>
    <w:rsid w:val="08A560AA"/>
    <w:rsid w:val="08A560D8"/>
    <w:rsid w:val="08A56199"/>
    <w:rsid w:val="08A5631F"/>
    <w:rsid w:val="08A5643D"/>
    <w:rsid w:val="08A564CD"/>
    <w:rsid w:val="08A56516"/>
    <w:rsid w:val="08A5653A"/>
    <w:rsid w:val="08A56551"/>
    <w:rsid w:val="08A56555"/>
    <w:rsid w:val="08A566BB"/>
    <w:rsid w:val="08A5675A"/>
    <w:rsid w:val="08A56761"/>
    <w:rsid w:val="08A56783"/>
    <w:rsid w:val="08A56939"/>
    <w:rsid w:val="08A569A4"/>
    <w:rsid w:val="08A569DF"/>
    <w:rsid w:val="08A56B02"/>
    <w:rsid w:val="08A56B8A"/>
    <w:rsid w:val="08A56CE3"/>
    <w:rsid w:val="08A56CFE"/>
    <w:rsid w:val="08A56D6F"/>
    <w:rsid w:val="08A56E45"/>
    <w:rsid w:val="08A56F01"/>
    <w:rsid w:val="08A56FF9"/>
    <w:rsid w:val="08A57048"/>
    <w:rsid w:val="08A5704A"/>
    <w:rsid w:val="08A57059"/>
    <w:rsid w:val="08A57289"/>
    <w:rsid w:val="08A57298"/>
    <w:rsid w:val="08A57306"/>
    <w:rsid w:val="08A57495"/>
    <w:rsid w:val="08A57515"/>
    <w:rsid w:val="08A57582"/>
    <w:rsid w:val="08A57597"/>
    <w:rsid w:val="08A575E9"/>
    <w:rsid w:val="08A57651"/>
    <w:rsid w:val="08A5773D"/>
    <w:rsid w:val="08A57755"/>
    <w:rsid w:val="08A577E5"/>
    <w:rsid w:val="08A577E7"/>
    <w:rsid w:val="08A5790B"/>
    <w:rsid w:val="08A57A23"/>
    <w:rsid w:val="08A57A46"/>
    <w:rsid w:val="08A57A69"/>
    <w:rsid w:val="08A57AAD"/>
    <w:rsid w:val="08A57AC5"/>
    <w:rsid w:val="08A57B31"/>
    <w:rsid w:val="08A57B43"/>
    <w:rsid w:val="08A57B75"/>
    <w:rsid w:val="08A57BBA"/>
    <w:rsid w:val="08A57C1E"/>
    <w:rsid w:val="08A57D0B"/>
    <w:rsid w:val="08A57D53"/>
    <w:rsid w:val="08A57D71"/>
    <w:rsid w:val="08A57D92"/>
    <w:rsid w:val="08A57DF8"/>
    <w:rsid w:val="08A57EAC"/>
    <w:rsid w:val="08A57EC5"/>
    <w:rsid w:val="08A57EE4"/>
    <w:rsid w:val="08A57EF0"/>
    <w:rsid w:val="08A57F1B"/>
    <w:rsid w:val="08A57F65"/>
    <w:rsid w:val="08A57FA0"/>
    <w:rsid w:val="08A600A9"/>
    <w:rsid w:val="08A600BC"/>
    <w:rsid w:val="08A600CF"/>
    <w:rsid w:val="08A60119"/>
    <w:rsid w:val="08A60224"/>
    <w:rsid w:val="08A602CD"/>
    <w:rsid w:val="08A60320"/>
    <w:rsid w:val="08A603D6"/>
    <w:rsid w:val="08A60551"/>
    <w:rsid w:val="08A60569"/>
    <w:rsid w:val="08A60597"/>
    <w:rsid w:val="08A605B9"/>
    <w:rsid w:val="08A60623"/>
    <w:rsid w:val="08A60680"/>
    <w:rsid w:val="08A606D2"/>
    <w:rsid w:val="08A606F9"/>
    <w:rsid w:val="08A6070F"/>
    <w:rsid w:val="08A607B6"/>
    <w:rsid w:val="08A608A8"/>
    <w:rsid w:val="08A608CD"/>
    <w:rsid w:val="08A60939"/>
    <w:rsid w:val="08A6095E"/>
    <w:rsid w:val="08A60A5F"/>
    <w:rsid w:val="08A60C58"/>
    <w:rsid w:val="08A60C63"/>
    <w:rsid w:val="08A60D58"/>
    <w:rsid w:val="08A60D5A"/>
    <w:rsid w:val="08A60D91"/>
    <w:rsid w:val="08A60D93"/>
    <w:rsid w:val="08A60DFF"/>
    <w:rsid w:val="08A60E16"/>
    <w:rsid w:val="08A60F82"/>
    <w:rsid w:val="08A60F98"/>
    <w:rsid w:val="08A61037"/>
    <w:rsid w:val="08A61056"/>
    <w:rsid w:val="08A6110A"/>
    <w:rsid w:val="08A61184"/>
    <w:rsid w:val="08A611A2"/>
    <w:rsid w:val="08A611A6"/>
    <w:rsid w:val="08A6121D"/>
    <w:rsid w:val="08A61307"/>
    <w:rsid w:val="08A61320"/>
    <w:rsid w:val="08A6132B"/>
    <w:rsid w:val="08A61519"/>
    <w:rsid w:val="08A61580"/>
    <w:rsid w:val="08A6164E"/>
    <w:rsid w:val="08A616B8"/>
    <w:rsid w:val="08A616DC"/>
    <w:rsid w:val="08A61C95"/>
    <w:rsid w:val="08A61CC8"/>
    <w:rsid w:val="08A61DD5"/>
    <w:rsid w:val="08A61E3B"/>
    <w:rsid w:val="08A61E95"/>
    <w:rsid w:val="08A61EF6"/>
    <w:rsid w:val="08A61EF7"/>
    <w:rsid w:val="08A61F39"/>
    <w:rsid w:val="08A61FA1"/>
    <w:rsid w:val="08A62027"/>
    <w:rsid w:val="08A621D9"/>
    <w:rsid w:val="08A62205"/>
    <w:rsid w:val="08A6224C"/>
    <w:rsid w:val="08A6226C"/>
    <w:rsid w:val="08A6249A"/>
    <w:rsid w:val="08A624D6"/>
    <w:rsid w:val="08A624DB"/>
    <w:rsid w:val="08A6257A"/>
    <w:rsid w:val="08A625B6"/>
    <w:rsid w:val="08A625DC"/>
    <w:rsid w:val="08A625FB"/>
    <w:rsid w:val="08A62615"/>
    <w:rsid w:val="08A62645"/>
    <w:rsid w:val="08A62794"/>
    <w:rsid w:val="08A627AB"/>
    <w:rsid w:val="08A629BA"/>
    <w:rsid w:val="08A629D7"/>
    <w:rsid w:val="08A62A22"/>
    <w:rsid w:val="08A62A59"/>
    <w:rsid w:val="08A62AE6"/>
    <w:rsid w:val="08A62BE1"/>
    <w:rsid w:val="08A62C8E"/>
    <w:rsid w:val="08A62D1A"/>
    <w:rsid w:val="08A62E3E"/>
    <w:rsid w:val="08A62E51"/>
    <w:rsid w:val="08A62E5F"/>
    <w:rsid w:val="08A62EC0"/>
    <w:rsid w:val="08A6300C"/>
    <w:rsid w:val="08A63233"/>
    <w:rsid w:val="08A63250"/>
    <w:rsid w:val="08A63261"/>
    <w:rsid w:val="08A632B0"/>
    <w:rsid w:val="08A632D4"/>
    <w:rsid w:val="08A633A9"/>
    <w:rsid w:val="08A633BD"/>
    <w:rsid w:val="08A63568"/>
    <w:rsid w:val="08A63602"/>
    <w:rsid w:val="08A63693"/>
    <w:rsid w:val="08A636FF"/>
    <w:rsid w:val="08A63932"/>
    <w:rsid w:val="08A63980"/>
    <w:rsid w:val="08A639AF"/>
    <w:rsid w:val="08A639BB"/>
    <w:rsid w:val="08A63B15"/>
    <w:rsid w:val="08A63B38"/>
    <w:rsid w:val="08A63C36"/>
    <w:rsid w:val="08A63C9B"/>
    <w:rsid w:val="08A63CA7"/>
    <w:rsid w:val="08A63CAB"/>
    <w:rsid w:val="08A63D2C"/>
    <w:rsid w:val="08A63D6C"/>
    <w:rsid w:val="08A63DAF"/>
    <w:rsid w:val="08A63E79"/>
    <w:rsid w:val="08A63EAE"/>
    <w:rsid w:val="08A63ECD"/>
    <w:rsid w:val="08A63EE8"/>
    <w:rsid w:val="08A63F67"/>
    <w:rsid w:val="08A63FD9"/>
    <w:rsid w:val="08A64052"/>
    <w:rsid w:val="08A6406E"/>
    <w:rsid w:val="08A6415A"/>
    <w:rsid w:val="08A64180"/>
    <w:rsid w:val="08A642A1"/>
    <w:rsid w:val="08A642A8"/>
    <w:rsid w:val="08A642B5"/>
    <w:rsid w:val="08A643A8"/>
    <w:rsid w:val="08A64429"/>
    <w:rsid w:val="08A644E0"/>
    <w:rsid w:val="08A64536"/>
    <w:rsid w:val="08A6453A"/>
    <w:rsid w:val="08A645A9"/>
    <w:rsid w:val="08A64637"/>
    <w:rsid w:val="08A64688"/>
    <w:rsid w:val="08A646A3"/>
    <w:rsid w:val="08A64702"/>
    <w:rsid w:val="08A64744"/>
    <w:rsid w:val="08A64753"/>
    <w:rsid w:val="08A64791"/>
    <w:rsid w:val="08A647AC"/>
    <w:rsid w:val="08A64802"/>
    <w:rsid w:val="08A64882"/>
    <w:rsid w:val="08A6489D"/>
    <w:rsid w:val="08A64968"/>
    <w:rsid w:val="08A649EB"/>
    <w:rsid w:val="08A64ACB"/>
    <w:rsid w:val="08A64ADE"/>
    <w:rsid w:val="08A64BD6"/>
    <w:rsid w:val="08A64C2A"/>
    <w:rsid w:val="08A64C2F"/>
    <w:rsid w:val="08A64C4F"/>
    <w:rsid w:val="08A64CAC"/>
    <w:rsid w:val="08A64CB0"/>
    <w:rsid w:val="08A64CF2"/>
    <w:rsid w:val="08A64D3F"/>
    <w:rsid w:val="08A64DB0"/>
    <w:rsid w:val="08A64DB6"/>
    <w:rsid w:val="08A64DC2"/>
    <w:rsid w:val="08A64E1F"/>
    <w:rsid w:val="08A64EAC"/>
    <w:rsid w:val="08A64EB0"/>
    <w:rsid w:val="08A65035"/>
    <w:rsid w:val="08A650FD"/>
    <w:rsid w:val="08A651B5"/>
    <w:rsid w:val="08A652C5"/>
    <w:rsid w:val="08A65347"/>
    <w:rsid w:val="08A65384"/>
    <w:rsid w:val="08A653A8"/>
    <w:rsid w:val="08A653F4"/>
    <w:rsid w:val="08A6542A"/>
    <w:rsid w:val="08A65479"/>
    <w:rsid w:val="08A65499"/>
    <w:rsid w:val="08A654B7"/>
    <w:rsid w:val="08A654E8"/>
    <w:rsid w:val="08A65636"/>
    <w:rsid w:val="08A65660"/>
    <w:rsid w:val="08A65666"/>
    <w:rsid w:val="08A656D4"/>
    <w:rsid w:val="08A656EB"/>
    <w:rsid w:val="08A65769"/>
    <w:rsid w:val="08A65795"/>
    <w:rsid w:val="08A657E2"/>
    <w:rsid w:val="08A65868"/>
    <w:rsid w:val="08A6593B"/>
    <w:rsid w:val="08A6597B"/>
    <w:rsid w:val="08A6598F"/>
    <w:rsid w:val="08A659A0"/>
    <w:rsid w:val="08A659E5"/>
    <w:rsid w:val="08A659FA"/>
    <w:rsid w:val="08A65A10"/>
    <w:rsid w:val="08A65A7A"/>
    <w:rsid w:val="08A65B6E"/>
    <w:rsid w:val="08A65C44"/>
    <w:rsid w:val="08A65C53"/>
    <w:rsid w:val="08A65C59"/>
    <w:rsid w:val="08A65C8B"/>
    <w:rsid w:val="08A65D76"/>
    <w:rsid w:val="08A65F3F"/>
    <w:rsid w:val="08A65F5F"/>
    <w:rsid w:val="08A65FF5"/>
    <w:rsid w:val="08A66167"/>
    <w:rsid w:val="08A66194"/>
    <w:rsid w:val="08A66317"/>
    <w:rsid w:val="08A6645C"/>
    <w:rsid w:val="08A6645E"/>
    <w:rsid w:val="08A666B7"/>
    <w:rsid w:val="08A666CB"/>
    <w:rsid w:val="08A6678C"/>
    <w:rsid w:val="08A6679F"/>
    <w:rsid w:val="08A667AA"/>
    <w:rsid w:val="08A66822"/>
    <w:rsid w:val="08A6683A"/>
    <w:rsid w:val="08A6688E"/>
    <w:rsid w:val="08A66943"/>
    <w:rsid w:val="08A66958"/>
    <w:rsid w:val="08A66A8D"/>
    <w:rsid w:val="08A66ADB"/>
    <w:rsid w:val="08A66C04"/>
    <w:rsid w:val="08A66C54"/>
    <w:rsid w:val="08A66D04"/>
    <w:rsid w:val="08A66D85"/>
    <w:rsid w:val="08A66E10"/>
    <w:rsid w:val="08A66E9D"/>
    <w:rsid w:val="08A66ECF"/>
    <w:rsid w:val="08A66F23"/>
    <w:rsid w:val="08A6710F"/>
    <w:rsid w:val="08A67216"/>
    <w:rsid w:val="08A67248"/>
    <w:rsid w:val="08A672A5"/>
    <w:rsid w:val="08A672FA"/>
    <w:rsid w:val="08A67354"/>
    <w:rsid w:val="08A6735B"/>
    <w:rsid w:val="08A67371"/>
    <w:rsid w:val="08A673B7"/>
    <w:rsid w:val="08A674A1"/>
    <w:rsid w:val="08A67681"/>
    <w:rsid w:val="08A6770C"/>
    <w:rsid w:val="08A6778D"/>
    <w:rsid w:val="08A67808"/>
    <w:rsid w:val="08A6787E"/>
    <w:rsid w:val="08A67905"/>
    <w:rsid w:val="08A67918"/>
    <w:rsid w:val="08A679D8"/>
    <w:rsid w:val="08A679DF"/>
    <w:rsid w:val="08A67A4C"/>
    <w:rsid w:val="08A67B04"/>
    <w:rsid w:val="08A67B93"/>
    <w:rsid w:val="08A67C14"/>
    <w:rsid w:val="08A67CD4"/>
    <w:rsid w:val="08A67D20"/>
    <w:rsid w:val="08A67D38"/>
    <w:rsid w:val="08A67E04"/>
    <w:rsid w:val="08A67E20"/>
    <w:rsid w:val="08A67E9E"/>
    <w:rsid w:val="08A67EBA"/>
    <w:rsid w:val="08A67FD3"/>
    <w:rsid w:val="08A700CE"/>
    <w:rsid w:val="08A702AE"/>
    <w:rsid w:val="08A702E1"/>
    <w:rsid w:val="08A703C1"/>
    <w:rsid w:val="08A703F3"/>
    <w:rsid w:val="08A70458"/>
    <w:rsid w:val="08A70498"/>
    <w:rsid w:val="08A704AA"/>
    <w:rsid w:val="08A70708"/>
    <w:rsid w:val="08A707BD"/>
    <w:rsid w:val="08A70805"/>
    <w:rsid w:val="08A7085C"/>
    <w:rsid w:val="08A70871"/>
    <w:rsid w:val="08A70955"/>
    <w:rsid w:val="08A70AE6"/>
    <w:rsid w:val="08A70B3B"/>
    <w:rsid w:val="08A70B45"/>
    <w:rsid w:val="08A70B64"/>
    <w:rsid w:val="08A70B77"/>
    <w:rsid w:val="08A70D46"/>
    <w:rsid w:val="08A70D88"/>
    <w:rsid w:val="08A70DB5"/>
    <w:rsid w:val="08A70E9C"/>
    <w:rsid w:val="08A70F25"/>
    <w:rsid w:val="08A70F9F"/>
    <w:rsid w:val="08A70FA0"/>
    <w:rsid w:val="08A70FED"/>
    <w:rsid w:val="08A71064"/>
    <w:rsid w:val="08A7121C"/>
    <w:rsid w:val="08A7122D"/>
    <w:rsid w:val="08A712EF"/>
    <w:rsid w:val="08A71355"/>
    <w:rsid w:val="08A71483"/>
    <w:rsid w:val="08A714C6"/>
    <w:rsid w:val="08A714CB"/>
    <w:rsid w:val="08A71539"/>
    <w:rsid w:val="08A71593"/>
    <w:rsid w:val="08A7162F"/>
    <w:rsid w:val="08A71698"/>
    <w:rsid w:val="08A71815"/>
    <w:rsid w:val="08A71821"/>
    <w:rsid w:val="08A7184C"/>
    <w:rsid w:val="08A718ED"/>
    <w:rsid w:val="08A71923"/>
    <w:rsid w:val="08A71959"/>
    <w:rsid w:val="08A7196B"/>
    <w:rsid w:val="08A71B09"/>
    <w:rsid w:val="08A71B37"/>
    <w:rsid w:val="08A71C0A"/>
    <w:rsid w:val="08A71CA2"/>
    <w:rsid w:val="08A71CBE"/>
    <w:rsid w:val="08A71DF4"/>
    <w:rsid w:val="08A71E73"/>
    <w:rsid w:val="08A71FFD"/>
    <w:rsid w:val="08A7216E"/>
    <w:rsid w:val="08A72203"/>
    <w:rsid w:val="08A7224C"/>
    <w:rsid w:val="08A722E1"/>
    <w:rsid w:val="08A723A2"/>
    <w:rsid w:val="08A723AC"/>
    <w:rsid w:val="08A723D9"/>
    <w:rsid w:val="08A723F1"/>
    <w:rsid w:val="08A72468"/>
    <w:rsid w:val="08A7250C"/>
    <w:rsid w:val="08A725C6"/>
    <w:rsid w:val="08A7262F"/>
    <w:rsid w:val="08A72728"/>
    <w:rsid w:val="08A72797"/>
    <w:rsid w:val="08A728D4"/>
    <w:rsid w:val="08A728EC"/>
    <w:rsid w:val="08A72918"/>
    <w:rsid w:val="08A7297C"/>
    <w:rsid w:val="08A7297E"/>
    <w:rsid w:val="08A729D5"/>
    <w:rsid w:val="08A729E7"/>
    <w:rsid w:val="08A72A30"/>
    <w:rsid w:val="08A72A36"/>
    <w:rsid w:val="08A72A5A"/>
    <w:rsid w:val="08A72AA8"/>
    <w:rsid w:val="08A72B45"/>
    <w:rsid w:val="08A72C21"/>
    <w:rsid w:val="08A72C5A"/>
    <w:rsid w:val="08A72D7B"/>
    <w:rsid w:val="08A72DC9"/>
    <w:rsid w:val="08A72E86"/>
    <w:rsid w:val="08A72F3A"/>
    <w:rsid w:val="08A72FF4"/>
    <w:rsid w:val="08A73032"/>
    <w:rsid w:val="08A7303E"/>
    <w:rsid w:val="08A730AD"/>
    <w:rsid w:val="08A730B8"/>
    <w:rsid w:val="08A730C2"/>
    <w:rsid w:val="08A73116"/>
    <w:rsid w:val="08A7313D"/>
    <w:rsid w:val="08A73140"/>
    <w:rsid w:val="08A7316C"/>
    <w:rsid w:val="08A7317E"/>
    <w:rsid w:val="08A7319C"/>
    <w:rsid w:val="08A731B0"/>
    <w:rsid w:val="08A7326A"/>
    <w:rsid w:val="08A732D3"/>
    <w:rsid w:val="08A733CA"/>
    <w:rsid w:val="08A733CC"/>
    <w:rsid w:val="08A733D5"/>
    <w:rsid w:val="08A73453"/>
    <w:rsid w:val="08A73456"/>
    <w:rsid w:val="08A7348B"/>
    <w:rsid w:val="08A7348C"/>
    <w:rsid w:val="08A734C7"/>
    <w:rsid w:val="08A73624"/>
    <w:rsid w:val="08A73663"/>
    <w:rsid w:val="08A73716"/>
    <w:rsid w:val="08A7375A"/>
    <w:rsid w:val="08A737BC"/>
    <w:rsid w:val="08A737F1"/>
    <w:rsid w:val="08A73838"/>
    <w:rsid w:val="08A7392B"/>
    <w:rsid w:val="08A73931"/>
    <w:rsid w:val="08A7396D"/>
    <w:rsid w:val="08A73A79"/>
    <w:rsid w:val="08A73B23"/>
    <w:rsid w:val="08A73B6C"/>
    <w:rsid w:val="08A73BBF"/>
    <w:rsid w:val="08A73BD7"/>
    <w:rsid w:val="08A73C39"/>
    <w:rsid w:val="08A73D17"/>
    <w:rsid w:val="08A73D4C"/>
    <w:rsid w:val="08A73D5E"/>
    <w:rsid w:val="08A73E30"/>
    <w:rsid w:val="08A73E32"/>
    <w:rsid w:val="08A73F1E"/>
    <w:rsid w:val="08A73F22"/>
    <w:rsid w:val="08A7402D"/>
    <w:rsid w:val="08A740BF"/>
    <w:rsid w:val="08A740C2"/>
    <w:rsid w:val="08A74143"/>
    <w:rsid w:val="08A74182"/>
    <w:rsid w:val="08A741F4"/>
    <w:rsid w:val="08A74207"/>
    <w:rsid w:val="08A7422B"/>
    <w:rsid w:val="08A7430D"/>
    <w:rsid w:val="08A74397"/>
    <w:rsid w:val="08A7444D"/>
    <w:rsid w:val="08A74454"/>
    <w:rsid w:val="08A7449E"/>
    <w:rsid w:val="08A74626"/>
    <w:rsid w:val="08A746EE"/>
    <w:rsid w:val="08A74724"/>
    <w:rsid w:val="08A747FE"/>
    <w:rsid w:val="08A74826"/>
    <w:rsid w:val="08A74828"/>
    <w:rsid w:val="08A7488C"/>
    <w:rsid w:val="08A749F3"/>
    <w:rsid w:val="08A74A1D"/>
    <w:rsid w:val="08A74AC2"/>
    <w:rsid w:val="08A74B6B"/>
    <w:rsid w:val="08A74BA6"/>
    <w:rsid w:val="08A74C02"/>
    <w:rsid w:val="08A74CB0"/>
    <w:rsid w:val="08A74D47"/>
    <w:rsid w:val="08A74F86"/>
    <w:rsid w:val="08A7502B"/>
    <w:rsid w:val="08A7502D"/>
    <w:rsid w:val="08A751B4"/>
    <w:rsid w:val="08A75223"/>
    <w:rsid w:val="08A7529C"/>
    <w:rsid w:val="08A752D1"/>
    <w:rsid w:val="08A7531F"/>
    <w:rsid w:val="08A75346"/>
    <w:rsid w:val="08A75403"/>
    <w:rsid w:val="08A75464"/>
    <w:rsid w:val="08A75465"/>
    <w:rsid w:val="08A75496"/>
    <w:rsid w:val="08A75579"/>
    <w:rsid w:val="08A755A9"/>
    <w:rsid w:val="08A755F7"/>
    <w:rsid w:val="08A7563E"/>
    <w:rsid w:val="08A7564F"/>
    <w:rsid w:val="08A757A1"/>
    <w:rsid w:val="08A75809"/>
    <w:rsid w:val="08A75834"/>
    <w:rsid w:val="08A758B0"/>
    <w:rsid w:val="08A7594D"/>
    <w:rsid w:val="08A75954"/>
    <w:rsid w:val="08A7599D"/>
    <w:rsid w:val="08A75AB1"/>
    <w:rsid w:val="08A75AE0"/>
    <w:rsid w:val="08A75B3A"/>
    <w:rsid w:val="08A75B78"/>
    <w:rsid w:val="08A75B9C"/>
    <w:rsid w:val="08A75C31"/>
    <w:rsid w:val="08A75C9F"/>
    <w:rsid w:val="08A75CB1"/>
    <w:rsid w:val="08A75D6A"/>
    <w:rsid w:val="08A75D7B"/>
    <w:rsid w:val="08A75DE4"/>
    <w:rsid w:val="08A75DE6"/>
    <w:rsid w:val="08A75EC4"/>
    <w:rsid w:val="08A75F54"/>
    <w:rsid w:val="08A760AD"/>
    <w:rsid w:val="08A760C5"/>
    <w:rsid w:val="08A760D5"/>
    <w:rsid w:val="08A76187"/>
    <w:rsid w:val="08A76259"/>
    <w:rsid w:val="08A763F6"/>
    <w:rsid w:val="08A76436"/>
    <w:rsid w:val="08A76512"/>
    <w:rsid w:val="08A76523"/>
    <w:rsid w:val="08A7653D"/>
    <w:rsid w:val="08A7655A"/>
    <w:rsid w:val="08A76597"/>
    <w:rsid w:val="08A765BC"/>
    <w:rsid w:val="08A765DF"/>
    <w:rsid w:val="08A76672"/>
    <w:rsid w:val="08A76763"/>
    <w:rsid w:val="08A768F9"/>
    <w:rsid w:val="08A769A2"/>
    <w:rsid w:val="08A769C0"/>
    <w:rsid w:val="08A76A34"/>
    <w:rsid w:val="08A76A65"/>
    <w:rsid w:val="08A76B43"/>
    <w:rsid w:val="08A76B47"/>
    <w:rsid w:val="08A76B9D"/>
    <w:rsid w:val="08A76BD1"/>
    <w:rsid w:val="08A76C0B"/>
    <w:rsid w:val="08A76C33"/>
    <w:rsid w:val="08A76C8E"/>
    <w:rsid w:val="08A76D13"/>
    <w:rsid w:val="08A76D26"/>
    <w:rsid w:val="08A76D48"/>
    <w:rsid w:val="08A76FBC"/>
    <w:rsid w:val="08A76FE9"/>
    <w:rsid w:val="08A76FEA"/>
    <w:rsid w:val="08A771AE"/>
    <w:rsid w:val="08A7722A"/>
    <w:rsid w:val="08A7735B"/>
    <w:rsid w:val="08A7745A"/>
    <w:rsid w:val="08A775EA"/>
    <w:rsid w:val="08A77715"/>
    <w:rsid w:val="08A77744"/>
    <w:rsid w:val="08A777EF"/>
    <w:rsid w:val="08A77804"/>
    <w:rsid w:val="08A77826"/>
    <w:rsid w:val="08A7787E"/>
    <w:rsid w:val="08A77A60"/>
    <w:rsid w:val="08A77A8C"/>
    <w:rsid w:val="08A77A8F"/>
    <w:rsid w:val="08A77AE3"/>
    <w:rsid w:val="08A77C2D"/>
    <w:rsid w:val="08A77C84"/>
    <w:rsid w:val="08A77CCB"/>
    <w:rsid w:val="08A77CEB"/>
    <w:rsid w:val="08A77D7C"/>
    <w:rsid w:val="08A77D8D"/>
    <w:rsid w:val="08A77E79"/>
    <w:rsid w:val="08A77EDB"/>
    <w:rsid w:val="08A77F6F"/>
    <w:rsid w:val="08A77F8B"/>
    <w:rsid w:val="08A77F94"/>
    <w:rsid w:val="08A80200"/>
    <w:rsid w:val="08A80232"/>
    <w:rsid w:val="08A80380"/>
    <w:rsid w:val="08A80381"/>
    <w:rsid w:val="08A80384"/>
    <w:rsid w:val="08A803E9"/>
    <w:rsid w:val="08A80492"/>
    <w:rsid w:val="08A80532"/>
    <w:rsid w:val="08A80564"/>
    <w:rsid w:val="08A805DA"/>
    <w:rsid w:val="08A806A0"/>
    <w:rsid w:val="08A80738"/>
    <w:rsid w:val="08A8085B"/>
    <w:rsid w:val="08A8088B"/>
    <w:rsid w:val="08A808A3"/>
    <w:rsid w:val="08A808C8"/>
    <w:rsid w:val="08A808E4"/>
    <w:rsid w:val="08A80917"/>
    <w:rsid w:val="08A8092E"/>
    <w:rsid w:val="08A80946"/>
    <w:rsid w:val="08A80957"/>
    <w:rsid w:val="08A809EF"/>
    <w:rsid w:val="08A80A85"/>
    <w:rsid w:val="08A80A8E"/>
    <w:rsid w:val="08A80AC1"/>
    <w:rsid w:val="08A80B6C"/>
    <w:rsid w:val="08A80CA0"/>
    <w:rsid w:val="08A80CA6"/>
    <w:rsid w:val="08A80CE3"/>
    <w:rsid w:val="08A80CF8"/>
    <w:rsid w:val="08A80D27"/>
    <w:rsid w:val="08A80D89"/>
    <w:rsid w:val="08A80DD2"/>
    <w:rsid w:val="08A80EC2"/>
    <w:rsid w:val="08A80F6C"/>
    <w:rsid w:val="08A80F7C"/>
    <w:rsid w:val="08A80FA9"/>
    <w:rsid w:val="08A81044"/>
    <w:rsid w:val="08A8105B"/>
    <w:rsid w:val="08A8108D"/>
    <w:rsid w:val="08A810E4"/>
    <w:rsid w:val="08A81137"/>
    <w:rsid w:val="08A8117F"/>
    <w:rsid w:val="08A81213"/>
    <w:rsid w:val="08A81230"/>
    <w:rsid w:val="08A81342"/>
    <w:rsid w:val="08A81359"/>
    <w:rsid w:val="08A81367"/>
    <w:rsid w:val="08A813D1"/>
    <w:rsid w:val="08A81449"/>
    <w:rsid w:val="08A814E0"/>
    <w:rsid w:val="08A8165F"/>
    <w:rsid w:val="08A8168D"/>
    <w:rsid w:val="08A816FE"/>
    <w:rsid w:val="08A81749"/>
    <w:rsid w:val="08A81795"/>
    <w:rsid w:val="08A8183A"/>
    <w:rsid w:val="08A8188F"/>
    <w:rsid w:val="08A818CC"/>
    <w:rsid w:val="08A81980"/>
    <w:rsid w:val="08A81A3A"/>
    <w:rsid w:val="08A81A8B"/>
    <w:rsid w:val="08A81BD8"/>
    <w:rsid w:val="08A81CA0"/>
    <w:rsid w:val="08A81CBE"/>
    <w:rsid w:val="08A81D07"/>
    <w:rsid w:val="08A81DCE"/>
    <w:rsid w:val="08A81E16"/>
    <w:rsid w:val="08A81E2B"/>
    <w:rsid w:val="08A81EC5"/>
    <w:rsid w:val="08A81F04"/>
    <w:rsid w:val="08A81F2F"/>
    <w:rsid w:val="08A81F7A"/>
    <w:rsid w:val="08A81F91"/>
    <w:rsid w:val="08A821E7"/>
    <w:rsid w:val="08A8245A"/>
    <w:rsid w:val="08A82495"/>
    <w:rsid w:val="08A825EB"/>
    <w:rsid w:val="08A82631"/>
    <w:rsid w:val="08A82662"/>
    <w:rsid w:val="08A826C8"/>
    <w:rsid w:val="08A826DB"/>
    <w:rsid w:val="08A827E5"/>
    <w:rsid w:val="08A8282E"/>
    <w:rsid w:val="08A8285D"/>
    <w:rsid w:val="08A8295F"/>
    <w:rsid w:val="08A829CC"/>
    <w:rsid w:val="08A82A21"/>
    <w:rsid w:val="08A82A2B"/>
    <w:rsid w:val="08A82A89"/>
    <w:rsid w:val="08A82B00"/>
    <w:rsid w:val="08A82B80"/>
    <w:rsid w:val="08A82CA0"/>
    <w:rsid w:val="08A82E06"/>
    <w:rsid w:val="08A82E54"/>
    <w:rsid w:val="08A82E78"/>
    <w:rsid w:val="08A82F1E"/>
    <w:rsid w:val="08A82F4C"/>
    <w:rsid w:val="08A82F6E"/>
    <w:rsid w:val="08A82FF9"/>
    <w:rsid w:val="08A83077"/>
    <w:rsid w:val="08A83078"/>
    <w:rsid w:val="08A830B1"/>
    <w:rsid w:val="08A83113"/>
    <w:rsid w:val="08A83136"/>
    <w:rsid w:val="08A8314F"/>
    <w:rsid w:val="08A83169"/>
    <w:rsid w:val="08A83305"/>
    <w:rsid w:val="08A8336F"/>
    <w:rsid w:val="08A833BF"/>
    <w:rsid w:val="08A833FD"/>
    <w:rsid w:val="08A83443"/>
    <w:rsid w:val="08A8346A"/>
    <w:rsid w:val="08A834F1"/>
    <w:rsid w:val="08A83502"/>
    <w:rsid w:val="08A83541"/>
    <w:rsid w:val="08A8358E"/>
    <w:rsid w:val="08A835C9"/>
    <w:rsid w:val="08A8361F"/>
    <w:rsid w:val="08A83621"/>
    <w:rsid w:val="08A83645"/>
    <w:rsid w:val="08A836A1"/>
    <w:rsid w:val="08A8373C"/>
    <w:rsid w:val="08A8383C"/>
    <w:rsid w:val="08A83AED"/>
    <w:rsid w:val="08A83BDA"/>
    <w:rsid w:val="08A83C78"/>
    <w:rsid w:val="08A83D78"/>
    <w:rsid w:val="08A83DED"/>
    <w:rsid w:val="08A83EDB"/>
    <w:rsid w:val="08A83F3B"/>
    <w:rsid w:val="08A83FE2"/>
    <w:rsid w:val="08A83FED"/>
    <w:rsid w:val="08A840A0"/>
    <w:rsid w:val="08A84121"/>
    <w:rsid w:val="08A8417C"/>
    <w:rsid w:val="08A84214"/>
    <w:rsid w:val="08A84236"/>
    <w:rsid w:val="08A84239"/>
    <w:rsid w:val="08A84251"/>
    <w:rsid w:val="08A84332"/>
    <w:rsid w:val="08A84340"/>
    <w:rsid w:val="08A8438B"/>
    <w:rsid w:val="08A8445C"/>
    <w:rsid w:val="08A8447A"/>
    <w:rsid w:val="08A8451A"/>
    <w:rsid w:val="08A84637"/>
    <w:rsid w:val="08A846B3"/>
    <w:rsid w:val="08A84758"/>
    <w:rsid w:val="08A847B4"/>
    <w:rsid w:val="08A847DC"/>
    <w:rsid w:val="08A847DD"/>
    <w:rsid w:val="08A84837"/>
    <w:rsid w:val="08A8483D"/>
    <w:rsid w:val="08A8488C"/>
    <w:rsid w:val="08A848AF"/>
    <w:rsid w:val="08A84934"/>
    <w:rsid w:val="08A84990"/>
    <w:rsid w:val="08A849AD"/>
    <w:rsid w:val="08A849C6"/>
    <w:rsid w:val="08A84A62"/>
    <w:rsid w:val="08A84A9A"/>
    <w:rsid w:val="08A84BBF"/>
    <w:rsid w:val="08A84BC9"/>
    <w:rsid w:val="08A84C87"/>
    <w:rsid w:val="08A84CB8"/>
    <w:rsid w:val="08A84CC2"/>
    <w:rsid w:val="08A84D3E"/>
    <w:rsid w:val="08A84DF2"/>
    <w:rsid w:val="08A84E03"/>
    <w:rsid w:val="08A84E23"/>
    <w:rsid w:val="08A84EE0"/>
    <w:rsid w:val="08A8500B"/>
    <w:rsid w:val="08A8501E"/>
    <w:rsid w:val="08A85087"/>
    <w:rsid w:val="08A850F6"/>
    <w:rsid w:val="08A85126"/>
    <w:rsid w:val="08A85272"/>
    <w:rsid w:val="08A85375"/>
    <w:rsid w:val="08A85461"/>
    <w:rsid w:val="08A855C3"/>
    <w:rsid w:val="08A8561C"/>
    <w:rsid w:val="08A8566E"/>
    <w:rsid w:val="08A857A3"/>
    <w:rsid w:val="08A857B1"/>
    <w:rsid w:val="08A858CF"/>
    <w:rsid w:val="08A85B1D"/>
    <w:rsid w:val="08A85B6F"/>
    <w:rsid w:val="08A85C2B"/>
    <w:rsid w:val="08A85CCF"/>
    <w:rsid w:val="08A85CDE"/>
    <w:rsid w:val="08A85D3C"/>
    <w:rsid w:val="08A85D71"/>
    <w:rsid w:val="08A85E02"/>
    <w:rsid w:val="08A85E67"/>
    <w:rsid w:val="08A85ED1"/>
    <w:rsid w:val="08A85EF7"/>
    <w:rsid w:val="08A85F1F"/>
    <w:rsid w:val="08A85F25"/>
    <w:rsid w:val="08A85F5B"/>
    <w:rsid w:val="08A86173"/>
    <w:rsid w:val="08A8619E"/>
    <w:rsid w:val="08A861A0"/>
    <w:rsid w:val="08A861B1"/>
    <w:rsid w:val="08A8637D"/>
    <w:rsid w:val="08A863B5"/>
    <w:rsid w:val="08A8649D"/>
    <w:rsid w:val="08A866E4"/>
    <w:rsid w:val="08A86707"/>
    <w:rsid w:val="08A86816"/>
    <w:rsid w:val="08A86986"/>
    <w:rsid w:val="08A86BCC"/>
    <w:rsid w:val="08A86C7C"/>
    <w:rsid w:val="08A86CBE"/>
    <w:rsid w:val="08A86CCD"/>
    <w:rsid w:val="08A86E04"/>
    <w:rsid w:val="08A86E2B"/>
    <w:rsid w:val="08A86E59"/>
    <w:rsid w:val="08A86EA3"/>
    <w:rsid w:val="08A87098"/>
    <w:rsid w:val="08A870C3"/>
    <w:rsid w:val="08A870ED"/>
    <w:rsid w:val="08A87191"/>
    <w:rsid w:val="08A87458"/>
    <w:rsid w:val="08A87493"/>
    <w:rsid w:val="08A874A1"/>
    <w:rsid w:val="08A874F1"/>
    <w:rsid w:val="08A8755F"/>
    <w:rsid w:val="08A875BB"/>
    <w:rsid w:val="08A87631"/>
    <w:rsid w:val="08A87684"/>
    <w:rsid w:val="08A87736"/>
    <w:rsid w:val="08A87809"/>
    <w:rsid w:val="08A8798E"/>
    <w:rsid w:val="08A879C1"/>
    <w:rsid w:val="08A87A46"/>
    <w:rsid w:val="08A87A77"/>
    <w:rsid w:val="08A87A93"/>
    <w:rsid w:val="08A87AC2"/>
    <w:rsid w:val="08A87B30"/>
    <w:rsid w:val="08A87B45"/>
    <w:rsid w:val="08A87B90"/>
    <w:rsid w:val="08A87B9E"/>
    <w:rsid w:val="08A87BC2"/>
    <w:rsid w:val="08A87C13"/>
    <w:rsid w:val="08A87C65"/>
    <w:rsid w:val="08A87C9A"/>
    <w:rsid w:val="08A87CDE"/>
    <w:rsid w:val="08A87D0E"/>
    <w:rsid w:val="08A87D2D"/>
    <w:rsid w:val="08A87D4A"/>
    <w:rsid w:val="08A87D57"/>
    <w:rsid w:val="08A87DF1"/>
    <w:rsid w:val="08A87EB7"/>
    <w:rsid w:val="08A87EFB"/>
    <w:rsid w:val="08A87F4F"/>
    <w:rsid w:val="08A87F9C"/>
    <w:rsid w:val="08A90075"/>
    <w:rsid w:val="08A90140"/>
    <w:rsid w:val="08A90311"/>
    <w:rsid w:val="08A90321"/>
    <w:rsid w:val="08A9033D"/>
    <w:rsid w:val="08A90348"/>
    <w:rsid w:val="08A90367"/>
    <w:rsid w:val="08A90418"/>
    <w:rsid w:val="08A90426"/>
    <w:rsid w:val="08A90433"/>
    <w:rsid w:val="08A9046D"/>
    <w:rsid w:val="08A904A5"/>
    <w:rsid w:val="08A904BE"/>
    <w:rsid w:val="08A904FA"/>
    <w:rsid w:val="08A90527"/>
    <w:rsid w:val="08A90595"/>
    <w:rsid w:val="08A905B4"/>
    <w:rsid w:val="08A905EA"/>
    <w:rsid w:val="08A906CC"/>
    <w:rsid w:val="08A907A9"/>
    <w:rsid w:val="08A907BA"/>
    <w:rsid w:val="08A908F4"/>
    <w:rsid w:val="08A909D9"/>
    <w:rsid w:val="08A909F4"/>
    <w:rsid w:val="08A909FC"/>
    <w:rsid w:val="08A90A08"/>
    <w:rsid w:val="08A90A17"/>
    <w:rsid w:val="08A90A18"/>
    <w:rsid w:val="08A90AB9"/>
    <w:rsid w:val="08A90B32"/>
    <w:rsid w:val="08A90C41"/>
    <w:rsid w:val="08A90C8B"/>
    <w:rsid w:val="08A90CBA"/>
    <w:rsid w:val="08A90DEA"/>
    <w:rsid w:val="08A90E2B"/>
    <w:rsid w:val="08A90ECC"/>
    <w:rsid w:val="08A90ED6"/>
    <w:rsid w:val="08A90F2D"/>
    <w:rsid w:val="08A91008"/>
    <w:rsid w:val="08A91070"/>
    <w:rsid w:val="08A910F0"/>
    <w:rsid w:val="08A91108"/>
    <w:rsid w:val="08A9114F"/>
    <w:rsid w:val="08A911A6"/>
    <w:rsid w:val="08A91234"/>
    <w:rsid w:val="08A9131F"/>
    <w:rsid w:val="08A91320"/>
    <w:rsid w:val="08A91359"/>
    <w:rsid w:val="08A91361"/>
    <w:rsid w:val="08A913CA"/>
    <w:rsid w:val="08A913D8"/>
    <w:rsid w:val="08A913F8"/>
    <w:rsid w:val="08A91411"/>
    <w:rsid w:val="08A91491"/>
    <w:rsid w:val="08A91599"/>
    <w:rsid w:val="08A91618"/>
    <w:rsid w:val="08A91651"/>
    <w:rsid w:val="08A916BF"/>
    <w:rsid w:val="08A91765"/>
    <w:rsid w:val="08A9181D"/>
    <w:rsid w:val="08A918CA"/>
    <w:rsid w:val="08A9196C"/>
    <w:rsid w:val="08A919B0"/>
    <w:rsid w:val="08A91B4B"/>
    <w:rsid w:val="08A91C4E"/>
    <w:rsid w:val="08A91DE9"/>
    <w:rsid w:val="08A91DF1"/>
    <w:rsid w:val="08A91E3C"/>
    <w:rsid w:val="08A91EDE"/>
    <w:rsid w:val="08A91EF1"/>
    <w:rsid w:val="08A91F10"/>
    <w:rsid w:val="08A91F46"/>
    <w:rsid w:val="08A91F7B"/>
    <w:rsid w:val="08A91F93"/>
    <w:rsid w:val="08A92104"/>
    <w:rsid w:val="08A92153"/>
    <w:rsid w:val="08A92187"/>
    <w:rsid w:val="08A9228B"/>
    <w:rsid w:val="08A92336"/>
    <w:rsid w:val="08A924A7"/>
    <w:rsid w:val="08A92507"/>
    <w:rsid w:val="08A9250D"/>
    <w:rsid w:val="08A92575"/>
    <w:rsid w:val="08A92662"/>
    <w:rsid w:val="08A92696"/>
    <w:rsid w:val="08A9270D"/>
    <w:rsid w:val="08A9270E"/>
    <w:rsid w:val="08A92710"/>
    <w:rsid w:val="08A92733"/>
    <w:rsid w:val="08A9275D"/>
    <w:rsid w:val="08A9281B"/>
    <w:rsid w:val="08A9283B"/>
    <w:rsid w:val="08A92931"/>
    <w:rsid w:val="08A92968"/>
    <w:rsid w:val="08A929A0"/>
    <w:rsid w:val="08A929E0"/>
    <w:rsid w:val="08A929EC"/>
    <w:rsid w:val="08A92A64"/>
    <w:rsid w:val="08A92B60"/>
    <w:rsid w:val="08A92C16"/>
    <w:rsid w:val="08A92C4A"/>
    <w:rsid w:val="08A92D45"/>
    <w:rsid w:val="08A92DCD"/>
    <w:rsid w:val="08A92E75"/>
    <w:rsid w:val="08A92ECB"/>
    <w:rsid w:val="08A92ED8"/>
    <w:rsid w:val="08A92F16"/>
    <w:rsid w:val="08A92F32"/>
    <w:rsid w:val="08A92F3A"/>
    <w:rsid w:val="08A92F5A"/>
    <w:rsid w:val="08A92F98"/>
    <w:rsid w:val="08A93098"/>
    <w:rsid w:val="08A93110"/>
    <w:rsid w:val="08A9334D"/>
    <w:rsid w:val="08A93567"/>
    <w:rsid w:val="08A9356E"/>
    <w:rsid w:val="08A935AB"/>
    <w:rsid w:val="08A935C4"/>
    <w:rsid w:val="08A93604"/>
    <w:rsid w:val="08A93658"/>
    <w:rsid w:val="08A936E3"/>
    <w:rsid w:val="08A9376D"/>
    <w:rsid w:val="08A93775"/>
    <w:rsid w:val="08A937DC"/>
    <w:rsid w:val="08A93967"/>
    <w:rsid w:val="08A93A6F"/>
    <w:rsid w:val="08A93ABE"/>
    <w:rsid w:val="08A93AE5"/>
    <w:rsid w:val="08A93B0D"/>
    <w:rsid w:val="08A93BC1"/>
    <w:rsid w:val="08A93C09"/>
    <w:rsid w:val="08A93C70"/>
    <w:rsid w:val="08A93CB0"/>
    <w:rsid w:val="08A93D45"/>
    <w:rsid w:val="08A93DAB"/>
    <w:rsid w:val="08A93E18"/>
    <w:rsid w:val="08A93EAA"/>
    <w:rsid w:val="08A93FE0"/>
    <w:rsid w:val="08A940DD"/>
    <w:rsid w:val="08A94161"/>
    <w:rsid w:val="08A942A5"/>
    <w:rsid w:val="08A942F7"/>
    <w:rsid w:val="08A94344"/>
    <w:rsid w:val="08A94463"/>
    <w:rsid w:val="08A9447C"/>
    <w:rsid w:val="08A944D6"/>
    <w:rsid w:val="08A944DA"/>
    <w:rsid w:val="08A944E9"/>
    <w:rsid w:val="08A944FD"/>
    <w:rsid w:val="08A94571"/>
    <w:rsid w:val="08A945B7"/>
    <w:rsid w:val="08A945C4"/>
    <w:rsid w:val="08A94655"/>
    <w:rsid w:val="08A94692"/>
    <w:rsid w:val="08A946F5"/>
    <w:rsid w:val="08A94729"/>
    <w:rsid w:val="08A9475B"/>
    <w:rsid w:val="08A947CF"/>
    <w:rsid w:val="08A9488A"/>
    <w:rsid w:val="08A94A18"/>
    <w:rsid w:val="08A94A9F"/>
    <w:rsid w:val="08A94B63"/>
    <w:rsid w:val="08A94BE1"/>
    <w:rsid w:val="08A94BE9"/>
    <w:rsid w:val="08A94C71"/>
    <w:rsid w:val="08A94CEC"/>
    <w:rsid w:val="08A94D77"/>
    <w:rsid w:val="08A94D87"/>
    <w:rsid w:val="08A94DDC"/>
    <w:rsid w:val="08A94E3E"/>
    <w:rsid w:val="08A94E64"/>
    <w:rsid w:val="08A94F09"/>
    <w:rsid w:val="08A94F0A"/>
    <w:rsid w:val="08A94F29"/>
    <w:rsid w:val="08A94F3B"/>
    <w:rsid w:val="08A95050"/>
    <w:rsid w:val="08A950B0"/>
    <w:rsid w:val="08A950E6"/>
    <w:rsid w:val="08A95103"/>
    <w:rsid w:val="08A9510B"/>
    <w:rsid w:val="08A95181"/>
    <w:rsid w:val="08A951B6"/>
    <w:rsid w:val="08A9527A"/>
    <w:rsid w:val="08A952F7"/>
    <w:rsid w:val="08A95465"/>
    <w:rsid w:val="08A954DC"/>
    <w:rsid w:val="08A954FB"/>
    <w:rsid w:val="08A9551C"/>
    <w:rsid w:val="08A9557E"/>
    <w:rsid w:val="08A955B4"/>
    <w:rsid w:val="08A956D0"/>
    <w:rsid w:val="08A956E7"/>
    <w:rsid w:val="08A957A3"/>
    <w:rsid w:val="08A957C7"/>
    <w:rsid w:val="08A95814"/>
    <w:rsid w:val="08A9584E"/>
    <w:rsid w:val="08A95902"/>
    <w:rsid w:val="08A95961"/>
    <w:rsid w:val="08A95964"/>
    <w:rsid w:val="08A959CA"/>
    <w:rsid w:val="08A95A5C"/>
    <w:rsid w:val="08A95A97"/>
    <w:rsid w:val="08A95B08"/>
    <w:rsid w:val="08A95B3E"/>
    <w:rsid w:val="08A95B4D"/>
    <w:rsid w:val="08A95C37"/>
    <w:rsid w:val="08A95CB2"/>
    <w:rsid w:val="08A95D0D"/>
    <w:rsid w:val="08A95D9C"/>
    <w:rsid w:val="08A95DCE"/>
    <w:rsid w:val="08A95E5E"/>
    <w:rsid w:val="08A95ED4"/>
    <w:rsid w:val="08A95EE6"/>
    <w:rsid w:val="08A95F17"/>
    <w:rsid w:val="08A96055"/>
    <w:rsid w:val="08A9607D"/>
    <w:rsid w:val="08A960FE"/>
    <w:rsid w:val="08A9610B"/>
    <w:rsid w:val="08A96132"/>
    <w:rsid w:val="08A96225"/>
    <w:rsid w:val="08A962E3"/>
    <w:rsid w:val="08A9631C"/>
    <w:rsid w:val="08A9632F"/>
    <w:rsid w:val="08A96363"/>
    <w:rsid w:val="08A96368"/>
    <w:rsid w:val="08A963D1"/>
    <w:rsid w:val="08A963D8"/>
    <w:rsid w:val="08A96436"/>
    <w:rsid w:val="08A96488"/>
    <w:rsid w:val="08A96490"/>
    <w:rsid w:val="08A964C8"/>
    <w:rsid w:val="08A964DC"/>
    <w:rsid w:val="08A965E3"/>
    <w:rsid w:val="08A96618"/>
    <w:rsid w:val="08A966B1"/>
    <w:rsid w:val="08A968FA"/>
    <w:rsid w:val="08A9697D"/>
    <w:rsid w:val="08A96991"/>
    <w:rsid w:val="08A969AC"/>
    <w:rsid w:val="08A969E6"/>
    <w:rsid w:val="08A96A25"/>
    <w:rsid w:val="08A96A81"/>
    <w:rsid w:val="08A96A94"/>
    <w:rsid w:val="08A96AF9"/>
    <w:rsid w:val="08A96B17"/>
    <w:rsid w:val="08A96B73"/>
    <w:rsid w:val="08A96B89"/>
    <w:rsid w:val="08A96D03"/>
    <w:rsid w:val="08A96DBE"/>
    <w:rsid w:val="08A96DE6"/>
    <w:rsid w:val="08A96DFD"/>
    <w:rsid w:val="08A96E2C"/>
    <w:rsid w:val="08A96E73"/>
    <w:rsid w:val="08A96E96"/>
    <w:rsid w:val="08A9706A"/>
    <w:rsid w:val="08A970A6"/>
    <w:rsid w:val="08A970D4"/>
    <w:rsid w:val="08A970FF"/>
    <w:rsid w:val="08A9717B"/>
    <w:rsid w:val="08A9728E"/>
    <w:rsid w:val="08A97340"/>
    <w:rsid w:val="08A97346"/>
    <w:rsid w:val="08A97354"/>
    <w:rsid w:val="08A97374"/>
    <w:rsid w:val="08A9741F"/>
    <w:rsid w:val="08A9742B"/>
    <w:rsid w:val="08A97441"/>
    <w:rsid w:val="08A97447"/>
    <w:rsid w:val="08A9746C"/>
    <w:rsid w:val="08A974AF"/>
    <w:rsid w:val="08A974BD"/>
    <w:rsid w:val="08A974C7"/>
    <w:rsid w:val="08A974E2"/>
    <w:rsid w:val="08A9752D"/>
    <w:rsid w:val="08A97557"/>
    <w:rsid w:val="08A9757C"/>
    <w:rsid w:val="08A975D0"/>
    <w:rsid w:val="08A97647"/>
    <w:rsid w:val="08A9767B"/>
    <w:rsid w:val="08A976D6"/>
    <w:rsid w:val="08A97783"/>
    <w:rsid w:val="08A97A3B"/>
    <w:rsid w:val="08A97A55"/>
    <w:rsid w:val="08A97A7B"/>
    <w:rsid w:val="08A97B58"/>
    <w:rsid w:val="08A97C14"/>
    <w:rsid w:val="08A97CDC"/>
    <w:rsid w:val="08A97D71"/>
    <w:rsid w:val="08A97D90"/>
    <w:rsid w:val="08A97DB0"/>
    <w:rsid w:val="08A97E15"/>
    <w:rsid w:val="08A97E90"/>
    <w:rsid w:val="08A97EFF"/>
    <w:rsid w:val="08A97F64"/>
    <w:rsid w:val="08A97F75"/>
    <w:rsid w:val="08AA0072"/>
    <w:rsid w:val="08AA0084"/>
    <w:rsid w:val="08AA009E"/>
    <w:rsid w:val="08AA00CC"/>
    <w:rsid w:val="08AA0100"/>
    <w:rsid w:val="08AA013F"/>
    <w:rsid w:val="08AA01E8"/>
    <w:rsid w:val="08AA01EF"/>
    <w:rsid w:val="08AA02B5"/>
    <w:rsid w:val="08AA0317"/>
    <w:rsid w:val="08AA038C"/>
    <w:rsid w:val="08AA04F6"/>
    <w:rsid w:val="08AA04FB"/>
    <w:rsid w:val="08AA05D3"/>
    <w:rsid w:val="08AA06D9"/>
    <w:rsid w:val="08AA0705"/>
    <w:rsid w:val="08AA072D"/>
    <w:rsid w:val="08AA0746"/>
    <w:rsid w:val="08AA07BC"/>
    <w:rsid w:val="08AA0851"/>
    <w:rsid w:val="08AA08FC"/>
    <w:rsid w:val="08AA08FD"/>
    <w:rsid w:val="08AA097A"/>
    <w:rsid w:val="08AA0A44"/>
    <w:rsid w:val="08AA0AF4"/>
    <w:rsid w:val="08AA0B0A"/>
    <w:rsid w:val="08AA0BB0"/>
    <w:rsid w:val="08AA0C13"/>
    <w:rsid w:val="08AA0C48"/>
    <w:rsid w:val="08AA0CE1"/>
    <w:rsid w:val="08AA0D5D"/>
    <w:rsid w:val="08AA0EA3"/>
    <w:rsid w:val="08AA0ED1"/>
    <w:rsid w:val="08AA0FDC"/>
    <w:rsid w:val="08AA0FDF"/>
    <w:rsid w:val="08AA1005"/>
    <w:rsid w:val="08AA1034"/>
    <w:rsid w:val="08AA1057"/>
    <w:rsid w:val="08AA10AB"/>
    <w:rsid w:val="08AA1111"/>
    <w:rsid w:val="08AA1159"/>
    <w:rsid w:val="08AA11C3"/>
    <w:rsid w:val="08AA120C"/>
    <w:rsid w:val="08AA1299"/>
    <w:rsid w:val="08AA12AE"/>
    <w:rsid w:val="08AA12DA"/>
    <w:rsid w:val="08AA13FB"/>
    <w:rsid w:val="08AA1487"/>
    <w:rsid w:val="08AA149A"/>
    <w:rsid w:val="08AA1756"/>
    <w:rsid w:val="08AA17AD"/>
    <w:rsid w:val="08AA17DA"/>
    <w:rsid w:val="08AA17E1"/>
    <w:rsid w:val="08AA17E4"/>
    <w:rsid w:val="08AA17EE"/>
    <w:rsid w:val="08AA186E"/>
    <w:rsid w:val="08AA1C41"/>
    <w:rsid w:val="08AA1CCC"/>
    <w:rsid w:val="08AA1E16"/>
    <w:rsid w:val="08AA1E39"/>
    <w:rsid w:val="08AA1E7F"/>
    <w:rsid w:val="08AA1E8F"/>
    <w:rsid w:val="08AA1F4D"/>
    <w:rsid w:val="08AA1F6D"/>
    <w:rsid w:val="08AA1FDB"/>
    <w:rsid w:val="08AA20AE"/>
    <w:rsid w:val="08AA2183"/>
    <w:rsid w:val="08AA21A9"/>
    <w:rsid w:val="08AA21B0"/>
    <w:rsid w:val="08AA22B4"/>
    <w:rsid w:val="08AA22E9"/>
    <w:rsid w:val="08AA2306"/>
    <w:rsid w:val="08AA230D"/>
    <w:rsid w:val="08AA2310"/>
    <w:rsid w:val="08AA23AE"/>
    <w:rsid w:val="08AA2401"/>
    <w:rsid w:val="08AA240F"/>
    <w:rsid w:val="08AA24A7"/>
    <w:rsid w:val="08AA24BF"/>
    <w:rsid w:val="08AA24D4"/>
    <w:rsid w:val="08AA258D"/>
    <w:rsid w:val="08AA25E6"/>
    <w:rsid w:val="08AA26B6"/>
    <w:rsid w:val="08AA26E9"/>
    <w:rsid w:val="08AA2747"/>
    <w:rsid w:val="08AA2757"/>
    <w:rsid w:val="08AA2782"/>
    <w:rsid w:val="08AA285D"/>
    <w:rsid w:val="08AA28A7"/>
    <w:rsid w:val="08AA28F0"/>
    <w:rsid w:val="08AA290F"/>
    <w:rsid w:val="08AA297B"/>
    <w:rsid w:val="08AA29A8"/>
    <w:rsid w:val="08AA29DB"/>
    <w:rsid w:val="08AA2B77"/>
    <w:rsid w:val="08AA2B86"/>
    <w:rsid w:val="08AA2BC8"/>
    <w:rsid w:val="08AA2CBD"/>
    <w:rsid w:val="08AA2CDE"/>
    <w:rsid w:val="08AA2CF2"/>
    <w:rsid w:val="08AA2D88"/>
    <w:rsid w:val="08AA2DCD"/>
    <w:rsid w:val="08AA2E6B"/>
    <w:rsid w:val="08AA30C1"/>
    <w:rsid w:val="08AA3405"/>
    <w:rsid w:val="08AA3615"/>
    <w:rsid w:val="08AA36CF"/>
    <w:rsid w:val="08AA37C3"/>
    <w:rsid w:val="08AA3922"/>
    <w:rsid w:val="08AA3938"/>
    <w:rsid w:val="08AA395D"/>
    <w:rsid w:val="08AA3B7F"/>
    <w:rsid w:val="08AA3BDB"/>
    <w:rsid w:val="08AA3C05"/>
    <w:rsid w:val="08AA3D21"/>
    <w:rsid w:val="08AA3D6C"/>
    <w:rsid w:val="08AA3E44"/>
    <w:rsid w:val="08AA3E6F"/>
    <w:rsid w:val="08AA3F18"/>
    <w:rsid w:val="08AA40F7"/>
    <w:rsid w:val="08AA41A6"/>
    <w:rsid w:val="08AA41C0"/>
    <w:rsid w:val="08AA41F6"/>
    <w:rsid w:val="08AA4344"/>
    <w:rsid w:val="08AA4507"/>
    <w:rsid w:val="08AA4510"/>
    <w:rsid w:val="08AA452D"/>
    <w:rsid w:val="08AA45F3"/>
    <w:rsid w:val="08AA4779"/>
    <w:rsid w:val="08AA47F3"/>
    <w:rsid w:val="08AA47FC"/>
    <w:rsid w:val="08AA4967"/>
    <w:rsid w:val="08AA49D1"/>
    <w:rsid w:val="08AA49EA"/>
    <w:rsid w:val="08AA4A4B"/>
    <w:rsid w:val="08AA4C4B"/>
    <w:rsid w:val="08AA4CAA"/>
    <w:rsid w:val="08AA4CBA"/>
    <w:rsid w:val="08AA4CEE"/>
    <w:rsid w:val="08AA4DE0"/>
    <w:rsid w:val="08AA4E2C"/>
    <w:rsid w:val="08AA4EE3"/>
    <w:rsid w:val="08AA4EED"/>
    <w:rsid w:val="08AA4F2B"/>
    <w:rsid w:val="08AA4F5B"/>
    <w:rsid w:val="08AA4F74"/>
    <w:rsid w:val="08AA4FF2"/>
    <w:rsid w:val="08AA5015"/>
    <w:rsid w:val="08AA503E"/>
    <w:rsid w:val="08AA5198"/>
    <w:rsid w:val="08AA51D4"/>
    <w:rsid w:val="08AA5220"/>
    <w:rsid w:val="08AA5226"/>
    <w:rsid w:val="08AA5260"/>
    <w:rsid w:val="08AA5359"/>
    <w:rsid w:val="08AA53B9"/>
    <w:rsid w:val="08AA53CB"/>
    <w:rsid w:val="08AA549A"/>
    <w:rsid w:val="08AA5501"/>
    <w:rsid w:val="08AA5515"/>
    <w:rsid w:val="08AA5578"/>
    <w:rsid w:val="08AA55EA"/>
    <w:rsid w:val="08AA566E"/>
    <w:rsid w:val="08AA5689"/>
    <w:rsid w:val="08AA58A4"/>
    <w:rsid w:val="08AA58C6"/>
    <w:rsid w:val="08AA5A1B"/>
    <w:rsid w:val="08AA5A5E"/>
    <w:rsid w:val="08AA5AED"/>
    <w:rsid w:val="08AA5B00"/>
    <w:rsid w:val="08AA5BD4"/>
    <w:rsid w:val="08AA5CCC"/>
    <w:rsid w:val="08AA5D70"/>
    <w:rsid w:val="08AA5D81"/>
    <w:rsid w:val="08AA5DFC"/>
    <w:rsid w:val="08AA5E00"/>
    <w:rsid w:val="08AA5E1C"/>
    <w:rsid w:val="08AA5E4C"/>
    <w:rsid w:val="08AA5E7C"/>
    <w:rsid w:val="08AA5EE0"/>
    <w:rsid w:val="08AA5F02"/>
    <w:rsid w:val="08AA5F85"/>
    <w:rsid w:val="08AA608B"/>
    <w:rsid w:val="08AA6156"/>
    <w:rsid w:val="08AA617F"/>
    <w:rsid w:val="08AA621C"/>
    <w:rsid w:val="08AA638F"/>
    <w:rsid w:val="08AA643A"/>
    <w:rsid w:val="08AA6463"/>
    <w:rsid w:val="08AA6475"/>
    <w:rsid w:val="08AA6479"/>
    <w:rsid w:val="08AA64AF"/>
    <w:rsid w:val="08AA659B"/>
    <w:rsid w:val="08AA65A6"/>
    <w:rsid w:val="08AA65E9"/>
    <w:rsid w:val="08AA6657"/>
    <w:rsid w:val="08AA669F"/>
    <w:rsid w:val="08AA66F4"/>
    <w:rsid w:val="08AA6748"/>
    <w:rsid w:val="08AA67B9"/>
    <w:rsid w:val="08AA6836"/>
    <w:rsid w:val="08AA6846"/>
    <w:rsid w:val="08AA6875"/>
    <w:rsid w:val="08AA6894"/>
    <w:rsid w:val="08AA68B4"/>
    <w:rsid w:val="08AA690A"/>
    <w:rsid w:val="08AA6A6E"/>
    <w:rsid w:val="08AA6AE3"/>
    <w:rsid w:val="08AA6B0D"/>
    <w:rsid w:val="08AA6B0F"/>
    <w:rsid w:val="08AA6CB3"/>
    <w:rsid w:val="08AA6F9B"/>
    <w:rsid w:val="08AA6FD5"/>
    <w:rsid w:val="08AA701F"/>
    <w:rsid w:val="08AA7021"/>
    <w:rsid w:val="08AA705B"/>
    <w:rsid w:val="08AA70A0"/>
    <w:rsid w:val="08AA7175"/>
    <w:rsid w:val="08AA7195"/>
    <w:rsid w:val="08AA71CA"/>
    <w:rsid w:val="08AA7320"/>
    <w:rsid w:val="08AA7420"/>
    <w:rsid w:val="08AA7442"/>
    <w:rsid w:val="08AA748A"/>
    <w:rsid w:val="08AA751C"/>
    <w:rsid w:val="08AA7521"/>
    <w:rsid w:val="08AA753C"/>
    <w:rsid w:val="08AA7656"/>
    <w:rsid w:val="08AA766E"/>
    <w:rsid w:val="08AA767C"/>
    <w:rsid w:val="08AA778E"/>
    <w:rsid w:val="08AA77A1"/>
    <w:rsid w:val="08AA7873"/>
    <w:rsid w:val="08AA78FB"/>
    <w:rsid w:val="08AA79B5"/>
    <w:rsid w:val="08AA7A2A"/>
    <w:rsid w:val="08AA7A90"/>
    <w:rsid w:val="08AA7B75"/>
    <w:rsid w:val="08AA7BAE"/>
    <w:rsid w:val="08AA7BC5"/>
    <w:rsid w:val="08AA7BEE"/>
    <w:rsid w:val="08AA7C23"/>
    <w:rsid w:val="08AA7C83"/>
    <w:rsid w:val="08AA7C97"/>
    <w:rsid w:val="08AA7CC4"/>
    <w:rsid w:val="08AA7D23"/>
    <w:rsid w:val="08AA7E6E"/>
    <w:rsid w:val="08AA7EAB"/>
    <w:rsid w:val="08AA7EE6"/>
    <w:rsid w:val="08AA7F0B"/>
    <w:rsid w:val="08AA7F56"/>
    <w:rsid w:val="08AA7FB4"/>
    <w:rsid w:val="08AB0196"/>
    <w:rsid w:val="08AB01AB"/>
    <w:rsid w:val="08AB023F"/>
    <w:rsid w:val="08AB0258"/>
    <w:rsid w:val="08AB02E5"/>
    <w:rsid w:val="08AB0388"/>
    <w:rsid w:val="08AB051F"/>
    <w:rsid w:val="08AB0577"/>
    <w:rsid w:val="08AB05A1"/>
    <w:rsid w:val="08AB0727"/>
    <w:rsid w:val="08AB0752"/>
    <w:rsid w:val="08AB075E"/>
    <w:rsid w:val="08AB0846"/>
    <w:rsid w:val="08AB0933"/>
    <w:rsid w:val="08AB093B"/>
    <w:rsid w:val="08AB099C"/>
    <w:rsid w:val="08AB09D1"/>
    <w:rsid w:val="08AB0A51"/>
    <w:rsid w:val="08AB0A87"/>
    <w:rsid w:val="08AB0B71"/>
    <w:rsid w:val="08AB0BB9"/>
    <w:rsid w:val="08AB0BBC"/>
    <w:rsid w:val="08AB0BE2"/>
    <w:rsid w:val="08AB0C5A"/>
    <w:rsid w:val="08AB0CC1"/>
    <w:rsid w:val="08AB0DCF"/>
    <w:rsid w:val="08AB0E49"/>
    <w:rsid w:val="08AB0ED3"/>
    <w:rsid w:val="08AB0F07"/>
    <w:rsid w:val="08AB0FA2"/>
    <w:rsid w:val="08AB0FE0"/>
    <w:rsid w:val="08AB1063"/>
    <w:rsid w:val="08AB1094"/>
    <w:rsid w:val="08AB1127"/>
    <w:rsid w:val="08AB1154"/>
    <w:rsid w:val="08AB1269"/>
    <w:rsid w:val="08AB1278"/>
    <w:rsid w:val="08AB12BD"/>
    <w:rsid w:val="08AB1309"/>
    <w:rsid w:val="08AB137F"/>
    <w:rsid w:val="08AB13AC"/>
    <w:rsid w:val="08AB1658"/>
    <w:rsid w:val="08AB168F"/>
    <w:rsid w:val="08AB169A"/>
    <w:rsid w:val="08AB16E2"/>
    <w:rsid w:val="08AB1741"/>
    <w:rsid w:val="08AB1796"/>
    <w:rsid w:val="08AB17F5"/>
    <w:rsid w:val="08AB1807"/>
    <w:rsid w:val="08AB1932"/>
    <w:rsid w:val="08AB198B"/>
    <w:rsid w:val="08AB19B0"/>
    <w:rsid w:val="08AB1A06"/>
    <w:rsid w:val="08AB1A32"/>
    <w:rsid w:val="08AB1A98"/>
    <w:rsid w:val="08AB1AC7"/>
    <w:rsid w:val="08AB1AFB"/>
    <w:rsid w:val="08AB1B83"/>
    <w:rsid w:val="08AB1BB4"/>
    <w:rsid w:val="08AB1C5E"/>
    <w:rsid w:val="08AB1DD5"/>
    <w:rsid w:val="08AB1E3F"/>
    <w:rsid w:val="08AB1F2A"/>
    <w:rsid w:val="08AB1F51"/>
    <w:rsid w:val="08AB1FAC"/>
    <w:rsid w:val="08AB2000"/>
    <w:rsid w:val="08AB2018"/>
    <w:rsid w:val="08AB2052"/>
    <w:rsid w:val="08AB2076"/>
    <w:rsid w:val="08AB208A"/>
    <w:rsid w:val="08AB20A7"/>
    <w:rsid w:val="08AB212F"/>
    <w:rsid w:val="08AB2131"/>
    <w:rsid w:val="08AB2158"/>
    <w:rsid w:val="08AB24A4"/>
    <w:rsid w:val="08AB24D3"/>
    <w:rsid w:val="08AB24EE"/>
    <w:rsid w:val="08AB26FA"/>
    <w:rsid w:val="08AB2733"/>
    <w:rsid w:val="08AB2763"/>
    <w:rsid w:val="08AB2788"/>
    <w:rsid w:val="08AB2848"/>
    <w:rsid w:val="08AB2A62"/>
    <w:rsid w:val="08AB2A94"/>
    <w:rsid w:val="08AB2B6D"/>
    <w:rsid w:val="08AB2BC6"/>
    <w:rsid w:val="08AB2C1E"/>
    <w:rsid w:val="08AB2C3A"/>
    <w:rsid w:val="08AB2C3B"/>
    <w:rsid w:val="08AB2CA4"/>
    <w:rsid w:val="08AB2CD0"/>
    <w:rsid w:val="08AB2CD8"/>
    <w:rsid w:val="08AB2CDC"/>
    <w:rsid w:val="08AB2D6C"/>
    <w:rsid w:val="08AB2DA6"/>
    <w:rsid w:val="08AB2E05"/>
    <w:rsid w:val="08AB2E18"/>
    <w:rsid w:val="08AB2E55"/>
    <w:rsid w:val="08AB2EE4"/>
    <w:rsid w:val="08AB2F4E"/>
    <w:rsid w:val="08AB2F97"/>
    <w:rsid w:val="08AB2FAE"/>
    <w:rsid w:val="08AB3097"/>
    <w:rsid w:val="08AB3115"/>
    <w:rsid w:val="08AB314B"/>
    <w:rsid w:val="08AB3168"/>
    <w:rsid w:val="08AB32BA"/>
    <w:rsid w:val="08AB32E2"/>
    <w:rsid w:val="08AB32EA"/>
    <w:rsid w:val="08AB33A1"/>
    <w:rsid w:val="08AB3420"/>
    <w:rsid w:val="08AB361F"/>
    <w:rsid w:val="08AB3749"/>
    <w:rsid w:val="08AB391A"/>
    <w:rsid w:val="08AB3A2D"/>
    <w:rsid w:val="08AB3A89"/>
    <w:rsid w:val="08AB3B63"/>
    <w:rsid w:val="08AB3B8D"/>
    <w:rsid w:val="08AB3B9F"/>
    <w:rsid w:val="08AB3E14"/>
    <w:rsid w:val="08AB3E4A"/>
    <w:rsid w:val="08AB3EC0"/>
    <w:rsid w:val="08AB3F7C"/>
    <w:rsid w:val="08AB4003"/>
    <w:rsid w:val="08AB4024"/>
    <w:rsid w:val="08AB4032"/>
    <w:rsid w:val="08AB405B"/>
    <w:rsid w:val="08AB408D"/>
    <w:rsid w:val="08AB40BC"/>
    <w:rsid w:val="08AB411A"/>
    <w:rsid w:val="08AB41BC"/>
    <w:rsid w:val="08AB4210"/>
    <w:rsid w:val="08AB4278"/>
    <w:rsid w:val="08AB42A0"/>
    <w:rsid w:val="08AB4422"/>
    <w:rsid w:val="08AB448E"/>
    <w:rsid w:val="08AB44C3"/>
    <w:rsid w:val="08AB44EE"/>
    <w:rsid w:val="08AB44FD"/>
    <w:rsid w:val="08AB456A"/>
    <w:rsid w:val="08AB4576"/>
    <w:rsid w:val="08AB45DB"/>
    <w:rsid w:val="08AB4610"/>
    <w:rsid w:val="08AB46D0"/>
    <w:rsid w:val="08AB4783"/>
    <w:rsid w:val="08AB479F"/>
    <w:rsid w:val="08AB47D5"/>
    <w:rsid w:val="08AB484F"/>
    <w:rsid w:val="08AB48D7"/>
    <w:rsid w:val="08AB49DC"/>
    <w:rsid w:val="08AB4A5A"/>
    <w:rsid w:val="08AB4A5F"/>
    <w:rsid w:val="08AB4AB1"/>
    <w:rsid w:val="08AB4AB4"/>
    <w:rsid w:val="08AB4B66"/>
    <w:rsid w:val="08AB4BA8"/>
    <w:rsid w:val="08AB4C3B"/>
    <w:rsid w:val="08AB4CF2"/>
    <w:rsid w:val="08AB4D14"/>
    <w:rsid w:val="08AB4DC3"/>
    <w:rsid w:val="08AB4E09"/>
    <w:rsid w:val="08AB4E3E"/>
    <w:rsid w:val="08AB4F20"/>
    <w:rsid w:val="08AB4FD7"/>
    <w:rsid w:val="08AB4FDF"/>
    <w:rsid w:val="08AB5039"/>
    <w:rsid w:val="08AB50EF"/>
    <w:rsid w:val="08AB5108"/>
    <w:rsid w:val="08AB5183"/>
    <w:rsid w:val="08AB521C"/>
    <w:rsid w:val="08AB5281"/>
    <w:rsid w:val="08AB541D"/>
    <w:rsid w:val="08AB544E"/>
    <w:rsid w:val="08AB5525"/>
    <w:rsid w:val="08AB5526"/>
    <w:rsid w:val="08AB5610"/>
    <w:rsid w:val="08AB5618"/>
    <w:rsid w:val="08AB56D2"/>
    <w:rsid w:val="08AB56F4"/>
    <w:rsid w:val="08AB56FF"/>
    <w:rsid w:val="08AB5706"/>
    <w:rsid w:val="08AB5732"/>
    <w:rsid w:val="08AB578B"/>
    <w:rsid w:val="08AB593A"/>
    <w:rsid w:val="08AB5A84"/>
    <w:rsid w:val="08AB5AEA"/>
    <w:rsid w:val="08AB5B05"/>
    <w:rsid w:val="08AB5B4A"/>
    <w:rsid w:val="08AB5B88"/>
    <w:rsid w:val="08AB5B9E"/>
    <w:rsid w:val="08AB5BD3"/>
    <w:rsid w:val="08AB5BEA"/>
    <w:rsid w:val="08AB5E27"/>
    <w:rsid w:val="08AB5EED"/>
    <w:rsid w:val="08AB5EF6"/>
    <w:rsid w:val="08AB5F8D"/>
    <w:rsid w:val="08AB5FEA"/>
    <w:rsid w:val="08AB6095"/>
    <w:rsid w:val="08AB60A1"/>
    <w:rsid w:val="08AB60AE"/>
    <w:rsid w:val="08AB6104"/>
    <w:rsid w:val="08AB610C"/>
    <w:rsid w:val="08AB61AA"/>
    <w:rsid w:val="08AB620A"/>
    <w:rsid w:val="08AB6268"/>
    <w:rsid w:val="08AB626B"/>
    <w:rsid w:val="08AB6293"/>
    <w:rsid w:val="08AB62DB"/>
    <w:rsid w:val="08AB6315"/>
    <w:rsid w:val="08AB633A"/>
    <w:rsid w:val="08AB64B1"/>
    <w:rsid w:val="08AB64BB"/>
    <w:rsid w:val="08AB65E8"/>
    <w:rsid w:val="08AB65F9"/>
    <w:rsid w:val="08AB670E"/>
    <w:rsid w:val="08AB6764"/>
    <w:rsid w:val="08AB6789"/>
    <w:rsid w:val="08AB67A2"/>
    <w:rsid w:val="08AB6827"/>
    <w:rsid w:val="08AB68C1"/>
    <w:rsid w:val="08AB68C9"/>
    <w:rsid w:val="08AB691B"/>
    <w:rsid w:val="08AB6A10"/>
    <w:rsid w:val="08AB6A3D"/>
    <w:rsid w:val="08AB6A61"/>
    <w:rsid w:val="08AB6A82"/>
    <w:rsid w:val="08AB6AD2"/>
    <w:rsid w:val="08AB6BB5"/>
    <w:rsid w:val="08AB6BFB"/>
    <w:rsid w:val="08AB6C42"/>
    <w:rsid w:val="08AB6C8B"/>
    <w:rsid w:val="08AB6D8B"/>
    <w:rsid w:val="08AB6DB1"/>
    <w:rsid w:val="08AB6EFC"/>
    <w:rsid w:val="08AB6F2C"/>
    <w:rsid w:val="08AB6F59"/>
    <w:rsid w:val="08AB7018"/>
    <w:rsid w:val="08AB7074"/>
    <w:rsid w:val="08AB707F"/>
    <w:rsid w:val="08AB7097"/>
    <w:rsid w:val="08AB71FF"/>
    <w:rsid w:val="08AB721A"/>
    <w:rsid w:val="08AB739D"/>
    <w:rsid w:val="08AB73A9"/>
    <w:rsid w:val="08AB73BD"/>
    <w:rsid w:val="08AB73C0"/>
    <w:rsid w:val="08AB74A5"/>
    <w:rsid w:val="08AB74E1"/>
    <w:rsid w:val="08AB75F7"/>
    <w:rsid w:val="08AB76F3"/>
    <w:rsid w:val="08AB7701"/>
    <w:rsid w:val="08AB775D"/>
    <w:rsid w:val="08AB785B"/>
    <w:rsid w:val="08AB787F"/>
    <w:rsid w:val="08AB7885"/>
    <w:rsid w:val="08AB78B8"/>
    <w:rsid w:val="08AB79D0"/>
    <w:rsid w:val="08AB7B1C"/>
    <w:rsid w:val="08AB7C9D"/>
    <w:rsid w:val="08AB7D0F"/>
    <w:rsid w:val="08AB7F36"/>
    <w:rsid w:val="08AB7F4A"/>
    <w:rsid w:val="08AB7F86"/>
    <w:rsid w:val="08AB7FDA"/>
    <w:rsid w:val="08AC011D"/>
    <w:rsid w:val="08AC01D8"/>
    <w:rsid w:val="08AC0253"/>
    <w:rsid w:val="08AC025C"/>
    <w:rsid w:val="08AC04E3"/>
    <w:rsid w:val="08AC052C"/>
    <w:rsid w:val="08AC0556"/>
    <w:rsid w:val="08AC0567"/>
    <w:rsid w:val="08AC05E0"/>
    <w:rsid w:val="08AC05EB"/>
    <w:rsid w:val="08AC062C"/>
    <w:rsid w:val="08AC0631"/>
    <w:rsid w:val="08AC064D"/>
    <w:rsid w:val="08AC072C"/>
    <w:rsid w:val="08AC077E"/>
    <w:rsid w:val="08AC07E9"/>
    <w:rsid w:val="08AC07F1"/>
    <w:rsid w:val="08AC08B1"/>
    <w:rsid w:val="08AC09E0"/>
    <w:rsid w:val="08AC0A8D"/>
    <w:rsid w:val="08AC0ABF"/>
    <w:rsid w:val="08AC0B5B"/>
    <w:rsid w:val="08AC0C17"/>
    <w:rsid w:val="08AC0CB0"/>
    <w:rsid w:val="08AC0DB4"/>
    <w:rsid w:val="08AC0E15"/>
    <w:rsid w:val="08AC0E63"/>
    <w:rsid w:val="08AC0E84"/>
    <w:rsid w:val="08AC0E97"/>
    <w:rsid w:val="08AC0F4D"/>
    <w:rsid w:val="08AC0F77"/>
    <w:rsid w:val="08AC0FCF"/>
    <w:rsid w:val="08AC0FD2"/>
    <w:rsid w:val="08AC1016"/>
    <w:rsid w:val="08AC11FF"/>
    <w:rsid w:val="08AC1264"/>
    <w:rsid w:val="08AC1295"/>
    <w:rsid w:val="08AC1372"/>
    <w:rsid w:val="08AC1397"/>
    <w:rsid w:val="08AC13FF"/>
    <w:rsid w:val="08AC140D"/>
    <w:rsid w:val="08AC1434"/>
    <w:rsid w:val="08AC1469"/>
    <w:rsid w:val="08AC1507"/>
    <w:rsid w:val="08AC1536"/>
    <w:rsid w:val="08AC158E"/>
    <w:rsid w:val="08AC1603"/>
    <w:rsid w:val="08AC1608"/>
    <w:rsid w:val="08AC1699"/>
    <w:rsid w:val="08AC170B"/>
    <w:rsid w:val="08AC1710"/>
    <w:rsid w:val="08AC1740"/>
    <w:rsid w:val="08AC175D"/>
    <w:rsid w:val="08AC1769"/>
    <w:rsid w:val="08AC181B"/>
    <w:rsid w:val="08AC182E"/>
    <w:rsid w:val="08AC183D"/>
    <w:rsid w:val="08AC1845"/>
    <w:rsid w:val="08AC1940"/>
    <w:rsid w:val="08AC1BEC"/>
    <w:rsid w:val="08AC1BF7"/>
    <w:rsid w:val="08AC1C1D"/>
    <w:rsid w:val="08AC1D11"/>
    <w:rsid w:val="08AC1D18"/>
    <w:rsid w:val="08AC1E6C"/>
    <w:rsid w:val="08AC1E72"/>
    <w:rsid w:val="08AC1E82"/>
    <w:rsid w:val="08AC1F27"/>
    <w:rsid w:val="08AC1F57"/>
    <w:rsid w:val="08AC1F92"/>
    <w:rsid w:val="08AC203B"/>
    <w:rsid w:val="08AC2070"/>
    <w:rsid w:val="08AC20FE"/>
    <w:rsid w:val="08AC213F"/>
    <w:rsid w:val="08AC219F"/>
    <w:rsid w:val="08AC21B1"/>
    <w:rsid w:val="08AC223D"/>
    <w:rsid w:val="08AC2282"/>
    <w:rsid w:val="08AC2458"/>
    <w:rsid w:val="08AC24BA"/>
    <w:rsid w:val="08AC254C"/>
    <w:rsid w:val="08AC2602"/>
    <w:rsid w:val="08AC26B7"/>
    <w:rsid w:val="08AC2700"/>
    <w:rsid w:val="08AC2771"/>
    <w:rsid w:val="08AC2934"/>
    <w:rsid w:val="08AC297D"/>
    <w:rsid w:val="08AC2A0D"/>
    <w:rsid w:val="08AC2A4B"/>
    <w:rsid w:val="08AC2A8F"/>
    <w:rsid w:val="08AC2AF9"/>
    <w:rsid w:val="08AC2B0A"/>
    <w:rsid w:val="08AC2DDE"/>
    <w:rsid w:val="08AC2E29"/>
    <w:rsid w:val="08AC2E5B"/>
    <w:rsid w:val="08AC2F9B"/>
    <w:rsid w:val="08AC2FFE"/>
    <w:rsid w:val="08AC3006"/>
    <w:rsid w:val="08AC3143"/>
    <w:rsid w:val="08AC322D"/>
    <w:rsid w:val="08AC344C"/>
    <w:rsid w:val="08AC3451"/>
    <w:rsid w:val="08AC3458"/>
    <w:rsid w:val="08AC3483"/>
    <w:rsid w:val="08AC34B5"/>
    <w:rsid w:val="08AC34B6"/>
    <w:rsid w:val="08AC357F"/>
    <w:rsid w:val="08AC35D5"/>
    <w:rsid w:val="08AC373A"/>
    <w:rsid w:val="08AC382F"/>
    <w:rsid w:val="08AC3917"/>
    <w:rsid w:val="08AC3972"/>
    <w:rsid w:val="08AC39E2"/>
    <w:rsid w:val="08AC3AAD"/>
    <w:rsid w:val="08AC3B0C"/>
    <w:rsid w:val="08AC3B17"/>
    <w:rsid w:val="08AC3B98"/>
    <w:rsid w:val="08AC3C95"/>
    <w:rsid w:val="08AC3D16"/>
    <w:rsid w:val="08AC3D2B"/>
    <w:rsid w:val="08AC3D71"/>
    <w:rsid w:val="08AC3EA0"/>
    <w:rsid w:val="08AC3EA3"/>
    <w:rsid w:val="08AC3ED8"/>
    <w:rsid w:val="08AC3F32"/>
    <w:rsid w:val="08AC3F3C"/>
    <w:rsid w:val="08AC3F5B"/>
    <w:rsid w:val="08AC3FF1"/>
    <w:rsid w:val="08AC40CE"/>
    <w:rsid w:val="08AC4183"/>
    <w:rsid w:val="08AC4332"/>
    <w:rsid w:val="08AC4461"/>
    <w:rsid w:val="08AC4467"/>
    <w:rsid w:val="08AC44D1"/>
    <w:rsid w:val="08AC45CB"/>
    <w:rsid w:val="08AC4700"/>
    <w:rsid w:val="08AC474B"/>
    <w:rsid w:val="08AC4875"/>
    <w:rsid w:val="08AC488A"/>
    <w:rsid w:val="08AC48C4"/>
    <w:rsid w:val="08AC48E7"/>
    <w:rsid w:val="08AC4934"/>
    <w:rsid w:val="08AC49CC"/>
    <w:rsid w:val="08AC49EB"/>
    <w:rsid w:val="08AC4A42"/>
    <w:rsid w:val="08AC4B05"/>
    <w:rsid w:val="08AC4B2A"/>
    <w:rsid w:val="08AC4B3F"/>
    <w:rsid w:val="08AC4B53"/>
    <w:rsid w:val="08AC4B6B"/>
    <w:rsid w:val="08AC4B95"/>
    <w:rsid w:val="08AC4C12"/>
    <w:rsid w:val="08AC4C17"/>
    <w:rsid w:val="08AC4C49"/>
    <w:rsid w:val="08AC4CDC"/>
    <w:rsid w:val="08AC4D8D"/>
    <w:rsid w:val="08AC4DAD"/>
    <w:rsid w:val="08AC4E12"/>
    <w:rsid w:val="08AC4E21"/>
    <w:rsid w:val="08AC4E7A"/>
    <w:rsid w:val="08AC4EF2"/>
    <w:rsid w:val="08AC4F3E"/>
    <w:rsid w:val="08AC4F57"/>
    <w:rsid w:val="08AC4F5E"/>
    <w:rsid w:val="08AC5061"/>
    <w:rsid w:val="08AC506D"/>
    <w:rsid w:val="08AC513C"/>
    <w:rsid w:val="08AC51AE"/>
    <w:rsid w:val="08AC5249"/>
    <w:rsid w:val="08AC52CF"/>
    <w:rsid w:val="08AC5303"/>
    <w:rsid w:val="08AC5331"/>
    <w:rsid w:val="08AC5338"/>
    <w:rsid w:val="08AC5345"/>
    <w:rsid w:val="08AC5493"/>
    <w:rsid w:val="08AC559B"/>
    <w:rsid w:val="08AC55AE"/>
    <w:rsid w:val="08AC55F3"/>
    <w:rsid w:val="08AC5619"/>
    <w:rsid w:val="08AC567E"/>
    <w:rsid w:val="08AC56C6"/>
    <w:rsid w:val="08AC591B"/>
    <w:rsid w:val="08AC5941"/>
    <w:rsid w:val="08AC595D"/>
    <w:rsid w:val="08AC596A"/>
    <w:rsid w:val="08AC5974"/>
    <w:rsid w:val="08AC59CE"/>
    <w:rsid w:val="08AC5A32"/>
    <w:rsid w:val="08AC5B06"/>
    <w:rsid w:val="08AC5B96"/>
    <w:rsid w:val="08AC5BB7"/>
    <w:rsid w:val="08AC5C4C"/>
    <w:rsid w:val="08AC5D6A"/>
    <w:rsid w:val="08AC5E00"/>
    <w:rsid w:val="08AC5E38"/>
    <w:rsid w:val="08AC5E86"/>
    <w:rsid w:val="08AC5E9A"/>
    <w:rsid w:val="08AC5EA6"/>
    <w:rsid w:val="08AC5EE0"/>
    <w:rsid w:val="08AC5F1D"/>
    <w:rsid w:val="08AC5FD5"/>
    <w:rsid w:val="08AC601A"/>
    <w:rsid w:val="08AC6151"/>
    <w:rsid w:val="08AC6171"/>
    <w:rsid w:val="08AC6212"/>
    <w:rsid w:val="08AC632A"/>
    <w:rsid w:val="08AC634F"/>
    <w:rsid w:val="08AC6351"/>
    <w:rsid w:val="08AC648B"/>
    <w:rsid w:val="08AC6612"/>
    <w:rsid w:val="08AC6685"/>
    <w:rsid w:val="08AC668F"/>
    <w:rsid w:val="08AC66E5"/>
    <w:rsid w:val="08AC683F"/>
    <w:rsid w:val="08AC6964"/>
    <w:rsid w:val="08AC6983"/>
    <w:rsid w:val="08AC69A5"/>
    <w:rsid w:val="08AC69A8"/>
    <w:rsid w:val="08AC6A3B"/>
    <w:rsid w:val="08AC6ABF"/>
    <w:rsid w:val="08AC6AD2"/>
    <w:rsid w:val="08AC6B9C"/>
    <w:rsid w:val="08AC6BE0"/>
    <w:rsid w:val="08AC6BEC"/>
    <w:rsid w:val="08AC6BFC"/>
    <w:rsid w:val="08AC6D51"/>
    <w:rsid w:val="08AC6E0F"/>
    <w:rsid w:val="08AC6E71"/>
    <w:rsid w:val="08AC6E9B"/>
    <w:rsid w:val="08AC6EE8"/>
    <w:rsid w:val="08AC6EFE"/>
    <w:rsid w:val="08AC6F13"/>
    <w:rsid w:val="08AC705A"/>
    <w:rsid w:val="08AC7071"/>
    <w:rsid w:val="08AC712C"/>
    <w:rsid w:val="08AC716C"/>
    <w:rsid w:val="08AC71B2"/>
    <w:rsid w:val="08AC71D0"/>
    <w:rsid w:val="08AC723E"/>
    <w:rsid w:val="08AC72D0"/>
    <w:rsid w:val="08AC72EF"/>
    <w:rsid w:val="08AC72FB"/>
    <w:rsid w:val="08AC7362"/>
    <w:rsid w:val="08AC7397"/>
    <w:rsid w:val="08AC7404"/>
    <w:rsid w:val="08AC7418"/>
    <w:rsid w:val="08AC751D"/>
    <w:rsid w:val="08AC7560"/>
    <w:rsid w:val="08AC75A0"/>
    <w:rsid w:val="08AC75A4"/>
    <w:rsid w:val="08AC75D9"/>
    <w:rsid w:val="08AC7617"/>
    <w:rsid w:val="08AC764E"/>
    <w:rsid w:val="08AC765D"/>
    <w:rsid w:val="08AC7730"/>
    <w:rsid w:val="08AC786A"/>
    <w:rsid w:val="08AC78D3"/>
    <w:rsid w:val="08AC79C8"/>
    <w:rsid w:val="08AC7AB7"/>
    <w:rsid w:val="08AC7AC3"/>
    <w:rsid w:val="08AC7ADF"/>
    <w:rsid w:val="08AC7B5E"/>
    <w:rsid w:val="08AC7BE1"/>
    <w:rsid w:val="08AC7BF6"/>
    <w:rsid w:val="08AC7C46"/>
    <w:rsid w:val="08AC7C89"/>
    <w:rsid w:val="08AC7CAF"/>
    <w:rsid w:val="08AC7CB1"/>
    <w:rsid w:val="08AC7D21"/>
    <w:rsid w:val="08AC7D5C"/>
    <w:rsid w:val="08AC7E0A"/>
    <w:rsid w:val="08AC7E1E"/>
    <w:rsid w:val="08AC7E76"/>
    <w:rsid w:val="08AC7F31"/>
    <w:rsid w:val="08AC7FA2"/>
    <w:rsid w:val="08AD0045"/>
    <w:rsid w:val="08AD00A6"/>
    <w:rsid w:val="08AD00E0"/>
    <w:rsid w:val="08AD010C"/>
    <w:rsid w:val="08AD015E"/>
    <w:rsid w:val="08AD017C"/>
    <w:rsid w:val="08AD0180"/>
    <w:rsid w:val="08AD0191"/>
    <w:rsid w:val="08AD01D1"/>
    <w:rsid w:val="08AD02B5"/>
    <w:rsid w:val="08AD02DA"/>
    <w:rsid w:val="08AD0349"/>
    <w:rsid w:val="08AD04D1"/>
    <w:rsid w:val="08AD04F9"/>
    <w:rsid w:val="08AD05FB"/>
    <w:rsid w:val="08AD0618"/>
    <w:rsid w:val="08AD0664"/>
    <w:rsid w:val="08AD066F"/>
    <w:rsid w:val="08AD06ED"/>
    <w:rsid w:val="08AD072C"/>
    <w:rsid w:val="08AD073C"/>
    <w:rsid w:val="08AD0742"/>
    <w:rsid w:val="08AD076F"/>
    <w:rsid w:val="08AD077A"/>
    <w:rsid w:val="08AD0799"/>
    <w:rsid w:val="08AD07D3"/>
    <w:rsid w:val="08AD080C"/>
    <w:rsid w:val="08AD0817"/>
    <w:rsid w:val="08AD0874"/>
    <w:rsid w:val="08AD0885"/>
    <w:rsid w:val="08AD09FD"/>
    <w:rsid w:val="08AD0A00"/>
    <w:rsid w:val="08AD0A3B"/>
    <w:rsid w:val="08AD0A64"/>
    <w:rsid w:val="08AD0B81"/>
    <w:rsid w:val="08AD0BAA"/>
    <w:rsid w:val="08AD0BE6"/>
    <w:rsid w:val="08AD0C2B"/>
    <w:rsid w:val="08AD0C98"/>
    <w:rsid w:val="08AD0D57"/>
    <w:rsid w:val="08AD0D73"/>
    <w:rsid w:val="08AD0D94"/>
    <w:rsid w:val="08AD0F80"/>
    <w:rsid w:val="08AD0F8E"/>
    <w:rsid w:val="08AD102B"/>
    <w:rsid w:val="08AD102D"/>
    <w:rsid w:val="08AD1053"/>
    <w:rsid w:val="08AD10F3"/>
    <w:rsid w:val="08AD1242"/>
    <w:rsid w:val="08AD12E6"/>
    <w:rsid w:val="08AD131A"/>
    <w:rsid w:val="08AD138C"/>
    <w:rsid w:val="08AD13B4"/>
    <w:rsid w:val="08AD142A"/>
    <w:rsid w:val="08AD1476"/>
    <w:rsid w:val="08AD14D9"/>
    <w:rsid w:val="08AD1643"/>
    <w:rsid w:val="08AD1652"/>
    <w:rsid w:val="08AD168D"/>
    <w:rsid w:val="08AD169C"/>
    <w:rsid w:val="08AD1826"/>
    <w:rsid w:val="08AD1883"/>
    <w:rsid w:val="08AD1963"/>
    <w:rsid w:val="08AD198E"/>
    <w:rsid w:val="08AD19FD"/>
    <w:rsid w:val="08AD1B65"/>
    <w:rsid w:val="08AD1C20"/>
    <w:rsid w:val="08AD1CEE"/>
    <w:rsid w:val="08AD1D3D"/>
    <w:rsid w:val="08AD1D78"/>
    <w:rsid w:val="08AD1D8C"/>
    <w:rsid w:val="08AD1E33"/>
    <w:rsid w:val="08AD1E41"/>
    <w:rsid w:val="08AD1E94"/>
    <w:rsid w:val="08AD1EE6"/>
    <w:rsid w:val="08AD1F49"/>
    <w:rsid w:val="08AD1FC7"/>
    <w:rsid w:val="08AD208E"/>
    <w:rsid w:val="08AD20C3"/>
    <w:rsid w:val="08AD211F"/>
    <w:rsid w:val="08AD2120"/>
    <w:rsid w:val="08AD2149"/>
    <w:rsid w:val="08AD2156"/>
    <w:rsid w:val="08AD2180"/>
    <w:rsid w:val="08AD219E"/>
    <w:rsid w:val="08AD21E0"/>
    <w:rsid w:val="08AD2232"/>
    <w:rsid w:val="08AD229E"/>
    <w:rsid w:val="08AD22CA"/>
    <w:rsid w:val="08AD242F"/>
    <w:rsid w:val="08AD2471"/>
    <w:rsid w:val="08AD24D7"/>
    <w:rsid w:val="08AD2512"/>
    <w:rsid w:val="08AD254C"/>
    <w:rsid w:val="08AD266A"/>
    <w:rsid w:val="08AD26C3"/>
    <w:rsid w:val="08AD2866"/>
    <w:rsid w:val="08AD28DC"/>
    <w:rsid w:val="08AD298B"/>
    <w:rsid w:val="08AD29A4"/>
    <w:rsid w:val="08AD2A5E"/>
    <w:rsid w:val="08AD2B36"/>
    <w:rsid w:val="08AD2B3F"/>
    <w:rsid w:val="08AD2C1C"/>
    <w:rsid w:val="08AD2C33"/>
    <w:rsid w:val="08AD2C8C"/>
    <w:rsid w:val="08AD2DA6"/>
    <w:rsid w:val="08AD2DEB"/>
    <w:rsid w:val="08AD2F06"/>
    <w:rsid w:val="08AD2F86"/>
    <w:rsid w:val="08AD3057"/>
    <w:rsid w:val="08AD30E8"/>
    <w:rsid w:val="08AD30ED"/>
    <w:rsid w:val="08AD30FF"/>
    <w:rsid w:val="08AD3163"/>
    <w:rsid w:val="08AD32BD"/>
    <w:rsid w:val="08AD331B"/>
    <w:rsid w:val="08AD334C"/>
    <w:rsid w:val="08AD33A3"/>
    <w:rsid w:val="08AD33F6"/>
    <w:rsid w:val="08AD3465"/>
    <w:rsid w:val="08AD3483"/>
    <w:rsid w:val="08AD3499"/>
    <w:rsid w:val="08AD34A8"/>
    <w:rsid w:val="08AD3645"/>
    <w:rsid w:val="08AD3669"/>
    <w:rsid w:val="08AD36AC"/>
    <w:rsid w:val="08AD371E"/>
    <w:rsid w:val="08AD3748"/>
    <w:rsid w:val="08AD3752"/>
    <w:rsid w:val="08AD3845"/>
    <w:rsid w:val="08AD3862"/>
    <w:rsid w:val="08AD3874"/>
    <w:rsid w:val="08AD3976"/>
    <w:rsid w:val="08AD3A6C"/>
    <w:rsid w:val="08AD3AA2"/>
    <w:rsid w:val="08AD3AB0"/>
    <w:rsid w:val="08AD3ABF"/>
    <w:rsid w:val="08AD3C69"/>
    <w:rsid w:val="08AD3C6B"/>
    <w:rsid w:val="08AD3C7C"/>
    <w:rsid w:val="08AD3C85"/>
    <w:rsid w:val="08AD3CFF"/>
    <w:rsid w:val="08AD3D0C"/>
    <w:rsid w:val="08AD3E09"/>
    <w:rsid w:val="08AD3F22"/>
    <w:rsid w:val="08AD410B"/>
    <w:rsid w:val="08AD41AF"/>
    <w:rsid w:val="08AD4294"/>
    <w:rsid w:val="08AD4337"/>
    <w:rsid w:val="08AD4433"/>
    <w:rsid w:val="08AD44AE"/>
    <w:rsid w:val="08AD44E2"/>
    <w:rsid w:val="08AD44F1"/>
    <w:rsid w:val="08AD45D4"/>
    <w:rsid w:val="08AD461A"/>
    <w:rsid w:val="08AD4624"/>
    <w:rsid w:val="08AD4739"/>
    <w:rsid w:val="08AD4833"/>
    <w:rsid w:val="08AD484E"/>
    <w:rsid w:val="08AD4907"/>
    <w:rsid w:val="08AD4A30"/>
    <w:rsid w:val="08AD4A92"/>
    <w:rsid w:val="08AD4B08"/>
    <w:rsid w:val="08AD4B43"/>
    <w:rsid w:val="08AD4B75"/>
    <w:rsid w:val="08AD4C52"/>
    <w:rsid w:val="08AD4C58"/>
    <w:rsid w:val="08AD4CC9"/>
    <w:rsid w:val="08AD4DD9"/>
    <w:rsid w:val="08AD4E8E"/>
    <w:rsid w:val="08AD5072"/>
    <w:rsid w:val="08AD50AD"/>
    <w:rsid w:val="08AD51A6"/>
    <w:rsid w:val="08AD51AD"/>
    <w:rsid w:val="08AD51B3"/>
    <w:rsid w:val="08AD523D"/>
    <w:rsid w:val="08AD5302"/>
    <w:rsid w:val="08AD5380"/>
    <w:rsid w:val="08AD53C6"/>
    <w:rsid w:val="08AD53D0"/>
    <w:rsid w:val="08AD53D7"/>
    <w:rsid w:val="08AD53E7"/>
    <w:rsid w:val="08AD53F6"/>
    <w:rsid w:val="08AD544F"/>
    <w:rsid w:val="08AD54D3"/>
    <w:rsid w:val="08AD5504"/>
    <w:rsid w:val="08AD5556"/>
    <w:rsid w:val="08AD568D"/>
    <w:rsid w:val="08AD5713"/>
    <w:rsid w:val="08AD57A8"/>
    <w:rsid w:val="08AD5821"/>
    <w:rsid w:val="08AD58E9"/>
    <w:rsid w:val="08AD5993"/>
    <w:rsid w:val="08AD59EC"/>
    <w:rsid w:val="08AD5A4D"/>
    <w:rsid w:val="08AD5A87"/>
    <w:rsid w:val="08AD5AC4"/>
    <w:rsid w:val="08AD5AED"/>
    <w:rsid w:val="08AD5B3B"/>
    <w:rsid w:val="08AD5B79"/>
    <w:rsid w:val="08AD5BF6"/>
    <w:rsid w:val="08AD5D1D"/>
    <w:rsid w:val="08AD5E40"/>
    <w:rsid w:val="08AD5E89"/>
    <w:rsid w:val="08AD5EBC"/>
    <w:rsid w:val="08AD5F22"/>
    <w:rsid w:val="08AD601D"/>
    <w:rsid w:val="08AD605B"/>
    <w:rsid w:val="08AD60EC"/>
    <w:rsid w:val="08AD6157"/>
    <w:rsid w:val="08AD626F"/>
    <w:rsid w:val="08AD6272"/>
    <w:rsid w:val="08AD62E0"/>
    <w:rsid w:val="08AD6373"/>
    <w:rsid w:val="08AD637D"/>
    <w:rsid w:val="08AD63FB"/>
    <w:rsid w:val="08AD647C"/>
    <w:rsid w:val="08AD64FD"/>
    <w:rsid w:val="08AD6539"/>
    <w:rsid w:val="08AD6577"/>
    <w:rsid w:val="08AD6593"/>
    <w:rsid w:val="08AD6705"/>
    <w:rsid w:val="08AD6724"/>
    <w:rsid w:val="08AD678F"/>
    <w:rsid w:val="08AD6A54"/>
    <w:rsid w:val="08AD6A5C"/>
    <w:rsid w:val="08AD6B5D"/>
    <w:rsid w:val="08AD6DC5"/>
    <w:rsid w:val="08AD6E5C"/>
    <w:rsid w:val="08AD6F15"/>
    <w:rsid w:val="08AD6F5B"/>
    <w:rsid w:val="08AD6F83"/>
    <w:rsid w:val="08AD6FCF"/>
    <w:rsid w:val="08AD701B"/>
    <w:rsid w:val="08AD701C"/>
    <w:rsid w:val="08AD705E"/>
    <w:rsid w:val="08AD7076"/>
    <w:rsid w:val="08AD7147"/>
    <w:rsid w:val="08AD734D"/>
    <w:rsid w:val="08AD73B7"/>
    <w:rsid w:val="08AD748B"/>
    <w:rsid w:val="08AD74C7"/>
    <w:rsid w:val="08AD74CE"/>
    <w:rsid w:val="08AD7522"/>
    <w:rsid w:val="08AD7563"/>
    <w:rsid w:val="08AD760D"/>
    <w:rsid w:val="08AD7786"/>
    <w:rsid w:val="08AD7890"/>
    <w:rsid w:val="08AD78AD"/>
    <w:rsid w:val="08AD797C"/>
    <w:rsid w:val="08AD79CB"/>
    <w:rsid w:val="08AD7AFE"/>
    <w:rsid w:val="08AD7B6E"/>
    <w:rsid w:val="08AD7BD4"/>
    <w:rsid w:val="08AD7C55"/>
    <w:rsid w:val="08AD7C5F"/>
    <w:rsid w:val="08AD7CEF"/>
    <w:rsid w:val="08AD7E45"/>
    <w:rsid w:val="08AD7EB9"/>
    <w:rsid w:val="08AD7F5F"/>
    <w:rsid w:val="08AD7F79"/>
    <w:rsid w:val="08AD7FD8"/>
    <w:rsid w:val="08AE000F"/>
    <w:rsid w:val="08AE0017"/>
    <w:rsid w:val="08AE001E"/>
    <w:rsid w:val="08AE00CB"/>
    <w:rsid w:val="08AE03A0"/>
    <w:rsid w:val="08AE03BA"/>
    <w:rsid w:val="08AE046A"/>
    <w:rsid w:val="08AE0480"/>
    <w:rsid w:val="08AE062F"/>
    <w:rsid w:val="08AE068A"/>
    <w:rsid w:val="08AE06F9"/>
    <w:rsid w:val="08AE0704"/>
    <w:rsid w:val="08AE071A"/>
    <w:rsid w:val="08AE074B"/>
    <w:rsid w:val="08AE07E2"/>
    <w:rsid w:val="08AE0945"/>
    <w:rsid w:val="08AE09B7"/>
    <w:rsid w:val="08AE0A12"/>
    <w:rsid w:val="08AE0A62"/>
    <w:rsid w:val="08AE0ACA"/>
    <w:rsid w:val="08AE0AD8"/>
    <w:rsid w:val="08AE0B65"/>
    <w:rsid w:val="08AE0B91"/>
    <w:rsid w:val="08AE0B9C"/>
    <w:rsid w:val="08AE0C23"/>
    <w:rsid w:val="08AE0C47"/>
    <w:rsid w:val="08AE0C6B"/>
    <w:rsid w:val="08AE0C75"/>
    <w:rsid w:val="08AE0CA3"/>
    <w:rsid w:val="08AE0D81"/>
    <w:rsid w:val="08AE0D99"/>
    <w:rsid w:val="08AE0DD8"/>
    <w:rsid w:val="08AE0E1C"/>
    <w:rsid w:val="08AE0E34"/>
    <w:rsid w:val="08AE0E43"/>
    <w:rsid w:val="08AE0E9A"/>
    <w:rsid w:val="08AE0FB7"/>
    <w:rsid w:val="08AE102D"/>
    <w:rsid w:val="08AE1113"/>
    <w:rsid w:val="08AE111A"/>
    <w:rsid w:val="08AE1133"/>
    <w:rsid w:val="08AE117B"/>
    <w:rsid w:val="08AE125C"/>
    <w:rsid w:val="08AE127C"/>
    <w:rsid w:val="08AE13C0"/>
    <w:rsid w:val="08AE155D"/>
    <w:rsid w:val="08AE155E"/>
    <w:rsid w:val="08AE1566"/>
    <w:rsid w:val="08AE15EE"/>
    <w:rsid w:val="08AE1612"/>
    <w:rsid w:val="08AE161D"/>
    <w:rsid w:val="08AE1624"/>
    <w:rsid w:val="08AE16B7"/>
    <w:rsid w:val="08AE1703"/>
    <w:rsid w:val="08AE170F"/>
    <w:rsid w:val="08AE1743"/>
    <w:rsid w:val="08AE1767"/>
    <w:rsid w:val="08AE1850"/>
    <w:rsid w:val="08AE18FB"/>
    <w:rsid w:val="08AE1927"/>
    <w:rsid w:val="08AE1A5D"/>
    <w:rsid w:val="08AE1AA8"/>
    <w:rsid w:val="08AE1BA1"/>
    <w:rsid w:val="08AE1C55"/>
    <w:rsid w:val="08AE1C97"/>
    <w:rsid w:val="08AE1CC1"/>
    <w:rsid w:val="08AE1D30"/>
    <w:rsid w:val="08AE1D71"/>
    <w:rsid w:val="08AE1E6F"/>
    <w:rsid w:val="08AE1ECF"/>
    <w:rsid w:val="08AE1F14"/>
    <w:rsid w:val="08AE1F1E"/>
    <w:rsid w:val="08AE1FF5"/>
    <w:rsid w:val="08AE208B"/>
    <w:rsid w:val="08AE20B3"/>
    <w:rsid w:val="08AE2150"/>
    <w:rsid w:val="08AE2152"/>
    <w:rsid w:val="08AE218A"/>
    <w:rsid w:val="08AE23D4"/>
    <w:rsid w:val="08AE2428"/>
    <w:rsid w:val="08AE245A"/>
    <w:rsid w:val="08AE2466"/>
    <w:rsid w:val="08AE246B"/>
    <w:rsid w:val="08AE2471"/>
    <w:rsid w:val="08AE249B"/>
    <w:rsid w:val="08AE24B5"/>
    <w:rsid w:val="08AE254D"/>
    <w:rsid w:val="08AE25D8"/>
    <w:rsid w:val="08AE26D6"/>
    <w:rsid w:val="08AE2724"/>
    <w:rsid w:val="08AE2748"/>
    <w:rsid w:val="08AE2751"/>
    <w:rsid w:val="08AE27F1"/>
    <w:rsid w:val="08AE29CD"/>
    <w:rsid w:val="08AE2A58"/>
    <w:rsid w:val="08AE2ABA"/>
    <w:rsid w:val="08AE2B1D"/>
    <w:rsid w:val="08AE2B2E"/>
    <w:rsid w:val="08AE2B4D"/>
    <w:rsid w:val="08AE2BEA"/>
    <w:rsid w:val="08AE2C38"/>
    <w:rsid w:val="08AE2C93"/>
    <w:rsid w:val="08AE2CE0"/>
    <w:rsid w:val="08AE2D2B"/>
    <w:rsid w:val="08AE2DAB"/>
    <w:rsid w:val="08AE2E7D"/>
    <w:rsid w:val="08AE2E80"/>
    <w:rsid w:val="08AE2EC0"/>
    <w:rsid w:val="08AE2F3C"/>
    <w:rsid w:val="08AE2FEC"/>
    <w:rsid w:val="08AE30A7"/>
    <w:rsid w:val="08AE31FC"/>
    <w:rsid w:val="08AE3225"/>
    <w:rsid w:val="08AE32A6"/>
    <w:rsid w:val="08AE3310"/>
    <w:rsid w:val="08AE3430"/>
    <w:rsid w:val="08AE3451"/>
    <w:rsid w:val="08AE3461"/>
    <w:rsid w:val="08AE34A6"/>
    <w:rsid w:val="08AE3564"/>
    <w:rsid w:val="08AE359B"/>
    <w:rsid w:val="08AE35C1"/>
    <w:rsid w:val="08AE35CE"/>
    <w:rsid w:val="08AE36D2"/>
    <w:rsid w:val="08AE371A"/>
    <w:rsid w:val="08AE3817"/>
    <w:rsid w:val="08AE388B"/>
    <w:rsid w:val="08AE38E4"/>
    <w:rsid w:val="08AE390D"/>
    <w:rsid w:val="08AE39E1"/>
    <w:rsid w:val="08AE3A42"/>
    <w:rsid w:val="08AE3A56"/>
    <w:rsid w:val="08AE3B1C"/>
    <w:rsid w:val="08AE3B52"/>
    <w:rsid w:val="08AE3B5B"/>
    <w:rsid w:val="08AE3BAE"/>
    <w:rsid w:val="08AE3BE1"/>
    <w:rsid w:val="08AE3C08"/>
    <w:rsid w:val="08AE3CA5"/>
    <w:rsid w:val="08AE3CA6"/>
    <w:rsid w:val="08AE3CE3"/>
    <w:rsid w:val="08AE3D2A"/>
    <w:rsid w:val="08AE3D4D"/>
    <w:rsid w:val="08AE3D9D"/>
    <w:rsid w:val="08AE3DE1"/>
    <w:rsid w:val="08AE3F7D"/>
    <w:rsid w:val="08AE3FC7"/>
    <w:rsid w:val="08AE424C"/>
    <w:rsid w:val="08AE4265"/>
    <w:rsid w:val="08AE428D"/>
    <w:rsid w:val="08AE42BD"/>
    <w:rsid w:val="08AE42EF"/>
    <w:rsid w:val="08AE4306"/>
    <w:rsid w:val="08AE436E"/>
    <w:rsid w:val="08AE43CE"/>
    <w:rsid w:val="08AE43DF"/>
    <w:rsid w:val="08AE43EE"/>
    <w:rsid w:val="08AE442F"/>
    <w:rsid w:val="08AE447B"/>
    <w:rsid w:val="08AE4570"/>
    <w:rsid w:val="08AE45C5"/>
    <w:rsid w:val="08AE4683"/>
    <w:rsid w:val="08AE46FA"/>
    <w:rsid w:val="08AE4703"/>
    <w:rsid w:val="08AE4763"/>
    <w:rsid w:val="08AE47DF"/>
    <w:rsid w:val="08AE47FE"/>
    <w:rsid w:val="08AE4887"/>
    <w:rsid w:val="08AE48D1"/>
    <w:rsid w:val="08AE4A11"/>
    <w:rsid w:val="08AE4A51"/>
    <w:rsid w:val="08AE4A6A"/>
    <w:rsid w:val="08AE4AF4"/>
    <w:rsid w:val="08AE4C00"/>
    <w:rsid w:val="08AE4D47"/>
    <w:rsid w:val="08AE4D73"/>
    <w:rsid w:val="08AE4EA2"/>
    <w:rsid w:val="08AE4ED8"/>
    <w:rsid w:val="08AE4EE0"/>
    <w:rsid w:val="08AE4EF4"/>
    <w:rsid w:val="08AE4F31"/>
    <w:rsid w:val="08AE505B"/>
    <w:rsid w:val="08AE50AF"/>
    <w:rsid w:val="08AE515B"/>
    <w:rsid w:val="08AE5185"/>
    <w:rsid w:val="08AE5254"/>
    <w:rsid w:val="08AE5278"/>
    <w:rsid w:val="08AE527B"/>
    <w:rsid w:val="08AE5347"/>
    <w:rsid w:val="08AE537B"/>
    <w:rsid w:val="08AE53B1"/>
    <w:rsid w:val="08AE5409"/>
    <w:rsid w:val="08AE5434"/>
    <w:rsid w:val="08AE549D"/>
    <w:rsid w:val="08AE54B4"/>
    <w:rsid w:val="08AE54FE"/>
    <w:rsid w:val="08AE5571"/>
    <w:rsid w:val="08AE5586"/>
    <w:rsid w:val="08AE55C0"/>
    <w:rsid w:val="08AE585D"/>
    <w:rsid w:val="08AE5942"/>
    <w:rsid w:val="08AE595B"/>
    <w:rsid w:val="08AE59B6"/>
    <w:rsid w:val="08AE59DF"/>
    <w:rsid w:val="08AE5A04"/>
    <w:rsid w:val="08AE5A55"/>
    <w:rsid w:val="08AE5AC0"/>
    <w:rsid w:val="08AE5AFF"/>
    <w:rsid w:val="08AE5BA6"/>
    <w:rsid w:val="08AE5BC9"/>
    <w:rsid w:val="08AE5C8E"/>
    <w:rsid w:val="08AE5CCF"/>
    <w:rsid w:val="08AE5D29"/>
    <w:rsid w:val="08AE5D35"/>
    <w:rsid w:val="08AE5E2C"/>
    <w:rsid w:val="08AE5E51"/>
    <w:rsid w:val="08AE5E62"/>
    <w:rsid w:val="08AE5F90"/>
    <w:rsid w:val="08AE6059"/>
    <w:rsid w:val="08AE615B"/>
    <w:rsid w:val="08AE6178"/>
    <w:rsid w:val="08AE6185"/>
    <w:rsid w:val="08AE62FA"/>
    <w:rsid w:val="08AE639D"/>
    <w:rsid w:val="08AE6499"/>
    <w:rsid w:val="08AE6531"/>
    <w:rsid w:val="08AE6549"/>
    <w:rsid w:val="08AE6568"/>
    <w:rsid w:val="08AE6595"/>
    <w:rsid w:val="08AE65DF"/>
    <w:rsid w:val="08AE6612"/>
    <w:rsid w:val="08AE6641"/>
    <w:rsid w:val="08AE668F"/>
    <w:rsid w:val="08AE6722"/>
    <w:rsid w:val="08AE688C"/>
    <w:rsid w:val="08AE6893"/>
    <w:rsid w:val="08AE68A2"/>
    <w:rsid w:val="08AE68C4"/>
    <w:rsid w:val="08AE68E0"/>
    <w:rsid w:val="08AE68E6"/>
    <w:rsid w:val="08AE6A77"/>
    <w:rsid w:val="08AE6A96"/>
    <w:rsid w:val="08AE6AA2"/>
    <w:rsid w:val="08AE6AA3"/>
    <w:rsid w:val="08AE6AEB"/>
    <w:rsid w:val="08AE6AF0"/>
    <w:rsid w:val="08AE6B3D"/>
    <w:rsid w:val="08AE6B9D"/>
    <w:rsid w:val="08AE6BCA"/>
    <w:rsid w:val="08AE6BF3"/>
    <w:rsid w:val="08AE6C5B"/>
    <w:rsid w:val="08AE6C62"/>
    <w:rsid w:val="08AE6C90"/>
    <w:rsid w:val="08AE6D1C"/>
    <w:rsid w:val="08AE6D72"/>
    <w:rsid w:val="08AE6E0D"/>
    <w:rsid w:val="08AE6E7C"/>
    <w:rsid w:val="08AE6E84"/>
    <w:rsid w:val="08AE6E86"/>
    <w:rsid w:val="08AE6E9B"/>
    <w:rsid w:val="08AE6ECF"/>
    <w:rsid w:val="08AE6EFB"/>
    <w:rsid w:val="08AE6FF3"/>
    <w:rsid w:val="08AE7079"/>
    <w:rsid w:val="08AE7114"/>
    <w:rsid w:val="08AE723E"/>
    <w:rsid w:val="08AE725A"/>
    <w:rsid w:val="08AE72D4"/>
    <w:rsid w:val="08AE73DB"/>
    <w:rsid w:val="08AE743E"/>
    <w:rsid w:val="08AE766E"/>
    <w:rsid w:val="08AE76E7"/>
    <w:rsid w:val="08AE76FD"/>
    <w:rsid w:val="08AE777A"/>
    <w:rsid w:val="08AE77BB"/>
    <w:rsid w:val="08AE78AC"/>
    <w:rsid w:val="08AE792F"/>
    <w:rsid w:val="08AE793C"/>
    <w:rsid w:val="08AE7962"/>
    <w:rsid w:val="08AE79B2"/>
    <w:rsid w:val="08AE79C1"/>
    <w:rsid w:val="08AE7A0C"/>
    <w:rsid w:val="08AE7A4C"/>
    <w:rsid w:val="08AE7B00"/>
    <w:rsid w:val="08AE7B18"/>
    <w:rsid w:val="08AE7B9C"/>
    <w:rsid w:val="08AE7BA7"/>
    <w:rsid w:val="08AE7C95"/>
    <w:rsid w:val="08AE7D79"/>
    <w:rsid w:val="08AE7DC2"/>
    <w:rsid w:val="08AE7E00"/>
    <w:rsid w:val="08AE7E1A"/>
    <w:rsid w:val="08AE7F86"/>
    <w:rsid w:val="08AF0117"/>
    <w:rsid w:val="08AF017F"/>
    <w:rsid w:val="08AF01A7"/>
    <w:rsid w:val="08AF021E"/>
    <w:rsid w:val="08AF024B"/>
    <w:rsid w:val="08AF0267"/>
    <w:rsid w:val="08AF03A2"/>
    <w:rsid w:val="08AF042C"/>
    <w:rsid w:val="08AF04E9"/>
    <w:rsid w:val="08AF0556"/>
    <w:rsid w:val="08AF057A"/>
    <w:rsid w:val="08AF05C0"/>
    <w:rsid w:val="08AF0648"/>
    <w:rsid w:val="08AF0697"/>
    <w:rsid w:val="08AF06C6"/>
    <w:rsid w:val="08AF0716"/>
    <w:rsid w:val="08AF073F"/>
    <w:rsid w:val="08AF074D"/>
    <w:rsid w:val="08AF07FC"/>
    <w:rsid w:val="08AF07FF"/>
    <w:rsid w:val="08AF081D"/>
    <w:rsid w:val="08AF086C"/>
    <w:rsid w:val="08AF08A8"/>
    <w:rsid w:val="08AF098D"/>
    <w:rsid w:val="08AF09CE"/>
    <w:rsid w:val="08AF0A0B"/>
    <w:rsid w:val="08AF0A23"/>
    <w:rsid w:val="08AF0A28"/>
    <w:rsid w:val="08AF0A78"/>
    <w:rsid w:val="08AF0CEF"/>
    <w:rsid w:val="08AF0E04"/>
    <w:rsid w:val="08AF0E06"/>
    <w:rsid w:val="08AF0EB3"/>
    <w:rsid w:val="08AF0F74"/>
    <w:rsid w:val="08AF0F98"/>
    <w:rsid w:val="08AF0F9D"/>
    <w:rsid w:val="08AF0FA6"/>
    <w:rsid w:val="08AF0FB6"/>
    <w:rsid w:val="08AF0FEE"/>
    <w:rsid w:val="08AF103F"/>
    <w:rsid w:val="08AF10BB"/>
    <w:rsid w:val="08AF110B"/>
    <w:rsid w:val="08AF1113"/>
    <w:rsid w:val="08AF112A"/>
    <w:rsid w:val="08AF11D2"/>
    <w:rsid w:val="08AF124F"/>
    <w:rsid w:val="08AF125F"/>
    <w:rsid w:val="08AF12D1"/>
    <w:rsid w:val="08AF1355"/>
    <w:rsid w:val="08AF1399"/>
    <w:rsid w:val="08AF1472"/>
    <w:rsid w:val="08AF14DE"/>
    <w:rsid w:val="08AF1603"/>
    <w:rsid w:val="08AF1712"/>
    <w:rsid w:val="08AF173D"/>
    <w:rsid w:val="08AF1826"/>
    <w:rsid w:val="08AF189C"/>
    <w:rsid w:val="08AF18AC"/>
    <w:rsid w:val="08AF18BB"/>
    <w:rsid w:val="08AF18F3"/>
    <w:rsid w:val="08AF190D"/>
    <w:rsid w:val="08AF1931"/>
    <w:rsid w:val="08AF1A21"/>
    <w:rsid w:val="08AF1A52"/>
    <w:rsid w:val="08AF1A87"/>
    <w:rsid w:val="08AF1B32"/>
    <w:rsid w:val="08AF1BB6"/>
    <w:rsid w:val="08AF1BC3"/>
    <w:rsid w:val="08AF1CB6"/>
    <w:rsid w:val="08AF1DB3"/>
    <w:rsid w:val="08AF1DEC"/>
    <w:rsid w:val="08AF1E2F"/>
    <w:rsid w:val="08AF1EBC"/>
    <w:rsid w:val="08AF1F2A"/>
    <w:rsid w:val="08AF1F43"/>
    <w:rsid w:val="08AF1F95"/>
    <w:rsid w:val="08AF201C"/>
    <w:rsid w:val="08AF20D6"/>
    <w:rsid w:val="08AF20D9"/>
    <w:rsid w:val="08AF217B"/>
    <w:rsid w:val="08AF2238"/>
    <w:rsid w:val="08AF227D"/>
    <w:rsid w:val="08AF2298"/>
    <w:rsid w:val="08AF22B0"/>
    <w:rsid w:val="08AF22B3"/>
    <w:rsid w:val="08AF238E"/>
    <w:rsid w:val="08AF2427"/>
    <w:rsid w:val="08AF24A9"/>
    <w:rsid w:val="08AF24F1"/>
    <w:rsid w:val="08AF25A6"/>
    <w:rsid w:val="08AF25AF"/>
    <w:rsid w:val="08AF2692"/>
    <w:rsid w:val="08AF26E4"/>
    <w:rsid w:val="08AF2726"/>
    <w:rsid w:val="08AF2742"/>
    <w:rsid w:val="08AF2790"/>
    <w:rsid w:val="08AF2792"/>
    <w:rsid w:val="08AF27A6"/>
    <w:rsid w:val="08AF2802"/>
    <w:rsid w:val="08AF2847"/>
    <w:rsid w:val="08AF293A"/>
    <w:rsid w:val="08AF2945"/>
    <w:rsid w:val="08AF2964"/>
    <w:rsid w:val="08AF29B4"/>
    <w:rsid w:val="08AF2A46"/>
    <w:rsid w:val="08AF2AA0"/>
    <w:rsid w:val="08AF2AF5"/>
    <w:rsid w:val="08AF2B32"/>
    <w:rsid w:val="08AF2BF2"/>
    <w:rsid w:val="08AF2C06"/>
    <w:rsid w:val="08AF2C5B"/>
    <w:rsid w:val="08AF2D59"/>
    <w:rsid w:val="08AF2DBC"/>
    <w:rsid w:val="08AF2E8D"/>
    <w:rsid w:val="08AF2EF5"/>
    <w:rsid w:val="08AF2F4B"/>
    <w:rsid w:val="08AF2FD8"/>
    <w:rsid w:val="08AF308B"/>
    <w:rsid w:val="08AF3159"/>
    <w:rsid w:val="08AF336C"/>
    <w:rsid w:val="08AF3383"/>
    <w:rsid w:val="08AF3440"/>
    <w:rsid w:val="08AF3458"/>
    <w:rsid w:val="08AF34B6"/>
    <w:rsid w:val="08AF3511"/>
    <w:rsid w:val="08AF3566"/>
    <w:rsid w:val="08AF35B3"/>
    <w:rsid w:val="08AF360B"/>
    <w:rsid w:val="08AF363A"/>
    <w:rsid w:val="08AF364A"/>
    <w:rsid w:val="08AF36C2"/>
    <w:rsid w:val="08AF3731"/>
    <w:rsid w:val="08AF3760"/>
    <w:rsid w:val="08AF3761"/>
    <w:rsid w:val="08AF3766"/>
    <w:rsid w:val="08AF3823"/>
    <w:rsid w:val="08AF389E"/>
    <w:rsid w:val="08AF3919"/>
    <w:rsid w:val="08AF393C"/>
    <w:rsid w:val="08AF39BD"/>
    <w:rsid w:val="08AF3A3A"/>
    <w:rsid w:val="08AF3A98"/>
    <w:rsid w:val="08AF3ABB"/>
    <w:rsid w:val="08AF3B2A"/>
    <w:rsid w:val="08AF3CCE"/>
    <w:rsid w:val="08AF3D8D"/>
    <w:rsid w:val="08AF3DAD"/>
    <w:rsid w:val="08AF3EA3"/>
    <w:rsid w:val="08AF3EDC"/>
    <w:rsid w:val="08AF3EEC"/>
    <w:rsid w:val="08AF407D"/>
    <w:rsid w:val="08AF408C"/>
    <w:rsid w:val="08AF4100"/>
    <w:rsid w:val="08AF41D2"/>
    <w:rsid w:val="08AF4241"/>
    <w:rsid w:val="08AF4285"/>
    <w:rsid w:val="08AF42B4"/>
    <w:rsid w:val="08AF434C"/>
    <w:rsid w:val="08AF4356"/>
    <w:rsid w:val="08AF4366"/>
    <w:rsid w:val="08AF4374"/>
    <w:rsid w:val="08AF437E"/>
    <w:rsid w:val="08AF4435"/>
    <w:rsid w:val="08AF4457"/>
    <w:rsid w:val="08AF44BE"/>
    <w:rsid w:val="08AF45E0"/>
    <w:rsid w:val="08AF476A"/>
    <w:rsid w:val="08AF499D"/>
    <w:rsid w:val="08AF49A1"/>
    <w:rsid w:val="08AF49CA"/>
    <w:rsid w:val="08AF49E1"/>
    <w:rsid w:val="08AF4B05"/>
    <w:rsid w:val="08AF4C83"/>
    <w:rsid w:val="08AF4C93"/>
    <w:rsid w:val="08AF4DD9"/>
    <w:rsid w:val="08AF4E07"/>
    <w:rsid w:val="08AF4EC5"/>
    <w:rsid w:val="08AF5004"/>
    <w:rsid w:val="08AF5112"/>
    <w:rsid w:val="08AF5123"/>
    <w:rsid w:val="08AF513B"/>
    <w:rsid w:val="08AF532C"/>
    <w:rsid w:val="08AF5370"/>
    <w:rsid w:val="08AF54A5"/>
    <w:rsid w:val="08AF5517"/>
    <w:rsid w:val="08AF5548"/>
    <w:rsid w:val="08AF555C"/>
    <w:rsid w:val="08AF562A"/>
    <w:rsid w:val="08AF5693"/>
    <w:rsid w:val="08AF56A5"/>
    <w:rsid w:val="08AF56BF"/>
    <w:rsid w:val="08AF56CE"/>
    <w:rsid w:val="08AF5743"/>
    <w:rsid w:val="08AF57C6"/>
    <w:rsid w:val="08AF57CD"/>
    <w:rsid w:val="08AF5847"/>
    <w:rsid w:val="08AF59AD"/>
    <w:rsid w:val="08AF5A05"/>
    <w:rsid w:val="08AF5AB9"/>
    <w:rsid w:val="08AF5B61"/>
    <w:rsid w:val="08AF5B8B"/>
    <w:rsid w:val="08AF5BA5"/>
    <w:rsid w:val="08AF5BED"/>
    <w:rsid w:val="08AF5BF9"/>
    <w:rsid w:val="08AF5CDC"/>
    <w:rsid w:val="08AF5D47"/>
    <w:rsid w:val="08AF5DA0"/>
    <w:rsid w:val="08AF5DC6"/>
    <w:rsid w:val="08AF5DD1"/>
    <w:rsid w:val="08AF5E5E"/>
    <w:rsid w:val="08AF5F5B"/>
    <w:rsid w:val="08AF5FF3"/>
    <w:rsid w:val="08AF6004"/>
    <w:rsid w:val="08AF6008"/>
    <w:rsid w:val="08AF607D"/>
    <w:rsid w:val="08AF60B0"/>
    <w:rsid w:val="08AF60ED"/>
    <w:rsid w:val="08AF60FB"/>
    <w:rsid w:val="08AF6149"/>
    <w:rsid w:val="08AF615B"/>
    <w:rsid w:val="08AF616F"/>
    <w:rsid w:val="08AF6189"/>
    <w:rsid w:val="08AF61EB"/>
    <w:rsid w:val="08AF61F3"/>
    <w:rsid w:val="08AF6214"/>
    <w:rsid w:val="08AF62A0"/>
    <w:rsid w:val="08AF62CC"/>
    <w:rsid w:val="08AF62DF"/>
    <w:rsid w:val="08AF6302"/>
    <w:rsid w:val="08AF6340"/>
    <w:rsid w:val="08AF6350"/>
    <w:rsid w:val="08AF640D"/>
    <w:rsid w:val="08AF642D"/>
    <w:rsid w:val="08AF6446"/>
    <w:rsid w:val="08AF64B6"/>
    <w:rsid w:val="08AF64D7"/>
    <w:rsid w:val="08AF655F"/>
    <w:rsid w:val="08AF65E4"/>
    <w:rsid w:val="08AF6627"/>
    <w:rsid w:val="08AF6628"/>
    <w:rsid w:val="08AF66B1"/>
    <w:rsid w:val="08AF672D"/>
    <w:rsid w:val="08AF67D9"/>
    <w:rsid w:val="08AF682E"/>
    <w:rsid w:val="08AF6837"/>
    <w:rsid w:val="08AF6863"/>
    <w:rsid w:val="08AF69FA"/>
    <w:rsid w:val="08AF6A13"/>
    <w:rsid w:val="08AF6AA6"/>
    <w:rsid w:val="08AF6B7D"/>
    <w:rsid w:val="08AF6C23"/>
    <w:rsid w:val="08AF6C4C"/>
    <w:rsid w:val="08AF6C88"/>
    <w:rsid w:val="08AF6C8F"/>
    <w:rsid w:val="08AF6D8D"/>
    <w:rsid w:val="08AF6DFF"/>
    <w:rsid w:val="08AF6E3B"/>
    <w:rsid w:val="08AF6E83"/>
    <w:rsid w:val="08AF6F13"/>
    <w:rsid w:val="08AF6F51"/>
    <w:rsid w:val="08AF6F77"/>
    <w:rsid w:val="08AF6F98"/>
    <w:rsid w:val="08AF7017"/>
    <w:rsid w:val="08AF718E"/>
    <w:rsid w:val="08AF719B"/>
    <w:rsid w:val="08AF71BD"/>
    <w:rsid w:val="08AF724B"/>
    <w:rsid w:val="08AF727A"/>
    <w:rsid w:val="08AF72BE"/>
    <w:rsid w:val="08AF72FA"/>
    <w:rsid w:val="08AF7302"/>
    <w:rsid w:val="08AF7312"/>
    <w:rsid w:val="08AF7324"/>
    <w:rsid w:val="08AF7349"/>
    <w:rsid w:val="08AF7368"/>
    <w:rsid w:val="08AF73E1"/>
    <w:rsid w:val="08AF746D"/>
    <w:rsid w:val="08AF74A1"/>
    <w:rsid w:val="08AF7535"/>
    <w:rsid w:val="08AF75D8"/>
    <w:rsid w:val="08AF769B"/>
    <w:rsid w:val="08AF770F"/>
    <w:rsid w:val="08AF786F"/>
    <w:rsid w:val="08AF79DA"/>
    <w:rsid w:val="08AF7ABE"/>
    <w:rsid w:val="08AF7B1D"/>
    <w:rsid w:val="08AF7B65"/>
    <w:rsid w:val="08AF7C84"/>
    <w:rsid w:val="08AF7C9F"/>
    <w:rsid w:val="08AF7CD9"/>
    <w:rsid w:val="08AF7D07"/>
    <w:rsid w:val="08AF7D65"/>
    <w:rsid w:val="08AF7DDA"/>
    <w:rsid w:val="08AF7E1A"/>
    <w:rsid w:val="08AF7F1E"/>
    <w:rsid w:val="08AF7F6B"/>
    <w:rsid w:val="08B00072"/>
    <w:rsid w:val="08B00146"/>
    <w:rsid w:val="08B001D6"/>
    <w:rsid w:val="08B00263"/>
    <w:rsid w:val="08B00266"/>
    <w:rsid w:val="08B00273"/>
    <w:rsid w:val="08B00283"/>
    <w:rsid w:val="08B002A1"/>
    <w:rsid w:val="08B002A4"/>
    <w:rsid w:val="08B00371"/>
    <w:rsid w:val="08B003FB"/>
    <w:rsid w:val="08B004C7"/>
    <w:rsid w:val="08B00569"/>
    <w:rsid w:val="08B005FF"/>
    <w:rsid w:val="08B00649"/>
    <w:rsid w:val="08B00661"/>
    <w:rsid w:val="08B00673"/>
    <w:rsid w:val="08B00676"/>
    <w:rsid w:val="08B0069E"/>
    <w:rsid w:val="08B006A4"/>
    <w:rsid w:val="08B006BC"/>
    <w:rsid w:val="08B006F3"/>
    <w:rsid w:val="08B007DA"/>
    <w:rsid w:val="08B00838"/>
    <w:rsid w:val="08B00978"/>
    <w:rsid w:val="08B009B6"/>
    <w:rsid w:val="08B00ACA"/>
    <w:rsid w:val="08B00ACC"/>
    <w:rsid w:val="08B00B41"/>
    <w:rsid w:val="08B00C5E"/>
    <w:rsid w:val="08B00C65"/>
    <w:rsid w:val="08B00D01"/>
    <w:rsid w:val="08B00D6C"/>
    <w:rsid w:val="08B00DAC"/>
    <w:rsid w:val="08B00F55"/>
    <w:rsid w:val="08B00FE0"/>
    <w:rsid w:val="08B0101B"/>
    <w:rsid w:val="08B010B5"/>
    <w:rsid w:val="08B0119E"/>
    <w:rsid w:val="08B0122C"/>
    <w:rsid w:val="08B01330"/>
    <w:rsid w:val="08B01338"/>
    <w:rsid w:val="08B0148F"/>
    <w:rsid w:val="08B01508"/>
    <w:rsid w:val="08B01517"/>
    <w:rsid w:val="08B01523"/>
    <w:rsid w:val="08B0152C"/>
    <w:rsid w:val="08B01588"/>
    <w:rsid w:val="08B01680"/>
    <w:rsid w:val="08B016D2"/>
    <w:rsid w:val="08B01708"/>
    <w:rsid w:val="08B0180C"/>
    <w:rsid w:val="08B01866"/>
    <w:rsid w:val="08B019E1"/>
    <w:rsid w:val="08B01ADF"/>
    <w:rsid w:val="08B01AE7"/>
    <w:rsid w:val="08B01BC5"/>
    <w:rsid w:val="08B01C77"/>
    <w:rsid w:val="08B01CB1"/>
    <w:rsid w:val="08B01E37"/>
    <w:rsid w:val="08B01EE4"/>
    <w:rsid w:val="08B01FD0"/>
    <w:rsid w:val="08B0201E"/>
    <w:rsid w:val="08B02051"/>
    <w:rsid w:val="08B0209D"/>
    <w:rsid w:val="08B020C7"/>
    <w:rsid w:val="08B021C8"/>
    <w:rsid w:val="08B0220B"/>
    <w:rsid w:val="08B022A0"/>
    <w:rsid w:val="08B022E3"/>
    <w:rsid w:val="08B02363"/>
    <w:rsid w:val="08B023DB"/>
    <w:rsid w:val="08B024BB"/>
    <w:rsid w:val="08B024CF"/>
    <w:rsid w:val="08B024EF"/>
    <w:rsid w:val="08B0252B"/>
    <w:rsid w:val="08B02634"/>
    <w:rsid w:val="08B0266A"/>
    <w:rsid w:val="08B026B3"/>
    <w:rsid w:val="08B02759"/>
    <w:rsid w:val="08B02846"/>
    <w:rsid w:val="08B02890"/>
    <w:rsid w:val="08B0291C"/>
    <w:rsid w:val="08B02AF2"/>
    <w:rsid w:val="08B02B4D"/>
    <w:rsid w:val="08B02C09"/>
    <w:rsid w:val="08B02CD3"/>
    <w:rsid w:val="08B02E58"/>
    <w:rsid w:val="08B02EA3"/>
    <w:rsid w:val="08B02F95"/>
    <w:rsid w:val="08B02FF5"/>
    <w:rsid w:val="08B0305E"/>
    <w:rsid w:val="08B030A1"/>
    <w:rsid w:val="08B030CB"/>
    <w:rsid w:val="08B0314A"/>
    <w:rsid w:val="08B0315A"/>
    <w:rsid w:val="08B0316E"/>
    <w:rsid w:val="08B0323E"/>
    <w:rsid w:val="08B032AF"/>
    <w:rsid w:val="08B032D5"/>
    <w:rsid w:val="08B032DD"/>
    <w:rsid w:val="08B03317"/>
    <w:rsid w:val="08B0332D"/>
    <w:rsid w:val="08B03355"/>
    <w:rsid w:val="08B03372"/>
    <w:rsid w:val="08B033D9"/>
    <w:rsid w:val="08B034A9"/>
    <w:rsid w:val="08B034E9"/>
    <w:rsid w:val="08B03527"/>
    <w:rsid w:val="08B0359E"/>
    <w:rsid w:val="08B0365C"/>
    <w:rsid w:val="08B03681"/>
    <w:rsid w:val="08B03705"/>
    <w:rsid w:val="08B0377C"/>
    <w:rsid w:val="08B037B2"/>
    <w:rsid w:val="08B03844"/>
    <w:rsid w:val="08B038B7"/>
    <w:rsid w:val="08B039C5"/>
    <w:rsid w:val="08B039F2"/>
    <w:rsid w:val="08B039F5"/>
    <w:rsid w:val="08B03A30"/>
    <w:rsid w:val="08B03A36"/>
    <w:rsid w:val="08B03B2A"/>
    <w:rsid w:val="08B03B7A"/>
    <w:rsid w:val="08B03B81"/>
    <w:rsid w:val="08B03BB9"/>
    <w:rsid w:val="08B03C22"/>
    <w:rsid w:val="08B03C30"/>
    <w:rsid w:val="08B03C5B"/>
    <w:rsid w:val="08B03C5D"/>
    <w:rsid w:val="08B03C72"/>
    <w:rsid w:val="08B03CF8"/>
    <w:rsid w:val="08B03D13"/>
    <w:rsid w:val="08B03DB5"/>
    <w:rsid w:val="08B03DF2"/>
    <w:rsid w:val="08B03E0C"/>
    <w:rsid w:val="08B03E4B"/>
    <w:rsid w:val="08B03E50"/>
    <w:rsid w:val="08B03E58"/>
    <w:rsid w:val="08B03EAB"/>
    <w:rsid w:val="08B03FBB"/>
    <w:rsid w:val="08B03FED"/>
    <w:rsid w:val="08B04017"/>
    <w:rsid w:val="08B041C2"/>
    <w:rsid w:val="08B042BE"/>
    <w:rsid w:val="08B042E0"/>
    <w:rsid w:val="08B0432D"/>
    <w:rsid w:val="08B0447B"/>
    <w:rsid w:val="08B04523"/>
    <w:rsid w:val="08B0457C"/>
    <w:rsid w:val="08B045B9"/>
    <w:rsid w:val="08B0469F"/>
    <w:rsid w:val="08B046E0"/>
    <w:rsid w:val="08B04799"/>
    <w:rsid w:val="08B047D5"/>
    <w:rsid w:val="08B04858"/>
    <w:rsid w:val="08B04977"/>
    <w:rsid w:val="08B049E7"/>
    <w:rsid w:val="08B04A81"/>
    <w:rsid w:val="08B04B53"/>
    <w:rsid w:val="08B04DAE"/>
    <w:rsid w:val="08B04E3E"/>
    <w:rsid w:val="08B04EB1"/>
    <w:rsid w:val="08B04F36"/>
    <w:rsid w:val="08B04F74"/>
    <w:rsid w:val="08B04FB7"/>
    <w:rsid w:val="08B05045"/>
    <w:rsid w:val="08B05054"/>
    <w:rsid w:val="08B050C1"/>
    <w:rsid w:val="08B05157"/>
    <w:rsid w:val="08B05161"/>
    <w:rsid w:val="08B0520F"/>
    <w:rsid w:val="08B05215"/>
    <w:rsid w:val="08B05281"/>
    <w:rsid w:val="08B052D2"/>
    <w:rsid w:val="08B0534F"/>
    <w:rsid w:val="08B053F4"/>
    <w:rsid w:val="08B0544D"/>
    <w:rsid w:val="08B0548F"/>
    <w:rsid w:val="08B054FB"/>
    <w:rsid w:val="08B05594"/>
    <w:rsid w:val="08B0559E"/>
    <w:rsid w:val="08B055CD"/>
    <w:rsid w:val="08B0562D"/>
    <w:rsid w:val="08B0568F"/>
    <w:rsid w:val="08B056CA"/>
    <w:rsid w:val="08B05716"/>
    <w:rsid w:val="08B057A6"/>
    <w:rsid w:val="08B05946"/>
    <w:rsid w:val="08B0595C"/>
    <w:rsid w:val="08B059A1"/>
    <w:rsid w:val="08B05A22"/>
    <w:rsid w:val="08B05A58"/>
    <w:rsid w:val="08B05AE6"/>
    <w:rsid w:val="08B05C14"/>
    <w:rsid w:val="08B05C4D"/>
    <w:rsid w:val="08B05C6F"/>
    <w:rsid w:val="08B05C9B"/>
    <w:rsid w:val="08B05CF7"/>
    <w:rsid w:val="08B05D4D"/>
    <w:rsid w:val="08B05D75"/>
    <w:rsid w:val="08B05DC2"/>
    <w:rsid w:val="08B05E89"/>
    <w:rsid w:val="08B05EB4"/>
    <w:rsid w:val="08B05F22"/>
    <w:rsid w:val="08B05FF7"/>
    <w:rsid w:val="08B060E4"/>
    <w:rsid w:val="08B060F8"/>
    <w:rsid w:val="08B060FD"/>
    <w:rsid w:val="08B060FF"/>
    <w:rsid w:val="08B0611A"/>
    <w:rsid w:val="08B06135"/>
    <w:rsid w:val="08B0615E"/>
    <w:rsid w:val="08B06160"/>
    <w:rsid w:val="08B061EF"/>
    <w:rsid w:val="08B06255"/>
    <w:rsid w:val="08B06362"/>
    <w:rsid w:val="08B06397"/>
    <w:rsid w:val="08B0640D"/>
    <w:rsid w:val="08B06455"/>
    <w:rsid w:val="08B064E7"/>
    <w:rsid w:val="08B064EC"/>
    <w:rsid w:val="08B0652B"/>
    <w:rsid w:val="08B06546"/>
    <w:rsid w:val="08B065B0"/>
    <w:rsid w:val="08B065FE"/>
    <w:rsid w:val="08B0670D"/>
    <w:rsid w:val="08B06721"/>
    <w:rsid w:val="08B0678F"/>
    <w:rsid w:val="08B067E1"/>
    <w:rsid w:val="08B068E3"/>
    <w:rsid w:val="08B069B3"/>
    <w:rsid w:val="08B069E9"/>
    <w:rsid w:val="08B06AA8"/>
    <w:rsid w:val="08B06B8D"/>
    <w:rsid w:val="08B06BAD"/>
    <w:rsid w:val="08B06C71"/>
    <w:rsid w:val="08B06D00"/>
    <w:rsid w:val="08B06E68"/>
    <w:rsid w:val="08B06E8F"/>
    <w:rsid w:val="08B06F3B"/>
    <w:rsid w:val="08B06FD1"/>
    <w:rsid w:val="08B0701B"/>
    <w:rsid w:val="08B07052"/>
    <w:rsid w:val="08B07095"/>
    <w:rsid w:val="08B070CE"/>
    <w:rsid w:val="08B07196"/>
    <w:rsid w:val="08B071E9"/>
    <w:rsid w:val="08B0720D"/>
    <w:rsid w:val="08B072B6"/>
    <w:rsid w:val="08B072E6"/>
    <w:rsid w:val="08B072FF"/>
    <w:rsid w:val="08B0739F"/>
    <w:rsid w:val="08B0747A"/>
    <w:rsid w:val="08B07687"/>
    <w:rsid w:val="08B07772"/>
    <w:rsid w:val="08B077F4"/>
    <w:rsid w:val="08B07843"/>
    <w:rsid w:val="08B0789C"/>
    <w:rsid w:val="08B0792F"/>
    <w:rsid w:val="08B079B1"/>
    <w:rsid w:val="08B079F2"/>
    <w:rsid w:val="08B07A91"/>
    <w:rsid w:val="08B07AAB"/>
    <w:rsid w:val="08B07ADA"/>
    <w:rsid w:val="08B07B84"/>
    <w:rsid w:val="08B07C64"/>
    <w:rsid w:val="08B07C73"/>
    <w:rsid w:val="08B07E3B"/>
    <w:rsid w:val="08B07E80"/>
    <w:rsid w:val="08B07FD2"/>
    <w:rsid w:val="08B07FD3"/>
    <w:rsid w:val="08B100EE"/>
    <w:rsid w:val="08B1016A"/>
    <w:rsid w:val="08B101C4"/>
    <w:rsid w:val="08B101C6"/>
    <w:rsid w:val="08B10256"/>
    <w:rsid w:val="08B102CB"/>
    <w:rsid w:val="08B1034D"/>
    <w:rsid w:val="08B103ED"/>
    <w:rsid w:val="08B104C0"/>
    <w:rsid w:val="08B10576"/>
    <w:rsid w:val="08B105DC"/>
    <w:rsid w:val="08B106A9"/>
    <w:rsid w:val="08B10759"/>
    <w:rsid w:val="08B10768"/>
    <w:rsid w:val="08B10778"/>
    <w:rsid w:val="08B10831"/>
    <w:rsid w:val="08B1086B"/>
    <w:rsid w:val="08B10872"/>
    <w:rsid w:val="08B109BD"/>
    <w:rsid w:val="08B109D9"/>
    <w:rsid w:val="08B109E1"/>
    <w:rsid w:val="08B10BE8"/>
    <w:rsid w:val="08B10D90"/>
    <w:rsid w:val="08B10DA9"/>
    <w:rsid w:val="08B10DAF"/>
    <w:rsid w:val="08B10EBD"/>
    <w:rsid w:val="08B10F5C"/>
    <w:rsid w:val="08B10FB7"/>
    <w:rsid w:val="08B11006"/>
    <w:rsid w:val="08B11036"/>
    <w:rsid w:val="08B110F0"/>
    <w:rsid w:val="08B11186"/>
    <w:rsid w:val="08B111DB"/>
    <w:rsid w:val="08B112A9"/>
    <w:rsid w:val="08B112E3"/>
    <w:rsid w:val="08B11326"/>
    <w:rsid w:val="08B11393"/>
    <w:rsid w:val="08B113DC"/>
    <w:rsid w:val="08B11490"/>
    <w:rsid w:val="08B114B4"/>
    <w:rsid w:val="08B1152D"/>
    <w:rsid w:val="08B11596"/>
    <w:rsid w:val="08B115FF"/>
    <w:rsid w:val="08B1169A"/>
    <w:rsid w:val="08B11722"/>
    <w:rsid w:val="08B1176B"/>
    <w:rsid w:val="08B117C3"/>
    <w:rsid w:val="08B11898"/>
    <w:rsid w:val="08B118CC"/>
    <w:rsid w:val="08B1195A"/>
    <w:rsid w:val="08B11989"/>
    <w:rsid w:val="08B119E6"/>
    <w:rsid w:val="08B11A24"/>
    <w:rsid w:val="08B11A69"/>
    <w:rsid w:val="08B11A6E"/>
    <w:rsid w:val="08B11A7F"/>
    <w:rsid w:val="08B11A8D"/>
    <w:rsid w:val="08B11A9F"/>
    <w:rsid w:val="08B11BC3"/>
    <w:rsid w:val="08B11C53"/>
    <w:rsid w:val="08B11C6B"/>
    <w:rsid w:val="08B11CB7"/>
    <w:rsid w:val="08B11CCA"/>
    <w:rsid w:val="08B11D46"/>
    <w:rsid w:val="08B11D9D"/>
    <w:rsid w:val="08B11DFF"/>
    <w:rsid w:val="08B11EB5"/>
    <w:rsid w:val="08B11EBF"/>
    <w:rsid w:val="08B11F69"/>
    <w:rsid w:val="08B11FB6"/>
    <w:rsid w:val="08B1202B"/>
    <w:rsid w:val="08B12059"/>
    <w:rsid w:val="08B120E0"/>
    <w:rsid w:val="08B12113"/>
    <w:rsid w:val="08B12227"/>
    <w:rsid w:val="08B12262"/>
    <w:rsid w:val="08B122A7"/>
    <w:rsid w:val="08B12325"/>
    <w:rsid w:val="08B123A7"/>
    <w:rsid w:val="08B123DE"/>
    <w:rsid w:val="08B123F5"/>
    <w:rsid w:val="08B12416"/>
    <w:rsid w:val="08B12440"/>
    <w:rsid w:val="08B12450"/>
    <w:rsid w:val="08B1245B"/>
    <w:rsid w:val="08B12493"/>
    <w:rsid w:val="08B1257E"/>
    <w:rsid w:val="08B1259A"/>
    <w:rsid w:val="08B1260D"/>
    <w:rsid w:val="08B1264F"/>
    <w:rsid w:val="08B126A8"/>
    <w:rsid w:val="08B12767"/>
    <w:rsid w:val="08B1287D"/>
    <w:rsid w:val="08B128A8"/>
    <w:rsid w:val="08B128EE"/>
    <w:rsid w:val="08B12908"/>
    <w:rsid w:val="08B1293A"/>
    <w:rsid w:val="08B129A6"/>
    <w:rsid w:val="08B129B1"/>
    <w:rsid w:val="08B12A27"/>
    <w:rsid w:val="08B12B4C"/>
    <w:rsid w:val="08B12C10"/>
    <w:rsid w:val="08B12CC2"/>
    <w:rsid w:val="08B12F1F"/>
    <w:rsid w:val="08B12F91"/>
    <w:rsid w:val="08B1302D"/>
    <w:rsid w:val="08B13188"/>
    <w:rsid w:val="08B131D8"/>
    <w:rsid w:val="08B13220"/>
    <w:rsid w:val="08B1324A"/>
    <w:rsid w:val="08B13286"/>
    <w:rsid w:val="08B1329C"/>
    <w:rsid w:val="08B132C5"/>
    <w:rsid w:val="08B132DC"/>
    <w:rsid w:val="08B13392"/>
    <w:rsid w:val="08B1339E"/>
    <w:rsid w:val="08B133B3"/>
    <w:rsid w:val="08B1346F"/>
    <w:rsid w:val="08B134DB"/>
    <w:rsid w:val="08B134EE"/>
    <w:rsid w:val="08B13514"/>
    <w:rsid w:val="08B13532"/>
    <w:rsid w:val="08B1353F"/>
    <w:rsid w:val="08B135B5"/>
    <w:rsid w:val="08B13606"/>
    <w:rsid w:val="08B13611"/>
    <w:rsid w:val="08B1361B"/>
    <w:rsid w:val="08B1365B"/>
    <w:rsid w:val="08B136DE"/>
    <w:rsid w:val="08B136F3"/>
    <w:rsid w:val="08B1372E"/>
    <w:rsid w:val="08B1384B"/>
    <w:rsid w:val="08B13860"/>
    <w:rsid w:val="08B1387D"/>
    <w:rsid w:val="08B13922"/>
    <w:rsid w:val="08B13A1C"/>
    <w:rsid w:val="08B13B24"/>
    <w:rsid w:val="08B13B56"/>
    <w:rsid w:val="08B13E19"/>
    <w:rsid w:val="08B13EEB"/>
    <w:rsid w:val="08B1401D"/>
    <w:rsid w:val="08B140FC"/>
    <w:rsid w:val="08B1413C"/>
    <w:rsid w:val="08B14158"/>
    <w:rsid w:val="08B141B5"/>
    <w:rsid w:val="08B14222"/>
    <w:rsid w:val="08B142D5"/>
    <w:rsid w:val="08B14343"/>
    <w:rsid w:val="08B14422"/>
    <w:rsid w:val="08B144EC"/>
    <w:rsid w:val="08B146B0"/>
    <w:rsid w:val="08B146C3"/>
    <w:rsid w:val="08B1496A"/>
    <w:rsid w:val="08B14C2E"/>
    <w:rsid w:val="08B14D41"/>
    <w:rsid w:val="08B14D59"/>
    <w:rsid w:val="08B14D89"/>
    <w:rsid w:val="08B14DA6"/>
    <w:rsid w:val="08B14E40"/>
    <w:rsid w:val="08B14E68"/>
    <w:rsid w:val="08B14F9C"/>
    <w:rsid w:val="08B15157"/>
    <w:rsid w:val="08B151C4"/>
    <w:rsid w:val="08B151E4"/>
    <w:rsid w:val="08B152F0"/>
    <w:rsid w:val="08B1530C"/>
    <w:rsid w:val="08B15322"/>
    <w:rsid w:val="08B154DA"/>
    <w:rsid w:val="08B154EE"/>
    <w:rsid w:val="08B1576C"/>
    <w:rsid w:val="08B15779"/>
    <w:rsid w:val="08B158ED"/>
    <w:rsid w:val="08B1591A"/>
    <w:rsid w:val="08B1592E"/>
    <w:rsid w:val="08B159CE"/>
    <w:rsid w:val="08B15B6C"/>
    <w:rsid w:val="08B15BAA"/>
    <w:rsid w:val="08B15C62"/>
    <w:rsid w:val="08B15C7E"/>
    <w:rsid w:val="08B15CFE"/>
    <w:rsid w:val="08B15DC6"/>
    <w:rsid w:val="08B15E54"/>
    <w:rsid w:val="08B15F8B"/>
    <w:rsid w:val="08B15FFA"/>
    <w:rsid w:val="08B16009"/>
    <w:rsid w:val="08B1601C"/>
    <w:rsid w:val="08B160B7"/>
    <w:rsid w:val="08B16123"/>
    <w:rsid w:val="08B16196"/>
    <w:rsid w:val="08B161D9"/>
    <w:rsid w:val="08B161EB"/>
    <w:rsid w:val="08B161F1"/>
    <w:rsid w:val="08B16349"/>
    <w:rsid w:val="08B16468"/>
    <w:rsid w:val="08B1646B"/>
    <w:rsid w:val="08B164C3"/>
    <w:rsid w:val="08B166B8"/>
    <w:rsid w:val="08B166F4"/>
    <w:rsid w:val="08B1676D"/>
    <w:rsid w:val="08B16782"/>
    <w:rsid w:val="08B167B6"/>
    <w:rsid w:val="08B167BC"/>
    <w:rsid w:val="08B168FC"/>
    <w:rsid w:val="08B1690A"/>
    <w:rsid w:val="08B1692F"/>
    <w:rsid w:val="08B1694A"/>
    <w:rsid w:val="08B16A54"/>
    <w:rsid w:val="08B16AE7"/>
    <w:rsid w:val="08B16B5B"/>
    <w:rsid w:val="08B16BAA"/>
    <w:rsid w:val="08B16CBE"/>
    <w:rsid w:val="08B16CDB"/>
    <w:rsid w:val="08B16D1A"/>
    <w:rsid w:val="08B16ED0"/>
    <w:rsid w:val="08B16FCC"/>
    <w:rsid w:val="08B1709C"/>
    <w:rsid w:val="08B17107"/>
    <w:rsid w:val="08B17166"/>
    <w:rsid w:val="08B171D8"/>
    <w:rsid w:val="08B17211"/>
    <w:rsid w:val="08B17321"/>
    <w:rsid w:val="08B173E9"/>
    <w:rsid w:val="08B173FF"/>
    <w:rsid w:val="08B17409"/>
    <w:rsid w:val="08B1743B"/>
    <w:rsid w:val="08B17487"/>
    <w:rsid w:val="08B1752D"/>
    <w:rsid w:val="08B1758C"/>
    <w:rsid w:val="08B17613"/>
    <w:rsid w:val="08B1761C"/>
    <w:rsid w:val="08B1766A"/>
    <w:rsid w:val="08B176EE"/>
    <w:rsid w:val="08B1770E"/>
    <w:rsid w:val="08B17736"/>
    <w:rsid w:val="08B1774A"/>
    <w:rsid w:val="08B177A2"/>
    <w:rsid w:val="08B177ED"/>
    <w:rsid w:val="08B177FB"/>
    <w:rsid w:val="08B17864"/>
    <w:rsid w:val="08B178A0"/>
    <w:rsid w:val="08B178CC"/>
    <w:rsid w:val="08B179A7"/>
    <w:rsid w:val="08B179AD"/>
    <w:rsid w:val="08B17A18"/>
    <w:rsid w:val="08B17AD9"/>
    <w:rsid w:val="08B17B09"/>
    <w:rsid w:val="08B17B4E"/>
    <w:rsid w:val="08B17C39"/>
    <w:rsid w:val="08B17C64"/>
    <w:rsid w:val="08B17C71"/>
    <w:rsid w:val="08B17CC8"/>
    <w:rsid w:val="08B17CF7"/>
    <w:rsid w:val="08B17D50"/>
    <w:rsid w:val="08B17DEA"/>
    <w:rsid w:val="08B17DF5"/>
    <w:rsid w:val="08B17E3E"/>
    <w:rsid w:val="08B17E43"/>
    <w:rsid w:val="08B17E58"/>
    <w:rsid w:val="08B17F1C"/>
    <w:rsid w:val="08B17FBB"/>
    <w:rsid w:val="08B20012"/>
    <w:rsid w:val="08B2008F"/>
    <w:rsid w:val="08B200AD"/>
    <w:rsid w:val="08B200BE"/>
    <w:rsid w:val="08B200D3"/>
    <w:rsid w:val="08B20106"/>
    <w:rsid w:val="08B20167"/>
    <w:rsid w:val="08B201E5"/>
    <w:rsid w:val="08B20229"/>
    <w:rsid w:val="08B20289"/>
    <w:rsid w:val="08B2029F"/>
    <w:rsid w:val="08B2032C"/>
    <w:rsid w:val="08B2036A"/>
    <w:rsid w:val="08B20370"/>
    <w:rsid w:val="08B203B3"/>
    <w:rsid w:val="08B203E3"/>
    <w:rsid w:val="08B20477"/>
    <w:rsid w:val="08B2047A"/>
    <w:rsid w:val="08B204F0"/>
    <w:rsid w:val="08B204F8"/>
    <w:rsid w:val="08B20569"/>
    <w:rsid w:val="08B205DF"/>
    <w:rsid w:val="08B205EA"/>
    <w:rsid w:val="08B205F5"/>
    <w:rsid w:val="08B20605"/>
    <w:rsid w:val="08B20763"/>
    <w:rsid w:val="08B207CE"/>
    <w:rsid w:val="08B207E6"/>
    <w:rsid w:val="08B207FB"/>
    <w:rsid w:val="08B20817"/>
    <w:rsid w:val="08B20978"/>
    <w:rsid w:val="08B209DB"/>
    <w:rsid w:val="08B20A83"/>
    <w:rsid w:val="08B20AA3"/>
    <w:rsid w:val="08B20B0B"/>
    <w:rsid w:val="08B20BE8"/>
    <w:rsid w:val="08B20C9F"/>
    <w:rsid w:val="08B20DF0"/>
    <w:rsid w:val="08B20E47"/>
    <w:rsid w:val="08B20E63"/>
    <w:rsid w:val="08B20EC7"/>
    <w:rsid w:val="08B20F28"/>
    <w:rsid w:val="08B20F5D"/>
    <w:rsid w:val="08B20F66"/>
    <w:rsid w:val="08B20F76"/>
    <w:rsid w:val="08B20F79"/>
    <w:rsid w:val="08B20FA3"/>
    <w:rsid w:val="08B21009"/>
    <w:rsid w:val="08B21099"/>
    <w:rsid w:val="08B210F5"/>
    <w:rsid w:val="08B21170"/>
    <w:rsid w:val="08B211EF"/>
    <w:rsid w:val="08B2125D"/>
    <w:rsid w:val="08B2127D"/>
    <w:rsid w:val="08B21327"/>
    <w:rsid w:val="08B2135D"/>
    <w:rsid w:val="08B213A9"/>
    <w:rsid w:val="08B2147D"/>
    <w:rsid w:val="08B215DC"/>
    <w:rsid w:val="08B215F5"/>
    <w:rsid w:val="08B2162D"/>
    <w:rsid w:val="08B21665"/>
    <w:rsid w:val="08B216B2"/>
    <w:rsid w:val="08B21729"/>
    <w:rsid w:val="08B217CA"/>
    <w:rsid w:val="08B217D2"/>
    <w:rsid w:val="08B21815"/>
    <w:rsid w:val="08B2187D"/>
    <w:rsid w:val="08B2188F"/>
    <w:rsid w:val="08B218B6"/>
    <w:rsid w:val="08B218E9"/>
    <w:rsid w:val="08B21958"/>
    <w:rsid w:val="08B21BC8"/>
    <w:rsid w:val="08B21C25"/>
    <w:rsid w:val="08B21C7E"/>
    <w:rsid w:val="08B21D09"/>
    <w:rsid w:val="08B21D2D"/>
    <w:rsid w:val="08B21D85"/>
    <w:rsid w:val="08B21DCA"/>
    <w:rsid w:val="08B21E96"/>
    <w:rsid w:val="08B22027"/>
    <w:rsid w:val="08B2211F"/>
    <w:rsid w:val="08B2217F"/>
    <w:rsid w:val="08B222BD"/>
    <w:rsid w:val="08B222E5"/>
    <w:rsid w:val="08B22363"/>
    <w:rsid w:val="08B22364"/>
    <w:rsid w:val="08B22376"/>
    <w:rsid w:val="08B2238F"/>
    <w:rsid w:val="08B22424"/>
    <w:rsid w:val="08B2249A"/>
    <w:rsid w:val="08B2263B"/>
    <w:rsid w:val="08B226C9"/>
    <w:rsid w:val="08B226F6"/>
    <w:rsid w:val="08B227CA"/>
    <w:rsid w:val="08B227E4"/>
    <w:rsid w:val="08B2287F"/>
    <w:rsid w:val="08B228EC"/>
    <w:rsid w:val="08B228F6"/>
    <w:rsid w:val="08B22927"/>
    <w:rsid w:val="08B229A3"/>
    <w:rsid w:val="08B22A2E"/>
    <w:rsid w:val="08B22A5B"/>
    <w:rsid w:val="08B22AC2"/>
    <w:rsid w:val="08B22B3E"/>
    <w:rsid w:val="08B22B71"/>
    <w:rsid w:val="08B22C78"/>
    <w:rsid w:val="08B22D2F"/>
    <w:rsid w:val="08B22D8A"/>
    <w:rsid w:val="08B22DC9"/>
    <w:rsid w:val="08B22E60"/>
    <w:rsid w:val="08B22EF4"/>
    <w:rsid w:val="08B22F02"/>
    <w:rsid w:val="08B2302F"/>
    <w:rsid w:val="08B23097"/>
    <w:rsid w:val="08B230B4"/>
    <w:rsid w:val="08B230BC"/>
    <w:rsid w:val="08B230E8"/>
    <w:rsid w:val="08B230F1"/>
    <w:rsid w:val="08B23177"/>
    <w:rsid w:val="08B231F5"/>
    <w:rsid w:val="08B2328A"/>
    <w:rsid w:val="08B232D5"/>
    <w:rsid w:val="08B23369"/>
    <w:rsid w:val="08B233A4"/>
    <w:rsid w:val="08B234F0"/>
    <w:rsid w:val="08B2350C"/>
    <w:rsid w:val="08B23510"/>
    <w:rsid w:val="08B23585"/>
    <w:rsid w:val="08B23684"/>
    <w:rsid w:val="08B23764"/>
    <w:rsid w:val="08B2379E"/>
    <w:rsid w:val="08B23822"/>
    <w:rsid w:val="08B239E7"/>
    <w:rsid w:val="08B23A72"/>
    <w:rsid w:val="08B23A92"/>
    <w:rsid w:val="08B23ACC"/>
    <w:rsid w:val="08B23AEF"/>
    <w:rsid w:val="08B23B12"/>
    <w:rsid w:val="08B23B16"/>
    <w:rsid w:val="08B23B1B"/>
    <w:rsid w:val="08B23BE1"/>
    <w:rsid w:val="08B23DB8"/>
    <w:rsid w:val="08B23E32"/>
    <w:rsid w:val="08B23E67"/>
    <w:rsid w:val="08B23EE8"/>
    <w:rsid w:val="08B23EEB"/>
    <w:rsid w:val="08B23F03"/>
    <w:rsid w:val="08B23F09"/>
    <w:rsid w:val="08B23F73"/>
    <w:rsid w:val="08B2408D"/>
    <w:rsid w:val="08B240C3"/>
    <w:rsid w:val="08B240E5"/>
    <w:rsid w:val="08B240FA"/>
    <w:rsid w:val="08B24124"/>
    <w:rsid w:val="08B24128"/>
    <w:rsid w:val="08B241B4"/>
    <w:rsid w:val="08B241CE"/>
    <w:rsid w:val="08B24222"/>
    <w:rsid w:val="08B24262"/>
    <w:rsid w:val="08B2428B"/>
    <w:rsid w:val="08B24294"/>
    <w:rsid w:val="08B242EB"/>
    <w:rsid w:val="08B24308"/>
    <w:rsid w:val="08B24347"/>
    <w:rsid w:val="08B2439E"/>
    <w:rsid w:val="08B243B3"/>
    <w:rsid w:val="08B243C2"/>
    <w:rsid w:val="08B243D4"/>
    <w:rsid w:val="08B2453F"/>
    <w:rsid w:val="08B2454C"/>
    <w:rsid w:val="08B24572"/>
    <w:rsid w:val="08B245E9"/>
    <w:rsid w:val="08B24685"/>
    <w:rsid w:val="08B246EE"/>
    <w:rsid w:val="08B247A1"/>
    <w:rsid w:val="08B247E4"/>
    <w:rsid w:val="08B247EC"/>
    <w:rsid w:val="08B247F1"/>
    <w:rsid w:val="08B2483E"/>
    <w:rsid w:val="08B248D5"/>
    <w:rsid w:val="08B2495B"/>
    <w:rsid w:val="08B24970"/>
    <w:rsid w:val="08B249C1"/>
    <w:rsid w:val="08B24A72"/>
    <w:rsid w:val="08B24B45"/>
    <w:rsid w:val="08B24B8C"/>
    <w:rsid w:val="08B24BC6"/>
    <w:rsid w:val="08B24BDC"/>
    <w:rsid w:val="08B24C2B"/>
    <w:rsid w:val="08B24CCA"/>
    <w:rsid w:val="08B24CEE"/>
    <w:rsid w:val="08B24D79"/>
    <w:rsid w:val="08B24E3D"/>
    <w:rsid w:val="08B24F01"/>
    <w:rsid w:val="08B24FEA"/>
    <w:rsid w:val="08B25108"/>
    <w:rsid w:val="08B2528D"/>
    <w:rsid w:val="08B252DE"/>
    <w:rsid w:val="08B254B3"/>
    <w:rsid w:val="08B254B8"/>
    <w:rsid w:val="08B25578"/>
    <w:rsid w:val="08B255AA"/>
    <w:rsid w:val="08B25601"/>
    <w:rsid w:val="08B25645"/>
    <w:rsid w:val="08B256ED"/>
    <w:rsid w:val="08B2575D"/>
    <w:rsid w:val="08B25844"/>
    <w:rsid w:val="08B258CB"/>
    <w:rsid w:val="08B258D1"/>
    <w:rsid w:val="08B2598B"/>
    <w:rsid w:val="08B25A71"/>
    <w:rsid w:val="08B25A84"/>
    <w:rsid w:val="08B25B14"/>
    <w:rsid w:val="08B25B3D"/>
    <w:rsid w:val="08B25C35"/>
    <w:rsid w:val="08B25C5D"/>
    <w:rsid w:val="08B25CE1"/>
    <w:rsid w:val="08B25D04"/>
    <w:rsid w:val="08B25DD6"/>
    <w:rsid w:val="08B25E5D"/>
    <w:rsid w:val="08B25E9F"/>
    <w:rsid w:val="08B25EAD"/>
    <w:rsid w:val="08B25ED5"/>
    <w:rsid w:val="08B25EE5"/>
    <w:rsid w:val="08B25EF0"/>
    <w:rsid w:val="08B25F13"/>
    <w:rsid w:val="08B25F49"/>
    <w:rsid w:val="08B25FD5"/>
    <w:rsid w:val="08B26092"/>
    <w:rsid w:val="08B260C5"/>
    <w:rsid w:val="08B26130"/>
    <w:rsid w:val="08B26238"/>
    <w:rsid w:val="08B262A3"/>
    <w:rsid w:val="08B262BE"/>
    <w:rsid w:val="08B262C2"/>
    <w:rsid w:val="08B26305"/>
    <w:rsid w:val="08B2632A"/>
    <w:rsid w:val="08B2633A"/>
    <w:rsid w:val="08B26349"/>
    <w:rsid w:val="08B2637B"/>
    <w:rsid w:val="08B2648D"/>
    <w:rsid w:val="08B26498"/>
    <w:rsid w:val="08B264A4"/>
    <w:rsid w:val="08B264AA"/>
    <w:rsid w:val="08B264B9"/>
    <w:rsid w:val="08B264D6"/>
    <w:rsid w:val="08B264D8"/>
    <w:rsid w:val="08B2659C"/>
    <w:rsid w:val="08B265DC"/>
    <w:rsid w:val="08B26607"/>
    <w:rsid w:val="08B2672B"/>
    <w:rsid w:val="08B26813"/>
    <w:rsid w:val="08B26885"/>
    <w:rsid w:val="08B268A2"/>
    <w:rsid w:val="08B26A1E"/>
    <w:rsid w:val="08B26AB0"/>
    <w:rsid w:val="08B26AC5"/>
    <w:rsid w:val="08B26B1B"/>
    <w:rsid w:val="08B26B1C"/>
    <w:rsid w:val="08B26B5A"/>
    <w:rsid w:val="08B26BC0"/>
    <w:rsid w:val="08B26BDB"/>
    <w:rsid w:val="08B26CB5"/>
    <w:rsid w:val="08B26CD4"/>
    <w:rsid w:val="08B26D1D"/>
    <w:rsid w:val="08B26E7B"/>
    <w:rsid w:val="08B26E83"/>
    <w:rsid w:val="08B26F57"/>
    <w:rsid w:val="08B26F89"/>
    <w:rsid w:val="08B26FA6"/>
    <w:rsid w:val="08B26FCA"/>
    <w:rsid w:val="08B26FDF"/>
    <w:rsid w:val="08B270F6"/>
    <w:rsid w:val="08B27148"/>
    <w:rsid w:val="08B27161"/>
    <w:rsid w:val="08B27206"/>
    <w:rsid w:val="08B27284"/>
    <w:rsid w:val="08B27352"/>
    <w:rsid w:val="08B2749C"/>
    <w:rsid w:val="08B274C9"/>
    <w:rsid w:val="08B2752E"/>
    <w:rsid w:val="08B2754B"/>
    <w:rsid w:val="08B2758D"/>
    <w:rsid w:val="08B275A5"/>
    <w:rsid w:val="08B275CD"/>
    <w:rsid w:val="08B275FF"/>
    <w:rsid w:val="08B276AE"/>
    <w:rsid w:val="08B276FB"/>
    <w:rsid w:val="08B2784E"/>
    <w:rsid w:val="08B27AAA"/>
    <w:rsid w:val="08B27B4C"/>
    <w:rsid w:val="08B27BB7"/>
    <w:rsid w:val="08B27D38"/>
    <w:rsid w:val="08B27D7D"/>
    <w:rsid w:val="08B27EC9"/>
    <w:rsid w:val="08B27F2E"/>
    <w:rsid w:val="08B27F4E"/>
    <w:rsid w:val="08B27F50"/>
    <w:rsid w:val="08B27F55"/>
    <w:rsid w:val="08B27FBA"/>
    <w:rsid w:val="08B3002D"/>
    <w:rsid w:val="08B3005D"/>
    <w:rsid w:val="08B3005E"/>
    <w:rsid w:val="08B30061"/>
    <w:rsid w:val="08B300F5"/>
    <w:rsid w:val="08B30240"/>
    <w:rsid w:val="08B30391"/>
    <w:rsid w:val="08B30402"/>
    <w:rsid w:val="08B3049A"/>
    <w:rsid w:val="08B304B1"/>
    <w:rsid w:val="08B305CD"/>
    <w:rsid w:val="08B306B2"/>
    <w:rsid w:val="08B3081B"/>
    <w:rsid w:val="08B3083B"/>
    <w:rsid w:val="08B3084E"/>
    <w:rsid w:val="08B30865"/>
    <w:rsid w:val="08B308A6"/>
    <w:rsid w:val="08B30908"/>
    <w:rsid w:val="08B3092B"/>
    <w:rsid w:val="08B30A05"/>
    <w:rsid w:val="08B30A06"/>
    <w:rsid w:val="08B30ABB"/>
    <w:rsid w:val="08B30B19"/>
    <w:rsid w:val="08B30B7F"/>
    <w:rsid w:val="08B30C51"/>
    <w:rsid w:val="08B30C65"/>
    <w:rsid w:val="08B30CFF"/>
    <w:rsid w:val="08B30D16"/>
    <w:rsid w:val="08B30D44"/>
    <w:rsid w:val="08B30D8B"/>
    <w:rsid w:val="08B30D9C"/>
    <w:rsid w:val="08B30DB1"/>
    <w:rsid w:val="08B30EF8"/>
    <w:rsid w:val="08B30F26"/>
    <w:rsid w:val="08B30F8E"/>
    <w:rsid w:val="08B30F90"/>
    <w:rsid w:val="08B30F91"/>
    <w:rsid w:val="08B30FC1"/>
    <w:rsid w:val="08B30FE3"/>
    <w:rsid w:val="08B31009"/>
    <w:rsid w:val="08B31075"/>
    <w:rsid w:val="08B310FC"/>
    <w:rsid w:val="08B3111C"/>
    <w:rsid w:val="08B3120D"/>
    <w:rsid w:val="08B3143E"/>
    <w:rsid w:val="08B314D9"/>
    <w:rsid w:val="08B3153F"/>
    <w:rsid w:val="08B31584"/>
    <w:rsid w:val="08B31595"/>
    <w:rsid w:val="08B315AE"/>
    <w:rsid w:val="08B315FB"/>
    <w:rsid w:val="08B31651"/>
    <w:rsid w:val="08B316F8"/>
    <w:rsid w:val="08B317ED"/>
    <w:rsid w:val="08B31812"/>
    <w:rsid w:val="08B3181C"/>
    <w:rsid w:val="08B3185A"/>
    <w:rsid w:val="08B319B4"/>
    <w:rsid w:val="08B31AA4"/>
    <w:rsid w:val="08B31C1B"/>
    <w:rsid w:val="08B31C80"/>
    <w:rsid w:val="08B31D74"/>
    <w:rsid w:val="08B31DCE"/>
    <w:rsid w:val="08B31DEA"/>
    <w:rsid w:val="08B31E45"/>
    <w:rsid w:val="08B31E4C"/>
    <w:rsid w:val="08B31E5A"/>
    <w:rsid w:val="08B31F04"/>
    <w:rsid w:val="08B31F6A"/>
    <w:rsid w:val="08B31FEB"/>
    <w:rsid w:val="08B32185"/>
    <w:rsid w:val="08B3219A"/>
    <w:rsid w:val="08B3237B"/>
    <w:rsid w:val="08B323E1"/>
    <w:rsid w:val="08B32491"/>
    <w:rsid w:val="08B325F7"/>
    <w:rsid w:val="08B32631"/>
    <w:rsid w:val="08B327B2"/>
    <w:rsid w:val="08B32871"/>
    <w:rsid w:val="08B328C2"/>
    <w:rsid w:val="08B32914"/>
    <w:rsid w:val="08B329EB"/>
    <w:rsid w:val="08B32A37"/>
    <w:rsid w:val="08B32B36"/>
    <w:rsid w:val="08B32B6E"/>
    <w:rsid w:val="08B32B85"/>
    <w:rsid w:val="08B32BCA"/>
    <w:rsid w:val="08B32CD7"/>
    <w:rsid w:val="08B32CE0"/>
    <w:rsid w:val="08B32D50"/>
    <w:rsid w:val="08B32E5F"/>
    <w:rsid w:val="08B32E6E"/>
    <w:rsid w:val="08B33131"/>
    <w:rsid w:val="08B33261"/>
    <w:rsid w:val="08B33263"/>
    <w:rsid w:val="08B332A9"/>
    <w:rsid w:val="08B332AF"/>
    <w:rsid w:val="08B33428"/>
    <w:rsid w:val="08B33439"/>
    <w:rsid w:val="08B3349A"/>
    <w:rsid w:val="08B33519"/>
    <w:rsid w:val="08B33596"/>
    <w:rsid w:val="08B335F7"/>
    <w:rsid w:val="08B3367C"/>
    <w:rsid w:val="08B336BF"/>
    <w:rsid w:val="08B3371A"/>
    <w:rsid w:val="08B33736"/>
    <w:rsid w:val="08B3377B"/>
    <w:rsid w:val="08B337CF"/>
    <w:rsid w:val="08B337F3"/>
    <w:rsid w:val="08B3380C"/>
    <w:rsid w:val="08B33824"/>
    <w:rsid w:val="08B338DC"/>
    <w:rsid w:val="08B338E3"/>
    <w:rsid w:val="08B33928"/>
    <w:rsid w:val="08B33AB8"/>
    <w:rsid w:val="08B33B54"/>
    <w:rsid w:val="08B33B7A"/>
    <w:rsid w:val="08B33BB7"/>
    <w:rsid w:val="08B33C10"/>
    <w:rsid w:val="08B33C59"/>
    <w:rsid w:val="08B33D31"/>
    <w:rsid w:val="08B33E4A"/>
    <w:rsid w:val="08B33EF3"/>
    <w:rsid w:val="08B33F5A"/>
    <w:rsid w:val="08B33FFA"/>
    <w:rsid w:val="08B34015"/>
    <w:rsid w:val="08B34053"/>
    <w:rsid w:val="08B340B3"/>
    <w:rsid w:val="08B34136"/>
    <w:rsid w:val="08B34140"/>
    <w:rsid w:val="08B34241"/>
    <w:rsid w:val="08B342CC"/>
    <w:rsid w:val="08B343A1"/>
    <w:rsid w:val="08B343C7"/>
    <w:rsid w:val="08B34516"/>
    <w:rsid w:val="08B345BF"/>
    <w:rsid w:val="08B34612"/>
    <w:rsid w:val="08B346B0"/>
    <w:rsid w:val="08B346D2"/>
    <w:rsid w:val="08B3474B"/>
    <w:rsid w:val="08B34773"/>
    <w:rsid w:val="08B347E7"/>
    <w:rsid w:val="08B3481B"/>
    <w:rsid w:val="08B3482E"/>
    <w:rsid w:val="08B34855"/>
    <w:rsid w:val="08B34863"/>
    <w:rsid w:val="08B348DD"/>
    <w:rsid w:val="08B34987"/>
    <w:rsid w:val="08B349A0"/>
    <w:rsid w:val="08B34AB1"/>
    <w:rsid w:val="08B34ADC"/>
    <w:rsid w:val="08B34AE4"/>
    <w:rsid w:val="08B34B68"/>
    <w:rsid w:val="08B34C04"/>
    <w:rsid w:val="08B34C3A"/>
    <w:rsid w:val="08B34CE5"/>
    <w:rsid w:val="08B34D06"/>
    <w:rsid w:val="08B34D7D"/>
    <w:rsid w:val="08B34DD0"/>
    <w:rsid w:val="08B34E02"/>
    <w:rsid w:val="08B34FF3"/>
    <w:rsid w:val="08B3500C"/>
    <w:rsid w:val="08B35204"/>
    <w:rsid w:val="08B352E8"/>
    <w:rsid w:val="08B35329"/>
    <w:rsid w:val="08B354BF"/>
    <w:rsid w:val="08B35525"/>
    <w:rsid w:val="08B35591"/>
    <w:rsid w:val="08B35595"/>
    <w:rsid w:val="08B3572D"/>
    <w:rsid w:val="08B358A0"/>
    <w:rsid w:val="08B358A8"/>
    <w:rsid w:val="08B35963"/>
    <w:rsid w:val="08B35995"/>
    <w:rsid w:val="08B35A55"/>
    <w:rsid w:val="08B35A8B"/>
    <w:rsid w:val="08B35A8F"/>
    <w:rsid w:val="08B35A91"/>
    <w:rsid w:val="08B35AA8"/>
    <w:rsid w:val="08B35AB0"/>
    <w:rsid w:val="08B35B31"/>
    <w:rsid w:val="08B35B98"/>
    <w:rsid w:val="08B35C6E"/>
    <w:rsid w:val="08B35D71"/>
    <w:rsid w:val="08B35DC8"/>
    <w:rsid w:val="08B35DD0"/>
    <w:rsid w:val="08B35E5C"/>
    <w:rsid w:val="08B35ED7"/>
    <w:rsid w:val="08B35F1D"/>
    <w:rsid w:val="08B36054"/>
    <w:rsid w:val="08B36152"/>
    <w:rsid w:val="08B36160"/>
    <w:rsid w:val="08B36256"/>
    <w:rsid w:val="08B36282"/>
    <w:rsid w:val="08B362AF"/>
    <w:rsid w:val="08B36412"/>
    <w:rsid w:val="08B3652A"/>
    <w:rsid w:val="08B36534"/>
    <w:rsid w:val="08B36541"/>
    <w:rsid w:val="08B3659D"/>
    <w:rsid w:val="08B365B0"/>
    <w:rsid w:val="08B365ED"/>
    <w:rsid w:val="08B3669E"/>
    <w:rsid w:val="08B366D8"/>
    <w:rsid w:val="08B3670B"/>
    <w:rsid w:val="08B36767"/>
    <w:rsid w:val="08B3676E"/>
    <w:rsid w:val="08B367D7"/>
    <w:rsid w:val="08B367E7"/>
    <w:rsid w:val="08B367FD"/>
    <w:rsid w:val="08B3685A"/>
    <w:rsid w:val="08B36921"/>
    <w:rsid w:val="08B369C3"/>
    <w:rsid w:val="08B369FB"/>
    <w:rsid w:val="08B36AD5"/>
    <w:rsid w:val="08B36B14"/>
    <w:rsid w:val="08B36B2C"/>
    <w:rsid w:val="08B36B44"/>
    <w:rsid w:val="08B36B50"/>
    <w:rsid w:val="08B36B5B"/>
    <w:rsid w:val="08B36B5E"/>
    <w:rsid w:val="08B36B61"/>
    <w:rsid w:val="08B36B74"/>
    <w:rsid w:val="08B36BB6"/>
    <w:rsid w:val="08B36DB0"/>
    <w:rsid w:val="08B36E0B"/>
    <w:rsid w:val="08B36E16"/>
    <w:rsid w:val="08B36EBC"/>
    <w:rsid w:val="08B36F02"/>
    <w:rsid w:val="08B36F22"/>
    <w:rsid w:val="08B36F2A"/>
    <w:rsid w:val="08B36FF3"/>
    <w:rsid w:val="08B3702D"/>
    <w:rsid w:val="08B3707B"/>
    <w:rsid w:val="08B37147"/>
    <w:rsid w:val="08B371C1"/>
    <w:rsid w:val="08B37241"/>
    <w:rsid w:val="08B37297"/>
    <w:rsid w:val="08B374F3"/>
    <w:rsid w:val="08B375C3"/>
    <w:rsid w:val="08B375D1"/>
    <w:rsid w:val="08B37663"/>
    <w:rsid w:val="08B3766A"/>
    <w:rsid w:val="08B376F4"/>
    <w:rsid w:val="08B3776C"/>
    <w:rsid w:val="08B377EC"/>
    <w:rsid w:val="08B3780E"/>
    <w:rsid w:val="08B37850"/>
    <w:rsid w:val="08B37905"/>
    <w:rsid w:val="08B37ACD"/>
    <w:rsid w:val="08B37BDA"/>
    <w:rsid w:val="08B37CB0"/>
    <w:rsid w:val="08B37CD0"/>
    <w:rsid w:val="08B37DA4"/>
    <w:rsid w:val="08B37DA5"/>
    <w:rsid w:val="08B37DE1"/>
    <w:rsid w:val="08B37E83"/>
    <w:rsid w:val="08B37F7E"/>
    <w:rsid w:val="08B37FBE"/>
    <w:rsid w:val="08B4002A"/>
    <w:rsid w:val="08B4009B"/>
    <w:rsid w:val="08B4013F"/>
    <w:rsid w:val="08B4014C"/>
    <w:rsid w:val="08B40173"/>
    <w:rsid w:val="08B4019B"/>
    <w:rsid w:val="08B4023B"/>
    <w:rsid w:val="08B402CF"/>
    <w:rsid w:val="08B40327"/>
    <w:rsid w:val="08B4040C"/>
    <w:rsid w:val="08B40428"/>
    <w:rsid w:val="08B4042F"/>
    <w:rsid w:val="08B404C5"/>
    <w:rsid w:val="08B4062B"/>
    <w:rsid w:val="08B406AB"/>
    <w:rsid w:val="08B406B1"/>
    <w:rsid w:val="08B406FA"/>
    <w:rsid w:val="08B40708"/>
    <w:rsid w:val="08B40725"/>
    <w:rsid w:val="08B40743"/>
    <w:rsid w:val="08B4076F"/>
    <w:rsid w:val="08B407C8"/>
    <w:rsid w:val="08B4081C"/>
    <w:rsid w:val="08B4095B"/>
    <w:rsid w:val="08B409F8"/>
    <w:rsid w:val="08B40A6A"/>
    <w:rsid w:val="08B40A9E"/>
    <w:rsid w:val="08B40B00"/>
    <w:rsid w:val="08B40B29"/>
    <w:rsid w:val="08B40B2B"/>
    <w:rsid w:val="08B40BF6"/>
    <w:rsid w:val="08B40CC2"/>
    <w:rsid w:val="08B40DE8"/>
    <w:rsid w:val="08B40EAB"/>
    <w:rsid w:val="08B40F58"/>
    <w:rsid w:val="08B40F96"/>
    <w:rsid w:val="08B4107D"/>
    <w:rsid w:val="08B410B1"/>
    <w:rsid w:val="08B41110"/>
    <w:rsid w:val="08B4114E"/>
    <w:rsid w:val="08B41192"/>
    <w:rsid w:val="08B41359"/>
    <w:rsid w:val="08B413B8"/>
    <w:rsid w:val="08B41406"/>
    <w:rsid w:val="08B414B6"/>
    <w:rsid w:val="08B414ED"/>
    <w:rsid w:val="08B41536"/>
    <w:rsid w:val="08B41599"/>
    <w:rsid w:val="08B415AC"/>
    <w:rsid w:val="08B415DE"/>
    <w:rsid w:val="08B415E3"/>
    <w:rsid w:val="08B4160B"/>
    <w:rsid w:val="08B41628"/>
    <w:rsid w:val="08B416AB"/>
    <w:rsid w:val="08B416FF"/>
    <w:rsid w:val="08B41718"/>
    <w:rsid w:val="08B417A3"/>
    <w:rsid w:val="08B418C4"/>
    <w:rsid w:val="08B4195E"/>
    <w:rsid w:val="08B41987"/>
    <w:rsid w:val="08B41A10"/>
    <w:rsid w:val="08B41AE5"/>
    <w:rsid w:val="08B41B12"/>
    <w:rsid w:val="08B41C09"/>
    <w:rsid w:val="08B41C35"/>
    <w:rsid w:val="08B41C8B"/>
    <w:rsid w:val="08B41D92"/>
    <w:rsid w:val="08B41E20"/>
    <w:rsid w:val="08B41F28"/>
    <w:rsid w:val="08B41F74"/>
    <w:rsid w:val="08B41F7C"/>
    <w:rsid w:val="08B41FA4"/>
    <w:rsid w:val="08B420F0"/>
    <w:rsid w:val="08B4214B"/>
    <w:rsid w:val="08B42182"/>
    <w:rsid w:val="08B42194"/>
    <w:rsid w:val="08B42214"/>
    <w:rsid w:val="08B42229"/>
    <w:rsid w:val="08B42292"/>
    <w:rsid w:val="08B4233D"/>
    <w:rsid w:val="08B4245F"/>
    <w:rsid w:val="08B4246B"/>
    <w:rsid w:val="08B4247B"/>
    <w:rsid w:val="08B42484"/>
    <w:rsid w:val="08B424A2"/>
    <w:rsid w:val="08B42586"/>
    <w:rsid w:val="08B426AC"/>
    <w:rsid w:val="08B4272F"/>
    <w:rsid w:val="08B427CD"/>
    <w:rsid w:val="08B428D4"/>
    <w:rsid w:val="08B428F3"/>
    <w:rsid w:val="08B42924"/>
    <w:rsid w:val="08B429D8"/>
    <w:rsid w:val="08B429FD"/>
    <w:rsid w:val="08B42A0E"/>
    <w:rsid w:val="08B42AE9"/>
    <w:rsid w:val="08B42B21"/>
    <w:rsid w:val="08B42BAC"/>
    <w:rsid w:val="08B42C08"/>
    <w:rsid w:val="08B42C2B"/>
    <w:rsid w:val="08B42C41"/>
    <w:rsid w:val="08B42C56"/>
    <w:rsid w:val="08B42CE5"/>
    <w:rsid w:val="08B42DBE"/>
    <w:rsid w:val="08B42DE5"/>
    <w:rsid w:val="08B42E52"/>
    <w:rsid w:val="08B42EB3"/>
    <w:rsid w:val="08B42EBD"/>
    <w:rsid w:val="08B42ED3"/>
    <w:rsid w:val="08B42F03"/>
    <w:rsid w:val="08B4311F"/>
    <w:rsid w:val="08B43124"/>
    <w:rsid w:val="08B4315F"/>
    <w:rsid w:val="08B431E0"/>
    <w:rsid w:val="08B43235"/>
    <w:rsid w:val="08B43282"/>
    <w:rsid w:val="08B432F3"/>
    <w:rsid w:val="08B4331C"/>
    <w:rsid w:val="08B4332E"/>
    <w:rsid w:val="08B43370"/>
    <w:rsid w:val="08B43389"/>
    <w:rsid w:val="08B433BC"/>
    <w:rsid w:val="08B433D5"/>
    <w:rsid w:val="08B4343A"/>
    <w:rsid w:val="08B43491"/>
    <w:rsid w:val="08B434E6"/>
    <w:rsid w:val="08B4351F"/>
    <w:rsid w:val="08B43537"/>
    <w:rsid w:val="08B435AB"/>
    <w:rsid w:val="08B435F1"/>
    <w:rsid w:val="08B43605"/>
    <w:rsid w:val="08B4363D"/>
    <w:rsid w:val="08B4368E"/>
    <w:rsid w:val="08B43704"/>
    <w:rsid w:val="08B4372B"/>
    <w:rsid w:val="08B43776"/>
    <w:rsid w:val="08B43777"/>
    <w:rsid w:val="08B437EA"/>
    <w:rsid w:val="08B438C1"/>
    <w:rsid w:val="08B43947"/>
    <w:rsid w:val="08B439AE"/>
    <w:rsid w:val="08B43AFB"/>
    <w:rsid w:val="08B43B2D"/>
    <w:rsid w:val="08B43B6C"/>
    <w:rsid w:val="08B43B8D"/>
    <w:rsid w:val="08B43C5E"/>
    <w:rsid w:val="08B43D23"/>
    <w:rsid w:val="08B43EC0"/>
    <w:rsid w:val="08B43F3C"/>
    <w:rsid w:val="08B43F4F"/>
    <w:rsid w:val="08B43FCD"/>
    <w:rsid w:val="08B440AB"/>
    <w:rsid w:val="08B440DA"/>
    <w:rsid w:val="08B44143"/>
    <w:rsid w:val="08B44212"/>
    <w:rsid w:val="08B44222"/>
    <w:rsid w:val="08B44237"/>
    <w:rsid w:val="08B442B8"/>
    <w:rsid w:val="08B44369"/>
    <w:rsid w:val="08B443F0"/>
    <w:rsid w:val="08B44420"/>
    <w:rsid w:val="08B44587"/>
    <w:rsid w:val="08B445AC"/>
    <w:rsid w:val="08B445AE"/>
    <w:rsid w:val="08B4460D"/>
    <w:rsid w:val="08B4463D"/>
    <w:rsid w:val="08B446A4"/>
    <w:rsid w:val="08B44754"/>
    <w:rsid w:val="08B4475A"/>
    <w:rsid w:val="08B44768"/>
    <w:rsid w:val="08B44832"/>
    <w:rsid w:val="08B448D8"/>
    <w:rsid w:val="08B448E5"/>
    <w:rsid w:val="08B449E4"/>
    <w:rsid w:val="08B44AAE"/>
    <w:rsid w:val="08B44C10"/>
    <w:rsid w:val="08B44C44"/>
    <w:rsid w:val="08B44D2F"/>
    <w:rsid w:val="08B44D5C"/>
    <w:rsid w:val="08B44DB2"/>
    <w:rsid w:val="08B44E1E"/>
    <w:rsid w:val="08B44EEF"/>
    <w:rsid w:val="08B44FB0"/>
    <w:rsid w:val="08B45009"/>
    <w:rsid w:val="08B45066"/>
    <w:rsid w:val="08B450CA"/>
    <w:rsid w:val="08B45142"/>
    <w:rsid w:val="08B451DB"/>
    <w:rsid w:val="08B45218"/>
    <w:rsid w:val="08B45236"/>
    <w:rsid w:val="08B45255"/>
    <w:rsid w:val="08B4528E"/>
    <w:rsid w:val="08B45290"/>
    <w:rsid w:val="08B453BE"/>
    <w:rsid w:val="08B453DB"/>
    <w:rsid w:val="08B453FA"/>
    <w:rsid w:val="08B45453"/>
    <w:rsid w:val="08B454B0"/>
    <w:rsid w:val="08B454B1"/>
    <w:rsid w:val="08B45590"/>
    <w:rsid w:val="08B455EE"/>
    <w:rsid w:val="08B456B5"/>
    <w:rsid w:val="08B456FF"/>
    <w:rsid w:val="08B45726"/>
    <w:rsid w:val="08B45767"/>
    <w:rsid w:val="08B457D2"/>
    <w:rsid w:val="08B4592F"/>
    <w:rsid w:val="08B4599B"/>
    <w:rsid w:val="08B45A1B"/>
    <w:rsid w:val="08B45B2D"/>
    <w:rsid w:val="08B45BA9"/>
    <w:rsid w:val="08B45BD1"/>
    <w:rsid w:val="08B45C09"/>
    <w:rsid w:val="08B45C38"/>
    <w:rsid w:val="08B45C89"/>
    <w:rsid w:val="08B45CBF"/>
    <w:rsid w:val="08B45CE7"/>
    <w:rsid w:val="08B45CE8"/>
    <w:rsid w:val="08B45CFD"/>
    <w:rsid w:val="08B45D2C"/>
    <w:rsid w:val="08B45E70"/>
    <w:rsid w:val="08B460C0"/>
    <w:rsid w:val="08B460CB"/>
    <w:rsid w:val="08B46134"/>
    <w:rsid w:val="08B4615F"/>
    <w:rsid w:val="08B461BD"/>
    <w:rsid w:val="08B46213"/>
    <w:rsid w:val="08B46238"/>
    <w:rsid w:val="08B462A5"/>
    <w:rsid w:val="08B462AD"/>
    <w:rsid w:val="08B4635F"/>
    <w:rsid w:val="08B463B6"/>
    <w:rsid w:val="08B46424"/>
    <w:rsid w:val="08B46550"/>
    <w:rsid w:val="08B465F2"/>
    <w:rsid w:val="08B465F7"/>
    <w:rsid w:val="08B46608"/>
    <w:rsid w:val="08B46638"/>
    <w:rsid w:val="08B46643"/>
    <w:rsid w:val="08B46731"/>
    <w:rsid w:val="08B467C3"/>
    <w:rsid w:val="08B4685F"/>
    <w:rsid w:val="08B46A41"/>
    <w:rsid w:val="08B46B07"/>
    <w:rsid w:val="08B46B78"/>
    <w:rsid w:val="08B46BE4"/>
    <w:rsid w:val="08B46BF7"/>
    <w:rsid w:val="08B46C08"/>
    <w:rsid w:val="08B46C0F"/>
    <w:rsid w:val="08B46D1A"/>
    <w:rsid w:val="08B46DA7"/>
    <w:rsid w:val="08B46E28"/>
    <w:rsid w:val="08B46E49"/>
    <w:rsid w:val="08B46F1C"/>
    <w:rsid w:val="08B46F68"/>
    <w:rsid w:val="08B4714F"/>
    <w:rsid w:val="08B472D7"/>
    <w:rsid w:val="08B473B0"/>
    <w:rsid w:val="08B473EE"/>
    <w:rsid w:val="08B4751A"/>
    <w:rsid w:val="08B47665"/>
    <w:rsid w:val="08B4766B"/>
    <w:rsid w:val="08B47741"/>
    <w:rsid w:val="08B47795"/>
    <w:rsid w:val="08B477C0"/>
    <w:rsid w:val="08B477FE"/>
    <w:rsid w:val="08B478F5"/>
    <w:rsid w:val="08B47901"/>
    <w:rsid w:val="08B479C8"/>
    <w:rsid w:val="08B47AE3"/>
    <w:rsid w:val="08B47B26"/>
    <w:rsid w:val="08B47B5D"/>
    <w:rsid w:val="08B47C88"/>
    <w:rsid w:val="08B47DA2"/>
    <w:rsid w:val="08B47F22"/>
    <w:rsid w:val="08B47F6E"/>
    <w:rsid w:val="08B47FCC"/>
    <w:rsid w:val="08B47FE7"/>
    <w:rsid w:val="08B47FF5"/>
    <w:rsid w:val="08B5005B"/>
    <w:rsid w:val="08B50068"/>
    <w:rsid w:val="08B5006E"/>
    <w:rsid w:val="08B50197"/>
    <w:rsid w:val="08B502A1"/>
    <w:rsid w:val="08B502C5"/>
    <w:rsid w:val="08B502F6"/>
    <w:rsid w:val="08B50302"/>
    <w:rsid w:val="08B50326"/>
    <w:rsid w:val="08B503FC"/>
    <w:rsid w:val="08B505E6"/>
    <w:rsid w:val="08B506B7"/>
    <w:rsid w:val="08B506D5"/>
    <w:rsid w:val="08B50919"/>
    <w:rsid w:val="08B5093E"/>
    <w:rsid w:val="08B509A8"/>
    <w:rsid w:val="08B50A4C"/>
    <w:rsid w:val="08B50A6E"/>
    <w:rsid w:val="08B50C6E"/>
    <w:rsid w:val="08B50C7D"/>
    <w:rsid w:val="08B50C92"/>
    <w:rsid w:val="08B50CA8"/>
    <w:rsid w:val="08B50E0A"/>
    <w:rsid w:val="08B50E8A"/>
    <w:rsid w:val="08B50EDD"/>
    <w:rsid w:val="08B50EEC"/>
    <w:rsid w:val="08B50F02"/>
    <w:rsid w:val="08B50FD8"/>
    <w:rsid w:val="08B50FEF"/>
    <w:rsid w:val="08B51045"/>
    <w:rsid w:val="08B5105B"/>
    <w:rsid w:val="08B510B2"/>
    <w:rsid w:val="08B51143"/>
    <w:rsid w:val="08B5116E"/>
    <w:rsid w:val="08B51303"/>
    <w:rsid w:val="08B513EC"/>
    <w:rsid w:val="08B5142B"/>
    <w:rsid w:val="08B51550"/>
    <w:rsid w:val="08B515A5"/>
    <w:rsid w:val="08B51605"/>
    <w:rsid w:val="08B51654"/>
    <w:rsid w:val="08B51782"/>
    <w:rsid w:val="08B517AD"/>
    <w:rsid w:val="08B517DE"/>
    <w:rsid w:val="08B517EB"/>
    <w:rsid w:val="08B51885"/>
    <w:rsid w:val="08B518B6"/>
    <w:rsid w:val="08B51920"/>
    <w:rsid w:val="08B519C7"/>
    <w:rsid w:val="08B519E1"/>
    <w:rsid w:val="08B519EB"/>
    <w:rsid w:val="08B51A07"/>
    <w:rsid w:val="08B51A28"/>
    <w:rsid w:val="08B51ACE"/>
    <w:rsid w:val="08B51B54"/>
    <w:rsid w:val="08B51B72"/>
    <w:rsid w:val="08B51B91"/>
    <w:rsid w:val="08B51CA6"/>
    <w:rsid w:val="08B51DEB"/>
    <w:rsid w:val="08B51F23"/>
    <w:rsid w:val="08B51F62"/>
    <w:rsid w:val="08B51F74"/>
    <w:rsid w:val="08B520B4"/>
    <w:rsid w:val="08B520F0"/>
    <w:rsid w:val="08B52193"/>
    <w:rsid w:val="08B521D2"/>
    <w:rsid w:val="08B52212"/>
    <w:rsid w:val="08B52279"/>
    <w:rsid w:val="08B522F7"/>
    <w:rsid w:val="08B522FD"/>
    <w:rsid w:val="08B5231C"/>
    <w:rsid w:val="08B5234C"/>
    <w:rsid w:val="08B52388"/>
    <w:rsid w:val="08B523EE"/>
    <w:rsid w:val="08B524C2"/>
    <w:rsid w:val="08B5253C"/>
    <w:rsid w:val="08B52582"/>
    <w:rsid w:val="08B5261B"/>
    <w:rsid w:val="08B5261D"/>
    <w:rsid w:val="08B526EA"/>
    <w:rsid w:val="08B527C7"/>
    <w:rsid w:val="08B527FA"/>
    <w:rsid w:val="08B52925"/>
    <w:rsid w:val="08B52A61"/>
    <w:rsid w:val="08B52A78"/>
    <w:rsid w:val="08B52B30"/>
    <w:rsid w:val="08B52D1B"/>
    <w:rsid w:val="08B52D25"/>
    <w:rsid w:val="08B52D64"/>
    <w:rsid w:val="08B52DF1"/>
    <w:rsid w:val="08B52E30"/>
    <w:rsid w:val="08B52E9A"/>
    <w:rsid w:val="08B52EDF"/>
    <w:rsid w:val="08B52F89"/>
    <w:rsid w:val="08B5301A"/>
    <w:rsid w:val="08B5304E"/>
    <w:rsid w:val="08B53104"/>
    <w:rsid w:val="08B5318C"/>
    <w:rsid w:val="08B531C0"/>
    <w:rsid w:val="08B531C1"/>
    <w:rsid w:val="08B53244"/>
    <w:rsid w:val="08B5334E"/>
    <w:rsid w:val="08B533BA"/>
    <w:rsid w:val="08B533D9"/>
    <w:rsid w:val="08B533E3"/>
    <w:rsid w:val="08B53470"/>
    <w:rsid w:val="08B534A1"/>
    <w:rsid w:val="08B536E4"/>
    <w:rsid w:val="08B53726"/>
    <w:rsid w:val="08B53826"/>
    <w:rsid w:val="08B53844"/>
    <w:rsid w:val="08B538B4"/>
    <w:rsid w:val="08B53905"/>
    <w:rsid w:val="08B53910"/>
    <w:rsid w:val="08B53970"/>
    <w:rsid w:val="08B53B48"/>
    <w:rsid w:val="08B53C00"/>
    <w:rsid w:val="08B53C23"/>
    <w:rsid w:val="08B53C71"/>
    <w:rsid w:val="08B53D2D"/>
    <w:rsid w:val="08B53DFD"/>
    <w:rsid w:val="08B53EBB"/>
    <w:rsid w:val="08B53F19"/>
    <w:rsid w:val="08B53F52"/>
    <w:rsid w:val="08B53FA4"/>
    <w:rsid w:val="08B53FEE"/>
    <w:rsid w:val="08B540AB"/>
    <w:rsid w:val="08B540AD"/>
    <w:rsid w:val="08B540DD"/>
    <w:rsid w:val="08B540FA"/>
    <w:rsid w:val="08B54153"/>
    <w:rsid w:val="08B54162"/>
    <w:rsid w:val="08B54296"/>
    <w:rsid w:val="08B542CE"/>
    <w:rsid w:val="08B54317"/>
    <w:rsid w:val="08B5435C"/>
    <w:rsid w:val="08B544AF"/>
    <w:rsid w:val="08B54574"/>
    <w:rsid w:val="08B54576"/>
    <w:rsid w:val="08B54587"/>
    <w:rsid w:val="08B54588"/>
    <w:rsid w:val="08B545BE"/>
    <w:rsid w:val="08B545FF"/>
    <w:rsid w:val="08B54614"/>
    <w:rsid w:val="08B546A4"/>
    <w:rsid w:val="08B547DE"/>
    <w:rsid w:val="08B5480E"/>
    <w:rsid w:val="08B54869"/>
    <w:rsid w:val="08B549BA"/>
    <w:rsid w:val="08B54A07"/>
    <w:rsid w:val="08B54AC9"/>
    <w:rsid w:val="08B54AFB"/>
    <w:rsid w:val="08B54C7D"/>
    <w:rsid w:val="08B54C88"/>
    <w:rsid w:val="08B54D62"/>
    <w:rsid w:val="08B54DDC"/>
    <w:rsid w:val="08B54E14"/>
    <w:rsid w:val="08B54E94"/>
    <w:rsid w:val="08B54EF8"/>
    <w:rsid w:val="08B54F56"/>
    <w:rsid w:val="08B54F5A"/>
    <w:rsid w:val="08B54F8C"/>
    <w:rsid w:val="08B54FAF"/>
    <w:rsid w:val="08B55030"/>
    <w:rsid w:val="08B5503A"/>
    <w:rsid w:val="08B551FB"/>
    <w:rsid w:val="08B55287"/>
    <w:rsid w:val="08B552AB"/>
    <w:rsid w:val="08B55347"/>
    <w:rsid w:val="08B55531"/>
    <w:rsid w:val="08B555E3"/>
    <w:rsid w:val="08B557BA"/>
    <w:rsid w:val="08B55810"/>
    <w:rsid w:val="08B5584E"/>
    <w:rsid w:val="08B5587A"/>
    <w:rsid w:val="08B5589E"/>
    <w:rsid w:val="08B558AF"/>
    <w:rsid w:val="08B559A9"/>
    <w:rsid w:val="08B559FC"/>
    <w:rsid w:val="08B55A80"/>
    <w:rsid w:val="08B55A85"/>
    <w:rsid w:val="08B55AA3"/>
    <w:rsid w:val="08B55ACE"/>
    <w:rsid w:val="08B55ADC"/>
    <w:rsid w:val="08B55AF1"/>
    <w:rsid w:val="08B55AFB"/>
    <w:rsid w:val="08B55B05"/>
    <w:rsid w:val="08B55BB7"/>
    <w:rsid w:val="08B55C7A"/>
    <w:rsid w:val="08B55DF2"/>
    <w:rsid w:val="08B55E66"/>
    <w:rsid w:val="08B55EF0"/>
    <w:rsid w:val="08B55F58"/>
    <w:rsid w:val="08B55F98"/>
    <w:rsid w:val="08B55FC3"/>
    <w:rsid w:val="08B56008"/>
    <w:rsid w:val="08B56010"/>
    <w:rsid w:val="08B56067"/>
    <w:rsid w:val="08B56117"/>
    <w:rsid w:val="08B5614F"/>
    <w:rsid w:val="08B56167"/>
    <w:rsid w:val="08B56203"/>
    <w:rsid w:val="08B562E7"/>
    <w:rsid w:val="08B56367"/>
    <w:rsid w:val="08B563BE"/>
    <w:rsid w:val="08B56405"/>
    <w:rsid w:val="08B564DA"/>
    <w:rsid w:val="08B5666B"/>
    <w:rsid w:val="08B56743"/>
    <w:rsid w:val="08B56763"/>
    <w:rsid w:val="08B567A8"/>
    <w:rsid w:val="08B5682D"/>
    <w:rsid w:val="08B5688A"/>
    <w:rsid w:val="08B5690D"/>
    <w:rsid w:val="08B5693E"/>
    <w:rsid w:val="08B569E3"/>
    <w:rsid w:val="08B56A65"/>
    <w:rsid w:val="08B56A97"/>
    <w:rsid w:val="08B56AD1"/>
    <w:rsid w:val="08B56B88"/>
    <w:rsid w:val="08B56BC8"/>
    <w:rsid w:val="08B56C26"/>
    <w:rsid w:val="08B56C2C"/>
    <w:rsid w:val="08B56CE5"/>
    <w:rsid w:val="08B56DBC"/>
    <w:rsid w:val="08B56EBE"/>
    <w:rsid w:val="08B56EEB"/>
    <w:rsid w:val="08B56FDF"/>
    <w:rsid w:val="08B57112"/>
    <w:rsid w:val="08B571BD"/>
    <w:rsid w:val="08B572F0"/>
    <w:rsid w:val="08B57318"/>
    <w:rsid w:val="08B573C4"/>
    <w:rsid w:val="08B573CE"/>
    <w:rsid w:val="08B57426"/>
    <w:rsid w:val="08B5742A"/>
    <w:rsid w:val="08B5748B"/>
    <w:rsid w:val="08B574C2"/>
    <w:rsid w:val="08B57503"/>
    <w:rsid w:val="08B5759A"/>
    <w:rsid w:val="08B57645"/>
    <w:rsid w:val="08B576CF"/>
    <w:rsid w:val="08B57707"/>
    <w:rsid w:val="08B57759"/>
    <w:rsid w:val="08B5776D"/>
    <w:rsid w:val="08B57777"/>
    <w:rsid w:val="08B5777E"/>
    <w:rsid w:val="08B57783"/>
    <w:rsid w:val="08B577AE"/>
    <w:rsid w:val="08B57819"/>
    <w:rsid w:val="08B57881"/>
    <w:rsid w:val="08B57895"/>
    <w:rsid w:val="08B578BE"/>
    <w:rsid w:val="08B578CD"/>
    <w:rsid w:val="08B57933"/>
    <w:rsid w:val="08B57987"/>
    <w:rsid w:val="08B57A32"/>
    <w:rsid w:val="08B57A9C"/>
    <w:rsid w:val="08B57B96"/>
    <w:rsid w:val="08B57BD0"/>
    <w:rsid w:val="08B57BE0"/>
    <w:rsid w:val="08B57BF8"/>
    <w:rsid w:val="08B57BF9"/>
    <w:rsid w:val="08B57D63"/>
    <w:rsid w:val="08B57D91"/>
    <w:rsid w:val="08B57DE2"/>
    <w:rsid w:val="08B57E1D"/>
    <w:rsid w:val="08B57E73"/>
    <w:rsid w:val="08B57FDD"/>
    <w:rsid w:val="08B60033"/>
    <w:rsid w:val="08B6006C"/>
    <w:rsid w:val="08B60083"/>
    <w:rsid w:val="08B600AD"/>
    <w:rsid w:val="08B6019B"/>
    <w:rsid w:val="08B6024F"/>
    <w:rsid w:val="08B60295"/>
    <w:rsid w:val="08B60376"/>
    <w:rsid w:val="08B6044E"/>
    <w:rsid w:val="08B60463"/>
    <w:rsid w:val="08B60480"/>
    <w:rsid w:val="08B604FB"/>
    <w:rsid w:val="08B60556"/>
    <w:rsid w:val="08B605B3"/>
    <w:rsid w:val="08B605D2"/>
    <w:rsid w:val="08B60634"/>
    <w:rsid w:val="08B606B6"/>
    <w:rsid w:val="08B60794"/>
    <w:rsid w:val="08B607FA"/>
    <w:rsid w:val="08B6094A"/>
    <w:rsid w:val="08B6096E"/>
    <w:rsid w:val="08B609CF"/>
    <w:rsid w:val="08B609F0"/>
    <w:rsid w:val="08B609FA"/>
    <w:rsid w:val="08B60B06"/>
    <w:rsid w:val="08B60B37"/>
    <w:rsid w:val="08B60B58"/>
    <w:rsid w:val="08B60B87"/>
    <w:rsid w:val="08B60D0E"/>
    <w:rsid w:val="08B60D2C"/>
    <w:rsid w:val="08B60DFD"/>
    <w:rsid w:val="08B60E00"/>
    <w:rsid w:val="08B60E18"/>
    <w:rsid w:val="08B60F72"/>
    <w:rsid w:val="08B6112C"/>
    <w:rsid w:val="08B6116D"/>
    <w:rsid w:val="08B6133B"/>
    <w:rsid w:val="08B613A6"/>
    <w:rsid w:val="08B61441"/>
    <w:rsid w:val="08B6145B"/>
    <w:rsid w:val="08B61477"/>
    <w:rsid w:val="08B61603"/>
    <w:rsid w:val="08B616AA"/>
    <w:rsid w:val="08B616FC"/>
    <w:rsid w:val="08B6179F"/>
    <w:rsid w:val="08B617B6"/>
    <w:rsid w:val="08B61833"/>
    <w:rsid w:val="08B6185A"/>
    <w:rsid w:val="08B618C5"/>
    <w:rsid w:val="08B619A4"/>
    <w:rsid w:val="08B619D4"/>
    <w:rsid w:val="08B61AB1"/>
    <w:rsid w:val="08B61AEE"/>
    <w:rsid w:val="08B61BA4"/>
    <w:rsid w:val="08B61BE2"/>
    <w:rsid w:val="08B61C8E"/>
    <w:rsid w:val="08B61E7B"/>
    <w:rsid w:val="08B61EB3"/>
    <w:rsid w:val="08B61ECD"/>
    <w:rsid w:val="08B61F2D"/>
    <w:rsid w:val="08B61F86"/>
    <w:rsid w:val="08B62064"/>
    <w:rsid w:val="08B620DC"/>
    <w:rsid w:val="08B6211C"/>
    <w:rsid w:val="08B621AB"/>
    <w:rsid w:val="08B621E5"/>
    <w:rsid w:val="08B6223F"/>
    <w:rsid w:val="08B62255"/>
    <w:rsid w:val="08B6226B"/>
    <w:rsid w:val="08B62324"/>
    <w:rsid w:val="08B62372"/>
    <w:rsid w:val="08B623F0"/>
    <w:rsid w:val="08B62508"/>
    <w:rsid w:val="08B626B0"/>
    <w:rsid w:val="08B626C4"/>
    <w:rsid w:val="08B62709"/>
    <w:rsid w:val="08B627FD"/>
    <w:rsid w:val="08B6284D"/>
    <w:rsid w:val="08B628C8"/>
    <w:rsid w:val="08B62BE3"/>
    <w:rsid w:val="08B62BF8"/>
    <w:rsid w:val="08B62C43"/>
    <w:rsid w:val="08B62C8C"/>
    <w:rsid w:val="08B62CA7"/>
    <w:rsid w:val="08B62D6E"/>
    <w:rsid w:val="08B62E47"/>
    <w:rsid w:val="08B62EAF"/>
    <w:rsid w:val="08B62EC1"/>
    <w:rsid w:val="08B62F6E"/>
    <w:rsid w:val="08B62F70"/>
    <w:rsid w:val="08B63071"/>
    <w:rsid w:val="08B63101"/>
    <w:rsid w:val="08B63145"/>
    <w:rsid w:val="08B63155"/>
    <w:rsid w:val="08B6324F"/>
    <w:rsid w:val="08B63261"/>
    <w:rsid w:val="08B63270"/>
    <w:rsid w:val="08B633AF"/>
    <w:rsid w:val="08B63431"/>
    <w:rsid w:val="08B63499"/>
    <w:rsid w:val="08B634A9"/>
    <w:rsid w:val="08B63510"/>
    <w:rsid w:val="08B6362B"/>
    <w:rsid w:val="08B6364C"/>
    <w:rsid w:val="08B6368E"/>
    <w:rsid w:val="08B6373B"/>
    <w:rsid w:val="08B6381F"/>
    <w:rsid w:val="08B63846"/>
    <w:rsid w:val="08B63940"/>
    <w:rsid w:val="08B639EB"/>
    <w:rsid w:val="08B63A16"/>
    <w:rsid w:val="08B63A49"/>
    <w:rsid w:val="08B63A87"/>
    <w:rsid w:val="08B63B40"/>
    <w:rsid w:val="08B63B7C"/>
    <w:rsid w:val="08B63B7D"/>
    <w:rsid w:val="08B63BE3"/>
    <w:rsid w:val="08B63C04"/>
    <w:rsid w:val="08B63D08"/>
    <w:rsid w:val="08B63ED0"/>
    <w:rsid w:val="08B641B9"/>
    <w:rsid w:val="08B64287"/>
    <w:rsid w:val="08B64304"/>
    <w:rsid w:val="08B6430C"/>
    <w:rsid w:val="08B643FA"/>
    <w:rsid w:val="08B645CE"/>
    <w:rsid w:val="08B645FE"/>
    <w:rsid w:val="08B64649"/>
    <w:rsid w:val="08B64657"/>
    <w:rsid w:val="08B64664"/>
    <w:rsid w:val="08B64693"/>
    <w:rsid w:val="08B6470B"/>
    <w:rsid w:val="08B64722"/>
    <w:rsid w:val="08B647D3"/>
    <w:rsid w:val="08B64822"/>
    <w:rsid w:val="08B64846"/>
    <w:rsid w:val="08B64898"/>
    <w:rsid w:val="08B64902"/>
    <w:rsid w:val="08B64913"/>
    <w:rsid w:val="08B6492C"/>
    <w:rsid w:val="08B649CF"/>
    <w:rsid w:val="08B649E7"/>
    <w:rsid w:val="08B64A99"/>
    <w:rsid w:val="08B64AAE"/>
    <w:rsid w:val="08B64AE0"/>
    <w:rsid w:val="08B64B21"/>
    <w:rsid w:val="08B64B51"/>
    <w:rsid w:val="08B64BD9"/>
    <w:rsid w:val="08B64C26"/>
    <w:rsid w:val="08B64D0A"/>
    <w:rsid w:val="08B64D5A"/>
    <w:rsid w:val="08B64DA2"/>
    <w:rsid w:val="08B64E74"/>
    <w:rsid w:val="08B64FDE"/>
    <w:rsid w:val="08B650AF"/>
    <w:rsid w:val="08B650B6"/>
    <w:rsid w:val="08B650FF"/>
    <w:rsid w:val="08B65103"/>
    <w:rsid w:val="08B65119"/>
    <w:rsid w:val="08B65126"/>
    <w:rsid w:val="08B6514D"/>
    <w:rsid w:val="08B65160"/>
    <w:rsid w:val="08B65163"/>
    <w:rsid w:val="08B65173"/>
    <w:rsid w:val="08B651A8"/>
    <w:rsid w:val="08B651CC"/>
    <w:rsid w:val="08B65298"/>
    <w:rsid w:val="08B65329"/>
    <w:rsid w:val="08B6546D"/>
    <w:rsid w:val="08B65593"/>
    <w:rsid w:val="08B655B1"/>
    <w:rsid w:val="08B655D0"/>
    <w:rsid w:val="08B655D6"/>
    <w:rsid w:val="08B65614"/>
    <w:rsid w:val="08B65678"/>
    <w:rsid w:val="08B6573A"/>
    <w:rsid w:val="08B65763"/>
    <w:rsid w:val="08B65788"/>
    <w:rsid w:val="08B657D1"/>
    <w:rsid w:val="08B65891"/>
    <w:rsid w:val="08B6589E"/>
    <w:rsid w:val="08B658FC"/>
    <w:rsid w:val="08B65995"/>
    <w:rsid w:val="08B65A2A"/>
    <w:rsid w:val="08B65A4F"/>
    <w:rsid w:val="08B65AF1"/>
    <w:rsid w:val="08B65B31"/>
    <w:rsid w:val="08B65B41"/>
    <w:rsid w:val="08B65D5C"/>
    <w:rsid w:val="08B65F06"/>
    <w:rsid w:val="08B65FFD"/>
    <w:rsid w:val="08B660EA"/>
    <w:rsid w:val="08B66134"/>
    <w:rsid w:val="08B66175"/>
    <w:rsid w:val="08B6619F"/>
    <w:rsid w:val="08B661B0"/>
    <w:rsid w:val="08B661CC"/>
    <w:rsid w:val="08B661EC"/>
    <w:rsid w:val="08B66303"/>
    <w:rsid w:val="08B66380"/>
    <w:rsid w:val="08B6639E"/>
    <w:rsid w:val="08B66407"/>
    <w:rsid w:val="08B664CF"/>
    <w:rsid w:val="08B6652F"/>
    <w:rsid w:val="08B665F6"/>
    <w:rsid w:val="08B66678"/>
    <w:rsid w:val="08B666CB"/>
    <w:rsid w:val="08B66704"/>
    <w:rsid w:val="08B6672C"/>
    <w:rsid w:val="08B66764"/>
    <w:rsid w:val="08B6679D"/>
    <w:rsid w:val="08B669CC"/>
    <w:rsid w:val="08B669F7"/>
    <w:rsid w:val="08B66ADF"/>
    <w:rsid w:val="08B66C25"/>
    <w:rsid w:val="08B66D7E"/>
    <w:rsid w:val="08B66EAF"/>
    <w:rsid w:val="08B66FB8"/>
    <w:rsid w:val="08B6709F"/>
    <w:rsid w:val="08B671E8"/>
    <w:rsid w:val="08B67204"/>
    <w:rsid w:val="08B67236"/>
    <w:rsid w:val="08B6723D"/>
    <w:rsid w:val="08B672CD"/>
    <w:rsid w:val="08B672E1"/>
    <w:rsid w:val="08B672E7"/>
    <w:rsid w:val="08B673BB"/>
    <w:rsid w:val="08B67410"/>
    <w:rsid w:val="08B67484"/>
    <w:rsid w:val="08B675E3"/>
    <w:rsid w:val="08B6760E"/>
    <w:rsid w:val="08B676AA"/>
    <w:rsid w:val="08B676B3"/>
    <w:rsid w:val="08B67777"/>
    <w:rsid w:val="08B677F1"/>
    <w:rsid w:val="08B67825"/>
    <w:rsid w:val="08B67875"/>
    <w:rsid w:val="08B678BD"/>
    <w:rsid w:val="08B678E8"/>
    <w:rsid w:val="08B6792F"/>
    <w:rsid w:val="08B67A31"/>
    <w:rsid w:val="08B67B42"/>
    <w:rsid w:val="08B67B89"/>
    <w:rsid w:val="08B67CF9"/>
    <w:rsid w:val="08B67D2C"/>
    <w:rsid w:val="08B67DC7"/>
    <w:rsid w:val="08B67E1D"/>
    <w:rsid w:val="08B67EC8"/>
    <w:rsid w:val="08B67EF5"/>
    <w:rsid w:val="08B67FE2"/>
    <w:rsid w:val="08B700B5"/>
    <w:rsid w:val="08B7012E"/>
    <w:rsid w:val="08B7013E"/>
    <w:rsid w:val="08B701C0"/>
    <w:rsid w:val="08B701E9"/>
    <w:rsid w:val="08B70269"/>
    <w:rsid w:val="08B7039C"/>
    <w:rsid w:val="08B7040E"/>
    <w:rsid w:val="08B704A1"/>
    <w:rsid w:val="08B7050B"/>
    <w:rsid w:val="08B706B1"/>
    <w:rsid w:val="08B70702"/>
    <w:rsid w:val="08B7077B"/>
    <w:rsid w:val="08B70781"/>
    <w:rsid w:val="08B707D2"/>
    <w:rsid w:val="08B7091D"/>
    <w:rsid w:val="08B70922"/>
    <w:rsid w:val="08B70923"/>
    <w:rsid w:val="08B709E3"/>
    <w:rsid w:val="08B70A3C"/>
    <w:rsid w:val="08B70A78"/>
    <w:rsid w:val="08B70AA0"/>
    <w:rsid w:val="08B70B01"/>
    <w:rsid w:val="08B70B11"/>
    <w:rsid w:val="08B70B4B"/>
    <w:rsid w:val="08B70B59"/>
    <w:rsid w:val="08B70BC1"/>
    <w:rsid w:val="08B70C12"/>
    <w:rsid w:val="08B70C2D"/>
    <w:rsid w:val="08B70C8D"/>
    <w:rsid w:val="08B70CC2"/>
    <w:rsid w:val="08B70CF9"/>
    <w:rsid w:val="08B70D73"/>
    <w:rsid w:val="08B70DBE"/>
    <w:rsid w:val="08B70E52"/>
    <w:rsid w:val="08B70F0B"/>
    <w:rsid w:val="08B70F1F"/>
    <w:rsid w:val="08B70F88"/>
    <w:rsid w:val="08B7113A"/>
    <w:rsid w:val="08B71186"/>
    <w:rsid w:val="08B711E0"/>
    <w:rsid w:val="08B711E8"/>
    <w:rsid w:val="08B712B8"/>
    <w:rsid w:val="08B71351"/>
    <w:rsid w:val="08B71479"/>
    <w:rsid w:val="08B71587"/>
    <w:rsid w:val="08B7159F"/>
    <w:rsid w:val="08B715FC"/>
    <w:rsid w:val="08B715FE"/>
    <w:rsid w:val="08B7160B"/>
    <w:rsid w:val="08B7161E"/>
    <w:rsid w:val="08B71727"/>
    <w:rsid w:val="08B717D0"/>
    <w:rsid w:val="08B71882"/>
    <w:rsid w:val="08B718B5"/>
    <w:rsid w:val="08B718D2"/>
    <w:rsid w:val="08B71931"/>
    <w:rsid w:val="08B719FE"/>
    <w:rsid w:val="08B71B02"/>
    <w:rsid w:val="08B71B57"/>
    <w:rsid w:val="08B71C50"/>
    <w:rsid w:val="08B71CCD"/>
    <w:rsid w:val="08B71D18"/>
    <w:rsid w:val="08B71D62"/>
    <w:rsid w:val="08B71D78"/>
    <w:rsid w:val="08B71D9C"/>
    <w:rsid w:val="08B71DC6"/>
    <w:rsid w:val="08B71E1D"/>
    <w:rsid w:val="08B71EF5"/>
    <w:rsid w:val="08B71EFE"/>
    <w:rsid w:val="08B71F32"/>
    <w:rsid w:val="08B71F78"/>
    <w:rsid w:val="08B71F95"/>
    <w:rsid w:val="08B72026"/>
    <w:rsid w:val="08B720AA"/>
    <w:rsid w:val="08B720C6"/>
    <w:rsid w:val="08B72218"/>
    <w:rsid w:val="08B72223"/>
    <w:rsid w:val="08B7223D"/>
    <w:rsid w:val="08B72259"/>
    <w:rsid w:val="08B72264"/>
    <w:rsid w:val="08B722E2"/>
    <w:rsid w:val="08B722EF"/>
    <w:rsid w:val="08B722FB"/>
    <w:rsid w:val="08B72379"/>
    <w:rsid w:val="08B723AA"/>
    <w:rsid w:val="08B72434"/>
    <w:rsid w:val="08B7246B"/>
    <w:rsid w:val="08B72557"/>
    <w:rsid w:val="08B725AC"/>
    <w:rsid w:val="08B726EF"/>
    <w:rsid w:val="08B7279B"/>
    <w:rsid w:val="08B72826"/>
    <w:rsid w:val="08B72841"/>
    <w:rsid w:val="08B72932"/>
    <w:rsid w:val="08B729A8"/>
    <w:rsid w:val="08B729DF"/>
    <w:rsid w:val="08B72A12"/>
    <w:rsid w:val="08B72BD3"/>
    <w:rsid w:val="08B72C36"/>
    <w:rsid w:val="08B72C39"/>
    <w:rsid w:val="08B72C52"/>
    <w:rsid w:val="08B72CC5"/>
    <w:rsid w:val="08B72E1B"/>
    <w:rsid w:val="08B72F37"/>
    <w:rsid w:val="08B72F9E"/>
    <w:rsid w:val="08B72FCE"/>
    <w:rsid w:val="08B72FE4"/>
    <w:rsid w:val="08B73129"/>
    <w:rsid w:val="08B7325B"/>
    <w:rsid w:val="08B73286"/>
    <w:rsid w:val="08B73296"/>
    <w:rsid w:val="08B732FD"/>
    <w:rsid w:val="08B7335A"/>
    <w:rsid w:val="08B73468"/>
    <w:rsid w:val="08B734C4"/>
    <w:rsid w:val="08B735F7"/>
    <w:rsid w:val="08B7361C"/>
    <w:rsid w:val="08B736A4"/>
    <w:rsid w:val="08B736B8"/>
    <w:rsid w:val="08B7379D"/>
    <w:rsid w:val="08B737BC"/>
    <w:rsid w:val="08B7383F"/>
    <w:rsid w:val="08B739F3"/>
    <w:rsid w:val="08B73A22"/>
    <w:rsid w:val="08B73A3D"/>
    <w:rsid w:val="08B73A89"/>
    <w:rsid w:val="08B73BEB"/>
    <w:rsid w:val="08B73C0E"/>
    <w:rsid w:val="08B73C49"/>
    <w:rsid w:val="08B73C72"/>
    <w:rsid w:val="08B73CEE"/>
    <w:rsid w:val="08B73E48"/>
    <w:rsid w:val="08B73E78"/>
    <w:rsid w:val="08B73ED4"/>
    <w:rsid w:val="08B73ED9"/>
    <w:rsid w:val="08B73EF7"/>
    <w:rsid w:val="08B73F9C"/>
    <w:rsid w:val="08B73FF5"/>
    <w:rsid w:val="08B73FFA"/>
    <w:rsid w:val="08B74068"/>
    <w:rsid w:val="08B74195"/>
    <w:rsid w:val="08B741B3"/>
    <w:rsid w:val="08B741B4"/>
    <w:rsid w:val="08B741B9"/>
    <w:rsid w:val="08B7423E"/>
    <w:rsid w:val="08B743A2"/>
    <w:rsid w:val="08B7446F"/>
    <w:rsid w:val="08B74513"/>
    <w:rsid w:val="08B74535"/>
    <w:rsid w:val="08B7455B"/>
    <w:rsid w:val="08B745D7"/>
    <w:rsid w:val="08B745E0"/>
    <w:rsid w:val="08B746AA"/>
    <w:rsid w:val="08B74709"/>
    <w:rsid w:val="08B74745"/>
    <w:rsid w:val="08B747E8"/>
    <w:rsid w:val="08B748E3"/>
    <w:rsid w:val="08B7492C"/>
    <w:rsid w:val="08B7495F"/>
    <w:rsid w:val="08B74992"/>
    <w:rsid w:val="08B749FD"/>
    <w:rsid w:val="08B74A71"/>
    <w:rsid w:val="08B74A85"/>
    <w:rsid w:val="08B74AFA"/>
    <w:rsid w:val="08B74B23"/>
    <w:rsid w:val="08B74BE7"/>
    <w:rsid w:val="08B74C34"/>
    <w:rsid w:val="08B74C8A"/>
    <w:rsid w:val="08B74CDE"/>
    <w:rsid w:val="08B74D53"/>
    <w:rsid w:val="08B74E1C"/>
    <w:rsid w:val="08B74E41"/>
    <w:rsid w:val="08B74E83"/>
    <w:rsid w:val="08B74E96"/>
    <w:rsid w:val="08B74EAC"/>
    <w:rsid w:val="08B74ECD"/>
    <w:rsid w:val="08B751EC"/>
    <w:rsid w:val="08B752B8"/>
    <w:rsid w:val="08B752C9"/>
    <w:rsid w:val="08B75301"/>
    <w:rsid w:val="08B75309"/>
    <w:rsid w:val="08B75336"/>
    <w:rsid w:val="08B7536B"/>
    <w:rsid w:val="08B75436"/>
    <w:rsid w:val="08B7547E"/>
    <w:rsid w:val="08B75488"/>
    <w:rsid w:val="08B75551"/>
    <w:rsid w:val="08B7567F"/>
    <w:rsid w:val="08B75798"/>
    <w:rsid w:val="08B75834"/>
    <w:rsid w:val="08B75859"/>
    <w:rsid w:val="08B758D6"/>
    <w:rsid w:val="08B75986"/>
    <w:rsid w:val="08B759A6"/>
    <w:rsid w:val="08B759F2"/>
    <w:rsid w:val="08B75A1E"/>
    <w:rsid w:val="08B75A20"/>
    <w:rsid w:val="08B75B51"/>
    <w:rsid w:val="08B75DC5"/>
    <w:rsid w:val="08B75DE2"/>
    <w:rsid w:val="08B75E49"/>
    <w:rsid w:val="08B75E6A"/>
    <w:rsid w:val="08B75EA2"/>
    <w:rsid w:val="08B76078"/>
    <w:rsid w:val="08B7611E"/>
    <w:rsid w:val="08B7613A"/>
    <w:rsid w:val="08B761B0"/>
    <w:rsid w:val="08B761FA"/>
    <w:rsid w:val="08B7622F"/>
    <w:rsid w:val="08B76272"/>
    <w:rsid w:val="08B763D3"/>
    <w:rsid w:val="08B764EE"/>
    <w:rsid w:val="08B764F9"/>
    <w:rsid w:val="08B7652E"/>
    <w:rsid w:val="08B767F5"/>
    <w:rsid w:val="08B7681F"/>
    <w:rsid w:val="08B7696B"/>
    <w:rsid w:val="08B769A9"/>
    <w:rsid w:val="08B769D2"/>
    <w:rsid w:val="08B769FF"/>
    <w:rsid w:val="08B76A22"/>
    <w:rsid w:val="08B76ADD"/>
    <w:rsid w:val="08B76BCB"/>
    <w:rsid w:val="08B76CA3"/>
    <w:rsid w:val="08B76D41"/>
    <w:rsid w:val="08B76DDA"/>
    <w:rsid w:val="08B76E18"/>
    <w:rsid w:val="08B76E2E"/>
    <w:rsid w:val="08B76E72"/>
    <w:rsid w:val="08B76E9E"/>
    <w:rsid w:val="08B76EF7"/>
    <w:rsid w:val="08B76F33"/>
    <w:rsid w:val="08B76F56"/>
    <w:rsid w:val="08B76FB3"/>
    <w:rsid w:val="08B76FE7"/>
    <w:rsid w:val="08B77000"/>
    <w:rsid w:val="08B77187"/>
    <w:rsid w:val="08B7719E"/>
    <w:rsid w:val="08B772BA"/>
    <w:rsid w:val="08B7751E"/>
    <w:rsid w:val="08B77596"/>
    <w:rsid w:val="08B77861"/>
    <w:rsid w:val="08B778BE"/>
    <w:rsid w:val="08B779F5"/>
    <w:rsid w:val="08B779FC"/>
    <w:rsid w:val="08B77AFA"/>
    <w:rsid w:val="08B77B44"/>
    <w:rsid w:val="08B77B57"/>
    <w:rsid w:val="08B77BF8"/>
    <w:rsid w:val="08B77C05"/>
    <w:rsid w:val="08B77C48"/>
    <w:rsid w:val="08B77C57"/>
    <w:rsid w:val="08B77C5A"/>
    <w:rsid w:val="08B77C69"/>
    <w:rsid w:val="08B77CAA"/>
    <w:rsid w:val="08B77CC9"/>
    <w:rsid w:val="08B77D14"/>
    <w:rsid w:val="08B77D8E"/>
    <w:rsid w:val="08B77EC9"/>
    <w:rsid w:val="08B77ED5"/>
    <w:rsid w:val="08B80030"/>
    <w:rsid w:val="08B800A7"/>
    <w:rsid w:val="08B80175"/>
    <w:rsid w:val="08B801FF"/>
    <w:rsid w:val="08B8020B"/>
    <w:rsid w:val="08B8021E"/>
    <w:rsid w:val="08B8024D"/>
    <w:rsid w:val="08B80303"/>
    <w:rsid w:val="08B80310"/>
    <w:rsid w:val="08B80350"/>
    <w:rsid w:val="08B80464"/>
    <w:rsid w:val="08B8050F"/>
    <w:rsid w:val="08B805A6"/>
    <w:rsid w:val="08B805A9"/>
    <w:rsid w:val="08B8062F"/>
    <w:rsid w:val="08B80678"/>
    <w:rsid w:val="08B8070F"/>
    <w:rsid w:val="08B807C0"/>
    <w:rsid w:val="08B80813"/>
    <w:rsid w:val="08B80864"/>
    <w:rsid w:val="08B808A7"/>
    <w:rsid w:val="08B808E3"/>
    <w:rsid w:val="08B8092D"/>
    <w:rsid w:val="08B809A4"/>
    <w:rsid w:val="08B80AA4"/>
    <w:rsid w:val="08B80BBC"/>
    <w:rsid w:val="08B80C33"/>
    <w:rsid w:val="08B80C46"/>
    <w:rsid w:val="08B80C51"/>
    <w:rsid w:val="08B80CEA"/>
    <w:rsid w:val="08B80D83"/>
    <w:rsid w:val="08B80F60"/>
    <w:rsid w:val="08B8103E"/>
    <w:rsid w:val="08B81044"/>
    <w:rsid w:val="08B810A3"/>
    <w:rsid w:val="08B81159"/>
    <w:rsid w:val="08B811E1"/>
    <w:rsid w:val="08B812B2"/>
    <w:rsid w:val="08B8133A"/>
    <w:rsid w:val="08B81375"/>
    <w:rsid w:val="08B813FE"/>
    <w:rsid w:val="08B81407"/>
    <w:rsid w:val="08B815AE"/>
    <w:rsid w:val="08B815D1"/>
    <w:rsid w:val="08B815D6"/>
    <w:rsid w:val="08B816D4"/>
    <w:rsid w:val="08B816F8"/>
    <w:rsid w:val="08B816FD"/>
    <w:rsid w:val="08B817E9"/>
    <w:rsid w:val="08B817EA"/>
    <w:rsid w:val="08B81829"/>
    <w:rsid w:val="08B8186C"/>
    <w:rsid w:val="08B81870"/>
    <w:rsid w:val="08B818E4"/>
    <w:rsid w:val="08B81993"/>
    <w:rsid w:val="08B819E7"/>
    <w:rsid w:val="08B81AA2"/>
    <w:rsid w:val="08B81AEE"/>
    <w:rsid w:val="08B81B22"/>
    <w:rsid w:val="08B81B27"/>
    <w:rsid w:val="08B81BED"/>
    <w:rsid w:val="08B81C2D"/>
    <w:rsid w:val="08B81C6B"/>
    <w:rsid w:val="08B81D5D"/>
    <w:rsid w:val="08B81DE2"/>
    <w:rsid w:val="08B81DEB"/>
    <w:rsid w:val="08B81E61"/>
    <w:rsid w:val="08B81E9A"/>
    <w:rsid w:val="08B81EB1"/>
    <w:rsid w:val="08B81EF1"/>
    <w:rsid w:val="08B81F9F"/>
    <w:rsid w:val="08B81FD5"/>
    <w:rsid w:val="08B81FE1"/>
    <w:rsid w:val="08B82062"/>
    <w:rsid w:val="08B820D1"/>
    <w:rsid w:val="08B8211A"/>
    <w:rsid w:val="08B82146"/>
    <w:rsid w:val="08B82267"/>
    <w:rsid w:val="08B8226D"/>
    <w:rsid w:val="08B82290"/>
    <w:rsid w:val="08B822C4"/>
    <w:rsid w:val="08B82363"/>
    <w:rsid w:val="08B823B1"/>
    <w:rsid w:val="08B823B3"/>
    <w:rsid w:val="08B823C8"/>
    <w:rsid w:val="08B82412"/>
    <w:rsid w:val="08B8241E"/>
    <w:rsid w:val="08B82506"/>
    <w:rsid w:val="08B8255D"/>
    <w:rsid w:val="08B82562"/>
    <w:rsid w:val="08B82588"/>
    <w:rsid w:val="08B8258B"/>
    <w:rsid w:val="08B825C1"/>
    <w:rsid w:val="08B825FF"/>
    <w:rsid w:val="08B826A4"/>
    <w:rsid w:val="08B826D7"/>
    <w:rsid w:val="08B82735"/>
    <w:rsid w:val="08B82742"/>
    <w:rsid w:val="08B8278E"/>
    <w:rsid w:val="08B827B3"/>
    <w:rsid w:val="08B82813"/>
    <w:rsid w:val="08B82877"/>
    <w:rsid w:val="08B828E3"/>
    <w:rsid w:val="08B82922"/>
    <w:rsid w:val="08B82AC4"/>
    <w:rsid w:val="08B82BC1"/>
    <w:rsid w:val="08B82C7D"/>
    <w:rsid w:val="08B82C95"/>
    <w:rsid w:val="08B82D2A"/>
    <w:rsid w:val="08B82D3E"/>
    <w:rsid w:val="08B82DE9"/>
    <w:rsid w:val="08B82DFB"/>
    <w:rsid w:val="08B82F31"/>
    <w:rsid w:val="08B82F53"/>
    <w:rsid w:val="08B82F54"/>
    <w:rsid w:val="08B82F66"/>
    <w:rsid w:val="08B82F86"/>
    <w:rsid w:val="08B82F92"/>
    <w:rsid w:val="08B82F9C"/>
    <w:rsid w:val="08B82FA9"/>
    <w:rsid w:val="08B82FF5"/>
    <w:rsid w:val="08B83029"/>
    <w:rsid w:val="08B83038"/>
    <w:rsid w:val="08B83111"/>
    <w:rsid w:val="08B8314C"/>
    <w:rsid w:val="08B831B2"/>
    <w:rsid w:val="08B831D6"/>
    <w:rsid w:val="08B831FD"/>
    <w:rsid w:val="08B832C0"/>
    <w:rsid w:val="08B832CD"/>
    <w:rsid w:val="08B83305"/>
    <w:rsid w:val="08B833B2"/>
    <w:rsid w:val="08B833FB"/>
    <w:rsid w:val="08B8340B"/>
    <w:rsid w:val="08B8341C"/>
    <w:rsid w:val="08B83424"/>
    <w:rsid w:val="08B83448"/>
    <w:rsid w:val="08B83495"/>
    <w:rsid w:val="08B83536"/>
    <w:rsid w:val="08B835DA"/>
    <w:rsid w:val="08B83621"/>
    <w:rsid w:val="08B836A5"/>
    <w:rsid w:val="08B836D9"/>
    <w:rsid w:val="08B83879"/>
    <w:rsid w:val="08B838F2"/>
    <w:rsid w:val="08B8394E"/>
    <w:rsid w:val="08B8396B"/>
    <w:rsid w:val="08B839BB"/>
    <w:rsid w:val="08B83A7D"/>
    <w:rsid w:val="08B83B49"/>
    <w:rsid w:val="08B83B53"/>
    <w:rsid w:val="08B83B59"/>
    <w:rsid w:val="08B83C05"/>
    <w:rsid w:val="08B83C77"/>
    <w:rsid w:val="08B83D1B"/>
    <w:rsid w:val="08B83D44"/>
    <w:rsid w:val="08B83F3D"/>
    <w:rsid w:val="08B84008"/>
    <w:rsid w:val="08B84082"/>
    <w:rsid w:val="08B84104"/>
    <w:rsid w:val="08B8418E"/>
    <w:rsid w:val="08B84224"/>
    <w:rsid w:val="08B84228"/>
    <w:rsid w:val="08B84240"/>
    <w:rsid w:val="08B842A5"/>
    <w:rsid w:val="08B84381"/>
    <w:rsid w:val="08B843B6"/>
    <w:rsid w:val="08B843DC"/>
    <w:rsid w:val="08B84453"/>
    <w:rsid w:val="08B844F1"/>
    <w:rsid w:val="08B84556"/>
    <w:rsid w:val="08B845FA"/>
    <w:rsid w:val="08B845FF"/>
    <w:rsid w:val="08B846E5"/>
    <w:rsid w:val="08B847A1"/>
    <w:rsid w:val="08B847CB"/>
    <w:rsid w:val="08B8484D"/>
    <w:rsid w:val="08B848F9"/>
    <w:rsid w:val="08B8490C"/>
    <w:rsid w:val="08B84985"/>
    <w:rsid w:val="08B849DD"/>
    <w:rsid w:val="08B84A29"/>
    <w:rsid w:val="08B84A2A"/>
    <w:rsid w:val="08B84BD2"/>
    <w:rsid w:val="08B84C76"/>
    <w:rsid w:val="08B84D07"/>
    <w:rsid w:val="08B84DF2"/>
    <w:rsid w:val="08B84E78"/>
    <w:rsid w:val="08B84E88"/>
    <w:rsid w:val="08B84EAF"/>
    <w:rsid w:val="08B84EB5"/>
    <w:rsid w:val="08B84EDB"/>
    <w:rsid w:val="08B84F26"/>
    <w:rsid w:val="08B84FAA"/>
    <w:rsid w:val="08B84FD1"/>
    <w:rsid w:val="08B85003"/>
    <w:rsid w:val="08B8505F"/>
    <w:rsid w:val="08B850A6"/>
    <w:rsid w:val="08B850E8"/>
    <w:rsid w:val="08B85113"/>
    <w:rsid w:val="08B8516F"/>
    <w:rsid w:val="08B852AC"/>
    <w:rsid w:val="08B852D7"/>
    <w:rsid w:val="08B852E2"/>
    <w:rsid w:val="08B852EB"/>
    <w:rsid w:val="08B8534D"/>
    <w:rsid w:val="08B8534E"/>
    <w:rsid w:val="08B85383"/>
    <w:rsid w:val="08B8538F"/>
    <w:rsid w:val="08B853C2"/>
    <w:rsid w:val="08B8544D"/>
    <w:rsid w:val="08B85458"/>
    <w:rsid w:val="08B8549D"/>
    <w:rsid w:val="08B854C8"/>
    <w:rsid w:val="08B8556F"/>
    <w:rsid w:val="08B855AD"/>
    <w:rsid w:val="08B85613"/>
    <w:rsid w:val="08B85633"/>
    <w:rsid w:val="08B8578D"/>
    <w:rsid w:val="08B857BE"/>
    <w:rsid w:val="08B85847"/>
    <w:rsid w:val="08B85894"/>
    <w:rsid w:val="08B859B0"/>
    <w:rsid w:val="08B85A20"/>
    <w:rsid w:val="08B85AE4"/>
    <w:rsid w:val="08B85AE7"/>
    <w:rsid w:val="08B85B59"/>
    <w:rsid w:val="08B85B78"/>
    <w:rsid w:val="08B85C52"/>
    <w:rsid w:val="08B85C7B"/>
    <w:rsid w:val="08B85C9E"/>
    <w:rsid w:val="08B85CC6"/>
    <w:rsid w:val="08B85D23"/>
    <w:rsid w:val="08B85F0F"/>
    <w:rsid w:val="08B85F22"/>
    <w:rsid w:val="08B860C3"/>
    <w:rsid w:val="08B86121"/>
    <w:rsid w:val="08B86157"/>
    <w:rsid w:val="08B86195"/>
    <w:rsid w:val="08B861F4"/>
    <w:rsid w:val="08B8633A"/>
    <w:rsid w:val="08B863CD"/>
    <w:rsid w:val="08B863F2"/>
    <w:rsid w:val="08B86423"/>
    <w:rsid w:val="08B8649C"/>
    <w:rsid w:val="08B8658C"/>
    <w:rsid w:val="08B86650"/>
    <w:rsid w:val="08B86689"/>
    <w:rsid w:val="08B86694"/>
    <w:rsid w:val="08B866C0"/>
    <w:rsid w:val="08B866CD"/>
    <w:rsid w:val="08B86726"/>
    <w:rsid w:val="08B8681E"/>
    <w:rsid w:val="08B868FE"/>
    <w:rsid w:val="08B86985"/>
    <w:rsid w:val="08B86A5B"/>
    <w:rsid w:val="08B86AD7"/>
    <w:rsid w:val="08B86BF4"/>
    <w:rsid w:val="08B86BF5"/>
    <w:rsid w:val="08B86C5F"/>
    <w:rsid w:val="08B86C97"/>
    <w:rsid w:val="08B86D0C"/>
    <w:rsid w:val="08B86DCD"/>
    <w:rsid w:val="08B86DD9"/>
    <w:rsid w:val="08B86E02"/>
    <w:rsid w:val="08B86E47"/>
    <w:rsid w:val="08B86E67"/>
    <w:rsid w:val="08B86FFB"/>
    <w:rsid w:val="08B8703A"/>
    <w:rsid w:val="08B8715A"/>
    <w:rsid w:val="08B871CE"/>
    <w:rsid w:val="08B871E5"/>
    <w:rsid w:val="08B87278"/>
    <w:rsid w:val="08B8743B"/>
    <w:rsid w:val="08B874FC"/>
    <w:rsid w:val="08B8758A"/>
    <w:rsid w:val="08B87652"/>
    <w:rsid w:val="08B87696"/>
    <w:rsid w:val="08B87707"/>
    <w:rsid w:val="08B87709"/>
    <w:rsid w:val="08B8771E"/>
    <w:rsid w:val="08B877E4"/>
    <w:rsid w:val="08B87919"/>
    <w:rsid w:val="08B87937"/>
    <w:rsid w:val="08B87971"/>
    <w:rsid w:val="08B879FB"/>
    <w:rsid w:val="08B87B56"/>
    <w:rsid w:val="08B87BAD"/>
    <w:rsid w:val="08B87BF9"/>
    <w:rsid w:val="08B87D0B"/>
    <w:rsid w:val="08B87E0F"/>
    <w:rsid w:val="08B87E2A"/>
    <w:rsid w:val="08B87E97"/>
    <w:rsid w:val="08B87EA0"/>
    <w:rsid w:val="08B87EB2"/>
    <w:rsid w:val="08B87EB3"/>
    <w:rsid w:val="08B87EB4"/>
    <w:rsid w:val="08B87F3F"/>
    <w:rsid w:val="08B87FB1"/>
    <w:rsid w:val="08B90037"/>
    <w:rsid w:val="08B90062"/>
    <w:rsid w:val="08B90078"/>
    <w:rsid w:val="08B900FC"/>
    <w:rsid w:val="08B901F6"/>
    <w:rsid w:val="08B90213"/>
    <w:rsid w:val="08B902D4"/>
    <w:rsid w:val="08B9034C"/>
    <w:rsid w:val="08B904FE"/>
    <w:rsid w:val="08B9063C"/>
    <w:rsid w:val="08B90655"/>
    <w:rsid w:val="08B9068C"/>
    <w:rsid w:val="08B907A2"/>
    <w:rsid w:val="08B90860"/>
    <w:rsid w:val="08B90A0B"/>
    <w:rsid w:val="08B90AC5"/>
    <w:rsid w:val="08B90B88"/>
    <w:rsid w:val="08B90BB6"/>
    <w:rsid w:val="08B90BF6"/>
    <w:rsid w:val="08B90C54"/>
    <w:rsid w:val="08B90C92"/>
    <w:rsid w:val="08B90C99"/>
    <w:rsid w:val="08B90CA4"/>
    <w:rsid w:val="08B90D2D"/>
    <w:rsid w:val="08B90DE2"/>
    <w:rsid w:val="08B90E53"/>
    <w:rsid w:val="08B90F03"/>
    <w:rsid w:val="08B91003"/>
    <w:rsid w:val="08B9105D"/>
    <w:rsid w:val="08B910AF"/>
    <w:rsid w:val="08B910CC"/>
    <w:rsid w:val="08B910E7"/>
    <w:rsid w:val="08B91131"/>
    <w:rsid w:val="08B9117B"/>
    <w:rsid w:val="08B911B9"/>
    <w:rsid w:val="08B9131C"/>
    <w:rsid w:val="08B9135E"/>
    <w:rsid w:val="08B9136B"/>
    <w:rsid w:val="08B915F8"/>
    <w:rsid w:val="08B91626"/>
    <w:rsid w:val="08B916AC"/>
    <w:rsid w:val="08B917BE"/>
    <w:rsid w:val="08B917D8"/>
    <w:rsid w:val="08B91836"/>
    <w:rsid w:val="08B91841"/>
    <w:rsid w:val="08B91921"/>
    <w:rsid w:val="08B91962"/>
    <w:rsid w:val="08B919AE"/>
    <w:rsid w:val="08B91A0A"/>
    <w:rsid w:val="08B91A7E"/>
    <w:rsid w:val="08B91AB2"/>
    <w:rsid w:val="08B91AFA"/>
    <w:rsid w:val="08B91B02"/>
    <w:rsid w:val="08B91C19"/>
    <w:rsid w:val="08B91C24"/>
    <w:rsid w:val="08B91C83"/>
    <w:rsid w:val="08B91D03"/>
    <w:rsid w:val="08B91D1B"/>
    <w:rsid w:val="08B91D54"/>
    <w:rsid w:val="08B91DDC"/>
    <w:rsid w:val="08B91E41"/>
    <w:rsid w:val="08B91ED4"/>
    <w:rsid w:val="08B91ED6"/>
    <w:rsid w:val="08B91F91"/>
    <w:rsid w:val="08B91FF2"/>
    <w:rsid w:val="08B920B7"/>
    <w:rsid w:val="08B920B9"/>
    <w:rsid w:val="08B920C9"/>
    <w:rsid w:val="08B92107"/>
    <w:rsid w:val="08B9219A"/>
    <w:rsid w:val="08B921C3"/>
    <w:rsid w:val="08B9223A"/>
    <w:rsid w:val="08B9232B"/>
    <w:rsid w:val="08B92432"/>
    <w:rsid w:val="08B9243F"/>
    <w:rsid w:val="08B92459"/>
    <w:rsid w:val="08B9246A"/>
    <w:rsid w:val="08B92495"/>
    <w:rsid w:val="08B924EA"/>
    <w:rsid w:val="08B924EF"/>
    <w:rsid w:val="08B9254E"/>
    <w:rsid w:val="08B925FF"/>
    <w:rsid w:val="08B92629"/>
    <w:rsid w:val="08B92677"/>
    <w:rsid w:val="08B92691"/>
    <w:rsid w:val="08B926B5"/>
    <w:rsid w:val="08B926BF"/>
    <w:rsid w:val="08B926F7"/>
    <w:rsid w:val="08B92781"/>
    <w:rsid w:val="08B92833"/>
    <w:rsid w:val="08B92862"/>
    <w:rsid w:val="08B928B5"/>
    <w:rsid w:val="08B928C6"/>
    <w:rsid w:val="08B928C7"/>
    <w:rsid w:val="08B928F5"/>
    <w:rsid w:val="08B9297A"/>
    <w:rsid w:val="08B9297F"/>
    <w:rsid w:val="08B929AE"/>
    <w:rsid w:val="08B929B7"/>
    <w:rsid w:val="08B929BD"/>
    <w:rsid w:val="08B92A89"/>
    <w:rsid w:val="08B92B5D"/>
    <w:rsid w:val="08B92B61"/>
    <w:rsid w:val="08B92BE9"/>
    <w:rsid w:val="08B92C12"/>
    <w:rsid w:val="08B92CA9"/>
    <w:rsid w:val="08B92DF1"/>
    <w:rsid w:val="08B92E87"/>
    <w:rsid w:val="08B92E91"/>
    <w:rsid w:val="08B92ED0"/>
    <w:rsid w:val="08B92F45"/>
    <w:rsid w:val="08B93087"/>
    <w:rsid w:val="08B93141"/>
    <w:rsid w:val="08B93179"/>
    <w:rsid w:val="08B9317D"/>
    <w:rsid w:val="08B932CB"/>
    <w:rsid w:val="08B9334D"/>
    <w:rsid w:val="08B93404"/>
    <w:rsid w:val="08B93499"/>
    <w:rsid w:val="08B934EA"/>
    <w:rsid w:val="08B935BC"/>
    <w:rsid w:val="08B935F8"/>
    <w:rsid w:val="08B936EA"/>
    <w:rsid w:val="08B93751"/>
    <w:rsid w:val="08B937F2"/>
    <w:rsid w:val="08B938C2"/>
    <w:rsid w:val="08B938D8"/>
    <w:rsid w:val="08B938EB"/>
    <w:rsid w:val="08B93964"/>
    <w:rsid w:val="08B939B1"/>
    <w:rsid w:val="08B939FD"/>
    <w:rsid w:val="08B93A9E"/>
    <w:rsid w:val="08B93BD8"/>
    <w:rsid w:val="08B93C10"/>
    <w:rsid w:val="08B93C87"/>
    <w:rsid w:val="08B93C8B"/>
    <w:rsid w:val="08B93CEE"/>
    <w:rsid w:val="08B93D87"/>
    <w:rsid w:val="08B93F36"/>
    <w:rsid w:val="08B93FC4"/>
    <w:rsid w:val="08B9405C"/>
    <w:rsid w:val="08B94086"/>
    <w:rsid w:val="08B940B9"/>
    <w:rsid w:val="08B940DB"/>
    <w:rsid w:val="08B940E8"/>
    <w:rsid w:val="08B94111"/>
    <w:rsid w:val="08B941F0"/>
    <w:rsid w:val="08B94257"/>
    <w:rsid w:val="08B942A5"/>
    <w:rsid w:val="08B942BE"/>
    <w:rsid w:val="08B942E8"/>
    <w:rsid w:val="08B943E5"/>
    <w:rsid w:val="08B9440A"/>
    <w:rsid w:val="08B94476"/>
    <w:rsid w:val="08B944C9"/>
    <w:rsid w:val="08B94592"/>
    <w:rsid w:val="08B9466F"/>
    <w:rsid w:val="08B94795"/>
    <w:rsid w:val="08B9482D"/>
    <w:rsid w:val="08B94878"/>
    <w:rsid w:val="08B948E3"/>
    <w:rsid w:val="08B949B4"/>
    <w:rsid w:val="08B94A08"/>
    <w:rsid w:val="08B94A2F"/>
    <w:rsid w:val="08B94A75"/>
    <w:rsid w:val="08B94A82"/>
    <w:rsid w:val="08B94AF4"/>
    <w:rsid w:val="08B94B17"/>
    <w:rsid w:val="08B94B42"/>
    <w:rsid w:val="08B94B5F"/>
    <w:rsid w:val="08B94B7D"/>
    <w:rsid w:val="08B94B8A"/>
    <w:rsid w:val="08B94BD3"/>
    <w:rsid w:val="08B94C11"/>
    <w:rsid w:val="08B94C6E"/>
    <w:rsid w:val="08B94CA2"/>
    <w:rsid w:val="08B94CA8"/>
    <w:rsid w:val="08B94D0E"/>
    <w:rsid w:val="08B94D12"/>
    <w:rsid w:val="08B94D57"/>
    <w:rsid w:val="08B94E13"/>
    <w:rsid w:val="08B94E91"/>
    <w:rsid w:val="08B94EA4"/>
    <w:rsid w:val="08B94FBB"/>
    <w:rsid w:val="08B94FD4"/>
    <w:rsid w:val="08B94FEC"/>
    <w:rsid w:val="08B95094"/>
    <w:rsid w:val="08B95164"/>
    <w:rsid w:val="08B9518B"/>
    <w:rsid w:val="08B951FD"/>
    <w:rsid w:val="08B9524D"/>
    <w:rsid w:val="08B9525E"/>
    <w:rsid w:val="08B95265"/>
    <w:rsid w:val="08B952E2"/>
    <w:rsid w:val="08B95399"/>
    <w:rsid w:val="08B953B9"/>
    <w:rsid w:val="08B95424"/>
    <w:rsid w:val="08B954D6"/>
    <w:rsid w:val="08B95533"/>
    <w:rsid w:val="08B9566B"/>
    <w:rsid w:val="08B956FA"/>
    <w:rsid w:val="08B95716"/>
    <w:rsid w:val="08B9571C"/>
    <w:rsid w:val="08B95805"/>
    <w:rsid w:val="08B95898"/>
    <w:rsid w:val="08B958D9"/>
    <w:rsid w:val="08B959EC"/>
    <w:rsid w:val="08B95A80"/>
    <w:rsid w:val="08B95A8A"/>
    <w:rsid w:val="08B95AA3"/>
    <w:rsid w:val="08B95AF1"/>
    <w:rsid w:val="08B95B1B"/>
    <w:rsid w:val="08B95BC0"/>
    <w:rsid w:val="08B95C28"/>
    <w:rsid w:val="08B95C5A"/>
    <w:rsid w:val="08B95D43"/>
    <w:rsid w:val="08B95DA3"/>
    <w:rsid w:val="08B95DBC"/>
    <w:rsid w:val="08B95E33"/>
    <w:rsid w:val="08B95FBF"/>
    <w:rsid w:val="08B96009"/>
    <w:rsid w:val="08B96056"/>
    <w:rsid w:val="08B9607E"/>
    <w:rsid w:val="08B960FD"/>
    <w:rsid w:val="08B9618F"/>
    <w:rsid w:val="08B961E2"/>
    <w:rsid w:val="08B96230"/>
    <w:rsid w:val="08B96264"/>
    <w:rsid w:val="08B962C0"/>
    <w:rsid w:val="08B963F7"/>
    <w:rsid w:val="08B96473"/>
    <w:rsid w:val="08B96488"/>
    <w:rsid w:val="08B96525"/>
    <w:rsid w:val="08B96597"/>
    <w:rsid w:val="08B96739"/>
    <w:rsid w:val="08B967AC"/>
    <w:rsid w:val="08B967D9"/>
    <w:rsid w:val="08B96816"/>
    <w:rsid w:val="08B96865"/>
    <w:rsid w:val="08B9688E"/>
    <w:rsid w:val="08B96972"/>
    <w:rsid w:val="08B969F8"/>
    <w:rsid w:val="08B96A4C"/>
    <w:rsid w:val="08B96AF9"/>
    <w:rsid w:val="08B96BD8"/>
    <w:rsid w:val="08B96C66"/>
    <w:rsid w:val="08B96D2F"/>
    <w:rsid w:val="08B96F46"/>
    <w:rsid w:val="08B96F47"/>
    <w:rsid w:val="08B96F4C"/>
    <w:rsid w:val="08B96F53"/>
    <w:rsid w:val="08B96F7D"/>
    <w:rsid w:val="08B96F9B"/>
    <w:rsid w:val="08B96FD9"/>
    <w:rsid w:val="08B97014"/>
    <w:rsid w:val="08B971CA"/>
    <w:rsid w:val="08B972BA"/>
    <w:rsid w:val="08B97352"/>
    <w:rsid w:val="08B9739E"/>
    <w:rsid w:val="08B973CD"/>
    <w:rsid w:val="08B97474"/>
    <w:rsid w:val="08B974D9"/>
    <w:rsid w:val="08B9750A"/>
    <w:rsid w:val="08B97518"/>
    <w:rsid w:val="08B9769A"/>
    <w:rsid w:val="08B976E9"/>
    <w:rsid w:val="08B9770B"/>
    <w:rsid w:val="08B977A0"/>
    <w:rsid w:val="08B977A7"/>
    <w:rsid w:val="08B978C3"/>
    <w:rsid w:val="08B97923"/>
    <w:rsid w:val="08B97987"/>
    <w:rsid w:val="08B979B0"/>
    <w:rsid w:val="08B97AFE"/>
    <w:rsid w:val="08B97B2A"/>
    <w:rsid w:val="08B97B48"/>
    <w:rsid w:val="08B97B8A"/>
    <w:rsid w:val="08B97BD2"/>
    <w:rsid w:val="08B97C34"/>
    <w:rsid w:val="08B97D0C"/>
    <w:rsid w:val="08B97DDE"/>
    <w:rsid w:val="08B97E53"/>
    <w:rsid w:val="08B97F8E"/>
    <w:rsid w:val="08B97FB6"/>
    <w:rsid w:val="08BA001A"/>
    <w:rsid w:val="08BA0038"/>
    <w:rsid w:val="08BA007F"/>
    <w:rsid w:val="08BA00A6"/>
    <w:rsid w:val="08BA00C2"/>
    <w:rsid w:val="08BA00DD"/>
    <w:rsid w:val="08BA01C4"/>
    <w:rsid w:val="08BA01E1"/>
    <w:rsid w:val="08BA0353"/>
    <w:rsid w:val="08BA0432"/>
    <w:rsid w:val="08BA07E8"/>
    <w:rsid w:val="08BA08F5"/>
    <w:rsid w:val="08BA0931"/>
    <w:rsid w:val="08BA095C"/>
    <w:rsid w:val="08BA0981"/>
    <w:rsid w:val="08BA09B0"/>
    <w:rsid w:val="08BA09D7"/>
    <w:rsid w:val="08BA0AC1"/>
    <w:rsid w:val="08BA0B75"/>
    <w:rsid w:val="08BA0BE9"/>
    <w:rsid w:val="08BA0C45"/>
    <w:rsid w:val="08BA0D04"/>
    <w:rsid w:val="08BA0D0C"/>
    <w:rsid w:val="08BA0E1E"/>
    <w:rsid w:val="08BA0E34"/>
    <w:rsid w:val="08BA0E80"/>
    <w:rsid w:val="08BA0EC5"/>
    <w:rsid w:val="08BA0ED8"/>
    <w:rsid w:val="08BA0EF7"/>
    <w:rsid w:val="08BA0F0B"/>
    <w:rsid w:val="08BA0FDB"/>
    <w:rsid w:val="08BA1009"/>
    <w:rsid w:val="08BA10F4"/>
    <w:rsid w:val="08BA11ED"/>
    <w:rsid w:val="08BA1304"/>
    <w:rsid w:val="08BA130B"/>
    <w:rsid w:val="08BA138A"/>
    <w:rsid w:val="08BA13D1"/>
    <w:rsid w:val="08BA13F4"/>
    <w:rsid w:val="08BA1443"/>
    <w:rsid w:val="08BA14A9"/>
    <w:rsid w:val="08BA1539"/>
    <w:rsid w:val="08BA157B"/>
    <w:rsid w:val="08BA162A"/>
    <w:rsid w:val="08BA170E"/>
    <w:rsid w:val="08BA1715"/>
    <w:rsid w:val="08BA1750"/>
    <w:rsid w:val="08BA1794"/>
    <w:rsid w:val="08BA183C"/>
    <w:rsid w:val="08BA18A1"/>
    <w:rsid w:val="08BA1902"/>
    <w:rsid w:val="08BA19B4"/>
    <w:rsid w:val="08BA1A0C"/>
    <w:rsid w:val="08BA1AFC"/>
    <w:rsid w:val="08BA1BDF"/>
    <w:rsid w:val="08BA1BF4"/>
    <w:rsid w:val="08BA1BF5"/>
    <w:rsid w:val="08BA1C5D"/>
    <w:rsid w:val="08BA1C72"/>
    <w:rsid w:val="08BA1D51"/>
    <w:rsid w:val="08BA1D8A"/>
    <w:rsid w:val="08BA1DC8"/>
    <w:rsid w:val="08BA1E41"/>
    <w:rsid w:val="08BA1EFC"/>
    <w:rsid w:val="08BA1F10"/>
    <w:rsid w:val="08BA1F3F"/>
    <w:rsid w:val="08BA1FC2"/>
    <w:rsid w:val="08BA1FEF"/>
    <w:rsid w:val="08BA1FF2"/>
    <w:rsid w:val="08BA2017"/>
    <w:rsid w:val="08BA20C0"/>
    <w:rsid w:val="08BA2101"/>
    <w:rsid w:val="08BA210D"/>
    <w:rsid w:val="08BA22B3"/>
    <w:rsid w:val="08BA22BB"/>
    <w:rsid w:val="08BA238B"/>
    <w:rsid w:val="08BA23BA"/>
    <w:rsid w:val="08BA23D0"/>
    <w:rsid w:val="08BA2454"/>
    <w:rsid w:val="08BA2463"/>
    <w:rsid w:val="08BA24A6"/>
    <w:rsid w:val="08BA26AB"/>
    <w:rsid w:val="08BA26F2"/>
    <w:rsid w:val="08BA27F6"/>
    <w:rsid w:val="08BA29FF"/>
    <w:rsid w:val="08BA2A92"/>
    <w:rsid w:val="08BA2AC5"/>
    <w:rsid w:val="08BA2B1B"/>
    <w:rsid w:val="08BA2B38"/>
    <w:rsid w:val="08BA2BB9"/>
    <w:rsid w:val="08BA2CC1"/>
    <w:rsid w:val="08BA2D1C"/>
    <w:rsid w:val="08BA2DE4"/>
    <w:rsid w:val="08BA2E97"/>
    <w:rsid w:val="08BA2F10"/>
    <w:rsid w:val="08BA2F9C"/>
    <w:rsid w:val="08BA2FE8"/>
    <w:rsid w:val="08BA3037"/>
    <w:rsid w:val="08BA30D7"/>
    <w:rsid w:val="08BA310E"/>
    <w:rsid w:val="08BA3281"/>
    <w:rsid w:val="08BA32ED"/>
    <w:rsid w:val="08BA32F4"/>
    <w:rsid w:val="08BA3432"/>
    <w:rsid w:val="08BA3475"/>
    <w:rsid w:val="08BA34A2"/>
    <w:rsid w:val="08BA34B0"/>
    <w:rsid w:val="08BA3642"/>
    <w:rsid w:val="08BA36B7"/>
    <w:rsid w:val="08BA36C9"/>
    <w:rsid w:val="08BA36F2"/>
    <w:rsid w:val="08BA3795"/>
    <w:rsid w:val="08BA37BE"/>
    <w:rsid w:val="08BA3806"/>
    <w:rsid w:val="08BA3866"/>
    <w:rsid w:val="08BA392D"/>
    <w:rsid w:val="08BA3937"/>
    <w:rsid w:val="08BA399F"/>
    <w:rsid w:val="08BA3B35"/>
    <w:rsid w:val="08BA3B4E"/>
    <w:rsid w:val="08BA3D6E"/>
    <w:rsid w:val="08BA3DC6"/>
    <w:rsid w:val="08BA3E68"/>
    <w:rsid w:val="08BA3F08"/>
    <w:rsid w:val="08BA3F13"/>
    <w:rsid w:val="08BA3F33"/>
    <w:rsid w:val="08BA3F4A"/>
    <w:rsid w:val="08BA4016"/>
    <w:rsid w:val="08BA4024"/>
    <w:rsid w:val="08BA410F"/>
    <w:rsid w:val="08BA4156"/>
    <w:rsid w:val="08BA4193"/>
    <w:rsid w:val="08BA4208"/>
    <w:rsid w:val="08BA4247"/>
    <w:rsid w:val="08BA426B"/>
    <w:rsid w:val="08BA4277"/>
    <w:rsid w:val="08BA4281"/>
    <w:rsid w:val="08BA44DD"/>
    <w:rsid w:val="08BA44EA"/>
    <w:rsid w:val="08BA4548"/>
    <w:rsid w:val="08BA4595"/>
    <w:rsid w:val="08BA4667"/>
    <w:rsid w:val="08BA469F"/>
    <w:rsid w:val="08BA47A2"/>
    <w:rsid w:val="08BA48F3"/>
    <w:rsid w:val="08BA498C"/>
    <w:rsid w:val="08BA4995"/>
    <w:rsid w:val="08BA4A23"/>
    <w:rsid w:val="08BA4A3E"/>
    <w:rsid w:val="08BA4B72"/>
    <w:rsid w:val="08BA4BCA"/>
    <w:rsid w:val="08BA4C65"/>
    <w:rsid w:val="08BA4D72"/>
    <w:rsid w:val="08BA4DE2"/>
    <w:rsid w:val="08BA4DF3"/>
    <w:rsid w:val="08BA4E83"/>
    <w:rsid w:val="08BA4FCA"/>
    <w:rsid w:val="08BA50F2"/>
    <w:rsid w:val="08BA51BD"/>
    <w:rsid w:val="08BA522C"/>
    <w:rsid w:val="08BA5277"/>
    <w:rsid w:val="08BA52DE"/>
    <w:rsid w:val="08BA539B"/>
    <w:rsid w:val="08BA53CD"/>
    <w:rsid w:val="08BA53E8"/>
    <w:rsid w:val="08BA53F2"/>
    <w:rsid w:val="08BA541F"/>
    <w:rsid w:val="08BA543D"/>
    <w:rsid w:val="08BA5458"/>
    <w:rsid w:val="08BA5548"/>
    <w:rsid w:val="08BA5563"/>
    <w:rsid w:val="08BA55D6"/>
    <w:rsid w:val="08BA55DF"/>
    <w:rsid w:val="08BA5657"/>
    <w:rsid w:val="08BA5684"/>
    <w:rsid w:val="08BA570A"/>
    <w:rsid w:val="08BA5716"/>
    <w:rsid w:val="08BA5869"/>
    <w:rsid w:val="08BA58D9"/>
    <w:rsid w:val="08BA5946"/>
    <w:rsid w:val="08BA5975"/>
    <w:rsid w:val="08BA5995"/>
    <w:rsid w:val="08BA59B7"/>
    <w:rsid w:val="08BA5AEB"/>
    <w:rsid w:val="08BA5BA2"/>
    <w:rsid w:val="08BA5C07"/>
    <w:rsid w:val="08BA5C3D"/>
    <w:rsid w:val="08BA5C43"/>
    <w:rsid w:val="08BA5C7D"/>
    <w:rsid w:val="08BA5C9A"/>
    <w:rsid w:val="08BA5D06"/>
    <w:rsid w:val="08BA5D34"/>
    <w:rsid w:val="08BA5D57"/>
    <w:rsid w:val="08BA5DBE"/>
    <w:rsid w:val="08BA5DCB"/>
    <w:rsid w:val="08BA5DF3"/>
    <w:rsid w:val="08BA5E10"/>
    <w:rsid w:val="08BA5E2F"/>
    <w:rsid w:val="08BA5E59"/>
    <w:rsid w:val="08BA5E79"/>
    <w:rsid w:val="08BA5F74"/>
    <w:rsid w:val="08BA60E5"/>
    <w:rsid w:val="08BA6248"/>
    <w:rsid w:val="08BA624F"/>
    <w:rsid w:val="08BA63A6"/>
    <w:rsid w:val="08BA64E2"/>
    <w:rsid w:val="08BA6548"/>
    <w:rsid w:val="08BA655B"/>
    <w:rsid w:val="08BA66CC"/>
    <w:rsid w:val="08BA671C"/>
    <w:rsid w:val="08BA6783"/>
    <w:rsid w:val="08BA67E5"/>
    <w:rsid w:val="08BA684A"/>
    <w:rsid w:val="08BA684F"/>
    <w:rsid w:val="08BA686F"/>
    <w:rsid w:val="08BA6904"/>
    <w:rsid w:val="08BA6970"/>
    <w:rsid w:val="08BA698D"/>
    <w:rsid w:val="08BA6A59"/>
    <w:rsid w:val="08BA6A9C"/>
    <w:rsid w:val="08BA6AB7"/>
    <w:rsid w:val="08BA6D2E"/>
    <w:rsid w:val="08BA6DB0"/>
    <w:rsid w:val="08BA6DBD"/>
    <w:rsid w:val="08BA6E20"/>
    <w:rsid w:val="08BA6E4E"/>
    <w:rsid w:val="08BA6E63"/>
    <w:rsid w:val="08BA6F0D"/>
    <w:rsid w:val="08BA6FB2"/>
    <w:rsid w:val="08BA7197"/>
    <w:rsid w:val="08BA723E"/>
    <w:rsid w:val="08BA7256"/>
    <w:rsid w:val="08BA734A"/>
    <w:rsid w:val="08BA73EB"/>
    <w:rsid w:val="08BA7482"/>
    <w:rsid w:val="08BA74D2"/>
    <w:rsid w:val="08BA751C"/>
    <w:rsid w:val="08BA75A0"/>
    <w:rsid w:val="08BA76B8"/>
    <w:rsid w:val="08BA76B9"/>
    <w:rsid w:val="08BA772E"/>
    <w:rsid w:val="08BA7790"/>
    <w:rsid w:val="08BA781A"/>
    <w:rsid w:val="08BA7966"/>
    <w:rsid w:val="08BA7971"/>
    <w:rsid w:val="08BA7A50"/>
    <w:rsid w:val="08BA7A60"/>
    <w:rsid w:val="08BA7AE3"/>
    <w:rsid w:val="08BA7C3C"/>
    <w:rsid w:val="08BA7C99"/>
    <w:rsid w:val="08BA7C9F"/>
    <w:rsid w:val="08BA7CDE"/>
    <w:rsid w:val="08BA7D3E"/>
    <w:rsid w:val="08BA7D92"/>
    <w:rsid w:val="08BA7DD6"/>
    <w:rsid w:val="08BA7E25"/>
    <w:rsid w:val="08BA7ECE"/>
    <w:rsid w:val="08BA7F6F"/>
    <w:rsid w:val="08BA7F88"/>
    <w:rsid w:val="08BA7FCD"/>
    <w:rsid w:val="08BB0013"/>
    <w:rsid w:val="08BB006B"/>
    <w:rsid w:val="08BB0073"/>
    <w:rsid w:val="08BB00A8"/>
    <w:rsid w:val="08BB00B3"/>
    <w:rsid w:val="08BB02AB"/>
    <w:rsid w:val="08BB033B"/>
    <w:rsid w:val="08BB0386"/>
    <w:rsid w:val="08BB0480"/>
    <w:rsid w:val="08BB04FB"/>
    <w:rsid w:val="08BB0509"/>
    <w:rsid w:val="08BB0518"/>
    <w:rsid w:val="08BB0587"/>
    <w:rsid w:val="08BB068F"/>
    <w:rsid w:val="08BB0705"/>
    <w:rsid w:val="08BB07D2"/>
    <w:rsid w:val="08BB080D"/>
    <w:rsid w:val="08BB08F6"/>
    <w:rsid w:val="08BB097E"/>
    <w:rsid w:val="08BB09D0"/>
    <w:rsid w:val="08BB0AB3"/>
    <w:rsid w:val="08BB0B0A"/>
    <w:rsid w:val="08BB0B3F"/>
    <w:rsid w:val="08BB0BA3"/>
    <w:rsid w:val="08BB0BC4"/>
    <w:rsid w:val="08BB0BFC"/>
    <w:rsid w:val="08BB0C62"/>
    <w:rsid w:val="08BB0CDD"/>
    <w:rsid w:val="08BB0D0D"/>
    <w:rsid w:val="08BB0D30"/>
    <w:rsid w:val="08BB0E0C"/>
    <w:rsid w:val="08BB0E42"/>
    <w:rsid w:val="08BB0ED6"/>
    <w:rsid w:val="08BB0EE8"/>
    <w:rsid w:val="08BB1048"/>
    <w:rsid w:val="08BB105B"/>
    <w:rsid w:val="08BB106A"/>
    <w:rsid w:val="08BB1075"/>
    <w:rsid w:val="08BB10E7"/>
    <w:rsid w:val="08BB1158"/>
    <w:rsid w:val="08BB118E"/>
    <w:rsid w:val="08BB11DA"/>
    <w:rsid w:val="08BB12D7"/>
    <w:rsid w:val="08BB1325"/>
    <w:rsid w:val="08BB1346"/>
    <w:rsid w:val="08BB13FC"/>
    <w:rsid w:val="08BB1520"/>
    <w:rsid w:val="08BB1548"/>
    <w:rsid w:val="08BB1604"/>
    <w:rsid w:val="08BB1633"/>
    <w:rsid w:val="08BB1708"/>
    <w:rsid w:val="08BB1711"/>
    <w:rsid w:val="08BB17BF"/>
    <w:rsid w:val="08BB17D7"/>
    <w:rsid w:val="08BB17F6"/>
    <w:rsid w:val="08BB186B"/>
    <w:rsid w:val="08BB18E7"/>
    <w:rsid w:val="08BB18F0"/>
    <w:rsid w:val="08BB18FB"/>
    <w:rsid w:val="08BB192F"/>
    <w:rsid w:val="08BB19C3"/>
    <w:rsid w:val="08BB19D8"/>
    <w:rsid w:val="08BB1C39"/>
    <w:rsid w:val="08BB1D01"/>
    <w:rsid w:val="08BB1D66"/>
    <w:rsid w:val="08BB1F1A"/>
    <w:rsid w:val="08BB1F4D"/>
    <w:rsid w:val="08BB20F3"/>
    <w:rsid w:val="08BB22E6"/>
    <w:rsid w:val="08BB233B"/>
    <w:rsid w:val="08BB2344"/>
    <w:rsid w:val="08BB242E"/>
    <w:rsid w:val="08BB247D"/>
    <w:rsid w:val="08BB258E"/>
    <w:rsid w:val="08BB25D6"/>
    <w:rsid w:val="08BB25D8"/>
    <w:rsid w:val="08BB2619"/>
    <w:rsid w:val="08BB269A"/>
    <w:rsid w:val="08BB26BD"/>
    <w:rsid w:val="08BB273B"/>
    <w:rsid w:val="08BB273E"/>
    <w:rsid w:val="08BB2749"/>
    <w:rsid w:val="08BB27AE"/>
    <w:rsid w:val="08BB282A"/>
    <w:rsid w:val="08BB293B"/>
    <w:rsid w:val="08BB29CE"/>
    <w:rsid w:val="08BB2A9C"/>
    <w:rsid w:val="08BB2ACF"/>
    <w:rsid w:val="08BB2AF2"/>
    <w:rsid w:val="08BB2B6F"/>
    <w:rsid w:val="08BB2BFA"/>
    <w:rsid w:val="08BB2C39"/>
    <w:rsid w:val="08BB2DCD"/>
    <w:rsid w:val="08BB2E48"/>
    <w:rsid w:val="08BB2EDF"/>
    <w:rsid w:val="08BB2F09"/>
    <w:rsid w:val="08BB3040"/>
    <w:rsid w:val="08BB30E1"/>
    <w:rsid w:val="08BB3130"/>
    <w:rsid w:val="08BB31D1"/>
    <w:rsid w:val="08BB327E"/>
    <w:rsid w:val="08BB32EF"/>
    <w:rsid w:val="08BB3307"/>
    <w:rsid w:val="08BB3351"/>
    <w:rsid w:val="08BB33E7"/>
    <w:rsid w:val="08BB346C"/>
    <w:rsid w:val="08BB3479"/>
    <w:rsid w:val="08BB34D7"/>
    <w:rsid w:val="08BB3516"/>
    <w:rsid w:val="08BB3543"/>
    <w:rsid w:val="08BB357A"/>
    <w:rsid w:val="08BB358D"/>
    <w:rsid w:val="08BB359A"/>
    <w:rsid w:val="08BB35A9"/>
    <w:rsid w:val="08BB361D"/>
    <w:rsid w:val="08BB3679"/>
    <w:rsid w:val="08BB37EB"/>
    <w:rsid w:val="08BB37F3"/>
    <w:rsid w:val="08BB385D"/>
    <w:rsid w:val="08BB38E1"/>
    <w:rsid w:val="08BB392C"/>
    <w:rsid w:val="08BB3977"/>
    <w:rsid w:val="08BB39A6"/>
    <w:rsid w:val="08BB3A18"/>
    <w:rsid w:val="08BB3AF9"/>
    <w:rsid w:val="08BB3B37"/>
    <w:rsid w:val="08BB3B5D"/>
    <w:rsid w:val="08BB3BB9"/>
    <w:rsid w:val="08BB3D6D"/>
    <w:rsid w:val="08BB3DE0"/>
    <w:rsid w:val="08BB3DEF"/>
    <w:rsid w:val="08BB3E35"/>
    <w:rsid w:val="08BB3ED8"/>
    <w:rsid w:val="08BB3F0B"/>
    <w:rsid w:val="08BB3F57"/>
    <w:rsid w:val="08BB404D"/>
    <w:rsid w:val="08BB4052"/>
    <w:rsid w:val="08BB40A7"/>
    <w:rsid w:val="08BB40BB"/>
    <w:rsid w:val="08BB417F"/>
    <w:rsid w:val="08BB419B"/>
    <w:rsid w:val="08BB41FF"/>
    <w:rsid w:val="08BB4232"/>
    <w:rsid w:val="08BB434A"/>
    <w:rsid w:val="08BB43E0"/>
    <w:rsid w:val="08BB443E"/>
    <w:rsid w:val="08BB44B9"/>
    <w:rsid w:val="08BB45C9"/>
    <w:rsid w:val="08BB4649"/>
    <w:rsid w:val="08BB467D"/>
    <w:rsid w:val="08BB46A7"/>
    <w:rsid w:val="08BB46F9"/>
    <w:rsid w:val="08BB473D"/>
    <w:rsid w:val="08BB47E4"/>
    <w:rsid w:val="08BB485C"/>
    <w:rsid w:val="08BB48B6"/>
    <w:rsid w:val="08BB48D9"/>
    <w:rsid w:val="08BB48F3"/>
    <w:rsid w:val="08BB4934"/>
    <w:rsid w:val="08BB496C"/>
    <w:rsid w:val="08BB4A0B"/>
    <w:rsid w:val="08BB4AFF"/>
    <w:rsid w:val="08BB4B84"/>
    <w:rsid w:val="08BB4B9E"/>
    <w:rsid w:val="08BB4CE9"/>
    <w:rsid w:val="08BB4D15"/>
    <w:rsid w:val="08BB4DE2"/>
    <w:rsid w:val="08BB4DE6"/>
    <w:rsid w:val="08BB4E28"/>
    <w:rsid w:val="08BB4F52"/>
    <w:rsid w:val="08BB4FE0"/>
    <w:rsid w:val="08BB4FF8"/>
    <w:rsid w:val="08BB5006"/>
    <w:rsid w:val="08BB502B"/>
    <w:rsid w:val="08BB5031"/>
    <w:rsid w:val="08BB5037"/>
    <w:rsid w:val="08BB512F"/>
    <w:rsid w:val="08BB5194"/>
    <w:rsid w:val="08BB51A1"/>
    <w:rsid w:val="08BB51D9"/>
    <w:rsid w:val="08BB51DC"/>
    <w:rsid w:val="08BB5316"/>
    <w:rsid w:val="08BB5320"/>
    <w:rsid w:val="08BB53D9"/>
    <w:rsid w:val="08BB5408"/>
    <w:rsid w:val="08BB544C"/>
    <w:rsid w:val="08BB5493"/>
    <w:rsid w:val="08BB55F8"/>
    <w:rsid w:val="08BB5654"/>
    <w:rsid w:val="08BB56AA"/>
    <w:rsid w:val="08BB57C4"/>
    <w:rsid w:val="08BB57DA"/>
    <w:rsid w:val="08BB58B5"/>
    <w:rsid w:val="08BB5A27"/>
    <w:rsid w:val="08BB5A7F"/>
    <w:rsid w:val="08BB5B47"/>
    <w:rsid w:val="08BB5B54"/>
    <w:rsid w:val="08BB5BD0"/>
    <w:rsid w:val="08BB5BF4"/>
    <w:rsid w:val="08BB5C4E"/>
    <w:rsid w:val="08BB5D0C"/>
    <w:rsid w:val="08BB5D56"/>
    <w:rsid w:val="08BB5D88"/>
    <w:rsid w:val="08BB5DBD"/>
    <w:rsid w:val="08BB5E4E"/>
    <w:rsid w:val="08BB5EA4"/>
    <w:rsid w:val="08BB5F51"/>
    <w:rsid w:val="08BB5F63"/>
    <w:rsid w:val="08BB5F87"/>
    <w:rsid w:val="08BB6010"/>
    <w:rsid w:val="08BB6046"/>
    <w:rsid w:val="08BB60A9"/>
    <w:rsid w:val="08BB60C4"/>
    <w:rsid w:val="08BB60DF"/>
    <w:rsid w:val="08BB61AB"/>
    <w:rsid w:val="08BB6227"/>
    <w:rsid w:val="08BB62DE"/>
    <w:rsid w:val="08BB63A2"/>
    <w:rsid w:val="08BB63BD"/>
    <w:rsid w:val="08BB6433"/>
    <w:rsid w:val="08BB6464"/>
    <w:rsid w:val="08BB64C8"/>
    <w:rsid w:val="08BB6589"/>
    <w:rsid w:val="08BB6635"/>
    <w:rsid w:val="08BB66E1"/>
    <w:rsid w:val="08BB6705"/>
    <w:rsid w:val="08BB6752"/>
    <w:rsid w:val="08BB67D9"/>
    <w:rsid w:val="08BB6886"/>
    <w:rsid w:val="08BB68A5"/>
    <w:rsid w:val="08BB6910"/>
    <w:rsid w:val="08BB6917"/>
    <w:rsid w:val="08BB6991"/>
    <w:rsid w:val="08BB6A7D"/>
    <w:rsid w:val="08BB6AC7"/>
    <w:rsid w:val="08BB6B25"/>
    <w:rsid w:val="08BB6B93"/>
    <w:rsid w:val="08BB6C00"/>
    <w:rsid w:val="08BB6C16"/>
    <w:rsid w:val="08BB6CBC"/>
    <w:rsid w:val="08BB6CE5"/>
    <w:rsid w:val="08BB6D35"/>
    <w:rsid w:val="08BB6D4F"/>
    <w:rsid w:val="08BB6DFB"/>
    <w:rsid w:val="08BB6E03"/>
    <w:rsid w:val="08BB6EA7"/>
    <w:rsid w:val="08BB6F33"/>
    <w:rsid w:val="08BB6F51"/>
    <w:rsid w:val="08BB6F5C"/>
    <w:rsid w:val="08BB6FBA"/>
    <w:rsid w:val="08BB70FC"/>
    <w:rsid w:val="08BB713B"/>
    <w:rsid w:val="08BB716E"/>
    <w:rsid w:val="08BB718F"/>
    <w:rsid w:val="08BB71A1"/>
    <w:rsid w:val="08BB72B6"/>
    <w:rsid w:val="08BB72EC"/>
    <w:rsid w:val="08BB73E3"/>
    <w:rsid w:val="08BB7431"/>
    <w:rsid w:val="08BB755A"/>
    <w:rsid w:val="08BB7691"/>
    <w:rsid w:val="08BB783B"/>
    <w:rsid w:val="08BB7869"/>
    <w:rsid w:val="08BB794B"/>
    <w:rsid w:val="08BB79B7"/>
    <w:rsid w:val="08BB7A53"/>
    <w:rsid w:val="08BB7AA6"/>
    <w:rsid w:val="08BB7B84"/>
    <w:rsid w:val="08BB7BAB"/>
    <w:rsid w:val="08BB7BCE"/>
    <w:rsid w:val="08BB7C28"/>
    <w:rsid w:val="08BB7CBA"/>
    <w:rsid w:val="08BB7D50"/>
    <w:rsid w:val="08BB7D63"/>
    <w:rsid w:val="08BB7D6A"/>
    <w:rsid w:val="08BB7DEA"/>
    <w:rsid w:val="08BB7DFD"/>
    <w:rsid w:val="08BB7F19"/>
    <w:rsid w:val="08BB7F8F"/>
    <w:rsid w:val="08BC004A"/>
    <w:rsid w:val="08BC0089"/>
    <w:rsid w:val="08BC0159"/>
    <w:rsid w:val="08BC0160"/>
    <w:rsid w:val="08BC0196"/>
    <w:rsid w:val="08BC01F7"/>
    <w:rsid w:val="08BC021D"/>
    <w:rsid w:val="08BC028A"/>
    <w:rsid w:val="08BC02B6"/>
    <w:rsid w:val="08BC02DB"/>
    <w:rsid w:val="08BC046B"/>
    <w:rsid w:val="08BC0475"/>
    <w:rsid w:val="08BC0479"/>
    <w:rsid w:val="08BC04A8"/>
    <w:rsid w:val="08BC04E3"/>
    <w:rsid w:val="08BC0633"/>
    <w:rsid w:val="08BC0730"/>
    <w:rsid w:val="08BC0816"/>
    <w:rsid w:val="08BC0817"/>
    <w:rsid w:val="08BC0825"/>
    <w:rsid w:val="08BC0890"/>
    <w:rsid w:val="08BC09DC"/>
    <w:rsid w:val="08BC0A50"/>
    <w:rsid w:val="08BC0A8E"/>
    <w:rsid w:val="08BC0AD4"/>
    <w:rsid w:val="08BC0BB2"/>
    <w:rsid w:val="08BC0C70"/>
    <w:rsid w:val="08BC0D0E"/>
    <w:rsid w:val="08BC0D23"/>
    <w:rsid w:val="08BC0E24"/>
    <w:rsid w:val="08BC0EC0"/>
    <w:rsid w:val="08BC0EE9"/>
    <w:rsid w:val="08BC0F93"/>
    <w:rsid w:val="08BC1035"/>
    <w:rsid w:val="08BC107E"/>
    <w:rsid w:val="08BC1184"/>
    <w:rsid w:val="08BC11FC"/>
    <w:rsid w:val="08BC121E"/>
    <w:rsid w:val="08BC1327"/>
    <w:rsid w:val="08BC134D"/>
    <w:rsid w:val="08BC1374"/>
    <w:rsid w:val="08BC13F2"/>
    <w:rsid w:val="08BC14C1"/>
    <w:rsid w:val="08BC158A"/>
    <w:rsid w:val="08BC15EC"/>
    <w:rsid w:val="08BC1636"/>
    <w:rsid w:val="08BC16EE"/>
    <w:rsid w:val="08BC177C"/>
    <w:rsid w:val="08BC17D5"/>
    <w:rsid w:val="08BC185A"/>
    <w:rsid w:val="08BC1938"/>
    <w:rsid w:val="08BC19A3"/>
    <w:rsid w:val="08BC1A65"/>
    <w:rsid w:val="08BC1AAD"/>
    <w:rsid w:val="08BC1B4C"/>
    <w:rsid w:val="08BC1B5C"/>
    <w:rsid w:val="08BC1C4C"/>
    <w:rsid w:val="08BC1C4F"/>
    <w:rsid w:val="08BC1C71"/>
    <w:rsid w:val="08BC1CAD"/>
    <w:rsid w:val="08BC1D47"/>
    <w:rsid w:val="08BC1D5D"/>
    <w:rsid w:val="08BC1E76"/>
    <w:rsid w:val="08BC1F3B"/>
    <w:rsid w:val="08BC1F80"/>
    <w:rsid w:val="08BC1FD8"/>
    <w:rsid w:val="08BC2208"/>
    <w:rsid w:val="08BC224C"/>
    <w:rsid w:val="08BC23AE"/>
    <w:rsid w:val="08BC2454"/>
    <w:rsid w:val="08BC24D4"/>
    <w:rsid w:val="08BC24E1"/>
    <w:rsid w:val="08BC2616"/>
    <w:rsid w:val="08BC26FB"/>
    <w:rsid w:val="08BC27DD"/>
    <w:rsid w:val="08BC28DD"/>
    <w:rsid w:val="08BC2906"/>
    <w:rsid w:val="08BC290B"/>
    <w:rsid w:val="08BC29AD"/>
    <w:rsid w:val="08BC29AE"/>
    <w:rsid w:val="08BC29C5"/>
    <w:rsid w:val="08BC2A61"/>
    <w:rsid w:val="08BC2A77"/>
    <w:rsid w:val="08BC2ABB"/>
    <w:rsid w:val="08BC2ABD"/>
    <w:rsid w:val="08BC2B2C"/>
    <w:rsid w:val="08BC2BA5"/>
    <w:rsid w:val="08BC2BEB"/>
    <w:rsid w:val="08BC2C7C"/>
    <w:rsid w:val="08BC2C81"/>
    <w:rsid w:val="08BC2C98"/>
    <w:rsid w:val="08BC2D13"/>
    <w:rsid w:val="08BC2D52"/>
    <w:rsid w:val="08BC2D73"/>
    <w:rsid w:val="08BC2D84"/>
    <w:rsid w:val="08BC2DDC"/>
    <w:rsid w:val="08BC2E44"/>
    <w:rsid w:val="08BC2F1E"/>
    <w:rsid w:val="08BC3023"/>
    <w:rsid w:val="08BC3046"/>
    <w:rsid w:val="08BC321E"/>
    <w:rsid w:val="08BC3227"/>
    <w:rsid w:val="08BC32AA"/>
    <w:rsid w:val="08BC32EB"/>
    <w:rsid w:val="08BC3375"/>
    <w:rsid w:val="08BC3388"/>
    <w:rsid w:val="08BC33CA"/>
    <w:rsid w:val="08BC350C"/>
    <w:rsid w:val="08BC358C"/>
    <w:rsid w:val="08BC358D"/>
    <w:rsid w:val="08BC3591"/>
    <w:rsid w:val="08BC35C0"/>
    <w:rsid w:val="08BC35D1"/>
    <w:rsid w:val="08BC360B"/>
    <w:rsid w:val="08BC3611"/>
    <w:rsid w:val="08BC364F"/>
    <w:rsid w:val="08BC36BB"/>
    <w:rsid w:val="08BC36D1"/>
    <w:rsid w:val="08BC3722"/>
    <w:rsid w:val="08BC376F"/>
    <w:rsid w:val="08BC380F"/>
    <w:rsid w:val="08BC38A7"/>
    <w:rsid w:val="08BC38BB"/>
    <w:rsid w:val="08BC3941"/>
    <w:rsid w:val="08BC3985"/>
    <w:rsid w:val="08BC39B1"/>
    <w:rsid w:val="08BC3A5E"/>
    <w:rsid w:val="08BC3A9E"/>
    <w:rsid w:val="08BC3C44"/>
    <w:rsid w:val="08BC3D0A"/>
    <w:rsid w:val="08BC3D12"/>
    <w:rsid w:val="08BC3D5E"/>
    <w:rsid w:val="08BC3DAF"/>
    <w:rsid w:val="08BC3E11"/>
    <w:rsid w:val="08BC3E7A"/>
    <w:rsid w:val="08BC3E87"/>
    <w:rsid w:val="08BC3F03"/>
    <w:rsid w:val="08BC3FE2"/>
    <w:rsid w:val="08BC4053"/>
    <w:rsid w:val="08BC405C"/>
    <w:rsid w:val="08BC413C"/>
    <w:rsid w:val="08BC417C"/>
    <w:rsid w:val="08BC41BA"/>
    <w:rsid w:val="08BC41C8"/>
    <w:rsid w:val="08BC41E9"/>
    <w:rsid w:val="08BC4253"/>
    <w:rsid w:val="08BC4348"/>
    <w:rsid w:val="08BC4358"/>
    <w:rsid w:val="08BC43AE"/>
    <w:rsid w:val="08BC43F4"/>
    <w:rsid w:val="08BC43F9"/>
    <w:rsid w:val="08BC44E9"/>
    <w:rsid w:val="08BC44ED"/>
    <w:rsid w:val="08BC4503"/>
    <w:rsid w:val="08BC450E"/>
    <w:rsid w:val="08BC4524"/>
    <w:rsid w:val="08BC452E"/>
    <w:rsid w:val="08BC471A"/>
    <w:rsid w:val="08BC47A0"/>
    <w:rsid w:val="08BC4847"/>
    <w:rsid w:val="08BC484A"/>
    <w:rsid w:val="08BC4857"/>
    <w:rsid w:val="08BC4920"/>
    <w:rsid w:val="08BC4981"/>
    <w:rsid w:val="08BC498B"/>
    <w:rsid w:val="08BC4AF9"/>
    <w:rsid w:val="08BC4B2E"/>
    <w:rsid w:val="08BC4BA1"/>
    <w:rsid w:val="08BC4BB8"/>
    <w:rsid w:val="08BC4BCC"/>
    <w:rsid w:val="08BC4DA6"/>
    <w:rsid w:val="08BC4E1E"/>
    <w:rsid w:val="08BC4E42"/>
    <w:rsid w:val="08BC4E90"/>
    <w:rsid w:val="08BC4F3B"/>
    <w:rsid w:val="08BC5079"/>
    <w:rsid w:val="08BC5084"/>
    <w:rsid w:val="08BC5142"/>
    <w:rsid w:val="08BC5254"/>
    <w:rsid w:val="08BC537F"/>
    <w:rsid w:val="08BC5421"/>
    <w:rsid w:val="08BC55D2"/>
    <w:rsid w:val="08BC561C"/>
    <w:rsid w:val="08BC5641"/>
    <w:rsid w:val="08BC56F7"/>
    <w:rsid w:val="08BC5704"/>
    <w:rsid w:val="08BC5753"/>
    <w:rsid w:val="08BC57BC"/>
    <w:rsid w:val="08BC599F"/>
    <w:rsid w:val="08BC59DA"/>
    <w:rsid w:val="08BC5A73"/>
    <w:rsid w:val="08BC5A99"/>
    <w:rsid w:val="08BC5B08"/>
    <w:rsid w:val="08BC5B61"/>
    <w:rsid w:val="08BC5B92"/>
    <w:rsid w:val="08BC5BB1"/>
    <w:rsid w:val="08BC5C17"/>
    <w:rsid w:val="08BC5CA5"/>
    <w:rsid w:val="08BC5CAD"/>
    <w:rsid w:val="08BC5CDE"/>
    <w:rsid w:val="08BC5D05"/>
    <w:rsid w:val="08BC5D26"/>
    <w:rsid w:val="08BC5D4F"/>
    <w:rsid w:val="08BC5D65"/>
    <w:rsid w:val="08BC5D90"/>
    <w:rsid w:val="08BC5E12"/>
    <w:rsid w:val="08BC5F2C"/>
    <w:rsid w:val="08BC5F40"/>
    <w:rsid w:val="08BC5F8B"/>
    <w:rsid w:val="08BC6001"/>
    <w:rsid w:val="08BC6021"/>
    <w:rsid w:val="08BC6042"/>
    <w:rsid w:val="08BC6078"/>
    <w:rsid w:val="08BC6088"/>
    <w:rsid w:val="08BC61DF"/>
    <w:rsid w:val="08BC6202"/>
    <w:rsid w:val="08BC6278"/>
    <w:rsid w:val="08BC630A"/>
    <w:rsid w:val="08BC6325"/>
    <w:rsid w:val="08BC63A6"/>
    <w:rsid w:val="08BC63AA"/>
    <w:rsid w:val="08BC63B8"/>
    <w:rsid w:val="08BC63F1"/>
    <w:rsid w:val="08BC64A4"/>
    <w:rsid w:val="08BC64AB"/>
    <w:rsid w:val="08BC6510"/>
    <w:rsid w:val="08BC6522"/>
    <w:rsid w:val="08BC6556"/>
    <w:rsid w:val="08BC65FE"/>
    <w:rsid w:val="08BC66A6"/>
    <w:rsid w:val="08BC6749"/>
    <w:rsid w:val="08BC6774"/>
    <w:rsid w:val="08BC6819"/>
    <w:rsid w:val="08BC6831"/>
    <w:rsid w:val="08BC6832"/>
    <w:rsid w:val="08BC687F"/>
    <w:rsid w:val="08BC6AC7"/>
    <w:rsid w:val="08BC6B0B"/>
    <w:rsid w:val="08BC6C01"/>
    <w:rsid w:val="08BC6CD4"/>
    <w:rsid w:val="08BC6E0F"/>
    <w:rsid w:val="08BC6E2F"/>
    <w:rsid w:val="08BC70CF"/>
    <w:rsid w:val="08BC70F9"/>
    <w:rsid w:val="08BC7173"/>
    <w:rsid w:val="08BC7373"/>
    <w:rsid w:val="08BC740C"/>
    <w:rsid w:val="08BC74AA"/>
    <w:rsid w:val="08BC74C1"/>
    <w:rsid w:val="08BC7577"/>
    <w:rsid w:val="08BC75AC"/>
    <w:rsid w:val="08BC76A6"/>
    <w:rsid w:val="08BC76C9"/>
    <w:rsid w:val="08BC77BE"/>
    <w:rsid w:val="08BC7811"/>
    <w:rsid w:val="08BC7853"/>
    <w:rsid w:val="08BC79C5"/>
    <w:rsid w:val="08BC7AD2"/>
    <w:rsid w:val="08BC7B6E"/>
    <w:rsid w:val="08BC7BBF"/>
    <w:rsid w:val="08BC7BF4"/>
    <w:rsid w:val="08BC7C24"/>
    <w:rsid w:val="08BC7CB1"/>
    <w:rsid w:val="08BC7CC3"/>
    <w:rsid w:val="08BC7D14"/>
    <w:rsid w:val="08BC7DFE"/>
    <w:rsid w:val="08BC7EF0"/>
    <w:rsid w:val="08BC7F20"/>
    <w:rsid w:val="08BC7FE8"/>
    <w:rsid w:val="08BD0002"/>
    <w:rsid w:val="08BD0036"/>
    <w:rsid w:val="08BD0056"/>
    <w:rsid w:val="08BD00BC"/>
    <w:rsid w:val="08BD014A"/>
    <w:rsid w:val="08BD017D"/>
    <w:rsid w:val="08BD01EF"/>
    <w:rsid w:val="08BD0220"/>
    <w:rsid w:val="08BD0295"/>
    <w:rsid w:val="08BD033F"/>
    <w:rsid w:val="08BD03A2"/>
    <w:rsid w:val="08BD0463"/>
    <w:rsid w:val="08BD04A7"/>
    <w:rsid w:val="08BD04D0"/>
    <w:rsid w:val="08BD05DD"/>
    <w:rsid w:val="08BD0608"/>
    <w:rsid w:val="08BD0728"/>
    <w:rsid w:val="08BD074F"/>
    <w:rsid w:val="08BD087F"/>
    <w:rsid w:val="08BD0888"/>
    <w:rsid w:val="08BD09DD"/>
    <w:rsid w:val="08BD0A7C"/>
    <w:rsid w:val="08BD0AB3"/>
    <w:rsid w:val="08BD0B70"/>
    <w:rsid w:val="08BD0C59"/>
    <w:rsid w:val="08BD0D91"/>
    <w:rsid w:val="08BD0DD1"/>
    <w:rsid w:val="08BD0E77"/>
    <w:rsid w:val="08BD0F33"/>
    <w:rsid w:val="08BD0F64"/>
    <w:rsid w:val="08BD10F1"/>
    <w:rsid w:val="08BD10FD"/>
    <w:rsid w:val="08BD1147"/>
    <w:rsid w:val="08BD1177"/>
    <w:rsid w:val="08BD1196"/>
    <w:rsid w:val="08BD119F"/>
    <w:rsid w:val="08BD11E1"/>
    <w:rsid w:val="08BD120E"/>
    <w:rsid w:val="08BD1343"/>
    <w:rsid w:val="08BD136D"/>
    <w:rsid w:val="08BD1379"/>
    <w:rsid w:val="08BD139F"/>
    <w:rsid w:val="08BD146B"/>
    <w:rsid w:val="08BD153E"/>
    <w:rsid w:val="08BD160F"/>
    <w:rsid w:val="08BD1612"/>
    <w:rsid w:val="08BD1658"/>
    <w:rsid w:val="08BD16F4"/>
    <w:rsid w:val="08BD1713"/>
    <w:rsid w:val="08BD1890"/>
    <w:rsid w:val="08BD18EE"/>
    <w:rsid w:val="08BD195E"/>
    <w:rsid w:val="08BD1A7E"/>
    <w:rsid w:val="08BD1B31"/>
    <w:rsid w:val="08BD1B36"/>
    <w:rsid w:val="08BD1BA4"/>
    <w:rsid w:val="08BD1C26"/>
    <w:rsid w:val="08BD1C51"/>
    <w:rsid w:val="08BD1C8F"/>
    <w:rsid w:val="08BD1C9E"/>
    <w:rsid w:val="08BD1CD3"/>
    <w:rsid w:val="08BD1CDB"/>
    <w:rsid w:val="08BD1D64"/>
    <w:rsid w:val="08BD1D6C"/>
    <w:rsid w:val="08BD1E15"/>
    <w:rsid w:val="08BD1E49"/>
    <w:rsid w:val="08BD1E76"/>
    <w:rsid w:val="08BD1F0C"/>
    <w:rsid w:val="08BD1F48"/>
    <w:rsid w:val="08BD1F5B"/>
    <w:rsid w:val="08BD1F5E"/>
    <w:rsid w:val="08BD1F7B"/>
    <w:rsid w:val="08BD1FA6"/>
    <w:rsid w:val="08BD201D"/>
    <w:rsid w:val="08BD20D0"/>
    <w:rsid w:val="08BD219F"/>
    <w:rsid w:val="08BD21B7"/>
    <w:rsid w:val="08BD2217"/>
    <w:rsid w:val="08BD22CC"/>
    <w:rsid w:val="08BD23F1"/>
    <w:rsid w:val="08BD23F3"/>
    <w:rsid w:val="08BD24B4"/>
    <w:rsid w:val="08BD25E4"/>
    <w:rsid w:val="08BD2604"/>
    <w:rsid w:val="08BD2607"/>
    <w:rsid w:val="08BD262A"/>
    <w:rsid w:val="08BD267C"/>
    <w:rsid w:val="08BD268F"/>
    <w:rsid w:val="08BD282E"/>
    <w:rsid w:val="08BD2850"/>
    <w:rsid w:val="08BD2865"/>
    <w:rsid w:val="08BD2876"/>
    <w:rsid w:val="08BD287E"/>
    <w:rsid w:val="08BD2A34"/>
    <w:rsid w:val="08BD2C83"/>
    <w:rsid w:val="08BD2CCB"/>
    <w:rsid w:val="08BD2D79"/>
    <w:rsid w:val="08BD2DD0"/>
    <w:rsid w:val="08BD2E5C"/>
    <w:rsid w:val="08BD2F0A"/>
    <w:rsid w:val="08BD2F97"/>
    <w:rsid w:val="08BD2FC0"/>
    <w:rsid w:val="08BD2FFE"/>
    <w:rsid w:val="08BD30DD"/>
    <w:rsid w:val="08BD31BB"/>
    <w:rsid w:val="08BD3237"/>
    <w:rsid w:val="08BD32A4"/>
    <w:rsid w:val="08BD3348"/>
    <w:rsid w:val="08BD334E"/>
    <w:rsid w:val="08BD337D"/>
    <w:rsid w:val="08BD3399"/>
    <w:rsid w:val="08BD33AC"/>
    <w:rsid w:val="08BD33D0"/>
    <w:rsid w:val="08BD3498"/>
    <w:rsid w:val="08BD3544"/>
    <w:rsid w:val="08BD3578"/>
    <w:rsid w:val="08BD35A8"/>
    <w:rsid w:val="08BD35AC"/>
    <w:rsid w:val="08BD3644"/>
    <w:rsid w:val="08BD3778"/>
    <w:rsid w:val="08BD38F2"/>
    <w:rsid w:val="08BD3A1A"/>
    <w:rsid w:val="08BD3A5A"/>
    <w:rsid w:val="08BD3AA6"/>
    <w:rsid w:val="08BD3CC1"/>
    <w:rsid w:val="08BD3E34"/>
    <w:rsid w:val="08BD3ECC"/>
    <w:rsid w:val="08BD4060"/>
    <w:rsid w:val="08BD4135"/>
    <w:rsid w:val="08BD413B"/>
    <w:rsid w:val="08BD415D"/>
    <w:rsid w:val="08BD416E"/>
    <w:rsid w:val="08BD4218"/>
    <w:rsid w:val="08BD422F"/>
    <w:rsid w:val="08BD4342"/>
    <w:rsid w:val="08BD4372"/>
    <w:rsid w:val="08BD439E"/>
    <w:rsid w:val="08BD43AC"/>
    <w:rsid w:val="08BD43B6"/>
    <w:rsid w:val="08BD43BB"/>
    <w:rsid w:val="08BD43C2"/>
    <w:rsid w:val="08BD4404"/>
    <w:rsid w:val="08BD440C"/>
    <w:rsid w:val="08BD447D"/>
    <w:rsid w:val="08BD4482"/>
    <w:rsid w:val="08BD4534"/>
    <w:rsid w:val="08BD4612"/>
    <w:rsid w:val="08BD4699"/>
    <w:rsid w:val="08BD482F"/>
    <w:rsid w:val="08BD487A"/>
    <w:rsid w:val="08BD48FA"/>
    <w:rsid w:val="08BD49CA"/>
    <w:rsid w:val="08BD49E6"/>
    <w:rsid w:val="08BD4A06"/>
    <w:rsid w:val="08BD4B3B"/>
    <w:rsid w:val="08BD4BBC"/>
    <w:rsid w:val="08BD4CCA"/>
    <w:rsid w:val="08BD4D10"/>
    <w:rsid w:val="08BD4D4D"/>
    <w:rsid w:val="08BD4E87"/>
    <w:rsid w:val="08BD4EB4"/>
    <w:rsid w:val="08BD4EDF"/>
    <w:rsid w:val="08BD4F3E"/>
    <w:rsid w:val="08BD4FC7"/>
    <w:rsid w:val="08BD4FCF"/>
    <w:rsid w:val="08BD5086"/>
    <w:rsid w:val="08BD5136"/>
    <w:rsid w:val="08BD5257"/>
    <w:rsid w:val="08BD52AA"/>
    <w:rsid w:val="08BD5330"/>
    <w:rsid w:val="08BD53CB"/>
    <w:rsid w:val="08BD5469"/>
    <w:rsid w:val="08BD54B5"/>
    <w:rsid w:val="08BD5584"/>
    <w:rsid w:val="08BD5627"/>
    <w:rsid w:val="08BD56BC"/>
    <w:rsid w:val="08BD584E"/>
    <w:rsid w:val="08BD5891"/>
    <w:rsid w:val="08BD58F2"/>
    <w:rsid w:val="08BD5916"/>
    <w:rsid w:val="08BD5974"/>
    <w:rsid w:val="08BD5AA9"/>
    <w:rsid w:val="08BD5AB1"/>
    <w:rsid w:val="08BD5AC4"/>
    <w:rsid w:val="08BD5B0C"/>
    <w:rsid w:val="08BD5B11"/>
    <w:rsid w:val="08BD5B6C"/>
    <w:rsid w:val="08BD5BB8"/>
    <w:rsid w:val="08BD5C0A"/>
    <w:rsid w:val="08BD5C14"/>
    <w:rsid w:val="08BD5DB8"/>
    <w:rsid w:val="08BD5DBD"/>
    <w:rsid w:val="08BD5EDA"/>
    <w:rsid w:val="08BD5FFC"/>
    <w:rsid w:val="08BD6062"/>
    <w:rsid w:val="08BD60AA"/>
    <w:rsid w:val="08BD6270"/>
    <w:rsid w:val="08BD62D4"/>
    <w:rsid w:val="08BD62FE"/>
    <w:rsid w:val="08BD6344"/>
    <w:rsid w:val="08BD635E"/>
    <w:rsid w:val="08BD63DF"/>
    <w:rsid w:val="08BD6453"/>
    <w:rsid w:val="08BD64A4"/>
    <w:rsid w:val="08BD64E7"/>
    <w:rsid w:val="08BD6517"/>
    <w:rsid w:val="08BD6581"/>
    <w:rsid w:val="08BD65DA"/>
    <w:rsid w:val="08BD6656"/>
    <w:rsid w:val="08BD6667"/>
    <w:rsid w:val="08BD6709"/>
    <w:rsid w:val="08BD671B"/>
    <w:rsid w:val="08BD6858"/>
    <w:rsid w:val="08BD68BE"/>
    <w:rsid w:val="08BD68DF"/>
    <w:rsid w:val="08BD68F0"/>
    <w:rsid w:val="08BD6904"/>
    <w:rsid w:val="08BD6942"/>
    <w:rsid w:val="08BD6948"/>
    <w:rsid w:val="08BD6965"/>
    <w:rsid w:val="08BD69F3"/>
    <w:rsid w:val="08BD6A2A"/>
    <w:rsid w:val="08BD6AB7"/>
    <w:rsid w:val="08BD6B03"/>
    <w:rsid w:val="08BD6BFB"/>
    <w:rsid w:val="08BD6CA3"/>
    <w:rsid w:val="08BD6D16"/>
    <w:rsid w:val="08BD6D7B"/>
    <w:rsid w:val="08BD6DCD"/>
    <w:rsid w:val="08BD6DD2"/>
    <w:rsid w:val="08BD6E3E"/>
    <w:rsid w:val="08BD6E3F"/>
    <w:rsid w:val="08BD6E45"/>
    <w:rsid w:val="08BD6E4E"/>
    <w:rsid w:val="08BD6E4F"/>
    <w:rsid w:val="08BD6E97"/>
    <w:rsid w:val="08BD6EBF"/>
    <w:rsid w:val="08BD6F02"/>
    <w:rsid w:val="08BD6F37"/>
    <w:rsid w:val="08BD6F79"/>
    <w:rsid w:val="08BD6FCF"/>
    <w:rsid w:val="08BD6FF2"/>
    <w:rsid w:val="08BD71E6"/>
    <w:rsid w:val="08BD7279"/>
    <w:rsid w:val="08BD7346"/>
    <w:rsid w:val="08BD7424"/>
    <w:rsid w:val="08BD744D"/>
    <w:rsid w:val="08BD74C4"/>
    <w:rsid w:val="08BD74C6"/>
    <w:rsid w:val="08BD7505"/>
    <w:rsid w:val="08BD750F"/>
    <w:rsid w:val="08BD757B"/>
    <w:rsid w:val="08BD75C6"/>
    <w:rsid w:val="08BD7654"/>
    <w:rsid w:val="08BD76DB"/>
    <w:rsid w:val="08BD778E"/>
    <w:rsid w:val="08BD779F"/>
    <w:rsid w:val="08BD77CA"/>
    <w:rsid w:val="08BD77FF"/>
    <w:rsid w:val="08BD783A"/>
    <w:rsid w:val="08BD791C"/>
    <w:rsid w:val="08BD79F4"/>
    <w:rsid w:val="08BD7ABB"/>
    <w:rsid w:val="08BD7B51"/>
    <w:rsid w:val="08BD7B77"/>
    <w:rsid w:val="08BD7B82"/>
    <w:rsid w:val="08BD7B85"/>
    <w:rsid w:val="08BD7BA6"/>
    <w:rsid w:val="08BD7BC0"/>
    <w:rsid w:val="08BD7CFF"/>
    <w:rsid w:val="08BD7D11"/>
    <w:rsid w:val="08BD7D77"/>
    <w:rsid w:val="08BD7D99"/>
    <w:rsid w:val="08BD7D9A"/>
    <w:rsid w:val="08BD7E6D"/>
    <w:rsid w:val="08BD7EF2"/>
    <w:rsid w:val="08BD7F43"/>
    <w:rsid w:val="08BD7F9A"/>
    <w:rsid w:val="08BD7F9B"/>
    <w:rsid w:val="08BD7FCF"/>
    <w:rsid w:val="08BE00AC"/>
    <w:rsid w:val="08BE00FC"/>
    <w:rsid w:val="08BE01C7"/>
    <w:rsid w:val="08BE02E4"/>
    <w:rsid w:val="08BE04A0"/>
    <w:rsid w:val="08BE04C5"/>
    <w:rsid w:val="08BE05E0"/>
    <w:rsid w:val="08BE0604"/>
    <w:rsid w:val="08BE0651"/>
    <w:rsid w:val="08BE067F"/>
    <w:rsid w:val="08BE068A"/>
    <w:rsid w:val="08BE06C0"/>
    <w:rsid w:val="08BE06D3"/>
    <w:rsid w:val="08BE06FC"/>
    <w:rsid w:val="08BE07DF"/>
    <w:rsid w:val="08BE083A"/>
    <w:rsid w:val="08BE08F2"/>
    <w:rsid w:val="08BE08FA"/>
    <w:rsid w:val="08BE091B"/>
    <w:rsid w:val="08BE0952"/>
    <w:rsid w:val="08BE0A53"/>
    <w:rsid w:val="08BE0B33"/>
    <w:rsid w:val="08BE0B61"/>
    <w:rsid w:val="08BE0B7F"/>
    <w:rsid w:val="08BE0BEB"/>
    <w:rsid w:val="08BE0C09"/>
    <w:rsid w:val="08BE0C27"/>
    <w:rsid w:val="08BE0D1C"/>
    <w:rsid w:val="08BE0D42"/>
    <w:rsid w:val="08BE0DDA"/>
    <w:rsid w:val="08BE0E1A"/>
    <w:rsid w:val="08BE0E44"/>
    <w:rsid w:val="08BE0EE6"/>
    <w:rsid w:val="08BE0EE9"/>
    <w:rsid w:val="08BE0FF0"/>
    <w:rsid w:val="08BE1069"/>
    <w:rsid w:val="08BE1335"/>
    <w:rsid w:val="08BE141E"/>
    <w:rsid w:val="08BE1450"/>
    <w:rsid w:val="08BE1463"/>
    <w:rsid w:val="08BE14A1"/>
    <w:rsid w:val="08BE15BE"/>
    <w:rsid w:val="08BE164B"/>
    <w:rsid w:val="08BE16EC"/>
    <w:rsid w:val="08BE170C"/>
    <w:rsid w:val="08BE18E2"/>
    <w:rsid w:val="08BE1994"/>
    <w:rsid w:val="08BE19B1"/>
    <w:rsid w:val="08BE1A75"/>
    <w:rsid w:val="08BE1A93"/>
    <w:rsid w:val="08BE1B24"/>
    <w:rsid w:val="08BE1B4C"/>
    <w:rsid w:val="08BE1C07"/>
    <w:rsid w:val="08BE1C28"/>
    <w:rsid w:val="08BE1CBE"/>
    <w:rsid w:val="08BE1D57"/>
    <w:rsid w:val="08BE1D8B"/>
    <w:rsid w:val="08BE1E48"/>
    <w:rsid w:val="08BE1EB0"/>
    <w:rsid w:val="08BE1ED3"/>
    <w:rsid w:val="08BE1F97"/>
    <w:rsid w:val="08BE1FB8"/>
    <w:rsid w:val="08BE1FDF"/>
    <w:rsid w:val="08BE20EB"/>
    <w:rsid w:val="08BE214D"/>
    <w:rsid w:val="08BE21A5"/>
    <w:rsid w:val="08BE21EF"/>
    <w:rsid w:val="08BE22C3"/>
    <w:rsid w:val="08BE2343"/>
    <w:rsid w:val="08BE23A1"/>
    <w:rsid w:val="08BE23FE"/>
    <w:rsid w:val="08BE2418"/>
    <w:rsid w:val="08BE2476"/>
    <w:rsid w:val="08BE2599"/>
    <w:rsid w:val="08BE2620"/>
    <w:rsid w:val="08BE26D0"/>
    <w:rsid w:val="08BE26DE"/>
    <w:rsid w:val="08BE2766"/>
    <w:rsid w:val="08BE276F"/>
    <w:rsid w:val="08BE28CE"/>
    <w:rsid w:val="08BE28F6"/>
    <w:rsid w:val="08BE298C"/>
    <w:rsid w:val="08BE29A1"/>
    <w:rsid w:val="08BE2A56"/>
    <w:rsid w:val="08BE2B39"/>
    <w:rsid w:val="08BE2B58"/>
    <w:rsid w:val="08BE2BD0"/>
    <w:rsid w:val="08BE2C61"/>
    <w:rsid w:val="08BE2CB6"/>
    <w:rsid w:val="08BE2D94"/>
    <w:rsid w:val="08BE2DEB"/>
    <w:rsid w:val="08BE2EFD"/>
    <w:rsid w:val="08BE2F8A"/>
    <w:rsid w:val="08BE2FBF"/>
    <w:rsid w:val="08BE302B"/>
    <w:rsid w:val="08BE320E"/>
    <w:rsid w:val="08BE326F"/>
    <w:rsid w:val="08BE336D"/>
    <w:rsid w:val="08BE33F6"/>
    <w:rsid w:val="08BE343E"/>
    <w:rsid w:val="08BE3482"/>
    <w:rsid w:val="08BE348F"/>
    <w:rsid w:val="08BE34CC"/>
    <w:rsid w:val="08BE3586"/>
    <w:rsid w:val="08BE35A4"/>
    <w:rsid w:val="08BE35AC"/>
    <w:rsid w:val="08BE3607"/>
    <w:rsid w:val="08BE367F"/>
    <w:rsid w:val="08BE3783"/>
    <w:rsid w:val="08BE37CF"/>
    <w:rsid w:val="08BE38D0"/>
    <w:rsid w:val="08BE3976"/>
    <w:rsid w:val="08BE3AE4"/>
    <w:rsid w:val="08BE3B3A"/>
    <w:rsid w:val="08BE3B95"/>
    <w:rsid w:val="08BE3BC3"/>
    <w:rsid w:val="08BE3CBF"/>
    <w:rsid w:val="08BE3CC9"/>
    <w:rsid w:val="08BE3D52"/>
    <w:rsid w:val="08BE3D53"/>
    <w:rsid w:val="08BE3E37"/>
    <w:rsid w:val="08BE3E6A"/>
    <w:rsid w:val="08BE3F6B"/>
    <w:rsid w:val="08BE3FA9"/>
    <w:rsid w:val="08BE3FD7"/>
    <w:rsid w:val="08BE4008"/>
    <w:rsid w:val="08BE4027"/>
    <w:rsid w:val="08BE40FF"/>
    <w:rsid w:val="08BE414D"/>
    <w:rsid w:val="08BE4190"/>
    <w:rsid w:val="08BE41B4"/>
    <w:rsid w:val="08BE4341"/>
    <w:rsid w:val="08BE4353"/>
    <w:rsid w:val="08BE4365"/>
    <w:rsid w:val="08BE4381"/>
    <w:rsid w:val="08BE43C8"/>
    <w:rsid w:val="08BE43E4"/>
    <w:rsid w:val="08BE43FC"/>
    <w:rsid w:val="08BE447C"/>
    <w:rsid w:val="08BE449B"/>
    <w:rsid w:val="08BE459A"/>
    <w:rsid w:val="08BE4611"/>
    <w:rsid w:val="08BE4634"/>
    <w:rsid w:val="08BE4697"/>
    <w:rsid w:val="08BE46FA"/>
    <w:rsid w:val="08BE4789"/>
    <w:rsid w:val="08BE47D5"/>
    <w:rsid w:val="08BE47D6"/>
    <w:rsid w:val="08BE47FB"/>
    <w:rsid w:val="08BE4905"/>
    <w:rsid w:val="08BE49B9"/>
    <w:rsid w:val="08BE4B06"/>
    <w:rsid w:val="08BE4CB9"/>
    <w:rsid w:val="08BE4DDB"/>
    <w:rsid w:val="08BE4DDC"/>
    <w:rsid w:val="08BE4F54"/>
    <w:rsid w:val="08BE50A1"/>
    <w:rsid w:val="08BE50E5"/>
    <w:rsid w:val="08BE50F9"/>
    <w:rsid w:val="08BE510A"/>
    <w:rsid w:val="08BE5177"/>
    <w:rsid w:val="08BE518E"/>
    <w:rsid w:val="08BE5204"/>
    <w:rsid w:val="08BE52BA"/>
    <w:rsid w:val="08BE5307"/>
    <w:rsid w:val="08BE546F"/>
    <w:rsid w:val="08BE5535"/>
    <w:rsid w:val="08BE5543"/>
    <w:rsid w:val="08BE55D1"/>
    <w:rsid w:val="08BE5603"/>
    <w:rsid w:val="08BE5648"/>
    <w:rsid w:val="08BE564C"/>
    <w:rsid w:val="08BE5688"/>
    <w:rsid w:val="08BE56F6"/>
    <w:rsid w:val="08BE570A"/>
    <w:rsid w:val="08BE5717"/>
    <w:rsid w:val="08BE57C6"/>
    <w:rsid w:val="08BE57C7"/>
    <w:rsid w:val="08BE5808"/>
    <w:rsid w:val="08BE580C"/>
    <w:rsid w:val="08BE5894"/>
    <w:rsid w:val="08BE58B9"/>
    <w:rsid w:val="08BE5A52"/>
    <w:rsid w:val="08BE5B17"/>
    <w:rsid w:val="08BE5B95"/>
    <w:rsid w:val="08BE5BED"/>
    <w:rsid w:val="08BE5C37"/>
    <w:rsid w:val="08BE5C65"/>
    <w:rsid w:val="08BE5C96"/>
    <w:rsid w:val="08BE5CC7"/>
    <w:rsid w:val="08BE5D60"/>
    <w:rsid w:val="08BE5E36"/>
    <w:rsid w:val="08BE5E4C"/>
    <w:rsid w:val="08BE5E76"/>
    <w:rsid w:val="08BE5F1C"/>
    <w:rsid w:val="08BE5FDA"/>
    <w:rsid w:val="08BE605B"/>
    <w:rsid w:val="08BE60B3"/>
    <w:rsid w:val="08BE633C"/>
    <w:rsid w:val="08BE633E"/>
    <w:rsid w:val="08BE6340"/>
    <w:rsid w:val="08BE6395"/>
    <w:rsid w:val="08BE63E8"/>
    <w:rsid w:val="08BE64C4"/>
    <w:rsid w:val="08BE6563"/>
    <w:rsid w:val="08BE6585"/>
    <w:rsid w:val="08BE65C7"/>
    <w:rsid w:val="08BE65CF"/>
    <w:rsid w:val="08BE6790"/>
    <w:rsid w:val="08BE67E7"/>
    <w:rsid w:val="08BE685C"/>
    <w:rsid w:val="08BE68DD"/>
    <w:rsid w:val="08BE68E5"/>
    <w:rsid w:val="08BE68EF"/>
    <w:rsid w:val="08BE69B4"/>
    <w:rsid w:val="08BE69CB"/>
    <w:rsid w:val="08BE69F1"/>
    <w:rsid w:val="08BE69F7"/>
    <w:rsid w:val="08BE6A79"/>
    <w:rsid w:val="08BE6B12"/>
    <w:rsid w:val="08BE6BB7"/>
    <w:rsid w:val="08BE6BC7"/>
    <w:rsid w:val="08BE6BFC"/>
    <w:rsid w:val="08BE6C45"/>
    <w:rsid w:val="08BE6C68"/>
    <w:rsid w:val="08BE6CAA"/>
    <w:rsid w:val="08BE6CC7"/>
    <w:rsid w:val="08BE6CCA"/>
    <w:rsid w:val="08BE6CF4"/>
    <w:rsid w:val="08BE6D1B"/>
    <w:rsid w:val="08BE6D98"/>
    <w:rsid w:val="08BE6F5F"/>
    <w:rsid w:val="08BE6FCA"/>
    <w:rsid w:val="08BE702D"/>
    <w:rsid w:val="08BE70B4"/>
    <w:rsid w:val="08BE714A"/>
    <w:rsid w:val="08BE727F"/>
    <w:rsid w:val="08BE72FA"/>
    <w:rsid w:val="08BE7325"/>
    <w:rsid w:val="08BE733C"/>
    <w:rsid w:val="08BE7370"/>
    <w:rsid w:val="08BE73B6"/>
    <w:rsid w:val="08BE7403"/>
    <w:rsid w:val="08BE74E7"/>
    <w:rsid w:val="08BE74F1"/>
    <w:rsid w:val="08BE76B8"/>
    <w:rsid w:val="08BE7774"/>
    <w:rsid w:val="08BE77B5"/>
    <w:rsid w:val="08BE77F7"/>
    <w:rsid w:val="08BE7869"/>
    <w:rsid w:val="08BE7915"/>
    <w:rsid w:val="08BE795C"/>
    <w:rsid w:val="08BE79AC"/>
    <w:rsid w:val="08BE79F2"/>
    <w:rsid w:val="08BE7A0C"/>
    <w:rsid w:val="08BE7A7A"/>
    <w:rsid w:val="08BE7B02"/>
    <w:rsid w:val="08BE7BAB"/>
    <w:rsid w:val="08BE7BC8"/>
    <w:rsid w:val="08BE7C13"/>
    <w:rsid w:val="08BE7C52"/>
    <w:rsid w:val="08BE7D19"/>
    <w:rsid w:val="08BE7D1F"/>
    <w:rsid w:val="08BE7DBA"/>
    <w:rsid w:val="08BE7E59"/>
    <w:rsid w:val="08BE7FC7"/>
    <w:rsid w:val="08BE7FD0"/>
    <w:rsid w:val="08BF007C"/>
    <w:rsid w:val="08BF0137"/>
    <w:rsid w:val="08BF014C"/>
    <w:rsid w:val="08BF01AE"/>
    <w:rsid w:val="08BF01B0"/>
    <w:rsid w:val="08BF01F1"/>
    <w:rsid w:val="08BF0216"/>
    <w:rsid w:val="08BF0279"/>
    <w:rsid w:val="08BF0315"/>
    <w:rsid w:val="08BF039F"/>
    <w:rsid w:val="08BF03EC"/>
    <w:rsid w:val="08BF0410"/>
    <w:rsid w:val="08BF0469"/>
    <w:rsid w:val="08BF055E"/>
    <w:rsid w:val="08BF0696"/>
    <w:rsid w:val="08BF08BE"/>
    <w:rsid w:val="08BF0923"/>
    <w:rsid w:val="08BF0944"/>
    <w:rsid w:val="08BF0A06"/>
    <w:rsid w:val="08BF0A21"/>
    <w:rsid w:val="08BF0B0D"/>
    <w:rsid w:val="08BF0BD2"/>
    <w:rsid w:val="08BF0D40"/>
    <w:rsid w:val="08BF0D62"/>
    <w:rsid w:val="08BF0DC6"/>
    <w:rsid w:val="08BF0E07"/>
    <w:rsid w:val="08BF0E16"/>
    <w:rsid w:val="08BF0E38"/>
    <w:rsid w:val="08BF0F0F"/>
    <w:rsid w:val="08BF0F64"/>
    <w:rsid w:val="08BF0F77"/>
    <w:rsid w:val="08BF10D5"/>
    <w:rsid w:val="08BF1152"/>
    <w:rsid w:val="08BF11F1"/>
    <w:rsid w:val="08BF1361"/>
    <w:rsid w:val="08BF13CE"/>
    <w:rsid w:val="08BF156D"/>
    <w:rsid w:val="08BF158A"/>
    <w:rsid w:val="08BF15D9"/>
    <w:rsid w:val="08BF1609"/>
    <w:rsid w:val="08BF17FE"/>
    <w:rsid w:val="08BF184C"/>
    <w:rsid w:val="08BF1852"/>
    <w:rsid w:val="08BF188C"/>
    <w:rsid w:val="08BF18AE"/>
    <w:rsid w:val="08BF1990"/>
    <w:rsid w:val="08BF19DA"/>
    <w:rsid w:val="08BF1A47"/>
    <w:rsid w:val="08BF1B0A"/>
    <w:rsid w:val="08BF1B89"/>
    <w:rsid w:val="08BF1CB6"/>
    <w:rsid w:val="08BF1D49"/>
    <w:rsid w:val="08BF1DA5"/>
    <w:rsid w:val="08BF1DBF"/>
    <w:rsid w:val="08BF1E1B"/>
    <w:rsid w:val="08BF1EDC"/>
    <w:rsid w:val="08BF1F22"/>
    <w:rsid w:val="08BF1F3A"/>
    <w:rsid w:val="08BF1FA4"/>
    <w:rsid w:val="08BF1FFC"/>
    <w:rsid w:val="08BF2036"/>
    <w:rsid w:val="08BF2048"/>
    <w:rsid w:val="08BF20D5"/>
    <w:rsid w:val="08BF21D9"/>
    <w:rsid w:val="08BF2201"/>
    <w:rsid w:val="08BF22A1"/>
    <w:rsid w:val="08BF22E3"/>
    <w:rsid w:val="08BF237F"/>
    <w:rsid w:val="08BF23E5"/>
    <w:rsid w:val="08BF23E6"/>
    <w:rsid w:val="08BF240E"/>
    <w:rsid w:val="08BF2416"/>
    <w:rsid w:val="08BF245D"/>
    <w:rsid w:val="08BF2476"/>
    <w:rsid w:val="08BF24CB"/>
    <w:rsid w:val="08BF24F4"/>
    <w:rsid w:val="08BF251E"/>
    <w:rsid w:val="08BF257E"/>
    <w:rsid w:val="08BF2663"/>
    <w:rsid w:val="08BF26F0"/>
    <w:rsid w:val="08BF285F"/>
    <w:rsid w:val="08BF28D0"/>
    <w:rsid w:val="08BF28EA"/>
    <w:rsid w:val="08BF297E"/>
    <w:rsid w:val="08BF2987"/>
    <w:rsid w:val="08BF298D"/>
    <w:rsid w:val="08BF2997"/>
    <w:rsid w:val="08BF29A0"/>
    <w:rsid w:val="08BF2A18"/>
    <w:rsid w:val="08BF2A51"/>
    <w:rsid w:val="08BF2AB8"/>
    <w:rsid w:val="08BF2AE8"/>
    <w:rsid w:val="08BF2B43"/>
    <w:rsid w:val="08BF2C58"/>
    <w:rsid w:val="08BF2C74"/>
    <w:rsid w:val="08BF2CE8"/>
    <w:rsid w:val="08BF2E00"/>
    <w:rsid w:val="08BF2E93"/>
    <w:rsid w:val="08BF2EC1"/>
    <w:rsid w:val="08BF2FA8"/>
    <w:rsid w:val="08BF3043"/>
    <w:rsid w:val="08BF30B3"/>
    <w:rsid w:val="08BF31F5"/>
    <w:rsid w:val="08BF3230"/>
    <w:rsid w:val="08BF3236"/>
    <w:rsid w:val="08BF3261"/>
    <w:rsid w:val="08BF32EE"/>
    <w:rsid w:val="08BF332E"/>
    <w:rsid w:val="08BF33EB"/>
    <w:rsid w:val="08BF33F6"/>
    <w:rsid w:val="08BF3457"/>
    <w:rsid w:val="08BF3533"/>
    <w:rsid w:val="08BF3567"/>
    <w:rsid w:val="08BF35BD"/>
    <w:rsid w:val="08BF38E2"/>
    <w:rsid w:val="08BF3950"/>
    <w:rsid w:val="08BF39D6"/>
    <w:rsid w:val="08BF3A41"/>
    <w:rsid w:val="08BF3ADB"/>
    <w:rsid w:val="08BF3B3D"/>
    <w:rsid w:val="08BF3B50"/>
    <w:rsid w:val="08BF3B65"/>
    <w:rsid w:val="08BF3B68"/>
    <w:rsid w:val="08BF3BC1"/>
    <w:rsid w:val="08BF3BF7"/>
    <w:rsid w:val="08BF3C22"/>
    <w:rsid w:val="08BF3C30"/>
    <w:rsid w:val="08BF3C56"/>
    <w:rsid w:val="08BF3C8B"/>
    <w:rsid w:val="08BF3D6B"/>
    <w:rsid w:val="08BF3DBE"/>
    <w:rsid w:val="08BF3E01"/>
    <w:rsid w:val="08BF3E25"/>
    <w:rsid w:val="08BF3E2B"/>
    <w:rsid w:val="08BF3E7D"/>
    <w:rsid w:val="08BF3E94"/>
    <w:rsid w:val="08BF3EBC"/>
    <w:rsid w:val="08BF3FCD"/>
    <w:rsid w:val="08BF401C"/>
    <w:rsid w:val="08BF40BD"/>
    <w:rsid w:val="08BF444D"/>
    <w:rsid w:val="08BF445D"/>
    <w:rsid w:val="08BF4520"/>
    <w:rsid w:val="08BF459C"/>
    <w:rsid w:val="08BF45D2"/>
    <w:rsid w:val="08BF45D9"/>
    <w:rsid w:val="08BF45E0"/>
    <w:rsid w:val="08BF45F0"/>
    <w:rsid w:val="08BF45F7"/>
    <w:rsid w:val="08BF4622"/>
    <w:rsid w:val="08BF4652"/>
    <w:rsid w:val="08BF46B5"/>
    <w:rsid w:val="08BF474D"/>
    <w:rsid w:val="08BF475D"/>
    <w:rsid w:val="08BF47A6"/>
    <w:rsid w:val="08BF47EB"/>
    <w:rsid w:val="08BF47EE"/>
    <w:rsid w:val="08BF47F1"/>
    <w:rsid w:val="08BF4829"/>
    <w:rsid w:val="08BF483D"/>
    <w:rsid w:val="08BF493B"/>
    <w:rsid w:val="08BF4BD3"/>
    <w:rsid w:val="08BF4C4D"/>
    <w:rsid w:val="08BF4C9E"/>
    <w:rsid w:val="08BF4CB7"/>
    <w:rsid w:val="08BF4CF4"/>
    <w:rsid w:val="08BF4D46"/>
    <w:rsid w:val="08BF4D63"/>
    <w:rsid w:val="08BF4D8C"/>
    <w:rsid w:val="08BF4DBC"/>
    <w:rsid w:val="08BF4E17"/>
    <w:rsid w:val="08BF4E38"/>
    <w:rsid w:val="08BF4E51"/>
    <w:rsid w:val="08BF4E58"/>
    <w:rsid w:val="08BF4F62"/>
    <w:rsid w:val="08BF50A9"/>
    <w:rsid w:val="08BF5147"/>
    <w:rsid w:val="08BF5152"/>
    <w:rsid w:val="08BF5156"/>
    <w:rsid w:val="08BF5269"/>
    <w:rsid w:val="08BF5286"/>
    <w:rsid w:val="08BF53BA"/>
    <w:rsid w:val="08BF53F8"/>
    <w:rsid w:val="08BF54E1"/>
    <w:rsid w:val="08BF54E8"/>
    <w:rsid w:val="08BF563E"/>
    <w:rsid w:val="08BF565F"/>
    <w:rsid w:val="08BF5694"/>
    <w:rsid w:val="08BF5714"/>
    <w:rsid w:val="08BF57E6"/>
    <w:rsid w:val="08BF58B0"/>
    <w:rsid w:val="08BF5A74"/>
    <w:rsid w:val="08BF5A76"/>
    <w:rsid w:val="08BF5BA6"/>
    <w:rsid w:val="08BF5C03"/>
    <w:rsid w:val="08BF5C0A"/>
    <w:rsid w:val="08BF5C37"/>
    <w:rsid w:val="08BF5C49"/>
    <w:rsid w:val="08BF5DDD"/>
    <w:rsid w:val="08BF5E3E"/>
    <w:rsid w:val="08BF5EF9"/>
    <w:rsid w:val="08BF5F86"/>
    <w:rsid w:val="08BF5F8E"/>
    <w:rsid w:val="08BF5FAA"/>
    <w:rsid w:val="08BF6065"/>
    <w:rsid w:val="08BF6078"/>
    <w:rsid w:val="08BF60A7"/>
    <w:rsid w:val="08BF610B"/>
    <w:rsid w:val="08BF6186"/>
    <w:rsid w:val="08BF61B3"/>
    <w:rsid w:val="08BF61F3"/>
    <w:rsid w:val="08BF6233"/>
    <w:rsid w:val="08BF623F"/>
    <w:rsid w:val="08BF62A2"/>
    <w:rsid w:val="08BF62F5"/>
    <w:rsid w:val="08BF64BE"/>
    <w:rsid w:val="08BF6572"/>
    <w:rsid w:val="08BF65E2"/>
    <w:rsid w:val="08BF67CF"/>
    <w:rsid w:val="08BF6869"/>
    <w:rsid w:val="08BF692B"/>
    <w:rsid w:val="08BF6986"/>
    <w:rsid w:val="08BF69D3"/>
    <w:rsid w:val="08BF6A21"/>
    <w:rsid w:val="08BF6A40"/>
    <w:rsid w:val="08BF6A62"/>
    <w:rsid w:val="08BF6A91"/>
    <w:rsid w:val="08BF6AF9"/>
    <w:rsid w:val="08BF6BE5"/>
    <w:rsid w:val="08BF6CE7"/>
    <w:rsid w:val="08BF6CEF"/>
    <w:rsid w:val="08BF6D69"/>
    <w:rsid w:val="08BF6D77"/>
    <w:rsid w:val="08BF6DF8"/>
    <w:rsid w:val="08BF6ED3"/>
    <w:rsid w:val="08BF6F2A"/>
    <w:rsid w:val="08BF6FC9"/>
    <w:rsid w:val="08BF7098"/>
    <w:rsid w:val="08BF7102"/>
    <w:rsid w:val="08BF7107"/>
    <w:rsid w:val="08BF710C"/>
    <w:rsid w:val="08BF712A"/>
    <w:rsid w:val="08BF717D"/>
    <w:rsid w:val="08BF717E"/>
    <w:rsid w:val="08BF71DB"/>
    <w:rsid w:val="08BF727C"/>
    <w:rsid w:val="08BF72A4"/>
    <w:rsid w:val="08BF72AC"/>
    <w:rsid w:val="08BF7393"/>
    <w:rsid w:val="08BF73AF"/>
    <w:rsid w:val="08BF73BE"/>
    <w:rsid w:val="08BF73F0"/>
    <w:rsid w:val="08BF7444"/>
    <w:rsid w:val="08BF7672"/>
    <w:rsid w:val="08BF768A"/>
    <w:rsid w:val="08BF76AE"/>
    <w:rsid w:val="08BF76AF"/>
    <w:rsid w:val="08BF76E5"/>
    <w:rsid w:val="08BF7739"/>
    <w:rsid w:val="08BF7800"/>
    <w:rsid w:val="08BF789E"/>
    <w:rsid w:val="08BF793F"/>
    <w:rsid w:val="08BF799E"/>
    <w:rsid w:val="08BF79C5"/>
    <w:rsid w:val="08BF7A34"/>
    <w:rsid w:val="08BF7AD7"/>
    <w:rsid w:val="08BF7AEF"/>
    <w:rsid w:val="08BF7BE7"/>
    <w:rsid w:val="08BF7CA7"/>
    <w:rsid w:val="08BF7CE0"/>
    <w:rsid w:val="08BF7D3C"/>
    <w:rsid w:val="08BF7D89"/>
    <w:rsid w:val="08BF7DAA"/>
    <w:rsid w:val="08BF7E0B"/>
    <w:rsid w:val="08BF7E3E"/>
    <w:rsid w:val="08BF7F5F"/>
    <w:rsid w:val="08BF7F90"/>
    <w:rsid w:val="08C00056"/>
    <w:rsid w:val="08C0009C"/>
    <w:rsid w:val="08C001A4"/>
    <w:rsid w:val="08C001B5"/>
    <w:rsid w:val="08C001C3"/>
    <w:rsid w:val="08C00295"/>
    <w:rsid w:val="08C003AB"/>
    <w:rsid w:val="08C0047B"/>
    <w:rsid w:val="08C004BE"/>
    <w:rsid w:val="08C004E4"/>
    <w:rsid w:val="08C0056D"/>
    <w:rsid w:val="08C005CC"/>
    <w:rsid w:val="08C0060F"/>
    <w:rsid w:val="08C0064B"/>
    <w:rsid w:val="08C0081D"/>
    <w:rsid w:val="08C008CE"/>
    <w:rsid w:val="08C009BF"/>
    <w:rsid w:val="08C00A3C"/>
    <w:rsid w:val="08C00A69"/>
    <w:rsid w:val="08C00AA5"/>
    <w:rsid w:val="08C00BA0"/>
    <w:rsid w:val="08C00DFB"/>
    <w:rsid w:val="08C00E30"/>
    <w:rsid w:val="08C00E46"/>
    <w:rsid w:val="08C01018"/>
    <w:rsid w:val="08C0104D"/>
    <w:rsid w:val="08C010B2"/>
    <w:rsid w:val="08C010CF"/>
    <w:rsid w:val="08C01169"/>
    <w:rsid w:val="08C0128D"/>
    <w:rsid w:val="08C013F2"/>
    <w:rsid w:val="08C01473"/>
    <w:rsid w:val="08C01504"/>
    <w:rsid w:val="08C01514"/>
    <w:rsid w:val="08C01515"/>
    <w:rsid w:val="08C01528"/>
    <w:rsid w:val="08C01592"/>
    <w:rsid w:val="08C015B3"/>
    <w:rsid w:val="08C015F7"/>
    <w:rsid w:val="08C0168E"/>
    <w:rsid w:val="08C016E2"/>
    <w:rsid w:val="08C0182B"/>
    <w:rsid w:val="08C0184C"/>
    <w:rsid w:val="08C018D0"/>
    <w:rsid w:val="08C0192A"/>
    <w:rsid w:val="08C01963"/>
    <w:rsid w:val="08C01993"/>
    <w:rsid w:val="08C019D2"/>
    <w:rsid w:val="08C019E4"/>
    <w:rsid w:val="08C01B79"/>
    <w:rsid w:val="08C01BCC"/>
    <w:rsid w:val="08C01BD8"/>
    <w:rsid w:val="08C01C74"/>
    <w:rsid w:val="08C01CAF"/>
    <w:rsid w:val="08C01D73"/>
    <w:rsid w:val="08C01D9E"/>
    <w:rsid w:val="08C01DB1"/>
    <w:rsid w:val="08C01DC4"/>
    <w:rsid w:val="08C01E29"/>
    <w:rsid w:val="08C01ED8"/>
    <w:rsid w:val="08C01FF8"/>
    <w:rsid w:val="08C01FFA"/>
    <w:rsid w:val="08C02044"/>
    <w:rsid w:val="08C020BC"/>
    <w:rsid w:val="08C020F1"/>
    <w:rsid w:val="08C0219E"/>
    <w:rsid w:val="08C021F4"/>
    <w:rsid w:val="08C0221B"/>
    <w:rsid w:val="08C02223"/>
    <w:rsid w:val="08C0228A"/>
    <w:rsid w:val="08C022B6"/>
    <w:rsid w:val="08C02329"/>
    <w:rsid w:val="08C024C7"/>
    <w:rsid w:val="08C02511"/>
    <w:rsid w:val="08C025EF"/>
    <w:rsid w:val="08C0263D"/>
    <w:rsid w:val="08C0265F"/>
    <w:rsid w:val="08C02674"/>
    <w:rsid w:val="08C027E4"/>
    <w:rsid w:val="08C02944"/>
    <w:rsid w:val="08C029FC"/>
    <w:rsid w:val="08C02B11"/>
    <w:rsid w:val="08C02BF0"/>
    <w:rsid w:val="08C02C1E"/>
    <w:rsid w:val="08C02C9C"/>
    <w:rsid w:val="08C02CD7"/>
    <w:rsid w:val="08C02CF7"/>
    <w:rsid w:val="08C02E28"/>
    <w:rsid w:val="08C02E30"/>
    <w:rsid w:val="08C02E76"/>
    <w:rsid w:val="08C02EE6"/>
    <w:rsid w:val="08C02F90"/>
    <w:rsid w:val="08C02FD8"/>
    <w:rsid w:val="08C0301C"/>
    <w:rsid w:val="08C030A7"/>
    <w:rsid w:val="08C030EC"/>
    <w:rsid w:val="08C03127"/>
    <w:rsid w:val="08C03173"/>
    <w:rsid w:val="08C031D5"/>
    <w:rsid w:val="08C031DE"/>
    <w:rsid w:val="08C03209"/>
    <w:rsid w:val="08C0330B"/>
    <w:rsid w:val="08C03358"/>
    <w:rsid w:val="08C03362"/>
    <w:rsid w:val="08C0339E"/>
    <w:rsid w:val="08C0348F"/>
    <w:rsid w:val="08C0357B"/>
    <w:rsid w:val="08C0359F"/>
    <w:rsid w:val="08C035CD"/>
    <w:rsid w:val="08C036AA"/>
    <w:rsid w:val="08C03774"/>
    <w:rsid w:val="08C03775"/>
    <w:rsid w:val="08C038CA"/>
    <w:rsid w:val="08C03917"/>
    <w:rsid w:val="08C03918"/>
    <w:rsid w:val="08C03998"/>
    <w:rsid w:val="08C039C5"/>
    <w:rsid w:val="08C039CA"/>
    <w:rsid w:val="08C03A90"/>
    <w:rsid w:val="08C03AE2"/>
    <w:rsid w:val="08C03B9A"/>
    <w:rsid w:val="08C03C67"/>
    <w:rsid w:val="08C03D35"/>
    <w:rsid w:val="08C03D61"/>
    <w:rsid w:val="08C03E0F"/>
    <w:rsid w:val="08C03E45"/>
    <w:rsid w:val="08C03E47"/>
    <w:rsid w:val="08C03E75"/>
    <w:rsid w:val="08C03E92"/>
    <w:rsid w:val="08C03F2B"/>
    <w:rsid w:val="08C03FB6"/>
    <w:rsid w:val="08C03FC0"/>
    <w:rsid w:val="08C04077"/>
    <w:rsid w:val="08C040EF"/>
    <w:rsid w:val="08C040F9"/>
    <w:rsid w:val="08C04155"/>
    <w:rsid w:val="08C04192"/>
    <w:rsid w:val="08C0424A"/>
    <w:rsid w:val="08C04272"/>
    <w:rsid w:val="08C04276"/>
    <w:rsid w:val="08C042DC"/>
    <w:rsid w:val="08C04309"/>
    <w:rsid w:val="08C04410"/>
    <w:rsid w:val="08C04478"/>
    <w:rsid w:val="08C0447E"/>
    <w:rsid w:val="08C044CC"/>
    <w:rsid w:val="08C044D3"/>
    <w:rsid w:val="08C044DF"/>
    <w:rsid w:val="08C044E9"/>
    <w:rsid w:val="08C04535"/>
    <w:rsid w:val="08C0453B"/>
    <w:rsid w:val="08C04576"/>
    <w:rsid w:val="08C04591"/>
    <w:rsid w:val="08C04658"/>
    <w:rsid w:val="08C0469C"/>
    <w:rsid w:val="08C046C3"/>
    <w:rsid w:val="08C047CA"/>
    <w:rsid w:val="08C04853"/>
    <w:rsid w:val="08C0490D"/>
    <w:rsid w:val="08C04933"/>
    <w:rsid w:val="08C049A9"/>
    <w:rsid w:val="08C049B1"/>
    <w:rsid w:val="08C04A8F"/>
    <w:rsid w:val="08C04AD1"/>
    <w:rsid w:val="08C04B4F"/>
    <w:rsid w:val="08C04B69"/>
    <w:rsid w:val="08C04C63"/>
    <w:rsid w:val="08C04D56"/>
    <w:rsid w:val="08C04D9A"/>
    <w:rsid w:val="08C04DCA"/>
    <w:rsid w:val="08C04E02"/>
    <w:rsid w:val="08C04F43"/>
    <w:rsid w:val="08C050E7"/>
    <w:rsid w:val="08C050FC"/>
    <w:rsid w:val="08C051C9"/>
    <w:rsid w:val="08C05246"/>
    <w:rsid w:val="08C052C6"/>
    <w:rsid w:val="08C052E8"/>
    <w:rsid w:val="08C0536E"/>
    <w:rsid w:val="08C0541D"/>
    <w:rsid w:val="08C05451"/>
    <w:rsid w:val="08C054BE"/>
    <w:rsid w:val="08C054CA"/>
    <w:rsid w:val="08C054E2"/>
    <w:rsid w:val="08C055BA"/>
    <w:rsid w:val="08C055E9"/>
    <w:rsid w:val="08C05600"/>
    <w:rsid w:val="08C0572B"/>
    <w:rsid w:val="08C05763"/>
    <w:rsid w:val="08C057C1"/>
    <w:rsid w:val="08C05824"/>
    <w:rsid w:val="08C0584B"/>
    <w:rsid w:val="08C0595B"/>
    <w:rsid w:val="08C059BB"/>
    <w:rsid w:val="08C05A7B"/>
    <w:rsid w:val="08C05CE4"/>
    <w:rsid w:val="08C05D09"/>
    <w:rsid w:val="08C05D1A"/>
    <w:rsid w:val="08C05D9D"/>
    <w:rsid w:val="08C05EF3"/>
    <w:rsid w:val="08C06040"/>
    <w:rsid w:val="08C06095"/>
    <w:rsid w:val="08C060E3"/>
    <w:rsid w:val="08C06128"/>
    <w:rsid w:val="08C06165"/>
    <w:rsid w:val="08C06184"/>
    <w:rsid w:val="08C061B6"/>
    <w:rsid w:val="08C061E5"/>
    <w:rsid w:val="08C061F7"/>
    <w:rsid w:val="08C0626C"/>
    <w:rsid w:val="08C06274"/>
    <w:rsid w:val="08C0627C"/>
    <w:rsid w:val="08C062F9"/>
    <w:rsid w:val="08C0637E"/>
    <w:rsid w:val="08C06433"/>
    <w:rsid w:val="08C06598"/>
    <w:rsid w:val="08C065EB"/>
    <w:rsid w:val="08C06601"/>
    <w:rsid w:val="08C06650"/>
    <w:rsid w:val="08C066F4"/>
    <w:rsid w:val="08C0676D"/>
    <w:rsid w:val="08C06788"/>
    <w:rsid w:val="08C067C2"/>
    <w:rsid w:val="08C067E0"/>
    <w:rsid w:val="08C0680A"/>
    <w:rsid w:val="08C0682A"/>
    <w:rsid w:val="08C06834"/>
    <w:rsid w:val="08C068B1"/>
    <w:rsid w:val="08C06907"/>
    <w:rsid w:val="08C06A0A"/>
    <w:rsid w:val="08C06AAC"/>
    <w:rsid w:val="08C06BEE"/>
    <w:rsid w:val="08C06D16"/>
    <w:rsid w:val="08C06D37"/>
    <w:rsid w:val="08C06D94"/>
    <w:rsid w:val="08C06E4B"/>
    <w:rsid w:val="08C06E52"/>
    <w:rsid w:val="08C06E5B"/>
    <w:rsid w:val="08C06E6E"/>
    <w:rsid w:val="08C06EB9"/>
    <w:rsid w:val="08C06F2B"/>
    <w:rsid w:val="08C06F37"/>
    <w:rsid w:val="08C06FC8"/>
    <w:rsid w:val="08C07021"/>
    <w:rsid w:val="08C07054"/>
    <w:rsid w:val="08C0707B"/>
    <w:rsid w:val="08C07083"/>
    <w:rsid w:val="08C0712D"/>
    <w:rsid w:val="08C07173"/>
    <w:rsid w:val="08C07267"/>
    <w:rsid w:val="08C07276"/>
    <w:rsid w:val="08C0734F"/>
    <w:rsid w:val="08C0752C"/>
    <w:rsid w:val="08C07582"/>
    <w:rsid w:val="08C0758E"/>
    <w:rsid w:val="08C075F0"/>
    <w:rsid w:val="08C076D9"/>
    <w:rsid w:val="08C07775"/>
    <w:rsid w:val="08C0782B"/>
    <w:rsid w:val="08C0798E"/>
    <w:rsid w:val="08C079B8"/>
    <w:rsid w:val="08C079BF"/>
    <w:rsid w:val="08C07A2F"/>
    <w:rsid w:val="08C07A93"/>
    <w:rsid w:val="08C07B82"/>
    <w:rsid w:val="08C07C47"/>
    <w:rsid w:val="08C07CA2"/>
    <w:rsid w:val="08C07CA3"/>
    <w:rsid w:val="08C07D57"/>
    <w:rsid w:val="08C07D74"/>
    <w:rsid w:val="08C07DD1"/>
    <w:rsid w:val="08C07EFE"/>
    <w:rsid w:val="08C07F35"/>
    <w:rsid w:val="08C07F43"/>
    <w:rsid w:val="08C07F98"/>
    <w:rsid w:val="08C1005E"/>
    <w:rsid w:val="08C10060"/>
    <w:rsid w:val="08C10099"/>
    <w:rsid w:val="08C101AC"/>
    <w:rsid w:val="08C101B7"/>
    <w:rsid w:val="08C1020E"/>
    <w:rsid w:val="08C10259"/>
    <w:rsid w:val="08C10281"/>
    <w:rsid w:val="08C102A0"/>
    <w:rsid w:val="08C102C3"/>
    <w:rsid w:val="08C103E3"/>
    <w:rsid w:val="08C1041F"/>
    <w:rsid w:val="08C1046C"/>
    <w:rsid w:val="08C1049C"/>
    <w:rsid w:val="08C10505"/>
    <w:rsid w:val="08C1051B"/>
    <w:rsid w:val="08C10568"/>
    <w:rsid w:val="08C105FE"/>
    <w:rsid w:val="08C10717"/>
    <w:rsid w:val="08C107F6"/>
    <w:rsid w:val="08C10959"/>
    <w:rsid w:val="08C10A93"/>
    <w:rsid w:val="08C10B46"/>
    <w:rsid w:val="08C10B56"/>
    <w:rsid w:val="08C10B5F"/>
    <w:rsid w:val="08C10BAE"/>
    <w:rsid w:val="08C10C3E"/>
    <w:rsid w:val="08C10C50"/>
    <w:rsid w:val="08C10E38"/>
    <w:rsid w:val="08C10F1A"/>
    <w:rsid w:val="08C10F6A"/>
    <w:rsid w:val="08C10FE2"/>
    <w:rsid w:val="08C11000"/>
    <w:rsid w:val="08C110A1"/>
    <w:rsid w:val="08C110F8"/>
    <w:rsid w:val="08C11129"/>
    <w:rsid w:val="08C11134"/>
    <w:rsid w:val="08C1117B"/>
    <w:rsid w:val="08C111AC"/>
    <w:rsid w:val="08C111AE"/>
    <w:rsid w:val="08C1126D"/>
    <w:rsid w:val="08C113A7"/>
    <w:rsid w:val="08C113DC"/>
    <w:rsid w:val="08C1146B"/>
    <w:rsid w:val="08C11479"/>
    <w:rsid w:val="08C1151A"/>
    <w:rsid w:val="08C11655"/>
    <w:rsid w:val="08C1170B"/>
    <w:rsid w:val="08C11731"/>
    <w:rsid w:val="08C1175C"/>
    <w:rsid w:val="08C11856"/>
    <w:rsid w:val="08C1189F"/>
    <w:rsid w:val="08C118AD"/>
    <w:rsid w:val="08C118E5"/>
    <w:rsid w:val="08C118F2"/>
    <w:rsid w:val="08C118F6"/>
    <w:rsid w:val="08C11970"/>
    <w:rsid w:val="08C11A4D"/>
    <w:rsid w:val="08C11B10"/>
    <w:rsid w:val="08C11BBB"/>
    <w:rsid w:val="08C11C26"/>
    <w:rsid w:val="08C11CEC"/>
    <w:rsid w:val="08C11D1A"/>
    <w:rsid w:val="08C11DAF"/>
    <w:rsid w:val="08C11E49"/>
    <w:rsid w:val="08C11E61"/>
    <w:rsid w:val="08C11EE9"/>
    <w:rsid w:val="08C11FA6"/>
    <w:rsid w:val="08C12033"/>
    <w:rsid w:val="08C12048"/>
    <w:rsid w:val="08C120FB"/>
    <w:rsid w:val="08C12174"/>
    <w:rsid w:val="08C121E2"/>
    <w:rsid w:val="08C12203"/>
    <w:rsid w:val="08C1222D"/>
    <w:rsid w:val="08C1225D"/>
    <w:rsid w:val="08C12300"/>
    <w:rsid w:val="08C1244C"/>
    <w:rsid w:val="08C1248D"/>
    <w:rsid w:val="08C12491"/>
    <w:rsid w:val="08C124F7"/>
    <w:rsid w:val="08C12527"/>
    <w:rsid w:val="08C12610"/>
    <w:rsid w:val="08C1271E"/>
    <w:rsid w:val="08C1272B"/>
    <w:rsid w:val="08C12798"/>
    <w:rsid w:val="08C128A7"/>
    <w:rsid w:val="08C12980"/>
    <w:rsid w:val="08C129CF"/>
    <w:rsid w:val="08C129F4"/>
    <w:rsid w:val="08C12A4E"/>
    <w:rsid w:val="08C12A6D"/>
    <w:rsid w:val="08C12AEE"/>
    <w:rsid w:val="08C12B84"/>
    <w:rsid w:val="08C12C23"/>
    <w:rsid w:val="08C12CC3"/>
    <w:rsid w:val="08C12CFF"/>
    <w:rsid w:val="08C12D58"/>
    <w:rsid w:val="08C12D7E"/>
    <w:rsid w:val="08C12D89"/>
    <w:rsid w:val="08C12E35"/>
    <w:rsid w:val="08C12EBE"/>
    <w:rsid w:val="08C12ED0"/>
    <w:rsid w:val="08C13028"/>
    <w:rsid w:val="08C1305B"/>
    <w:rsid w:val="08C1313D"/>
    <w:rsid w:val="08C131D2"/>
    <w:rsid w:val="08C13221"/>
    <w:rsid w:val="08C13321"/>
    <w:rsid w:val="08C13344"/>
    <w:rsid w:val="08C133BB"/>
    <w:rsid w:val="08C133C8"/>
    <w:rsid w:val="08C133F8"/>
    <w:rsid w:val="08C13409"/>
    <w:rsid w:val="08C1340E"/>
    <w:rsid w:val="08C13417"/>
    <w:rsid w:val="08C13493"/>
    <w:rsid w:val="08C134C3"/>
    <w:rsid w:val="08C134D7"/>
    <w:rsid w:val="08C1365F"/>
    <w:rsid w:val="08C13686"/>
    <w:rsid w:val="08C136FC"/>
    <w:rsid w:val="08C13718"/>
    <w:rsid w:val="08C1373A"/>
    <w:rsid w:val="08C1378E"/>
    <w:rsid w:val="08C137B0"/>
    <w:rsid w:val="08C137EC"/>
    <w:rsid w:val="08C1383B"/>
    <w:rsid w:val="08C13992"/>
    <w:rsid w:val="08C139D7"/>
    <w:rsid w:val="08C13A70"/>
    <w:rsid w:val="08C13A8E"/>
    <w:rsid w:val="08C13B77"/>
    <w:rsid w:val="08C13BFD"/>
    <w:rsid w:val="08C13CF5"/>
    <w:rsid w:val="08C13D06"/>
    <w:rsid w:val="08C13E5B"/>
    <w:rsid w:val="08C13EA1"/>
    <w:rsid w:val="08C13EE3"/>
    <w:rsid w:val="08C13F6D"/>
    <w:rsid w:val="08C13FBA"/>
    <w:rsid w:val="08C14030"/>
    <w:rsid w:val="08C14068"/>
    <w:rsid w:val="08C1409B"/>
    <w:rsid w:val="08C140AD"/>
    <w:rsid w:val="08C140EC"/>
    <w:rsid w:val="08C14140"/>
    <w:rsid w:val="08C1417B"/>
    <w:rsid w:val="08C14296"/>
    <w:rsid w:val="08C142B2"/>
    <w:rsid w:val="08C142C9"/>
    <w:rsid w:val="08C142E2"/>
    <w:rsid w:val="08C143C2"/>
    <w:rsid w:val="08C1441A"/>
    <w:rsid w:val="08C14523"/>
    <w:rsid w:val="08C14648"/>
    <w:rsid w:val="08C14690"/>
    <w:rsid w:val="08C146B2"/>
    <w:rsid w:val="08C14765"/>
    <w:rsid w:val="08C147C6"/>
    <w:rsid w:val="08C14803"/>
    <w:rsid w:val="08C14822"/>
    <w:rsid w:val="08C14825"/>
    <w:rsid w:val="08C14834"/>
    <w:rsid w:val="08C1484A"/>
    <w:rsid w:val="08C1488D"/>
    <w:rsid w:val="08C1488E"/>
    <w:rsid w:val="08C14901"/>
    <w:rsid w:val="08C1493C"/>
    <w:rsid w:val="08C14A30"/>
    <w:rsid w:val="08C14A33"/>
    <w:rsid w:val="08C14A7B"/>
    <w:rsid w:val="08C14AD3"/>
    <w:rsid w:val="08C14D52"/>
    <w:rsid w:val="08C14D8F"/>
    <w:rsid w:val="08C14DBE"/>
    <w:rsid w:val="08C14E05"/>
    <w:rsid w:val="08C150CA"/>
    <w:rsid w:val="08C1511B"/>
    <w:rsid w:val="08C15147"/>
    <w:rsid w:val="08C15167"/>
    <w:rsid w:val="08C151F0"/>
    <w:rsid w:val="08C15397"/>
    <w:rsid w:val="08C153A0"/>
    <w:rsid w:val="08C153B0"/>
    <w:rsid w:val="08C1547B"/>
    <w:rsid w:val="08C15480"/>
    <w:rsid w:val="08C154D7"/>
    <w:rsid w:val="08C1557B"/>
    <w:rsid w:val="08C15634"/>
    <w:rsid w:val="08C156D8"/>
    <w:rsid w:val="08C156EA"/>
    <w:rsid w:val="08C1571C"/>
    <w:rsid w:val="08C15729"/>
    <w:rsid w:val="08C1579C"/>
    <w:rsid w:val="08C157E4"/>
    <w:rsid w:val="08C157E9"/>
    <w:rsid w:val="08C15840"/>
    <w:rsid w:val="08C15890"/>
    <w:rsid w:val="08C15980"/>
    <w:rsid w:val="08C1599E"/>
    <w:rsid w:val="08C159FD"/>
    <w:rsid w:val="08C15A12"/>
    <w:rsid w:val="08C15A26"/>
    <w:rsid w:val="08C15A36"/>
    <w:rsid w:val="08C15AE9"/>
    <w:rsid w:val="08C15B1F"/>
    <w:rsid w:val="08C15B34"/>
    <w:rsid w:val="08C15B3C"/>
    <w:rsid w:val="08C15B4B"/>
    <w:rsid w:val="08C15B7F"/>
    <w:rsid w:val="08C15BE5"/>
    <w:rsid w:val="08C15CD1"/>
    <w:rsid w:val="08C15D1A"/>
    <w:rsid w:val="08C15E26"/>
    <w:rsid w:val="08C15E97"/>
    <w:rsid w:val="08C15EE8"/>
    <w:rsid w:val="08C15EFE"/>
    <w:rsid w:val="08C15F0B"/>
    <w:rsid w:val="08C160D5"/>
    <w:rsid w:val="08C16140"/>
    <w:rsid w:val="08C16166"/>
    <w:rsid w:val="08C161B6"/>
    <w:rsid w:val="08C161BF"/>
    <w:rsid w:val="08C162A7"/>
    <w:rsid w:val="08C162DF"/>
    <w:rsid w:val="08C1630C"/>
    <w:rsid w:val="08C16335"/>
    <w:rsid w:val="08C163AC"/>
    <w:rsid w:val="08C16419"/>
    <w:rsid w:val="08C16542"/>
    <w:rsid w:val="08C165BB"/>
    <w:rsid w:val="08C165EC"/>
    <w:rsid w:val="08C16634"/>
    <w:rsid w:val="08C16696"/>
    <w:rsid w:val="08C16776"/>
    <w:rsid w:val="08C167EB"/>
    <w:rsid w:val="08C1684F"/>
    <w:rsid w:val="08C168B1"/>
    <w:rsid w:val="08C168C0"/>
    <w:rsid w:val="08C168F6"/>
    <w:rsid w:val="08C169C9"/>
    <w:rsid w:val="08C169CD"/>
    <w:rsid w:val="08C16A60"/>
    <w:rsid w:val="08C16AA3"/>
    <w:rsid w:val="08C16AE1"/>
    <w:rsid w:val="08C16B28"/>
    <w:rsid w:val="08C16B51"/>
    <w:rsid w:val="08C16CB5"/>
    <w:rsid w:val="08C16D58"/>
    <w:rsid w:val="08C16EF4"/>
    <w:rsid w:val="08C16FBE"/>
    <w:rsid w:val="08C1700F"/>
    <w:rsid w:val="08C17038"/>
    <w:rsid w:val="08C1705C"/>
    <w:rsid w:val="08C170A1"/>
    <w:rsid w:val="08C170E6"/>
    <w:rsid w:val="08C17101"/>
    <w:rsid w:val="08C17102"/>
    <w:rsid w:val="08C1715E"/>
    <w:rsid w:val="08C17192"/>
    <w:rsid w:val="08C171A6"/>
    <w:rsid w:val="08C17252"/>
    <w:rsid w:val="08C17260"/>
    <w:rsid w:val="08C17277"/>
    <w:rsid w:val="08C172D6"/>
    <w:rsid w:val="08C172E9"/>
    <w:rsid w:val="08C17347"/>
    <w:rsid w:val="08C173BE"/>
    <w:rsid w:val="08C173D9"/>
    <w:rsid w:val="08C174C5"/>
    <w:rsid w:val="08C17649"/>
    <w:rsid w:val="08C17743"/>
    <w:rsid w:val="08C17765"/>
    <w:rsid w:val="08C177D4"/>
    <w:rsid w:val="08C1781C"/>
    <w:rsid w:val="08C17A95"/>
    <w:rsid w:val="08C17A9F"/>
    <w:rsid w:val="08C17AAC"/>
    <w:rsid w:val="08C17B5C"/>
    <w:rsid w:val="08C17BD9"/>
    <w:rsid w:val="08C17C24"/>
    <w:rsid w:val="08C17CC6"/>
    <w:rsid w:val="08C17CFD"/>
    <w:rsid w:val="08C17D20"/>
    <w:rsid w:val="08C17D26"/>
    <w:rsid w:val="08C17D39"/>
    <w:rsid w:val="08C17D3C"/>
    <w:rsid w:val="08C17DFE"/>
    <w:rsid w:val="08C17E08"/>
    <w:rsid w:val="08C17E4B"/>
    <w:rsid w:val="08C17E5B"/>
    <w:rsid w:val="08C17ECD"/>
    <w:rsid w:val="08C17ED7"/>
    <w:rsid w:val="08C17EF4"/>
    <w:rsid w:val="08C200BC"/>
    <w:rsid w:val="08C200FD"/>
    <w:rsid w:val="08C2019C"/>
    <w:rsid w:val="08C20275"/>
    <w:rsid w:val="08C2027E"/>
    <w:rsid w:val="08C20326"/>
    <w:rsid w:val="08C2034A"/>
    <w:rsid w:val="08C20375"/>
    <w:rsid w:val="08C204B1"/>
    <w:rsid w:val="08C2054F"/>
    <w:rsid w:val="08C20557"/>
    <w:rsid w:val="08C2055C"/>
    <w:rsid w:val="08C20644"/>
    <w:rsid w:val="08C2072C"/>
    <w:rsid w:val="08C20740"/>
    <w:rsid w:val="08C20769"/>
    <w:rsid w:val="08C20853"/>
    <w:rsid w:val="08C2085B"/>
    <w:rsid w:val="08C2085D"/>
    <w:rsid w:val="08C20860"/>
    <w:rsid w:val="08C2086E"/>
    <w:rsid w:val="08C20930"/>
    <w:rsid w:val="08C20944"/>
    <w:rsid w:val="08C2098D"/>
    <w:rsid w:val="08C209F7"/>
    <w:rsid w:val="08C20AC3"/>
    <w:rsid w:val="08C20B1E"/>
    <w:rsid w:val="08C20B7C"/>
    <w:rsid w:val="08C20B94"/>
    <w:rsid w:val="08C20BBB"/>
    <w:rsid w:val="08C20BDF"/>
    <w:rsid w:val="08C20C11"/>
    <w:rsid w:val="08C20CB9"/>
    <w:rsid w:val="08C20D0B"/>
    <w:rsid w:val="08C20F23"/>
    <w:rsid w:val="08C20F2F"/>
    <w:rsid w:val="08C20F4C"/>
    <w:rsid w:val="08C20F77"/>
    <w:rsid w:val="08C21051"/>
    <w:rsid w:val="08C21078"/>
    <w:rsid w:val="08C21308"/>
    <w:rsid w:val="08C2157F"/>
    <w:rsid w:val="08C21592"/>
    <w:rsid w:val="08C215A6"/>
    <w:rsid w:val="08C215F1"/>
    <w:rsid w:val="08C21656"/>
    <w:rsid w:val="08C216BF"/>
    <w:rsid w:val="08C216EE"/>
    <w:rsid w:val="08C2177E"/>
    <w:rsid w:val="08C217EA"/>
    <w:rsid w:val="08C217EE"/>
    <w:rsid w:val="08C218A2"/>
    <w:rsid w:val="08C2192F"/>
    <w:rsid w:val="08C219A1"/>
    <w:rsid w:val="08C219E6"/>
    <w:rsid w:val="08C21A9F"/>
    <w:rsid w:val="08C21B09"/>
    <w:rsid w:val="08C21BB3"/>
    <w:rsid w:val="08C21CAE"/>
    <w:rsid w:val="08C21DE5"/>
    <w:rsid w:val="08C21E0A"/>
    <w:rsid w:val="08C21E17"/>
    <w:rsid w:val="08C21E94"/>
    <w:rsid w:val="08C21EA9"/>
    <w:rsid w:val="08C21F07"/>
    <w:rsid w:val="08C21F3E"/>
    <w:rsid w:val="08C21F6F"/>
    <w:rsid w:val="08C21FA5"/>
    <w:rsid w:val="08C21FC3"/>
    <w:rsid w:val="08C21FC7"/>
    <w:rsid w:val="08C21FD0"/>
    <w:rsid w:val="08C21FDA"/>
    <w:rsid w:val="08C2206F"/>
    <w:rsid w:val="08C220AA"/>
    <w:rsid w:val="08C220FF"/>
    <w:rsid w:val="08C221B1"/>
    <w:rsid w:val="08C221C5"/>
    <w:rsid w:val="08C2236E"/>
    <w:rsid w:val="08C22543"/>
    <w:rsid w:val="08C225F2"/>
    <w:rsid w:val="08C22633"/>
    <w:rsid w:val="08C226F5"/>
    <w:rsid w:val="08C226F7"/>
    <w:rsid w:val="08C2274D"/>
    <w:rsid w:val="08C2276B"/>
    <w:rsid w:val="08C22838"/>
    <w:rsid w:val="08C228E5"/>
    <w:rsid w:val="08C22924"/>
    <w:rsid w:val="08C2296D"/>
    <w:rsid w:val="08C229D6"/>
    <w:rsid w:val="08C22C00"/>
    <w:rsid w:val="08C22C50"/>
    <w:rsid w:val="08C22C7C"/>
    <w:rsid w:val="08C22E0E"/>
    <w:rsid w:val="08C22E21"/>
    <w:rsid w:val="08C22E9C"/>
    <w:rsid w:val="08C22EDE"/>
    <w:rsid w:val="08C22F39"/>
    <w:rsid w:val="08C23054"/>
    <w:rsid w:val="08C2328D"/>
    <w:rsid w:val="08C232C1"/>
    <w:rsid w:val="08C232EF"/>
    <w:rsid w:val="08C2339E"/>
    <w:rsid w:val="08C233B0"/>
    <w:rsid w:val="08C2344B"/>
    <w:rsid w:val="08C23568"/>
    <w:rsid w:val="08C23576"/>
    <w:rsid w:val="08C23588"/>
    <w:rsid w:val="08C23689"/>
    <w:rsid w:val="08C236E7"/>
    <w:rsid w:val="08C23700"/>
    <w:rsid w:val="08C2375C"/>
    <w:rsid w:val="08C238A4"/>
    <w:rsid w:val="08C238B2"/>
    <w:rsid w:val="08C239C9"/>
    <w:rsid w:val="08C23A5F"/>
    <w:rsid w:val="08C23A77"/>
    <w:rsid w:val="08C23B69"/>
    <w:rsid w:val="08C23C03"/>
    <w:rsid w:val="08C23C0B"/>
    <w:rsid w:val="08C23C17"/>
    <w:rsid w:val="08C23C6F"/>
    <w:rsid w:val="08C23C86"/>
    <w:rsid w:val="08C23D12"/>
    <w:rsid w:val="08C23D75"/>
    <w:rsid w:val="08C23DCD"/>
    <w:rsid w:val="08C23E52"/>
    <w:rsid w:val="08C23F3E"/>
    <w:rsid w:val="08C23F70"/>
    <w:rsid w:val="08C23F74"/>
    <w:rsid w:val="08C23F8B"/>
    <w:rsid w:val="08C23F94"/>
    <w:rsid w:val="08C23F9C"/>
    <w:rsid w:val="08C24016"/>
    <w:rsid w:val="08C24024"/>
    <w:rsid w:val="08C2407F"/>
    <w:rsid w:val="08C24090"/>
    <w:rsid w:val="08C24170"/>
    <w:rsid w:val="08C24214"/>
    <w:rsid w:val="08C2424E"/>
    <w:rsid w:val="08C242B5"/>
    <w:rsid w:val="08C2430E"/>
    <w:rsid w:val="08C24589"/>
    <w:rsid w:val="08C245E0"/>
    <w:rsid w:val="08C246EC"/>
    <w:rsid w:val="08C2476F"/>
    <w:rsid w:val="08C24783"/>
    <w:rsid w:val="08C247EB"/>
    <w:rsid w:val="08C248C8"/>
    <w:rsid w:val="08C249C1"/>
    <w:rsid w:val="08C249E3"/>
    <w:rsid w:val="08C24A81"/>
    <w:rsid w:val="08C24AFF"/>
    <w:rsid w:val="08C24B02"/>
    <w:rsid w:val="08C24B20"/>
    <w:rsid w:val="08C24BCF"/>
    <w:rsid w:val="08C24BD4"/>
    <w:rsid w:val="08C24BD6"/>
    <w:rsid w:val="08C24CBE"/>
    <w:rsid w:val="08C24D5D"/>
    <w:rsid w:val="08C24DAC"/>
    <w:rsid w:val="08C24E8C"/>
    <w:rsid w:val="08C24FA8"/>
    <w:rsid w:val="08C24FC1"/>
    <w:rsid w:val="08C25085"/>
    <w:rsid w:val="08C25093"/>
    <w:rsid w:val="08C250D8"/>
    <w:rsid w:val="08C250DD"/>
    <w:rsid w:val="08C250DE"/>
    <w:rsid w:val="08C251DD"/>
    <w:rsid w:val="08C252D6"/>
    <w:rsid w:val="08C25313"/>
    <w:rsid w:val="08C253EA"/>
    <w:rsid w:val="08C2549C"/>
    <w:rsid w:val="08C25765"/>
    <w:rsid w:val="08C2584D"/>
    <w:rsid w:val="08C25872"/>
    <w:rsid w:val="08C2590B"/>
    <w:rsid w:val="08C259C9"/>
    <w:rsid w:val="08C25AA4"/>
    <w:rsid w:val="08C25AD5"/>
    <w:rsid w:val="08C25ADF"/>
    <w:rsid w:val="08C25B88"/>
    <w:rsid w:val="08C25C3D"/>
    <w:rsid w:val="08C25C91"/>
    <w:rsid w:val="08C25CDD"/>
    <w:rsid w:val="08C25CF7"/>
    <w:rsid w:val="08C25CFA"/>
    <w:rsid w:val="08C25E55"/>
    <w:rsid w:val="08C25EBB"/>
    <w:rsid w:val="08C25F48"/>
    <w:rsid w:val="08C25F5B"/>
    <w:rsid w:val="08C25FC4"/>
    <w:rsid w:val="08C2605F"/>
    <w:rsid w:val="08C260E9"/>
    <w:rsid w:val="08C26106"/>
    <w:rsid w:val="08C26235"/>
    <w:rsid w:val="08C26252"/>
    <w:rsid w:val="08C26288"/>
    <w:rsid w:val="08C262FF"/>
    <w:rsid w:val="08C26302"/>
    <w:rsid w:val="08C2633E"/>
    <w:rsid w:val="08C26378"/>
    <w:rsid w:val="08C263C3"/>
    <w:rsid w:val="08C26473"/>
    <w:rsid w:val="08C265D1"/>
    <w:rsid w:val="08C266C3"/>
    <w:rsid w:val="08C266CD"/>
    <w:rsid w:val="08C26705"/>
    <w:rsid w:val="08C26730"/>
    <w:rsid w:val="08C26731"/>
    <w:rsid w:val="08C267B1"/>
    <w:rsid w:val="08C26813"/>
    <w:rsid w:val="08C26827"/>
    <w:rsid w:val="08C2685F"/>
    <w:rsid w:val="08C2689F"/>
    <w:rsid w:val="08C26A00"/>
    <w:rsid w:val="08C26A6B"/>
    <w:rsid w:val="08C26A92"/>
    <w:rsid w:val="08C26ACA"/>
    <w:rsid w:val="08C26E1A"/>
    <w:rsid w:val="08C26E75"/>
    <w:rsid w:val="08C26EFA"/>
    <w:rsid w:val="08C26F82"/>
    <w:rsid w:val="08C270FB"/>
    <w:rsid w:val="08C271DE"/>
    <w:rsid w:val="08C273BF"/>
    <w:rsid w:val="08C273EE"/>
    <w:rsid w:val="08C27494"/>
    <w:rsid w:val="08C2752E"/>
    <w:rsid w:val="08C275D2"/>
    <w:rsid w:val="08C275FF"/>
    <w:rsid w:val="08C276C4"/>
    <w:rsid w:val="08C2771E"/>
    <w:rsid w:val="08C2773A"/>
    <w:rsid w:val="08C27740"/>
    <w:rsid w:val="08C27878"/>
    <w:rsid w:val="08C278A4"/>
    <w:rsid w:val="08C27935"/>
    <w:rsid w:val="08C279BC"/>
    <w:rsid w:val="08C27A1E"/>
    <w:rsid w:val="08C27AC4"/>
    <w:rsid w:val="08C27BF8"/>
    <w:rsid w:val="08C27CA8"/>
    <w:rsid w:val="08C27DB0"/>
    <w:rsid w:val="08C27E77"/>
    <w:rsid w:val="08C27F2E"/>
    <w:rsid w:val="08C27F4B"/>
    <w:rsid w:val="08C27FB2"/>
    <w:rsid w:val="08C27FBA"/>
    <w:rsid w:val="08C27FDD"/>
    <w:rsid w:val="08C27FEE"/>
    <w:rsid w:val="08C300B4"/>
    <w:rsid w:val="08C3017D"/>
    <w:rsid w:val="08C301E4"/>
    <w:rsid w:val="08C302DE"/>
    <w:rsid w:val="08C3030E"/>
    <w:rsid w:val="08C30359"/>
    <w:rsid w:val="08C30411"/>
    <w:rsid w:val="08C3055E"/>
    <w:rsid w:val="08C306C8"/>
    <w:rsid w:val="08C306DA"/>
    <w:rsid w:val="08C3071D"/>
    <w:rsid w:val="08C30735"/>
    <w:rsid w:val="08C30791"/>
    <w:rsid w:val="08C30808"/>
    <w:rsid w:val="08C30860"/>
    <w:rsid w:val="08C30939"/>
    <w:rsid w:val="08C3099D"/>
    <w:rsid w:val="08C30A51"/>
    <w:rsid w:val="08C30AFD"/>
    <w:rsid w:val="08C30B0C"/>
    <w:rsid w:val="08C30B79"/>
    <w:rsid w:val="08C30B9F"/>
    <w:rsid w:val="08C30BC9"/>
    <w:rsid w:val="08C30C4F"/>
    <w:rsid w:val="08C30C66"/>
    <w:rsid w:val="08C30CBF"/>
    <w:rsid w:val="08C30DD4"/>
    <w:rsid w:val="08C30E00"/>
    <w:rsid w:val="08C30E14"/>
    <w:rsid w:val="08C30F75"/>
    <w:rsid w:val="08C30F89"/>
    <w:rsid w:val="08C310CF"/>
    <w:rsid w:val="08C3113F"/>
    <w:rsid w:val="08C31140"/>
    <w:rsid w:val="08C312E5"/>
    <w:rsid w:val="08C313D1"/>
    <w:rsid w:val="08C313DB"/>
    <w:rsid w:val="08C3141B"/>
    <w:rsid w:val="08C3146A"/>
    <w:rsid w:val="08C314A4"/>
    <w:rsid w:val="08C31609"/>
    <w:rsid w:val="08C31638"/>
    <w:rsid w:val="08C31664"/>
    <w:rsid w:val="08C3166B"/>
    <w:rsid w:val="08C316F1"/>
    <w:rsid w:val="08C31804"/>
    <w:rsid w:val="08C31814"/>
    <w:rsid w:val="08C31851"/>
    <w:rsid w:val="08C318D3"/>
    <w:rsid w:val="08C318F0"/>
    <w:rsid w:val="08C3190B"/>
    <w:rsid w:val="08C31A76"/>
    <w:rsid w:val="08C31AB2"/>
    <w:rsid w:val="08C31AEE"/>
    <w:rsid w:val="08C31AEF"/>
    <w:rsid w:val="08C31AF5"/>
    <w:rsid w:val="08C31B9C"/>
    <w:rsid w:val="08C31BB1"/>
    <w:rsid w:val="08C31C1C"/>
    <w:rsid w:val="08C31C31"/>
    <w:rsid w:val="08C31D5D"/>
    <w:rsid w:val="08C31D8C"/>
    <w:rsid w:val="08C31DB0"/>
    <w:rsid w:val="08C31E17"/>
    <w:rsid w:val="08C31EDF"/>
    <w:rsid w:val="08C31EFB"/>
    <w:rsid w:val="08C31F5D"/>
    <w:rsid w:val="08C31F7C"/>
    <w:rsid w:val="08C3206B"/>
    <w:rsid w:val="08C320A4"/>
    <w:rsid w:val="08C32102"/>
    <w:rsid w:val="08C3212E"/>
    <w:rsid w:val="08C321C6"/>
    <w:rsid w:val="08C32287"/>
    <w:rsid w:val="08C32326"/>
    <w:rsid w:val="08C32391"/>
    <w:rsid w:val="08C323F3"/>
    <w:rsid w:val="08C3240B"/>
    <w:rsid w:val="08C3242E"/>
    <w:rsid w:val="08C3243B"/>
    <w:rsid w:val="08C32445"/>
    <w:rsid w:val="08C32450"/>
    <w:rsid w:val="08C3252D"/>
    <w:rsid w:val="08C325D0"/>
    <w:rsid w:val="08C325F6"/>
    <w:rsid w:val="08C32644"/>
    <w:rsid w:val="08C32650"/>
    <w:rsid w:val="08C3265B"/>
    <w:rsid w:val="08C326BD"/>
    <w:rsid w:val="08C326D5"/>
    <w:rsid w:val="08C32701"/>
    <w:rsid w:val="08C327D9"/>
    <w:rsid w:val="08C3286B"/>
    <w:rsid w:val="08C328AC"/>
    <w:rsid w:val="08C328FC"/>
    <w:rsid w:val="08C3298D"/>
    <w:rsid w:val="08C32A2C"/>
    <w:rsid w:val="08C32A3F"/>
    <w:rsid w:val="08C32A81"/>
    <w:rsid w:val="08C32C36"/>
    <w:rsid w:val="08C32CF6"/>
    <w:rsid w:val="08C32D3B"/>
    <w:rsid w:val="08C32D7B"/>
    <w:rsid w:val="08C32DF9"/>
    <w:rsid w:val="08C32E8A"/>
    <w:rsid w:val="08C32EFC"/>
    <w:rsid w:val="08C32F00"/>
    <w:rsid w:val="08C32F22"/>
    <w:rsid w:val="08C32F23"/>
    <w:rsid w:val="08C32F40"/>
    <w:rsid w:val="08C32F8C"/>
    <w:rsid w:val="08C32FDB"/>
    <w:rsid w:val="08C330EE"/>
    <w:rsid w:val="08C33111"/>
    <w:rsid w:val="08C33126"/>
    <w:rsid w:val="08C3318A"/>
    <w:rsid w:val="08C331A2"/>
    <w:rsid w:val="08C33211"/>
    <w:rsid w:val="08C3323F"/>
    <w:rsid w:val="08C33263"/>
    <w:rsid w:val="08C33360"/>
    <w:rsid w:val="08C333DF"/>
    <w:rsid w:val="08C33490"/>
    <w:rsid w:val="08C334E8"/>
    <w:rsid w:val="08C33508"/>
    <w:rsid w:val="08C3358D"/>
    <w:rsid w:val="08C3365F"/>
    <w:rsid w:val="08C33675"/>
    <w:rsid w:val="08C33870"/>
    <w:rsid w:val="08C339D2"/>
    <w:rsid w:val="08C33ACB"/>
    <w:rsid w:val="08C33ACF"/>
    <w:rsid w:val="08C33B35"/>
    <w:rsid w:val="08C33BA0"/>
    <w:rsid w:val="08C33BD2"/>
    <w:rsid w:val="08C33C15"/>
    <w:rsid w:val="08C33C16"/>
    <w:rsid w:val="08C33C4F"/>
    <w:rsid w:val="08C33D12"/>
    <w:rsid w:val="08C33D5E"/>
    <w:rsid w:val="08C33EAA"/>
    <w:rsid w:val="08C33EFB"/>
    <w:rsid w:val="08C33F47"/>
    <w:rsid w:val="08C33FE6"/>
    <w:rsid w:val="08C34005"/>
    <w:rsid w:val="08C34033"/>
    <w:rsid w:val="08C340E0"/>
    <w:rsid w:val="08C341A6"/>
    <w:rsid w:val="08C341AB"/>
    <w:rsid w:val="08C34208"/>
    <w:rsid w:val="08C34220"/>
    <w:rsid w:val="08C34232"/>
    <w:rsid w:val="08C3427A"/>
    <w:rsid w:val="08C34295"/>
    <w:rsid w:val="08C34353"/>
    <w:rsid w:val="08C343C3"/>
    <w:rsid w:val="08C3440F"/>
    <w:rsid w:val="08C34484"/>
    <w:rsid w:val="08C3457B"/>
    <w:rsid w:val="08C346BA"/>
    <w:rsid w:val="08C346C0"/>
    <w:rsid w:val="08C346C7"/>
    <w:rsid w:val="08C346DC"/>
    <w:rsid w:val="08C346FE"/>
    <w:rsid w:val="08C347AB"/>
    <w:rsid w:val="08C347CC"/>
    <w:rsid w:val="08C348CF"/>
    <w:rsid w:val="08C3493D"/>
    <w:rsid w:val="08C349F8"/>
    <w:rsid w:val="08C34A14"/>
    <w:rsid w:val="08C34A3C"/>
    <w:rsid w:val="08C34B99"/>
    <w:rsid w:val="08C34BC7"/>
    <w:rsid w:val="08C34C7F"/>
    <w:rsid w:val="08C34D07"/>
    <w:rsid w:val="08C34D40"/>
    <w:rsid w:val="08C34DD2"/>
    <w:rsid w:val="08C34EAC"/>
    <w:rsid w:val="08C34EB7"/>
    <w:rsid w:val="08C34F35"/>
    <w:rsid w:val="08C35016"/>
    <w:rsid w:val="08C3501F"/>
    <w:rsid w:val="08C3504D"/>
    <w:rsid w:val="08C350C9"/>
    <w:rsid w:val="08C350E1"/>
    <w:rsid w:val="08C3511E"/>
    <w:rsid w:val="08C3511F"/>
    <w:rsid w:val="08C351D5"/>
    <w:rsid w:val="08C35266"/>
    <w:rsid w:val="08C35280"/>
    <w:rsid w:val="08C352BB"/>
    <w:rsid w:val="08C352C9"/>
    <w:rsid w:val="08C35309"/>
    <w:rsid w:val="08C35430"/>
    <w:rsid w:val="08C354D2"/>
    <w:rsid w:val="08C35550"/>
    <w:rsid w:val="08C35585"/>
    <w:rsid w:val="08C355A1"/>
    <w:rsid w:val="08C355EC"/>
    <w:rsid w:val="08C35610"/>
    <w:rsid w:val="08C35624"/>
    <w:rsid w:val="08C35680"/>
    <w:rsid w:val="08C35694"/>
    <w:rsid w:val="08C35789"/>
    <w:rsid w:val="08C35857"/>
    <w:rsid w:val="08C358A3"/>
    <w:rsid w:val="08C358A6"/>
    <w:rsid w:val="08C358EE"/>
    <w:rsid w:val="08C35903"/>
    <w:rsid w:val="08C35938"/>
    <w:rsid w:val="08C35986"/>
    <w:rsid w:val="08C35991"/>
    <w:rsid w:val="08C359A6"/>
    <w:rsid w:val="08C359DF"/>
    <w:rsid w:val="08C359EA"/>
    <w:rsid w:val="08C35A36"/>
    <w:rsid w:val="08C35ADA"/>
    <w:rsid w:val="08C35B47"/>
    <w:rsid w:val="08C35B65"/>
    <w:rsid w:val="08C35BF8"/>
    <w:rsid w:val="08C35CC7"/>
    <w:rsid w:val="08C35CC9"/>
    <w:rsid w:val="08C35CE5"/>
    <w:rsid w:val="08C35D41"/>
    <w:rsid w:val="08C35DAB"/>
    <w:rsid w:val="08C35E18"/>
    <w:rsid w:val="08C35E4A"/>
    <w:rsid w:val="08C35F17"/>
    <w:rsid w:val="08C35F7B"/>
    <w:rsid w:val="08C35FDE"/>
    <w:rsid w:val="08C3604C"/>
    <w:rsid w:val="08C360E9"/>
    <w:rsid w:val="08C3610F"/>
    <w:rsid w:val="08C36132"/>
    <w:rsid w:val="08C361FE"/>
    <w:rsid w:val="08C3621D"/>
    <w:rsid w:val="08C36225"/>
    <w:rsid w:val="08C36347"/>
    <w:rsid w:val="08C3634A"/>
    <w:rsid w:val="08C36474"/>
    <w:rsid w:val="08C36560"/>
    <w:rsid w:val="08C3659D"/>
    <w:rsid w:val="08C365A6"/>
    <w:rsid w:val="08C365E6"/>
    <w:rsid w:val="08C36636"/>
    <w:rsid w:val="08C36651"/>
    <w:rsid w:val="08C36674"/>
    <w:rsid w:val="08C366AA"/>
    <w:rsid w:val="08C36705"/>
    <w:rsid w:val="08C367C2"/>
    <w:rsid w:val="08C3687B"/>
    <w:rsid w:val="08C36898"/>
    <w:rsid w:val="08C368DD"/>
    <w:rsid w:val="08C36920"/>
    <w:rsid w:val="08C36921"/>
    <w:rsid w:val="08C369CC"/>
    <w:rsid w:val="08C36BDD"/>
    <w:rsid w:val="08C36BF6"/>
    <w:rsid w:val="08C36C18"/>
    <w:rsid w:val="08C36C3C"/>
    <w:rsid w:val="08C36C68"/>
    <w:rsid w:val="08C36C6B"/>
    <w:rsid w:val="08C36C82"/>
    <w:rsid w:val="08C36D49"/>
    <w:rsid w:val="08C36D70"/>
    <w:rsid w:val="08C36E58"/>
    <w:rsid w:val="08C36EC6"/>
    <w:rsid w:val="08C36F42"/>
    <w:rsid w:val="08C36FA7"/>
    <w:rsid w:val="08C3702E"/>
    <w:rsid w:val="08C3710C"/>
    <w:rsid w:val="08C37288"/>
    <w:rsid w:val="08C3732C"/>
    <w:rsid w:val="08C373E4"/>
    <w:rsid w:val="08C373E5"/>
    <w:rsid w:val="08C373E8"/>
    <w:rsid w:val="08C37418"/>
    <w:rsid w:val="08C37468"/>
    <w:rsid w:val="08C374AD"/>
    <w:rsid w:val="08C374BB"/>
    <w:rsid w:val="08C37664"/>
    <w:rsid w:val="08C3768D"/>
    <w:rsid w:val="08C37778"/>
    <w:rsid w:val="08C37811"/>
    <w:rsid w:val="08C3799B"/>
    <w:rsid w:val="08C37A18"/>
    <w:rsid w:val="08C37A4B"/>
    <w:rsid w:val="08C37A79"/>
    <w:rsid w:val="08C37AC8"/>
    <w:rsid w:val="08C37C43"/>
    <w:rsid w:val="08C37CEF"/>
    <w:rsid w:val="08C37CF7"/>
    <w:rsid w:val="08C37D75"/>
    <w:rsid w:val="08C37D9B"/>
    <w:rsid w:val="08C37DB3"/>
    <w:rsid w:val="08C37E25"/>
    <w:rsid w:val="08C37E4D"/>
    <w:rsid w:val="08C37EDC"/>
    <w:rsid w:val="08C37F6C"/>
    <w:rsid w:val="08C37FA5"/>
    <w:rsid w:val="08C40001"/>
    <w:rsid w:val="08C40055"/>
    <w:rsid w:val="08C4005A"/>
    <w:rsid w:val="08C40069"/>
    <w:rsid w:val="08C400E9"/>
    <w:rsid w:val="08C40230"/>
    <w:rsid w:val="08C403FE"/>
    <w:rsid w:val="08C40460"/>
    <w:rsid w:val="08C404A7"/>
    <w:rsid w:val="08C4052B"/>
    <w:rsid w:val="08C406C4"/>
    <w:rsid w:val="08C40720"/>
    <w:rsid w:val="08C40796"/>
    <w:rsid w:val="08C40799"/>
    <w:rsid w:val="08C40817"/>
    <w:rsid w:val="08C40821"/>
    <w:rsid w:val="08C4085D"/>
    <w:rsid w:val="08C4090F"/>
    <w:rsid w:val="08C4094C"/>
    <w:rsid w:val="08C4098E"/>
    <w:rsid w:val="08C40A3F"/>
    <w:rsid w:val="08C40B0D"/>
    <w:rsid w:val="08C40BB0"/>
    <w:rsid w:val="08C40BBD"/>
    <w:rsid w:val="08C40BEE"/>
    <w:rsid w:val="08C40CAE"/>
    <w:rsid w:val="08C40D19"/>
    <w:rsid w:val="08C40D22"/>
    <w:rsid w:val="08C40D5A"/>
    <w:rsid w:val="08C40E05"/>
    <w:rsid w:val="08C40E43"/>
    <w:rsid w:val="08C40E5C"/>
    <w:rsid w:val="08C40EFF"/>
    <w:rsid w:val="08C40F86"/>
    <w:rsid w:val="08C40FAD"/>
    <w:rsid w:val="08C40FC0"/>
    <w:rsid w:val="08C40FEB"/>
    <w:rsid w:val="08C41004"/>
    <w:rsid w:val="08C41096"/>
    <w:rsid w:val="08C411EB"/>
    <w:rsid w:val="08C41232"/>
    <w:rsid w:val="08C41261"/>
    <w:rsid w:val="08C412F7"/>
    <w:rsid w:val="08C41306"/>
    <w:rsid w:val="08C4138C"/>
    <w:rsid w:val="08C413A9"/>
    <w:rsid w:val="08C413E8"/>
    <w:rsid w:val="08C41481"/>
    <w:rsid w:val="08C414A7"/>
    <w:rsid w:val="08C415D4"/>
    <w:rsid w:val="08C415DE"/>
    <w:rsid w:val="08C4174A"/>
    <w:rsid w:val="08C41767"/>
    <w:rsid w:val="08C417E5"/>
    <w:rsid w:val="08C41801"/>
    <w:rsid w:val="08C4184C"/>
    <w:rsid w:val="08C4185B"/>
    <w:rsid w:val="08C41879"/>
    <w:rsid w:val="08C419E8"/>
    <w:rsid w:val="08C41A7A"/>
    <w:rsid w:val="08C41B4D"/>
    <w:rsid w:val="08C41B8A"/>
    <w:rsid w:val="08C41BAD"/>
    <w:rsid w:val="08C41BBA"/>
    <w:rsid w:val="08C41BDF"/>
    <w:rsid w:val="08C41C3B"/>
    <w:rsid w:val="08C41DCA"/>
    <w:rsid w:val="08C41DDC"/>
    <w:rsid w:val="08C41E10"/>
    <w:rsid w:val="08C41E9E"/>
    <w:rsid w:val="08C41EE3"/>
    <w:rsid w:val="08C41F02"/>
    <w:rsid w:val="08C41F06"/>
    <w:rsid w:val="08C41F54"/>
    <w:rsid w:val="08C4219E"/>
    <w:rsid w:val="08C421A3"/>
    <w:rsid w:val="08C42302"/>
    <w:rsid w:val="08C4240A"/>
    <w:rsid w:val="08C42417"/>
    <w:rsid w:val="08C424D7"/>
    <w:rsid w:val="08C4252C"/>
    <w:rsid w:val="08C42565"/>
    <w:rsid w:val="08C42572"/>
    <w:rsid w:val="08C425CE"/>
    <w:rsid w:val="08C425D7"/>
    <w:rsid w:val="08C425E2"/>
    <w:rsid w:val="08C42703"/>
    <w:rsid w:val="08C42784"/>
    <w:rsid w:val="08C427B4"/>
    <w:rsid w:val="08C4286F"/>
    <w:rsid w:val="08C428AE"/>
    <w:rsid w:val="08C42AE6"/>
    <w:rsid w:val="08C42C36"/>
    <w:rsid w:val="08C42F12"/>
    <w:rsid w:val="08C42F87"/>
    <w:rsid w:val="08C42F95"/>
    <w:rsid w:val="08C4305D"/>
    <w:rsid w:val="08C430D2"/>
    <w:rsid w:val="08C43116"/>
    <w:rsid w:val="08C4313C"/>
    <w:rsid w:val="08C431C9"/>
    <w:rsid w:val="08C431E2"/>
    <w:rsid w:val="08C4354A"/>
    <w:rsid w:val="08C4372D"/>
    <w:rsid w:val="08C43745"/>
    <w:rsid w:val="08C43816"/>
    <w:rsid w:val="08C43925"/>
    <w:rsid w:val="08C4396B"/>
    <w:rsid w:val="08C439B2"/>
    <w:rsid w:val="08C43BE7"/>
    <w:rsid w:val="08C43C1E"/>
    <w:rsid w:val="08C43D70"/>
    <w:rsid w:val="08C43DF1"/>
    <w:rsid w:val="08C43DF5"/>
    <w:rsid w:val="08C43F3F"/>
    <w:rsid w:val="08C43F49"/>
    <w:rsid w:val="08C43F77"/>
    <w:rsid w:val="08C43FA6"/>
    <w:rsid w:val="08C43FB3"/>
    <w:rsid w:val="08C44082"/>
    <w:rsid w:val="08C4411B"/>
    <w:rsid w:val="08C44143"/>
    <w:rsid w:val="08C44197"/>
    <w:rsid w:val="08C441E4"/>
    <w:rsid w:val="08C442CA"/>
    <w:rsid w:val="08C44382"/>
    <w:rsid w:val="08C443EE"/>
    <w:rsid w:val="08C4440B"/>
    <w:rsid w:val="08C44490"/>
    <w:rsid w:val="08C444DE"/>
    <w:rsid w:val="08C44500"/>
    <w:rsid w:val="08C445F1"/>
    <w:rsid w:val="08C44604"/>
    <w:rsid w:val="08C4490F"/>
    <w:rsid w:val="08C449BA"/>
    <w:rsid w:val="08C449F3"/>
    <w:rsid w:val="08C44A55"/>
    <w:rsid w:val="08C44A6F"/>
    <w:rsid w:val="08C44A9F"/>
    <w:rsid w:val="08C44AEE"/>
    <w:rsid w:val="08C44B22"/>
    <w:rsid w:val="08C44BB6"/>
    <w:rsid w:val="08C44BD1"/>
    <w:rsid w:val="08C44CAB"/>
    <w:rsid w:val="08C44CE5"/>
    <w:rsid w:val="08C44DB6"/>
    <w:rsid w:val="08C44DC5"/>
    <w:rsid w:val="08C44EAF"/>
    <w:rsid w:val="08C44F08"/>
    <w:rsid w:val="08C44F73"/>
    <w:rsid w:val="08C4504A"/>
    <w:rsid w:val="08C45051"/>
    <w:rsid w:val="08C450A0"/>
    <w:rsid w:val="08C450D2"/>
    <w:rsid w:val="08C450FD"/>
    <w:rsid w:val="08C45152"/>
    <w:rsid w:val="08C45161"/>
    <w:rsid w:val="08C451B0"/>
    <w:rsid w:val="08C451E0"/>
    <w:rsid w:val="08C452BB"/>
    <w:rsid w:val="08C4536F"/>
    <w:rsid w:val="08C45376"/>
    <w:rsid w:val="08C4541D"/>
    <w:rsid w:val="08C45426"/>
    <w:rsid w:val="08C45467"/>
    <w:rsid w:val="08C454BD"/>
    <w:rsid w:val="08C456AB"/>
    <w:rsid w:val="08C456C3"/>
    <w:rsid w:val="08C458DD"/>
    <w:rsid w:val="08C458F9"/>
    <w:rsid w:val="08C45911"/>
    <w:rsid w:val="08C4594D"/>
    <w:rsid w:val="08C45A17"/>
    <w:rsid w:val="08C45BE4"/>
    <w:rsid w:val="08C45BFE"/>
    <w:rsid w:val="08C45CB8"/>
    <w:rsid w:val="08C45D67"/>
    <w:rsid w:val="08C45DA5"/>
    <w:rsid w:val="08C45DB7"/>
    <w:rsid w:val="08C45E30"/>
    <w:rsid w:val="08C45E69"/>
    <w:rsid w:val="08C45EB9"/>
    <w:rsid w:val="08C45F15"/>
    <w:rsid w:val="08C45F36"/>
    <w:rsid w:val="08C45FB8"/>
    <w:rsid w:val="08C45FC7"/>
    <w:rsid w:val="08C4601B"/>
    <w:rsid w:val="08C46087"/>
    <w:rsid w:val="08C4609F"/>
    <w:rsid w:val="08C4611A"/>
    <w:rsid w:val="08C46147"/>
    <w:rsid w:val="08C46171"/>
    <w:rsid w:val="08C4618D"/>
    <w:rsid w:val="08C4626F"/>
    <w:rsid w:val="08C462B8"/>
    <w:rsid w:val="08C46370"/>
    <w:rsid w:val="08C46402"/>
    <w:rsid w:val="08C4641C"/>
    <w:rsid w:val="08C464A9"/>
    <w:rsid w:val="08C464F9"/>
    <w:rsid w:val="08C4659B"/>
    <w:rsid w:val="08C465C4"/>
    <w:rsid w:val="08C465C5"/>
    <w:rsid w:val="08C4663E"/>
    <w:rsid w:val="08C46640"/>
    <w:rsid w:val="08C466ED"/>
    <w:rsid w:val="08C46747"/>
    <w:rsid w:val="08C467CA"/>
    <w:rsid w:val="08C467E1"/>
    <w:rsid w:val="08C4691A"/>
    <w:rsid w:val="08C469CC"/>
    <w:rsid w:val="08C469EC"/>
    <w:rsid w:val="08C46AA2"/>
    <w:rsid w:val="08C46AC6"/>
    <w:rsid w:val="08C46B3B"/>
    <w:rsid w:val="08C46B63"/>
    <w:rsid w:val="08C46B9A"/>
    <w:rsid w:val="08C46C18"/>
    <w:rsid w:val="08C46CA9"/>
    <w:rsid w:val="08C46E71"/>
    <w:rsid w:val="08C46EEE"/>
    <w:rsid w:val="08C46EF5"/>
    <w:rsid w:val="08C46F48"/>
    <w:rsid w:val="08C46F74"/>
    <w:rsid w:val="08C46F8C"/>
    <w:rsid w:val="08C46FED"/>
    <w:rsid w:val="08C4701B"/>
    <w:rsid w:val="08C4702D"/>
    <w:rsid w:val="08C47120"/>
    <w:rsid w:val="08C47142"/>
    <w:rsid w:val="08C472CD"/>
    <w:rsid w:val="08C4731E"/>
    <w:rsid w:val="08C47325"/>
    <w:rsid w:val="08C47390"/>
    <w:rsid w:val="08C474E6"/>
    <w:rsid w:val="08C474E8"/>
    <w:rsid w:val="08C47524"/>
    <w:rsid w:val="08C47555"/>
    <w:rsid w:val="08C475DF"/>
    <w:rsid w:val="08C476F6"/>
    <w:rsid w:val="08C4771C"/>
    <w:rsid w:val="08C47758"/>
    <w:rsid w:val="08C477FB"/>
    <w:rsid w:val="08C4780C"/>
    <w:rsid w:val="08C4786A"/>
    <w:rsid w:val="08C478C6"/>
    <w:rsid w:val="08C47970"/>
    <w:rsid w:val="08C479E8"/>
    <w:rsid w:val="08C479F0"/>
    <w:rsid w:val="08C47A10"/>
    <w:rsid w:val="08C47A64"/>
    <w:rsid w:val="08C47A8F"/>
    <w:rsid w:val="08C47B9B"/>
    <w:rsid w:val="08C47BFD"/>
    <w:rsid w:val="08C47CA2"/>
    <w:rsid w:val="08C47D90"/>
    <w:rsid w:val="08C47DC7"/>
    <w:rsid w:val="08C47ECD"/>
    <w:rsid w:val="08C47F85"/>
    <w:rsid w:val="08C50129"/>
    <w:rsid w:val="08C50184"/>
    <w:rsid w:val="08C5023F"/>
    <w:rsid w:val="08C5025C"/>
    <w:rsid w:val="08C50458"/>
    <w:rsid w:val="08C5046A"/>
    <w:rsid w:val="08C504BA"/>
    <w:rsid w:val="08C504C4"/>
    <w:rsid w:val="08C50612"/>
    <w:rsid w:val="08C50644"/>
    <w:rsid w:val="08C506FA"/>
    <w:rsid w:val="08C50726"/>
    <w:rsid w:val="08C5074A"/>
    <w:rsid w:val="08C5078E"/>
    <w:rsid w:val="08C50824"/>
    <w:rsid w:val="08C50827"/>
    <w:rsid w:val="08C5083E"/>
    <w:rsid w:val="08C508E0"/>
    <w:rsid w:val="08C50AF3"/>
    <w:rsid w:val="08C50B5E"/>
    <w:rsid w:val="08C50C86"/>
    <w:rsid w:val="08C50D36"/>
    <w:rsid w:val="08C50E0D"/>
    <w:rsid w:val="08C50E29"/>
    <w:rsid w:val="08C50F7F"/>
    <w:rsid w:val="08C50FBA"/>
    <w:rsid w:val="08C5103B"/>
    <w:rsid w:val="08C5104C"/>
    <w:rsid w:val="08C510B1"/>
    <w:rsid w:val="08C510FB"/>
    <w:rsid w:val="08C51101"/>
    <w:rsid w:val="08C511B8"/>
    <w:rsid w:val="08C5127B"/>
    <w:rsid w:val="08C5129F"/>
    <w:rsid w:val="08C512DB"/>
    <w:rsid w:val="08C513F9"/>
    <w:rsid w:val="08C515B2"/>
    <w:rsid w:val="08C517A0"/>
    <w:rsid w:val="08C517E8"/>
    <w:rsid w:val="08C517E9"/>
    <w:rsid w:val="08C519E5"/>
    <w:rsid w:val="08C51A89"/>
    <w:rsid w:val="08C51ACB"/>
    <w:rsid w:val="08C51BB0"/>
    <w:rsid w:val="08C51BB4"/>
    <w:rsid w:val="08C51BCD"/>
    <w:rsid w:val="08C51BCE"/>
    <w:rsid w:val="08C51BF1"/>
    <w:rsid w:val="08C51C0A"/>
    <w:rsid w:val="08C51C94"/>
    <w:rsid w:val="08C51D47"/>
    <w:rsid w:val="08C51D57"/>
    <w:rsid w:val="08C51D9C"/>
    <w:rsid w:val="08C51DB6"/>
    <w:rsid w:val="08C52007"/>
    <w:rsid w:val="08C52063"/>
    <w:rsid w:val="08C52151"/>
    <w:rsid w:val="08C521F0"/>
    <w:rsid w:val="08C52209"/>
    <w:rsid w:val="08C5224A"/>
    <w:rsid w:val="08C5225B"/>
    <w:rsid w:val="08C522D4"/>
    <w:rsid w:val="08C523C7"/>
    <w:rsid w:val="08C52444"/>
    <w:rsid w:val="08C5247B"/>
    <w:rsid w:val="08C525A7"/>
    <w:rsid w:val="08C52667"/>
    <w:rsid w:val="08C526E5"/>
    <w:rsid w:val="08C5274D"/>
    <w:rsid w:val="08C5275A"/>
    <w:rsid w:val="08C52765"/>
    <w:rsid w:val="08C5285A"/>
    <w:rsid w:val="08C528A4"/>
    <w:rsid w:val="08C529B4"/>
    <w:rsid w:val="08C52A37"/>
    <w:rsid w:val="08C52B0A"/>
    <w:rsid w:val="08C52B5A"/>
    <w:rsid w:val="08C52B79"/>
    <w:rsid w:val="08C52B96"/>
    <w:rsid w:val="08C52BB3"/>
    <w:rsid w:val="08C52BF0"/>
    <w:rsid w:val="08C52C74"/>
    <w:rsid w:val="08C52D8C"/>
    <w:rsid w:val="08C52E87"/>
    <w:rsid w:val="08C52F54"/>
    <w:rsid w:val="08C52F83"/>
    <w:rsid w:val="08C53020"/>
    <w:rsid w:val="08C5318C"/>
    <w:rsid w:val="08C5321B"/>
    <w:rsid w:val="08C53244"/>
    <w:rsid w:val="08C5324D"/>
    <w:rsid w:val="08C53280"/>
    <w:rsid w:val="08C53309"/>
    <w:rsid w:val="08C5333A"/>
    <w:rsid w:val="08C5333E"/>
    <w:rsid w:val="08C53359"/>
    <w:rsid w:val="08C53509"/>
    <w:rsid w:val="08C5352B"/>
    <w:rsid w:val="08C53554"/>
    <w:rsid w:val="08C5359E"/>
    <w:rsid w:val="08C535B1"/>
    <w:rsid w:val="08C5367F"/>
    <w:rsid w:val="08C5372D"/>
    <w:rsid w:val="08C537EA"/>
    <w:rsid w:val="08C53812"/>
    <w:rsid w:val="08C5384D"/>
    <w:rsid w:val="08C53870"/>
    <w:rsid w:val="08C5399F"/>
    <w:rsid w:val="08C53A72"/>
    <w:rsid w:val="08C53AEA"/>
    <w:rsid w:val="08C53AEC"/>
    <w:rsid w:val="08C53B0A"/>
    <w:rsid w:val="08C53BFC"/>
    <w:rsid w:val="08C53C88"/>
    <w:rsid w:val="08C53D09"/>
    <w:rsid w:val="08C53D65"/>
    <w:rsid w:val="08C53D7C"/>
    <w:rsid w:val="08C53DAA"/>
    <w:rsid w:val="08C53E06"/>
    <w:rsid w:val="08C53EA0"/>
    <w:rsid w:val="08C53EC5"/>
    <w:rsid w:val="08C53EE4"/>
    <w:rsid w:val="08C53F22"/>
    <w:rsid w:val="08C53F3E"/>
    <w:rsid w:val="08C53F9C"/>
    <w:rsid w:val="08C53FF8"/>
    <w:rsid w:val="08C54079"/>
    <w:rsid w:val="08C540B9"/>
    <w:rsid w:val="08C540D9"/>
    <w:rsid w:val="08C54175"/>
    <w:rsid w:val="08C541B1"/>
    <w:rsid w:val="08C5426E"/>
    <w:rsid w:val="08C54287"/>
    <w:rsid w:val="08C54296"/>
    <w:rsid w:val="08C54339"/>
    <w:rsid w:val="08C5439C"/>
    <w:rsid w:val="08C543D2"/>
    <w:rsid w:val="08C544FF"/>
    <w:rsid w:val="08C54516"/>
    <w:rsid w:val="08C54684"/>
    <w:rsid w:val="08C546C8"/>
    <w:rsid w:val="08C54703"/>
    <w:rsid w:val="08C5475D"/>
    <w:rsid w:val="08C547D9"/>
    <w:rsid w:val="08C54842"/>
    <w:rsid w:val="08C54892"/>
    <w:rsid w:val="08C548EA"/>
    <w:rsid w:val="08C54915"/>
    <w:rsid w:val="08C549DC"/>
    <w:rsid w:val="08C54AE3"/>
    <w:rsid w:val="08C54B15"/>
    <w:rsid w:val="08C54B2D"/>
    <w:rsid w:val="08C54B4E"/>
    <w:rsid w:val="08C54B55"/>
    <w:rsid w:val="08C54B9E"/>
    <w:rsid w:val="08C54BD2"/>
    <w:rsid w:val="08C54C15"/>
    <w:rsid w:val="08C54C5C"/>
    <w:rsid w:val="08C54C98"/>
    <w:rsid w:val="08C54C9D"/>
    <w:rsid w:val="08C54D56"/>
    <w:rsid w:val="08C54DC9"/>
    <w:rsid w:val="08C54DE3"/>
    <w:rsid w:val="08C54DF2"/>
    <w:rsid w:val="08C54E43"/>
    <w:rsid w:val="08C54EF0"/>
    <w:rsid w:val="08C55247"/>
    <w:rsid w:val="08C552B8"/>
    <w:rsid w:val="08C5533B"/>
    <w:rsid w:val="08C5540C"/>
    <w:rsid w:val="08C554EC"/>
    <w:rsid w:val="08C55514"/>
    <w:rsid w:val="08C5560A"/>
    <w:rsid w:val="08C55699"/>
    <w:rsid w:val="08C556AD"/>
    <w:rsid w:val="08C55783"/>
    <w:rsid w:val="08C557CC"/>
    <w:rsid w:val="08C55871"/>
    <w:rsid w:val="08C558A0"/>
    <w:rsid w:val="08C558A7"/>
    <w:rsid w:val="08C55A33"/>
    <w:rsid w:val="08C55B7B"/>
    <w:rsid w:val="08C55BA6"/>
    <w:rsid w:val="08C55C81"/>
    <w:rsid w:val="08C55CB5"/>
    <w:rsid w:val="08C55CB7"/>
    <w:rsid w:val="08C55D5A"/>
    <w:rsid w:val="08C55DC1"/>
    <w:rsid w:val="08C55F23"/>
    <w:rsid w:val="08C55F9F"/>
    <w:rsid w:val="08C561A2"/>
    <w:rsid w:val="08C561E2"/>
    <w:rsid w:val="08C56216"/>
    <w:rsid w:val="08C562A8"/>
    <w:rsid w:val="08C562DB"/>
    <w:rsid w:val="08C562E9"/>
    <w:rsid w:val="08C56335"/>
    <w:rsid w:val="08C5646E"/>
    <w:rsid w:val="08C56578"/>
    <w:rsid w:val="08C56585"/>
    <w:rsid w:val="08C565BB"/>
    <w:rsid w:val="08C565D6"/>
    <w:rsid w:val="08C566D0"/>
    <w:rsid w:val="08C5673F"/>
    <w:rsid w:val="08C5678E"/>
    <w:rsid w:val="08C5679A"/>
    <w:rsid w:val="08C567BC"/>
    <w:rsid w:val="08C56947"/>
    <w:rsid w:val="08C5695A"/>
    <w:rsid w:val="08C56982"/>
    <w:rsid w:val="08C569A4"/>
    <w:rsid w:val="08C56A38"/>
    <w:rsid w:val="08C56A83"/>
    <w:rsid w:val="08C56BAD"/>
    <w:rsid w:val="08C56BDB"/>
    <w:rsid w:val="08C56C9C"/>
    <w:rsid w:val="08C56D5F"/>
    <w:rsid w:val="08C56F86"/>
    <w:rsid w:val="08C56FE8"/>
    <w:rsid w:val="08C57018"/>
    <w:rsid w:val="08C57153"/>
    <w:rsid w:val="08C5715E"/>
    <w:rsid w:val="08C57178"/>
    <w:rsid w:val="08C571CD"/>
    <w:rsid w:val="08C5721A"/>
    <w:rsid w:val="08C57303"/>
    <w:rsid w:val="08C5736A"/>
    <w:rsid w:val="08C5737F"/>
    <w:rsid w:val="08C5740E"/>
    <w:rsid w:val="08C57424"/>
    <w:rsid w:val="08C57466"/>
    <w:rsid w:val="08C5749F"/>
    <w:rsid w:val="08C5757F"/>
    <w:rsid w:val="08C5760F"/>
    <w:rsid w:val="08C57619"/>
    <w:rsid w:val="08C57630"/>
    <w:rsid w:val="08C57658"/>
    <w:rsid w:val="08C57682"/>
    <w:rsid w:val="08C576CA"/>
    <w:rsid w:val="08C57771"/>
    <w:rsid w:val="08C57790"/>
    <w:rsid w:val="08C577BB"/>
    <w:rsid w:val="08C5785E"/>
    <w:rsid w:val="08C57882"/>
    <w:rsid w:val="08C578D2"/>
    <w:rsid w:val="08C57946"/>
    <w:rsid w:val="08C57972"/>
    <w:rsid w:val="08C57BF8"/>
    <w:rsid w:val="08C57D3C"/>
    <w:rsid w:val="08C57D42"/>
    <w:rsid w:val="08C57DC3"/>
    <w:rsid w:val="08C57E35"/>
    <w:rsid w:val="08C57E7B"/>
    <w:rsid w:val="08C57E9F"/>
    <w:rsid w:val="08C57EE1"/>
    <w:rsid w:val="08C57F2C"/>
    <w:rsid w:val="08C57F78"/>
    <w:rsid w:val="08C60092"/>
    <w:rsid w:val="08C600F7"/>
    <w:rsid w:val="08C6017A"/>
    <w:rsid w:val="08C601E2"/>
    <w:rsid w:val="08C60270"/>
    <w:rsid w:val="08C6032F"/>
    <w:rsid w:val="08C6036C"/>
    <w:rsid w:val="08C604E2"/>
    <w:rsid w:val="08C60522"/>
    <w:rsid w:val="08C6067D"/>
    <w:rsid w:val="08C606B7"/>
    <w:rsid w:val="08C60784"/>
    <w:rsid w:val="08C60790"/>
    <w:rsid w:val="08C60797"/>
    <w:rsid w:val="08C60870"/>
    <w:rsid w:val="08C60897"/>
    <w:rsid w:val="08C60B0A"/>
    <w:rsid w:val="08C60B38"/>
    <w:rsid w:val="08C60B40"/>
    <w:rsid w:val="08C60BED"/>
    <w:rsid w:val="08C60C3C"/>
    <w:rsid w:val="08C60CEF"/>
    <w:rsid w:val="08C60DD9"/>
    <w:rsid w:val="08C60E02"/>
    <w:rsid w:val="08C60E10"/>
    <w:rsid w:val="08C60EB5"/>
    <w:rsid w:val="08C61068"/>
    <w:rsid w:val="08C610C0"/>
    <w:rsid w:val="08C610CF"/>
    <w:rsid w:val="08C61170"/>
    <w:rsid w:val="08C61214"/>
    <w:rsid w:val="08C612F6"/>
    <w:rsid w:val="08C61312"/>
    <w:rsid w:val="08C6134E"/>
    <w:rsid w:val="08C61392"/>
    <w:rsid w:val="08C613D7"/>
    <w:rsid w:val="08C6148D"/>
    <w:rsid w:val="08C61523"/>
    <w:rsid w:val="08C61571"/>
    <w:rsid w:val="08C61576"/>
    <w:rsid w:val="08C615A0"/>
    <w:rsid w:val="08C61637"/>
    <w:rsid w:val="08C61697"/>
    <w:rsid w:val="08C617DE"/>
    <w:rsid w:val="08C61889"/>
    <w:rsid w:val="08C61953"/>
    <w:rsid w:val="08C61A16"/>
    <w:rsid w:val="08C61A17"/>
    <w:rsid w:val="08C61ADC"/>
    <w:rsid w:val="08C61D16"/>
    <w:rsid w:val="08C61D3F"/>
    <w:rsid w:val="08C61D82"/>
    <w:rsid w:val="08C61E5C"/>
    <w:rsid w:val="08C61FED"/>
    <w:rsid w:val="08C62076"/>
    <w:rsid w:val="08C620EB"/>
    <w:rsid w:val="08C62124"/>
    <w:rsid w:val="08C62125"/>
    <w:rsid w:val="08C6216C"/>
    <w:rsid w:val="08C621CB"/>
    <w:rsid w:val="08C6221E"/>
    <w:rsid w:val="08C6234A"/>
    <w:rsid w:val="08C62520"/>
    <w:rsid w:val="08C62557"/>
    <w:rsid w:val="08C62575"/>
    <w:rsid w:val="08C62658"/>
    <w:rsid w:val="08C627BC"/>
    <w:rsid w:val="08C62854"/>
    <w:rsid w:val="08C628B8"/>
    <w:rsid w:val="08C628E3"/>
    <w:rsid w:val="08C62A08"/>
    <w:rsid w:val="08C62A3D"/>
    <w:rsid w:val="08C62A72"/>
    <w:rsid w:val="08C62BE2"/>
    <w:rsid w:val="08C62C37"/>
    <w:rsid w:val="08C62C57"/>
    <w:rsid w:val="08C62C9E"/>
    <w:rsid w:val="08C62D4E"/>
    <w:rsid w:val="08C62D75"/>
    <w:rsid w:val="08C62DBB"/>
    <w:rsid w:val="08C62DD9"/>
    <w:rsid w:val="08C62E13"/>
    <w:rsid w:val="08C62FF5"/>
    <w:rsid w:val="08C63028"/>
    <w:rsid w:val="08C63090"/>
    <w:rsid w:val="08C630FB"/>
    <w:rsid w:val="08C63164"/>
    <w:rsid w:val="08C63183"/>
    <w:rsid w:val="08C6319A"/>
    <w:rsid w:val="08C631FF"/>
    <w:rsid w:val="08C63206"/>
    <w:rsid w:val="08C63294"/>
    <w:rsid w:val="08C632C8"/>
    <w:rsid w:val="08C6333A"/>
    <w:rsid w:val="08C63346"/>
    <w:rsid w:val="08C63390"/>
    <w:rsid w:val="08C633F3"/>
    <w:rsid w:val="08C633F4"/>
    <w:rsid w:val="08C633F6"/>
    <w:rsid w:val="08C6340E"/>
    <w:rsid w:val="08C63532"/>
    <w:rsid w:val="08C6367C"/>
    <w:rsid w:val="08C636CC"/>
    <w:rsid w:val="08C63732"/>
    <w:rsid w:val="08C637CE"/>
    <w:rsid w:val="08C63831"/>
    <w:rsid w:val="08C6389A"/>
    <w:rsid w:val="08C638C6"/>
    <w:rsid w:val="08C63B59"/>
    <w:rsid w:val="08C63B66"/>
    <w:rsid w:val="08C63CDF"/>
    <w:rsid w:val="08C63D02"/>
    <w:rsid w:val="08C63D16"/>
    <w:rsid w:val="08C63D1B"/>
    <w:rsid w:val="08C63DFF"/>
    <w:rsid w:val="08C63E7E"/>
    <w:rsid w:val="08C63F34"/>
    <w:rsid w:val="08C63FBC"/>
    <w:rsid w:val="08C64042"/>
    <w:rsid w:val="08C64056"/>
    <w:rsid w:val="08C64081"/>
    <w:rsid w:val="08C64151"/>
    <w:rsid w:val="08C6421C"/>
    <w:rsid w:val="08C642DC"/>
    <w:rsid w:val="08C64398"/>
    <w:rsid w:val="08C643B5"/>
    <w:rsid w:val="08C6445D"/>
    <w:rsid w:val="08C64506"/>
    <w:rsid w:val="08C645AF"/>
    <w:rsid w:val="08C64668"/>
    <w:rsid w:val="08C647CE"/>
    <w:rsid w:val="08C647CF"/>
    <w:rsid w:val="08C647E3"/>
    <w:rsid w:val="08C647F2"/>
    <w:rsid w:val="08C648D5"/>
    <w:rsid w:val="08C648DF"/>
    <w:rsid w:val="08C648F4"/>
    <w:rsid w:val="08C6490B"/>
    <w:rsid w:val="08C64A70"/>
    <w:rsid w:val="08C64C04"/>
    <w:rsid w:val="08C64C1D"/>
    <w:rsid w:val="08C64D66"/>
    <w:rsid w:val="08C64DB8"/>
    <w:rsid w:val="08C64DDF"/>
    <w:rsid w:val="08C64E69"/>
    <w:rsid w:val="08C64E76"/>
    <w:rsid w:val="08C64FD8"/>
    <w:rsid w:val="08C650CC"/>
    <w:rsid w:val="08C6526F"/>
    <w:rsid w:val="08C652B6"/>
    <w:rsid w:val="08C653A0"/>
    <w:rsid w:val="08C654EA"/>
    <w:rsid w:val="08C65508"/>
    <w:rsid w:val="08C6557E"/>
    <w:rsid w:val="08C655E4"/>
    <w:rsid w:val="08C65611"/>
    <w:rsid w:val="08C6562E"/>
    <w:rsid w:val="08C65645"/>
    <w:rsid w:val="08C65675"/>
    <w:rsid w:val="08C6575C"/>
    <w:rsid w:val="08C6577E"/>
    <w:rsid w:val="08C65798"/>
    <w:rsid w:val="08C65875"/>
    <w:rsid w:val="08C65889"/>
    <w:rsid w:val="08C659BD"/>
    <w:rsid w:val="08C65B4D"/>
    <w:rsid w:val="08C65C57"/>
    <w:rsid w:val="08C65EC5"/>
    <w:rsid w:val="08C65EF2"/>
    <w:rsid w:val="08C65F1B"/>
    <w:rsid w:val="08C65F39"/>
    <w:rsid w:val="08C65F8F"/>
    <w:rsid w:val="08C65FAC"/>
    <w:rsid w:val="08C65FE7"/>
    <w:rsid w:val="08C66094"/>
    <w:rsid w:val="08C66112"/>
    <w:rsid w:val="08C6615A"/>
    <w:rsid w:val="08C663B5"/>
    <w:rsid w:val="08C6652C"/>
    <w:rsid w:val="08C665AA"/>
    <w:rsid w:val="08C66606"/>
    <w:rsid w:val="08C6663B"/>
    <w:rsid w:val="08C66739"/>
    <w:rsid w:val="08C66768"/>
    <w:rsid w:val="08C66779"/>
    <w:rsid w:val="08C667C7"/>
    <w:rsid w:val="08C66887"/>
    <w:rsid w:val="08C669B1"/>
    <w:rsid w:val="08C669BD"/>
    <w:rsid w:val="08C669C8"/>
    <w:rsid w:val="08C66A7E"/>
    <w:rsid w:val="08C66AFA"/>
    <w:rsid w:val="08C66B1F"/>
    <w:rsid w:val="08C66BB4"/>
    <w:rsid w:val="08C66BCE"/>
    <w:rsid w:val="08C66C12"/>
    <w:rsid w:val="08C66C3F"/>
    <w:rsid w:val="08C66C5F"/>
    <w:rsid w:val="08C66C65"/>
    <w:rsid w:val="08C66CCB"/>
    <w:rsid w:val="08C66CF1"/>
    <w:rsid w:val="08C66D97"/>
    <w:rsid w:val="08C66E6E"/>
    <w:rsid w:val="08C66E70"/>
    <w:rsid w:val="08C66E9C"/>
    <w:rsid w:val="08C66EE0"/>
    <w:rsid w:val="08C66EF1"/>
    <w:rsid w:val="08C66F2D"/>
    <w:rsid w:val="08C66F88"/>
    <w:rsid w:val="08C66F9B"/>
    <w:rsid w:val="08C6700B"/>
    <w:rsid w:val="08C6705A"/>
    <w:rsid w:val="08C67066"/>
    <w:rsid w:val="08C670B0"/>
    <w:rsid w:val="08C670D6"/>
    <w:rsid w:val="08C67164"/>
    <w:rsid w:val="08C672D6"/>
    <w:rsid w:val="08C672F0"/>
    <w:rsid w:val="08C672F5"/>
    <w:rsid w:val="08C67381"/>
    <w:rsid w:val="08C6739A"/>
    <w:rsid w:val="08C67448"/>
    <w:rsid w:val="08C67450"/>
    <w:rsid w:val="08C6751F"/>
    <w:rsid w:val="08C67533"/>
    <w:rsid w:val="08C675C3"/>
    <w:rsid w:val="08C6761D"/>
    <w:rsid w:val="08C67656"/>
    <w:rsid w:val="08C676E0"/>
    <w:rsid w:val="08C67714"/>
    <w:rsid w:val="08C67717"/>
    <w:rsid w:val="08C677EA"/>
    <w:rsid w:val="08C67872"/>
    <w:rsid w:val="08C67936"/>
    <w:rsid w:val="08C6793C"/>
    <w:rsid w:val="08C67990"/>
    <w:rsid w:val="08C679AA"/>
    <w:rsid w:val="08C67A87"/>
    <w:rsid w:val="08C67ABC"/>
    <w:rsid w:val="08C67BBE"/>
    <w:rsid w:val="08C67BDE"/>
    <w:rsid w:val="08C67C96"/>
    <w:rsid w:val="08C67D6A"/>
    <w:rsid w:val="08C67DC4"/>
    <w:rsid w:val="08C67E55"/>
    <w:rsid w:val="08C67E88"/>
    <w:rsid w:val="08C67EDA"/>
    <w:rsid w:val="08C67F6B"/>
    <w:rsid w:val="08C67F7C"/>
    <w:rsid w:val="08C70042"/>
    <w:rsid w:val="08C70115"/>
    <w:rsid w:val="08C70116"/>
    <w:rsid w:val="08C7011A"/>
    <w:rsid w:val="08C701A2"/>
    <w:rsid w:val="08C70299"/>
    <w:rsid w:val="08C702B8"/>
    <w:rsid w:val="08C702FC"/>
    <w:rsid w:val="08C704C5"/>
    <w:rsid w:val="08C70613"/>
    <w:rsid w:val="08C70627"/>
    <w:rsid w:val="08C706E7"/>
    <w:rsid w:val="08C7071A"/>
    <w:rsid w:val="08C7074F"/>
    <w:rsid w:val="08C707E1"/>
    <w:rsid w:val="08C70901"/>
    <w:rsid w:val="08C709CD"/>
    <w:rsid w:val="08C70B43"/>
    <w:rsid w:val="08C70B51"/>
    <w:rsid w:val="08C70B89"/>
    <w:rsid w:val="08C70B9F"/>
    <w:rsid w:val="08C70C18"/>
    <w:rsid w:val="08C70C6B"/>
    <w:rsid w:val="08C70D71"/>
    <w:rsid w:val="08C70DAA"/>
    <w:rsid w:val="08C70ECD"/>
    <w:rsid w:val="08C70F14"/>
    <w:rsid w:val="08C70F6B"/>
    <w:rsid w:val="08C70F85"/>
    <w:rsid w:val="08C70F9F"/>
    <w:rsid w:val="08C710C7"/>
    <w:rsid w:val="08C71180"/>
    <w:rsid w:val="08C7119A"/>
    <w:rsid w:val="08C711A7"/>
    <w:rsid w:val="08C71257"/>
    <w:rsid w:val="08C7128B"/>
    <w:rsid w:val="08C71360"/>
    <w:rsid w:val="08C71377"/>
    <w:rsid w:val="08C7137D"/>
    <w:rsid w:val="08C7143C"/>
    <w:rsid w:val="08C71472"/>
    <w:rsid w:val="08C71495"/>
    <w:rsid w:val="08C7158A"/>
    <w:rsid w:val="08C7163A"/>
    <w:rsid w:val="08C7166F"/>
    <w:rsid w:val="08C717EA"/>
    <w:rsid w:val="08C71827"/>
    <w:rsid w:val="08C7189D"/>
    <w:rsid w:val="08C718C3"/>
    <w:rsid w:val="08C718FD"/>
    <w:rsid w:val="08C71A9B"/>
    <w:rsid w:val="08C71B6A"/>
    <w:rsid w:val="08C71B78"/>
    <w:rsid w:val="08C71C2C"/>
    <w:rsid w:val="08C71C35"/>
    <w:rsid w:val="08C71CF9"/>
    <w:rsid w:val="08C71D72"/>
    <w:rsid w:val="08C71D8A"/>
    <w:rsid w:val="08C71DDE"/>
    <w:rsid w:val="08C71E95"/>
    <w:rsid w:val="08C71F0D"/>
    <w:rsid w:val="08C71F3F"/>
    <w:rsid w:val="08C72038"/>
    <w:rsid w:val="08C72052"/>
    <w:rsid w:val="08C7207B"/>
    <w:rsid w:val="08C720FD"/>
    <w:rsid w:val="08C72238"/>
    <w:rsid w:val="08C72277"/>
    <w:rsid w:val="08C72286"/>
    <w:rsid w:val="08C72292"/>
    <w:rsid w:val="08C722DD"/>
    <w:rsid w:val="08C72348"/>
    <w:rsid w:val="08C7235F"/>
    <w:rsid w:val="08C724D5"/>
    <w:rsid w:val="08C72527"/>
    <w:rsid w:val="08C7257C"/>
    <w:rsid w:val="08C7257E"/>
    <w:rsid w:val="08C725EA"/>
    <w:rsid w:val="08C72655"/>
    <w:rsid w:val="08C72672"/>
    <w:rsid w:val="08C726B8"/>
    <w:rsid w:val="08C727CE"/>
    <w:rsid w:val="08C72892"/>
    <w:rsid w:val="08C728B6"/>
    <w:rsid w:val="08C728C7"/>
    <w:rsid w:val="08C728D8"/>
    <w:rsid w:val="08C728EA"/>
    <w:rsid w:val="08C729C0"/>
    <w:rsid w:val="08C72A71"/>
    <w:rsid w:val="08C72A8A"/>
    <w:rsid w:val="08C72B93"/>
    <w:rsid w:val="08C72BA3"/>
    <w:rsid w:val="08C72C3D"/>
    <w:rsid w:val="08C72CCE"/>
    <w:rsid w:val="08C72CED"/>
    <w:rsid w:val="08C72D2D"/>
    <w:rsid w:val="08C72D44"/>
    <w:rsid w:val="08C72D88"/>
    <w:rsid w:val="08C72D8F"/>
    <w:rsid w:val="08C72D95"/>
    <w:rsid w:val="08C72D96"/>
    <w:rsid w:val="08C72DD5"/>
    <w:rsid w:val="08C72E82"/>
    <w:rsid w:val="08C72EA1"/>
    <w:rsid w:val="08C72F62"/>
    <w:rsid w:val="08C72F78"/>
    <w:rsid w:val="08C730E5"/>
    <w:rsid w:val="08C73122"/>
    <w:rsid w:val="08C73181"/>
    <w:rsid w:val="08C733B3"/>
    <w:rsid w:val="08C733C0"/>
    <w:rsid w:val="08C733C5"/>
    <w:rsid w:val="08C733D3"/>
    <w:rsid w:val="08C734ED"/>
    <w:rsid w:val="08C735B5"/>
    <w:rsid w:val="08C735E9"/>
    <w:rsid w:val="08C736FC"/>
    <w:rsid w:val="08C737D4"/>
    <w:rsid w:val="08C73808"/>
    <w:rsid w:val="08C73824"/>
    <w:rsid w:val="08C73848"/>
    <w:rsid w:val="08C73891"/>
    <w:rsid w:val="08C73922"/>
    <w:rsid w:val="08C73999"/>
    <w:rsid w:val="08C739F2"/>
    <w:rsid w:val="08C73A5F"/>
    <w:rsid w:val="08C73AB7"/>
    <w:rsid w:val="08C73ACC"/>
    <w:rsid w:val="08C73AFF"/>
    <w:rsid w:val="08C73B13"/>
    <w:rsid w:val="08C73B95"/>
    <w:rsid w:val="08C73BBE"/>
    <w:rsid w:val="08C73BE7"/>
    <w:rsid w:val="08C73BEF"/>
    <w:rsid w:val="08C73BF3"/>
    <w:rsid w:val="08C73C8A"/>
    <w:rsid w:val="08C73E14"/>
    <w:rsid w:val="08C73E1C"/>
    <w:rsid w:val="08C73E51"/>
    <w:rsid w:val="08C73E98"/>
    <w:rsid w:val="08C73F36"/>
    <w:rsid w:val="08C74001"/>
    <w:rsid w:val="08C7414D"/>
    <w:rsid w:val="08C7416B"/>
    <w:rsid w:val="08C74175"/>
    <w:rsid w:val="08C74273"/>
    <w:rsid w:val="08C7443D"/>
    <w:rsid w:val="08C74473"/>
    <w:rsid w:val="08C744BD"/>
    <w:rsid w:val="08C74554"/>
    <w:rsid w:val="08C74595"/>
    <w:rsid w:val="08C745B3"/>
    <w:rsid w:val="08C745EC"/>
    <w:rsid w:val="08C746D4"/>
    <w:rsid w:val="08C74720"/>
    <w:rsid w:val="08C74765"/>
    <w:rsid w:val="08C747A1"/>
    <w:rsid w:val="08C74816"/>
    <w:rsid w:val="08C7488D"/>
    <w:rsid w:val="08C74A11"/>
    <w:rsid w:val="08C74A4B"/>
    <w:rsid w:val="08C74A59"/>
    <w:rsid w:val="08C74AB6"/>
    <w:rsid w:val="08C74BB0"/>
    <w:rsid w:val="08C74BB8"/>
    <w:rsid w:val="08C74BE9"/>
    <w:rsid w:val="08C74BED"/>
    <w:rsid w:val="08C74C11"/>
    <w:rsid w:val="08C74C6C"/>
    <w:rsid w:val="08C74D0E"/>
    <w:rsid w:val="08C74D29"/>
    <w:rsid w:val="08C74D4D"/>
    <w:rsid w:val="08C74E25"/>
    <w:rsid w:val="08C74EAD"/>
    <w:rsid w:val="08C74F4B"/>
    <w:rsid w:val="08C750AB"/>
    <w:rsid w:val="08C75124"/>
    <w:rsid w:val="08C751DD"/>
    <w:rsid w:val="08C75211"/>
    <w:rsid w:val="08C752AC"/>
    <w:rsid w:val="08C752F4"/>
    <w:rsid w:val="08C7534D"/>
    <w:rsid w:val="08C753F9"/>
    <w:rsid w:val="08C754B6"/>
    <w:rsid w:val="08C754D4"/>
    <w:rsid w:val="08C754F9"/>
    <w:rsid w:val="08C755E6"/>
    <w:rsid w:val="08C75626"/>
    <w:rsid w:val="08C756B6"/>
    <w:rsid w:val="08C756D5"/>
    <w:rsid w:val="08C756ED"/>
    <w:rsid w:val="08C75750"/>
    <w:rsid w:val="08C757D4"/>
    <w:rsid w:val="08C757D9"/>
    <w:rsid w:val="08C75812"/>
    <w:rsid w:val="08C75840"/>
    <w:rsid w:val="08C75848"/>
    <w:rsid w:val="08C75867"/>
    <w:rsid w:val="08C75898"/>
    <w:rsid w:val="08C758AD"/>
    <w:rsid w:val="08C759D5"/>
    <w:rsid w:val="08C75A3D"/>
    <w:rsid w:val="08C75B0A"/>
    <w:rsid w:val="08C75C08"/>
    <w:rsid w:val="08C75C45"/>
    <w:rsid w:val="08C75CCC"/>
    <w:rsid w:val="08C75CD5"/>
    <w:rsid w:val="08C75CEB"/>
    <w:rsid w:val="08C75D12"/>
    <w:rsid w:val="08C75DC1"/>
    <w:rsid w:val="08C75E23"/>
    <w:rsid w:val="08C75E40"/>
    <w:rsid w:val="08C75E41"/>
    <w:rsid w:val="08C75E4F"/>
    <w:rsid w:val="08C75E92"/>
    <w:rsid w:val="08C75FA8"/>
    <w:rsid w:val="08C75FF3"/>
    <w:rsid w:val="08C76049"/>
    <w:rsid w:val="08C761A7"/>
    <w:rsid w:val="08C76265"/>
    <w:rsid w:val="08C7626A"/>
    <w:rsid w:val="08C76282"/>
    <w:rsid w:val="08C762EC"/>
    <w:rsid w:val="08C76486"/>
    <w:rsid w:val="08C765AA"/>
    <w:rsid w:val="08C766A6"/>
    <w:rsid w:val="08C76734"/>
    <w:rsid w:val="08C76743"/>
    <w:rsid w:val="08C76891"/>
    <w:rsid w:val="08C7696D"/>
    <w:rsid w:val="08C769BD"/>
    <w:rsid w:val="08C76A5D"/>
    <w:rsid w:val="08C76A6D"/>
    <w:rsid w:val="08C76A8F"/>
    <w:rsid w:val="08C76ABD"/>
    <w:rsid w:val="08C76B32"/>
    <w:rsid w:val="08C76B80"/>
    <w:rsid w:val="08C76B9C"/>
    <w:rsid w:val="08C76D10"/>
    <w:rsid w:val="08C76D8F"/>
    <w:rsid w:val="08C76D9B"/>
    <w:rsid w:val="08C76E3B"/>
    <w:rsid w:val="08C76E7E"/>
    <w:rsid w:val="08C76E91"/>
    <w:rsid w:val="08C76EEC"/>
    <w:rsid w:val="08C76F1F"/>
    <w:rsid w:val="08C76FE2"/>
    <w:rsid w:val="08C76FFE"/>
    <w:rsid w:val="08C77049"/>
    <w:rsid w:val="08C7717A"/>
    <w:rsid w:val="08C7724F"/>
    <w:rsid w:val="08C773AA"/>
    <w:rsid w:val="08C773F6"/>
    <w:rsid w:val="08C77410"/>
    <w:rsid w:val="08C77419"/>
    <w:rsid w:val="08C7747A"/>
    <w:rsid w:val="08C774E1"/>
    <w:rsid w:val="08C776A0"/>
    <w:rsid w:val="08C776C9"/>
    <w:rsid w:val="08C776CC"/>
    <w:rsid w:val="08C778D8"/>
    <w:rsid w:val="08C77970"/>
    <w:rsid w:val="08C779C9"/>
    <w:rsid w:val="08C779EC"/>
    <w:rsid w:val="08C77A1E"/>
    <w:rsid w:val="08C77C0F"/>
    <w:rsid w:val="08C77C2F"/>
    <w:rsid w:val="08C77C9A"/>
    <w:rsid w:val="08C77CED"/>
    <w:rsid w:val="08C77DF6"/>
    <w:rsid w:val="08C77E2F"/>
    <w:rsid w:val="08C77F8A"/>
    <w:rsid w:val="08C800FB"/>
    <w:rsid w:val="08C801BB"/>
    <w:rsid w:val="08C80213"/>
    <w:rsid w:val="08C802B1"/>
    <w:rsid w:val="08C8030C"/>
    <w:rsid w:val="08C8037A"/>
    <w:rsid w:val="08C80383"/>
    <w:rsid w:val="08C80392"/>
    <w:rsid w:val="08C80413"/>
    <w:rsid w:val="08C80415"/>
    <w:rsid w:val="08C8043A"/>
    <w:rsid w:val="08C80446"/>
    <w:rsid w:val="08C8047A"/>
    <w:rsid w:val="08C804D3"/>
    <w:rsid w:val="08C80510"/>
    <w:rsid w:val="08C80622"/>
    <w:rsid w:val="08C806DE"/>
    <w:rsid w:val="08C806E3"/>
    <w:rsid w:val="08C8071D"/>
    <w:rsid w:val="08C807F8"/>
    <w:rsid w:val="08C80997"/>
    <w:rsid w:val="08C809AD"/>
    <w:rsid w:val="08C809CD"/>
    <w:rsid w:val="08C809E6"/>
    <w:rsid w:val="08C80AC7"/>
    <w:rsid w:val="08C80BD5"/>
    <w:rsid w:val="08C80CD9"/>
    <w:rsid w:val="08C80D45"/>
    <w:rsid w:val="08C80E06"/>
    <w:rsid w:val="08C80E6B"/>
    <w:rsid w:val="08C80F1F"/>
    <w:rsid w:val="08C80F3A"/>
    <w:rsid w:val="08C80FB6"/>
    <w:rsid w:val="08C80FC2"/>
    <w:rsid w:val="08C81003"/>
    <w:rsid w:val="08C81088"/>
    <w:rsid w:val="08C810CD"/>
    <w:rsid w:val="08C8118B"/>
    <w:rsid w:val="08C81228"/>
    <w:rsid w:val="08C81363"/>
    <w:rsid w:val="08C81415"/>
    <w:rsid w:val="08C81490"/>
    <w:rsid w:val="08C8162F"/>
    <w:rsid w:val="08C816B4"/>
    <w:rsid w:val="08C8170D"/>
    <w:rsid w:val="08C81713"/>
    <w:rsid w:val="08C81777"/>
    <w:rsid w:val="08C817EC"/>
    <w:rsid w:val="08C817EF"/>
    <w:rsid w:val="08C81899"/>
    <w:rsid w:val="08C8189A"/>
    <w:rsid w:val="08C81908"/>
    <w:rsid w:val="08C8191E"/>
    <w:rsid w:val="08C81945"/>
    <w:rsid w:val="08C819D6"/>
    <w:rsid w:val="08C819FF"/>
    <w:rsid w:val="08C81A32"/>
    <w:rsid w:val="08C81A90"/>
    <w:rsid w:val="08C81AE7"/>
    <w:rsid w:val="08C81B62"/>
    <w:rsid w:val="08C81B7E"/>
    <w:rsid w:val="08C81B83"/>
    <w:rsid w:val="08C81BAE"/>
    <w:rsid w:val="08C81C3A"/>
    <w:rsid w:val="08C81D31"/>
    <w:rsid w:val="08C81DA2"/>
    <w:rsid w:val="08C81E7F"/>
    <w:rsid w:val="08C81EA6"/>
    <w:rsid w:val="08C81EE9"/>
    <w:rsid w:val="08C81F13"/>
    <w:rsid w:val="08C81F33"/>
    <w:rsid w:val="08C82041"/>
    <w:rsid w:val="08C820F7"/>
    <w:rsid w:val="08C8215C"/>
    <w:rsid w:val="08C821A3"/>
    <w:rsid w:val="08C8220A"/>
    <w:rsid w:val="08C8223E"/>
    <w:rsid w:val="08C82297"/>
    <w:rsid w:val="08C822AC"/>
    <w:rsid w:val="08C8230A"/>
    <w:rsid w:val="08C82331"/>
    <w:rsid w:val="08C82413"/>
    <w:rsid w:val="08C82584"/>
    <w:rsid w:val="08C825C5"/>
    <w:rsid w:val="08C827B2"/>
    <w:rsid w:val="08C827C6"/>
    <w:rsid w:val="08C82867"/>
    <w:rsid w:val="08C828B8"/>
    <w:rsid w:val="08C82926"/>
    <w:rsid w:val="08C8294B"/>
    <w:rsid w:val="08C82952"/>
    <w:rsid w:val="08C82964"/>
    <w:rsid w:val="08C82971"/>
    <w:rsid w:val="08C82993"/>
    <w:rsid w:val="08C82999"/>
    <w:rsid w:val="08C82AB4"/>
    <w:rsid w:val="08C82B23"/>
    <w:rsid w:val="08C82B35"/>
    <w:rsid w:val="08C82B75"/>
    <w:rsid w:val="08C82BC2"/>
    <w:rsid w:val="08C82BFA"/>
    <w:rsid w:val="08C82D54"/>
    <w:rsid w:val="08C82D9D"/>
    <w:rsid w:val="08C82DA6"/>
    <w:rsid w:val="08C82DEE"/>
    <w:rsid w:val="08C82E33"/>
    <w:rsid w:val="08C82E72"/>
    <w:rsid w:val="08C82EB7"/>
    <w:rsid w:val="08C82EC5"/>
    <w:rsid w:val="08C82F7A"/>
    <w:rsid w:val="08C83144"/>
    <w:rsid w:val="08C8316B"/>
    <w:rsid w:val="08C83177"/>
    <w:rsid w:val="08C831A8"/>
    <w:rsid w:val="08C83394"/>
    <w:rsid w:val="08C8343A"/>
    <w:rsid w:val="08C83456"/>
    <w:rsid w:val="08C83567"/>
    <w:rsid w:val="08C835B8"/>
    <w:rsid w:val="08C835CC"/>
    <w:rsid w:val="08C835E2"/>
    <w:rsid w:val="08C8363F"/>
    <w:rsid w:val="08C8374E"/>
    <w:rsid w:val="08C8377B"/>
    <w:rsid w:val="08C83793"/>
    <w:rsid w:val="08C838CC"/>
    <w:rsid w:val="08C838F9"/>
    <w:rsid w:val="08C83971"/>
    <w:rsid w:val="08C83996"/>
    <w:rsid w:val="08C839BE"/>
    <w:rsid w:val="08C839E5"/>
    <w:rsid w:val="08C83A99"/>
    <w:rsid w:val="08C83DE0"/>
    <w:rsid w:val="08C83DE8"/>
    <w:rsid w:val="08C83FBC"/>
    <w:rsid w:val="08C83FFB"/>
    <w:rsid w:val="08C84013"/>
    <w:rsid w:val="08C840AB"/>
    <w:rsid w:val="08C840E1"/>
    <w:rsid w:val="08C84132"/>
    <w:rsid w:val="08C84139"/>
    <w:rsid w:val="08C84169"/>
    <w:rsid w:val="08C84170"/>
    <w:rsid w:val="08C84191"/>
    <w:rsid w:val="08C8429F"/>
    <w:rsid w:val="08C843AB"/>
    <w:rsid w:val="08C84405"/>
    <w:rsid w:val="08C844CF"/>
    <w:rsid w:val="08C84506"/>
    <w:rsid w:val="08C84622"/>
    <w:rsid w:val="08C8463F"/>
    <w:rsid w:val="08C846AE"/>
    <w:rsid w:val="08C84706"/>
    <w:rsid w:val="08C84708"/>
    <w:rsid w:val="08C84795"/>
    <w:rsid w:val="08C847C9"/>
    <w:rsid w:val="08C847CE"/>
    <w:rsid w:val="08C848A1"/>
    <w:rsid w:val="08C8494F"/>
    <w:rsid w:val="08C84A64"/>
    <w:rsid w:val="08C84ADE"/>
    <w:rsid w:val="08C84AFF"/>
    <w:rsid w:val="08C84C8A"/>
    <w:rsid w:val="08C84CC2"/>
    <w:rsid w:val="08C84E27"/>
    <w:rsid w:val="08C84F63"/>
    <w:rsid w:val="08C85049"/>
    <w:rsid w:val="08C85093"/>
    <w:rsid w:val="08C85146"/>
    <w:rsid w:val="08C85153"/>
    <w:rsid w:val="08C85169"/>
    <w:rsid w:val="08C85182"/>
    <w:rsid w:val="08C85186"/>
    <w:rsid w:val="08C852D6"/>
    <w:rsid w:val="08C8537F"/>
    <w:rsid w:val="08C85385"/>
    <w:rsid w:val="08C8538C"/>
    <w:rsid w:val="08C853B6"/>
    <w:rsid w:val="08C85460"/>
    <w:rsid w:val="08C85540"/>
    <w:rsid w:val="08C8563F"/>
    <w:rsid w:val="08C856BC"/>
    <w:rsid w:val="08C85776"/>
    <w:rsid w:val="08C85882"/>
    <w:rsid w:val="08C858EF"/>
    <w:rsid w:val="08C85AEE"/>
    <w:rsid w:val="08C85C89"/>
    <w:rsid w:val="08C85E3D"/>
    <w:rsid w:val="08C860D4"/>
    <w:rsid w:val="08C8618D"/>
    <w:rsid w:val="08C861BF"/>
    <w:rsid w:val="08C861F7"/>
    <w:rsid w:val="08C86276"/>
    <w:rsid w:val="08C86282"/>
    <w:rsid w:val="08C862F4"/>
    <w:rsid w:val="08C8638D"/>
    <w:rsid w:val="08C86412"/>
    <w:rsid w:val="08C86490"/>
    <w:rsid w:val="08C864E5"/>
    <w:rsid w:val="08C86572"/>
    <w:rsid w:val="08C86598"/>
    <w:rsid w:val="08C865B3"/>
    <w:rsid w:val="08C86622"/>
    <w:rsid w:val="08C86669"/>
    <w:rsid w:val="08C867C2"/>
    <w:rsid w:val="08C868A5"/>
    <w:rsid w:val="08C868D9"/>
    <w:rsid w:val="08C8692F"/>
    <w:rsid w:val="08C86948"/>
    <w:rsid w:val="08C8696D"/>
    <w:rsid w:val="08C869A1"/>
    <w:rsid w:val="08C86A1C"/>
    <w:rsid w:val="08C86A65"/>
    <w:rsid w:val="08C86AE1"/>
    <w:rsid w:val="08C86BCD"/>
    <w:rsid w:val="08C86D26"/>
    <w:rsid w:val="08C86E23"/>
    <w:rsid w:val="08C86EC9"/>
    <w:rsid w:val="08C86F0A"/>
    <w:rsid w:val="08C86F14"/>
    <w:rsid w:val="08C86F2F"/>
    <w:rsid w:val="08C86F36"/>
    <w:rsid w:val="08C86F6D"/>
    <w:rsid w:val="08C86FD2"/>
    <w:rsid w:val="08C86FD5"/>
    <w:rsid w:val="08C870B2"/>
    <w:rsid w:val="08C87112"/>
    <w:rsid w:val="08C871D5"/>
    <w:rsid w:val="08C871DD"/>
    <w:rsid w:val="08C8729B"/>
    <w:rsid w:val="08C8733E"/>
    <w:rsid w:val="08C873EE"/>
    <w:rsid w:val="08C873FF"/>
    <w:rsid w:val="08C87421"/>
    <w:rsid w:val="08C8745F"/>
    <w:rsid w:val="08C874CF"/>
    <w:rsid w:val="08C87517"/>
    <w:rsid w:val="08C875E3"/>
    <w:rsid w:val="08C875EB"/>
    <w:rsid w:val="08C87659"/>
    <w:rsid w:val="08C876B1"/>
    <w:rsid w:val="08C876B3"/>
    <w:rsid w:val="08C8776A"/>
    <w:rsid w:val="08C877B8"/>
    <w:rsid w:val="08C877C5"/>
    <w:rsid w:val="08C877CA"/>
    <w:rsid w:val="08C8783A"/>
    <w:rsid w:val="08C8787C"/>
    <w:rsid w:val="08C87968"/>
    <w:rsid w:val="08C8799E"/>
    <w:rsid w:val="08C879CB"/>
    <w:rsid w:val="08C87A78"/>
    <w:rsid w:val="08C87AE0"/>
    <w:rsid w:val="08C87AF5"/>
    <w:rsid w:val="08C87B6E"/>
    <w:rsid w:val="08C87C2E"/>
    <w:rsid w:val="08C87C42"/>
    <w:rsid w:val="08C87C68"/>
    <w:rsid w:val="08C87C8A"/>
    <w:rsid w:val="08C87CD7"/>
    <w:rsid w:val="08C87D30"/>
    <w:rsid w:val="08C87D42"/>
    <w:rsid w:val="08C87D46"/>
    <w:rsid w:val="08C87D7F"/>
    <w:rsid w:val="08C87E0A"/>
    <w:rsid w:val="08C87F65"/>
    <w:rsid w:val="08C87FA1"/>
    <w:rsid w:val="08C87FF3"/>
    <w:rsid w:val="08C90025"/>
    <w:rsid w:val="08C9002D"/>
    <w:rsid w:val="08C900DD"/>
    <w:rsid w:val="08C901A3"/>
    <w:rsid w:val="08C901BE"/>
    <w:rsid w:val="08C901CC"/>
    <w:rsid w:val="08C9026F"/>
    <w:rsid w:val="08C9029A"/>
    <w:rsid w:val="08C902DF"/>
    <w:rsid w:val="08C902FC"/>
    <w:rsid w:val="08C90342"/>
    <w:rsid w:val="08C9040D"/>
    <w:rsid w:val="08C904E2"/>
    <w:rsid w:val="08C90526"/>
    <w:rsid w:val="08C90535"/>
    <w:rsid w:val="08C90576"/>
    <w:rsid w:val="08C9057A"/>
    <w:rsid w:val="08C9058F"/>
    <w:rsid w:val="08C90618"/>
    <w:rsid w:val="08C90633"/>
    <w:rsid w:val="08C9068F"/>
    <w:rsid w:val="08C906DC"/>
    <w:rsid w:val="08C90715"/>
    <w:rsid w:val="08C90758"/>
    <w:rsid w:val="08C90766"/>
    <w:rsid w:val="08C907D9"/>
    <w:rsid w:val="08C907EA"/>
    <w:rsid w:val="08C90810"/>
    <w:rsid w:val="08C90828"/>
    <w:rsid w:val="08C90A8B"/>
    <w:rsid w:val="08C90A96"/>
    <w:rsid w:val="08C90C5B"/>
    <w:rsid w:val="08C90C62"/>
    <w:rsid w:val="08C90C9D"/>
    <w:rsid w:val="08C90D2A"/>
    <w:rsid w:val="08C90D38"/>
    <w:rsid w:val="08C90D5B"/>
    <w:rsid w:val="08C90DB8"/>
    <w:rsid w:val="08C90E79"/>
    <w:rsid w:val="08C90E84"/>
    <w:rsid w:val="08C90EAF"/>
    <w:rsid w:val="08C90F0E"/>
    <w:rsid w:val="08C90FED"/>
    <w:rsid w:val="08C91059"/>
    <w:rsid w:val="08C910D6"/>
    <w:rsid w:val="08C91132"/>
    <w:rsid w:val="08C9123C"/>
    <w:rsid w:val="08C913EA"/>
    <w:rsid w:val="08C913F6"/>
    <w:rsid w:val="08C91541"/>
    <w:rsid w:val="08C91558"/>
    <w:rsid w:val="08C91640"/>
    <w:rsid w:val="08C9173D"/>
    <w:rsid w:val="08C917F1"/>
    <w:rsid w:val="08C91837"/>
    <w:rsid w:val="08C91886"/>
    <w:rsid w:val="08C918DA"/>
    <w:rsid w:val="08C918E3"/>
    <w:rsid w:val="08C918FA"/>
    <w:rsid w:val="08C91905"/>
    <w:rsid w:val="08C91917"/>
    <w:rsid w:val="08C9196C"/>
    <w:rsid w:val="08C91A3D"/>
    <w:rsid w:val="08C91C0D"/>
    <w:rsid w:val="08C91D15"/>
    <w:rsid w:val="08C91D21"/>
    <w:rsid w:val="08C91D2C"/>
    <w:rsid w:val="08C91E2E"/>
    <w:rsid w:val="08C91E81"/>
    <w:rsid w:val="08C91F75"/>
    <w:rsid w:val="08C92151"/>
    <w:rsid w:val="08C921BE"/>
    <w:rsid w:val="08C922A1"/>
    <w:rsid w:val="08C922EA"/>
    <w:rsid w:val="08C922F5"/>
    <w:rsid w:val="08C92353"/>
    <w:rsid w:val="08C923B9"/>
    <w:rsid w:val="08C923C7"/>
    <w:rsid w:val="08C923CE"/>
    <w:rsid w:val="08C923D5"/>
    <w:rsid w:val="08C9240F"/>
    <w:rsid w:val="08C9241F"/>
    <w:rsid w:val="08C924D9"/>
    <w:rsid w:val="08C92520"/>
    <w:rsid w:val="08C9264F"/>
    <w:rsid w:val="08C9269E"/>
    <w:rsid w:val="08C926C1"/>
    <w:rsid w:val="08C9277C"/>
    <w:rsid w:val="08C927B8"/>
    <w:rsid w:val="08C92827"/>
    <w:rsid w:val="08C9287E"/>
    <w:rsid w:val="08C9288D"/>
    <w:rsid w:val="08C92902"/>
    <w:rsid w:val="08C9294B"/>
    <w:rsid w:val="08C929D0"/>
    <w:rsid w:val="08C92A25"/>
    <w:rsid w:val="08C92A35"/>
    <w:rsid w:val="08C92AC1"/>
    <w:rsid w:val="08C92AEA"/>
    <w:rsid w:val="08C92AFE"/>
    <w:rsid w:val="08C92BD1"/>
    <w:rsid w:val="08C92C15"/>
    <w:rsid w:val="08C92C88"/>
    <w:rsid w:val="08C92E08"/>
    <w:rsid w:val="08C92E1F"/>
    <w:rsid w:val="08C92EDA"/>
    <w:rsid w:val="08C92F75"/>
    <w:rsid w:val="08C92FA0"/>
    <w:rsid w:val="08C930F4"/>
    <w:rsid w:val="08C93161"/>
    <w:rsid w:val="08C93195"/>
    <w:rsid w:val="08C931AF"/>
    <w:rsid w:val="08C9320B"/>
    <w:rsid w:val="08C93238"/>
    <w:rsid w:val="08C93274"/>
    <w:rsid w:val="08C932F1"/>
    <w:rsid w:val="08C93315"/>
    <w:rsid w:val="08C93331"/>
    <w:rsid w:val="08C933DD"/>
    <w:rsid w:val="08C9353F"/>
    <w:rsid w:val="08C936B1"/>
    <w:rsid w:val="08C936E4"/>
    <w:rsid w:val="08C9370F"/>
    <w:rsid w:val="08C93744"/>
    <w:rsid w:val="08C93927"/>
    <w:rsid w:val="08C93951"/>
    <w:rsid w:val="08C93A32"/>
    <w:rsid w:val="08C93A36"/>
    <w:rsid w:val="08C93A96"/>
    <w:rsid w:val="08C93ADE"/>
    <w:rsid w:val="08C93AF0"/>
    <w:rsid w:val="08C93C18"/>
    <w:rsid w:val="08C93C9E"/>
    <w:rsid w:val="08C93D51"/>
    <w:rsid w:val="08C93DB8"/>
    <w:rsid w:val="08C93DBB"/>
    <w:rsid w:val="08C93DE6"/>
    <w:rsid w:val="08C93E53"/>
    <w:rsid w:val="08C93E8B"/>
    <w:rsid w:val="08C940FB"/>
    <w:rsid w:val="08C94216"/>
    <w:rsid w:val="08C94245"/>
    <w:rsid w:val="08C942A2"/>
    <w:rsid w:val="08C942C8"/>
    <w:rsid w:val="08C94374"/>
    <w:rsid w:val="08C94386"/>
    <w:rsid w:val="08C9439E"/>
    <w:rsid w:val="08C9441F"/>
    <w:rsid w:val="08C94470"/>
    <w:rsid w:val="08C944BE"/>
    <w:rsid w:val="08C94532"/>
    <w:rsid w:val="08C945F1"/>
    <w:rsid w:val="08C94636"/>
    <w:rsid w:val="08C946B8"/>
    <w:rsid w:val="08C946F3"/>
    <w:rsid w:val="08C94797"/>
    <w:rsid w:val="08C947D3"/>
    <w:rsid w:val="08C94952"/>
    <w:rsid w:val="08C94A6E"/>
    <w:rsid w:val="08C94AB5"/>
    <w:rsid w:val="08C94ABD"/>
    <w:rsid w:val="08C94AED"/>
    <w:rsid w:val="08C94B69"/>
    <w:rsid w:val="08C94B9B"/>
    <w:rsid w:val="08C94C00"/>
    <w:rsid w:val="08C94C0C"/>
    <w:rsid w:val="08C94D66"/>
    <w:rsid w:val="08C94D7C"/>
    <w:rsid w:val="08C94DAE"/>
    <w:rsid w:val="08C94DB5"/>
    <w:rsid w:val="08C94FB1"/>
    <w:rsid w:val="08C95029"/>
    <w:rsid w:val="08C9505A"/>
    <w:rsid w:val="08C95104"/>
    <w:rsid w:val="08C951E4"/>
    <w:rsid w:val="08C95285"/>
    <w:rsid w:val="08C95498"/>
    <w:rsid w:val="08C9549C"/>
    <w:rsid w:val="08C954CC"/>
    <w:rsid w:val="08C954F8"/>
    <w:rsid w:val="08C95542"/>
    <w:rsid w:val="08C95564"/>
    <w:rsid w:val="08C9557C"/>
    <w:rsid w:val="08C9562A"/>
    <w:rsid w:val="08C95633"/>
    <w:rsid w:val="08C95766"/>
    <w:rsid w:val="08C95829"/>
    <w:rsid w:val="08C958B5"/>
    <w:rsid w:val="08C95909"/>
    <w:rsid w:val="08C95953"/>
    <w:rsid w:val="08C95993"/>
    <w:rsid w:val="08C959E0"/>
    <w:rsid w:val="08C95A25"/>
    <w:rsid w:val="08C95A30"/>
    <w:rsid w:val="08C95A52"/>
    <w:rsid w:val="08C95A60"/>
    <w:rsid w:val="08C95A63"/>
    <w:rsid w:val="08C95A97"/>
    <w:rsid w:val="08C95A9A"/>
    <w:rsid w:val="08C95AD0"/>
    <w:rsid w:val="08C95B21"/>
    <w:rsid w:val="08C95B26"/>
    <w:rsid w:val="08C95B5B"/>
    <w:rsid w:val="08C95B9F"/>
    <w:rsid w:val="08C95BE9"/>
    <w:rsid w:val="08C95C19"/>
    <w:rsid w:val="08C95D24"/>
    <w:rsid w:val="08C95DE4"/>
    <w:rsid w:val="08C95E1D"/>
    <w:rsid w:val="08C95E78"/>
    <w:rsid w:val="08C95EA1"/>
    <w:rsid w:val="08C96041"/>
    <w:rsid w:val="08C9607A"/>
    <w:rsid w:val="08C960FD"/>
    <w:rsid w:val="08C9612D"/>
    <w:rsid w:val="08C96142"/>
    <w:rsid w:val="08C96480"/>
    <w:rsid w:val="08C96563"/>
    <w:rsid w:val="08C965C7"/>
    <w:rsid w:val="08C9661D"/>
    <w:rsid w:val="08C966DB"/>
    <w:rsid w:val="08C96731"/>
    <w:rsid w:val="08C9678A"/>
    <w:rsid w:val="08C967E8"/>
    <w:rsid w:val="08C96805"/>
    <w:rsid w:val="08C9680E"/>
    <w:rsid w:val="08C968D5"/>
    <w:rsid w:val="08C9694E"/>
    <w:rsid w:val="08C96983"/>
    <w:rsid w:val="08C969F5"/>
    <w:rsid w:val="08C96A11"/>
    <w:rsid w:val="08C96A22"/>
    <w:rsid w:val="08C96A98"/>
    <w:rsid w:val="08C96AB1"/>
    <w:rsid w:val="08C96B45"/>
    <w:rsid w:val="08C96BE5"/>
    <w:rsid w:val="08C96C6D"/>
    <w:rsid w:val="08C96C77"/>
    <w:rsid w:val="08C96CC0"/>
    <w:rsid w:val="08C96CC1"/>
    <w:rsid w:val="08C96CF9"/>
    <w:rsid w:val="08C96D4B"/>
    <w:rsid w:val="08C96D66"/>
    <w:rsid w:val="08C96DEE"/>
    <w:rsid w:val="08C9704F"/>
    <w:rsid w:val="08C97084"/>
    <w:rsid w:val="08C9717F"/>
    <w:rsid w:val="08C971AA"/>
    <w:rsid w:val="08C971FC"/>
    <w:rsid w:val="08C97343"/>
    <w:rsid w:val="08C97376"/>
    <w:rsid w:val="08C973A5"/>
    <w:rsid w:val="08C97428"/>
    <w:rsid w:val="08C9744F"/>
    <w:rsid w:val="08C97495"/>
    <w:rsid w:val="08C974B1"/>
    <w:rsid w:val="08C97571"/>
    <w:rsid w:val="08C975C5"/>
    <w:rsid w:val="08C97631"/>
    <w:rsid w:val="08C976A4"/>
    <w:rsid w:val="08C976C6"/>
    <w:rsid w:val="08C977EB"/>
    <w:rsid w:val="08C977EC"/>
    <w:rsid w:val="08C97856"/>
    <w:rsid w:val="08C978C5"/>
    <w:rsid w:val="08C978CF"/>
    <w:rsid w:val="08C97989"/>
    <w:rsid w:val="08C97A12"/>
    <w:rsid w:val="08C97A59"/>
    <w:rsid w:val="08C97AE7"/>
    <w:rsid w:val="08C97BEB"/>
    <w:rsid w:val="08C97C1D"/>
    <w:rsid w:val="08C97CA7"/>
    <w:rsid w:val="08C97D49"/>
    <w:rsid w:val="08C97D81"/>
    <w:rsid w:val="08CA0012"/>
    <w:rsid w:val="08CA0152"/>
    <w:rsid w:val="08CA019C"/>
    <w:rsid w:val="08CA01D8"/>
    <w:rsid w:val="08CA0228"/>
    <w:rsid w:val="08CA0291"/>
    <w:rsid w:val="08CA02B1"/>
    <w:rsid w:val="08CA02F4"/>
    <w:rsid w:val="08CA02F9"/>
    <w:rsid w:val="08CA0335"/>
    <w:rsid w:val="08CA034D"/>
    <w:rsid w:val="08CA0439"/>
    <w:rsid w:val="08CA0451"/>
    <w:rsid w:val="08CA056C"/>
    <w:rsid w:val="08CA0587"/>
    <w:rsid w:val="08CA058F"/>
    <w:rsid w:val="08CA05A4"/>
    <w:rsid w:val="08CA0633"/>
    <w:rsid w:val="08CA0649"/>
    <w:rsid w:val="08CA07EE"/>
    <w:rsid w:val="08CA07FB"/>
    <w:rsid w:val="08CA0802"/>
    <w:rsid w:val="08CA08AF"/>
    <w:rsid w:val="08CA08EF"/>
    <w:rsid w:val="08CA0911"/>
    <w:rsid w:val="08CA0929"/>
    <w:rsid w:val="08CA0A0F"/>
    <w:rsid w:val="08CA0A10"/>
    <w:rsid w:val="08CA0A4D"/>
    <w:rsid w:val="08CA0B1B"/>
    <w:rsid w:val="08CA0B5F"/>
    <w:rsid w:val="08CA0C62"/>
    <w:rsid w:val="08CA0CCC"/>
    <w:rsid w:val="08CA0CD7"/>
    <w:rsid w:val="08CA0D35"/>
    <w:rsid w:val="08CA0D8D"/>
    <w:rsid w:val="08CA0DF1"/>
    <w:rsid w:val="08CA0E1E"/>
    <w:rsid w:val="08CA0E28"/>
    <w:rsid w:val="08CA0E9A"/>
    <w:rsid w:val="08CA0E9E"/>
    <w:rsid w:val="08CA0EC1"/>
    <w:rsid w:val="08CA10F4"/>
    <w:rsid w:val="08CA1159"/>
    <w:rsid w:val="08CA130A"/>
    <w:rsid w:val="08CA138E"/>
    <w:rsid w:val="08CA1398"/>
    <w:rsid w:val="08CA1426"/>
    <w:rsid w:val="08CA1484"/>
    <w:rsid w:val="08CA156B"/>
    <w:rsid w:val="08CA1579"/>
    <w:rsid w:val="08CA169C"/>
    <w:rsid w:val="08CA1839"/>
    <w:rsid w:val="08CA1857"/>
    <w:rsid w:val="08CA1863"/>
    <w:rsid w:val="08CA187E"/>
    <w:rsid w:val="08CA19AC"/>
    <w:rsid w:val="08CA19E9"/>
    <w:rsid w:val="08CA19EB"/>
    <w:rsid w:val="08CA1A4D"/>
    <w:rsid w:val="08CA1BB6"/>
    <w:rsid w:val="08CA1C56"/>
    <w:rsid w:val="08CA1DD1"/>
    <w:rsid w:val="08CA1DFE"/>
    <w:rsid w:val="08CA1E6A"/>
    <w:rsid w:val="08CA1FA2"/>
    <w:rsid w:val="08CA20CC"/>
    <w:rsid w:val="08CA20D0"/>
    <w:rsid w:val="08CA20E1"/>
    <w:rsid w:val="08CA21D8"/>
    <w:rsid w:val="08CA22BE"/>
    <w:rsid w:val="08CA2336"/>
    <w:rsid w:val="08CA234F"/>
    <w:rsid w:val="08CA2367"/>
    <w:rsid w:val="08CA2449"/>
    <w:rsid w:val="08CA24B4"/>
    <w:rsid w:val="08CA26E1"/>
    <w:rsid w:val="08CA273A"/>
    <w:rsid w:val="08CA279F"/>
    <w:rsid w:val="08CA2818"/>
    <w:rsid w:val="08CA2915"/>
    <w:rsid w:val="08CA291C"/>
    <w:rsid w:val="08CA2957"/>
    <w:rsid w:val="08CA2AB1"/>
    <w:rsid w:val="08CA2B11"/>
    <w:rsid w:val="08CA2B7E"/>
    <w:rsid w:val="08CA2B9D"/>
    <w:rsid w:val="08CA2BBF"/>
    <w:rsid w:val="08CA2BCD"/>
    <w:rsid w:val="08CA2C78"/>
    <w:rsid w:val="08CA2E20"/>
    <w:rsid w:val="08CA2E86"/>
    <w:rsid w:val="08CA2E9B"/>
    <w:rsid w:val="08CA2F33"/>
    <w:rsid w:val="08CA2F75"/>
    <w:rsid w:val="08CA2F8F"/>
    <w:rsid w:val="08CA2FBE"/>
    <w:rsid w:val="08CA302B"/>
    <w:rsid w:val="08CA3140"/>
    <w:rsid w:val="08CA3150"/>
    <w:rsid w:val="08CA3173"/>
    <w:rsid w:val="08CA31C9"/>
    <w:rsid w:val="08CA32AF"/>
    <w:rsid w:val="08CA32FB"/>
    <w:rsid w:val="08CA3350"/>
    <w:rsid w:val="08CA33A1"/>
    <w:rsid w:val="08CA33E3"/>
    <w:rsid w:val="08CA33E8"/>
    <w:rsid w:val="08CA34C6"/>
    <w:rsid w:val="08CA34D0"/>
    <w:rsid w:val="08CA35A8"/>
    <w:rsid w:val="08CA3615"/>
    <w:rsid w:val="08CA3633"/>
    <w:rsid w:val="08CA3723"/>
    <w:rsid w:val="08CA37E1"/>
    <w:rsid w:val="08CA387C"/>
    <w:rsid w:val="08CA3905"/>
    <w:rsid w:val="08CA3A37"/>
    <w:rsid w:val="08CA3A51"/>
    <w:rsid w:val="08CA3A63"/>
    <w:rsid w:val="08CA3AC9"/>
    <w:rsid w:val="08CA3ADF"/>
    <w:rsid w:val="08CA3AF4"/>
    <w:rsid w:val="08CA3B43"/>
    <w:rsid w:val="08CA3C82"/>
    <w:rsid w:val="08CA3CC9"/>
    <w:rsid w:val="08CA3CEE"/>
    <w:rsid w:val="08CA3CF4"/>
    <w:rsid w:val="08CA3D19"/>
    <w:rsid w:val="08CA3DD2"/>
    <w:rsid w:val="08CA3E2A"/>
    <w:rsid w:val="08CA3EAA"/>
    <w:rsid w:val="08CA3EBF"/>
    <w:rsid w:val="08CA4017"/>
    <w:rsid w:val="08CA40A7"/>
    <w:rsid w:val="08CA40AC"/>
    <w:rsid w:val="08CA40F9"/>
    <w:rsid w:val="08CA411A"/>
    <w:rsid w:val="08CA413F"/>
    <w:rsid w:val="08CA4187"/>
    <w:rsid w:val="08CA4195"/>
    <w:rsid w:val="08CA4283"/>
    <w:rsid w:val="08CA429A"/>
    <w:rsid w:val="08CA4324"/>
    <w:rsid w:val="08CA4397"/>
    <w:rsid w:val="08CA43AE"/>
    <w:rsid w:val="08CA4412"/>
    <w:rsid w:val="08CA4442"/>
    <w:rsid w:val="08CA45B9"/>
    <w:rsid w:val="08CA4604"/>
    <w:rsid w:val="08CA4621"/>
    <w:rsid w:val="08CA463E"/>
    <w:rsid w:val="08CA4683"/>
    <w:rsid w:val="08CA468E"/>
    <w:rsid w:val="08CA4718"/>
    <w:rsid w:val="08CA4737"/>
    <w:rsid w:val="08CA48D7"/>
    <w:rsid w:val="08CA4912"/>
    <w:rsid w:val="08CA49F3"/>
    <w:rsid w:val="08CA4A54"/>
    <w:rsid w:val="08CA4AF8"/>
    <w:rsid w:val="08CA4B87"/>
    <w:rsid w:val="08CA4C8C"/>
    <w:rsid w:val="08CA4D35"/>
    <w:rsid w:val="08CA4DE3"/>
    <w:rsid w:val="08CA4E6F"/>
    <w:rsid w:val="08CA4E79"/>
    <w:rsid w:val="08CA4F5B"/>
    <w:rsid w:val="08CA4F67"/>
    <w:rsid w:val="08CA4FBD"/>
    <w:rsid w:val="08CA4FC9"/>
    <w:rsid w:val="08CA4FD5"/>
    <w:rsid w:val="08CA5052"/>
    <w:rsid w:val="08CA509C"/>
    <w:rsid w:val="08CA509E"/>
    <w:rsid w:val="08CA51DE"/>
    <w:rsid w:val="08CA5287"/>
    <w:rsid w:val="08CA53DD"/>
    <w:rsid w:val="08CA5408"/>
    <w:rsid w:val="08CA541C"/>
    <w:rsid w:val="08CA54B2"/>
    <w:rsid w:val="08CA5584"/>
    <w:rsid w:val="08CA55DB"/>
    <w:rsid w:val="08CA56B2"/>
    <w:rsid w:val="08CA56C2"/>
    <w:rsid w:val="08CA56CA"/>
    <w:rsid w:val="08CA570B"/>
    <w:rsid w:val="08CA5740"/>
    <w:rsid w:val="08CA5790"/>
    <w:rsid w:val="08CA57E2"/>
    <w:rsid w:val="08CA585C"/>
    <w:rsid w:val="08CA586D"/>
    <w:rsid w:val="08CA58F3"/>
    <w:rsid w:val="08CA59FE"/>
    <w:rsid w:val="08CA5A11"/>
    <w:rsid w:val="08CA5A8E"/>
    <w:rsid w:val="08CA5AAA"/>
    <w:rsid w:val="08CA5AB5"/>
    <w:rsid w:val="08CA5AF3"/>
    <w:rsid w:val="08CA5B5D"/>
    <w:rsid w:val="08CA5B76"/>
    <w:rsid w:val="08CA5C00"/>
    <w:rsid w:val="08CA5C4F"/>
    <w:rsid w:val="08CA5C58"/>
    <w:rsid w:val="08CA5C83"/>
    <w:rsid w:val="08CA5CC6"/>
    <w:rsid w:val="08CA5D69"/>
    <w:rsid w:val="08CA5DA2"/>
    <w:rsid w:val="08CA5E88"/>
    <w:rsid w:val="08CA5EA7"/>
    <w:rsid w:val="08CA5EAC"/>
    <w:rsid w:val="08CA5EB0"/>
    <w:rsid w:val="08CA5FF8"/>
    <w:rsid w:val="08CA6095"/>
    <w:rsid w:val="08CA6129"/>
    <w:rsid w:val="08CA6134"/>
    <w:rsid w:val="08CA619A"/>
    <w:rsid w:val="08CA6318"/>
    <w:rsid w:val="08CA646D"/>
    <w:rsid w:val="08CA646F"/>
    <w:rsid w:val="08CA64A2"/>
    <w:rsid w:val="08CA64B0"/>
    <w:rsid w:val="08CA6646"/>
    <w:rsid w:val="08CA6728"/>
    <w:rsid w:val="08CA672D"/>
    <w:rsid w:val="08CA679F"/>
    <w:rsid w:val="08CA67D2"/>
    <w:rsid w:val="08CA6811"/>
    <w:rsid w:val="08CA68D0"/>
    <w:rsid w:val="08CA691E"/>
    <w:rsid w:val="08CA6956"/>
    <w:rsid w:val="08CA6975"/>
    <w:rsid w:val="08CA6985"/>
    <w:rsid w:val="08CA69ED"/>
    <w:rsid w:val="08CA69F2"/>
    <w:rsid w:val="08CA6A20"/>
    <w:rsid w:val="08CA6A30"/>
    <w:rsid w:val="08CA6A39"/>
    <w:rsid w:val="08CA6AD2"/>
    <w:rsid w:val="08CA6B37"/>
    <w:rsid w:val="08CA6C25"/>
    <w:rsid w:val="08CA6C84"/>
    <w:rsid w:val="08CA6DF1"/>
    <w:rsid w:val="08CA6E02"/>
    <w:rsid w:val="08CA6E10"/>
    <w:rsid w:val="08CA6E8F"/>
    <w:rsid w:val="08CA6F37"/>
    <w:rsid w:val="08CA6F4A"/>
    <w:rsid w:val="08CA6F4D"/>
    <w:rsid w:val="08CA6F9A"/>
    <w:rsid w:val="08CA6FE8"/>
    <w:rsid w:val="08CA7009"/>
    <w:rsid w:val="08CA7050"/>
    <w:rsid w:val="08CA711B"/>
    <w:rsid w:val="08CA716F"/>
    <w:rsid w:val="08CA71A2"/>
    <w:rsid w:val="08CA71B6"/>
    <w:rsid w:val="08CA72C7"/>
    <w:rsid w:val="08CA738D"/>
    <w:rsid w:val="08CA73C3"/>
    <w:rsid w:val="08CA7516"/>
    <w:rsid w:val="08CA75BC"/>
    <w:rsid w:val="08CA75D6"/>
    <w:rsid w:val="08CA764C"/>
    <w:rsid w:val="08CA7771"/>
    <w:rsid w:val="08CA7795"/>
    <w:rsid w:val="08CA77E5"/>
    <w:rsid w:val="08CA7825"/>
    <w:rsid w:val="08CA7854"/>
    <w:rsid w:val="08CA7874"/>
    <w:rsid w:val="08CA7929"/>
    <w:rsid w:val="08CA7998"/>
    <w:rsid w:val="08CA7A05"/>
    <w:rsid w:val="08CA7A13"/>
    <w:rsid w:val="08CA7A97"/>
    <w:rsid w:val="08CA7C22"/>
    <w:rsid w:val="08CA7C4A"/>
    <w:rsid w:val="08CA7C61"/>
    <w:rsid w:val="08CA7C63"/>
    <w:rsid w:val="08CA7C92"/>
    <w:rsid w:val="08CA7C9C"/>
    <w:rsid w:val="08CB0026"/>
    <w:rsid w:val="08CB0098"/>
    <w:rsid w:val="08CB0136"/>
    <w:rsid w:val="08CB0172"/>
    <w:rsid w:val="08CB017B"/>
    <w:rsid w:val="08CB01A2"/>
    <w:rsid w:val="08CB0274"/>
    <w:rsid w:val="08CB0289"/>
    <w:rsid w:val="08CB035F"/>
    <w:rsid w:val="08CB038F"/>
    <w:rsid w:val="08CB0391"/>
    <w:rsid w:val="08CB039C"/>
    <w:rsid w:val="08CB03CF"/>
    <w:rsid w:val="08CB0517"/>
    <w:rsid w:val="08CB053A"/>
    <w:rsid w:val="08CB05B4"/>
    <w:rsid w:val="08CB05FA"/>
    <w:rsid w:val="08CB064C"/>
    <w:rsid w:val="08CB07DD"/>
    <w:rsid w:val="08CB07FE"/>
    <w:rsid w:val="08CB0805"/>
    <w:rsid w:val="08CB087D"/>
    <w:rsid w:val="08CB09E1"/>
    <w:rsid w:val="08CB0B17"/>
    <w:rsid w:val="08CB0B5B"/>
    <w:rsid w:val="08CB0B5E"/>
    <w:rsid w:val="08CB0C34"/>
    <w:rsid w:val="08CB0C3E"/>
    <w:rsid w:val="08CB0D17"/>
    <w:rsid w:val="08CB0D3A"/>
    <w:rsid w:val="08CB0D8C"/>
    <w:rsid w:val="08CB0D97"/>
    <w:rsid w:val="08CB0DA2"/>
    <w:rsid w:val="08CB0DED"/>
    <w:rsid w:val="08CB0E63"/>
    <w:rsid w:val="08CB0F31"/>
    <w:rsid w:val="08CB0F6D"/>
    <w:rsid w:val="08CB109D"/>
    <w:rsid w:val="08CB10CE"/>
    <w:rsid w:val="08CB10E5"/>
    <w:rsid w:val="08CB1111"/>
    <w:rsid w:val="08CB111C"/>
    <w:rsid w:val="08CB1127"/>
    <w:rsid w:val="08CB11E9"/>
    <w:rsid w:val="08CB1221"/>
    <w:rsid w:val="08CB12C4"/>
    <w:rsid w:val="08CB133B"/>
    <w:rsid w:val="08CB138F"/>
    <w:rsid w:val="08CB13B1"/>
    <w:rsid w:val="08CB1428"/>
    <w:rsid w:val="08CB1434"/>
    <w:rsid w:val="08CB1437"/>
    <w:rsid w:val="08CB149F"/>
    <w:rsid w:val="08CB1502"/>
    <w:rsid w:val="08CB1567"/>
    <w:rsid w:val="08CB15B6"/>
    <w:rsid w:val="08CB15DE"/>
    <w:rsid w:val="08CB1642"/>
    <w:rsid w:val="08CB1705"/>
    <w:rsid w:val="08CB1744"/>
    <w:rsid w:val="08CB1832"/>
    <w:rsid w:val="08CB1855"/>
    <w:rsid w:val="08CB18DC"/>
    <w:rsid w:val="08CB195A"/>
    <w:rsid w:val="08CB197E"/>
    <w:rsid w:val="08CB198E"/>
    <w:rsid w:val="08CB19F6"/>
    <w:rsid w:val="08CB1ACA"/>
    <w:rsid w:val="08CB1AD2"/>
    <w:rsid w:val="08CB1B67"/>
    <w:rsid w:val="08CB1B6D"/>
    <w:rsid w:val="08CB1B70"/>
    <w:rsid w:val="08CB1B8E"/>
    <w:rsid w:val="08CB1BA3"/>
    <w:rsid w:val="08CB1BAE"/>
    <w:rsid w:val="08CB1C00"/>
    <w:rsid w:val="08CB1C84"/>
    <w:rsid w:val="08CB1CFE"/>
    <w:rsid w:val="08CB1E15"/>
    <w:rsid w:val="08CB1E45"/>
    <w:rsid w:val="08CB1F3C"/>
    <w:rsid w:val="08CB1F87"/>
    <w:rsid w:val="08CB1F95"/>
    <w:rsid w:val="08CB207D"/>
    <w:rsid w:val="08CB20D2"/>
    <w:rsid w:val="08CB2224"/>
    <w:rsid w:val="08CB229D"/>
    <w:rsid w:val="08CB2303"/>
    <w:rsid w:val="08CB2322"/>
    <w:rsid w:val="08CB2435"/>
    <w:rsid w:val="08CB2436"/>
    <w:rsid w:val="08CB2533"/>
    <w:rsid w:val="08CB2543"/>
    <w:rsid w:val="08CB2707"/>
    <w:rsid w:val="08CB27A8"/>
    <w:rsid w:val="08CB284B"/>
    <w:rsid w:val="08CB28AB"/>
    <w:rsid w:val="08CB28C3"/>
    <w:rsid w:val="08CB28DD"/>
    <w:rsid w:val="08CB292E"/>
    <w:rsid w:val="08CB2A2A"/>
    <w:rsid w:val="08CB2A4D"/>
    <w:rsid w:val="08CB2A87"/>
    <w:rsid w:val="08CB2B07"/>
    <w:rsid w:val="08CB2B87"/>
    <w:rsid w:val="08CB2C11"/>
    <w:rsid w:val="08CB2CB9"/>
    <w:rsid w:val="08CB2CC8"/>
    <w:rsid w:val="08CB2D54"/>
    <w:rsid w:val="08CB2EC6"/>
    <w:rsid w:val="08CB2F25"/>
    <w:rsid w:val="08CB2F35"/>
    <w:rsid w:val="08CB2F5B"/>
    <w:rsid w:val="08CB2F9B"/>
    <w:rsid w:val="08CB30D4"/>
    <w:rsid w:val="08CB3106"/>
    <w:rsid w:val="08CB3170"/>
    <w:rsid w:val="08CB31DB"/>
    <w:rsid w:val="08CB31E6"/>
    <w:rsid w:val="08CB31E8"/>
    <w:rsid w:val="08CB3210"/>
    <w:rsid w:val="08CB3229"/>
    <w:rsid w:val="08CB324B"/>
    <w:rsid w:val="08CB330D"/>
    <w:rsid w:val="08CB3314"/>
    <w:rsid w:val="08CB3383"/>
    <w:rsid w:val="08CB3384"/>
    <w:rsid w:val="08CB34A5"/>
    <w:rsid w:val="08CB34B4"/>
    <w:rsid w:val="08CB35DD"/>
    <w:rsid w:val="08CB36D7"/>
    <w:rsid w:val="08CB36EC"/>
    <w:rsid w:val="08CB36F6"/>
    <w:rsid w:val="08CB3741"/>
    <w:rsid w:val="08CB37E2"/>
    <w:rsid w:val="08CB38B8"/>
    <w:rsid w:val="08CB38E5"/>
    <w:rsid w:val="08CB39B5"/>
    <w:rsid w:val="08CB39FA"/>
    <w:rsid w:val="08CB39FF"/>
    <w:rsid w:val="08CB3AF3"/>
    <w:rsid w:val="08CB3B8A"/>
    <w:rsid w:val="08CB3BA1"/>
    <w:rsid w:val="08CB3BF5"/>
    <w:rsid w:val="08CB3BFE"/>
    <w:rsid w:val="08CB3CAC"/>
    <w:rsid w:val="08CB3E2A"/>
    <w:rsid w:val="08CB3EA1"/>
    <w:rsid w:val="08CB3EAC"/>
    <w:rsid w:val="08CB3F3A"/>
    <w:rsid w:val="08CB3FF3"/>
    <w:rsid w:val="08CB403A"/>
    <w:rsid w:val="08CB40CB"/>
    <w:rsid w:val="08CB40DE"/>
    <w:rsid w:val="08CB414B"/>
    <w:rsid w:val="08CB416C"/>
    <w:rsid w:val="08CB4191"/>
    <w:rsid w:val="08CB41B8"/>
    <w:rsid w:val="08CB41D1"/>
    <w:rsid w:val="08CB420C"/>
    <w:rsid w:val="08CB4214"/>
    <w:rsid w:val="08CB4415"/>
    <w:rsid w:val="08CB4470"/>
    <w:rsid w:val="08CB44D2"/>
    <w:rsid w:val="08CB4517"/>
    <w:rsid w:val="08CB463F"/>
    <w:rsid w:val="08CB4651"/>
    <w:rsid w:val="08CB468D"/>
    <w:rsid w:val="08CB468F"/>
    <w:rsid w:val="08CB46A3"/>
    <w:rsid w:val="08CB476B"/>
    <w:rsid w:val="08CB4889"/>
    <w:rsid w:val="08CB491D"/>
    <w:rsid w:val="08CB49A7"/>
    <w:rsid w:val="08CB49AA"/>
    <w:rsid w:val="08CB4B0E"/>
    <w:rsid w:val="08CB4B1E"/>
    <w:rsid w:val="08CB4B23"/>
    <w:rsid w:val="08CB4B2A"/>
    <w:rsid w:val="08CB4B5C"/>
    <w:rsid w:val="08CB4C7C"/>
    <w:rsid w:val="08CB4C9E"/>
    <w:rsid w:val="08CB4E2A"/>
    <w:rsid w:val="08CB4E2F"/>
    <w:rsid w:val="08CB4FB7"/>
    <w:rsid w:val="08CB5027"/>
    <w:rsid w:val="08CB50A9"/>
    <w:rsid w:val="08CB514B"/>
    <w:rsid w:val="08CB516E"/>
    <w:rsid w:val="08CB51B8"/>
    <w:rsid w:val="08CB5269"/>
    <w:rsid w:val="08CB53A9"/>
    <w:rsid w:val="08CB53C0"/>
    <w:rsid w:val="08CB548F"/>
    <w:rsid w:val="08CB54AB"/>
    <w:rsid w:val="08CB54C6"/>
    <w:rsid w:val="08CB54CD"/>
    <w:rsid w:val="08CB5577"/>
    <w:rsid w:val="08CB55A3"/>
    <w:rsid w:val="08CB55AE"/>
    <w:rsid w:val="08CB5605"/>
    <w:rsid w:val="08CB56C5"/>
    <w:rsid w:val="08CB56DE"/>
    <w:rsid w:val="08CB5773"/>
    <w:rsid w:val="08CB5821"/>
    <w:rsid w:val="08CB586B"/>
    <w:rsid w:val="08CB58AF"/>
    <w:rsid w:val="08CB5968"/>
    <w:rsid w:val="08CB5988"/>
    <w:rsid w:val="08CB5BBA"/>
    <w:rsid w:val="08CB5BBB"/>
    <w:rsid w:val="08CB5BD2"/>
    <w:rsid w:val="08CB5C6C"/>
    <w:rsid w:val="08CB5C94"/>
    <w:rsid w:val="08CB5CA5"/>
    <w:rsid w:val="08CB5D3E"/>
    <w:rsid w:val="08CB5DCE"/>
    <w:rsid w:val="08CB5E1A"/>
    <w:rsid w:val="08CB5E4D"/>
    <w:rsid w:val="08CB5F92"/>
    <w:rsid w:val="08CB604A"/>
    <w:rsid w:val="08CB6085"/>
    <w:rsid w:val="08CB609E"/>
    <w:rsid w:val="08CB60B7"/>
    <w:rsid w:val="08CB6127"/>
    <w:rsid w:val="08CB6164"/>
    <w:rsid w:val="08CB62F2"/>
    <w:rsid w:val="08CB63ED"/>
    <w:rsid w:val="08CB63EF"/>
    <w:rsid w:val="08CB6415"/>
    <w:rsid w:val="08CB64D9"/>
    <w:rsid w:val="08CB64E7"/>
    <w:rsid w:val="08CB64EA"/>
    <w:rsid w:val="08CB6543"/>
    <w:rsid w:val="08CB65AC"/>
    <w:rsid w:val="08CB663D"/>
    <w:rsid w:val="08CB66FE"/>
    <w:rsid w:val="08CB6844"/>
    <w:rsid w:val="08CB6893"/>
    <w:rsid w:val="08CB6940"/>
    <w:rsid w:val="08CB69AB"/>
    <w:rsid w:val="08CB69E9"/>
    <w:rsid w:val="08CB6A8F"/>
    <w:rsid w:val="08CB6AEA"/>
    <w:rsid w:val="08CB6B5E"/>
    <w:rsid w:val="08CB6BA6"/>
    <w:rsid w:val="08CB6D24"/>
    <w:rsid w:val="08CB6EC7"/>
    <w:rsid w:val="08CB6EEF"/>
    <w:rsid w:val="08CB6F0E"/>
    <w:rsid w:val="08CB6F74"/>
    <w:rsid w:val="08CB6FAA"/>
    <w:rsid w:val="08CB6FE7"/>
    <w:rsid w:val="08CB6FFF"/>
    <w:rsid w:val="08CB70AF"/>
    <w:rsid w:val="08CB7170"/>
    <w:rsid w:val="08CB7171"/>
    <w:rsid w:val="08CB71E1"/>
    <w:rsid w:val="08CB723A"/>
    <w:rsid w:val="08CB725F"/>
    <w:rsid w:val="08CB733E"/>
    <w:rsid w:val="08CB7464"/>
    <w:rsid w:val="08CB74AB"/>
    <w:rsid w:val="08CB7509"/>
    <w:rsid w:val="08CB7572"/>
    <w:rsid w:val="08CB75C9"/>
    <w:rsid w:val="08CB76D3"/>
    <w:rsid w:val="08CB76E8"/>
    <w:rsid w:val="08CB776B"/>
    <w:rsid w:val="08CB77CF"/>
    <w:rsid w:val="08CB788D"/>
    <w:rsid w:val="08CB78CE"/>
    <w:rsid w:val="08CB78F8"/>
    <w:rsid w:val="08CB7932"/>
    <w:rsid w:val="08CB7938"/>
    <w:rsid w:val="08CB79FE"/>
    <w:rsid w:val="08CB7A5B"/>
    <w:rsid w:val="08CB7BA4"/>
    <w:rsid w:val="08CB7BC4"/>
    <w:rsid w:val="08CB7BCF"/>
    <w:rsid w:val="08CB7C9C"/>
    <w:rsid w:val="08CB7DFA"/>
    <w:rsid w:val="08CB7E90"/>
    <w:rsid w:val="08CB7EB7"/>
    <w:rsid w:val="08CB7F39"/>
    <w:rsid w:val="08CB7F43"/>
    <w:rsid w:val="08CB7F67"/>
    <w:rsid w:val="08CB7F6E"/>
    <w:rsid w:val="08CC0026"/>
    <w:rsid w:val="08CC0083"/>
    <w:rsid w:val="08CC01AB"/>
    <w:rsid w:val="08CC024C"/>
    <w:rsid w:val="08CC027A"/>
    <w:rsid w:val="08CC027F"/>
    <w:rsid w:val="08CC02CA"/>
    <w:rsid w:val="08CC031C"/>
    <w:rsid w:val="08CC0348"/>
    <w:rsid w:val="08CC037F"/>
    <w:rsid w:val="08CC03EA"/>
    <w:rsid w:val="08CC04C7"/>
    <w:rsid w:val="08CC0549"/>
    <w:rsid w:val="08CC0598"/>
    <w:rsid w:val="08CC05CC"/>
    <w:rsid w:val="08CC060F"/>
    <w:rsid w:val="08CC062C"/>
    <w:rsid w:val="08CC0683"/>
    <w:rsid w:val="08CC0688"/>
    <w:rsid w:val="08CC06B0"/>
    <w:rsid w:val="08CC07E6"/>
    <w:rsid w:val="08CC0839"/>
    <w:rsid w:val="08CC08D7"/>
    <w:rsid w:val="08CC09A1"/>
    <w:rsid w:val="08CC09DA"/>
    <w:rsid w:val="08CC0A03"/>
    <w:rsid w:val="08CC0A43"/>
    <w:rsid w:val="08CC0A9B"/>
    <w:rsid w:val="08CC0ABC"/>
    <w:rsid w:val="08CC0B13"/>
    <w:rsid w:val="08CC0B42"/>
    <w:rsid w:val="08CC0B9B"/>
    <w:rsid w:val="08CC0CAE"/>
    <w:rsid w:val="08CC0CCD"/>
    <w:rsid w:val="08CC0D1E"/>
    <w:rsid w:val="08CC0DE9"/>
    <w:rsid w:val="08CC0E11"/>
    <w:rsid w:val="08CC0E12"/>
    <w:rsid w:val="08CC0E65"/>
    <w:rsid w:val="08CC0E6A"/>
    <w:rsid w:val="08CC0F14"/>
    <w:rsid w:val="08CC0F1E"/>
    <w:rsid w:val="08CC0FF8"/>
    <w:rsid w:val="08CC1012"/>
    <w:rsid w:val="08CC1075"/>
    <w:rsid w:val="08CC1094"/>
    <w:rsid w:val="08CC10A2"/>
    <w:rsid w:val="08CC115C"/>
    <w:rsid w:val="08CC123A"/>
    <w:rsid w:val="08CC124E"/>
    <w:rsid w:val="08CC12A2"/>
    <w:rsid w:val="08CC12F9"/>
    <w:rsid w:val="08CC12FC"/>
    <w:rsid w:val="08CC1305"/>
    <w:rsid w:val="08CC1343"/>
    <w:rsid w:val="08CC13A1"/>
    <w:rsid w:val="08CC13BE"/>
    <w:rsid w:val="08CC1429"/>
    <w:rsid w:val="08CC144D"/>
    <w:rsid w:val="08CC14A1"/>
    <w:rsid w:val="08CC14B6"/>
    <w:rsid w:val="08CC1675"/>
    <w:rsid w:val="08CC1682"/>
    <w:rsid w:val="08CC16DC"/>
    <w:rsid w:val="08CC1763"/>
    <w:rsid w:val="08CC18D4"/>
    <w:rsid w:val="08CC18E2"/>
    <w:rsid w:val="08CC197A"/>
    <w:rsid w:val="08CC19A9"/>
    <w:rsid w:val="08CC1ADF"/>
    <w:rsid w:val="08CC1B10"/>
    <w:rsid w:val="08CC1B7F"/>
    <w:rsid w:val="08CC1B9E"/>
    <w:rsid w:val="08CC1C2A"/>
    <w:rsid w:val="08CC1CC3"/>
    <w:rsid w:val="08CC1D31"/>
    <w:rsid w:val="08CC1D50"/>
    <w:rsid w:val="08CC1DAC"/>
    <w:rsid w:val="08CC1E54"/>
    <w:rsid w:val="08CC1E99"/>
    <w:rsid w:val="08CC1ED6"/>
    <w:rsid w:val="08CC1F5A"/>
    <w:rsid w:val="08CC1F77"/>
    <w:rsid w:val="08CC1FCE"/>
    <w:rsid w:val="08CC2050"/>
    <w:rsid w:val="08CC2060"/>
    <w:rsid w:val="08CC2098"/>
    <w:rsid w:val="08CC20A9"/>
    <w:rsid w:val="08CC215D"/>
    <w:rsid w:val="08CC2198"/>
    <w:rsid w:val="08CC2276"/>
    <w:rsid w:val="08CC227A"/>
    <w:rsid w:val="08CC227D"/>
    <w:rsid w:val="08CC22A4"/>
    <w:rsid w:val="08CC2308"/>
    <w:rsid w:val="08CC2381"/>
    <w:rsid w:val="08CC23BF"/>
    <w:rsid w:val="08CC2465"/>
    <w:rsid w:val="08CC248C"/>
    <w:rsid w:val="08CC24D1"/>
    <w:rsid w:val="08CC24E1"/>
    <w:rsid w:val="08CC2500"/>
    <w:rsid w:val="08CC2550"/>
    <w:rsid w:val="08CC25BD"/>
    <w:rsid w:val="08CC2643"/>
    <w:rsid w:val="08CC269A"/>
    <w:rsid w:val="08CC2728"/>
    <w:rsid w:val="08CC2732"/>
    <w:rsid w:val="08CC27A0"/>
    <w:rsid w:val="08CC27AE"/>
    <w:rsid w:val="08CC27CC"/>
    <w:rsid w:val="08CC286C"/>
    <w:rsid w:val="08CC28FF"/>
    <w:rsid w:val="08CC290E"/>
    <w:rsid w:val="08CC2930"/>
    <w:rsid w:val="08CC296C"/>
    <w:rsid w:val="08CC29CE"/>
    <w:rsid w:val="08CC29D8"/>
    <w:rsid w:val="08CC2A49"/>
    <w:rsid w:val="08CC2AFB"/>
    <w:rsid w:val="08CC2B07"/>
    <w:rsid w:val="08CC2B0A"/>
    <w:rsid w:val="08CC2B2D"/>
    <w:rsid w:val="08CC2BB2"/>
    <w:rsid w:val="08CC2BF2"/>
    <w:rsid w:val="08CC2CAF"/>
    <w:rsid w:val="08CC2CB6"/>
    <w:rsid w:val="08CC2D10"/>
    <w:rsid w:val="08CC2D2D"/>
    <w:rsid w:val="08CC2D6C"/>
    <w:rsid w:val="08CC2DA4"/>
    <w:rsid w:val="08CC2DA7"/>
    <w:rsid w:val="08CC2DFD"/>
    <w:rsid w:val="08CC2E7F"/>
    <w:rsid w:val="08CC2F88"/>
    <w:rsid w:val="08CC3025"/>
    <w:rsid w:val="08CC3045"/>
    <w:rsid w:val="08CC305D"/>
    <w:rsid w:val="08CC30B3"/>
    <w:rsid w:val="08CC3171"/>
    <w:rsid w:val="08CC3237"/>
    <w:rsid w:val="08CC32CC"/>
    <w:rsid w:val="08CC33FD"/>
    <w:rsid w:val="08CC3426"/>
    <w:rsid w:val="08CC346C"/>
    <w:rsid w:val="08CC34A8"/>
    <w:rsid w:val="08CC34B6"/>
    <w:rsid w:val="08CC34D5"/>
    <w:rsid w:val="08CC3541"/>
    <w:rsid w:val="08CC3574"/>
    <w:rsid w:val="08CC35DF"/>
    <w:rsid w:val="08CC35E8"/>
    <w:rsid w:val="08CC35F2"/>
    <w:rsid w:val="08CC360C"/>
    <w:rsid w:val="08CC3629"/>
    <w:rsid w:val="08CC36F9"/>
    <w:rsid w:val="08CC376E"/>
    <w:rsid w:val="08CC377D"/>
    <w:rsid w:val="08CC37B4"/>
    <w:rsid w:val="08CC37DB"/>
    <w:rsid w:val="08CC384F"/>
    <w:rsid w:val="08CC3934"/>
    <w:rsid w:val="08CC3992"/>
    <w:rsid w:val="08CC3A54"/>
    <w:rsid w:val="08CC3A7B"/>
    <w:rsid w:val="08CC3B08"/>
    <w:rsid w:val="08CC3B63"/>
    <w:rsid w:val="08CC3C27"/>
    <w:rsid w:val="08CC3C37"/>
    <w:rsid w:val="08CC3C59"/>
    <w:rsid w:val="08CC3CE2"/>
    <w:rsid w:val="08CC3CF2"/>
    <w:rsid w:val="08CC3D08"/>
    <w:rsid w:val="08CC3D09"/>
    <w:rsid w:val="08CC3E26"/>
    <w:rsid w:val="08CC3F27"/>
    <w:rsid w:val="08CC3F62"/>
    <w:rsid w:val="08CC3F85"/>
    <w:rsid w:val="08CC3FD7"/>
    <w:rsid w:val="08CC3FDD"/>
    <w:rsid w:val="08CC4009"/>
    <w:rsid w:val="08CC4042"/>
    <w:rsid w:val="08CC40B9"/>
    <w:rsid w:val="08CC40D1"/>
    <w:rsid w:val="08CC411F"/>
    <w:rsid w:val="08CC41F4"/>
    <w:rsid w:val="08CC4292"/>
    <w:rsid w:val="08CC42C2"/>
    <w:rsid w:val="08CC4343"/>
    <w:rsid w:val="08CC43B7"/>
    <w:rsid w:val="08CC43F9"/>
    <w:rsid w:val="08CC442C"/>
    <w:rsid w:val="08CC44A0"/>
    <w:rsid w:val="08CC4513"/>
    <w:rsid w:val="08CC4583"/>
    <w:rsid w:val="08CC46AB"/>
    <w:rsid w:val="08CC46DF"/>
    <w:rsid w:val="08CC471C"/>
    <w:rsid w:val="08CC47CF"/>
    <w:rsid w:val="08CC47EA"/>
    <w:rsid w:val="08CC4812"/>
    <w:rsid w:val="08CC4813"/>
    <w:rsid w:val="08CC4821"/>
    <w:rsid w:val="08CC4848"/>
    <w:rsid w:val="08CC484E"/>
    <w:rsid w:val="08CC491A"/>
    <w:rsid w:val="08CC4926"/>
    <w:rsid w:val="08CC4934"/>
    <w:rsid w:val="08CC49AA"/>
    <w:rsid w:val="08CC49EA"/>
    <w:rsid w:val="08CC4B5E"/>
    <w:rsid w:val="08CC4C01"/>
    <w:rsid w:val="08CC4C14"/>
    <w:rsid w:val="08CC4C87"/>
    <w:rsid w:val="08CC4C8B"/>
    <w:rsid w:val="08CC4CA8"/>
    <w:rsid w:val="08CC4D2B"/>
    <w:rsid w:val="08CC4DD9"/>
    <w:rsid w:val="08CC4DEA"/>
    <w:rsid w:val="08CC4DFE"/>
    <w:rsid w:val="08CC4E90"/>
    <w:rsid w:val="08CC4F13"/>
    <w:rsid w:val="08CC4F9F"/>
    <w:rsid w:val="08CC4FFD"/>
    <w:rsid w:val="08CC5018"/>
    <w:rsid w:val="08CC5053"/>
    <w:rsid w:val="08CC509F"/>
    <w:rsid w:val="08CC50B0"/>
    <w:rsid w:val="08CC52B0"/>
    <w:rsid w:val="08CC535A"/>
    <w:rsid w:val="08CC5396"/>
    <w:rsid w:val="08CC53F7"/>
    <w:rsid w:val="08CC5502"/>
    <w:rsid w:val="08CC5554"/>
    <w:rsid w:val="08CC555C"/>
    <w:rsid w:val="08CC55CD"/>
    <w:rsid w:val="08CC5636"/>
    <w:rsid w:val="08CC564D"/>
    <w:rsid w:val="08CC569E"/>
    <w:rsid w:val="08CC56EF"/>
    <w:rsid w:val="08CC5945"/>
    <w:rsid w:val="08CC595B"/>
    <w:rsid w:val="08CC5990"/>
    <w:rsid w:val="08CC59CB"/>
    <w:rsid w:val="08CC5A3F"/>
    <w:rsid w:val="08CC5A65"/>
    <w:rsid w:val="08CC5AF0"/>
    <w:rsid w:val="08CC5B0F"/>
    <w:rsid w:val="08CC5B41"/>
    <w:rsid w:val="08CC5C2E"/>
    <w:rsid w:val="08CC5C30"/>
    <w:rsid w:val="08CC5DB3"/>
    <w:rsid w:val="08CC5DB9"/>
    <w:rsid w:val="08CC5E19"/>
    <w:rsid w:val="08CC5EFF"/>
    <w:rsid w:val="08CC5F02"/>
    <w:rsid w:val="08CC5F33"/>
    <w:rsid w:val="08CC5F61"/>
    <w:rsid w:val="08CC5F90"/>
    <w:rsid w:val="08CC5F91"/>
    <w:rsid w:val="08CC5F9D"/>
    <w:rsid w:val="08CC6085"/>
    <w:rsid w:val="08CC60E6"/>
    <w:rsid w:val="08CC6124"/>
    <w:rsid w:val="08CC613A"/>
    <w:rsid w:val="08CC61A2"/>
    <w:rsid w:val="08CC6234"/>
    <w:rsid w:val="08CC6290"/>
    <w:rsid w:val="08CC62D3"/>
    <w:rsid w:val="08CC630A"/>
    <w:rsid w:val="08CC6331"/>
    <w:rsid w:val="08CC6405"/>
    <w:rsid w:val="08CC6447"/>
    <w:rsid w:val="08CC661E"/>
    <w:rsid w:val="08CC6697"/>
    <w:rsid w:val="08CC679E"/>
    <w:rsid w:val="08CC683E"/>
    <w:rsid w:val="08CC686E"/>
    <w:rsid w:val="08CC6876"/>
    <w:rsid w:val="08CC6894"/>
    <w:rsid w:val="08CC68A7"/>
    <w:rsid w:val="08CC6933"/>
    <w:rsid w:val="08CC6981"/>
    <w:rsid w:val="08CC69B0"/>
    <w:rsid w:val="08CC6A84"/>
    <w:rsid w:val="08CC6B18"/>
    <w:rsid w:val="08CC6BB3"/>
    <w:rsid w:val="08CC6D17"/>
    <w:rsid w:val="08CC6E71"/>
    <w:rsid w:val="08CC6F8C"/>
    <w:rsid w:val="08CC6FF2"/>
    <w:rsid w:val="08CC700E"/>
    <w:rsid w:val="08CC7057"/>
    <w:rsid w:val="08CC70B5"/>
    <w:rsid w:val="08CC7116"/>
    <w:rsid w:val="08CC712C"/>
    <w:rsid w:val="08CC715E"/>
    <w:rsid w:val="08CC7188"/>
    <w:rsid w:val="08CC7235"/>
    <w:rsid w:val="08CC72A3"/>
    <w:rsid w:val="08CC731D"/>
    <w:rsid w:val="08CC7375"/>
    <w:rsid w:val="08CC7505"/>
    <w:rsid w:val="08CC7514"/>
    <w:rsid w:val="08CC7519"/>
    <w:rsid w:val="08CC756D"/>
    <w:rsid w:val="08CC7638"/>
    <w:rsid w:val="08CC76F9"/>
    <w:rsid w:val="08CC77AD"/>
    <w:rsid w:val="08CC78C8"/>
    <w:rsid w:val="08CC7908"/>
    <w:rsid w:val="08CC7994"/>
    <w:rsid w:val="08CC79CA"/>
    <w:rsid w:val="08CC7A72"/>
    <w:rsid w:val="08CC7B10"/>
    <w:rsid w:val="08CC7B3F"/>
    <w:rsid w:val="08CC7BB1"/>
    <w:rsid w:val="08CC7BF6"/>
    <w:rsid w:val="08CC7C11"/>
    <w:rsid w:val="08CC7CAE"/>
    <w:rsid w:val="08CC7D83"/>
    <w:rsid w:val="08CC7D92"/>
    <w:rsid w:val="08CC7F1A"/>
    <w:rsid w:val="08CD0100"/>
    <w:rsid w:val="08CD0123"/>
    <w:rsid w:val="08CD0165"/>
    <w:rsid w:val="08CD019A"/>
    <w:rsid w:val="08CD01D1"/>
    <w:rsid w:val="08CD021F"/>
    <w:rsid w:val="08CD026A"/>
    <w:rsid w:val="08CD02B7"/>
    <w:rsid w:val="08CD0388"/>
    <w:rsid w:val="08CD041F"/>
    <w:rsid w:val="08CD04A0"/>
    <w:rsid w:val="08CD05AC"/>
    <w:rsid w:val="08CD07D5"/>
    <w:rsid w:val="08CD080F"/>
    <w:rsid w:val="08CD083D"/>
    <w:rsid w:val="08CD0901"/>
    <w:rsid w:val="08CD0999"/>
    <w:rsid w:val="08CD0A62"/>
    <w:rsid w:val="08CD0A8D"/>
    <w:rsid w:val="08CD0AE8"/>
    <w:rsid w:val="08CD0B02"/>
    <w:rsid w:val="08CD0BA2"/>
    <w:rsid w:val="08CD0C27"/>
    <w:rsid w:val="08CD0C5A"/>
    <w:rsid w:val="08CD0CD0"/>
    <w:rsid w:val="08CD0D8D"/>
    <w:rsid w:val="08CD0DAB"/>
    <w:rsid w:val="08CD0DE8"/>
    <w:rsid w:val="08CD0E11"/>
    <w:rsid w:val="08CD0E17"/>
    <w:rsid w:val="08CD0E37"/>
    <w:rsid w:val="08CD0FDC"/>
    <w:rsid w:val="08CD1025"/>
    <w:rsid w:val="08CD1074"/>
    <w:rsid w:val="08CD1119"/>
    <w:rsid w:val="08CD1140"/>
    <w:rsid w:val="08CD128C"/>
    <w:rsid w:val="08CD12CA"/>
    <w:rsid w:val="08CD1351"/>
    <w:rsid w:val="08CD14FB"/>
    <w:rsid w:val="08CD1590"/>
    <w:rsid w:val="08CD15CE"/>
    <w:rsid w:val="08CD175A"/>
    <w:rsid w:val="08CD17CC"/>
    <w:rsid w:val="08CD184F"/>
    <w:rsid w:val="08CD1A2E"/>
    <w:rsid w:val="08CD1A4E"/>
    <w:rsid w:val="08CD1BBA"/>
    <w:rsid w:val="08CD1BFA"/>
    <w:rsid w:val="08CD1CAB"/>
    <w:rsid w:val="08CD1E26"/>
    <w:rsid w:val="08CD1E7D"/>
    <w:rsid w:val="08CD1EC3"/>
    <w:rsid w:val="08CD1F6B"/>
    <w:rsid w:val="08CD1FE2"/>
    <w:rsid w:val="08CD2033"/>
    <w:rsid w:val="08CD2127"/>
    <w:rsid w:val="08CD219D"/>
    <w:rsid w:val="08CD21DE"/>
    <w:rsid w:val="08CD2208"/>
    <w:rsid w:val="08CD2219"/>
    <w:rsid w:val="08CD2259"/>
    <w:rsid w:val="08CD2264"/>
    <w:rsid w:val="08CD2307"/>
    <w:rsid w:val="08CD2363"/>
    <w:rsid w:val="08CD23A4"/>
    <w:rsid w:val="08CD23DD"/>
    <w:rsid w:val="08CD2444"/>
    <w:rsid w:val="08CD254C"/>
    <w:rsid w:val="08CD25DC"/>
    <w:rsid w:val="08CD2619"/>
    <w:rsid w:val="08CD264F"/>
    <w:rsid w:val="08CD26DA"/>
    <w:rsid w:val="08CD283E"/>
    <w:rsid w:val="08CD2894"/>
    <w:rsid w:val="08CD28B3"/>
    <w:rsid w:val="08CD293F"/>
    <w:rsid w:val="08CD2988"/>
    <w:rsid w:val="08CD29D8"/>
    <w:rsid w:val="08CD2A6B"/>
    <w:rsid w:val="08CD2B75"/>
    <w:rsid w:val="08CD2CF6"/>
    <w:rsid w:val="08CD2D0F"/>
    <w:rsid w:val="08CD2D1E"/>
    <w:rsid w:val="08CD2D5B"/>
    <w:rsid w:val="08CD2D7F"/>
    <w:rsid w:val="08CD2D91"/>
    <w:rsid w:val="08CD2DA6"/>
    <w:rsid w:val="08CD2E09"/>
    <w:rsid w:val="08CD2E24"/>
    <w:rsid w:val="08CD2E6A"/>
    <w:rsid w:val="08CD2E88"/>
    <w:rsid w:val="08CD2EEB"/>
    <w:rsid w:val="08CD2F9A"/>
    <w:rsid w:val="08CD2FA0"/>
    <w:rsid w:val="08CD2FC1"/>
    <w:rsid w:val="08CD2FEF"/>
    <w:rsid w:val="08CD3014"/>
    <w:rsid w:val="08CD305E"/>
    <w:rsid w:val="08CD3159"/>
    <w:rsid w:val="08CD3197"/>
    <w:rsid w:val="08CD3265"/>
    <w:rsid w:val="08CD327D"/>
    <w:rsid w:val="08CD32C4"/>
    <w:rsid w:val="08CD3326"/>
    <w:rsid w:val="08CD3385"/>
    <w:rsid w:val="08CD3411"/>
    <w:rsid w:val="08CD344E"/>
    <w:rsid w:val="08CD359B"/>
    <w:rsid w:val="08CD3613"/>
    <w:rsid w:val="08CD3624"/>
    <w:rsid w:val="08CD3650"/>
    <w:rsid w:val="08CD36A5"/>
    <w:rsid w:val="08CD381C"/>
    <w:rsid w:val="08CD394E"/>
    <w:rsid w:val="08CD397B"/>
    <w:rsid w:val="08CD3992"/>
    <w:rsid w:val="08CD39F6"/>
    <w:rsid w:val="08CD3A70"/>
    <w:rsid w:val="08CD3AFE"/>
    <w:rsid w:val="08CD3B27"/>
    <w:rsid w:val="08CD3B35"/>
    <w:rsid w:val="08CD3B80"/>
    <w:rsid w:val="08CD3C13"/>
    <w:rsid w:val="08CD3C4B"/>
    <w:rsid w:val="08CD3C7E"/>
    <w:rsid w:val="08CD3CA8"/>
    <w:rsid w:val="08CD3CAF"/>
    <w:rsid w:val="08CD3D10"/>
    <w:rsid w:val="08CD3D35"/>
    <w:rsid w:val="08CD3DF3"/>
    <w:rsid w:val="08CD3E60"/>
    <w:rsid w:val="08CD3E69"/>
    <w:rsid w:val="08CD400B"/>
    <w:rsid w:val="08CD4014"/>
    <w:rsid w:val="08CD4133"/>
    <w:rsid w:val="08CD41BD"/>
    <w:rsid w:val="08CD41E3"/>
    <w:rsid w:val="08CD4228"/>
    <w:rsid w:val="08CD426F"/>
    <w:rsid w:val="08CD4336"/>
    <w:rsid w:val="08CD4349"/>
    <w:rsid w:val="08CD43BB"/>
    <w:rsid w:val="08CD4446"/>
    <w:rsid w:val="08CD4492"/>
    <w:rsid w:val="08CD45AF"/>
    <w:rsid w:val="08CD4687"/>
    <w:rsid w:val="08CD46D3"/>
    <w:rsid w:val="08CD46E0"/>
    <w:rsid w:val="08CD4743"/>
    <w:rsid w:val="08CD478C"/>
    <w:rsid w:val="08CD47ED"/>
    <w:rsid w:val="08CD47F9"/>
    <w:rsid w:val="08CD48A8"/>
    <w:rsid w:val="08CD49A0"/>
    <w:rsid w:val="08CD49A4"/>
    <w:rsid w:val="08CD4A0F"/>
    <w:rsid w:val="08CD4B3D"/>
    <w:rsid w:val="08CD4B65"/>
    <w:rsid w:val="08CD4BE8"/>
    <w:rsid w:val="08CD4C42"/>
    <w:rsid w:val="08CD4D22"/>
    <w:rsid w:val="08CD4D44"/>
    <w:rsid w:val="08CD4D63"/>
    <w:rsid w:val="08CD4D64"/>
    <w:rsid w:val="08CD4D88"/>
    <w:rsid w:val="08CD4DDC"/>
    <w:rsid w:val="08CD4DE4"/>
    <w:rsid w:val="08CD4E63"/>
    <w:rsid w:val="08CD4E8F"/>
    <w:rsid w:val="08CD4EB2"/>
    <w:rsid w:val="08CD4F12"/>
    <w:rsid w:val="08CD4F21"/>
    <w:rsid w:val="08CD508B"/>
    <w:rsid w:val="08CD5131"/>
    <w:rsid w:val="08CD52D2"/>
    <w:rsid w:val="08CD5307"/>
    <w:rsid w:val="08CD5430"/>
    <w:rsid w:val="08CD5526"/>
    <w:rsid w:val="08CD556B"/>
    <w:rsid w:val="08CD561A"/>
    <w:rsid w:val="08CD5794"/>
    <w:rsid w:val="08CD5840"/>
    <w:rsid w:val="08CD584E"/>
    <w:rsid w:val="08CD586C"/>
    <w:rsid w:val="08CD58FC"/>
    <w:rsid w:val="08CD5906"/>
    <w:rsid w:val="08CD59CE"/>
    <w:rsid w:val="08CD5A59"/>
    <w:rsid w:val="08CD5A5D"/>
    <w:rsid w:val="08CD5ABF"/>
    <w:rsid w:val="08CD5AF0"/>
    <w:rsid w:val="08CD5B15"/>
    <w:rsid w:val="08CD5B36"/>
    <w:rsid w:val="08CD5B61"/>
    <w:rsid w:val="08CD5C21"/>
    <w:rsid w:val="08CD5D9F"/>
    <w:rsid w:val="08CD5EA8"/>
    <w:rsid w:val="08CD5F43"/>
    <w:rsid w:val="08CD5F94"/>
    <w:rsid w:val="08CD601E"/>
    <w:rsid w:val="08CD60D1"/>
    <w:rsid w:val="08CD6130"/>
    <w:rsid w:val="08CD6161"/>
    <w:rsid w:val="08CD6220"/>
    <w:rsid w:val="08CD6231"/>
    <w:rsid w:val="08CD62AC"/>
    <w:rsid w:val="08CD6303"/>
    <w:rsid w:val="08CD63A6"/>
    <w:rsid w:val="08CD6462"/>
    <w:rsid w:val="08CD6518"/>
    <w:rsid w:val="08CD6564"/>
    <w:rsid w:val="08CD65A1"/>
    <w:rsid w:val="08CD65A6"/>
    <w:rsid w:val="08CD65BD"/>
    <w:rsid w:val="08CD65C0"/>
    <w:rsid w:val="08CD65C5"/>
    <w:rsid w:val="08CD65CD"/>
    <w:rsid w:val="08CD65EF"/>
    <w:rsid w:val="08CD65FE"/>
    <w:rsid w:val="08CD6609"/>
    <w:rsid w:val="08CD661A"/>
    <w:rsid w:val="08CD66FF"/>
    <w:rsid w:val="08CD6727"/>
    <w:rsid w:val="08CD679D"/>
    <w:rsid w:val="08CD67E6"/>
    <w:rsid w:val="08CD68E9"/>
    <w:rsid w:val="08CD69A3"/>
    <w:rsid w:val="08CD69E3"/>
    <w:rsid w:val="08CD6A50"/>
    <w:rsid w:val="08CD6B34"/>
    <w:rsid w:val="08CD6C6F"/>
    <w:rsid w:val="08CD6C92"/>
    <w:rsid w:val="08CD6CE7"/>
    <w:rsid w:val="08CD6D77"/>
    <w:rsid w:val="08CD6D97"/>
    <w:rsid w:val="08CD6DF6"/>
    <w:rsid w:val="08CD6E1D"/>
    <w:rsid w:val="08CD6EB2"/>
    <w:rsid w:val="08CD6EE7"/>
    <w:rsid w:val="08CD6F47"/>
    <w:rsid w:val="08CD6FB7"/>
    <w:rsid w:val="08CD6FDB"/>
    <w:rsid w:val="08CD7008"/>
    <w:rsid w:val="08CD7014"/>
    <w:rsid w:val="08CD7064"/>
    <w:rsid w:val="08CD7099"/>
    <w:rsid w:val="08CD7211"/>
    <w:rsid w:val="08CD7377"/>
    <w:rsid w:val="08CD7382"/>
    <w:rsid w:val="08CD74BA"/>
    <w:rsid w:val="08CD75C7"/>
    <w:rsid w:val="08CD763E"/>
    <w:rsid w:val="08CD777A"/>
    <w:rsid w:val="08CD77B9"/>
    <w:rsid w:val="08CD77BE"/>
    <w:rsid w:val="08CD77EF"/>
    <w:rsid w:val="08CD7815"/>
    <w:rsid w:val="08CD7863"/>
    <w:rsid w:val="08CD78C5"/>
    <w:rsid w:val="08CD78D9"/>
    <w:rsid w:val="08CD7931"/>
    <w:rsid w:val="08CD7A4C"/>
    <w:rsid w:val="08CD7A8B"/>
    <w:rsid w:val="08CD7AA6"/>
    <w:rsid w:val="08CD7B1F"/>
    <w:rsid w:val="08CD7B91"/>
    <w:rsid w:val="08CD7BD0"/>
    <w:rsid w:val="08CD7CAE"/>
    <w:rsid w:val="08CD7E80"/>
    <w:rsid w:val="08CD7EB4"/>
    <w:rsid w:val="08CD7F46"/>
    <w:rsid w:val="08CD7FD9"/>
    <w:rsid w:val="08CE00F1"/>
    <w:rsid w:val="08CE019A"/>
    <w:rsid w:val="08CE021D"/>
    <w:rsid w:val="08CE025C"/>
    <w:rsid w:val="08CE02FC"/>
    <w:rsid w:val="08CE03DB"/>
    <w:rsid w:val="08CE041B"/>
    <w:rsid w:val="08CE04B7"/>
    <w:rsid w:val="08CE05A6"/>
    <w:rsid w:val="08CE05E7"/>
    <w:rsid w:val="08CE0700"/>
    <w:rsid w:val="08CE092F"/>
    <w:rsid w:val="08CE0972"/>
    <w:rsid w:val="08CE0994"/>
    <w:rsid w:val="08CE0A9B"/>
    <w:rsid w:val="08CE0AD1"/>
    <w:rsid w:val="08CE0ADD"/>
    <w:rsid w:val="08CE0B46"/>
    <w:rsid w:val="08CE0C30"/>
    <w:rsid w:val="08CE0C71"/>
    <w:rsid w:val="08CE0C9A"/>
    <w:rsid w:val="08CE0D1F"/>
    <w:rsid w:val="08CE0D5B"/>
    <w:rsid w:val="08CE0DA8"/>
    <w:rsid w:val="08CE0DBE"/>
    <w:rsid w:val="08CE0ECD"/>
    <w:rsid w:val="08CE1094"/>
    <w:rsid w:val="08CE1097"/>
    <w:rsid w:val="08CE1129"/>
    <w:rsid w:val="08CE1236"/>
    <w:rsid w:val="08CE126F"/>
    <w:rsid w:val="08CE143A"/>
    <w:rsid w:val="08CE14DF"/>
    <w:rsid w:val="08CE1578"/>
    <w:rsid w:val="08CE15AC"/>
    <w:rsid w:val="08CE160E"/>
    <w:rsid w:val="08CE1718"/>
    <w:rsid w:val="08CE173F"/>
    <w:rsid w:val="08CE1796"/>
    <w:rsid w:val="08CE1878"/>
    <w:rsid w:val="08CE194E"/>
    <w:rsid w:val="08CE19D7"/>
    <w:rsid w:val="08CE1A94"/>
    <w:rsid w:val="08CE1B22"/>
    <w:rsid w:val="08CE1B3E"/>
    <w:rsid w:val="08CE1B9B"/>
    <w:rsid w:val="08CE1C23"/>
    <w:rsid w:val="08CE1C5E"/>
    <w:rsid w:val="08CE1D2D"/>
    <w:rsid w:val="08CE1DBA"/>
    <w:rsid w:val="08CE1F62"/>
    <w:rsid w:val="08CE2043"/>
    <w:rsid w:val="08CE208B"/>
    <w:rsid w:val="08CE2098"/>
    <w:rsid w:val="08CE20C6"/>
    <w:rsid w:val="08CE2112"/>
    <w:rsid w:val="08CE2166"/>
    <w:rsid w:val="08CE220E"/>
    <w:rsid w:val="08CE2220"/>
    <w:rsid w:val="08CE2243"/>
    <w:rsid w:val="08CE22A3"/>
    <w:rsid w:val="08CE22E0"/>
    <w:rsid w:val="08CE2323"/>
    <w:rsid w:val="08CE234A"/>
    <w:rsid w:val="08CE2363"/>
    <w:rsid w:val="08CE23DA"/>
    <w:rsid w:val="08CE23E0"/>
    <w:rsid w:val="08CE24AA"/>
    <w:rsid w:val="08CE252C"/>
    <w:rsid w:val="08CE2637"/>
    <w:rsid w:val="08CE264C"/>
    <w:rsid w:val="08CE27B5"/>
    <w:rsid w:val="08CE2841"/>
    <w:rsid w:val="08CE2911"/>
    <w:rsid w:val="08CE293D"/>
    <w:rsid w:val="08CE29E1"/>
    <w:rsid w:val="08CE2B21"/>
    <w:rsid w:val="08CE2BD7"/>
    <w:rsid w:val="08CE2C40"/>
    <w:rsid w:val="08CE2CA6"/>
    <w:rsid w:val="08CE2CF3"/>
    <w:rsid w:val="08CE2D01"/>
    <w:rsid w:val="08CE2D05"/>
    <w:rsid w:val="08CE2D0A"/>
    <w:rsid w:val="08CE2F1B"/>
    <w:rsid w:val="08CE2F55"/>
    <w:rsid w:val="08CE302D"/>
    <w:rsid w:val="08CE3188"/>
    <w:rsid w:val="08CE321F"/>
    <w:rsid w:val="08CE3231"/>
    <w:rsid w:val="08CE32CB"/>
    <w:rsid w:val="08CE3314"/>
    <w:rsid w:val="08CE3390"/>
    <w:rsid w:val="08CE341F"/>
    <w:rsid w:val="08CE34CF"/>
    <w:rsid w:val="08CE34E3"/>
    <w:rsid w:val="08CE34F2"/>
    <w:rsid w:val="08CE35AC"/>
    <w:rsid w:val="08CE35C3"/>
    <w:rsid w:val="08CE36E2"/>
    <w:rsid w:val="08CE36F1"/>
    <w:rsid w:val="08CE37D8"/>
    <w:rsid w:val="08CE383C"/>
    <w:rsid w:val="08CE38B3"/>
    <w:rsid w:val="08CE38E3"/>
    <w:rsid w:val="08CE3995"/>
    <w:rsid w:val="08CE3A07"/>
    <w:rsid w:val="08CE3A24"/>
    <w:rsid w:val="08CE3B17"/>
    <w:rsid w:val="08CE3B5C"/>
    <w:rsid w:val="08CE3CF4"/>
    <w:rsid w:val="08CE3D0F"/>
    <w:rsid w:val="08CE3E36"/>
    <w:rsid w:val="08CE3EB1"/>
    <w:rsid w:val="08CE3ED7"/>
    <w:rsid w:val="08CE3EE6"/>
    <w:rsid w:val="08CE3F82"/>
    <w:rsid w:val="08CE3FF3"/>
    <w:rsid w:val="08CE403A"/>
    <w:rsid w:val="08CE4093"/>
    <w:rsid w:val="08CE41CC"/>
    <w:rsid w:val="08CE421A"/>
    <w:rsid w:val="08CE4225"/>
    <w:rsid w:val="08CE42A8"/>
    <w:rsid w:val="08CE434A"/>
    <w:rsid w:val="08CE4413"/>
    <w:rsid w:val="08CE4430"/>
    <w:rsid w:val="08CE45D6"/>
    <w:rsid w:val="08CE4648"/>
    <w:rsid w:val="08CE466F"/>
    <w:rsid w:val="08CE47DF"/>
    <w:rsid w:val="08CE48C9"/>
    <w:rsid w:val="08CE4A1F"/>
    <w:rsid w:val="08CE4A20"/>
    <w:rsid w:val="08CE4BE2"/>
    <w:rsid w:val="08CE4C5F"/>
    <w:rsid w:val="08CE4C78"/>
    <w:rsid w:val="08CE4CC9"/>
    <w:rsid w:val="08CE4CFD"/>
    <w:rsid w:val="08CE4D3A"/>
    <w:rsid w:val="08CE4D3C"/>
    <w:rsid w:val="08CE4D60"/>
    <w:rsid w:val="08CE4DB5"/>
    <w:rsid w:val="08CE4DB9"/>
    <w:rsid w:val="08CE4DE3"/>
    <w:rsid w:val="08CE4E06"/>
    <w:rsid w:val="08CE4E6C"/>
    <w:rsid w:val="08CE4F53"/>
    <w:rsid w:val="08CE5174"/>
    <w:rsid w:val="08CE52B2"/>
    <w:rsid w:val="08CE52E4"/>
    <w:rsid w:val="08CE543F"/>
    <w:rsid w:val="08CE5524"/>
    <w:rsid w:val="08CE5627"/>
    <w:rsid w:val="08CE5689"/>
    <w:rsid w:val="08CE56B8"/>
    <w:rsid w:val="08CE5757"/>
    <w:rsid w:val="08CE57C3"/>
    <w:rsid w:val="08CE57FE"/>
    <w:rsid w:val="08CE57FF"/>
    <w:rsid w:val="08CE58C9"/>
    <w:rsid w:val="08CE5912"/>
    <w:rsid w:val="08CE5971"/>
    <w:rsid w:val="08CE59FA"/>
    <w:rsid w:val="08CE5A19"/>
    <w:rsid w:val="08CE5A4E"/>
    <w:rsid w:val="08CE5A60"/>
    <w:rsid w:val="08CE5A99"/>
    <w:rsid w:val="08CE5AAD"/>
    <w:rsid w:val="08CE5ACC"/>
    <w:rsid w:val="08CE5BF4"/>
    <w:rsid w:val="08CE5C3A"/>
    <w:rsid w:val="08CE5CD7"/>
    <w:rsid w:val="08CE5CD9"/>
    <w:rsid w:val="08CE5E1E"/>
    <w:rsid w:val="08CE5E70"/>
    <w:rsid w:val="08CE5E83"/>
    <w:rsid w:val="08CE5E85"/>
    <w:rsid w:val="08CE5F54"/>
    <w:rsid w:val="08CE5F99"/>
    <w:rsid w:val="08CE600A"/>
    <w:rsid w:val="08CE6132"/>
    <w:rsid w:val="08CE6177"/>
    <w:rsid w:val="08CE61AA"/>
    <w:rsid w:val="08CE6260"/>
    <w:rsid w:val="08CE62D2"/>
    <w:rsid w:val="08CE638C"/>
    <w:rsid w:val="08CE6395"/>
    <w:rsid w:val="08CE63C5"/>
    <w:rsid w:val="08CE63CF"/>
    <w:rsid w:val="08CE642B"/>
    <w:rsid w:val="08CE6438"/>
    <w:rsid w:val="08CE64ED"/>
    <w:rsid w:val="08CE6516"/>
    <w:rsid w:val="08CE65B9"/>
    <w:rsid w:val="08CE665F"/>
    <w:rsid w:val="08CE66EA"/>
    <w:rsid w:val="08CE6758"/>
    <w:rsid w:val="08CE6772"/>
    <w:rsid w:val="08CE680F"/>
    <w:rsid w:val="08CE6AA5"/>
    <w:rsid w:val="08CE6D15"/>
    <w:rsid w:val="08CE6D18"/>
    <w:rsid w:val="08CE6E03"/>
    <w:rsid w:val="08CE6E79"/>
    <w:rsid w:val="08CE6EC5"/>
    <w:rsid w:val="08CE6F1C"/>
    <w:rsid w:val="08CE6F5C"/>
    <w:rsid w:val="08CE6F67"/>
    <w:rsid w:val="08CE7057"/>
    <w:rsid w:val="08CE7121"/>
    <w:rsid w:val="08CE71BF"/>
    <w:rsid w:val="08CE71D7"/>
    <w:rsid w:val="08CE71E8"/>
    <w:rsid w:val="08CE721C"/>
    <w:rsid w:val="08CE72F0"/>
    <w:rsid w:val="08CE7318"/>
    <w:rsid w:val="08CE7346"/>
    <w:rsid w:val="08CE74A6"/>
    <w:rsid w:val="08CE7566"/>
    <w:rsid w:val="08CE765B"/>
    <w:rsid w:val="08CE7674"/>
    <w:rsid w:val="08CE76C6"/>
    <w:rsid w:val="08CE76DB"/>
    <w:rsid w:val="08CE76ED"/>
    <w:rsid w:val="08CE77C5"/>
    <w:rsid w:val="08CE789F"/>
    <w:rsid w:val="08CE78D3"/>
    <w:rsid w:val="08CE790E"/>
    <w:rsid w:val="08CE792A"/>
    <w:rsid w:val="08CE794C"/>
    <w:rsid w:val="08CE79C9"/>
    <w:rsid w:val="08CE7A8B"/>
    <w:rsid w:val="08CE7A9D"/>
    <w:rsid w:val="08CE7AC7"/>
    <w:rsid w:val="08CE7B13"/>
    <w:rsid w:val="08CE7B9B"/>
    <w:rsid w:val="08CE7C20"/>
    <w:rsid w:val="08CE7CAD"/>
    <w:rsid w:val="08CE7CC1"/>
    <w:rsid w:val="08CE7D71"/>
    <w:rsid w:val="08CE7D97"/>
    <w:rsid w:val="08CE7DA3"/>
    <w:rsid w:val="08CE7DC7"/>
    <w:rsid w:val="08CE7E71"/>
    <w:rsid w:val="08CE7FEA"/>
    <w:rsid w:val="08CF0057"/>
    <w:rsid w:val="08CF00EC"/>
    <w:rsid w:val="08CF0171"/>
    <w:rsid w:val="08CF0177"/>
    <w:rsid w:val="08CF033B"/>
    <w:rsid w:val="08CF0407"/>
    <w:rsid w:val="08CF042A"/>
    <w:rsid w:val="08CF0505"/>
    <w:rsid w:val="08CF056D"/>
    <w:rsid w:val="08CF0589"/>
    <w:rsid w:val="08CF0596"/>
    <w:rsid w:val="08CF05A7"/>
    <w:rsid w:val="08CF06DB"/>
    <w:rsid w:val="08CF070E"/>
    <w:rsid w:val="08CF071D"/>
    <w:rsid w:val="08CF078B"/>
    <w:rsid w:val="08CF07FF"/>
    <w:rsid w:val="08CF0822"/>
    <w:rsid w:val="08CF0961"/>
    <w:rsid w:val="08CF096B"/>
    <w:rsid w:val="08CF096E"/>
    <w:rsid w:val="08CF0AA8"/>
    <w:rsid w:val="08CF0AD4"/>
    <w:rsid w:val="08CF0AEE"/>
    <w:rsid w:val="08CF0BA0"/>
    <w:rsid w:val="08CF0BF2"/>
    <w:rsid w:val="08CF0CB4"/>
    <w:rsid w:val="08CF0CF5"/>
    <w:rsid w:val="08CF0D1A"/>
    <w:rsid w:val="08CF0EEA"/>
    <w:rsid w:val="08CF0EFE"/>
    <w:rsid w:val="08CF0F2A"/>
    <w:rsid w:val="08CF0F7D"/>
    <w:rsid w:val="08CF100B"/>
    <w:rsid w:val="08CF1034"/>
    <w:rsid w:val="08CF117B"/>
    <w:rsid w:val="08CF118B"/>
    <w:rsid w:val="08CF11AC"/>
    <w:rsid w:val="08CF1253"/>
    <w:rsid w:val="08CF1255"/>
    <w:rsid w:val="08CF1293"/>
    <w:rsid w:val="08CF129F"/>
    <w:rsid w:val="08CF1371"/>
    <w:rsid w:val="08CF13DE"/>
    <w:rsid w:val="08CF1412"/>
    <w:rsid w:val="08CF1431"/>
    <w:rsid w:val="08CF1602"/>
    <w:rsid w:val="08CF16BF"/>
    <w:rsid w:val="08CF16D0"/>
    <w:rsid w:val="08CF16F5"/>
    <w:rsid w:val="08CF176C"/>
    <w:rsid w:val="08CF17E9"/>
    <w:rsid w:val="08CF1835"/>
    <w:rsid w:val="08CF1847"/>
    <w:rsid w:val="08CF1880"/>
    <w:rsid w:val="08CF190D"/>
    <w:rsid w:val="08CF194F"/>
    <w:rsid w:val="08CF1B5A"/>
    <w:rsid w:val="08CF1C47"/>
    <w:rsid w:val="08CF1C4F"/>
    <w:rsid w:val="08CF1C58"/>
    <w:rsid w:val="08CF1C5C"/>
    <w:rsid w:val="08CF1C5D"/>
    <w:rsid w:val="08CF1C7B"/>
    <w:rsid w:val="08CF1C80"/>
    <w:rsid w:val="08CF1CB0"/>
    <w:rsid w:val="08CF1E63"/>
    <w:rsid w:val="08CF2010"/>
    <w:rsid w:val="08CF205F"/>
    <w:rsid w:val="08CF2066"/>
    <w:rsid w:val="08CF2084"/>
    <w:rsid w:val="08CF2144"/>
    <w:rsid w:val="08CF2151"/>
    <w:rsid w:val="08CF215B"/>
    <w:rsid w:val="08CF218B"/>
    <w:rsid w:val="08CF21FE"/>
    <w:rsid w:val="08CF22D4"/>
    <w:rsid w:val="08CF2342"/>
    <w:rsid w:val="08CF23DE"/>
    <w:rsid w:val="08CF243D"/>
    <w:rsid w:val="08CF24D4"/>
    <w:rsid w:val="08CF250C"/>
    <w:rsid w:val="08CF252B"/>
    <w:rsid w:val="08CF258C"/>
    <w:rsid w:val="08CF2653"/>
    <w:rsid w:val="08CF268F"/>
    <w:rsid w:val="08CF26F2"/>
    <w:rsid w:val="08CF2737"/>
    <w:rsid w:val="08CF283A"/>
    <w:rsid w:val="08CF2A62"/>
    <w:rsid w:val="08CF2B16"/>
    <w:rsid w:val="08CF2B81"/>
    <w:rsid w:val="08CF2C42"/>
    <w:rsid w:val="08CF2C77"/>
    <w:rsid w:val="08CF2CE1"/>
    <w:rsid w:val="08CF2D50"/>
    <w:rsid w:val="08CF2D51"/>
    <w:rsid w:val="08CF2E49"/>
    <w:rsid w:val="08CF2EAB"/>
    <w:rsid w:val="08CF2ED7"/>
    <w:rsid w:val="08CF2EFE"/>
    <w:rsid w:val="08CF2F4D"/>
    <w:rsid w:val="08CF2F9E"/>
    <w:rsid w:val="08CF2FA4"/>
    <w:rsid w:val="08CF300D"/>
    <w:rsid w:val="08CF30C0"/>
    <w:rsid w:val="08CF3163"/>
    <w:rsid w:val="08CF316B"/>
    <w:rsid w:val="08CF3194"/>
    <w:rsid w:val="08CF319B"/>
    <w:rsid w:val="08CF31E7"/>
    <w:rsid w:val="08CF31FD"/>
    <w:rsid w:val="08CF320B"/>
    <w:rsid w:val="08CF3229"/>
    <w:rsid w:val="08CF32A9"/>
    <w:rsid w:val="08CF32B9"/>
    <w:rsid w:val="08CF32D2"/>
    <w:rsid w:val="08CF3374"/>
    <w:rsid w:val="08CF3486"/>
    <w:rsid w:val="08CF3496"/>
    <w:rsid w:val="08CF35E0"/>
    <w:rsid w:val="08CF3666"/>
    <w:rsid w:val="08CF37B4"/>
    <w:rsid w:val="08CF3961"/>
    <w:rsid w:val="08CF3978"/>
    <w:rsid w:val="08CF3984"/>
    <w:rsid w:val="08CF3ABB"/>
    <w:rsid w:val="08CF3BC3"/>
    <w:rsid w:val="08CF3BEA"/>
    <w:rsid w:val="08CF3C69"/>
    <w:rsid w:val="08CF3C73"/>
    <w:rsid w:val="08CF3D43"/>
    <w:rsid w:val="08CF3D4D"/>
    <w:rsid w:val="08CF3DE2"/>
    <w:rsid w:val="08CF3FA0"/>
    <w:rsid w:val="08CF4000"/>
    <w:rsid w:val="08CF400A"/>
    <w:rsid w:val="08CF4103"/>
    <w:rsid w:val="08CF41DA"/>
    <w:rsid w:val="08CF4214"/>
    <w:rsid w:val="08CF42A9"/>
    <w:rsid w:val="08CF42AD"/>
    <w:rsid w:val="08CF42B4"/>
    <w:rsid w:val="08CF431C"/>
    <w:rsid w:val="08CF4370"/>
    <w:rsid w:val="08CF438C"/>
    <w:rsid w:val="08CF4483"/>
    <w:rsid w:val="08CF449E"/>
    <w:rsid w:val="08CF44EA"/>
    <w:rsid w:val="08CF4696"/>
    <w:rsid w:val="08CF46B4"/>
    <w:rsid w:val="08CF46C0"/>
    <w:rsid w:val="08CF46F0"/>
    <w:rsid w:val="08CF4712"/>
    <w:rsid w:val="08CF4761"/>
    <w:rsid w:val="08CF4791"/>
    <w:rsid w:val="08CF48C3"/>
    <w:rsid w:val="08CF490A"/>
    <w:rsid w:val="08CF490C"/>
    <w:rsid w:val="08CF49A3"/>
    <w:rsid w:val="08CF49CB"/>
    <w:rsid w:val="08CF4A0D"/>
    <w:rsid w:val="08CF4A70"/>
    <w:rsid w:val="08CF4A9B"/>
    <w:rsid w:val="08CF4B4A"/>
    <w:rsid w:val="08CF4C4F"/>
    <w:rsid w:val="08CF4CE0"/>
    <w:rsid w:val="08CF4D35"/>
    <w:rsid w:val="08CF4D66"/>
    <w:rsid w:val="08CF4E2B"/>
    <w:rsid w:val="08CF4E7F"/>
    <w:rsid w:val="08CF4F31"/>
    <w:rsid w:val="08CF4F60"/>
    <w:rsid w:val="08CF5014"/>
    <w:rsid w:val="08CF5050"/>
    <w:rsid w:val="08CF5059"/>
    <w:rsid w:val="08CF5085"/>
    <w:rsid w:val="08CF5096"/>
    <w:rsid w:val="08CF50C2"/>
    <w:rsid w:val="08CF50C9"/>
    <w:rsid w:val="08CF50D5"/>
    <w:rsid w:val="08CF5117"/>
    <w:rsid w:val="08CF5140"/>
    <w:rsid w:val="08CF514C"/>
    <w:rsid w:val="08CF514F"/>
    <w:rsid w:val="08CF5255"/>
    <w:rsid w:val="08CF52E2"/>
    <w:rsid w:val="08CF5353"/>
    <w:rsid w:val="08CF5508"/>
    <w:rsid w:val="08CF554A"/>
    <w:rsid w:val="08CF567C"/>
    <w:rsid w:val="08CF5684"/>
    <w:rsid w:val="08CF583C"/>
    <w:rsid w:val="08CF589B"/>
    <w:rsid w:val="08CF5946"/>
    <w:rsid w:val="08CF599F"/>
    <w:rsid w:val="08CF59A6"/>
    <w:rsid w:val="08CF59AF"/>
    <w:rsid w:val="08CF59C1"/>
    <w:rsid w:val="08CF5A35"/>
    <w:rsid w:val="08CF5ACB"/>
    <w:rsid w:val="08CF5B19"/>
    <w:rsid w:val="08CF5BFD"/>
    <w:rsid w:val="08CF5C11"/>
    <w:rsid w:val="08CF5C1C"/>
    <w:rsid w:val="08CF5D98"/>
    <w:rsid w:val="08CF5E35"/>
    <w:rsid w:val="08CF5E40"/>
    <w:rsid w:val="08CF5E4E"/>
    <w:rsid w:val="08CF5E7D"/>
    <w:rsid w:val="08CF5E85"/>
    <w:rsid w:val="08CF5F3E"/>
    <w:rsid w:val="08CF5F46"/>
    <w:rsid w:val="08CF6018"/>
    <w:rsid w:val="08CF6168"/>
    <w:rsid w:val="08CF625D"/>
    <w:rsid w:val="08CF62C6"/>
    <w:rsid w:val="08CF62CB"/>
    <w:rsid w:val="08CF62D7"/>
    <w:rsid w:val="08CF6359"/>
    <w:rsid w:val="08CF637C"/>
    <w:rsid w:val="08CF644E"/>
    <w:rsid w:val="08CF6472"/>
    <w:rsid w:val="08CF6499"/>
    <w:rsid w:val="08CF656E"/>
    <w:rsid w:val="08CF65BF"/>
    <w:rsid w:val="08CF66CD"/>
    <w:rsid w:val="08CF66E4"/>
    <w:rsid w:val="08CF6714"/>
    <w:rsid w:val="08CF679E"/>
    <w:rsid w:val="08CF689B"/>
    <w:rsid w:val="08CF68DC"/>
    <w:rsid w:val="08CF6941"/>
    <w:rsid w:val="08CF6A7E"/>
    <w:rsid w:val="08CF6A82"/>
    <w:rsid w:val="08CF6AA4"/>
    <w:rsid w:val="08CF6B49"/>
    <w:rsid w:val="08CF6B50"/>
    <w:rsid w:val="08CF6B56"/>
    <w:rsid w:val="08CF6B9A"/>
    <w:rsid w:val="08CF6B9F"/>
    <w:rsid w:val="08CF6C3C"/>
    <w:rsid w:val="08CF6D2F"/>
    <w:rsid w:val="08CF6D3F"/>
    <w:rsid w:val="08CF6D84"/>
    <w:rsid w:val="08CF6DE7"/>
    <w:rsid w:val="08CF6E33"/>
    <w:rsid w:val="08CF6E7E"/>
    <w:rsid w:val="08CF6F21"/>
    <w:rsid w:val="08CF6FBD"/>
    <w:rsid w:val="08CF705E"/>
    <w:rsid w:val="08CF7122"/>
    <w:rsid w:val="08CF71A2"/>
    <w:rsid w:val="08CF7242"/>
    <w:rsid w:val="08CF7294"/>
    <w:rsid w:val="08CF72BB"/>
    <w:rsid w:val="08CF7355"/>
    <w:rsid w:val="08CF73CD"/>
    <w:rsid w:val="08CF73ED"/>
    <w:rsid w:val="08CF7467"/>
    <w:rsid w:val="08CF74D3"/>
    <w:rsid w:val="08CF7503"/>
    <w:rsid w:val="08CF752A"/>
    <w:rsid w:val="08CF7558"/>
    <w:rsid w:val="08CF75A9"/>
    <w:rsid w:val="08CF75AA"/>
    <w:rsid w:val="08CF7620"/>
    <w:rsid w:val="08CF76A6"/>
    <w:rsid w:val="08CF7758"/>
    <w:rsid w:val="08CF779F"/>
    <w:rsid w:val="08CF77CB"/>
    <w:rsid w:val="08CF77EC"/>
    <w:rsid w:val="08CF7929"/>
    <w:rsid w:val="08CF79A5"/>
    <w:rsid w:val="08CF7AFB"/>
    <w:rsid w:val="08CF7B72"/>
    <w:rsid w:val="08CF7C16"/>
    <w:rsid w:val="08CF7C3E"/>
    <w:rsid w:val="08CF7C40"/>
    <w:rsid w:val="08CF7D38"/>
    <w:rsid w:val="08CF7D95"/>
    <w:rsid w:val="08CF7D97"/>
    <w:rsid w:val="08CF7E19"/>
    <w:rsid w:val="08CF7E3E"/>
    <w:rsid w:val="08CF7E4B"/>
    <w:rsid w:val="08CF7FC5"/>
    <w:rsid w:val="08D000A8"/>
    <w:rsid w:val="08D00115"/>
    <w:rsid w:val="08D001BA"/>
    <w:rsid w:val="08D001F5"/>
    <w:rsid w:val="08D002CA"/>
    <w:rsid w:val="08D002E0"/>
    <w:rsid w:val="08D0030B"/>
    <w:rsid w:val="08D00323"/>
    <w:rsid w:val="08D00420"/>
    <w:rsid w:val="08D00439"/>
    <w:rsid w:val="08D00448"/>
    <w:rsid w:val="08D004CD"/>
    <w:rsid w:val="08D004ED"/>
    <w:rsid w:val="08D005B6"/>
    <w:rsid w:val="08D00646"/>
    <w:rsid w:val="08D006BF"/>
    <w:rsid w:val="08D00721"/>
    <w:rsid w:val="08D0074A"/>
    <w:rsid w:val="08D007A3"/>
    <w:rsid w:val="08D007D6"/>
    <w:rsid w:val="08D0083C"/>
    <w:rsid w:val="08D008A6"/>
    <w:rsid w:val="08D008CB"/>
    <w:rsid w:val="08D008D1"/>
    <w:rsid w:val="08D00904"/>
    <w:rsid w:val="08D009EF"/>
    <w:rsid w:val="08D009F6"/>
    <w:rsid w:val="08D00A59"/>
    <w:rsid w:val="08D00B52"/>
    <w:rsid w:val="08D00BD2"/>
    <w:rsid w:val="08D00BE4"/>
    <w:rsid w:val="08D00BF1"/>
    <w:rsid w:val="08D00C22"/>
    <w:rsid w:val="08D00D41"/>
    <w:rsid w:val="08D00E54"/>
    <w:rsid w:val="08D00F19"/>
    <w:rsid w:val="08D00FC2"/>
    <w:rsid w:val="08D01066"/>
    <w:rsid w:val="08D01084"/>
    <w:rsid w:val="08D01099"/>
    <w:rsid w:val="08D011E5"/>
    <w:rsid w:val="08D01237"/>
    <w:rsid w:val="08D012D6"/>
    <w:rsid w:val="08D0135E"/>
    <w:rsid w:val="08D0140A"/>
    <w:rsid w:val="08D0155B"/>
    <w:rsid w:val="08D01577"/>
    <w:rsid w:val="08D01660"/>
    <w:rsid w:val="08D01712"/>
    <w:rsid w:val="08D01781"/>
    <w:rsid w:val="08D018C5"/>
    <w:rsid w:val="08D01930"/>
    <w:rsid w:val="08D01985"/>
    <w:rsid w:val="08D019F0"/>
    <w:rsid w:val="08D01A42"/>
    <w:rsid w:val="08D01A89"/>
    <w:rsid w:val="08D01B42"/>
    <w:rsid w:val="08D01B5B"/>
    <w:rsid w:val="08D01C5E"/>
    <w:rsid w:val="08D01C7E"/>
    <w:rsid w:val="08D01CCF"/>
    <w:rsid w:val="08D01FD7"/>
    <w:rsid w:val="08D02052"/>
    <w:rsid w:val="08D0215A"/>
    <w:rsid w:val="08D02179"/>
    <w:rsid w:val="08D02245"/>
    <w:rsid w:val="08D0230A"/>
    <w:rsid w:val="08D023A3"/>
    <w:rsid w:val="08D023E3"/>
    <w:rsid w:val="08D0240F"/>
    <w:rsid w:val="08D024D0"/>
    <w:rsid w:val="08D025A6"/>
    <w:rsid w:val="08D025D5"/>
    <w:rsid w:val="08D02603"/>
    <w:rsid w:val="08D0263F"/>
    <w:rsid w:val="08D02668"/>
    <w:rsid w:val="08D02676"/>
    <w:rsid w:val="08D02682"/>
    <w:rsid w:val="08D026AA"/>
    <w:rsid w:val="08D026F3"/>
    <w:rsid w:val="08D027E1"/>
    <w:rsid w:val="08D029D5"/>
    <w:rsid w:val="08D02B2C"/>
    <w:rsid w:val="08D02B7B"/>
    <w:rsid w:val="08D02B8E"/>
    <w:rsid w:val="08D02B99"/>
    <w:rsid w:val="08D02BD7"/>
    <w:rsid w:val="08D02C4C"/>
    <w:rsid w:val="08D02C81"/>
    <w:rsid w:val="08D02CC0"/>
    <w:rsid w:val="08D02DB1"/>
    <w:rsid w:val="08D02DFA"/>
    <w:rsid w:val="08D02E93"/>
    <w:rsid w:val="08D02ED6"/>
    <w:rsid w:val="08D02EF0"/>
    <w:rsid w:val="08D02F49"/>
    <w:rsid w:val="08D02FDB"/>
    <w:rsid w:val="08D02FED"/>
    <w:rsid w:val="08D030C4"/>
    <w:rsid w:val="08D030D1"/>
    <w:rsid w:val="08D0310A"/>
    <w:rsid w:val="08D0313E"/>
    <w:rsid w:val="08D03172"/>
    <w:rsid w:val="08D031DB"/>
    <w:rsid w:val="08D0321F"/>
    <w:rsid w:val="08D03241"/>
    <w:rsid w:val="08D03259"/>
    <w:rsid w:val="08D03465"/>
    <w:rsid w:val="08D03475"/>
    <w:rsid w:val="08D03565"/>
    <w:rsid w:val="08D035D9"/>
    <w:rsid w:val="08D035FB"/>
    <w:rsid w:val="08D03719"/>
    <w:rsid w:val="08D03798"/>
    <w:rsid w:val="08D037C5"/>
    <w:rsid w:val="08D03881"/>
    <w:rsid w:val="08D03895"/>
    <w:rsid w:val="08D0389F"/>
    <w:rsid w:val="08D038AC"/>
    <w:rsid w:val="08D039C8"/>
    <w:rsid w:val="08D039F5"/>
    <w:rsid w:val="08D03A28"/>
    <w:rsid w:val="08D03AAE"/>
    <w:rsid w:val="08D03B22"/>
    <w:rsid w:val="08D03B97"/>
    <w:rsid w:val="08D03CCD"/>
    <w:rsid w:val="08D03D69"/>
    <w:rsid w:val="08D03D74"/>
    <w:rsid w:val="08D03DF9"/>
    <w:rsid w:val="08D03E50"/>
    <w:rsid w:val="08D03E5F"/>
    <w:rsid w:val="08D03EA9"/>
    <w:rsid w:val="08D03EDF"/>
    <w:rsid w:val="08D03F37"/>
    <w:rsid w:val="08D03F45"/>
    <w:rsid w:val="08D04023"/>
    <w:rsid w:val="08D04042"/>
    <w:rsid w:val="08D040A1"/>
    <w:rsid w:val="08D04174"/>
    <w:rsid w:val="08D04307"/>
    <w:rsid w:val="08D0443E"/>
    <w:rsid w:val="08D044C4"/>
    <w:rsid w:val="08D04525"/>
    <w:rsid w:val="08D0458D"/>
    <w:rsid w:val="08D046A7"/>
    <w:rsid w:val="08D0481F"/>
    <w:rsid w:val="08D04963"/>
    <w:rsid w:val="08D04A0C"/>
    <w:rsid w:val="08D04A43"/>
    <w:rsid w:val="08D04A75"/>
    <w:rsid w:val="08D04C5F"/>
    <w:rsid w:val="08D04CA0"/>
    <w:rsid w:val="08D04CF6"/>
    <w:rsid w:val="08D04CF8"/>
    <w:rsid w:val="08D04DD5"/>
    <w:rsid w:val="08D04DDC"/>
    <w:rsid w:val="08D04EA1"/>
    <w:rsid w:val="08D04EF9"/>
    <w:rsid w:val="08D04FFC"/>
    <w:rsid w:val="08D05023"/>
    <w:rsid w:val="08D0512E"/>
    <w:rsid w:val="08D05193"/>
    <w:rsid w:val="08D052F8"/>
    <w:rsid w:val="08D052FB"/>
    <w:rsid w:val="08D05354"/>
    <w:rsid w:val="08D05391"/>
    <w:rsid w:val="08D053A3"/>
    <w:rsid w:val="08D053AE"/>
    <w:rsid w:val="08D0541C"/>
    <w:rsid w:val="08D05475"/>
    <w:rsid w:val="08D0548E"/>
    <w:rsid w:val="08D054C5"/>
    <w:rsid w:val="08D055CF"/>
    <w:rsid w:val="08D055DF"/>
    <w:rsid w:val="08D0561A"/>
    <w:rsid w:val="08D05704"/>
    <w:rsid w:val="08D05729"/>
    <w:rsid w:val="08D057DB"/>
    <w:rsid w:val="08D058F1"/>
    <w:rsid w:val="08D05A2E"/>
    <w:rsid w:val="08D05A75"/>
    <w:rsid w:val="08D05B17"/>
    <w:rsid w:val="08D05B36"/>
    <w:rsid w:val="08D05BF3"/>
    <w:rsid w:val="08D05C21"/>
    <w:rsid w:val="08D05C34"/>
    <w:rsid w:val="08D05C5A"/>
    <w:rsid w:val="08D05C87"/>
    <w:rsid w:val="08D05CB6"/>
    <w:rsid w:val="08D05DAA"/>
    <w:rsid w:val="08D05DC4"/>
    <w:rsid w:val="08D05E68"/>
    <w:rsid w:val="08D05EC7"/>
    <w:rsid w:val="08D05F17"/>
    <w:rsid w:val="08D05F73"/>
    <w:rsid w:val="08D06084"/>
    <w:rsid w:val="08D060CF"/>
    <w:rsid w:val="08D06124"/>
    <w:rsid w:val="08D06146"/>
    <w:rsid w:val="08D06186"/>
    <w:rsid w:val="08D0619F"/>
    <w:rsid w:val="08D0621B"/>
    <w:rsid w:val="08D0621E"/>
    <w:rsid w:val="08D06222"/>
    <w:rsid w:val="08D06279"/>
    <w:rsid w:val="08D062DC"/>
    <w:rsid w:val="08D06376"/>
    <w:rsid w:val="08D06438"/>
    <w:rsid w:val="08D06446"/>
    <w:rsid w:val="08D06597"/>
    <w:rsid w:val="08D0660A"/>
    <w:rsid w:val="08D06680"/>
    <w:rsid w:val="08D066E0"/>
    <w:rsid w:val="08D06711"/>
    <w:rsid w:val="08D0678F"/>
    <w:rsid w:val="08D068A0"/>
    <w:rsid w:val="08D068E3"/>
    <w:rsid w:val="08D068EF"/>
    <w:rsid w:val="08D0692B"/>
    <w:rsid w:val="08D06939"/>
    <w:rsid w:val="08D06947"/>
    <w:rsid w:val="08D0699D"/>
    <w:rsid w:val="08D06BCF"/>
    <w:rsid w:val="08D06BD8"/>
    <w:rsid w:val="08D06C55"/>
    <w:rsid w:val="08D06C69"/>
    <w:rsid w:val="08D06CEC"/>
    <w:rsid w:val="08D06DCC"/>
    <w:rsid w:val="08D06E77"/>
    <w:rsid w:val="08D06ECE"/>
    <w:rsid w:val="08D06ED4"/>
    <w:rsid w:val="08D06F17"/>
    <w:rsid w:val="08D06F29"/>
    <w:rsid w:val="08D06F69"/>
    <w:rsid w:val="08D06FBB"/>
    <w:rsid w:val="08D07000"/>
    <w:rsid w:val="08D070AD"/>
    <w:rsid w:val="08D070BB"/>
    <w:rsid w:val="08D070C0"/>
    <w:rsid w:val="08D0729E"/>
    <w:rsid w:val="08D0736E"/>
    <w:rsid w:val="08D0738B"/>
    <w:rsid w:val="08D0745F"/>
    <w:rsid w:val="08D0747E"/>
    <w:rsid w:val="08D07639"/>
    <w:rsid w:val="08D076B3"/>
    <w:rsid w:val="08D076FA"/>
    <w:rsid w:val="08D0782E"/>
    <w:rsid w:val="08D078C6"/>
    <w:rsid w:val="08D07939"/>
    <w:rsid w:val="08D07A49"/>
    <w:rsid w:val="08D07AAF"/>
    <w:rsid w:val="08D07ADD"/>
    <w:rsid w:val="08D07B05"/>
    <w:rsid w:val="08D07B1D"/>
    <w:rsid w:val="08D07B41"/>
    <w:rsid w:val="08D07BE0"/>
    <w:rsid w:val="08D07BF1"/>
    <w:rsid w:val="08D07C01"/>
    <w:rsid w:val="08D07C5B"/>
    <w:rsid w:val="08D07C6D"/>
    <w:rsid w:val="08D07C9D"/>
    <w:rsid w:val="08D07CCC"/>
    <w:rsid w:val="08D07D04"/>
    <w:rsid w:val="08D07D1F"/>
    <w:rsid w:val="08D07D35"/>
    <w:rsid w:val="08D07DA7"/>
    <w:rsid w:val="08D07DF5"/>
    <w:rsid w:val="08D07E29"/>
    <w:rsid w:val="08D07E5F"/>
    <w:rsid w:val="08D07ED9"/>
    <w:rsid w:val="08D07F1B"/>
    <w:rsid w:val="08D07FF3"/>
    <w:rsid w:val="08D10045"/>
    <w:rsid w:val="08D1010E"/>
    <w:rsid w:val="08D101F5"/>
    <w:rsid w:val="08D10245"/>
    <w:rsid w:val="08D1031F"/>
    <w:rsid w:val="08D10387"/>
    <w:rsid w:val="08D103E8"/>
    <w:rsid w:val="08D10451"/>
    <w:rsid w:val="08D10460"/>
    <w:rsid w:val="08D10484"/>
    <w:rsid w:val="08D1048E"/>
    <w:rsid w:val="08D104F6"/>
    <w:rsid w:val="08D10591"/>
    <w:rsid w:val="08D105AE"/>
    <w:rsid w:val="08D105E0"/>
    <w:rsid w:val="08D10617"/>
    <w:rsid w:val="08D10691"/>
    <w:rsid w:val="08D106F8"/>
    <w:rsid w:val="08D1080D"/>
    <w:rsid w:val="08D1083C"/>
    <w:rsid w:val="08D10841"/>
    <w:rsid w:val="08D10907"/>
    <w:rsid w:val="08D1091B"/>
    <w:rsid w:val="08D10B2F"/>
    <w:rsid w:val="08D10B90"/>
    <w:rsid w:val="08D10D71"/>
    <w:rsid w:val="08D10E70"/>
    <w:rsid w:val="08D10ECD"/>
    <w:rsid w:val="08D10EDD"/>
    <w:rsid w:val="08D10F89"/>
    <w:rsid w:val="08D10FC4"/>
    <w:rsid w:val="08D11038"/>
    <w:rsid w:val="08D1103F"/>
    <w:rsid w:val="08D111CE"/>
    <w:rsid w:val="08D11214"/>
    <w:rsid w:val="08D1124B"/>
    <w:rsid w:val="08D112AD"/>
    <w:rsid w:val="08D11307"/>
    <w:rsid w:val="08D11320"/>
    <w:rsid w:val="08D113C8"/>
    <w:rsid w:val="08D11408"/>
    <w:rsid w:val="08D1144F"/>
    <w:rsid w:val="08D11459"/>
    <w:rsid w:val="08D114FC"/>
    <w:rsid w:val="08D115E8"/>
    <w:rsid w:val="08D11659"/>
    <w:rsid w:val="08D116D3"/>
    <w:rsid w:val="08D11771"/>
    <w:rsid w:val="08D1177F"/>
    <w:rsid w:val="08D117CE"/>
    <w:rsid w:val="08D117DD"/>
    <w:rsid w:val="08D1181D"/>
    <w:rsid w:val="08D1185C"/>
    <w:rsid w:val="08D119BD"/>
    <w:rsid w:val="08D11A97"/>
    <w:rsid w:val="08D11AE2"/>
    <w:rsid w:val="08D11B7D"/>
    <w:rsid w:val="08D11BD5"/>
    <w:rsid w:val="08D11BD8"/>
    <w:rsid w:val="08D11C51"/>
    <w:rsid w:val="08D11D5F"/>
    <w:rsid w:val="08D11D96"/>
    <w:rsid w:val="08D11F28"/>
    <w:rsid w:val="08D12028"/>
    <w:rsid w:val="08D12049"/>
    <w:rsid w:val="08D1210B"/>
    <w:rsid w:val="08D1213C"/>
    <w:rsid w:val="08D12263"/>
    <w:rsid w:val="08D12277"/>
    <w:rsid w:val="08D12313"/>
    <w:rsid w:val="08D12397"/>
    <w:rsid w:val="08D123B0"/>
    <w:rsid w:val="08D123E3"/>
    <w:rsid w:val="08D12454"/>
    <w:rsid w:val="08D12477"/>
    <w:rsid w:val="08D124F9"/>
    <w:rsid w:val="08D12528"/>
    <w:rsid w:val="08D12531"/>
    <w:rsid w:val="08D125AF"/>
    <w:rsid w:val="08D125B9"/>
    <w:rsid w:val="08D125C9"/>
    <w:rsid w:val="08D125F8"/>
    <w:rsid w:val="08D12634"/>
    <w:rsid w:val="08D126AD"/>
    <w:rsid w:val="08D127E4"/>
    <w:rsid w:val="08D127FD"/>
    <w:rsid w:val="08D12969"/>
    <w:rsid w:val="08D12AA0"/>
    <w:rsid w:val="08D12AE3"/>
    <w:rsid w:val="08D12B3E"/>
    <w:rsid w:val="08D12B69"/>
    <w:rsid w:val="08D12C0B"/>
    <w:rsid w:val="08D12C4D"/>
    <w:rsid w:val="08D12D35"/>
    <w:rsid w:val="08D12D79"/>
    <w:rsid w:val="08D12D90"/>
    <w:rsid w:val="08D12D9C"/>
    <w:rsid w:val="08D12EE4"/>
    <w:rsid w:val="08D12F01"/>
    <w:rsid w:val="08D12F18"/>
    <w:rsid w:val="08D12FDA"/>
    <w:rsid w:val="08D1302B"/>
    <w:rsid w:val="08D13041"/>
    <w:rsid w:val="08D13164"/>
    <w:rsid w:val="08D13182"/>
    <w:rsid w:val="08D131FF"/>
    <w:rsid w:val="08D13253"/>
    <w:rsid w:val="08D1326C"/>
    <w:rsid w:val="08D13308"/>
    <w:rsid w:val="08D133F5"/>
    <w:rsid w:val="08D13470"/>
    <w:rsid w:val="08D13725"/>
    <w:rsid w:val="08D1373F"/>
    <w:rsid w:val="08D1381B"/>
    <w:rsid w:val="08D13964"/>
    <w:rsid w:val="08D1397E"/>
    <w:rsid w:val="08D13A1F"/>
    <w:rsid w:val="08D13AB9"/>
    <w:rsid w:val="08D13B44"/>
    <w:rsid w:val="08D13B4D"/>
    <w:rsid w:val="08D13B7E"/>
    <w:rsid w:val="08D13BBD"/>
    <w:rsid w:val="08D13BE4"/>
    <w:rsid w:val="08D13C51"/>
    <w:rsid w:val="08D13CFE"/>
    <w:rsid w:val="08D13D14"/>
    <w:rsid w:val="08D13D75"/>
    <w:rsid w:val="08D13E06"/>
    <w:rsid w:val="08D13EC4"/>
    <w:rsid w:val="08D13F4E"/>
    <w:rsid w:val="08D1400B"/>
    <w:rsid w:val="08D1400E"/>
    <w:rsid w:val="08D14187"/>
    <w:rsid w:val="08D142B9"/>
    <w:rsid w:val="08D14318"/>
    <w:rsid w:val="08D1432B"/>
    <w:rsid w:val="08D143A0"/>
    <w:rsid w:val="08D143B4"/>
    <w:rsid w:val="08D143FF"/>
    <w:rsid w:val="08D144B8"/>
    <w:rsid w:val="08D14510"/>
    <w:rsid w:val="08D14533"/>
    <w:rsid w:val="08D14535"/>
    <w:rsid w:val="08D14550"/>
    <w:rsid w:val="08D145B4"/>
    <w:rsid w:val="08D145DE"/>
    <w:rsid w:val="08D145E4"/>
    <w:rsid w:val="08D14617"/>
    <w:rsid w:val="08D14765"/>
    <w:rsid w:val="08D14829"/>
    <w:rsid w:val="08D148F2"/>
    <w:rsid w:val="08D1495F"/>
    <w:rsid w:val="08D149AC"/>
    <w:rsid w:val="08D149B9"/>
    <w:rsid w:val="08D149E7"/>
    <w:rsid w:val="08D14A54"/>
    <w:rsid w:val="08D14AE0"/>
    <w:rsid w:val="08D14D23"/>
    <w:rsid w:val="08D14D2F"/>
    <w:rsid w:val="08D14DCA"/>
    <w:rsid w:val="08D14DCD"/>
    <w:rsid w:val="08D14E06"/>
    <w:rsid w:val="08D14E36"/>
    <w:rsid w:val="08D14FCE"/>
    <w:rsid w:val="08D14FF1"/>
    <w:rsid w:val="08D15070"/>
    <w:rsid w:val="08D150E4"/>
    <w:rsid w:val="08D15196"/>
    <w:rsid w:val="08D15266"/>
    <w:rsid w:val="08D152AC"/>
    <w:rsid w:val="08D152CA"/>
    <w:rsid w:val="08D15359"/>
    <w:rsid w:val="08D15367"/>
    <w:rsid w:val="08D15447"/>
    <w:rsid w:val="08D154E7"/>
    <w:rsid w:val="08D1558A"/>
    <w:rsid w:val="08D1563B"/>
    <w:rsid w:val="08D156AA"/>
    <w:rsid w:val="08D156D3"/>
    <w:rsid w:val="08D15728"/>
    <w:rsid w:val="08D15754"/>
    <w:rsid w:val="08D1583E"/>
    <w:rsid w:val="08D158A2"/>
    <w:rsid w:val="08D15901"/>
    <w:rsid w:val="08D1590C"/>
    <w:rsid w:val="08D1592D"/>
    <w:rsid w:val="08D15A20"/>
    <w:rsid w:val="08D15A96"/>
    <w:rsid w:val="08D15AD7"/>
    <w:rsid w:val="08D15B51"/>
    <w:rsid w:val="08D15C5F"/>
    <w:rsid w:val="08D15C7A"/>
    <w:rsid w:val="08D15C83"/>
    <w:rsid w:val="08D15C9A"/>
    <w:rsid w:val="08D15CD5"/>
    <w:rsid w:val="08D15CEB"/>
    <w:rsid w:val="08D15D13"/>
    <w:rsid w:val="08D15E0C"/>
    <w:rsid w:val="08D15E5C"/>
    <w:rsid w:val="08D160BC"/>
    <w:rsid w:val="08D160E8"/>
    <w:rsid w:val="08D160EA"/>
    <w:rsid w:val="08D16285"/>
    <w:rsid w:val="08D16380"/>
    <w:rsid w:val="08D163F1"/>
    <w:rsid w:val="08D1640F"/>
    <w:rsid w:val="08D16484"/>
    <w:rsid w:val="08D1653C"/>
    <w:rsid w:val="08D1657C"/>
    <w:rsid w:val="08D165DF"/>
    <w:rsid w:val="08D165FD"/>
    <w:rsid w:val="08D16810"/>
    <w:rsid w:val="08D16854"/>
    <w:rsid w:val="08D168B1"/>
    <w:rsid w:val="08D16909"/>
    <w:rsid w:val="08D1696E"/>
    <w:rsid w:val="08D1698E"/>
    <w:rsid w:val="08D169AA"/>
    <w:rsid w:val="08D16B8A"/>
    <w:rsid w:val="08D16BCB"/>
    <w:rsid w:val="08D16C3F"/>
    <w:rsid w:val="08D16D29"/>
    <w:rsid w:val="08D16DA3"/>
    <w:rsid w:val="08D16DB4"/>
    <w:rsid w:val="08D16DC5"/>
    <w:rsid w:val="08D16EF0"/>
    <w:rsid w:val="08D16F4E"/>
    <w:rsid w:val="08D16F87"/>
    <w:rsid w:val="08D17022"/>
    <w:rsid w:val="08D1705F"/>
    <w:rsid w:val="08D170A4"/>
    <w:rsid w:val="08D171C6"/>
    <w:rsid w:val="08D17262"/>
    <w:rsid w:val="08D172B3"/>
    <w:rsid w:val="08D1731C"/>
    <w:rsid w:val="08D17349"/>
    <w:rsid w:val="08D1735B"/>
    <w:rsid w:val="08D173A2"/>
    <w:rsid w:val="08D173E0"/>
    <w:rsid w:val="08D1742E"/>
    <w:rsid w:val="08D17480"/>
    <w:rsid w:val="08D1749F"/>
    <w:rsid w:val="08D174EE"/>
    <w:rsid w:val="08D174F7"/>
    <w:rsid w:val="08D17576"/>
    <w:rsid w:val="08D175C2"/>
    <w:rsid w:val="08D17606"/>
    <w:rsid w:val="08D17677"/>
    <w:rsid w:val="08D176A1"/>
    <w:rsid w:val="08D17764"/>
    <w:rsid w:val="08D17771"/>
    <w:rsid w:val="08D17894"/>
    <w:rsid w:val="08D17908"/>
    <w:rsid w:val="08D17B7C"/>
    <w:rsid w:val="08D17BE4"/>
    <w:rsid w:val="08D17BEE"/>
    <w:rsid w:val="08D17BF6"/>
    <w:rsid w:val="08D17C79"/>
    <w:rsid w:val="08D17D48"/>
    <w:rsid w:val="08D17DD5"/>
    <w:rsid w:val="08D17EC8"/>
    <w:rsid w:val="08D17F71"/>
    <w:rsid w:val="08D2006D"/>
    <w:rsid w:val="08D200D8"/>
    <w:rsid w:val="08D200E4"/>
    <w:rsid w:val="08D2013B"/>
    <w:rsid w:val="08D2030A"/>
    <w:rsid w:val="08D2035E"/>
    <w:rsid w:val="08D20387"/>
    <w:rsid w:val="08D203E7"/>
    <w:rsid w:val="08D204BC"/>
    <w:rsid w:val="08D20621"/>
    <w:rsid w:val="08D20681"/>
    <w:rsid w:val="08D206EA"/>
    <w:rsid w:val="08D20859"/>
    <w:rsid w:val="08D20935"/>
    <w:rsid w:val="08D2097C"/>
    <w:rsid w:val="08D20A41"/>
    <w:rsid w:val="08D20A81"/>
    <w:rsid w:val="08D20A9F"/>
    <w:rsid w:val="08D20AEF"/>
    <w:rsid w:val="08D20CE4"/>
    <w:rsid w:val="08D20D28"/>
    <w:rsid w:val="08D20D6C"/>
    <w:rsid w:val="08D20E27"/>
    <w:rsid w:val="08D20E71"/>
    <w:rsid w:val="08D20E95"/>
    <w:rsid w:val="08D20F0A"/>
    <w:rsid w:val="08D20FA0"/>
    <w:rsid w:val="08D21020"/>
    <w:rsid w:val="08D2104D"/>
    <w:rsid w:val="08D21053"/>
    <w:rsid w:val="08D210A2"/>
    <w:rsid w:val="08D2111F"/>
    <w:rsid w:val="08D21120"/>
    <w:rsid w:val="08D21253"/>
    <w:rsid w:val="08D21277"/>
    <w:rsid w:val="08D212C1"/>
    <w:rsid w:val="08D212C9"/>
    <w:rsid w:val="08D212CC"/>
    <w:rsid w:val="08D21391"/>
    <w:rsid w:val="08D2140A"/>
    <w:rsid w:val="08D2140E"/>
    <w:rsid w:val="08D214BC"/>
    <w:rsid w:val="08D214D8"/>
    <w:rsid w:val="08D214DB"/>
    <w:rsid w:val="08D214FE"/>
    <w:rsid w:val="08D2157D"/>
    <w:rsid w:val="08D2158C"/>
    <w:rsid w:val="08D21607"/>
    <w:rsid w:val="08D2162C"/>
    <w:rsid w:val="08D21701"/>
    <w:rsid w:val="08D21744"/>
    <w:rsid w:val="08D217D3"/>
    <w:rsid w:val="08D2183D"/>
    <w:rsid w:val="08D218CC"/>
    <w:rsid w:val="08D21920"/>
    <w:rsid w:val="08D21942"/>
    <w:rsid w:val="08D21944"/>
    <w:rsid w:val="08D2196C"/>
    <w:rsid w:val="08D21A4B"/>
    <w:rsid w:val="08D21A69"/>
    <w:rsid w:val="08D21B4D"/>
    <w:rsid w:val="08D21BBA"/>
    <w:rsid w:val="08D21C2C"/>
    <w:rsid w:val="08D21C5B"/>
    <w:rsid w:val="08D21C63"/>
    <w:rsid w:val="08D21CB1"/>
    <w:rsid w:val="08D21CB6"/>
    <w:rsid w:val="08D21CDD"/>
    <w:rsid w:val="08D21D93"/>
    <w:rsid w:val="08D21D9F"/>
    <w:rsid w:val="08D21DBF"/>
    <w:rsid w:val="08D21DDA"/>
    <w:rsid w:val="08D21E00"/>
    <w:rsid w:val="08D21E5E"/>
    <w:rsid w:val="08D21F66"/>
    <w:rsid w:val="08D21F9B"/>
    <w:rsid w:val="08D21FB6"/>
    <w:rsid w:val="08D22031"/>
    <w:rsid w:val="08D22077"/>
    <w:rsid w:val="08D220E4"/>
    <w:rsid w:val="08D22178"/>
    <w:rsid w:val="08D2223A"/>
    <w:rsid w:val="08D22250"/>
    <w:rsid w:val="08D22268"/>
    <w:rsid w:val="08D222C7"/>
    <w:rsid w:val="08D2235F"/>
    <w:rsid w:val="08D22410"/>
    <w:rsid w:val="08D224D4"/>
    <w:rsid w:val="08D22606"/>
    <w:rsid w:val="08D22661"/>
    <w:rsid w:val="08D22673"/>
    <w:rsid w:val="08D2284B"/>
    <w:rsid w:val="08D228CC"/>
    <w:rsid w:val="08D22902"/>
    <w:rsid w:val="08D22937"/>
    <w:rsid w:val="08D2295C"/>
    <w:rsid w:val="08D229C7"/>
    <w:rsid w:val="08D22A3D"/>
    <w:rsid w:val="08D22AA7"/>
    <w:rsid w:val="08D22AF9"/>
    <w:rsid w:val="08D22B54"/>
    <w:rsid w:val="08D22B55"/>
    <w:rsid w:val="08D22B60"/>
    <w:rsid w:val="08D22B6A"/>
    <w:rsid w:val="08D22BD6"/>
    <w:rsid w:val="08D22C06"/>
    <w:rsid w:val="08D22C0B"/>
    <w:rsid w:val="08D22C3F"/>
    <w:rsid w:val="08D22C55"/>
    <w:rsid w:val="08D22C90"/>
    <w:rsid w:val="08D22D9B"/>
    <w:rsid w:val="08D22DB4"/>
    <w:rsid w:val="08D22E65"/>
    <w:rsid w:val="08D23083"/>
    <w:rsid w:val="08D2308A"/>
    <w:rsid w:val="08D231D4"/>
    <w:rsid w:val="08D231EF"/>
    <w:rsid w:val="08D23212"/>
    <w:rsid w:val="08D233DB"/>
    <w:rsid w:val="08D233E3"/>
    <w:rsid w:val="08D233FC"/>
    <w:rsid w:val="08D234A4"/>
    <w:rsid w:val="08D23560"/>
    <w:rsid w:val="08D235A5"/>
    <w:rsid w:val="08D235EF"/>
    <w:rsid w:val="08D2367B"/>
    <w:rsid w:val="08D2369E"/>
    <w:rsid w:val="08D23713"/>
    <w:rsid w:val="08D23734"/>
    <w:rsid w:val="08D2376E"/>
    <w:rsid w:val="08D237A4"/>
    <w:rsid w:val="08D237CD"/>
    <w:rsid w:val="08D2383A"/>
    <w:rsid w:val="08D238F4"/>
    <w:rsid w:val="08D238F6"/>
    <w:rsid w:val="08D2390A"/>
    <w:rsid w:val="08D23925"/>
    <w:rsid w:val="08D2393E"/>
    <w:rsid w:val="08D23A28"/>
    <w:rsid w:val="08D23AB1"/>
    <w:rsid w:val="08D23AE2"/>
    <w:rsid w:val="08D23B0B"/>
    <w:rsid w:val="08D23B35"/>
    <w:rsid w:val="08D23B61"/>
    <w:rsid w:val="08D23BD6"/>
    <w:rsid w:val="08D23C55"/>
    <w:rsid w:val="08D23CA0"/>
    <w:rsid w:val="08D23CF0"/>
    <w:rsid w:val="08D23CF8"/>
    <w:rsid w:val="08D23D0A"/>
    <w:rsid w:val="08D23D10"/>
    <w:rsid w:val="08D23D13"/>
    <w:rsid w:val="08D23D84"/>
    <w:rsid w:val="08D23DF6"/>
    <w:rsid w:val="08D23E70"/>
    <w:rsid w:val="08D23F28"/>
    <w:rsid w:val="08D24100"/>
    <w:rsid w:val="08D241ED"/>
    <w:rsid w:val="08D24342"/>
    <w:rsid w:val="08D243F1"/>
    <w:rsid w:val="08D243FF"/>
    <w:rsid w:val="08D24490"/>
    <w:rsid w:val="08D244E7"/>
    <w:rsid w:val="08D24507"/>
    <w:rsid w:val="08D2451E"/>
    <w:rsid w:val="08D2459E"/>
    <w:rsid w:val="08D245AF"/>
    <w:rsid w:val="08D245F0"/>
    <w:rsid w:val="08D2462C"/>
    <w:rsid w:val="08D24669"/>
    <w:rsid w:val="08D24715"/>
    <w:rsid w:val="08D2475D"/>
    <w:rsid w:val="08D2478B"/>
    <w:rsid w:val="08D247D4"/>
    <w:rsid w:val="08D2482E"/>
    <w:rsid w:val="08D248BB"/>
    <w:rsid w:val="08D24951"/>
    <w:rsid w:val="08D24992"/>
    <w:rsid w:val="08D24A5E"/>
    <w:rsid w:val="08D24A69"/>
    <w:rsid w:val="08D24AE0"/>
    <w:rsid w:val="08D24B72"/>
    <w:rsid w:val="08D24C1C"/>
    <w:rsid w:val="08D24C6D"/>
    <w:rsid w:val="08D24C76"/>
    <w:rsid w:val="08D24D18"/>
    <w:rsid w:val="08D24D32"/>
    <w:rsid w:val="08D24E1F"/>
    <w:rsid w:val="08D24E63"/>
    <w:rsid w:val="08D24E7B"/>
    <w:rsid w:val="08D24F35"/>
    <w:rsid w:val="08D24F64"/>
    <w:rsid w:val="08D24F95"/>
    <w:rsid w:val="08D250A1"/>
    <w:rsid w:val="08D2513B"/>
    <w:rsid w:val="08D2513C"/>
    <w:rsid w:val="08D25149"/>
    <w:rsid w:val="08D2515E"/>
    <w:rsid w:val="08D25260"/>
    <w:rsid w:val="08D252E3"/>
    <w:rsid w:val="08D2536B"/>
    <w:rsid w:val="08D25378"/>
    <w:rsid w:val="08D253EE"/>
    <w:rsid w:val="08D2558B"/>
    <w:rsid w:val="08D255DE"/>
    <w:rsid w:val="08D25697"/>
    <w:rsid w:val="08D25719"/>
    <w:rsid w:val="08D25792"/>
    <w:rsid w:val="08D25809"/>
    <w:rsid w:val="08D25901"/>
    <w:rsid w:val="08D259C3"/>
    <w:rsid w:val="08D25A23"/>
    <w:rsid w:val="08D25A73"/>
    <w:rsid w:val="08D25AC4"/>
    <w:rsid w:val="08D25ACD"/>
    <w:rsid w:val="08D25B91"/>
    <w:rsid w:val="08D25BAD"/>
    <w:rsid w:val="08D25C13"/>
    <w:rsid w:val="08D25DB5"/>
    <w:rsid w:val="08D25E83"/>
    <w:rsid w:val="08D25EDB"/>
    <w:rsid w:val="08D26092"/>
    <w:rsid w:val="08D26118"/>
    <w:rsid w:val="08D2619E"/>
    <w:rsid w:val="08D26250"/>
    <w:rsid w:val="08D26362"/>
    <w:rsid w:val="08D263DE"/>
    <w:rsid w:val="08D2653E"/>
    <w:rsid w:val="08D26552"/>
    <w:rsid w:val="08D266E7"/>
    <w:rsid w:val="08D26712"/>
    <w:rsid w:val="08D2676E"/>
    <w:rsid w:val="08D26774"/>
    <w:rsid w:val="08D26775"/>
    <w:rsid w:val="08D267B1"/>
    <w:rsid w:val="08D267DC"/>
    <w:rsid w:val="08D2680F"/>
    <w:rsid w:val="08D26911"/>
    <w:rsid w:val="08D2692C"/>
    <w:rsid w:val="08D26A62"/>
    <w:rsid w:val="08D26AE7"/>
    <w:rsid w:val="08D26B62"/>
    <w:rsid w:val="08D26BE3"/>
    <w:rsid w:val="08D26BF0"/>
    <w:rsid w:val="08D26C47"/>
    <w:rsid w:val="08D26D34"/>
    <w:rsid w:val="08D26DFB"/>
    <w:rsid w:val="08D26EA9"/>
    <w:rsid w:val="08D26F15"/>
    <w:rsid w:val="08D26F42"/>
    <w:rsid w:val="08D26F4F"/>
    <w:rsid w:val="08D26F99"/>
    <w:rsid w:val="08D27012"/>
    <w:rsid w:val="08D2703D"/>
    <w:rsid w:val="08D2704D"/>
    <w:rsid w:val="08D271EE"/>
    <w:rsid w:val="08D272CD"/>
    <w:rsid w:val="08D27345"/>
    <w:rsid w:val="08D27526"/>
    <w:rsid w:val="08D275B2"/>
    <w:rsid w:val="08D275E5"/>
    <w:rsid w:val="08D276E1"/>
    <w:rsid w:val="08D2771A"/>
    <w:rsid w:val="08D27766"/>
    <w:rsid w:val="08D27775"/>
    <w:rsid w:val="08D2779B"/>
    <w:rsid w:val="08D2785C"/>
    <w:rsid w:val="08D27878"/>
    <w:rsid w:val="08D278DB"/>
    <w:rsid w:val="08D27977"/>
    <w:rsid w:val="08D27988"/>
    <w:rsid w:val="08D2798C"/>
    <w:rsid w:val="08D279E2"/>
    <w:rsid w:val="08D27A43"/>
    <w:rsid w:val="08D27ADA"/>
    <w:rsid w:val="08D27AF9"/>
    <w:rsid w:val="08D27B20"/>
    <w:rsid w:val="08D27C76"/>
    <w:rsid w:val="08D27C9F"/>
    <w:rsid w:val="08D27CA2"/>
    <w:rsid w:val="08D27CCB"/>
    <w:rsid w:val="08D27CD2"/>
    <w:rsid w:val="08D27D22"/>
    <w:rsid w:val="08D27D2B"/>
    <w:rsid w:val="08D27D64"/>
    <w:rsid w:val="08D27DA0"/>
    <w:rsid w:val="08D27E99"/>
    <w:rsid w:val="08D27EFA"/>
    <w:rsid w:val="08D27FC0"/>
    <w:rsid w:val="08D27FCF"/>
    <w:rsid w:val="08D27FF2"/>
    <w:rsid w:val="08D30269"/>
    <w:rsid w:val="08D303B7"/>
    <w:rsid w:val="08D30428"/>
    <w:rsid w:val="08D30432"/>
    <w:rsid w:val="08D30477"/>
    <w:rsid w:val="08D30489"/>
    <w:rsid w:val="08D304A0"/>
    <w:rsid w:val="08D304CE"/>
    <w:rsid w:val="08D3055B"/>
    <w:rsid w:val="08D3056A"/>
    <w:rsid w:val="08D3057A"/>
    <w:rsid w:val="08D305BF"/>
    <w:rsid w:val="08D305EA"/>
    <w:rsid w:val="08D3065C"/>
    <w:rsid w:val="08D306C7"/>
    <w:rsid w:val="08D306CA"/>
    <w:rsid w:val="08D3072D"/>
    <w:rsid w:val="08D307AE"/>
    <w:rsid w:val="08D3080C"/>
    <w:rsid w:val="08D30818"/>
    <w:rsid w:val="08D3083F"/>
    <w:rsid w:val="08D308AF"/>
    <w:rsid w:val="08D30A8F"/>
    <w:rsid w:val="08D30AB3"/>
    <w:rsid w:val="08D30AD1"/>
    <w:rsid w:val="08D30AF7"/>
    <w:rsid w:val="08D30AFD"/>
    <w:rsid w:val="08D30B5C"/>
    <w:rsid w:val="08D30BB2"/>
    <w:rsid w:val="08D30C80"/>
    <w:rsid w:val="08D30D7A"/>
    <w:rsid w:val="08D30E4E"/>
    <w:rsid w:val="08D30E57"/>
    <w:rsid w:val="08D30E63"/>
    <w:rsid w:val="08D30EB1"/>
    <w:rsid w:val="08D30EF4"/>
    <w:rsid w:val="08D30F6C"/>
    <w:rsid w:val="08D30F8E"/>
    <w:rsid w:val="08D30FC8"/>
    <w:rsid w:val="08D3114A"/>
    <w:rsid w:val="08D3116D"/>
    <w:rsid w:val="08D311D9"/>
    <w:rsid w:val="08D31283"/>
    <w:rsid w:val="08D312AC"/>
    <w:rsid w:val="08D31354"/>
    <w:rsid w:val="08D31355"/>
    <w:rsid w:val="08D313BB"/>
    <w:rsid w:val="08D31419"/>
    <w:rsid w:val="08D31485"/>
    <w:rsid w:val="08D314BC"/>
    <w:rsid w:val="08D3152E"/>
    <w:rsid w:val="08D3154A"/>
    <w:rsid w:val="08D31682"/>
    <w:rsid w:val="08D319BD"/>
    <w:rsid w:val="08D319E6"/>
    <w:rsid w:val="08D319FC"/>
    <w:rsid w:val="08D31A62"/>
    <w:rsid w:val="08D31AFB"/>
    <w:rsid w:val="08D31B68"/>
    <w:rsid w:val="08D31B6F"/>
    <w:rsid w:val="08D31B88"/>
    <w:rsid w:val="08D31C2A"/>
    <w:rsid w:val="08D31CD2"/>
    <w:rsid w:val="08D31D73"/>
    <w:rsid w:val="08D31D7B"/>
    <w:rsid w:val="08D31DAD"/>
    <w:rsid w:val="08D31DBF"/>
    <w:rsid w:val="08D31DD0"/>
    <w:rsid w:val="08D31E31"/>
    <w:rsid w:val="08D31E6B"/>
    <w:rsid w:val="08D31E93"/>
    <w:rsid w:val="08D31E9D"/>
    <w:rsid w:val="08D31EE4"/>
    <w:rsid w:val="08D31F31"/>
    <w:rsid w:val="08D31FC1"/>
    <w:rsid w:val="08D31FD0"/>
    <w:rsid w:val="08D32007"/>
    <w:rsid w:val="08D32014"/>
    <w:rsid w:val="08D320BD"/>
    <w:rsid w:val="08D320F1"/>
    <w:rsid w:val="08D32171"/>
    <w:rsid w:val="08D32178"/>
    <w:rsid w:val="08D3218F"/>
    <w:rsid w:val="08D32192"/>
    <w:rsid w:val="08D32202"/>
    <w:rsid w:val="08D322B7"/>
    <w:rsid w:val="08D322D9"/>
    <w:rsid w:val="08D32388"/>
    <w:rsid w:val="08D3238E"/>
    <w:rsid w:val="08D323EC"/>
    <w:rsid w:val="08D3243E"/>
    <w:rsid w:val="08D32498"/>
    <w:rsid w:val="08D32751"/>
    <w:rsid w:val="08D32880"/>
    <w:rsid w:val="08D328DE"/>
    <w:rsid w:val="08D3292E"/>
    <w:rsid w:val="08D32998"/>
    <w:rsid w:val="08D329C8"/>
    <w:rsid w:val="08D32A0B"/>
    <w:rsid w:val="08D32ABF"/>
    <w:rsid w:val="08D32C1D"/>
    <w:rsid w:val="08D32CAA"/>
    <w:rsid w:val="08D32D18"/>
    <w:rsid w:val="08D32D24"/>
    <w:rsid w:val="08D32D4F"/>
    <w:rsid w:val="08D32E70"/>
    <w:rsid w:val="08D32EB5"/>
    <w:rsid w:val="08D32F97"/>
    <w:rsid w:val="08D32FE2"/>
    <w:rsid w:val="08D33130"/>
    <w:rsid w:val="08D3313F"/>
    <w:rsid w:val="08D33159"/>
    <w:rsid w:val="08D3315A"/>
    <w:rsid w:val="08D331A2"/>
    <w:rsid w:val="08D33315"/>
    <w:rsid w:val="08D33341"/>
    <w:rsid w:val="08D33350"/>
    <w:rsid w:val="08D3337B"/>
    <w:rsid w:val="08D33389"/>
    <w:rsid w:val="08D333BE"/>
    <w:rsid w:val="08D3347C"/>
    <w:rsid w:val="08D334C6"/>
    <w:rsid w:val="08D33529"/>
    <w:rsid w:val="08D33539"/>
    <w:rsid w:val="08D3355C"/>
    <w:rsid w:val="08D33581"/>
    <w:rsid w:val="08D336E8"/>
    <w:rsid w:val="08D337D6"/>
    <w:rsid w:val="08D337DF"/>
    <w:rsid w:val="08D3380E"/>
    <w:rsid w:val="08D3387B"/>
    <w:rsid w:val="08D338C0"/>
    <w:rsid w:val="08D338FE"/>
    <w:rsid w:val="08D33918"/>
    <w:rsid w:val="08D33A73"/>
    <w:rsid w:val="08D33AC1"/>
    <w:rsid w:val="08D33BDA"/>
    <w:rsid w:val="08D33C29"/>
    <w:rsid w:val="08D33C7E"/>
    <w:rsid w:val="08D33C82"/>
    <w:rsid w:val="08D33CDB"/>
    <w:rsid w:val="08D33CE1"/>
    <w:rsid w:val="08D33D99"/>
    <w:rsid w:val="08D33DC4"/>
    <w:rsid w:val="08D33DD3"/>
    <w:rsid w:val="08D33E29"/>
    <w:rsid w:val="08D33E4C"/>
    <w:rsid w:val="08D33E50"/>
    <w:rsid w:val="08D33E73"/>
    <w:rsid w:val="08D33E95"/>
    <w:rsid w:val="08D33F10"/>
    <w:rsid w:val="08D33F8B"/>
    <w:rsid w:val="08D33FB1"/>
    <w:rsid w:val="08D33FD7"/>
    <w:rsid w:val="08D3406C"/>
    <w:rsid w:val="08D34141"/>
    <w:rsid w:val="08D34239"/>
    <w:rsid w:val="08D34298"/>
    <w:rsid w:val="08D343F8"/>
    <w:rsid w:val="08D34537"/>
    <w:rsid w:val="08D3469E"/>
    <w:rsid w:val="08D346A4"/>
    <w:rsid w:val="08D3473A"/>
    <w:rsid w:val="08D3478C"/>
    <w:rsid w:val="08D34790"/>
    <w:rsid w:val="08D3480E"/>
    <w:rsid w:val="08D348E8"/>
    <w:rsid w:val="08D34919"/>
    <w:rsid w:val="08D3493C"/>
    <w:rsid w:val="08D3497C"/>
    <w:rsid w:val="08D34A2C"/>
    <w:rsid w:val="08D34A95"/>
    <w:rsid w:val="08D34B4D"/>
    <w:rsid w:val="08D34B63"/>
    <w:rsid w:val="08D34B6B"/>
    <w:rsid w:val="08D34BDF"/>
    <w:rsid w:val="08D34C2E"/>
    <w:rsid w:val="08D34C8E"/>
    <w:rsid w:val="08D34CB2"/>
    <w:rsid w:val="08D34CD7"/>
    <w:rsid w:val="08D34E17"/>
    <w:rsid w:val="08D34E47"/>
    <w:rsid w:val="08D34E7D"/>
    <w:rsid w:val="08D34FA1"/>
    <w:rsid w:val="08D3507F"/>
    <w:rsid w:val="08D35104"/>
    <w:rsid w:val="08D35120"/>
    <w:rsid w:val="08D35153"/>
    <w:rsid w:val="08D351B4"/>
    <w:rsid w:val="08D351B5"/>
    <w:rsid w:val="08D352E6"/>
    <w:rsid w:val="08D352EF"/>
    <w:rsid w:val="08D35323"/>
    <w:rsid w:val="08D35333"/>
    <w:rsid w:val="08D35374"/>
    <w:rsid w:val="08D35385"/>
    <w:rsid w:val="08D354AB"/>
    <w:rsid w:val="08D354DF"/>
    <w:rsid w:val="08D35549"/>
    <w:rsid w:val="08D356B1"/>
    <w:rsid w:val="08D35721"/>
    <w:rsid w:val="08D35779"/>
    <w:rsid w:val="08D3579A"/>
    <w:rsid w:val="08D358B7"/>
    <w:rsid w:val="08D358C8"/>
    <w:rsid w:val="08D359FE"/>
    <w:rsid w:val="08D35A57"/>
    <w:rsid w:val="08D35B1A"/>
    <w:rsid w:val="08D35B38"/>
    <w:rsid w:val="08D35B94"/>
    <w:rsid w:val="08D35C40"/>
    <w:rsid w:val="08D35C8E"/>
    <w:rsid w:val="08D35CAB"/>
    <w:rsid w:val="08D35CFA"/>
    <w:rsid w:val="08D35D97"/>
    <w:rsid w:val="08D35E26"/>
    <w:rsid w:val="08D35E46"/>
    <w:rsid w:val="08D35EBF"/>
    <w:rsid w:val="08D35FED"/>
    <w:rsid w:val="08D3606A"/>
    <w:rsid w:val="08D36140"/>
    <w:rsid w:val="08D361C9"/>
    <w:rsid w:val="08D361EA"/>
    <w:rsid w:val="08D3636C"/>
    <w:rsid w:val="08D3637A"/>
    <w:rsid w:val="08D363E0"/>
    <w:rsid w:val="08D3646B"/>
    <w:rsid w:val="08D364F1"/>
    <w:rsid w:val="08D36562"/>
    <w:rsid w:val="08D36594"/>
    <w:rsid w:val="08D365DB"/>
    <w:rsid w:val="08D36617"/>
    <w:rsid w:val="08D36674"/>
    <w:rsid w:val="08D367AE"/>
    <w:rsid w:val="08D367F7"/>
    <w:rsid w:val="08D36824"/>
    <w:rsid w:val="08D36A5B"/>
    <w:rsid w:val="08D36A82"/>
    <w:rsid w:val="08D36A8A"/>
    <w:rsid w:val="08D36B22"/>
    <w:rsid w:val="08D36BB7"/>
    <w:rsid w:val="08D36CC5"/>
    <w:rsid w:val="08D36D49"/>
    <w:rsid w:val="08D36DFA"/>
    <w:rsid w:val="08D36DFF"/>
    <w:rsid w:val="08D36EC2"/>
    <w:rsid w:val="08D36F64"/>
    <w:rsid w:val="08D37007"/>
    <w:rsid w:val="08D370F5"/>
    <w:rsid w:val="08D37105"/>
    <w:rsid w:val="08D37119"/>
    <w:rsid w:val="08D37163"/>
    <w:rsid w:val="08D371AD"/>
    <w:rsid w:val="08D3722B"/>
    <w:rsid w:val="08D372B0"/>
    <w:rsid w:val="08D372B7"/>
    <w:rsid w:val="08D372BC"/>
    <w:rsid w:val="08D37323"/>
    <w:rsid w:val="08D37391"/>
    <w:rsid w:val="08D37392"/>
    <w:rsid w:val="08D373E4"/>
    <w:rsid w:val="08D374DA"/>
    <w:rsid w:val="08D375C3"/>
    <w:rsid w:val="08D375E0"/>
    <w:rsid w:val="08D375F5"/>
    <w:rsid w:val="08D3763B"/>
    <w:rsid w:val="08D3765D"/>
    <w:rsid w:val="08D376CC"/>
    <w:rsid w:val="08D37721"/>
    <w:rsid w:val="08D37973"/>
    <w:rsid w:val="08D37982"/>
    <w:rsid w:val="08D37ADF"/>
    <w:rsid w:val="08D37B24"/>
    <w:rsid w:val="08D37BAC"/>
    <w:rsid w:val="08D37BDC"/>
    <w:rsid w:val="08D37C18"/>
    <w:rsid w:val="08D37D23"/>
    <w:rsid w:val="08D37DB3"/>
    <w:rsid w:val="08D37DEF"/>
    <w:rsid w:val="08D37E41"/>
    <w:rsid w:val="08D37E6E"/>
    <w:rsid w:val="08D37EEE"/>
    <w:rsid w:val="08D400B6"/>
    <w:rsid w:val="08D400EE"/>
    <w:rsid w:val="08D402FC"/>
    <w:rsid w:val="08D40436"/>
    <w:rsid w:val="08D4055D"/>
    <w:rsid w:val="08D4057A"/>
    <w:rsid w:val="08D40582"/>
    <w:rsid w:val="08D405FC"/>
    <w:rsid w:val="08D40618"/>
    <w:rsid w:val="08D406E1"/>
    <w:rsid w:val="08D40759"/>
    <w:rsid w:val="08D407EA"/>
    <w:rsid w:val="08D4084D"/>
    <w:rsid w:val="08D40988"/>
    <w:rsid w:val="08D40A2F"/>
    <w:rsid w:val="08D40A53"/>
    <w:rsid w:val="08D40A62"/>
    <w:rsid w:val="08D40BBA"/>
    <w:rsid w:val="08D40C4E"/>
    <w:rsid w:val="08D40CAB"/>
    <w:rsid w:val="08D40DA0"/>
    <w:rsid w:val="08D40DDC"/>
    <w:rsid w:val="08D40EA2"/>
    <w:rsid w:val="08D40F7E"/>
    <w:rsid w:val="08D41026"/>
    <w:rsid w:val="08D4106D"/>
    <w:rsid w:val="08D410D1"/>
    <w:rsid w:val="08D4110F"/>
    <w:rsid w:val="08D41144"/>
    <w:rsid w:val="08D41160"/>
    <w:rsid w:val="08D41181"/>
    <w:rsid w:val="08D411A2"/>
    <w:rsid w:val="08D411FE"/>
    <w:rsid w:val="08D412A6"/>
    <w:rsid w:val="08D412B4"/>
    <w:rsid w:val="08D41316"/>
    <w:rsid w:val="08D41381"/>
    <w:rsid w:val="08D413F3"/>
    <w:rsid w:val="08D4140C"/>
    <w:rsid w:val="08D4143A"/>
    <w:rsid w:val="08D41454"/>
    <w:rsid w:val="08D414A2"/>
    <w:rsid w:val="08D415B6"/>
    <w:rsid w:val="08D41600"/>
    <w:rsid w:val="08D4161D"/>
    <w:rsid w:val="08D418EC"/>
    <w:rsid w:val="08D4195B"/>
    <w:rsid w:val="08D419A0"/>
    <w:rsid w:val="08D419F2"/>
    <w:rsid w:val="08D41A59"/>
    <w:rsid w:val="08D41AAB"/>
    <w:rsid w:val="08D41ACE"/>
    <w:rsid w:val="08D41B20"/>
    <w:rsid w:val="08D41B24"/>
    <w:rsid w:val="08D41B3C"/>
    <w:rsid w:val="08D41B9D"/>
    <w:rsid w:val="08D41C7D"/>
    <w:rsid w:val="08D41D17"/>
    <w:rsid w:val="08D41D86"/>
    <w:rsid w:val="08D41DC4"/>
    <w:rsid w:val="08D41E6B"/>
    <w:rsid w:val="08D41E95"/>
    <w:rsid w:val="08D41F13"/>
    <w:rsid w:val="08D4201C"/>
    <w:rsid w:val="08D420E4"/>
    <w:rsid w:val="08D4214D"/>
    <w:rsid w:val="08D42272"/>
    <w:rsid w:val="08D42364"/>
    <w:rsid w:val="08D42437"/>
    <w:rsid w:val="08D424BF"/>
    <w:rsid w:val="08D42673"/>
    <w:rsid w:val="08D426AF"/>
    <w:rsid w:val="08D4284A"/>
    <w:rsid w:val="08D4285F"/>
    <w:rsid w:val="08D428CF"/>
    <w:rsid w:val="08D4291C"/>
    <w:rsid w:val="08D42925"/>
    <w:rsid w:val="08D42938"/>
    <w:rsid w:val="08D4294D"/>
    <w:rsid w:val="08D429DB"/>
    <w:rsid w:val="08D42B0A"/>
    <w:rsid w:val="08D42B95"/>
    <w:rsid w:val="08D42D21"/>
    <w:rsid w:val="08D42D29"/>
    <w:rsid w:val="08D42D42"/>
    <w:rsid w:val="08D42DBC"/>
    <w:rsid w:val="08D42DE3"/>
    <w:rsid w:val="08D42E0E"/>
    <w:rsid w:val="08D42E89"/>
    <w:rsid w:val="08D42EEA"/>
    <w:rsid w:val="08D42FF0"/>
    <w:rsid w:val="08D43013"/>
    <w:rsid w:val="08D43087"/>
    <w:rsid w:val="08D430B3"/>
    <w:rsid w:val="08D4322E"/>
    <w:rsid w:val="08D43354"/>
    <w:rsid w:val="08D4341C"/>
    <w:rsid w:val="08D434A2"/>
    <w:rsid w:val="08D434A7"/>
    <w:rsid w:val="08D434D7"/>
    <w:rsid w:val="08D434DC"/>
    <w:rsid w:val="08D434DD"/>
    <w:rsid w:val="08D435DC"/>
    <w:rsid w:val="08D43686"/>
    <w:rsid w:val="08D4389B"/>
    <w:rsid w:val="08D438A3"/>
    <w:rsid w:val="08D438E1"/>
    <w:rsid w:val="08D43928"/>
    <w:rsid w:val="08D43931"/>
    <w:rsid w:val="08D4396B"/>
    <w:rsid w:val="08D4397E"/>
    <w:rsid w:val="08D43A4F"/>
    <w:rsid w:val="08D43A99"/>
    <w:rsid w:val="08D43B83"/>
    <w:rsid w:val="08D43C81"/>
    <w:rsid w:val="08D43DC4"/>
    <w:rsid w:val="08D43DFB"/>
    <w:rsid w:val="08D43F00"/>
    <w:rsid w:val="08D43F13"/>
    <w:rsid w:val="08D43F8D"/>
    <w:rsid w:val="08D43FA0"/>
    <w:rsid w:val="08D4404F"/>
    <w:rsid w:val="08D44088"/>
    <w:rsid w:val="08D440E4"/>
    <w:rsid w:val="08D440E6"/>
    <w:rsid w:val="08D4420D"/>
    <w:rsid w:val="08D44224"/>
    <w:rsid w:val="08D442D4"/>
    <w:rsid w:val="08D443B3"/>
    <w:rsid w:val="08D44419"/>
    <w:rsid w:val="08D4444C"/>
    <w:rsid w:val="08D44503"/>
    <w:rsid w:val="08D4458F"/>
    <w:rsid w:val="08D445EA"/>
    <w:rsid w:val="08D445FA"/>
    <w:rsid w:val="08D44638"/>
    <w:rsid w:val="08D44646"/>
    <w:rsid w:val="08D446D9"/>
    <w:rsid w:val="08D44740"/>
    <w:rsid w:val="08D4474C"/>
    <w:rsid w:val="08D44824"/>
    <w:rsid w:val="08D44886"/>
    <w:rsid w:val="08D44896"/>
    <w:rsid w:val="08D44900"/>
    <w:rsid w:val="08D449B1"/>
    <w:rsid w:val="08D44A6B"/>
    <w:rsid w:val="08D44AE1"/>
    <w:rsid w:val="08D44AEC"/>
    <w:rsid w:val="08D44B91"/>
    <w:rsid w:val="08D44BCB"/>
    <w:rsid w:val="08D44BE4"/>
    <w:rsid w:val="08D44CC9"/>
    <w:rsid w:val="08D44D16"/>
    <w:rsid w:val="08D44DE2"/>
    <w:rsid w:val="08D44DFA"/>
    <w:rsid w:val="08D44E67"/>
    <w:rsid w:val="08D44F21"/>
    <w:rsid w:val="08D44F34"/>
    <w:rsid w:val="08D44FFA"/>
    <w:rsid w:val="08D45019"/>
    <w:rsid w:val="08D451B0"/>
    <w:rsid w:val="08D452B1"/>
    <w:rsid w:val="08D453A9"/>
    <w:rsid w:val="08D453B9"/>
    <w:rsid w:val="08D45504"/>
    <w:rsid w:val="08D45534"/>
    <w:rsid w:val="08D45541"/>
    <w:rsid w:val="08D45569"/>
    <w:rsid w:val="08D456A3"/>
    <w:rsid w:val="08D456E6"/>
    <w:rsid w:val="08D456FE"/>
    <w:rsid w:val="08D4571D"/>
    <w:rsid w:val="08D45847"/>
    <w:rsid w:val="08D45848"/>
    <w:rsid w:val="08D45876"/>
    <w:rsid w:val="08D458DF"/>
    <w:rsid w:val="08D459C6"/>
    <w:rsid w:val="08D45A54"/>
    <w:rsid w:val="08D45A87"/>
    <w:rsid w:val="08D45B09"/>
    <w:rsid w:val="08D45B8F"/>
    <w:rsid w:val="08D45BBB"/>
    <w:rsid w:val="08D45BD6"/>
    <w:rsid w:val="08D45C07"/>
    <w:rsid w:val="08D45C2B"/>
    <w:rsid w:val="08D45C46"/>
    <w:rsid w:val="08D45C7C"/>
    <w:rsid w:val="08D45C9F"/>
    <w:rsid w:val="08D45DF5"/>
    <w:rsid w:val="08D45E6B"/>
    <w:rsid w:val="08D45EAE"/>
    <w:rsid w:val="08D45EB7"/>
    <w:rsid w:val="08D4603F"/>
    <w:rsid w:val="08D46089"/>
    <w:rsid w:val="08D4609D"/>
    <w:rsid w:val="08D460AF"/>
    <w:rsid w:val="08D460B9"/>
    <w:rsid w:val="08D4617F"/>
    <w:rsid w:val="08D46281"/>
    <w:rsid w:val="08D463B9"/>
    <w:rsid w:val="08D463CC"/>
    <w:rsid w:val="08D4660D"/>
    <w:rsid w:val="08D466E8"/>
    <w:rsid w:val="08D4682A"/>
    <w:rsid w:val="08D46832"/>
    <w:rsid w:val="08D46858"/>
    <w:rsid w:val="08D468E7"/>
    <w:rsid w:val="08D46931"/>
    <w:rsid w:val="08D46980"/>
    <w:rsid w:val="08D46A22"/>
    <w:rsid w:val="08D46A8A"/>
    <w:rsid w:val="08D46AA5"/>
    <w:rsid w:val="08D46D54"/>
    <w:rsid w:val="08D46D59"/>
    <w:rsid w:val="08D46DA2"/>
    <w:rsid w:val="08D46E0D"/>
    <w:rsid w:val="08D46E31"/>
    <w:rsid w:val="08D46EB0"/>
    <w:rsid w:val="08D46F35"/>
    <w:rsid w:val="08D4707C"/>
    <w:rsid w:val="08D470C8"/>
    <w:rsid w:val="08D471AE"/>
    <w:rsid w:val="08D471CA"/>
    <w:rsid w:val="08D47268"/>
    <w:rsid w:val="08D472DA"/>
    <w:rsid w:val="08D4730E"/>
    <w:rsid w:val="08D4732F"/>
    <w:rsid w:val="08D475D0"/>
    <w:rsid w:val="08D475F6"/>
    <w:rsid w:val="08D4760C"/>
    <w:rsid w:val="08D4762A"/>
    <w:rsid w:val="08D47634"/>
    <w:rsid w:val="08D4769A"/>
    <w:rsid w:val="08D476F3"/>
    <w:rsid w:val="08D47798"/>
    <w:rsid w:val="08D477EE"/>
    <w:rsid w:val="08D47911"/>
    <w:rsid w:val="08D47AA0"/>
    <w:rsid w:val="08D47AC6"/>
    <w:rsid w:val="08D47C14"/>
    <w:rsid w:val="08D47C3A"/>
    <w:rsid w:val="08D47D69"/>
    <w:rsid w:val="08D47DB8"/>
    <w:rsid w:val="08D47EA2"/>
    <w:rsid w:val="08D47EA8"/>
    <w:rsid w:val="08D47FF2"/>
    <w:rsid w:val="08D501A4"/>
    <w:rsid w:val="08D501B5"/>
    <w:rsid w:val="08D504CE"/>
    <w:rsid w:val="08D504E4"/>
    <w:rsid w:val="08D504F9"/>
    <w:rsid w:val="08D50572"/>
    <w:rsid w:val="08D5057D"/>
    <w:rsid w:val="08D505D2"/>
    <w:rsid w:val="08D5063E"/>
    <w:rsid w:val="08D5064C"/>
    <w:rsid w:val="08D506C8"/>
    <w:rsid w:val="08D506E9"/>
    <w:rsid w:val="08D506F7"/>
    <w:rsid w:val="08D507A5"/>
    <w:rsid w:val="08D507D9"/>
    <w:rsid w:val="08D507EA"/>
    <w:rsid w:val="08D508FE"/>
    <w:rsid w:val="08D50924"/>
    <w:rsid w:val="08D50947"/>
    <w:rsid w:val="08D5096B"/>
    <w:rsid w:val="08D5096D"/>
    <w:rsid w:val="08D509B5"/>
    <w:rsid w:val="08D509E4"/>
    <w:rsid w:val="08D50A5E"/>
    <w:rsid w:val="08D50C07"/>
    <w:rsid w:val="08D50C29"/>
    <w:rsid w:val="08D50C37"/>
    <w:rsid w:val="08D50C98"/>
    <w:rsid w:val="08D50CA3"/>
    <w:rsid w:val="08D50CB7"/>
    <w:rsid w:val="08D50D03"/>
    <w:rsid w:val="08D50D09"/>
    <w:rsid w:val="08D50D57"/>
    <w:rsid w:val="08D50DC4"/>
    <w:rsid w:val="08D50E52"/>
    <w:rsid w:val="08D50E9D"/>
    <w:rsid w:val="08D50EAC"/>
    <w:rsid w:val="08D50F0A"/>
    <w:rsid w:val="08D50F13"/>
    <w:rsid w:val="08D50FC7"/>
    <w:rsid w:val="08D50FF0"/>
    <w:rsid w:val="08D510F5"/>
    <w:rsid w:val="08D51123"/>
    <w:rsid w:val="08D5114A"/>
    <w:rsid w:val="08D51200"/>
    <w:rsid w:val="08D51351"/>
    <w:rsid w:val="08D513C2"/>
    <w:rsid w:val="08D51419"/>
    <w:rsid w:val="08D5144E"/>
    <w:rsid w:val="08D5150A"/>
    <w:rsid w:val="08D51543"/>
    <w:rsid w:val="08D51565"/>
    <w:rsid w:val="08D51591"/>
    <w:rsid w:val="08D515A3"/>
    <w:rsid w:val="08D515AE"/>
    <w:rsid w:val="08D516BB"/>
    <w:rsid w:val="08D516E8"/>
    <w:rsid w:val="08D51736"/>
    <w:rsid w:val="08D5174B"/>
    <w:rsid w:val="08D517AD"/>
    <w:rsid w:val="08D517F8"/>
    <w:rsid w:val="08D5180F"/>
    <w:rsid w:val="08D51843"/>
    <w:rsid w:val="08D51889"/>
    <w:rsid w:val="08D518F5"/>
    <w:rsid w:val="08D51960"/>
    <w:rsid w:val="08D5198A"/>
    <w:rsid w:val="08D519B1"/>
    <w:rsid w:val="08D51A64"/>
    <w:rsid w:val="08D51AC4"/>
    <w:rsid w:val="08D51B63"/>
    <w:rsid w:val="08D51BB2"/>
    <w:rsid w:val="08D51BE6"/>
    <w:rsid w:val="08D51C09"/>
    <w:rsid w:val="08D51C1C"/>
    <w:rsid w:val="08D51C6D"/>
    <w:rsid w:val="08D51CC0"/>
    <w:rsid w:val="08D51D2D"/>
    <w:rsid w:val="08D51D3E"/>
    <w:rsid w:val="08D51DEC"/>
    <w:rsid w:val="08D51F54"/>
    <w:rsid w:val="08D51FC4"/>
    <w:rsid w:val="08D51FC8"/>
    <w:rsid w:val="08D51FD9"/>
    <w:rsid w:val="08D5202B"/>
    <w:rsid w:val="08D5203D"/>
    <w:rsid w:val="08D5207E"/>
    <w:rsid w:val="08D52092"/>
    <w:rsid w:val="08D520A6"/>
    <w:rsid w:val="08D520FA"/>
    <w:rsid w:val="08D5218B"/>
    <w:rsid w:val="08D5222A"/>
    <w:rsid w:val="08D522F4"/>
    <w:rsid w:val="08D522F5"/>
    <w:rsid w:val="08D52340"/>
    <w:rsid w:val="08D52445"/>
    <w:rsid w:val="08D524D8"/>
    <w:rsid w:val="08D525C7"/>
    <w:rsid w:val="08D525E3"/>
    <w:rsid w:val="08D5266B"/>
    <w:rsid w:val="08D5268C"/>
    <w:rsid w:val="08D52712"/>
    <w:rsid w:val="08D5276C"/>
    <w:rsid w:val="08D527B1"/>
    <w:rsid w:val="08D5289D"/>
    <w:rsid w:val="08D52930"/>
    <w:rsid w:val="08D52938"/>
    <w:rsid w:val="08D52995"/>
    <w:rsid w:val="08D52A0C"/>
    <w:rsid w:val="08D52A20"/>
    <w:rsid w:val="08D52B82"/>
    <w:rsid w:val="08D52B86"/>
    <w:rsid w:val="08D52BBC"/>
    <w:rsid w:val="08D52C9E"/>
    <w:rsid w:val="08D52D1B"/>
    <w:rsid w:val="08D52D1F"/>
    <w:rsid w:val="08D52D4D"/>
    <w:rsid w:val="08D52DD8"/>
    <w:rsid w:val="08D52DDE"/>
    <w:rsid w:val="08D52DF0"/>
    <w:rsid w:val="08D52E65"/>
    <w:rsid w:val="08D52EEE"/>
    <w:rsid w:val="08D52F11"/>
    <w:rsid w:val="08D52FB4"/>
    <w:rsid w:val="08D53029"/>
    <w:rsid w:val="08D5303A"/>
    <w:rsid w:val="08D5311E"/>
    <w:rsid w:val="08D5314F"/>
    <w:rsid w:val="08D531B7"/>
    <w:rsid w:val="08D531C7"/>
    <w:rsid w:val="08D532A2"/>
    <w:rsid w:val="08D5335A"/>
    <w:rsid w:val="08D53438"/>
    <w:rsid w:val="08D53518"/>
    <w:rsid w:val="08D5381F"/>
    <w:rsid w:val="08D5385D"/>
    <w:rsid w:val="08D53882"/>
    <w:rsid w:val="08D539F0"/>
    <w:rsid w:val="08D53A3B"/>
    <w:rsid w:val="08D53BC6"/>
    <w:rsid w:val="08D53BD7"/>
    <w:rsid w:val="08D53C23"/>
    <w:rsid w:val="08D53C64"/>
    <w:rsid w:val="08D53C8F"/>
    <w:rsid w:val="08D53D77"/>
    <w:rsid w:val="08D53DC8"/>
    <w:rsid w:val="08D53EDF"/>
    <w:rsid w:val="08D53F3B"/>
    <w:rsid w:val="08D53F92"/>
    <w:rsid w:val="08D53FFC"/>
    <w:rsid w:val="08D54020"/>
    <w:rsid w:val="08D540AA"/>
    <w:rsid w:val="08D5414E"/>
    <w:rsid w:val="08D54371"/>
    <w:rsid w:val="08D543C2"/>
    <w:rsid w:val="08D54460"/>
    <w:rsid w:val="08D544A2"/>
    <w:rsid w:val="08D544A5"/>
    <w:rsid w:val="08D544F9"/>
    <w:rsid w:val="08D54517"/>
    <w:rsid w:val="08D54525"/>
    <w:rsid w:val="08D5457E"/>
    <w:rsid w:val="08D54588"/>
    <w:rsid w:val="08D54698"/>
    <w:rsid w:val="08D546F0"/>
    <w:rsid w:val="08D54762"/>
    <w:rsid w:val="08D547DA"/>
    <w:rsid w:val="08D5489A"/>
    <w:rsid w:val="08D548CC"/>
    <w:rsid w:val="08D54957"/>
    <w:rsid w:val="08D54993"/>
    <w:rsid w:val="08D549F1"/>
    <w:rsid w:val="08D549FA"/>
    <w:rsid w:val="08D54ABD"/>
    <w:rsid w:val="08D54AF4"/>
    <w:rsid w:val="08D54BED"/>
    <w:rsid w:val="08D54C9F"/>
    <w:rsid w:val="08D54CA2"/>
    <w:rsid w:val="08D54DC1"/>
    <w:rsid w:val="08D54DF9"/>
    <w:rsid w:val="08D54E2A"/>
    <w:rsid w:val="08D54E34"/>
    <w:rsid w:val="08D54E9A"/>
    <w:rsid w:val="08D54EA6"/>
    <w:rsid w:val="08D54F24"/>
    <w:rsid w:val="08D54F8D"/>
    <w:rsid w:val="08D54FE3"/>
    <w:rsid w:val="08D55043"/>
    <w:rsid w:val="08D55076"/>
    <w:rsid w:val="08D55088"/>
    <w:rsid w:val="08D5527E"/>
    <w:rsid w:val="08D552FD"/>
    <w:rsid w:val="08D5530F"/>
    <w:rsid w:val="08D55347"/>
    <w:rsid w:val="08D553C0"/>
    <w:rsid w:val="08D553D1"/>
    <w:rsid w:val="08D553FF"/>
    <w:rsid w:val="08D5541C"/>
    <w:rsid w:val="08D55489"/>
    <w:rsid w:val="08D554AC"/>
    <w:rsid w:val="08D554EA"/>
    <w:rsid w:val="08D554FF"/>
    <w:rsid w:val="08D5551E"/>
    <w:rsid w:val="08D5557C"/>
    <w:rsid w:val="08D555BF"/>
    <w:rsid w:val="08D555C9"/>
    <w:rsid w:val="08D55621"/>
    <w:rsid w:val="08D556AD"/>
    <w:rsid w:val="08D55714"/>
    <w:rsid w:val="08D5579A"/>
    <w:rsid w:val="08D557C3"/>
    <w:rsid w:val="08D558AD"/>
    <w:rsid w:val="08D55952"/>
    <w:rsid w:val="08D559D2"/>
    <w:rsid w:val="08D559F0"/>
    <w:rsid w:val="08D55A5B"/>
    <w:rsid w:val="08D55BBC"/>
    <w:rsid w:val="08D55C66"/>
    <w:rsid w:val="08D55C73"/>
    <w:rsid w:val="08D55C8C"/>
    <w:rsid w:val="08D55C94"/>
    <w:rsid w:val="08D55CB5"/>
    <w:rsid w:val="08D55CD8"/>
    <w:rsid w:val="08D55D81"/>
    <w:rsid w:val="08D55E0F"/>
    <w:rsid w:val="08D55E1B"/>
    <w:rsid w:val="08D55EB0"/>
    <w:rsid w:val="08D55ECE"/>
    <w:rsid w:val="08D55F30"/>
    <w:rsid w:val="08D55FF5"/>
    <w:rsid w:val="08D5600B"/>
    <w:rsid w:val="08D56041"/>
    <w:rsid w:val="08D56061"/>
    <w:rsid w:val="08D561DF"/>
    <w:rsid w:val="08D561E0"/>
    <w:rsid w:val="08D562B3"/>
    <w:rsid w:val="08D562FE"/>
    <w:rsid w:val="08D56344"/>
    <w:rsid w:val="08D56349"/>
    <w:rsid w:val="08D5635C"/>
    <w:rsid w:val="08D56370"/>
    <w:rsid w:val="08D563C1"/>
    <w:rsid w:val="08D563D3"/>
    <w:rsid w:val="08D56487"/>
    <w:rsid w:val="08D56504"/>
    <w:rsid w:val="08D56577"/>
    <w:rsid w:val="08D565B5"/>
    <w:rsid w:val="08D565BF"/>
    <w:rsid w:val="08D56600"/>
    <w:rsid w:val="08D56774"/>
    <w:rsid w:val="08D567E0"/>
    <w:rsid w:val="08D569B2"/>
    <w:rsid w:val="08D569CF"/>
    <w:rsid w:val="08D56A03"/>
    <w:rsid w:val="08D56A05"/>
    <w:rsid w:val="08D56A5D"/>
    <w:rsid w:val="08D56A75"/>
    <w:rsid w:val="08D56A7F"/>
    <w:rsid w:val="08D56B38"/>
    <w:rsid w:val="08D56BCE"/>
    <w:rsid w:val="08D56BFE"/>
    <w:rsid w:val="08D56C69"/>
    <w:rsid w:val="08D56C7E"/>
    <w:rsid w:val="08D56CCD"/>
    <w:rsid w:val="08D56D33"/>
    <w:rsid w:val="08D56EB3"/>
    <w:rsid w:val="08D56F12"/>
    <w:rsid w:val="08D57165"/>
    <w:rsid w:val="08D57186"/>
    <w:rsid w:val="08D5720D"/>
    <w:rsid w:val="08D5721E"/>
    <w:rsid w:val="08D5733D"/>
    <w:rsid w:val="08D57340"/>
    <w:rsid w:val="08D57392"/>
    <w:rsid w:val="08D57446"/>
    <w:rsid w:val="08D5744E"/>
    <w:rsid w:val="08D575FA"/>
    <w:rsid w:val="08D576B0"/>
    <w:rsid w:val="08D576BC"/>
    <w:rsid w:val="08D5772A"/>
    <w:rsid w:val="08D5774D"/>
    <w:rsid w:val="08D577E1"/>
    <w:rsid w:val="08D5796E"/>
    <w:rsid w:val="08D57975"/>
    <w:rsid w:val="08D57A39"/>
    <w:rsid w:val="08D57ABA"/>
    <w:rsid w:val="08D57B7D"/>
    <w:rsid w:val="08D57BA5"/>
    <w:rsid w:val="08D57C43"/>
    <w:rsid w:val="08D57C5B"/>
    <w:rsid w:val="08D57CA7"/>
    <w:rsid w:val="08D57CEF"/>
    <w:rsid w:val="08D57D7E"/>
    <w:rsid w:val="08D57DD6"/>
    <w:rsid w:val="08D57EBB"/>
    <w:rsid w:val="08D57F2F"/>
    <w:rsid w:val="08D57F6F"/>
    <w:rsid w:val="08D57F71"/>
    <w:rsid w:val="08D57F96"/>
    <w:rsid w:val="08D57FE9"/>
    <w:rsid w:val="08D6000A"/>
    <w:rsid w:val="08D6000F"/>
    <w:rsid w:val="08D60080"/>
    <w:rsid w:val="08D60126"/>
    <w:rsid w:val="08D601AC"/>
    <w:rsid w:val="08D60249"/>
    <w:rsid w:val="08D6027B"/>
    <w:rsid w:val="08D602C8"/>
    <w:rsid w:val="08D60339"/>
    <w:rsid w:val="08D603E5"/>
    <w:rsid w:val="08D6055D"/>
    <w:rsid w:val="08D60592"/>
    <w:rsid w:val="08D605D5"/>
    <w:rsid w:val="08D605DF"/>
    <w:rsid w:val="08D60612"/>
    <w:rsid w:val="08D60628"/>
    <w:rsid w:val="08D606BE"/>
    <w:rsid w:val="08D606CC"/>
    <w:rsid w:val="08D6079C"/>
    <w:rsid w:val="08D607F1"/>
    <w:rsid w:val="08D609C1"/>
    <w:rsid w:val="08D609F5"/>
    <w:rsid w:val="08D60B92"/>
    <w:rsid w:val="08D60BBF"/>
    <w:rsid w:val="08D60BC3"/>
    <w:rsid w:val="08D60C8E"/>
    <w:rsid w:val="08D60E41"/>
    <w:rsid w:val="08D60EF4"/>
    <w:rsid w:val="08D60FCB"/>
    <w:rsid w:val="08D61091"/>
    <w:rsid w:val="08D6114D"/>
    <w:rsid w:val="08D611BF"/>
    <w:rsid w:val="08D612A4"/>
    <w:rsid w:val="08D613B9"/>
    <w:rsid w:val="08D614EA"/>
    <w:rsid w:val="08D61577"/>
    <w:rsid w:val="08D6157A"/>
    <w:rsid w:val="08D615A8"/>
    <w:rsid w:val="08D615FF"/>
    <w:rsid w:val="08D61601"/>
    <w:rsid w:val="08D61627"/>
    <w:rsid w:val="08D616C0"/>
    <w:rsid w:val="08D617B1"/>
    <w:rsid w:val="08D617BD"/>
    <w:rsid w:val="08D61851"/>
    <w:rsid w:val="08D618AC"/>
    <w:rsid w:val="08D61918"/>
    <w:rsid w:val="08D61A52"/>
    <w:rsid w:val="08D61AC7"/>
    <w:rsid w:val="08D61B0F"/>
    <w:rsid w:val="08D61CA0"/>
    <w:rsid w:val="08D61D4D"/>
    <w:rsid w:val="08D61E00"/>
    <w:rsid w:val="08D61E34"/>
    <w:rsid w:val="08D62018"/>
    <w:rsid w:val="08D62049"/>
    <w:rsid w:val="08D620BF"/>
    <w:rsid w:val="08D620E7"/>
    <w:rsid w:val="08D6216D"/>
    <w:rsid w:val="08D62250"/>
    <w:rsid w:val="08D622B2"/>
    <w:rsid w:val="08D622B5"/>
    <w:rsid w:val="08D622EA"/>
    <w:rsid w:val="08D6237A"/>
    <w:rsid w:val="08D6249F"/>
    <w:rsid w:val="08D62630"/>
    <w:rsid w:val="08D626D2"/>
    <w:rsid w:val="08D626E5"/>
    <w:rsid w:val="08D62831"/>
    <w:rsid w:val="08D62892"/>
    <w:rsid w:val="08D6291A"/>
    <w:rsid w:val="08D6294E"/>
    <w:rsid w:val="08D62B06"/>
    <w:rsid w:val="08D62CB7"/>
    <w:rsid w:val="08D62CCA"/>
    <w:rsid w:val="08D62D16"/>
    <w:rsid w:val="08D62D4F"/>
    <w:rsid w:val="08D62D6F"/>
    <w:rsid w:val="08D62D9C"/>
    <w:rsid w:val="08D62DBC"/>
    <w:rsid w:val="08D62DD8"/>
    <w:rsid w:val="08D62DDF"/>
    <w:rsid w:val="08D62DFA"/>
    <w:rsid w:val="08D62E9B"/>
    <w:rsid w:val="08D62EF8"/>
    <w:rsid w:val="08D62F31"/>
    <w:rsid w:val="08D6306C"/>
    <w:rsid w:val="08D63070"/>
    <w:rsid w:val="08D630B8"/>
    <w:rsid w:val="08D630B9"/>
    <w:rsid w:val="08D63181"/>
    <w:rsid w:val="08D6326B"/>
    <w:rsid w:val="08D63273"/>
    <w:rsid w:val="08D6339F"/>
    <w:rsid w:val="08D63434"/>
    <w:rsid w:val="08D63462"/>
    <w:rsid w:val="08D634BA"/>
    <w:rsid w:val="08D635BD"/>
    <w:rsid w:val="08D6361C"/>
    <w:rsid w:val="08D63662"/>
    <w:rsid w:val="08D6368A"/>
    <w:rsid w:val="08D6381C"/>
    <w:rsid w:val="08D63935"/>
    <w:rsid w:val="08D63957"/>
    <w:rsid w:val="08D6399E"/>
    <w:rsid w:val="08D639FA"/>
    <w:rsid w:val="08D63A41"/>
    <w:rsid w:val="08D63A5F"/>
    <w:rsid w:val="08D63AE9"/>
    <w:rsid w:val="08D63AFB"/>
    <w:rsid w:val="08D63BE9"/>
    <w:rsid w:val="08D63BEE"/>
    <w:rsid w:val="08D63C14"/>
    <w:rsid w:val="08D63C98"/>
    <w:rsid w:val="08D63DA5"/>
    <w:rsid w:val="08D63DAF"/>
    <w:rsid w:val="08D63DC5"/>
    <w:rsid w:val="08D63E3B"/>
    <w:rsid w:val="08D63E67"/>
    <w:rsid w:val="08D63E88"/>
    <w:rsid w:val="08D63EB1"/>
    <w:rsid w:val="08D63EDA"/>
    <w:rsid w:val="08D63EDE"/>
    <w:rsid w:val="08D63EE8"/>
    <w:rsid w:val="08D63F27"/>
    <w:rsid w:val="08D63F66"/>
    <w:rsid w:val="08D63F82"/>
    <w:rsid w:val="08D63FBC"/>
    <w:rsid w:val="08D64013"/>
    <w:rsid w:val="08D64035"/>
    <w:rsid w:val="08D64110"/>
    <w:rsid w:val="08D64130"/>
    <w:rsid w:val="08D64139"/>
    <w:rsid w:val="08D6413D"/>
    <w:rsid w:val="08D641A9"/>
    <w:rsid w:val="08D64202"/>
    <w:rsid w:val="08D64211"/>
    <w:rsid w:val="08D642C2"/>
    <w:rsid w:val="08D64305"/>
    <w:rsid w:val="08D64373"/>
    <w:rsid w:val="08D64389"/>
    <w:rsid w:val="08D643FA"/>
    <w:rsid w:val="08D64403"/>
    <w:rsid w:val="08D64431"/>
    <w:rsid w:val="08D64502"/>
    <w:rsid w:val="08D6457C"/>
    <w:rsid w:val="08D645A9"/>
    <w:rsid w:val="08D645BD"/>
    <w:rsid w:val="08D64632"/>
    <w:rsid w:val="08D646A1"/>
    <w:rsid w:val="08D646AC"/>
    <w:rsid w:val="08D64788"/>
    <w:rsid w:val="08D647EF"/>
    <w:rsid w:val="08D647F5"/>
    <w:rsid w:val="08D6481B"/>
    <w:rsid w:val="08D64843"/>
    <w:rsid w:val="08D64878"/>
    <w:rsid w:val="08D648B0"/>
    <w:rsid w:val="08D6494C"/>
    <w:rsid w:val="08D649C2"/>
    <w:rsid w:val="08D64A45"/>
    <w:rsid w:val="08D64A94"/>
    <w:rsid w:val="08D64ADA"/>
    <w:rsid w:val="08D64AF0"/>
    <w:rsid w:val="08D64B2C"/>
    <w:rsid w:val="08D64B38"/>
    <w:rsid w:val="08D64B65"/>
    <w:rsid w:val="08D64C1C"/>
    <w:rsid w:val="08D64CD2"/>
    <w:rsid w:val="08D64CEB"/>
    <w:rsid w:val="08D64D51"/>
    <w:rsid w:val="08D64D5F"/>
    <w:rsid w:val="08D64D6A"/>
    <w:rsid w:val="08D64D79"/>
    <w:rsid w:val="08D64DF3"/>
    <w:rsid w:val="08D64E8D"/>
    <w:rsid w:val="08D64EAF"/>
    <w:rsid w:val="08D64EB6"/>
    <w:rsid w:val="08D64EE4"/>
    <w:rsid w:val="08D64F24"/>
    <w:rsid w:val="08D64F6F"/>
    <w:rsid w:val="08D65063"/>
    <w:rsid w:val="08D65096"/>
    <w:rsid w:val="08D650AF"/>
    <w:rsid w:val="08D6519B"/>
    <w:rsid w:val="08D651BF"/>
    <w:rsid w:val="08D6524C"/>
    <w:rsid w:val="08D6533E"/>
    <w:rsid w:val="08D65353"/>
    <w:rsid w:val="08D653D9"/>
    <w:rsid w:val="08D653E0"/>
    <w:rsid w:val="08D653EF"/>
    <w:rsid w:val="08D65586"/>
    <w:rsid w:val="08D65601"/>
    <w:rsid w:val="08D6569B"/>
    <w:rsid w:val="08D65756"/>
    <w:rsid w:val="08D65769"/>
    <w:rsid w:val="08D6583A"/>
    <w:rsid w:val="08D65849"/>
    <w:rsid w:val="08D658F9"/>
    <w:rsid w:val="08D65944"/>
    <w:rsid w:val="08D65951"/>
    <w:rsid w:val="08D65A0B"/>
    <w:rsid w:val="08D65B24"/>
    <w:rsid w:val="08D65B44"/>
    <w:rsid w:val="08D65B45"/>
    <w:rsid w:val="08D65CCA"/>
    <w:rsid w:val="08D65CCE"/>
    <w:rsid w:val="08D65CD7"/>
    <w:rsid w:val="08D65CF5"/>
    <w:rsid w:val="08D65D30"/>
    <w:rsid w:val="08D65D54"/>
    <w:rsid w:val="08D65D82"/>
    <w:rsid w:val="08D65E47"/>
    <w:rsid w:val="08D65EDA"/>
    <w:rsid w:val="08D65FFD"/>
    <w:rsid w:val="08D66071"/>
    <w:rsid w:val="08D66098"/>
    <w:rsid w:val="08D66142"/>
    <w:rsid w:val="08D66173"/>
    <w:rsid w:val="08D6624D"/>
    <w:rsid w:val="08D662B5"/>
    <w:rsid w:val="08D662C9"/>
    <w:rsid w:val="08D662DC"/>
    <w:rsid w:val="08D6630A"/>
    <w:rsid w:val="08D6635D"/>
    <w:rsid w:val="08D6641E"/>
    <w:rsid w:val="08D66437"/>
    <w:rsid w:val="08D66508"/>
    <w:rsid w:val="08D66513"/>
    <w:rsid w:val="08D66682"/>
    <w:rsid w:val="08D6668C"/>
    <w:rsid w:val="08D666CD"/>
    <w:rsid w:val="08D666E5"/>
    <w:rsid w:val="08D667A8"/>
    <w:rsid w:val="08D6686A"/>
    <w:rsid w:val="08D668B0"/>
    <w:rsid w:val="08D6692A"/>
    <w:rsid w:val="08D6694E"/>
    <w:rsid w:val="08D66A19"/>
    <w:rsid w:val="08D66AAA"/>
    <w:rsid w:val="08D66ABD"/>
    <w:rsid w:val="08D66BC9"/>
    <w:rsid w:val="08D66BE2"/>
    <w:rsid w:val="08D66CD7"/>
    <w:rsid w:val="08D66D76"/>
    <w:rsid w:val="08D66DBD"/>
    <w:rsid w:val="08D66DD5"/>
    <w:rsid w:val="08D66DE2"/>
    <w:rsid w:val="08D66E2C"/>
    <w:rsid w:val="08D66E91"/>
    <w:rsid w:val="08D66E95"/>
    <w:rsid w:val="08D66EA0"/>
    <w:rsid w:val="08D66EF3"/>
    <w:rsid w:val="08D66F3A"/>
    <w:rsid w:val="08D6705C"/>
    <w:rsid w:val="08D670BD"/>
    <w:rsid w:val="08D6710A"/>
    <w:rsid w:val="08D6716C"/>
    <w:rsid w:val="08D671B9"/>
    <w:rsid w:val="08D67216"/>
    <w:rsid w:val="08D67238"/>
    <w:rsid w:val="08D6726B"/>
    <w:rsid w:val="08D6726D"/>
    <w:rsid w:val="08D67348"/>
    <w:rsid w:val="08D67474"/>
    <w:rsid w:val="08D674B2"/>
    <w:rsid w:val="08D6751B"/>
    <w:rsid w:val="08D67522"/>
    <w:rsid w:val="08D67666"/>
    <w:rsid w:val="08D676FC"/>
    <w:rsid w:val="08D67725"/>
    <w:rsid w:val="08D67747"/>
    <w:rsid w:val="08D67749"/>
    <w:rsid w:val="08D67806"/>
    <w:rsid w:val="08D67884"/>
    <w:rsid w:val="08D678A3"/>
    <w:rsid w:val="08D678C5"/>
    <w:rsid w:val="08D678FB"/>
    <w:rsid w:val="08D679B8"/>
    <w:rsid w:val="08D67ACB"/>
    <w:rsid w:val="08D67BBA"/>
    <w:rsid w:val="08D67C2C"/>
    <w:rsid w:val="08D67CD1"/>
    <w:rsid w:val="08D67D15"/>
    <w:rsid w:val="08D67D57"/>
    <w:rsid w:val="08D67EC3"/>
    <w:rsid w:val="08D67F47"/>
    <w:rsid w:val="08D70000"/>
    <w:rsid w:val="08D700C8"/>
    <w:rsid w:val="08D702F9"/>
    <w:rsid w:val="08D7030F"/>
    <w:rsid w:val="08D7042F"/>
    <w:rsid w:val="08D70457"/>
    <w:rsid w:val="08D70499"/>
    <w:rsid w:val="08D704BF"/>
    <w:rsid w:val="08D70514"/>
    <w:rsid w:val="08D705CD"/>
    <w:rsid w:val="08D705CE"/>
    <w:rsid w:val="08D70617"/>
    <w:rsid w:val="08D70638"/>
    <w:rsid w:val="08D7069E"/>
    <w:rsid w:val="08D70731"/>
    <w:rsid w:val="08D7073A"/>
    <w:rsid w:val="08D70750"/>
    <w:rsid w:val="08D70791"/>
    <w:rsid w:val="08D7095F"/>
    <w:rsid w:val="08D70960"/>
    <w:rsid w:val="08D7098F"/>
    <w:rsid w:val="08D709E5"/>
    <w:rsid w:val="08D70AA4"/>
    <w:rsid w:val="08D70B17"/>
    <w:rsid w:val="08D70B44"/>
    <w:rsid w:val="08D70CBF"/>
    <w:rsid w:val="08D70D9A"/>
    <w:rsid w:val="08D70E16"/>
    <w:rsid w:val="08D70E72"/>
    <w:rsid w:val="08D70EE2"/>
    <w:rsid w:val="08D70F0E"/>
    <w:rsid w:val="08D70F36"/>
    <w:rsid w:val="08D70F9A"/>
    <w:rsid w:val="08D71136"/>
    <w:rsid w:val="08D71151"/>
    <w:rsid w:val="08D71156"/>
    <w:rsid w:val="08D711C1"/>
    <w:rsid w:val="08D71272"/>
    <w:rsid w:val="08D712F1"/>
    <w:rsid w:val="08D71329"/>
    <w:rsid w:val="08D71365"/>
    <w:rsid w:val="08D713B6"/>
    <w:rsid w:val="08D713FE"/>
    <w:rsid w:val="08D714C1"/>
    <w:rsid w:val="08D714F3"/>
    <w:rsid w:val="08D7163E"/>
    <w:rsid w:val="08D716CD"/>
    <w:rsid w:val="08D716EF"/>
    <w:rsid w:val="08D71737"/>
    <w:rsid w:val="08D71740"/>
    <w:rsid w:val="08D71915"/>
    <w:rsid w:val="08D7192B"/>
    <w:rsid w:val="08D71953"/>
    <w:rsid w:val="08D71A17"/>
    <w:rsid w:val="08D71A77"/>
    <w:rsid w:val="08D71AA3"/>
    <w:rsid w:val="08D71AB9"/>
    <w:rsid w:val="08D71AED"/>
    <w:rsid w:val="08D71C43"/>
    <w:rsid w:val="08D71CF1"/>
    <w:rsid w:val="08D71CF3"/>
    <w:rsid w:val="08D71D8F"/>
    <w:rsid w:val="08D71DB6"/>
    <w:rsid w:val="08D71E78"/>
    <w:rsid w:val="08D71E83"/>
    <w:rsid w:val="08D71EE4"/>
    <w:rsid w:val="08D71EEA"/>
    <w:rsid w:val="08D71F0A"/>
    <w:rsid w:val="08D71F96"/>
    <w:rsid w:val="08D7208F"/>
    <w:rsid w:val="08D72173"/>
    <w:rsid w:val="08D721E7"/>
    <w:rsid w:val="08D7226E"/>
    <w:rsid w:val="08D722C3"/>
    <w:rsid w:val="08D723A1"/>
    <w:rsid w:val="08D723F4"/>
    <w:rsid w:val="08D72404"/>
    <w:rsid w:val="08D72406"/>
    <w:rsid w:val="08D72408"/>
    <w:rsid w:val="08D72417"/>
    <w:rsid w:val="08D7241A"/>
    <w:rsid w:val="08D72519"/>
    <w:rsid w:val="08D7253A"/>
    <w:rsid w:val="08D7258D"/>
    <w:rsid w:val="08D725BA"/>
    <w:rsid w:val="08D726BB"/>
    <w:rsid w:val="08D7272C"/>
    <w:rsid w:val="08D72759"/>
    <w:rsid w:val="08D7277F"/>
    <w:rsid w:val="08D729C2"/>
    <w:rsid w:val="08D729E2"/>
    <w:rsid w:val="08D72BBA"/>
    <w:rsid w:val="08D72BF7"/>
    <w:rsid w:val="08D72C15"/>
    <w:rsid w:val="08D72C9C"/>
    <w:rsid w:val="08D72D3C"/>
    <w:rsid w:val="08D72D92"/>
    <w:rsid w:val="08D72DBC"/>
    <w:rsid w:val="08D72E0B"/>
    <w:rsid w:val="08D72E50"/>
    <w:rsid w:val="08D72F34"/>
    <w:rsid w:val="08D72FE8"/>
    <w:rsid w:val="08D73027"/>
    <w:rsid w:val="08D7318D"/>
    <w:rsid w:val="08D73293"/>
    <w:rsid w:val="08D732B2"/>
    <w:rsid w:val="08D733EB"/>
    <w:rsid w:val="08D733FE"/>
    <w:rsid w:val="08D735E5"/>
    <w:rsid w:val="08D735FD"/>
    <w:rsid w:val="08D73606"/>
    <w:rsid w:val="08D7363D"/>
    <w:rsid w:val="08D73744"/>
    <w:rsid w:val="08D73796"/>
    <w:rsid w:val="08D737AB"/>
    <w:rsid w:val="08D73859"/>
    <w:rsid w:val="08D738C9"/>
    <w:rsid w:val="08D738E5"/>
    <w:rsid w:val="08D738EC"/>
    <w:rsid w:val="08D738F5"/>
    <w:rsid w:val="08D73933"/>
    <w:rsid w:val="08D73A2F"/>
    <w:rsid w:val="08D73A43"/>
    <w:rsid w:val="08D73A44"/>
    <w:rsid w:val="08D73A47"/>
    <w:rsid w:val="08D73AA8"/>
    <w:rsid w:val="08D73AAB"/>
    <w:rsid w:val="08D73AE3"/>
    <w:rsid w:val="08D73AFC"/>
    <w:rsid w:val="08D73B08"/>
    <w:rsid w:val="08D73B80"/>
    <w:rsid w:val="08D73BBB"/>
    <w:rsid w:val="08D73CD7"/>
    <w:rsid w:val="08D73D8E"/>
    <w:rsid w:val="08D73E12"/>
    <w:rsid w:val="08D73E50"/>
    <w:rsid w:val="08D73E95"/>
    <w:rsid w:val="08D73ECC"/>
    <w:rsid w:val="08D73F50"/>
    <w:rsid w:val="08D73F67"/>
    <w:rsid w:val="08D7403D"/>
    <w:rsid w:val="08D74068"/>
    <w:rsid w:val="08D7416A"/>
    <w:rsid w:val="08D741B4"/>
    <w:rsid w:val="08D74232"/>
    <w:rsid w:val="08D74319"/>
    <w:rsid w:val="08D74321"/>
    <w:rsid w:val="08D74327"/>
    <w:rsid w:val="08D7432E"/>
    <w:rsid w:val="08D743B2"/>
    <w:rsid w:val="08D743C5"/>
    <w:rsid w:val="08D743F6"/>
    <w:rsid w:val="08D74450"/>
    <w:rsid w:val="08D744BE"/>
    <w:rsid w:val="08D74509"/>
    <w:rsid w:val="08D745FD"/>
    <w:rsid w:val="08D74616"/>
    <w:rsid w:val="08D74628"/>
    <w:rsid w:val="08D7463E"/>
    <w:rsid w:val="08D746D1"/>
    <w:rsid w:val="08D7476E"/>
    <w:rsid w:val="08D747B0"/>
    <w:rsid w:val="08D74852"/>
    <w:rsid w:val="08D7489C"/>
    <w:rsid w:val="08D748CD"/>
    <w:rsid w:val="08D748E7"/>
    <w:rsid w:val="08D748EB"/>
    <w:rsid w:val="08D74A87"/>
    <w:rsid w:val="08D74ACB"/>
    <w:rsid w:val="08D74B37"/>
    <w:rsid w:val="08D74B60"/>
    <w:rsid w:val="08D74C1A"/>
    <w:rsid w:val="08D74C25"/>
    <w:rsid w:val="08D74C2D"/>
    <w:rsid w:val="08D74C5B"/>
    <w:rsid w:val="08D74CAE"/>
    <w:rsid w:val="08D74CB6"/>
    <w:rsid w:val="08D74CE4"/>
    <w:rsid w:val="08D74D62"/>
    <w:rsid w:val="08D74DFE"/>
    <w:rsid w:val="08D74E7C"/>
    <w:rsid w:val="08D74ED2"/>
    <w:rsid w:val="08D74EDF"/>
    <w:rsid w:val="08D74FAA"/>
    <w:rsid w:val="08D74FED"/>
    <w:rsid w:val="08D750BF"/>
    <w:rsid w:val="08D7519A"/>
    <w:rsid w:val="08D751E3"/>
    <w:rsid w:val="08D7530C"/>
    <w:rsid w:val="08D7543F"/>
    <w:rsid w:val="08D7548A"/>
    <w:rsid w:val="08D754C9"/>
    <w:rsid w:val="08D75516"/>
    <w:rsid w:val="08D7554D"/>
    <w:rsid w:val="08D75594"/>
    <w:rsid w:val="08D75723"/>
    <w:rsid w:val="08D75860"/>
    <w:rsid w:val="08D7592E"/>
    <w:rsid w:val="08D7595E"/>
    <w:rsid w:val="08D75ACB"/>
    <w:rsid w:val="08D75B4E"/>
    <w:rsid w:val="08D75BA9"/>
    <w:rsid w:val="08D75BD6"/>
    <w:rsid w:val="08D75BFF"/>
    <w:rsid w:val="08D75C04"/>
    <w:rsid w:val="08D75C48"/>
    <w:rsid w:val="08D75C5C"/>
    <w:rsid w:val="08D75CD2"/>
    <w:rsid w:val="08D75D3A"/>
    <w:rsid w:val="08D75D5B"/>
    <w:rsid w:val="08D75DDD"/>
    <w:rsid w:val="08D75E55"/>
    <w:rsid w:val="08D75E63"/>
    <w:rsid w:val="08D75ED1"/>
    <w:rsid w:val="08D75EE2"/>
    <w:rsid w:val="08D75F38"/>
    <w:rsid w:val="08D75FB0"/>
    <w:rsid w:val="08D76031"/>
    <w:rsid w:val="08D76098"/>
    <w:rsid w:val="08D760EB"/>
    <w:rsid w:val="08D76162"/>
    <w:rsid w:val="08D761E9"/>
    <w:rsid w:val="08D762F0"/>
    <w:rsid w:val="08D76336"/>
    <w:rsid w:val="08D76394"/>
    <w:rsid w:val="08D763A5"/>
    <w:rsid w:val="08D76437"/>
    <w:rsid w:val="08D76456"/>
    <w:rsid w:val="08D764F7"/>
    <w:rsid w:val="08D765B6"/>
    <w:rsid w:val="08D765E4"/>
    <w:rsid w:val="08D76610"/>
    <w:rsid w:val="08D766AE"/>
    <w:rsid w:val="08D76752"/>
    <w:rsid w:val="08D767B0"/>
    <w:rsid w:val="08D7698F"/>
    <w:rsid w:val="08D76A18"/>
    <w:rsid w:val="08D76A54"/>
    <w:rsid w:val="08D76A84"/>
    <w:rsid w:val="08D76B88"/>
    <w:rsid w:val="08D76C69"/>
    <w:rsid w:val="08D76D8D"/>
    <w:rsid w:val="08D76D9B"/>
    <w:rsid w:val="08D76DB4"/>
    <w:rsid w:val="08D76E18"/>
    <w:rsid w:val="08D76E42"/>
    <w:rsid w:val="08D76E7C"/>
    <w:rsid w:val="08D76FE5"/>
    <w:rsid w:val="08D7703D"/>
    <w:rsid w:val="08D77052"/>
    <w:rsid w:val="08D77085"/>
    <w:rsid w:val="08D7709D"/>
    <w:rsid w:val="08D77183"/>
    <w:rsid w:val="08D77201"/>
    <w:rsid w:val="08D77230"/>
    <w:rsid w:val="08D77250"/>
    <w:rsid w:val="08D7728F"/>
    <w:rsid w:val="08D77305"/>
    <w:rsid w:val="08D773B3"/>
    <w:rsid w:val="08D7742F"/>
    <w:rsid w:val="08D774EB"/>
    <w:rsid w:val="08D77633"/>
    <w:rsid w:val="08D7763A"/>
    <w:rsid w:val="08D776B7"/>
    <w:rsid w:val="08D7772A"/>
    <w:rsid w:val="08D77736"/>
    <w:rsid w:val="08D77795"/>
    <w:rsid w:val="08D777A6"/>
    <w:rsid w:val="08D777E6"/>
    <w:rsid w:val="08D7795F"/>
    <w:rsid w:val="08D77961"/>
    <w:rsid w:val="08D77964"/>
    <w:rsid w:val="08D779EE"/>
    <w:rsid w:val="08D77A09"/>
    <w:rsid w:val="08D77A69"/>
    <w:rsid w:val="08D77AB1"/>
    <w:rsid w:val="08D77AE1"/>
    <w:rsid w:val="08D77AFE"/>
    <w:rsid w:val="08D77B2C"/>
    <w:rsid w:val="08D77B58"/>
    <w:rsid w:val="08D77B8A"/>
    <w:rsid w:val="08D77B8F"/>
    <w:rsid w:val="08D77D0F"/>
    <w:rsid w:val="08D77D2A"/>
    <w:rsid w:val="08D77D83"/>
    <w:rsid w:val="08D77D95"/>
    <w:rsid w:val="08D77E40"/>
    <w:rsid w:val="08D77F52"/>
    <w:rsid w:val="08D77FC6"/>
    <w:rsid w:val="08D80009"/>
    <w:rsid w:val="08D80036"/>
    <w:rsid w:val="08D8004B"/>
    <w:rsid w:val="08D800DD"/>
    <w:rsid w:val="08D80169"/>
    <w:rsid w:val="08D80180"/>
    <w:rsid w:val="08D80204"/>
    <w:rsid w:val="08D802A3"/>
    <w:rsid w:val="08D8045C"/>
    <w:rsid w:val="08D804D6"/>
    <w:rsid w:val="08D80528"/>
    <w:rsid w:val="08D8053C"/>
    <w:rsid w:val="08D80545"/>
    <w:rsid w:val="08D805DD"/>
    <w:rsid w:val="08D80860"/>
    <w:rsid w:val="08D80898"/>
    <w:rsid w:val="08D808C4"/>
    <w:rsid w:val="08D808D6"/>
    <w:rsid w:val="08D80989"/>
    <w:rsid w:val="08D809FD"/>
    <w:rsid w:val="08D80A4D"/>
    <w:rsid w:val="08D80A65"/>
    <w:rsid w:val="08D80ADE"/>
    <w:rsid w:val="08D80B98"/>
    <w:rsid w:val="08D80C04"/>
    <w:rsid w:val="08D80DDB"/>
    <w:rsid w:val="08D80E51"/>
    <w:rsid w:val="08D80F8D"/>
    <w:rsid w:val="08D81061"/>
    <w:rsid w:val="08D8107A"/>
    <w:rsid w:val="08D810A6"/>
    <w:rsid w:val="08D810D1"/>
    <w:rsid w:val="08D81192"/>
    <w:rsid w:val="08D811D0"/>
    <w:rsid w:val="08D811DE"/>
    <w:rsid w:val="08D812E0"/>
    <w:rsid w:val="08D81349"/>
    <w:rsid w:val="08D8135F"/>
    <w:rsid w:val="08D813A1"/>
    <w:rsid w:val="08D81415"/>
    <w:rsid w:val="08D8141F"/>
    <w:rsid w:val="08D81443"/>
    <w:rsid w:val="08D81583"/>
    <w:rsid w:val="08D815FA"/>
    <w:rsid w:val="08D8165F"/>
    <w:rsid w:val="08D816AE"/>
    <w:rsid w:val="08D816CA"/>
    <w:rsid w:val="08D8175A"/>
    <w:rsid w:val="08D817DE"/>
    <w:rsid w:val="08D81812"/>
    <w:rsid w:val="08D8184D"/>
    <w:rsid w:val="08D818D3"/>
    <w:rsid w:val="08D8197B"/>
    <w:rsid w:val="08D81AB7"/>
    <w:rsid w:val="08D81BCE"/>
    <w:rsid w:val="08D81C1A"/>
    <w:rsid w:val="08D81CEB"/>
    <w:rsid w:val="08D81D08"/>
    <w:rsid w:val="08D81D0F"/>
    <w:rsid w:val="08D81DC5"/>
    <w:rsid w:val="08D81DF6"/>
    <w:rsid w:val="08D81EC0"/>
    <w:rsid w:val="08D81FBC"/>
    <w:rsid w:val="08D820A0"/>
    <w:rsid w:val="08D821A9"/>
    <w:rsid w:val="08D821B0"/>
    <w:rsid w:val="08D8227D"/>
    <w:rsid w:val="08D822B9"/>
    <w:rsid w:val="08D82311"/>
    <w:rsid w:val="08D82313"/>
    <w:rsid w:val="08D82347"/>
    <w:rsid w:val="08D82359"/>
    <w:rsid w:val="08D82398"/>
    <w:rsid w:val="08D82489"/>
    <w:rsid w:val="08D82498"/>
    <w:rsid w:val="08D824EB"/>
    <w:rsid w:val="08D82554"/>
    <w:rsid w:val="08D825C0"/>
    <w:rsid w:val="08D8268C"/>
    <w:rsid w:val="08D826B2"/>
    <w:rsid w:val="08D82718"/>
    <w:rsid w:val="08D82772"/>
    <w:rsid w:val="08D827CB"/>
    <w:rsid w:val="08D82856"/>
    <w:rsid w:val="08D82897"/>
    <w:rsid w:val="08D82898"/>
    <w:rsid w:val="08D828FB"/>
    <w:rsid w:val="08D82905"/>
    <w:rsid w:val="08D82975"/>
    <w:rsid w:val="08D82983"/>
    <w:rsid w:val="08D829EA"/>
    <w:rsid w:val="08D82A25"/>
    <w:rsid w:val="08D82A6C"/>
    <w:rsid w:val="08D82C3A"/>
    <w:rsid w:val="08D82C7B"/>
    <w:rsid w:val="08D82D22"/>
    <w:rsid w:val="08D82D30"/>
    <w:rsid w:val="08D82DED"/>
    <w:rsid w:val="08D82DF0"/>
    <w:rsid w:val="08D82E7A"/>
    <w:rsid w:val="08D82EF0"/>
    <w:rsid w:val="08D82F76"/>
    <w:rsid w:val="08D82FD4"/>
    <w:rsid w:val="08D83061"/>
    <w:rsid w:val="08D83082"/>
    <w:rsid w:val="08D8316C"/>
    <w:rsid w:val="08D8318D"/>
    <w:rsid w:val="08D831DE"/>
    <w:rsid w:val="08D832E2"/>
    <w:rsid w:val="08D83329"/>
    <w:rsid w:val="08D833B4"/>
    <w:rsid w:val="08D8342C"/>
    <w:rsid w:val="08D8347F"/>
    <w:rsid w:val="08D83672"/>
    <w:rsid w:val="08D83691"/>
    <w:rsid w:val="08D8369A"/>
    <w:rsid w:val="08D83738"/>
    <w:rsid w:val="08D83783"/>
    <w:rsid w:val="08D83815"/>
    <w:rsid w:val="08D838A2"/>
    <w:rsid w:val="08D838F8"/>
    <w:rsid w:val="08D83934"/>
    <w:rsid w:val="08D8394F"/>
    <w:rsid w:val="08D8399F"/>
    <w:rsid w:val="08D83A5E"/>
    <w:rsid w:val="08D83B45"/>
    <w:rsid w:val="08D83C32"/>
    <w:rsid w:val="08D83C85"/>
    <w:rsid w:val="08D83C8F"/>
    <w:rsid w:val="08D83D1D"/>
    <w:rsid w:val="08D83D60"/>
    <w:rsid w:val="08D83DCC"/>
    <w:rsid w:val="08D83DD0"/>
    <w:rsid w:val="08D83E56"/>
    <w:rsid w:val="08D83F47"/>
    <w:rsid w:val="08D83FDB"/>
    <w:rsid w:val="08D8403F"/>
    <w:rsid w:val="08D840AF"/>
    <w:rsid w:val="08D840B3"/>
    <w:rsid w:val="08D840F7"/>
    <w:rsid w:val="08D841ED"/>
    <w:rsid w:val="08D84208"/>
    <w:rsid w:val="08D84235"/>
    <w:rsid w:val="08D84237"/>
    <w:rsid w:val="08D8427C"/>
    <w:rsid w:val="08D84297"/>
    <w:rsid w:val="08D84377"/>
    <w:rsid w:val="08D843DB"/>
    <w:rsid w:val="08D843E8"/>
    <w:rsid w:val="08D8441C"/>
    <w:rsid w:val="08D84429"/>
    <w:rsid w:val="08D8442B"/>
    <w:rsid w:val="08D8455D"/>
    <w:rsid w:val="08D8479F"/>
    <w:rsid w:val="08D8488C"/>
    <w:rsid w:val="08D848D6"/>
    <w:rsid w:val="08D8493F"/>
    <w:rsid w:val="08D8495C"/>
    <w:rsid w:val="08D849C3"/>
    <w:rsid w:val="08D84A29"/>
    <w:rsid w:val="08D84AC9"/>
    <w:rsid w:val="08D84B72"/>
    <w:rsid w:val="08D84B90"/>
    <w:rsid w:val="08D84BA3"/>
    <w:rsid w:val="08D84C2D"/>
    <w:rsid w:val="08D84C63"/>
    <w:rsid w:val="08D84D5D"/>
    <w:rsid w:val="08D84D72"/>
    <w:rsid w:val="08D84E4A"/>
    <w:rsid w:val="08D84EDD"/>
    <w:rsid w:val="08D84F4A"/>
    <w:rsid w:val="08D84F91"/>
    <w:rsid w:val="08D8504B"/>
    <w:rsid w:val="08D85052"/>
    <w:rsid w:val="08D852E8"/>
    <w:rsid w:val="08D85306"/>
    <w:rsid w:val="08D853DB"/>
    <w:rsid w:val="08D853DD"/>
    <w:rsid w:val="08D853E8"/>
    <w:rsid w:val="08D8544D"/>
    <w:rsid w:val="08D85502"/>
    <w:rsid w:val="08D8559B"/>
    <w:rsid w:val="08D85715"/>
    <w:rsid w:val="08D8578C"/>
    <w:rsid w:val="08D857E8"/>
    <w:rsid w:val="08D85807"/>
    <w:rsid w:val="08D85818"/>
    <w:rsid w:val="08D8586A"/>
    <w:rsid w:val="08D8586E"/>
    <w:rsid w:val="08D85882"/>
    <w:rsid w:val="08D858F6"/>
    <w:rsid w:val="08D85908"/>
    <w:rsid w:val="08D85921"/>
    <w:rsid w:val="08D85972"/>
    <w:rsid w:val="08D85997"/>
    <w:rsid w:val="08D85A39"/>
    <w:rsid w:val="08D85A65"/>
    <w:rsid w:val="08D85ACB"/>
    <w:rsid w:val="08D85AFB"/>
    <w:rsid w:val="08D85B06"/>
    <w:rsid w:val="08D85D54"/>
    <w:rsid w:val="08D85DA1"/>
    <w:rsid w:val="08D85E57"/>
    <w:rsid w:val="08D85E95"/>
    <w:rsid w:val="08D85EE5"/>
    <w:rsid w:val="08D85F18"/>
    <w:rsid w:val="08D85FD9"/>
    <w:rsid w:val="08D86035"/>
    <w:rsid w:val="08D86065"/>
    <w:rsid w:val="08D86071"/>
    <w:rsid w:val="08D86080"/>
    <w:rsid w:val="08D860ED"/>
    <w:rsid w:val="08D86219"/>
    <w:rsid w:val="08D8622C"/>
    <w:rsid w:val="08D8623B"/>
    <w:rsid w:val="08D86275"/>
    <w:rsid w:val="08D862F7"/>
    <w:rsid w:val="08D86318"/>
    <w:rsid w:val="08D8634C"/>
    <w:rsid w:val="08D86397"/>
    <w:rsid w:val="08D863A1"/>
    <w:rsid w:val="08D864C3"/>
    <w:rsid w:val="08D865B4"/>
    <w:rsid w:val="08D866D7"/>
    <w:rsid w:val="08D86843"/>
    <w:rsid w:val="08D868C2"/>
    <w:rsid w:val="08D868C8"/>
    <w:rsid w:val="08D868E7"/>
    <w:rsid w:val="08D8691D"/>
    <w:rsid w:val="08D86926"/>
    <w:rsid w:val="08D86934"/>
    <w:rsid w:val="08D86A26"/>
    <w:rsid w:val="08D86A98"/>
    <w:rsid w:val="08D86AFD"/>
    <w:rsid w:val="08D86B0A"/>
    <w:rsid w:val="08D86B3E"/>
    <w:rsid w:val="08D86BE3"/>
    <w:rsid w:val="08D86C28"/>
    <w:rsid w:val="08D86C4F"/>
    <w:rsid w:val="08D86C5C"/>
    <w:rsid w:val="08D86DF4"/>
    <w:rsid w:val="08D86E9E"/>
    <w:rsid w:val="08D86EC2"/>
    <w:rsid w:val="08D86F7E"/>
    <w:rsid w:val="08D8709F"/>
    <w:rsid w:val="08D8710C"/>
    <w:rsid w:val="08D87175"/>
    <w:rsid w:val="08D8719F"/>
    <w:rsid w:val="08D871A5"/>
    <w:rsid w:val="08D87233"/>
    <w:rsid w:val="08D87308"/>
    <w:rsid w:val="08D8732E"/>
    <w:rsid w:val="08D87392"/>
    <w:rsid w:val="08D873C4"/>
    <w:rsid w:val="08D8744D"/>
    <w:rsid w:val="08D87461"/>
    <w:rsid w:val="08D87551"/>
    <w:rsid w:val="08D87573"/>
    <w:rsid w:val="08D87668"/>
    <w:rsid w:val="08D876A6"/>
    <w:rsid w:val="08D877B2"/>
    <w:rsid w:val="08D878B0"/>
    <w:rsid w:val="08D878D5"/>
    <w:rsid w:val="08D87957"/>
    <w:rsid w:val="08D87978"/>
    <w:rsid w:val="08D87AE5"/>
    <w:rsid w:val="08D87BBC"/>
    <w:rsid w:val="08D87CCB"/>
    <w:rsid w:val="08D87CEC"/>
    <w:rsid w:val="08D87CF6"/>
    <w:rsid w:val="08D87E36"/>
    <w:rsid w:val="08D87E66"/>
    <w:rsid w:val="08D87E7F"/>
    <w:rsid w:val="08D87E97"/>
    <w:rsid w:val="08D87EFF"/>
    <w:rsid w:val="08D87FAC"/>
    <w:rsid w:val="08D87FE0"/>
    <w:rsid w:val="08D90121"/>
    <w:rsid w:val="08D9016E"/>
    <w:rsid w:val="08D901F6"/>
    <w:rsid w:val="08D9021A"/>
    <w:rsid w:val="08D90356"/>
    <w:rsid w:val="08D903F7"/>
    <w:rsid w:val="08D9042B"/>
    <w:rsid w:val="08D904A7"/>
    <w:rsid w:val="08D90595"/>
    <w:rsid w:val="08D905B0"/>
    <w:rsid w:val="08D905ED"/>
    <w:rsid w:val="08D90618"/>
    <w:rsid w:val="08D90619"/>
    <w:rsid w:val="08D90725"/>
    <w:rsid w:val="08D90773"/>
    <w:rsid w:val="08D907A1"/>
    <w:rsid w:val="08D907B7"/>
    <w:rsid w:val="08D907F4"/>
    <w:rsid w:val="08D90819"/>
    <w:rsid w:val="08D908B2"/>
    <w:rsid w:val="08D90962"/>
    <w:rsid w:val="08D90C05"/>
    <w:rsid w:val="08D90D1F"/>
    <w:rsid w:val="08D90D37"/>
    <w:rsid w:val="08D90D8A"/>
    <w:rsid w:val="08D90F98"/>
    <w:rsid w:val="08D91028"/>
    <w:rsid w:val="08D910C4"/>
    <w:rsid w:val="08D91156"/>
    <w:rsid w:val="08D9115E"/>
    <w:rsid w:val="08D91326"/>
    <w:rsid w:val="08D91381"/>
    <w:rsid w:val="08D91387"/>
    <w:rsid w:val="08D913D3"/>
    <w:rsid w:val="08D9142C"/>
    <w:rsid w:val="08D9144C"/>
    <w:rsid w:val="08D914D9"/>
    <w:rsid w:val="08D914E3"/>
    <w:rsid w:val="08D915D6"/>
    <w:rsid w:val="08D91742"/>
    <w:rsid w:val="08D91795"/>
    <w:rsid w:val="08D917EF"/>
    <w:rsid w:val="08D917FF"/>
    <w:rsid w:val="08D91865"/>
    <w:rsid w:val="08D91897"/>
    <w:rsid w:val="08D918CA"/>
    <w:rsid w:val="08D9190A"/>
    <w:rsid w:val="08D91915"/>
    <w:rsid w:val="08D91A78"/>
    <w:rsid w:val="08D91A90"/>
    <w:rsid w:val="08D91A96"/>
    <w:rsid w:val="08D91B21"/>
    <w:rsid w:val="08D91B49"/>
    <w:rsid w:val="08D91BE4"/>
    <w:rsid w:val="08D91BE8"/>
    <w:rsid w:val="08D91BF5"/>
    <w:rsid w:val="08D91CEA"/>
    <w:rsid w:val="08D91DF9"/>
    <w:rsid w:val="08D9202C"/>
    <w:rsid w:val="08D9203F"/>
    <w:rsid w:val="08D92044"/>
    <w:rsid w:val="08D9208D"/>
    <w:rsid w:val="08D92104"/>
    <w:rsid w:val="08D92107"/>
    <w:rsid w:val="08D92111"/>
    <w:rsid w:val="08D9213A"/>
    <w:rsid w:val="08D92163"/>
    <w:rsid w:val="08D9218A"/>
    <w:rsid w:val="08D9220E"/>
    <w:rsid w:val="08D92235"/>
    <w:rsid w:val="08D92263"/>
    <w:rsid w:val="08D922C4"/>
    <w:rsid w:val="08D923DC"/>
    <w:rsid w:val="08D924F5"/>
    <w:rsid w:val="08D9253A"/>
    <w:rsid w:val="08D92543"/>
    <w:rsid w:val="08D925DB"/>
    <w:rsid w:val="08D925DC"/>
    <w:rsid w:val="08D92610"/>
    <w:rsid w:val="08D92613"/>
    <w:rsid w:val="08D92622"/>
    <w:rsid w:val="08D9264F"/>
    <w:rsid w:val="08D926C6"/>
    <w:rsid w:val="08D92726"/>
    <w:rsid w:val="08D92795"/>
    <w:rsid w:val="08D927E6"/>
    <w:rsid w:val="08D92970"/>
    <w:rsid w:val="08D92A50"/>
    <w:rsid w:val="08D92A65"/>
    <w:rsid w:val="08D92A6A"/>
    <w:rsid w:val="08D92A75"/>
    <w:rsid w:val="08D92A77"/>
    <w:rsid w:val="08D92A8E"/>
    <w:rsid w:val="08D92A9A"/>
    <w:rsid w:val="08D92B13"/>
    <w:rsid w:val="08D92B6A"/>
    <w:rsid w:val="08D92C21"/>
    <w:rsid w:val="08D92C9F"/>
    <w:rsid w:val="08D92CB2"/>
    <w:rsid w:val="08D92CC4"/>
    <w:rsid w:val="08D92DF8"/>
    <w:rsid w:val="08D92E48"/>
    <w:rsid w:val="08D92E57"/>
    <w:rsid w:val="08D92FB6"/>
    <w:rsid w:val="08D92FB8"/>
    <w:rsid w:val="08D92FD6"/>
    <w:rsid w:val="08D93047"/>
    <w:rsid w:val="08D9308A"/>
    <w:rsid w:val="08D93164"/>
    <w:rsid w:val="08D93193"/>
    <w:rsid w:val="08D931CB"/>
    <w:rsid w:val="08D931E1"/>
    <w:rsid w:val="08D93204"/>
    <w:rsid w:val="08D93314"/>
    <w:rsid w:val="08D933D2"/>
    <w:rsid w:val="08D93460"/>
    <w:rsid w:val="08D93492"/>
    <w:rsid w:val="08D934A2"/>
    <w:rsid w:val="08D934B3"/>
    <w:rsid w:val="08D93507"/>
    <w:rsid w:val="08D93646"/>
    <w:rsid w:val="08D93649"/>
    <w:rsid w:val="08D9364F"/>
    <w:rsid w:val="08D93698"/>
    <w:rsid w:val="08D936CA"/>
    <w:rsid w:val="08D93700"/>
    <w:rsid w:val="08D93977"/>
    <w:rsid w:val="08D939A8"/>
    <w:rsid w:val="08D939B0"/>
    <w:rsid w:val="08D93A05"/>
    <w:rsid w:val="08D93A15"/>
    <w:rsid w:val="08D93B10"/>
    <w:rsid w:val="08D93C3D"/>
    <w:rsid w:val="08D93C60"/>
    <w:rsid w:val="08D93C94"/>
    <w:rsid w:val="08D93CEF"/>
    <w:rsid w:val="08D93D0A"/>
    <w:rsid w:val="08D93D20"/>
    <w:rsid w:val="08D93D43"/>
    <w:rsid w:val="08D93E3A"/>
    <w:rsid w:val="08D93EBC"/>
    <w:rsid w:val="08D93F50"/>
    <w:rsid w:val="08D93F67"/>
    <w:rsid w:val="08D9401C"/>
    <w:rsid w:val="08D94059"/>
    <w:rsid w:val="08D940AE"/>
    <w:rsid w:val="08D940FA"/>
    <w:rsid w:val="08D94192"/>
    <w:rsid w:val="08D941DB"/>
    <w:rsid w:val="08D9424F"/>
    <w:rsid w:val="08D94286"/>
    <w:rsid w:val="08D942C0"/>
    <w:rsid w:val="08D94313"/>
    <w:rsid w:val="08D94461"/>
    <w:rsid w:val="08D94546"/>
    <w:rsid w:val="08D94551"/>
    <w:rsid w:val="08D945B1"/>
    <w:rsid w:val="08D94682"/>
    <w:rsid w:val="08D94769"/>
    <w:rsid w:val="08D9479C"/>
    <w:rsid w:val="08D948DF"/>
    <w:rsid w:val="08D9491C"/>
    <w:rsid w:val="08D94A00"/>
    <w:rsid w:val="08D94ADD"/>
    <w:rsid w:val="08D94AED"/>
    <w:rsid w:val="08D94AFA"/>
    <w:rsid w:val="08D94B0D"/>
    <w:rsid w:val="08D94B15"/>
    <w:rsid w:val="08D94B47"/>
    <w:rsid w:val="08D94B9C"/>
    <w:rsid w:val="08D94C1F"/>
    <w:rsid w:val="08D94C6C"/>
    <w:rsid w:val="08D94CA5"/>
    <w:rsid w:val="08D94CEC"/>
    <w:rsid w:val="08D94D0B"/>
    <w:rsid w:val="08D94D6D"/>
    <w:rsid w:val="08D94D6F"/>
    <w:rsid w:val="08D94D85"/>
    <w:rsid w:val="08D94DAC"/>
    <w:rsid w:val="08D94DB5"/>
    <w:rsid w:val="08D94DEE"/>
    <w:rsid w:val="08D94DF0"/>
    <w:rsid w:val="08D94E7F"/>
    <w:rsid w:val="08D94FEA"/>
    <w:rsid w:val="08D94FF0"/>
    <w:rsid w:val="08D95103"/>
    <w:rsid w:val="08D95166"/>
    <w:rsid w:val="08D95182"/>
    <w:rsid w:val="08D951E7"/>
    <w:rsid w:val="08D951E8"/>
    <w:rsid w:val="08D9521B"/>
    <w:rsid w:val="08D95230"/>
    <w:rsid w:val="08D952E8"/>
    <w:rsid w:val="08D953D3"/>
    <w:rsid w:val="08D953ED"/>
    <w:rsid w:val="08D9552F"/>
    <w:rsid w:val="08D95597"/>
    <w:rsid w:val="08D95605"/>
    <w:rsid w:val="08D956C3"/>
    <w:rsid w:val="08D957A1"/>
    <w:rsid w:val="08D958AE"/>
    <w:rsid w:val="08D958DF"/>
    <w:rsid w:val="08D95901"/>
    <w:rsid w:val="08D9599E"/>
    <w:rsid w:val="08D95AE8"/>
    <w:rsid w:val="08D95B81"/>
    <w:rsid w:val="08D95BA3"/>
    <w:rsid w:val="08D95BDC"/>
    <w:rsid w:val="08D95C66"/>
    <w:rsid w:val="08D95CCE"/>
    <w:rsid w:val="08D95CEB"/>
    <w:rsid w:val="08D95D50"/>
    <w:rsid w:val="08D95DD6"/>
    <w:rsid w:val="08D95DDE"/>
    <w:rsid w:val="08D95E53"/>
    <w:rsid w:val="08D95F80"/>
    <w:rsid w:val="08D96007"/>
    <w:rsid w:val="08D9600D"/>
    <w:rsid w:val="08D96069"/>
    <w:rsid w:val="08D9607D"/>
    <w:rsid w:val="08D96116"/>
    <w:rsid w:val="08D96133"/>
    <w:rsid w:val="08D9617E"/>
    <w:rsid w:val="08D9620D"/>
    <w:rsid w:val="08D96273"/>
    <w:rsid w:val="08D9627B"/>
    <w:rsid w:val="08D9628E"/>
    <w:rsid w:val="08D962F9"/>
    <w:rsid w:val="08D96339"/>
    <w:rsid w:val="08D963B1"/>
    <w:rsid w:val="08D96417"/>
    <w:rsid w:val="08D96746"/>
    <w:rsid w:val="08D967BF"/>
    <w:rsid w:val="08D968D9"/>
    <w:rsid w:val="08D9698C"/>
    <w:rsid w:val="08D96A34"/>
    <w:rsid w:val="08D96AE9"/>
    <w:rsid w:val="08D96AFB"/>
    <w:rsid w:val="08D96B90"/>
    <w:rsid w:val="08D96C69"/>
    <w:rsid w:val="08D96C8A"/>
    <w:rsid w:val="08D96CFB"/>
    <w:rsid w:val="08D96D21"/>
    <w:rsid w:val="08D96D66"/>
    <w:rsid w:val="08D96DD2"/>
    <w:rsid w:val="08D96EB5"/>
    <w:rsid w:val="08D96EB7"/>
    <w:rsid w:val="08D96EE2"/>
    <w:rsid w:val="08D96EF0"/>
    <w:rsid w:val="08D96F67"/>
    <w:rsid w:val="08D96F81"/>
    <w:rsid w:val="08D96FD0"/>
    <w:rsid w:val="08D97003"/>
    <w:rsid w:val="08D97046"/>
    <w:rsid w:val="08D97128"/>
    <w:rsid w:val="08D9719D"/>
    <w:rsid w:val="08D97387"/>
    <w:rsid w:val="08D973B3"/>
    <w:rsid w:val="08D976A7"/>
    <w:rsid w:val="08D9779D"/>
    <w:rsid w:val="08D97810"/>
    <w:rsid w:val="08D97862"/>
    <w:rsid w:val="08D97892"/>
    <w:rsid w:val="08D97913"/>
    <w:rsid w:val="08D97960"/>
    <w:rsid w:val="08D9799C"/>
    <w:rsid w:val="08D97A1E"/>
    <w:rsid w:val="08D97B25"/>
    <w:rsid w:val="08D97B41"/>
    <w:rsid w:val="08D97C26"/>
    <w:rsid w:val="08D97C34"/>
    <w:rsid w:val="08D97CC6"/>
    <w:rsid w:val="08D97D4D"/>
    <w:rsid w:val="08D97D62"/>
    <w:rsid w:val="08D97D84"/>
    <w:rsid w:val="08D97D89"/>
    <w:rsid w:val="08D97DE0"/>
    <w:rsid w:val="08D97E43"/>
    <w:rsid w:val="08D97E73"/>
    <w:rsid w:val="08D97F3E"/>
    <w:rsid w:val="08D97F72"/>
    <w:rsid w:val="08D97FAC"/>
    <w:rsid w:val="08D97FF0"/>
    <w:rsid w:val="08DA002C"/>
    <w:rsid w:val="08DA00BE"/>
    <w:rsid w:val="08DA00E1"/>
    <w:rsid w:val="08DA00FC"/>
    <w:rsid w:val="08DA013F"/>
    <w:rsid w:val="08DA014B"/>
    <w:rsid w:val="08DA01A3"/>
    <w:rsid w:val="08DA01CB"/>
    <w:rsid w:val="08DA01D9"/>
    <w:rsid w:val="08DA020A"/>
    <w:rsid w:val="08DA0220"/>
    <w:rsid w:val="08DA03A0"/>
    <w:rsid w:val="08DA03DC"/>
    <w:rsid w:val="08DA044F"/>
    <w:rsid w:val="08DA0540"/>
    <w:rsid w:val="08DA05F9"/>
    <w:rsid w:val="08DA067A"/>
    <w:rsid w:val="08DA067F"/>
    <w:rsid w:val="08DA0680"/>
    <w:rsid w:val="08DA070B"/>
    <w:rsid w:val="08DA072A"/>
    <w:rsid w:val="08DA0778"/>
    <w:rsid w:val="08DA078A"/>
    <w:rsid w:val="08DA0821"/>
    <w:rsid w:val="08DA0823"/>
    <w:rsid w:val="08DA0970"/>
    <w:rsid w:val="08DA09E5"/>
    <w:rsid w:val="08DA0CE5"/>
    <w:rsid w:val="08DA0D0B"/>
    <w:rsid w:val="08DA0E0E"/>
    <w:rsid w:val="08DA0F3C"/>
    <w:rsid w:val="08DA1014"/>
    <w:rsid w:val="08DA10B9"/>
    <w:rsid w:val="08DA11B0"/>
    <w:rsid w:val="08DA11E4"/>
    <w:rsid w:val="08DA11F9"/>
    <w:rsid w:val="08DA1224"/>
    <w:rsid w:val="08DA134B"/>
    <w:rsid w:val="08DA13F2"/>
    <w:rsid w:val="08DA1412"/>
    <w:rsid w:val="08DA1422"/>
    <w:rsid w:val="08DA146D"/>
    <w:rsid w:val="08DA157D"/>
    <w:rsid w:val="08DA1602"/>
    <w:rsid w:val="08DA165E"/>
    <w:rsid w:val="08DA1661"/>
    <w:rsid w:val="08DA16BF"/>
    <w:rsid w:val="08DA18D7"/>
    <w:rsid w:val="08DA1928"/>
    <w:rsid w:val="08DA192C"/>
    <w:rsid w:val="08DA1990"/>
    <w:rsid w:val="08DA1A4D"/>
    <w:rsid w:val="08DA1AD4"/>
    <w:rsid w:val="08DA1BD2"/>
    <w:rsid w:val="08DA1D5E"/>
    <w:rsid w:val="08DA1DAA"/>
    <w:rsid w:val="08DA1DB7"/>
    <w:rsid w:val="08DA1E59"/>
    <w:rsid w:val="08DA1E9A"/>
    <w:rsid w:val="08DA1EC3"/>
    <w:rsid w:val="08DA1EEC"/>
    <w:rsid w:val="08DA1F55"/>
    <w:rsid w:val="08DA1FF8"/>
    <w:rsid w:val="08DA2018"/>
    <w:rsid w:val="08DA20CF"/>
    <w:rsid w:val="08DA2116"/>
    <w:rsid w:val="08DA216C"/>
    <w:rsid w:val="08DA2198"/>
    <w:rsid w:val="08DA21C3"/>
    <w:rsid w:val="08DA224A"/>
    <w:rsid w:val="08DA22B9"/>
    <w:rsid w:val="08DA2425"/>
    <w:rsid w:val="08DA2456"/>
    <w:rsid w:val="08DA248A"/>
    <w:rsid w:val="08DA249A"/>
    <w:rsid w:val="08DA24A6"/>
    <w:rsid w:val="08DA2512"/>
    <w:rsid w:val="08DA25C6"/>
    <w:rsid w:val="08DA2770"/>
    <w:rsid w:val="08DA27A3"/>
    <w:rsid w:val="08DA27DE"/>
    <w:rsid w:val="08DA2816"/>
    <w:rsid w:val="08DA292E"/>
    <w:rsid w:val="08DA298C"/>
    <w:rsid w:val="08DA29A1"/>
    <w:rsid w:val="08DA29EF"/>
    <w:rsid w:val="08DA29FB"/>
    <w:rsid w:val="08DA2A1E"/>
    <w:rsid w:val="08DA2AB9"/>
    <w:rsid w:val="08DA2AC2"/>
    <w:rsid w:val="08DA2B16"/>
    <w:rsid w:val="08DA2BA5"/>
    <w:rsid w:val="08DA2BE2"/>
    <w:rsid w:val="08DA2C1E"/>
    <w:rsid w:val="08DA2C58"/>
    <w:rsid w:val="08DA2CC7"/>
    <w:rsid w:val="08DA2E44"/>
    <w:rsid w:val="08DA2E78"/>
    <w:rsid w:val="08DA2EF3"/>
    <w:rsid w:val="08DA2F87"/>
    <w:rsid w:val="08DA2F95"/>
    <w:rsid w:val="08DA2FD7"/>
    <w:rsid w:val="08DA309F"/>
    <w:rsid w:val="08DA30B8"/>
    <w:rsid w:val="08DA30CF"/>
    <w:rsid w:val="08DA310B"/>
    <w:rsid w:val="08DA312C"/>
    <w:rsid w:val="08DA3160"/>
    <w:rsid w:val="08DA31B0"/>
    <w:rsid w:val="08DA3324"/>
    <w:rsid w:val="08DA3378"/>
    <w:rsid w:val="08DA3472"/>
    <w:rsid w:val="08DA3474"/>
    <w:rsid w:val="08DA34EA"/>
    <w:rsid w:val="08DA3548"/>
    <w:rsid w:val="08DA354D"/>
    <w:rsid w:val="08DA3646"/>
    <w:rsid w:val="08DA3672"/>
    <w:rsid w:val="08DA368D"/>
    <w:rsid w:val="08DA369F"/>
    <w:rsid w:val="08DA3766"/>
    <w:rsid w:val="08DA3795"/>
    <w:rsid w:val="08DA37FA"/>
    <w:rsid w:val="08DA3817"/>
    <w:rsid w:val="08DA381C"/>
    <w:rsid w:val="08DA3895"/>
    <w:rsid w:val="08DA38F5"/>
    <w:rsid w:val="08DA3989"/>
    <w:rsid w:val="08DA39A2"/>
    <w:rsid w:val="08DA39E0"/>
    <w:rsid w:val="08DA39F9"/>
    <w:rsid w:val="08DA3B6C"/>
    <w:rsid w:val="08DA3BA2"/>
    <w:rsid w:val="08DA3BF9"/>
    <w:rsid w:val="08DA3C97"/>
    <w:rsid w:val="08DA3CD8"/>
    <w:rsid w:val="08DA3CF6"/>
    <w:rsid w:val="08DA3EF5"/>
    <w:rsid w:val="08DA3FC3"/>
    <w:rsid w:val="08DA3FF5"/>
    <w:rsid w:val="08DA40EA"/>
    <w:rsid w:val="08DA4120"/>
    <w:rsid w:val="08DA42F9"/>
    <w:rsid w:val="08DA4443"/>
    <w:rsid w:val="08DA44F3"/>
    <w:rsid w:val="08DA458B"/>
    <w:rsid w:val="08DA45F3"/>
    <w:rsid w:val="08DA469F"/>
    <w:rsid w:val="08DA46B8"/>
    <w:rsid w:val="08DA47A5"/>
    <w:rsid w:val="08DA4899"/>
    <w:rsid w:val="08DA4943"/>
    <w:rsid w:val="08DA496A"/>
    <w:rsid w:val="08DA4997"/>
    <w:rsid w:val="08DA49C9"/>
    <w:rsid w:val="08DA4A2F"/>
    <w:rsid w:val="08DA4BDE"/>
    <w:rsid w:val="08DA4BED"/>
    <w:rsid w:val="08DA4C23"/>
    <w:rsid w:val="08DA4C69"/>
    <w:rsid w:val="08DA4ED5"/>
    <w:rsid w:val="08DA4F51"/>
    <w:rsid w:val="08DA4F73"/>
    <w:rsid w:val="08DA4FC0"/>
    <w:rsid w:val="08DA50CD"/>
    <w:rsid w:val="08DA50EA"/>
    <w:rsid w:val="08DA510C"/>
    <w:rsid w:val="08DA523D"/>
    <w:rsid w:val="08DA52AD"/>
    <w:rsid w:val="08DA52B0"/>
    <w:rsid w:val="08DA54DB"/>
    <w:rsid w:val="08DA55D6"/>
    <w:rsid w:val="08DA56DF"/>
    <w:rsid w:val="08DA570D"/>
    <w:rsid w:val="08DA5799"/>
    <w:rsid w:val="08DA57AE"/>
    <w:rsid w:val="08DA5802"/>
    <w:rsid w:val="08DA5815"/>
    <w:rsid w:val="08DA583F"/>
    <w:rsid w:val="08DA58C3"/>
    <w:rsid w:val="08DA5905"/>
    <w:rsid w:val="08DA5938"/>
    <w:rsid w:val="08DA5970"/>
    <w:rsid w:val="08DA59B0"/>
    <w:rsid w:val="08DA5A7A"/>
    <w:rsid w:val="08DA5A7C"/>
    <w:rsid w:val="08DA5AAD"/>
    <w:rsid w:val="08DA5ACE"/>
    <w:rsid w:val="08DA5C01"/>
    <w:rsid w:val="08DA5DC3"/>
    <w:rsid w:val="08DA5E16"/>
    <w:rsid w:val="08DA5EE7"/>
    <w:rsid w:val="08DA5F3F"/>
    <w:rsid w:val="08DA5F93"/>
    <w:rsid w:val="08DA5F9D"/>
    <w:rsid w:val="08DA5FED"/>
    <w:rsid w:val="08DA5FF9"/>
    <w:rsid w:val="08DA6041"/>
    <w:rsid w:val="08DA604B"/>
    <w:rsid w:val="08DA60DF"/>
    <w:rsid w:val="08DA61AA"/>
    <w:rsid w:val="08DA62F8"/>
    <w:rsid w:val="08DA638C"/>
    <w:rsid w:val="08DA6444"/>
    <w:rsid w:val="08DA64A9"/>
    <w:rsid w:val="08DA6578"/>
    <w:rsid w:val="08DA65B3"/>
    <w:rsid w:val="08DA65BE"/>
    <w:rsid w:val="08DA65F9"/>
    <w:rsid w:val="08DA6644"/>
    <w:rsid w:val="08DA6696"/>
    <w:rsid w:val="08DA672A"/>
    <w:rsid w:val="08DA67CC"/>
    <w:rsid w:val="08DA67E6"/>
    <w:rsid w:val="08DA68DA"/>
    <w:rsid w:val="08DA68EA"/>
    <w:rsid w:val="08DA6910"/>
    <w:rsid w:val="08DA6974"/>
    <w:rsid w:val="08DA6978"/>
    <w:rsid w:val="08DA69B6"/>
    <w:rsid w:val="08DA69E5"/>
    <w:rsid w:val="08DA6A30"/>
    <w:rsid w:val="08DA6A7A"/>
    <w:rsid w:val="08DA6A90"/>
    <w:rsid w:val="08DA6ABA"/>
    <w:rsid w:val="08DA6ADB"/>
    <w:rsid w:val="08DA6AF7"/>
    <w:rsid w:val="08DA6B40"/>
    <w:rsid w:val="08DA6B48"/>
    <w:rsid w:val="08DA6BE0"/>
    <w:rsid w:val="08DA6C15"/>
    <w:rsid w:val="08DA6CF1"/>
    <w:rsid w:val="08DA6D7E"/>
    <w:rsid w:val="08DA6D87"/>
    <w:rsid w:val="08DA6DCC"/>
    <w:rsid w:val="08DA6E7B"/>
    <w:rsid w:val="08DA7028"/>
    <w:rsid w:val="08DA702E"/>
    <w:rsid w:val="08DA70B5"/>
    <w:rsid w:val="08DA70E6"/>
    <w:rsid w:val="08DA710A"/>
    <w:rsid w:val="08DA712F"/>
    <w:rsid w:val="08DA7154"/>
    <w:rsid w:val="08DA7248"/>
    <w:rsid w:val="08DA7264"/>
    <w:rsid w:val="08DA7393"/>
    <w:rsid w:val="08DA739F"/>
    <w:rsid w:val="08DA7436"/>
    <w:rsid w:val="08DA74E0"/>
    <w:rsid w:val="08DA750E"/>
    <w:rsid w:val="08DA75DC"/>
    <w:rsid w:val="08DA765B"/>
    <w:rsid w:val="08DA774E"/>
    <w:rsid w:val="08DA7783"/>
    <w:rsid w:val="08DA77D4"/>
    <w:rsid w:val="08DA7844"/>
    <w:rsid w:val="08DA7850"/>
    <w:rsid w:val="08DA788C"/>
    <w:rsid w:val="08DA7909"/>
    <w:rsid w:val="08DA792D"/>
    <w:rsid w:val="08DA7AFB"/>
    <w:rsid w:val="08DA7D1E"/>
    <w:rsid w:val="08DA7D82"/>
    <w:rsid w:val="08DA7DC8"/>
    <w:rsid w:val="08DA7DE3"/>
    <w:rsid w:val="08DA7E17"/>
    <w:rsid w:val="08DA7E48"/>
    <w:rsid w:val="08DA7E84"/>
    <w:rsid w:val="08DA7E9D"/>
    <w:rsid w:val="08DA7EB3"/>
    <w:rsid w:val="08DA7EB7"/>
    <w:rsid w:val="08DA7EEA"/>
    <w:rsid w:val="08DA7F2A"/>
    <w:rsid w:val="08DA7F6A"/>
    <w:rsid w:val="08DA7FE0"/>
    <w:rsid w:val="08DB0039"/>
    <w:rsid w:val="08DB007E"/>
    <w:rsid w:val="08DB00A8"/>
    <w:rsid w:val="08DB00CB"/>
    <w:rsid w:val="08DB00D0"/>
    <w:rsid w:val="08DB0122"/>
    <w:rsid w:val="08DB01E8"/>
    <w:rsid w:val="08DB01F5"/>
    <w:rsid w:val="08DB02AD"/>
    <w:rsid w:val="08DB02F8"/>
    <w:rsid w:val="08DB0407"/>
    <w:rsid w:val="08DB04A0"/>
    <w:rsid w:val="08DB051A"/>
    <w:rsid w:val="08DB0530"/>
    <w:rsid w:val="08DB05CF"/>
    <w:rsid w:val="08DB072E"/>
    <w:rsid w:val="08DB0754"/>
    <w:rsid w:val="08DB089E"/>
    <w:rsid w:val="08DB092B"/>
    <w:rsid w:val="08DB09D9"/>
    <w:rsid w:val="08DB09F4"/>
    <w:rsid w:val="08DB0A46"/>
    <w:rsid w:val="08DB0C32"/>
    <w:rsid w:val="08DB0C47"/>
    <w:rsid w:val="08DB0C4E"/>
    <w:rsid w:val="08DB0C63"/>
    <w:rsid w:val="08DB0C68"/>
    <w:rsid w:val="08DB0D5D"/>
    <w:rsid w:val="08DB0D77"/>
    <w:rsid w:val="08DB0D97"/>
    <w:rsid w:val="08DB0DC2"/>
    <w:rsid w:val="08DB0E54"/>
    <w:rsid w:val="08DB0F49"/>
    <w:rsid w:val="08DB0FED"/>
    <w:rsid w:val="08DB1042"/>
    <w:rsid w:val="08DB111E"/>
    <w:rsid w:val="08DB1157"/>
    <w:rsid w:val="08DB11CD"/>
    <w:rsid w:val="08DB11DF"/>
    <w:rsid w:val="08DB1201"/>
    <w:rsid w:val="08DB1218"/>
    <w:rsid w:val="08DB124D"/>
    <w:rsid w:val="08DB1252"/>
    <w:rsid w:val="08DB129F"/>
    <w:rsid w:val="08DB133D"/>
    <w:rsid w:val="08DB1365"/>
    <w:rsid w:val="08DB1511"/>
    <w:rsid w:val="08DB155B"/>
    <w:rsid w:val="08DB155D"/>
    <w:rsid w:val="08DB1601"/>
    <w:rsid w:val="08DB1616"/>
    <w:rsid w:val="08DB16B7"/>
    <w:rsid w:val="08DB1805"/>
    <w:rsid w:val="08DB1937"/>
    <w:rsid w:val="08DB1961"/>
    <w:rsid w:val="08DB1994"/>
    <w:rsid w:val="08DB1A3D"/>
    <w:rsid w:val="08DB1A65"/>
    <w:rsid w:val="08DB1C08"/>
    <w:rsid w:val="08DB1C0E"/>
    <w:rsid w:val="08DB1CC8"/>
    <w:rsid w:val="08DB1D64"/>
    <w:rsid w:val="08DB1D99"/>
    <w:rsid w:val="08DB1DAF"/>
    <w:rsid w:val="08DB1DD7"/>
    <w:rsid w:val="08DB1E2C"/>
    <w:rsid w:val="08DB1EEA"/>
    <w:rsid w:val="08DB1F59"/>
    <w:rsid w:val="08DB1F66"/>
    <w:rsid w:val="08DB201F"/>
    <w:rsid w:val="08DB2024"/>
    <w:rsid w:val="08DB20CB"/>
    <w:rsid w:val="08DB213B"/>
    <w:rsid w:val="08DB224F"/>
    <w:rsid w:val="08DB22DF"/>
    <w:rsid w:val="08DB22E6"/>
    <w:rsid w:val="08DB2336"/>
    <w:rsid w:val="08DB23C3"/>
    <w:rsid w:val="08DB23E6"/>
    <w:rsid w:val="08DB2402"/>
    <w:rsid w:val="08DB2442"/>
    <w:rsid w:val="08DB247B"/>
    <w:rsid w:val="08DB24E5"/>
    <w:rsid w:val="08DB2528"/>
    <w:rsid w:val="08DB2585"/>
    <w:rsid w:val="08DB2621"/>
    <w:rsid w:val="08DB27A9"/>
    <w:rsid w:val="08DB28D4"/>
    <w:rsid w:val="08DB2905"/>
    <w:rsid w:val="08DB2956"/>
    <w:rsid w:val="08DB2968"/>
    <w:rsid w:val="08DB297A"/>
    <w:rsid w:val="08DB2997"/>
    <w:rsid w:val="08DB29B0"/>
    <w:rsid w:val="08DB2A04"/>
    <w:rsid w:val="08DB2A0B"/>
    <w:rsid w:val="08DB2B34"/>
    <w:rsid w:val="08DB2BD2"/>
    <w:rsid w:val="08DB2C0F"/>
    <w:rsid w:val="08DB2C25"/>
    <w:rsid w:val="08DB2C6E"/>
    <w:rsid w:val="08DB2C9E"/>
    <w:rsid w:val="08DB2DAA"/>
    <w:rsid w:val="08DB2F2B"/>
    <w:rsid w:val="08DB2F52"/>
    <w:rsid w:val="08DB2F59"/>
    <w:rsid w:val="08DB2F87"/>
    <w:rsid w:val="08DB3051"/>
    <w:rsid w:val="08DB3095"/>
    <w:rsid w:val="08DB314A"/>
    <w:rsid w:val="08DB3185"/>
    <w:rsid w:val="08DB319A"/>
    <w:rsid w:val="08DB31DC"/>
    <w:rsid w:val="08DB31FA"/>
    <w:rsid w:val="08DB32A3"/>
    <w:rsid w:val="08DB3467"/>
    <w:rsid w:val="08DB347F"/>
    <w:rsid w:val="08DB34CB"/>
    <w:rsid w:val="08DB3570"/>
    <w:rsid w:val="08DB35AC"/>
    <w:rsid w:val="08DB35F9"/>
    <w:rsid w:val="08DB3601"/>
    <w:rsid w:val="08DB361A"/>
    <w:rsid w:val="08DB364C"/>
    <w:rsid w:val="08DB365C"/>
    <w:rsid w:val="08DB36B8"/>
    <w:rsid w:val="08DB36D8"/>
    <w:rsid w:val="08DB36EE"/>
    <w:rsid w:val="08DB370E"/>
    <w:rsid w:val="08DB3713"/>
    <w:rsid w:val="08DB37EF"/>
    <w:rsid w:val="08DB3803"/>
    <w:rsid w:val="08DB386D"/>
    <w:rsid w:val="08DB38C1"/>
    <w:rsid w:val="08DB38D6"/>
    <w:rsid w:val="08DB38FF"/>
    <w:rsid w:val="08DB390F"/>
    <w:rsid w:val="08DB391C"/>
    <w:rsid w:val="08DB3953"/>
    <w:rsid w:val="08DB395E"/>
    <w:rsid w:val="08DB39D1"/>
    <w:rsid w:val="08DB3AB6"/>
    <w:rsid w:val="08DB3ABC"/>
    <w:rsid w:val="08DB3AED"/>
    <w:rsid w:val="08DB3B3E"/>
    <w:rsid w:val="08DB3B58"/>
    <w:rsid w:val="08DB3C90"/>
    <w:rsid w:val="08DB3C96"/>
    <w:rsid w:val="08DB3D51"/>
    <w:rsid w:val="08DB3E7B"/>
    <w:rsid w:val="08DB3E8D"/>
    <w:rsid w:val="08DB3EA7"/>
    <w:rsid w:val="08DB3F6E"/>
    <w:rsid w:val="08DB3FD5"/>
    <w:rsid w:val="08DB4034"/>
    <w:rsid w:val="08DB4041"/>
    <w:rsid w:val="08DB4083"/>
    <w:rsid w:val="08DB4208"/>
    <w:rsid w:val="08DB42C7"/>
    <w:rsid w:val="08DB42CC"/>
    <w:rsid w:val="08DB4309"/>
    <w:rsid w:val="08DB430F"/>
    <w:rsid w:val="08DB43DA"/>
    <w:rsid w:val="08DB4411"/>
    <w:rsid w:val="08DB44F0"/>
    <w:rsid w:val="08DB453F"/>
    <w:rsid w:val="08DB4568"/>
    <w:rsid w:val="08DB45EE"/>
    <w:rsid w:val="08DB473C"/>
    <w:rsid w:val="08DB481C"/>
    <w:rsid w:val="08DB486B"/>
    <w:rsid w:val="08DB48E6"/>
    <w:rsid w:val="08DB4C4E"/>
    <w:rsid w:val="08DB4C56"/>
    <w:rsid w:val="08DB4C68"/>
    <w:rsid w:val="08DB4DA3"/>
    <w:rsid w:val="08DB4DC5"/>
    <w:rsid w:val="08DB4E74"/>
    <w:rsid w:val="08DB4EFE"/>
    <w:rsid w:val="08DB4F2B"/>
    <w:rsid w:val="08DB5055"/>
    <w:rsid w:val="08DB5160"/>
    <w:rsid w:val="08DB51CF"/>
    <w:rsid w:val="08DB521F"/>
    <w:rsid w:val="08DB5307"/>
    <w:rsid w:val="08DB5334"/>
    <w:rsid w:val="08DB533A"/>
    <w:rsid w:val="08DB537A"/>
    <w:rsid w:val="08DB5487"/>
    <w:rsid w:val="08DB5491"/>
    <w:rsid w:val="08DB54A6"/>
    <w:rsid w:val="08DB551D"/>
    <w:rsid w:val="08DB55CD"/>
    <w:rsid w:val="08DB55E8"/>
    <w:rsid w:val="08DB56DB"/>
    <w:rsid w:val="08DB5832"/>
    <w:rsid w:val="08DB59C7"/>
    <w:rsid w:val="08DB59CB"/>
    <w:rsid w:val="08DB5A19"/>
    <w:rsid w:val="08DB5A97"/>
    <w:rsid w:val="08DB5C5D"/>
    <w:rsid w:val="08DB5C9D"/>
    <w:rsid w:val="08DB5CCF"/>
    <w:rsid w:val="08DB5D91"/>
    <w:rsid w:val="08DB5DC8"/>
    <w:rsid w:val="08DB5DD3"/>
    <w:rsid w:val="08DB5E8E"/>
    <w:rsid w:val="08DB5EF6"/>
    <w:rsid w:val="08DB5EFF"/>
    <w:rsid w:val="08DB60B9"/>
    <w:rsid w:val="08DB6103"/>
    <w:rsid w:val="08DB61BE"/>
    <w:rsid w:val="08DB6382"/>
    <w:rsid w:val="08DB6430"/>
    <w:rsid w:val="08DB6439"/>
    <w:rsid w:val="08DB6487"/>
    <w:rsid w:val="08DB64CF"/>
    <w:rsid w:val="08DB656B"/>
    <w:rsid w:val="08DB6578"/>
    <w:rsid w:val="08DB6594"/>
    <w:rsid w:val="08DB65C3"/>
    <w:rsid w:val="08DB669C"/>
    <w:rsid w:val="08DB66FB"/>
    <w:rsid w:val="08DB6944"/>
    <w:rsid w:val="08DB6A01"/>
    <w:rsid w:val="08DB6A22"/>
    <w:rsid w:val="08DB6A5B"/>
    <w:rsid w:val="08DB6A92"/>
    <w:rsid w:val="08DB6B22"/>
    <w:rsid w:val="08DB6B40"/>
    <w:rsid w:val="08DB6B48"/>
    <w:rsid w:val="08DB6BB7"/>
    <w:rsid w:val="08DB6C2B"/>
    <w:rsid w:val="08DB6C5E"/>
    <w:rsid w:val="08DB6CCD"/>
    <w:rsid w:val="08DB6D09"/>
    <w:rsid w:val="08DB6D41"/>
    <w:rsid w:val="08DB6D5C"/>
    <w:rsid w:val="08DB6D62"/>
    <w:rsid w:val="08DB6D6E"/>
    <w:rsid w:val="08DB6E76"/>
    <w:rsid w:val="08DB6EF7"/>
    <w:rsid w:val="08DB6F48"/>
    <w:rsid w:val="08DB6F50"/>
    <w:rsid w:val="08DB70F8"/>
    <w:rsid w:val="08DB70FE"/>
    <w:rsid w:val="08DB7139"/>
    <w:rsid w:val="08DB7149"/>
    <w:rsid w:val="08DB717B"/>
    <w:rsid w:val="08DB7233"/>
    <w:rsid w:val="08DB7356"/>
    <w:rsid w:val="08DB742A"/>
    <w:rsid w:val="08DB75B3"/>
    <w:rsid w:val="08DB7639"/>
    <w:rsid w:val="08DB7736"/>
    <w:rsid w:val="08DB77B5"/>
    <w:rsid w:val="08DB77DB"/>
    <w:rsid w:val="08DB789A"/>
    <w:rsid w:val="08DB796F"/>
    <w:rsid w:val="08DB79C9"/>
    <w:rsid w:val="08DB7A3A"/>
    <w:rsid w:val="08DB7A94"/>
    <w:rsid w:val="08DB7B3A"/>
    <w:rsid w:val="08DB7BE3"/>
    <w:rsid w:val="08DB7E45"/>
    <w:rsid w:val="08DB7FCF"/>
    <w:rsid w:val="08DC00EF"/>
    <w:rsid w:val="08DC010F"/>
    <w:rsid w:val="08DC01AB"/>
    <w:rsid w:val="08DC01E7"/>
    <w:rsid w:val="08DC029C"/>
    <w:rsid w:val="08DC03B2"/>
    <w:rsid w:val="08DC03C5"/>
    <w:rsid w:val="08DC0410"/>
    <w:rsid w:val="08DC042C"/>
    <w:rsid w:val="08DC04A1"/>
    <w:rsid w:val="08DC0577"/>
    <w:rsid w:val="08DC05A9"/>
    <w:rsid w:val="08DC0635"/>
    <w:rsid w:val="08DC06CE"/>
    <w:rsid w:val="08DC0819"/>
    <w:rsid w:val="08DC083E"/>
    <w:rsid w:val="08DC0848"/>
    <w:rsid w:val="08DC09E7"/>
    <w:rsid w:val="08DC0A07"/>
    <w:rsid w:val="08DC0AC6"/>
    <w:rsid w:val="08DC0B2D"/>
    <w:rsid w:val="08DC0C23"/>
    <w:rsid w:val="08DC0CBA"/>
    <w:rsid w:val="08DC0CCD"/>
    <w:rsid w:val="08DC0D71"/>
    <w:rsid w:val="08DC0DC2"/>
    <w:rsid w:val="08DC0E70"/>
    <w:rsid w:val="08DC0EA3"/>
    <w:rsid w:val="08DC0FEE"/>
    <w:rsid w:val="08DC11BF"/>
    <w:rsid w:val="08DC12AF"/>
    <w:rsid w:val="08DC1360"/>
    <w:rsid w:val="08DC1508"/>
    <w:rsid w:val="08DC152E"/>
    <w:rsid w:val="08DC1568"/>
    <w:rsid w:val="08DC15B1"/>
    <w:rsid w:val="08DC16A6"/>
    <w:rsid w:val="08DC1729"/>
    <w:rsid w:val="08DC172A"/>
    <w:rsid w:val="08DC1750"/>
    <w:rsid w:val="08DC1833"/>
    <w:rsid w:val="08DC188E"/>
    <w:rsid w:val="08DC19EE"/>
    <w:rsid w:val="08DC1A69"/>
    <w:rsid w:val="08DC1AA8"/>
    <w:rsid w:val="08DC1B14"/>
    <w:rsid w:val="08DC1B40"/>
    <w:rsid w:val="08DC1B95"/>
    <w:rsid w:val="08DC1C5B"/>
    <w:rsid w:val="08DC1C9B"/>
    <w:rsid w:val="08DC1D55"/>
    <w:rsid w:val="08DC1D63"/>
    <w:rsid w:val="08DC1D7D"/>
    <w:rsid w:val="08DC1D8E"/>
    <w:rsid w:val="08DC1D94"/>
    <w:rsid w:val="08DC1DD7"/>
    <w:rsid w:val="08DC1EFA"/>
    <w:rsid w:val="08DC1F09"/>
    <w:rsid w:val="08DC1FC0"/>
    <w:rsid w:val="08DC2163"/>
    <w:rsid w:val="08DC21B5"/>
    <w:rsid w:val="08DC2224"/>
    <w:rsid w:val="08DC22F2"/>
    <w:rsid w:val="08DC2393"/>
    <w:rsid w:val="08DC28DA"/>
    <w:rsid w:val="08DC28DF"/>
    <w:rsid w:val="08DC294B"/>
    <w:rsid w:val="08DC297F"/>
    <w:rsid w:val="08DC299B"/>
    <w:rsid w:val="08DC2A3F"/>
    <w:rsid w:val="08DC2AD7"/>
    <w:rsid w:val="08DC2B44"/>
    <w:rsid w:val="08DC2C7C"/>
    <w:rsid w:val="08DC2CC0"/>
    <w:rsid w:val="08DC2CD0"/>
    <w:rsid w:val="08DC2CEB"/>
    <w:rsid w:val="08DC2D22"/>
    <w:rsid w:val="08DC2D2C"/>
    <w:rsid w:val="08DC2D69"/>
    <w:rsid w:val="08DC2DB8"/>
    <w:rsid w:val="08DC2E86"/>
    <w:rsid w:val="08DC2E93"/>
    <w:rsid w:val="08DC2EC2"/>
    <w:rsid w:val="08DC2ED9"/>
    <w:rsid w:val="08DC2EDF"/>
    <w:rsid w:val="08DC2F6B"/>
    <w:rsid w:val="08DC2F7A"/>
    <w:rsid w:val="08DC30C4"/>
    <w:rsid w:val="08DC312F"/>
    <w:rsid w:val="08DC3250"/>
    <w:rsid w:val="08DC32FB"/>
    <w:rsid w:val="08DC3344"/>
    <w:rsid w:val="08DC33BF"/>
    <w:rsid w:val="08DC3483"/>
    <w:rsid w:val="08DC3493"/>
    <w:rsid w:val="08DC350C"/>
    <w:rsid w:val="08DC3592"/>
    <w:rsid w:val="08DC35D7"/>
    <w:rsid w:val="08DC35F0"/>
    <w:rsid w:val="08DC35F9"/>
    <w:rsid w:val="08DC3639"/>
    <w:rsid w:val="08DC3650"/>
    <w:rsid w:val="08DC36B6"/>
    <w:rsid w:val="08DC3711"/>
    <w:rsid w:val="08DC3712"/>
    <w:rsid w:val="08DC3726"/>
    <w:rsid w:val="08DC37AC"/>
    <w:rsid w:val="08DC37B7"/>
    <w:rsid w:val="08DC3843"/>
    <w:rsid w:val="08DC3844"/>
    <w:rsid w:val="08DC388F"/>
    <w:rsid w:val="08DC3964"/>
    <w:rsid w:val="08DC39D7"/>
    <w:rsid w:val="08DC3A05"/>
    <w:rsid w:val="08DC3ABD"/>
    <w:rsid w:val="08DC3B03"/>
    <w:rsid w:val="08DC3BE7"/>
    <w:rsid w:val="08DC3CD8"/>
    <w:rsid w:val="08DC3DD4"/>
    <w:rsid w:val="08DC3DD9"/>
    <w:rsid w:val="08DC3DE9"/>
    <w:rsid w:val="08DC3E2B"/>
    <w:rsid w:val="08DC3EAC"/>
    <w:rsid w:val="08DC3EB2"/>
    <w:rsid w:val="08DC3EBC"/>
    <w:rsid w:val="08DC3ED8"/>
    <w:rsid w:val="08DC3F99"/>
    <w:rsid w:val="08DC3FA2"/>
    <w:rsid w:val="08DC404A"/>
    <w:rsid w:val="08DC404E"/>
    <w:rsid w:val="08DC406B"/>
    <w:rsid w:val="08DC40AC"/>
    <w:rsid w:val="08DC40AD"/>
    <w:rsid w:val="08DC40BE"/>
    <w:rsid w:val="08DC41B3"/>
    <w:rsid w:val="08DC42A4"/>
    <w:rsid w:val="08DC43A4"/>
    <w:rsid w:val="08DC43B0"/>
    <w:rsid w:val="08DC43D5"/>
    <w:rsid w:val="08DC43FD"/>
    <w:rsid w:val="08DC4401"/>
    <w:rsid w:val="08DC444D"/>
    <w:rsid w:val="08DC4491"/>
    <w:rsid w:val="08DC4499"/>
    <w:rsid w:val="08DC4513"/>
    <w:rsid w:val="08DC45A2"/>
    <w:rsid w:val="08DC464C"/>
    <w:rsid w:val="08DC46B8"/>
    <w:rsid w:val="08DC47AD"/>
    <w:rsid w:val="08DC47BC"/>
    <w:rsid w:val="08DC47C8"/>
    <w:rsid w:val="08DC4982"/>
    <w:rsid w:val="08DC4A04"/>
    <w:rsid w:val="08DC4A44"/>
    <w:rsid w:val="08DC4A48"/>
    <w:rsid w:val="08DC4A55"/>
    <w:rsid w:val="08DC4AE5"/>
    <w:rsid w:val="08DC4C0D"/>
    <w:rsid w:val="08DC4C0F"/>
    <w:rsid w:val="08DC4C3C"/>
    <w:rsid w:val="08DC4C56"/>
    <w:rsid w:val="08DC4C75"/>
    <w:rsid w:val="08DC4D91"/>
    <w:rsid w:val="08DC4E59"/>
    <w:rsid w:val="08DC4E6E"/>
    <w:rsid w:val="08DC4F36"/>
    <w:rsid w:val="08DC4FDE"/>
    <w:rsid w:val="08DC5046"/>
    <w:rsid w:val="08DC50B9"/>
    <w:rsid w:val="08DC50F0"/>
    <w:rsid w:val="08DC50FA"/>
    <w:rsid w:val="08DC5126"/>
    <w:rsid w:val="08DC5134"/>
    <w:rsid w:val="08DC5159"/>
    <w:rsid w:val="08DC51BA"/>
    <w:rsid w:val="08DC51C6"/>
    <w:rsid w:val="08DC524E"/>
    <w:rsid w:val="08DC5271"/>
    <w:rsid w:val="08DC52C1"/>
    <w:rsid w:val="08DC52C5"/>
    <w:rsid w:val="08DC52F1"/>
    <w:rsid w:val="08DC534F"/>
    <w:rsid w:val="08DC5381"/>
    <w:rsid w:val="08DC53AA"/>
    <w:rsid w:val="08DC53C7"/>
    <w:rsid w:val="08DC5478"/>
    <w:rsid w:val="08DC54BC"/>
    <w:rsid w:val="08DC54C3"/>
    <w:rsid w:val="08DC5518"/>
    <w:rsid w:val="08DC5538"/>
    <w:rsid w:val="08DC5580"/>
    <w:rsid w:val="08DC55F7"/>
    <w:rsid w:val="08DC5783"/>
    <w:rsid w:val="08DC5809"/>
    <w:rsid w:val="08DC58EE"/>
    <w:rsid w:val="08DC59C4"/>
    <w:rsid w:val="08DC5AAC"/>
    <w:rsid w:val="08DC5AF7"/>
    <w:rsid w:val="08DC5B58"/>
    <w:rsid w:val="08DC5B59"/>
    <w:rsid w:val="08DC5BAA"/>
    <w:rsid w:val="08DC5BAD"/>
    <w:rsid w:val="08DC5CBE"/>
    <w:rsid w:val="08DC5CC0"/>
    <w:rsid w:val="08DC5CF9"/>
    <w:rsid w:val="08DC5D26"/>
    <w:rsid w:val="08DC5D33"/>
    <w:rsid w:val="08DC5D44"/>
    <w:rsid w:val="08DC5E1B"/>
    <w:rsid w:val="08DC5E60"/>
    <w:rsid w:val="08DC5EC2"/>
    <w:rsid w:val="08DC5F2E"/>
    <w:rsid w:val="08DC6026"/>
    <w:rsid w:val="08DC6045"/>
    <w:rsid w:val="08DC60AC"/>
    <w:rsid w:val="08DC60BD"/>
    <w:rsid w:val="08DC6117"/>
    <w:rsid w:val="08DC621D"/>
    <w:rsid w:val="08DC622C"/>
    <w:rsid w:val="08DC623C"/>
    <w:rsid w:val="08DC62BC"/>
    <w:rsid w:val="08DC62FA"/>
    <w:rsid w:val="08DC6336"/>
    <w:rsid w:val="08DC63D6"/>
    <w:rsid w:val="08DC64DC"/>
    <w:rsid w:val="08DC6537"/>
    <w:rsid w:val="08DC65F5"/>
    <w:rsid w:val="08DC6626"/>
    <w:rsid w:val="08DC667E"/>
    <w:rsid w:val="08DC66FA"/>
    <w:rsid w:val="08DC674C"/>
    <w:rsid w:val="08DC683E"/>
    <w:rsid w:val="08DC6847"/>
    <w:rsid w:val="08DC68F1"/>
    <w:rsid w:val="08DC6AB2"/>
    <w:rsid w:val="08DC6AE5"/>
    <w:rsid w:val="08DC6B37"/>
    <w:rsid w:val="08DC6B59"/>
    <w:rsid w:val="08DC6CE6"/>
    <w:rsid w:val="08DC6D30"/>
    <w:rsid w:val="08DC6D45"/>
    <w:rsid w:val="08DC6D7A"/>
    <w:rsid w:val="08DC6D88"/>
    <w:rsid w:val="08DC6DCB"/>
    <w:rsid w:val="08DC6E47"/>
    <w:rsid w:val="08DC6EF6"/>
    <w:rsid w:val="08DC6FC2"/>
    <w:rsid w:val="08DC6FE7"/>
    <w:rsid w:val="08DC6FEF"/>
    <w:rsid w:val="08DC6FFA"/>
    <w:rsid w:val="08DC7050"/>
    <w:rsid w:val="08DC7068"/>
    <w:rsid w:val="08DC7192"/>
    <w:rsid w:val="08DC71A3"/>
    <w:rsid w:val="08DC71C1"/>
    <w:rsid w:val="08DC7376"/>
    <w:rsid w:val="08DC73CA"/>
    <w:rsid w:val="08DC74B6"/>
    <w:rsid w:val="08DC757D"/>
    <w:rsid w:val="08DC75BD"/>
    <w:rsid w:val="08DC7634"/>
    <w:rsid w:val="08DC7784"/>
    <w:rsid w:val="08DC77C7"/>
    <w:rsid w:val="08DC781F"/>
    <w:rsid w:val="08DC78BE"/>
    <w:rsid w:val="08DC7955"/>
    <w:rsid w:val="08DC79BE"/>
    <w:rsid w:val="08DC79E2"/>
    <w:rsid w:val="08DC7A8D"/>
    <w:rsid w:val="08DC7D35"/>
    <w:rsid w:val="08DC7DED"/>
    <w:rsid w:val="08DC7E26"/>
    <w:rsid w:val="08DC7E53"/>
    <w:rsid w:val="08DC7F72"/>
    <w:rsid w:val="08DC7FC3"/>
    <w:rsid w:val="08DD0068"/>
    <w:rsid w:val="08DD0084"/>
    <w:rsid w:val="08DD0120"/>
    <w:rsid w:val="08DD016C"/>
    <w:rsid w:val="08DD02BC"/>
    <w:rsid w:val="08DD04CB"/>
    <w:rsid w:val="08DD04E9"/>
    <w:rsid w:val="08DD0578"/>
    <w:rsid w:val="08DD059B"/>
    <w:rsid w:val="08DD05AB"/>
    <w:rsid w:val="08DD063A"/>
    <w:rsid w:val="08DD0672"/>
    <w:rsid w:val="08DD07AF"/>
    <w:rsid w:val="08DD07E2"/>
    <w:rsid w:val="08DD08B1"/>
    <w:rsid w:val="08DD08E1"/>
    <w:rsid w:val="08DD093B"/>
    <w:rsid w:val="08DD097E"/>
    <w:rsid w:val="08DD09A9"/>
    <w:rsid w:val="08DD09FF"/>
    <w:rsid w:val="08DD0A3A"/>
    <w:rsid w:val="08DD0A92"/>
    <w:rsid w:val="08DD0B85"/>
    <w:rsid w:val="08DD0BA9"/>
    <w:rsid w:val="08DD0BC8"/>
    <w:rsid w:val="08DD0C4E"/>
    <w:rsid w:val="08DD0CE9"/>
    <w:rsid w:val="08DD0D5F"/>
    <w:rsid w:val="08DD0DBB"/>
    <w:rsid w:val="08DD0E93"/>
    <w:rsid w:val="08DD0F7B"/>
    <w:rsid w:val="08DD0F8A"/>
    <w:rsid w:val="08DD1040"/>
    <w:rsid w:val="08DD10AF"/>
    <w:rsid w:val="08DD10D8"/>
    <w:rsid w:val="08DD1149"/>
    <w:rsid w:val="08DD1160"/>
    <w:rsid w:val="08DD11F5"/>
    <w:rsid w:val="08DD1318"/>
    <w:rsid w:val="08DD13F3"/>
    <w:rsid w:val="08DD1501"/>
    <w:rsid w:val="08DD1547"/>
    <w:rsid w:val="08DD17AA"/>
    <w:rsid w:val="08DD1807"/>
    <w:rsid w:val="08DD1887"/>
    <w:rsid w:val="08DD18D3"/>
    <w:rsid w:val="08DD198D"/>
    <w:rsid w:val="08DD1A0B"/>
    <w:rsid w:val="08DD1A5A"/>
    <w:rsid w:val="08DD1B16"/>
    <w:rsid w:val="08DD1B7B"/>
    <w:rsid w:val="08DD1BED"/>
    <w:rsid w:val="08DD1C4E"/>
    <w:rsid w:val="08DD1CAA"/>
    <w:rsid w:val="08DD1CAF"/>
    <w:rsid w:val="08DD1CEA"/>
    <w:rsid w:val="08DD1DB7"/>
    <w:rsid w:val="08DD1DD3"/>
    <w:rsid w:val="08DD1EA0"/>
    <w:rsid w:val="08DD1FB8"/>
    <w:rsid w:val="08DD1FE3"/>
    <w:rsid w:val="08DD1FEA"/>
    <w:rsid w:val="08DD2004"/>
    <w:rsid w:val="08DD2006"/>
    <w:rsid w:val="08DD2077"/>
    <w:rsid w:val="08DD20E8"/>
    <w:rsid w:val="08DD210F"/>
    <w:rsid w:val="08DD2143"/>
    <w:rsid w:val="08DD2197"/>
    <w:rsid w:val="08DD21E4"/>
    <w:rsid w:val="08DD244F"/>
    <w:rsid w:val="08DD251E"/>
    <w:rsid w:val="08DD254E"/>
    <w:rsid w:val="08DD265D"/>
    <w:rsid w:val="08DD26BA"/>
    <w:rsid w:val="08DD271E"/>
    <w:rsid w:val="08DD27A3"/>
    <w:rsid w:val="08DD2859"/>
    <w:rsid w:val="08DD28CE"/>
    <w:rsid w:val="08DD28F7"/>
    <w:rsid w:val="08DD291C"/>
    <w:rsid w:val="08DD2948"/>
    <w:rsid w:val="08DD2967"/>
    <w:rsid w:val="08DD2984"/>
    <w:rsid w:val="08DD29A4"/>
    <w:rsid w:val="08DD29B0"/>
    <w:rsid w:val="08DD29E1"/>
    <w:rsid w:val="08DD2A5E"/>
    <w:rsid w:val="08DD2A93"/>
    <w:rsid w:val="08DD2AA4"/>
    <w:rsid w:val="08DD2AF6"/>
    <w:rsid w:val="08DD2B2F"/>
    <w:rsid w:val="08DD2BC5"/>
    <w:rsid w:val="08DD2BCF"/>
    <w:rsid w:val="08DD2C1E"/>
    <w:rsid w:val="08DD2C9C"/>
    <w:rsid w:val="08DD2CAF"/>
    <w:rsid w:val="08DD2CFC"/>
    <w:rsid w:val="08DD2CFF"/>
    <w:rsid w:val="08DD2DC1"/>
    <w:rsid w:val="08DD2DE9"/>
    <w:rsid w:val="08DD2E62"/>
    <w:rsid w:val="08DD2F12"/>
    <w:rsid w:val="08DD2F62"/>
    <w:rsid w:val="08DD302D"/>
    <w:rsid w:val="08DD30A2"/>
    <w:rsid w:val="08DD30D1"/>
    <w:rsid w:val="08DD314D"/>
    <w:rsid w:val="08DD316A"/>
    <w:rsid w:val="08DD316F"/>
    <w:rsid w:val="08DD317C"/>
    <w:rsid w:val="08DD31D1"/>
    <w:rsid w:val="08DD31DD"/>
    <w:rsid w:val="08DD31EF"/>
    <w:rsid w:val="08DD31FF"/>
    <w:rsid w:val="08DD32BB"/>
    <w:rsid w:val="08DD340D"/>
    <w:rsid w:val="08DD341C"/>
    <w:rsid w:val="08DD345E"/>
    <w:rsid w:val="08DD349B"/>
    <w:rsid w:val="08DD350C"/>
    <w:rsid w:val="08DD3555"/>
    <w:rsid w:val="08DD3563"/>
    <w:rsid w:val="08DD37B9"/>
    <w:rsid w:val="08DD38A4"/>
    <w:rsid w:val="08DD399C"/>
    <w:rsid w:val="08DD39C6"/>
    <w:rsid w:val="08DD39DA"/>
    <w:rsid w:val="08DD3A4C"/>
    <w:rsid w:val="08DD3A4F"/>
    <w:rsid w:val="08DD3A5D"/>
    <w:rsid w:val="08DD3AAB"/>
    <w:rsid w:val="08DD3AFC"/>
    <w:rsid w:val="08DD3B27"/>
    <w:rsid w:val="08DD3B73"/>
    <w:rsid w:val="08DD3BCB"/>
    <w:rsid w:val="08DD3BD1"/>
    <w:rsid w:val="08DD3BD6"/>
    <w:rsid w:val="08DD3C3D"/>
    <w:rsid w:val="08DD3D13"/>
    <w:rsid w:val="08DD3D31"/>
    <w:rsid w:val="08DD3DC3"/>
    <w:rsid w:val="08DD3EB4"/>
    <w:rsid w:val="08DD3EE2"/>
    <w:rsid w:val="08DD3EE4"/>
    <w:rsid w:val="08DD3FC9"/>
    <w:rsid w:val="08DD406B"/>
    <w:rsid w:val="08DD406D"/>
    <w:rsid w:val="08DD40A7"/>
    <w:rsid w:val="08DD40CA"/>
    <w:rsid w:val="08DD40DA"/>
    <w:rsid w:val="08DD438A"/>
    <w:rsid w:val="08DD43B4"/>
    <w:rsid w:val="08DD4460"/>
    <w:rsid w:val="08DD4495"/>
    <w:rsid w:val="08DD44D2"/>
    <w:rsid w:val="08DD451B"/>
    <w:rsid w:val="08DD456B"/>
    <w:rsid w:val="08DD4573"/>
    <w:rsid w:val="08DD4594"/>
    <w:rsid w:val="08DD461C"/>
    <w:rsid w:val="08DD468F"/>
    <w:rsid w:val="08DD46B1"/>
    <w:rsid w:val="08DD46C3"/>
    <w:rsid w:val="08DD46F7"/>
    <w:rsid w:val="08DD46FE"/>
    <w:rsid w:val="08DD4700"/>
    <w:rsid w:val="08DD498B"/>
    <w:rsid w:val="08DD49DE"/>
    <w:rsid w:val="08DD4A60"/>
    <w:rsid w:val="08DD4C40"/>
    <w:rsid w:val="08DD4D66"/>
    <w:rsid w:val="08DD4E38"/>
    <w:rsid w:val="08DD4E96"/>
    <w:rsid w:val="08DD5086"/>
    <w:rsid w:val="08DD50BD"/>
    <w:rsid w:val="08DD5173"/>
    <w:rsid w:val="08DD5208"/>
    <w:rsid w:val="08DD5232"/>
    <w:rsid w:val="08DD52F5"/>
    <w:rsid w:val="08DD52FC"/>
    <w:rsid w:val="08DD533B"/>
    <w:rsid w:val="08DD5359"/>
    <w:rsid w:val="08DD539B"/>
    <w:rsid w:val="08DD53EA"/>
    <w:rsid w:val="08DD5451"/>
    <w:rsid w:val="08DD5571"/>
    <w:rsid w:val="08DD559C"/>
    <w:rsid w:val="08DD55BC"/>
    <w:rsid w:val="08DD55E4"/>
    <w:rsid w:val="08DD560A"/>
    <w:rsid w:val="08DD560B"/>
    <w:rsid w:val="08DD577C"/>
    <w:rsid w:val="08DD57F9"/>
    <w:rsid w:val="08DD585F"/>
    <w:rsid w:val="08DD59B5"/>
    <w:rsid w:val="08DD5A65"/>
    <w:rsid w:val="08DD5ACF"/>
    <w:rsid w:val="08DD5BB6"/>
    <w:rsid w:val="08DD5D29"/>
    <w:rsid w:val="08DD5D3D"/>
    <w:rsid w:val="08DD5D62"/>
    <w:rsid w:val="08DD5E07"/>
    <w:rsid w:val="08DD5EE5"/>
    <w:rsid w:val="08DD5F65"/>
    <w:rsid w:val="08DD5F66"/>
    <w:rsid w:val="08DD5FFB"/>
    <w:rsid w:val="08DD6040"/>
    <w:rsid w:val="08DD6248"/>
    <w:rsid w:val="08DD62A0"/>
    <w:rsid w:val="08DD6338"/>
    <w:rsid w:val="08DD64E9"/>
    <w:rsid w:val="08DD650A"/>
    <w:rsid w:val="08DD667C"/>
    <w:rsid w:val="08DD6731"/>
    <w:rsid w:val="08DD6769"/>
    <w:rsid w:val="08DD67AD"/>
    <w:rsid w:val="08DD67DC"/>
    <w:rsid w:val="08DD67E9"/>
    <w:rsid w:val="08DD6A3C"/>
    <w:rsid w:val="08DD6AA1"/>
    <w:rsid w:val="08DD6B52"/>
    <w:rsid w:val="08DD6B72"/>
    <w:rsid w:val="08DD6CC8"/>
    <w:rsid w:val="08DD6CD8"/>
    <w:rsid w:val="08DD6D04"/>
    <w:rsid w:val="08DD6D27"/>
    <w:rsid w:val="08DD6D28"/>
    <w:rsid w:val="08DD6D48"/>
    <w:rsid w:val="08DD6D52"/>
    <w:rsid w:val="08DD6D6D"/>
    <w:rsid w:val="08DD6DEA"/>
    <w:rsid w:val="08DD718C"/>
    <w:rsid w:val="08DD7261"/>
    <w:rsid w:val="08DD727F"/>
    <w:rsid w:val="08DD7292"/>
    <w:rsid w:val="08DD7295"/>
    <w:rsid w:val="08DD736C"/>
    <w:rsid w:val="08DD7391"/>
    <w:rsid w:val="08DD73BA"/>
    <w:rsid w:val="08DD73BD"/>
    <w:rsid w:val="08DD741F"/>
    <w:rsid w:val="08DD744E"/>
    <w:rsid w:val="08DD75E2"/>
    <w:rsid w:val="08DD769E"/>
    <w:rsid w:val="08DD777E"/>
    <w:rsid w:val="08DD77EA"/>
    <w:rsid w:val="08DD7812"/>
    <w:rsid w:val="08DD7899"/>
    <w:rsid w:val="08DD7953"/>
    <w:rsid w:val="08DD798C"/>
    <w:rsid w:val="08DD7A77"/>
    <w:rsid w:val="08DD7AB6"/>
    <w:rsid w:val="08DD7AC6"/>
    <w:rsid w:val="08DD7C1B"/>
    <w:rsid w:val="08DD7E7B"/>
    <w:rsid w:val="08DD7ECB"/>
    <w:rsid w:val="08DD7F33"/>
    <w:rsid w:val="08DD7F84"/>
    <w:rsid w:val="08DD7F9B"/>
    <w:rsid w:val="08DE0114"/>
    <w:rsid w:val="08DE0193"/>
    <w:rsid w:val="08DE0280"/>
    <w:rsid w:val="08DE0309"/>
    <w:rsid w:val="08DE030C"/>
    <w:rsid w:val="08DE0431"/>
    <w:rsid w:val="08DE0555"/>
    <w:rsid w:val="08DE0681"/>
    <w:rsid w:val="08DE0711"/>
    <w:rsid w:val="08DE07E3"/>
    <w:rsid w:val="08DE08C8"/>
    <w:rsid w:val="08DE08D6"/>
    <w:rsid w:val="08DE0996"/>
    <w:rsid w:val="08DE09F8"/>
    <w:rsid w:val="08DE0A36"/>
    <w:rsid w:val="08DE0A8F"/>
    <w:rsid w:val="08DE0A90"/>
    <w:rsid w:val="08DE0A99"/>
    <w:rsid w:val="08DE0B5A"/>
    <w:rsid w:val="08DE0C21"/>
    <w:rsid w:val="08DE0C56"/>
    <w:rsid w:val="08DE0CD4"/>
    <w:rsid w:val="08DE0DB2"/>
    <w:rsid w:val="08DE107D"/>
    <w:rsid w:val="08DE10EB"/>
    <w:rsid w:val="08DE1112"/>
    <w:rsid w:val="08DE115B"/>
    <w:rsid w:val="08DE118F"/>
    <w:rsid w:val="08DE11EB"/>
    <w:rsid w:val="08DE128F"/>
    <w:rsid w:val="08DE1337"/>
    <w:rsid w:val="08DE135C"/>
    <w:rsid w:val="08DE13D1"/>
    <w:rsid w:val="08DE14A1"/>
    <w:rsid w:val="08DE14A7"/>
    <w:rsid w:val="08DE14B0"/>
    <w:rsid w:val="08DE14DD"/>
    <w:rsid w:val="08DE164D"/>
    <w:rsid w:val="08DE17C6"/>
    <w:rsid w:val="08DE17F9"/>
    <w:rsid w:val="08DE1828"/>
    <w:rsid w:val="08DE186D"/>
    <w:rsid w:val="08DE186F"/>
    <w:rsid w:val="08DE18BB"/>
    <w:rsid w:val="08DE18ED"/>
    <w:rsid w:val="08DE1949"/>
    <w:rsid w:val="08DE1A9D"/>
    <w:rsid w:val="08DE1B2A"/>
    <w:rsid w:val="08DE1B3E"/>
    <w:rsid w:val="08DE1B60"/>
    <w:rsid w:val="08DE1BA4"/>
    <w:rsid w:val="08DE1BEC"/>
    <w:rsid w:val="08DE1BEF"/>
    <w:rsid w:val="08DE1C67"/>
    <w:rsid w:val="08DE1C88"/>
    <w:rsid w:val="08DE1D8A"/>
    <w:rsid w:val="08DE1DF0"/>
    <w:rsid w:val="08DE1E99"/>
    <w:rsid w:val="08DE201F"/>
    <w:rsid w:val="08DE2024"/>
    <w:rsid w:val="08DE208B"/>
    <w:rsid w:val="08DE209F"/>
    <w:rsid w:val="08DE225F"/>
    <w:rsid w:val="08DE22B7"/>
    <w:rsid w:val="08DE22D4"/>
    <w:rsid w:val="08DE22DB"/>
    <w:rsid w:val="08DE2352"/>
    <w:rsid w:val="08DE2387"/>
    <w:rsid w:val="08DE23E8"/>
    <w:rsid w:val="08DE23FC"/>
    <w:rsid w:val="08DE2427"/>
    <w:rsid w:val="08DE2497"/>
    <w:rsid w:val="08DE24BF"/>
    <w:rsid w:val="08DE255A"/>
    <w:rsid w:val="08DE2565"/>
    <w:rsid w:val="08DE2578"/>
    <w:rsid w:val="08DE25A3"/>
    <w:rsid w:val="08DE2632"/>
    <w:rsid w:val="08DE2647"/>
    <w:rsid w:val="08DE26CC"/>
    <w:rsid w:val="08DE26D7"/>
    <w:rsid w:val="08DE26DA"/>
    <w:rsid w:val="08DE274E"/>
    <w:rsid w:val="08DE2841"/>
    <w:rsid w:val="08DE286F"/>
    <w:rsid w:val="08DE293C"/>
    <w:rsid w:val="08DE2943"/>
    <w:rsid w:val="08DE29D0"/>
    <w:rsid w:val="08DE2A6D"/>
    <w:rsid w:val="08DE2AA9"/>
    <w:rsid w:val="08DE2BA8"/>
    <w:rsid w:val="08DE2BF7"/>
    <w:rsid w:val="08DE2C31"/>
    <w:rsid w:val="08DE2CB0"/>
    <w:rsid w:val="08DE2CBA"/>
    <w:rsid w:val="08DE2CC0"/>
    <w:rsid w:val="08DE2CE5"/>
    <w:rsid w:val="08DE2D2B"/>
    <w:rsid w:val="08DE2D53"/>
    <w:rsid w:val="08DE2D6F"/>
    <w:rsid w:val="08DE2DD4"/>
    <w:rsid w:val="08DE2E25"/>
    <w:rsid w:val="08DE2E7C"/>
    <w:rsid w:val="08DE2E80"/>
    <w:rsid w:val="08DE2FAE"/>
    <w:rsid w:val="08DE2FCF"/>
    <w:rsid w:val="08DE300F"/>
    <w:rsid w:val="08DE304E"/>
    <w:rsid w:val="08DE306F"/>
    <w:rsid w:val="08DE30ED"/>
    <w:rsid w:val="08DE318B"/>
    <w:rsid w:val="08DE3245"/>
    <w:rsid w:val="08DE3271"/>
    <w:rsid w:val="08DE32E5"/>
    <w:rsid w:val="08DE3307"/>
    <w:rsid w:val="08DE3360"/>
    <w:rsid w:val="08DE33C4"/>
    <w:rsid w:val="08DE3448"/>
    <w:rsid w:val="08DE347F"/>
    <w:rsid w:val="08DE34C4"/>
    <w:rsid w:val="08DE355D"/>
    <w:rsid w:val="08DE3576"/>
    <w:rsid w:val="08DE358C"/>
    <w:rsid w:val="08DE35EF"/>
    <w:rsid w:val="08DE371E"/>
    <w:rsid w:val="08DE3752"/>
    <w:rsid w:val="08DE37EC"/>
    <w:rsid w:val="08DE3800"/>
    <w:rsid w:val="08DE383A"/>
    <w:rsid w:val="08DE3843"/>
    <w:rsid w:val="08DE38F4"/>
    <w:rsid w:val="08DE394A"/>
    <w:rsid w:val="08DE3997"/>
    <w:rsid w:val="08DE3A31"/>
    <w:rsid w:val="08DE3A3E"/>
    <w:rsid w:val="08DE3A71"/>
    <w:rsid w:val="08DE3AF7"/>
    <w:rsid w:val="08DE3B10"/>
    <w:rsid w:val="08DE3B46"/>
    <w:rsid w:val="08DE3CA5"/>
    <w:rsid w:val="08DE3D05"/>
    <w:rsid w:val="08DE3D2C"/>
    <w:rsid w:val="08DE3D42"/>
    <w:rsid w:val="08DE3D6B"/>
    <w:rsid w:val="08DE3D6F"/>
    <w:rsid w:val="08DE3D7C"/>
    <w:rsid w:val="08DE3F6E"/>
    <w:rsid w:val="08DE3FC2"/>
    <w:rsid w:val="08DE3FF5"/>
    <w:rsid w:val="08DE403B"/>
    <w:rsid w:val="08DE405C"/>
    <w:rsid w:val="08DE41BA"/>
    <w:rsid w:val="08DE41D4"/>
    <w:rsid w:val="08DE4220"/>
    <w:rsid w:val="08DE42BB"/>
    <w:rsid w:val="08DE4399"/>
    <w:rsid w:val="08DE447A"/>
    <w:rsid w:val="08DE44D8"/>
    <w:rsid w:val="08DE458D"/>
    <w:rsid w:val="08DE47A2"/>
    <w:rsid w:val="08DE4866"/>
    <w:rsid w:val="08DE486D"/>
    <w:rsid w:val="08DE4893"/>
    <w:rsid w:val="08DE492A"/>
    <w:rsid w:val="08DE495A"/>
    <w:rsid w:val="08DE495B"/>
    <w:rsid w:val="08DE4A9E"/>
    <w:rsid w:val="08DE4C36"/>
    <w:rsid w:val="08DE4DD2"/>
    <w:rsid w:val="08DE4F83"/>
    <w:rsid w:val="08DE4FDF"/>
    <w:rsid w:val="08DE50E4"/>
    <w:rsid w:val="08DE5104"/>
    <w:rsid w:val="08DE516F"/>
    <w:rsid w:val="08DE52CC"/>
    <w:rsid w:val="08DE5316"/>
    <w:rsid w:val="08DE5332"/>
    <w:rsid w:val="08DE5391"/>
    <w:rsid w:val="08DE54B6"/>
    <w:rsid w:val="08DE54D1"/>
    <w:rsid w:val="08DE5538"/>
    <w:rsid w:val="08DE5596"/>
    <w:rsid w:val="08DE55B9"/>
    <w:rsid w:val="08DE55E0"/>
    <w:rsid w:val="08DE5603"/>
    <w:rsid w:val="08DE563F"/>
    <w:rsid w:val="08DE5773"/>
    <w:rsid w:val="08DE57C6"/>
    <w:rsid w:val="08DE57F3"/>
    <w:rsid w:val="08DE5901"/>
    <w:rsid w:val="08DE5907"/>
    <w:rsid w:val="08DE599D"/>
    <w:rsid w:val="08DE59EA"/>
    <w:rsid w:val="08DE5A84"/>
    <w:rsid w:val="08DE5A97"/>
    <w:rsid w:val="08DE5CB2"/>
    <w:rsid w:val="08DE5D59"/>
    <w:rsid w:val="08DE5DFD"/>
    <w:rsid w:val="08DE5E27"/>
    <w:rsid w:val="08DE5E9C"/>
    <w:rsid w:val="08DE5EC9"/>
    <w:rsid w:val="08DE5ECA"/>
    <w:rsid w:val="08DE5EDA"/>
    <w:rsid w:val="08DE6055"/>
    <w:rsid w:val="08DE606C"/>
    <w:rsid w:val="08DE6097"/>
    <w:rsid w:val="08DE6186"/>
    <w:rsid w:val="08DE62AF"/>
    <w:rsid w:val="08DE62BC"/>
    <w:rsid w:val="08DE62C5"/>
    <w:rsid w:val="08DE632F"/>
    <w:rsid w:val="08DE6371"/>
    <w:rsid w:val="08DE6389"/>
    <w:rsid w:val="08DE63B2"/>
    <w:rsid w:val="08DE63FC"/>
    <w:rsid w:val="08DE6445"/>
    <w:rsid w:val="08DE64E9"/>
    <w:rsid w:val="08DE651F"/>
    <w:rsid w:val="08DE6561"/>
    <w:rsid w:val="08DE658A"/>
    <w:rsid w:val="08DE65A9"/>
    <w:rsid w:val="08DE6601"/>
    <w:rsid w:val="08DE6605"/>
    <w:rsid w:val="08DE6611"/>
    <w:rsid w:val="08DE6690"/>
    <w:rsid w:val="08DE673F"/>
    <w:rsid w:val="08DE676B"/>
    <w:rsid w:val="08DE6784"/>
    <w:rsid w:val="08DE68B6"/>
    <w:rsid w:val="08DE691B"/>
    <w:rsid w:val="08DE6944"/>
    <w:rsid w:val="08DE696D"/>
    <w:rsid w:val="08DE69FC"/>
    <w:rsid w:val="08DE6A12"/>
    <w:rsid w:val="08DE6A1D"/>
    <w:rsid w:val="08DE6A34"/>
    <w:rsid w:val="08DE6A55"/>
    <w:rsid w:val="08DE6C58"/>
    <w:rsid w:val="08DE6CCC"/>
    <w:rsid w:val="08DE6D46"/>
    <w:rsid w:val="08DE6D71"/>
    <w:rsid w:val="08DE6D9C"/>
    <w:rsid w:val="08DE6E4C"/>
    <w:rsid w:val="08DE6EE4"/>
    <w:rsid w:val="08DE6F3B"/>
    <w:rsid w:val="08DE6FC7"/>
    <w:rsid w:val="08DE6FE1"/>
    <w:rsid w:val="08DE70E5"/>
    <w:rsid w:val="08DE70FF"/>
    <w:rsid w:val="08DE7112"/>
    <w:rsid w:val="08DE7308"/>
    <w:rsid w:val="08DE7362"/>
    <w:rsid w:val="08DE7376"/>
    <w:rsid w:val="08DE73E4"/>
    <w:rsid w:val="08DE7412"/>
    <w:rsid w:val="08DE743E"/>
    <w:rsid w:val="08DE748E"/>
    <w:rsid w:val="08DE74DC"/>
    <w:rsid w:val="08DE7585"/>
    <w:rsid w:val="08DE7596"/>
    <w:rsid w:val="08DE75A4"/>
    <w:rsid w:val="08DE75F2"/>
    <w:rsid w:val="08DE767C"/>
    <w:rsid w:val="08DE76DA"/>
    <w:rsid w:val="08DE7701"/>
    <w:rsid w:val="08DE77E4"/>
    <w:rsid w:val="08DE7966"/>
    <w:rsid w:val="08DE79AB"/>
    <w:rsid w:val="08DE79B7"/>
    <w:rsid w:val="08DE7A40"/>
    <w:rsid w:val="08DE7A78"/>
    <w:rsid w:val="08DE7AF9"/>
    <w:rsid w:val="08DE7B2C"/>
    <w:rsid w:val="08DE7B77"/>
    <w:rsid w:val="08DE7BF1"/>
    <w:rsid w:val="08DE7CF1"/>
    <w:rsid w:val="08DE7E50"/>
    <w:rsid w:val="08DE7E63"/>
    <w:rsid w:val="08DE7F80"/>
    <w:rsid w:val="08DF0059"/>
    <w:rsid w:val="08DF0269"/>
    <w:rsid w:val="08DF02E2"/>
    <w:rsid w:val="08DF02E3"/>
    <w:rsid w:val="08DF0407"/>
    <w:rsid w:val="08DF04E4"/>
    <w:rsid w:val="08DF052D"/>
    <w:rsid w:val="08DF0543"/>
    <w:rsid w:val="08DF0610"/>
    <w:rsid w:val="08DF0625"/>
    <w:rsid w:val="08DF062E"/>
    <w:rsid w:val="08DF0632"/>
    <w:rsid w:val="08DF065D"/>
    <w:rsid w:val="08DF067C"/>
    <w:rsid w:val="08DF069E"/>
    <w:rsid w:val="08DF077A"/>
    <w:rsid w:val="08DF087D"/>
    <w:rsid w:val="08DF08A1"/>
    <w:rsid w:val="08DF08EF"/>
    <w:rsid w:val="08DF0906"/>
    <w:rsid w:val="08DF0B94"/>
    <w:rsid w:val="08DF0D00"/>
    <w:rsid w:val="08DF0DA3"/>
    <w:rsid w:val="08DF0DAB"/>
    <w:rsid w:val="08DF0E92"/>
    <w:rsid w:val="08DF0EB1"/>
    <w:rsid w:val="08DF0EC4"/>
    <w:rsid w:val="08DF0ED5"/>
    <w:rsid w:val="08DF0F28"/>
    <w:rsid w:val="08DF0F2E"/>
    <w:rsid w:val="08DF0FC1"/>
    <w:rsid w:val="08DF1000"/>
    <w:rsid w:val="08DF1119"/>
    <w:rsid w:val="08DF1202"/>
    <w:rsid w:val="08DF122B"/>
    <w:rsid w:val="08DF122E"/>
    <w:rsid w:val="08DF1281"/>
    <w:rsid w:val="08DF1283"/>
    <w:rsid w:val="08DF12D0"/>
    <w:rsid w:val="08DF12D2"/>
    <w:rsid w:val="08DF1331"/>
    <w:rsid w:val="08DF13BF"/>
    <w:rsid w:val="08DF1427"/>
    <w:rsid w:val="08DF1452"/>
    <w:rsid w:val="08DF14B2"/>
    <w:rsid w:val="08DF1524"/>
    <w:rsid w:val="08DF1550"/>
    <w:rsid w:val="08DF15BF"/>
    <w:rsid w:val="08DF15D0"/>
    <w:rsid w:val="08DF16C0"/>
    <w:rsid w:val="08DF16ED"/>
    <w:rsid w:val="08DF1730"/>
    <w:rsid w:val="08DF17F6"/>
    <w:rsid w:val="08DF1898"/>
    <w:rsid w:val="08DF18F4"/>
    <w:rsid w:val="08DF1949"/>
    <w:rsid w:val="08DF1981"/>
    <w:rsid w:val="08DF1995"/>
    <w:rsid w:val="08DF1B18"/>
    <w:rsid w:val="08DF1BBC"/>
    <w:rsid w:val="08DF1C3A"/>
    <w:rsid w:val="08DF1CE9"/>
    <w:rsid w:val="08DF1DEB"/>
    <w:rsid w:val="08DF1DF0"/>
    <w:rsid w:val="08DF1E75"/>
    <w:rsid w:val="08DF1E87"/>
    <w:rsid w:val="08DF1F78"/>
    <w:rsid w:val="08DF1FD7"/>
    <w:rsid w:val="08DF1FEA"/>
    <w:rsid w:val="08DF2024"/>
    <w:rsid w:val="08DF2035"/>
    <w:rsid w:val="08DF2037"/>
    <w:rsid w:val="08DF20D4"/>
    <w:rsid w:val="08DF2148"/>
    <w:rsid w:val="08DF215C"/>
    <w:rsid w:val="08DF2182"/>
    <w:rsid w:val="08DF2202"/>
    <w:rsid w:val="08DF221A"/>
    <w:rsid w:val="08DF22E2"/>
    <w:rsid w:val="08DF22F2"/>
    <w:rsid w:val="08DF2387"/>
    <w:rsid w:val="08DF23C3"/>
    <w:rsid w:val="08DF23D3"/>
    <w:rsid w:val="08DF23FF"/>
    <w:rsid w:val="08DF24D3"/>
    <w:rsid w:val="08DF2505"/>
    <w:rsid w:val="08DF2586"/>
    <w:rsid w:val="08DF25C8"/>
    <w:rsid w:val="08DF2641"/>
    <w:rsid w:val="08DF266F"/>
    <w:rsid w:val="08DF26E4"/>
    <w:rsid w:val="08DF272D"/>
    <w:rsid w:val="08DF2885"/>
    <w:rsid w:val="08DF28DC"/>
    <w:rsid w:val="08DF2A88"/>
    <w:rsid w:val="08DF2AD2"/>
    <w:rsid w:val="08DF2AE5"/>
    <w:rsid w:val="08DF2B83"/>
    <w:rsid w:val="08DF2BB3"/>
    <w:rsid w:val="08DF2C5D"/>
    <w:rsid w:val="08DF2C67"/>
    <w:rsid w:val="08DF2D39"/>
    <w:rsid w:val="08DF2D8B"/>
    <w:rsid w:val="08DF2DD5"/>
    <w:rsid w:val="08DF2DDE"/>
    <w:rsid w:val="08DF2E24"/>
    <w:rsid w:val="08DF2E39"/>
    <w:rsid w:val="08DF2E40"/>
    <w:rsid w:val="08DF2E65"/>
    <w:rsid w:val="08DF2ED5"/>
    <w:rsid w:val="08DF302B"/>
    <w:rsid w:val="08DF308B"/>
    <w:rsid w:val="08DF30EF"/>
    <w:rsid w:val="08DF3120"/>
    <w:rsid w:val="08DF3124"/>
    <w:rsid w:val="08DF3132"/>
    <w:rsid w:val="08DF316B"/>
    <w:rsid w:val="08DF321B"/>
    <w:rsid w:val="08DF3276"/>
    <w:rsid w:val="08DF3383"/>
    <w:rsid w:val="08DF3405"/>
    <w:rsid w:val="08DF3442"/>
    <w:rsid w:val="08DF3466"/>
    <w:rsid w:val="08DF3491"/>
    <w:rsid w:val="08DF34AB"/>
    <w:rsid w:val="08DF34BE"/>
    <w:rsid w:val="08DF3505"/>
    <w:rsid w:val="08DF356B"/>
    <w:rsid w:val="08DF358A"/>
    <w:rsid w:val="08DF3615"/>
    <w:rsid w:val="08DF366A"/>
    <w:rsid w:val="08DF37FB"/>
    <w:rsid w:val="08DF3854"/>
    <w:rsid w:val="08DF38B8"/>
    <w:rsid w:val="08DF3908"/>
    <w:rsid w:val="08DF3922"/>
    <w:rsid w:val="08DF3950"/>
    <w:rsid w:val="08DF39AD"/>
    <w:rsid w:val="08DF39B2"/>
    <w:rsid w:val="08DF3A88"/>
    <w:rsid w:val="08DF3A8A"/>
    <w:rsid w:val="08DF3B79"/>
    <w:rsid w:val="08DF3C64"/>
    <w:rsid w:val="08DF3C75"/>
    <w:rsid w:val="08DF3CC8"/>
    <w:rsid w:val="08DF3CD8"/>
    <w:rsid w:val="08DF3CE8"/>
    <w:rsid w:val="08DF3D09"/>
    <w:rsid w:val="08DF3D19"/>
    <w:rsid w:val="08DF3D25"/>
    <w:rsid w:val="08DF3D91"/>
    <w:rsid w:val="08DF3E2B"/>
    <w:rsid w:val="08DF3EB2"/>
    <w:rsid w:val="08DF3F24"/>
    <w:rsid w:val="08DF3F59"/>
    <w:rsid w:val="08DF3FD4"/>
    <w:rsid w:val="08DF3FE1"/>
    <w:rsid w:val="08DF4034"/>
    <w:rsid w:val="08DF4124"/>
    <w:rsid w:val="08DF4290"/>
    <w:rsid w:val="08DF42F9"/>
    <w:rsid w:val="08DF43DA"/>
    <w:rsid w:val="08DF442E"/>
    <w:rsid w:val="08DF443C"/>
    <w:rsid w:val="08DF4539"/>
    <w:rsid w:val="08DF453B"/>
    <w:rsid w:val="08DF455D"/>
    <w:rsid w:val="08DF455E"/>
    <w:rsid w:val="08DF457C"/>
    <w:rsid w:val="08DF4601"/>
    <w:rsid w:val="08DF46C2"/>
    <w:rsid w:val="08DF46E7"/>
    <w:rsid w:val="08DF46EF"/>
    <w:rsid w:val="08DF4746"/>
    <w:rsid w:val="08DF4749"/>
    <w:rsid w:val="08DF47C5"/>
    <w:rsid w:val="08DF47EF"/>
    <w:rsid w:val="08DF489E"/>
    <w:rsid w:val="08DF48A5"/>
    <w:rsid w:val="08DF49C4"/>
    <w:rsid w:val="08DF4B89"/>
    <w:rsid w:val="08DF4C57"/>
    <w:rsid w:val="08DF4C95"/>
    <w:rsid w:val="08DF4D52"/>
    <w:rsid w:val="08DF4E52"/>
    <w:rsid w:val="08DF4E8C"/>
    <w:rsid w:val="08DF4E8E"/>
    <w:rsid w:val="08DF4E92"/>
    <w:rsid w:val="08DF4FC7"/>
    <w:rsid w:val="08DF4FDA"/>
    <w:rsid w:val="08DF4FE6"/>
    <w:rsid w:val="08DF5036"/>
    <w:rsid w:val="08DF50A6"/>
    <w:rsid w:val="08DF50D2"/>
    <w:rsid w:val="08DF5222"/>
    <w:rsid w:val="08DF52A3"/>
    <w:rsid w:val="08DF5302"/>
    <w:rsid w:val="08DF539D"/>
    <w:rsid w:val="08DF5403"/>
    <w:rsid w:val="08DF54D2"/>
    <w:rsid w:val="08DF54F9"/>
    <w:rsid w:val="08DF558B"/>
    <w:rsid w:val="08DF55BB"/>
    <w:rsid w:val="08DF5613"/>
    <w:rsid w:val="08DF56B4"/>
    <w:rsid w:val="08DF5719"/>
    <w:rsid w:val="08DF579A"/>
    <w:rsid w:val="08DF57C6"/>
    <w:rsid w:val="08DF597A"/>
    <w:rsid w:val="08DF597C"/>
    <w:rsid w:val="08DF59A5"/>
    <w:rsid w:val="08DF5A15"/>
    <w:rsid w:val="08DF5C32"/>
    <w:rsid w:val="08DF5C42"/>
    <w:rsid w:val="08DF5CA0"/>
    <w:rsid w:val="08DF5D2E"/>
    <w:rsid w:val="08DF5D9C"/>
    <w:rsid w:val="08DF5DC6"/>
    <w:rsid w:val="08DF5EDD"/>
    <w:rsid w:val="08DF5EF5"/>
    <w:rsid w:val="08DF5F5A"/>
    <w:rsid w:val="08DF602F"/>
    <w:rsid w:val="08DF604D"/>
    <w:rsid w:val="08DF60C1"/>
    <w:rsid w:val="08DF60DE"/>
    <w:rsid w:val="08DF6133"/>
    <w:rsid w:val="08DF615F"/>
    <w:rsid w:val="08DF6298"/>
    <w:rsid w:val="08DF6322"/>
    <w:rsid w:val="08DF6381"/>
    <w:rsid w:val="08DF639D"/>
    <w:rsid w:val="08DF63F5"/>
    <w:rsid w:val="08DF640B"/>
    <w:rsid w:val="08DF6491"/>
    <w:rsid w:val="08DF64B1"/>
    <w:rsid w:val="08DF64FC"/>
    <w:rsid w:val="08DF6507"/>
    <w:rsid w:val="08DF6517"/>
    <w:rsid w:val="08DF6561"/>
    <w:rsid w:val="08DF6562"/>
    <w:rsid w:val="08DF656B"/>
    <w:rsid w:val="08DF65B1"/>
    <w:rsid w:val="08DF65DC"/>
    <w:rsid w:val="08DF660F"/>
    <w:rsid w:val="08DF66EF"/>
    <w:rsid w:val="08DF6878"/>
    <w:rsid w:val="08DF687B"/>
    <w:rsid w:val="08DF68AD"/>
    <w:rsid w:val="08DF68F6"/>
    <w:rsid w:val="08DF6956"/>
    <w:rsid w:val="08DF6AFB"/>
    <w:rsid w:val="08DF6B3B"/>
    <w:rsid w:val="08DF6C7F"/>
    <w:rsid w:val="08DF6C89"/>
    <w:rsid w:val="08DF6D16"/>
    <w:rsid w:val="08DF6E2F"/>
    <w:rsid w:val="08DF6EE7"/>
    <w:rsid w:val="08DF6EF1"/>
    <w:rsid w:val="08DF7009"/>
    <w:rsid w:val="08DF700C"/>
    <w:rsid w:val="08DF7071"/>
    <w:rsid w:val="08DF7099"/>
    <w:rsid w:val="08DF709D"/>
    <w:rsid w:val="08DF7132"/>
    <w:rsid w:val="08DF715B"/>
    <w:rsid w:val="08DF7219"/>
    <w:rsid w:val="08DF727B"/>
    <w:rsid w:val="08DF7428"/>
    <w:rsid w:val="08DF7637"/>
    <w:rsid w:val="08DF765D"/>
    <w:rsid w:val="08DF76F1"/>
    <w:rsid w:val="08DF7739"/>
    <w:rsid w:val="08DF77E0"/>
    <w:rsid w:val="08DF7838"/>
    <w:rsid w:val="08DF78FA"/>
    <w:rsid w:val="08DF790B"/>
    <w:rsid w:val="08DF7935"/>
    <w:rsid w:val="08DF7956"/>
    <w:rsid w:val="08DF7A08"/>
    <w:rsid w:val="08DF7A2E"/>
    <w:rsid w:val="08DF7B09"/>
    <w:rsid w:val="08DF7C67"/>
    <w:rsid w:val="08DF7C7D"/>
    <w:rsid w:val="08DF7C8D"/>
    <w:rsid w:val="08DF7CBB"/>
    <w:rsid w:val="08DF7D77"/>
    <w:rsid w:val="08DF7DBE"/>
    <w:rsid w:val="08DF7DDA"/>
    <w:rsid w:val="08DF7E3E"/>
    <w:rsid w:val="08DF7FD3"/>
    <w:rsid w:val="08DF7FD8"/>
    <w:rsid w:val="08E00026"/>
    <w:rsid w:val="08E0003F"/>
    <w:rsid w:val="08E000A4"/>
    <w:rsid w:val="08E000D6"/>
    <w:rsid w:val="08E000E1"/>
    <w:rsid w:val="08E00193"/>
    <w:rsid w:val="08E003D6"/>
    <w:rsid w:val="08E004DA"/>
    <w:rsid w:val="08E00578"/>
    <w:rsid w:val="08E005CC"/>
    <w:rsid w:val="08E006AF"/>
    <w:rsid w:val="08E00713"/>
    <w:rsid w:val="08E00716"/>
    <w:rsid w:val="08E007EC"/>
    <w:rsid w:val="08E00887"/>
    <w:rsid w:val="08E008B1"/>
    <w:rsid w:val="08E008CF"/>
    <w:rsid w:val="08E00B12"/>
    <w:rsid w:val="08E00B55"/>
    <w:rsid w:val="08E00C3F"/>
    <w:rsid w:val="08E00C68"/>
    <w:rsid w:val="08E00CB3"/>
    <w:rsid w:val="08E00CBE"/>
    <w:rsid w:val="08E00D7C"/>
    <w:rsid w:val="08E00DB4"/>
    <w:rsid w:val="08E00DF3"/>
    <w:rsid w:val="08E00F09"/>
    <w:rsid w:val="08E00F0D"/>
    <w:rsid w:val="08E00F11"/>
    <w:rsid w:val="08E00F8B"/>
    <w:rsid w:val="08E00F9D"/>
    <w:rsid w:val="08E00FF9"/>
    <w:rsid w:val="08E010A3"/>
    <w:rsid w:val="08E01164"/>
    <w:rsid w:val="08E01216"/>
    <w:rsid w:val="08E012E0"/>
    <w:rsid w:val="08E01329"/>
    <w:rsid w:val="08E01342"/>
    <w:rsid w:val="08E01362"/>
    <w:rsid w:val="08E01368"/>
    <w:rsid w:val="08E013DE"/>
    <w:rsid w:val="08E013F7"/>
    <w:rsid w:val="08E01500"/>
    <w:rsid w:val="08E01519"/>
    <w:rsid w:val="08E0151C"/>
    <w:rsid w:val="08E0158F"/>
    <w:rsid w:val="08E015C6"/>
    <w:rsid w:val="08E01629"/>
    <w:rsid w:val="08E016A3"/>
    <w:rsid w:val="08E016C4"/>
    <w:rsid w:val="08E0175A"/>
    <w:rsid w:val="08E017F6"/>
    <w:rsid w:val="08E01815"/>
    <w:rsid w:val="08E01948"/>
    <w:rsid w:val="08E01960"/>
    <w:rsid w:val="08E019A0"/>
    <w:rsid w:val="08E01A2D"/>
    <w:rsid w:val="08E01AC4"/>
    <w:rsid w:val="08E01AE5"/>
    <w:rsid w:val="08E01B32"/>
    <w:rsid w:val="08E01B40"/>
    <w:rsid w:val="08E01B43"/>
    <w:rsid w:val="08E01B9D"/>
    <w:rsid w:val="08E01C3B"/>
    <w:rsid w:val="08E01C5D"/>
    <w:rsid w:val="08E01C7D"/>
    <w:rsid w:val="08E01D90"/>
    <w:rsid w:val="08E01DC9"/>
    <w:rsid w:val="08E01DF9"/>
    <w:rsid w:val="08E01F3D"/>
    <w:rsid w:val="08E01F50"/>
    <w:rsid w:val="08E01F69"/>
    <w:rsid w:val="08E01FBD"/>
    <w:rsid w:val="08E01FE7"/>
    <w:rsid w:val="08E01FF6"/>
    <w:rsid w:val="08E0202E"/>
    <w:rsid w:val="08E02162"/>
    <w:rsid w:val="08E02236"/>
    <w:rsid w:val="08E02441"/>
    <w:rsid w:val="08E02499"/>
    <w:rsid w:val="08E02511"/>
    <w:rsid w:val="08E025CC"/>
    <w:rsid w:val="08E025E5"/>
    <w:rsid w:val="08E02614"/>
    <w:rsid w:val="08E026BE"/>
    <w:rsid w:val="08E026F4"/>
    <w:rsid w:val="08E0270A"/>
    <w:rsid w:val="08E02761"/>
    <w:rsid w:val="08E027D7"/>
    <w:rsid w:val="08E027E6"/>
    <w:rsid w:val="08E02838"/>
    <w:rsid w:val="08E0286D"/>
    <w:rsid w:val="08E0287C"/>
    <w:rsid w:val="08E028B1"/>
    <w:rsid w:val="08E02A0F"/>
    <w:rsid w:val="08E02A13"/>
    <w:rsid w:val="08E02A49"/>
    <w:rsid w:val="08E02BCA"/>
    <w:rsid w:val="08E02C49"/>
    <w:rsid w:val="08E02D89"/>
    <w:rsid w:val="08E02D94"/>
    <w:rsid w:val="08E02DCB"/>
    <w:rsid w:val="08E02DE4"/>
    <w:rsid w:val="08E02DF1"/>
    <w:rsid w:val="08E02E33"/>
    <w:rsid w:val="08E02EF5"/>
    <w:rsid w:val="08E02F29"/>
    <w:rsid w:val="08E02F38"/>
    <w:rsid w:val="08E02F52"/>
    <w:rsid w:val="08E02F87"/>
    <w:rsid w:val="08E03025"/>
    <w:rsid w:val="08E03027"/>
    <w:rsid w:val="08E0303A"/>
    <w:rsid w:val="08E0310D"/>
    <w:rsid w:val="08E0311E"/>
    <w:rsid w:val="08E03125"/>
    <w:rsid w:val="08E0319A"/>
    <w:rsid w:val="08E031B1"/>
    <w:rsid w:val="08E032EF"/>
    <w:rsid w:val="08E032F6"/>
    <w:rsid w:val="08E0334E"/>
    <w:rsid w:val="08E03372"/>
    <w:rsid w:val="08E03493"/>
    <w:rsid w:val="08E034C8"/>
    <w:rsid w:val="08E034C9"/>
    <w:rsid w:val="08E0354E"/>
    <w:rsid w:val="08E03553"/>
    <w:rsid w:val="08E035EF"/>
    <w:rsid w:val="08E036CA"/>
    <w:rsid w:val="08E03734"/>
    <w:rsid w:val="08E037AE"/>
    <w:rsid w:val="08E03811"/>
    <w:rsid w:val="08E0389F"/>
    <w:rsid w:val="08E038A3"/>
    <w:rsid w:val="08E038ED"/>
    <w:rsid w:val="08E0394F"/>
    <w:rsid w:val="08E03977"/>
    <w:rsid w:val="08E03986"/>
    <w:rsid w:val="08E039F7"/>
    <w:rsid w:val="08E03A40"/>
    <w:rsid w:val="08E03B8A"/>
    <w:rsid w:val="08E03B93"/>
    <w:rsid w:val="08E03BE4"/>
    <w:rsid w:val="08E03C71"/>
    <w:rsid w:val="08E03C9E"/>
    <w:rsid w:val="08E03E03"/>
    <w:rsid w:val="08E03E61"/>
    <w:rsid w:val="08E03F21"/>
    <w:rsid w:val="08E03F56"/>
    <w:rsid w:val="08E03FF3"/>
    <w:rsid w:val="08E041A4"/>
    <w:rsid w:val="08E041FF"/>
    <w:rsid w:val="08E04226"/>
    <w:rsid w:val="08E04246"/>
    <w:rsid w:val="08E04255"/>
    <w:rsid w:val="08E04267"/>
    <w:rsid w:val="08E043CE"/>
    <w:rsid w:val="08E043CF"/>
    <w:rsid w:val="08E044AB"/>
    <w:rsid w:val="08E04519"/>
    <w:rsid w:val="08E04589"/>
    <w:rsid w:val="08E045B5"/>
    <w:rsid w:val="08E046BB"/>
    <w:rsid w:val="08E047AE"/>
    <w:rsid w:val="08E047C0"/>
    <w:rsid w:val="08E048AB"/>
    <w:rsid w:val="08E0495D"/>
    <w:rsid w:val="08E0496B"/>
    <w:rsid w:val="08E04986"/>
    <w:rsid w:val="08E049AD"/>
    <w:rsid w:val="08E04A27"/>
    <w:rsid w:val="08E04A34"/>
    <w:rsid w:val="08E04AAA"/>
    <w:rsid w:val="08E04AEF"/>
    <w:rsid w:val="08E04C2D"/>
    <w:rsid w:val="08E04C3E"/>
    <w:rsid w:val="08E04C86"/>
    <w:rsid w:val="08E04CA7"/>
    <w:rsid w:val="08E04D01"/>
    <w:rsid w:val="08E04E95"/>
    <w:rsid w:val="08E04EF5"/>
    <w:rsid w:val="08E04F11"/>
    <w:rsid w:val="08E04F3A"/>
    <w:rsid w:val="08E04F9D"/>
    <w:rsid w:val="08E05191"/>
    <w:rsid w:val="08E051A4"/>
    <w:rsid w:val="08E051D0"/>
    <w:rsid w:val="08E05218"/>
    <w:rsid w:val="08E05225"/>
    <w:rsid w:val="08E052A5"/>
    <w:rsid w:val="08E05302"/>
    <w:rsid w:val="08E05382"/>
    <w:rsid w:val="08E053E5"/>
    <w:rsid w:val="08E0547D"/>
    <w:rsid w:val="08E054F5"/>
    <w:rsid w:val="08E05539"/>
    <w:rsid w:val="08E05659"/>
    <w:rsid w:val="08E05666"/>
    <w:rsid w:val="08E0566D"/>
    <w:rsid w:val="08E056F5"/>
    <w:rsid w:val="08E05740"/>
    <w:rsid w:val="08E05843"/>
    <w:rsid w:val="08E05844"/>
    <w:rsid w:val="08E0585A"/>
    <w:rsid w:val="08E058C0"/>
    <w:rsid w:val="08E05B3D"/>
    <w:rsid w:val="08E05BFF"/>
    <w:rsid w:val="08E05D22"/>
    <w:rsid w:val="08E05DA5"/>
    <w:rsid w:val="08E05FCB"/>
    <w:rsid w:val="08E06054"/>
    <w:rsid w:val="08E06077"/>
    <w:rsid w:val="08E0607B"/>
    <w:rsid w:val="08E06117"/>
    <w:rsid w:val="08E06154"/>
    <w:rsid w:val="08E061B3"/>
    <w:rsid w:val="08E061DE"/>
    <w:rsid w:val="08E061E9"/>
    <w:rsid w:val="08E06233"/>
    <w:rsid w:val="08E0628C"/>
    <w:rsid w:val="08E06330"/>
    <w:rsid w:val="08E06411"/>
    <w:rsid w:val="08E0650D"/>
    <w:rsid w:val="08E066F8"/>
    <w:rsid w:val="08E0671A"/>
    <w:rsid w:val="08E0671B"/>
    <w:rsid w:val="08E0671F"/>
    <w:rsid w:val="08E06720"/>
    <w:rsid w:val="08E06725"/>
    <w:rsid w:val="08E06754"/>
    <w:rsid w:val="08E067A8"/>
    <w:rsid w:val="08E06816"/>
    <w:rsid w:val="08E06829"/>
    <w:rsid w:val="08E0686F"/>
    <w:rsid w:val="08E0698D"/>
    <w:rsid w:val="08E06A98"/>
    <w:rsid w:val="08E06AB4"/>
    <w:rsid w:val="08E06AFC"/>
    <w:rsid w:val="08E06B09"/>
    <w:rsid w:val="08E06BC3"/>
    <w:rsid w:val="08E06C76"/>
    <w:rsid w:val="08E06D87"/>
    <w:rsid w:val="08E06DC6"/>
    <w:rsid w:val="08E06FE5"/>
    <w:rsid w:val="08E070D4"/>
    <w:rsid w:val="08E070F9"/>
    <w:rsid w:val="08E07115"/>
    <w:rsid w:val="08E071BF"/>
    <w:rsid w:val="08E07263"/>
    <w:rsid w:val="08E07341"/>
    <w:rsid w:val="08E07390"/>
    <w:rsid w:val="08E07409"/>
    <w:rsid w:val="08E0751B"/>
    <w:rsid w:val="08E07559"/>
    <w:rsid w:val="08E07616"/>
    <w:rsid w:val="08E07780"/>
    <w:rsid w:val="08E077E7"/>
    <w:rsid w:val="08E0786F"/>
    <w:rsid w:val="08E078B9"/>
    <w:rsid w:val="08E078BF"/>
    <w:rsid w:val="08E079BD"/>
    <w:rsid w:val="08E07AA3"/>
    <w:rsid w:val="08E07AD1"/>
    <w:rsid w:val="08E07AEB"/>
    <w:rsid w:val="08E07B0E"/>
    <w:rsid w:val="08E07BB8"/>
    <w:rsid w:val="08E07BBA"/>
    <w:rsid w:val="08E07BDA"/>
    <w:rsid w:val="08E07D7A"/>
    <w:rsid w:val="08E07D8A"/>
    <w:rsid w:val="08E07E9D"/>
    <w:rsid w:val="08E07EC6"/>
    <w:rsid w:val="08E07F23"/>
    <w:rsid w:val="08E07F30"/>
    <w:rsid w:val="08E07FE0"/>
    <w:rsid w:val="08E100B3"/>
    <w:rsid w:val="08E100C2"/>
    <w:rsid w:val="08E100FC"/>
    <w:rsid w:val="08E1026D"/>
    <w:rsid w:val="08E10280"/>
    <w:rsid w:val="08E102D3"/>
    <w:rsid w:val="08E1038B"/>
    <w:rsid w:val="08E103CA"/>
    <w:rsid w:val="08E103D0"/>
    <w:rsid w:val="08E1042E"/>
    <w:rsid w:val="08E1044D"/>
    <w:rsid w:val="08E10643"/>
    <w:rsid w:val="08E10792"/>
    <w:rsid w:val="08E107B2"/>
    <w:rsid w:val="08E1084C"/>
    <w:rsid w:val="08E108B3"/>
    <w:rsid w:val="08E108D3"/>
    <w:rsid w:val="08E1099F"/>
    <w:rsid w:val="08E109E0"/>
    <w:rsid w:val="08E109E1"/>
    <w:rsid w:val="08E10A28"/>
    <w:rsid w:val="08E10A52"/>
    <w:rsid w:val="08E10AE2"/>
    <w:rsid w:val="08E10AED"/>
    <w:rsid w:val="08E10B48"/>
    <w:rsid w:val="08E10BB0"/>
    <w:rsid w:val="08E10C9C"/>
    <w:rsid w:val="08E10CF1"/>
    <w:rsid w:val="08E10D5D"/>
    <w:rsid w:val="08E10DE0"/>
    <w:rsid w:val="08E10DEE"/>
    <w:rsid w:val="08E10E0F"/>
    <w:rsid w:val="08E10EBB"/>
    <w:rsid w:val="08E1108C"/>
    <w:rsid w:val="08E110C0"/>
    <w:rsid w:val="08E1131D"/>
    <w:rsid w:val="08E113AC"/>
    <w:rsid w:val="08E11468"/>
    <w:rsid w:val="08E11529"/>
    <w:rsid w:val="08E11553"/>
    <w:rsid w:val="08E11819"/>
    <w:rsid w:val="08E11833"/>
    <w:rsid w:val="08E1184B"/>
    <w:rsid w:val="08E119EE"/>
    <w:rsid w:val="08E11A85"/>
    <w:rsid w:val="08E11AAB"/>
    <w:rsid w:val="08E11AD3"/>
    <w:rsid w:val="08E11B31"/>
    <w:rsid w:val="08E11B98"/>
    <w:rsid w:val="08E11BC3"/>
    <w:rsid w:val="08E11BE6"/>
    <w:rsid w:val="08E11C4D"/>
    <w:rsid w:val="08E11C54"/>
    <w:rsid w:val="08E11CC8"/>
    <w:rsid w:val="08E11CF5"/>
    <w:rsid w:val="08E11D60"/>
    <w:rsid w:val="08E11D74"/>
    <w:rsid w:val="08E11DF8"/>
    <w:rsid w:val="08E11DFA"/>
    <w:rsid w:val="08E11E10"/>
    <w:rsid w:val="08E11E8E"/>
    <w:rsid w:val="08E11EA5"/>
    <w:rsid w:val="08E11EAA"/>
    <w:rsid w:val="08E11F2A"/>
    <w:rsid w:val="08E11F34"/>
    <w:rsid w:val="08E11F67"/>
    <w:rsid w:val="08E1202C"/>
    <w:rsid w:val="08E12099"/>
    <w:rsid w:val="08E120A9"/>
    <w:rsid w:val="08E120D2"/>
    <w:rsid w:val="08E1210A"/>
    <w:rsid w:val="08E1213A"/>
    <w:rsid w:val="08E12143"/>
    <w:rsid w:val="08E12199"/>
    <w:rsid w:val="08E1226B"/>
    <w:rsid w:val="08E122B0"/>
    <w:rsid w:val="08E122DC"/>
    <w:rsid w:val="08E122F9"/>
    <w:rsid w:val="08E12344"/>
    <w:rsid w:val="08E12357"/>
    <w:rsid w:val="08E123EC"/>
    <w:rsid w:val="08E12457"/>
    <w:rsid w:val="08E12564"/>
    <w:rsid w:val="08E1271A"/>
    <w:rsid w:val="08E12736"/>
    <w:rsid w:val="08E1279B"/>
    <w:rsid w:val="08E127B8"/>
    <w:rsid w:val="08E127FB"/>
    <w:rsid w:val="08E12934"/>
    <w:rsid w:val="08E12992"/>
    <w:rsid w:val="08E12995"/>
    <w:rsid w:val="08E12A0B"/>
    <w:rsid w:val="08E12A0E"/>
    <w:rsid w:val="08E12AED"/>
    <w:rsid w:val="08E12B00"/>
    <w:rsid w:val="08E12B24"/>
    <w:rsid w:val="08E12B83"/>
    <w:rsid w:val="08E12BC5"/>
    <w:rsid w:val="08E12D03"/>
    <w:rsid w:val="08E12D7B"/>
    <w:rsid w:val="08E13049"/>
    <w:rsid w:val="08E13252"/>
    <w:rsid w:val="08E13268"/>
    <w:rsid w:val="08E1339F"/>
    <w:rsid w:val="08E133BA"/>
    <w:rsid w:val="08E1340F"/>
    <w:rsid w:val="08E134E0"/>
    <w:rsid w:val="08E136E8"/>
    <w:rsid w:val="08E1370D"/>
    <w:rsid w:val="08E13795"/>
    <w:rsid w:val="08E137AA"/>
    <w:rsid w:val="08E1399D"/>
    <w:rsid w:val="08E139DA"/>
    <w:rsid w:val="08E13A02"/>
    <w:rsid w:val="08E13A9C"/>
    <w:rsid w:val="08E13AAC"/>
    <w:rsid w:val="08E13AD7"/>
    <w:rsid w:val="08E13AE8"/>
    <w:rsid w:val="08E13B3C"/>
    <w:rsid w:val="08E13C24"/>
    <w:rsid w:val="08E13C39"/>
    <w:rsid w:val="08E13C51"/>
    <w:rsid w:val="08E13CE2"/>
    <w:rsid w:val="08E13D2A"/>
    <w:rsid w:val="08E13D5A"/>
    <w:rsid w:val="08E13E14"/>
    <w:rsid w:val="08E13E2E"/>
    <w:rsid w:val="08E13E43"/>
    <w:rsid w:val="08E13E88"/>
    <w:rsid w:val="08E13F93"/>
    <w:rsid w:val="08E13FAF"/>
    <w:rsid w:val="08E14164"/>
    <w:rsid w:val="08E141F5"/>
    <w:rsid w:val="08E142D0"/>
    <w:rsid w:val="08E143C9"/>
    <w:rsid w:val="08E1441F"/>
    <w:rsid w:val="08E144F2"/>
    <w:rsid w:val="08E145BF"/>
    <w:rsid w:val="08E14616"/>
    <w:rsid w:val="08E14624"/>
    <w:rsid w:val="08E1463A"/>
    <w:rsid w:val="08E147D2"/>
    <w:rsid w:val="08E147E7"/>
    <w:rsid w:val="08E148B5"/>
    <w:rsid w:val="08E148DA"/>
    <w:rsid w:val="08E148F2"/>
    <w:rsid w:val="08E1493A"/>
    <w:rsid w:val="08E1497E"/>
    <w:rsid w:val="08E14A1A"/>
    <w:rsid w:val="08E14A96"/>
    <w:rsid w:val="08E14B5F"/>
    <w:rsid w:val="08E14B75"/>
    <w:rsid w:val="08E14B7A"/>
    <w:rsid w:val="08E14BA2"/>
    <w:rsid w:val="08E14BCF"/>
    <w:rsid w:val="08E14E92"/>
    <w:rsid w:val="08E14F00"/>
    <w:rsid w:val="08E14F62"/>
    <w:rsid w:val="08E14FF7"/>
    <w:rsid w:val="08E150DB"/>
    <w:rsid w:val="08E150F8"/>
    <w:rsid w:val="08E15140"/>
    <w:rsid w:val="08E151EE"/>
    <w:rsid w:val="08E15213"/>
    <w:rsid w:val="08E1527D"/>
    <w:rsid w:val="08E1528B"/>
    <w:rsid w:val="08E152B4"/>
    <w:rsid w:val="08E152E7"/>
    <w:rsid w:val="08E1530D"/>
    <w:rsid w:val="08E15340"/>
    <w:rsid w:val="08E15354"/>
    <w:rsid w:val="08E15372"/>
    <w:rsid w:val="08E153CD"/>
    <w:rsid w:val="08E153E8"/>
    <w:rsid w:val="08E153FD"/>
    <w:rsid w:val="08E155E2"/>
    <w:rsid w:val="08E156BE"/>
    <w:rsid w:val="08E15718"/>
    <w:rsid w:val="08E15725"/>
    <w:rsid w:val="08E15744"/>
    <w:rsid w:val="08E1586F"/>
    <w:rsid w:val="08E158A1"/>
    <w:rsid w:val="08E15942"/>
    <w:rsid w:val="08E15AFA"/>
    <w:rsid w:val="08E15B02"/>
    <w:rsid w:val="08E15B5F"/>
    <w:rsid w:val="08E15B6A"/>
    <w:rsid w:val="08E15B83"/>
    <w:rsid w:val="08E15C03"/>
    <w:rsid w:val="08E15D16"/>
    <w:rsid w:val="08E15D48"/>
    <w:rsid w:val="08E15F6B"/>
    <w:rsid w:val="08E15F99"/>
    <w:rsid w:val="08E1609D"/>
    <w:rsid w:val="08E160BB"/>
    <w:rsid w:val="08E160E2"/>
    <w:rsid w:val="08E16145"/>
    <w:rsid w:val="08E16188"/>
    <w:rsid w:val="08E162C0"/>
    <w:rsid w:val="08E1631B"/>
    <w:rsid w:val="08E164FC"/>
    <w:rsid w:val="08E16579"/>
    <w:rsid w:val="08E16590"/>
    <w:rsid w:val="08E16595"/>
    <w:rsid w:val="08E165A6"/>
    <w:rsid w:val="08E165E8"/>
    <w:rsid w:val="08E166B6"/>
    <w:rsid w:val="08E1670B"/>
    <w:rsid w:val="08E16747"/>
    <w:rsid w:val="08E16748"/>
    <w:rsid w:val="08E16870"/>
    <w:rsid w:val="08E16892"/>
    <w:rsid w:val="08E16938"/>
    <w:rsid w:val="08E16945"/>
    <w:rsid w:val="08E169ED"/>
    <w:rsid w:val="08E16A32"/>
    <w:rsid w:val="08E16AFC"/>
    <w:rsid w:val="08E16B18"/>
    <w:rsid w:val="08E16BB2"/>
    <w:rsid w:val="08E16C61"/>
    <w:rsid w:val="08E16C80"/>
    <w:rsid w:val="08E16CAE"/>
    <w:rsid w:val="08E16D64"/>
    <w:rsid w:val="08E16EFB"/>
    <w:rsid w:val="08E17052"/>
    <w:rsid w:val="08E1714A"/>
    <w:rsid w:val="08E17153"/>
    <w:rsid w:val="08E17179"/>
    <w:rsid w:val="08E171AA"/>
    <w:rsid w:val="08E17357"/>
    <w:rsid w:val="08E1736D"/>
    <w:rsid w:val="08E17447"/>
    <w:rsid w:val="08E174E3"/>
    <w:rsid w:val="08E175BA"/>
    <w:rsid w:val="08E1767D"/>
    <w:rsid w:val="08E1768D"/>
    <w:rsid w:val="08E1768F"/>
    <w:rsid w:val="08E1769C"/>
    <w:rsid w:val="08E176AC"/>
    <w:rsid w:val="08E176E7"/>
    <w:rsid w:val="08E176F1"/>
    <w:rsid w:val="08E17785"/>
    <w:rsid w:val="08E17792"/>
    <w:rsid w:val="08E17808"/>
    <w:rsid w:val="08E178B0"/>
    <w:rsid w:val="08E1794D"/>
    <w:rsid w:val="08E17993"/>
    <w:rsid w:val="08E179C4"/>
    <w:rsid w:val="08E17A51"/>
    <w:rsid w:val="08E17B3D"/>
    <w:rsid w:val="08E17C15"/>
    <w:rsid w:val="08E17C6D"/>
    <w:rsid w:val="08E17D20"/>
    <w:rsid w:val="08E17D88"/>
    <w:rsid w:val="08E17DAC"/>
    <w:rsid w:val="08E17E42"/>
    <w:rsid w:val="08E17E7F"/>
    <w:rsid w:val="08E17E9D"/>
    <w:rsid w:val="08E17EB8"/>
    <w:rsid w:val="08E17EF6"/>
    <w:rsid w:val="08E17FD0"/>
    <w:rsid w:val="08E17FE5"/>
    <w:rsid w:val="08E20036"/>
    <w:rsid w:val="08E2003C"/>
    <w:rsid w:val="08E2004B"/>
    <w:rsid w:val="08E2005E"/>
    <w:rsid w:val="08E200DB"/>
    <w:rsid w:val="08E20204"/>
    <w:rsid w:val="08E20216"/>
    <w:rsid w:val="08E20235"/>
    <w:rsid w:val="08E20370"/>
    <w:rsid w:val="08E20417"/>
    <w:rsid w:val="08E2041D"/>
    <w:rsid w:val="08E20428"/>
    <w:rsid w:val="08E2046D"/>
    <w:rsid w:val="08E20501"/>
    <w:rsid w:val="08E20565"/>
    <w:rsid w:val="08E2057F"/>
    <w:rsid w:val="08E205EF"/>
    <w:rsid w:val="08E205F7"/>
    <w:rsid w:val="08E20709"/>
    <w:rsid w:val="08E20832"/>
    <w:rsid w:val="08E20868"/>
    <w:rsid w:val="08E208F9"/>
    <w:rsid w:val="08E20962"/>
    <w:rsid w:val="08E20A02"/>
    <w:rsid w:val="08E20A83"/>
    <w:rsid w:val="08E20AD0"/>
    <w:rsid w:val="08E20AED"/>
    <w:rsid w:val="08E20B0F"/>
    <w:rsid w:val="08E20BBC"/>
    <w:rsid w:val="08E20C01"/>
    <w:rsid w:val="08E20C55"/>
    <w:rsid w:val="08E20E3C"/>
    <w:rsid w:val="08E20E69"/>
    <w:rsid w:val="08E20F34"/>
    <w:rsid w:val="08E20F37"/>
    <w:rsid w:val="08E20F3B"/>
    <w:rsid w:val="08E20FD7"/>
    <w:rsid w:val="08E21005"/>
    <w:rsid w:val="08E21052"/>
    <w:rsid w:val="08E2109D"/>
    <w:rsid w:val="08E210D7"/>
    <w:rsid w:val="08E21129"/>
    <w:rsid w:val="08E2114A"/>
    <w:rsid w:val="08E2117B"/>
    <w:rsid w:val="08E21266"/>
    <w:rsid w:val="08E212F9"/>
    <w:rsid w:val="08E21342"/>
    <w:rsid w:val="08E21365"/>
    <w:rsid w:val="08E213CF"/>
    <w:rsid w:val="08E2147B"/>
    <w:rsid w:val="08E214A5"/>
    <w:rsid w:val="08E21544"/>
    <w:rsid w:val="08E2154D"/>
    <w:rsid w:val="08E2155E"/>
    <w:rsid w:val="08E21594"/>
    <w:rsid w:val="08E21685"/>
    <w:rsid w:val="08E21747"/>
    <w:rsid w:val="08E21858"/>
    <w:rsid w:val="08E218AF"/>
    <w:rsid w:val="08E218C8"/>
    <w:rsid w:val="08E2195A"/>
    <w:rsid w:val="08E21990"/>
    <w:rsid w:val="08E21B52"/>
    <w:rsid w:val="08E21BB4"/>
    <w:rsid w:val="08E21C23"/>
    <w:rsid w:val="08E21C32"/>
    <w:rsid w:val="08E21C86"/>
    <w:rsid w:val="08E21CFF"/>
    <w:rsid w:val="08E21D4D"/>
    <w:rsid w:val="08E21E7F"/>
    <w:rsid w:val="08E21EFC"/>
    <w:rsid w:val="08E22004"/>
    <w:rsid w:val="08E22034"/>
    <w:rsid w:val="08E220F4"/>
    <w:rsid w:val="08E22173"/>
    <w:rsid w:val="08E221AB"/>
    <w:rsid w:val="08E222FB"/>
    <w:rsid w:val="08E22431"/>
    <w:rsid w:val="08E2247A"/>
    <w:rsid w:val="08E224FB"/>
    <w:rsid w:val="08E2258B"/>
    <w:rsid w:val="08E2261E"/>
    <w:rsid w:val="08E22722"/>
    <w:rsid w:val="08E22747"/>
    <w:rsid w:val="08E227A0"/>
    <w:rsid w:val="08E227A9"/>
    <w:rsid w:val="08E22893"/>
    <w:rsid w:val="08E228F5"/>
    <w:rsid w:val="08E2292B"/>
    <w:rsid w:val="08E2298A"/>
    <w:rsid w:val="08E229D5"/>
    <w:rsid w:val="08E22AEB"/>
    <w:rsid w:val="08E22B3F"/>
    <w:rsid w:val="08E22BA9"/>
    <w:rsid w:val="08E22C90"/>
    <w:rsid w:val="08E22D0D"/>
    <w:rsid w:val="08E22DD8"/>
    <w:rsid w:val="08E22DDA"/>
    <w:rsid w:val="08E22DFE"/>
    <w:rsid w:val="08E22F5F"/>
    <w:rsid w:val="08E23068"/>
    <w:rsid w:val="08E231CC"/>
    <w:rsid w:val="08E231DA"/>
    <w:rsid w:val="08E23221"/>
    <w:rsid w:val="08E23325"/>
    <w:rsid w:val="08E23341"/>
    <w:rsid w:val="08E23416"/>
    <w:rsid w:val="08E23443"/>
    <w:rsid w:val="08E23480"/>
    <w:rsid w:val="08E234B6"/>
    <w:rsid w:val="08E23554"/>
    <w:rsid w:val="08E235FB"/>
    <w:rsid w:val="08E23783"/>
    <w:rsid w:val="08E2378D"/>
    <w:rsid w:val="08E237BB"/>
    <w:rsid w:val="08E237C8"/>
    <w:rsid w:val="08E23809"/>
    <w:rsid w:val="08E23916"/>
    <w:rsid w:val="08E23954"/>
    <w:rsid w:val="08E23955"/>
    <w:rsid w:val="08E23991"/>
    <w:rsid w:val="08E239B1"/>
    <w:rsid w:val="08E239CB"/>
    <w:rsid w:val="08E23B15"/>
    <w:rsid w:val="08E23B4E"/>
    <w:rsid w:val="08E23B69"/>
    <w:rsid w:val="08E23B9C"/>
    <w:rsid w:val="08E23C85"/>
    <w:rsid w:val="08E23CC1"/>
    <w:rsid w:val="08E23CFE"/>
    <w:rsid w:val="08E23D3E"/>
    <w:rsid w:val="08E23D4F"/>
    <w:rsid w:val="08E23E08"/>
    <w:rsid w:val="08E23F37"/>
    <w:rsid w:val="08E23F81"/>
    <w:rsid w:val="08E23FDE"/>
    <w:rsid w:val="08E24150"/>
    <w:rsid w:val="08E241BE"/>
    <w:rsid w:val="08E241D8"/>
    <w:rsid w:val="08E241E0"/>
    <w:rsid w:val="08E24200"/>
    <w:rsid w:val="08E2425A"/>
    <w:rsid w:val="08E242A4"/>
    <w:rsid w:val="08E243BD"/>
    <w:rsid w:val="08E243D8"/>
    <w:rsid w:val="08E244C0"/>
    <w:rsid w:val="08E244E2"/>
    <w:rsid w:val="08E2458E"/>
    <w:rsid w:val="08E245F6"/>
    <w:rsid w:val="08E2460D"/>
    <w:rsid w:val="08E247D3"/>
    <w:rsid w:val="08E24872"/>
    <w:rsid w:val="08E2489B"/>
    <w:rsid w:val="08E248EE"/>
    <w:rsid w:val="08E24913"/>
    <w:rsid w:val="08E2495B"/>
    <w:rsid w:val="08E2496C"/>
    <w:rsid w:val="08E24B48"/>
    <w:rsid w:val="08E24B70"/>
    <w:rsid w:val="08E24B83"/>
    <w:rsid w:val="08E24D6F"/>
    <w:rsid w:val="08E24D71"/>
    <w:rsid w:val="08E24DC2"/>
    <w:rsid w:val="08E24DD8"/>
    <w:rsid w:val="08E24E0B"/>
    <w:rsid w:val="08E24E1F"/>
    <w:rsid w:val="08E24F13"/>
    <w:rsid w:val="08E24F86"/>
    <w:rsid w:val="08E24FC6"/>
    <w:rsid w:val="08E250E9"/>
    <w:rsid w:val="08E25149"/>
    <w:rsid w:val="08E25214"/>
    <w:rsid w:val="08E252B2"/>
    <w:rsid w:val="08E253C0"/>
    <w:rsid w:val="08E2550B"/>
    <w:rsid w:val="08E25654"/>
    <w:rsid w:val="08E25681"/>
    <w:rsid w:val="08E257DA"/>
    <w:rsid w:val="08E257F9"/>
    <w:rsid w:val="08E25887"/>
    <w:rsid w:val="08E2588E"/>
    <w:rsid w:val="08E258AA"/>
    <w:rsid w:val="08E259AC"/>
    <w:rsid w:val="08E25A9C"/>
    <w:rsid w:val="08E25AEF"/>
    <w:rsid w:val="08E25B4B"/>
    <w:rsid w:val="08E25BA7"/>
    <w:rsid w:val="08E25BFF"/>
    <w:rsid w:val="08E25C35"/>
    <w:rsid w:val="08E25C3B"/>
    <w:rsid w:val="08E25C6F"/>
    <w:rsid w:val="08E25C71"/>
    <w:rsid w:val="08E25C9C"/>
    <w:rsid w:val="08E25CE1"/>
    <w:rsid w:val="08E25D1C"/>
    <w:rsid w:val="08E25D83"/>
    <w:rsid w:val="08E25DF0"/>
    <w:rsid w:val="08E25E12"/>
    <w:rsid w:val="08E25E58"/>
    <w:rsid w:val="08E25EE4"/>
    <w:rsid w:val="08E26049"/>
    <w:rsid w:val="08E26064"/>
    <w:rsid w:val="08E260FB"/>
    <w:rsid w:val="08E26132"/>
    <w:rsid w:val="08E26237"/>
    <w:rsid w:val="08E26256"/>
    <w:rsid w:val="08E26274"/>
    <w:rsid w:val="08E2631E"/>
    <w:rsid w:val="08E26339"/>
    <w:rsid w:val="08E26415"/>
    <w:rsid w:val="08E2642F"/>
    <w:rsid w:val="08E26466"/>
    <w:rsid w:val="08E26585"/>
    <w:rsid w:val="08E266AA"/>
    <w:rsid w:val="08E266C7"/>
    <w:rsid w:val="08E2677A"/>
    <w:rsid w:val="08E2678C"/>
    <w:rsid w:val="08E267DF"/>
    <w:rsid w:val="08E269AC"/>
    <w:rsid w:val="08E26A53"/>
    <w:rsid w:val="08E26A83"/>
    <w:rsid w:val="08E26AA9"/>
    <w:rsid w:val="08E26B0A"/>
    <w:rsid w:val="08E26B42"/>
    <w:rsid w:val="08E26B4B"/>
    <w:rsid w:val="08E26C5F"/>
    <w:rsid w:val="08E26CDB"/>
    <w:rsid w:val="08E26D0E"/>
    <w:rsid w:val="08E26D4C"/>
    <w:rsid w:val="08E26E28"/>
    <w:rsid w:val="08E26E34"/>
    <w:rsid w:val="08E26E8C"/>
    <w:rsid w:val="08E26F7E"/>
    <w:rsid w:val="08E27075"/>
    <w:rsid w:val="08E27122"/>
    <w:rsid w:val="08E27163"/>
    <w:rsid w:val="08E271FE"/>
    <w:rsid w:val="08E2722F"/>
    <w:rsid w:val="08E27244"/>
    <w:rsid w:val="08E2725F"/>
    <w:rsid w:val="08E27284"/>
    <w:rsid w:val="08E2743F"/>
    <w:rsid w:val="08E2746A"/>
    <w:rsid w:val="08E274AD"/>
    <w:rsid w:val="08E275A1"/>
    <w:rsid w:val="08E275F4"/>
    <w:rsid w:val="08E2760C"/>
    <w:rsid w:val="08E2772A"/>
    <w:rsid w:val="08E27802"/>
    <w:rsid w:val="08E27897"/>
    <w:rsid w:val="08E2792B"/>
    <w:rsid w:val="08E2792E"/>
    <w:rsid w:val="08E2793B"/>
    <w:rsid w:val="08E27952"/>
    <w:rsid w:val="08E2796B"/>
    <w:rsid w:val="08E279AD"/>
    <w:rsid w:val="08E279C1"/>
    <w:rsid w:val="08E279D3"/>
    <w:rsid w:val="08E279D7"/>
    <w:rsid w:val="08E27A28"/>
    <w:rsid w:val="08E27A37"/>
    <w:rsid w:val="08E27AF0"/>
    <w:rsid w:val="08E27B05"/>
    <w:rsid w:val="08E27B2C"/>
    <w:rsid w:val="08E27B4B"/>
    <w:rsid w:val="08E27B5C"/>
    <w:rsid w:val="08E27B63"/>
    <w:rsid w:val="08E27C81"/>
    <w:rsid w:val="08E27E3E"/>
    <w:rsid w:val="08E27E6F"/>
    <w:rsid w:val="08E27EA3"/>
    <w:rsid w:val="08E27EB1"/>
    <w:rsid w:val="08E27F8D"/>
    <w:rsid w:val="08E3002B"/>
    <w:rsid w:val="08E30289"/>
    <w:rsid w:val="08E302BF"/>
    <w:rsid w:val="08E302DF"/>
    <w:rsid w:val="08E30399"/>
    <w:rsid w:val="08E303C7"/>
    <w:rsid w:val="08E303E3"/>
    <w:rsid w:val="08E30406"/>
    <w:rsid w:val="08E30410"/>
    <w:rsid w:val="08E30538"/>
    <w:rsid w:val="08E305BB"/>
    <w:rsid w:val="08E3081A"/>
    <w:rsid w:val="08E30842"/>
    <w:rsid w:val="08E308A8"/>
    <w:rsid w:val="08E308B3"/>
    <w:rsid w:val="08E30915"/>
    <w:rsid w:val="08E30A0D"/>
    <w:rsid w:val="08E30B21"/>
    <w:rsid w:val="08E30B4C"/>
    <w:rsid w:val="08E30B84"/>
    <w:rsid w:val="08E30B93"/>
    <w:rsid w:val="08E30B94"/>
    <w:rsid w:val="08E30BD3"/>
    <w:rsid w:val="08E30BF5"/>
    <w:rsid w:val="08E30C71"/>
    <w:rsid w:val="08E30CBA"/>
    <w:rsid w:val="08E30E10"/>
    <w:rsid w:val="08E30E64"/>
    <w:rsid w:val="08E30EAE"/>
    <w:rsid w:val="08E30ECE"/>
    <w:rsid w:val="08E30F68"/>
    <w:rsid w:val="08E30F90"/>
    <w:rsid w:val="08E30FF8"/>
    <w:rsid w:val="08E31003"/>
    <w:rsid w:val="08E31007"/>
    <w:rsid w:val="08E31057"/>
    <w:rsid w:val="08E310D7"/>
    <w:rsid w:val="08E31295"/>
    <w:rsid w:val="08E312F5"/>
    <w:rsid w:val="08E31349"/>
    <w:rsid w:val="08E31384"/>
    <w:rsid w:val="08E31394"/>
    <w:rsid w:val="08E314D1"/>
    <w:rsid w:val="08E3152C"/>
    <w:rsid w:val="08E315BE"/>
    <w:rsid w:val="08E31605"/>
    <w:rsid w:val="08E31637"/>
    <w:rsid w:val="08E31734"/>
    <w:rsid w:val="08E317FF"/>
    <w:rsid w:val="08E31906"/>
    <w:rsid w:val="08E319C7"/>
    <w:rsid w:val="08E319E4"/>
    <w:rsid w:val="08E31A12"/>
    <w:rsid w:val="08E31B2C"/>
    <w:rsid w:val="08E31B56"/>
    <w:rsid w:val="08E31B7C"/>
    <w:rsid w:val="08E31BD3"/>
    <w:rsid w:val="08E31C55"/>
    <w:rsid w:val="08E31DE6"/>
    <w:rsid w:val="08E31E96"/>
    <w:rsid w:val="08E31ECA"/>
    <w:rsid w:val="08E31F7A"/>
    <w:rsid w:val="08E3208E"/>
    <w:rsid w:val="08E32165"/>
    <w:rsid w:val="08E32198"/>
    <w:rsid w:val="08E321AA"/>
    <w:rsid w:val="08E3222C"/>
    <w:rsid w:val="08E3222D"/>
    <w:rsid w:val="08E322DB"/>
    <w:rsid w:val="08E32368"/>
    <w:rsid w:val="08E323AC"/>
    <w:rsid w:val="08E32548"/>
    <w:rsid w:val="08E32698"/>
    <w:rsid w:val="08E32712"/>
    <w:rsid w:val="08E32775"/>
    <w:rsid w:val="08E327F2"/>
    <w:rsid w:val="08E32962"/>
    <w:rsid w:val="08E329AE"/>
    <w:rsid w:val="08E32A01"/>
    <w:rsid w:val="08E32ACE"/>
    <w:rsid w:val="08E32BAC"/>
    <w:rsid w:val="08E32BE4"/>
    <w:rsid w:val="08E32C69"/>
    <w:rsid w:val="08E32D0F"/>
    <w:rsid w:val="08E32D68"/>
    <w:rsid w:val="08E32D71"/>
    <w:rsid w:val="08E32F00"/>
    <w:rsid w:val="08E32FE8"/>
    <w:rsid w:val="08E33154"/>
    <w:rsid w:val="08E33169"/>
    <w:rsid w:val="08E3319B"/>
    <w:rsid w:val="08E331AC"/>
    <w:rsid w:val="08E33258"/>
    <w:rsid w:val="08E33391"/>
    <w:rsid w:val="08E334C7"/>
    <w:rsid w:val="08E334F5"/>
    <w:rsid w:val="08E33522"/>
    <w:rsid w:val="08E33534"/>
    <w:rsid w:val="08E3353D"/>
    <w:rsid w:val="08E33566"/>
    <w:rsid w:val="08E335FD"/>
    <w:rsid w:val="08E33602"/>
    <w:rsid w:val="08E3367F"/>
    <w:rsid w:val="08E33768"/>
    <w:rsid w:val="08E3378E"/>
    <w:rsid w:val="08E33813"/>
    <w:rsid w:val="08E33836"/>
    <w:rsid w:val="08E33899"/>
    <w:rsid w:val="08E33973"/>
    <w:rsid w:val="08E33977"/>
    <w:rsid w:val="08E339A8"/>
    <w:rsid w:val="08E339AD"/>
    <w:rsid w:val="08E33A30"/>
    <w:rsid w:val="08E33A64"/>
    <w:rsid w:val="08E33B36"/>
    <w:rsid w:val="08E33B40"/>
    <w:rsid w:val="08E33C5E"/>
    <w:rsid w:val="08E33CA3"/>
    <w:rsid w:val="08E33D02"/>
    <w:rsid w:val="08E33D37"/>
    <w:rsid w:val="08E33E82"/>
    <w:rsid w:val="08E33EC9"/>
    <w:rsid w:val="08E33EFE"/>
    <w:rsid w:val="08E33F13"/>
    <w:rsid w:val="08E33F51"/>
    <w:rsid w:val="08E33FC8"/>
    <w:rsid w:val="08E33FDD"/>
    <w:rsid w:val="08E34002"/>
    <w:rsid w:val="08E3401F"/>
    <w:rsid w:val="08E34074"/>
    <w:rsid w:val="08E3410E"/>
    <w:rsid w:val="08E34268"/>
    <w:rsid w:val="08E34284"/>
    <w:rsid w:val="08E34354"/>
    <w:rsid w:val="08E34399"/>
    <w:rsid w:val="08E343C4"/>
    <w:rsid w:val="08E343D1"/>
    <w:rsid w:val="08E343DA"/>
    <w:rsid w:val="08E3447F"/>
    <w:rsid w:val="08E344AB"/>
    <w:rsid w:val="08E345A1"/>
    <w:rsid w:val="08E345C8"/>
    <w:rsid w:val="08E345EE"/>
    <w:rsid w:val="08E345EF"/>
    <w:rsid w:val="08E347B3"/>
    <w:rsid w:val="08E3487E"/>
    <w:rsid w:val="08E348CD"/>
    <w:rsid w:val="08E3499D"/>
    <w:rsid w:val="08E349C3"/>
    <w:rsid w:val="08E34A22"/>
    <w:rsid w:val="08E34A2A"/>
    <w:rsid w:val="08E34B01"/>
    <w:rsid w:val="08E34B0E"/>
    <w:rsid w:val="08E34B2B"/>
    <w:rsid w:val="08E34B83"/>
    <w:rsid w:val="08E34BDC"/>
    <w:rsid w:val="08E34C14"/>
    <w:rsid w:val="08E34CCE"/>
    <w:rsid w:val="08E34DAF"/>
    <w:rsid w:val="08E34DDD"/>
    <w:rsid w:val="08E34DFC"/>
    <w:rsid w:val="08E34EE5"/>
    <w:rsid w:val="08E34F1E"/>
    <w:rsid w:val="08E34F3E"/>
    <w:rsid w:val="08E34FF9"/>
    <w:rsid w:val="08E3501C"/>
    <w:rsid w:val="08E35112"/>
    <w:rsid w:val="08E35202"/>
    <w:rsid w:val="08E3528A"/>
    <w:rsid w:val="08E353BA"/>
    <w:rsid w:val="08E35478"/>
    <w:rsid w:val="08E3548E"/>
    <w:rsid w:val="08E35515"/>
    <w:rsid w:val="08E35632"/>
    <w:rsid w:val="08E35A28"/>
    <w:rsid w:val="08E35A42"/>
    <w:rsid w:val="08E35AEE"/>
    <w:rsid w:val="08E35B12"/>
    <w:rsid w:val="08E35B48"/>
    <w:rsid w:val="08E35B5D"/>
    <w:rsid w:val="08E35B94"/>
    <w:rsid w:val="08E35C35"/>
    <w:rsid w:val="08E35D61"/>
    <w:rsid w:val="08E35DB4"/>
    <w:rsid w:val="08E35E41"/>
    <w:rsid w:val="08E35F7F"/>
    <w:rsid w:val="08E35FEB"/>
    <w:rsid w:val="08E3605F"/>
    <w:rsid w:val="08E3606B"/>
    <w:rsid w:val="08E3613D"/>
    <w:rsid w:val="08E36191"/>
    <w:rsid w:val="08E361ED"/>
    <w:rsid w:val="08E36229"/>
    <w:rsid w:val="08E3634B"/>
    <w:rsid w:val="08E36537"/>
    <w:rsid w:val="08E3657C"/>
    <w:rsid w:val="08E365DC"/>
    <w:rsid w:val="08E365E2"/>
    <w:rsid w:val="08E36631"/>
    <w:rsid w:val="08E3665E"/>
    <w:rsid w:val="08E36668"/>
    <w:rsid w:val="08E366E2"/>
    <w:rsid w:val="08E367F9"/>
    <w:rsid w:val="08E36823"/>
    <w:rsid w:val="08E36A0D"/>
    <w:rsid w:val="08E36AA0"/>
    <w:rsid w:val="08E36AA6"/>
    <w:rsid w:val="08E36BD2"/>
    <w:rsid w:val="08E36C04"/>
    <w:rsid w:val="08E36C46"/>
    <w:rsid w:val="08E36C77"/>
    <w:rsid w:val="08E36C90"/>
    <w:rsid w:val="08E36C9B"/>
    <w:rsid w:val="08E36D43"/>
    <w:rsid w:val="08E36D5E"/>
    <w:rsid w:val="08E36D83"/>
    <w:rsid w:val="08E36D86"/>
    <w:rsid w:val="08E36DC4"/>
    <w:rsid w:val="08E36E01"/>
    <w:rsid w:val="08E36E39"/>
    <w:rsid w:val="08E36E9E"/>
    <w:rsid w:val="08E36F37"/>
    <w:rsid w:val="08E36F60"/>
    <w:rsid w:val="08E36FAD"/>
    <w:rsid w:val="08E36FD7"/>
    <w:rsid w:val="08E36FE0"/>
    <w:rsid w:val="08E36FE3"/>
    <w:rsid w:val="08E37013"/>
    <w:rsid w:val="08E37048"/>
    <w:rsid w:val="08E3715F"/>
    <w:rsid w:val="08E371A1"/>
    <w:rsid w:val="08E3723F"/>
    <w:rsid w:val="08E3728B"/>
    <w:rsid w:val="08E37308"/>
    <w:rsid w:val="08E373C9"/>
    <w:rsid w:val="08E37438"/>
    <w:rsid w:val="08E374EF"/>
    <w:rsid w:val="08E3750E"/>
    <w:rsid w:val="08E37526"/>
    <w:rsid w:val="08E37530"/>
    <w:rsid w:val="08E37533"/>
    <w:rsid w:val="08E37599"/>
    <w:rsid w:val="08E375C1"/>
    <w:rsid w:val="08E377DF"/>
    <w:rsid w:val="08E377E9"/>
    <w:rsid w:val="08E377F5"/>
    <w:rsid w:val="08E3786E"/>
    <w:rsid w:val="08E379C1"/>
    <w:rsid w:val="08E37A55"/>
    <w:rsid w:val="08E37C21"/>
    <w:rsid w:val="08E37C3D"/>
    <w:rsid w:val="08E37C58"/>
    <w:rsid w:val="08E37CBE"/>
    <w:rsid w:val="08E37D26"/>
    <w:rsid w:val="08E37D4C"/>
    <w:rsid w:val="08E37D6B"/>
    <w:rsid w:val="08E37D6F"/>
    <w:rsid w:val="08E37DAE"/>
    <w:rsid w:val="08E37DC3"/>
    <w:rsid w:val="08E37DE3"/>
    <w:rsid w:val="08E37E85"/>
    <w:rsid w:val="08E37EFF"/>
    <w:rsid w:val="08E37F5D"/>
    <w:rsid w:val="08E40009"/>
    <w:rsid w:val="08E400E7"/>
    <w:rsid w:val="08E401E6"/>
    <w:rsid w:val="08E402ED"/>
    <w:rsid w:val="08E4031A"/>
    <w:rsid w:val="08E40353"/>
    <w:rsid w:val="08E40398"/>
    <w:rsid w:val="08E4039B"/>
    <w:rsid w:val="08E4043B"/>
    <w:rsid w:val="08E40471"/>
    <w:rsid w:val="08E404C4"/>
    <w:rsid w:val="08E404F3"/>
    <w:rsid w:val="08E4053E"/>
    <w:rsid w:val="08E4055F"/>
    <w:rsid w:val="08E4057B"/>
    <w:rsid w:val="08E40584"/>
    <w:rsid w:val="08E40594"/>
    <w:rsid w:val="08E40658"/>
    <w:rsid w:val="08E406B8"/>
    <w:rsid w:val="08E406C6"/>
    <w:rsid w:val="08E4089C"/>
    <w:rsid w:val="08E408DC"/>
    <w:rsid w:val="08E40959"/>
    <w:rsid w:val="08E40992"/>
    <w:rsid w:val="08E409F8"/>
    <w:rsid w:val="08E40A2B"/>
    <w:rsid w:val="08E40ADB"/>
    <w:rsid w:val="08E40AE0"/>
    <w:rsid w:val="08E40BAE"/>
    <w:rsid w:val="08E40C03"/>
    <w:rsid w:val="08E40C7B"/>
    <w:rsid w:val="08E40CEF"/>
    <w:rsid w:val="08E40D15"/>
    <w:rsid w:val="08E40D4C"/>
    <w:rsid w:val="08E40DE2"/>
    <w:rsid w:val="08E40EBD"/>
    <w:rsid w:val="08E40FBD"/>
    <w:rsid w:val="08E4107D"/>
    <w:rsid w:val="08E410AA"/>
    <w:rsid w:val="08E41147"/>
    <w:rsid w:val="08E411A9"/>
    <w:rsid w:val="08E411AE"/>
    <w:rsid w:val="08E41262"/>
    <w:rsid w:val="08E41293"/>
    <w:rsid w:val="08E41427"/>
    <w:rsid w:val="08E41496"/>
    <w:rsid w:val="08E414BE"/>
    <w:rsid w:val="08E414F3"/>
    <w:rsid w:val="08E41515"/>
    <w:rsid w:val="08E415D1"/>
    <w:rsid w:val="08E41666"/>
    <w:rsid w:val="08E41697"/>
    <w:rsid w:val="08E417A3"/>
    <w:rsid w:val="08E417AE"/>
    <w:rsid w:val="08E41800"/>
    <w:rsid w:val="08E418AD"/>
    <w:rsid w:val="08E418CA"/>
    <w:rsid w:val="08E418F4"/>
    <w:rsid w:val="08E4191B"/>
    <w:rsid w:val="08E41961"/>
    <w:rsid w:val="08E419A8"/>
    <w:rsid w:val="08E41A25"/>
    <w:rsid w:val="08E41CD8"/>
    <w:rsid w:val="08E41CF4"/>
    <w:rsid w:val="08E41D74"/>
    <w:rsid w:val="08E41D8A"/>
    <w:rsid w:val="08E41D98"/>
    <w:rsid w:val="08E41DE4"/>
    <w:rsid w:val="08E41E61"/>
    <w:rsid w:val="08E41F2A"/>
    <w:rsid w:val="08E41F5B"/>
    <w:rsid w:val="08E41F5F"/>
    <w:rsid w:val="08E41FBF"/>
    <w:rsid w:val="08E42084"/>
    <w:rsid w:val="08E42150"/>
    <w:rsid w:val="08E42154"/>
    <w:rsid w:val="08E421F4"/>
    <w:rsid w:val="08E422A0"/>
    <w:rsid w:val="08E4234E"/>
    <w:rsid w:val="08E4235D"/>
    <w:rsid w:val="08E42379"/>
    <w:rsid w:val="08E4240F"/>
    <w:rsid w:val="08E42427"/>
    <w:rsid w:val="08E4249C"/>
    <w:rsid w:val="08E424A8"/>
    <w:rsid w:val="08E4257F"/>
    <w:rsid w:val="08E42647"/>
    <w:rsid w:val="08E426C3"/>
    <w:rsid w:val="08E426D3"/>
    <w:rsid w:val="08E426EA"/>
    <w:rsid w:val="08E42747"/>
    <w:rsid w:val="08E4274A"/>
    <w:rsid w:val="08E4275D"/>
    <w:rsid w:val="08E427EB"/>
    <w:rsid w:val="08E42887"/>
    <w:rsid w:val="08E42959"/>
    <w:rsid w:val="08E42963"/>
    <w:rsid w:val="08E4299E"/>
    <w:rsid w:val="08E429BD"/>
    <w:rsid w:val="08E429FB"/>
    <w:rsid w:val="08E42A20"/>
    <w:rsid w:val="08E42A46"/>
    <w:rsid w:val="08E42BBA"/>
    <w:rsid w:val="08E42C5D"/>
    <w:rsid w:val="08E42C60"/>
    <w:rsid w:val="08E42D06"/>
    <w:rsid w:val="08E42DE7"/>
    <w:rsid w:val="08E42E1E"/>
    <w:rsid w:val="08E42E39"/>
    <w:rsid w:val="08E42F6C"/>
    <w:rsid w:val="08E42FB3"/>
    <w:rsid w:val="08E4303D"/>
    <w:rsid w:val="08E43127"/>
    <w:rsid w:val="08E43163"/>
    <w:rsid w:val="08E43198"/>
    <w:rsid w:val="08E431F5"/>
    <w:rsid w:val="08E43237"/>
    <w:rsid w:val="08E432E3"/>
    <w:rsid w:val="08E433E5"/>
    <w:rsid w:val="08E43480"/>
    <w:rsid w:val="08E435BF"/>
    <w:rsid w:val="08E43639"/>
    <w:rsid w:val="08E43754"/>
    <w:rsid w:val="08E43823"/>
    <w:rsid w:val="08E43864"/>
    <w:rsid w:val="08E438B7"/>
    <w:rsid w:val="08E438C9"/>
    <w:rsid w:val="08E4392F"/>
    <w:rsid w:val="08E43A6B"/>
    <w:rsid w:val="08E43AC6"/>
    <w:rsid w:val="08E43BC2"/>
    <w:rsid w:val="08E43C7D"/>
    <w:rsid w:val="08E43CD0"/>
    <w:rsid w:val="08E43CFF"/>
    <w:rsid w:val="08E43D32"/>
    <w:rsid w:val="08E43D8E"/>
    <w:rsid w:val="08E43ED7"/>
    <w:rsid w:val="08E43F45"/>
    <w:rsid w:val="08E43F48"/>
    <w:rsid w:val="08E43FAD"/>
    <w:rsid w:val="08E43FE1"/>
    <w:rsid w:val="08E4406C"/>
    <w:rsid w:val="08E440F0"/>
    <w:rsid w:val="08E44115"/>
    <w:rsid w:val="08E44195"/>
    <w:rsid w:val="08E441AC"/>
    <w:rsid w:val="08E4427A"/>
    <w:rsid w:val="08E442DF"/>
    <w:rsid w:val="08E44321"/>
    <w:rsid w:val="08E44450"/>
    <w:rsid w:val="08E4450C"/>
    <w:rsid w:val="08E445C1"/>
    <w:rsid w:val="08E445C9"/>
    <w:rsid w:val="08E44675"/>
    <w:rsid w:val="08E44736"/>
    <w:rsid w:val="08E4474C"/>
    <w:rsid w:val="08E44761"/>
    <w:rsid w:val="08E447AD"/>
    <w:rsid w:val="08E447AF"/>
    <w:rsid w:val="08E4487C"/>
    <w:rsid w:val="08E448DB"/>
    <w:rsid w:val="08E44951"/>
    <w:rsid w:val="08E44975"/>
    <w:rsid w:val="08E449D6"/>
    <w:rsid w:val="08E449FA"/>
    <w:rsid w:val="08E44A54"/>
    <w:rsid w:val="08E44AD6"/>
    <w:rsid w:val="08E44B44"/>
    <w:rsid w:val="08E44B55"/>
    <w:rsid w:val="08E44B68"/>
    <w:rsid w:val="08E44B7E"/>
    <w:rsid w:val="08E44BD2"/>
    <w:rsid w:val="08E44C8C"/>
    <w:rsid w:val="08E44D4F"/>
    <w:rsid w:val="08E44D8B"/>
    <w:rsid w:val="08E44E0F"/>
    <w:rsid w:val="08E44EBF"/>
    <w:rsid w:val="08E44F27"/>
    <w:rsid w:val="08E45077"/>
    <w:rsid w:val="08E45184"/>
    <w:rsid w:val="08E45199"/>
    <w:rsid w:val="08E45241"/>
    <w:rsid w:val="08E45343"/>
    <w:rsid w:val="08E45409"/>
    <w:rsid w:val="08E4543E"/>
    <w:rsid w:val="08E45464"/>
    <w:rsid w:val="08E45556"/>
    <w:rsid w:val="08E45574"/>
    <w:rsid w:val="08E455E1"/>
    <w:rsid w:val="08E45661"/>
    <w:rsid w:val="08E45759"/>
    <w:rsid w:val="08E4582A"/>
    <w:rsid w:val="08E45830"/>
    <w:rsid w:val="08E458B9"/>
    <w:rsid w:val="08E4594F"/>
    <w:rsid w:val="08E459B3"/>
    <w:rsid w:val="08E459BA"/>
    <w:rsid w:val="08E45A39"/>
    <w:rsid w:val="08E45BB0"/>
    <w:rsid w:val="08E45C23"/>
    <w:rsid w:val="08E45D51"/>
    <w:rsid w:val="08E45D52"/>
    <w:rsid w:val="08E45DA8"/>
    <w:rsid w:val="08E45E02"/>
    <w:rsid w:val="08E45E6E"/>
    <w:rsid w:val="08E45E7F"/>
    <w:rsid w:val="08E45ECD"/>
    <w:rsid w:val="08E45F3F"/>
    <w:rsid w:val="08E45F85"/>
    <w:rsid w:val="08E45F87"/>
    <w:rsid w:val="08E45FA0"/>
    <w:rsid w:val="08E45FB0"/>
    <w:rsid w:val="08E45FB3"/>
    <w:rsid w:val="08E4601B"/>
    <w:rsid w:val="08E46093"/>
    <w:rsid w:val="08E462A9"/>
    <w:rsid w:val="08E46341"/>
    <w:rsid w:val="08E46365"/>
    <w:rsid w:val="08E463D3"/>
    <w:rsid w:val="08E464D6"/>
    <w:rsid w:val="08E465CC"/>
    <w:rsid w:val="08E46608"/>
    <w:rsid w:val="08E466B8"/>
    <w:rsid w:val="08E466FC"/>
    <w:rsid w:val="08E46743"/>
    <w:rsid w:val="08E46820"/>
    <w:rsid w:val="08E46886"/>
    <w:rsid w:val="08E468BA"/>
    <w:rsid w:val="08E468BF"/>
    <w:rsid w:val="08E468C6"/>
    <w:rsid w:val="08E46901"/>
    <w:rsid w:val="08E4691C"/>
    <w:rsid w:val="08E46A43"/>
    <w:rsid w:val="08E46A69"/>
    <w:rsid w:val="08E46A93"/>
    <w:rsid w:val="08E46B01"/>
    <w:rsid w:val="08E46B39"/>
    <w:rsid w:val="08E46BAF"/>
    <w:rsid w:val="08E46BDC"/>
    <w:rsid w:val="08E46C5A"/>
    <w:rsid w:val="08E46C64"/>
    <w:rsid w:val="08E46C72"/>
    <w:rsid w:val="08E46C82"/>
    <w:rsid w:val="08E46E10"/>
    <w:rsid w:val="08E46E30"/>
    <w:rsid w:val="08E46E5F"/>
    <w:rsid w:val="08E46F0C"/>
    <w:rsid w:val="08E46F93"/>
    <w:rsid w:val="08E47064"/>
    <w:rsid w:val="08E4710D"/>
    <w:rsid w:val="08E4721C"/>
    <w:rsid w:val="08E472D5"/>
    <w:rsid w:val="08E472D6"/>
    <w:rsid w:val="08E472F3"/>
    <w:rsid w:val="08E475DB"/>
    <w:rsid w:val="08E476E6"/>
    <w:rsid w:val="08E476F0"/>
    <w:rsid w:val="08E4770C"/>
    <w:rsid w:val="08E477DF"/>
    <w:rsid w:val="08E47800"/>
    <w:rsid w:val="08E47819"/>
    <w:rsid w:val="08E4787A"/>
    <w:rsid w:val="08E4791D"/>
    <w:rsid w:val="08E47944"/>
    <w:rsid w:val="08E4799A"/>
    <w:rsid w:val="08E479E1"/>
    <w:rsid w:val="08E479EB"/>
    <w:rsid w:val="08E479F3"/>
    <w:rsid w:val="08E47A58"/>
    <w:rsid w:val="08E47B00"/>
    <w:rsid w:val="08E47BC2"/>
    <w:rsid w:val="08E47BDC"/>
    <w:rsid w:val="08E47C06"/>
    <w:rsid w:val="08E47C3E"/>
    <w:rsid w:val="08E47CA0"/>
    <w:rsid w:val="08E47CA1"/>
    <w:rsid w:val="08E47CDC"/>
    <w:rsid w:val="08E47D0E"/>
    <w:rsid w:val="08E47D22"/>
    <w:rsid w:val="08E47D89"/>
    <w:rsid w:val="08E47E3E"/>
    <w:rsid w:val="08E47F6E"/>
    <w:rsid w:val="08E47FB6"/>
    <w:rsid w:val="08E47FBB"/>
    <w:rsid w:val="08E47FBC"/>
    <w:rsid w:val="08E50051"/>
    <w:rsid w:val="08E50076"/>
    <w:rsid w:val="08E500BB"/>
    <w:rsid w:val="08E500D5"/>
    <w:rsid w:val="08E50106"/>
    <w:rsid w:val="08E50148"/>
    <w:rsid w:val="08E50149"/>
    <w:rsid w:val="08E50219"/>
    <w:rsid w:val="08E50226"/>
    <w:rsid w:val="08E5028F"/>
    <w:rsid w:val="08E5043C"/>
    <w:rsid w:val="08E50444"/>
    <w:rsid w:val="08E5063D"/>
    <w:rsid w:val="08E5065B"/>
    <w:rsid w:val="08E506E5"/>
    <w:rsid w:val="08E507AD"/>
    <w:rsid w:val="08E5083D"/>
    <w:rsid w:val="08E508B5"/>
    <w:rsid w:val="08E509E4"/>
    <w:rsid w:val="08E50A03"/>
    <w:rsid w:val="08E50B59"/>
    <w:rsid w:val="08E50B92"/>
    <w:rsid w:val="08E50BA2"/>
    <w:rsid w:val="08E50BD5"/>
    <w:rsid w:val="08E50BEE"/>
    <w:rsid w:val="08E50BFB"/>
    <w:rsid w:val="08E50C77"/>
    <w:rsid w:val="08E50CAE"/>
    <w:rsid w:val="08E50CD8"/>
    <w:rsid w:val="08E50DE2"/>
    <w:rsid w:val="08E50E0B"/>
    <w:rsid w:val="08E50EDC"/>
    <w:rsid w:val="08E50F69"/>
    <w:rsid w:val="08E50F98"/>
    <w:rsid w:val="08E50FEC"/>
    <w:rsid w:val="08E5109D"/>
    <w:rsid w:val="08E51127"/>
    <w:rsid w:val="08E511BB"/>
    <w:rsid w:val="08E511C9"/>
    <w:rsid w:val="08E511D4"/>
    <w:rsid w:val="08E51416"/>
    <w:rsid w:val="08E51442"/>
    <w:rsid w:val="08E51449"/>
    <w:rsid w:val="08E514B8"/>
    <w:rsid w:val="08E51590"/>
    <w:rsid w:val="08E515E4"/>
    <w:rsid w:val="08E51630"/>
    <w:rsid w:val="08E5164D"/>
    <w:rsid w:val="08E516E4"/>
    <w:rsid w:val="08E51765"/>
    <w:rsid w:val="08E517E0"/>
    <w:rsid w:val="08E51823"/>
    <w:rsid w:val="08E51875"/>
    <w:rsid w:val="08E519CE"/>
    <w:rsid w:val="08E519D9"/>
    <w:rsid w:val="08E51AB2"/>
    <w:rsid w:val="08E51B24"/>
    <w:rsid w:val="08E51B4D"/>
    <w:rsid w:val="08E51B98"/>
    <w:rsid w:val="08E51BAE"/>
    <w:rsid w:val="08E51C23"/>
    <w:rsid w:val="08E51CD0"/>
    <w:rsid w:val="08E51CFA"/>
    <w:rsid w:val="08E51D01"/>
    <w:rsid w:val="08E51F87"/>
    <w:rsid w:val="08E51F96"/>
    <w:rsid w:val="08E51FB9"/>
    <w:rsid w:val="08E52033"/>
    <w:rsid w:val="08E5209F"/>
    <w:rsid w:val="08E52182"/>
    <w:rsid w:val="08E521A2"/>
    <w:rsid w:val="08E521F2"/>
    <w:rsid w:val="08E52203"/>
    <w:rsid w:val="08E5220A"/>
    <w:rsid w:val="08E52415"/>
    <w:rsid w:val="08E5241E"/>
    <w:rsid w:val="08E5244B"/>
    <w:rsid w:val="08E525AC"/>
    <w:rsid w:val="08E526BA"/>
    <w:rsid w:val="08E52714"/>
    <w:rsid w:val="08E5274D"/>
    <w:rsid w:val="08E52875"/>
    <w:rsid w:val="08E528A9"/>
    <w:rsid w:val="08E528C7"/>
    <w:rsid w:val="08E5291C"/>
    <w:rsid w:val="08E52A41"/>
    <w:rsid w:val="08E52ABE"/>
    <w:rsid w:val="08E52ACD"/>
    <w:rsid w:val="08E52B06"/>
    <w:rsid w:val="08E52B23"/>
    <w:rsid w:val="08E52B43"/>
    <w:rsid w:val="08E52BF5"/>
    <w:rsid w:val="08E52D6E"/>
    <w:rsid w:val="08E52DD4"/>
    <w:rsid w:val="08E52E31"/>
    <w:rsid w:val="08E52E92"/>
    <w:rsid w:val="08E52EA9"/>
    <w:rsid w:val="08E52F0B"/>
    <w:rsid w:val="08E52F5E"/>
    <w:rsid w:val="08E52FC2"/>
    <w:rsid w:val="08E530FF"/>
    <w:rsid w:val="08E5318D"/>
    <w:rsid w:val="08E531B7"/>
    <w:rsid w:val="08E53227"/>
    <w:rsid w:val="08E532AD"/>
    <w:rsid w:val="08E5337B"/>
    <w:rsid w:val="08E53413"/>
    <w:rsid w:val="08E53414"/>
    <w:rsid w:val="08E53440"/>
    <w:rsid w:val="08E53486"/>
    <w:rsid w:val="08E534E1"/>
    <w:rsid w:val="08E53681"/>
    <w:rsid w:val="08E53691"/>
    <w:rsid w:val="08E53754"/>
    <w:rsid w:val="08E53764"/>
    <w:rsid w:val="08E53808"/>
    <w:rsid w:val="08E5385D"/>
    <w:rsid w:val="08E53955"/>
    <w:rsid w:val="08E53989"/>
    <w:rsid w:val="08E53A07"/>
    <w:rsid w:val="08E53B9C"/>
    <w:rsid w:val="08E53C3A"/>
    <w:rsid w:val="08E53C3D"/>
    <w:rsid w:val="08E53D00"/>
    <w:rsid w:val="08E53E24"/>
    <w:rsid w:val="08E53E4F"/>
    <w:rsid w:val="08E53EA1"/>
    <w:rsid w:val="08E53EDC"/>
    <w:rsid w:val="08E53EFA"/>
    <w:rsid w:val="08E53FA1"/>
    <w:rsid w:val="08E54065"/>
    <w:rsid w:val="08E540EA"/>
    <w:rsid w:val="08E54114"/>
    <w:rsid w:val="08E54117"/>
    <w:rsid w:val="08E5415C"/>
    <w:rsid w:val="08E5415E"/>
    <w:rsid w:val="08E5417E"/>
    <w:rsid w:val="08E5419D"/>
    <w:rsid w:val="08E54260"/>
    <w:rsid w:val="08E5438B"/>
    <w:rsid w:val="08E543E0"/>
    <w:rsid w:val="08E5444E"/>
    <w:rsid w:val="08E54467"/>
    <w:rsid w:val="08E544A6"/>
    <w:rsid w:val="08E544DE"/>
    <w:rsid w:val="08E544F4"/>
    <w:rsid w:val="08E545AA"/>
    <w:rsid w:val="08E5472F"/>
    <w:rsid w:val="08E5478C"/>
    <w:rsid w:val="08E547C8"/>
    <w:rsid w:val="08E547F7"/>
    <w:rsid w:val="08E5484B"/>
    <w:rsid w:val="08E54957"/>
    <w:rsid w:val="08E54972"/>
    <w:rsid w:val="08E549D6"/>
    <w:rsid w:val="08E549EF"/>
    <w:rsid w:val="08E54A91"/>
    <w:rsid w:val="08E54AFF"/>
    <w:rsid w:val="08E54B08"/>
    <w:rsid w:val="08E54B77"/>
    <w:rsid w:val="08E54B78"/>
    <w:rsid w:val="08E54C16"/>
    <w:rsid w:val="08E54C7A"/>
    <w:rsid w:val="08E54C81"/>
    <w:rsid w:val="08E54CAA"/>
    <w:rsid w:val="08E54D9E"/>
    <w:rsid w:val="08E54E19"/>
    <w:rsid w:val="08E54E34"/>
    <w:rsid w:val="08E54E40"/>
    <w:rsid w:val="08E54F0A"/>
    <w:rsid w:val="08E54F16"/>
    <w:rsid w:val="08E54FFE"/>
    <w:rsid w:val="08E55152"/>
    <w:rsid w:val="08E55169"/>
    <w:rsid w:val="08E55286"/>
    <w:rsid w:val="08E552EB"/>
    <w:rsid w:val="08E55440"/>
    <w:rsid w:val="08E55461"/>
    <w:rsid w:val="08E5549D"/>
    <w:rsid w:val="08E554CB"/>
    <w:rsid w:val="08E554E7"/>
    <w:rsid w:val="08E55526"/>
    <w:rsid w:val="08E55588"/>
    <w:rsid w:val="08E555C2"/>
    <w:rsid w:val="08E555F6"/>
    <w:rsid w:val="08E55654"/>
    <w:rsid w:val="08E556D5"/>
    <w:rsid w:val="08E556D9"/>
    <w:rsid w:val="08E55738"/>
    <w:rsid w:val="08E5573B"/>
    <w:rsid w:val="08E55781"/>
    <w:rsid w:val="08E557D9"/>
    <w:rsid w:val="08E55805"/>
    <w:rsid w:val="08E55884"/>
    <w:rsid w:val="08E558A1"/>
    <w:rsid w:val="08E5592E"/>
    <w:rsid w:val="08E55AFB"/>
    <w:rsid w:val="08E55BF6"/>
    <w:rsid w:val="08E55C3D"/>
    <w:rsid w:val="08E55C8F"/>
    <w:rsid w:val="08E55CE0"/>
    <w:rsid w:val="08E55CE1"/>
    <w:rsid w:val="08E55D28"/>
    <w:rsid w:val="08E55D79"/>
    <w:rsid w:val="08E55E93"/>
    <w:rsid w:val="08E55F0C"/>
    <w:rsid w:val="08E55FF4"/>
    <w:rsid w:val="08E5603F"/>
    <w:rsid w:val="08E560B0"/>
    <w:rsid w:val="08E561F5"/>
    <w:rsid w:val="08E56211"/>
    <w:rsid w:val="08E56290"/>
    <w:rsid w:val="08E562B5"/>
    <w:rsid w:val="08E562F3"/>
    <w:rsid w:val="08E5644A"/>
    <w:rsid w:val="08E564DA"/>
    <w:rsid w:val="08E56628"/>
    <w:rsid w:val="08E567A6"/>
    <w:rsid w:val="08E56A24"/>
    <w:rsid w:val="08E56A7A"/>
    <w:rsid w:val="08E56AA3"/>
    <w:rsid w:val="08E56AEA"/>
    <w:rsid w:val="08E56BAF"/>
    <w:rsid w:val="08E56C11"/>
    <w:rsid w:val="08E56DB9"/>
    <w:rsid w:val="08E56DC4"/>
    <w:rsid w:val="08E56E67"/>
    <w:rsid w:val="08E56E71"/>
    <w:rsid w:val="08E56E81"/>
    <w:rsid w:val="08E5700A"/>
    <w:rsid w:val="08E57124"/>
    <w:rsid w:val="08E57167"/>
    <w:rsid w:val="08E5716F"/>
    <w:rsid w:val="08E5731E"/>
    <w:rsid w:val="08E57323"/>
    <w:rsid w:val="08E5732C"/>
    <w:rsid w:val="08E573F6"/>
    <w:rsid w:val="08E57422"/>
    <w:rsid w:val="08E5748F"/>
    <w:rsid w:val="08E574B0"/>
    <w:rsid w:val="08E5753A"/>
    <w:rsid w:val="08E57637"/>
    <w:rsid w:val="08E57654"/>
    <w:rsid w:val="08E57697"/>
    <w:rsid w:val="08E57751"/>
    <w:rsid w:val="08E577F8"/>
    <w:rsid w:val="08E57821"/>
    <w:rsid w:val="08E578A6"/>
    <w:rsid w:val="08E578CF"/>
    <w:rsid w:val="08E57937"/>
    <w:rsid w:val="08E57981"/>
    <w:rsid w:val="08E579D6"/>
    <w:rsid w:val="08E57A21"/>
    <w:rsid w:val="08E57A2C"/>
    <w:rsid w:val="08E57AB4"/>
    <w:rsid w:val="08E57BA2"/>
    <w:rsid w:val="08E57BCC"/>
    <w:rsid w:val="08E57CBB"/>
    <w:rsid w:val="08E57D22"/>
    <w:rsid w:val="08E57D30"/>
    <w:rsid w:val="08E57E2B"/>
    <w:rsid w:val="08E60014"/>
    <w:rsid w:val="08E600A2"/>
    <w:rsid w:val="08E60122"/>
    <w:rsid w:val="08E60151"/>
    <w:rsid w:val="08E601AC"/>
    <w:rsid w:val="08E60224"/>
    <w:rsid w:val="08E60231"/>
    <w:rsid w:val="08E60244"/>
    <w:rsid w:val="08E602A3"/>
    <w:rsid w:val="08E602AB"/>
    <w:rsid w:val="08E60376"/>
    <w:rsid w:val="08E60389"/>
    <w:rsid w:val="08E605C0"/>
    <w:rsid w:val="08E60602"/>
    <w:rsid w:val="08E60610"/>
    <w:rsid w:val="08E6073E"/>
    <w:rsid w:val="08E6076F"/>
    <w:rsid w:val="08E60783"/>
    <w:rsid w:val="08E607F8"/>
    <w:rsid w:val="08E608A4"/>
    <w:rsid w:val="08E608A5"/>
    <w:rsid w:val="08E60A27"/>
    <w:rsid w:val="08E60A4E"/>
    <w:rsid w:val="08E60ACA"/>
    <w:rsid w:val="08E60BCC"/>
    <w:rsid w:val="08E60C60"/>
    <w:rsid w:val="08E60D10"/>
    <w:rsid w:val="08E60D12"/>
    <w:rsid w:val="08E60D79"/>
    <w:rsid w:val="08E60DA3"/>
    <w:rsid w:val="08E60E74"/>
    <w:rsid w:val="08E60EEC"/>
    <w:rsid w:val="08E60F53"/>
    <w:rsid w:val="08E60FA4"/>
    <w:rsid w:val="08E6103C"/>
    <w:rsid w:val="08E61061"/>
    <w:rsid w:val="08E610A4"/>
    <w:rsid w:val="08E611CB"/>
    <w:rsid w:val="08E611E5"/>
    <w:rsid w:val="08E611F6"/>
    <w:rsid w:val="08E6122F"/>
    <w:rsid w:val="08E612DF"/>
    <w:rsid w:val="08E61393"/>
    <w:rsid w:val="08E61427"/>
    <w:rsid w:val="08E61428"/>
    <w:rsid w:val="08E614B0"/>
    <w:rsid w:val="08E614D0"/>
    <w:rsid w:val="08E61575"/>
    <w:rsid w:val="08E615AA"/>
    <w:rsid w:val="08E616AD"/>
    <w:rsid w:val="08E617D5"/>
    <w:rsid w:val="08E61821"/>
    <w:rsid w:val="08E61824"/>
    <w:rsid w:val="08E618C3"/>
    <w:rsid w:val="08E618DC"/>
    <w:rsid w:val="08E619C0"/>
    <w:rsid w:val="08E61A31"/>
    <w:rsid w:val="08E61AB5"/>
    <w:rsid w:val="08E61AD7"/>
    <w:rsid w:val="08E61B8F"/>
    <w:rsid w:val="08E61CB5"/>
    <w:rsid w:val="08E61CD4"/>
    <w:rsid w:val="08E61D41"/>
    <w:rsid w:val="08E61D87"/>
    <w:rsid w:val="08E61D91"/>
    <w:rsid w:val="08E61E30"/>
    <w:rsid w:val="08E61E5A"/>
    <w:rsid w:val="08E61E69"/>
    <w:rsid w:val="08E61E72"/>
    <w:rsid w:val="08E61E8E"/>
    <w:rsid w:val="08E61E8F"/>
    <w:rsid w:val="08E61EC8"/>
    <w:rsid w:val="08E61EEB"/>
    <w:rsid w:val="08E61FA9"/>
    <w:rsid w:val="08E61FF1"/>
    <w:rsid w:val="08E62030"/>
    <w:rsid w:val="08E62055"/>
    <w:rsid w:val="08E62092"/>
    <w:rsid w:val="08E62098"/>
    <w:rsid w:val="08E620C6"/>
    <w:rsid w:val="08E62165"/>
    <w:rsid w:val="08E6218B"/>
    <w:rsid w:val="08E62227"/>
    <w:rsid w:val="08E6232C"/>
    <w:rsid w:val="08E623A9"/>
    <w:rsid w:val="08E623C6"/>
    <w:rsid w:val="08E6240F"/>
    <w:rsid w:val="08E6244B"/>
    <w:rsid w:val="08E62453"/>
    <w:rsid w:val="08E625D9"/>
    <w:rsid w:val="08E6267A"/>
    <w:rsid w:val="08E62688"/>
    <w:rsid w:val="08E626C6"/>
    <w:rsid w:val="08E6275C"/>
    <w:rsid w:val="08E62768"/>
    <w:rsid w:val="08E6277C"/>
    <w:rsid w:val="08E6277D"/>
    <w:rsid w:val="08E62936"/>
    <w:rsid w:val="08E62A17"/>
    <w:rsid w:val="08E62A32"/>
    <w:rsid w:val="08E62A93"/>
    <w:rsid w:val="08E62B33"/>
    <w:rsid w:val="08E62C05"/>
    <w:rsid w:val="08E62DCE"/>
    <w:rsid w:val="08E62E80"/>
    <w:rsid w:val="08E62EAE"/>
    <w:rsid w:val="08E62EC5"/>
    <w:rsid w:val="08E62F05"/>
    <w:rsid w:val="08E62F0F"/>
    <w:rsid w:val="08E6309B"/>
    <w:rsid w:val="08E63145"/>
    <w:rsid w:val="08E6315C"/>
    <w:rsid w:val="08E63162"/>
    <w:rsid w:val="08E631B5"/>
    <w:rsid w:val="08E631EC"/>
    <w:rsid w:val="08E63253"/>
    <w:rsid w:val="08E6331B"/>
    <w:rsid w:val="08E63886"/>
    <w:rsid w:val="08E63934"/>
    <w:rsid w:val="08E639E5"/>
    <w:rsid w:val="08E63A00"/>
    <w:rsid w:val="08E63A27"/>
    <w:rsid w:val="08E63ABF"/>
    <w:rsid w:val="08E63AFA"/>
    <w:rsid w:val="08E63AFB"/>
    <w:rsid w:val="08E63B73"/>
    <w:rsid w:val="08E63C0F"/>
    <w:rsid w:val="08E63C3D"/>
    <w:rsid w:val="08E63C77"/>
    <w:rsid w:val="08E63D42"/>
    <w:rsid w:val="08E63D94"/>
    <w:rsid w:val="08E63E0F"/>
    <w:rsid w:val="08E63EFE"/>
    <w:rsid w:val="08E6400B"/>
    <w:rsid w:val="08E6402C"/>
    <w:rsid w:val="08E6409B"/>
    <w:rsid w:val="08E640F9"/>
    <w:rsid w:val="08E6428B"/>
    <w:rsid w:val="08E643F6"/>
    <w:rsid w:val="08E64487"/>
    <w:rsid w:val="08E6451B"/>
    <w:rsid w:val="08E6452F"/>
    <w:rsid w:val="08E646A2"/>
    <w:rsid w:val="08E64705"/>
    <w:rsid w:val="08E6474E"/>
    <w:rsid w:val="08E6479F"/>
    <w:rsid w:val="08E6486F"/>
    <w:rsid w:val="08E648AE"/>
    <w:rsid w:val="08E648DD"/>
    <w:rsid w:val="08E6491C"/>
    <w:rsid w:val="08E64946"/>
    <w:rsid w:val="08E649E3"/>
    <w:rsid w:val="08E649F5"/>
    <w:rsid w:val="08E649FF"/>
    <w:rsid w:val="08E64A4A"/>
    <w:rsid w:val="08E64A92"/>
    <w:rsid w:val="08E64B00"/>
    <w:rsid w:val="08E64B03"/>
    <w:rsid w:val="08E64B32"/>
    <w:rsid w:val="08E64B50"/>
    <w:rsid w:val="08E64C62"/>
    <w:rsid w:val="08E64D5F"/>
    <w:rsid w:val="08E64D68"/>
    <w:rsid w:val="08E64DD0"/>
    <w:rsid w:val="08E64E5C"/>
    <w:rsid w:val="08E64EAD"/>
    <w:rsid w:val="08E64FE9"/>
    <w:rsid w:val="08E65075"/>
    <w:rsid w:val="08E650B9"/>
    <w:rsid w:val="08E65165"/>
    <w:rsid w:val="08E651D2"/>
    <w:rsid w:val="08E651E5"/>
    <w:rsid w:val="08E6523D"/>
    <w:rsid w:val="08E65257"/>
    <w:rsid w:val="08E652B2"/>
    <w:rsid w:val="08E65390"/>
    <w:rsid w:val="08E653CB"/>
    <w:rsid w:val="08E653D9"/>
    <w:rsid w:val="08E65497"/>
    <w:rsid w:val="08E654C3"/>
    <w:rsid w:val="08E654F7"/>
    <w:rsid w:val="08E65527"/>
    <w:rsid w:val="08E65552"/>
    <w:rsid w:val="08E655F4"/>
    <w:rsid w:val="08E65637"/>
    <w:rsid w:val="08E65739"/>
    <w:rsid w:val="08E657C9"/>
    <w:rsid w:val="08E65816"/>
    <w:rsid w:val="08E65822"/>
    <w:rsid w:val="08E658BA"/>
    <w:rsid w:val="08E6597F"/>
    <w:rsid w:val="08E65980"/>
    <w:rsid w:val="08E6598A"/>
    <w:rsid w:val="08E6599E"/>
    <w:rsid w:val="08E659E2"/>
    <w:rsid w:val="08E65B0E"/>
    <w:rsid w:val="08E65B3C"/>
    <w:rsid w:val="08E65BC1"/>
    <w:rsid w:val="08E65D9E"/>
    <w:rsid w:val="08E65DAD"/>
    <w:rsid w:val="08E65DD0"/>
    <w:rsid w:val="08E65E02"/>
    <w:rsid w:val="08E65F3D"/>
    <w:rsid w:val="08E6608C"/>
    <w:rsid w:val="08E66096"/>
    <w:rsid w:val="08E660CB"/>
    <w:rsid w:val="08E66106"/>
    <w:rsid w:val="08E6623F"/>
    <w:rsid w:val="08E662A1"/>
    <w:rsid w:val="08E662F4"/>
    <w:rsid w:val="08E66323"/>
    <w:rsid w:val="08E6633A"/>
    <w:rsid w:val="08E66366"/>
    <w:rsid w:val="08E6638F"/>
    <w:rsid w:val="08E663A2"/>
    <w:rsid w:val="08E66465"/>
    <w:rsid w:val="08E664A9"/>
    <w:rsid w:val="08E664EF"/>
    <w:rsid w:val="08E66551"/>
    <w:rsid w:val="08E666CA"/>
    <w:rsid w:val="08E66810"/>
    <w:rsid w:val="08E6686A"/>
    <w:rsid w:val="08E668DE"/>
    <w:rsid w:val="08E669A3"/>
    <w:rsid w:val="08E66B3B"/>
    <w:rsid w:val="08E66C54"/>
    <w:rsid w:val="08E66CD5"/>
    <w:rsid w:val="08E66D02"/>
    <w:rsid w:val="08E66E39"/>
    <w:rsid w:val="08E66EAC"/>
    <w:rsid w:val="08E66FA1"/>
    <w:rsid w:val="08E66FFE"/>
    <w:rsid w:val="08E6703B"/>
    <w:rsid w:val="08E67066"/>
    <w:rsid w:val="08E671BD"/>
    <w:rsid w:val="08E671C0"/>
    <w:rsid w:val="08E671FF"/>
    <w:rsid w:val="08E672D8"/>
    <w:rsid w:val="08E6733C"/>
    <w:rsid w:val="08E6743D"/>
    <w:rsid w:val="08E67458"/>
    <w:rsid w:val="08E674D4"/>
    <w:rsid w:val="08E675FC"/>
    <w:rsid w:val="08E6764A"/>
    <w:rsid w:val="08E676BF"/>
    <w:rsid w:val="08E67710"/>
    <w:rsid w:val="08E67805"/>
    <w:rsid w:val="08E6788B"/>
    <w:rsid w:val="08E6791D"/>
    <w:rsid w:val="08E6792E"/>
    <w:rsid w:val="08E67951"/>
    <w:rsid w:val="08E67969"/>
    <w:rsid w:val="08E67985"/>
    <w:rsid w:val="08E6799F"/>
    <w:rsid w:val="08E67A46"/>
    <w:rsid w:val="08E67AA0"/>
    <w:rsid w:val="08E67AA7"/>
    <w:rsid w:val="08E67AA8"/>
    <w:rsid w:val="08E67AE9"/>
    <w:rsid w:val="08E67B15"/>
    <w:rsid w:val="08E67C23"/>
    <w:rsid w:val="08E67C81"/>
    <w:rsid w:val="08E67D48"/>
    <w:rsid w:val="08E67E19"/>
    <w:rsid w:val="08E67E69"/>
    <w:rsid w:val="08E67F58"/>
    <w:rsid w:val="08E67F5D"/>
    <w:rsid w:val="08E67F8A"/>
    <w:rsid w:val="08E67F92"/>
    <w:rsid w:val="08E700B9"/>
    <w:rsid w:val="08E70104"/>
    <w:rsid w:val="08E701B6"/>
    <w:rsid w:val="08E701FE"/>
    <w:rsid w:val="08E70241"/>
    <w:rsid w:val="08E70291"/>
    <w:rsid w:val="08E702A2"/>
    <w:rsid w:val="08E702E1"/>
    <w:rsid w:val="08E70330"/>
    <w:rsid w:val="08E70348"/>
    <w:rsid w:val="08E703DF"/>
    <w:rsid w:val="08E70467"/>
    <w:rsid w:val="08E704C7"/>
    <w:rsid w:val="08E704EA"/>
    <w:rsid w:val="08E7059E"/>
    <w:rsid w:val="08E705A5"/>
    <w:rsid w:val="08E7068D"/>
    <w:rsid w:val="08E706BF"/>
    <w:rsid w:val="08E7074F"/>
    <w:rsid w:val="08E707E1"/>
    <w:rsid w:val="08E70812"/>
    <w:rsid w:val="08E7083C"/>
    <w:rsid w:val="08E70851"/>
    <w:rsid w:val="08E708F1"/>
    <w:rsid w:val="08E70989"/>
    <w:rsid w:val="08E70B1F"/>
    <w:rsid w:val="08E70D14"/>
    <w:rsid w:val="08E70D4F"/>
    <w:rsid w:val="08E70D71"/>
    <w:rsid w:val="08E70E6E"/>
    <w:rsid w:val="08E70EFC"/>
    <w:rsid w:val="08E70F0C"/>
    <w:rsid w:val="08E70F28"/>
    <w:rsid w:val="08E70F3F"/>
    <w:rsid w:val="08E7104B"/>
    <w:rsid w:val="08E71152"/>
    <w:rsid w:val="08E71254"/>
    <w:rsid w:val="08E71261"/>
    <w:rsid w:val="08E7127A"/>
    <w:rsid w:val="08E713DE"/>
    <w:rsid w:val="08E713E6"/>
    <w:rsid w:val="08E71418"/>
    <w:rsid w:val="08E71593"/>
    <w:rsid w:val="08E71639"/>
    <w:rsid w:val="08E71658"/>
    <w:rsid w:val="08E7167D"/>
    <w:rsid w:val="08E716BD"/>
    <w:rsid w:val="08E7172A"/>
    <w:rsid w:val="08E71740"/>
    <w:rsid w:val="08E717DB"/>
    <w:rsid w:val="08E71944"/>
    <w:rsid w:val="08E7195D"/>
    <w:rsid w:val="08E719C8"/>
    <w:rsid w:val="08E71A6C"/>
    <w:rsid w:val="08E71A91"/>
    <w:rsid w:val="08E71ACF"/>
    <w:rsid w:val="08E71B38"/>
    <w:rsid w:val="08E71B98"/>
    <w:rsid w:val="08E71C09"/>
    <w:rsid w:val="08E71C0A"/>
    <w:rsid w:val="08E71C75"/>
    <w:rsid w:val="08E71C98"/>
    <w:rsid w:val="08E71D9C"/>
    <w:rsid w:val="08E71E37"/>
    <w:rsid w:val="08E71E97"/>
    <w:rsid w:val="08E71ECE"/>
    <w:rsid w:val="08E71F30"/>
    <w:rsid w:val="08E71F3C"/>
    <w:rsid w:val="08E71F49"/>
    <w:rsid w:val="08E71F70"/>
    <w:rsid w:val="08E72092"/>
    <w:rsid w:val="08E721A6"/>
    <w:rsid w:val="08E7227D"/>
    <w:rsid w:val="08E72286"/>
    <w:rsid w:val="08E7229C"/>
    <w:rsid w:val="08E7233B"/>
    <w:rsid w:val="08E723E3"/>
    <w:rsid w:val="08E7247D"/>
    <w:rsid w:val="08E72537"/>
    <w:rsid w:val="08E7258F"/>
    <w:rsid w:val="08E7262B"/>
    <w:rsid w:val="08E7267C"/>
    <w:rsid w:val="08E726B6"/>
    <w:rsid w:val="08E726F9"/>
    <w:rsid w:val="08E728DE"/>
    <w:rsid w:val="08E72940"/>
    <w:rsid w:val="08E72973"/>
    <w:rsid w:val="08E72A01"/>
    <w:rsid w:val="08E72B2D"/>
    <w:rsid w:val="08E72B2F"/>
    <w:rsid w:val="08E72B6D"/>
    <w:rsid w:val="08E72BB1"/>
    <w:rsid w:val="08E72C5D"/>
    <w:rsid w:val="08E72CD9"/>
    <w:rsid w:val="08E72CDD"/>
    <w:rsid w:val="08E72D6A"/>
    <w:rsid w:val="08E72D82"/>
    <w:rsid w:val="08E72DFC"/>
    <w:rsid w:val="08E72E2A"/>
    <w:rsid w:val="08E72E4D"/>
    <w:rsid w:val="08E72EB1"/>
    <w:rsid w:val="08E72F0D"/>
    <w:rsid w:val="08E72F16"/>
    <w:rsid w:val="08E73040"/>
    <w:rsid w:val="08E7311A"/>
    <w:rsid w:val="08E731D3"/>
    <w:rsid w:val="08E731F6"/>
    <w:rsid w:val="08E73263"/>
    <w:rsid w:val="08E732A8"/>
    <w:rsid w:val="08E73340"/>
    <w:rsid w:val="08E73347"/>
    <w:rsid w:val="08E7347E"/>
    <w:rsid w:val="08E734F4"/>
    <w:rsid w:val="08E73622"/>
    <w:rsid w:val="08E7371D"/>
    <w:rsid w:val="08E7372C"/>
    <w:rsid w:val="08E73784"/>
    <w:rsid w:val="08E737A4"/>
    <w:rsid w:val="08E7385F"/>
    <w:rsid w:val="08E73880"/>
    <w:rsid w:val="08E738A8"/>
    <w:rsid w:val="08E739B9"/>
    <w:rsid w:val="08E73A00"/>
    <w:rsid w:val="08E73B03"/>
    <w:rsid w:val="08E73B32"/>
    <w:rsid w:val="08E73B40"/>
    <w:rsid w:val="08E73B46"/>
    <w:rsid w:val="08E73B54"/>
    <w:rsid w:val="08E73D3E"/>
    <w:rsid w:val="08E73D65"/>
    <w:rsid w:val="08E73DAC"/>
    <w:rsid w:val="08E73DAD"/>
    <w:rsid w:val="08E73DF6"/>
    <w:rsid w:val="08E73E08"/>
    <w:rsid w:val="08E7408D"/>
    <w:rsid w:val="08E74193"/>
    <w:rsid w:val="08E7430F"/>
    <w:rsid w:val="08E74365"/>
    <w:rsid w:val="08E74382"/>
    <w:rsid w:val="08E743C6"/>
    <w:rsid w:val="08E743D1"/>
    <w:rsid w:val="08E743E3"/>
    <w:rsid w:val="08E7440B"/>
    <w:rsid w:val="08E74464"/>
    <w:rsid w:val="08E74478"/>
    <w:rsid w:val="08E74561"/>
    <w:rsid w:val="08E74568"/>
    <w:rsid w:val="08E74590"/>
    <w:rsid w:val="08E745B9"/>
    <w:rsid w:val="08E74646"/>
    <w:rsid w:val="08E74647"/>
    <w:rsid w:val="08E746A8"/>
    <w:rsid w:val="08E746EE"/>
    <w:rsid w:val="08E7470F"/>
    <w:rsid w:val="08E74853"/>
    <w:rsid w:val="08E74864"/>
    <w:rsid w:val="08E74A05"/>
    <w:rsid w:val="08E74A28"/>
    <w:rsid w:val="08E74A62"/>
    <w:rsid w:val="08E74A63"/>
    <w:rsid w:val="08E74B16"/>
    <w:rsid w:val="08E74B2E"/>
    <w:rsid w:val="08E74B79"/>
    <w:rsid w:val="08E74BB0"/>
    <w:rsid w:val="08E74BB3"/>
    <w:rsid w:val="08E74BFA"/>
    <w:rsid w:val="08E74DB4"/>
    <w:rsid w:val="08E74E24"/>
    <w:rsid w:val="08E74E7B"/>
    <w:rsid w:val="08E74FD3"/>
    <w:rsid w:val="08E75005"/>
    <w:rsid w:val="08E7504A"/>
    <w:rsid w:val="08E750CC"/>
    <w:rsid w:val="08E7512A"/>
    <w:rsid w:val="08E75281"/>
    <w:rsid w:val="08E75287"/>
    <w:rsid w:val="08E7533A"/>
    <w:rsid w:val="08E75378"/>
    <w:rsid w:val="08E753E9"/>
    <w:rsid w:val="08E7544B"/>
    <w:rsid w:val="08E7544E"/>
    <w:rsid w:val="08E75465"/>
    <w:rsid w:val="08E754A1"/>
    <w:rsid w:val="08E754FB"/>
    <w:rsid w:val="08E754FC"/>
    <w:rsid w:val="08E75597"/>
    <w:rsid w:val="08E7559D"/>
    <w:rsid w:val="08E756AF"/>
    <w:rsid w:val="08E756D4"/>
    <w:rsid w:val="08E75700"/>
    <w:rsid w:val="08E75776"/>
    <w:rsid w:val="08E75893"/>
    <w:rsid w:val="08E758BD"/>
    <w:rsid w:val="08E758C6"/>
    <w:rsid w:val="08E7595C"/>
    <w:rsid w:val="08E75972"/>
    <w:rsid w:val="08E759A3"/>
    <w:rsid w:val="08E75A6B"/>
    <w:rsid w:val="08E75B5F"/>
    <w:rsid w:val="08E75BA4"/>
    <w:rsid w:val="08E75C56"/>
    <w:rsid w:val="08E75C58"/>
    <w:rsid w:val="08E75C85"/>
    <w:rsid w:val="08E75C8C"/>
    <w:rsid w:val="08E75C9A"/>
    <w:rsid w:val="08E75D99"/>
    <w:rsid w:val="08E75E01"/>
    <w:rsid w:val="08E75E02"/>
    <w:rsid w:val="08E75E43"/>
    <w:rsid w:val="08E75E72"/>
    <w:rsid w:val="08E75E79"/>
    <w:rsid w:val="08E75ED5"/>
    <w:rsid w:val="08E75EFE"/>
    <w:rsid w:val="08E75F1A"/>
    <w:rsid w:val="08E7623D"/>
    <w:rsid w:val="08E76261"/>
    <w:rsid w:val="08E76272"/>
    <w:rsid w:val="08E7627A"/>
    <w:rsid w:val="08E762B7"/>
    <w:rsid w:val="08E76397"/>
    <w:rsid w:val="08E76468"/>
    <w:rsid w:val="08E76532"/>
    <w:rsid w:val="08E766DE"/>
    <w:rsid w:val="08E766E8"/>
    <w:rsid w:val="08E7674E"/>
    <w:rsid w:val="08E76779"/>
    <w:rsid w:val="08E767BD"/>
    <w:rsid w:val="08E76890"/>
    <w:rsid w:val="08E76A15"/>
    <w:rsid w:val="08E76A1A"/>
    <w:rsid w:val="08E76AA4"/>
    <w:rsid w:val="08E76B78"/>
    <w:rsid w:val="08E76CDA"/>
    <w:rsid w:val="08E76D25"/>
    <w:rsid w:val="08E76D4E"/>
    <w:rsid w:val="08E76DE5"/>
    <w:rsid w:val="08E76DF4"/>
    <w:rsid w:val="08E76E3A"/>
    <w:rsid w:val="08E76F23"/>
    <w:rsid w:val="08E7703B"/>
    <w:rsid w:val="08E7703C"/>
    <w:rsid w:val="08E770C9"/>
    <w:rsid w:val="08E770D1"/>
    <w:rsid w:val="08E770F7"/>
    <w:rsid w:val="08E771FA"/>
    <w:rsid w:val="08E7725E"/>
    <w:rsid w:val="08E7725F"/>
    <w:rsid w:val="08E77305"/>
    <w:rsid w:val="08E7734F"/>
    <w:rsid w:val="08E7736E"/>
    <w:rsid w:val="08E77379"/>
    <w:rsid w:val="08E773AF"/>
    <w:rsid w:val="08E773C5"/>
    <w:rsid w:val="08E773FF"/>
    <w:rsid w:val="08E774A3"/>
    <w:rsid w:val="08E7752D"/>
    <w:rsid w:val="08E77533"/>
    <w:rsid w:val="08E77605"/>
    <w:rsid w:val="08E77646"/>
    <w:rsid w:val="08E776A5"/>
    <w:rsid w:val="08E77717"/>
    <w:rsid w:val="08E77736"/>
    <w:rsid w:val="08E77737"/>
    <w:rsid w:val="08E777D6"/>
    <w:rsid w:val="08E7781A"/>
    <w:rsid w:val="08E7782D"/>
    <w:rsid w:val="08E778CB"/>
    <w:rsid w:val="08E77964"/>
    <w:rsid w:val="08E779B1"/>
    <w:rsid w:val="08E779B9"/>
    <w:rsid w:val="08E779C2"/>
    <w:rsid w:val="08E77A5B"/>
    <w:rsid w:val="08E77A70"/>
    <w:rsid w:val="08E77A76"/>
    <w:rsid w:val="08E77B34"/>
    <w:rsid w:val="08E77BE0"/>
    <w:rsid w:val="08E77BED"/>
    <w:rsid w:val="08E77CF4"/>
    <w:rsid w:val="08E77D47"/>
    <w:rsid w:val="08E77D61"/>
    <w:rsid w:val="08E77DA8"/>
    <w:rsid w:val="08E77E89"/>
    <w:rsid w:val="08E77F3E"/>
    <w:rsid w:val="08E77FBB"/>
    <w:rsid w:val="08E80067"/>
    <w:rsid w:val="08E800CE"/>
    <w:rsid w:val="08E80140"/>
    <w:rsid w:val="08E801B2"/>
    <w:rsid w:val="08E80388"/>
    <w:rsid w:val="08E80413"/>
    <w:rsid w:val="08E80424"/>
    <w:rsid w:val="08E8043B"/>
    <w:rsid w:val="08E80470"/>
    <w:rsid w:val="08E804AB"/>
    <w:rsid w:val="08E804AD"/>
    <w:rsid w:val="08E8055B"/>
    <w:rsid w:val="08E805F1"/>
    <w:rsid w:val="08E805F4"/>
    <w:rsid w:val="08E805FF"/>
    <w:rsid w:val="08E8065D"/>
    <w:rsid w:val="08E8068D"/>
    <w:rsid w:val="08E806D0"/>
    <w:rsid w:val="08E806DF"/>
    <w:rsid w:val="08E807F6"/>
    <w:rsid w:val="08E8083A"/>
    <w:rsid w:val="08E80855"/>
    <w:rsid w:val="08E808A6"/>
    <w:rsid w:val="08E808DB"/>
    <w:rsid w:val="08E8093D"/>
    <w:rsid w:val="08E80966"/>
    <w:rsid w:val="08E80A4A"/>
    <w:rsid w:val="08E80ABE"/>
    <w:rsid w:val="08E80B42"/>
    <w:rsid w:val="08E80B66"/>
    <w:rsid w:val="08E80B6F"/>
    <w:rsid w:val="08E80D06"/>
    <w:rsid w:val="08E810C4"/>
    <w:rsid w:val="08E810E5"/>
    <w:rsid w:val="08E81101"/>
    <w:rsid w:val="08E8117F"/>
    <w:rsid w:val="08E81223"/>
    <w:rsid w:val="08E812BF"/>
    <w:rsid w:val="08E81319"/>
    <w:rsid w:val="08E81322"/>
    <w:rsid w:val="08E81343"/>
    <w:rsid w:val="08E8137B"/>
    <w:rsid w:val="08E813C1"/>
    <w:rsid w:val="08E813FE"/>
    <w:rsid w:val="08E81443"/>
    <w:rsid w:val="08E8144D"/>
    <w:rsid w:val="08E814A9"/>
    <w:rsid w:val="08E81582"/>
    <w:rsid w:val="08E815E7"/>
    <w:rsid w:val="08E8168B"/>
    <w:rsid w:val="08E816BD"/>
    <w:rsid w:val="08E8172F"/>
    <w:rsid w:val="08E81738"/>
    <w:rsid w:val="08E817C1"/>
    <w:rsid w:val="08E81865"/>
    <w:rsid w:val="08E8189B"/>
    <w:rsid w:val="08E818F6"/>
    <w:rsid w:val="08E81951"/>
    <w:rsid w:val="08E8196B"/>
    <w:rsid w:val="08E81989"/>
    <w:rsid w:val="08E81A01"/>
    <w:rsid w:val="08E81BE9"/>
    <w:rsid w:val="08E81BF3"/>
    <w:rsid w:val="08E81D0E"/>
    <w:rsid w:val="08E81D61"/>
    <w:rsid w:val="08E81D94"/>
    <w:rsid w:val="08E81DB4"/>
    <w:rsid w:val="08E81E04"/>
    <w:rsid w:val="08E81E39"/>
    <w:rsid w:val="08E81F11"/>
    <w:rsid w:val="08E81F3B"/>
    <w:rsid w:val="08E81F48"/>
    <w:rsid w:val="08E81F6B"/>
    <w:rsid w:val="08E81FC4"/>
    <w:rsid w:val="08E82061"/>
    <w:rsid w:val="08E82135"/>
    <w:rsid w:val="08E82167"/>
    <w:rsid w:val="08E821A4"/>
    <w:rsid w:val="08E8226B"/>
    <w:rsid w:val="08E822BE"/>
    <w:rsid w:val="08E82315"/>
    <w:rsid w:val="08E82321"/>
    <w:rsid w:val="08E82345"/>
    <w:rsid w:val="08E82354"/>
    <w:rsid w:val="08E8243F"/>
    <w:rsid w:val="08E8250A"/>
    <w:rsid w:val="08E82560"/>
    <w:rsid w:val="08E8256C"/>
    <w:rsid w:val="08E825CA"/>
    <w:rsid w:val="08E826BF"/>
    <w:rsid w:val="08E82706"/>
    <w:rsid w:val="08E8272E"/>
    <w:rsid w:val="08E82736"/>
    <w:rsid w:val="08E82755"/>
    <w:rsid w:val="08E828C7"/>
    <w:rsid w:val="08E8293D"/>
    <w:rsid w:val="08E829EB"/>
    <w:rsid w:val="08E82A4D"/>
    <w:rsid w:val="08E82A6D"/>
    <w:rsid w:val="08E82B28"/>
    <w:rsid w:val="08E82B3C"/>
    <w:rsid w:val="08E82D21"/>
    <w:rsid w:val="08E82D6A"/>
    <w:rsid w:val="08E82DF2"/>
    <w:rsid w:val="08E82E2E"/>
    <w:rsid w:val="08E82E9B"/>
    <w:rsid w:val="08E82F01"/>
    <w:rsid w:val="08E82F5C"/>
    <w:rsid w:val="08E83002"/>
    <w:rsid w:val="08E8302E"/>
    <w:rsid w:val="08E83034"/>
    <w:rsid w:val="08E83048"/>
    <w:rsid w:val="08E8306F"/>
    <w:rsid w:val="08E830B0"/>
    <w:rsid w:val="08E8310F"/>
    <w:rsid w:val="08E83158"/>
    <w:rsid w:val="08E831C7"/>
    <w:rsid w:val="08E831DB"/>
    <w:rsid w:val="08E83214"/>
    <w:rsid w:val="08E8333E"/>
    <w:rsid w:val="08E83342"/>
    <w:rsid w:val="08E833F5"/>
    <w:rsid w:val="08E834A6"/>
    <w:rsid w:val="08E834B2"/>
    <w:rsid w:val="08E834F0"/>
    <w:rsid w:val="08E83509"/>
    <w:rsid w:val="08E83571"/>
    <w:rsid w:val="08E83608"/>
    <w:rsid w:val="08E83632"/>
    <w:rsid w:val="08E83645"/>
    <w:rsid w:val="08E8368A"/>
    <w:rsid w:val="08E836B2"/>
    <w:rsid w:val="08E836FC"/>
    <w:rsid w:val="08E83700"/>
    <w:rsid w:val="08E8375C"/>
    <w:rsid w:val="08E8376F"/>
    <w:rsid w:val="08E83816"/>
    <w:rsid w:val="08E83853"/>
    <w:rsid w:val="08E83878"/>
    <w:rsid w:val="08E838D6"/>
    <w:rsid w:val="08E83980"/>
    <w:rsid w:val="08E8399B"/>
    <w:rsid w:val="08E83A20"/>
    <w:rsid w:val="08E83A42"/>
    <w:rsid w:val="08E83A8E"/>
    <w:rsid w:val="08E83A9D"/>
    <w:rsid w:val="08E83AAA"/>
    <w:rsid w:val="08E83B26"/>
    <w:rsid w:val="08E83B7D"/>
    <w:rsid w:val="08E83B8D"/>
    <w:rsid w:val="08E83C58"/>
    <w:rsid w:val="08E83C6B"/>
    <w:rsid w:val="08E83C81"/>
    <w:rsid w:val="08E83C9F"/>
    <w:rsid w:val="08E83CB8"/>
    <w:rsid w:val="08E83F42"/>
    <w:rsid w:val="08E84030"/>
    <w:rsid w:val="08E84172"/>
    <w:rsid w:val="08E841B1"/>
    <w:rsid w:val="08E841DA"/>
    <w:rsid w:val="08E8422E"/>
    <w:rsid w:val="08E8424A"/>
    <w:rsid w:val="08E843C8"/>
    <w:rsid w:val="08E8443F"/>
    <w:rsid w:val="08E8468A"/>
    <w:rsid w:val="08E846C8"/>
    <w:rsid w:val="08E84735"/>
    <w:rsid w:val="08E847F3"/>
    <w:rsid w:val="08E847FE"/>
    <w:rsid w:val="08E848CA"/>
    <w:rsid w:val="08E84A44"/>
    <w:rsid w:val="08E84B6D"/>
    <w:rsid w:val="08E84B93"/>
    <w:rsid w:val="08E84BA1"/>
    <w:rsid w:val="08E84BBB"/>
    <w:rsid w:val="08E84BBC"/>
    <w:rsid w:val="08E84C3A"/>
    <w:rsid w:val="08E84DA7"/>
    <w:rsid w:val="08E84DE4"/>
    <w:rsid w:val="08E84E17"/>
    <w:rsid w:val="08E84E58"/>
    <w:rsid w:val="08E84E9A"/>
    <w:rsid w:val="08E84EEC"/>
    <w:rsid w:val="08E84FE0"/>
    <w:rsid w:val="08E84FF2"/>
    <w:rsid w:val="08E8513C"/>
    <w:rsid w:val="08E85151"/>
    <w:rsid w:val="08E8520E"/>
    <w:rsid w:val="08E85378"/>
    <w:rsid w:val="08E8537D"/>
    <w:rsid w:val="08E8539F"/>
    <w:rsid w:val="08E85412"/>
    <w:rsid w:val="08E8543F"/>
    <w:rsid w:val="08E8545D"/>
    <w:rsid w:val="08E8569F"/>
    <w:rsid w:val="08E856CF"/>
    <w:rsid w:val="08E856DC"/>
    <w:rsid w:val="08E856EE"/>
    <w:rsid w:val="08E856F6"/>
    <w:rsid w:val="08E85725"/>
    <w:rsid w:val="08E85781"/>
    <w:rsid w:val="08E857BC"/>
    <w:rsid w:val="08E857E7"/>
    <w:rsid w:val="08E85908"/>
    <w:rsid w:val="08E85925"/>
    <w:rsid w:val="08E85934"/>
    <w:rsid w:val="08E859EB"/>
    <w:rsid w:val="08E85AA8"/>
    <w:rsid w:val="08E85B53"/>
    <w:rsid w:val="08E85B6E"/>
    <w:rsid w:val="08E85BCF"/>
    <w:rsid w:val="08E85CCF"/>
    <w:rsid w:val="08E85D42"/>
    <w:rsid w:val="08E85E5A"/>
    <w:rsid w:val="08E85F16"/>
    <w:rsid w:val="08E85F9A"/>
    <w:rsid w:val="08E85FB2"/>
    <w:rsid w:val="08E8602F"/>
    <w:rsid w:val="08E8605A"/>
    <w:rsid w:val="08E8605F"/>
    <w:rsid w:val="08E860B2"/>
    <w:rsid w:val="08E860B8"/>
    <w:rsid w:val="08E86131"/>
    <w:rsid w:val="08E86135"/>
    <w:rsid w:val="08E86137"/>
    <w:rsid w:val="08E8613F"/>
    <w:rsid w:val="08E86169"/>
    <w:rsid w:val="08E861D0"/>
    <w:rsid w:val="08E86277"/>
    <w:rsid w:val="08E8635F"/>
    <w:rsid w:val="08E8639C"/>
    <w:rsid w:val="08E86410"/>
    <w:rsid w:val="08E86416"/>
    <w:rsid w:val="08E86460"/>
    <w:rsid w:val="08E8647F"/>
    <w:rsid w:val="08E864E4"/>
    <w:rsid w:val="08E86520"/>
    <w:rsid w:val="08E8653E"/>
    <w:rsid w:val="08E865D5"/>
    <w:rsid w:val="08E86804"/>
    <w:rsid w:val="08E8682A"/>
    <w:rsid w:val="08E868CC"/>
    <w:rsid w:val="08E86958"/>
    <w:rsid w:val="08E869DD"/>
    <w:rsid w:val="08E869E7"/>
    <w:rsid w:val="08E86A0D"/>
    <w:rsid w:val="08E86A5C"/>
    <w:rsid w:val="08E86B12"/>
    <w:rsid w:val="08E86B67"/>
    <w:rsid w:val="08E86BC2"/>
    <w:rsid w:val="08E86C2B"/>
    <w:rsid w:val="08E86C76"/>
    <w:rsid w:val="08E86C9B"/>
    <w:rsid w:val="08E86CBC"/>
    <w:rsid w:val="08E86DD7"/>
    <w:rsid w:val="08E86E2E"/>
    <w:rsid w:val="08E86FB6"/>
    <w:rsid w:val="08E870BD"/>
    <w:rsid w:val="08E870D4"/>
    <w:rsid w:val="08E870E2"/>
    <w:rsid w:val="08E8711C"/>
    <w:rsid w:val="08E87138"/>
    <w:rsid w:val="08E8717B"/>
    <w:rsid w:val="08E871B7"/>
    <w:rsid w:val="08E87265"/>
    <w:rsid w:val="08E872FE"/>
    <w:rsid w:val="08E87341"/>
    <w:rsid w:val="08E87345"/>
    <w:rsid w:val="08E873A2"/>
    <w:rsid w:val="08E873AE"/>
    <w:rsid w:val="08E874B0"/>
    <w:rsid w:val="08E87540"/>
    <w:rsid w:val="08E8754E"/>
    <w:rsid w:val="08E875EC"/>
    <w:rsid w:val="08E8769E"/>
    <w:rsid w:val="08E876BD"/>
    <w:rsid w:val="08E87731"/>
    <w:rsid w:val="08E877B3"/>
    <w:rsid w:val="08E877E1"/>
    <w:rsid w:val="08E8785E"/>
    <w:rsid w:val="08E87891"/>
    <w:rsid w:val="08E878C3"/>
    <w:rsid w:val="08E878EC"/>
    <w:rsid w:val="08E8798E"/>
    <w:rsid w:val="08E87A1F"/>
    <w:rsid w:val="08E87A24"/>
    <w:rsid w:val="08E87A39"/>
    <w:rsid w:val="08E87A3C"/>
    <w:rsid w:val="08E87AB5"/>
    <w:rsid w:val="08E87AC9"/>
    <w:rsid w:val="08E87ACC"/>
    <w:rsid w:val="08E87AF4"/>
    <w:rsid w:val="08E87B2D"/>
    <w:rsid w:val="08E87BF3"/>
    <w:rsid w:val="08E87C05"/>
    <w:rsid w:val="08E87C34"/>
    <w:rsid w:val="08E87CD9"/>
    <w:rsid w:val="08E87DAC"/>
    <w:rsid w:val="08E87DBE"/>
    <w:rsid w:val="08E87DC1"/>
    <w:rsid w:val="08E87DDD"/>
    <w:rsid w:val="08E87E49"/>
    <w:rsid w:val="08E87E52"/>
    <w:rsid w:val="08E87EF8"/>
    <w:rsid w:val="08E90044"/>
    <w:rsid w:val="08E901DC"/>
    <w:rsid w:val="08E90241"/>
    <w:rsid w:val="08E9025D"/>
    <w:rsid w:val="08E902EB"/>
    <w:rsid w:val="08E90341"/>
    <w:rsid w:val="08E903C8"/>
    <w:rsid w:val="08E9042A"/>
    <w:rsid w:val="08E904CF"/>
    <w:rsid w:val="08E90553"/>
    <w:rsid w:val="08E90590"/>
    <w:rsid w:val="08E90647"/>
    <w:rsid w:val="08E906DE"/>
    <w:rsid w:val="08E907A1"/>
    <w:rsid w:val="08E907CE"/>
    <w:rsid w:val="08E9084E"/>
    <w:rsid w:val="08E9091F"/>
    <w:rsid w:val="08E9097D"/>
    <w:rsid w:val="08E909B7"/>
    <w:rsid w:val="08E90AA2"/>
    <w:rsid w:val="08E90B79"/>
    <w:rsid w:val="08E90BCD"/>
    <w:rsid w:val="08E90C6E"/>
    <w:rsid w:val="08E910B5"/>
    <w:rsid w:val="08E91104"/>
    <w:rsid w:val="08E91126"/>
    <w:rsid w:val="08E9116D"/>
    <w:rsid w:val="08E911AA"/>
    <w:rsid w:val="08E911E0"/>
    <w:rsid w:val="08E91288"/>
    <w:rsid w:val="08E91421"/>
    <w:rsid w:val="08E915B3"/>
    <w:rsid w:val="08E915BA"/>
    <w:rsid w:val="08E915FD"/>
    <w:rsid w:val="08E91614"/>
    <w:rsid w:val="08E91617"/>
    <w:rsid w:val="08E91679"/>
    <w:rsid w:val="08E916A1"/>
    <w:rsid w:val="08E916D9"/>
    <w:rsid w:val="08E9173E"/>
    <w:rsid w:val="08E9177C"/>
    <w:rsid w:val="08E917B1"/>
    <w:rsid w:val="08E91A05"/>
    <w:rsid w:val="08E91A24"/>
    <w:rsid w:val="08E91A2F"/>
    <w:rsid w:val="08E91AB8"/>
    <w:rsid w:val="08E91BA7"/>
    <w:rsid w:val="08E91BE2"/>
    <w:rsid w:val="08E91C2C"/>
    <w:rsid w:val="08E91CE6"/>
    <w:rsid w:val="08E91D62"/>
    <w:rsid w:val="08E91D6B"/>
    <w:rsid w:val="08E91E0F"/>
    <w:rsid w:val="08E91E32"/>
    <w:rsid w:val="08E91E8A"/>
    <w:rsid w:val="08E91FB6"/>
    <w:rsid w:val="08E91FC4"/>
    <w:rsid w:val="08E91FD3"/>
    <w:rsid w:val="08E9203C"/>
    <w:rsid w:val="08E92210"/>
    <w:rsid w:val="08E92234"/>
    <w:rsid w:val="08E923F2"/>
    <w:rsid w:val="08E92405"/>
    <w:rsid w:val="08E9246F"/>
    <w:rsid w:val="08E924DC"/>
    <w:rsid w:val="08E92576"/>
    <w:rsid w:val="08E92589"/>
    <w:rsid w:val="08E925CA"/>
    <w:rsid w:val="08E92630"/>
    <w:rsid w:val="08E926F0"/>
    <w:rsid w:val="08E927EA"/>
    <w:rsid w:val="08E9288D"/>
    <w:rsid w:val="08E928D8"/>
    <w:rsid w:val="08E92935"/>
    <w:rsid w:val="08E9295B"/>
    <w:rsid w:val="08E92A6C"/>
    <w:rsid w:val="08E92B0E"/>
    <w:rsid w:val="08E92B2A"/>
    <w:rsid w:val="08E92B65"/>
    <w:rsid w:val="08E92C0D"/>
    <w:rsid w:val="08E92C45"/>
    <w:rsid w:val="08E92D22"/>
    <w:rsid w:val="08E92D90"/>
    <w:rsid w:val="08E92DFC"/>
    <w:rsid w:val="08E92E4B"/>
    <w:rsid w:val="08E92EFE"/>
    <w:rsid w:val="08E92F30"/>
    <w:rsid w:val="08E92F6A"/>
    <w:rsid w:val="08E92FA5"/>
    <w:rsid w:val="08E92FE8"/>
    <w:rsid w:val="08E93002"/>
    <w:rsid w:val="08E93176"/>
    <w:rsid w:val="08E931EF"/>
    <w:rsid w:val="08E931F0"/>
    <w:rsid w:val="08E931FB"/>
    <w:rsid w:val="08E93219"/>
    <w:rsid w:val="08E9343A"/>
    <w:rsid w:val="08E93491"/>
    <w:rsid w:val="08E934B7"/>
    <w:rsid w:val="08E934ED"/>
    <w:rsid w:val="08E93529"/>
    <w:rsid w:val="08E9362D"/>
    <w:rsid w:val="08E936EF"/>
    <w:rsid w:val="08E93729"/>
    <w:rsid w:val="08E93936"/>
    <w:rsid w:val="08E939C6"/>
    <w:rsid w:val="08E93A70"/>
    <w:rsid w:val="08E93B7B"/>
    <w:rsid w:val="08E93C93"/>
    <w:rsid w:val="08E93D11"/>
    <w:rsid w:val="08E93D48"/>
    <w:rsid w:val="08E93EFC"/>
    <w:rsid w:val="08E93F1A"/>
    <w:rsid w:val="08E93F73"/>
    <w:rsid w:val="08E9405C"/>
    <w:rsid w:val="08E94112"/>
    <w:rsid w:val="08E94142"/>
    <w:rsid w:val="08E941D1"/>
    <w:rsid w:val="08E94202"/>
    <w:rsid w:val="08E942CB"/>
    <w:rsid w:val="08E942ED"/>
    <w:rsid w:val="08E9430F"/>
    <w:rsid w:val="08E94327"/>
    <w:rsid w:val="08E943D4"/>
    <w:rsid w:val="08E94414"/>
    <w:rsid w:val="08E94415"/>
    <w:rsid w:val="08E94484"/>
    <w:rsid w:val="08E944DD"/>
    <w:rsid w:val="08E944F5"/>
    <w:rsid w:val="08E94716"/>
    <w:rsid w:val="08E94781"/>
    <w:rsid w:val="08E94893"/>
    <w:rsid w:val="08E94925"/>
    <w:rsid w:val="08E94944"/>
    <w:rsid w:val="08E94957"/>
    <w:rsid w:val="08E9497A"/>
    <w:rsid w:val="08E949A3"/>
    <w:rsid w:val="08E949BF"/>
    <w:rsid w:val="08E949C2"/>
    <w:rsid w:val="08E94A21"/>
    <w:rsid w:val="08E94A7B"/>
    <w:rsid w:val="08E94B3B"/>
    <w:rsid w:val="08E94B6B"/>
    <w:rsid w:val="08E94B81"/>
    <w:rsid w:val="08E94BDF"/>
    <w:rsid w:val="08E94C17"/>
    <w:rsid w:val="08E94C61"/>
    <w:rsid w:val="08E94D0C"/>
    <w:rsid w:val="08E94D3F"/>
    <w:rsid w:val="08E94D66"/>
    <w:rsid w:val="08E94D85"/>
    <w:rsid w:val="08E94DDC"/>
    <w:rsid w:val="08E94FC6"/>
    <w:rsid w:val="08E94FD4"/>
    <w:rsid w:val="08E95029"/>
    <w:rsid w:val="08E9505D"/>
    <w:rsid w:val="08E95122"/>
    <w:rsid w:val="08E9519F"/>
    <w:rsid w:val="08E951A2"/>
    <w:rsid w:val="08E951BC"/>
    <w:rsid w:val="08E952A0"/>
    <w:rsid w:val="08E95315"/>
    <w:rsid w:val="08E9532F"/>
    <w:rsid w:val="08E95330"/>
    <w:rsid w:val="08E9539B"/>
    <w:rsid w:val="08E953C3"/>
    <w:rsid w:val="08E9541C"/>
    <w:rsid w:val="08E95424"/>
    <w:rsid w:val="08E9542B"/>
    <w:rsid w:val="08E9544D"/>
    <w:rsid w:val="08E95479"/>
    <w:rsid w:val="08E9549B"/>
    <w:rsid w:val="08E95642"/>
    <w:rsid w:val="08E95654"/>
    <w:rsid w:val="08E95661"/>
    <w:rsid w:val="08E95726"/>
    <w:rsid w:val="08E9572F"/>
    <w:rsid w:val="08E95778"/>
    <w:rsid w:val="08E95888"/>
    <w:rsid w:val="08E958F6"/>
    <w:rsid w:val="08E95927"/>
    <w:rsid w:val="08E95A1F"/>
    <w:rsid w:val="08E95B25"/>
    <w:rsid w:val="08E95B36"/>
    <w:rsid w:val="08E95C17"/>
    <w:rsid w:val="08E95C8C"/>
    <w:rsid w:val="08E95D84"/>
    <w:rsid w:val="08E95E64"/>
    <w:rsid w:val="08E95F1B"/>
    <w:rsid w:val="08E95FE4"/>
    <w:rsid w:val="08E95FFF"/>
    <w:rsid w:val="08E96060"/>
    <w:rsid w:val="08E960FF"/>
    <w:rsid w:val="08E9618F"/>
    <w:rsid w:val="08E9625E"/>
    <w:rsid w:val="08E96299"/>
    <w:rsid w:val="08E962F4"/>
    <w:rsid w:val="08E96358"/>
    <w:rsid w:val="08E9636A"/>
    <w:rsid w:val="08E963C0"/>
    <w:rsid w:val="08E963CC"/>
    <w:rsid w:val="08E96432"/>
    <w:rsid w:val="08E96451"/>
    <w:rsid w:val="08E9664C"/>
    <w:rsid w:val="08E96689"/>
    <w:rsid w:val="08E966C6"/>
    <w:rsid w:val="08E967C4"/>
    <w:rsid w:val="08E96800"/>
    <w:rsid w:val="08E96ACC"/>
    <w:rsid w:val="08E96AD0"/>
    <w:rsid w:val="08E96BFB"/>
    <w:rsid w:val="08E96CD9"/>
    <w:rsid w:val="08E96D67"/>
    <w:rsid w:val="08E96E17"/>
    <w:rsid w:val="08E96E78"/>
    <w:rsid w:val="08E96E91"/>
    <w:rsid w:val="08E96ED8"/>
    <w:rsid w:val="08E96F09"/>
    <w:rsid w:val="08E96FC4"/>
    <w:rsid w:val="08E97145"/>
    <w:rsid w:val="08E9717F"/>
    <w:rsid w:val="08E97184"/>
    <w:rsid w:val="08E9719E"/>
    <w:rsid w:val="08E971D2"/>
    <w:rsid w:val="08E9727E"/>
    <w:rsid w:val="08E972D8"/>
    <w:rsid w:val="08E97453"/>
    <w:rsid w:val="08E9746A"/>
    <w:rsid w:val="08E9747E"/>
    <w:rsid w:val="08E9750C"/>
    <w:rsid w:val="08E975A3"/>
    <w:rsid w:val="08E975B2"/>
    <w:rsid w:val="08E975EF"/>
    <w:rsid w:val="08E976A5"/>
    <w:rsid w:val="08E976A9"/>
    <w:rsid w:val="08E97790"/>
    <w:rsid w:val="08E97844"/>
    <w:rsid w:val="08E97862"/>
    <w:rsid w:val="08E978B1"/>
    <w:rsid w:val="08E979D4"/>
    <w:rsid w:val="08E97B02"/>
    <w:rsid w:val="08E97B81"/>
    <w:rsid w:val="08E97C44"/>
    <w:rsid w:val="08E97C54"/>
    <w:rsid w:val="08E97C84"/>
    <w:rsid w:val="08E97C86"/>
    <w:rsid w:val="08E97D7F"/>
    <w:rsid w:val="08E97DCA"/>
    <w:rsid w:val="08E97E19"/>
    <w:rsid w:val="08E97EAA"/>
    <w:rsid w:val="08E97EBD"/>
    <w:rsid w:val="08E97EC5"/>
    <w:rsid w:val="08E97EEF"/>
    <w:rsid w:val="08E97F00"/>
    <w:rsid w:val="08E97F58"/>
    <w:rsid w:val="08E97FA8"/>
    <w:rsid w:val="08E97FD0"/>
    <w:rsid w:val="08EA00B1"/>
    <w:rsid w:val="08EA00E1"/>
    <w:rsid w:val="08EA00EC"/>
    <w:rsid w:val="08EA0163"/>
    <w:rsid w:val="08EA0246"/>
    <w:rsid w:val="08EA035B"/>
    <w:rsid w:val="08EA03DF"/>
    <w:rsid w:val="08EA0421"/>
    <w:rsid w:val="08EA04AB"/>
    <w:rsid w:val="08EA04CA"/>
    <w:rsid w:val="08EA04FB"/>
    <w:rsid w:val="08EA053D"/>
    <w:rsid w:val="08EA063E"/>
    <w:rsid w:val="08EA0742"/>
    <w:rsid w:val="08EA075D"/>
    <w:rsid w:val="08EA079D"/>
    <w:rsid w:val="08EA0891"/>
    <w:rsid w:val="08EA08B9"/>
    <w:rsid w:val="08EA095E"/>
    <w:rsid w:val="08EA0994"/>
    <w:rsid w:val="08EA0A04"/>
    <w:rsid w:val="08EA0A0E"/>
    <w:rsid w:val="08EA0B04"/>
    <w:rsid w:val="08EA0BF0"/>
    <w:rsid w:val="08EA0C64"/>
    <w:rsid w:val="08EA0CB8"/>
    <w:rsid w:val="08EA0F14"/>
    <w:rsid w:val="08EA0F89"/>
    <w:rsid w:val="08EA107A"/>
    <w:rsid w:val="08EA1231"/>
    <w:rsid w:val="08EA123E"/>
    <w:rsid w:val="08EA126B"/>
    <w:rsid w:val="08EA1284"/>
    <w:rsid w:val="08EA12CC"/>
    <w:rsid w:val="08EA137A"/>
    <w:rsid w:val="08EA1391"/>
    <w:rsid w:val="08EA14BE"/>
    <w:rsid w:val="08EA14CF"/>
    <w:rsid w:val="08EA1518"/>
    <w:rsid w:val="08EA1539"/>
    <w:rsid w:val="08EA158D"/>
    <w:rsid w:val="08EA15E8"/>
    <w:rsid w:val="08EA164D"/>
    <w:rsid w:val="08EA1788"/>
    <w:rsid w:val="08EA17AE"/>
    <w:rsid w:val="08EA17FE"/>
    <w:rsid w:val="08EA1838"/>
    <w:rsid w:val="08EA1A5C"/>
    <w:rsid w:val="08EA1A63"/>
    <w:rsid w:val="08EA1AC0"/>
    <w:rsid w:val="08EA1C26"/>
    <w:rsid w:val="08EA1C39"/>
    <w:rsid w:val="08EA1C64"/>
    <w:rsid w:val="08EA1E20"/>
    <w:rsid w:val="08EA1EAE"/>
    <w:rsid w:val="08EA1F4A"/>
    <w:rsid w:val="08EA2036"/>
    <w:rsid w:val="08EA20FF"/>
    <w:rsid w:val="08EA213E"/>
    <w:rsid w:val="08EA2184"/>
    <w:rsid w:val="08EA219F"/>
    <w:rsid w:val="08EA222A"/>
    <w:rsid w:val="08EA23A2"/>
    <w:rsid w:val="08EA23C2"/>
    <w:rsid w:val="08EA23FA"/>
    <w:rsid w:val="08EA24C7"/>
    <w:rsid w:val="08EA24DC"/>
    <w:rsid w:val="08EA24F4"/>
    <w:rsid w:val="08EA256F"/>
    <w:rsid w:val="08EA25D6"/>
    <w:rsid w:val="08EA2613"/>
    <w:rsid w:val="08EA2633"/>
    <w:rsid w:val="08EA26D2"/>
    <w:rsid w:val="08EA272F"/>
    <w:rsid w:val="08EA2782"/>
    <w:rsid w:val="08EA2794"/>
    <w:rsid w:val="08EA28A3"/>
    <w:rsid w:val="08EA28D2"/>
    <w:rsid w:val="08EA28ED"/>
    <w:rsid w:val="08EA28FF"/>
    <w:rsid w:val="08EA292E"/>
    <w:rsid w:val="08EA293E"/>
    <w:rsid w:val="08EA29B4"/>
    <w:rsid w:val="08EA29E8"/>
    <w:rsid w:val="08EA2A64"/>
    <w:rsid w:val="08EA2ABE"/>
    <w:rsid w:val="08EA2B2F"/>
    <w:rsid w:val="08EA2BAE"/>
    <w:rsid w:val="08EA2BE9"/>
    <w:rsid w:val="08EA2CCE"/>
    <w:rsid w:val="08EA2D57"/>
    <w:rsid w:val="08EA2D73"/>
    <w:rsid w:val="08EA2DF3"/>
    <w:rsid w:val="08EA2E18"/>
    <w:rsid w:val="08EA2E50"/>
    <w:rsid w:val="08EA2E92"/>
    <w:rsid w:val="08EA3004"/>
    <w:rsid w:val="08EA3043"/>
    <w:rsid w:val="08EA3144"/>
    <w:rsid w:val="08EA318A"/>
    <w:rsid w:val="08EA31C8"/>
    <w:rsid w:val="08EA332B"/>
    <w:rsid w:val="08EA332F"/>
    <w:rsid w:val="08EA334A"/>
    <w:rsid w:val="08EA335C"/>
    <w:rsid w:val="08EA339C"/>
    <w:rsid w:val="08EA3477"/>
    <w:rsid w:val="08EA34D2"/>
    <w:rsid w:val="08EA34EF"/>
    <w:rsid w:val="08EA355B"/>
    <w:rsid w:val="08EA35B8"/>
    <w:rsid w:val="08EA36B0"/>
    <w:rsid w:val="08EA36DD"/>
    <w:rsid w:val="08EA3727"/>
    <w:rsid w:val="08EA373A"/>
    <w:rsid w:val="08EA37AA"/>
    <w:rsid w:val="08EA3956"/>
    <w:rsid w:val="08EA39BE"/>
    <w:rsid w:val="08EA3A48"/>
    <w:rsid w:val="08EA3A92"/>
    <w:rsid w:val="08EA3AC9"/>
    <w:rsid w:val="08EA3B17"/>
    <w:rsid w:val="08EA3C53"/>
    <w:rsid w:val="08EA3CD0"/>
    <w:rsid w:val="08EA3CFA"/>
    <w:rsid w:val="08EA3D47"/>
    <w:rsid w:val="08EA3E22"/>
    <w:rsid w:val="08EA3E24"/>
    <w:rsid w:val="08EA3E2B"/>
    <w:rsid w:val="08EA3E9E"/>
    <w:rsid w:val="08EA3EFB"/>
    <w:rsid w:val="08EA3F0C"/>
    <w:rsid w:val="08EA3F97"/>
    <w:rsid w:val="08EA40C7"/>
    <w:rsid w:val="08EA40EB"/>
    <w:rsid w:val="08EA4112"/>
    <w:rsid w:val="08EA416C"/>
    <w:rsid w:val="08EA41A9"/>
    <w:rsid w:val="08EA4321"/>
    <w:rsid w:val="08EA43FD"/>
    <w:rsid w:val="08EA448E"/>
    <w:rsid w:val="08EA44E7"/>
    <w:rsid w:val="08EA44EB"/>
    <w:rsid w:val="08EA4512"/>
    <w:rsid w:val="08EA457E"/>
    <w:rsid w:val="08EA461E"/>
    <w:rsid w:val="08EA462D"/>
    <w:rsid w:val="08EA4729"/>
    <w:rsid w:val="08EA472A"/>
    <w:rsid w:val="08EA497C"/>
    <w:rsid w:val="08EA49B1"/>
    <w:rsid w:val="08EA49B4"/>
    <w:rsid w:val="08EA49B8"/>
    <w:rsid w:val="08EA49C6"/>
    <w:rsid w:val="08EA4B1D"/>
    <w:rsid w:val="08EA4B49"/>
    <w:rsid w:val="08EA4BEF"/>
    <w:rsid w:val="08EA4CC0"/>
    <w:rsid w:val="08EA4D98"/>
    <w:rsid w:val="08EA4E7C"/>
    <w:rsid w:val="08EA4EA6"/>
    <w:rsid w:val="08EA505E"/>
    <w:rsid w:val="08EA50DF"/>
    <w:rsid w:val="08EA511A"/>
    <w:rsid w:val="08EA5237"/>
    <w:rsid w:val="08EA52D0"/>
    <w:rsid w:val="08EA52D3"/>
    <w:rsid w:val="08EA534A"/>
    <w:rsid w:val="08EA53AB"/>
    <w:rsid w:val="08EA53F0"/>
    <w:rsid w:val="08EA5466"/>
    <w:rsid w:val="08EA5485"/>
    <w:rsid w:val="08EA54FE"/>
    <w:rsid w:val="08EA550D"/>
    <w:rsid w:val="08EA5528"/>
    <w:rsid w:val="08EA5609"/>
    <w:rsid w:val="08EA5665"/>
    <w:rsid w:val="08EA56AC"/>
    <w:rsid w:val="08EA5760"/>
    <w:rsid w:val="08EA584B"/>
    <w:rsid w:val="08EA58F2"/>
    <w:rsid w:val="08EA597A"/>
    <w:rsid w:val="08EA5A09"/>
    <w:rsid w:val="08EA5A75"/>
    <w:rsid w:val="08EA5AB3"/>
    <w:rsid w:val="08EA5AF8"/>
    <w:rsid w:val="08EA5B7C"/>
    <w:rsid w:val="08EA5C67"/>
    <w:rsid w:val="08EA5CCE"/>
    <w:rsid w:val="08EA5D61"/>
    <w:rsid w:val="08EA5DE0"/>
    <w:rsid w:val="08EA5F64"/>
    <w:rsid w:val="08EA5F7A"/>
    <w:rsid w:val="08EA5FE5"/>
    <w:rsid w:val="08EA60F4"/>
    <w:rsid w:val="08EA6174"/>
    <w:rsid w:val="08EA6326"/>
    <w:rsid w:val="08EA642B"/>
    <w:rsid w:val="08EA6490"/>
    <w:rsid w:val="08EA64E1"/>
    <w:rsid w:val="08EA64F2"/>
    <w:rsid w:val="08EA6506"/>
    <w:rsid w:val="08EA6507"/>
    <w:rsid w:val="08EA6570"/>
    <w:rsid w:val="08EA6604"/>
    <w:rsid w:val="08EA6605"/>
    <w:rsid w:val="08EA664F"/>
    <w:rsid w:val="08EA69E7"/>
    <w:rsid w:val="08EA6A01"/>
    <w:rsid w:val="08EA6A3B"/>
    <w:rsid w:val="08EA6ABC"/>
    <w:rsid w:val="08EA6B03"/>
    <w:rsid w:val="08EA6B2E"/>
    <w:rsid w:val="08EA6BCC"/>
    <w:rsid w:val="08EA6BDD"/>
    <w:rsid w:val="08EA6C67"/>
    <w:rsid w:val="08EA6CA5"/>
    <w:rsid w:val="08EA6CC4"/>
    <w:rsid w:val="08EA6DC4"/>
    <w:rsid w:val="08EA6EE5"/>
    <w:rsid w:val="08EA7038"/>
    <w:rsid w:val="08EA7040"/>
    <w:rsid w:val="08EA7080"/>
    <w:rsid w:val="08EA7115"/>
    <w:rsid w:val="08EA715E"/>
    <w:rsid w:val="08EA71CF"/>
    <w:rsid w:val="08EA71D0"/>
    <w:rsid w:val="08EA7217"/>
    <w:rsid w:val="08EA72C3"/>
    <w:rsid w:val="08EA7332"/>
    <w:rsid w:val="08EA7335"/>
    <w:rsid w:val="08EA73E8"/>
    <w:rsid w:val="08EA7469"/>
    <w:rsid w:val="08EA74C6"/>
    <w:rsid w:val="08EA74E0"/>
    <w:rsid w:val="08EA756D"/>
    <w:rsid w:val="08EA75B7"/>
    <w:rsid w:val="08EA7615"/>
    <w:rsid w:val="08EA7629"/>
    <w:rsid w:val="08EA773C"/>
    <w:rsid w:val="08EA7766"/>
    <w:rsid w:val="08EA7788"/>
    <w:rsid w:val="08EA781C"/>
    <w:rsid w:val="08EA782F"/>
    <w:rsid w:val="08EA7838"/>
    <w:rsid w:val="08EA784B"/>
    <w:rsid w:val="08EA78CD"/>
    <w:rsid w:val="08EA7A1F"/>
    <w:rsid w:val="08EA7AAF"/>
    <w:rsid w:val="08EA7AC2"/>
    <w:rsid w:val="08EA7B0A"/>
    <w:rsid w:val="08EA7B28"/>
    <w:rsid w:val="08EA7BD8"/>
    <w:rsid w:val="08EA7C3B"/>
    <w:rsid w:val="08EA7C6B"/>
    <w:rsid w:val="08EA7D82"/>
    <w:rsid w:val="08EA7D99"/>
    <w:rsid w:val="08EA7DE3"/>
    <w:rsid w:val="08EA7F89"/>
    <w:rsid w:val="08EA7F97"/>
    <w:rsid w:val="08EB00AD"/>
    <w:rsid w:val="08EB011E"/>
    <w:rsid w:val="08EB016B"/>
    <w:rsid w:val="08EB019D"/>
    <w:rsid w:val="08EB01C2"/>
    <w:rsid w:val="08EB0230"/>
    <w:rsid w:val="08EB0245"/>
    <w:rsid w:val="08EB0391"/>
    <w:rsid w:val="08EB03CF"/>
    <w:rsid w:val="08EB0418"/>
    <w:rsid w:val="08EB04BC"/>
    <w:rsid w:val="08EB04DF"/>
    <w:rsid w:val="08EB0609"/>
    <w:rsid w:val="08EB0610"/>
    <w:rsid w:val="08EB0619"/>
    <w:rsid w:val="08EB0633"/>
    <w:rsid w:val="08EB06AA"/>
    <w:rsid w:val="08EB079D"/>
    <w:rsid w:val="08EB07E0"/>
    <w:rsid w:val="08EB0805"/>
    <w:rsid w:val="08EB08EB"/>
    <w:rsid w:val="08EB0A34"/>
    <w:rsid w:val="08EB0A53"/>
    <w:rsid w:val="08EB0ACF"/>
    <w:rsid w:val="08EB0B24"/>
    <w:rsid w:val="08EB0B44"/>
    <w:rsid w:val="08EB0B88"/>
    <w:rsid w:val="08EB0B89"/>
    <w:rsid w:val="08EB0C60"/>
    <w:rsid w:val="08EB0C7C"/>
    <w:rsid w:val="08EB0D34"/>
    <w:rsid w:val="08EB0D42"/>
    <w:rsid w:val="08EB0DF8"/>
    <w:rsid w:val="08EB0E13"/>
    <w:rsid w:val="08EB0E4C"/>
    <w:rsid w:val="08EB0F68"/>
    <w:rsid w:val="08EB10E5"/>
    <w:rsid w:val="08EB10FE"/>
    <w:rsid w:val="08EB115E"/>
    <w:rsid w:val="08EB1165"/>
    <w:rsid w:val="08EB11C4"/>
    <w:rsid w:val="08EB11F8"/>
    <w:rsid w:val="08EB1254"/>
    <w:rsid w:val="08EB1256"/>
    <w:rsid w:val="08EB132A"/>
    <w:rsid w:val="08EB1343"/>
    <w:rsid w:val="08EB1384"/>
    <w:rsid w:val="08EB13E2"/>
    <w:rsid w:val="08EB1420"/>
    <w:rsid w:val="08EB14B3"/>
    <w:rsid w:val="08EB15D5"/>
    <w:rsid w:val="08EB15D9"/>
    <w:rsid w:val="08EB163A"/>
    <w:rsid w:val="08EB1640"/>
    <w:rsid w:val="08EB166C"/>
    <w:rsid w:val="08EB16C0"/>
    <w:rsid w:val="08EB1769"/>
    <w:rsid w:val="08EB17BD"/>
    <w:rsid w:val="08EB17E4"/>
    <w:rsid w:val="08EB17E7"/>
    <w:rsid w:val="08EB1837"/>
    <w:rsid w:val="08EB1909"/>
    <w:rsid w:val="08EB1928"/>
    <w:rsid w:val="08EB194C"/>
    <w:rsid w:val="08EB1959"/>
    <w:rsid w:val="08EB198D"/>
    <w:rsid w:val="08EB1999"/>
    <w:rsid w:val="08EB19B4"/>
    <w:rsid w:val="08EB1C40"/>
    <w:rsid w:val="08EB1DA8"/>
    <w:rsid w:val="08EB1DC1"/>
    <w:rsid w:val="08EB1E22"/>
    <w:rsid w:val="08EB1E59"/>
    <w:rsid w:val="08EB1EB4"/>
    <w:rsid w:val="08EB1F23"/>
    <w:rsid w:val="08EB1F27"/>
    <w:rsid w:val="08EB1F59"/>
    <w:rsid w:val="08EB1F62"/>
    <w:rsid w:val="08EB1F6F"/>
    <w:rsid w:val="08EB1FA8"/>
    <w:rsid w:val="08EB20EE"/>
    <w:rsid w:val="08EB2107"/>
    <w:rsid w:val="08EB2142"/>
    <w:rsid w:val="08EB219A"/>
    <w:rsid w:val="08EB21DF"/>
    <w:rsid w:val="08EB2217"/>
    <w:rsid w:val="08EB22B5"/>
    <w:rsid w:val="08EB22D0"/>
    <w:rsid w:val="08EB233F"/>
    <w:rsid w:val="08EB237C"/>
    <w:rsid w:val="08EB23EC"/>
    <w:rsid w:val="08EB2682"/>
    <w:rsid w:val="08EB26C6"/>
    <w:rsid w:val="08EB26D5"/>
    <w:rsid w:val="08EB26DF"/>
    <w:rsid w:val="08EB26F1"/>
    <w:rsid w:val="08EB2733"/>
    <w:rsid w:val="08EB27A7"/>
    <w:rsid w:val="08EB27DC"/>
    <w:rsid w:val="08EB2886"/>
    <w:rsid w:val="08EB2983"/>
    <w:rsid w:val="08EB29A2"/>
    <w:rsid w:val="08EB2A35"/>
    <w:rsid w:val="08EB2A7E"/>
    <w:rsid w:val="08EB2AE5"/>
    <w:rsid w:val="08EB2AEF"/>
    <w:rsid w:val="08EB2B6F"/>
    <w:rsid w:val="08EB2BF7"/>
    <w:rsid w:val="08EB2C31"/>
    <w:rsid w:val="08EB2C37"/>
    <w:rsid w:val="08EB2CD7"/>
    <w:rsid w:val="08EB2E94"/>
    <w:rsid w:val="08EB2EB4"/>
    <w:rsid w:val="08EB2F94"/>
    <w:rsid w:val="08EB300E"/>
    <w:rsid w:val="08EB3010"/>
    <w:rsid w:val="08EB304D"/>
    <w:rsid w:val="08EB3076"/>
    <w:rsid w:val="08EB3203"/>
    <w:rsid w:val="08EB3294"/>
    <w:rsid w:val="08EB3299"/>
    <w:rsid w:val="08EB3311"/>
    <w:rsid w:val="08EB333D"/>
    <w:rsid w:val="08EB3376"/>
    <w:rsid w:val="08EB3406"/>
    <w:rsid w:val="08EB3442"/>
    <w:rsid w:val="08EB3445"/>
    <w:rsid w:val="08EB3615"/>
    <w:rsid w:val="08EB3839"/>
    <w:rsid w:val="08EB383A"/>
    <w:rsid w:val="08EB3845"/>
    <w:rsid w:val="08EB39EA"/>
    <w:rsid w:val="08EB3A29"/>
    <w:rsid w:val="08EB3AC8"/>
    <w:rsid w:val="08EB3AD0"/>
    <w:rsid w:val="08EB3AD2"/>
    <w:rsid w:val="08EB3AE8"/>
    <w:rsid w:val="08EB3AF9"/>
    <w:rsid w:val="08EB3BA9"/>
    <w:rsid w:val="08EB3C59"/>
    <w:rsid w:val="08EB3C6B"/>
    <w:rsid w:val="08EB3C71"/>
    <w:rsid w:val="08EB3CB3"/>
    <w:rsid w:val="08EB3CDE"/>
    <w:rsid w:val="08EB3DB2"/>
    <w:rsid w:val="08EB3E38"/>
    <w:rsid w:val="08EB3EC8"/>
    <w:rsid w:val="08EB3F3A"/>
    <w:rsid w:val="08EB402E"/>
    <w:rsid w:val="08EB403F"/>
    <w:rsid w:val="08EB4058"/>
    <w:rsid w:val="08EB40DE"/>
    <w:rsid w:val="08EB40FB"/>
    <w:rsid w:val="08EB40FF"/>
    <w:rsid w:val="08EB41AD"/>
    <w:rsid w:val="08EB41B9"/>
    <w:rsid w:val="08EB421E"/>
    <w:rsid w:val="08EB4319"/>
    <w:rsid w:val="08EB4452"/>
    <w:rsid w:val="08EB448A"/>
    <w:rsid w:val="08EB44A7"/>
    <w:rsid w:val="08EB4500"/>
    <w:rsid w:val="08EB4526"/>
    <w:rsid w:val="08EB45EB"/>
    <w:rsid w:val="08EB465D"/>
    <w:rsid w:val="08EB46B7"/>
    <w:rsid w:val="08EB46BA"/>
    <w:rsid w:val="08EB470D"/>
    <w:rsid w:val="08EB4769"/>
    <w:rsid w:val="08EB493A"/>
    <w:rsid w:val="08EB49C9"/>
    <w:rsid w:val="08EB49DD"/>
    <w:rsid w:val="08EB4ABF"/>
    <w:rsid w:val="08EB4BEF"/>
    <w:rsid w:val="08EB4C40"/>
    <w:rsid w:val="08EB4CBE"/>
    <w:rsid w:val="08EB4D88"/>
    <w:rsid w:val="08EB4E3A"/>
    <w:rsid w:val="08EB4EA3"/>
    <w:rsid w:val="08EB4EEB"/>
    <w:rsid w:val="08EB4F4A"/>
    <w:rsid w:val="08EB4F9B"/>
    <w:rsid w:val="08EB5009"/>
    <w:rsid w:val="08EB5027"/>
    <w:rsid w:val="08EB503E"/>
    <w:rsid w:val="08EB5115"/>
    <w:rsid w:val="08EB511C"/>
    <w:rsid w:val="08EB5166"/>
    <w:rsid w:val="08EB51FB"/>
    <w:rsid w:val="08EB522B"/>
    <w:rsid w:val="08EB5271"/>
    <w:rsid w:val="08EB52E3"/>
    <w:rsid w:val="08EB537C"/>
    <w:rsid w:val="08EB5393"/>
    <w:rsid w:val="08EB53B7"/>
    <w:rsid w:val="08EB5532"/>
    <w:rsid w:val="08EB5598"/>
    <w:rsid w:val="08EB56AA"/>
    <w:rsid w:val="08EB56F9"/>
    <w:rsid w:val="08EB577E"/>
    <w:rsid w:val="08EB584B"/>
    <w:rsid w:val="08EB59BF"/>
    <w:rsid w:val="08EB59EB"/>
    <w:rsid w:val="08EB5A17"/>
    <w:rsid w:val="08EB5A69"/>
    <w:rsid w:val="08EB5A72"/>
    <w:rsid w:val="08EB5ADC"/>
    <w:rsid w:val="08EB5B27"/>
    <w:rsid w:val="08EB5B42"/>
    <w:rsid w:val="08EB5B47"/>
    <w:rsid w:val="08EB5B4B"/>
    <w:rsid w:val="08EB5BE8"/>
    <w:rsid w:val="08EB5C42"/>
    <w:rsid w:val="08EB5C6B"/>
    <w:rsid w:val="08EB5C88"/>
    <w:rsid w:val="08EB5CE9"/>
    <w:rsid w:val="08EB5CF9"/>
    <w:rsid w:val="08EB5D6C"/>
    <w:rsid w:val="08EB5DA6"/>
    <w:rsid w:val="08EB5DB6"/>
    <w:rsid w:val="08EB5E16"/>
    <w:rsid w:val="08EB5EC9"/>
    <w:rsid w:val="08EB5F2E"/>
    <w:rsid w:val="08EB5F37"/>
    <w:rsid w:val="08EB5F3D"/>
    <w:rsid w:val="08EB618E"/>
    <w:rsid w:val="08EB6266"/>
    <w:rsid w:val="08EB6290"/>
    <w:rsid w:val="08EB63CA"/>
    <w:rsid w:val="08EB6461"/>
    <w:rsid w:val="08EB6491"/>
    <w:rsid w:val="08EB649A"/>
    <w:rsid w:val="08EB64B4"/>
    <w:rsid w:val="08EB64EC"/>
    <w:rsid w:val="08EB6589"/>
    <w:rsid w:val="08EB6590"/>
    <w:rsid w:val="08EB65F8"/>
    <w:rsid w:val="08EB66E6"/>
    <w:rsid w:val="08EB66EE"/>
    <w:rsid w:val="08EB676E"/>
    <w:rsid w:val="08EB6822"/>
    <w:rsid w:val="08EB682E"/>
    <w:rsid w:val="08EB68BD"/>
    <w:rsid w:val="08EB6AAC"/>
    <w:rsid w:val="08EB6AB6"/>
    <w:rsid w:val="08EB6ABD"/>
    <w:rsid w:val="08EB6B33"/>
    <w:rsid w:val="08EB6C3E"/>
    <w:rsid w:val="08EB6CC7"/>
    <w:rsid w:val="08EB6DC6"/>
    <w:rsid w:val="08EB6DFC"/>
    <w:rsid w:val="08EB6EA8"/>
    <w:rsid w:val="08EB6F93"/>
    <w:rsid w:val="08EB6FB7"/>
    <w:rsid w:val="08EB7070"/>
    <w:rsid w:val="08EB70CB"/>
    <w:rsid w:val="08EB70D1"/>
    <w:rsid w:val="08EB713E"/>
    <w:rsid w:val="08EB7256"/>
    <w:rsid w:val="08EB7276"/>
    <w:rsid w:val="08EB72D5"/>
    <w:rsid w:val="08EB72E5"/>
    <w:rsid w:val="08EB72EA"/>
    <w:rsid w:val="08EB72F8"/>
    <w:rsid w:val="08EB7301"/>
    <w:rsid w:val="08EB7304"/>
    <w:rsid w:val="08EB731F"/>
    <w:rsid w:val="08EB73F8"/>
    <w:rsid w:val="08EB7451"/>
    <w:rsid w:val="08EB7557"/>
    <w:rsid w:val="08EB7589"/>
    <w:rsid w:val="08EB75B0"/>
    <w:rsid w:val="08EB7621"/>
    <w:rsid w:val="08EB7626"/>
    <w:rsid w:val="08EB7627"/>
    <w:rsid w:val="08EB762C"/>
    <w:rsid w:val="08EB76A2"/>
    <w:rsid w:val="08EB774E"/>
    <w:rsid w:val="08EB7796"/>
    <w:rsid w:val="08EB77B5"/>
    <w:rsid w:val="08EB78A7"/>
    <w:rsid w:val="08EB7925"/>
    <w:rsid w:val="08EB798C"/>
    <w:rsid w:val="08EB79A6"/>
    <w:rsid w:val="08EB79D1"/>
    <w:rsid w:val="08EB7A2A"/>
    <w:rsid w:val="08EB7ACF"/>
    <w:rsid w:val="08EB7B31"/>
    <w:rsid w:val="08EB7C4F"/>
    <w:rsid w:val="08EB7CF2"/>
    <w:rsid w:val="08EB7CF7"/>
    <w:rsid w:val="08EB7CFE"/>
    <w:rsid w:val="08EB7D1A"/>
    <w:rsid w:val="08EB7F1C"/>
    <w:rsid w:val="08EB7FB3"/>
    <w:rsid w:val="08EC0008"/>
    <w:rsid w:val="08EC00F6"/>
    <w:rsid w:val="08EC0187"/>
    <w:rsid w:val="08EC01A0"/>
    <w:rsid w:val="08EC01B7"/>
    <w:rsid w:val="08EC02E9"/>
    <w:rsid w:val="08EC0341"/>
    <w:rsid w:val="08EC0355"/>
    <w:rsid w:val="08EC046F"/>
    <w:rsid w:val="08EC0518"/>
    <w:rsid w:val="08EC0520"/>
    <w:rsid w:val="08EC0541"/>
    <w:rsid w:val="08EC056B"/>
    <w:rsid w:val="08EC05C3"/>
    <w:rsid w:val="08EC061A"/>
    <w:rsid w:val="08EC0695"/>
    <w:rsid w:val="08EC0762"/>
    <w:rsid w:val="08EC07F4"/>
    <w:rsid w:val="08EC08AB"/>
    <w:rsid w:val="08EC0900"/>
    <w:rsid w:val="08EC0979"/>
    <w:rsid w:val="08EC09DF"/>
    <w:rsid w:val="08EC09E8"/>
    <w:rsid w:val="08EC09FA"/>
    <w:rsid w:val="08EC0A84"/>
    <w:rsid w:val="08EC0B20"/>
    <w:rsid w:val="08EC0BD2"/>
    <w:rsid w:val="08EC0C2E"/>
    <w:rsid w:val="08EC0D33"/>
    <w:rsid w:val="08EC0ECC"/>
    <w:rsid w:val="08EC0FB2"/>
    <w:rsid w:val="08EC114C"/>
    <w:rsid w:val="08EC125D"/>
    <w:rsid w:val="08EC1284"/>
    <w:rsid w:val="08EC12C9"/>
    <w:rsid w:val="08EC12CE"/>
    <w:rsid w:val="08EC1331"/>
    <w:rsid w:val="08EC1454"/>
    <w:rsid w:val="08EC1475"/>
    <w:rsid w:val="08EC14A4"/>
    <w:rsid w:val="08EC14AF"/>
    <w:rsid w:val="08EC14CF"/>
    <w:rsid w:val="08EC14FB"/>
    <w:rsid w:val="08EC1531"/>
    <w:rsid w:val="08EC15B5"/>
    <w:rsid w:val="08EC15E1"/>
    <w:rsid w:val="08EC1639"/>
    <w:rsid w:val="08EC16CB"/>
    <w:rsid w:val="08EC1730"/>
    <w:rsid w:val="08EC17ED"/>
    <w:rsid w:val="08EC1805"/>
    <w:rsid w:val="08EC1914"/>
    <w:rsid w:val="08EC1919"/>
    <w:rsid w:val="08EC192C"/>
    <w:rsid w:val="08EC199F"/>
    <w:rsid w:val="08EC1A3C"/>
    <w:rsid w:val="08EC1A87"/>
    <w:rsid w:val="08EC1AB5"/>
    <w:rsid w:val="08EC1ADA"/>
    <w:rsid w:val="08EC1ADD"/>
    <w:rsid w:val="08EC1B0F"/>
    <w:rsid w:val="08EC1B5F"/>
    <w:rsid w:val="08EC1BD7"/>
    <w:rsid w:val="08EC1C77"/>
    <w:rsid w:val="08EC1CBD"/>
    <w:rsid w:val="08EC1D05"/>
    <w:rsid w:val="08EC1D82"/>
    <w:rsid w:val="08EC1DFB"/>
    <w:rsid w:val="08EC1F3E"/>
    <w:rsid w:val="08EC1F76"/>
    <w:rsid w:val="08EC1F8A"/>
    <w:rsid w:val="08EC2092"/>
    <w:rsid w:val="08EC20D3"/>
    <w:rsid w:val="08EC212A"/>
    <w:rsid w:val="08EC22AD"/>
    <w:rsid w:val="08EC234D"/>
    <w:rsid w:val="08EC2356"/>
    <w:rsid w:val="08EC23E5"/>
    <w:rsid w:val="08EC241B"/>
    <w:rsid w:val="08EC2424"/>
    <w:rsid w:val="08EC2490"/>
    <w:rsid w:val="08EC257D"/>
    <w:rsid w:val="08EC263B"/>
    <w:rsid w:val="08EC2698"/>
    <w:rsid w:val="08EC26DA"/>
    <w:rsid w:val="08EC271F"/>
    <w:rsid w:val="08EC27CA"/>
    <w:rsid w:val="08EC2913"/>
    <w:rsid w:val="08EC294D"/>
    <w:rsid w:val="08EC2960"/>
    <w:rsid w:val="08EC29D4"/>
    <w:rsid w:val="08EC2A5C"/>
    <w:rsid w:val="08EC2B28"/>
    <w:rsid w:val="08EC2D34"/>
    <w:rsid w:val="08EC2DDC"/>
    <w:rsid w:val="08EC2E76"/>
    <w:rsid w:val="08EC2EEF"/>
    <w:rsid w:val="08EC2F41"/>
    <w:rsid w:val="08EC2F42"/>
    <w:rsid w:val="08EC2FC2"/>
    <w:rsid w:val="08EC2FDB"/>
    <w:rsid w:val="08EC302C"/>
    <w:rsid w:val="08EC307C"/>
    <w:rsid w:val="08EC3087"/>
    <w:rsid w:val="08EC30BB"/>
    <w:rsid w:val="08EC3191"/>
    <w:rsid w:val="08EC31A8"/>
    <w:rsid w:val="08EC31CF"/>
    <w:rsid w:val="08EC31D0"/>
    <w:rsid w:val="08EC31D3"/>
    <w:rsid w:val="08EC3290"/>
    <w:rsid w:val="08EC3329"/>
    <w:rsid w:val="08EC346B"/>
    <w:rsid w:val="08EC351C"/>
    <w:rsid w:val="08EC35AA"/>
    <w:rsid w:val="08EC36C7"/>
    <w:rsid w:val="08EC36E1"/>
    <w:rsid w:val="08EC37E8"/>
    <w:rsid w:val="08EC3846"/>
    <w:rsid w:val="08EC38F7"/>
    <w:rsid w:val="08EC3A40"/>
    <w:rsid w:val="08EC3B37"/>
    <w:rsid w:val="08EC3C37"/>
    <w:rsid w:val="08EC3D0D"/>
    <w:rsid w:val="08EC3D22"/>
    <w:rsid w:val="08EC3D27"/>
    <w:rsid w:val="08EC3DAD"/>
    <w:rsid w:val="08EC3DC0"/>
    <w:rsid w:val="08EC3DD6"/>
    <w:rsid w:val="08EC3E03"/>
    <w:rsid w:val="08EC3E13"/>
    <w:rsid w:val="08EC3ED0"/>
    <w:rsid w:val="08EC3ED9"/>
    <w:rsid w:val="08EC3EE7"/>
    <w:rsid w:val="08EC3EFF"/>
    <w:rsid w:val="08EC4058"/>
    <w:rsid w:val="08EC40D6"/>
    <w:rsid w:val="08EC40E6"/>
    <w:rsid w:val="08EC40EC"/>
    <w:rsid w:val="08EC4115"/>
    <w:rsid w:val="08EC4130"/>
    <w:rsid w:val="08EC4140"/>
    <w:rsid w:val="08EC418E"/>
    <w:rsid w:val="08EC4192"/>
    <w:rsid w:val="08EC431E"/>
    <w:rsid w:val="08EC4339"/>
    <w:rsid w:val="08EC433E"/>
    <w:rsid w:val="08EC4364"/>
    <w:rsid w:val="08EC4366"/>
    <w:rsid w:val="08EC4367"/>
    <w:rsid w:val="08EC43E4"/>
    <w:rsid w:val="08EC448C"/>
    <w:rsid w:val="08EC4492"/>
    <w:rsid w:val="08EC44F9"/>
    <w:rsid w:val="08EC4528"/>
    <w:rsid w:val="08EC45B6"/>
    <w:rsid w:val="08EC481C"/>
    <w:rsid w:val="08EC489D"/>
    <w:rsid w:val="08EC48F8"/>
    <w:rsid w:val="08EC4917"/>
    <w:rsid w:val="08EC497D"/>
    <w:rsid w:val="08EC4981"/>
    <w:rsid w:val="08EC49EC"/>
    <w:rsid w:val="08EC4A18"/>
    <w:rsid w:val="08EC4AC3"/>
    <w:rsid w:val="08EC4B31"/>
    <w:rsid w:val="08EC4B66"/>
    <w:rsid w:val="08EC4B79"/>
    <w:rsid w:val="08EC4C6C"/>
    <w:rsid w:val="08EC4CA4"/>
    <w:rsid w:val="08EC4D11"/>
    <w:rsid w:val="08EC4D55"/>
    <w:rsid w:val="08EC4D69"/>
    <w:rsid w:val="08EC4D9C"/>
    <w:rsid w:val="08EC4E3A"/>
    <w:rsid w:val="08EC4E44"/>
    <w:rsid w:val="08EC4E5A"/>
    <w:rsid w:val="08EC4EED"/>
    <w:rsid w:val="08EC5036"/>
    <w:rsid w:val="08EC5094"/>
    <w:rsid w:val="08EC509D"/>
    <w:rsid w:val="08EC50DA"/>
    <w:rsid w:val="08EC5158"/>
    <w:rsid w:val="08EC51BA"/>
    <w:rsid w:val="08EC51E0"/>
    <w:rsid w:val="08EC521B"/>
    <w:rsid w:val="08EC521F"/>
    <w:rsid w:val="08EC5317"/>
    <w:rsid w:val="08EC5385"/>
    <w:rsid w:val="08EC5415"/>
    <w:rsid w:val="08EC5486"/>
    <w:rsid w:val="08EC54BA"/>
    <w:rsid w:val="08EC558F"/>
    <w:rsid w:val="08EC55F6"/>
    <w:rsid w:val="08EC5635"/>
    <w:rsid w:val="08EC5770"/>
    <w:rsid w:val="08EC5827"/>
    <w:rsid w:val="08EC5875"/>
    <w:rsid w:val="08EC5877"/>
    <w:rsid w:val="08EC587C"/>
    <w:rsid w:val="08EC595B"/>
    <w:rsid w:val="08EC59D9"/>
    <w:rsid w:val="08EC5AD7"/>
    <w:rsid w:val="08EC5B19"/>
    <w:rsid w:val="08EC5B4D"/>
    <w:rsid w:val="08EC5B73"/>
    <w:rsid w:val="08EC5B9B"/>
    <w:rsid w:val="08EC5C0B"/>
    <w:rsid w:val="08EC5C78"/>
    <w:rsid w:val="08EC5C97"/>
    <w:rsid w:val="08EC5CB6"/>
    <w:rsid w:val="08EC5CFC"/>
    <w:rsid w:val="08EC5EA0"/>
    <w:rsid w:val="08EC5F4E"/>
    <w:rsid w:val="08EC604F"/>
    <w:rsid w:val="08EC609C"/>
    <w:rsid w:val="08EC6160"/>
    <w:rsid w:val="08EC61AC"/>
    <w:rsid w:val="08EC6208"/>
    <w:rsid w:val="08EC6302"/>
    <w:rsid w:val="08EC6328"/>
    <w:rsid w:val="08EC63C3"/>
    <w:rsid w:val="08EC63EE"/>
    <w:rsid w:val="08EC64EE"/>
    <w:rsid w:val="08EC64F1"/>
    <w:rsid w:val="08EC6643"/>
    <w:rsid w:val="08EC669A"/>
    <w:rsid w:val="08EC66B2"/>
    <w:rsid w:val="08EC676D"/>
    <w:rsid w:val="08EC6859"/>
    <w:rsid w:val="08EC6872"/>
    <w:rsid w:val="08EC6A03"/>
    <w:rsid w:val="08EC6ACB"/>
    <w:rsid w:val="08EC6B10"/>
    <w:rsid w:val="08EC6C0B"/>
    <w:rsid w:val="08EC6CEA"/>
    <w:rsid w:val="08EC6DDB"/>
    <w:rsid w:val="08EC6DE8"/>
    <w:rsid w:val="08EC6F5F"/>
    <w:rsid w:val="08EC6F7B"/>
    <w:rsid w:val="08EC6FC4"/>
    <w:rsid w:val="08EC7016"/>
    <w:rsid w:val="08EC7017"/>
    <w:rsid w:val="08EC7036"/>
    <w:rsid w:val="08EC70CA"/>
    <w:rsid w:val="08EC7132"/>
    <w:rsid w:val="08EC7146"/>
    <w:rsid w:val="08EC7177"/>
    <w:rsid w:val="08EC7255"/>
    <w:rsid w:val="08EC744F"/>
    <w:rsid w:val="08EC74D1"/>
    <w:rsid w:val="08EC7504"/>
    <w:rsid w:val="08EC7524"/>
    <w:rsid w:val="08EC7554"/>
    <w:rsid w:val="08EC75C8"/>
    <w:rsid w:val="08EC75E4"/>
    <w:rsid w:val="08EC7603"/>
    <w:rsid w:val="08EC7644"/>
    <w:rsid w:val="08EC7695"/>
    <w:rsid w:val="08EC76E9"/>
    <w:rsid w:val="08EC779D"/>
    <w:rsid w:val="08EC7884"/>
    <w:rsid w:val="08EC78EC"/>
    <w:rsid w:val="08EC7962"/>
    <w:rsid w:val="08EC79AC"/>
    <w:rsid w:val="08EC7A13"/>
    <w:rsid w:val="08EC7A14"/>
    <w:rsid w:val="08EC7A33"/>
    <w:rsid w:val="08EC7A48"/>
    <w:rsid w:val="08EC7A4F"/>
    <w:rsid w:val="08EC7A70"/>
    <w:rsid w:val="08EC7ADE"/>
    <w:rsid w:val="08EC7B48"/>
    <w:rsid w:val="08EC7B60"/>
    <w:rsid w:val="08EC7B6D"/>
    <w:rsid w:val="08EC7B72"/>
    <w:rsid w:val="08EC7BF9"/>
    <w:rsid w:val="08EC7D04"/>
    <w:rsid w:val="08EC7DC5"/>
    <w:rsid w:val="08EC7EBC"/>
    <w:rsid w:val="08EC7F02"/>
    <w:rsid w:val="08ED0081"/>
    <w:rsid w:val="08ED00C0"/>
    <w:rsid w:val="08ED00C5"/>
    <w:rsid w:val="08ED018C"/>
    <w:rsid w:val="08ED0195"/>
    <w:rsid w:val="08ED01A8"/>
    <w:rsid w:val="08ED021F"/>
    <w:rsid w:val="08ED0224"/>
    <w:rsid w:val="08ED023B"/>
    <w:rsid w:val="08ED0253"/>
    <w:rsid w:val="08ED0257"/>
    <w:rsid w:val="08ED02E6"/>
    <w:rsid w:val="08ED0349"/>
    <w:rsid w:val="08ED034D"/>
    <w:rsid w:val="08ED039E"/>
    <w:rsid w:val="08ED03B2"/>
    <w:rsid w:val="08ED0506"/>
    <w:rsid w:val="08ED05B2"/>
    <w:rsid w:val="08ED063E"/>
    <w:rsid w:val="08ED065F"/>
    <w:rsid w:val="08ED0689"/>
    <w:rsid w:val="08ED06C9"/>
    <w:rsid w:val="08ED0739"/>
    <w:rsid w:val="08ED07ED"/>
    <w:rsid w:val="08ED084D"/>
    <w:rsid w:val="08ED08C7"/>
    <w:rsid w:val="08ED093E"/>
    <w:rsid w:val="08ED0993"/>
    <w:rsid w:val="08ED09E2"/>
    <w:rsid w:val="08ED09FD"/>
    <w:rsid w:val="08ED0A1B"/>
    <w:rsid w:val="08ED0A99"/>
    <w:rsid w:val="08ED0AD8"/>
    <w:rsid w:val="08ED0B08"/>
    <w:rsid w:val="08ED0B24"/>
    <w:rsid w:val="08ED0B3F"/>
    <w:rsid w:val="08ED0B48"/>
    <w:rsid w:val="08ED0DA0"/>
    <w:rsid w:val="08ED0DA5"/>
    <w:rsid w:val="08ED0E42"/>
    <w:rsid w:val="08ED0F68"/>
    <w:rsid w:val="08ED0F8D"/>
    <w:rsid w:val="08ED100A"/>
    <w:rsid w:val="08ED1033"/>
    <w:rsid w:val="08ED1121"/>
    <w:rsid w:val="08ED128D"/>
    <w:rsid w:val="08ED130C"/>
    <w:rsid w:val="08ED1313"/>
    <w:rsid w:val="08ED13A8"/>
    <w:rsid w:val="08ED14CA"/>
    <w:rsid w:val="08ED14F5"/>
    <w:rsid w:val="08ED153F"/>
    <w:rsid w:val="08ED1650"/>
    <w:rsid w:val="08ED16A2"/>
    <w:rsid w:val="08ED16B5"/>
    <w:rsid w:val="08ED17AB"/>
    <w:rsid w:val="08ED1843"/>
    <w:rsid w:val="08ED18A8"/>
    <w:rsid w:val="08ED18B9"/>
    <w:rsid w:val="08ED18ED"/>
    <w:rsid w:val="08ED1926"/>
    <w:rsid w:val="08ED19A7"/>
    <w:rsid w:val="08ED1A1A"/>
    <w:rsid w:val="08ED1A51"/>
    <w:rsid w:val="08ED1A5F"/>
    <w:rsid w:val="08ED1AB7"/>
    <w:rsid w:val="08ED1AD8"/>
    <w:rsid w:val="08ED1C85"/>
    <w:rsid w:val="08ED1CA0"/>
    <w:rsid w:val="08ED1CF6"/>
    <w:rsid w:val="08ED1D41"/>
    <w:rsid w:val="08ED1D42"/>
    <w:rsid w:val="08ED1D58"/>
    <w:rsid w:val="08ED1D81"/>
    <w:rsid w:val="08ED1E16"/>
    <w:rsid w:val="08ED1EC2"/>
    <w:rsid w:val="08ED1EC4"/>
    <w:rsid w:val="08ED1ED9"/>
    <w:rsid w:val="08ED1FC3"/>
    <w:rsid w:val="08ED1FC5"/>
    <w:rsid w:val="08ED2081"/>
    <w:rsid w:val="08ED20E3"/>
    <w:rsid w:val="08ED210C"/>
    <w:rsid w:val="08ED2190"/>
    <w:rsid w:val="08ED2298"/>
    <w:rsid w:val="08ED2336"/>
    <w:rsid w:val="08ED2467"/>
    <w:rsid w:val="08ED246A"/>
    <w:rsid w:val="08ED254E"/>
    <w:rsid w:val="08ED2647"/>
    <w:rsid w:val="08ED275A"/>
    <w:rsid w:val="08ED27C7"/>
    <w:rsid w:val="08ED27E1"/>
    <w:rsid w:val="08ED2810"/>
    <w:rsid w:val="08ED2822"/>
    <w:rsid w:val="08ED2891"/>
    <w:rsid w:val="08ED2A55"/>
    <w:rsid w:val="08ED2AA3"/>
    <w:rsid w:val="08ED2BF5"/>
    <w:rsid w:val="08ED2CA5"/>
    <w:rsid w:val="08ED2CCF"/>
    <w:rsid w:val="08ED2D82"/>
    <w:rsid w:val="08ED2E45"/>
    <w:rsid w:val="08ED2E5F"/>
    <w:rsid w:val="08ED2EA4"/>
    <w:rsid w:val="08ED2FA1"/>
    <w:rsid w:val="08ED2FA5"/>
    <w:rsid w:val="08ED2FA6"/>
    <w:rsid w:val="08ED3043"/>
    <w:rsid w:val="08ED307D"/>
    <w:rsid w:val="08ED312E"/>
    <w:rsid w:val="08ED31B9"/>
    <w:rsid w:val="08ED3360"/>
    <w:rsid w:val="08ED3382"/>
    <w:rsid w:val="08ED3398"/>
    <w:rsid w:val="08ED34C7"/>
    <w:rsid w:val="08ED34DB"/>
    <w:rsid w:val="08ED3531"/>
    <w:rsid w:val="08ED3541"/>
    <w:rsid w:val="08ED365B"/>
    <w:rsid w:val="08ED3758"/>
    <w:rsid w:val="08ED3774"/>
    <w:rsid w:val="08ED37B7"/>
    <w:rsid w:val="08ED3831"/>
    <w:rsid w:val="08ED38CC"/>
    <w:rsid w:val="08ED3903"/>
    <w:rsid w:val="08ED390C"/>
    <w:rsid w:val="08ED3932"/>
    <w:rsid w:val="08ED39AF"/>
    <w:rsid w:val="08ED3A7F"/>
    <w:rsid w:val="08ED3B07"/>
    <w:rsid w:val="08ED3B80"/>
    <w:rsid w:val="08ED3CD0"/>
    <w:rsid w:val="08ED3CF5"/>
    <w:rsid w:val="08ED3D3B"/>
    <w:rsid w:val="08ED3D3D"/>
    <w:rsid w:val="08ED3D86"/>
    <w:rsid w:val="08ED3E81"/>
    <w:rsid w:val="08ED3ED5"/>
    <w:rsid w:val="08ED3F14"/>
    <w:rsid w:val="08ED3F1B"/>
    <w:rsid w:val="08ED3F9D"/>
    <w:rsid w:val="08ED4013"/>
    <w:rsid w:val="08ED402B"/>
    <w:rsid w:val="08ED4054"/>
    <w:rsid w:val="08ED4199"/>
    <w:rsid w:val="08ED4273"/>
    <w:rsid w:val="08ED4372"/>
    <w:rsid w:val="08ED45DC"/>
    <w:rsid w:val="08ED46E1"/>
    <w:rsid w:val="08ED4720"/>
    <w:rsid w:val="08ED47E3"/>
    <w:rsid w:val="08ED47ED"/>
    <w:rsid w:val="08ED4855"/>
    <w:rsid w:val="08ED4945"/>
    <w:rsid w:val="08ED4A15"/>
    <w:rsid w:val="08ED4AD1"/>
    <w:rsid w:val="08ED4AE2"/>
    <w:rsid w:val="08ED4B51"/>
    <w:rsid w:val="08ED4BA3"/>
    <w:rsid w:val="08ED4C10"/>
    <w:rsid w:val="08ED4CB7"/>
    <w:rsid w:val="08ED4D17"/>
    <w:rsid w:val="08ED4E07"/>
    <w:rsid w:val="08ED4EA8"/>
    <w:rsid w:val="08ED5079"/>
    <w:rsid w:val="08ED50E4"/>
    <w:rsid w:val="08ED5126"/>
    <w:rsid w:val="08ED5164"/>
    <w:rsid w:val="08ED519D"/>
    <w:rsid w:val="08ED51AD"/>
    <w:rsid w:val="08ED52A5"/>
    <w:rsid w:val="08ED5339"/>
    <w:rsid w:val="08ED5372"/>
    <w:rsid w:val="08ED5382"/>
    <w:rsid w:val="08ED5383"/>
    <w:rsid w:val="08ED5421"/>
    <w:rsid w:val="08ED54A5"/>
    <w:rsid w:val="08ED5666"/>
    <w:rsid w:val="08ED56BF"/>
    <w:rsid w:val="08ED572E"/>
    <w:rsid w:val="08ED57E4"/>
    <w:rsid w:val="08ED57E9"/>
    <w:rsid w:val="08ED596A"/>
    <w:rsid w:val="08ED5988"/>
    <w:rsid w:val="08ED5989"/>
    <w:rsid w:val="08ED59D3"/>
    <w:rsid w:val="08ED5BA2"/>
    <w:rsid w:val="08ED5CB1"/>
    <w:rsid w:val="08ED5CDB"/>
    <w:rsid w:val="08ED5D38"/>
    <w:rsid w:val="08ED5E70"/>
    <w:rsid w:val="08ED5E91"/>
    <w:rsid w:val="08ED5EA4"/>
    <w:rsid w:val="08ED5F3C"/>
    <w:rsid w:val="08ED6229"/>
    <w:rsid w:val="08ED644D"/>
    <w:rsid w:val="08ED6587"/>
    <w:rsid w:val="08ED6600"/>
    <w:rsid w:val="08ED665A"/>
    <w:rsid w:val="08ED666C"/>
    <w:rsid w:val="08ED6672"/>
    <w:rsid w:val="08ED6682"/>
    <w:rsid w:val="08ED66E7"/>
    <w:rsid w:val="08ED66F4"/>
    <w:rsid w:val="08ED6750"/>
    <w:rsid w:val="08ED683A"/>
    <w:rsid w:val="08ED6902"/>
    <w:rsid w:val="08ED690E"/>
    <w:rsid w:val="08ED691C"/>
    <w:rsid w:val="08ED6967"/>
    <w:rsid w:val="08ED69BA"/>
    <w:rsid w:val="08ED69EA"/>
    <w:rsid w:val="08ED6ADA"/>
    <w:rsid w:val="08ED6B0F"/>
    <w:rsid w:val="08ED6B75"/>
    <w:rsid w:val="08ED6BBC"/>
    <w:rsid w:val="08ED6BE8"/>
    <w:rsid w:val="08ED6BE9"/>
    <w:rsid w:val="08ED6C2A"/>
    <w:rsid w:val="08ED6C40"/>
    <w:rsid w:val="08ED6C45"/>
    <w:rsid w:val="08ED6C8C"/>
    <w:rsid w:val="08ED6CE1"/>
    <w:rsid w:val="08ED6D21"/>
    <w:rsid w:val="08ED6DEF"/>
    <w:rsid w:val="08ED6EF1"/>
    <w:rsid w:val="08ED6FA6"/>
    <w:rsid w:val="08ED7026"/>
    <w:rsid w:val="08ED7059"/>
    <w:rsid w:val="08ED7071"/>
    <w:rsid w:val="08ED7092"/>
    <w:rsid w:val="08ED70B4"/>
    <w:rsid w:val="08ED7135"/>
    <w:rsid w:val="08ED7182"/>
    <w:rsid w:val="08ED71F0"/>
    <w:rsid w:val="08ED73FB"/>
    <w:rsid w:val="08ED741B"/>
    <w:rsid w:val="08ED744A"/>
    <w:rsid w:val="08ED74BB"/>
    <w:rsid w:val="08ED750D"/>
    <w:rsid w:val="08ED7510"/>
    <w:rsid w:val="08ED7518"/>
    <w:rsid w:val="08ED756D"/>
    <w:rsid w:val="08ED764B"/>
    <w:rsid w:val="08ED7692"/>
    <w:rsid w:val="08ED76C3"/>
    <w:rsid w:val="08ED7704"/>
    <w:rsid w:val="08ED7737"/>
    <w:rsid w:val="08ED7821"/>
    <w:rsid w:val="08ED782F"/>
    <w:rsid w:val="08ED7849"/>
    <w:rsid w:val="08ED785F"/>
    <w:rsid w:val="08ED7875"/>
    <w:rsid w:val="08ED79DF"/>
    <w:rsid w:val="08ED7AB4"/>
    <w:rsid w:val="08ED7AFB"/>
    <w:rsid w:val="08ED7B3B"/>
    <w:rsid w:val="08ED7B48"/>
    <w:rsid w:val="08ED7B73"/>
    <w:rsid w:val="08ED7B9F"/>
    <w:rsid w:val="08ED7D30"/>
    <w:rsid w:val="08ED7D53"/>
    <w:rsid w:val="08ED7E09"/>
    <w:rsid w:val="08ED7E9F"/>
    <w:rsid w:val="08ED7ECF"/>
    <w:rsid w:val="08ED7F03"/>
    <w:rsid w:val="08ED7F12"/>
    <w:rsid w:val="08ED7FEA"/>
    <w:rsid w:val="08EE009C"/>
    <w:rsid w:val="08EE00C4"/>
    <w:rsid w:val="08EE018A"/>
    <w:rsid w:val="08EE01E5"/>
    <w:rsid w:val="08EE01E6"/>
    <w:rsid w:val="08EE02AA"/>
    <w:rsid w:val="08EE0379"/>
    <w:rsid w:val="08EE03A6"/>
    <w:rsid w:val="08EE03CE"/>
    <w:rsid w:val="08EE03F2"/>
    <w:rsid w:val="08EE044A"/>
    <w:rsid w:val="08EE04EE"/>
    <w:rsid w:val="08EE0591"/>
    <w:rsid w:val="08EE0613"/>
    <w:rsid w:val="08EE06D5"/>
    <w:rsid w:val="08EE06E0"/>
    <w:rsid w:val="08EE0738"/>
    <w:rsid w:val="08EE07FC"/>
    <w:rsid w:val="08EE08D6"/>
    <w:rsid w:val="08EE0982"/>
    <w:rsid w:val="08EE09D4"/>
    <w:rsid w:val="08EE09DB"/>
    <w:rsid w:val="08EE0A2F"/>
    <w:rsid w:val="08EE0A3C"/>
    <w:rsid w:val="08EE0AB1"/>
    <w:rsid w:val="08EE0AD6"/>
    <w:rsid w:val="08EE0C36"/>
    <w:rsid w:val="08EE0C52"/>
    <w:rsid w:val="08EE0CCF"/>
    <w:rsid w:val="08EE0D85"/>
    <w:rsid w:val="08EE0DA9"/>
    <w:rsid w:val="08EE0F3B"/>
    <w:rsid w:val="08EE0F93"/>
    <w:rsid w:val="08EE0FC7"/>
    <w:rsid w:val="08EE0FD6"/>
    <w:rsid w:val="08EE1045"/>
    <w:rsid w:val="08EE107C"/>
    <w:rsid w:val="08EE1107"/>
    <w:rsid w:val="08EE11A8"/>
    <w:rsid w:val="08EE11CA"/>
    <w:rsid w:val="08EE11CB"/>
    <w:rsid w:val="08EE11D4"/>
    <w:rsid w:val="08EE1257"/>
    <w:rsid w:val="08EE125B"/>
    <w:rsid w:val="08EE1264"/>
    <w:rsid w:val="08EE12F4"/>
    <w:rsid w:val="08EE131C"/>
    <w:rsid w:val="08EE1359"/>
    <w:rsid w:val="08EE144E"/>
    <w:rsid w:val="08EE149E"/>
    <w:rsid w:val="08EE14B9"/>
    <w:rsid w:val="08EE1520"/>
    <w:rsid w:val="08EE154C"/>
    <w:rsid w:val="08EE1558"/>
    <w:rsid w:val="08EE17A4"/>
    <w:rsid w:val="08EE17E2"/>
    <w:rsid w:val="08EE1824"/>
    <w:rsid w:val="08EE1889"/>
    <w:rsid w:val="08EE1996"/>
    <w:rsid w:val="08EE1A55"/>
    <w:rsid w:val="08EE1C32"/>
    <w:rsid w:val="08EE1C5E"/>
    <w:rsid w:val="08EE1C6E"/>
    <w:rsid w:val="08EE1C9F"/>
    <w:rsid w:val="08EE1E59"/>
    <w:rsid w:val="08EE1E5E"/>
    <w:rsid w:val="08EE1EDD"/>
    <w:rsid w:val="08EE1EDF"/>
    <w:rsid w:val="08EE1EF7"/>
    <w:rsid w:val="08EE1FC9"/>
    <w:rsid w:val="08EE2023"/>
    <w:rsid w:val="08EE20A5"/>
    <w:rsid w:val="08EE2103"/>
    <w:rsid w:val="08EE2171"/>
    <w:rsid w:val="08EE2187"/>
    <w:rsid w:val="08EE21AA"/>
    <w:rsid w:val="08EE2281"/>
    <w:rsid w:val="08EE22BB"/>
    <w:rsid w:val="08EE23C1"/>
    <w:rsid w:val="08EE241E"/>
    <w:rsid w:val="08EE2463"/>
    <w:rsid w:val="08EE24A1"/>
    <w:rsid w:val="08EE24C1"/>
    <w:rsid w:val="08EE2518"/>
    <w:rsid w:val="08EE2525"/>
    <w:rsid w:val="08EE256A"/>
    <w:rsid w:val="08EE259A"/>
    <w:rsid w:val="08EE26BE"/>
    <w:rsid w:val="08EE26DE"/>
    <w:rsid w:val="08EE2746"/>
    <w:rsid w:val="08EE282B"/>
    <w:rsid w:val="08EE286B"/>
    <w:rsid w:val="08EE2988"/>
    <w:rsid w:val="08EE2A0A"/>
    <w:rsid w:val="08EE2A61"/>
    <w:rsid w:val="08EE2AB4"/>
    <w:rsid w:val="08EE2CAF"/>
    <w:rsid w:val="08EE2D35"/>
    <w:rsid w:val="08EE2DE6"/>
    <w:rsid w:val="08EE2E2E"/>
    <w:rsid w:val="08EE2E99"/>
    <w:rsid w:val="08EE2EA9"/>
    <w:rsid w:val="08EE2F03"/>
    <w:rsid w:val="08EE2F2B"/>
    <w:rsid w:val="08EE2F30"/>
    <w:rsid w:val="08EE2FE5"/>
    <w:rsid w:val="08EE3098"/>
    <w:rsid w:val="08EE3178"/>
    <w:rsid w:val="08EE31CA"/>
    <w:rsid w:val="08EE322E"/>
    <w:rsid w:val="08EE3240"/>
    <w:rsid w:val="08EE32B4"/>
    <w:rsid w:val="08EE33EB"/>
    <w:rsid w:val="08EE33FA"/>
    <w:rsid w:val="08EE3405"/>
    <w:rsid w:val="08EE3419"/>
    <w:rsid w:val="08EE3479"/>
    <w:rsid w:val="08EE348B"/>
    <w:rsid w:val="08EE3653"/>
    <w:rsid w:val="08EE36A1"/>
    <w:rsid w:val="08EE36C0"/>
    <w:rsid w:val="08EE37D3"/>
    <w:rsid w:val="08EE37E2"/>
    <w:rsid w:val="08EE37E8"/>
    <w:rsid w:val="08EE37F6"/>
    <w:rsid w:val="08EE380F"/>
    <w:rsid w:val="08EE38EB"/>
    <w:rsid w:val="08EE3A1D"/>
    <w:rsid w:val="08EE3A95"/>
    <w:rsid w:val="08EE3AB4"/>
    <w:rsid w:val="08EE3B3C"/>
    <w:rsid w:val="08EE3C24"/>
    <w:rsid w:val="08EE3C8B"/>
    <w:rsid w:val="08EE3CC8"/>
    <w:rsid w:val="08EE3CF6"/>
    <w:rsid w:val="08EE3D0F"/>
    <w:rsid w:val="08EE3D37"/>
    <w:rsid w:val="08EE3E07"/>
    <w:rsid w:val="08EE3E56"/>
    <w:rsid w:val="08EE3F71"/>
    <w:rsid w:val="08EE4031"/>
    <w:rsid w:val="08EE40D7"/>
    <w:rsid w:val="08EE412B"/>
    <w:rsid w:val="08EE4137"/>
    <w:rsid w:val="08EE418D"/>
    <w:rsid w:val="08EE426D"/>
    <w:rsid w:val="08EE4274"/>
    <w:rsid w:val="08EE42BC"/>
    <w:rsid w:val="08EE42EC"/>
    <w:rsid w:val="08EE42FE"/>
    <w:rsid w:val="08EE432D"/>
    <w:rsid w:val="08EE4367"/>
    <w:rsid w:val="08EE44D8"/>
    <w:rsid w:val="08EE44FA"/>
    <w:rsid w:val="08EE4558"/>
    <w:rsid w:val="08EE4788"/>
    <w:rsid w:val="08EE4799"/>
    <w:rsid w:val="08EE47CD"/>
    <w:rsid w:val="08EE4819"/>
    <w:rsid w:val="08EE4852"/>
    <w:rsid w:val="08EE485E"/>
    <w:rsid w:val="08EE485F"/>
    <w:rsid w:val="08EE48C3"/>
    <w:rsid w:val="08EE48F1"/>
    <w:rsid w:val="08EE48F8"/>
    <w:rsid w:val="08EE490C"/>
    <w:rsid w:val="08EE49AF"/>
    <w:rsid w:val="08EE49C0"/>
    <w:rsid w:val="08EE4A27"/>
    <w:rsid w:val="08EE4A4F"/>
    <w:rsid w:val="08EE4A50"/>
    <w:rsid w:val="08EE4A5F"/>
    <w:rsid w:val="08EE4A80"/>
    <w:rsid w:val="08EE4AAE"/>
    <w:rsid w:val="08EE4B94"/>
    <w:rsid w:val="08EE4BAE"/>
    <w:rsid w:val="08EE4C13"/>
    <w:rsid w:val="08EE4CCE"/>
    <w:rsid w:val="08EE4D46"/>
    <w:rsid w:val="08EE4E82"/>
    <w:rsid w:val="08EE4EEA"/>
    <w:rsid w:val="08EE4F11"/>
    <w:rsid w:val="08EE5020"/>
    <w:rsid w:val="08EE507D"/>
    <w:rsid w:val="08EE518B"/>
    <w:rsid w:val="08EE51C4"/>
    <w:rsid w:val="08EE5205"/>
    <w:rsid w:val="08EE5257"/>
    <w:rsid w:val="08EE533E"/>
    <w:rsid w:val="08EE53E9"/>
    <w:rsid w:val="08EE53F7"/>
    <w:rsid w:val="08EE545F"/>
    <w:rsid w:val="08EE548E"/>
    <w:rsid w:val="08EE54AE"/>
    <w:rsid w:val="08EE54DA"/>
    <w:rsid w:val="08EE55A6"/>
    <w:rsid w:val="08EE55D1"/>
    <w:rsid w:val="08EE55DF"/>
    <w:rsid w:val="08EE56CB"/>
    <w:rsid w:val="08EE5735"/>
    <w:rsid w:val="08EE57E7"/>
    <w:rsid w:val="08EE5912"/>
    <w:rsid w:val="08EE593A"/>
    <w:rsid w:val="08EE5983"/>
    <w:rsid w:val="08EE59DA"/>
    <w:rsid w:val="08EE59F5"/>
    <w:rsid w:val="08EE5AF4"/>
    <w:rsid w:val="08EE5C81"/>
    <w:rsid w:val="08EE5C82"/>
    <w:rsid w:val="08EE5CF6"/>
    <w:rsid w:val="08EE5D20"/>
    <w:rsid w:val="08EE5D41"/>
    <w:rsid w:val="08EE5EFB"/>
    <w:rsid w:val="08EE5F8D"/>
    <w:rsid w:val="08EE604C"/>
    <w:rsid w:val="08EE604F"/>
    <w:rsid w:val="08EE6130"/>
    <w:rsid w:val="08EE61C9"/>
    <w:rsid w:val="08EE61E0"/>
    <w:rsid w:val="08EE628C"/>
    <w:rsid w:val="08EE62FE"/>
    <w:rsid w:val="08EE6317"/>
    <w:rsid w:val="08EE6328"/>
    <w:rsid w:val="08EE6407"/>
    <w:rsid w:val="08EE6418"/>
    <w:rsid w:val="08EE64B2"/>
    <w:rsid w:val="08EE64BC"/>
    <w:rsid w:val="08EE64F2"/>
    <w:rsid w:val="08EE654B"/>
    <w:rsid w:val="08EE6556"/>
    <w:rsid w:val="08EE662D"/>
    <w:rsid w:val="08EE664B"/>
    <w:rsid w:val="08EE67B0"/>
    <w:rsid w:val="08EE67D8"/>
    <w:rsid w:val="08EE6801"/>
    <w:rsid w:val="08EE6812"/>
    <w:rsid w:val="08EE6826"/>
    <w:rsid w:val="08EE6885"/>
    <w:rsid w:val="08EE6895"/>
    <w:rsid w:val="08EE6972"/>
    <w:rsid w:val="08EE6996"/>
    <w:rsid w:val="08EE69E5"/>
    <w:rsid w:val="08EE69E9"/>
    <w:rsid w:val="08EE6A2C"/>
    <w:rsid w:val="08EE6BD1"/>
    <w:rsid w:val="08EE6BDA"/>
    <w:rsid w:val="08EE6C36"/>
    <w:rsid w:val="08EE6C40"/>
    <w:rsid w:val="08EE6C89"/>
    <w:rsid w:val="08EE6D12"/>
    <w:rsid w:val="08EE6D3B"/>
    <w:rsid w:val="08EE6D4C"/>
    <w:rsid w:val="08EE6D82"/>
    <w:rsid w:val="08EE6D86"/>
    <w:rsid w:val="08EE6EA0"/>
    <w:rsid w:val="08EE6F34"/>
    <w:rsid w:val="08EE6F3B"/>
    <w:rsid w:val="08EE6F64"/>
    <w:rsid w:val="08EE6F8B"/>
    <w:rsid w:val="08EE6FBB"/>
    <w:rsid w:val="08EE6FE3"/>
    <w:rsid w:val="08EE6FF3"/>
    <w:rsid w:val="08EE7078"/>
    <w:rsid w:val="08EE70CF"/>
    <w:rsid w:val="08EE7169"/>
    <w:rsid w:val="08EE7206"/>
    <w:rsid w:val="08EE74F7"/>
    <w:rsid w:val="08EE74FE"/>
    <w:rsid w:val="08EE7523"/>
    <w:rsid w:val="08EE75B4"/>
    <w:rsid w:val="08EE75E3"/>
    <w:rsid w:val="08EE75F8"/>
    <w:rsid w:val="08EE76D5"/>
    <w:rsid w:val="08EE76E2"/>
    <w:rsid w:val="08EE77BE"/>
    <w:rsid w:val="08EE77FA"/>
    <w:rsid w:val="08EE7840"/>
    <w:rsid w:val="08EE789D"/>
    <w:rsid w:val="08EE78AE"/>
    <w:rsid w:val="08EE792B"/>
    <w:rsid w:val="08EE79AE"/>
    <w:rsid w:val="08EE79B5"/>
    <w:rsid w:val="08EE79EA"/>
    <w:rsid w:val="08EE79EB"/>
    <w:rsid w:val="08EE7A32"/>
    <w:rsid w:val="08EE7A47"/>
    <w:rsid w:val="08EE7BA3"/>
    <w:rsid w:val="08EE7C53"/>
    <w:rsid w:val="08EE7D56"/>
    <w:rsid w:val="08EE7E6B"/>
    <w:rsid w:val="08EE7EA8"/>
    <w:rsid w:val="08EE7F2F"/>
    <w:rsid w:val="08EE7F64"/>
    <w:rsid w:val="08EE7FF5"/>
    <w:rsid w:val="08EF0036"/>
    <w:rsid w:val="08EF0056"/>
    <w:rsid w:val="08EF013F"/>
    <w:rsid w:val="08EF0176"/>
    <w:rsid w:val="08EF01A9"/>
    <w:rsid w:val="08EF01AB"/>
    <w:rsid w:val="08EF01AF"/>
    <w:rsid w:val="08EF036B"/>
    <w:rsid w:val="08EF039E"/>
    <w:rsid w:val="08EF03FB"/>
    <w:rsid w:val="08EF0416"/>
    <w:rsid w:val="08EF0539"/>
    <w:rsid w:val="08EF0559"/>
    <w:rsid w:val="08EF06D8"/>
    <w:rsid w:val="08EF0727"/>
    <w:rsid w:val="08EF0775"/>
    <w:rsid w:val="08EF07C6"/>
    <w:rsid w:val="08EF07CD"/>
    <w:rsid w:val="08EF081C"/>
    <w:rsid w:val="08EF0860"/>
    <w:rsid w:val="08EF0891"/>
    <w:rsid w:val="08EF09C7"/>
    <w:rsid w:val="08EF0A87"/>
    <w:rsid w:val="08EF0B05"/>
    <w:rsid w:val="08EF0BCC"/>
    <w:rsid w:val="08EF0CEA"/>
    <w:rsid w:val="08EF0D1F"/>
    <w:rsid w:val="08EF0D75"/>
    <w:rsid w:val="08EF0DEE"/>
    <w:rsid w:val="08EF0E45"/>
    <w:rsid w:val="08EF0E84"/>
    <w:rsid w:val="08EF0E85"/>
    <w:rsid w:val="08EF0F01"/>
    <w:rsid w:val="08EF0F7A"/>
    <w:rsid w:val="08EF0FB1"/>
    <w:rsid w:val="08EF1017"/>
    <w:rsid w:val="08EF109E"/>
    <w:rsid w:val="08EF1213"/>
    <w:rsid w:val="08EF12A9"/>
    <w:rsid w:val="08EF12BB"/>
    <w:rsid w:val="08EF12C9"/>
    <w:rsid w:val="08EF1355"/>
    <w:rsid w:val="08EF1381"/>
    <w:rsid w:val="08EF1417"/>
    <w:rsid w:val="08EF14AE"/>
    <w:rsid w:val="08EF14F1"/>
    <w:rsid w:val="08EF1528"/>
    <w:rsid w:val="08EF152D"/>
    <w:rsid w:val="08EF1546"/>
    <w:rsid w:val="08EF1562"/>
    <w:rsid w:val="08EF15AD"/>
    <w:rsid w:val="08EF15E3"/>
    <w:rsid w:val="08EF1619"/>
    <w:rsid w:val="08EF165A"/>
    <w:rsid w:val="08EF166C"/>
    <w:rsid w:val="08EF16A7"/>
    <w:rsid w:val="08EF172C"/>
    <w:rsid w:val="08EF179A"/>
    <w:rsid w:val="08EF180C"/>
    <w:rsid w:val="08EF190C"/>
    <w:rsid w:val="08EF191C"/>
    <w:rsid w:val="08EF196B"/>
    <w:rsid w:val="08EF19E3"/>
    <w:rsid w:val="08EF19EC"/>
    <w:rsid w:val="08EF1AC0"/>
    <w:rsid w:val="08EF1B12"/>
    <w:rsid w:val="08EF1B24"/>
    <w:rsid w:val="08EF1C82"/>
    <w:rsid w:val="08EF1CBF"/>
    <w:rsid w:val="08EF1CE8"/>
    <w:rsid w:val="08EF1D33"/>
    <w:rsid w:val="08EF1DF3"/>
    <w:rsid w:val="08EF1EA6"/>
    <w:rsid w:val="08EF1EAE"/>
    <w:rsid w:val="08EF1ECC"/>
    <w:rsid w:val="08EF1EDA"/>
    <w:rsid w:val="08EF1EF8"/>
    <w:rsid w:val="08EF1F58"/>
    <w:rsid w:val="08EF1FAC"/>
    <w:rsid w:val="08EF2030"/>
    <w:rsid w:val="08EF2045"/>
    <w:rsid w:val="08EF20AA"/>
    <w:rsid w:val="08EF20C7"/>
    <w:rsid w:val="08EF2198"/>
    <w:rsid w:val="08EF21BE"/>
    <w:rsid w:val="08EF224A"/>
    <w:rsid w:val="08EF2296"/>
    <w:rsid w:val="08EF235C"/>
    <w:rsid w:val="08EF245D"/>
    <w:rsid w:val="08EF24E5"/>
    <w:rsid w:val="08EF255D"/>
    <w:rsid w:val="08EF258F"/>
    <w:rsid w:val="08EF25AB"/>
    <w:rsid w:val="08EF263D"/>
    <w:rsid w:val="08EF26A3"/>
    <w:rsid w:val="08EF2756"/>
    <w:rsid w:val="08EF284B"/>
    <w:rsid w:val="08EF28B2"/>
    <w:rsid w:val="08EF28BD"/>
    <w:rsid w:val="08EF299B"/>
    <w:rsid w:val="08EF29C6"/>
    <w:rsid w:val="08EF29E4"/>
    <w:rsid w:val="08EF2A30"/>
    <w:rsid w:val="08EF2A33"/>
    <w:rsid w:val="08EF2A6A"/>
    <w:rsid w:val="08EF2AC9"/>
    <w:rsid w:val="08EF2B2E"/>
    <w:rsid w:val="08EF2B74"/>
    <w:rsid w:val="08EF2C4A"/>
    <w:rsid w:val="08EF2C61"/>
    <w:rsid w:val="08EF2C6A"/>
    <w:rsid w:val="08EF2C7D"/>
    <w:rsid w:val="08EF2C85"/>
    <w:rsid w:val="08EF2C8A"/>
    <w:rsid w:val="08EF2C8B"/>
    <w:rsid w:val="08EF2CE2"/>
    <w:rsid w:val="08EF2D8F"/>
    <w:rsid w:val="08EF2E11"/>
    <w:rsid w:val="08EF2E47"/>
    <w:rsid w:val="08EF2E48"/>
    <w:rsid w:val="08EF2E55"/>
    <w:rsid w:val="08EF2F28"/>
    <w:rsid w:val="08EF2F2C"/>
    <w:rsid w:val="08EF2F4D"/>
    <w:rsid w:val="08EF2F88"/>
    <w:rsid w:val="08EF2FF9"/>
    <w:rsid w:val="08EF3016"/>
    <w:rsid w:val="08EF30B4"/>
    <w:rsid w:val="08EF30FE"/>
    <w:rsid w:val="08EF3144"/>
    <w:rsid w:val="08EF3149"/>
    <w:rsid w:val="08EF317C"/>
    <w:rsid w:val="08EF3314"/>
    <w:rsid w:val="08EF3322"/>
    <w:rsid w:val="08EF340C"/>
    <w:rsid w:val="08EF3494"/>
    <w:rsid w:val="08EF3595"/>
    <w:rsid w:val="08EF35E1"/>
    <w:rsid w:val="08EF372A"/>
    <w:rsid w:val="08EF37D5"/>
    <w:rsid w:val="08EF37DD"/>
    <w:rsid w:val="08EF38A3"/>
    <w:rsid w:val="08EF38B8"/>
    <w:rsid w:val="08EF392C"/>
    <w:rsid w:val="08EF3A04"/>
    <w:rsid w:val="08EF3A32"/>
    <w:rsid w:val="08EF3AA0"/>
    <w:rsid w:val="08EF3ABD"/>
    <w:rsid w:val="08EF3B59"/>
    <w:rsid w:val="08EF3B79"/>
    <w:rsid w:val="08EF3BEB"/>
    <w:rsid w:val="08EF3C6A"/>
    <w:rsid w:val="08EF3CA4"/>
    <w:rsid w:val="08EF3CAA"/>
    <w:rsid w:val="08EF3CAB"/>
    <w:rsid w:val="08EF3CB1"/>
    <w:rsid w:val="08EF3DA7"/>
    <w:rsid w:val="08EF3DDF"/>
    <w:rsid w:val="08EF3E31"/>
    <w:rsid w:val="08EF3E99"/>
    <w:rsid w:val="08EF3ECC"/>
    <w:rsid w:val="08EF3EFE"/>
    <w:rsid w:val="08EF3F4B"/>
    <w:rsid w:val="08EF3F58"/>
    <w:rsid w:val="08EF4038"/>
    <w:rsid w:val="08EF4110"/>
    <w:rsid w:val="08EF4147"/>
    <w:rsid w:val="08EF42D5"/>
    <w:rsid w:val="08EF4308"/>
    <w:rsid w:val="08EF4313"/>
    <w:rsid w:val="08EF438E"/>
    <w:rsid w:val="08EF4397"/>
    <w:rsid w:val="08EF4415"/>
    <w:rsid w:val="08EF44ED"/>
    <w:rsid w:val="08EF4537"/>
    <w:rsid w:val="08EF4551"/>
    <w:rsid w:val="08EF4653"/>
    <w:rsid w:val="08EF47A3"/>
    <w:rsid w:val="08EF47FC"/>
    <w:rsid w:val="08EF48FD"/>
    <w:rsid w:val="08EF4917"/>
    <w:rsid w:val="08EF494E"/>
    <w:rsid w:val="08EF4952"/>
    <w:rsid w:val="08EF49A6"/>
    <w:rsid w:val="08EF4A57"/>
    <w:rsid w:val="08EF4A6E"/>
    <w:rsid w:val="08EF4A98"/>
    <w:rsid w:val="08EF4AE9"/>
    <w:rsid w:val="08EF4BC9"/>
    <w:rsid w:val="08EF4BE0"/>
    <w:rsid w:val="08EF4E19"/>
    <w:rsid w:val="08EF4E71"/>
    <w:rsid w:val="08EF4E8D"/>
    <w:rsid w:val="08EF4E96"/>
    <w:rsid w:val="08EF4F7E"/>
    <w:rsid w:val="08EF5034"/>
    <w:rsid w:val="08EF5054"/>
    <w:rsid w:val="08EF507C"/>
    <w:rsid w:val="08EF50F1"/>
    <w:rsid w:val="08EF511D"/>
    <w:rsid w:val="08EF51B2"/>
    <w:rsid w:val="08EF51E0"/>
    <w:rsid w:val="08EF5201"/>
    <w:rsid w:val="08EF533C"/>
    <w:rsid w:val="08EF535B"/>
    <w:rsid w:val="08EF537E"/>
    <w:rsid w:val="08EF53E1"/>
    <w:rsid w:val="08EF5471"/>
    <w:rsid w:val="08EF548F"/>
    <w:rsid w:val="08EF558D"/>
    <w:rsid w:val="08EF55A8"/>
    <w:rsid w:val="08EF55BE"/>
    <w:rsid w:val="08EF564A"/>
    <w:rsid w:val="08EF5773"/>
    <w:rsid w:val="08EF5796"/>
    <w:rsid w:val="08EF57C4"/>
    <w:rsid w:val="08EF5832"/>
    <w:rsid w:val="08EF5865"/>
    <w:rsid w:val="08EF591A"/>
    <w:rsid w:val="08EF5929"/>
    <w:rsid w:val="08EF5990"/>
    <w:rsid w:val="08EF59B8"/>
    <w:rsid w:val="08EF5AFD"/>
    <w:rsid w:val="08EF5CB6"/>
    <w:rsid w:val="08EF5D8E"/>
    <w:rsid w:val="08EF5E47"/>
    <w:rsid w:val="08EF5E7A"/>
    <w:rsid w:val="08EF5EC1"/>
    <w:rsid w:val="08EF5F32"/>
    <w:rsid w:val="08EF6111"/>
    <w:rsid w:val="08EF6200"/>
    <w:rsid w:val="08EF6204"/>
    <w:rsid w:val="08EF634A"/>
    <w:rsid w:val="08EF6391"/>
    <w:rsid w:val="08EF63F4"/>
    <w:rsid w:val="08EF63FD"/>
    <w:rsid w:val="08EF64A2"/>
    <w:rsid w:val="08EF64E0"/>
    <w:rsid w:val="08EF6533"/>
    <w:rsid w:val="08EF658C"/>
    <w:rsid w:val="08EF659A"/>
    <w:rsid w:val="08EF66A7"/>
    <w:rsid w:val="08EF66B0"/>
    <w:rsid w:val="08EF672C"/>
    <w:rsid w:val="08EF6884"/>
    <w:rsid w:val="08EF688F"/>
    <w:rsid w:val="08EF68CD"/>
    <w:rsid w:val="08EF68D0"/>
    <w:rsid w:val="08EF6A09"/>
    <w:rsid w:val="08EF6A0A"/>
    <w:rsid w:val="08EF6A56"/>
    <w:rsid w:val="08EF6ACD"/>
    <w:rsid w:val="08EF6B58"/>
    <w:rsid w:val="08EF6BEB"/>
    <w:rsid w:val="08EF6BFB"/>
    <w:rsid w:val="08EF6C3E"/>
    <w:rsid w:val="08EF6C4D"/>
    <w:rsid w:val="08EF6C52"/>
    <w:rsid w:val="08EF6D18"/>
    <w:rsid w:val="08EF6D38"/>
    <w:rsid w:val="08EF6DFA"/>
    <w:rsid w:val="08EF6E42"/>
    <w:rsid w:val="08EF6E96"/>
    <w:rsid w:val="08EF6F97"/>
    <w:rsid w:val="08EF703C"/>
    <w:rsid w:val="08EF70A5"/>
    <w:rsid w:val="08EF70AA"/>
    <w:rsid w:val="08EF71EC"/>
    <w:rsid w:val="08EF7224"/>
    <w:rsid w:val="08EF7317"/>
    <w:rsid w:val="08EF734C"/>
    <w:rsid w:val="08EF73F2"/>
    <w:rsid w:val="08EF7436"/>
    <w:rsid w:val="08EF7473"/>
    <w:rsid w:val="08EF7528"/>
    <w:rsid w:val="08EF756A"/>
    <w:rsid w:val="08EF7598"/>
    <w:rsid w:val="08EF7613"/>
    <w:rsid w:val="08EF763E"/>
    <w:rsid w:val="08EF7697"/>
    <w:rsid w:val="08EF76AD"/>
    <w:rsid w:val="08EF76CC"/>
    <w:rsid w:val="08EF76D5"/>
    <w:rsid w:val="08EF774E"/>
    <w:rsid w:val="08EF77EB"/>
    <w:rsid w:val="08EF77EE"/>
    <w:rsid w:val="08EF7892"/>
    <w:rsid w:val="08EF79C1"/>
    <w:rsid w:val="08EF7AD8"/>
    <w:rsid w:val="08EF7B08"/>
    <w:rsid w:val="08EF7B3C"/>
    <w:rsid w:val="08EF7E9F"/>
    <w:rsid w:val="08EF7F4C"/>
    <w:rsid w:val="08EF7F55"/>
    <w:rsid w:val="08F0005D"/>
    <w:rsid w:val="08F000BD"/>
    <w:rsid w:val="08F00165"/>
    <w:rsid w:val="08F00190"/>
    <w:rsid w:val="08F001B8"/>
    <w:rsid w:val="08F001E8"/>
    <w:rsid w:val="08F003F5"/>
    <w:rsid w:val="08F00471"/>
    <w:rsid w:val="08F00523"/>
    <w:rsid w:val="08F0055C"/>
    <w:rsid w:val="08F005AB"/>
    <w:rsid w:val="08F00620"/>
    <w:rsid w:val="08F00631"/>
    <w:rsid w:val="08F00677"/>
    <w:rsid w:val="08F006BC"/>
    <w:rsid w:val="08F00745"/>
    <w:rsid w:val="08F00866"/>
    <w:rsid w:val="08F008AF"/>
    <w:rsid w:val="08F008D0"/>
    <w:rsid w:val="08F0090B"/>
    <w:rsid w:val="08F009D4"/>
    <w:rsid w:val="08F00A93"/>
    <w:rsid w:val="08F00AB2"/>
    <w:rsid w:val="08F00ACA"/>
    <w:rsid w:val="08F00AD9"/>
    <w:rsid w:val="08F00B12"/>
    <w:rsid w:val="08F00B53"/>
    <w:rsid w:val="08F00B9D"/>
    <w:rsid w:val="08F00C08"/>
    <w:rsid w:val="08F00C24"/>
    <w:rsid w:val="08F00E61"/>
    <w:rsid w:val="08F00F05"/>
    <w:rsid w:val="08F00F06"/>
    <w:rsid w:val="08F00FC4"/>
    <w:rsid w:val="08F01005"/>
    <w:rsid w:val="08F01024"/>
    <w:rsid w:val="08F011AD"/>
    <w:rsid w:val="08F011BE"/>
    <w:rsid w:val="08F011C7"/>
    <w:rsid w:val="08F011FC"/>
    <w:rsid w:val="08F0129A"/>
    <w:rsid w:val="08F01460"/>
    <w:rsid w:val="08F0146B"/>
    <w:rsid w:val="08F01479"/>
    <w:rsid w:val="08F01488"/>
    <w:rsid w:val="08F0150E"/>
    <w:rsid w:val="08F0155D"/>
    <w:rsid w:val="08F015B2"/>
    <w:rsid w:val="08F015DE"/>
    <w:rsid w:val="08F0160B"/>
    <w:rsid w:val="08F0163F"/>
    <w:rsid w:val="08F01710"/>
    <w:rsid w:val="08F0171D"/>
    <w:rsid w:val="08F01748"/>
    <w:rsid w:val="08F0176B"/>
    <w:rsid w:val="08F017C6"/>
    <w:rsid w:val="08F017DF"/>
    <w:rsid w:val="08F01926"/>
    <w:rsid w:val="08F01983"/>
    <w:rsid w:val="08F019AA"/>
    <w:rsid w:val="08F019C1"/>
    <w:rsid w:val="08F01A54"/>
    <w:rsid w:val="08F01A90"/>
    <w:rsid w:val="08F01AEB"/>
    <w:rsid w:val="08F01AF7"/>
    <w:rsid w:val="08F01B01"/>
    <w:rsid w:val="08F01B8C"/>
    <w:rsid w:val="08F01B97"/>
    <w:rsid w:val="08F01C4E"/>
    <w:rsid w:val="08F01D0C"/>
    <w:rsid w:val="08F01D1C"/>
    <w:rsid w:val="08F01E19"/>
    <w:rsid w:val="08F01E1C"/>
    <w:rsid w:val="08F01E95"/>
    <w:rsid w:val="08F01F7A"/>
    <w:rsid w:val="08F0203E"/>
    <w:rsid w:val="08F02054"/>
    <w:rsid w:val="08F02067"/>
    <w:rsid w:val="08F020A4"/>
    <w:rsid w:val="08F020D1"/>
    <w:rsid w:val="08F020F9"/>
    <w:rsid w:val="08F0217F"/>
    <w:rsid w:val="08F02286"/>
    <w:rsid w:val="08F022A8"/>
    <w:rsid w:val="08F022E0"/>
    <w:rsid w:val="08F022FE"/>
    <w:rsid w:val="08F0233D"/>
    <w:rsid w:val="08F023AA"/>
    <w:rsid w:val="08F02412"/>
    <w:rsid w:val="08F02446"/>
    <w:rsid w:val="08F02727"/>
    <w:rsid w:val="08F027DA"/>
    <w:rsid w:val="08F028E9"/>
    <w:rsid w:val="08F02926"/>
    <w:rsid w:val="08F02AC6"/>
    <w:rsid w:val="08F02AD6"/>
    <w:rsid w:val="08F02C37"/>
    <w:rsid w:val="08F02CEB"/>
    <w:rsid w:val="08F02E2B"/>
    <w:rsid w:val="08F02F0A"/>
    <w:rsid w:val="08F02F8D"/>
    <w:rsid w:val="08F03041"/>
    <w:rsid w:val="08F03050"/>
    <w:rsid w:val="08F03060"/>
    <w:rsid w:val="08F030E2"/>
    <w:rsid w:val="08F030F6"/>
    <w:rsid w:val="08F03100"/>
    <w:rsid w:val="08F031DE"/>
    <w:rsid w:val="08F03227"/>
    <w:rsid w:val="08F0324C"/>
    <w:rsid w:val="08F0326B"/>
    <w:rsid w:val="08F03272"/>
    <w:rsid w:val="08F032E7"/>
    <w:rsid w:val="08F032EF"/>
    <w:rsid w:val="08F03398"/>
    <w:rsid w:val="08F033B9"/>
    <w:rsid w:val="08F033D4"/>
    <w:rsid w:val="08F034B7"/>
    <w:rsid w:val="08F0358B"/>
    <w:rsid w:val="08F036A5"/>
    <w:rsid w:val="08F0377E"/>
    <w:rsid w:val="08F037CC"/>
    <w:rsid w:val="08F03839"/>
    <w:rsid w:val="08F03908"/>
    <w:rsid w:val="08F039CD"/>
    <w:rsid w:val="08F03A1C"/>
    <w:rsid w:val="08F03B42"/>
    <w:rsid w:val="08F03C31"/>
    <w:rsid w:val="08F03C44"/>
    <w:rsid w:val="08F03CF7"/>
    <w:rsid w:val="08F03E55"/>
    <w:rsid w:val="08F03E80"/>
    <w:rsid w:val="08F03EC1"/>
    <w:rsid w:val="08F04111"/>
    <w:rsid w:val="08F041C2"/>
    <w:rsid w:val="08F04298"/>
    <w:rsid w:val="08F042FD"/>
    <w:rsid w:val="08F04300"/>
    <w:rsid w:val="08F04374"/>
    <w:rsid w:val="08F043FB"/>
    <w:rsid w:val="08F044CF"/>
    <w:rsid w:val="08F04584"/>
    <w:rsid w:val="08F0470D"/>
    <w:rsid w:val="08F04952"/>
    <w:rsid w:val="08F04989"/>
    <w:rsid w:val="08F04ACD"/>
    <w:rsid w:val="08F04B05"/>
    <w:rsid w:val="08F04B99"/>
    <w:rsid w:val="08F04BBA"/>
    <w:rsid w:val="08F04BBC"/>
    <w:rsid w:val="08F04D6A"/>
    <w:rsid w:val="08F04F25"/>
    <w:rsid w:val="08F04FB7"/>
    <w:rsid w:val="08F0505C"/>
    <w:rsid w:val="08F05070"/>
    <w:rsid w:val="08F050F9"/>
    <w:rsid w:val="08F05120"/>
    <w:rsid w:val="08F0513B"/>
    <w:rsid w:val="08F051EF"/>
    <w:rsid w:val="08F05241"/>
    <w:rsid w:val="08F05252"/>
    <w:rsid w:val="08F053B6"/>
    <w:rsid w:val="08F053EE"/>
    <w:rsid w:val="08F05401"/>
    <w:rsid w:val="08F0548C"/>
    <w:rsid w:val="08F054D5"/>
    <w:rsid w:val="08F054F3"/>
    <w:rsid w:val="08F0559F"/>
    <w:rsid w:val="08F055D3"/>
    <w:rsid w:val="08F0561E"/>
    <w:rsid w:val="08F0569D"/>
    <w:rsid w:val="08F05727"/>
    <w:rsid w:val="08F057FA"/>
    <w:rsid w:val="08F0586F"/>
    <w:rsid w:val="08F0592F"/>
    <w:rsid w:val="08F05952"/>
    <w:rsid w:val="08F0598F"/>
    <w:rsid w:val="08F05A93"/>
    <w:rsid w:val="08F05AC7"/>
    <w:rsid w:val="08F05AD4"/>
    <w:rsid w:val="08F05B2A"/>
    <w:rsid w:val="08F05B68"/>
    <w:rsid w:val="08F05BAC"/>
    <w:rsid w:val="08F05C09"/>
    <w:rsid w:val="08F05C30"/>
    <w:rsid w:val="08F05C62"/>
    <w:rsid w:val="08F05CB0"/>
    <w:rsid w:val="08F05CBB"/>
    <w:rsid w:val="08F05D48"/>
    <w:rsid w:val="08F05D71"/>
    <w:rsid w:val="08F05EA9"/>
    <w:rsid w:val="08F05EE9"/>
    <w:rsid w:val="08F05EF8"/>
    <w:rsid w:val="08F05F2A"/>
    <w:rsid w:val="08F06030"/>
    <w:rsid w:val="08F06118"/>
    <w:rsid w:val="08F061FE"/>
    <w:rsid w:val="08F063DE"/>
    <w:rsid w:val="08F0645A"/>
    <w:rsid w:val="08F064E3"/>
    <w:rsid w:val="08F06562"/>
    <w:rsid w:val="08F06596"/>
    <w:rsid w:val="08F065A4"/>
    <w:rsid w:val="08F06649"/>
    <w:rsid w:val="08F0667A"/>
    <w:rsid w:val="08F066BC"/>
    <w:rsid w:val="08F0674E"/>
    <w:rsid w:val="08F0677B"/>
    <w:rsid w:val="08F067F8"/>
    <w:rsid w:val="08F0681D"/>
    <w:rsid w:val="08F068C9"/>
    <w:rsid w:val="08F069D0"/>
    <w:rsid w:val="08F06ADA"/>
    <w:rsid w:val="08F06B14"/>
    <w:rsid w:val="08F06B29"/>
    <w:rsid w:val="08F06C1D"/>
    <w:rsid w:val="08F06E17"/>
    <w:rsid w:val="08F06E4A"/>
    <w:rsid w:val="08F06E84"/>
    <w:rsid w:val="08F06EA4"/>
    <w:rsid w:val="08F06F12"/>
    <w:rsid w:val="08F06F5C"/>
    <w:rsid w:val="08F07072"/>
    <w:rsid w:val="08F070A3"/>
    <w:rsid w:val="08F070CD"/>
    <w:rsid w:val="08F070DF"/>
    <w:rsid w:val="08F070F7"/>
    <w:rsid w:val="08F0733A"/>
    <w:rsid w:val="08F07439"/>
    <w:rsid w:val="08F07471"/>
    <w:rsid w:val="08F074C0"/>
    <w:rsid w:val="08F074CB"/>
    <w:rsid w:val="08F0761D"/>
    <w:rsid w:val="08F07695"/>
    <w:rsid w:val="08F076E0"/>
    <w:rsid w:val="08F0775A"/>
    <w:rsid w:val="08F0776F"/>
    <w:rsid w:val="08F077D7"/>
    <w:rsid w:val="08F0784E"/>
    <w:rsid w:val="08F078AE"/>
    <w:rsid w:val="08F078C1"/>
    <w:rsid w:val="08F078FF"/>
    <w:rsid w:val="08F0799A"/>
    <w:rsid w:val="08F079B7"/>
    <w:rsid w:val="08F07AD4"/>
    <w:rsid w:val="08F07B8B"/>
    <w:rsid w:val="08F07C53"/>
    <w:rsid w:val="08F07C6C"/>
    <w:rsid w:val="08F07CCB"/>
    <w:rsid w:val="08F07CE4"/>
    <w:rsid w:val="08F07D75"/>
    <w:rsid w:val="08F07D85"/>
    <w:rsid w:val="08F07DD0"/>
    <w:rsid w:val="08F07E2C"/>
    <w:rsid w:val="08F07E49"/>
    <w:rsid w:val="08F07F06"/>
    <w:rsid w:val="08F07F79"/>
    <w:rsid w:val="08F07FA5"/>
    <w:rsid w:val="08F10022"/>
    <w:rsid w:val="08F1005E"/>
    <w:rsid w:val="08F10110"/>
    <w:rsid w:val="08F10138"/>
    <w:rsid w:val="08F1014D"/>
    <w:rsid w:val="08F10193"/>
    <w:rsid w:val="08F10215"/>
    <w:rsid w:val="08F10249"/>
    <w:rsid w:val="08F10280"/>
    <w:rsid w:val="08F1035F"/>
    <w:rsid w:val="08F10364"/>
    <w:rsid w:val="08F104B9"/>
    <w:rsid w:val="08F1051A"/>
    <w:rsid w:val="08F1052B"/>
    <w:rsid w:val="08F10532"/>
    <w:rsid w:val="08F10587"/>
    <w:rsid w:val="08F10588"/>
    <w:rsid w:val="08F105BC"/>
    <w:rsid w:val="08F105D2"/>
    <w:rsid w:val="08F105DB"/>
    <w:rsid w:val="08F10668"/>
    <w:rsid w:val="08F106F8"/>
    <w:rsid w:val="08F10721"/>
    <w:rsid w:val="08F10770"/>
    <w:rsid w:val="08F1078C"/>
    <w:rsid w:val="08F1084E"/>
    <w:rsid w:val="08F108C0"/>
    <w:rsid w:val="08F1092D"/>
    <w:rsid w:val="08F10A89"/>
    <w:rsid w:val="08F10B3A"/>
    <w:rsid w:val="08F10B71"/>
    <w:rsid w:val="08F10BE1"/>
    <w:rsid w:val="08F10D10"/>
    <w:rsid w:val="08F10D8E"/>
    <w:rsid w:val="08F10DD3"/>
    <w:rsid w:val="08F10E04"/>
    <w:rsid w:val="08F10FAB"/>
    <w:rsid w:val="08F10FB4"/>
    <w:rsid w:val="08F110EE"/>
    <w:rsid w:val="08F11133"/>
    <w:rsid w:val="08F112BF"/>
    <w:rsid w:val="08F112C2"/>
    <w:rsid w:val="08F11319"/>
    <w:rsid w:val="08F113F4"/>
    <w:rsid w:val="08F1159B"/>
    <w:rsid w:val="08F1160A"/>
    <w:rsid w:val="08F11653"/>
    <w:rsid w:val="08F116EB"/>
    <w:rsid w:val="08F1176C"/>
    <w:rsid w:val="08F11811"/>
    <w:rsid w:val="08F1189A"/>
    <w:rsid w:val="08F118AF"/>
    <w:rsid w:val="08F11905"/>
    <w:rsid w:val="08F119EE"/>
    <w:rsid w:val="08F11A35"/>
    <w:rsid w:val="08F11A7A"/>
    <w:rsid w:val="08F11AA1"/>
    <w:rsid w:val="08F11AE5"/>
    <w:rsid w:val="08F11B4D"/>
    <w:rsid w:val="08F11B60"/>
    <w:rsid w:val="08F11C8D"/>
    <w:rsid w:val="08F11D50"/>
    <w:rsid w:val="08F11F41"/>
    <w:rsid w:val="08F11F50"/>
    <w:rsid w:val="08F11F5F"/>
    <w:rsid w:val="08F11FFF"/>
    <w:rsid w:val="08F1201B"/>
    <w:rsid w:val="08F12041"/>
    <w:rsid w:val="08F121E1"/>
    <w:rsid w:val="08F122EE"/>
    <w:rsid w:val="08F12301"/>
    <w:rsid w:val="08F123E9"/>
    <w:rsid w:val="08F12493"/>
    <w:rsid w:val="08F124E5"/>
    <w:rsid w:val="08F1254A"/>
    <w:rsid w:val="08F125A4"/>
    <w:rsid w:val="08F125D3"/>
    <w:rsid w:val="08F1264C"/>
    <w:rsid w:val="08F12652"/>
    <w:rsid w:val="08F126C0"/>
    <w:rsid w:val="08F12785"/>
    <w:rsid w:val="08F12817"/>
    <w:rsid w:val="08F128C2"/>
    <w:rsid w:val="08F128D3"/>
    <w:rsid w:val="08F128E7"/>
    <w:rsid w:val="08F1291D"/>
    <w:rsid w:val="08F12933"/>
    <w:rsid w:val="08F129D4"/>
    <w:rsid w:val="08F129ED"/>
    <w:rsid w:val="08F12B17"/>
    <w:rsid w:val="08F12B44"/>
    <w:rsid w:val="08F12BEE"/>
    <w:rsid w:val="08F12C19"/>
    <w:rsid w:val="08F12C5F"/>
    <w:rsid w:val="08F12C80"/>
    <w:rsid w:val="08F12CAF"/>
    <w:rsid w:val="08F12CD6"/>
    <w:rsid w:val="08F12CDB"/>
    <w:rsid w:val="08F12D36"/>
    <w:rsid w:val="08F12D66"/>
    <w:rsid w:val="08F12DC0"/>
    <w:rsid w:val="08F12DDC"/>
    <w:rsid w:val="08F12E25"/>
    <w:rsid w:val="08F12E8E"/>
    <w:rsid w:val="08F12ED3"/>
    <w:rsid w:val="08F12ED9"/>
    <w:rsid w:val="08F12F92"/>
    <w:rsid w:val="08F12FBC"/>
    <w:rsid w:val="08F12FEC"/>
    <w:rsid w:val="08F1306B"/>
    <w:rsid w:val="08F131BC"/>
    <w:rsid w:val="08F131E4"/>
    <w:rsid w:val="08F13265"/>
    <w:rsid w:val="08F13271"/>
    <w:rsid w:val="08F132BE"/>
    <w:rsid w:val="08F132F2"/>
    <w:rsid w:val="08F13317"/>
    <w:rsid w:val="08F13349"/>
    <w:rsid w:val="08F1337F"/>
    <w:rsid w:val="08F13393"/>
    <w:rsid w:val="08F13452"/>
    <w:rsid w:val="08F134CC"/>
    <w:rsid w:val="08F134EB"/>
    <w:rsid w:val="08F13543"/>
    <w:rsid w:val="08F136AF"/>
    <w:rsid w:val="08F13882"/>
    <w:rsid w:val="08F138B7"/>
    <w:rsid w:val="08F13A81"/>
    <w:rsid w:val="08F13ABC"/>
    <w:rsid w:val="08F13B12"/>
    <w:rsid w:val="08F13B1E"/>
    <w:rsid w:val="08F13B3D"/>
    <w:rsid w:val="08F13CA4"/>
    <w:rsid w:val="08F13CA8"/>
    <w:rsid w:val="08F13CCC"/>
    <w:rsid w:val="08F13CD1"/>
    <w:rsid w:val="08F13CFB"/>
    <w:rsid w:val="08F13D8F"/>
    <w:rsid w:val="08F13DA6"/>
    <w:rsid w:val="08F13E1C"/>
    <w:rsid w:val="08F13EC6"/>
    <w:rsid w:val="08F13EED"/>
    <w:rsid w:val="08F13F5A"/>
    <w:rsid w:val="08F13F8D"/>
    <w:rsid w:val="08F14136"/>
    <w:rsid w:val="08F1417B"/>
    <w:rsid w:val="08F14194"/>
    <w:rsid w:val="08F1421B"/>
    <w:rsid w:val="08F1427C"/>
    <w:rsid w:val="08F142C9"/>
    <w:rsid w:val="08F143F4"/>
    <w:rsid w:val="08F144DB"/>
    <w:rsid w:val="08F14550"/>
    <w:rsid w:val="08F14568"/>
    <w:rsid w:val="08F145B7"/>
    <w:rsid w:val="08F1465B"/>
    <w:rsid w:val="08F14771"/>
    <w:rsid w:val="08F147B5"/>
    <w:rsid w:val="08F14889"/>
    <w:rsid w:val="08F1488B"/>
    <w:rsid w:val="08F148B9"/>
    <w:rsid w:val="08F1493E"/>
    <w:rsid w:val="08F1497E"/>
    <w:rsid w:val="08F149B0"/>
    <w:rsid w:val="08F149EC"/>
    <w:rsid w:val="08F149F4"/>
    <w:rsid w:val="08F14A79"/>
    <w:rsid w:val="08F14A94"/>
    <w:rsid w:val="08F14AB8"/>
    <w:rsid w:val="08F14AD1"/>
    <w:rsid w:val="08F14AEE"/>
    <w:rsid w:val="08F14B0A"/>
    <w:rsid w:val="08F14B81"/>
    <w:rsid w:val="08F14BD3"/>
    <w:rsid w:val="08F14C5C"/>
    <w:rsid w:val="08F14C9B"/>
    <w:rsid w:val="08F14CC1"/>
    <w:rsid w:val="08F14CC8"/>
    <w:rsid w:val="08F14D87"/>
    <w:rsid w:val="08F14D88"/>
    <w:rsid w:val="08F14DE6"/>
    <w:rsid w:val="08F14E34"/>
    <w:rsid w:val="08F14F09"/>
    <w:rsid w:val="08F14F1C"/>
    <w:rsid w:val="08F14F9B"/>
    <w:rsid w:val="08F14FCA"/>
    <w:rsid w:val="08F14FCE"/>
    <w:rsid w:val="08F14FF5"/>
    <w:rsid w:val="08F1505D"/>
    <w:rsid w:val="08F15122"/>
    <w:rsid w:val="08F15155"/>
    <w:rsid w:val="08F1516F"/>
    <w:rsid w:val="08F15185"/>
    <w:rsid w:val="08F151A1"/>
    <w:rsid w:val="08F151F4"/>
    <w:rsid w:val="08F15274"/>
    <w:rsid w:val="08F153C5"/>
    <w:rsid w:val="08F153D0"/>
    <w:rsid w:val="08F154C5"/>
    <w:rsid w:val="08F15530"/>
    <w:rsid w:val="08F15570"/>
    <w:rsid w:val="08F15588"/>
    <w:rsid w:val="08F15660"/>
    <w:rsid w:val="08F156AB"/>
    <w:rsid w:val="08F156B7"/>
    <w:rsid w:val="08F1580D"/>
    <w:rsid w:val="08F15837"/>
    <w:rsid w:val="08F15873"/>
    <w:rsid w:val="08F15A29"/>
    <w:rsid w:val="08F15B4B"/>
    <w:rsid w:val="08F15C2C"/>
    <w:rsid w:val="08F15C5B"/>
    <w:rsid w:val="08F15CF5"/>
    <w:rsid w:val="08F15D2E"/>
    <w:rsid w:val="08F15D69"/>
    <w:rsid w:val="08F15F1E"/>
    <w:rsid w:val="08F15F22"/>
    <w:rsid w:val="08F15F60"/>
    <w:rsid w:val="08F15F99"/>
    <w:rsid w:val="08F15FCF"/>
    <w:rsid w:val="08F16186"/>
    <w:rsid w:val="08F161C1"/>
    <w:rsid w:val="08F161FC"/>
    <w:rsid w:val="08F162CD"/>
    <w:rsid w:val="08F162F1"/>
    <w:rsid w:val="08F16302"/>
    <w:rsid w:val="08F16314"/>
    <w:rsid w:val="08F16317"/>
    <w:rsid w:val="08F16349"/>
    <w:rsid w:val="08F16393"/>
    <w:rsid w:val="08F1639A"/>
    <w:rsid w:val="08F163B3"/>
    <w:rsid w:val="08F16442"/>
    <w:rsid w:val="08F164A6"/>
    <w:rsid w:val="08F164B1"/>
    <w:rsid w:val="08F164E3"/>
    <w:rsid w:val="08F16514"/>
    <w:rsid w:val="08F165D9"/>
    <w:rsid w:val="08F16617"/>
    <w:rsid w:val="08F16621"/>
    <w:rsid w:val="08F1663D"/>
    <w:rsid w:val="08F16721"/>
    <w:rsid w:val="08F167ED"/>
    <w:rsid w:val="08F169ED"/>
    <w:rsid w:val="08F16A7C"/>
    <w:rsid w:val="08F16AEA"/>
    <w:rsid w:val="08F16B62"/>
    <w:rsid w:val="08F16B82"/>
    <w:rsid w:val="08F16B8D"/>
    <w:rsid w:val="08F16C44"/>
    <w:rsid w:val="08F16CC1"/>
    <w:rsid w:val="08F16CD1"/>
    <w:rsid w:val="08F16E05"/>
    <w:rsid w:val="08F16E32"/>
    <w:rsid w:val="08F16E3D"/>
    <w:rsid w:val="08F16F3C"/>
    <w:rsid w:val="08F16F85"/>
    <w:rsid w:val="08F16F96"/>
    <w:rsid w:val="08F16FB9"/>
    <w:rsid w:val="08F17001"/>
    <w:rsid w:val="08F17269"/>
    <w:rsid w:val="08F172D0"/>
    <w:rsid w:val="08F172D8"/>
    <w:rsid w:val="08F172E4"/>
    <w:rsid w:val="08F173D5"/>
    <w:rsid w:val="08F173DB"/>
    <w:rsid w:val="08F17405"/>
    <w:rsid w:val="08F17411"/>
    <w:rsid w:val="08F1751E"/>
    <w:rsid w:val="08F1756F"/>
    <w:rsid w:val="08F175D4"/>
    <w:rsid w:val="08F17639"/>
    <w:rsid w:val="08F1763C"/>
    <w:rsid w:val="08F176F4"/>
    <w:rsid w:val="08F17712"/>
    <w:rsid w:val="08F1772D"/>
    <w:rsid w:val="08F17779"/>
    <w:rsid w:val="08F17842"/>
    <w:rsid w:val="08F178E9"/>
    <w:rsid w:val="08F1799E"/>
    <w:rsid w:val="08F179DF"/>
    <w:rsid w:val="08F17A55"/>
    <w:rsid w:val="08F17A7E"/>
    <w:rsid w:val="08F17AF8"/>
    <w:rsid w:val="08F17B86"/>
    <w:rsid w:val="08F17C2E"/>
    <w:rsid w:val="08F17CA3"/>
    <w:rsid w:val="08F17CED"/>
    <w:rsid w:val="08F17D1C"/>
    <w:rsid w:val="08F17D3E"/>
    <w:rsid w:val="08F17D6C"/>
    <w:rsid w:val="08F17DCF"/>
    <w:rsid w:val="08F17E9D"/>
    <w:rsid w:val="08F17EBF"/>
    <w:rsid w:val="08F17F1F"/>
    <w:rsid w:val="08F17F48"/>
    <w:rsid w:val="08F17FA0"/>
    <w:rsid w:val="08F17FE5"/>
    <w:rsid w:val="08F20025"/>
    <w:rsid w:val="08F2002E"/>
    <w:rsid w:val="08F20049"/>
    <w:rsid w:val="08F202CB"/>
    <w:rsid w:val="08F20392"/>
    <w:rsid w:val="08F203BA"/>
    <w:rsid w:val="08F204B2"/>
    <w:rsid w:val="08F204B9"/>
    <w:rsid w:val="08F205D8"/>
    <w:rsid w:val="08F20622"/>
    <w:rsid w:val="08F206DB"/>
    <w:rsid w:val="08F20849"/>
    <w:rsid w:val="08F208E2"/>
    <w:rsid w:val="08F20979"/>
    <w:rsid w:val="08F209AF"/>
    <w:rsid w:val="08F20A4B"/>
    <w:rsid w:val="08F20A4C"/>
    <w:rsid w:val="08F20A74"/>
    <w:rsid w:val="08F20AEC"/>
    <w:rsid w:val="08F20B74"/>
    <w:rsid w:val="08F20D09"/>
    <w:rsid w:val="08F20D16"/>
    <w:rsid w:val="08F20DC5"/>
    <w:rsid w:val="08F20E47"/>
    <w:rsid w:val="08F20F2B"/>
    <w:rsid w:val="08F21020"/>
    <w:rsid w:val="08F21181"/>
    <w:rsid w:val="08F211AB"/>
    <w:rsid w:val="08F213C9"/>
    <w:rsid w:val="08F213F9"/>
    <w:rsid w:val="08F21742"/>
    <w:rsid w:val="08F21746"/>
    <w:rsid w:val="08F2178E"/>
    <w:rsid w:val="08F217C3"/>
    <w:rsid w:val="08F21861"/>
    <w:rsid w:val="08F2194C"/>
    <w:rsid w:val="08F2198C"/>
    <w:rsid w:val="08F2198D"/>
    <w:rsid w:val="08F219BC"/>
    <w:rsid w:val="08F21A1A"/>
    <w:rsid w:val="08F21B15"/>
    <w:rsid w:val="08F21C0F"/>
    <w:rsid w:val="08F21C1E"/>
    <w:rsid w:val="08F21C24"/>
    <w:rsid w:val="08F21E20"/>
    <w:rsid w:val="08F21F9B"/>
    <w:rsid w:val="08F22090"/>
    <w:rsid w:val="08F220CA"/>
    <w:rsid w:val="08F2212B"/>
    <w:rsid w:val="08F2220E"/>
    <w:rsid w:val="08F22232"/>
    <w:rsid w:val="08F22264"/>
    <w:rsid w:val="08F222CF"/>
    <w:rsid w:val="08F22403"/>
    <w:rsid w:val="08F22525"/>
    <w:rsid w:val="08F22711"/>
    <w:rsid w:val="08F227B8"/>
    <w:rsid w:val="08F227BF"/>
    <w:rsid w:val="08F2285D"/>
    <w:rsid w:val="08F22968"/>
    <w:rsid w:val="08F229FD"/>
    <w:rsid w:val="08F22A17"/>
    <w:rsid w:val="08F22B36"/>
    <w:rsid w:val="08F22B58"/>
    <w:rsid w:val="08F22BB3"/>
    <w:rsid w:val="08F22BDC"/>
    <w:rsid w:val="08F22C5B"/>
    <w:rsid w:val="08F22C97"/>
    <w:rsid w:val="08F22D3B"/>
    <w:rsid w:val="08F22E50"/>
    <w:rsid w:val="08F22E8B"/>
    <w:rsid w:val="08F22E8E"/>
    <w:rsid w:val="08F22F4F"/>
    <w:rsid w:val="08F22FD9"/>
    <w:rsid w:val="08F2305E"/>
    <w:rsid w:val="08F230A0"/>
    <w:rsid w:val="08F230AC"/>
    <w:rsid w:val="08F230D5"/>
    <w:rsid w:val="08F231FC"/>
    <w:rsid w:val="08F232A5"/>
    <w:rsid w:val="08F23397"/>
    <w:rsid w:val="08F234CF"/>
    <w:rsid w:val="08F2354A"/>
    <w:rsid w:val="08F23652"/>
    <w:rsid w:val="08F2366B"/>
    <w:rsid w:val="08F23671"/>
    <w:rsid w:val="08F23708"/>
    <w:rsid w:val="08F23778"/>
    <w:rsid w:val="08F237BD"/>
    <w:rsid w:val="08F23A05"/>
    <w:rsid w:val="08F23AE4"/>
    <w:rsid w:val="08F23B04"/>
    <w:rsid w:val="08F23B1D"/>
    <w:rsid w:val="08F23B9E"/>
    <w:rsid w:val="08F23C5B"/>
    <w:rsid w:val="08F23C7D"/>
    <w:rsid w:val="08F23D1A"/>
    <w:rsid w:val="08F23DFD"/>
    <w:rsid w:val="08F23E08"/>
    <w:rsid w:val="08F23E10"/>
    <w:rsid w:val="08F23E66"/>
    <w:rsid w:val="08F23EB4"/>
    <w:rsid w:val="08F23EF7"/>
    <w:rsid w:val="08F23F2F"/>
    <w:rsid w:val="08F23F3E"/>
    <w:rsid w:val="08F23F91"/>
    <w:rsid w:val="08F23FBF"/>
    <w:rsid w:val="08F23FC9"/>
    <w:rsid w:val="08F23FCE"/>
    <w:rsid w:val="08F240B4"/>
    <w:rsid w:val="08F240D4"/>
    <w:rsid w:val="08F24181"/>
    <w:rsid w:val="08F241DE"/>
    <w:rsid w:val="08F24224"/>
    <w:rsid w:val="08F243EA"/>
    <w:rsid w:val="08F24499"/>
    <w:rsid w:val="08F244A4"/>
    <w:rsid w:val="08F24566"/>
    <w:rsid w:val="08F24590"/>
    <w:rsid w:val="08F245AD"/>
    <w:rsid w:val="08F246DF"/>
    <w:rsid w:val="08F2477F"/>
    <w:rsid w:val="08F2481A"/>
    <w:rsid w:val="08F24845"/>
    <w:rsid w:val="08F24864"/>
    <w:rsid w:val="08F24865"/>
    <w:rsid w:val="08F248E3"/>
    <w:rsid w:val="08F24922"/>
    <w:rsid w:val="08F24953"/>
    <w:rsid w:val="08F2498E"/>
    <w:rsid w:val="08F24A1F"/>
    <w:rsid w:val="08F24A3F"/>
    <w:rsid w:val="08F24A50"/>
    <w:rsid w:val="08F24A80"/>
    <w:rsid w:val="08F24AB6"/>
    <w:rsid w:val="08F24B83"/>
    <w:rsid w:val="08F24C4A"/>
    <w:rsid w:val="08F24D49"/>
    <w:rsid w:val="08F24DBB"/>
    <w:rsid w:val="08F24E54"/>
    <w:rsid w:val="08F24FB8"/>
    <w:rsid w:val="08F2501A"/>
    <w:rsid w:val="08F25076"/>
    <w:rsid w:val="08F250AA"/>
    <w:rsid w:val="08F250CF"/>
    <w:rsid w:val="08F2510C"/>
    <w:rsid w:val="08F25117"/>
    <w:rsid w:val="08F2517A"/>
    <w:rsid w:val="08F2518F"/>
    <w:rsid w:val="08F25215"/>
    <w:rsid w:val="08F25289"/>
    <w:rsid w:val="08F252E8"/>
    <w:rsid w:val="08F25415"/>
    <w:rsid w:val="08F2555B"/>
    <w:rsid w:val="08F2557E"/>
    <w:rsid w:val="08F2579F"/>
    <w:rsid w:val="08F2583A"/>
    <w:rsid w:val="08F258AA"/>
    <w:rsid w:val="08F258DB"/>
    <w:rsid w:val="08F25922"/>
    <w:rsid w:val="08F25987"/>
    <w:rsid w:val="08F25A1E"/>
    <w:rsid w:val="08F25A51"/>
    <w:rsid w:val="08F25B61"/>
    <w:rsid w:val="08F25BFE"/>
    <w:rsid w:val="08F25C0D"/>
    <w:rsid w:val="08F25C64"/>
    <w:rsid w:val="08F25C84"/>
    <w:rsid w:val="08F25C89"/>
    <w:rsid w:val="08F25CF2"/>
    <w:rsid w:val="08F25CF7"/>
    <w:rsid w:val="08F25D8C"/>
    <w:rsid w:val="08F25D99"/>
    <w:rsid w:val="08F25DE0"/>
    <w:rsid w:val="08F25E36"/>
    <w:rsid w:val="08F25E81"/>
    <w:rsid w:val="08F25F88"/>
    <w:rsid w:val="08F26055"/>
    <w:rsid w:val="08F260AB"/>
    <w:rsid w:val="08F260F5"/>
    <w:rsid w:val="08F26104"/>
    <w:rsid w:val="08F2612A"/>
    <w:rsid w:val="08F2619F"/>
    <w:rsid w:val="08F2620A"/>
    <w:rsid w:val="08F26296"/>
    <w:rsid w:val="08F26299"/>
    <w:rsid w:val="08F262AC"/>
    <w:rsid w:val="08F262C7"/>
    <w:rsid w:val="08F26445"/>
    <w:rsid w:val="08F2644D"/>
    <w:rsid w:val="08F2649E"/>
    <w:rsid w:val="08F2650D"/>
    <w:rsid w:val="08F26555"/>
    <w:rsid w:val="08F265D6"/>
    <w:rsid w:val="08F265FC"/>
    <w:rsid w:val="08F26734"/>
    <w:rsid w:val="08F26752"/>
    <w:rsid w:val="08F2676E"/>
    <w:rsid w:val="08F26805"/>
    <w:rsid w:val="08F26855"/>
    <w:rsid w:val="08F268E7"/>
    <w:rsid w:val="08F268E9"/>
    <w:rsid w:val="08F26916"/>
    <w:rsid w:val="08F26987"/>
    <w:rsid w:val="08F269AC"/>
    <w:rsid w:val="08F269B6"/>
    <w:rsid w:val="08F269B8"/>
    <w:rsid w:val="08F269D0"/>
    <w:rsid w:val="08F26A9F"/>
    <w:rsid w:val="08F26AB1"/>
    <w:rsid w:val="08F26B7D"/>
    <w:rsid w:val="08F26BB3"/>
    <w:rsid w:val="08F26C08"/>
    <w:rsid w:val="08F26C3F"/>
    <w:rsid w:val="08F26C57"/>
    <w:rsid w:val="08F26C62"/>
    <w:rsid w:val="08F26CB8"/>
    <w:rsid w:val="08F26D0D"/>
    <w:rsid w:val="08F26D9B"/>
    <w:rsid w:val="08F26DBF"/>
    <w:rsid w:val="08F26E66"/>
    <w:rsid w:val="08F26F7B"/>
    <w:rsid w:val="08F26FAB"/>
    <w:rsid w:val="08F26FFE"/>
    <w:rsid w:val="08F27086"/>
    <w:rsid w:val="08F270BF"/>
    <w:rsid w:val="08F27264"/>
    <w:rsid w:val="08F27316"/>
    <w:rsid w:val="08F27327"/>
    <w:rsid w:val="08F27398"/>
    <w:rsid w:val="08F273AE"/>
    <w:rsid w:val="08F273E9"/>
    <w:rsid w:val="08F27455"/>
    <w:rsid w:val="08F274BC"/>
    <w:rsid w:val="08F27558"/>
    <w:rsid w:val="08F275A1"/>
    <w:rsid w:val="08F27600"/>
    <w:rsid w:val="08F27684"/>
    <w:rsid w:val="08F27798"/>
    <w:rsid w:val="08F2779D"/>
    <w:rsid w:val="08F277BB"/>
    <w:rsid w:val="08F27837"/>
    <w:rsid w:val="08F2784D"/>
    <w:rsid w:val="08F27891"/>
    <w:rsid w:val="08F2789B"/>
    <w:rsid w:val="08F27940"/>
    <w:rsid w:val="08F279E8"/>
    <w:rsid w:val="08F279F5"/>
    <w:rsid w:val="08F27A3C"/>
    <w:rsid w:val="08F27BC0"/>
    <w:rsid w:val="08F27D34"/>
    <w:rsid w:val="08F27E33"/>
    <w:rsid w:val="08F27E9D"/>
    <w:rsid w:val="08F27F51"/>
    <w:rsid w:val="08F30014"/>
    <w:rsid w:val="08F30022"/>
    <w:rsid w:val="08F3007A"/>
    <w:rsid w:val="08F300FC"/>
    <w:rsid w:val="08F3013F"/>
    <w:rsid w:val="08F30235"/>
    <w:rsid w:val="08F30465"/>
    <w:rsid w:val="08F30484"/>
    <w:rsid w:val="08F3049F"/>
    <w:rsid w:val="08F304BE"/>
    <w:rsid w:val="08F304D2"/>
    <w:rsid w:val="08F30521"/>
    <w:rsid w:val="08F305A7"/>
    <w:rsid w:val="08F305CC"/>
    <w:rsid w:val="08F30678"/>
    <w:rsid w:val="08F30795"/>
    <w:rsid w:val="08F3082A"/>
    <w:rsid w:val="08F30840"/>
    <w:rsid w:val="08F30884"/>
    <w:rsid w:val="08F308D8"/>
    <w:rsid w:val="08F30B41"/>
    <w:rsid w:val="08F30B77"/>
    <w:rsid w:val="08F30B96"/>
    <w:rsid w:val="08F30BBB"/>
    <w:rsid w:val="08F30BD8"/>
    <w:rsid w:val="08F30BF3"/>
    <w:rsid w:val="08F30D92"/>
    <w:rsid w:val="08F30E1A"/>
    <w:rsid w:val="08F30E44"/>
    <w:rsid w:val="08F30E49"/>
    <w:rsid w:val="08F30EBF"/>
    <w:rsid w:val="08F30EE5"/>
    <w:rsid w:val="08F30EE7"/>
    <w:rsid w:val="08F30F20"/>
    <w:rsid w:val="08F30F33"/>
    <w:rsid w:val="08F30FAE"/>
    <w:rsid w:val="08F310B5"/>
    <w:rsid w:val="08F3114F"/>
    <w:rsid w:val="08F31255"/>
    <w:rsid w:val="08F31315"/>
    <w:rsid w:val="08F31351"/>
    <w:rsid w:val="08F31384"/>
    <w:rsid w:val="08F313E0"/>
    <w:rsid w:val="08F31430"/>
    <w:rsid w:val="08F31451"/>
    <w:rsid w:val="08F31452"/>
    <w:rsid w:val="08F314CB"/>
    <w:rsid w:val="08F31574"/>
    <w:rsid w:val="08F315E3"/>
    <w:rsid w:val="08F31607"/>
    <w:rsid w:val="08F31709"/>
    <w:rsid w:val="08F3173B"/>
    <w:rsid w:val="08F317A9"/>
    <w:rsid w:val="08F3180C"/>
    <w:rsid w:val="08F3182F"/>
    <w:rsid w:val="08F31877"/>
    <w:rsid w:val="08F31889"/>
    <w:rsid w:val="08F31900"/>
    <w:rsid w:val="08F3199F"/>
    <w:rsid w:val="08F31AC0"/>
    <w:rsid w:val="08F31AE8"/>
    <w:rsid w:val="08F31B03"/>
    <w:rsid w:val="08F31BDD"/>
    <w:rsid w:val="08F31C21"/>
    <w:rsid w:val="08F31C82"/>
    <w:rsid w:val="08F31CA9"/>
    <w:rsid w:val="08F31CB4"/>
    <w:rsid w:val="08F31CD7"/>
    <w:rsid w:val="08F31E0E"/>
    <w:rsid w:val="08F31EE7"/>
    <w:rsid w:val="08F31F21"/>
    <w:rsid w:val="08F31F9B"/>
    <w:rsid w:val="08F3200F"/>
    <w:rsid w:val="08F3208B"/>
    <w:rsid w:val="08F320A8"/>
    <w:rsid w:val="08F320FA"/>
    <w:rsid w:val="08F32102"/>
    <w:rsid w:val="08F32182"/>
    <w:rsid w:val="08F32225"/>
    <w:rsid w:val="08F3222F"/>
    <w:rsid w:val="08F32232"/>
    <w:rsid w:val="08F322A8"/>
    <w:rsid w:val="08F32352"/>
    <w:rsid w:val="08F323E0"/>
    <w:rsid w:val="08F32436"/>
    <w:rsid w:val="08F325C2"/>
    <w:rsid w:val="08F32723"/>
    <w:rsid w:val="08F3278B"/>
    <w:rsid w:val="08F327E2"/>
    <w:rsid w:val="08F3280C"/>
    <w:rsid w:val="08F3284D"/>
    <w:rsid w:val="08F328FD"/>
    <w:rsid w:val="08F3296B"/>
    <w:rsid w:val="08F32A4B"/>
    <w:rsid w:val="08F32AFF"/>
    <w:rsid w:val="08F32C72"/>
    <w:rsid w:val="08F32C89"/>
    <w:rsid w:val="08F32CB1"/>
    <w:rsid w:val="08F32D22"/>
    <w:rsid w:val="08F32D9A"/>
    <w:rsid w:val="08F32E83"/>
    <w:rsid w:val="08F32EC4"/>
    <w:rsid w:val="08F32EEE"/>
    <w:rsid w:val="08F32F58"/>
    <w:rsid w:val="08F32FC4"/>
    <w:rsid w:val="08F33017"/>
    <w:rsid w:val="08F330AF"/>
    <w:rsid w:val="08F3312F"/>
    <w:rsid w:val="08F33205"/>
    <w:rsid w:val="08F3325C"/>
    <w:rsid w:val="08F3325E"/>
    <w:rsid w:val="08F33329"/>
    <w:rsid w:val="08F3333C"/>
    <w:rsid w:val="08F33351"/>
    <w:rsid w:val="08F333DD"/>
    <w:rsid w:val="08F334E4"/>
    <w:rsid w:val="08F33506"/>
    <w:rsid w:val="08F33566"/>
    <w:rsid w:val="08F3359F"/>
    <w:rsid w:val="08F336EC"/>
    <w:rsid w:val="08F336F5"/>
    <w:rsid w:val="08F33767"/>
    <w:rsid w:val="08F338D9"/>
    <w:rsid w:val="08F33974"/>
    <w:rsid w:val="08F339C5"/>
    <w:rsid w:val="08F339CD"/>
    <w:rsid w:val="08F33A95"/>
    <w:rsid w:val="08F33C1F"/>
    <w:rsid w:val="08F33C33"/>
    <w:rsid w:val="08F33CA7"/>
    <w:rsid w:val="08F33D65"/>
    <w:rsid w:val="08F33D68"/>
    <w:rsid w:val="08F33E46"/>
    <w:rsid w:val="08F33E82"/>
    <w:rsid w:val="08F33EA8"/>
    <w:rsid w:val="08F33EE8"/>
    <w:rsid w:val="08F33F8D"/>
    <w:rsid w:val="08F33FE3"/>
    <w:rsid w:val="08F3400E"/>
    <w:rsid w:val="08F34014"/>
    <w:rsid w:val="08F34024"/>
    <w:rsid w:val="08F34051"/>
    <w:rsid w:val="08F3411F"/>
    <w:rsid w:val="08F34183"/>
    <w:rsid w:val="08F341CD"/>
    <w:rsid w:val="08F341F9"/>
    <w:rsid w:val="08F34245"/>
    <w:rsid w:val="08F34246"/>
    <w:rsid w:val="08F342BE"/>
    <w:rsid w:val="08F3433E"/>
    <w:rsid w:val="08F3435B"/>
    <w:rsid w:val="08F343AC"/>
    <w:rsid w:val="08F34559"/>
    <w:rsid w:val="08F34570"/>
    <w:rsid w:val="08F345D0"/>
    <w:rsid w:val="08F345E4"/>
    <w:rsid w:val="08F34601"/>
    <w:rsid w:val="08F34638"/>
    <w:rsid w:val="08F347C8"/>
    <w:rsid w:val="08F3482B"/>
    <w:rsid w:val="08F3487C"/>
    <w:rsid w:val="08F349AD"/>
    <w:rsid w:val="08F34A6D"/>
    <w:rsid w:val="08F34AC6"/>
    <w:rsid w:val="08F34B57"/>
    <w:rsid w:val="08F34B8F"/>
    <w:rsid w:val="08F34BF2"/>
    <w:rsid w:val="08F34C08"/>
    <w:rsid w:val="08F34C3C"/>
    <w:rsid w:val="08F34C56"/>
    <w:rsid w:val="08F34D6A"/>
    <w:rsid w:val="08F34DF1"/>
    <w:rsid w:val="08F34FA3"/>
    <w:rsid w:val="08F34FB3"/>
    <w:rsid w:val="08F34FCE"/>
    <w:rsid w:val="08F3501E"/>
    <w:rsid w:val="08F3509E"/>
    <w:rsid w:val="08F350B0"/>
    <w:rsid w:val="08F35120"/>
    <w:rsid w:val="08F35166"/>
    <w:rsid w:val="08F3517A"/>
    <w:rsid w:val="08F351FC"/>
    <w:rsid w:val="08F35224"/>
    <w:rsid w:val="08F35367"/>
    <w:rsid w:val="08F353D1"/>
    <w:rsid w:val="08F3542D"/>
    <w:rsid w:val="08F3554D"/>
    <w:rsid w:val="08F3563A"/>
    <w:rsid w:val="08F3566C"/>
    <w:rsid w:val="08F35673"/>
    <w:rsid w:val="08F35806"/>
    <w:rsid w:val="08F35814"/>
    <w:rsid w:val="08F35848"/>
    <w:rsid w:val="08F35867"/>
    <w:rsid w:val="08F358AE"/>
    <w:rsid w:val="08F358BF"/>
    <w:rsid w:val="08F3592B"/>
    <w:rsid w:val="08F359E1"/>
    <w:rsid w:val="08F35ACF"/>
    <w:rsid w:val="08F35B32"/>
    <w:rsid w:val="08F35B42"/>
    <w:rsid w:val="08F35BCF"/>
    <w:rsid w:val="08F35CAE"/>
    <w:rsid w:val="08F35DD1"/>
    <w:rsid w:val="08F35E30"/>
    <w:rsid w:val="08F360E3"/>
    <w:rsid w:val="08F36149"/>
    <w:rsid w:val="08F3620A"/>
    <w:rsid w:val="08F36279"/>
    <w:rsid w:val="08F36321"/>
    <w:rsid w:val="08F363E3"/>
    <w:rsid w:val="08F3648E"/>
    <w:rsid w:val="08F364F0"/>
    <w:rsid w:val="08F36581"/>
    <w:rsid w:val="08F36597"/>
    <w:rsid w:val="08F365EE"/>
    <w:rsid w:val="08F3660F"/>
    <w:rsid w:val="08F366A9"/>
    <w:rsid w:val="08F36716"/>
    <w:rsid w:val="08F367A7"/>
    <w:rsid w:val="08F367F6"/>
    <w:rsid w:val="08F367F9"/>
    <w:rsid w:val="08F3690F"/>
    <w:rsid w:val="08F36939"/>
    <w:rsid w:val="08F36951"/>
    <w:rsid w:val="08F3695E"/>
    <w:rsid w:val="08F36A3C"/>
    <w:rsid w:val="08F36AD9"/>
    <w:rsid w:val="08F36AF5"/>
    <w:rsid w:val="08F36B5A"/>
    <w:rsid w:val="08F36BC6"/>
    <w:rsid w:val="08F36BFC"/>
    <w:rsid w:val="08F36C22"/>
    <w:rsid w:val="08F36D2F"/>
    <w:rsid w:val="08F36E50"/>
    <w:rsid w:val="08F36EE9"/>
    <w:rsid w:val="08F36FAD"/>
    <w:rsid w:val="08F36FB0"/>
    <w:rsid w:val="08F36FC8"/>
    <w:rsid w:val="08F370A6"/>
    <w:rsid w:val="08F3718D"/>
    <w:rsid w:val="08F37191"/>
    <w:rsid w:val="08F37305"/>
    <w:rsid w:val="08F373D4"/>
    <w:rsid w:val="08F37448"/>
    <w:rsid w:val="08F3744B"/>
    <w:rsid w:val="08F374B4"/>
    <w:rsid w:val="08F374C4"/>
    <w:rsid w:val="08F374DD"/>
    <w:rsid w:val="08F37590"/>
    <w:rsid w:val="08F375B1"/>
    <w:rsid w:val="08F3761B"/>
    <w:rsid w:val="08F376F7"/>
    <w:rsid w:val="08F37715"/>
    <w:rsid w:val="08F37730"/>
    <w:rsid w:val="08F377F2"/>
    <w:rsid w:val="08F378DB"/>
    <w:rsid w:val="08F3794A"/>
    <w:rsid w:val="08F37959"/>
    <w:rsid w:val="08F3797B"/>
    <w:rsid w:val="08F379E6"/>
    <w:rsid w:val="08F379EB"/>
    <w:rsid w:val="08F379FE"/>
    <w:rsid w:val="08F37A55"/>
    <w:rsid w:val="08F37AA8"/>
    <w:rsid w:val="08F37AD3"/>
    <w:rsid w:val="08F37B3D"/>
    <w:rsid w:val="08F37B66"/>
    <w:rsid w:val="08F37B97"/>
    <w:rsid w:val="08F37BAE"/>
    <w:rsid w:val="08F37BB6"/>
    <w:rsid w:val="08F37BED"/>
    <w:rsid w:val="08F37BF1"/>
    <w:rsid w:val="08F37C03"/>
    <w:rsid w:val="08F37DAC"/>
    <w:rsid w:val="08F37EAA"/>
    <w:rsid w:val="08F37F22"/>
    <w:rsid w:val="08F37F66"/>
    <w:rsid w:val="08F37FDB"/>
    <w:rsid w:val="08F37FEF"/>
    <w:rsid w:val="08F40032"/>
    <w:rsid w:val="08F400BB"/>
    <w:rsid w:val="08F4012D"/>
    <w:rsid w:val="08F40168"/>
    <w:rsid w:val="08F40169"/>
    <w:rsid w:val="08F401E7"/>
    <w:rsid w:val="08F40222"/>
    <w:rsid w:val="08F40237"/>
    <w:rsid w:val="08F40284"/>
    <w:rsid w:val="08F40331"/>
    <w:rsid w:val="08F40371"/>
    <w:rsid w:val="08F403AA"/>
    <w:rsid w:val="08F4054B"/>
    <w:rsid w:val="08F405C0"/>
    <w:rsid w:val="08F40631"/>
    <w:rsid w:val="08F4063B"/>
    <w:rsid w:val="08F40774"/>
    <w:rsid w:val="08F407CF"/>
    <w:rsid w:val="08F4084B"/>
    <w:rsid w:val="08F409CB"/>
    <w:rsid w:val="08F40AA6"/>
    <w:rsid w:val="08F40B14"/>
    <w:rsid w:val="08F40B3E"/>
    <w:rsid w:val="08F40B53"/>
    <w:rsid w:val="08F40BE7"/>
    <w:rsid w:val="08F40C42"/>
    <w:rsid w:val="08F40CA3"/>
    <w:rsid w:val="08F40CB3"/>
    <w:rsid w:val="08F40D0A"/>
    <w:rsid w:val="08F40D4F"/>
    <w:rsid w:val="08F40D59"/>
    <w:rsid w:val="08F40E8F"/>
    <w:rsid w:val="08F40EC7"/>
    <w:rsid w:val="08F40F57"/>
    <w:rsid w:val="08F41025"/>
    <w:rsid w:val="08F4106C"/>
    <w:rsid w:val="08F4114C"/>
    <w:rsid w:val="08F41168"/>
    <w:rsid w:val="08F411E5"/>
    <w:rsid w:val="08F413CB"/>
    <w:rsid w:val="08F413F7"/>
    <w:rsid w:val="08F4142E"/>
    <w:rsid w:val="08F414A1"/>
    <w:rsid w:val="08F4153E"/>
    <w:rsid w:val="08F415A4"/>
    <w:rsid w:val="08F415E7"/>
    <w:rsid w:val="08F41638"/>
    <w:rsid w:val="08F416ED"/>
    <w:rsid w:val="08F41734"/>
    <w:rsid w:val="08F41769"/>
    <w:rsid w:val="08F417A0"/>
    <w:rsid w:val="08F417BA"/>
    <w:rsid w:val="08F41911"/>
    <w:rsid w:val="08F4197D"/>
    <w:rsid w:val="08F41A99"/>
    <w:rsid w:val="08F41AA6"/>
    <w:rsid w:val="08F41ADE"/>
    <w:rsid w:val="08F41BF4"/>
    <w:rsid w:val="08F41C21"/>
    <w:rsid w:val="08F41CA5"/>
    <w:rsid w:val="08F41CD1"/>
    <w:rsid w:val="08F41CE7"/>
    <w:rsid w:val="08F41D88"/>
    <w:rsid w:val="08F41DA6"/>
    <w:rsid w:val="08F41DD6"/>
    <w:rsid w:val="08F41FD1"/>
    <w:rsid w:val="08F421A1"/>
    <w:rsid w:val="08F422AF"/>
    <w:rsid w:val="08F422BF"/>
    <w:rsid w:val="08F422F2"/>
    <w:rsid w:val="08F424E6"/>
    <w:rsid w:val="08F42509"/>
    <w:rsid w:val="08F4250D"/>
    <w:rsid w:val="08F42551"/>
    <w:rsid w:val="08F425D4"/>
    <w:rsid w:val="08F42608"/>
    <w:rsid w:val="08F426D1"/>
    <w:rsid w:val="08F426E3"/>
    <w:rsid w:val="08F4279A"/>
    <w:rsid w:val="08F4282A"/>
    <w:rsid w:val="08F4292C"/>
    <w:rsid w:val="08F429AD"/>
    <w:rsid w:val="08F429D8"/>
    <w:rsid w:val="08F429F6"/>
    <w:rsid w:val="08F42A29"/>
    <w:rsid w:val="08F42B07"/>
    <w:rsid w:val="08F42B20"/>
    <w:rsid w:val="08F42C16"/>
    <w:rsid w:val="08F42C49"/>
    <w:rsid w:val="08F42C78"/>
    <w:rsid w:val="08F42D00"/>
    <w:rsid w:val="08F42D02"/>
    <w:rsid w:val="08F42D87"/>
    <w:rsid w:val="08F42DC1"/>
    <w:rsid w:val="08F42E01"/>
    <w:rsid w:val="08F42E3D"/>
    <w:rsid w:val="08F42E48"/>
    <w:rsid w:val="08F42EB3"/>
    <w:rsid w:val="08F42F20"/>
    <w:rsid w:val="08F42F93"/>
    <w:rsid w:val="08F43010"/>
    <w:rsid w:val="08F43079"/>
    <w:rsid w:val="08F4314D"/>
    <w:rsid w:val="08F43165"/>
    <w:rsid w:val="08F43174"/>
    <w:rsid w:val="08F4317F"/>
    <w:rsid w:val="08F431EF"/>
    <w:rsid w:val="08F43308"/>
    <w:rsid w:val="08F43353"/>
    <w:rsid w:val="08F4341A"/>
    <w:rsid w:val="08F434B8"/>
    <w:rsid w:val="08F4355D"/>
    <w:rsid w:val="08F4357E"/>
    <w:rsid w:val="08F4358F"/>
    <w:rsid w:val="08F435C7"/>
    <w:rsid w:val="08F43676"/>
    <w:rsid w:val="08F43730"/>
    <w:rsid w:val="08F4383E"/>
    <w:rsid w:val="08F438CB"/>
    <w:rsid w:val="08F43939"/>
    <w:rsid w:val="08F43960"/>
    <w:rsid w:val="08F439DD"/>
    <w:rsid w:val="08F43A00"/>
    <w:rsid w:val="08F43A48"/>
    <w:rsid w:val="08F43BA3"/>
    <w:rsid w:val="08F43BF4"/>
    <w:rsid w:val="08F43C06"/>
    <w:rsid w:val="08F43D6B"/>
    <w:rsid w:val="08F43DB9"/>
    <w:rsid w:val="08F43E02"/>
    <w:rsid w:val="08F43E15"/>
    <w:rsid w:val="08F43E8F"/>
    <w:rsid w:val="08F43EF4"/>
    <w:rsid w:val="08F43EF5"/>
    <w:rsid w:val="08F440A5"/>
    <w:rsid w:val="08F440BF"/>
    <w:rsid w:val="08F44124"/>
    <w:rsid w:val="08F441A8"/>
    <w:rsid w:val="08F4425E"/>
    <w:rsid w:val="08F44296"/>
    <w:rsid w:val="08F4429A"/>
    <w:rsid w:val="08F442A1"/>
    <w:rsid w:val="08F4433D"/>
    <w:rsid w:val="08F443F9"/>
    <w:rsid w:val="08F44499"/>
    <w:rsid w:val="08F444E0"/>
    <w:rsid w:val="08F44553"/>
    <w:rsid w:val="08F445B2"/>
    <w:rsid w:val="08F445F2"/>
    <w:rsid w:val="08F4460A"/>
    <w:rsid w:val="08F44611"/>
    <w:rsid w:val="08F44639"/>
    <w:rsid w:val="08F449C6"/>
    <w:rsid w:val="08F44A81"/>
    <w:rsid w:val="08F44B67"/>
    <w:rsid w:val="08F44BAE"/>
    <w:rsid w:val="08F44BCB"/>
    <w:rsid w:val="08F44C3A"/>
    <w:rsid w:val="08F44C56"/>
    <w:rsid w:val="08F44CD0"/>
    <w:rsid w:val="08F44CDB"/>
    <w:rsid w:val="08F44D60"/>
    <w:rsid w:val="08F44E5B"/>
    <w:rsid w:val="08F44ECA"/>
    <w:rsid w:val="08F44FE1"/>
    <w:rsid w:val="08F4501A"/>
    <w:rsid w:val="08F45052"/>
    <w:rsid w:val="08F4505E"/>
    <w:rsid w:val="08F45086"/>
    <w:rsid w:val="08F4509B"/>
    <w:rsid w:val="08F450B5"/>
    <w:rsid w:val="08F450C6"/>
    <w:rsid w:val="08F45132"/>
    <w:rsid w:val="08F45202"/>
    <w:rsid w:val="08F45205"/>
    <w:rsid w:val="08F45373"/>
    <w:rsid w:val="08F453DD"/>
    <w:rsid w:val="08F453FA"/>
    <w:rsid w:val="08F454C7"/>
    <w:rsid w:val="08F45540"/>
    <w:rsid w:val="08F45569"/>
    <w:rsid w:val="08F456CD"/>
    <w:rsid w:val="08F45718"/>
    <w:rsid w:val="08F4571F"/>
    <w:rsid w:val="08F45777"/>
    <w:rsid w:val="08F4577E"/>
    <w:rsid w:val="08F45815"/>
    <w:rsid w:val="08F45819"/>
    <w:rsid w:val="08F458AA"/>
    <w:rsid w:val="08F458E0"/>
    <w:rsid w:val="08F458EC"/>
    <w:rsid w:val="08F4591F"/>
    <w:rsid w:val="08F45931"/>
    <w:rsid w:val="08F4597E"/>
    <w:rsid w:val="08F459A4"/>
    <w:rsid w:val="08F459D0"/>
    <w:rsid w:val="08F45A8D"/>
    <w:rsid w:val="08F45ADF"/>
    <w:rsid w:val="08F45B8C"/>
    <w:rsid w:val="08F45BAB"/>
    <w:rsid w:val="08F45C89"/>
    <w:rsid w:val="08F45CA8"/>
    <w:rsid w:val="08F45CB0"/>
    <w:rsid w:val="08F45D01"/>
    <w:rsid w:val="08F45DBC"/>
    <w:rsid w:val="08F45E10"/>
    <w:rsid w:val="08F45E42"/>
    <w:rsid w:val="08F45ECE"/>
    <w:rsid w:val="08F45F30"/>
    <w:rsid w:val="08F45F61"/>
    <w:rsid w:val="08F45F65"/>
    <w:rsid w:val="08F45FBB"/>
    <w:rsid w:val="08F4607A"/>
    <w:rsid w:val="08F46123"/>
    <w:rsid w:val="08F461FB"/>
    <w:rsid w:val="08F46230"/>
    <w:rsid w:val="08F4627B"/>
    <w:rsid w:val="08F46286"/>
    <w:rsid w:val="08F46336"/>
    <w:rsid w:val="08F4637E"/>
    <w:rsid w:val="08F46413"/>
    <w:rsid w:val="08F464A9"/>
    <w:rsid w:val="08F465B2"/>
    <w:rsid w:val="08F4663C"/>
    <w:rsid w:val="08F46645"/>
    <w:rsid w:val="08F466BA"/>
    <w:rsid w:val="08F4670D"/>
    <w:rsid w:val="08F46765"/>
    <w:rsid w:val="08F46788"/>
    <w:rsid w:val="08F46832"/>
    <w:rsid w:val="08F46843"/>
    <w:rsid w:val="08F46844"/>
    <w:rsid w:val="08F46851"/>
    <w:rsid w:val="08F469C5"/>
    <w:rsid w:val="08F469D3"/>
    <w:rsid w:val="08F46A44"/>
    <w:rsid w:val="08F46AAE"/>
    <w:rsid w:val="08F46B03"/>
    <w:rsid w:val="08F46B0A"/>
    <w:rsid w:val="08F46BD7"/>
    <w:rsid w:val="08F46CEA"/>
    <w:rsid w:val="08F46E2F"/>
    <w:rsid w:val="08F46E54"/>
    <w:rsid w:val="08F46E7D"/>
    <w:rsid w:val="08F46EE7"/>
    <w:rsid w:val="08F47059"/>
    <w:rsid w:val="08F47071"/>
    <w:rsid w:val="08F4710A"/>
    <w:rsid w:val="08F47215"/>
    <w:rsid w:val="08F4728F"/>
    <w:rsid w:val="08F47295"/>
    <w:rsid w:val="08F472A7"/>
    <w:rsid w:val="08F4730B"/>
    <w:rsid w:val="08F473CF"/>
    <w:rsid w:val="08F47408"/>
    <w:rsid w:val="08F47439"/>
    <w:rsid w:val="08F47890"/>
    <w:rsid w:val="08F478B8"/>
    <w:rsid w:val="08F47959"/>
    <w:rsid w:val="08F47AAF"/>
    <w:rsid w:val="08F47C91"/>
    <w:rsid w:val="08F47D38"/>
    <w:rsid w:val="08F47D9B"/>
    <w:rsid w:val="08F47E3D"/>
    <w:rsid w:val="08F47E99"/>
    <w:rsid w:val="08F47ED3"/>
    <w:rsid w:val="08F47F14"/>
    <w:rsid w:val="08F47F64"/>
    <w:rsid w:val="08F50034"/>
    <w:rsid w:val="08F50044"/>
    <w:rsid w:val="08F5018A"/>
    <w:rsid w:val="08F50196"/>
    <w:rsid w:val="08F50211"/>
    <w:rsid w:val="08F50222"/>
    <w:rsid w:val="08F502B1"/>
    <w:rsid w:val="08F502C9"/>
    <w:rsid w:val="08F503E0"/>
    <w:rsid w:val="08F503EF"/>
    <w:rsid w:val="08F504C0"/>
    <w:rsid w:val="08F50565"/>
    <w:rsid w:val="08F505A9"/>
    <w:rsid w:val="08F50637"/>
    <w:rsid w:val="08F5064F"/>
    <w:rsid w:val="08F506A8"/>
    <w:rsid w:val="08F50745"/>
    <w:rsid w:val="08F5080F"/>
    <w:rsid w:val="08F508B2"/>
    <w:rsid w:val="08F5091E"/>
    <w:rsid w:val="08F5094C"/>
    <w:rsid w:val="08F50979"/>
    <w:rsid w:val="08F509F3"/>
    <w:rsid w:val="08F50A05"/>
    <w:rsid w:val="08F50B12"/>
    <w:rsid w:val="08F50B4F"/>
    <w:rsid w:val="08F50BE0"/>
    <w:rsid w:val="08F50CBA"/>
    <w:rsid w:val="08F50CEC"/>
    <w:rsid w:val="08F50D0D"/>
    <w:rsid w:val="08F50D41"/>
    <w:rsid w:val="08F50D8B"/>
    <w:rsid w:val="08F50DB3"/>
    <w:rsid w:val="08F50DD0"/>
    <w:rsid w:val="08F50DFA"/>
    <w:rsid w:val="08F50E08"/>
    <w:rsid w:val="08F50E45"/>
    <w:rsid w:val="08F50E48"/>
    <w:rsid w:val="08F50EBB"/>
    <w:rsid w:val="08F510E2"/>
    <w:rsid w:val="08F51241"/>
    <w:rsid w:val="08F512CB"/>
    <w:rsid w:val="08F51310"/>
    <w:rsid w:val="08F51362"/>
    <w:rsid w:val="08F51439"/>
    <w:rsid w:val="08F51442"/>
    <w:rsid w:val="08F51485"/>
    <w:rsid w:val="08F5152C"/>
    <w:rsid w:val="08F51588"/>
    <w:rsid w:val="08F5160D"/>
    <w:rsid w:val="08F5161F"/>
    <w:rsid w:val="08F517D7"/>
    <w:rsid w:val="08F5182C"/>
    <w:rsid w:val="08F51923"/>
    <w:rsid w:val="08F51979"/>
    <w:rsid w:val="08F51A0A"/>
    <w:rsid w:val="08F51A57"/>
    <w:rsid w:val="08F51A81"/>
    <w:rsid w:val="08F51B32"/>
    <w:rsid w:val="08F51B9C"/>
    <w:rsid w:val="08F51BD0"/>
    <w:rsid w:val="08F51CAB"/>
    <w:rsid w:val="08F51D2D"/>
    <w:rsid w:val="08F51D46"/>
    <w:rsid w:val="08F51D5E"/>
    <w:rsid w:val="08F51DB5"/>
    <w:rsid w:val="08F51DD9"/>
    <w:rsid w:val="08F51F14"/>
    <w:rsid w:val="08F51F4B"/>
    <w:rsid w:val="08F52168"/>
    <w:rsid w:val="08F5227E"/>
    <w:rsid w:val="08F522F7"/>
    <w:rsid w:val="08F5236F"/>
    <w:rsid w:val="08F523BE"/>
    <w:rsid w:val="08F523CF"/>
    <w:rsid w:val="08F52424"/>
    <w:rsid w:val="08F52436"/>
    <w:rsid w:val="08F524A6"/>
    <w:rsid w:val="08F524CB"/>
    <w:rsid w:val="08F5257E"/>
    <w:rsid w:val="08F526E6"/>
    <w:rsid w:val="08F5274F"/>
    <w:rsid w:val="08F527BE"/>
    <w:rsid w:val="08F527FF"/>
    <w:rsid w:val="08F52813"/>
    <w:rsid w:val="08F52830"/>
    <w:rsid w:val="08F529FA"/>
    <w:rsid w:val="08F52A0C"/>
    <w:rsid w:val="08F52B52"/>
    <w:rsid w:val="08F52B62"/>
    <w:rsid w:val="08F52BF4"/>
    <w:rsid w:val="08F52BF7"/>
    <w:rsid w:val="08F52C15"/>
    <w:rsid w:val="08F52C87"/>
    <w:rsid w:val="08F52C96"/>
    <w:rsid w:val="08F52CC9"/>
    <w:rsid w:val="08F52CE7"/>
    <w:rsid w:val="08F52D37"/>
    <w:rsid w:val="08F52DCD"/>
    <w:rsid w:val="08F52E8C"/>
    <w:rsid w:val="08F52EA7"/>
    <w:rsid w:val="08F52F63"/>
    <w:rsid w:val="08F53079"/>
    <w:rsid w:val="08F53139"/>
    <w:rsid w:val="08F53174"/>
    <w:rsid w:val="08F53293"/>
    <w:rsid w:val="08F53432"/>
    <w:rsid w:val="08F5343B"/>
    <w:rsid w:val="08F53540"/>
    <w:rsid w:val="08F5359D"/>
    <w:rsid w:val="08F535C9"/>
    <w:rsid w:val="08F53691"/>
    <w:rsid w:val="08F536E0"/>
    <w:rsid w:val="08F53723"/>
    <w:rsid w:val="08F53782"/>
    <w:rsid w:val="08F537EB"/>
    <w:rsid w:val="08F538D2"/>
    <w:rsid w:val="08F53907"/>
    <w:rsid w:val="08F53911"/>
    <w:rsid w:val="08F53912"/>
    <w:rsid w:val="08F53925"/>
    <w:rsid w:val="08F5399B"/>
    <w:rsid w:val="08F539F1"/>
    <w:rsid w:val="08F53AB7"/>
    <w:rsid w:val="08F53B24"/>
    <w:rsid w:val="08F53B2E"/>
    <w:rsid w:val="08F53C56"/>
    <w:rsid w:val="08F53CA0"/>
    <w:rsid w:val="08F53DF1"/>
    <w:rsid w:val="08F53E20"/>
    <w:rsid w:val="08F53E25"/>
    <w:rsid w:val="08F53ECD"/>
    <w:rsid w:val="08F53F42"/>
    <w:rsid w:val="08F53F49"/>
    <w:rsid w:val="08F53F98"/>
    <w:rsid w:val="08F53FF0"/>
    <w:rsid w:val="08F54024"/>
    <w:rsid w:val="08F54071"/>
    <w:rsid w:val="08F5413B"/>
    <w:rsid w:val="08F541A8"/>
    <w:rsid w:val="08F541F6"/>
    <w:rsid w:val="08F541FF"/>
    <w:rsid w:val="08F54217"/>
    <w:rsid w:val="08F54226"/>
    <w:rsid w:val="08F54284"/>
    <w:rsid w:val="08F542E4"/>
    <w:rsid w:val="08F54348"/>
    <w:rsid w:val="08F54377"/>
    <w:rsid w:val="08F543CE"/>
    <w:rsid w:val="08F543F2"/>
    <w:rsid w:val="08F54448"/>
    <w:rsid w:val="08F5466E"/>
    <w:rsid w:val="08F546E4"/>
    <w:rsid w:val="08F54783"/>
    <w:rsid w:val="08F54845"/>
    <w:rsid w:val="08F548F1"/>
    <w:rsid w:val="08F5495E"/>
    <w:rsid w:val="08F5497B"/>
    <w:rsid w:val="08F549AB"/>
    <w:rsid w:val="08F549B9"/>
    <w:rsid w:val="08F549E5"/>
    <w:rsid w:val="08F54A22"/>
    <w:rsid w:val="08F54AC8"/>
    <w:rsid w:val="08F54ADB"/>
    <w:rsid w:val="08F54BCD"/>
    <w:rsid w:val="08F54D11"/>
    <w:rsid w:val="08F54E6C"/>
    <w:rsid w:val="08F54EE6"/>
    <w:rsid w:val="08F54FCB"/>
    <w:rsid w:val="08F54FCD"/>
    <w:rsid w:val="08F54FD4"/>
    <w:rsid w:val="08F54FE8"/>
    <w:rsid w:val="08F55079"/>
    <w:rsid w:val="08F550C5"/>
    <w:rsid w:val="08F550E7"/>
    <w:rsid w:val="08F5515F"/>
    <w:rsid w:val="08F55183"/>
    <w:rsid w:val="08F55281"/>
    <w:rsid w:val="08F5529D"/>
    <w:rsid w:val="08F552A2"/>
    <w:rsid w:val="08F552C2"/>
    <w:rsid w:val="08F553C7"/>
    <w:rsid w:val="08F553D6"/>
    <w:rsid w:val="08F55417"/>
    <w:rsid w:val="08F55581"/>
    <w:rsid w:val="08F55621"/>
    <w:rsid w:val="08F55696"/>
    <w:rsid w:val="08F55783"/>
    <w:rsid w:val="08F55944"/>
    <w:rsid w:val="08F559E5"/>
    <w:rsid w:val="08F55C03"/>
    <w:rsid w:val="08F55C3B"/>
    <w:rsid w:val="08F55CCF"/>
    <w:rsid w:val="08F55DC9"/>
    <w:rsid w:val="08F55DED"/>
    <w:rsid w:val="08F55E1E"/>
    <w:rsid w:val="08F55E7A"/>
    <w:rsid w:val="08F55FD8"/>
    <w:rsid w:val="08F55FEC"/>
    <w:rsid w:val="08F56066"/>
    <w:rsid w:val="08F560C2"/>
    <w:rsid w:val="08F5610A"/>
    <w:rsid w:val="08F561F6"/>
    <w:rsid w:val="08F562A5"/>
    <w:rsid w:val="08F562F0"/>
    <w:rsid w:val="08F563B4"/>
    <w:rsid w:val="08F563CF"/>
    <w:rsid w:val="08F5650E"/>
    <w:rsid w:val="08F5660D"/>
    <w:rsid w:val="08F5660E"/>
    <w:rsid w:val="08F56727"/>
    <w:rsid w:val="08F567A4"/>
    <w:rsid w:val="08F567F3"/>
    <w:rsid w:val="08F56878"/>
    <w:rsid w:val="08F568E1"/>
    <w:rsid w:val="08F56A49"/>
    <w:rsid w:val="08F56A5E"/>
    <w:rsid w:val="08F56AE2"/>
    <w:rsid w:val="08F56B11"/>
    <w:rsid w:val="08F56B15"/>
    <w:rsid w:val="08F56C3C"/>
    <w:rsid w:val="08F56C8D"/>
    <w:rsid w:val="08F56D3A"/>
    <w:rsid w:val="08F56D88"/>
    <w:rsid w:val="08F56DFD"/>
    <w:rsid w:val="08F56E5A"/>
    <w:rsid w:val="08F56EF4"/>
    <w:rsid w:val="08F56FE3"/>
    <w:rsid w:val="08F57003"/>
    <w:rsid w:val="08F57009"/>
    <w:rsid w:val="08F570B0"/>
    <w:rsid w:val="08F570B6"/>
    <w:rsid w:val="08F5713D"/>
    <w:rsid w:val="08F5715E"/>
    <w:rsid w:val="08F57220"/>
    <w:rsid w:val="08F5723B"/>
    <w:rsid w:val="08F57250"/>
    <w:rsid w:val="08F5725A"/>
    <w:rsid w:val="08F57391"/>
    <w:rsid w:val="08F573F9"/>
    <w:rsid w:val="08F57416"/>
    <w:rsid w:val="08F5747B"/>
    <w:rsid w:val="08F57517"/>
    <w:rsid w:val="08F575F0"/>
    <w:rsid w:val="08F5760B"/>
    <w:rsid w:val="08F5764B"/>
    <w:rsid w:val="08F576F1"/>
    <w:rsid w:val="08F5775B"/>
    <w:rsid w:val="08F57A35"/>
    <w:rsid w:val="08F57AB4"/>
    <w:rsid w:val="08F57B5D"/>
    <w:rsid w:val="08F57C20"/>
    <w:rsid w:val="08F57C72"/>
    <w:rsid w:val="08F57D43"/>
    <w:rsid w:val="08F57E47"/>
    <w:rsid w:val="08F57E91"/>
    <w:rsid w:val="08F57F0F"/>
    <w:rsid w:val="08F600F1"/>
    <w:rsid w:val="08F60122"/>
    <w:rsid w:val="08F60166"/>
    <w:rsid w:val="08F6018F"/>
    <w:rsid w:val="08F601B7"/>
    <w:rsid w:val="08F601BF"/>
    <w:rsid w:val="08F601CD"/>
    <w:rsid w:val="08F601D2"/>
    <w:rsid w:val="08F60318"/>
    <w:rsid w:val="08F6037E"/>
    <w:rsid w:val="08F603A2"/>
    <w:rsid w:val="08F60411"/>
    <w:rsid w:val="08F604DB"/>
    <w:rsid w:val="08F6050B"/>
    <w:rsid w:val="08F6051E"/>
    <w:rsid w:val="08F605CA"/>
    <w:rsid w:val="08F605E9"/>
    <w:rsid w:val="08F60674"/>
    <w:rsid w:val="08F60699"/>
    <w:rsid w:val="08F606A0"/>
    <w:rsid w:val="08F60785"/>
    <w:rsid w:val="08F6079D"/>
    <w:rsid w:val="08F60823"/>
    <w:rsid w:val="08F6093C"/>
    <w:rsid w:val="08F60985"/>
    <w:rsid w:val="08F60987"/>
    <w:rsid w:val="08F609ED"/>
    <w:rsid w:val="08F60A56"/>
    <w:rsid w:val="08F60A85"/>
    <w:rsid w:val="08F60A8D"/>
    <w:rsid w:val="08F60B27"/>
    <w:rsid w:val="08F60B37"/>
    <w:rsid w:val="08F60BBC"/>
    <w:rsid w:val="08F60C70"/>
    <w:rsid w:val="08F60C72"/>
    <w:rsid w:val="08F60D76"/>
    <w:rsid w:val="08F60DCE"/>
    <w:rsid w:val="08F60ECD"/>
    <w:rsid w:val="08F60EE8"/>
    <w:rsid w:val="08F6102F"/>
    <w:rsid w:val="08F610CB"/>
    <w:rsid w:val="08F6117E"/>
    <w:rsid w:val="08F6120E"/>
    <w:rsid w:val="08F6128C"/>
    <w:rsid w:val="08F61321"/>
    <w:rsid w:val="08F613D4"/>
    <w:rsid w:val="08F6143D"/>
    <w:rsid w:val="08F616BA"/>
    <w:rsid w:val="08F61718"/>
    <w:rsid w:val="08F6183B"/>
    <w:rsid w:val="08F61917"/>
    <w:rsid w:val="08F619AA"/>
    <w:rsid w:val="08F61A72"/>
    <w:rsid w:val="08F61AAE"/>
    <w:rsid w:val="08F61B01"/>
    <w:rsid w:val="08F61B3D"/>
    <w:rsid w:val="08F61B58"/>
    <w:rsid w:val="08F61CF9"/>
    <w:rsid w:val="08F61D36"/>
    <w:rsid w:val="08F61E60"/>
    <w:rsid w:val="08F61ED0"/>
    <w:rsid w:val="08F61EE1"/>
    <w:rsid w:val="08F61F1A"/>
    <w:rsid w:val="08F61F5A"/>
    <w:rsid w:val="08F61FB6"/>
    <w:rsid w:val="08F61FFB"/>
    <w:rsid w:val="08F62097"/>
    <w:rsid w:val="08F6210A"/>
    <w:rsid w:val="08F6214B"/>
    <w:rsid w:val="08F621B0"/>
    <w:rsid w:val="08F622B7"/>
    <w:rsid w:val="08F622FB"/>
    <w:rsid w:val="08F6231F"/>
    <w:rsid w:val="08F62362"/>
    <w:rsid w:val="08F623CB"/>
    <w:rsid w:val="08F6240E"/>
    <w:rsid w:val="08F6243D"/>
    <w:rsid w:val="08F6245A"/>
    <w:rsid w:val="08F625EB"/>
    <w:rsid w:val="08F625FD"/>
    <w:rsid w:val="08F6260E"/>
    <w:rsid w:val="08F62693"/>
    <w:rsid w:val="08F626AD"/>
    <w:rsid w:val="08F62728"/>
    <w:rsid w:val="08F6272B"/>
    <w:rsid w:val="08F62762"/>
    <w:rsid w:val="08F62779"/>
    <w:rsid w:val="08F62821"/>
    <w:rsid w:val="08F6282E"/>
    <w:rsid w:val="08F628CB"/>
    <w:rsid w:val="08F628E8"/>
    <w:rsid w:val="08F62920"/>
    <w:rsid w:val="08F62AA9"/>
    <w:rsid w:val="08F62AD1"/>
    <w:rsid w:val="08F62AFA"/>
    <w:rsid w:val="08F62B8F"/>
    <w:rsid w:val="08F62CD6"/>
    <w:rsid w:val="08F62D66"/>
    <w:rsid w:val="08F62DEE"/>
    <w:rsid w:val="08F62E15"/>
    <w:rsid w:val="08F62E24"/>
    <w:rsid w:val="08F62E45"/>
    <w:rsid w:val="08F62EC4"/>
    <w:rsid w:val="08F62EDA"/>
    <w:rsid w:val="08F62F55"/>
    <w:rsid w:val="08F62FA0"/>
    <w:rsid w:val="08F62FC2"/>
    <w:rsid w:val="08F6301A"/>
    <w:rsid w:val="08F6307A"/>
    <w:rsid w:val="08F631C8"/>
    <w:rsid w:val="08F63260"/>
    <w:rsid w:val="08F63323"/>
    <w:rsid w:val="08F6336D"/>
    <w:rsid w:val="08F63404"/>
    <w:rsid w:val="08F63433"/>
    <w:rsid w:val="08F6346B"/>
    <w:rsid w:val="08F63524"/>
    <w:rsid w:val="08F635EB"/>
    <w:rsid w:val="08F635F7"/>
    <w:rsid w:val="08F63631"/>
    <w:rsid w:val="08F63677"/>
    <w:rsid w:val="08F63683"/>
    <w:rsid w:val="08F63831"/>
    <w:rsid w:val="08F63880"/>
    <w:rsid w:val="08F638F9"/>
    <w:rsid w:val="08F63957"/>
    <w:rsid w:val="08F63964"/>
    <w:rsid w:val="08F639F4"/>
    <w:rsid w:val="08F63A6C"/>
    <w:rsid w:val="08F63AF8"/>
    <w:rsid w:val="08F63BA5"/>
    <w:rsid w:val="08F63C6D"/>
    <w:rsid w:val="08F63C93"/>
    <w:rsid w:val="08F63CE3"/>
    <w:rsid w:val="08F63DD2"/>
    <w:rsid w:val="08F63E89"/>
    <w:rsid w:val="08F63F16"/>
    <w:rsid w:val="08F64041"/>
    <w:rsid w:val="08F64177"/>
    <w:rsid w:val="08F64234"/>
    <w:rsid w:val="08F642B7"/>
    <w:rsid w:val="08F64320"/>
    <w:rsid w:val="08F64366"/>
    <w:rsid w:val="08F643AE"/>
    <w:rsid w:val="08F643F9"/>
    <w:rsid w:val="08F64480"/>
    <w:rsid w:val="08F64481"/>
    <w:rsid w:val="08F6449C"/>
    <w:rsid w:val="08F644DC"/>
    <w:rsid w:val="08F64506"/>
    <w:rsid w:val="08F645B1"/>
    <w:rsid w:val="08F6466F"/>
    <w:rsid w:val="08F646AF"/>
    <w:rsid w:val="08F646DA"/>
    <w:rsid w:val="08F64730"/>
    <w:rsid w:val="08F64816"/>
    <w:rsid w:val="08F64837"/>
    <w:rsid w:val="08F648F6"/>
    <w:rsid w:val="08F649FE"/>
    <w:rsid w:val="08F64A28"/>
    <w:rsid w:val="08F64A31"/>
    <w:rsid w:val="08F64A8A"/>
    <w:rsid w:val="08F64B4D"/>
    <w:rsid w:val="08F64BF2"/>
    <w:rsid w:val="08F64C73"/>
    <w:rsid w:val="08F64CFE"/>
    <w:rsid w:val="08F64DA9"/>
    <w:rsid w:val="08F64E11"/>
    <w:rsid w:val="08F64E36"/>
    <w:rsid w:val="08F64E7F"/>
    <w:rsid w:val="08F64E86"/>
    <w:rsid w:val="08F64F42"/>
    <w:rsid w:val="08F64F56"/>
    <w:rsid w:val="08F650BE"/>
    <w:rsid w:val="08F650CC"/>
    <w:rsid w:val="08F65150"/>
    <w:rsid w:val="08F6516B"/>
    <w:rsid w:val="08F6518B"/>
    <w:rsid w:val="08F651B4"/>
    <w:rsid w:val="08F6524A"/>
    <w:rsid w:val="08F65293"/>
    <w:rsid w:val="08F652FA"/>
    <w:rsid w:val="08F653AB"/>
    <w:rsid w:val="08F653CB"/>
    <w:rsid w:val="08F65442"/>
    <w:rsid w:val="08F65480"/>
    <w:rsid w:val="08F654CE"/>
    <w:rsid w:val="08F654F2"/>
    <w:rsid w:val="08F65569"/>
    <w:rsid w:val="08F6558A"/>
    <w:rsid w:val="08F655DB"/>
    <w:rsid w:val="08F65601"/>
    <w:rsid w:val="08F6575D"/>
    <w:rsid w:val="08F65797"/>
    <w:rsid w:val="08F657E2"/>
    <w:rsid w:val="08F65859"/>
    <w:rsid w:val="08F65B63"/>
    <w:rsid w:val="08F65B64"/>
    <w:rsid w:val="08F65BE2"/>
    <w:rsid w:val="08F65C08"/>
    <w:rsid w:val="08F65C6B"/>
    <w:rsid w:val="08F65CBA"/>
    <w:rsid w:val="08F65CC3"/>
    <w:rsid w:val="08F65CED"/>
    <w:rsid w:val="08F65D03"/>
    <w:rsid w:val="08F65D0B"/>
    <w:rsid w:val="08F65E33"/>
    <w:rsid w:val="08F65F1C"/>
    <w:rsid w:val="08F65F73"/>
    <w:rsid w:val="08F65FC5"/>
    <w:rsid w:val="08F6606A"/>
    <w:rsid w:val="08F6609C"/>
    <w:rsid w:val="08F6614A"/>
    <w:rsid w:val="08F661D3"/>
    <w:rsid w:val="08F66226"/>
    <w:rsid w:val="08F662ED"/>
    <w:rsid w:val="08F663C5"/>
    <w:rsid w:val="08F6642A"/>
    <w:rsid w:val="08F664EF"/>
    <w:rsid w:val="08F66531"/>
    <w:rsid w:val="08F66569"/>
    <w:rsid w:val="08F66574"/>
    <w:rsid w:val="08F66590"/>
    <w:rsid w:val="08F665BD"/>
    <w:rsid w:val="08F6662A"/>
    <w:rsid w:val="08F666DF"/>
    <w:rsid w:val="08F66741"/>
    <w:rsid w:val="08F6675F"/>
    <w:rsid w:val="08F667D4"/>
    <w:rsid w:val="08F667D5"/>
    <w:rsid w:val="08F66866"/>
    <w:rsid w:val="08F668FA"/>
    <w:rsid w:val="08F66B85"/>
    <w:rsid w:val="08F66B96"/>
    <w:rsid w:val="08F66CD1"/>
    <w:rsid w:val="08F66D32"/>
    <w:rsid w:val="08F66D81"/>
    <w:rsid w:val="08F66EB1"/>
    <w:rsid w:val="08F66EB2"/>
    <w:rsid w:val="08F66F6F"/>
    <w:rsid w:val="08F66FA1"/>
    <w:rsid w:val="08F6706F"/>
    <w:rsid w:val="08F67086"/>
    <w:rsid w:val="08F671B6"/>
    <w:rsid w:val="08F671EB"/>
    <w:rsid w:val="08F67212"/>
    <w:rsid w:val="08F67216"/>
    <w:rsid w:val="08F672E2"/>
    <w:rsid w:val="08F67365"/>
    <w:rsid w:val="08F67382"/>
    <w:rsid w:val="08F67398"/>
    <w:rsid w:val="08F673CD"/>
    <w:rsid w:val="08F674EB"/>
    <w:rsid w:val="08F67570"/>
    <w:rsid w:val="08F675A4"/>
    <w:rsid w:val="08F675AC"/>
    <w:rsid w:val="08F6765F"/>
    <w:rsid w:val="08F6774D"/>
    <w:rsid w:val="08F677D2"/>
    <w:rsid w:val="08F6781E"/>
    <w:rsid w:val="08F67861"/>
    <w:rsid w:val="08F67883"/>
    <w:rsid w:val="08F678F6"/>
    <w:rsid w:val="08F678F7"/>
    <w:rsid w:val="08F679D1"/>
    <w:rsid w:val="08F67A3A"/>
    <w:rsid w:val="08F67A46"/>
    <w:rsid w:val="08F67A55"/>
    <w:rsid w:val="08F67A57"/>
    <w:rsid w:val="08F67A69"/>
    <w:rsid w:val="08F67A72"/>
    <w:rsid w:val="08F67B6E"/>
    <w:rsid w:val="08F67BA7"/>
    <w:rsid w:val="08F67C6F"/>
    <w:rsid w:val="08F67CA0"/>
    <w:rsid w:val="08F67CA9"/>
    <w:rsid w:val="08F67D2B"/>
    <w:rsid w:val="08F67E8E"/>
    <w:rsid w:val="08F67EC3"/>
    <w:rsid w:val="08F67F62"/>
    <w:rsid w:val="08F700E5"/>
    <w:rsid w:val="08F70135"/>
    <w:rsid w:val="08F702C2"/>
    <w:rsid w:val="08F702CF"/>
    <w:rsid w:val="08F70419"/>
    <w:rsid w:val="08F7041B"/>
    <w:rsid w:val="08F7043F"/>
    <w:rsid w:val="08F7046A"/>
    <w:rsid w:val="08F70492"/>
    <w:rsid w:val="08F704A4"/>
    <w:rsid w:val="08F704D1"/>
    <w:rsid w:val="08F705AC"/>
    <w:rsid w:val="08F705BF"/>
    <w:rsid w:val="08F70679"/>
    <w:rsid w:val="08F70693"/>
    <w:rsid w:val="08F706D7"/>
    <w:rsid w:val="08F708ED"/>
    <w:rsid w:val="08F7098A"/>
    <w:rsid w:val="08F709B9"/>
    <w:rsid w:val="08F70A79"/>
    <w:rsid w:val="08F70A9E"/>
    <w:rsid w:val="08F70ABC"/>
    <w:rsid w:val="08F70AFD"/>
    <w:rsid w:val="08F70B27"/>
    <w:rsid w:val="08F70B5A"/>
    <w:rsid w:val="08F70B8D"/>
    <w:rsid w:val="08F70C0A"/>
    <w:rsid w:val="08F70C9C"/>
    <w:rsid w:val="08F70DE3"/>
    <w:rsid w:val="08F70E5D"/>
    <w:rsid w:val="08F70F2A"/>
    <w:rsid w:val="08F70F59"/>
    <w:rsid w:val="08F70FCB"/>
    <w:rsid w:val="08F710D2"/>
    <w:rsid w:val="08F710DE"/>
    <w:rsid w:val="08F7122D"/>
    <w:rsid w:val="08F71293"/>
    <w:rsid w:val="08F71299"/>
    <w:rsid w:val="08F712C0"/>
    <w:rsid w:val="08F713C4"/>
    <w:rsid w:val="08F71533"/>
    <w:rsid w:val="08F71562"/>
    <w:rsid w:val="08F715F1"/>
    <w:rsid w:val="08F716A1"/>
    <w:rsid w:val="08F716AA"/>
    <w:rsid w:val="08F716EA"/>
    <w:rsid w:val="08F7173C"/>
    <w:rsid w:val="08F7178B"/>
    <w:rsid w:val="08F717D5"/>
    <w:rsid w:val="08F71800"/>
    <w:rsid w:val="08F7186A"/>
    <w:rsid w:val="08F71890"/>
    <w:rsid w:val="08F718D7"/>
    <w:rsid w:val="08F7191D"/>
    <w:rsid w:val="08F7195F"/>
    <w:rsid w:val="08F71966"/>
    <w:rsid w:val="08F71A4D"/>
    <w:rsid w:val="08F71B12"/>
    <w:rsid w:val="08F71B1C"/>
    <w:rsid w:val="08F71B29"/>
    <w:rsid w:val="08F71BC6"/>
    <w:rsid w:val="08F71C88"/>
    <w:rsid w:val="08F71D2F"/>
    <w:rsid w:val="08F71D8C"/>
    <w:rsid w:val="08F71DA7"/>
    <w:rsid w:val="08F71DF9"/>
    <w:rsid w:val="08F71EA5"/>
    <w:rsid w:val="08F72039"/>
    <w:rsid w:val="08F72086"/>
    <w:rsid w:val="08F720AB"/>
    <w:rsid w:val="08F720DD"/>
    <w:rsid w:val="08F720EF"/>
    <w:rsid w:val="08F72115"/>
    <w:rsid w:val="08F72173"/>
    <w:rsid w:val="08F7225C"/>
    <w:rsid w:val="08F7226A"/>
    <w:rsid w:val="08F723A5"/>
    <w:rsid w:val="08F723B1"/>
    <w:rsid w:val="08F723B7"/>
    <w:rsid w:val="08F723EE"/>
    <w:rsid w:val="08F7240E"/>
    <w:rsid w:val="08F72573"/>
    <w:rsid w:val="08F725A1"/>
    <w:rsid w:val="08F725DE"/>
    <w:rsid w:val="08F725E1"/>
    <w:rsid w:val="08F72639"/>
    <w:rsid w:val="08F726BA"/>
    <w:rsid w:val="08F7270E"/>
    <w:rsid w:val="08F72729"/>
    <w:rsid w:val="08F728F0"/>
    <w:rsid w:val="08F72954"/>
    <w:rsid w:val="08F72ACB"/>
    <w:rsid w:val="08F72B08"/>
    <w:rsid w:val="08F72C6D"/>
    <w:rsid w:val="08F72CA3"/>
    <w:rsid w:val="08F72CAC"/>
    <w:rsid w:val="08F72CD3"/>
    <w:rsid w:val="08F72DB1"/>
    <w:rsid w:val="08F72E47"/>
    <w:rsid w:val="08F72F4B"/>
    <w:rsid w:val="08F72F55"/>
    <w:rsid w:val="08F73215"/>
    <w:rsid w:val="08F73217"/>
    <w:rsid w:val="08F7327F"/>
    <w:rsid w:val="08F7328C"/>
    <w:rsid w:val="08F73290"/>
    <w:rsid w:val="08F732CF"/>
    <w:rsid w:val="08F7334B"/>
    <w:rsid w:val="08F733EB"/>
    <w:rsid w:val="08F73467"/>
    <w:rsid w:val="08F7348E"/>
    <w:rsid w:val="08F734C2"/>
    <w:rsid w:val="08F735AE"/>
    <w:rsid w:val="08F735DE"/>
    <w:rsid w:val="08F736CC"/>
    <w:rsid w:val="08F736DE"/>
    <w:rsid w:val="08F7374C"/>
    <w:rsid w:val="08F737BE"/>
    <w:rsid w:val="08F73831"/>
    <w:rsid w:val="08F7383D"/>
    <w:rsid w:val="08F7394D"/>
    <w:rsid w:val="08F73B03"/>
    <w:rsid w:val="08F73C0F"/>
    <w:rsid w:val="08F73CF0"/>
    <w:rsid w:val="08F73D5F"/>
    <w:rsid w:val="08F73D7A"/>
    <w:rsid w:val="08F73E2F"/>
    <w:rsid w:val="08F73E30"/>
    <w:rsid w:val="08F73E46"/>
    <w:rsid w:val="08F73E4B"/>
    <w:rsid w:val="08F73E56"/>
    <w:rsid w:val="08F73E8B"/>
    <w:rsid w:val="08F73E99"/>
    <w:rsid w:val="08F73EC6"/>
    <w:rsid w:val="08F73ECD"/>
    <w:rsid w:val="08F73FF0"/>
    <w:rsid w:val="08F73FF3"/>
    <w:rsid w:val="08F740A3"/>
    <w:rsid w:val="08F740E1"/>
    <w:rsid w:val="08F74104"/>
    <w:rsid w:val="08F7423E"/>
    <w:rsid w:val="08F74246"/>
    <w:rsid w:val="08F7424E"/>
    <w:rsid w:val="08F742B0"/>
    <w:rsid w:val="08F74357"/>
    <w:rsid w:val="08F7435C"/>
    <w:rsid w:val="08F7446B"/>
    <w:rsid w:val="08F74486"/>
    <w:rsid w:val="08F7459F"/>
    <w:rsid w:val="08F745AA"/>
    <w:rsid w:val="08F745C8"/>
    <w:rsid w:val="08F7460A"/>
    <w:rsid w:val="08F7474A"/>
    <w:rsid w:val="08F7475C"/>
    <w:rsid w:val="08F747B8"/>
    <w:rsid w:val="08F7485F"/>
    <w:rsid w:val="08F7487F"/>
    <w:rsid w:val="08F74906"/>
    <w:rsid w:val="08F74934"/>
    <w:rsid w:val="08F74963"/>
    <w:rsid w:val="08F749E0"/>
    <w:rsid w:val="08F74AA2"/>
    <w:rsid w:val="08F74AB9"/>
    <w:rsid w:val="08F74AC0"/>
    <w:rsid w:val="08F74ADD"/>
    <w:rsid w:val="08F74B24"/>
    <w:rsid w:val="08F74B7D"/>
    <w:rsid w:val="08F74B83"/>
    <w:rsid w:val="08F74C6C"/>
    <w:rsid w:val="08F74CC2"/>
    <w:rsid w:val="08F74CD1"/>
    <w:rsid w:val="08F74D0F"/>
    <w:rsid w:val="08F74DC6"/>
    <w:rsid w:val="08F74E19"/>
    <w:rsid w:val="08F74EC8"/>
    <w:rsid w:val="08F74F2A"/>
    <w:rsid w:val="08F7500D"/>
    <w:rsid w:val="08F75040"/>
    <w:rsid w:val="08F75080"/>
    <w:rsid w:val="08F75084"/>
    <w:rsid w:val="08F75143"/>
    <w:rsid w:val="08F7516E"/>
    <w:rsid w:val="08F75177"/>
    <w:rsid w:val="08F7519D"/>
    <w:rsid w:val="08F7521A"/>
    <w:rsid w:val="08F752B7"/>
    <w:rsid w:val="08F75313"/>
    <w:rsid w:val="08F75479"/>
    <w:rsid w:val="08F754CC"/>
    <w:rsid w:val="08F75596"/>
    <w:rsid w:val="08F7559E"/>
    <w:rsid w:val="08F755F4"/>
    <w:rsid w:val="08F75682"/>
    <w:rsid w:val="08F756EE"/>
    <w:rsid w:val="08F75729"/>
    <w:rsid w:val="08F75798"/>
    <w:rsid w:val="08F75829"/>
    <w:rsid w:val="08F75985"/>
    <w:rsid w:val="08F75A8F"/>
    <w:rsid w:val="08F75AA2"/>
    <w:rsid w:val="08F75AB2"/>
    <w:rsid w:val="08F75AC8"/>
    <w:rsid w:val="08F75C7A"/>
    <w:rsid w:val="08F75C80"/>
    <w:rsid w:val="08F75CDF"/>
    <w:rsid w:val="08F75D41"/>
    <w:rsid w:val="08F76066"/>
    <w:rsid w:val="08F761A1"/>
    <w:rsid w:val="08F761F1"/>
    <w:rsid w:val="08F76212"/>
    <w:rsid w:val="08F7623C"/>
    <w:rsid w:val="08F762B0"/>
    <w:rsid w:val="08F7630D"/>
    <w:rsid w:val="08F763C7"/>
    <w:rsid w:val="08F763E6"/>
    <w:rsid w:val="08F76474"/>
    <w:rsid w:val="08F76496"/>
    <w:rsid w:val="08F764BE"/>
    <w:rsid w:val="08F7651F"/>
    <w:rsid w:val="08F76552"/>
    <w:rsid w:val="08F765DB"/>
    <w:rsid w:val="08F76653"/>
    <w:rsid w:val="08F76695"/>
    <w:rsid w:val="08F76754"/>
    <w:rsid w:val="08F76775"/>
    <w:rsid w:val="08F76A6A"/>
    <w:rsid w:val="08F76AF3"/>
    <w:rsid w:val="08F76BFC"/>
    <w:rsid w:val="08F76C63"/>
    <w:rsid w:val="08F76C96"/>
    <w:rsid w:val="08F76CE9"/>
    <w:rsid w:val="08F76CF9"/>
    <w:rsid w:val="08F76E64"/>
    <w:rsid w:val="08F76EA7"/>
    <w:rsid w:val="08F77081"/>
    <w:rsid w:val="08F770B1"/>
    <w:rsid w:val="08F77116"/>
    <w:rsid w:val="08F77231"/>
    <w:rsid w:val="08F77245"/>
    <w:rsid w:val="08F77277"/>
    <w:rsid w:val="08F772ED"/>
    <w:rsid w:val="08F772FC"/>
    <w:rsid w:val="08F77326"/>
    <w:rsid w:val="08F77364"/>
    <w:rsid w:val="08F77438"/>
    <w:rsid w:val="08F774BA"/>
    <w:rsid w:val="08F7750B"/>
    <w:rsid w:val="08F77529"/>
    <w:rsid w:val="08F77663"/>
    <w:rsid w:val="08F77667"/>
    <w:rsid w:val="08F777B6"/>
    <w:rsid w:val="08F777F1"/>
    <w:rsid w:val="08F77844"/>
    <w:rsid w:val="08F77901"/>
    <w:rsid w:val="08F7790F"/>
    <w:rsid w:val="08F77923"/>
    <w:rsid w:val="08F7795F"/>
    <w:rsid w:val="08F77982"/>
    <w:rsid w:val="08F779CF"/>
    <w:rsid w:val="08F77A39"/>
    <w:rsid w:val="08F77A57"/>
    <w:rsid w:val="08F77A74"/>
    <w:rsid w:val="08F77B4B"/>
    <w:rsid w:val="08F77BCA"/>
    <w:rsid w:val="08F77C29"/>
    <w:rsid w:val="08F77CCC"/>
    <w:rsid w:val="08F77DD2"/>
    <w:rsid w:val="08F77E38"/>
    <w:rsid w:val="08F77E5A"/>
    <w:rsid w:val="08F8008B"/>
    <w:rsid w:val="08F800DA"/>
    <w:rsid w:val="08F80130"/>
    <w:rsid w:val="08F80258"/>
    <w:rsid w:val="08F8028C"/>
    <w:rsid w:val="08F8031A"/>
    <w:rsid w:val="08F80345"/>
    <w:rsid w:val="08F803B4"/>
    <w:rsid w:val="08F803BD"/>
    <w:rsid w:val="08F8042D"/>
    <w:rsid w:val="08F8045A"/>
    <w:rsid w:val="08F804DC"/>
    <w:rsid w:val="08F80514"/>
    <w:rsid w:val="08F8053D"/>
    <w:rsid w:val="08F8054D"/>
    <w:rsid w:val="08F805A6"/>
    <w:rsid w:val="08F805DB"/>
    <w:rsid w:val="08F80604"/>
    <w:rsid w:val="08F80652"/>
    <w:rsid w:val="08F80662"/>
    <w:rsid w:val="08F806E5"/>
    <w:rsid w:val="08F806FE"/>
    <w:rsid w:val="08F80763"/>
    <w:rsid w:val="08F80793"/>
    <w:rsid w:val="08F80910"/>
    <w:rsid w:val="08F809B2"/>
    <w:rsid w:val="08F80A85"/>
    <w:rsid w:val="08F80AA1"/>
    <w:rsid w:val="08F80ABA"/>
    <w:rsid w:val="08F80B7B"/>
    <w:rsid w:val="08F80C30"/>
    <w:rsid w:val="08F80C50"/>
    <w:rsid w:val="08F80D77"/>
    <w:rsid w:val="08F80D7D"/>
    <w:rsid w:val="08F80D87"/>
    <w:rsid w:val="08F80D98"/>
    <w:rsid w:val="08F80F56"/>
    <w:rsid w:val="08F80FB7"/>
    <w:rsid w:val="08F80FCD"/>
    <w:rsid w:val="08F80FE1"/>
    <w:rsid w:val="08F8102A"/>
    <w:rsid w:val="08F810A0"/>
    <w:rsid w:val="08F810B5"/>
    <w:rsid w:val="08F810BB"/>
    <w:rsid w:val="08F8122F"/>
    <w:rsid w:val="08F8126D"/>
    <w:rsid w:val="08F81350"/>
    <w:rsid w:val="08F81460"/>
    <w:rsid w:val="08F8148F"/>
    <w:rsid w:val="08F81495"/>
    <w:rsid w:val="08F8154F"/>
    <w:rsid w:val="08F815B8"/>
    <w:rsid w:val="08F8165C"/>
    <w:rsid w:val="08F8170B"/>
    <w:rsid w:val="08F81728"/>
    <w:rsid w:val="08F818DC"/>
    <w:rsid w:val="08F8192E"/>
    <w:rsid w:val="08F81940"/>
    <w:rsid w:val="08F81944"/>
    <w:rsid w:val="08F819B9"/>
    <w:rsid w:val="08F819EA"/>
    <w:rsid w:val="08F81A32"/>
    <w:rsid w:val="08F81A5F"/>
    <w:rsid w:val="08F81A9D"/>
    <w:rsid w:val="08F81BB8"/>
    <w:rsid w:val="08F81C31"/>
    <w:rsid w:val="08F81C4C"/>
    <w:rsid w:val="08F81C57"/>
    <w:rsid w:val="08F81C86"/>
    <w:rsid w:val="08F81C9B"/>
    <w:rsid w:val="08F81E01"/>
    <w:rsid w:val="08F81E4C"/>
    <w:rsid w:val="08F81E76"/>
    <w:rsid w:val="08F81F0E"/>
    <w:rsid w:val="08F81F70"/>
    <w:rsid w:val="08F81FC3"/>
    <w:rsid w:val="08F820B5"/>
    <w:rsid w:val="08F820F7"/>
    <w:rsid w:val="08F8212E"/>
    <w:rsid w:val="08F82155"/>
    <w:rsid w:val="08F821A8"/>
    <w:rsid w:val="08F821B3"/>
    <w:rsid w:val="08F82250"/>
    <w:rsid w:val="08F82345"/>
    <w:rsid w:val="08F8241F"/>
    <w:rsid w:val="08F82485"/>
    <w:rsid w:val="08F824B2"/>
    <w:rsid w:val="08F824C5"/>
    <w:rsid w:val="08F8252A"/>
    <w:rsid w:val="08F82596"/>
    <w:rsid w:val="08F8259B"/>
    <w:rsid w:val="08F8266D"/>
    <w:rsid w:val="08F82759"/>
    <w:rsid w:val="08F827BB"/>
    <w:rsid w:val="08F827F6"/>
    <w:rsid w:val="08F828C3"/>
    <w:rsid w:val="08F828C7"/>
    <w:rsid w:val="08F8299F"/>
    <w:rsid w:val="08F82A48"/>
    <w:rsid w:val="08F82ACB"/>
    <w:rsid w:val="08F82B74"/>
    <w:rsid w:val="08F82C54"/>
    <w:rsid w:val="08F82C56"/>
    <w:rsid w:val="08F82E8E"/>
    <w:rsid w:val="08F830A5"/>
    <w:rsid w:val="08F8311A"/>
    <w:rsid w:val="08F8311B"/>
    <w:rsid w:val="08F8313D"/>
    <w:rsid w:val="08F8318F"/>
    <w:rsid w:val="08F83193"/>
    <w:rsid w:val="08F831B1"/>
    <w:rsid w:val="08F83211"/>
    <w:rsid w:val="08F83217"/>
    <w:rsid w:val="08F8322C"/>
    <w:rsid w:val="08F8324B"/>
    <w:rsid w:val="08F83290"/>
    <w:rsid w:val="08F83383"/>
    <w:rsid w:val="08F833F9"/>
    <w:rsid w:val="08F833FC"/>
    <w:rsid w:val="08F8353D"/>
    <w:rsid w:val="08F8354E"/>
    <w:rsid w:val="08F8359B"/>
    <w:rsid w:val="08F83605"/>
    <w:rsid w:val="08F836BC"/>
    <w:rsid w:val="08F837F7"/>
    <w:rsid w:val="08F83817"/>
    <w:rsid w:val="08F83823"/>
    <w:rsid w:val="08F83839"/>
    <w:rsid w:val="08F838BC"/>
    <w:rsid w:val="08F83969"/>
    <w:rsid w:val="08F8398F"/>
    <w:rsid w:val="08F83994"/>
    <w:rsid w:val="08F83A0B"/>
    <w:rsid w:val="08F83A26"/>
    <w:rsid w:val="08F83AB4"/>
    <w:rsid w:val="08F83AF4"/>
    <w:rsid w:val="08F83B4F"/>
    <w:rsid w:val="08F83B6F"/>
    <w:rsid w:val="08F83BE2"/>
    <w:rsid w:val="08F83C6A"/>
    <w:rsid w:val="08F83D76"/>
    <w:rsid w:val="08F83DB1"/>
    <w:rsid w:val="08F83DBB"/>
    <w:rsid w:val="08F83E5F"/>
    <w:rsid w:val="08F83EA9"/>
    <w:rsid w:val="08F83EF8"/>
    <w:rsid w:val="08F83FC1"/>
    <w:rsid w:val="08F8407F"/>
    <w:rsid w:val="08F84130"/>
    <w:rsid w:val="08F841B2"/>
    <w:rsid w:val="08F8434E"/>
    <w:rsid w:val="08F84384"/>
    <w:rsid w:val="08F84398"/>
    <w:rsid w:val="08F843FA"/>
    <w:rsid w:val="08F8441D"/>
    <w:rsid w:val="08F84424"/>
    <w:rsid w:val="08F844AF"/>
    <w:rsid w:val="08F8451B"/>
    <w:rsid w:val="08F84529"/>
    <w:rsid w:val="08F8455A"/>
    <w:rsid w:val="08F845E1"/>
    <w:rsid w:val="08F84608"/>
    <w:rsid w:val="08F84738"/>
    <w:rsid w:val="08F847CF"/>
    <w:rsid w:val="08F848E1"/>
    <w:rsid w:val="08F84952"/>
    <w:rsid w:val="08F8499D"/>
    <w:rsid w:val="08F849C7"/>
    <w:rsid w:val="08F84A54"/>
    <w:rsid w:val="08F84BA7"/>
    <w:rsid w:val="08F84BEE"/>
    <w:rsid w:val="08F84C6D"/>
    <w:rsid w:val="08F84CDD"/>
    <w:rsid w:val="08F84D3C"/>
    <w:rsid w:val="08F84DAC"/>
    <w:rsid w:val="08F84E08"/>
    <w:rsid w:val="08F84E09"/>
    <w:rsid w:val="08F84E5F"/>
    <w:rsid w:val="08F84E7D"/>
    <w:rsid w:val="08F84EA5"/>
    <w:rsid w:val="08F84EB2"/>
    <w:rsid w:val="08F84F8E"/>
    <w:rsid w:val="08F8505B"/>
    <w:rsid w:val="08F85183"/>
    <w:rsid w:val="08F85199"/>
    <w:rsid w:val="08F851FA"/>
    <w:rsid w:val="08F85226"/>
    <w:rsid w:val="08F85259"/>
    <w:rsid w:val="08F8528A"/>
    <w:rsid w:val="08F8528E"/>
    <w:rsid w:val="08F85296"/>
    <w:rsid w:val="08F85297"/>
    <w:rsid w:val="08F8529C"/>
    <w:rsid w:val="08F852FE"/>
    <w:rsid w:val="08F85382"/>
    <w:rsid w:val="08F853F5"/>
    <w:rsid w:val="08F85470"/>
    <w:rsid w:val="08F85489"/>
    <w:rsid w:val="08F8548F"/>
    <w:rsid w:val="08F8549B"/>
    <w:rsid w:val="08F854FB"/>
    <w:rsid w:val="08F85531"/>
    <w:rsid w:val="08F855BF"/>
    <w:rsid w:val="08F855E8"/>
    <w:rsid w:val="08F85602"/>
    <w:rsid w:val="08F85611"/>
    <w:rsid w:val="08F856A8"/>
    <w:rsid w:val="08F856B8"/>
    <w:rsid w:val="08F856EE"/>
    <w:rsid w:val="08F857B5"/>
    <w:rsid w:val="08F8585F"/>
    <w:rsid w:val="08F85894"/>
    <w:rsid w:val="08F8589B"/>
    <w:rsid w:val="08F858AB"/>
    <w:rsid w:val="08F858D1"/>
    <w:rsid w:val="08F85A53"/>
    <w:rsid w:val="08F85B21"/>
    <w:rsid w:val="08F85C29"/>
    <w:rsid w:val="08F85C56"/>
    <w:rsid w:val="08F85CD9"/>
    <w:rsid w:val="08F85D83"/>
    <w:rsid w:val="08F85E2B"/>
    <w:rsid w:val="08F85EB7"/>
    <w:rsid w:val="08F85FA3"/>
    <w:rsid w:val="08F85FE1"/>
    <w:rsid w:val="08F86033"/>
    <w:rsid w:val="08F8603D"/>
    <w:rsid w:val="08F86053"/>
    <w:rsid w:val="08F860B6"/>
    <w:rsid w:val="08F8620E"/>
    <w:rsid w:val="08F862CD"/>
    <w:rsid w:val="08F863AA"/>
    <w:rsid w:val="08F86423"/>
    <w:rsid w:val="08F86489"/>
    <w:rsid w:val="08F8648C"/>
    <w:rsid w:val="08F86609"/>
    <w:rsid w:val="08F86815"/>
    <w:rsid w:val="08F86830"/>
    <w:rsid w:val="08F8684F"/>
    <w:rsid w:val="08F868F3"/>
    <w:rsid w:val="08F868F9"/>
    <w:rsid w:val="08F86A25"/>
    <w:rsid w:val="08F86A63"/>
    <w:rsid w:val="08F86C58"/>
    <w:rsid w:val="08F86C8C"/>
    <w:rsid w:val="08F86D65"/>
    <w:rsid w:val="08F86D73"/>
    <w:rsid w:val="08F86E07"/>
    <w:rsid w:val="08F86E80"/>
    <w:rsid w:val="08F86EAC"/>
    <w:rsid w:val="08F86F1C"/>
    <w:rsid w:val="08F86F53"/>
    <w:rsid w:val="08F86FD8"/>
    <w:rsid w:val="08F8707E"/>
    <w:rsid w:val="08F8722F"/>
    <w:rsid w:val="08F872B0"/>
    <w:rsid w:val="08F87301"/>
    <w:rsid w:val="08F8737A"/>
    <w:rsid w:val="08F8740F"/>
    <w:rsid w:val="08F87455"/>
    <w:rsid w:val="08F874E0"/>
    <w:rsid w:val="08F87592"/>
    <w:rsid w:val="08F875A6"/>
    <w:rsid w:val="08F875CF"/>
    <w:rsid w:val="08F87716"/>
    <w:rsid w:val="08F877D7"/>
    <w:rsid w:val="08F877DB"/>
    <w:rsid w:val="08F877E1"/>
    <w:rsid w:val="08F8780B"/>
    <w:rsid w:val="08F8787F"/>
    <w:rsid w:val="08F87885"/>
    <w:rsid w:val="08F878E3"/>
    <w:rsid w:val="08F87A90"/>
    <w:rsid w:val="08F87AB9"/>
    <w:rsid w:val="08F87AF5"/>
    <w:rsid w:val="08F87C3E"/>
    <w:rsid w:val="08F87CB6"/>
    <w:rsid w:val="08F87D69"/>
    <w:rsid w:val="08F87D90"/>
    <w:rsid w:val="08F87DC8"/>
    <w:rsid w:val="08F87DCF"/>
    <w:rsid w:val="08F87E17"/>
    <w:rsid w:val="08F87E55"/>
    <w:rsid w:val="08F87F1C"/>
    <w:rsid w:val="08F87F9C"/>
    <w:rsid w:val="08F9000E"/>
    <w:rsid w:val="08F90103"/>
    <w:rsid w:val="08F901F3"/>
    <w:rsid w:val="08F901F8"/>
    <w:rsid w:val="08F90218"/>
    <w:rsid w:val="08F90219"/>
    <w:rsid w:val="08F902A6"/>
    <w:rsid w:val="08F9047C"/>
    <w:rsid w:val="08F9052A"/>
    <w:rsid w:val="08F90599"/>
    <w:rsid w:val="08F90618"/>
    <w:rsid w:val="08F90667"/>
    <w:rsid w:val="08F906BC"/>
    <w:rsid w:val="08F90729"/>
    <w:rsid w:val="08F90749"/>
    <w:rsid w:val="08F90750"/>
    <w:rsid w:val="08F90807"/>
    <w:rsid w:val="08F908CB"/>
    <w:rsid w:val="08F90951"/>
    <w:rsid w:val="08F90957"/>
    <w:rsid w:val="08F90C68"/>
    <w:rsid w:val="08F90CBB"/>
    <w:rsid w:val="08F90DF7"/>
    <w:rsid w:val="08F90F14"/>
    <w:rsid w:val="08F90F89"/>
    <w:rsid w:val="08F90F8D"/>
    <w:rsid w:val="08F90FED"/>
    <w:rsid w:val="08F90FF2"/>
    <w:rsid w:val="08F91049"/>
    <w:rsid w:val="08F91075"/>
    <w:rsid w:val="08F9110C"/>
    <w:rsid w:val="08F91119"/>
    <w:rsid w:val="08F91123"/>
    <w:rsid w:val="08F91139"/>
    <w:rsid w:val="08F911BE"/>
    <w:rsid w:val="08F912C9"/>
    <w:rsid w:val="08F91369"/>
    <w:rsid w:val="08F913D1"/>
    <w:rsid w:val="08F913F3"/>
    <w:rsid w:val="08F91405"/>
    <w:rsid w:val="08F914AE"/>
    <w:rsid w:val="08F9158B"/>
    <w:rsid w:val="08F915B7"/>
    <w:rsid w:val="08F91665"/>
    <w:rsid w:val="08F91697"/>
    <w:rsid w:val="08F91850"/>
    <w:rsid w:val="08F9189B"/>
    <w:rsid w:val="08F918AC"/>
    <w:rsid w:val="08F9193F"/>
    <w:rsid w:val="08F919BF"/>
    <w:rsid w:val="08F919DE"/>
    <w:rsid w:val="08F91A2B"/>
    <w:rsid w:val="08F91A9F"/>
    <w:rsid w:val="08F91AA8"/>
    <w:rsid w:val="08F91AB6"/>
    <w:rsid w:val="08F91AC0"/>
    <w:rsid w:val="08F91ACF"/>
    <w:rsid w:val="08F91C22"/>
    <w:rsid w:val="08F91C9D"/>
    <w:rsid w:val="08F91CA0"/>
    <w:rsid w:val="08F91D08"/>
    <w:rsid w:val="08F91DF2"/>
    <w:rsid w:val="08F91E0F"/>
    <w:rsid w:val="08F91E64"/>
    <w:rsid w:val="08F91EC4"/>
    <w:rsid w:val="08F91FBF"/>
    <w:rsid w:val="08F92022"/>
    <w:rsid w:val="08F92072"/>
    <w:rsid w:val="08F9213C"/>
    <w:rsid w:val="08F9229F"/>
    <w:rsid w:val="08F922FA"/>
    <w:rsid w:val="08F923BA"/>
    <w:rsid w:val="08F9246F"/>
    <w:rsid w:val="08F925F4"/>
    <w:rsid w:val="08F925F5"/>
    <w:rsid w:val="08F9263E"/>
    <w:rsid w:val="08F9265D"/>
    <w:rsid w:val="08F9269A"/>
    <w:rsid w:val="08F9275D"/>
    <w:rsid w:val="08F927B3"/>
    <w:rsid w:val="08F927FF"/>
    <w:rsid w:val="08F92864"/>
    <w:rsid w:val="08F928D1"/>
    <w:rsid w:val="08F9290E"/>
    <w:rsid w:val="08F92915"/>
    <w:rsid w:val="08F9295D"/>
    <w:rsid w:val="08F92A04"/>
    <w:rsid w:val="08F92ACF"/>
    <w:rsid w:val="08F92B21"/>
    <w:rsid w:val="08F92C51"/>
    <w:rsid w:val="08F92C73"/>
    <w:rsid w:val="08F92C8D"/>
    <w:rsid w:val="08F92CC8"/>
    <w:rsid w:val="08F92D07"/>
    <w:rsid w:val="08F92D3D"/>
    <w:rsid w:val="08F92DB4"/>
    <w:rsid w:val="08F92E09"/>
    <w:rsid w:val="08F92E14"/>
    <w:rsid w:val="08F92E2A"/>
    <w:rsid w:val="08F92E4A"/>
    <w:rsid w:val="08F92F10"/>
    <w:rsid w:val="08F92F40"/>
    <w:rsid w:val="08F92FC6"/>
    <w:rsid w:val="08F93031"/>
    <w:rsid w:val="08F9305C"/>
    <w:rsid w:val="08F930A4"/>
    <w:rsid w:val="08F930EC"/>
    <w:rsid w:val="08F93121"/>
    <w:rsid w:val="08F9319A"/>
    <w:rsid w:val="08F9320F"/>
    <w:rsid w:val="08F932CC"/>
    <w:rsid w:val="08F9330A"/>
    <w:rsid w:val="08F93386"/>
    <w:rsid w:val="08F93398"/>
    <w:rsid w:val="08F933DA"/>
    <w:rsid w:val="08F9341B"/>
    <w:rsid w:val="08F934B1"/>
    <w:rsid w:val="08F9353A"/>
    <w:rsid w:val="08F935C2"/>
    <w:rsid w:val="08F935E3"/>
    <w:rsid w:val="08F93625"/>
    <w:rsid w:val="08F936EE"/>
    <w:rsid w:val="08F93747"/>
    <w:rsid w:val="08F9388D"/>
    <w:rsid w:val="08F93892"/>
    <w:rsid w:val="08F938B3"/>
    <w:rsid w:val="08F938C2"/>
    <w:rsid w:val="08F93902"/>
    <w:rsid w:val="08F93940"/>
    <w:rsid w:val="08F939FB"/>
    <w:rsid w:val="08F93AC0"/>
    <w:rsid w:val="08F93B33"/>
    <w:rsid w:val="08F93B9C"/>
    <w:rsid w:val="08F93C37"/>
    <w:rsid w:val="08F93C38"/>
    <w:rsid w:val="08F93D05"/>
    <w:rsid w:val="08F93D3D"/>
    <w:rsid w:val="08F93E3A"/>
    <w:rsid w:val="08F93E54"/>
    <w:rsid w:val="08F93FD8"/>
    <w:rsid w:val="08F93FE5"/>
    <w:rsid w:val="08F9413B"/>
    <w:rsid w:val="08F941A8"/>
    <w:rsid w:val="08F9427A"/>
    <w:rsid w:val="08F942A3"/>
    <w:rsid w:val="08F94351"/>
    <w:rsid w:val="08F943A3"/>
    <w:rsid w:val="08F94548"/>
    <w:rsid w:val="08F94581"/>
    <w:rsid w:val="08F945A9"/>
    <w:rsid w:val="08F945DD"/>
    <w:rsid w:val="08F94785"/>
    <w:rsid w:val="08F948E7"/>
    <w:rsid w:val="08F94A09"/>
    <w:rsid w:val="08F94A1A"/>
    <w:rsid w:val="08F94A65"/>
    <w:rsid w:val="08F94A8C"/>
    <w:rsid w:val="08F94B76"/>
    <w:rsid w:val="08F94B82"/>
    <w:rsid w:val="08F94C76"/>
    <w:rsid w:val="08F94CF0"/>
    <w:rsid w:val="08F94D71"/>
    <w:rsid w:val="08F94D73"/>
    <w:rsid w:val="08F94E3C"/>
    <w:rsid w:val="08F94E83"/>
    <w:rsid w:val="08F94E91"/>
    <w:rsid w:val="08F94FD9"/>
    <w:rsid w:val="08F9505E"/>
    <w:rsid w:val="08F950A7"/>
    <w:rsid w:val="08F950BF"/>
    <w:rsid w:val="08F9510C"/>
    <w:rsid w:val="08F95110"/>
    <w:rsid w:val="08F9512B"/>
    <w:rsid w:val="08F95133"/>
    <w:rsid w:val="08F95155"/>
    <w:rsid w:val="08F952C3"/>
    <w:rsid w:val="08F95313"/>
    <w:rsid w:val="08F95399"/>
    <w:rsid w:val="08F954D8"/>
    <w:rsid w:val="08F955CC"/>
    <w:rsid w:val="08F9566D"/>
    <w:rsid w:val="08F9576F"/>
    <w:rsid w:val="08F95790"/>
    <w:rsid w:val="08F95848"/>
    <w:rsid w:val="08F958C5"/>
    <w:rsid w:val="08F959A4"/>
    <w:rsid w:val="08F959DE"/>
    <w:rsid w:val="08F95B5A"/>
    <w:rsid w:val="08F95BE9"/>
    <w:rsid w:val="08F95CDA"/>
    <w:rsid w:val="08F95E0B"/>
    <w:rsid w:val="08F95E17"/>
    <w:rsid w:val="08F95FB9"/>
    <w:rsid w:val="08F96014"/>
    <w:rsid w:val="08F96022"/>
    <w:rsid w:val="08F9612E"/>
    <w:rsid w:val="08F9613E"/>
    <w:rsid w:val="08F96142"/>
    <w:rsid w:val="08F96212"/>
    <w:rsid w:val="08F96242"/>
    <w:rsid w:val="08F962AA"/>
    <w:rsid w:val="08F962D0"/>
    <w:rsid w:val="08F962DD"/>
    <w:rsid w:val="08F962F6"/>
    <w:rsid w:val="08F96372"/>
    <w:rsid w:val="08F963FA"/>
    <w:rsid w:val="08F9644C"/>
    <w:rsid w:val="08F96494"/>
    <w:rsid w:val="08F964D1"/>
    <w:rsid w:val="08F964E2"/>
    <w:rsid w:val="08F964F9"/>
    <w:rsid w:val="08F9654A"/>
    <w:rsid w:val="08F9656A"/>
    <w:rsid w:val="08F96573"/>
    <w:rsid w:val="08F96665"/>
    <w:rsid w:val="08F966CC"/>
    <w:rsid w:val="08F9683F"/>
    <w:rsid w:val="08F96862"/>
    <w:rsid w:val="08F9690C"/>
    <w:rsid w:val="08F969C4"/>
    <w:rsid w:val="08F96A31"/>
    <w:rsid w:val="08F96B71"/>
    <w:rsid w:val="08F96BB3"/>
    <w:rsid w:val="08F96BEF"/>
    <w:rsid w:val="08F96CAB"/>
    <w:rsid w:val="08F96CBC"/>
    <w:rsid w:val="08F96CE5"/>
    <w:rsid w:val="08F96CF6"/>
    <w:rsid w:val="08F96D2C"/>
    <w:rsid w:val="08F96ED6"/>
    <w:rsid w:val="08F97076"/>
    <w:rsid w:val="08F97120"/>
    <w:rsid w:val="08F97121"/>
    <w:rsid w:val="08F97168"/>
    <w:rsid w:val="08F9724E"/>
    <w:rsid w:val="08F9726C"/>
    <w:rsid w:val="08F97324"/>
    <w:rsid w:val="08F97337"/>
    <w:rsid w:val="08F974B6"/>
    <w:rsid w:val="08F974FB"/>
    <w:rsid w:val="08F9753C"/>
    <w:rsid w:val="08F97540"/>
    <w:rsid w:val="08F97549"/>
    <w:rsid w:val="08F975D8"/>
    <w:rsid w:val="08F97628"/>
    <w:rsid w:val="08F976E5"/>
    <w:rsid w:val="08F976FA"/>
    <w:rsid w:val="08F97918"/>
    <w:rsid w:val="08F97B1F"/>
    <w:rsid w:val="08F97B34"/>
    <w:rsid w:val="08F97BBD"/>
    <w:rsid w:val="08F97BF9"/>
    <w:rsid w:val="08F97C47"/>
    <w:rsid w:val="08F97C8D"/>
    <w:rsid w:val="08F97C99"/>
    <w:rsid w:val="08F97D06"/>
    <w:rsid w:val="08F97D80"/>
    <w:rsid w:val="08F97F44"/>
    <w:rsid w:val="08F97F56"/>
    <w:rsid w:val="08F97FB7"/>
    <w:rsid w:val="08FA00E3"/>
    <w:rsid w:val="08FA00F6"/>
    <w:rsid w:val="08FA014E"/>
    <w:rsid w:val="08FA017A"/>
    <w:rsid w:val="08FA017C"/>
    <w:rsid w:val="08FA030E"/>
    <w:rsid w:val="08FA03A2"/>
    <w:rsid w:val="08FA043E"/>
    <w:rsid w:val="08FA044E"/>
    <w:rsid w:val="08FA04DF"/>
    <w:rsid w:val="08FA04E6"/>
    <w:rsid w:val="08FA059A"/>
    <w:rsid w:val="08FA06B9"/>
    <w:rsid w:val="08FA0746"/>
    <w:rsid w:val="08FA0773"/>
    <w:rsid w:val="08FA0791"/>
    <w:rsid w:val="08FA08A3"/>
    <w:rsid w:val="08FA09A5"/>
    <w:rsid w:val="08FA0A1E"/>
    <w:rsid w:val="08FA0A39"/>
    <w:rsid w:val="08FA0A4D"/>
    <w:rsid w:val="08FA0A6E"/>
    <w:rsid w:val="08FA0A81"/>
    <w:rsid w:val="08FA0AA6"/>
    <w:rsid w:val="08FA0B2B"/>
    <w:rsid w:val="08FA0B40"/>
    <w:rsid w:val="08FA0B82"/>
    <w:rsid w:val="08FA0BDB"/>
    <w:rsid w:val="08FA0CCA"/>
    <w:rsid w:val="08FA0CEE"/>
    <w:rsid w:val="08FA0D30"/>
    <w:rsid w:val="08FA0D8F"/>
    <w:rsid w:val="08FA0DF0"/>
    <w:rsid w:val="08FA0E28"/>
    <w:rsid w:val="08FA0F2F"/>
    <w:rsid w:val="08FA0F45"/>
    <w:rsid w:val="08FA0F8B"/>
    <w:rsid w:val="08FA0F9D"/>
    <w:rsid w:val="08FA1009"/>
    <w:rsid w:val="08FA104E"/>
    <w:rsid w:val="08FA1050"/>
    <w:rsid w:val="08FA111B"/>
    <w:rsid w:val="08FA1172"/>
    <w:rsid w:val="08FA1220"/>
    <w:rsid w:val="08FA1225"/>
    <w:rsid w:val="08FA1327"/>
    <w:rsid w:val="08FA1368"/>
    <w:rsid w:val="08FA1392"/>
    <w:rsid w:val="08FA1396"/>
    <w:rsid w:val="08FA13D4"/>
    <w:rsid w:val="08FA1423"/>
    <w:rsid w:val="08FA149D"/>
    <w:rsid w:val="08FA15AA"/>
    <w:rsid w:val="08FA15B0"/>
    <w:rsid w:val="08FA15C5"/>
    <w:rsid w:val="08FA16ED"/>
    <w:rsid w:val="08FA1717"/>
    <w:rsid w:val="08FA175E"/>
    <w:rsid w:val="08FA177A"/>
    <w:rsid w:val="08FA18C4"/>
    <w:rsid w:val="08FA1A49"/>
    <w:rsid w:val="08FA1AD2"/>
    <w:rsid w:val="08FA1AF5"/>
    <w:rsid w:val="08FA1B51"/>
    <w:rsid w:val="08FA1B7D"/>
    <w:rsid w:val="08FA1B7F"/>
    <w:rsid w:val="08FA1BBB"/>
    <w:rsid w:val="08FA1C58"/>
    <w:rsid w:val="08FA1C8A"/>
    <w:rsid w:val="08FA1D6F"/>
    <w:rsid w:val="08FA1D8A"/>
    <w:rsid w:val="08FA1EAB"/>
    <w:rsid w:val="08FA209C"/>
    <w:rsid w:val="08FA20FA"/>
    <w:rsid w:val="08FA216B"/>
    <w:rsid w:val="08FA21B3"/>
    <w:rsid w:val="08FA21BB"/>
    <w:rsid w:val="08FA21F2"/>
    <w:rsid w:val="08FA2227"/>
    <w:rsid w:val="08FA2286"/>
    <w:rsid w:val="08FA22B7"/>
    <w:rsid w:val="08FA22DA"/>
    <w:rsid w:val="08FA23BC"/>
    <w:rsid w:val="08FA2443"/>
    <w:rsid w:val="08FA2444"/>
    <w:rsid w:val="08FA24C7"/>
    <w:rsid w:val="08FA24D1"/>
    <w:rsid w:val="08FA2787"/>
    <w:rsid w:val="08FA28CF"/>
    <w:rsid w:val="08FA28D8"/>
    <w:rsid w:val="08FA28FF"/>
    <w:rsid w:val="08FA29AE"/>
    <w:rsid w:val="08FA29CA"/>
    <w:rsid w:val="08FA2A01"/>
    <w:rsid w:val="08FA2AA8"/>
    <w:rsid w:val="08FA2B80"/>
    <w:rsid w:val="08FA2BBE"/>
    <w:rsid w:val="08FA2BC3"/>
    <w:rsid w:val="08FA2BDC"/>
    <w:rsid w:val="08FA2BEB"/>
    <w:rsid w:val="08FA2CB8"/>
    <w:rsid w:val="08FA2CF7"/>
    <w:rsid w:val="08FA2E69"/>
    <w:rsid w:val="08FA2E8A"/>
    <w:rsid w:val="08FA2F0E"/>
    <w:rsid w:val="08FA2F46"/>
    <w:rsid w:val="08FA2FE6"/>
    <w:rsid w:val="08FA314F"/>
    <w:rsid w:val="08FA31DA"/>
    <w:rsid w:val="08FA31FD"/>
    <w:rsid w:val="08FA3273"/>
    <w:rsid w:val="08FA328D"/>
    <w:rsid w:val="08FA3328"/>
    <w:rsid w:val="08FA34C9"/>
    <w:rsid w:val="08FA3523"/>
    <w:rsid w:val="08FA3536"/>
    <w:rsid w:val="08FA3576"/>
    <w:rsid w:val="08FA3577"/>
    <w:rsid w:val="08FA35F3"/>
    <w:rsid w:val="08FA3651"/>
    <w:rsid w:val="08FA366B"/>
    <w:rsid w:val="08FA375D"/>
    <w:rsid w:val="08FA37B0"/>
    <w:rsid w:val="08FA37FC"/>
    <w:rsid w:val="08FA3893"/>
    <w:rsid w:val="08FA39AD"/>
    <w:rsid w:val="08FA39C5"/>
    <w:rsid w:val="08FA39DC"/>
    <w:rsid w:val="08FA3A0F"/>
    <w:rsid w:val="08FA3B91"/>
    <w:rsid w:val="08FA3C0B"/>
    <w:rsid w:val="08FA3C42"/>
    <w:rsid w:val="08FA3D35"/>
    <w:rsid w:val="08FA3DE1"/>
    <w:rsid w:val="08FA3E54"/>
    <w:rsid w:val="08FA3E70"/>
    <w:rsid w:val="08FA3F4B"/>
    <w:rsid w:val="08FA4031"/>
    <w:rsid w:val="08FA407B"/>
    <w:rsid w:val="08FA408A"/>
    <w:rsid w:val="08FA40C6"/>
    <w:rsid w:val="08FA40D7"/>
    <w:rsid w:val="08FA4175"/>
    <w:rsid w:val="08FA42BE"/>
    <w:rsid w:val="08FA42CB"/>
    <w:rsid w:val="08FA42E2"/>
    <w:rsid w:val="08FA43E0"/>
    <w:rsid w:val="08FA43F0"/>
    <w:rsid w:val="08FA440B"/>
    <w:rsid w:val="08FA4416"/>
    <w:rsid w:val="08FA44B9"/>
    <w:rsid w:val="08FA4544"/>
    <w:rsid w:val="08FA45F2"/>
    <w:rsid w:val="08FA463E"/>
    <w:rsid w:val="08FA4692"/>
    <w:rsid w:val="08FA46A5"/>
    <w:rsid w:val="08FA4727"/>
    <w:rsid w:val="08FA478D"/>
    <w:rsid w:val="08FA4796"/>
    <w:rsid w:val="08FA4854"/>
    <w:rsid w:val="08FA491C"/>
    <w:rsid w:val="08FA4951"/>
    <w:rsid w:val="08FA495B"/>
    <w:rsid w:val="08FA4974"/>
    <w:rsid w:val="08FA49BC"/>
    <w:rsid w:val="08FA49DA"/>
    <w:rsid w:val="08FA49E6"/>
    <w:rsid w:val="08FA4A51"/>
    <w:rsid w:val="08FA4BBC"/>
    <w:rsid w:val="08FA4BF6"/>
    <w:rsid w:val="08FA4C13"/>
    <w:rsid w:val="08FA4C23"/>
    <w:rsid w:val="08FA4D09"/>
    <w:rsid w:val="08FA4D79"/>
    <w:rsid w:val="08FA4DA1"/>
    <w:rsid w:val="08FA4E08"/>
    <w:rsid w:val="08FA4E2D"/>
    <w:rsid w:val="08FA4E5E"/>
    <w:rsid w:val="08FA4EC9"/>
    <w:rsid w:val="08FA5040"/>
    <w:rsid w:val="08FA50E5"/>
    <w:rsid w:val="08FA50FC"/>
    <w:rsid w:val="08FA512A"/>
    <w:rsid w:val="08FA5166"/>
    <w:rsid w:val="08FA519D"/>
    <w:rsid w:val="08FA51E2"/>
    <w:rsid w:val="08FA51E6"/>
    <w:rsid w:val="08FA5228"/>
    <w:rsid w:val="08FA5286"/>
    <w:rsid w:val="08FA53B4"/>
    <w:rsid w:val="08FA53F3"/>
    <w:rsid w:val="08FA5440"/>
    <w:rsid w:val="08FA5471"/>
    <w:rsid w:val="08FA561D"/>
    <w:rsid w:val="08FA5709"/>
    <w:rsid w:val="08FA5713"/>
    <w:rsid w:val="08FA5955"/>
    <w:rsid w:val="08FA5958"/>
    <w:rsid w:val="08FA595E"/>
    <w:rsid w:val="08FA59C2"/>
    <w:rsid w:val="08FA5AA2"/>
    <w:rsid w:val="08FA5ABA"/>
    <w:rsid w:val="08FA5BA6"/>
    <w:rsid w:val="08FA5C1A"/>
    <w:rsid w:val="08FA5C46"/>
    <w:rsid w:val="08FA5C65"/>
    <w:rsid w:val="08FA5CE5"/>
    <w:rsid w:val="08FA5D00"/>
    <w:rsid w:val="08FA5D69"/>
    <w:rsid w:val="08FA5DCD"/>
    <w:rsid w:val="08FA5DDA"/>
    <w:rsid w:val="08FA5F1B"/>
    <w:rsid w:val="08FA6104"/>
    <w:rsid w:val="08FA6153"/>
    <w:rsid w:val="08FA61B5"/>
    <w:rsid w:val="08FA62E2"/>
    <w:rsid w:val="08FA630D"/>
    <w:rsid w:val="08FA639A"/>
    <w:rsid w:val="08FA63B8"/>
    <w:rsid w:val="08FA63C5"/>
    <w:rsid w:val="08FA6440"/>
    <w:rsid w:val="08FA6443"/>
    <w:rsid w:val="08FA648B"/>
    <w:rsid w:val="08FA64CF"/>
    <w:rsid w:val="08FA657A"/>
    <w:rsid w:val="08FA6597"/>
    <w:rsid w:val="08FA65F0"/>
    <w:rsid w:val="08FA6641"/>
    <w:rsid w:val="08FA66B3"/>
    <w:rsid w:val="08FA6752"/>
    <w:rsid w:val="08FA6790"/>
    <w:rsid w:val="08FA6799"/>
    <w:rsid w:val="08FA67B4"/>
    <w:rsid w:val="08FA6967"/>
    <w:rsid w:val="08FA6A0D"/>
    <w:rsid w:val="08FA6A27"/>
    <w:rsid w:val="08FA6B6E"/>
    <w:rsid w:val="08FA6C88"/>
    <w:rsid w:val="08FA6CC2"/>
    <w:rsid w:val="08FA6CED"/>
    <w:rsid w:val="08FA6CF8"/>
    <w:rsid w:val="08FA6D02"/>
    <w:rsid w:val="08FA6DA4"/>
    <w:rsid w:val="08FA6E99"/>
    <w:rsid w:val="08FA6F54"/>
    <w:rsid w:val="08FA6F82"/>
    <w:rsid w:val="08FA6F84"/>
    <w:rsid w:val="08FA6FB6"/>
    <w:rsid w:val="08FA6FD7"/>
    <w:rsid w:val="08FA6FE0"/>
    <w:rsid w:val="08FA705B"/>
    <w:rsid w:val="08FA7064"/>
    <w:rsid w:val="08FA7079"/>
    <w:rsid w:val="08FA709E"/>
    <w:rsid w:val="08FA71FF"/>
    <w:rsid w:val="08FA7200"/>
    <w:rsid w:val="08FA7263"/>
    <w:rsid w:val="08FA72C7"/>
    <w:rsid w:val="08FA734E"/>
    <w:rsid w:val="08FA739A"/>
    <w:rsid w:val="08FA73D6"/>
    <w:rsid w:val="08FA7408"/>
    <w:rsid w:val="08FA7456"/>
    <w:rsid w:val="08FA74A1"/>
    <w:rsid w:val="08FA755D"/>
    <w:rsid w:val="08FA75D1"/>
    <w:rsid w:val="08FA75FB"/>
    <w:rsid w:val="08FA76F2"/>
    <w:rsid w:val="08FA776B"/>
    <w:rsid w:val="08FA7799"/>
    <w:rsid w:val="08FA77E3"/>
    <w:rsid w:val="08FA78EC"/>
    <w:rsid w:val="08FA78F7"/>
    <w:rsid w:val="08FA7939"/>
    <w:rsid w:val="08FA79F0"/>
    <w:rsid w:val="08FA7A14"/>
    <w:rsid w:val="08FA7A84"/>
    <w:rsid w:val="08FA7B47"/>
    <w:rsid w:val="08FA7B7C"/>
    <w:rsid w:val="08FA7B91"/>
    <w:rsid w:val="08FA7BC0"/>
    <w:rsid w:val="08FA7BE5"/>
    <w:rsid w:val="08FA7C83"/>
    <w:rsid w:val="08FA7CCE"/>
    <w:rsid w:val="08FA7D4B"/>
    <w:rsid w:val="08FA7EA0"/>
    <w:rsid w:val="08FA7FD9"/>
    <w:rsid w:val="08FB00AF"/>
    <w:rsid w:val="08FB0103"/>
    <w:rsid w:val="08FB0170"/>
    <w:rsid w:val="08FB01FD"/>
    <w:rsid w:val="08FB0246"/>
    <w:rsid w:val="08FB025E"/>
    <w:rsid w:val="08FB0270"/>
    <w:rsid w:val="08FB02A3"/>
    <w:rsid w:val="08FB02FD"/>
    <w:rsid w:val="08FB031C"/>
    <w:rsid w:val="08FB0326"/>
    <w:rsid w:val="08FB039E"/>
    <w:rsid w:val="08FB03E5"/>
    <w:rsid w:val="08FB0536"/>
    <w:rsid w:val="08FB057E"/>
    <w:rsid w:val="08FB0699"/>
    <w:rsid w:val="08FB06FC"/>
    <w:rsid w:val="08FB075A"/>
    <w:rsid w:val="08FB079E"/>
    <w:rsid w:val="08FB07D2"/>
    <w:rsid w:val="08FB0807"/>
    <w:rsid w:val="08FB082A"/>
    <w:rsid w:val="08FB086E"/>
    <w:rsid w:val="08FB088B"/>
    <w:rsid w:val="08FB0896"/>
    <w:rsid w:val="08FB08DA"/>
    <w:rsid w:val="08FB095B"/>
    <w:rsid w:val="08FB0A5F"/>
    <w:rsid w:val="08FB0A6E"/>
    <w:rsid w:val="08FB0AA5"/>
    <w:rsid w:val="08FB0AF6"/>
    <w:rsid w:val="08FB0B44"/>
    <w:rsid w:val="08FB0B96"/>
    <w:rsid w:val="08FB0BDB"/>
    <w:rsid w:val="08FB0C91"/>
    <w:rsid w:val="08FB0D1E"/>
    <w:rsid w:val="08FB0D4F"/>
    <w:rsid w:val="08FB0DC3"/>
    <w:rsid w:val="08FB0DEA"/>
    <w:rsid w:val="08FB0DF9"/>
    <w:rsid w:val="08FB0E0B"/>
    <w:rsid w:val="08FB0E25"/>
    <w:rsid w:val="08FB0E4E"/>
    <w:rsid w:val="08FB0F10"/>
    <w:rsid w:val="08FB0F40"/>
    <w:rsid w:val="08FB0F52"/>
    <w:rsid w:val="08FB0F54"/>
    <w:rsid w:val="08FB0FF3"/>
    <w:rsid w:val="08FB1098"/>
    <w:rsid w:val="08FB109C"/>
    <w:rsid w:val="08FB10BF"/>
    <w:rsid w:val="08FB110E"/>
    <w:rsid w:val="08FB110F"/>
    <w:rsid w:val="08FB11A9"/>
    <w:rsid w:val="08FB11C2"/>
    <w:rsid w:val="08FB12DD"/>
    <w:rsid w:val="08FB12E4"/>
    <w:rsid w:val="08FB12F0"/>
    <w:rsid w:val="08FB134E"/>
    <w:rsid w:val="08FB13DD"/>
    <w:rsid w:val="08FB153C"/>
    <w:rsid w:val="08FB1581"/>
    <w:rsid w:val="08FB15CC"/>
    <w:rsid w:val="08FB1706"/>
    <w:rsid w:val="08FB174D"/>
    <w:rsid w:val="08FB18ED"/>
    <w:rsid w:val="08FB1953"/>
    <w:rsid w:val="08FB1961"/>
    <w:rsid w:val="08FB19A4"/>
    <w:rsid w:val="08FB19B1"/>
    <w:rsid w:val="08FB19E0"/>
    <w:rsid w:val="08FB1B4A"/>
    <w:rsid w:val="08FB1BE0"/>
    <w:rsid w:val="08FB1CE1"/>
    <w:rsid w:val="08FB1D14"/>
    <w:rsid w:val="08FB1D18"/>
    <w:rsid w:val="08FB1D76"/>
    <w:rsid w:val="08FB1DC9"/>
    <w:rsid w:val="08FB1F9D"/>
    <w:rsid w:val="08FB22BD"/>
    <w:rsid w:val="08FB239A"/>
    <w:rsid w:val="08FB23A9"/>
    <w:rsid w:val="08FB2434"/>
    <w:rsid w:val="08FB2466"/>
    <w:rsid w:val="08FB2474"/>
    <w:rsid w:val="08FB24D1"/>
    <w:rsid w:val="08FB24D9"/>
    <w:rsid w:val="08FB2636"/>
    <w:rsid w:val="08FB27A2"/>
    <w:rsid w:val="08FB27F9"/>
    <w:rsid w:val="08FB2804"/>
    <w:rsid w:val="08FB2920"/>
    <w:rsid w:val="08FB2921"/>
    <w:rsid w:val="08FB2959"/>
    <w:rsid w:val="08FB299F"/>
    <w:rsid w:val="08FB2A41"/>
    <w:rsid w:val="08FB2AEA"/>
    <w:rsid w:val="08FB2BDD"/>
    <w:rsid w:val="08FB2BE9"/>
    <w:rsid w:val="08FB2C0F"/>
    <w:rsid w:val="08FB2CA9"/>
    <w:rsid w:val="08FB2D58"/>
    <w:rsid w:val="08FB2DFE"/>
    <w:rsid w:val="08FB2EDD"/>
    <w:rsid w:val="08FB306C"/>
    <w:rsid w:val="08FB30FC"/>
    <w:rsid w:val="08FB310B"/>
    <w:rsid w:val="08FB3112"/>
    <w:rsid w:val="08FB317E"/>
    <w:rsid w:val="08FB3343"/>
    <w:rsid w:val="08FB336F"/>
    <w:rsid w:val="08FB33D9"/>
    <w:rsid w:val="08FB3408"/>
    <w:rsid w:val="08FB3489"/>
    <w:rsid w:val="08FB349C"/>
    <w:rsid w:val="08FB3507"/>
    <w:rsid w:val="08FB3557"/>
    <w:rsid w:val="08FB358D"/>
    <w:rsid w:val="08FB3591"/>
    <w:rsid w:val="08FB369F"/>
    <w:rsid w:val="08FB36A8"/>
    <w:rsid w:val="08FB36B5"/>
    <w:rsid w:val="08FB36CB"/>
    <w:rsid w:val="08FB377B"/>
    <w:rsid w:val="08FB3860"/>
    <w:rsid w:val="08FB3893"/>
    <w:rsid w:val="08FB390B"/>
    <w:rsid w:val="08FB3A35"/>
    <w:rsid w:val="08FB3B22"/>
    <w:rsid w:val="08FB3B65"/>
    <w:rsid w:val="08FB3B91"/>
    <w:rsid w:val="08FB3BC1"/>
    <w:rsid w:val="08FB3BFD"/>
    <w:rsid w:val="08FB3C7D"/>
    <w:rsid w:val="08FB3F01"/>
    <w:rsid w:val="08FB3F16"/>
    <w:rsid w:val="08FB4032"/>
    <w:rsid w:val="08FB4047"/>
    <w:rsid w:val="08FB4077"/>
    <w:rsid w:val="08FB40C7"/>
    <w:rsid w:val="08FB40FA"/>
    <w:rsid w:val="08FB40FF"/>
    <w:rsid w:val="08FB4193"/>
    <w:rsid w:val="08FB41F4"/>
    <w:rsid w:val="08FB4205"/>
    <w:rsid w:val="08FB425A"/>
    <w:rsid w:val="08FB42A5"/>
    <w:rsid w:val="08FB4346"/>
    <w:rsid w:val="08FB447C"/>
    <w:rsid w:val="08FB447E"/>
    <w:rsid w:val="08FB45CE"/>
    <w:rsid w:val="08FB45FA"/>
    <w:rsid w:val="08FB4614"/>
    <w:rsid w:val="08FB464F"/>
    <w:rsid w:val="08FB46C3"/>
    <w:rsid w:val="08FB46DF"/>
    <w:rsid w:val="08FB46E0"/>
    <w:rsid w:val="08FB4778"/>
    <w:rsid w:val="08FB477A"/>
    <w:rsid w:val="08FB47E9"/>
    <w:rsid w:val="08FB47FB"/>
    <w:rsid w:val="08FB490F"/>
    <w:rsid w:val="08FB49D8"/>
    <w:rsid w:val="08FB49E5"/>
    <w:rsid w:val="08FB4AF8"/>
    <w:rsid w:val="08FB4B15"/>
    <w:rsid w:val="08FB4B96"/>
    <w:rsid w:val="08FB4BC7"/>
    <w:rsid w:val="08FB4C61"/>
    <w:rsid w:val="08FB4C93"/>
    <w:rsid w:val="08FB4CBC"/>
    <w:rsid w:val="08FB4D0E"/>
    <w:rsid w:val="08FB4D35"/>
    <w:rsid w:val="08FB4D74"/>
    <w:rsid w:val="08FB4DCA"/>
    <w:rsid w:val="08FB4DDF"/>
    <w:rsid w:val="08FB4E4A"/>
    <w:rsid w:val="08FB4ED3"/>
    <w:rsid w:val="08FB4F24"/>
    <w:rsid w:val="08FB4F9D"/>
    <w:rsid w:val="08FB4FFE"/>
    <w:rsid w:val="08FB5164"/>
    <w:rsid w:val="08FB51DA"/>
    <w:rsid w:val="08FB51DD"/>
    <w:rsid w:val="08FB5213"/>
    <w:rsid w:val="08FB5229"/>
    <w:rsid w:val="08FB53B6"/>
    <w:rsid w:val="08FB53D1"/>
    <w:rsid w:val="08FB53F3"/>
    <w:rsid w:val="08FB547F"/>
    <w:rsid w:val="08FB5487"/>
    <w:rsid w:val="08FB574C"/>
    <w:rsid w:val="08FB5765"/>
    <w:rsid w:val="08FB5785"/>
    <w:rsid w:val="08FB5796"/>
    <w:rsid w:val="08FB57BD"/>
    <w:rsid w:val="08FB57CC"/>
    <w:rsid w:val="08FB5805"/>
    <w:rsid w:val="08FB582E"/>
    <w:rsid w:val="08FB5885"/>
    <w:rsid w:val="08FB58B0"/>
    <w:rsid w:val="08FB58B7"/>
    <w:rsid w:val="08FB58F2"/>
    <w:rsid w:val="08FB59FC"/>
    <w:rsid w:val="08FB5A22"/>
    <w:rsid w:val="08FB5AC0"/>
    <w:rsid w:val="08FB5C93"/>
    <w:rsid w:val="08FB5CAC"/>
    <w:rsid w:val="08FB5F0F"/>
    <w:rsid w:val="08FB5FD8"/>
    <w:rsid w:val="08FB5FEF"/>
    <w:rsid w:val="08FB601D"/>
    <w:rsid w:val="08FB605B"/>
    <w:rsid w:val="08FB60B8"/>
    <w:rsid w:val="08FB60CC"/>
    <w:rsid w:val="08FB6195"/>
    <w:rsid w:val="08FB629D"/>
    <w:rsid w:val="08FB6351"/>
    <w:rsid w:val="08FB639A"/>
    <w:rsid w:val="08FB64CB"/>
    <w:rsid w:val="08FB64D2"/>
    <w:rsid w:val="08FB6509"/>
    <w:rsid w:val="08FB659D"/>
    <w:rsid w:val="08FB661E"/>
    <w:rsid w:val="08FB6705"/>
    <w:rsid w:val="08FB672D"/>
    <w:rsid w:val="08FB6847"/>
    <w:rsid w:val="08FB68C3"/>
    <w:rsid w:val="08FB698A"/>
    <w:rsid w:val="08FB69D4"/>
    <w:rsid w:val="08FB69DD"/>
    <w:rsid w:val="08FB6AAD"/>
    <w:rsid w:val="08FB6AD1"/>
    <w:rsid w:val="08FB6BE7"/>
    <w:rsid w:val="08FB6D04"/>
    <w:rsid w:val="08FB6EB1"/>
    <w:rsid w:val="08FB6F7B"/>
    <w:rsid w:val="08FB6F9D"/>
    <w:rsid w:val="08FB6FA4"/>
    <w:rsid w:val="08FB7027"/>
    <w:rsid w:val="08FB707C"/>
    <w:rsid w:val="08FB70C0"/>
    <w:rsid w:val="08FB70EF"/>
    <w:rsid w:val="08FB7123"/>
    <w:rsid w:val="08FB7171"/>
    <w:rsid w:val="08FB7192"/>
    <w:rsid w:val="08FB7289"/>
    <w:rsid w:val="08FB72DB"/>
    <w:rsid w:val="08FB7453"/>
    <w:rsid w:val="08FB748F"/>
    <w:rsid w:val="08FB74BD"/>
    <w:rsid w:val="08FB74C0"/>
    <w:rsid w:val="08FB74C5"/>
    <w:rsid w:val="08FB74EE"/>
    <w:rsid w:val="08FB75BB"/>
    <w:rsid w:val="08FB75BD"/>
    <w:rsid w:val="08FB76BB"/>
    <w:rsid w:val="08FB77A8"/>
    <w:rsid w:val="08FB78BA"/>
    <w:rsid w:val="08FB7902"/>
    <w:rsid w:val="08FB79A6"/>
    <w:rsid w:val="08FB79A8"/>
    <w:rsid w:val="08FB7A4C"/>
    <w:rsid w:val="08FB7A88"/>
    <w:rsid w:val="08FB7B81"/>
    <w:rsid w:val="08FB7C01"/>
    <w:rsid w:val="08FB7C6B"/>
    <w:rsid w:val="08FB7C78"/>
    <w:rsid w:val="08FB7CCD"/>
    <w:rsid w:val="08FB7E7D"/>
    <w:rsid w:val="08FB7F14"/>
    <w:rsid w:val="08FB7F81"/>
    <w:rsid w:val="08FB7FEC"/>
    <w:rsid w:val="08FC0057"/>
    <w:rsid w:val="08FC008E"/>
    <w:rsid w:val="08FC015D"/>
    <w:rsid w:val="08FC02AE"/>
    <w:rsid w:val="08FC02E6"/>
    <w:rsid w:val="08FC037F"/>
    <w:rsid w:val="08FC03D2"/>
    <w:rsid w:val="08FC0424"/>
    <w:rsid w:val="08FC049D"/>
    <w:rsid w:val="08FC0525"/>
    <w:rsid w:val="08FC05AD"/>
    <w:rsid w:val="08FC0663"/>
    <w:rsid w:val="08FC06C9"/>
    <w:rsid w:val="08FC074A"/>
    <w:rsid w:val="08FC0751"/>
    <w:rsid w:val="08FC07A1"/>
    <w:rsid w:val="08FC07D1"/>
    <w:rsid w:val="08FC07FC"/>
    <w:rsid w:val="08FC08FB"/>
    <w:rsid w:val="08FC0919"/>
    <w:rsid w:val="08FC094E"/>
    <w:rsid w:val="08FC0970"/>
    <w:rsid w:val="08FC09F8"/>
    <w:rsid w:val="08FC0A30"/>
    <w:rsid w:val="08FC0ADF"/>
    <w:rsid w:val="08FC0C27"/>
    <w:rsid w:val="08FC0CE5"/>
    <w:rsid w:val="08FC0D45"/>
    <w:rsid w:val="08FC0E50"/>
    <w:rsid w:val="08FC0F4B"/>
    <w:rsid w:val="08FC0F77"/>
    <w:rsid w:val="08FC0F96"/>
    <w:rsid w:val="08FC0FD2"/>
    <w:rsid w:val="08FC105D"/>
    <w:rsid w:val="08FC109B"/>
    <w:rsid w:val="08FC10B4"/>
    <w:rsid w:val="08FC10E5"/>
    <w:rsid w:val="08FC1108"/>
    <w:rsid w:val="08FC1140"/>
    <w:rsid w:val="08FC1166"/>
    <w:rsid w:val="08FC13AA"/>
    <w:rsid w:val="08FC14B7"/>
    <w:rsid w:val="08FC1527"/>
    <w:rsid w:val="08FC1531"/>
    <w:rsid w:val="08FC15D0"/>
    <w:rsid w:val="08FC1635"/>
    <w:rsid w:val="08FC167B"/>
    <w:rsid w:val="08FC178B"/>
    <w:rsid w:val="08FC179C"/>
    <w:rsid w:val="08FC1815"/>
    <w:rsid w:val="08FC1855"/>
    <w:rsid w:val="08FC185A"/>
    <w:rsid w:val="08FC191C"/>
    <w:rsid w:val="08FC19AE"/>
    <w:rsid w:val="08FC19C2"/>
    <w:rsid w:val="08FC19C5"/>
    <w:rsid w:val="08FC19FF"/>
    <w:rsid w:val="08FC1A12"/>
    <w:rsid w:val="08FC1A17"/>
    <w:rsid w:val="08FC1EF5"/>
    <w:rsid w:val="08FC1F1B"/>
    <w:rsid w:val="08FC1F9D"/>
    <w:rsid w:val="08FC2033"/>
    <w:rsid w:val="08FC218C"/>
    <w:rsid w:val="08FC21A3"/>
    <w:rsid w:val="08FC2448"/>
    <w:rsid w:val="08FC256F"/>
    <w:rsid w:val="08FC259B"/>
    <w:rsid w:val="08FC2776"/>
    <w:rsid w:val="08FC27AF"/>
    <w:rsid w:val="08FC27BC"/>
    <w:rsid w:val="08FC2896"/>
    <w:rsid w:val="08FC28A9"/>
    <w:rsid w:val="08FC298E"/>
    <w:rsid w:val="08FC29A1"/>
    <w:rsid w:val="08FC29CF"/>
    <w:rsid w:val="08FC2A20"/>
    <w:rsid w:val="08FC2A30"/>
    <w:rsid w:val="08FC2A75"/>
    <w:rsid w:val="08FC2A7F"/>
    <w:rsid w:val="08FC2A88"/>
    <w:rsid w:val="08FC2AB9"/>
    <w:rsid w:val="08FC2B66"/>
    <w:rsid w:val="08FC2BA3"/>
    <w:rsid w:val="08FC2C44"/>
    <w:rsid w:val="08FC2C6E"/>
    <w:rsid w:val="08FC2CA3"/>
    <w:rsid w:val="08FC2D2C"/>
    <w:rsid w:val="08FC2DF5"/>
    <w:rsid w:val="08FC2E61"/>
    <w:rsid w:val="08FC2E8F"/>
    <w:rsid w:val="08FC2ED1"/>
    <w:rsid w:val="08FC2F5A"/>
    <w:rsid w:val="08FC2F84"/>
    <w:rsid w:val="08FC2FEE"/>
    <w:rsid w:val="08FC2FFE"/>
    <w:rsid w:val="08FC3066"/>
    <w:rsid w:val="08FC30D4"/>
    <w:rsid w:val="08FC316D"/>
    <w:rsid w:val="08FC3188"/>
    <w:rsid w:val="08FC31B1"/>
    <w:rsid w:val="08FC31CF"/>
    <w:rsid w:val="08FC31DD"/>
    <w:rsid w:val="08FC3223"/>
    <w:rsid w:val="08FC3244"/>
    <w:rsid w:val="08FC3248"/>
    <w:rsid w:val="08FC3259"/>
    <w:rsid w:val="08FC32A8"/>
    <w:rsid w:val="08FC32F3"/>
    <w:rsid w:val="08FC332C"/>
    <w:rsid w:val="08FC332E"/>
    <w:rsid w:val="08FC333F"/>
    <w:rsid w:val="08FC3449"/>
    <w:rsid w:val="08FC3489"/>
    <w:rsid w:val="08FC3499"/>
    <w:rsid w:val="08FC34FF"/>
    <w:rsid w:val="08FC36F1"/>
    <w:rsid w:val="08FC3829"/>
    <w:rsid w:val="08FC38B4"/>
    <w:rsid w:val="08FC38EC"/>
    <w:rsid w:val="08FC398F"/>
    <w:rsid w:val="08FC3A51"/>
    <w:rsid w:val="08FC3A55"/>
    <w:rsid w:val="08FC3AA5"/>
    <w:rsid w:val="08FC3AB0"/>
    <w:rsid w:val="08FC3BCC"/>
    <w:rsid w:val="08FC3C34"/>
    <w:rsid w:val="08FC3C58"/>
    <w:rsid w:val="08FC3C5F"/>
    <w:rsid w:val="08FC3CC4"/>
    <w:rsid w:val="08FC3CDA"/>
    <w:rsid w:val="08FC3E12"/>
    <w:rsid w:val="08FC3E26"/>
    <w:rsid w:val="08FC3F0A"/>
    <w:rsid w:val="08FC3F61"/>
    <w:rsid w:val="08FC3F9A"/>
    <w:rsid w:val="08FC40C5"/>
    <w:rsid w:val="08FC4128"/>
    <w:rsid w:val="08FC4151"/>
    <w:rsid w:val="08FC415B"/>
    <w:rsid w:val="08FC4206"/>
    <w:rsid w:val="08FC421A"/>
    <w:rsid w:val="08FC4266"/>
    <w:rsid w:val="08FC42B4"/>
    <w:rsid w:val="08FC4310"/>
    <w:rsid w:val="08FC431B"/>
    <w:rsid w:val="08FC4326"/>
    <w:rsid w:val="08FC4394"/>
    <w:rsid w:val="08FC44A3"/>
    <w:rsid w:val="08FC44D6"/>
    <w:rsid w:val="08FC4508"/>
    <w:rsid w:val="08FC45B0"/>
    <w:rsid w:val="08FC4667"/>
    <w:rsid w:val="08FC46EE"/>
    <w:rsid w:val="08FC46F7"/>
    <w:rsid w:val="08FC475A"/>
    <w:rsid w:val="08FC4808"/>
    <w:rsid w:val="08FC48C1"/>
    <w:rsid w:val="08FC49EC"/>
    <w:rsid w:val="08FC4A76"/>
    <w:rsid w:val="08FC4CCE"/>
    <w:rsid w:val="08FC4D52"/>
    <w:rsid w:val="08FC4F2E"/>
    <w:rsid w:val="08FC4F49"/>
    <w:rsid w:val="08FC4F50"/>
    <w:rsid w:val="08FC4FB3"/>
    <w:rsid w:val="08FC503F"/>
    <w:rsid w:val="08FC5105"/>
    <w:rsid w:val="08FC512C"/>
    <w:rsid w:val="08FC514E"/>
    <w:rsid w:val="08FC527B"/>
    <w:rsid w:val="08FC52AA"/>
    <w:rsid w:val="08FC531C"/>
    <w:rsid w:val="08FC5388"/>
    <w:rsid w:val="08FC546C"/>
    <w:rsid w:val="08FC54F5"/>
    <w:rsid w:val="08FC55BC"/>
    <w:rsid w:val="08FC5631"/>
    <w:rsid w:val="08FC57B7"/>
    <w:rsid w:val="08FC5898"/>
    <w:rsid w:val="08FC58D9"/>
    <w:rsid w:val="08FC58E9"/>
    <w:rsid w:val="08FC5973"/>
    <w:rsid w:val="08FC59A6"/>
    <w:rsid w:val="08FC59D4"/>
    <w:rsid w:val="08FC59EC"/>
    <w:rsid w:val="08FC5A71"/>
    <w:rsid w:val="08FC5A72"/>
    <w:rsid w:val="08FC5A92"/>
    <w:rsid w:val="08FC5AC7"/>
    <w:rsid w:val="08FC5BA2"/>
    <w:rsid w:val="08FC5D2D"/>
    <w:rsid w:val="08FC5DB6"/>
    <w:rsid w:val="08FC5E75"/>
    <w:rsid w:val="08FC5EBC"/>
    <w:rsid w:val="08FC5F3D"/>
    <w:rsid w:val="08FC5FB3"/>
    <w:rsid w:val="08FC6051"/>
    <w:rsid w:val="08FC6082"/>
    <w:rsid w:val="08FC6083"/>
    <w:rsid w:val="08FC6088"/>
    <w:rsid w:val="08FC61C3"/>
    <w:rsid w:val="08FC6237"/>
    <w:rsid w:val="08FC6310"/>
    <w:rsid w:val="08FC6387"/>
    <w:rsid w:val="08FC6467"/>
    <w:rsid w:val="08FC6690"/>
    <w:rsid w:val="08FC6702"/>
    <w:rsid w:val="08FC6716"/>
    <w:rsid w:val="08FC671F"/>
    <w:rsid w:val="08FC679B"/>
    <w:rsid w:val="08FC67D9"/>
    <w:rsid w:val="08FC6800"/>
    <w:rsid w:val="08FC6825"/>
    <w:rsid w:val="08FC682D"/>
    <w:rsid w:val="08FC6955"/>
    <w:rsid w:val="08FC6969"/>
    <w:rsid w:val="08FC697E"/>
    <w:rsid w:val="08FC698D"/>
    <w:rsid w:val="08FC69AD"/>
    <w:rsid w:val="08FC6A71"/>
    <w:rsid w:val="08FC6AA6"/>
    <w:rsid w:val="08FC6B53"/>
    <w:rsid w:val="08FC6BA1"/>
    <w:rsid w:val="08FC6BB3"/>
    <w:rsid w:val="08FC6C10"/>
    <w:rsid w:val="08FC6C23"/>
    <w:rsid w:val="08FC6C2C"/>
    <w:rsid w:val="08FC6C4B"/>
    <w:rsid w:val="08FC6C95"/>
    <w:rsid w:val="08FC6CB6"/>
    <w:rsid w:val="08FC6D75"/>
    <w:rsid w:val="08FC6DE0"/>
    <w:rsid w:val="08FC6E28"/>
    <w:rsid w:val="08FC6E36"/>
    <w:rsid w:val="08FC6EF5"/>
    <w:rsid w:val="08FC6F06"/>
    <w:rsid w:val="08FC6FE3"/>
    <w:rsid w:val="08FC7013"/>
    <w:rsid w:val="08FC70A6"/>
    <w:rsid w:val="08FC70B1"/>
    <w:rsid w:val="08FC70EA"/>
    <w:rsid w:val="08FC713A"/>
    <w:rsid w:val="08FC7224"/>
    <w:rsid w:val="08FC7309"/>
    <w:rsid w:val="08FC73AC"/>
    <w:rsid w:val="08FC747C"/>
    <w:rsid w:val="08FC7584"/>
    <w:rsid w:val="08FC75A9"/>
    <w:rsid w:val="08FC75F0"/>
    <w:rsid w:val="08FC75F7"/>
    <w:rsid w:val="08FC7625"/>
    <w:rsid w:val="08FC7641"/>
    <w:rsid w:val="08FC76AB"/>
    <w:rsid w:val="08FC789D"/>
    <w:rsid w:val="08FC79B3"/>
    <w:rsid w:val="08FC79C3"/>
    <w:rsid w:val="08FC79C6"/>
    <w:rsid w:val="08FC79F7"/>
    <w:rsid w:val="08FC7ABF"/>
    <w:rsid w:val="08FC7B7E"/>
    <w:rsid w:val="08FC7B9D"/>
    <w:rsid w:val="08FC7BC1"/>
    <w:rsid w:val="08FC7D31"/>
    <w:rsid w:val="08FC7D69"/>
    <w:rsid w:val="08FC7D97"/>
    <w:rsid w:val="08FC7DB8"/>
    <w:rsid w:val="08FC7DBB"/>
    <w:rsid w:val="08FC7DF5"/>
    <w:rsid w:val="08FC7E7D"/>
    <w:rsid w:val="08FC7EF1"/>
    <w:rsid w:val="08FC7FBC"/>
    <w:rsid w:val="08FC7FBF"/>
    <w:rsid w:val="08FC7FE6"/>
    <w:rsid w:val="08FD0011"/>
    <w:rsid w:val="08FD00E0"/>
    <w:rsid w:val="08FD014B"/>
    <w:rsid w:val="08FD01CD"/>
    <w:rsid w:val="08FD026C"/>
    <w:rsid w:val="08FD0382"/>
    <w:rsid w:val="08FD03E1"/>
    <w:rsid w:val="08FD04BF"/>
    <w:rsid w:val="08FD051F"/>
    <w:rsid w:val="08FD05B2"/>
    <w:rsid w:val="08FD06C3"/>
    <w:rsid w:val="08FD0773"/>
    <w:rsid w:val="08FD0793"/>
    <w:rsid w:val="08FD0802"/>
    <w:rsid w:val="08FD0829"/>
    <w:rsid w:val="08FD086B"/>
    <w:rsid w:val="08FD0997"/>
    <w:rsid w:val="08FD09A6"/>
    <w:rsid w:val="08FD0A71"/>
    <w:rsid w:val="08FD0A93"/>
    <w:rsid w:val="08FD0C52"/>
    <w:rsid w:val="08FD0CAB"/>
    <w:rsid w:val="08FD0DDC"/>
    <w:rsid w:val="08FD0DF7"/>
    <w:rsid w:val="08FD0E23"/>
    <w:rsid w:val="08FD0E73"/>
    <w:rsid w:val="08FD0EB3"/>
    <w:rsid w:val="08FD0F71"/>
    <w:rsid w:val="08FD0FBC"/>
    <w:rsid w:val="08FD0FF4"/>
    <w:rsid w:val="08FD10BE"/>
    <w:rsid w:val="08FD10E1"/>
    <w:rsid w:val="08FD118F"/>
    <w:rsid w:val="08FD11EB"/>
    <w:rsid w:val="08FD1307"/>
    <w:rsid w:val="08FD1537"/>
    <w:rsid w:val="08FD158F"/>
    <w:rsid w:val="08FD15A0"/>
    <w:rsid w:val="08FD165A"/>
    <w:rsid w:val="08FD166E"/>
    <w:rsid w:val="08FD16F2"/>
    <w:rsid w:val="08FD171F"/>
    <w:rsid w:val="08FD172E"/>
    <w:rsid w:val="08FD182D"/>
    <w:rsid w:val="08FD1847"/>
    <w:rsid w:val="08FD18E4"/>
    <w:rsid w:val="08FD190D"/>
    <w:rsid w:val="08FD1936"/>
    <w:rsid w:val="08FD1937"/>
    <w:rsid w:val="08FD198E"/>
    <w:rsid w:val="08FD19CD"/>
    <w:rsid w:val="08FD19E3"/>
    <w:rsid w:val="08FD1A2B"/>
    <w:rsid w:val="08FD1AF0"/>
    <w:rsid w:val="08FD1B59"/>
    <w:rsid w:val="08FD1CC0"/>
    <w:rsid w:val="08FD1CC7"/>
    <w:rsid w:val="08FD1CDC"/>
    <w:rsid w:val="08FD1D5F"/>
    <w:rsid w:val="08FD1D62"/>
    <w:rsid w:val="08FD1E20"/>
    <w:rsid w:val="08FD1E95"/>
    <w:rsid w:val="08FD1EE5"/>
    <w:rsid w:val="08FD1F75"/>
    <w:rsid w:val="08FD2094"/>
    <w:rsid w:val="08FD2097"/>
    <w:rsid w:val="08FD20CB"/>
    <w:rsid w:val="08FD20E7"/>
    <w:rsid w:val="08FD20E9"/>
    <w:rsid w:val="08FD215D"/>
    <w:rsid w:val="08FD219F"/>
    <w:rsid w:val="08FD2226"/>
    <w:rsid w:val="08FD22A4"/>
    <w:rsid w:val="08FD242D"/>
    <w:rsid w:val="08FD24B5"/>
    <w:rsid w:val="08FD24EF"/>
    <w:rsid w:val="08FD258A"/>
    <w:rsid w:val="08FD25E4"/>
    <w:rsid w:val="08FD2601"/>
    <w:rsid w:val="08FD26FA"/>
    <w:rsid w:val="08FD27F9"/>
    <w:rsid w:val="08FD282A"/>
    <w:rsid w:val="08FD283B"/>
    <w:rsid w:val="08FD2871"/>
    <w:rsid w:val="08FD2881"/>
    <w:rsid w:val="08FD2899"/>
    <w:rsid w:val="08FD28E0"/>
    <w:rsid w:val="08FD28E2"/>
    <w:rsid w:val="08FD2917"/>
    <w:rsid w:val="08FD2947"/>
    <w:rsid w:val="08FD2A55"/>
    <w:rsid w:val="08FD2AF5"/>
    <w:rsid w:val="08FD2B1E"/>
    <w:rsid w:val="08FD2B73"/>
    <w:rsid w:val="08FD2B78"/>
    <w:rsid w:val="08FD2C32"/>
    <w:rsid w:val="08FD2D7F"/>
    <w:rsid w:val="08FD2D8F"/>
    <w:rsid w:val="08FD2E1F"/>
    <w:rsid w:val="08FD2E32"/>
    <w:rsid w:val="08FD2E9D"/>
    <w:rsid w:val="08FD2EA9"/>
    <w:rsid w:val="08FD2EB1"/>
    <w:rsid w:val="08FD2F54"/>
    <w:rsid w:val="08FD2F7F"/>
    <w:rsid w:val="08FD3044"/>
    <w:rsid w:val="08FD30DE"/>
    <w:rsid w:val="08FD319A"/>
    <w:rsid w:val="08FD3236"/>
    <w:rsid w:val="08FD32C5"/>
    <w:rsid w:val="08FD32D4"/>
    <w:rsid w:val="08FD3345"/>
    <w:rsid w:val="08FD3455"/>
    <w:rsid w:val="08FD34B9"/>
    <w:rsid w:val="08FD34C9"/>
    <w:rsid w:val="08FD35A9"/>
    <w:rsid w:val="08FD3694"/>
    <w:rsid w:val="08FD36CD"/>
    <w:rsid w:val="08FD3717"/>
    <w:rsid w:val="08FD37B1"/>
    <w:rsid w:val="08FD394D"/>
    <w:rsid w:val="08FD3955"/>
    <w:rsid w:val="08FD3982"/>
    <w:rsid w:val="08FD3A29"/>
    <w:rsid w:val="08FD3A41"/>
    <w:rsid w:val="08FD3A91"/>
    <w:rsid w:val="08FD3B0D"/>
    <w:rsid w:val="08FD3C07"/>
    <w:rsid w:val="08FD3C51"/>
    <w:rsid w:val="08FD3CD2"/>
    <w:rsid w:val="08FD3DC8"/>
    <w:rsid w:val="08FD3E3A"/>
    <w:rsid w:val="08FD3E58"/>
    <w:rsid w:val="08FD3EB3"/>
    <w:rsid w:val="08FD3F0C"/>
    <w:rsid w:val="08FD3F28"/>
    <w:rsid w:val="08FD3F69"/>
    <w:rsid w:val="08FD3FBF"/>
    <w:rsid w:val="08FD3FFF"/>
    <w:rsid w:val="08FD4042"/>
    <w:rsid w:val="08FD4118"/>
    <w:rsid w:val="08FD419C"/>
    <w:rsid w:val="08FD41A8"/>
    <w:rsid w:val="08FD42F2"/>
    <w:rsid w:val="08FD44F7"/>
    <w:rsid w:val="08FD4588"/>
    <w:rsid w:val="08FD45A9"/>
    <w:rsid w:val="08FD45FE"/>
    <w:rsid w:val="08FD4605"/>
    <w:rsid w:val="08FD4643"/>
    <w:rsid w:val="08FD464A"/>
    <w:rsid w:val="08FD4683"/>
    <w:rsid w:val="08FD4691"/>
    <w:rsid w:val="08FD4739"/>
    <w:rsid w:val="08FD474B"/>
    <w:rsid w:val="08FD4774"/>
    <w:rsid w:val="08FD47D8"/>
    <w:rsid w:val="08FD48EA"/>
    <w:rsid w:val="08FD49B9"/>
    <w:rsid w:val="08FD49C8"/>
    <w:rsid w:val="08FD49FD"/>
    <w:rsid w:val="08FD4A08"/>
    <w:rsid w:val="08FD4A2A"/>
    <w:rsid w:val="08FD4A7C"/>
    <w:rsid w:val="08FD4B07"/>
    <w:rsid w:val="08FD4B39"/>
    <w:rsid w:val="08FD4C27"/>
    <w:rsid w:val="08FD4CF8"/>
    <w:rsid w:val="08FD4D59"/>
    <w:rsid w:val="08FD4D5D"/>
    <w:rsid w:val="08FD4DE6"/>
    <w:rsid w:val="08FD4E55"/>
    <w:rsid w:val="08FD4EB7"/>
    <w:rsid w:val="08FD4EBC"/>
    <w:rsid w:val="08FD50BB"/>
    <w:rsid w:val="08FD516E"/>
    <w:rsid w:val="08FD524A"/>
    <w:rsid w:val="08FD5259"/>
    <w:rsid w:val="08FD52C3"/>
    <w:rsid w:val="08FD545A"/>
    <w:rsid w:val="08FD5572"/>
    <w:rsid w:val="08FD55D6"/>
    <w:rsid w:val="08FD57D1"/>
    <w:rsid w:val="08FD5834"/>
    <w:rsid w:val="08FD583D"/>
    <w:rsid w:val="08FD5876"/>
    <w:rsid w:val="08FD58AC"/>
    <w:rsid w:val="08FD5931"/>
    <w:rsid w:val="08FD5A3F"/>
    <w:rsid w:val="08FD5AEC"/>
    <w:rsid w:val="08FD5B04"/>
    <w:rsid w:val="08FD5B05"/>
    <w:rsid w:val="08FD5B56"/>
    <w:rsid w:val="08FD5BB2"/>
    <w:rsid w:val="08FD5BF0"/>
    <w:rsid w:val="08FD5C11"/>
    <w:rsid w:val="08FD5C77"/>
    <w:rsid w:val="08FD5D3D"/>
    <w:rsid w:val="08FD5DB7"/>
    <w:rsid w:val="08FD5DD9"/>
    <w:rsid w:val="08FD6030"/>
    <w:rsid w:val="08FD606E"/>
    <w:rsid w:val="08FD606F"/>
    <w:rsid w:val="08FD615C"/>
    <w:rsid w:val="08FD615F"/>
    <w:rsid w:val="08FD61D2"/>
    <w:rsid w:val="08FD61FB"/>
    <w:rsid w:val="08FD6210"/>
    <w:rsid w:val="08FD6244"/>
    <w:rsid w:val="08FD6302"/>
    <w:rsid w:val="08FD6361"/>
    <w:rsid w:val="08FD636B"/>
    <w:rsid w:val="08FD63AF"/>
    <w:rsid w:val="08FD6411"/>
    <w:rsid w:val="08FD64B6"/>
    <w:rsid w:val="08FD64EE"/>
    <w:rsid w:val="08FD6630"/>
    <w:rsid w:val="08FD6693"/>
    <w:rsid w:val="08FD66A3"/>
    <w:rsid w:val="08FD66F8"/>
    <w:rsid w:val="08FD675E"/>
    <w:rsid w:val="08FD677E"/>
    <w:rsid w:val="08FD68C7"/>
    <w:rsid w:val="08FD6904"/>
    <w:rsid w:val="08FD6988"/>
    <w:rsid w:val="08FD69B9"/>
    <w:rsid w:val="08FD69BF"/>
    <w:rsid w:val="08FD6A19"/>
    <w:rsid w:val="08FD6AA3"/>
    <w:rsid w:val="08FD6ABE"/>
    <w:rsid w:val="08FD6AD7"/>
    <w:rsid w:val="08FD6B1A"/>
    <w:rsid w:val="08FD6BAA"/>
    <w:rsid w:val="08FD6BB9"/>
    <w:rsid w:val="08FD6D30"/>
    <w:rsid w:val="08FD6D9A"/>
    <w:rsid w:val="08FD6E39"/>
    <w:rsid w:val="08FD6F2F"/>
    <w:rsid w:val="08FD6FC1"/>
    <w:rsid w:val="08FD703B"/>
    <w:rsid w:val="08FD7131"/>
    <w:rsid w:val="08FD71A2"/>
    <w:rsid w:val="08FD71DA"/>
    <w:rsid w:val="08FD71F1"/>
    <w:rsid w:val="08FD728A"/>
    <w:rsid w:val="08FD7296"/>
    <w:rsid w:val="08FD72CA"/>
    <w:rsid w:val="08FD7331"/>
    <w:rsid w:val="08FD733D"/>
    <w:rsid w:val="08FD76BF"/>
    <w:rsid w:val="08FD7746"/>
    <w:rsid w:val="08FD7792"/>
    <w:rsid w:val="08FD77DD"/>
    <w:rsid w:val="08FD77F9"/>
    <w:rsid w:val="08FD7806"/>
    <w:rsid w:val="08FD7822"/>
    <w:rsid w:val="08FD7986"/>
    <w:rsid w:val="08FD7A0D"/>
    <w:rsid w:val="08FD7A4D"/>
    <w:rsid w:val="08FD7A89"/>
    <w:rsid w:val="08FD7BB0"/>
    <w:rsid w:val="08FD7BC5"/>
    <w:rsid w:val="08FD7C20"/>
    <w:rsid w:val="08FD7D6E"/>
    <w:rsid w:val="08FD7D9B"/>
    <w:rsid w:val="08FD7DE5"/>
    <w:rsid w:val="08FD7E45"/>
    <w:rsid w:val="08FD7E59"/>
    <w:rsid w:val="08FD7EB7"/>
    <w:rsid w:val="08FD7F0B"/>
    <w:rsid w:val="08FD7F91"/>
    <w:rsid w:val="08FE0020"/>
    <w:rsid w:val="08FE010F"/>
    <w:rsid w:val="08FE013C"/>
    <w:rsid w:val="08FE0194"/>
    <w:rsid w:val="08FE0199"/>
    <w:rsid w:val="08FE01E9"/>
    <w:rsid w:val="08FE01EF"/>
    <w:rsid w:val="08FE0237"/>
    <w:rsid w:val="08FE0282"/>
    <w:rsid w:val="08FE029E"/>
    <w:rsid w:val="08FE02C7"/>
    <w:rsid w:val="08FE03D1"/>
    <w:rsid w:val="08FE0447"/>
    <w:rsid w:val="08FE0450"/>
    <w:rsid w:val="08FE04B6"/>
    <w:rsid w:val="08FE0552"/>
    <w:rsid w:val="08FE0592"/>
    <w:rsid w:val="08FE05A8"/>
    <w:rsid w:val="08FE0633"/>
    <w:rsid w:val="08FE0739"/>
    <w:rsid w:val="08FE078F"/>
    <w:rsid w:val="08FE07CD"/>
    <w:rsid w:val="08FE084F"/>
    <w:rsid w:val="08FE098B"/>
    <w:rsid w:val="08FE0A26"/>
    <w:rsid w:val="08FE0A3A"/>
    <w:rsid w:val="08FE0B0F"/>
    <w:rsid w:val="08FE0B11"/>
    <w:rsid w:val="08FE0B1B"/>
    <w:rsid w:val="08FE0B38"/>
    <w:rsid w:val="08FE0B66"/>
    <w:rsid w:val="08FE0BAF"/>
    <w:rsid w:val="08FE0BC1"/>
    <w:rsid w:val="08FE0BDA"/>
    <w:rsid w:val="08FE0C61"/>
    <w:rsid w:val="08FE0C7A"/>
    <w:rsid w:val="08FE0CA4"/>
    <w:rsid w:val="08FE0CD0"/>
    <w:rsid w:val="08FE0D25"/>
    <w:rsid w:val="08FE0D4F"/>
    <w:rsid w:val="08FE0DA9"/>
    <w:rsid w:val="08FE0DC3"/>
    <w:rsid w:val="08FE0DCD"/>
    <w:rsid w:val="08FE0E61"/>
    <w:rsid w:val="08FE0EB9"/>
    <w:rsid w:val="08FE0F46"/>
    <w:rsid w:val="08FE0FEA"/>
    <w:rsid w:val="08FE1009"/>
    <w:rsid w:val="08FE101E"/>
    <w:rsid w:val="08FE1082"/>
    <w:rsid w:val="08FE113C"/>
    <w:rsid w:val="08FE1168"/>
    <w:rsid w:val="08FE11AC"/>
    <w:rsid w:val="08FE125E"/>
    <w:rsid w:val="08FE1295"/>
    <w:rsid w:val="08FE12C2"/>
    <w:rsid w:val="08FE134E"/>
    <w:rsid w:val="08FE1365"/>
    <w:rsid w:val="08FE13F0"/>
    <w:rsid w:val="08FE1431"/>
    <w:rsid w:val="08FE1479"/>
    <w:rsid w:val="08FE1508"/>
    <w:rsid w:val="08FE15AC"/>
    <w:rsid w:val="08FE15B5"/>
    <w:rsid w:val="08FE15C3"/>
    <w:rsid w:val="08FE15DC"/>
    <w:rsid w:val="08FE165A"/>
    <w:rsid w:val="08FE1777"/>
    <w:rsid w:val="08FE17A8"/>
    <w:rsid w:val="08FE17FF"/>
    <w:rsid w:val="08FE183A"/>
    <w:rsid w:val="08FE1893"/>
    <w:rsid w:val="08FE18AB"/>
    <w:rsid w:val="08FE18B3"/>
    <w:rsid w:val="08FE18E9"/>
    <w:rsid w:val="08FE190D"/>
    <w:rsid w:val="08FE1969"/>
    <w:rsid w:val="08FE196F"/>
    <w:rsid w:val="08FE1A37"/>
    <w:rsid w:val="08FE1A38"/>
    <w:rsid w:val="08FE1AD0"/>
    <w:rsid w:val="08FE1B3F"/>
    <w:rsid w:val="08FE1B6D"/>
    <w:rsid w:val="08FE1B93"/>
    <w:rsid w:val="08FE1BB4"/>
    <w:rsid w:val="08FE1BC8"/>
    <w:rsid w:val="08FE1C1F"/>
    <w:rsid w:val="08FE1CAE"/>
    <w:rsid w:val="08FE1E94"/>
    <w:rsid w:val="08FE1FD6"/>
    <w:rsid w:val="08FE1FFC"/>
    <w:rsid w:val="08FE2020"/>
    <w:rsid w:val="08FE2059"/>
    <w:rsid w:val="08FE207C"/>
    <w:rsid w:val="08FE2146"/>
    <w:rsid w:val="08FE21EB"/>
    <w:rsid w:val="08FE2220"/>
    <w:rsid w:val="08FE227F"/>
    <w:rsid w:val="08FE22FA"/>
    <w:rsid w:val="08FE2331"/>
    <w:rsid w:val="08FE2367"/>
    <w:rsid w:val="08FE2371"/>
    <w:rsid w:val="08FE23CA"/>
    <w:rsid w:val="08FE23D8"/>
    <w:rsid w:val="08FE248B"/>
    <w:rsid w:val="08FE24FD"/>
    <w:rsid w:val="08FE2535"/>
    <w:rsid w:val="08FE25ED"/>
    <w:rsid w:val="08FE267D"/>
    <w:rsid w:val="08FE26AD"/>
    <w:rsid w:val="08FE26C9"/>
    <w:rsid w:val="08FE2719"/>
    <w:rsid w:val="08FE2779"/>
    <w:rsid w:val="08FE286D"/>
    <w:rsid w:val="08FE28B7"/>
    <w:rsid w:val="08FE29C4"/>
    <w:rsid w:val="08FE29CE"/>
    <w:rsid w:val="08FE29EA"/>
    <w:rsid w:val="08FE2A25"/>
    <w:rsid w:val="08FE2A31"/>
    <w:rsid w:val="08FE2AF4"/>
    <w:rsid w:val="08FE2B8A"/>
    <w:rsid w:val="08FE2BB7"/>
    <w:rsid w:val="08FE2BF4"/>
    <w:rsid w:val="08FE2C08"/>
    <w:rsid w:val="08FE2C55"/>
    <w:rsid w:val="08FE2C67"/>
    <w:rsid w:val="08FE2CCC"/>
    <w:rsid w:val="08FE2D6F"/>
    <w:rsid w:val="08FE2DBF"/>
    <w:rsid w:val="08FE2E06"/>
    <w:rsid w:val="08FE2ECB"/>
    <w:rsid w:val="08FE2FA6"/>
    <w:rsid w:val="08FE311A"/>
    <w:rsid w:val="08FE31DF"/>
    <w:rsid w:val="08FE330F"/>
    <w:rsid w:val="08FE3371"/>
    <w:rsid w:val="08FE343D"/>
    <w:rsid w:val="08FE34B4"/>
    <w:rsid w:val="08FE3521"/>
    <w:rsid w:val="08FE374E"/>
    <w:rsid w:val="08FE3795"/>
    <w:rsid w:val="08FE3861"/>
    <w:rsid w:val="08FE38A1"/>
    <w:rsid w:val="08FE3936"/>
    <w:rsid w:val="08FE3A28"/>
    <w:rsid w:val="08FE3AC9"/>
    <w:rsid w:val="08FE3AD2"/>
    <w:rsid w:val="08FE3B09"/>
    <w:rsid w:val="08FE3B0B"/>
    <w:rsid w:val="08FE3B8D"/>
    <w:rsid w:val="08FE3BCE"/>
    <w:rsid w:val="08FE3BD6"/>
    <w:rsid w:val="08FE3CF1"/>
    <w:rsid w:val="08FE3CFF"/>
    <w:rsid w:val="08FE3D15"/>
    <w:rsid w:val="08FE3E17"/>
    <w:rsid w:val="08FE3E1F"/>
    <w:rsid w:val="08FE3EE9"/>
    <w:rsid w:val="08FE3F22"/>
    <w:rsid w:val="08FE3F5C"/>
    <w:rsid w:val="08FE3F84"/>
    <w:rsid w:val="08FE3FC7"/>
    <w:rsid w:val="08FE4022"/>
    <w:rsid w:val="08FE4069"/>
    <w:rsid w:val="08FE413D"/>
    <w:rsid w:val="08FE41CC"/>
    <w:rsid w:val="08FE425F"/>
    <w:rsid w:val="08FE4297"/>
    <w:rsid w:val="08FE42A5"/>
    <w:rsid w:val="08FE430D"/>
    <w:rsid w:val="08FE4316"/>
    <w:rsid w:val="08FE43CD"/>
    <w:rsid w:val="08FE43E7"/>
    <w:rsid w:val="08FE4432"/>
    <w:rsid w:val="08FE4435"/>
    <w:rsid w:val="08FE4446"/>
    <w:rsid w:val="08FE4679"/>
    <w:rsid w:val="08FE46DB"/>
    <w:rsid w:val="08FE4747"/>
    <w:rsid w:val="08FE47BF"/>
    <w:rsid w:val="08FE486D"/>
    <w:rsid w:val="08FE49A1"/>
    <w:rsid w:val="08FE4AA6"/>
    <w:rsid w:val="08FE4AE1"/>
    <w:rsid w:val="08FE4B1A"/>
    <w:rsid w:val="08FE4B9E"/>
    <w:rsid w:val="08FE4BE1"/>
    <w:rsid w:val="08FE4C96"/>
    <w:rsid w:val="08FE4CF7"/>
    <w:rsid w:val="08FE4EAB"/>
    <w:rsid w:val="08FE4FC1"/>
    <w:rsid w:val="08FE5050"/>
    <w:rsid w:val="08FE510B"/>
    <w:rsid w:val="08FE5123"/>
    <w:rsid w:val="08FE5134"/>
    <w:rsid w:val="08FE5193"/>
    <w:rsid w:val="08FE519C"/>
    <w:rsid w:val="08FE5259"/>
    <w:rsid w:val="08FE5426"/>
    <w:rsid w:val="08FE54AE"/>
    <w:rsid w:val="08FE54E1"/>
    <w:rsid w:val="08FE555F"/>
    <w:rsid w:val="08FE562B"/>
    <w:rsid w:val="08FE5656"/>
    <w:rsid w:val="08FE5726"/>
    <w:rsid w:val="08FE5784"/>
    <w:rsid w:val="08FE5798"/>
    <w:rsid w:val="08FE5839"/>
    <w:rsid w:val="08FE584D"/>
    <w:rsid w:val="08FE586D"/>
    <w:rsid w:val="08FE58EC"/>
    <w:rsid w:val="08FE5913"/>
    <w:rsid w:val="08FE5943"/>
    <w:rsid w:val="08FE5A0A"/>
    <w:rsid w:val="08FE5A56"/>
    <w:rsid w:val="08FE5BA4"/>
    <w:rsid w:val="08FE5C47"/>
    <w:rsid w:val="08FE5C92"/>
    <w:rsid w:val="08FE5CAB"/>
    <w:rsid w:val="08FE5D87"/>
    <w:rsid w:val="08FE5D8F"/>
    <w:rsid w:val="08FE5DEE"/>
    <w:rsid w:val="08FE5E5C"/>
    <w:rsid w:val="08FE5ECD"/>
    <w:rsid w:val="08FE5EFB"/>
    <w:rsid w:val="08FE5EFE"/>
    <w:rsid w:val="08FE5F79"/>
    <w:rsid w:val="08FE5FF2"/>
    <w:rsid w:val="08FE603F"/>
    <w:rsid w:val="08FE6191"/>
    <w:rsid w:val="08FE61DF"/>
    <w:rsid w:val="08FE641C"/>
    <w:rsid w:val="08FE650C"/>
    <w:rsid w:val="08FE6528"/>
    <w:rsid w:val="08FE65E1"/>
    <w:rsid w:val="08FE6647"/>
    <w:rsid w:val="08FE664B"/>
    <w:rsid w:val="08FE6676"/>
    <w:rsid w:val="08FE6713"/>
    <w:rsid w:val="08FE672A"/>
    <w:rsid w:val="08FE67AD"/>
    <w:rsid w:val="08FE69C2"/>
    <w:rsid w:val="08FE69DE"/>
    <w:rsid w:val="08FE69EC"/>
    <w:rsid w:val="08FE6B98"/>
    <w:rsid w:val="08FE6BFD"/>
    <w:rsid w:val="08FE6CA7"/>
    <w:rsid w:val="08FE6CC8"/>
    <w:rsid w:val="08FE6D2D"/>
    <w:rsid w:val="08FE6D40"/>
    <w:rsid w:val="08FE6E24"/>
    <w:rsid w:val="08FE6F49"/>
    <w:rsid w:val="08FE6F6A"/>
    <w:rsid w:val="08FE6FB7"/>
    <w:rsid w:val="08FE6FF0"/>
    <w:rsid w:val="08FE70C2"/>
    <w:rsid w:val="08FE71BA"/>
    <w:rsid w:val="08FE721E"/>
    <w:rsid w:val="08FE7287"/>
    <w:rsid w:val="08FE72CF"/>
    <w:rsid w:val="08FE7315"/>
    <w:rsid w:val="08FE7346"/>
    <w:rsid w:val="08FE73AF"/>
    <w:rsid w:val="08FE73E2"/>
    <w:rsid w:val="08FE741D"/>
    <w:rsid w:val="08FE7461"/>
    <w:rsid w:val="08FE74A5"/>
    <w:rsid w:val="08FE74BD"/>
    <w:rsid w:val="08FE74D7"/>
    <w:rsid w:val="08FE7517"/>
    <w:rsid w:val="08FE769F"/>
    <w:rsid w:val="08FE77AF"/>
    <w:rsid w:val="08FE789A"/>
    <w:rsid w:val="08FE78FB"/>
    <w:rsid w:val="08FE7908"/>
    <w:rsid w:val="08FE79FE"/>
    <w:rsid w:val="08FE7A22"/>
    <w:rsid w:val="08FE7AF0"/>
    <w:rsid w:val="08FE7B0E"/>
    <w:rsid w:val="08FE7BDE"/>
    <w:rsid w:val="08FE7D04"/>
    <w:rsid w:val="08FE7DA8"/>
    <w:rsid w:val="08FE7E0E"/>
    <w:rsid w:val="08FE7E1D"/>
    <w:rsid w:val="08FE7EE0"/>
    <w:rsid w:val="08FE7F1E"/>
    <w:rsid w:val="08FE7F7B"/>
    <w:rsid w:val="08FE7F91"/>
    <w:rsid w:val="08FE7FC5"/>
    <w:rsid w:val="08FE7FCE"/>
    <w:rsid w:val="08FF00E2"/>
    <w:rsid w:val="08FF0110"/>
    <w:rsid w:val="08FF016C"/>
    <w:rsid w:val="08FF0185"/>
    <w:rsid w:val="08FF0207"/>
    <w:rsid w:val="08FF022D"/>
    <w:rsid w:val="08FF024F"/>
    <w:rsid w:val="08FF029B"/>
    <w:rsid w:val="08FF02B2"/>
    <w:rsid w:val="08FF02E0"/>
    <w:rsid w:val="08FF030D"/>
    <w:rsid w:val="08FF03C2"/>
    <w:rsid w:val="08FF0485"/>
    <w:rsid w:val="08FF0490"/>
    <w:rsid w:val="08FF04DA"/>
    <w:rsid w:val="08FF04F2"/>
    <w:rsid w:val="08FF0554"/>
    <w:rsid w:val="08FF0559"/>
    <w:rsid w:val="08FF05D8"/>
    <w:rsid w:val="08FF0851"/>
    <w:rsid w:val="08FF0894"/>
    <w:rsid w:val="08FF0908"/>
    <w:rsid w:val="08FF0982"/>
    <w:rsid w:val="08FF0A96"/>
    <w:rsid w:val="08FF0AB2"/>
    <w:rsid w:val="08FF0AD3"/>
    <w:rsid w:val="08FF0B95"/>
    <w:rsid w:val="08FF0DC8"/>
    <w:rsid w:val="08FF0FEC"/>
    <w:rsid w:val="08FF10EB"/>
    <w:rsid w:val="08FF121A"/>
    <w:rsid w:val="08FF141A"/>
    <w:rsid w:val="08FF153D"/>
    <w:rsid w:val="08FF1654"/>
    <w:rsid w:val="08FF16D1"/>
    <w:rsid w:val="08FF188D"/>
    <w:rsid w:val="08FF192E"/>
    <w:rsid w:val="08FF1945"/>
    <w:rsid w:val="08FF199C"/>
    <w:rsid w:val="08FF19B3"/>
    <w:rsid w:val="08FF19F4"/>
    <w:rsid w:val="08FF1A86"/>
    <w:rsid w:val="08FF1AD8"/>
    <w:rsid w:val="08FF1B91"/>
    <w:rsid w:val="08FF1B9D"/>
    <w:rsid w:val="08FF1BF9"/>
    <w:rsid w:val="08FF1C53"/>
    <w:rsid w:val="08FF1CF7"/>
    <w:rsid w:val="08FF1D0F"/>
    <w:rsid w:val="08FF1D62"/>
    <w:rsid w:val="08FF1D7A"/>
    <w:rsid w:val="08FF1DDB"/>
    <w:rsid w:val="08FF1E32"/>
    <w:rsid w:val="08FF1E6F"/>
    <w:rsid w:val="08FF1E7C"/>
    <w:rsid w:val="08FF1E9A"/>
    <w:rsid w:val="08FF1EA2"/>
    <w:rsid w:val="08FF1F21"/>
    <w:rsid w:val="08FF1F6D"/>
    <w:rsid w:val="08FF2097"/>
    <w:rsid w:val="08FF20FB"/>
    <w:rsid w:val="08FF212F"/>
    <w:rsid w:val="08FF2197"/>
    <w:rsid w:val="08FF221F"/>
    <w:rsid w:val="08FF226C"/>
    <w:rsid w:val="08FF22D9"/>
    <w:rsid w:val="08FF22DF"/>
    <w:rsid w:val="08FF2393"/>
    <w:rsid w:val="08FF2428"/>
    <w:rsid w:val="08FF2489"/>
    <w:rsid w:val="08FF248E"/>
    <w:rsid w:val="08FF24EC"/>
    <w:rsid w:val="08FF2822"/>
    <w:rsid w:val="08FF28E5"/>
    <w:rsid w:val="08FF29A1"/>
    <w:rsid w:val="08FF2A7F"/>
    <w:rsid w:val="08FF2A94"/>
    <w:rsid w:val="08FF2AB2"/>
    <w:rsid w:val="08FF2B95"/>
    <w:rsid w:val="08FF2BEB"/>
    <w:rsid w:val="08FF2C27"/>
    <w:rsid w:val="08FF2CC0"/>
    <w:rsid w:val="08FF2D3B"/>
    <w:rsid w:val="08FF2E35"/>
    <w:rsid w:val="08FF2FF8"/>
    <w:rsid w:val="08FF302D"/>
    <w:rsid w:val="08FF310F"/>
    <w:rsid w:val="08FF3161"/>
    <w:rsid w:val="08FF33AC"/>
    <w:rsid w:val="08FF33EF"/>
    <w:rsid w:val="08FF3427"/>
    <w:rsid w:val="08FF36AD"/>
    <w:rsid w:val="08FF370C"/>
    <w:rsid w:val="08FF3716"/>
    <w:rsid w:val="08FF372F"/>
    <w:rsid w:val="08FF374E"/>
    <w:rsid w:val="08FF38C9"/>
    <w:rsid w:val="08FF397E"/>
    <w:rsid w:val="08FF397F"/>
    <w:rsid w:val="08FF39BF"/>
    <w:rsid w:val="08FF39C6"/>
    <w:rsid w:val="08FF3A18"/>
    <w:rsid w:val="08FF3A6C"/>
    <w:rsid w:val="08FF3B31"/>
    <w:rsid w:val="08FF3B3B"/>
    <w:rsid w:val="08FF3BE4"/>
    <w:rsid w:val="08FF3C71"/>
    <w:rsid w:val="08FF3CD0"/>
    <w:rsid w:val="08FF3E00"/>
    <w:rsid w:val="08FF3E83"/>
    <w:rsid w:val="08FF3EA8"/>
    <w:rsid w:val="08FF3F2D"/>
    <w:rsid w:val="08FF3F54"/>
    <w:rsid w:val="08FF3F86"/>
    <w:rsid w:val="08FF40B0"/>
    <w:rsid w:val="08FF410C"/>
    <w:rsid w:val="08FF4135"/>
    <w:rsid w:val="08FF4162"/>
    <w:rsid w:val="08FF4225"/>
    <w:rsid w:val="08FF4349"/>
    <w:rsid w:val="08FF4362"/>
    <w:rsid w:val="08FF43C5"/>
    <w:rsid w:val="08FF43D1"/>
    <w:rsid w:val="08FF445D"/>
    <w:rsid w:val="08FF4502"/>
    <w:rsid w:val="08FF451D"/>
    <w:rsid w:val="08FF458D"/>
    <w:rsid w:val="08FF4624"/>
    <w:rsid w:val="08FF466A"/>
    <w:rsid w:val="08FF468A"/>
    <w:rsid w:val="08FF46B5"/>
    <w:rsid w:val="08FF46CE"/>
    <w:rsid w:val="08FF471E"/>
    <w:rsid w:val="08FF4898"/>
    <w:rsid w:val="08FF4905"/>
    <w:rsid w:val="08FF49AD"/>
    <w:rsid w:val="08FF4A01"/>
    <w:rsid w:val="08FF4BBC"/>
    <w:rsid w:val="08FF4BC7"/>
    <w:rsid w:val="08FF4BEE"/>
    <w:rsid w:val="08FF4C71"/>
    <w:rsid w:val="08FF4F1C"/>
    <w:rsid w:val="08FF4F9D"/>
    <w:rsid w:val="08FF5006"/>
    <w:rsid w:val="08FF50CF"/>
    <w:rsid w:val="08FF5178"/>
    <w:rsid w:val="08FF517F"/>
    <w:rsid w:val="08FF51D9"/>
    <w:rsid w:val="08FF52E2"/>
    <w:rsid w:val="08FF5330"/>
    <w:rsid w:val="08FF5480"/>
    <w:rsid w:val="08FF5481"/>
    <w:rsid w:val="08FF5556"/>
    <w:rsid w:val="08FF557A"/>
    <w:rsid w:val="08FF55AF"/>
    <w:rsid w:val="08FF5662"/>
    <w:rsid w:val="08FF56AB"/>
    <w:rsid w:val="08FF56C6"/>
    <w:rsid w:val="08FF5727"/>
    <w:rsid w:val="08FF572E"/>
    <w:rsid w:val="08FF57D5"/>
    <w:rsid w:val="08FF5819"/>
    <w:rsid w:val="08FF5860"/>
    <w:rsid w:val="08FF586B"/>
    <w:rsid w:val="08FF58D7"/>
    <w:rsid w:val="08FF5952"/>
    <w:rsid w:val="08FF59D9"/>
    <w:rsid w:val="08FF5A20"/>
    <w:rsid w:val="08FF5A60"/>
    <w:rsid w:val="08FF5B3E"/>
    <w:rsid w:val="08FF5B9B"/>
    <w:rsid w:val="08FF5BA9"/>
    <w:rsid w:val="08FF5C0A"/>
    <w:rsid w:val="08FF5C4B"/>
    <w:rsid w:val="08FF5C83"/>
    <w:rsid w:val="08FF5CA1"/>
    <w:rsid w:val="08FF5D35"/>
    <w:rsid w:val="08FF5D73"/>
    <w:rsid w:val="08FF5E0D"/>
    <w:rsid w:val="08FF5E1B"/>
    <w:rsid w:val="08FF5E9B"/>
    <w:rsid w:val="08FF5EB2"/>
    <w:rsid w:val="08FF5EDE"/>
    <w:rsid w:val="08FF5F53"/>
    <w:rsid w:val="08FF6035"/>
    <w:rsid w:val="08FF6070"/>
    <w:rsid w:val="08FF60CC"/>
    <w:rsid w:val="08FF610F"/>
    <w:rsid w:val="08FF614E"/>
    <w:rsid w:val="08FF61A5"/>
    <w:rsid w:val="08FF61E6"/>
    <w:rsid w:val="08FF62E3"/>
    <w:rsid w:val="08FF639C"/>
    <w:rsid w:val="08FF63B9"/>
    <w:rsid w:val="08FF63FD"/>
    <w:rsid w:val="08FF6403"/>
    <w:rsid w:val="08FF6510"/>
    <w:rsid w:val="08FF6575"/>
    <w:rsid w:val="08FF6645"/>
    <w:rsid w:val="08FF6698"/>
    <w:rsid w:val="08FF6882"/>
    <w:rsid w:val="08FF6910"/>
    <w:rsid w:val="08FF6928"/>
    <w:rsid w:val="08FF69EA"/>
    <w:rsid w:val="08FF6A20"/>
    <w:rsid w:val="08FF6A5C"/>
    <w:rsid w:val="08FF6ADB"/>
    <w:rsid w:val="08FF6B11"/>
    <w:rsid w:val="08FF6BC5"/>
    <w:rsid w:val="08FF6CF1"/>
    <w:rsid w:val="08FF6D13"/>
    <w:rsid w:val="08FF6DDD"/>
    <w:rsid w:val="08FF6DFE"/>
    <w:rsid w:val="08FF6E35"/>
    <w:rsid w:val="08FF6EF5"/>
    <w:rsid w:val="08FF6FAC"/>
    <w:rsid w:val="08FF7173"/>
    <w:rsid w:val="08FF7197"/>
    <w:rsid w:val="08FF71C3"/>
    <w:rsid w:val="08FF7296"/>
    <w:rsid w:val="08FF72C1"/>
    <w:rsid w:val="08FF730F"/>
    <w:rsid w:val="08FF7323"/>
    <w:rsid w:val="08FF7353"/>
    <w:rsid w:val="08FF73C1"/>
    <w:rsid w:val="08FF74F8"/>
    <w:rsid w:val="08FF7542"/>
    <w:rsid w:val="08FF76D2"/>
    <w:rsid w:val="08FF7730"/>
    <w:rsid w:val="08FF77A0"/>
    <w:rsid w:val="08FF77B7"/>
    <w:rsid w:val="08FF77E9"/>
    <w:rsid w:val="08FF78A1"/>
    <w:rsid w:val="08FF7989"/>
    <w:rsid w:val="08FF7A69"/>
    <w:rsid w:val="08FF7C10"/>
    <w:rsid w:val="08FF7D46"/>
    <w:rsid w:val="08FF7D83"/>
    <w:rsid w:val="08FF7E91"/>
    <w:rsid w:val="08FF7EA0"/>
    <w:rsid w:val="08FF7EB2"/>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3481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lsdException w:name="heading 5" w:semiHidden="0" w:uiPriority="0" w:unhideWhenUsed="0"/>
    <w:lsdException w:name="heading 6" w:semiHidden="0" w:uiPriority="0" w:unhideWhenUsed="0"/>
    <w:lsdException w:name="heading 7" w:semiHidden="0" w:uiPriority="0" w:unhideWhenUsed="0"/>
    <w:lsdException w:name="heading 8" w:semiHidden="0" w:uiPriority="0" w:unhideWhenUsed="0"/>
    <w:lsdException w:name="heading 9" w:semiHidden="0" w:uiPriority="0" w:unhideWhenUsed="0"/>
    <w:lsdException w:name="index 2" w:qFormat="1"/>
    <w:lsdException w:name="index 4" w:uiPriority="0"/>
    <w:lsdException w:name="index 5" w:uiPriority="0"/>
    <w:lsdException w:name="index 6" w:uiPriority="0"/>
    <w:lsdException w:name="index 7" w:uiPriority="0"/>
    <w:lsdException w:name="index 8" w:uiPriority="0"/>
    <w:lsdException w:name="index 9"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footnote text" w:qFormat="1"/>
    <w:lsdException w:name="header" w:uiPriority="0"/>
    <w:lsdException w:name="caption" w:uiPriority="0" w:qFormat="1"/>
    <w:lsdException w:name="table of figures" w:uiPriority="0"/>
    <w:lsdException w:name="footnote reference" w:uiPriority="0" w:qFormat="1"/>
    <w:lsdException w:name="page number" w:uiPriority="0"/>
    <w:lsdException w:name="endnote reference" w:uiPriority="0"/>
    <w:lsdException w:name="List" w:uiPriority="0"/>
    <w:lsdException w:name="List Bullet" w:uiPriority="0"/>
    <w:lsdException w:name="List 2" w:uiPriority="0"/>
    <w:lsdException w:name="Title" w:semiHidden="0" w:uiPriority="10" w:unhideWhenUsed="0"/>
    <w:lsdException w:name="Default Paragraph Font" w:uiPriority="1"/>
    <w:lsdException w:name="Body Text" w:uiPriority="0"/>
    <w:lsdException w:name="Subtitle" w:semiHidden="0" w:uiPriority="11" w:unhideWhenUsed="0"/>
    <w:lsdException w:name="FollowedHyperlink" w:uiPriority="0"/>
    <w:lsdException w:name="Strong" w:semiHidden="0" w:uiPriority="22" w:unhideWhenUsed="0"/>
    <w:lsdException w:name="Emphasis" w:semiHidden="0" w:uiPriority="20" w:unhideWhenUsed="0"/>
    <w:lsdException w:name="Document Map" w:uiPriority="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0"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latentStyles>
  <w:style w:type="paragraph" w:default="1" w:styleId="Normln">
    <w:name w:val="Normal"/>
    <w:qFormat/>
    <w:rsid w:val="00347238"/>
    <w:pPr>
      <w:spacing w:line="360" w:lineRule="auto"/>
      <w:jc w:val="both"/>
    </w:pPr>
    <w:rPr>
      <w:rFonts w:ascii="Calibri" w:eastAsia="Times" w:hAnsi="Calibri"/>
      <w:sz w:val="24"/>
    </w:rPr>
  </w:style>
  <w:style w:type="paragraph" w:styleId="Nadpis1">
    <w:name w:val="heading 1"/>
    <w:basedOn w:val="Normln"/>
    <w:next w:val="Normln"/>
    <w:link w:val="Nadpis1Char"/>
    <w:uiPriority w:val="9"/>
    <w:qFormat/>
    <w:rsid w:val="08D96339"/>
    <w:pPr>
      <w:keepNext/>
      <w:keepLines/>
      <w:spacing w:before="240" w:after="120" w:line="288" w:lineRule="auto"/>
      <w:jc w:val="left"/>
      <w:outlineLvl w:val="0"/>
    </w:pPr>
    <w:rPr>
      <w:rFonts w:ascii="Cambria" w:eastAsia="Times New Roman" w:hAnsi="Cambria"/>
      <w:b/>
      <w:bCs/>
      <w:sz w:val="26"/>
      <w:szCs w:val="28"/>
      <w:lang w:val="x-none" w:eastAsia="en-US"/>
    </w:rPr>
  </w:style>
  <w:style w:type="paragraph" w:styleId="Nadpis2">
    <w:name w:val="heading 2"/>
    <w:basedOn w:val="Normln"/>
    <w:next w:val="Normln"/>
    <w:link w:val="Nadpis2Char"/>
    <w:uiPriority w:val="9"/>
    <w:unhideWhenUsed/>
    <w:qFormat/>
    <w:rsid w:val="08D96339"/>
    <w:pPr>
      <w:keepNext/>
      <w:keepLines/>
      <w:spacing w:before="200" w:after="120" w:line="288" w:lineRule="auto"/>
      <w:jc w:val="left"/>
      <w:outlineLvl w:val="1"/>
    </w:pPr>
    <w:rPr>
      <w:rFonts w:ascii="Cambria" w:eastAsia="Times New Roman" w:hAnsi="Cambria"/>
      <w:b/>
      <w:bCs/>
      <w:szCs w:val="26"/>
      <w:lang w:val="x-none" w:eastAsia="en-US"/>
    </w:rPr>
  </w:style>
  <w:style w:type="paragraph" w:styleId="Nadpis3">
    <w:name w:val="heading 3"/>
    <w:basedOn w:val="Normln"/>
    <w:next w:val="Normln"/>
    <w:link w:val="Nadpis3Char"/>
    <w:autoRedefine/>
    <w:uiPriority w:val="9"/>
    <w:unhideWhenUsed/>
    <w:qFormat/>
    <w:rsid w:val="00C661D8"/>
    <w:pPr>
      <w:keepNext/>
      <w:keepLines/>
      <w:spacing w:before="200" w:after="120" w:line="288" w:lineRule="auto"/>
      <w:jc w:val="left"/>
      <w:outlineLvl w:val="2"/>
    </w:pPr>
    <w:rPr>
      <w:b/>
      <w:bCs/>
      <w:szCs w:val="28"/>
      <w:lang w:eastAsia="en-US"/>
    </w:rPr>
  </w:style>
  <w:style w:type="paragraph" w:styleId="Nadpis4">
    <w:name w:val="heading 4"/>
    <w:basedOn w:val="Normln"/>
    <w:next w:val="Normln"/>
    <w:link w:val="Nadpis4Char"/>
    <w:uiPriority w:val="9"/>
    <w:rsid w:val="00254726"/>
    <w:pPr>
      <w:keepNext/>
      <w:spacing w:before="240" w:after="60"/>
      <w:outlineLvl w:val="3"/>
    </w:pPr>
    <w:rPr>
      <w:rFonts w:ascii="Arial" w:hAnsi="Arial"/>
      <w:bCs/>
      <w:szCs w:val="28"/>
      <w:lang w:val="x-none" w:eastAsia="x-none"/>
    </w:rPr>
  </w:style>
  <w:style w:type="paragraph" w:styleId="Nadpis5">
    <w:name w:val="heading 5"/>
    <w:basedOn w:val="Normln"/>
    <w:next w:val="Normln"/>
    <w:link w:val="Nadpis5Char"/>
    <w:rsid w:val="00254726"/>
    <w:pPr>
      <w:keepNext/>
      <w:outlineLvl w:val="4"/>
    </w:pPr>
    <w:rPr>
      <w:i/>
      <w:iCs/>
      <w:lang w:val="x-none" w:eastAsia="x-none"/>
    </w:rPr>
  </w:style>
  <w:style w:type="paragraph" w:styleId="Nadpis6">
    <w:name w:val="heading 6"/>
    <w:basedOn w:val="Normln"/>
    <w:next w:val="Normln"/>
    <w:link w:val="Nadpis6Char"/>
    <w:rsid w:val="00254726"/>
    <w:pPr>
      <w:numPr>
        <w:ilvl w:val="5"/>
        <w:numId w:val="1"/>
      </w:numPr>
      <w:spacing w:before="280" w:after="280" w:line="240" w:lineRule="auto"/>
      <w:jc w:val="left"/>
      <w:outlineLvl w:val="5"/>
    </w:pPr>
    <w:rPr>
      <w:b/>
      <w:bCs/>
      <w:sz w:val="15"/>
      <w:szCs w:val="15"/>
      <w:lang w:val="x-none" w:eastAsia="x-none"/>
    </w:rPr>
  </w:style>
  <w:style w:type="paragraph" w:styleId="Nadpis7">
    <w:name w:val="heading 7"/>
    <w:basedOn w:val="Normln"/>
    <w:next w:val="Normln"/>
    <w:link w:val="Nadpis7Char"/>
    <w:rsid w:val="00254726"/>
    <w:pPr>
      <w:keepNext/>
      <w:numPr>
        <w:ilvl w:val="6"/>
        <w:numId w:val="1"/>
      </w:numPr>
      <w:spacing w:line="240" w:lineRule="auto"/>
      <w:jc w:val="center"/>
      <w:outlineLvl w:val="6"/>
    </w:pPr>
    <w:rPr>
      <w:b/>
      <w:bCs/>
      <w:sz w:val="28"/>
      <w:lang w:val="x-none" w:eastAsia="x-none"/>
    </w:rPr>
  </w:style>
  <w:style w:type="paragraph" w:styleId="Nadpis8">
    <w:name w:val="heading 8"/>
    <w:basedOn w:val="Normln"/>
    <w:next w:val="Normln"/>
    <w:link w:val="Nadpis8Char"/>
    <w:rsid w:val="00254726"/>
    <w:pPr>
      <w:keepNext/>
      <w:numPr>
        <w:ilvl w:val="7"/>
        <w:numId w:val="1"/>
      </w:numPr>
      <w:jc w:val="center"/>
      <w:outlineLvl w:val="7"/>
    </w:pPr>
    <w:rPr>
      <w:rFonts w:ascii="Arial" w:hAnsi="Arial"/>
      <w:b/>
      <w:bCs/>
      <w:sz w:val="32"/>
      <w:lang w:val="x-none" w:eastAsia="x-none"/>
    </w:rPr>
  </w:style>
  <w:style w:type="paragraph" w:styleId="Nadpis9">
    <w:name w:val="heading 9"/>
    <w:basedOn w:val="Normln"/>
    <w:next w:val="Normln"/>
    <w:link w:val="Nadpis9Char"/>
    <w:rsid w:val="00254726"/>
    <w:pPr>
      <w:keepNext/>
      <w:numPr>
        <w:ilvl w:val="8"/>
        <w:numId w:val="1"/>
      </w:numPr>
      <w:outlineLvl w:val="8"/>
    </w:pPr>
    <w:rPr>
      <w:rFonts w:ascii="Arial" w:hAnsi="Arial"/>
      <w:b/>
      <w:bCs/>
      <w:smallCaps/>
      <w:lang w:val="x-none" w:eastAsia="x-none"/>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link w:val="Nadpis1"/>
    <w:uiPriority w:val="9"/>
    <w:rsid w:val="08D96339"/>
    <w:rPr>
      <w:rFonts w:ascii="Cambria" w:hAnsi="Cambria"/>
      <w:b/>
      <w:bCs/>
      <w:noProof/>
      <w:sz w:val="26"/>
      <w:szCs w:val="28"/>
      <w:lang w:val="x-none" w:eastAsia="en-US"/>
    </w:rPr>
  </w:style>
  <w:style w:type="character" w:customStyle="1" w:styleId="Nadpis2Char">
    <w:name w:val="Nadpis 2 Char"/>
    <w:link w:val="Nadpis2"/>
    <w:uiPriority w:val="9"/>
    <w:rsid w:val="08D96339"/>
    <w:rPr>
      <w:rFonts w:ascii="Cambria" w:hAnsi="Cambria"/>
      <w:b/>
      <w:bCs/>
      <w:noProof/>
      <w:sz w:val="24"/>
      <w:szCs w:val="26"/>
      <w:lang w:val="x-none" w:eastAsia="en-US"/>
    </w:rPr>
  </w:style>
  <w:style w:type="character" w:customStyle="1" w:styleId="Nadpis3Char">
    <w:name w:val="Nadpis 3 Char"/>
    <w:link w:val="Nadpis3"/>
    <w:uiPriority w:val="9"/>
    <w:rsid w:val="00C661D8"/>
    <w:rPr>
      <w:rFonts w:ascii="Calibri" w:eastAsia="Times" w:hAnsi="Calibri"/>
      <w:b/>
      <w:bCs/>
      <w:sz w:val="24"/>
      <w:szCs w:val="28"/>
      <w:lang w:eastAsia="en-US"/>
    </w:rPr>
  </w:style>
  <w:style w:type="character" w:customStyle="1" w:styleId="Nadpis4Char">
    <w:name w:val="Nadpis 4 Char"/>
    <w:link w:val="Nadpis4"/>
    <w:uiPriority w:val="9"/>
    <w:rsid w:val="089F3C16"/>
    <w:rPr>
      <w:rFonts w:ascii="Arial" w:eastAsia="Times" w:hAnsi="Arial"/>
      <w:bCs/>
      <w:noProof/>
      <w:sz w:val="24"/>
      <w:szCs w:val="28"/>
    </w:rPr>
  </w:style>
  <w:style w:type="character" w:customStyle="1" w:styleId="Nadpis5Char">
    <w:name w:val="Nadpis 5 Char"/>
    <w:link w:val="Nadpis5"/>
    <w:rsid w:val="089F3C16"/>
    <w:rPr>
      <w:rFonts w:ascii="Calibri" w:eastAsia="Times" w:hAnsi="Calibri"/>
      <w:i/>
      <w:iCs/>
      <w:noProof/>
      <w:sz w:val="24"/>
    </w:rPr>
  </w:style>
  <w:style w:type="character" w:customStyle="1" w:styleId="Nadpis6Char">
    <w:name w:val="Nadpis 6 Char"/>
    <w:link w:val="Nadpis6"/>
    <w:rsid w:val="089F3C16"/>
    <w:rPr>
      <w:rFonts w:ascii="Calibri" w:eastAsia="Times" w:hAnsi="Calibri"/>
      <w:b/>
      <w:bCs/>
      <w:sz w:val="15"/>
      <w:szCs w:val="15"/>
      <w:lang w:val="x-none" w:eastAsia="x-none"/>
    </w:rPr>
  </w:style>
  <w:style w:type="character" w:customStyle="1" w:styleId="Nadpis7Char">
    <w:name w:val="Nadpis 7 Char"/>
    <w:link w:val="Nadpis7"/>
    <w:rsid w:val="089F3C16"/>
    <w:rPr>
      <w:rFonts w:ascii="Calibri" w:eastAsia="Times" w:hAnsi="Calibri"/>
      <w:b/>
      <w:bCs/>
      <w:sz w:val="28"/>
      <w:lang w:val="x-none" w:eastAsia="x-none"/>
    </w:rPr>
  </w:style>
  <w:style w:type="character" w:customStyle="1" w:styleId="Nadpis8Char">
    <w:name w:val="Nadpis 8 Char"/>
    <w:link w:val="Nadpis8"/>
    <w:rsid w:val="089F3C16"/>
    <w:rPr>
      <w:rFonts w:ascii="Arial" w:eastAsia="Times" w:hAnsi="Arial"/>
      <w:b/>
      <w:bCs/>
      <w:sz w:val="32"/>
      <w:lang w:val="x-none" w:eastAsia="x-none"/>
    </w:rPr>
  </w:style>
  <w:style w:type="character" w:customStyle="1" w:styleId="Nadpis9Char">
    <w:name w:val="Nadpis 9 Char"/>
    <w:link w:val="Nadpis9"/>
    <w:rsid w:val="089F3C16"/>
    <w:rPr>
      <w:rFonts w:ascii="Arial" w:eastAsia="Times" w:hAnsi="Arial"/>
      <w:b/>
      <w:bCs/>
      <w:smallCaps/>
      <w:sz w:val="24"/>
      <w:lang w:val="x-none" w:eastAsia="x-none"/>
    </w:rPr>
  </w:style>
  <w:style w:type="character" w:styleId="Znakapoznpodarou">
    <w:name w:val="footnote reference"/>
    <w:qFormat/>
    <w:rsid w:val="00254726"/>
    <w:rPr>
      <w:vertAlign w:val="superscript"/>
    </w:rPr>
  </w:style>
  <w:style w:type="paragraph" w:customStyle="1" w:styleId="nadpis">
    <w:name w:val="nadpis"/>
    <w:basedOn w:val="Normln"/>
    <w:rsid w:val="00254726"/>
    <w:pPr>
      <w:spacing w:before="100" w:beforeAutospacing="1" w:after="100" w:afterAutospacing="1" w:line="240" w:lineRule="auto"/>
      <w:jc w:val="center"/>
    </w:pPr>
    <w:rPr>
      <w:b/>
      <w:bCs/>
      <w:sz w:val="21"/>
      <w:szCs w:val="21"/>
    </w:rPr>
  </w:style>
  <w:style w:type="paragraph" w:styleId="Normlnweb">
    <w:name w:val="Normal (Web)"/>
    <w:basedOn w:val="Normln"/>
    <w:uiPriority w:val="99"/>
    <w:rsid w:val="00254726"/>
    <w:pPr>
      <w:spacing w:before="100" w:beforeAutospacing="1" w:after="100" w:afterAutospacing="1" w:line="240" w:lineRule="auto"/>
      <w:jc w:val="left"/>
    </w:pPr>
    <w:rPr>
      <w:color w:val="000000"/>
    </w:rPr>
  </w:style>
  <w:style w:type="character" w:customStyle="1" w:styleId="ref">
    <w:name w:val="ref"/>
    <w:basedOn w:val="Standardnpsmoodstavce"/>
    <w:rsid w:val="00254726"/>
  </w:style>
  <w:style w:type="paragraph" w:customStyle="1" w:styleId="Skripta">
    <w:name w:val="Skripta"/>
    <w:basedOn w:val="Normln"/>
    <w:rsid w:val="00254726"/>
    <w:pPr>
      <w:widowControl w:val="0"/>
      <w:suppressAutoHyphens/>
      <w:autoSpaceDE w:val="0"/>
      <w:ind w:firstLine="357"/>
    </w:pPr>
    <w:rPr>
      <w:color w:val="000000"/>
    </w:rPr>
  </w:style>
  <w:style w:type="paragraph" w:customStyle="1" w:styleId="Standard">
    <w:name w:val="Standard"/>
    <w:basedOn w:val="Normln"/>
    <w:next w:val="Normln"/>
    <w:rsid w:val="00254726"/>
    <w:pPr>
      <w:autoSpaceDE w:val="0"/>
      <w:autoSpaceDN w:val="0"/>
      <w:adjustRightInd w:val="0"/>
      <w:spacing w:after="120" w:line="240" w:lineRule="auto"/>
      <w:jc w:val="left"/>
    </w:pPr>
    <w:rPr>
      <w:rFonts w:ascii="APFKGB+TrebuchetMS" w:hAnsi="APFKGB+TrebuchetMS"/>
    </w:rPr>
  </w:style>
  <w:style w:type="paragraph" w:customStyle="1" w:styleId="vod">
    <w:name w:val="Úvod"/>
    <w:basedOn w:val="Normln"/>
    <w:rsid w:val="005D6ABF"/>
    <w:pPr>
      <w:tabs>
        <w:tab w:val="left" w:pos="454"/>
      </w:tabs>
      <w:overflowPunct w:val="0"/>
      <w:autoSpaceDE w:val="0"/>
      <w:autoSpaceDN w:val="0"/>
      <w:adjustRightInd w:val="0"/>
      <w:spacing w:before="120" w:after="120"/>
      <w:textAlignment w:val="baseline"/>
    </w:pPr>
    <w:rPr>
      <w:rFonts w:ascii="Arial" w:hAnsi="Arial"/>
      <w:sz w:val="22"/>
    </w:rPr>
  </w:style>
  <w:style w:type="character" w:customStyle="1" w:styleId="lemmadefinition">
    <w:name w:val="lemma_definition"/>
    <w:basedOn w:val="Standardnpsmoodstavce"/>
    <w:rsid w:val="00E5075E"/>
  </w:style>
  <w:style w:type="paragraph" w:styleId="Zkladntext">
    <w:name w:val="Body Text"/>
    <w:basedOn w:val="Normln"/>
    <w:link w:val="ZkladntextChar"/>
    <w:rsid w:val="00254726"/>
    <w:pPr>
      <w:jc w:val="left"/>
    </w:pPr>
    <w:rPr>
      <w:rFonts w:ascii="Arial" w:hAnsi="Arial"/>
      <w:color w:val="000000"/>
      <w:sz w:val="21"/>
      <w:szCs w:val="21"/>
      <w:lang w:val="x-none" w:eastAsia="x-none"/>
    </w:rPr>
  </w:style>
  <w:style w:type="character" w:customStyle="1" w:styleId="ZkladntextChar">
    <w:name w:val="Základní text Char"/>
    <w:link w:val="Zkladntext"/>
    <w:rsid w:val="00033AD8"/>
    <w:rPr>
      <w:rFonts w:ascii="Arial" w:eastAsia="Times" w:hAnsi="Arial" w:cs="Arial"/>
      <w:color w:val="000000"/>
      <w:sz w:val="21"/>
      <w:szCs w:val="21"/>
    </w:rPr>
  </w:style>
  <w:style w:type="character" w:styleId="CittHTML">
    <w:name w:val="HTML Cite"/>
    <w:uiPriority w:val="99"/>
    <w:rsid w:val="00254726"/>
    <w:rPr>
      <w:i/>
      <w:iCs/>
    </w:rPr>
  </w:style>
  <w:style w:type="character" w:styleId="slostrnky">
    <w:name w:val="page number"/>
    <w:basedOn w:val="Standardnpsmoodstavce"/>
    <w:rsid w:val="00254726"/>
  </w:style>
  <w:style w:type="character" w:styleId="Hypertextovodkaz">
    <w:name w:val="Hyperlink"/>
    <w:uiPriority w:val="99"/>
    <w:rsid w:val="00254726"/>
    <w:rPr>
      <w:color w:val="0000FF"/>
      <w:u w:val="single"/>
    </w:rPr>
  </w:style>
  <w:style w:type="character" w:styleId="Sledovanodkaz">
    <w:name w:val="FollowedHyperlink"/>
    <w:rsid w:val="00254726"/>
    <w:rPr>
      <w:color w:val="800080"/>
      <w:u w:val="single"/>
    </w:rPr>
  </w:style>
  <w:style w:type="character" w:styleId="Odkaznavysvtlivky">
    <w:name w:val="endnote reference"/>
    <w:rsid w:val="00254726"/>
    <w:rPr>
      <w:vertAlign w:val="superscript"/>
    </w:rPr>
  </w:style>
  <w:style w:type="character" w:styleId="Zvraznn">
    <w:name w:val="Emphasis"/>
    <w:uiPriority w:val="20"/>
    <w:rsid w:val="00254726"/>
    <w:rPr>
      <w:i/>
      <w:iCs/>
    </w:rPr>
  </w:style>
  <w:style w:type="paragraph" w:customStyle="1" w:styleId="Nadpis0">
    <w:name w:val="Nadpis"/>
    <w:basedOn w:val="Normln"/>
    <w:next w:val="Normln"/>
    <w:rsid w:val="00254726"/>
    <w:pPr>
      <w:keepNext/>
      <w:spacing w:before="240" w:after="120"/>
    </w:pPr>
    <w:rPr>
      <w:rFonts w:ascii="Arial" w:eastAsia="MS Gothic" w:hAnsi="Arial" w:cs="Tahoma"/>
      <w:sz w:val="28"/>
      <w:szCs w:val="28"/>
    </w:rPr>
  </w:style>
  <w:style w:type="paragraph" w:styleId="Seznam">
    <w:name w:val="List"/>
    <w:basedOn w:val="Normln"/>
    <w:rsid w:val="00254726"/>
    <w:pPr>
      <w:ind w:left="283" w:hanging="283"/>
    </w:pPr>
  </w:style>
  <w:style w:type="paragraph" w:customStyle="1" w:styleId="Rejstk">
    <w:name w:val="Rejstřík"/>
    <w:basedOn w:val="Normln"/>
    <w:rsid w:val="00254726"/>
    <w:pPr>
      <w:suppressLineNumbers/>
    </w:pPr>
    <w:rPr>
      <w:rFonts w:cs="Tahoma"/>
    </w:rPr>
  </w:style>
  <w:style w:type="paragraph" w:styleId="Rejstk1">
    <w:name w:val="index 1"/>
    <w:basedOn w:val="Normln"/>
    <w:next w:val="Normln"/>
    <w:uiPriority w:val="99"/>
    <w:rsid w:val="00254726"/>
    <w:pPr>
      <w:ind w:left="240" w:hanging="240"/>
      <w:jc w:val="left"/>
    </w:pPr>
    <w:rPr>
      <w:sz w:val="18"/>
      <w:szCs w:val="18"/>
    </w:rPr>
  </w:style>
  <w:style w:type="paragraph" w:styleId="Hlavikarejstku">
    <w:name w:val="index heading"/>
    <w:basedOn w:val="Normln"/>
    <w:next w:val="Rejstk1"/>
    <w:uiPriority w:val="99"/>
    <w:rsid w:val="00254726"/>
    <w:pPr>
      <w:spacing w:before="240" w:after="120"/>
      <w:jc w:val="center"/>
    </w:pPr>
    <w:rPr>
      <w:b/>
      <w:bCs/>
      <w:sz w:val="26"/>
      <w:szCs w:val="26"/>
    </w:rPr>
  </w:style>
  <w:style w:type="paragraph" w:customStyle="1" w:styleId="Literatura">
    <w:name w:val="Literatura"/>
    <w:basedOn w:val="Normln"/>
    <w:uiPriority w:val="99"/>
    <w:qFormat/>
    <w:rsid w:val="00B03C39"/>
    <w:pPr>
      <w:spacing w:before="60" w:line="240" w:lineRule="auto"/>
    </w:pPr>
    <w:rPr>
      <w:sz w:val="20"/>
    </w:rPr>
  </w:style>
  <w:style w:type="paragraph" w:styleId="Normlnodsazen">
    <w:name w:val="Normal Indent"/>
    <w:basedOn w:val="Normln"/>
    <w:semiHidden/>
    <w:rsid w:val="00254726"/>
    <w:pPr>
      <w:ind w:left="708"/>
    </w:pPr>
  </w:style>
  <w:style w:type="paragraph" w:styleId="Obsah1">
    <w:name w:val="toc 1"/>
    <w:basedOn w:val="Normln"/>
    <w:next w:val="Normln"/>
    <w:autoRedefine/>
    <w:uiPriority w:val="39"/>
    <w:rsid w:val="00254726"/>
    <w:pPr>
      <w:spacing w:before="120" w:after="120"/>
      <w:jc w:val="left"/>
    </w:pPr>
    <w:rPr>
      <w:b/>
      <w:bCs/>
      <w:caps/>
    </w:rPr>
  </w:style>
  <w:style w:type="paragraph" w:styleId="Obsah2">
    <w:name w:val="toc 2"/>
    <w:basedOn w:val="Normln"/>
    <w:next w:val="Normln"/>
    <w:autoRedefine/>
    <w:uiPriority w:val="39"/>
    <w:rsid w:val="00254726"/>
    <w:pPr>
      <w:ind w:left="260"/>
      <w:jc w:val="left"/>
    </w:pPr>
    <w:rPr>
      <w:smallCaps/>
    </w:rPr>
  </w:style>
  <w:style w:type="paragraph" w:styleId="Obsah3">
    <w:name w:val="toc 3"/>
    <w:basedOn w:val="Normln"/>
    <w:next w:val="Normln"/>
    <w:autoRedefine/>
    <w:uiPriority w:val="39"/>
    <w:rsid w:val="00254726"/>
    <w:pPr>
      <w:ind w:left="520"/>
      <w:jc w:val="left"/>
    </w:pPr>
    <w:rPr>
      <w:i/>
      <w:iCs/>
    </w:rPr>
  </w:style>
  <w:style w:type="paragraph" w:styleId="Obsah4">
    <w:name w:val="toc 4"/>
    <w:basedOn w:val="Normln"/>
    <w:next w:val="Normln"/>
    <w:autoRedefine/>
    <w:uiPriority w:val="39"/>
    <w:rsid w:val="00254726"/>
    <w:pPr>
      <w:ind w:left="780"/>
      <w:jc w:val="left"/>
    </w:pPr>
    <w:rPr>
      <w:szCs w:val="21"/>
    </w:rPr>
  </w:style>
  <w:style w:type="paragraph" w:styleId="Obsah5">
    <w:name w:val="toc 5"/>
    <w:basedOn w:val="Normln"/>
    <w:next w:val="Normln"/>
    <w:autoRedefine/>
    <w:uiPriority w:val="39"/>
    <w:rsid w:val="00254726"/>
    <w:pPr>
      <w:ind w:left="1040"/>
      <w:jc w:val="left"/>
    </w:pPr>
    <w:rPr>
      <w:szCs w:val="21"/>
    </w:rPr>
  </w:style>
  <w:style w:type="paragraph" w:styleId="Obsah6">
    <w:name w:val="toc 6"/>
    <w:basedOn w:val="Normln"/>
    <w:next w:val="Normln"/>
    <w:autoRedefine/>
    <w:uiPriority w:val="39"/>
    <w:rsid w:val="00254726"/>
    <w:pPr>
      <w:ind w:left="1300"/>
      <w:jc w:val="left"/>
    </w:pPr>
    <w:rPr>
      <w:szCs w:val="21"/>
    </w:rPr>
  </w:style>
  <w:style w:type="paragraph" w:styleId="Obsah7">
    <w:name w:val="toc 7"/>
    <w:basedOn w:val="Normln"/>
    <w:next w:val="Normln"/>
    <w:autoRedefine/>
    <w:uiPriority w:val="39"/>
    <w:rsid w:val="00254726"/>
    <w:pPr>
      <w:ind w:left="1560"/>
      <w:jc w:val="left"/>
    </w:pPr>
    <w:rPr>
      <w:szCs w:val="21"/>
    </w:rPr>
  </w:style>
  <w:style w:type="paragraph" w:styleId="Obsah8">
    <w:name w:val="toc 8"/>
    <w:basedOn w:val="Normln"/>
    <w:next w:val="Normln"/>
    <w:autoRedefine/>
    <w:uiPriority w:val="39"/>
    <w:rsid w:val="00254726"/>
    <w:pPr>
      <w:ind w:left="1820"/>
      <w:jc w:val="left"/>
    </w:pPr>
    <w:rPr>
      <w:szCs w:val="21"/>
    </w:rPr>
  </w:style>
  <w:style w:type="paragraph" w:styleId="Obsah9">
    <w:name w:val="toc 9"/>
    <w:basedOn w:val="Normln"/>
    <w:next w:val="Normln"/>
    <w:autoRedefine/>
    <w:uiPriority w:val="39"/>
    <w:rsid w:val="00254726"/>
    <w:pPr>
      <w:ind w:left="2080"/>
      <w:jc w:val="left"/>
    </w:pPr>
    <w:rPr>
      <w:szCs w:val="21"/>
    </w:rPr>
  </w:style>
  <w:style w:type="paragraph" w:styleId="Rejstk2">
    <w:name w:val="index 2"/>
    <w:basedOn w:val="Normln"/>
    <w:next w:val="Normln"/>
    <w:uiPriority w:val="99"/>
    <w:qFormat/>
    <w:rsid w:val="00254726"/>
    <w:pPr>
      <w:ind w:left="480" w:hanging="240"/>
      <w:jc w:val="left"/>
    </w:pPr>
    <w:rPr>
      <w:sz w:val="18"/>
      <w:szCs w:val="18"/>
    </w:rPr>
  </w:style>
  <w:style w:type="paragraph" w:styleId="Rejstk3">
    <w:name w:val="index 3"/>
    <w:basedOn w:val="Normln"/>
    <w:next w:val="Normln"/>
    <w:uiPriority w:val="99"/>
    <w:rsid w:val="00254726"/>
    <w:pPr>
      <w:ind w:left="720" w:hanging="240"/>
      <w:jc w:val="left"/>
    </w:pPr>
    <w:rPr>
      <w:sz w:val="18"/>
      <w:szCs w:val="18"/>
    </w:rPr>
  </w:style>
  <w:style w:type="paragraph" w:styleId="Rejstk4">
    <w:name w:val="index 4"/>
    <w:basedOn w:val="Normln"/>
    <w:next w:val="Normln"/>
    <w:semiHidden/>
    <w:rsid w:val="00254726"/>
    <w:pPr>
      <w:ind w:left="960" w:hanging="240"/>
      <w:jc w:val="left"/>
    </w:pPr>
    <w:rPr>
      <w:sz w:val="18"/>
      <w:szCs w:val="18"/>
    </w:rPr>
  </w:style>
  <w:style w:type="paragraph" w:styleId="Rejstk5">
    <w:name w:val="index 5"/>
    <w:basedOn w:val="Normln"/>
    <w:next w:val="Normln"/>
    <w:semiHidden/>
    <w:rsid w:val="00254726"/>
    <w:pPr>
      <w:ind w:left="1200" w:hanging="240"/>
      <w:jc w:val="left"/>
    </w:pPr>
    <w:rPr>
      <w:sz w:val="18"/>
      <w:szCs w:val="18"/>
    </w:rPr>
  </w:style>
  <w:style w:type="paragraph" w:styleId="Rejstk6">
    <w:name w:val="index 6"/>
    <w:basedOn w:val="Normln"/>
    <w:next w:val="Normln"/>
    <w:semiHidden/>
    <w:rsid w:val="00254726"/>
    <w:pPr>
      <w:ind w:left="1440" w:hanging="240"/>
      <w:jc w:val="left"/>
    </w:pPr>
    <w:rPr>
      <w:sz w:val="18"/>
      <w:szCs w:val="18"/>
    </w:rPr>
  </w:style>
  <w:style w:type="paragraph" w:styleId="Rejstk7">
    <w:name w:val="index 7"/>
    <w:basedOn w:val="Normln"/>
    <w:next w:val="Normln"/>
    <w:semiHidden/>
    <w:rsid w:val="00254726"/>
    <w:pPr>
      <w:ind w:left="1680" w:hanging="240"/>
      <w:jc w:val="left"/>
    </w:pPr>
    <w:rPr>
      <w:sz w:val="18"/>
      <w:szCs w:val="18"/>
    </w:rPr>
  </w:style>
  <w:style w:type="paragraph" w:styleId="Rejstk8">
    <w:name w:val="index 8"/>
    <w:basedOn w:val="Normln"/>
    <w:next w:val="Normln"/>
    <w:semiHidden/>
    <w:rsid w:val="00254726"/>
    <w:pPr>
      <w:ind w:left="1920" w:hanging="240"/>
      <w:jc w:val="left"/>
    </w:pPr>
    <w:rPr>
      <w:sz w:val="18"/>
      <w:szCs w:val="18"/>
    </w:rPr>
  </w:style>
  <w:style w:type="paragraph" w:styleId="Rejstk9">
    <w:name w:val="index 9"/>
    <w:basedOn w:val="Normln"/>
    <w:next w:val="Normln"/>
    <w:semiHidden/>
    <w:rsid w:val="00254726"/>
    <w:pPr>
      <w:ind w:left="2160" w:hanging="240"/>
      <w:jc w:val="left"/>
    </w:pPr>
    <w:rPr>
      <w:sz w:val="18"/>
      <w:szCs w:val="18"/>
    </w:rPr>
  </w:style>
  <w:style w:type="paragraph" w:customStyle="1" w:styleId="Rozvrendokumentu">
    <w:name w:val="Rozvržení dokumentu"/>
    <w:basedOn w:val="Normln"/>
    <w:link w:val="RozvrendokumentuChar"/>
    <w:semiHidden/>
    <w:rsid w:val="00254726"/>
    <w:pPr>
      <w:shd w:val="clear" w:color="auto" w:fill="000080"/>
    </w:pPr>
    <w:rPr>
      <w:rFonts w:ascii="Tahoma" w:hAnsi="Tahoma"/>
      <w:lang w:val="x-none" w:eastAsia="x-none"/>
    </w:rPr>
  </w:style>
  <w:style w:type="character" w:customStyle="1" w:styleId="RozvrendokumentuChar">
    <w:name w:val="Rozvržení dokumentu Char"/>
    <w:link w:val="Rozvrendokumentu"/>
    <w:rsid w:val="089F3C16"/>
    <w:rPr>
      <w:rFonts w:ascii="Tahoma" w:eastAsia="Times" w:hAnsi="Tahoma" w:cs="Tahoma"/>
      <w:noProof/>
      <w:sz w:val="24"/>
      <w:shd w:val="clear" w:color="auto" w:fill="000080"/>
    </w:rPr>
  </w:style>
  <w:style w:type="paragraph" w:styleId="Seznam2">
    <w:name w:val="List 2"/>
    <w:basedOn w:val="Normln"/>
    <w:semiHidden/>
    <w:rsid w:val="00254726"/>
    <w:pPr>
      <w:ind w:left="566" w:hanging="283"/>
    </w:pPr>
  </w:style>
  <w:style w:type="paragraph" w:styleId="Seznamobrzk">
    <w:name w:val="table of figures"/>
    <w:basedOn w:val="Normln"/>
    <w:next w:val="Normln"/>
    <w:semiHidden/>
    <w:rsid w:val="00254726"/>
    <w:pPr>
      <w:spacing w:line="240" w:lineRule="auto"/>
    </w:pPr>
    <w:rPr>
      <w:rFonts w:ascii="Arial" w:hAnsi="Arial"/>
      <w:b/>
      <w:sz w:val="22"/>
    </w:rPr>
  </w:style>
  <w:style w:type="paragraph" w:styleId="Seznamsodrkami">
    <w:name w:val="List Bullet"/>
    <w:basedOn w:val="Normln"/>
    <w:autoRedefine/>
    <w:semiHidden/>
    <w:rsid w:val="00254726"/>
    <w:pPr>
      <w:numPr>
        <w:numId w:val="2"/>
      </w:numPr>
    </w:pPr>
  </w:style>
  <w:style w:type="paragraph" w:styleId="Textpoznpodarou">
    <w:name w:val="footnote text"/>
    <w:basedOn w:val="Normln"/>
    <w:link w:val="TextpoznpodarouChar"/>
    <w:uiPriority w:val="99"/>
    <w:qFormat/>
    <w:rsid w:val="007B474D"/>
    <w:pPr>
      <w:tabs>
        <w:tab w:val="left" w:pos="284"/>
        <w:tab w:val="left" w:pos="454"/>
      </w:tabs>
      <w:overflowPunct w:val="0"/>
      <w:autoSpaceDE w:val="0"/>
      <w:autoSpaceDN w:val="0"/>
      <w:adjustRightInd w:val="0"/>
      <w:spacing w:after="60" w:line="264" w:lineRule="auto"/>
      <w:textAlignment w:val="baseline"/>
    </w:pPr>
    <w:rPr>
      <w:rFonts w:eastAsia="Times New Roman"/>
      <w:sz w:val="20"/>
      <w:lang w:val="x-none" w:eastAsia="x-none"/>
    </w:rPr>
  </w:style>
  <w:style w:type="character" w:customStyle="1" w:styleId="TextpoznpodarouChar">
    <w:name w:val="Text pozn. pod čarou Char"/>
    <w:link w:val="Textpoznpodarou"/>
    <w:uiPriority w:val="99"/>
    <w:rsid w:val="007B474D"/>
    <w:rPr>
      <w:rFonts w:ascii="Calibri" w:hAnsi="Calibri"/>
    </w:rPr>
  </w:style>
  <w:style w:type="paragraph" w:customStyle="1" w:styleId="Vnoenpolokarejstku">
    <w:name w:val="Vnořená položka rejstříku"/>
    <w:basedOn w:val="Rejstk2"/>
    <w:rsid w:val="00254726"/>
  </w:style>
  <w:style w:type="paragraph" w:styleId="Zhlav">
    <w:name w:val="header"/>
    <w:basedOn w:val="Normln"/>
    <w:link w:val="ZhlavChar"/>
    <w:rsid w:val="00254726"/>
    <w:pPr>
      <w:tabs>
        <w:tab w:val="center" w:pos="4536"/>
        <w:tab w:val="right" w:pos="9072"/>
      </w:tabs>
    </w:pPr>
    <w:rPr>
      <w:lang w:val="x-none" w:eastAsia="x-none"/>
    </w:rPr>
  </w:style>
  <w:style w:type="character" w:customStyle="1" w:styleId="ZhlavChar">
    <w:name w:val="Záhlaví Char"/>
    <w:link w:val="Zhlav"/>
    <w:rsid w:val="089F3C16"/>
    <w:rPr>
      <w:rFonts w:ascii="Calibri" w:eastAsia="Times" w:hAnsi="Calibri"/>
      <w:noProof/>
      <w:sz w:val="24"/>
    </w:rPr>
  </w:style>
  <w:style w:type="paragraph" w:styleId="Zpat">
    <w:name w:val="footer"/>
    <w:basedOn w:val="Normln"/>
    <w:link w:val="ZpatChar"/>
    <w:uiPriority w:val="99"/>
    <w:rsid w:val="00254726"/>
    <w:pPr>
      <w:tabs>
        <w:tab w:val="center" w:pos="4536"/>
        <w:tab w:val="right" w:pos="9072"/>
      </w:tabs>
    </w:pPr>
    <w:rPr>
      <w:lang w:val="x-none" w:eastAsia="x-none"/>
    </w:rPr>
  </w:style>
  <w:style w:type="character" w:customStyle="1" w:styleId="ZpatChar">
    <w:name w:val="Zápatí Char"/>
    <w:link w:val="Zpat"/>
    <w:uiPriority w:val="99"/>
    <w:rsid w:val="00EA5A9C"/>
    <w:rPr>
      <w:rFonts w:ascii="Calibri" w:eastAsia="Times" w:hAnsi="Calibri"/>
      <w:noProof/>
      <w:sz w:val="24"/>
    </w:rPr>
  </w:style>
  <w:style w:type="paragraph" w:styleId="Textkomente">
    <w:name w:val="annotation text"/>
    <w:basedOn w:val="Normln"/>
    <w:link w:val="TextkomenteChar"/>
    <w:uiPriority w:val="99"/>
    <w:rsid w:val="00254726"/>
    <w:rPr>
      <w:sz w:val="20"/>
      <w:lang w:val="x-none" w:eastAsia="x-none"/>
    </w:rPr>
  </w:style>
  <w:style w:type="character" w:customStyle="1" w:styleId="TextkomenteChar">
    <w:name w:val="Text komentáře Char"/>
    <w:link w:val="Textkomente"/>
    <w:uiPriority w:val="99"/>
    <w:rsid w:val="00033AD8"/>
    <w:rPr>
      <w:rFonts w:ascii="Calibri" w:eastAsia="Times" w:hAnsi="Calibri"/>
    </w:rPr>
  </w:style>
  <w:style w:type="paragraph" w:styleId="FormtovanvHTML">
    <w:name w:val="HTML Preformatted"/>
    <w:basedOn w:val="Normln"/>
    <w:link w:val="FormtovanvHTMLChar"/>
    <w:uiPriority w:val="99"/>
    <w:rsid w:val="0025472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pPr>
    <w:rPr>
      <w:rFonts w:ascii="Courier New" w:eastAsia="Courier New" w:hAnsi="Courier New"/>
      <w:sz w:val="20"/>
      <w:lang w:val="x-none" w:eastAsia="x-none"/>
    </w:rPr>
  </w:style>
  <w:style w:type="character" w:customStyle="1" w:styleId="FormtovanvHTMLChar">
    <w:name w:val="Formátovaný v HTML Char"/>
    <w:link w:val="FormtovanvHTML"/>
    <w:uiPriority w:val="99"/>
    <w:rsid w:val="005959D1"/>
    <w:rPr>
      <w:rFonts w:ascii="Courier New" w:eastAsia="Courier New" w:hAnsi="Courier New" w:cs="Courier New"/>
    </w:rPr>
  </w:style>
  <w:style w:type="paragraph" w:customStyle="1" w:styleId="Citace">
    <w:name w:val="Citace"/>
    <w:basedOn w:val="Normln"/>
    <w:next w:val="Normln"/>
    <w:link w:val="CitaceChar"/>
    <w:qFormat/>
    <w:rsid w:val="00541573"/>
    <w:pPr>
      <w:spacing w:before="120" w:after="240" w:line="288" w:lineRule="auto"/>
    </w:pPr>
    <w:rPr>
      <w:color w:val="000000"/>
      <w:sz w:val="22"/>
      <w:lang w:val="x-none" w:eastAsia="x-none"/>
    </w:rPr>
  </w:style>
  <w:style w:type="character" w:customStyle="1" w:styleId="CitaceChar">
    <w:name w:val="Citace Char"/>
    <w:link w:val="Citace"/>
    <w:rsid w:val="00541573"/>
    <w:rPr>
      <w:rFonts w:ascii="Calibri" w:eastAsia="Times" w:hAnsi="Calibri"/>
      <w:color w:val="000000"/>
      <w:sz w:val="22"/>
    </w:rPr>
  </w:style>
  <w:style w:type="character" w:styleId="Siln">
    <w:name w:val="Strong"/>
    <w:uiPriority w:val="22"/>
    <w:rsid w:val="0085341B"/>
    <w:rPr>
      <w:b/>
    </w:rPr>
  </w:style>
  <w:style w:type="character" w:customStyle="1" w:styleId="A10">
    <w:name w:val="A10"/>
    <w:rsid w:val="0085341B"/>
    <w:rPr>
      <w:rFonts w:cs="WBHXPF+AGaramondPro-Regular"/>
      <w:color w:val="343637"/>
      <w:sz w:val="18"/>
      <w:szCs w:val="18"/>
    </w:rPr>
  </w:style>
  <w:style w:type="paragraph" w:styleId="Bezmezer">
    <w:name w:val="No Spacing"/>
    <w:uiPriority w:val="1"/>
    <w:rsid w:val="0085341B"/>
    <w:rPr>
      <w:rFonts w:ascii="Calibri" w:eastAsia="Calibri" w:hAnsi="Calibri"/>
      <w:sz w:val="22"/>
      <w:szCs w:val="22"/>
      <w:lang w:eastAsia="en-US"/>
    </w:rPr>
  </w:style>
  <w:style w:type="character" w:customStyle="1" w:styleId="greek">
    <w:name w:val="greek"/>
    <w:basedOn w:val="Standardnpsmoodstavce"/>
    <w:rsid w:val="00566F83"/>
  </w:style>
  <w:style w:type="character" w:customStyle="1" w:styleId="addmd">
    <w:name w:val="addmd"/>
    <w:basedOn w:val="Standardnpsmoodstavce"/>
    <w:rsid w:val="00B42DC1"/>
  </w:style>
  <w:style w:type="character" w:styleId="PromnnHTML">
    <w:name w:val="HTML Variable"/>
    <w:uiPriority w:val="99"/>
    <w:unhideWhenUsed/>
    <w:rsid w:val="005959D1"/>
    <w:rPr>
      <w:i/>
      <w:iCs/>
    </w:rPr>
  </w:style>
  <w:style w:type="character" w:customStyle="1" w:styleId="st">
    <w:name w:val="st"/>
    <w:basedOn w:val="Standardnpsmoodstavce"/>
    <w:rsid w:val="00924178"/>
  </w:style>
  <w:style w:type="paragraph" w:styleId="Textbubliny">
    <w:name w:val="Balloon Text"/>
    <w:basedOn w:val="Normln"/>
    <w:link w:val="TextbublinyChar"/>
    <w:uiPriority w:val="99"/>
    <w:unhideWhenUsed/>
    <w:rsid w:val="00654007"/>
    <w:pPr>
      <w:spacing w:line="240" w:lineRule="auto"/>
    </w:pPr>
    <w:rPr>
      <w:rFonts w:ascii="Tahoma" w:hAnsi="Tahoma"/>
      <w:sz w:val="16"/>
      <w:szCs w:val="16"/>
      <w:lang w:val="x-none" w:eastAsia="x-none"/>
    </w:rPr>
  </w:style>
  <w:style w:type="character" w:customStyle="1" w:styleId="TextbublinyChar">
    <w:name w:val="Text bubliny Char"/>
    <w:link w:val="Textbubliny"/>
    <w:uiPriority w:val="99"/>
    <w:rsid w:val="00654007"/>
    <w:rPr>
      <w:rFonts w:ascii="Tahoma" w:eastAsia="Times" w:hAnsi="Tahoma" w:cs="Tahoma"/>
      <w:sz w:val="16"/>
      <w:szCs w:val="16"/>
    </w:rPr>
  </w:style>
  <w:style w:type="character" w:customStyle="1" w:styleId="placenumber">
    <w:name w:val="placenumber"/>
    <w:basedOn w:val="Standardnpsmoodstavce"/>
    <w:rsid w:val="0077741F"/>
  </w:style>
  <w:style w:type="character" w:customStyle="1" w:styleId="Zkladntext1">
    <w:name w:val="Základní text1"/>
    <w:rsid w:val="0082088F"/>
    <w:rPr>
      <w:rFonts w:ascii="Times New Roman" w:eastAsia="Times New Roman" w:hAnsi="Times New Roman" w:cs="Times New Roman"/>
      <w:b w:val="0"/>
      <w:bCs w:val="0"/>
      <w:i w:val="0"/>
      <w:iCs w:val="0"/>
      <w:smallCaps w:val="0"/>
      <w:strike w:val="0"/>
      <w:color w:val="000000"/>
      <w:spacing w:val="13"/>
      <w:w w:val="100"/>
      <w:position w:val="0"/>
      <w:sz w:val="17"/>
      <w:szCs w:val="17"/>
      <w:u w:val="single"/>
      <w:lang w:val="fr-FR"/>
    </w:rPr>
  </w:style>
  <w:style w:type="character" w:customStyle="1" w:styleId="ZkladntextKurzvadkovn0pt">
    <w:name w:val="Základní text + Kurzíva;Řádkování 0 pt"/>
    <w:rsid w:val="0082088F"/>
    <w:rPr>
      <w:rFonts w:ascii="Times New Roman" w:eastAsia="Times New Roman" w:hAnsi="Times New Roman" w:cs="Times New Roman"/>
      <w:b w:val="0"/>
      <w:bCs w:val="0"/>
      <w:i/>
      <w:iCs/>
      <w:smallCaps w:val="0"/>
      <w:strike w:val="0"/>
      <w:color w:val="000000"/>
      <w:spacing w:val="10"/>
      <w:w w:val="100"/>
      <w:position w:val="0"/>
      <w:sz w:val="17"/>
      <w:szCs w:val="17"/>
      <w:u w:val="single"/>
      <w:lang w:val="fr-FR"/>
    </w:rPr>
  </w:style>
  <w:style w:type="paragraph" w:customStyle="1" w:styleId="Default">
    <w:name w:val="Default"/>
    <w:rsid w:val="005A6F15"/>
    <w:pPr>
      <w:autoSpaceDE w:val="0"/>
      <w:autoSpaceDN w:val="0"/>
      <w:adjustRightInd w:val="0"/>
    </w:pPr>
    <w:rPr>
      <w:rFonts w:ascii="Arial" w:hAnsi="Arial" w:cs="Arial"/>
      <w:color w:val="000000"/>
      <w:sz w:val="24"/>
      <w:szCs w:val="24"/>
    </w:rPr>
  </w:style>
  <w:style w:type="character" w:customStyle="1" w:styleId="FontStyle129">
    <w:name w:val="Font Style129"/>
    <w:rsid w:val="00FD202D"/>
    <w:rPr>
      <w:rFonts w:ascii="Times New Roman" w:hAnsi="Times New Roman" w:cs="Times New Roman"/>
      <w:sz w:val="18"/>
      <w:szCs w:val="18"/>
    </w:rPr>
  </w:style>
  <w:style w:type="paragraph" w:customStyle="1" w:styleId="Style25">
    <w:name w:val="Style25"/>
    <w:basedOn w:val="Normln"/>
    <w:rsid w:val="005E1B11"/>
    <w:pPr>
      <w:widowControl w:val="0"/>
      <w:autoSpaceDE w:val="0"/>
      <w:autoSpaceDN w:val="0"/>
      <w:adjustRightInd w:val="0"/>
      <w:spacing w:line="215" w:lineRule="exact"/>
      <w:ind w:hanging="206"/>
    </w:pPr>
    <w:rPr>
      <w:rFonts w:ascii="Times New Roman" w:eastAsia="Times New Roman" w:hAnsi="Times New Roman"/>
      <w:sz w:val="20"/>
      <w:szCs w:val="24"/>
    </w:rPr>
  </w:style>
  <w:style w:type="character" w:customStyle="1" w:styleId="FontStyle78">
    <w:name w:val="Font Style78"/>
    <w:rsid w:val="005E1B11"/>
    <w:rPr>
      <w:rFonts w:ascii="Times New Roman" w:hAnsi="Times New Roman" w:cs="Times New Roman"/>
      <w:sz w:val="16"/>
      <w:szCs w:val="16"/>
    </w:rPr>
  </w:style>
  <w:style w:type="paragraph" w:customStyle="1" w:styleId="Style18">
    <w:name w:val="Style18"/>
    <w:basedOn w:val="Normln"/>
    <w:rsid w:val="005D732C"/>
    <w:pPr>
      <w:widowControl w:val="0"/>
      <w:autoSpaceDE w:val="0"/>
      <w:autoSpaceDN w:val="0"/>
      <w:adjustRightInd w:val="0"/>
      <w:spacing w:line="210" w:lineRule="exact"/>
    </w:pPr>
    <w:rPr>
      <w:rFonts w:ascii="Times New Roman" w:eastAsia="Times New Roman" w:hAnsi="Times New Roman"/>
      <w:sz w:val="20"/>
      <w:szCs w:val="24"/>
    </w:rPr>
  </w:style>
  <w:style w:type="character" w:customStyle="1" w:styleId="Zkladntext11">
    <w:name w:val="Základní text (11)"/>
    <w:rsid w:val="00B00BC0"/>
    <w:rPr>
      <w:rFonts w:ascii="Century Schoolbook" w:eastAsia="Century Schoolbook" w:hAnsi="Century Schoolbook" w:cs="Century Schoolbook"/>
      <w:b w:val="0"/>
      <w:bCs w:val="0"/>
      <w:i w:val="0"/>
      <w:iCs w:val="0"/>
      <w:smallCaps w:val="0"/>
      <w:strike w:val="0"/>
      <w:color w:val="000000"/>
      <w:spacing w:val="3"/>
      <w:w w:val="100"/>
      <w:position w:val="0"/>
      <w:sz w:val="16"/>
      <w:szCs w:val="16"/>
      <w:u w:val="single"/>
      <w:lang w:val="de-DE"/>
    </w:rPr>
  </w:style>
  <w:style w:type="paragraph" w:customStyle="1" w:styleId="Style19">
    <w:name w:val="Style19"/>
    <w:basedOn w:val="Normln"/>
    <w:rsid w:val="00971BB2"/>
    <w:pPr>
      <w:widowControl w:val="0"/>
      <w:autoSpaceDE w:val="0"/>
      <w:autoSpaceDN w:val="0"/>
      <w:adjustRightInd w:val="0"/>
      <w:spacing w:line="213" w:lineRule="exact"/>
      <w:ind w:firstLine="163"/>
    </w:pPr>
    <w:rPr>
      <w:rFonts w:ascii="Times New Roman" w:eastAsia="Times New Roman" w:hAnsi="Times New Roman"/>
      <w:sz w:val="20"/>
      <w:szCs w:val="24"/>
    </w:rPr>
  </w:style>
  <w:style w:type="paragraph" w:customStyle="1" w:styleId="Style44">
    <w:name w:val="Style44"/>
    <w:basedOn w:val="Normln"/>
    <w:rsid w:val="00971BB2"/>
    <w:pPr>
      <w:widowControl w:val="0"/>
      <w:autoSpaceDE w:val="0"/>
      <w:autoSpaceDN w:val="0"/>
      <w:adjustRightInd w:val="0"/>
      <w:spacing w:line="240" w:lineRule="auto"/>
      <w:jc w:val="left"/>
    </w:pPr>
    <w:rPr>
      <w:rFonts w:ascii="Times New Roman" w:eastAsia="Times New Roman" w:hAnsi="Times New Roman"/>
      <w:sz w:val="20"/>
      <w:szCs w:val="24"/>
    </w:rPr>
  </w:style>
  <w:style w:type="character" w:customStyle="1" w:styleId="FontStyle80">
    <w:name w:val="Font Style80"/>
    <w:rsid w:val="00971BB2"/>
    <w:rPr>
      <w:rFonts w:ascii="Times New Roman" w:hAnsi="Times New Roman" w:cs="Times New Roman"/>
      <w:smallCaps/>
      <w:sz w:val="16"/>
      <w:szCs w:val="16"/>
    </w:rPr>
  </w:style>
  <w:style w:type="character" w:customStyle="1" w:styleId="FontStyle88">
    <w:name w:val="Font Style88"/>
    <w:rsid w:val="00971BB2"/>
    <w:rPr>
      <w:rFonts w:ascii="Times New Roman" w:hAnsi="Times New Roman" w:cs="Times New Roman"/>
      <w:i/>
      <w:iCs/>
      <w:spacing w:val="-10"/>
      <w:sz w:val="18"/>
      <w:szCs w:val="18"/>
    </w:rPr>
  </w:style>
  <w:style w:type="character" w:customStyle="1" w:styleId="Zkladntext0">
    <w:name w:val="Základní text_"/>
    <w:link w:val="Zkladntext3"/>
    <w:rsid w:val="00E167A0"/>
    <w:rPr>
      <w:rFonts w:ascii="Century Schoolbook" w:eastAsia="Century Schoolbook" w:hAnsi="Century Schoolbook" w:cs="Century Schoolbook"/>
      <w:spacing w:val="-7"/>
      <w:sz w:val="19"/>
      <w:szCs w:val="19"/>
      <w:shd w:val="clear" w:color="auto" w:fill="FFFFFF"/>
    </w:rPr>
  </w:style>
  <w:style w:type="paragraph" w:customStyle="1" w:styleId="Zkladntext3">
    <w:name w:val="Základní text3"/>
    <w:basedOn w:val="Normln"/>
    <w:link w:val="Zkladntext0"/>
    <w:rsid w:val="00E167A0"/>
    <w:pPr>
      <w:widowControl w:val="0"/>
      <w:shd w:val="clear" w:color="auto" w:fill="FFFFFF"/>
      <w:spacing w:before="360" w:after="360" w:line="0" w:lineRule="atLeast"/>
      <w:jc w:val="center"/>
    </w:pPr>
    <w:rPr>
      <w:rFonts w:ascii="Century Schoolbook" w:eastAsia="Century Schoolbook" w:hAnsi="Century Schoolbook"/>
      <w:spacing w:val="-7"/>
      <w:sz w:val="19"/>
      <w:szCs w:val="19"/>
      <w:lang w:val="x-none" w:eastAsia="x-none"/>
    </w:rPr>
  </w:style>
  <w:style w:type="character" w:customStyle="1" w:styleId="Zkladntext4">
    <w:name w:val="Základní text (4)"/>
    <w:rsid w:val="001072E9"/>
    <w:rPr>
      <w:rFonts w:ascii="Times New Roman" w:eastAsia="Times New Roman" w:hAnsi="Times New Roman" w:cs="Times New Roman"/>
      <w:b w:val="0"/>
      <w:bCs w:val="0"/>
      <w:i w:val="0"/>
      <w:iCs w:val="0"/>
      <w:smallCaps w:val="0"/>
      <w:strike w:val="0"/>
      <w:color w:val="000000"/>
      <w:spacing w:val="4"/>
      <w:w w:val="100"/>
      <w:position w:val="0"/>
      <w:sz w:val="15"/>
      <w:szCs w:val="15"/>
      <w:u w:val="single"/>
      <w:lang w:val="fr-FR"/>
    </w:rPr>
  </w:style>
  <w:style w:type="character" w:customStyle="1" w:styleId="Zkladntext4Kurzvadkovn0pt">
    <w:name w:val="Základní text (4) + Kurzíva;Řádkování 0 pt"/>
    <w:rsid w:val="001072E9"/>
    <w:rPr>
      <w:rFonts w:ascii="Times New Roman" w:eastAsia="Times New Roman" w:hAnsi="Times New Roman" w:cs="Times New Roman"/>
      <w:b w:val="0"/>
      <w:bCs w:val="0"/>
      <w:i/>
      <w:iCs/>
      <w:smallCaps w:val="0"/>
      <w:strike w:val="0"/>
      <w:color w:val="000000"/>
      <w:spacing w:val="5"/>
      <w:w w:val="100"/>
      <w:position w:val="0"/>
      <w:sz w:val="15"/>
      <w:szCs w:val="15"/>
      <w:u w:val="single"/>
      <w:lang w:val="fr-FR"/>
    </w:rPr>
  </w:style>
  <w:style w:type="character" w:customStyle="1" w:styleId="Zkladntext5">
    <w:name w:val="Základní text (5)_"/>
    <w:link w:val="Zkladntext50"/>
    <w:rsid w:val="00616623"/>
    <w:rPr>
      <w:b/>
      <w:bCs/>
      <w:spacing w:val="2"/>
      <w:sz w:val="21"/>
      <w:szCs w:val="21"/>
      <w:shd w:val="clear" w:color="auto" w:fill="FFFFFF"/>
    </w:rPr>
  </w:style>
  <w:style w:type="paragraph" w:customStyle="1" w:styleId="Zkladntext50">
    <w:name w:val="Základní text (5)"/>
    <w:basedOn w:val="Normln"/>
    <w:link w:val="Zkladntext5"/>
    <w:rsid w:val="00616623"/>
    <w:pPr>
      <w:widowControl w:val="0"/>
      <w:shd w:val="clear" w:color="auto" w:fill="FFFFFF"/>
      <w:spacing w:before="720" w:after="720" w:line="0" w:lineRule="atLeast"/>
      <w:jc w:val="center"/>
    </w:pPr>
    <w:rPr>
      <w:rFonts w:ascii="Times New Roman" w:eastAsia="Times New Roman" w:hAnsi="Times New Roman"/>
      <w:b/>
      <w:bCs/>
      <w:spacing w:val="2"/>
      <w:sz w:val="21"/>
      <w:szCs w:val="21"/>
      <w:lang w:val="x-none" w:eastAsia="x-none"/>
    </w:rPr>
  </w:style>
  <w:style w:type="character" w:customStyle="1" w:styleId="Nadpis10">
    <w:name w:val="Nadpis #1_"/>
    <w:link w:val="Nadpis11"/>
    <w:rsid w:val="00616623"/>
    <w:rPr>
      <w:b/>
      <w:bCs/>
      <w:spacing w:val="1"/>
      <w:sz w:val="60"/>
      <w:szCs w:val="60"/>
      <w:shd w:val="clear" w:color="auto" w:fill="FFFFFF"/>
    </w:rPr>
  </w:style>
  <w:style w:type="paragraph" w:customStyle="1" w:styleId="Nadpis11">
    <w:name w:val="Nadpis #1"/>
    <w:basedOn w:val="Normln"/>
    <w:link w:val="Nadpis10"/>
    <w:rsid w:val="00616623"/>
    <w:pPr>
      <w:widowControl w:val="0"/>
      <w:shd w:val="clear" w:color="auto" w:fill="FFFFFF"/>
      <w:spacing w:before="720" w:after="420" w:line="0" w:lineRule="atLeast"/>
      <w:jc w:val="left"/>
      <w:outlineLvl w:val="0"/>
    </w:pPr>
    <w:rPr>
      <w:rFonts w:ascii="Times New Roman" w:eastAsia="Times New Roman" w:hAnsi="Times New Roman"/>
      <w:b/>
      <w:bCs/>
      <w:spacing w:val="1"/>
      <w:sz w:val="60"/>
      <w:szCs w:val="60"/>
      <w:lang w:val="x-none" w:eastAsia="x-none"/>
    </w:rPr>
  </w:style>
  <w:style w:type="character" w:customStyle="1" w:styleId="Nadpis60">
    <w:name w:val="Nadpis #6_"/>
    <w:link w:val="Nadpis61"/>
    <w:rsid w:val="00616623"/>
    <w:rPr>
      <w:b/>
      <w:bCs/>
      <w:i/>
      <w:iCs/>
      <w:spacing w:val="7"/>
      <w:sz w:val="21"/>
      <w:szCs w:val="21"/>
      <w:shd w:val="clear" w:color="auto" w:fill="FFFFFF"/>
    </w:rPr>
  </w:style>
  <w:style w:type="paragraph" w:customStyle="1" w:styleId="Nadpis61">
    <w:name w:val="Nadpis #6"/>
    <w:basedOn w:val="Normln"/>
    <w:link w:val="Nadpis60"/>
    <w:rsid w:val="00616623"/>
    <w:pPr>
      <w:widowControl w:val="0"/>
      <w:shd w:val="clear" w:color="auto" w:fill="FFFFFF"/>
      <w:spacing w:before="420" w:after="1980" w:line="0" w:lineRule="atLeast"/>
      <w:jc w:val="center"/>
      <w:outlineLvl w:val="5"/>
    </w:pPr>
    <w:rPr>
      <w:rFonts w:ascii="Times New Roman" w:eastAsia="Times New Roman" w:hAnsi="Times New Roman"/>
      <w:b/>
      <w:bCs/>
      <w:i/>
      <w:iCs/>
      <w:spacing w:val="7"/>
      <w:sz w:val="21"/>
      <w:szCs w:val="21"/>
      <w:lang w:val="x-none" w:eastAsia="x-none"/>
    </w:rPr>
  </w:style>
  <w:style w:type="character" w:customStyle="1" w:styleId="Nadpis6Nekurzvadkovn0pt">
    <w:name w:val="Nadpis #6 + Ne kurzíva;Řádkování 0 pt"/>
    <w:rsid w:val="00616623"/>
    <w:rPr>
      <w:b/>
      <w:bCs/>
      <w:i/>
      <w:iCs/>
      <w:color w:val="000000"/>
      <w:spacing w:val="2"/>
      <w:w w:val="100"/>
      <w:position w:val="0"/>
      <w:sz w:val="21"/>
      <w:szCs w:val="21"/>
      <w:shd w:val="clear" w:color="auto" w:fill="FFFFFF"/>
      <w:lang w:val="fr-FR"/>
    </w:rPr>
  </w:style>
  <w:style w:type="character" w:customStyle="1" w:styleId="Zkladntext6">
    <w:name w:val="Základní text (6)_"/>
    <w:link w:val="Zkladntext60"/>
    <w:rsid w:val="00A53F45"/>
    <w:rPr>
      <w:i/>
      <w:iCs/>
      <w:spacing w:val="6"/>
      <w:sz w:val="18"/>
      <w:szCs w:val="18"/>
      <w:shd w:val="clear" w:color="auto" w:fill="FFFFFF"/>
    </w:rPr>
  </w:style>
  <w:style w:type="paragraph" w:customStyle="1" w:styleId="Zkladntext60">
    <w:name w:val="Základní text (6)"/>
    <w:basedOn w:val="Normln"/>
    <w:link w:val="Zkladntext6"/>
    <w:rsid w:val="00A53F45"/>
    <w:pPr>
      <w:widowControl w:val="0"/>
      <w:shd w:val="clear" w:color="auto" w:fill="FFFFFF"/>
      <w:spacing w:before="1980" w:after="60" w:line="0" w:lineRule="atLeast"/>
      <w:ind w:hanging="300"/>
      <w:jc w:val="center"/>
    </w:pPr>
    <w:rPr>
      <w:rFonts w:ascii="Times New Roman" w:eastAsia="Times New Roman" w:hAnsi="Times New Roman"/>
      <w:i/>
      <w:iCs/>
      <w:spacing w:val="6"/>
      <w:sz w:val="18"/>
      <w:szCs w:val="18"/>
      <w:lang w:val="x-none" w:eastAsia="x-none"/>
    </w:rPr>
  </w:style>
  <w:style w:type="character" w:customStyle="1" w:styleId="la">
    <w:name w:val="la"/>
    <w:basedOn w:val="Standardnpsmoodstavce"/>
    <w:rsid w:val="00E704F5"/>
  </w:style>
  <w:style w:type="character" w:customStyle="1" w:styleId="Zkladntextdkovn0pt">
    <w:name w:val="Základní text + Řádkování 0 pt"/>
    <w:rsid w:val="00637570"/>
    <w:rPr>
      <w:rFonts w:ascii="David" w:eastAsia="David" w:hAnsi="David" w:cs="David"/>
      <w:b w:val="0"/>
      <w:bCs w:val="0"/>
      <w:i w:val="0"/>
      <w:iCs w:val="0"/>
      <w:smallCaps w:val="0"/>
      <w:strike w:val="0"/>
      <w:color w:val="000000"/>
      <w:spacing w:val="8"/>
      <w:w w:val="100"/>
      <w:position w:val="0"/>
      <w:sz w:val="15"/>
      <w:szCs w:val="15"/>
      <w:u w:val="single"/>
      <w:lang w:val="en-US"/>
    </w:rPr>
  </w:style>
  <w:style w:type="paragraph" w:customStyle="1" w:styleId="Zkladntext2">
    <w:name w:val="Základní text2"/>
    <w:basedOn w:val="Normln"/>
    <w:rsid w:val="004F7C68"/>
    <w:pPr>
      <w:widowControl w:val="0"/>
      <w:shd w:val="clear" w:color="auto" w:fill="FFFFFF"/>
      <w:spacing w:line="187" w:lineRule="exact"/>
    </w:pPr>
    <w:rPr>
      <w:rFonts w:ascii="David" w:eastAsia="David" w:hAnsi="David" w:cs="David"/>
      <w:sz w:val="14"/>
      <w:szCs w:val="14"/>
      <w:lang w:val="en-US"/>
    </w:rPr>
  </w:style>
  <w:style w:type="character" w:customStyle="1" w:styleId="ZkladntextSimHeiKurzvadkovn0pt">
    <w:name w:val="Základní text + SimHei;Kurzíva;Řádkování 0 pt"/>
    <w:rsid w:val="00D66518"/>
    <w:rPr>
      <w:rFonts w:ascii="SimHei" w:eastAsia="SimHei" w:hAnsi="SimHei" w:cs="SimHei"/>
      <w:b w:val="0"/>
      <w:bCs w:val="0"/>
      <w:i/>
      <w:iCs/>
      <w:smallCaps w:val="0"/>
      <w:strike w:val="0"/>
      <w:color w:val="000000"/>
      <w:spacing w:val="-11"/>
      <w:w w:val="100"/>
      <w:position w:val="0"/>
      <w:sz w:val="20"/>
      <w:szCs w:val="20"/>
      <w:u w:val="single"/>
      <w:shd w:val="clear" w:color="auto" w:fill="FFFFFF"/>
      <w:lang w:val="en-US"/>
    </w:rPr>
  </w:style>
  <w:style w:type="paragraph" w:styleId="Textvysvtlivek">
    <w:name w:val="endnote text"/>
    <w:basedOn w:val="Normln"/>
    <w:link w:val="TextvysvtlivekChar"/>
    <w:uiPriority w:val="99"/>
    <w:unhideWhenUsed/>
    <w:rsid w:val="00123A41"/>
    <w:rPr>
      <w:sz w:val="20"/>
      <w:lang w:val="x-none" w:eastAsia="x-none"/>
    </w:rPr>
  </w:style>
  <w:style w:type="character" w:customStyle="1" w:styleId="TextvysvtlivekChar">
    <w:name w:val="Text vysvětlivek Char"/>
    <w:link w:val="Textvysvtlivek"/>
    <w:uiPriority w:val="99"/>
    <w:rsid w:val="00123A41"/>
    <w:rPr>
      <w:rFonts w:ascii="Calibri" w:eastAsia="Times" w:hAnsi="Calibri"/>
    </w:rPr>
  </w:style>
  <w:style w:type="character" w:customStyle="1" w:styleId="Poznmkapodarou3dkovn0pt">
    <w:name w:val="Poznámka pod čarou (3) + Řádkování 0 pt"/>
    <w:rsid w:val="0096318B"/>
    <w:rPr>
      <w:rFonts w:ascii="Constantia" w:eastAsia="Constantia" w:hAnsi="Constantia" w:cs="Constantia"/>
      <w:b w:val="0"/>
      <w:bCs w:val="0"/>
      <w:i/>
      <w:iCs/>
      <w:smallCaps w:val="0"/>
      <w:strike w:val="0"/>
      <w:color w:val="000000"/>
      <w:spacing w:val="-1"/>
      <w:w w:val="100"/>
      <w:position w:val="0"/>
      <w:sz w:val="14"/>
      <w:szCs w:val="14"/>
      <w:u w:val="none"/>
      <w:lang w:val="en-US"/>
    </w:rPr>
  </w:style>
  <w:style w:type="character" w:customStyle="1" w:styleId="Zkladntext6CordiaNew11ptKurzvadkovn0pt">
    <w:name w:val="Základní text (6) + Cordia New;11 pt;Kurzíva;Řádkování 0 pt"/>
    <w:rsid w:val="004423DF"/>
    <w:rPr>
      <w:rFonts w:ascii="Cordia New" w:eastAsia="Cordia New" w:hAnsi="Cordia New" w:cs="Cordia New"/>
      <w:b w:val="0"/>
      <w:bCs w:val="0"/>
      <w:i w:val="0"/>
      <w:iCs w:val="0"/>
      <w:smallCaps w:val="0"/>
      <w:strike w:val="0"/>
      <w:color w:val="000000"/>
      <w:spacing w:val="0"/>
      <w:w w:val="100"/>
      <w:position w:val="0"/>
      <w:sz w:val="22"/>
      <w:szCs w:val="22"/>
      <w:u w:val="none"/>
      <w:shd w:val="clear" w:color="auto" w:fill="FFFFFF"/>
      <w:lang w:val="en-US"/>
    </w:rPr>
  </w:style>
  <w:style w:type="character" w:customStyle="1" w:styleId="Nadpis1Constantia425ptNekurzvadkovn0pt">
    <w:name w:val="Nadpis #1 + Constantia;42;5 pt;Ne kurzíva;Řádkování 0 pt"/>
    <w:rsid w:val="005C2D81"/>
    <w:rPr>
      <w:rFonts w:ascii="Constantia" w:eastAsia="Constantia" w:hAnsi="Constantia" w:cs="Constantia"/>
      <w:b/>
      <w:bCs/>
      <w:i/>
      <w:iCs/>
      <w:color w:val="000000"/>
      <w:spacing w:val="-12"/>
      <w:w w:val="100"/>
      <w:position w:val="0"/>
      <w:sz w:val="85"/>
      <w:szCs w:val="85"/>
      <w:shd w:val="clear" w:color="auto" w:fill="FFFFFF"/>
      <w:lang w:val="en-US"/>
    </w:rPr>
  </w:style>
  <w:style w:type="character" w:customStyle="1" w:styleId="Poznmkapodarou2">
    <w:name w:val="Poznámka pod čarou (2)"/>
    <w:rsid w:val="0047787A"/>
    <w:rPr>
      <w:rFonts w:ascii="Times New Roman" w:eastAsia="Times New Roman" w:hAnsi="Times New Roman" w:cs="Times New Roman"/>
      <w:b w:val="0"/>
      <w:bCs w:val="0"/>
      <w:i w:val="0"/>
      <w:iCs w:val="0"/>
      <w:smallCaps w:val="0"/>
      <w:strike w:val="0"/>
      <w:color w:val="000000"/>
      <w:spacing w:val="4"/>
      <w:w w:val="100"/>
      <w:position w:val="0"/>
      <w:sz w:val="15"/>
      <w:szCs w:val="15"/>
      <w:u w:val="single"/>
      <w:lang w:val="fr-FR"/>
    </w:rPr>
  </w:style>
  <w:style w:type="character" w:customStyle="1" w:styleId="Zkladntext8Malpsmenadkovn1pt">
    <w:name w:val="Základní text (8) + Malá písmena;Řádkování 1 pt"/>
    <w:rsid w:val="0047787A"/>
    <w:rPr>
      <w:rFonts w:ascii="Times New Roman" w:eastAsia="Times New Roman" w:hAnsi="Times New Roman" w:cs="Times New Roman"/>
      <w:b w:val="0"/>
      <w:bCs w:val="0"/>
      <w:i w:val="0"/>
      <w:iCs w:val="0"/>
      <w:smallCaps/>
      <w:strike w:val="0"/>
      <w:color w:val="000000"/>
      <w:spacing w:val="23"/>
      <w:w w:val="100"/>
      <w:position w:val="0"/>
      <w:sz w:val="13"/>
      <w:szCs w:val="13"/>
      <w:u w:val="none"/>
      <w:lang w:val="fr-FR"/>
    </w:rPr>
  </w:style>
  <w:style w:type="character" w:customStyle="1" w:styleId="Poznmkapodarou20">
    <w:name w:val="Poznámka pod čarou (2)_"/>
    <w:rsid w:val="0047787A"/>
    <w:rPr>
      <w:rFonts w:ascii="Times New Roman" w:eastAsia="Times New Roman" w:hAnsi="Times New Roman" w:cs="Times New Roman"/>
      <w:b w:val="0"/>
      <w:bCs w:val="0"/>
      <w:i w:val="0"/>
      <w:iCs w:val="0"/>
      <w:smallCaps w:val="0"/>
      <w:strike w:val="0"/>
      <w:spacing w:val="4"/>
      <w:sz w:val="15"/>
      <w:szCs w:val="15"/>
      <w:u w:val="none"/>
    </w:rPr>
  </w:style>
  <w:style w:type="character" w:customStyle="1" w:styleId="Zkladntext5Kurzvadkovn0pt">
    <w:name w:val="Základní text (5) + Kurzíva;Řádkování 0 pt"/>
    <w:rsid w:val="0047787A"/>
    <w:rPr>
      <w:rFonts w:ascii="Times New Roman" w:eastAsia="Times New Roman" w:hAnsi="Times New Roman" w:cs="Times New Roman"/>
      <w:b/>
      <w:bCs/>
      <w:i/>
      <w:iCs/>
      <w:smallCaps w:val="0"/>
      <w:strike w:val="0"/>
      <w:color w:val="000000"/>
      <w:spacing w:val="-3"/>
      <w:w w:val="100"/>
      <w:position w:val="0"/>
      <w:sz w:val="13"/>
      <w:szCs w:val="13"/>
      <w:u w:val="single"/>
      <w:shd w:val="clear" w:color="auto" w:fill="FFFFFF"/>
      <w:lang w:val="fr-FR"/>
    </w:rPr>
  </w:style>
  <w:style w:type="character" w:customStyle="1" w:styleId="ZkladntextTunKurzvadkovn0pt">
    <w:name w:val="Základní text + Tučné;Kurzíva;Řádkování 0 pt"/>
    <w:rsid w:val="00F936D6"/>
    <w:rPr>
      <w:rFonts w:ascii="Book Antiqua" w:eastAsia="Book Antiqua" w:hAnsi="Book Antiqua" w:cs="Book Antiqua"/>
      <w:b/>
      <w:bCs/>
      <w:i/>
      <w:iCs/>
      <w:smallCaps w:val="0"/>
      <w:strike w:val="0"/>
      <w:color w:val="000000"/>
      <w:spacing w:val="0"/>
      <w:w w:val="100"/>
      <w:position w:val="0"/>
      <w:sz w:val="20"/>
      <w:szCs w:val="20"/>
      <w:u w:val="none"/>
      <w:shd w:val="clear" w:color="auto" w:fill="FFFFFF"/>
      <w:lang w:val="en-US"/>
    </w:rPr>
  </w:style>
  <w:style w:type="character" w:customStyle="1" w:styleId="Zkladntext16dkovn0pt">
    <w:name w:val="Základní text (16) + Řádkování 0 pt"/>
    <w:rsid w:val="00883808"/>
    <w:rPr>
      <w:rFonts w:ascii="Georgia" w:eastAsia="Georgia" w:hAnsi="Georgia" w:cs="Georgia"/>
      <w:b w:val="0"/>
      <w:bCs w:val="0"/>
      <w:i w:val="0"/>
      <w:iCs w:val="0"/>
      <w:smallCaps w:val="0"/>
      <w:strike w:val="0"/>
      <w:color w:val="000000"/>
      <w:spacing w:val="-2"/>
      <w:w w:val="100"/>
      <w:position w:val="0"/>
      <w:sz w:val="17"/>
      <w:szCs w:val="17"/>
      <w:u w:val="none"/>
      <w:lang w:val="en-US"/>
    </w:rPr>
  </w:style>
  <w:style w:type="character" w:customStyle="1" w:styleId="fn">
    <w:name w:val="fn"/>
    <w:basedOn w:val="Standardnpsmoodstavce"/>
    <w:rsid w:val="006020A1"/>
  </w:style>
  <w:style w:type="character" w:customStyle="1" w:styleId="Podtitul1">
    <w:name w:val="Podtitul1"/>
    <w:basedOn w:val="Standardnpsmoodstavce"/>
    <w:rsid w:val="006020A1"/>
  </w:style>
  <w:style w:type="character" w:customStyle="1" w:styleId="aus">
    <w:name w:val="aus"/>
    <w:basedOn w:val="Standardnpsmoodstavce"/>
    <w:rsid w:val="004B4AA4"/>
  </w:style>
  <w:style w:type="character" w:customStyle="1" w:styleId="Zkladntext158Constantia13ptKurzvadkovn0pt">
    <w:name w:val="Základní text (158) + Constantia;13 pt;Kurzíva;Řádkování 0 pt"/>
    <w:rsid w:val="00BD118E"/>
    <w:rPr>
      <w:rFonts w:ascii="Constantia" w:eastAsia="Constantia" w:hAnsi="Constantia" w:cs="Constantia"/>
      <w:b w:val="0"/>
      <w:bCs w:val="0"/>
      <w:i/>
      <w:iCs/>
      <w:smallCaps w:val="0"/>
      <w:strike w:val="0"/>
      <w:color w:val="000000"/>
      <w:spacing w:val="-8"/>
      <w:w w:val="100"/>
      <w:position w:val="0"/>
      <w:sz w:val="26"/>
      <w:szCs w:val="26"/>
      <w:u w:val="none"/>
      <w:lang w:val="en-US"/>
    </w:rPr>
  </w:style>
  <w:style w:type="character" w:customStyle="1" w:styleId="ZhlavneboZpat">
    <w:name w:val="Záhlaví nebo Zápatí_"/>
    <w:link w:val="ZhlavneboZpat0"/>
    <w:rsid w:val="002D0394"/>
    <w:rPr>
      <w:rFonts w:ascii="Sylfaen" w:eastAsia="Sylfaen" w:hAnsi="Sylfaen" w:cs="Sylfaen"/>
      <w:i/>
      <w:iCs/>
      <w:spacing w:val="-5"/>
      <w:sz w:val="22"/>
      <w:szCs w:val="22"/>
      <w:shd w:val="clear" w:color="auto" w:fill="FFFFFF"/>
    </w:rPr>
  </w:style>
  <w:style w:type="paragraph" w:customStyle="1" w:styleId="ZhlavneboZpat0">
    <w:name w:val="Záhlaví nebo Zápatí"/>
    <w:basedOn w:val="Normln"/>
    <w:link w:val="ZhlavneboZpat"/>
    <w:rsid w:val="002D0394"/>
    <w:pPr>
      <w:widowControl w:val="0"/>
      <w:shd w:val="clear" w:color="auto" w:fill="FFFFFF"/>
      <w:spacing w:line="0" w:lineRule="atLeast"/>
      <w:jc w:val="left"/>
    </w:pPr>
    <w:rPr>
      <w:rFonts w:ascii="Sylfaen" w:eastAsia="Sylfaen" w:hAnsi="Sylfaen"/>
      <w:i/>
      <w:iCs/>
      <w:spacing w:val="-5"/>
      <w:sz w:val="22"/>
      <w:szCs w:val="22"/>
      <w:lang w:val="x-none" w:eastAsia="x-none"/>
    </w:rPr>
  </w:style>
  <w:style w:type="character" w:customStyle="1" w:styleId="Zkladntext158">
    <w:name w:val="Základní text (158)_"/>
    <w:link w:val="Zkladntext1580"/>
    <w:rsid w:val="002D0394"/>
    <w:rPr>
      <w:spacing w:val="6"/>
      <w:sz w:val="27"/>
      <w:szCs w:val="27"/>
      <w:shd w:val="clear" w:color="auto" w:fill="FFFFFF"/>
    </w:rPr>
  </w:style>
  <w:style w:type="paragraph" w:customStyle="1" w:styleId="Zkladntext1580">
    <w:name w:val="Základní text (158)"/>
    <w:basedOn w:val="Normln"/>
    <w:link w:val="Zkladntext158"/>
    <w:rsid w:val="002D0394"/>
    <w:pPr>
      <w:widowControl w:val="0"/>
      <w:shd w:val="clear" w:color="auto" w:fill="FFFFFF"/>
      <w:spacing w:line="334" w:lineRule="exact"/>
      <w:ind w:hanging="460"/>
    </w:pPr>
    <w:rPr>
      <w:rFonts w:ascii="Times New Roman" w:eastAsia="Times New Roman" w:hAnsi="Times New Roman"/>
      <w:spacing w:val="6"/>
      <w:sz w:val="27"/>
      <w:szCs w:val="27"/>
      <w:lang w:val="x-none" w:eastAsia="x-none"/>
    </w:rPr>
  </w:style>
  <w:style w:type="character" w:customStyle="1" w:styleId="Zkladntext158dkovn0pt">
    <w:name w:val="Základní text (158) + Řádkování 0 pt"/>
    <w:rsid w:val="002D0394"/>
    <w:rPr>
      <w:color w:val="000000"/>
      <w:spacing w:val="7"/>
      <w:w w:val="100"/>
      <w:position w:val="0"/>
      <w:sz w:val="27"/>
      <w:szCs w:val="27"/>
      <w:shd w:val="clear" w:color="auto" w:fill="FFFFFF"/>
      <w:lang w:val="en-US"/>
    </w:rPr>
  </w:style>
  <w:style w:type="character" w:customStyle="1" w:styleId="Zkladntext75">
    <w:name w:val="Základní text (75)_"/>
    <w:link w:val="Zkladntext750"/>
    <w:rsid w:val="00ED4DAC"/>
    <w:rPr>
      <w:rFonts w:ascii="Sylfaen" w:eastAsia="Sylfaen" w:hAnsi="Sylfaen" w:cs="Sylfaen"/>
      <w:spacing w:val="6"/>
      <w:sz w:val="25"/>
      <w:szCs w:val="25"/>
      <w:shd w:val="clear" w:color="auto" w:fill="FFFFFF"/>
    </w:rPr>
  </w:style>
  <w:style w:type="paragraph" w:customStyle="1" w:styleId="Zkladntext750">
    <w:name w:val="Základní text (75)"/>
    <w:basedOn w:val="Normln"/>
    <w:link w:val="Zkladntext75"/>
    <w:rsid w:val="00ED4DAC"/>
    <w:pPr>
      <w:widowControl w:val="0"/>
      <w:shd w:val="clear" w:color="auto" w:fill="FFFFFF"/>
      <w:spacing w:line="339" w:lineRule="exact"/>
      <w:jc w:val="left"/>
    </w:pPr>
    <w:rPr>
      <w:rFonts w:ascii="Sylfaen" w:eastAsia="Sylfaen" w:hAnsi="Sylfaen"/>
      <w:spacing w:val="6"/>
      <w:sz w:val="25"/>
      <w:szCs w:val="25"/>
      <w:lang w:val="x-none" w:eastAsia="x-none"/>
    </w:rPr>
  </w:style>
  <w:style w:type="character" w:customStyle="1" w:styleId="Zkladntext7575ptdkovn0pt">
    <w:name w:val="Základní text (75) + 7;5 pt;Řádkování 0 pt"/>
    <w:rsid w:val="00ED4DAC"/>
    <w:rPr>
      <w:rFonts w:ascii="Sylfaen" w:eastAsia="Sylfaen" w:hAnsi="Sylfaen" w:cs="Sylfaen"/>
      <w:color w:val="000000"/>
      <w:spacing w:val="5"/>
      <w:w w:val="100"/>
      <w:position w:val="0"/>
      <w:sz w:val="15"/>
      <w:szCs w:val="15"/>
      <w:shd w:val="clear" w:color="auto" w:fill="FFFFFF"/>
      <w:lang w:val="en-US"/>
    </w:rPr>
  </w:style>
  <w:style w:type="character" w:customStyle="1" w:styleId="Zkladntext75dkovn0pt">
    <w:name w:val="Základní text (75) + Řádkování 0 pt"/>
    <w:rsid w:val="00ED4DAC"/>
    <w:rPr>
      <w:rFonts w:ascii="Sylfaen" w:eastAsia="Sylfaen" w:hAnsi="Sylfaen" w:cs="Sylfaen"/>
      <w:color w:val="000000"/>
      <w:spacing w:val="5"/>
      <w:w w:val="100"/>
      <w:position w:val="0"/>
      <w:sz w:val="25"/>
      <w:szCs w:val="25"/>
      <w:shd w:val="clear" w:color="auto" w:fill="FFFFFF"/>
      <w:lang w:val="en-US"/>
    </w:rPr>
  </w:style>
  <w:style w:type="character" w:customStyle="1" w:styleId="Zkladntext184">
    <w:name w:val="Základní text (184)"/>
    <w:rsid w:val="001F1892"/>
    <w:rPr>
      <w:rFonts w:ascii="Constantia" w:eastAsia="Constantia" w:hAnsi="Constantia" w:cs="Constantia"/>
      <w:b w:val="0"/>
      <w:bCs w:val="0"/>
      <w:i w:val="0"/>
      <w:iCs w:val="0"/>
      <w:smallCaps w:val="0"/>
      <w:strike w:val="0"/>
      <w:color w:val="000000"/>
      <w:spacing w:val="4"/>
      <w:w w:val="100"/>
      <w:position w:val="0"/>
      <w:sz w:val="26"/>
      <w:szCs w:val="26"/>
      <w:u w:val="none"/>
      <w:lang w:val="en-US"/>
    </w:rPr>
  </w:style>
  <w:style w:type="character" w:customStyle="1" w:styleId="Zkladntext43">
    <w:name w:val="Základní text (43)_"/>
    <w:link w:val="Zkladntext430"/>
    <w:rsid w:val="00183F84"/>
    <w:rPr>
      <w:rFonts w:ascii="Sylfaen" w:eastAsia="Sylfaen" w:hAnsi="Sylfaen" w:cs="Sylfaen"/>
      <w:b/>
      <w:bCs/>
      <w:spacing w:val="5"/>
      <w:sz w:val="27"/>
      <w:szCs w:val="27"/>
      <w:shd w:val="clear" w:color="auto" w:fill="FFFFFF"/>
    </w:rPr>
  </w:style>
  <w:style w:type="paragraph" w:customStyle="1" w:styleId="Zkladntext430">
    <w:name w:val="Základní text (43)"/>
    <w:basedOn w:val="Normln"/>
    <w:link w:val="Zkladntext43"/>
    <w:rsid w:val="00183F84"/>
    <w:pPr>
      <w:widowControl w:val="0"/>
      <w:shd w:val="clear" w:color="auto" w:fill="FFFFFF"/>
      <w:spacing w:before="180" w:line="334" w:lineRule="exact"/>
      <w:ind w:hanging="360"/>
      <w:jc w:val="left"/>
    </w:pPr>
    <w:rPr>
      <w:rFonts w:ascii="Sylfaen" w:eastAsia="Sylfaen" w:hAnsi="Sylfaen"/>
      <w:b/>
      <w:bCs/>
      <w:spacing w:val="5"/>
      <w:sz w:val="27"/>
      <w:szCs w:val="27"/>
      <w:lang w:val="x-none" w:eastAsia="x-none"/>
    </w:rPr>
  </w:style>
  <w:style w:type="character" w:customStyle="1" w:styleId="Zkladntext158Sylfaen8ptdkovn0pt">
    <w:name w:val="Základní text (158) + Sylfaen;8 pt;Řádkování 0 pt"/>
    <w:rsid w:val="00B82F6F"/>
    <w:rPr>
      <w:rFonts w:ascii="Sylfaen" w:eastAsia="Sylfaen" w:hAnsi="Sylfaen" w:cs="Sylfaen"/>
      <w:b w:val="0"/>
      <w:bCs w:val="0"/>
      <w:i w:val="0"/>
      <w:iCs w:val="0"/>
      <w:smallCaps w:val="0"/>
      <w:strike w:val="0"/>
      <w:color w:val="000000"/>
      <w:spacing w:val="15"/>
      <w:w w:val="100"/>
      <w:position w:val="0"/>
      <w:sz w:val="16"/>
      <w:szCs w:val="16"/>
      <w:u w:val="none"/>
      <w:shd w:val="clear" w:color="auto" w:fill="FFFFFF"/>
      <w:lang w:val="en-US"/>
    </w:rPr>
  </w:style>
  <w:style w:type="character" w:customStyle="1" w:styleId="Zkladntext22Sylfaen9ptNekurzvadkovn0pt">
    <w:name w:val="Základní text (22) + Sylfaen;9 pt;Ne kurzíva;Řádkování 0 pt"/>
    <w:rsid w:val="00363E85"/>
    <w:rPr>
      <w:rFonts w:ascii="Sylfaen" w:eastAsia="Sylfaen" w:hAnsi="Sylfaen" w:cs="Sylfaen"/>
      <w:b w:val="0"/>
      <w:bCs w:val="0"/>
      <w:i/>
      <w:iCs/>
      <w:smallCaps w:val="0"/>
      <w:strike w:val="0"/>
      <w:color w:val="000000"/>
      <w:spacing w:val="6"/>
      <w:w w:val="100"/>
      <w:position w:val="0"/>
      <w:sz w:val="18"/>
      <w:szCs w:val="18"/>
      <w:u w:val="none"/>
      <w:lang w:val="en-US"/>
    </w:rPr>
  </w:style>
  <w:style w:type="character" w:customStyle="1" w:styleId="Zkladntext10ptTundkovn0pt">
    <w:name w:val="Základní text + 10 pt;Tučné;Řádkování 0 pt"/>
    <w:rsid w:val="00C92E29"/>
    <w:rPr>
      <w:rFonts w:ascii="Sylfaen" w:eastAsia="Sylfaen" w:hAnsi="Sylfaen" w:cs="Sylfaen"/>
      <w:b/>
      <w:bCs/>
      <w:i w:val="0"/>
      <w:iCs w:val="0"/>
      <w:smallCaps w:val="0"/>
      <w:strike w:val="0"/>
      <w:color w:val="000000"/>
      <w:spacing w:val="6"/>
      <w:w w:val="100"/>
      <w:position w:val="0"/>
      <w:sz w:val="20"/>
      <w:szCs w:val="20"/>
      <w:u w:val="none"/>
      <w:shd w:val="clear" w:color="auto" w:fill="FFFFFF"/>
      <w:lang w:val="en-US"/>
    </w:rPr>
  </w:style>
  <w:style w:type="character" w:customStyle="1" w:styleId="Zkladntext1840">
    <w:name w:val="Základní text (184)_"/>
    <w:rsid w:val="00E473DF"/>
    <w:rPr>
      <w:rFonts w:ascii="Constantia" w:eastAsia="Constantia" w:hAnsi="Constantia" w:cs="Constantia"/>
      <w:b w:val="0"/>
      <w:bCs w:val="0"/>
      <w:i w:val="0"/>
      <w:iCs w:val="0"/>
      <w:smallCaps w:val="0"/>
      <w:strike w:val="0"/>
      <w:spacing w:val="4"/>
      <w:sz w:val="26"/>
      <w:szCs w:val="26"/>
      <w:u w:val="none"/>
    </w:rPr>
  </w:style>
  <w:style w:type="character" w:customStyle="1" w:styleId="Zkladntext156">
    <w:name w:val="Základní text (156)_"/>
    <w:rsid w:val="00196807"/>
    <w:rPr>
      <w:rFonts w:ascii="Constantia" w:eastAsia="Constantia" w:hAnsi="Constantia" w:cs="Constantia"/>
      <w:b w:val="0"/>
      <w:bCs w:val="0"/>
      <w:i/>
      <w:iCs/>
      <w:smallCaps w:val="0"/>
      <w:strike w:val="0"/>
      <w:spacing w:val="-8"/>
      <w:sz w:val="26"/>
      <w:szCs w:val="26"/>
      <w:u w:val="none"/>
    </w:rPr>
  </w:style>
  <w:style w:type="character" w:customStyle="1" w:styleId="Zkladntext156TimesNewRoman135ptNekurzvadkovn0pt">
    <w:name w:val="Základní text (156) + Times New Roman;13;5 pt;Ne kurzíva;Řádkování 0 pt"/>
    <w:rsid w:val="00196807"/>
    <w:rPr>
      <w:rFonts w:ascii="Times New Roman" w:eastAsia="Times New Roman" w:hAnsi="Times New Roman" w:cs="Times New Roman"/>
      <w:b w:val="0"/>
      <w:bCs w:val="0"/>
      <w:i/>
      <w:iCs/>
      <w:smallCaps w:val="0"/>
      <w:strike w:val="0"/>
      <w:color w:val="000000"/>
      <w:spacing w:val="7"/>
      <w:w w:val="100"/>
      <w:position w:val="0"/>
      <w:sz w:val="27"/>
      <w:szCs w:val="27"/>
      <w:u w:val="none"/>
      <w:lang w:val="en-US"/>
    </w:rPr>
  </w:style>
  <w:style w:type="character" w:customStyle="1" w:styleId="Zkladntext1560">
    <w:name w:val="Základní text (156)"/>
    <w:rsid w:val="00196807"/>
    <w:rPr>
      <w:rFonts w:ascii="Constantia" w:eastAsia="Constantia" w:hAnsi="Constantia" w:cs="Constantia"/>
      <w:b w:val="0"/>
      <w:bCs w:val="0"/>
      <w:i/>
      <w:iCs/>
      <w:smallCaps w:val="0"/>
      <w:strike w:val="0"/>
      <w:color w:val="000000"/>
      <w:spacing w:val="-8"/>
      <w:w w:val="100"/>
      <w:position w:val="0"/>
      <w:sz w:val="26"/>
      <w:szCs w:val="26"/>
      <w:u w:val="none"/>
      <w:lang w:val="en-US"/>
    </w:rPr>
  </w:style>
  <w:style w:type="character" w:customStyle="1" w:styleId="Zkladntext156Sylfaen9ptdkovn0pt">
    <w:name w:val="Základní text (156) + Sylfaen;9 pt;Řádkování 0 pt"/>
    <w:rsid w:val="00196807"/>
    <w:rPr>
      <w:rFonts w:ascii="Sylfaen" w:eastAsia="Sylfaen" w:hAnsi="Sylfaen" w:cs="Sylfaen"/>
      <w:b w:val="0"/>
      <w:bCs w:val="0"/>
      <w:i/>
      <w:iCs/>
      <w:smallCaps w:val="0"/>
      <w:strike w:val="0"/>
      <w:color w:val="000000"/>
      <w:spacing w:val="19"/>
      <w:w w:val="100"/>
      <w:position w:val="0"/>
      <w:sz w:val="18"/>
      <w:szCs w:val="18"/>
      <w:u w:val="none"/>
    </w:rPr>
  </w:style>
  <w:style w:type="character" w:customStyle="1" w:styleId="Zkladntext57">
    <w:name w:val="Základní text (57)_"/>
    <w:link w:val="Zkladntext570"/>
    <w:rsid w:val="000B6664"/>
    <w:rPr>
      <w:rFonts w:ascii="Constantia" w:eastAsia="Constantia" w:hAnsi="Constantia" w:cs="Constantia"/>
      <w:spacing w:val="4"/>
      <w:sz w:val="26"/>
      <w:szCs w:val="26"/>
      <w:shd w:val="clear" w:color="auto" w:fill="FFFFFF"/>
    </w:rPr>
  </w:style>
  <w:style w:type="paragraph" w:customStyle="1" w:styleId="Zkladntext570">
    <w:name w:val="Základní text (57)"/>
    <w:basedOn w:val="Normln"/>
    <w:link w:val="Zkladntext57"/>
    <w:rsid w:val="000B6664"/>
    <w:pPr>
      <w:widowControl w:val="0"/>
      <w:shd w:val="clear" w:color="auto" w:fill="FFFFFF"/>
      <w:spacing w:before="300" w:line="339" w:lineRule="exact"/>
      <w:ind w:hanging="700"/>
      <w:jc w:val="left"/>
    </w:pPr>
    <w:rPr>
      <w:rFonts w:ascii="Constantia" w:eastAsia="Constantia" w:hAnsi="Constantia"/>
      <w:spacing w:val="4"/>
      <w:sz w:val="26"/>
      <w:szCs w:val="26"/>
      <w:lang w:val="x-none" w:eastAsia="x-none"/>
    </w:rPr>
  </w:style>
  <w:style w:type="character" w:customStyle="1" w:styleId="Zkladntext57dkovn0pt">
    <w:name w:val="Základní text (57) + Řádkování 0 pt"/>
    <w:rsid w:val="000B6664"/>
    <w:rPr>
      <w:rFonts w:ascii="Constantia" w:eastAsia="Constantia" w:hAnsi="Constantia" w:cs="Constantia"/>
      <w:color w:val="000000"/>
      <w:spacing w:val="3"/>
      <w:w w:val="100"/>
      <w:position w:val="0"/>
      <w:sz w:val="26"/>
      <w:szCs w:val="26"/>
      <w:shd w:val="clear" w:color="auto" w:fill="FFFFFF"/>
      <w:lang w:val="en-US"/>
    </w:rPr>
  </w:style>
  <w:style w:type="character" w:customStyle="1" w:styleId="Zkladntext15">
    <w:name w:val="Základní text (15)_"/>
    <w:link w:val="Zkladntext150"/>
    <w:rsid w:val="00762AE6"/>
    <w:rPr>
      <w:rFonts w:ascii="Century Schoolbook" w:eastAsia="Century Schoolbook" w:hAnsi="Century Schoolbook" w:cs="Century Schoolbook"/>
      <w:b/>
      <w:bCs/>
      <w:spacing w:val="-5"/>
      <w:sz w:val="22"/>
      <w:szCs w:val="22"/>
      <w:shd w:val="clear" w:color="auto" w:fill="FFFFFF"/>
      <w:lang w:val="fr-FR"/>
    </w:rPr>
  </w:style>
  <w:style w:type="paragraph" w:customStyle="1" w:styleId="Zkladntext150">
    <w:name w:val="Základní text (15)"/>
    <w:basedOn w:val="Normln"/>
    <w:link w:val="Zkladntext15"/>
    <w:rsid w:val="00762AE6"/>
    <w:pPr>
      <w:widowControl w:val="0"/>
      <w:shd w:val="clear" w:color="auto" w:fill="FFFFFF"/>
      <w:spacing w:line="394" w:lineRule="exact"/>
      <w:jc w:val="center"/>
    </w:pPr>
    <w:rPr>
      <w:rFonts w:ascii="Century Schoolbook" w:eastAsia="Century Schoolbook" w:hAnsi="Century Schoolbook"/>
      <w:b/>
      <w:bCs/>
      <w:spacing w:val="-5"/>
      <w:sz w:val="22"/>
      <w:szCs w:val="22"/>
      <w:lang w:val="fr-FR" w:eastAsia="x-none"/>
    </w:rPr>
  </w:style>
  <w:style w:type="character" w:customStyle="1" w:styleId="Zkladntext15NetunKurzvadkovn-1pt">
    <w:name w:val="Základní text (15) + Ne tučné;Kurzíva;Řádkování -1 pt"/>
    <w:rsid w:val="00762AE6"/>
    <w:rPr>
      <w:rFonts w:ascii="Century Schoolbook" w:eastAsia="Century Schoolbook" w:hAnsi="Century Schoolbook" w:cs="Century Schoolbook"/>
      <w:b/>
      <w:bCs/>
      <w:i/>
      <w:iCs/>
      <w:color w:val="000000"/>
      <w:spacing w:val="-39"/>
      <w:w w:val="100"/>
      <w:position w:val="0"/>
      <w:sz w:val="22"/>
      <w:szCs w:val="22"/>
      <w:shd w:val="clear" w:color="auto" w:fill="FFFFFF"/>
      <w:lang w:val="de-DE"/>
    </w:rPr>
  </w:style>
  <w:style w:type="character" w:customStyle="1" w:styleId="Zkladntext15dkovn0pt">
    <w:name w:val="Základní text (15) + Řádkování 0 pt"/>
    <w:rsid w:val="00762AE6"/>
    <w:rPr>
      <w:rFonts w:ascii="Century Schoolbook" w:eastAsia="Century Schoolbook" w:hAnsi="Century Schoolbook" w:cs="Century Schoolbook"/>
      <w:b/>
      <w:bCs/>
      <w:color w:val="000000"/>
      <w:spacing w:val="0"/>
      <w:w w:val="100"/>
      <w:position w:val="0"/>
      <w:sz w:val="22"/>
      <w:szCs w:val="22"/>
      <w:shd w:val="clear" w:color="auto" w:fill="FFFFFF"/>
      <w:lang w:val="de-DE"/>
    </w:rPr>
  </w:style>
  <w:style w:type="character" w:customStyle="1" w:styleId="Zkladntext27dkovn0pt">
    <w:name w:val="Základní text (27) + Řádkování 0 pt"/>
    <w:rsid w:val="00487A5A"/>
    <w:rPr>
      <w:rFonts w:ascii="Century Schoolbook" w:eastAsia="Century Schoolbook" w:hAnsi="Century Schoolbook" w:cs="Century Schoolbook"/>
      <w:b/>
      <w:bCs/>
      <w:i w:val="0"/>
      <w:iCs w:val="0"/>
      <w:smallCaps w:val="0"/>
      <w:strike w:val="0"/>
      <w:color w:val="000000"/>
      <w:spacing w:val="-7"/>
      <w:w w:val="100"/>
      <w:position w:val="0"/>
      <w:sz w:val="27"/>
      <w:szCs w:val="27"/>
      <w:u w:val="none"/>
      <w:lang w:val="de-DE"/>
    </w:rPr>
  </w:style>
  <w:style w:type="character" w:customStyle="1" w:styleId="ZkladntextTundkovn0pt">
    <w:name w:val="Základní text + Tučné;Řádkování 0 pt"/>
    <w:rsid w:val="00D5340B"/>
    <w:rPr>
      <w:rFonts w:ascii="Constantia" w:eastAsia="Constantia" w:hAnsi="Constantia" w:cs="Constantia"/>
      <w:b/>
      <w:bCs/>
      <w:i w:val="0"/>
      <w:iCs w:val="0"/>
      <w:smallCaps w:val="0"/>
      <w:strike w:val="0"/>
      <w:color w:val="000000"/>
      <w:spacing w:val="6"/>
      <w:w w:val="100"/>
      <w:position w:val="0"/>
      <w:sz w:val="16"/>
      <w:szCs w:val="16"/>
      <w:u w:val="none"/>
      <w:shd w:val="clear" w:color="auto" w:fill="FFFFFF"/>
      <w:lang w:val="en-US"/>
    </w:rPr>
  </w:style>
  <w:style w:type="character" w:customStyle="1" w:styleId="Zkladntext9">
    <w:name w:val="Základní text (9)_"/>
    <w:link w:val="Zkladntext90"/>
    <w:rsid w:val="00B51526"/>
    <w:rPr>
      <w:rFonts w:ascii="Constantia" w:eastAsia="Constantia" w:hAnsi="Constantia" w:cs="Constantia"/>
      <w:b/>
      <w:bCs/>
      <w:spacing w:val="6"/>
      <w:sz w:val="16"/>
      <w:szCs w:val="16"/>
      <w:shd w:val="clear" w:color="auto" w:fill="FFFFFF"/>
    </w:rPr>
  </w:style>
  <w:style w:type="paragraph" w:customStyle="1" w:styleId="Zkladntext90">
    <w:name w:val="Základní text (9)"/>
    <w:basedOn w:val="Normln"/>
    <w:link w:val="Zkladntext9"/>
    <w:rsid w:val="00B51526"/>
    <w:pPr>
      <w:widowControl w:val="0"/>
      <w:shd w:val="clear" w:color="auto" w:fill="FFFFFF"/>
      <w:spacing w:before="1020" w:after="60" w:line="259" w:lineRule="exact"/>
    </w:pPr>
    <w:rPr>
      <w:rFonts w:ascii="Constantia" w:eastAsia="Constantia" w:hAnsi="Constantia"/>
      <w:b/>
      <w:bCs/>
      <w:spacing w:val="6"/>
      <w:sz w:val="16"/>
      <w:szCs w:val="16"/>
      <w:lang w:val="x-none" w:eastAsia="x-none"/>
    </w:rPr>
  </w:style>
  <w:style w:type="character" w:customStyle="1" w:styleId="Zkladntext9Netundkovn0pt">
    <w:name w:val="Základní text (9) + Ne tučné;Řádkování 0 pt"/>
    <w:rsid w:val="00B51526"/>
    <w:rPr>
      <w:rFonts w:ascii="Constantia" w:eastAsia="Constantia" w:hAnsi="Constantia" w:cs="Constantia"/>
      <w:b/>
      <w:bCs/>
      <w:color w:val="000000"/>
      <w:spacing w:val="2"/>
      <w:w w:val="100"/>
      <w:position w:val="0"/>
      <w:sz w:val="16"/>
      <w:szCs w:val="16"/>
      <w:shd w:val="clear" w:color="auto" w:fill="FFFFFF"/>
      <w:lang w:val="en-US"/>
    </w:rPr>
  </w:style>
  <w:style w:type="character" w:customStyle="1" w:styleId="Zkladntext20">
    <w:name w:val="Základní text (2)_"/>
    <w:link w:val="Zkladntext21"/>
    <w:rsid w:val="007032A8"/>
    <w:rPr>
      <w:rFonts w:ascii="Arial" w:eastAsia="Arial" w:hAnsi="Arial" w:cs="Arial"/>
      <w:b/>
      <w:bCs/>
      <w:spacing w:val="2"/>
      <w:sz w:val="55"/>
      <w:szCs w:val="55"/>
      <w:shd w:val="clear" w:color="auto" w:fill="FFFFFF"/>
      <w:lang w:val="fr-FR"/>
    </w:rPr>
  </w:style>
  <w:style w:type="paragraph" w:customStyle="1" w:styleId="Zkladntext21">
    <w:name w:val="Základní text (2)"/>
    <w:basedOn w:val="Normln"/>
    <w:link w:val="Zkladntext20"/>
    <w:rsid w:val="007032A8"/>
    <w:pPr>
      <w:widowControl w:val="0"/>
      <w:shd w:val="clear" w:color="auto" w:fill="FFFFFF"/>
      <w:spacing w:line="0" w:lineRule="atLeast"/>
      <w:jc w:val="left"/>
    </w:pPr>
    <w:rPr>
      <w:rFonts w:ascii="Arial" w:eastAsia="Arial" w:hAnsi="Arial"/>
      <w:b/>
      <w:bCs/>
      <w:spacing w:val="2"/>
      <w:sz w:val="55"/>
      <w:szCs w:val="55"/>
      <w:lang w:val="fr-FR" w:eastAsia="x-none"/>
    </w:rPr>
  </w:style>
  <w:style w:type="character" w:customStyle="1" w:styleId="Zkladntext30">
    <w:name w:val="Základní text (3)_"/>
    <w:link w:val="Zkladntext31"/>
    <w:uiPriority w:val="99"/>
    <w:rsid w:val="007032A8"/>
    <w:rPr>
      <w:rFonts w:ascii="Calibri" w:eastAsia="Calibri" w:hAnsi="Calibri" w:cs="Calibri"/>
      <w:b w:val="0"/>
      <w:bCs w:val="0"/>
      <w:i w:val="0"/>
      <w:iCs w:val="0"/>
      <w:smallCaps w:val="0"/>
      <w:strike w:val="0"/>
      <w:spacing w:val="-11"/>
      <w:sz w:val="9"/>
      <w:szCs w:val="9"/>
      <w:u w:val="none"/>
      <w:lang w:val="fr-FR"/>
    </w:rPr>
  </w:style>
  <w:style w:type="paragraph" w:customStyle="1" w:styleId="Zkladntext31">
    <w:name w:val="Základní text (3)1"/>
    <w:basedOn w:val="Normln"/>
    <w:link w:val="Zkladntext30"/>
    <w:uiPriority w:val="99"/>
    <w:rsid w:val="002C66AA"/>
    <w:pPr>
      <w:shd w:val="clear" w:color="auto" w:fill="FFFFFF"/>
      <w:spacing w:before="300" w:line="252" w:lineRule="exact"/>
    </w:pPr>
    <w:rPr>
      <w:rFonts w:eastAsia="Calibri"/>
      <w:spacing w:val="-11"/>
      <w:sz w:val="9"/>
      <w:szCs w:val="9"/>
      <w:lang w:val="fr-FR" w:eastAsia="x-none"/>
    </w:rPr>
  </w:style>
  <w:style w:type="character" w:customStyle="1" w:styleId="Zkladntext32">
    <w:name w:val="Základní text (3)"/>
    <w:rsid w:val="007032A8"/>
    <w:rPr>
      <w:rFonts w:ascii="Calibri" w:eastAsia="Calibri" w:hAnsi="Calibri" w:cs="Calibri"/>
      <w:b w:val="0"/>
      <w:bCs w:val="0"/>
      <w:i w:val="0"/>
      <w:iCs w:val="0"/>
      <w:smallCaps w:val="0"/>
      <w:strike w:val="0"/>
      <w:color w:val="000000"/>
      <w:spacing w:val="-11"/>
      <w:w w:val="100"/>
      <w:position w:val="0"/>
      <w:sz w:val="9"/>
      <w:szCs w:val="9"/>
      <w:u w:val="none"/>
      <w:lang w:val="fr-FR"/>
    </w:rPr>
  </w:style>
  <w:style w:type="character" w:customStyle="1" w:styleId="ZkladntextCalibri30ptKurzvadkovn0pt">
    <w:name w:val="Základní text + Calibri;30 pt;Kurzíva;Řádkování 0 pt"/>
    <w:rsid w:val="007032A8"/>
    <w:rPr>
      <w:rFonts w:ascii="Calibri" w:eastAsia="Calibri" w:hAnsi="Calibri" w:cs="Calibri"/>
      <w:b w:val="0"/>
      <w:bCs w:val="0"/>
      <w:i/>
      <w:iCs/>
      <w:smallCaps w:val="0"/>
      <w:strike w:val="0"/>
      <w:color w:val="000000"/>
      <w:spacing w:val="10"/>
      <w:w w:val="100"/>
      <w:position w:val="0"/>
      <w:sz w:val="60"/>
      <w:szCs w:val="60"/>
      <w:u w:val="none"/>
      <w:shd w:val="clear" w:color="auto" w:fill="FFFFFF"/>
      <w:lang w:val="el-GR"/>
    </w:rPr>
  </w:style>
  <w:style w:type="character" w:customStyle="1" w:styleId="ZkladntextTundkovn-1pt">
    <w:name w:val="Základní text + Tučné;Řádkování -1 pt"/>
    <w:rsid w:val="007032A8"/>
    <w:rPr>
      <w:rFonts w:ascii="Times New Roman" w:eastAsia="Times New Roman" w:hAnsi="Times New Roman" w:cs="Times New Roman"/>
      <w:b/>
      <w:bCs/>
      <w:i w:val="0"/>
      <w:iCs w:val="0"/>
      <w:smallCaps w:val="0"/>
      <w:strike w:val="0"/>
      <w:color w:val="000000"/>
      <w:spacing w:val="-30"/>
      <w:w w:val="100"/>
      <w:position w:val="0"/>
      <w:sz w:val="66"/>
      <w:szCs w:val="66"/>
      <w:u w:val="none"/>
      <w:shd w:val="clear" w:color="auto" w:fill="FFFFFF"/>
      <w:lang w:val="el-GR"/>
    </w:rPr>
  </w:style>
  <w:style w:type="character" w:customStyle="1" w:styleId="Zkladntext40">
    <w:name w:val="Základní text (4)_"/>
    <w:rsid w:val="007032A8"/>
    <w:rPr>
      <w:rFonts w:ascii="Times New Roman" w:eastAsia="Times New Roman" w:hAnsi="Times New Roman" w:cs="Times New Roman"/>
      <w:b w:val="0"/>
      <w:bCs w:val="0"/>
      <w:i w:val="0"/>
      <w:iCs w:val="0"/>
      <w:smallCaps w:val="0"/>
      <w:strike w:val="0"/>
      <w:spacing w:val="-5"/>
      <w:w w:val="150"/>
      <w:sz w:val="9"/>
      <w:szCs w:val="9"/>
      <w:u w:val="none"/>
      <w:lang w:val="de-LU"/>
    </w:rPr>
  </w:style>
  <w:style w:type="character" w:customStyle="1" w:styleId="Zkladntext4MalgunGothicdkovn0pt">
    <w:name w:val="Základní text (4) + Malgun Gothic;Řádkování 0 pt"/>
    <w:rsid w:val="007032A8"/>
    <w:rPr>
      <w:rFonts w:ascii="Malgun Gothic" w:eastAsia="Malgun Gothic" w:hAnsi="Malgun Gothic" w:cs="Malgun Gothic"/>
      <w:b w:val="0"/>
      <w:bCs w:val="0"/>
      <w:i w:val="0"/>
      <w:iCs w:val="0"/>
      <w:smallCaps w:val="0"/>
      <w:strike w:val="0"/>
      <w:color w:val="000000"/>
      <w:spacing w:val="0"/>
      <w:w w:val="150"/>
      <w:position w:val="0"/>
      <w:sz w:val="9"/>
      <w:szCs w:val="9"/>
      <w:u w:val="none"/>
      <w:lang w:val="el-GR"/>
    </w:rPr>
  </w:style>
  <w:style w:type="character" w:customStyle="1" w:styleId="Zkladntext44ptKurzvadkovn0ptMtko100">
    <w:name w:val="Základní text (4) + 4 pt;Kurzíva;Řádkování 0 pt;Měřítko 100%"/>
    <w:rsid w:val="007032A8"/>
    <w:rPr>
      <w:rFonts w:ascii="Times New Roman" w:eastAsia="Times New Roman" w:hAnsi="Times New Roman" w:cs="Times New Roman"/>
      <w:b w:val="0"/>
      <w:bCs w:val="0"/>
      <w:i/>
      <w:iCs/>
      <w:smallCaps w:val="0"/>
      <w:strike w:val="0"/>
      <w:color w:val="000000"/>
      <w:spacing w:val="0"/>
      <w:w w:val="100"/>
      <w:position w:val="0"/>
      <w:sz w:val="8"/>
      <w:szCs w:val="8"/>
      <w:u w:val="none"/>
      <w:lang w:val="de-LU"/>
    </w:rPr>
  </w:style>
  <w:style w:type="character" w:customStyle="1" w:styleId="Zkladntext4Malpsmena">
    <w:name w:val="Základní text (4) + Malá písmena"/>
    <w:rsid w:val="007032A8"/>
    <w:rPr>
      <w:rFonts w:ascii="Times New Roman" w:eastAsia="Times New Roman" w:hAnsi="Times New Roman" w:cs="Times New Roman"/>
      <w:b w:val="0"/>
      <w:bCs w:val="0"/>
      <w:i w:val="0"/>
      <w:iCs w:val="0"/>
      <w:smallCaps/>
      <w:strike w:val="0"/>
      <w:color w:val="000000"/>
      <w:spacing w:val="-5"/>
      <w:w w:val="150"/>
      <w:position w:val="0"/>
      <w:sz w:val="9"/>
      <w:szCs w:val="9"/>
      <w:u w:val="none"/>
      <w:lang w:val="ru-RU"/>
    </w:rPr>
  </w:style>
  <w:style w:type="character" w:customStyle="1" w:styleId="Zkladntext5KurzvaMalpsmenadkovn0pt">
    <w:name w:val="Základní text (5) + Kurzíva;Malá písmena;Řádkování 0 pt"/>
    <w:rsid w:val="007032A8"/>
    <w:rPr>
      <w:rFonts w:ascii="Times New Roman" w:eastAsia="Times New Roman" w:hAnsi="Times New Roman" w:cs="Times New Roman"/>
      <w:b/>
      <w:bCs/>
      <w:i/>
      <w:iCs/>
      <w:smallCaps/>
      <w:strike w:val="0"/>
      <w:color w:val="000000"/>
      <w:spacing w:val="-7"/>
      <w:w w:val="100"/>
      <w:position w:val="0"/>
      <w:sz w:val="8"/>
      <w:szCs w:val="8"/>
      <w:u w:val="none"/>
      <w:shd w:val="clear" w:color="auto" w:fill="FFFFFF"/>
      <w:lang w:val="el-GR"/>
    </w:rPr>
  </w:style>
  <w:style w:type="character" w:styleId="Odkaznakoment">
    <w:name w:val="annotation reference"/>
    <w:uiPriority w:val="99"/>
    <w:rsid w:val="00A13041"/>
    <w:rPr>
      <w:sz w:val="16"/>
      <w:szCs w:val="16"/>
    </w:rPr>
  </w:style>
  <w:style w:type="character" w:customStyle="1" w:styleId="a-size-large">
    <w:name w:val="a-size-large"/>
    <w:basedOn w:val="Standardnpsmoodstavce"/>
    <w:rsid w:val="006C178E"/>
  </w:style>
  <w:style w:type="character" w:customStyle="1" w:styleId="mw-headline">
    <w:name w:val="mw-headline"/>
    <w:basedOn w:val="Standardnpsmoodstavce"/>
    <w:rsid w:val="00072423"/>
  </w:style>
  <w:style w:type="character" w:customStyle="1" w:styleId="Zkladntext13ptKurzvadkovn0pt">
    <w:name w:val="Základní text + 13 pt;Kurzíva;Řádkování 0 pt"/>
    <w:rsid w:val="0068375F"/>
    <w:rPr>
      <w:rFonts w:ascii="Constantia" w:eastAsia="Constantia" w:hAnsi="Constantia" w:cs="Constantia"/>
      <w:b w:val="0"/>
      <w:bCs w:val="0"/>
      <w:i/>
      <w:iCs/>
      <w:smallCaps w:val="0"/>
      <w:strike w:val="0"/>
      <w:color w:val="000000"/>
      <w:spacing w:val="-18"/>
      <w:w w:val="100"/>
      <w:position w:val="0"/>
      <w:sz w:val="26"/>
      <w:szCs w:val="26"/>
      <w:u w:val="none"/>
      <w:shd w:val="clear" w:color="auto" w:fill="FFFFFF"/>
      <w:lang w:val="en-US"/>
    </w:rPr>
  </w:style>
  <w:style w:type="character" w:customStyle="1" w:styleId="Zkladntext14ptTunKurzvadkovn-1pt">
    <w:name w:val="Základní text + 14 pt;Tučné;Kurzíva;Řádkování -1 pt"/>
    <w:rsid w:val="0068375F"/>
    <w:rPr>
      <w:rFonts w:ascii="Constantia" w:eastAsia="Constantia" w:hAnsi="Constantia" w:cs="Constantia"/>
      <w:b/>
      <w:bCs/>
      <w:i/>
      <w:iCs/>
      <w:smallCaps w:val="0"/>
      <w:strike w:val="0"/>
      <w:color w:val="000000"/>
      <w:spacing w:val="-22"/>
      <w:w w:val="100"/>
      <w:position w:val="0"/>
      <w:sz w:val="28"/>
      <w:szCs w:val="28"/>
      <w:u w:val="none"/>
      <w:shd w:val="clear" w:color="auto" w:fill="FFFFFF"/>
      <w:lang w:val="en-US"/>
    </w:rPr>
  </w:style>
  <w:style w:type="character" w:customStyle="1" w:styleId="Zkladntext14ptdkovn0pt">
    <w:name w:val="Základní text + 14 pt;Řádkování 0 pt"/>
    <w:rsid w:val="0068375F"/>
    <w:rPr>
      <w:rFonts w:ascii="Constantia" w:eastAsia="Constantia" w:hAnsi="Constantia" w:cs="Constantia"/>
      <w:b w:val="0"/>
      <w:bCs w:val="0"/>
      <w:i w:val="0"/>
      <w:iCs w:val="0"/>
      <w:smallCaps w:val="0"/>
      <w:strike w:val="0"/>
      <w:color w:val="000000"/>
      <w:spacing w:val="0"/>
      <w:w w:val="100"/>
      <w:position w:val="0"/>
      <w:sz w:val="28"/>
      <w:szCs w:val="28"/>
      <w:u w:val="none"/>
      <w:shd w:val="clear" w:color="auto" w:fill="FFFFFF"/>
    </w:rPr>
  </w:style>
  <w:style w:type="character" w:customStyle="1" w:styleId="pb">
    <w:name w:val="pb"/>
    <w:basedOn w:val="Standardnpsmoodstavce"/>
    <w:rsid w:val="00D3267B"/>
  </w:style>
  <w:style w:type="character" w:customStyle="1" w:styleId="author">
    <w:name w:val="author"/>
    <w:basedOn w:val="Standardnpsmoodstavce"/>
    <w:rsid w:val="001D46EA"/>
  </w:style>
  <w:style w:type="paragraph" w:customStyle="1" w:styleId="citace0">
    <w:name w:val="citace"/>
    <w:basedOn w:val="Normln"/>
    <w:unhideWhenUsed/>
    <w:rsid w:val="008743BE"/>
    <w:pPr>
      <w:tabs>
        <w:tab w:val="left" w:pos="284"/>
        <w:tab w:val="left" w:pos="454"/>
      </w:tabs>
      <w:suppressAutoHyphens/>
      <w:overflowPunct w:val="0"/>
      <w:autoSpaceDE w:val="0"/>
      <w:spacing w:before="120" w:after="120" w:line="288" w:lineRule="auto"/>
      <w:textAlignment w:val="baseline"/>
    </w:pPr>
    <w:rPr>
      <w:rFonts w:ascii="Arial" w:eastAsia="Times New Roman" w:hAnsi="Arial"/>
      <w:lang w:val="de-DE" w:eastAsia="ar-SA"/>
    </w:rPr>
  </w:style>
  <w:style w:type="character" w:customStyle="1" w:styleId="Zkladntext23ptdkovn0pt">
    <w:name w:val="Základní text + 23 pt;Řádkování 0 pt"/>
    <w:rsid w:val="00AE29B2"/>
    <w:rPr>
      <w:rFonts w:ascii="David" w:eastAsia="David" w:hAnsi="David" w:cs="David"/>
      <w:b w:val="0"/>
      <w:bCs w:val="0"/>
      <w:i w:val="0"/>
      <w:iCs w:val="0"/>
      <w:smallCaps w:val="0"/>
      <w:strike w:val="0"/>
      <w:color w:val="000000"/>
      <w:spacing w:val="-4"/>
      <w:w w:val="100"/>
      <w:position w:val="0"/>
      <w:sz w:val="46"/>
      <w:szCs w:val="46"/>
      <w:u w:val="none"/>
      <w:shd w:val="clear" w:color="auto" w:fill="FFFFFF"/>
    </w:rPr>
  </w:style>
  <w:style w:type="character" w:customStyle="1" w:styleId="Zkladntext22ptKurzvadkovn-1pt">
    <w:name w:val="Základní text + 22 pt;Kurzíva;Řádkování -1 pt"/>
    <w:rsid w:val="00AE29B2"/>
    <w:rPr>
      <w:rFonts w:ascii="David" w:eastAsia="David" w:hAnsi="David" w:cs="David"/>
      <w:b w:val="0"/>
      <w:bCs w:val="0"/>
      <w:i/>
      <w:iCs/>
      <w:smallCaps w:val="0"/>
      <w:strike w:val="0"/>
      <w:color w:val="000000"/>
      <w:spacing w:val="-26"/>
      <w:w w:val="100"/>
      <w:position w:val="0"/>
      <w:sz w:val="44"/>
      <w:szCs w:val="44"/>
      <w:u w:val="none"/>
      <w:shd w:val="clear" w:color="auto" w:fill="FFFFFF"/>
      <w:lang w:val="fr-FR"/>
    </w:rPr>
  </w:style>
  <w:style w:type="character" w:customStyle="1" w:styleId="reference-text">
    <w:name w:val="reference-text"/>
    <w:basedOn w:val="Standardnpsmoodstavce"/>
    <w:rsid w:val="00D652A8"/>
  </w:style>
  <w:style w:type="character" w:customStyle="1" w:styleId="FontStyle134">
    <w:name w:val="Font Style134"/>
    <w:rsid w:val="00A27DEE"/>
    <w:rPr>
      <w:rFonts w:ascii="Times New Roman" w:hAnsi="Times New Roman" w:cs="Times New Roman"/>
      <w:b/>
      <w:bCs/>
      <w:sz w:val="20"/>
      <w:szCs w:val="20"/>
    </w:rPr>
  </w:style>
  <w:style w:type="character" w:customStyle="1" w:styleId="linemarker-marked-line">
    <w:name w:val="linemarker-marked-line"/>
    <w:basedOn w:val="Standardnpsmoodstavce"/>
    <w:rsid w:val="00B808E3"/>
  </w:style>
  <w:style w:type="character" w:customStyle="1" w:styleId="notenum">
    <w:name w:val="notenum"/>
    <w:rsid w:val="00077DF9"/>
  </w:style>
  <w:style w:type="character" w:customStyle="1" w:styleId="pink">
    <w:name w:val="pink"/>
    <w:rsid w:val="000618FE"/>
  </w:style>
  <w:style w:type="character" w:customStyle="1" w:styleId="yellow">
    <w:name w:val="yellow"/>
    <w:rsid w:val="008E363D"/>
  </w:style>
  <w:style w:type="character" w:customStyle="1" w:styleId="Zkladntext4NetunKurzvadkovn0pt">
    <w:name w:val="Základní text (4) + Ne tučné;Kurzíva;Řádkování 0 pt"/>
    <w:rsid w:val="00E43203"/>
    <w:rPr>
      <w:rFonts w:ascii="Sylfaen" w:eastAsia="Sylfaen" w:hAnsi="Sylfaen" w:cs="Sylfaen"/>
      <w:b w:val="0"/>
      <w:bCs w:val="0"/>
      <w:i/>
      <w:iCs/>
      <w:smallCaps w:val="0"/>
      <w:strike w:val="0"/>
      <w:color w:val="000000"/>
      <w:spacing w:val="-4"/>
      <w:w w:val="100"/>
      <w:position w:val="0"/>
      <w:sz w:val="20"/>
      <w:szCs w:val="20"/>
      <w:u w:val="none"/>
      <w:lang w:val="en-US"/>
    </w:rPr>
  </w:style>
  <w:style w:type="character" w:customStyle="1" w:styleId="Zkladntext47ptNetunKurzvadkovn0pt">
    <w:name w:val="Základní text (4) + 7 pt;Ne tučné;Kurzíva;Řádkování 0 pt"/>
    <w:rsid w:val="00E43203"/>
    <w:rPr>
      <w:rFonts w:ascii="Sylfaen" w:eastAsia="Sylfaen" w:hAnsi="Sylfaen" w:cs="Sylfaen"/>
      <w:b w:val="0"/>
      <w:bCs w:val="0"/>
      <w:i/>
      <w:iCs/>
      <w:smallCaps w:val="0"/>
      <w:strike w:val="0"/>
      <w:color w:val="000000"/>
      <w:spacing w:val="7"/>
      <w:w w:val="100"/>
      <w:position w:val="0"/>
      <w:sz w:val="14"/>
      <w:szCs w:val="14"/>
      <w:u w:val="none"/>
      <w:lang w:val="en-US"/>
    </w:rPr>
  </w:style>
  <w:style w:type="character" w:customStyle="1" w:styleId="ebook-msg">
    <w:name w:val="ebook-msg"/>
    <w:rsid w:val="00A06B9D"/>
  </w:style>
  <w:style w:type="character" w:customStyle="1" w:styleId="Zkladntext75pt">
    <w:name w:val="Základní text + 7;5 pt"/>
    <w:rsid w:val="00E10354"/>
    <w:rPr>
      <w:rFonts w:ascii="Constantia" w:eastAsia="Constantia" w:hAnsi="Constantia" w:cs="Constantia"/>
      <w:b w:val="0"/>
      <w:bCs w:val="0"/>
      <w:i w:val="0"/>
      <w:iCs w:val="0"/>
      <w:smallCaps w:val="0"/>
      <w:strike w:val="0"/>
      <w:color w:val="000000"/>
      <w:spacing w:val="3"/>
      <w:w w:val="100"/>
      <w:position w:val="0"/>
      <w:sz w:val="15"/>
      <w:szCs w:val="15"/>
      <w:u w:val="none"/>
      <w:shd w:val="clear" w:color="auto" w:fill="FFFFFF"/>
    </w:rPr>
  </w:style>
  <w:style w:type="character" w:customStyle="1" w:styleId="Zkladntext75ptdkovn0pt">
    <w:name w:val="Základní text + 7;5 pt;Řádkování 0 pt"/>
    <w:rsid w:val="004B0B40"/>
    <w:rPr>
      <w:rFonts w:ascii="Constantia" w:eastAsia="Constantia" w:hAnsi="Constantia" w:cs="Constantia"/>
      <w:b w:val="0"/>
      <w:bCs w:val="0"/>
      <w:i w:val="0"/>
      <w:iCs w:val="0"/>
      <w:smallCaps w:val="0"/>
      <w:strike w:val="0"/>
      <w:color w:val="000000"/>
      <w:spacing w:val="4"/>
      <w:w w:val="100"/>
      <w:position w:val="0"/>
      <w:sz w:val="15"/>
      <w:szCs w:val="15"/>
      <w:u w:val="none"/>
      <w:shd w:val="clear" w:color="auto" w:fill="FFFFFF"/>
    </w:rPr>
  </w:style>
  <w:style w:type="character" w:customStyle="1" w:styleId="Zkladntext10">
    <w:name w:val="Základní text (10)_"/>
    <w:link w:val="Zkladntext100"/>
    <w:rsid w:val="00694C53"/>
    <w:rPr>
      <w:rFonts w:ascii="Constantia" w:eastAsia="Constantia" w:hAnsi="Constantia" w:cs="Constantia"/>
      <w:spacing w:val="2"/>
      <w:sz w:val="17"/>
      <w:szCs w:val="17"/>
      <w:shd w:val="clear" w:color="auto" w:fill="FFFFFF"/>
    </w:rPr>
  </w:style>
  <w:style w:type="paragraph" w:customStyle="1" w:styleId="Zkladntext100">
    <w:name w:val="Základní text (10)"/>
    <w:basedOn w:val="Normln"/>
    <w:link w:val="Zkladntext10"/>
    <w:rsid w:val="00694C53"/>
    <w:pPr>
      <w:widowControl w:val="0"/>
      <w:shd w:val="clear" w:color="auto" w:fill="FFFFFF"/>
      <w:spacing w:line="256" w:lineRule="exact"/>
      <w:ind w:hanging="260"/>
    </w:pPr>
    <w:rPr>
      <w:rFonts w:ascii="Constantia" w:eastAsia="Constantia" w:hAnsi="Constantia"/>
      <w:spacing w:val="2"/>
      <w:sz w:val="17"/>
      <w:szCs w:val="17"/>
      <w:lang w:val="x-none" w:eastAsia="x-none"/>
    </w:rPr>
  </w:style>
  <w:style w:type="character" w:customStyle="1" w:styleId="Zkladntext10dkovn0pt">
    <w:name w:val="Základní text (10) + Řádkování 0 pt"/>
    <w:rsid w:val="00694C53"/>
    <w:rPr>
      <w:rFonts w:ascii="Constantia" w:eastAsia="Constantia" w:hAnsi="Constantia" w:cs="Constantia"/>
      <w:color w:val="000000"/>
      <w:spacing w:val="1"/>
      <w:w w:val="100"/>
      <w:position w:val="0"/>
      <w:sz w:val="17"/>
      <w:szCs w:val="17"/>
      <w:shd w:val="clear" w:color="auto" w:fill="FFFFFF"/>
    </w:rPr>
  </w:style>
  <w:style w:type="character" w:customStyle="1" w:styleId="Zkladntext17dkovn0pt">
    <w:name w:val="Základní text (17) + Řádkování 0 pt"/>
    <w:rsid w:val="00FB0B8F"/>
    <w:rPr>
      <w:rFonts w:ascii="MS Gothic" w:eastAsia="MS Gothic" w:hAnsi="MS Gothic" w:cs="MS Gothic"/>
      <w:b w:val="0"/>
      <w:bCs w:val="0"/>
      <w:i w:val="0"/>
      <w:iCs w:val="0"/>
      <w:smallCaps w:val="0"/>
      <w:strike w:val="0"/>
      <w:color w:val="000000"/>
      <w:spacing w:val="-13"/>
      <w:w w:val="100"/>
      <w:position w:val="0"/>
      <w:sz w:val="14"/>
      <w:szCs w:val="14"/>
      <w:u w:val="none"/>
    </w:rPr>
  </w:style>
  <w:style w:type="character" w:customStyle="1" w:styleId="ZkladntextMalpsmena">
    <w:name w:val="Základní text + Malá písmena"/>
    <w:rsid w:val="00650A29"/>
    <w:rPr>
      <w:rFonts w:ascii="Batang" w:eastAsia="Batang" w:hAnsi="Batang" w:cs="Batang"/>
      <w:b w:val="0"/>
      <w:bCs w:val="0"/>
      <w:i w:val="0"/>
      <w:iCs w:val="0"/>
      <w:smallCaps/>
      <w:strike w:val="0"/>
      <w:color w:val="000000"/>
      <w:spacing w:val="-4"/>
      <w:w w:val="100"/>
      <w:position w:val="0"/>
      <w:sz w:val="18"/>
      <w:szCs w:val="18"/>
      <w:u w:val="none"/>
      <w:shd w:val="clear" w:color="auto" w:fill="FFFFFF"/>
    </w:rPr>
  </w:style>
  <w:style w:type="character" w:customStyle="1" w:styleId="Zkladntext8">
    <w:name w:val="Základní text (8)_"/>
    <w:link w:val="Zkladntext80"/>
    <w:locked/>
    <w:rsid w:val="00787516"/>
    <w:rPr>
      <w:spacing w:val="9"/>
      <w:sz w:val="15"/>
      <w:szCs w:val="15"/>
      <w:shd w:val="clear" w:color="auto" w:fill="FFFFFF"/>
    </w:rPr>
  </w:style>
  <w:style w:type="paragraph" w:customStyle="1" w:styleId="Zkladntext80">
    <w:name w:val="Základní text (8)"/>
    <w:basedOn w:val="Normln"/>
    <w:link w:val="Zkladntext8"/>
    <w:rsid w:val="00787516"/>
    <w:pPr>
      <w:widowControl w:val="0"/>
      <w:shd w:val="clear" w:color="auto" w:fill="FFFFFF"/>
      <w:spacing w:before="420" w:line="192" w:lineRule="exact"/>
      <w:ind w:hanging="360"/>
    </w:pPr>
    <w:rPr>
      <w:rFonts w:ascii="Times New Roman" w:eastAsia="Times New Roman" w:hAnsi="Times New Roman"/>
      <w:spacing w:val="9"/>
      <w:sz w:val="15"/>
      <w:szCs w:val="15"/>
      <w:lang w:val="x-none" w:eastAsia="x-none"/>
    </w:rPr>
  </w:style>
  <w:style w:type="character" w:customStyle="1" w:styleId="Zkladntext86">
    <w:name w:val="Základní text (8) + 6"/>
    <w:aliases w:val="5 pt,Základní text (45) + 8,Ne tučné,Kurzíva"/>
    <w:rsid w:val="00787516"/>
    <w:rPr>
      <w:color w:val="000000"/>
      <w:spacing w:val="9"/>
      <w:w w:val="100"/>
      <w:position w:val="0"/>
      <w:sz w:val="13"/>
      <w:szCs w:val="13"/>
      <w:shd w:val="clear" w:color="auto" w:fill="FFFFFF"/>
    </w:rPr>
  </w:style>
  <w:style w:type="character" w:customStyle="1" w:styleId="excl">
    <w:name w:val="excl"/>
    <w:basedOn w:val="Standardnpsmoodstavce"/>
    <w:rsid w:val="00F72F18"/>
  </w:style>
  <w:style w:type="character" w:customStyle="1" w:styleId="Poznmkapodarou">
    <w:name w:val="Poznámka pod čarou_"/>
    <w:link w:val="Poznmkapodarou0"/>
    <w:rsid w:val="007F55E8"/>
    <w:rPr>
      <w:rFonts w:ascii="Batang" w:eastAsia="Batang" w:hAnsi="Batang" w:cs="Batang"/>
      <w:spacing w:val="3"/>
      <w:sz w:val="12"/>
      <w:szCs w:val="12"/>
      <w:shd w:val="clear" w:color="auto" w:fill="FFFFFF"/>
    </w:rPr>
  </w:style>
  <w:style w:type="paragraph" w:customStyle="1" w:styleId="Poznmkapodarou0">
    <w:name w:val="Poznámka pod čarou"/>
    <w:basedOn w:val="Normln"/>
    <w:link w:val="Poznmkapodarou"/>
    <w:rsid w:val="007F55E8"/>
    <w:pPr>
      <w:widowControl w:val="0"/>
      <w:shd w:val="clear" w:color="auto" w:fill="FFFFFF"/>
      <w:spacing w:line="194" w:lineRule="exact"/>
    </w:pPr>
    <w:rPr>
      <w:rFonts w:ascii="Batang" w:eastAsia="Batang" w:hAnsi="Batang"/>
      <w:spacing w:val="3"/>
      <w:sz w:val="12"/>
      <w:szCs w:val="12"/>
      <w:lang w:val="x-none" w:eastAsia="x-none"/>
    </w:rPr>
  </w:style>
  <w:style w:type="character" w:customStyle="1" w:styleId="PoznmkapodarouKurzvadkovn0pt">
    <w:name w:val="Poznámka pod čarou + Kurzíva;Řádkování 0 pt"/>
    <w:rsid w:val="00C23167"/>
    <w:rPr>
      <w:rFonts w:ascii="Batang" w:eastAsia="Batang" w:hAnsi="Batang" w:cs="Batang"/>
      <w:b w:val="0"/>
      <w:bCs w:val="0"/>
      <w:i/>
      <w:iCs/>
      <w:smallCaps w:val="0"/>
      <w:strike w:val="0"/>
      <w:color w:val="000000"/>
      <w:spacing w:val="-5"/>
      <w:w w:val="100"/>
      <w:position w:val="0"/>
      <w:sz w:val="12"/>
      <w:szCs w:val="12"/>
      <w:u w:val="none"/>
      <w:shd w:val="clear" w:color="auto" w:fill="FFFFFF"/>
    </w:rPr>
  </w:style>
  <w:style w:type="character" w:customStyle="1" w:styleId="alinea">
    <w:name w:val="alinea"/>
    <w:basedOn w:val="Standardnpsmoodstavce"/>
    <w:rsid w:val="00073C52"/>
  </w:style>
  <w:style w:type="character" w:customStyle="1" w:styleId="s">
    <w:name w:val="s"/>
    <w:basedOn w:val="Standardnpsmoodstavce"/>
    <w:rsid w:val="009966AA"/>
  </w:style>
  <w:style w:type="character" w:customStyle="1" w:styleId="ZkladntextConstantia9ptdkovn0pt">
    <w:name w:val="Základní text + Constantia;9 pt;Řádkování 0 pt"/>
    <w:rsid w:val="00B40B1A"/>
    <w:rPr>
      <w:rFonts w:ascii="Constantia" w:eastAsia="Constantia" w:hAnsi="Constantia" w:cs="Constantia"/>
      <w:b w:val="0"/>
      <w:bCs w:val="0"/>
      <w:i w:val="0"/>
      <w:iCs w:val="0"/>
      <w:smallCaps w:val="0"/>
      <w:strike w:val="0"/>
      <w:color w:val="000000"/>
      <w:spacing w:val="4"/>
      <w:w w:val="100"/>
      <w:position w:val="0"/>
      <w:sz w:val="18"/>
      <w:szCs w:val="18"/>
      <w:u w:val="none"/>
      <w:shd w:val="clear" w:color="auto" w:fill="FFFFFF"/>
    </w:rPr>
  </w:style>
  <w:style w:type="character" w:customStyle="1" w:styleId="ZkladntextConstantia75ptdkovn0pt">
    <w:name w:val="Základní text + Constantia;7;5 pt;Řádkování 0 pt"/>
    <w:rsid w:val="008C5122"/>
    <w:rPr>
      <w:rFonts w:ascii="Constantia" w:eastAsia="Constantia" w:hAnsi="Constantia" w:cs="Constantia"/>
      <w:b w:val="0"/>
      <w:bCs w:val="0"/>
      <w:i w:val="0"/>
      <w:iCs w:val="0"/>
      <w:smallCaps w:val="0"/>
      <w:strike w:val="0"/>
      <w:color w:val="000000"/>
      <w:spacing w:val="0"/>
      <w:w w:val="100"/>
      <w:position w:val="0"/>
      <w:sz w:val="15"/>
      <w:szCs w:val="15"/>
      <w:u w:val="none"/>
      <w:shd w:val="clear" w:color="auto" w:fill="FFFFFF"/>
    </w:rPr>
  </w:style>
  <w:style w:type="character" w:customStyle="1" w:styleId="ZkladntextKurzva">
    <w:name w:val="Základní text + Kurzíva"/>
    <w:rsid w:val="00E47C35"/>
    <w:rPr>
      <w:rFonts w:ascii="Georgia" w:eastAsia="Georgia" w:hAnsi="Georgia" w:cs="Georgia"/>
      <w:b w:val="0"/>
      <w:bCs w:val="0"/>
      <w:i/>
      <w:iCs/>
      <w:smallCaps w:val="0"/>
      <w:strike w:val="0"/>
      <w:color w:val="000000"/>
      <w:spacing w:val="1"/>
      <w:w w:val="100"/>
      <w:position w:val="0"/>
      <w:sz w:val="18"/>
      <w:szCs w:val="18"/>
      <w:u w:val="none"/>
      <w:shd w:val="clear" w:color="auto" w:fill="FFFFFF"/>
    </w:rPr>
  </w:style>
  <w:style w:type="character" w:customStyle="1" w:styleId="titre">
    <w:name w:val="titre"/>
    <w:basedOn w:val="Standardnpsmoodstavce"/>
    <w:rsid w:val="00B13818"/>
  </w:style>
  <w:style w:type="character" w:customStyle="1" w:styleId="sstitre">
    <w:name w:val="sstitre"/>
    <w:basedOn w:val="Standardnpsmoodstavce"/>
    <w:rsid w:val="00B13818"/>
  </w:style>
  <w:style w:type="character" w:customStyle="1" w:styleId="withoutcontribution">
    <w:name w:val="without_contribution"/>
    <w:basedOn w:val="Standardnpsmoodstavce"/>
    <w:rsid w:val="00B13818"/>
  </w:style>
  <w:style w:type="character" w:customStyle="1" w:styleId="nomauteur">
    <w:name w:val="nom_auteur"/>
    <w:basedOn w:val="Standardnpsmoodstavce"/>
    <w:rsid w:val="00B13818"/>
  </w:style>
  <w:style w:type="character" w:customStyle="1" w:styleId="Zkladntext31dkovn0pt">
    <w:name w:val="Základní text (31) + Řádkování 0 pt"/>
    <w:rsid w:val="00684D7B"/>
    <w:rPr>
      <w:rFonts w:ascii="Georgia" w:eastAsia="Georgia" w:hAnsi="Georgia" w:cs="Georgia"/>
      <w:b w:val="0"/>
      <w:bCs w:val="0"/>
      <w:i w:val="0"/>
      <w:iCs w:val="0"/>
      <w:smallCaps w:val="0"/>
      <w:strike w:val="0"/>
      <w:color w:val="000000"/>
      <w:spacing w:val="-2"/>
      <w:w w:val="100"/>
      <w:position w:val="0"/>
      <w:sz w:val="17"/>
      <w:szCs w:val="17"/>
      <w:u w:val="none"/>
    </w:rPr>
  </w:style>
  <w:style w:type="character" w:customStyle="1" w:styleId="Zkladntext31Kurzvadkovn0pt">
    <w:name w:val="Základní text (31) + Kurzíva;Řádkování 0 pt"/>
    <w:rsid w:val="00EF797F"/>
    <w:rPr>
      <w:rFonts w:ascii="Georgia" w:eastAsia="Georgia" w:hAnsi="Georgia" w:cs="Georgia"/>
      <w:b w:val="0"/>
      <w:bCs w:val="0"/>
      <w:i/>
      <w:iCs/>
      <w:smallCaps w:val="0"/>
      <w:strike w:val="0"/>
      <w:color w:val="000000"/>
      <w:spacing w:val="-8"/>
      <w:w w:val="100"/>
      <w:position w:val="0"/>
      <w:sz w:val="17"/>
      <w:szCs w:val="17"/>
      <w:u w:val="none"/>
    </w:rPr>
  </w:style>
  <w:style w:type="character" w:customStyle="1" w:styleId="ZkladntextConstantia">
    <w:name w:val="Základní text + Constantia"/>
    <w:aliases w:val="9 pt,Řádkování 0 pt,Základní text + Tučné"/>
    <w:rsid w:val="00687A13"/>
    <w:rPr>
      <w:rFonts w:ascii="Constantia" w:eastAsia="Constantia" w:hAnsi="Constantia" w:cs="Constantia" w:hint="default"/>
      <w:color w:val="000000"/>
      <w:spacing w:val="4"/>
      <w:w w:val="100"/>
      <w:position w:val="0"/>
      <w:sz w:val="15"/>
      <w:szCs w:val="15"/>
      <w:shd w:val="clear" w:color="auto" w:fill="FFFFFF"/>
    </w:rPr>
  </w:style>
  <w:style w:type="character" w:customStyle="1" w:styleId="Zkladntext7">
    <w:name w:val="Základní text7"/>
    <w:rsid w:val="00C81A4E"/>
    <w:rPr>
      <w:rFonts w:ascii="Lucida Sans Unicode" w:eastAsia="Lucida Sans Unicode" w:hAnsi="Lucida Sans Unicode" w:cs="Lucida Sans Unicode"/>
      <w:b w:val="0"/>
      <w:bCs w:val="0"/>
      <w:i w:val="0"/>
      <w:iCs w:val="0"/>
      <w:smallCaps w:val="0"/>
      <w:strike w:val="0"/>
      <w:color w:val="000000"/>
      <w:spacing w:val="-9"/>
      <w:w w:val="100"/>
      <w:position w:val="0"/>
      <w:sz w:val="23"/>
      <w:szCs w:val="23"/>
      <w:u w:val="single"/>
      <w:shd w:val="clear" w:color="auto" w:fill="FFFFFF"/>
      <w:lang w:val="fr-FR"/>
    </w:rPr>
  </w:style>
  <w:style w:type="paragraph" w:customStyle="1" w:styleId="Zkladntext14">
    <w:name w:val="Základní text14"/>
    <w:basedOn w:val="Normln"/>
    <w:rsid w:val="00C81A4E"/>
    <w:pPr>
      <w:widowControl w:val="0"/>
      <w:shd w:val="clear" w:color="auto" w:fill="FFFFFF"/>
      <w:spacing w:before="120" w:line="0" w:lineRule="atLeast"/>
      <w:jc w:val="left"/>
    </w:pPr>
    <w:rPr>
      <w:rFonts w:ascii="Lucida Sans Unicode" w:eastAsia="Lucida Sans Unicode" w:hAnsi="Lucida Sans Unicode" w:cs="Lucida Sans Unicode"/>
      <w:color w:val="000000"/>
      <w:spacing w:val="-9"/>
      <w:sz w:val="23"/>
      <w:szCs w:val="23"/>
      <w:lang w:val="fr-FR"/>
    </w:rPr>
  </w:style>
  <w:style w:type="character" w:customStyle="1" w:styleId="Zkladntext65ptdkovn0pt">
    <w:name w:val="Základní text + 6;5 pt;Řádkování 0 pt"/>
    <w:rsid w:val="0059591B"/>
    <w:rPr>
      <w:rFonts w:ascii="Times New Roman" w:eastAsia="Times New Roman" w:hAnsi="Times New Roman" w:cs="Times New Roman"/>
      <w:b w:val="0"/>
      <w:bCs w:val="0"/>
      <w:i w:val="0"/>
      <w:iCs w:val="0"/>
      <w:smallCaps w:val="0"/>
      <w:strike w:val="0"/>
      <w:color w:val="000000"/>
      <w:spacing w:val="9"/>
      <w:w w:val="100"/>
      <w:position w:val="0"/>
      <w:sz w:val="13"/>
      <w:szCs w:val="13"/>
      <w:u w:val="none"/>
      <w:shd w:val="clear" w:color="auto" w:fill="FFFFFF"/>
      <w:lang w:val="fr-FR"/>
    </w:rPr>
  </w:style>
  <w:style w:type="character" w:customStyle="1" w:styleId="Zkladntext75ptTundkovn0pt">
    <w:name w:val="Základní text + 7;5 pt;Tučné;Řádkování 0 pt"/>
    <w:rsid w:val="0059591B"/>
    <w:rPr>
      <w:rFonts w:ascii="Times New Roman" w:eastAsia="Times New Roman" w:hAnsi="Times New Roman" w:cs="Times New Roman"/>
      <w:b/>
      <w:bCs/>
      <w:i w:val="0"/>
      <w:iCs w:val="0"/>
      <w:smallCaps w:val="0"/>
      <w:strike w:val="0"/>
      <w:color w:val="000000"/>
      <w:spacing w:val="10"/>
      <w:w w:val="100"/>
      <w:position w:val="0"/>
      <w:sz w:val="15"/>
      <w:szCs w:val="15"/>
      <w:u w:val="none"/>
      <w:shd w:val="clear" w:color="auto" w:fill="FFFFFF"/>
      <w:lang w:val="fr-FR"/>
    </w:rPr>
  </w:style>
  <w:style w:type="character" w:customStyle="1" w:styleId="Zkladntext95ptTundkovn0pt">
    <w:name w:val="Základní text + 9;5 pt;Tučné;Řádkování 0 pt"/>
    <w:rsid w:val="00627A81"/>
    <w:rPr>
      <w:rFonts w:ascii="Constantia" w:eastAsia="Constantia" w:hAnsi="Constantia" w:cs="Constantia"/>
      <w:b/>
      <w:bCs/>
      <w:i w:val="0"/>
      <w:iCs w:val="0"/>
      <w:smallCaps w:val="0"/>
      <w:strike w:val="0"/>
      <w:color w:val="000000"/>
      <w:spacing w:val="4"/>
      <w:w w:val="100"/>
      <w:position w:val="0"/>
      <w:sz w:val="19"/>
      <w:szCs w:val="19"/>
      <w:u w:val="none"/>
      <w:shd w:val="clear" w:color="auto" w:fill="FFFFFF"/>
      <w:lang w:val="en-US"/>
    </w:rPr>
  </w:style>
  <w:style w:type="character" w:customStyle="1" w:styleId="Zkladntext65ptMalpsmenadkovn0pt">
    <w:name w:val="Základní text + 6;5 pt;Malá písmena;Řádkování 0 pt"/>
    <w:rsid w:val="00BF7068"/>
    <w:rPr>
      <w:rFonts w:ascii="Times New Roman" w:eastAsia="Times New Roman" w:hAnsi="Times New Roman" w:cs="Times New Roman"/>
      <w:b w:val="0"/>
      <w:bCs w:val="0"/>
      <w:i w:val="0"/>
      <w:iCs w:val="0"/>
      <w:smallCaps/>
      <w:strike w:val="0"/>
      <w:color w:val="000000"/>
      <w:spacing w:val="8"/>
      <w:w w:val="100"/>
      <w:position w:val="0"/>
      <w:sz w:val="13"/>
      <w:szCs w:val="13"/>
      <w:u w:val="none"/>
      <w:shd w:val="clear" w:color="auto" w:fill="FFFFFF"/>
      <w:lang w:val="de-DE"/>
    </w:rPr>
  </w:style>
  <w:style w:type="character" w:customStyle="1" w:styleId="FontStyle156">
    <w:name w:val="Font Style156"/>
    <w:rsid w:val="004D44B3"/>
    <w:rPr>
      <w:rFonts w:ascii="Times New Roman" w:hAnsi="Times New Roman" w:cs="Times New Roman"/>
      <w:i/>
      <w:iCs/>
      <w:sz w:val="20"/>
      <w:szCs w:val="20"/>
    </w:rPr>
  </w:style>
  <w:style w:type="character" w:customStyle="1" w:styleId="FontStyle157">
    <w:name w:val="Font Style157"/>
    <w:rsid w:val="004D44B3"/>
    <w:rPr>
      <w:rFonts w:ascii="Times New Roman" w:hAnsi="Times New Roman" w:cs="Times New Roman"/>
      <w:sz w:val="20"/>
      <w:szCs w:val="20"/>
    </w:rPr>
  </w:style>
  <w:style w:type="paragraph" w:customStyle="1" w:styleId="Style36">
    <w:name w:val="Style36"/>
    <w:basedOn w:val="Normln"/>
    <w:rsid w:val="00DD643D"/>
    <w:pPr>
      <w:widowControl w:val="0"/>
      <w:autoSpaceDE w:val="0"/>
      <w:autoSpaceDN w:val="0"/>
      <w:adjustRightInd w:val="0"/>
      <w:spacing w:line="258" w:lineRule="exact"/>
    </w:pPr>
    <w:rPr>
      <w:rFonts w:ascii="Times New Roman" w:eastAsia="Times New Roman" w:hAnsi="Times New Roman"/>
      <w:sz w:val="20"/>
      <w:szCs w:val="24"/>
    </w:rPr>
  </w:style>
  <w:style w:type="paragraph" w:customStyle="1" w:styleId="Style64">
    <w:name w:val="Style64"/>
    <w:basedOn w:val="Normln"/>
    <w:rsid w:val="00DF7FCF"/>
    <w:pPr>
      <w:widowControl w:val="0"/>
      <w:autoSpaceDE w:val="0"/>
      <w:autoSpaceDN w:val="0"/>
      <w:adjustRightInd w:val="0"/>
      <w:spacing w:line="258" w:lineRule="exact"/>
      <w:ind w:firstLine="218"/>
    </w:pPr>
    <w:rPr>
      <w:rFonts w:ascii="Times New Roman" w:eastAsia="Times New Roman" w:hAnsi="Times New Roman"/>
      <w:sz w:val="20"/>
      <w:szCs w:val="24"/>
    </w:rPr>
  </w:style>
  <w:style w:type="character" w:customStyle="1" w:styleId="FontStyle207">
    <w:name w:val="Font Style207"/>
    <w:rsid w:val="00AD23D0"/>
    <w:rPr>
      <w:rFonts w:ascii="Times New Roman" w:hAnsi="Times New Roman" w:cs="Times New Roman"/>
      <w:spacing w:val="10"/>
      <w:sz w:val="20"/>
      <w:szCs w:val="20"/>
    </w:rPr>
  </w:style>
  <w:style w:type="character" w:customStyle="1" w:styleId="Zkladntext65ptMalpsmena">
    <w:name w:val="Základní text + 6;5 pt;Malá písmena"/>
    <w:rsid w:val="00BB2C35"/>
    <w:rPr>
      <w:rFonts w:ascii="Georgia" w:eastAsia="Georgia" w:hAnsi="Georgia" w:cs="Georgia"/>
      <w:b w:val="0"/>
      <w:bCs w:val="0"/>
      <w:i w:val="0"/>
      <w:iCs w:val="0"/>
      <w:smallCaps/>
      <w:strike w:val="0"/>
      <w:color w:val="000000"/>
      <w:spacing w:val="6"/>
      <w:w w:val="100"/>
      <w:position w:val="0"/>
      <w:sz w:val="13"/>
      <w:szCs w:val="13"/>
      <w:u w:val="none"/>
      <w:shd w:val="clear" w:color="auto" w:fill="FFFFFF"/>
    </w:rPr>
  </w:style>
  <w:style w:type="character" w:customStyle="1" w:styleId="Zkladntext135ptTunMtko80">
    <w:name w:val="Základní text + 13;5 pt;Tučné;Měřítko 80%"/>
    <w:rsid w:val="00FF0979"/>
    <w:rPr>
      <w:rFonts w:ascii="Garamond" w:eastAsia="Garamond" w:hAnsi="Garamond" w:cs="Garamond"/>
      <w:b/>
      <w:bCs/>
      <w:i w:val="0"/>
      <w:iCs w:val="0"/>
      <w:smallCaps w:val="0"/>
      <w:strike w:val="0"/>
      <w:color w:val="000000"/>
      <w:spacing w:val="0"/>
      <w:w w:val="80"/>
      <w:position w:val="0"/>
      <w:sz w:val="27"/>
      <w:szCs w:val="27"/>
      <w:u w:val="none"/>
      <w:shd w:val="clear" w:color="auto" w:fill="FFFFFF"/>
    </w:rPr>
  </w:style>
  <w:style w:type="character" w:customStyle="1" w:styleId="Zkladntext135pt">
    <w:name w:val="Základní text + 13;5 pt"/>
    <w:rsid w:val="00FF0979"/>
    <w:rPr>
      <w:rFonts w:ascii="Garamond" w:eastAsia="Garamond" w:hAnsi="Garamond" w:cs="Garamond"/>
      <w:b w:val="0"/>
      <w:bCs w:val="0"/>
      <w:i w:val="0"/>
      <w:iCs w:val="0"/>
      <w:smallCaps w:val="0"/>
      <w:strike w:val="0"/>
      <w:color w:val="000000"/>
      <w:spacing w:val="0"/>
      <w:w w:val="100"/>
      <w:position w:val="0"/>
      <w:sz w:val="27"/>
      <w:szCs w:val="27"/>
      <w:u w:val="none"/>
      <w:shd w:val="clear" w:color="auto" w:fill="FFFFFF"/>
    </w:rPr>
  </w:style>
  <w:style w:type="character" w:customStyle="1" w:styleId="Zkladntext12ptTundkovn0pt">
    <w:name w:val="Základní text + 12 pt;Tučné;Řádkování 0 pt"/>
    <w:rsid w:val="00FF0979"/>
    <w:rPr>
      <w:rFonts w:ascii="Garamond" w:eastAsia="Garamond" w:hAnsi="Garamond" w:cs="Garamond"/>
      <w:b/>
      <w:bCs/>
      <w:i w:val="0"/>
      <w:iCs w:val="0"/>
      <w:smallCaps w:val="0"/>
      <w:strike w:val="0"/>
      <w:color w:val="000000"/>
      <w:spacing w:val="-9"/>
      <w:w w:val="100"/>
      <w:position w:val="0"/>
      <w:sz w:val="24"/>
      <w:szCs w:val="24"/>
      <w:u w:val="none"/>
      <w:shd w:val="clear" w:color="auto" w:fill="FFFFFF"/>
    </w:rPr>
  </w:style>
  <w:style w:type="character" w:customStyle="1" w:styleId="ZkladntextArialNarrow105ptTun">
    <w:name w:val="Základní text + Arial Narrow;10;5 pt;Tučné"/>
    <w:rsid w:val="0065313C"/>
    <w:rPr>
      <w:rFonts w:ascii="Arial Narrow" w:eastAsia="Arial Narrow" w:hAnsi="Arial Narrow" w:cs="Arial Narrow"/>
      <w:b/>
      <w:bCs/>
      <w:i w:val="0"/>
      <w:iCs w:val="0"/>
      <w:smallCaps w:val="0"/>
      <w:strike w:val="0"/>
      <w:color w:val="000000"/>
      <w:spacing w:val="0"/>
      <w:w w:val="100"/>
      <w:position w:val="0"/>
      <w:sz w:val="21"/>
      <w:szCs w:val="21"/>
      <w:u w:val="none"/>
      <w:shd w:val="clear" w:color="auto" w:fill="FFFFFF"/>
    </w:rPr>
  </w:style>
  <w:style w:type="character" w:customStyle="1" w:styleId="Zkladntext14pt">
    <w:name w:val="Základní text + 14 pt"/>
    <w:rsid w:val="0065313C"/>
    <w:rPr>
      <w:rFonts w:ascii="Garamond" w:eastAsia="Garamond" w:hAnsi="Garamond" w:cs="Garamond"/>
      <w:b w:val="0"/>
      <w:bCs w:val="0"/>
      <w:i w:val="0"/>
      <w:iCs w:val="0"/>
      <w:smallCaps w:val="0"/>
      <w:strike w:val="0"/>
      <w:color w:val="000000"/>
      <w:spacing w:val="0"/>
      <w:w w:val="100"/>
      <w:position w:val="0"/>
      <w:sz w:val="28"/>
      <w:szCs w:val="28"/>
      <w:u w:val="none"/>
      <w:shd w:val="clear" w:color="auto" w:fill="FFFFFF"/>
    </w:rPr>
  </w:style>
  <w:style w:type="character" w:customStyle="1" w:styleId="Zkladntext2Kurzvadkovn0pt">
    <w:name w:val="Základní text (2) + Kurzíva;Řádkování 0 pt"/>
    <w:rsid w:val="00457A5F"/>
    <w:rPr>
      <w:rFonts w:ascii="Times New Roman" w:eastAsia="Times New Roman" w:hAnsi="Times New Roman" w:cs="Times New Roman"/>
      <w:b/>
      <w:bCs/>
      <w:i/>
      <w:iCs/>
      <w:smallCaps w:val="0"/>
      <w:strike w:val="0"/>
      <w:color w:val="000000"/>
      <w:spacing w:val="2"/>
      <w:w w:val="100"/>
      <w:position w:val="0"/>
      <w:sz w:val="13"/>
      <w:szCs w:val="13"/>
      <w:u w:val="none"/>
      <w:shd w:val="clear" w:color="auto" w:fill="FFFFFF"/>
      <w:lang w:val="fr-FR"/>
    </w:rPr>
  </w:style>
  <w:style w:type="character" w:customStyle="1" w:styleId="Poznmkapodarou8pt">
    <w:name w:val="Poznámka pod čarou + 8 pt"/>
    <w:rsid w:val="00DA4A91"/>
    <w:rPr>
      <w:rFonts w:ascii="Times New Roman" w:eastAsia="Times New Roman" w:hAnsi="Times New Roman" w:cs="Times New Roman"/>
      <w:b w:val="0"/>
      <w:bCs w:val="0"/>
      <w:i w:val="0"/>
      <w:iCs w:val="0"/>
      <w:smallCaps w:val="0"/>
      <w:strike w:val="0"/>
      <w:color w:val="000000"/>
      <w:spacing w:val="7"/>
      <w:w w:val="100"/>
      <w:position w:val="0"/>
      <w:sz w:val="16"/>
      <w:szCs w:val="16"/>
      <w:u w:val="none"/>
      <w:shd w:val="clear" w:color="auto" w:fill="FFFFFF"/>
      <w:lang w:val="en-US"/>
    </w:rPr>
  </w:style>
  <w:style w:type="character" w:customStyle="1" w:styleId="headertitle">
    <w:name w:val="header_title"/>
    <w:basedOn w:val="Standardnpsmoodstavce"/>
    <w:rsid w:val="0092061C"/>
  </w:style>
  <w:style w:type="paragraph" w:customStyle="1" w:styleId="autor">
    <w:name w:val="autor"/>
    <w:basedOn w:val="Normln"/>
    <w:rsid w:val="00C965D3"/>
    <w:pPr>
      <w:spacing w:before="100" w:beforeAutospacing="1" w:after="100" w:afterAutospacing="1" w:line="240" w:lineRule="auto"/>
      <w:jc w:val="left"/>
    </w:pPr>
    <w:rPr>
      <w:rFonts w:ascii="Times New Roman" w:eastAsia="Times New Roman" w:hAnsi="Times New Roman"/>
      <w:szCs w:val="24"/>
    </w:rPr>
  </w:style>
  <w:style w:type="character" w:customStyle="1" w:styleId="scrapbook-inline">
    <w:name w:val="scrapbook-inline"/>
    <w:basedOn w:val="Standardnpsmoodstavce"/>
    <w:rsid w:val="005A2085"/>
  </w:style>
  <w:style w:type="character" w:customStyle="1" w:styleId="x-archive-meta-title">
    <w:name w:val="x-archive-meta-title"/>
    <w:basedOn w:val="Standardnpsmoodstavce"/>
    <w:rsid w:val="00C15F8D"/>
  </w:style>
  <w:style w:type="character" w:customStyle="1" w:styleId="name">
    <w:name w:val="name"/>
    <w:basedOn w:val="Standardnpsmoodstavce"/>
    <w:rsid w:val="00772C97"/>
  </w:style>
  <w:style w:type="character" w:customStyle="1" w:styleId="Zkladntextdkovn1pt">
    <w:name w:val="Základní text + Řádkování 1 pt"/>
    <w:rsid w:val="001A2132"/>
    <w:rPr>
      <w:rFonts w:ascii="Palatino Linotype" w:eastAsia="Palatino Linotype" w:hAnsi="Palatino Linotype" w:cs="Palatino Linotype"/>
      <w:b w:val="0"/>
      <w:bCs w:val="0"/>
      <w:i w:val="0"/>
      <w:iCs w:val="0"/>
      <w:smallCaps w:val="0"/>
      <w:strike w:val="0"/>
      <w:color w:val="000000"/>
      <w:spacing w:val="29"/>
      <w:w w:val="100"/>
      <w:position w:val="0"/>
      <w:sz w:val="17"/>
      <w:szCs w:val="17"/>
      <w:u w:val="none"/>
      <w:shd w:val="clear" w:color="auto" w:fill="FFFFFF"/>
      <w:lang w:val="de-DE"/>
    </w:rPr>
  </w:style>
  <w:style w:type="character" w:customStyle="1" w:styleId="ZkladntextCenturyGothic55ptdkovn0pt">
    <w:name w:val="Základní text + Century Gothic;5;5 pt;Řádkování 0 pt"/>
    <w:rsid w:val="007E2278"/>
    <w:rPr>
      <w:rFonts w:ascii="Century Gothic" w:eastAsia="Century Gothic" w:hAnsi="Century Gothic" w:cs="Century Gothic"/>
      <w:b w:val="0"/>
      <w:bCs w:val="0"/>
      <w:i w:val="0"/>
      <w:iCs w:val="0"/>
      <w:smallCaps w:val="0"/>
      <w:strike w:val="0"/>
      <w:color w:val="000000"/>
      <w:spacing w:val="14"/>
      <w:w w:val="100"/>
      <w:position w:val="0"/>
      <w:sz w:val="11"/>
      <w:szCs w:val="11"/>
      <w:u w:val="single"/>
      <w:shd w:val="clear" w:color="auto" w:fill="FFFFFF"/>
      <w:lang w:val="ru-RU"/>
    </w:rPr>
  </w:style>
  <w:style w:type="character" w:customStyle="1" w:styleId="Zkladntext45ptdkovn0pt">
    <w:name w:val="Základní text + 4;5 pt;Řádkování 0 pt"/>
    <w:rsid w:val="007E2278"/>
    <w:rPr>
      <w:rFonts w:ascii="Corbel" w:eastAsia="Corbel" w:hAnsi="Corbel" w:cs="Corbel"/>
      <w:b w:val="0"/>
      <w:bCs w:val="0"/>
      <w:i w:val="0"/>
      <w:iCs w:val="0"/>
      <w:smallCaps w:val="0"/>
      <w:strike w:val="0"/>
      <w:color w:val="000000"/>
      <w:spacing w:val="15"/>
      <w:w w:val="100"/>
      <w:position w:val="0"/>
      <w:sz w:val="9"/>
      <w:szCs w:val="9"/>
      <w:u w:val="single"/>
      <w:shd w:val="clear" w:color="auto" w:fill="FFFFFF"/>
    </w:rPr>
  </w:style>
  <w:style w:type="character" w:customStyle="1" w:styleId="Zkladntext45ptdkovn1pt">
    <w:name w:val="Základní text + 4;5 pt;Řádkování 1 pt"/>
    <w:rsid w:val="007E2278"/>
    <w:rPr>
      <w:rFonts w:ascii="Corbel" w:eastAsia="Corbel" w:hAnsi="Corbel" w:cs="Corbel"/>
      <w:b w:val="0"/>
      <w:bCs w:val="0"/>
      <w:i w:val="0"/>
      <w:iCs w:val="0"/>
      <w:smallCaps w:val="0"/>
      <w:strike w:val="0"/>
      <w:color w:val="000000"/>
      <w:spacing w:val="20"/>
      <w:w w:val="100"/>
      <w:position w:val="0"/>
      <w:sz w:val="9"/>
      <w:szCs w:val="9"/>
      <w:u w:val="single"/>
      <w:shd w:val="clear" w:color="auto" w:fill="FFFFFF"/>
      <w:lang w:val="cs-CZ"/>
    </w:rPr>
  </w:style>
  <w:style w:type="character" w:customStyle="1" w:styleId="Zkladntext4ptdkovn1ptMtko40">
    <w:name w:val="Základní text + 4 pt;Řádkování 1 pt;Měřítko 40%"/>
    <w:rsid w:val="007E2278"/>
    <w:rPr>
      <w:rFonts w:ascii="Corbel" w:eastAsia="Corbel" w:hAnsi="Corbel" w:cs="Corbel"/>
      <w:b w:val="0"/>
      <w:bCs w:val="0"/>
      <w:i w:val="0"/>
      <w:iCs w:val="0"/>
      <w:smallCaps w:val="0"/>
      <w:strike w:val="0"/>
      <w:color w:val="000000"/>
      <w:spacing w:val="36"/>
      <w:w w:val="40"/>
      <w:position w:val="0"/>
      <w:sz w:val="8"/>
      <w:szCs w:val="8"/>
      <w:u w:val="single"/>
      <w:shd w:val="clear" w:color="auto" w:fill="FFFFFF"/>
      <w:lang w:val="cs-CZ"/>
    </w:rPr>
  </w:style>
  <w:style w:type="character" w:customStyle="1" w:styleId="inline-math">
    <w:name w:val="inline-math"/>
    <w:basedOn w:val="Standardnpsmoodstavce"/>
    <w:rsid w:val="00DE07F5"/>
  </w:style>
  <w:style w:type="character" w:customStyle="1" w:styleId="Zkladntextdkovn-1pt">
    <w:name w:val="Základní text + Řádkování -1 pt"/>
    <w:rsid w:val="00FD6466"/>
    <w:rPr>
      <w:rFonts w:ascii="David" w:eastAsia="David" w:hAnsi="David" w:cs="David"/>
      <w:b w:val="0"/>
      <w:bCs w:val="0"/>
      <w:i w:val="0"/>
      <w:iCs w:val="0"/>
      <w:smallCaps w:val="0"/>
      <w:strike w:val="0"/>
      <w:color w:val="000000"/>
      <w:spacing w:val="-22"/>
      <w:w w:val="100"/>
      <w:position w:val="0"/>
      <w:sz w:val="50"/>
      <w:szCs w:val="50"/>
      <w:u w:val="none"/>
      <w:shd w:val="clear" w:color="auto" w:fill="FFFFFF"/>
      <w:lang w:val="en-US"/>
    </w:rPr>
  </w:style>
  <w:style w:type="character" w:customStyle="1" w:styleId="ZkladntextBookmanOldStyle65ptdkovn0pt">
    <w:name w:val="Základní text + Bookman Old Style;6;5 pt;Řádkování 0 pt"/>
    <w:rsid w:val="001211A9"/>
    <w:rPr>
      <w:rFonts w:ascii="Bookman Old Style" w:eastAsia="Bookman Old Style" w:hAnsi="Bookman Old Style" w:cs="Bookman Old Style"/>
      <w:b w:val="0"/>
      <w:bCs w:val="0"/>
      <w:i w:val="0"/>
      <w:iCs w:val="0"/>
      <w:smallCaps w:val="0"/>
      <w:strike w:val="0"/>
      <w:color w:val="000000"/>
      <w:spacing w:val="2"/>
      <w:w w:val="100"/>
      <w:position w:val="0"/>
      <w:sz w:val="13"/>
      <w:szCs w:val="13"/>
      <w:u w:val="none"/>
      <w:shd w:val="clear" w:color="auto" w:fill="FFFFFF"/>
    </w:rPr>
  </w:style>
  <w:style w:type="character" w:customStyle="1" w:styleId="Zkladntext53BookmanOldStyle65ptdkovn0pt">
    <w:name w:val="Základní text (53) + Bookman Old Style;6;5 pt;Řádkování 0 pt"/>
    <w:rsid w:val="00267DB1"/>
    <w:rPr>
      <w:rFonts w:ascii="Bookman Old Style" w:eastAsia="Bookman Old Style" w:hAnsi="Bookman Old Style" w:cs="Bookman Old Style"/>
      <w:b w:val="0"/>
      <w:bCs w:val="0"/>
      <w:i w:val="0"/>
      <w:iCs w:val="0"/>
      <w:smallCaps w:val="0"/>
      <w:strike w:val="0"/>
      <w:color w:val="000000"/>
      <w:spacing w:val="2"/>
      <w:w w:val="100"/>
      <w:position w:val="0"/>
      <w:sz w:val="13"/>
      <w:szCs w:val="13"/>
      <w:u w:val="none"/>
    </w:rPr>
  </w:style>
  <w:style w:type="character" w:customStyle="1" w:styleId="Zkladntext53">
    <w:name w:val="Základní text (53)"/>
    <w:rsid w:val="00267DB1"/>
    <w:rPr>
      <w:rFonts w:ascii="Georgia" w:eastAsia="Georgia" w:hAnsi="Georgia" w:cs="Georgia"/>
      <w:b w:val="0"/>
      <w:bCs w:val="0"/>
      <w:i w:val="0"/>
      <w:iCs w:val="0"/>
      <w:smallCaps w:val="0"/>
      <w:strike w:val="0"/>
      <w:color w:val="000000"/>
      <w:spacing w:val="6"/>
      <w:w w:val="100"/>
      <w:position w:val="0"/>
      <w:sz w:val="16"/>
      <w:szCs w:val="16"/>
      <w:u w:val="single"/>
    </w:rPr>
  </w:style>
  <w:style w:type="character" w:customStyle="1" w:styleId="Zkladntext530">
    <w:name w:val="Základní text (53)_"/>
    <w:rsid w:val="003C4943"/>
    <w:rPr>
      <w:rFonts w:ascii="Georgia" w:eastAsia="Georgia" w:hAnsi="Georgia" w:cs="Georgia"/>
      <w:b w:val="0"/>
      <w:bCs w:val="0"/>
      <w:i w:val="0"/>
      <w:iCs w:val="0"/>
      <w:smallCaps w:val="0"/>
      <w:strike w:val="0"/>
      <w:spacing w:val="6"/>
      <w:sz w:val="16"/>
      <w:szCs w:val="16"/>
      <w:u w:val="none"/>
    </w:rPr>
  </w:style>
  <w:style w:type="character" w:customStyle="1" w:styleId="Zkladntext69">
    <w:name w:val="Základní text (69)_"/>
    <w:rsid w:val="003C4943"/>
    <w:rPr>
      <w:rFonts w:ascii="Sylfaen" w:eastAsia="Sylfaen" w:hAnsi="Sylfaen" w:cs="Sylfaen"/>
      <w:b w:val="0"/>
      <w:bCs w:val="0"/>
      <w:i w:val="0"/>
      <w:iCs w:val="0"/>
      <w:smallCaps w:val="0"/>
      <w:strike w:val="0"/>
      <w:sz w:val="20"/>
      <w:szCs w:val="20"/>
      <w:u w:val="none"/>
    </w:rPr>
  </w:style>
  <w:style w:type="character" w:customStyle="1" w:styleId="Zkladntext690">
    <w:name w:val="Základní text (69)"/>
    <w:rsid w:val="003C4943"/>
    <w:rPr>
      <w:rFonts w:ascii="Sylfaen" w:eastAsia="Sylfaen" w:hAnsi="Sylfaen" w:cs="Sylfaen"/>
      <w:b w:val="0"/>
      <w:bCs w:val="0"/>
      <w:i w:val="0"/>
      <w:iCs w:val="0"/>
      <w:smallCaps w:val="0"/>
      <w:strike w:val="0"/>
      <w:color w:val="000000"/>
      <w:spacing w:val="0"/>
      <w:w w:val="100"/>
      <w:position w:val="0"/>
      <w:sz w:val="20"/>
      <w:szCs w:val="20"/>
      <w:u w:val="none"/>
    </w:rPr>
  </w:style>
  <w:style w:type="character" w:customStyle="1" w:styleId="Zkladntext5345ptdkovn0pt">
    <w:name w:val="Základní text (53) + 4;5 pt;Řádkování 0 pt"/>
    <w:rsid w:val="00BF392E"/>
    <w:rPr>
      <w:rFonts w:ascii="Georgia" w:eastAsia="Georgia" w:hAnsi="Georgia" w:cs="Georgia"/>
      <w:b w:val="0"/>
      <w:bCs w:val="0"/>
      <w:i w:val="0"/>
      <w:iCs w:val="0"/>
      <w:smallCaps w:val="0"/>
      <w:strike w:val="0"/>
      <w:color w:val="000000"/>
      <w:spacing w:val="4"/>
      <w:w w:val="100"/>
      <w:position w:val="0"/>
      <w:sz w:val="9"/>
      <w:szCs w:val="9"/>
      <w:u w:val="none"/>
    </w:rPr>
  </w:style>
  <w:style w:type="character" w:customStyle="1" w:styleId="Zkladntext53dkovn0pt">
    <w:name w:val="Základní text (53) + Řádkování 0 pt"/>
    <w:rsid w:val="006150A5"/>
    <w:rPr>
      <w:rFonts w:ascii="Georgia" w:eastAsia="Georgia" w:hAnsi="Georgia" w:cs="Georgia"/>
      <w:b w:val="0"/>
      <w:bCs w:val="0"/>
      <w:i w:val="0"/>
      <w:iCs w:val="0"/>
      <w:smallCaps w:val="0"/>
      <w:strike w:val="0"/>
      <w:color w:val="000000"/>
      <w:spacing w:val="5"/>
      <w:w w:val="100"/>
      <w:position w:val="0"/>
      <w:sz w:val="16"/>
      <w:szCs w:val="16"/>
      <w:u w:val="none"/>
    </w:rPr>
  </w:style>
  <w:style w:type="character" w:customStyle="1" w:styleId="Zkladntext5345pt">
    <w:name w:val="Základní text (53) + 4;5 pt"/>
    <w:rsid w:val="00C92D11"/>
    <w:rPr>
      <w:rFonts w:ascii="Georgia" w:eastAsia="Georgia" w:hAnsi="Georgia" w:cs="Georgia"/>
      <w:b w:val="0"/>
      <w:bCs w:val="0"/>
      <w:i w:val="0"/>
      <w:iCs w:val="0"/>
      <w:smallCaps w:val="0"/>
      <w:strike w:val="0"/>
      <w:color w:val="000000"/>
      <w:spacing w:val="6"/>
      <w:w w:val="100"/>
      <w:position w:val="0"/>
      <w:sz w:val="9"/>
      <w:szCs w:val="9"/>
      <w:u w:val="none"/>
    </w:rPr>
  </w:style>
  <w:style w:type="character" w:customStyle="1" w:styleId="Zkladntext5375ptKurzvadkovn0pt">
    <w:name w:val="Základní text (53) + 7;5 pt;Kurzíva;Řádkování 0 pt"/>
    <w:rsid w:val="009E4A5F"/>
    <w:rPr>
      <w:rFonts w:ascii="Georgia" w:eastAsia="Georgia" w:hAnsi="Georgia" w:cs="Georgia"/>
      <w:b w:val="0"/>
      <w:bCs w:val="0"/>
      <w:i/>
      <w:iCs/>
      <w:smallCaps w:val="0"/>
      <w:strike w:val="0"/>
      <w:color w:val="000000"/>
      <w:spacing w:val="2"/>
      <w:w w:val="100"/>
      <w:position w:val="0"/>
      <w:sz w:val="15"/>
      <w:szCs w:val="15"/>
      <w:u w:val="none"/>
    </w:rPr>
  </w:style>
  <w:style w:type="character" w:customStyle="1" w:styleId="Zkladntext5365ptdkovn0pt">
    <w:name w:val="Základní text (53) + 6;5 pt;Řádkování 0 pt"/>
    <w:rsid w:val="009E4A5F"/>
    <w:rPr>
      <w:rFonts w:ascii="Georgia" w:eastAsia="Georgia" w:hAnsi="Georgia" w:cs="Georgia"/>
      <w:b w:val="0"/>
      <w:bCs w:val="0"/>
      <w:i w:val="0"/>
      <w:iCs w:val="0"/>
      <w:smallCaps w:val="0"/>
      <w:strike w:val="0"/>
      <w:color w:val="000000"/>
      <w:spacing w:val="9"/>
      <w:w w:val="100"/>
      <w:position w:val="0"/>
      <w:sz w:val="13"/>
      <w:szCs w:val="13"/>
      <w:u w:val="none"/>
    </w:rPr>
  </w:style>
  <w:style w:type="character" w:customStyle="1" w:styleId="Zkladntext537ptKurzvadkovn0pt">
    <w:name w:val="Základní text (53) + 7 pt;Kurzíva;Řádkování 0 pt"/>
    <w:rsid w:val="009E4A5F"/>
    <w:rPr>
      <w:rFonts w:ascii="Georgia" w:eastAsia="Georgia" w:hAnsi="Georgia" w:cs="Georgia"/>
      <w:b w:val="0"/>
      <w:bCs w:val="0"/>
      <w:i/>
      <w:iCs/>
      <w:smallCaps w:val="0"/>
      <w:strike w:val="0"/>
      <w:color w:val="000000"/>
      <w:spacing w:val="-1"/>
      <w:w w:val="100"/>
      <w:position w:val="0"/>
      <w:sz w:val="14"/>
      <w:szCs w:val="14"/>
      <w:u w:val="none"/>
    </w:rPr>
  </w:style>
  <w:style w:type="character" w:customStyle="1" w:styleId="PoznmkapodarouKurzva">
    <w:name w:val="Poznámka pod čarou + Kurzíva"/>
    <w:rsid w:val="004E0D84"/>
    <w:rPr>
      <w:rFonts w:ascii="Georgia" w:eastAsia="Georgia" w:hAnsi="Georgia" w:cs="Georgia"/>
      <w:b w:val="0"/>
      <w:bCs w:val="0"/>
      <w:i/>
      <w:iCs/>
      <w:smallCaps w:val="0"/>
      <w:strike w:val="0"/>
      <w:color w:val="000000"/>
      <w:spacing w:val="1"/>
      <w:w w:val="100"/>
      <w:position w:val="0"/>
      <w:sz w:val="19"/>
      <w:szCs w:val="19"/>
      <w:u w:val="none"/>
      <w:shd w:val="clear" w:color="auto" w:fill="FFFFFF"/>
    </w:rPr>
  </w:style>
  <w:style w:type="character" w:customStyle="1" w:styleId="Poznmkapodarou6ptTundkovn0pt">
    <w:name w:val="Poznámka pod čarou + 6 pt;Tučné;Řádkování 0 pt"/>
    <w:rsid w:val="00A17602"/>
    <w:rPr>
      <w:rFonts w:ascii="Georgia" w:eastAsia="Georgia" w:hAnsi="Georgia" w:cs="Georgia"/>
      <w:b/>
      <w:bCs/>
      <w:i w:val="0"/>
      <w:iCs w:val="0"/>
      <w:smallCaps w:val="0"/>
      <w:strike w:val="0"/>
      <w:color w:val="000000"/>
      <w:spacing w:val="4"/>
      <w:w w:val="100"/>
      <w:position w:val="0"/>
      <w:sz w:val="12"/>
      <w:szCs w:val="12"/>
      <w:u w:val="none"/>
      <w:shd w:val="clear" w:color="auto" w:fill="FFFFFF"/>
      <w:lang w:val="en-US"/>
    </w:rPr>
  </w:style>
  <w:style w:type="character" w:customStyle="1" w:styleId="familyname">
    <w:name w:val="familyname"/>
    <w:basedOn w:val="Standardnpsmoodstavce"/>
    <w:rsid w:val="003B76E2"/>
  </w:style>
  <w:style w:type="character" w:customStyle="1" w:styleId="text">
    <w:name w:val="text"/>
    <w:basedOn w:val="Standardnpsmoodstavce"/>
    <w:rsid w:val="00BB46A0"/>
  </w:style>
  <w:style w:type="character" w:customStyle="1" w:styleId="number">
    <w:name w:val="number"/>
    <w:basedOn w:val="Standardnpsmoodstavce"/>
    <w:rsid w:val="00BB46A0"/>
  </w:style>
  <w:style w:type="character" w:customStyle="1" w:styleId="period">
    <w:name w:val="period"/>
    <w:basedOn w:val="Standardnpsmoodstavce"/>
    <w:rsid w:val="00BB46A0"/>
  </w:style>
  <w:style w:type="character" w:customStyle="1" w:styleId="a-size-medium">
    <w:name w:val="a-size-medium"/>
    <w:basedOn w:val="Standardnpsmoodstavce"/>
    <w:rsid w:val="007B42B9"/>
  </w:style>
  <w:style w:type="character" w:customStyle="1" w:styleId="a-declarative">
    <w:name w:val="a-declarative"/>
    <w:basedOn w:val="Standardnpsmoodstavce"/>
    <w:rsid w:val="007B42B9"/>
  </w:style>
  <w:style w:type="character" w:customStyle="1" w:styleId="contribution">
    <w:name w:val="contribution"/>
    <w:basedOn w:val="Standardnpsmoodstavce"/>
    <w:rsid w:val="007B42B9"/>
  </w:style>
  <w:style w:type="character" w:customStyle="1" w:styleId="a-color-secondary">
    <w:name w:val="a-color-secondary"/>
    <w:basedOn w:val="Standardnpsmoodstavce"/>
    <w:rsid w:val="007B42B9"/>
  </w:style>
  <w:style w:type="paragraph" w:customStyle="1" w:styleId="sdfootnote-western">
    <w:name w:val="sdfootnote-western"/>
    <w:basedOn w:val="Normln"/>
    <w:rsid w:val="0064024A"/>
    <w:pPr>
      <w:spacing w:before="100" w:beforeAutospacing="1" w:after="119" w:line="240" w:lineRule="auto"/>
    </w:pPr>
    <w:rPr>
      <w:rFonts w:eastAsia="Times New Roman"/>
      <w:sz w:val="22"/>
      <w:szCs w:val="22"/>
    </w:rPr>
  </w:style>
  <w:style w:type="paragraph" w:customStyle="1" w:styleId="western">
    <w:name w:val="western"/>
    <w:basedOn w:val="Normln"/>
    <w:rsid w:val="0064024A"/>
    <w:pPr>
      <w:spacing w:before="100" w:beforeAutospacing="1" w:after="119" w:line="288" w:lineRule="auto"/>
    </w:pPr>
    <w:rPr>
      <w:rFonts w:eastAsia="Times New Roman"/>
      <w:sz w:val="22"/>
      <w:szCs w:val="22"/>
    </w:rPr>
  </w:style>
  <w:style w:type="character" w:customStyle="1" w:styleId="Zkladntext12">
    <w:name w:val="Základní text (12)_"/>
    <w:link w:val="Zkladntext120"/>
    <w:uiPriority w:val="99"/>
    <w:rsid w:val="00600E58"/>
    <w:rPr>
      <w:sz w:val="19"/>
      <w:szCs w:val="19"/>
      <w:shd w:val="clear" w:color="auto" w:fill="FFFFFF"/>
    </w:rPr>
  </w:style>
  <w:style w:type="paragraph" w:customStyle="1" w:styleId="Zkladntext120">
    <w:name w:val="Základní text (12)"/>
    <w:basedOn w:val="Normln"/>
    <w:link w:val="Zkladntext12"/>
    <w:uiPriority w:val="99"/>
    <w:rsid w:val="00600E58"/>
    <w:pPr>
      <w:shd w:val="clear" w:color="auto" w:fill="FFFFFF"/>
      <w:spacing w:line="256" w:lineRule="exact"/>
      <w:ind w:hanging="180"/>
    </w:pPr>
    <w:rPr>
      <w:rFonts w:ascii="Times New Roman" w:eastAsia="Times New Roman" w:hAnsi="Times New Roman"/>
      <w:sz w:val="19"/>
      <w:szCs w:val="19"/>
      <w:lang w:val="x-none" w:eastAsia="x-none"/>
    </w:rPr>
  </w:style>
  <w:style w:type="character" w:customStyle="1" w:styleId="Zkladntext12dkovn-1pt">
    <w:name w:val="Základní text (12) + Řádkování -1 pt"/>
    <w:uiPriority w:val="99"/>
    <w:rsid w:val="00600E58"/>
    <w:rPr>
      <w:spacing w:val="-20"/>
      <w:sz w:val="19"/>
      <w:szCs w:val="19"/>
      <w:shd w:val="clear" w:color="auto" w:fill="FFFFFF"/>
    </w:rPr>
  </w:style>
  <w:style w:type="character" w:customStyle="1" w:styleId="Zkladntext129pt">
    <w:name w:val="Základní text (12) + 9 pt"/>
    <w:aliases w:val="Malá písmena231"/>
    <w:uiPriority w:val="99"/>
    <w:rsid w:val="00600E58"/>
    <w:rPr>
      <w:smallCaps/>
      <w:sz w:val="18"/>
      <w:szCs w:val="18"/>
      <w:shd w:val="clear" w:color="auto" w:fill="FFFFFF"/>
    </w:rPr>
  </w:style>
  <w:style w:type="character" w:customStyle="1" w:styleId="Zkladntext129pt4">
    <w:name w:val="Základní text (12) + 9 pt4"/>
    <w:aliases w:val="Malá písmena230,Řádkování -1 pt"/>
    <w:uiPriority w:val="99"/>
    <w:rsid w:val="00600E58"/>
    <w:rPr>
      <w:smallCaps/>
      <w:spacing w:val="-20"/>
      <w:sz w:val="18"/>
      <w:szCs w:val="18"/>
      <w:shd w:val="clear" w:color="auto" w:fill="FFFFFF"/>
    </w:rPr>
  </w:style>
  <w:style w:type="character" w:customStyle="1" w:styleId="Zkladntext3Constantia1">
    <w:name w:val="Základní text (3) + Constantia1"/>
    <w:aliases w:val="514,5 pt317"/>
    <w:uiPriority w:val="99"/>
    <w:rsid w:val="00B068C2"/>
    <w:rPr>
      <w:rFonts w:ascii="Constantia" w:eastAsia="Calibri" w:hAnsi="Constantia" w:cs="Constantia"/>
      <w:b w:val="0"/>
      <w:bCs w:val="0"/>
      <w:i w:val="0"/>
      <w:iCs w:val="0"/>
      <w:smallCaps w:val="0"/>
      <w:strike w:val="0"/>
      <w:spacing w:val="0"/>
      <w:sz w:val="11"/>
      <w:szCs w:val="11"/>
      <w:u w:val="none"/>
      <w:lang w:val="cs-CZ" w:eastAsia="cs-CZ"/>
    </w:rPr>
  </w:style>
  <w:style w:type="character" w:customStyle="1" w:styleId="Zkladntext39pt3">
    <w:name w:val="Základní text (3) + 9 pt3"/>
    <w:aliases w:val="Malá písmena232"/>
    <w:uiPriority w:val="99"/>
    <w:rsid w:val="00453D63"/>
    <w:rPr>
      <w:rFonts w:ascii="Times New Roman" w:eastAsia="Calibri" w:hAnsi="Times New Roman" w:cs="Times New Roman"/>
      <w:b w:val="0"/>
      <w:bCs w:val="0"/>
      <w:i w:val="0"/>
      <w:iCs w:val="0"/>
      <w:smallCaps/>
      <w:strike w:val="0"/>
      <w:spacing w:val="0"/>
      <w:sz w:val="18"/>
      <w:szCs w:val="18"/>
      <w:u w:val="none"/>
      <w:lang w:val="fr-FR"/>
    </w:rPr>
  </w:style>
  <w:style w:type="character" w:customStyle="1" w:styleId="Zkladntext16dkovn-1pt">
    <w:name w:val="Základní text (16) + Řádkování -1 pt"/>
    <w:uiPriority w:val="99"/>
    <w:rsid w:val="0060280A"/>
    <w:rPr>
      <w:rFonts w:ascii="Times New Roman" w:hAnsi="Times New Roman" w:cs="Times New Roman"/>
      <w:spacing w:val="-20"/>
      <w:sz w:val="19"/>
      <w:szCs w:val="19"/>
    </w:rPr>
  </w:style>
  <w:style w:type="character" w:customStyle="1" w:styleId="Zkladntext16">
    <w:name w:val="Základní text (16)_"/>
    <w:link w:val="Zkladntext160"/>
    <w:uiPriority w:val="99"/>
    <w:rsid w:val="006D655D"/>
    <w:rPr>
      <w:sz w:val="19"/>
      <w:szCs w:val="19"/>
      <w:shd w:val="clear" w:color="auto" w:fill="FFFFFF"/>
    </w:rPr>
  </w:style>
  <w:style w:type="paragraph" w:customStyle="1" w:styleId="Zkladntext160">
    <w:name w:val="Základní text (16)"/>
    <w:basedOn w:val="Normln"/>
    <w:link w:val="Zkladntext16"/>
    <w:uiPriority w:val="99"/>
    <w:rsid w:val="006D655D"/>
    <w:pPr>
      <w:shd w:val="clear" w:color="auto" w:fill="FFFFFF"/>
      <w:spacing w:line="256" w:lineRule="exact"/>
      <w:ind w:hanging="160"/>
    </w:pPr>
    <w:rPr>
      <w:rFonts w:ascii="Times New Roman" w:eastAsia="Times New Roman" w:hAnsi="Times New Roman"/>
      <w:sz w:val="19"/>
      <w:szCs w:val="19"/>
      <w:lang w:val="x-none" w:eastAsia="x-none"/>
    </w:rPr>
  </w:style>
  <w:style w:type="character" w:customStyle="1" w:styleId="Zkladntext16dkovn-1pt1">
    <w:name w:val="Základní text (16) + Řádkování -1 pt1"/>
    <w:uiPriority w:val="99"/>
    <w:rsid w:val="006D655D"/>
    <w:rPr>
      <w:spacing w:val="-20"/>
      <w:sz w:val="19"/>
      <w:szCs w:val="19"/>
      <w:shd w:val="clear" w:color="auto" w:fill="FFFFFF"/>
    </w:rPr>
  </w:style>
  <w:style w:type="character" w:customStyle="1" w:styleId="Zkladntext1651">
    <w:name w:val="Základní text (16) + 51"/>
    <w:aliases w:val="5 pt302"/>
    <w:uiPriority w:val="99"/>
    <w:rsid w:val="006D655D"/>
    <w:rPr>
      <w:sz w:val="11"/>
      <w:szCs w:val="11"/>
      <w:shd w:val="clear" w:color="auto" w:fill="FFFFFF"/>
    </w:rPr>
  </w:style>
  <w:style w:type="character" w:customStyle="1" w:styleId="Zkladntext219pt2">
    <w:name w:val="Základní text (21) + 9 pt2"/>
    <w:aliases w:val="Malá písmena194"/>
    <w:uiPriority w:val="99"/>
    <w:rsid w:val="004C795A"/>
    <w:rPr>
      <w:rFonts w:ascii="Times New Roman" w:hAnsi="Times New Roman" w:cs="Times New Roman"/>
      <w:smallCaps/>
      <w:spacing w:val="0"/>
      <w:sz w:val="18"/>
      <w:szCs w:val="18"/>
    </w:rPr>
  </w:style>
  <w:style w:type="character" w:customStyle="1" w:styleId="Zkladntext22Malpsmena">
    <w:name w:val="Základní text (22) + Malá písmena"/>
    <w:uiPriority w:val="99"/>
    <w:rsid w:val="00935188"/>
    <w:rPr>
      <w:rFonts w:ascii="Times New Roman" w:hAnsi="Times New Roman" w:cs="Times New Roman"/>
      <w:smallCaps/>
      <w:spacing w:val="0"/>
      <w:sz w:val="18"/>
      <w:szCs w:val="18"/>
      <w:lang w:val="de-DE" w:eastAsia="de-DE"/>
    </w:rPr>
  </w:style>
  <w:style w:type="character" w:customStyle="1" w:styleId="Zkladntext229">
    <w:name w:val="Základní text (22) + 9"/>
    <w:aliases w:val="5 pt283,Kurzíva77"/>
    <w:uiPriority w:val="99"/>
    <w:rsid w:val="00935188"/>
    <w:rPr>
      <w:rFonts w:ascii="Times New Roman" w:hAnsi="Times New Roman" w:cs="Times New Roman"/>
      <w:i/>
      <w:iCs/>
      <w:spacing w:val="0"/>
      <w:sz w:val="19"/>
      <w:szCs w:val="19"/>
      <w:lang w:val="de-DE" w:eastAsia="de-DE"/>
    </w:rPr>
  </w:style>
  <w:style w:type="character" w:customStyle="1" w:styleId="Zkladntext22dkovn-1pt">
    <w:name w:val="Základní text (22) + Řádkování -1 pt"/>
    <w:uiPriority w:val="99"/>
    <w:rsid w:val="00935188"/>
    <w:rPr>
      <w:rFonts w:ascii="Times New Roman" w:hAnsi="Times New Roman" w:cs="Times New Roman"/>
      <w:spacing w:val="-20"/>
      <w:sz w:val="18"/>
      <w:szCs w:val="18"/>
      <w:lang w:val="de-DE" w:eastAsia="de-DE"/>
    </w:rPr>
  </w:style>
  <w:style w:type="character" w:customStyle="1" w:styleId="Zkladntext23">
    <w:name w:val="Základní text (23)_"/>
    <w:link w:val="Zkladntext230"/>
    <w:uiPriority w:val="99"/>
    <w:rsid w:val="00CB420E"/>
    <w:rPr>
      <w:sz w:val="19"/>
      <w:szCs w:val="19"/>
      <w:shd w:val="clear" w:color="auto" w:fill="FFFFFF"/>
    </w:rPr>
  </w:style>
  <w:style w:type="paragraph" w:customStyle="1" w:styleId="Zkladntext230">
    <w:name w:val="Základní text (23)"/>
    <w:basedOn w:val="Normln"/>
    <w:link w:val="Zkladntext23"/>
    <w:uiPriority w:val="99"/>
    <w:rsid w:val="00CB420E"/>
    <w:pPr>
      <w:shd w:val="clear" w:color="auto" w:fill="FFFFFF"/>
      <w:spacing w:line="256" w:lineRule="exact"/>
    </w:pPr>
    <w:rPr>
      <w:rFonts w:ascii="Times New Roman" w:eastAsia="Times New Roman" w:hAnsi="Times New Roman"/>
      <w:sz w:val="19"/>
      <w:szCs w:val="19"/>
      <w:lang w:val="x-none" w:eastAsia="x-none"/>
    </w:rPr>
  </w:style>
  <w:style w:type="character" w:customStyle="1" w:styleId="Zkladntext235">
    <w:name w:val="Základní text (23) + 5"/>
    <w:aliases w:val="5 pt286"/>
    <w:uiPriority w:val="99"/>
    <w:rsid w:val="00CB420E"/>
    <w:rPr>
      <w:sz w:val="11"/>
      <w:szCs w:val="11"/>
      <w:shd w:val="clear" w:color="auto" w:fill="FFFFFF"/>
      <w:lang w:val="cs-CZ" w:eastAsia="cs-CZ"/>
    </w:rPr>
  </w:style>
  <w:style w:type="character" w:customStyle="1" w:styleId="Zkladntext259pt">
    <w:name w:val="Základní text (25) + 9 pt"/>
    <w:aliases w:val="Malá písmena181"/>
    <w:uiPriority w:val="99"/>
    <w:rsid w:val="00634654"/>
    <w:rPr>
      <w:rFonts w:ascii="Times New Roman" w:hAnsi="Times New Roman" w:cs="Times New Roman"/>
      <w:smallCaps/>
      <w:spacing w:val="0"/>
      <w:sz w:val="18"/>
      <w:szCs w:val="18"/>
    </w:rPr>
  </w:style>
  <w:style w:type="character" w:customStyle="1" w:styleId="Zkladntext25">
    <w:name w:val="Základní text (25)_"/>
    <w:link w:val="Zkladntext250"/>
    <w:uiPriority w:val="99"/>
    <w:rsid w:val="00A67A1D"/>
    <w:rPr>
      <w:sz w:val="19"/>
      <w:szCs w:val="19"/>
      <w:shd w:val="clear" w:color="auto" w:fill="FFFFFF"/>
    </w:rPr>
  </w:style>
  <w:style w:type="paragraph" w:customStyle="1" w:styleId="Zkladntext250">
    <w:name w:val="Základní text (25)"/>
    <w:basedOn w:val="Normln"/>
    <w:link w:val="Zkladntext25"/>
    <w:uiPriority w:val="99"/>
    <w:rsid w:val="00A67A1D"/>
    <w:pPr>
      <w:shd w:val="clear" w:color="auto" w:fill="FFFFFF"/>
      <w:spacing w:line="256" w:lineRule="exact"/>
      <w:ind w:hanging="200"/>
    </w:pPr>
    <w:rPr>
      <w:rFonts w:ascii="Times New Roman" w:eastAsia="Times New Roman" w:hAnsi="Times New Roman"/>
      <w:sz w:val="19"/>
      <w:szCs w:val="19"/>
      <w:lang w:val="x-none" w:eastAsia="x-none"/>
    </w:rPr>
  </w:style>
  <w:style w:type="character" w:customStyle="1" w:styleId="Zkladntext259pt5">
    <w:name w:val="Základní text (25) + 9 pt5"/>
    <w:aliases w:val="Malá písmena175"/>
    <w:uiPriority w:val="99"/>
    <w:rsid w:val="00E405EC"/>
    <w:rPr>
      <w:rFonts w:ascii="Times New Roman" w:hAnsi="Times New Roman" w:cs="Times New Roman"/>
      <w:smallCaps/>
      <w:spacing w:val="0"/>
      <w:sz w:val="18"/>
      <w:szCs w:val="18"/>
      <w:shd w:val="clear" w:color="auto" w:fill="FFFFFF"/>
      <w:lang w:val="de-DE" w:eastAsia="de-DE"/>
    </w:rPr>
  </w:style>
  <w:style w:type="character" w:customStyle="1" w:styleId="Zkladntext210">
    <w:name w:val="Základní text (21)_"/>
    <w:link w:val="Zkladntext211"/>
    <w:uiPriority w:val="99"/>
    <w:rsid w:val="00B76302"/>
    <w:rPr>
      <w:shd w:val="clear" w:color="auto" w:fill="FFFFFF"/>
    </w:rPr>
  </w:style>
  <w:style w:type="paragraph" w:customStyle="1" w:styleId="Zkladntext211">
    <w:name w:val="Základní text (21)"/>
    <w:basedOn w:val="Normln"/>
    <w:link w:val="Zkladntext210"/>
    <w:uiPriority w:val="99"/>
    <w:rsid w:val="00B76302"/>
    <w:pPr>
      <w:shd w:val="clear" w:color="auto" w:fill="FFFFFF"/>
      <w:spacing w:line="256" w:lineRule="exact"/>
      <w:ind w:hanging="220"/>
    </w:pPr>
    <w:rPr>
      <w:rFonts w:ascii="Times New Roman" w:eastAsia="Times New Roman" w:hAnsi="Times New Roman"/>
      <w:sz w:val="20"/>
      <w:lang w:val="x-none" w:eastAsia="x-none"/>
    </w:rPr>
  </w:style>
  <w:style w:type="character" w:customStyle="1" w:styleId="Zkladntext265">
    <w:name w:val="Základní text (26) + 5"/>
    <w:aliases w:val="5 pt274"/>
    <w:uiPriority w:val="99"/>
    <w:rsid w:val="00DE21B0"/>
    <w:rPr>
      <w:rFonts w:ascii="Times New Roman" w:hAnsi="Times New Roman" w:cs="Times New Roman"/>
      <w:spacing w:val="0"/>
      <w:sz w:val="11"/>
      <w:szCs w:val="11"/>
    </w:rPr>
  </w:style>
  <w:style w:type="character" w:customStyle="1" w:styleId="Zkladntext259pt4">
    <w:name w:val="Základní text (25) + 9 pt4"/>
    <w:aliases w:val="Malá písmena173"/>
    <w:uiPriority w:val="99"/>
    <w:rsid w:val="00EE1A38"/>
    <w:rPr>
      <w:rFonts w:ascii="Times New Roman" w:hAnsi="Times New Roman" w:cs="Times New Roman"/>
      <w:smallCaps/>
      <w:spacing w:val="0"/>
      <w:sz w:val="18"/>
      <w:szCs w:val="18"/>
      <w:shd w:val="clear" w:color="auto" w:fill="FFFFFF"/>
      <w:lang w:val="de-DE" w:eastAsia="de-DE"/>
    </w:rPr>
  </w:style>
  <w:style w:type="character" w:customStyle="1" w:styleId="Zkladntext29">
    <w:name w:val="Základní text (29)_"/>
    <w:link w:val="Zkladntext291"/>
    <w:uiPriority w:val="99"/>
    <w:rsid w:val="001D796C"/>
    <w:rPr>
      <w:sz w:val="19"/>
      <w:szCs w:val="19"/>
      <w:shd w:val="clear" w:color="auto" w:fill="FFFFFF"/>
    </w:rPr>
  </w:style>
  <w:style w:type="paragraph" w:customStyle="1" w:styleId="Zkladntext291">
    <w:name w:val="Základní text (29)1"/>
    <w:basedOn w:val="Normln"/>
    <w:link w:val="Zkladntext29"/>
    <w:uiPriority w:val="99"/>
    <w:rsid w:val="001D796C"/>
    <w:pPr>
      <w:shd w:val="clear" w:color="auto" w:fill="FFFFFF"/>
      <w:spacing w:line="256" w:lineRule="exact"/>
      <w:ind w:hanging="640"/>
    </w:pPr>
    <w:rPr>
      <w:rFonts w:ascii="Times New Roman" w:eastAsia="Times New Roman" w:hAnsi="Times New Roman"/>
      <w:sz w:val="19"/>
      <w:szCs w:val="19"/>
      <w:lang w:val="x-none" w:eastAsia="x-none"/>
    </w:rPr>
  </w:style>
  <w:style w:type="character" w:customStyle="1" w:styleId="Zkladntext298">
    <w:name w:val="Základní text (29) + 8"/>
    <w:aliases w:val="5 pt257"/>
    <w:uiPriority w:val="99"/>
    <w:rsid w:val="001D796C"/>
    <w:rPr>
      <w:sz w:val="17"/>
      <w:szCs w:val="17"/>
      <w:shd w:val="clear" w:color="auto" w:fill="FFFFFF"/>
    </w:rPr>
  </w:style>
  <w:style w:type="character" w:customStyle="1" w:styleId="Zkladntext299pt4">
    <w:name w:val="Základní text (29) + 9 pt4"/>
    <w:aliases w:val="Malá písmena147"/>
    <w:uiPriority w:val="99"/>
    <w:rsid w:val="001D796C"/>
    <w:rPr>
      <w:smallCaps/>
      <w:sz w:val="18"/>
      <w:szCs w:val="18"/>
      <w:shd w:val="clear" w:color="auto" w:fill="FFFFFF"/>
      <w:lang w:val="de-DE" w:eastAsia="de-DE"/>
    </w:rPr>
  </w:style>
  <w:style w:type="character" w:customStyle="1" w:styleId="Zkladntext119pt5">
    <w:name w:val="Základní text (11) + 9 pt5"/>
    <w:aliases w:val="Malá písmena127"/>
    <w:uiPriority w:val="99"/>
    <w:rsid w:val="00CB5313"/>
    <w:rPr>
      <w:rFonts w:ascii="Times New Roman" w:hAnsi="Times New Roman" w:cs="Times New Roman"/>
      <w:smallCaps/>
      <w:spacing w:val="0"/>
      <w:sz w:val="18"/>
      <w:szCs w:val="18"/>
      <w:lang w:val="de-DE" w:eastAsia="de-DE"/>
    </w:rPr>
  </w:style>
  <w:style w:type="character" w:customStyle="1" w:styleId="Zkladntext11Constantia">
    <w:name w:val="Základní text (11) + Constantia"/>
    <w:aliases w:val="8 pt12"/>
    <w:uiPriority w:val="99"/>
    <w:rsid w:val="00CB5313"/>
    <w:rPr>
      <w:rFonts w:ascii="Constantia" w:hAnsi="Constantia" w:cs="Constantia"/>
      <w:spacing w:val="0"/>
      <w:sz w:val="16"/>
      <w:szCs w:val="16"/>
    </w:rPr>
  </w:style>
  <w:style w:type="character" w:customStyle="1" w:styleId="Zkladntext329pt">
    <w:name w:val="Základní text (32) + 9 pt"/>
    <w:aliases w:val="Malá písmena115"/>
    <w:uiPriority w:val="99"/>
    <w:rsid w:val="00520D61"/>
    <w:rPr>
      <w:rFonts w:ascii="Times New Roman" w:hAnsi="Times New Roman" w:cs="Times New Roman"/>
      <w:smallCaps/>
      <w:spacing w:val="0"/>
      <w:sz w:val="18"/>
      <w:szCs w:val="18"/>
    </w:rPr>
  </w:style>
  <w:style w:type="character" w:customStyle="1" w:styleId="Zkladntext335">
    <w:name w:val="Základní text (33) + 5"/>
    <w:aliases w:val="5 pt228"/>
    <w:uiPriority w:val="99"/>
    <w:rsid w:val="00791F0C"/>
    <w:rPr>
      <w:rFonts w:ascii="Times New Roman" w:hAnsi="Times New Roman" w:cs="Times New Roman"/>
      <w:spacing w:val="0"/>
      <w:sz w:val="11"/>
      <w:szCs w:val="11"/>
    </w:rPr>
  </w:style>
  <w:style w:type="character" w:customStyle="1" w:styleId="Zkladntext33">
    <w:name w:val="Základní text (33)_"/>
    <w:link w:val="Zkladntext330"/>
    <w:uiPriority w:val="99"/>
    <w:rsid w:val="00791F0C"/>
    <w:rPr>
      <w:sz w:val="16"/>
      <w:szCs w:val="16"/>
      <w:shd w:val="clear" w:color="auto" w:fill="FFFFFF"/>
    </w:rPr>
  </w:style>
  <w:style w:type="paragraph" w:customStyle="1" w:styleId="Zkladntext330">
    <w:name w:val="Základní text (33)"/>
    <w:basedOn w:val="Normln"/>
    <w:link w:val="Zkladntext33"/>
    <w:uiPriority w:val="99"/>
    <w:rsid w:val="00791F0C"/>
    <w:pPr>
      <w:shd w:val="clear" w:color="auto" w:fill="FFFFFF"/>
      <w:spacing w:before="300" w:line="256" w:lineRule="exact"/>
    </w:pPr>
    <w:rPr>
      <w:rFonts w:ascii="Times New Roman" w:eastAsia="Times New Roman" w:hAnsi="Times New Roman"/>
      <w:sz w:val="16"/>
      <w:szCs w:val="16"/>
      <w:lang w:val="x-none" w:eastAsia="x-none"/>
    </w:rPr>
  </w:style>
  <w:style w:type="character" w:customStyle="1" w:styleId="Zkladntext339pt">
    <w:name w:val="Základní text (33) + 9 pt"/>
    <w:aliases w:val="Malá písmena108"/>
    <w:uiPriority w:val="99"/>
    <w:rsid w:val="00810129"/>
    <w:rPr>
      <w:rFonts w:ascii="Times New Roman" w:hAnsi="Times New Roman" w:cs="Times New Roman"/>
      <w:smallCaps/>
      <w:spacing w:val="0"/>
      <w:sz w:val="18"/>
      <w:szCs w:val="18"/>
      <w:shd w:val="clear" w:color="auto" w:fill="FFFFFF"/>
    </w:rPr>
  </w:style>
  <w:style w:type="character" w:customStyle="1" w:styleId="Zkladntext339">
    <w:name w:val="Základní text (33) + 9"/>
    <w:aliases w:val="5 pt225,Kurzíva57"/>
    <w:uiPriority w:val="99"/>
    <w:rsid w:val="00810129"/>
    <w:rPr>
      <w:rFonts w:ascii="Times New Roman" w:hAnsi="Times New Roman" w:cs="Times New Roman"/>
      <w:i/>
      <w:iCs/>
      <w:spacing w:val="0"/>
      <w:sz w:val="19"/>
      <w:szCs w:val="19"/>
      <w:shd w:val="clear" w:color="auto" w:fill="FFFFFF"/>
    </w:rPr>
  </w:style>
  <w:style w:type="character" w:customStyle="1" w:styleId="Zkladntext39pt6">
    <w:name w:val="Základní text (3) + 9 pt6"/>
    <w:aliases w:val="Tučné24"/>
    <w:uiPriority w:val="99"/>
    <w:rsid w:val="002C66AA"/>
    <w:rPr>
      <w:rFonts w:ascii="Times New Roman" w:eastAsia="Calibri" w:hAnsi="Times New Roman" w:cs="Times New Roman"/>
      <w:b/>
      <w:bCs/>
      <w:i w:val="0"/>
      <w:iCs w:val="0"/>
      <w:smallCaps w:val="0"/>
      <w:strike w:val="0"/>
      <w:spacing w:val="0"/>
      <w:sz w:val="18"/>
      <w:szCs w:val="18"/>
      <w:u w:val="none"/>
      <w:lang w:val="de-DE" w:eastAsia="de-DE"/>
    </w:rPr>
  </w:style>
  <w:style w:type="character" w:customStyle="1" w:styleId="Zkladntext39">
    <w:name w:val="Základní text (3)9"/>
    <w:uiPriority w:val="99"/>
    <w:rsid w:val="002C66AA"/>
    <w:rPr>
      <w:rFonts w:ascii="Times New Roman" w:eastAsia="Calibri" w:hAnsi="Times New Roman" w:cs="Times New Roman"/>
      <w:b w:val="0"/>
      <w:bCs w:val="0"/>
      <w:i w:val="0"/>
      <w:iCs w:val="0"/>
      <w:smallCaps w:val="0"/>
      <w:strike w:val="0"/>
      <w:spacing w:val="0"/>
      <w:sz w:val="20"/>
      <w:szCs w:val="20"/>
      <w:u w:val="none"/>
      <w:lang w:val="fr-FR"/>
    </w:rPr>
  </w:style>
  <w:style w:type="character" w:customStyle="1" w:styleId="Zkladntext381">
    <w:name w:val="Základní text (3) + 81"/>
    <w:aliases w:val="5 pt210,Tučné15"/>
    <w:uiPriority w:val="99"/>
    <w:rsid w:val="002C66AA"/>
    <w:rPr>
      <w:rFonts w:ascii="Times New Roman" w:eastAsia="Calibri" w:hAnsi="Times New Roman" w:cs="Times New Roman"/>
      <w:b/>
      <w:bCs/>
      <w:i w:val="0"/>
      <w:iCs w:val="0"/>
      <w:smallCaps w:val="0"/>
      <w:strike w:val="0"/>
      <w:spacing w:val="0"/>
      <w:sz w:val="17"/>
      <w:szCs w:val="17"/>
      <w:u w:val="none"/>
      <w:lang w:val="de-DE" w:eastAsia="de-DE"/>
    </w:rPr>
  </w:style>
  <w:style w:type="character" w:customStyle="1" w:styleId="CittChar">
    <w:name w:val="Citát Char"/>
    <w:rsid w:val="00902048"/>
    <w:rPr>
      <w:rFonts w:ascii="Calibri" w:hAnsi="Calibri" w:hint="default"/>
      <w:i/>
      <w:iCs/>
      <w:color w:val="000000"/>
      <w:sz w:val="24"/>
      <w:szCs w:val="24"/>
    </w:rPr>
  </w:style>
  <w:style w:type="character" w:customStyle="1" w:styleId="FootnoteTextChar">
    <w:name w:val="Footnote Text Char"/>
    <w:rsid w:val="00902048"/>
    <w:rPr>
      <w:rFonts w:ascii="Times New Roman" w:eastAsia="Times New Roman" w:hAnsi="Times New Roman" w:cs="Times New Roman" w:hint="default"/>
      <w:sz w:val="17"/>
      <w:szCs w:val="17"/>
      <w:lang w:eastAsia="cs-CZ"/>
    </w:rPr>
  </w:style>
  <w:style w:type="character" w:customStyle="1" w:styleId="Zkladntext35">
    <w:name w:val="Základní text (35)_"/>
    <w:link w:val="Zkladntext351"/>
    <w:uiPriority w:val="99"/>
    <w:rsid w:val="00B941CB"/>
    <w:rPr>
      <w:shd w:val="clear" w:color="auto" w:fill="FFFFFF"/>
    </w:rPr>
  </w:style>
  <w:style w:type="paragraph" w:customStyle="1" w:styleId="Zkladntext351">
    <w:name w:val="Základní text (35)1"/>
    <w:basedOn w:val="Normln"/>
    <w:link w:val="Zkladntext35"/>
    <w:uiPriority w:val="99"/>
    <w:rsid w:val="00B941CB"/>
    <w:pPr>
      <w:shd w:val="clear" w:color="auto" w:fill="FFFFFF"/>
      <w:spacing w:before="300" w:after="300" w:line="256" w:lineRule="exact"/>
      <w:ind w:hanging="180"/>
      <w:jc w:val="right"/>
    </w:pPr>
    <w:rPr>
      <w:rFonts w:ascii="Times New Roman" w:eastAsia="Times New Roman" w:hAnsi="Times New Roman"/>
      <w:sz w:val="20"/>
      <w:lang w:val="x-none" w:eastAsia="x-none"/>
    </w:rPr>
  </w:style>
  <w:style w:type="character" w:customStyle="1" w:styleId="Zkladntext350">
    <w:name w:val="Základní text (35)"/>
    <w:uiPriority w:val="99"/>
    <w:rsid w:val="00B941CB"/>
    <w:rPr>
      <w:shd w:val="clear" w:color="auto" w:fill="FFFFFF"/>
    </w:rPr>
  </w:style>
  <w:style w:type="character" w:customStyle="1" w:styleId="Zkladntext35dkovn-1pt">
    <w:name w:val="Základní text (35) + Řádkování -1 pt"/>
    <w:uiPriority w:val="99"/>
    <w:rsid w:val="00B941CB"/>
    <w:rPr>
      <w:spacing w:val="-20"/>
      <w:shd w:val="clear" w:color="auto" w:fill="FFFFFF"/>
    </w:rPr>
  </w:style>
  <w:style w:type="character" w:customStyle="1" w:styleId="Zkladntext357">
    <w:name w:val="Základní text (35) + 7"/>
    <w:aliases w:val="5 pt191"/>
    <w:uiPriority w:val="99"/>
    <w:rsid w:val="00B941CB"/>
    <w:rPr>
      <w:sz w:val="15"/>
      <w:szCs w:val="15"/>
      <w:shd w:val="clear" w:color="auto" w:fill="FFFFFF"/>
    </w:rPr>
  </w:style>
  <w:style w:type="character" w:customStyle="1" w:styleId="Zkladntext399pt7">
    <w:name w:val="Základní text (39) + 9 pt7"/>
    <w:aliases w:val="Malá písmena95"/>
    <w:uiPriority w:val="99"/>
    <w:rsid w:val="007B14BF"/>
    <w:rPr>
      <w:rFonts w:ascii="Times New Roman" w:hAnsi="Times New Roman" w:cs="Times New Roman"/>
      <w:smallCaps/>
      <w:spacing w:val="0"/>
      <w:sz w:val="18"/>
      <w:szCs w:val="18"/>
    </w:rPr>
  </w:style>
  <w:style w:type="character" w:customStyle="1" w:styleId="Zkladntext39Constantia5">
    <w:name w:val="Základní text (39) + Constantia5"/>
    <w:aliases w:val="8 pt8"/>
    <w:uiPriority w:val="99"/>
    <w:rsid w:val="007B14BF"/>
    <w:rPr>
      <w:rFonts w:ascii="Constantia" w:hAnsi="Constantia" w:cs="Constantia"/>
      <w:spacing w:val="0"/>
      <w:sz w:val="16"/>
      <w:szCs w:val="16"/>
    </w:rPr>
  </w:style>
  <w:style w:type="character" w:customStyle="1" w:styleId="Zkladntext39pt">
    <w:name w:val="Základní text (3) + 9 pt"/>
    <w:aliases w:val="Malá písmena248"/>
    <w:uiPriority w:val="99"/>
    <w:rsid w:val="00897F5C"/>
    <w:rPr>
      <w:rFonts w:ascii="Times New Roman" w:eastAsia="Calibri" w:hAnsi="Times New Roman" w:cs="Times New Roman"/>
      <w:b w:val="0"/>
      <w:bCs w:val="0"/>
      <w:i w:val="0"/>
      <w:iCs w:val="0"/>
      <w:smallCaps/>
      <w:strike w:val="0"/>
      <w:spacing w:val="0"/>
      <w:sz w:val="18"/>
      <w:szCs w:val="18"/>
      <w:u w:val="none"/>
      <w:lang w:val="de-DE" w:eastAsia="de-DE"/>
    </w:rPr>
  </w:style>
  <w:style w:type="character" w:customStyle="1" w:styleId="Zkladntext36">
    <w:name w:val="Základní text (3)6"/>
    <w:uiPriority w:val="99"/>
    <w:rsid w:val="00897F5C"/>
    <w:rPr>
      <w:rFonts w:ascii="Times New Roman" w:eastAsia="Calibri" w:hAnsi="Times New Roman" w:cs="Times New Roman"/>
      <w:b w:val="0"/>
      <w:bCs w:val="0"/>
      <w:i w:val="0"/>
      <w:iCs w:val="0"/>
      <w:smallCaps w:val="0"/>
      <w:strike w:val="0"/>
      <w:spacing w:val="0"/>
      <w:sz w:val="20"/>
      <w:szCs w:val="20"/>
      <w:u w:val="none"/>
      <w:lang w:val="fr-FR" w:eastAsia="fr-FR"/>
    </w:rPr>
  </w:style>
  <w:style w:type="character" w:customStyle="1" w:styleId="Zkladntext392">
    <w:name w:val="Základní text (3) + 92"/>
    <w:aliases w:val="5 pt202,Kurzíva46"/>
    <w:uiPriority w:val="99"/>
    <w:rsid w:val="00897F5C"/>
    <w:rPr>
      <w:rFonts w:ascii="Times New Roman" w:eastAsia="Calibri" w:hAnsi="Times New Roman" w:cs="Times New Roman"/>
      <w:b w:val="0"/>
      <w:bCs w:val="0"/>
      <w:i/>
      <w:iCs/>
      <w:smallCaps w:val="0"/>
      <w:strike w:val="0"/>
      <w:spacing w:val="0"/>
      <w:sz w:val="19"/>
      <w:szCs w:val="19"/>
      <w:u w:val="none"/>
      <w:lang w:val="fr-FR" w:eastAsia="fr-FR"/>
    </w:rPr>
  </w:style>
  <w:style w:type="character" w:customStyle="1" w:styleId="Zkladntext331">
    <w:name w:val="Základní text (3)3"/>
    <w:uiPriority w:val="99"/>
    <w:rsid w:val="00396FE3"/>
    <w:rPr>
      <w:rFonts w:ascii="Times New Roman" w:eastAsia="Calibri" w:hAnsi="Times New Roman" w:cs="Times New Roman"/>
      <w:b w:val="0"/>
      <w:bCs w:val="0"/>
      <w:i w:val="0"/>
      <w:iCs w:val="0"/>
      <w:smallCaps w:val="0"/>
      <w:strike w:val="0"/>
      <w:spacing w:val="0"/>
      <w:sz w:val="20"/>
      <w:szCs w:val="20"/>
      <w:u w:val="none"/>
      <w:lang w:val="de-DE" w:eastAsia="de-DE"/>
    </w:rPr>
  </w:style>
  <w:style w:type="character" w:customStyle="1" w:styleId="Zkladntext391">
    <w:name w:val="Základní text (3) + 91"/>
    <w:aliases w:val="5 pt198,Kurzíva44"/>
    <w:uiPriority w:val="99"/>
    <w:rsid w:val="00396FE3"/>
    <w:rPr>
      <w:rFonts w:ascii="Times New Roman" w:eastAsia="Calibri" w:hAnsi="Times New Roman" w:cs="Times New Roman"/>
      <w:b w:val="0"/>
      <w:bCs w:val="0"/>
      <w:i/>
      <w:iCs/>
      <w:smallCaps w:val="0"/>
      <w:strike w:val="0"/>
      <w:spacing w:val="0"/>
      <w:sz w:val="19"/>
      <w:szCs w:val="19"/>
      <w:u w:val="none"/>
      <w:lang w:val="de-DE" w:eastAsia="de-DE"/>
    </w:rPr>
  </w:style>
  <w:style w:type="character" w:customStyle="1" w:styleId="Zkladntext390">
    <w:name w:val="Základní text (39)_"/>
    <w:link w:val="Zkladntext393"/>
    <w:uiPriority w:val="99"/>
    <w:rsid w:val="00CE3919"/>
    <w:rPr>
      <w:shd w:val="clear" w:color="auto" w:fill="FFFFFF"/>
    </w:rPr>
  </w:style>
  <w:style w:type="paragraph" w:customStyle="1" w:styleId="Zkladntext393">
    <w:name w:val="Základní text (39)"/>
    <w:basedOn w:val="Normln"/>
    <w:link w:val="Zkladntext390"/>
    <w:uiPriority w:val="99"/>
    <w:rsid w:val="00CE3919"/>
    <w:pPr>
      <w:shd w:val="clear" w:color="auto" w:fill="FFFFFF"/>
      <w:spacing w:line="256" w:lineRule="exact"/>
      <w:ind w:hanging="700"/>
      <w:jc w:val="left"/>
    </w:pPr>
    <w:rPr>
      <w:rFonts w:ascii="Times New Roman" w:eastAsia="Times New Roman" w:hAnsi="Times New Roman"/>
      <w:sz w:val="20"/>
      <w:lang w:val="x-none" w:eastAsia="x-none"/>
    </w:rPr>
  </w:style>
  <w:style w:type="character" w:customStyle="1" w:styleId="Zkladntext3951">
    <w:name w:val="Základní text (39) + 51"/>
    <w:aliases w:val="5 pt182"/>
    <w:uiPriority w:val="99"/>
    <w:rsid w:val="00CE3919"/>
    <w:rPr>
      <w:sz w:val="11"/>
      <w:szCs w:val="11"/>
      <w:shd w:val="clear" w:color="auto" w:fill="FFFFFF"/>
    </w:rPr>
  </w:style>
  <w:style w:type="character" w:customStyle="1" w:styleId="Zkladntext399pt6">
    <w:name w:val="Základní text (39) + 9 pt6"/>
    <w:aliases w:val="Malá písmena94"/>
    <w:uiPriority w:val="99"/>
    <w:rsid w:val="00CE3919"/>
    <w:rPr>
      <w:rFonts w:ascii="Times New Roman" w:hAnsi="Times New Roman" w:cs="Times New Roman"/>
      <w:smallCaps/>
      <w:spacing w:val="0"/>
      <w:sz w:val="18"/>
      <w:szCs w:val="18"/>
      <w:shd w:val="clear" w:color="auto" w:fill="FFFFFF"/>
    </w:rPr>
  </w:style>
  <w:style w:type="character" w:customStyle="1" w:styleId="Zkladntext39Kurzva">
    <w:name w:val="Základní text (39) + Kurzíva"/>
    <w:uiPriority w:val="99"/>
    <w:rsid w:val="0065095C"/>
    <w:rPr>
      <w:rFonts w:ascii="Times New Roman" w:hAnsi="Times New Roman" w:cs="Times New Roman"/>
      <w:i/>
      <w:iCs/>
      <w:spacing w:val="0"/>
      <w:sz w:val="20"/>
      <w:szCs w:val="20"/>
      <w:shd w:val="clear" w:color="auto" w:fill="FFFFFF"/>
    </w:rPr>
  </w:style>
  <w:style w:type="character" w:customStyle="1" w:styleId="Zkladntext399pt5">
    <w:name w:val="Základní text (39) + 9 pt5"/>
    <w:aliases w:val="Malá písmena93"/>
    <w:uiPriority w:val="99"/>
    <w:rsid w:val="005470B8"/>
    <w:rPr>
      <w:rFonts w:ascii="Times New Roman" w:hAnsi="Times New Roman" w:cs="Times New Roman"/>
      <w:smallCaps/>
      <w:spacing w:val="0"/>
      <w:sz w:val="18"/>
      <w:szCs w:val="18"/>
      <w:shd w:val="clear" w:color="auto" w:fill="FFFFFF"/>
    </w:rPr>
  </w:style>
  <w:style w:type="character" w:customStyle="1" w:styleId="Zkladntext39Constantia4">
    <w:name w:val="Základní text (39) + Constantia4"/>
    <w:aliases w:val="8 pt6"/>
    <w:uiPriority w:val="99"/>
    <w:rsid w:val="0064573B"/>
    <w:rPr>
      <w:rFonts w:ascii="Constantia" w:hAnsi="Constantia" w:cs="Constantia"/>
      <w:spacing w:val="0"/>
      <w:sz w:val="16"/>
      <w:szCs w:val="16"/>
      <w:shd w:val="clear" w:color="auto" w:fill="FFFFFF"/>
      <w:lang w:val="cs-CZ" w:eastAsia="cs-CZ"/>
    </w:rPr>
  </w:style>
  <w:style w:type="character" w:customStyle="1" w:styleId="Zkladntext399pt3">
    <w:name w:val="Základní text (39) + 9 pt3"/>
    <w:aliases w:val="Malá písmena89"/>
    <w:uiPriority w:val="99"/>
    <w:rsid w:val="000A76A7"/>
    <w:rPr>
      <w:rFonts w:ascii="Times New Roman" w:hAnsi="Times New Roman" w:cs="Times New Roman"/>
      <w:smallCaps/>
      <w:spacing w:val="0"/>
      <w:sz w:val="18"/>
      <w:szCs w:val="18"/>
      <w:shd w:val="clear" w:color="auto" w:fill="FFFFFF"/>
      <w:lang w:val="cs-CZ" w:eastAsia="cs-CZ"/>
    </w:rPr>
  </w:style>
  <w:style w:type="character" w:customStyle="1" w:styleId="Zkladntext399pt2">
    <w:name w:val="Základní text (39) + 9 pt2"/>
    <w:uiPriority w:val="99"/>
    <w:rsid w:val="000A76A7"/>
    <w:rPr>
      <w:rFonts w:ascii="Times New Roman" w:hAnsi="Times New Roman" w:cs="Times New Roman"/>
      <w:spacing w:val="0"/>
      <w:sz w:val="18"/>
      <w:szCs w:val="18"/>
      <w:shd w:val="clear" w:color="auto" w:fill="FFFFFF"/>
    </w:rPr>
  </w:style>
  <w:style w:type="character" w:customStyle="1" w:styleId="Zkladntext399pt4">
    <w:name w:val="Základní text (39) + 9 pt4"/>
    <w:aliases w:val="Malá písmena92"/>
    <w:uiPriority w:val="99"/>
    <w:rsid w:val="008D60DF"/>
    <w:rPr>
      <w:rFonts w:ascii="Times New Roman" w:hAnsi="Times New Roman" w:cs="Times New Roman"/>
      <w:smallCaps/>
      <w:spacing w:val="0"/>
      <w:sz w:val="18"/>
      <w:szCs w:val="18"/>
      <w:shd w:val="clear" w:color="auto" w:fill="FFFFFF"/>
    </w:rPr>
  </w:style>
  <w:style w:type="character" w:customStyle="1" w:styleId="Zkladntext39dkovn-1pt1">
    <w:name w:val="Základní text (39) + Řádkování -1 pt1"/>
    <w:uiPriority w:val="99"/>
    <w:rsid w:val="00E31B57"/>
    <w:rPr>
      <w:rFonts w:ascii="Times New Roman" w:hAnsi="Times New Roman" w:cs="Times New Roman"/>
      <w:spacing w:val="-20"/>
      <w:sz w:val="20"/>
      <w:szCs w:val="20"/>
      <w:shd w:val="clear" w:color="auto" w:fill="FFFFFF"/>
    </w:rPr>
  </w:style>
  <w:style w:type="character" w:customStyle="1" w:styleId="Zkladntext39Constantia2">
    <w:name w:val="Základní text (39) + Constantia2"/>
    <w:aliases w:val="510,5 pt172"/>
    <w:uiPriority w:val="99"/>
    <w:rsid w:val="00E31B57"/>
    <w:rPr>
      <w:rFonts w:ascii="Constantia" w:hAnsi="Constantia" w:cs="Constantia"/>
      <w:spacing w:val="0"/>
      <w:sz w:val="11"/>
      <w:szCs w:val="11"/>
      <w:shd w:val="clear" w:color="auto" w:fill="FFFFFF"/>
    </w:rPr>
  </w:style>
  <w:style w:type="character" w:customStyle="1" w:styleId="Zkladntext399pt1">
    <w:name w:val="Základní text (39) + 9 pt1"/>
    <w:aliases w:val="Malá písmena88"/>
    <w:uiPriority w:val="99"/>
    <w:rsid w:val="002A35E0"/>
    <w:rPr>
      <w:rFonts w:ascii="Times New Roman" w:hAnsi="Times New Roman" w:cs="Times New Roman"/>
      <w:smallCaps/>
      <w:spacing w:val="0"/>
      <w:sz w:val="18"/>
      <w:szCs w:val="18"/>
      <w:shd w:val="clear" w:color="auto" w:fill="FFFFFF"/>
    </w:rPr>
  </w:style>
  <w:style w:type="character" w:customStyle="1" w:styleId="Zkladntext3971">
    <w:name w:val="Základní text (39) + 71"/>
    <w:aliases w:val="5 pt169"/>
    <w:uiPriority w:val="99"/>
    <w:rsid w:val="008C35EB"/>
    <w:rPr>
      <w:rFonts w:ascii="Times New Roman" w:hAnsi="Times New Roman" w:cs="Times New Roman"/>
      <w:spacing w:val="0"/>
      <w:sz w:val="15"/>
      <w:szCs w:val="15"/>
      <w:shd w:val="clear" w:color="auto" w:fill="FFFFFF"/>
    </w:rPr>
  </w:style>
  <w:style w:type="character" w:customStyle="1" w:styleId="Zkladntext41">
    <w:name w:val="Základní text (41)_"/>
    <w:link w:val="Zkladntext410"/>
    <w:uiPriority w:val="99"/>
    <w:rsid w:val="00E84291"/>
    <w:rPr>
      <w:sz w:val="19"/>
      <w:szCs w:val="19"/>
      <w:shd w:val="clear" w:color="auto" w:fill="FFFFFF"/>
    </w:rPr>
  </w:style>
  <w:style w:type="paragraph" w:customStyle="1" w:styleId="Zkladntext410">
    <w:name w:val="Základní text (41)"/>
    <w:basedOn w:val="Normln"/>
    <w:link w:val="Zkladntext41"/>
    <w:uiPriority w:val="99"/>
    <w:rsid w:val="00E84291"/>
    <w:pPr>
      <w:shd w:val="clear" w:color="auto" w:fill="FFFFFF"/>
      <w:spacing w:line="256" w:lineRule="exact"/>
      <w:jc w:val="left"/>
    </w:pPr>
    <w:rPr>
      <w:rFonts w:ascii="Times New Roman" w:eastAsia="Times New Roman" w:hAnsi="Times New Roman"/>
      <w:sz w:val="19"/>
      <w:szCs w:val="19"/>
      <w:lang w:val="x-none" w:eastAsia="x-none"/>
    </w:rPr>
  </w:style>
  <w:style w:type="character" w:customStyle="1" w:styleId="Zkladntext419pt4">
    <w:name w:val="Základní text (41) + 9 pt4"/>
    <w:aliases w:val="Malá písmena87"/>
    <w:uiPriority w:val="99"/>
    <w:rsid w:val="00E84291"/>
    <w:rPr>
      <w:smallCaps/>
      <w:sz w:val="18"/>
      <w:szCs w:val="18"/>
      <w:shd w:val="clear" w:color="auto" w:fill="FFFFFF"/>
    </w:rPr>
  </w:style>
  <w:style w:type="paragraph" w:styleId="Pedmtkomente">
    <w:name w:val="annotation subject"/>
    <w:basedOn w:val="Textkomente"/>
    <w:next w:val="Textkomente"/>
    <w:link w:val="PedmtkomenteChar"/>
    <w:uiPriority w:val="99"/>
    <w:unhideWhenUsed/>
    <w:rsid w:val="00682109"/>
    <w:rPr>
      <w:b/>
      <w:bCs/>
    </w:rPr>
  </w:style>
  <w:style w:type="character" w:customStyle="1" w:styleId="PedmtkomenteChar">
    <w:name w:val="Předmět komentáře Char"/>
    <w:link w:val="Pedmtkomente"/>
    <w:uiPriority w:val="99"/>
    <w:rsid w:val="00682109"/>
    <w:rPr>
      <w:rFonts w:ascii="Calibri" w:eastAsia="Times" w:hAnsi="Calibri"/>
      <w:b/>
      <w:bCs/>
    </w:rPr>
  </w:style>
  <w:style w:type="character" w:customStyle="1" w:styleId="Zkladntext42">
    <w:name w:val="Základní text (42)_"/>
    <w:link w:val="Zkladntext420"/>
    <w:uiPriority w:val="99"/>
    <w:rsid w:val="00837A88"/>
    <w:rPr>
      <w:sz w:val="18"/>
      <w:szCs w:val="18"/>
      <w:shd w:val="clear" w:color="auto" w:fill="FFFFFF"/>
    </w:rPr>
  </w:style>
  <w:style w:type="paragraph" w:customStyle="1" w:styleId="Zkladntext420">
    <w:name w:val="Základní text (42)"/>
    <w:basedOn w:val="Normln"/>
    <w:link w:val="Zkladntext42"/>
    <w:uiPriority w:val="99"/>
    <w:rsid w:val="00837A88"/>
    <w:pPr>
      <w:shd w:val="clear" w:color="auto" w:fill="FFFFFF"/>
      <w:spacing w:before="360" w:line="256" w:lineRule="exact"/>
      <w:ind w:hanging="180"/>
      <w:jc w:val="left"/>
    </w:pPr>
    <w:rPr>
      <w:rFonts w:ascii="Times New Roman" w:eastAsia="Times New Roman" w:hAnsi="Times New Roman"/>
      <w:sz w:val="18"/>
      <w:szCs w:val="18"/>
      <w:lang w:val="x-none" w:eastAsia="x-none"/>
    </w:rPr>
  </w:style>
  <w:style w:type="character" w:customStyle="1" w:styleId="Zkladntext428">
    <w:name w:val="Základní text (42) + 8"/>
    <w:aliases w:val="5 pt179"/>
    <w:uiPriority w:val="99"/>
    <w:rsid w:val="00974BF9"/>
    <w:rPr>
      <w:rFonts w:ascii="Times New Roman" w:hAnsi="Times New Roman" w:cs="Times New Roman"/>
      <w:spacing w:val="0"/>
      <w:sz w:val="17"/>
      <w:szCs w:val="17"/>
      <w:shd w:val="clear" w:color="auto" w:fill="FFFFFF"/>
    </w:rPr>
  </w:style>
  <w:style w:type="character" w:customStyle="1" w:styleId="Zkladntext427">
    <w:name w:val="Základní text (42) + 7"/>
    <w:aliases w:val="5 pt166"/>
    <w:uiPriority w:val="99"/>
    <w:rsid w:val="00974BF9"/>
    <w:rPr>
      <w:rFonts w:ascii="Times New Roman" w:hAnsi="Times New Roman" w:cs="Times New Roman"/>
      <w:spacing w:val="0"/>
      <w:sz w:val="15"/>
      <w:szCs w:val="15"/>
      <w:shd w:val="clear" w:color="auto" w:fill="FFFFFF"/>
    </w:rPr>
  </w:style>
  <w:style w:type="character" w:customStyle="1" w:styleId="Zkladntext42Malpsmena">
    <w:name w:val="Základní text (42) + Malá písmena"/>
    <w:uiPriority w:val="99"/>
    <w:rsid w:val="00974BF9"/>
    <w:rPr>
      <w:rFonts w:ascii="Times New Roman" w:hAnsi="Times New Roman" w:cs="Times New Roman"/>
      <w:smallCaps/>
      <w:spacing w:val="0"/>
      <w:sz w:val="18"/>
      <w:szCs w:val="18"/>
      <w:shd w:val="clear" w:color="auto" w:fill="FFFFFF"/>
    </w:rPr>
  </w:style>
  <w:style w:type="character" w:customStyle="1" w:styleId="Zkladntext429">
    <w:name w:val="Základní text (42) + 9"/>
    <w:aliases w:val="5 pt165,Kurzíva36"/>
    <w:uiPriority w:val="99"/>
    <w:rsid w:val="00974BF9"/>
    <w:rPr>
      <w:rFonts w:ascii="Times New Roman" w:hAnsi="Times New Roman" w:cs="Times New Roman"/>
      <w:i/>
      <w:iCs/>
      <w:spacing w:val="0"/>
      <w:sz w:val="19"/>
      <w:szCs w:val="19"/>
      <w:shd w:val="clear" w:color="auto" w:fill="FFFFFF"/>
    </w:rPr>
  </w:style>
  <w:style w:type="character" w:customStyle="1" w:styleId="Zkladntext419pt3">
    <w:name w:val="Základní text (41) + 9 pt3"/>
    <w:aliases w:val="Malá písmena86"/>
    <w:uiPriority w:val="99"/>
    <w:rsid w:val="001C6307"/>
    <w:rPr>
      <w:rFonts w:ascii="Times New Roman" w:hAnsi="Times New Roman" w:cs="Times New Roman"/>
      <w:smallCaps/>
      <w:spacing w:val="0"/>
      <w:sz w:val="18"/>
      <w:szCs w:val="18"/>
      <w:shd w:val="clear" w:color="auto" w:fill="FFFFFF"/>
    </w:rPr>
  </w:style>
  <w:style w:type="character" w:customStyle="1" w:styleId="Zkladntext417pt">
    <w:name w:val="Základní text (41) + 7 pt"/>
    <w:aliases w:val="Malá písmena85"/>
    <w:uiPriority w:val="99"/>
    <w:rsid w:val="001C6307"/>
    <w:rPr>
      <w:rFonts w:ascii="Times New Roman" w:hAnsi="Times New Roman" w:cs="Times New Roman"/>
      <w:smallCaps/>
      <w:spacing w:val="0"/>
      <w:sz w:val="14"/>
      <w:szCs w:val="14"/>
      <w:shd w:val="clear" w:color="auto" w:fill="FFFFFF"/>
    </w:rPr>
  </w:style>
  <w:style w:type="character" w:customStyle="1" w:styleId="Zkladntext41Kurzva3">
    <w:name w:val="Základní text (41) + Kurzíva3"/>
    <w:uiPriority w:val="99"/>
    <w:rsid w:val="001C6307"/>
    <w:rPr>
      <w:rFonts w:ascii="Times New Roman" w:hAnsi="Times New Roman" w:cs="Times New Roman"/>
      <w:i/>
      <w:iCs/>
      <w:spacing w:val="0"/>
      <w:sz w:val="19"/>
      <w:szCs w:val="19"/>
      <w:shd w:val="clear" w:color="auto" w:fill="FFFFFF"/>
    </w:rPr>
  </w:style>
  <w:style w:type="character" w:customStyle="1" w:styleId="Zkladntext517">
    <w:name w:val="Základní text (51)7"/>
    <w:uiPriority w:val="99"/>
    <w:rsid w:val="00F73265"/>
    <w:rPr>
      <w:rFonts w:ascii="Constantia" w:hAnsi="Constantia" w:cs="Constantia"/>
      <w:spacing w:val="0"/>
      <w:sz w:val="16"/>
      <w:szCs w:val="16"/>
    </w:rPr>
  </w:style>
  <w:style w:type="character" w:customStyle="1" w:styleId="Zkladntext51TimesNewRoman15">
    <w:name w:val="Základní text (51) + Times New Roman15"/>
    <w:aliases w:val="9 pt8,Malá písmena59"/>
    <w:uiPriority w:val="99"/>
    <w:rsid w:val="00F73265"/>
    <w:rPr>
      <w:rFonts w:ascii="Times New Roman" w:hAnsi="Times New Roman" w:cs="Times New Roman"/>
      <w:smallCaps/>
      <w:spacing w:val="0"/>
      <w:sz w:val="18"/>
      <w:szCs w:val="18"/>
    </w:rPr>
  </w:style>
  <w:style w:type="character" w:customStyle="1" w:styleId="Zkladntext51TimesNewRoman14">
    <w:name w:val="Základní text (51) + Times New Roman14"/>
    <w:aliases w:val="54,5 pt104"/>
    <w:uiPriority w:val="99"/>
    <w:rsid w:val="00F73265"/>
    <w:rPr>
      <w:rFonts w:ascii="Times New Roman" w:hAnsi="Times New Roman" w:cs="Times New Roman"/>
      <w:spacing w:val="0"/>
      <w:sz w:val="11"/>
      <w:szCs w:val="11"/>
      <w:lang w:val="cs-CZ" w:eastAsia="cs-CZ"/>
    </w:rPr>
  </w:style>
  <w:style w:type="character" w:customStyle="1" w:styleId="Zkladntext515">
    <w:name w:val="Základní text (51)5"/>
    <w:uiPriority w:val="99"/>
    <w:rsid w:val="00CB56CB"/>
    <w:rPr>
      <w:rFonts w:ascii="Constantia" w:hAnsi="Constantia" w:cs="Constantia"/>
      <w:spacing w:val="0"/>
      <w:sz w:val="16"/>
      <w:szCs w:val="16"/>
    </w:rPr>
  </w:style>
  <w:style w:type="character" w:customStyle="1" w:styleId="Zkladntext5161">
    <w:name w:val="Základní text (51) + 61"/>
    <w:aliases w:val="5 pt100"/>
    <w:uiPriority w:val="99"/>
    <w:rsid w:val="00CB56CB"/>
    <w:rPr>
      <w:rFonts w:ascii="Constantia" w:hAnsi="Constantia" w:cs="Constantia"/>
      <w:spacing w:val="0"/>
      <w:sz w:val="13"/>
      <w:szCs w:val="13"/>
      <w:lang w:val="cs-CZ" w:eastAsia="cs-CZ"/>
    </w:rPr>
  </w:style>
  <w:style w:type="character" w:customStyle="1" w:styleId="Zkladntext51TimesNewRoman9">
    <w:name w:val="Základní text (51) + Times New Roman9"/>
    <w:aliases w:val="9 pt6,Malá písmena56"/>
    <w:uiPriority w:val="99"/>
    <w:rsid w:val="00CB56CB"/>
    <w:rPr>
      <w:rFonts w:ascii="Times New Roman" w:hAnsi="Times New Roman" w:cs="Times New Roman"/>
      <w:smallCaps/>
      <w:spacing w:val="0"/>
      <w:sz w:val="18"/>
      <w:szCs w:val="18"/>
    </w:rPr>
  </w:style>
  <w:style w:type="character" w:customStyle="1" w:styleId="Zkladntext489pt5">
    <w:name w:val="Základní text (48) + 9 pt5"/>
    <w:aliases w:val="Malá písmena73"/>
    <w:uiPriority w:val="99"/>
    <w:rsid w:val="00A81579"/>
    <w:rPr>
      <w:rFonts w:ascii="Times New Roman" w:hAnsi="Times New Roman" w:cs="Times New Roman"/>
      <w:smallCaps/>
      <w:spacing w:val="0"/>
      <w:sz w:val="18"/>
      <w:szCs w:val="18"/>
      <w:lang w:val="de-DE" w:eastAsia="de-DE"/>
    </w:rPr>
  </w:style>
  <w:style w:type="character" w:customStyle="1" w:styleId="Zkladntext48Constantia">
    <w:name w:val="Základní text (48) + Constantia"/>
    <w:aliases w:val="57,5 pt136"/>
    <w:uiPriority w:val="99"/>
    <w:rsid w:val="00A81579"/>
    <w:rPr>
      <w:rFonts w:ascii="Constantia" w:hAnsi="Constantia" w:cs="Constantia"/>
      <w:spacing w:val="0"/>
      <w:sz w:val="11"/>
      <w:szCs w:val="11"/>
    </w:rPr>
  </w:style>
  <w:style w:type="character" w:customStyle="1" w:styleId="Zkladntext4873">
    <w:name w:val="Základní text (48) + 73"/>
    <w:aliases w:val="5 pt135,Řádkování -1 pt9"/>
    <w:uiPriority w:val="99"/>
    <w:rsid w:val="00A81579"/>
    <w:rPr>
      <w:rFonts w:ascii="Times New Roman" w:hAnsi="Times New Roman" w:cs="Times New Roman"/>
      <w:spacing w:val="-20"/>
      <w:sz w:val="15"/>
      <w:szCs w:val="15"/>
    </w:rPr>
  </w:style>
  <w:style w:type="character" w:customStyle="1" w:styleId="aur">
    <w:name w:val="aur"/>
    <w:basedOn w:val="Standardnpsmoodstavce"/>
    <w:rsid w:val="00B11A43"/>
  </w:style>
  <w:style w:type="paragraph" w:styleId="Zkladntext22">
    <w:name w:val="Body Text 2"/>
    <w:basedOn w:val="Normln"/>
    <w:link w:val="Zkladntext2Char"/>
    <w:uiPriority w:val="99"/>
    <w:semiHidden/>
    <w:unhideWhenUsed/>
    <w:rsid w:val="00944007"/>
    <w:pPr>
      <w:spacing w:after="120" w:line="480" w:lineRule="auto"/>
    </w:pPr>
    <w:rPr>
      <w:lang w:val="x-none" w:eastAsia="x-none"/>
    </w:rPr>
  </w:style>
  <w:style w:type="character" w:customStyle="1" w:styleId="Zkladntext2Char">
    <w:name w:val="Základní text 2 Char"/>
    <w:link w:val="Zkladntext22"/>
    <w:uiPriority w:val="99"/>
    <w:semiHidden/>
    <w:rsid w:val="00944007"/>
    <w:rPr>
      <w:rFonts w:ascii="Calibri" w:eastAsia="Times" w:hAnsi="Calibri"/>
      <w:sz w:val="24"/>
    </w:rPr>
  </w:style>
  <w:style w:type="character" w:customStyle="1" w:styleId="auv">
    <w:name w:val="auv"/>
    <w:basedOn w:val="Standardnpsmoodstavce"/>
    <w:rsid w:val="002F4C66"/>
  </w:style>
  <w:style w:type="character" w:customStyle="1" w:styleId="aul">
    <w:name w:val="aul"/>
    <w:basedOn w:val="Standardnpsmoodstavce"/>
    <w:rsid w:val="002F4C66"/>
  </w:style>
  <w:style w:type="character" w:customStyle="1" w:styleId="Zkladntext225">
    <w:name w:val="Základní text (22) + 5"/>
    <w:aliases w:val="5 pt287"/>
    <w:uiPriority w:val="99"/>
    <w:rsid w:val="004B04A0"/>
    <w:rPr>
      <w:rFonts w:ascii="Times New Roman" w:hAnsi="Times New Roman" w:cs="Times New Roman"/>
      <w:spacing w:val="0"/>
      <w:sz w:val="11"/>
      <w:szCs w:val="11"/>
      <w:lang w:val="de-DE" w:eastAsia="de-DE"/>
    </w:rPr>
  </w:style>
  <w:style w:type="character" w:customStyle="1" w:styleId="Zkladntext9ptdkovn0pt">
    <w:name w:val="Základní text + 9 pt;Řádkování 0 pt"/>
    <w:rsid w:val="00727AFD"/>
    <w:rPr>
      <w:rFonts w:ascii="Times New Roman" w:eastAsia="Times New Roman" w:hAnsi="Times New Roman" w:cs="Times New Roman"/>
      <w:b w:val="0"/>
      <w:bCs w:val="0"/>
      <w:i w:val="0"/>
      <w:iCs w:val="0"/>
      <w:smallCaps w:val="0"/>
      <w:strike w:val="0"/>
      <w:color w:val="000000"/>
      <w:spacing w:val="8"/>
      <w:w w:val="100"/>
      <w:position w:val="0"/>
      <w:sz w:val="18"/>
      <w:szCs w:val="18"/>
      <w:u w:val="none"/>
      <w:shd w:val="clear" w:color="auto" w:fill="FFFFFF"/>
      <w:lang w:val="en-US"/>
    </w:rPr>
  </w:style>
  <w:style w:type="character" w:customStyle="1" w:styleId="Zkladntext33BookmanOldStyle65ptdkovn0pt">
    <w:name w:val="Základní text (33) + Bookman Old Style;6;5 pt;Řádkování 0 pt"/>
    <w:rsid w:val="00B43AA0"/>
    <w:rPr>
      <w:rFonts w:ascii="Bookman Old Style" w:eastAsia="Bookman Old Style" w:hAnsi="Bookman Old Style" w:cs="Bookman Old Style"/>
      <w:b w:val="0"/>
      <w:bCs w:val="0"/>
      <w:i w:val="0"/>
      <w:iCs w:val="0"/>
      <w:smallCaps w:val="0"/>
      <w:strike w:val="0"/>
      <w:color w:val="000000"/>
      <w:spacing w:val="-6"/>
      <w:w w:val="100"/>
      <w:position w:val="0"/>
      <w:sz w:val="13"/>
      <w:szCs w:val="13"/>
      <w:u w:val="none"/>
      <w:shd w:val="clear" w:color="auto" w:fill="FFFFFF"/>
    </w:rPr>
  </w:style>
  <w:style w:type="character" w:customStyle="1" w:styleId="Poznmkapodarou47ptKurzva">
    <w:name w:val="Poznámka pod čarou (4) + 7 pt;Kurzíva"/>
    <w:rsid w:val="007B4A57"/>
    <w:rPr>
      <w:rFonts w:ascii="Times New Roman" w:eastAsia="Times New Roman" w:hAnsi="Times New Roman" w:cs="Times New Roman"/>
      <w:b w:val="0"/>
      <w:bCs w:val="0"/>
      <w:i/>
      <w:iCs/>
      <w:smallCaps w:val="0"/>
      <w:strike w:val="0"/>
      <w:color w:val="000000"/>
      <w:spacing w:val="0"/>
      <w:w w:val="100"/>
      <w:position w:val="0"/>
      <w:sz w:val="14"/>
      <w:szCs w:val="14"/>
      <w:u w:val="none"/>
      <w:lang w:val="en-US"/>
    </w:rPr>
  </w:style>
  <w:style w:type="character" w:customStyle="1" w:styleId="Zkladntext7ptTun">
    <w:name w:val="Základní text + 7 pt;Tučné"/>
    <w:rsid w:val="007B4A57"/>
    <w:rPr>
      <w:rFonts w:ascii="Times New Roman" w:eastAsia="Times New Roman" w:hAnsi="Times New Roman" w:cs="Times New Roman"/>
      <w:b/>
      <w:bCs/>
      <w:i w:val="0"/>
      <w:iCs w:val="0"/>
      <w:smallCaps w:val="0"/>
      <w:strike w:val="0"/>
      <w:color w:val="000000"/>
      <w:spacing w:val="10"/>
      <w:w w:val="100"/>
      <w:position w:val="0"/>
      <w:sz w:val="14"/>
      <w:szCs w:val="14"/>
      <w:u w:val="none"/>
      <w:shd w:val="clear" w:color="auto" w:fill="FFFFFF"/>
      <w:lang w:val="en-US"/>
    </w:rPr>
  </w:style>
  <w:style w:type="paragraph" w:customStyle="1" w:styleId="Zkladntext51">
    <w:name w:val="Základní text5"/>
    <w:basedOn w:val="Normln"/>
    <w:rsid w:val="007B4A57"/>
    <w:pPr>
      <w:widowControl w:val="0"/>
      <w:shd w:val="clear" w:color="auto" w:fill="FFFFFF"/>
      <w:spacing w:before="300" w:line="0" w:lineRule="atLeast"/>
      <w:ind w:hanging="360"/>
      <w:jc w:val="left"/>
    </w:pPr>
    <w:rPr>
      <w:rFonts w:ascii="Times New Roman" w:eastAsia="Times New Roman" w:hAnsi="Times New Roman"/>
      <w:color w:val="000000"/>
      <w:spacing w:val="10"/>
      <w:sz w:val="17"/>
      <w:szCs w:val="17"/>
      <w:lang w:val="en-US"/>
    </w:rPr>
  </w:style>
  <w:style w:type="character" w:customStyle="1" w:styleId="Zkladntext6pt">
    <w:name w:val="Základní text + 6 pt"/>
    <w:rsid w:val="00455A2D"/>
    <w:rPr>
      <w:rFonts w:ascii="Century Schoolbook" w:eastAsia="Century Schoolbook" w:hAnsi="Century Schoolbook" w:cs="Century Schoolbook"/>
      <w:b w:val="0"/>
      <w:bCs w:val="0"/>
      <w:i w:val="0"/>
      <w:iCs w:val="0"/>
      <w:smallCaps w:val="0"/>
      <w:strike w:val="0"/>
      <w:color w:val="000000"/>
      <w:spacing w:val="0"/>
      <w:w w:val="100"/>
      <w:position w:val="0"/>
      <w:sz w:val="12"/>
      <w:szCs w:val="12"/>
      <w:u w:val="none"/>
      <w:shd w:val="clear" w:color="auto" w:fill="FFFFFF"/>
      <w:lang w:val="en-US"/>
    </w:rPr>
  </w:style>
  <w:style w:type="character" w:customStyle="1" w:styleId="FontStyle94">
    <w:name w:val="Font Style94"/>
    <w:rsid w:val="003B2615"/>
    <w:rPr>
      <w:rFonts w:ascii="Times New Roman" w:hAnsi="Times New Roman" w:cs="Times New Roman"/>
      <w:i/>
      <w:iCs/>
      <w:sz w:val="18"/>
      <w:szCs w:val="18"/>
    </w:rPr>
  </w:style>
  <w:style w:type="character" w:customStyle="1" w:styleId="FontStyle116">
    <w:name w:val="Font Style116"/>
    <w:rsid w:val="003B2615"/>
    <w:rPr>
      <w:rFonts w:ascii="Times New Roman" w:hAnsi="Times New Roman" w:cs="Times New Roman"/>
      <w:sz w:val="18"/>
      <w:szCs w:val="18"/>
    </w:rPr>
  </w:style>
  <w:style w:type="character" w:customStyle="1" w:styleId="FontStyle112">
    <w:name w:val="Font Style112"/>
    <w:rsid w:val="00E661B2"/>
    <w:rPr>
      <w:rFonts w:ascii="Times New Roman" w:hAnsi="Times New Roman" w:cs="Times New Roman"/>
      <w:b/>
      <w:bCs/>
      <w:sz w:val="20"/>
      <w:szCs w:val="20"/>
    </w:rPr>
  </w:style>
  <w:style w:type="character" w:customStyle="1" w:styleId="FontStyle113">
    <w:name w:val="Font Style113"/>
    <w:rsid w:val="00E661B2"/>
    <w:rPr>
      <w:rFonts w:ascii="Times New Roman" w:hAnsi="Times New Roman" w:cs="Times New Roman"/>
      <w:i/>
      <w:iCs/>
      <w:sz w:val="18"/>
      <w:szCs w:val="18"/>
    </w:rPr>
  </w:style>
  <w:style w:type="paragraph" w:customStyle="1" w:styleId="Style23">
    <w:name w:val="Style23"/>
    <w:basedOn w:val="Normln"/>
    <w:rsid w:val="00336E7C"/>
    <w:pPr>
      <w:widowControl w:val="0"/>
      <w:autoSpaceDE w:val="0"/>
      <w:autoSpaceDN w:val="0"/>
      <w:adjustRightInd w:val="0"/>
      <w:spacing w:line="219" w:lineRule="exact"/>
      <w:ind w:firstLine="408"/>
    </w:pPr>
    <w:rPr>
      <w:rFonts w:ascii="Times New Roman" w:eastAsia="Times New Roman" w:hAnsi="Times New Roman"/>
      <w:sz w:val="20"/>
      <w:szCs w:val="24"/>
    </w:rPr>
  </w:style>
  <w:style w:type="paragraph" w:customStyle="1" w:styleId="Style22">
    <w:name w:val="Style22"/>
    <w:basedOn w:val="Normln"/>
    <w:rsid w:val="00305CBA"/>
    <w:pPr>
      <w:widowControl w:val="0"/>
      <w:autoSpaceDE w:val="0"/>
      <w:autoSpaceDN w:val="0"/>
      <w:adjustRightInd w:val="0"/>
      <w:spacing w:line="230" w:lineRule="exact"/>
    </w:pPr>
    <w:rPr>
      <w:rFonts w:ascii="Times New Roman" w:eastAsia="Times New Roman" w:hAnsi="Times New Roman"/>
      <w:sz w:val="20"/>
      <w:szCs w:val="24"/>
    </w:rPr>
  </w:style>
  <w:style w:type="character" w:customStyle="1" w:styleId="meta-key">
    <w:name w:val="meta-key"/>
    <w:basedOn w:val="Standardnpsmoodstavce"/>
    <w:rsid w:val="0043722A"/>
  </w:style>
  <w:style w:type="character" w:customStyle="1" w:styleId="meta-value">
    <w:name w:val="meta-value"/>
    <w:basedOn w:val="Standardnpsmoodstavce"/>
    <w:rsid w:val="0043722A"/>
  </w:style>
  <w:style w:type="character" w:customStyle="1" w:styleId="optionalcoma">
    <w:name w:val="optionalcoma"/>
    <w:basedOn w:val="Standardnpsmoodstavce"/>
    <w:rsid w:val="0043722A"/>
  </w:style>
  <w:style w:type="character" w:customStyle="1" w:styleId="volumeissue">
    <w:name w:val="volumeissue"/>
    <w:basedOn w:val="Standardnpsmoodstavce"/>
    <w:rsid w:val="0043722A"/>
  </w:style>
  <w:style w:type="character" w:customStyle="1" w:styleId="FontStyle127">
    <w:name w:val="Font Style127"/>
    <w:rsid w:val="002C0CE6"/>
    <w:rPr>
      <w:rFonts w:ascii="Times New Roman" w:hAnsi="Times New Roman" w:cs="Times New Roman"/>
      <w:sz w:val="18"/>
      <w:szCs w:val="18"/>
    </w:rPr>
  </w:style>
  <w:style w:type="character" w:customStyle="1" w:styleId="versetext">
    <w:name w:val="versetext"/>
    <w:basedOn w:val="Standardnpsmoodstavce"/>
    <w:rsid w:val="0052424E"/>
  </w:style>
  <w:style w:type="character" w:customStyle="1" w:styleId="Zkladntext6ptdkovn0pt">
    <w:name w:val="Základní text + 6 pt;Řádkování 0 pt"/>
    <w:rsid w:val="00262CF6"/>
    <w:rPr>
      <w:rFonts w:ascii="Times New Roman" w:eastAsia="Times New Roman" w:hAnsi="Times New Roman" w:cs="Times New Roman"/>
      <w:b w:val="0"/>
      <w:bCs w:val="0"/>
      <w:i w:val="0"/>
      <w:iCs w:val="0"/>
      <w:smallCaps w:val="0"/>
      <w:strike w:val="0"/>
      <w:color w:val="000000"/>
      <w:spacing w:val="14"/>
      <w:w w:val="100"/>
      <w:position w:val="0"/>
      <w:sz w:val="12"/>
      <w:szCs w:val="12"/>
      <w:u w:val="none"/>
      <w:shd w:val="clear" w:color="auto" w:fill="FFFFFF"/>
    </w:rPr>
  </w:style>
  <w:style w:type="character" w:customStyle="1" w:styleId="Zkladntext6ptMalpsmenadkovn0pt">
    <w:name w:val="Základní text + 6 pt;Malá písmena;Řádkování 0 pt"/>
    <w:rsid w:val="00262CF6"/>
    <w:rPr>
      <w:rFonts w:ascii="Times New Roman" w:eastAsia="Times New Roman" w:hAnsi="Times New Roman" w:cs="Times New Roman"/>
      <w:b w:val="0"/>
      <w:bCs w:val="0"/>
      <w:i w:val="0"/>
      <w:iCs w:val="0"/>
      <w:smallCaps/>
      <w:strike w:val="0"/>
      <w:color w:val="000000"/>
      <w:spacing w:val="14"/>
      <w:w w:val="100"/>
      <w:position w:val="0"/>
      <w:sz w:val="12"/>
      <w:szCs w:val="12"/>
      <w:u w:val="none"/>
      <w:shd w:val="clear" w:color="auto" w:fill="FFFFFF"/>
    </w:rPr>
  </w:style>
  <w:style w:type="character" w:customStyle="1" w:styleId="style3">
    <w:name w:val="style_3"/>
    <w:basedOn w:val="Standardnpsmoodstavce"/>
    <w:rsid w:val="00E93A06"/>
  </w:style>
  <w:style w:type="character" w:customStyle="1" w:styleId="style4">
    <w:name w:val="style_4"/>
    <w:basedOn w:val="Standardnpsmoodstavce"/>
    <w:rsid w:val="00E93A06"/>
  </w:style>
  <w:style w:type="character" w:customStyle="1" w:styleId="FontStyle136">
    <w:name w:val="Font Style136"/>
    <w:rsid w:val="00F85A0A"/>
    <w:rPr>
      <w:rFonts w:ascii="Times New Roman" w:hAnsi="Times New Roman" w:cs="Times New Roman"/>
      <w:sz w:val="22"/>
      <w:szCs w:val="22"/>
    </w:rPr>
  </w:style>
  <w:style w:type="character" w:customStyle="1" w:styleId="nowrap">
    <w:name w:val="nowrap"/>
    <w:basedOn w:val="Standardnpsmoodstavce"/>
    <w:rsid w:val="00E142A3"/>
  </w:style>
  <w:style w:type="paragraph" w:customStyle="1" w:styleId="Zkladntext151">
    <w:name w:val="Základní text15"/>
    <w:basedOn w:val="Normln"/>
    <w:rsid w:val="00774898"/>
    <w:pPr>
      <w:widowControl w:val="0"/>
      <w:shd w:val="clear" w:color="auto" w:fill="FFFFFF"/>
      <w:spacing w:before="600" w:after="240" w:line="0" w:lineRule="atLeast"/>
      <w:ind w:hanging="740"/>
      <w:jc w:val="center"/>
    </w:pPr>
    <w:rPr>
      <w:rFonts w:ascii="Batang" w:eastAsia="Batang" w:hAnsi="Batang" w:cs="Batang"/>
      <w:color w:val="000000"/>
      <w:spacing w:val="1"/>
      <w:sz w:val="15"/>
      <w:szCs w:val="15"/>
    </w:rPr>
  </w:style>
  <w:style w:type="character" w:customStyle="1" w:styleId="Zkladntext3Nekurzvadkovn0pt">
    <w:name w:val="Základní text (3) + Ne kurzíva;Řádkování 0 pt"/>
    <w:rsid w:val="004733D1"/>
    <w:rPr>
      <w:rFonts w:ascii="Batang" w:eastAsia="Batang" w:hAnsi="Batang" w:cs="Batang"/>
      <w:b w:val="0"/>
      <w:bCs w:val="0"/>
      <w:i/>
      <w:iCs/>
      <w:smallCaps w:val="0"/>
      <w:strike w:val="0"/>
      <w:color w:val="000000"/>
      <w:spacing w:val="1"/>
      <w:w w:val="100"/>
      <w:position w:val="0"/>
      <w:sz w:val="15"/>
      <w:szCs w:val="15"/>
      <w:u w:val="none"/>
      <w:lang w:val="fr-FR"/>
    </w:rPr>
  </w:style>
  <w:style w:type="character" w:customStyle="1" w:styleId="Zkladntext36ptNekurzvadkovn0pt">
    <w:name w:val="Základní text (3) + 6 pt;Ne kurzíva;Řádkování 0 pt"/>
    <w:rsid w:val="004733D1"/>
    <w:rPr>
      <w:rFonts w:ascii="Batang" w:eastAsia="Batang" w:hAnsi="Batang" w:cs="Batang"/>
      <w:b w:val="0"/>
      <w:bCs w:val="0"/>
      <w:i/>
      <w:iCs/>
      <w:smallCaps w:val="0"/>
      <w:strike w:val="0"/>
      <w:color w:val="000000"/>
      <w:spacing w:val="2"/>
      <w:w w:val="100"/>
      <w:position w:val="0"/>
      <w:sz w:val="12"/>
      <w:szCs w:val="12"/>
      <w:u w:val="none"/>
      <w:lang w:val="fr-FR"/>
    </w:rPr>
  </w:style>
  <w:style w:type="character" w:customStyle="1" w:styleId="addworkinfo">
    <w:name w:val="addworkinfo"/>
    <w:basedOn w:val="Standardnpsmoodstavce"/>
    <w:rsid w:val="00104BF2"/>
  </w:style>
  <w:style w:type="character" w:customStyle="1" w:styleId="ZkladntextGeorgia16ptKurzvadkovn0pt">
    <w:name w:val="Základní text + Georgia;16 pt;Kurzíva;Řádkování 0 pt"/>
    <w:rsid w:val="002C1DFF"/>
    <w:rPr>
      <w:rFonts w:ascii="Georgia" w:eastAsia="Georgia" w:hAnsi="Georgia" w:cs="Georgia"/>
      <w:b w:val="0"/>
      <w:bCs w:val="0"/>
      <w:i/>
      <w:iCs/>
      <w:smallCaps w:val="0"/>
      <w:strike w:val="0"/>
      <w:color w:val="000000"/>
      <w:spacing w:val="19"/>
      <w:w w:val="100"/>
      <w:position w:val="0"/>
      <w:sz w:val="32"/>
      <w:szCs w:val="32"/>
      <w:u w:val="none"/>
      <w:shd w:val="clear" w:color="auto" w:fill="FFFFFF"/>
    </w:rPr>
  </w:style>
  <w:style w:type="character" w:customStyle="1" w:styleId="Zkladntext85ptdkovn0pt">
    <w:name w:val="Základní text + 8;5 pt;Řádkování 0 pt"/>
    <w:rsid w:val="002F6608"/>
    <w:rPr>
      <w:rFonts w:ascii="FrankRuehl" w:eastAsia="FrankRuehl" w:hAnsi="FrankRuehl" w:cs="FrankRuehl"/>
      <w:b w:val="0"/>
      <w:bCs w:val="0"/>
      <w:i w:val="0"/>
      <w:iCs w:val="0"/>
      <w:smallCaps w:val="0"/>
      <w:strike w:val="0"/>
      <w:color w:val="000000"/>
      <w:spacing w:val="-7"/>
      <w:w w:val="100"/>
      <w:position w:val="0"/>
      <w:sz w:val="17"/>
      <w:szCs w:val="17"/>
      <w:u w:val="none"/>
      <w:shd w:val="clear" w:color="auto" w:fill="FFFFFF"/>
      <w:lang w:val="fr-FR"/>
    </w:rPr>
  </w:style>
  <w:style w:type="character" w:customStyle="1" w:styleId="Zkladntext12ptKurzvadkovn0pt">
    <w:name w:val="Základní text + 12 pt;Kurzíva;Řádkování 0 pt"/>
    <w:rsid w:val="009E13D8"/>
    <w:rPr>
      <w:rFonts w:ascii="AngsanaUPC" w:eastAsia="AngsanaUPC" w:hAnsi="AngsanaUPC" w:cs="AngsanaUPC"/>
      <w:b w:val="0"/>
      <w:bCs w:val="0"/>
      <w:i/>
      <w:iCs/>
      <w:smallCaps w:val="0"/>
      <w:strike w:val="0"/>
      <w:color w:val="000000"/>
      <w:spacing w:val="-3"/>
      <w:w w:val="100"/>
      <w:position w:val="0"/>
      <w:sz w:val="24"/>
      <w:szCs w:val="24"/>
      <w:u w:val="none"/>
      <w:shd w:val="clear" w:color="auto" w:fill="FFFFFF"/>
    </w:rPr>
  </w:style>
  <w:style w:type="character" w:customStyle="1" w:styleId="citation">
    <w:name w:val="citation"/>
    <w:basedOn w:val="Standardnpsmoodstavce"/>
    <w:rsid w:val="004D460E"/>
  </w:style>
  <w:style w:type="character" w:customStyle="1" w:styleId="Zkladntext10dkovn2pt">
    <w:name w:val="Základní text (10) + Řádkování 2 pt"/>
    <w:rsid w:val="081349B9"/>
    <w:rPr>
      <w:rFonts w:ascii="Constantia" w:eastAsia="Constantia" w:hAnsi="Constantia" w:cs="Constantia"/>
      <w:b/>
      <w:bCs/>
      <w:i w:val="0"/>
      <w:iCs w:val="0"/>
      <w:smallCaps w:val="0"/>
      <w:strike w:val="0"/>
      <w:color w:val="000000"/>
      <w:spacing w:val="51"/>
      <w:w w:val="100"/>
      <w:position w:val="0"/>
      <w:sz w:val="18"/>
      <w:szCs w:val="18"/>
      <w:u w:val="none"/>
      <w:shd w:val="clear" w:color="auto" w:fill="FFFFFF"/>
    </w:rPr>
  </w:style>
  <w:style w:type="character" w:customStyle="1" w:styleId="Zkladntext10Garamond105ptdkovn0pt">
    <w:name w:val="Základní text (10) + Garamond;10;5 pt;Řádkování 0 pt"/>
    <w:rsid w:val="081349B9"/>
    <w:rPr>
      <w:rFonts w:ascii="Garamond" w:eastAsia="Garamond" w:hAnsi="Garamond" w:cs="Garamond"/>
      <w:b/>
      <w:bCs/>
      <w:i w:val="0"/>
      <w:iCs w:val="0"/>
      <w:smallCaps w:val="0"/>
      <w:strike w:val="0"/>
      <w:color w:val="000000"/>
      <w:spacing w:val="2"/>
      <w:w w:val="100"/>
      <w:position w:val="0"/>
      <w:sz w:val="21"/>
      <w:szCs w:val="21"/>
      <w:u w:val="none"/>
      <w:shd w:val="clear" w:color="auto" w:fill="FFFFFF"/>
    </w:rPr>
  </w:style>
  <w:style w:type="character" w:customStyle="1" w:styleId="notranslate">
    <w:name w:val="notranslate"/>
    <w:basedOn w:val="Standardnpsmoodstavce"/>
    <w:rsid w:val="083B70A8"/>
  </w:style>
  <w:style w:type="character" w:customStyle="1" w:styleId="booksubtitle">
    <w:name w:val="book_subtitle"/>
    <w:basedOn w:val="Standardnpsmoodstavce"/>
    <w:rsid w:val="08C31609"/>
  </w:style>
  <w:style w:type="character" w:customStyle="1" w:styleId="green">
    <w:name w:val="green"/>
    <w:basedOn w:val="Standardnpsmoodstavce"/>
    <w:rsid w:val="08CB5577"/>
  </w:style>
  <w:style w:type="character" w:customStyle="1" w:styleId="Zkladntext45">
    <w:name w:val="Základní text (45)"/>
    <w:rsid w:val="086440AC"/>
    <w:rPr>
      <w:rFonts w:ascii="Batang" w:eastAsia="Batang" w:hAnsi="Batang" w:cs="Batang" w:hint="eastAsia"/>
      <w:b w:val="0"/>
      <w:bCs w:val="0"/>
      <w:i w:val="0"/>
      <w:iCs w:val="0"/>
      <w:smallCaps w:val="0"/>
      <w:spacing w:val="0"/>
      <w:sz w:val="20"/>
      <w:szCs w:val="20"/>
      <w:u w:val="single"/>
    </w:rPr>
  </w:style>
  <w:style w:type="character" w:customStyle="1" w:styleId="ZkladntextChar1">
    <w:name w:val="Základní text Char1"/>
    <w:uiPriority w:val="99"/>
    <w:rsid w:val="08430CE9"/>
    <w:rPr>
      <w:rFonts w:ascii="Century Schoolbook" w:hAnsi="Century Schoolbook" w:cs="Century Schoolbook"/>
      <w:sz w:val="20"/>
      <w:szCs w:val="20"/>
      <w:u w:val="none"/>
    </w:rPr>
  </w:style>
  <w:style w:type="character" w:customStyle="1" w:styleId="tpp">
    <w:name w:val="tpp"/>
    <w:basedOn w:val="Standardnpsmoodstavce"/>
    <w:rsid w:val="08595F85"/>
  </w:style>
  <w:style w:type="character" w:customStyle="1" w:styleId="red">
    <w:name w:val="red"/>
    <w:basedOn w:val="Standardnpsmoodstavce"/>
    <w:rsid w:val="08DB551D"/>
  </w:style>
  <w:style w:type="character" w:customStyle="1" w:styleId="style30">
    <w:name w:val="style3"/>
    <w:basedOn w:val="Standardnpsmoodstavce"/>
    <w:rsid w:val="08723323"/>
  </w:style>
  <w:style w:type="paragraph" w:customStyle="1" w:styleId="Kommentarthema">
    <w:name w:val="Kommentarthema"/>
    <w:basedOn w:val="Textkomente"/>
    <w:next w:val="Textkomente"/>
    <w:rsid w:val="00E86AF2"/>
    <w:pPr>
      <w:tabs>
        <w:tab w:val="left" w:pos="284"/>
      </w:tabs>
      <w:spacing w:line="312" w:lineRule="auto"/>
    </w:pPr>
    <w:rPr>
      <w:rFonts w:ascii="Times New Roman" w:eastAsia="Times New Roman" w:hAnsi="Times New Roman"/>
      <w:b/>
      <w:bCs/>
      <w:lang w:val="de-DE"/>
    </w:rPr>
  </w:style>
  <w:style w:type="character" w:customStyle="1" w:styleId="txt12">
    <w:name w:val="txt12"/>
    <w:basedOn w:val="Standardnpsmoodstavce"/>
    <w:rsid w:val="00BE0532"/>
  </w:style>
  <w:style w:type="paragraph" w:styleId="Odstavecseseznamem">
    <w:name w:val="List Paragraph"/>
    <w:basedOn w:val="Normln"/>
    <w:uiPriority w:val="34"/>
    <w:qFormat/>
    <w:rsid w:val="006D3425"/>
    <w:pPr>
      <w:ind w:left="720"/>
      <w:contextualSpacing/>
    </w:pPr>
  </w:style>
  <w:style w:type="character" w:customStyle="1" w:styleId="Zkladntext7ptdkovn0pt">
    <w:name w:val="Základní text + 7 pt;Řádkování 0 pt"/>
    <w:rsid w:val="0003243C"/>
    <w:rPr>
      <w:rFonts w:ascii="Times New Roman" w:eastAsia="Times New Roman" w:hAnsi="Times New Roman" w:cs="Times New Roman"/>
      <w:b w:val="0"/>
      <w:bCs w:val="0"/>
      <w:i w:val="0"/>
      <w:iCs w:val="0"/>
      <w:smallCaps w:val="0"/>
      <w:strike w:val="0"/>
      <w:color w:val="000000"/>
      <w:spacing w:val="0"/>
      <w:w w:val="100"/>
      <w:position w:val="0"/>
      <w:sz w:val="14"/>
      <w:szCs w:val="14"/>
      <w:u w:val="none"/>
      <w:shd w:val="clear" w:color="auto" w:fill="FFFFFF"/>
      <w:lang w:val="en-US"/>
    </w:rPr>
  </w:style>
  <w:style w:type="character" w:customStyle="1" w:styleId="Zkladntext7ptMalpsmena">
    <w:name w:val="Základní text + 7 pt;Malá písmena"/>
    <w:rsid w:val="0003243C"/>
    <w:rPr>
      <w:rFonts w:ascii="Times New Roman" w:eastAsia="Times New Roman" w:hAnsi="Times New Roman" w:cs="Times New Roman"/>
      <w:b w:val="0"/>
      <w:bCs w:val="0"/>
      <w:i w:val="0"/>
      <w:iCs w:val="0"/>
      <w:smallCaps/>
      <w:strike w:val="0"/>
      <w:color w:val="000000"/>
      <w:spacing w:val="10"/>
      <w:w w:val="100"/>
      <w:position w:val="0"/>
      <w:sz w:val="14"/>
      <w:szCs w:val="14"/>
      <w:u w:val="none"/>
      <w:shd w:val="clear" w:color="auto" w:fill="FFFFFF"/>
      <w:lang w:val="en-US"/>
    </w:rPr>
  </w:style>
  <w:style w:type="character" w:customStyle="1" w:styleId="Zkladntext7pt">
    <w:name w:val="Základní text + 7 pt"/>
    <w:rsid w:val="00C21224"/>
    <w:rPr>
      <w:rFonts w:ascii="Times New Roman" w:eastAsia="Times New Roman" w:hAnsi="Times New Roman" w:cs="Times New Roman"/>
      <w:b w:val="0"/>
      <w:bCs w:val="0"/>
      <w:i w:val="0"/>
      <w:iCs w:val="0"/>
      <w:smallCaps w:val="0"/>
      <w:strike w:val="0"/>
      <w:color w:val="000000"/>
      <w:spacing w:val="10"/>
      <w:w w:val="100"/>
      <w:position w:val="0"/>
      <w:sz w:val="14"/>
      <w:szCs w:val="14"/>
      <w:u w:val="none"/>
      <w:shd w:val="clear" w:color="auto" w:fill="FFFFFF"/>
      <w:lang w:val="fr-FR"/>
    </w:rPr>
  </w:style>
  <w:style w:type="character" w:customStyle="1" w:styleId="etyl">
    <w:name w:val="etyl"/>
    <w:basedOn w:val="Standardnpsmoodstavce"/>
    <w:rsid w:val="000B7C92"/>
  </w:style>
  <w:style w:type="character" w:customStyle="1" w:styleId="mention-gloss-double-quote">
    <w:name w:val="mention-gloss-double-quote"/>
    <w:basedOn w:val="Standardnpsmoodstavce"/>
    <w:rsid w:val="000B7C92"/>
  </w:style>
  <w:style w:type="character" w:customStyle="1" w:styleId="mention-gloss">
    <w:name w:val="mention-gloss"/>
    <w:basedOn w:val="Standardnpsmoodstavce"/>
    <w:rsid w:val="000B7C92"/>
  </w:style>
  <w:style w:type="character" w:customStyle="1" w:styleId="tr">
    <w:name w:val="tr"/>
    <w:basedOn w:val="Standardnpsmoodstavce"/>
    <w:rsid w:val="000B7C92"/>
  </w:style>
  <w:style w:type="character" w:customStyle="1" w:styleId="Zkladntext57135ptKurzvadkovn0pt">
    <w:name w:val="Základní text (57) + 13;5 pt;Kurzíva;Řádkování 0 pt"/>
    <w:rsid w:val="00342CE2"/>
    <w:rPr>
      <w:rFonts w:ascii="Constantia" w:eastAsia="Constantia" w:hAnsi="Constantia" w:cs="Constantia"/>
      <w:b w:val="0"/>
      <w:bCs w:val="0"/>
      <w:i/>
      <w:iCs/>
      <w:smallCaps w:val="0"/>
      <w:strike w:val="0"/>
      <w:color w:val="000000"/>
      <w:spacing w:val="-9"/>
      <w:w w:val="100"/>
      <w:position w:val="0"/>
      <w:sz w:val="27"/>
      <w:szCs w:val="27"/>
      <w:u w:val="none"/>
      <w:shd w:val="clear" w:color="auto" w:fill="FFFFFF"/>
      <w:lang w:val="en-US"/>
    </w:rPr>
  </w:style>
  <w:style w:type="character" w:customStyle="1" w:styleId="Nadpis1NetunKurzvadkovn0pt">
    <w:name w:val="Nadpis #1 + Ne tučné;Kurzíva;Řádkování 0 pt"/>
    <w:rsid w:val="00C00780"/>
    <w:rPr>
      <w:rFonts w:ascii="Times New Roman" w:eastAsia="Times New Roman" w:hAnsi="Times New Roman" w:cs="Times New Roman"/>
      <w:b/>
      <w:bCs/>
      <w:i/>
      <w:iCs/>
      <w:smallCaps w:val="0"/>
      <w:strike w:val="0"/>
      <w:color w:val="000000"/>
      <w:spacing w:val="0"/>
      <w:w w:val="100"/>
      <w:position w:val="0"/>
      <w:sz w:val="17"/>
      <w:szCs w:val="17"/>
      <w:u w:val="none"/>
      <w:shd w:val="clear" w:color="auto" w:fill="FFFFFF"/>
      <w:lang w:val="la"/>
    </w:rPr>
  </w:style>
  <w:style w:type="character" w:customStyle="1" w:styleId="Zkladntext121">
    <w:name w:val="Základní text12"/>
    <w:rsid w:val="00F626A9"/>
    <w:rPr>
      <w:rFonts w:ascii="Batang" w:eastAsia="Batang" w:hAnsi="Batang" w:cs="Batang"/>
      <w:b w:val="0"/>
      <w:bCs w:val="0"/>
      <w:i w:val="0"/>
      <w:iCs w:val="0"/>
      <w:smallCaps w:val="0"/>
      <w:strike w:val="0"/>
      <w:color w:val="000000"/>
      <w:spacing w:val="1"/>
      <w:w w:val="100"/>
      <w:position w:val="0"/>
      <w:sz w:val="8"/>
      <w:szCs w:val="8"/>
      <w:u w:val="none"/>
      <w:shd w:val="clear" w:color="auto" w:fill="FFFFFF"/>
      <w:lang w:val="la"/>
    </w:rPr>
  </w:style>
  <w:style w:type="character" w:customStyle="1" w:styleId="Zkladntext13">
    <w:name w:val="Základní text13"/>
    <w:rsid w:val="00F626A9"/>
    <w:rPr>
      <w:rFonts w:ascii="Batang" w:eastAsia="Batang" w:hAnsi="Batang" w:cs="Batang"/>
      <w:b w:val="0"/>
      <w:bCs w:val="0"/>
      <w:i w:val="0"/>
      <w:iCs w:val="0"/>
      <w:smallCaps w:val="0"/>
      <w:strike w:val="0"/>
      <w:color w:val="000000"/>
      <w:spacing w:val="1"/>
      <w:w w:val="100"/>
      <w:position w:val="0"/>
      <w:sz w:val="8"/>
      <w:szCs w:val="8"/>
      <w:u w:val="none"/>
      <w:shd w:val="clear" w:color="auto" w:fill="FFFFFF"/>
      <w:lang w:val="la"/>
    </w:rPr>
  </w:style>
  <w:style w:type="paragraph" w:customStyle="1" w:styleId="Zkladntext212">
    <w:name w:val="Základní text21"/>
    <w:basedOn w:val="Normln"/>
    <w:rsid w:val="00F626A9"/>
    <w:pPr>
      <w:widowControl w:val="0"/>
      <w:shd w:val="clear" w:color="auto" w:fill="FFFFFF"/>
      <w:spacing w:before="180" w:after="180" w:line="250" w:lineRule="exact"/>
      <w:ind w:hanging="1400"/>
      <w:jc w:val="center"/>
    </w:pPr>
    <w:rPr>
      <w:rFonts w:ascii="Batang" w:eastAsia="Batang" w:hAnsi="Batang" w:cs="Batang"/>
      <w:color w:val="000000"/>
      <w:spacing w:val="1"/>
      <w:sz w:val="8"/>
      <w:szCs w:val="8"/>
      <w:lang w:val="la"/>
    </w:rPr>
  </w:style>
  <w:style w:type="character" w:customStyle="1" w:styleId="textblock">
    <w:name w:val="textblock"/>
    <w:basedOn w:val="Standardnpsmoodstavce"/>
    <w:rsid w:val="005A405F"/>
  </w:style>
  <w:style w:type="character" w:customStyle="1" w:styleId="cuatro">
    <w:name w:val="cuatro"/>
    <w:basedOn w:val="Standardnpsmoodstavce"/>
    <w:rsid w:val="007F2DD4"/>
  </w:style>
  <w:style w:type="character" w:customStyle="1" w:styleId="Zkladntext29ptKurzvadkovn0pt">
    <w:name w:val="Základní text + 29 pt;Kurzíva;Řádkování 0 pt"/>
    <w:rsid w:val="00316A30"/>
    <w:rPr>
      <w:rFonts w:ascii="Times New Roman" w:eastAsia="Times New Roman" w:hAnsi="Times New Roman" w:cs="Times New Roman"/>
      <w:b w:val="0"/>
      <w:bCs w:val="0"/>
      <w:i/>
      <w:iCs/>
      <w:smallCaps w:val="0"/>
      <w:strike w:val="0"/>
      <w:color w:val="000000"/>
      <w:spacing w:val="-11"/>
      <w:w w:val="100"/>
      <w:position w:val="0"/>
      <w:sz w:val="58"/>
      <w:szCs w:val="58"/>
      <w:u w:val="none"/>
      <w:shd w:val="clear" w:color="auto" w:fill="FFFFFF"/>
      <w:lang w:val="fr-FR"/>
    </w:rPr>
  </w:style>
  <w:style w:type="character" w:customStyle="1" w:styleId="Zkladntext28ptKurzvadkovn-1pt">
    <w:name w:val="Základní text + 28 pt;Kurzíva;Řádkování -1 pt"/>
    <w:rsid w:val="00316A30"/>
    <w:rPr>
      <w:rFonts w:ascii="Georgia" w:eastAsia="Georgia" w:hAnsi="Georgia" w:cs="Georgia"/>
      <w:b w:val="0"/>
      <w:bCs w:val="0"/>
      <w:i/>
      <w:iCs/>
      <w:smallCaps w:val="0"/>
      <w:strike w:val="0"/>
      <w:color w:val="000000"/>
      <w:spacing w:val="-29"/>
      <w:w w:val="100"/>
      <w:position w:val="0"/>
      <w:sz w:val="56"/>
      <w:szCs w:val="56"/>
      <w:u w:val="none"/>
      <w:shd w:val="clear" w:color="auto" w:fill="FFFFFF"/>
      <w:lang w:val="fr-FR"/>
    </w:rPr>
  </w:style>
  <w:style w:type="character" w:customStyle="1" w:styleId="csc">
    <w:name w:val="csc"/>
    <w:basedOn w:val="Standardnpsmoodstavce"/>
    <w:rsid w:val="008F06C2"/>
  </w:style>
  <w:style w:type="character" w:customStyle="1" w:styleId="ital">
    <w:name w:val="ital"/>
    <w:basedOn w:val="Standardnpsmoodstavce"/>
    <w:rsid w:val="008F06C2"/>
  </w:style>
  <w:style w:type="character" w:customStyle="1" w:styleId="srexcerpt">
    <w:name w:val="sr_excerpt"/>
    <w:basedOn w:val="Standardnpsmoodstavce"/>
    <w:rsid w:val="004E1220"/>
  </w:style>
  <w:style w:type="character" w:customStyle="1" w:styleId="unicode">
    <w:name w:val="unicode"/>
    <w:basedOn w:val="Standardnpsmoodstavce"/>
    <w:rsid w:val="00A9541E"/>
  </w:style>
  <w:style w:type="character" w:customStyle="1" w:styleId="intextlink">
    <w:name w:val="intextlink"/>
    <w:basedOn w:val="Standardnpsmoodstavce"/>
    <w:rsid w:val="002B2294"/>
  </w:style>
  <w:style w:type="character" w:customStyle="1" w:styleId="greek3">
    <w:name w:val="greek3"/>
    <w:basedOn w:val="Standardnpsmoodstavce"/>
    <w:rsid w:val="00906C00"/>
  </w:style>
  <w:style w:type="character" w:customStyle="1" w:styleId="Znakypropoznmkupodarou">
    <w:name w:val="Znaky pro poznámku pod čarou"/>
    <w:unhideWhenUsed/>
    <w:rsid w:val="008D558E"/>
    <w:rPr>
      <w:vertAlign w:val="superscript"/>
    </w:rPr>
  </w:style>
  <w:style w:type="character" w:customStyle="1" w:styleId="romain">
    <w:name w:val="romain"/>
    <w:basedOn w:val="Standardnpsmoodstavce"/>
    <w:rsid w:val="00A50BF1"/>
  </w:style>
  <w:style w:type="paragraph" w:styleId="Nadpisobsahu">
    <w:name w:val="TOC Heading"/>
    <w:basedOn w:val="Nadpis1"/>
    <w:next w:val="Normln"/>
    <w:uiPriority w:val="39"/>
    <w:unhideWhenUsed/>
    <w:rsid w:val="00C83849"/>
    <w:pPr>
      <w:spacing w:before="480" w:after="0" w:line="276" w:lineRule="auto"/>
      <w:outlineLvl w:val="9"/>
    </w:pPr>
    <w:rPr>
      <w:color w:val="365F91"/>
      <w:sz w:val="28"/>
    </w:rPr>
  </w:style>
  <w:style w:type="paragraph" w:customStyle="1" w:styleId="gb-buy-options-link">
    <w:name w:val="gb-buy-options-link"/>
    <w:basedOn w:val="Normln"/>
    <w:rsid w:val="0060502D"/>
    <w:pPr>
      <w:spacing w:before="100" w:beforeAutospacing="1" w:after="100" w:afterAutospacing="1" w:line="240" w:lineRule="auto"/>
      <w:jc w:val="left"/>
    </w:pPr>
    <w:rPr>
      <w:rFonts w:ascii="Times New Roman" w:eastAsia="Times New Roman" w:hAnsi="Times New Roman"/>
      <w:szCs w:val="24"/>
    </w:rPr>
  </w:style>
  <w:style w:type="paragraph" w:customStyle="1" w:styleId="ebook-promo-description">
    <w:name w:val="ebook-promo-description"/>
    <w:basedOn w:val="Normln"/>
    <w:rsid w:val="00FD51E0"/>
    <w:pPr>
      <w:spacing w:before="100" w:beforeAutospacing="1" w:after="100" w:afterAutospacing="1" w:line="240" w:lineRule="auto"/>
      <w:jc w:val="left"/>
    </w:pPr>
    <w:rPr>
      <w:rFonts w:ascii="Times New Roman" w:eastAsia="Times New Roman" w:hAnsi="Times New Roman"/>
      <w:szCs w:val="24"/>
    </w:rPr>
  </w:style>
  <w:style w:type="paragraph" w:customStyle="1" w:styleId="ebook-promo-clickme">
    <w:name w:val="ebook-promo-clickme"/>
    <w:basedOn w:val="Normln"/>
    <w:rsid w:val="00FD51E0"/>
    <w:pPr>
      <w:spacing w:before="100" w:beforeAutospacing="1" w:after="100" w:afterAutospacing="1" w:line="240" w:lineRule="auto"/>
      <w:jc w:val="left"/>
    </w:pPr>
    <w:rPr>
      <w:rFonts w:ascii="Times New Roman" w:eastAsia="Times New Roman" w:hAnsi="Times New Roman"/>
      <w:szCs w:val="24"/>
    </w:rPr>
  </w:style>
  <w:style w:type="character" w:customStyle="1" w:styleId="productdisplayserialtitle">
    <w:name w:val="productdisplay_serialtitle"/>
    <w:basedOn w:val="Standardnpsmoodstavce"/>
    <w:rsid w:val="00726DE1"/>
  </w:style>
  <w:style w:type="character" w:customStyle="1" w:styleId="Nadpis30">
    <w:name w:val="Nadpis #3_"/>
    <w:link w:val="Nadpis31"/>
    <w:rsid w:val="00555E16"/>
    <w:rPr>
      <w:rFonts w:ascii="Georgia" w:eastAsia="Georgia" w:hAnsi="Georgia" w:cs="Georgia"/>
      <w:spacing w:val="-1"/>
      <w:sz w:val="35"/>
      <w:szCs w:val="35"/>
      <w:shd w:val="clear" w:color="auto" w:fill="FFFFFF"/>
      <w:lang w:val="en-US"/>
    </w:rPr>
  </w:style>
  <w:style w:type="paragraph" w:customStyle="1" w:styleId="Nadpis31">
    <w:name w:val="Nadpis #3"/>
    <w:basedOn w:val="Normln"/>
    <w:link w:val="Nadpis30"/>
    <w:rsid w:val="00555E16"/>
    <w:pPr>
      <w:widowControl w:val="0"/>
      <w:shd w:val="clear" w:color="auto" w:fill="FFFFFF"/>
      <w:spacing w:after="360" w:line="0" w:lineRule="atLeast"/>
      <w:jc w:val="center"/>
      <w:outlineLvl w:val="2"/>
    </w:pPr>
    <w:rPr>
      <w:rFonts w:ascii="Georgia" w:eastAsia="Georgia" w:hAnsi="Georgia"/>
      <w:spacing w:val="-1"/>
      <w:sz w:val="35"/>
      <w:szCs w:val="35"/>
      <w:lang w:val="en-US" w:eastAsia="x-none"/>
    </w:rPr>
  </w:style>
  <w:style w:type="character" w:customStyle="1" w:styleId="ZkladntextFranklinGothicHeavy75ptdkovn0pt">
    <w:name w:val="Základní text + Franklin Gothic Heavy;7;5 pt;Řádkování 0 pt"/>
    <w:rsid w:val="00192DFE"/>
    <w:rPr>
      <w:rFonts w:ascii="Franklin Gothic Heavy" w:eastAsia="Franklin Gothic Heavy" w:hAnsi="Franklin Gothic Heavy" w:cs="Franklin Gothic Heavy"/>
      <w:b w:val="0"/>
      <w:bCs w:val="0"/>
      <w:i w:val="0"/>
      <w:iCs w:val="0"/>
      <w:smallCaps w:val="0"/>
      <w:strike w:val="0"/>
      <w:color w:val="000000"/>
      <w:spacing w:val="0"/>
      <w:w w:val="100"/>
      <w:position w:val="0"/>
      <w:sz w:val="15"/>
      <w:szCs w:val="15"/>
      <w:u w:val="none"/>
      <w:shd w:val="clear" w:color="auto" w:fill="FFFFFF"/>
    </w:rPr>
  </w:style>
  <w:style w:type="character" w:customStyle="1" w:styleId="lang-ar">
    <w:name w:val="lang-ar"/>
    <w:basedOn w:val="Standardnpsmoodstavce"/>
    <w:rsid w:val="00681CD4"/>
  </w:style>
  <w:style w:type="character" w:customStyle="1" w:styleId="tocnumber">
    <w:name w:val="tocnumber"/>
    <w:basedOn w:val="Standardnpsmoodstavce"/>
    <w:rsid w:val="00681CD4"/>
  </w:style>
  <w:style w:type="character" w:customStyle="1" w:styleId="toctext">
    <w:name w:val="toctext"/>
    <w:basedOn w:val="Standardnpsmoodstavce"/>
    <w:rsid w:val="00681CD4"/>
  </w:style>
  <w:style w:type="character" w:customStyle="1" w:styleId="lang-la">
    <w:name w:val="lang-la"/>
    <w:basedOn w:val="Standardnpsmoodstavce"/>
    <w:rsid w:val="00681CD4"/>
  </w:style>
  <w:style w:type="character" w:customStyle="1" w:styleId="contribdegrees">
    <w:name w:val="contribdegrees"/>
    <w:basedOn w:val="Standardnpsmoodstavce"/>
    <w:rsid w:val="000B5D96"/>
  </w:style>
  <w:style w:type="character" w:customStyle="1" w:styleId="search-item">
    <w:name w:val="search-item"/>
    <w:basedOn w:val="Standardnpsmoodstavce"/>
    <w:rsid w:val="00026C13"/>
  </w:style>
  <w:style w:type="character" w:customStyle="1" w:styleId="Zkladntext3575pt">
    <w:name w:val="Základní text (35) + 7;5 pt"/>
    <w:rsid w:val="083060BA"/>
    <w:rPr>
      <w:rFonts w:ascii="Constantia" w:eastAsia="Constantia" w:hAnsi="Constantia" w:cs="Constantia"/>
      <w:b/>
      <w:bCs/>
      <w:i w:val="0"/>
      <w:iCs w:val="0"/>
      <w:smallCaps w:val="0"/>
      <w:strike w:val="0"/>
      <w:color w:val="000000"/>
      <w:spacing w:val="-2"/>
      <w:w w:val="100"/>
      <w:position w:val="0"/>
      <w:sz w:val="15"/>
      <w:szCs w:val="15"/>
      <w:u w:val="none"/>
      <w:shd w:val="clear" w:color="auto" w:fill="FFFFFF"/>
      <w:lang w:val="la"/>
    </w:rPr>
  </w:style>
  <w:style w:type="character" w:customStyle="1" w:styleId="Zkladntext35dkovn0pt">
    <w:name w:val="Základní text (35) + Řádkování 0 pt"/>
    <w:rsid w:val="083060BA"/>
    <w:rPr>
      <w:rFonts w:ascii="Constantia" w:eastAsia="Constantia" w:hAnsi="Constantia" w:cs="Constantia"/>
      <w:b/>
      <w:bCs/>
      <w:i w:val="0"/>
      <w:iCs w:val="0"/>
      <w:smallCaps w:val="0"/>
      <w:strike w:val="0"/>
      <w:color w:val="000000"/>
      <w:spacing w:val="-3"/>
      <w:w w:val="100"/>
      <w:position w:val="0"/>
      <w:sz w:val="19"/>
      <w:szCs w:val="19"/>
      <w:u w:val="none"/>
      <w:shd w:val="clear" w:color="auto" w:fill="FFFFFF"/>
      <w:lang w:val="la"/>
    </w:rPr>
  </w:style>
  <w:style w:type="character" w:customStyle="1" w:styleId="Zkladntext55ptTundkovn0pt">
    <w:name w:val="Základní text + 5;5 pt;Tučné;Řádkování 0 pt"/>
    <w:rsid w:val="08671345"/>
    <w:rPr>
      <w:rFonts w:ascii="Georgia" w:eastAsia="Georgia" w:hAnsi="Georgia" w:cs="Georgia"/>
      <w:b/>
      <w:bCs/>
      <w:i w:val="0"/>
      <w:iCs w:val="0"/>
      <w:smallCaps w:val="0"/>
      <w:strike w:val="0"/>
      <w:color w:val="000000"/>
      <w:spacing w:val="6"/>
      <w:w w:val="100"/>
      <w:position w:val="0"/>
      <w:sz w:val="11"/>
      <w:szCs w:val="11"/>
      <w:u w:val="none"/>
      <w:shd w:val="clear" w:color="auto" w:fill="FFFFFF"/>
      <w:lang w:val="la"/>
    </w:rPr>
  </w:style>
  <w:style w:type="character" w:customStyle="1" w:styleId="Zkladntext55pt">
    <w:name w:val="Základní text + 5;5 pt"/>
    <w:rsid w:val="08671345"/>
    <w:rPr>
      <w:rFonts w:ascii="Georgia" w:eastAsia="Georgia" w:hAnsi="Georgia" w:cs="Georgia"/>
      <w:b w:val="0"/>
      <w:bCs w:val="0"/>
      <w:i w:val="0"/>
      <w:iCs w:val="0"/>
      <w:smallCaps w:val="0"/>
      <w:strike w:val="0"/>
      <w:color w:val="000000"/>
      <w:spacing w:val="0"/>
      <w:w w:val="100"/>
      <w:position w:val="0"/>
      <w:sz w:val="11"/>
      <w:szCs w:val="11"/>
      <w:u w:val="none"/>
      <w:shd w:val="clear" w:color="auto" w:fill="FFFFFF"/>
    </w:rPr>
  </w:style>
  <w:style w:type="character" w:customStyle="1" w:styleId="Zkladntext675ptdkovn0pt">
    <w:name w:val="Základní text (6) + 7;5 pt;Řádkování 0 pt"/>
    <w:rsid w:val="08821276"/>
    <w:rPr>
      <w:rFonts w:ascii="Constantia" w:eastAsia="Constantia" w:hAnsi="Constantia" w:cs="Constantia"/>
      <w:b/>
      <w:bCs/>
      <w:i/>
      <w:iCs/>
      <w:smallCaps w:val="0"/>
      <w:strike w:val="0"/>
      <w:color w:val="000000"/>
      <w:spacing w:val="-2"/>
      <w:w w:val="100"/>
      <w:position w:val="0"/>
      <w:sz w:val="15"/>
      <w:szCs w:val="15"/>
      <w:u w:val="none"/>
      <w:shd w:val="clear" w:color="auto" w:fill="FFFFFF"/>
      <w:lang w:val="la"/>
    </w:rPr>
  </w:style>
  <w:style w:type="character" w:customStyle="1" w:styleId="collection">
    <w:name w:val="collection"/>
    <w:basedOn w:val="Standardnpsmoodstavce"/>
    <w:rsid w:val="080E6F8E"/>
  </w:style>
  <w:style w:type="character" w:customStyle="1" w:styleId="documentyear">
    <w:name w:val="documentyear"/>
    <w:basedOn w:val="Standardnpsmoodstavce"/>
    <w:rsid w:val="080E6F8E"/>
  </w:style>
  <w:style w:type="character" w:customStyle="1" w:styleId="documentvolume">
    <w:name w:val="documentvolume"/>
    <w:basedOn w:val="Standardnpsmoodstavce"/>
    <w:rsid w:val="080E6F8E"/>
  </w:style>
  <w:style w:type="character" w:customStyle="1" w:styleId="documentissuename">
    <w:name w:val="documentissuename"/>
    <w:basedOn w:val="Standardnpsmoodstavce"/>
    <w:rsid w:val="080E6F8E"/>
  </w:style>
  <w:style w:type="character" w:customStyle="1" w:styleId="documentpagerange">
    <w:name w:val="documentpagerange"/>
    <w:basedOn w:val="Standardnpsmoodstavce"/>
    <w:rsid w:val="080E6F8E"/>
  </w:style>
  <w:style w:type="character" w:customStyle="1" w:styleId="b2">
    <w:name w:val="b2"/>
    <w:basedOn w:val="Standardnpsmoodstavce"/>
    <w:rsid w:val="08264DE9"/>
  </w:style>
  <w:style w:type="character" w:customStyle="1" w:styleId="srsiglum">
    <w:name w:val="sr_siglum"/>
    <w:basedOn w:val="Standardnpsmoodstavce"/>
    <w:rsid w:val="089856E5"/>
  </w:style>
  <w:style w:type="character" w:customStyle="1" w:styleId="field-item-single">
    <w:name w:val="field-item-single"/>
    <w:basedOn w:val="Standardnpsmoodstavce"/>
    <w:rsid w:val="08A765BC"/>
  </w:style>
  <w:style w:type="character" w:customStyle="1" w:styleId="publication">
    <w:name w:val="publication"/>
    <w:basedOn w:val="Standardnpsmoodstavce"/>
    <w:rsid w:val="087B3996"/>
  </w:style>
  <w:style w:type="character" w:customStyle="1" w:styleId="ZkladntextCorbel65ptdkovn0pt">
    <w:name w:val="Základní text + Corbel;6;5 pt;Řádkování 0 pt"/>
    <w:rsid w:val="08090412"/>
    <w:rPr>
      <w:rFonts w:ascii="Corbel" w:eastAsia="Corbel" w:hAnsi="Corbel" w:cs="Corbel"/>
      <w:b w:val="0"/>
      <w:bCs w:val="0"/>
      <w:i w:val="0"/>
      <w:iCs w:val="0"/>
      <w:smallCaps w:val="0"/>
      <w:strike w:val="0"/>
      <w:color w:val="000000"/>
      <w:spacing w:val="6"/>
      <w:w w:val="100"/>
      <w:position w:val="0"/>
      <w:sz w:val="13"/>
      <w:szCs w:val="13"/>
      <w:u w:val="none"/>
      <w:shd w:val="clear" w:color="auto" w:fill="FFFFFF"/>
      <w:lang w:val="el-GR"/>
    </w:rPr>
  </w:style>
  <w:style w:type="character" w:customStyle="1" w:styleId="versenumber">
    <w:name w:val="versenumber"/>
    <w:basedOn w:val="Standardnpsmoodstavce"/>
    <w:rsid w:val="083F66E4"/>
  </w:style>
  <w:style w:type="character" w:customStyle="1" w:styleId="Nzev1">
    <w:name w:val="Název1"/>
    <w:basedOn w:val="Standardnpsmoodstavce"/>
    <w:rsid w:val="08C21F07"/>
  </w:style>
  <w:style w:type="character" w:customStyle="1" w:styleId="fs150">
    <w:name w:val="fs150"/>
    <w:basedOn w:val="Standardnpsmoodstavce"/>
    <w:rsid w:val="08C21F07"/>
  </w:style>
  <w:style w:type="character" w:customStyle="1" w:styleId="en">
    <w:name w:val="en"/>
    <w:basedOn w:val="Standardnpsmoodstavce"/>
    <w:rsid w:val="08A970A6"/>
  </w:style>
  <w:style w:type="character" w:customStyle="1" w:styleId="Zkladntext53BookmanOldStyle7ptdkovn0pt">
    <w:name w:val="Základní text (53) + Bookman Old Style;7 pt;Řádkování 0 pt"/>
    <w:rsid w:val="086105C2"/>
    <w:rPr>
      <w:rFonts w:ascii="Bookman Old Style" w:eastAsia="Bookman Old Style" w:hAnsi="Bookman Old Style" w:cs="Bookman Old Style"/>
      <w:b w:val="0"/>
      <w:bCs w:val="0"/>
      <w:i w:val="0"/>
      <w:iCs w:val="0"/>
      <w:smallCaps w:val="0"/>
      <w:strike w:val="0"/>
      <w:color w:val="000000"/>
      <w:spacing w:val="-3"/>
      <w:w w:val="100"/>
      <w:position w:val="0"/>
      <w:sz w:val="14"/>
      <w:szCs w:val="14"/>
      <w:u w:val="none"/>
      <w:lang w:val="la"/>
    </w:rPr>
  </w:style>
  <w:style w:type="character" w:customStyle="1" w:styleId="bold">
    <w:name w:val="bold"/>
    <w:basedOn w:val="Standardnpsmoodstavce"/>
    <w:rsid w:val="0814087E"/>
  </w:style>
  <w:style w:type="paragraph" w:customStyle="1" w:styleId="big">
    <w:name w:val="big"/>
    <w:basedOn w:val="Normln"/>
    <w:rsid w:val="08CE52E4"/>
    <w:pPr>
      <w:spacing w:before="100" w:beforeAutospacing="1" w:after="100" w:afterAutospacing="1" w:line="240" w:lineRule="auto"/>
      <w:jc w:val="left"/>
    </w:pPr>
    <w:rPr>
      <w:rFonts w:ascii="Times New Roman" w:eastAsia="Times New Roman" w:hAnsi="Times New Roman"/>
      <w:szCs w:val="24"/>
    </w:rPr>
  </w:style>
  <w:style w:type="paragraph" w:customStyle="1" w:styleId="a">
    <w:basedOn w:val="Normln"/>
    <w:next w:val="Normln"/>
    <w:qFormat/>
    <w:rsid w:val="08F93D05"/>
    <w:pPr>
      <w:spacing w:before="120" w:after="240" w:line="288" w:lineRule="auto"/>
    </w:pPr>
    <w:rPr>
      <w:color w:val="000000"/>
      <w:sz w:val="22"/>
    </w:rPr>
  </w:style>
  <w:style w:type="paragraph" w:styleId="Revize">
    <w:name w:val="Revision"/>
    <w:hidden/>
    <w:uiPriority w:val="99"/>
    <w:semiHidden/>
    <w:rsid w:val="08CB038F"/>
    <w:rPr>
      <w:rFonts w:ascii="Calibri" w:eastAsia="Times" w:hAnsi="Calibri"/>
      <w:noProof/>
      <w:sz w:val="24"/>
    </w:rPr>
  </w:style>
  <w:style w:type="character" w:customStyle="1" w:styleId="medium-8">
    <w:name w:val="medium-8"/>
    <w:rsid w:val="08CB038F"/>
  </w:style>
  <w:style w:type="character" w:customStyle="1" w:styleId="lang-ar-latn">
    <w:name w:val="lang-ar-latn"/>
    <w:rsid w:val="004B45E4"/>
  </w:style>
  <w:style w:type="character" w:customStyle="1" w:styleId="contributor">
    <w:name w:val="contributor"/>
    <w:rsid w:val="004B45E4"/>
  </w:style>
  <w:style w:type="character" w:customStyle="1" w:styleId="person">
    <w:name w:val="person"/>
    <w:rsid w:val="004B45E4"/>
  </w:style>
  <w:style w:type="character" w:customStyle="1" w:styleId="trans">
    <w:name w:val="trans"/>
    <w:rsid w:val="00FF716F"/>
  </w:style>
  <w:style w:type="character" w:customStyle="1" w:styleId="CitaceChar1">
    <w:name w:val="Citace Char1"/>
    <w:uiPriority w:val="29"/>
    <w:locked/>
    <w:rsid w:val="00FF716F"/>
    <w:rPr>
      <w:rFonts w:ascii="Calibri" w:eastAsia="Calibri" w:hAnsi="Calibri"/>
      <w:i/>
      <w:iCs/>
      <w:color w:val="404040"/>
      <w:sz w:val="22"/>
      <w:szCs w:val="22"/>
      <w:lang w:eastAsia="en-US"/>
    </w:rPr>
  </w:style>
  <w:style w:type="character" w:customStyle="1" w:styleId="lemmamain">
    <w:name w:val="lemma__main"/>
    <w:rsid w:val="00FF716F"/>
  </w:style>
  <w:style w:type="character" w:customStyle="1" w:styleId="RozloendokumentuChar">
    <w:name w:val="Rozložení dokumentu Char"/>
    <w:link w:val="Rozloendokumentu"/>
    <w:semiHidden/>
    <w:rsid w:val="00FF716F"/>
    <w:rPr>
      <w:rFonts w:ascii="Tahoma" w:eastAsia="Times" w:hAnsi="Tahoma" w:cs="Tahoma"/>
      <w:noProof/>
      <w:sz w:val="16"/>
      <w:szCs w:val="16"/>
    </w:rPr>
  </w:style>
  <w:style w:type="character" w:customStyle="1" w:styleId="CittChar1">
    <w:name w:val="Citát Char1"/>
    <w:rsid w:val="00FF716F"/>
    <w:rPr>
      <w:rFonts w:ascii="Calibri" w:eastAsia="Times" w:hAnsi="Calibri"/>
      <w:i/>
      <w:iCs/>
      <w:noProof/>
      <w:color w:val="000000"/>
      <w:sz w:val="24"/>
    </w:rPr>
  </w:style>
  <w:style w:type="character" w:customStyle="1" w:styleId="e24kjd">
    <w:name w:val="e24kjd"/>
    <w:rsid w:val="00FF716F"/>
  </w:style>
  <w:style w:type="character" w:customStyle="1" w:styleId="CittChar2">
    <w:name w:val="Citát Char2"/>
    <w:rsid w:val="00FF716F"/>
    <w:rPr>
      <w:rFonts w:ascii="Calibri" w:eastAsia="Times" w:hAnsi="Calibri"/>
      <w:i/>
      <w:iCs/>
      <w:noProof/>
      <w:color w:val="000000"/>
      <w:sz w:val="24"/>
    </w:rPr>
  </w:style>
  <w:style w:type="paragraph" w:styleId="Citt">
    <w:name w:val="Quote"/>
    <w:basedOn w:val="Normln"/>
    <w:next w:val="Normln"/>
    <w:link w:val="CittChar3"/>
    <w:rsid w:val="00FF716F"/>
    <w:pPr>
      <w:spacing w:before="200" w:after="160" w:line="259" w:lineRule="auto"/>
      <w:ind w:left="864" w:right="864"/>
      <w:jc w:val="center"/>
    </w:pPr>
    <w:rPr>
      <w:rFonts w:eastAsia="Calibri"/>
      <w:i/>
      <w:iCs/>
      <w:color w:val="404040"/>
      <w:sz w:val="22"/>
      <w:szCs w:val="22"/>
      <w:lang w:eastAsia="en-US"/>
    </w:rPr>
  </w:style>
  <w:style w:type="character" w:customStyle="1" w:styleId="CittChar3">
    <w:name w:val="Citát Char3"/>
    <w:link w:val="Citt"/>
    <w:rsid w:val="00FF716F"/>
    <w:rPr>
      <w:rFonts w:ascii="Calibri" w:eastAsia="Calibri" w:hAnsi="Calibri"/>
      <w:i/>
      <w:iCs/>
      <w:color w:val="404040"/>
      <w:sz w:val="22"/>
      <w:szCs w:val="22"/>
      <w:lang w:eastAsia="en-US"/>
    </w:rPr>
  </w:style>
  <w:style w:type="character" w:customStyle="1" w:styleId="CharChar8">
    <w:name w:val="Char Char8"/>
    <w:rsid w:val="00FF716F"/>
    <w:rPr>
      <w:rFonts w:ascii="Calibri" w:hAnsi="Calibri"/>
    </w:rPr>
  </w:style>
  <w:style w:type="character" w:styleId="Zstupntext">
    <w:name w:val="Placeholder Text"/>
    <w:uiPriority w:val="99"/>
    <w:semiHidden/>
    <w:rsid w:val="00FF716F"/>
    <w:rPr>
      <w:color w:val="808080"/>
    </w:rPr>
  </w:style>
  <w:style w:type="paragraph" w:customStyle="1" w:styleId="1">
    <w:name w:val="1"/>
    <w:basedOn w:val="Normln"/>
    <w:next w:val="Normln"/>
    <w:rsid w:val="00FF716F"/>
    <w:pPr>
      <w:spacing w:before="120" w:after="240" w:line="288" w:lineRule="auto"/>
    </w:pPr>
    <w:rPr>
      <w:color w:val="000000"/>
      <w:sz w:val="22"/>
    </w:rPr>
  </w:style>
  <w:style w:type="character" w:customStyle="1" w:styleId="a0">
    <w:name w:val="_"/>
    <w:rsid w:val="00FF716F"/>
  </w:style>
  <w:style w:type="character" w:customStyle="1" w:styleId="a1">
    <w:name w:val="a"/>
    <w:rsid w:val="00FF716F"/>
  </w:style>
  <w:style w:type="character" w:customStyle="1" w:styleId="A00">
    <w:name w:val="A0"/>
    <w:uiPriority w:val="99"/>
    <w:rsid w:val="00FF716F"/>
    <w:rPr>
      <w:color w:val="000000"/>
      <w:sz w:val="14"/>
      <w:szCs w:val="14"/>
    </w:rPr>
  </w:style>
  <w:style w:type="character" w:customStyle="1" w:styleId="A11">
    <w:name w:val="A1"/>
    <w:uiPriority w:val="99"/>
    <w:rsid w:val="00FF716F"/>
    <w:rPr>
      <w:rFonts w:cs="Verdana"/>
      <w:i/>
      <w:iCs/>
      <w:color w:val="000000"/>
      <w:sz w:val="14"/>
      <w:szCs w:val="14"/>
    </w:rPr>
  </w:style>
  <w:style w:type="character" w:customStyle="1" w:styleId="A2">
    <w:name w:val="A2"/>
    <w:uiPriority w:val="99"/>
    <w:rsid w:val="00FF716F"/>
    <w:rPr>
      <w:color w:val="000000"/>
      <w:sz w:val="36"/>
      <w:szCs w:val="36"/>
    </w:rPr>
  </w:style>
  <w:style w:type="character" w:customStyle="1" w:styleId="A3">
    <w:name w:val="A3"/>
    <w:uiPriority w:val="99"/>
    <w:rsid w:val="00FF716F"/>
    <w:rPr>
      <w:color w:val="000000"/>
      <w:sz w:val="22"/>
      <w:szCs w:val="22"/>
    </w:rPr>
  </w:style>
  <w:style w:type="character" w:customStyle="1" w:styleId="A4">
    <w:name w:val="A4"/>
    <w:uiPriority w:val="99"/>
    <w:rsid w:val="00FF716F"/>
    <w:rPr>
      <w:rFonts w:cs="Verdana"/>
      <w:b/>
      <w:bCs/>
      <w:color w:val="000000"/>
      <w:sz w:val="10"/>
      <w:szCs w:val="10"/>
    </w:rPr>
  </w:style>
  <w:style w:type="character" w:customStyle="1" w:styleId="a-button-inner">
    <w:name w:val="a-button-inner"/>
    <w:rsid w:val="00FF716F"/>
  </w:style>
  <w:style w:type="character" w:customStyle="1" w:styleId="a-button-text">
    <w:name w:val="a-button-text"/>
    <w:rsid w:val="00FF716F"/>
  </w:style>
  <w:style w:type="character" w:customStyle="1" w:styleId="a-color-link">
    <w:name w:val="a-color-link"/>
    <w:rsid w:val="00FF716F"/>
  </w:style>
  <w:style w:type="character" w:customStyle="1" w:styleId="a-color-price">
    <w:name w:val="a-color-price"/>
    <w:rsid w:val="00FF716F"/>
  </w:style>
  <w:style w:type="character" w:customStyle="1" w:styleId="a-size-extra-large">
    <w:name w:val="a-size-extra-large"/>
    <w:rsid w:val="00FF716F"/>
  </w:style>
  <w:style w:type="character" w:customStyle="1" w:styleId="a-size-small">
    <w:name w:val="a-size-small"/>
    <w:rsid w:val="00FF716F"/>
  </w:style>
  <w:style w:type="character" w:customStyle="1" w:styleId="author-list">
    <w:name w:val="author-list"/>
    <w:rsid w:val="00FF716F"/>
  </w:style>
  <w:style w:type="character" w:customStyle="1" w:styleId="author-name">
    <w:name w:val="author-name"/>
    <w:rsid w:val="00FF716F"/>
  </w:style>
  <w:style w:type="character" w:customStyle="1" w:styleId="bibleref">
    <w:name w:val="bibleref"/>
    <w:rsid w:val="00FF716F"/>
  </w:style>
  <w:style w:type="character" w:customStyle="1" w:styleId="Bibliografie1">
    <w:name w:val="Bibliografie1"/>
    <w:rsid w:val="00FF716F"/>
  </w:style>
  <w:style w:type="paragraph" w:customStyle="1" w:styleId="booktitle">
    <w:name w:val="booktitle"/>
    <w:basedOn w:val="Normln"/>
    <w:rsid w:val="00FF716F"/>
    <w:pPr>
      <w:spacing w:before="100" w:beforeAutospacing="1" w:after="100" w:afterAutospacing="1" w:line="240" w:lineRule="auto"/>
      <w:jc w:val="left"/>
    </w:pPr>
    <w:rPr>
      <w:rFonts w:ascii="Times New Roman" w:eastAsia="Times New Roman" w:hAnsi="Times New Roman"/>
      <w:szCs w:val="24"/>
    </w:rPr>
  </w:style>
  <w:style w:type="character" w:customStyle="1" w:styleId="book-title">
    <w:name w:val="book-title"/>
    <w:rsid w:val="00FF716F"/>
  </w:style>
  <w:style w:type="character" w:customStyle="1" w:styleId="breaker-breaker">
    <w:name w:val="breaker-breaker"/>
    <w:rsid w:val="00FF716F"/>
  </w:style>
  <w:style w:type="character" w:customStyle="1" w:styleId="by">
    <w:name w:val="by"/>
    <w:rsid w:val="00FF716F"/>
  </w:style>
  <w:style w:type="character" w:customStyle="1" w:styleId="cno">
    <w:name w:val="c_no"/>
    <w:rsid w:val="00FF716F"/>
  </w:style>
  <w:style w:type="character" w:customStyle="1" w:styleId="cv">
    <w:name w:val="c_v"/>
    <w:rsid w:val="00FF716F"/>
  </w:style>
  <w:style w:type="character" w:customStyle="1" w:styleId="cit">
    <w:name w:val="cit"/>
    <w:rsid w:val="00FF716F"/>
  </w:style>
  <w:style w:type="paragraph" w:customStyle="1" w:styleId="Citace1">
    <w:name w:val="Citace1"/>
    <w:basedOn w:val="Normln"/>
    <w:next w:val="Normln"/>
    <w:rsid w:val="00FF716F"/>
    <w:pPr>
      <w:spacing w:before="120" w:after="240" w:line="288" w:lineRule="auto"/>
    </w:pPr>
    <w:rPr>
      <w:color w:val="000000"/>
      <w:sz w:val="22"/>
    </w:rPr>
  </w:style>
  <w:style w:type="character" w:customStyle="1" w:styleId="cizojazycne">
    <w:name w:val="cizojazycne"/>
    <w:rsid w:val="00FF716F"/>
  </w:style>
  <w:style w:type="character" w:customStyle="1" w:styleId="collapsed-text">
    <w:name w:val="collapsed-text"/>
    <w:rsid w:val="00FF716F"/>
  </w:style>
  <w:style w:type="paragraph" w:customStyle="1" w:styleId="contributor-listreveal">
    <w:name w:val="contributor-list__reveal"/>
    <w:basedOn w:val="Normln"/>
    <w:rsid w:val="00FF716F"/>
    <w:pPr>
      <w:spacing w:before="100" w:beforeAutospacing="1" w:after="100" w:afterAutospacing="1" w:line="240" w:lineRule="auto"/>
      <w:jc w:val="left"/>
    </w:pPr>
    <w:rPr>
      <w:rFonts w:ascii="Times New Roman" w:eastAsia="Times New Roman" w:hAnsi="Times New Roman"/>
      <w:szCs w:val="24"/>
    </w:rPr>
  </w:style>
  <w:style w:type="character" w:customStyle="1" w:styleId="contributor-listtoggler">
    <w:name w:val="contributor-list__toggler"/>
    <w:rsid w:val="00FF716F"/>
  </w:style>
  <w:style w:type="character" w:customStyle="1" w:styleId="contributorname">
    <w:name w:val="contributorname"/>
    <w:rsid w:val="00FF716F"/>
  </w:style>
  <w:style w:type="character" w:customStyle="1" w:styleId="count">
    <w:name w:val="count"/>
    <w:rsid w:val="00FF716F"/>
  </w:style>
  <w:style w:type="character" w:customStyle="1" w:styleId="Datum1">
    <w:name w:val="Datum1"/>
    <w:rsid w:val="00FF716F"/>
  </w:style>
  <w:style w:type="character" w:customStyle="1" w:styleId="detail">
    <w:name w:val="detail"/>
    <w:rsid w:val="00FF716F"/>
  </w:style>
  <w:style w:type="character" w:customStyle="1" w:styleId="dn">
    <w:name w:val="dn"/>
    <w:rsid w:val="00FF716F"/>
  </w:style>
  <w:style w:type="character" w:customStyle="1" w:styleId="doplnte-zdroj">
    <w:name w:val="doplnte-zdroj"/>
    <w:rsid w:val="00FF716F"/>
  </w:style>
  <w:style w:type="character" w:customStyle="1" w:styleId="EndnoteCharacters">
    <w:name w:val="Endnote Characters"/>
    <w:rsid w:val="00FF716F"/>
    <w:rPr>
      <w:vertAlign w:val="superscript"/>
    </w:rPr>
  </w:style>
  <w:style w:type="character" w:customStyle="1" w:styleId="english">
    <w:name w:val="english"/>
    <w:rsid w:val="00FF716F"/>
  </w:style>
  <w:style w:type="character" w:customStyle="1" w:styleId="entitled">
    <w:name w:val="entitled"/>
    <w:rsid w:val="00FF716F"/>
  </w:style>
  <w:style w:type="character" w:customStyle="1" w:styleId="ff2">
    <w:name w:val="ff2"/>
    <w:rsid w:val="00FF716F"/>
  </w:style>
  <w:style w:type="character" w:customStyle="1" w:styleId="ff3">
    <w:name w:val="ff3"/>
    <w:rsid w:val="00FF716F"/>
  </w:style>
  <w:style w:type="character" w:customStyle="1" w:styleId="ff8">
    <w:name w:val="ff8"/>
    <w:rsid w:val="00FF716F"/>
  </w:style>
  <w:style w:type="character" w:customStyle="1" w:styleId="ff9">
    <w:name w:val="ff9"/>
    <w:rsid w:val="00FF716F"/>
  </w:style>
  <w:style w:type="character" w:customStyle="1" w:styleId="field264">
    <w:name w:val="field_264"/>
    <w:rsid w:val="00FF716F"/>
  </w:style>
  <w:style w:type="character" w:customStyle="1" w:styleId="FootnoteCharacters">
    <w:name w:val="Footnote Characters"/>
    <w:rsid w:val="00FF716F"/>
    <w:rPr>
      <w:vertAlign w:val="superscript"/>
    </w:rPr>
  </w:style>
  <w:style w:type="character" w:customStyle="1" w:styleId="form-of">
    <w:name w:val="form-of"/>
    <w:rsid w:val="00FF716F"/>
  </w:style>
  <w:style w:type="character" w:customStyle="1" w:styleId="fsa">
    <w:name w:val="fsa"/>
    <w:rsid w:val="00FF716F"/>
  </w:style>
  <w:style w:type="character" w:customStyle="1" w:styleId="gb-buy-options-arrow">
    <w:name w:val="gb-buy-options-arrow"/>
    <w:rsid w:val="00FF716F"/>
  </w:style>
  <w:style w:type="character" w:customStyle="1" w:styleId="gn-242">
    <w:name w:val="gn-24:2"/>
    <w:rsid w:val="00FF716F"/>
  </w:style>
  <w:style w:type="character" w:customStyle="1" w:styleId="gn-243">
    <w:name w:val="gn-24:3"/>
    <w:rsid w:val="00FF716F"/>
  </w:style>
  <w:style w:type="character" w:customStyle="1" w:styleId="grek">
    <w:name w:val="grek"/>
    <w:rsid w:val="00FF716F"/>
  </w:style>
  <w:style w:type="paragraph" w:customStyle="1" w:styleId="Heading">
    <w:name w:val="Heading"/>
    <w:basedOn w:val="Normln"/>
    <w:next w:val="Zkladntext"/>
    <w:rsid w:val="00FF716F"/>
    <w:pPr>
      <w:keepNext/>
      <w:suppressAutoHyphens/>
      <w:spacing w:before="240" w:after="120" w:line="312" w:lineRule="auto"/>
    </w:pPr>
    <w:rPr>
      <w:rFonts w:ascii="Liberation Sans" w:eastAsia="Microsoft YaHei" w:hAnsi="Liberation Sans" w:cs="Lucida Sans"/>
      <w:sz w:val="28"/>
      <w:szCs w:val="28"/>
      <w:lang w:eastAsia="zh-CN"/>
    </w:rPr>
  </w:style>
  <w:style w:type="character" w:customStyle="1" w:styleId="hidden-author">
    <w:name w:val="hidden-author"/>
    <w:rsid w:val="00FF716F"/>
  </w:style>
  <w:style w:type="character" w:customStyle="1" w:styleId="highwire-citation-author">
    <w:name w:val="highwire-citation-author"/>
    <w:rsid w:val="00FF716F"/>
  </w:style>
  <w:style w:type="character" w:customStyle="1" w:styleId="highwire-cite-metadata-date">
    <w:name w:val="highwire-cite-metadata-date"/>
    <w:rsid w:val="00FF716F"/>
  </w:style>
  <w:style w:type="character" w:customStyle="1" w:styleId="highwire-cite-metadata-doi">
    <w:name w:val="highwire-cite-metadata-doi"/>
    <w:rsid w:val="00FF716F"/>
  </w:style>
  <w:style w:type="character" w:customStyle="1" w:styleId="highwire-cite-metadata-issue">
    <w:name w:val="highwire-cite-metadata-issue"/>
    <w:rsid w:val="00FF716F"/>
  </w:style>
  <w:style w:type="character" w:customStyle="1" w:styleId="highwire-cite-metadata-journal">
    <w:name w:val="highwire-cite-metadata-journal"/>
    <w:rsid w:val="00FF716F"/>
  </w:style>
  <w:style w:type="character" w:customStyle="1" w:styleId="highwire-cite-metadata-pages">
    <w:name w:val="highwire-cite-metadata-pages"/>
    <w:rsid w:val="00FF716F"/>
  </w:style>
  <w:style w:type="character" w:customStyle="1" w:styleId="highwire-cite-metadata-papdate">
    <w:name w:val="highwire-cite-metadata-papdate"/>
    <w:rsid w:val="00FF716F"/>
  </w:style>
  <w:style w:type="character" w:customStyle="1" w:styleId="highwire-cite-metadata-volume">
    <w:name w:val="highwire-cite-metadata-volume"/>
    <w:rsid w:val="00FF716F"/>
  </w:style>
  <w:style w:type="character" w:customStyle="1" w:styleId="ilfuvd">
    <w:name w:val="ilfuvd"/>
    <w:rsid w:val="00FF716F"/>
  </w:style>
  <w:style w:type="paragraph" w:customStyle="1" w:styleId="Index">
    <w:name w:val="Index"/>
    <w:basedOn w:val="Normln"/>
    <w:rsid w:val="00FF716F"/>
    <w:pPr>
      <w:suppressLineNumbers/>
      <w:suppressAutoHyphens/>
      <w:spacing w:line="312" w:lineRule="auto"/>
    </w:pPr>
    <w:rPr>
      <w:rFonts w:cs="Lucida Sans"/>
      <w:lang w:eastAsia="zh-CN"/>
    </w:rPr>
  </w:style>
  <w:style w:type="character" w:customStyle="1" w:styleId="infovalue">
    <w:name w:val="info_value"/>
    <w:rsid w:val="00FF716F"/>
  </w:style>
  <w:style w:type="character" w:customStyle="1" w:styleId="ipa">
    <w:name w:val="ipa"/>
    <w:rsid w:val="00FF716F"/>
  </w:style>
  <w:style w:type="character" w:customStyle="1" w:styleId="italics">
    <w:name w:val="italics"/>
    <w:rsid w:val="00FF716F"/>
  </w:style>
  <w:style w:type="character" w:customStyle="1" w:styleId="Standardnpsmoodstavce1">
    <w:name w:val="Standardní písmo odstavce1"/>
    <w:rsid w:val="00FF716F"/>
  </w:style>
  <w:style w:type="character" w:customStyle="1" w:styleId="js-separator">
    <w:name w:val="js-separator"/>
    <w:rsid w:val="00FF716F"/>
  </w:style>
  <w:style w:type="character" w:styleId="KdHTML">
    <w:name w:val="HTML Code"/>
    <w:uiPriority w:val="99"/>
    <w:semiHidden/>
    <w:unhideWhenUsed/>
    <w:rsid w:val="00FF716F"/>
    <w:rPr>
      <w:rFonts w:ascii="Courier New" w:eastAsia="Times New Roman" w:hAnsi="Courier New" w:cs="Courier New"/>
      <w:sz w:val="20"/>
      <w:szCs w:val="20"/>
    </w:rPr>
  </w:style>
  <w:style w:type="character" w:customStyle="1" w:styleId="l6">
    <w:name w:val="l6"/>
    <w:rsid w:val="00FF716F"/>
  </w:style>
  <w:style w:type="character" w:customStyle="1" w:styleId="lang-grc">
    <w:name w:val="lang-grc"/>
    <w:rsid w:val="00FF716F"/>
  </w:style>
  <w:style w:type="character" w:customStyle="1" w:styleId="lang-tr">
    <w:name w:val="lang-tr"/>
    <w:rsid w:val="00FF716F"/>
  </w:style>
  <w:style w:type="character" w:customStyle="1" w:styleId="latn">
    <w:name w:val="latn"/>
    <w:rsid w:val="00FF716F"/>
  </w:style>
  <w:style w:type="character" w:customStyle="1" w:styleId="lbl">
    <w:name w:val="lbl"/>
    <w:rsid w:val="00FF716F"/>
  </w:style>
  <w:style w:type="character" w:customStyle="1" w:styleId="licensetplattr">
    <w:name w:val="licensetpl_attr"/>
    <w:rsid w:val="00FF716F"/>
  </w:style>
  <w:style w:type="character" w:customStyle="1" w:styleId="ls4">
    <w:name w:val="ls4"/>
    <w:rsid w:val="00FF716F"/>
  </w:style>
  <w:style w:type="paragraph" w:customStyle="1" w:styleId="mb-0">
    <w:name w:val="mb-0"/>
    <w:basedOn w:val="Normln"/>
    <w:rsid w:val="00FF716F"/>
    <w:pPr>
      <w:spacing w:before="100" w:beforeAutospacing="1" w:after="100" w:afterAutospacing="1" w:line="240" w:lineRule="auto"/>
      <w:jc w:val="left"/>
    </w:pPr>
    <w:rPr>
      <w:rFonts w:ascii="Times New Roman" w:eastAsia="Times New Roman" w:hAnsi="Times New Roman"/>
      <w:szCs w:val="24"/>
    </w:rPr>
  </w:style>
  <w:style w:type="character" w:customStyle="1" w:styleId="mobile-undersized-upper">
    <w:name w:val="mobile-undersized-upper"/>
    <w:rsid w:val="00FF716F"/>
  </w:style>
  <w:style w:type="table" w:styleId="Mkatabulky">
    <w:name w:val="Table Grid"/>
    <w:basedOn w:val="Normlntabulka"/>
    <w:uiPriority w:val="59"/>
    <w:rsid w:val="00FF716F"/>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mw-mmv-source">
    <w:name w:val="mw-mmv-source"/>
    <w:rsid w:val="00FF716F"/>
  </w:style>
  <w:style w:type="character" w:customStyle="1" w:styleId="Nzev2">
    <w:name w:val="Název2"/>
    <w:rsid w:val="00FF716F"/>
  </w:style>
  <w:style w:type="character" w:customStyle="1" w:styleId="Nzev3">
    <w:name w:val="Název3"/>
    <w:rsid w:val="00FF716F"/>
  </w:style>
  <w:style w:type="character" w:customStyle="1" w:styleId="Nzev4">
    <w:name w:val="Název4"/>
    <w:rsid w:val="00FF716F"/>
  </w:style>
  <w:style w:type="character" w:customStyle="1" w:styleId="nlmsource">
    <w:name w:val="nlm_source"/>
    <w:rsid w:val="00FF716F"/>
  </w:style>
  <w:style w:type="character" w:customStyle="1" w:styleId="nlmsourcecontrib">
    <w:name w:val="nlm_source_contrib"/>
    <w:rsid w:val="00FF716F"/>
  </w:style>
  <w:style w:type="character" w:customStyle="1" w:styleId="noprint">
    <w:name w:val="noprint"/>
    <w:rsid w:val="00FF716F"/>
  </w:style>
  <w:style w:type="paragraph" w:customStyle="1" w:styleId="Normlnodsazen1">
    <w:name w:val="Normální odsazený1"/>
    <w:basedOn w:val="Normln"/>
    <w:rsid w:val="00FF716F"/>
    <w:pPr>
      <w:suppressAutoHyphens/>
      <w:spacing w:line="312" w:lineRule="auto"/>
      <w:ind w:left="708"/>
    </w:pPr>
    <w:rPr>
      <w:rFonts w:cs="Calibri"/>
      <w:lang w:eastAsia="zh-CN"/>
    </w:rPr>
  </w:style>
  <w:style w:type="character" w:customStyle="1" w:styleId="num-ratings">
    <w:name w:val="num-ratings"/>
    <w:rsid w:val="00FF716F"/>
  </w:style>
  <w:style w:type="character" w:customStyle="1" w:styleId="Odkaznakoment1">
    <w:name w:val="Odkaz na komentář1"/>
    <w:rsid w:val="00FF716F"/>
    <w:rPr>
      <w:sz w:val="16"/>
      <w:szCs w:val="16"/>
    </w:rPr>
  </w:style>
  <w:style w:type="character" w:customStyle="1" w:styleId="Odkaznavysvtlivky1">
    <w:name w:val="Odkaz na vysvětlivky1"/>
    <w:rsid w:val="00FF716F"/>
    <w:rPr>
      <w:vertAlign w:val="superscript"/>
    </w:rPr>
  </w:style>
  <w:style w:type="character" w:customStyle="1" w:styleId="ouvrage">
    <w:name w:val="ouvrage"/>
    <w:rsid w:val="00FF716F"/>
  </w:style>
  <w:style w:type="character" w:customStyle="1" w:styleId="overlinesection">
    <w:name w:val="overline__section"/>
    <w:rsid w:val="00FF716F"/>
  </w:style>
  <w:style w:type="character" w:customStyle="1" w:styleId="overlinesubject">
    <w:name w:val="overline__subject"/>
    <w:rsid w:val="00FF716F"/>
  </w:style>
  <w:style w:type="paragraph" w:customStyle="1" w:styleId="Pa0">
    <w:name w:val="Pa0"/>
    <w:basedOn w:val="Default"/>
    <w:next w:val="Default"/>
    <w:uiPriority w:val="99"/>
    <w:rsid w:val="00FF716F"/>
    <w:pPr>
      <w:spacing w:line="241" w:lineRule="atLeast"/>
    </w:pPr>
    <w:rPr>
      <w:rFonts w:ascii="Verdana" w:hAnsi="Verdana" w:cs="Times New Roman"/>
      <w:color w:val="auto"/>
    </w:rPr>
  </w:style>
  <w:style w:type="paragraph" w:customStyle="1" w:styleId="Pa12">
    <w:name w:val="Pa12"/>
    <w:basedOn w:val="Default"/>
    <w:next w:val="Default"/>
    <w:uiPriority w:val="99"/>
    <w:rsid w:val="00FF716F"/>
    <w:pPr>
      <w:spacing w:line="221" w:lineRule="atLeast"/>
    </w:pPr>
    <w:rPr>
      <w:rFonts w:ascii="Times New Roman" w:hAnsi="Times New Roman" w:cs="Times New Roman"/>
      <w:color w:val="auto"/>
    </w:rPr>
  </w:style>
  <w:style w:type="paragraph" w:customStyle="1" w:styleId="Pa2">
    <w:name w:val="Pa2"/>
    <w:basedOn w:val="Default"/>
    <w:next w:val="Default"/>
    <w:uiPriority w:val="99"/>
    <w:rsid w:val="00FF716F"/>
    <w:pPr>
      <w:spacing w:line="240" w:lineRule="atLeast"/>
    </w:pPr>
    <w:rPr>
      <w:rFonts w:ascii="Times New Roman" w:hAnsi="Times New Roman" w:cs="Times New Roman"/>
      <w:color w:val="auto"/>
    </w:rPr>
  </w:style>
  <w:style w:type="paragraph" w:customStyle="1" w:styleId="Pa20">
    <w:name w:val="Pa20"/>
    <w:basedOn w:val="Default"/>
    <w:next w:val="Default"/>
    <w:uiPriority w:val="99"/>
    <w:rsid w:val="00FF716F"/>
    <w:pPr>
      <w:spacing w:line="181" w:lineRule="atLeast"/>
    </w:pPr>
    <w:rPr>
      <w:color w:val="auto"/>
    </w:rPr>
  </w:style>
  <w:style w:type="character" w:customStyle="1" w:styleId="pagenum">
    <w:name w:val="pagenum"/>
    <w:rsid w:val="00FF716F"/>
  </w:style>
  <w:style w:type="character" w:customStyle="1" w:styleId="page-numbers-info">
    <w:name w:val="page-numbers-info"/>
    <w:rsid w:val="00FF716F"/>
  </w:style>
  <w:style w:type="character" w:customStyle="1" w:styleId="parent-pub">
    <w:name w:val="parent-pub"/>
    <w:rsid w:val="00FF716F"/>
  </w:style>
  <w:style w:type="character" w:customStyle="1" w:styleId="personname">
    <w:name w:val="person_name"/>
    <w:rsid w:val="00FF716F"/>
  </w:style>
  <w:style w:type="character" w:customStyle="1" w:styleId="pinyin">
    <w:name w:val="pinyin"/>
    <w:rsid w:val="00FF716F"/>
  </w:style>
  <w:style w:type="character" w:customStyle="1" w:styleId="place">
    <w:name w:val="place"/>
    <w:rsid w:val="00FF716F"/>
  </w:style>
  <w:style w:type="character" w:customStyle="1" w:styleId="plainlinks-print">
    <w:name w:val="plainlinks-print"/>
    <w:rsid w:val="00FF716F"/>
  </w:style>
  <w:style w:type="character" w:customStyle="1" w:styleId="pluginpagetreechildrenspan">
    <w:name w:val="plugin_pagetree_children_span"/>
    <w:rsid w:val="00FF716F"/>
  </w:style>
  <w:style w:type="character" w:customStyle="1" w:styleId="Podnadpis1">
    <w:name w:val="Podnadpis1"/>
    <w:rsid w:val="00FF716F"/>
  </w:style>
  <w:style w:type="character" w:customStyle="1" w:styleId="Podnadpis2">
    <w:name w:val="Podnadpis2"/>
    <w:rsid w:val="00FF716F"/>
  </w:style>
  <w:style w:type="character" w:customStyle="1" w:styleId="Podnadpis3">
    <w:name w:val="Podnadpis3"/>
    <w:rsid w:val="00FF716F"/>
  </w:style>
  <w:style w:type="character" w:customStyle="1" w:styleId="Podtitul2">
    <w:name w:val="Podtitul2"/>
    <w:rsid w:val="00FF716F"/>
  </w:style>
  <w:style w:type="character" w:customStyle="1" w:styleId="Podtitul3">
    <w:name w:val="Podtitul3"/>
    <w:rsid w:val="00FF716F"/>
  </w:style>
  <w:style w:type="character" w:customStyle="1" w:styleId="Podtitul4">
    <w:name w:val="Podtitul4"/>
    <w:rsid w:val="00FF716F"/>
  </w:style>
  <w:style w:type="character" w:customStyle="1" w:styleId="Podtitul5">
    <w:name w:val="Podtitul5"/>
    <w:rsid w:val="00FF716F"/>
  </w:style>
  <w:style w:type="character" w:customStyle="1" w:styleId="Podtitul6">
    <w:name w:val="Podtitul6"/>
    <w:rsid w:val="00FF716F"/>
  </w:style>
  <w:style w:type="character" w:customStyle="1" w:styleId="polytonic">
    <w:name w:val="polytonic"/>
    <w:rsid w:val="00FF716F"/>
  </w:style>
  <w:style w:type="paragraph" w:styleId="Titulek">
    <w:name w:val="caption"/>
    <w:basedOn w:val="Normln"/>
    <w:rsid w:val="00FF716F"/>
    <w:pPr>
      <w:suppressLineNumbers/>
      <w:suppressAutoHyphens/>
      <w:spacing w:before="120" w:after="120" w:line="312" w:lineRule="auto"/>
    </w:pPr>
    <w:rPr>
      <w:rFonts w:cs="Lucida Sans"/>
      <w:i/>
      <w:iCs/>
      <w:szCs w:val="24"/>
      <w:lang w:eastAsia="zh-CN"/>
    </w:rPr>
  </w:style>
  <w:style w:type="paragraph" w:customStyle="1" w:styleId="Popiska">
    <w:name w:val="Popiska"/>
    <w:basedOn w:val="Titulek"/>
    <w:rsid w:val="00FF716F"/>
    <w:rPr>
      <w:i w:val="0"/>
      <w:sz w:val="20"/>
    </w:rPr>
  </w:style>
  <w:style w:type="character" w:customStyle="1" w:styleId="price">
    <w:name w:val="price"/>
    <w:rsid w:val="00FF716F"/>
  </w:style>
  <w:style w:type="character" w:customStyle="1" w:styleId="proper">
    <w:name w:val="proper"/>
    <w:rsid w:val="00FF716F"/>
  </w:style>
  <w:style w:type="character" w:customStyle="1" w:styleId="publication-meta-date">
    <w:name w:val="publication-meta-date"/>
    <w:rsid w:val="00FF716F"/>
  </w:style>
  <w:style w:type="character" w:customStyle="1" w:styleId="publication-meta-journal">
    <w:name w:val="publication-meta-journal"/>
    <w:rsid w:val="00FF716F"/>
  </w:style>
  <w:style w:type="character" w:customStyle="1" w:styleId="publication-meta-separator">
    <w:name w:val="publication-meta-separator"/>
    <w:rsid w:val="00FF716F"/>
  </w:style>
  <w:style w:type="character" w:customStyle="1" w:styleId="publication-meta-stats">
    <w:name w:val="publication-meta-stats"/>
    <w:rsid w:val="00FF716F"/>
  </w:style>
  <w:style w:type="paragraph" w:customStyle="1" w:styleId="Randtext">
    <w:name w:val="Randtext"/>
    <w:basedOn w:val="Normln"/>
    <w:uiPriority w:val="99"/>
    <w:rsid w:val="00FF716F"/>
    <w:pPr>
      <w:autoSpaceDE w:val="0"/>
      <w:autoSpaceDN w:val="0"/>
      <w:spacing w:line="240" w:lineRule="auto"/>
      <w:jc w:val="left"/>
    </w:pPr>
    <w:rPr>
      <w:rFonts w:ascii="New York" w:eastAsia="Times New Roman" w:hAnsi="New York" w:cs="New York"/>
      <w:szCs w:val="24"/>
      <w:lang w:val="de-DE"/>
    </w:rPr>
  </w:style>
  <w:style w:type="character" w:customStyle="1" w:styleId="reference">
    <w:name w:val="reference"/>
    <w:rsid w:val="00FF716F"/>
  </w:style>
  <w:style w:type="paragraph" w:customStyle="1" w:styleId="Rejstk41">
    <w:name w:val="Rejstřík 41"/>
    <w:basedOn w:val="Normln"/>
    <w:next w:val="Normln"/>
    <w:rsid w:val="00FF716F"/>
    <w:pPr>
      <w:suppressAutoHyphens/>
      <w:spacing w:line="312" w:lineRule="auto"/>
      <w:ind w:left="960" w:hanging="240"/>
      <w:jc w:val="left"/>
    </w:pPr>
    <w:rPr>
      <w:rFonts w:cs="Calibri"/>
      <w:sz w:val="18"/>
      <w:szCs w:val="18"/>
      <w:lang w:eastAsia="zh-CN"/>
    </w:rPr>
  </w:style>
  <w:style w:type="paragraph" w:customStyle="1" w:styleId="Rejstk51">
    <w:name w:val="Rejstřík 51"/>
    <w:basedOn w:val="Normln"/>
    <w:next w:val="Normln"/>
    <w:rsid w:val="00FF716F"/>
    <w:pPr>
      <w:suppressAutoHyphens/>
      <w:spacing w:line="312" w:lineRule="auto"/>
      <w:ind w:left="1200" w:hanging="240"/>
      <w:jc w:val="left"/>
    </w:pPr>
    <w:rPr>
      <w:rFonts w:cs="Calibri"/>
      <w:sz w:val="18"/>
      <w:szCs w:val="18"/>
      <w:lang w:eastAsia="zh-CN"/>
    </w:rPr>
  </w:style>
  <w:style w:type="paragraph" w:customStyle="1" w:styleId="Rejstk61">
    <w:name w:val="Rejstřík 61"/>
    <w:basedOn w:val="Normln"/>
    <w:next w:val="Normln"/>
    <w:rsid w:val="00FF716F"/>
    <w:pPr>
      <w:suppressAutoHyphens/>
      <w:spacing w:line="312" w:lineRule="auto"/>
      <w:ind w:left="1440" w:hanging="240"/>
      <w:jc w:val="left"/>
    </w:pPr>
    <w:rPr>
      <w:rFonts w:cs="Calibri"/>
      <w:sz w:val="18"/>
      <w:szCs w:val="18"/>
      <w:lang w:eastAsia="zh-CN"/>
    </w:rPr>
  </w:style>
  <w:style w:type="paragraph" w:customStyle="1" w:styleId="Rejstk71">
    <w:name w:val="Rejstřík 71"/>
    <w:basedOn w:val="Normln"/>
    <w:next w:val="Normln"/>
    <w:rsid w:val="00FF716F"/>
    <w:pPr>
      <w:suppressAutoHyphens/>
      <w:spacing w:line="312" w:lineRule="auto"/>
      <w:ind w:left="1680" w:hanging="240"/>
      <w:jc w:val="left"/>
    </w:pPr>
    <w:rPr>
      <w:rFonts w:cs="Calibri"/>
      <w:sz w:val="18"/>
      <w:szCs w:val="18"/>
      <w:lang w:eastAsia="zh-CN"/>
    </w:rPr>
  </w:style>
  <w:style w:type="paragraph" w:customStyle="1" w:styleId="Rejstk81">
    <w:name w:val="Rejstřík 81"/>
    <w:basedOn w:val="Normln"/>
    <w:next w:val="Normln"/>
    <w:rsid w:val="00FF716F"/>
    <w:pPr>
      <w:suppressAutoHyphens/>
      <w:spacing w:line="312" w:lineRule="auto"/>
      <w:ind w:left="1920" w:hanging="240"/>
      <w:jc w:val="left"/>
    </w:pPr>
    <w:rPr>
      <w:rFonts w:cs="Calibri"/>
      <w:sz w:val="18"/>
      <w:szCs w:val="18"/>
      <w:lang w:eastAsia="zh-CN"/>
    </w:rPr>
  </w:style>
  <w:style w:type="paragraph" w:customStyle="1" w:styleId="Rejstk91">
    <w:name w:val="Rejstřík 91"/>
    <w:basedOn w:val="Normln"/>
    <w:next w:val="Normln"/>
    <w:rsid w:val="00FF716F"/>
    <w:pPr>
      <w:suppressAutoHyphens/>
      <w:spacing w:line="312" w:lineRule="auto"/>
      <w:ind w:left="2160" w:hanging="240"/>
      <w:jc w:val="left"/>
    </w:pPr>
    <w:rPr>
      <w:rFonts w:cs="Calibri"/>
      <w:sz w:val="18"/>
      <w:szCs w:val="18"/>
      <w:lang w:eastAsia="zh-CN"/>
    </w:rPr>
  </w:style>
  <w:style w:type="paragraph" w:styleId="Rozloendokumentu">
    <w:name w:val="Document Map"/>
    <w:basedOn w:val="Normln"/>
    <w:link w:val="RozloendokumentuChar"/>
    <w:semiHidden/>
    <w:unhideWhenUsed/>
    <w:rsid w:val="00FF716F"/>
    <w:pPr>
      <w:spacing w:line="240" w:lineRule="auto"/>
    </w:pPr>
    <w:rPr>
      <w:rFonts w:ascii="Tahoma" w:hAnsi="Tahoma" w:cs="Tahoma"/>
      <w:sz w:val="16"/>
      <w:szCs w:val="16"/>
    </w:rPr>
  </w:style>
  <w:style w:type="character" w:customStyle="1" w:styleId="RozloendokumentuChar1">
    <w:name w:val="Rozložení dokumentu Char1"/>
    <w:semiHidden/>
    <w:rsid w:val="00FF716F"/>
    <w:rPr>
      <w:rFonts w:ascii="Tahoma" w:eastAsia="Times" w:hAnsi="Tahoma" w:cs="Tahoma"/>
      <w:noProof/>
      <w:sz w:val="16"/>
      <w:szCs w:val="16"/>
    </w:rPr>
  </w:style>
  <w:style w:type="paragraph" w:customStyle="1" w:styleId="Rozvrendokumentu1">
    <w:name w:val="Rozvržení dokumentu1"/>
    <w:basedOn w:val="Normln"/>
    <w:rsid w:val="00FF716F"/>
    <w:pPr>
      <w:shd w:val="clear" w:color="auto" w:fill="000080"/>
    </w:pPr>
    <w:rPr>
      <w:rFonts w:ascii="Tahoma" w:hAnsi="Tahoma"/>
    </w:rPr>
  </w:style>
  <w:style w:type="paragraph" w:customStyle="1" w:styleId="Rozvrendokumentu11">
    <w:name w:val="Rozvržení dokumentu11"/>
    <w:basedOn w:val="Normln"/>
    <w:rsid w:val="00FF716F"/>
    <w:pPr>
      <w:shd w:val="clear" w:color="auto" w:fill="000080"/>
      <w:suppressAutoHyphens/>
      <w:spacing w:line="312" w:lineRule="auto"/>
    </w:pPr>
    <w:rPr>
      <w:rFonts w:ascii="Tahoma" w:hAnsi="Tahoma" w:cs="Tahoma"/>
    </w:rPr>
  </w:style>
  <w:style w:type="character" w:customStyle="1" w:styleId="separator">
    <w:name w:val="separator"/>
    <w:rsid w:val="00FF716F"/>
  </w:style>
  <w:style w:type="character" w:customStyle="1" w:styleId="series-volume">
    <w:name w:val="series-volume"/>
    <w:rsid w:val="00FF716F"/>
  </w:style>
  <w:style w:type="paragraph" w:customStyle="1" w:styleId="Seznam21">
    <w:name w:val="Seznam 21"/>
    <w:basedOn w:val="Normln"/>
    <w:rsid w:val="00FF716F"/>
    <w:pPr>
      <w:suppressAutoHyphens/>
      <w:spacing w:line="312" w:lineRule="auto"/>
      <w:ind w:left="566" w:hanging="283"/>
    </w:pPr>
    <w:rPr>
      <w:rFonts w:cs="Calibri"/>
      <w:lang w:eastAsia="zh-CN"/>
    </w:rPr>
  </w:style>
  <w:style w:type="paragraph" w:customStyle="1" w:styleId="Seznamobrzk1">
    <w:name w:val="Seznam obrázků1"/>
    <w:basedOn w:val="Normln"/>
    <w:next w:val="Normln"/>
    <w:rsid w:val="00FF716F"/>
    <w:pPr>
      <w:suppressAutoHyphens/>
      <w:spacing w:line="240" w:lineRule="auto"/>
    </w:pPr>
    <w:rPr>
      <w:rFonts w:ascii="Arial" w:hAnsi="Arial" w:cs="Arial"/>
      <w:b/>
      <w:sz w:val="22"/>
      <w:lang w:eastAsia="zh-CN"/>
    </w:rPr>
  </w:style>
  <w:style w:type="paragraph" w:customStyle="1" w:styleId="Seznamsodrkami1">
    <w:name w:val="Seznam s odrážkami1"/>
    <w:basedOn w:val="Normln"/>
    <w:rsid w:val="00FF716F"/>
    <w:pPr>
      <w:tabs>
        <w:tab w:val="num" w:pos="360"/>
      </w:tabs>
      <w:suppressAutoHyphens/>
      <w:spacing w:line="312" w:lineRule="auto"/>
      <w:ind w:left="360" w:hanging="360"/>
    </w:pPr>
    <w:rPr>
      <w:rFonts w:cs="Calibri"/>
      <w:lang w:eastAsia="zh-CN"/>
    </w:rPr>
  </w:style>
  <w:style w:type="character" w:customStyle="1" w:styleId="size-m">
    <w:name w:val="size-m"/>
    <w:rsid w:val="00FF716F"/>
  </w:style>
  <w:style w:type="character" w:customStyle="1" w:styleId="size-xl">
    <w:name w:val="size-xl"/>
    <w:rsid w:val="00FF716F"/>
  </w:style>
  <w:style w:type="character" w:customStyle="1" w:styleId="socialcount">
    <w:name w:val="social__count"/>
    <w:rsid w:val="00FF716F"/>
  </w:style>
  <w:style w:type="paragraph" w:customStyle="1" w:styleId="spcnt">
    <w:name w:val="sp_cnt"/>
    <w:basedOn w:val="Normln"/>
    <w:rsid w:val="00FF716F"/>
    <w:pPr>
      <w:spacing w:before="100" w:beforeAutospacing="1" w:after="100" w:afterAutospacing="1" w:line="240" w:lineRule="auto"/>
      <w:jc w:val="left"/>
    </w:pPr>
    <w:rPr>
      <w:rFonts w:ascii="Times New Roman" w:eastAsia="Times New Roman" w:hAnsi="Times New Roman"/>
      <w:szCs w:val="24"/>
    </w:rPr>
  </w:style>
  <w:style w:type="character" w:customStyle="1" w:styleId="spell">
    <w:name w:val="spell"/>
    <w:rsid w:val="00FF716F"/>
  </w:style>
  <w:style w:type="character" w:customStyle="1" w:styleId="spellorig">
    <w:name w:val="spell_orig"/>
    <w:rsid w:val="00FF716F"/>
  </w:style>
  <w:style w:type="character" w:customStyle="1" w:styleId="sr-only">
    <w:name w:val="sr-only"/>
    <w:rsid w:val="00FF716F"/>
  </w:style>
  <w:style w:type="character" w:customStyle="1" w:styleId="Standardnpsmoodstavce2">
    <w:name w:val="Standardní písmo odstavce2"/>
    <w:rsid w:val="00FF716F"/>
  </w:style>
  <w:style w:type="character" w:customStyle="1" w:styleId="target-language">
    <w:name w:val="target-language"/>
    <w:rsid w:val="00FF716F"/>
  </w:style>
  <w:style w:type="paragraph" w:customStyle="1" w:styleId="Textkomente1">
    <w:name w:val="Text komentáře1"/>
    <w:basedOn w:val="Normln"/>
    <w:rsid w:val="00FF716F"/>
    <w:pPr>
      <w:suppressAutoHyphens/>
      <w:spacing w:line="312" w:lineRule="auto"/>
    </w:pPr>
    <w:rPr>
      <w:rFonts w:cs="Calibri"/>
      <w:sz w:val="20"/>
      <w:lang w:eastAsia="zh-CN"/>
    </w:rPr>
  </w:style>
  <w:style w:type="paragraph" w:customStyle="1" w:styleId="text14">
    <w:name w:val="text14"/>
    <w:basedOn w:val="Normln"/>
    <w:rsid w:val="00FF716F"/>
    <w:pPr>
      <w:spacing w:before="100" w:beforeAutospacing="1" w:after="100" w:afterAutospacing="1" w:line="240" w:lineRule="auto"/>
      <w:jc w:val="left"/>
    </w:pPr>
    <w:rPr>
      <w:rFonts w:ascii="Times New Roman" w:eastAsia="Times New Roman" w:hAnsi="Times New Roman"/>
      <w:szCs w:val="24"/>
    </w:rPr>
  </w:style>
  <w:style w:type="character" w:customStyle="1" w:styleId="text-smallcaps">
    <w:name w:val="text-smallcaps"/>
    <w:rsid w:val="00FF716F"/>
  </w:style>
  <w:style w:type="character" w:customStyle="1" w:styleId="thumb-text">
    <w:name w:val="thumb-text"/>
    <w:rsid w:val="00FF716F"/>
  </w:style>
  <w:style w:type="character" w:customStyle="1" w:styleId="title-text">
    <w:name w:val="title-text"/>
    <w:rsid w:val="00FF716F"/>
  </w:style>
  <w:style w:type="paragraph" w:customStyle="1" w:styleId="Titulek1">
    <w:name w:val="Titulek1"/>
    <w:basedOn w:val="Normln"/>
    <w:rsid w:val="00FF716F"/>
    <w:pPr>
      <w:suppressLineNumbers/>
      <w:suppressAutoHyphens/>
      <w:spacing w:before="120" w:after="120" w:line="312" w:lineRule="auto"/>
    </w:pPr>
    <w:rPr>
      <w:rFonts w:cs="Lucida Sans"/>
      <w:i/>
      <w:iCs/>
      <w:szCs w:val="24"/>
      <w:lang w:eastAsia="zh-CN"/>
    </w:rPr>
  </w:style>
  <w:style w:type="character" w:customStyle="1" w:styleId="tn">
    <w:name w:val="tn"/>
    <w:rsid w:val="00FF716F"/>
  </w:style>
  <w:style w:type="character" w:customStyle="1" w:styleId="translit">
    <w:name w:val="translit"/>
    <w:rsid w:val="00FF716F"/>
  </w:style>
  <w:style w:type="character" w:customStyle="1" w:styleId="transux">
    <w:name w:val="transux"/>
    <w:rsid w:val="00FF716F"/>
  </w:style>
  <w:style w:type="character" w:customStyle="1" w:styleId="type">
    <w:name w:val="type"/>
    <w:rsid w:val="00FF716F"/>
  </w:style>
  <w:style w:type="character" w:customStyle="1" w:styleId="var">
    <w:name w:val="var"/>
    <w:rsid w:val="00FF716F"/>
  </w:style>
  <w:style w:type="character" w:customStyle="1" w:styleId="visually-hidden">
    <w:name w:val="visually-hidden"/>
    <w:rsid w:val="00FF716F"/>
  </w:style>
  <w:style w:type="character" w:customStyle="1" w:styleId="w">
    <w:name w:val="w"/>
    <w:rsid w:val="00FF716F"/>
  </w:style>
  <w:style w:type="character" w:customStyle="1" w:styleId="WW8Num10z0">
    <w:name w:val="WW8Num10z0"/>
    <w:rsid w:val="00FF716F"/>
    <w:rPr>
      <w:rFonts w:ascii="Symbol" w:hAnsi="Symbol" w:cs="Symbol" w:hint="default"/>
    </w:rPr>
  </w:style>
  <w:style w:type="character" w:customStyle="1" w:styleId="WW8Num10z1">
    <w:name w:val="WW8Num10z1"/>
    <w:rsid w:val="00FF716F"/>
    <w:rPr>
      <w:rFonts w:ascii="Courier New" w:hAnsi="Courier New" w:cs="Courier New" w:hint="default"/>
    </w:rPr>
  </w:style>
  <w:style w:type="character" w:customStyle="1" w:styleId="WW8Num10z2">
    <w:name w:val="WW8Num10z2"/>
    <w:rsid w:val="00FF716F"/>
    <w:rPr>
      <w:rFonts w:ascii="Wingdings" w:hAnsi="Wingdings" w:cs="Wingdings" w:hint="default"/>
    </w:rPr>
  </w:style>
  <w:style w:type="character" w:customStyle="1" w:styleId="WW8Num11z0">
    <w:name w:val="WW8Num11z0"/>
    <w:rsid w:val="00FF716F"/>
    <w:rPr>
      <w:rFonts w:ascii="Symbol" w:hAnsi="Symbol" w:cs="Symbol" w:hint="default"/>
    </w:rPr>
  </w:style>
  <w:style w:type="character" w:customStyle="1" w:styleId="WW8Num11z1">
    <w:name w:val="WW8Num11z1"/>
    <w:rsid w:val="00FF716F"/>
    <w:rPr>
      <w:rFonts w:ascii="Courier New" w:hAnsi="Courier New" w:cs="Courier New" w:hint="default"/>
    </w:rPr>
  </w:style>
  <w:style w:type="character" w:customStyle="1" w:styleId="WW8Num11z2">
    <w:name w:val="WW8Num11z2"/>
    <w:rsid w:val="00FF716F"/>
    <w:rPr>
      <w:rFonts w:ascii="Wingdings" w:hAnsi="Wingdings" w:cs="Wingdings" w:hint="default"/>
    </w:rPr>
  </w:style>
  <w:style w:type="character" w:customStyle="1" w:styleId="WW8Num12z0">
    <w:name w:val="WW8Num12z0"/>
    <w:rsid w:val="00FF716F"/>
    <w:rPr>
      <w:rFonts w:ascii="Symbol" w:hAnsi="Symbol" w:cs="Symbol" w:hint="default"/>
    </w:rPr>
  </w:style>
  <w:style w:type="character" w:customStyle="1" w:styleId="WW8Num12z1">
    <w:name w:val="WW8Num12z1"/>
    <w:rsid w:val="00FF716F"/>
    <w:rPr>
      <w:rFonts w:ascii="Courier New" w:hAnsi="Courier New" w:cs="Courier New" w:hint="default"/>
    </w:rPr>
  </w:style>
  <w:style w:type="character" w:customStyle="1" w:styleId="WW8Num12z2">
    <w:name w:val="WW8Num12z2"/>
    <w:rsid w:val="00FF716F"/>
    <w:rPr>
      <w:rFonts w:ascii="Wingdings" w:hAnsi="Wingdings" w:cs="Wingdings" w:hint="default"/>
    </w:rPr>
  </w:style>
  <w:style w:type="character" w:customStyle="1" w:styleId="WW8Num13z0">
    <w:name w:val="WW8Num13z0"/>
    <w:rsid w:val="00FF716F"/>
    <w:rPr>
      <w:rFonts w:ascii="Symbol" w:hAnsi="Symbol" w:cs="Symbol" w:hint="default"/>
    </w:rPr>
  </w:style>
  <w:style w:type="character" w:customStyle="1" w:styleId="WW8Num13z1">
    <w:name w:val="WW8Num13z1"/>
    <w:rsid w:val="00FF716F"/>
    <w:rPr>
      <w:rFonts w:ascii="Courier New" w:hAnsi="Courier New" w:cs="Courier New" w:hint="default"/>
    </w:rPr>
  </w:style>
  <w:style w:type="character" w:customStyle="1" w:styleId="WW8Num13z2">
    <w:name w:val="WW8Num13z2"/>
    <w:rsid w:val="00FF716F"/>
    <w:rPr>
      <w:rFonts w:ascii="Wingdings" w:hAnsi="Wingdings" w:cs="Wingdings" w:hint="default"/>
    </w:rPr>
  </w:style>
  <w:style w:type="character" w:customStyle="1" w:styleId="WW8Num14z0">
    <w:name w:val="WW8Num14z0"/>
    <w:rsid w:val="00FF716F"/>
    <w:rPr>
      <w:rFonts w:ascii="Symbol" w:hAnsi="Symbol" w:cs="Symbol" w:hint="default"/>
    </w:rPr>
  </w:style>
  <w:style w:type="character" w:customStyle="1" w:styleId="WW8Num14z1">
    <w:name w:val="WW8Num14z1"/>
    <w:rsid w:val="00FF716F"/>
    <w:rPr>
      <w:rFonts w:ascii="Courier New" w:hAnsi="Courier New" w:cs="Courier New" w:hint="default"/>
    </w:rPr>
  </w:style>
  <w:style w:type="character" w:customStyle="1" w:styleId="WW8Num14z2">
    <w:name w:val="WW8Num14z2"/>
    <w:rsid w:val="00FF716F"/>
    <w:rPr>
      <w:rFonts w:ascii="Wingdings" w:hAnsi="Wingdings" w:cs="Wingdings" w:hint="default"/>
    </w:rPr>
  </w:style>
  <w:style w:type="character" w:customStyle="1" w:styleId="WW8Num15z0">
    <w:name w:val="WW8Num15z0"/>
    <w:rsid w:val="00FF716F"/>
    <w:rPr>
      <w:rFonts w:ascii="Symbol" w:hAnsi="Symbol" w:cs="Symbol" w:hint="default"/>
      <w:sz w:val="20"/>
    </w:rPr>
  </w:style>
  <w:style w:type="character" w:customStyle="1" w:styleId="WW8Num15z1">
    <w:name w:val="WW8Num15z1"/>
    <w:rsid w:val="00FF716F"/>
    <w:rPr>
      <w:rFonts w:ascii="Courier New" w:hAnsi="Courier New" w:cs="Courier New" w:hint="default"/>
      <w:sz w:val="20"/>
    </w:rPr>
  </w:style>
  <w:style w:type="character" w:customStyle="1" w:styleId="WW8Num15z2">
    <w:name w:val="WW8Num15z2"/>
    <w:rsid w:val="00FF716F"/>
    <w:rPr>
      <w:rFonts w:ascii="Wingdings" w:hAnsi="Wingdings" w:cs="Wingdings" w:hint="default"/>
      <w:sz w:val="20"/>
    </w:rPr>
  </w:style>
  <w:style w:type="character" w:customStyle="1" w:styleId="WW8Num16z0">
    <w:name w:val="WW8Num16z0"/>
    <w:rsid w:val="00FF716F"/>
    <w:rPr>
      <w:rFonts w:ascii="Symbol" w:hAnsi="Symbol" w:cs="Symbol" w:hint="default"/>
    </w:rPr>
  </w:style>
  <w:style w:type="character" w:customStyle="1" w:styleId="WW8Num16z1">
    <w:name w:val="WW8Num16z1"/>
    <w:rsid w:val="00FF716F"/>
    <w:rPr>
      <w:rFonts w:ascii="Courier New" w:hAnsi="Courier New" w:cs="Courier New" w:hint="default"/>
    </w:rPr>
  </w:style>
  <w:style w:type="character" w:customStyle="1" w:styleId="WW8Num16z2">
    <w:name w:val="WW8Num16z2"/>
    <w:rsid w:val="00FF716F"/>
    <w:rPr>
      <w:rFonts w:ascii="Wingdings" w:hAnsi="Wingdings" w:cs="Wingdings" w:hint="default"/>
    </w:rPr>
  </w:style>
  <w:style w:type="character" w:customStyle="1" w:styleId="WW8Num17z0">
    <w:name w:val="WW8Num17z0"/>
    <w:rsid w:val="00FF716F"/>
    <w:rPr>
      <w:rFonts w:ascii="Symbol" w:hAnsi="Symbol" w:cs="Symbol" w:hint="default"/>
    </w:rPr>
  </w:style>
  <w:style w:type="character" w:customStyle="1" w:styleId="WW8Num17z1">
    <w:name w:val="WW8Num17z1"/>
    <w:rsid w:val="00FF716F"/>
    <w:rPr>
      <w:rFonts w:ascii="Courier New" w:hAnsi="Courier New" w:cs="Courier New" w:hint="default"/>
    </w:rPr>
  </w:style>
  <w:style w:type="character" w:customStyle="1" w:styleId="WW8Num17z2">
    <w:name w:val="WW8Num17z2"/>
    <w:rsid w:val="00FF716F"/>
    <w:rPr>
      <w:rFonts w:ascii="Wingdings" w:hAnsi="Wingdings" w:cs="Wingdings" w:hint="default"/>
    </w:rPr>
  </w:style>
  <w:style w:type="character" w:customStyle="1" w:styleId="WW8Num18z0">
    <w:name w:val="WW8Num18z0"/>
    <w:rsid w:val="00FF716F"/>
  </w:style>
  <w:style w:type="character" w:customStyle="1" w:styleId="WW8Num18z1">
    <w:name w:val="WW8Num18z1"/>
    <w:rsid w:val="00FF716F"/>
  </w:style>
  <w:style w:type="character" w:customStyle="1" w:styleId="WW8Num18z2">
    <w:name w:val="WW8Num18z2"/>
    <w:rsid w:val="00FF716F"/>
  </w:style>
  <w:style w:type="character" w:customStyle="1" w:styleId="WW8Num18z3">
    <w:name w:val="WW8Num18z3"/>
    <w:rsid w:val="00FF716F"/>
  </w:style>
  <w:style w:type="character" w:customStyle="1" w:styleId="WW8Num18z4">
    <w:name w:val="WW8Num18z4"/>
    <w:rsid w:val="00FF716F"/>
  </w:style>
  <w:style w:type="character" w:customStyle="1" w:styleId="WW8Num18z5">
    <w:name w:val="WW8Num18z5"/>
    <w:rsid w:val="00FF716F"/>
  </w:style>
  <w:style w:type="character" w:customStyle="1" w:styleId="WW8Num18z6">
    <w:name w:val="WW8Num18z6"/>
    <w:rsid w:val="00FF716F"/>
  </w:style>
  <w:style w:type="character" w:customStyle="1" w:styleId="WW8Num18z7">
    <w:name w:val="WW8Num18z7"/>
    <w:rsid w:val="00FF716F"/>
  </w:style>
  <w:style w:type="character" w:customStyle="1" w:styleId="WW8Num18z8">
    <w:name w:val="WW8Num18z8"/>
    <w:rsid w:val="00FF716F"/>
  </w:style>
  <w:style w:type="character" w:customStyle="1" w:styleId="WW8Num19z0">
    <w:name w:val="WW8Num19z0"/>
    <w:rsid w:val="00FF716F"/>
    <w:rPr>
      <w:rFonts w:ascii="Symbol" w:hAnsi="Symbol" w:cs="Symbol" w:hint="default"/>
      <w:sz w:val="20"/>
    </w:rPr>
  </w:style>
  <w:style w:type="character" w:customStyle="1" w:styleId="WW8Num19z1">
    <w:name w:val="WW8Num19z1"/>
    <w:rsid w:val="00FF716F"/>
    <w:rPr>
      <w:rFonts w:ascii="Courier New" w:hAnsi="Courier New" w:cs="Courier New" w:hint="default"/>
      <w:sz w:val="20"/>
    </w:rPr>
  </w:style>
  <w:style w:type="character" w:customStyle="1" w:styleId="WW8Num19z2">
    <w:name w:val="WW8Num19z2"/>
    <w:rsid w:val="00FF716F"/>
    <w:rPr>
      <w:rFonts w:ascii="Wingdings" w:hAnsi="Wingdings" w:cs="Wingdings" w:hint="default"/>
      <w:sz w:val="20"/>
    </w:rPr>
  </w:style>
  <w:style w:type="character" w:customStyle="1" w:styleId="WW8Num1z0">
    <w:name w:val="WW8Num1z0"/>
    <w:rsid w:val="00FF716F"/>
  </w:style>
  <w:style w:type="character" w:customStyle="1" w:styleId="WW8Num1z1">
    <w:name w:val="WW8Num1z1"/>
    <w:rsid w:val="00FF716F"/>
  </w:style>
  <w:style w:type="character" w:customStyle="1" w:styleId="WW8Num1z2">
    <w:name w:val="WW8Num1z2"/>
    <w:rsid w:val="00FF716F"/>
  </w:style>
  <w:style w:type="character" w:customStyle="1" w:styleId="WW8Num1z3">
    <w:name w:val="WW8Num1z3"/>
    <w:rsid w:val="00FF716F"/>
  </w:style>
  <w:style w:type="character" w:customStyle="1" w:styleId="WW8Num1z4">
    <w:name w:val="WW8Num1z4"/>
    <w:rsid w:val="00FF716F"/>
  </w:style>
  <w:style w:type="character" w:customStyle="1" w:styleId="WW8Num1z5">
    <w:name w:val="WW8Num1z5"/>
    <w:rsid w:val="00FF716F"/>
  </w:style>
  <w:style w:type="character" w:customStyle="1" w:styleId="WW8Num1z6">
    <w:name w:val="WW8Num1z6"/>
    <w:rsid w:val="00FF716F"/>
  </w:style>
  <w:style w:type="character" w:customStyle="1" w:styleId="WW8Num1z7">
    <w:name w:val="WW8Num1z7"/>
    <w:rsid w:val="00FF716F"/>
  </w:style>
  <w:style w:type="character" w:customStyle="1" w:styleId="WW8Num1z8">
    <w:name w:val="WW8Num1z8"/>
    <w:rsid w:val="00FF716F"/>
  </w:style>
  <w:style w:type="character" w:customStyle="1" w:styleId="WW8Num20z0">
    <w:name w:val="WW8Num20z0"/>
    <w:rsid w:val="00FF716F"/>
    <w:rPr>
      <w:rFonts w:ascii="Symbol" w:hAnsi="Symbol" w:cs="Symbol" w:hint="default"/>
    </w:rPr>
  </w:style>
  <w:style w:type="character" w:customStyle="1" w:styleId="WW8Num20z1">
    <w:name w:val="WW8Num20z1"/>
    <w:rsid w:val="00FF716F"/>
    <w:rPr>
      <w:rFonts w:ascii="Courier New" w:hAnsi="Courier New" w:cs="Courier New" w:hint="default"/>
    </w:rPr>
  </w:style>
  <w:style w:type="character" w:customStyle="1" w:styleId="WW8Num20z2">
    <w:name w:val="WW8Num20z2"/>
    <w:rsid w:val="00FF716F"/>
    <w:rPr>
      <w:rFonts w:ascii="Wingdings" w:hAnsi="Wingdings" w:cs="Wingdings" w:hint="default"/>
    </w:rPr>
  </w:style>
  <w:style w:type="character" w:customStyle="1" w:styleId="WW8Num21z0">
    <w:name w:val="WW8Num21z0"/>
    <w:rsid w:val="00FF716F"/>
    <w:rPr>
      <w:rFonts w:ascii="Symbol" w:hAnsi="Symbol" w:cs="Symbol" w:hint="default"/>
    </w:rPr>
  </w:style>
  <w:style w:type="character" w:customStyle="1" w:styleId="WW8Num21z1">
    <w:name w:val="WW8Num21z1"/>
    <w:rsid w:val="00FF716F"/>
    <w:rPr>
      <w:rFonts w:ascii="Courier New" w:hAnsi="Courier New" w:cs="Courier New" w:hint="default"/>
    </w:rPr>
  </w:style>
  <w:style w:type="character" w:customStyle="1" w:styleId="WW8Num21z2">
    <w:name w:val="WW8Num21z2"/>
    <w:rsid w:val="00FF716F"/>
    <w:rPr>
      <w:rFonts w:ascii="Wingdings" w:hAnsi="Wingdings" w:cs="Wingdings" w:hint="default"/>
    </w:rPr>
  </w:style>
  <w:style w:type="character" w:customStyle="1" w:styleId="WW8Num22z0">
    <w:name w:val="WW8Num22z0"/>
    <w:rsid w:val="00FF716F"/>
    <w:rPr>
      <w:rFonts w:ascii="Symbol" w:hAnsi="Symbol" w:cs="Symbol" w:hint="default"/>
    </w:rPr>
  </w:style>
  <w:style w:type="character" w:customStyle="1" w:styleId="WW8Num22z1">
    <w:name w:val="WW8Num22z1"/>
    <w:rsid w:val="00FF716F"/>
    <w:rPr>
      <w:rFonts w:ascii="Courier New" w:hAnsi="Courier New" w:cs="Courier New" w:hint="default"/>
    </w:rPr>
  </w:style>
  <w:style w:type="character" w:customStyle="1" w:styleId="WW8Num22z2">
    <w:name w:val="WW8Num22z2"/>
    <w:rsid w:val="00FF716F"/>
    <w:rPr>
      <w:rFonts w:ascii="Wingdings" w:hAnsi="Wingdings" w:cs="Wingdings" w:hint="default"/>
    </w:rPr>
  </w:style>
  <w:style w:type="character" w:customStyle="1" w:styleId="WW8Num23z0">
    <w:name w:val="WW8Num23z0"/>
    <w:rsid w:val="00FF716F"/>
    <w:rPr>
      <w:rFonts w:hint="default"/>
    </w:rPr>
  </w:style>
  <w:style w:type="character" w:customStyle="1" w:styleId="WW8Num23z1">
    <w:name w:val="WW8Num23z1"/>
    <w:rsid w:val="00FF716F"/>
  </w:style>
  <w:style w:type="character" w:customStyle="1" w:styleId="WW8Num23z2">
    <w:name w:val="WW8Num23z2"/>
    <w:rsid w:val="00FF716F"/>
  </w:style>
  <w:style w:type="character" w:customStyle="1" w:styleId="WW8Num23z3">
    <w:name w:val="WW8Num23z3"/>
    <w:rsid w:val="00FF716F"/>
  </w:style>
  <w:style w:type="character" w:customStyle="1" w:styleId="WW8Num23z4">
    <w:name w:val="WW8Num23z4"/>
    <w:rsid w:val="00FF716F"/>
  </w:style>
  <w:style w:type="character" w:customStyle="1" w:styleId="WW8Num23z5">
    <w:name w:val="WW8Num23z5"/>
    <w:rsid w:val="00FF716F"/>
  </w:style>
  <w:style w:type="character" w:customStyle="1" w:styleId="WW8Num23z6">
    <w:name w:val="WW8Num23z6"/>
    <w:rsid w:val="00FF716F"/>
  </w:style>
  <w:style w:type="character" w:customStyle="1" w:styleId="WW8Num23z7">
    <w:name w:val="WW8Num23z7"/>
    <w:rsid w:val="00FF716F"/>
  </w:style>
  <w:style w:type="character" w:customStyle="1" w:styleId="WW8Num23z8">
    <w:name w:val="WW8Num23z8"/>
    <w:rsid w:val="00FF716F"/>
  </w:style>
  <w:style w:type="character" w:customStyle="1" w:styleId="WW8Num24z0">
    <w:name w:val="WW8Num24z0"/>
    <w:rsid w:val="00FF716F"/>
    <w:rPr>
      <w:rFonts w:ascii="Symbol" w:hAnsi="Symbol" w:cs="Symbol" w:hint="default"/>
    </w:rPr>
  </w:style>
  <w:style w:type="character" w:customStyle="1" w:styleId="WW8Num24z1">
    <w:name w:val="WW8Num24z1"/>
    <w:rsid w:val="00FF716F"/>
    <w:rPr>
      <w:rFonts w:ascii="Courier New" w:hAnsi="Courier New" w:cs="Courier New" w:hint="default"/>
    </w:rPr>
  </w:style>
  <w:style w:type="character" w:customStyle="1" w:styleId="WW8Num24z2">
    <w:name w:val="WW8Num24z2"/>
    <w:rsid w:val="00FF716F"/>
    <w:rPr>
      <w:rFonts w:ascii="Wingdings" w:hAnsi="Wingdings" w:cs="Wingdings" w:hint="default"/>
    </w:rPr>
  </w:style>
  <w:style w:type="character" w:customStyle="1" w:styleId="WW8Num25z0">
    <w:name w:val="WW8Num25z0"/>
    <w:rsid w:val="00FF716F"/>
    <w:rPr>
      <w:rFonts w:ascii="Symbol" w:hAnsi="Symbol" w:cs="Symbol" w:hint="default"/>
    </w:rPr>
  </w:style>
  <w:style w:type="character" w:customStyle="1" w:styleId="WW8Num25z1">
    <w:name w:val="WW8Num25z1"/>
    <w:rsid w:val="00FF716F"/>
    <w:rPr>
      <w:rFonts w:ascii="Courier New" w:hAnsi="Courier New" w:cs="Courier New" w:hint="default"/>
    </w:rPr>
  </w:style>
  <w:style w:type="character" w:customStyle="1" w:styleId="WW8Num25z2">
    <w:name w:val="WW8Num25z2"/>
    <w:rsid w:val="00FF716F"/>
    <w:rPr>
      <w:rFonts w:ascii="Wingdings" w:hAnsi="Wingdings" w:cs="Wingdings" w:hint="default"/>
    </w:rPr>
  </w:style>
  <w:style w:type="character" w:customStyle="1" w:styleId="WW8Num26z0">
    <w:name w:val="WW8Num26z0"/>
    <w:rsid w:val="00FF716F"/>
    <w:rPr>
      <w:rFonts w:ascii="Symbol" w:hAnsi="Symbol" w:cs="Symbol" w:hint="default"/>
    </w:rPr>
  </w:style>
  <w:style w:type="character" w:customStyle="1" w:styleId="WW8Num26z1">
    <w:name w:val="WW8Num26z1"/>
    <w:rsid w:val="00FF716F"/>
    <w:rPr>
      <w:rFonts w:ascii="Courier New" w:hAnsi="Courier New" w:cs="Courier New" w:hint="default"/>
    </w:rPr>
  </w:style>
  <w:style w:type="character" w:customStyle="1" w:styleId="WW8Num26z2">
    <w:name w:val="WW8Num26z2"/>
    <w:rsid w:val="00FF716F"/>
    <w:rPr>
      <w:rFonts w:ascii="Wingdings" w:hAnsi="Wingdings" w:cs="Wingdings" w:hint="default"/>
    </w:rPr>
  </w:style>
  <w:style w:type="character" w:customStyle="1" w:styleId="WW8Num27z0">
    <w:name w:val="WW8Num27z0"/>
    <w:rsid w:val="00FF716F"/>
    <w:rPr>
      <w:rFonts w:ascii="Symbol" w:hAnsi="Symbol" w:cs="Symbol" w:hint="default"/>
    </w:rPr>
  </w:style>
  <w:style w:type="character" w:customStyle="1" w:styleId="WW8Num27z1">
    <w:name w:val="WW8Num27z1"/>
    <w:rsid w:val="00FF716F"/>
    <w:rPr>
      <w:rFonts w:ascii="Courier New" w:hAnsi="Courier New" w:cs="Courier New" w:hint="default"/>
    </w:rPr>
  </w:style>
  <w:style w:type="character" w:customStyle="1" w:styleId="WW8Num27z2">
    <w:name w:val="WW8Num27z2"/>
    <w:rsid w:val="00FF716F"/>
    <w:rPr>
      <w:rFonts w:ascii="Wingdings" w:hAnsi="Wingdings" w:cs="Wingdings" w:hint="default"/>
    </w:rPr>
  </w:style>
  <w:style w:type="character" w:customStyle="1" w:styleId="WW8Num28z0">
    <w:name w:val="WW8Num28z0"/>
    <w:rsid w:val="00FF716F"/>
    <w:rPr>
      <w:rFonts w:ascii="Symbol" w:hAnsi="Symbol" w:cs="Symbol" w:hint="default"/>
    </w:rPr>
  </w:style>
  <w:style w:type="character" w:customStyle="1" w:styleId="WW8Num28z1">
    <w:name w:val="WW8Num28z1"/>
    <w:rsid w:val="00FF716F"/>
    <w:rPr>
      <w:rFonts w:ascii="Courier New" w:hAnsi="Courier New" w:cs="Courier New" w:hint="default"/>
    </w:rPr>
  </w:style>
  <w:style w:type="character" w:customStyle="1" w:styleId="WW8Num28z2">
    <w:name w:val="WW8Num28z2"/>
    <w:rsid w:val="00FF716F"/>
    <w:rPr>
      <w:rFonts w:ascii="Wingdings" w:hAnsi="Wingdings" w:cs="Wingdings" w:hint="default"/>
    </w:rPr>
  </w:style>
  <w:style w:type="character" w:customStyle="1" w:styleId="WW8Num29z0">
    <w:name w:val="WW8Num29z0"/>
    <w:rsid w:val="00FF716F"/>
  </w:style>
  <w:style w:type="character" w:customStyle="1" w:styleId="WW8Num29z1">
    <w:name w:val="WW8Num29z1"/>
    <w:rsid w:val="00FF716F"/>
  </w:style>
  <w:style w:type="character" w:customStyle="1" w:styleId="WW8Num29z2">
    <w:name w:val="WW8Num29z2"/>
    <w:rsid w:val="00FF716F"/>
  </w:style>
  <w:style w:type="character" w:customStyle="1" w:styleId="WW8Num29z3">
    <w:name w:val="WW8Num29z3"/>
    <w:rsid w:val="00FF716F"/>
  </w:style>
  <w:style w:type="character" w:customStyle="1" w:styleId="WW8Num29z4">
    <w:name w:val="WW8Num29z4"/>
    <w:rsid w:val="00FF716F"/>
  </w:style>
  <w:style w:type="character" w:customStyle="1" w:styleId="WW8Num29z5">
    <w:name w:val="WW8Num29z5"/>
    <w:rsid w:val="00FF716F"/>
  </w:style>
  <w:style w:type="character" w:customStyle="1" w:styleId="WW8Num29z6">
    <w:name w:val="WW8Num29z6"/>
    <w:rsid w:val="00FF716F"/>
  </w:style>
  <w:style w:type="character" w:customStyle="1" w:styleId="WW8Num29z7">
    <w:name w:val="WW8Num29z7"/>
    <w:rsid w:val="00FF716F"/>
  </w:style>
  <w:style w:type="character" w:customStyle="1" w:styleId="WW8Num29z8">
    <w:name w:val="WW8Num29z8"/>
    <w:rsid w:val="00FF716F"/>
  </w:style>
  <w:style w:type="character" w:customStyle="1" w:styleId="WW8Num2z0">
    <w:name w:val="WW8Num2z0"/>
    <w:rsid w:val="00FF716F"/>
    <w:rPr>
      <w:rFonts w:ascii="Symbol" w:hAnsi="Symbol" w:cs="Symbol" w:hint="default"/>
    </w:rPr>
  </w:style>
  <w:style w:type="character" w:customStyle="1" w:styleId="WW8Num2z1">
    <w:name w:val="WW8Num2z1"/>
    <w:rsid w:val="00FF716F"/>
  </w:style>
  <w:style w:type="character" w:customStyle="1" w:styleId="WW8Num2z2">
    <w:name w:val="WW8Num2z2"/>
    <w:rsid w:val="00FF716F"/>
  </w:style>
  <w:style w:type="character" w:customStyle="1" w:styleId="WW8Num2z3">
    <w:name w:val="WW8Num2z3"/>
    <w:rsid w:val="00FF716F"/>
  </w:style>
  <w:style w:type="character" w:customStyle="1" w:styleId="WW8Num2z4">
    <w:name w:val="WW8Num2z4"/>
    <w:rsid w:val="00FF716F"/>
  </w:style>
  <w:style w:type="character" w:customStyle="1" w:styleId="WW8Num2z5">
    <w:name w:val="WW8Num2z5"/>
    <w:rsid w:val="00FF716F"/>
  </w:style>
  <w:style w:type="character" w:customStyle="1" w:styleId="WW8Num2z6">
    <w:name w:val="WW8Num2z6"/>
    <w:rsid w:val="00FF716F"/>
  </w:style>
  <w:style w:type="character" w:customStyle="1" w:styleId="WW8Num2z7">
    <w:name w:val="WW8Num2z7"/>
    <w:rsid w:val="00FF716F"/>
  </w:style>
  <w:style w:type="character" w:customStyle="1" w:styleId="WW8Num2z8">
    <w:name w:val="WW8Num2z8"/>
    <w:rsid w:val="00FF716F"/>
  </w:style>
  <w:style w:type="character" w:customStyle="1" w:styleId="WW8Num30z0">
    <w:name w:val="WW8Num30z0"/>
    <w:rsid w:val="00FF716F"/>
    <w:rPr>
      <w:rFonts w:ascii="Symbol" w:hAnsi="Symbol" w:cs="Symbol" w:hint="default"/>
    </w:rPr>
  </w:style>
  <w:style w:type="character" w:customStyle="1" w:styleId="WW8Num30z1">
    <w:name w:val="WW8Num30z1"/>
    <w:rsid w:val="00FF716F"/>
    <w:rPr>
      <w:rFonts w:ascii="Courier New" w:hAnsi="Courier New" w:cs="Courier New" w:hint="default"/>
    </w:rPr>
  </w:style>
  <w:style w:type="character" w:customStyle="1" w:styleId="WW8Num30z2">
    <w:name w:val="WW8Num30z2"/>
    <w:rsid w:val="00FF716F"/>
    <w:rPr>
      <w:rFonts w:ascii="Wingdings" w:hAnsi="Wingdings" w:cs="Wingdings" w:hint="default"/>
    </w:rPr>
  </w:style>
  <w:style w:type="character" w:customStyle="1" w:styleId="WW8Num31z0">
    <w:name w:val="WW8Num31z0"/>
    <w:rsid w:val="00FF716F"/>
    <w:rPr>
      <w:rFonts w:ascii="Symbol" w:hAnsi="Symbol" w:cs="Symbol" w:hint="default"/>
    </w:rPr>
  </w:style>
  <w:style w:type="character" w:customStyle="1" w:styleId="WW8Num31z1">
    <w:name w:val="WW8Num31z1"/>
    <w:rsid w:val="00FF716F"/>
    <w:rPr>
      <w:rFonts w:ascii="Courier New" w:hAnsi="Courier New" w:cs="Courier New" w:hint="default"/>
    </w:rPr>
  </w:style>
  <w:style w:type="character" w:customStyle="1" w:styleId="WW8Num31z2">
    <w:name w:val="WW8Num31z2"/>
    <w:rsid w:val="00FF716F"/>
    <w:rPr>
      <w:rFonts w:ascii="Wingdings" w:hAnsi="Wingdings" w:cs="Wingdings" w:hint="default"/>
    </w:rPr>
  </w:style>
  <w:style w:type="character" w:customStyle="1" w:styleId="WW8Num32z0">
    <w:name w:val="WW8Num32z0"/>
    <w:rsid w:val="00FF716F"/>
    <w:rPr>
      <w:rFonts w:ascii="Symbol" w:hAnsi="Symbol" w:cs="Symbol" w:hint="default"/>
    </w:rPr>
  </w:style>
  <w:style w:type="character" w:customStyle="1" w:styleId="WW8Num32z1">
    <w:name w:val="WW8Num32z1"/>
    <w:rsid w:val="00FF716F"/>
    <w:rPr>
      <w:rFonts w:ascii="Courier New" w:hAnsi="Courier New" w:cs="Courier New" w:hint="default"/>
    </w:rPr>
  </w:style>
  <w:style w:type="character" w:customStyle="1" w:styleId="WW8Num32z2">
    <w:name w:val="WW8Num32z2"/>
    <w:rsid w:val="00FF716F"/>
    <w:rPr>
      <w:rFonts w:ascii="Wingdings" w:hAnsi="Wingdings" w:cs="Wingdings" w:hint="default"/>
    </w:rPr>
  </w:style>
  <w:style w:type="character" w:customStyle="1" w:styleId="WW8Num33z0">
    <w:name w:val="WW8Num33z0"/>
    <w:rsid w:val="00FF716F"/>
    <w:rPr>
      <w:rFonts w:ascii="Symbol" w:hAnsi="Symbol" w:cs="Symbol" w:hint="default"/>
    </w:rPr>
  </w:style>
  <w:style w:type="character" w:customStyle="1" w:styleId="WW8Num33z1">
    <w:name w:val="WW8Num33z1"/>
    <w:rsid w:val="00FF716F"/>
    <w:rPr>
      <w:rFonts w:ascii="Courier New" w:hAnsi="Courier New" w:cs="Courier New" w:hint="default"/>
    </w:rPr>
  </w:style>
  <w:style w:type="character" w:customStyle="1" w:styleId="WW8Num33z2">
    <w:name w:val="WW8Num33z2"/>
    <w:rsid w:val="00FF716F"/>
    <w:rPr>
      <w:rFonts w:ascii="Wingdings" w:hAnsi="Wingdings" w:cs="Wingdings" w:hint="default"/>
    </w:rPr>
  </w:style>
  <w:style w:type="character" w:customStyle="1" w:styleId="WW8Num34z0">
    <w:name w:val="WW8Num34z0"/>
    <w:rsid w:val="00FF716F"/>
    <w:rPr>
      <w:rFonts w:ascii="Symbol" w:hAnsi="Symbol" w:cs="Symbol" w:hint="default"/>
    </w:rPr>
  </w:style>
  <w:style w:type="character" w:customStyle="1" w:styleId="WW8Num34z1">
    <w:name w:val="WW8Num34z1"/>
    <w:rsid w:val="00FF716F"/>
    <w:rPr>
      <w:rFonts w:ascii="Courier New" w:hAnsi="Courier New" w:cs="Courier New" w:hint="default"/>
    </w:rPr>
  </w:style>
  <w:style w:type="character" w:customStyle="1" w:styleId="WW8Num34z2">
    <w:name w:val="WW8Num34z2"/>
    <w:rsid w:val="00FF716F"/>
    <w:rPr>
      <w:rFonts w:ascii="Wingdings" w:hAnsi="Wingdings" w:cs="Wingdings" w:hint="default"/>
    </w:rPr>
  </w:style>
  <w:style w:type="character" w:customStyle="1" w:styleId="WW8Num35z0">
    <w:name w:val="WW8Num35z0"/>
    <w:rsid w:val="00FF716F"/>
    <w:rPr>
      <w:rFonts w:ascii="Symbol" w:hAnsi="Symbol" w:cs="Symbol" w:hint="default"/>
    </w:rPr>
  </w:style>
  <w:style w:type="character" w:customStyle="1" w:styleId="WW8Num35z1">
    <w:name w:val="WW8Num35z1"/>
    <w:rsid w:val="00FF716F"/>
    <w:rPr>
      <w:rFonts w:ascii="Courier New" w:hAnsi="Courier New" w:cs="Courier New" w:hint="default"/>
    </w:rPr>
  </w:style>
  <w:style w:type="character" w:customStyle="1" w:styleId="WW8Num35z2">
    <w:name w:val="WW8Num35z2"/>
    <w:rsid w:val="00FF716F"/>
    <w:rPr>
      <w:rFonts w:ascii="Wingdings" w:hAnsi="Wingdings" w:cs="Wingdings" w:hint="default"/>
    </w:rPr>
  </w:style>
  <w:style w:type="character" w:customStyle="1" w:styleId="WW8Num36z0">
    <w:name w:val="WW8Num36z0"/>
    <w:rsid w:val="00FF716F"/>
    <w:rPr>
      <w:rFonts w:ascii="Symbol" w:hAnsi="Symbol" w:cs="Symbol" w:hint="default"/>
      <w:sz w:val="20"/>
    </w:rPr>
  </w:style>
  <w:style w:type="character" w:customStyle="1" w:styleId="WW8Num36z1">
    <w:name w:val="WW8Num36z1"/>
    <w:rsid w:val="00FF716F"/>
    <w:rPr>
      <w:rFonts w:ascii="Courier New" w:hAnsi="Courier New" w:cs="Courier New" w:hint="default"/>
      <w:sz w:val="20"/>
    </w:rPr>
  </w:style>
  <w:style w:type="character" w:customStyle="1" w:styleId="WW8Num36z2">
    <w:name w:val="WW8Num36z2"/>
    <w:rsid w:val="00FF716F"/>
    <w:rPr>
      <w:rFonts w:ascii="Wingdings" w:hAnsi="Wingdings" w:cs="Wingdings" w:hint="default"/>
      <w:sz w:val="20"/>
    </w:rPr>
  </w:style>
  <w:style w:type="character" w:customStyle="1" w:styleId="WW8Num37z0">
    <w:name w:val="WW8Num37z0"/>
    <w:rsid w:val="00FF716F"/>
    <w:rPr>
      <w:rFonts w:ascii="Symbol" w:hAnsi="Symbol" w:cs="Symbol" w:hint="default"/>
    </w:rPr>
  </w:style>
  <w:style w:type="character" w:customStyle="1" w:styleId="WW8Num37z1">
    <w:name w:val="WW8Num37z1"/>
    <w:rsid w:val="00FF716F"/>
    <w:rPr>
      <w:rFonts w:ascii="Courier New" w:hAnsi="Courier New" w:cs="Courier New" w:hint="default"/>
    </w:rPr>
  </w:style>
  <w:style w:type="character" w:customStyle="1" w:styleId="WW8Num37z2">
    <w:name w:val="WW8Num37z2"/>
    <w:rsid w:val="00FF716F"/>
    <w:rPr>
      <w:rFonts w:ascii="Wingdings" w:hAnsi="Wingdings" w:cs="Wingdings" w:hint="default"/>
    </w:rPr>
  </w:style>
  <w:style w:type="character" w:customStyle="1" w:styleId="WW8Num38z0">
    <w:name w:val="WW8Num38z0"/>
    <w:rsid w:val="00FF716F"/>
    <w:rPr>
      <w:rFonts w:ascii="Symbol" w:hAnsi="Symbol" w:cs="Symbol" w:hint="default"/>
    </w:rPr>
  </w:style>
  <w:style w:type="character" w:customStyle="1" w:styleId="WW8Num38z1">
    <w:name w:val="WW8Num38z1"/>
    <w:rsid w:val="00FF716F"/>
    <w:rPr>
      <w:rFonts w:ascii="Courier New" w:hAnsi="Courier New" w:cs="Courier New" w:hint="default"/>
    </w:rPr>
  </w:style>
  <w:style w:type="character" w:customStyle="1" w:styleId="WW8Num38z2">
    <w:name w:val="WW8Num38z2"/>
    <w:rsid w:val="00FF716F"/>
    <w:rPr>
      <w:rFonts w:ascii="Wingdings" w:hAnsi="Wingdings" w:cs="Wingdings" w:hint="default"/>
    </w:rPr>
  </w:style>
  <w:style w:type="character" w:customStyle="1" w:styleId="WW8Num39z0">
    <w:name w:val="WW8Num39z0"/>
    <w:rsid w:val="00FF716F"/>
    <w:rPr>
      <w:rFonts w:ascii="Symbol" w:hAnsi="Symbol" w:cs="Symbol" w:hint="default"/>
    </w:rPr>
  </w:style>
  <w:style w:type="character" w:customStyle="1" w:styleId="WW8Num39z1">
    <w:name w:val="WW8Num39z1"/>
    <w:rsid w:val="00FF716F"/>
    <w:rPr>
      <w:rFonts w:ascii="Courier New" w:hAnsi="Courier New" w:cs="Courier New" w:hint="default"/>
    </w:rPr>
  </w:style>
  <w:style w:type="character" w:customStyle="1" w:styleId="WW8Num39z2">
    <w:name w:val="WW8Num39z2"/>
    <w:rsid w:val="00FF716F"/>
    <w:rPr>
      <w:rFonts w:ascii="Wingdings" w:hAnsi="Wingdings" w:cs="Wingdings" w:hint="default"/>
    </w:rPr>
  </w:style>
  <w:style w:type="character" w:customStyle="1" w:styleId="WW8Num3z0">
    <w:name w:val="WW8Num3z0"/>
    <w:rsid w:val="00FF716F"/>
    <w:rPr>
      <w:rFonts w:ascii="Symbol" w:hAnsi="Symbol" w:cs="Symbol"/>
    </w:rPr>
  </w:style>
  <w:style w:type="character" w:customStyle="1" w:styleId="WW8Num40z0">
    <w:name w:val="WW8Num40z0"/>
    <w:rsid w:val="00FF716F"/>
    <w:rPr>
      <w:rFonts w:ascii="Symbol" w:hAnsi="Symbol" w:cs="Symbol" w:hint="default"/>
      <w:sz w:val="20"/>
    </w:rPr>
  </w:style>
  <w:style w:type="character" w:customStyle="1" w:styleId="WW8Num40z1">
    <w:name w:val="WW8Num40z1"/>
    <w:rsid w:val="00FF716F"/>
    <w:rPr>
      <w:rFonts w:ascii="Courier New" w:hAnsi="Courier New" w:cs="Courier New" w:hint="default"/>
      <w:sz w:val="20"/>
    </w:rPr>
  </w:style>
  <w:style w:type="character" w:customStyle="1" w:styleId="WW8Num40z2">
    <w:name w:val="WW8Num40z2"/>
    <w:rsid w:val="00FF716F"/>
    <w:rPr>
      <w:rFonts w:ascii="Wingdings" w:hAnsi="Wingdings" w:cs="Wingdings" w:hint="default"/>
      <w:sz w:val="20"/>
    </w:rPr>
  </w:style>
  <w:style w:type="character" w:customStyle="1" w:styleId="WW8Num41z0">
    <w:name w:val="WW8Num41z0"/>
    <w:rsid w:val="00FF716F"/>
    <w:rPr>
      <w:rFonts w:ascii="Symbol" w:hAnsi="Symbol" w:cs="Symbol" w:hint="default"/>
    </w:rPr>
  </w:style>
  <w:style w:type="character" w:customStyle="1" w:styleId="WW8Num41z1">
    <w:name w:val="WW8Num41z1"/>
    <w:rsid w:val="00FF716F"/>
    <w:rPr>
      <w:rFonts w:ascii="Courier New" w:hAnsi="Courier New" w:cs="Courier New" w:hint="default"/>
    </w:rPr>
  </w:style>
  <w:style w:type="character" w:customStyle="1" w:styleId="WW8Num41z2">
    <w:name w:val="WW8Num41z2"/>
    <w:rsid w:val="00FF716F"/>
    <w:rPr>
      <w:rFonts w:ascii="Wingdings" w:hAnsi="Wingdings" w:cs="Wingdings" w:hint="default"/>
    </w:rPr>
  </w:style>
  <w:style w:type="character" w:customStyle="1" w:styleId="WW8Num42z0">
    <w:name w:val="WW8Num42z0"/>
    <w:rsid w:val="00FF716F"/>
    <w:rPr>
      <w:rFonts w:ascii="Symbol" w:hAnsi="Symbol" w:cs="Symbol" w:hint="default"/>
    </w:rPr>
  </w:style>
  <w:style w:type="character" w:customStyle="1" w:styleId="WW8Num42z1">
    <w:name w:val="WW8Num42z1"/>
    <w:rsid w:val="00FF716F"/>
    <w:rPr>
      <w:rFonts w:ascii="Courier New" w:hAnsi="Courier New" w:cs="Courier New" w:hint="default"/>
    </w:rPr>
  </w:style>
  <w:style w:type="character" w:customStyle="1" w:styleId="WW8Num42z2">
    <w:name w:val="WW8Num42z2"/>
    <w:rsid w:val="00FF716F"/>
    <w:rPr>
      <w:rFonts w:ascii="Wingdings" w:hAnsi="Wingdings" w:cs="Wingdings" w:hint="default"/>
    </w:rPr>
  </w:style>
  <w:style w:type="character" w:customStyle="1" w:styleId="WW8Num43z0">
    <w:name w:val="WW8Num43z0"/>
    <w:rsid w:val="00FF716F"/>
    <w:rPr>
      <w:rFonts w:ascii="Symbol" w:hAnsi="Symbol" w:cs="Symbol" w:hint="default"/>
    </w:rPr>
  </w:style>
  <w:style w:type="character" w:customStyle="1" w:styleId="WW8Num43z1">
    <w:name w:val="WW8Num43z1"/>
    <w:rsid w:val="00FF716F"/>
    <w:rPr>
      <w:rFonts w:ascii="Courier New" w:hAnsi="Courier New" w:cs="Courier New" w:hint="default"/>
    </w:rPr>
  </w:style>
  <w:style w:type="character" w:customStyle="1" w:styleId="WW8Num43z2">
    <w:name w:val="WW8Num43z2"/>
    <w:rsid w:val="00FF716F"/>
    <w:rPr>
      <w:rFonts w:ascii="Wingdings" w:hAnsi="Wingdings" w:cs="Wingdings" w:hint="default"/>
    </w:rPr>
  </w:style>
  <w:style w:type="character" w:customStyle="1" w:styleId="WW8Num44z0">
    <w:name w:val="WW8Num44z0"/>
    <w:rsid w:val="00FF716F"/>
    <w:rPr>
      <w:rFonts w:ascii="Symbol" w:hAnsi="Symbol" w:cs="Symbol" w:hint="default"/>
    </w:rPr>
  </w:style>
  <w:style w:type="character" w:customStyle="1" w:styleId="WW8Num44z1">
    <w:name w:val="WW8Num44z1"/>
    <w:rsid w:val="00FF716F"/>
    <w:rPr>
      <w:rFonts w:ascii="Courier New" w:hAnsi="Courier New" w:cs="Courier New" w:hint="default"/>
    </w:rPr>
  </w:style>
  <w:style w:type="character" w:customStyle="1" w:styleId="WW8Num44z2">
    <w:name w:val="WW8Num44z2"/>
    <w:rsid w:val="00FF716F"/>
    <w:rPr>
      <w:rFonts w:ascii="Wingdings" w:hAnsi="Wingdings" w:cs="Wingdings" w:hint="default"/>
    </w:rPr>
  </w:style>
  <w:style w:type="character" w:customStyle="1" w:styleId="WW8Num45z0">
    <w:name w:val="WW8Num45z0"/>
    <w:rsid w:val="00FF716F"/>
    <w:rPr>
      <w:rFonts w:ascii="Symbol" w:hAnsi="Symbol" w:cs="Symbol" w:hint="default"/>
      <w:sz w:val="20"/>
    </w:rPr>
  </w:style>
  <w:style w:type="character" w:customStyle="1" w:styleId="WW8Num45z1">
    <w:name w:val="WW8Num45z1"/>
    <w:rsid w:val="00FF716F"/>
    <w:rPr>
      <w:rFonts w:ascii="Courier New" w:hAnsi="Courier New" w:cs="Courier New" w:hint="default"/>
      <w:sz w:val="20"/>
    </w:rPr>
  </w:style>
  <w:style w:type="character" w:customStyle="1" w:styleId="WW8Num45z2">
    <w:name w:val="WW8Num45z2"/>
    <w:rsid w:val="00FF716F"/>
    <w:rPr>
      <w:rFonts w:ascii="Wingdings" w:hAnsi="Wingdings" w:cs="Wingdings" w:hint="default"/>
      <w:sz w:val="20"/>
    </w:rPr>
  </w:style>
  <w:style w:type="character" w:customStyle="1" w:styleId="WW8Num46z0">
    <w:name w:val="WW8Num46z0"/>
    <w:rsid w:val="00FF716F"/>
    <w:rPr>
      <w:rFonts w:ascii="Symbol" w:hAnsi="Symbol" w:cs="Symbol" w:hint="default"/>
    </w:rPr>
  </w:style>
  <w:style w:type="character" w:customStyle="1" w:styleId="WW8Num46z1">
    <w:name w:val="WW8Num46z1"/>
    <w:rsid w:val="00FF716F"/>
    <w:rPr>
      <w:rFonts w:ascii="Courier New" w:hAnsi="Courier New" w:cs="Courier New" w:hint="default"/>
    </w:rPr>
  </w:style>
  <w:style w:type="character" w:customStyle="1" w:styleId="WW8Num46z2">
    <w:name w:val="WW8Num46z2"/>
    <w:rsid w:val="00FF716F"/>
    <w:rPr>
      <w:rFonts w:ascii="Wingdings" w:hAnsi="Wingdings" w:cs="Wingdings" w:hint="default"/>
    </w:rPr>
  </w:style>
  <w:style w:type="character" w:customStyle="1" w:styleId="WW8Num47z0">
    <w:name w:val="WW8Num47z0"/>
    <w:rsid w:val="00FF716F"/>
    <w:rPr>
      <w:rFonts w:ascii="Symbol" w:hAnsi="Symbol" w:cs="Symbol" w:hint="default"/>
    </w:rPr>
  </w:style>
  <w:style w:type="character" w:customStyle="1" w:styleId="WW8Num47z1">
    <w:name w:val="WW8Num47z1"/>
    <w:rsid w:val="00FF716F"/>
    <w:rPr>
      <w:rFonts w:ascii="Courier New" w:hAnsi="Courier New" w:cs="Courier New" w:hint="default"/>
    </w:rPr>
  </w:style>
  <w:style w:type="character" w:customStyle="1" w:styleId="WW8Num47z2">
    <w:name w:val="WW8Num47z2"/>
    <w:rsid w:val="00FF716F"/>
    <w:rPr>
      <w:rFonts w:ascii="Wingdings" w:hAnsi="Wingdings" w:cs="Wingdings" w:hint="default"/>
    </w:rPr>
  </w:style>
  <w:style w:type="character" w:customStyle="1" w:styleId="WW8Num48z0">
    <w:name w:val="WW8Num48z0"/>
    <w:rsid w:val="00FF716F"/>
    <w:rPr>
      <w:rFonts w:ascii="Symbol" w:hAnsi="Symbol" w:cs="Symbol" w:hint="default"/>
    </w:rPr>
  </w:style>
  <w:style w:type="character" w:customStyle="1" w:styleId="WW8Num48z1">
    <w:name w:val="WW8Num48z1"/>
    <w:rsid w:val="00FF716F"/>
    <w:rPr>
      <w:rFonts w:ascii="Courier New" w:hAnsi="Courier New" w:cs="Courier New" w:hint="default"/>
    </w:rPr>
  </w:style>
  <w:style w:type="character" w:customStyle="1" w:styleId="WW8Num48z2">
    <w:name w:val="WW8Num48z2"/>
    <w:rsid w:val="00FF716F"/>
    <w:rPr>
      <w:rFonts w:ascii="Wingdings" w:hAnsi="Wingdings" w:cs="Wingdings" w:hint="default"/>
    </w:rPr>
  </w:style>
  <w:style w:type="character" w:customStyle="1" w:styleId="WW8Num49z0">
    <w:name w:val="WW8Num49z0"/>
    <w:rsid w:val="00FF716F"/>
    <w:rPr>
      <w:rFonts w:ascii="Symbol" w:hAnsi="Symbol" w:cs="Symbol" w:hint="default"/>
    </w:rPr>
  </w:style>
  <w:style w:type="character" w:customStyle="1" w:styleId="WW8Num49z1">
    <w:name w:val="WW8Num49z1"/>
    <w:rsid w:val="00FF716F"/>
    <w:rPr>
      <w:rFonts w:ascii="Courier New" w:hAnsi="Courier New" w:cs="Courier New" w:hint="default"/>
    </w:rPr>
  </w:style>
  <w:style w:type="character" w:customStyle="1" w:styleId="WW8Num49z2">
    <w:name w:val="WW8Num49z2"/>
    <w:rsid w:val="00FF716F"/>
    <w:rPr>
      <w:rFonts w:ascii="Wingdings" w:hAnsi="Wingdings" w:cs="Wingdings" w:hint="default"/>
    </w:rPr>
  </w:style>
  <w:style w:type="character" w:customStyle="1" w:styleId="WW8Num4z0">
    <w:name w:val="WW8Num4z0"/>
    <w:rsid w:val="00FF716F"/>
    <w:rPr>
      <w:rFonts w:ascii="Symbol" w:hAnsi="Symbol" w:cs="Symbol"/>
    </w:rPr>
  </w:style>
  <w:style w:type="character" w:customStyle="1" w:styleId="WW8Num50z0">
    <w:name w:val="WW8Num50z0"/>
    <w:rsid w:val="00FF716F"/>
    <w:rPr>
      <w:rFonts w:ascii="Symbol" w:hAnsi="Symbol" w:cs="Symbol" w:hint="default"/>
      <w:sz w:val="20"/>
    </w:rPr>
  </w:style>
  <w:style w:type="character" w:customStyle="1" w:styleId="WW8Num50z1">
    <w:name w:val="WW8Num50z1"/>
    <w:rsid w:val="00FF716F"/>
    <w:rPr>
      <w:rFonts w:ascii="Courier New" w:hAnsi="Courier New" w:cs="Courier New" w:hint="default"/>
      <w:sz w:val="20"/>
    </w:rPr>
  </w:style>
  <w:style w:type="character" w:customStyle="1" w:styleId="WW8Num50z2">
    <w:name w:val="WW8Num50z2"/>
    <w:rsid w:val="00FF716F"/>
    <w:rPr>
      <w:rFonts w:ascii="Wingdings" w:hAnsi="Wingdings" w:cs="Wingdings" w:hint="default"/>
      <w:sz w:val="20"/>
    </w:rPr>
  </w:style>
  <w:style w:type="character" w:customStyle="1" w:styleId="WW8Num5z0">
    <w:name w:val="WW8Num5z0"/>
    <w:rsid w:val="00FF716F"/>
  </w:style>
  <w:style w:type="character" w:customStyle="1" w:styleId="WW8Num6z0">
    <w:name w:val="WW8Num6z0"/>
    <w:rsid w:val="00FF716F"/>
    <w:rPr>
      <w:rFonts w:ascii="Symbol" w:hAnsi="Symbol" w:cs="Symbol" w:hint="default"/>
    </w:rPr>
  </w:style>
  <w:style w:type="character" w:customStyle="1" w:styleId="WW8Num6z1">
    <w:name w:val="WW8Num6z1"/>
    <w:rsid w:val="00FF716F"/>
    <w:rPr>
      <w:rFonts w:ascii="Courier New" w:hAnsi="Courier New" w:cs="Courier New" w:hint="default"/>
    </w:rPr>
  </w:style>
  <w:style w:type="character" w:customStyle="1" w:styleId="WW8Num6z2">
    <w:name w:val="WW8Num6z2"/>
    <w:rsid w:val="00FF716F"/>
    <w:rPr>
      <w:rFonts w:ascii="Wingdings" w:hAnsi="Wingdings" w:cs="Wingdings" w:hint="default"/>
    </w:rPr>
  </w:style>
  <w:style w:type="character" w:customStyle="1" w:styleId="WW8Num7z0">
    <w:name w:val="WW8Num7z0"/>
    <w:rsid w:val="00FF716F"/>
    <w:rPr>
      <w:rFonts w:hint="default"/>
    </w:rPr>
  </w:style>
  <w:style w:type="character" w:customStyle="1" w:styleId="WW8Num7z1">
    <w:name w:val="WW8Num7z1"/>
    <w:rsid w:val="00FF716F"/>
  </w:style>
  <w:style w:type="character" w:customStyle="1" w:styleId="WW8Num7z2">
    <w:name w:val="WW8Num7z2"/>
    <w:rsid w:val="00FF716F"/>
  </w:style>
  <w:style w:type="character" w:customStyle="1" w:styleId="WW8Num7z3">
    <w:name w:val="WW8Num7z3"/>
    <w:rsid w:val="00FF716F"/>
  </w:style>
  <w:style w:type="character" w:customStyle="1" w:styleId="WW8Num7z4">
    <w:name w:val="WW8Num7z4"/>
    <w:rsid w:val="00FF716F"/>
  </w:style>
  <w:style w:type="character" w:customStyle="1" w:styleId="WW8Num7z5">
    <w:name w:val="WW8Num7z5"/>
    <w:rsid w:val="00FF716F"/>
  </w:style>
  <w:style w:type="character" w:customStyle="1" w:styleId="WW8Num7z6">
    <w:name w:val="WW8Num7z6"/>
    <w:rsid w:val="00FF716F"/>
  </w:style>
  <w:style w:type="character" w:customStyle="1" w:styleId="WW8Num7z7">
    <w:name w:val="WW8Num7z7"/>
    <w:rsid w:val="00FF716F"/>
  </w:style>
  <w:style w:type="character" w:customStyle="1" w:styleId="WW8Num7z8">
    <w:name w:val="WW8Num7z8"/>
    <w:rsid w:val="00FF716F"/>
  </w:style>
  <w:style w:type="character" w:customStyle="1" w:styleId="WW8Num8z0">
    <w:name w:val="WW8Num8z0"/>
    <w:rsid w:val="00FF716F"/>
    <w:rPr>
      <w:rFonts w:ascii="Symbol" w:hAnsi="Symbol" w:cs="Symbol" w:hint="default"/>
      <w:sz w:val="20"/>
    </w:rPr>
  </w:style>
  <w:style w:type="character" w:customStyle="1" w:styleId="WW8Num8z1">
    <w:name w:val="WW8Num8z1"/>
    <w:rsid w:val="00FF716F"/>
    <w:rPr>
      <w:rFonts w:ascii="Courier New" w:hAnsi="Courier New" w:cs="Courier New" w:hint="default"/>
      <w:sz w:val="20"/>
    </w:rPr>
  </w:style>
  <w:style w:type="character" w:customStyle="1" w:styleId="WW8Num8z2">
    <w:name w:val="WW8Num8z2"/>
    <w:rsid w:val="00FF716F"/>
    <w:rPr>
      <w:rFonts w:ascii="Wingdings" w:hAnsi="Wingdings" w:cs="Wingdings" w:hint="default"/>
      <w:sz w:val="20"/>
    </w:rPr>
  </w:style>
  <w:style w:type="character" w:customStyle="1" w:styleId="WW8Num9z0">
    <w:name w:val="WW8Num9z0"/>
    <w:rsid w:val="00FF716F"/>
  </w:style>
  <w:style w:type="character" w:customStyle="1" w:styleId="WW8Num9z1">
    <w:name w:val="WW8Num9z1"/>
    <w:rsid w:val="00FF716F"/>
  </w:style>
  <w:style w:type="character" w:customStyle="1" w:styleId="WW8Num9z2">
    <w:name w:val="WW8Num9z2"/>
    <w:rsid w:val="00FF716F"/>
  </w:style>
  <w:style w:type="character" w:customStyle="1" w:styleId="WW8Num9z3">
    <w:name w:val="WW8Num9z3"/>
    <w:rsid w:val="00FF716F"/>
  </w:style>
  <w:style w:type="character" w:customStyle="1" w:styleId="WW8Num9z4">
    <w:name w:val="WW8Num9z4"/>
    <w:rsid w:val="00FF716F"/>
  </w:style>
  <w:style w:type="character" w:customStyle="1" w:styleId="WW8Num9z5">
    <w:name w:val="WW8Num9z5"/>
    <w:rsid w:val="00FF716F"/>
  </w:style>
  <w:style w:type="character" w:customStyle="1" w:styleId="WW8Num9z6">
    <w:name w:val="WW8Num9z6"/>
    <w:rsid w:val="00FF716F"/>
  </w:style>
  <w:style w:type="character" w:customStyle="1" w:styleId="WW8Num9z7">
    <w:name w:val="WW8Num9z7"/>
    <w:rsid w:val="00FF716F"/>
  </w:style>
  <w:style w:type="character" w:customStyle="1" w:styleId="WW8Num9z8">
    <w:name w:val="WW8Num9z8"/>
    <w:rsid w:val="00FF716F"/>
  </w:style>
  <w:style w:type="character" w:customStyle="1" w:styleId="xref-sep">
    <w:name w:val="xref-sep"/>
    <w:rsid w:val="00FF716F"/>
  </w:style>
  <w:style w:type="paragraph" w:customStyle="1" w:styleId="Zkladntext213">
    <w:name w:val="Základní text 21"/>
    <w:basedOn w:val="Normln"/>
    <w:rsid w:val="00FF716F"/>
    <w:pPr>
      <w:suppressAutoHyphens/>
      <w:spacing w:after="120" w:line="480" w:lineRule="auto"/>
    </w:pPr>
    <w:rPr>
      <w:rFonts w:cs="Calibri"/>
      <w:lang w:eastAsia="zh-CN"/>
    </w:rPr>
  </w:style>
  <w:style w:type="character" w:customStyle="1" w:styleId="Znakapoznpodarou1">
    <w:name w:val="Značka pozn. pod čarou1"/>
    <w:rsid w:val="00FF716F"/>
    <w:rPr>
      <w:vertAlign w:val="superscript"/>
    </w:rPr>
  </w:style>
  <w:style w:type="character" w:customStyle="1" w:styleId="expandableitem">
    <w:name w:val="expandableitem"/>
    <w:rsid w:val="00863F1E"/>
  </w:style>
  <w:style w:type="character" w:customStyle="1" w:styleId="ky2igmncmogjharherah">
    <w:name w:val="ky2igmncmogjharherah"/>
    <w:rsid w:val="00B505AA"/>
  </w:style>
  <w:style w:type="character" w:customStyle="1" w:styleId="ezkurwreuab5ozgtqnkl">
    <w:name w:val="ezkurwreuab5ozgtqnkl"/>
    <w:rsid w:val="00297009"/>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cs-CZ" w:eastAsia="cs-CZ"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938877">
      <w:bodyDiv w:val="1"/>
      <w:marLeft w:val="0"/>
      <w:marRight w:val="0"/>
      <w:marTop w:val="0"/>
      <w:marBottom w:val="0"/>
      <w:divBdr>
        <w:top w:val="none" w:sz="0" w:space="0" w:color="auto"/>
        <w:left w:val="none" w:sz="0" w:space="0" w:color="auto"/>
        <w:bottom w:val="none" w:sz="0" w:space="0" w:color="auto"/>
        <w:right w:val="none" w:sz="0" w:space="0" w:color="auto"/>
      </w:divBdr>
    </w:div>
    <w:div w:id="4940368">
      <w:bodyDiv w:val="1"/>
      <w:marLeft w:val="0"/>
      <w:marRight w:val="0"/>
      <w:marTop w:val="0"/>
      <w:marBottom w:val="0"/>
      <w:divBdr>
        <w:top w:val="none" w:sz="0" w:space="0" w:color="auto"/>
        <w:left w:val="none" w:sz="0" w:space="0" w:color="auto"/>
        <w:bottom w:val="none" w:sz="0" w:space="0" w:color="auto"/>
        <w:right w:val="none" w:sz="0" w:space="0" w:color="auto"/>
      </w:divBdr>
    </w:div>
    <w:div w:id="5401899">
      <w:bodyDiv w:val="1"/>
      <w:marLeft w:val="0"/>
      <w:marRight w:val="0"/>
      <w:marTop w:val="0"/>
      <w:marBottom w:val="0"/>
      <w:divBdr>
        <w:top w:val="none" w:sz="0" w:space="0" w:color="auto"/>
        <w:left w:val="none" w:sz="0" w:space="0" w:color="auto"/>
        <w:bottom w:val="none" w:sz="0" w:space="0" w:color="auto"/>
        <w:right w:val="none" w:sz="0" w:space="0" w:color="auto"/>
      </w:divBdr>
      <w:divsChild>
        <w:div w:id="656038349">
          <w:marLeft w:val="0"/>
          <w:marRight w:val="0"/>
          <w:marTop w:val="0"/>
          <w:marBottom w:val="0"/>
          <w:divBdr>
            <w:top w:val="none" w:sz="0" w:space="0" w:color="auto"/>
            <w:left w:val="none" w:sz="0" w:space="0" w:color="auto"/>
            <w:bottom w:val="none" w:sz="0" w:space="0" w:color="auto"/>
            <w:right w:val="none" w:sz="0" w:space="0" w:color="auto"/>
          </w:divBdr>
        </w:div>
        <w:div w:id="743530648">
          <w:marLeft w:val="0"/>
          <w:marRight w:val="0"/>
          <w:marTop w:val="0"/>
          <w:marBottom w:val="0"/>
          <w:divBdr>
            <w:top w:val="none" w:sz="0" w:space="0" w:color="auto"/>
            <w:left w:val="none" w:sz="0" w:space="0" w:color="auto"/>
            <w:bottom w:val="none" w:sz="0" w:space="0" w:color="auto"/>
            <w:right w:val="none" w:sz="0" w:space="0" w:color="auto"/>
          </w:divBdr>
        </w:div>
        <w:div w:id="1164206179">
          <w:marLeft w:val="0"/>
          <w:marRight w:val="0"/>
          <w:marTop w:val="0"/>
          <w:marBottom w:val="0"/>
          <w:divBdr>
            <w:top w:val="none" w:sz="0" w:space="0" w:color="auto"/>
            <w:left w:val="none" w:sz="0" w:space="0" w:color="auto"/>
            <w:bottom w:val="none" w:sz="0" w:space="0" w:color="auto"/>
            <w:right w:val="none" w:sz="0" w:space="0" w:color="auto"/>
          </w:divBdr>
        </w:div>
        <w:div w:id="1293369021">
          <w:marLeft w:val="0"/>
          <w:marRight w:val="0"/>
          <w:marTop w:val="0"/>
          <w:marBottom w:val="0"/>
          <w:divBdr>
            <w:top w:val="none" w:sz="0" w:space="0" w:color="auto"/>
            <w:left w:val="none" w:sz="0" w:space="0" w:color="auto"/>
            <w:bottom w:val="none" w:sz="0" w:space="0" w:color="auto"/>
            <w:right w:val="none" w:sz="0" w:space="0" w:color="auto"/>
          </w:divBdr>
        </w:div>
      </w:divsChild>
    </w:div>
    <w:div w:id="8607190">
      <w:bodyDiv w:val="1"/>
      <w:marLeft w:val="0"/>
      <w:marRight w:val="0"/>
      <w:marTop w:val="0"/>
      <w:marBottom w:val="0"/>
      <w:divBdr>
        <w:top w:val="none" w:sz="0" w:space="0" w:color="auto"/>
        <w:left w:val="none" w:sz="0" w:space="0" w:color="auto"/>
        <w:bottom w:val="none" w:sz="0" w:space="0" w:color="auto"/>
        <w:right w:val="none" w:sz="0" w:space="0" w:color="auto"/>
      </w:divBdr>
      <w:divsChild>
        <w:div w:id="195050417">
          <w:marLeft w:val="0"/>
          <w:marRight w:val="0"/>
          <w:marTop w:val="0"/>
          <w:marBottom w:val="0"/>
          <w:divBdr>
            <w:top w:val="none" w:sz="0" w:space="0" w:color="auto"/>
            <w:left w:val="none" w:sz="0" w:space="0" w:color="auto"/>
            <w:bottom w:val="none" w:sz="0" w:space="0" w:color="auto"/>
            <w:right w:val="none" w:sz="0" w:space="0" w:color="auto"/>
          </w:divBdr>
        </w:div>
        <w:div w:id="851803195">
          <w:marLeft w:val="0"/>
          <w:marRight w:val="0"/>
          <w:marTop w:val="0"/>
          <w:marBottom w:val="0"/>
          <w:divBdr>
            <w:top w:val="none" w:sz="0" w:space="0" w:color="auto"/>
            <w:left w:val="none" w:sz="0" w:space="0" w:color="auto"/>
            <w:bottom w:val="none" w:sz="0" w:space="0" w:color="auto"/>
            <w:right w:val="none" w:sz="0" w:space="0" w:color="auto"/>
          </w:divBdr>
        </w:div>
      </w:divsChild>
    </w:div>
    <w:div w:id="11076207">
      <w:bodyDiv w:val="1"/>
      <w:marLeft w:val="0"/>
      <w:marRight w:val="0"/>
      <w:marTop w:val="0"/>
      <w:marBottom w:val="0"/>
      <w:divBdr>
        <w:top w:val="none" w:sz="0" w:space="0" w:color="auto"/>
        <w:left w:val="none" w:sz="0" w:space="0" w:color="auto"/>
        <w:bottom w:val="none" w:sz="0" w:space="0" w:color="auto"/>
        <w:right w:val="none" w:sz="0" w:space="0" w:color="auto"/>
      </w:divBdr>
    </w:div>
    <w:div w:id="11689264">
      <w:bodyDiv w:val="1"/>
      <w:marLeft w:val="0"/>
      <w:marRight w:val="0"/>
      <w:marTop w:val="0"/>
      <w:marBottom w:val="0"/>
      <w:divBdr>
        <w:top w:val="none" w:sz="0" w:space="0" w:color="auto"/>
        <w:left w:val="none" w:sz="0" w:space="0" w:color="auto"/>
        <w:bottom w:val="none" w:sz="0" w:space="0" w:color="auto"/>
        <w:right w:val="none" w:sz="0" w:space="0" w:color="auto"/>
      </w:divBdr>
      <w:divsChild>
        <w:div w:id="125468367">
          <w:marLeft w:val="0"/>
          <w:marRight w:val="0"/>
          <w:marTop w:val="0"/>
          <w:marBottom w:val="0"/>
          <w:divBdr>
            <w:top w:val="none" w:sz="0" w:space="0" w:color="auto"/>
            <w:left w:val="none" w:sz="0" w:space="0" w:color="auto"/>
            <w:bottom w:val="none" w:sz="0" w:space="0" w:color="auto"/>
            <w:right w:val="none" w:sz="0" w:space="0" w:color="auto"/>
          </w:divBdr>
        </w:div>
        <w:div w:id="314381534">
          <w:marLeft w:val="0"/>
          <w:marRight w:val="0"/>
          <w:marTop w:val="0"/>
          <w:marBottom w:val="0"/>
          <w:divBdr>
            <w:top w:val="none" w:sz="0" w:space="0" w:color="auto"/>
            <w:left w:val="none" w:sz="0" w:space="0" w:color="auto"/>
            <w:bottom w:val="none" w:sz="0" w:space="0" w:color="auto"/>
            <w:right w:val="none" w:sz="0" w:space="0" w:color="auto"/>
          </w:divBdr>
        </w:div>
      </w:divsChild>
    </w:div>
    <w:div w:id="12927669">
      <w:bodyDiv w:val="1"/>
      <w:marLeft w:val="0"/>
      <w:marRight w:val="0"/>
      <w:marTop w:val="0"/>
      <w:marBottom w:val="0"/>
      <w:divBdr>
        <w:top w:val="none" w:sz="0" w:space="0" w:color="auto"/>
        <w:left w:val="none" w:sz="0" w:space="0" w:color="auto"/>
        <w:bottom w:val="none" w:sz="0" w:space="0" w:color="auto"/>
        <w:right w:val="none" w:sz="0" w:space="0" w:color="auto"/>
      </w:divBdr>
      <w:divsChild>
        <w:div w:id="123232931">
          <w:marLeft w:val="0"/>
          <w:marRight w:val="0"/>
          <w:marTop w:val="0"/>
          <w:marBottom w:val="0"/>
          <w:divBdr>
            <w:top w:val="none" w:sz="0" w:space="0" w:color="auto"/>
            <w:left w:val="none" w:sz="0" w:space="0" w:color="auto"/>
            <w:bottom w:val="none" w:sz="0" w:space="0" w:color="auto"/>
            <w:right w:val="none" w:sz="0" w:space="0" w:color="auto"/>
          </w:divBdr>
        </w:div>
        <w:div w:id="829829714">
          <w:marLeft w:val="0"/>
          <w:marRight w:val="0"/>
          <w:marTop w:val="0"/>
          <w:marBottom w:val="0"/>
          <w:divBdr>
            <w:top w:val="none" w:sz="0" w:space="0" w:color="auto"/>
            <w:left w:val="none" w:sz="0" w:space="0" w:color="auto"/>
            <w:bottom w:val="none" w:sz="0" w:space="0" w:color="auto"/>
            <w:right w:val="none" w:sz="0" w:space="0" w:color="auto"/>
          </w:divBdr>
        </w:div>
      </w:divsChild>
    </w:div>
    <w:div w:id="12999878">
      <w:bodyDiv w:val="1"/>
      <w:marLeft w:val="0"/>
      <w:marRight w:val="0"/>
      <w:marTop w:val="0"/>
      <w:marBottom w:val="0"/>
      <w:divBdr>
        <w:top w:val="none" w:sz="0" w:space="0" w:color="auto"/>
        <w:left w:val="none" w:sz="0" w:space="0" w:color="auto"/>
        <w:bottom w:val="none" w:sz="0" w:space="0" w:color="auto"/>
        <w:right w:val="none" w:sz="0" w:space="0" w:color="auto"/>
      </w:divBdr>
      <w:divsChild>
        <w:div w:id="26107616">
          <w:marLeft w:val="0"/>
          <w:marRight w:val="0"/>
          <w:marTop w:val="0"/>
          <w:marBottom w:val="0"/>
          <w:divBdr>
            <w:top w:val="none" w:sz="0" w:space="0" w:color="auto"/>
            <w:left w:val="none" w:sz="0" w:space="0" w:color="auto"/>
            <w:bottom w:val="none" w:sz="0" w:space="0" w:color="auto"/>
            <w:right w:val="none" w:sz="0" w:space="0" w:color="auto"/>
          </w:divBdr>
        </w:div>
        <w:div w:id="446319574">
          <w:marLeft w:val="0"/>
          <w:marRight w:val="0"/>
          <w:marTop w:val="0"/>
          <w:marBottom w:val="0"/>
          <w:divBdr>
            <w:top w:val="none" w:sz="0" w:space="0" w:color="auto"/>
            <w:left w:val="none" w:sz="0" w:space="0" w:color="auto"/>
            <w:bottom w:val="none" w:sz="0" w:space="0" w:color="auto"/>
            <w:right w:val="none" w:sz="0" w:space="0" w:color="auto"/>
          </w:divBdr>
        </w:div>
        <w:div w:id="824975112">
          <w:marLeft w:val="0"/>
          <w:marRight w:val="0"/>
          <w:marTop w:val="0"/>
          <w:marBottom w:val="0"/>
          <w:divBdr>
            <w:top w:val="none" w:sz="0" w:space="0" w:color="auto"/>
            <w:left w:val="none" w:sz="0" w:space="0" w:color="auto"/>
            <w:bottom w:val="none" w:sz="0" w:space="0" w:color="auto"/>
            <w:right w:val="none" w:sz="0" w:space="0" w:color="auto"/>
          </w:divBdr>
        </w:div>
        <w:div w:id="1314404724">
          <w:marLeft w:val="0"/>
          <w:marRight w:val="0"/>
          <w:marTop w:val="0"/>
          <w:marBottom w:val="0"/>
          <w:divBdr>
            <w:top w:val="none" w:sz="0" w:space="0" w:color="auto"/>
            <w:left w:val="none" w:sz="0" w:space="0" w:color="auto"/>
            <w:bottom w:val="none" w:sz="0" w:space="0" w:color="auto"/>
            <w:right w:val="none" w:sz="0" w:space="0" w:color="auto"/>
          </w:divBdr>
        </w:div>
        <w:div w:id="1334451658">
          <w:marLeft w:val="0"/>
          <w:marRight w:val="0"/>
          <w:marTop w:val="0"/>
          <w:marBottom w:val="0"/>
          <w:divBdr>
            <w:top w:val="none" w:sz="0" w:space="0" w:color="auto"/>
            <w:left w:val="none" w:sz="0" w:space="0" w:color="auto"/>
            <w:bottom w:val="none" w:sz="0" w:space="0" w:color="auto"/>
            <w:right w:val="none" w:sz="0" w:space="0" w:color="auto"/>
          </w:divBdr>
        </w:div>
        <w:div w:id="1363751074">
          <w:marLeft w:val="0"/>
          <w:marRight w:val="0"/>
          <w:marTop w:val="0"/>
          <w:marBottom w:val="0"/>
          <w:divBdr>
            <w:top w:val="none" w:sz="0" w:space="0" w:color="auto"/>
            <w:left w:val="none" w:sz="0" w:space="0" w:color="auto"/>
            <w:bottom w:val="none" w:sz="0" w:space="0" w:color="auto"/>
            <w:right w:val="none" w:sz="0" w:space="0" w:color="auto"/>
          </w:divBdr>
        </w:div>
        <w:div w:id="1579091479">
          <w:marLeft w:val="0"/>
          <w:marRight w:val="0"/>
          <w:marTop w:val="0"/>
          <w:marBottom w:val="0"/>
          <w:divBdr>
            <w:top w:val="none" w:sz="0" w:space="0" w:color="auto"/>
            <w:left w:val="none" w:sz="0" w:space="0" w:color="auto"/>
            <w:bottom w:val="none" w:sz="0" w:space="0" w:color="auto"/>
            <w:right w:val="none" w:sz="0" w:space="0" w:color="auto"/>
          </w:divBdr>
        </w:div>
        <w:div w:id="1949459289">
          <w:marLeft w:val="0"/>
          <w:marRight w:val="0"/>
          <w:marTop w:val="0"/>
          <w:marBottom w:val="0"/>
          <w:divBdr>
            <w:top w:val="none" w:sz="0" w:space="0" w:color="auto"/>
            <w:left w:val="none" w:sz="0" w:space="0" w:color="auto"/>
            <w:bottom w:val="none" w:sz="0" w:space="0" w:color="auto"/>
            <w:right w:val="none" w:sz="0" w:space="0" w:color="auto"/>
          </w:divBdr>
        </w:div>
      </w:divsChild>
    </w:div>
    <w:div w:id="13265778">
      <w:bodyDiv w:val="1"/>
      <w:marLeft w:val="0"/>
      <w:marRight w:val="0"/>
      <w:marTop w:val="0"/>
      <w:marBottom w:val="0"/>
      <w:divBdr>
        <w:top w:val="none" w:sz="0" w:space="0" w:color="auto"/>
        <w:left w:val="none" w:sz="0" w:space="0" w:color="auto"/>
        <w:bottom w:val="none" w:sz="0" w:space="0" w:color="auto"/>
        <w:right w:val="none" w:sz="0" w:space="0" w:color="auto"/>
      </w:divBdr>
    </w:div>
    <w:div w:id="15926875">
      <w:bodyDiv w:val="1"/>
      <w:marLeft w:val="0"/>
      <w:marRight w:val="0"/>
      <w:marTop w:val="0"/>
      <w:marBottom w:val="0"/>
      <w:divBdr>
        <w:top w:val="none" w:sz="0" w:space="0" w:color="auto"/>
        <w:left w:val="none" w:sz="0" w:space="0" w:color="auto"/>
        <w:bottom w:val="none" w:sz="0" w:space="0" w:color="auto"/>
        <w:right w:val="none" w:sz="0" w:space="0" w:color="auto"/>
      </w:divBdr>
      <w:divsChild>
        <w:div w:id="634407039">
          <w:marLeft w:val="0"/>
          <w:marRight w:val="0"/>
          <w:marTop w:val="0"/>
          <w:marBottom w:val="0"/>
          <w:divBdr>
            <w:top w:val="none" w:sz="0" w:space="0" w:color="auto"/>
            <w:left w:val="none" w:sz="0" w:space="0" w:color="auto"/>
            <w:bottom w:val="none" w:sz="0" w:space="0" w:color="auto"/>
            <w:right w:val="none" w:sz="0" w:space="0" w:color="auto"/>
          </w:divBdr>
          <w:divsChild>
            <w:div w:id="2018463940">
              <w:marLeft w:val="0"/>
              <w:marRight w:val="0"/>
              <w:marTop w:val="0"/>
              <w:marBottom w:val="0"/>
              <w:divBdr>
                <w:top w:val="none" w:sz="0" w:space="0" w:color="auto"/>
                <w:left w:val="none" w:sz="0" w:space="0" w:color="auto"/>
                <w:bottom w:val="none" w:sz="0" w:space="0" w:color="auto"/>
                <w:right w:val="none" w:sz="0" w:space="0" w:color="auto"/>
              </w:divBdr>
            </w:div>
            <w:div w:id="2127188712">
              <w:marLeft w:val="0"/>
              <w:marRight w:val="0"/>
              <w:marTop w:val="0"/>
              <w:marBottom w:val="0"/>
              <w:divBdr>
                <w:top w:val="none" w:sz="0" w:space="0" w:color="auto"/>
                <w:left w:val="none" w:sz="0" w:space="0" w:color="auto"/>
                <w:bottom w:val="none" w:sz="0" w:space="0" w:color="auto"/>
                <w:right w:val="none" w:sz="0" w:space="0" w:color="auto"/>
              </w:divBdr>
            </w:div>
          </w:divsChild>
        </w:div>
        <w:div w:id="1743523977">
          <w:marLeft w:val="0"/>
          <w:marRight w:val="0"/>
          <w:marTop w:val="0"/>
          <w:marBottom w:val="0"/>
          <w:divBdr>
            <w:top w:val="none" w:sz="0" w:space="0" w:color="auto"/>
            <w:left w:val="none" w:sz="0" w:space="0" w:color="auto"/>
            <w:bottom w:val="none" w:sz="0" w:space="0" w:color="auto"/>
            <w:right w:val="none" w:sz="0" w:space="0" w:color="auto"/>
          </w:divBdr>
          <w:divsChild>
            <w:div w:id="1245341896">
              <w:marLeft w:val="0"/>
              <w:marRight w:val="0"/>
              <w:marTop w:val="0"/>
              <w:marBottom w:val="0"/>
              <w:divBdr>
                <w:top w:val="none" w:sz="0" w:space="0" w:color="auto"/>
                <w:left w:val="none" w:sz="0" w:space="0" w:color="auto"/>
                <w:bottom w:val="none" w:sz="0" w:space="0" w:color="auto"/>
                <w:right w:val="none" w:sz="0" w:space="0" w:color="auto"/>
              </w:divBdr>
            </w:div>
          </w:divsChild>
        </w:div>
        <w:div w:id="1981181439">
          <w:marLeft w:val="0"/>
          <w:marRight w:val="0"/>
          <w:marTop w:val="0"/>
          <w:marBottom w:val="0"/>
          <w:divBdr>
            <w:top w:val="none" w:sz="0" w:space="0" w:color="auto"/>
            <w:left w:val="none" w:sz="0" w:space="0" w:color="auto"/>
            <w:bottom w:val="none" w:sz="0" w:space="0" w:color="auto"/>
            <w:right w:val="none" w:sz="0" w:space="0" w:color="auto"/>
          </w:divBdr>
          <w:divsChild>
            <w:div w:id="1196313195">
              <w:marLeft w:val="0"/>
              <w:marRight w:val="0"/>
              <w:marTop w:val="0"/>
              <w:marBottom w:val="0"/>
              <w:divBdr>
                <w:top w:val="none" w:sz="0" w:space="0" w:color="auto"/>
                <w:left w:val="none" w:sz="0" w:space="0" w:color="auto"/>
                <w:bottom w:val="none" w:sz="0" w:space="0" w:color="auto"/>
                <w:right w:val="none" w:sz="0" w:space="0" w:color="auto"/>
              </w:divBdr>
              <w:divsChild>
                <w:div w:id="94257075">
                  <w:marLeft w:val="0"/>
                  <w:marRight w:val="0"/>
                  <w:marTop w:val="0"/>
                  <w:marBottom w:val="0"/>
                  <w:divBdr>
                    <w:top w:val="none" w:sz="0" w:space="0" w:color="auto"/>
                    <w:left w:val="none" w:sz="0" w:space="0" w:color="auto"/>
                    <w:bottom w:val="none" w:sz="0" w:space="0" w:color="auto"/>
                    <w:right w:val="none" w:sz="0" w:space="0" w:color="auto"/>
                  </w:divBdr>
                  <w:divsChild>
                    <w:div w:id="1335573725">
                      <w:marLeft w:val="0"/>
                      <w:marRight w:val="0"/>
                      <w:marTop w:val="0"/>
                      <w:marBottom w:val="0"/>
                      <w:divBdr>
                        <w:top w:val="none" w:sz="0" w:space="0" w:color="auto"/>
                        <w:left w:val="none" w:sz="0" w:space="0" w:color="auto"/>
                        <w:bottom w:val="none" w:sz="0" w:space="0" w:color="auto"/>
                        <w:right w:val="none" w:sz="0" w:space="0" w:color="auto"/>
                      </w:divBdr>
                      <w:divsChild>
                        <w:div w:id="554203186">
                          <w:marLeft w:val="0"/>
                          <w:marRight w:val="0"/>
                          <w:marTop w:val="0"/>
                          <w:marBottom w:val="0"/>
                          <w:divBdr>
                            <w:top w:val="none" w:sz="0" w:space="0" w:color="auto"/>
                            <w:left w:val="none" w:sz="0" w:space="0" w:color="auto"/>
                            <w:bottom w:val="none" w:sz="0" w:space="0" w:color="auto"/>
                            <w:right w:val="none" w:sz="0" w:space="0" w:color="auto"/>
                          </w:divBdr>
                          <w:divsChild>
                            <w:div w:id="429277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8218261">
                      <w:marLeft w:val="0"/>
                      <w:marRight w:val="0"/>
                      <w:marTop w:val="0"/>
                      <w:marBottom w:val="0"/>
                      <w:divBdr>
                        <w:top w:val="none" w:sz="0" w:space="0" w:color="auto"/>
                        <w:left w:val="none" w:sz="0" w:space="0" w:color="auto"/>
                        <w:bottom w:val="none" w:sz="0" w:space="0" w:color="auto"/>
                        <w:right w:val="none" w:sz="0" w:space="0" w:color="auto"/>
                      </w:divBdr>
                    </w:div>
                  </w:divsChild>
                </w:div>
                <w:div w:id="833647163">
                  <w:marLeft w:val="0"/>
                  <w:marRight w:val="0"/>
                  <w:marTop w:val="0"/>
                  <w:marBottom w:val="0"/>
                  <w:divBdr>
                    <w:top w:val="none" w:sz="0" w:space="0" w:color="auto"/>
                    <w:left w:val="none" w:sz="0" w:space="0" w:color="auto"/>
                    <w:bottom w:val="none" w:sz="0" w:space="0" w:color="auto"/>
                    <w:right w:val="none" w:sz="0" w:space="0" w:color="auto"/>
                  </w:divBdr>
                  <w:divsChild>
                    <w:div w:id="264505218">
                      <w:marLeft w:val="0"/>
                      <w:marRight w:val="0"/>
                      <w:marTop w:val="0"/>
                      <w:marBottom w:val="0"/>
                      <w:divBdr>
                        <w:top w:val="none" w:sz="0" w:space="0" w:color="auto"/>
                        <w:left w:val="none" w:sz="0" w:space="0" w:color="auto"/>
                        <w:bottom w:val="none" w:sz="0" w:space="0" w:color="auto"/>
                        <w:right w:val="none" w:sz="0" w:space="0" w:color="auto"/>
                      </w:divBdr>
                    </w:div>
                    <w:div w:id="1657371708">
                      <w:marLeft w:val="0"/>
                      <w:marRight w:val="0"/>
                      <w:marTop w:val="0"/>
                      <w:marBottom w:val="0"/>
                      <w:divBdr>
                        <w:top w:val="none" w:sz="0" w:space="0" w:color="auto"/>
                        <w:left w:val="none" w:sz="0" w:space="0" w:color="auto"/>
                        <w:bottom w:val="none" w:sz="0" w:space="0" w:color="auto"/>
                        <w:right w:val="none" w:sz="0" w:space="0" w:color="auto"/>
                      </w:divBdr>
                      <w:divsChild>
                        <w:div w:id="80875957">
                          <w:marLeft w:val="0"/>
                          <w:marRight w:val="0"/>
                          <w:marTop w:val="0"/>
                          <w:marBottom w:val="0"/>
                          <w:divBdr>
                            <w:top w:val="none" w:sz="0" w:space="0" w:color="auto"/>
                            <w:left w:val="none" w:sz="0" w:space="0" w:color="auto"/>
                            <w:bottom w:val="none" w:sz="0" w:space="0" w:color="auto"/>
                            <w:right w:val="none" w:sz="0" w:space="0" w:color="auto"/>
                          </w:divBdr>
                          <w:divsChild>
                            <w:div w:id="79066925">
                              <w:marLeft w:val="0"/>
                              <w:marRight w:val="0"/>
                              <w:marTop w:val="0"/>
                              <w:marBottom w:val="0"/>
                              <w:divBdr>
                                <w:top w:val="none" w:sz="0" w:space="0" w:color="auto"/>
                                <w:left w:val="none" w:sz="0" w:space="0" w:color="auto"/>
                                <w:bottom w:val="none" w:sz="0" w:space="0" w:color="auto"/>
                                <w:right w:val="none" w:sz="0" w:space="0" w:color="auto"/>
                              </w:divBdr>
                            </w:div>
                            <w:div w:id="141581027">
                              <w:marLeft w:val="0"/>
                              <w:marRight w:val="0"/>
                              <w:marTop w:val="0"/>
                              <w:marBottom w:val="0"/>
                              <w:divBdr>
                                <w:top w:val="none" w:sz="0" w:space="0" w:color="auto"/>
                                <w:left w:val="none" w:sz="0" w:space="0" w:color="auto"/>
                                <w:bottom w:val="none" w:sz="0" w:space="0" w:color="auto"/>
                                <w:right w:val="none" w:sz="0" w:space="0" w:color="auto"/>
                              </w:divBdr>
                            </w:div>
                            <w:div w:id="336811674">
                              <w:marLeft w:val="0"/>
                              <w:marRight w:val="0"/>
                              <w:marTop w:val="0"/>
                              <w:marBottom w:val="0"/>
                              <w:divBdr>
                                <w:top w:val="none" w:sz="0" w:space="0" w:color="auto"/>
                                <w:left w:val="none" w:sz="0" w:space="0" w:color="auto"/>
                                <w:bottom w:val="none" w:sz="0" w:space="0" w:color="auto"/>
                                <w:right w:val="none" w:sz="0" w:space="0" w:color="auto"/>
                              </w:divBdr>
                            </w:div>
                            <w:div w:id="454835149">
                              <w:marLeft w:val="0"/>
                              <w:marRight w:val="0"/>
                              <w:marTop w:val="0"/>
                              <w:marBottom w:val="0"/>
                              <w:divBdr>
                                <w:top w:val="none" w:sz="0" w:space="0" w:color="auto"/>
                                <w:left w:val="none" w:sz="0" w:space="0" w:color="auto"/>
                                <w:bottom w:val="none" w:sz="0" w:space="0" w:color="auto"/>
                                <w:right w:val="none" w:sz="0" w:space="0" w:color="auto"/>
                              </w:divBdr>
                            </w:div>
                            <w:div w:id="562062035">
                              <w:marLeft w:val="0"/>
                              <w:marRight w:val="0"/>
                              <w:marTop w:val="0"/>
                              <w:marBottom w:val="0"/>
                              <w:divBdr>
                                <w:top w:val="none" w:sz="0" w:space="0" w:color="auto"/>
                                <w:left w:val="none" w:sz="0" w:space="0" w:color="auto"/>
                                <w:bottom w:val="none" w:sz="0" w:space="0" w:color="auto"/>
                                <w:right w:val="none" w:sz="0" w:space="0" w:color="auto"/>
                              </w:divBdr>
                            </w:div>
                            <w:div w:id="583807228">
                              <w:marLeft w:val="0"/>
                              <w:marRight w:val="0"/>
                              <w:marTop w:val="0"/>
                              <w:marBottom w:val="0"/>
                              <w:divBdr>
                                <w:top w:val="none" w:sz="0" w:space="0" w:color="auto"/>
                                <w:left w:val="none" w:sz="0" w:space="0" w:color="auto"/>
                                <w:bottom w:val="none" w:sz="0" w:space="0" w:color="auto"/>
                                <w:right w:val="none" w:sz="0" w:space="0" w:color="auto"/>
                              </w:divBdr>
                            </w:div>
                            <w:div w:id="625502878">
                              <w:marLeft w:val="0"/>
                              <w:marRight w:val="0"/>
                              <w:marTop w:val="0"/>
                              <w:marBottom w:val="0"/>
                              <w:divBdr>
                                <w:top w:val="none" w:sz="0" w:space="0" w:color="auto"/>
                                <w:left w:val="none" w:sz="0" w:space="0" w:color="auto"/>
                                <w:bottom w:val="none" w:sz="0" w:space="0" w:color="auto"/>
                                <w:right w:val="none" w:sz="0" w:space="0" w:color="auto"/>
                              </w:divBdr>
                            </w:div>
                            <w:div w:id="699740462">
                              <w:marLeft w:val="0"/>
                              <w:marRight w:val="0"/>
                              <w:marTop w:val="0"/>
                              <w:marBottom w:val="0"/>
                              <w:divBdr>
                                <w:top w:val="none" w:sz="0" w:space="0" w:color="auto"/>
                                <w:left w:val="none" w:sz="0" w:space="0" w:color="auto"/>
                                <w:bottom w:val="none" w:sz="0" w:space="0" w:color="auto"/>
                                <w:right w:val="none" w:sz="0" w:space="0" w:color="auto"/>
                              </w:divBdr>
                            </w:div>
                            <w:div w:id="768306578">
                              <w:marLeft w:val="0"/>
                              <w:marRight w:val="0"/>
                              <w:marTop w:val="0"/>
                              <w:marBottom w:val="0"/>
                              <w:divBdr>
                                <w:top w:val="none" w:sz="0" w:space="0" w:color="auto"/>
                                <w:left w:val="none" w:sz="0" w:space="0" w:color="auto"/>
                                <w:bottom w:val="none" w:sz="0" w:space="0" w:color="auto"/>
                                <w:right w:val="none" w:sz="0" w:space="0" w:color="auto"/>
                              </w:divBdr>
                            </w:div>
                            <w:div w:id="786393197">
                              <w:marLeft w:val="0"/>
                              <w:marRight w:val="0"/>
                              <w:marTop w:val="0"/>
                              <w:marBottom w:val="0"/>
                              <w:divBdr>
                                <w:top w:val="none" w:sz="0" w:space="0" w:color="auto"/>
                                <w:left w:val="none" w:sz="0" w:space="0" w:color="auto"/>
                                <w:bottom w:val="none" w:sz="0" w:space="0" w:color="auto"/>
                                <w:right w:val="none" w:sz="0" w:space="0" w:color="auto"/>
                              </w:divBdr>
                            </w:div>
                            <w:div w:id="928805103">
                              <w:marLeft w:val="0"/>
                              <w:marRight w:val="0"/>
                              <w:marTop w:val="0"/>
                              <w:marBottom w:val="0"/>
                              <w:divBdr>
                                <w:top w:val="none" w:sz="0" w:space="0" w:color="auto"/>
                                <w:left w:val="none" w:sz="0" w:space="0" w:color="auto"/>
                                <w:bottom w:val="none" w:sz="0" w:space="0" w:color="auto"/>
                                <w:right w:val="none" w:sz="0" w:space="0" w:color="auto"/>
                              </w:divBdr>
                              <w:divsChild>
                                <w:div w:id="1795634631">
                                  <w:marLeft w:val="0"/>
                                  <w:marRight w:val="0"/>
                                  <w:marTop w:val="0"/>
                                  <w:marBottom w:val="0"/>
                                  <w:divBdr>
                                    <w:top w:val="none" w:sz="0" w:space="0" w:color="auto"/>
                                    <w:left w:val="none" w:sz="0" w:space="0" w:color="auto"/>
                                    <w:bottom w:val="none" w:sz="0" w:space="0" w:color="auto"/>
                                    <w:right w:val="none" w:sz="0" w:space="0" w:color="auto"/>
                                  </w:divBdr>
                                  <w:divsChild>
                                    <w:div w:id="4017471">
                                      <w:marLeft w:val="0"/>
                                      <w:marRight w:val="0"/>
                                      <w:marTop w:val="0"/>
                                      <w:marBottom w:val="0"/>
                                      <w:divBdr>
                                        <w:top w:val="none" w:sz="0" w:space="0" w:color="auto"/>
                                        <w:left w:val="none" w:sz="0" w:space="0" w:color="auto"/>
                                        <w:bottom w:val="none" w:sz="0" w:space="0" w:color="auto"/>
                                        <w:right w:val="none" w:sz="0" w:space="0" w:color="auto"/>
                                      </w:divBdr>
                                    </w:div>
                                    <w:div w:id="38170599">
                                      <w:marLeft w:val="0"/>
                                      <w:marRight w:val="0"/>
                                      <w:marTop w:val="0"/>
                                      <w:marBottom w:val="0"/>
                                      <w:divBdr>
                                        <w:top w:val="none" w:sz="0" w:space="0" w:color="auto"/>
                                        <w:left w:val="none" w:sz="0" w:space="0" w:color="auto"/>
                                        <w:bottom w:val="none" w:sz="0" w:space="0" w:color="auto"/>
                                        <w:right w:val="none" w:sz="0" w:space="0" w:color="auto"/>
                                      </w:divBdr>
                                    </w:div>
                                    <w:div w:id="43991799">
                                      <w:marLeft w:val="0"/>
                                      <w:marRight w:val="0"/>
                                      <w:marTop w:val="0"/>
                                      <w:marBottom w:val="0"/>
                                      <w:divBdr>
                                        <w:top w:val="none" w:sz="0" w:space="0" w:color="auto"/>
                                        <w:left w:val="none" w:sz="0" w:space="0" w:color="auto"/>
                                        <w:bottom w:val="none" w:sz="0" w:space="0" w:color="auto"/>
                                        <w:right w:val="none" w:sz="0" w:space="0" w:color="auto"/>
                                      </w:divBdr>
                                    </w:div>
                                    <w:div w:id="46614242">
                                      <w:marLeft w:val="0"/>
                                      <w:marRight w:val="0"/>
                                      <w:marTop w:val="0"/>
                                      <w:marBottom w:val="0"/>
                                      <w:divBdr>
                                        <w:top w:val="none" w:sz="0" w:space="0" w:color="auto"/>
                                        <w:left w:val="none" w:sz="0" w:space="0" w:color="auto"/>
                                        <w:bottom w:val="none" w:sz="0" w:space="0" w:color="auto"/>
                                        <w:right w:val="none" w:sz="0" w:space="0" w:color="auto"/>
                                      </w:divBdr>
                                    </w:div>
                                    <w:div w:id="52511216">
                                      <w:marLeft w:val="0"/>
                                      <w:marRight w:val="0"/>
                                      <w:marTop w:val="0"/>
                                      <w:marBottom w:val="0"/>
                                      <w:divBdr>
                                        <w:top w:val="none" w:sz="0" w:space="0" w:color="auto"/>
                                        <w:left w:val="none" w:sz="0" w:space="0" w:color="auto"/>
                                        <w:bottom w:val="none" w:sz="0" w:space="0" w:color="auto"/>
                                        <w:right w:val="none" w:sz="0" w:space="0" w:color="auto"/>
                                      </w:divBdr>
                                    </w:div>
                                    <w:div w:id="60908824">
                                      <w:marLeft w:val="0"/>
                                      <w:marRight w:val="0"/>
                                      <w:marTop w:val="0"/>
                                      <w:marBottom w:val="0"/>
                                      <w:divBdr>
                                        <w:top w:val="none" w:sz="0" w:space="0" w:color="auto"/>
                                        <w:left w:val="none" w:sz="0" w:space="0" w:color="auto"/>
                                        <w:bottom w:val="none" w:sz="0" w:space="0" w:color="auto"/>
                                        <w:right w:val="none" w:sz="0" w:space="0" w:color="auto"/>
                                      </w:divBdr>
                                    </w:div>
                                    <w:div w:id="61484676">
                                      <w:marLeft w:val="0"/>
                                      <w:marRight w:val="0"/>
                                      <w:marTop w:val="0"/>
                                      <w:marBottom w:val="0"/>
                                      <w:divBdr>
                                        <w:top w:val="none" w:sz="0" w:space="0" w:color="auto"/>
                                        <w:left w:val="none" w:sz="0" w:space="0" w:color="auto"/>
                                        <w:bottom w:val="none" w:sz="0" w:space="0" w:color="auto"/>
                                        <w:right w:val="none" w:sz="0" w:space="0" w:color="auto"/>
                                      </w:divBdr>
                                    </w:div>
                                    <w:div w:id="80373199">
                                      <w:marLeft w:val="0"/>
                                      <w:marRight w:val="0"/>
                                      <w:marTop w:val="0"/>
                                      <w:marBottom w:val="0"/>
                                      <w:divBdr>
                                        <w:top w:val="none" w:sz="0" w:space="0" w:color="auto"/>
                                        <w:left w:val="none" w:sz="0" w:space="0" w:color="auto"/>
                                        <w:bottom w:val="none" w:sz="0" w:space="0" w:color="auto"/>
                                        <w:right w:val="none" w:sz="0" w:space="0" w:color="auto"/>
                                      </w:divBdr>
                                    </w:div>
                                    <w:div w:id="88350463">
                                      <w:marLeft w:val="0"/>
                                      <w:marRight w:val="0"/>
                                      <w:marTop w:val="0"/>
                                      <w:marBottom w:val="0"/>
                                      <w:divBdr>
                                        <w:top w:val="none" w:sz="0" w:space="0" w:color="auto"/>
                                        <w:left w:val="none" w:sz="0" w:space="0" w:color="auto"/>
                                        <w:bottom w:val="none" w:sz="0" w:space="0" w:color="auto"/>
                                        <w:right w:val="none" w:sz="0" w:space="0" w:color="auto"/>
                                      </w:divBdr>
                                    </w:div>
                                    <w:div w:id="93746823">
                                      <w:marLeft w:val="0"/>
                                      <w:marRight w:val="0"/>
                                      <w:marTop w:val="0"/>
                                      <w:marBottom w:val="0"/>
                                      <w:divBdr>
                                        <w:top w:val="none" w:sz="0" w:space="0" w:color="auto"/>
                                        <w:left w:val="none" w:sz="0" w:space="0" w:color="auto"/>
                                        <w:bottom w:val="none" w:sz="0" w:space="0" w:color="auto"/>
                                        <w:right w:val="none" w:sz="0" w:space="0" w:color="auto"/>
                                      </w:divBdr>
                                    </w:div>
                                    <w:div w:id="97989706">
                                      <w:marLeft w:val="0"/>
                                      <w:marRight w:val="0"/>
                                      <w:marTop w:val="0"/>
                                      <w:marBottom w:val="0"/>
                                      <w:divBdr>
                                        <w:top w:val="none" w:sz="0" w:space="0" w:color="auto"/>
                                        <w:left w:val="none" w:sz="0" w:space="0" w:color="auto"/>
                                        <w:bottom w:val="none" w:sz="0" w:space="0" w:color="auto"/>
                                        <w:right w:val="none" w:sz="0" w:space="0" w:color="auto"/>
                                      </w:divBdr>
                                    </w:div>
                                    <w:div w:id="127095896">
                                      <w:marLeft w:val="0"/>
                                      <w:marRight w:val="0"/>
                                      <w:marTop w:val="0"/>
                                      <w:marBottom w:val="0"/>
                                      <w:divBdr>
                                        <w:top w:val="none" w:sz="0" w:space="0" w:color="auto"/>
                                        <w:left w:val="none" w:sz="0" w:space="0" w:color="auto"/>
                                        <w:bottom w:val="none" w:sz="0" w:space="0" w:color="auto"/>
                                        <w:right w:val="none" w:sz="0" w:space="0" w:color="auto"/>
                                      </w:divBdr>
                                    </w:div>
                                    <w:div w:id="140539355">
                                      <w:marLeft w:val="0"/>
                                      <w:marRight w:val="0"/>
                                      <w:marTop w:val="0"/>
                                      <w:marBottom w:val="0"/>
                                      <w:divBdr>
                                        <w:top w:val="none" w:sz="0" w:space="0" w:color="auto"/>
                                        <w:left w:val="none" w:sz="0" w:space="0" w:color="auto"/>
                                        <w:bottom w:val="none" w:sz="0" w:space="0" w:color="auto"/>
                                        <w:right w:val="none" w:sz="0" w:space="0" w:color="auto"/>
                                      </w:divBdr>
                                    </w:div>
                                    <w:div w:id="145048487">
                                      <w:marLeft w:val="0"/>
                                      <w:marRight w:val="0"/>
                                      <w:marTop w:val="0"/>
                                      <w:marBottom w:val="0"/>
                                      <w:divBdr>
                                        <w:top w:val="none" w:sz="0" w:space="0" w:color="auto"/>
                                        <w:left w:val="none" w:sz="0" w:space="0" w:color="auto"/>
                                        <w:bottom w:val="none" w:sz="0" w:space="0" w:color="auto"/>
                                        <w:right w:val="none" w:sz="0" w:space="0" w:color="auto"/>
                                      </w:divBdr>
                                    </w:div>
                                    <w:div w:id="154150891">
                                      <w:marLeft w:val="0"/>
                                      <w:marRight w:val="0"/>
                                      <w:marTop w:val="0"/>
                                      <w:marBottom w:val="0"/>
                                      <w:divBdr>
                                        <w:top w:val="none" w:sz="0" w:space="0" w:color="auto"/>
                                        <w:left w:val="none" w:sz="0" w:space="0" w:color="auto"/>
                                        <w:bottom w:val="none" w:sz="0" w:space="0" w:color="auto"/>
                                        <w:right w:val="none" w:sz="0" w:space="0" w:color="auto"/>
                                      </w:divBdr>
                                    </w:div>
                                    <w:div w:id="162554809">
                                      <w:marLeft w:val="0"/>
                                      <w:marRight w:val="0"/>
                                      <w:marTop w:val="0"/>
                                      <w:marBottom w:val="0"/>
                                      <w:divBdr>
                                        <w:top w:val="none" w:sz="0" w:space="0" w:color="auto"/>
                                        <w:left w:val="none" w:sz="0" w:space="0" w:color="auto"/>
                                        <w:bottom w:val="none" w:sz="0" w:space="0" w:color="auto"/>
                                        <w:right w:val="none" w:sz="0" w:space="0" w:color="auto"/>
                                      </w:divBdr>
                                    </w:div>
                                    <w:div w:id="170220190">
                                      <w:marLeft w:val="0"/>
                                      <w:marRight w:val="0"/>
                                      <w:marTop w:val="0"/>
                                      <w:marBottom w:val="0"/>
                                      <w:divBdr>
                                        <w:top w:val="none" w:sz="0" w:space="0" w:color="auto"/>
                                        <w:left w:val="none" w:sz="0" w:space="0" w:color="auto"/>
                                        <w:bottom w:val="none" w:sz="0" w:space="0" w:color="auto"/>
                                        <w:right w:val="none" w:sz="0" w:space="0" w:color="auto"/>
                                      </w:divBdr>
                                    </w:div>
                                    <w:div w:id="171992335">
                                      <w:marLeft w:val="0"/>
                                      <w:marRight w:val="0"/>
                                      <w:marTop w:val="0"/>
                                      <w:marBottom w:val="0"/>
                                      <w:divBdr>
                                        <w:top w:val="none" w:sz="0" w:space="0" w:color="auto"/>
                                        <w:left w:val="none" w:sz="0" w:space="0" w:color="auto"/>
                                        <w:bottom w:val="none" w:sz="0" w:space="0" w:color="auto"/>
                                        <w:right w:val="none" w:sz="0" w:space="0" w:color="auto"/>
                                      </w:divBdr>
                                    </w:div>
                                    <w:div w:id="179468738">
                                      <w:marLeft w:val="0"/>
                                      <w:marRight w:val="0"/>
                                      <w:marTop w:val="0"/>
                                      <w:marBottom w:val="0"/>
                                      <w:divBdr>
                                        <w:top w:val="none" w:sz="0" w:space="0" w:color="auto"/>
                                        <w:left w:val="none" w:sz="0" w:space="0" w:color="auto"/>
                                        <w:bottom w:val="none" w:sz="0" w:space="0" w:color="auto"/>
                                        <w:right w:val="none" w:sz="0" w:space="0" w:color="auto"/>
                                      </w:divBdr>
                                    </w:div>
                                    <w:div w:id="179859003">
                                      <w:marLeft w:val="0"/>
                                      <w:marRight w:val="0"/>
                                      <w:marTop w:val="0"/>
                                      <w:marBottom w:val="0"/>
                                      <w:divBdr>
                                        <w:top w:val="none" w:sz="0" w:space="0" w:color="auto"/>
                                        <w:left w:val="none" w:sz="0" w:space="0" w:color="auto"/>
                                        <w:bottom w:val="none" w:sz="0" w:space="0" w:color="auto"/>
                                        <w:right w:val="none" w:sz="0" w:space="0" w:color="auto"/>
                                      </w:divBdr>
                                    </w:div>
                                    <w:div w:id="195045573">
                                      <w:marLeft w:val="0"/>
                                      <w:marRight w:val="0"/>
                                      <w:marTop w:val="0"/>
                                      <w:marBottom w:val="0"/>
                                      <w:divBdr>
                                        <w:top w:val="none" w:sz="0" w:space="0" w:color="auto"/>
                                        <w:left w:val="none" w:sz="0" w:space="0" w:color="auto"/>
                                        <w:bottom w:val="none" w:sz="0" w:space="0" w:color="auto"/>
                                        <w:right w:val="none" w:sz="0" w:space="0" w:color="auto"/>
                                      </w:divBdr>
                                    </w:div>
                                    <w:div w:id="212927140">
                                      <w:marLeft w:val="0"/>
                                      <w:marRight w:val="0"/>
                                      <w:marTop w:val="0"/>
                                      <w:marBottom w:val="0"/>
                                      <w:divBdr>
                                        <w:top w:val="none" w:sz="0" w:space="0" w:color="auto"/>
                                        <w:left w:val="none" w:sz="0" w:space="0" w:color="auto"/>
                                        <w:bottom w:val="none" w:sz="0" w:space="0" w:color="auto"/>
                                        <w:right w:val="none" w:sz="0" w:space="0" w:color="auto"/>
                                      </w:divBdr>
                                    </w:div>
                                    <w:div w:id="214970384">
                                      <w:marLeft w:val="0"/>
                                      <w:marRight w:val="0"/>
                                      <w:marTop w:val="0"/>
                                      <w:marBottom w:val="0"/>
                                      <w:divBdr>
                                        <w:top w:val="none" w:sz="0" w:space="0" w:color="auto"/>
                                        <w:left w:val="none" w:sz="0" w:space="0" w:color="auto"/>
                                        <w:bottom w:val="none" w:sz="0" w:space="0" w:color="auto"/>
                                        <w:right w:val="none" w:sz="0" w:space="0" w:color="auto"/>
                                      </w:divBdr>
                                    </w:div>
                                    <w:div w:id="217133504">
                                      <w:marLeft w:val="0"/>
                                      <w:marRight w:val="0"/>
                                      <w:marTop w:val="0"/>
                                      <w:marBottom w:val="0"/>
                                      <w:divBdr>
                                        <w:top w:val="none" w:sz="0" w:space="0" w:color="auto"/>
                                        <w:left w:val="none" w:sz="0" w:space="0" w:color="auto"/>
                                        <w:bottom w:val="none" w:sz="0" w:space="0" w:color="auto"/>
                                        <w:right w:val="none" w:sz="0" w:space="0" w:color="auto"/>
                                      </w:divBdr>
                                    </w:div>
                                    <w:div w:id="222835155">
                                      <w:marLeft w:val="0"/>
                                      <w:marRight w:val="0"/>
                                      <w:marTop w:val="0"/>
                                      <w:marBottom w:val="0"/>
                                      <w:divBdr>
                                        <w:top w:val="none" w:sz="0" w:space="0" w:color="auto"/>
                                        <w:left w:val="none" w:sz="0" w:space="0" w:color="auto"/>
                                        <w:bottom w:val="none" w:sz="0" w:space="0" w:color="auto"/>
                                        <w:right w:val="none" w:sz="0" w:space="0" w:color="auto"/>
                                      </w:divBdr>
                                    </w:div>
                                    <w:div w:id="226185634">
                                      <w:marLeft w:val="0"/>
                                      <w:marRight w:val="0"/>
                                      <w:marTop w:val="0"/>
                                      <w:marBottom w:val="0"/>
                                      <w:divBdr>
                                        <w:top w:val="none" w:sz="0" w:space="0" w:color="auto"/>
                                        <w:left w:val="none" w:sz="0" w:space="0" w:color="auto"/>
                                        <w:bottom w:val="none" w:sz="0" w:space="0" w:color="auto"/>
                                        <w:right w:val="none" w:sz="0" w:space="0" w:color="auto"/>
                                      </w:divBdr>
                                    </w:div>
                                    <w:div w:id="228081499">
                                      <w:marLeft w:val="0"/>
                                      <w:marRight w:val="0"/>
                                      <w:marTop w:val="0"/>
                                      <w:marBottom w:val="0"/>
                                      <w:divBdr>
                                        <w:top w:val="none" w:sz="0" w:space="0" w:color="auto"/>
                                        <w:left w:val="none" w:sz="0" w:space="0" w:color="auto"/>
                                        <w:bottom w:val="none" w:sz="0" w:space="0" w:color="auto"/>
                                        <w:right w:val="none" w:sz="0" w:space="0" w:color="auto"/>
                                      </w:divBdr>
                                    </w:div>
                                    <w:div w:id="240137623">
                                      <w:marLeft w:val="0"/>
                                      <w:marRight w:val="0"/>
                                      <w:marTop w:val="0"/>
                                      <w:marBottom w:val="0"/>
                                      <w:divBdr>
                                        <w:top w:val="none" w:sz="0" w:space="0" w:color="auto"/>
                                        <w:left w:val="none" w:sz="0" w:space="0" w:color="auto"/>
                                        <w:bottom w:val="none" w:sz="0" w:space="0" w:color="auto"/>
                                        <w:right w:val="none" w:sz="0" w:space="0" w:color="auto"/>
                                      </w:divBdr>
                                    </w:div>
                                    <w:div w:id="244071972">
                                      <w:marLeft w:val="0"/>
                                      <w:marRight w:val="0"/>
                                      <w:marTop w:val="0"/>
                                      <w:marBottom w:val="0"/>
                                      <w:divBdr>
                                        <w:top w:val="none" w:sz="0" w:space="0" w:color="auto"/>
                                        <w:left w:val="none" w:sz="0" w:space="0" w:color="auto"/>
                                        <w:bottom w:val="none" w:sz="0" w:space="0" w:color="auto"/>
                                        <w:right w:val="none" w:sz="0" w:space="0" w:color="auto"/>
                                      </w:divBdr>
                                    </w:div>
                                    <w:div w:id="271013170">
                                      <w:marLeft w:val="0"/>
                                      <w:marRight w:val="0"/>
                                      <w:marTop w:val="0"/>
                                      <w:marBottom w:val="0"/>
                                      <w:divBdr>
                                        <w:top w:val="none" w:sz="0" w:space="0" w:color="auto"/>
                                        <w:left w:val="none" w:sz="0" w:space="0" w:color="auto"/>
                                        <w:bottom w:val="none" w:sz="0" w:space="0" w:color="auto"/>
                                        <w:right w:val="none" w:sz="0" w:space="0" w:color="auto"/>
                                      </w:divBdr>
                                    </w:div>
                                    <w:div w:id="278530121">
                                      <w:marLeft w:val="0"/>
                                      <w:marRight w:val="0"/>
                                      <w:marTop w:val="0"/>
                                      <w:marBottom w:val="0"/>
                                      <w:divBdr>
                                        <w:top w:val="none" w:sz="0" w:space="0" w:color="auto"/>
                                        <w:left w:val="none" w:sz="0" w:space="0" w:color="auto"/>
                                        <w:bottom w:val="none" w:sz="0" w:space="0" w:color="auto"/>
                                        <w:right w:val="none" w:sz="0" w:space="0" w:color="auto"/>
                                      </w:divBdr>
                                    </w:div>
                                    <w:div w:id="294221630">
                                      <w:marLeft w:val="0"/>
                                      <w:marRight w:val="0"/>
                                      <w:marTop w:val="0"/>
                                      <w:marBottom w:val="0"/>
                                      <w:divBdr>
                                        <w:top w:val="none" w:sz="0" w:space="0" w:color="auto"/>
                                        <w:left w:val="none" w:sz="0" w:space="0" w:color="auto"/>
                                        <w:bottom w:val="none" w:sz="0" w:space="0" w:color="auto"/>
                                        <w:right w:val="none" w:sz="0" w:space="0" w:color="auto"/>
                                      </w:divBdr>
                                    </w:div>
                                    <w:div w:id="301351357">
                                      <w:marLeft w:val="0"/>
                                      <w:marRight w:val="0"/>
                                      <w:marTop w:val="0"/>
                                      <w:marBottom w:val="0"/>
                                      <w:divBdr>
                                        <w:top w:val="none" w:sz="0" w:space="0" w:color="auto"/>
                                        <w:left w:val="none" w:sz="0" w:space="0" w:color="auto"/>
                                        <w:bottom w:val="none" w:sz="0" w:space="0" w:color="auto"/>
                                        <w:right w:val="none" w:sz="0" w:space="0" w:color="auto"/>
                                      </w:divBdr>
                                    </w:div>
                                    <w:div w:id="312954293">
                                      <w:marLeft w:val="0"/>
                                      <w:marRight w:val="0"/>
                                      <w:marTop w:val="0"/>
                                      <w:marBottom w:val="0"/>
                                      <w:divBdr>
                                        <w:top w:val="none" w:sz="0" w:space="0" w:color="auto"/>
                                        <w:left w:val="none" w:sz="0" w:space="0" w:color="auto"/>
                                        <w:bottom w:val="none" w:sz="0" w:space="0" w:color="auto"/>
                                        <w:right w:val="none" w:sz="0" w:space="0" w:color="auto"/>
                                      </w:divBdr>
                                    </w:div>
                                    <w:div w:id="318270734">
                                      <w:marLeft w:val="0"/>
                                      <w:marRight w:val="0"/>
                                      <w:marTop w:val="0"/>
                                      <w:marBottom w:val="0"/>
                                      <w:divBdr>
                                        <w:top w:val="none" w:sz="0" w:space="0" w:color="auto"/>
                                        <w:left w:val="none" w:sz="0" w:space="0" w:color="auto"/>
                                        <w:bottom w:val="none" w:sz="0" w:space="0" w:color="auto"/>
                                        <w:right w:val="none" w:sz="0" w:space="0" w:color="auto"/>
                                      </w:divBdr>
                                    </w:div>
                                    <w:div w:id="341014420">
                                      <w:marLeft w:val="0"/>
                                      <w:marRight w:val="0"/>
                                      <w:marTop w:val="0"/>
                                      <w:marBottom w:val="0"/>
                                      <w:divBdr>
                                        <w:top w:val="none" w:sz="0" w:space="0" w:color="auto"/>
                                        <w:left w:val="none" w:sz="0" w:space="0" w:color="auto"/>
                                        <w:bottom w:val="none" w:sz="0" w:space="0" w:color="auto"/>
                                        <w:right w:val="none" w:sz="0" w:space="0" w:color="auto"/>
                                      </w:divBdr>
                                    </w:div>
                                    <w:div w:id="366028168">
                                      <w:marLeft w:val="0"/>
                                      <w:marRight w:val="0"/>
                                      <w:marTop w:val="0"/>
                                      <w:marBottom w:val="0"/>
                                      <w:divBdr>
                                        <w:top w:val="none" w:sz="0" w:space="0" w:color="auto"/>
                                        <w:left w:val="none" w:sz="0" w:space="0" w:color="auto"/>
                                        <w:bottom w:val="none" w:sz="0" w:space="0" w:color="auto"/>
                                        <w:right w:val="none" w:sz="0" w:space="0" w:color="auto"/>
                                      </w:divBdr>
                                    </w:div>
                                    <w:div w:id="399208735">
                                      <w:marLeft w:val="0"/>
                                      <w:marRight w:val="0"/>
                                      <w:marTop w:val="0"/>
                                      <w:marBottom w:val="0"/>
                                      <w:divBdr>
                                        <w:top w:val="none" w:sz="0" w:space="0" w:color="auto"/>
                                        <w:left w:val="none" w:sz="0" w:space="0" w:color="auto"/>
                                        <w:bottom w:val="none" w:sz="0" w:space="0" w:color="auto"/>
                                        <w:right w:val="none" w:sz="0" w:space="0" w:color="auto"/>
                                      </w:divBdr>
                                    </w:div>
                                    <w:div w:id="439759917">
                                      <w:marLeft w:val="0"/>
                                      <w:marRight w:val="0"/>
                                      <w:marTop w:val="0"/>
                                      <w:marBottom w:val="0"/>
                                      <w:divBdr>
                                        <w:top w:val="none" w:sz="0" w:space="0" w:color="auto"/>
                                        <w:left w:val="none" w:sz="0" w:space="0" w:color="auto"/>
                                        <w:bottom w:val="none" w:sz="0" w:space="0" w:color="auto"/>
                                        <w:right w:val="none" w:sz="0" w:space="0" w:color="auto"/>
                                      </w:divBdr>
                                    </w:div>
                                    <w:div w:id="450442513">
                                      <w:marLeft w:val="0"/>
                                      <w:marRight w:val="0"/>
                                      <w:marTop w:val="0"/>
                                      <w:marBottom w:val="0"/>
                                      <w:divBdr>
                                        <w:top w:val="none" w:sz="0" w:space="0" w:color="auto"/>
                                        <w:left w:val="none" w:sz="0" w:space="0" w:color="auto"/>
                                        <w:bottom w:val="none" w:sz="0" w:space="0" w:color="auto"/>
                                        <w:right w:val="none" w:sz="0" w:space="0" w:color="auto"/>
                                      </w:divBdr>
                                    </w:div>
                                    <w:div w:id="452286564">
                                      <w:marLeft w:val="0"/>
                                      <w:marRight w:val="0"/>
                                      <w:marTop w:val="0"/>
                                      <w:marBottom w:val="0"/>
                                      <w:divBdr>
                                        <w:top w:val="none" w:sz="0" w:space="0" w:color="auto"/>
                                        <w:left w:val="none" w:sz="0" w:space="0" w:color="auto"/>
                                        <w:bottom w:val="none" w:sz="0" w:space="0" w:color="auto"/>
                                        <w:right w:val="none" w:sz="0" w:space="0" w:color="auto"/>
                                      </w:divBdr>
                                    </w:div>
                                    <w:div w:id="452553001">
                                      <w:marLeft w:val="0"/>
                                      <w:marRight w:val="0"/>
                                      <w:marTop w:val="0"/>
                                      <w:marBottom w:val="0"/>
                                      <w:divBdr>
                                        <w:top w:val="none" w:sz="0" w:space="0" w:color="auto"/>
                                        <w:left w:val="none" w:sz="0" w:space="0" w:color="auto"/>
                                        <w:bottom w:val="none" w:sz="0" w:space="0" w:color="auto"/>
                                        <w:right w:val="none" w:sz="0" w:space="0" w:color="auto"/>
                                      </w:divBdr>
                                    </w:div>
                                    <w:div w:id="456024911">
                                      <w:marLeft w:val="0"/>
                                      <w:marRight w:val="0"/>
                                      <w:marTop w:val="0"/>
                                      <w:marBottom w:val="0"/>
                                      <w:divBdr>
                                        <w:top w:val="none" w:sz="0" w:space="0" w:color="auto"/>
                                        <w:left w:val="none" w:sz="0" w:space="0" w:color="auto"/>
                                        <w:bottom w:val="none" w:sz="0" w:space="0" w:color="auto"/>
                                        <w:right w:val="none" w:sz="0" w:space="0" w:color="auto"/>
                                      </w:divBdr>
                                    </w:div>
                                    <w:div w:id="460195769">
                                      <w:marLeft w:val="0"/>
                                      <w:marRight w:val="0"/>
                                      <w:marTop w:val="0"/>
                                      <w:marBottom w:val="0"/>
                                      <w:divBdr>
                                        <w:top w:val="none" w:sz="0" w:space="0" w:color="auto"/>
                                        <w:left w:val="none" w:sz="0" w:space="0" w:color="auto"/>
                                        <w:bottom w:val="none" w:sz="0" w:space="0" w:color="auto"/>
                                        <w:right w:val="none" w:sz="0" w:space="0" w:color="auto"/>
                                      </w:divBdr>
                                    </w:div>
                                    <w:div w:id="460465589">
                                      <w:marLeft w:val="0"/>
                                      <w:marRight w:val="0"/>
                                      <w:marTop w:val="0"/>
                                      <w:marBottom w:val="0"/>
                                      <w:divBdr>
                                        <w:top w:val="none" w:sz="0" w:space="0" w:color="auto"/>
                                        <w:left w:val="none" w:sz="0" w:space="0" w:color="auto"/>
                                        <w:bottom w:val="none" w:sz="0" w:space="0" w:color="auto"/>
                                        <w:right w:val="none" w:sz="0" w:space="0" w:color="auto"/>
                                      </w:divBdr>
                                    </w:div>
                                    <w:div w:id="478112438">
                                      <w:marLeft w:val="0"/>
                                      <w:marRight w:val="0"/>
                                      <w:marTop w:val="0"/>
                                      <w:marBottom w:val="0"/>
                                      <w:divBdr>
                                        <w:top w:val="none" w:sz="0" w:space="0" w:color="auto"/>
                                        <w:left w:val="none" w:sz="0" w:space="0" w:color="auto"/>
                                        <w:bottom w:val="none" w:sz="0" w:space="0" w:color="auto"/>
                                        <w:right w:val="none" w:sz="0" w:space="0" w:color="auto"/>
                                      </w:divBdr>
                                    </w:div>
                                    <w:div w:id="488983100">
                                      <w:marLeft w:val="0"/>
                                      <w:marRight w:val="0"/>
                                      <w:marTop w:val="0"/>
                                      <w:marBottom w:val="0"/>
                                      <w:divBdr>
                                        <w:top w:val="none" w:sz="0" w:space="0" w:color="auto"/>
                                        <w:left w:val="none" w:sz="0" w:space="0" w:color="auto"/>
                                        <w:bottom w:val="none" w:sz="0" w:space="0" w:color="auto"/>
                                        <w:right w:val="none" w:sz="0" w:space="0" w:color="auto"/>
                                      </w:divBdr>
                                    </w:div>
                                    <w:div w:id="490105437">
                                      <w:marLeft w:val="0"/>
                                      <w:marRight w:val="0"/>
                                      <w:marTop w:val="0"/>
                                      <w:marBottom w:val="0"/>
                                      <w:divBdr>
                                        <w:top w:val="none" w:sz="0" w:space="0" w:color="auto"/>
                                        <w:left w:val="none" w:sz="0" w:space="0" w:color="auto"/>
                                        <w:bottom w:val="none" w:sz="0" w:space="0" w:color="auto"/>
                                        <w:right w:val="none" w:sz="0" w:space="0" w:color="auto"/>
                                      </w:divBdr>
                                    </w:div>
                                    <w:div w:id="514852107">
                                      <w:marLeft w:val="0"/>
                                      <w:marRight w:val="0"/>
                                      <w:marTop w:val="0"/>
                                      <w:marBottom w:val="0"/>
                                      <w:divBdr>
                                        <w:top w:val="none" w:sz="0" w:space="0" w:color="auto"/>
                                        <w:left w:val="none" w:sz="0" w:space="0" w:color="auto"/>
                                        <w:bottom w:val="none" w:sz="0" w:space="0" w:color="auto"/>
                                        <w:right w:val="none" w:sz="0" w:space="0" w:color="auto"/>
                                      </w:divBdr>
                                    </w:div>
                                    <w:div w:id="520819715">
                                      <w:marLeft w:val="0"/>
                                      <w:marRight w:val="0"/>
                                      <w:marTop w:val="0"/>
                                      <w:marBottom w:val="0"/>
                                      <w:divBdr>
                                        <w:top w:val="none" w:sz="0" w:space="0" w:color="auto"/>
                                        <w:left w:val="none" w:sz="0" w:space="0" w:color="auto"/>
                                        <w:bottom w:val="none" w:sz="0" w:space="0" w:color="auto"/>
                                        <w:right w:val="none" w:sz="0" w:space="0" w:color="auto"/>
                                      </w:divBdr>
                                    </w:div>
                                    <w:div w:id="583760990">
                                      <w:marLeft w:val="0"/>
                                      <w:marRight w:val="0"/>
                                      <w:marTop w:val="0"/>
                                      <w:marBottom w:val="0"/>
                                      <w:divBdr>
                                        <w:top w:val="none" w:sz="0" w:space="0" w:color="auto"/>
                                        <w:left w:val="none" w:sz="0" w:space="0" w:color="auto"/>
                                        <w:bottom w:val="none" w:sz="0" w:space="0" w:color="auto"/>
                                        <w:right w:val="none" w:sz="0" w:space="0" w:color="auto"/>
                                      </w:divBdr>
                                    </w:div>
                                    <w:div w:id="599486027">
                                      <w:marLeft w:val="0"/>
                                      <w:marRight w:val="0"/>
                                      <w:marTop w:val="0"/>
                                      <w:marBottom w:val="0"/>
                                      <w:divBdr>
                                        <w:top w:val="none" w:sz="0" w:space="0" w:color="auto"/>
                                        <w:left w:val="none" w:sz="0" w:space="0" w:color="auto"/>
                                        <w:bottom w:val="none" w:sz="0" w:space="0" w:color="auto"/>
                                        <w:right w:val="none" w:sz="0" w:space="0" w:color="auto"/>
                                      </w:divBdr>
                                    </w:div>
                                    <w:div w:id="601838195">
                                      <w:marLeft w:val="0"/>
                                      <w:marRight w:val="0"/>
                                      <w:marTop w:val="0"/>
                                      <w:marBottom w:val="0"/>
                                      <w:divBdr>
                                        <w:top w:val="none" w:sz="0" w:space="0" w:color="auto"/>
                                        <w:left w:val="none" w:sz="0" w:space="0" w:color="auto"/>
                                        <w:bottom w:val="none" w:sz="0" w:space="0" w:color="auto"/>
                                        <w:right w:val="none" w:sz="0" w:space="0" w:color="auto"/>
                                      </w:divBdr>
                                    </w:div>
                                    <w:div w:id="611322730">
                                      <w:marLeft w:val="0"/>
                                      <w:marRight w:val="0"/>
                                      <w:marTop w:val="0"/>
                                      <w:marBottom w:val="0"/>
                                      <w:divBdr>
                                        <w:top w:val="none" w:sz="0" w:space="0" w:color="auto"/>
                                        <w:left w:val="none" w:sz="0" w:space="0" w:color="auto"/>
                                        <w:bottom w:val="none" w:sz="0" w:space="0" w:color="auto"/>
                                        <w:right w:val="none" w:sz="0" w:space="0" w:color="auto"/>
                                      </w:divBdr>
                                    </w:div>
                                    <w:div w:id="631715144">
                                      <w:marLeft w:val="0"/>
                                      <w:marRight w:val="0"/>
                                      <w:marTop w:val="0"/>
                                      <w:marBottom w:val="0"/>
                                      <w:divBdr>
                                        <w:top w:val="none" w:sz="0" w:space="0" w:color="auto"/>
                                        <w:left w:val="none" w:sz="0" w:space="0" w:color="auto"/>
                                        <w:bottom w:val="none" w:sz="0" w:space="0" w:color="auto"/>
                                        <w:right w:val="none" w:sz="0" w:space="0" w:color="auto"/>
                                      </w:divBdr>
                                    </w:div>
                                    <w:div w:id="634876345">
                                      <w:marLeft w:val="0"/>
                                      <w:marRight w:val="0"/>
                                      <w:marTop w:val="0"/>
                                      <w:marBottom w:val="0"/>
                                      <w:divBdr>
                                        <w:top w:val="none" w:sz="0" w:space="0" w:color="auto"/>
                                        <w:left w:val="none" w:sz="0" w:space="0" w:color="auto"/>
                                        <w:bottom w:val="none" w:sz="0" w:space="0" w:color="auto"/>
                                        <w:right w:val="none" w:sz="0" w:space="0" w:color="auto"/>
                                      </w:divBdr>
                                    </w:div>
                                    <w:div w:id="636423359">
                                      <w:marLeft w:val="0"/>
                                      <w:marRight w:val="0"/>
                                      <w:marTop w:val="0"/>
                                      <w:marBottom w:val="0"/>
                                      <w:divBdr>
                                        <w:top w:val="none" w:sz="0" w:space="0" w:color="auto"/>
                                        <w:left w:val="none" w:sz="0" w:space="0" w:color="auto"/>
                                        <w:bottom w:val="none" w:sz="0" w:space="0" w:color="auto"/>
                                        <w:right w:val="none" w:sz="0" w:space="0" w:color="auto"/>
                                      </w:divBdr>
                                    </w:div>
                                    <w:div w:id="649599047">
                                      <w:marLeft w:val="0"/>
                                      <w:marRight w:val="0"/>
                                      <w:marTop w:val="0"/>
                                      <w:marBottom w:val="0"/>
                                      <w:divBdr>
                                        <w:top w:val="none" w:sz="0" w:space="0" w:color="auto"/>
                                        <w:left w:val="none" w:sz="0" w:space="0" w:color="auto"/>
                                        <w:bottom w:val="none" w:sz="0" w:space="0" w:color="auto"/>
                                        <w:right w:val="none" w:sz="0" w:space="0" w:color="auto"/>
                                      </w:divBdr>
                                    </w:div>
                                    <w:div w:id="654525943">
                                      <w:marLeft w:val="0"/>
                                      <w:marRight w:val="0"/>
                                      <w:marTop w:val="0"/>
                                      <w:marBottom w:val="0"/>
                                      <w:divBdr>
                                        <w:top w:val="none" w:sz="0" w:space="0" w:color="auto"/>
                                        <w:left w:val="none" w:sz="0" w:space="0" w:color="auto"/>
                                        <w:bottom w:val="none" w:sz="0" w:space="0" w:color="auto"/>
                                        <w:right w:val="none" w:sz="0" w:space="0" w:color="auto"/>
                                      </w:divBdr>
                                    </w:div>
                                    <w:div w:id="655688588">
                                      <w:marLeft w:val="0"/>
                                      <w:marRight w:val="0"/>
                                      <w:marTop w:val="0"/>
                                      <w:marBottom w:val="0"/>
                                      <w:divBdr>
                                        <w:top w:val="none" w:sz="0" w:space="0" w:color="auto"/>
                                        <w:left w:val="none" w:sz="0" w:space="0" w:color="auto"/>
                                        <w:bottom w:val="none" w:sz="0" w:space="0" w:color="auto"/>
                                        <w:right w:val="none" w:sz="0" w:space="0" w:color="auto"/>
                                      </w:divBdr>
                                    </w:div>
                                    <w:div w:id="666136461">
                                      <w:marLeft w:val="0"/>
                                      <w:marRight w:val="0"/>
                                      <w:marTop w:val="0"/>
                                      <w:marBottom w:val="0"/>
                                      <w:divBdr>
                                        <w:top w:val="none" w:sz="0" w:space="0" w:color="auto"/>
                                        <w:left w:val="none" w:sz="0" w:space="0" w:color="auto"/>
                                        <w:bottom w:val="none" w:sz="0" w:space="0" w:color="auto"/>
                                        <w:right w:val="none" w:sz="0" w:space="0" w:color="auto"/>
                                      </w:divBdr>
                                    </w:div>
                                    <w:div w:id="680163282">
                                      <w:marLeft w:val="0"/>
                                      <w:marRight w:val="0"/>
                                      <w:marTop w:val="0"/>
                                      <w:marBottom w:val="0"/>
                                      <w:divBdr>
                                        <w:top w:val="none" w:sz="0" w:space="0" w:color="auto"/>
                                        <w:left w:val="none" w:sz="0" w:space="0" w:color="auto"/>
                                        <w:bottom w:val="none" w:sz="0" w:space="0" w:color="auto"/>
                                        <w:right w:val="none" w:sz="0" w:space="0" w:color="auto"/>
                                      </w:divBdr>
                                    </w:div>
                                    <w:div w:id="683895773">
                                      <w:marLeft w:val="0"/>
                                      <w:marRight w:val="0"/>
                                      <w:marTop w:val="0"/>
                                      <w:marBottom w:val="0"/>
                                      <w:divBdr>
                                        <w:top w:val="none" w:sz="0" w:space="0" w:color="auto"/>
                                        <w:left w:val="none" w:sz="0" w:space="0" w:color="auto"/>
                                        <w:bottom w:val="none" w:sz="0" w:space="0" w:color="auto"/>
                                        <w:right w:val="none" w:sz="0" w:space="0" w:color="auto"/>
                                      </w:divBdr>
                                    </w:div>
                                    <w:div w:id="707948029">
                                      <w:marLeft w:val="0"/>
                                      <w:marRight w:val="0"/>
                                      <w:marTop w:val="0"/>
                                      <w:marBottom w:val="0"/>
                                      <w:divBdr>
                                        <w:top w:val="none" w:sz="0" w:space="0" w:color="auto"/>
                                        <w:left w:val="none" w:sz="0" w:space="0" w:color="auto"/>
                                        <w:bottom w:val="none" w:sz="0" w:space="0" w:color="auto"/>
                                        <w:right w:val="none" w:sz="0" w:space="0" w:color="auto"/>
                                      </w:divBdr>
                                    </w:div>
                                    <w:div w:id="744452043">
                                      <w:marLeft w:val="0"/>
                                      <w:marRight w:val="0"/>
                                      <w:marTop w:val="0"/>
                                      <w:marBottom w:val="0"/>
                                      <w:divBdr>
                                        <w:top w:val="none" w:sz="0" w:space="0" w:color="auto"/>
                                        <w:left w:val="none" w:sz="0" w:space="0" w:color="auto"/>
                                        <w:bottom w:val="none" w:sz="0" w:space="0" w:color="auto"/>
                                        <w:right w:val="none" w:sz="0" w:space="0" w:color="auto"/>
                                      </w:divBdr>
                                    </w:div>
                                    <w:div w:id="778836608">
                                      <w:marLeft w:val="0"/>
                                      <w:marRight w:val="0"/>
                                      <w:marTop w:val="0"/>
                                      <w:marBottom w:val="0"/>
                                      <w:divBdr>
                                        <w:top w:val="none" w:sz="0" w:space="0" w:color="auto"/>
                                        <w:left w:val="none" w:sz="0" w:space="0" w:color="auto"/>
                                        <w:bottom w:val="none" w:sz="0" w:space="0" w:color="auto"/>
                                        <w:right w:val="none" w:sz="0" w:space="0" w:color="auto"/>
                                      </w:divBdr>
                                    </w:div>
                                    <w:div w:id="784736754">
                                      <w:marLeft w:val="0"/>
                                      <w:marRight w:val="0"/>
                                      <w:marTop w:val="0"/>
                                      <w:marBottom w:val="0"/>
                                      <w:divBdr>
                                        <w:top w:val="none" w:sz="0" w:space="0" w:color="auto"/>
                                        <w:left w:val="none" w:sz="0" w:space="0" w:color="auto"/>
                                        <w:bottom w:val="none" w:sz="0" w:space="0" w:color="auto"/>
                                        <w:right w:val="none" w:sz="0" w:space="0" w:color="auto"/>
                                      </w:divBdr>
                                    </w:div>
                                    <w:div w:id="804933352">
                                      <w:marLeft w:val="0"/>
                                      <w:marRight w:val="0"/>
                                      <w:marTop w:val="0"/>
                                      <w:marBottom w:val="0"/>
                                      <w:divBdr>
                                        <w:top w:val="none" w:sz="0" w:space="0" w:color="auto"/>
                                        <w:left w:val="none" w:sz="0" w:space="0" w:color="auto"/>
                                        <w:bottom w:val="none" w:sz="0" w:space="0" w:color="auto"/>
                                        <w:right w:val="none" w:sz="0" w:space="0" w:color="auto"/>
                                      </w:divBdr>
                                    </w:div>
                                    <w:div w:id="805314521">
                                      <w:marLeft w:val="0"/>
                                      <w:marRight w:val="0"/>
                                      <w:marTop w:val="0"/>
                                      <w:marBottom w:val="0"/>
                                      <w:divBdr>
                                        <w:top w:val="none" w:sz="0" w:space="0" w:color="auto"/>
                                        <w:left w:val="none" w:sz="0" w:space="0" w:color="auto"/>
                                        <w:bottom w:val="none" w:sz="0" w:space="0" w:color="auto"/>
                                        <w:right w:val="none" w:sz="0" w:space="0" w:color="auto"/>
                                      </w:divBdr>
                                    </w:div>
                                    <w:div w:id="812866239">
                                      <w:marLeft w:val="0"/>
                                      <w:marRight w:val="0"/>
                                      <w:marTop w:val="0"/>
                                      <w:marBottom w:val="0"/>
                                      <w:divBdr>
                                        <w:top w:val="none" w:sz="0" w:space="0" w:color="auto"/>
                                        <w:left w:val="none" w:sz="0" w:space="0" w:color="auto"/>
                                        <w:bottom w:val="none" w:sz="0" w:space="0" w:color="auto"/>
                                        <w:right w:val="none" w:sz="0" w:space="0" w:color="auto"/>
                                      </w:divBdr>
                                    </w:div>
                                    <w:div w:id="819418894">
                                      <w:marLeft w:val="0"/>
                                      <w:marRight w:val="0"/>
                                      <w:marTop w:val="0"/>
                                      <w:marBottom w:val="0"/>
                                      <w:divBdr>
                                        <w:top w:val="none" w:sz="0" w:space="0" w:color="auto"/>
                                        <w:left w:val="none" w:sz="0" w:space="0" w:color="auto"/>
                                        <w:bottom w:val="none" w:sz="0" w:space="0" w:color="auto"/>
                                        <w:right w:val="none" w:sz="0" w:space="0" w:color="auto"/>
                                      </w:divBdr>
                                    </w:div>
                                    <w:div w:id="823011332">
                                      <w:marLeft w:val="0"/>
                                      <w:marRight w:val="0"/>
                                      <w:marTop w:val="0"/>
                                      <w:marBottom w:val="0"/>
                                      <w:divBdr>
                                        <w:top w:val="none" w:sz="0" w:space="0" w:color="auto"/>
                                        <w:left w:val="none" w:sz="0" w:space="0" w:color="auto"/>
                                        <w:bottom w:val="none" w:sz="0" w:space="0" w:color="auto"/>
                                        <w:right w:val="none" w:sz="0" w:space="0" w:color="auto"/>
                                      </w:divBdr>
                                    </w:div>
                                    <w:div w:id="832649340">
                                      <w:marLeft w:val="0"/>
                                      <w:marRight w:val="0"/>
                                      <w:marTop w:val="0"/>
                                      <w:marBottom w:val="0"/>
                                      <w:divBdr>
                                        <w:top w:val="none" w:sz="0" w:space="0" w:color="auto"/>
                                        <w:left w:val="none" w:sz="0" w:space="0" w:color="auto"/>
                                        <w:bottom w:val="none" w:sz="0" w:space="0" w:color="auto"/>
                                        <w:right w:val="none" w:sz="0" w:space="0" w:color="auto"/>
                                      </w:divBdr>
                                    </w:div>
                                    <w:div w:id="834876917">
                                      <w:marLeft w:val="0"/>
                                      <w:marRight w:val="0"/>
                                      <w:marTop w:val="0"/>
                                      <w:marBottom w:val="0"/>
                                      <w:divBdr>
                                        <w:top w:val="none" w:sz="0" w:space="0" w:color="auto"/>
                                        <w:left w:val="none" w:sz="0" w:space="0" w:color="auto"/>
                                        <w:bottom w:val="none" w:sz="0" w:space="0" w:color="auto"/>
                                        <w:right w:val="none" w:sz="0" w:space="0" w:color="auto"/>
                                      </w:divBdr>
                                    </w:div>
                                    <w:div w:id="844245415">
                                      <w:marLeft w:val="0"/>
                                      <w:marRight w:val="0"/>
                                      <w:marTop w:val="0"/>
                                      <w:marBottom w:val="0"/>
                                      <w:divBdr>
                                        <w:top w:val="none" w:sz="0" w:space="0" w:color="auto"/>
                                        <w:left w:val="none" w:sz="0" w:space="0" w:color="auto"/>
                                        <w:bottom w:val="none" w:sz="0" w:space="0" w:color="auto"/>
                                        <w:right w:val="none" w:sz="0" w:space="0" w:color="auto"/>
                                      </w:divBdr>
                                    </w:div>
                                    <w:div w:id="859664882">
                                      <w:marLeft w:val="0"/>
                                      <w:marRight w:val="0"/>
                                      <w:marTop w:val="0"/>
                                      <w:marBottom w:val="0"/>
                                      <w:divBdr>
                                        <w:top w:val="none" w:sz="0" w:space="0" w:color="auto"/>
                                        <w:left w:val="none" w:sz="0" w:space="0" w:color="auto"/>
                                        <w:bottom w:val="none" w:sz="0" w:space="0" w:color="auto"/>
                                        <w:right w:val="none" w:sz="0" w:space="0" w:color="auto"/>
                                      </w:divBdr>
                                      <w:divsChild>
                                        <w:div w:id="1300921521">
                                          <w:marLeft w:val="0"/>
                                          <w:marRight w:val="0"/>
                                          <w:marTop w:val="0"/>
                                          <w:marBottom w:val="0"/>
                                          <w:divBdr>
                                            <w:top w:val="none" w:sz="0" w:space="0" w:color="auto"/>
                                            <w:left w:val="none" w:sz="0" w:space="0" w:color="auto"/>
                                            <w:bottom w:val="none" w:sz="0" w:space="0" w:color="auto"/>
                                            <w:right w:val="none" w:sz="0" w:space="0" w:color="auto"/>
                                          </w:divBdr>
                                          <w:divsChild>
                                            <w:div w:id="12733714">
                                              <w:marLeft w:val="0"/>
                                              <w:marRight w:val="0"/>
                                              <w:marTop w:val="0"/>
                                              <w:marBottom w:val="0"/>
                                              <w:divBdr>
                                                <w:top w:val="none" w:sz="0" w:space="0" w:color="auto"/>
                                                <w:left w:val="none" w:sz="0" w:space="0" w:color="auto"/>
                                                <w:bottom w:val="none" w:sz="0" w:space="0" w:color="auto"/>
                                                <w:right w:val="none" w:sz="0" w:space="0" w:color="auto"/>
                                              </w:divBdr>
                                            </w:div>
                                            <w:div w:id="23293267">
                                              <w:marLeft w:val="0"/>
                                              <w:marRight w:val="0"/>
                                              <w:marTop w:val="0"/>
                                              <w:marBottom w:val="0"/>
                                              <w:divBdr>
                                                <w:top w:val="none" w:sz="0" w:space="0" w:color="auto"/>
                                                <w:left w:val="none" w:sz="0" w:space="0" w:color="auto"/>
                                                <w:bottom w:val="none" w:sz="0" w:space="0" w:color="auto"/>
                                                <w:right w:val="none" w:sz="0" w:space="0" w:color="auto"/>
                                              </w:divBdr>
                                            </w:div>
                                            <w:div w:id="33583666">
                                              <w:marLeft w:val="0"/>
                                              <w:marRight w:val="0"/>
                                              <w:marTop w:val="0"/>
                                              <w:marBottom w:val="0"/>
                                              <w:divBdr>
                                                <w:top w:val="none" w:sz="0" w:space="0" w:color="auto"/>
                                                <w:left w:val="none" w:sz="0" w:space="0" w:color="auto"/>
                                                <w:bottom w:val="none" w:sz="0" w:space="0" w:color="auto"/>
                                                <w:right w:val="none" w:sz="0" w:space="0" w:color="auto"/>
                                              </w:divBdr>
                                            </w:div>
                                            <w:div w:id="60761865">
                                              <w:marLeft w:val="0"/>
                                              <w:marRight w:val="0"/>
                                              <w:marTop w:val="0"/>
                                              <w:marBottom w:val="0"/>
                                              <w:divBdr>
                                                <w:top w:val="none" w:sz="0" w:space="0" w:color="auto"/>
                                                <w:left w:val="none" w:sz="0" w:space="0" w:color="auto"/>
                                                <w:bottom w:val="none" w:sz="0" w:space="0" w:color="auto"/>
                                                <w:right w:val="none" w:sz="0" w:space="0" w:color="auto"/>
                                              </w:divBdr>
                                            </w:div>
                                            <w:div w:id="117916175">
                                              <w:marLeft w:val="0"/>
                                              <w:marRight w:val="0"/>
                                              <w:marTop w:val="0"/>
                                              <w:marBottom w:val="0"/>
                                              <w:divBdr>
                                                <w:top w:val="none" w:sz="0" w:space="0" w:color="auto"/>
                                                <w:left w:val="none" w:sz="0" w:space="0" w:color="auto"/>
                                                <w:bottom w:val="none" w:sz="0" w:space="0" w:color="auto"/>
                                                <w:right w:val="none" w:sz="0" w:space="0" w:color="auto"/>
                                              </w:divBdr>
                                            </w:div>
                                            <w:div w:id="142044522">
                                              <w:marLeft w:val="0"/>
                                              <w:marRight w:val="0"/>
                                              <w:marTop w:val="0"/>
                                              <w:marBottom w:val="0"/>
                                              <w:divBdr>
                                                <w:top w:val="none" w:sz="0" w:space="0" w:color="auto"/>
                                                <w:left w:val="none" w:sz="0" w:space="0" w:color="auto"/>
                                                <w:bottom w:val="none" w:sz="0" w:space="0" w:color="auto"/>
                                                <w:right w:val="none" w:sz="0" w:space="0" w:color="auto"/>
                                              </w:divBdr>
                                            </w:div>
                                            <w:div w:id="165749452">
                                              <w:marLeft w:val="0"/>
                                              <w:marRight w:val="0"/>
                                              <w:marTop w:val="0"/>
                                              <w:marBottom w:val="0"/>
                                              <w:divBdr>
                                                <w:top w:val="none" w:sz="0" w:space="0" w:color="auto"/>
                                                <w:left w:val="none" w:sz="0" w:space="0" w:color="auto"/>
                                                <w:bottom w:val="none" w:sz="0" w:space="0" w:color="auto"/>
                                                <w:right w:val="none" w:sz="0" w:space="0" w:color="auto"/>
                                              </w:divBdr>
                                            </w:div>
                                            <w:div w:id="286745069">
                                              <w:marLeft w:val="0"/>
                                              <w:marRight w:val="0"/>
                                              <w:marTop w:val="0"/>
                                              <w:marBottom w:val="0"/>
                                              <w:divBdr>
                                                <w:top w:val="none" w:sz="0" w:space="0" w:color="auto"/>
                                                <w:left w:val="none" w:sz="0" w:space="0" w:color="auto"/>
                                                <w:bottom w:val="none" w:sz="0" w:space="0" w:color="auto"/>
                                                <w:right w:val="none" w:sz="0" w:space="0" w:color="auto"/>
                                              </w:divBdr>
                                            </w:div>
                                            <w:div w:id="391932094">
                                              <w:marLeft w:val="0"/>
                                              <w:marRight w:val="0"/>
                                              <w:marTop w:val="0"/>
                                              <w:marBottom w:val="0"/>
                                              <w:divBdr>
                                                <w:top w:val="none" w:sz="0" w:space="0" w:color="auto"/>
                                                <w:left w:val="none" w:sz="0" w:space="0" w:color="auto"/>
                                                <w:bottom w:val="none" w:sz="0" w:space="0" w:color="auto"/>
                                                <w:right w:val="none" w:sz="0" w:space="0" w:color="auto"/>
                                              </w:divBdr>
                                            </w:div>
                                            <w:div w:id="446387984">
                                              <w:marLeft w:val="0"/>
                                              <w:marRight w:val="0"/>
                                              <w:marTop w:val="0"/>
                                              <w:marBottom w:val="0"/>
                                              <w:divBdr>
                                                <w:top w:val="none" w:sz="0" w:space="0" w:color="auto"/>
                                                <w:left w:val="none" w:sz="0" w:space="0" w:color="auto"/>
                                                <w:bottom w:val="none" w:sz="0" w:space="0" w:color="auto"/>
                                                <w:right w:val="none" w:sz="0" w:space="0" w:color="auto"/>
                                              </w:divBdr>
                                            </w:div>
                                            <w:div w:id="486166464">
                                              <w:marLeft w:val="0"/>
                                              <w:marRight w:val="0"/>
                                              <w:marTop w:val="0"/>
                                              <w:marBottom w:val="0"/>
                                              <w:divBdr>
                                                <w:top w:val="none" w:sz="0" w:space="0" w:color="auto"/>
                                                <w:left w:val="none" w:sz="0" w:space="0" w:color="auto"/>
                                                <w:bottom w:val="none" w:sz="0" w:space="0" w:color="auto"/>
                                                <w:right w:val="none" w:sz="0" w:space="0" w:color="auto"/>
                                              </w:divBdr>
                                            </w:div>
                                            <w:div w:id="549338942">
                                              <w:marLeft w:val="0"/>
                                              <w:marRight w:val="0"/>
                                              <w:marTop w:val="0"/>
                                              <w:marBottom w:val="0"/>
                                              <w:divBdr>
                                                <w:top w:val="none" w:sz="0" w:space="0" w:color="auto"/>
                                                <w:left w:val="none" w:sz="0" w:space="0" w:color="auto"/>
                                                <w:bottom w:val="none" w:sz="0" w:space="0" w:color="auto"/>
                                                <w:right w:val="none" w:sz="0" w:space="0" w:color="auto"/>
                                              </w:divBdr>
                                            </w:div>
                                            <w:div w:id="568734958">
                                              <w:marLeft w:val="0"/>
                                              <w:marRight w:val="0"/>
                                              <w:marTop w:val="0"/>
                                              <w:marBottom w:val="0"/>
                                              <w:divBdr>
                                                <w:top w:val="none" w:sz="0" w:space="0" w:color="auto"/>
                                                <w:left w:val="none" w:sz="0" w:space="0" w:color="auto"/>
                                                <w:bottom w:val="none" w:sz="0" w:space="0" w:color="auto"/>
                                                <w:right w:val="none" w:sz="0" w:space="0" w:color="auto"/>
                                              </w:divBdr>
                                            </w:div>
                                            <w:div w:id="578367663">
                                              <w:marLeft w:val="0"/>
                                              <w:marRight w:val="0"/>
                                              <w:marTop w:val="0"/>
                                              <w:marBottom w:val="0"/>
                                              <w:divBdr>
                                                <w:top w:val="none" w:sz="0" w:space="0" w:color="auto"/>
                                                <w:left w:val="none" w:sz="0" w:space="0" w:color="auto"/>
                                                <w:bottom w:val="none" w:sz="0" w:space="0" w:color="auto"/>
                                                <w:right w:val="none" w:sz="0" w:space="0" w:color="auto"/>
                                              </w:divBdr>
                                            </w:div>
                                            <w:div w:id="582027422">
                                              <w:marLeft w:val="0"/>
                                              <w:marRight w:val="0"/>
                                              <w:marTop w:val="0"/>
                                              <w:marBottom w:val="0"/>
                                              <w:divBdr>
                                                <w:top w:val="none" w:sz="0" w:space="0" w:color="auto"/>
                                                <w:left w:val="none" w:sz="0" w:space="0" w:color="auto"/>
                                                <w:bottom w:val="none" w:sz="0" w:space="0" w:color="auto"/>
                                                <w:right w:val="none" w:sz="0" w:space="0" w:color="auto"/>
                                              </w:divBdr>
                                            </w:div>
                                            <w:div w:id="591083266">
                                              <w:marLeft w:val="0"/>
                                              <w:marRight w:val="0"/>
                                              <w:marTop w:val="0"/>
                                              <w:marBottom w:val="0"/>
                                              <w:divBdr>
                                                <w:top w:val="none" w:sz="0" w:space="0" w:color="auto"/>
                                                <w:left w:val="none" w:sz="0" w:space="0" w:color="auto"/>
                                                <w:bottom w:val="none" w:sz="0" w:space="0" w:color="auto"/>
                                                <w:right w:val="none" w:sz="0" w:space="0" w:color="auto"/>
                                              </w:divBdr>
                                            </w:div>
                                            <w:div w:id="696545436">
                                              <w:marLeft w:val="0"/>
                                              <w:marRight w:val="0"/>
                                              <w:marTop w:val="0"/>
                                              <w:marBottom w:val="0"/>
                                              <w:divBdr>
                                                <w:top w:val="none" w:sz="0" w:space="0" w:color="auto"/>
                                                <w:left w:val="none" w:sz="0" w:space="0" w:color="auto"/>
                                                <w:bottom w:val="none" w:sz="0" w:space="0" w:color="auto"/>
                                                <w:right w:val="none" w:sz="0" w:space="0" w:color="auto"/>
                                              </w:divBdr>
                                            </w:div>
                                            <w:div w:id="700738844">
                                              <w:marLeft w:val="0"/>
                                              <w:marRight w:val="0"/>
                                              <w:marTop w:val="0"/>
                                              <w:marBottom w:val="0"/>
                                              <w:divBdr>
                                                <w:top w:val="none" w:sz="0" w:space="0" w:color="auto"/>
                                                <w:left w:val="none" w:sz="0" w:space="0" w:color="auto"/>
                                                <w:bottom w:val="none" w:sz="0" w:space="0" w:color="auto"/>
                                                <w:right w:val="none" w:sz="0" w:space="0" w:color="auto"/>
                                              </w:divBdr>
                                            </w:div>
                                            <w:div w:id="755327635">
                                              <w:marLeft w:val="0"/>
                                              <w:marRight w:val="0"/>
                                              <w:marTop w:val="0"/>
                                              <w:marBottom w:val="0"/>
                                              <w:divBdr>
                                                <w:top w:val="none" w:sz="0" w:space="0" w:color="auto"/>
                                                <w:left w:val="none" w:sz="0" w:space="0" w:color="auto"/>
                                                <w:bottom w:val="none" w:sz="0" w:space="0" w:color="auto"/>
                                                <w:right w:val="none" w:sz="0" w:space="0" w:color="auto"/>
                                              </w:divBdr>
                                            </w:div>
                                            <w:div w:id="793207241">
                                              <w:marLeft w:val="0"/>
                                              <w:marRight w:val="0"/>
                                              <w:marTop w:val="0"/>
                                              <w:marBottom w:val="0"/>
                                              <w:divBdr>
                                                <w:top w:val="none" w:sz="0" w:space="0" w:color="auto"/>
                                                <w:left w:val="none" w:sz="0" w:space="0" w:color="auto"/>
                                                <w:bottom w:val="none" w:sz="0" w:space="0" w:color="auto"/>
                                                <w:right w:val="none" w:sz="0" w:space="0" w:color="auto"/>
                                              </w:divBdr>
                                            </w:div>
                                            <w:div w:id="795829475">
                                              <w:marLeft w:val="0"/>
                                              <w:marRight w:val="0"/>
                                              <w:marTop w:val="0"/>
                                              <w:marBottom w:val="0"/>
                                              <w:divBdr>
                                                <w:top w:val="none" w:sz="0" w:space="0" w:color="auto"/>
                                                <w:left w:val="none" w:sz="0" w:space="0" w:color="auto"/>
                                                <w:bottom w:val="none" w:sz="0" w:space="0" w:color="auto"/>
                                                <w:right w:val="none" w:sz="0" w:space="0" w:color="auto"/>
                                              </w:divBdr>
                                            </w:div>
                                            <w:div w:id="798186131">
                                              <w:marLeft w:val="0"/>
                                              <w:marRight w:val="0"/>
                                              <w:marTop w:val="0"/>
                                              <w:marBottom w:val="0"/>
                                              <w:divBdr>
                                                <w:top w:val="none" w:sz="0" w:space="0" w:color="auto"/>
                                                <w:left w:val="none" w:sz="0" w:space="0" w:color="auto"/>
                                                <w:bottom w:val="none" w:sz="0" w:space="0" w:color="auto"/>
                                                <w:right w:val="none" w:sz="0" w:space="0" w:color="auto"/>
                                              </w:divBdr>
                                            </w:div>
                                            <w:div w:id="897207734">
                                              <w:marLeft w:val="0"/>
                                              <w:marRight w:val="0"/>
                                              <w:marTop w:val="0"/>
                                              <w:marBottom w:val="0"/>
                                              <w:divBdr>
                                                <w:top w:val="none" w:sz="0" w:space="0" w:color="auto"/>
                                                <w:left w:val="none" w:sz="0" w:space="0" w:color="auto"/>
                                                <w:bottom w:val="none" w:sz="0" w:space="0" w:color="auto"/>
                                                <w:right w:val="none" w:sz="0" w:space="0" w:color="auto"/>
                                              </w:divBdr>
                                            </w:div>
                                            <w:div w:id="909382870">
                                              <w:marLeft w:val="0"/>
                                              <w:marRight w:val="0"/>
                                              <w:marTop w:val="0"/>
                                              <w:marBottom w:val="0"/>
                                              <w:divBdr>
                                                <w:top w:val="none" w:sz="0" w:space="0" w:color="auto"/>
                                                <w:left w:val="none" w:sz="0" w:space="0" w:color="auto"/>
                                                <w:bottom w:val="none" w:sz="0" w:space="0" w:color="auto"/>
                                                <w:right w:val="none" w:sz="0" w:space="0" w:color="auto"/>
                                              </w:divBdr>
                                            </w:div>
                                            <w:div w:id="958491083">
                                              <w:marLeft w:val="0"/>
                                              <w:marRight w:val="0"/>
                                              <w:marTop w:val="0"/>
                                              <w:marBottom w:val="0"/>
                                              <w:divBdr>
                                                <w:top w:val="none" w:sz="0" w:space="0" w:color="auto"/>
                                                <w:left w:val="none" w:sz="0" w:space="0" w:color="auto"/>
                                                <w:bottom w:val="none" w:sz="0" w:space="0" w:color="auto"/>
                                                <w:right w:val="none" w:sz="0" w:space="0" w:color="auto"/>
                                              </w:divBdr>
                                            </w:div>
                                            <w:div w:id="1014190964">
                                              <w:marLeft w:val="0"/>
                                              <w:marRight w:val="0"/>
                                              <w:marTop w:val="0"/>
                                              <w:marBottom w:val="0"/>
                                              <w:divBdr>
                                                <w:top w:val="none" w:sz="0" w:space="0" w:color="auto"/>
                                                <w:left w:val="none" w:sz="0" w:space="0" w:color="auto"/>
                                                <w:bottom w:val="none" w:sz="0" w:space="0" w:color="auto"/>
                                                <w:right w:val="none" w:sz="0" w:space="0" w:color="auto"/>
                                              </w:divBdr>
                                            </w:div>
                                            <w:div w:id="1055154317">
                                              <w:marLeft w:val="0"/>
                                              <w:marRight w:val="0"/>
                                              <w:marTop w:val="0"/>
                                              <w:marBottom w:val="0"/>
                                              <w:divBdr>
                                                <w:top w:val="none" w:sz="0" w:space="0" w:color="auto"/>
                                                <w:left w:val="none" w:sz="0" w:space="0" w:color="auto"/>
                                                <w:bottom w:val="none" w:sz="0" w:space="0" w:color="auto"/>
                                                <w:right w:val="none" w:sz="0" w:space="0" w:color="auto"/>
                                              </w:divBdr>
                                            </w:div>
                                            <w:div w:id="1145273677">
                                              <w:marLeft w:val="0"/>
                                              <w:marRight w:val="0"/>
                                              <w:marTop w:val="0"/>
                                              <w:marBottom w:val="0"/>
                                              <w:divBdr>
                                                <w:top w:val="none" w:sz="0" w:space="0" w:color="auto"/>
                                                <w:left w:val="none" w:sz="0" w:space="0" w:color="auto"/>
                                                <w:bottom w:val="none" w:sz="0" w:space="0" w:color="auto"/>
                                                <w:right w:val="none" w:sz="0" w:space="0" w:color="auto"/>
                                              </w:divBdr>
                                            </w:div>
                                            <w:div w:id="1214197348">
                                              <w:marLeft w:val="0"/>
                                              <w:marRight w:val="0"/>
                                              <w:marTop w:val="0"/>
                                              <w:marBottom w:val="0"/>
                                              <w:divBdr>
                                                <w:top w:val="none" w:sz="0" w:space="0" w:color="auto"/>
                                                <w:left w:val="none" w:sz="0" w:space="0" w:color="auto"/>
                                                <w:bottom w:val="none" w:sz="0" w:space="0" w:color="auto"/>
                                                <w:right w:val="none" w:sz="0" w:space="0" w:color="auto"/>
                                              </w:divBdr>
                                            </w:div>
                                            <w:div w:id="1233352179">
                                              <w:marLeft w:val="0"/>
                                              <w:marRight w:val="0"/>
                                              <w:marTop w:val="0"/>
                                              <w:marBottom w:val="0"/>
                                              <w:divBdr>
                                                <w:top w:val="none" w:sz="0" w:space="0" w:color="auto"/>
                                                <w:left w:val="none" w:sz="0" w:space="0" w:color="auto"/>
                                                <w:bottom w:val="none" w:sz="0" w:space="0" w:color="auto"/>
                                                <w:right w:val="none" w:sz="0" w:space="0" w:color="auto"/>
                                              </w:divBdr>
                                            </w:div>
                                            <w:div w:id="1233736595">
                                              <w:marLeft w:val="0"/>
                                              <w:marRight w:val="0"/>
                                              <w:marTop w:val="0"/>
                                              <w:marBottom w:val="0"/>
                                              <w:divBdr>
                                                <w:top w:val="none" w:sz="0" w:space="0" w:color="auto"/>
                                                <w:left w:val="none" w:sz="0" w:space="0" w:color="auto"/>
                                                <w:bottom w:val="none" w:sz="0" w:space="0" w:color="auto"/>
                                                <w:right w:val="none" w:sz="0" w:space="0" w:color="auto"/>
                                              </w:divBdr>
                                            </w:div>
                                            <w:div w:id="1308434509">
                                              <w:marLeft w:val="0"/>
                                              <w:marRight w:val="0"/>
                                              <w:marTop w:val="0"/>
                                              <w:marBottom w:val="0"/>
                                              <w:divBdr>
                                                <w:top w:val="none" w:sz="0" w:space="0" w:color="auto"/>
                                                <w:left w:val="none" w:sz="0" w:space="0" w:color="auto"/>
                                                <w:bottom w:val="none" w:sz="0" w:space="0" w:color="auto"/>
                                                <w:right w:val="none" w:sz="0" w:space="0" w:color="auto"/>
                                              </w:divBdr>
                                            </w:div>
                                            <w:div w:id="1315140723">
                                              <w:marLeft w:val="0"/>
                                              <w:marRight w:val="0"/>
                                              <w:marTop w:val="0"/>
                                              <w:marBottom w:val="0"/>
                                              <w:divBdr>
                                                <w:top w:val="none" w:sz="0" w:space="0" w:color="auto"/>
                                                <w:left w:val="none" w:sz="0" w:space="0" w:color="auto"/>
                                                <w:bottom w:val="none" w:sz="0" w:space="0" w:color="auto"/>
                                                <w:right w:val="none" w:sz="0" w:space="0" w:color="auto"/>
                                              </w:divBdr>
                                            </w:div>
                                            <w:div w:id="1323896403">
                                              <w:marLeft w:val="0"/>
                                              <w:marRight w:val="0"/>
                                              <w:marTop w:val="0"/>
                                              <w:marBottom w:val="0"/>
                                              <w:divBdr>
                                                <w:top w:val="none" w:sz="0" w:space="0" w:color="auto"/>
                                                <w:left w:val="none" w:sz="0" w:space="0" w:color="auto"/>
                                                <w:bottom w:val="none" w:sz="0" w:space="0" w:color="auto"/>
                                                <w:right w:val="none" w:sz="0" w:space="0" w:color="auto"/>
                                              </w:divBdr>
                                            </w:div>
                                            <w:div w:id="1349914685">
                                              <w:marLeft w:val="0"/>
                                              <w:marRight w:val="0"/>
                                              <w:marTop w:val="0"/>
                                              <w:marBottom w:val="0"/>
                                              <w:divBdr>
                                                <w:top w:val="none" w:sz="0" w:space="0" w:color="auto"/>
                                                <w:left w:val="none" w:sz="0" w:space="0" w:color="auto"/>
                                                <w:bottom w:val="none" w:sz="0" w:space="0" w:color="auto"/>
                                                <w:right w:val="none" w:sz="0" w:space="0" w:color="auto"/>
                                              </w:divBdr>
                                            </w:div>
                                            <w:div w:id="1362173290">
                                              <w:marLeft w:val="0"/>
                                              <w:marRight w:val="0"/>
                                              <w:marTop w:val="0"/>
                                              <w:marBottom w:val="0"/>
                                              <w:divBdr>
                                                <w:top w:val="none" w:sz="0" w:space="0" w:color="auto"/>
                                                <w:left w:val="none" w:sz="0" w:space="0" w:color="auto"/>
                                                <w:bottom w:val="none" w:sz="0" w:space="0" w:color="auto"/>
                                                <w:right w:val="none" w:sz="0" w:space="0" w:color="auto"/>
                                              </w:divBdr>
                                            </w:div>
                                            <w:div w:id="1383745258">
                                              <w:marLeft w:val="0"/>
                                              <w:marRight w:val="0"/>
                                              <w:marTop w:val="0"/>
                                              <w:marBottom w:val="0"/>
                                              <w:divBdr>
                                                <w:top w:val="none" w:sz="0" w:space="0" w:color="auto"/>
                                                <w:left w:val="none" w:sz="0" w:space="0" w:color="auto"/>
                                                <w:bottom w:val="none" w:sz="0" w:space="0" w:color="auto"/>
                                                <w:right w:val="none" w:sz="0" w:space="0" w:color="auto"/>
                                              </w:divBdr>
                                            </w:div>
                                            <w:div w:id="1462916632">
                                              <w:marLeft w:val="0"/>
                                              <w:marRight w:val="0"/>
                                              <w:marTop w:val="0"/>
                                              <w:marBottom w:val="0"/>
                                              <w:divBdr>
                                                <w:top w:val="none" w:sz="0" w:space="0" w:color="auto"/>
                                                <w:left w:val="none" w:sz="0" w:space="0" w:color="auto"/>
                                                <w:bottom w:val="none" w:sz="0" w:space="0" w:color="auto"/>
                                                <w:right w:val="none" w:sz="0" w:space="0" w:color="auto"/>
                                              </w:divBdr>
                                            </w:div>
                                            <w:div w:id="1482114479">
                                              <w:marLeft w:val="0"/>
                                              <w:marRight w:val="0"/>
                                              <w:marTop w:val="0"/>
                                              <w:marBottom w:val="0"/>
                                              <w:divBdr>
                                                <w:top w:val="none" w:sz="0" w:space="0" w:color="auto"/>
                                                <w:left w:val="none" w:sz="0" w:space="0" w:color="auto"/>
                                                <w:bottom w:val="none" w:sz="0" w:space="0" w:color="auto"/>
                                                <w:right w:val="none" w:sz="0" w:space="0" w:color="auto"/>
                                              </w:divBdr>
                                            </w:div>
                                            <w:div w:id="1557080296">
                                              <w:marLeft w:val="0"/>
                                              <w:marRight w:val="0"/>
                                              <w:marTop w:val="0"/>
                                              <w:marBottom w:val="0"/>
                                              <w:divBdr>
                                                <w:top w:val="none" w:sz="0" w:space="0" w:color="auto"/>
                                                <w:left w:val="none" w:sz="0" w:space="0" w:color="auto"/>
                                                <w:bottom w:val="none" w:sz="0" w:space="0" w:color="auto"/>
                                                <w:right w:val="none" w:sz="0" w:space="0" w:color="auto"/>
                                              </w:divBdr>
                                            </w:div>
                                            <w:div w:id="1588227747">
                                              <w:marLeft w:val="0"/>
                                              <w:marRight w:val="0"/>
                                              <w:marTop w:val="0"/>
                                              <w:marBottom w:val="0"/>
                                              <w:divBdr>
                                                <w:top w:val="none" w:sz="0" w:space="0" w:color="auto"/>
                                                <w:left w:val="none" w:sz="0" w:space="0" w:color="auto"/>
                                                <w:bottom w:val="none" w:sz="0" w:space="0" w:color="auto"/>
                                                <w:right w:val="none" w:sz="0" w:space="0" w:color="auto"/>
                                              </w:divBdr>
                                            </w:div>
                                            <w:div w:id="1653369753">
                                              <w:marLeft w:val="0"/>
                                              <w:marRight w:val="0"/>
                                              <w:marTop w:val="0"/>
                                              <w:marBottom w:val="0"/>
                                              <w:divBdr>
                                                <w:top w:val="none" w:sz="0" w:space="0" w:color="auto"/>
                                                <w:left w:val="none" w:sz="0" w:space="0" w:color="auto"/>
                                                <w:bottom w:val="none" w:sz="0" w:space="0" w:color="auto"/>
                                                <w:right w:val="none" w:sz="0" w:space="0" w:color="auto"/>
                                              </w:divBdr>
                                            </w:div>
                                            <w:div w:id="1654598481">
                                              <w:marLeft w:val="0"/>
                                              <w:marRight w:val="0"/>
                                              <w:marTop w:val="0"/>
                                              <w:marBottom w:val="0"/>
                                              <w:divBdr>
                                                <w:top w:val="none" w:sz="0" w:space="0" w:color="auto"/>
                                                <w:left w:val="none" w:sz="0" w:space="0" w:color="auto"/>
                                                <w:bottom w:val="none" w:sz="0" w:space="0" w:color="auto"/>
                                                <w:right w:val="none" w:sz="0" w:space="0" w:color="auto"/>
                                              </w:divBdr>
                                            </w:div>
                                            <w:div w:id="1787848820">
                                              <w:marLeft w:val="0"/>
                                              <w:marRight w:val="0"/>
                                              <w:marTop w:val="0"/>
                                              <w:marBottom w:val="0"/>
                                              <w:divBdr>
                                                <w:top w:val="none" w:sz="0" w:space="0" w:color="auto"/>
                                                <w:left w:val="none" w:sz="0" w:space="0" w:color="auto"/>
                                                <w:bottom w:val="none" w:sz="0" w:space="0" w:color="auto"/>
                                                <w:right w:val="none" w:sz="0" w:space="0" w:color="auto"/>
                                              </w:divBdr>
                                            </w:div>
                                            <w:div w:id="1825707456">
                                              <w:marLeft w:val="0"/>
                                              <w:marRight w:val="0"/>
                                              <w:marTop w:val="0"/>
                                              <w:marBottom w:val="0"/>
                                              <w:divBdr>
                                                <w:top w:val="none" w:sz="0" w:space="0" w:color="auto"/>
                                                <w:left w:val="none" w:sz="0" w:space="0" w:color="auto"/>
                                                <w:bottom w:val="none" w:sz="0" w:space="0" w:color="auto"/>
                                                <w:right w:val="none" w:sz="0" w:space="0" w:color="auto"/>
                                              </w:divBdr>
                                            </w:div>
                                            <w:div w:id="1850026843">
                                              <w:marLeft w:val="0"/>
                                              <w:marRight w:val="0"/>
                                              <w:marTop w:val="0"/>
                                              <w:marBottom w:val="0"/>
                                              <w:divBdr>
                                                <w:top w:val="none" w:sz="0" w:space="0" w:color="auto"/>
                                                <w:left w:val="none" w:sz="0" w:space="0" w:color="auto"/>
                                                <w:bottom w:val="none" w:sz="0" w:space="0" w:color="auto"/>
                                                <w:right w:val="none" w:sz="0" w:space="0" w:color="auto"/>
                                              </w:divBdr>
                                            </w:div>
                                            <w:div w:id="1854875119">
                                              <w:marLeft w:val="0"/>
                                              <w:marRight w:val="0"/>
                                              <w:marTop w:val="0"/>
                                              <w:marBottom w:val="0"/>
                                              <w:divBdr>
                                                <w:top w:val="none" w:sz="0" w:space="0" w:color="auto"/>
                                                <w:left w:val="none" w:sz="0" w:space="0" w:color="auto"/>
                                                <w:bottom w:val="none" w:sz="0" w:space="0" w:color="auto"/>
                                                <w:right w:val="none" w:sz="0" w:space="0" w:color="auto"/>
                                              </w:divBdr>
                                            </w:div>
                                            <w:div w:id="2030257708">
                                              <w:marLeft w:val="0"/>
                                              <w:marRight w:val="0"/>
                                              <w:marTop w:val="0"/>
                                              <w:marBottom w:val="0"/>
                                              <w:divBdr>
                                                <w:top w:val="none" w:sz="0" w:space="0" w:color="auto"/>
                                                <w:left w:val="none" w:sz="0" w:space="0" w:color="auto"/>
                                                <w:bottom w:val="none" w:sz="0" w:space="0" w:color="auto"/>
                                                <w:right w:val="none" w:sz="0" w:space="0" w:color="auto"/>
                                              </w:divBdr>
                                            </w:div>
                                            <w:div w:id="2090035028">
                                              <w:marLeft w:val="0"/>
                                              <w:marRight w:val="0"/>
                                              <w:marTop w:val="0"/>
                                              <w:marBottom w:val="0"/>
                                              <w:divBdr>
                                                <w:top w:val="none" w:sz="0" w:space="0" w:color="auto"/>
                                                <w:left w:val="none" w:sz="0" w:space="0" w:color="auto"/>
                                                <w:bottom w:val="none" w:sz="0" w:space="0" w:color="auto"/>
                                                <w:right w:val="none" w:sz="0" w:space="0" w:color="auto"/>
                                              </w:divBdr>
                                            </w:div>
                                            <w:div w:id="2095541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0700719">
                                      <w:marLeft w:val="0"/>
                                      <w:marRight w:val="0"/>
                                      <w:marTop w:val="0"/>
                                      <w:marBottom w:val="0"/>
                                      <w:divBdr>
                                        <w:top w:val="none" w:sz="0" w:space="0" w:color="auto"/>
                                        <w:left w:val="none" w:sz="0" w:space="0" w:color="auto"/>
                                        <w:bottom w:val="none" w:sz="0" w:space="0" w:color="auto"/>
                                        <w:right w:val="none" w:sz="0" w:space="0" w:color="auto"/>
                                      </w:divBdr>
                                    </w:div>
                                    <w:div w:id="864027356">
                                      <w:marLeft w:val="0"/>
                                      <w:marRight w:val="0"/>
                                      <w:marTop w:val="0"/>
                                      <w:marBottom w:val="0"/>
                                      <w:divBdr>
                                        <w:top w:val="none" w:sz="0" w:space="0" w:color="auto"/>
                                        <w:left w:val="none" w:sz="0" w:space="0" w:color="auto"/>
                                        <w:bottom w:val="none" w:sz="0" w:space="0" w:color="auto"/>
                                        <w:right w:val="none" w:sz="0" w:space="0" w:color="auto"/>
                                      </w:divBdr>
                                    </w:div>
                                    <w:div w:id="895631771">
                                      <w:marLeft w:val="0"/>
                                      <w:marRight w:val="0"/>
                                      <w:marTop w:val="0"/>
                                      <w:marBottom w:val="0"/>
                                      <w:divBdr>
                                        <w:top w:val="none" w:sz="0" w:space="0" w:color="auto"/>
                                        <w:left w:val="none" w:sz="0" w:space="0" w:color="auto"/>
                                        <w:bottom w:val="none" w:sz="0" w:space="0" w:color="auto"/>
                                        <w:right w:val="none" w:sz="0" w:space="0" w:color="auto"/>
                                      </w:divBdr>
                                    </w:div>
                                    <w:div w:id="935211853">
                                      <w:marLeft w:val="0"/>
                                      <w:marRight w:val="0"/>
                                      <w:marTop w:val="0"/>
                                      <w:marBottom w:val="0"/>
                                      <w:divBdr>
                                        <w:top w:val="none" w:sz="0" w:space="0" w:color="auto"/>
                                        <w:left w:val="none" w:sz="0" w:space="0" w:color="auto"/>
                                        <w:bottom w:val="none" w:sz="0" w:space="0" w:color="auto"/>
                                        <w:right w:val="none" w:sz="0" w:space="0" w:color="auto"/>
                                      </w:divBdr>
                                    </w:div>
                                    <w:div w:id="950405259">
                                      <w:marLeft w:val="0"/>
                                      <w:marRight w:val="0"/>
                                      <w:marTop w:val="0"/>
                                      <w:marBottom w:val="0"/>
                                      <w:divBdr>
                                        <w:top w:val="none" w:sz="0" w:space="0" w:color="auto"/>
                                        <w:left w:val="none" w:sz="0" w:space="0" w:color="auto"/>
                                        <w:bottom w:val="none" w:sz="0" w:space="0" w:color="auto"/>
                                        <w:right w:val="none" w:sz="0" w:space="0" w:color="auto"/>
                                      </w:divBdr>
                                    </w:div>
                                    <w:div w:id="962417844">
                                      <w:marLeft w:val="0"/>
                                      <w:marRight w:val="0"/>
                                      <w:marTop w:val="0"/>
                                      <w:marBottom w:val="0"/>
                                      <w:divBdr>
                                        <w:top w:val="none" w:sz="0" w:space="0" w:color="auto"/>
                                        <w:left w:val="none" w:sz="0" w:space="0" w:color="auto"/>
                                        <w:bottom w:val="none" w:sz="0" w:space="0" w:color="auto"/>
                                        <w:right w:val="none" w:sz="0" w:space="0" w:color="auto"/>
                                      </w:divBdr>
                                    </w:div>
                                    <w:div w:id="974914760">
                                      <w:marLeft w:val="0"/>
                                      <w:marRight w:val="0"/>
                                      <w:marTop w:val="0"/>
                                      <w:marBottom w:val="0"/>
                                      <w:divBdr>
                                        <w:top w:val="none" w:sz="0" w:space="0" w:color="auto"/>
                                        <w:left w:val="none" w:sz="0" w:space="0" w:color="auto"/>
                                        <w:bottom w:val="none" w:sz="0" w:space="0" w:color="auto"/>
                                        <w:right w:val="none" w:sz="0" w:space="0" w:color="auto"/>
                                      </w:divBdr>
                                    </w:div>
                                    <w:div w:id="980354596">
                                      <w:marLeft w:val="0"/>
                                      <w:marRight w:val="0"/>
                                      <w:marTop w:val="0"/>
                                      <w:marBottom w:val="0"/>
                                      <w:divBdr>
                                        <w:top w:val="none" w:sz="0" w:space="0" w:color="auto"/>
                                        <w:left w:val="none" w:sz="0" w:space="0" w:color="auto"/>
                                        <w:bottom w:val="none" w:sz="0" w:space="0" w:color="auto"/>
                                        <w:right w:val="none" w:sz="0" w:space="0" w:color="auto"/>
                                      </w:divBdr>
                                    </w:div>
                                    <w:div w:id="995450286">
                                      <w:marLeft w:val="0"/>
                                      <w:marRight w:val="0"/>
                                      <w:marTop w:val="0"/>
                                      <w:marBottom w:val="0"/>
                                      <w:divBdr>
                                        <w:top w:val="none" w:sz="0" w:space="0" w:color="auto"/>
                                        <w:left w:val="none" w:sz="0" w:space="0" w:color="auto"/>
                                        <w:bottom w:val="none" w:sz="0" w:space="0" w:color="auto"/>
                                        <w:right w:val="none" w:sz="0" w:space="0" w:color="auto"/>
                                      </w:divBdr>
                                    </w:div>
                                    <w:div w:id="1010569645">
                                      <w:marLeft w:val="0"/>
                                      <w:marRight w:val="0"/>
                                      <w:marTop w:val="0"/>
                                      <w:marBottom w:val="0"/>
                                      <w:divBdr>
                                        <w:top w:val="none" w:sz="0" w:space="0" w:color="auto"/>
                                        <w:left w:val="none" w:sz="0" w:space="0" w:color="auto"/>
                                        <w:bottom w:val="none" w:sz="0" w:space="0" w:color="auto"/>
                                        <w:right w:val="none" w:sz="0" w:space="0" w:color="auto"/>
                                      </w:divBdr>
                                    </w:div>
                                    <w:div w:id="1028411206">
                                      <w:marLeft w:val="0"/>
                                      <w:marRight w:val="0"/>
                                      <w:marTop w:val="0"/>
                                      <w:marBottom w:val="0"/>
                                      <w:divBdr>
                                        <w:top w:val="none" w:sz="0" w:space="0" w:color="auto"/>
                                        <w:left w:val="none" w:sz="0" w:space="0" w:color="auto"/>
                                        <w:bottom w:val="none" w:sz="0" w:space="0" w:color="auto"/>
                                        <w:right w:val="none" w:sz="0" w:space="0" w:color="auto"/>
                                      </w:divBdr>
                                    </w:div>
                                    <w:div w:id="1039549924">
                                      <w:marLeft w:val="0"/>
                                      <w:marRight w:val="0"/>
                                      <w:marTop w:val="0"/>
                                      <w:marBottom w:val="0"/>
                                      <w:divBdr>
                                        <w:top w:val="none" w:sz="0" w:space="0" w:color="auto"/>
                                        <w:left w:val="none" w:sz="0" w:space="0" w:color="auto"/>
                                        <w:bottom w:val="none" w:sz="0" w:space="0" w:color="auto"/>
                                        <w:right w:val="none" w:sz="0" w:space="0" w:color="auto"/>
                                      </w:divBdr>
                                    </w:div>
                                    <w:div w:id="1048459705">
                                      <w:marLeft w:val="0"/>
                                      <w:marRight w:val="0"/>
                                      <w:marTop w:val="0"/>
                                      <w:marBottom w:val="0"/>
                                      <w:divBdr>
                                        <w:top w:val="none" w:sz="0" w:space="0" w:color="auto"/>
                                        <w:left w:val="none" w:sz="0" w:space="0" w:color="auto"/>
                                        <w:bottom w:val="none" w:sz="0" w:space="0" w:color="auto"/>
                                        <w:right w:val="none" w:sz="0" w:space="0" w:color="auto"/>
                                      </w:divBdr>
                                    </w:div>
                                    <w:div w:id="1050811031">
                                      <w:marLeft w:val="0"/>
                                      <w:marRight w:val="0"/>
                                      <w:marTop w:val="0"/>
                                      <w:marBottom w:val="0"/>
                                      <w:divBdr>
                                        <w:top w:val="none" w:sz="0" w:space="0" w:color="auto"/>
                                        <w:left w:val="none" w:sz="0" w:space="0" w:color="auto"/>
                                        <w:bottom w:val="none" w:sz="0" w:space="0" w:color="auto"/>
                                        <w:right w:val="none" w:sz="0" w:space="0" w:color="auto"/>
                                      </w:divBdr>
                                    </w:div>
                                    <w:div w:id="1077215790">
                                      <w:marLeft w:val="0"/>
                                      <w:marRight w:val="0"/>
                                      <w:marTop w:val="0"/>
                                      <w:marBottom w:val="0"/>
                                      <w:divBdr>
                                        <w:top w:val="none" w:sz="0" w:space="0" w:color="auto"/>
                                        <w:left w:val="none" w:sz="0" w:space="0" w:color="auto"/>
                                        <w:bottom w:val="none" w:sz="0" w:space="0" w:color="auto"/>
                                        <w:right w:val="none" w:sz="0" w:space="0" w:color="auto"/>
                                      </w:divBdr>
                                    </w:div>
                                    <w:div w:id="1095786628">
                                      <w:marLeft w:val="0"/>
                                      <w:marRight w:val="0"/>
                                      <w:marTop w:val="0"/>
                                      <w:marBottom w:val="0"/>
                                      <w:divBdr>
                                        <w:top w:val="none" w:sz="0" w:space="0" w:color="auto"/>
                                        <w:left w:val="none" w:sz="0" w:space="0" w:color="auto"/>
                                        <w:bottom w:val="none" w:sz="0" w:space="0" w:color="auto"/>
                                        <w:right w:val="none" w:sz="0" w:space="0" w:color="auto"/>
                                      </w:divBdr>
                                    </w:div>
                                    <w:div w:id="1114790939">
                                      <w:marLeft w:val="0"/>
                                      <w:marRight w:val="0"/>
                                      <w:marTop w:val="0"/>
                                      <w:marBottom w:val="0"/>
                                      <w:divBdr>
                                        <w:top w:val="none" w:sz="0" w:space="0" w:color="auto"/>
                                        <w:left w:val="none" w:sz="0" w:space="0" w:color="auto"/>
                                        <w:bottom w:val="none" w:sz="0" w:space="0" w:color="auto"/>
                                        <w:right w:val="none" w:sz="0" w:space="0" w:color="auto"/>
                                      </w:divBdr>
                                    </w:div>
                                    <w:div w:id="1138759715">
                                      <w:marLeft w:val="0"/>
                                      <w:marRight w:val="0"/>
                                      <w:marTop w:val="0"/>
                                      <w:marBottom w:val="0"/>
                                      <w:divBdr>
                                        <w:top w:val="none" w:sz="0" w:space="0" w:color="auto"/>
                                        <w:left w:val="none" w:sz="0" w:space="0" w:color="auto"/>
                                        <w:bottom w:val="none" w:sz="0" w:space="0" w:color="auto"/>
                                        <w:right w:val="none" w:sz="0" w:space="0" w:color="auto"/>
                                      </w:divBdr>
                                    </w:div>
                                    <w:div w:id="1139617293">
                                      <w:marLeft w:val="0"/>
                                      <w:marRight w:val="0"/>
                                      <w:marTop w:val="0"/>
                                      <w:marBottom w:val="0"/>
                                      <w:divBdr>
                                        <w:top w:val="none" w:sz="0" w:space="0" w:color="auto"/>
                                        <w:left w:val="none" w:sz="0" w:space="0" w:color="auto"/>
                                        <w:bottom w:val="none" w:sz="0" w:space="0" w:color="auto"/>
                                        <w:right w:val="none" w:sz="0" w:space="0" w:color="auto"/>
                                      </w:divBdr>
                                    </w:div>
                                    <w:div w:id="1154637428">
                                      <w:marLeft w:val="0"/>
                                      <w:marRight w:val="0"/>
                                      <w:marTop w:val="0"/>
                                      <w:marBottom w:val="0"/>
                                      <w:divBdr>
                                        <w:top w:val="none" w:sz="0" w:space="0" w:color="auto"/>
                                        <w:left w:val="none" w:sz="0" w:space="0" w:color="auto"/>
                                        <w:bottom w:val="none" w:sz="0" w:space="0" w:color="auto"/>
                                        <w:right w:val="none" w:sz="0" w:space="0" w:color="auto"/>
                                      </w:divBdr>
                                    </w:div>
                                    <w:div w:id="1158612568">
                                      <w:marLeft w:val="0"/>
                                      <w:marRight w:val="0"/>
                                      <w:marTop w:val="0"/>
                                      <w:marBottom w:val="0"/>
                                      <w:divBdr>
                                        <w:top w:val="none" w:sz="0" w:space="0" w:color="auto"/>
                                        <w:left w:val="none" w:sz="0" w:space="0" w:color="auto"/>
                                        <w:bottom w:val="none" w:sz="0" w:space="0" w:color="auto"/>
                                        <w:right w:val="none" w:sz="0" w:space="0" w:color="auto"/>
                                      </w:divBdr>
                                    </w:div>
                                    <w:div w:id="1160001902">
                                      <w:marLeft w:val="0"/>
                                      <w:marRight w:val="0"/>
                                      <w:marTop w:val="0"/>
                                      <w:marBottom w:val="0"/>
                                      <w:divBdr>
                                        <w:top w:val="none" w:sz="0" w:space="0" w:color="auto"/>
                                        <w:left w:val="none" w:sz="0" w:space="0" w:color="auto"/>
                                        <w:bottom w:val="none" w:sz="0" w:space="0" w:color="auto"/>
                                        <w:right w:val="none" w:sz="0" w:space="0" w:color="auto"/>
                                      </w:divBdr>
                                    </w:div>
                                    <w:div w:id="1174686570">
                                      <w:marLeft w:val="0"/>
                                      <w:marRight w:val="0"/>
                                      <w:marTop w:val="0"/>
                                      <w:marBottom w:val="0"/>
                                      <w:divBdr>
                                        <w:top w:val="none" w:sz="0" w:space="0" w:color="auto"/>
                                        <w:left w:val="none" w:sz="0" w:space="0" w:color="auto"/>
                                        <w:bottom w:val="none" w:sz="0" w:space="0" w:color="auto"/>
                                        <w:right w:val="none" w:sz="0" w:space="0" w:color="auto"/>
                                      </w:divBdr>
                                    </w:div>
                                    <w:div w:id="1184056391">
                                      <w:marLeft w:val="0"/>
                                      <w:marRight w:val="0"/>
                                      <w:marTop w:val="0"/>
                                      <w:marBottom w:val="0"/>
                                      <w:divBdr>
                                        <w:top w:val="none" w:sz="0" w:space="0" w:color="auto"/>
                                        <w:left w:val="none" w:sz="0" w:space="0" w:color="auto"/>
                                        <w:bottom w:val="none" w:sz="0" w:space="0" w:color="auto"/>
                                        <w:right w:val="none" w:sz="0" w:space="0" w:color="auto"/>
                                      </w:divBdr>
                                    </w:div>
                                    <w:div w:id="1193036946">
                                      <w:marLeft w:val="0"/>
                                      <w:marRight w:val="0"/>
                                      <w:marTop w:val="0"/>
                                      <w:marBottom w:val="0"/>
                                      <w:divBdr>
                                        <w:top w:val="none" w:sz="0" w:space="0" w:color="auto"/>
                                        <w:left w:val="none" w:sz="0" w:space="0" w:color="auto"/>
                                        <w:bottom w:val="none" w:sz="0" w:space="0" w:color="auto"/>
                                        <w:right w:val="none" w:sz="0" w:space="0" w:color="auto"/>
                                      </w:divBdr>
                                    </w:div>
                                    <w:div w:id="1193423003">
                                      <w:marLeft w:val="0"/>
                                      <w:marRight w:val="0"/>
                                      <w:marTop w:val="0"/>
                                      <w:marBottom w:val="0"/>
                                      <w:divBdr>
                                        <w:top w:val="none" w:sz="0" w:space="0" w:color="auto"/>
                                        <w:left w:val="none" w:sz="0" w:space="0" w:color="auto"/>
                                        <w:bottom w:val="none" w:sz="0" w:space="0" w:color="auto"/>
                                        <w:right w:val="none" w:sz="0" w:space="0" w:color="auto"/>
                                      </w:divBdr>
                                    </w:div>
                                    <w:div w:id="1257788599">
                                      <w:marLeft w:val="0"/>
                                      <w:marRight w:val="0"/>
                                      <w:marTop w:val="0"/>
                                      <w:marBottom w:val="0"/>
                                      <w:divBdr>
                                        <w:top w:val="none" w:sz="0" w:space="0" w:color="auto"/>
                                        <w:left w:val="none" w:sz="0" w:space="0" w:color="auto"/>
                                        <w:bottom w:val="none" w:sz="0" w:space="0" w:color="auto"/>
                                        <w:right w:val="none" w:sz="0" w:space="0" w:color="auto"/>
                                      </w:divBdr>
                                    </w:div>
                                    <w:div w:id="1257865025">
                                      <w:marLeft w:val="0"/>
                                      <w:marRight w:val="0"/>
                                      <w:marTop w:val="0"/>
                                      <w:marBottom w:val="0"/>
                                      <w:divBdr>
                                        <w:top w:val="none" w:sz="0" w:space="0" w:color="auto"/>
                                        <w:left w:val="none" w:sz="0" w:space="0" w:color="auto"/>
                                        <w:bottom w:val="none" w:sz="0" w:space="0" w:color="auto"/>
                                        <w:right w:val="none" w:sz="0" w:space="0" w:color="auto"/>
                                      </w:divBdr>
                                    </w:div>
                                    <w:div w:id="1263293651">
                                      <w:marLeft w:val="0"/>
                                      <w:marRight w:val="0"/>
                                      <w:marTop w:val="0"/>
                                      <w:marBottom w:val="0"/>
                                      <w:divBdr>
                                        <w:top w:val="none" w:sz="0" w:space="0" w:color="auto"/>
                                        <w:left w:val="none" w:sz="0" w:space="0" w:color="auto"/>
                                        <w:bottom w:val="none" w:sz="0" w:space="0" w:color="auto"/>
                                        <w:right w:val="none" w:sz="0" w:space="0" w:color="auto"/>
                                      </w:divBdr>
                                    </w:div>
                                    <w:div w:id="1273129949">
                                      <w:marLeft w:val="0"/>
                                      <w:marRight w:val="0"/>
                                      <w:marTop w:val="0"/>
                                      <w:marBottom w:val="0"/>
                                      <w:divBdr>
                                        <w:top w:val="none" w:sz="0" w:space="0" w:color="auto"/>
                                        <w:left w:val="none" w:sz="0" w:space="0" w:color="auto"/>
                                        <w:bottom w:val="none" w:sz="0" w:space="0" w:color="auto"/>
                                        <w:right w:val="none" w:sz="0" w:space="0" w:color="auto"/>
                                      </w:divBdr>
                                    </w:div>
                                    <w:div w:id="1273899617">
                                      <w:marLeft w:val="0"/>
                                      <w:marRight w:val="0"/>
                                      <w:marTop w:val="0"/>
                                      <w:marBottom w:val="0"/>
                                      <w:divBdr>
                                        <w:top w:val="none" w:sz="0" w:space="0" w:color="auto"/>
                                        <w:left w:val="none" w:sz="0" w:space="0" w:color="auto"/>
                                        <w:bottom w:val="none" w:sz="0" w:space="0" w:color="auto"/>
                                        <w:right w:val="none" w:sz="0" w:space="0" w:color="auto"/>
                                      </w:divBdr>
                                    </w:div>
                                    <w:div w:id="1282148172">
                                      <w:marLeft w:val="0"/>
                                      <w:marRight w:val="0"/>
                                      <w:marTop w:val="0"/>
                                      <w:marBottom w:val="0"/>
                                      <w:divBdr>
                                        <w:top w:val="none" w:sz="0" w:space="0" w:color="auto"/>
                                        <w:left w:val="none" w:sz="0" w:space="0" w:color="auto"/>
                                        <w:bottom w:val="none" w:sz="0" w:space="0" w:color="auto"/>
                                        <w:right w:val="none" w:sz="0" w:space="0" w:color="auto"/>
                                      </w:divBdr>
                                    </w:div>
                                    <w:div w:id="1284773017">
                                      <w:marLeft w:val="0"/>
                                      <w:marRight w:val="0"/>
                                      <w:marTop w:val="0"/>
                                      <w:marBottom w:val="0"/>
                                      <w:divBdr>
                                        <w:top w:val="none" w:sz="0" w:space="0" w:color="auto"/>
                                        <w:left w:val="none" w:sz="0" w:space="0" w:color="auto"/>
                                        <w:bottom w:val="none" w:sz="0" w:space="0" w:color="auto"/>
                                        <w:right w:val="none" w:sz="0" w:space="0" w:color="auto"/>
                                      </w:divBdr>
                                    </w:div>
                                    <w:div w:id="1285576539">
                                      <w:marLeft w:val="0"/>
                                      <w:marRight w:val="0"/>
                                      <w:marTop w:val="0"/>
                                      <w:marBottom w:val="0"/>
                                      <w:divBdr>
                                        <w:top w:val="none" w:sz="0" w:space="0" w:color="auto"/>
                                        <w:left w:val="none" w:sz="0" w:space="0" w:color="auto"/>
                                        <w:bottom w:val="none" w:sz="0" w:space="0" w:color="auto"/>
                                        <w:right w:val="none" w:sz="0" w:space="0" w:color="auto"/>
                                      </w:divBdr>
                                    </w:div>
                                    <w:div w:id="1313679766">
                                      <w:marLeft w:val="0"/>
                                      <w:marRight w:val="0"/>
                                      <w:marTop w:val="0"/>
                                      <w:marBottom w:val="0"/>
                                      <w:divBdr>
                                        <w:top w:val="none" w:sz="0" w:space="0" w:color="auto"/>
                                        <w:left w:val="none" w:sz="0" w:space="0" w:color="auto"/>
                                        <w:bottom w:val="none" w:sz="0" w:space="0" w:color="auto"/>
                                        <w:right w:val="none" w:sz="0" w:space="0" w:color="auto"/>
                                      </w:divBdr>
                                    </w:div>
                                    <w:div w:id="1326780095">
                                      <w:marLeft w:val="0"/>
                                      <w:marRight w:val="0"/>
                                      <w:marTop w:val="0"/>
                                      <w:marBottom w:val="0"/>
                                      <w:divBdr>
                                        <w:top w:val="none" w:sz="0" w:space="0" w:color="auto"/>
                                        <w:left w:val="none" w:sz="0" w:space="0" w:color="auto"/>
                                        <w:bottom w:val="none" w:sz="0" w:space="0" w:color="auto"/>
                                        <w:right w:val="none" w:sz="0" w:space="0" w:color="auto"/>
                                      </w:divBdr>
                                    </w:div>
                                    <w:div w:id="1328090699">
                                      <w:marLeft w:val="0"/>
                                      <w:marRight w:val="0"/>
                                      <w:marTop w:val="0"/>
                                      <w:marBottom w:val="0"/>
                                      <w:divBdr>
                                        <w:top w:val="none" w:sz="0" w:space="0" w:color="auto"/>
                                        <w:left w:val="none" w:sz="0" w:space="0" w:color="auto"/>
                                        <w:bottom w:val="none" w:sz="0" w:space="0" w:color="auto"/>
                                        <w:right w:val="none" w:sz="0" w:space="0" w:color="auto"/>
                                      </w:divBdr>
                                    </w:div>
                                    <w:div w:id="1349914370">
                                      <w:marLeft w:val="0"/>
                                      <w:marRight w:val="0"/>
                                      <w:marTop w:val="0"/>
                                      <w:marBottom w:val="0"/>
                                      <w:divBdr>
                                        <w:top w:val="none" w:sz="0" w:space="0" w:color="auto"/>
                                        <w:left w:val="none" w:sz="0" w:space="0" w:color="auto"/>
                                        <w:bottom w:val="none" w:sz="0" w:space="0" w:color="auto"/>
                                        <w:right w:val="none" w:sz="0" w:space="0" w:color="auto"/>
                                      </w:divBdr>
                                    </w:div>
                                    <w:div w:id="1354191012">
                                      <w:marLeft w:val="0"/>
                                      <w:marRight w:val="0"/>
                                      <w:marTop w:val="0"/>
                                      <w:marBottom w:val="0"/>
                                      <w:divBdr>
                                        <w:top w:val="none" w:sz="0" w:space="0" w:color="auto"/>
                                        <w:left w:val="none" w:sz="0" w:space="0" w:color="auto"/>
                                        <w:bottom w:val="none" w:sz="0" w:space="0" w:color="auto"/>
                                        <w:right w:val="none" w:sz="0" w:space="0" w:color="auto"/>
                                      </w:divBdr>
                                    </w:div>
                                    <w:div w:id="1389840800">
                                      <w:marLeft w:val="0"/>
                                      <w:marRight w:val="0"/>
                                      <w:marTop w:val="0"/>
                                      <w:marBottom w:val="0"/>
                                      <w:divBdr>
                                        <w:top w:val="none" w:sz="0" w:space="0" w:color="auto"/>
                                        <w:left w:val="none" w:sz="0" w:space="0" w:color="auto"/>
                                        <w:bottom w:val="none" w:sz="0" w:space="0" w:color="auto"/>
                                        <w:right w:val="none" w:sz="0" w:space="0" w:color="auto"/>
                                      </w:divBdr>
                                    </w:div>
                                    <w:div w:id="1395926547">
                                      <w:marLeft w:val="0"/>
                                      <w:marRight w:val="0"/>
                                      <w:marTop w:val="0"/>
                                      <w:marBottom w:val="0"/>
                                      <w:divBdr>
                                        <w:top w:val="none" w:sz="0" w:space="0" w:color="auto"/>
                                        <w:left w:val="none" w:sz="0" w:space="0" w:color="auto"/>
                                        <w:bottom w:val="none" w:sz="0" w:space="0" w:color="auto"/>
                                        <w:right w:val="none" w:sz="0" w:space="0" w:color="auto"/>
                                      </w:divBdr>
                                    </w:div>
                                    <w:div w:id="1397898883">
                                      <w:marLeft w:val="0"/>
                                      <w:marRight w:val="0"/>
                                      <w:marTop w:val="0"/>
                                      <w:marBottom w:val="0"/>
                                      <w:divBdr>
                                        <w:top w:val="none" w:sz="0" w:space="0" w:color="auto"/>
                                        <w:left w:val="none" w:sz="0" w:space="0" w:color="auto"/>
                                        <w:bottom w:val="none" w:sz="0" w:space="0" w:color="auto"/>
                                        <w:right w:val="none" w:sz="0" w:space="0" w:color="auto"/>
                                      </w:divBdr>
                                    </w:div>
                                    <w:div w:id="1400782316">
                                      <w:marLeft w:val="0"/>
                                      <w:marRight w:val="0"/>
                                      <w:marTop w:val="0"/>
                                      <w:marBottom w:val="0"/>
                                      <w:divBdr>
                                        <w:top w:val="none" w:sz="0" w:space="0" w:color="auto"/>
                                        <w:left w:val="none" w:sz="0" w:space="0" w:color="auto"/>
                                        <w:bottom w:val="none" w:sz="0" w:space="0" w:color="auto"/>
                                        <w:right w:val="none" w:sz="0" w:space="0" w:color="auto"/>
                                      </w:divBdr>
                                    </w:div>
                                    <w:div w:id="1403210573">
                                      <w:marLeft w:val="0"/>
                                      <w:marRight w:val="0"/>
                                      <w:marTop w:val="0"/>
                                      <w:marBottom w:val="0"/>
                                      <w:divBdr>
                                        <w:top w:val="none" w:sz="0" w:space="0" w:color="auto"/>
                                        <w:left w:val="none" w:sz="0" w:space="0" w:color="auto"/>
                                        <w:bottom w:val="none" w:sz="0" w:space="0" w:color="auto"/>
                                        <w:right w:val="none" w:sz="0" w:space="0" w:color="auto"/>
                                      </w:divBdr>
                                    </w:div>
                                    <w:div w:id="1425809902">
                                      <w:marLeft w:val="0"/>
                                      <w:marRight w:val="0"/>
                                      <w:marTop w:val="0"/>
                                      <w:marBottom w:val="0"/>
                                      <w:divBdr>
                                        <w:top w:val="none" w:sz="0" w:space="0" w:color="auto"/>
                                        <w:left w:val="none" w:sz="0" w:space="0" w:color="auto"/>
                                        <w:bottom w:val="none" w:sz="0" w:space="0" w:color="auto"/>
                                        <w:right w:val="none" w:sz="0" w:space="0" w:color="auto"/>
                                      </w:divBdr>
                                    </w:div>
                                    <w:div w:id="1426611780">
                                      <w:marLeft w:val="0"/>
                                      <w:marRight w:val="0"/>
                                      <w:marTop w:val="0"/>
                                      <w:marBottom w:val="0"/>
                                      <w:divBdr>
                                        <w:top w:val="none" w:sz="0" w:space="0" w:color="auto"/>
                                        <w:left w:val="none" w:sz="0" w:space="0" w:color="auto"/>
                                        <w:bottom w:val="none" w:sz="0" w:space="0" w:color="auto"/>
                                        <w:right w:val="none" w:sz="0" w:space="0" w:color="auto"/>
                                      </w:divBdr>
                                    </w:div>
                                    <w:div w:id="1429503373">
                                      <w:marLeft w:val="0"/>
                                      <w:marRight w:val="0"/>
                                      <w:marTop w:val="0"/>
                                      <w:marBottom w:val="0"/>
                                      <w:divBdr>
                                        <w:top w:val="none" w:sz="0" w:space="0" w:color="auto"/>
                                        <w:left w:val="none" w:sz="0" w:space="0" w:color="auto"/>
                                        <w:bottom w:val="none" w:sz="0" w:space="0" w:color="auto"/>
                                        <w:right w:val="none" w:sz="0" w:space="0" w:color="auto"/>
                                      </w:divBdr>
                                    </w:div>
                                    <w:div w:id="1429811260">
                                      <w:marLeft w:val="0"/>
                                      <w:marRight w:val="0"/>
                                      <w:marTop w:val="0"/>
                                      <w:marBottom w:val="0"/>
                                      <w:divBdr>
                                        <w:top w:val="none" w:sz="0" w:space="0" w:color="auto"/>
                                        <w:left w:val="none" w:sz="0" w:space="0" w:color="auto"/>
                                        <w:bottom w:val="none" w:sz="0" w:space="0" w:color="auto"/>
                                        <w:right w:val="none" w:sz="0" w:space="0" w:color="auto"/>
                                      </w:divBdr>
                                    </w:div>
                                    <w:div w:id="1442264847">
                                      <w:marLeft w:val="0"/>
                                      <w:marRight w:val="0"/>
                                      <w:marTop w:val="0"/>
                                      <w:marBottom w:val="0"/>
                                      <w:divBdr>
                                        <w:top w:val="none" w:sz="0" w:space="0" w:color="auto"/>
                                        <w:left w:val="none" w:sz="0" w:space="0" w:color="auto"/>
                                        <w:bottom w:val="none" w:sz="0" w:space="0" w:color="auto"/>
                                        <w:right w:val="none" w:sz="0" w:space="0" w:color="auto"/>
                                      </w:divBdr>
                                    </w:div>
                                    <w:div w:id="1443572034">
                                      <w:marLeft w:val="0"/>
                                      <w:marRight w:val="0"/>
                                      <w:marTop w:val="0"/>
                                      <w:marBottom w:val="0"/>
                                      <w:divBdr>
                                        <w:top w:val="none" w:sz="0" w:space="0" w:color="auto"/>
                                        <w:left w:val="none" w:sz="0" w:space="0" w:color="auto"/>
                                        <w:bottom w:val="none" w:sz="0" w:space="0" w:color="auto"/>
                                        <w:right w:val="none" w:sz="0" w:space="0" w:color="auto"/>
                                      </w:divBdr>
                                    </w:div>
                                    <w:div w:id="1448813739">
                                      <w:marLeft w:val="0"/>
                                      <w:marRight w:val="0"/>
                                      <w:marTop w:val="0"/>
                                      <w:marBottom w:val="0"/>
                                      <w:divBdr>
                                        <w:top w:val="none" w:sz="0" w:space="0" w:color="auto"/>
                                        <w:left w:val="none" w:sz="0" w:space="0" w:color="auto"/>
                                        <w:bottom w:val="none" w:sz="0" w:space="0" w:color="auto"/>
                                        <w:right w:val="none" w:sz="0" w:space="0" w:color="auto"/>
                                      </w:divBdr>
                                    </w:div>
                                    <w:div w:id="1477991142">
                                      <w:marLeft w:val="0"/>
                                      <w:marRight w:val="0"/>
                                      <w:marTop w:val="0"/>
                                      <w:marBottom w:val="0"/>
                                      <w:divBdr>
                                        <w:top w:val="none" w:sz="0" w:space="0" w:color="auto"/>
                                        <w:left w:val="none" w:sz="0" w:space="0" w:color="auto"/>
                                        <w:bottom w:val="none" w:sz="0" w:space="0" w:color="auto"/>
                                        <w:right w:val="none" w:sz="0" w:space="0" w:color="auto"/>
                                      </w:divBdr>
                                    </w:div>
                                    <w:div w:id="1478498818">
                                      <w:marLeft w:val="0"/>
                                      <w:marRight w:val="0"/>
                                      <w:marTop w:val="0"/>
                                      <w:marBottom w:val="0"/>
                                      <w:divBdr>
                                        <w:top w:val="none" w:sz="0" w:space="0" w:color="auto"/>
                                        <w:left w:val="none" w:sz="0" w:space="0" w:color="auto"/>
                                        <w:bottom w:val="none" w:sz="0" w:space="0" w:color="auto"/>
                                        <w:right w:val="none" w:sz="0" w:space="0" w:color="auto"/>
                                      </w:divBdr>
                                    </w:div>
                                    <w:div w:id="1532954814">
                                      <w:marLeft w:val="0"/>
                                      <w:marRight w:val="0"/>
                                      <w:marTop w:val="0"/>
                                      <w:marBottom w:val="0"/>
                                      <w:divBdr>
                                        <w:top w:val="none" w:sz="0" w:space="0" w:color="auto"/>
                                        <w:left w:val="none" w:sz="0" w:space="0" w:color="auto"/>
                                        <w:bottom w:val="none" w:sz="0" w:space="0" w:color="auto"/>
                                        <w:right w:val="none" w:sz="0" w:space="0" w:color="auto"/>
                                      </w:divBdr>
                                    </w:div>
                                    <w:div w:id="1544710134">
                                      <w:marLeft w:val="0"/>
                                      <w:marRight w:val="0"/>
                                      <w:marTop w:val="0"/>
                                      <w:marBottom w:val="0"/>
                                      <w:divBdr>
                                        <w:top w:val="none" w:sz="0" w:space="0" w:color="auto"/>
                                        <w:left w:val="none" w:sz="0" w:space="0" w:color="auto"/>
                                        <w:bottom w:val="none" w:sz="0" w:space="0" w:color="auto"/>
                                        <w:right w:val="none" w:sz="0" w:space="0" w:color="auto"/>
                                      </w:divBdr>
                                    </w:div>
                                    <w:div w:id="1545368421">
                                      <w:marLeft w:val="0"/>
                                      <w:marRight w:val="0"/>
                                      <w:marTop w:val="0"/>
                                      <w:marBottom w:val="0"/>
                                      <w:divBdr>
                                        <w:top w:val="none" w:sz="0" w:space="0" w:color="auto"/>
                                        <w:left w:val="none" w:sz="0" w:space="0" w:color="auto"/>
                                        <w:bottom w:val="none" w:sz="0" w:space="0" w:color="auto"/>
                                        <w:right w:val="none" w:sz="0" w:space="0" w:color="auto"/>
                                      </w:divBdr>
                                    </w:div>
                                    <w:div w:id="1554392192">
                                      <w:marLeft w:val="0"/>
                                      <w:marRight w:val="0"/>
                                      <w:marTop w:val="0"/>
                                      <w:marBottom w:val="0"/>
                                      <w:divBdr>
                                        <w:top w:val="none" w:sz="0" w:space="0" w:color="auto"/>
                                        <w:left w:val="none" w:sz="0" w:space="0" w:color="auto"/>
                                        <w:bottom w:val="none" w:sz="0" w:space="0" w:color="auto"/>
                                        <w:right w:val="none" w:sz="0" w:space="0" w:color="auto"/>
                                      </w:divBdr>
                                    </w:div>
                                    <w:div w:id="1573656861">
                                      <w:marLeft w:val="0"/>
                                      <w:marRight w:val="0"/>
                                      <w:marTop w:val="0"/>
                                      <w:marBottom w:val="0"/>
                                      <w:divBdr>
                                        <w:top w:val="none" w:sz="0" w:space="0" w:color="auto"/>
                                        <w:left w:val="none" w:sz="0" w:space="0" w:color="auto"/>
                                        <w:bottom w:val="none" w:sz="0" w:space="0" w:color="auto"/>
                                        <w:right w:val="none" w:sz="0" w:space="0" w:color="auto"/>
                                      </w:divBdr>
                                    </w:div>
                                    <w:div w:id="1578974338">
                                      <w:marLeft w:val="0"/>
                                      <w:marRight w:val="0"/>
                                      <w:marTop w:val="0"/>
                                      <w:marBottom w:val="0"/>
                                      <w:divBdr>
                                        <w:top w:val="none" w:sz="0" w:space="0" w:color="auto"/>
                                        <w:left w:val="none" w:sz="0" w:space="0" w:color="auto"/>
                                        <w:bottom w:val="none" w:sz="0" w:space="0" w:color="auto"/>
                                        <w:right w:val="none" w:sz="0" w:space="0" w:color="auto"/>
                                      </w:divBdr>
                                    </w:div>
                                    <w:div w:id="1582711753">
                                      <w:marLeft w:val="0"/>
                                      <w:marRight w:val="0"/>
                                      <w:marTop w:val="0"/>
                                      <w:marBottom w:val="0"/>
                                      <w:divBdr>
                                        <w:top w:val="none" w:sz="0" w:space="0" w:color="auto"/>
                                        <w:left w:val="none" w:sz="0" w:space="0" w:color="auto"/>
                                        <w:bottom w:val="none" w:sz="0" w:space="0" w:color="auto"/>
                                        <w:right w:val="none" w:sz="0" w:space="0" w:color="auto"/>
                                      </w:divBdr>
                                    </w:div>
                                    <w:div w:id="1599409736">
                                      <w:marLeft w:val="0"/>
                                      <w:marRight w:val="0"/>
                                      <w:marTop w:val="0"/>
                                      <w:marBottom w:val="0"/>
                                      <w:divBdr>
                                        <w:top w:val="none" w:sz="0" w:space="0" w:color="auto"/>
                                        <w:left w:val="none" w:sz="0" w:space="0" w:color="auto"/>
                                        <w:bottom w:val="none" w:sz="0" w:space="0" w:color="auto"/>
                                        <w:right w:val="none" w:sz="0" w:space="0" w:color="auto"/>
                                      </w:divBdr>
                                    </w:div>
                                    <w:div w:id="1600332950">
                                      <w:marLeft w:val="0"/>
                                      <w:marRight w:val="0"/>
                                      <w:marTop w:val="0"/>
                                      <w:marBottom w:val="0"/>
                                      <w:divBdr>
                                        <w:top w:val="none" w:sz="0" w:space="0" w:color="auto"/>
                                        <w:left w:val="none" w:sz="0" w:space="0" w:color="auto"/>
                                        <w:bottom w:val="none" w:sz="0" w:space="0" w:color="auto"/>
                                        <w:right w:val="none" w:sz="0" w:space="0" w:color="auto"/>
                                      </w:divBdr>
                                    </w:div>
                                    <w:div w:id="1601327574">
                                      <w:marLeft w:val="0"/>
                                      <w:marRight w:val="0"/>
                                      <w:marTop w:val="0"/>
                                      <w:marBottom w:val="0"/>
                                      <w:divBdr>
                                        <w:top w:val="none" w:sz="0" w:space="0" w:color="auto"/>
                                        <w:left w:val="none" w:sz="0" w:space="0" w:color="auto"/>
                                        <w:bottom w:val="none" w:sz="0" w:space="0" w:color="auto"/>
                                        <w:right w:val="none" w:sz="0" w:space="0" w:color="auto"/>
                                      </w:divBdr>
                                    </w:div>
                                    <w:div w:id="1601527271">
                                      <w:marLeft w:val="0"/>
                                      <w:marRight w:val="0"/>
                                      <w:marTop w:val="0"/>
                                      <w:marBottom w:val="0"/>
                                      <w:divBdr>
                                        <w:top w:val="none" w:sz="0" w:space="0" w:color="auto"/>
                                        <w:left w:val="none" w:sz="0" w:space="0" w:color="auto"/>
                                        <w:bottom w:val="none" w:sz="0" w:space="0" w:color="auto"/>
                                        <w:right w:val="none" w:sz="0" w:space="0" w:color="auto"/>
                                      </w:divBdr>
                                    </w:div>
                                    <w:div w:id="1608658790">
                                      <w:marLeft w:val="0"/>
                                      <w:marRight w:val="0"/>
                                      <w:marTop w:val="0"/>
                                      <w:marBottom w:val="0"/>
                                      <w:divBdr>
                                        <w:top w:val="none" w:sz="0" w:space="0" w:color="auto"/>
                                        <w:left w:val="none" w:sz="0" w:space="0" w:color="auto"/>
                                        <w:bottom w:val="none" w:sz="0" w:space="0" w:color="auto"/>
                                        <w:right w:val="none" w:sz="0" w:space="0" w:color="auto"/>
                                      </w:divBdr>
                                    </w:div>
                                    <w:div w:id="1639798329">
                                      <w:marLeft w:val="0"/>
                                      <w:marRight w:val="0"/>
                                      <w:marTop w:val="0"/>
                                      <w:marBottom w:val="0"/>
                                      <w:divBdr>
                                        <w:top w:val="none" w:sz="0" w:space="0" w:color="auto"/>
                                        <w:left w:val="none" w:sz="0" w:space="0" w:color="auto"/>
                                        <w:bottom w:val="none" w:sz="0" w:space="0" w:color="auto"/>
                                        <w:right w:val="none" w:sz="0" w:space="0" w:color="auto"/>
                                      </w:divBdr>
                                    </w:div>
                                    <w:div w:id="1644429878">
                                      <w:marLeft w:val="0"/>
                                      <w:marRight w:val="0"/>
                                      <w:marTop w:val="0"/>
                                      <w:marBottom w:val="0"/>
                                      <w:divBdr>
                                        <w:top w:val="none" w:sz="0" w:space="0" w:color="auto"/>
                                        <w:left w:val="none" w:sz="0" w:space="0" w:color="auto"/>
                                        <w:bottom w:val="none" w:sz="0" w:space="0" w:color="auto"/>
                                        <w:right w:val="none" w:sz="0" w:space="0" w:color="auto"/>
                                      </w:divBdr>
                                    </w:div>
                                    <w:div w:id="1646199280">
                                      <w:marLeft w:val="0"/>
                                      <w:marRight w:val="0"/>
                                      <w:marTop w:val="0"/>
                                      <w:marBottom w:val="0"/>
                                      <w:divBdr>
                                        <w:top w:val="none" w:sz="0" w:space="0" w:color="auto"/>
                                        <w:left w:val="none" w:sz="0" w:space="0" w:color="auto"/>
                                        <w:bottom w:val="none" w:sz="0" w:space="0" w:color="auto"/>
                                        <w:right w:val="none" w:sz="0" w:space="0" w:color="auto"/>
                                      </w:divBdr>
                                    </w:div>
                                    <w:div w:id="1647852931">
                                      <w:marLeft w:val="0"/>
                                      <w:marRight w:val="0"/>
                                      <w:marTop w:val="0"/>
                                      <w:marBottom w:val="0"/>
                                      <w:divBdr>
                                        <w:top w:val="none" w:sz="0" w:space="0" w:color="auto"/>
                                        <w:left w:val="none" w:sz="0" w:space="0" w:color="auto"/>
                                        <w:bottom w:val="none" w:sz="0" w:space="0" w:color="auto"/>
                                        <w:right w:val="none" w:sz="0" w:space="0" w:color="auto"/>
                                      </w:divBdr>
                                    </w:div>
                                    <w:div w:id="1651596379">
                                      <w:marLeft w:val="0"/>
                                      <w:marRight w:val="0"/>
                                      <w:marTop w:val="0"/>
                                      <w:marBottom w:val="0"/>
                                      <w:divBdr>
                                        <w:top w:val="none" w:sz="0" w:space="0" w:color="auto"/>
                                        <w:left w:val="none" w:sz="0" w:space="0" w:color="auto"/>
                                        <w:bottom w:val="none" w:sz="0" w:space="0" w:color="auto"/>
                                        <w:right w:val="none" w:sz="0" w:space="0" w:color="auto"/>
                                      </w:divBdr>
                                    </w:div>
                                    <w:div w:id="1663389303">
                                      <w:marLeft w:val="0"/>
                                      <w:marRight w:val="0"/>
                                      <w:marTop w:val="0"/>
                                      <w:marBottom w:val="0"/>
                                      <w:divBdr>
                                        <w:top w:val="none" w:sz="0" w:space="0" w:color="auto"/>
                                        <w:left w:val="none" w:sz="0" w:space="0" w:color="auto"/>
                                        <w:bottom w:val="none" w:sz="0" w:space="0" w:color="auto"/>
                                        <w:right w:val="none" w:sz="0" w:space="0" w:color="auto"/>
                                      </w:divBdr>
                                    </w:div>
                                    <w:div w:id="1667170614">
                                      <w:marLeft w:val="0"/>
                                      <w:marRight w:val="0"/>
                                      <w:marTop w:val="0"/>
                                      <w:marBottom w:val="0"/>
                                      <w:divBdr>
                                        <w:top w:val="none" w:sz="0" w:space="0" w:color="auto"/>
                                        <w:left w:val="none" w:sz="0" w:space="0" w:color="auto"/>
                                        <w:bottom w:val="none" w:sz="0" w:space="0" w:color="auto"/>
                                        <w:right w:val="none" w:sz="0" w:space="0" w:color="auto"/>
                                      </w:divBdr>
                                    </w:div>
                                    <w:div w:id="1681077366">
                                      <w:marLeft w:val="0"/>
                                      <w:marRight w:val="0"/>
                                      <w:marTop w:val="0"/>
                                      <w:marBottom w:val="0"/>
                                      <w:divBdr>
                                        <w:top w:val="none" w:sz="0" w:space="0" w:color="auto"/>
                                        <w:left w:val="none" w:sz="0" w:space="0" w:color="auto"/>
                                        <w:bottom w:val="none" w:sz="0" w:space="0" w:color="auto"/>
                                        <w:right w:val="none" w:sz="0" w:space="0" w:color="auto"/>
                                      </w:divBdr>
                                    </w:div>
                                    <w:div w:id="1691107285">
                                      <w:marLeft w:val="0"/>
                                      <w:marRight w:val="0"/>
                                      <w:marTop w:val="0"/>
                                      <w:marBottom w:val="0"/>
                                      <w:divBdr>
                                        <w:top w:val="none" w:sz="0" w:space="0" w:color="auto"/>
                                        <w:left w:val="none" w:sz="0" w:space="0" w:color="auto"/>
                                        <w:bottom w:val="none" w:sz="0" w:space="0" w:color="auto"/>
                                        <w:right w:val="none" w:sz="0" w:space="0" w:color="auto"/>
                                      </w:divBdr>
                                    </w:div>
                                    <w:div w:id="1707290472">
                                      <w:marLeft w:val="0"/>
                                      <w:marRight w:val="0"/>
                                      <w:marTop w:val="0"/>
                                      <w:marBottom w:val="0"/>
                                      <w:divBdr>
                                        <w:top w:val="none" w:sz="0" w:space="0" w:color="auto"/>
                                        <w:left w:val="none" w:sz="0" w:space="0" w:color="auto"/>
                                        <w:bottom w:val="none" w:sz="0" w:space="0" w:color="auto"/>
                                        <w:right w:val="none" w:sz="0" w:space="0" w:color="auto"/>
                                      </w:divBdr>
                                    </w:div>
                                    <w:div w:id="1708794610">
                                      <w:marLeft w:val="0"/>
                                      <w:marRight w:val="0"/>
                                      <w:marTop w:val="0"/>
                                      <w:marBottom w:val="0"/>
                                      <w:divBdr>
                                        <w:top w:val="none" w:sz="0" w:space="0" w:color="auto"/>
                                        <w:left w:val="none" w:sz="0" w:space="0" w:color="auto"/>
                                        <w:bottom w:val="none" w:sz="0" w:space="0" w:color="auto"/>
                                        <w:right w:val="none" w:sz="0" w:space="0" w:color="auto"/>
                                      </w:divBdr>
                                    </w:div>
                                    <w:div w:id="1712722874">
                                      <w:marLeft w:val="0"/>
                                      <w:marRight w:val="0"/>
                                      <w:marTop w:val="0"/>
                                      <w:marBottom w:val="0"/>
                                      <w:divBdr>
                                        <w:top w:val="none" w:sz="0" w:space="0" w:color="auto"/>
                                        <w:left w:val="none" w:sz="0" w:space="0" w:color="auto"/>
                                        <w:bottom w:val="none" w:sz="0" w:space="0" w:color="auto"/>
                                        <w:right w:val="none" w:sz="0" w:space="0" w:color="auto"/>
                                      </w:divBdr>
                                    </w:div>
                                    <w:div w:id="1715497265">
                                      <w:marLeft w:val="0"/>
                                      <w:marRight w:val="0"/>
                                      <w:marTop w:val="0"/>
                                      <w:marBottom w:val="0"/>
                                      <w:divBdr>
                                        <w:top w:val="none" w:sz="0" w:space="0" w:color="auto"/>
                                        <w:left w:val="none" w:sz="0" w:space="0" w:color="auto"/>
                                        <w:bottom w:val="none" w:sz="0" w:space="0" w:color="auto"/>
                                        <w:right w:val="none" w:sz="0" w:space="0" w:color="auto"/>
                                      </w:divBdr>
                                    </w:div>
                                    <w:div w:id="1722972251">
                                      <w:marLeft w:val="0"/>
                                      <w:marRight w:val="0"/>
                                      <w:marTop w:val="0"/>
                                      <w:marBottom w:val="0"/>
                                      <w:divBdr>
                                        <w:top w:val="none" w:sz="0" w:space="0" w:color="auto"/>
                                        <w:left w:val="none" w:sz="0" w:space="0" w:color="auto"/>
                                        <w:bottom w:val="none" w:sz="0" w:space="0" w:color="auto"/>
                                        <w:right w:val="none" w:sz="0" w:space="0" w:color="auto"/>
                                      </w:divBdr>
                                    </w:div>
                                    <w:div w:id="1723214122">
                                      <w:marLeft w:val="0"/>
                                      <w:marRight w:val="0"/>
                                      <w:marTop w:val="0"/>
                                      <w:marBottom w:val="0"/>
                                      <w:divBdr>
                                        <w:top w:val="none" w:sz="0" w:space="0" w:color="auto"/>
                                        <w:left w:val="none" w:sz="0" w:space="0" w:color="auto"/>
                                        <w:bottom w:val="none" w:sz="0" w:space="0" w:color="auto"/>
                                        <w:right w:val="none" w:sz="0" w:space="0" w:color="auto"/>
                                      </w:divBdr>
                                    </w:div>
                                    <w:div w:id="1739862332">
                                      <w:marLeft w:val="0"/>
                                      <w:marRight w:val="0"/>
                                      <w:marTop w:val="0"/>
                                      <w:marBottom w:val="0"/>
                                      <w:divBdr>
                                        <w:top w:val="none" w:sz="0" w:space="0" w:color="auto"/>
                                        <w:left w:val="none" w:sz="0" w:space="0" w:color="auto"/>
                                        <w:bottom w:val="none" w:sz="0" w:space="0" w:color="auto"/>
                                        <w:right w:val="none" w:sz="0" w:space="0" w:color="auto"/>
                                      </w:divBdr>
                                    </w:div>
                                    <w:div w:id="1741055191">
                                      <w:marLeft w:val="0"/>
                                      <w:marRight w:val="0"/>
                                      <w:marTop w:val="0"/>
                                      <w:marBottom w:val="0"/>
                                      <w:divBdr>
                                        <w:top w:val="none" w:sz="0" w:space="0" w:color="auto"/>
                                        <w:left w:val="none" w:sz="0" w:space="0" w:color="auto"/>
                                        <w:bottom w:val="none" w:sz="0" w:space="0" w:color="auto"/>
                                        <w:right w:val="none" w:sz="0" w:space="0" w:color="auto"/>
                                      </w:divBdr>
                                    </w:div>
                                    <w:div w:id="1754202345">
                                      <w:marLeft w:val="0"/>
                                      <w:marRight w:val="0"/>
                                      <w:marTop w:val="0"/>
                                      <w:marBottom w:val="0"/>
                                      <w:divBdr>
                                        <w:top w:val="none" w:sz="0" w:space="0" w:color="auto"/>
                                        <w:left w:val="none" w:sz="0" w:space="0" w:color="auto"/>
                                        <w:bottom w:val="none" w:sz="0" w:space="0" w:color="auto"/>
                                        <w:right w:val="none" w:sz="0" w:space="0" w:color="auto"/>
                                      </w:divBdr>
                                    </w:div>
                                    <w:div w:id="1767463433">
                                      <w:marLeft w:val="0"/>
                                      <w:marRight w:val="0"/>
                                      <w:marTop w:val="0"/>
                                      <w:marBottom w:val="0"/>
                                      <w:divBdr>
                                        <w:top w:val="none" w:sz="0" w:space="0" w:color="auto"/>
                                        <w:left w:val="none" w:sz="0" w:space="0" w:color="auto"/>
                                        <w:bottom w:val="none" w:sz="0" w:space="0" w:color="auto"/>
                                        <w:right w:val="none" w:sz="0" w:space="0" w:color="auto"/>
                                      </w:divBdr>
                                    </w:div>
                                    <w:div w:id="1775663473">
                                      <w:marLeft w:val="0"/>
                                      <w:marRight w:val="0"/>
                                      <w:marTop w:val="0"/>
                                      <w:marBottom w:val="0"/>
                                      <w:divBdr>
                                        <w:top w:val="none" w:sz="0" w:space="0" w:color="auto"/>
                                        <w:left w:val="none" w:sz="0" w:space="0" w:color="auto"/>
                                        <w:bottom w:val="none" w:sz="0" w:space="0" w:color="auto"/>
                                        <w:right w:val="none" w:sz="0" w:space="0" w:color="auto"/>
                                      </w:divBdr>
                                    </w:div>
                                    <w:div w:id="1776091983">
                                      <w:marLeft w:val="0"/>
                                      <w:marRight w:val="0"/>
                                      <w:marTop w:val="0"/>
                                      <w:marBottom w:val="0"/>
                                      <w:divBdr>
                                        <w:top w:val="none" w:sz="0" w:space="0" w:color="auto"/>
                                        <w:left w:val="none" w:sz="0" w:space="0" w:color="auto"/>
                                        <w:bottom w:val="none" w:sz="0" w:space="0" w:color="auto"/>
                                        <w:right w:val="none" w:sz="0" w:space="0" w:color="auto"/>
                                      </w:divBdr>
                                    </w:div>
                                    <w:div w:id="1780955892">
                                      <w:marLeft w:val="0"/>
                                      <w:marRight w:val="0"/>
                                      <w:marTop w:val="0"/>
                                      <w:marBottom w:val="0"/>
                                      <w:divBdr>
                                        <w:top w:val="none" w:sz="0" w:space="0" w:color="auto"/>
                                        <w:left w:val="none" w:sz="0" w:space="0" w:color="auto"/>
                                        <w:bottom w:val="none" w:sz="0" w:space="0" w:color="auto"/>
                                        <w:right w:val="none" w:sz="0" w:space="0" w:color="auto"/>
                                      </w:divBdr>
                                    </w:div>
                                    <w:div w:id="1794444527">
                                      <w:marLeft w:val="0"/>
                                      <w:marRight w:val="0"/>
                                      <w:marTop w:val="0"/>
                                      <w:marBottom w:val="0"/>
                                      <w:divBdr>
                                        <w:top w:val="none" w:sz="0" w:space="0" w:color="auto"/>
                                        <w:left w:val="none" w:sz="0" w:space="0" w:color="auto"/>
                                        <w:bottom w:val="none" w:sz="0" w:space="0" w:color="auto"/>
                                        <w:right w:val="none" w:sz="0" w:space="0" w:color="auto"/>
                                      </w:divBdr>
                                    </w:div>
                                    <w:div w:id="1817455921">
                                      <w:marLeft w:val="0"/>
                                      <w:marRight w:val="0"/>
                                      <w:marTop w:val="0"/>
                                      <w:marBottom w:val="0"/>
                                      <w:divBdr>
                                        <w:top w:val="none" w:sz="0" w:space="0" w:color="auto"/>
                                        <w:left w:val="none" w:sz="0" w:space="0" w:color="auto"/>
                                        <w:bottom w:val="none" w:sz="0" w:space="0" w:color="auto"/>
                                        <w:right w:val="none" w:sz="0" w:space="0" w:color="auto"/>
                                      </w:divBdr>
                                    </w:div>
                                    <w:div w:id="1846701504">
                                      <w:marLeft w:val="0"/>
                                      <w:marRight w:val="0"/>
                                      <w:marTop w:val="0"/>
                                      <w:marBottom w:val="0"/>
                                      <w:divBdr>
                                        <w:top w:val="none" w:sz="0" w:space="0" w:color="auto"/>
                                        <w:left w:val="none" w:sz="0" w:space="0" w:color="auto"/>
                                        <w:bottom w:val="none" w:sz="0" w:space="0" w:color="auto"/>
                                        <w:right w:val="none" w:sz="0" w:space="0" w:color="auto"/>
                                      </w:divBdr>
                                    </w:div>
                                    <w:div w:id="1882282807">
                                      <w:marLeft w:val="0"/>
                                      <w:marRight w:val="0"/>
                                      <w:marTop w:val="0"/>
                                      <w:marBottom w:val="0"/>
                                      <w:divBdr>
                                        <w:top w:val="none" w:sz="0" w:space="0" w:color="auto"/>
                                        <w:left w:val="none" w:sz="0" w:space="0" w:color="auto"/>
                                        <w:bottom w:val="none" w:sz="0" w:space="0" w:color="auto"/>
                                        <w:right w:val="none" w:sz="0" w:space="0" w:color="auto"/>
                                      </w:divBdr>
                                    </w:div>
                                    <w:div w:id="1884561744">
                                      <w:marLeft w:val="0"/>
                                      <w:marRight w:val="0"/>
                                      <w:marTop w:val="0"/>
                                      <w:marBottom w:val="0"/>
                                      <w:divBdr>
                                        <w:top w:val="none" w:sz="0" w:space="0" w:color="auto"/>
                                        <w:left w:val="none" w:sz="0" w:space="0" w:color="auto"/>
                                        <w:bottom w:val="none" w:sz="0" w:space="0" w:color="auto"/>
                                        <w:right w:val="none" w:sz="0" w:space="0" w:color="auto"/>
                                      </w:divBdr>
                                    </w:div>
                                    <w:div w:id="1886604379">
                                      <w:marLeft w:val="0"/>
                                      <w:marRight w:val="0"/>
                                      <w:marTop w:val="0"/>
                                      <w:marBottom w:val="0"/>
                                      <w:divBdr>
                                        <w:top w:val="none" w:sz="0" w:space="0" w:color="auto"/>
                                        <w:left w:val="none" w:sz="0" w:space="0" w:color="auto"/>
                                        <w:bottom w:val="none" w:sz="0" w:space="0" w:color="auto"/>
                                        <w:right w:val="none" w:sz="0" w:space="0" w:color="auto"/>
                                      </w:divBdr>
                                    </w:div>
                                    <w:div w:id="1908344462">
                                      <w:marLeft w:val="0"/>
                                      <w:marRight w:val="0"/>
                                      <w:marTop w:val="0"/>
                                      <w:marBottom w:val="0"/>
                                      <w:divBdr>
                                        <w:top w:val="none" w:sz="0" w:space="0" w:color="auto"/>
                                        <w:left w:val="none" w:sz="0" w:space="0" w:color="auto"/>
                                        <w:bottom w:val="none" w:sz="0" w:space="0" w:color="auto"/>
                                        <w:right w:val="none" w:sz="0" w:space="0" w:color="auto"/>
                                      </w:divBdr>
                                    </w:div>
                                    <w:div w:id="1911189008">
                                      <w:marLeft w:val="0"/>
                                      <w:marRight w:val="0"/>
                                      <w:marTop w:val="0"/>
                                      <w:marBottom w:val="0"/>
                                      <w:divBdr>
                                        <w:top w:val="none" w:sz="0" w:space="0" w:color="auto"/>
                                        <w:left w:val="none" w:sz="0" w:space="0" w:color="auto"/>
                                        <w:bottom w:val="none" w:sz="0" w:space="0" w:color="auto"/>
                                        <w:right w:val="none" w:sz="0" w:space="0" w:color="auto"/>
                                      </w:divBdr>
                                    </w:div>
                                    <w:div w:id="1943223174">
                                      <w:marLeft w:val="0"/>
                                      <w:marRight w:val="0"/>
                                      <w:marTop w:val="0"/>
                                      <w:marBottom w:val="0"/>
                                      <w:divBdr>
                                        <w:top w:val="none" w:sz="0" w:space="0" w:color="auto"/>
                                        <w:left w:val="none" w:sz="0" w:space="0" w:color="auto"/>
                                        <w:bottom w:val="none" w:sz="0" w:space="0" w:color="auto"/>
                                        <w:right w:val="none" w:sz="0" w:space="0" w:color="auto"/>
                                      </w:divBdr>
                                    </w:div>
                                    <w:div w:id="1954970369">
                                      <w:marLeft w:val="0"/>
                                      <w:marRight w:val="0"/>
                                      <w:marTop w:val="0"/>
                                      <w:marBottom w:val="0"/>
                                      <w:divBdr>
                                        <w:top w:val="none" w:sz="0" w:space="0" w:color="auto"/>
                                        <w:left w:val="none" w:sz="0" w:space="0" w:color="auto"/>
                                        <w:bottom w:val="none" w:sz="0" w:space="0" w:color="auto"/>
                                        <w:right w:val="none" w:sz="0" w:space="0" w:color="auto"/>
                                      </w:divBdr>
                                    </w:div>
                                    <w:div w:id="1961301539">
                                      <w:marLeft w:val="0"/>
                                      <w:marRight w:val="0"/>
                                      <w:marTop w:val="0"/>
                                      <w:marBottom w:val="0"/>
                                      <w:divBdr>
                                        <w:top w:val="none" w:sz="0" w:space="0" w:color="auto"/>
                                        <w:left w:val="none" w:sz="0" w:space="0" w:color="auto"/>
                                        <w:bottom w:val="none" w:sz="0" w:space="0" w:color="auto"/>
                                        <w:right w:val="none" w:sz="0" w:space="0" w:color="auto"/>
                                      </w:divBdr>
                                    </w:div>
                                    <w:div w:id="1966738176">
                                      <w:marLeft w:val="0"/>
                                      <w:marRight w:val="0"/>
                                      <w:marTop w:val="0"/>
                                      <w:marBottom w:val="0"/>
                                      <w:divBdr>
                                        <w:top w:val="none" w:sz="0" w:space="0" w:color="auto"/>
                                        <w:left w:val="none" w:sz="0" w:space="0" w:color="auto"/>
                                        <w:bottom w:val="none" w:sz="0" w:space="0" w:color="auto"/>
                                        <w:right w:val="none" w:sz="0" w:space="0" w:color="auto"/>
                                      </w:divBdr>
                                    </w:div>
                                    <w:div w:id="1972706332">
                                      <w:marLeft w:val="0"/>
                                      <w:marRight w:val="0"/>
                                      <w:marTop w:val="0"/>
                                      <w:marBottom w:val="0"/>
                                      <w:divBdr>
                                        <w:top w:val="none" w:sz="0" w:space="0" w:color="auto"/>
                                        <w:left w:val="none" w:sz="0" w:space="0" w:color="auto"/>
                                        <w:bottom w:val="none" w:sz="0" w:space="0" w:color="auto"/>
                                        <w:right w:val="none" w:sz="0" w:space="0" w:color="auto"/>
                                      </w:divBdr>
                                    </w:div>
                                    <w:div w:id="1977098895">
                                      <w:marLeft w:val="0"/>
                                      <w:marRight w:val="0"/>
                                      <w:marTop w:val="0"/>
                                      <w:marBottom w:val="0"/>
                                      <w:divBdr>
                                        <w:top w:val="none" w:sz="0" w:space="0" w:color="auto"/>
                                        <w:left w:val="none" w:sz="0" w:space="0" w:color="auto"/>
                                        <w:bottom w:val="none" w:sz="0" w:space="0" w:color="auto"/>
                                        <w:right w:val="none" w:sz="0" w:space="0" w:color="auto"/>
                                      </w:divBdr>
                                    </w:div>
                                    <w:div w:id="1984383619">
                                      <w:marLeft w:val="0"/>
                                      <w:marRight w:val="0"/>
                                      <w:marTop w:val="0"/>
                                      <w:marBottom w:val="0"/>
                                      <w:divBdr>
                                        <w:top w:val="none" w:sz="0" w:space="0" w:color="auto"/>
                                        <w:left w:val="none" w:sz="0" w:space="0" w:color="auto"/>
                                        <w:bottom w:val="none" w:sz="0" w:space="0" w:color="auto"/>
                                        <w:right w:val="none" w:sz="0" w:space="0" w:color="auto"/>
                                      </w:divBdr>
                                    </w:div>
                                    <w:div w:id="1989631765">
                                      <w:marLeft w:val="0"/>
                                      <w:marRight w:val="0"/>
                                      <w:marTop w:val="0"/>
                                      <w:marBottom w:val="0"/>
                                      <w:divBdr>
                                        <w:top w:val="none" w:sz="0" w:space="0" w:color="auto"/>
                                        <w:left w:val="none" w:sz="0" w:space="0" w:color="auto"/>
                                        <w:bottom w:val="none" w:sz="0" w:space="0" w:color="auto"/>
                                        <w:right w:val="none" w:sz="0" w:space="0" w:color="auto"/>
                                      </w:divBdr>
                                    </w:div>
                                    <w:div w:id="2003384629">
                                      <w:marLeft w:val="0"/>
                                      <w:marRight w:val="0"/>
                                      <w:marTop w:val="0"/>
                                      <w:marBottom w:val="0"/>
                                      <w:divBdr>
                                        <w:top w:val="none" w:sz="0" w:space="0" w:color="auto"/>
                                        <w:left w:val="none" w:sz="0" w:space="0" w:color="auto"/>
                                        <w:bottom w:val="none" w:sz="0" w:space="0" w:color="auto"/>
                                        <w:right w:val="none" w:sz="0" w:space="0" w:color="auto"/>
                                      </w:divBdr>
                                    </w:div>
                                    <w:div w:id="2009553094">
                                      <w:marLeft w:val="0"/>
                                      <w:marRight w:val="0"/>
                                      <w:marTop w:val="0"/>
                                      <w:marBottom w:val="0"/>
                                      <w:divBdr>
                                        <w:top w:val="none" w:sz="0" w:space="0" w:color="auto"/>
                                        <w:left w:val="none" w:sz="0" w:space="0" w:color="auto"/>
                                        <w:bottom w:val="none" w:sz="0" w:space="0" w:color="auto"/>
                                        <w:right w:val="none" w:sz="0" w:space="0" w:color="auto"/>
                                      </w:divBdr>
                                    </w:div>
                                    <w:div w:id="2018464780">
                                      <w:marLeft w:val="0"/>
                                      <w:marRight w:val="0"/>
                                      <w:marTop w:val="0"/>
                                      <w:marBottom w:val="0"/>
                                      <w:divBdr>
                                        <w:top w:val="none" w:sz="0" w:space="0" w:color="auto"/>
                                        <w:left w:val="none" w:sz="0" w:space="0" w:color="auto"/>
                                        <w:bottom w:val="none" w:sz="0" w:space="0" w:color="auto"/>
                                        <w:right w:val="none" w:sz="0" w:space="0" w:color="auto"/>
                                      </w:divBdr>
                                    </w:div>
                                    <w:div w:id="2021931633">
                                      <w:marLeft w:val="0"/>
                                      <w:marRight w:val="0"/>
                                      <w:marTop w:val="0"/>
                                      <w:marBottom w:val="0"/>
                                      <w:divBdr>
                                        <w:top w:val="none" w:sz="0" w:space="0" w:color="auto"/>
                                        <w:left w:val="none" w:sz="0" w:space="0" w:color="auto"/>
                                        <w:bottom w:val="none" w:sz="0" w:space="0" w:color="auto"/>
                                        <w:right w:val="none" w:sz="0" w:space="0" w:color="auto"/>
                                      </w:divBdr>
                                    </w:div>
                                    <w:div w:id="2024742971">
                                      <w:marLeft w:val="0"/>
                                      <w:marRight w:val="0"/>
                                      <w:marTop w:val="0"/>
                                      <w:marBottom w:val="0"/>
                                      <w:divBdr>
                                        <w:top w:val="none" w:sz="0" w:space="0" w:color="auto"/>
                                        <w:left w:val="none" w:sz="0" w:space="0" w:color="auto"/>
                                        <w:bottom w:val="none" w:sz="0" w:space="0" w:color="auto"/>
                                        <w:right w:val="none" w:sz="0" w:space="0" w:color="auto"/>
                                      </w:divBdr>
                                    </w:div>
                                    <w:div w:id="2037340940">
                                      <w:marLeft w:val="0"/>
                                      <w:marRight w:val="0"/>
                                      <w:marTop w:val="0"/>
                                      <w:marBottom w:val="0"/>
                                      <w:divBdr>
                                        <w:top w:val="none" w:sz="0" w:space="0" w:color="auto"/>
                                        <w:left w:val="none" w:sz="0" w:space="0" w:color="auto"/>
                                        <w:bottom w:val="none" w:sz="0" w:space="0" w:color="auto"/>
                                        <w:right w:val="none" w:sz="0" w:space="0" w:color="auto"/>
                                      </w:divBdr>
                                    </w:div>
                                    <w:div w:id="2037538940">
                                      <w:marLeft w:val="0"/>
                                      <w:marRight w:val="0"/>
                                      <w:marTop w:val="0"/>
                                      <w:marBottom w:val="0"/>
                                      <w:divBdr>
                                        <w:top w:val="none" w:sz="0" w:space="0" w:color="auto"/>
                                        <w:left w:val="none" w:sz="0" w:space="0" w:color="auto"/>
                                        <w:bottom w:val="none" w:sz="0" w:space="0" w:color="auto"/>
                                        <w:right w:val="none" w:sz="0" w:space="0" w:color="auto"/>
                                      </w:divBdr>
                                    </w:div>
                                    <w:div w:id="2040278362">
                                      <w:marLeft w:val="0"/>
                                      <w:marRight w:val="0"/>
                                      <w:marTop w:val="0"/>
                                      <w:marBottom w:val="0"/>
                                      <w:divBdr>
                                        <w:top w:val="none" w:sz="0" w:space="0" w:color="auto"/>
                                        <w:left w:val="none" w:sz="0" w:space="0" w:color="auto"/>
                                        <w:bottom w:val="none" w:sz="0" w:space="0" w:color="auto"/>
                                        <w:right w:val="none" w:sz="0" w:space="0" w:color="auto"/>
                                      </w:divBdr>
                                    </w:div>
                                    <w:div w:id="2064988500">
                                      <w:marLeft w:val="0"/>
                                      <w:marRight w:val="0"/>
                                      <w:marTop w:val="0"/>
                                      <w:marBottom w:val="0"/>
                                      <w:divBdr>
                                        <w:top w:val="none" w:sz="0" w:space="0" w:color="auto"/>
                                        <w:left w:val="none" w:sz="0" w:space="0" w:color="auto"/>
                                        <w:bottom w:val="none" w:sz="0" w:space="0" w:color="auto"/>
                                        <w:right w:val="none" w:sz="0" w:space="0" w:color="auto"/>
                                      </w:divBdr>
                                    </w:div>
                                    <w:div w:id="2065257413">
                                      <w:marLeft w:val="0"/>
                                      <w:marRight w:val="0"/>
                                      <w:marTop w:val="0"/>
                                      <w:marBottom w:val="0"/>
                                      <w:divBdr>
                                        <w:top w:val="none" w:sz="0" w:space="0" w:color="auto"/>
                                        <w:left w:val="none" w:sz="0" w:space="0" w:color="auto"/>
                                        <w:bottom w:val="none" w:sz="0" w:space="0" w:color="auto"/>
                                        <w:right w:val="none" w:sz="0" w:space="0" w:color="auto"/>
                                      </w:divBdr>
                                    </w:div>
                                    <w:div w:id="2065326446">
                                      <w:marLeft w:val="0"/>
                                      <w:marRight w:val="0"/>
                                      <w:marTop w:val="0"/>
                                      <w:marBottom w:val="0"/>
                                      <w:divBdr>
                                        <w:top w:val="none" w:sz="0" w:space="0" w:color="auto"/>
                                        <w:left w:val="none" w:sz="0" w:space="0" w:color="auto"/>
                                        <w:bottom w:val="none" w:sz="0" w:space="0" w:color="auto"/>
                                        <w:right w:val="none" w:sz="0" w:space="0" w:color="auto"/>
                                      </w:divBdr>
                                    </w:div>
                                    <w:div w:id="2075738797">
                                      <w:marLeft w:val="0"/>
                                      <w:marRight w:val="0"/>
                                      <w:marTop w:val="0"/>
                                      <w:marBottom w:val="0"/>
                                      <w:divBdr>
                                        <w:top w:val="none" w:sz="0" w:space="0" w:color="auto"/>
                                        <w:left w:val="none" w:sz="0" w:space="0" w:color="auto"/>
                                        <w:bottom w:val="none" w:sz="0" w:space="0" w:color="auto"/>
                                        <w:right w:val="none" w:sz="0" w:space="0" w:color="auto"/>
                                      </w:divBdr>
                                    </w:div>
                                    <w:div w:id="2075815800">
                                      <w:marLeft w:val="0"/>
                                      <w:marRight w:val="0"/>
                                      <w:marTop w:val="0"/>
                                      <w:marBottom w:val="0"/>
                                      <w:divBdr>
                                        <w:top w:val="none" w:sz="0" w:space="0" w:color="auto"/>
                                        <w:left w:val="none" w:sz="0" w:space="0" w:color="auto"/>
                                        <w:bottom w:val="none" w:sz="0" w:space="0" w:color="auto"/>
                                        <w:right w:val="none" w:sz="0" w:space="0" w:color="auto"/>
                                      </w:divBdr>
                                    </w:div>
                                    <w:div w:id="2079017316">
                                      <w:marLeft w:val="0"/>
                                      <w:marRight w:val="0"/>
                                      <w:marTop w:val="0"/>
                                      <w:marBottom w:val="0"/>
                                      <w:divBdr>
                                        <w:top w:val="none" w:sz="0" w:space="0" w:color="auto"/>
                                        <w:left w:val="none" w:sz="0" w:space="0" w:color="auto"/>
                                        <w:bottom w:val="none" w:sz="0" w:space="0" w:color="auto"/>
                                        <w:right w:val="none" w:sz="0" w:space="0" w:color="auto"/>
                                      </w:divBdr>
                                    </w:div>
                                    <w:div w:id="2081707900">
                                      <w:marLeft w:val="0"/>
                                      <w:marRight w:val="0"/>
                                      <w:marTop w:val="0"/>
                                      <w:marBottom w:val="0"/>
                                      <w:divBdr>
                                        <w:top w:val="none" w:sz="0" w:space="0" w:color="auto"/>
                                        <w:left w:val="none" w:sz="0" w:space="0" w:color="auto"/>
                                        <w:bottom w:val="none" w:sz="0" w:space="0" w:color="auto"/>
                                        <w:right w:val="none" w:sz="0" w:space="0" w:color="auto"/>
                                      </w:divBdr>
                                    </w:div>
                                    <w:div w:id="2083327965">
                                      <w:marLeft w:val="0"/>
                                      <w:marRight w:val="0"/>
                                      <w:marTop w:val="0"/>
                                      <w:marBottom w:val="0"/>
                                      <w:divBdr>
                                        <w:top w:val="none" w:sz="0" w:space="0" w:color="auto"/>
                                        <w:left w:val="none" w:sz="0" w:space="0" w:color="auto"/>
                                        <w:bottom w:val="none" w:sz="0" w:space="0" w:color="auto"/>
                                        <w:right w:val="none" w:sz="0" w:space="0" w:color="auto"/>
                                      </w:divBdr>
                                    </w:div>
                                    <w:div w:id="2084832908">
                                      <w:marLeft w:val="0"/>
                                      <w:marRight w:val="0"/>
                                      <w:marTop w:val="0"/>
                                      <w:marBottom w:val="0"/>
                                      <w:divBdr>
                                        <w:top w:val="none" w:sz="0" w:space="0" w:color="auto"/>
                                        <w:left w:val="none" w:sz="0" w:space="0" w:color="auto"/>
                                        <w:bottom w:val="none" w:sz="0" w:space="0" w:color="auto"/>
                                        <w:right w:val="none" w:sz="0" w:space="0" w:color="auto"/>
                                      </w:divBdr>
                                    </w:div>
                                    <w:div w:id="2121220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8179464">
                              <w:marLeft w:val="0"/>
                              <w:marRight w:val="0"/>
                              <w:marTop w:val="0"/>
                              <w:marBottom w:val="0"/>
                              <w:divBdr>
                                <w:top w:val="none" w:sz="0" w:space="0" w:color="auto"/>
                                <w:left w:val="none" w:sz="0" w:space="0" w:color="auto"/>
                                <w:bottom w:val="none" w:sz="0" w:space="0" w:color="auto"/>
                                <w:right w:val="none" w:sz="0" w:space="0" w:color="auto"/>
                              </w:divBdr>
                            </w:div>
                            <w:div w:id="1038748525">
                              <w:marLeft w:val="0"/>
                              <w:marRight w:val="0"/>
                              <w:marTop w:val="0"/>
                              <w:marBottom w:val="0"/>
                              <w:divBdr>
                                <w:top w:val="none" w:sz="0" w:space="0" w:color="auto"/>
                                <w:left w:val="none" w:sz="0" w:space="0" w:color="auto"/>
                                <w:bottom w:val="none" w:sz="0" w:space="0" w:color="auto"/>
                                <w:right w:val="none" w:sz="0" w:space="0" w:color="auto"/>
                              </w:divBdr>
                            </w:div>
                            <w:div w:id="1108039027">
                              <w:marLeft w:val="0"/>
                              <w:marRight w:val="0"/>
                              <w:marTop w:val="0"/>
                              <w:marBottom w:val="0"/>
                              <w:divBdr>
                                <w:top w:val="none" w:sz="0" w:space="0" w:color="auto"/>
                                <w:left w:val="none" w:sz="0" w:space="0" w:color="auto"/>
                                <w:bottom w:val="none" w:sz="0" w:space="0" w:color="auto"/>
                                <w:right w:val="none" w:sz="0" w:space="0" w:color="auto"/>
                              </w:divBdr>
                            </w:div>
                            <w:div w:id="1108429987">
                              <w:marLeft w:val="0"/>
                              <w:marRight w:val="0"/>
                              <w:marTop w:val="0"/>
                              <w:marBottom w:val="0"/>
                              <w:divBdr>
                                <w:top w:val="none" w:sz="0" w:space="0" w:color="auto"/>
                                <w:left w:val="none" w:sz="0" w:space="0" w:color="auto"/>
                                <w:bottom w:val="none" w:sz="0" w:space="0" w:color="auto"/>
                                <w:right w:val="none" w:sz="0" w:space="0" w:color="auto"/>
                              </w:divBdr>
                            </w:div>
                            <w:div w:id="1134911959">
                              <w:marLeft w:val="0"/>
                              <w:marRight w:val="0"/>
                              <w:marTop w:val="0"/>
                              <w:marBottom w:val="0"/>
                              <w:divBdr>
                                <w:top w:val="none" w:sz="0" w:space="0" w:color="auto"/>
                                <w:left w:val="none" w:sz="0" w:space="0" w:color="auto"/>
                                <w:bottom w:val="none" w:sz="0" w:space="0" w:color="auto"/>
                                <w:right w:val="none" w:sz="0" w:space="0" w:color="auto"/>
                              </w:divBdr>
                            </w:div>
                            <w:div w:id="1151019022">
                              <w:marLeft w:val="0"/>
                              <w:marRight w:val="0"/>
                              <w:marTop w:val="0"/>
                              <w:marBottom w:val="0"/>
                              <w:divBdr>
                                <w:top w:val="none" w:sz="0" w:space="0" w:color="auto"/>
                                <w:left w:val="none" w:sz="0" w:space="0" w:color="auto"/>
                                <w:bottom w:val="none" w:sz="0" w:space="0" w:color="auto"/>
                                <w:right w:val="none" w:sz="0" w:space="0" w:color="auto"/>
                              </w:divBdr>
                            </w:div>
                            <w:div w:id="1160192362">
                              <w:marLeft w:val="0"/>
                              <w:marRight w:val="0"/>
                              <w:marTop w:val="0"/>
                              <w:marBottom w:val="0"/>
                              <w:divBdr>
                                <w:top w:val="none" w:sz="0" w:space="0" w:color="auto"/>
                                <w:left w:val="none" w:sz="0" w:space="0" w:color="auto"/>
                                <w:bottom w:val="none" w:sz="0" w:space="0" w:color="auto"/>
                                <w:right w:val="none" w:sz="0" w:space="0" w:color="auto"/>
                              </w:divBdr>
                            </w:div>
                            <w:div w:id="1204561329">
                              <w:marLeft w:val="0"/>
                              <w:marRight w:val="0"/>
                              <w:marTop w:val="0"/>
                              <w:marBottom w:val="0"/>
                              <w:divBdr>
                                <w:top w:val="none" w:sz="0" w:space="0" w:color="auto"/>
                                <w:left w:val="none" w:sz="0" w:space="0" w:color="auto"/>
                                <w:bottom w:val="none" w:sz="0" w:space="0" w:color="auto"/>
                                <w:right w:val="none" w:sz="0" w:space="0" w:color="auto"/>
                              </w:divBdr>
                            </w:div>
                            <w:div w:id="1221744731">
                              <w:marLeft w:val="0"/>
                              <w:marRight w:val="0"/>
                              <w:marTop w:val="0"/>
                              <w:marBottom w:val="0"/>
                              <w:divBdr>
                                <w:top w:val="none" w:sz="0" w:space="0" w:color="auto"/>
                                <w:left w:val="none" w:sz="0" w:space="0" w:color="auto"/>
                                <w:bottom w:val="none" w:sz="0" w:space="0" w:color="auto"/>
                                <w:right w:val="none" w:sz="0" w:space="0" w:color="auto"/>
                              </w:divBdr>
                            </w:div>
                            <w:div w:id="1231574062">
                              <w:marLeft w:val="0"/>
                              <w:marRight w:val="0"/>
                              <w:marTop w:val="0"/>
                              <w:marBottom w:val="0"/>
                              <w:divBdr>
                                <w:top w:val="none" w:sz="0" w:space="0" w:color="auto"/>
                                <w:left w:val="none" w:sz="0" w:space="0" w:color="auto"/>
                                <w:bottom w:val="none" w:sz="0" w:space="0" w:color="auto"/>
                                <w:right w:val="none" w:sz="0" w:space="0" w:color="auto"/>
                              </w:divBdr>
                            </w:div>
                            <w:div w:id="1232354880">
                              <w:marLeft w:val="0"/>
                              <w:marRight w:val="0"/>
                              <w:marTop w:val="0"/>
                              <w:marBottom w:val="0"/>
                              <w:divBdr>
                                <w:top w:val="none" w:sz="0" w:space="0" w:color="auto"/>
                                <w:left w:val="none" w:sz="0" w:space="0" w:color="auto"/>
                                <w:bottom w:val="none" w:sz="0" w:space="0" w:color="auto"/>
                                <w:right w:val="none" w:sz="0" w:space="0" w:color="auto"/>
                              </w:divBdr>
                            </w:div>
                            <w:div w:id="1363941629">
                              <w:marLeft w:val="0"/>
                              <w:marRight w:val="0"/>
                              <w:marTop w:val="0"/>
                              <w:marBottom w:val="0"/>
                              <w:divBdr>
                                <w:top w:val="none" w:sz="0" w:space="0" w:color="auto"/>
                                <w:left w:val="none" w:sz="0" w:space="0" w:color="auto"/>
                                <w:bottom w:val="none" w:sz="0" w:space="0" w:color="auto"/>
                                <w:right w:val="none" w:sz="0" w:space="0" w:color="auto"/>
                              </w:divBdr>
                            </w:div>
                            <w:div w:id="1409116465">
                              <w:marLeft w:val="0"/>
                              <w:marRight w:val="0"/>
                              <w:marTop w:val="0"/>
                              <w:marBottom w:val="0"/>
                              <w:divBdr>
                                <w:top w:val="none" w:sz="0" w:space="0" w:color="auto"/>
                                <w:left w:val="none" w:sz="0" w:space="0" w:color="auto"/>
                                <w:bottom w:val="none" w:sz="0" w:space="0" w:color="auto"/>
                                <w:right w:val="none" w:sz="0" w:space="0" w:color="auto"/>
                              </w:divBdr>
                            </w:div>
                            <w:div w:id="1559435688">
                              <w:marLeft w:val="0"/>
                              <w:marRight w:val="0"/>
                              <w:marTop w:val="0"/>
                              <w:marBottom w:val="0"/>
                              <w:divBdr>
                                <w:top w:val="none" w:sz="0" w:space="0" w:color="auto"/>
                                <w:left w:val="none" w:sz="0" w:space="0" w:color="auto"/>
                                <w:bottom w:val="none" w:sz="0" w:space="0" w:color="auto"/>
                                <w:right w:val="none" w:sz="0" w:space="0" w:color="auto"/>
                              </w:divBdr>
                            </w:div>
                            <w:div w:id="1595162062">
                              <w:marLeft w:val="0"/>
                              <w:marRight w:val="0"/>
                              <w:marTop w:val="0"/>
                              <w:marBottom w:val="0"/>
                              <w:divBdr>
                                <w:top w:val="none" w:sz="0" w:space="0" w:color="auto"/>
                                <w:left w:val="none" w:sz="0" w:space="0" w:color="auto"/>
                                <w:bottom w:val="none" w:sz="0" w:space="0" w:color="auto"/>
                                <w:right w:val="none" w:sz="0" w:space="0" w:color="auto"/>
                              </w:divBdr>
                            </w:div>
                            <w:div w:id="1608464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2263031">
                      <w:marLeft w:val="0"/>
                      <w:marRight w:val="0"/>
                      <w:marTop w:val="0"/>
                      <w:marBottom w:val="0"/>
                      <w:divBdr>
                        <w:top w:val="none" w:sz="0" w:space="0" w:color="auto"/>
                        <w:left w:val="none" w:sz="0" w:space="0" w:color="auto"/>
                        <w:bottom w:val="none" w:sz="0" w:space="0" w:color="auto"/>
                        <w:right w:val="none" w:sz="0" w:space="0" w:color="auto"/>
                      </w:divBdr>
                    </w:div>
                  </w:divsChild>
                </w:div>
                <w:div w:id="1003510800">
                  <w:marLeft w:val="0"/>
                  <w:marRight w:val="0"/>
                  <w:marTop w:val="0"/>
                  <w:marBottom w:val="0"/>
                  <w:divBdr>
                    <w:top w:val="none" w:sz="0" w:space="0" w:color="auto"/>
                    <w:left w:val="none" w:sz="0" w:space="0" w:color="auto"/>
                    <w:bottom w:val="none" w:sz="0" w:space="0" w:color="auto"/>
                    <w:right w:val="none" w:sz="0" w:space="0" w:color="auto"/>
                  </w:divBdr>
                  <w:divsChild>
                    <w:div w:id="286082445">
                      <w:marLeft w:val="0"/>
                      <w:marRight w:val="0"/>
                      <w:marTop w:val="0"/>
                      <w:marBottom w:val="0"/>
                      <w:divBdr>
                        <w:top w:val="none" w:sz="0" w:space="0" w:color="auto"/>
                        <w:left w:val="none" w:sz="0" w:space="0" w:color="auto"/>
                        <w:bottom w:val="none" w:sz="0" w:space="0" w:color="auto"/>
                        <w:right w:val="none" w:sz="0" w:space="0" w:color="auto"/>
                      </w:divBdr>
                      <w:divsChild>
                        <w:div w:id="774249337">
                          <w:marLeft w:val="0"/>
                          <w:marRight w:val="0"/>
                          <w:marTop w:val="0"/>
                          <w:marBottom w:val="0"/>
                          <w:divBdr>
                            <w:top w:val="none" w:sz="0" w:space="0" w:color="auto"/>
                            <w:left w:val="none" w:sz="0" w:space="0" w:color="auto"/>
                            <w:bottom w:val="none" w:sz="0" w:space="0" w:color="auto"/>
                            <w:right w:val="none" w:sz="0" w:space="0" w:color="auto"/>
                          </w:divBdr>
                        </w:div>
                        <w:div w:id="1214729553">
                          <w:marLeft w:val="0"/>
                          <w:marRight w:val="0"/>
                          <w:marTop w:val="0"/>
                          <w:marBottom w:val="0"/>
                          <w:divBdr>
                            <w:top w:val="none" w:sz="0" w:space="0" w:color="auto"/>
                            <w:left w:val="none" w:sz="0" w:space="0" w:color="auto"/>
                            <w:bottom w:val="none" w:sz="0" w:space="0" w:color="auto"/>
                            <w:right w:val="none" w:sz="0" w:space="0" w:color="auto"/>
                          </w:divBdr>
                        </w:div>
                        <w:div w:id="2144342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8851427">
              <w:marLeft w:val="0"/>
              <w:marRight w:val="0"/>
              <w:marTop w:val="0"/>
              <w:marBottom w:val="0"/>
              <w:divBdr>
                <w:top w:val="none" w:sz="0" w:space="0" w:color="auto"/>
                <w:left w:val="none" w:sz="0" w:space="0" w:color="auto"/>
                <w:bottom w:val="none" w:sz="0" w:space="0" w:color="auto"/>
                <w:right w:val="none" w:sz="0" w:space="0" w:color="auto"/>
              </w:divBdr>
              <w:divsChild>
                <w:div w:id="18698270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40300">
      <w:bodyDiv w:val="1"/>
      <w:marLeft w:val="0"/>
      <w:marRight w:val="0"/>
      <w:marTop w:val="0"/>
      <w:marBottom w:val="0"/>
      <w:divBdr>
        <w:top w:val="none" w:sz="0" w:space="0" w:color="auto"/>
        <w:left w:val="none" w:sz="0" w:space="0" w:color="auto"/>
        <w:bottom w:val="none" w:sz="0" w:space="0" w:color="auto"/>
        <w:right w:val="none" w:sz="0" w:space="0" w:color="auto"/>
      </w:divBdr>
      <w:divsChild>
        <w:div w:id="1207378636">
          <w:marLeft w:val="0"/>
          <w:marRight w:val="0"/>
          <w:marTop w:val="0"/>
          <w:marBottom w:val="0"/>
          <w:divBdr>
            <w:top w:val="none" w:sz="0" w:space="0" w:color="auto"/>
            <w:left w:val="none" w:sz="0" w:space="0" w:color="auto"/>
            <w:bottom w:val="none" w:sz="0" w:space="0" w:color="auto"/>
            <w:right w:val="none" w:sz="0" w:space="0" w:color="auto"/>
          </w:divBdr>
        </w:div>
        <w:div w:id="1314456321">
          <w:marLeft w:val="0"/>
          <w:marRight w:val="0"/>
          <w:marTop w:val="0"/>
          <w:marBottom w:val="0"/>
          <w:divBdr>
            <w:top w:val="none" w:sz="0" w:space="0" w:color="auto"/>
            <w:left w:val="none" w:sz="0" w:space="0" w:color="auto"/>
            <w:bottom w:val="none" w:sz="0" w:space="0" w:color="auto"/>
            <w:right w:val="none" w:sz="0" w:space="0" w:color="auto"/>
          </w:divBdr>
        </w:div>
      </w:divsChild>
    </w:div>
    <w:div w:id="19623346">
      <w:bodyDiv w:val="1"/>
      <w:marLeft w:val="0"/>
      <w:marRight w:val="0"/>
      <w:marTop w:val="0"/>
      <w:marBottom w:val="0"/>
      <w:divBdr>
        <w:top w:val="none" w:sz="0" w:space="0" w:color="auto"/>
        <w:left w:val="none" w:sz="0" w:space="0" w:color="auto"/>
        <w:bottom w:val="none" w:sz="0" w:space="0" w:color="auto"/>
        <w:right w:val="none" w:sz="0" w:space="0" w:color="auto"/>
      </w:divBdr>
    </w:div>
    <w:div w:id="22291534">
      <w:bodyDiv w:val="1"/>
      <w:marLeft w:val="0"/>
      <w:marRight w:val="0"/>
      <w:marTop w:val="0"/>
      <w:marBottom w:val="0"/>
      <w:divBdr>
        <w:top w:val="none" w:sz="0" w:space="0" w:color="auto"/>
        <w:left w:val="none" w:sz="0" w:space="0" w:color="auto"/>
        <w:bottom w:val="none" w:sz="0" w:space="0" w:color="auto"/>
        <w:right w:val="none" w:sz="0" w:space="0" w:color="auto"/>
      </w:divBdr>
    </w:div>
    <w:div w:id="32583673">
      <w:bodyDiv w:val="1"/>
      <w:marLeft w:val="0"/>
      <w:marRight w:val="0"/>
      <w:marTop w:val="0"/>
      <w:marBottom w:val="0"/>
      <w:divBdr>
        <w:top w:val="none" w:sz="0" w:space="0" w:color="auto"/>
        <w:left w:val="none" w:sz="0" w:space="0" w:color="auto"/>
        <w:bottom w:val="none" w:sz="0" w:space="0" w:color="auto"/>
        <w:right w:val="none" w:sz="0" w:space="0" w:color="auto"/>
      </w:divBdr>
    </w:div>
    <w:div w:id="33428237">
      <w:bodyDiv w:val="1"/>
      <w:marLeft w:val="0"/>
      <w:marRight w:val="0"/>
      <w:marTop w:val="0"/>
      <w:marBottom w:val="0"/>
      <w:divBdr>
        <w:top w:val="none" w:sz="0" w:space="0" w:color="auto"/>
        <w:left w:val="none" w:sz="0" w:space="0" w:color="auto"/>
        <w:bottom w:val="none" w:sz="0" w:space="0" w:color="auto"/>
        <w:right w:val="none" w:sz="0" w:space="0" w:color="auto"/>
      </w:divBdr>
    </w:div>
    <w:div w:id="35080622">
      <w:bodyDiv w:val="1"/>
      <w:marLeft w:val="0"/>
      <w:marRight w:val="0"/>
      <w:marTop w:val="0"/>
      <w:marBottom w:val="0"/>
      <w:divBdr>
        <w:top w:val="none" w:sz="0" w:space="0" w:color="auto"/>
        <w:left w:val="none" w:sz="0" w:space="0" w:color="auto"/>
        <w:bottom w:val="none" w:sz="0" w:space="0" w:color="auto"/>
        <w:right w:val="none" w:sz="0" w:space="0" w:color="auto"/>
      </w:divBdr>
    </w:div>
    <w:div w:id="35857793">
      <w:bodyDiv w:val="1"/>
      <w:marLeft w:val="0"/>
      <w:marRight w:val="0"/>
      <w:marTop w:val="0"/>
      <w:marBottom w:val="0"/>
      <w:divBdr>
        <w:top w:val="none" w:sz="0" w:space="0" w:color="auto"/>
        <w:left w:val="none" w:sz="0" w:space="0" w:color="auto"/>
        <w:bottom w:val="none" w:sz="0" w:space="0" w:color="auto"/>
        <w:right w:val="none" w:sz="0" w:space="0" w:color="auto"/>
      </w:divBdr>
      <w:divsChild>
        <w:div w:id="277610769">
          <w:marLeft w:val="0"/>
          <w:marRight w:val="0"/>
          <w:marTop w:val="0"/>
          <w:marBottom w:val="0"/>
          <w:divBdr>
            <w:top w:val="none" w:sz="0" w:space="0" w:color="auto"/>
            <w:left w:val="none" w:sz="0" w:space="0" w:color="auto"/>
            <w:bottom w:val="none" w:sz="0" w:space="0" w:color="auto"/>
            <w:right w:val="none" w:sz="0" w:space="0" w:color="auto"/>
          </w:divBdr>
        </w:div>
        <w:div w:id="2084177457">
          <w:marLeft w:val="0"/>
          <w:marRight w:val="0"/>
          <w:marTop w:val="0"/>
          <w:marBottom w:val="0"/>
          <w:divBdr>
            <w:top w:val="none" w:sz="0" w:space="0" w:color="auto"/>
            <w:left w:val="none" w:sz="0" w:space="0" w:color="auto"/>
            <w:bottom w:val="none" w:sz="0" w:space="0" w:color="auto"/>
            <w:right w:val="none" w:sz="0" w:space="0" w:color="auto"/>
          </w:divBdr>
        </w:div>
      </w:divsChild>
    </w:div>
    <w:div w:id="37751146">
      <w:bodyDiv w:val="1"/>
      <w:marLeft w:val="0"/>
      <w:marRight w:val="0"/>
      <w:marTop w:val="0"/>
      <w:marBottom w:val="0"/>
      <w:divBdr>
        <w:top w:val="none" w:sz="0" w:space="0" w:color="auto"/>
        <w:left w:val="none" w:sz="0" w:space="0" w:color="auto"/>
        <w:bottom w:val="none" w:sz="0" w:space="0" w:color="auto"/>
        <w:right w:val="none" w:sz="0" w:space="0" w:color="auto"/>
      </w:divBdr>
    </w:div>
    <w:div w:id="42414636">
      <w:bodyDiv w:val="1"/>
      <w:marLeft w:val="0"/>
      <w:marRight w:val="0"/>
      <w:marTop w:val="0"/>
      <w:marBottom w:val="0"/>
      <w:divBdr>
        <w:top w:val="none" w:sz="0" w:space="0" w:color="auto"/>
        <w:left w:val="none" w:sz="0" w:space="0" w:color="auto"/>
        <w:bottom w:val="none" w:sz="0" w:space="0" w:color="auto"/>
        <w:right w:val="none" w:sz="0" w:space="0" w:color="auto"/>
      </w:divBdr>
      <w:divsChild>
        <w:div w:id="350182711">
          <w:marLeft w:val="0"/>
          <w:marRight w:val="0"/>
          <w:marTop w:val="0"/>
          <w:marBottom w:val="0"/>
          <w:divBdr>
            <w:top w:val="none" w:sz="0" w:space="0" w:color="auto"/>
            <w:left w:val="none" w:sz="0" w:space="0" w:color="auto"/>
            <w:bottom w:val="none" w:sz="0" w:space="0" w:color="auto"/>
            <w:right w:val="none" w:sz="0" w:space="0" w:color="auto"/>
          </w:divBdr>
        </w:div>
        <w:div w:id="662316022">
          <w:marLeft w:val="0"/>
          <w:marRight w:val="0"/>
          <w:marTop w:val="0"/>
          <w:marBottom w:val="0"/>
          <w:divBdr>
            <w:top w:val="none" w:sz="0" w:space="0" w:color="auto"/>
            <w:left w:val="none" w:sz="0" w:space="0" w:color="auto"/>
            <w:bottom w:val="none" w:sz="0" w:space="0" w:color="auto"/>
            <w:right w:val="none" w:sz="0" w:space="0" w:color="auto"/>
          </w:divBdr>
        </w:div>
        <w:div w:id="782069264">
          <w:marLeft w:val="0"/>
          <w:marRight w:val="0"/>
          <w:marTop w:val="0"/>
          <w:marBottom w:val="0"/>
          <w:divBdr>
            <w:top w:val="none" w:sz="0" w:space="0" w:color="auto"/>
            <w:left w:val="none" w:sz="0" w:space="0" w:color="auto"/>
            <w:bottom w:val="none" w:sz="0" w:space="0" w:color="auto"/>
            <w:right w:val="none" w:sz="0" w:space="0" w:color="auto"/>
          </w:divBdr>
        </w:div>
        <w:div w:id="1070078141">
          <w:marLeft w:val="0"/>
          <w:marRight w:val="0"/>
          <w:marTop w:val="0"/>
          <w:marBottom w:val="0"/>
          <w:divBdr>
            <w:top w:val="none" w:sz="0" w:space="0" w:color="auto"/>
            <w:left w:val="none" w:sz="0" w:space="0" w:color="auto"/>
            <w:bottom w:val="none" w:sz="0" w:space="0" w:color="auto"/>
            <w:right w:val="none" w:sz="0" w:space="0" w:color="auto"/>
          </w:divBdr>
        </w:div>
      </w:divsChild>
    </w:div>
    <w:div w:id="46077475">
      <w:bodyDiv w:val="1"/>
      <w:marLeft w:val="0"/>
      <w:marRight w:val="0"/>
      <w:marTop w:val="0"/>
      <w:marBottom w:val="0"/>
      <w:divBdr>
        <w:top w:val="none" w:sz="0" w:space="0" w:color="auto"/>
        <w:left w:val="none" w:sz="0" w:space="0" w:color="auto"/>
        <w:bottom w:val="none" w:sz="0" w:space="0" w:color="auto"/>
        <w:right w:val="none" w:sz="0" w:space="0" w:color="auto"/>
      </w:divBdr>
    </w:div>
    <w:div w:id="46490788">
      <w:bodyDiv w:val="1"/>
      <w:marLeft w:val="0"/>
      <w:marRight w:val="0"/>
      <w:marTop w:val="0"/>
      <w:marBottom w:val="0"/>
      <w:divBdr>
        <w:top w:val="none" w:sz="0" w:space="0" w:color="auto"/>
        <w:left w:val="none" w:sz="0" w:space="0" w:color="auto"/>
        <w:bottom w:val="none" w:sz="0" w:space="0" w:color="auto"/>
        <w:right w:val="none" w:sz="0" w:space="0" w:color="auto"/>
      </w:divBdr>
    </w:div>
    <w:div w:id="46954113">
      <w:bodyDiv w:val="1"/>
      <w:marLeft w:val="0"/>
      <w:marRight w:val="0"/>
      <w:marTop w:val="0"/>
      <w:marBottom w:val="0"/>
      <w:divBdr>
        <w:top w:val="none" w:sz="0" w:space="0" w:color="auto"/>
        <w:left w:val="none" w:sz="0" w:space="0" w:color="auto"/>
        <w:bottom w:val="none" w:sz="0" w:space="0" w:color="auto"/>
        <w:right w:val="none" w:sz="0" w:space="0" w:color="auto"/>
      </w:divBdr>
      <w:divsChild>
        <w:div w:id="1773740578">
          <w:marLeft w:val="0"/>
          <w:marRight w:val="0"/>
          <w:marTop w:val="0"/>
          <w:marBottom w:val="0"/>
          <w:divBdr>
            <w:top w:val="none" w:sz="0" w:space="0" w:color="auto"/>
            <w:left w:val="none" w:sz="0" w:space="0" w:color="auto"/>
            <w:bottom w:val="none" w:sz="0" w:space="0" w:color="auto"/>
            <w:right w:val="none" w:sz="0" w:space="0" w:color="auto"/>
          </w:divBdr>
        </w:div>
      </w:divsChild>
    </w:div>
    <w:div w:id="58789150">
      <w:bodyDiv w:val="1"/>
      <w:marLeft w:val="0"/>
      <w:marRight w:val="0"/>
      <w:marTop w:val="0"/>
      <w:marBottom w:val="0"/>
      <w:divBdr>
        <w:top w:val="none" w:sz="0" w:space="0" w:color="auto"/>
        <w:left w:val="none" w:sz="0" w:space="0" w:color="auto"/>
        <w:bottom w:val="none" w:sz="0" w:space="0" w:color="auto"/>
        <w:right w:val="none" w:sz="0" w:space="0" w:color="auto"/>
      </w:divBdr>
      <w:divsChild>
        <w:div w:id="429398294">
          <w:marLeft w:val="0"/>
          <w:marRight w:val="0"/>
          <w:marTop w:val="0"/>
          <w:marBottom w:val="0"/>
          <w:divBdr>
            <w:top w:val="none" w:sz="0" w:space="0" w:color="auto"/>
            <w:left w:val="none" w:sz="0" w:space="0" w:color="auto"/>
            <w:bottom w:val="none" w:sz="0" w:space="0" w:color="auto"/>
            <w:right w:val="none" w:sz="0" w:space="0" w:color="auto"/>
          </w:divBdr>
        </w:div>
        <w:div w:id="1605072310">
          <w:marLeft w:val="0"/>
          <w:marRight w:val="0"/>
          <w:marTop w:val="0"/>
          <w:marBottom w:val="0"/>
          <w:divBdr>
            <w:top w:val="none" w:sz="0" w:space="0" w:color="auto"/>
            <w:left w:val="none" w:sz="0" w:space="0" w:color="auto"/>
            <w:bottom w:val="none" w:sz="0" w:space="0" w:color="auto"/>
            <w:right w:val="none" w:sz="0" w:space="0" w:color="auto"/>
          </w:divBdr>
        </w:div>
      </w:divsChild>
    </w:div>
    <w:div w:id="60253105">
      <w:bodyDiv w:val="1"/>
      <w:marLeft w:val="0"/>
      <w:marRight w:val="0"/>
      <w:marTop w:val="0"/>
      <w:marBottom w:val="0"/>
      <w:divBdr>
        <w:top w:val="none" w:sz="0" w:space="0" w:color="auto"/>
        <w:left w:val="none" w:sz="0" w:space="0" w:color="auto"/>
        <w:bottom w:val="none" w:sz="0" w:space="0" w:color="auto"/>
        <w:right w:val="none" w:sz="0" w:space="0" w:color="auto"/>
      </w:divBdr>
    </w:div>
    <w:div w:id="62415506">
      <w:bodyDiv w:val="1"/>
      <w:marLeft w:val="0"/>
      <w:marRight w:val="0"/>
      <w:marTop w:val="0"/>
      <w:marBottom w:val="0"/>
      <w:divBdr>
        <w:top w:val="none" w:sz="0" w:space="0" w:color="auto"/>
        <w:left w:val="none" w:sz="0" w:space="0" w:color="auto"/>
        <w:bottom w:val="none" w:sz="0" w:space="0" w:color="auto"/>
        <w:right w:val="none" w:sz="0" w:space="0" w:color="auto"/>
      </w:divBdr>
    </w:div>
    <w:div w:id="64375975">
      <w:bodyDiv w:val="1"/>
      <w:marLeft w:val="0"/>
      <w:marRight w:val="0"/>
      <w:marTop w:val="0"/>
      <w:marBottom w:val="0"/>
      <w:divBdr>
        <w:top w:val="none" w:sz="0" w:space="0" w:color="auto"/>
        <w:left w:val="none" w:sz="0" w:space="0" w:color="auto"/>
        <w:bottom w:val="none" w:sz="0" w:space="0" w:color="auto"/>
        <w:right w:val="none" w:sz="0" w:space="0" w:color="auto"/>
      </w:divBdr>
      <w:divsChild>
        <w:div w:id="852568734">
          <w:marLeft w:val="0"/>
          <w:marRight w:val="0"/>
          <w:marTop w:val="0"/>
          <w:marBottom w:val="0"/>
          <w:divBdr>
            <w:top w:val="none" w:sz="0" w:space="0" w:color="auto"/>
            <w:left w:val="none" w:sz="0" w:space="0" w:color="auto"/>
            <w:bottom w:val="none" w:sz="0" w:space="0" w:color="auto"/>
            <w:right w:val="none" w:sz="0" w:space="0" w:color="auto"/>
          </w:divBdr>
        </w:div>
        <w:div w:id="893853489">
          <w:marLeft w:val="0"/>
          <w:marRight w:val="0"/>
          <w:marTop w:val="0"/>
          <w:marBottom w:val="0"/>
          <w:divBdr>
            <w:top w:val="none" w:sz="0" w:space="0" w:color="auto"/>
            <w:left w:val="none" w:sz="0" w:space="0" w:color="auto"/>
            <w:bottom w:val="none" w:sz="0" w:space="0" w:color="auto"/>
            <w:right w:val="none" w:sz="0" w:space="0" w:color="auto"/>
          </w:divBdr>
        </w:div>
      </w:divsChild>
    </w:div>
    <w:div w:id="66537282">
      <w:bodyDiv w:val="1"/>
      <w:marLeft w:val="0"/>
      <w:marRight w:val="0"/>
      <w:marTop w:val="0"/>
      <w:marBottom w:val="0"/>
      <w:divBdr>
        <w:top w:val="none" w:sz="0" w:space="0" w:color="auto"/>
        <w:left w:val="none" w:sz="0" w:space="0" w:color="auto"/>
        <w:bottom w:val="none" w:sz="0" w:space="0" w:color="auto"/>
        <w:right w:val="none" w:sz="0" w:space="0" w:color="auto"/>
      </w:divBdr>
    </w:div>
    <w:div w:id="71434377">
      <w:bodyDiv w:val="1"/>
      <w:marLeft w:val="0"/>
      <w:marRight w:val="0"/>
      <w:marTop w:val="0"/>
      <w:marBottom w:val="0"/>
      <w:divBdr>
        <w:top w:val="none" w:sz="0" w:space="0" w:color="auto"/>
        <w:left w:val="none" w:sz="0" w:space="0" w:color="auto"/>
        <w:bottom w:val="none" w:sz="0" w:space="0" w:color="auto"/>
        <w:right w:val="none" w:sz="0" w:space="0" w:color="auto"/>
      </w:divBdr>
    </w:div>
    <w:div w:id="77413235">
      <w:bodyDiv w:val="1"/>
      <w:marLeft w:val="0"/>
      <w:marRight w:val="0"/>
      <w:marTop w:val="0"/>
      <w:marBottom w:val="0"/>
      <w:divBdr>
        <w:top w:val="none" w:sz="0" w:space="0" w:color="auto"/>
        <w:left w:val="none" w:sz="0" w:space="0" w:color="auto"/>
        <w:bottom w:val="none" w:sz="0" w:space="0" w:color="auto"/>
        <w:right w:val="none" w:sz="0" w:space="0" w:color="auto"/>
      </w:divBdr>
    </w:div>
    <w:div w:id="79956930">
      <w:bodyDiv w:val="1"/>
      <w:marLeft w:val="0"/>
      <w:marRight w:val="0"/>
      <w:marTop w:val="0"/>
      <w:marBottom w:val="0"/>
      <w:divBdr>
        <w:top w:val="none" w:sz="0" w:space="0" w:color="auto"/>
        <w:left w:val="none" w:sz="0" w:space="0" w:color="auto"/>
        <w:bottom w:val="none" w:sz="0" w:space="0" w:color="auto"/>
        <w:right w:val="none" w:sz="0" w:space="0" w:color="auto"/>
      </w:divBdr>
    </w:div>
    <w:div w:id="81462214">
      <w:bodyDiv w:val="1"/>
      <w:marLeft w:val="0"/>
      <w:marRight w:val="0"/>
      <w:marTop w:val="0"/>
      <w:marBottom w:val="0"/>
      <w:divBdr>
        <w:top w:val="none" w:sz="0" w:space="0" w:color="auto"/>
        <w:left w:val="none" w:sz="0" w:space="0" w:color="auto"/>
        <w:bottom w:val="none" w:sz="0" w:space="0" w:color="auto"/>
        <w:right w:val="none" w:sz="0" w:space="0" w:color="auto"/>
      </w:divBdr>
    </w:div>
    <w:div w:id="85268180">
      <w:bodyDiv w:val="1"/>
      <w:marLeft w:val="0"/>
      <w:marRight w:val="0"/>
      <w:marTop w:val="0"/>
      <w:marBottom w:val="0"/>
      <w:divBdr>
        <w:top w:val="none" w:sz="0" w:space="0" w:color="auto"/>
        <w:left w:val="none" w:sz="0" w:space="0" w:color="auto"/>
        <w:bottom w:val="none" w:sz="0" w:space="0" w:color="auto"/>
        <w:right w:val="none" w:sz="0" w:space="0" w:color="auto"/>
      </w:divBdr>
    </w:div>
    <w:div w:id="91558461">
      <w:bodyDiv w:val="1"/>
      <w:marLeft w:val="0"/>
      <w:marRight w:val="0"/>
      <w:marTop w:val="0"/>
      <w:marBottom w:val="0"/>
      <w:divBdr>
        <w:top w:val="none" w:sz="0" w:space="0" w:color="auto"/>
        <w:left w:val="none" w:sz="0" w:space="0" w:color="auto"/>
        <w:bottom w:val="none" w:sz="0" w:space="0" w:color="auto"/>
        <w:right w:val="none" w:sz="0" w:space="0" w:color="auto"/>
      </w:divBdr>
      <w:divsChild>
        <w:div w:id="1091270834">
          <w:marLeft w:val="0"/>
          <w:marRight w:val="0"/>
          <w:marTop w:val="0"/>
          <w:marBottom w:val="0"/>
          <w:divBdr>
            <w:top w:val="none" w:sz="0" w:space="0" w:color="auto"/>
            <w:left w:val="none" w:sz="0" w:space="0" w:color="auto"/>
            <w:bottom w:val="none" w:sz="0" w:space="0" w:color="auto"/>
            <w:right w:val="none" w:sz="0" w:space="0" w:color="auto"/>
          </w:divBdr>
        </w:div>
        <w:div w:id="1517500575">
          <w:marLeft w:val="0"/>
          <w:marRight w:val="0"/>
          <w:marTop w:val="0"/>
          <w:marBottom w:val="0"/>
          <w:divBdr>
            <w:top w:val="none" w:sz="0" w:space="0" w:color="auto"/>
            <w:left w:val="none" w:sz="0" w:space="0" w:color="auto"/>
            <w:bottom w:val="none" w:sz="0" w:space="0" w:color="auto"/>
            <w:right w:val="none" w:sz="0" w:space="0" w:color="auto"/>
          </w:divBdr>
        </w:div>
        <w:div w:id="1740252269">
          <w:marLeft w:val="0"/>
          <w:marRight w:val="0"/>
          <w:marTop w:val="0"/>
          <w:marBottom w:val="0"/>
          <w:divBdr>
            <w:top w:val="none" w:sz="0" w:space="0" w:color="auto"/>
            <w:left w:val="none" w:sz="0" w:space="0" w:color="auto"/>
            <w:bottom w:val="none" w:sz="0" w:space="0" w:color="auto"/>
            <w:right w:val="none" w:sz="0" w:space="0" w:color="auto"/>
          </w:divBdr>
        </w:div>
      </w:divsChild>
    </w:div>
    <w:div w:id="94836467">
      <w:bodyDiv w:val="1"/>
      <w:marLeft w:val="0"/>
      <w:marRight w:val="0"/>
      <w:marTop w:val="0"/>
      <w:marBottom w:val="0"/>
      <w:divBdr>
        <w:top w:val="none" w:sz="0" w:space="0" w:color="auto"/>
        <w:left w:val="none" w:sz="0" w:space="0" w:color="auto"/>
        <w:bottom w:val="none" w:sz="0" w:space="0" w:color="auto"/>
        <w:right w:val="none" w:sz="0" w:space="0" w:color="auto"/>
      </w:divBdr>
      <w:divsChild>
        <w:div w:id="840051295">
          <w:marLeft w:val="0"/>
          <w:marRight w:val="0"/>
          <w:marTop w:val="0"/>
          <w:marBottom w:val="0"/>
          <w:divBdr>
            <w:top w:val="none" w:sz="0" w:space="0" w:color="auto"/>
            <w:left w:val="none" w:sz="0" w:space="0" w:color="auto"/>
            <w:bottom w:val="none" w:sz="0" w:space="0" w:color="auto"/>
            <w:right w:val="none" w:sz="0" w:space="0" w:color="auto"/>
          </w:divBdr>
        </w:div>
        <w:div w:id="1256477863">
          <w:marLeft w:val="0"/>
          <w:marRight w:val="0"/>
          <w:marTop w:val="0"/>
          <w:marBottom w:val="0"/>
          <w:divBdr>
            <w:top w:val="none" w:sz="0" w:space="0" w:color="auto"/>
            <w:left w:val="none" w:sz="0" w:space="0" w:color="auto"/>
            <w:bottom w:val="none" w:sz="0" w:space="0" w:color="auto"/>
            <w:right w:val="none" w:sz="0" w:space="0" w:color="auto"/>
          </w:divBdr>
        </w:div>
      </w:divsChild>
    </w:div>
    <w:div w:id="95367407">
      <w:bodyDiv w:val="1"/>
      <w:marLeft w:val="0"/>
      <w:marRight w:val="0"/>
      <w:marTop w:val="0"/>
      <w:marBottom w:val="0"/>
      <w:divBdr>
        <w:top w:val="none" w:sz="0" w:space="0" w:color="auto"/>
        <w:left w:val="none" w:sz="0" w:space="0" w:color="auto"/>
        <w:bottom w:val="none" w:sz="0" w:space="0" w:color="auto"/>
        <w:right w:val="none" w:sz="0" w:space="0" w:color="auto"/>
      </w:divBdr>
    </w:div>
    <w:div w:id="95757179">
      <w:bodyDiv w:val="1"/>
      <w:marLeft w:val="0"/>
      <w:marRight w:val="0"/>
      <w:marTop w:val="0"/>
      <w:marBottom w:val="0"/>
      <w:divBdr>
        <w:top w:val="none" w:sz="0" w:space="0" w:color="auto"/>
        <w:left w:val="none" w:sz="0" w:space="0" w:color="auto"/>
        <w:bottom w:val="none" w:sz="0" w:space="0" w:color="auto"/>
        <w:right w:val="none" w:sz="0" w:space="0" w:color="auto"/>
      </w:divBdr>
    </w:div>
    <w:div w:id="97989548">
      <w:bodyDiv w:val="1"/>
      <w:marLeft w:val="0"/>
      <w:marRight w:val="0"/>
      <w:marTop w:val="0"/>
      <w:marBottom w:val="0"/>
      <w:divBdr>
        <w:top w:val="none" w:sz="0" w:space="0" w:color="auto"/>
        <w:left w:val="none" w:sz="0" w:space="0" w:color="auto"/>
        <w:bottom w:val="none" w:sz="0" w:space="0" w:color="auto"/>
        <w:right w:val="none" w:sz="0" w:space="0" w:color="auto"/>
      </w:divBdr>
    </w:div>
    <w:div w:id="99179619">
      <w:bodyDiv w:val="1"/>
      <w:marLeft w:val="0"/>
      <w:marRight w:val="0"/>
      <w:marTop w:val="0"/>
      <w:marBottom w:val="0"/>
      <w:divBdr>
        <w:top w:val="none" w:sz="0" w:space="0" w:color="auto"/>
        <w:left w:val="none" w:sz="0" w:space="0" w:color="auto"/>
        <w:bottom w:val="none" w:sz="0" w:space="0" w:color="auto"/>
        <w:right w:val="none" w:sz="0" w:space="0" w:color="auto"/>
      </w:divBdr>
      <w:divsChild>
        <w:div w:id="314645317">
          <w:marLeft w:val="0"/>
          <w:marRight w:val="0"/>
          <w:marTop w:val="0"/>
          <w:marBottom w:val="0"/>
          <w:divBdr>
            <w:top w:val="none" w:sz="0" w:space="0" w:color="auto"/>
            <w:left w:val="none" w:sz="0" w:space="0" w:color="auto"/>
            <w:bottom w:val="none" w:sz="0" w:space="0" w:color="auto"/>
            <w:right w:val="none" w:sz="0" w:space="0" w:color="auto"/>
          </w:divBdr>
        </w:div>
        <w:div w:id="1167868386">
          <w:marLeft w:val="0"/>
          <w:marRight w:val="0"/>
          <w:marTop w:val="0"/>
          <w:marBottom w:val="0"/>
          <w:divBdr>
            <w:top w:val="none" w:sz="0" w:space="0" w:color="auto"/>
            <w:left w:val="none" w:sz="0" w:space="0" w:color="auto"/>
            <w:bottom w:val="none" w:sz="0" w:space="0" w:color="auto"/>
            <w:right w:val="none" w:sz="0" w:space="0" w:color="auto"/>
          </w:divBdr>
        </w:div>
      </w:divsChild>
    </w:div>
    <w:div w:id="103576436">
      <w:bodyDiv w:val="1"/>
      <w:marLeft w:val="0"/>
      <w:marRight w:val="0"/>
      <w:marTop w:val="0"/>
      <w:marBottom w:val="0"/>
      <w:divBdr>
        <w:top w:val="none" w:sz="0" w:space="0" w:color="auto"/>
        <w:left w:val="none" w:sz="0" w:space="0" w:color="auto"/>
        <w:bottom w:val="none" w:sz="0" w:space="0" w:color="auto"/>
        <w:right w:val="none" w:sz="0" w:space="0" w:color="auto"/>
      </w:divBdr>
    </w:div>
    <w:div w:id="108938405">
      <w:bodyDiv w:val="1"/>
      <w:marLeft w:val="0"/>
      <w:marRight w:val="0"/>
      <w:marTop w:val="0"/>
      <w:marBottom w:val="0"/>
      <w:divBdr>
        <w:top w:val="none" w:sz="0" w:space="0" w:color="auto"/>
        <w:left w:val="none" w:sz="0" w:space="0" w:color="auto"/>
        <w:bottom w:val="none" w:sz="0" w:space="0" w:color="auto"/>
        <w:right w:val="none" w:sz="0" w:space="0" w:color="auto"/>
      </w:divBdr>
    </w:div>
    <w:div w:id="109084414">
      <w:bodyDiv w:val="1"/>
      <w:marLeft w:val="0"/>
      <w:marRight w:val="0"/>
      <w:marTop w:val="0"/>
      <w:marBottom w:val="0"/>
      <w:divBdr>
        <w:top w:val="none" w:sz="0" w:space="0" w:color="auto"/>
        <w:left w:val="none" w:sz="0" w:space="0" w:color="auto"/>
        <w:bottom w:val="none" w:sz="0" w:space="0" w:color="auto"/>
        <w:right w:val="none" w:sz="0" w:space="0" w:color="auto"/>
      </w:divBdr>
    </w:div>
    <w:div w:id="110514823">
      <w:bodyDiv w:val="1"/>
      <w:marLeft w:val="0"/>
      <w:marRight w:val="0"/>
      <w:marTop w:val="0"/>
      <w:marBottom w:val="0"/>
      <w:divBdr>
        <w:top w:val="none" w:sz="0" w:space="0" w:color="auto"/>
        <w:left w:val="none" w:sz="0" w:space="0" w:color="auto"/>
        <w:bottom w:val="none" w:sz="0" w:space="0" w:color="auto"/>
        <w:right w:val="none" w:sz="0" w:space="0" w:color="auto"/>
      </w:divBdr>
    </w:div>
    <w:div w:id="111902710">
      <w:bodyDiv w:val="1"/>
      <w:marLeft w:val="0"/>
      <w:marRight w:val="0"/>
      <w:marTop w:val="0"/>
      <w:marBottom w:val="0"/>
      <w:divBdr>
        <w:top w:val="none" w:sz="0" w:space="0" w:color="auto"/>
        <w:left w:val="none" w:sz="0" w:space="0" w:color="auto"/>
        <w:bottom w:val="none" w:sz="0" w:space="0" w:color="auto"/>
        <w:right w:val="none" w:sz="0" w:space="0" w:color="auto"/>
      </w:divBdr>
      <w:divsChild>
        <w:div w:id="274603486">
          <w:marLeft w:val="0"/>
          <w:marRight w:val="0"/>
          <w:marTop w:val="0"/>
          <w:marBottom w:val="0"/>
          <w:divBdr>
            <w:top w:val="none" w:sz="0" w:space="0" w:color="auto"/>
            <w:left w:val="none" w:sz="0" w:space="0" w:color="auto"/>
            <w:bottom w:val="none" w:sz="0" w:space="0" w:color="auto"/>
            <w:right w:val="none" w:sz="0" w:space="0" w:color="auto"/>
          </w:divBdr>
        </w:div>
        <w:div w:id="1681850592">
          <w:marLeft w:val="0"/>
          <w:marRight w:val="0"/>
          <w:marTop w:val="0"/>
          <w:marBottom w:val="0"/>
          <w:divBdr>
            <w:top w:val="none" w:sz="0" w:space="0" w:color="auto"/>
            <w:left w:val="none" w:sz="0" w:space="0" w:color="auto"/>
            <w:bottom w:val="none" w:sz="0" w:space="0" w:color="auto"/>
            <w:right w:val="none" w:sz="0" w:space="0" w:color="auto"/>
          </w:divBdr>
        </w:div>
      </w:divsChild>
    </w:div>
    <w:div w:id="112939658">
      <w:bodyDiv w:val="1"/>
      <w:marLeft w:val="0"/>
      <w:marRight w:val="0"/>
      <w:marTop w:val="0"/>
      <w:marBottom w:val="0"/>
      <w:divBdr>
        <w:top w:val="none" w:sz="0" w:space="0" w:color="auto"/>
        <w:left w:val="none" w:sz="0" w:space="0" w:color="auto"/>
        <w:bottom w:val="none" w:sz="0" w:space="0" w:color="auto"/>
        <w:right w:val="none" w:sz="0" w:space="0" w:color="auto"/>
      </w:divBdr>
      <w:divsChild>
        <w:div w:id="1420251459">
          <w:marLeft w:val="0"/>
          <w:marRight w:val="0"/>
          <w:marTop w:val="0"/>
          <w:marBottom w:val="0"/>
          <w:divBdr>
            <w:top w:val="none" w:sz="0" w:space="0" w:color="auto"/>
            <w:left w:val="none" w:sz="0" w:space="0" w:color="auto"/>
            <w:bottom w:val="none" w:sz="0" w:space="0" w:color="auto"/>
            <w:right w:val="none" w:sz="0" w:space="0" w:color="auto"/>
          </w:divBdr>
        </w:div>
        <w:div w:id="1580551896">
          <w:marLeft w:val="0"/>
          <w:marRight w:val="0"/>
          <w:marTop w:val="0"/>
          <w:marBottom w:val="0"/>
          <w:divBdr>
            <w:top w:val="none" w:sz="0" w:space="0" w:color="auto"/>
            <w:left w:val="none" w:sz="0" w:space="0" w:color="auto"/>
            <w:bottom w:val="none" w:sz="0" w:space="0" w:color="auto"/>
            <w:right w:val="none" w:sz="0" w:space="0" w:color="auto"/>
          </w:divBdr>
        </w:div>
      </w:divsChild>
    </w:div>
    <w:div w:id="114450736">
      <w:bodyDiv w:val="1"/>
      <w:marLeft w:val="0"/>
      <w:marRight w:val="0"/>
      <w:marTop w:val="0"/>
      <w:marBottom w:val="0"/>
      <w:divBdr>
        <w:top w:val="none" w:sz="0" w:space="0" w:color="auto"/>
        <w:left w:val="none" w:sz="0" w:space="0" w:color="auto"/>
        <w:bottom w:val="none" w:sz="0" w:space="0" w:color="auto"/>
        <w:right w:val="none" w:sz="0" w:space="0" w:color="auto"/>
      </w:divBdr>
      <w:divsChild>
        <w:div w:id="51000951">
          <w:marLeft w:val="0"/>
          <w:marRight w:val="0"/>
          <w:marTop w:val="0"/>
          <w:marBottom w:val="0"/>
          <w:divBdr>
            <w:top w:val="none" w:sz="0" w:space="0" w:color="auto"/>
            <w:left w:val="none" w:sz="0" w:space="0" w:color="auto"/>
            <w:bottom w:val="none" w:sz="0" w:space="0" w:color="auto"/>
            <w:right w:val="none" w:sz="0" w:space="0" w:color="auto"/>
          </w:divBdr>
        </w:div>
        <w:div w:id="379088074">
          <w:marLeft w:val="0"/>
          <w:marRight w:val="0"/>
          <w:marTop w:val="0"/>
          <w:marBottom w:val="0"/>
          <w:divBdr>
            <w:top w:val="none" w:sz="0" w:space="0" w:color="auto"/>
            <w:left w:val="none" w:sz="0" w:space="0" w:color="auto"/>
            <w:bottom w:val="none" w:sz="0" w:space="0" w:color="auto"/>
            <w:right w:val="none" w:sz="0" w:space="0" w:color="auto"/>
          </w:divBdr>
        </w:div>
        <w:div w:id="720641636">
          <w:marLeft w:val="0"/>
          <w:marRight w:val="0"/>
          <w:marTop w:val="0"/>
          <w:marBottom w:val="0"/>
          <w:divBdr>
            <w:top w:val="none" w:sz="0" w:space="0" w:color="auto"/>
            <w:left w:val="none" w:sz="0" w:space="0" w:color="auto"/>
            <w:bottom w:val="none" w:sz="0" w:space="0" w:color="auto"/>
            <w:right w:val="none" w:sz="0" w:space="0" w:color="auto"/>
          </w:divBdr>
        </w:div>
      </w:divsChild>
    </w:div>
    <w:div w:id="114956145">
      <w:bodyDiv w:val="1"/>
      <w:marLeft w:val="0"/>
      <w:marRight w:val="0"/>
      <w:marTop w:val="0"/>
      <w:marBottom w:val="0"/>
      <w:divBdr>
        <w:top w:val="none" w:sz="0" w:space="0" w:color="auto"/>
        <w:left w:val="none" w:sz="0" w:space="0" w:color="auto"/>
        <w:bottom w:val="none" w:sz="0" w:space="0" w:color="auto"/>
        <w:right w:val="none" w:sz="0" w:space="0" w:color="auto"/>
      </w:divBdr>
    </w:div>
    <w:div w:id="116871509">
      <w:bodyDiv w:val="1"/>
      <w:marLeft w:val="0"/>
      <w:marRight w:val="0"/>
      <w:marTop w:val="0"/>
      <w:marBottom w:val="0"/>
      <w:divBdr>
        <w:top w:val="none" w:sz="0" w:space="0" w:color="auto"/>
        <w:left w:val="none" w:sz="0" w:space="0" w:color="auto"/>
        <w:bottom w:val="none" w:sz="0" w:space="0" w:color="auto"/>
        <w:right w:val="none" w:sz="0" w:space="0" w:color="auto"/>
      </w:divBdr>
      <w:divsChild>
        <w:div w:id="1744522209">
          <w:marLeft w:val="0"/>
          <w:marRight w:val="0"/>
          <w:marTop w:val="0"/>
          <w:marBottom w:val="0"/>
          <w:divBdr>
            <w:top w:val="none" w:sz="0" w:space="0" w:color="auto"/>
            <w:left w:val="none" w:sz="0" w:space="0" w:color="auto"/>
            <w:bottom w:val="none" w:sz="0" w:space="0" w:color="auto"/>
            <w:right w:val="none" w:sz="0" w:space="0" w:color="auto"/>
          </w:divBdr>
        </w:div>
      </w:divsChild>
    </w:div>
    <w:div w:id="117728979">
      <w:bodyDiv w:val="1"/>
      <w:marLeft w:val="0"/>
      <w:marRight w:val="0"/>
      <w:marTop w:val="0"/>
      <w:marBottom w:val="0"/>
      <w:divBdr>
        <w:top w:val="none" w:sz="0" w:space="0" w:color="auto"/>
        <w:left w:val="none" w:sz="0" w:space="0" w:color="auto"/>
        <w:bottom w:val="none" w:sz="0" w:space="0" w:color="auto"/>
        <w:right w:val="none" w:sz="0" w:space="0" w:color="auto"/>
      </w:divBdr>
    </w:div>
    <w:div w:id="117842251">
      <w:bodyDiv w:val="1"/>
      <w:marLeft w:val="0"/>
      <w:marRight w:val="0"/>
      <w:marTop w:val="0"/>
      <w:marBottom w:val="0"/>
      <w:divBdr>
        <w:top w:val="none" w:sz="0" w:space="0" w:color="auto"/>
        <w:left w:val="none" w:sz="0" w:space="0" w:color="auto"/>
        <w:bottom w:val="none" w:sz="0" w:space="0" w:color="auto"/>
        <w:right w:val="none" w:sz="0" w:space="0" w:color="auto"/>
      </w:divBdr>
      <w:divsChild>
        <w:div w:id="104933018">
          <w:marLeft w:val="0"/>
          <w:marRight w:val="0"/>
          <w:marTop w:val="0"/>
          <w:marBottom w:val="0"/>
          <w:divBdr>
            <w:top w:val="none" w:sz="0" w:space="0" w:color="auto"/>
            <w:left w:val="none" w:sz="0" w:space="0" w:color="auto"/>
            <w:bottom w:val="none" w:sz="0" w:space="0" w:color="auto"/>
            <w:right w:val="none" w:sz="0" w:space="0" w:color="auto"/>
          </w:divBdr>
        </w:div>
        <w:div w:id="1591357150">
          <w:marLeft w:val="0"/>
          <w:marRight w:val="0"/>
          <w:marTop w:val="0"/>
          <w:marBottom w:val="0"/>
          <w:divBdr>
            <w:top w:val="none" w:sz="0" w:space="0" w:color="auto"/>
            <w:left w:val="none" w:sz="0" w:space="0" w:color="auto"/>
            <w:bottom w:val="none" w:sz="0" w:space="0" w:color="auto"/>
            <w:right w:val="none" w:sz="0" w:space="0" w:color="auto"/>
          </w:divBdr>
        </w:div>
      </w:divsChild>
    </w:div>
    <w:div w:id="117843916">
      <w:bodyDiv w:val="1"/>
      <w:marLeft w:val="0"/>
      <w:marRight w:val="0"/>
      <w:marTop w:val="0"/>
      <w:marBottom w:val="0"/>
      <w:divBdr>
        <w:top w:val="none" w:sz="0" w:space="0" w:color="auto"/>
        <w:left w:val="none" w:sz="0" w:space="0" w:color="auto"/>
        <w:bottom w:val="none" w:sz="0" w:space="0" w:color="auto"/>
        <w:right w:val="none" w:sz="0" w:space="0" w:color="auto"/>
      </w:divBdr>
      <w:divsChild>
        <w:div w:id="839151309">
          <w:marLeft w:val="0"/>
          <w:marRight w:val="0"/>
          <w:marTop w:val="0"/>
          <w:marBottom w:val="0"/>
          <w:divBdr>
            <w:top w:val="none" w:sz="0" w:space="0" w:color="auto"/>
            <w:left w:val="none" w:sz="0" w:space="0" w:color="auto"/>
            <w:bottom w:val="none" w:sz="0" w:space="0" w:color="auto"/>
            <w:right w:val="none" w:sz="0" w:space="0" w:color="auto"/>
          </w:divBdr>
        </w:div>
        <w:div w:id="1482309242">
          <w:marLeft w:val="0"/>
          <w:marRight w:val="0"/>
          <w:marTop w:val="0"/>
          <w:marBottom w:val="0"/>
          <w:divBdr>
            <w:top w:val="none" w:sz="0" w:space="0" w:color="auto"/>
            <w:left w:val="none" w:sz="0" w:space="0" w:color="auto"/>
            <w:bottom w:val="none" w:sz="0" w:space="0" w:color="auto"/>
            <w:right w:val="none" w:sz="0" w:space="0" w:color="auto"/>
          </w:divBdr>
        </w:div>
        <w:div w:id="1692147684">
          <w:marLeft w:val="0"/>
          <w:marRight w:val="0"/>
          <w:marTop w:val="0"/>
          <w:marBottom w:val="0"/>
          <w:divBdr>
            <w:top w:val="none" w:sz="0" w:space="0" w:color="auto"/>
            <w:left w:val="none" w:sz="0" w:space="0" w:color="auto"/>
            <w:bottom w:val="none" w:sz="0" w:space="0" w:color="auto"/>
            <w:right w:val="none" w:sz="0" w:space="0" w:color="auto"/>
          </w:divBdr>
        </w:div>
      </w:divsChild>
    </w:div>
    <w:div w:id="120735495">
      <w:bodyDiv w:val="1"/>
      <w:marLeft w:val="0"/>
      <w:marRight w:val="0"/>
      <w:marTop w:val="0"/>
      <w:marBottom w:val="0"/>
      <w:divBdr>
        <w:top w:val="none" w:sz="0" w:space="0" w:color="auto"/>
        <w:left w:val="none" w:sz="0" w:space="0" w:color="auto"/>
        <w:bottom w:val="none" w:sz="0" w:space="0" w:color="auto"/>
        <w:right w:val="none" w:sz="0" w:space="0" w:color="auto"/>
      </w:divBdr>
    </w:div>
    <w:div w:id="128058699">
      <w:bodyDiv w:val="1"/>
      <w:marLeft w:val="0"/>
      <w:marRight w:val="0"/>
      <w:marTop w:val="0"/>
      <w:marBottom w:val="0"/>
      <w:divBdr>
        <w:top w:val="none" w:sz="0" w:space="0" w:color="auto"/>
        <w:left w:val="none" w:sz="0" w:space="0" w:color="auto"/>
        <w:bottom w:val="none" w:sz="0" w:space="0" w:color="auto"/>
        <w:right w:val="none" w:sz="0" w:space="0" w:color="auto"/>
      </w:divBdr>
      <w:divsChild>
        <w:div w:id="551498512">
          <w:marLeft w:val="0"/>
          <w:marRight w:val="0"/>
          <w:marTop w:val="0"/>
          <w:marBottom w:val="0"/>
          <w:divBdr>
            <w:top w:val="none" w:sz="0" w:space="0" w:color="auto"/>
            <w:left w:val="none" w:sz="0" w:space="0" w:color="auto"/>
            <w:bottom w:val="none" w:sz="0" w:space="0" w:color="auto"/>
            <w:right w:val="none" w:sz="0" w:space="0" w:color="auto"/>
          </w:divBdr>
        </w:div>
        <w:div w:id="569467351">
          <w:marLeft w:val="0"/>
          <w:marRight w:val="0"/>
          <w:marTop w:val="0"/>
          <w:marBottom w:val="0"/>
          <w:divBdr>
            <w:top w:val="none" w:sz="0" w:space="0" w:color="auto"/>
            <w:left w:val="none" w:sz="0" w:space="0" w:color="auto"/>
            <w:bottom w:val="none" w:sz="0" w:space="0" w:color="auto"/>
            <w:right w:val="none" w:sz="0" w:space="0" w:color="auto"/>
          </w:divBdr>
        </w:div>
      </w:divsChild>
    </w:div>
    <w:div w:id="128283242">
      <w:bodyDiv w:val="1"/>
      <w:marLeft w:val="0"/>
      <w:marRight w:val="0"/>
      <w:marTop w:val="0"/>
      <w:marBottom w:val="0"/>
      <w:divBdr>
        <w:top w:val="none" w:sz="0" w:space="0" w:color="auto"/>
        <w:left w:val="none" w:sz="0" w:space="0" w:color="auto"/>
        <w:bottom w:val="none" w:sz="0" w:space="0" w:color="auto"/>
        <w:right w:val="none" w:sz="0" w:space="0" w:color="auto"/>
      </w:divBdr>
    </w:div>
    <w:div w:id="131562654">
      <w:bodyDiv w:val="1"/>
      <w:marLeft w:val="0"/>
      <w:marRight w:val="0"/>
      <w:marTop w:val="0"/>
      <w:marBottom w:val="0"/>
      <w:divBdr>
        <w:top w:val="none" w:sz="0" w:space="0" w:color="auto"/>
        <w:left w:val="none" w:sz="0" w:space="0" w:color="auto"/>
        <w:bottom w:val="none" w:sz="0" w:space="0" w:color="auto"/>
        <w:right w:val="none" w:sz="0" w:space="0" w:color="auto"/>
      </w:divBdr>
      <w:divsChild>
        <w:div w:id="368460344">
          <w:marLeft w:val="0"/>
          <w:marRight w:val="0"/>
          <w:marTop w:val="0"/>
          <w:marBottom w:val="0"/>
          <w:divBdr>
            <w:top w:val="none" w:sz="0" w:space="0" w:color="auto"/>
            <w:left w:val="none" w:sz="0" w:space="0" w:color="auto"/>
            <w:bottom w:val="none" w:sz="0" w:space="0" w:color="auto"/>
            <w:right w:val="none" w:sz="0" w:space="0" w:color="auto"/>
          </w:divBdr>
        </w:div>
        <w:div w:id="1288773755">
          <w:marLeft w:val="0"/>
          <w:marRight w:val="0"/>
          <w:marTop w:val="0"/>
          <w:marBottom w:val="0"/>
          <w:divBdr>
            <w:top w:val="none" w:sz="0" w:space="0" w:color="auto"/>
            <w:left w:val="none" w:sz="0" w:space="0" w:color="auto"/>
            <w:bottom w:val="none" w:sz="0" w:space="0" w:color="auto"/>
            <w:right w:val="none" w:sz="0" w:space="0" w:color="auto"/>
          </w:divBdr>
        </w:div>
        <w:div w:id="1885678578">
          <w:marLeft w:val="0"/>
          <w:marRight w:val="0"/>
          <w:marTop w:val="0"/>
          <w:marBottom w:val="0"/>
          <w:divBdr>
            <w:top w:val="none" w:sz="0" w:space="0" w:color="auto"/>
            <w:left w:val="none" w:sz="0" w:space="0" w:color="auto"/>
            <w:bottom w:val="none" w:sz="0" w:space="0" w:color="auto"/>
            <w:right w:val="none" w:sz="0" w:space="0" w:color="auto"/>
          </w:divBdr>
        </w:div>
      </w:divsChild>
    </w:div>
    <w:div w:id="137771894">
      <w:bodyDiv w:val="1"/>
      <w:marLeft w:val="0"/>
      <w:marRight w:val="0"/>
      <w:marTop w:val="0"/>
      <w:marBottom w:val="0"/>
      <w:divBdr>
        <w:top w:val="none" w:sz="0" w:space="0" w:color="auto"/>
        <w:left w:val="none" w:sz="0" w:space="0" w:color="auto"/>
        <w:bottom w:val="none" w:sz="0" w:space="0" w:color="auto"/>
        <w:right w:val="none" w:sz="0" w:space="0" w:color="auto"/>
      </w:divBdr>
    </w:div>
    <w:div w:id="142238588">
      <w:bodyDiv w:val="1"/>
      <w:marLeft w:val="0"/>
      <w:marRight w:val="0"/>
      <w:marTop w:val="0"/>
      <w:marBottom w:val="0"/>
      <w:divBdr>
        <w:top w:val="none" w:sz="0" w:space="0" w:color="auto"/>
        <w:left w:val="none" w:sz="0" w:space="0" w:color="auto"/>
        <w:bottom w:val="none" w:sz="0" w:space="0" w:color="auto"/>
        <w:right w:val="none" w:sz="0" w:space="0" w:color="auto"/>
      </w:divBdr>
    </w:div>
    <w:div w:id="149911254">
      <w:bodyDiv w:val="1"/>
      <w:marLeft w:val="0"/>
      <w:marRight w:val="0"/>
      <w:marTop w:val="0"/>
      <w:marBottom w:val="0"/>
      <w:divBdr>
        <w:top w:val="none" w:sz="0" w:space="0" w:color="auto"/>
        <w:left w:val="none" w:sz="0" w:space="0" w:color="auto"/>
        <w:bottom w:val="none" w:sz="0" w:space="0" w:color="auto"/>
        <w:right w:val="none" w:sz="0" w:space="0" w:color="auto"/>
      </w:divBdr>
      <w:divsChild>
        <w:div w:id="1306935718">
          <w:marLeft w:val="0"/>
          <w:marRight w:val="0"/>
          <w:marTop w:val="0"/>
          <w:marBottom w:val="0"/>
          <w:divBdr>
            <w:top w:val="none" w:sz="0" w:space="0" w:color="auto"/>
            <w:left w:val="none" w:sz="0" w:space="0" w:color="auto"/>
            <w:bottom w:val="none" w:sz="0" w:space="0" w:color="auto"/>
            <w:right w:val="none" w:sz="0" w:space="0" w:color="auto"/>
          </w:divBdr>
        </w:div>
        <w:div w:id="1518158521">
          <w:marLeft w:val="0"/>
          <w:marRight w:val="0"/>
          <w:marTop w:val="0"/>
          <w:marBottom w:val="0"/>
          <w:divBdr>
            <w:top w:val="none" w:sz="0" w:space="0" w:color="auto"/>
            <w:left w:val="none" w:sz="0" w:space="0" w:color="auto"/>
            <w:bottom w:val="none" w:sz="0" w:space="0" w:color="auto"/>
            <w:right w:val="none" w:sz="0" w:space="0" w:color="auto"/>
          </w:divBdr>
        </w:div>
      </w:divsChild>
    </w:div>
    <w:div w:id="160170771">
      <w:bodyDiv w:val="1"/>
      <w:marLeft w:val="0"/>
      <w:marRight w:val="0"/>
      <w:marTop w:val="0"/>
      <w:marBottom w:val="0"/>
      <w:divBdr>
        <w:top w:val="none" w:sz="0" w:space="0" w:color="auto"/>
        <w:left w:val="none" w:sz="0" w:space="0" w:color="auto"/>
        <w:bottom w:val="none" w:sz="0" w:space="0" w:color="auto"/>
        <w:right w:val="none" w:sz="0" w:space="0" w:color="auto"/>
      </w:divBdr>
      <w:divsChild>
        <w:div w:id="34551656">
          <w:marLeft w:val="0"/>
          <w:marRight w:val="0"/>
          <w:marTop w:val="0"/>
          <w:marBottom w:val="0"/>
          <w:divBdr>
            <w:top w:val="none" w:sz="0" w:space="0" w:color="auto"/>
            <w:left w:val="none" w:sz="0" w:space="0" w:color="auto"/>
            <w:bottom w:val="none" w:sz="0" w:space="0" w:color="auto"/>
            <w:right w:val="none" w:sz="0" w:space="0" w:color="auto"/>
          </w:divBdr>
        </w:div>
        <w:div w:id="919946739">
          <w:marLeft w:val="0"/>
          <w:marRight w:val="0"/>
          <w:marTop w:val="0"/>
          <w:marBottom w:val="0"/>
          <w:divBdr>
            <w:top w:val="none" w:sz="0" w:space="0" w:color="auto"/>
            <w:left w:val="none" w:sz="0" w:space="0" w:color="auto"/>
            <w:bottom w:val="none" w:sz="0" w:space="0" w:color="auto"/>
            <w:right w:val="none" w:sz="0" w:space="0" w:color="auto"/>
          </w:divBdr>
        </w:div>
      </w:divsChild>
    </w:div>
    <w:div w:id="161052014">
      <w:bodyDiv w:val="1"/>
      <w:marLeft w:val="0"/>
      <w:marRight w:val="0"/>
      <w:marTop w:val="0"/>
      <w:marBottom w:val="0"/>
      <w:divBdr>
        <w:top w:val="none" w:sz="0" w:space="0" w:color="auto"/>
        <w:left w:val="none" w:sz="0" w:space="0" w:color="auto"/>
        <w:bottom w:val="none" w:sz="0" w:space="0" w:color="auto"/>
        <w:right w:val="none" w:sz="0" w:space="0" w:color="auto"/>
      </w:divBdr>
      <w:divsChild>
        <w:div w:id="1414552091">
          <w:marLeft w:val="0"/>
          <w:marRight w:val="0"/>
          <w:marTop w:val="0"/>
          <w:marBottom w:val="0"/>
          <w:divBdr>
            <w:top w:val="none" w:sz="0" w:space="0" w:color="auto"/>
            <w:left w:val="none" w:sz="0" w:space="0" w:color="auto"/>
            <w:bottom w:val="none" w:sz="0" w:space="0" w:color="auto"/>
            <w:right w:val="none" w:sz="0" w:space="0" w:color="auto"/>
          </w:divBdr>
        </w:div>
        <w:div w:id="1467158052">
          <w:marLeft w:val="0"/>
          <w:marRight w:val="0"/>
          <w:marTop w:val="0"/>
          <w:marBottom w:val="0"/>
          <w:divBdr>
            <w:top w:val="none" w:sz="0" w:space="0" w:color="auto"/>
            <w:left w:val="none" w:sz="0" w:space="0" w:color="auto"/>
            <w:bottom w:val="none" w:sz="0" w:space="0" w:color="auto"/>
            <w:right w:val="none" w:sz="0" w:space="0" w:color="auto"/>
          </w:divBdr>
        </w:div>
      </w:divsChild>
    </w:div>
    <w:div w:id="161481309">
      <w:bodyDiv w:val="1"/>
      <w:marLeft w:val="0"/>
      <w:marRight w:val="0"/>
      <w:marTop w:val="0"/>
      <w:marBottom w:val="0"/>
      <w:divBdr>
        <w:top w:val="none" w:sz="0" w:space="0" w:color="auto"/>
        <w:left w:val="none" w:sz="0" w:space="0" w:color="auto"/>
        <w:bottom w:val="none" w:sz="0" w:space="0" w:color="auto"/>
        <w:right w:val="none" w:sz="0" w:space="0" w:color="auto"/>
      </w:divBdr>
    </w:div>
    <w:div w:id="163205914">
      <w:bodyDiv w:val="1"/>
      <w:marLeft w:val="0"/>
      <w:marRight w:val="0"/>
      <w:marTop w:val="0"/>
      <w:marBottom w:val="0"/>
      <w:divBdr>
        <w:top w:val="none" w:sz="0" w:space="0" w:color="auto"/>
        <w:left w:val="none" w:sz="0" w:space="0" w:color="auto"/>
        <w:bottom w:val="none" w:sz="0" w:space="0" w:color="auto"/>
        <w:right w:val="none" w:sz="0" w:space="0" w:color="auto"/>
      </w:divBdr>
    </w:div>
    <w:div w:id="169832863">
      <w:bodyDiv w:val="1"/>
      <w:marLeft w:val="0"/>
      <w:marRight w:val="0"/>
      <w:marTop w:val="0"/>
      <w:marBottom w:val="0"/>
      <w:divBdr>
        <w:top w:val="none" w:sz="0" w:space="0" w:color="auto"/>
        <w:left w:val="none" w:sz="0" w:space="0" w:color="auto"/>
        <w:bottom w:val="none" w:sz="0" w:space="0" w:color="auto"/>
        <w:right w:val="none" w:sz="0" w:space="0" w:color="auto"/>
      </w:divBdr>
      <w:divsChild>
        <w:div w:id="312565576">
          <w:marLeft w:val="0"/>
          <w:marRight w:val="0"/>
          <w:marTop w:val="0"/>
          <w:marBottom w:val="0"/>
          <w:divBdr>
            <w:top w:val="none" w:sz="0" w:space="0" w:color="auto"/>
            <w:left w:val="none" w:sz="0" w:space="0" w:color="auto"/>
            <w:bottom w:val="none" w:sz="0" w:space="0" w:color="auto"/>
            <w:right w:val="none" w:sz="0" w:space="0" w:color="auto"/>
          </w:divBdr>
        </w:div>
        <w:div w:id="1662614930">
          <w:marLeft w:val="0"/>
          <w:marRight w:val="0"/>
          <w:marTop w:val="0"/>
          <w:marBottom w:val="0"/>
          <w:divBdr>
            <w:top w:val="none" w:sz="0" w:space="0" w:color="auto"/>
            <w:left w:val="none" w:sz="0" w:space="0" w:color="auto"/>
            <w:bottom w:val="none" w:sz="0" w:space="0" w:color="auto"/>
            <w:right w:val="none" w:sz="0" w:space="0" w:color="auto"/>
          </w:divBdr>
        </w:div>
      </w:divsChild>
    </w:div>
    <w:div w:id="170997191">
      <w:bodyDiv w:val="1"/>
      <w:marLeft w:val="0"/>
      <w:marRight w:val="0"/>
      <w:marTop w:val="0"/>
      <w:marBottom w:val="0"/>
      <w:divBdr>
        <w:top w:val="none" w:sz="0" w:space="0" w:color="auto"/>
        <w:left w:val="none" w:sz="0" w:space="0" w:color="auto"/>
        <w:bottom w:val="none" w:sz="0" w:space="0" w:color="auto"/>
        <w:right w:val="none" w:sz="0" w:space="0" w:color="auto"/>
      </w:divBdr>
    </w:div>
    <w:div w:id="171646945">
      <w:bodyDiv w:val="1"/>
      <w:marLeft w:val="0"/>
      <w:marRight w:val="0"/>
      <w:marTop w:val="0"/>
      <w:marBottom w:val="0"/>
      <w:divBdr>
        <w:top w:val="none" w:sz="0" w:space="0" w:color="auto"/>
        <w:left w:val="none" w:sz="0" w:space="0" w:color="auto"/>
        <w:bottom w:val="none" w:sz="0" w:space="0" w:color="auto"/>
        <w:right w:val="none" w:sz="0" w:space="0" w:color="auto"/>
      </w:divBdr>
    </w:div>
    <w:div w:id="175317205">
      <w:bodyDiv w:val="1"/>
      <w:marLeft w:val="0"/>
      <w:marRight w:val="0"/>
      <w:marTop w:val="0"/>
      <w:marBottom w:val="0"/>
      <w:divBdr>
        <w:top w:val="none" w:sz="0" w:space="0" w:color="auto"/>
        <w:left w:val="none" w:sz="0" w:space="0" w:color="auto"/>
        <w:bottom w:val="none" w:sz="0" w:space="0" w:color="auto"/>
        <w:right w:val="none" w:sz="0" w:space="0" w:color="auto"/>
      </w:divBdr>
    </w:div>
    <w:div w:id="177693734">
      <w:bodyDiv w:val="1"/>
      <w:marLeft w:val="0"/>
      <w:marRight w:val="0"/>
      <w:marTop w:val="0"/>
      <w:marBottom w:val="0"/>
      <w:divBdr>
        <w:top w:val="none" w:sz="0" w:space="0" w:color="auto"/>
        <w:left w:val="none" w:sz="0" w:space="0" w:color="auto"/>
        <w:bottom w:val="none" w:sz="0" w:space="0" w:color="auto"/>
        <w:right w:val="none" w:sz="0" w:space="0" w:color="auto"/>
      </w:divBdr>
      <w:divsChild>
        <w:div w:id="1131095993">
          <w:marLeft w:val="0"/>
          <w:marRight w:val="0"/>
          <w:marTop w:val="0"/>
          <w:marBottom w:val="0"/>
          <w:divBdr>
            <w:top w:val="none" w:sz="0" w:space="0" w:color="auto"/>
            <w:left w:val="none" w:sz="0" w:space="0" w:color="auto"/>
            <w:bottom w:val="none" w:sz="0" w:space="0" w:color="auto"/>
            <w:right w:val="none" w:sz="0" w:space="0" w:color="auto"/>
          </w:divBdr>
          <w:divsChild>
            <w:div w:id="615674863">
              <w:marLeft w:val="0"/>
              <w:marRight w:val="0"/>
              <w:marTop w:val="0"/>
              <w:marBottom w:val="0"/>
              <w:divBdr>
                <w:top w:val="none" w:sz="0" w:space="0" w:color="auto"/>
                <w:left w:val="none" w:sz="0" w:space="0" w:color="auto"/>
                <w:bottom w:val="none" w:sz="0" w:space="0" w:color="auto"/>
                <w:right w:val="none" w:sz="0" w:space="0" w:color="auto"/>
              </w:divBdr>
            </w:div>
            <w:div w:id="1252742802">
              <w:marLeft w:val="0"/>
              <w:marRight w:val="0"/>
              <w:marTop w:val="0"/>
              <w:marBottom w:val="0"/>
              <w:divBdr>
                <w:top w:val="none" w:sz="0" w:space="0" w:color="auto"/>
                <w:left w:val="none" w:sz="0" w:space="0" w:color="auto"/>
                <w:bottom w:val="none" w:sz="0" w:space="0" w:color="auto"/>
                <w:right w:val="none" w:sz="0" w:space="0" w:color="auto"/>
              </w:divBdr>
            </w:div>
          </w:divsChild>
        </w:div>
        <w:div w:id="2059357150">
          <w:marLeft w:val="0"/>
          <w:marRight w:val="0"/>
          <w:marTop w:val="0"/>
          <w:marBottom w:val="0"/>
          <w:divBdr>
            <w:top w:val="none" w:sz="0" w:space="0" w:color="auto"/>
            <w:left w:val="none" w:sz="0" w:space="0" w:color="auto"/>
            <w:bottom w:val="none" w:sz="0" w:space="0" w:color="auto"/>
            <w:right w:val="none" w:sz="0" w:space="0" w:color="auto"/>
          </w:divBdr>
        </w:div>
      </w:divsChild>
    </w:div>
    <w:div w:id="179244138">
      <w:bodyDiv w:val="1"/>
      <w:marLeft w:val="0"/>
      <w:marRight w:val="0"/>
      <w:marTop w:val="0"/>
      <w:marBottom w:val="0"/>
      <w:divBdr>
        <w:top w:val="none" w:sz="0" w:space="0" w:color="auto"/>
        <w:left w:val="none" w:sz="0" w:space="0" w:color="auto"/>
        <w:bottom w:val="none" w:sz="0" w:space="0" w:color="auto"/>
        <w:right w:val="none" w:sz="0" w:space="0" w:color="auto"/>
      </w:divBdr>
    </w:div>
    <w:div w:id="179323495">
      <w:bodyDiv w:val="1"/>
      <w:marLeft w:val="0"/>
      <w:marRight w:val="0"/>
      <w:marTop w:val="0"/>
      <w:marBottom w:val="0"/>
      <w:divBdr>
        <w:top w:val="none" w:sz="0" w:space="0" w:color="auto"/>
        <w:left w:val="none" w:sz="0" w:space="0" w:color="auto"/>
        <w:bottom w:val="none" w:sz="0" w:space="0" w:color="auto"/>
        <w:right w:val="none" w:sz="0" w:space="0" w:color="auto"/>
      </w:divBdr>
    </w:div>
    <w:div w:id="184710398">
      <w:bodyDiv w:val="1"/>
      <w:marLeft w:val="0"/>
      <w:marRight w:val="0"/>
      <w:marTop w:val="0"/>
      <w:marBottom w:val="0"/>
      <w:divBdr>
        <w:top w:val="none" w:sz="0" w:space="0" w:color="auto"/>
        <w:left w:val="none" w:sz="0" w:space="0" w:color="auto"/>
        <w:bottom w:val="none" w:sz="0" w:space="0" w:color="auto"/>
        <w:right w:val="none" w:sz="0" w:space="0" w:color="auto"/>
      </w:divBdr>
      <w:divsChild>
        <w:div w:id="567347466">
          <w:marLeft w:val="0"/>
          <w:marRight w:val="0"/>
          <w:marTop w:val="0"/>
          <w:marBottom w:val="0"/>
          <w:divBdr>
            <w:top w:val="none" w:sz="0" w:space="0" w:color="auto"/>
            <w:left w:val="none" w:sz="0" w:space="0" w:color="auto"/>
            <w:bottom w:val="none" w:sz="0" w:space="0" w:color="auto"/>
            <w:right w:val="none" w:sz="0" w:space="0" w:color="auto"/>
          </w:divBdr>
        </w:div>
        <w:div w:id="952371357">
          <w:marLeft w:val="0"/>
          <w:marRight w:val="0"/>
          <w:marTop w:val="0"/>
          <w:marBottom w:val="0"/>
          <w:divBdr>
            <w:top w:val="none" w:sz="0" w:space="0" w:color="auto"/>
            <w:left w:val="none" w:sz="0" w:space="0" w:color="auto"/>
            <w:bottom w:val="none" w:sz="0" w:space="0" w:color="auto"/>
            <w:right w:val="none" w:sz="0" w:space="0" w:color="auto"/>
          </w:divBdr>
        </w:div>
        <w:div w:id="1323118973">
          <w:marLeft w:val="0"/>
          <w:marRight w:val="0"/>
          <w:marTop w:val="0"/>
          <w:marBottom w:val="0"/>
          <w:divBdr>
            <w:top w:val="none" w:sz="0" w:space="0" w:color="auto"/>
            <w:left w:val="none" w:sz="0" w:space="0" w:color="auto"/>
            <w:bottom w:val="none" w:sz="0" w:space="0" w:color="auto"/>
            <w:right w:val="none" w:sz="0" w:space="0" w:color="auto"/>
          </w:divBdr>
        </w:div>
        <w:div w:id="1581913965">
          <w:marLeft w:val="0"/>
          <w:marRight w:val="0"/>
          <w:marTop w:val="0"/>
          <w:marBottom w:val="0"/>
          <w:divBdr>
            <w:top w:val="none" w:sz="0" w:space="0" w:color="auto"/>
            <w:left w:val="none" w:sz="0" w:space="0" w:color="auto"/>
            <w:bottom w:val="none" w:sz="0" w:space="0" w:color="auto"/>
            <w:right w:val="none" w:sz="0" w:space="0" w:color="auto"/>
          </w:divBdr>
        </w:div>
        <w:div w:id="1595236714">
          <w:marLeft w:val="0"/>
          <w:marRight w:val="0"/>
          <w:marTop w:val="0"/>
          <w:marBottom w:val="0"/>
          <w:divBdr>
            <w:top w:val="none" w:sz="0" w:space="0" w:color="auto"/>
            <w:left w:val="none" w:sz="0" w:space="0" w:color="auto"/>
            <w:bottom w:val="none" w:sz="0" w:space="0" w:color="auto"/>
            <w:right w:val="none" w:sz="0" w:space="0" w:color="auto"/>
          </w:divBdr>
        </w:div>
      </w:divsChild>
    </w:div>
    <w:div w:id="186410791">
      <w:bodyDiv w:val="1"/>
      <w:marLeft w:val="0"/>
      <w:marRight w:val="0"/>
      <w:marTop w:val="0"/>
      <w:marBottom w:val="0"/>
      <w:divBdr>
        <w:top w:val="none" w:sz="0" w:space="0" w:color="auto"/>
        <w:left w:val="none" w:sz="0" w:space="0" w:color="auto"/>
        <w:bottom w:val="none" w:sz="0" w:space="0" w:color="auto"/>
        <w:right w:val="none" w:sz="0" w:space="0" w:color="auto"/>
      </w:divBdr>
      <w:divsChild>
        <w:div w:id="132195704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95851760">
      <w:bodyDiv w:val="1"/>
      <w:marLeft w:val="0"/>
      <w:marRight w:val="0"/>
      <w:marTop w:val="0"/>
      <w:marBottom w:val="0"/>
      <w:divBdr>
        <w:top w:val="none" w:sz="0" w:space="0" w:color="auto"/>
        <w:left w:val="none" w:sz="0" w:space="0" w:color="auto"/>
        <w:bottom w:val="none" w:sz="0" w:space="0" w:color="auto"/>
        <w:right w:val="none" w:sz="0" w:space="0" w:color="auto"/>
      </w:divBdr>
      <w:divsChild>
        <w:div w:id="331955114">
          <w:marLeft w:val="0"/>
          <w:marRight w:val="0"/>
          <w:marTop w:val="0"/>
          <w:marBottom w:val="0"/>
          <w:divBdr>
            <w:top w:val="none" w:sz="0" w:space="0" w:color="auto"/>
            <w:left w:val="none" w:sz="0" w:space="0" w:color="auto"/>
            <w:bottom w:val="none" w:sz="0" w:space="0" w:color="auto"/>
            <w:right w:val="none" w:sz="0" w:space="0" w:color="auto"/>
          </w:divBdr>
        </w:div>
      </w:divsChild>
    </w:div>
    <w:div w:id="201527123">
      <w:bodyDiv w:val="1"/>
      <w:marLeft w:val="0"/>
      <w:marRight w:val="0"/>
      <w:marTop w:val="0"/>
      <w:marBottom w:val="0"/>
      <w:divBdr>
        <w:top w:val="none" w:sz="0" w:space="0" w:color="auto"/>
        <w:left w:val="none" w:sz="0" w:space="0" w:color="auto"/>
        <w:bottom w:val="none" w:sz="0" w:space="0" w:color="auto"/>
        <w:right w:val="none" w:sz="0" w:space="0" w:color="auto"/>
      </w:divBdr>
    </w:div>
    <w:div w:id="201670354">
      <w:bodyDiv w:val="1"/>
      <w:marLeft w:val="0"/>
      <w:marRight w:val="0"/>
      <w:marTop w:val="0"/>
      <w:marBottom w:val="0"/>
      <w:divBdr>
        <w:top w:val="none" w:sz="0" w:space="0" w:color="auto"/>
        <w:left w:val="none" w:sz="0" w:space="0" w:color="auto"/>
        <w:bottom w:val="none" w:sz="0" w:space="0" w:color="auto"/>
        <w:right w:val="none" w:sz="0" w:space="0" w:color="auto"/>
      </w:divBdr>
    </w:div>
    <w:div w:id="206651570">
      <w:bodyDiv w:val="1"/>
      <w:marLeft w:val="0"/>
      <w:marRight w:val="0"/>
      <w:marTop w:val="0"/>
      <w:marBottom w:val="0"/>
      <w:divBdr>
        <w:top w:val="none" w:sz="0" w:space="0" w:color="auto"/>
        <w:left w:val="none" w:sz="0" w:space="0" w:color="auto"/>
        <w:bottom w:val="none" w:sz="0" w:space="0" w:color="auto"/>
        <w:right w:val="none" w:sz="0" w:space="0" w:color="auto"/>
      </w:divBdr>
    </w:div>
    <w:div w:id="207766492">
      <w:bodyDiv w:val="1"/>
      <w:marLeft w:val="0"/>
      <w:marRight w:val="0"/>
      <w:marTop w:val="0"/>
      <w:marBottom w:val="0"/>
      <w:divBdr>
        <w:top w:val="none" w:sz="0" w:space="0" w:color="auto"/>
        <w:left w:val="none" w:sz="0" w:space="0" w:color="auto"/>
        <w:bottom w:val="none" w:sz="0" w:space="0" w:color="auto"/>
        <w:right w:val="none" w:sz="0" w:space="0" w:color="auto"/>
      </w:divBdr>
    </w:div>
    <w:div w:id="209077229">
      <w:bodyDiv w:val="1"/>
      <w:marLeft w:val="0"/>
      <w:marRight w:val="0"/>
      <w:marTop w:val="0"/>
      <w:marBottom w:val="0"/>
      <w:divBdr>
        <w:top w:val="none" w:sz="0" w:space="0" w:color="auto"/>
        <w:left w:val="none" w:sz="0" w:space="0" w:color="auto"/>
        <w:bottom w:val="none" w:sz="0" w:space="0" w:color="auto"/>
        <w:right w:val="none" w:sz="0" w:space="0" w:color="auto"/>
      </w:divBdr>
    </w:div>
    <w:div w:id="214584857">
      <w:bodyDiv w:val="1"/>
      <w:marLeft w:val="0"/>
      <w:marRight w:val="0"/>
      <w:marTop w:val="0"/>
      <w:marBottom w:val="0"/>
      <w:divBdr>
        <w:top w:val="none" w:sz="0" w:space="0" w:color="auto"/>
        <w:left w:val="none" w:sz="0" w:space="0" w:color="auto"/>
        <w:bottom w:val="none" w:sz="0" w:space="0" w:color="auto"/>
        <w:right w:val="none" w:sz="0" w:space="0" w:color="auto"/>
      </w:divBdr>
      <w:divsChild>
        <w:div w:id="395250798">
          <w:marLeft w:val="0"/>
          <w:marRight w:val="0"/>
          <w:marTop w:val="0"/>
          <w:marBottom w:val="0"/>
          <w:divBdr>
            <w:top w:val="none" w:sz="0" w:space="0" w:color="auto"/>
            <w:left w:val="none" w:sz="0" w:space="0" w:color="auto"/>
            <w:bottom w:val="none" w:sz="0" w:space="0" w:color="auto"/>
            <w:right w:val="none" w:sz="0" w:space="0" w:color="auto"/>
          </w:divBdr>
        </w:div>
        <w:div w:id="1555582031">
          <w:marLeft w:val="0"/>
          <w:marRight w:val="0"/>
          <w:marTop w:val="0"/>
          <w:marBottom w:val="0"/>
          <w:divBdr>
            <w:top w:val="none" w:sz="0" w:space="0" w:color="auto"/>
            <w:left w:val="none" w:sz="0" w:space="0" w:color="auto"/>
            <w:bottom w:val="none" w:sz="0" w:space="0" w:color="auto"/>
            <w:right w:val="none" w:sz="0" w:space="0" w:color="auto"/>
          </w:divBdr>
        </w:div>
      </w:divsChild>
    </w:div>
    <w:div w:id="215044691">
      <w:bodyDiv w:val="1"/>
      <w:marLeft w:val="0"/>
      <w:marRight w:val="0"/>
      <w:marTop w:val="0"/>
      <w:marBottom w:val="0"/>
      <w:divBdr>
        <w:top w:val="none" w:sz="0" w:space="0" w:color="auto"/>
        <w:left w:val="none" w:sz="0" w:space="0" w:color="auto"/>
        <w:bottom w:val="none" w:sz="0" w:space="0" w:color="auto"/>
        <w:right w:val="none" w:sz="0" w:space="0" w:color="auto"/>
      </w:divBdr>
    </w:div>
    <w:div w:id="218395305">
      <w:bodyDiv w:val="1"/>
      <w:marLeft w:val="0"/>
      <w:marRight w:val="0"/>
      <w:marTop w:val="0"/>
      <w:marBottom w:val="0"/>
      <w:divBdr>
        <w:top w:val="none" w:sz="0" w:space="0" w:color="auto"/>
        <w:left w:val="none" w:sz="0" w:space="0" w:color="auto"/>
        <w:bottom w:val="none" w:sz="0" w:space="0" w:color="auto"/>
        <w:right w:val="none" w:sz="0" w:space="0" w:color="auto"/>
      </w:divBdr>
    </w:div>
    <w:div w:id="220287105">
      <w:bodyDiv w:val="1"/>
      <w:marLeft w:val="0"/>
      <w:marRight w:val="0"/>
      <w:marTop w:val="0"/>
      <w:marBottom w:val="0"/>
      <w:divBdr>
        <w:top w:val="none" w:sz="0" w:space="0" w:color="auto"/>
        <w:left w:val="none" w:sz="0" w:space="0" w:color="auto"/>
        <w:bottom w:val="none" w:sz="0" w:space="0" w:color="auto"/>
        <w:right w:val="none" w:sz="0" w:space="0" w:color="auto"/>
      </w:divBdr>
      <w:divsChild>
        <w:div w:id="30540381">
          <w:marLeft w:val="0"/>
          <w:marRight w:val="0"/>
          <w:marTop w:val="0"/>
          <w:marBottom w:val="0"/>
          <w:divBdr>
            <w:top w:val="none" w:sz="0" w:space="0" w:color="auto"/>
            <w:left w:val="none" w:sz="0" w:space="0" w:color="auto"/>
            <w:bottom w:val="none" w:sz="0" w:space="0" w:color="auto"/>
            <w:right w:val="none" w:sz="0" w:space="0" w:color="auto"/>
          </w:divBdr>
        </w:div>
        <w:div w:id="1004628236">
          <w:marLeft w:val="0"/>
          <w:marRight w:val="0"/>
          <w:marTop w:val="0"/>
          <w:marBottom w:val="0"/>
          <w:divBdr>
            <w:top w:val="none" w:sz="0" w:space="0" w:color="auto"/>
            <w:left w:val="none" w:sz="0" w:space="0" w:color="auto"/>
            <w:bottom w:val="none" w:sz="0" w:space="0" w:color="auto"/>
            <w:right w:val="none" w:sz="0" w:space="0" w:color="auto"/>
          </w:divBdr>
        </w:div>
      </w:divsChild>
    </w:div>
    <w:div w:id="220559832">
      <w:bodyDiv w:val="1"/>
      <w:marLeft w:val="0"/>
      <w:marRight w:val="0"/>
      <w:marTop w:val="0"/>
      <w:marBottom w:val="0"/>
      <w:divBdr>
        <w:top w:val="none" w:sz="0" w:space="0" w:color="auto"/>
        <w:left w:val="none" w:sz="0" w:space="0" w:color="auto"/>
        <w:bottom w:val="none" w:sz="0" w:space="0" w:color="auto"/>
        <w:right w:val="none" w:sz="0" w:space="0" w:color="auto"/>
      </w:divBdr>
      <w:divsChild>
        <w:div w:id="1163011191">
          <w:marLeft w:val="0"/>
          <w:marRight w:val="0"/>
          <w:marTop w:val="0"/>
          <w:marBottom w:val="0"/>
          <w:divBdr>
            <w:top w:val="none" w:sz="0" w:space="0" w:color="auto"/>
            <w:left w:val="none" w:sz="0" w:space="0" w:color="auto"/>
            <w:bottom w:val="none" w:sz="0" w:space="0" w:color="auto"/>
            <w:right w:val="none" w:sz="0" w:space="0" w:color="auto"/>
          </w:divBdr>
        </w:div>
        <w:div w:id="1869247710">
          <w:marLeft w:val="0"/>
          <w:marRight w:val="0"/>
          <w:marTop w:val="0"/>
          <w:marBottom w:val="0"/>
          <w:divBdr>
            <w:top w:val="none" w:sz="0" w:space="0" w:color="auto"/>
            <w:left w:val="none" w:sz="0" w:space="0" w:color="auto"/>
            <w:bottom w:val="none" w:sz="0" w:space="0" w:color="auto"/>
            <w:right w:val="none" w:sz="0" w:space="0" w:color="auto"/>
          </w:divBdr>
        </w:div>
      </w:divsChild>
    </w:div>
    <w:div w:id="220823516">
      <w:bodyDiv w:val="1"/>
      <w:marLeft w:val="0"/>
      <w:marRight w:val="0"/>
      <w:marTop w:val="0"/>
      <w:marBottom w:val="0"/>
      <w:divBdr>
        <w:top w:val="none" w:sz="0" w:space="0" w:color="auto"/>
        <w:left w:val="none" w:sz="0" w:space="0" w:color="auto"/>
        <w:bottom w:val="none" w:sz="0" w:space="0" w:color="auto"/>
        <w:right w:val="none" w:sz="0" w:space="0" w:color="auto"/>
      </w:divBdr>
      <w:divsChild>
        <w:div w:id="105470025">
          <w:marLeft w:val="0"/>
          <w:marRight w:val="0"/>
          <w:marTop w:val="0"/>
          <w:marBottom w:val="0"/>
          <w:divBdr>
            <w:top w:val="none" w:sz="0" w:space="0" w:color="auto"/>
            <w:left w:val="none" w:sz="0" w:space="0" w:color="auto"/>
            <w:bottom w:val="none" w:sz="0" w:space="0" w:color="auto"/>
            <w:right w:val="none" w:sz="0" w:space="0" w:color="auto"/>
          </w:divBdr>
          <w:divsChild>
            <w:div w:id="866673971">
              <w:marLeft w:val="0"/>
              <w:marRight w:val="0"/>
              <w:marTop w:val="0"/>
              <w:marBottom w:val="0"/>
              <w:divBdr>
                <w:top w:val="none" w:sz="0" w:space="0" w:color="auto"/>
                <w:left w:val="none" w:sz="0" w:space="0" w:color="auto"/>
                <w:bottom w:val="none" w:sz="0" w:space="0" w:color="auto"/>
                <w:right w:val="none" w:sz="0" w:space="0" w:color="auto"/>
              </w:divBdr>
            </w:div>
          </w:divsChild>
        </w:div>
        <w:div w:id="672299231">
          <w:marLeft w:val="0"/>
          <w:marRight w:val="0"/>
          <w:marTop w:val="0"/>
          <w:marBottom w:val="0"/>
          <w:divBdr>
            <w:top w:val="none" w:sz="0" w:space="0" w:color="auto"/>
            <w:left w:val="none" w:sz="0" w:space="0" w:color="auto"/>
            <w:bottom w:val="none" w:sz="0" w:space="0" w:color="auto"/>
            <w:right w:val="none" w:sz="0" w:space="0" w:color="auto"/>
          </w:divBdr>
        </w:div>
      </w:divsChild>
    </w:div>
    <w:div w:id="221866330">
      <w:bodyDiv w:val="1"/>
      <w:marLeft w:val="0"/>
      <w:marRight w:val="0"/>
      <w:marTop w:val="0"/>
      <w:marBottom w:val="0"/>
      <w:divBdr>
        <w:top w:val="none" w:sz="0" w:space="0" w:color="auto"/>
        <w:left w:val="none" w:sz="0" w:space="0" w:color="auto"/>
        <w:bottom w:val="none" w:sz="0" w:space="0" w:color="auto"/>
        <w:right w:val="none" w:sz="0" w:space="0" w:color="auto"/>
      </w:divBdr>
    </w:div>
    <w:div w:id="222568823">
      <w:bodyDiv w:val="1"/>
      <w:marLeft w:val="0"/>
      <w:marRight w:val="0"/>
      <w:marTop w:val="0"/>
      <w:marBottom w:val="0"/>
      <w:divBdr>
        <w:top w:val="none" w:sz="0" w:space="0" w:color="auto"/>
        <w:left w:val="none" w:sz="0" w:space="0" w:color="auto"/>
        <w:bottom w:val="none" w:sz="0" w:space="0" w:color="auto"/>
        <w:right w:val="none" w:sz="0" w:space="0" w:color="auto"/>
      </w:divBdr>
      <w:divsChild>
        <w:div w:id="34933563">
          <w:marLeft w:val="0"/>
          <w:marRight w:val="0"/>
          <w:marTop w:val="0"/>
          <w:marBottom w:val="0"/>
          <w:divBdr>
            <w:top w:val="none" w:sz="0" w:space="0" w:color="auto"/>
            <w:left w:val="none" w:sz="0" w:space="0" w:color="auto"/>
            <w:bottom w:val="none" w:sz="0" w:space="0" w:color="auto"/>
            <w:right w:val="none" w:sz="0" w:space="0" w:color="auto"/>
          </w:divBdr>
        </w:div>
        <w:div w:id="1092163953">
          <w:marLeft w:val="0"/>
          <w:marRight w:val="0"/>
          <w:marTop w:val="0"/>
          <w:marBottom w:val="0"/>
          <w:divBdr>
            <w:top w:val="none" w:sz="0" w:space="0" w:color="auto"/>
            <w:left w:val="none" w:sz="0" w:space="0" w:color="auto"/>
            <w:bottom w:val="none" w:sz="0" w:space="0" w:color="auto"/>
            <w:right w:val="none" w:sz="0" w:space="0" w:color="auto"/>
          </w:divBdr>
        </w:div>
        <w:div w:id="1385833119">
          <w:marLeft w:val="0"/>
          <w:marRight w:val="0"/>
          <w:marTop w:val="0"/>
          <w:marBottom w:val="0"/>
          <w:divBdr>
            <w:top w:val="none" w:sz="0" w:space="0" w:color="auto"/>
            <w:left w:val="none" w:sz="0" w:space="0" w:color="auto"/>
            <w:bottom w:val="none" w:sz="0" w:space="0" w:color="auto"/>
            <w:right w:val="none" w:sz="0" w:space="0" w:color="auto"/>
          </w:divBdr>
        </w:div>
      </w:divsChild>
    </w:div>
    <w:div w:id="223029383">
      <w:bodyDiv w:val="1"/>
      <w:marLeft w:val="0"/>
      <w:marRight w:val="0"/>
      <w:marTop w:val="0"/>
      <w:marBottom w:val="0"/>
      <w:divBdr>
        <w:top w:val="none" w:sz="0" w:space="0" w:color="auto"/>
        <w:left w:val="none" w:sz="0" w:space="0" w:color="auto"/>
        <w:bottom w:val="none" w:sz="0" w:space="0" w:color="auto"/>
        <w:right w:val="none" w:sz="0" w:space="0" w:color="auto"/>
      </w:divBdr>
    </w:div>
    <w:div w:id="224723004">
      <w:bodyDiv w:val="1"/>
      <w:marLeft w:val="0"/>
      <w:marRight w:val="0"/>
      <w:marTop w:val="0"/>
      <w:marBottom w:val="0"/>
      <w:divBdr>
        <w:top w:val="none" w:sz="0" w:space="0" w:color="auto"/>
        <w:left w:val="none" w:sz="0" w:space="0" w:color="auto"/>
        <w:bottom w:val="none" w:sz="0" w:space="0" w:color="auto"/>
        <w:right w:val="none" w:sz="0" w:space="0" w:color="auto"/>
      </w:divBdr>
    </w:div>
    <w:div w:id="229850719">
      <w:bodyDiv w:val="1"/>
      <w:marLeft w:val="0"/>
      <w:marRight w:val="0"/>
      <w:marTop w:val="0"/>
      <w:marBottom w:val="0"/>
      <w:divBdr>
        <w:top w:val="none" w:sz="0" w:space="0" w:color="auto"/>
        <w:left w:val="none" w:sz="0" w:space="0" w:color="auto"/>
        <w:bottom w:val="none" w:sz="0" w:space="0" w:color="auto"/>
        <w:right w:val="none" w:sz="0" w:space="0" w:color="auto"/>
      </w:divBdr>
    </w:div>
    <w:div w:id="232130559">
      <w:bodyDiv w:val="1"/>
      <w:marLeft w:val="0"/>
      <w:marRight w:val="0"/>
      <w:marTop w:val="0"/>
      <w:marBottom w:val="0"/>
      <w:divBdr>
        <w:top w:val="none" w:sz="0" w:space="0" w:color="auto"/>
        <w:left w:val="none" w:sz="0" w:space="0" w:color="auto"/>
        <w:bottom w:val="none" w:sz="0" w:space="0" w:color="auto"/>
        <w:right w:val="none" w:sz="0" w:space="0" w:color="auto"/>
      </w:divBdr>
      <w:divsChild>
        <w:div w:id="124396250">
          <w:marLeft w:val="0"/>
          <w:marRight w:val="0"/>
          <w:marTop w:val="0"/>
          <w:marBottom w:val="0"/>
          <w:divBdr>
            <w:top w:val="none" w:sz="0" w:space="0" w:color="auto"/>
            <w:left w:val="none" w:sz="0" w:space="0" w:color="auto"/>
            <w:bottom w:val="none" w:sz="0" w:space="0" w:color="auto"/>
            <w:right w:val="none" w:sz="0" w:space="0" w:color="auto"/>
          </w:divBdr>
        </w:div>
        <w:div w:id="1410927023">
          <w:marLeft w:val="0"/>
          <w:marRight w:val="0"/>
          <w:marTop w:val="0"/>
          <w:marBottom w:val="0"/>
          <w:divBdr>
            <w:top w:val="none" w:sz="0" w:space="0" w:color="auto"/>
            <w:left w:val="none" w:sz="0" w:space="0" w:color="auto"/>
            <w:bottom w:val="none" w:sz="0" w:space="0" w:color="auto"/>
            <w:right w:val="none" w:sz="0" w:space="0" w:color="auto"/>
          </w:divBdr>
        </w:div>
      </w:divsChild>
    </w:div>
    <w:div w:id="232547245">
      <w:bodyDiv w:val="1"/>
      <w:marLeft w:val="0"/>
      <w:marRight w:val="0"/>
      <w:marTop w:val="0"/>
      <w:marBottom w:val="0"/>
      <w:divBdr>
        <w:top w:val="none" w:sz="0" w:space="0" w:color="auto"/>
        <w:left w:val="none" w:sz="0" w:space="0" w:color="auto"/>
        <w:bottom w:val="none" w:sz="0" w:space="0" w:color="auto"/>
        <w:right w:val="none" w:sz="0" w:space="0" w:color="auto"/>
      </w:divBdr>
    </w:div>
    <w:div w:id="232548862">
      <w:bodyDiv w:val="1"/>
      <w:marLeft w:val="0"/>
      <w:marRight w:val="0"/>
      <w:marTop w:val="0"/>
      <w:marBottom w:val="0"/>
      <w:divBdr>
        <w:top w:val="none" w:sz="0" w:space="0" w:color="auto"/>
        <w:left w:val="none" w:sz="0" w:space="0" w:color="auto"/>
        <w:bottom w:val="none" w:sz="0" w:space="0" w:color="auto"/>
        <w:right w:val="none" w:sz="0" w:space="0" w:color="auto"/>
      </w:divBdr>
    </w:div>
    <w:div w:id="233470069">
      <w:bodyDiv w:val="1"/>
      <w:marLeft w:val="0"/>
      <w:marRight w:val="0"/>
      <w:marTop w:val="0"/>
      <w:marBottom w:val="0"/>
      <w:divBdr>
        <w:top w:val="none" w:sz="0" w:space="0" w:color="auto"/>
        <w:left w:val="none" w:sz="0" w:space="0" w:color="auto"/>
        <w:bottom w:val="none" w:sz="0" w:space="0" w:color="auto"/>
        <w:right w:val="none" w:sz="0" w:space="0" w:color="auto"/>
      </w:divBdr>
    </w:div>
    <w:div w:id="235214458">
      <w:bodyDiv w:val="1"/>
      <w:marLeft w:val="0"/>
      <w:marRight w:val="0"/>
      <w:marTop w:val="0"/>
      <w:marBottom w:val="0"/>
      <w:divBdr>
        <w:top w:val="none" w:sz="0" w:space="0" w:color="auto"/>
        <w:left w:val="none" w:sz="0" w:space="0" w:color="auto"/>
        <w:bottom w:val="none" w:sz="0" w:space="0" w:color="auto"/>
        <w:right w:val="none" w:sz="0" w:space="0" w:color="auto"/>
      </w:divBdr>
    </w:div>
    <w:div w:id="240263206">
      <w:bodyDiv w:val="1"/>
      <w:marLeft w:val="0"/>
      <w:marRight w:val="0"/>
      <w:marTop w:val="0"/>
      <w:marBottom w:val="0"/>
      <w:divBdr>
        <w:top w:val="none" w:sz="0" w:space="0" w:color="auto"/>
        <w:left w:val="none" w:sz="0" w:space="0" w:color="auto"/>
        <w:bottom w:val="none" w:sz="0" w:space="0" w:color="auto"/>
        <w:right w:val="none" w:sz="0" w:space="0" w:color="auto"/>
      </w:divBdr>
    </w:div>
    <w:div w:id="240602732">
      <w:bodyDiv w:val="1"/>
      <w:marLeft w:val="0"/>
      <w:marRight w:val="0"/>
      <w:marTop w:val="0"/>
      <w:marBottom w:val="0"/>
      <w:divBdr>
        <w:top w:val="none" w:sz="0" w:space="0" w:color="auto"/>
        <w:left w:val="none" w:sz="0" w:space="0" w:color="auto"/>
        <w:bottom w:val="none" w:sz="0" w:space="0" w:color="auto"/>
        <w:right w:val="none" w:sz="0" w:space="0" w:color="auto"/>
      </w:divBdr>
    </w:div>
    <w:div w:id="240794088">
      <w:bodyDiv w:val="1"/>
      <w:marLeft w:val="0"/>
      <w:marRight w:val="0"/>
      <w:marTop w:val="0"/>
      <w:marBottom w:val="0"/>
      <w:divBdr>
        <w:top w:val="none" w:sz="0" w:space="0" w:color="auto"/>
        <w:left w:val="none" w:sz="0" w:space="0" w:color="auto"/>
        <w:bottom w:val="none" w:sz="0" w:space="0" w:color="auto"/>
        <w:right w:val="none" w:sz="0" w:space="0" w:color="auto"/>
      </w:divBdr>
    </w:div>
    <w:div w:id="241793949">
      <w:bodyDiv w:val="1"/>
      <w:marLeft w:val="0"/>
      <w:marRight w:val="0"/>
      <w:marTop w:val="0"/>
      <w:marBottom w:val="0"/>
      <w:divBdr>
        <w:top w:val="none" w:sz="0" w:space="0" w:color="auto"/>
        <w:left w:val="none" w:sz="0" w:space="0" w:color="auto"/>
        <w:bottom w:val="none" w:sz="0" w:space="0" w:color="auto"/>
        <w:right w:val="none" w:sz="0" w:space="0" w:color="auto"/>
      </w:divBdr>
    </w:div>
    <w:div w:id="243035357">
      <w:bodyDiv w:val="1"/>
      <w:marLeft w:val="0"/>
      <w:marRight w:val="0"/>
      <w:marTop w:val="0"/>
      <w:marBottom w:val="0"/>
      <w:divBdr>
        <w:top w:val="none" w:sz="0" w:space="0" w:color="auto"/>
        <w:left w:val="none" w:sz="0" w:space="0" w:color="auto"/>
        <w:bottom w:val="none" w:sz="0" w:space="0" w:color="auto"/>
        <w:right w:val="none" w:sz="0" w:space="0" w:color="auto"/>
      </w:divBdr>
    </w:div>
    <w:div w:id="246349942">
      <w:bodyDiv w:val="1"/>
      <w:marLeft w:val="0"/>
      <w:marRight w:val="0"/>
      <w:marTop w:val="0"/>
      <w:marBottom w:val="0"/>
      <w:divBdr>
        <w:top w:val="none" w:sz="0" w:space="0" w:color="auto"/>
        <w:left w:val="none" w:sz="0" w:space="0" w:color="auto"/>
        <w:bottom w:val="none" w:sz="0" w:space="0" w:color="auto"/>
        <w:right w:val="none" w:sz="0" w:space="0" w:color="auto"/>
      </w:divBdr>
      <w:divsChild>
        <w:div w:id="88737709">
          <w:marLeft w:val="0"/>
          <w:marRight w:val="0"/>
          <w:marTop w:val="0"/>
          <w:marBottom w:val="0"/>
          <w:divBdr>
            <w:top w:val="none" w:sz="0" w:space="0" w:color="auto"/>
            <w:left w:val="none" w:sz="0" w:space="0" w:color="auto"/>
            <w:bottom w:val="none" w:sz="0" w:space="0" w:color="auto"/>
            <w:right w:val="none" w:sz="0" w:space="0" w:color="auto"/>
          </w:divBdr>
        </w:div>
        <w:div w:id="1295333500">
          <w:marLeft w:val="0"/>
          <w:marRight w:val="0"/>
          <w:marTop w:val="0"/>
          <w:marBottom w:val="0"/>
          <w:divBdr>
            <w:top w:val="none" w:sz="0" w:space="0" w:color="auto"/>
            <w:left w:val="none" w:sz="0" w:space="0" w:color="auto"/>
            <w:bottom w:val="none" w:sz="0" w:space="0" w:color="auto"/>
            <w:right w:val="none" w:sz="0" w:space="0" w:color="auto"/>
          </w:divBdr>
        </w:div>
      </w:divsChild>
    </w:div>
    <w:div w:id="246614252">
      <w:bodyDiv w:val="1"/>
      <w:marLeft w:val="0"/>
      <w:marRight w:val="0"/>
      <w:marTop w:val="0"/>
      <w:marBottom w:val="0"/>
      <w:divBdr>
        <w:top w:val="none" w:sz="0" w:space="0" w:color="auto"/>
        <w:left w:val="none" w:sz="0" w:space="0" w:color="auto"/>
        <w:bottom w:val="none" w:sz="0" w:space="0" w:color="auto"/>
        <w:right w:val="none" w:sz="0" w:space="0" w:color="auto"/>
      </w:divBdr>
    </w:div>
    <w:div w:id="249510933">
      <w:bodyDiv w:val="1"/>
      <w:marLeft w:val="0"/>
      <w:marRight w:val="0"/>
      <w:marTop w:val="0"/>
      <w:marBottom w:val="0"/>
      <w:divBdr>
        <w:top w:val="none" w:sz="0" w:space="0" w:color="auto"/>
        <w:left w:val="none" w:sz="0" w:space="0" w:color="auto"/>
        <w:bottom w:val="none" w:sz="0" w:space="0" w:color="auto"/>
        <w:right w:val="none" w:sz="0" w:space="0" w:color="auto"/>
      </w:divBdr>
    </w:div>
    <w:div w:id="253369226">
      <w:bodyDiv w:val="1"/>
      <w:marLeft w:val="0"/>
      <w:marRight w:val="0"/>
      <w:marTop w:val="0"/>
      <w:marBottom w:val="0"/>
      <w:divBdr>
        <w:top w:val="none" w:sz="0" w:space="0" w:color="auto"/>
        <w:left w:val="none" w:sz="0" w:space="0" w:color="auto"/>
        <w:bottom w:val="none" w:sz="0" w:space="0" w:color="auto"/>
        <w:right w:val="none" w:sz="0" w:space="0" w:color="auto"/>
      </w:divBdr>
      <w:divsChild>
        <w:div w:id="943347165">
          <w:marLeft w:val="0"/>
          <w:marRight w:val="0"/>
          <w:marTop w:val="0"/>
          <w:marBottom w:val="0"/>
          <w:divBdr>
            <w:top w:val="none" w:sz="0" w:space="0" w:color="auto"/>
            <w:left w:val="none" w:sz="0" w:space="0" w:color="auto"/>
            <w:bottom w:val="none" w:sz="0" w:space="0" w:color="auto"/>
            <w:right w:val="none" w:sz="0" w:space="0" w:color="auto"/>
          </w:divBdr>
        </w:div>
        <w:div w:id="1928494520">
          <w:marLeft w:val="0"/>
          <w:marRight w:val="0"/>
          <w:marTop w:val="0"/>
          <w:marBottom w:val="0"/>
          <w:divBdr>
            <w:top w:val="none" w:sz="0" w:space="0" w:color="auto"/>
            <w:left w:val="none" w:sz="0" w:space="0" w:color="auto"/>
            <w:bottom w:val="none" w:sz="0" w:space="0" w:color="auto"/>
            <w:right w:val="none" w:sz="0" w:space="0" w:color="auto"/>
          </w:divBdr>
        </w:div>
      </w:divsChild>
    </w:div>
    <w:div w:id="255402711">
      <w:bodyDiv w:val="1"/>
      <w:marLeft w:val="0"/>
      <w:marRight w:val="0"/>
      <w:marTop w:val="0"/>
      <w:marBottom w:val="0"/>
      <w:divBdr>
        <w:top w:val="none" w:sz="0" w:space="0" w:color="auto"/>
        <w:left w:val="none" w:sz="0" w:space="0" w:color="auto"/>
        <w:bottom w:val="none" w:sz="0" w:space="0" w:color="auto"/>
        <w:right w:val="none" w:sz="0" w:space="0" w:color="auto"/>
      </w:divBdr>
      <w:divsChild>
        <w:div w:id="745417401">
          <w:marLeft w:val="0"/>
          <w:marRight w:val="0"/>
          <w:marTop w:val="0"/>
          <w:marBottom w:val="0"/>
          <w:divBdr>
            <w:top w:val="none" w:sz="0" w:space="0" w:color="auto"/>
            <w:left w:val="none" w:sz="0" w:space="0" w:color="auto"/>
            <w:bottom w:val="none" w:sz="0" w:space="0" w:color="auto"/>
            <w:right w:val="none" w:sz="0" w:space="0" w:color="auto"/>
          </w:divBdr>
        </w:div>
        <w:div w:id="1995789656">
          <w:marLeft w:val="0"/>
          <w:marRight w:val="0"/>
          <w:marTop w:val="0"/>
          <w:marBottom w:val="0"/>
          <w:divBdr>
            <w:top w:val="none" w:sz="0" w:space="0" w:color="auto"/>
            <w:left w:val="none" w:sz="0" w:space="0" w:color="auto"/>
            <w:bottom w:val="none" w:sz="0" w:space="0" w:color="auto"/>
            <w:right w:val="none" w:sz="0" w:space="0" w:color="auto"/>
          </w:divBdr>
        </w:div>
      </w:divsChild>
    </w:div>
    <w:div w:id="255482460">
      <w:bodyDiv w:val="1"/>
      <w:marLeft w:val="0"/>
      <w:marRight w:val="0"/>
      <w:marTop w:val="0"/>
      <w:marBottom w:val="0"/>
      <w:divBdr>
        <w:top w:val="none" w:sz="0" w:space="0" w:color="auto"/>
        <w:left w:val="none" w:sz="0" w:space="0" w:color="auto"/>
        <w:bottom w:val="none" w:sz="0" w:space="0" w:color="auto"/>
        <w:right w:val="none" w:sz="0" w:space="0" w:color="auto"/>
      </w:divBdr>
    </w:div>
    <w:div w:id="259068928">
      <w:bodyDiv w:val="1"/>
      <w:marLeft w:val="0"/>
      <w:marRight w:val="0"/>
      <w:marTop w:val="0"/>
      <w:marBottom w:val="0"/>
      <w:divBdr>
        <w:top w:val="none" w:sz="0" w:space="0" w:color="auto"/>
        <w:left w:val="none" w:sz="0" w:space="0" w:color="auto"/>
        <w:bottom w:val="none" w:sz="0" w:space="0" w:color="auto"/>
        <w:right w:val="none" w:sz="0" w:space="0" w:color="auto"/>
      </w:divBdr>
    </w:div>
    <w:div w:id="261568001">
      <w:bodyDiv w:val="1"/>
      <w:marLeft w:val="0"/>
      <w:marRight w:val="0"/>
      <w:marTop w:val="0"/>
      <w:marBottom w:val="0"/>
      <w:divBdr>
        <w:top w:val="none" w:sz="0" w:space="0" w:color="auto"/>
        <w:left w:val="none" w:sz="0" w:space="0" w:color="auto"/>
        <w:bottom w:val="none" w:sz="0" w:space="0" w:color="auto"/>
        <w:right w:val="none" w:sz="0" w:space="0" w:color="auto"/>
      </w:divBdr>
    </w:div>
    <w:div w:id="261883216">
      <w:bodyDiv w:val="1"/>
      <w:marLeft w:val="0"/>
      <w:marRight w:val="0"/>
      <w:marTop w:val="0"/>
      <w:marBottom w:val="0"/>
      <w:divBdr>
        <w:top w:val="none" w:sz="0" w:space="0" w:color="auto"/>
        <w:left w:val="none" w:sz="0" w:space="0" w:color="auto"/>
        <w:bottom w:val="none" w:sz="0" w:space="0" w:color="auto"/>
        <w:right w:val="none" w:sz="0" w:space="0" w:color="auto"/>
      </w:divBdr>
      <w:divsChild>
        <w:div w:id="1722752906">
          <w:marLeft w:val="0"/>
          <w:marRight w:val="0"/>
          <w:marTop w:val="0"/>
          <w:marBottom w:val="0"/>
          <w:divBdr>
            <w:top w:val="none" w:sz="0" w:space="0" w:color="auto"/>
            <w:left w:val="none" w:sz="0" w:space="0" w:color="auto"/>
            <w:bottom w:val="none" w:sz="0" w:space="0" w:color="auto"/>
            <w:right w:val="none" w:sz="0" w:space="0" w:color="auto"/>
          </w:divBdr>
        </w:div>
        <w:div w:id="2127774842">
          <w:marLeft w:val="0"/>
          <w:marRight w:val="0"/>
          <w:marTop w:val="0"/>
          <w:marBottom w:val="0"/>
          <w:divBdr>
            <w:top w:val="none" w:sz="0" w:space="0" w:color="auto"/>
            <w:left w:val="none" w:sz="0" w:space="0" w:color="auto"/>
            <w:bottom w:val="none" w:sz="0" w:space="0" w:color="auto"/>
            <w:right w:val="none" w:sz="0" w:space="0" w:color="auto"/>
          </w:divBdr>
        </w:div>
      </w:divsChild>
    </w:div>
    <w:div w:id="264457371">
      <w:bodyDiv w:val="1"/>
      <w:marLeft w:val="0"/>
      <w:marRight w:val="0"/>
      <w:marTop w:val="0"/>
      <w:marBottom w:val="0"/>
      <w:divBdr>
        <w:top w:val="none" w:sz="0" w:space="0" w:color="auto"/>
        <w:left w:val="none" w:sz="0" w:space="0" w:color="auto"/>
        <w:bottom w:val="none" w:sz="0" w:space="0" w:color="auto"/>
        <w:right w:val="none" w:sz="0" w:space="0" w:color="auto"/>
      </w:divBdr>
    </w:div>
    <w:div w:id="266430514">
      <w:bodyDiv w:val="1"/>
      <w:marLeft w:val="0"/>
      <w:marRight w:val="0"/>
      <w:marTop w:val="0"/>
      <w:marBottom w:val="0"/>
      <w:divBdr>
        <w:top w:val="none" w:sz="0" w:space="0" w:color="auto"/>
        <w:left w:val="none" w:sz="0" w:space="0" w:color="auto"/>
        <w:bottom w:val="none" w:sz="0" w:space="0" w:color="auto"/>
        <w:right w:val="none" w:sz="0" w:space="0" w:color="auto"/>
      </w:divBdr>
    </w:div>
    <w:div w:id="269901257">
      <w:bodyDiv w:val="1"/>
      <w:marLeft w:val="0"/>
      <w:marRight w:val="0"/>
      <w:marTop w:val="0"/>
      <w:marBottom w:val="0"/>
      <w:divBdr>
        <w:top w:val="none" w:sz="0" w:space="0" w:color="auto"/>
        <w:left w:val="none" w:sz="0" w:space="0" w:color="auto"/>
        <w:bottom w:val="none" w:sz="0" w:space="0" w:color="auto"/>
        <w:right w:val="none" w:sz="0" w:space="0" w:color="auto"/>
      </w:divBdr>
    </w:div>
    <w:div w:id="271940261">
      <w:bodyDiv w:val="1"/>
      <w:marLeft w:val="0"/>
      <w:marRight w:val="0"/>
      <w:marTop w:val="0"/>
      <w:marBottom w:val="0"/>
      <w:divBdr>
        <w:top w:val="none" w:sz="0" w:space="0" w:color="auto"/>
        <w:left w:val="none" w:sz="0" w:space="0" w:color="auto"/>
        <w:bottom w:val="none" w:sz="0" w:space="0" w:color="auto"/>
        <w:right w:val="none" w:sz="0" w:space="0" w:color="auto"/>
      </w:divBdr>
      <w:divsChild>
        <w:div w:id="31614870">
          <w:marLeft w:val="0"/>
          <w:marRight w:val="0"/>
          <w:marTop w:val="0"/>
          <w:marBottom w:val="0"/>
          <w:divBdr>
            <w:top w:val="none" w:sz="0" w:space="0" w:color="auto"/>
            <w:left w:val="none" w:sz="0" w:space="0" w:color="auto"/>
            <w:bottom w:val="none" w:sz="0" w:space="0" w:color="auto"/>
            <w:right w:val="none" w:sz="0" w:space="0" w:color="auto"/>
          </w:divBdr>
        </w:div>
        <w:div w:id="1444114632">
          <w:marLeft w:val="0"/>
          <w:marRight w:val="0"/>
          <w:marTop w:val="0"/>
          <w:marBottom w:val="0"/>
          <w:divBdr>
            <w:top w:val="none" w:sz="0" w:space="0" w:color="auto"/>
            <w:left w:val="none" w:sz="0" w:space="0" w:color="auto"/>
            <w:bottom w:val="none" w:sz="0" w:space="0" w:color="auto"/>
            <w:right w:val="none" w:sz="0" w:space="0" w:color="auto"/>
          </w:divBdr>
        </w:div>
        <w:div w:id="1665931389">
          <w:marLeft w:val="0"/>
          <w:marRight w:val="0"/>
          <w:marTop w:val="0"/>
          <w:marBottom w:val="0"/>
          <w:divBdr>
            <w:top w:val="none" w:sz="0" w:space="0" w:color="auto"/>
            <w:left w:val="none" w:sz="0" w:space="0" w:color="auto"/>
            <w:bottom w:val="none" w:sz="0" w:space="0" w:color="auto"/>
            <w:right w:val="none" w:sz="0" w:space="0" w:color="auto"/>
          </w:divBdr>
        </w:div>
      </w:divsChild>
    </w:div>
    <w:div w:id="272516157">
      <w:bodyDiv w:val="1"/>
      <w:marLeft w:val="0"/>
      <w:marRight w:val="0"/>
      <w:marTop w:val="0"/>
      <w:marBottom w:val="0"/>
      <w:divBdr>
        <w:top w:val="none" w:sz="0" w:space="0" w:color="auto"/>
        <w:left w:val="none" w:sz="0" w:space="0" w:color="auto"/>
        <w:bottom w:val="none" w:sz="0" w:space="0" w:color="auto"/>
        <w:right w:val="none" w:sz="0" w:space="0" w:color="auto"/>
      </w:divBdr>
      <w:divsChild>
        <w:div w:id="1399015472">
          <w:marLeft w:val="0"/>
          <w:marRight w:val="0"/>
          <w:marTop w:val="0"/>
          <w:marBottom w:val="0"/>
          <w:divBdr>
            <w:top w:val="none" w:sz="0" w:space="0" w:color="auto"/>
            <w:left w:val="none" w:sz="0" w:space="0" w:color="auto"/>
            <w:bottom w:val="none" w:sz="0" w:space="0" w:color="auto"/>
            <w:right w:val="none" w:sz="0" w:space="0" w:color="auto"/>
          </w:divBdr>
        </w:div>
        <w:div w:id="2080324652">
          <w:marLeft w:val="0"/>
          <w:marRight w:val="0"/>
          <w:marTop w:val="0"/>
          <w:marBottom w:val="0"/>
          <w:divBdr>
            <w:top w:val="none" w:sz="0" w:space="0" w:color="auto"/>
            <w:left w:val="none" w:sz="0" w:space="0" w:color="auto"/>
            <w:bottom w:val="none" w:sz="0" w:space="0" w:color="auto"/>
            <w:right w:val="none" w:sz="0" w:space="0" w:color="auto"/>
          </w:divBdr>
        </w:div>
      </w:divsChild>
    </w:div>
    <w:div w:id="274145224">
      <w:bodyDiv w:val="1"/>
      <w:marLeft w:val="0"/>
      <w:marRight w:val="0"/>
      <w:marTop w:val="0"/>
      <w:marBottom w:val="0"/>
      <w:divBdr>
        <w:top w:val="none" w:sz="0" w:space="0" w:color="auto"/>
        <w:left w:val="none" w:sz="0" w:space="0" w:color="auto"/>
        <w:bottom w:val="none" w:sz="0" w:space="0" w:color="auto"/>
        <w:right w:val="none" w:sz="0" w:space="0" w:color="auto"/>
      </w:divBdr>
    </w:div>
    <w:div w:id="275720502">
      <w:bodyDiv w:val="1"/>
      <w:marLeft w:val="0"/>
      <w:marRight w:val="0"/>
      <w:marTop w:val="0"/>
      <w:marBottom w:val="0"/>
      <w:divBdr>
        <w:top w:val="none" w:sz="0" w:space="0" w:color="auto"/>
        <w:left w:val="none" w:sz="0" w:space="0" w:color="auto"/>
        <w:bottom w:val="none" w:sz="0" w:space="0" w:color="auto"/>
        <w:right w:val="none" w:sz="0" w:space="0" w:color="auto"/>
      </w:divBdr>
    </w:div>
    <w:div w:id="278803349">
      <w:bodyDiv w:val="1"/>
      <w:marLeft w:val="0"/>
      <w:marRight w:val="0"/>
      <w:marTop w:val="0"/>
      <w:marBottom w:val="0"/>
      <w:divBdr>
        <w:top w:val="none" w:sz="0" w:space="0" w:color="auto"/>
        <w:left w:val="none" w:sz="0" w:space="0" w:color="auto"/>
        <w:bottom w:val="none" w:sz="0" w:space="0" w:color="auto"/>
        <w:right w:val="none" w:sz="0" w:space="0" w:color="auto"/>
      </w:divBdr>
      <w:divsChild>
        <w:div w:id="163791002">
          <w:marLeft w:val="0"/>
          <w:marRight w:val="0"/>
          <w:marTop w:val="0"/>
          <w:marBottom w:val="0"/>
          <w:divBdr>
            <w:top w:val="none" w:sz="0" w:space="0" w:color="auto"/>
            <w:left w:val="none" w:sz="0" w:space="0" w:color="auto"/>
            <w:bottom w:val="none" w:sz="0" w:space="0" w:color="auto"/>
            <w:right w:val="none" w:sz="0" w:space="0" w:color="auto"/>
          </w:divBdr>
        </w:div>
        <w:div w:id="261888389">
          <w:marLeft w:val="0"/>
          <w:marRight w:val="0"/>
          <w:marTop w:val="0"/>
          <w:marBottom w:val="0"/>
          <w:divBdr>
            <w:top w:val="none" w:sz="0" w:space="0" w:color="auto"/>
            <w:left w:val="none" w:sz="0" w:space="0" w:color="auto"/>
            <w:bottom w:val="none" w:sz="0" w:space="0" w:color="auto"/>
            <w:right w:val="none" w:sz="0" w:space="0" w:color="auto"/>
          </w:divBdr>
        </w:div>
        <w:div w:id="1589654008">
          <w:marLeft w:val="0"/>
          <w:marRight w:val="0"/>
          <w:marTop w:val="0"/>
          <w:marBottom w:val="0"/>
          <w:divBdr>
            <w:top w:val="none" w:sz="0" w:space="0" w:color="auto"/>
            <w:left w:val="none" w:sz="0" w:space="0" w:color="auto"/>
            <w:bottom w:val="none" w:sz="0" w:space="0" w:color="auto"/>
            <w:right w:val="none" w:sz="0" w:space="0" w:color="auto"/>
          </w:divBdr>
        </w:div>
      </w:divsChild>
    </w:div>
    <w:div w:id="279343286">
      <w:bodyDiv w:val="1"/>
      <w:marLeft w:val="0"/>
      <w:marRight w:val="0"/>
      <w:marTop w:val="0"/>
      <w:marBottom w:val="0"/>
      <w:divBdr>
        <w:top w:val="none" w:sz="0" w:space="0" w:color="auto"/>
        <w:left w:val="none" w:sz="0" w:space="0" w:color="auto"/>
        <w:bottom w:val="none" w:sz="0" w:space="0" w:color="auto"/>
        <w:right w:val="none" w:sz="0" w:space="0" w:color="auto"/>
      </w:divBdr>
    </w:div>
    <w:div w:id="279915698">
      <w:bodyDiv w:val="1"/>
      <w:marLeft w:val="0"/>
      <w:marRight w:val="0"/>
      <w:marTop w:val="0"/>
      <w:marBottom w:val="0"/>
      <w:divBdr>
        <w:top w:val="none" w:sz="0" w:space="0" w:color="auto"/>
        <w:left w:val="none" w:sz="0" w:space="0" w:color="auto"/>
        <w:bottom w:val="none" w:sz="0" w:space="0" w:color="auto"/>
        <w:right w:val="none" w:sz="0" w:space="0" w:color="auto"/>
      </w:divBdr>
    </w:div>
    <w:div w:id="281304191">
      <w:bodyDiv w:val="1"/>
      <w:marLeft w:val="0"/>
      <w:marRight w:val="0"/>
      <w:marTop w:val="0"/>
      <w:marBottom w:val="0"/>
      <w:divBdr>
        <w:top w:val="none" w:sz="0" w:space="0" w:color="auto"/>
        <w:left w:val="none" w:sz="0" w:space="0" w:color="auto"/>
        <w:bottom w:val="none" w:sz="0" w:space="0" w:color="auto"/>
        <w:right w:val="none" w:sz="0" w:space="0" w:color="auto"/>
      </w:divBdr>
    </w:div>
    <w:div w:id="283731190">
      <w:bodyDiv w:val="1"/>
      <w:marLeft w:val="0"/>
      <w:marRight w:val="0"/>
      <w:marTop w:val="0"/>
      <w:marBottom w:val="0"/>
      <w:divBdr>
        <w:top w:val="none" w:sz="0" w:space="0" w:color="auto"/>
        <w:left w:val="none" w:sz="0" w:space="0" w:color="auto"/>
        <w:bottom w:val="none" w:sz="0" w:space="0" w:color="auto"/>
        <w:right w:val="none" w:sz="0" w:space="0" w:color="auto"/>
      </w:divBdr>
      <w:divsChild>
        <w:div w:id="1460302719">
          <w:marLeft w:val="0"/>
          <w:marRight w:val="0"/>
          <w:marTop w:val="0"/>
          <w:marBottom w:val="0"/>
          <w:divBdr>
            <w:top w:val="none" w:sz="0" w:space="0" w:color="auto"/>
            <w:left w:val="none" w:sz="0" w:space="0" w:color="auto"/>
            <w:bottom w:val="none" w:sz="0" w:space="0" w:color="auto"/>
            <w:right w:val="none" w:sz="0" w:space="0" w:color="auto"/>
          </w:divBdr>
        </w:div>
        <w:div w:id="1964116966">
          <w:marLeft w:val="0"/>
          <w:marRight w:val="0"/>
          <w:marTop w:val="0"/>
          <w:marBottom w:val="0"/>
          <w:divBdr>
            <w:top w:val="none" w:sz="0" w:space="0" w:color="auto"/>
            <w:left w:val="none" w:sz="0" w:space="0" w:color="auto"/>
            <w:bottom w:val="none" w:sz="0" w:space="0" w:color="auto"/>
            <w:right w:val="none" w:sz="0" w:space="0" w:color="auto"/>
          </w:divBdr>
        </w:div>
      </w:divsChild>
    </w:div>
    <w:div w:id="284167226">
      <w:bodyDiv w:val="1"/>
      <w:marLeft w:val="0"/>
      <w:marRight w:val="0"/>
      <w:marTop w:val="0"/>
      <w:marBottom w:val="0"/>
      <w:divBdr>
        <w:top w:val="none" w:sz="0" w:space="0" w:color="auto"/>
        <w:left w:val="none" w:sz="0" w:space="0" w:color="auto"/>
        <w:bottom w:val="none" w:sz="0" w:space="0" w:color="auto"/>
        <w:right w:val="none" w:sz="0" w:space="0" w:color="auto"/>
      </w:divBdr>
      <w:divsChild>
        <w:div w:id="737242796">
          <w:marLeft w:val="0"/>
          <w:marRight w:val="0"/>
          <w:marTop w:val="0"/>
          <w:marBottom w:val="0"/>
          <w:divBdr>
            <w:top w:val="none" w:sz="0" w:space="0" w:color="auto"/>
            <w:left w:val="none" w:sz="0" w:space="0" w:color="auto"/>
            <w:bottom w:val="none" w:sz="0" w:space="0" w:color="auto"/>
            <w:right w:val="none" w:sz="0" w:space="0" w:color="auto"/>
          </w:divBdr>
        </w:div>
        <w:div w:id="1384713674">
          <w:marLeft w:val="0"/>
          <w:marRight w:val="0"/>
          <w:marTop w:val="0"/>
          <w:marBottom w:val="0"/>
          <w:divBdr>
            <w:top w:val="none" w:sz="0" w:space="0" w:color="auto"/>
            <w:left w:val="none" w:sz="0" w:space="0" w:color="auto"/>
            <w:bottom w:val="none" w:sz="0" w:space="0" w:color="auto"/>
            <w:right w:val="none" w:sz="0" w:space="0" w:color="auto"/>
          </w:divBdr>
        </w:div>
        <w:div w:id="1707291739">
          <w:marLeft w:val="0"/>
          <w:marRight w:val="0"/>
          <w:marTop w:val="0"/>
          <w:marBottom w:val="0"/>
          <w:divBdr>
            <w:top w:val="none" w:sz="0" w:space="0" w:color="auto"/>
            <w:left w:val="none" w:sz="0" w:space="0" w:color="auto"/>
            <w:bottom w:val="none" w:sz="0" w:space="0" w:color="auto"/>
            <w:right w:val="none" w:sz="0" w:space="0" w:color="auto"/>
          </w:divBdr>
        </w:div>
      </w:divsChild>
    </w:div>
    <w:div w:id="284625502">
      <w:bodyDiv w:val="1"/>
      <w:marLeft w:val="0"/>
      <w:marRight w:val="0"/>
      <w:marTop w:val="0"/>
      <w:marBottom w:val="0"/>
      <w:divBdr>
        <w:top w:val="none" w:sz="0" w:space="0" w:color="auto"/>
        <w:left w:val="none" w:sz="0" w:space="0" w:color="auto"/>
        <w:bottom w:val="none" w:sz="0" w:space="0" w:color="auto"/>
        <w:right w:val="none" w:sz="0" w:space="0" w:color="auto"/>
      </w:divBdr>
    </w:div>
    <w:div w:id="287123665">
      <w:bodyDiv w:val="1"/>
      <w:marLeft w:val="0"/>
      <w:marRight w:val="0"/>
      <w:marTop w:val="0"/>
      <w:marBottom w:val="0"/>
      <w:divBdr>
        <w:top w:val="none" w:sz="0" w:space="0" w:color="auto"/>
        <w:left w:val="none" w:sz="0" w:space="0" w:color="auto"/>
        <w:bottom w:val="none" w:sz="0" w:space="0" w:color="auto"/>
        <w:right w:val="none" w:sz="0" w:space="0" w:color="auto"/>
      </w:divBdr>
      <w:divsChild>
        <w:div w:id="607393523">
          <w:marLeft w:val="0"/>
          <w:marRight w:val="0"/>
          <w:marTop w:val="0"/>
          <w:marBottom w:val="0"/>
          <w:divBdr>
            <w:top w:val="none" w:sz="0" w:space="0" w:color="auto"/>
            <w:left w:val="none" w:sz="0" w:space="0" w:color="auto"/>
            <w:bottom w:val="none" w:sz="0" w:space="0" w:color="auto"/>
            <w:right w:val="none" w:sz="0" w:space="0" w:color="auto"/>
          </w:divBdr>
        </w:div>
        <w:div w:id="1964652208">
          <w:marLeft w:val="0"/>
          <w:marRight w:val="0"/>
          <w:marTop w:val="0"/>
          <w:marBottom w:val="0"/>
          <w:divBdr>
            <w:top w:val="none" w:sz="0" w:space="0" w:color="auto"/>
            <w:left w:val="none" w:sz="0" w:space="0" w:color="auto"/>
            <w:bottom w:val="none" w:sz="0" w:space="0" w:color="auto"/>
            <w:right w:val="none" w:sz="0" w:space="0" w:color="auto"/>
          </w:divBdr>
        </w:div>
      </w:divsChild>
    </w:div>
    <w:div w:id="289291678">
      <w:bodyDiv w:val="1"/>
      <w:marLeft w:val="0"/>
      <w:marRight w:val="0"/>
      <w:marTop w:val="0"/>
      <w:marBottom w:val="0"/>
      <w:divBdr>
        <w:top w:val="none" w:sz="0" w:space="0" w:color="auto"/>
        <w:left w:val="none" w:sz="0" w:space="0" w:color="auto"/>
        <w:bottom w:val="none" w:sz="0" w:space="0" w:color="auto"/>
        <w:right w:val="none" w:sz="0" w:space="0" w:color="auto"/>
      </w:divBdr>
    </w:div>
    <w:div w:id="289559238">
      <w:bodyDiv w:val="1"/>
      <w:marLeft w:val="0"/>
      <w:marRight w:val="0"/>
      <w:marTop w:val="0"/>
      <w:marBottom w:val="0"/>
      <w:divBdr>
        <w:top w:val="none" w:sz="0" w:space="0" w:color="auto"/>
        <w:left w:val="none" w:sz="0" w:space="0" w:color="auto"/>
        <w:bottom w:val="none" w:sz="0" w:space="0" w:color="auto"/>
        <w:right w:val="none" w:sz="0" w:space="0" w:color="auto"/>
      </w:divBdr>
      <w:divsChild>
        <w:div w:id="586616670">
          <w:marLeft w:val="0"/>
          <w:marRight w:val="0"/>
          <w:marTop w:val="0"/>
          <w:marBottom w:val="0"/>
          <w:divBdr>
            <w:top w:val="none" w:sz="0" w:space="0" w:color="auto"/>
            <w:left w:val="none" w:sz="0" w:space="0" w:color="auto"/>
            <w:bottom w:val="none" w:sz="0" w:space="0" w:color="auto"/>
            <w:right w:val="none" w:sz="0" w:space="0" w:color="auto"/>
          </w:divBdr>
        </w:div>
        <w:div w:id="1161850742">
          <w:marLeft w:val="0"/>
          <w:marRight w:val="0"/>
          <w:marTop w:val="0"/>
          <w:marBottom w:val="0"/>
          <w:divBdr>
            <w:top w:val="none" w:sz="0" w:space="0" w:color="auto"/>
            <w:left w:val="none" w:sz="0" w:space="0" w:color="auto"/>
            <w:bottom w:val="none" w:sz="0" w:space="0" w:color="auto"/>
            <w:right w:val="none" w:sz="0" w:space="0" w:color="auto"/>
          </w:divBdr>
        </w:div>
      </w:divsChild>
    </w:div>
    <w:div w:id="292715985">
      <w:bodyDiv w:val="1"/>
      <w:marLeft w:val="0"/>
      <w:marRight w:val="0"/>
      <w:marTop w:val="0"/>
      <w:marBottom w:val="0"/>
      <w:divBdr>
        <w:top w:val="none" w:sz="0" w:space="0" w:color="auto"/>
        <w:left w:val="none" w:sz="0" w:space="0" w:color="auto"/>
        <w:bottom w:val="none" w:sz="0" w:space="0" w:color="auto"/>
        <w:right w:val="none" w:sz="0" w:space="0" w:color="auto"/>
      </w:divBdr>
      <w:divsChild>
        <w:div w:id="768697098">
          <w:marLeft w:val="0"/>
          <w:marRight w:val="0"/>
          <w:marTop w:val="0"/>
          <w:marBottom w:val="0"/>
          <w:divBdr>
            <w:top w:val="none" w:sz="0" w:space="0" w:color="auto"/>
            <w:left w:val="none" w:sz="0" w:space="0" w:color="auto"/>
            <w:bottom w:val="none" w:sz="0" w:space="0" w:color="auto"/>
            <w:right w:val="none" w:sz="0" w:space="0" w:color="auto"/>
          </w:divBdr>
        </w:div>
        <w:div w:id="2024282502">
          <w:marLeft w:val="0"/>
          <w:marRight w:val="0"/>
          <w:marTop w:val="0"/>
          <w:marBottom w:val="0"/>
          <w:divBdr>
            <w:top w:val="none" w:sz="0" w:space="0" w:color="auto"/>
            <w:left w:val="none" w:sz="0" w:space="0" w:color="auto"/>
            <w:bottom w:val="none" w:sz="0" w:space="0" w:color="auto"/>
            <w:right w:val="none" w:sz="0" w:space="0" w:color="auto"/>
          </w:divBdr>
        </w:div>
      </w:divsChild>
    </w:div>
    <w:div w:id="295113252">
      <w:bodyDiv w:val="1"/>
      <w:marLeft w:val="0"/>
      <w:marRight w:val="0"/>
      <w:marTop w:val="0"/>
      <w:marBottom w:val="0"/>
      <w:divBdr>
        <w:top w:val="none" w:sz="0" w:space="0" w:color="auto"/>
        <w:left w:val="none" w:sz="0" w:space="0" w:color="auto"/>
        <w:bottom w:val="none" w:sz="0" w:space="0" w:color="auto"/>
        <w:right w:val="none" w:sz="0" w:space="0" w:color="auto"/>
      </w:divBdr>
    </w:div>
    <w:div w:id="295766466">
      <w:bodyDiv w:val="1"/>
      <w:marLeft w:val="0"/>
      <w:marRight w:val="0"/>
      <w:marTop w:val="0"/>
      <w:marBottom w:val="0"/>
      <w:divBdr>
        <w:top w:val="none" w:sz="0" w:space="0" w:color="auto"/>
        <w:left w:val="none" w:sz="0" w:space="0" w:color="auto"/>
        <w:bottom w:val="none" w:sz="0" w:space="0" w:color="auto"/>
        <w:right w:val="none" w:sz="0" w:space="0" w:color="auto"/>
      </w:divBdr>
    </w:div>
    <w:div w:id="295919095">
      <w:bodyDiv w:val="1"/>
      <w:marLeft w:val="0"/>
      <w:marRight w:val="0"/>
      <w:marTop w:val="0"/>
      <w:marBottom w:val="0"/>
      <w:divBdr>
        <w:top w:val="none" w:sz="0" w:space="0" w:color="auto"/>
        <w:left w:val="none" w:sz="0" w:space="0" w:color="auto"/>
        <w:bottom w:val="none" w:sz="0" w:space="0" w:color="auto"/>
        <w:right w:val="none" w:sz="0" w:space="0" w:color="auto"/>
      </w:divBdr>
      <w:divsChild>
        <w:div w:id="1391345265">
          <w:marLeft w:val="0"/>
          <w:marRight w:val="0"/>
          <w:marTop w:val="0"/>
          <w:marBottom w:val="0"/>
          <w:divBdr>
            <w:top w:val="none" w:sz="0" w:space="0" w:color="auto"/>
            <w:left w:val="none" w:sz="0" w:space="0" w:color="auto"/>
            <w:bottom w:val="none" w:sz="0" w:space="0" w:color="auto"/>
            <w:right w:val="none" w:sz="0" w:space="0" w:color="auto"/>
          </w:divBdr>
          <w:divsChild>
            <w:div w:id="2112971798">
              <w:marLeft w:val="0"/>
              <w:marRight w:val="0"/>
              <w:marTop w:val="0"/>
              <w:marBottom w:val="0"/>
              <w:divBdr>
                <w:top w:val="none" w:sz="0" w:space="0" w:color="auto"/>
                <w:left w:val="none" w:sz="0" w:space="0" w:color="auto"/>
                <w:bottom w:val="none" w:sz="0" w:space="0" w:color="auto"/>
                <w:right w:val="none" w:sz="0" w:space="0" w:color="auto"/>
              </w:divBdr>
              <w:divsChild>
                <w:div w:id="1577133632">
                  <w:marLeft w:val="0"/>
                  <w:marRight w:val="0"/>
                  <w:marTop w:val="0"/>
                  <w:marBottom w:val="0"/>
                  <w:divBdr>
                    <w:top w:val="none" w:sz="0" w:space="0" w:color="auto"/>
                    <w:left w:val="none" w:sz="0" w:space="0" w:color="auto"/>
                    <w:bottom w:val="none" w:sz="0" w:space="0" w:color="auto"/>
                    <w:right w:val="none" w:sz="0" w:space="0" w:color="auto"/>
                  </w:divBdr>
                  <w:divsChild>
                    <w:div w:id="1417824677">
                      <w:marLeft w:val="0"/>
                      <w:marRight w:val="0"/>
                      <w:marTop w:val="0"/>
                      <w:marBottom w:val="0"/>
                      <w:divBdr>
                        <w:top w:val="none" w:sz="0" w:space="0" w:color="auto"/>
                        <w:left w:val="none" w:sz="0" w:space="0" w:color="auto"/>
                        <w:bottom w:val="none" w:sz="0" w:space="0" w:color="auto"/>
                        <w:right w:val="none" w:sz="0" w:space="0" w:color="auto"/>
                      </w:divBdr>
                      <w:divsChild>
                        <w:div w:id="1698894581">
                          <w:marLeft w:val="0"/>
                          <w:marRight w:val="0"/>
                          <w:marTop w:val="0"/>
                          <w:marBottom w:val="0"/>
                          <w:divBdr>
                            <w:top w:val="none" w:sz="0" w:space="0" w:color="auto"/>
                            <w:left w:val="none" w:sz="0" w:space="0" w:color="auto"/>
                            <w:bottom w:val="none" w:sz="0" w:space="0" w:color="auto"/>
                            <w:right w:val="none" w:sz="0" w:space="0" w:color="auto"/>
                          </w:divBdr>
                          <w:divsChild>
                            <w:div w:id="1008796168">
                              <w:marLeft w:val="0"/>
                              <w:marRight w:val="0"/>
                              <w:marTop w:val="0"/>
                              <w:marBottom w:val="0"/>
                              <w:divBdr>
                                <w:top w:val="none" w:sz="0" w:space="0" w:color="auto"/>
                                <w:left w:val="none" w:sz="0" w:space="0" w:color="auto"/>
                                <w:bottom w:val="none" w:sz="0" w:space="0" w:color="auto"/>
                                <w:right w:val="none" w:sz="0" w:space="0" w:color="auto"/>
                              </w:divBdr>
                              <w:divsChild>
                                <w:div w:id="902641928">
                                  <w:marLeft w:val="0"/>
                                  <w:marRight w:val="0"/>
                                  <w:marTop w:val="0"/>
                                  <w:marBottom w:val="0"/>
                                  <w:divBdr>
                                    <w:top w:val="none" w:sz="0" w:space="0" w:color="auto"/>
                                    <w:left w:val="none" w:sz="0" w:space="0" w:color="auto"/>
                                    <w:bottom w:val="none" w:sz="0" w:space="0" w:color="auto"/>
                                    <w:right w:val="none" w:sz="0" w:space="0" w:color="auto"/>
                                  </w:divBdr>
                                </w:div>
                                <w:div w:id="1216356990">
                                  <w:marLeft w:val="0"/>
                                  <w:marRight w:val="0"/>
                                  <w:marTop w:val="0"/>
                                  <w:marBottom w:val="0"/>
                                  <w:divBdr>
                                    <w:top w:val="none" w:sz="0" w:space="0" w:color="auto"/>
                                    <w:left w:val="none" w:sz="0" w:space="0" w:color="auto"/>
                                    <w:bottom w:val="none" w:sz="0" w:space="0" w:color="auto"/>
                                    <w:right w:val="none" w:sz="0" w:space="0" w:color="auto"/>
                                  </w:divBdr>
                                  <w:divsChild>
                                    <w:div w:id="132448357">
                                      <w:marLeft w:val="0"/>
                                      <w:marRight w:val="0"/>
                                      <w:marTop w:val="0"/>
                                      <w:marBottom w:val="0"/>
                                      <w:divBdr>
                                        <w:top w:val="none" w:sz="0" w:space="0" w:color="auto"/>
                                        <w:left w:val="none" w:sz="0" w:space="0" w:color="auto"/>
                                        <w:bottom w:val="none" w:sz="0" w:space="0" w:color="auto"/>
                                        <w:right w:val="none" w:sz="0" w:space="0" w:color="auto"/>
                                      </w:divBdr>
                                    </w:div>
                                    <w:div w:id="5004347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518082224">
          <w:marLeft w:val="0"/>
          <w:marRight w:val="0"/>
          <w:marTop w:val="0"/>
          <w:marBottom w:val="0"/>
          <w:divBdr>
            <w:top w:val="none" w:sz="0" w:space="0" w:color="auto"/>
            <w:left w:val="none" w:sz="0" w:space="0" w:color="auto"/>
            <w:bottom w:val="none" w:sz="0" w:space="0" w:color="auto"/>
            <w:right w:val="none" w:sz="0" w:space="0" w:color="auto"/>
          </w:divBdr>
          <w:divsChild>
            <w:div w:id="1178883944">
              <w:marLeft w:val="0"/>
              <w:marRight w:val="0"/>
              <w:marTop w:val="0"/>
              <w:marBottom w:val="0"/>
              <w:divBdr>
                <w:top w:val="none" w:sz="0" w:space="0" w:color="auto"/>
                <w:left w:val="none" w:sz="0" w:space="0" w:color="auto"/>
                <w:bottom w:val="none" w:sz="0" w:space="0" w:color="auto"/>
                <w:right w:val="none" w:sz="0" w:space="0" w:color="auto"/>
              </w:divBdr>
              <w:divsChild>
                <w:div w:id="644314849">
                  <w:marLeft w:val="0"/>
                  <w:marRight w:val="0"/>
                  <w:marTop w:val="0"/>
                  <w:marBottom w:val="0"/>
                  <w:divBdr>
                    <w:top w:val="none" w:sz="0" w:space="0" w:color="auto"/>
                    <w:left w:val="none" w:sz="0" w:space="0" w:color="auto"/>
                    <w:bottom w:val="none" w:sz="0" w:space="0" w:color="auto"/>
                    <w:right w:val="none" w:sz="0" w:space="0" w:color="auto"/>
                  </w:divBdr>
                  <w:divsChild>
                    <w:div w:id="782192645">
                      <w:marLeft w:val="0"/>
                      <w:marRight w:val="0"/>
                      <w:marTop w:val="0"/>
                      <w:marBottom w:val="0"/>
                      <w:divBdr>
                        <w:top w:val="none" w:sz="0" w:space="0" w:color="auto"/>
                        <w:left w:val="none" w:sz="0" w:space="0" w:color="auto"/>
                        <w:bottom w:val="none" w:sz="0" w:space="0" w:color="auto"/>
                        <w:right w:val="none" w:sz="0" w:space="0" w:color="auto"/>
                      </w:divBdr>
                      <w:divsChild>
                        <w:div w:id="1083603437">
                          <w:marLeft w:val="0"/>
                          <w:marRight w:val="0"/>
                          <w:marTop w:val="0"/>
                          <w:marBottom w:val="0"/>
                          <w:divBdr>
                            <w:top w:val="none" w:sz="0" w:space="0" w:color="auto"/>
                            <w:left w:val="none" w:sz="0" w:space="0" w:color="auto"/>
                            <w:bottom w:val="none" w:sz="0" w:space="0" w:color="auto"/>
                            <w:right w:val="none" w:sz="0" w:space="0" w:color="auto"/>
                          </w:divBdr>
                        </w:div>
                      </w:divsChild>
                    </w:div>
                    <w:div w:id="20174893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96373885">
      <w:bodyDiv w:val="1"/>
      <w:marLeft w:val="0"/>
      <w:marRight w:val="0"/>
      <w:marTop w:val="0"/>
      <w:marBottom w:val="0"/>
      <w:divBdr>
        <w:top w:val="none" w:sz="0" w:space="0" w:color="auto"/>
        <w:left w:val="none" w:sz="0" w:space="0" w:color="auto"/>
        <w:bottom w:val="none" w:sz="0" w:space="0" w:color="auto"/>
        <w:right w:val="none" w:sz="0" w:space="0" w:color="auto"/>
      </w:divBdr>
      <w:divsChild>
        <w:div w:id="249580089">
          <w:marLeft w:val="0"/>
          <w:marRight w:val="0"/>
          <w:marTop w:val="0"/>
          <w:marBottom w:val="0"/>
          <w:divBdr>
            <w:top w:val="none" w:sz="0" w:space="0" w:color="auto"/>
            <w:left w:val="none" w:sz="0" w:space="0" w:color="auto"/>
            <w:bottom w:val="none" w:sz="0" w:space="0" w:color="auto"/>
            <w:right w:val="none" w:sz="0" w:space="0" w:color="auto"/>
          </w:divBdr>
        </w:div>
        <w:div w:id="1759475664">
          <w:marLeft w:val="0"/>
          <w:marRight w:val="0"/>
          <w:marTop w:val="0"/>
          <w:marBottom w:val="0"/>
          <w:divBdr>
            <w:top w:val="none" w:sz="0" w:space="0" w:color="auto"/>
            <w:left w:val="none" w:sz="0" w:space="0" w:color="auto"/>
            <w:bottom w:val="none" w:sz="0" w:space="0" w:color="auto"/>
            <w:right w:val="none" w:sz="0" w:space="0" w:color="auto"/>
          </w:divBdr>
        </w:div>
      </w:divsChild>
    </w:div>
    <w:div w:id="297490431">
      <w:bodyDiv w:val="1"/>
      <w:marLeft w:val="0"/>
      <w:marRight w:val="0"/>
      <w:marTop w:val="0"/>
      <w:marBottom w:val="0"/>
      <w:divBdr>
        <w:top w:val="none" w:sz="0" w:space="0" w:color="auto"/>
        <w:left w:val="none" w:sz="0" w:space="0" w:color="auto"/>
        <w:bottom w:val="none" w:sz="0" w:space="0" w:color="auto"/>
        <w:right w:val="none" w:sz="0" w:space="0" w:color="auto"/>
      </w:divBdr>
      <w:divsChild>
        <w:div w:id="303584562">
          <w:marLeft w:val="0"/>
          <w:marRight w:val="0"/>
          <w:marTop w:val="0"/>
          <w:marBottom w:val="0"/>
          <w:divBdr>
            <w:top w:val="none" w:sz="0" w:space="0" w:color="auto"/>
            <w:left w:val="none" w:sz="0" w:space="0" w:color="auto"/>
            <w:bottom w:val="none" w:sz="0" w:space="0" w:color="auto"/>
            <w:right w:val="none" w:sz="0" w:space="0" w:color="auto"/>
          </w:divBdr>
        </w:div>
        <w:div w:id="591934426">
          <w:marLeft w:val="0"/>
          <w:marRight w:val="0"/>
          <w:marTop w:val="0"/>
          <w:marBottom w:val="0"/>
          <w:divBdr>
            <w:top w:val="none" w:sz="0" w:space="0" w:color="auto"/>
            <w:left w:val="none" w:sz="0" w:space="0" w:color="auto"/>
            <w:bottom w:val="none" w:sz="0" w:space="0" w:color="auto"/>
            <w:right w:val="none" w:sz="0" w:space="0" w:color="auto"/>
          </w:divBdr>
        </w:div>
        <w:div w:id="935868931">
          <w:marLeft w:val="0"/>
          <w:marRight w:val="0"/>
          <w:marTop w:val="0"/>
          <w:marBottom w:val="0"/>
          <w:divBdr>
            <w:top w:val="none" w:sz="0" w:space="0" w:color="auto"/>
            <w:left w:val="none" w:sz="0" w:space="0" w:color="auto"/>
            <w:bottom w:val="none" w:sz="0" w:space="0" w:color="auto"/>
            <w:right w:val="none" w:sz="0" w:space="0" w:color="auto"/>
          </w:divBdr>
        </w:div>
      </w:divsChild>
    </w:div>
    <w:div w:id="298649496">
      <w:bodyDiv w:val="1"/>
      <w:marLeft w:val="0"/>
      <w:marRight w:val="0"/>
      <w:marTop w:val="0"/>
      <w:marBottom w:val="0"/>
      <w:divBdr>
        <w:top w:val="none" w:sz="0" w:space="0" w:color="auto"/>
        <w:left w:val="none" w:sz="0" w:space="0" w:color="auto"/>
        <w:bottom w:val="none" w:sz="0" w:space="0" w:color="auto"/>
        <w:right w:val="none" w:sz="0" w:space="0" w:color="auto"/>
      </w:divBdr>
    </w:div>
    <w:div w:id="298848186">
      <w:bodyDiv w:val="1"/>
      <w:marLeft w:val="0"/>
      <w:marRight w:val="0"/>
      <w:marTop w:val="0"/>
      <w:marBottom w:val="0"/>
      <w:divBdr>
        <w:top w:val="none" w:sz="0" w:space="0" w:color="auto"/>
        <w:left w:val="none" w:sz="0" w:space="0" w:color="auto"/>
        <w:bottom w:val="none" w:sz="0" w:space="0" w:color="auto"/>
        <w:right w:val="none" w:sz="0" w:space="0" w:color="auto"/>
      </w:divBdr>
      <w:divsChild>
        <w:div w:id="1359820090">
          <w:marLeft w:val="0"/>
          <w:marRight w:val="0"/>
          <w:marTop w:val="0"/>
          <w:marBottom w:val="0"/>
          <w:divBdr>
            <w:top w:val="none" w:sz="0" w:space="0" w:color="auto"/>
            <w:left w:val="none" w:sz="0" w:space="0" w:color="auto"/>
            <w:bottom w:val="none" w:sz="0" w:space="0" w:color="auto"/>
            <w:right w:val="none" w:sz="0" w:space="0" w:color="auto"/>
          </w:divBdr>
          <w:divsChild>
            <w:div w:id="1024984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0499118">
      <w:bodyDiv w:val="1"/>
      <w:marLeft w:val="0"/>
      <w:marRight w:val="0"/>
      <w:marTop w:val="0"/>
      <w:marBottom w:val="0"/>
      <w:divBdr>
        <w:top w:val="none" w:sz="0" w:space="0" w:color="auto"/>
        <w:left w:val="none" w:sz="0" w:space="0" w:color="auto"/>
        <w:bottom w:val="none" w:sz="0" w:space="0" w:color="auto"/>
        <w:right w:val="none" w:sz="0" w:space="0" w:color="auto"/>
      </w:divBdr>
    </w:div>
    <w:div w:id="301694944">
      <w:bodyDiv w:val="1"/>
      <w:marLeft w:val="0"/>
      <w:marRight w:val="0"/>
      <w:marTop w:val="0"/>
      <w:marBottom w:val="0"/>
      <w:divBdr>
        <w:top w:val="none" w:sz="0" w:space="0" w:color="auto"/>
        <w:left w:val="none" w:sz="0" w:space="0" w:color="auto"/>
        <w:bottom w:val="none" w:sz="0" w:space="0" w:color="auto"/>
        <w:right w:val="none" w:sz="0" w:space="0" w:color="auto"/>
      </w:divBdr>
    </w:div>
    <w:div w:id="305163864">
      <w:bodyDiv w:val="1"/>
      <w:marLeft w:val="0"/>
      <w:marRight w:val="0"/>
      <w:marTop w:val="0"/>
      <w:marBottom w:val="0"/>
      <w:divBdr>
        <w:top w:val="none" w:sz="0" w:space="0" w:color="auto"/>
        <w:left w:val="none" w:sz="0" w:space="0" w:color="auto"/>
        <w:bottom w:val="none" w:sz="0" w:space="0" w:color="auto"/>
        <w:right w:val="none" w:sz="0" w:space="0" w:color="auto"/>
      </w:divBdr>
    </w:div>
    <w:div w:id="305285931">
      <w:bodyDiv w:val="1"/>
      <w:marLeft w:val="0"/>
      <w:marRight w:val="0"/>
      <w:marTop w:val="0"/>
      <w:marBottom w:val="0"/>
      <w:divBdr>
        <w:top w:val="none" w:sz="0" w:space="0" w:color="auto"/>
        <w:left w:val="none" w:sz="0" w:space="0" w:color="auto"/>
        <w:bottom w:val="none" w:sz="0" w:space="0" w:color="auto"/>
        <w:right w:val="none" w:sz="0" w:space="0" w:color="auto"/>
      </w:divBdr>
      <w:divsChild>
        <w:div w:id="373122736">
          <w:marLeft w:val="0"/>
          <w:marRight w:val="0"/>
          <w:marTop w:val="0"/>
          <w:marBottom w:val="0"/>
          <w:divBdr>
            <w:top w:val="none" w:sz="0" w:space="0" w:color="auto"/>
            <w:left w:val="none" w:sz="0" w:space="0" w:color="auto"/>
            <w:bottom w:val="none" w:sz="0" w:space="0" w:color="auto"/>
            <w:right w:val="none" w:sz="0" w:space="0" w:color="auto"/>
          </w:divBdr>
        </w:div>
        <w:div w:id="374619826">
          <w:marLeft w:val="0"/>
          <w:marRight w:val="0"/>
          <w:marTop w:val="0"/>
          <w:marBottom w:val="0"/>
          <w:divBdr>
            <w:top w:val="none" w:sz="0" w:space="0" w:color="auto"/>
            <w:left w:val="none" w:sz="0" w:space="0" w:color="auto"/>
            <w:bottom w:val="none" w:sz="0" w:space="0" w:color="auto"/>
            <w:right w:val="none" w:sz="0" w:space="0" w:color="auto"/>
          </w:divBdr>
        </w:div>
        <w:div w:id="1486046319">
          <w:marLeft w:val="0"/>
          <w:marRight w:val="0"/>
          <w:marTop w:val="0"/>
          <w:marBottom w:val="0"/>
          <w:divBdr>
            <w:top w:val="none" w:sz="0" w:space="0" w:color="auto"/>
            <w:left w:val="none" w:sz="0" w:space="0" w:color="auto"/>
            <w:bottom w:val="none" w:sz="0" w:space="0" w:color="auto"/>
            <w:right w:val="none" w:sz="0" w:space="0" w:color="auto"/>
          </w:divBdr>
        </w:div>
        <w:div w:id="1794054466">
          <w:marLeft w:val="0"/>
          <w:marRight w:val="0"/>
          <w:marTop w:val="0"/>
          <w:marBottom w:val="0"/>
          <w:divBdr>
            <w:top w:val="none" w:sz="0" w:space="0" w:color="auto"/>
            <w:left w:val="none" w:sz="0" w:space="0" w:color="auto"/>
            <w:bottom w:val="none" w:sz="0" w:space="0" w:color="auto"/>
            <w:right w:val="none" w:sz="0" w:space="0" w:color="auto"/>
          </w:divBdr>
        </w:div>
      </w:divsChild>
    </w:div>
    <w:div w:id="305361408">
      <w:bodyDiv w:val="1"/>
      <w:marLeft w:val="0"/>
      <w:marRight w:val="0"/>
      <w:marTop w:val="0"/>
      <w:marBottom w:val="0"/>
      <w:divBdr>
        <w:top w:val="none" w:sz="0" w:space="0" w:color="auto"/>
        <w:left w:val="none" w:sz="0" w:space="0" w:color="auto"/>
        <w:bottom w:val="none" w:sz="0" w:space="0" w:color="auto"/>
        <w:right w:val="none" w:sz="0" w:space="0" w:color="auto"/>
      </w:divBdr>
    </w:div>
    <w:div w:id="309022889">
      <w:bodyDiv w:val="1"/>
      <w:marLeft w:val="0"/>
      <w:marRight w:val="0"/>
      <w:marTop w:val="0"/>
      <w:marBottom w:val="0"/>
      <w:divBdr>
        <w:top w:val="none" w:sz="0" w:space="0" w:color="auto"/>
        <w:left w:val="none" w:sz="0" w:space="0" w:color="auto"/>
        <w:bottom w:val="none" w:sz="0" w:space="0" w:color="auto"/>
        <w:right w:val="none" w:sz="0" w:space="0" w:color="auto"/>
      </w:divBdr>
    </w:div>
    <w:div w:id="313070804">
      <w:bodyDiv w:val="1"/>
      <w:marLeft w:val="0"/>
      <w:marRight w:val="0"/>
      <w:marTop w:val="0"/>
      <w:marBottom w:val="0"/>
      <w:divBdr>
        <w:top w:val="none" w:sz="0" w:space="0" w:color="auto"/>
        <w:left w:val="none" w:sz="0" w:space="0" w:color="auto"/>
        <w:bottom w:val="none" w:sz="0" w:space="0" w:color="auto"/>
        <w:right w:val="none" w:sz="0" w:space="0" w:color="auto"/>
      </w:divBdr>
      <w:divsChild>
        <w:div w:id="59910704">
          <w:marLeft w:val="0"/>
          <w:marRight w:val="0"/>
          <w:marTop w:val="0"/>
          <w:marBottom w:val="0"/>
          <w:divBdr>
            <w:top w:val="none" w:sz="0" w:space="0" w:color="auto"/>
            <w:left w:val="none" w:sz="0" w:space="0" w:color="auto"/>
            <w:bottom w:val="none" w:sz="0" w:space="0" w:color="auto"/>
            <w:right w:val="none" w:sz="0" w:space="0" w:color="auto"/>
          </w:divBdr>
        </w:div>
        <w:div w:id="116873602">
          <w:marLeft w:val="0"/>
          <w:marRight w:val="0"/>
          <w:marTop w:val="0"/>
          <w:marBottom w:val="0"/>
          <w:divBdr>
            <w:top w:val="none" w:sz="0" w:space="0" w:color="auto"/>
            <w:left w:val="none" w:sz="0" w:space="0" w:color="auto"/>
            <w:bottom w:val="none" w:sz="0" w:space="0" w:color="auto"/>
            <w:right w:val="none" w:sz="0" w:space="0" w:color="auto"/>
          </w:divBdr>
        </w:div>
        <w:div w:id="1475104790">
          <w:marLeft w:val="0"/>
          <w:marRight w:val="0"/>
          <w:marTop w:val="0"/>
          <w:marBottom w:val="0"/>
          <w:divBdr>
            <w:top w:val="none" w:sz="0" w:space="0" w:color="auto"/>
            <w:left w:val="none" w:sz="0" w:space="0" w:color="auto"/>
            <w:bottom w:val="none" w:sz="0" w:space="0" w:color="auto"/>
            <w:right w:val="none" w:sz="0" w:space="0" w:color="auto"/>
          </w:divBdr>
        </w:div>
      </w:divsChild>
    </w:div>
    <w:div w:id="315768409">
      <w:bodyDiv w:val="1"/>
      <w:marLeft w:val="0"/>
      <w:marRight w:val="0"/>
      <w:marTop w:val="0"/>
      <w:marBottom w:val="0"/>
      <w:divBdr>
        <w:top w:val="none" w:sz="0" w:space="0" w:color="auto"/>
        <w:left w:val="none" w:sz="0" w:space="0" w:color="auto"/>
        <w:bottom w:val="none" w:sz="0" w:space="0" w:color="auto"/>
        <w:right w:val="none" w:sz="0" w:space="0" w:color="auto"/>
      </w:divBdr>
      <w:divsChild>
        <w:div w:id="117376458">
          <w:marLeft w:val="0"/>
          <w:marRight w:val="0"/>
          <w:marTop w:val="0"/>
          <w:marBottom w:val="0"/>
          <w:divBdr>
            <w:top w:val="none" w:sz="0" w:space="0" w:color="auto"/>
            <w:left w:val="none" w:sz="0" w:space="0" w:color="auto"/>
            <w:bottom w:val="none" w:sz="0" w:space="0" w:color="auto"/>
            <w:right w:val="none" w:sz="0" w:space="0" w:color="auto"/>
          </w:divBdr>
        </w:div>
        <w:div w:id="711464434">
          <w:marLeft w:val="0"/>
          <w:marRight w:val="0"/>
          <w:marTop w:val="0"/>
          <w:marBottom w:val="0"/>
          <w:divBdr>
            <w:top w:val="none" w:sz="0" w:space="0" w:color="auto"/>
            <w:left w:val="none" w:sz="0" w:space="0" w:color="auto"/>
            <w:bottom w:val="none" w:sz="0" w:space="0" w:color="auto"/>
            <w:right w:val="none" w:sz="0" w:space="0" w:color="auto"/>
          </w:divBdr>
        </w:div>
        <w:div w:id="866716092">
          <w:marLeft w:val="0"/>
          <w:marRight w:val="0"/>
          <w:marTop w:val="0"/>
          <w:marBottom w:val="0"/>
          <w:divBdr>
            <w:top w:val="none" w:sz="0" w:space="0" w:color="auto"/>
            <w:left w:val="none" w:sz="0" w:space="0" w:color="auto"/>
            <w:bottom w:val="none" w:sz="0" w:space="0" w:color="auto"/>
            <w:right w:val="none" w:sz="0" w:space="0" w:color="auto"/>
          </w:divBdr>
        </w:div>
        <w:div w:id="1007750788">
          <w:marLeft w:val="0"/>
          <w:marRight w:val="0"/>
          <w:marTop w:val="0"/>
          <w:marBottom w:val="0"/>
          <w:divBdr>
            <w:top w:val="none" w:sz="0" w:space="0" w:color="auto"/>
            <w:left w:val="none" w:sz="0" w:space="0" w:color="auto"/>
            <w:bottom w:val="none" w:sz="0" w:space="0" w:color="auto"/>
            <w:right w:val="none" w:sz="0" w:space="0" w:color="auto"/>
          </w:divBdr>
        </w:div>
        <w:div w:id="1123111194">
          <w:marLeft w:val="0"/>
          <w:marRight w:val="0"/>
          <w:marTop w:val="0"/>
          <w:marBottom w:val="0"/>
          <w:divBdr>
            <w:top w:val="none" w:sz="0" w:space="0" w:color="auto"/>
            <w:left w:val="none" w:sz="0" w:space="0" w:color="auto"/>
            <w:bottom w:val="none" w:sz="0" w:space="0" w:color="auto"/>
            <w:right w:val="none" w:sz="0" w:space="0" w:color="auto"/>
          </w:divBdr>
        </w:div>
        <w:div w:id="1359157992">
          <w:marLeft w:val="0"/>
          <w:marRight w:val="0"/>
          <w:marTop w:val="0"/>
          <w:marBottom w:val="0"/>
          <w:divBdr>
            <w:top w:val="none" w:sz="0" w:space="0" w:color="auto"/>
            <w:left w:val="none" w:sz="0" w:space="0" w:color="auto"/>
            <w:bottom w:val="none" w:sz="0" w:space="0" w:color="auto"/>
            <w:right w:val="none" w:sz="0" w:space="0" w:color="auto"/>
          </w:divBdr>
        </w:div>
        <w:div w:id="1609845874">
          <w:marLeft w:val="0"/>
          <w:marRight w:val="0"/>
          <w:marTop w:val="0"/>
          <w:marBottom w:val="0"/>
          <w:divBdr>
            <w:top w:val="none" w:sz="0" w:space="0" w:color="auto"/>
            <w:left w:val="none" w:sz="0" w:space="0" w:color="auto"/>
            <w:bottom w:val="none" w:sz="0" w:space="0" w:color="auto"/>
            <w:right w:val="none" w:sz="0" w:space="0" w:color="auto"/>
          </w:divBdr>
        </w:div>
        <w:div w:id="1636720195">
          <w:marLeft w:val="0"/>
          <w:marRight w:val="0"/>
          <w:marTop w:val="0"/>
          <w:marBottom w:val="0"/>
          <w:divBdr>
            <w:top w:val="none" w:sz="0" w:space="0" w:color="auto"/>
            <w:left w:val="none" w:sz="0" w:space="0" w:color="auto"/>
            <w:bottom w:val="none" w:sz="0" w:space="0" w:color="auto"/>
            <w:right w:val="none" w:sz="0" w:space="0" w:color="auto"/>
          </w:divBdr>
        </w:div>
        <w:div w:id="1821116215">
          <w:marLeft w:val="0"/>
          <w:marRight w:val="0"/>
          <w:marTop w:val="0"/>
          <w:marBottom w:val="0"/>
          <w:divBdr>
            <w:top w:val="none" w:sz="0" w:space="0" w:color="auto"/>
            <w:left w:val="none" w:sz="0" w:space="0" w:color="auto"/>
            <w:bottom w:val="none" w:sz="0" w:space="0" w:color="auto"/>
            <w:right w:val="none" w:sz="0" w:space="0" w:color="auto"/>
          </w:divBdr>
        </w:div>
        <w:div w:id="1902055626">
          <w:marLeft w:val="0"/>
          <w:marRight w:val="0"/>
          <w:marTop w:val="0"/>
          <w:marBottom w:val="0"/>
          <w:divBdr>
            <w:top w:val="none" w:sz="0" w:space="0" w:color="auto"/>
            <w:left w:val="none" w:sz="0" w:space="0" w:color="auto"/>
            <w:bottom w:val="none" w:sz="0" w:space="0" w:color="auto"/>
            <w:right w:val="none" w:sz="0" w:space="0" w:color="auto"/>
          </w:divBdr>
        </w:div>
      </w:divsChild>
    </w:div>
    <w:div w:id="319311624">
      <w:bodyDiv w:val="1"/>
      <w:marLeft w:val="0"/>
      <w:marRight w:val="0"/>
      <w:marTop w:val="0"/>
      <w:marBottom w:val="0"/>
      <w:divBdr>
        <w:top w:val="none" w:sz="0" w:space="0" w:color="auto"/>
        <w:left w:val="none" w:sz="0" w:space="0" w:color="auto"/>
        <w:bottom w:val="none" w:sz="0" w:space="0" w:color="auto"/>
        <w:right w:val="none" w:sz="0" w:space="0" w:color="auto"/>
      </w:divBdr>
    </w:div>
    <w:div w:id="321009507">
      <w:bodyDiv w:val="1"/>
      <w:marLeft w:val="0"/>
      <w:marRight w:val="0"/>
      <w:marTop w:val="0"/>
      <w:marBottom w:val="0"/>
      <w:divBdr>
        <w:top w:val="none" w:sz="0" w:space="0" w:color="auto"/>
        <w:left w:val="none" w:sz="0" w:space="0" w:color="auto"/>
        <w:bottom w:val="none" w:sz="0" w:space="0" w:color="auto"/>
        <w:right w:val="none" w:sz="0" w:space="0" w:color="auto"/>
      </w:divBdr>
      <w:divsChild>
        <w:div w:id="142308447">
          <w:marLeft w:val="0"/>
          <w:marRight w:val="0"/>
          <w:marTop w:val="0"/>
          <w:marBottom w:val="0"/>
          <w:divBdr>
            <w:top w:val="none" w:sz="0" w:space="0" w:color="auto"/>
            <w:left w:val="none" w:sz="0" w:space="0" w:color="auto"/>
            <w:bottom w:val="none" w:sz="0" w:space="0" w:color="auto"/>
            <w:right w:val="none" w:sz="0" w:space="0" w:color="auto"/>
          </w:divBdr>
        </w:div>
        <w:div w:id="1034312771">
          <w:marLeft w:val="0"/>
          <w:marRight w:val="0"/>
          <w:marTop w:val="0"/>
          <w:marBottom w:val="0"/>
          <w:divBdr>
            <w:top w:val="none" w:sz="0" w:space="0" w:color="auto"/>
            <w:left w:val="none" w:sz="0" w:space="0" w:color="auto"/>
            <w:bottom w:val="none" w:sz="0" w:space="0" w:color="auto"/>
            <w:right w:val="none" w:sz="0" w:space="0" w:color="auto"/>
          </w:divBdr>
        </w:div>
      </w:divsChild>
    </w:div>
    <w:div w:id="321279652">
      <w:bodyDiv w:val="1"/>
      <w:marLeft w:val="0"/>
      <w:marRight w:val="0"/>
      <w:marTop w:val="0"/>
      <w:marBottom w:val="0"/>
      <w:divBdr>
        <w:top w:val="none" w:sz="0" w:space="0" w:color="auto"/>
        <w:left w:val="none" w:sz="0" w:space="0" w:color="auto"/>
        <w:bottom w:val="none" w:sz="0" w:space="0" w:color="auto"/>
        <w:right w:val="none" w:sz="0" w:space="0" w:color="auto"/>
      </w:divBdr>
      <w:divsChild>
        <w:div w:id="1244993804">
          <w:marLeft w:val="0"/>
          <w:marRight w:val="0"/>
          <w:marTop w:val="0"/>
          <w:marBottom w:val="0"/>
          <w:divBdr>
            <w:top w:val="none" w:sz="0" w:space="0" w:color="auto"/>
            <w:left w:val="none" w:sz="0" w:space="0" w:color="auto"/>
            <w:bottom w:val="none" w:sz="0" w:space="0" w:color="auto"/>
            <w:right w:val="none" w:sz="0" w:space="0" w:color="auto"/>
          </w:divBdr>
        </w:div>
        <w:div w:id="1617835656">
          <w:marLeft w:val="0"/>
          <w:marRight w:val="0"/>
          <w:marTop w:val="0"/>
          <w:marBottom w:val="0"/>
          <w:divBdr>
            <w:top w:val="none" w:sz="0" w:space="0" w:color="auto"/>
            <w:left w:val="none" w:sz="0" w:space="0" w:color="auto"/>
            <w:bottom w:val="none" w:sz="0" w:space="0" w:color="auto"/>
            <w:right w:val="none" w:sz="0" w:space="0" w:color="auto"/>
          </w:divBdr>
        </w:div>
      </w:divsChild>
    </w:div>
    <w:div w:id="322781175">
      <w:bodyDiv w:val="1"/>
      <w:marLeft w:val="0"/>
      <w:marRight w:val="0"/>
      <w:marTop w:val="0"/>
      <w:marBottom w:val="0"/>
      <w:divBdr>
        <w:top w:val="none" w:sz="0" w:space="0" w:color="auto"/>
        <w:left w:val="none" w:sz="0" w:space="0" w:color="auto"/>
        <w:bottom w:val="none" w:sz="0" w:space="0" w:color="auto"/>
        <w:right w:val="none" w:sz="0" w:space="0" w:color="auto"/>
      </w:divBdr>
    </w:div>
    <w:div w:id="328365493">
      <w:bodyDiv w:val="1"/>
      <w:marLeft w:val="0"/>
      <w:marRight w:val="0"/>
      <w:marTop w:val="0"/>
      <w:marBottom w:val="0"/>
      <w:divBdr>
        <w:top w:val="none" w:sz="0" w:space="0" w:color="auto"/>
        <w:left w:val="none" w:sz="0" w:space="0" w:color="auto"/>
        <w:bottom w:val="none" w:sz="0" w:space="0" w:color="auto"/>
        <w:right w:val="none" w:sz="0" w:space="0" w:color="auto"/>
      </w:divBdr>
      <w:divsChild>
        <w:div w:id="874075853">
          <w:marLeft w:val="0"/>
          <w:marRight w:val="0"/>
          <w:marTop w:val="0"/>
          <w:marBottom w:val="0"/>
          <w:divBdr>
            <w:top w:val="none" w:sz="0" w:space="0" w:color="auto"/>
            <w:left w:val="none" w:sz="0" w:space="0" w:color="auto"/>
            <w:bottom w:val="none" w:sz="0" w:space="0" w:color="auto"/>
            <w:right w:val="none" w:sz="0" w:space="0" w:color="auto"/>
          </w:divBdr>
        </w:div>
        <w:div w:id="1639603815">
          <w:marLeft w:val="0"/>
          <w:marRight w:val="0"/>
          <w:marTop w:val="0"/>
          <w:marBottom w:val="0"/>
          <w:divBdr>
            <w:top w:val="none" w:sz="0" w:space="0" w:color="auto"/>
            <w:left w:val="none" w:sz="0" w:space="0" w:color="auto"/>
            <w:bottom w:val="none" w:sz="0" w:space="0" w:color="auto"/>
            <w:right w:val="none" w:sz="0" w:space="0" w:color="auto"/>
          </w:divBdr>
        </w:div>
      </w:divsChild>
    </w:div>
    <w:div w:id="329916150">
      <w:bodyDiv w:val="1"/>
      <w:marLeft w:val="0"/>
      <w:marRight w:val="0"/>
      <w:marTop w:val="0"/>
      <w:marBottom w:val="0"/>
      <w:divBdr>
        <w:top w:val="none" w:sz="0" w:space="0" w:color="auto"/>
        <w:left w:val="none" w:sz="0" w:space="0" w:color="auto"/>
        <w:bottom w:val="none" w:sz="0" w:space="0" w:color="auto"/>
        <w:right w:val="none" w:sz="0" w:space="0" w:color="auto"/>
      </w:divBdr>
      <w:divsChild>
        <w:div w:id="601492013">
          <w:marLeft w:val="0"/>
          <w:marRight w:val="0"/>
          <w:marTop w:val="0"/>
          <w:marBottom w:val="0"/>
          <w:divBdr>
            <w:top w:val="none" w:sz="0" w:space="0" w:color="auto"/>
            <w:left w:val="none" w:sz="0" w:space="0" w:color="auto"/>
            <w:bottom w:val="none" w:sz="0" w:space="0" w:color="auto"/>
            <w:right w:val="none" w:sz="0" w:space="0" w:color="auto"/>
          </w:divBdr>
        </w:div>
        <w:div w:id="1947271389">
          <w:marLeft w:val="0"/>
          <w:marRight w:val="0"/>
          <w:marTop w:val="0"/>
          <w:marBottom w:val="0"/>
          <w:divBdr>
            <w:top w:val="none" w:sz="0" w:space="0" w:color="auto"/>
            <w:left w:val="none" w:sz="0" w:space="0" w:color="auto"/>
            <w:bottom w:val="none" w:sz="0" w:space="0" w:color="auto"/>
            <w:right w:val="none" w:sz="0" w:space="0" w:color="auto"/>
          </w:divBdr>
        </w:div>
      </w:divsChild>
    </w:div>
    <w:div w:id="332298899">
      <w:bodyDiv w:val="1"/>
      <w:marLeft w:val="0"/>
      <w:marRight w:val="0"/>
      <w:marTop w:val="0"/>
      <w:marBottom w:val="0"/>
      <w:divBdr>
        <w:top w:val="none" w:sz="0" w:space="0" w:color="auto"/>
        <w:left w:val="none" w:sz="0" w:space="0" w:color="auto"/>
        <w:bottom w:val="none" w:sz="0" w:space="0" w:color="auto"/>
        <w:right w:val="none" w:sz="0" w:space="0" w:color="auto"/>
      </w:divBdr>
    </w:div>
    <w:div w:id="335766949">
      <w:bodyDiv w:val="1"/>
      <w:marLeft w:val="0"/>
      <w:marRight w:val="0"/>
      <w:marTop w:val="0"/>
      <w:marBottom w:val="0"/>
      <w:divBdr>
        <w:top w:val="none" w:sz="0" w:space="0" w:color="auto"/>
        <w:left w:val="none" w:sz="0" w:space="0" w:color="auto"/>
        <w:bottom w:val="none" w:sz="0" w:space="0" w:color="auto"/>
        <w:right w:val="none" w:sz="0" w:space="0" w:color="auto"/>
      </w:divBdr>
    </w:div>
    <w:div w:id="335808852">
      <w:bodyDiv w:val="1"/>
      <w:marLeft w:val="0"/>
      <w:marRight w:val="0"/>
      <w:marTop w:val="0"/>
      <w:marBottom w:val="0"/>
      <w:divBdr>
        <w:top w:val="none" w:sz="0" w:space="0" w:color="auto"/>
        <w:left w:val="none" w:sz="0" w:space="0" w:color="auto"/>
        <w:bottom w:val="none" w:sz="0" w:space="0" w:color="auto"/>
        <w:right w:val="none" w:sz="0" w:space="0" w:color="auto"/>
      </w:divBdr>
    </w:div>
    <w:div w:id="336465755">
      <w:bodyDiv w:val="1"/>
      <w:marLeft w:val="0"/>
      <w:marRight w:val="0"/>
      <w:marTop w:val="0"/>
      <w:marBottom w:val="0"/>
      <w:divBdr>
        <w:top w:val="none" w:sz="0" w:space="0" w:color="auto"/>
        <w:left w:val="none" w:sz="0" w:space="0" w:color="auto"/>
        <w:bottom w:val="none" w:sz="0" w:space="0" w:color="auto"/>
        <w:right w:val="none" w:sz="0" w:space="0" w:color="auto"/>
      </w:divBdr>
    </w:div>
    <w:div w:id="336616659">
      <w:bodyDiv w:val="1"/>
      <w:marLeft w:val="0"/>
      <w:marRight w:val="0"/>
      <w:marTop w:val="0"/>
      <w:marBottom w:val="0"/>
      <w:divBdr>
        <w:top w:val="none" w:sz="0" w:space="0" w:color="auto"/>
        <w:left w:val="none" w:sz="0" w:space="0" w:color="auto"/>
        <w:bottom w:val="none" w:sz="0" w:space="0" w:color="auto"/>
        <w:right w:val="none" w:sz="0" w:space="0" w:color="auto"/>
      </w:divBdr>
      <w:divsChild>
        <w:div w:id="499319437">
          <w:marLeft w:val="0"/>
          <w:marRight w:val="0"/>
          <w:marTop w:val="0"/>
          <w:marBottom w:val="0"/>
          <w:divBdr>
            <w:top w:val="none" w:sz="0" w:space="0" w:color="auto"/>
            <w:left w:val="none" w:sz="0" w:space="0" w:color="auto"/>
            <w:bottom w:val="none" w:sz="0" w:space="0" w:color="auto"/>
            <w:right w:val="none" w:sz="0" w:space="0" w:color="auto"/>
          </w:divBdr>
        </w:div>
        <w:div w:id="1857576370">
          <w:marLeft w:val="0"/>
          <w:marRight w:val="0"/>
          <w:marTop w:val="0"/>
          <w:marBottom w:val="0"/>
          <w:divBdr>
            <w:top w:val="none" w:sz="0" w:space="0" w:color="auto"/>
            <w:left w:val="none" w:sz="0" w:space="0" w:color="auto"/>
            <w:bottom w:val="none" w:sz="0" w:space="0" w:color="auto"/>
            <w:right w:val="none" w:sz="0" w:space="0" w:color="auto"/>
          </w:divBdr>
        </w:div>
      </w:divsChild>
    </w:div>
    <w:div w:id="338311643">
      <w:bodyDiv w:val="1"/>
      <w:marLeft w:val="0"/>
      <w:marRight w:val="0"/>
      <w:marTop w:val="0"/>
      <w:marBottom w:val="0"/>
      <w:divBdr>
        <w:top w:val="none" w:sz="0" w:space="0" w:color="auto"/>
        <w:left w:val="none" w:sz="0" w:space="0" w:color="auto"/>
        <w:bottom w:val="none" w:sz="0" w:space="0" w:color="auto"/>
        <w:right w:val="none" w:sz="0" w:space="0" w:color="auto"/>
      </w:divBdr>
    </w:div>
    <w:div w:id="338428375">
      <w:bodyDiv w:val="1"/>
      <w:marLeft w:val="0"/>
      <w:marRight w:val="0"/>
      <w:marTop w:val="0"/>
      <w:marBottom w:val="0"/>
      <w:divBdr>
        <w:top w:val="none" w:sz="0" w:space="0" w:color="auto"/>
        <w:left w:val="none" w:sz="0" w:space="0" w:color="auto"/>
        <w:bottom w:val="none" w:sz="0" w:space="0" w:color="auto"/>
        <w:right w:val="none" w:sz="0" w:space="0" w:color="auto"/>
      </w:divBdr>
    </w:div>
    <w:div w:id="338429311">
      <w:bodyDiv w:val="1"/>
      <w:marLeft w:val="0"/>
      <w:marRight w:val="0"/>
      <w:marTop w:val="0"/>
      <w:marBottom w:val="0"/>
      <w:divBdr>
        <w:top w:val="none" w:sz="0" w:space="0" w:color="auto"/>
        <w:left w:val="none" w:sz="0" w:space="0" w:color="auto"/>
        <w:bottom w:val="none" w:sz="0" w:space="0" w:color="auto"/>
        <w:right w:val="none" w:sz="0" w:space="0" w:color="auto"/>
      </w:divBdr>
    </w:div>
    <w:div w:id="339506561">
      <w:bodyDiv w:val="1"/>
      <w:marLeft w:val="0"/>
      <w:marRight w:val="0"/>
      <w:marTop w:val="0"/>
      <w:marBottom w:val="0"/>
      <w:divBdr>
        <w:top w:val="none" w:sz="0" w:space="0" w:color="auto"/>
        <w:left w:val="none" w:sz="0" w:space="0" w:color="auto"/>
        <w:bottom w:val="none" w:sz="0" w:space="0" w:color="auto"/>
        <w:right w:val="none" w:sz="0" w:space="0" w:color="auto"/>
      </w:divBdr>
    </w:div>
    <w:div w:id="342898384">
      <w:bodyDiv w:val="1"/>
      <w:marLeft w:val="0"/>
      <w:marRight w:val="0"/>
      <w:marTop w:val="0"/>
      <w:marBottom w:val="0"/>
      <w:divBdr>
        <w:top w:val="none" w:sz="0" w:space="0" w:color="auto"/>
        <w:left w:val="none" w:sz="0" w:space="0" w:color="auto"/>
        <w:bottom w:val="none" w:sz="0" w:space="0" w:color="auto"/>
        <w:right w:val="none" w:sz="0" w:space="0" w:color="auto"/>
      </w:divBdr>
    </w:div>
    <w:div w:id="344863783">
      <w:bodyDiv w:val="1"/>
      <w:marLeft w:val="0"/>
      <w:marRight w:val="0"/>
      <w:marTop w:val="0"/>
      <w:marBottom w:val="0"/>
      <w:divBdr>
        <w:top w:val="none" w:sz="0" w:space="0" w:color="auto"/>
        <w:left w:val="none" w:sz="0" w:space="0" w:color="auto"/>
        <w:bottom w:val="none" w:sz="0" w:space="0" w:color="auto"/>
        <w:right w:val="none" w:sz="0" w:space="0" w:color="auto"/>
      </w:divBdr>
    </w:div>
    <w:div w:id="346371668">
      <w:bodyDiv w:val="1"/>
      <w:marLeft w:val="0"/>
      <w:marRight w:val="0"/>
      <w:marTop w:val="0"/>
      <w:marBottom w:val="0"/>
      <w:divBdr>
        <w:top w:val="none" w:sz="0" w:space="0" w:color="auto"/>
        <w:left w:val="none" w:sz="0" w:space="0" w:color="auto"/>
        <w:bottom w:val="none" w:sz="0" w:space="0" w:color="auto"/>
        <w:right w:val="none" w:sz="0" w:space="0" w:color="auto"/>
      </w:divBdr>
    </w:div>
    <w:div w:id="355085127">
      <w:bodyDiv w:val="1"/>
      <w:marLeft w:val="0"/>
      <w:marRight w:val="0"/>
      <w:marTop w:val="0"/>
      <w:marBottom w:val="0"/>
      <w:divBdr>
        <w:top w:val="none" w:sz="0" w:space="0" w:color="auto"/>
        <w:left w:val="none" w:sz="0" w:space="0" w:color="auto"/>
        <w:bottom w:val="none" w:sz="0" w:space="0" w:color="auto"/>
        <w:right w:val="none" w:sz="0" w:space="0" w:color="auto"/>
      </w:divBdr>
    </w:div>
    <w:div w:id="356078746">
      <w:bodyDiv w:val="1"/>
      <w:marLeft w:val="0"/>
      <w:marRight w:val="0"/>
      <w:marTop w:val="0"/>
      <w:marBottom w:val="0"/>
      <w:divBdr>
        <w:top w:val="none" w:sz="0" w:space="0" w:color="auto"/>
        <w:left w:val="none" w:sz="0" w:space="0" w:color="auto"/>
        <w:bottom w:val="none" w:sz="0" w:space="0" w:color="auto"/>
        <w:right w:val="none" w:sz="0" w:space="0" w:color="auto"/>
      </w:divBdr>
      <w:divsChild>
        <w:div w:id="297498826">
          <w:marLeft w:val="0"/>
          <w:marRight w:val="0"/>
          <w:marTop w:val="0"/>
          <w:marBottom w:val="0"/>
          <w:divBdr>
            <w:top w:val="none" w:sz="0" w:space="0" w:color="auto"/>
            <w:left w:val="none" w:sz="0" w:space="0" w:color="auto"/>
            <w:bottom w:val="none" w:sz="0" w:space="0" w:color="auto"/>
            <w:right w:val="none" w:sz="0" w:space="0" w:color="auto"/>
          </w:divBdr>
        </w:div>
        <w:div w:id="351416150">
          <w:marLeft w:val="0"/>
          <w:marRight w:val="0"/>
          <w:marTop w:val="0"/>
          <w:marBottom w:val="0"/>
          <w:divBdr>
            <w:top w:val="none" w:sz="0" w:space="0" w:color="auto"/>
            <w:left w:val="none" w:sz="0" w:space="0" w:color="auto"/>
            <w:bottom w:val="none" w:sz="0" w:space="0" w:color="auto"/>
            <w:right w:val="none" w:sz="0" w:space="0" w:color="auto"/>
          </w:divBdr>
        </w:div>
      </w:divsChild>
    </w:div>
    <w:div w:id="358555019">
      <w:bodyDiv w:val="1"/>
      <w:marLeft w:val="0"/>
      <w:marRight w:val="0"/>
      <w:marTop w:val="0"/>
      <w:marBottom w:val="0"/>
      <w:divBdr>
        <w:top w:val="none" w:sz="0" w:space="0" w:color="auto"/>
        <w:left w:val="none" w:sz="0" w:space="0" w:color="auto"/>
        <w:bottom w:val="none" w:sz="0" w:space="0" w:color="auto"/>
        <w:right w:val="none" w:sz="0" w:space="0" w:color="auto"/>
      </w:divBdr>
      <w:divsChild>
        <w:div w:id="47191059">
          <w:marLeft w:val="0"/>
          <w:marRight w:val="0"/>
          <w:marTop w:val="0"/>
          <w:marBottom w:val="0"/>
          <w:divBdr>
            <w:top w:val="none" w:sz="0" w:space="0" w:color="auto"/>
            <w:left w:val="none" w:sz="0" w:space="0" w:color="auto"/>
            <w:bottom w:val="none" w:sz="0" w:space="0" w:color="auto"/>
            <w:right w:val="none" w:sz="0" w:space="0" w:color="auto"/>
          </w:divBdr>
        </w:div>
        <w:div w:id="482743947">
          <w:marLeft w:val="0"/>
          <w:marRight w:val="0"/>
          <w:marTop w:val="0"/>
          <w:marBottom w:val="0"/>
          <w:divBdr>
            <w:top w:val="none" w:sz="0" w:space="0" w:color="auto"/>
            <w:left w:val="none" w:sz="0" w:space="0" w:color="auto"/>
            <w:bottom w:val="none" w:sz="0" w:space="0" w:color="auto"/>
            <w:right w:val="none" w:sz="0" w:space="0" w:color="auto"/>
          </w:divBdr>
        </w:div>
        <w:div w:id="1325084883">
          <w:marLeft w:val="0"/>
          <w:marRight w:val="0"/>
          <w:marTop w:val="0"/>
          <w:marBottom w:val="0"/>
          <w:divBdr>
            <w:top w:val="none" w:sz="0" w:space="0" w:color="auto"/>
            <w:left w:val="none" w:sz="0" w:space="0" w:color="auto"/>
            <w:bottom w:val="none" w:sz="0" w:space="0" w:color="auto"/>
            <w:right w:val="none" w:sz="0" w:space="0" w:color="auto"/>
          </w:divBdr>
        </w:div>
      </w:divsChild>
    </w:div>
    <w:div w:id="359672262">
      <w:bodyDiv w:val="1"/>
      <w:marLeft w:val="0"/>
      <w:marRight w:val="0"/>
      <w:marTop w:val="0"/>
      <w:marBottom w:val="0"/>
      <w:divBdr>
        <w:top w:val="none" w:sz="0" w:space="0" w:color="auto"/>
        <w:left w:val="none" w:sz="0" w:space="0" w:color="auto"/>
        <w:bottom w:val="none" w:sz="0" w:space="0" w:color="auto"/>
        <w:right w:val="none" w:sz="0" w:space="0" w:color="auto"/>
      </w:divBdr>
      <w:divsChild>
        <w:div w:id="345250265">
          <w:marLeft w:val="0"/>
          <w:marRight w:val="0"/>
          <w:marTop w:val="0"/>
          <w:marBottom w:val="0"/>
          <w:divBdr>
            <w:top w:val="none" w:sz="0" w:space="0" w:color="auto"/>
            <w:left w:val="none" w:sz="0" w:space="0" w:color="auto"/>
            <w:bottom w:val="none" w:sz="0" w:space="0" w:color="auto"/>
            <w:right w:val="none" w:sz="0" w:space="0" w:color="auto"/>
          </w:divBdr>
          <w:divsChild>
            <w:div w:id="21079929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2563082">
      <w:bodyDiv w:val="1"/>
      <w:marLeft w:val="0"/>
      <w:marRight w:val="0"/>
      <w:marTop w:val="0"/>
      <w:marBottom w:val="0"/>
      <w:divBdr>
        <w:top w:val="none" w:sz="0" w:space="0" w:color="auto"/>
        <w:left w:val="none" w:sz="0" w:space="0" w:color="auto"/>
        <w:bottom w:val="none" w:sz="0" w:space="0" w:color="auto"/>
        <w:right w:val="none" w:sz="0" w:space="0" w:color="auto"/>
      </w:divBdr>
      <w:divsChild>
        <w:div w:id="656419817">
          <w:marLeft w:val="0"/>
          <w:marRight w:val="0"/>
          <w:marTop w:val="0"/>
          <w:marBottom w:val="0"/>
          <w:divBdr>
            <w:top w:val="none" w:sz="0" w:space="0" w:color="auto"/>
            <w:left w:val="none" w:sz="0" w:space="0" w:color="auto"/>
            <w:bottom w:val="none" w:sz="0" w:space="0" w:color="auto"/>
            <w:right w:val="none" w:sz="0" w:space="0" w:color="auto"/>
          </w:divBdr>
        </w:div>
        <w:div w:id="831288856">
          <w:marLeft w:val="0"/>
          <w:marRight w:val="0"/>
          <w:marTop w:val="0"/>
          <w:marBottom w:val="0"/>
          <w:divBdr>
            <w:top w:val="none" w:sz="0" w:space="0" w:color="auto"/>
            <w:left w:val="none" w:sz="0" w:space="0" w:color="auto"/>
            <w:bottom w:val="none" w:sz="0" w:space="0" w:color="auto"/>
            <w:right w:val="none" w:sz="0" w:space="0" w:color="auto"/>
          </w:divBdr>
        </w:div>
      </w:divsChild>
    </w:div>
    <w:div w:id="374934612">
      <w:bodyDiv w:val="1"/>
      <w:marLeft w:val="0"/>
      <w:marRight w:val="0"/>
      <w:marTop w:val="0"/>
      <w:marBottom w:val="0"/>
      <w:divBdr>
        <w:top w:val="none" w:sz="0" w:space="0" w:color="auto"/>
        <w:left w:val="none" w:sz="0" w:space="0" w:color="auto"/>
        <w:bottom w:val="none" w:sz="0" w:space="0" w:color="auto"/>
        <w:right w:val="none" w:sz="0" w:space="0" w:color="auto"/>
      </w:divBdr>
      <w:divsChild>
        <w:div w:id="639917867">
          <w:marLeft w:val="0"/>
          <w:marRight w:val="0"/>
          <w:marTop w:val="0"/>
          <w:marBottom w:val="0"/>
          <w:divBdr>
            <w:top w:val="none" w:sz="0" w:space="0" w:color="auto"/>
            <w:left w:val="none" w:sz="0" w:space="0" w:color="auto"/>
            <w:bottom w:val="none" w:sz="0" w:space="0" w:color="auto"/>
            <w:right w:val="none" w:sz="0" w:space="0" w:color="auto"/>
          </w:divBdr>
        </w:div>
        <w:div w:id="695424308">
          <w:marLeft w:val="0"/>
          <w:marRight w:val="0"/>
          <w:marTop w:val="0"/>
          <w:marBottom w:val="0"/>
          <w:divBdr>
            <w:top w:val="none" w:sz="0" w:space="0" w:color="auto"/>
            <w:left w:val="none" w:sz="0" w:space="0" w:color="auto"/>
            <w:bottom w:val="none" w:sz="0" w:space="0" w:color="auto"/>
            <w:right w:val="none" w:sz="0" w:space="0" w:color="auto"/>
          </w:divBdr>
        </w:div>
        <w:div w:id="1353067614">
          <w:marLeft w:val="0"/>
          <w:marRight w:val="0"/>
          <w:marTop w:val="0"/>
          <w:marBottom w:val="0"/>
          <w:divBdr>
            <w:top w:val="none" w:sz="0" w:space="0" w:color="auto"/>
            <w:left w:val="none" w:sz="0" w:space="0" w:color="auto"/>
            <w:bottom w:val="none" w:sz="0" w:space="0" w:color="auto"/>
            <w:right w:val="none" w:sz="0" w:space="0" w:color="auto"/>
          </w:divBdr>
        </w:div>
        <w:div w:id="1534880786">
          <w:marLeft w:val="0"/>
          <w:marRight w:val="0"/>
          <w:marTop w:val="0"/>
          <w:marBottom w:val="0"/>
          <w:divBdr>
            <w:top w:val="none" w:sz="0" w:space="0" w:color="auto"/>
            <w:left w:val="none" w:sz="0" w:space="0" w:color="auto"/>
            <w:bottom w:val="none" w:sz="0" w:space="0" w:color="auto"/>
            <w:right w:val="none" w:sz="0" w:space="0" w:color="auto"/>
          </w:divBdr>
        </w:div>
      </w:divsChild>
    </w:div>
    <w:div w:id="375158842">
      <w:bodyDiv w:val="1"/>
      <w:marLeft w:val="0"/>
      <w:marRight w:val="0"/>
      <w:marTop w:val="0"/>
      <w:marBottom w:val="0"/>
      <w:divBdr>
        <w:top w:val="none" w:sz="0" w:space="0" w:color="auto"/>
        <w:left w:val="none" w:sz="0" w:space="0" w:color="auto"/>
        <w:bottom w:val="none" w:sz="0" w:space="0" w:color="auto"/>
        <w:right w:val="none" w:sz="0" w:space="0" w:color="auto"/>
      </w:divBdr>
    </w:div>
    <w:div w:id="376198895">
      <w:bodyDiv w:val="1"/>
      <w:marLeft w:val="0"/>
      <w:marRight w:val="0"/>
      <w:marTop w:val="0"/>
      <w:marBottom w:val="0"/>
      <w:divBdr>
        <w:top w:val="none" w:sz="0" w:space="0" w:color="auto"/>
        <w:left w:val="none" w:sz="0" w:space="0" w:color="auto"/>
        <w:bottom w:val="none" w:sz="0" w:space="0" w:color="auto"/>
        <w:right w:val="none" w:sz="0" w:space="0" w:color="auto"/>
      </w:divBdr>
      <w:divsChild>
        <w:div w:id="293289247">
          <w:marLeft w:val="0"/>
          <w:marRight w:val="0"/>
          <w:marTop w:val="0"/>
          <w:marBottom w:val="0"/>
          <w:divBdr>
            <w:top w:val="none" w:sz="0" w:space="0" w:color="auto"/>
            <w:left w:val="none" w:sz="0" w:space="0" w:color="auto"/>
            <w:bottom w:val="none" w:sz="0" w:space="0" w:color="auto"/>
            <w:right w:val="none" w:sz="0" w:space="0" w:color="auto"/>
          </w:divBdr>
        </w:div>
        <w:div w:id="1435856097">
          <w:marLeft w:val="0"/>
          <w:marRight w:val="0"/>
          <w:marTop w:val="0"/>
          <w:marBottom w:val="0"/>
          <w:divBdr>
            <w:top w:val="none" w:sz="0" w:space="0" w:color="auto"/>
            <w:left w:val="none" w:sz="0" w:space="0" w:color="auto"/>
            <w:bottom w:val="none" w:sz="0" w:space="0" w:color="auto"/>
            <w:right w:val="none" w:sz="0" w:space="0" w:color="auto"/>
          </w:divBdr>
        </w:div>
      </w:divsChild>
    </w:div>
    <w:div w:id="376781538">
      <w:bodyDiv w:val="1"/>
      <w:marLeft w:val="0"/>
      <w:marRight w:val="0"/>
      <w:marTop w:val="0"/>
      <w:marBottom w:val="0"/>
      <w:divBdr>
        <w:top w:val="none" w:sz="0" w:space="0" w:color="auto"/>
        <w:left w:val="none" w:sz="0" w:space="0" w:color="auto"/>
        <w:bottom w:val="none" w:sz="0" w:space="0" w:color="auto"/>
        <w:right w:val="none" w:sz="0" w:space="0" w:color="auto"/>
      </w:divBdr>
      <w:divsChild>
        <w:div w:id="721441898">
          <w:marLeft w:val="0"/>
          <w:marRight w:val="0"/>
          <w:marTop w:val="0"/>
          <w:marBottom w:val="0"/>
          <w:divBdr>
            <w:top w:val="none" w:sz="0" w:space="0" w:color="auto"/>
            <w:left w:val="none" w:sz="0" w:space="0" w:color="auto"/>
            <w:bottom w:val="none" w:sz="0" w:space="0" w:color="auto"/>
            <w:right w:val="none" w:sz="0" w:space="0" w:color="auto"/>
          </w:divBdr>
        </w:div>
        <w:div w:id="1699963542">
          <w:marLeft w:val="0"/>
          <w:marRight w:val="0"/>
          <w:marTop w:val="0"/>
          <w:marBottom w:val="0"/>
          <w:divBdr>
            <w:top w:val="none" w:sz="0" w:space="0" w:color="auto"/>
            <w:left w:val="none" w:sz="0" w:space="0" w:color="auto"/>
            <w:bottom w:val="none" w:sz="0" w:space="0" w:color="auto"/>
            <w:right w:val="none" w:sz="0" w:space="0" w:color="auto"/>
          </w:divBdr>
        </w:div>
        <w:div w:id="2099131800">
          <w:marLeft w:val="0"/>
          <w:marRight w:val="0"/>
          <w:marTop w:val="0"/>
          <w:marBottom w:val="0"/>
          <w:divBdr>
            <w:top w:val="none" w:sz="0" w:space="0" w:color="auto"/>
            <w:left w:val="none" w:sz="0" w:space="0" w:color="auto"/>
            <w:bottom w:val="none" w:sz="0" w:space="0" w:color="auto"/>
            <w:right w:val="none" w:sz="0" w:space="0" w:color="auto"/>
          </w:divBdr>
        </w:div>
      </w:divsChild>
    </w:div>
    <w:div w:id="376856043">
      <w:bodyDiv w:val="1"/>
      <w:marLeft w:val="0"/>
      <w:marRight w:val="0"/>
      <w:marTop w:val="0"/>
      <w:marBottom w:val="0"/>
      <w:divBdr>
        <w:top w:val="none" w:sz="0" w:space="0" w:color="auto"/>
        <w:left w:val="none" w:sz="0" w:space="0" w:color="auto"/>
        <w:bottom w:val="none" w:sz="0" w:space="0" w:color="auto"/>
        <w:right w:val="none" w:sz="0" w:space="0" w:color="auto"/>
      </w:divBdr>
      <w:divsChild>
        <w:div w:id="323901493">
          <w:marLeft w:val="0"/>
          <w:marRight w:val="0"/>
          <w:marTop w:val="0"/>
          <w:marBottom w:val="0"/>
          <w:divBdr>
            <w:top w:val="none" w:sz="0" w:space="0" w:color="auto"/>
            <w:left w:val="none" w:sz="0" w:space="0" w:color="auto"/>
            <w:bottom w:val="none" w:sz="0" w:space="0" w:color="auto"/>
            <w:right w:val="none" w:sz="0" w:space="0" w:color="auto"/>
          </w:divBdr>
        </w:div>
        <w:div w:id="427120687">
          <w:marLeft w:val="0"/>
          <w:marRight w:val="0"/>
          <w:marTop w:val="0"/>
          <w:marBottom w:val="0"/>
          <w:divBdr>
            <w:top w:val="none" w:sz="0" w:space="0" w:color="auto"/>
            <w:left w:val="none" w:sz="0" w:space="0" w:color="auto"/>
            <w:bottom w:val="none" w:sz="0" w:space="0" w:color="auto"/>
            <w:right w:val="none" w:sz="0" w:space="0" w:color="auto"/>
          </w:divBdr>
        </w:div>
      </w:divsChild>
    </w:div>
    <w:div w:id="377049955">
      <w:bodyDiv w:val="1"/>
      <w:marLeft w:val="0"/>
      <w:marRight w:val="0"/>
      <w:marTop w:val="0"/>
      <w:marBottom w:val="0"/>
      <w:divBdr>
        <w:top w:val="none" w:sz="0" w:space="0" w:color="auto"/>
        <w:left w:val="none" w:sz="0" w:space="0" w:color="auto"/>
        <w:bottom w:val="none" w:sz="0" w:space="0" w:color="auto"/>
        <w:right w:val="none" w:sz="0" w:space="0" w:color="auto"/>
      </w:divBdr>
    </w:div>
    <w:div w:id="377436160">
      <w:bodyDiv w:val="1"/>
      <w:marLeft w:val="0"/>
      <w:marRight w:val="0"/>
      <w:marTop w:val="0"/>
      <w:marBottom w:val="0"/>
      <w:divBdr>
        <w:top w:val="none" w:sz="0" w:space="0" w:color="auto"/>
        <w:left w:val="none" w:sz="0" w:space="0" w:color="auto"/>
        <w:bottom w:val="none" w:sz="0" w:space="0" w:color="auto"/>
        <w:right w:val="none" w:sz="0" w:space="0" w:color="auto"/>
      </w:divBdr>
    </w:div>
    <w:div w:id="380833018">
      <w:bodyDiv w:val="1"/>
      <w:marLeft w:val="0"/>
      <w:marRight w:val="0"/>
      <w:marTop w:val="0"/>
      <w:marBottom w:val="0"/>
      <w:divBdr>
        <w:top w:val="none" w:sz="0" w:space="0" w:color="auto"/>
        <w:left w:val="none" w:sz="0" w:space="0" w:color="auto"/>
        <w:bottom w:val="none" w:sz="0" w:space="0" w:color="auto"/>
        <w:right w:val="none" w:sz="0" w:space="0" w:color="auto"/>
      </w:divBdr>
      <w:divsChild>
        <w:div w:id="382602870">
          <w:marLeft w:val="0"/>
          <w:marRight w:val="0"/>
          <w:marTop w:val="0"/>
          <w:marBottom w:val="0"/>
          <w:divBdr>
            <w:top w:val="none" w:sz="0" w:space="0" w:color="auto"/>
            <w:left w:val="none" w:sz="0" w:space="0" w:color="auto"/>
            <w:bottom w:val="none" w:sz="0" w:space="0" w:color="auto"/>
            <w:right w:val="none" w:sz="0" w:space="0" w:color="auto"/>
          </w:divBdr>
        </w:div>
        <w:div w:id="631640339">
          <w:marLeft w:val="0"/>
          <w:marRight w:val="0"/>
          <w:marTop w:val="0"/>
          <w:marBottom w:val="0"/>
          <w:divBdr>
            <w:top w:val="none" w:sz="0" w:space="0" w:color="auto"/>
            <w:left w:val="none" w:sz="0" w:space="0" w:color="auto"/>
            <w:bottom w:val="none" w:sz="0" w:space="0" w:color="auto"/>
            <w:right w:val="none" w:sz="0" w:space="0" w:color="auto"/>
          </w:divBdr>
        </w:div>
        <w:div w:id="1437406680">
          <w:marLeft w:val="0"/>
          <w:marRight w:val="0"/>
          <w:marTop w:val="0"/>
          <w:marBottom w:val="0"/>
          <w:divBdr>
            <w:top w:val="none" w:sz="0" w:space="0" w:color="auto"/>
            <w:left w:val="none" w:sz="0" w:space="0" w:color="auto"/>
            <w:bottom w:val="none" w:sz="0" w:space="0" w:color="auto"/>
            <w:right w:val="none" w:sz="0" w:space="0" w:color="auto"/>
          </w:divBdr>
        </w:div>
      </w:divsChild>
    </w:div>
    <w:div w:id="380905124">
      <w:bodyDiv w:val="1"/>
      <w:marLeft w:val="0"/>
      <w:marRight w:val="0"/>
      <w:marTop w:val="0"/>
      <w:marBottom w:val="0"/>
      <w:divBdr>
        <w:top w:val="none" w:sz="0" w:space="0" w:color="auto"/>
        <w:left w:val="none" w:sz="0" w:space="0" w:color="auto"/>
        <w:bottom w:val="none" w:sz="0" w:space="0" w:color="auto"/>
        <w:right w:val="none" w:sz="0" w:space="0" w:color="auto"/>
      </w:divBdr>
      <w:divsChild>
        <w:div w:id="1280842737">
          <w:marLeft w:val="0"/>
          <w:marRight w:val="0"/>
          <w:marTop w:val="0"/>
          <w:marBottom w:val="0"/>
          <w:divBdr>
            <w:top w:val="none" w:sz="0" w:space="0" w:color="auto"/>
            <w:left w:val="none" w:sz="0" w:space="0" w:color="auto"/>
            <w:bottom w:val="none" w:sz="0" w:space="0" w:color="auto"/>
            <w:right w:val="none" w:sz="0" w:space="0" w:color="auto"/>
          </w:divBdr>
        </w:div>
        <w:div w:id="2128231198">
          <w:marLeft w:val="0"/>
          <w:marRight w:val="0"/>
          <w:marTop w:val="0"/>
          <w:marBottom w:val="0"/>
          <w:divBdr>
            <w:top w:val="none" w:sz="0" w:space="0" w:color="auto"/>
            <w:left w:val="none" w:sz="0" w:space="0" w:color="auto"/>
            <w:bottom w:val="none" w:sz="0" w:space="0" w:color="auto"/>
            <w:right w:val="none" w:sz="0" w:space="0" w:color="auto"/>
          </w:divBdr>
        </w:div>
      </w:divsChild>
    </w:div>
    <w:div w:id="383717923">
      <w:bodyDiv w:val="1"/>
      <w:marLeft w:val="0"/>
      <w:marRight w:val="0"/>
      <w:marTop w:val="0"/>
      <w:marBottom w:val="0"/>
      <w:divBdr>
        <w:top w:val="none" w:sz="0" w:space="0" w:color="auto"/>
        <w:left w:val="none" w:sz="0" w:space="0" w:color="auto"/>
        <w:bottom w:val="none" w:sz="0" w:space="0" w:color="auto"/>
        <w:right w:val="none" w:sz="0" w:space="0" w:color="auto"/>
      </w:divBdr>
      <w:divsChild>
        <w:div w:id="1840998615">
          <w:marLeft w:val="0"/>
          <w:marRight w:val="0"/>
          <w:marTop w:val="0"/>
          <w:marBottom w:val="0"/>
          <w:divBdr>
            <w:top w:val="none" w:sz="0" w:space="0" w:color="auto"/>
            <w:left w:val="none" w:sz="0" w:space="0" w:color="auto"/>
            <w:bottom w:val="none" w:sz="0" w:space="0" w:color="auto"/>
            <w:right w:val="none" w:sz="0" w:space="0" w:color="auto"/>
          </w:divBdr>
        </w:div>
        <w:div w:id="1916015887">
          <w:marLeft w:val="0"/>
          <w:marRight w:val="0"/>
          <w:marTop w:val="0"/>
          <w:marBottom w:val="0"/>
          <w:divBdr>
            <w:top w:val="none" w:sz="0" w:space="0" w:color="auto"/>
            <w:left w:val="none" w:sz="0" w:space="0" w:color="auto"/>
            <w:bottom w:val="none" w:sz="0" w:space="0" w:color="auto"/>
            <w:right w:val="none" w:sz="0" w:space="0" w:color="auto"/>
          </w:divBdr>
        </w:div>
      </w:divsChild>
    </w:div>
    <w:div w:id="384913653">
      <w:bodyDiv w:val="1"/>
      <w:marLeft w:val="0"/>
      <w:marRight w:val="0"/>
      <w:marTop w:val="0"/>
      <w:marBottom w:val="0"/>
      <w:divBdr>
        <w:top w:val="none" w:sz="0" w:space="0" w:color="auto"/>
        <w:left w:val="none" w:sz="0" w:space="0" w:color="auto"/>
        <w:bottom w:val="none" w:sz="0" w:space="0" w:color="auto"/>
        <w:right w:val="none" w:sz="0" w:space="0" w:color="auto"/>
      </w:divBdr>
      <w:divsChild>
        <w:div w:id="637955724">
          <w:marLeft w:val="0"/>
          <w:marRight w:val="0"/>
          <w:marTop w:val="0"/>
          <w:marBottom w:val="0"/>
          <w:divBdr>
            <w:top w:val="none" w:sz="0" w:space="0" w:color="auto"/>
            <w:left w:val="none" w:sz="0" w:space="0" w:color="auto"/>
            <w:bottom w:val="none" w:sz="0" w:space="0" w:color="auto"/>
            <w:right w:val="none" w:sz="0" w:space="0" w:color="auto"/>
          </w:divBdr>
        </w:div>
        <w:div w:id="2031829945">
          <w:marLeft w:val="0"/>
          <w:marRight w:val="0"/>
          <w:marTop w:val="0"/>
          <w:marBottom w:val="0"/>
          <w:divBdr>
            <w:top w:val="none" w:sz="0" w:space="0" w:color="auto"/>
            <w:left w:val="none" w:sz="0" w:space="0" w:color="auto"/>
            <w:bottom w:val="none" w:sz="0" w:space="0" w:color="auto"/>
            <w:right w:val="none" w:sz="0" w:space="0" w:color="auto"/>
          </w:divBdr>
        </w:div>
      </w:divsChild>
    </w:div>
    <w:div w:id="386074899">
      <w:bodyDiv w:val="1"/>
      <w:marLeft w:val="0"/>
      <w:marRight w:val="0"/>
      <w:marTop w:val="0"/>
      <w:marBottom w:val="0"/>
      <w:divBdr>
        <w:top w:val="none" w:sz="0" w:space="0" w:color="auto"/>
        <w:left w:val="none" w:sz="0" w:space="0" w:color="auto"/>
        <w:bottom w:val="none" w:sz="0" w:space="0" w:color="auto"/>
        <w:right w:val="none" w:sz="0" w:space="0" w:color="auto"/>
      </w:divBdr>
    </w:div>
    <w:div w:id="387069001">
      <w:bodyDiv w:val="1"/>
      <w:marLeft w:val="0"/>
      <w:marRight w:val="0"/>
      <w:marTop w:val="0"/>
      <w:marBottom w:val="0"/>
      <w:divBdr>
        <w:top w:val="none" w:sz="0" w:space="0" w:color="auto"/>
        <w:left w:val="none" w:sz="0" w:space="0" w:color="auto"/>
        <w:bottom w:val="none" w:sz="0" w:space="0" w:color="auto"/>
        <w:right w:val="none" w:sz="0" w:space="0" w:color="auto"/>
      </w:divBdr>
    </w:div>
    <w:div w:id="391926318">
      <w:bodyDiv w:val="1"/>
      <w:marLeft w:val="0"/>
      <w:marRight w:val="0"/>
      <w:marTop w:val="0"/>
      <w:marBottom w:val="0"/>
      <w:divBdr>
        <w:top w:val="none" w:sz="0" w:space="0" w:color="auto"/>
        <w:left w:val="none" w:sz="0" w:space="0" w:color="auto"/>
        <w:bottom w:val="none" w:sz="0" w:space="0" w:color="auto"/>
        <w:right w:val="none" w:sz="0" w:space="0" w:color="auto"/>
      </w:divBdr>
    </w:div>
    <w:div w:id="392583890">
      <w:bodyDiv w:val="1"/>
      <w:marLeft w:val="0"/>
      <w:marRight w:val="0"/>
      <w:marTop w:val="0"/>
      <w:marBottom w:val="0"/>
      <w:divBdr>
        <w:top w:val="none" w:sz="0" w:space="0" w:color="auto"/>
        <w:left w:val="none" w:sz="0" w:space="0" w:color="auto"/>
        <w:bottom w:val="none" w:sz="0" w:space="0" w:color="auto"/>
        <w:right w:val="none" w:sz="0" w:space="0" w:color="auto"/>
      </w:divBdr>
    </w:div>
    <w:div w:id="399718079">
      <w:bodyDiv w:val="1"/>
      <w:marLeft w:val="0"/>
      <w:marRight w:val="0"/>
      <w:marTop w:val="0"/>
      <w:marBottom w:val="0"/>
      <w:divBdr>
        <w:top w:val="none" w:sz="0" w:space="0" w:color="auto"/>
        <w:left w:val="none" w:sz="0" w:space="0" w:color="auto"/>
        <w:bottom w:val="none" w:sz="0" w:space="0" w:color="auto"/>
        <w:right w:val="none" w:sz="0" w:space="0" w:color="auto"/>
      </w:divBdr>
    </w:div>
    <w:div w:id="400687362">
      <w:bodyDiv w:val="1"/>
      <w:marLeft w:val="0"/>
      <w:marRight w:val="0"/>
      <w:marTop w:val="0"/>
      <w:marBottom w:val="0"/>
      <w:divBdr>
        <w:top w:val="none" w:sz="0" w:space="0" w:color="auto"/>
        <w:left w:val="none" w:sz="0" w:space="0" w:color="auto"/>
        <w:bottom w:val="none" w:sz="0" w:space="0" w:color="auto"/>
        <w:right w:val="none" w:sz="0" w:space="0" w:color="auto"/>
      </w:divBdr>
    </w:div>
    <w:div w:id="401606192">
      <w:bodyDiv w:val="1"/>
      <w:marLeft w:val="0"/>
      <w:marRight w:val="0"/>
      <w:marTop w:val="0"/>
      <w:marBottom w:val="0"/>
      <w:divBdr>
        <w:top w:val="none" w:sz="0" w:space="0" w:color="auto"/>
        <w:left w:val="none" w:sz="0" w:space="0" w:color="auto"/>
        <w:bottom w:val="none" w:sz="0" w:space="0" w:color="auto"/>
        <w:right w:val="none" w:sz="0" w:space="0" w:color="auto"/>
      </w:divBdr>
      <w:divsChild>
        <w:div w:id="1370490878">
          <w:marLeft w:val="0"/>
          <w:marRight w:val="0"/>
          <w:marTop w:val="0"/>
          <w:marBottom w:val="0"/>
          <w:divBdr>
            <w:top w:val="none" w:sz="0" w:space="0" w:color="auto"/>
            <w:left w:val="none" w:sz="0" w:space="0" w:color="auto"/>
            <w:bottom w:val="none" w:sz="0" w:space="0" w:color="auto"/>
            <w:right w:val="none" w:sz="0" w:space="0" w:color="auto"/>
          </w:divBdr>
        </w:div>
        <w:div w:id="1703242288">
          <w:marLeft w:val="0"/>
          <w:marRight w:val="0"/>
          <w:marTop w:val="0"/>
          <w:marBottom w:val="0"/>
          <w:divBdr>
            <w:top w:val="none" w:sz="0" w:space="0" w:color="auto"/>
            <w:left w:val="none" w:sz="0" w:space="0" w:color="auto"/>
            <w:bottom w:val="none" w:sz="0" w:space="0" w:color="auto"/>
            <w:right w:val="none" w:sz="0" w:space="0" w:color="auto"/>
          </w:divBdr>
        </w:div>
      </w:divsChild>
    </w:div>
    <w:div w:id="401874171">
      <w:bodyDiv w:val="1"/>
      <w:marLeft w:val="0"/>
      <w:marRight w:val="0"/>
      <w:marTop w:val="0"/>
      <w:marBottom w:val="0"/>
      <w:divBdr>
        <w:top w:val="none" w:sz="0" w:space="0" w:color="auto"/>
        <w:left w:val="none" w:sz="0" w:space="0" w:color="auto"/>
        <w:bottom w:val="none" w:sz="0" w:space="0" w:color="auto"/>
        <w:right w:val="none" w:sz="0" w:space="0" w:color="auto"/>
      </w:divBdr>
    </w:div>
    <w:div w:id="403527769">
      <w:bodyDiv w:val="1"/>
      <w:marLeft w:val="0"/>
      <w:marRight w:val="0"/>
      <w:marTop w:val="0"/>
      <w:marBottom w:val="0"/>
      <w:divBdr>
        <w:top w:val="none" w:sz="0" w:space="0" w:color="auto"/>
        <w:left w:val="none" w:sz="0" w:space="0" w:color="auto"/>
        <w:bottom w:val="none" w:sz="0" w:space="0" w:color="auto"/>
        <w:right w:val="none" w:sz="0" w:space="0" w:color="auto"/>
      </w:divBdr>
    </w:div>
    <w:div w:id="405301496">
      <w:bodyDiv w:val="1"/>
      <w:marLeft w:val="0"/>
      <w:marRight w:val="0"/>
      <w:marTop w:val="0"/>
      <w:marBottom w:val="0"/>
      <w:divBdr>
        <w:top w:val="none" w:sz="0" w:space="0" w:color="auto"/>
        <w:left w:val="none" w:sz="0" w:space="0" w:color="auto"/>
        <w:bottom w:val="none" w:sz="0" w:space="0" w:color="auto"/>
        <w:right w:val="none" w:sz="0" w:space="0" w:color="auto"/>
      </w:divBdr>
      <w:divsChild>
        <w:div w:id="1195196011">
          <w:marLeft w:val="0"/>
          <w:marRight w:val="0"/>
          <w:marTop w:val="0"/>
          <w:marBottom w:val="0"/>
          <w:divBdr>
            <w:top w:val="none" w:sz="0" w:space="0" w:color="auto"/>
            <w:left w:val="none" w:sz="0" w:space="0" w:color="auto"/>
            <w:bottom w:val="none" w:sz="0" w:space="0" w:color="auto"/>
            <w:right w:val="none" w:sz="0" w:space="0" w:color="auto"/>
          </w:divBdr>
        </w:div>
        <w:div w:id="2098552837">
          <w:marLeft w:val="0"/>
          <w:marRight w:val="0"/>
          <w:marTop w:val="0"/>
          <w:marBottom w:val="0"/>
          <w:divBdr>
            <w:top w:val="none" w:sz="0" w:space="0" w:color="auto"/>
            <w:left w:val="none" w:sz="0" w:space="0" w:color="auto"/>
            <w:bottom w:val="none" w:sz="0" w:space="0" w:color="auto"/>
            <w:right w:val="none" w:sz="0" w:space="0" w:color="auto"/>
          </w:divBdr>
        </w:div>
      </w:divsChild>
    </w:div>
    <w:div w:id="405492302">
      <w:bodyDiv w:val="1"/>
      <w:marLeft w:val="0"/>
      <w:marRight w:val="0"/>
      <w:marTop w:val="0"/>
      <w:marBottom w:val="0"/>
      <w:divBdr>
        <w:top w:val="none" w:sz="0" w:space="0" w:color="auto"/>
        <w:left w:val="none" w:sz="0" w:space="0" w:color="auto"/>
        <w:bottom w:val="none" w:sz="0" w:space="0" w:color="auto"/>
        <w:right w:val="none" w:sz="0" w:space="0" w:color="auto"/>
      </w:divBdr>
    </w:div>
    <w:div w:id="407117201">
      <w:bodyDiv w:val="1"/>
      <w:marLeft w:val="0"/>
      <w:marRight w:val="0"/>
      <w:marTop w:val="0"/>
      <w:marBottom w:val="0"/>
      <w:divBdr>
        <w:top w:val="none" w:sz="0" w:space="0" w:color="auto"/>
        <w:left w:val="none" w:sz="0" w:space="0" w:color="auto"/>
        <w:bottom w:val="none" w:sz="0" w:space="0" w:color="auto"/>
        <w:right w:val="none" w:sz="0" w:space="0" w:color="auto"/>
      </w:divBdr>
    </w:div>
    <w:div w:id="410468143">
      <w:bodyDiv w:val="1"/>
      <w:marLeft w:val="0"/>
      <w:marRight w:val="0"/>
      <w:marTop w:val="0"/>
      <w:marBottom w:val="0"/>
      <w:divBdr>
        <w:top w:val="none" w:sz="0" w:space="0" w:color="auto"/>
        <w:left w:val="none" w:sz="0" w:space="0" w:color="auto"/>
        <w:bottom w:val="none" w:sz="0" w:space="0" w:color="auto"/>
        <w:right w:val="none" w:sz="0" w:space="0" w:color="auto"/>
      </w:divBdr>
      <w:divsChild>
        <w:div w:id="2059545457">
          <w:marLeft w:val="0"/>
          <w:marRight w:val="0"/>
          <w:marTop w:val="0"/>
          <w:marBottom w:val="0"/>
          <w:divBdr>
            <w:top w:val="none" w:sz="0" w:space="0" w:color="auto"/>
            <w:left w:val="none" w:sz="0" w:space="0" w:color="auto"/>
            <w:bottom w:val="none" w:sz="0" w:space="0" w:color="auto"/>
            <w:right w:val="none" w:sz="0" w:space="0" w:color="auto"/>
          </w:divBdr>
        </w:div>
      </w:divsChild>
    </w:div>
    <w:div w:id="411705083">
      <w:bodyDiv w:val="1"/>
      <w:marLeft w:val="0"/>
      <w:marRight w:val="0"/>
      <w:marTop w:val="0"/>
      <w:marBottom w:val="0"/>
      <w:divBdr>
        <w:top w:val="none" w:sz="0" w:space="0" w:color="auto"/>
        <w:left w:val="none" w:sz="0" w:space="0" w:color="auto"/>
        <w:bottom w:val="none" w:sz="0" w:space="0" w:color="auto"/>
        <w:right w:val="none" w:sz="0" w:space="0" w:color="auto"/>
      </w:divBdr>
      <w:divsChild>
        <w:div w:id="824662953">
          <w:marLeft w:val="0"/>
          <w:marRight w:val="0"/>
          <w:marTop w:val="0"/>
          <w:marBottom w:val="0"/>
          <w:divBdr>
            <w:top w:val="none" w:sz="0" w:space="0" w:color="auto"/>
            <w:left w:val="none" w:sz="0" w:space="0" w:color="auto"/>
            <w:bottom w:val="none" w:sz="0" w:space="0" w:color="auto"/>
            <w:right w:val="none" w:sz="0" w:space="0" w:color="auto"/>
          </w:divBdr>
        </w:div>
        <w:div w:id="1174565413">
          <w:marLeft w:val="0"/>
          <w:marRight w:val="0"/>
          <w:marTop w:val="0"/>
          <w:marBottom w:val="0"/>
          <w:divBdr>
            <w:top w:val="none" w:sz="0" w:space="0" w:color="auto"/>
            <w:left w:val="none" w:sz="0" w:space="0" w:color="auto"/>
            <w:bottom w:val="none" w:sz="0" w:space="0" w:color="auto"/>
            <w:right w:val="none" w:sz="0" w:space="0" w:color="auto"/>
          </w:divBdr>
        </w:div>
      </w:divsChild>
    </w:div>
    <w:div w:id="418527788">
      <w:bodyDiv w:val="1"/>
      <w:marLeft w:val="0"/>
      <w:marRight w:val="0"/>
      <w:marTop w:val="0"/>
      <w:marBottom w:val="0"/>
      <w:divBdr>
        <w:top w:val="none" w:sz="0" w:space="0" w:color="auto"/>
        <w:left w:val="none" w:sz="0" w:space="0" w:color="auto"/>
        <w:bottom w:val="none" w:sz="0" w:space="0" w:color="auto"/>
        <w:right w:val="none" w:sz="0" w:space="0" w:color="auto"/>
      </w:divBdr>
    </w:div>
    <w:div w:id="423500169">
      <w:bodyDiv w:val="1"/>
      <w:marLeft w:val="0"/>
      <w:marRight w:val="0"/>
      <w:marTop w:val="0"/>
      <w:marBottom w:val="0"/>
      <w:divBdr>
        <w:top w:val="none" w:sz="0" w:space="0" w:color="auto"/>
        <w:left w:val="none" w:sz="0" w:space="0" w:color="auto"/>
        <w:bottom w:val="none" w:sz="0" w:space="0" w:color="auto"/>
        <w:right w:val="none" w:sz="0" w:space="0" w:color="auto"/>
      </w:divBdr>
    </w:div>
    <w:div w:id="424109473">
      <w:bodyDiv w:val="1"/>
      <w:marLeft w:val="0"/>
      <w:marRight w:val="0"/>
      <w:marTop w:val="0"/>
      <w:marBottom w:val="0"/>
      <w:divBdr>
        <w:top w:val="none" w:sz="0" w:space="0" w:color="auto"/>
        <w:left w:val="none" w:sz="0" w:space="0" w:color="auto"/>
        <w:bottom w:val="none" w:sz="0" w:space="0" w:color="auto"/>
        <w:right w:val="none" w:sz="0" w:space="0" w:color="auto"/>
      </w:divBdr>
    </w:div>
    <w:div w:id="426578269">
      <w:bodyDiv w:val="1"/>
      <w:marLeft w:val="0"/>
      <w:marRight w:val="0"/>
      <w:marTop w:val="0"/>
      <w:marBottom w:val="0"/>
      <w:divBdr>
        <w:top w:val="none" w:sz="0" w:space="0" w:color="auto"/>
        <w:left w:val="none" w:sz="0" w:space="0" w:color="auto"/>
        <w:bottom w:val="none" w:sz="0" w:space="0" w:color="auto"/>
        <w:right w:val="none" w:sz="0" w:space="0" w:color="auto"/>
      </w:divBdr>
    </w:div>
    <w:div w:id="427317481">
      <w:bodyDiv w:val="1"/>
      <w:marLeft w:val="0"/>
      <w:marRight w:val="0"/>
      <w:marTop w:val="0"/>
      <w:marBottom w:val="0"/>
      <w:divBdr>
        <w:top w:val="none" w:sz="0" w:space="0" w:color="auto"/>
        <w:left w:val="none" w:sz="0" w:space="0" w:color="auto"/>
        <w:bottom w:val="none" w:sz="0" w:space="0" w:color="auto"/>
        <w:right w:val="none" w:sz="0" w:space="0" w:color="auto"/>
      </w:divBdr>
    </w:div>
    <w:div w:id="432018472">
      <w:bodyDiv w:val="1"/>
      <w:marLeft w:val="0"/>
      <w:marRight w:val="0"/>
      <w:marTop w:val="0"/>
      <w:marBottom w:val="0"/>
      <w:divBdr>
        <w:top w:val="none" w:sz="0" w:space="0" w:color="auto"/>
        <w:left w:val="none" w:sz="0" w:space="0" w:color="auto"/>
        <w:bottom w:val="none" w:sz="0" w:space="0" w:color="auto"/>
        <w:right w:val="none" w:sz="0" w:space="0" w:color="auto"/>
      </w:divBdr>
    </w:div>
    <w:div w:id="432483371">
      <w:bodyDiv w:val="1"/>
      <w:marLeft w:val="0"/>
      <w:marRight w:val="0"/>
      <w:marTop w:val="0"/>
      <w:marBottom w:val="0"/>
      <w:divBdr>
        <w:top w:val="none" w:sz="0" w:space="0" w:color="auto"/>
        <w:left w:val="none" w:sz="0" w:space="0" w:color="auto"/>
        <w:bottom w:val="none" w:sz="0" w:space="0" w:color="auto"/>
        <w:right w:val="none" w:sz="0" w:space="0" w:color="auto"/>
      </w:divBdr>
    </w:div>
    <w:div w:id="433944633">
      <w:bodyDiv w:val="1"/>
      <w:marLeft w:val="0"/>
      <w:marRight w:val="0"/>
      <w:marTop w:val="0"/>
      <w:marBottom w:val="0"/>
      <w:divBdr>
        <w:top w:val="none" w:sz="0" w:space="0" w:color="auto"/>
        <w:left w:val="none" w:sz="0" w:space="0" w:color="auto"/>
        <w:bottom w:val="none" w:sz="0" w:space="0" w:color="auto"/>
        <w:right w:val="none" w:sz="0" w:space="0" w:color="auto"/>
      </w:divBdr>
      <w:divsChild>
        <w:div w:id="85808875">
          <w:marLeft w:val="0"/>
          <w:marRight w:val="0"/>
          <w:marTop w:val="0"/>
          <w:marBottom w:val="0"/>
          <w:divBdr>
            <w:top w:val="none" w:sz="0" w:space="0" w:color="auto"/>
            <w:left w:val="none" w:sz="0" w:space="0" w:color="auto"/>
            <w:bottom w:val="none" w:sz="0" w:space="0" w:color="auto"/>
            <w:right w:val="none" w:sz="0" w:space="0" w:color="auto"/>
          </w:divBdr>
        </w:div>
        <w:div w:id="696548044">
          <w:marLeft w:val="0"/>
          <w:marRight w:val="0"/>
          <w:marTop w:val="0"/>
          <w:marBottom w:val="0"/>
          <w:divBdr>
            <w:top w:val="none" w:sz="0" w:space="0" w:color="auto"/>
            <w:left w:val="none" w:sz="0" w:space="0" w:color="auto"/>
            <w:bottom w:val="none" w:sz="0" w:space="0" w:color="auto"/>
            <w:right w:val="none" w:sz="0" w:space="0" w:color="auto"/>
          </w:divBdr>
        </w:div>
      </w:divsChild>
    </w:div>
    <w:div w:id="437067459">
      <w:bodyDiv w:val="1"/>
      <w:marLeft w:val="0"/>
      <w:marRight w:val="0"/>
      <w:marTop w:val="0"/>
      <w:marBottom w:val="0"/>
      <w:divBdr>
        <w:top w:val="none" w:sz="0" w:space="0" w:color="auto"/>
        <w:left w:val="none" w:sz="0" w:space="0" w:color="auto"/>
        <w:bottom w:val="none" w:sz="0" w:space="0" w:color="auto"/>
        <w:right w:val="none" w:sz="0" w:space="0" w:color="auto"/>
      </w:divBdr>
    </w:div>
    <w:div w:id="439645109">
      <w:bodyDiv w:val="1"/>
      <w:marLeft w:val="0"/>
      <w:marRight w:val="0"/>
      <w:marTop w:val="0"/>
      <w:marBottom w:val="0"/>
      <w:divBdr>
        <w:top w:val="none" w:sz="0" w:space="0" w:color="auto"/>
        <w:left w:val="none" w:sz="0" w:space="0" w:color="auto"/>
        <w:bottom w:val="none" w:sz="0" w:space="0" w:color="auto"/>
        <w:right w:val="none" w:sz="0" w:space="0" w:color="auto"/>
      </w:divBdr>
    </w:div>
    <w:div w:id="439762580">
      <w:bodyDiv w:val="1"/>
      <w:marLeft w:val="0"/>
      <w:marRight w:val="0"/>
      <w:marTop w:val="0"/>
      <w:marBottom w:val="0"/>
      <w:divBdr>
        <w:top w:val="none" w:sz="0" w:space="0" w:color="auto"/>
        <w:left w:val="none" w:sz="0" w:space="0" w:color="auto"/>
        <w:bottom w:val="none" w:sz="0" w:space="0" w:color="auto"/>
        <w:right w:val="none" w:sz="0" w:space="0" w:color="auto"/>
      </w:divBdr>
      <w:divsChild>
        <w:div w:id="191917973">
          <w:marLeft w:val="0"/>
          <w:marRight w:val="0"/>
          <w:marTop w:val="0"/>
          <w:marBottom w:val="0"/>
          <w:divBdr>
            <w:top w:val="none" w:sz="0" w:space="0" w:color="auto"/>
            <w:left w:val="none" w:sz="0" w:space="0" w:color="auto"/>
            <w:bottom w:val="none" w:sz="0" w:space="0" w:color="auto"/>
            <w:right w:val="none" w:sz="0" w:space="0" w:color="auto"/>
          </w:divBdr>
        </w:div>
        <w:div w:id="1131553028">
          <w:marLeft w:val="0"/>
          <w:marRight w:val="0"/>
          <w:marTop w:val="0"/>
          <w:marBottom w:val="0"/>
          <w:divBdr>
            <w:top w:val="none" w:sz="0" w:space="0" w:color="auto"/>
            <w:left w:val="none" w:sz="0" w:space="0" w:color="auto"/>
            <w:bottom w:val="none" w:sz="0" w:space="0" w:color="auto"/>
            <w:right w:val="none" w:sz="0" w:space="0" w:color="auto"/>
          </w:divBdr>
          <w:divsChild>
            <w:div w:id="1501113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4734223">
      <w:bodyDiv w:val="1"/>
      <w:marLeft w:val="0"/>
      <w:marRight w:val="0"/>
      <w:marTop w:val="0"/>
      <w:marBottom w:val="0"/>
      <w:divBdr>
        <w:top w:val="none" w:sz="0" w:space="0" w:color="auto"/>
        <w:left w:val="none" w:sz="0" w:space="0" w:color="auto"/>
        <w:bottom w:val="none" w:sz="0" w:space="0" w:color="auto"/>
        <w:right w:val="none" w:sz="0" w:space="0" w:color="auto"/>
      </w:divBdr>
    </w:div>
    <w:div w:id="455830716">
      <w:bodyDiv w:val="1"/>
      <w:marLeft w:val="0"/>
      <w:marRight w:val="0"/>
      <w:marTop w:val="0"/>
      <w:marBottom w:val="0"/>
      <w:divBdr>
        <w:top w:val="none" w:sz="0" w:space="0" w:color="auto"/>
        <w:left w:val="none" w:sz="0" w:space="0" w:color="auto"/>
        <w:bottom w:val="none" w:sz="0" w:space="0" w:color="auto"/>
        <w:right w:val="none" w:sz="0" w:space="0" w:color="auto"/>
      </w:divBdr>
    </w:div>
    <w:div w:id="456606738">
      <w:bodyDiv w:val="1"/>
      <w:marLeft w:val="0"/>
      <w:marRight w:val="0"/>
      <w:marTop w:val="0"/>
      <w:marBottom w:val="0"/>
      <w:divBdr>
        <w:top w:val="none" w:sz="0" w:space="0" w:color="auto"/>
        <w:left w:val="none" w:sz="0" w:space="0" w:color="auto"/>
        <w:bottom w:val="none" w:sz="0" w:space="0" w:color="auto"/>
        <w:right w:val="none" w:sz="0" w:space="0" w:color="auto"/>
      </w:divBdr>
      <w:divsChild>
        <w:div w:id="250823908">
          <w:marLeft w:val="0"/>
          <w:marRight w:val="0"/>
          <w:marTop w:val="0"/>
          <w:marBottom w:val="0"/>
          <w:divBdr>
            <w:top w:val="none" w:sz="0" w:space="0" w:color="auto"/>
            <w:left w:val="none" w:sz="0" w:space="0" w:color="auto"/>
            <w:bottom w:val="none" w:sz="0" w:space="0" w:color="auto"/>
            <w:right w:val="none" w:sz="0" w:space="0" w:color="auto"/>
          </w:divBdr>
        </w:div>
        <w:div w:id="506216219">
          <w:marLeft w:val="0"/>
          <w:marRight w:val="0"/>
          <w:marTop w:val="0"/>
          <w:marBottom w:val="0"/>
          <w:divBdr>
            <w:top w:val="none" w:sz="0" w:space="0" w:color="auto"/>
            <w:left w:val="none" w:sz="0" w:space="0" w:color="auto"/>
            <w:bottom w:val="none" w:sz="0" w:space="0" w:color="auto"/>
            <w:right w:val="none" w:sz="0" w:space="0" w:color="auto"/>
          </w:divBdr>
        </w:div>
        <w:div w:id="1816951123">
          <w:marLeft w:val="0"/>
          <w:marRight w:val="0"/>
          <w:marTop w:val="0"/>
          <w:marBottom w:val="0"/>
          <w:divBdr>
            <w:top w:val="none" w:sz="0" w:space="0" w:color="auto"/>
            <w:left w:val="none" w:sz="0" w:space="0" w:color="auto"/>
            <w:bottom w:val="none" w:sz="0" w:space="0" w:color="auto"/>
            <w:right w:val="none" w:sz="0" w:space="0" w:color="auto"/>
          </w:divBdr>
        </w:div>
      </w:divsChild>
    </w:div>
    <w:div w:id="457577320">
      <w:bodyDiv w:val="1"/>
      <w:marLeft w:val="0"/>
      <w:marRight w:val="0"/>
      <w:marTop w:val="0"/>
      <w:marBottom w:val="0"/>
      <w:divBdr>
        <w:top w:val="none" w:sz="0" w:space="0" w:color="auto"/>
        <w:left w:val="none" w:sz="0" w:space="0" w:color="auto"/>
        <w:bottom w:val="none" w:sz="0" w:space="0" w:color="auto"/>
        <w:right w:val="none" w:sz="0" w:space="0" w:color="auto"/>
      </w:divBdr>
    </w:div>
    <w:div w:id="457797223">
      <w:bodyDiv w:val="1"/>
      <w:marLeft w:val="0"/>
      <w:marRight w:val="0"/>
      <w:marTop w:val="0"/>
      <w:marBottom w:val="0"/>
      <w:divBdr>
        <w:top w:val="none" w:sz="0" w:space="0" w:color="auto"/>
        <w:left w:val="none" w:sz="0" w:space="0" w:color="auto"/>
        <w:bottom w:val="none" w:sz="0" w:space="0" w:color="auto"/>
        <w:right w:val="none" w:sz="0" w:space="0" w:color="auto"/>
      </w:divBdr>
      <w:divsChild>
        <w:div w:id="1486895384">
          <w:marLeft w:val="0"/>
          <w:marRight w:val="0"/>
          <w:marTop w:val="0"/>
          <w:marBottom w:val="0"/>
          <w:divBdr>
            <w:top w:val="none" w:sz="0" w:space="0" w:color="auto"/>
            <w:left w:val="none" w:sz="0" w:space="0" w:color="auto"/>
            <w:bottom w:val="none" w:sz="0" w:space="0" w:color="auto"/>
            <w:right w:val="none" w:sz="0" w:space="0" w:color="auto"/>
          </w:divBdr>
        </w:div>
        <w:div w:id="1524661007">
          <w:marLeft w:val="0"/>
          <w:marRight w:val="0"/>
          <w:marTop w:val="0"/>
          <w:marBottom w:val="0"/>
          <w:divBdr>
            <w:top w:val="none" w:sz="0" w:space="0" w:color="auto"/>
            <w:left w:val="none" w:sz="0" w:space="0" w:color="auto"/>
            <w:bottom w:val="none" w:sz="0" w:space="0" w:color="auto"/>
            <w:right w:val="none" w:sz="0" w:space="0" w:color="auto"/>
          </w:divBdr>
        </w:div>
        <w:div w:id="1790125895">
          <w:marLeft w:val="0"/>
          <w:marRight w:val="0"/>
          <w:marTop w:val="0"/>
          <w:marBottom w:val="0"/>
          <w:divBdr>
            <w:top w:val="none" w:sz="0" w:space="0" w:color="auto"/>
            <w:left w:val="none" w:sz="0" w:space="0" w:color="auto"/>
            <w:bottom w:val="none" w:sz="0" w:space="0" w:color="auto"/>
            <w:right w:val="none" w:sz="0" w:space="0" w:color="auto"/>
          </w:divBdr>
        </w:div>
        <w:div w:id="1953395586">
          <w:marLeft w:val="0"/>
          <w:marRight w:val="0"/>
          <w:marTop w:val="0"/>
          <w:marBottom w:val="0"/>
          <w:divBdr>
            <w:top w:val="none" w:sz="0" w:space="0" w:color="auto"/>
            <w:left w:val="none" w:sz="0" w:space="0" w:color="auto"/>
            <w:bottom w:val="none" w:sz="0" w:space="0" w:color="auto"/>
            <w:right w:val="none" w:sz="0" w:space="0" w:color="auto"/>
          </w:divBdr>
        </w:div>
      </w:divsChild>
    </w:div>
    <w:div w:id="458574438">
      <w:bodyDiv w:val="1"/>
      <w:marLeft w:val="0"/>
      <w:marRight w:val="0"/>
      <w:marTop w:val="0"/>
      <w:marBottom w:val="0"/>
      <w:divBdr>
        <w:top w:val="none" w:sz="0" w:space="0" w:color="auto"/>
        <w:left w:val="none" w:sz="0" w:space="0" w:color="auto"/>
        <w:bottom w:val="none" w:sz="0" w:space="0" w:color="auto"/>
        <w:right w:val="none" w:sz="0" w:space="0" w:color="auto"/>
      </w:divBdr>
      <w:divsChild>
        <w:div w:id="743337949">
          <w:marLeft w:val="0"/>
          <w:marRight w:val="0"/>
          <w:marTop w:val="0"/>
          <w:marBottom w:val="0"/>
          <w:divBdr>
            <w:top w:val="none" w:sz="0" w:space="0" w:color="auto"/>
            <w:left w:val="none" w:sz="0" w:space="0" w:color="auto"/>
            <w:bottom w:val="none" w:sz="0" w:space="0" w:color="auto"/>
            <w:right w:val="none" w:sz="0" w:space="0" w:color="auto"/>
          </w:divBdr>
        </w:div>
        <w:div w:id="1174566738">
          <w:marLeft w:val="0"/>
          <w:marRight w:val="0"/>
          <w:marTop w:val="0"/>
          <w:marBottom w:val="0"/>
          <w:divBdr>
            <w:top w:val="none" w:sz="0" w:space="0" w:color="auto"/>
            <w:left w:val="none" w:sz="0" w:space="0" w:color="auto"/>
            <w:bottom w:val="none" w:sz="0" w:space="0" w:color="auto"/>
            <w:right w:val="none" w:sz="0" w:space="0" w:color="auto"/>
          </w:divBdr>
        </w:div>
      </w:divsChild>
    </w:div>
    <w:div w:id="466243195">
      <w:bodyDiv w:val="1"/>
      <w:marLeft w:val="0"/>
      <w:marRight w:val="0"/>
      <w:marTop w:val="0"/>
      <w:marBottom w:val="0"/>
      <w:divBdr>
        <w:top w:val="none" w:sz="0" w:space="0" w:color="auto"/>
        <w:left w:val="none" w:sz="0" w:space="0" w:color="auto"/>
        <w:bottom w:val="none" w:sz="0" w:space="0" w:color="auto"/>
        <w:right w:val="none" w:sz="0" w:space="0" w:color="auto"/>
      </w:divBdr>
      <w:divsChild>
        <w:div w:id="494423740">
          <w:marLeft w:val="0"/>
          <w:marRight w:val="0"/>
          <w:marTop w:val="0"/>
          <w:marBottom w:val="0"/>
          <w:divBdr>
            <w:top w:val="none" w:sz="0" w:space="0" w:color="auto"/>
            <w:left w:val="none" w:sz="0" w:space="0" w:color="auto"/>
            <w:bottom w:val="none" w:sz="0" w:space="0" w:color="auto"/>
            <w:right w:val="none" w:sz="0" w:space="0" w:color="auto"/>
          </w:divBdr>
          <w:divsChild>
            <w:div w:id="1218054233">
              <w:marLeft w:val="0"/>
              <w:marRight w:val="0"/>
              <w:marTop w:val="0"/>
              <w:marBottom w:val="0"/>
              <w:divBdr>
                <w:top w:val="none" w:sz="0" w:space="0" w:color="auto"/>
                <w:left w:val="none" w:sz="0" w:space="0" w:color="auto"/>
                <w:bottom w:val="none" w:sz="0" w:space="0" w:color="auto"/>
                <w:right w:val="none" w:sz="0" w:space="0" w:color="auto"/>
              </w:divBdr>
              <w:divsChild>
                <w:div w:id="584337235">
                  <w:marLeft w:val="0"/>
                  <w:marRight w:val="0"/>
                  <w:marTop w:val="0"/>
                  <w:marBottom w:val="0"/>
                  <w:divBdr>
                    <w:top w:val="none" w:sz="0" w:space="0" w:color="auto"/>
                    <w:left w:val="none" w:sz="0" w:space="0" w:color="auto"/>
                    <w:bottom w:val="none" w:sz="0" w:space="0" w:color="auto"/>
                    <w:right w:val="none" w:sz="0" w:space="0" w:color="auto"/>
                  </w:divBdr>
                  <w:divsChild>
                    <w:div w:id="1037894090">
                      <w:marLeft w:val="0"/>
                      <w:marRight w:val="0"/>
                      <w:marTop w:val="0"/>
                      <w:marBottom w:val="0"/>
                      <w:divBdr>
                        <w:top w:val="none" w:sz="0" w:space="0" w:color="auto"/>
                        <w:left w:val="none" w:sz="0" w:space="0" w:color="auto"/>
                        <w:bottom w:val="none" w:sz="0" w:space="0" w:color="auto"/>
                        <w:right w:val="none" w:sz="0" w:space="0" w:color="auto"/>
                      </w:divBdr>
                      <w:divsChild>
                        <w:div w:id="275522465">
                          <w:marLeft w:val="0"/>
                          <w:marRight w:val="0"/>
                          <w:marTop w:val="0"/>
                          <w:marBottom w:val="0"/>
                          <w:divBdr>
                            <w:top w:val="none" w:sz="0" w:space="0" w:color="auto"/>
                            <w:left w:val="none" w:sz="0" w:space="0" w:color="auto"/>
                            <w:bottom w:val="none" w:sz="0" w:space="0" w:color="auto"/>
                            <w:right w:val="none" w:sz="0" w:space="0" w:color="auto"/>
                          </w:divBdr>
                        </w:div>
                        <w:div w:id="464928917">
                          <w:marLeft w:val="0"/>
                          <w:marRight w:val="0"/>
                          <w:marTop w:val="0"/>
                          <w:marBottom w:val="0"/>
                          <w:divBdr>
                            <w:top w:val="none" w:sz="0" w:space="0" w:color="auto"/>
                            <w:left w:val="none" w:sz="0" w:space="0" w:color="auto"/>
                            <w:bottom w:val="none" w:sz="0" w:space="0" w:color="auto"/>
                            <w:right w:val="none" w:sz="0" w:space="0" w:color="auto"/>
                          </w:divBdr>
                          <w:divsChild>
                            <w:div w:id="19529359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16834247">
              <w:marLeft w:val="0"/>
              <w:marRight w:val="0"/>
              <w:marTop w:val="0"/>
              <w:marBottom w:val="0"/>
              <w:divBdr>
                <w:top w:val="none" w:sz="0" w:space="0" w:color="auto"/>
                <w:left w:val="none" w:sz="0" w:space="0" w:color="auto"/>
                <w:bottom w:val="none" w:sz="0" w:space="0" w:color="auto"/>
                <w:right w:val="none" w:sz="0" w:space="0" w:color="auto"/>
              </w:divBdr>
              <w:divsChild>
                <w:div w:id="660624805">
                  <w:marLeft w:val="0"/>
                  <w:marRight w:val="0"/>
                  <w:marTop w:val="0"/>
                  <w:marBottom w:val="0"/>
                  <w:divBdr>
                    <w:top w:val="none" w:sz="0" w:space="0" w:color="auto"/>
                    <w:left w:val="none" w:sz="0" w:space="0" w:color="auto"/>
                    <w:bottom w:val="none" w:sz="0" w:space="0" w:color="auto"/>
                    <w:right w:val="none" w:sz="0" w:space="0" w:color="auto"/>
                  </w:divBdr>
                  <w:divsChild>
                    <w:div w:id="806438501">
                      <w:marLeft w:val="0"/>
                      <w:marRight w:val="0"/>
                      <w:marTop w:val="0"/>
                      <w:marBottom w:val="0"/>
                      <w:divBdr>
                        <w:top w:val="none" w:sz="0" w:space="0" w:color="auto"/>
                        <w:left w:val="none" w:sz="0" w:space="0" w:color="auto"/>
                        <w:bottom w:val="none" w:sz="0" w:space="0" w:color="auto"/>
                        <w:right w:val="none" w:sz="0" w:space="0" w:color="auto"/>
                      </w:divBdr>
                      <w:divsChild>
                        <w:div w:id="1079596353">
                          <w:marLeft w:val="0"/>
                          <w:marRight w:val="0"/>
                          <w:marTop w:val="0"/>
                          <w:marBottom w:val="0"/>
                          <w:divBdr>
                            <w:top w:val="none" w:sz="0" w:space="0" w:color="auto"/>
                            <w:left w:val="none" w:sz="0" w:space="0" w:color="auto"/>
                            <w:bottom w:val="none" w:sz="0" w:space="0" w:color="auto"/>
                            <w:right w:val="none" w:sz="0" w:space="0" w:color="auto"/>
                          </w:divBdr>
                          <w:divsChild>
                            <w:div w:id="928737616">
                              <w:marLeft w:val="0"/>
                              <w:marRight w:val="0"/>
                              <w:marTop w:val="0"/>
                              <w:marBottom w:val="0"/>
                              <w:divBdr>
                                <w:top w:val="none" w:sz="0" w:space="0" w:color="auto"/>
                                <w:left w:val="none" w:sz="0" w:space="0" w:color="auto"/>
                                <w:bottom w:val="none" w:sz="0" w:space="0" w:color="auto"/>
                                <w:right w:val="none" w:sz="0" w:space="0" w:color="auto"/>
                              </w:divBdr>
                              <w:divsChild>
                                <w:div w:id="1790124509">
                                  <w:marLeft w:val="0"/>
                                  <w:marRight w:val="0"/>
                                  <w:marTop w:val="0"/>
                                  <w:marBottom w:val="0"/>
                                  <w:divBdr>
                                    <w:top w:val="none" w:sz="0" w:space="0" w:color="auto"/>
                                    <w:left w:val="none" w:sz="0" w:space="0" w:color="auto"/>
                                    <w:bottom w:val="none" w:sz="0" w:space="0" w:color="auto"/>
                                    <w:right w:val="none" w:sz="0" w:space="0" w:color="auto"/>
                                  </w:divBdr>
                                  <w:divsChild>
                                    <w:div w:id="1215237303">
                                      <w:marLeft w:val="0"/>
                                      <w:marRight w:val="0"/>
                                      <w:marTop w:val="0"/>
                                      <w:marBottom w:val="0"/>
                                      <w:divBdr>
                                        <w:top w:val="none" w:sz="0" w:space="0" w:color="auto"/>
                                        <w:left w:val="none" w:sz="0" w:space="0" w:color="auto"/>
                                        <w:bottom w:val="none" w:sz="0" w:space="0" w:color="auto"/>
                                        <w:right w:val="none" w:sz="0" w:space="0" w:color="auto"/>
                                      </w:divBdr>
                                    </w:div>
                                    <w:div w:id="1824421525">
                                      <w:marLeft w:val="0"/>
                                      <w:marRight w:val="0"/>
                                      <w:marTop w:val="0"/>
                                      <w:marBottom w:val="0"/>
                                      <w:divBdr>
                                        <w:top w:val="none" w:sz="0" w:space="0" w:color="auto"/>
                                        <w:left w:val="none" w:sz="0" w:space="0" w:color="auto"/>
                                        <w:bottom w:val="none" w:sz="0" w:space="0" w:color="auto"/>
                                        <w:right w:val="none" w:sz="0" w:space="0" w:color="auto"/>
                                      </w:divBdr>
                                      <w:divsChild>
                                        <w:div w:id="816841814">
                                          <w:marLeft w:val="0"/>
                                          <w:marRight w:val="0"/>
                                          <w:marTop w:val="0"/>
                                          <w:marBottom w:val="0"/>
                                          <w:divBdr>
                                            <w:top w:val="none" w:sz="0" w:space="0" w:color="auto"/>
                                            <w:left w:val="none" w:sz="0" w:space="0" w:color="auto"/>
                                            <w:bottom w:val="none" w:sz="0" w:space="0" w:color="auto"/>
                                            <w:right w:val="none" w:sz="0" w:space="0" w:color="auto"/>
                                          </w:divBdr>
                                        </w:div>
                                        <w:div w:id="1629042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468670169">
      <w:bodyDiv w:val="1"/>
      <w:marLeft w:val="0"/>
      <w:marRight w:val="0"/>
      <w:marTop w:val="0"/>
      <w:marBottom w:val="0"/>
      <w:divBdr>
        <w:top w:val="none" w:sz="0" w:space="0" w:color="auto"/>
        <w:left w:val="none" w:sz="0" w:space="0" w:color="auto"/>
        <w:bottom w:val="none" w:sz="0" w:space="0" w:color="auto"/>
        <w:right w:val="none" w:sz="0" w:space="0" w:color="auto"/>
      </w:divBdr>
    </w:div>
    <w:div w:id="468791857">
      <w:bodyDiv w:val="1"/>
      <w:marLeft w:val="0"/>
      <w:marRight w:val="0"/>
      <w:marTop w:val="0"/>
      <w:marBottom w:val="0"/>
      <w:divBdr>
        <w:top w:val="none" w:sz="0" w:space="0" w:color="auto"/>
        <w:left w:val="none" w:sz="0" w:space="0" w:color="auto"/>
        <w:bottom w:val="none" w:sz="0" w:space="0" w:color="auto"/>
        <w:right w:val="none" w:sz="0" w:space="0" w:color="auto"/>
      </w:divBdr>
    </w:div>
    <w:div w:id="471411638">
      <w:bodyDiv w:val="1"/>
      <w:marLeft w:val="0"/>
      <w:marRight w:val="0"/>
      <w:marTop w:val="0"/>
      <w:marBottom w:val="0"/>
      <w:divBdr>
        <w:top w:val="none" w:sz="0" w:space="0" w:color="auto"/>
        <w:left w:val="none" w:sz="0" w:space="0" w:color="auto"/>
        <w:bottom w:val="none" w:sz="0" w:space="0" w:color="auto"/>
        <w:right w:val="none" w:sz="0" w:space="0" w:color="auto"/>
      </w:divBdr>
    </w:div>
    <w:div w:id="475533749">
      <w:bodyDiv w:val="1"/>
      <w:marLeft w:val="0"/>
      <w:marRight w:val="0"/>
      <w:marTop w:val="0"/>
      <w:marBottom w:val="0"/>
      <w:divBdr>
        <w:top w:val="none" w:sz="0" w:space="0" w:color="auto"/>
        <w:left w:val="none" w:sz="0" w:space="0" w:color="auto"/>
        <w:bottom w:val="none" w:sz="0" w:space="0" w:color="auto"/>
        <w:right w:val="none" w:sz="0" w:space="0" w:color="auto"/>
      </w:divBdr>
    </w:div>
    <w:div w:id="475609222">
      <w:bodyDiv w:val="1"/>
      <w:marLeft w:val="0"/>
      <w:marRight w:val="0"/>
      <w:marTop w:val="0"/>
      <w:marBottom w:val="0"/>
      <w:divBdr>
        <w:top w:val="none" w:sz="0" w:space="0" w:color="auto"/>
        <w:left w:val="none" w:sz="0" w:space="0" w:color="auto"/>
        <w:bottom w:val="none" w:sz="0" w:space="0" w:color="auto"/>
        <w:right w:val="none" w:sz="0" w:space="0" w:color="auto"/>
      </w:divBdr>
    </w:div>
    <w:div w:id="477261168">
      <w:bodyDiv w:val="1"/>
      <w:marLeft w:val="0"/>
      <w:marRight w:val="0"/>
      <w:marTop w:val="0"/>
      <w:marBottom w:val="0"/>
      <w:divBdr>
        <w:top w:val="none" w:sz="0" w:space="0" w:color="auto"/>
        <w:left w:val="none" w:sz="0" w:space="0" w:color="auto"/>
        <w:bottom w:val="none" w:sz="0" w:space="0" w:color="auto"/>
        <w:right w:val="none" w:sz="0" w:space="0" w:color="auto"/>
      </w:divBdr>
      <w:divsChild>
        <w:div w:id="1122069872">
          <w:marLeft w:val="0"/>
          <w:marRight w:val="0"/>
          <w:marTop w:val="0"/>
          <w:marBottom w:val="0"/>
          <w:divBdr>
            <w:top w:val="none" w:sz="0" w:space="0" w:color="auto"/>
            <w:left w:val="none" w:sz="0" w:space="0" w:color="auto"/>
            <w:bottom w:val="none" w:sz="0" w:space="0" w:color="auto"/>
            <w:right w:val="none" w:sz="0" w:space="0" w:color="auto"/>
          </w:divBdr>
        </w:div>
        <w:div w:id="1232542440">
          <w:marLeft w:val="0"/>
          <w:marRight w:val="0"/>
          <w:marTop w:val="0"/>
          <w:marBottom w:val="0"/>
          <w:divBdr>
            <w:top w:val="none" w:sz="0" w:space="0" w:color="auto"/>
            <w:left w:val="none" w:sz="0" w:space="0" w:color="auto"/>
            <w:bottom w:val="none" w:sz="0" w:space="0" w:color="auto"/>
            <w:right w:val="none" w:sz="0" w:space="0" w:color="auto"/>
          </w:divBdr>
        </w:div>
      </w:divsChild>
    </w:div>
    <w:div w:id="478956669">
      <w:bodyDiv w:val="1"/>
      <w:marLeft w:val="0"/>
      <w:marRight w:val="0"/>
      <w:marTop w:val="0"/>
      <w:marBottom w:val="0"/>
      <w:divBdr>
        <w:top w:val="none" w:sz="0" w:space="0" w:color="auto"/>
        <w:left w:val="none" w:sz="0" w:space="0" w:color="auto"/>
        <w:bottom w:val="none" w:sz="0" w:space="0" w:color="auto"/>
        <w:right w:val="none" w:sz="0" w:space="0" w:color="auto"/>
      </w:divBdr>
    </w:div>
    <w:div w:id="482354144">
      <w:bodyDiv w:val="1"/>
      <w:marLeft w:val="0"/>
      <w:marRight w:val="0"/>
      <w:marTop w:val="0"/>
      <w:marBottom w:val="0"/>
      <w:divBdr>
        <w:top w:val="none" w:sz="0" w:space="0" w:color="auto"/>
        <w:left w:val="none" w:sz="0" w:space="0" w:color="auto"/>
        <w:bottom w:val="none" w:sz="0" w:space="0" w:color="auto"/>
        <w:right w:val="none" w:sz="0" w:space="0" w:color="auto"/>
      </w:divBdr>
    </w:div>
    <w:div w:id="492796595">
      <w:bodyDiv w:val="1"/>
      <w:marLeft w:val="0"/>
      <w:marRight w:val="0"/>
      <w:marTop w:val="0"/>
      <w:marBottom w:val="0"/>
      <w:divBdr>
        <w:top w:val="none" w:sz="0" w:space="0" w:color="auto"/>
        <w:left w:val="none" w:sz="0" w:space="0" w:color="auto"/>
        <w:bottom w:val="none" w:sz="0" w:space="0" w:color="auto"/>
        <w:right w:val="none" w:sz="0" w:space="0" w:color="auto"/>
      </w:divBdr>
    </w:div>
    <w:div w:id="492961934">
      <w:bodyDiv w:val="1"/>
      <w:marLeft w:val="0"/>
      <w:marRight w:val="0"/>
      <w:marTop w:val="0"/>
      <w:marBottom w:val="0"/>
      <w:divBdr>
        <w:top w:val="none" w:sz="0" w:space="0" w:color="auto"/>
        <w:left w:val="none" w:sz="0" w:space="0" w:color="auto"/>
        <w:bottom w:val="none" w:sz="0" w:space="0" w:color="auto"/>
        <w:right w:val="none" w:sz="0" w:space="0" w:color="auto"/>
      </w:divBdr>
      <w:divsChild>
        <w:div w:id="1111508227">
          <w:marLeft w:val="0"/>
          <w:marRight w:val="0"/>
          <w:marTop w:val="0"/>
          <w:marBottom w:val="0"/>
          <w:divBdr>
            <w:top w:val="none" w:sz="0" w:space="0" w:color="auto"/>
            <w:left w:val="none" w:sz="0" w:space="0" w:color="auto"/>
            <w:bottom w:val="none" w:sz="0" w:space="0" w:color="auto"/>
            <w:right w:val="none" w:sz="0" w:space="0" w:color="auto"/>
          </w:divBdr>
        </w:div>
      </w:divsChild>
    </w:div>
    <w:div w:id="494996024">
      <w:bodyDiv w:val="1"/>
      <w:marLeft w:val="0"/>
      <w:marRight w:val="0"/>
      <w:marTop w:val="0"/>
      <w:marBottom w:val="0"/>
      <w:divBdr>
        <w:top w:val="none" w:sz="0" w:space="0" w:color="auto"/>
        <w:left w:val="none" w:sz="0" w:space="0" w:color="auto"/>
        <w:bottom w:val="none" w:sz="0" w:space="0" w:color="auto"/>
        <w:right w:val="none" w:sz="0" w:space="0" w:color="auto"/>
      </w:divBdr>
    </w:div>
    <w:div w:id="496461607">
      <w:bodyDiv w:val="1"/>
      <w:marLeft w:val="0"/>
      <w:marRight w:val="0"/>
      <w:marTop w:val="0"/>
      <w:marBottom w:val="0"/>
      <w:divBdr>
        <w:top w:val="none" w:sz="0" w:space="0" w:color="auto"/>
        <w:left w:val="none" w:sz="0" w:space="0" w:color="auto"/>
        <w:bottom w:val="none" w:sz="0" w:space="0" w:color="auto"/>
        <w:right w:val="none" w:sz="0" w:space="0" w:color="auto"/>
      </w:divBdr>
      <w:divsChild>
        <w:div w:id="588388835">
          <w:marLeft w:val="0"/>
          <w:marRight w:val="0"/>
          <w:marTop w:val="0"/>
          <w:marBottom w:val="0"/>
          <w:divBdr>
            <w:top w:val="none" w:sz="0" w:space="0" w:color="auto"/>
            <w:left w:val="none" w:sz="0" w:space="0" w:color="auto"/>
            <w:bottom w:val="none" w:sz="0" w:space="0" w:color="auto"/>
            <w:right w:val="none" w:sz="0" w:space="0" w:color="auto"/>
          </w:divBdr>
        </w:div>
        <w:div w:id="969164966">
          <w:marLeft w:val="0"/>
          <w:marRight w:val="0"/>
          <w:marTop w:val="0"/>
          <w:marBottom w:val="0"/>
          <w:divBdr>
            <w:top w:val="none" w:sz="0" w:space="0" w:color="auto"/>
            <w:left w:val="none" w:sz="0" w:space="0" w:color="auto"/>
            <w:bottom w:val="none" w:sz="0" w:space="0" w:color="auto"/>
            <w:right w:val="none" w:sz="0" w:space="0" w:color="auto"/>
          </w:divBdr>
        </w:div>
        <w:div w:id="1932470690">
          <w:marLeft w:val="0"/>
          <w:marRight w:val="0"/>
          <w:marTop w:val="0"/>
          <w:marBottom w:val="0"/>
          <w:divBdr>
            <w:top w:val="none" w:sz="0" w:space="0" w:color="auto"/>
            <w:left w:val="none" w:sz="0" w:space="0" w:color="auto"/>
            <w:bottom w:val="none" w:sz="0" w:space="0" w:color="auto"/>
            <w:right w:val="none" w:sz="0" w:space="0" w:color="auto"/>
          </w:divBdr>
        </w:div>
      </w:divsChild>
    </w:div>
    <w:div w:id="504443276">
      <w:bodyDiv w:val="1"/>
      <w:marLeft w:val="0"/>
      <w:marRight w:val="0"/>
      <w:marTop w:val="0"/>
      <w:marBottom w:val="0"/>
      <w:divBdr>
        <w:top w:val="none" w:sz="0" w:space="0" w:color="auto"/>
        <w:left w:val="none" w:sz="0" w:space="0" w:color="auto"/>
        <w:bottom w:val="none" w:sz="0" w:space="0" w:color="auto"/>
        <w:right w:val="none" w:sz="0" w:space="0" w:color="auto"/>
      </w:divBdr>
      <w:divsChild>
        <w:div w:id="174273477">
          <w:marLeft w:val="0"/>
          <w:marRight w:val="0"/>
          <w:marTop w:val="0"/>
          <w:marBottom w:val="0"/>
          <w:divBdr>
            <w:top w:val="none" w:sz="0" w:space="0" w:color="auto"/>
            <w:left w:val="none" w:sz="0" w:space="0" w:color="auto"/>
            <w:bottom w:val="none" w:sz="0" w:space="0" w:color="auto"/>
            <w:right w:val="none" w:sz="0" w:space="0" w:color="auto"/>
          </w:divBdr>
        </w:div>
        <w:div w:id="1247030689">
          <w:marLeft w:val="0"/>
          <w:marRight w:val="0"/>
          <w:marTop w:val="0"/>
          <w:marBottom w:val="0"/>
          <w:divBdr>
            <w:top w:val="none" w:sz="0" w:space="0" w:color="auto"/>
            <w:left w:val="none" w:sz="0" w:space="0" w:color="auto"/>
            <w:bottom w:val="none" w:sz="0" w:space="0" w:color="auto"/>
            <w:right w:val="none" w:sz="0" w:space="0" w:color="auto"/>
          </w:divBdr>
        </w:div>
      </w:divsChild>
    </w:div>
    <w:div w:id="505100377">
      <w:bodyDiv w:val="1"/>
      <w:marLeft w:val="0"/>
      <w:marRight w:val="0"/>
      <w:marTop w:val="0"/>
      <w:marBottom w:val="0"/>
      <w:divBdr>
        <w:top w:val="none" w:sz="0" w:space="0" w:color="auto"/>
        <w:left w:val="none" w:sz="0" w:space="0" w:color="auto"/>
        <w:bottom w:val="none" w:sz="0" w:space="0" w:color="auto"/>
        <w:right w:val="none" w:sz="0" w:space="0" w:color="auto"/>
      </w:divBdr>
    </w:div>
    <w:div w:id="507714630">
      <w:bodyDiv w:val="1"/>
      <w:marLeft w:val="0"/>
      <w:marRight w:val="0"/>
      <w:marTop w:val="0"/>
      <w:marBottom w:val="0"/>
      <w:divBdr>
        <w:top w:val="none" w:sz="0" w:space="0" w:color="auto"/>
        <w:left w:val="none" w:sz="0" w:space="0" w:color="auto"/>
        <w:bottom w:val="none" w:sz="0" w:space="0" w:color="auto"/>
        <w:right w:val="none" w:sz="0" w:space="0" w:color="auto"/>
      </w:divBdr>
      <w:divsChild>
        <w:div w:id="1044525627">
          <w:marLeft w:val="0"/>
          <w:marRight w:val="0"/>
          <w:marTop w:val="0"/>
          <w:marBottom w:val="0"/>
          <w:divBdr>
            <w:top w:val="none" w:sz="0" w:space="0" w:color="auto"/>
            <w:left w:val="none" w:sz="0" w:space="0" w:color="auto"/>
            <w:bottom w:val="none" w:sz="0" w:space="0" w:color="auto"/>
            <w:right w:val="none" w:sz="0" w:space="0" w:color="auto"/>
          </w:divBdr>
        </w:div>
      </w:divsChild>
    </w:div>
    <w:div w:id="511918524">
      <w:bodyDiv w:val="1"/>
      <w:marLeft w:val="0"/>
      <w:marRight w:val="0"/>
      <w:marTop w:val="0"/>
      <w:marBottom w:val="0"/>
      <w:divBdr>
        <w:top w:val="none" w:sz="0" w:space="0" w:color="auto"/>
        <w:left w:val="none" w:sz="0" w:space="0" w:color="auto"/>
        <w:bottom w:val="none" w:sz="0" w:space="0" w:color="auto"/>
        <w:right w:val="none" w:sz="0" w:space="0" w:color="auto"/>
      </w:divBdr>
    </w:div>
    <w:div w:id="513493521">
      <w:bodyDiv w:val="1"/>
      <w:marLeft w:val="0"/>
      <w:marRight w:val="0"/>
      <w:marTop w:val="0"/>
      <w:marBottom w:val="0"/>
      <w:divBdr>
        <w:top w:val="none" w:sz="0" w:space="0" w:color="auto"/>
        <w:left w:val="none" w:sz="0" w:space="0" w:color="auto"/>
        <w:bottom w:val="none" w:sz="0" w:space="0" w:color="auto"/>
        <w:right w:val="none" w:sz="0" w:space="0" w:color="auto"/>
      </w:divBdr>
    </w:div>
    <w:div w:id="514923044">
      <w:bodyDiv w:val="1"/>
      <w:marLeft w:val="0"/>
      <w:marRight w:val="0"/>
      <w:marTop w:val="0"/>
      <w:marBottom w:val="0"/>
      <w:divBdr>
        <w:top w:val="none" w:sz="0" w:space="0" w:color="auto"/>
        <w:left w:val="none" w:sz="0" w:space="0" w:color="auto"/>
        <w:bottom w:val="none" w:sz="0" w:space="0" w:color="auto"/>
        <w:right w:val="none" w:sz="0" w:space="0" w:color="auto"/>
      </w:divBdr>
    </w:div>
    <w:div w:id="515464571">
      <w:bodyDiv w:val="1"/>
      <w:marLeft w:val="0"/>
      <w:marRight w:val="0"/>
      <w:marTop w:val="0"/>
      <w:marBottom w:val="0"/>
      <w:divBdr>
        <w:top w:val="none" w:sz="0" w:space="0" w:color="auto"/>
        <w:left w:val="none" w:sz="0" w:space="0" w:color="auto"/>
        <w:bottom w:val="none" w:sz="0" w:space="0" w:color="auto"/>
        <w:right w:val="none" w:sz="0" w:space="0" w:color="auto"/>
      </w:divBdr>
      <w:divsChild>
        <w:div w:id="891577048">
          <w:marLeft w:val="0"/>
          <w:marRight w:val="0"/>
          <w:marTop w:val="0"/>
          <w:marBottom w:val="0"/>
          <w:divBdr>
            <w:top w:val="none" w:sz="0" w:space="0" w:color="auto"/>
            <w:left w:val="none" w:sz="0" w:space="0" w:color="auto"/>
            <w:bottom w:val="none" w:sz="0" w:space="0" w:color="auto"/>
            <w:right w:val="none" w:sz="0" w:space="0" w:color="auto"/>
          </w:divBdr>
        </w:div>
        <w:div w:id="1948998343">
          <w:marLeft w:val="0"/>
          <w:marRight w:val="0"/>
          <w:marTop w:val="0"/>
          <w:marBottom w:val="0"/>
          <w:divBdr>
            <w:top w:val="none" w:sz="0" w:space="0" w:color="auto"/>
            <w:left w:val="none" w:sz="0" w:space="0" w:color="auto"/>
            <w:bottom w:val="none" w:sz="0" w:space="0" w:color="auto"/>
            <w:right w:val="none" w:sz="0" w:space="0" w:color="auto"/>
          </w:divBdr>
        </w:div>
      </w:divsChild>
    </w:div>
    <w:div w:id="516113597">
      <w:bodyDiv w:val="1"/>
      <w:marLeft w:val="0"/>
      <w:marRight w:val="0"/>
      <w:marTop w:val="0"/>
      <w:marBottom w:val="0"/>
      <w:divBdr>
        <w:top w:val="none" w:sz="0" w:space="0" w:color="auto"/>
        <w:left w:val="none" w:sz="0" w:space="0" w:color="auto"/>
        <w:bottom w:val="none" w:sz="0" w:space="0" w:color="auto"/>
        <w:right w:val="none" w:sz="0" w:space="0" w:color="auto"/>
      </w:divBdr>
      <w:divsChild>
        <w:div w:id="449057392">
          <w:marLeft w:val="0"/>
          <w:marRight w:val="0"/>
          <w:marTop w:val="0"/>
          <w:marBottom w:val="0"/>
          <w:divBdr>
            <w:top w:val="none" w:sz="0" w:space="0" w:color="auto"/>
            <w:left w:val="none" w:sz="0" w:space="0" w:color="auto"/>
            <w:bottom w:val="none" w:sz="0" w:space="0" w:color="auto"/>
            <w:right w:val="none" w:sz="0" w:space="0" w:color="auto"/>
          </w:divBdr>
        </w:div>
        <w:div w:id="1565871093">
          <w:marLeft w:val="0"/>
          <w:marRight w:val="0"/>
          <w:marTop w:val="0"/>
          <w:marBottom w:val="0"/>
          <w:divBdr>
            <w:top w:val="none" w:sz="0" w:space="0" w:color="auto"/>
            <w:left w:val="none" w:sz="0" w:space="0" w:color="auto"/>
            <w:bottom w:val="none" w:sz="0" w:space="0" w:color="auto"/>
            <w:right w:val="none" w:sz="0" w:space="0" w:color="auto"/>
          </w:divBdr>
        </w:div>
      </w:divsChild>
    </w:div>
    <w:div w:id="519247967">
      <w:bodyDiv w:val="1"/>
      <w:marLeft w:val="0"/>
      <w:marRight w:val="0"/>
      <w:marTop w:val="0"/>
      <w:marBottom w:val="0"/>
      <w:divBdr>
        <w:top w:val="none" w:sz="0" w:space="0" w:color="auto"/>
        <w:left w:val="none" w:sz="0" w:space="0" w:color="auto"/>
        <w:bottom w:val="none" w:sz="0" w:space="0" w:color="auto"/>
        <w:right w:val="none" w:sz="0" w:space="0" w:color="auto"/>
      </w:divBdr>
      <w:divsChild>
        <w:div w:id="107819304">
          <w:marLeft w:val="0"/>
          <w:marRight w:val="0"/>
          <w:marTop w:val="0"/>
          <w:marBottom w:val="0"/>
          <w:divBdr>
            <w:top w:val="none" w:sz="0" w:space="0" w:color="auto"/>
            <w:left w:val="none" w:sz="0" w:space="0" w:color="auto"/>
            <w:bottom w:val="none" w:sz="0" w:space="0" w:color="auto"/>
            <w:right w:val="none" w:sz="0" w:space="0" w:color="auto"/>
          </w:divBdr>
        </w:div>
        <w:div w:id="706874012">
          <w:marLeft w:val="0"/>
          <w:marRight w:val="0"/>
          <w:marTop w:val="0"/>
          <w:marBottom w:val="0"/>
          <w:divBdr>
            <w:top w:val="none" w:sz="0" w:space="0" w:color="auto"/>
            <w:left w:val="none" w:sz="0" w:space="0" w:color="auto"/>
            <w:bottom w:val="none" w:sz="0" w:space="0" w:color="auto"/>
            <w:right w:val="none" w:sz="0" w:space="0" w:color="auto"/>
          </w:divBdr>
        </w:div>
        <w:div w:id="1393650186">
          <w:marLeft w:val="0"/>
          <w:marRight w:val="0"/>
          <w:marTop w:val="0"/>
          <w:marBottom w:val="0"/>
          <w:divBdr>
            <w:top w:val="none" w:sz="0" w:space="0" w:color="auto"/>
            <w:left w:val="none" w:sz="0" w:space="0" w:color="auto"/>
            <w:bottom w:val="none" w:sz="0" w:space="0" w:color="auto"/>
            <w:right w:val="none" w:sz="0" w:space="0" w:color="auto"/>
          </w:divBdr>
        </w:div>
      </w:divsChild>
    </w:div>
    <w:div w:id="520316813">
      <w:bodyDiv w:val="1"/>
      <w:marLeft w:val="0"/>
      <w:marRight w:val="0"/>
      <w:marTop w:val="0"/>
      <w:marBottom w:val="0"/>
      <w:divBdr>
        <w:top w:val="none" w:sz="0" w:space="0" w:color="auto"/>
        <w:left w:val="none" w:sz="0" w:space="0" w:color="auto"/>
        <w:bottom w:val="none" w:sz="0" w:space="0" w:color="auto"/>
        <w:right w:val="none" w:sz="0" w:space="0" w:color="auto"/>
      </w:divBdr>
    </w:div>
    <w:div w:id="524756091">
      <w:bodyDiv w:val="1"/>
      <w:marLeft w:val="0"/>
      <w:marRight w:val="0"/>
      <w:marTop w:val="0"/>
      <w:marBottom w:val="0"/>
      <w:divBdr>
        <w:top w:val="none" w:sz="0" w:space="0" w:color="auto"/>
        <w:left w:val="none" w:sz="0" w:space="0" w:color="auto"/>
        <w:bottom w:val="none" w:sz="0" w:space="0" w:color="auto"/>
        <w:right w:val="none" w:sz="0" w:space="0" w:color="auto"/>
      </w:divBdr>
    </w:div>
    <w:div w:id="526409056">
      <w:bodyDiv w:val="1"/>
      <w:marLeft w:val="0"/>
      <w:marRight w:val="0"/>
      <w:marTop w:val="0"/>
      <w:marBottom w:val="0"/>
      <w:divBdr>
        <w:top w:val="none" w:sz="0" w:space="0" w:color="auto"/>
        <w:left w:val="none" w:sz="0" w:space="0" w:color="auto"/>
        <w:bottom w:val="none" w:sz="0" w:space="0" w:color="auto"/>
        <w:right w:val="none" w:sz="0" w:space="0" w:color="auto"/>
      </w:divBdr>
    </w:div>
    <w:div w:id="528027843">
      <w:bodyDiv w:val="1"/>
      <w:marLeft w:val="0"/>
      <w:marRight w:val="0"/>
      <w:marTop w:val="0"/>
      <w:marBottom w:val="0"/>
      <w:divBdr>
        <w:top w:val="none" w:sz="0" w:space="0" w:color="auto"/>
        <w:left w:val="none" w:sz="0" w:space="0" w:color="auto"/>
        <w:bottom w:val="none" w:sz="0" w:space="0" w:color="auto"/>
        <w:right w:val="none" w:sz="0" w:space="0" w:color="auto"/>
      </w:divBdr>
    </w:div>
    <w:div w:id="530536202">
      <w:bodyDiv w:val="1"/>
      <w:marLeft w:val="0"/>
      <w:marRight w:val="0"/>
      <w:marTop w:val="0"/>
      <w:marBottom w:val="0"/>
      <w:divBdr>
        <w:top w:val="none" w:sz="0" w:space="0" w:color="auto"/>
        <w:left w:val="none" w:sz="0" w:space="0" w:color="auto"/>
        <w:bottom w:val="none" w:sz="0" w:space="0" w:color="auto"/>
        <w:right w:val="none" w:sz="0" w:space="0" w:color="auto"/>
      </w:divBdr>
    </w:div>
    <w:div w:id="539711229">
      <w:bodyDiv w:val="1"/>
      <w:marLeft w:val="0"/>
      <w:marRight w:val="0"/>
      <w:marTop w:val="0"/>
      <w:marBottom w:val="0"/>
      <w:divBdr>
        <w:top w:val="none" w:sz="0" w:space="0" w:color="auto"/>
        <w:left w:val="none" w:sz="0" w:space="0" w:color="auto"/>
        <w:bottom w:val="none" w:sz="0" w:space="0" w:color="auto"/>
        <w:right w:val="none" w:sz="0" w:space="0" w:color="auto"/>
      </w:divBdr>
    </w:div>
    <w:div w:id="542251237">
      <w:bodyDiv w:val="1"/>
      <w:marLeft w:val="0"/>
      <w:marRight w:val="0"/>
      <w:marTop w:val="0"/>
      <w:marBottom w:val="0"/>
      <w:divBdr>
        <w:top w:val="none" w:sz="0" w:space="0" w:color="auto"/>
        <w:left w:val="none" w:sz="0" w:space="0" w:color="auto"/>
        <w:bottom w:val="none" w:sz="0" w:space="0" w:color="auto"/>
        <w:right w:val="none" w:sz="0" w:space="0" w:color="auto"/>
      </w:divBdr>
    </w:div>
    <w:div w:id="542331398">
      <w:bodyDiv w:val="1"/>
      <w:marLeft w:val="0"/>
      <w:marRight w:val="0"/>
      <w:marTop w:val="0"/>
      <w:marBottom w:val="0"/>
      <w:divBdr>
        <w:top w:val="none" w:sz="0" w:space="0" w:color="auto"/>
        <w:left w:val="none" w:sz="0" w:space="0" w:color="auto"/>
        <w:bottom w:val="none" w:sz="0" w:space="0" w:color="auto"/>
        <w:right w:val="none" w:sz="0" w:space="0" w:color="auto"/>
      </w:divBdr>
    </w:div>
    <w:div w:id="543761104">
      <w:bodyDiv w:val="1"/>
      <w:marLeft w:val="0"/>
      <w:marRight w:val="0"/>
      <w:marTop w:val="0"/>
      <w:marBottom w:val="0"/>
      <w:divBdr>
        <w:top w:val="none" w:sz="0" w:space="0" w:color="auto"/>
        <w:left w:val="none" w:sz="0" w:space="0" w:color="auto"/>
        <w:bottom w:val="none" w:sz="0" w:space="0" w:color="auto"/>
        <w:right w:val="none" w:sz="0" w:space="0" w:color="auto"/>
      </w:divBdr>
    </w:div>
    <w:div w:id="544027631">
      <w:bodyDiv w:val="1"/>
      <w:marLeft w:val="0"/>
      <w:marRight w:val="0"/>
      <w:marTop w:val="0"/>
      <w:marBottom w:val="0"/>
      <w:divBdr>
        <w:top w:val="none" w:sz="0" w:space="0" w:color="auto"/>
        <w:left w:val="none" w:sz="0" w:space="0" w:color="auto"/>
        <w:bottom w:val="none" w:sz="0" w:space="0" w:color="auto"/>
        <w:right w:val="none" w:sz="0" w:space="0" w:color="auto"/>
      </w:divBdr>
    </w:div>
    <w:div w:id="544413257">
      <w:bodyDiv w:val="1"/>
      <w:marLeft w:val="0"/>
      <w:marRight w:val="0"/>
      <w:marTop w:val="0"/>
      <w:marBottom w:val="0"/>
      <w:divBdr>
        <w:top w:val="none" w:sz="0" w:space="0" w:color="auto"/>
        <w:left w:val="none" w:sz="0" w:space="0" w:color="auto"/>
        <w:bottom w:val="none" w:sz="0" w:space="0" w:color="auto"/>
        <w:right w:val="none" w:sz="0" w:space="0" w:color="auto"/>
      </w:divBdr>
    </w:div>
    <w:div w:id="545606192">
      <w:bodyDiv w:val="1"/>
      <w:marLeft w:val="0"/>
      <w:marRight w:val="0"/>
      <w:marTop w:val="0"/>
      <w:marBottom w:val="0"/>
      <w:divBdr>
        <w:top w:val="none" w:sz="0" w:space="0" w:color="auto"/>
        <w:left w:val="none" w:sz="0" w:space="0" w:color="auto"/>
        <w:bottom w:val="none" w:sz="0" w:space="0" w:color="auto"/>
        <w:right w:val="none" w:sz="0" w:space="0" w:color="auto"/>
      </w:divBdr>
      <w:divsChild>
        <w:div w:id="1712220178">
          <w:marLeft w:val="0"/>
          <w:marRight w:val="0"/>
          <w:marTop w:val="0"/>
          <w:marBottom w:val="0"/>
          <w:divBdr>
            <w:top w:val="none" w:sz="0" w:space="0" w:color="auto"/>
            <w:left w:val="none" w:sz="0" w:space="0" w:color="auto"/>
            <w:bottom w:val="none" w:sz="0" w:space="0" w:color="auto"/>
            <w:right w:val="none" w:sz="0" w:space="0" w:color="auto"/>
          </w:divBdr>
        </w:div>
        <w:div w:id="1923099470">
          <w:marLeft w:val="0"/>
          <w:marRight w:val="0"/>
          <w:marTop w:val="0"/>
          <w:marBottom w:val="0"/>
          <w:divBdr>
            <w:top w:val="none" w:sz="0" w:space="0" w:color="auto"/>
            <w:left w:val="none" w:sz="0" w:space="0" w:color="auto"/>
            <w:bottom w:val="none" w:sz="0" w:space="0" w:color="auto"/>
            <w:right w:val="none" w:sz="0" w:space="0" w:color="auto"/>
          </w:divBdr>
        </w:div>
      </w:divsChild>
    </w:div>
    <w:div w:id="546995748">
      <w:bodyDiv w:val="1"/>
      <w:marLeft w:val="0"/>
      <w:marRight w:val="0"/>
      <w:marTop w:val="0"/>
      <w:marBottom w:val="0"/>
      <w:divBdr>
        <w:top w:val="none" w:sz="0" w:space="0" w:color="auto"/>
        <w:left w:val="none" w:sz="0" w:space="0" w:color="auto"/>
        <w:bottom w:val="none" w:sz="0" w:space="0" w:color="auto"/>
        <w:right w:val="none" w:sz="0" w:space="0" w:color="auto"/>
      </w:divBdr>
      <w:divsChild>
        <w:div w:id="671955716">
          <w:marLeft w:val="0"/>
          <w:marRight w:val="0"/>
          <w:marTop w:val="0"/>
          <w:marBottom w:val="0"/>
          <w:divBdr>
            <w:top w:val="none" w:sz="0" w:space="0" w:color="auto"/>
            <w:left w:val="none" w:sz="0" w:space="0" w:color="auto"/>
            <w:bottom w:val="none" w:sz="0" w:space="0" w:color="auto"/>
            <w:right w:val="none" w:sz="0" w:space="0" w:color="auto"/>
          </w:divBdr>
        </w:div>
        <w:div w:id="727266228">
          <w:marLeft w:val="0"/>
          <w:marRight w:val="0"/>
          <w:marTop w:val="0"/>
          <w:marBottom w:val="0"/>
          <w:divBdr>
            <w:top w:val="none" w:sz="0" w:space="0" w:color="auto"/>
            <w:left w:val="none" w:sz="0" w:space="0" w:color="auto"/>
            <w:bottom w:val="none" w:sz="0" w:space="0" w:color="auto"/>
            <w:right w:val="none" w:sz="0" w:space="0" w:color="auto"/>
          </w:divBdr>
        </w:div>
      </w:divsChild>
    </w:div>
    <w:div w:id="547764894">
      <w:bodyDiv w:val="1"/>
      <w:marLeft w:val="0"/>
      <w:marRight w:val="0"/>
      <w:marTop w:val="0"/>
      <w:marBottom w:val="0"/>
      <w:divBdr>
        <w:top w:val="none" w:sz="0" w:space="0" w:color="auto"/>
        <w:left w:val="none" w:sz="0" w:space="0" w:color="auto"/>
        <w:bottom w:val="none" w:sz="0" w:space="0" w:color="auto"/>
        <w:right w:val="none" w:sz="0" w:space="0" w:color="auto"/>
      </w:divBdr>
      <w:divsChild>
        <w:div w:id="322124812">
          <w:marLeft w:val="0"/>
          <w:marRight w:val="0"/>
          <w:marTop w:val="0"/>
          <w:marBottom w:val="0"/>
          <w:divBdr>
            <w:top w:val="none" w:sz="0" w:space="0" w:color="auto"/>
            <w:left w:val="none" w:sz="0" w:space="0" w:color="auto"/>
            <w:bottom w:val="none" w:sz="0" w:space="0" w:color="auto"/>
            <w:right w:val="none" w:sz="0" w:space="0" w:color="auto"/>
          </w:divBdr>
          <w:divsChild>
            <w:div w:id="460342603">
              <w:marLeft w:val="0"/>
              <w:marRight w:val="0"/>
              <w:marTop w:val="0"/>
              <w:marBottom w:val="0"/>
              <w:divBdr>
                <w:top w:val="none" w:sz="0" w:space="0" w:color="auto"/>
                <w:left w:val="none" w:sz="0" w:space="0" w:color="auto"/>
                <w:bottom w:val="none" w:sz="0" w:space="0" w:color="auto"/>
                <w:right w:val="none" w:sz="0" w:space="0" w:color="auto"/>
              </w:divBdr>
              <w:divsChild>
                <w:div w:id="945190988">
                  <w:marLeft w:val="0"/>
                  <w:marRight w:val="0"/>
                  <w:marTop w:val="0"/>
                  <w:marBottom w:val="0"/>
                  <w:divBdr>
                    <w:top w:val="none" w:sz="0" w:space="0" w:color="auto"/>
                    <w:left w:val="none" w:sz="0" w:space="0" w:color="auto"/>
                    <w:bottom w:val="none" w:sz="0" w:space="0" w:color="auto"/>
                    <w:right w:val="none" w:sz="0" w:space="0" w:color="auto"/>
                  </w:divBdr>
                </w:div>
                <w:div w:id="1654137700">
                  <w:marLeft w:val="0"/>
                  <w:marRight w:val="0"/>
                  <w:marTop w:val="0"/>
                  <w:marBottom w:val="0"/>
                  <w:divBdr>
                    <w:top w:val="none" w:sz="0" w:space="0" w:color="auto"/>
                    <w:left w:val="none" w:sz="0" w:space="0" w:color="auto"/>
                    <w:bottom w:val="none" w:sz="0" w:space="0" w:color="auto"/>
                    <w:right w:val="none" w:sz="0" w:space="0" w:color="auto"/>
                  </w:divBdr>
                </w:div>
              </w:divsChild>
            </w:div>
            <w:div w:id="2091583095">
              <w:marLeft w:val="0"/>
              <w:marRight w:val="0"/>
              <w:marTop w:val="0"/>
              <w:marBottom w:val="0"/>
              <w:divBdr>
                <w:top w:val="none" w:sz="0" w:space="0" w:color="auto"/>
                <w:left w:val="none" w:sz="0" w:space="0" w:color="auto"/>
                <w:bottom w:val="none" w:sz="0" w:space="0" w:color="auto"/>
                <w:right w:val="none" w:sz="0" w:space="0" w:color="auto"/>
              </w:divBdr>
              <w:divsChild>
                <w:div w:id="256521937">
                  <w:marLeft w:val="0"/>
                  <w:marRight w:val="0"/>
                  <w:marTop w:val="0"/>
                  <w:marBottom w:val="0"/>
                  <w:divBdr>
                    <w:top w:val="none" w:sz="0" w:space="0" w:color="auto"/>
                    <w:left w:val="none" w:sz="0" w:space="0" w:color="auto"/>
                    <w:bottom w:val="none" w:sz="0" w:space="0" w:color="auto"/>
                    <w:right w:val="none" w:sz="0" w:space="0" w:color="auto"/>
                  </w:divBdr>
                </w:div>
                <w:div w:id="16932585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4219158">
          <w:marLeft w:val="0"/>
          <w:marRight w:val="0"/>
          <w:marTop w:val="0"/>
          <w:marBottom w:val="0"/>
          <w:divBdr>
            <w:top w:val="none" w:sz="0" w:space="0" w:color="auto"/>
            <w:left w:val="none" w:sz="0" w:space="0" w:color="auto"/>
            <w:bottom w:val="none" w:sz="0" w:space="0" w:color="auto"/>
            <w:right w:val="none" w:sz="0" w:space="0" w:color="auto"/>
          </w:divBdr>
          <w:divsChild>
            <w:div w:id="570123093">
              <w:marLeft w:val="0"/>
              <w:marRight w:val="0"/>
              <w:marTop w:val="0"/>
              <w:marBottom w:val="0"/>
              <w:divBdr>
                <w:top w:val="none" w:sz="0" w:space="0" w:color="auto"/>
                <w:left w:val="none" w:sz="0" w:space="0" w:color="auto"/>
                <w:bottom w:val="none" w:sz="0" w:space="0" w:color="auto"/>
                <w:right w:val="none" w:sz="0" w:space="0" w:color="auto"/>
              </w:divBdr>
            </w:div>
            <w:div w:id="1279140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1961031">
      <w:bodyDiv w:val="1"/>
      <w:marLeft w:val="0"/>
      <w:marRight w:val="0"/>
      <w:marTop w:val="0"/>
      <w:marBottom w:val="0"/>
      <w:divBdr>
        <w:top w:val="none" w:sz="0" w:space="0" w:color="auto"/>
        <w:left w:val="none" w:sz="0" w:space="0" w:color="auto"/>
        <w:bottom w:val="none" w:sz="0" w:space="0" w:color="auto"/>
        <w:right w:val="none" w:sz="0" w:space="0" w:color="auto"/>
      </w:divBdr>
      <w:divsChild>
        <w:div w:id="520516259">
          <w:marLeft w:val="0"/>
          <w:marRight w:val="0"/>
          <w:marTop w:val="0"/>
          <w:marBottom w:val="0"/>
          <w:divBdr>
            <w:top w:val="none" w:sz="0" w:space="0" w:color="auto"/>
            <w:left w:val="none" w:sz="0" w:space="0" w:color="auto"/>
            <w:bottom w:val="none" w:sz="0" w:space="0" w:color="auto"/>
            <w:right w:val="none" w:sz="0" w:space="0" w:color="auto"/>
          </w:divBdr>
        </w:div>
        <w:div w:id="1445492128">
          <w:marLeft w:val="0"/>
          <w:marRight w:val="0"/>
          <w:marTop w:val="0"/>
          <w:marBottom w:val="0"/>
          <w:divBdr>
            <w:top w:val="none" w:sz="0" w:space="0" w:color="auto"/>
            <w:left w:val="none" w:sz="0" w:space="0" w:color="auto"/>
            <w:bottom w:val="none" w:sz="0" w:space="0" w:color="auto"/>
            <w:right w:val="none" w:sz="0" w:space="0" w:color="auto"/>
          </w:divBdr>
        </w:div>
        <w:div w:id="1756708290">
          <w:marLeft w:val="0"/>
          <w:marRight w:val="0"/>
          <w:marTop w:val="0"/>
          <w:marBottom w:val="0"/>
          <w:divBdr>
            <w:top w:val="none" w:sz="0" w:space="0" w:color="auto"/>
            <w:left w:val="none" w:sz="0" w:space="0" w:color="auto"/>
            <w:bottom w:val="none" w:sz="0" w:space="0" w:color="auto"/>
            <w:right w:val="none" w:sz="0" w:space="0" w:color="auto"/>
          </w:divBdr>
        </w:div>
        <w:div w:id="1850021593">
          <w:marLeft w:val="0"/>
          <w:marRight w:val="0"/>
          <w:marTop w:val="0"/>
          <w:marBottom w:val="0"/>
          <w:divBdr>
            <w:top w:val="none" w:sz="0" w:space="0" w:color="auto"/>
            <w:left w:val="none" w:sz="0" w:space="0" w:color="auto"/>
            <w:bottom w:val="none" w:sz="0" w:space="0" w:color="auto"/>
            <w:right w:val="none" w:sz="0" w:space="0" w:color="auto"/>
          </w:divBdr>
        </w:div>
      </w:divsChild>
    </w:div>
    <w:div w:id="554465051">
      <w:bodyDiv w:val="1"/>
      <w:marLeft w:val="0"/>
      <w:marRight w:val="0"/>
      <w:marTop w:val="0"/>
      <w:marBottom w:val="0"/>
      <w:divBdr>
        <w:top w:val="none" w:sz="0" w:space="0" w:color="auto"/>
        <w:left w:val="none" w:sz="0" w:space="0" w:color="auto"/>
        <w:bottom w:val="none" w:sz="0" w:space="0" w:color="auto"/>
        <w:right w:val="none" w:sz="0" w:space="0" w:color="auto"/>
      </w:divBdr>
    </w:div>
    <w:div w:id="554583793">
      <w:bodyDiv w:val="1"/>
      <w:marLeft w:val="0"/>
      <w:marRight w:val="0"/>
      <w:marTop w:val="0"/>
      <w:marBottom w:val="0"/>
      <w:divBdr>
        <w:top w:val="none" w:sz="0" w:space="0" w:color="auto"/>
        <w:left w:val="none" w:sz="0" w:space="0" w:color="auto"/>
        <w:bottom w:val="none" w:sz="0" w:space="0" w:color="auto"/>
        <w:right w:val="none" w:sz="0" w:space="0" w:color="auto"/>
      </w:divBdr>
      <w:divsChild>
        <w:div w:id="330371628">
          <w:marLeft w:val="0"/>
          <w:marRight w:val="0"/>
          <w:marTop w:val="0"/>
          <w:marBottom w:val="0"/>
          <w:divBdr>
            <w:top w:val="none" w:sz="0" w:space="0" w:color="auto"/>
            <w:left w:val="none" w:sz="0" w:space="0" w:color="auto"/>
            <w:bottom w:val="none" w:sz="0" w:space="0" w:color="auto"/>
            <w:right w:val="none" w:sz="0" w:space="0" w:color="auto"/>
          </w:divBdr>
        </w:div>
        <w:div w:id="1106731446">
          <w:marLeft w:val="0"/>
          <w:marRight w:val="0"/>
          <w:marTop w:val="0"/>
          <w:marBottom w:val="0"/>
          <w:divBdr>
            <w:top w:val="none" w:sz="0" w:space="0" w:color="auto"/>
            <w:left w:val="none" w:sz="0" w:space="0" w:color="auto"/>
            <w:bottom w:val="none" w:sz="0" w:space="0" w:color="auto"/>
            <w:right w:val="none" w:sz="0" w:space="0" w:color="auto"/>
          </w:divBdr>
        </w:div>
      </w:divsChild>
    </w:div>
    <w:div w:id="557785298">
      <w:bodyDiv w:val="1"/>
      <w:marLeft w:val="0"/>
      <w:marRight w:val="0"/>
      <w:marTop w:val="0"/>
      <w:marBottom w:val="0"/>
      <w:divBdr>
        <w:top w:val="none" w:sz="0" w:space="0" w:color="auto"/>
        <w:left w:val="none" w:sz="0" w:space="0" w:color="auto"/>
        <w:bottom w:val="none" w:sz="0" w:space="0" w:color="auto"/>
        <w:right w:val="none" w:sz="0" w:space="0" w:color="auto"/>
      </w:divBdr>
      <w:divsChild>
        <w:div w:id="820540335">
          <w:marLeft w:val="0"/>
          <w:marRight w:val="0"/>
          <w:marTop w:val="0"/>
          <w:marBottom w:val="0"/>
          <w:divBdr>
            <w:top w:val="none" w:sz="0" w:space="0" w:color="auto"/>
            <w:left w:val="none" w:sz="0" w:space="0" w:color="auto"/>
            <w:bottom w:val="none" w:sz="0" w:space="0" w:color="auto"/>
            <w:right w:val="none" w:sz="0" w:space="0" w:color="auto"/>
          </w:divBdr>
        </w:div>
      </w:divsChild>
    </w:div>
    <w:div w:id="559486263">
      <w:bodyDiv w:val="1"/>
      <w:marLeft w:val="0"/>
      <w:marRight w:val="0"/>
      <w:marTop w:val="0"/>
      <w:marBottom w:val="0"/>
      <w:divBdr>
        <w:top w:val="none" w:sz="0" w:space="0" w:color="auto"/>
        <w:left w:val="none" w:sz="0" w:space="0" w:color="auto"/>
        <w:bottom w:val="none" w:sz="0" w:space="0" w:color="auto"/>
        <w:right w:val="none" w:sz="0" w:space="0" w:color="auto"/>
      </w:divBdr>
      <w:divsChild>
        <w:div w:id="363290879">
          <w:marLeft w:val="0"/>
          <w:marRight w:val="0"/>
          <w:marTop w:val="0"/>
          <w:marBottom w:val="0"/>
          <w:divBdr>
            <w:top w:val="none" w:sz="0" w:space="0" w:color="auto"/>
            <w:left w:val="none" w:sz="0" w:space="0" w:color="auto"/>
            <w:bottom w:val="none" w:sz="0" w:space="0" w:color="auto"/>
            <w:right w:val="none" w:sz="0" w:space="0" w:color="auto"/>
          </w:divBdr>
        </w:div>
        <w:div w:id="1061754697">
          <w:marLeft w:val="0"/>
          <w:marRight w:val="0"/>
          <w:marTop w:val="0"/>
          <w:marBottom w:val="0"/>
          <w:divBdr>
            <w:top w:val="none" w:sz="0" w:space="0" w:color="auto"/>
            <w:left w:val="none" w:sz="0" w:space="0" w:color="auto"/>
            <w:bottom w:val="none" w:sz="0" w:space="0" w:color="auto"/>
            <w:right w:val="none" w:sz="0" w:space="0" w:color="auto"/>
          </w:divBdr>
        </w:div>
        <w:div w:id="1377393941">
          <w:marLeft w:val="0"/>
          <w:marRight w:val="0"/>
          <w:marTop w:val="0"/>
          <w:marBottom w:val="0"/>
          <w:divBdr>
            <w:top w:val="none" w:sz="0" w:space="0" w:color="auto"/>
            <w:left w:val="none" w:sz="0" w:space="0" w:color="auto"/>
            <w:bottom w:val="none" w:sz="0" w:space="0" w:color="auto"/>
            <w:right w:val="none" w:sz="0" w:space="0" w:color="auto"/>
          </w:divBdr>
        </w:div>
      </w:divsChild>
    </w:div>
    <w:div w:id="563568967">
      <w:bodyDiv w:val="1"/>
      <w:marLeft w:val="0"/>
      <w:marRight w:val="0"/>
      <w:marTop w:val="0"/>
      <w:marBottom w:val="0"/>
      <w:divBdr>
        <w:top w:val="none" w:sz="0" w:space="0" w:color="auto"/>
        <w:left w:val="none" w:sz="0" w:space="0" w:color="auto"/>
        <w:bottom w:val="none" w:sz="0" w:space="0" w:color="auto"/>
        <w:right w:val="none" w:sz="0" w:space="0" w:color="auto"/>
      </w:divBdr>
    </w:div>
    <w:div w:id="563874522">
      <w:bodyDiv w:val="1"/>
      <w:marLeft w:val="0"/>
      <w:marRight w:val="0"/>
      <w:marTop w:val="0"/>
      <w:marBottom w:val="0"/>
      <w:divBdr>
        <w:top w:val="none" w:sz="0" w:space="0" w:color="auto"/>
        <w:left w:val="none" w:sz="0" w:space="0" w:color="auto"/>
        <w:bottom w:val="none" w:sz="0" w:space="0" w:color="auto"/>
        <w:right w:val="none" w:sz="0" w:space="0" w:color="auto"/>
      </w:divBdr>
    </w:div>
    <w:div w:id="564880683">
      <w:bodyDiv w:val="1"/>
      <w:marLeft w:val="0"/>
      <w:marRight w:val="0"/>
      <w:marTop w:val="0"/>
      <w:marBottom w:val="0"/>
      <w:divBdr>
        <w:top w:val="none" w:sz="0" w:space="0" w:color="auto"/>
        <w:left w:val="none" w:sz="0" w:space="0" w:color="auto"/>
        <w:bottom w:val="none" w:sz="0" w:space="0" w:color="auto"/>
        <w:right w:val="none" w:sz="0" w:space="0" w:color="auto"/>
      </w:divBdr>
      <w:divsChild>
        <w:div w:id="523177954">
          <w:marLeft w:val="0"/>
          <w:marRight w:val="0"/>
          <w:marTop w:val="0"/>
          <w:marBottom w:val="0"/>
          <w:divBdr>
            <w:top w:val="none" w:sz="0" w:space="0" w:color="auto"/>
            <w:left w:val="none" w:sz="0" w:space="0" w:color="auto"/>
            <w:bottom w:val="none" w:sz="0" w:space="0" w:color="auto"/>
            <w:right w:val="none" w:sz="0" w:space="0" w:color="auto"/>
          </w:divBdr>
        </w:div>
        <w:div w:id="651446104">
          <w:marLeft w:val="0"/>
          <w:marRight w:val="0"/>
          <w:marTop w:val="0"/>
          <w:marBottom w:val="0"/>
          <w:divBdr>
            <w:top w:val="none" w:sz="0" w:space="0" w:color="auto"/>
            <w:left w:val="none" w:sz="0" w:space="0" w:color="auto"/>
            <w:bottom w:val="none" w:sz="0" w:space="0" w:color="auto"/>
            <w:right w:val="none" w:sz="0" w:space="0" w:color="auto"/>
          </w:divBdr>
        </w:div>
        <w:div w:id="1750032021">
          <w:marLeft w:val="0"/>
          <w:marRight w:val="0"/>
          <w:marTop w:val="0"/>
          <w:marBottom w:val="0"/>
          <w:divBdr>
            <w:top w:val="none" w:sz="0" w:space="0" w:color="auto"/>
            <w:left w:val="none" w:sz="0" w:space="0" w:color="auto"/>
            <w:bottom w:val="none" w:sz="0" w:space="0" w:color="auto"/>
            <w:right w:val="none" w:sz="0" w:space="0" w:color="auto"/>
          </w:divBdr>
        </w:div>
      </w:divsChild>
    </w:div>
    <w:div w:id="566495576">
      <w:bodyDiv w:val="1"/>
      <w:marLeft w:val="0"/>
      <w:marRight w:val="0"/>
      <w:marTop w:val="0"/>
      <w:marBottom w:val="0"/>
      <w:divBdr>
        <w:top w:val="none" w:sz="0" w:space="0" w:color="auto"/>
        <w:left w:val="none" w:sz="0" w:space="0" w:color="auto"/>
        <w:bottom w:val="none" w:sz="0" w:space="0" w:color="auto"/>
        <w:right w:val="none" w:sz="0" w:space="0" w:color="auto"/>
      </w:divBdr>
    </w:div>
    <w:div w:id="570778012">
      <w:bodyDiv w:val="1"/>
      <w:marLeft w:val="0"/>
      <w:marRight w:val="0"/>
      <w:marTop w:val="0"/>
      <w:marBottom w:val="0"/>
      <w:divBdr>
        <w:top w:val="none" w:sz="0" w:space="0" w:color="auto"/>
        <w:left w:val="none" w:sz="0" w:space="0" w:color="auto"/>
        <w:bottom w:val="none" w:sz="0" w:space="0" w:color="auto"/>
        <w:right w:val="none" w:sz="0" w:space="0" w:color="auto"/>
      </w:divBdr>
    </w:div>
    <w:div w:id="571278783">
      <w:bodyDiv w:val="1"/>
      <w:marLeft w:val="0"/>
      <w:marRight w:val="0"/>
      <w:marTop w:val="0"/>
      <w:marBottom w:val="0"/>
      <w:divBdr>
        <w:top w:val="none" w:sz="0" w:space="0" w:color="auto"/>
        <w:left w:val="none" w:sz="0" w:space="0" w:color="auto"/>
        <w:bottom w:val="none" w:sz="0" w:space="0" w:color="auto"/>
        <w:right w:val="none" w:sz="0" w:space="0" w:color="auto"/>
      </w:divBdr>
    </w:div>
    <w:div w:id="578028297">
      <w:bodyDiv w:val="1"/>
      <w:marLeft w:val="0"/>
      <w:marRight w:val="0"/>
      <w:marTop w:val="0"/>
      <w:marBottom w:val="0"/>
      <w:divBdr>
        <w:top w:val="none" w:sz="0" w:space="0" w:color="auto"/>
        <w:left w:val="none" w:sz="0" w:space="0" w:color="auto"/>
        <w:bottom w:val="none" w:sz="0" w:space="0" w:color="auto"/>
        <w:right w:val="none" w:sz="0" w:space="0" w:color="auto"/>
      </w:divBdr>
    </w:div>
    <w:div w:id="578180106">
      <w:bodyDiv w:val="1"/>
      <w:marLeft w:val="0"/>
      <w:marRight w:val="0"/>
      <w:marTop w:val="0"/>
      <w:marBottom w:val="0"/>
      <w:divBdr>
        <w:top w:val="none" w:sz="0" w:space="0" w:color="auto"/>
        <w:left w:val="none" w:sz="0" w:space="0" w:color="auto"/>
        <w:bottom w:val="none" w:sz="0" w:space="0" w:color="auto"/>
        <w:right w:val="none" w:sz="0" w:space="0" w:color="auto"/>
      </w:divBdr>
    </w:div>
    <w:div w:id="579410195">
      <w:bodyDiv w:val="1"/>
      <w:marLeft w:val="0"/>
      <w:marRight w:val="0"/>
      <w:marTop w:val="0"/>
      <w:marBottom w:val="0"/>
      <w:divBdr>
        <w:top w:val="none" w:sz="0" w:space="0" w:color="auto"/>
        <w:left w:val="none" w:sz="0" w:space="0" w:color="auto"/>
        <w:bottom w:val="none" w:sz="0" w:space="0" w:color="auto"/>
        <w:right w:val="none" w:sz="0" w:space="0" w:color="auto"/>
      </w:divBdr>
      <w:divsChild>
        <w:div w:id="52512323">
          <w:marLeft w:val="0"/>
          <w:marRight w:val="0"/>
          <w:marTop w:val="0"/>
          <w:marBottom w:val="0"/>
          <w:divBdr>
            <w:top w:val="none" w:sz="0" w:space="0" w:color="auto"/>
            <w:left w:val="none" w:sz="0" w:space="0" w:color="auto"/>
            <w:bottom w:val="none" w:sz="0" w:space="0" w:color="auto"/>
            <w:right w:val="none" w:sz="0" w:space="0" w:color="auto"/>
          </w:divBdr>
        </w:div>
        <w:div w:id="184251343">
          <w:marLeft w:val="0"/>
          <w:marRight w:val="0"/>
          <w:marTop w:val="0"/>
          <w:marBottom w:val="0"/>
          <w:divBdr>
            <w:top w:val="none" w:sz="0" w:space="0" w:color="auto"/>
            <w:left w:val="none" w:sz="0" w:space="0" w:color="auto"/>
            <w:bottom w:val="none" w:sz="0" w:space="0" w:color="auto"/>
            <w:right w:val="none" w:sz="0" w:space="0" w:color="auto"/>
          </w:divBdr>
        </w:div>
      </w:divsChild>
    </w:div>
    <w:div w:id="579410336">
      <w:bodyDiv w:val="1"/>
      <w:marLeft w:val="0"/>
      <w:marRight w:val="0"/>
      <w:marTop w:val="0"/>
      <w:marBottom w:val="0"/>
      <w:divBdr>
        <w:top w:val="none" w:sz="0" w:space="0" w:color="auto"/>
        <w:left w:val="none" w:sz="0" w:space="0" w:color="auto"/>
        <w:bottom w:val="none" w:sz="0" w:space="0" w:color="auto"/>
        <w:right w:val="none" w:sz="0" w:space="0" w:color="auto"/>
      </w:divBdr>
    </w:div>
    <w:div w:id="580258215">
      <w:bodyDiv w:val="1"/>
      <w:marLeft w:val="0"/>
      <w:marRight w:val="0"/>
      <w:marTop w:val="0"/>
      <w:marBottom w:val="0"/>
      <w:divBdr>
        <w:top w:val="none" w:sz="0" w:space="0" w:color="auto"/>
        <w:left w:val="none" w:sz="0" w:space="0" w:color="auto"/>
        <w:bottom w:val="none" w:sz="0" w:space="0" w:color="auto"/>
        <w:right w:val="none" w:sz="0" w:space="0" w:color="auto"/>
      </w:divBdr>
      <w:divsChild>
        <w:div w:id="299920543">
          <w:marLeft w:val="0"/>
          <w:marRight w:val="0"/>
          <w:marTop w:val="0"/>
          <w:marBottom w:val="0"/>
          <w:divBdr>
            <w:top w:val="none" w:sz="0" w:space="0" w:color="auto"/>
            <w:left w:val="none" w:sz="0" w:space="0" w:color="auto"/>
            <w:bottom w:val="none" w:sz="0" w:space="0" w:color="auto"/>
            <w:right w:val="none" w:sz="0" w:space="0" w:color="auto"/>
          </w:divBdr>
        </w:div>
        <w:div w:id="1928347129">
          <w:marLeft w:val="0"/>
          <w:marRight w:val="0"/>
          <w:marTop w:val="0"/>
          <w:marBottom w:val="0"/>
          <w:divBdr>
            <w:top w:val="none" w:sz="0" w:space="0" w:color="auto"/>
            <w:left w:val="none" w:sz="0" w:space="0" w:color="auto"/>
            <w:bottom w:val="none" w:sz="0" w:space="0" w:color="auto"/>
            <w:right w:val="none" w:sz="0" w:space="0" w:color="auto"/>
          </w:divBdr>
          <w:divsChild>
            <w:div w:id="943074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2615212">
      <w:bodyDiv w:val="1"/>
      <w:marLeft w:val="0"/>
      <w:marRight w:val="0"/>
      <w:marTop w:val="0"/>
      <w:marBottom w:val="0"/>
      <w:divBdr>
        <w:top w:val="none" w:sz="0" w:space="0" w:color="auto"/>
        <w:left w:val="none" w:sz="0" w:space="0" w:color="auto"/>
        <w:bottom w:val="none" w:sz="0" w:space="0" w:color="auto"/>
        <w:right w:val="none" w:sz="0" w:space="0" w:color="auto"/>
      </w:divBdr>
      <w:divsChild>
        <w:div w:id="1406344802">
          <w:marLeft w:val="0"/>
          <w:marRight w:val="0"/>
          <w:marTop w:val="0"/>
          <w:marBottom w:val="0"/>
          <w:divBdr>
            <w:top w:val="none" w:sz="0" w:space="0" w:color="auto"/>
            <w:left w:val="none" w:sz="0" w:space="0" w:color="auto"/>
            <w:bottom w:val="none" w:sz="0" w:space="0" w:color="auto"/>
            <w:right w:val="none" w:sz="0" w:space="0" w:color="auto"/>
          </w:divBdr>
          <w:divsChild>
            <w:div w:id="254676651">
              <w:marLeft w:val="0"/>
              <w:marRight w:val="0"/>
              <w:marTop w:val="0"/>
              <w:marBottom w:val="0"/>
              <w:divBdr>
                <w:top w:val="none" w:sz="0" w:space="0" w:color="auto"/>
                <w:left w:val="none" w:sz="0" w:space="0" w:color="auto"/>
                <w:bottom w:val="none" w:sz="0" w:space="0" w:color="auto"/>
                <w:right w:val="none" w:sz="0" w:space="0" w:color="auto"/>
              </w:divBdr>
            </w:div>
            <w:div w:id="1625699479">
              <w:marLeft w:val="0"/>
              <w:marRight w:val="0"/>
              <w:marTop w:val="0"/>
              <w:marBottom w:val="0"/>
              <w:divBdr>
                <w:top w:val="none" w:sz="0" w:space="0" w:color="auto"/>
                <w:left w:val="none" w:sz="0" w:space="0" w:color="auto"/>
                <w:bottom w:val="none" w:sz="0" w:space="0" w:color="auto"/>
                <w:right w:val="none" w:sz="0" w:space="0" w:color="auto"/>
              </w:divBdr>
            </w:div>
          </w:divsChild>
        </w:div>
        <w:div w:id="1601839372">
          <w:marLeft w:val="0"/>
          <w:marRight w:val="0"/>
          <w:marTop w:val="0"/>
          <w:marBottom w:val="0"/>
          <w:divBdr>
            <w:top w:val="none" w:sz="0" w:space="0" w:color="auto"/>
            <w:left w:val="none" w:sz="0" w:space="0" w:color="auto"/>
            <w:bottom w:val="none" w:sz="0" w:space="0" w:color="auto"/>
            <w:right w:val="none" w:sz="0" w:space="0" w:color="auto"/>
          </w:divBdr>
        </w:div>
      </w:divsChild>
    </w:div>
    <w:div w:id="583031911">
      <w:bodyDiv w:val="1"/>
      <w:marLeft w:val="0"/>
      <w:marRight w:val="0"/>
      <w:marTop w:val="0"/>
      <w:marBottom w:val="0"/>
      <w:divBdr>
        <w:top w:val="none" w:sz="0" w:space="0" w:color="auto"/>
        <w:left w:val="none" w:sz="0" w:space="0" w:color="auto"/>
        <w:bottom w:val="none" w:sz="0" w:space="0" w:color="auto"/>
        <w:right w:val="none" w:sz="0" w:space="0" w:color="auto"/>
      </w:divBdr>
    </w:div>
    <w:div w:id="585191365">
      <w:bodyDiv w:val="1"/>
      <w:marLeft w:val="0"/>
      <w:marRight w:val="0"/>
      <w:marTop w:val="0"/>
      <w:marBottom w:val="0"/>
      <w:divBdr>
        <w:top w:val="none" w:sz="0" w:space="0" w:color="auto"/>
        <w:left w:val="none" w:sz="0" w:space="0" w:color="auto"/>
        <w:bottom w:val="none" w:sz="0" w:space="0" w:color="auto"/>
        <w:right w:val="none" w:sz="0" w:space="0" w:color="auto"/>
      </w:divBdr>
    </w:div>
    <w:div w:id="585454445">
      <w:bodyDiv w:val="1"/>
      <w:marLeft w:val="0"/>
      <w:marRight w:val="0"/>
      <w:marTop w:val="0"/>
      <w:marBottom w:val="0"/>
      <w:divBdr>
        <w:top w:val="none" w:sz="0" w:space="0" w:color="auto"/>
        <w:left w:val="none" w:sz="0" w:space="0" w:color="auto"/>
        <w:bottom w:val="none" w:sz="0" w:space="0" w:color="auto"/>
        <w:right w:val="none" w:sz="0" w:space="0" w:color="auto"/>
      </w:divBdr>
    </w:div>
    <w:div w:id="585765228">
      <w:bodyDiv w:val="1"/>
      <w:marLeft w:val="0"/>
      <w:marRight w:val="0"/>
      <w:marTop w:val="0"/>
      <w:marBottom w:val="0"/>
      <w:divBdr>
        <w:top w:val="none" w:sz="0" w:space="0" w:color="auto"/>
        <w:left w:val="none" w:sz="0" w:space="0" w:color="auto"/>
        <w:bottom w:val="none" w:sz="0" w:space="0" w:color="auto"/>
        <w:right w:val="none" w:sz="0" w:space="0" w:color="auto"/>
      </w:divBdr>
    </w:div>
    <w:div w:id="587545839">
      <w:bodyDiv w:val="1"/>
      <w:marLeft w:val="0"/>
      <w:marRight w:val="0"/>
      <w:marTop w:val="0"/>
      <w:marBottom w:val="0"/>
      <w:divBdr>
        <w:top w:val="none" w:sz="0" w:space="0" w:color="auto"/>
        <w:left w:val="none" w:sz="0" w:space="0" w:color="auto"/>
        <w:bottom w:val="none" w:sz="0" w:space="0" w:color="auto"/>
        <w:right w:val="none" w:sz="0" w:space="0" w:color="auto"/>
      </w:divBdr>
    </w:div>
    <w:div w:id="595014564">
      <w:bodyDiv w:val="1"/>
      <w:marLeft w:val="0"/>
      <w:marRight w:val="0"/>
      <w:marTop w:val="0"/>
      <w:marBottom w:val="0"/>
      <w:divBdr>
        <w:top w:val="none" w:sz="0" w:space="0" w:color="auto"/>
        <w:left w:val="none" w:sz="0" w:space="0" w:color="auto"/>
        <w:bottom w:val="none" w:sz="0" w:space="0" w:color="auto"/>
        <w:right w:val="none" w:sz="0" w:space="0" w:color="auto"/>
      </w:divBdr>
      <w:divsChild>
        <w:div w:id="1236161608">
          <w:marLeft w:val="0"/>
          <w:marRight w:val="0"/>
          <w:marTop w:val="0"/>
          <w:marBottom w:val="0"/>
          <w:divBdr>
            <w:top w:val="none" w:sz="0" w:space="0" w:color="auto"/>
            <w:left w:val="none" w:sz="0" w:space="0" w:color="auto"/>
            <w:bottom w:val="none" w:sz="0" w:space="0" w:color="auto"/>
            <w:right w:val="none" w:sz="0" w:space="0" w:color="auto"/>
          </w:divBdr>
        </w:div>
        <w:div w:id="1755937651">
          <w:marLeft w:val="0"/>
          <w:marRight w:val="0"/>
          <w:marTop w:val="0"/>
          <w:marBottom w:val="0"/>
          <w:divBdr>
            <w:top w:val="none" w:sz="0" w:space="0" w:color="auto"/>
            <w:left w:val="none" w:sz="0" w:space="0" w:color="auto"/>
            <w:bottom w:val="none" w:sz="0" w:space="0" w:color="auto"/>
            <w:right w:val="none" w:sz="0" w:space="0" w:color="auto"/>
          </w:divBdr>
        </w:div>
      </w:divsChild>
    </w:div>
    <w:div w:id="599678781">
      <w:bodyDiv w:val="1"/>
      <w:marLeft w:val="0"/>
      <w:marRight w:val="0"/>
      <w:marTop w:val="0"/>
      <w:marBottom w:val="0"/>
      <w:divBdr>
        <w:top w:val="none" w:sz="0" w:space="0" w:color="auto"/>
        <w:left w:val="none" w:sz="0" w:space="0" w:color="auto"/>
        <w:bottom w:val="none" w:sz="0" w:space="0" w:color="auto"/>
        <w:right w:val="none" w:sz="0" w:space="0" w:color="auto"/>
      </w:divBdr>
      <w:divsChild>
        <w:div w:id="195192075">
          <w:marLeft w:val="0"/>
          <w:marRight w:val="0"/>
          <w:marTop w:val="0"/>
          <w:marBottom w:val="0"/>
          <w:divBdr>
            <w:top w:val="none" w:sz="0" w:space="0" w:color="auto"/>
            <w:left w:val="none" w:sz="0" w:space="0" w:color="auto"/>
            <w:bottom w:val="none" w:sz="0" w:space="0" w:color="auto"/>
            <w:right w:val="none" w:sz="0" w:space="0" w:color="auto"/>
          </w:divBdr>
        </w:div>
        <w:div w:id="2010208710">
          <w:marLeft w:val="0"/>
          <w:marRight w:val="0"/>
          <w:marTop w:val="0"/>
          <w:marBottom w:val="0"/>
          <w:divBdr>
            <w:top w:val="none" w:sz="0" w:space="0" w:color="auto"/>
            <w:left w:val="none" w:sz="0" w:space="0" w:color="auto"/>
            <w:bottom w:val="none" w:sz="0" w:space="0" w:color="auto"/>
            <w:right w:val="none" w:sz="0" w:space="0" w:color="auto"/>
          </w:divBdr>
        </w:div>
      </w:divsChild>
    </w:div>
    <w:div w:id="601111150">
      <w:bodyDiv w:val="1"/>
      <w:marLeft w:val="0"/>
      <w:marRight w:val="0"/>
      <w:marTop w:val="0"/>
      <w:marBottom w:val="0"/>
      <w:divBdr>
        <w:top w:val="none" w:sz="0" w:space="0" w:color="auto"/>
        <w:left w:val="none" w:sz="0" w:space="0" w:color="auto"/>
        <w:bottom w:val="none" w:sz="0" w:space="0" w:color="auto"/>
        <w:right w:val="none" w:sz="0" w:space="0" w:color="auto"/>
      </w:divBdr>
      <w:divsChild>
        <w:div w:id="702631575">
          <w:marLeft w:val="0"/>
          <w:marRight w:val="0"/>
          <w:marTop w:val="0"/>
          <w:marBottom w:val="0"/>
          <w:divBdr>
            <w:top w:val="none" w:sz="0" w:space="0" w:color="auto"/>
            <w:left w:val="none" w:sz="0" w:space="0" w:color="auto"/>
            <w:bottom w:val="none" w:sz="0" w:space="0" w:color="auto"/>
            <w:right w:val="none" w:sz="0" w:space="0" w:color="auto"/>
          </w:divBdr>
        </w:div>
        <w:div w:id="1778721462">
          <w:marLeft w:val="0"/>
          <w:marRight w:val="0"/>
          <w:marTop w:val="0"/>
          <w:marBottom w:val="0"/>
          <w:divBdr>
            <w:top w:val="none" w:sz="0" w:space="0" w:color="auto"/>
            <w:left w:val="none" w:sz="0" w:space="0" w:color="auto"/>
            <w:bottom w:val="none" w:sz="0" w:space="0" w:color="auto"/>
            <w:right w:val="none" w:sz="0" w:space="0" w:color="auto"/>
          </w:divBdr>
        </w:div>
      </w:divsChild>
    </w:div>
    <w:div w:id="606733914">
      <w:bodyDiv w:val="1"/>
      <w:marLeft w:val="0"/>
      <w:marRight w:val="0"/>
      <w:marTop w:val="0"/>
      <w:marBottom w:val="0"/>
      <w:divBdr>
        <w:top w:val="none" w:sz="0" w:space="0" w:color="auto"/>
        <w:left w:val="none" w:sz="0" w:space="0" w:color="auto"/>
        <w:bottom w:val="none" w:sz="0" w:space="0" w:color="auto"/>
        <w:right w:val="none" w:sz="0" w:space="0" w:color="auto"/>
      </w:divBdr>
      <w:divsChild>
        <w:div w:id="234440510">
          <w:marLeft w:val="0"/>
          <w:marRight w:val="0"/>
          <w:marTop w:val="0"/>
          <w:marBottom w:val="0"/>
          <w:divBdr>
            <w:top w:val="none" w:sz="0" w:space="0" w:color="auto"/>
            <w:left w:val="none" w:sz="0" w:space="0" w:color="auto"/>
            <w:bottom w:val="none" w:sz="0" w:space="0" w:color="auto"/>
            <w:right w:val="none" w:sz="0" w:space="0" w:color="auto"/>
          </w:divBdr>
        </w:div>
        <w:div w:id="611741805">
          <w:marLeft w:val="0"/>
          <w:marRight w:val="0"/>
          <w:marTop w:val="0"/>
          <w:marBottom w:val="0"/>
          <w:divBdr>
            <w:top w:val="none" w:sz="0" w:space="0" w:color="auto"/>
            <w:left w:val="none" w:sz="0" w:space="0" w:color="auto"/>
            <w:bottom w:val="none" w:sz="0" w:space="0" w:color="auto"/>
            <w:right w:val="none" w:sz="0" w:space="0" w:color="auto"/>
          </w:divBdr>
        </w:div>
      </w:divsChild>
    </w:div>
    <w:div w:id="610206718">
      <w:bodyDiv w:val="1"/>
      <w:marLeft w:val="0"/>
      <w:marRight w:val="0"/>
      <w:marTop w:val="0"/>
      <w:marBottom w:val="0"/>
      <w:divBdr>
        <w:top w:val="none" w:sz="0" w:space="0" w:color="auto"/>
        <w:left w:val="none" w:sz="0" w:space="0" w:color="auto"/>
        <w:bottom w:val="none" w:sz="0" w:space="0" w:color="auto"/>
        <w:right w:val="none" w:sz="0" w:space="0" w:color="auto"/>
      </w:divBdr>
    </w:div>
    <w:div w:id="610473838">
      <w:bodyDiv w:val="1"/>
      <w:marLeft w:val="0"/>
      <w:marRight w:val="0"/>
      <w:marTop w:val="0"/>
      <w:marBottom w:val="0"/>
      <w:divBdr>
        <w:top w:val="none" w:sz="0" w:space="0" w:color="auto"/>
        <w:left w:val="none" w:sz="0" w:space="0" w:color="auto"/>
        <w:bottom w:val="none" w:sz="0" w:space="0" w:color="auto"/>
        <w:right w:val="none" w:sz="0" w:space="0" w:color="auto"/>
      </w:divBdr>
    </w:div>
    <w:div w:id="615646753">
      <w:bodyDiv w:val="1"/>
      <w:marLeft w:val="0"/>
      <w:marRight w:val="0"/>
      <w:marTop w:val="0"/>
      <w:marBottom w:val="0"/>
      <w:divBdr>
        <w:top w:val="none" w:sz="0" w:space="0" w:color="auto"/>
        <w:left w:val="none" w:sz="0" w:space="0" w:color="auto"/>
        <w:bottom w:val="none" w:sz="0" w:space="0" w:color="auto"/>
        <w:right w:val="none" w:sz="0" w:space="0" w:color="auto"/>
      </w:divBdr>
    </w:div>
    <w:div w:id="618991108">
      <w:bodyDiv w:val="1"/>
      <w:marLeft w:val="0"/>
      <w:marRight w:val="0"/>
      <w:marTop w:val="0"/>
      <w:marBottom w:val="0"/>
      <w:divBdr>
        <w:top w:val="none" w:sz="0" w:space="0" w:color="auto"/>
        <w:left w:val="none" w:sz="0" w:space="0" w:color="auto"/>
        <w:bottom w:val="none" w:sz="0" w:space="0" w:color="auto"/>
        <w:right w:val="none" w:sz="0" w:space="0" w:color="auto"/>
      </w:divBdr>
    </w:div>
    <w:div w:id="621376313">
      <w:bodyDiv w:val="1"/>
      <w:marLeft w:val="0"/>
      <w:marRight w:val="0"/>
      <w:marTop w:val="0"/>
      <w:marBottom w:val="0"/>
      <w:divBdr>
        <w:top w:val="none" w:sz="0" w:space="0" w:color="auto"/>
        <w:left w:val="none" w:sz="0" w:space="0" w:color="auto"/>
        <w:bottom w:val="none" w:sz="0" w:space="0" w:color="auto"/>
        <w:right w:val="none" w:sz="0" w:space="0" w:color="auto"/>
      </w:divBdr>
      <w:divsChild>
        <w:div w:id="1149252899">
          <w:marLeft w:val="0"/>
          <w:marRight w:val="0"/>
          <w:marTop w:val="0"/>
          <w:marBottom w:val="0"/>
          <w:divBdr>
            <w:top w:val="none" w:sz="0" w:space="0" w:color="auto"/>
            <w:left w:val="none" w:sz="0" w:space="0" w:color="auto"/>
            <w:bottom w:val="none" w:sz="0" w:space="0" w:color="auto"/>
            <w:right w:val="none" w:sz="0" w:space="0" w:color="auto"/>
          </w:divBdr>
        </w:div>
        <w:div w:id="1595435364">
          <w:marLeft w:val="0"/>
          <w:marRight w:val="0"/>
          <w:marTop w:val="0"/>
          <w:marBottom w:val="0"/>
          <w:divBdr>
            <w:top w:val="none" w:sz="0" w:space="0" w:color="auto"/>
            <w:left w:val="none" w:sz="0" w:space="0" w:color="auto"/>
            <w:bottom w:val="none" w:sz="0" w:space="0" w:color="auto"/>
            <w:right w:val="none" w:sz="0" w:space="0" w:color="auto"/>
          </w:divBdr>
        </w:div>
      </w:divsChild>
    </w:div>
    <w:div w:id="622925645">
      <w:bodyDiv w:val="1"/>
      <w:marLeft w:val="0"/>
      <w:marRight w:val="0"/>
      <w:marTop w:val="0"/>
      <w:marBottom w:val="0"/>
      <w:divBdr>
        <w:top w:val="none" w:sz="0" w:space="0" w:color="auto"/>
        <w:left w:val="none" w:sz="0" w:space="0" w:color="auto"/>
        <w:bottom w:val="none" w:sz="0" w:space="0" w:color="auto"/>
        <w:right w:val="none" w:sz="0" w:space="0" w:color="auto"/>
      </w:divBdr>
      <w:divsChild>
        <w:div w:id="390155070">
          <w:marLeft w:val="0"/>
          <w:marRight w:val="0"/>
          <w:marTop w:val="0"/>
          <w:marBottom w:val="0"/>
          <w:divBdr>
            <w:top w:val="none" w:sz="0" w:space="0" w:color="auto"/>
            <w:left w:val="none" w:sz="0" w:space="0" w:color="auto"/>
            <w:bottom w:val="none" w:sz="0" w:space="0" w:color="auto"/>
            <w:right w:val="none" w:sz="0" w:space="0" w:color="auto"/>
          </w:divBdr>
        </w:div>
        <w:div w:id="632179514">
          <w:marLeft w:val="0"/>
          <w:marRight w:val="0"/>
          <w:marTop w:val="0"/>
          <w:marBottom w:val="0"/>
          <w:divBdr>
            <w:top w:val="none" w:sz="0" w:space="0" w:color="auto"/>
            <w:left w:val="none" w:sz="0" w:space="0" w:color="auto"/>
            <w:bottom w:val="none" w:sz="0" w:space="0" w:color="auto"/>
            <w:right w:val="none" w:sz="0" w:space="0" w:color="auto"/>
          </w:divBdr>
        </w:div>
        <w:div w:id="845636793">
          <w:marLeft w:val="0"/>
          <w:marRight w:val="0"/>
          <w:marTop w:val="0"/>
          <w:marBottom w:val="0"/>
          <w:divBdr>
            <w:top w:val="none" w:sz="0" w:space="0" w:color="auto"/>
            <w:left w:val="none" w:sz="0" w:space="0" w:color="auto"/>
            <w:bottom w:val="none" w:sz="0" w:space="0" w:color="auto"/>
            <w:right w:val="none" w:sz="0" w:space="0" w:color="auto"/>
          </w:divBdr>
        </w:div>
      </w:divsChild>
    </w:div>
    <w:div w:id="624120163">
      <w:bodyDiv w:val="1"/>
      <w:marLeft w:val="0"/>
      <w:marRight w:val="0"/>
      <w:marTop w:val="0"/>
      <w:marBottom w:val="0"/>
      <w:divBdr>
        <w:top w:val="none" w:sz="0" w:space="0" w:color="auto"/>
        <w:left w:val="none" w:sz="0" w:space="0" w:color="auto"/>
        <w:bottom w:val="none" w:sz="0" w:space="0" w:color="auto"/>
        <w:right w:val="none" w:sz="0" w:space="0" w:color="auto"/>
      </w:divBdr>
    </w:div>
    <w:div w:id="624582228">
      <w:bodyDiv w:val="1"/>
      <w:marLeft w:val="0"/>
      <w:marRight w:val="0"/>
      <w:marTop w:val="0"/>
      <w:marBottom w:val="0"/>
      <w:divBdr>
        <w:top w:val="none" w:sz="0" w:space="0" w:color="auto"/>
        <w:left w:val="none" w:sz="0" w:space="0" w:color="auto"/>
        <w:bottom w:val="none" w:sz="0" w:space="0" w:color="auto"/>
        <w:right w:val="none" w:sz="0" w:space="0" w:color="auto"/>
      </w:divBdr>
    </w:div>
    <w:div w:id="631131978">
      <w:bodyDiv w:val="1"/>
      <w:marLeft w:val="0"/>
      <w:marRight w:val="0"/>
      <w:marTop w:val="0"/>
      <w:marBottom w:val="0"/>
      <w:divBdr>
        <w:top w:val="none" w:sz="0" w:space="0" w:color="auto"/>
        <w:left w:val="none" w:sz="0" w:space="0" w:color="auto"/>
        <w:bottom w:val="none" w:sz="0" w:space="0" w:color="auto"/>
        <w:right w:val="none" w:sz="0" w:space="0" w:color="auto"/>
      </w:divBdr>
      <w:divsChild>
        <w:div w:id="133104419">
          <w:marLeft w:val="0"/>
          <w:marRight w:val="0"/>
          <w:marTop w:val="0"/>
          <w:marBottom w:val="0"/>
          <w:divBdr>
            <w:top w:val="none" w:sz="0" w:space="0" w:color="auto"/>
            <w:left w:val="none" w:sz="0" w:space="0" w:color="auto"/>
            <w:bottom w:val="none" w:sz="0" w:space="0" w:color="auto"/>
            <w:right w:val="none" w:sz="0" w:space="0" w:color="auto"/>
          </w:divBdr>
        </w:div>
        <w:div w:id="593825714">
          <w:marLeft w:val="0"/>
          <w:marRight w:val="0"/>
          <w:marTop w:val="0"/>
          <w:marBottom w:val="0"/>
          <w:divBdr>
            <w:top w:val="none" w:sz="0" w:space="0" w:color="auto"/>
            <w:left w:val="none" w:sz="0" w:space="0" w:color="auto"/>
            <w:bottom w:val="none" w:sz="0" w:space="0" w:color="auto"/>
            <w:right w:val="none" w:sz="0" w:space="0" w:color="auto"/>
          </w:divBdr>
        </w:div>
        <w:div w:id="1429227649">
          <w:marLeft w:val="0"/>
          <w:marRight w:val="0"/>
          <w:marTop w:val="0"/>
          <w:marBottom w:val="0"/>
          <w:divBdr>
            <w:top w:val="none" w:sz="0" w:space="0" w:color="auto"/>
            <w:left w:val="none" w:sz="0" w:space="0" w:color="auto"/>
            <w:bottom w:val="none" w:sz="0" w:space="0" w:color="auto"/>
            <w:right w:val="none" w:sz="0" w:space="0" w:color="auto"/>
          </w:divBdr>
        </w:div>
      </w:divsChild>
    </w:div>
    <w:div w:id="634726375">
      <w:bodyDiv w:val="1"/>
      <w:marLeft w:val="0"/>
      <w:marRight w:val="0"/>
      <w:marTop w:val="0"/>
      <w:marBottom w:val="0"/>
      <w:divBdr>
        <w:top w:val="none" w:sz="0" w:space="0" w:color="auto"/>
        <w:left w:val="none" w:sz="0" w:space="0" w:color="auto"/>
        <w:bottom w:val="none" w:sz="0" w:space="0" w:color="auto"/>
        <w:right w:val="none" w:sz="0" w:space="0" w:color="auto"/>
      </w:divBdr>
      <w:divsChild>
        <w:div w:id="246958369">
          <w:marLeft w:val="0"/>
          <w:marRight w:val="0"/>
          <w:marTop w:val="0"/>
          <w:marBottom w:val="0"/>
          <w:divBdr>
            <w:top w:val="none" w:sz="0" w:space="0" w:color="auto"/>
            <w:left w:val="none" w:sz="0" w:space="0" w:color="auto"/>
            <w:bottom w:val="none" w:sz="0" w:space="0" w:color="auto"/>
            <w:right w:val="none" w:sz="0" w:space="0" w:color="auto"/>
          </w:divBdr>
        </w:div>
        <w:div w:id="1781413288">
          <w:marLeft w:val="0"/>
          <w:marRight w:val="0"/>
          <w:marTop w:val="0"/>
          <w:marBottom w:val="0"/>
          <w:divBdr>
            <w:top w:val="none" w:sz="0" w:space="0" w:color="auto"/>
            <w:left w:val="none" w:sz="0" w:space="0" w:color="auto"/>
            <w:bottom w:val="none" w:sz="0" w:space="0" w:color="auto"/>
            <w:right w:val="none" w:sz="0" w:space="0" w:color="auto"/>
          </w:divBdr>
        </w:div>
      </w:divsChild>
    </w:div>
    <w:div w:id="636183085">
      <w:bodyDiv w:val="1"/>
      <w:marLeft w:val="0"/>
      <w:marRight w:val="0"/>
      <w:marTop w:val="0"/>
      <w:marBottom w:val="0"/>
      <w:divBdr>
        <w:top w:val="none" w:sz="0" w:space="0" w:color="auto"/>
        <w:left w:val="none" w:sz="0" w:space="0" w:color="auto"/>
        <w:bottom w:val="none" w:sz="0" w:space="0" w:color="auto"/>
        <w:right w:val="none" w:sz="0" w:space="0" w:color="auto"/>
      </w:divBdr>
      <w:divsChild>
        <w:div w:id="252669664">
          <w:marLeft w:val="0"/>
          <w:marRight w:val="0"/>
          <w:marTop w:val="0"/>
          <w:marBottom w:val="0"/>
          <w:divBdr>
            <w:top w:val="none" w:sz="0" w:space="0" w:color="auto"/>
            <w:left w:val="none" w:sz="0" w:space="0" w:color="auto"/>
            <w:bottom w:val="none" w:sz="0" w:space="0" w:color="auto"/>
            <w:right w:val="none" w:sz="0" w:space="0" w:color="auto"/>
          </w:divBdr>
        </w:div>
        <w:div w:id="550460383">
          <w:marLeft w:val="0"/>
          <w:marRight w:val="0"/>
          <w:marTop w:val="0"/>
          <w:marBottom w:val="0"/>
          <w:divBdr>
            <w:top w:val="none" w:sz="0" w:space="0" w:color="auto"/>
            <w:left w:val="none" w:sz="0" w:space="0" w:color="auto"/>
            <w:bottom w:val="none" w:sz="0" w:space="0" w:color="auto"/>
            <w:right w:val="none" w:sz="0" w:space="0" w:color="auto"/>
          </w:divBdr>
        </w:div>
      </w:divsChild>
    </w:div>
    <w:div w:id="645813912">
      <w:bodyDiv w:val="1"/>
      <w:marLeft w:val="0"/>
      <w:marRight w:val="0"/>
      <w:marTop w:val="0"/>
      <w:marBottom w:val="0"/>
      <w:divBdr>
        <w:top w:val="none" w:sz="0" w:space="0" w:color="auto"/>
        <w:left w:val="none" w:sz="0" w:space="0" w:color="auto"/>
        <w:bottom w:val="none" w:sz="0" w:space="0" w:color="auto"/>
        <w:right w:val="none" w:sz="0" w:space="0" w:color="auto"/>
      </w:divBdr>
    </w:div>
    <w:div w:id="649409776">
      <w:bodyDiv w:val="1"/>
      <w:marLeft w:val="0"/>
      <w:marRight w:val="0"/>
      <w:marTop w:val="0"/>
      <w:marBottom w:val="0"/>
      <w:divBdr>
        <w:top w:val="none" w:sz="0" w:space="0" w:color="auto"/>
        <w:left w:val="none" w:sz="0" w:space="0" w:color="auto"/>
        <w:bottom w:val="none" w:sz="0" w:space="0" w:color="auto"/>
        <w:right w:val="none" w:sz="0" w:space="0" w:color="auto"/>
      </w:divBdr>
    </w:div>
    <w:div w:id="651910197">
      <w:bodyDiv w:val="1"/>
      <w:marLeft w:val="0"/>
      <w:marRight w:val="0"/>
      <w:marTop w:val="0"/>
      <w:marBottom w:val="0"/>
      <w:divBdr>
        <w:top w:val="none" w:sz="0" w:space="0" w:color="auto"/>
        <w:left w:val="none" w:sz="0" w:space="0" w:color="auto"/>
        <w:bottom w:val="none" w:sz="0" w:space="0" w:color="auto"/>
        <w:right w:val="none" w:sz="0" w:space="0" w:color="auto"/>
      </w:divBdr>
    </w:div>
    <w:div w:id="654188778">
      <w:bodyDiv w:val="1"/>
      <w:marLeft w:val="0"/>
      <w:marRight w:val="0"/>
      <w:marTop w:val="0"/>
      <w:marBottom w:val="0"/>
      <w:divBdr>
        <w:top w:val="none" w:sz="0" w:space="0" w:color="auto"/>
        <w:left w:val="none" w:sz="0" w:space="0" w:color="auto"/>
        <w:bottom w:val="none" w:sz="0" w:space="0" w:color="auto"/>
        <w:right w:val="none" w:sz="0" w:space="0" w:color="auto"/>
      </w:divBdr>
    </w:div>
    <w:div w:id="654603877">
      <w:bodyDiv w:val="1"/>
      <w:marLeft w:val="0"/>
      <w:marRight w:val="0"/>
      <w:marTop w:val="0"/>
      <w:marBottom w:val="0"/>
      <w:divBdr>
        <w:top w:val="none" w:sz="0" w:space="0" w:color="auto"/>
        <w:left w:val="none" w:sz="0" w:space="0" w:color="auto"/>
        <w:bottom w:val="none" w:sz="0" w:space="0" w:color="auto"/>
        <w:right w:val="none" w:sz="0" w:space="0" w:color="auto"/>
      </w:divBdr>
      <w:divsChild>
        <w:div w:id="307246605">
          <w:marLeft w:val="0"/>
          <w:marRight w:val="0"/>
          <w:marTop w:val="0"/>
          <w:marBottom w:val="0"/>
          <w:divBdr>
            <w:top w:val="none" w:sz="0" w:space="0" w:color="auto"/>
            <w:left w:val="none" w:sz="0" w:space="0" w:color="auto"/>
            <w:bottom w:val="none" w:sz="0" w:space="0" w:color="auto"/>
            <w:right w:val="none" w:sz="0" w:space="0" w:color="auto"/>
          </w:divBdr>
        </w:div>
        <w:div w:id="1696540638">
          <w:marLeft w:val="0"/>
          <w:marRight w:val="0"/>
          <w:marTop w:val="0"/>
          <w:marBottom w:val="0"/>
          <w:divBdr>
            <w:top w:val="none" w:sz="0" w:space="0" w:color="auto"/>
            <w:left w:val="none" w:sz="0" w:space="0" w:color="auto"/>
            <w:bottom w:val="none" w:sz="0" w:space="0" w:color="auto"/>
            <w:right w:val="none" w:sz="0" w:space="0" w:color="auto"/>
          </w:divBdr>
        </w:div>
      </w:divsChild>
    </w:div>
    <w:div w:id="658120539">
      <w:bodyDiv w:val="1"/>
      <w:marLeft w:val="0"/>
      <w:marRight w:val="0"/>
      <w:marTop w:val="0"/>
      <w:marBottom w:val="0"/>
      <w:divBdr>
        <w:top w:val="none" w:sz="0" w:space="0" w:color="auto"/>
        <w:left w:val="none" w:sz="0" w:space="0" w:color="auto"/>
        <w:bottom w:val="none" w:sz="0" w:space="0" w:color="auto"/>
        <w:right w:val="none" w:sz="0" w:space="0" w:color="auto"/>
      </w:divBdr>
    </w:div>
    <w:div w:id="664673515">
      <w:bodyDiv w:val="1"/>
      <w:marLeft w:val="0"/>
      <w:marRight w:val="0"/>
      <w:marTop w:val="0"/>
      <w:marBottom w:val="0"/>
      <w:divBdr>
        <w:top w:val="none" w:sz="0" w:space="0" w:color="auto"/>
        <w:left w:val="none" w:sz="0" w:space="0" w:color="auto"/>
        <w:bottom w:val="none" w:sz="0" w:space="0" w:color="auto"/>
        <w:right w:val="none" w:sz="0" w:space="0" w:color="auto"/>
      </w:divBdr>
      <w:divsChild>
        <w:div w:id="853956165">
          <w:marLeft w:val="0"/>
          <w:marRight w:val="0"/>
          <w:marTop w:val="0"/>
          <w:marBottom w:val="0"/>
          <w:divBdr>
            <w:top w:val="none" w:sz="0" w:space="0" w:color="auto"/>
            <w:left w:val="none" w:sz="0" w:space="0" w:color="auto"/>
            <w:bottom w:val="none" w:sz="0" w:space="0" w:color="auto"/>
            <w:right w:val="none" w:sz="0" w:space="0" w:color="auto"/>
          </w:divBdr>
        </w:div>
        <w:div w:id="1647323680">
          <w:marLeft w:val="0"/>
          <w:marRight w:val="0"/>
          <w:marTop w:val="0"/>
          <w:marBottom w:val="0"/>
          <w:divBdr>
            <w:top w:val="none" w:sz="0" w:space="0" w:color="auto"/>
            <w:left w:val="none" w:sz="0" w:space="0" w:color="auto"/>
            <w:bottom w:val="none" w:sz="0" w:space="0" w:color="auto"/>
            <w:right w:val="none" w:sz="0" w:space="0" w:color="auto"/>
          </w:divBdr>
        </w:div>
      </w:divsChild>
    </w:div>
    <w:div w:id="665935345">
      <w:bodyDiv w:val="1"/>
      <w:marLeft w:val="0"/>
      <w:marRight w:val="0"/>
      <w:marTop w:val="0"/>
      <w:marBottom w:val="0"/>
      <w:divBdr>
        <w:top w:val="none" w:sz="0" w:space="0" w:color="auto"/>
        <w:left w:val="none" w:sz="0" w:space="0" w:color="auto"/>
        <w:bottom w:val="none" w:sz="0" w:space="0" w:color="auto"/>
        <w:right w:val="none" w:sz="0" w:space="0" w:color="auto"/>
      </w:divBdr>
      <w:divsChild>
        <w:div w:id="12267621">
          <w:marLeft w:val="0"/>
          <w:marRight w:val="0"/>
          <w:marTop w:val="0"/>
          <w:marBottom w:val="0"/>
          <w:divBdr>
            <w:top w:val="none" w:sz="0" w:space="0" w:color="auto"/>
            <w:left w:val="none" w:sz="0" w:space="0" w:color="auto"/>
            <w:bottom w:val="none" w:sz="0" w:space="0" w:color="auto"/>
            <w:right w:val="none" w:sz="0" w:space="0" w:color="auto"/>
          </w:divBdr>
          <w:divsChild>
            <w:div w:id="287594632">
              <w:marLeft w:val="0"/>
              <w:marRight w:val="0"/>
              <w:marTop w:val="0"/>
              <w:marBottom w:val="0"/>
              <w:divBdr>
                <w:top w:val="none" w:sz="0" w:space="0" w:color="auto"/>
                <w:left w:val="none" w:sz="0" w:space="0" w:color="auto"/>
                <w:bottom w:val="none" w:sz="0" w:space="0" w:color="auto"/>
                <w:right w:val="none" w:sz="0" w:space="0" w:color="auto"/>
              </w:divBdr>
              <w:divsChild>
                <w:div w:id="1732189103">
                  <w:marLeft w:val="0"/>
                  <w:marRight w:val="0"/>
                  <w:marTop w:val="0"/>
                  <w:marBottom w:val="0"/>
                  <w:divBdr>
                    <w:top w:val="none" w:sz="0" w:space="0" w:color="auto"/>
                    <w:left w:val="none" w:sz="0" w:space="0" w:color="auto"/>
                    <w:bottom w:val="none" w:sz="0" w:space="0" w:color="auto"/>
                    <w:right w:val="none" w:sz="0" w:space="0" w:color="auto"/>
                  </w:divBdr>
                  <w:divsChild>
                    <w:div w:id="1698702561">
                      <w:marLeft w:val="0"/>
                      <w:marRight w:val="0"/>
                      <w:marTop w:val="0"/>
                      <w:marBottom w:val="0"/>
                      <w:divBdr>
                        <w:top w:val="none" w:sz="0" w:space="0" w:color="auto"/>
                        <w:left w:val="none" w:sz="0" w:space="0" w:color="auto"/>
                        <w:bottom w:val="none" w:sz="0" w:space="0" w:color="auto"/>
                        <w:right w:val="none" w:sz="0" w:space="0" w:color="auto"/>
                      </w:divBdr>
                      <w:divsChild>
                        <w:div w:id="382338524">
                          <w:marLeft w:val="0"/>
                          <w:marRight w:val="0"/>
                          <w:marTop w:val="0"/>
                          <w:marBottom w:val="0"/>
                          <w:divBdr>
                            <w:top w:val="none" w:sz="0" w:space="0" w:color="auto"/>
                            <w:left w:val="none" w:sz="0" w:space="0" w:color="auto"/>
                            <w:bottom w:val="none" w:sz="0" w:space="0" w:color="auto"/>
                            <w:right w:val="none" w:sz="0" w:space="0" w:color="auto"/>
                          </w:divBdr>
                          <w:divsChild>
                            <w:div w:id="608902437">
                              <w:marLeft w:val="0"/>
                              <w:marRight w:val="0"/>
                              <w:marTop w:val="0"/>
                              <w:marBottom w:val="0"/>
                              <w:divBdr>
                                <w:top w:val="none" w:sz="0" w:space="0" w:color="auto"/>
                                <w:left w:val="none" w:sz="0" w:space="0" w:color="auto"/>
                                <w:bottom w:val="none" w:sz="0" w:space="0" w:color="auto"/>
                                <w:right w:val="none" w:sz="0" w:space="0" w:color="auto"/>
                              </w:divBdr>
                              <w:divsChild>
                                <w:div w:id="375784247">
                                  <w:marLeft w:val="0"/>
                                  <w:marRight w:val="0"/>
                                  <w:marTop w:val="0"/>
                                  <w:marBottom w:val="0"/>
                                  <w:divBdr>
                                    <w:top w:val="none" w:sz="0" w:space="0" w:color="auto"/>
                                    <w:left w:val="none" w:sz="0" w:space="0" w:color="auto"/>
                                    <w:bottom w:val="none" w:sz="0" w:space="0" w:color="auto"/>
                                    <w:right w:val="none" w:sz="0" w:space="0" w:color="auto"/>
                                  </w:divBdr>
                                </w:div>
                                <w:div w:id="1453018051">
                                  <w:marLeft w:val="0"/>
                                  <w:marRight w:val="0"/>
                                  <w:marTop w:val="0"/>
                                  <w:marBottom w:val="0"/>
                                  <w:divBdr>
                                    <w:top w:val="none" w:sz="0" w:space="0" w:color="auto"/>
                                    <w:left w:val="none" w:sz="0" w:space="0" w:color="auto"/>
                                    <w:bottom w:val="none" w:sz="0" w:space="0" w:color="auto"/>
                                    <w:right w:val="none" w:sz="0" w:space="0" w:color="auto"/>
                                  </w:divBdr>
                                </w:div>
                              </w:divsChild>
                            </w:div>
                            <w:div w:id="941187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60823046">
          <w:marLeft w:val="0"/>
          <w:marRight w:val="0"/>
          <w:marTop w:val="0"/>
          <w:marBottom w:val="0"/>
          <w:divBdr>
            <w:top w:val="none" w:sz="0" w:space="0" w:color="auto"/>
            <w:left w:val="none" w:sz="0" w:space="0" w:color="auto"/>
            <w:bottom w:val="none" w:sz="0" w:space="0" w:color="auto"/>
            <w:right w:val="none" w:sz="0" w:space="0" w:color="auto"/>
          </w:divBdr>
          <w:divsChild>
            <w:div w:id="719019769">
              <w:marLeft w:val="0"/>
              <w:marRight w:val="0"/>
              <w:marTop w:val="0"/>
              <w:marBottom w:val="0"/>
              <w:divBdr>
                <w:top w:val="none" w:sz="0" w:space="0" w:color="auto"/>
                <w:left w:val="none" w:sz="0" w:space="0" w:color="auto"/>
                <w:bottom w:val="none" w:sz="0" w:space="0" w:color="auto"/>
                <w:right w:val="none" w:sz="0" w:space="0" w:color="auto"/>
              </w:divBdr>
              <w:divsChild>
                <w:div w:id="782848452">
                  <w:marLeft w:val="0"/>
                  <w:marRight w:val="0"/>
                  <w:marTop w:val="0"/>
                  <w:marBottom w:val="0"/>
                  <w:divBdr>
                    <w:top w:val="none" w:sz="0" w:space="0" w:color="auto"/>
                    <w:left w:val="none" w:sz="0" w:space="0" w:color="auto"/>
                    <w:bottom w:val="none" w:sz="0" w:space="0" w:color="auto"/>
                    <w:right w:val="none" w:sz="0" w:space="0" w:color="auto"/>
                  </w:divBdr>
                  <w:divsChild>
                    <w:div w:id="85852458">
                      <w:marLeft w:val="0"/>
                      <w:marRight w:val="0"/>
                      <w:marTop w:val="0"/>
                      <w:marBottom w:val="0"/>
                      <w:divBdr>
                        <w:top w:val="none" w:sz="0" w:space="0" w:color="auto"/>
                        <w:left w:val="none" w:sz="0" w:space="0" w:color="auto"/>
                        <w:bottom w:val="none" w:sz="0" w:space="0" w:color="auto"/>
                        <w:right w:val="none" w:sz="0" w:space="0" w:color="auto"/>
                      </w:divBdr>
                    </w:div>
                  </w:divsChild>
                </w:div>
                <w:div w:id="1529640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2756593">
      <w:bodyDiv w:val="1"/>
      <w:marLeft w:val="0"/>
      <w:marRight w:val="0"/>
      <w:marTop w:val="0"/>
      <w:marBottom w:val="0"/>
      <w:divBdr>
        <w:top w:val="none" w:sz="0" w:space="0" w:color="auto"/>
        <w:left w:val="none" w:sz="0" w:space="0" w:color="auto"/>
        <w:bottom w:val="none" w:sz="0" w:space="0" w:color="auto"/>
        <w:right w:val="none" w:sz="0" w:space="0" w:color="auto"/>
      </w:divBdr>
    </w:div>
    <w:div w:id="674724420">
      <w:bodyDiv w:val="1"/>
      <w:marLeft w:val="0"/>
      <w:marRight w:val="0"/>
      <w:marTop w:val="0"/>
      <w:marBottom w:val="0"/>
      <w:divBdr>
        <w:top w:val="none" w:sz="0" w:space="0" w:color="auto"/>
        <w:left w:val="none" w:sz="0" w:space="0" w:color="auto"/>
        <w:bottom w:val="none" w:sz="0" w:space="0" w:color="auto"/>
        <w:right w:val="none" w:sz="0" w:space="0" w:color="auto"/>
      </w:divBdr>
      <w:divsChild>
        <w:div w:id="31197669">
          <w:marLeft w:val="0"/>
          <w:marRight w:val="0"/>
          <w:marTop w:val="0"/>
          <w:marBottom w:val="0"/>
          <w:divBdr>
            <w:top w:val="none" w:sz="0" w:space="0" w:color="auto"/>
            <w:left w:val="none" w:sz="0" w:space="0" w:color="auto"/>
            <w:bottom w:val="none" w:sz="0" w:space="0" w:color="auto"/>
            <w:right w:val="none" w:sz="0" w:space="0" w:color="auto"/>
          </w:divBdr>
          <w:divsChild>
            <w:div w:id="886338283">
              <w:marLeft w:val="0"/>
              <w:marRight w:val="0"/>
              <w:marTop w:val="0"/>
              <w:marBottom w:val="0"/>
              <w:divBdr>
                <w:top w:val="none" w:sz="0" w:space="0" w:color="auto"/>
                <w:left w:val="none" w:sz="0" w:space="0" w:color="auto"/>
                <w:bottom w:val="none" w:sz="0" w:space="0" w:color="auto"/>
                <w:right w:val="none" w:sz="0" w:space="0" w:color="auto"/>
              </w:divBdr>
            </w:div>
            <w:div w:id="1206790340">
              <w:marLeft w:val="0"/>
              <w:marRight w:val="0"/>
              <w:marTop w:val="0"/>
              <w:marBottom w:val="0"/>
              <w:divBdr>
                <w:top w:val="none" w:sz="0" w:space="0" w:color="auto"/>
                <w:left w:val="none" w:sz="0" w:space="0" w:color="auto"/>
                <w:bottom w:val="none" w:sz="0" w:space="0" w:color="auto"/>
                <w:right w:val="none" w:sz="0" w:space="0" w:color="auto"/>
              </w:divBdr>
            </w:div>
          </w:divsChild>
        </w:div>
        <w:div w:id="840631534">
          <w:marLeft w:val="0"/>
          <w:marRight w:val="0"/>
          <w:marTop w:val="0"/>
          <w:marBottom w:val="0"/>
          <w:divBdr>
            <w:top w:val="none" w:sz="0" w:space="0" w:color="auto"/>
            <w:left w:val="none" w:sz="0" w:space="0" w:color="auto"/>
            <w:bottom w:val="none" w:sz="0" w:space="0" w:color="auto"/>
            <w:right w:val="none" w:sz="0" w:space="0" w:color="auto"/>
          </w:divBdr>
          <w:divsChild>
            <w:div w:id="277301207">
              <w:marLeft w:val="0"/>
              <w:marRight w:val="0"/>
              <w:marTop w:val="0"/>
              <w:marBottom w:val="0"/>
              <w:divBdr>
                <w:top w:val="none" w:sz="0" w:space="0" w:color="auto"/>
                <w:left w:val="none" w:sz="0" w:space="0" w:color="auto"/>
                <w:bottom w:val="none" w:sz="0" w:space="0" w:color="auto"/>
                <w:right w:val="none" w:sz="0" w:space="0" w:color="auto"/>
              </w:divBdr>
            </w:div>
          </w:divsChild>
        </w:div>
        <w:div w:id="1468431803">
          <w:marLeft w:val="0"/>
          <w:marRight w:val="0"/>
          <w:marTop w:val="0"/>
          <w:marBottom w:val="0"/>
          <w:divBdr>
            <w:top w:val="none" w:sz="0" w:space="0" w:color="auto"/>
            <w:left w:val="none" w:sz="0" w:space="0" w:color="auto"/>
            <w:bottom w:val="none" w:sz="0" w:space="0" w:color="auto"/>
            <w:right w:val="none" w:sz="0" w:space="0" w:color="auto"/>
          </w:divBdr>
          <w:divsChild>
            <w:div w:id="586381126">
              <w:marLeft w:val="0"/>
              <w:marRight w:val="0"/>
              <w:marTop w:val="0"/>
              <w:marBottom w:val="0"/>
              <w:divBdr>
                <w:top w:val="none" w:sz="0" w:space="0" w:color="auto"/>
                <w:left w:val="none" w:sz="0" w:space="0" w:color="auto"/>
                <w:bottom w:val="none" w:sz="0" w:space="0" w:color="auto"/>
                <w:right w:val="none" w:sz="0" w:space="0" w:color="auto"/>
              </w:divBdr>
              <w:divsChild>
                <w:div w:id="801114466">
                  <w:marLeft w:val="0"/>
                  <w:marRight w:val="0"/>
                  <w:marTop w:val="0"/>
                  <w:marBottom w:val="0"/>
                  <w:divBdr>
                    <w:top w:val="none" w:sz="0" w:space="0" w:color="auto"/>
                    <w:left w:val="none" w:sz="0" w:space="0" w:color="auto"/>
                    <w:bottom w:val="none" w:sz="0" w:space="0" w:color="auto"/>
                    <w:right w:val="none" w:sz="0" w:space="0" w:color="auto"/>
                  </w:divBdr>
                  <w:divsChild>
                    <w:div w:id="1161240796">
                      <w:marLeft w:val="0"/>
                      <w:marRight w:val="0"/>
                      <w:marTop w:val="0"/>
                      <w:marBottom w:val="0"/>
                      <w:divBdr>
                        <w:top w:val="none" w:sz="0" w:space="0" w:color="auto"/>
                        <w:left w:val="none" w:sz="0" w:space="0" w:color="auto"/>
                        <w:bottom w:val="none" w:sz="0" w:space="0" w:color="auto"/>
                        <w:right w:val="none" w:sz="0" w:space="0" w:color="auto"/>
                      </w:divBdr>
                      <w:divsChild>
                        <w:div w:id="713383187">
                          <w:marLeft w:val="0"/>
                          <w:marRight w:val="0"/>
                          <w:marTop w:val="0"/>
                          <w:marBottom w:val="0"/>
                          <w:divBdr>
                            <w:top w:val="none" w:sz="0" w:space="0" w:color="auto"/>
                            <w:left w:val="none" w:sz="0" w:space="0" w:color="auto"/>
                            <w:bottom w:val="none" w:sz="0" w:space="0" w:color="auto"/>
                            <w:right w:val="none" w:sz="0" w:space="0" w:color="auto"/>
                          </w:divBdr>
                        </w:div>
                        <w:div w:id="1354574605">
                          <w:marLeft w:val="0"/>
                          <w:marRight w:val="0"/>
                          <w:marTop w:val="0"/>
                          <w:marBottom w:val="0"/>
                          <w:divBdr>
                            <w:top w:val="none" w:sz="0" w:space="0" w:color="auto"/>
                            <w:left w:val="none" w:sz="0" w:space="0" w:color="auto"/>
                            <w:bottom w:val="none" w:sz="0" w:space="0" w:color="auto"/>
                            <w:right w:val="none" w:sz="0" w:space="0" w:color="auto"/>
                          </w:divBdr>
                        </w:div>
                        <w:div w:id="17452939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0105436">
                  <w:marLeft w:val="0"/>
                  <w:marRight w:val="0"/>
                  <w:marTop w:val="0"/>
                  <w:marBottom w:val="0"/>
                  <w:divBdr>
                    <w:top w:val="none" w:sz="0" w:space="0" w:color="auto"/>
                    <w:left w:val="none" w:sz="0" w:space="0" w:color="auto"/>
                    <w:bottom w:val="none" w:sz="0" w:space="0" w:color="auto"/>
                    <w:right w:val="none" w:sz="0" w:space="0" w:color="auto"/>
                  </w:divBdr>
                  <w:divsChild>
                    <w:div w:id="550070712">
                      <w:marLeft w:val="0"/>
                      <w:marRight w:val="0"/>
                      <w:marTop w:val="0"/>
                      <w:marBottom w:val="0"/>
                      <w:divBdr>
                        <w:top w:val="none" w:sz="0" w:space="0" w:color="auto"/>
                        <w:left w:val="none" w:sz="0" w:space="0" w:color="auto"/>
                        <w:bottom w:val="none" w:sz="0" w:space="0" w:color="auto"/>
                        <w:right w:val="none" w:sz="0" w:space="0" w:color="auto"/>
                      </w:divBdr>
                      <w:divsChild>
                        <w:div w:id="1134055367">
                          <w:marLeft w:val="0"/>
                          <w:marRight w:val="0"/>
                          <w:marTop w:val="0"/>
                          <w:marBottom w:val="0"/>
                          <w:divBdr>
                            <w:top w:val="none" w:sz="0" w:space="0" w:color="auto"/>
                            <w:left w:val="none" w:sz="0" w:space="0" w:color="auto"/>
                            <w:bottom w:val="none" w:sz="0" w:space="0" w:color="auto"/>
                            <w:right w:val="none" w:sz="0" w:space="0" w:color="auto"/>
                          </w:divBdr>
                          <w:divsChild>
                            <w:div w:id="942497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5964223">
                      <w:marLeft w:val="0"/>
                      <w:marRight w:val="0"/>
                      <w:marTop w:val="0"/>
                      <w:marBottom w:val="0"/>
                      <w:divBdr>
                        <w:top w:val="none" w:sz="0" w:space="0" w:color="auto"/>
                        <w:left w:val="none" w:sz="0" w:space="0" w:color="auto"/>
                        <w:bottom w:val="none" w:sz="0" w:space="0" w:color="auto"/>
                        <w:right w:val="none" w:sz="0" w:space="0" w:color="auto"/>
                      </w:divBdr>
                    </w:div>
                  </w:divsChild>
                </w:div>
                <w:div w:id="1808355499">
                  <w:marLeft w:val="0"/>
                  <w:marRight w:val="0"/>
                  <w:marTop w:val="0"/>
                  <w:marBottom w:val="0"/>
                  <w:divBdr>
                    <w:top w:val="none" w:sz="0" w:space="0" w:color="auto"/>
                    <w:left w:val="none" w:sz="0" w:space="0" w:color="auto"/>
                    <w:bottom w:val="none" w:sz="0" w:space="0" w:color="auto"/>
                    <w:right w:val="none" w:sz="0" w:space="0" w:color="auto"/>
                  </w:divBdr>
                  <w:divsChild>
                    <w:div w:id="91896955">
                      <w:marLeft w:val="0"/>
                      <w:marRight w:val="0"/>
                      <w:marTop w:val="0"/>
                      <w:marBottom w:val="0"/>
                      <w:divBdr>
                        <w:top w:val="none" w:sz="0" w:space="0" w:color="auto"/>
                        <w:left w:val="none" w:sz="0" w:space="0" w:color="auto"/>
                        <w:bottom w:val="none" w:sz="0" w:space="0" w:color="auto"/>
                        <w:right w:val="none" w:sz="0" w:space="0" w:color="auto"/>
                      </w:divBdr>
                    </w:div>
                    <w:div w:id="1062368927">
                      <w:marLeft w:val="0"/>
                      <w:marRight w:val="0"/>
                      <w:marTop w:val="0"/>
                      <w:marBottom w:val="0"/>
                      <w:divBdr>
                        <w:top w:val="none" w:sz="0" w:space="0" w:color="auto"/>
                        <w:left w:val="none" w:sz="0" w:space="0" w:color="auto"/>
                        <w:bottom w:val="none" w:sz="0" w:space="0" w:color="auto"/>
                        <w:right w:val="none" w:sz="0" w:space="0" w:color="auto"/>
                      </w:divBdr>
                      <w:divsChild>
                        <w:div w:id="450441167">
                          <w:marLeft w:val="0"/>
                          <w:marRight w:val="0"/>
                          <w:marTop w:val="0"/>
                          <w:marBottom w:val="0"/>
                          <w:divBdr>
                            <w:top w:val="none" w:sz="0" w:space="0" w:color="auto"/>
                            <w:left w:val="none" w:sz="0" w:space="0" w:color="auto"/>
                            <w:bottom w:val="none" w:sz="0" w:space="0" w:color="auto"/>
                            <w:right w:val="none" w:sz="0" w:space="0" w:color="auto"/>
                          </w:divBdr>
                          <w:divsChild>
                            <w:div w:id="93018302">
                              <w:marLeft w:val="0"/>
                              <w:marRight w:val="0"/>
                              <w:marTop w:val="0"/>
                              <w:marBottom w:val="0"/>
                              <w:divBdr>
                                <w:top w:val="none" w:sz="0" w:space="0" w:color="auto"/>
                                <w:left w:val="none" w:sz="0" w:space="0" w:color="auto"/>
                                <w:bottom w:val="none" w:sz="0" w:space="0" w:color="auto"/>
                                <w:right w:val="none" w:sz="0" w:space="0" w:color="auto"/>
                              </w:divBdr>
                            </w:div>
                            <w:div w:id="134295111">
                              <w:marLeft w:val="0"/>
                              <w:marRight w:val="0"/>
                              <w:marTop w:val="0"/>
                              <w:marBottom w:val="0"/>
                              <w:divBdr>
                                <w:top w:val="none" w:sz="0" w:space="0" w:color="auto"/>
                                <w:left w:val="none" w:sz="0" w:space="0" w:color="auto"/>
                                <w:bottom w:val="none" w:sz="0" w:space="0" w:color="auto"/>
                                <w:right w:val="none" w:sz="0" w:space="0" w:color="auto"/>
                              </w:divBdr>
                            </w:div>
                            <w:div w:id="230846197">
                              <w:marLeft w:val="0"/>
                              <w:marRight w:val="0"/>
                              <w:marTop w:val="0"/>
                              <w:marBottom w:val="0"/>
                              <w:divBdr>
                                <w:top w:val="none" w:sz="0" w:space="0" w:color="auto"/>
                                <w:left w:val="none" w:sz="0" w:space="0" w:color="auto"/>
                                <w:bottom w:val="none" w:sz="0" w:space="0" w:color="auto"/>
                                <w:right w:val="none" w:sz="0" w:space="0" w:color="auto"/>
                              </w:divBdr>
                            </w:div>
                            <w:div w:id="374354511">
                              <w:marLeft w:val="0"/>
                              <w:marRight w:val="0"/>
                              <w:marTop w:val="0"/>
                              <w:marBottom w:val="0"/>
                              <w:divBdr>
                                <w:top w:val="none" w:sz="0" w:space="0" w:color="auto"/>
                                <w:left w:val="none" w:sz="0" w:space="0" w:color="auto"/>
                                <w:bottom w:val="none" w:sz="0" w:space="0" w:color="auto"/>
                                <w:right w:val="none" w:sz="0" w:space="0" w:color="auto"/>
                              </w:divBdr>
                            </w:div>
                            <w:div w:id="547844493">
                              <w:marLeft w:val="0"/>
                              <w:marRight w:val="0"/>
                              <w:marTop w:val="0"/>
                              <w:marBottom w:val="0"/>
                              <w:divBdr>
                                <w:top w:val="none" w:sz="0" w:space="0" w:color="auto"/>
                                <w:left w:val="none" w:sz="0" w:space="0" w:color="auto"/>
                                <w:bottom w:val="none" w:sz="0" w:space="0" w:color="auto"/>
                                <w:right w:val="none" w:sz="0" w:space="0" w:color="auto"/>
                              </w:divBdr>
                            </w:div>
                            <w:div w:id="678118152">
                              <w:marLeft w:val="0"/>
                              <w:marRight w:val="0"/>
                              <w:marTop w:val="0"/>
                              <w:marBottom w:val="0"/>
                              <w:divBdr>
                                <w:top w:val="none" w:sz="0" w:space="0" w:color="auto"/>
                                <w:left w:val="none" w:sz="0" w:space="0" w:color="auto"/>
                                <w:bottom w:val="none" w:sz="0" w:space="0" w:color="auto"/>
                                <w:right w:val="none" w:sz="0" w:space="0" w:color="auto"/>
                              </w:divBdr>
                            </w:div>
                            <w:div w:id="759639327">
                              <w:marLeft w:val="0"/>
                              <w:marRight w:val="0"/>
                              <w:marTop w:val="0"/>
                              <w:marBottom w:val="0"/>
                              <w:divBdr>
                                <w:top w:val="none" w:sz="0" w:space="0" w:color="auto"/>
                                <w:left w:val="none" w:sz="0" w:space="0" w:color="auto"/>
                                <w:bottom w:val="none" w:sz="0" w:space="0" w:color="auto"/>
                                <w:right w:val="none" w:sz="0" w:space="0" w:color="auto"/>
                              </w:divBdr>
                            </w:div>
                            <w:div w:id="846022523">
                              <w:marLeft w:val="0"/>
                              <w:marRight w:val="0"/>
                              <w:marTop w:val="0"/>
                              <w:marBottom w:val="0"/>
                              <w:divBdr>
                                <w:top w:val="none" w:sz="0" w:space="0" w:color="auto"/>
                                <w:left w:val="none" w:sz="0" w:space="0" w:color="auto"/>
                                <w:bottom w:val="none" w:sz="0" w:space="0" w:color="auto"/>
                                <w:right w:val="none" w:sz="0" w:space="0" w:color="auto"/>
                              </w:divBdr>
                            </w:div>
                            <w:div w:id="853960616">
                              <w:marLeft w:val="0"/>
                              <w:marRight w:val="0"/>
                              <w:marTop w:val="0"/>
                              <w:marBottom w:val="0"/>
                              <w:divBdr>
                                <w:top w:val="none" w:sz="0" w:space="0" w:color="auto"/>
                                <w:left w:val="none" w:sz="0" w:space="0" w:color="auto"/>
                                <w:bottom w:val="none" w:sz="0" w:space="0" w:color="auto"/>
                                <w:right w:val="none" w:sz="0" w:space="0" w:color="auto"/>
                              </w:divBdr>
                            </w:div>
                            <w:div w:id="1139612780">
                              <w:marLeft w:val="0"/>
                              <w:marRight w:val="0"/>
                              <w:marTop w:val="0"/>
                              <w:marBottom w:val="0"/>
                              <w:divBdr>
                                <w:top w:val="none" w:sz="0" w:space="0" w:color="auto"/>
                                <w:left w:val="none" w:sz="0" w:space="0" w:color="auto"/>
                                <w:bottom w:val="none" w:sz="0" w:space="0" w:color="auto"/>
                                <w:right w:val="none" w:sz="0" w:space="0" w:color="auto"/>
                              </w:divBdr>
                            </w:div>
                            <w:div w:id="1200700089">
                              <w:marLeft w:val="0"/>
                              <w:marRight w:val="0"/>
                              <w:marTop w:val="0"/>
                              <w:marBottom w:val="0"/>
                              <w:divBdr>
                                <w:top w:val="none" w:sz="0" w:space="0" w:color="auto"/>
                                <w:left w:val="none" w:sz="0" w:space="0" w:color="auto"/>
                                <w:bottom w:val="none" w:sz="0" w:space="0" w:color="auto"/>
                                <w:right w:val="none" w:sz="0" w:space="0" w:color="auto"/>
                              </w:divBdr>
                              <w:divsChild>
                                <w:div w:id="160512956">
                                  <w:marLeft w:val="0"/>
                                  <w:marRight w:val="0"/>
                                  <w:marTop w:val="0"/>
                                  <w:marBottom w:val="0"/>
                                  <w:divBdr>
                                    <w:top w:val="none" w:sz="0" w:space="0" w:color="auto"/>
                                    <w:left w:val="none" w:sz="0" w:space="0" w:color="auto"/>
                                    <w:bottom w:val="none" w:sz="0" w:space="0" w:color="auto"/>
                                    <w:right w:val="none" w:sz="0" w:space="0" w:color="auto"/>
                                  </w:divBdr>
                                  <w:divsChild>
                                    <w:div w:id="45683382">
                                      <w:marLeft w:val="0"/>
                                      <w:marRight w:val="0"/>
                                      <w:marTop w:val="0"/>
                                      <w:marBottom w:val="0"/>
                                      <w:divBdr>
                                        <w:top w:val="none" w:sz="0" w:space="0" w:color="auto"/>
                                        <w:left w:val="none" w:sz="0" w:space="0" w:color="auto"/>
                                        <w:bottom w:val="none" w:sz="0" w:space="0" w:color="auto"/>
                                        <w:right w:val="none" w:sz="0" w:space="0" w:color="auto"/>
                                      </w:divBdr>
                                    </w:div>
                                    <w:div w:id="58672440">
                                      <w:marLeft w:val="0"/>
                                      <w:marRight w:val="0"/>
                                      <w:marTop w:val="0"/>
                                      <w:marBottom w:val="0"/>
                                      <w:divBdr>
                                        <w:top w:val="none" w:sz="0" w:space="0" w:color="auto"/>
                                        <w:left w:val="none" w:sz="0" w:space="0" w:color="auto"/>
                                        <w:bottom w:val="none" w:sz="0" w:space="0" w:color="auto"/>
                                        <w:right w:val="none" w:sz="0" w:space="0" w:color="auto"/>
                                      </w:divBdr>
                                    </w:div>
                                    <w:div w:id="88820168">
                                      <w:marLeft w:val="0"/>
                                      <w:marRight w:val="0"/>
                                      <w:marTop w:val="0"/>
                                      <w:marBottom w:val="0"/>
                                      <w:divBdr>
                                        <w:top w:val="none" w:sz="0" w:space="0" w:color="auto"/>
                                        <w:left w:val="none" w:sz="0" w:space="0" w:color="auto"/>
                                        <w:bottom w:val="none" w:sz="0" w:space="0" w:color="auto"/>
                                        <w:right w:val="none" w:sz="0" w:space="0" w:color="auto"/>
                                      </w:divBdr>
                                    </w:div>
                                    <w:div w:id="109934688">
                                      <w:marLeft w:val="0"/>
                                      <w:marRight w:val="0"/>
                                      <w:marTop w:val="0"/>
                                      <w:marBottom w:val="0"/>
                                      <w:divBdr>
                                        <w:top w:val="none" w:sz="0" w:space="0" w:color="auto"/>
                                        <w:left w:val="none" w:sz="0" w:space="0" w:color="auto"/>
                                        <w:bottom w:val="none" w:sz="0" w:space="0" w:color="auto"/>
                                        <w:right w:val="none" w:sz="0" w:space="0" w:color="auto"/>
                                      </w:divBdr>
                                    </w:div>
                                    <w:div w:id="118765300">
                                      <w:marLeft w:val="0"/>
                                      <w:marRight w:val="0"/>
                                      <w:marTop w:val="0"/>
                                      <w:marBottom w:val="0"/>
                                      <w:divBdr>
                                        <w:top w:val="none" w:sz="0" w:space="0" w:color="auto"/>
                                        <w:left w:val="none" w:sz="0" w:space="0" w:color="auto"/>
                                        <w:bottom w:val="none" w:sz="0" w:space="0" w:color="auto"/>
                                        <w:right w:val="none" w:sz="0" w:space="0" w:color="auto"/>
                                      </w:divBdr>
                                    </w:div>
                                    <w:div w:id="127431656">
                                      <w:marLeft w:val="0"/>
                                      <w:marRight w:val="0"/>
                                      <w:marTop w:val="0"/>
                                      <w:marBottom w:val="0"/>
                                      <w:divBdr>
                                        <w:top w:val="none" w:sz="0" w:space="0" w:color="auto"/>
                                        <w:left w:val="none" w:sz="0" w:space="0" w:color="auto"/>
                                        <w:bottom w:val="none" w:sz="0" w:space="0" w:color="auto"/>
                                        <w:right w:val="none" w:sz="0" w:space="0" w:color="auto"/>
                                      </w:divBdr>
                                    </w:div>
                                    <w:div w:id="166021934">
                                      <w:marLeft w:val="0"/>
                                      <w:marRight w:val="0"/>
                                      <w:marTop w:val="0"/>
                                      <w:marBottom w:val="0"/>
                                      <w:divBdr>
                                        <w:top w:val="none" w:sz="0" w:space="0" w:color="auto"/>
                                        <w:left w:val="none" w:sz="0" w:space="0" w:color="auto"/>
                                        <w:bottom w:val="none" w:sz="0" w:space="0" w:color="auto"/>
                                        <w:right w:val="none" w:sz="0" w:space="0" w:color="auto"/>
                                      </w:divBdr>
                                    </w:div>
                                    <w:div w:id="175660151">
                                      <w:marLeft w:val="0"/>
                                      <w:marRight w:val="0"/>
                                      <w:marTop w:val="0"/>
                                      <w:marBottom w:val="0"/>
                                      <w:divBdr>
                                        <w:top w:val="none" w:sz="0" w:space="0" w:color="auto"/>
                                        <w:left w:val="none" w:sz="0" w:space="0" w:color="auto"/>
                                        <w:bottom w:val="none" w:sz="0" w:space="0" w:color="auto"/>
                                        <w:right w:val="none" w:sz="0" w:space="0" w:color="auto"/>
                                      </w:divBdr>
                                    </w:div>
                                    <w:div w:id="222328779">
                                      <w:marLeft w:val="0"/>
                                      <w:marRight w:val="0"/>
                                      <w:marTop w:val="0"/>
                                      <w:marBottom w:val="0"/>
                                      <w:divBdr>
                                        <w:top w:val="none" w:sz="0" w:space="0" w:color="auto"/>
                                        <w:left w:val="none" w:sz="0" w:space="0" w:color="auto"/>
                                        <w:bottom w:val="none" w:sz="0" w:space="0" w:color="auto"/>
                                        <w:right w:val="none" w:sz="0" w:space="0" w:color="auto"/>
                                      </w:divBdr>
                                    </w:div>
                                    <w:div w:id="253709262">
                                      <w:marLeft w:val="0"/>
                                      <w:marRight w:val="0"/>
                                      <w:marTop w:val="0"/>
                                      <w:marBottom w:val="0"/>
                                      <w:divBdr>
                                        <w:top w:val="none" w:sz="0" w:space="0" w:color="auto"/>
                                        <w:left w:val="none" w:sz="0" w:space="0" w:color="auto"/>
                                        <w:bottom w:val="none" w:sz="0" w:space="0" w:color="auto"/>
                                        <w:right w:val="none" w:sz="0" w:space="0" w:color="auto"/>
                                      </w:divBdr>
                                    </w:div>
                                    <w:div w:id="274411543">
                                      <w:marLeft w:val="0"/>
                                      <w:marRight w:val="0"/>
                                      <w:marTop w:val="0"/>
                                      <w:marBottom w:val="0"/>
                                      <w:divBdr>
                                        <w:top w:val="none" w:sz="0" w:space="0" w:color="auto"/>
                                        <w:left w:val="none" w:sz="0" w:space="0" w:color="auto"/>
                                        <w:bottom w:val="none" w:sz="0" w:space="0" w:color="auto"/>
                                        <w:right w:val="none" w:sz="0" w:space="0" w:color="auto"/>
                                      </w:divBdr>
                                    </w:div>
                                    <w:div w:id="285738049">
                                      <w:marLeft w:val="0"/>
                                      <w:marRight w:val="0"/>
                                      <w:marTop w:val="0"/>
                                      <w:marBottom w:val="0"/>
                                      <w:divBdr>
                                        <w:top w:val="none" w:sz="0" w:space="0" w:color="auto"/>
                                        <w:left w:val="none" w:sz="0" w:space="0" w:color="auto"/>
                                        <w:bottom w:val="none" w:sz="0" w:space="0" w:color="auto"/>
                                        <w:right w:val="none" w:sz="0" w:space="0" w:color="auto"/>
                                      </w:divBdr>
                                    </w:div>
                                    <w:div w:id="392431415">
                                      <w:marLeft w:val="0"/>
                                      <w:marRight w:val="0"/>
                                      <w:marTop w:val="0"/>
                                      <w:marBottom w:val="0"/>
                                      <w:divBdr>
                                        <w:top w:val="none" w:sz="0" w:space="0" w:color="auto"/>
                                        <w:left w:val="none" w:sz="0" w:space="0" w:color="auto"/>
                                        <w:bottom w:val="none" w:sz="0" w:space="0" w:color="auto"/>
                                        <w:right w:val="none" w:sz="0" w:space="0" w:color="auto"/>
                                      </w:divBdr>
                                    </w:div>
                                    <w:div w:id="392892531">
                                      <w:marLeft w:val="0"/>
                                      <w:marRight w:val="0"/>
                                      <w:marTop w:val="0"/>
                                      <w:marBottom w:val="0"/>
                                      <w:divBdr>
                                        <w:top w:val="none" w:sz="0" w:space="0" w:color="auto"/>
                                        <w:left w:val="none" w:sz="0" w:space="0" w:color="auto"/>
                                        <w:bottom w:val="none" w:sz="0" w:space="0" w:color="auto"/>
                                        <w:right w:val="none" w:sz="0" w:space="0" w:color="auto"/>
                                      </w:divBdr>
                                    </w:div>
                                    <w:div w:id="446122746">
                                      <w:marLeft w:val="0"/>
                                      <w:marRight w:val="0"/>
                                      <w:marTop w:val="0"/>
                                      <w:marBottom w:val="0"/>
                                      <w:divBdr>
                                        <w:top w:val="none" w:sz="0" w:space="0" w:color="auto"/>
                                        <w:left w:val="none" w:sz="0" w:space="0" w:color="auto"/>
                                        <w:bottom w:val="none" w:sz="0" w:space="0" w:color="auto"/>
                                        <w:right w:val="none" w:sz="0" w:space="0" w:color="auto"/>
                                      </w:divBdr>
                                    </w:div>
                                    <w:div w:id="494345052">
                                      <w:marLeft w:val="0"/>
                                      <w:marRight w:val="0"/>
                                      <w:marTop w:val="0"/>
                                      <w:marBottom w:val="0"/>
                                      <w:divBdr>
                                        <w:top w:val="none" w:sz="0" w:space="0" w:color="auto"/>
                                        <w:left w:val="none" w:sz="0" w:space="0" w:color="auto"/>
                                        <w:bottom w:val="none" w:sz="0" w:space="0" w:color="auto"/>
                                        <w:right w:val="none" w:sz="0" w:space="0" w:color="auto"/>
                                      </w:divBdr>
                                    </w:div>
                                    <w:div w:id="551113434">
                                      <w:marLeft w:val="0"/>
                                      <w:marRight w:val="0"/>
                                      <w:marTop w:val="0"/>
                                      <w:marBottom w:val="0"/>
                                      <w:divBdr>
                                        <w:top w:val="none" w:sz="0" w:space="0" w:color="auto"/>
                                        <w:left w:val="none" w:sz="0" w:space="0" w:color="auto"/>
                                        <w:bottom w:val="none" w:sz="0" w:space="0" w:color="auto"/>
                                        <w:right w:val="none" w:sz="0" w:space="0" w:color="auto"/>
                                      </w:divBdr>
                                    </w:div>
                                    <w:div w:id="559439159">
                                      <w:marLeft w:val="0"/>
                                      <w:marRight w:val="0"/>
                                      <w:marTop w:val="0"/>
                                      <w:marBottom w:val="0"/>
                                      <w:divBdr>
                                        <w:top w:val="none" w:sz="0" w:space="0" w:color="auto"/>
                                        <w:left w:val="none" w:sz="0" w:space="0" w:color="auto"/>
                                        <w:bottom w:val="none" w:sz="0" w:space="0" w:color="auto"/>
                                        <w:right w:val="none" w:sz="0" w:space="0" w:color="auto"/>
                                      </w:divBdr>
                                    </w:div>
                                    <w:div w:id="559555953">
                                      <w:marLeft w:val="0"/>
                                      <w:marRight w:val="0"/>
                                      <w:marTop w:val="0"/>
                                      <w:marBottom w:val="0"/>
                                      <w:divBdr>
                                        <w:top w:val="none" w:sz="0" w:space="0" w:color="auto"/>
                                        <w:left w:val="none" w:sz="0" w:space="0" w:color="auto"/>
                                        <w:bottom w:val="none" w:sz="0" w:space="0" w:color="auto"/>
                                        <w:right w:val="none" w:sz="0" w:space="0" w:color="auto"/>
                                      </w:divBdr>
                                    </w:div>
                                    <w:div w:id="576017554">
                                      <w:marLeft w:val="0"/>
                                      <w:marRight w:val="0"/>
                                      <w:marTop w:val="0"/>
                                      <w:marBottom w:val="0"/>
                                      <w:divBdr>
                                        <w:top w:val="none" w:sz="0" w:space="0" w:color="auto"/>
                                        <w:left w:val="none" w:sz="0" w:space="0" w:color="auto"/>
                                        <w:bottom w:val="none" w:sz="0" w:space="0" w:color="auto"/>
                                        <w:right w:val="none" w:sz="0" w:space="0" w:color="auto"/>
                                      </w:divBdr>
                                    </w:div>
                                    <w:div w:id="580875937">
                                      <w:marLeft w:val="0"/>
                                      <w:marRight w:val="0"/>
                                      <w:marTop w:val="0"/>
                                      <w:marBottom w:val="0"/>
                                      <w:divBdr>
                                        <w:top w:val="none" w:sz="0" w:space="0" w:color="auto"/>
                                        <w:left w:val="none" w:sz="0" w:space="0" w:color="auto"/>
                                        <w:bottom w:val="none" w:sz="0" w:space="0" w:color="auto"/>
                                        <w:right w:val="none" w:sz="0" w:space="0" w:color="auto"/>
                                      </w:divBdr>
                                    </w:div>
                                    <w:div w:id="616985392">
                                      <w:marLeft w:val="0"/>
                                      <w:marRight w:val="0"/>
                                      <w:marTop w:val="0"/>
                                      <w:marBottom w:val="0"/>
                                      <w:divBdr>
                                        <w:top w:val="none" w:sz="0" w:space="0" w:color="auto"/>
                                        <w:left w:val="none" w:sz="0" w:space="0" w:color="auto"/>
                                        <w:bottom w:val="none" w:sz="0" w:space="0" w:color="auto"/>
                                        <w:right w:val="none" w:sz="0" w:space="0" w:color="auto"/>
                                      </w:divBdr>
                                    </w:div>
                                    <w:div w:id="619796919">
                                      <w:marLeft w:val="0"/>
                                      <w:marRight w:val="0"/>
                                      <w:marTop w:val="0"/>
                                      <w:marBottom w:val="0"/>
                                      <w:divBdr>
                                        <w:top w:val="none" w:sz="0" w:space="0" w:color="auto"/>
                                        <w:left w:val="none" w:sz="0" w:space="0" w:color="auto"/>
                                        <w:bottom w:val="none" w:sz="0" w:space="0" w:color="auto"/>
                                        <w:right w:val="none" w:sz="0" w:space="0" w:color="auto"/>
                                      </w:divBdr>
                                    </w:div>
                                    <w:div w:id="647247984">
                                      <w:marLeft w:val="0"/>
                                      <w:marRight w:val="0"/>
                                      <w:marTop w:val="0"/>
                                      <w:marBottom w:val="0"/>
                                      <w:divBdr>
                                        <w:top w:val="none" w:sz="0" w:space="0" w:color="auto"/>
                                        <w:left w:val="none" w:sz="0" w:space="0" w:color="auto"/>
                                        <w:bottom w:val="none" w:sz="0" w:space="0" w:color="auto"/>
                                        <w:right w:val="none" w:sz="0" w:space="0" w:color="auto"/>
                                      </w:divBdr>
                                    </w:div>
                                    <w:div w:id="663779166">
                                      <w:marLeft w:val="0"/>
                                      <w:marRight w:val="0"/>
                                      <w:marTop w:val="0"/>
                                      <w:marBottom w:val="0"/>
                                      <w:divBdr>
                                        <w:top w:val="none" w:sz="0" w:space="0" w:color="auto"/>
                                        <w:left w:val="none" w:sz="0" w:space="0" w:color="auto"/>
                                        <w:bottom w:val="none" w:sz="0" w:space="0" w:color="auto"/>
                                        <w:right w:val="none" w:sz="0" w:space="0" w:color="auto"/>
                                      </w:divBdr>
                                    </w:div>
                                    <w:div w:id="675033061">
                                      <w:marLeft w:val="0"/>
                                      <w:marRight w:val="0"/>
                                      <w:marTop w:val="0"/>
                                      <w:marBottom w:val="0"/>
                                      <w:divBdr>
                                        <w:top w:val="none" w:sz="0" w:space="0" w:color="auto"/>
                                        <w:left w:val="none" w:sz="0" w:space="0" w:color="auto"/>
                                        <w:bottom w:val="none" w:sz="0" w:space="0" w:color="auto"/>
                                        <w:right w:val="none" w:sz="0" w:space="0" w:color="auto"/>
                                      </w:divBdr>
                                    </w:div>
                                    <w:div w:id="700328348">
                                      <w:marLeft w:val="0"/>
                                      <w:marRight w:val="0"/>
                                      <w:marTop w:val="0"/>
                                      <w:marBottom w:val="0"/>
                                      <w:divBdr>
                                        <w:top w:val="none" w:sz="0" w:space="0" w:color="auto"/>
                                        <w:left w:val="none" w:sz="0" w:space="0" w:color="auto"/>
                                        <w:bottom w:val="none" w:sz="0" w:space="0" w:color="auto"/>
                                        <w:right w:val="none" w:sz="0" w:space="0" w:color="auto"/>
                                      </w:divBdr>
                                    </w:div>
                                    <w:div w:id="704597546">
                                      <w:marLeft w:val="0"/>
                                      <w:marRight w:val="0"/>
                                      <w:marTop w:val="0"/>
                                      <w:marBottom w:val="0"/>
                                      <w:divBdr>
                                        <w:top w:val="none" w:sz="0" w:space="0" w:color="auto"/>
                                        <w:left w:val="none" w:sz="0" w:space="0" w:color="auto"/>
                                        <w:bottom w:val="none" w:sz="0" w:space="0" w:color="auto"/>
                                        <w:right w:val="none" w:sz="0" w:space="0" w:color="auto"/>
                                      </w:divBdr>
                                      <w:divsChild>
                                        <w:div w:id="1163472683">
                                          <w:marLeft w:val="0"/>
                                          <w:marRight w:val="0"/>
                                          <w:marTop w:val="0"/>
                                          <w:marBottom w:val="0"/>
                                          <w:divBdr>
                                            <w:top w:val="none" w:sz="0" w:space="0" w:color="auto"/>
                                            <w:left w:val="none" w:sz="0" w:space="0" w:color="auto"/>
                                            <w:bottom w:val="none" w:sz="0" w:space="0" w:color="auto"/>
                                            <w:right w:val="none" w:sz="0" w:space="0" w:color="auto"/>
                                          </w:divBdr>
                                          <w:divsChild>
                                            <w:div w:id="23754835">
                                              <w:marLeft w:val="0"/>
                                              <w:marRight w:val="0"/>
                                              <w:marTop w:val="0"/>
                                              <w:marBottom w:val="0"/>
                                              <w:divBdr>
                                                <w:top w:val="none" w:sz="0" w:space="0" w:color="auto"/>
                                                <w:left w:val="none" w:sz="0" w:space="0" w:color="auto"/>
                                                <w:bottom w:val="none" w:sz="0" w:space="0" w:color="auto"/>
                                                <w:right w:val="none" w:sz="0" w:space="0" w:color="auto"/>
                                              </w:divBdr>
                                            </w:div>
                                            <w:div w:id="70352318">
                                              <w:marLeft w:val="0"/>
                                              <w:marRight w:val="0"/>
                                              <w:marTop w:val="0"/>
                                              <w:marBottom w:val="0"/>
                                              <w:divBdr>
                                                <w:top w:val="none" w:sz="0" w:space="0" w:color="auto"/>
                                                <w:left w:val="none" w:sz="0" w:space="0" w:color="auto"/>
                                                <w:bottom w:val="none" w:sz="0" w:space="0" w:color="auto"/>
                                                <w:right w:val="none" w:sz="0" w:space="0" w:color="auto"/>
                                              </w:divBdr>
                                            </w:div>
                                            <w:div w:id="75832120">
                                              <w:marLeft w:val="0"/>
                                              <w:marRight w:val="0"/>
                                              <w:marTop w:val="0"/>
                                              <w:marBottom w:val="0"/>
                                              <w:divBdr>
                                                <w:top w:val="none" w:sz="0" w:space="0" w:color="auto"/>
                                                <w:left w:val="none" w:sz="0" w:space="0" w:color="auto"/>
                                                <w:bottom w:val="none" w:sz="0" w:space="0" w:color="auto"/>
                                                <w:right w:val="none" w:sz="0" w:space="0" w:color="auto"/>
                                              </w:divBdr>
                                            </w:div>
                                            <w:div w:id="120147308">
                                              <w:marLeft w:val="0"/>
                                              <w:marRight w:val="0"/>
                                              <w:marTop w:val="0"/>
                                              <w:marBottom w:val="0"/>
                                              <w:divBdr>
                                                <w:top w:val="none" w:sz="0" w:space="0" w:color="auto"/>
                                                <w:left w:val="none" w:sz="0" w:space="0" w:color="auto"/>
                                                <w:bottom w:val="none" w:sz="0" w:space="0" w:color="auto"/>
                                                <w:right w:val="none" w:sz="0" w:space="0" w:color="auto"/>
                                              </w:divBdr>
                                            </w:div>
                                            <w:div w:id="183834851">
                                              <w:marLeft w:val="0"/>
                                              <w:marRight w:val="0"/>
                                              <w:marTop w:val="0"/>
                                              <w:marBottom w:val="0"/>
                                              <w:divBdr>
                                                <w:top w:val="none" w:sz="0" w:space="0" w:color="auto"/>
                                                <w:left w:val="none" w:sz="0" w:space="0" w:color="auto"/>
                                                <w:bottom w:val="none" w:sz="0" w:space="0" w:color="auto"/>
                                                <w:right w:val="none" w:sz="0" w:space="0" w:color="auto"/>
                                              </w:divBdr>
                                            </w:div>
                                            <w:div w:id="201788312">
                                              <w:marLeft w:val="0"/>
                                              <w:marRight w:val="0"/>
                                              <w:marTop w:val="0"/>
                                              <w:marBottom w:val="0"/>
                                              <w:divBdr>
                                                <w:top w:val="none" w:sz="0" w:space="0" w:color="auto"/>
                                                <w:left w:val="none" w:sz="0" w:space="0" w:color="auto"/>
                                                <w:bottom w:val="none" w:sz="0" w:space="0" w:color="auto"/>
                                                <w:right w:val="none" w:sz="0" w:space="0" w:color="auto"/>
                                              </w:divBdr>
                                            </w:div>
                                            <w:div w:id="298540430">
                                              <w:marLeft w:val="0"/>
                                              <w:marRight w:val="0"/>
                                              <w:marTop w:val="0"/>
                                              <w:marBottom w:val="0"/>
                                              <w:divBdr>
                                                <w:top w:val="none" w:sz="0" w:space="0" w:color="auto"/>
                                                <w:left w:val="none" w:sz="0" w:space="0" w:color="auto"/>
                                                <w:bottom w:val="none" w:sz="0" w:space="0" w:color="auto"/>
                                                <w:right w:val="none" w:sz="0" w:space="0" w:color="auto"/>
                                              </w:divBdr>
                                            </w:div>
                                            <w:div w:id="336855906">
                                              <w:marLeft w:val="0"/>
                                              <w:marRight w:val="0"/>
                                              <w:marTop w:val="0"/>
                                              <w:marBottom w:val="0"/>
                                              <w:divBdr>
                                                <w:top w:val="none" w:sz="0" w:space="0" w:color="auto"/>
                                                <w:left w:val="none" w:sz="0" w:space="0" w:color="auto"/>
                                                <w:bottom w:val="none" w:sz="0" w:space="0" w:color="auto"/>
                                                <w:right w:val="none" w:sz="0" w:space="0" w:color="auto"/>
                                              </w:divBdr>
                                            </w:div>
                                            <w:div w:id="381952938">
                                              <w:marLeft w:val="0"/>
                                              <w:marRight w:val="0"/>
                                              <w:marTop w:val="0"/>
                                              <w:marBottom w:val="0"/>
                                              <w:divBdr>
                                                <w:top w:val="none" w:sz="0" w:space="0" w:color="auto"/>
                                                <w:left w:val="none" w:sz="0" w:space="0" w:color="auto"/>
                                                <w:bottom w:val="none" w:sz="0" w:space="0" w:color="auto"/>
                                                <w:right w:val="none" w:sz="0" w:space="0" w:color="auto"/>
                                              </w:divBdr>
                                            </w:div>
                                            <w:div w:id="470637049">
                                              <w:marLeft w:val="0"/>
                                              <w:marRight w:val="0"/>
                                              <w:marTop w:val="0"/>
                                              <w:marBottom w:val="0"/>
                                              <w:divBdr>
                                                <w:top w:val="none" w:sz="0" w:space="0" w:color="auto"/>
                                                <w:left w:val="none" w:sz="0" w:space="0" w:color="auto"/>
                                                <w:bottom w:val="none" w:sz="0" w:space="0" w:color="auto"/>
                                                <w:right w:val="none" w:sz="0" w:space="0" w:color="auto"/>
                                              </w:divBdr>
                                            </w:div>
                                            <w:div w:id="518543323">
                                              <w:marLeft w:val="0"/>
                                              <w:marRight w:val="0"/>
                                              <w:marTop w:val="0"/>
                                              <w:marBottom w:val="0"/>
                                              <w:divBdr>
                                                <w:top w:val="none" w:sz="0" w:space="0" w:color="auto"/>
                                                <w:left w:val="none" w:sz="0" w:space="0" w:color="auto"/>
                                                <w:bottom w:val="none" w:sz="0" w:space="0" w:color="auto"/>
                                                <w:right w:val="none" w:sz="0" w:space="0" w:color="auto"/>
                                              </w:divBdr>
                                            </w:div>
                                            <w:div w:id="543953665">
                                              <w:marLeft w:val="0"/>
                                              <w:marRight w:val="0"/>
                                              <w:marTop w:val="0"/>
                                              <w:marBottom w:val="0"/>
                                              <w:divBdr>
                                                <w:top w:val="none" w:sz="0" w:space="0" w:color="auto"/>
                                                <w:left w:val="none" w:sz="0" w:space="0" w:color="auto"/>
                                                <w:bottom w:val="none" w:sz="0" w:space="0" w:color="auto"/>
                                                <w:right w:val="none" w:sz="0" w:space="0" w:color="auto"/>
                                              </w:divBdr>
                                            </w:div>
                                            <w:div w:id="564727134">
                                              <w:marLeft w:val="0"/>
                                              <w:marRight w:val="0"/>
                                              <w:marTop w:val="0"/>
                                              <w:marBottom w:val="0"/>
                                              <w:divBdr>
                                                <w:top w:val="none" w:sz="0" w:space="0" w:color="auto"/>
                                                <w:left w:val="none" w:sz="0" w:space="0" w:color="auto"/>
                                                <w:bottom w:val="none" w:sz="0" w:space="0" w:color="auto"/>
                                                <w:right w:val="none" w:sz="0" w:space="0" w:color="auto"/>
                                              </w:divBdr>
                                            </w:div>
                                            <w:div w:id="620651175">
                                              <w:marLeft w:val="0"/>
                                              <w:marRight w:val="0"/>
                                              <w:marTop w:val="0"/>
                                              <w:marBottom w:val="0"/>
                                              <w:divBdr>
                                                <w:top w:val="none" w:sz="0" w:space="0" w:color="auto"/>
                                                <w:left w:val="none" w:sz="0" w:space="0" w:color="auto"/>
                                                <w:bottom w:val="none" w:sz="0" w:space="0" w:color="auto"/>
                                                <w:right w:val="none" w:sz="0" w:space="0" w:color="auto"/>
                                              </w:divBdr>
                                            </w:div>
                                            <w:div w:id="692145227">
                                              <w:marLeft w:val="0"/>
                                              <w:marRight w:val="0"/>
                                              <w:marTop w:val="0"/>
                                              <w:marBottom w:val="0"/>
                                              <w:divBdr>
                                                <w:top w:val="none" w:sz="0" w:space="0" w:color="auto"/>
                                                <w:left w:val="none" w:sz="0" w:space="0" w:color="auto"/>
                                                <w:bottom w:val="none" w:sz="0" w:space="0" w:color="auto"/>
                                                <w:right w:val="none" w:sz="0" w:space="0" w:color="auto"/>
                                              </w:divBdr>
                                            </w:div>
                                            <w:div w:id="709303715">
                                              <w:marLeft w:val="0"/>
                                              <w:marRight w:val="0"/>
                                              <w:marTop w:val="0"/>
                                              <w:marBottom w:val="0"/>
                                              <w:divBdr>
                                                <w:top w:val="none" w:sz="0" w:space="0" w:color="auto"/>
                                                <w:left w:val="none" w:sz="0" w:space="0" w:color="auto"/>
                                                <w:bottom w:val="none" w:sz="0" w:space="0" w:color="auto"/>
                                                <w:right w:val="none" w:sz="0" w:space="0" w:color="auto"/>
                                              </w:divBdr>
                                            </w:div>
                                            <w:div w:id="758451670">
                                              <w:marLeft w:val="0"/>
                                              <w:marRight w:val="0"/>
                                              <w:marTop w:val="0"/>
                                              <w:marBottom w:val="0"/>
                                              <w:divBdr>
                                                <w:top w:val="none" w:sz="0" w:space="0" w:color="auto"/>
                                                <w:left w:val="none" w:sz="0" w:space="0" w:color="auto"/>
                                                <w:bottom w:val="none" w:sz="0" w:space="0" w:color="auto"/>
                                                <w:right w:val="none" w:sz="0" w:space="0" w:color="auto"/>
                                              </w:divBdr>
                                            </w:div>
                                            <w:div w:id="781189637">
                                              <w:marLeft w:val="0"/>
                                              <w:marRight w:val="0"/>
                                              <w:marTop w:val="0"/>
                                              <w:marBottom w:val="0"/>
                                              <w:divBdr>
                                                <w:top w:val="none" w:sz="0" w:space="0" w:color="auto"/>
                                                <w:left w:val="none" w:sz="0" w:space="0" w:color="auto"/>
                                                <w:bottom w:val="none" w:sz="0" w:space="0" w:color="auto"/>
                                                <w:right w:val="none" w:sz="0" w:space="0" w:color="auto"/>
                                              </w:divBdr>
                                            </w:div>
                                            <w:div w:id="810632498">
                                              <w:marLeft w:val="0"/>
                                              <w:marRight w:val="0"/>
                                              <w:marTop w:val="0"/>
                                              <w:marBottom w:val="0"/>
                                              <w:divBdr>
                                                <w:top w:val="none" w:sz="0" w:space="0" w:color="auto"/>
                                                <w:left w:val="none" w:sz="0" w:space="0" w:color="auto"/>
                                                <w:bottom w:val="none" w:sz="0" w:space="0" w:color="auto"/>
                                                <w:right w:val="none" w:sz="0" w:space="0" w:color="auto"/>
                                              </w:divBdr>
                                            </w:div>
                                            <w:div w:id="899244910">
                                              <w:marLeft w:val="0"/>
                                              <w:marRight w:val="0"/>
                                              <w:marTop w:val="0"/>
                                              <w:marBottom w:val="0"/>
                                              <w:divBdr>
                                                <w:top w:val="none" w:sz="0" w:space="0" w:color="auto"/>
                                                <w:left w:val="none" w:sz="0" w:space="0" w:color="auto"/>
                                                <w:bottom w:val="none" w:sz="0" w:space="0" w:color="auto"/>
                                                <w:right w:val="none" w:sz="0" w:space="0" w:color="auto"/>
                                              </w:divBdr>
                                            </w:div>
                                            <w:div w:id="1018115741">
                                              <w:marLeft w:val="0"/>
                                              <w:marRight w:val="0"/>
                                              <w:marTop w:val="0"/>
                                              <w:marBottom w:val="0"/>
                                              <w:divBdr>
                                                <w:top w:val="none" w:sz="0" w:space="0" w:color="auto"/>
                                                <w:left w:val="none" w:sz="0" w:space="0" w:color="auto"/>
                                                <w:bottom w:val="none" w:sz="0" w:space="0" w:color="auto"/>
                                                <w:right w:val="none" w:sz="0" w:space="0" w:color="auto"/>
                                              </w:divBdr>
                                            </w:div>
                                            <w:div w:id="1028719281">
                                              <w:marLeft w:val="0"/>
                                              <w:marRight w:val="0"/>
                                              <w:marTop w:val="0"/>
                                              <w:marBottom w:val="0"/>
                                              <w:divBdr>
                                                <w:top w:val="none" w:sz="0" w:space="0" w:color="auto"/>
                                                <w:left w:val="none" w:sz="0" w:space="0" w:color="auto"/>
                                                <w:bottom w:val="none" w:sz="0" w:space="0" w:color="auto"/>
                                                <w:right w:val="none" w:sz="0" w:space="0" w:color="auto"/>
                                              </w:divBdr>
                                            </w:div>
                                            <w:div w:id="1051730483">
                                              <w:marLeft w:val="0"/>
                                              <w:marRight w:val="0"/>
                                              <w:marTop w:val="0"/>
                                              <w:marBottom w:val="0"/>
                                              <w:divBdr>
                                                <w:top w:val="none" w:sz="0" w:space="0" w:color="auto"/>
                                                <w:left w:val="none" w:sz="0" w:space="0" w:color="auto"/>
                                                <w:bottom w:val="none" w:sz="0" w:space="0" w:color="auto"/>
                                                <w:right w:val="none" w:sz="0" w:space="0" w:color="auto"/>
                                              </w:divBdr>
                                            </w:div>
                                            <w:div w:id="1072042699">
                                              <w:marLeft w:val="0"/>
                                              <w:marRight w:val="0"/>
                                              <w:marTop w:val="0"/>
                                              <w:marBottom w:val="0"/>
                                              <w:divBdr>
                                                <w:top w:val="none" w:sz="0" w:space="0" w:color="auto"/>
                                                <w:left w:val="none" w:sz="0" w:space="0" w:color="auto"/>
                                                <w:bottom w:val="none" w:sz="0" w:space="0" w:color="auto"/>
                                                <w:right w:val="none" w:sz="0" w:space="0" w:color="auto"/>
                                              </w:divBdr>
                                            </w:div>
                                            <w:div w:id="1077942130">
                                              <w:marLeft w:val="0"/>
                                              <w:marRight w:val="0"/>
                                              <w:marTop w:val="0"/>
                                              <w:marBottom w:val="0"/>
                                              <w:divBdr>
                                                <w:top w:val="none" w:sz="0" w:space="0" w:color="auto"/>
                                                <w:left w:val="none" w:sz="0" w:space="0" w:color="auto"/>
                                                <w:bottom w:val="none" w:sz="0" w:space="0" w:color="auto"/>
                                                <w:right w:val="none" w:sz="0" w:space="0" w:color="auto"/>
                                              </w:divBdr>
                                            </w:div>
                                            <w:div w:id="1126700702">
                                              <w:marLeft w:val="0"/>
                                              <w:marRight w:val="0"/>
                                              <w:marTop w:val="0"/>
                                              <w:marBottom w:val="0"/>
                                              <w:divBdr>
                                                <w:top w:val="none" w:sz="0" w:space="0" w:color="auto"/>
                                                <w:left w:val="none" w:sz="0" w:space="0" w:color="auto"/>
                                                <w:bottom w:val="none" w:sz="0" w:space="0" w:color="auto"/>
                                                <w:right w:val="none" w:sz="0" w:space="0" w:color="auto"/>
                                              </w:divBdr>
                                            </w:div>
                                            <w:div w:id="1128860488">
                                              <w:marLeft w:val="0"/>
                                              <w:marRight w:val="0"/>
                                              <w:marTop w:val="0"/>
                                              <w:marBottom w:val="0"/>
                                              <w:divBdr>
                                                <w:top w:val="none" w:sz="0" w:space="0" w:color="auto"/>
                                                <w:left w:val="none" w:sz="0" w:space="0" w:color="auto"/>
                                                <w:bottom w:val="none" w:sz="0" w:space="0" w:color="auto"/>
                                                <w:right w:val="none" w:sz="0" w:space="0" w:color="auto"/>
                                              </w:divBdr>
                                            </w:div>
                                            <w:div w:id="1175997648">
                                              <w:marLeft w:val="0"/>
                                              <w:marRight w:val="0"/>
                                              <w:marTop w:val="0"/>
                                              <w:marBottom w:val="0"/>
                                              <w:divBdr>
                                                <w:top w:val="none" w:sz="0" w:space="0" w:color="auto"/>
                                                <w:left w:val="none" w:sz="0" w:space="0" w:color="auto"/>
                                                <w:bottom w:val="none" w:sz="0" w:space="0" w:color="auto"/>
                                                <w:right w:val="none" w:sz="0" w:space="0" w:color="auto"/>
                                              </w:divBdr>
                                            </w:div>
                                            <w:div w:id="1187140168">
                                              <w:marLeft w:val="0"/>
                                              <w:marRight w:val="0"/>
                                              <w:marTop w:val="0"/>
                                              <w:marBottom w:val="0"/>
                                              <w:divBdr>
                                                <w:top w:val="none" w:sz="0" w:space="0" w:color="auto"/>
                                                <w:left w:val="none" w:sz="0" w:space="0" w:color="auto"/>
                                                <w:bottom w:val="none" w:sz="0" w:space="0" w:color="auto"/>
                                                <w:right w:val="none" w:sz="0" w:space="0" w:color="auto"/>
                                              </w:divBdr>
                                            </w:div>
                                            <w:div w:id="1193957441">
                                              <w:marLeft w:val="0"/>
                                              <w:marRight w:val="0"/>
                                              <w:marTop w:val="0"/>
                                              <w:marBottom w:val="0"/>
                                              <w:divBdr>
                                                <w:top w:val="none" w:sz="0" w:space="0" w:color="auto"/>
                                                <w:left w:val="none" w:sz="0" w:space="0" w:color="auto"/>
                                                <w:bottom w:val="none" w:sz="0" w:space="0" w:color="auto"/>
                                                <w:right w:val="none" w:sz="0" w:space="0" w:color="auto"/>
                                              </w:divBdr>
                                            </w:div>
                                            <w:div w:id="1257905880">
                                              <w:marLeft w:val="0"/>
                                              <w:marRight w:val="0"/>
                                              <w:marTop w:val="0"/>
                                              <w:marBottom w:val="0"/>
                                              <w:divBdr>
                                                <w:top w:val="none" w:sz="0" w:space="0" w:color="auto"/>
                                                <w:left w:val="none" w:sz="0" w:space="0" w:color="auto"/>
                                                <w:bottom w:val="none" w:sz="0" w:space="0" w:color="auto"/>
                                                <w:right w:val="none" w:sz="0" w:space="0" w:color="auto"/>
                                              </w:divBdr>
                                            </w:div>
                                            <w:div w:id="1281834818">
                                              <w:marLeft w:val="0"/>
                                              <w:marRight w:val="0"/>
                                              <w:marTop w:val="0"/>
                                              <w:marBottom w:val="0"/>
                                              <w:divBdr>
                                                <w:top w:val="none" w:sz="0" w:space="0" w:color="auto"/>
                                                <w:left w:val="none" w:sz="0" w:space="0" w:color="auto"/>
                                                <w:bottom w:val="none" w:sz="0" w:space="0" w:color="auto"/>
                                                <w:right w:val="none" w:sz="0" w:space="0" w:color="auto"/>
                                              </w:divBdr>
                                            </w:div>
                                            <w:div w:id="1287395133">
                                              <w:marLeft w:val="0"/>
                                              <w:marRight w:val="0"/>
                                              <w:marTop w:val="0"/>
                                              <w:marBottom w:val="0"/>
                                              <w:divBdr>
                                                <w:top w:val="none" w:sz="0" w:space="0" w:color="auto"/>
                                                <w:left w:val="none" w:sz="0" w:space="0" w:color="auto"/>
                                                <w:bottom w:val="none" w:sz="0" w:space="0" w:color="auto"/>
                                                <w:right w:val="none" w:sz="0" w:space="0" w:color="auto"/>
                                              </w:divBdr>
                                            </w:div>
                                            <w:div w:id="1324508842">
                                              <w:marLeft w:val="0"/>
                                              <w:marRight w:val="0"/>
                                              <w:marTop w:val="0"/>
                                              <w:marBottom w:val="0"/>
                                              <w:divBdr>
                                                <w:top w:val="none" w:sz="0" w:space="0" w:color="auto"/>
                                                <w:left w:val="none" w:sz="0" w:space="0" w:color="auto"/>
                                                <w:bottom w:val="none" w:sz="0" w:space="0" w:color="auto"/>
                                                <w:right w:val="none" w:sz="0" w:space="0" w:color="auto"/>
                                              </w:divBdr>
                                            </w:div>
                                            <w:div w:id="1371147602">
                                              <w:marLeft w:val="0"/>
                                              <w:marRight w:val="0"/>
                                              <w:marTop w:val="0"/>
                                              <w:marBottom w:val="0"/>
                                              <w:divBdr>
                                                <w:top w:val="none" w:sz="0" w:space="0" w:color="auto"/>
                                                <w:left w:val="none" w:sz="0" w:space="0" w:color="auto"/>
                                                <w:bottom w:val="none" w:sz="0" w:space="0" w:color="auto"/>
                                                <w:right w:val="none" w:sz="0" w:space="0" w:color="auto"/>
                                              </w:divBdr>
                                            </w:div>
                                            <w:div w:id="1427726095">
                                              <w:marLeft w:val="0"/>
                                              <w:marRight w:val="0"/>
                                              <w:marTop w:val="0"/>
                                              <w:marBottom w:val="0"/>
                                              <w:divBdr>
                                                <w:top w:val="none" w:sz="0" w:space="0" w:color="auto"/>
                                                <w:left w:val="none" w:sz="0" w:space="0" w:color="auto"/>
                                                <w:bottom w:val="none" w:sz="0" w:space="0" w:color="auto"/>
                                                <w:right w:val="none" w:sz="0" w:space="0" w:color="auto"/>
                                              </w:divBdr>
                                            </w:div>
                                            <w:div w:id="1428428843">
                                              <w:marLeft w:val="0"/>
                                              <w:marRight w:val="0"/>
                                              <w:marTop w:val="0"/>
                                              <w:marBottom w:val="0"/>
                                              <w:divBdr>
                                                <w:top w:val="none" w:sz="0" w:space="0" w:color="auto"/>
                                                <w:left w:val="none" w:sz="0" w:space="0" w:color="auto"/>
                                                <w:bottom w:val="none" w:sz="0" w:space="0" w:color="auto"/>
                                                <w:right w:val="none" w:sz="0" w:space="0" w:color="auto"/>
                                              </w:divBdr>
                                            </w:div>
                                            <w:div w:id="1445733146">
                                              <w:marLeft w:val="0"/>
                                              <w:marRight w:val="0"/>
                                              <w:marTop w:val="0"/>
                                              <w:marBottom w:val="0"/>
                                              <w:divBdr>
                                                <w:top w:val="none" w:sz="0" w:space="0" w:color="auto"/>
                                                <w:left w:val="none" w:sz="0" w:space="0" w:color="auto"/>
                                                <w:bottom w:val="none" w:sz="0" w:space="0" w:color="auto"/>
                                                <w:right w:val="none" w:sz="0" w:space="0" w:color="auto"/>
                                              </w:divBdr>
                                            </w:div>
                                            <w:div w:id="1468938073">
                                              <w:marLeft w:val="0"/>
                                              <w:marRight w:val="0"/>
                                              <w:marTop w:val="0"/>
                                              <w:marBottom w:val="0"/>
                                              <w:divBdr>
                                                <w:top w:val="none" w:sz="0" w:space="0" w:color="auto"/>
                                                <w:left w:val="none" w:sz="0" w:space="0" w:color="auto"/>
                                                <w:bottom w:val="none" w:sz="0" w:space="0" w:color="auto"/>
                                                <w:right w:val="none" w:sz="0" w:space="0" w:color="auto"/>
                                              </w:divBdr>
                                            </w:div>
                                            <w:div w:id="1485275028">
                                              <w:marLeft w:val="0"/>
                                              <w:marRight w:val="0"/>
                                              <w:marTop w:val="0"/>
                                              <w:marBottom w:val="0"/>
                                              <w:divBdr>
                                                <w:top w:val="none" w:sz="0" w:space="0" w:color="auto"/>
                                                <w:left w:val="none" w:sz="0" w:space="0" w:color="auto"/>
                                                <w:bottom w:val="none" w:sz="0" w:space="0" w:color="auto"/>
                                                <w:right w:val="none" w:sz="0" w:space="0" w:color="auto"/>
                                              </w:divBdr>
                                            </w:div>
                                            <w:div w:id="1508862890">
                                              <w:marLeft w:val="0"/>
                                              <w:marRight w:val="0"/>
                                              <w:marTop w:val="0"/>
                                              <w:marBottom w:val="0"/>
                                              <w:divBdr>
                                                <w:top w:val="none" w:sz="0" w:space="0" w:color="auto"/>
                                                <w:left w:val="none" w:sz="0" w:space="0" w:color="auto"/>
                                                <w:bottom w:val="none" w:sz="0" w:space="0" w:color="auto"/>
                                                <w:right w:val="none" w:sz="0" w:space="0" w:color="auto"/>
                                              </w:divBdr>
                                            </w:div>
                                            <w:div w:id="1585064344">
                                              <w:marLeft w:val="0"/>
                                              <w:marRight w:val="0"/>
                                              <w:marTop w:val="0"/>
                                              <w:marBottom w:val="0"/>
                                              <w:divBdr>
                                                <w:top w:val="none" w:sz="0" w:space="0" w:color="auto"/>
                                                <w:left w:val="none" w:sz="0" w:space="0" w:color="auto"/>
                                                <w:bottom w:val="none" w:sz="0" w:space="0" w:color="auto"/>
                                                <w:right w:val="none" w:sz="0" w:space="0" w:color="auto"/>
                                              </w:divBdr>
                                            </w:div>
                                            <w:div w:id="1615139450">
                                              <w:marLeft w:val="0"/>
                                              <w:marRight w:val="0"/>
                                              <w:marTop w:val="0"/>
                                              <w:marBottom w:val="0"/>
                                              <w:divBdr>
                                                <w:top w:val="none" w:sz="0" w:space="0" w:color="auto"/>
                                                <w:left w:val="none" w:sz="0" w:space="0" w:color="auto"/>
                                                <w:bottom w:val="none" w:sz="0" w:space="0" w:color="auto"/>
                                                <w:right w:val="none" w:sz="0" w:space="0" w:color="auto"/>
                                              </w:divBdr>
                                            </w:div>
                                            <w:div w:id="1695227741">
                                              <w:marLeft w:val="0"/>
                                              <w:marRight w:val="0"/>
                                              <w:marTop w:val="0"/>
                                              <w:marBottom w:val="0"/>
                                              <w:divBdr>
                                                <w:top w:val="none" w:sz="0" w:space="0" w:color="auto"/>
                                                <w:left w:val="none" w:sz="0" w:space="0" w:color="auto"/>
                                                <w:bottom w:val="none" w:sz="0" w:space="0" w:color="auto"/>
                                                <w:right w:val="none" w:sz="0" w:space="0" w:color="auto"/>
                                              </w:divBdr>
                                            </w:div>
                                            <w:div w:id="1728645740">
                                              <w:marLeft w:val="0"/>
                                              <w:marRight w:val="0"/>
                                              <w:marTop w:val="0"/>
                                              <w:marBottom w:val="0"/>
                                              <w:divBdr>
                                                <w:top w:val="none" w:sz="0" w:space="0" w:color="auto"/>
                                                <w:left w:val="none" w:sz="0" w:space="0" w:color="auto"/>
                                                <w:bottom w:val="none" w:sz="0" w:space="0" w:color="auto"/>
                                                <w:right w:val="none" w:sz="0" w:space="0" w:color="auto"/>
                                              </w:divBdr>
                                            </w:div>
                                            <w:div w:id="1747268559">
                                              <w:marLeft w:val="0"/>
                                              <w:marRight w:val="0"/>
                                              <w:marTop w:val="0"/>
                                              <w:marBottom w:val="0"/>
                                              <w:divBdr>
                                                <w:top w:val="none" w:sz="0" w:space="0" w:color="auto"/>
                                                <w:left w:val="none" w:sz="0" w:space="0" w:color="auto"/>
                                                <w:bottom w:val="none" w:sz="0" w:space="0" w:color="auto"/>
                                                <w:right w:val="none" w:sz="0" w:space="0" w:color="auto"/>
                                              </w:divBdr>
                                            </w:div>
                                            <w:div w:id="1889222773">
                                              <w:marLeft w:val="0"/>
                                              <w:marRight w:val="0"/>
                                              <w:marTop w:val="0"/>
                                              <w:marBottom w:val="0"/>
                                              <w:divBdr>
                                                <w:top w:val="none" w:sz="0" w:space="0" w:color="auto"/>
                                                <w:left w:val="none" w:sz="0" w:space="0" w:color="auto"/>
                                                <w:bottom w:val="none" w:sz="0" w:space="0" w:color="auto"/>
                                                <w:right w:val="none" w:sz="0" w:space="0" w:color="auto"/>
                                              </w:divBdr>
                                            </w:div>
                                            <w:div w:id="1918898072">
                                              <w:marLeft w:val="0"/>
                                              <w:marRight w:val="0"/>
                                              <w:marTop w:val="0"/>
                                              <w:marBottom w:val="0"/>
                                              <w:divBdr>
                                                <w:top w:val="none" w:sz="0" w:space="0" w:color="auto"/>
                                                <w:left w:val="none" w:sz="0" w:space="0" w:color="auto"/>
                                                <w:bottom w:val="none" w:sz="0" w:space="0" w:color="auto"/>
                                                <w:right w:val="none" w:sz="0" w:space="0" w:color="auto"/>
                                              </w:divBdr>
                                            </w:div>
                                            <w:div w:id="1941136189">
                                              <w:marLeft w:val="0"/>
                                              <w:marRight w:val="0"/>
                                              <w:marTop w:val="0"/>
                                              <w:marBottom w:val="0"/>
                                              <w:divBdr>
                                                <w:top w:val="none" w:sz="0" w:space="0" w:color="auto"/>
                                                <w:left w:val="none" w:sz="0" w:space="0" w:color="auto"/>
                                                <w:bottom w:val="none" w:sz="0" w:space="0" w:color="auto"/>
                                                <w:right w:val="none" w:sz="0" w:space="0" w:color="auto"/>
                                              </w:divBdr>
                                            </w:div>
                                            <w:div w:id="2065446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4715374">
                                      <w:marLeft w:val="0"/>
                                      <w:marRight w:val="0"/>
                                      <w:marTop w:val="0"/>
                                      <w:marBottom w:val="0"/>
                                      <w:divBdr>
                                        <w:top w:val="none" w:sz="0" w:space="0" w:color="auto"/>
                                        <w:left w:val="none" w:sz="0" w:space="0" w:color="auto"/>
                                        <w:bottom w:val="none" w:sz="0" w:space="0" w:color="auto"/>
                                        <w:right w:val="none" w:sz="0" w:space="0" w:color="auto"/>
                                      </w:divBdr>
                                    </w:div>
                                    <w:div w:id="762334105">
                                      <w:marLeft w:val="0"/>
                                      <w:marRight w:val="0"/>
                                      <w:marTop w:val="0"/>
                                      <w:marBottom w:val="0"/>
                                      <w:divBdr>
                                        <w:top w:val="none" w:sz="0" w:space="0" w:color="auto"/>
                                        <w:left w:val="none" w:sz="0" w:space="0" w:color="auto"/>
                                        <w:bottom w:val="none" w:sz="0" w:space="0" w:color="auto"/>
                                        <w:right w:val="none" w:sz="0" w:space="0" w:color="auto"/>
                                      </w:divBdr>
                                    </w:div>
                                    <w:div w:id="777682184">
                                      <w:marLeft w:val="0"/>
                                      <w:marRight w:val="0"/>
                                      <w:marTop w:val="0"/>
                                      <w:marBottom w:val="0"/>
                                      <w:divBdr>
                                        <w:top w:val="none" w:sz="0" w:space="0" w:color="auto"/>
                                        <w:left w:val="none" w:sz="0" w:space="0" w:color="auto"/>
                                        <w:bottom w:val="none" w:sz="0" w:space="0" w:color="auto"/>
                                        <w:right w:val="none" w:sz="0" w:space="0" w:color="auto"/>
                                      </w:divBdr>
                                    </w:div>
                                    <w:div w:id="789669351">
                                      <w:marLeft w:val="0"/>
                                      <w:marRight w:val="0"/>
                                      <w:marTop w:val="0"/>
                                      <w:marBottom w:val="0"/>
                                      <w:divBdr>
                                        <w:top w:val="none" w:sz="0" w:space="0" w:color="auto"/>
                                        <w:left w:val="none" w:sz="0" w:space="0" w:color="auto"/>
                                        <w:bottom w:val="none" w:sz="0" w:space="0" w:color="auto"/>
                                        <w:right w:val="none" w:sz="0" w:space="0" w:color="auto"/>
                                      </w:divBdr>
                                    </w:div>
                                    <w:div w:id="820970832">
                                      <w:marLeft w:val="0"/>
                                      <w:marRight w:val="0"/>
                                      <w:marTop w:val="0"/>
                                      <w:marBottom w:val="0"/>
                                      <w:divBdr>
                                        <w:top w:val="none" w:sz="0" w:space="0" w:color="auto"/>
                                        <w:left w:val="none" w:sz="0" w:space="0" w:color="auto"/>
                                        <w:bottom w:val="none" w:sz="0" w:space="0" w:color="auto"/>
                                        <w:right w:val="none" w:sz="0" w:space="0" w:color="auto"/>
                                      </w:divBdr>
                                    </w:div>
                                    <w:div w:id="882643656">
                                      <w:marLeft w:val="0"/>
                                      <w:marRight w:val="0"/>
                                      <w:marTop w:val="0"/>
                                      <w:marBottom w:val="0"/>
                                      <w:divBdr>
                                        <w:top w:val="none" w:sz="0" w:space="0" w:color="auto"/>
                                        <w:left w:val="none" w:sz="0" w:space="0" w:color="auto"/>
                                        <w:bottom w:val="none" w:sz="0" w:space="0" w:color="auto"/>
                                        <w:right w:val="none" w:sz="0" w:space="0" w:color="auto"/>
                                      </w:divBdr>
                                    </w:div>
                                    <w:div w:id="889608446">
                                      <w:marLeft w:val="0"/>
                                      <w:marRight w:val="0"/>
                                      <w:marTop w:val="0"/>
                                      <w:marBottom w:val="0"/>
                                      <w:divBdr>
                                        <w:top w:val="none" w:sz="0" w:space="0" w:color="auto"/>
                                        <w:left w:val="none" w:sz="0" w:space="0" w:color="auto"/>
                                        <w:bottom w:val="none" w:sz="0" w:space="0" w:color="auto"/>
                                        <w:right w:val="none" w:sz="0" w:space="0" w:color="auto"/>
                                      </w:divBdr>
                                    </w:div>
                                    <w:div w:id="927692734">
                                      <w:marLeft w:val="0"/>
                                      <w:marRight w:val="0"/>
                                      <w:marTop w:val="0"/>
                                      <w:marBottom w:val="0"/>
                                      <w:divBdr>
                                        <w:top w:val="none" w:sz="0" w:space="0" w:color="auto"/>
                                        <w:left w:val="none" w:sz="0" w:space="0" w:color="auto"/>
                                        <w:bottom w:val="none" w:sz="0" w:space="0" w:color="auto"/>
                                        <w:right w:val="none" w:sz="0" w:space="0" w:color="auto"/>
                                      </w:divBdr>
                                    </w:div>
                                    <w:div w:id="942960581">
                                      <w:marLeft w:val="0"/>
                                      <w:marRight w:val="0"/>
                                      <w:marTop w:val="0"/>
                                      <w:marBottom w:val="0"/>
                                      <w:divBdr>
                                        <w:top w:val="none" w:sz="0" w:space="0" w:color="auto"/>
                                        <w:left w:val="none" w:sz="0" w:space="0" w:color="auto"/>
                                        <w:bottom w:val="none" w:sz="0" w:space="0" w:color="auto"/>
                                        <w:right w:val="none" w:sz="0" w:space="0" w:color="auto"/>
                                      </w:divBdr>
                                    </w:div>
                                    <w:div w:id="953026855">
                                      <w:marLeft w:val="0"/>
                                      <w:marRight w:val="0"/>
                                      <w:marTop w:val="0"/>
                                      <w:marBottom w:val="0"/>
                                      <w:divBdr>
                                        <w:top w:val="none" w:sz="0" w:space="0" w:color="auto"/>
                                        <w:left w:val="none" w:sz="0" w:space="0" w:color="auto"/>
                                        <w:bottom w:val="none" w:sz="0" w:space="0" w:color="auto"/>
                                        <w:right w:val="none" w:sz="0" w:space="0" w:color="auto"/>
                                      </w:divBdr>
                                    </w:div>
                                    <w:div w:id="995305517">
                                      <w:marLeft w:val="0"/>
                                      <w:marRight w:val="0"/>
                                      <w:marTop w:val="0"/>
                                      <w:marBottom w:val="0"/>
                                      <w:divBdr>
                                        <w:top w:val="none" w:sz="0" w:space="0" w:color="auto"/>
                                        <w:left w:val="none" w:sz="0" w:space="0" w:color="auto"/>
                                        <w:bottom w:val="none" w:sz="0" w:space="0" w:color="auto"/>
                                        <w:right w:val="none" w:sz="0" w:space="0" w:color="auto"/>
                                      </w:divBdr>
                                    </w:div>
                                    <w:div w:id="1016158302">
                                      <w:marLeft w:val="0"/>
                                      <w:marRight w:val="0"/>
                                      <w:marTop w:val="0"/>
                                      <w:marBottom w:val="0"/>
                                      <w:divBdr>
                                        <w:top w:val="none" w:sz="0" w:space="0" w:color="auto"/>
                                        <w:left w:val="none" w:sz="0" w:space="0" w:color="auto"/>
                                        <w:bottom w:val="none" w:sz="0" w:space="0" w:color="auto"/>
                                        <w:right w:val="none" w:sz="0" w:space="0" w:color="auto"/>
                                      </w:divBdr>
                                    </w:div>
                                    <w:div w:id="1028531146">
                                      <w:marLeft w:val="0"/>
                                      <w:marRight w:val="0"/>
                                      <w:marTop w:val="0"/>
                                      <w:marBottom w:val="0"/>
                                      <w:divBdr>
                                        <w:top w:val="none" w:sz="0" w:space="0" w:color="auto"/>
                                        <w:left w:val="none" w:sz="0" w:space="0" w:color="auto"/>
                                        <w:bottom w:val="none" w:sz="0" w:space="0" w:color="auto"/>
                                        <w:right w:val="none" w:sz="0" w:space="0" w:color="auto"/>
                                      </w:divBdr>
                                    </w:div>
                                    <w:div w:id="1059472433">
                                      <w:marLeft w:val="0"/>
                                      <w:marRight w:val="0"/>
                                      <w:marTop w:val="0"/>
                                      <w:marBottom w:val="0"/>
                                      <w:divBdr>
                                        <w:top w:val="none" w:sz="0" w:space="0" w:color="auto"/>
                                        <w:left w:val="none" w:sz="0" w:space="0" w:color="auto"/>
                                        <w:bottom w:val="none" w:sz="0" w:space="0" w:color="auto"/>
                                        <w:right w:val="none" w:sz="0" w:space="0" w:color="auto"/>
                                      </w:divBdr>
                                    </w:div>
                                    <w:div w:id="1136602480">
                                      <w:marLeft w:val="0"/>
                                      <w:marRight w:val="0"/>
                                      <w:marTop w:val="0"/>
                                      <w:marBottom w:val="0"/>
                                      <w:divBdr>
                                        <w:top w:val="none" w:sz="0" w:space="0" w:color="auto"/>
                                        <w:left w:val="none" w:sz="0" w:space="0" w:color="auto"/>
                                        <w:bottom w:val="none" w:sz="0" w:space="0" w:color="auto"/>
                                        <w:right w:val="none" w:sz="0" w:space="0" w:color="auto"/>
                                      </w:divBdr>
                                    </w:div>
                                    <w:div w:id="1160999279">
                                      <w:marLeft w:val="0"/>
                                      <w:marRight w:val="0"/>
                                      <w:marTop w:val="0"/>
                                      <w:marBottom w:val="0"/>
                                      <w:divBdr>
                                        <w:top w:val="none" w:sz="0" w:space="0" w:color="auto"/>
                                        <w:left w:val="none" w:sz="0" w:space="0" w:color="auto"/>
                                        <w:bottom w:val="none" w:sz="0" w:space="0" w:color="auto"/>
                                        <w:right w:val="none" w:sz="0" w:space="0" w:color="auto"/>
                                      </w:divBdr>
                                    </w:div>
                                    <w:div w:id="1202862434">
                                      <w:marLeft w:val="0"/>
                                      <w:marRight w:val="0"/>
                                      <w:marTop w:val="0"/>
                                      <w:marBottom w:val="0"/>
                                      <w:divBdr>
                                        <w:top w:val="none" w:sz="0" w:space="0" w:color="auto"/>
                                        <w:left w:val="none" w:sz="0" w:space="0" w:color="auto"/>
                                        <w:bottom w:val="none" w:sz="0" w:space="0" w:color="auto"/>
                                        <w:right w:val="none" w:sz="0" w:space="0" w:color="auto"/>
                                      </w:divBdr>
                                    </w:div>
                                    <w:div w:id="1217401283">
                                      <w:marLeft w:val="0"/>
                                      <w:marRight w:val="0"/>
                                      <w:marTop w:val="0"/>
                                      <w:marBottom w:val="0"/>
                                      <w:divBdr>
                                        <w:top w:val="none" w:sz="0" w:space="0" w:color="auto"/>
                                        <w:left w:val="none" w:sz="0" w:space="0" w:color="auto"/>
                                        <w:bottom w:val="none" w:sz="0" w:space="0" w:color="auto"/>
                                        <w:right w:val="none" w:sz="0" w:space="0" w:color="auto"/>
                                      </w:divBdr>
                                    </w:div>
                                    <w:div w:id="1253709179">
                                      <w:marLeft w:val="0"/>
                                      <w:marRight w:val="0"/>
                                      <w:marTop w:val="0"/>
                                      <w:marBottom w:val="0"/>
                                      <w:divBdr>
                                        <w:top w:val="none" w:sz="0" w:space="0" w:color="auto"/>
                                        <w:left w:val="none" w:sz="0" w:space="0" w:color="auto"/>
                                        <w:bottom w:val="none" w:sz="0" w:space="0" w:color="auto"/>
                                        <w:right w:val="none" w:sz="0" w:space="0" w:color="auto"/>
                                      </w:divBdr>
                                    </w:div>
                                    <w:div w:id="1254820302">
                                      <w:marLeft w:val="0"/>
                                      <w:marRight w:val="0"/>
                                      <w:marTop w:val="0"/>
                                      <w:marBottom w:val="0"/>
                                      <w:divBdr>
                                        <w:top w:val="none" w:sz="0" w:space="0" w:color="auto"/>
                                        <w:left w:val="none" w:sz="0" w:space="0" w:color="auto"/>
                                        <w:bottom w:val="none" w:sz="0" w:space="0" w:color="auto"/>
                                        <w:right w:val="none" w:sz="0" w:space="0" w:color="auto"/>
                                      </w:divBdr>
                                    </w:div>
                                    <w:div w:id="1268544609">
                                      <w:marLeft w:val="0"/>
                                      <w:marRight w:val="0"/>
                                      <w:marTop w:val="0"/>
                                      <w:marBottom w:val="0"/>
                                      <w:divBdr>
                                        <w:top w:val="none" w:sz="0" w:space="0" w:color="auto"/>
                                        <w:left w:val="none" w:sz="0" w:space="0" w:color="auto"/>
                                        <w:bottom w:val="none" w:sz="0" w:space="0" w:color="auto"/>
                                        <w:right w:val="none" w:sz="0" w:space="0" w:color="auto"/>
                                      </w:divBdr>
                                    </w:div>
                                    <w:div w:id="1286229771">
                                      <w:marLeft w:val="0"/>
                                      <w:marRight w:val="0"/>
                                      <w:marTop w:val="0"/>
                                      <w:marBottom w:val="0"/>
                                      <w:divBdr>
                                        <w:top w:val="none" w:sz="0" w:space="0" w:color="auto"/>
                                        <w:left w:val="none" w:sz="0" w:space="0" w:color="auto"/>
                                        <w:bottom w:val="none" w:sz="0" w:space="0" w:color="auto"/>
                                        <w:right w:val="none" w:sz="0" w:space="0" w:color="auto"/>
                                      </w:divBdr>
                                    </w:div>
                                    <w:div w:id="1320767002">
                                      <w:marLeft w:val="0"/>
                                      <w:marRight w:val="0"/>
                                      <w:marTop w:val="0"/>
                                      <w:marBottom w:val="0"/>
                                      <w:divBdr>
                                        <w:top w:val="none" w:sz="0" w:space="0" w:color="auto"/>
                                        <w:left w:val="none" w:sz="0" w:space="0" w:color="auto"/>
                                        <w:bottom w:val="none" w:sz="0" w:space="0" w:color="auto"/>
                                        <w:right w:val="none" w:sz="0" w:space="0" w:color="auto"/>
                                      </w:divBdr>
                                    </w:div>
                                    <w:div w:id="1345329304">
                                      <w:marLeft w:val="0"/>
                                      <w:marRight w:val="0"/>
                                      <w:marTop w:val="0"/>
                                      <w:marBottom w:val="0"/>
                                      <w:divBdr>
                                        <w:top w:val="none" w:sz="0" w:space="0" w:color="auto"/>
                                        <w:left w:val="none" w:sz="0" w:space="0" w:color="auto"/>
                                        <w:bottom w:val="none" w:sz="0" w:space="0" w:color="auto"/>
                                        <w:right w:val="none" w:sz="0" w:space="0" w:color="auto"/>
                                      </w:divBdr>
                                    </w:div>
                                    <w:div w:id="1354915039">
                                      <w:marLeft w:val="0"/>
                                      <w:marRight w:val="0"/>
                                      <w:marTop w:val="0"/>
                                      <w:marBottom w:val="0"/>
                                      <w:divBdr>
                                        <w:top w:val="none" w:sz="0" w:space="0" w:color="auto"/>
                                        <w:left w:val="none" w:sz="0" w:space="0" w:color="auto"/>
                                        <w:bottom w:val="none" w:sz="0" w:space="0" w:color="auto"/>
                                        <w:right w:val="none" w:sz="0" w:space="0" w:color="auto"/>
                                      </w:divBdr>
                                    </w:div>
                                    <w:div w:id="1360470193">
                                      <w:marLeft w:val="0"/>
                                      <w:marRight w:val="0"/>
                                      <w:marTop w:val="0"/>
                                      <w:marBottom w:val="0"/>
                                      <w:divBdr>
                                        <w:top w:val="none" w:sz="0" w:space="0" w:color="auto"/>
                                        <w:left w:val="none" w:sz="0" w:space="0" w:color="auto"/>
                                        <w:bottom w:val="none" w:sz="0" w:space="0" w:color="auto"/>
                                        <w:right w:val="none" w:sz="0" w:space="0" w:color="auto"/>
                                      </w:divBdr>
                                    </w:div>
                                    <w:div w:id="1365328416">
                                      <w:marLeft w:val="0"/>
                                      <w:marRight w:val="0"/>
                                      <w:marTop w:val="0"/>
                                      <w:marBottom w:val="0"/>
                                      <w:divBdr>
                                        <w:top w:val="none" w:sz="0" w:space="0" w:color="auto"/>
                                        <w:left w:val="none" w:sz="0" w:space="0" w:color="auto"/>
                                        <w:bottom w:val="none" w:sz="0" w:space="0" w:color="auto"/>
                                        <w:right w:val="none" w:sz="0" w:space="0" w:color="auto"/>
                                      </w:divBdr>
                                    </w:div>
                                    <w:div w:id="1369799175">
                                      <w:marLeft w:val="0"/>
                                      <w:marRight w:val="0"/>
                                      <w:marTop w:val="0"/>
                                      <w:marBottom w:val="0"/>
                                      <w:divBdr>
                                        <w:top w:val="none" w:sz="0" w:space="0" w:color="auto"/>
                                        <w:left w:val="none" w:sz="0" w:space="0" w:color="auto"/>
                                        <w:bottom w:val="none" w:sz="0" w:space="0" w:color="auto"/>
                                        <w:right w:val="none" w:sz="0" w:space="0" w:color="auto"/>
                                      </w:divBdr>
                                    </w:div>
                                    <w:div w:id="1392927805">
                                      <w:marLeft w:val="0"/>
                                      <w:marRight w:val="0"/>
                                      <w:marTop w:val="0"/>
                                      <w:marBottom w:val="0"/>
                                      <w:divBdr>
                                        <w:top w:val="none" w:sz="0" w:space="0" w:color="auto"/>
                                        <w:left w:val="none" w:sz="0" w:space="0" w:color="auto"/>
                                        <w:bottom w:val="none" w:sz="0" w:space="0" w:color="auto"/>
                                        <w:right w:val="none" w:sz="0" w:space="0" w:color="auto"/>
                                      </w:divBdr>
                                    </w:div>
                                    <w:div w:id="1401100992">
                                      <w:marLeft w:val="0"/>
                                      <w:marRight w:val="0"/>
                                      <w:marTop w:val="0"/>
                                      <w:marBottom w:val="0"/>
                                      <w:divBdr>
                                        <w:top w:val="none" w:sz="0" w:space="0" w:color="auto"/>
                                        <w:left w:val="none" w:sz="0" w:space="0" w:color="auto"/>
                                        <w:bottom w:val="none" w:sz="0" w:space="0" w:color="auto"/>
                                        <w:right w:val="none" w:sz="0" w:space="0" w:color="auto"/>
                                      </w:divBdr>
                                    </w:div>
                                    <w:div w:id="1404909079">
                                      <w:marLeft w:val="0"/>
                                      <w:marRight w:val="0"/>
                                      <w:marTop w:val="0"/>
                                      <w:marBottom w:val="0"/>
                                      <w:divBdr>
                                        <w:top w:val="none" w:sz="0" w:space="0" w:color="auto"/>
                                        <w:left w:val="none" w:sz="0" w:space="0" w:color="auto"/>
                                        <w:bottom w:val="none" w:sz="0" w:space="0" w:color="auto"/>
                                        <w:right w:val="none" w:sz="0" w:space="0" w:color="auto"/>
                                      </w:divBdr>
                                    </w:div>
                                    <w:div w:id="1404991331">
                                      <w:marLeft w:val="0"/>
                                      <w:marRight w:val="0"/>
                                      <w:marTop w:val="0"/>
                                      <w:marBottom w:val="0"/>
                                      <w:divBdr>
                                        <w:top w:val="none" w:sz="0" w:space="0" w:color="auto"/>
                                        <w:left w:val="none" w:sz="0" w:space="0" w:color="auto"/>
                                        <w:bottom w:val="none" w:sz="0" w:space="0" w:color="auto"/>
                                        <w:right w:val="none" w:sz="0" w:space="0" w:color="auto"/>
                                      </w:divBdr>
                                    </w:div>
                                    <w:div w:id="1407998522">
                                      <w:marLeft w:val="0"/>
                                      <w:marRight w:val="0"/>
                                      <w:marTop w:val="0"/>
                                      <w:marBottom w:val="0"/>
                                      <w:divBdr>
                                        <w:top w:val="none" w:sz="0" w:space="0" w:color="auto"/>
                                        <w:left w:val="none" w:sz="0" w:space="0" w:color="auto"/>
                                        <w:bottom w:val="none" w:sz="0" w:space="0" w:color="auto"/>
                                        <w:right w:val="none" w:sz="0" w:space="0" w:color="auto"/>
                                      </w:divBdr>
                                    </w:div>
                                    <w:div w:id="1504903467">
                                      <w:marLeft w:val="0"/>
                                      <w:marRight w:val="0"/>
                                      <w:marTop w:val="0"/>
                                      <w:marBottom w:val="0"/>
                                      <w:divBdr>
                                        <w:top w:val="none" w:sz="0" w:space="0" w:color="auto"/>
                                        <w:left w:val="none" w:sz="0" w:space="0" w:color="auto"/>
                                        <w:bottom w:val="none" w:sz="0" w:space="0" w:color="auto"/>
                                        <w:right w:val="none" w:sz="0" w:space="0" w:color="auto"/>
                                      </w:divBdr>
                                    </w:div>
                                    <w:div w:id="1581060746">
                                      <w:marLeft w:val="0"/>
                                      <w:marRight w:val="0"/>
                                      <w:marTop w:val="0"/>
                                      <w:marBottom w:val="0"/>
                                      <w:divBdr>
                                        <w:top w:val="none" w:sz="0" w:space="0" w:color="auto"/>
                                        <w:left w:val="none" w:sz="0" w:space="0" w:color="auto"/>
                                        <w:bottom w:val="none" w:sz="0" w:space="0" w:color="auto"/>
                                        <w:right w:val="none" w:sz="0" w:space="0" w:color="auto"/>
                                      </w:divBdr>
                                    </w:div>
                                    <w:div w:id="1600522058">
                                      <w:marLeft w:val="0"/>
                                      <w:marRight w:val="0"/>
                                      <w:marTop w:val="0"/>
                                      <w:marBottom w:val="0"/>
                                      <w:divBdr>
                                        <w:top w:val="none" w:sz="0" w:space="0" w:color="auto"/>
                                        <w:left w:val="none" w:sz="0" w:space="0" w:color="auto"/>
                                        <w:bottom w:val="none" w:sz="0" w:space="0" w:color="auto"/>
                                        <w:right w:val="none" w:sz="0" w:space="0" w:color="auto"/>
                                      </w:divBdr>
                                    </w:div>
                                    <w:div w:id="1693871359">
                                      <w:marLeft w:val="0"/>
                                      <w:marRight w:val="0"/>
                                      <w:marTop w:val="0"/>
                                      <w:marBottom w:val="0"/>
                                      <w:divBdr>
                                        <w:top w:val="none" w:sz="0" w:space="0" w:color="auto"/>
                                        <w:left w:val="none" w:sz="0" w:space="0" w:color="auto"/>
                                        <w:bottom w:val="none" w:sz="0" w:space="0" w:color="auto"/>
                                        <w:right w:val="none" w:sz="0" w:space="0" w:color="auto"/>
                                      </w:divBdr>
                                    </w:div>
                                    <w:div w:id="1694459808">
                                      <w:marLeft w:val="0"/>
                                      <w:marRight w:val="0"/>
                                      <w:marTop w:val="0"/>
                                      <w:marBottom w:val="0"/>
                                      <w:divBdr>
                                        <w:top w:val="none" w:sz="0" w:space="0" w:color="auto"/>
                                        <w:left w:val="none" w:sz="0" w:space="0" w:color="auto"/>
                                        <w:bottom w:val="none" w:sz="0" w:space="0" w:color="auto"/>
                                        <w:right w:val="none" w:sz="0" w:space="0" w:color="auto"/>
                                      </w:divBdr>
                                    </w:div>
                                    <w:div w:id="1744572013">
                                      <w:marLeft w:val="0"/>
                                      <w:marRight w:val="0"/>
                                      <w:marTop w:val="0"/>
                                      <w:marBottom w:val="0"/>
                                      <w:divBdr>
                                        <w:top w:val="none" w:sz="0" w:space="0" w:color="auto"/>
                                        <w:left w:val="none" w:sz="0" w:space="0" w:color="auto"/>
                                        <w:bottom w:val="none" w:sz="0" w:space="0" w:color="auto"/>
                                        <w:right w:val="none" w:sz="0" w:space="0" w:color="auto"/>
                                      </w:divBdr>
                                    </w:div>
                                    <w:div w:id="1768623036">
                                      <w:marLeft w:val="0"/>
                                      <w:marRight w:val="0"/>
                                      <w:marTop w:val="0"/>
                                      <w:marBottom w:val="0"/>
                                      <w:divBdr>
                                        <w:top w:val="none" w:sz="0" w:space="0" w:color="auto"/>
                                        <w:left w:val="none" w:sz="0" w:space="0" w:color="auto"/>
                                        <w:bottom w:val="none" w:sz="0" w:space="0" w:color="auto"/>
                                        <w:right w:val="none" w:sz="0" w:space="0" w:color="auto"/>
                                      </w:divBdr>
                                    </w:div>
                                    <w:div w:id="1794057971">
                                      <w:marLeft w:val="0"/>
                                      <w:marRight w:val="0"/>
                                      <w:marTop w:val="0"/>
                                      <w:marBottom w:val="0"/>
                                      <w:divBdr>
                                        <w:top w:val="none" w:sz="0" w:space="0" w:color="auto"/>
                                        <w:left w:val="none" w:sz="0" w:space="0" w:color="auto"/>
                                        <w:bottom w:val="none" w:sz="0" w:space="0" w:color="auto"/>
                                        <w:right w:val="none" w:sz="0" w:space="0" w:color="auto"/>
                                      </w:divBdr>
                                    </w:div>
                                    <w:div w:id="1835298732">
                                      <w:marLeft w:val="0"/>
                                      <w:marRight w:val="0"/>
                                      <w:marTop w:val="0"/>
                                      <w:marBottom w:val="0"/>
                                      <w:divBdr>
                                        <w:top w:val="none" w:sz="0" w:space="0" w:color="auto"/>
                                        <w:left w:val="none" w:sz="0" w:space="0" w:color="auto"/>
                                        <w:bottom w:val="none" w:sz="0" w:space="0" w:color="auto"/>
                                        <w:right w:val="none" w:sz="0" w:space="0" w:color="auto"/>
                                      </w:divBdr>
                                    </w:div>
                                    <w:div w:id="1902447276">
                                      <w:marLeft w:val="0"/>
                                      <w:marRight w:val="0"/>
                                      <w:marTop w:val="0"/>
                                      <w:marBottom w:val="0"/>
                                      <w:divBdr>
                                        <w:top w:val="none" w:sz="0" w:space="0" w:color="auto"/>
                                        <w:left w:val="none" w:sz="0" w:space="0" w:color="auto"/>
                                        <w:bottom w:val="none" w:sz="0" w:space="0" w:color="auto"/>
                                        <w:right w:val="none" w:sz="0" w:space="0" w:color="auto"/>
                                      </w:divBdr>
                                    </w:div>
                                    <w:div w:id="1908688130">
                                      <w:marLeft w:val="0"/>
                                      <w:marRight w:val="0"/>
                                      <w:marTop w:val="0"/>
                                      <w:marBottom w:val="0"/>
                                      <w:divBdr>
                                        <w:top w:val="none" w:sz="0" w:space="0" w:color="auto"/>
                                        <w:left w:val="none" w:sz="0" w:space="0" w:color="auto"/>
                                        <w:bottom w:val="none" w:sz="0" w:space="0" w:color="auto"/>
                                        <w:right w:val="none" w:sz="0" w:space="0" w:color="auto"/>
                                      </w:divBdr>
                                    </w:div>
                                    <w:div w:id="1930119143">
                                      <w:marLeft w:val="0"/>
                                      <w:marRight w:val="0"/>
                                      <w:marTop w:val="0"/>
                                      <w:marBottom w:val="0"/>
                                      <w:divBdr>
                                        <w:top w:val="none" w:sz="0" w:space="0" w:color="auto"/>
                                        <w:left w:val="none" w:sz="0" w:space="0" w:color="auto"/>
                                        <w:bottom w:val="none" w:sz="0" w:space="0" w:color="auto"/>
                                        <w:right w:val="none" w:sz="0" w:space="0" w:color="auto"/>
                                      </w:divBdr>
                                    </w:div>
                                    <w:div w:id="1943032220">
                                      <w:marLeft w:val="0"/>
                                      <w:marRight w:val="0"/>
                                      <w:marTop w:val="0"/>
                                      <w:marBottom w:val="0"/>
                                      <w:divBdr>
                                        <w:top w:val="none" w:sz="0" w:space="0" w:color="auto"/>
                                        <w:left w:val="none" w:sz="0" w:space="0" w:color="auto"/>
                                        <w:bottom w:val="none" w:sz="0" w:space="0" w:color="auto"/>
                                        <w:right w:val="none" w:sz="0" w:space="0" w:color="auto"/>
                                      </w:divBdr>
                                    </w:div>
                                    <w:div w:id="1947495128">
                                      <w:marLeft w:val="0"/>
                                      <w:marRight w:val="0"/>
                                      <w:marTop w:val="0"/>
                                      <w:marBottom w:val="0"/>
                                      <w:divBdr>
                                        <w:top w:val="none" w:sz="0" w:space="0" w:color="auto"/>
                                        <w:left w:val="none" w:sz="0" w:space="0" w:color="auto"/>
                                        <w:bottom w:val="none" w:sz="0" w:space="0" w:color="auto"/>
                                        <w:right w:val="none" w:sz="0" w:space="0" w:color="auto"/>
                                      </w:divBdr>
                                    </w:div>
                                    <w:div w:id="1949971732">
                                      <w:marLeft w:val="0"/>
                                      <w:marRight w:val="0"/>
                                      <w:marTop w:val="0"/>
                                      <w:marBottom w:val="0"/>
                                      <w:divBdr>
                                        <w:top w:val="none" w:sz="0" w:space="0" w:color="auto"/>
                                        <w:left w:val="none" w:sz="0" w:space="0" w:color="auto"/>
                                        <w:bottom w:val="none" w:sz="0" w:space="0" w:color="auto"/>
                                        <w:right w:val="none" w:sz="0" w:space="0" w:color="auto"/>
                                      </w:divBdr>
                                    </w:div>
                                    <w:div w:id="2017221286">
                                      <w:marLeft w:val="0"/>
                                      <w:marRight w:val="0"/>
                                      <w:marTop w:val="0"/>
                                      <w:marBottom w:val="0"/>
                                      <w:divBdr>
                                        <w:top w:val="none" w:sz="0" w:space="0" w:color="auto"/>
                                        <w:left w:val="none" w:sz="0" w:space="0" w:color="auto"/>
                                        <w:bottom w:val="none" w:sz="0" w:space="0" w:color="auto"/>
                                        <w:right w:val="none" w:sz="0" w:space="0" w:color="auto"/>
                                      </w:divBdr>
                                    </w:div>
                                    <w:div w:id="2044477297">
                                      <w:marLeft w:val="0"/>
                                      <w:marRight w:val="0"/>
                                      <w:marTop w:val="0"/>
                                      <w:marBottom w:val="0"/>
                                      <w:divBdr>
                                        <w:top w:val="none" w:sz="0" w:space="0" w:color="auto"/>
                                        <w:left w:val="none" w:sz="0" w:space="0" w:color="auto"/>
                                        <w:bottom w:val="none" w:sz="0" w:space="0" w:color="auto"/>
                                        <w:right w:val="none" w:sz="0" w:space="0" w:color="auto"/>
                                      </w:divBdr>
                                    </w:div>
                                    <w:div w:id="2083021745">
                                      <w:marLeft w:val="0"/>
                                      <w:marRight w:val="0"/>
                                      <w:marTop w:val="0"/>
                                      <w:marBottom w:val="0"/>
                                      <w:divBdr>
                                        <w:top w:val="none" w:sz="0" w:space="0" w:color="auto"/>
                                        <w:left w:val="none" w:sz="0" w:space="0" w:color="auto"/>
                                        <w:bottom w:val="none" w:sz="0" w:space="0" w:color="auto"/>
                                        <w:right w:val="none" w:sz="0" w:space="0" w:color="auto"/>
                                      </w:divBdr>
                                    </w:div>
                                    <w:div w:id="21140124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1618739">
                              <w:marLeft w:val="0"/>
                              <w:marRight w:val="0"/>
                              <w:marTop w:val="0"/>
                              <w:marBottom w:val="0"/>
                              <w:divBdr>
                                <w:top w:val="none" w:sz="0" w:space="0" w:color="auto"/>
                                <w:left w:val="none" w:sz="0" w:space="0" w:color="auto"/>
                                <w:bottom w:val="none" w:sz="0" w:space="0" w:color="auto"/>
                                <w:right w:val="none" w:sz="0" w:space="0" w:color="auto"/>
                              </w:divBdr>
                            </w:div>
                            <w:div w:id="1252734336">
                              <w:marLeft w:val="0"/>
                              <w:marRight w:val="0"/>
                              <w:marTop w:val="0"/>
                              <w:marBottom w:val="0"/>
                              <w:divBdr>
                                <w:top w:val="none" w:sz="0" w:space="0" w:color="auto"/>
                                <w:left w:val="none" w:sz="0" w:space="0" w:color="auto"/>
                                <w:bottom w:val="none" w:sz="0" w:space="0" w:color="auto"/>
                                <w:right w:val="none" w:sz="0" w:space="0" w:color="auto"/>
                              </w:divBdr>
                            </w:div>
                            <w:div w:id="1274900308">
                              <w:marLeft w:val="0"/>
                              <w:marRight w:val="0"/>
                              <w:marTop w:val="0"/>
                              <w:marBottom w:val="0"/>
                              <w:divBdr>
                                <w:top w:val="none" w:sz="0" w:space="0" w:color="auto"/>
                                <w:left w:val="none" w:sz="0" w:space="0" w:color="auto"/>
                                <w:bottom w:val="none" w:sz="0" w:space="0" w:color="auto"/>
                                <w:right w:val="none" w:sz="0" w:space="0" w:color="auto"/>
                              </w:divBdr>
                            </w:div>
                            <w:div w:id="1297684927">
                              <w:marLeft w:val="0"/>
                              <w:marRight w:val="0"/>
                              <w:marTop w:val="0"/>
                              <w:marBottom w:val="0"/>
                              <w:divBdr>
                                <w:top w:val="none" w:sz="0" w:space="0" w:color="auto"/>
                                <w:left w:val="none" w:sz="0" w:space="0" w:color="auto"/>
                                <w:bottom w:val="none" w:sz="0" w:space="0" w:color="auto"/>
                                <w:right w:val="none" w:sz="0" w:space="0" w:color="auto"/>
                              </w:divBdr>
                            </w:div>
                            <w:div w:id="1469935453">
                              <w:marLeft w:val="0"/>
                              <w:marRight w:val="0"/>
                              <w:marTop w:val="0"/>
                              <w:marBottom w:val="0"/>
                              <w:divBdr>
                                <w:top w:val="none" w:sz="0" w:space="0" w:color="auto"/>
                                <w:left w:val="none" w:sz="0" w:space="0" w:color="auto"/>
                                <w:bottom w:val="none" w:sz="0" w:space="0" w:color="auto"/>
                                <w:right w:val="none" w:sz="0" w:space="0" w:color="auto"/>
                              </w:divBdr>
                            </w:div>
                            <w:div w:id="1497960137">
                              <w:marLeft w:val="0"/>
                              <w:marRight w:val="0"/>
                              <w:marTop w:val="0"/>
                              <w:marBottom w:val="0"/>
                              <w:divBdr>
                                <w:top w:val="none" w:sz="0" w:space="0" w:color="auto"/>
                                <w:left w:val="none" w:sz="0" w:space="0" w:color="auto"/>
                                <w:bottom w:val="none" w:sz="0" w:space="0" w:color="auto"/>
                                <w:right w:val="none" w:sz="0" w:space="0" w:color="auto"/>
                              </w:divBdr>
                            </w:div>
                            <w:div w:id="1548028481">
                              <w:marLeft w:val="0"/>
                              <w:marRight w:val="0"/>
                              <w:marTop w:val="0"/>
                              <w:marBottom w:val="0"/>
                              <w:divBdr>
                                <w:top w:val="none" w:sz="0" w:space="0" w:color="auto"/>
                                <w:left w:val="none" w:sz="0" w:space="0" w:color="auto"/>
                                <w:bottom w:val="none" w:sz="0" w:space="0" w:color="auto"/>
                                <w:right w:val="none" w:sz="0" w:space="0" w:color="auto"/>
                              </w:divBdr>
                            </w:div>
                            <w:div w:id="1641570305">
                              <w:marLeft w:val="0"/>
                              <w:marRight w:val="0"/>
                              <w:marTop w:val="0"/>
                              <w:marBottom w:val="0"/>
                              <w:divBdr>
                                <w:top w:val="none" w:sz="0" w:space="0" w:color="auto"/>
                                <w:left w:val="none" w:sz="0" w:space="0" w:color="auto"/>
                                <w:bottom w:val="none" w:sz="0" w:space="0" w:color="auto"/>
                                <w:right w:val="none" w:sz="0" w:space="0" w:color="auto"/>
                              </w:divBdr>
                            </w:div>
                            <w:div w:id="1683705125">
                              <w:marLeft w:val="0"/>
                              <w:marRight w:val="0"/>
                              <w:marTop w:val="0"/>
                              <w:marBottom w:val="0"/>
                              <w:divBdr>
                                <w:top w:val="none" w:sz="0" w:space="0" w:color="auto"/>
                                <w:left w:val="none" w:sz="0" w:space="0" w:color="auto"/>
                                <w:bottom w:val="none" w:sz="0" w:space="0" w:color="auto"/>
                                <w:right w:val="none" w:sz="0" w:space="0" w:color="auto"/>
                              </w:divBdr>
                            </w:div>
                            <w:div w:id="1692491338">
                              <w:marLeft w:val="0"/>
                              <w:marRight w:val="0"/>
                              <w:marTop w:val="0"/>
                              <w:marBottom w:val="0"/>
                              <w:divBdr>
                                <w:top w:val="none" w:sz="0" w:space="0" w:color="auto"/>
                                <w:left w:val="none" w:sz="0" w:space="0" w:color="auto"/>
                                <w:bottom w:val="none" w:sz="0" w:space="0" w:color="auto"/>
                                <w:right w:val="none" w:sz="0" w:space="0" w:color="auto"/>
                              </w:divBdr>
                            </w:div>
                            <w:div w:id="1848983849">
                              <w:marLeft w:val="0"/>
                              <w:marRight w:val="0"/>
                              <w:marTop w:val="0"/>
                              <w:marBottom w:val="0"/>
                              <w:divBdr>
                                <w:top w:val="none" w:sz="0" w:space="0" w:color="auto"/>
                                <w:left w:val="none" w:sz="0" w:space="0" w:color="auto"/>
                                <w:bottom w:val="none" w:sz="0" w:space="0" w:color="auto"/>
                                <w:right w:val="none" w:sz="0" w:space="0" w:color="auto"/>
                              </w:divBdr>
                            </w:div>
                            <w:div w:id="1910186056">
                              <w:marLeft w:val="0"/>
                              <w:marRight w:val="0"/>
                              <w:marTop w:val="0"/>
                              <w:marBottom w:val="0"/>
                              <w:divBdr>
                                <w:top w:val="none" w:sz="0" w:space="0" w:color="auto"/>
                                <w:left w:val="none" w:sz="0" w:space="0" w:color="auto"/>
                                <w:bottom w:val="none" w:sz="0" w:space="0" w:color="auto"/>
                                <w:right w:val="none" w:sz="0" w:space="0" w:color="auto"/>
                              </w:divBdr>
                            </w:div>
                            <w:div w:id="1919090853">
                              <w:marLeft w:val="0"/>
                              <w:marRight w:val="0"/>
                              <w:marTop w:val="0"/>
                              <w:marBottom w:val="0"/>
                              <w:divBdr>
                                <w:top w:val="none" w:sz="0" w:space="0" w:color="auto"/>
                                <w:left w:val="none" w:sz="0" w:space="0" w:color="auto"/>
                                <w:bottom w:val="none" w:sz="0" w:space="0" w:color="auto"/>
                                <w:right w:val="none" w:sz="0" w:space="0" w:color="auto"/>
                              </w:divBdr>
                            </w:div>
                            <w:div w:id="1960648399">
                              <w:marLeft w:val="0"/>
                              <w:marRight w:val="0"/>
                              <w:marTop w:val="0"/>
                              <w:marBottom w:val="0"/>
                              <w:divBdr>
                                <w:top w:val="none" w:sz="0" w:space="0" w:color="auto"/>
                                <w:left w:val="none" w:sz="0" w:space="0" w:color="auto"/>
                                <w:bottom w:val="none" w:sz="0" w:space="0" w:color="auto"/>
                                <w:right w:val="none" w:sz="0" w:space="0" w:color="auto"/>
                              </w:divBdr>
                            </w:div>
                            <w:div w:id="1981229363">
                              <w:marLeft w:val="0"/>
                              <w:marRight w:val="0"/>
                              <w:marTop w:val="0"/>
                              <w:marBottom w:val="0"/>
                              <w:divBdr>
                                <w:top w:val="none" w:sz="0" w:space="0" w:color="auto"/>
                                <w:left w:val="none" w:sz="0" w:space="0" w:color="auto"/>
                                <w:bottom w:val="none" w:sz="0" w:space="0" w:color="auto"/>
                                <w:right w:val="none" w:sz="0" w:space="0" w:color="auto"/>
                              </w:divBdr>
                            </w:div>
                            <w:div w:id="2034961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08371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3497499">
              <w:marLeft w:val="0"/>
              <w:marRight w:val="0"/>
              <w:marTop w:val="0"/>
              <w:marBottom w:val="0"/>
              <w:divBdr>
                <w:top w:val="none" w:sz="0" w:space="0" w:color="auto"/>
                <w:left w:val="none" w:sz="0" w:space="0" w:color="auto"/>
                <w:bottom w:val="none" w:sz="0" w:space="0" w:color="auto"/>
                <w:right w:val="none" w:sz="0" w:space="0" w:color="auto"/>
              </w:divBdr>
              <w:divsChild>
                <w:div w:id="6748907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4765410">
      <w:bodyDiv w:val="1"/>
      <w:marLeft w:val="0"/>
      <w:marRight w:val="0"/>
      <w:marTop w:val="0"/>
      <w:marBottom w:val="0"/>
      <w:divBdr>
        <w:top w:val="none" w:sz="0" w:space="0" w:color="auto"/>
        <w:left w:val="none" w:sz="0" w:space="0" w:color="auto"/>
        <w:bottom w:val="none" w:sz="0" w:space="0" w:color="auto"/>
        <w:right w:val="none" w:sz="0" w:space="0" w:color="auto"/>
      </w:divBdr>
    </w:div>
    <w:div w:id="675496032">
      <w:bodyDiv w:val="1"/>
      <w:marLeft w:val="0"/>
      <w:marRight w:val="0"/>
      <w:marTop w:val="0"/>
      <w:marBottom w:val="0"/>
      <w:divBdr>
        <w:top w:val="none" w:sz="0" w:space="0" w:color="auto"/>
        <w:left w:val="none" w:sz="0" w:space="0" w:color="auto"/>
        <w:bottom w:val="none" w:sz="0" w:space="0" w:color="auto"/>
        <w:right w:val="none" w:sz="0" w:space="0" w:color="auto"/>
      </w:divBdr>
      <w:divsChild>
        <w:div w:id="106849818">
          <w:marLeft w:val="0"/>
          <w:marRight w:val="0"/>
          <w:marTop w:val="0"/>
          <w:marBottom w:val="0"/>
          <w:divBdr>
            <w:top w:val="none" w:sz="0" w:space="0" w:color="auto"/>
            <w:left w:val="none" w:sz="0" w:space="0" w:color="auto"/>
            <w:bottom w:val="none" w:sz="0" w:space="0" w:color="auto"/>
            <w:right w:val="none" w:sz="0" w:space="0" w:color="auto"/>
          </w:divBdr>
        </w:div>
        <w:div w:id="250549787">
          <w:marLeft w:val="0"/>
          <w:marRight w:val="0"/>
          <w:marTop w:val="0"/>
          <w:marBottom w:val="0"/>
          <w:divBdr>
            <w:top w:val="none" w:sz="0" w:space="0" w:color="auto"/>
            <w:left w:val="none" w:sz="0" w:space="0" w:color="auto"/>
            <w:bottom w:val="none" w:sz="0" w:space="0" w:color="auto"/>
            <w:right w:val="none" w:sz="0" w:space="0" w:color="auto"/>
          </w:divBdr>
        </w:div>
        <w:div w:id="1020549073">
          <w:marLeft w:val="0"/>
          <w:marRight w:val="0"/>
          <w:marTop w:val="0"/>
          <w:marBottom w:val="0"/>
          <w:divBdr>
            <w:top w:val="none" w:sz="0" w:space="0" w:color="auto"/>
            <w:left w:val="none" w:sz="0" w:space="0" w:color="auto"/>
            <w:bottom w:val="none" w:sz="0" w:space="0" w:color="auto"/>
            <w:right w:val="none" w:sz="0" w:space="0" w:color="auto"/>
          </w:divBdr>
        </w:div>
      </w:divsChild>
    </w:div>
    <w:div w:id="677661330">
      <w:bodyDiv w:val="1"/>
      <w:marLeft w:val="0"/>
      <w:marRight w:val="0"/>
      <w:marTop w:val="0"/>
      <w:marBottom w:val="0"/>
      <w:divBdr>
        <w:top w:val="none" w:sz="0" w:space="0" w:color="auto"/>
        <w:left w:val="none" w:sz="0" w:space="0" w:color="auto"/>
        <w:bottom w:val="none" w:sz="0" w:space="0" w:color="auto"/>
        <w:right w:val="none" w:sz="0" w:space="0" w:color="auto"/>
      </w:divBdr>
      <w:divsChild>
        <w:div w:id="959145273">
          <w:marLeft w:val="0"/>
          <w:marRight w:val="0"/>
          <w:marTop w:val="0"/>
          <w:marBottom w:val="0"/>
          <w:divBdr>
            <w:top w:val="none" w:sz="0" w:space="0" w:color="auto"/>
            <w:left w:val="none" w:sz="0" w:space="0" w:color="auto"/>
            <w:bottom w:val="none" w:sz="0" w:space="0" w:color="auto"/>
            <w:right w:val="none" w:sz="0" w:space="0" w:color="auto"/>
          </w:divBdr>
        </w:div>
        <w:div w:id="1678342037">
          <w:marLeft w:val="0"/>
          <w:marRight w:val="0"/>
          <w:marTop w:val="0"/>
          <w:marBottom w:val="0"/>
          <w:divBdr>
            <w:top w:val="none" w:sz="0" w:space="0" w:color="auto"/>
            <w:left w:val="none" w:sz="0" w:space="0" w:color="auto"/>
            <w:bottom w:val="none" w:sz="0" w:space="0" w:color="auto"/>
            <w:right w:val="none" w:sz="0" w:space="0" w:color="auto"/>
          </w:divBdr>
        </w:div>
      </w:divsChild>
    </w:div>
    <w:div w:id="679894148">
      <w:bodyDiv w:val="1"/>
      <w:marLeft w:val="0"/>
      <w:marRight w:val="0"/>
      <w:marTop w:val="0"/>
      <w:marBottom w:val="0"/>
      <w:divBdr>
        <w:top w:val="none" w:sz="0" w:space="0" w:color="auto"/>
        <w:left w:val="none" w:sz="0" w:space="0" w:color="auto"/>
        <w:bottom w:val="none" w:sz="0" w:space="0" w:color="auto"/>
        <w:right w:val="none" w:sz="0" w:space="0" w:color="auto"/>
      </w:divBdr>
    </w:div>
    <w:div w:id="680089426">
      <w:bodyDiv w:val="1"/>
      <w:marLeft w:val="0"/>
      <w:marRight w:val="0"/>
      <w:marTop w:val="0"/>
      <w:marBottom w:val="0"/>
      <w:divBdr>
        <w:top w:val="none" w:sz="0" w:space="0" w:color="auto"/>
        <w:left w:val="none" w:sz="0" w:space="0" w:color="auto"/>
        <w:bottom w:val="none" w:sz="0" w:space="0" w:color="auto"/>
        <w:right w:val="none" w:sz="0" w:space="0" w:color="auto"/>
      </w:divBdr>
    </w:div>
    <w:div w:id="683628856">
      <w:bodyDiv w:val="1"/>
      <w:marLeft w:val="0"/>
      <w:marRight w:val="0"/>
      <w:marTop w:val="0"/>
      <w:marBottom w:val="0"/>
      <w:divBdr>
        <w:top w:val="none" w:sz="0" w:space="0" w:color="auto"/>
        <w:left w:val="none" w:sz="0" w:space="0" w:color="auto"/>
        <w:bottom w:val="none" w:sz="0" w:space="0" w:color="auto"/>
        <w:right w:val="none" w:sz="0" w:space="0" w:color="auto"/>
      </w:divBdr>
      <w:divsChild>
        <w:div w:id="575866942">
          <w:marLeft w:val="0"/>
          <w:marRight w:val="0"/>
          <w:marTop w:val="0"/>
          <w:marBottom w:val="0"/>
          <w:divBdr>
            <w:top w:val="none" w:sz="0" w:space="0" w:color="auto"/>
            <w:left w:val="none" w:sz="0" w:space="0" w:color="auto"/>
            <w:bottom w:val="none" w:sz="0" w:space="0" w:color="auto"/>
            <w:right w:val="none" w:sz="0" w:space="0" w:color="auto"/>
          </w:divBdr>
        </w:div>
        <w:div w:id="1250115122">
          <w:marLeft w:val="0"/>
          <w:marRight w:val="0"/>
          <w:marTop w:val="0"/>
          <w:marBottom w:val="0"/>
          <w:divBdr>
            <w:top w:val="none" w:sz="0" w:space="0" w:color="auto"/>
            <w:left w:val="none" w:sz="0" w:space="0" w:color="auto"/>
            <w:bottom w:val="none" w:sz="0" w:space="0" w:color="auto"/>
            <w:right w:val="none" w:sz="0" w:space="0" w:color="auto"/>
          </w:divBdr>
        </w:div>
      </w:divsChild>
    </w:div>
    <w:div w:id="686908944">
      <w:bodyDiv w:val="1"/>
      <w:marLeft w:val="0"/>
      <w:marRight w:val="0"/>
      <w:marTop w:val="0"/>
      <w:marBottom w:val="0"/>
      <w:divBdr>
        <w:top w:val="none" w:sz="0" w:space="0" w:color="auto"/>
        <w:left w:val="none" w:sz="0" w:space="0" w:color="auto"/>
        <w:bottom w:val="none" w:sz="0" w:space="0" w:color="auto"/>
        <w:right w:val="none" w:sz="0" w:space="0" w:color="auto"/>
      </w:divBdr>
    </w:div>
    <w:div w:id="693311502">
      <w:bodyDiv w:val="1"/>
      <w:marLeft w:val="0"/>
      <w:marRight w:val="0"/>
      <w:marTop w:val="0"/>
      <w:marBottom w:val="0"/>
      <w:divBdr>
        <w:top w:val="none" w:sz="0" w:space="0" w:color="auto"/>
        <w:left w:val="none" w:sz="0" w:space="0" w:color="auto"/>
        <w:bottom w:val="none" w:sz="0" w:space="0" w:color="auto"/>
        <w:right w:val="none" w:sz="0" w:space="0" w:color="auto"/>
      </w:divBdr>
    </w:div>
    <w:div w:id="702243219">
      <w:bodyDiv w:val="1"/>
      <w:marLeft w:val="0"/>
      <w:marRight w:val="0"/>
      <w:marTop w:val="0"/>
      <w:marBottom w:val="0"/>
      <w:divBdr>
        <w:top w:val="none" w:sz="0" w:space="0" w:color="auto"/>
        <w:left w:val="none" w:sz="0" w:space="0" w:color="auto"/>
        <w:bottom w:val="none" w:sz="0" w:space="0" w:color="auto"/>
        <w:right w:val="none" w:sz="0" w:space="0" w:color="auto"/>
      </w:divBdr>
      <w:divsChild>
        <w:div w:id="350766195">
          <w:marLeft w:val="0"/>
          <w:marRight w:val="0"/>
          <w:marTop w:val="0"/>
          <w:marBottom w:val="0"/>
          <w:divBdr>
            <w:top w:val="none" w:sz="0" w:space="0" w:color="auto"/>
            <w:left w:val="none" w:sz="0" w:space="0" w:color="auto"/>
            <w:bottom w:val="none" w:sz="0" w:space="0" w:color="auto"/>
            <w:right w:val="none" w:sz="0" w:space="0" w:color="auto"/>
          </w:divBdr>
        </w:div>
        <w:div w:id="460608962">
          <w:marLeft w:val="0"/>
          <w:marRight w:val="0"/>
          <w:marTop w:val="0"/>
          <w:marBottom w:val="0"/>
          <w:divBdr>
            <w:top w:val="none" w:sz="0" w:space="0" w:color="auto"/>
            <w:left w:val="none" w:sz="0" w:space="0" w:color="auto"/>
            <w:bottom w:val="none" w:sz="0" w:space="0" w:color="auto"/>
            <w:right w:val="none" w:sz="0" w:space="0" w:color="auto"/>
          </w:divBdr>
        </w:div>
        <w:div w:id="508328590">
          <w:marLeft w:val="0"/>
          <w:marRight w:val="0"/>
          <w:marTop w:val="0"/>
          <w:marBottom w:val="0"/>
          <w:divBdr>
            <w:top w:val="none" w:sz="0" w:space="0" w:color="auto"/>
            <w:left w:val="none" w:sz="0" w:space="0" w:color="auto"/>
            <w:bottom w:val="none" w:sz="0" w:space="0" w:color="auto"/>
            <w:right w:val="none" w:sz="0" w:space="0" w:color="auto"/>
          </w:divBdr>
        </w:div>
        <w:div w:id="1452281658">
          <w:marLeft w:val="0"/>
          <w:marRight w:val="0"/>
          <w:marTop w:val="0"/>
          <w:marBottom w:val="0"/>
          <w:divBdr>
            <w:top w:val="none" w:sz="0" w:space="0" w:color="auto"/>
            <w:left w:val="none" w:sz="0" w:space="0" w:color="auto"/>
            <w:bottom w:val="none" w:sz="0" w:space="0" w:color="auto"/>
            <w:right w:val="none" w:sz="0" w:space="0" w:color="auto"/>
          </w:divBdr>
        </w:div>
        <w:div w:id="2134474325">
          <w:marLeft w:val="0"/>
          <w:marRight w:val="0"/>
          <w:marTop w:val="0"/>
          <w:marBottom w:val="0"/>
          <w:divBdr>
            <w:top w:val="none" w:sz="0" w:space="0" w:color="auto"/>
            <w:left w:val="none" w:sz="0" w:space="0" w:color="auto"/>
            <w:bottom w:val="none" w:sz="0" w:space="0" w:color="auto"/>
            <w:right w:val="none" w:sz="0" w:space="0" w:color="auto"/>
          </w:divBdr>
        </w:div>
      </w:divsChild>
    </w:div>
    <w:div w:id="703093762">
      <w:bodyDiv w:val="1"/>
      <w:marLeft w:val="0"/>
      <w:marRight w:val="0"/>
      <w:marTop w:val="0"/>
      <w:marBottom w:val="0"/>
      <w:divBdr>
        <w:top w:val="none" w:sz="0" w:space="0" w:color="auto"/>
        <w:left w:val="none" w:sz="0" w:space="0" w:color="auto"/>
        <w:bottom w:val="none" w:sz="0" w:space="0" w:color="auto"/>
        <w:right w:val="none" w:sz="0" w:space="0" w:color="auto"/>
      </w:divBdr>
    </w:div>
    <w:div w:id="706880179">
      <w:bodyDiv w:val="1"/>
      <w:marLeft w:val="0"/>
      <w:marRight w:val="0"/>
      <w:marTop w:val="0"/>
      <w:marBottom w:val="0"/>
      <w:divBdr>
        <w:top w:val="none" w:sz="0" w:space="0" w:color="auto"/>
        <w:left w:val="none" w:sz="0" w:space="0" w:color="auto"/>
        <w:bottom w:val="none" w:sz="0" w:space="0" w:color="auto"/>
        <w:right w:val="none" w:sz="0" w:space="0" w:color="auto"/>
      </w:divBdr>
      <w:divsChild>
        <w:div w:id="272174681">
          <w:marLeft w:val="0"/>
          <w:marRight w:val="0"/>
          <w:marTop w:val="0"/>
          <w:marBottom w:val="0"/>
          <w:divBdr>
            <w:top w:val="none" w:sz="0" w:space="0" w:color="auto"/>
            <w:left w:val="none" w:sz="0" w:space="0" w:color="auto"/>
            <w:bottom w:val="none" w:sz="0" w:space="0" w:color="auto"/>
            <w:right w:val="none" w:sz="0" w:space="0" w:color="auto"/>
          </w:divBdr>
        </w:div>
        <w:div w:id="1708870521">
          <w:marLeft w:val="0"/>
          <w:marRight w:val="0"/>
          <w:marTop w:val="0"/>
          <w:marBottom w:val="0"/>
          <w:divBdr>
            <w:top w:val="none" w:sz="0" w:space="0" w:color="auto"/>
            <w:left w:val="none" w:sz="0" w:space="0" w:color="auto"/>
            <w:bottom w:val="none" w:sz="0" w:space="0" w:color="auto"/>
            <w:right w:val="none" w:sz="0" w:space="0" w:color="auto"/>
          </w:divBdr>
        </w:div>
        <w:div w:id="1850215890">
          <w:marLeft w:val="0"/>
          <w:marRight w:val="0"/>
          <w:marTop w:val="0"/>
          <w:marBottom w:val="0"/>
          <w:divBdr>
            <w:top w:val="none" w:sz="0" w:space="0" w:color="auto"/>
            <w:left w:val="none" w:sz="0" w:space="0" w:color="auto"/>
            <w:bottom w:val="none" w:sz="0" w:space="0" w:color="auto"/>
            <w:right w:val="none" w:sz="0" w:space="0" w:color="auto"/>
          </w:divBdr>
        </w:div>
      </w:divsChild>
    </w:div>
    <w:div w:id="710109045">
      <w:bodyDiv w:val="1"/>
      <w:marLeft w:val="0"/>
      <w:marRight w:val="0"/>
      <w:marTop w:val="0"/>
      <w:marBottom w:val="0"/>
      <w:divBdr>
        <w:top w:val="none" w:sz="0" w:space="0" w:color="auto"/>
        <w:left w:val="none" w:sz="0" w:space="0" w:color="auto"/>
        <w:bottom w:val="none" w:sz="0" w:space="0" w:color="auto"/>
        <w:right w:val="none" w:sz="0" w:space="0" w:color="auto"/>
      </w:divBdr>
    </w:div>
    <w:div w:id="713773687">
      <w:bodyDiv w:val="1"/>
      <w:marLeft w:val="0"/>
      <w:marRight w:val="0"/>
      <w:marTop w:val="0"/>
      <w:marBottom w:val="0"/>
      <w:divBdr>
        <w:top w:val="none" w:sz="0" w:space="0" w:color="auto"/>
        <w:left w:val="none" w:sz="0" w:space="0" w:color="auto"/>
        <w:bottom w:val="none" w:sz="0" w:space="0" w:color="auto"/>
        <w:right w:val="none" w:sz="0" w:space="0" w:color="auto"/>
      </w:divBdr>
    </w:div>
    <w:div w:id="718212584">
      <w:bodyDiv w:val="1"/>
      <w:marLeft w:val="0"/>
      <w:marRight w:val="0"/>
      <w:marTop w:val="0"/>
      <w:marBottom w:val="0"/>
      <w:divBdr>
        <w:top w:val="none" w:sz="0" w:space="0" w:color="auto"/>
        <w:left w:val="none" w:sz="0" w:space="0" w:color="auto"/>
        <w:bottom w:val="none" w:sz="0" w:space="0" w:color="auto"/>
        <w:right w:val="none" w:sz="0" w:space="0" w:color="auto"/>
      </w:divBdr>
      <w:divsChild>
        <w:div w:id="1521356128">
          <w:marLeft w:val="0"/>
          <w:marRight w:val="0"/>
          <w:marTop w:val="0"/>
          <w:marBottom w:val="0"/>
          <w:divBdr>
            <w:top w:val="none" w:sz="0" w:space="0" w:color="auto"/>
            <w:left w:val="none" w:sz="0" w:space="0" w:color="auto"/>
            <w:bottom w:val="none" w:sz="0" w:space="0" w:color="auto"/>
            <w:right w:val="none" w:sz="0" w:space="0" w:color="auto"/>
          </w:divBdr>
        </w:div>
        <w:div w:id="1910001045">
          <w:marLeft w:val="0"/>
          <w:marRight w:val="0"/>
          <w:marTop w:val="0"/>
          <w:marBottom w:val="0"/>
          <w:divBdr>
            <w:top w:val="none" w:sz="0" w:space="0" w:color="auto"/>
            <w:left w:val="none" w:sz="0" w:space="0" w:color="auto"/>
            <w:bottom w:val="none" w:sz="0" w:space="0" w:color="auto"/>
            <w:right w:val="none" w:sz="0" w:space="0" w:color="auto"/>
          </w:divBdr>
        </w:div>
        <w:div w:id="1974631291">
          <w:marLeft w:val="0"/>
          <w:marRight w:val="0"/>
          <w:marTop w:val="0"/>
          <w:marBottom w:val="0"/>
          <w:divBdr>
            <w:top w:val="none" w:sz="0" w:space="0" w:color="auto"/>
            <w:left w:val="none" w:sz="0" w:space="0" w:color="auto"/>
            <w:bottom w:val="none" w:sz="0" w:space="0" w:color="auto"/>
            <w:right w:val="none" w:sz="0" w:space="0" w:color="auto"/>
          </w:divBdr>
        </w:div>
      </w:divsChild>
    </w:div>
    <w:div w:id="719404651">
      <w:bodyDiv w:val="1"/>
      <w:marLeft w:val="0"/>
      <w:marRight w:val="0"/>
      <w:marTop w:val="0"/>
      <w:marBottom w:val="0"/>
      <w:divBdr>
        <w:top w:val="none" w:sz="0" w:space="0" w:color="auto"/>
        <w:left w:val="none" w:sz="0" w:space="0" w:color="auto"/>
        <w:bottom w:val="none" w:sz="0" w:space="0" w:color="auto"/>
        <w:right w:val="none" w:sz="0" w:space="0" w:color="auto"/>
      </w:divBdr>
      <w:divsChild>
        <w:div w:id="257910231">
          <w:marLeft w:val="0"/>
          <w:marRight w:val="0"/>
          <w:marTop w:val="0"/>
          <w:marBottom w:val="0"/>
          <w:divBdr>
            <w:top w:val="none" w:sz="0" w:space="0" w:color="auto"/>
            <w:left w:val="none" w:sz="0" w:space="0" w:color="auto"/>
            <w:bottom w:val="none" w:sz="0" w:space="0" w:color="auto"/>
            <w:right w:val="none" w:sz="0" w:space="0" w:color="auto"/>
          </w:divBdr>
        </w:div>
        <w:div w:id="426580481">
          <w:marLeft w:val="0"/>
          <w:marRight w:val="0"/>
          <w:marTop w:val="0"/>
          <w:marBottom w:val="0"/>
          <w:divBdr>
            <w:top w:val="none" w:sz="0" w:space="0" w:color="auto"/>
            <w:left w:val="none" w:sz="0" w:space="0" w:color="auto"/>
            <w:bottom w:val="none" w:sz="0" w:space="0" w:color="auto"/>
            <w:right w:val="none" w:sz="0" w:space="0" w:color="auto"/>
          </w:divBdr>
        </w:div>
        <w:div w:id="1579514594">
          <w:marLeft w:val="0"/>
          <w:marRight w:val="0"/>
          <w:marTop w:val="0"/>
          <w:marBottom w:val="0"/>
          <w:divBdr>
            <w:top w:val="none" w:sz="0" w:space="0" w:color="auto"/>
            <w:left w:val="none" w:sz="0" w:space="0" w:color="auto"/>
            <w:bottom w:val="none" w:sz="0" w:space="0" w:color="auto"/>
            <w:right w:val="none" w:sz="0" w:space="0" w:color="auto"/>
          </w:divBdr>
        </w:div>
        <w:div w:id="1851750415">
          <w:marLeft w:val="0"/>
          <w:marRight w:val="0"/>
          <w:marTop w:val="0"/>
          <w:marBottom w:val="0"/>
          <w:divBdr>
            <w:top w:val="none" w:sz="0" w:space="0" w:color="auto"/>
            <w:left w:val="none" w:sz="0" w:space="0" w:color="auto"/>
            <w:bottom w:val="none" w:sz="0" w:space="0" w:color="auto"/>
            <w:right w:val="none" w:sz="0" w:space="0" w:color="auto"/>
          </w:divBdr>
        </w:div>
      </w:divsChild>
    </w:div>
    <w:div w:id="721754970">
      <w:bodyDiv w:val="1"/>
      <w:marLeft w:val="0"/>
      <w:marRight w:val="0"/>
      <w:marTop w:val="0"/>
      <w:marBottom w:val="0"/>
      <w:divBdr>
        <w:top w:val="none" w:sz="0" w:space="0" w:color="auto"/>
        <w:left w:val="none" w:sz="0" w:space="0" w:color="auto"/>
        <w:bottom w:val="none" w:sz="0" w:space="0" w:color="auto"/>
        <w:right w:val="none" w:sz="0" w:space="0" w:color="auto"/>
      </w:divBdr>
    </w:div>
    <w:div w:id="722750769">
      <w:bodyDiv w:val="1"/>
      <w:marLeft w:val="0"/>
      <w:marRight w:val="0"/>
      <w:marTop w:val="0"/>
      <w:marBottom w:val="0"/>
      <w:divBdr>
        <w:top w:val="none" w:sz="0" w:space="0" w:color="auto"/>
        <w:left w:val="none" w:sz="0" w:space="0" w:color="auto"/>
        <w:bottom w:val="none" w:sz="0" w:space="0" w:color="auto"/>
        <w:right w:val="none" w:sz="0" w:space="0" w:color="auto"/>
      </w:divBdr>
    </w:div>
    <w:div w:id="723220110">
      <w:bodyDiv w:val="1"/>
      <w:marLeft w:val="0"/>
      <w:marRight w:val="0"/>
      <w:marTop w:val="0"/>
      <w:marBottom w:val="0"/>
      <w:divBdr>
        <w:top w:val="none" w:sz="0" w:space="0" w:color="auto"/>
        <w:left w:val="none" w:sz="0" w:space="0" w:color="auto"/>
        <w:bottom w:val="none" w:sz="0" w:space="0" w:color="auto"/>
        <w:right w:val="none" w:sz="0" w:space="0" w:color="auto"/>
      </w:divBdr>
      <w:divsChild>
        <w:div w:id="1200316167">
          <w:marLeft w:val="0"/>
          <w:marRight w:val="0"/>
          <w:marTop w:val="0"/>
          <w:marBottom w:val="0"/>
          <w:divBdr>
            <w:top w:val="none" w:sz="0" w:space="0" w:color="auto"/>
            <w:left w:val="none" w:sz="0" w:space="0" w:color="auto"/>
            <w:bottom w:val="none" w:sz="0" w:space="0" w:color="auto"/>
            <w:right w:val="none" w:sz="0" w:space="0" w:color="auto"/>
          </w:divBdr>
          <w:divsChild>
            <w:div w:id="1739548864">
              <w:marLeft w:val="0"/>
              <w:marRight w:val="0"/>
              <w:marTop w:val="0"/>
              <w:marBottom w:val="0"/>
              <w:divBdr>
                <w:top w:val="none" w:sz="0" w:space="0" w:color="auto"/>
                <w:left w:val="none" w:sz="0" w:space="0" w:color="auto"/>
                <w:bottom w:val="none" w:sz="0" w:space="0" w:color="auto"/>
                <w:right w:val="none" w:sz="0" w:space="0" w:color="auto"/>
              </w:divBdr>
            </w:div>
            <w:div w:id="2010214013">
              <w:marLeft w:val="0"/>
              <w:marRight w:val="0"/>
              <w:marTop w:val="0"/>
              <w:marBottom w:val="0"/>
              <w:divBdr>
                <w:top w:val="none" w:sz="0" w:space="0" w:color="auto"/>
                <w:left w:val="none" w:sz="0" w:space="0" w:color="auto"/>
                <w:bottom w:val="none" w:sz="0" w:space="0" w:color="auto"/>
                <w:right w:val="none" w:sz="0" w:space="0" w:color="auto"/>
              </w:divBdr>
            </w:div>
          </w:divsChild>
        </w:div>
        <w:div w:id="1853103382">
          <w:marLeft w:val="0"/>
          <w:marRight w:val="0"/>
          <w:marTop w:val="0"/>
          <w:marBottom w:val="0"/>
          <w:divBdr>
            <w:top w:val="none" w:sz="0" w:space="0" w:color="auto"/>
            <w:left w:val="none" w:sz="0" w:space="0" w:color="auto"/>
            <w:bottom w:val="none" w:sz="0" w:space="0" w:color="auto"/>
            <w:right w:val="none" w:sz="0" w:space="0" w:color="auto"/>
          </w:divBdr>
          <w:divsChild>
            <w:div w:id="268976118">
              <w:marLeft w:val="0"/>
              <w:marRight w:val="0"/>
              <w:marTop w:val="0"/>
              <w:marBottom w:val="0"/>
              <w:divBdr>
                <w:top w:val="none" w:sz="0" w:space="0" w:color="auto"/>
                <w:left w:val="none" w:sz="0" w:space="0" w:color="auto"/>
                <w:bottom w:val="none" w:sz="0" w:space="0" w:color="auto"/>
                <w:right w:val="none" w:sz="0" w:space="0" w:color="auto"/>
              </w:divBdr>
              <w:divsChild>
                <w:div w:id="665978706">
                  <w:marLeft w:val="0"/>
                  <w:marRight w:val="0"/>
                  <w:marTop w:val="0"/>
                  <w:marBottom w:val="0"/>
                  <w:divBdr>
                    <w:top w:val="none" w:sz="0" w:space="0" w:color="auto"/>
                    <w:left w:val="none" w:sz="0" w:space="0" w:color="auto"/>
                    <w:bottom w:val="none" w:sz="0" w:space="0" w:color="auto"/>
                    <w:right w:val="none" w:sz="0" w:space="0" w:color="auto"/>
                  </w:divBdr>
                </w:div>
                <w:div w:id="1805200591">
                  <w:marLeft w:val="0"/>
                  <w:marRight w:val="0"/>
                  <w:marTop w:val="0"/>
                  <w:marBottom w:val="0"/>
                  <w:divBdr>
                    <w:top w:val="none" w:sz="0" w:space="0" w:color="auto"/>
                    <w:left w:val="none" w:sz="0" w:space="0" w:color="auto"/>
                    <w:bottom w:val="none" w:sz="0" w:space="0" w:color="auto"/>
                    <w:right w:val="none" w:sz="0" w:space="0" w:color="auto"/>
                  </w:divBdr>
                </w:div>
              </w:divsChild>
            </w:div>
            <w:div w:id="530341015">
              <w:marLeft w:val="0"/>
              <w:marRight w:val="0"/>
              <w:marTop w:val="0"/>
              <w:marBottom w:val="0"/>
              <w:divBdr>
                <w:top w:val="none" w:sz="0" w:space="0" w:color="auto"/>
                <w:left w:val="none" w:sz="0" w:space="0" w:color="auto"/>
                <w:bottom w:val="none" w:sz="0" w:space="0" w:color="auto"/>
                <w:right w:val="none" w:sz="0" w:space="0" w:color="auto"/>
              </w:divBdr>
              <w:divsChild>
                <w:div w:id="441344066">
                  <w:marLeft w:val="0"/>
                  <w:marRight w:val="0"/>
                  <w:marTop w:val="0"/>
                  <w:marBottom w:val="0"/>
                  <w:divBdr>
                    <w:top w:val="none" w:sz="0" w:space="0" w:color="auto"/>
                    <w:left w:val="none" w:sz="0" w:space="0" w:color="auto"/>
                    <w:bottom w:val="none" w:sz="0" w:space="0" w:color="auto"/>
                    <w:right w:val="none" w:sz="0" w:space="0" w:color="auto"/>
                  </w:divBdr>
                </w:div>
                <w:div w:id="1509906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3678907">
      <w:bodyDiv w:val="1"/>
      <w:marLeft w:val="0"/>
      <w:marRight w:val="0"/>
      <w:marTop w:val="0"/>
      <w:marBottom w:val="0"/>
      <w:divBdr>
        <w:top w:val="none" w:sz="0" w:space="0" w:color="auto"/>
        <w:left w:val="none" w:sz="0" w:space="0" w:color="auto"/>
        <w:bottom w:val="none" w:sz="0" w:space="0" w:color="auto"/>
        <w:right w:val="none" w:sz="0" w:space="0" w:color="auto"/>
      </w:divBdr>
      <w:divsChild>
        <w:div w:id="419831588">
          <w:marLeft w:val="0"/>
          <w:marRight w:val="0"/>
          <w:marTop w:val="0"/>
          <w:marBottom w:val="0"/>
          <w:divBdr>
            <w:top w:val="none" w:sz="0" w:space="0" w:color="auto"/>
            <w:left w:val="none" w:sz="0" w:space="0" w:color="auto"/>
            <w:bottom w:val="none" w:sz="0" w:space="0" w:color="auto"/>
            <w:right w:val="none" w:sz="0" w:space="0" w:color="auto"/>
          </w:divBdr>
        </w:div>
        <w:div w:id="621961630">
          <w:marLeft w:val="0"/>
          <w:marRight w:val="0"/>
          <w:marTop w:val="0"/>
          <w:marBottom w:val="0"/>
          <w:divBdr>
            <w:top w:val="none" w:sz="0" w:space="0" w:color="auto"/>
            <w:left w:val="none" w:sz="0" w:space="0" w:color="auto"/>
            <w:bottom w:val="none" w:sz="0" w:space="0" w:color="auto"/>
            <w:right w:val="none" w:sz="0" w:space="0" w:color="auto"/>
          </w:divBdr>
        </w:div>
      </w:divsChild>
    </w:div>
    <w:div w:id="723800016">
      <w:bodyDiv w:val="1"/>
      <w:marLeft w:val="0"/>
      <w:marRight w:val="0"/>
      <w:marTop w:val="0"/>
      <w:marBottom w:val="0"/>
      <w:divBdr>
        <w:top w:val="none" w:sz="0" w:space="0" w:color="auto"/>
        <w:left w:val="none" w:sz="0" w:space="0" w:color="auto"/>
        <w:bottom w:val="none" w:sz="0" w:space="0" w:color="auto"/>
        <w:right w:val="none" w:sz="0" w:space="0" w:color="auto"/>
      </w:divBdr>
    </w:div>
    <w:div w:id="723914168">
      <w:bodyDiv w:val="1"/>
      <w:marLeft w:val="0"/>
      <w:marRight w:val="0"/>
      <w:marTop w:val="0"/>
      <w:marBottom w:val="0"/>
      <w:divBdr>
        <w:top w:val="none" w:sz="0" w:space="0" w:color="auto"/>
        <w:left w:val="none" w:sz="0" w:space="0" w:color="auto"/>
        <w:bottom w:val="none" w:sz="0" w:space="0" w:color="auto"/>
        <w:right w:val="none" w:sz="0" w:space="0" w:color="auto"/>
      </w:divBdr>
      <w:divsChild>
        <w:div w:id="624191987">
          <w:marLeft w:val="0"/>
          <w:marRight w:val="0"/>
          <w:marTop w:val="0"/>
          <w:marBottom w:val="0"/>
          <w:divBdr>
            <w:top w:val="none" w:sz="0" w:space="0" w:color="auto"/>
            <w:left w:val="none" w:sz="0" w:space="0" w:color="auto"/>
            <w:bottom w:val="none" w:sz="0" w:space="0" w:color="auto"/>
            <w:right w:val="none" w:sz="0" w:space="0" w:color="auto"/>
          </w:divBdr>
        </w:div>
        <w:div w:id="1010135769">
          <w:marLeft w:val="0"/>
          <w:marRight w:val="0"/>
          <w:marTop w:val="0"/>
          <w:marBottom w:val="0"/>
          <w:divBdr>
            <w:top w:val="none" w:sz="0" w:space="0" w:color="auto"/>
            <w:left w:val="none" w:sz="0" w:space="0" w:color="auto"/>
            <w:bottom w:val="none" w:sz="0" w:space="0" w:color="auto"/>
            <w:right w:val="none" w:sz="0" w:space="0" w:color="auto"/>
          </w:divBdr>
        </w:div>
      </w:divsChild>
    </w:div>
    <w:div w:id="723991718">
      <w:bodyDiv w:val="1"/>
      <w:marLeft w:val="0"/>
      <w:marRight w:val="0"/>
      <w:marTop w:val="0"/>
      <w:marBottom w:val="0"/>
      <w:divBdr>
        <w:top w:val="none" w:sz="0" w:space="0" w:color="auto"/>
        <w:left w:val="none" w:sz="0" w:space="0" w:color="auto"/>
        <w:bottom w:val="none" w:sz="0" w:space="0" w:color="auto"/>
        <w:right w:val="none" w:sz="0" w:space="0" w:color="auto"/>
      </w:divBdr>
    </w:div>
    <w:div w:id="724521584">
      <w:bodyDiv w:val="1"/>
      <w:marLeft w:val="0"/>
      <w:marRight w:val="0"/>
      <w:marTop w:val="0"/>
      <w:marBottom w:val="0"/>
      <w:divBdr>
        <w:top w:val="none" w:sz="0" w:space="0" w:color="auto"/>
        <w:left w:val="none" w:sz="0" w:space="0" w:color="auto"/>
        <w:bottom w:val="none" w:sz="0" w:space="0" w:color="auto"/>
        <w:right w:val="none" w:sz="0" w:space="0" w:color="auto"/>
      </w:divBdr>
      <w:divsChild>
        <w:div w:id="1072658787">
          <w:marLeft w:val="0"/>
          <w:marRight w:val="0"/>
          <w:marTop w:val="0"/>
          <w:marBottom w:val="0"/>
          <w:divBdr>
            <w:top w:val="none" w:sz="0" w:space="0" w:color="auto"/>
            <w:left w:val="none" w:sz="0" w:space="0" w:color="auto"/>
            <w:bottom w:val="none" w:sz="0" w:space="0" w:color="auto"/>
            <w:right w:val="none" w:sz="0" w:space="0" w:color="auto"/>
          </w:divBdr>
        </w:div>
        <w:div w:id="1884245397">
          <w:marLeft w:val="0"/>
          <w:marRight w:val="0"/>
          <w:marTop w:val="0"/>
          <w:marBottom w:val="0"/>
          <w:divBdr>
            <w:top w:val="none" w:sz="0" w:space="0" w:color="auto"/>
            <w:left w:val="none" w:sz="0" w:space="0" w:color="auto"/>
            <w:bottom w:val="none" w:sz="0" w:space="0" w:color="auto"/>
            <w:right w:val="none" w:sz="0" w:space="0" w:color="auto"/>
          </w:divBdr>
        </w:div>
        <w:div w:id="1920748103">
          <w:marLeft w:val="0"/>
          <w:marRight w:val="0"/>
          <w:marTop w:val="0"/>
          <w:marBottom w:val="0"/>
          <w:divBdr>
            <w:top w:val="none" w:sz="0" w:space="0" w:color="auto"/>
            <w:left w:val="none" w:sz="0" w:space="0" w:color="auto"/>
            <w:bottom w:val="none" w:sz="0" w:space="0" w:color="auto"/>
            <w:right w:val="none" w:sz="0" w:space="0" w:color="auto"/>
          </w:divBdr>
        </w:div>
      </w:divsChild>
    </w:div>
    <w:div w:id="724909470">
      <w:bodyDiv w:val="1"/>
      <w:marLeft w:val="0"/>
      <w:marRight w:val="0"/>
      <w:marTop w:val="0"/>
      <w:marBottom w:val="0"/>
      <w:divBdr>
        <w:top w:val="none" w:sz="0" w:space="0" w:color="auto"/>
        <w:left w:val="none" w:sz="0" w:space="0" w:color="auto"/>
        <w:bottom w:val="none" w:sz="0" w:space="0" w:color="auto"/>
        <w:right w:val="none" w:sz="0" w:space="0" w:color="auto"/>
      </w:divBdr>
    </w:div>
    <w:div w:id="726103086">
      <w:bodyDiv w:val="1"/>
      <w:marLeft w:val="0"/>
      <w:marRight w:val="0"/>
      <w:marTop w:val="0"/>
      <w:marBottom w:val="0"/>
      <w:divBdr>
        <w:top w:val="none" w:sz="0" w:space="0" w:color="auto"/>
        <w:left w:val="none" w:sz="0" w:space="0" w:color="auto"/>
        <w:bottom w:val="none" w:sz="0" w:space="0" w:color="auto"/>
        <w:right w:val="none" w:sz="0" w:space="0" w:color="auto"/>
      </w:divBdr>
    </w:div>
    <w:div w:id="726227564">
      <w:bodyDiv w:val="1"/>
      <w:marLeft w:val="0"/>
      <w:marRight w:val="0"/>
      <w:marTop w:val="0"/>
      <w:marBottom w:val="0"/>
      <w:divBdr>
        <w:top w:val="none" w:sz="0" w:space="0" w:color="auto"/>
        <w:left w:val="none" w:sz="0" w:space="0" w:color="auto"/>
        <w:bottom w:val="none" w:sz="0" w:space="0" w:color="auto"/>
        <w:right w:val="none" w:sz="0" w:space="0" w:color="auto"/>
      </w:divBdr>
    </w:div>
    <w:div w:id="726954993">
      <w:bodyDiv w:val="1"/>
      <w:marLeft w:val="0"/>
      <w:marRight w:val="0"/>
      <w:marTop w:val="0"/>
      <w:marBottom w:val="0"/>
      <w:divBdr>
        <w:top w:val="none" w:sz="0" w:space="0" w:color="auto"/>
        <w:left w:val="none" w:sz="0" w:space="0" w:color="auto"/>
        <w:bottom w:val="none" w:sz="0" w:space="0" w:color="auto"/>
        <w:right w:val="none" w:sz="0" w:space="0" w:color="auto"/>
      </w:divBdr>
    </w:div>
    <w:div w:id="733040858">
      <w:bodyDiv w:val="1"/>
      <w:marLeft w:val="0"/>
      <w:marRight w:val="0"/>
      <w:marTop w:val="0"/>
      <w:marBottom w:val="0"/>
      <w:divBdr>
        <w:top w:val="none" w:sz="0" w:space="0" w:color="auto"/>
        <w:left w:val="none" w:sz="0" w:space="0" w:color="auto"/>
        <w:bottom w:val="none" w:sz="0" w:space="0" w:color="auto"/>
        <w:right w:val="none" w:sz="0" w:space="0" w:color="auto"/>
      </w:divBdr>
      <w:divsChild>
        <w:div w:id="218976106">
          <w:marLeft w:val="0"/>
          <w:marRight w:val="0"/>
          <w:marTop w:val="0"/>
          <w:marBottom w:val="0"/>
          <w:divBdr>
            <w:top w:val="none" w:sz="0" w:space="0" w:color="auto"/>
            <w:left w:val="none" w:sz="0" w:space="0" w:color="auto"/>
            <w:bottom w:val="none" w:sz="0" w:space="0" w:color="auto"/>
            <w:right w:val="none" w:sz="0" w:space="0" w:color="auto"/>
          </w:divBdr>
          <w:divsChild>
            <w:div w:id="1241283399">
              <w:marLeft w:val="0"/>
              <w:marRight w:val="0"/>
              <w:marTop w:val="0"/>
              <w:marBottom w:val="0"/>
              <w:divBdr>
                <w:top w:val="none" w:sz="0" w:space="0" w:color="auto"/>
                <w:left w:val="none" w:sz="0" w:space="0" w:color="auto"/>
                <w:bottom w:val="none" w:sz="0" w:space="0" w:color="auto"/>
                <w:right w:val="none" w:sz="0" w:space="0" w:color="auto"/>
              </w:divBdr>
              <w:divsChild>
                <w:div w:id="2008054798">
                  <w:marLeft w:val="0"/>
                  <w:marRight w:val="0"/>
                  <w:marTop w:val="0"/>
                  <w:marBottom w:val="0"/>
                  <w:divBdr>
                    <w:top w:val="none" w:sz="0" w:space="0" w:color="auto"/>
                    <w:left w:val="none" w:sz="0" w:space="0" w:color="auto"/>
                    <w:bottom w:val="none" w:sz="0" w:space="0" w:color="auto"/>
                    <w:right w:val="none" w:sz="0" w:space="0" w:color="auto"/>
                  </w:divBdr>
                  <w:divsChild>
                    <w:div w:id="1883783015">
                      <w:marLeft w:val="0"/>
                      <w:marRight w:val="0"/>
                      <w:marTop w:val="0"/>
                      <w:marBottom w:val="0"/>
                      <w:divBdr>
                        <w:top w:val="none" w:sz="0" w:space="0" w:color="auto"/>
                        <w:left w:val="none" w:sz="0" w:space="0" w:color="auto"/>
                        <w:bottom w:val="none" w:sz="0" w:space="0" w:color="auto"/>
                        <w:right w:val="none" w:sz="0" w:space="0" w:color="auto"/>
                      </w:divBdr>
                      <w:divsChild>
                        <w:div w:id="1393624147">
                          <w:marLeft w:val="0"/>
                          <w:marRight w:val="0"/>
                          <w:marTop w:val="0"/>
                          <w:marBottom w:val="0"/>
                          <w:divBdr>
                            <w:top w:val="none" w:sz="0" w:space="0" w:color="auto"/>
                            <w:left w:val="none" w:sz="0" w:space="0" w:color="auto"/>
                            <w:bottom w:val="none" w:sz="0" w:space="0" w:color="auto"/>
                            <w:right w:val="none" w:sz="0" w:space="0" w:color="auto"/>
                          </w:divBdr>
                          <w:divsChild>
                            <w:div w:id="572008112">
                              <w:marLeft w:val="0"/>
                              <w:marRight w:val="0"/>
                              <w:marTop w:val="0"/>
                              <w:marBottom w:val="0"/>
                              <w:divBdr>
                                <w:top w:val="none" w:sz="0" w:space="0" w:color="auto"/>
                                <w:left w:val="none" w:sz="0" w:space="0" w:color="auto"/>
                                <w:bottom w:val="none" w:sz="0" w:space="0" w:color="auto"/>
                                <w:right w:val="none" w:sz="0" w:space="0" w:color="auto"/>
                              </w:divBdr>
                              <w:divsChild>
                                <w:div w:id="1230652168">
                                  <w:marLeft w:val="0"/>
                                  <w:marRight w:val="0"/>
                                  <w:marTop w:val="0"/>
                                  <w:marBottom w:val="0"/>
                                  <w:divBdr>
                                    <w:top w:val="none" w:sz="0" w:space="0" w:color="auto"/>
                                    <w:left w:val="none" w:sz="0" w:space="0" w:color="auto"/>
                                    <w:bottom w:val="none" w:sz="0" w:space="0" w:color="auto"/>
                                    <w:right w:val="none" w:sz="0" w:space="0" w:color="auto"/>
                                  </w:divBdr>
                                </w:div>
                                <w:div w:id="1650475447">
                                  <w:marLeft w:val="0"/>
                                  <w:marRight w:val="0"/>
                                  <w:marTop w:val="0"/>
                                  <w:marBottom w:val="0"/>
                                  <w:divBdr>
                                    <w:top w:val="none" w:sz="0" w:space="0" w:color="auto"/>
                                    <w:left w:val="none" w:sz="0" w:space="0" w:color="auto"/>
                                    <w:bottom w:val="none" w:sz="0" w:space="0" w:color="auto"/>
                                    <w:right w:val="none" w:sz="0" w:space="0" w:color="auto"/>
                                  </w:divBdr>
                                  <w:divsChild>
                                    <w:div w:id="343434296">
                                      <w:marLeft w:val="0"/>
                                      <w:marRight w:val="0"/>
                                      <w:marTop w:val="0"/>
                                      <w:marBottom w:val="0"/>
                                      <w:divBdr>
                                        <w:top w:val="none" w:sz="0" w:space="0" w:color="auto"/>
                                        <w:left w:val="none" w:sz="0" w:space="0" w:color="auto"/>
                                        <w:bottom w:val="none" w:sz="0" w:space="0" w:color="auto"/>
                                        <w:right w:val="none" w:sz="0" w:space="0" w:color="auto"/>
                                      </w:divBdr>
                                    </w:div>
                                    <w:div w:id="14688165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968659584">
          <w:marLeft w:val="0"/>
          <w:marRight w:val="0"/>
          <w:marTop w:val="0"/>
          <w:marBottom w:val="0"/>
          <w:divBdr>
            <w:top w:val="none" w:sz="0" w:space="0" w:color="auto"/>
            <w:left w:val="none" w:sz="0" w:space="0" w:color="auto"/>
            <w:bottom w:val="none" w:sz="0" w:space="0" w:color="auto"/>
            <w:right w:val="none" w:sz="0" w:space="0" w:color="auto"/>
          </w:divBdr>
          <w:divsChild>
            <w:div w:id="1101031848">
              <w:marLeft w:val="0"/>
              <w:marRight w:val="0"/>
              <w:marTop w:val="0"/>
              <w:marBottom w:val="0"/>
              <w:divBdr>
                <w:top w:val="none" w:sz="0" w:space="0" w:color="auto"/>
                <w:left w:val="none" w:sz="0" w:space="0" w:color="auto"/>
                <w:bottom w:val="none" w:sz="0" w:space="0" w:color="auto"/>
                <w:right w:val="none" w:sz="0" w:space="0" w:color="auto"/>
              </w:divBdr>
              <w:divsChild>
                <w:div w:id="2081521227">
                  <w:marLeft w:val="0"/>
                  <w:marRight w:val="0"/>
                  <w:marTop w:val="0"/>
                  <w:marBottom w:val="0"/>
                  <w:divBdr>
                    <w:top w:val="none" w:sz="0" w:space="0" w:color="auto"/>
                    <w:left w:val="none" w:sz="0" w:space="0" w:color="auto"/>
                    <w:bottom w:val="none" w:sz="0" w:space="0" w:color="auto"/>
                    <w:right w:val="none" w:sz="0" w:space="0" w:color="auto"/>
                  </w:divBdr>
                  <w:divsChild>
                    <w:div w:id="1639070654">
                      <w:marLeft w:val="0"/>
                      <w:marRight w:val="0"/>
                      <w:marTop w:val="0"/>
                      <w:marBottom w:val="0"/>
                      <w:divBdr>
                        <w:top w:val="none" w:sz="0" w:space="0" w:color="auto"/>
                        <w:left w:val="none" w:sz="0" w:space="0" w:color="auto"/>
                        <w:bottom w:val="none" w:sz="0" w:space="0" w:color="auto"/>
                        <w:right w:val="none" w:sz="0" w:space="0" w:color="auto"/>
                      </w:divBdr>
                    </w:div>
                    <w:div w:id="2079939563">
                      <w:marLeft w:val="0"/>
                      <w:marRight w:val="0"/>
                      <w:marTop w:val="0"/>
                      <w:marBottom w:val="0"/>
                      <w:divBdr>
                        <w:top w:val="none" w:sz="0" w:space="0" w:color="auto"/>
                        <w:left w:val="none" w:sz="0" w:space="0" w:color="auto"/>
                        <w:bottom w:val="none" w:sz="0" w:space="0" w:color="auto"/>
                        <w:right w:val="none" w:sz="0" w:space="0" w:color="auto"/>
                      </w:divBdr>
                      <w:divsChild>
                        <w:div w:id="2122144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34548305">
      <w:bodyDiv w:val="1"/>
      <w:marLeft w:val="0"/>
      <w:marRight w:val="0"/>
      <w:marTop w:val="0"/>
      <w:marBottom w:val="0"/>
      <w:divBdr>
        <w:top w:val="none" w:sz="0" w:space="0" w:color="auto"/>
        <w:left w:val="none" w:sz="0" w:space="0" w:color="auto"/>
        <w:bottom w:val="none" w:sz="0" w:space="0" w:color="auto"/>
        <w:right w:val="none" w:sz="0" w:space="0" w:color="auto"/>
      </w:divBdr>
    </w:div>
    <w:div w:id="737749799">
      <w:bodyDiv w:val="1"/>
      <w:marLeft w:val="0"/>
      <w:marRight w:val="0"/>
      <w:marTop w:val="0"/>
      <w:marBottom w:val="0"/>
      <w:divBdr>
        <w:top w:val="none" w:sz="0" w:space="0" w:color="auto"/>
        <w:left w:val="none" w:sz="0" w:space="0" w:color="auto"/>
        <w:bottom w:val="none" w:sz="0" w:space="0" w:color="auto"/>
        <w:right w:val="none" w:sz="0" w:space="0" w:color="auto"/>
      </w:divBdr>
    </w:div>
    <w:div w:id="747655489">
      <w:bodyDiv w:val="1"/>
      <w:marLeft w:val="0"/>
      <w:marRight w:val="0"/>
      <w:marTop w:val="0"/>
      <w:marBottom w:val="0"/>
      <w:divBdr>
        <w:top w:val="none" w:sz="0" w:space="0" w:color="auto"/>
        <w:left w:val="none" w:sz="0" w:space="0" w:color="auto"/>
        <w:bottom w:val="none" w:sz="0" w:space="0" w:color="auto"/>
        <w:right w:val="none" w:sz="0" w:space="0" w:color="auto"/>
      </w:divBdr>
      <w:divsChild>
        <w:div w:id="29035659">
          <w:marLeft w:val="0"/>
          <w:marRight w:val="0"/>
          <w:marTop w:val="0"/>
          <w:marBottom w:val="0"/>
          <w:divBdr>
            <w:top w:val="none" w:sz="0" w:space="0" w:color="auto"/>
            <w:left w:val="none" w:sz="0" w:space="0" w:color="auto"/>
            <w:bottom w:val="none" w:sz="0" w:space="0" w:color="auto"/>
            <w:right w:val="none" w:sz="0" w:space="0" w:color="auto"/>
          </w:divBdr>
        </w:div>
        <w:div w:id="1070420632">
          <w:marLeft w:val="0"/>
          <w:marRight w:val="0"/>
          <w:marTop w:val="0"/>
          <w:marBottom w:val="0"/>
          <w:divBdr>
            <w:top w:val="none" w:sz="0" w:space="0" w:color="auto"/>
            <w:left w:val="none" w:sz="0" w:space="0" w:color="auto"/>
            <w:bottom w:val="none" w:sz="0" w:space="0" w:color="auto"/>
            <w:right w:val="none" w:sz="0" w:space="0" w:color="auto"/>
          </w:divBdr>
        </w:div>
      </w:divsChild>
    </w:div>
    <w:div w:id="756633868">
      <w:bodyDiv w:val="1"/>
      <w:marLeft w:val="0"/>
      <w:marRight w:val="0"/>
      <w:marTop w:val="0"/>
      <w:marBottom w:val="0"/>
      <w:divBdr>
        <w:top w:val="none" w:sz="0" w:space="0" w:color="auto"/>
        <w:left w:val="none" w:sz="0" w:space="0" w:color="auto"/>
        <w:bottom w:val="none" w:sz="0" w:space="0" w:color="auto"/>
        <w:right w:val="none" w:sz="0" w:space="0" w:color="auto"/>
      </w:divBdr>
    </w:div>
    <w:div w:id="758453200">
      <w:bodyDiv w:val="1"/>
      <w:marLeft w:val="0"/>
      <w:marRight w:val="0"/>
      <w:marTop w:val="0"/>
      <w:marBottom w:val="0"/>
      <w:divBdr>
        <w:top w:val="none" w:sz="0" w:space="0" w:color="auto"/>
        <w:left w:val="none" w:sz="0" w:space="0" w:color="auto"/>
        <w:bottom w:val="none" w:sz="0" w:space="0" w:color="auto"/>
        <w:right w:val="none" w:sz="0" w:space="0" w:color="auto"/>
      </w:divBdr>
      <w:divsChild>
        <w:div w:id="689380006">
          <w:marLeft w:val="0"/>
          <w:marRight w:val="0"/>
          <w:marTop w:val="0"/>
          <w:marBottom w:val="0"/>
          <w:divBdr>
            <w:top w:val="none" w:sz="0" w:space="0" w:color="auto"/>
            <w:left w:val="none" w:sz="0" w:space="0" w:color="auto"/>
            <w:bottom w:val="none" w:sz="0" w:space="0" w:color="auto"/>
            <w:right w:val="none" w:sz="0" w:space="0" w:color="auto"/>
          </w:divBdr>
        </w:div>
        <w:div w:id="1510372011">
          <w:marLeft w:val="0"/>
          <w:marRight w:val="0"/>
          <w:marTop w:val="0"/>
          <w:marBottom w:val="0"/>
          <w:divBdr>
            <w:top w:val="none" w:sz="0" w:space="0" w:color="auto"/>
            <w:left w:val="none" w:sz="0" w:space="0" w:color="auto"/>
            <w:bottom w:val="none" w:sz="0" w:space="0" w:color="auto"/>
            <w:right w:val="none" w:sz="0" w:space="0" w:color="auto"/>
          </w:divBdr>
        </w:div>
      </w:divsChild>
    </w:div>
    <w:div w:id="765226741">
      <w:bodyDiv w:val="1"/>
      <w:marLeft w:val="0"/>
      <w:marRight w:val="0"/>
      <w:marTop w:val="0"/>
      <w:marBottom w:val="0"/>
      <w:divBdr>
        <w:top w:val="none" w:sz="0" w:space="0" w:color="auto"/>
        <w:left w:val="none" w:sz="0" w:space="0" w:color="auto"/>
        <w:bottom w:val="none" w:sz="0" w:space="0" w:color="auto"/>
        <w:right w:val="none" w:sz="0" w:space="0" w:color="auto"/>
      </w:divBdr>
    </w:div>
    <w:div w:id="766465941">
      <w:bodyDiv w:val="1"/>
      <w:marLeft w:val="0"/>
      <w:marRight w:val="0"/>
      <w:marTop w:val="0"/>
      <w:marBottom w:val="0"/>
      <w:divBdr>
        <w:top w:val="none" w:sz="0" w:space="0" w:color="auto"/>
        <w:left w:val="none" w:sz="0" w:space="0" w:color="auto"/>
        <w:bottom w:val="none" w:sz="0" w:space="0" w:color="auto"/>
        <w:right w:val="none" w:sz="0" w:space="0" w:color="auto"/>
      </w:divBdr>
    </w:div>
    <w:div w:id="766929774">
      <w:bodyDiv w:val="1"/>
      <w:marLeft w:val="0"/>
      <w:marRight w:val="0"/>
      <w:marTop w:val="0"/>
      <w:marBottom w:val="0"/>
      <w:divBdr>
        <w:top w:val="none" w:sz="0" w:space="0" w:color="auto"/>
        <w:left w:val="none" w:sz="0" w:space="0" w:color="auto"/>
        <w:bottom w:val="none" w:sz="0" w:space="0" w:color="auto"/>
        <w:right w:val="none" w:sz="0" w:space="0" w:color="auto"/>
      </w:divBdr>
    </w:div>
    <w:div w:id="767888832">
      <w:bodyDiv w:val="1"/>
      <w:marLeft w:val="0"/>
      <w:marRight w:val="0"/>
      <w:marTop w:val="0"/>
      <w:marBottom w:val="0"/>
      <w:divBdr>
        <w:top w:val="none" w:sz="0" w:space="0" w:color="auto"/>
        <w:left w:val="none" w:sz="0" w:space="0" w:color="auto"/>
        <w:bottom w:val="none" w:sz="0" w:space="0" w:color="auto"/>
        <w:right w:val="none" w:sz="0" w:space="0" w:color="auto"/>
      </w:divBdr>
    </w:div>
    <w:div w:id="771709971">
      <w:bodyDiv w:val="1"/>
      <w:marLeft w:val="0"/>
      <w:marRight w:val="0"/>
      <w:marTop w:val="0"/>
      <w:marBottom w:val="0"/>
      <w:divBdr>
        <w:top w:val="none" w:sz="0" w:space="0" w:color="auto"/>
        <w:left w:val="none" w:sz="0" w:space="0" w:color="auto"/>
        <w:bottom w:val="none" w:sz="0" w:space="0" w:color="auto"/>
        <w:right w:val="none" w:sz="0" w:space="0" w:color="auto"/>
      </w:divBdr>
      <w:divsChild>
        <w:div w:id="766075799">
          <w:marLeft w:val="0"/>
          <w:marRight w:val="0"/>
          <w:marTop w:val="0"/>
          <w:marBottom w:val="0"/>
          <w:divBdr>
            <w:top w:val="none" w:sz="0" w:space="0" w:color="auto"/>
            <w:left w:val="none" w:sz="0" w:space="0" w:color="auto"/>
            <w:bottom w:val="none" w:sz="0" w:space="0" w:color="auto"/>
            <w:right w:val="none" w:sz="0" w:space="0" w:color="auto"/>
          </w:divBdr>
        </w:div>
        <w:div w:id="1174688441">
          <w:marLeft w:val="0"/>
          <w:marRight w:val="0"/>
          <w:marTop w:val="0"/>
          <w:marBottom w:val="0"/>
          <w:divBdr>
            <w:top w:val="none" w:sz="0" w:space="0" w:color="auto"/>
            <w:left w:val="none" w:sz="0" w:space="0" w:color="auto"/>
            <w:bottom w:val="none" w:sz="0" w:space="0" w:color="auto"/>
            <w:right w:val="none" w:sz="0" w:space="0" w:color="auto"/>
          </w:divBdr>
        </w:div>
      </w:divsChild>
    </w:div>
    <w:div w:id="774787220">
      <w:bodyDiv w:val="1"/>
      <w:marLeft w:val="0"/>
      <w:marRight w:val="0"/>
      <w:marTop w:val="0"/>
      <w:marBottom w:val="0"/>
      <w:divBdr>
        <w:top w:val="none" w:sz="0" w:space="0" w:color="auto"/>
        <w:left w:val="none" w:sz="0" w:space="0" w:color="auto"/>
        <w:bottom w:val="none" w:sz="0" w:space="0" w:color="auto"/>
        <w:right w:val="none" w:sz="0" w:space="0" w:color="auto"/>
      </w:divBdr>
    </w:div>
    <w:div w:id="779182951">
      <w:bodyDiv w:val="1"/>
      <w:marLeft w:val="0"/>
      <w:marRight w:val="0"/>
      <w:marTop w:val="0"/>
      <w:marBottom w:val="0"/>
      <w:divBdr>
        <w:top w:val="none" w:sz="0" w:space="0" w:color="auto"/>
        <w:left w:val="none" w:sz="0" w:space="0" w:color="auto"/>
        <w:bottom w:val="none" w:sz="0" w:space="0" w:color="auto"/>
        <w:right w:val="none" w:sz="0" w:space="0" w:color="auto"/>
      </w:divBdr>
      <w:divsChild>
        <w:div w:id="367340792">
          <w:marLeft w:val="0"/>
          <w:marRight w:val="0"/>
          <w:marTop w:val="0"/>
          <w:marBottom w:val="0"/>
          <w:divBdr>
            <w:top w:val="none" w:sz="0" w:space="0" w:color="auto"/>
            <w:left w:val="none" w:sz="0" w:space="0" w:color="auto"/>
            <w:bottom w:val="none" w:sz="0" w:space="0" w:color="auto"/>
            <w:right w:val="none" w:sz="0" w:space="0" w:color="auto"/>
          </w:divBdr>
        </w:div>
        <w:div w:id="1710102557">
          <w:marLeft w:val="0"/>
          <w:marRight w:val="0"/>
          <w:marTop w:val="0"/>
          <w:marBottom w:val="0"/>
          <w:divBdr>
            <w:top w:val="none" w:sz="0" w:space="0" w:color="auto"/>
            <w:left w:val="none" w:sz="0" w:space="0" w:color="auto"/>
            <w:bottom w:val="none" w:sz="0" w:space="0" w:color="auto"/>
            <w:right w:val="none" w:sz="0" w:space="0" w:color="auto"/>
          </w:divBdr>
        </w:div>
      </w:divsChild>
    </w:div>
    <w:div w:id="780149516">
      <w:bodyDiv w:val="1"/>
      <w:marLeft w:val="0"/>
      <w:marRight w:val="0"/>
      <w:marTop w:val="0"/>
      <w:marBottom w:val="0"/>
      <w:divBdr>
        <w:top w:val="none" w:sz="0" w:space="0" w:color="auto"/>
        <w:left w:val="none" w:sz="0" w:space="0" w:color="auto"/>
        <w:bottom w:val="none" w:sz="0" w:space="0" w:color="auto"/>
        <w:right w:val="none" w:sz="0" w:space="0" w:color="auto"/>
      </w:divBdr>
    </w:div>
    <w:div w:id="783113601">
      <w:bodyDiv w:val="1"/>
      <w:marLeft w:val="0"/>
      <w:marRight w:val="0"/>
      <w:marTop w:val="0"/>
      <w:marBottom w:val="0"/>
      <w:divBdr>
        <w:top w:val="none" w:sz="0" w:space="0" w:color="auto"/>
        <w:left w:val="none" w:sz="0" w:space="0" w:color="auto"/>
        <w:bottom w:val="none" w:sz="0" w:space="0" w:color="auto"/>
        <w:right w:val="none" w:sz="0" w:space="0" w:color="auto"/>
      </w:divBdr>
      <w:divsChild>
        <w:div w:id="629554092">
          <w:marLeft w:val="0"/>
          <w:marRight w:val="0"/>
          <w:marTop w:val="0"/>
          <w:marBottom w:val="0"/>
          <w:divBdr>
            <w:top w:val="none" w:sz="0" w:space="0" w:color="auto"/>
            <w:left w:val="none" w:sz="0" w:space="0" w:color="auto"/>
            <w:bottom w:val="none" w:sz="0" w:space="0" w:color="auto"/>
            <w:right w:val="none" w:sz="0" w:space="0" w:color="auto"/>
          </w:divBdr>
        </w:div>
        <w:div w:id="1447385092">
          <w:marLeft w:val="0"/>
          <w:marRight w:val="0"/>
          <w:marTop w:val="0"/>
          <w:marBottom w:val="0"/>
          <w:divBdr>
            <w:top w:val="none" w:sz="0" w:space="0" w:color="auto"/>
            <w:left w:val="none" w:sz="0" w:space="0" w:color="auto"/>
            <w:bottom w:val="none" w:sz="0" w:space="0" w:color="auto"/>
            <w:right w:val="none" w:sz="0" w:space="0" w:color="auto"/>
          </w:divBdr>
        </w:div>
      </w:divsChild>
    </w:div>
    <w:div w:id="784155021">
      <w:bodyDiv w:val="1"/>
      <w:marLeft w:val="0"/>
      <w:marRight w:val="0"/>
      <w:marTop w:val="0"/>
      <w:marBottom w:val="0"/>
      <w:divBdr>
        <w:top w:val="none" w:sz="0" w:space="0" w:color="auto"/>
        <w:left w:val="none" w:sz="0" w:space="0" w:color="auto"/>
        <w:bottom w:val="none" w:sz="0" w:space="0" w:color="auto"/>
        <w:right w:val="none" w:sz="0" w:space="0" w:color="auto"/>
      </w:divBdr>
    </w:div>
    <w:div w:id="786001629">
      <w:bodyDiv w:val="1"/>
      <w:marLeft w:val="0"/>
      <w:marRight w:val="0"/>
      <w:marTop w:val="0"/>
      <w:marBottom w:val="0"/>
      <w:divBdr>
        <w:top w:val="none" w:sz="0" w:space="0" w:color="auto"/>
        <w:left w:val="none" w:sz="0" w:space="0" w:color="auto"/>
        <w:bottom w:val="none" w:sz="0" w:space="0" w:color="auto"/>
        <w:right w:val="none" w:sz="0" w:space="0" w:color="auto"/>
      </w:divBdr>
      <w:divsChild>
        <w:div w:id="1585601060">
          <w:marLeft w:val="0"/>
          <w:marRight w:val="0"/>
          <w:marTop w:val="0"/>
          <w:marBottom w:val="0"/>
          <w:divBdr>
            <w:top w:val="none" w:sz="0" w:space="0" w:color="auto"/>
            <w:left w:val="none" w:sz="0" w:space="0" w:color="auto"/>
            <w:bottom w:val="none" w:sz="0" w:space="0" w:color="auto"/>
            <w:right w:val="none" w:sz="0" w:space="0" w:color="auto"/>
          </w:divBdr>
          <w:divsChild>
            <w:div w:id="1605726332">
              <w:marLeft w:val="0"/>
              <w:marRight w:val="0"/>
              <w:marTop w:val="0"/>
              <w:marBottom w:val="0"/>
              <w:divBdr>
                <w:top w:val="none" w:sz="0" w:space="0" w:color="auto"/>
                <w:left w:val="none" w:sz="0" w:space="0" w:color="auto"/>
                <w:bottom w:val="none" w:sz="0" w:space="0" w:color="auto"/>
                <w:right w:val="none" w:sz="0" w:space="0" w:color="auto"/>
              </w:divBdr>
            </w:div>
            <w:div w:id="18553396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9206230">
      <w:bodyDiv w:val="1"/>
      <w:marLeft w:val="0"/>
      <w:marRight w:val="0"/>
      <w:marTop w:val="0"/>
      <w:marBottom w:val="0"/>
      <w:divBdr>
        <w:top w:val="none" w:sz="0" w:space="0" w:color="auto"/>
        <w:left w:val="none" w:sz="0" w:space="0" w:color="auto"/>
        <w:bottom w:val="none" w:sz="0" w:space="0" w:color="auto"/>
        <w:right w:val="none" w:sz="0" w:space="0" w:color="auto"/>
      </w:divBdr>
      <w:divsChild>
        <w:div w:id="379013510">
          <w:marLeft w:val="0"/>
          <w:marRight w:val="0"/>
          <w:marTop w:val="0"/>
          <w:marBottom w:val="0"/>
          <w:divBdr>
            <w:top w:val="none" w:sz="0" w:space="0" w:color="auto"/>
            <w:left w:val="none" w:sz="0" w:space="0" w:color="auto"/>
            <w:bottom w:val="none" w:sz="0" w:space="0" w:color="auto"/>
            <w:right w:val="none" w:sz="0" w:space="0" w:color="auto"/>
          </w:divBdr>
        </w:div>
        <w:div w:id="1582988733">
          <w:marLeft w:val="0"/>
          <w:marRight w:val="0"/>
          <w:marTop w:val="0"/>
          <w:marBottom w:val="0"/>
          <w:divBdr>
            <w:top w:val="none" w:sz="0" w:space="0" w:color="auto"/>
            <w:left w:val="none" w:sz="0" w:space="0" w:color="auto"/>
            <w:bottom w:val="none" w:sz="0" w:space="0" w:color="auto"/>
            <w:right w:val="none" w:sz="0" w:space="0" w:color="auto"/>
          </w:divBdr>
        </w:div>
        <w:div w:id="1900937250">
          <w:marLeft w:val="0"/>
          <w:marRight w:val="0"/>
          <w:marTop w:val="0"/>
          <w:marBottom w:val="0"/>
          <w:divBdr>
            <w:top w:val="none" w:sz="0" w:space="0" w:color="auto"/>
            <w:left w:val="none" w:sz="0" w:space="0" w:color="auto"/>
            <w:bottom w:val="none" w:sz="0" w:space="0" w:color="auto"/>
            <w:right w:val="none" w:sz="0" w:space="0" w:color="auto"/>
          </w:divBdr>
        </w:div>
      </w:divsChild>
    </w:div>
    <w:div w:id="791558408">
      <w:bodyDiv w:val="1"/>
      <w:marLeft w:val="0"/>
      <w:marRight w:val="0"/>
      <w:marTop w:val="0"/>
      <w:marBottom w:val="0"/>
      <w:divBdr>
        <w:top w:val="none" w:sz="0" w:space="0" w:color="auto"/>
        <w:left w:val="none" w:sz="0" w:space="0" w:color="auto"/>
        <w:bottom w:val="none" w:sz="0" w:space="0" w:color="auto"/>
        <w:right w:val="none" w:sz="0" w:space="0" w:color="auto"/>
      </w:divBdr>
    </w:div>
    <w:div w:id="794831717">
      <w:bodyDiv w:val="1"/>
      <w:marLeft w:val="0"/>
      <w:marRight w:val="0"/>
      <w:marTop w:val="0"/>
      <w:marBottom w:val="0"/>
      <w:divBdr>
        <w:top w:val="none" w:sz="0" w:space="0" w:color="auto"/>
        <w:left w:val="none" w:sz="0" w:space="0" w:color="auto"/>
        <w:bottom w:val="none" w:sz="0" w:space="0" w:color="auto"/>
        <w:right w:val="none" w:sz="0" w:space="0" w:color="auto"/>
      </w:divBdr>
      <w:divsChild>
        <w:div w:id="197207704">
          <w:marLeft w:val="0"/>
          <w:marRight w:val="0"/>
          <w:marTop w:val="0"/>
          <w:marBottom w:val="0"/>
          <w:divBdr>
            <w:top w:val="none" w:sz="0" w:space="0" w:color="auto"/>
            <w:left w:val="none" w:sz="0" w:space="0" w:color="auto"/>
            <w:bottom w:val="none" w:sz="0" w:space="0" w:color="auto"/>
            <w:right w:val="none" w:sz="0" w:space="0" w:color="auto"/>
          </w:divBdr>
        </w:div>
        <w:div w:id="1451827349">
          <w:marLeft w:val="0"/>
          <w:marRight w:val="0"/>
          <w:marTop w:val="0"/>
          <w:marBottom w:val="0"/>
          <w:divBdr>
            <w:top w:val="none" w:sz="0" w:space="0" w:color="auto"/>
            <w:left w:val="none" w:sz="0" w:space="0" w:color="auto"/>
            <w:bottom w:val="none" w:sz="0" w:space="0" w:color="auto"/>
            <w:right w:val="none" w:sz="0" w:space="0" w:color="auto"/>
          </w:divBdr>
        </w:div>
      </w:divsChild>
    </w:div>
    <w:div w:id="798107453">
      <w:bodyDiv w:val="1"/>
      <w:marLeft w:val="0"/>
      <w:marRight w:val="0"/>
      <w:marTop w:val="0"/>
      <w:marBottom w:val="0"/>
      <w:divBdr>
        <w:top w:val="none" w:sz="0" w:space="0" w:color="auto"/>
        <w:left w:val="none" w:sz="0" w:space="0" w:color="auto"/>
        <w:bottom w:val="none" w:sz="0" w:space="0" w:color="auto"/>
        <w:right w:val="none" w:sz="0" w:space="0" w:color="auto"/>
      </w:divBdr>
    </w:div>
    <w:div w:id="798382824">
      <w:bodyDiv w:val="1"/>
      <w:marLeft w:val="0"/>
      <w:marRight w:val="0"/>
      <w:marTop w:val="0"/>
      <w:marBottom w:val="0"/>
      <w:divBdr>
        <w:top w:val="none" w:sz="0" w:space="0" w:color="auto"/>
        <w:left w:val="none" w:sz="0" w:space="0" w:color="auto"/>
        <w:bottom w:val="none" w:sz="0" w:space="0" w:color="auto"/>
        <w:right w:val="none" w:sz="0" w:space="0" w:color="auto"/>
      </w:divBdr>
    </w:div>
    <w:div w:id="798689143">
      <w:bodyDiv w:val="1"/>
      <w:marLeft w:val="0"/>
      <w:marRight w:val="0"/>
      <w:marTop w:val="0"/>
      <w:marBottom w:val="0"/>
      <w:divBdr>
        <w:top w:val="none" w:sz="0" w:space="0" w:color="auto"/>
        <w:left w:val="none" w:sz="0" w:space="0" w:color="auto"/>
        <w:bottom w:val="none" w:sz="0" w:space="0" w:color="auto"/>
        <w:right w:val="none" w:sz="0" w:space="0" w:color="auto"/>
      </w:divBdr>
    </w:div>
    <w:div w:id="801046790">
      <w:bodyDiv w:val="1"/>
      <w:marLeft w:val="0"/>
      <w:marRight w:val="0"/>
      <w:marTop w:val="0"/>
      <w:marBottom w:val="0"/>
      <w:divBdr>
        <w:top w:val="none" w:sz="0" w:space="0" w:color="auto"/>
        <w:left w:val="none" w:sz="0" w:space="0" w:color="auto"/>
        <w:bottom w:val="none" w:sz="0" w:space="0" w:color="auto"/>
        <w:right w:val="none" w:sz="0" w:space="0" w:color="auto"/>
      </w:divBdr>
      <w:divsChild>
        <w:div w:id="669521984">
          <w:marLeft w:val="0"/>
          <w:marRight w:val="0"/>
          <w:marTop w:val="0"/>
          <w:marBottom w:val="0"/>
          <w:divBdr>
            <w:top w:val="none" w:sz="0" w:space="0" w:color="auto"/>
            <w:left w:val="none" w:sz="0" w:space="0" w:color="auto"/>
            <w:bottom w:val="none" w:sz="0" w:space="0" w:color="auto"/>
            <w:right w:val="none" w:sz="0" w:space="0" w:color="auto"/>
          </w:divBdr>
        </w:div>
        <w:div w:id="979844245">
          <w:marLeft w:val="0"/>
          <w:marRight w:val="0"/>
          <w:marTop w:val="0"/>
          <w:marBottom w:val="0"/>
          <w:divBdr>
            <w:top w:val="none" w:sz="0" w:space="0" w:color="auto"/>
            <w:left w:val="none" w:sz="0" w:space="0" w:color="auto"/>
            <w:bottom w:val="none" w:sz="0" w:space="0" w:color="auto"/>
            <w:right w:val="none" w:sz="0" w:space="0" w:color="auto"/>
          </w:divBdr>
        </w:div>
        <w:div w:id="1382245611">
          <w:marLeft w:val="0"/>
          <w:marRight w:val="0"/>
          <w:marTop w:val="0"/>
          <w:marBottom w:val="0"/>
          <w:divBdr>
            <w:top w:val="none" w:sz="0" w:space="0" w:color="auto"/>
            <w:left w:val="none" w:sz="0" w:space="0" w:color="auto"/>
            <w:bottom w:val="none" w:sz="0" w:space="0" w:color="auto"/>
            <w:right w:val="none" w:sz="0" w:space="0" w:color="auto"/>
          </w:divBdr>
        </w:div>
      </w:divsChild>
    </w:div>
    <w:div w:id="809178327">
      <w:bodyDiv w:val="1"/>
      <w:marLeft w:val="0"/>
      <w:marRight w:val="0"/>
      <w:marTop w:val="0"/>
      <w:marBottom w:val="0"/>
      <w:divBdr>
        <w:top w:val="none" w:sz="0" w:space="0" w:color="auto"/>
        <w:left w:val="none" w:sz="0" w:space="0" w:color="auto"/>
        <w:bottom w:val="none" w:sz="0" w:space="0" w:color="auto"/>
        <w:right w:val="none" w:sz="0" w:space="0" w:color="auto"/>
      </w:divBdr>
    </w:div>
    <w:div w:id="809787125">
      <w:bodyDiv w:val="1"/>
      <w:marLeft w:val="0"/>
      <w:marRight w:val="0"/>
      <w:marTop w:val="0"/>
      <w:marBottom w:val="0"/>
      <w:divBdr>
        <w:top w:val="none" w:sz="0" w:space="0" w:color="auto"/>
        <w:left w:val="none" w:sz="0" w:space="0" w:color="auto"/>
        <w:bottom w:val="none" w:sz="0" w:space="0" w:color="auto"/>
        <w:right w:val="none" w:sz="0" w:space="0" w:color="auto"/>
      </w:divBdr>
    </w:div>
    <w:div w:id="812867289">
      <w:bodyDiv w:val="1"/>
      <w:marLeft w:val="0"/>
      <w:marRight w:val="0"/>
      <w:marTop w:val="0"/>
      <w:marBottom w:val="0"/>
      <w:divBdr>
        <w:top w:val="none" w:sz="0" w:space="0" w:color="auto"/>
        <w:left w:val="none" w:sz="0" w:space="0" w:color="auto"/>
        <w:bottom w:val="none" w:sz="0" w:space="0" w:color="auto"/>
        <w:right w:val="none" w:sz="0" w:space="0" w:color="auto"/>
      </w:divBdr>
    </w:div>
    <w:div w:id="818962985">
      <w:bodyDiv w:val="1"/>
      <w:marLeft w:val="0"/>
      <w:marRight w:val="0"/>
      <w:marTop w:val="0"/>
      <w:marBottom w:val="0"/>
      <w:divBdr>
        <w:top w:val="none" w:sz="0" w:space="0" w:color="auto"/>
        <w:left w:val="none" w:sz="0" w:space="0" w:color="auto"/>
        <w:bottom w:val="none" w:sz="0" w:space="0" w:color="auto"/>
        <w:right w:val="none" w:sz="0" w:space="0" w:color="auto"/>
      </w:divBdr>
    </w:div>
    <w:div w:id="819690932">
      <w:bodyDiv w:val="1"/>
      <w:marLeft w:val="0"/>
      <w:marRight w:val="0"/>
      <w:marTop w:val="0"/>
      <w:marBottom w:val="0"/>
      <w:divBdr>
        <w:top w:val="none" w:sz="0" w:space="0" w:color="auto"/>
        <w:left w:val="none" w:sz="0" w:space="0" w:color="auto"/>
        <w:bottom w:val="none" w:sz="0" w:space="0" w:color="auto"/>
        <w:right w:val="none" w:sz="0" w:space="0" w:color="auto"/>
      </w:divBdr>
    </w:div>
    <w:div w:id="823591632">
      <w:bodyDiv w:val="1"/>
      <w:marLeft w:val="0"/>
      <w:marRight w:val="0"/>
      <w:marTop w:val="0"/>
      <w:marBottom w:val="0"/>
      <w:divBdr>
        <w:top w:val="none" w:sz="0" w:space="0" w:color="auto"/>
        <w:left w:val="none" w:sz="0" w:space="0" w:color="auto"/>
        <w:bottom w:val="none" w:sz="0" w:space="0" w:color="auto"/>
        <w:right w:val="none" w:sz="0" w:space="0" w:color="auto"/>
      </w:divBdr>
    </w:div>
    <w:div w:id="824513590">
      <w:bodyDiv w:val="1"/>
      <w:marLeft w:val="0"/>
      <w:marRight w:val="0"/>
      <w:marTop w:val="0"/>
      <w:marBottom w:val="0"/>
      <w:divBdr>
        <w:top w:val="none" w:sz="0" w:space="0" w:color="auto"/>
        <w:left w:val="none" w:sz="0" w:space="0" w:color="auto"/>
        <w:bottom w:val="none" w:sz="0" w:space="0" w:color="auto"/>
        <w:right w:val="none" w:sz="0" w:space="0" w:color="auto"/>
      </w:divBdr>
    </w:div>
    <w:div w:id="824976325">
      <w:bodyDiv w:val="1"/>
      <w:marLeft w:val="0"/>
      <w:marRight w:val="0"/>
      <w:marTop w:val="0"/>
      <w:marBottom w:val="0"/>
      <w:divBdr>
        <w:top w:val="none" w:sz="0" w:space="0" w:color="auto"/>
        <w:left w:val="none" w:sz="0" w:space="0" w:color="auto"/>
        <w:bottom w:val="none" w:sz="0" w:space="0" w:color="auto"/>
        <w:right w:val="none" w:sz="0" w:space="0" w:color="auto"/>
      </w:divBdr>
    </w:div>
    <w:div w:id="825630072">
      <w:bodyDiv w:val="1"/>
      <w:marLeft w:val="0"/>
      <w:marRight w:val="0"/>
      <w:marTop w:val="0"/>
      <w:marBottom w:val="0"/>
      <w:divBdr>
        <w:top w:val="none" w:sz="0" w:space="0" w:color="auto"/>
        <w:left w:val="none" w:sz="0" w:space="0" w:color="auto"/>
        <w:bottom w:val="none" w:sz="0" w:space="0" w:color="auto"/>
        <w:right w:val="none" w:sz="0" w:space="0" w:color="auto"/>
      </w:divBdr>
      <w:divsChild>
        <w:div w:id="207762127">
          <w:marLeft w:val="0"/>
          <w:marRight w:val="0"/>
          <w:marTop w:val="0"/>
          <w:marBottom w:val="0"/>
          <w:divBdr>
            <w:top w:val="none" w:sz="0" w:space="0" w:color="auto"/>
            <w:left w:val="none" w:sz="0" w:space="0" w:color="auto"/>
            <w:bottom w:val="none" w:sz="0" w:space="0" w:color="auto"/>
            <w:right w:val="none" w:sz="0" w:space="0" w:color="auto"/>
          </w:divBdr>
        </w:div>
        <w:div w:id="1164706534">
          <w:marLeft w:val="0"/>
          <w:marRight w:val="0"/>
          <w:marTop w:val="0"/>
          <w:marBottom w:val="0"/>
          <w:divBdr>
            <w:top w:val="none" w:sz="0" w:space="0" w:color="auto"/>
            <w:left w:val="none" w:sz="0" w:space="0" w:color="auto"/>
            <w:bottom w:val="none" w:sz="0" w:space="0" w:color="auto"/>
            <w:right w:val="none" w:sz="0" w:space="0" w:color="auto"/>
          </w:divBdr>
        </w:div>
      </w:divsChild>
    </w:div>
    <w:div w:id="827598073">
      <w:bodyDiv w:val="1"/>
      <w:marLeft w:val="0"/>
      <w:marRight w:val="0"/>
      <w:marTop w:val="0"/>
      <w:marBottom w:val="0"/>
      <w:divBdr>
        <w:top w:val="none" w:sz="0" w:space="0" w:color="auto"/>
        <w:left w:val="none" w:sz="0" w:space="0" w:color="auto"/>
        <w:bottom w:val="none" w:sz="0" w:space="0" w:color="auto"/>
        <w:right w:val="none" w:sz="0" w:space="0" w:color="auto"/>
      </w:divBdr>
    </w:div>
    <w:div w:id="828133878">
      <w:bodyDiv w:val="1"/>
      <w:marLeft w:val="0"/>
      <w:marRight w:val="0"/>
      <w:marTop w:val="0"/>
      <w:marBottom w:val="0"/>
      <w:divBdr>
        <w:top w:val="none" w:sz="0" w:space="0" w:color="auto"/>
        <w:left w:val="none" w:sz="0" w:space="0" w:color="auto"/>
        <w:bottom w:val="none" w:sz="0" w:space="0" w:color="auto"/>
        <w:right w:val="none" w:sz="0" w:space="0" w:color="auto"/>
      </w:divBdr>
    </w:div>
    <w:div w:id="828835276">
      <w:bodyDiv w:val="1"/>
      <w:marLeft w:val="0"/>
      <w:marRight w:val="0"/>
      <w:marTop w:val="0"/>
      <w:marBottom w:val="0"/>
      <w:divBdr>
        <w:top w:val="none" w:sz="0" w:space="0" w:color="auto"/>
        <w:left w:val="none" w:sz="0" w:space="0" w:color="auto"/>
        <w:bottom w:val="none" w:sz="0" w:space="0" w:color="auto"/>
        <w:right w:val="none" w:sz="0" w:space="0" w:color="auto"/>
      </w:divBdr>
    </w:div>
    <w:div w:id="828862474">
      <w:bodyDiv w:val="1"/>
      <w:marLeft w:val="0"/>
      <w:marRight w:val="0"/>
      <w:marTop w:val="0"/>
      <w:marBottom w:val="0"/>
      <w:divBdr>
        <w:top w:val="none" w:sz="0" w:space="0" w:color="auto"/>
        <w:left w:val="none" w:sz="0" w:space="0" w:color="auto"/>
        <w:bottom w:val="none" w:sz="0" w:space="0" w:color="auto"/>
        <w:right w:val="none" w:sz="0" w:space="0" w:color="auto"/>
      </w:divBdr>
    </w:div>
    <w:div w:id="832573738">
      <w:bodyDiv w:val="1"/>
      <w:marLeft w:val="0"/>
      <w:marRight w:val="0"/>
      <w:marTop w:val="0"/>
      <w:marBottom w:val="0"/>
      <w:divBdr>
        <w:top w:val="none" w:sz="0" w:space="0" w:color="auto"/>
        <w:left w:val="none" w:sz="0" w:space="0" w:color="auto"/>
        <w:bottom w:val="none" w:sz="0" w:space="0" w:color="auto"/>
        <w:right w:val="none" w:sz="0" w:space="0" w:color="auto"/>
      </w:divBdr>
      <w:divsChild>
        <w:div w:id="1426682973">
          <w:marLeft w:val="0"/>
          <w:marRight w:val="0"/>
          <w:marTop w:val="0"/>
          <w:marBottom w:val="0"/>
          <w:divBdr>
            <w:top w:val="none" w:sz="0" w:space="0" w:color="auto"/>
            <w:left w:val="none" w:sz="0" w:space="0" w:color="auto"/>
            <w:bottom w:val="none" w:sz="0" w:space="0" w:color="auto"/>
            <w:right w:val="none" w:sz="0" w:space="0" w:color="auto"/>
          </w:divBdr>
        </w:div>
      </w:divsChild>
    </w:div>
    <w:div w:id="837233984">
      <w:bodyDiv w:val="1"/>
      <w:marLeft w:val="0"/>
      <w:marRight w:val="0"/>
      <w:marTop w:val="0"/>
      <w:marBottom w:val="0"/>
      <w:divBdr>
        <w:top w:val="none" w:sz="0" w:space="0" w:color="auto"/>
        <w:left w:val="none" w:sz="0" w:space="0" w:color="auto"/>
        <w:bottom w:val="none" w:sz="0" w:space="0" w:color="auto"/>
        <w:right w:val="none" w:sz="0" w:space="0" w:color="auto"/>
      </w:divBdr>
      <w:divsChild>
        <w:div w:id="554894174">
          <w:marLeft w:val="0"/>
          <w:marRight w:val="0"/>
          <w:marTop w:val="0"/>
          <w:marBottom w:val="0"/>
          <w:divBdr>
            <w:top w:val="none" w:sz="0" w:space="0" w:color="auto"/>
            <w:left w:val="none" w:sz="0" w:space="0" w:color="auto"/>
            <w:bottom w:val="none" w:sz="0" w:space="0" w:color="auto"/>
            <w:right w:val="none" w:sz="0" w:space="0" w:color="auto"/>
          </w:divBdr>
        </w:div>
        <w:div w:id="1258169574">
          <w:marLeft w:val="0"/>
          <w:marRight w:val="0"/>
          <w:marTop w:val="0"/>
          <w:marBottom w:val="0"/>
          <w:divBdr>
            <w:top w:val="none" w:sz="0" w:space="0" w:color="auto"/>
            <w:left w:val="none" w:sz="0" w:space="0" w:color="auto"/>
            <w:bottom w:val="none" w:sz="0" w:space="0" w:color="auto"/>
            <w:right w:val="none" w:sz="0" w:space="0" w:color="auto"/>
          </w:divBdr>
        </w:div>
      </w:divsChild>
    </w:div>
    <w:div w:id="837774533">
      <w:bodyDiv w:val="1"/>
      <w:marLeft w:val="0"/>
      <w:marRight w:val="0"/>
      <w:marTop w:val="0"/>
      <w:marBottom w:val="0"/>
      <w:divBdr>
        <w:top w:val="none" w:sz="0" w:space="0" w:color="auto"/>
        <w:left w:val="none" w:sz="0" w:space="0" w:color="auto"/>
        <w:bottom w:val="none" w:sz="0" w:space="0" w:color="auto"/>
        <w:right w:val="none" w:sz="0" w:space="0" w:color="auto"/>
      </w:divBdr>
    </w:div>
    <w:div w:id="839933658">
      <w:bodyDiv w:val="1"/>
      <w:marLeft w:val="0"/>
      <w:marRight w:val="0"/>
      <w:marTop w:val="0"/>
      <w:marBottom w:val="0"/>
      <w:divBdr>
        <w:top w:val="none" w:sz="0" w:space="0" w:color="auto"/>
        <w:left w:val="none" w:sz="0" w:space="0" w:color="auto"/>
        <w:bottom w:val="none" w:sz="0" w:space="0" w:color="auto"/>
        <w:right w:val="none" w:sz="0" w:space="0" w:color="auto"/>
      </w:divBdr>
    </w:div>
    <w:div w:id="844050392">
      <w:bodyDiv w:val="1"/>
      <w:marLeft w:val="0"/>
      <w:marRight w:val="0"/>
      <w:marTop w:val="0"/>
      <w:marBottom w:val="0"/>
      <w:divBdr>
        <w:top w:val="none" w:sz="0" w:space="0" w:color="auto"/>
        <w:left w:val="none" w:sz="0" w:space="0" w:color="auto"/>
        <w:bottom w:val="none" w:sz="0" w:space="0" w:color="auto"/>
        <w:right w:val="none" w:sz="0" w:space="0" w:color="auto"/>
      </w:divBdr>
    </w:div>
    <w:div w:id="848763359">
      <w:bodyDiv w:val="1"/>
      <w:marLeft w:val="0"/>
      <w:marRight w:val="0"/>
      <w:marTop w:val="0"/>
      <w:marBottom w:val="0"/>
      <w:divBdr>
        <w:top w:val="none" w:sz="0" w:space="0" w:color="auto"/>
        <w:left w:val="none" w:sz="0" w:space="0" w:color="auto"/>
        <w:bottom w:val="none" w:sz="0" w:space="0" w:color="auto"/>
        <w:right w:val="none" w:sz="0" w:space="0" w:color="auto"/>
      </w:divBdr>
      <w:divsChild>
        <w:div w:id="178467584">
          <w:marLeft w:val="0"/>
          <w:marRight w:val="0"/>
          <w:marTop w:val="0"/>
          <w:marBottom w:val="0"/>
          <w:divBdr>
            <w:top w:val="none" w:sz="0" w:space="0" w:color="auto"/>
            <w:left w:val="none" w:sz="0" w:space="0" w:color="auto"/>
            <w:bottom w:val="none" w:sz="0" w:space="0" w:color="auto"/>
            <w:right w:val="none" w:sz="0" w:space="0" w:color="auto"/>
          </w:divBdr>
        </w:div>
        <w:div w:id="438331337">
          <w:marLeft w:val="0"/>
          <w:marRight w:val="0"/>
          <w:marTop w:val="0"/>
          <w:marBottom w:val="0"/>
          <w:divBdr>
            <w:top w:val="none" w:sz="0" w:space="0" w:color="auto"/>
            <w:left w:val="none" w:sz="0" w:space="0" w:color="auto"/>
            <w:bottom w:val="none" w:sz="0" w:space="0" w:color="auto"/>
            <w:right w:val="none" w:sz="0" w:space="0" w:color="auto"/>
          </w:divBdr>
        </w:div>
      </w:divsChild>
    </w:div>
    <w:div w:id="851143245">
      <w:bodyDiv w:val="1"/>
      <w:marLeft w:val="0"/>
      <w:marRight w:val="0"/>
      <w:marTop w:val="0"/>
      <w:marBottom w:val="0"/>
      <w:divBdr>
        <w:top w:val="none" w:sz="0" w:space="0" w:color="auto"/>
        <w:left w:val="none" w:sz="0" w:space="0" w:color="auto"/>
        <w:bottom w:val="none" w:sz="0" w:space="0" w:color="auto"/>
        <w:right w:val="none" w:sz="0" w:space="0" w:color="auto"/>
      </w:divBdr>
    </w:div>
    <w:div w:id="858549336">
      <w:bodyDiv w:val="1"/>
      <w:marLeft w:val="0"/>
      <w:marRight w:val="0"/>
      <w:marTop w:val="0"/>
      <w:marBottom w:val="0"/>
      <w:divBdr>
        <w:top w:val="none" w:sz="0" w:space="0" w:color="auto"/>
        <w:left w:val="none" w:sz="0" w:space="0" w:color="auto"/>
        <w:bottom w:val="none" w:sz="0" w:space="0" w:color="auto"/>
        <w:right w:val="none" w:sz="0" w:space="0" w:color="auto"/>
      </w:divBdr>
      <w:divsChild>
        <w:div w:id="1755853515">
          <w:marLeft w:val="0"/>
          <w:marRight w:val="0"/>
          <w:marTop w:val="0"/>
          <w:marBottom w:val="0"/>
          <w:divBdr>
            <w:top w:val="none" w:sz="0" w:space="0" w:color="auto"/>
            <w:left w:val="none" w:sz="0" w:space="0" w:color="auto"/>
            <w:bottom w:val="none" w:sz="0" w:space="0" w:color="auto"/>
            <w:right w:val="none" w:sz="0" w:space="0" w:color="auto"/>
          </w:divBdr>
        </w:div>
        <w:div w:id="1796437386">
          <w:marLeft w:val="0"/>
          <w:marRight w:val="0"/>
          <w:marTop w:val="0"/>
          <w:marBottom w:val="0"/>
          <w:divBdr>
            <w:top w:val="none" w:sz="0" w:space="0" w:color="auto"/>
            <w:left w:val="none" w:sz="0" w:space="0" w:color="auto"/>
            <w:bottom w:val="none" w:sz="0" w:space="0" w:color="auto"/>
            <w:right w:val="none" w:sz="0" w:space="0" w:color="auto"/>
          </w:divBdr>
        </w:div>
      </w:divsChild>
    </w:div>
    <w:div w:id="858853099">
      <w:bodyDiv w:val="1"/>
      <w:marLeft w:val="0"/>
      <w:marRight w:val="0"/>
      <w:marTop w:val="0"/>
      <w:marBottom w:val="0"/>
      <w:divBdr>
        <w:top w:val="none" w:sz="0" w:space="0" w:color="auto"/>
        <w:left w:val="none" w:sz="0" w:space="0" w:color="auto"/>
        <w:bottom w:val="none" w:sz="0" w:space="0" w:color="auto"/>
        <w:right w:val="none" w:sz="0" w:space="0" w:color="auto"/>
      </w:divBdr>
    </w:div>
    <w:div w:id="859127128">
      <w:bodyDiv w:val="1"/>
      <w:marLeft w:val="0"/>
      <w:marRight w:val="0"/>
      <w:marTop w:val="0"/>
      <w:marBottom w:val="0"/>
      <w:divBdr>
        <w:top w:val="none" w:sz="0" w:space="0" w:color="auto"/>
        <w:left w:val="none" w:sz="0" w:space="0" w:color="auto"/>
        <w:bottom w:val="none" w:sz="0" w:space="0" w:color="auto"/>
        <w:right w:val="none" w:sz="0" w:space="0" w:color="auto"/>
      </w:divBdr>
    </w:div>
    <w:div w:id="861477138">
      <w:bodyDiv w:val="1"/>
      <w:marLeft w:val="0"/>
      <w:marRight w:val="0"/>
      <w:marTop w:val="0"/>
      <w:marBottom w:val="0"/>
      <w:divBdr>
        <w:top w:val="none" w:sz="0" w:space="0" w:color="auto"/>
        <w:left w:val="none" w:sz="0" w:space="0" w:color="auto"/>
        <w:bottom w:val="none" w:sz="0" w:space="0" w:color="auto"/>
        <w:right w:val="none" w:sz="0" w:space="0" w:color="auto"/>
      </w:divBdr>
    </w:div>
    <w:div w:id="863593766">
      <w:bodyDiv w:val="1"/>
      <w:marLeft w:val="0"/>
      <w:marRight w:val="0"/>
      <w:marTop w:val="0"/>
      <w:marBottom w:val="0"/>
      <w:divBdr>
        <w:top w:val="none" w:sz="0" w:space="0" w:color="auto"/>
        <w:left w:val="none" w:sz="0" w:space="0" w:color="auto"/>
        <w:bottom w:val="none" w:sz="0" w:space="0" w:color="auto"/>
        <w:right w:val="none" w:sz="0" w:space="0" w:color="auto"/>
      </w:divBdr>
    </w:div>
    <w:div w:id="864909181">
      <w:bodyDiv w:val="1"/>
      <w:marLeft w:val="0"/>
      <w:marRight w:val="0"/>
      <w:marTop w:val="0"/>
      <w:marBottom w:val="0"/>
      <w:divBdr>
        <w:top w:val="none" w:sz="0" w:space="0" w:color="auto"/>
        <w:left w:val="none" w:sz="0" w:space="0" w:color="auto"/>
        <w:bottom w:val="none" w:sz="0" w:space="0" w:color="auto"/>
        <w:right w:val="none" w:sz="0" w:space="0" w:color="auto"/>
      </w:divBdr>
    </w:div>
    <w:div w:id="870802653">
      <w:bodyDiv w:val="1"/>
      <w:marLeft w:val="0"/>
      <w:marRight w:val="0"/>
      <w:marTop w:val="0"/>
      <w:marBottom w:val="0"/>
      <w:divBdr>
        <w:top w:val="none" w:sz="0" w:space="0" w:color="auto"/>
        <w:left w:val="none" w:sz="0" w:space="0" w:color="auto"/>
        <w:bottom w:val="none" w:sz="0" w:space="0" w:color="auto"/>
        <w:right w:val="none" w:sz="0" w:space="0" w:color="auto"/>
      </w:divBdr>
    </w:div>
    <w:div w:id="871844123">
      <w:bodyDiv w:val="1"/>
      <w:marLeft w:val="0"/>
      <w:marRight w:val="0"/>
      <w:marTop w:val="0"/>
      <w:marBottom w:val="0"/>
      <w:divBdr>
        <w:top w:val="none" w:sz="0" w:space="0" w:color="auto"/>
        <w:left w:val="none" w:sz="0" w:space="0" w:color="auto"/>
        <w:bottom w:val="none" w:sz="0" w:space="0" w:color="auto"/>
        <w:right w:val="none" w:sz="0" w:space="0" w:color="auto"/>
      </w:divBdr>
    </w:div>
    <w:div w:id="875581884">
      <w:bodyDiv w:val="1"/>
      <w:marLeft w:val="0"/>
      <w:marRight w:val="0"/>
      <w:marTop w:val="0"/>
      <w:marBottom w:val="0"/>
      <w:divBdr>
        <w:top w:val="none" w:sz="0" w:space="0" w:color="auto"/>
        <w:left w:val="none" w:sz="0" w:space="0" w:color="auto"/>
        <w:bottom w:val="none" w:sz="0" w:space="0" w:color="auto"/>
        <w:right w:val="none" w:sz="0" w:space="0" w:color="auto"/>
      </w:divBdr>
    </w:div>
    <w:div w:id="876545747">
      <w:bodyDiv w:val="1"/>
      <w:marLeft w:val="0"/>
      <w:marRight w:val="0"/>
      <w:marTop w:val="0"/>
      <w:marBottom w:val="0"/>
      <w:divBdr>
        <w:top w:val="none" w:sz="0" w:space="0" w:color="auto"/>
        <w:left w:val="none" w:sz="0" w:space="0" w:color="auto"/>
        <w:bottom w:val="none" w:sz="0" w:space="0" w:color="auto"/>
        <w:right w:val="none" w:sz="0" w:space="0" w:color="auto"/>
      </w:divBdr>
    </w:div>
    <w:div w:id="879049327">
      <w:bodyDiv w:val="1"/>
      <w:marLeft w:val="0"/>
      <w:marRight w:val="0"/>
      <w:marTop w:val="0"/>
      <w:marBottom w:val="0"/>
      <w:divBdr>
        <w:top w:val="none" w:sz="0" w:space="0" w:color="auto"/>
        <w:left w:val="none" w:sz="0" w:space="0" w:color="auto"/>
        <w:bottom w:val="none" w:sz="0" w:space="0" w:color="auto"/>
        <w:right w:val="none" w:sz="0" w:space="0" w:color="auto"/>
      </w:divBdr>
      <w:divsChild>
        <w:div w:id="22635688">
          <w:marLeft w:val="0"/>
          <w:marRight w:val="0"/>
          <w:marTop w:val="0"/>
          <w:marBottom w:val="0"/>
          <w:divBdr>
            <w:top w:val="none" w:sz="0" w:space="0" w:color="auto"/>
            <w:left w:val="none" w:sz="0" w:space="0" w:color="auto"/>
            <w:bottom w:val="none" w:sz="0" w:space="0" w:color="auto"/>
            <w:right w:val="none" w:sz="0" w:space="0" w:color="auto"/>
          </w:divBdr>
        </w:div>
        <w:div w:id="417210230">
          <w:marLeft w:val="0"/>
          <w:marRight w:val="0"/>
          <w:marTop w:val="0"/>
          <w:marBottom w:val="0"/>
          <w:divBdr>
            <w:top w:val="none" w:sz="0" w:space="0" w:color="auto"/>
            <w:left w:val="none" w:sz="0" w:space="0" w:color="auto"/>
            <w:bottom w:val="none" w:sz="0" w:space="0" w:color="auto"/>
            <w:right w:val="none" w:sz="0" w:space="0" w:color="auto"/>
          </w:divBdr>
        </w:div>
        <w:div w:id="885917687">
          <w:marLeft w:val="0"/>
          <w:marRight w:val="0"/>
          <w:marTop w:val="0"/>
          <w:marBottom w:val="0"/>
          <w:divBdr>
            <w:top w:val="none" w:sz="0" w:space="0" w:color="auto"/>
            <w:left w:val="none" w:sz="0" w:space="0" w:color="auto"/>
            <w:bottom w:val="none" w:sz="0" w:space="0" w:color="auto"/>
            <w:right w:val="none" w:sz="0" w:space="0" w:color="auto"/>
          </w:divBdr>
        </w:div>
      </w:divsChild>
    </w:div>
    <w:div w:id="882211880">
      <w:bodyDiv w:val="1"/>
      <w:marLeft w:val="0"/>
      <w:marRight w:val="0"/>
      <w:marTop w:val="0"/>
      <w:marBottom w:val="0"/>
      <w:divBdr>
        <w:top w:val="none" w:sz="0" w:space="0" w:color="auto"/>
        <w:left w:val="none" w:sz="0" w:space="0" w:color="auto"/>
        <w:bottom w:val="none" w:sz="0" w:space="0" w:color="auto"/>
        <w:right w:val="none" w:sz="0" w:space="0" w:color="auto"/>
      </w:divBdr>
    </w:div>
    <w:div w:id="882597180">
      <w:bodyDiv w:val="1"/>
      <w:marLeft w:val="0"/>
      <w:marRight w:val="0"/>
      <w:marTop w:val="0"/>
      <w:marBottom w:val="0"/>
      <w:divBdr>
        <w:top w:val="none" w:sz="0" w:space="0" w:color="auto"/>
        <w:left w:val="none" w:sz="0" w:space="0" w:color="auto"/>
        <w:bottom w:val="none" w:sz="0" w:space="0" w:color="auto"/>
        <w:right w:val="none" w:sz="0" w:space="0" w:color="auto"/>
      </w:divBdr>
    </w:div>
    <w:div w:id="888494319">
      <w:bodyDiv w:val="1"/>
      <w:marLeft w:val="0"/>
      <w:marRight w:val="0"/>
      <w:marTop w:val="0"/>
      <w:marBottom w:val="0"/>
      <w:divBdr>
        <w:top w:val="none" w:sz="0" w:space="0" w:color="auto"/>
        <w:left w:val="none" w:sz="0" w:space="0" w:color="auto"/>
        <w:bottom w:val="none" w:sz="0" w:space="0" w:color="auto"/>
        <w:right w:val="none" w:sz="0" w:space="0" w:color="auto"/>
      </w:divBdr>
    </w:div>
    <w:div w:id="897932252">
      <w:bodyDiv w:val="1"/>
      <w:marLeft w:val="0"/>
      <w:marRight w:val="0"/>
      <w:marTop w:val="0"/>
      <w:marBottom w:val="0"/>
      <w:divBdr>
        <w:top w:val="none" w:sz="0" w:space="0" w:color="auto"/>
        <w:left w:val="none" w:sz="0" w:space="0" w:color="auto"/>
        <w:bottom w:val="none" w:sz="0" w:space="0" w:color="auto"/>
        <w:right w:val="none" w:sz="0" w:space="0" w:color="auto"/>
      </w:divBdr>
    </w:div>
    <w:div w:id="902639548">
      <w:bodyDiv w:val="1"/>
      <w:marLeft w:val="0"/>
      <w:marRight w:val="0"/>
      <w:marTop w:val="0"/>
      <w:marBottom w:val="0"/>
      <w:divBdr>
        <w:top w:val="none" w:sz="0" w:space="0" w:color="auto"/>
        <w:left w:val="none" w:sz="0" w:space="0" w:color="auto"/>
        <w:bottom w:val="none" w:sz="0" w:space="0" w:color="auto"/>
        <w:right w:val="none" w:sz="0" w:space="0" w:color="auto"/>
      </w:divBdr>
    </w:div>
    <w:div w:id="902914143">
      <w:bodyDiv w:val="1"/>
      <w:marLeft w:val="0"/>
      <w:marRight w:val="0"/>
      <w:marTop w:val="0"/>
      <w:marBottom w:val="0"/>
      <w:divBdr>
        <w:top w:val="none" w:sz="0" w:space="0" w:color="auto"/>
        <w:left w:val="none" w:sz="0" w:space="0" w:color="auto"/>
        <w:bottom w:val="none" w:sz="0" w:space="0" w:color="auto"/>
        <w:right w:val="none" w:sz="0" w:space="0" w:color="auto"/>
      </w:divBdr>
      <w:divsChild>
        <w:div w:id="430048321">
          <w:marLeft w:val="0"/>
          <w:marRight w:val="0"/>
          <w:marTop w:val="0"/>
          <w:marBottom w:val="0"/>
          <w:divBdr>
            <w:top w:val="none" w:sz="0" w:space="0" w:color="auto"/>
            <w:left w:val="none" w:sz="0" w:space="0" w:color="auto"/>
            <w:bottom w:val="none" w:sz="0" w:space="0" w:color="auto"/>
            <w:right w:val="none" w:sz="0" w:space="0" w:color="auto"/>
          </w:divBdr>
        </w:div>
        <w:div w:id="2114200332">
          <w:marLeft w:val="0"/>
          <w:marRight w:val="0"/>
          <w:marTop w:val="0"/>
          <w:marBottom w:val="0"/>
          <w:divBdr>
            <w:top w:val="none" w:sz="0" w:space="0" w:color="auto"/>
            <w:left w:val="none" w:sz="0" w:space="0" w:color="auto"/>
            <w:bottom w:val="none" w:sz="0" w:space="0" w:color="auto"/>
            <w:right w:val="none" w:sz="0" w:space="0" w:color="auto"/>
          </w:divBdr>
        </w:div>
      </w:divsChild>
    </w:div>
    <w:div w:id="903836854">
      <w:bodyDiv w:val="1"/>
      <w:marLeft w:val="0"/>
      <w:marRight w:val="0"/>
      <w:marTop w:val="0"/>
      <w:marBottom w:val="0"/>
      <w:divBdr>
        <w:top w:val="none" w:sz="0" w:space="0" w:color="auto"/>
        <w:left w:val="none" w:sz="0" w:space="0" w:color="auto"/>
        <w:bottom w:val="none" w:sz="0" w:space="0" w:color="auto"/>
        <w:right w:val="none" w:sz="0" w:space="0" w:color="auto"/>
      </w:divBdr>
    </w:div>
    <w:div w:id="904148697">
      <w:bodyDiv w:val="1"/>
      <w:marLeft w:val="0"/>
      <w:marRight w:val="0"/>
      <w:marTop w:val="0"/>
      <w:marBottom w:val="0"/>
      <w:divBdr>
        <w:top w:val="none" w:sz="0" w:space="0" w:color="auto"/>
        <w:left w:val="none" w:sz="0" w:space="0" w:color="auto"/>
        <w:bottom w:val="none" w:sz="0" w:space="0" w:color="auto"/>
        <w:right w:val="none" w:sz="0" w:space="0" w:color="auto"/>
      </w:divBdr>
    </w:div>
    <w:div w:id="906109826">
      <w:bodyDiv w:val="1"/>
      <w:marLeft w:val="0"/>
      <w:marRight w:val="0"/>
      <w:marTop w:val="0"/>
      <w:marBottom w:val="0"/>
      <w:divBdr>
        <w:top w:val="none" w:sz="0" w:space="0" w:color="auto"/>
        <w:left w:val="none" w:sz="0" w:space="0" w:color="auto"/>
        <w:bottom w:val="none" w:sz="0" w:space="0" w:color="auto"/>
        <w:right w:val="none" w:sz="0" w:space="0" w:color="auto"/>
      </w:divBdr>
      <w:divsChild>
        <w:div w:id="386032366">
          <w:marLeft w:val="0"/>
          <w:marRight w:val="0"/>
          <w:marTop w:val="0"/>
          <w:marBottom w:val="0"/>
          <w:divBdr>
            <w:top w:val="none" w:sz="0" w:space="0" w:color="auto"/>
            <w:left w:val="none" w:sz="0" w:space="0" w:color="auto"/>
            <w:bottom w:val="none" w:sz="0" w:space="0" w:color="auto"/>
            <w:right w:val="none" w:sz="0" w:space="0" w:color="auto"/>
          </w:divBdr>
        </w:div>
        <w:div w:id="552232684">
          <w:marLeft w:val="0"/>
          <w:marRight w:val="0"/>
          <w:marTop w:val="0"/>
          <w:marBottom w:val="0"/>
          <w:divBdr>
            <w:top w:val="none" w:sz="0" w:space="0" w:color="auto"/>
            <w:left w:val="none" w:sz="0" w:space="0" w:color="auto"/>
            <w:bottom w:val="none" w:sz="0" w:space="0" w:color="auto"/>
            <w:right w:val="none" w:sz="0" w:space="0" w:color="auto"/>
          </w:divBdr>
        </w:div>
        <w:div w:id="1510833112">
          <w:marLeft w:val="0"/>
          <w:marRight w:val="0"/>
          <w:marTop w:val="0"/>
          <w:marBottom w:val="0"/>
          <w:divBdr>
            <w:top w:val="none" w:sz="0" w:space="0" w:color="auto"/>
            <w:left w:val="none" w:sz="0" w:space="0" w:color="auto"/>
            <w:bottom w:val="none" w:sz="0" w:space="0" w:color="auto"/>
            <w:right w:val="none" w:sz="0" w:space="0" w:color="auto"/>
          </w:divBdr>
        </w:div>
      </w:divsChild>
    </w:div>
    <w:div w:id="907304453">
      <w:bodyDiv w:val="1"/>
      <w:marLeft w:val="0"/>
      <w:marRight w:val="0"/>
      <w:marTop w:val="0"/>
      <w:marBottom w:val="0"/>
      <w:divBdr>
        <w:top w:val="none" w:sz="0" w:space="0" w:color="auto"/>
        <w:left w:val="none" w:sz="0" w:space="0" w:color="auto"/>
        <w:bottom w:val="none" w:sz="0" w:space="0" w:color="auto"/>
        <w:right w:val="none" w:sz="0" w:space="0" w:color="auto"/>
      </w:divBdr>
    </w:div>
    <w:div w:id="907308455">
      <w:bodyDiv w:val="1"/>
      <w:marLeft w:val="0"/>
      <w:marRight w:val="0"/>
      <w:marTop w:val="0"/>
      <w:marBottom w:val="0"/>
      <w:divBdr>
        <w:top w:val="none" w:sz="0" w:space="0" w:color="auto"/>
        <w:left w:val="none" w:sz="0" w:space="0" w:color="auto"/>
        <w:bottom w:val="none" w:sz="0" w:space="0" w:color="auto"/>
        <w:right w:val="none" w:sz="0" w:space="0" w:color="auto"/>
      </w:divBdr>
      <w:divsChild>
        <w:div w:id="1362785780">
          <w:marLeft w:val="0"/>
          <w:marRight w:val="0"/>
          <w:marTop w:val="0"/>
          <w:marBottom w:val="0"/>
          <w:divBdr>
            <w:top w:val="none" w:sz="0" w:space="0" w:color="auto"/>
            <w:left w:val="none" w:sz="0" w:space="0" w:color="auto"/>
            <w:bottom w:val="none" w:sz="0" w:space="0" w:color="auto"/>
            <w:right w:val="none" w:sz="0" w:space="0" w:color="auto"/>
          </w:divBdr>
        </w:div>
        <w:div w:id="1707482506">
          <w:marLeft w:val="0"/>
          <w:marRight w:val="0"/>
          <w:marTop w:val="0"/>
          <w:marBottom w:val="0"/>
          <w:divBdr>
            <w:top w:val="none" w:sz="0" w:space="0" w:color="auto"/>
            <w:left w:val="none" w:sz="0" w:space="0" w:color="auto"/>
            <w:bottom w:val="none" w:sz="0" w:space="0" w:color="auto"/>
            <w:right w:val="none" w:sz="0" w:space="0" w:color="auto"/>
          </w:divBdr>
        </w:div>
      </w:divsChild>
    </w:div>
    <w:div w:id="908004167">
      <w:bodyDiv w:val="1"/>
      <w:marLeft w:val="0"/>
      <w:marRight w:val="0"/>
      <w:marTop w:val="0"/>
      <w:marBottom w:val="0"/>
      <w:divBdr>
        <w:top w:val="none" w:sz="0" w:space="0" w:color="auto"/>
        <w:left w:val="none" w:sz="0" w:space="0" w:color="auto"/>
        <w:bottom w:val="none" w:sz="0" w:space="0" w:color="auto"/>
        <w:right w:val="none" w:sz="0" w:space="0" w:color="auto"/>
      </w:divBdr>
    </w:div>
    <w:div w:id="912618393">
      <w:bodyDiv w:val="1"/>
      <w:marLeft w:val="0"/>
      <w:marRight w:val="0"/>
      <w:marTop w:val="0"/>
      <w:marBottom w:val="0"/>
      <w:divBdr>
        <w:top w:val="none" w:sz="0" w:space="0" w:color="auto"/>
        <w:left w:val="none" w:sz="0" w:space="0" w:color="auto"/>
        <w:bottom w:val="none" w:sz="0" w:space="0" w:color="auto"/>
        <w:right w:val="none" w:sz="0" w:space="0" w:color="auto"/>
      </w:divBdr>
    </w:div>
    <w:div w:id="915744029">
      <w:bodyDiv w:val="1"/>
      <w:marLeft w:val="0"/>
      <w:marRight w:val="0"/>
      <w:marTop w:val="0"/>
      <w:marBottom w:val="0"/>
      <w:divBdr>
        <w:top w:val="none" w:sz="0" w:space="0" w:color="auto"/>
        <w:left w:val="none" w:sz="0" w:space="0" w:color="auto"/>
        <w:bottom w:val="none" w:sz="0" w:space="0" w:color="auto"/>
        <w:right w:val="none" w:sz="0" w:space="0" w:color="auto"/>
      </w:divBdr>
      <w:divsChild>
        <w:div w:id="141117279">
          <w:marLeft w:val="0"/>
          <w:marRight w:val="0"/>
          <w:marTop w:val="0"/>
          <w:marBottom w:val="0"/>
          <w:divBdr>
            <w:top w:val="none" w:sz="0" w:space="0" w:color="auto"/>
            <w:left w:val="none" w:sz="0" w:space="0" w:color="auto"/>
            <w:bottom w:val="none" w:sz="0" w:space="0" w:color="auto"/>
            <w:right w:val="none" w:sz="0" w:space="0" w:color="auto"/>
          </w:divBdr>
          <w:divsChild>
            <w:div w:id="859242616">
              <w:marLeft w:val="0"/>
              <w:marRight w:val="0"/>
              <w:marTop w:val="0"/>
              <w:marBottom w:val="0"/>
              <w:divBdr>
                <w:top w:val="none" w:sz="0" w:space="0" w:color="auto"/>
                <w:left w:val="none" w:sz="0" w:space="0" w:color="auto"/>
                <w:bottom w:val="none" w:sz="0" w:space="0" w:color="auto"/>
                <w:right w:val="none" w:sz="0" w:space="0" w:color="auto"/>
              </w:divBdr>
            </w:div>
            <w:div w:id="1834755673">
              <w:marLeft w:val="0"/>
              <w:marRight w:val="0"/>
              <w:marTop w:val="0"/>
              <w:marBottom w:val="0"/>
              <w:divBdr>
                <w:top w:val="none" w:sz="0" w:space="0" w:color="auto"/>
                <w:left w:val="none" w:sz="0" w:space="0" w:color="auto"/>
                <w:bottom w:val="none" w:sz="0" w:space="0" w:color="auto"/>
                <w:right w:val="none" w:sz="0" w:space="0" w:color="auto"/>
              </w:divBdr>
            </w:div>
          </w:divsChild>
        </w:div>
        <w:div w:id="710228759">
          <w:marLeft w:val="0"/>
          <w:marRight w:val="0"/>
          <w:marTop w:val="0"/>
          <w:marBottom w:val="0"/>
          <w:divBdr>
            <w:top w:val="none" w:sz="0" w:space="0" w:color="auto"/>
            <w:left w:val="none" w:sz="0" w:space="0" w:color="auto"/>
            <w:bottom w:val="none" w:sz="0" w:space="0" w:color="auto"/>
            <w:right w:val="none" w:sz="0" w:space="0" w:color="auto"/>
          </w:divBdr>
        </w:div>
      </w:divsChild>
    </w:div>
    <w:div w:id="918900813">
      <w:bodyDiv w:val="1"/>
      <w:marLeft w:val="0"/>
      <w:marRight w:val="0"/>
      <w:marTop w:val="0"/>
      <w:marBottom w:val="0"/>
      <w:divBdr>
        <w:top w:val="none" w:sz="0" w:space="0" w:color="auto"/>
        <w:left w:val="none" w:sz="0" w:space="0" w:color="auto"/>
        <w:bottom w:val="none" w:sz="0" w:space="0" w:color="auto"/>
        <w:right w:val="none" w:sz="0" w:space="0" w:color="auto"/>
      </w:divBdr>
    </w:div>
    <w:div w:id="924417605">
      <w:bodyDiv w:val="1"/>
      <w:marLeft w:val="0"/>
      <w:marRight w:val="0"/>
      <w:marTop w:val="0"/>
      <w:marBottom w:val="0"/>
      <w:divBdr>
        <w:top w:val="none" w:sz="0" w:space="0" w:color="auto"/>
        <w:left w:val="none" w:sz="0" w:space="0" w:color="auto"/>
        <w:bottom w:val="none" w:sz="0" w:space="0" w:color="auto"/>
        <w:right w:val="none" w:sz="0" w:space="0" w:color="auto"/>
      </w:divBdr>
    </w:div>
    <w:div w:id="928654202">
      <w:bodyDiv w:val="1"/>
      <w:marLeft w:val="0"/>
      <w:marRight w:val="0"/>
      <w:marTop w:val="0"/>
      <w:marBottom w:val="0"/>
      <w:divBdr>
        <w:top w:val="none" w:sz="0" w:space="0" w:color="auto"/>
        <w:left w:val="none" w:sz="0" w:space="0" w:color="auto"/>
        <w:bottom w:val="none" w:sz="0" w:space="0" w:color="auto"/>
        <w:right w:val="none" w:sz="0" w:space="0" w:color="auto"/>
      </w:divBdr>
      <w:divsChild>
        <w:div w:id="232931319">
          <w:marLeft w:val="0"/>
          <w:marRight w:val="0"/>
          <w:marTop w:val="0"/>
          <w:marBottom w:val="0"/>
          <w:divBdr>
            <w:top w:val="none" w:sz="0" w:space="0" w:color="auto"/>
            <w:left w:val="none" w:sz="0" w:space="0" w:color="auto"/>
            <w:bottom w:val="none" w:sz="0" w:space="0" w:color="auto"/>
            <w:right w:val="none" w:sz="0" w:space="0" w:color="auto"/>
          </w:divBdr>
        </w:div>
        <w:div w:id="245311472">
          <w:marLeft w:val="0"/>
          <w:marRight w:val="0"/>
          <w:marTop w:val="0"/>
          <w:marBottom w:val="0"/>
          <w:divBdr>
            <w:top w:val="none" w:sz="0" w:space="0" w:color="auto"/>
            <w:left w:val="none" w:sz="0" w:space="0" w:color="auto"/>
            <w:bottom w:val="none" w:sz="0" w:space="0" w:color="auto"/>
            <w:right w:val="none" w:sz="0" w:space="0" w:color="auto"/>
          </w:divBdr>
        </w:div>
        <w:div w:id="1227490626">
          <w:marLeft w:val="0"/>
          <w:marRight w:val="0"/>
          <w:marTop w:val="0"/>
          <w:marBottom w:val="0"/>
          <w:divBdr>
            <w:top w:val="none" w:sz="0" w:space="0" w:color="auto"/>
            <w:left w:val="none" w:sz="0" w:space="0" w:color="auto"/>
            <w:bottom w:val="none" w:sz="0" w:space="0" w:color="auto"/>
            <w:right w:val="none" w:sz="0" w:space="0" w:color="auto"/>
          </w:divBdr>
        </w:div>
        <w:div w:id="1970237281">
          <w:marLeft w:val="0"/>
          <w:marRight w:val="0"/>
          <w:marTop w:val="0"/>
          <w:marBottom w:val="0"/>
          <w:divBdr>
            <w:top w:val="none" w:sz="0" w:space="0" w:color="auto"/>
            <w:left w:val="none" w:sz="0" w:space="0" w:color="auto"/>
            <w:bottom w:val="none" w:sz="0" w:space="0" w:color="auto"/>
            <w:right w:val="none" w:sz="0" w:space="0" w:color="auto"/>
          </w:divBdr>
        </w:div>
      </w:divsChild>
    </w:div>
    <w:div w:id="929124374">
      <w:bodyDiv w:val="1"/>
      <w:marLeft w:val="0"/>
      <w:marRight w:val="0"/>
      <w:marTop w:val="0"/>
      <w:marBottom w:val="0"/>
      <w:divBdr>
        <w:top w:val="none" w:sz="0" w:space="0" w:color="auto"/>
        <w:left w:val="none" w:sz="0" w:space="0" w:color="auto"/>
        <w:bottom w:val="none" w:sz="0" w:space="0" w:color="auto"/>
        <w:right w:val="none" w:sz="0" w:space="0" w:color="auto"/>
      </w:divBdr>
    </w:div>
    <w:div w:id="930284860">
      <w:bodyDiv w:val="1"/>
      <w:marLeft w:val="0"/>
      <w:marRight w:val="0"/>
      <w:marTop w:val="0"/>
      <w:marBottom w:val="0"/>
      <w:divBdr>
        <w:top w:val="none" w:sz="0" w:space="0" w:color="auto"/>
        <w:left w:val="none" w:sz="0" w:space="0" w:color="auto"/>
        <w:bottom w:val="none" w:sz="0" w:space="0" w:color="auto"/>
        <w:right w:val="none" w:sz="0" w:space="0" w:color="auto"/>
      </w:divBdr>
    </w:div>
    <w:div w:id="930627093">
      <w:bodyDiv w:val="1"/>
      <w:marLeft w:val="0"/>
      <w:marRight w:val="0"/>
      <w:marTop w:val="0"/>
      <w:marBottom w:val="0"/>
      <w:divBdr>
        <w:top w:val="none" w:sz="0" w:space="0" w:color="auto"/>
        <w:left w:val="none" w:sz="0" w:space="0" w:color="auto"/>
        <w:bottom w:val="none" w:sz="0" w:space="0" w:color="auto"/>
        <w:right w:val="none" w:sz="0" w:space="0" w:color="auto"/>
      </w:divBdr>
    </w:div>
    <w:div w:id="933434500">
      <w:bodyDiv w:val="1"/>
      <w:marLeft w:val="0"/>
      <w:marRight w:val="0"/>
      <w:marTop w:val="0"/>
      <w:marBottom w:val="0"/>
      <w:divBdr>
        <w:top w:val="none" w:sz="0" w:space="0" w:color="auto"/>
        <w:left w:val="none" w:sz="0" w:space="0" w:color="auto"/>
        <w:bottom w:val="none" w:sz="0" w:space="0" w:color="auto"/>
        <w:right w:val="none" w:sz="0" w:space="0" w:color="auto"/>
      </w:divBdr>
    </w:div>
    <w:div w:id="942959280">
      <w:bodyDiv w:val="1"/>
      <w:marLeft w:val="0"/>
      <w:marRight w:val="0"/>
      <w:marTop w:val="0"/>
      <w:marBottom w:val="0"/>
      <w:divBdr>
        <w:top w:val="none" w:sz="0" w:space="0" w:color="auto"/>
        <w:left w:val="none" w:sz="0" w:space="0" w:color="auto"/>
        <w:bottom w:val="none" w:sz="0" w:space="0" w:color="auto"/>
        <w:right w:val="none" w:sz="0" w:space="0" w:color="auto"/>
      </w:divBdr>
      <w:divsChild>
        <w:div w:id="6520175">
          <w:marLeft w:val="0"/>
          <w:marRight w:val="0"/>
          <w:marTop w:val="0"/>
          <w:marBottom w:val="0"/>
          <w:divBdr>
            <w:top w:val="none" w:sz="0" w:space="0" w:color="auto"/>
            <w:left w:val="none" w:sz="0" w:space="0" w:color="auto"/>
            <w:bottom w:val="none" w:sz="0" w:space="0" w:color="auto"/>
            <w:right w:val="none" w:sz="0" w:space="0" w:color="auto"/>
          </w:divBdr>
        </w:div>
        <w:div w:id="1102577884">
          <w:marLeft w:val="0"/>
          <w:marRight w:val="0"/>
          <w:marTop w:val="0"/>
          <w:marBottom w:val="0"/>
          <w:divBdr>
            <w:top w:val="none" w:sz="0" w:space="0" w:color="auto"/>
            <w:left w:val="none" w:sz="0" w:space="0" w:color="auto"/>
            <w:bottom w:val="none" w:sz="0" w:space="0" w:color="auto"/>
            <w:right w:val="none" w:sz="0" w:space="0" w:color="auto"/>
          </w:divBdr>
        </w:div>
        <w:div w:id="1716660605">
          <w:marLeft w:val="0"/>
          <w:marRight w:val="0"/>
          <w:marTop w:val="0"/>
          <w:marBottom w:val="0"/>
          <w:divBdr>
            <w:top w:val="none" w:sz="0" w:space="0" w:color="auto"/>
            <w:left w:val="none" w:sz="0" w:space="0" w:color="auto"/>
            <w:bottom w:val="none" w:sz="0" w:space="0" w:color="auto"/>
            <w:right w:val="none" w:sz="0" w:space="0" w:color="auto"/>
          </w:divBdr>
        </w:div>
      </w:divsChild>
    </w:div>
    <w:div w:id="943419986">
      <w:bodyDiv w:val="1"/>
      <w:marLeft w:val="0"/>
      <w:marRight w:val="0"/>
      <w:marTop w:val="0"/>
      <w:marBottom w:val="0"/>
      <w:divBdr>
        <w:top w:val="none" w:sz="0" w:space="0" w:color="auto"/>
        <w:left w:val="none" w:sz="0" w:space="0" w:color="auto"/>
        <w:bottom w:val="none" w:sz="0" w:space="0" w:color="auto"/>
        <w:right w:val="none" w:sz="0" w:space="0" w:color="auto"/>
      </w:divBdr>
    </w:div>
    <w:div w:id="945498715">
      <w:bodyDiv w:val="1"/>
      <w:marLeft w:val="0"/>
      <w:marRight w:val="0"/>
      <w:marTop w:val="0"/>
      <w:marBottom w:val="0"/>
      <w:divBdr>
        <w:top w:val="none" w:sz="0" w:space="0" w:color="auto"/>
        <w:left w:val="none" w:sz="0" w:space="0" w:color="auto"/>
        <w:bottom w:val="none" w:sz="0" w:space="0" w:color="auto"/>
        <w:right w:val="none" w:sz="0" w:space="0" w:color="auto"/>
      </w:divBdr>
    </w:div>
    <w:div w:id="946499871">
      <w:bodyDiv w:val="1"/>
      <w:marLeft w:val="0"/>
      <w:marRight w:val="0"/>
      <w:marTop w:val="0"/>
      <w:marBottom w:val="0"/>
      <w:divBdr>
        <w:top w:val="none" w:sz="0" w:space="0" w:color="auto"/>
        <w:left w:val="none" w:sz="0" w:space="0" w:color="auto"/>
        <w:bottom w:val="none" w:sz="0" w:space="0" w:color="auto"/>
        <w:right w:val="none" w:sz="0" w:space="0" w:color="auto"/>
      </w:divBdr>
      <w:divsChild>
        <w:div w:id="531185739">
          <w:marLeft w:val="0"/>
          <w:marRight w:val="0"/>
          <w:marTop w:val="0"/>
          <w:marBottom w:val="0"/>
          <w:divBdr>
            <w:top w:val="none" w:sz="0" w:space="0" w:color="auto"/>
            <w:left w:val="none" w:sz="0" w:space="0" w:color="auto"/>
            <w:bottom w:val="none" w:sz="0" w:space="0" w:color="auto"/>
            <w:right w:val="none" w:sz="0" w:space="0" w:color="auto"/>
          </w:divBdr>
        </w:div>
        <w:div w:id="698237829">
          <w:marLeft w:val="0"/>
          <w:marRight w:val="0"/>
          <w:marTop w:val="0"/>
          <w:marBottom w:val="0"/>
          <w:divBdr>
            <w:top w:val="none" w:sz="0" w:space="0" w:color="auto"/>
            <w:left w:val="none" w:sz="0" w:space="0" w:color="auto"/>
            <w:bottom w:val="none" w:sz="0" w:space="0" w:color="auto"/>
            <w:right w:val="none" w:sz="0" w:space="0" w:color="auto"/>
          </w:divBdr>
        </w:div>
        <w:div w:id="1894534895">
          <w:marLeft w:val="0"/>
          <w:marRight w:val="0"/>
          <w:marTop w:val="0"/>
          <w:marBottom w:val="0"/>
          <w:divBdr>
            <w:top w:val="none" w:sz="0" w:space="0" w:color="auto"/>
            <w:left w:val="none" w:sz="0" w:space="0" w:color="auto"/>
            <w:bottom w:val="none" w:sz="0" w:space="0" w:color="auto"/>
            <w:right w:val="none" w:sz="0" w:space="0" w:color="auto"/>
          </w:divBdr>
        </w:div>
      </w:divsChild>
    </w:div>
    <w:div w:id="946813525">
      <w:bodyDiv w:val="1"/>
      <w:marLeft w:val="0"/>
      <w:marRight w:val="0"/>
      <w:marTop w:val="0"/>
      <w:marBottom w:val="0"/>
      <w:divBdr>
        <w:top w:val="none" w:sz="0" w:space="0" w:color="auto"/>
        <w:left w:val="none" w:sz="0" w:space="0" w:color="auto"/>
        <w:bottom w:val="none" w:sz="0" w:space="0" w:color="auto"/>
        <w:right w:val="none" w:sz="0" w:space="0" w:color="auto"/>
      </w:divBdr>
    </w:div>
    <w:div w:id="947738550">
      <w:bodyDiv w:val="1"/>
      <w:marLeft w:val="0"/>
      <w:marRight w:val="0"/>
      <w:marTop w:val="0"/>
      <w:marBottom w:val="0"/>
      <w:divBdr>
        <w:top w:val="none" w:sz="0" w:space="0" w:color="auto"/>
        <w:left w:val="none" w:sz="0" w:space="0" w:color="auto"/>
        <w:bottom w:val="none" w:sz="0" w:space="0" w:color="auto"/>
        <w:right w:val="none" w:sz="0" w:space="0" w:color="auto"/>
      </w:divBdr>
      <w:divsChild>
        <w:div w:id="966930240">
          <w:marLeft w:val="0"/>
          <w:marRight w:val="0"/>
          <w:marTop w:val="0"/>
          <w:marBottom w:val="0"/>
          <w:divBdr>
            <w:top w:val="none" w:sz="0" w:space="0" w:color="auto"/>
            <w:left w:val="none" w:sz="0" w:space="0" w:color="auto"/>
            <w:bottom w:val="none" w:sz="0" w:space="0" w:color="auto"/>
            <w:right w:val="none" w:sz="0" w:space="0" w:color="auto"/>
          </w:divBdr>
        </w:div>
        <w:div w:id="1185362722">
          <w:marLeft w:val="0"/>
          <w:marRight w:val="0"/>
          <w:marTop w:val="0"/>
          <w:marBottom w:val="0"/>
          <w:divBdr>
            <w:top w:val="none" w:sz="0" w:space="0" w:color="auto"/>
            <w:left w:val="none" w:sz="0" w:space="0" w:color="auto"/>
            <w:bottom w:val="none" w:sz="0" w:space="0" w:color="auto"/>
            <w:right w:val="none" w:sz="0" w:space="0" w:color="auto"/>
          </w:divBdr>
        </w:div>
      </w:divsChild>
    </w:div>
    <w:div w:id="950169031">
      <w:bodyDiv w:val="1"/>
      <w:marLeft w:val="0"/>
      <w:marRight w:val="0"/>
      <w:marTop w:val="0"/>
      <w:marBottom w:val="0"/>
      <w:divBdr>
        <w:top w:val="none" w:sz="0" w:space="0" w:color="auto"/>
        <w:left w:val="none" w:sz="0" w:space="0" w:color="auto"/>
        <w:bottom w:val="none" w:sz="0" w:space="0" w:color="auto"/>
        <w:right w:val="none" w:sz="0" w:space="0" w:color="auto"/>
      </w:divBdr>
    </w:div>
    <w:div w:id="951785271">
      <w:bodyDiv w:val="1"/>
      <w:marLeft w:val="0"/>
      <w:marRight w:val="0"/>
      <w:marTop w:val="0"/>
      <w:marBottom w:val="0"/>
      <w:divBdr>
        <w:top w:val="none" w:sz="0" w:space="0" w:color="auto"/>
        <w:left w:val="none" w:sz="0" w:space="0" w:color="auto"/>
        <w:bottom w:val="none" w:sz="0" w:space="0" w:color="auto"/>
        <w:right w:val="none" w:sz="0" w:space="0" w:color="auto"/>
      </w:divBdr>
    </w:div>
    <w:div w:id="955723261">
      <w:bodyDiv w:val="1"/>
      <w:marLeft w:val="0"/>
      <w:marRight w:val="0"/>
      <w:marTop w:val="0"/>
      <w:marBottom w:val="0"/>
      <w:divBdr>
        <w:top w:val="none" w:sz="0" w:space="0" w:color="auto"/>
        <w:left w:val="none" w:sz="0" w:space="0" w:color="auto"/>
        <w:bottom w:val="none" w:sz="0" w:space="0" w:color="auto"/>
        <w:right w:val="none" w:sz="0" w:space="0" w:color="auto"/>
      </w:divBdr>
      <w:divsChild>
        <w:div w:id="56853953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963925306">
      <w:bodyDiv w:val="1"/>
      <w:marLeft w:val="0"/>
      <w:marRight w:val="0"/>
      <w:marTop w:val="0"/>
      <w:marBottom w:val="0"/>
      <w:divBdr>
        <w:top w:val="none" w:sz="0" w:space="0" w:color="auto"/>
        <w:left w:val="none" w:sz="0" w:space="0" w:color="auto"/>
        <w:bottom w:val="none" w:sz="0" w:space="0" w:color="auto"/>
        <w:right w:val="none" w:sz="0" w:space="0" w:color="auto"/>
      </w:divBdr>
      <w:divsChild>
        <w:div w:id="858083558">
          <w:marLeft w:val="0"/>
          <w:marRight w:val="0"/>
          <w:marTop w:val="0"/>
          <w:marBottom w:val="0"/>
          <w:divBdr>
            <w:top w:val="none" w:sz="0" w:space="0" w:color="auto"/>
            <w:left w:val="none" w:sz="0" w:space="0" w:color="auto"/>
            <w:bottom w:val="none" w:sz="0" w:space="0" w:color="auto"/>
            <w:right w:val="none" w:sz="0" w:space="0" w:color="auto"/>
          </w:divBdr>
        </w:div>
        <w:div w:id="1098258335">
          <w:marLeft w:val="0"/>
          <w:marRight w:val="0"/>
          <w:marTop w:val="0"/>
          <w:marBottom w:val="0"/>
          <w:divBdr>
            <w:top w:val="none" w:sz="0" w:space="0" w:color="auto"/>
            <w:left w:val="none" w:sz="0" w:space="0" w:color="auto"/>
            <w:bottom w:val="none" w:sz="0" w:space="0" w:color="auto"/>
            <w:right w:val="none" w:sz="0" w:space="0" w:color="auto"/>
          </w:divBdr>
        </w:div>
      </w:divsChild>
    </w:div>
    <w:div w:id="965739439">
      <w:bodyDiv w:val="1"/>
      <w:marLeft w:val="0"/>
      <w:marRight w:val="0"/>
      <w:marTop w:val="0"/>
      <w:marBottom w:val="0"/>
      <w:divBdr>
        <w:top w:val="none" w:sz="0" w:space="0" w:color="auto"/>
        <w:left w:val="none" w:sz="0" w:space="0" w:color="auto"/>
        <w:bottom w:val="none" w:sz="0" w:space="0" w:color="auto"/>
        <w:right w:val="none" w:sz="0" w:space="0" w:color="auto"/>
      </w:divBdr>
    </w:div>
    <w:div w:id="969557482">
      <w:bodyDiv w:val="1"/>
      <w:marLeft w:val="0"/>
      <w:marRight w:val="0"/>
      <w:marTop w:val="0"/>
      <w:marBottom w:val="0"/>
      <w:divBdr>
        <w:top w:val="none" w:sz="0" w:space="0" w:color="auto"/>
        <w:left w:val="none" w:sz="0" w:space="0" w:color="auto"/>
        <w:bottom w:val="none" w:sz="0" w:space="0" w:color="auto"/>
        <w:right w:val="none" w:sz="0" w:space="0" w:color="auto"/>
      </w:divBdr>
      <w:divsChild>
        <w:div w:id="1842815967">
          <w:marLeft w:val="0"/>
          <w:marRight w:val="0"/>
          <w:marTop w:val="0"/>
          <w:marBottom w:val="0"/>
          <w:divBdr>
            <w:top w:val="none" w:sz="0" w:space="0" w:color="auto"/>
            <w:left w:val="none" w:sz="0" w:space="0" w:color="auto"/>
            <w:bottom w:val="none" w:sz="0" w:space="0" w:color="auto"/>
            <w:right w:val="none" w:sz="0" w:space="0" w:color="auto"/>
          </w:divBdr>
        </w:div>
        <w:div w:id="2050185438">
          <w:marLeft w:val="0"/>
          <w:marRight w:val="0"/>
          <w:marTop w:val="0"/>
          <w:marBottom w:val="0"/>
          <w:divBdr>
            <w:top w:val="none" w:sz="0" w:space="0" w:color="auto"/>
            <w:left w:val="none" w:sz="0" w:space="0" w:color="auto"/>
            <w:bottom w:val="none" w:sz="0" w:space="0" w:color="auto"/>
            <w:right w:val="none" w:sz="0" w:space="0" w:color="auto"/>
          </w:divBdr>
        </w:div>
      </w:divsChild>
    </w:div>
    <w:div w:id="971595594">
      <w:bodyDiv w:val="1"/>
      <w:marLeft w:val="0"/>
      <w:marRight w:val="0"/>
      <w:marTop w:val="0"/>
      <w:marBottom w:val="0"/>
      <w:divBdr>
        <w:top w:val="none" w:sz="0" w:space="0" w:color="auto"/>
        <w:left w:val="none" w:sz="0" w:space="0" w:color="auto"/>
        <w:bottom w:val="none" w:sz="0" w:space="0" w:color="auto"/>
        <w:right w:val="none" w:sz="0" w:space="0" w:color="auto"/>
      </w:divBdr>
      <w:divsChild>
        <w:div w:id="1023556957">
          <w:marLeft w:val="0"/>
          <w:marRight w:val="0"/>
          <w:marTop w:val="0"/>
          <w:marBottom w:val="0"/>
          <w:divBdr>
            <w:top w:val="none" w:sz="0" w:space="0" w:color="auto"/>
            <w:left w:val="none" w:sz="0" w:space="0" w:color="auto"/>
            <w:bottom w:val="none" w:sz="0" w:space="0" w:color="auto"/>
            <w:right w:val="none" w:sz="0" w:space="0" w:color="auto"/>
          </w:divBdr>
        </w:div>
        <w:div w:id="1925794082">
          <w:marLeft w:val="0"/>
          <w:marRight w:val="0"/>
          <w:marTop w:val="0"/>
          <w:marBottom w:val="0"/>
          <w:divBdr>
            <w:top w:val="none" w:sz="0" w:space="0" w:color="auto"/>
            <w:left w:val="none" w:sz="0" w:space="0" w:color="auto"/>
            <w:bottom w:val="none" w:sz="0" w:space="0" w:color="auto"/>
            <w:right w:val="none" w:sz="0" w:space="0" w:color="auto"/>
          </w:divBdr>
        </w:div>
      </w:divsChild>
    </w:div>
    <w:div w:id="972253695">
      <w:bodyDiv w:val="1"/>
      <w:marLeft w:val="0"/>
      <w:marRight w:val="0"/>
      <w:marTop w:val="0"/>
      <w:marBottom w:val="0"/>
      <w:divBdr>
        <w:top w:val="none" w:sz="0" w:space="0" w:color="auto"/>
        <w:left w:val="none" w:sz="0" w:space="0" w:color="auto"/>
        <w:bottom w:val="none" w:sz="0" w:space="0" w:color="auto"/>
        <w:right w:val="none" w:sz="0" w:space="0" w:color="auto"/>
      </w:divBdr>
    </w:div>
    <w:div w:id="973020606">
      <w:bodyDiv w:val="1"/>
      <w:marLeft w:val="0"/>
      <w:marRight w:val="0"/>
      <w:marTop w:val="0"/>
      <w:marBottom w:val="0"/>
      <w:divBdr>
        <w:top w:val="none" w:sz="0" w:space="0" w:color="auto"/>
        <w:left w:val="none" w:sz="0" w:space="0" w:color="auto"/>
        <w:bottom w:val="none" w:sz="0" w:space="0" w:color="auto"/>
        <w:right w:val="none" w:sz="0" w:space="0" w:color="auto"/>
      </w:divBdr>
    </w:div>
    <w:div w:id="978152445">
      <w:bodyDiv w:val="1"/>
      <w:marLeft w:val="0"/>
      <w:marRight w:val="0"/>
      <w:marTop w:val="0"/>
      <w:marBottom w:val="0"/>
      <w:divBdr>
        <w:top w:val="none" w:sz="0" w:space="0" w:color="auto"/>
        <w:left w:val="none" w:sz="0" w:space="0" w:color="auto"/>
        <w:bottom w:val="none" w:sz="0" w:space="0" w:color="auto"/>
        <w:right w:val="none" w:sz="0" w:space="0" w:color="auto"/>
      </w:divBdr>
      <w:divsChild>
        <w:div w:id="433013356">
          <w:marLeft w:val="0"/>
          <w:marRight w:val="0"/>
          <w:marTop w:val="0"/>
          <w:marBottom w:val="0"/>
          <w:divBdr>
            <w:top w:val="none" w:sz="0" w:space="0" w:color="auto"/>
            <w:left w:val="none" w:sz="0" w:space="0" w:color="auto"/>
            <w:bottom w:val="none" w:sz="0" w:space="0" w:color="auto"/>
            <w:right w:val="none" w:sz="0" w:space="0" w:color="auto"/>
          </w:divBdr>
        </w:div>
        <w:div w:id="633485383">
          <w:marLeft w:val="0"/>
          <w:marRight w:val="0"/>
          <w:marTop w:val="0"/>
          <w:marBottom w:val="0"/>
          <w:divBdr>
            <w:top w:val="none" w:sz="0" w:space="0" w:color="auto"/>
            <w:left w:val="none" w:sz="0" w:space="0" w:color="auto"/>
            <w:bottom w:val="none" w:sz="0" w:space="0" w:color="auto"/>
            <w:right w:val="none" w:sz="0" w:space="0" w:color="auto"/>
          </w:divBdr>
        </w:div>
      </w:divsChild>
    </w:div>
    <w:div w:id="984705445">
      <w:bodyDiv w:val="1"/>
      <w:marLeft w:val="0"/>
      <w:marRight w:val="0"/>
      <w:marTop w:val="0"/>
      <w:marBottom w:val="0"/>
      <w:divBdr>
        <w:top w:val="none" w:sz="0" w:space="0" w:color="auto"/>
        <w:left w:val="none" w:sz="0" w:space="0" w:color="auto"/>
        <w:bottom w:val="none" w:sz="0" w:space="0" w:color="auto"/>
        <w:right w:val="none" w:sz="0" w:space="0" w:color="auto"/>
      </w:divBdr>
    </w:div>
    <w:div w:id="984816310">
      <w:bodyDiv w:val="1"/>
      <w:marLeft w:val="0"/>
      <w:marRight w:val="0"/>
      <w:marTop w:val="0"/>
      <w:marBottom w:val="0"/>
      <w:divBdr>
        <w:top w:val="none" w:sz="0" w:space="0" w:color="auto"/>
        <w:left w:val="none" w:sz="0" w:space="0" w:color="auto"/>
        <w:bottom w:val="none" w:sz="0" w:space="0" w:color="auto"/>
        <w:right w:val="none" w:sz="0" w:space="0" w:color="auto"/>
      </w:divBdr>
      <w:divsChild>
        <w:div w:id="341973212">
          <w:marLeft w:val="0"/>
          <w:marRight w:val="0"/>
          <w:marTop w:val="0"/>
          <w:marBottom w:val="0"/>
          <w:divBdr>
            <w:top w:val="none" w:sz="0" w:space="0" w:color="auto"/>
            <w:left w:val="none" w:sz="0" w:space="0" w:color="auto"/>
            <w:bottom w:val="none" w:sz="0" w:space="0" w:color="auto"/>
            <w:right w:val="none" w:sz="0" w:space="0" w:color="auto"/>
          </w:divBdr>
          <w:divsChild>
            <w:div w:id="182673282">
              <w:marLeft w:val="0"/>
              <w:marRight w:val="0"/>
              <w:marTop w:val="0"/>
              <w:marBottom w:val="0"/>
              <w:divBdr>
                <w:top w:val="none" w:sz="0" w:space="0" w:color="auto"/>
                <w:left w:val="none" w:sz="0" w:space="0" w:color="auto"/>
                <w:bottom w:val="none" w:sz="0" w:space="0" w:color="auto"/>
                <w:right w:val="none" w:sz="0" w:space="0" w:color="auto"/>
              </w:divBdr>
            </w:div>
            <w:div w:id="616371815">
              <w:marLeft w:val="0"/>
              <w:marRight w:val="0"/>
              <w:marTop w:val="0"/>
              <w:marBottom w:val="0"/>
              <w:divBdr>
                <w:top w:val="none" w:sz="0" w:space="0" w:color="auto"/>
                <w:left w:val="none" w:sz="0" w:space="0" w:color="auto"/>
                <w:bottom w:val="none" w:sz="0" w:space="0" w:color="auto"/>
                <w:right w:val="none" w:sz="0" w:space="0" w:color="auto"/>
              </w:divBdr>
            </w:div>
          </w:divsChild>
        </w:div>
        <w:div w:id="1113590976">
          <w:marLeft w:val="0"/>
          <w:marRight w:val="0"/>
          <w:marTop w:val="0"/>
          <w:marBottom w:val="0"/>
          <w:divBdr>
            <w:top w:val="none" w:sz="0" w:space="0" w:color="auto"/>
            <w:left w:val="none" w:sz="0" w:space="0" w:color="auto"/>
            <w:bottom w:val="none" w:sz="0" w:space="0" w:color="auto"/>
            <w:right w:val="none" w:sz="0" w:space="0" w:color="auto"/>
          </w:divBdr>
        </w:div>
      </w:divsChild>
    </w:div>
    <w:div w:id="987324000">
      <w:bodyDiv w:val="1"/>
      <w:marLeft w:val="0"/>
      <w:marRight w:val="0"/>
      <w:marTop w:val="0"/>
      <w:marBottom w:val="0"/>
      <w:divBdr>
        <w:top w:val="none" w:sz="0" w:space="0" w:color="auto"/>
        <w:left w:val="none" w:sz="0" w:space="0" w:color="auto"/>
        <w:bottom w:val="none" w:sz="0" w:space="0" w:color="auto"/>
        <w:right w:val="none" w:sz="0" w:space="0" w:color="auto"/>
      </w:divBdr>
      <w:divsChild>
        <w:div w:id="261643904">
          <w:marLeft w:val="0"/>
          <w:marRight w:val="0"/>
          <w:marTop w:val="0"/>
          <w:marBottom w:val="0"/>
          <w:divBdr>
            <w:top w:val="none" w:sz="0" w:space="0" w:color="auto"/>
            <w:left w:val="none" w:sz="0" w:space="0" w:color="auto"/>
            <w:bottom w:val="none" w:sz="0" w:space="0" w:color="auto"/>
            <w:right w:val="none" w:sz="0" w:space="0" w:color="auto"/>
          </w:divBdr>
        </w:div>
        <w:div w:id="513612139">
          <w:marLeft w:val="0"/>
          <w:marRight w:val="0"/>
          <w:marTop w:val="0"/>
          <w:marBottom w:val="0"/>
          <w:divBdr>
            <w:top w:val="none" w:sz="0" w:space="0" w:color="auto"/>
            <w:left w:val="none" w:sz="0" w:space="0" w:color="auto"/>
            <w:bottom w:val="none" w:sz="0" w:space="0" w:color="auto"/>
            <w:right w:val="none" w:sz="0" w:space="0" w:color="auto"/>
          </w:divBdr>
        </w:div>
        <w:div w:id="1733767042">
          <w:marLeft w:val="0"/>
          <w:marRight w:val="0"/>
          <w:marTop w:val="0"/>
          <w:marBottom w:val="0"/>
          <w:divBdr>
            <w:top w:val="none" w:sz="0" w:space="0" w:color="auto"/>
            <w:left w:val="none" w:sz="0" w:space="0" w:color="auto"/>
            <w:bottom w:val="none" w:sz="0" w:space="0" w:color="auto"/>
            <w:right w:val="none" w:sz="0" w:space="0" w:color="auto"/>
          </w:divBdr>
        </w:div>
      </w:divsChild>
    </w:div>
    <w:div w:id="994185713">
      <w:bodyDiv w:val="1"/>
      <w:marLeft w:val="0"/>
      <w:marRight w:val="0"/>
      <w:marTop w:val="0"/>
      <w:marBottom w:val="0"/>
      <w:divBdr>
        <w:top w:val="none" w:sz="0" w:space="0" w:color="auto"/>
        <w:left w:val="none" w:sz="0" w:space="0" w:color="auto"/>
        <w:bottom w:val="none" w:sz="0" w:space="0" w:color="auto"/>
        <w:right w:val="none" w:sz="0" w:space="0" w:color="auto"/>
      </w:divBdr>
    </w:div>
    <w:div w:id="995499332">
      <w:bodyDiv w:val="1"/>
      <w:marLeft w:val="0"/>
      <w:marRight w:val="0"/>
      <w:marTop w:val="0"/>
      <w:marBottom w:val="0"/>
      <w:divBdr>
        <w:top w:val="none" w:sz="0" w:space="0" w:color="auto"/>
        <w:left w:val="none" w:sz="0" w:space="0" w:color="auto"/>
        <w:bottom w:val="none" w:sz="0" w:space="0" w:color="auto"/>
        <w:right w:val="none" w:sz="0" w:space="0" w:color="auto"/>
      </w:divBdr>
    </w:div>
    <w:div w:id="995915233">
      <w:bodyDiv w:val="1"/>
      <w:marLeft w:val="0"/>
      <w:marRight w:val="0"/>
      <w:marTop w:val="0"/>
      <w:marBottom w:val="0"/>
      <w:divBdr>
        <w:top w:val="none" w:sz="0" w:space="0" w:color="auto"/>
        <w:left w:val="none" w:sz="0" w:space="0" w:color="auto"/>
        <w:bottom w:val="none" w:sz="0" w:space="0" w:color="auto"/>
        <w:right w:val="none" w:sz="0" w:space="0" w:color="auto"/>
      </w:divBdr>
      <w:divsChild>
        <w:div w:id="1224680092">
          <w:marLeft w:val="0"/>
          <w:marRight w:val="0"/>
          <w:marTop w:val="0"/>
          <w:marBottom w:val="0"/>
          <w:divBdr>
            <w:top w:val="none" w:sz="0" w:space="0" w:color="auto"/>
            <w:left w:val="none" w:sz="0" w:space="0" w:color="auto"/>
            <w:bottom w:val="none" w:sz="0" w:space="0" w:color="auto"/>
            <w:right w:val="none" w:sz="0" w:space="0" w:color="auto"/>
          </w:divBdr>
        </w:div>
        <w:div w:id="2081757177">
          <w:marLeft w:val="0"/>
          <w:marRight w:val="0"/>
          <w:marTop w:val="0"/>
          <w:marBottom w:val="0"/>
          <w:divBdr>
            <w:top w:val="none" w:sz="0" w:space="0" w:color="auto"/>
            <w:left w:val="none" w:sz="0" w:space="0" w:color="auto"/>
            <w:bottom w:val="none" w:sz="0" w:space="0" w:color="auto"/>
            <w:right w:val="none" w:sz="0" w:space="0" w:color="auto"/>
          </w:divBdr>
        </w:div>
      </w:divsChild>
    </w:div>
    <w:div w:id="996957722">
      <w:bodyDiv w:val="1"/>
      <w:marLeft w:val="0"/>
      <w:marRight w:val="0"/>
      <w:marTop w:val="0"/>
      <w:marBottom w:val="0"/>
      <w:divBdr>
        <w:top w:val="none" w:sz="0" w:space="0" w:color="auto"/>
        <w:left w:val="none" w:sz="0" w:space="0" w:color="auto"/>
        <w:bottom w:val="none" w:sz="0" w:space="0" w:color="auto"/>
        <w:right w:val="none" w:sz="0" w:space="0" w:color="auto"/>
      </w:divBdr>
    </w:div>
    <w:div w:id="998968420">
      <w:bodyDiv w:val="1"/>
      <w:marLeft w:val="0"/>
      <w:marRight w:val="0"/>
      <w:marTop w:val="0"/>
      <w:marBottom w:val="0"/>
      <w:divBdr>
        <w:top w:val="none" w:sz="0" w:space="0" w:color="auto"/>
        <w:left w:val="none" w:sz="0" w:space="0" w:color="auto"/>
        <w:bottom w:val="none" w:sz="0" w:space="0" w:color="auto"/>
        <w:right w:val="none" w:sz="0" w:space="0" w:color="auto"/>
      </w:divBdr>
      <w:divsChild>
        <w:div w:id="451365511">
          <w:marLeft w:val="0"/>
          <w:marRight w:val="0"/>
          <w:marTop w:val="0"/>
          <w:marBottom w:val="0"/>
          <w:divBdr>
            <w:top w:val="none" w:sz="0" w:space="0" w:color="auto"/>
            <w:left w:val="none" w:sz="0" w:space="0" w:color="auto"/>
            <w:bottom w:val="none" w:sz="0" w:space="0" w:color="auto"/>
            <w:right w:val="none" w:sz="0" w:space="0" w:color="auto"/>
          </w:divBdr>
        </w:div>
        <w:div w:id="935794280">
          <w:marLeft w:val="0"/>
          <w:marRight w:val="0"/>
          <w:marTop w:val="0"/>
          <w:marBottom w:val="0"/>
          <w:divBdr>
            <w:top w:val="none" w:sz="0" w:space="0" w:color="auto"/>
            <w:left w:val="none" w:sz="0" w:space="0" w:color="auto"/>
            <w:bottom w:val="none" w:sz="0" w:space="0" w:color="auto"/>
            <w:right w:val="none" w:sz="0" w:space="0" w:color="auto"/>
          </w:divBdr>
        </w:div>
        <w:div w:id="1002899386">
          <w:marLeft w:val="0"/>
          <w:marRight w:val="0"/>
          <w:marTop w:val="0"/>
          <w:marBottom w:val="0"/>
          <w:divBdr>
            <w:top w:val="none" w:sz="0" w:space="0" w:color="auto"/>
            <w:left w:val="none" w:sz="0" w:space="0" w:color="auto"/>
            <w:bottom w:val="none" w:sz="0" w:space="0" w:color="auto"/>
            <w:right w:val="none" w:sz="0" w:space="0" w:color="auto"/>
          </w:divBdr>
        </w:div>
        <w:div w:id="1995601426">
          <w:marLeft w:val="0"/>
          <w:marRight w:val="0"/>
          <w:marTop w:val="0"/>
          <w:marBottom w:val="0"/>
          <w:divBdr>
            <w:top w:val="none" w:sz="0" w:space="0" w:color="auto"/>
            <w:left w:val="none" w:sz="0" w:space="0" w:color="auto"/>
            <w:bottom w:val="none" w:sz="0" w:space="0" w:color="auto"/>
            <w:right w:val="none" w:sz="0" w:space="0" w:color="auto"/>
          </w:divBdr>
        </w:div>
        <w:div w:id="2030981229">
          <w:marLeft w:val="0"/>
          <w:marRight w:val="0"/>
          <w:marTop w:val="0"/>
          <w:marBottom w:val="0"/>
          <w:divBdr>
            <w:top w:val="none" w:sz="0" w:space="0" w:color="auto"/>
            <w:left w:val="none" w:sz="0" w:space="0" w:color="auto"/>
            <w:bottom w:val="none" w:sz="0" w:space="0" w:color="auto"/>
            <w:right w:val="none" w:sz="0" w:space="0" w:color="auto"/>
          </w:divBdr>
        </w:div>
      </w:divsChild>
    </w:div>
    <w:div w:id="1006783000">
      <w:bodyDiv w:val="1"/>
      <w:marLeft w:val="0"/>
      <w:marRight w:val="0"/>
      <w:marTop w:val="0"/>
      <w:marBottom w:val="0"/>
      <w:divBdr>
        <w:top w:val="none" w:sz="0" w:space="0" w:color="auto"/>
        <w:left w:val="none" w:sz="0" w:space="0" w:color="auto"/>
        <w:bottom w:val="none" w:sz="0" w:space="0" w:color="auto"/>
        <w:right w:val="none" w:sz="0" w:space="0" w:color="auto"/>
      </w:divBdr>
    </w:div>
    <w:div w:id="1006980031">
      <w:bodyDiv w:val="1"/>
      <w:marLeft w:val="0"/>
      <w:marRight w:val="0"/>
      <w:marTop w:val="0"/>
      <w:marBottom w:val="0"/>
      <w:divBdr>
        <w:top w:val="none" w:sz="0" w:space="0" w:color="auto"/>
        <w:left w:val="none" w:sz="0" w:space="0" w:color="auto"/>
        <w:bottom w:val="none" w:sz="0" w:space="0" w:color="auto"/>
        <w:right w:val="none" w:sz="0" w:space="0" w:color="auto"/>
      </w:divBdr>
      <w:divsChild>
        <w:div w:id="832183863">
          <w:marLeft w:val="0"/>
          <w:marRight w:val="0"/>
          <w:marTop w:val="0"/>
          <w:marBottom w:val="0"/>
          <w:divBdr>
            <w:top w:val="none" w:sz="0" w:space="0" w:color="auto"/>
            <w:left w:val="none" w:sz="0" w:space="0" w:color="auto"/>
            <w:bottom w:val="none" w:sz="0" w:space="0" w:color="auto"/>
            <w:right w:val="none" w:sz="0" w:space="0" w:color="auto"/>
          </w:divBdr>
        </w:div>
        <w:div w:id="1043408430">
          <w:marLeft w:val="0"/>
          <w:marRight w:val="0"/>
          <w:marTop w:val="0"/>
          <w:marBottom w:val="0"/>
          <w:divBdr>
            <w:top w:val="none" w:sz="0" w:space="0" w:color="auto"/>
            <w:left w:val="none" w:sz="0" w:space="0" w:color="auto"/>
            <w:bottom w:val="none" w:sz="0" w:space="0" w:color="auto"/>
            <w:right w:val="none" w:sz="0" w:space="0" w:color="auto"/>
          </w:divBdr>
        </w:div>
      </w:divsChild>
    </w:div>
    <w:div w:id="1008289594">
      <w:bodyDiv w:val="1"/>
      <w:marLeft w:val="0"/>
      <w:marRight w:val="0"/>
      <w:marTop w:val="0"/>
      <w:marBottom w:val="0"/>
      <w:divBdr>
        <w:top w:val="none" w:sz="0" w:space="0" w:color="auto"/>
        <w:left w:val="none" w:sz="0" w:space="0" w:color="auto"/>
        <w:bottom w:val="none" w:sz="0" w:space="0" w:color="auto"/>
        <w:right w:val="none" w:sz="0" w:space="0" w:color="auto"/>
      </w:divBdr>
    </w:div>
    <w:div w:id="1009793398">
      <w:bodyDiv w:val="1"/>
      <w:marLeft w:val="0"/>
      <w:marRight w:val="0"/>
      <w:marTop w:val="0"/>
      <w:marBottom w:val="0"/>
      <w:divBdr>
        <w:top w:val="none" w:sz="0" w:space="0" w:color="auto"/>
        <w:left w:val="none" w:sz="0" w:space="0" w:color="auto"/>
        <w:bottom w:val="none" w:sz="0" w:space="0" w:color="auto"/>
        <w:right w:val="none" w:sz="0" w:space="0" w:color="auto"/>
      </w:divBdr>
      <w:divsChild>
        <w:div w:id="245119417">
          <w:marLeft w:val="0"/>
          <w:marRight w:val="0"/>
          <w:marTop w:val="0"/>
          <w:marBottom w:val="0"/>
          <w:divBdr>
            <w:top w:val="none" w:sz="0" w:space="0" w:color="auto"/>
            <w:left w:val="none" w:sz="0" w:space="0" w:color="auto"/>
            <w:bottom w:val="none" w:sz="0" w:space="0" w:color="auto"/>
            <w:right w:val="none" w:sz="0" w:space="0" w:color="auto"/>
          </w:divBdr>
        </w:div>
        <w:div w:id="323702054">
          <w:marLeft w:val="0"/>
          <w:marRight w:val="0"/>
          <w:marTop w:val="0"/>
          <w:marBottom w:val="0"/>
          <w:divBdr>
            <w:top w:val="none" w:sz="0" w:space="0" w:color="auto"/>
            <w:left w:val="none" w:sz="0" w:space="0" w:color="auto"/>
            <w:bottom w:val="none" w:sz="0" w:space="0" w:color="auto"/>
            <w:right w:val="none" w:sz="0" w:space="0" w:color="auto"/>
          </w:divBdr>
        </w:div>
        <w:div w:id="411127144">
          <w:marLeft w:val="0"/>
          <w:marRight w:val="0"/>
          <w:marTop w:val="0"/>
          <w:marBottom w:val="0"/>
          <w:divBdr>
            <w:top w:val="none" w:sz="0" w:space="0" w:color="auto"/>
            <w:left w:val="none" w:sz="0" w:space="0" w:color="auto"/>
            <w:bottom w:val="none" w:sz="0" w:space="0" w:color="auto"/>
            <w:right w:val="none" w:sz="0" w:space="0" w:color="auto"/>
          </w:divBdr>
        </w:div>
        <w:div w:id="753862978">
          <w:marLeft w:val="0"/>
          <w:marRight w:val="0"/>
          <w:marTop w:val="0"/>
          <w:marBottom w:val="0"/>
          <w:divBdr>
            <w:top w:val="none" w:sz="0" w:space="0" w:color="auto"/>
            <w:left w:val="none" w:sz="0" w:space="0" w:color="auto"/>
            <w:bottom w:val="none" w:sz="0" w:space="0" w:color="auto"/>
            <w:right w:val="none" w:sz="0" w:space="0" w:color="auto"/>
          </w:divBdr>
        </w:div>
        <w:div w:id="1518694955">
          <w:marLeft w:val="0"/>
          <w:marRight w:val="0"/>
          <w:marTop w:val="0"/>
          <w:marBottom w:val="0"/>
          <w:divBdr>
            <w:top w:val="none" w:sz="0" w:space="0" w:color="auto"/>
            <w:left w:val="none" w:sz="0" w:space="0" w:color="auto"/>
            <w:bottom w:val="none" w:sz="0" w:space="0" w:color="auto"/>
            <w:right w:val="none" w:sz="0" w:space="0" w:color="auto"/>
          </w:divBdr>
        </w:div>
        <w:div w:id="2139955643">
          <w:marLeft w:val="0"/>
          <w:marRight w:val="0"/>
          <w:marTop w:val="0"/>
          <w:marBottom w:val="0"/>
          <w:divBdr>
            <w:top w:val="none" w:sz="0" w:space="0" w:color="auto"/>
            <w:left w:val="none" w:sz="0" w:space="0" w:color="auto"/>
            <w:bottom w:val="none" w:sz="0" w:space="0" w:color="auto"/>
            <w:right w:val="none" w:sz="0" w:space="0" w:color="auto"/>
          </w:divBdr>
        </w:div>
      </w:divsChild>
    </w:div>
    <w:div w:id="1011252621">
      <w:bodyDiv w:val="1"/>
      <w:marLeft w:val="0"/>
      <w:marRight w:val="0"/>
      <w:marTop w:val="0"/>
      <w:marBottom w:val="0"/>
      <w:divBdr>
        <w:top w:val="none" w:sz="0" w:space="0" w:color="auto"/>
        <w:left w:val="none" w:sz="0" w:space="0" w:color="auto"/>
        <w:bottom w:val="none" w:sz="0" w:space="0" w:color="auto"/>
        <w:right w:val="none" w:sz="0" w:space="0" w:color="auto"/>
      </w:divBdr>
    </w:div>
    <w:div w:id="1011300151">
      <w:bodyDiv w:val="1"/>
      <w:marLeft w:val="0"/>
      <w:marRight w:val="0"/>
      <w:marTop w:val="0"/>
      <w:marBottom w:val="0"/>
      <w:divBdr>
        <w:top w:val="none" w:sz="0" w:space="0" w:color="auto"/>
        <w:left w:val="none" w:sz="0" w:space="0" w:color="auto"/>
        <w:bottom w:val="none" w:sz="0" w:space="0" w:color="auto"/>
        <w:right w:val="none" w:sz="0" w:space="0" w:color="auto"/>
      </w:divBdr>
    </w:div>
    <w:div w:id="1012301062">
      <w:bodyDiv w:val="1"/>
      <w:marLeft w:val="0"/>
      <w:marRight w:val="0"/>
      <w:marTop w:val="0"/>
      <w:marBottom w:val="0"/>
      <w:divBdr>
        <w:top w:val="none" w:sz="0" w:space="0" w:color="auto"/>
        <w:left w:val="none" w:sz="0" w:space="0" w:color="auto"/>
        <w:bottom w:val="none" w:sz="0" w:space="0" w:color="auto"/>
        <w:right w:val="none" w:sz="0" w:space="0" w:color="auto"/>
      </w:divBdr>
      <w:divsChild>
        <w:div w:id="3287459">
          <w:marLeft w:val="0"/>
          <w:marRight w:val="0"/>
          <w:marTop w:val="0"/>
          <w:marBottom w:val="0"/>
          <w:divBdr>
            <w:top w:val="none" w:sz="0" w:space="0" w:color="auto"/>
            <w:left w:val="none" w:sz="0" w:space="0" w:color="auto"/>
            <w:bottom w:val="none" w:sz="0" w:space="0" w:color="auto"/>
            <w:right w:val="none" w:sz="0" w:space="0" w:color="auto"/>
          </w:divBdr>
        </w:div>
        <w:div w:id="1671954614">
          <w:marLeft w:val="0"/>
          <w:marRight w:val="0"/>
          <w:marTop w:val="0"/>
          <w:marBottom w:val="0"/>
          <w:divBdr>
            <w:top w:val="none" w:sz="0" w:space="0" w:color="auto"/>
            <w:left w:val="none" w:sz="0" w:space="0" w:color="auto"/>
            <w:bottom w:val="none" w:sz="0" w:space="0" w:color="auto"/>
            <w:right w:val="none" w:sz="0" w:space="0" w:color="auto"/>
          </w:divBdr>
        </w:div>
      </w:divsChild>
    </w:div>
    <w:div w:id="1013648902">
      <w:bodyDiv w:val="1"/>
      <w:marLeft w:val="0"/>
      <w:marRight w:val="0"/>
      <w:marTop w:val="0"/>
      <w:marBottom w:val="0"/>
      <w:divBdr>
        <w:top w:val="none" w:sz="0" w:space="0" w:color="auto"/>
        <w:left w:val="none" w:sz="0" w:space="0" w:color="auto"/>
        <w:bottom w:val="none" w:sz="0" w:space="0" w:color="auto"/>
        <w:right w:val="none" w:sz="0" w:space="0" w:color="auto"/>
      </w:divBdr>
      <w:divsChild>
        <w:div w:id="388962934">
          <w:marLeft w:val="0"/>
          <w:marRight w:val="0"/>
          <w:marTop w:val="0"/>
          <w:marBottom w:val="0"/>
          <w:divBdr>
            <w:top w:val="none" w:sz="0" w:space="0" w:color="auto"/>
            <w:left w:val="none" w:sz="0" w:space="0" w:color="auto"/>
            <w:bottom w:val="none" w:sz="0" w:space="0" w:color="auto"/>
            <w:right w:val="none" w:sz="0" w:space="0" w:color="auto"/>
          </w:divBdr>
        </w:div>
        <w:div w:id="643394324">
          <w:marLeft w:val="0"/>
          <w:marRight w:val="0"/>
          <w:marTop w:val="0"/>
          <w:marBottom w:val="0"/>
          <w:divBdr>
            <w:top w:val="none" w:sz="0" w:space="0" w:color="auto"/>
            <w:left w:val="none" w:sz="0" w:space="0" w:color="auto"/>
            <w:bottom w:val="none" w:sz="0" w:space="0" w:color="auto"/>
            <w:right w:val="none" w:sz="0" w:space="0" w:color="auto"/>
          </w:divBdr>
        </w:div>
        <w:div w:id="1250386538">
          <w:marLeft w:val="0"/>
          <w:marRight w:val="0"/>
          <w:marTop w:val="0"/>
          <w:marBottom w:val="0"/>
          <w:divBdr>
            <w:top w:val="none" w:sz="0" w:space="0" w:color="auto"/>
            <w:left w:val="none" w:sz="0" w:space="0" w:color="auto"/>
            <w:bottom w:val="none" w:sz="0" w:space="0" w:color="auto"/>
            <w:right w:val="none" w:sz="0" w:space="0" w:color="auto"/>
          </w:divBdr>
        </w:div>
      </w:divsChild>
    </w:div>
    <w:div w:id="1021277457">
      <w:bodyDiv w:val="1"/>
      <w:marLeft w:val="0"/>
      <w:marRight w:val="0"/>
      <w:marTop w:val="0"/>
      <w:marBottom w:val="0"/>
      <w:divBdr>
        <w:top w:val="none" w:sz="0" w:space="0" w:color="auto"/>
        <w:left w:val="none" w:sz="0" w:space="0" w:color="auto"/>
        <w:bottom w:val="none" w:sz="0" w:space="0" w:color="auto"/>
        <w:right w:val="none" w:sz="0" w:space="0" w:color="auto"/>
      </w:divBdr>
    </w:div>
    <w:div w:id="1021397793">
      <w:bodyDiv w:val="1"/>
      <w:marLeft w:val="0"/>
      <w:marRight w:val="0"/>
      <w:marTop w:val="0"/>
      <w:marBottom w:val="0"/>
      <w:divBdr>
        <w:top w:val="none" w:sz="0" w:space="0" w:color="auto"/>
        <w:left w:val="none" w:sz="0" w:space="0" w:color="auto"/>
        <w:bottom w:val="none" w:sz="0" w:space="0" w:color="auto"/>
        <w:right w:val="none" w:sz="0" w:space="0" w:color="auto"/>
      </w:divBdr>
    </w:div>
    <w:div w:id="1025864676">
      <w:bodyDiv w:val="1"/>
      <w:marLeft w:val="0"/>
      <w:marRight w:val="0"/>
      <w:marTop w:val="0"/>
      <w:marBottom w:val="0"/>
      <w:divBdr>
        <w:top w:val="none" w:sz="0" w:space="0" w:color="auto"/>
        <w:left w:val="none" w:sz="0" w:space="0" w:color="auto"/>
        <w:bottom w:val="none" w:sz="0" w:space="0" w:color="auto"/>
        <w:right w:val="none" w:sz="0" w:space="0" w:color="auto"/>
      </w:divBdr>
    </w:div>
    <w:div w:id="1028095644">
      <w:bodyDiv w:val="1"/>
      <w:marLeft w:val="0"/>
      <w:marRight w:val="0"/>
      <w:marTop w:val="0"/>
      <w:marBottom w:val="0"/>
      <w:divBdr>
        <w:top w:val="none" w:sz="0" w:space="0" w:color="auto"/>
        <w:left w:val="none" w:sz="0" w:space="0" w:color="auto"/>
        <w:bottom w:val="none" w:sz="0" w:space="0" w:color="auto"/>
        <w:right w:val="none" w:sz="0" w:space="0" w:color="auto"/>
      </w:divBdr>
      <w:divsChild>
        <w:div w:id="838079349">
          <w:marLeft w:val="0"/>
          <w:marRight w:val="0"/>
          <w:marTop w:val="0"/>
          <w:marBottom w:val="0"/>
          <w:divBdr>
            <w:top w:val="none" w:sz="0" w:space="0" w:color="auto"/>
            <w:left w:val="none" w:sz="0" w:space="0" w:color="auto"/>
            <w:bottom w:val="none" w:sz="0" w:space="0" w:color="auto"/>
            <w:right w:val="none" w:sz="0" w:space="0" w:color="auto"/>
          </w:divBdr>
        </w:div>
        <w:div w:id="2134211377">
          <w:marLeft w:val="0"/>
          <w:marRight w:val="0"/>
          <w:marTop w:val="0"/>
          <w:marBottom w:val="0"/>
          <w:divBdr>
            <w:top w:val="none" w:sz="0" w:space="0" w:color="auto"/>
            <w:left w:val="none" w:sz="0" w:space="0" w:color="auto"/>
            <w:bottom w:val="none" w:sz="0" w:space="0" w:color="auto"/>
            <w:right w:val="none" w:sz="0" w:space="0" w:color="auto"/>
          </w:divBdr>
        </w:div>
      </w:divsChild>
    </w:div>
    <w:div w:id="1028262221">
      <w:bodyDiv w:val="1"/>
      <w:marLeft w:val="0"/>
      <w:marRight w:val="0"/>
      <w:marTop w:val="0"/>
      <w:marBottom w:val="0"/>
      <w:divBdr>
        <w:top w:val="none" w:sz="0" w:space="0" w:color="auto"/>
        <w:left w:val="none" w:sz="0" w:space="0" w:color="auto"/>
        <w:bottom w:val="none" w:sz="0" w:space="0" w:color="auto"/>
        <w:right w:val="none" w:sz="0" w:space="0" w:color="auto"/>
      </w:divBdr>
      <w:divsChild>
        <w:div w:id="761725244">
          <w:marLeft w:val="0"/>
          <w:marRight w:val="0"/>
          <w:marTop w:val="0"/>
          <w:marBottom w:val="0"/>
          <w:divBdr>
            <w:top w:val="none" w:sz="0" w:space="0" w:color="auto"/>
            <w:left w:val="none" w:sz="0" w:space="0" w:color="auto"/>
            <w:bottom w:val="none" w:sz="0" w:space="0" w:color="auto"/>
            <w:right w:val="none" w:sz="0" w:space="0" w:color="auto"/>
          </w:divBdr>
        </w:div>
        <w:div w:id="1788154906">
          <w:marLeft w:val="0"/>
          <w:marRight w:val="0"/>
          <w:marTop w:val="0"/>
          <w:marBottom w:val="0"/>
          <w:divBdr>
            <w:top w:val="none" w:sz="0" w:space="0" w:color="auto"/>
            <w:left w:val="none" w:sz="0" w:space="0" w:color="auto"/>
            <w:bottom w:val="none" w:sz="0" w:space="0" w:color="auto"/>
            <w:right w:val="none" w:sz="0" w:space="0" w:color="auto"/>
          </w:divBdr>
        </w:div>
      </w:divsChild>
    </w:div>
    <w:div w:id="1028919376">
      <w:bodyDiv w:val="1"/>
      <w:marLeft w:val="0"/>
      <w:marRight w:val="0"/>
      <w:marTop w:val="0"/>
      <w:marBottom w:val="0"/>
      <w:divBdr>
        <w:top w:val="none" w:sz="0" w:space="0" w:color="auto"/>
        <w:left w:val="none" w:sz="0" w:space="0" w:color="auto"/>
        <w:bottom w:val="none" w:sz="0" w:space="0" w:color="auto"/>
        <w:right w:val="none" w:sz="0" w:space="0" w:color="auto"/>
      </w:divBdr>
    </w:div>
    <w:div w:id="1033652440">
      <w:bodyDiv w:val="1"/>
      <w:marLeft w:val="0"/>
      <w:marRight w:val="0"/>
      <w:marTop w:val="0"/>
      <w:marBottom w:val="0"/>
      <w:divBdr>
        <w:top w:val="none" w:sz="0" w:space="0" w:color="auto"/>
        <w:left w:val="none" w:sz="0" w:space="0" w:color="auto"/>
        <w:bottom w:val="none" w:sz="0" w:space="0" w:color="auto"/>
        <w:right w:val="none" w:sz="0" w:space="0" w:color="auto"/>
      </w:divBdr>
      <w:divsChild>
        <w:div w:id="149905320">
          <w:marLeft w:val="0"/>
          <w:marRight w:val="0"/>
          <w:marTop w:val="0"/>
          <w:marBottom w:val="0"/>
          <w:divBdr>
            <w:top w:val="none" w:sz="0" w:space="0" w:color="auto"/>
            <w:left w:val="none" w:sz="0" w:space="0" w:color="auto"/>
            <w:bottom w:val="none" w:sz="0" w:space="0" w:color="auto"/>
            <w:right w:val="none" w:sz="0" w:space="0" w:color="auto"/>
          </w:divBdr>
        </w:div>
        <w:div w:id="1588148389">
          <w:marLeft w:val="0"/>
          <w:marRight w:val="0"/>
          <w:marTop w:val="0"/>
          <w:marBottom w:val="0"/>
          <w:divBdr>
            <w:top w:val="none" w:sz="0" w:space="0" w:color="auto"/>
            <w:left w:val="none" w:sz="0" w:space="0" w:color="auto"/>
            <w:bottom w:val="none" w:sz="0" w:space="0" w:color="auto"/>
            <w:right w:val="none" w:sz="0" w:space="0" w:color="auto"/>
          </w:divBdr>
        </w:div>
        <w:div w:id="1688557670">
          <w:marLeft w:val="0"/>
          <w:marRight w:val="0"/>
          <w:marTop w:val="0"/>
          <w:marBottom w:val="0"/>
          <w:divBdr>
            <w:top w:val="none" w:sz="0" w:space="0" w:color="auto"/>
            <w:left w:val="none" w:sz="0" w:space="0" w:color="auto"/>
            <w:bottom w:val="none" w:sz="0" w:space="0" w:color="auto"/>
            <w:right w:val="none" w:sz="0" w:space="0" w:color="auto"/>
          </w:divBdr>
        </w:div>
      </w:divsChild>
    </w:div>
    <w:div w:id="1037507719">
      <w:bodyDiv w:val="1"/>
      <w:marLeft w:val="0"/>
      <w:marRight w:val="0"/>
      <w:marTop w:val="0"/>
      <w:marBottom w:val="0"/>
      <w:divBdr>
        <w:top w:val="none" w:sz="0" w:space="0" w:color="auto"/>
        <w:left w:val="none" w:sz="0" w:space="0" w:color="auto"/>
        <w:bottom w:val="none" w:sz="0" w:space="0" w:color="auto"/>
        <w:right w:val="none" w:sz="0" w:space="0" w:color="auto"/>
      </w:divBdr>
      <w:divsChild>
        <w:div w:id="35392404">
          <w:marLeft w:val="0"/>
          <w:marRight w:val="0"/>
          <w:marTop w:val="0"/>
          <w:marBottom w:val="0"/>
          <w:divBdr>
            <w:top w:val="none" w:sz="0" w:space="0" w:color="auto"/>
            <w:left w:val="none" w:sz="0" w:space="0" w:color="auto"/>
            <w:bottom w:val="none" w:sz="0" w:space="0" w:color="auto"/>
            <w:right w:val="none" w:sz="0" w:space="0" w:color="auto"/>
          </w:divBdr>
        </w:div>
        <w:div w:id="795176095">
          <w:marLeft w:val="0"/>
          <w:marRight w:val="0"/>
          <w:marTop w:val="0"/>
          <w:marBottom w:val="0"/>
          <w:divBdr>
            <w:top w:val="none" w:sz="0" w:space="0" w:color="auto"/>
            <w:left w:val="none" w:sz="0" w:space="0" w:color="auto"/>
            <w:bottom w:val="none" w:sz="0" w:space="0" w:color="auto"/>
            <w:right w:val="none" w:sz="0" w:space="0" w:color="auto"/>
          </w:divBdr>
        </w:div>
        <w:div w:id="957642026">
          <w:marLeft w:val="0"/>
          <w:marRight w:val="0"/>
          <w:marTop w:val="0"/>
          <w:marBottom w:val="0"/>
          <w:divBdr>
            <w:top w:val="none" w:sz="0" w:space="0" w:color="auto"/>
            <w:left w:val="none" w:sz="0" w:space="0" w:color="auto"/>
            <w:bottom w:val="none" w:sz="0" w:space="0" w:color="auto"/>
            <w:right w:val="none" w:sz="0" w:space="0" w:color="auto"/>
          </w:divBdr>
        </w:div>
      </w:divsChild>
    </w:div>
    <w:div w:id="1039277596">
      <w:bodyDiv w:val="1"/>
      <w:marLeft w:val="0"/>
      <w:marRight w:val="0"/>
      <w:marTop w:val="0"/>
      <w:marBottom w:val="0"/>
      <w:divBdr>
        <w:top w:val="none" w:sz="0" w:space="0" w:color="auto"/>
        <w:left w:val="none" w:sz="0" w:space="0" w:color="auto"/>
        <w:bottom w:val="none" w:sz="0" w:space="0" w:color="auto"/>
        <w:right w:val="none" w:sz="0" w:space="0" w:color="auto"/>
      </w:divBdr>
      <w:divsChild>
        <w:div w:id="897941334">
          <w:marLeft w:val="0"/>
          <w:marRight w:val="0"/>
          <w:marTop w:val="0"/>
          <w:marBottom w:val="0"/>
          <w:divBdr>
            <w:top w:val="none" w:sz="0" w:space="0" w:color="auto"/>
            <w:left w:val="none" w:sz="0" w:space="0" w:color="auto"/>
            <w:bottom w:val="none" w:sz="0" w:space="0" w:color="auto"/>
            <w:right w:val="none" w:sz="0" w:space="0" w:color="auto"/>
          </w:divBdr>
        </w:div>
        <w:div w:id="1602183309">
          <w:marLeft w:val="0"/>
          <w:marRight w:val="0"/>
          <w:marTop w:val="0"/>
          <w:marBottom w:val="0"/>
          <w:divBdr>
            <w:top w:val="none" w:sz="0" w:space="0" w:color="auto"/>
            <w:left w:val="none" w:sz="0" w:space="0" w:color="auto"/>
            <w:bottom w:val="none" w:sz="0" w:space="0" w:color="auto"/>
            <w:right w:val="none" w:sz="0" w:space="0" w:color="auto"/>
          </w:divBdr>
        </w:div>
      </w:divsChild>
    </w:div>
    <w:div w:id="1039822569">
      <w:bodyDiv w:val="1"/>
      <w:marLeft w:val="0"/>
      <w:marRight w:val="0"/>
      <w:marTop w:val="0"/>
      <w:marBottom w:val="0"/>
      <w:divBdr>
        <w:top w:val="none" w:sz="0" w:space="0" w:color="auto"/>
        <w:left w:val="none" w:sz="0" w:space="0" w:color="auto"/>
        <w:bottom w:val="none" w:sz="0" w:space="0" w:color="auto"/>
        <w:right w:val="none" w:sz="0" w:space="0" w:color="auto"/>
      </w:divBdr>
    </w:div>
    <w:div w:id="1041975824">
      <w:bodyDiv w:val="1"/>
      <w:marLeft w:val="0"/>
      <w:marRight w:val="0"/>
      <w:marTop w:val="0"/>
      <w:marBottom w:val="0"/>
      <w:divBdr>
        <w:top w:val="none" w:sz="0" w:space="0" w:color="auto"/>
        <w:left w:val="none" w:sz="0" w:space="0" w:color="auto"/>
        <w:bottom w:val="none" w:sz="0" w:space="0" w:color="auto"/>
        <w:right w:val="none" w:sz="0" w:space="0" w:color="auto"/>
      </w:divBdr>
    </w:div>
    <w:div w:id="1043210763">
      <w:bodyDiv w:val="1"/>
      <w:marLeft w:val="0"/>
      <w:marRight w:val="0"/>
      <w:marTop w:val="0"/>
      <w:marBottom w:val="0"/>
      <w:divBdr>
        <w:top w:val="none" w:sz="0" w:space="0" w:color="auto"/>
        <w:left w:val="none" w:sz="0" w:space="0" w:color="auto"/>
        <w:bottom w:val="none" w:sz="0" w:space="0" w:color="auto"/>
        <w:right w:val="none" w:sz="0" w:space="0" w:color="auto"/>
      </w:divBdr>
    </w:div>
    <w:div w:id="1047098519">
      <w:bodyDiv w:val="1"/>
      <w:marLeft w:val="0"/>
      <w:marRight w:val="0"/>
      <w:marTop w:val="0"/>
      <w:marBottom w:val="0"/>
      <w:divBdr>
        <w:top w:val="none" w:sz="0" w:space="0" w:color="auto"/>
        <w:left w:val="none" w:sz="0" w:space="0" w:color="auto"/>
        <w:bottom w:val="none" w:sz="0" w:space="0" w:color="auto"/>
        <w:right w:val="none" w:sz="0" w:space="0" w:color="auto"/>
      </w:divBdr>
    </w:div>
    <w:div w:id="1049651666">
      <w:bodyDiv w:val="1"/>
      <w:marLeft w:val="0"/>
      <w:marRight w:val="0"/>
      <w:marTop w:val="0"/>
      <w:marBottom w:val="0"/>
      <w:divBdr>
        <w:top w:val="none" w:sz="0" w:space="0" w:color="auto"/>
        <w:left w:val="none" w:sz="0" w:space="0" w:color="auto"/>
        <w:bottom w:val="none" w:sz="0" w:space="0" w:color="auto"/>
        <w:right w:val="none" w:sz="0" w:space="0" w:color="auto"/>
      </w:divBdr>
      <w:divsChild>
        <w:div w:id="530071094">
          <w:marLeft w:val="0"/>
          <w:marRight w:val="0"/>
          <w:marTop w:val="0"/>
          <w:marBottom w:val="0"/>
          <w:divBdr>
            <w:top w:val="none" w:sz="0" w:space="0" w:color="auto"/>
            <w:left w:val="none" w:sz="0" w:space="0" w:color="auto"/>
            <w:bottom w:val="none" w:sz="0" w:space="0" w:color="auto"/>
            <w:right w:val="none" w:sz="0" w:space="0" w:color="auto"/>
          </w:divBdr>
        </w:div>
        <w:div w:id="785349548">
          <w:marLeft w:val="0"/>
          <w:marRight w:val="0"/>
          <w:marTop w:val="0"/>
          <w:marBottom w:val="0"/>
          <w:divBdr>
            <w:top w:val="none" w:sz="0" w:space="0" w:color="auto"/>
            <w:left w:val="none" w:sz="0" w:space="0" w:color="auto"/>
            <w:bottom w:val="none" w:sz="0" w:space="0" w:color="auto"/>
            <w:right w:val="none" w:sz="0" w:space="0" w:color="auto"/>
          </w:divBdr>
        </w:div>
        <w:div w:id="1750999277">
          <w:marLeft w:val="0"/>
          <w:marRight w:val="0"/>
          <w:marTop w:val="0"/>
          <w:marBottom w:val="0"/>
          <w:divBdr>
            <w:top w:val="none" w:sz="0" w:space="0" w:color="auto"/>
            <w:left w:val="none" w:sz="0" w:space="0" w:color="auto"/>
            <w:bottom w:val="none" w:sz="0" w:space="0" w:color="auto"/>
            <w:right w:val="none" w:sz="0" w:space="0" w:color="auto"/>
          </w:divBdr>
        </w:div>
      </w:divsChild>
    </w:div>
    <w:div w:id="1051030117">
      <w:bodyDiv w:val="1"/>
      <w:marLeft w:val="0"/>
      <w:marRight w:val="0"/>
      <w:marTop w:val="0"/>
      <w:marBottom w:val="0"/>
      <w:divBdr>
        <w:top w:val="none" w:sz="0" w:space="0" w:color="auto"/>
        <w:left w:val="none" w:sz="0" w:space="0" w:color="auto"/>
        <w:bottom w:val="none" w:sz="0" w:space="0" w:color="auto"/>
        <w:right w:val="none" w:sz="0" w:space="0" w:color="auto"/>
      </w:divBdr>
    </w:div>
    <w:div w:id="1053844549">
      <w:bodyDiv w:val="1"/>
      <w:marLeft w:val="0"/>
      <w:marRight w:val="0"/>
      <w:marTop w:val="0"/>
      <w:marBottom w:val="0"/>
      <w:divBdr>
        <w:top w:val="none" w:sz="0" w:space="0" w:color="auto"/>
        <w:left w:val="none" w:sz="0" w:space="0" w:color="auto"/>
        <w:bottom w:val="none" w:sz="0" w:space="0" w:color="auto"/>
        <w:right w:val="none" w:sz="0" w:space="0" w:color="auto"/>
      </w:divBdr>
    </w:div>
    <w:div w:id="1057049494">
      <w:bodyDiv w:val="1"/>
      <w:marLeft w:val="0"/>
      <w:marRight w:val="0"/>
      <w:marTop w:val="0"/>
      <w:marBottom w:val="0"/>
      <w:divBdr>
        <w:top w:val="none" w:sz="0" w:space="0" w:color="auto"/>
        <w:left w:val="none" w:sz="0" w:space="0" w:color="auto"/>
        <w:bottom w:val="none" w:sz="0" w:space="0" w:color="auto"/>
        <w:right w:val="none" w:sz="0" w:space="0" w:color="auto"/>
      </w:divBdr>
      <w:divsChild>
        <w:div w:id="836843991">
          <w:marLeft w:val="0"/>
          <w:marRight w:val="0"/>
          <w:marTop w:val="0"/>
          <w:marBottom w:val="0"/>
          <w:divBdr>
            <w:top w:val="none" w:sz="0" w:space="0" w:color="auto"/>
            <w:left w:val="none" w:sz="0" w:space="0" w:color="auto"/>
            <w:bottom w:val="none" w:sz="0" w:space="0" w:color="auto"/>
            <w:right w:val="none" w:sz="0" w:space="0" w:color="auto"/>
          </w:divBdr>
        </w:div>
        <w:div w:id="1720277941">
          <w:marLeft w:val="0"/>
          <w:marRight w:val="0"/>
          <w:marTop w:val="0"/>
          <w:marBottom w:val="0"/>
          <w:divBdr>
            <w:top w:val="none" w:sz="0" w:space="0" w:color="auto"/>
            <w:left w:val="none" w:sz="0" w:space="0" w:color="auto"/>
            <w:bottom w:val="none" w:sz="0" w:space="0" w:color="auto"/>
            <w:right w:val="none" w:sz="0" w:space="0" w:color="auto"/>
          </w:divBdr>
        </w:div>
        <w:div w:id="2038772899">
          <w:marLeft w:val="0"/>
          <w:marRight w:val="0"/>
          <w:marTop w:val="0"/>
          <w:marBottom w:val="0"/>
          <w:divBdr>
            <w:top w:val="none" w:sz="0" w:space="0" w:color="auto"/>
            <w:left w:val="none" w:sz="0" w:space="0" w:color="auto"/>
            <w:bottom w:val="none" w:sz="0" w:space="0" w:color="auto"/>
            <w:right w:val="none" w:sz="0" w:space="0" w:color="auto"/>
          </w:divBdr>
        </w:div>
      </w:divsChild>
    </w:div>
    <w:div w:id="1058550471">
      <w:bodyDiv w:val="1"/>
      <w:marLeft w:val="0"/>
      <w:marRight w:val="0"/>
      <w:marTop w:val="0"/>
      <w:marBottom w:val="0"/>
      <w:divBdr>
        <w:top w:val="none" w:sz="0" w:space="0" w:color="auto"/>
        <w:left w:val="none" w:sz="0" w:space="0" w:color="auto"/>
        <w:bottom w:val="none" w:sz="0" w:space="0" w:color="auto"/>
        <w:right w:val="none" w:sz="0" w:space="0" w:color="auto"/>
      </w:divBdr>
    </w:div>
    <w:div w:id="1058748131">
      <w:bodyDiv w:val="1"/>
      <w:marLeft w:val="0"/>
      <w:marRight w:val="0"/>
      <w:marTop w:val="0"/>
      <w:marBottom w:val="0"/>
      <w:divBdr>
        <w:top w:val="none" w:sz="0" w:space="0" w:color="auto"/>
        <w:left w:val="none" w:sz="0" w:space="0" w:color="auto"/>
        <w:bottom w:val="none" w:sz="0" w:space="0" w:color="auto"/>
        <w:right w:val="none" w:sz="0" w:space="0" w:color="auto"/>
      </w:divBdr>
    </w:div>
    <w:div w:id="1059062407">
      <w:bodyDiv w:val="1"/>
      <w:marLeft w:val="0"/>
      <w:marRight w:val="0"/>
      <w:marTop w:val="0"/>
      <w:marBottom w:val="0"/>
      <w:divBdr>
        <w:top w:val="none" w:sz="0" w:space="0" w:color="auto"/>
        <w:left w:val="none" w:sz="0" w:space="0" w:color="auto"/>
        <w:bottom w:val="none" w:sz="0" w:space="0" w:color="auto"/>
        <w:right w:val="none" w:sz="0" w:space="0" w:color="auto"/>
      </w:divBdr>
    </w:div>
    <w:div w:id="1059400264">
      <w:bodyDiv w:val="1"/>
      <w:marLeft w:val="0"/>
      <w:marRight w:val="0"/>
      <w:marTop w:val="0"/>
      <w:marBottom w:val="0"/>
      <w:divBdr>
        <w:top w:val="none" w:sz="0" w:space="0" w:color="auto"/>
        <w:left w:val="none" w:sz="0" w:space="0" w:color="auto"/>
        <w:bottom w:val="none" w:sz="0" w:space="0" w:color="auto"/>
        <w:right w:val="none" w:sz="0" w:space="0" w:color="auto"/>
      </w:divBdr>
    </w:div>
    <w:div w:id="1062755977">
      <w:bodyDiv w:val="1"/>
      <w:marLeft w:val="0"/>
      <w:marRight w:val="0"/>
      <w:marTop w:val="0"/>
      <w:marBottom w:val="0"/>
      <w:divBdr>
        <w:top w:val="none" w:sz="0" w:space="0" w:color="auto"/>
        <w:left w:val="none" w:sz="0" w:space="0" w:color="auto"/>
        <w:bottom w:val="none" w:sz="0" w:space="0" w:color="auto"/>
        <w:right w:val="none" w:sz="0" w:space="0" w:color="auto"/>
      </w:divBdr>
    </w:div>
    <w:div w:id="1063287130">
      <w:bodyDiv w:val="1"/>
      <w:marLeft w:val="0"/>
      <w:marRight w:val="0"/>
      <w:marTop w:val="0"/>
      <w:marBottom w:val="0"/>
      <w:divBdr>
        <w:top w:val="none" w:sz="0" w:space="0" w:color="auto"/>
        <w:left w:val="none" w:sz="0" w:space="0" w:color="auto"/>
        <w:bottom w:val="none" w:sz="0" w:space="0" w:color="auto"/>
        <w:right w:val="none" w:sz="0" w:space="0" w:color="auto"/>
      </w:divBdr>
    </w:div>
    <w:div w:id="1064521532">
      <w:bodyDiv w:val="1"/>
      <w:marLeft w:val="0"/>
      <w:marRight w:val="0"/>
      <w:marTop w:val="0"/>
      <w:marBottom w:val="0"/>
      <w:divBdr>
        <w:top w:val="none" w:sz="0" w:space="0" w:color="auto"/>
        <w:left w:val="none" w:sz="0" w:space="0" w:color="auto"/>
        <w:bottom w:val="none" w:sz="0" w:space="0" w:color="auto"/>
        <w:right w:val="none" w:sz="0" w:space="0" w:color="auto"/>
      </w:divBdr>
      <w:divsChild>
        <w:div w:id="99033972">
          <w:marLeft w:val="0"/>
          <w:marRight w:val="0"/>
          <w:marTop w:val="0"/>
          <w:marBottom w:val="0"/>
          <w:divBdr>
            <w:top w:val="none" w:sz="0" w:space="0" w:color="auto"/>
            <w:left w:val="none" w:sz="0" w:space="0" w:color="auto"/>
            <w:bottom w:val="none" w:sz="0" w:space="0" w:color="auto"/>
            <w:right w:val="none" w:sz="0" w:space="0" w:color="auto"/>
          </w:divBdr>
          <w:divsChild>
            <w:div w:id="1416315348">
              <w:marLeft w:val="0"/>
              <w:marRight w:val="0"/>
              <w:marTop w:val="0"/>
              <w:marBottom w:val="0"/>
              <w:divBdr>
                <w:top w:val="none" w:sz="0" w:space="0" w:color="auto"/>
                <w:left w:val="none" w:sz="0" w:space="0" w:color="auto"/>
                <w:bottom w:val="none" w:sz="0" w:space="0" w:color="auto"/>
                <w:right w:val="none" w:sz="0" w:space="0" w:color="auto"/>
              </w:divBdr>
            </w:div>
          </w:divsChild>
        </w:div>
        <w:div w:id="455300534">
          <w:marLeft w:val="0"/>
          <w:marRight w:val="0"/>
          <w:marTop w:val="0"/>
          <w:marBottom w:val="0"/>
          <w:divBdr>
            <w:top w:val="none" w:sz="0" w:space="0" w:color="auto"/>
            <w:left w:val="none" w:sz="0" w:space="0" w:color="auto"/>
            <w:bottom w:val="none" w:sz="0" w:space="0" w:color="auto"/>
            <w:right w:val="none" w:sz="0" w:space="0" w:color="auto"/>
          </w:divBdr>
          <w:divsChild>
            <w:div w:id="162552946">
              <w:marLeft w:val="0"/>
              <w:marRight w:val="0"/>
              <w:marTop w:val="0"/>
              <w:marBottom w:val="0"/>
              <w:divBdr>
                <w:top w:val="none" w:sz="0" w:space="0" w:color="auto"/>
                <w:left w:val="none" w:sz="0" w:space="0" w:color="auto"/>
                <w:bottom w:val="none" w:sz="0" w:space="0" w:color="auto"/>
                <w:right w:val="none" w:sz="0" w:space="0" w:color="auto"/>
              </w:divBdr>
              <w:divsChild>
                <w:div w:id="925114388">
                  <w:marLeft w:val="0"/>
                  <w:marRight w:val="0"/>
                  <w:marTop w:val="0"/>
                  <w:marBottom w:val="0"/>
                  <w:divBdr>
                    <w:top w:val="none" w:sz="0" w:space="0" w:color="auto"/>
                    <w:left w:val="none" w:sz="0" w:space="0" w:color="auto"/>
                    <w:bottom w:val="none" w:sz="0" w:space="0" w:color="auto"/>
                    <w:right w:val="none" w:sz="0" w:space="0" w:color="auto"/>
                  </w:divBdr>
                  <w:divsChild>
                    <w:div w:id="369886900">
                      <w:marLeft w:val="0"/>
                      <w:marRight w:val="0"/>
                      <w:marTop w:val="0"/>
                      <w:marBottom w:val="0"/>
                      <w:divBdr>
                        <w:top w:val="none" w:sz="0" w:space="0" w:color="auto"/>
                        <w:left w:val="none" w:sz="0" w:space="0" w:color="auto"/>
                        <w:bottom w:val="none" w:sz="0" w:space="0" w:color="auto"/>
                        <w:right w:val="none" w:sz="0" w:space="0" w:color="auto"/>
                      </w:divBdr>
                      <w:divsChild>
                        <w:div w:id="1018115176">
                          <w:marLeft w:val="0"/>
                          <w:marRight w:val="0"/>
                          <w:marTop w:val="0"/>
                          <w:marBottom w:val="0"/>
                          <w:divBdr>
                            <w:top w:val="none" w:sz="0" w:space="0" w:color="auto"/>
                            <w:left w:val="none" w:sz="0" w:space="0" w:color="auto"/>
                            <w:bottom w:val="none" w:sz="0" w:space="0" w:color="auto"/>
                            <w:right w:val="none" w:sz="0" w:space="0" w:color="auto"/>
                          </w:divBdr>
                        </w:div>
                        <w:div w:id="1432505581">
                          <w:marLeft w:val="0"/>
                          <w:marRight w:val="0"/>
                          <w:marTop w:val="0"/>
                          <w:marBottom w:val="0"/>
                          <w:divBdr>
                            <w:top w:val="none" w:sz="0" w:space="0" w:color="auto"/>
                            <w:left w:val="none" w:sz="0" w:space="0" w:color="auto"/>
                            <w:bottom w:val="none" w:sz="0" w:space="0" w:color="auto"/>
                            <w:right w:val="none" w:sz="0" w:space="0" w:color="auto"/>
                          </w:divBdr>
                        </w:div>
                        <w:div w:id="15707710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9336505">
                  <w:marLeft w:val="0"/>
                  <w:marRight w:val="0"/>
                  <w:marTop w:val="0"/>
                  <w:marBottom w:val="0"/>
                  <w:divBdr>
                    <w:top w:val="none" w:sz="0" w:space="0" w:color="auto"/>
                    <w:left w:val="none" w:sz="0" w:space="0" w:color="auto"/>
                    <w:bottom w:val="none" w:sz="0" w:space="0" w:color="auto"/>
                    <w:right w:val="none" w:sz="0" w:space="0" w:color="auto"/>
                  </w:divBdr>
                  <w:divsChild>
                    <w:div w:id="432089406">
                      <w:marLeft w:val="0"/>
                      <w:marRight w:val="0"/>
                      <w:marTop w:val="0"/>
                      <w:marBottom w:val="0"/>
                      <w:divBdr>
                        <w:top w:val="none" w:sz="0" w:space="0" w:color="auto"/>
                        <w:left w:val="none" w:sz="0" w:space="0" w:color="auto"/>
                        <w:bottom w:val="none" w:sz="0" w:space="0" w:color="auto"/>
                        <w:right w:val="none" w:sz="0" w:space="0" w:color="auto"/>
                      </w:divBdr>
                      <w:divsChild>
                        <w:div w:id="743185904">
                          <w:marLeft w:val="0"/>
                          <w:marRight w:val="0"/>
                          <w:marTop w:val="0"/>
                          <w:marBottom w:val="0"/>
                          <w:divBdr>
                            <w:top w:val="none" w:sz="0" w:space="0" w:color="auto"/>
                            <w:left w:val="none" w:sz="0" w:space="0" w:color="auto"/>
                            <w:bottom w:val="none" w:sz="0" w:space="0" w:color="auto"/>
                            <w:right w:val="none" w:sz="0" w:space="0" w:color="auto"/>
                          </w:divBdr>
                          <w:divsChild>
                            <w:div w:id="2112168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7251450">
                      <w:marLeft w:val="0"/>
                      <w:marRight w:val="0"/>
                      <w:marTop w:val="0"/>
                      <w:marBottom w:val="0"/>
                      <w:divBdr>
                        <w:top w:val="none" w:sz="0" w:space="0" w:color="auto"/>
                        <w:left w:val="none" w:sz="0" w:space="0" w:color="auto"/>
                        <w:bottom w:val="none" w:sz="0" w:space="0" w:color="auto"/>
                        <w:right w:val="none" w:sz="0" w:space="0" w:color="auto"/>
                      </w:divBdr>
                    </w:div>
                  </w:divsChild>
                </w:div>
                <w:div w:id="1673489351">
                  <w:marLeft w:val="0"/>
                  <w:marRight w:val="0"/>
                  <w:marTop w:val="0"/>
                  <w:marBottom w:val="0"/>
                  <w:divBdr>
                    <w:top w:val="none" w:sz="0" w:space="0" w:color="auto"/>
                    <w:left w:val="none" w:sz="0" w:space="0" w:color="auto"/>
                    <w:bottom w:val="none" w:sz="0" w:space="0" w:color="auto"/>
                    <w:right w:val="none" w:sz="0" w:space="0" w:color="auto"/>
                  </w:divBdr>
                  <w:divsChild>
                    <w:div w:id="621691034">
                      <w:marLeft w:val="0"/>
                      <w:marRight w:val="0"/>
                      <w:marTop w:val="0"/>
                      <w:marBottom w:val="0"/>
                      <w:divBdr>
                        <w:top w:val="none" w:sz="0" w:space="0" w:color="auto"/>
                        <w:left w:val="none" w:sz="0" w:space="0" w:color="auto"/>
                        <w:bottom w:val="none" w:sz="0" w:space="0" w:color="auto"/>
                        <w:right w:val="none" w:sz="0" w:space="0" w:color="auto"/>
                      </w:divBdr>
                      <w:divsChild>
                        <w:div w:id="774442830">
                          <w:marLeft w:val="0"/>
                          <w:marRight w:val="0"/>
                          <w:marTop w:val="0"/>
                          <w:marBottom w:val="0"/>
                          <w:divBdr>
                            <w:top w:val="none" w:sz="0" w:space="0" w:color="auto"/>
                            <w:left w:val="none" w:sz="0" w:space="0" w:color="auto"/>
                            <w:bottom w:val="none" w:sz="0" w:space="0" w:color="auto"/>
                            <w:right w:val="none" w:sz="0" w:space="0" w:color="auto"/>
                          </w:divBdr>
                          <w:divsChild>
                            <w:div w:id="138504529">
                              <w:marLeft w:val="0"/>
                              <w:marRight w:val="0"/>
                              <w:marTop w:val="0"/>
                              <w:marBottom w:val="0"/>
                              <w:divBdr>
                                <w:top w:val="none" w:sz="0" w:space="0" w:color="auto"/>
                                <w:left w:val="none" w:sz="0" w:space="0" w:color="auto"/>
                                <w:bottom w:val="none" w:sz="0" w:space="0" w:color="auto"/>
                                <w:right w:val="none" w:sz="0" w:space="0" w:color="auto"/>
                              </w:divBdr>
                            </w:div>
                            <w:div w:id="163935817">
                              <w:marLeft w:val="0"/>
                              <w:marRight w:val="0"/>
                              <w:marTop w:val="0"/>
                              <w:marBottom w:val="0"/>
                              <w:divBdr>
                                <w:top w:val="none" w:sz="0" w:space="0" w:color="auto"/>
                                <w:left w:val="none" w:sz="0" w:space="0" w:color="auto"/>
                                <w:bottom w:val="none" w:sz="0" w:space="0" w:color="auto"/>
                                <w:right w:val="none" w:sz="0" w:space="0" w:color="auto"/>
                              </w:divBdr>
                              <w:divsChild>
                                <w:div w:id="2125690568">
                                  <w:marLeft w:val="0"/>
                                  <w:marRight w:val="0"/>
                                  <w:marTop w:val="0"/>
                                  <w:marBottom w:val="0"/>
                                  <w:divBdr>
                                    <w:top w:val="none" w:sz="0" w:space="0" w:color="auto"/>
                                    <w:left w:val="none" w:sz="0" w:space="0" w:color="auto"/>
                                    <w:bottom w:val="none" w:sz="0" w:space="0" w:color="auto"/>
                                    <w:right w:val="none" w:sz="0" w:space="0" w:color="auto"/>
                                  </w:divBdr>
                                  <w:divsChild>
                                    <w:div w:id="10184095">
                                      <w:marLeft w:val="0"/>
                                      <w:marRight w:val="0"/>
                                      <w:marTop w:val="0"/>
                                      <w:marBottom w:val="0"/>
                                      <w:divBdr>
                                        <w:top w:val="none" w:sz="0" w:space="0" w:color="auto"/>
                                        <w:left w:val="none" w:sz="0" w:space="0" w:color="auto"/>
                                        <w:bottom w:val="none" w:sz="0" w:space="0" w:color="auto"/>
                                        <w:right w:val="none" w:sz="0" w:space="0" w:color="auto"/>
                                      </w:divBdr>
                                    </w:div>
                                    <w:div w:id="23294299">
                                      <w:marLeft w:val="0"/>
                                      <w:marRight w:val="0"/>
                                      <w:marTop w:val="0"/>
                                      <w:marBottom w:val="0"/>
                                      <w:divBdr>
                                        <w:top w:val="none" w:sz="0" w:space="0" w:color="auto"/>
                                        <w:left w:val="none" w:sz="0" w:space="0" w:color="auto"/>
                                        <w:bottom w:val="none" w:sz="0" w:space="0" w:color="auto"/>
                                        <w:right w:val="none" w:sz="0" w:space="0" w:color="auto"/>
                                      </w:divBdr>
                                    </w:div>
                                    <w:div w:id="29384159">
                                      <w:marLeft w:val="0"/>
                                      <w:marRight w:val="0"/>
                                      <w:marTop w:val="0"/>
                                      <w:marBottom w:val="0"/>
                                      <w:divBdr>
                                        <w:top w:val="none" w:sz="0" w:space="0" w:color="auto"/>
                                        <w:left w:val="none" w:sz="0" w:space="0" w:color="auto"/>
                                        <w:bottom w:val="none" w:sz="0" w:space="0" w:color="auto"/>
                                        <w:right w:val="none" w:sz="0" w:space="0" w:color="auto"/>
                                      </w:divBdr>
                                    </w:div>
                                    <w:div w:id="32973079">
                                      <w:marLeft w:val="0"/>
                                      <w:marRight w:val="0"/>
                                      <w:marTop w:val="0"/>
                                      <w:marBottom w:val="0"/>
                                      <w:divBdr>
                                        <w:top w:val="none" w:sz="0" w:space="0" w:color="auto"/>
                                        <w:left w:val="none" w:sz="0" w:space="0" w:color="auto"/>
                                        <w:bottom w:val="none" w:sz="0" w:space="0" w:color="auto"/>
                                        <w:right w:val="none" w:sz="0" w:space="0" w:color="auto"/>
                                      </w:divBdr>
                                    </w:div>
                                    <w:div w:id="38743645">
                                      <w:marLeft w:val="0"/>
                                      <w:marRight w:val="0"/>
                                      <w:marTop w:val="0"/>
                                      <w:marBottom w:val="0"/>
                                      <w:divBdr>
                                        <w:top w:val="none" w:sz="0" w:space="0" w:color="auto"/>
                                        <w:left w:val="none" w:sz="0" w:space="0" w:color="auto"/>
                                        <w:bottom w:val="none" w:sz="0" w:space="0" w:color="auto"/>
                                        <w:right w:val="none" w:sz="0" w:space="0" w:color="auto"/>
                                      </w:divBdr>
                                    </w:div>
                                    <w:div w:id="42104387">
                                      <w:marLeft w:val="0"/>
                                      <w:marRight w:val="0"/>
                                      <w:marTop w:val="0"/>
                                      <w:marBottom w:val="0"/>
                                      <w:divBdr>
                                        <w:top w:val="none" w:sz="0" w:space="0" w:color="auto"/>
                                        <w:left w:val="none" w:sz="0" w:space="0" w:color="auto"/>
                                        <w:bottom w:val="none" w:sz="0" w:space="0" w:color="auto"/>
                                        <w:right w:val="none" w:sz="0" w:space="0" w:color="auto"/>
                                      </w:divBdr>
                                    </w:div>
                                    <w:div w:id="47266936">
                                      <w:marLeft w:val="0"/>
                                      <w:marRight w:val="0"/>
                                      <w:marTop w:val="0"/>
                                      <w:marBottom w:val="0"/>
                                      <w:divBdr>
                                        <w:top w:val="none" w:sz="0" w:space="0" w:color="auto"/>
                                        <w:left w:val="none" w:sz="0" w:space="0" w:color="auto"/>
                                        <w:bottom w:val="none" w:sz="0" w:space="0" w:color="auto"/>
                                        <w:right w:val="none" w:sz="0" w:space="0" w:color="auto"/>
                                      </w:divBdr>
                                    </w:div>
                                    <w:div w:id="57362161">
                                      <w:marLeft w:val="0"/>
                                      <w:marRight w:val="0"/>
                                      <w:marTop w:val="0"/>
                                      <w:marBottom w:val="0"/>
                                      <w:divBdr>
                                        <w:top w:val="none" w:sz="0" w:space="0" w:color="auto"/>
                                        <w:left w:val="none" w:sz="0" w:space="0" w:color="auto"/>
                                        <w:bottom w:val="none" w:sz="0" w:space="0" w:color="auto"/>
                                        <w:right w:val="none" w:sz="0" w:space="0" w:color="auto"/>
                                      </w:divBdr>
                                    </w:div>
                                    <w:div w:id="68234570">
                                      <w:marLeft w:val="0"/>
                                      <w:marRight w:val="0"/>
                                      <w:marTop w:val="0"/>
                                      <w:marBottom w:val="0"/>
                                      <w:divBdr>
                                        <w:top w:val="none" w:sz="0" w:space="0" w:color="auto"/>
                                        <w:left w:val="none" w:sz="0" w:space="0" w:color="auto"/>
                                        <w:bottom w:val="none" w:sz="0" w:space="0" w:color="auto"/>
                                        <w:right w:val="none" w:sz="0" w:space="0" w:color="auto"/>
                                      </w:divBdr>
                                    </w:div>
                                    <w:div w:id="79375103">
                                      <w:marLeft w:val="0"/>
                                      <w:marRight w:val="0"/>
                                      <w:marTop w:val="0"/>
                                      <w:marBottom w:val="0"/>
                                      <w:divBdr>
                                        <w:top w:val="none" w:sz="0" w:space="0" w:color="auto"/>
                                        <w:left w:val="none" w:sz="0" w:space="0" w:color="auto"/>
                                        <w:bottom w:val="none" w:sz="0" w:space="0" w:color="auto"/>
                                        <w:right w:val="none" w:sz="0" w:space="0" w:color="auto"/>
                                      </w:divBdr>
                                    </w:div>
                                    <w:div w:id="87242176">
                                      <w:marLeft w:val="0"/>
                                      <w:marRight w:val="0"/>
                                      <w:marTop w:val="0"/>
                                      <w:marBottom w:val="0"/>
                                      <w:divBdr>
                                        <w:top w:val="none" w:sz="0" w:space="0" w:color="auto"/>
                                        <w:left w:val="none" w:sz="0" w:space="0" w:color="auto"/>
                                        <w:bottom w:val="none" w:sz="0" w:space="0" w:color="auto"/>
                                        <w:right w:val="none" w:sz="0" w:space="0" w:color="auto"/>
                                      </w:divBdr>
                                    </w:div>
                                    <w:div w:id="110126144">
                                      <w:marLeft w:val="0"/>
                                      <w:marRight w:val="0"/>
                                      <w:marTop w:val="0"/>
                                      <w:marBottom w:val="0"/>
                                      <w:divBdr>
                                        <w:top w:val="none" w:sz="0" w:space="0" w:color="auto"/>
                                        <w:left w:val="none" w:sz="0" w:space="0" w:color="auto"/>
                                        <w:bottom w:val="none" w:sz="0" w:space="0" w:color="auto"/>
                                        <w:right w:val="none" w:sz="0" w:space="0" w:color="auto"/>
                                      </w:divBdr>
                                    </w:div>
                                    <w:div w:id="117338600">
                                      <w:marLeft w:val="0"/>
                                      <w:marRight w:val="0"/>
                                      <w:marTop w:val="0"/>
                                      <w:marBottom w:val="0"/>
                                      <w:divBdr>
                                        <w:top w:val="none" w:sz="0" w:space="0" w:color="auto"/>
                                        <w:left w:val="none" w:sz="0" w:space="0" w:color="auto"/>
                                        <w:bottom w:val="none" w:sz="0" w:space="0" w:color="auto"/>
                                        <w:right w:val="none" w:sz="0" w:space="0" w:color="auto"/>
                                      </w:divBdr>
                                    </w:div>
                                    <w:div w:id="148904741">
                                      <w:marLeft w:val="0"/>
                                      <w:marRight w:val="0"/>
                                      <w:marTop w:val="0"/>
                                      <w:marBottom w:val="0"/>
                                      <w:divBdr>
                                        <w:top w:val="none" w:sz="0" w:space="0" w:color="auto"/>
                                        <w:left w:val="none" w:sz="0" w:space="0" w:color="auto"/>
                                        <w:bottom w:val="none" w:sz="0" w:space="0" w:color="auto"/>
                                        <w:right w:val="none" w:sz="0" w:space="0" w:color="auto"/>
                                      </w:divBdr>
                                    </w:div>
                                    <w:div w:id="151025111">
                                      <w:marLeft w:val="0"/>
                                      <w:marRight w:val="0"/>
                                      <w:marTop w:val="0"/>
                                      <w:marBottom w:val="0"/>
                                      <w:divBdr>
                                        <w:top w:val="none" w:sz="0" w:space="0" w:color="auto"/>
                                        <w:left w:val="none" w:sz="0" w:space="0" w:color="auto"/>
                                        <w:bottom w:val="none" w:sz="0" w:space="0" w:color="auto"/>
                                        <w:right w:val="none" w:sz="0" w:space="0" w:color="auto"/>
                                      </w:divBdr>
                                    </w:div>
                                    <w:div w:id="157381349">
                                      <w:marLeft w:val="0"/>
                                      <w:marRight w:val="0"/>
                                      <w:marTop w:val="0"/>
                                      <w:marBottom w:val="0"/>
                                      <w:divBdr>
                                        <w:top w:val="none" w:sz="0" w:space="0" w:color="auto"/>
                                        <w:left w:val="none" w:sz="0" w:space="0" w:color="auto"/>
                                        <w:bottom w:val="none" w:sz="0" w:space="0" w:color="auto"/>
                                        <w:right w:val="none" w:sz="0" w:space="0" w:color="auto"/>
                                      </w:divBdr>
                                    </w:div>
                                    <w:div w:id="174610493">
                                      <w:marLeft w:val="0"/>
                                      <w:marRight w:val="0"/>
                                      <w:marTop w:val="0"/>
                                      <w:marBottom w:val="0"/>
                                      <w:divBdr>
                                        <w:top w:val="none" w:sz="0" w:space="0" w:color="auto"/>
                                        <w:left w:val="none" w:sz="0" w:space="0" w:color="auto"/>
                                        <w:bottom w:val="none" w:sz="0" w:space="0" w:color="auto"/>
                                        <w:right w:val="none" w:sz="0" w:space="0" w:color="auto"/>
                                      </w:divBdr>
                                    </w:div>
                                    <w:div w:id="181863518">
                                      <w:marLeft w:val="0"/>
                                      <w:marRight w:val="0"/>
                                      <w:marTop w:val="0"/>
                                      <w:marBottom w:val="0"/>
                                      <w:divBdr>
                                        <w:top w:val="none" w:sz="0" w:space="0" w:color="auto"/>
                                        <w:left w:val="none" w:sz="0" w:space="0" w:color="auto"/>
                                        <w:bottom w:val="none" w:sz="0" w:space="0" w:color="auto"/>
                                        <w:right w:val="none" w:sz="0" w:space="0" w:color="auto"/>
                                      </w:divBdr>
                                    </w:div>
                                    <w:div w:id="194778261">
                                      <w:marLeft w:val="0"/>
                                      <w:marRight w:val="0"/>
                                      <w:marTop w:val="0"/>
                                      <w:marBottom w:val="0"/>
                                      <w:divBdr>
                                        <w:top w:val="none" w:sz="0" w:space="0" w:color="auto"/>
                                        <w:left w:val="none" w:sz="0" w:space="0" w:color="auto"/>
                                        <w:bottom w:val="none" w:sz="0" w:space="0" w:color="auto"/>
                                        <w:right w:val="none" w:sz="0" w:space="0" w:color="auto"/>
                                      </w:divBdr>
                                    </w:div>
                                    <w:div w:id="198251242">
                                      <w:marLeft w:val="0"/>
                                      <w:marRight w:val="0"/>
                                      <w:marTop w:val="0"/>
                                      <w:marBottom w:val="0"/>
                                      <w:divBdr>
                                        <w:top w:val="none" w:sz="0" w:space="0" w:color="auto"/>
                                        <w:left w:val="none" w:sz="0" w:space="0" w:color="auto"/>
                                        <w:bottom w:val="none" w:sz="0" w:space="0" w:color="auto"/>
                                        <w:right w:val="none" w:sz="0" w:space="0" w:color="auto"/>
                                      </w:divBdr>
                                    </w:div>
                                    <w:div w:id="205334086">
                                      <w:marLeft w:val="0"/>
                                      <w:marRight w:val="0"/>
                                      <w:marTop w:val="0"/>
                                      <w:marBottom w:val="0"/>
                                      <w:divBdr>
                                        <w:top w:val="none" w:sz="0" w:space="0" w:color="auto"/>
                                        <w:left w:val="none" w:sz="0" w:space="0" w:color="auto"/>
                                        <w:bottom w:val="none" w:sz="0" w:space="0" w:color="auto"/>
                                        <w:right w:val="none" w:sz="0" w:space="0" w:color="auto"/>
                                      </w:divBdr>
                                    </w:div>
                                    <w:div w:id="222985550">
                                      <w:marLeft w:val="0"/>
                                      <w:marRight w:val="0"/>
                                      <w:marTop w:val="0"/>
                                      <w:marBottom w:val="0"/>
                                      <w:divBdr>
                                        <w:top w:val="none" w:sz="0" w:space="0" w:color="auto"/>
                                        <w:left w:val="none" w:sz="0" w:space="0" w:color="auto"/>
                                        <w:bottom w:val="none" w:sz="0" w:space="0" w:color="auto"/>
                                        <w:right w:val="none" w:sz="0" w:space="0" w:color="auto"/>
                                      </w:divBdr>
                                    </w:div>
                                    <w:div w:id="230123574">
                                      <w:marLeft w:val="0"/>
                                      <w:marRight w:val="0"/>
                                      <w:marTop w:val="0"/>
                                      <w:marBottom w:val="0"/>
                                      <w:divBdr>
                                        <w:top w:val="none" w:sz="0" w:space="0" w:color="auto"/>
                                        <w:left w:val="none" w:sz="0" w:space="0" w:color="auto"/>
                                        <w:bottom w:val="none" w:sz="0" w:space="0" w:color="auto"/>
                                        <w:right w:val="none" w:sz="0" w:space="0" w:color="auto"/>
                                      </w:divBdr>
                                    </w:div>
                                    <w:div w:id="230433033">
                                      <w:marLeft w:val="0"/>
                                      <w:marRight w:val="0"/>
                                      <w:marTop w:val="0"/>
                                      <w:marBottom w:val="0"/>
                                      <w:divBdr>
                                        <w:top w:val="none" w:sz="0" w:space="0" w:color="auto"/>
                                        <w:left w:val="none" w:sz="0" w:space="0" w:color="auto"/>
                                        <w:bottom w:val="none" w:sz="0" w:space="0" w:color="auto"/>
                                        <w:right w:val="none" w:sz="0" w:space="0" w:color="auto"/>
                                      </w:divBdr>
                                    </w:div>
                                    <w:div w:id="234248137">
                                      <w:marLeft w:val="0"/>
                                      <w:marRight w:val="0"/>
                                      <w:marTop w:val="0"/>
                                      <w:marBottom w:val="0"/>
                                      <w:divBdr>
                                        <w:top w:val="none" w:sz="0" w:space="0" w:color="auto"/>
                                        <w:left w:val="none" w:sz="0" w:space="0" w:color="auto"/>
                                        <w:bottom w:val="none" w:sz="0" w:space="0" w:color="auto"/>
                                        <w:right w:val="none" w:sz="0" w:space="0" w:color="auto"/>
                                      </w:divBdr>
                                    </w:div>
                                    <w:div w:id="236087816">
                                      <w:marLeft w:val="0"/>
                                      <w:marRight w:val="0"/>
                                      <w:marTop w:val="0"/>
                                      <w:marBottom w:val="0"/>
                                      <w:divBdr>
                                        <w:top w:val="none" w:sz="0" w:space="0" w:color="auto"/>
                                        <w:left w:val="none" w:sz="0" w:space="0" w:color="auto"/>
                                        <w:bottom w:val="none" w:sz="0" w:space="0" w:color="auto"/>
                                        <w:right w:val="none" w:sz="0" w:space="0" w:color="auto"/>
                                      </w:divBdr>
                                    </w:div>
                                    <w:div w:id="250552807">
                                      <w:marLeft w:val="0"/>
                                      <w:marRight w:val="0"/>
                                      <w:marTop w:val="0"/>
                                      <w:marBottom w:val="0"/>
                                      <w:divBdr>
                                        <w:top w:val="none" w:sz="0" w:space="0" w:color="auto"/>
                                        <w:left w:val="none" w:sz="0" w:space="0" w:color="auto"/>
                                        <w:bottom w:val="none" w:sz="0" w:space="0" w:color="auto"/>
                                        <w:right w:val="none" w:sz="0" w:space="0" w:color="auto"/>
                                      </w:divBdr>
                                    </w:div>
                                    <w:div w:id="262155091">
                                      <w:marLeft w:val="0"/>
                                      <w:marRight w:val="0"/>
                                      <w:marTop w:val="0"/>
                                      <w:marBottom w:val="0"/>
                                      <w:divBdr>
                                        <w:top w:val="none" w:sz="0" w:space="0" w:color="auto"/>
                                        <w:left w:val="none" w:sz="0" w:space="0" w:color="auto"/>
                                        <w:bottom w:val="none" w:sz="0" w:space="0" w:color="auto"/>
                                        <w:right w:val="none" w:sz="0" w:space="0" w:color="auto"/>
                                      </w:divBdr>
                                    </w:div>
                                    <w:div w:id="278076502">
                                      <w:marLeft w:val="0"/>
                                      <w:marRight w:val="0"/>
                                      <w:marTop w:val="0"/>
                                      <w:marBottom w:val="0"/>
                                      <w:divBdr>
                                        <w:top w:val="none" w:sz="0" w:space="0" w:color="auto"/>
                                        <w:left w:val="none" w:sz="0" w:space="0" w:color="auto"/>
                                        <w:bottom w:val="none" w:sz="0" w:space="0" w:color="auto"/>
                                        <w:right w:val="none" w:sz="0" w:space="0" w:color="auto"/>
                                      </w:divBdr>
                                    </w:div>
                                    <w:div w:id="279798717">
                                      <w:marLeft w:val="0"/>
                                      <w:marRight w:val="0"/>
                                      <w:marTop w:val="0"/>
                                      <w:marBottom w:val="0"/>
                                      <w:divBdr>
                                        <w:top w:val="none" w:sz="0" w:space="0" w:color="auto"/>
                                        <w:left w:val="none" w:sz="0" w:space="0" w:color="auto"/>
                                        <w:bottom w:val="none" w:sz="0" w:space="0" w:color="auto"/>
                                        <w:right w:val="none" w:sz="0" w:space="0" w:color="auto"/>
                                      </w:divBdr>
                                    </w:div>
                                    <w:div w:id="280889607">
                                      <w:marLeft w:val="0"/>
                                      <w:marRight w:val="0"/>
                                      <w:marTop w:val="0"/>
                                      <w:marBottom w:val="0"/>
                                      <w:divBdr>
                                        <w:top w:val="none" w:sz="0" w:space="0" w:color="auto"/>
                                        <w:left w:val="none" w:sz="0" w:space="0" w:color="auto"/>
                                        <w:bottom w:val="none" w:sz="0" w:space="0" w:color="auto"/>
                                        <w:right w:val="none" w:sz="0" w:space="0" w:color="auto"/>
                                      </w:divBdr>
                                    </w:div>
                                    <w:div w:id="284242948">
                                      <w:marLeft w:val="0"/>
                                      <w:marRight w:val="0"/>
                                      <w:marTop w:val="0"/>
                                      <w:marBottom w:val="0"/>
                                      <w:divBdr>
                                        <w:top w:val="none" w:sz="0" w:space="0" w:color="auto"/>
                                        <w:left w:val="none" w:sz="0" w:space="0" w:color="auto"/>
                                        <w:bottom w:val="none" w:sz="0" w:space="0" w:color="auto"/>
                                        <w:right w:val="none" w:sz="0" w:space="0" w:color="auto"/>
                                      </w:divBdr>
                                    </w:div>
                                    <w:div w:id="290208577">
                                      <w:marLeft w:val="0"/>
                                      <w:marRight w:val="0"/>
                                      <w:marTop w:val="0"/>
                                      <w:marBottom w:val="0"/>
                                      <w:divBdr>
                                        <w:top w:val="none" w:sz="0" w:space="0" w:color="auto"/>
                                        <w:left w:val="none" w:sz="0" w:space="0" w:color="auto"/>
                                        <w:bottom w:val="none" w:sz="0" w:space="0" w:color="auto"/>
                                        <w:right w:val="none" w:sz="0" w:space="0" w:color="auto"/>
                                      </w:divBdr>
                                    </w:div>
                                    <w:div w:id="290593133">
                                      <w:marLeft w:val="0"/>
                                      <w:marRight w:val="0"/>
                                      <w:marTop w:val="0"/>
                                      <w:marBottom w:val="0"/>
                                      <w:divBdr>
                                        <w:top w:val="none" w:sz="0" w:space="0" w:color="auto"/>
                                        <w:left w:val="none" w:sz="0" w:space="0" w:color="auto"/>
                                        <w:bottom w:val="none" w:sz="0" w:space="0" w:color="auto"/>
                                        <w:right w:val="none" w:sz="0" w:space="0" w:color="auto"/>
                                      </w:divBdr>
                                    </w:div>
                                    <w:div w:id="300431247">
                                      <w:marLeft w:val="0"/>
                                      <w:marRight w:val="0"/>
                                      <w:marTop w:val="0"/>
                                      <w:marBottom w:val="0"/>
                                      <w:divBdr>
                                        <w:top w:val="none" w:sz="0" w:space="0" w:color="auto"/>
                                        <w:left w:val="none" w:sz="0" w:space="0" w:color="auto"/>
                                        <w:bottom w:val="none" w:sz="0" w:space="0" w:color="auto"/>
                                        <w:right w:val="none" w:sz="0" w:space="0" w:color="auto"/>
                                      </w:divBdr>
                                    </w:div>
                                    <w:div w:id="320620688">
                                      <w:marLeft w:val="0"/>
                                      <w:marRight w:val="0"/>
                                      <w:marTop w:val="0"/>
                                      <w:marBottom w:val="0"/>
                                      <w:divBdr>
                                        <w:top w:val="none" w:sz="0" w:space="0" w:color="auto"/>
                                        <w:left w:val="none" w:sz="0" w:space="0" w:color="auto"/>
                                        <w:bottom w:val="none" w:sz="0" w:space="0" w:color="auto"/>
                                        <w:right w:val="none" w:sz="0" w:space="0" w:color="auto"/>
                                      </w:divBdr>
                                    </w:div>
                                    <w:div w:id="347755449">
                                      <w:marLeft w:val="0"/>
                                      <w:marRight w:val="0"/>
                                      <w:marTop w:val="0"/>
                                      <w:marBottom w:val="0"/>
                                      <w:divBdr>
                                        <w:top w:val="none" w:sz="0" w:space="0" w:color="auto"/>
                                        <w:left w:val="none" w:sz="0" w:space="0" w:color="auto"/>
                                        <w:bottom w:val="none" w:sz="0" w:space="0" w:color="auto"/>
                                        <w:right w:val="none" w:sz="0" w:space="0" w:color="auto"/>
                                      </w:divBdr>
                                    </w:div>
                                    <w:div w:id="350691869">
                                      <w:marLeft w:val="0"/>
                                      <w:marRight w:val="0"/>
                                      <w:marTop w:val="0"/>
                                      <w:marBottom w:val="0"/>
                                      <w:divBdr>
                                        <w:top w:val="none" w:sz="0" w:space="0" w:color="auto"/>
                                        <w:left w:val="none" w:sz="0" w:space="0" w:color="auto"/>
                                        <w:bottom w:val="none" w:sz="0" w:space="0" w:color="auto"/>
                                        <w:right w:val="none" w:sz="0" w:space="0" w:color="auto"/>
                                      </w:divBdr>
                                    </w:div>
                                    <w:div w:id="362639197">
                                      <w:marLeft w:val="0"/>
                                      <w:marRight w:val="0"/>
                                      <w:marTop w:val="0"/>
                                      <w:marBottom w:val="0"/>
                                      <w:divBdr>
                                        <w:top w:val="none" w:sz="0" w:space="0" w:color="auto"/>
                                        <w:left w:val="none" w:sz="0" w:space="0" w:color="auto"/>
                                        <w:bottom w:val="none" w:sz="0" w:space="0" w:color="auto"/>
                                        <w:right w:val="none" w:sz="0" w:space="0" w:color="auto"/>
                                      </w:divBdr>
                                    </w:div>
                                    <w:div w:id="377825982">
                                      <w:marLeft w:val="0"/>
                                      <w:marRight w:val="0"/>
                                      <w:marTop w:val="0"/>
                                      <w:marBottom w:val="0"/>
                                      <w:divBdr>
                                        <w:top w:val="none" w:sz="0" w:space="0" w:color="auto"/>
                                        <w:left w:val="none" w:sz="0" w:space="0" w:color="auto"/>
                                        <w:bottom w:val="none" w:sz="0" w:space="0" w:color="auto"/>
                                        <w:right w:val="none" w:sz="0" w:space="0" w:color="auto"/>
                                      </w:divBdr>
                                    </w:div>
                                    <w:div w:id="388575672">
                                      <w:marLeft w:val="0"/>
                                      <w:marRight w:val="0"/>
                                      <w:marTop w:val="0"/>
                                      <w:marBottom w:val="0"/>
                                      <w:divBdr>
                                        <w:top w:val="none" w:sz="0" w:space="0" w:color="auto"/>
                                        <w:left w:val="none" w:sz="0" w:space="0" w:color="auto"/>
                                        <w:bottom w:val="none" w:sz="0" w:space="0" w:color="auto"/>
                                        <w:right w:val="none" w:sz="0" w:space="0" w:color="auto"/>
                                      </w:divBdr>
                                    </w:div>
                                    <w:div w:id="411121772">
                                      <w:marLeft w:val="0"/>
                                      <w:marRight w:val="0"/>
                                      <w:marTop w:val="0"/>
                                      <w:marBottom w:val="0"/>
                                      <w:divBdr>
                                        <w:top w:val="none" w:sz="0" w:space="0" w:color="auto"/>
                                        <w:left w:val="none" w:sz="0" w:space="0" w:color="auto"/>
                                        <w:bottom w:val="none" w:sz="0" w:space="0" w:color="auto"/>
                                        <w:right w:val="none" w:sz="0" w:space="0" w:color="auto"/>
                                      </w:divBdr>
                                    </w:div>
                                    <w:div w:id="424040570">
                                      <w:marLeft w:val="0"/>
                                      <w:marRight w:val="0"/>
                                      <w:marTop w:val="0"/>
                                      <w:marBottom w:val="0"/>
                                      <w:divBdr>
                                        <w:top w:val="none" w:sz="0" w:space="0" w:color="auto"/>
                                        <w:left w:val="none" w:sz="0" w:space="0" w:color="auto"/>
                                        <w:bottom w:val="none" w:sz="0" w:space="0" w:color="auto"/>
                                        <w:right w:val="none" w:sz="0" w:space="0" w:color="auto"/>
                                      </w:divBdr>
                                    </w:div>
                                    <w:div w:id="437217749">
                                      <w:marLeft w:val="0"/>
                                      <w:marRight w:val="0"/>
                                      <w:marTop w:val="0"/>
                                      <w:marBottom w:val="0"/>
                                      <w:divBdr>
                                        <w:top w:val="none" w:sz="0" w:space="0" w:color="auto"/>
                                        <w:left w:val="none" w:sz="0" w:space="0" w:color="auto"/>
                                        <w:bottom w:val="none" w:sz="0" w:space="0" w:color="auto"/>
                                        <w:right w:val="none" w:sz="0" w:space="0" w:color="auto"/>
                                      </w:divBdr>
                                    </w:div>
                                    <w:div w:id="441196175">
                                      <w:marLeft w:val="0"/>
                                      <w:marRight w:val="0"/>
                                      <w:marTop w:val="0"/>
                                      <w:marBottom w:val="0"/>
                                      <w:divBdr>
                                        <w:top w:val="none" w:sz="0" w:space="0" w:color="auto"/>
                                        <w:left w:val="none" w:sz="0" w:space="0" w:color="auto"/>
                                        <w:bottom w:val="none" w:sz="0" w:space="0" w:color="auto"/>
                                        <w:right w:val="none" w:sz="0" w:space="0" w:color="auto"/>
                                      </w:divBdr>
                                    </w:div>
                                    <w:div w:id="445924318">
                                      <w:marLeft w:val="0"/>
                                      <w:marRight w:val="0"/>
                                      <w:marTop w:val="0"/>
                                      <w:marBottom w:val="0"/>
                                      <w:divBdr>
                                        <w:top w:val="none" w:sz="0" w:space="0" w:color="auto"/>
                                        <w:left w:val="none" w:sz="0" w:space="0" w:color="auto"/>
                                        <w:bottom w:val="none" w:sz="0" w:space="0" w:color="auto"/>
                                        <w:right w:val="none" w:sz="0" w:space="0" w:color="auto"/>
                                      </w:divBdr>
                                    </w:div>
                                    <w:div w:id="450057329">
                                      <w:marLeft w:val="0"/>
                                      <w:marRight w:val="0"/>
                                      <w:marTop w:val="0"/>
                                      <w:marBottom w:val="0"/>
                                      <w:divBdr>
                                        <w:top w:val="none" w:sz="0" w:space="0" w:color="auto"/>
                                        <w:left w:val="none" w:sz="0" w:space="0" w:color="auto"/>
                                        <w:bottom w:val="none" w:sz="0" w:space="0" w:color="auto"/>
                                        <w:right w:val="none" w:sz="0" w:space="0" w:color="auto"/>
                                      </w:divBdr>
                                    </w:div>
                                    <w:div w:id="471558403">
                                      <w:marLeft w:val="0"/>
                                      <w:marRight w:val="0"/>
                                      <w:marTop w:val="0"/>
                                      <w:marBottom w:val="0"/>
                                      <w:divBdr>
                                        <w:top w:val="none" w:sz="0" w:space="0" w:color="auto"/>
                                        <w:left w:val="none" w:sz="0" w:space="0" w:color="auto"/>
                                        <w:bottom w:val="none" w:sz="0" w:space="0" w:color="auto"/>
                                        <w:right w:val="none" w:sz="0" w:space="0" w:color="auto"/>
                                      </w:divBdr>
                                    </w:div>
                                    <w:div w:id="481626343">
                                      <w:marLeft w:val="0"/>
                                      <w:marRight w:val="0"/>
                                      <w:marTop w:val="0"/>
                                      <w:marBottom w:val="0"/>
                                      <w:divBdr>
                                        <w:top w:val="none" w:sz="0" w:space="0" w:color="auto"/>
                                        <w:left w:val="none" w:sz="0" w:space="0" w:color="auto"/>
                                        <w:bottom w:val="none" w:sz="0" w:space="0" w:color="auto"/>
                                        <w:right w:val="none" w:sz="0" w:space="0" w:color="auto"/>
                                      </w:divBdr>
                                    </w:div>
                                    <w:div w:id="484206165">
                                      <w:marLeft w:val="0"/>
                                      <w:marRight w:val="0"/>
                                      <w:marTop w:val="0"/>
                                      <w:marBottom w:val="0"/>
                                      <w:divBdr>
                                        <w:top w:val="none" w:sz="0" w:space="0" w:color="auto"/>
                                        <w:left w:val="none" w:sz="0" w:space="0" w:color="auto"/>
                                        <w:bottom w:val="none" w:sz="0" w:space="0" w:color="auto"/>
                                        <w:right w:val="none" w:sz="0" w:space="0" w:color="auto"/>
                                      </w:divBdr>
                                    </w:div>
                                    <w:div w:id="486946024">
                                      <w:marLeft w:val="0"/>
                                      <w:marRight w:val="0"/>
                                      <w:marTop w:val="0"/>
                                      <w:marBottom w:val="0"/>
                                      <w:divBdr>
                                        <w:top w:val="none" w:sz="0" w:space="0" w:color="auto"/>
                                        <w:left w:val="none" w:sz="0" w:space="0" w:color="auto"/>
                                        <w:bottom w:val="none" w:sz="0" w:space="0" w:color="auto"/>
                                        <w:right w:val="none" w:sz="0" w:space="0" w:color="auto"/>
                                      </w:divBdr>
                                    </w:div>
                                    <w:div w:id="493768045">
                                      <w:marLeft w:val="0"/>
                                      <w:marRight w:val="0"/>
                                      <w:marTop w:val="0"/>
                                      <w:marBottom w:val="0"/>
                                      <w:divBdr>
                                        <w:top w:val="none" w:sz="0" w:space="0" w:color="auto"/>
                                        <w:left w:val="none" w:sz="0" w:space="0" w:color="auto"/>
                                        <w:bottom w:val="none" w:sz="0" w:space="0" w:color="auto"/>
                                        <w:right w:val="none" w:sz="0" w:space="0" w:color="auto"/>
                                      </w:divBdr>
                                    </w:div>
                                    <w:div w:id="511340171">
                                      <w:marLeft w:val="0"/>
                                      <w:marRight w:val="0"/>
                                      <w:marTop w:val="0"/>
                                      <w:marBottom w:val="0"/>
                                      <w:divBdr>
                                        <w:top w:val="none" w:sz="0" w:space="0" w:color="auto"/>
                                        <w:left w:val="none" w:sz="0" w:space="0" w:color="auto"/>
                                        <w:bottom w:val="none" w:sz="0" w:space="0" w:color="auto"/>
                                        <w:right w:val="none" w:sz="0" w:space="0" w:color="auto"/>
                                      </w:divBdr>
                                    </w:div>
                                    <w:div w:id="511803286">
                                      <w:marLeft w:val="0"/>
                                      <w:marRight w:val="0"/>
                                      <w:marTop w:val="0"/>
                                      <w:marBottom w:val="0"/>
                                      <w:divBdr>
                                        <w:top w:val="none" w:sz="0" w:space="0" w:color="auto"/>
                                        <w:left w:val="none" w:sz="0" w:space="0" w:color="auto"/>
                                        <w:bottom w:val="none" w:sz="0" w:space="0" w:color="auto"/>
                                        <w:right w:val="none" w:sz="0" w:space="0" w:color="auto"/>
                                      </w:divBdr>
                                    </w:div>
                                    <w:div w:id="513037366">
                                      <w:marLeft w:val="0"/>
                                      <w:marRight w:val="0"/>
                                      <w:marTop w:val="0"/>
                                      <w:marBottom w:val="0"/>
                                      <w:divBdr>
                                        <w:top w:val="none" w:sz="0" w:space="0" w:color="auto"/>
                                        <w:left w:val="none" w:sz="0" w:space="0" w:color="auto"/>
                                        <w:bottom w:val="none" w:sz="0" w:space="0" w:color="auto"/>
                                        <w:right w:val="none" w:sz="0" w:space="0" w:color="auto"/>
                                      </w:divBdr>
                                    </w:div>
                                    <w:div w:id="516846248">
                                      <w:marLeft w:val="0"/>
                                      <w:marRight w:val="0"/>
                                      <w:marTop w:val="0"/>
                                      <w:marBottom w:val="0"/>
                                      <w:divBdr>
                                        <w:top w:val="none" w:sz="0" w:space="0" w:color="auto"/>
                                        <w:left w:val="none" w:sz="0" w:space="0" w:color="auto"/>
                                        <w:bottom w:val="none" w:sz="0" w:space="0" w:color="auto"/>
                                        <w:right w:val="none" w:sz="0" w:space="0" w:color="auto"/>
                                      </w:divBdr>
                                    </w:div>
                                    <w:div w:id="546332006">
                                      <w:marLeft w:val="0"/>
                                      <w:marRight w:val="0"/>
                                      <w:marTop w:val="0"/>
                                      <w:marBottom w:val="0"/>
                                      <w:divBdr>
                                        <w:top w:val="none" w:sz="0" w:space="0" w:color="auto"/>
                                        <w:left w:val="none" w:sz="0" w:space="0" w:color="auto"/>
                                        <w:bottom w:val="none" w:sz="0" w:space="0" w:color="auto"/>
                                        <w:right w:val="none" w:sz="0" w:space="0" w:color="auto"/>
                                      </w:divBdr>
                                    </w:div>
                                    <w:div w:id="551380239">
                                      <w:marLeft w:val="0"/>
                                      <w:marRight w:val="0"/>
                                      <w:marTop w:val="0"/>
                                      <w:marBottom w:val="0"/>
                                      <w:divBdr>
                                        <w:top w:val="none" w:sz="0" w:space="0" w:color="auto"/>
                                        <w:left w:val="none" w:sz="0" w:space="0" w:color="auto"/>
                                        <w:bottom w:val="none" w:sz="0" w:space="0" w:color="auto"/>
                                        <w:right w:val="none" w:sz="0" w:space="0" w:color="auto"/>
                                      </w:divBdr>
                                    </w:div>
                                    <w:div w:id="564486057">
                                      <w:marLeft w:val="0"/>
                                      <w:marRight w:val="0"/>
                                      <w:marTop w:val="0"/>
                                      <w:marBottom w:val="0"/>
                                      <w:divBdr>
                                        <w:top w:val="none" w:sz="0" w:space="0" w:color="auto"/>
                                        <w:left w:val="none" w:sz="0" w:space="0" w:color="auto"/>
                                        <w:bottom w:val="none" w:sz="0" w:space="0" w:color="auto"/>
                                        <w:right w:val="none" w:sz="0" w:space="0" w:color="auto"/>
                                      </w:divBdr>
                                    </w:div>
                                    <w:div w:id="564799831">
                                      <w:marLeft w:val="0"/>
                                      <w:marRight w:val="0"/>
                                      <w:marTop w:val="0"/>
                                      <w:marBottom w:val="0"/>
                                      <w:divBdr>
                                        <w:top w:val="none" w:sz="0" w:space="0" w:color="auto"/>
                                        <w:left w:val="none" w:sz="0" w:space="0" w:color="auto"/>
                                        <w:bottom w:val="none" w:sz="0" w:space="0" w:color="auto"/>
                                        <w:right w:val="none" w:sz="0" w:space="0" w:color="auto"/>
                                      </w:divBdr>
                                    </w:div>
                                    <w:div w:id="565724752">
                                      <w:marLeft w:val="0"/>
                                      <w:marRight w:val="0"/>
                                      <w:marTop w:val="0"/>
                                      <w:marBottom w:val="0"/>
                                      <w:divBdr>
                                        <w:top w:val="none" w:sz="0" w:space="0" w:color="auto"/>
                                        <w:left w:val="none" w:sz="0" w:space="0" w:color="auto"/>
                                        <w:bottom w:val="none" w:sz="0" w:space="0" w:color="auto"/>
                                        <w:right w:val="none" w:sz="0" w:space="0" w:color="auto"/>
                                      </w:divBdr>
                                    </w:div>
                                    <w:div w:id="572935788">
                                      <w:marLeft w:val="0"/>
                                      <w:marRight w:val="0"/>
                                      <w:marTop w:val="0"/>
                                      <w:marBottom w:val="0"/>
                                      <w:divBdr>
                                        <w:top w:val="none" w:sz="0" w:space="0" w:color="auto"/>
                                        <w:left w:val="none" w:sz="0" w:space="0" w:color="auto"/>
                                        <w:bottom w:val="none" w:sz="0" w:space="0" w:color="auto"/>
                                        <w:right w:val="none" w:sz="0" w:space="0" w:color="auto"/>
                                      </w:divBdr>
                                    </w:div>
                                    <w:div w:id="575088637">
                                      <w:marLeft w:val="0"/>
                                      <w:marRight w:val="0"/>
                                      <w:marTop w:val="0"/>
                                      <w:marBottom w:val="0"/>
                                      <w:divBdr>
                                        <w:top w:val="none" w:sz="0" w:space="0" w:color="auto"/>
                                        <w:left w:val="none" w:sz="0" w:space="0" w:color="auto"/>
                                        <w:bottom w:val="none" w:sz="0" w:space="0" w:color="auto"/>
                                        <w:right w:val="none" w:sz="0" w:space="0" w:color="auto"/>
                                      </w:divBdr>
                                    </w:div>
                                    <w:div w:id="575406441">
                                      <w:marLeft w:val="0"/>
                                      <w:marRight w:val="0"/>
                                      <w:marTop w:val="0"/>
                                      <w:marBottom w:val="0"/>
                                      <w:divBdr>
                                        <w:top w:val="none" w:sz="0" w:space="0" w:color="auto"/>
                                        <w:left w:val="none" w:sz="0" w:space="0" w:color="auto"/>
                                        <w:bottom w:val="none" w:sz="0" w:space="0" w:color="auto"/>
                                        <w:right w:val="none" w:sz="0" w:space="0" w:color="auto"/>
                                      </w:divBdr>
                                    </w:div>
                                    <w:div w:id="581335842">
                                      <w:marLeft w:val="0"/>
                                      <w:marRight w:val="0"/>
                                      <w:marTop w:val="0"/>
                                      <w:marBottom w:val="0"/>
                                      <w:divBdr>
                                        <w:top w:val="none" w:sz="0" w:space="0" w:color="auto"/>
                                        <w:left w:val="none" w:sz="0" w:space="0" w:color="auto"/>
                                        <w:bottom w:val="none" w:sz="0" w:space="0" w:color="auto"/>
                                        <w:right w:val="none" w:sz="0" w:space="0" w:color="auto"/>
                                      </w:divBdr>
                                    </w:div>
                                    <w:div w:id="611673481">
                                      <w:marLeft w:val="0"/>
                                      <w:marRight w:val="0"/>
                                      <w:marTop w:val="0"/>
                                      <w:marBottom w:val="0"/>
                                      <w:divBdr>
                                        <w:top w:val="none" w:sz="0" w:space="0" w:color="auto"/>
                                        <w:left w:val="none" w:sz="0" w:space="0" w:color="auto"/>
                                        <w:bottom w:val="none" w:sz="0" w:space="0" w:color="auto"/>
                                        <w:right w:val="none" w:sz="0" w:space="0" w:color="auto"/>
                                      </w:divBdr>
                                    </w:div>
                                    <w:div w:id="616834906">
                                      <w:marLeft w:val="0"/>
                                      <w:marRight w:val="0"/>
                                      <w:marTop w:val="0"/>
                                      <w:marBottom w:val="0"/>
                                      <w:divBdr>
                                        <w:top w:val="none" w:sz="0" w:space="0" w:color="auto"/>
                                        <w:left w:val="none" w:sz="0" w:space="0" w:color="auto"/>
                                        <w:bottom w:val="none" w:sz="0" w:space="0" w:color="auto"/>
                                        <w:right w:val="none" w:sz="0" w:space="0" w:color="auto"/>
                                      </w:divBdr>
                                    </w:div>
                                    <w:div w:id="628510170">
                                      <w:marLeft w:val="0"/>
                                      <w:marRight w:val="0"/>
                                      <w:marTop w:val="0"/>
                                      <w:marBottom w:val="0"/>
                                      <w:divBdr>
                                        <w:top w:val="none" w:sz="0" w:space="0" w:color="auto"/>
                                        <w:left w:val="none" w:sz="0" w:space="0" w:color="auto"/>
                                        <w:bottom w:val="none" w:sz="0" w:space="0" w:color="auto"/>
                                        <w:right w:val="none" w:sz="0" w:space="0" w:color="auto"/>
                                      </w:divBdr>
                                    </w:div>
                                    <w:div w:id="642126264">
                                      <w:marLeft w:val="0"/>
                                      <w:marRight w:val="0"/>
                                      <w:marTop w:val="0"/>
                                      <w:marBottom w:val="0"/>
                                      <w:divBdr>
                                        <w:top w:val="none" w:sz="0" w:space="0" w:color="auto"/>
                                        <w:left w:val="none" w:sz="0" w:space="0" w:color="auto"/>
                                        <w:bottom w:val="none" w:sz="0" w:space="0" w:color="auto"/>
                                        <w:right w:val="none" w:sz="0" w:space="0" w:color="auto"/>
                                      </w:divBdr>
                                    </w:div>
                                    <w:div w:id="658001299">
                                      <w:marLeft w:val="0"/>
                                      <w:marRight w:val="0"/>
                                      <w:marTop w:val="0"/>
                                      <w:marBottom w:val="0"/>
                                      <w:divBdr>
                                        <w:top w:val="none" w:sz="0" w:space="0" w:color="auto"/>
                                        <w:left w:val="none" w:sz="0" w:space="0" w:color="auto"/>
                                        <w:bottom w:val="none" w:sz="0" w:space="0" w:color="auto"/>
                                        <w:right w:val="none" w:sz="0" w:space="0" w:color="auto"/>
                                      </w:divBdr>
                                    </w:div>
                                    <w:div w:id="669526624">
                                      <w:marLeft w:val="0"/>
                                      <w:marRight w:val="0"/>
                                      <w:marTop w:val="0"/>
                                      <w:marBottom w:val="0"/>
                                      <w:divBdr>
                                        <w:top w:val="none" w:sz="0" w:space="0" w:color="auto"/>
                                        <w:left w:val="none" w:sz="0" w:space="0" w:color="auto"/>
                                        <w:bottom w:val="none" w:sz="0" w:space="0" w:color="auto"/>
                                        <w:right w:val="none" w:sz="0" w:space="0" w:color="auto"/>
                                      </w:divBdr>
                                    </w:div>
                                    <w:div w:id="676808722">
                                      <w:marLeft w:val="0"/>
                                      <w:marRight w:val="0"/>
                                      <w:marTop w:val="0"/>
                                      <w:marBottom w:val="0"/>
                                      <w:divBdr>
                                        <w:top w:val="none" w:sz="0" w:space="0" w:color="auto"/>
                                        <w:left w:val="none" w:sz="0" w:space="0" w:color="auto"/>
                                        <w:bottom w:val="none" w:sz="0" w:space="0" w:color="auto"/>
                                        <w:right w:val="none" w:sz="0" w:space="0" w:color="auto"/>
                                      </w:divBdr>
                                    </w:div>
                                    <w:div w:id="697123312">
                                      <w:marLeft w:val="0"/>
                                      <w:marRight w:val="0"/>
                                      <w:marTop w:val="0"/>
                                      <w:marBottom w:val="0"/>
                                      <w:divBdr>
                                        <w:top w:val="none" w:sz="0" w:space="0" w:color="auto"/>
                                        <w:left w:val="none" w:sz="0" w:space="0" w:color="auto"/>
                                        <w:bottom w:val="none" w:sz="0" w:space="0" w:color="auto"/>
                                        <w:right w:val="none" w:sz="0" w:space="0" w:color="auto"/>
                                      </w:divBdr>
                                    </w:div>
                                    <w:div w:id="746925823">
                                      <w:marLeft w:val="0"/>
                                      <w:marRight w:val="0"/>
                                      <w:marTop w:val="0"/>
                                      <w:marBottom w:val="0"/>
                                      <w:divBdr>
                                        <w:top w:val="none" w:sz="0" w:space="0" w:color="auto"/>
                                        <w:left w:val="none" w:sz="0" w:space="0" w:color="auto"/>
                                        <w:bottom w:val="none" w:sz="0" w:space="0" w:color="auto"/>
                                        <w:right w:val="none" w:sz="0" w:space="0" w:color="auto"/>
                                      </w:divBdr>
                                    </w:div>
                                    <w:div w:id="773522355">
                                      <w:marLeft w:val="0"/>
                                      <w:marRight w:val="0"/>
                                      <w:marTop w:val="0"/>
                                      <w:marBottom w:val="0"/>
                                      <w:divBdr>
                                        <w:top w:val="none" w:sz="0" w:space="0" w:color="auto"/>
                                        <w:left w:val="none" w:sz="0" w:space="0" w:color="auto"/>
                                        <w:bottom w:val="none" w:sz="0" w:space="0" w:color="auto"/>
                                        <w:right w:val="none" w:sz="0" w:space="0" w:color="auto"/>
                                      </w:divBdr>
                                    </w:div>
                                    <w:div w:id="778599944">
                                      <w:marLeft w:val="0"/>
                                      <w:marRight w:val="0"/>
                                      <w:marTop w:val="0"/>
                                      <w:marBottom w:val="0"/>
                                      <w:divBdr>
                                        <w:top w:val="none" w:sz="0" w:space="0" w:color="auto"/>
                                        <w:left w:val="none" w:sz="0" w:space="0" w:color="auto"/>
                                        <w:bottom w:val="none" w:sz="0" w:space="0" w:color="auto"/>
                                        <w:right w:val="none" w:sz="0" w:space="0" w:color="auto"/>
                                      </w:divBdr>
                                    </w:div>
                                    <w:div w:id="787358446">
                                      <w:marLeft w:val="0"/>
                                      <w:marRight w:val="0"/>
                                      <w:marTop w:val="0"/>
                                      <w:marBottom w:val="0"/>
                                      <w:divBdr>
                                        <w:top w:val="none" w:sz="0" w:space="0" w:color="auto"/>
                                        <w:left w:val="none" w:sz="0" w:space="0" w:color="auto"/>
                                        <w:bottom w:val="none" w:sz="0" w:space="0" w:color="auto"/>
                                        <w:right w:val="none" w:sz="0" w:space="0" w:color="auto"/>
                                      </w:divBdr>
                                    </w:div>
                                    <w:div w:id="809709846">
                                      <w:marLeft w:val="0"/>
                                      <w:marRight w:val="0"/>
                                      <w:marTop w:val="0"/>
                                      <w:marBottom w:val="0"/>
                                      <w:divBdr>
                                        <w:top w:val="none" w:sz="0" w:space="0" w:color="auto"/>
                                        <w:left w:val="none" w:sz="0" w:space="0" w:color="auto"/>
                                        <w:bottom w:val="none" w:sz="0" w:space="0" w:color="auto"/>
                                        <w:right w:val="none" w:sz="0" w:space="0" w:color="auto"/>
                                      </w:divBdr>
                                    </w:div>
                                    <w:div w:id="814760459">
                                      <w:marLeft w:val="0"/>
                                      <w:marRight w:val="0"/>
                                      <w:marTop w:val="0"/>
                                      <w:marBottom w:val="0"/>
                                      <w:divBdr>
                                        <w:top w:val="none" w:sz="0" w:space="0" w:color="auto"/>
                                        <w:left w:val="none" w:sz="0" w:space="0" w:color="auto"/>
                                        <w:bottom w:val="none" w:sz="0" w:space="0" w:color="auto"/>
                                        <w:right w:val="none" w:sz="0" w:space="0" w:color="auto"/>
                                      </w:divBdr>
                                    </w:div>
                                    <w:div w:id="834489401">
                                      <w:marLeft w:val="0"/>
                                      <w:marRight w:val="0"/>
                                      <w:marTop w:val="0"/>
                                      <w:marBottom w:val="0"/>
                                      <w:divBdr>
                                        <w:top w:val="none" w:sz="0" w:space="0" w:color="auto"/>
                                        <w:left w:val="none" w:sz="0" w:space="0" w:color="auto"/>
                                        <w:bottom w:val="none" w:sz="0" w:space="0" w:color="auto"/>
                                        <w:right w:val="none" w:sz="0" w:space="0" w:color="auto"/>
                                      </w:divBdr>
                                    </w:div>
                                    <w:div w:id="848372653">
                                      <w:marLeft w:val="0"/>
                                      <w:marRight w:val="0"/>
                                      <w:marTop w:val="0"/>
                                      <w:marBottom w:val="0"/>
                                      <w:divBdr>
                                        <w:top w:val="none" w:sz="0" w:space="0" w:color="auto"/>
                                        <w:left w:val="none" w:sz="0" w:space="0" w:color="auto"/>
                                        <w:bottom w:val="none" w:sz="0" w:space="0" w:color="auto"/>
                                        <w:right w:val="none" w:sz="0" w:space="0" w:color="auto"/>
                                      </w:divBdr>
                                    </w:div>
                                    <w:div w:id="869105255">
                                      <w:marLeft w:val="0"/>
                                      <w:marRight w:val="0"/>
                                      <w:marTop w:val="0"/>
                                      <w:marBottom w:val="0"/>
                                      <w:divBdr>
                                        <w:top w:val="none" w:sz="0" w:space="0" w:color="auto"/>
                                        <w:left w:val="none" w:sz="0" w:space="0" w:color="auto"/>
                                        <w:bottom w:val="none" w:sz="0" w:space="0" w:color="auto"/>
                                        <w:right w:val="none" w:sz="0" w:space="0" w:color="auto"/>
                                      </w:divBdr>
                                    </w:div>
                                    <w:div w:id="872696833">
                                      <w:marLeft w:val="0"/>
                                      <w:marRight w:val="0"/>
                                      <w:marTop w:val="0"/>
                                      <w:marBottom w:val="0"/>
                                      <w:divBdr>
                                        <w:top w:val="none" w:sz="0" w:space="0" w:color="auto"/>
                                        <w:left w:val="none" w:sz="0" w:space="0" w:color="auto"/>
                                        <w:bottom w:val="none" w:sz="0" w:space="0" w:color="auto"/>
                                        <w:right w:val="none" w:sz="0" w:space="0" w:color="auto"/>
                                      </w:divBdr>
                                    </w:div>
                                    <w:div w:id="874343023">
                                      <w:marLeft w:val="0"/>
                                      <w:marRight w:val="0"/>
                                      <w:marTop w:val="0"/>
                                      <w:marBottom w:val="0"/>
                                      <w:divBdr>
                                        <w:top w:val="none" w:sz="0" w:space="0" w:color="auto"/>
                                        <w:left w:val="none" w:sz="0" w:space="0" w:color="auto"/>
                                        <w:bottom w:val="none" w:sz="0" w:space="0" w:color="auto"/>
                                        <w:right w:val="none" w:sz="0" w:space="0" w:color="auto"/>
                                      </w:divBdr>
                                    </w:div>
                                    <w:div w:id="883643555">
                                      <w:marLeft w:val="0"/>
                                      <w:marRight w:val="0"/>
                                      <w:marTop w:val="0"/>
                                      <w:marBottom w:val="0"/>
                                      <w:divBdr>
                                        <w:top w:val="none" w:sz="0" w:space="0" w:color="auto"/>
                                        <w:left w:val="none" w:sz="0" w:space="0" w:color="auto"/>
                                        <w:bottom w:val="none" w:sz="0" w:space="0" w:color="auto"/>
                                        <w:right w:val="none" w:sz="0" w:space="0" w:color="auto"/>
                                      </w:divBdr>
                                    </w:div>
                                    <w:div w:id="905915965">
                                      <w:marLeft w:val="0"/>
                                      <w:marRight w:val="0"/>
                                      <w:marTop w:val="0"/>
                                      <w:marBottom w:val="0"/>
                                      <w:divBdr>
                                        <w:top w:val="none" w:sz="0" w:space="0" w:color="auto"/>
                                        <w:left w:val="none" w:sz="0" w:space="0" w:color="auto"/>
                                        <w:bottom w:val="none" w:sz="0" w:space="0" w:color="auto"/>
                                        <w:right w:val="none" w:sz="0" w:space="0" w:color="auto"/>
                                      </w:divBdr>
                                    </w:div>
                                    <w:div w:id="917373204">
                                      <w:marLeft w:val="0"/>
                                      <w:marRight w:val="0"/>
                                      <w:marTop w:val="0"/>
                                      <w:marBottom w:val="0"/>
                                      <w:divBdr>
                                        <w:top w:val="none" w:sz="0" w:space="0" w:color="auto"/>
                                        <w:left w:val="none" w:sz="0" w:space="0" w:color="auto"/>
                                        <w:bottom w:val="none" w:sz="0" w:space="0" w:color="auto"/>
                                        <w:right w:val="none" w:sz="0" w:space="0" w:color="auto"/>
                                      </w:divBdr>
                                    </w:div>
                                    <w:div w:id="925042412">
                                      <w:marLeft w:val="0"/>
                                      <w:marRight w:val="0"/>
                                      <w:marTop w:val="0"/>
                                      <w:marBottom w:val="0"/>
                                      <w:divBdr>
                                        <w:top w:val="none" w:sz="0" w:space="0" w:color="auto"/>
                                        <w:left w:val="none" w:sz="0" w:space="0" w:color="auto"/>
                                        <w:bottom w:val="none" w:sz="0" w:space="0" w:color="auto"/>
                                        <w:right w:val="none" w:sz="0" w:space="0" w:color="auto"/>
                                      </w:divBdr>
                                    </w:div>
                                    <w:div w:id="928271089">
                                      <w:marLeft w:val="0"/>
                                      <w:marRight w:val="0"/>
                                      <w:marTop w:val="0"/>
                                      <w:marBottom w:val="0"/>
                                      <w:divBdr>
                                        <w:top w:val="none" w:sz="0" w:space="0" w:color="auto"/>
                                        <w:left w:val="none" w:sz="0" w:space="0" w:color="auto"/>
                                        <w:bottom w:val="none" w:sz="0" w:space="0" w:color="auto"/>
                                        <w:right w:val="none" w:sz="0" w:space="0" w:color="auto"/>
                                      </w:divBdr>
                                    </w:div>
                                    <w:div w:id="935215500">
                                      <w:marLeft w:val="0"/>
                                      <w:marRight w:val="0"/>
                                      <w:marTop w:val="0"/>
                                      <w:marBottom w:val="0"/>
                                      <w:divBdr>
                                        <w:top w:val="none" w:sz="0" w:space="0" w:color="auto"/>
                                        <w:left w:val="none" w:sz="0" w:space="0" w:color="auto"/>
                                        <w:bottom w:val="none" w:sz="0" w:space="0" w:color="auto"/>
                                        <w:right w:val="none" w:sz="0" w:space="0" w:color="auto"/>
                                      </w:divBdr>
                                    </w:div>
                                    <w:div w:id="943850209">
                                      <w:marLeft w:val="0"/>
                                      <w:marRight w:val="0"/>
                                      <w:marTop w:val="0"/>
                                      <w:marBottom w:val="0"/>
                                      <w:divBdr>
                                        <w:top w:val="none" w:sz="0" w:space="0" w:color="auto"/>
                                        <w:left w:val="none" w:sz="0" w:space="0" w:color="auto"/>
                                        <w:bottom w:val="none" w:sz="0" w:space="0" w:color="auto"/>
                                        <w:right w:val="none" w:sz="0" w:space="0" w:color="auto"/>
                                      </w:divBdr>
                                    </w:div>
                                    <w:div w:id="947930939">
                                      <w:marLeft w:val="0"/>
                                      <w:marRight w:val="0"/>
                                      <w:marTop w:val="0"/>
                                      <w:marBottom w:val="0"/>
                                      <w:divBdr>
                                        <w:top w:val="none" w:sz="0" w:space="0" w:color="auto"/>
                                        <w:left w:val="none" w:sz="0" w:space="0" w:color="auto"/>
                                        <w:bottom w:val="none" w:sz="0" w:space="0" w:color="auto"/>
                                        <w:right w:val="none" w:sz="0" w:space="0" w:color="auto"/>
                                      </w:divBdr>
                                    </w:div>
                                    <w:div w:id="948465790">
                                      <w:marLeft w:val="0"/>
                                      <w:marRight w:val="0"/>
                                      <w:marTop w:val="0"/>
                                      <w:marBottom w:val="0"/>
                                      <w:divBdr>
                                        <w:top w:val="none" w:sz="0" w:space="0" w:color="auto"/>
                                        <w:left w:val="none" w:sz="0" w:space="0" w:color="auto"/>
                                        <w:bottom w:val="none" w:sz="0" w:space="0" w:color="auto"/>
                                        <w:right w:val="none" w:sz="0" w:space="0" w:color="auto"/>
                                      </w:divBdr>
                                    </w:div>
                                    <w:div w:id="954866533">
                                      <w:marLeft w:val="0"/>
                                      <w:marRight w:val="0"/>
                                      <w:marTop w:val="0"/>
                                      <w:marBottom w:val="0"/>
                                      <w:divBdr>
                                        <w:top w:val="none" w:sz="0" w:space="0" w:color="auto"/>
                                        <w:left w:val="none" w:sz="0" w:space="0" w:color="auto"/>
                                        <w:bottom w:val="none" w:sz="0" w:space="0" w:color="auto"/>
                                        <w:right w:val="none" w:sz="0" w:space="0" w:color="auto"/>
                                      </w:divBdr>
                                    </w:div>
                                    <w:div w:id="965428408">
                                      <w:marLeft w:val="0"/>
                                      <w:marRight w:val="0"/>
                                      <w:marTop w:val="0"/>
                                      <w:marBottom w:val="0"/>
                                      <w:divBdr>
                                        <w:top w:val="none" w:sz="0" w:space="0" w:color="auto"/>
                                        <w:left w:val="none" w:sz="0" w:space="0" w:color="auto"/>
                                        <w:bottom w:val="none" w:sz="0" w:space="0" w:color="auto"/>
                                        <w:right w:val="none" w:sz="0" w:space="0" w:color="auto"/>
                                      </w:divBdr>
                                    </w:div>
                                    <w:div w:id="992101454">
                                      <w:marLeft w:val="0"/>
                                      <w:marRight w:val="0"/>
                                      <w:marTop w:val="0"/>
                                      <w:marBottom w:val="0"/>
                                      <w:divBdr>
                                        <w:top w:val="none" w:sz="0" w:space="0" w:color="auto"/>
                                        <w:left w:val="none" w:sz="0" w:space="0" w:color="auto"/>
                                        <w:bottom w:val="none" w:sz="0" w:space="0" w:color="auto"/>
                                        <w:right w:val="none" w:sz="0" w:space="0" w:color="auto"/>
                                      </w:divBdr>
                                    </w:div>
                                    <w:div w:id="993872976">
                                      <w:marLeft w:val="0"/>
                                      <w:marRight w:val="0"/>
                                      <w:marTop w:val="0"/>
                                      <w:marBottom w:val="0"/>
                                      <w:divBdr>
                                        <w:top w:val="none" w:sz="0" w:space="0" w:color="auto"/>
                                        <w:left w:val="none" w:sz="0" w:space="0" w:color="auto"/>
                                        <w:bottom w:val="none" w:sz="0" w:space="0" w:color="auto"/>
                                        <w:right w:val="none" w:sz="0" w:space="0" w:color="auto"/>
                                      </w:divBdr>
                                    </w:div>
                                    <w:div w:id="998776233">
                                      <w:marLeft w:val="0"/>
                                      <w:marRight w:val="0"/>
                                      <w:marTop w:val="0"/>
                                      <w:marBottom w:val="0"/>
                                      <w:divBdr>
                                        <w:top w:val="none" w:sz="0" w:space="0" w:color="auto"/>
                                        <w:left w:val="none" w:sz="0" w:space="0" w:color="auto"/>
                                        <w:bottom w:val="none" w:sz="0" w:space="0" w:color="auto"/>
                                        <w:right w:val="none" w:sz="0" w:space="0" w:color="auto"/>
                                      </w:divBdr>
                                    </w:div>
                                    <w:div w:id="1007095102">
                                      <w:marLeft w:val="0"/>
                                      <w:marRight w:val="0"/>
                                      <w:marTop w:val="0"/>
                                      <w:marBottom w:val="0"/>
                                      <w:divBdr>
                                        <w:top w:val="none" w:sz="0" w:space="0" w:color="auto"/>
                                        <w:left w:val="none" w:sz="0" w:space="0" w:color="auto"/>
                                        <w:bottom w:val="none" w:sz="0" w:space="0" w:color="auto"/>
                                        <w:right w:val="none" w:sz="0" w:space="0" w:color="auto"/>
                                      </w:divBdr>
                                    </w:div>
                                    <w:div w:id="1011293429">
                                      <w:marLeft w:val="0"/>
                                      <w:marRight w:val="0"/>
                                      <w:marTop w:val="0"/>
                                      <w:marBottom w:val="0"/>
                                      <w:divBdr>
                                        <w:top w:val="none" w:sz="0" w:space="0" w:color="auto"/>
                                        <w:left w:val="none" w:sz="0" w:space="0" w:color="auto"/>
                                        <w:bottom w:val="none" w:sz="0" w:space="0" w:color="auto"/>
                                        <w:right w:val="none" w:sz="0" w:space="0" w:color="auto"/>
                                      </w:divBdr>
                                    </w:div>
                                    <w:div w:id="1012299930">
                                      <w:marLeft w:val="0"/>
                                      <w:marRight w:val="0"/>
                                      <w:marTop w:val="0"/>
                                      <w:marBottom w:val="0"/>
                                      <w:divBdr>
                                        <w:top w:val="none" w:sz="0" w:space="0" w:color="auto"/>
                                        <w:left w:val="none" w:sz="0" w:space="0" w:color="auto"/>
                                        <w:bottom w:val="none" w:sz="0" w:space="0" w:color="auto"/>
                                        <w:right w:val="none" w:sz="0" w:space="0" w:color="auto"/>
                                      </w:divBdr>
                                    </w:div>
                                    <w:div w:id="1026368601">
                                      <w:marLeft w:val="0"/>
                                      <w:marRight w:val="0"/>
                                      <w:marTop w:val="0"/>
                                      <w:marBottom w:val="0"/>
                                      <w:divBdr>
                                        <w:top w:val="none" w:sz="0" w:space="0" w:color="auto"/>
                                        <w:left w:val="none" w:sz="0" w:space="0" w:color="auto"/>
                                        <w:bottom w:val="none" w:sz="0" w:space="0" w:color="auto"/>
                                        <w:right w:val="none" w:sz="0" w:space="0" w:color="auto"/>
                                      </w:divBdr>
                                    </w:div>
                                    <w:div w:id="1028919335">
                                      <w:marLeft w:val="0"/>
                                      <w:marRight w:val="0"/>
                                      <w:marTop w:val="0"/>
                                      <w:marBottom w:val="0"/>
                                      <w:divBdr>
                                        <w:top w:val="none" w:sz="0" w:space="0" w:color="auto"/>
                                        <w:left w:val="none" w:sz="0" w:space="0" w:color="auto"/>
                                        <w:bottom w:val="none" w:sz="0" w:space="0" w:color="auto"/>
                                        <w:right w:val="none" w:sz="0" w:space="0" w:color="auto"/>
                                      </w:divBdr>
                                    </w:div>
                                    <w:div w:id="1033193151">
                                      <w:marLeft w:val="0"/>
                                      <w:marRight w:val="0"/>
                                      <w:marTop w:val="0"/>
                                      <w:marBottom w:val="0"/>
                                      <w:divBdr>
                                        <w:top w:val="none" w:sz="0" w:space="0" w:color="auto"/>
                                        <w:left w:val="none" w:sz="0" w:space="0" w:color="auto"/>
                                        <w:bottom w:val="none" w:sz="0" w:space="0" w:color="auto"/>
                                        <w:right w:val="none" w:sz="0" w:space="0" w:color="auto"/>
                                      </w:divBdr>
                                    </w:div>
                                    <w:div w:id="1038508547">
                                      <w:marLeft w:val="0"/>
                                      <w:marRight w:val="0"/>
                                      <w:marTop w:val="0"/>
                                      <w:marBottom w:val="0"/>
                                      <w:divBdr>
                                        <w:top w:val="none" w:sz="0" w:space="0" w:color="auto"/>
                                        <w:left w:val="none" w:sz="0" w:space="0" w:color="auto"/>
                                        <w:bottom w:val="none" w:sz="0" w:space="0" w:color="auto"/>
                                        <w:right w:val="none" w:sz="0" w:space="0" w:color="auto"/>
                                      </w:divBdr>
                                    </w:div>
                                    <w:div w:id="1048995744">
                                      <w:marLeft w:val="0"/>
                                      <w:marRight w:val="0"/>
                                      <w:marTop w:val="0"/>
                                      <w:marBottom w:val="0"/>
                                      <w:divBdr>
                                        <w:top w:val="none" w:sz="0" w:space="0" w:color="auto"/>
                                        <w:left w:val="none" w:sz="0" w:space="0" w:color="auto"/>
                                        <w:bottom w:val="none" w:sz="0" w:space="0" w:color="auto"/>
                                        <w:right w:val="none" w:sz="0" w:space="0" w:color="auto"/>
                                      </w:divBdr>
                                    </w:div>
                                    <w:div w:id="1056977987">
                                      <w:marLeft w:val="0"/>
                                      <w:marRight w:val="0"/>
                                      <w:marTop w:val="0"/>
                                      <w:marBottom w:val="0"/>
                                      <w:divBdr>
                                        <w:top w:val="none" w:sz="0" w:space="0" w:color="auto"/>
                                        <w:left w:val="none" w:sz="0" w:space="0" w:color="auto"/>
                                        <w:bottom w:val="none" w:sz="0" w:space="0" w:color="auto"/>
                                        <w:right w:val="none" w:sz="0" w:space="0" w:color="auto"/>
                                      </w:divBdr>
                                    </w:div>
                                    <w:div w:id="1102536219">
                                      <w:marLeft w:val="0"/>
                                      <w:marRight w:val="0"/>
                                      <w:marTop w:val="0"/>
                                      <w:marBottom w:val="0"/>
                                      <w:divBdr>
                                        <w:top w:val="none" w:sz="0" w:space="0" w:color="auto"/>
                                        <w:left w:val="none" w:sz="0" w:space="0" w:color="auto"/>
                                        <w:bottom w:val="none" w:sz="0" w:space="0" w:color="auto"/>
                                        <w:right w:val="none" w:sz="0" w:space="0" w:color="auto"/>
                                      </w:divBdr>
                                    </w:div>
                                    <w:div w:id="1110196884">
                                      <w:marLeft w:val="0"/>
                                      <w:marRight w:val="0"/>
                                      <w:marTop w:val="0"/>
                                      <w:marBottom w:val="0"/>
                                      <w:divBdr>
                                        <w:top w:val="none" w:sz="0" w:space="0" w:color="auto"/>
                                        <w:left w:val="none" w:sz="0" w:space="0" w:color="auto"/>
                                        <w:bottom w:val="none" w:sz="0" w:space="0" w:color="auto"/>
                                        <w:right w:val="none" w:sz="0" w:space="0" w:color="auto"/>
                                      </w:divBdr>
                                    </w:div>
                                    <w:div w:id="1112045149">
                                      <w:marLeft w:val="0"/>
                                      <w:marRight w:val="0"/>
                                      <w:marTop w:val="0"/>
                                      <w:marBottom w:val="0"/>
                                      <w:divBdr>
                                        <w:top w:val="none" w:sz="0" w:space="0" w:color="auto"/>
                                        <w:left w:val="none" w:sz="0" w:space="0" w:color="auto"/>
                                        <w:bottom w:val="none" w:sz="0" w:space="0" w:color="auto"/>
                                        <w:right w:val="none" w:sz="0" w:space="0" w:color="auto"/>
                                      </w:divBdr>
                                    </w:div>
                                    <w:div w:id="1117873386">
                                      <w:marLeft w:val="0"/>
                                      <w:marRight w:val="0"/>
                                      <w:marTop w:val="0"/>
                                      <w:marBottom w:val="0"/>
                                      <w:divBdr>
                                        <w:top w:val="none" w:sz="0" w:space="0" w:color="auto"/>
                                        <w:left w:val="none" w:sz="0" w:space="0" w:color="auto"/>
                                        <w:bottom w:val="none" w:sz="0" w:space="0" w:color="auto"/>
                                        <w:right w:val="none" w:sz="0" w:space="0" w:color="auto"/>
                                      </w:divBdr>
                                    </w:div>
                                    <w:div w:id="1119448410">
                                      <w:marLeft w:val="0"/>
                                      <w:marRight w:val="0"/>
                                      <w:marTop w:val="0"/>
                                      <w:marBottom w:val="0"/>
                                      <w:divBdr>
                                        <w:top w:val="none" w:sz="0" w:space="0" w:color="auto"/>
                                        <w:left w:val="none" w:sz="0" w:space="0" w:color="auto"/>
                                        <w:bottom w:val="none" w:sz="0" w:space="0" w:color="auto"/>
                                        <w:right w:val="none" w:sz="0" w:space="0" w:color="auto"/>
                                      </w:divBdr>
                                    </w:div>
                                    <w:div w:id="1134059102">
                                      <w:marLeft w:val="0"/>
                                      <w:marRight w:val="0"/>
                                      <w:marTop w:val="0"/>
                                      <w:marBottom w:val="0"/>
                                      <w:divBdr>
                                        <w:top w:val="none" w:sz="0" w:space="0" w:color="auto"/>
                                        <w:left w:val="none" w:sz="0" w:space="0" w:color="auto"/>
                                        <w:bottom w:val="none" w:sz="0" w:space="0" w:color="auto"/>
                                        <w:right w:val="none" w:sz="0" w:space="0" w:color="auto"/>
                                      </w:divBdr>
                                    </w:div>
                                    <w:div w:id="1189295108">
                                      <w:marLeft w:val="0"/>
                                      <w:marRight w:val="0"/>
                                      <w:marTop w:val="0"/>
                                      <w:marBottom w:val="0"/>
                                      <w:divBdr>
                                        <w:top w:val="none" w:sz="0" w:space="0" w:color="auto"/>
                                        <w:left w:val="none" w:sz="0" w:space="0" w:color="auto"/>
                                        <w:bottom w:val="none" w:sz="0" w:space="0" w:color="auto"/>
                                        <w:right w:val="none" w:sz="0" w:space="0" w:color="auto"/>
                                      </w:divBdr>
                                    </w:div>
                                    <w:div w:id="1216888905">
                                      <w:marLeft w:val="0"/>
                                      <w:marRight w:val="0"/>
                                      <w:marTop w:val="0"/>
                                      <w:marBottom w:val="0"/>
                                      <w:divBdr>
                                        <w:top w:val="none" w:sz="0" w:space="0" w:color="auto"/>
                                        <w:left w:val="none" w:sz="0" w:space="0" w:color="auto"/>
                                        <w:bottom w:val="none" w:sz="0" w:space="0" w:color="auto"/>
                                        <w:right w:val="none" w:sz="0" w:space="0" w:color="auto"/>
                                      </w:divBdr>
                                    </w:div>
                                    <w:div w:id="1231620232">
                                      <w:marLeft w:val="0"/>
                                      <w:marRight w:val="0"/>
                                      <w:marTop w:val="0"/>
                                      <w:marBottom w:val="0"/>
                                      <w:divBdr>
                                        <w:top w:val="none" w:sz="0" w:space="0" w:color="auto"/>
                                        <w:left w:val="none" w:sz="0" w:space="0" w:color="auto"/>
                                        <w:bottom w:val="none" w:sz="0" w:space="0" w:color="auto"/>
                                        <w:right w:val="none" w:sz="0" w:space="0" w:color="auto"/>
                                      </w:divBdr>
                                    </w:div>
                                    <w:div w:id="1244536360">
                                      <w:marLeft w:val="0"/>
                                      <w:marRight w:val="0"/>
                                      <w:marTop w:val="0"/>
                                      <w:marBottom w:val="0"/>
                                      <w:divBdr>
                                        <w:top w:val="none" w:sz="0" w:space="0" w:color="auto"/>
                                        <w:left w:val="none" w:sz="0" w:space="0" w:color="auto"/>
                                        <w:bottom w:val="none" w:sz="0" w:space="0" w:color="auto"/>
                                        <w:right w:val="none" w:sz="0" w:space="0" w:color="auto"/>
                                      </w:divBdr>
                                    </w:div>
                                    <w:div w:id="1292782237">
                                      <w:marLeft w:val="0"/>
                                      <w:marRight w:val="0"/>
                                      <w:marTop w:val="0"/>
                                      <w:marBottom w:val="0"/>
                                      <w:divBdr>
                                        <w:top w:val="none" w:sz="0" w:space="0" w:color="auto"/>
                                        <w:left w:val="none" w:sz="0" w:space="0" w:color="auto"/>
                                        <w:bottom w:val="none" w:sz="0" w:space="0" w:color="auto"/>
                                        <w:right w:val="none" w:sz="0" w:space="0" w:color="auto"/>
                                      </w:divBdr>
                                    </w:div>
                                    <w:div w:id="1300501697">
                                      <w:marLeft w:val="0"/>
                                      <w:marRight w:val="0"/>
                                      <w:marTop w:val="0"/>
                                      <w:marBottom w:val="0"/>
                                      <w:divBdr>
                                        <w:top w:val="none" w:sz="0" w:space="0" w:color="auto"/>
                                        <w:left w:val="none" w:sz="0" w:space="0" w:color="auto"/>
                                        <w:bottom w:val="none" w:sz="0" w:space="0" w:color="auto"/>
                                        <w:right w:val="none" w:sz="0" w:space="0" w:color="auto"/>
                                      </w:divBdr>
                                    </w:div>
                                    <w:div w:id="1311596100">
                                      <w:marLeft w:val="0"/>
                                      <w:marRight w:val="0"/>
                                      <w:marTop w:val="0"/>
                                      <w:marBottom w:val="0"/>
                                      <w:divBdr>
                                        <w:top w:val="none" w:sz="0" w:space="0" w:color="auto"/>
                                        <w:left w:val="none" w:sz="0" w:space="0" w:color="auto"/>
                                        <w:bottom w:val="none" w:sz="0" w:space="0" w:color="auto"/>
                                        <w:right w:val="none" w:sz="0" w:space="0" w:color="auto"/>
                                      </w:divBdr>
                                    </w:div>
                                    <w:div w:id="1321347208">
                                      <w:marLeft w:val="0"/>
                                      <w:marRight w:val="0"/>
                                      <w:marTop w:val="0"/>
                                      <w:marBottom w:val="0"/>
                                      <w:divBdr>
                                        <w:top w:val="none" w:sz="0" w:space="0" w:color="auto"/>
                                        <w:left w:val="none" w:sz="0" w:space="0" w:color="auto"/>
                                        <w:bottom w:val="none" w:sz="0" w:space="0" w:color="auto"/>
                                        <w:right w:val="none" w:sz="0" w:space="0" w:color="auto"/>
                                      </w:divBdr>
                                    </w:div>
                                    <w:div w:id="1322655726">
                                      <w:marLeft w:val="0"/>
                                      <w:marRight w:val="0"/>
                                      <w:marTop w:val="0"/>
                                      <w:marBottom w:val="0"/>
                                      <w:divBdr>
                                        <w:top w:val="none" w:sz="0" w:space="0" w:color="auto"/>
                                        <w:left w:val="none" w:sz="0" w:space="0" w:color="auto"/>
                                        <w:bottom w:val="none" w:sz="0" w:space="0" w:color="auto"/>
                                        <w:right w:val="none" w:sz="0" w:space="0" w:color="auto"/>
                                      </w:divBdr>
                                    </w:div>
                                    <w:div w:id="1331710855">
                                      <w:marLeft w:val="0"/>
                                      <w:marRight w:val="0"/>
                                      <w:marTop w:val="0"/>
                                      <w:marBottom w:val="0"/>
                                      <w:divBdr>
                                        <w:top w:val="none" w:sz="0" w:space="0" w:color="auto"/>
                                        <w:left w:val="none" w:sz="0" w:space="0" w:color="auto"/>
                                        <w:bottom w:val="none" w:sz="0" w:space="0" w:color="auto"/>
                                        <w:right w:val="none" w:sz="0" w:space="0" w:color="auto"/>
                                      </w:divBdr>
                                    </w:div>
                                    <w:div w:id="1360012770">
                                      <w:marLeft w:val="0"/>
                                      <w:marRight w:val="0"/>
                                      <w:marTop w:val="0"/>
                                      <w:marBottom w:val="0"/>
                                      <w:divBdr>
                                        <w:top w:val="none" w:sz="0" w:space="0" w:color="auto"/>
                                        <w:left w:val="none" w:sz="0" w:space="0" w:color="auto"/>
                                        <w:bottom w:val="none" w:sz="0" w:space="0" w:color="auto"/>
                                        <w:right w:val="none" w:sz="0" w:space="0" w:color="auto"/>
                                      </w:divBdr>
                                    </w:div>
                                    <w:div w:id="1362902598">
                                      <w:marLeft w:val="0"/>
                                      <w:marRight w:val="0"/>
                                      <w:marTop w:val="0"/>
                                      <w:marBottom w:val="0"/>
                                      <w:divBdr>
                                        <w:top w:val="none" w:sz="0" w:space="0" w:color="auto"/>
                                        <w:left w:val="none" w:sz="0" w:space="0" w:color="auto"/>
                                        <w:bottom w:val="none" w:sz="0" w:space="0" w:color="auto"/>
                                        <w:right w:val="none" w:sz="0" w:space="0" w:color="auto"/>
                                      </w:divBdr>
                                    </w:div>
                                    <w:div w:id="1373916558">
                                      <w:marLeft w:val="0"/>
                                      <w:marRight w:val="0"/>
                                      <w:marTop w:val="0"/>
                                      <w:marBottom w:val="0"/>
                                      <w:divBdr>
                                        <w:top w:val="none" w:sz="0" w:space="0" w:color="auto"/>
                                        <w:left w:val="none" w:sz="0" w:space="0" w:color="auto"/>
                                        <w:bottom w:val="none" w:sz="0" w:space="0" w:color="auto"/>
                                        <w:right w:val="none" w:sz="0" w:space="0" w:color="auto"/>
                                      </w:divBdr>
                                    </w:div>
                                    <w:div w:id="1375615355">
                                      <w:marLeft w:val="0"/>
                                      <w:marRight w:val="0"/>
                                      <w:marTop w:val="0"/>
                                      <w:marBottom w:val="0"/>
                                      <w:divBdr>
                                        <w:top w:val="none" w:sz="0" w:space="0" w:color="auto"/>
                                        <w:left w:val="none" w:sz="0" w:space="0" w:color="auto"/>
                                        <w:bottom w:val="none" w:sz="0" w:space="0" w:color="auto"/>
                                        <w:right w:val="none" w:sz="0" w:space="0" w:color="auto"/>
                                      </w:divBdr>
                                    </w:div>
                                    <w:div w:id="1378968538">
                                      <w:marLeft w:val="0"/>
                                      <w:marRight w:val="0"/>
                                      <w:marTop w:val="0"/>
                                      <w:marBottom w:val="0"/>
                                      <w:divBdr>
                                        <w:top w:val="none" w:sz="0" w:space="0" w:color="auto"/>
                                        <w:left w:val="none" w:sz="0" w:space="0" w:color="auto"/>
                                        <w:bottom w:val="none" w:sz="0" w:space="0" w:color="auto"/>
                                        <w:right w:val="none" w:sz="0" w:space="0" w:color="auto"/>
                                      </w:divBdr>
                                    </w:div>
                                    <w:div w:id="1389187250">
                                      <w:marLeft w:val="0"/>
                                      <w:marRight w:val="0"/>
                                      <w:marTop w:val="0"/>
                                      <w:marBottom w:val="0"/>
                                      <w:divBdr>
                                        <w:top w:val="none" w:sz="0" w:space="0" w:color="auto"/>
                                        <w:left w:val="none" w:sz="0" w:space="0" w:color="auto"/>
                                        <w:bottom w:val="none" w:sz="0" w:space="0" w:color="auto"/>
                                        <w:right w:val="none" w:sz="0" w:space="0" w:color="auto"/>
                                      </w:divBdr>
                                    </w:div>
                                    <w:div w:id="1397051224">
                                      <w:marLeft w:val="0"/>
                                      <w:marRight w:val="0"/>
                                      <w:marTop w:val="0"/>
                                      <w:marBottom w:val="0"/>
                                      <w:divBdr>
                                        <w:top w:val="none" w:sz="0" w:space="0" w:color="auto"/>
                                        <w:left w:val="none" w:sz="0" w:space="0" w:color="auto"/>
                                        <w:bottom w:val="none" w:sz="0" w:space="0" w:color="auto"/>
                                        <w:right w:val="none" w:sz="0" w:space="0" w:color="auto"/>
                                      </w:divBdr>
                                    </w:div>
                                    <w:div w:id="1419712219">
                                      <w:marLeft w:val="0"/>
                                      <w:marRight w:val="0"/>
                                      <w:marTop w:val="0"/>
                                      <w:marBottom w:val="0"/>
                                      <w:divBdr>
                                        <w:top w:val="none" w:sz="0" w:space="0" w:color="auto"/>
                                        <w:left w:val="none" w:sz="0" w:space="0" w:color="auto"/>
                                        <w:bottom w:val="none" w:sz="0" w:space="0" w:color="auto"/>
                                        <w:right w:val="none" w:sz="0" w:space="0" w:color="auto"/>
                                      </w:divBdr>
                                    </w:div>
                                    <w:div w:id="1420365263">
                                      <w:marLeft w:val="0"/>
                                      <w:marRight w:val="0"/>
                                      <w:marTop w:val="0"/>
                                      <w:marBottom w:val="0"/>
                                      <w:divBdr>
                                        <w:top w:val="none" w:sz="0" w:space="0" w:color="auto"/>
                                        <w:left w:val="none" w:sz="0" w:space="0" w:color="auto"/>
                                        <w:bottom w:val="none" w:sz="0" w:space="0" w:color="auto"/>
                                        <w:right w:val="none" w:sz="0" w:space="0" w:color="auto"/>
                                      </w:divBdr>
                                    </w:div>
                                    <w:div w:id="1427799687">
                                      <w:marLeft w:val="0"/>
                                      <w:marRight w:val="0"/>
                                      <w:marTop w:val="0"/>
                                      <w:marBottom w:val="0"/>
                                      <w:divBdr>
                                        <w:top w:val="none" w:sz="0" w:space="0" w:color="auto"/>
                                        <w:left w:val="none" w:sz="0" w:space="0" w:color="auto"/>
                                        <w:bottom w:val="none" w:sz="0" w:space="0" w:color="auto"/>
                                        <w:right w:val="none" w:sz="0" w:space="0" w:color="auto"/>
                                      </w:divBdr>
                                    </w:div>
                                    <w:div w:id="1436364778">
                                      <w:marLeft w:val="0"/>
                                      <w:marRight w:val="0"/>
                                      <w:marTop w:val="0"/>
                                      <w:marBottom w:val="0"/>
                                      <w:divBdr>
                                        <w:top w:val="none" w:sz="0" w:space="0" w:color="auto"/>
                                        <w:left w:val="none" w:sz="0" w:space="0" w:color="auto"/>
                                        <w:bottom w:val="none" w:sz="0" w:space="0" w:color="auto"/>
                                        <w:right w:val="none" w:sz="0" w:space="0" w:color="auto"/>
                                      </w:divBdr>
                                    </w:div>
                                    <w:div w:id="1445927779">
                                      <w:marLeft w:val="0"/>
                                      <w:marRight w:val="0"/>
                                      <w:marTop w:val="0"/>
                                      <w:marBottom w:val="0"/>
                                      <w:divBdr>
                                        <w:top w:val="none" w:sz="0" w:space="0" w:color="auto"/>
                                        <w:left w:val="none" w:sz="0" w:space="0" w:color="auto"/>
                                        <w:bottom w:val="none" w:sz="0" w:space="0" w:color="auto"/>
                                        <w:right w:val="none" w:sz="0" w:space="0" w:color="auto"/>
                                      </w:divBdr>
                                    </w:div>
                                    <w:div w:id="1451246485">
                                      <w:marLeft w:val="0"/>
                                      <w:marRight w:val="0"/>
                                      <w:marTop w:val="0"/>
                                      <w:marBottom w:val="0"/>
                                      <w:divBdr>
                                        <w:top w:val="none" w:sz="0" w:space="0" w:color="auto"/>
                                        <w:left w:val="none" w:sz="0" w:space="0" w:color="auto"/>
                                        <w:bottom w:val="none" w:sz="0" w:space="0" w:color="auto"/>
                                        <w:right w:val="none" w:sz="0" w:space="0" w:color="auto"/>
                                      </w:divBdr>
                                    </w:div>
                                    <w:div w:id="1460107563">
                                      <w:marLeft w:val="0"/>
                                      <w:marRight w:val="0"/>
                                      <w:marTop w:val="0"/>
                                      <w:marBottom w:val="0"/>
                                      <w:divBdr>
                                        <w:top w:val="none" w:sz="0" w:space="0" w:color="auto"/>
                                        <w:left w:val="none" w:sz="0" w:space="0" w:color="auto"/>
                                        <w:bottom w:val="none" w:sz="0" w:space="0" w:color="auto"/>
                                        <w:right w:val="none" w:sz="0" w:space="0" w:color="auto"/>
                                      </w:divBdr>
                                    </w:div>
                                    <w:div w:id="1476992644">
                                      <w:marLeft w:val="0"/>
                                      <w:marRight w:val="0"/>
                                      <w:marTop w:val="0"/>
                                      <w:marBottom w:val="0"/>
                                      <w:divBdr>
                                        <w:top w:val="none" w:sz="0" w:space="0" w:color="auto"/>
                                        <w:left w:val="none" w:sz="0" w:space="0" w:color="auto"/>
                                        <w:bottom w:val="none" w:sz="0" w:space="0" w:color="auto"/>
                                        <w:right w:val="none" w:sz="0" w:space="0" w:color="auto"/>
                                      </w:divBdr>
                                      <w:divsChild>
                                        <w:div w:id="1369183636">
                                          <w:marLeft w:val="0"/>
                                          <w:marRight w:val="0"/>
                                          <w:marTop w:val="0"/>
                                          <w:marBottom w:val="0"/>
                                          <w:divBdr>
                                            <w:top w:val="none" w:sz="0" w:space="0" w:color="auto"/>
                                            <w:left w:val="none" w:sz="0" w:space="0" w:color="auto"/>
                                            <w:bottom w:val="none" w:sz="0" w:space="0" w:color="auto"/>
                                            <w:right w:val="none" w:sz="0" w:space="0" w:color="auto"/>
                                          </w:divBdr>
                                          <w:divsChild>
                                            <w:div w:id="44912842">
                                              <w:marLeft w:val="0"/>
                                              <w:marRight w:val="0"/>
                                              <w:marTop w:val="0"/>
                                              <w:marBottom w:val="0"/>
                                              <w:divBdr>
                                                <w:top w:val="none" w:sz="0" w:space="0" w:color="auto"/>
                                                <w:left w:val="none" w:sz="0" w:space="0" w:color="auto"/>
                                                <w:bottom w:val="none" w:sz="0" w:space="0" w:color="auto"/>
                                                <w:right w:val="none" w:sz="0" w:space="0" w:color="auto"/>
                                              </w:divBdr>
                                            </w:div>
                                            <w:div w:id="45691285">
                                              <w:marLeft w:val="0"/>
                                              <w:marRight w:val="0"/>
                                              <w:marTop w:val="0"/>
                                              <w:marBottom w:val="0"/>
                                              <w:divBdr>
                                                <w:top w:val="none" w:sz="0" w:space="0" w:color="auto"/>
                                                <w:left w:val="none" w:sz="0" w:space="0" w:color="auto"/>
                                                <w:bottom w:val="none" w:sz="0" w:space="0" w:color="auto"/>
                                                <w:right w:val="none" w:sz="0" w:space="0" w:color="auto"/>
                                              </w:divBdr>
                                            </w:div>
                                            <w:div w:id="55394063">
                                              <w:marLeft w:val="0"/>
                                              <w:marRight w:val="0"/>
                                              <w:marTop w:val="0"/>
                                              <w:marBottom w:val="0"/>
                                              <w:divBdr>
                                                <w:top w:val="none" w:sz="0" w:space="0" w:color="auto"/>
                                                <w:left w:val="none" w:sz="0" w:space="0" w:color="auto"/>
                                                <w:bottom w:val="none" w:sz="0" w:space="0" w:color="auto"/>
                                                <w:right w:val="none" w:sz="0" w:space="0" w:color="auto"/>
                                              </w:divBdr>
                                            </w:div>
                                            <w:div w:id="121509956">
                                              <w:marLeft w:val="0"/>
                                              <w:marRight w:val="0"/>
                                              <w:marTop w:val="0"/>
                                              <w:marBottom w:val="0"/>
                                              <w:divBdr>
                                                <w:top w:val="none" w:sz="0" w:space="0" w:color="auto"/>
                                                <w:left w:val="none" w:sz="0" w:space="0" w:color="auto"/>
                                                <w:bottom w:val="none" w:sz="0" w:space="0" w:color="auto"/>
                                                <w:right w:val="none" w:sz="0" w:space="0" w:color="auto"/>
                                              </w:divBdr>
                                            </w:div>
                                            <w:div w:id="173231997">
                                              <w:marLeft w:val="0"/>
                                              <w:marRight w:val="0"/>
                                              <w:marTop w:val="0"/>
                                              <w:marBottom w:val="0"/>
                                              <w:divBdr>
                                                <w:top w:val="none" w:sz="0" w:space="0" w:color="auto"/>
                                                <w:left w:val="none" w:sz="0" w:space="0" w:color="auto"/>
                                                <w:bottom w:val="none" w:sz="0" w:space="0" w:color="auto"/>
                                                <w:right w:val="none" w:sz="0" w:space="0" w:color="auto"/>
                                              </w:divBdr>
                                            </w:div>
                                            <w:div w:id="206376048">
                                              <w:marLeft w:val="0"/>
                                              <w:marRight w:val="0"/>
                                              <w:marTop w:val="0"/>
                                              <w:marBottom w:val="0"/>
                                              <w:divBdr>
                                                <w:top w:val="none" w:sz="0" w:space="0" w:color="auto"/>
                                                <w:left w:val="none" w:sz="0" w:space="0" w:color="auto"/>
                                                <w:bottom w:val="none" w:sz="0" w:space="0" w:color="auto"/>
                                                <w:right w:val="none" w:sz="0" w:space="0" w:color="auto"/>
                                              </w:divBdr>
                                            </w:div>
                                            <w:div w:id="444233868">
                                              <w:marLeft w:val="0"/>
                                              <w:marRight w:val="0"/>
                                              <w:marTop w:val="0"/>
                                              <w:marBottom w:val="0"/>
                                              <w:divBdr>
                                                <w:top w:val="none" w:sz="0" w:space="0" w:color="auto"/>
                                                <w:left w:val="none" w:sz="0" w:space="0" w:color="auto"/>
                                                <w:bottom w:val="none" w:sz="0" w:space="0" w:color="auto"/>
                                                <w:right w:val="none" w:sz="0" w:space="0" w:color="auto"/>
                                              </w:divBdr>
                                            </w:div>
                                            <w:div w:id="483933967">
                                              <w:marLeft w:val="0"/>
                                              <w:marRight w:val="0"/>
                                              <w:marTop w:val="0"/>
                                              <w:marBottom w:val="0"/>
                                              <w:divBdr>
                                                <w:top w:val="none" w:sz="0" w:space="0" w:color="auto"/>
                                                <w:left w:val="none" w:sz="0" w:space="0" w:color="auto"/>
                                                <w:bottom w:val="none" w:sz="0" w:space="0" w:color="auto"/>
                                                <w:right w:val="none" w:sz="0" w:space="0" w:color="auto"/>
                                              </w:divBdr>
                                            </w:div>
                                            <w:div w:id="500462251">
                                              <w:marLeft w:val="0"/>
                                              <w:marRight w:val="0"/>
                                              <w:marTop w:val="0"/>
                                              <w:marBottom w:val="0"/>
                                              <w:divBdr>
                                                <w:top w:val="none" w:sz="0" w:space="0" w:color="auto"/>
                                                <w:left w:val="none" w:sz="0" w:space="0" w:color="auto"/>
                                                <w:bottom w:val="none" w:sz="0" w:space="0" w:color="auto"/>
                                                <w:right w:val="none" w:sz="0" w:space="0" w:color="auto"/>
                                              </w:divBdr>
                                            </w:div>
                                            <w:div w:id="521436512">
                                              <w:marLeft w:val="0"/>
                                              <w:marRight w:val="0"/>
                                              <w:marTop w:val="0"/>
                                              <w:marBottom w:val="0"/>
                                              <w:divBdr>
                                                <w:top w:val="none" w:sz="0" w:space="0" w:color="auto"/>
                                                <w:left w:val="none" w:sz="0" w:space="0" w:color="auto"/>
                                                <w:bottom w:val="none" w:sz="0" w:space="0" w:color="auto"/>
                                                <w:right w:val="none" w:sz="0" w:space="0" w:color="auto"/>
                                              </w:divBdr>
                                            </w:div>
                                            <w:div w:id="523249224">
                                              <w:marLeft w:val="0"/>
                                              <w:marRight w:val="0"/>
                                              <w:marTop w:val="0"/>
                                              <w:marBottom w:val="0"/>
                                              <w:divBdr>
                                                <w:top w:val="none" w:sz="0" w:space="0" w:color="auto"/>
                                                <w:left w:val="none" w:sz="0" w:space="0" w:color="auto"/>
                                                <w:bottom w:val="none" w:sz="0" w:space="0" w:color="auto"/>
                                                <w:right w:val="none" w:sz="0" w:space="0" w:color="auto"/>
                                              </w:divBdr>
                                            </w:div>
                                            <w:div w:id="614749249">
                                              <w:marLeft w:val="0"/>
                                              <w:marRight w:val="0"/>
                                              <w:marTop w:val="0"/>
                                              <w:marBottom w:val="0"/>
                                              <w:divBdr>
                                                <w:top w:val="none" w:sz="0" w:space="0" w:color="auto"/>
                                                <w:left w:val="none" w:sz="0" w:space="0" w:color="auto"/>
                                                <w:bottom w:val="none" w:sz="0" w:space="0" w:color="auto"/>
                                                <w:right w:val="none" w:sz="0" w:space="0" w:color="auto"/>
                                              </w:divBdr>
                                            </w:div>
                                            <w:div w:id="682635956">
                                              <w:marLeft w:val="0"/>
                                              <w:marRight w:val="0"/>
                                              <w:marTop w:val="0"/>
                                              <w:marBottom w:val="0"/>
                                              <w:divBdr>
                                                <w:top w:val="none" w:sz="0" w:space="0" w:color="auto"/>
                                                <w:left w:val="none" w:sz="0" w:space="0" w:color="auto"/>
                                                <w:bottom w:val="none" w:sz="0" w:space="0" w:color="auto"/>
                                                <w:right w:val="none" w:sz="0" w:space="0" w:color="auto"/>
                                              </w:divBdr>
                                            </w:div>
                                            <w:div w:id="691492218">
                                              <w:marLeft w:val="0"/>
                                              <w:marRight w:val="0"/>
                                              <w:marTop w:val="0"/>
                                              <w:marBottom w:val="0"/>
                                              <w:divBdr>
                                                <w:top w:val="none" w:sz="0" w:space="0" w:color="auto"/>
                                                <w:left w:val="none" w:sz="0" w:space="0" w:color="auto"/>
                                                <w:bottom w:val="none" w:sz="0" w:space="0" w:color="auto"/>
                                                <w:right w:val="none" w:sz="0" w:space="0" w:color="auto"/>
                                              </w:divBdr>
                                            </w:div>
                                            <w:div w:id="732503728">
                                              <w:marLeft w:val="0"/>
                                              <w:marRight w:val="0"/>
                                              <w:marTop w:val="0"/>
                                              <w:marBottom w:val="0"/>
                                              <w:divBdr>
                                                <w:top w:val="none" w:sz="0" w:space="0" w:color="auto"/>
                                                <w:left w:val="none" w:sz="0" w:space="0" w:color="auto"/>
                                                <w:bottom w:val="none" w:sz="0" w:space="0" w:color="auto"/>
                                                <w:right w:val="none" w:sz="0" w:space="0" w:color="auto"/>
                                              </w:divBdr>
                                            </w:div>
                                            <w:div w:id="845436242">
                                              <w:marLeft w:val="0"/>
                                              <w:marRight w:val="0"/>
                                              <w:marTop w:val="0"/>
                                              <w:marBottom w:val="0"/>
                                              <w:divBdr>
                                                <w:top w:val="none" w:sz="0" w:space="0" w:color="auto"/>
                                                <w:left w:val="none" w:sz="0" w:space="0" w:color="auto"/>
                                                <w:bottom w:val="none" w:sz="0" w:space="0" w:color="auto"/>
                                                <w:right w:val="none" w:sz="0" w:space="0" w:color="auto"/>
                                              </w:divBdr>
                                            </w:div>
                                            <w:div w:id="850950398">
                                              <w:marLeft w:val="0"/>
                                              <w:marRight w:val="0"/>
                                              <w:marTop w:val="0"/>
                                              <w:marBottom w:val="0"/>
                                              <w:divBdr>
                                                <w:top w:val="none" w:sz="0" w:space="0" w:color="auto"/>
                                                <w:left w:val="none" w:sz="0" w:space="0" w:color="auto"/>
                                                <w:bottom w:val="none" w:sz="0" w:space="0" w:color="auto"/>
                                                <w:right w:val="none" w:sz="0" w:space="0" w:color="auto"/>
                                              </w:divBdr>
                                            </w:div>
                                            <w:div w:id="899286646">
                                              <w:marLeft w:val="0"/>
                                              <w:marRight w:val="0"/>
                                              <w:marTop w:val="0"/>
                                              <w:marBottom w:val="0"/>
                                              <w:divBdr>
                                                <w:top w:val="none" w:sz="0" w:space="0" w:color="auto"/>
                                                <w:left w:val="none" w:sz="0" w:space="0" w:color="auto"/>
                                                <w:bottom w:val="none" w:sz="0" w:space="0" w:color="auto"/>
                                                <w:right w:val="none" w:sz="0" w:space="0" w:color="auto"/>
                                              </w:divBdr>
                                            </w:div>
                                            <w:div w:id="901868474">
                                              <w:marLeft w:val="0"/>
                                              <w:marRight w:val="0"/>
                                              <w:marTop w:val="0"/>
                                              <w:marBottom w:val="0"/>
                                              <w:divBdr>
                                                <w:top w:val="none" w:sz="0" w:space="0" w:color="auto"/>
                                                <w:left w:val="none" w:sz="0" w:space="0" w:color="auto"/>
                                                <w:bottom w:val="none" w:sz="0" w:space="0" w:color="auto"/>
                                                <w:right w:val="none" w:sz="0" w:space="0" w:color="auto"/>
                                              </w:divBdr>
                                            </w:div>
                                            <w:div w:id="917907531">
                                              <w:marLeft w:val="0"/>
                                              <w:marRight w:val="0"/>
                                              <w:marTop w:val="0"/>
                                              <w:marBottom w:val="0"/>
                                              <w:divBdr>
                                                <w:top w:val="none" w:sz="0" w:space="0" w:color="auto"/>
                                                <w:left w:val="none" w:sz="0" w:space="0" w:color="auto"/>
                                                <w:bottom w:val="none" w:sz="0" w:space="0" w:color="auto"/>
                                                <w:right w:val="none" w:sz="0" w:space="0" w:color="auto"/>
                                              </w:divBdr>
                                            </w:div>
                                            <w:div w:id="963847043">
                                              <w:marLeft w:val="0"/>
                                              <w:marRight w:val="0"/>
                                              <w:marTop w:val="0"/>
                                              <w:marBottom w:val="0"/>
                                              <w:divBdr>
                                                <w:top w:val="none" w:sz="0" w:space="0" w:color="auto"/>
                                                <w:left w:val="none" w:sz="0" w:space="0" w:color="auto"/>
                                                <w:bottom w:val="none" w:sz="0" w:space="0" w:color="auto"/>
                                                <w:right w:val="none" w:sz="0" w:space="0" w:color="auto"/>
                                              </w:divBdr>
                                            </w:div>
                                            <w:div w:id="985360753">
                                              <w:marLeft w:val="0"/>
                                              <w:marRight w:val="0"/>
                                              <w:marTop w:val="0"/>
                                              <w:marBottom w:val="0"/>
                                              <w:divBdr>
                                                <w:top w:val="none" w:sz="0" w:space="0" w:color="auto"/>
                                                <w:left w:val="none" w:sz="0" w:space="0" w:color="auto"/>
                                                <w:bottom w:val="none" w:sz="0" w:space="0" w:color="auto"/>
                                                <w:right w:val="none" w:sz="0" w:space="0" w:color="auto"/>
                                              </w:divBdr>
                                            </w:div>
                                            <w:div w:id="988435787">
                                              <w:marLeft w:val="0"/>
                                              <w:marRight w:val="0"/>
                                              <w:marTop w:val="0"/>
                                              <w:marBottom w:val="0"/>
                                              <w:divBdr>
                                                <w:top w:val="none" w:sz="0" w:space="0" w:color="auto"/>
                                                <w:left w:val="none" w:sz="0" w:space="0" w:color="auto"/>
                                                <w:bottom w:val="none" w:sz="0" w:space="0" w:color="auto"/>
                                                <w:right w:val="none" w:sz="0" w:space="0" w:color="auto"/>
                                              </w:divBdr>
                                            </w:div>
                                            <w:div w:id="1069305031">
                                              <w:marLeft w:val="0"/>
                                              <w:marRight w:val="0"/>
                                              <w:marTop w:val="0"/>
                                              <w:marBottom w:val="0"/>
                                              <w:divBdr>
                                                <w:top w:val="none" w:sz="0" w:space="0" w:color="auto"/>
                                                <w:left w:val="none" w:sz="0" w:space="0" w:color="auto"/>
                                                <w:bottom w:val="none" w:sz="0" w:space="0" w:color="auto"/>
                                                <w:right w:val="none" w:sz="0" w:space="0" w:color="auto"/>
                                              </w:divBdr>
                                            </w:div>
                                            <w:div w:id="1080833643">
                                              <w:marLeft w:val="0"/>
                                              <w:marRight w:val="0"/>
                                              <w:marTop w:val="0"/>
                                              <w:marBottom w:val="0"/>
                                              <w:divBdr>
                                                <w:top w:val="none" w:sz="0" w:space="0" w:color="auto"/>
                                                <w:left w:val="none" w:sz="0" w:space="0" w:color="auto"/>
                                                <w:bottom w:val="none" w:sz="0" w:space="0" w:color="auto"/>
                                                <w:right w:val="none" w:sz="0" w:space="0" w:color="auto"/>
                                              </w:divBdr>
                                            </w:div>
                                            <w:div w:id="1106003863">
                                              <w:marLeft w:val="0"/>
                                              <w:marRight w:val="0"/>
                                              <w:marTop w:val="0"/>
                                              <w:marBottom w:val="0"/>
                                              <w:divBdr>
                                                <w:top w:val="none" w:sz="0" w:space="0" w:color="auto"/>
                                                <w:left w:val="none" w:sz="0" w:space="0" w:color="auto"/>
                                                <w:bottom w:val="none" w:sz="0" w:space="0" w:color="auto"/>
                                                <w:right w:val="none" w:sz="0" w:space="0" w:color="auto"/>
                                              </w:divBdr>
                                            </w:div>
                                            <w:div w:id="1120077304">
                                              <w:marLeft w:val="0"/>
                                              <w:marRight w:val="0"/>
                                              <w:marTop w:val="0"/>
                                              <w:marBottom w:val="0"/>
                                              <w:divBdr>
                                                <w:top w:val="none" w:sz="0" w:space="0" w:color="auto"/>
                                                <w:left w:val="none" w:sz="0" w:space="0" w:color="auto"/>
                                                <w:bottom w:val="none" w:sz="0" w:space="0" w:color="auto"/>
                                                <w:right w:val="none" w:sz="0" w:space="0" w:color="auto"/>
                                              </w:divBdr>
                                            </w:div>
                                            <w:div w:id="1186216667">
                                              <w:marLeft w:val="0"/>
                                              <w:marRight w:val="0"/>
                                              <w:marTop w:val="0"/>
                                              <w:marBottom w:val="0"/>
                                              <w:divBdr>
                                                <w:top w:val="none" w:sz="0" w:space="0" w:color="auto"/>
                                                <w:left w:val="none" w:sz="0" w:space="0" w:color="auto"/>
                                                <w:bottom w:val="none" w:sz="0" w:space="0" w:color="auto"/>
                                                <w:right w:val="none" w:sz="0" w:space="0" w:color="auto"/>
                                              </w:divBdr>
                                            </w:div>
                                            <w:div w:id="1190026581">
                                              <w:marLeft w:val="0"/>
                                              <w:marRight w:val="0"/>
                                              <w:marTop w:val="0"/>
                                              <w:marBottom w:val="0"/>
                                              <w:divBdr>
                                                <w:top w:val="none" w:sz="0" w:space="0" w:color="auto"/>
                                                <w:left w:val="none" w:sz="0" w:space="0" w:color="auto"/>
                                                <w:bottom w:val="none" w:sz="0" w:space="0" w:color="auto"/>
                                                <w:right w:val="none" w:sz="0" w:space="0" w:color="auto"/>
                                              </w:divBdr>
                                            </w:div>
                                            <w:div w:id="1246185714">
                                              <w:marLeft w:val="0"/>
                                              <w:marRight w:val="0"/>
                                              <w:marTop w:val="0"/>
                                              <w:marBottom w:val="0"/>
                                              <w:divBdr>
                                                <w:top w:val="none" w:sz="0" w:space="0" w:color="auto"/>
                                                <w:left w:val="none" w:sz="0" w:space="0" w:color="auto"/>
                                                <w:bottom w:val="none" w:sz="0" w:space="0" w:color="auto"/>
                                                <w:right w:val="none" w:sz="0" w:space="0" w:color="auto"/>
                                              </w:divBdr>
                                            </w:div>
                                            <w:div w:id="1257714202">
                                              <w:marLeft w:val="0"/>
                                              <w:marRight w:val="0"/>
                                              <w:marTop w:val="0"/>
                                              <w:marBottom w:val="0"/>
                                              <w:divBdr>
                                                <w:top w:val="none" w:sz="0" w:space="0" w:color="auto"/>
                                                <w:left w:val="none" w:sz="0" w:space="0" w:color="auto"/>
                                                <w:bottom w:val="none" w:sz="0" w:space="0" w:color="auto"/>
                                                <w:right w:val="none" w:sz="0" w:space="0" w:color="auto"/>
                                              </w:divBdr>
                                            </w:div>
                                            <w:div w:id="1260144736">
                                              <w:marLeft w:val="0"/>
                                              <w:marRight w:val="0"/>
                                              <w:marTop w:val="0"/>
                                              <w:marBottom w:val="0"/>
                                              <w:divBdr>
                                                <w:top w:val="none" w:sz="0" w:space="0" w:color="auto"/>
                                                <w:left w:val="none" w:sz="0" w:space="0" w:color="auto"/>
                                                <w:bottom w:val="none" w:sz="0" w:space="0" w:color="auto"/>
                                                <w:right w:val="none" w:sz="0" w:space="0" w:color="auto"/>
                                              </w:divBdr>
                                            </w:div>
                                            <w:div w:id="1407798601">
                                              <w:marLeft w:val="0"/>
                                              <w:marRight w:val="0"/>
                                              <w:marTop w:val="0"/>
                                              <w:marBottom w:val="0"/>
                                              <w:divBdr>
                                                <w:top w:val="none" w:sz="0" w:space="0" w:color="auto"/>
                                                <w:left w:val="none" w:sz="0" w:space="0" w:color="auto"/>
                                                <w:bottom w:val="none" w:sz="0" w:space="0" w:color="auto"/>
                                                <w:right w:val="none" w:sz="0" w:space="0" w:color="auto"/>
                                              </w:divBdr>
                                            </w:div>
                                            <w:div w:id="1440024305">
                                              <w:marLeft w:val="0"/>
                                              <w:marRight w:val="0"/>
                                              <w:marTop w:val="0"/>
                                              <w:marBottom w:val="0"/>
                                              <w:divBdr>
                                                <w:top w:val="none" w:sz="0" w:space="0" w:color="auto"/>
                                                <w:left w:val="none" w:sz="0" w:space="0" w:color="auto"/>
                                                <w:bottom w:val="none" w:sz="0" w:space="0" w:color="auto"/>
                                                <w:right w:val="none" w:sz="0" w:space="0" w:color="auto"/>
                                              </w:divBdr>
                                            </w:div>
                                            <w:div w:id="1451702151">
                                              <w:marLeft w:val="0"/>
                                              <w:marRight w:val="0"/>
                                              <w:marTop w:val="0"/>
                                              <w:marBottom w:val="0"/>
                                              <w:divBdr>
                                                <w:top w:val="none" w:sz="0" w:space="0" w:color="auto"/>
                                                <w:left w:val="none" w:sz="0" w:space="0" w:color="auto"/>
                                                <w:bottom w:val="none" w:sz="0" w:space="0" w:color="auto"/>
                                                <w:right w:val="none" w:sz="0" w:space="0" w:color="auto"/>
                                              </w:divBdr>
                                            </w:div>
                                            <w:div w:id="1463690576">
                                              <w:marLeft w:val="0"/>
                                              <w:marRight w:val="0"/>
                                              <w:marTop w:val="0"/>
                                              <w:marBottom w:val="0"/>
                                              <w:divBdr>
                                                <w:top w:val="none" w:sz="0" w:space="0" w:color="auto"/>
                                                <w:left w:val="none" w:sz="0" w:space="0" w:color="auto"/>
                                                <w:bottom w:val="none" w:sz="0" w:space="0" w:color="auto"/>
                                                <w:right w:val="none" w:sz="0" w:space="0" w:color="auto"/>
                                              </w:divBdr>
                                            </w:div>
                                            <w:div w:id="1497499039">
                                              <w:marLeft w:val="0"/>
                                              <w:marRight w:val="0"/>
                                              <w:marTop w:val="0"/>
                                              <w:marBottom w:val="0"/>
                                              <w:divBdr>
                                                <w:top w:val="none" w:sz="0" w:space="0" w:color="auto"/>
                                                <w:left w:val="none" w:sz="0" w:space="0" w:color="auto"/>
                                                <w:bottom w:val="none" w:sz="0" w:space="0" w:color="auto"/>
                                                <w:right w:val="none" w:sz="0" w:space="0" w:color="auto"/>
                                              </w:divBdr>
                                            </w:div>
                                            <w:div w:id="1572159924">
                                              <w:marLeft w:val="0"/>
                                              <w:marRight w:val="0"/>
                                              <w:marTop w:val="0"/>
                                              <w:marBottom w:val="0"/>
                                              <w:divBdr>
                                                <w:top w:val="none" w:sz="0" w:space="0" w:color="auto"/>
                                                <w:left w:val="none" w:sz="0" w:space="0" w:color="auto"/>
                                                <w:bottom w:val="none" w:sz="0" w:space="0" w:color="auto"/>
                                                <w:right w:val="none" w:sz="0" w:space="0" w:color="auto"/>
                                              </w:divBdr>
                                            </w:div>
                                            <w:div w:id="1728652365">
                                              <w:marLeft w:val="0"/>
                                              <w:marRight w:val="0"/>
                                              <w:marTop w:val="0"/>
                                              <w:marBottom w:val="0"/>
                                              <w:divBdr>
                                                <w:top w:val="none" w:sz="0" w:space="0" w:color="auto"/>
                                                <w:left w:val="none" w:sz="0" w:space="0" w:color="auto"/>
                                                <w:bottom w:val="none" w:sz="0" w:space="0" w:color="auto"/>
                                                <w:right w:val="none" w:sz="0" w:space="0" w:color="auto"/>
                                              </w:divBdr>
                                            </w:div>
                                            <w:div w:id="1751998248">
                                              <w:marLeft w:val="0"/>
                                              <w:marRight w:val="0"/>
                                              <w:marTop w:val="0"/>
                                              <w:marBottom w:val="0"/>
                                              <w:divBdr>
                                                <w:top w:val="none" w:sz="0" w:space="0" w:color="auto"/>
                                                <w:left w:val="none" w:sz="0" w:space="0" w:color="auto"/>
                                                <w:bottom w:val="none" w:sz="0" w:space="0" w:color="auto"/>
                                                <w:right w:val="none" w:sz="0" w:space="0" w:color="auto"/>
                                              </w:divBdr>
                                            </w:div>
                                            <w:div w:id="1755972866">
                                              <w:marLeft w:val="0"/>
                                              <w:marRight w:val="0"/>
                                              <w:marTop w:val="0"/>
                                              <w:marBottom w:val="0"/>
                                              <w:divBdr>
                                                <w:top w:val="none" w:sz="0" w:space="0" w:color="auto"/>
                                                <w:left w:val="none" w:sz="0" w:space="0" w:color="auto"/>
                                                <w:bottom w:val="none" w:sz="0" w:space="0" w:color="auto"/>
                                                <w:right w:val="none" w:sz="0" w:space="0" w:color="auto"/>
                                              </w:divBdr>
                                            </w:div>
                                            <w:div w:id="1772697207">
                                              <w:marLeft w:val="0"/>
                                              <w:marRight w:val="0"/>
                                              <w:marTop w:val="0"/>
                                              <w:marBottom w:val="0"/>
                                              <w:divBdr>
                                                <w:top w:val="none" w:sz="0" w:space="0" w:color="auto"/>
                                                <w:left w:val="none" w:sz="0" w:space="0" w:color="auto"/>
                                                <w:bottom w:val="none" w:sz="0" w:space="0" w:color="auto"/>
                                                <w:right w:val="none" w:sz="0" w:space="0" w:color="auto"/>
                                              </w:divBdr>
                                            </w:div>
                                            <w:div w:id="1884632341">
                                              <w:marLeft w:val="0"/>
                                              <w:marRight w:val="0"/>
                                              <w:marTop w:val="0"/>
                                              <w:marBottom w:val="0"/>
                                              <w:divBdr>
                                                <w:top w:val="none" w:sz="0" w:space="0" w:color="auto"/>
                                                <w:left w:val="none" w:sz="0" w:space="0" w:color="auto"/>
                                                <w:bottom w:val="none" w:sz="0" w:space="0" w:color="auto"/>
                                                <w:right w:val="none" w:sz="0" w:space="0" w:color="auto"/>
                                              </w:divBdr>
                                            </w:div>
                                            <w:div w:id="1951618609">
                                              <w:marLeft w:val="0"/>
                                              <w:marRight w:val="0"/>
                                              <w:marTop w:val="0"/>
                                              <w:marBottom w:val="0"/>
                                              <w:divBdr>
                                                <w:top w:val="none" w:sz="0" w:space="0" w:color="auto"/>
                                                <w:left w:val="none" w:sz="0" w:space="0" w:color="auto"/>
                                                <w:bottom w:val="none" w:sz="0" w:space="0" w:color="auto"/>
                                                <w:right w:val="none" w:sz="0" w:space="0" w:color="auto"/>
                                              </w:divBdr>
                                            </w:div>
                                            <w:div w:id="1974287794">
                                              <w:marLeft w:val="0"/>
                                              <w:marRight w:val="0"/>
                                              <w:marTop w:val="0"/>
                                              <w:marBottom w:val="0"/>
                                              <w:divBdr>
                                                <w:top w:val="none" w:sz="0" w:space="0" w:color="auto"/>
                                                <w:left w:val="none" w:sz="0" w:space="0" w:color="auto"/>
                                                <w:bottom w:val="none" w:sz="0" w:space="0" w:color="auto"/>
                                                <w:right w:val="none" w:sz="0" w:space="0" w:color="auto"/>
                                              </w:divBdr>
                                            </w:div>
                                            <w:div w:id="2004812667">
                                              <w:marLeft w:val="0"/>
                                              <w:marRight w:val="0"/>
                                              <w:marTop w:val="0"/>
                                              <w:marBottom w:val="0"/>
                                              <w:divBdr>
                                                <w:top w:val="none" w:sz="0" w:space="0" w:color="auto"/>
                                                <w:left w:val="none" w:sz="0" w:space="0" w:color="auto"/>
                                                <w:bottom w:val="none" w:sz="0" w:space="0" w:color="auto"/>
                                                <w:right w:val="none" w:sz="0" w:space="0" w:color="auto"/>
                                              </w:divBdr>
                                            </w:div>
                                            <w:div w:id="2014407417">
                                              <w:marLeft w:val="0"/>
                                              <w:marRight w:val="0"/>
                                              <w:marTop w:val="0"/>
                                              <w:marBottom w:val="0"/>
                                              <w:divBdr>
                                                <w:top w:val="none" w:sz="0" w:space="0" w:color="auto"/>
                                                <w:left w:val="none" w:sz="0" w:space="0" w:color="auto"/>
                                                <w:bottom w:val="none" w:sz="0" w:space="0" w:color="auto"/>
                                                <w:right w:val="none" w:sz="0" w:space="0" w:color="auto"/>
                                              </w:divBdr>
                                            </w:div>
                                            <w:div w:id="2021619442">
                                              <w:marLeft w:val="0"/>
                                              <w:marRight w:val="0"/>
                                              <w:marTop w:val="0"/>
                                              <w:marBottom w:val="0"/>
                                              <w:divBdr>
                                                <w:top w:val="none" w:sz="0" w:space="0" w:color="auto"/>
                                                <w:left w:val="none" w:sz="0" w:space="0" w:color="auto"/>
                                                <w:bottom w:val="none" w:sz="0" w:space="0" w:color="auto"/>
                                                <w:right w:val="none" w:sz="0" w:space="0" w:color="auto"/>
                                              </w:divBdr>
                                            </w:div>
                                            <w:div w:id="2034071495">
                                              <w:marLeft w:val="0"/>
                                              <w:marRight w:val="0"/>
                                              <w:marTop w:val="0"/>
                                              <w:marBottom w:val="0"/>
                                              <w:divBdr>
                                                <w:top w:val="none" w:sz="0" w:space="0" w:color="auto"/>
                                                <w:left w:val="none" w:sz="0" w:space="0" w:color="auto"/>
                                                <w:bottom w:val="none" w:sz="0" w:space="0" w:color="auto"/>
                                                <w:right w:val="none" w:sz="0" w:space="0" w:color="auto"/>
                                              </w:divBdr>
                                            </w:div>
                                            <w:div w:id="2042585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0289148">
                                      <w:marLeft w:val="0"/>
                                      <w:marRight w:val="0"/>
                                      <w:marTop w:val="0"/>
                                      <w:marBottom w:val="0"/>
                                      <w:divBdr>
                                        <w:top w:val="none" w:sz="0" w:space="0" w:color="auto"/>
                                        <w:left w:val="none" w:sz="0" w:space="0" w:color="auto"/>
                                        <w:bottom w:val="none" w:sz="0" w:space="0" w:color="auto"/>
                                        <w:right w:val="none" w:sz="0" w:space="0" w:color="auto"/>
                                      </w:divBdr>
                                    </w:div>
                                    <w:div w:id="1490440880">
                                      <w:marLeft w:val="0"/>
                                      <w:marRight w:val="0"/>
                                      <w:marTop w:val="0"/>
                                      <w:marBottom w:val="0"/>
                                      <w:divBdr>
                                        <w:top w:val="none" w:sz="0" w:space="0" w:color="auto"/>
                                        <w:left w:val="none" w:sz="0" w:space="0" w:color="auto"/>
                                        <w:bottom w:val="none" w:sz="0" w:space="0" w:color="auto"/>
                                        <w:right w:val="none" w:sz="0" w:space="0" w:color="auto"/>
                                      </w:divBdr>
                                    </w:div>
                                    <w:div w:id="1499267431">
                                      <w:marLeft w:val="0"/>
                                      <w:marRight w:val="0"/>
                                      <w:marTop w:val="0"/>
                                      <w:marBottom w:val="0"/>
                                      <w:divBdr>
                                        <w:top w:val="none" w:sz="0" w:space="0" w:color="auto"/>
                                        <w:left w:val="none" w:sz="0" w:space="0" w:color="auto"/>
                                        <w:bottom w:val="none" w:sz="0" w:space="0" w:color="auto"/>
                                        <w:right w:val="none" w:sz="0" w:space="0" w:color="auto"/>
                                      </w:divBdr>
                                    </w:div>
                                    <w:div w:id="1503472461">
                                      <w:marLeft w:val="0"/>
                                      <w:marRight w:val="0"/>
                                      <w:marTop w:val="0"/>
                                      <w:marBottom w:val="0"/>
                                      <w:divBdr>
                                        <w:top w:val="none" w:sz="0" w:space="0" w:color="auto"/>
                                        <w:left w:val="none" w:sz="0" w:space="0" w:color="auto"/>
                                        <w:bottom w:val="none" w:sz="0" w:space="0" w:color="auto"/>
                                        <w:right w:val="none" w:sz="0" w:space="0" w:color="auto"/>
                                      </w:divBdr>
                                    </w:div>
                                    <w:div w:id="1529221871">
                                      <w:marLeft w:val="0"/>
                                      <w:marRight w:val="0"/>
                                      <w:marTop w:val="0"/>
                                      <w:marBottom w:val="0"/>
                                      <w:divBdr>
                                        <w:top w:val="none" w:sz="0" w:space="0" w:color="auto"/>
                                        <w:left w:val="none" w:sz="0" w:space="0" w:color="auto"/>
                                        <w:bottom w:val="none" w:sz="0" w:space="0" w:color="auto"/>
                                        <w:right w:val="none" w:sz="0" w:space="0" w:color="auto"/>
                                      </w:divBdr>
                                    </w:div>
                                    <w:div w:id="1546481956">
                                      <w:marLeft w:val="0"/>
                                      <w:marRight w:val="0"/>
                                      <w:marTop w:val="0"/>
                                      <w:marBottom w:val="0"/>
                                      <w:divBdr>
                                        <w:top w:val="none" w:sz="0" w:space="0" w:color="auto"/>
                                        <w:left w:val="none" w:sz="0" w:space="0" w:color="auto"/>
                                        <w:bottom w:val="none" w:sz="0" w:space="0" w:color="auto"/>
                                        <w:right w:val="none" w:sz="0" w:space="0" w:color="auto"/>
                                      </w:divBdr>
                                    </w:div>
                                    <w:div w:id="1559045926">
                                      <w:marLeft w:val="0"/>
                                      <w:marRight w:val="0"/>
                                      <w:marTop w:val="0"/>
                                      <w:marBottom w:val="0"/>
                                      <w:divBdr>
                                        <w:top w:val="none" w:sz="0" w:space="0" w:color="auto"/>
                                        <w:left w:val="none" w:sz="0" w:space="0" w:color="auto"/>
                                        <w:bottom w:val="none" w:sz="0" w:space="0" w:color="auto"/>
                                        <w:right w:val="none" w:sz="0" w:space="0" w:color="auto"/>
                                      </w:divBdr>
                                    </w:div>
                                    <w:div w:id="1563830919">
                                      <w:marLeft w:val="0"/>
                                      <w:marRight w:val="0"/>
                                      <w:marTop w:val="0"/>
                                      <w:marBottom w:val="0"/>
                                      <w:divBdr>
                                        <w:top w:val="none" w:sz="0" w:space="0" w:color="auto"/>
                                        <w:left w:val="none" w:sz="0" w:space="0" w:color="auto"/>
                                        <w:bottom w:val="none" w:sz="0" w:space="0" w:color="auto"/>
                                        <w:right w:val="none" w:sz="0" w:space="0" w:color="auto"/>
                                      </w:divBdr>
                                    </w:div>
                                    <w:div w:id="1579241566">
                                      <w:marLeft w:val="0"/>
                                      <w:marRight w:val="0"/>
                                      <w:marTop w:val="0"/>
                                      <w:marBottom w:val="0"/>
                                      <w:divBdr>
                                        <w:top w:val="none" w:sz="0" w:space="0" w:color="auto"/>
                                        <w:left w:val="none" w:sz="0" w:space="0" w:color="auto"/>
                                        <w:bottom w:val="none" w:sz="0" w:space="0" w:color="auto"/>
                                        <w:right w:val="none" w:sz="0" w:space="0" w:color="auto"/>
                                      </w:divBdr>
                                    </w:div>
                                    <w:div w:id="1581325546">
                                      <w:marLeft w:val="0"/>
                                      <w:marRight w:val="0"/>
                                      <w:marTop w:val="0"/>
                                      <w:marBottom w:val="0"/>
                                      <w:divBdr>
                                        <w:top w:val="none" w:sz="0" w:space="0" w:color="auto"/>
                                        <w:left w:val="none" w:sz="0" w:space="0" w:color="auto"/>
                                        <w:bottom w:val="none" w:sz="0" w:space="0" w:color="auto"/>
                                        <w:right w:val="none" w:sz="0" w:space="0" w:color="auto"/>
                                      </w:divBdr>
                                    </w:div>
                                    <w:div w:id="1634556111">
                                      <w:marLeft w:val="0"/>
                                      <w:marRight w:val="0"/>
                                      <w:marTop w:val="0"/>
                                      <w:marBottom w:val="0"/>
                                      <w:divBdr>
                                        <w:top w:val="none" w:sz="0" w:space="0" w:color="auto"/>
                                        <w:left w:val="none" w:sz="0" w:space="0" w:color="auto"/>
                                        <w:bottom w:val="none" w:sz="0" w:space="0" w:color="auto"/>
                                        <w:right w:val="none" w:sz="0" w:space="0" w:color="auto"/>
                                      </w:divBdr>
                                    </w:div>
                                    <w:div w:id="1639145780">
                                      <w:marLeft w:val="0"/>
                                      <w:marRight w:val="0"/>
                                      <w:marTop w:val="0"/>
                                      <w:marBottom w:val="0"/>
                                      <w:divBdr>
                                        <w:top w:val="none" w:sz="0" w:space="0" w:color="auto"/>
                                        <w:left w:val="none" w:sz="0" w:space="0" w:color="auto"/>
                                        <w:bottom w:val="none" w:sz="0" w:space="0" w:color="auto"/>
                                        <w:right w:val="none" w:sz="0" w:space="0" w:color="auto"/>
                                      </w:divBdr>
                                    </w:div>
                                    <w:div w:id="1645117241">
                                      <w:marLeft w:val="0"/>
                                      <w:marRight w:val="0"/>
                                      <w:marTop w:val="0"/>
                                      <w:marBottom w:val="0"/>
                                      <w:divBdr>
                                        <w:top w:val="none" w:sz="0" w:space="0" w:color="auto"/>
                                        <w:left w:val="none" w:sz="0" w:space="0" w:color="auto"/>
                                        <w:bottom w:val="none" w:sz="0" w:space="0" w:color="auto"/>
                                        <w:right w:val="none" w:sz="0" w:space="0" w:color="auto"/>
                                      </w:divBdr>
                                    </w:div>
                                    <w:div w:id="1654412511">
                                      <w:marLeft w:val="0"/>
                                      <w:marRight w:val="0"/>
                                      <w:marTop w:val="0"/>
                                      <w:marBottom w:val="0"/>
                                      <w:divBdr>
                                        <w:top w:val="none" w:sz="0" w:space="0" w:color="auto"/>
                                        <w:left w:val="none" w:sz="0" w:space="0" w:color="auto"/>
                                        <w:bottom w:val="none" w:sz="0" w:space="0" w:color="auto"/>
                                        <w:right w:val="none" w:sz="0" w:space="0" w:color="auto"/>
                                      </w:divBdr>
                                    </w:div>
                                    <w:div w:id="1656912292">
                                      <w:marLeft w:val="0"/>
                                      <w:marRight w:val="0"/>
                                      <w:marTop w:val="0"/>
                                      <w:marBottom w:val="0"/>
                                      <w:divBdr>
                                        <w:top w:val="none" w:sz="0" w:space="0" w:color="auto"/>
                                        <w:left w:val="none" w:sz="0" w:space="0" w:color="auto"/>
                                        <w:bottom w:val="none" w:sz="0" w:space="0" w:color="auto"/>
                                        <w:right w:val="none" w:sz="0" w:space="0" w:color="auto"/>
                                      </w:divBdr>
                                    </w:div>
                                    <w:div w:id="1660570651">
                                      <w:marLeft w:val="0"/>
                                      <w:marRight w:val="0"/>
                                      <w:marTop w:val="0"/>
                                      <w:marBottom w:val="0"/>
                                      <w:divBdr>
                                        <w:top w:val="none" w:sz="0" w:space="0" w:color="auto"/>
                                        <w:left w:val="none" w:sz="0" w:space="0" w:color="auto"/>
                                        <w:bottom w:val="none" w:sz="0" w:space="0" w:color="auto"/>
                                        <w:right w:val="none" w:sz="0" w:space="0" w:color="auto"/>
                                      </w:divBdr>
                                    </w:div>
                                    <w:div w:id="1663779779">
                                      <w:marLeft w:val="0"/>
                                      <w:marRight w:val="0"/>
                                      <w:marTop w:val="0"/>
                                      <w:marBottom w:val="0"/>
                                      <w:divBdr>
                                        <w:top w:val="none" w:sz="0" w:space="0" w:color="auto"/>
                                        <w:left w:val="none" w:sz="0" w:space="0" w:color="auto"/>
                                        <w:bottom w:val="none" w:sz="0" w:space="0" w:color="auto"/>
                                        <w:right w:val="none" w:sz="0" w:space="0" w:color="auto"/>
                                      </w:divBdr>
                                    </w:div>
                                    <w:div w:id="1667132226">
                                      <w:marLeft w:val="0"/>
                                      <w:marRight w:val="0"/>
                                      <w:marTop w:val="0"/>
                                      <w:marBottom w:val="0"/>
                                      <w:divBdr>
                                        <w:top w:val="none" w:sz="0" w:space="0" w:color="auto"/>
                                        <w:left w:val="none" w:sz="0" w:space="0" w:color="auto"/>
                                        <w:bottom w:val="none" w:sz="0" w:space="0" w:color="auto"/>
                                        <w:right w:val="none" w:sz="0" w:space="0" w:color="auto"/>
                                      </w:divBdr>
                                    </w:div>
                                    <w:div w:id="1685014066">
                                      <w:marLeft w:val="0"/>
                                      <w:marRight w:val="0"/>
                                      <w:marTop w:val="0"/>
                                      <w:marBottom w:val="0"/>
                                      <w:divBdr>
                                        <w:top w:val="none" w:sz="0" w:space="0" w:color="auto"/>
                                        <w:left w:val="none" w:sz="0" w:space="0" w:color="auto"/>
                                        <w:bottom w:val="none" w:sz="0" w:space="0" w:color="auto"/>
                                        <w:right w:val="none" w:sz="0" w:space="0" w:color="auto"/>
                                      </w:divBdr>
                                    </w:div>
                                    <w:div w:id="1685552454">
                                      <w:marLeft w:val="0"/>
                                      <w:marRight w:val="0"/>
                                      <w:marTop w:val="0"/>
                                      <w:marBottom w:val="0"/>
                                      <w:divBdr>
                                        <w:top w:val="none" w:sz="0" w:space="0" w:color="auto"/>
                                        <w:left w:val="none" w:sz="0" w:space="0" w:color="auto"/>
                                        <w:bottom w:val="none" w:sz="0" w:space="0" w:color="auto"/>
                                        <w:right w:val="none" w:sz="0" w:space="0" w:color="auto"/>
                                      </w:divBdr>
                                    </w:div>
                                    <w:div w:id="1700232043">
                                      <w:marLeft w:val="0"/>
                                      <w:marRight w:val="0"/>
                                      <w:marTop w:val="0"/>
                                      <w:marBottom w:val="0"/>
                                      <w:divBdr>
                                        <w:top w:val="none" w:sz="0" w:space="0" w:color="auto"/>
                                        <w:left w:val="none" w:sz="0" w:space="0" w:color="auto"/>
                                        <w:bottom w:val="none" w:sz="0" w:space="0" w:color="auto"/>
                                        <w:right w:val="none" w:sz="0" w:space="0" w:color="auto"/>
                                      </w:divBdr>
                                    </w:div>
                                    <w:div w:id="1705671057">
                                      <w:marLeft w:val="0"/>
                                      <w:marRight w:val="0"/>
                                      <w:marTop w:val="0"/>
                                      <w:marBottom w:val="0"/>
                                      <w:divBdr>
                                        <w:top w:val="none" w:sz="0" w:space="0" w:color="auto"/>
                                        <w:left w:val="none" w:sz="0" w:space="0" w:color="auto"/>
                                        <w:bottom w:val="none" w:sz="0" w:space="0" w:color="auto"/>
                                        <w:right w:val="none" w:sz="0" w:space="0" w:color="auto"/>
                                      </w:divBdr>
                                    </w:div>
                                    <w:div w:id="1744330722">
                                      <w:marLeft w:val="0"/>
                                      <w:marRight w:val="0"/>
                                      <w:marTop w:val="0"/>
                                      <w:marBottom w:val="0"/>
                                      <w:divBdr>
                                        <w:top w:val="none" w:sz="0" w:space="0" w:color="auto"/>
                                        <w:left w:val="none" w:sz="0" w:space="0" w:color="auto"/>
                                        <w:bottom w:val="none" w:sz="0" w:space="0" w:color="auto"/>
                                        <w:right w:val="none" w:sz="0" w:space="0" w:color="auto"/>
                                      </w:divBdr>
                                    </w:div>
                                    <w:div w:id="1757894204">
                                      <w:marLeft w:val="0"/>
                                      <w:marRight w:val="0"/>
                                      <w:marTop w:val="0"/>
                                      <w:marBottom w:val="0"/>
                                      <w:divBdr>
                                        <w:top w:val="none" w:sz="0" w:space="0" w:color="auto"/>
                                        <w:left w:val="none" w:sz="0" w:space="0" w:color="auto"/>
                                        <w:bottom w:val="none" w:sz="0" w:space="0" w:color="auto"/>
                                        <w:right w:val="none" w:sz="0" w:space="0" w:color="auto"/>
                                      </w:divBdr>
                                    </w:div>
                                    <w:div w:id="1773744091">
                                      <w:marLeft w:val="0"/>
                                      <w:marRight w:val="0"/>
                                      <w:marTop w:val="0"/>
                                      <w:marBottom w:val="0"/>
                                      <w:divBdr>
                                        <w:top w:val="none" w:sz="0" w:space="0" w:color="auto"/>
                                        <w:left w:val="none" w:sz="0" w:space="0" w:color="auto"/>
                                        <w:bottom w:val="none" w:sz="0" w:space="0" w:color="auto"/>
                                        <w:right w:val="none" w:sz="0" w:space="0" w:color="auto"/>
                                      </w:divBdr>
                                    </w:div>
                                    <w:div w:id="1788238980">
                                      <w:marLeft w:val="0"/>
                                      <w:marRight w:val="0"/>
                                      <w:marTop w:val="0"/>
                                      <w:marBottom w:val="0"/>
                                      <w:divBdr>
                                        <w:top w:val="none" w:sz="0" w:space="0" w:color="auto"/>
                                        <w:left w:val="none" w:sz="0" w:space="0" w:color="auto"/>
                                        <w:bottom w:val="none" w:sz="0" w:space="0" w:color="auto"/>
                                        <w:right w:val="none" w:sz="0" w:space="0" w:color="auto"/>
                                      </w:divBdr>
                                    </w:div>
                                    <w:div w:id="1798059024">
                                      <w:marLeft w:val="0"/>
                                      <w:marRight w:val="0"/>
                                      <w:marTop w:val="0"/>
                                      <w:marBottom w:val="0"/>
                                      <w:divBdr>
                                        <w:top w:val="none" w:sz="0" w:space="0" w:color="auto"/>
                                        <w:left w:val="none" w:sz="0" w:space="0" w:color="auto"/>
                                        <w:bottom w:val="none" w:sz="0" w:space="0" w:color="auto"/>
                                        <w:right w:val="none" w:sz="0" w:space="0" w:color="auto"/>
                                      </w:divBdr>
                                    </w:div>
                                    <w:div w:id="1803814191">
                                      <w:marLeft w:val="0"/>
                                      <w:marRight w:val="0"/>
                                      <w:marTop w:val="0"/>
                                      <w:marBottom w:val="0"/>
                                      <w:divBdr>
                                        <w:top w:val="none" w:sz="0" w:space="0" w:color="auto"/>
                                        <w:left w:val="none" w:sz="0" w:space="0" w:color="auto"/>
                                        <w:bottom w:val="none" w:sz="0" w:space="0" w:color="auto"/>
                                        <w:right w:val="none" w:sz="0" w:space="0" w:color="auto"/>
                                      </w:divBdr>
                                    </w:div>
                                    <w:div w:id="1806771242">
                                      <w:marLeft w:val="0"/>
                                      <w:marRight w:val="0"/>
                                      <w:marTop w:val="0"/>
                                      <w:marBottom w:val="0"/>
                                      <w:divBdr>
                                        <w:top w:val="none" w:sz="0" w:space="0" w:color="auto"/>
                                        <w:left w:val="none" w:sz="0" w:space="0" w:color="auto"/>
                                        <w:bottom w:val="none" w:sz="0" w:space="0" w:color="auto"/>
                                        <w:right w:val="none" w:sz="0" w:space="0" w:color="auto"/>
                                      </w:divBdr>
                                    </w:div>
                                    <w:div w:id="1807576338">
                                      <w:marLeft w:val="0"/>
                                      <w:marRight w:val="0"/>
                                      <w:marTop w:val="0"/>
                                      <w:marBottom w:val="0"/>
                                      <w:divBdr>
                                        <w:top w:val="none" w:sz="0" w:space="0" w:color="auto"/>
                                        <w:left w:val="none" w:sz="0" w:space="0" w:color="auto"/>
                                        <w:bottom w:val="none" w:sz="0" w:space="0" w:color="auto"/>
                                        <w:right w:val="none" w:sz="0" w:space="0" w:color="auto"/>
                                      </w:divBdr>
                                    </w:div>
                                    <w:div w:id="1814828365">
                                      <w:marLeft w:val="0"/>
                                      <w:marRight w:val="0"/>
                                      <w:marTop w:val="0"/>
                                      <w:marBottom w:val="0"/>
                                      <w:divBdr>
                                        <w:top w:val="none" w:sz="0" w:space="0" w:color="auto"/>
                                        <w:left w:val="none" w:sz="0" w:space="0" w:color="auto"/>
                                        <w:bottom w:val="none" w:sz="0" w:space="0" w:color="auto"/>
                                        <w:right w:val="none" w:sz="0" w:space="0" w:color="auto"/>
                                      </w:divBdr>
                                    </w:div>
                                    <w:div w:id="1818377731">
                                      <w:marLeft w:val="0"/>
                                      <w:marRight w:val="0"/>
                                      <w:marTop w:val="0"/>
                                      <w:marBottom w:val="0"/>
                                      <w:divBdr>
                                        <w:top w:val="none" w:sz="0" w:space="0" w:color="auto"/>
                                        <w:left w:val="none" w:sz="0" w:space="0" w:color="auto"/>
                                        <w:bottom w:val="none" w:sz="0" w:space="0" w:color="auto"/>
                                        <w:right w:val="none" w:sz="0" w:space="0" w:color="auto"/>
                                      </w:divBdr>
                                    </w:div>
                                    <w:div w:id="1828130676">
                                      <w:marLeft w:val="0"/>
                                      <w:marRight w:val="0"/>
                                      <w:marTop w:val="0"/>
                                      <w:marBottom w:val="0"/>
                                      <w:divBdr>
                                        <w:top w:val="none" w:sz="0" w:space="0" w:color="auto"/>
                                        <w:left w:val="none" w:sz="0" w:space="0" w:color="auto"/>
                                        <w:bottom w:val="none" w:sz="0" w:space="0" w:color="auto"/>
                                        <w:right w:val="none" w:sz="0" w:space="0" w:color="auto"/>
                                      </w:divBdr>
                                    </w:div>
                                    <w:div w:id="1831826815">
                                      <w:marLeft w:val="0"/>
                                      <w:marRight w:val="0"/>
                                      <w:marTop w:val="0"/>
                                      <w:marBottom w:val="0"/>
                                      <w:divBdr>
                                        <w:top w:val="none" w:sz="0" w:space="0" w:color="auto"/>
                                        <w:left w:val="none" w:sz="0" w:space="0" w:color="auto"/>
                                        <w:bottom w:val="none" w:sz="0" w:space="0" w:color="auto"/>
                                        <w:right w:val="none" w:sz="0" w:space="0" w:color="auto"/>
                                      </w:divBdr>
                                    </w:div>
                                    <w:div w:id="1878353644">
                                      <w:marLeft w:val="0"/>
                                      <w:marRight w:val="0"/>
                                      <w:marTop w:val="0"/>
                                      <w:marBottom w:val="0"/>
                                      <w:divBdr>
                                        <w:top w:val="none" w:sz="0" w:space="0" w:color="auto"/>
                                        <w:left w:val="none" w:sz="0" w:space="0" w:color="auto"/>
                                        <w:bottom w:val="none" w:sz="0" w:space="0" w:color="auto"/>
                                        <w:right w:val="none" w:sz="0" w:space="0" w:color="auto"/>
                                      </w:divBdr>
                                    </w:div>
                                    <w:div w:id="1879388033">
                                      <w:marLeft w:val="0"/>
                                      <w:marRight w:val="0"/>
                                      <w:marTop w:val="0"/>
                                      <w:marBottom w:val="0"/>
                                      <w:divBdr>
                                        <w:top w:val="none" w:sz="0" w:space="0" w:color="auto"/>
                                        <w:left w:val="none" w:sz="0" w:space="0" w:color="auto"/>
                                        <w:bottom w:val="none" w:sz="0" w:space="0" w:color="auto"/>
                                        <w:right w:val="none" w:sz="0" w:space="0" w:color="auto"/>
                                      </w:divBdr>
                                    </w:div>
                                    <w:div w:id="1889219648">
                                      <w:marLeft w:val="0"/>
                                      <w:marRight w:val="0"/>
                                      <w:marTop w:val="0"/>
                                      <w:marBottom w:val="0"/>
                                      <w:divBdr>
                                        <w:top w:val="none" w:sz="0" w:space="0" w:color="auto"/>
                                        <w:left w:val="none" w:sz="0" w:space="0" w:color="auto"/>
                                        <w:bottom w:val="none" w:sz="0" w:space="0" w:color="auto"/>
                                        <w:right w:val="none" w:sz="0" w:space="0" w:color="auto"/>
                                      </w:divBdr>
                                    </w:div>
                                    <w:div w:id="1893689812">
                                      <w:marLeft w:val="0"/>
                                      <w:marRight w:val="0"/>
                                      <w:marTop w:val="0"/>
                                      <w:marBottom w:val="0"/>
                                      <w:divBdr>
                                        <w:top w:val="none" w:sz="0" w:space="0" w:color="auto"/>
                                        <w:left w:val="none" w:sz="0" w:space="0" w:color="auto"/>
                                        <w:bottom w:val="none" w:sz="0" w:space="0" w:color="auto"/>
                                        <w:right w:val="none" w:sz="0" w:space="0" w:color="auto"/>
                                      </w:divBdr>
                                    </w:div>
                                    <w:div w:id="1897013966">
                                      <w:marLeft w:val="0"/>
                                      <w:marRight w:val="0"/>
                                      <w:marTop w:val="0"/>
                                      <w:marBottom w:val="0"/>
                                      <w:divBdr>
                                        <w:top w:val="none" w:sz="0" w:space="0" w:color="auto"/>
                                        <w:left w:val="none" w:sz="0" w:space="0" w:color="auto"/>
                                        <w:bottom w:val="none" w:sz="0" w:space="0" w:color="auto"/>
                                        <w:right w:val="none" w:sz="0" w:space="0" w:color="auto"/>
                                      </w:divBdr>
                                    </w:div>
                                    <w:div w:id="1906644531">
                                      <w:marLeft w:val="0"/>
                                      <w:marRight w:val="0"/>
                                      <w:marTop w:val="0"/>
                                      <w:marBottom w:val="0"/>
                                      <w:divBdr>
                                        <w:top w:val="none" w:sz="0" w:space="0" w:color="auto"/>
                                        <w:left w:val="none" w:sz="0" w:space="0" w:color="auto"/>
                                        <w:bottom w:val="none" w:sz="0" w:space="0" w:color="auto"/>
                                        <w:right w:val="none" w:sz="0" w:space="0" w:color="auto"/>
                                      </w:divBdr>
                                    </w:div>
                                    <w:div w:id="1924415208">
                                      <w:marLeft w:val="0"/>
                                      <w:marRight w:val="0"/>
                                      <w:marTop w:val="0"/>
                                      <w:marBottom w:val="0"/>
                                      <w:divBdr>
                                        <w:top w:val="none" w:sz="0" w:space="0" w:color="auto"/>
                                        <w:left w:val="none" w:sz="0" w:space="0" w:color="auto"/>
                                        <w:bottom w:val="none" w:sz="0" w:space="0" w:color="auto"/>
                                        <w:right w:val="none" w:sz="0" w:space="0" w:color="auto"/>
                                      </w:divBdr>
                                    </w:div>
                                    <w:div w:id="1926568713">
                                      <w:marLeft w:val="0"/>
                                      <w:marRight w:val="0"/>
                                      <w:marTop w:val="0"/>
                                      <w:marBottom w:val="0"/>
                                      <w:divBdr>
                                        <w:top w:val="none" w:sz="0" w:space="0" w:color="auto"/>
                                        <w:left w:val="none" w:sz="0" w:space="0" w:color="auto"/>
                                        <w:bottom w:val="none" w:sz="0" w:space="0" w:color="auto"/>
                                        <w:right w:val="none" w:sz="0" w:space="0" w:color="auto"/>
                                      </w:divBdr>
                                    </w:div>
                                    <w:div w:id="1934580985">
                                      <w:marLeft w:val="0"/>
                                      <w:marRight w:val="0"/>
                                      <w:marTop w:val="0"/>
                                      <w:marBottom w:val="0"/>
                                      <w:divBdr>
                                        <w:top w:val="none" w:sz="0" w:space="0" w:color="auto"/>
                                        <w:left w:val="none" w:sz="0" w:space="0" w:color="auto"/>
                                        <w:bottom w:val="none" w:sz="0" w:space="0" w:color="auto"/>
                                        <w:right w:val="none" w:sz="0" w:space="0" w:color="auto"/>
                                      </w:divBdr>
                                    </w:div>
                                    <w:div w:id="1934781723">
                                      <w:marLeft w:val="0"/>
                                      <w:marRight w:val="0"/>
                                      <w:marTop w:val="0"/>
                                      <w:marBottom w:val="0"/>
                                      <w:divBdr>
                                        <w:top w:val="none" w:sz="0" w:space="0" w:color="auto"/>
                                        <w:left w:val="none" w:sz="0" w:space="0" w:color="auto"/>
                                        <w:bottom w:val="none" w:sz="0" w:space="0" w:color="auto"/>
                                        <w:right w:val="none" w:sz="0" w:space="0" w:color="auto"/>
                                      </w:divBdr>
                                    </w:div>
                                    <w:div w:id="1956600112">
                                      <w:marLeft w:val="0"/>
                                      <w:marRight w:val="0"/>
                                      <w:marTop w:val="0"/>
                                      <w:marBottom w:val="0"/>
                                      <w:divBdr>
                                        <w:top w:val="none" w:sz="0" w:space="0" w:color="auto"/>
                                        <w:left w:val="none" w:sz="0" w:space="0" w:color="auto"/>
                                        <w:bottom w:val="none" w:sz="0" w:space="0" w:color="auto"/>
                                        <w:right w:val="none" w:sz="0" w:space="0" w:color="auto"/>
                                      </w:divBdr>
                                    </w:div>
                                    <w:div w:id="1973436691">
                                      <w:marLeft w:val="0"/>
                                      <w:marRight w:val="0"/>
                                      <w:marTop w:val="0"/>
                                      <w:marBottom w:val="0"/>
                                      <w:divBdr>
                                        <w:top w:val="none" w:sz="0" w:space="0" w:color="auto"/>
                                        <w:left w:val="none" w:sz="0" w:space="0" w:color="auto"/>
                                        <w:bottom w:val="none" w:sz="0" w:space="0" w:color="auto"/>
                                        <w:right w:val="none" w:sz="0" w:space="0" w:color="auto"/>
                                      </w:divBdr>
                                    </w:div>
                                    <w:div w:id="1983078600">
                                      <w:marLeft w:val="0"/>
                                      <w:marRight w:val="0"/>
                                      <w:marTop w:val="0"/>
                                      <w:marBottom w:val="0"/>
                                      <w:divBdr>
                                        <w:top w:val="none" w:sz="0" w:space="0" w:color="auto"/>
                                        <w:left w:val="none" w:sz="0" w:space="0" w:color="auto"/>
                                        <w:bottom w:val="none" w:sz="0" w:space="0" w:color="auto"/>
                                        <w:right w:val="none" w:sz="0" w:space="0" w:color="auto"/>
                                      </w:divBdr>
                                    </w:div>
                                    <w:div w:id="1991403968">
                                      <w:marLeft w:val="0"/>
                                      <w:marRight w:val="0"/>
                                      <w:marTop w:val="0"/>
                                      <w:marBottom w:val="0"/>
                                      <w:divBdr>
                                        <w:top w:val="none" w:sz="0" w:space="0" w:color="auto"/>
                                        <w:left w:val="none" w:sz="0" w:space="0" w:color="auto"/>
                                        <w:bottom w:val="none" w:sz="0" w:space="0" w:color="auto"/>
                                        <w:right w:val="none" w:sz="0" w:space="0" w:color="auto"/>
                                      </w:divBdr>
                                    </w:div>
                                    <w:div w:id="1996445619">
                                      <w:marLeft w:val="0"/>
                                      <w:marRight w:val="0"/>
                                      <w:marTop w:val="0"/>
                                      <w:marBottom w:val="0"/>
                                      <w:divBdr>
                                        <w:top w:val="none" w:sz="0" w:space="0" w:color="auto"/>
                                        <w:left w:val="none" w:sz="0" w:space="0" w:color="auto"/>
                                        <w:bottom w:val="none" w:sz="0" w:space="0" w:color="auto"/>
                                        <w:right w:val="none" w:sz="0" w:space="0" w:color="auto"/>
                                      </w:divBdr>
                                    </w:div>
                                    <w:div w:id="2009819646">
                                      <w:marLeft w:val="0"/>
                                      <w:marRight w:val="0"/>
                                      <w:marTop w:val="0"/>
                                      <w:marBottom w:val="0"/>
                                      <w:divBdr>
                                        <w:top w:val="none" w:sz="0" w:space="0" w:color="auto"/>
                                        <w:left w:val="none" w:sz="0" w:space="0" w:color="auto"/>
                                        <w:bottom w:val="none" w:sz="0" w:space="0" w:color="auto"/>
                                        <w:right w:val="none" w:sz="0" w:space="0" w:color="auto"/>
                                      </w:divBdr>
                                    </w:div>
                                    <w:div w:id="2011326872">
                                      <w:marLeft w:val="0"/>
                                      <w:marRight w:val="0"/>
                                      <w:marTop w:val="0"/>
                                      <w:marBottom w:val="0"/>
                                      <w:divBdr>
                                        <w:top w:val="none" w:sz="0" w:space="0" w:color="auto"/>
                                        <w:left w:val="none" w:sz="0" w:space="0" w:color="auto"/>
                                        <w:bottom w:val="none" w:sz="0" w:space="0" w:color="auto"/>
                                        <w:right w:val="none" w:sz="0" w:space="0" w:color="auto"/>
                                      </w:divBdr>
                                    </w:div>
                                    <w:div w:id="2027100786">
                                      <w:marLeft w:val="0"/>
                                      <w:marRight w:val="0"/>
                                      <w:marTop w:val="0"/>
                                      <w:marBottom w:val="0"/>
                                      <w:divBdr>
                                        <w:top w:val="none" w:sz="0" w:space="0" w:color="auto"/>
                                        <w:left w:val="none" w:sz="0" w:space="0" w:color="auto"/>
                                        <w:bottom w:val="none" w:sz="0" w:space="0" w:color="auto"/>
                                        <w:right w:val="none" w:sz="0" w:space="0" w:color="auto"/>
                                      </w:divBdr>
                                    </w:div>
                                    <w:div w:id="2042315745">
                                      <w:marLeft w:val="0"/>
                                      <w:marRight w:val="0"/>
                                      <w:marTop w:val="0"/>
                                      <w:marBottom w:val="0"/>
                                      <w:divBdr>
                                        <w:top w:val="none" w:sz="0" w:space="0" w:color="auto"/>
                                        <w:left w:val="none" w:sz="0" w:space="0" w:color="auto"/>
                                        <w:bottom w:val="none" w:sz="0" w:space="0" w:color="auto"/>
                                        <w:right w:val="none" w:sz="0" w:space="0" w:color="auto"/>
                                      </w:divBdr>
                                    </w:div>
                                    <w:div w:id="2109084707">
                                      <w:marLeft w:val="0"/>
                                      <w:marRight w:val="0"/>
                                      <w:marTop w:val="0"/>
                                      <w:marBottom w:val="0"/>
                                      <w:divBdr>
                                        <w:top w:val="none" w:sz="0" w:space="0" w:color="auto"/>
                                        <w:left w:val="none" w:sz="0" w:space="0" w:color="auto"/>
                                        <w:bottom w:val="none" w:sz="0" w:space="0" w:color="auto"/>
                                        <w:right w:val="none" w:sz="0" w:space="0" w:color="auto"/>
                                      </w:divBdr>
                                    </w:div>
                                    <w:div w:id="2114202988">
                                      <w:marLeft w:val="0"/>
                                      <w:marRight w:val="0"/>
                                      <w:marTop w:val="0"/>
                                      <w:marBottom w:val="0"/>
                                      <w:divBdr>
                                        <w:top w:val="none" w:sz="0" w:space="0" w:color="auto"/>
                                        <w:left w:val="none" w:sz="0" w:space="0" w:color="auto"/>
                                        <w:bottom w:val="none" w:sz="0" w:space="0" w:color="auto"/>
                                        <w:right w:val="none" w:sz="0" w:space="0" w:color="auto"/>
                                      </w:divBdr>
                                    </w:div>
                                    <w:div w:id="2125999838">
                                      <w:marLeft w:val="0"/>
                                      <w:marRight w:val="0"/>
                                      <w:marTop w:val="0"/>
                                      <w:marBottom w:val="0"/>
                                      <w:divBdr>
                                        <w:top w:val="none" w:sz="0" w:space="0" w:color="auto"/>
                                        <w:left w:val="none" w:sz="0" w:space="0" w:color="auto"/>
                                        <w:bottom w:val="none" w:sz="0" w:space="0" w:color="auto"/>
                                        <w:right w:val="none" w:sz="0" w:space="0" w:color="auto"/>
                                      </w:divBdr>
                                    </w:div>
                                    <w:div w:id="2139373443">
                                      <w:marLeft w:val="0"/>
                                      <w:marRight w:val="0"/>
                                      <w:marTop w:val="0"/>
                                      <w:marBottom w:val="0"/>
                                      <w:divBdr>
                                        <w:top w:val="none" w:sz="0" w:space="0" w:color="auto"/>
                                        <w:left w:val="none" w:sz="0" w:space="0" w:color="auto"/>
                                        <w:bottom w:val="none" w:sz="0" w:space="0" w:color="auto"/>
                                        <w:right w:val="none" w:sz="0" w:space="0" w:color="auto"/>
                                      </w:divBdr>
                                    </w:div>
                                    <w:div w:id="2139563127">
                                      <w:marLeft w:val="0"/>
                                      <w:marRight w:val="0"/>
                                      <w:marTop w:val="0"/>
                                      <w:marBottom w:val="0"/>
                                      <w:divBdr>
                                        <w:top w:val="none" w:sz="0" w:space="0" w:color="auto"/>
                                        <w:left w:val="none" w:sz="0" w:space="0" w:color="auto"/>
                                        <w:bottom w:val="none" w:sz="0" w:space="0" w:color="auto"/>
                                        <w:right w:val="none" w:sz="0" w:space="0" w:color="auto"/>
                                      </w:divBdr>
                                    </w:div>
                                    <w:div w:id="21452755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2698255">
                              <w:marLeft w:val="0"/>
                              <w:marRight w:val="0"/>
                              <w:marTop w:val="0"/>
                              <w:marBottom w:val="0"/>
                              <w:divBdr>
                                <w:top w:val="none" w:sz="0" w:space="0" w:color="auto"/>
                                <w:left w:val="none" w:sz="0" w:space="0" w:color="auto"/>
                                <w:bottom w:val="none" w:sz="0" w:space="0" w:color="auto"/>
                                <w:right w:val="none" w:sz="0" w:space="0" w:color="auto"/>
                              </w:divBdr>
                            </w:div>
                            <w:div w:id="569730683">
                              <w:marLeft w:val="0"/>
                              <w:marRight w:val="0"/>
                              <w:marTop w:val="0"/>
                              <w:marBottom w:val="0"/>
                              <w:divBdr>
                                <w:top w:val="none" w:sz="0" w:space="0" w:color="auto"/>
                                <w:left w:val="none" w:sz="0" w:space="0" w:color="auto"/>
                                <w:bottom w:val="none" w:sz="0" w:space="0" w:color="auto"/>
                                <w:right w:val="none" w:sz="0" w:space="0" w:color="auto"/>
                              </w:divBdr>
                            </w:div>
                            <w:div w:id="642580700">
                              <w:marLeft w:val="0"/>
                              <w:marRight w:val="0"/>
                              <w:marTop w:val="0"/>
                              <w:marBottom w:val="0"/>
                              <w:divBdr>
                                <w:top w:val="none" w:sz="0" w:space="0" w:color="auto"/>
                                <w:left w:val="none" w:sz="0" w:space="0" w:color="auto"/>
                                <w:bottom w:val="none" w:sz="0" w:space="0" w:color="auto"/>
                                <w:right w:val="none" w:sz="0" w:space="0" w:color="auto"/>
                              </w:divBdr>
                            </w:div>
                            <w:div w:id="743113977">
                              <w:marLeft w:val="0"/>
                              <w:marRight w:val="0"/>
                              <w:marTop w:val="0"/>
                              <w:marBottom w:val="0"/>
                              <w:divBdr>
                                <w:top w:val="none" w:sz="0" w:space="0" w:color="auto"/>
                                <w:left w:val="none" w:sz="0" w:space="0" w:color="auto"/>
                                <w:bottom w:val="none" w:sz="0" w:space="0" w:color="auto"/>
                                <w:right w:val="none" w:sz="0" w:space="0" w:color="auto"/>
                              </w:divBdr>
                            </w:div>
                            <w:div w:id="810169381">
                              <w:marLeft w:val="0"/>
                              <w:marRight w:val="0"/>
                              <w:marTop w:val="0"/>
                              <w:marBottom w:val="0"/>
                              <w:divBdr>
                                <w:top w:val="none" w:sz="0" w:space="0" w:color="auto"/>
                                <w:left w:val="none" w:sz="0" w:space="0" w:color="auto"/>
                                <w:bottom w:val="none" w:sz="0" w:space="0" w:color="auto"/>
                                <w:right w:val="none" w:sz="0" w:space="0" w:color="auto"/>
                              </w:divBdr>
                            </w:div>
                            <w:div w:id="975063221">
                              <w:marLeft w:val="0"/>
                              <w:marRight w:val="0"/>
                              <w:marTop w:val="0"/>
                              <w:marBottom w:val="0"/>
                              <w:divBdr>
                                <w:top w:val="none" w:sz="0" w:space="0" w:color="auto"/>
                                <w:left w:val="none" w:sz="0" w:space="0" w:color="auto"/>
                                <w:bottom w:val="none" w:sz="0" w:space="0" w:color="auto"/>
                                <w:right w:val="none" w:sz="0" w:space="0" w:color="auto"/>
                              </w:divBdr>
                            </w:div>
                            <w:div w:id="1183545607">
                              <w:marLeft w:val="0"/>
                              <w:marRight w:val="0"/>
                              <w:marTop w:val="0"/>
                              <w:marBottom w:val="0"/>
                              <w:divBdr>
                                <w:top w:val="none" w:sz="0" w:space="0" w:color="auto"/>
                                <w:left w:val="none" w:sz="0" w:space="0" w:color="auto"/>
                                <w:bottom w:val="none" w:sz="0" w:space="0" w:color="auto"/>
                                <w:right w:val="none" w:sz="0" w:space="0" w:color="auto"/>
                              </w:divBdr>
                            </w:div>
                            <w:div w:id="1555239465">
                              <w:marLeft w:val="0"/>
                              <w:marRight w:val="0"/>
                              <w:marTop w:val="0"/>
                              <w:marBottom w:val="0"/>
                              <w:divBdr>
                                <w:top w:val="none" w:sz="0" w:space="0" w:color="auto"/>
                                <w:left w:val="none" w:sz="0" w:space="0" w:color="auto"/>
                                <w:bottom w:val="none" w:sz="0" w:space="0" w:color="auto"/>
                                <w:right w:val="none" w:sz="0" w:space="0" w:color="auto"/>
                              </w:divBdr>
                            </w:div>
                            <w:div w:id="1608463110">
                              <w:marLeft w:val="0"/>
                              <w:marRight w:val="0"/>
                              <w:marTop w:val="0"/>
                              <w:marBottom w:val="0"/>
                              <w:divBdr>
                                <w:top w:val="none" w:sz="0" w:space="0" w:color="auto"/>
                                <w:left w:val="none" w:sz="0" w:space="0" w:color="auto"/>
                                <w:bottom w:val="none" w:sz="0" w:space="0" w:color="auto"/>
                                <w:right w:val="none" w:sz="0" w:space="0" w:color="auto"/>
                              </w:divBdr>
                            </w:div>
                            <w:div w:id="1611933720">
                              <w:marLeft w:val="0"/>
                              <w:marRight w:val="0"/>
                              <w:marTop w:val="0"/>
                              <w:marBottom w:val="0"/>
                              <w:divBdr>
                                <w:top w:val="none" w:sz="0" w:space="0" w:color="auto"/>
                                <w:left w:val="none" w:sz="0" w:space="0" w:color="auto"/>
                                <w:bottom w:val="none" w:sz="0" w:space="0" w:color="auto"/>
                                <w:right w:val="none" w:sz="0" w:space="0" w:color="auto"/>
                              </w:divBdr>
                            </w:div>
                            <w:div w:id="1614098131">
                              <w:marLeft w:val="0"/>
                              <w:marRight w:val="0"/>
                              <w:marTop w:val="0"/>
                              <w:marBottom w:val="0"/>
                              <w:divBdr>
                                <w:top w:val="none" w:sz="0" w:space="0" w:color="auto"/>
                                <w:left w:val="none" w:sz="0" w:space="0" w:color="auto"/>
                                <w:bottom w:val="none" w:sz="0" w:space="0" w:color="auto"/>
                                <w:right w:val="none" w:sz="0" w:space="0" w:color="auto"/>
                              </w:divBdr>
                            </w:div>
                            <w:div w:id="1628703216">
                              <w:marLeft w:val="0"/>
                              <w:marRight w:val="0"/>
                              <w:marTop w:val="0"/>
                              <w:marBottom w:val="0"/>
                              <w:divBdr>
                                <w:top w:val="none" w:sz="0" w:space="0" w:color="auto"/>
                                <w:left w:val="none" w:sz="0" w:space="0" w:color="auto"/>
                                <w:bottom w:val="none" w:sz="0" w:space="0" w:color="auto"/>
                                <w:right w:val="none" w:sz="0" w:space="0" w:color="auto"/>
                              </w:divBdr>
                            </w:div>
                            <w:div w:id="1672030124">
                              <w:marLeft w:val="0"/>
                              <w:marRight w:val="0"/>
                              <w:marTop w:val="0"/>
                              <w:marBottom w:val="0"/>
                              <w:divBdr>
                                <w:top w:val="none" w:sz="0" w:space="0" w:color="auto"/>
                                <w:left w:val="none" w:sz="0" w:space="0" w:color="auto"/>
                                <w:bottom w:val="none" w:sz="0" w:space="0" w:color="auto"/>
                                <w:right w:val="none" w:sz="0" w:space="0" w:color="auto"/>
                              </w:divBdr>
                            </w:div>
                            <w:div w:id="1693913453">
                              <w:marLeft w:val="0"/>
                              <w:marRight w:val="0"/>
                              <w:marTop w:val="0"/>
                              <w:marBottom w:val="0"/>
                              <w:divBdr>
                                <w:top w:val="none" w:sz="0" w:space="0" w:color="auto"/>
                                <w:left w:val="none" w:sz="0" w:space="0" w:color="auto"/>
                                <w:bottom w:val="none" w:sz="0" w:space="0" w:color="auto"/>
                                <w:right w:val="none" w:sz="0" w:space="0" w:color="auto"/>
                              </w:divBdr>
                            </w:div>
                            <w:div w:id="1811511167">
                              <w:marLeft w:val="0"/>
                              <w:marRight w:val="0"/>
                              <w:marTop w:val="0"/>
                              <w:marBottom w:val="0"/>
                              <w:divBdr>
                                <w:top w:val="none" w:sz="0" w:space="0" w:color="auto"/>
                                <w:left w:val="none" w:sz="0" w:space="0" w:color="auto"/>
                                <w:bottom w:val="none" w:sz="0" w:space="0" w:color="auto"/>
                                <w:right w:val="none" w:sz="0" w:space="0" w:color="auto"/>
                              </w:divBdr>
                            </w:div>
                            <w:div w:id="1920480763">
                              <w:marLeft w:val="0"/>
                              <w:marRight w:val="0"/>
                              <w:marTop w:val="0"/>
                              <w:marBottom w:val="0"/>
                              <w:divBdr>
                                <w:top w:val="none" w:sz="0" w:space="0" w:color="auto"/>
                                <w:left w:val="none" w:sz="0" w:space="0" w:color="auto"/>
                                <w:bottom w:val="none" w:sz="0" w:space="0" w:color="auto"/>
                                <w:right w:val="none" w:sz="0" w:space="0" w:color="auto"/>
                              </w:divBdr>
                            </w:div>
                            <w:div w:id="1934436637">
                              <w:marLeft w:val="0"/>
                              <w:marRight w:val="0"/>
                              <w:marTop w:val="0"/>
                              <w:marBottom w:val="0"/>
                              <w:divBdr>
                                <w:top w:val="none" w:sz="0" w:space="0" w:color="auto"/>
                                <w:left w:val="none" w:sz="0" w:space="0" w:color="auto"/>
                                <w:bottom w:val="none" w:sz="0" w:space="0" w:color="auto"/>
                                <w:right w:val="none" w:sz="0" w:space="0" w:color="auto"/>
                              </w:divBdr>
                            </w:div>
                            <w:div w:id="1936328945">
                              <w:marLeft w:val="0"/>
                              <w:marRight w:val="0"/>
                              <w:marTop w:val="0"/>
                              <w:marBottom w:val="0"/>
                              <w:divBdr>
                                <w:top w:val="none" w:sz="0" w:space="0" w:color="auto"/>
                                <w:left w:val="none" w:sz="0" w:space="0" w:color="auto"/>
                                <w:bottom w:val="none" w:sz="0" w:space="0" w:color="auto"/>
                                <w:right w:val="none" w:sz="0" w:space="0" w:color="auto"/>
                              </w:divBdr>
                            </w:div>
                            <w:div w:id="1994026298">
                              <w:marLeft w:val="0"/>
                              <w:marRight w:val="0"/>
                              <w:marTop w:val="0"/>
                              <w:marBottom w:val="0"/>
                              <w:divBdr>
                                <w:top w:val="none" w:sz="0" w:space="0" w:color="auto"/>
                                <w:left w:val="none" w:sz="0" w:space="0" w:color="auto"/>
                                <w:bottom w:val="none" w:sz="0" w:space="0" w:color="auto"/>
                                <w:right w:val="none" w:sz="0" w:space="0" w:color="auto"/>
                              </w:divBdr>
                            </w:div>
                            <w:div w:id="2047752548">
                              <w:marLeft w:val="0"/>
                              <w:marRight w:val="0"/>
                              <w:marTop w:val="0"/>
                              <w:marBottom w:val="0"/>
                              <w:divBdr>
                                <w:top w:val="none" w:sz="0" w:space="0" w:color="auto"/>
                                <w:left w:val="none" w:sz="0" w:space="0" w:color="auto"/>
                                <w:bottom w:val="none" w:sz="0" w:space="0" w:color="auto"/>
                                <w:right w:val="none" w:sz="0" w:space="0" w:color="auto"/>
                              </w:divBdr>
                            </w:div>
                            <w:div w:id="2048289446">
                              <w:marLeft w:val="0"/>
                              <w:marRight w:val="0"/>
                              <w:marTop w:val="0"/>
                              <w:marBottom w:val="0"/>
                              <w:divBdr>
                                <w:top w:val="none" w:sz="0" w:space="0" w:color="auto"/>
                                <w:left w:val="none" w:sz="0" w:space="0" w:color="auto"/>
                                <w:bottom w:val="none" w:sz="0" w:space="0" w:color="auto"/>
                                <w:right w:val="none" w:sz="0" w:space="0" w:color="auto"/>
                              </w:divBdr>
                            </w:div>
                            <w:div w:id="2050257328">
                              <w:marLeft w:val="0"/>
                              <w:marRight w:val="0"/>
                              <w:marTop w:val="0"/>
                              <w:marBottom w:val="0"/>
                              <w:divBdr>
                                <w:top w:val="none" w:sz="0" w:space="0" w:color="auto"/>
                                <w:left w:val="none" w:sz="0" w:space="0" w:color="auto"/>
                                <w:bottom w:val="none" w:sz="0" w:space="0" w:color="auto"/>
                                <w:right w:val="none" w:sz="0" w:space="0" w:color="auto"/>
                              </w:divBdr>
                            </w:div>
                            <w:div w:id="2052340783">
                              <w:marLeft w:val="0"/>
                              <w:marRight w:val="0"/>
                              <w:marTop w:val="0"/>
                              <w:marBottom w:val="0"/>
                              <w:divBdr>
                                <w:top w:val="none" w:sz="0" w:space="0" w:color="auto"/>
                                <w:left w:val="none" w:sz="0" w:space="0" w:color="auto"/>
                                <w:bottom w:val="none" w:sz="0" w:space="0" w:color="auto"/>
                                <w:right w:val="none" w:sz="0" w:space="0" w:color="auto"/>
                              </w:divBdr>
                            </w:div>
                            <w:div w:id="2054694937">
                              <w:marLeft w:val="0"/>
                              <w:marRight w:val="0"/>
                              <w:marTop w:val="0"/>
                              <w:marBottom w:val="0"/>
                              <w:divBdr>
                                <w:top w:val="none" w:sz="0" w:space="0" w:color="auto"/>
                                <w:left w:val="none" w:sz="0" w:space="0" w:color="auto"/>
                                <w:bottom w:val="none" w:sz="0" w:space="0" w:color="auto"/>
                                <w:right w:val="none" w:sz="0" w:space="0" w:color="auto"/>
                              </w:divBdr>
                            </w:div>
                            <w:div w:id="2104033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1680134">
                      <w:marLeft w:val="0"/>
                      <w:marRight w:val="0"/>
                      <w:marTop w:val="0"/>
                      <w:marBottom w:val="0"/>
                      <w:divBdr>
                        <w:top w:val="none" w:sz="0" w:space="0" w:color="auto"/>
                        <w:left w:val="none" w:sz="0" w:space="0" w:color="auto"/>
                        <w:bottom w:val="none" w:sz="0" w:space="0" w:color="auto"/>
                        <w:right w:val="none" w:sz="0" w:space="0" w:color="auto"/>
                      </w:divBdr>
                    </w:div>
                    <w:div w:id="2038581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1494419">
              <w:marLeft w:val="0"/>
              <w:marRight w:val="0"/>
              <w:marTop w:val="0"/>
              <w:marBottom w:val="0"/>
              <w:divBdr>
                <w:top w:val="none" w:sz="0" w:space="0" w:color="auto"/>
                <w:left w:val="none" w:sz="0" w:space="0" w:color="auto"/>
                <w:bottom w:val="none" w:sz="0" w:space="0" w:color="auto"/>
                <w:right w:val="none" w:sz="0" w:space="0" w:color="auto"/>
              </w:divBdr>
              <w:divsChild>
                <w:div w:id="965623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1240926">
          <w:marLeft w:val="0"/>
          <w:marRight w:val="0"/>
          <w:marTop w:val="0"/>
          <w:marBottom w:val="0"/>
          <w:divBdr>
            <w:top w:val="none" w:sz="0" w:space="0" w:color="auto"/>
            <w:left w:val="none" w:sz="0" w:space="0" w:color="auto"/>
            <w:bottom w:val="none" w:sz="0" w:space="0" w:color="auto"/>
            <w:right w:val="none" w:sz="0" w:space="0" w:color="auto"/>
          </w:divBdr>
          <w:divsChild>
            <w:div w:id="1453597381">
              <w:marLeft w:val="0"/>
              <w:marRight w:val="0"/>
              <w:marTop w:val="0"/>
              <w:marBottom w:val="0"/>
              <w:divBdr>
                <w:top w:val="none" w:sz="0" w:space="0" w:color="auto"/>
                <w:left w:val="none" w:sz="0" w:space="0" w:color="auto"/>
                <w:bottom w:val="none" w:sz="0" w:space="0" w:color="auto"/>
                <w:right w:val="none" w:sz="0" w:space="0" w:color="auto"/>
              </w:divBdr>
            </w:div>
            <w:div w:id="1725907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9960625">
      <w:bodyDiv w:val="1"/>
      <w:marLeft w:val="0"/>
      <w:marRight w:val="0"/>
      <w:marTop w:val="0"/>
      <w:marBottom w:val="0"/>
      <w:divBdr>
        <w:top w:val="none" w:sz="0" w:space="0" w:color="auto"/>
        <w:left w:val="none" w:sz="0" w:space="0" w:color="auto"/>
        <w:bottom w:val="none" w:sz="0" w:space="0" w:color="auto"/>
        <w:right w:val="none" w:sz="0" w:space="0" w:color="auto"/>
      </w:divBdr>
    </w:div>
    <w:div w:id="1072460905">
      <w:bodyDiv w:val="1"/>
      <w:marLeft w:val="0"/>
      <w:marRight w:val="0"/>
      <w:marTop w:val="0"/>
      <w:marBottom w:val="0"/>
      <w:divBdr>
        <w:top w:val="none" w:sz="0" w:space="0" w:color="auto"/>
        <w:left w:val="none" w:sz="0" w:space="0" w:color="auto"/>
        <w:bottom w:val="none" w:sz="0" w:space="0" w:color="auto"/>
        <w:right w:val="none" w:sz="0" w:space="0" w:color="auto"/>
      </w:divBdr>
    </w:div>
    <w:div w:id="1073505737">
      <w:bodyDiv w:val="1"/>
      <w:marLeft w:val="0"/>
      <w:marRight w:val="0"/>
      <w:marTop w:val="0"/>
      <w:marBottom w:val="0"/>
      <w:divBdr>
        <w:top w:val="none" w:sz="0" w:space="0" w:color="auto"/>
        <w:left w:val="none" w:sz="0" w:space="0" w:color="auto"/>
        <w:bottom w:val="none" w:sz="0" w:space="0" w:color="auto"/>
        <w:right w:val="none" w:sz="0" w:space="0" w:color="auto"/>
      </w:divBdr>
    </w:div>
    <w:div w:id="1077752581">
      <w:bodyDiv w:val="1"/>
      <w:marLeft w:val="0"/>
      <w:marRight w:val="0"/>
      <w:marTop w:val="0"/>
      <w:marBottom w:val="0"/>
      <w:divBdr>
        <w:top w:val="none" w:sz="0" w:space="0" w:color="auto"/>
        <w:left w:val="none" w:sz="0" w:space="0" w:color="auto"/>
        <w:bottom w:val="none" w:sz="0" w:space="0" w:color="auto"/>
        <w:right w:val="none" w:sz="0" w:space="0" w:color="auto"/>
      </w:divBdr>
      <w:divsChild>
        <w:div w:id="683939790">
          <w:marLeft w:val="0"/>
          <w:marRight w:val="0"/>
          <w:marTop w:val="0"/>
          <w:marBottom w:val="0"/>
          <w:divBdr>
            <w:top w:val="none" w:sz="0" w:space="0" w:color="auto"/>
            <w:left w:val="none" w:sz="0" w:space="0" w:color="auto"/>
            <w:bottom w:val="none" w:sz="0" w:space="0" w:color="auto"/>
            <w:right w:val="none" w:sz="0" w:space="0" w:color="auto"/>
          </w:divBdr>
        </w:div>
        <w:div w:id="963458845">
          <w:marLeft w:val="0"/>
          <w:marRight w:val="0"/>
          <w:marTop w:val="0"/>
          <w:marBottom w:val="0"/>
          <w:divBdr>
            <w:top w:val="none" w:sz="0" w:space="0" w:color="auto"/>
            <w:left w:val="none" w:sz="0" w:space="0" w:color="auto"/>
            <w:bottom w:val="none" w:sz="0" w:space="0" w:color="auto"/>
            <w:right w:val="none" w:sz="0" w:space="0" w:color="auto"/>
          </w:divBdr>
        </w:div>
        <w:div w:id="2015839498">
          <w:marLeft w:val="0"/>
          <w:marRight w:val="0"/>
          <w:marTop w:val="0"/>
          <w:marBottom w:val="0"/>
          <w:divBdr>
            <w:top w:val="none" w:sz="0" w:space="0" w:color="auto"/>
            <w:left w:val="none" w:sz="0" w:space="0" w:color="auto"/>
            <w:bottom w:val="none" w:sz="0" w:space="0" w:color="auto"/>
            <w:right w:val="none" w:sz="0" w:space="0" w:color="auto"/>
          </w:divBdr>
        </w:div>
      </w:divsChild>
    </w:div>
    <w:div w:id="1078477258">
      <w:bodyDiv w:val="1"/>
      <w:marLeft w:val="0"/>
      <w:marRight w:val="0"/>
      <w:marTop w:val="0"/>
      <w:marBottom w:val="0"/>
      <w:divBdr>
        <w:top w:val="none" w:sz="0" w:space="0" w:color="auto"/>
        <w:left w:val="none" w:sz="0" w:space="0" w:color="auto"/>
        <w:bottom w:val="none" w:sz="0" w:space="0" w:color="auto"/>
        <w:right w:val="none" w:sz="0" w:space="0" w:color="auto"/>
      </w:divBdr>
    </w:div>
    <w:div w:id="1081681835">
      <w:bodyDiv w:val="1"/>
      <w:marLeft w:val="0"/>
      <w:marRight w:val="0"/>
      <w:marTop w:val="0"/>
      <w:marBottom w:val="0"/>
      <w:divBdr>
        <w:top w:val="none" w:sz="0" w:space="0" w:color="auto"/>
        <w:left w:val="none" w:sz="0" w:space="0" w:color="auto"/>
        <w:bottom w:val="none" w:sz="0" w:space="0" w:color="auto"/>
        <w:right w:val="none" w:sz="0" w:space="0" w:color="auto"/>
      </w:divBdr>
    </w:div>
    <w:div w:id="1081874058">
      <w:bodyDiv w:val="1"/>
      <w:marLeft w:val="0"/>
      <w:marRight w:val="0"/>
      <w:marTop w:val="0"/>
      <w:marBottom w:val="0"/>
      <w:divBdr>
        <w:top w:val="none" w:sz="0" w:space="0" w:color="auto"/>
        <w:left w:val="none" w:sz="0" w:space="0" w:color="auto"/>
        <w:bottom w:val="none" w:sz="0" w:space="0" w:color="auto"/>
        <w:right w:val="none" w:sz="0" w:space="0" w:color="auto"/>
      </w:divBdr>
    </w:div>
    <w:div w:id="1086850500">
      <w:bodyDiv w:val="1"/>
      <w:marLeft w:val="0"/>
      <w:marRight w:val="0"/>
      <w:marTop w:val="0"/>
      <w:marBottom w:val="0"/>
      <w:divBdr>
        <w:top w:val="none" w:sz="0" w:space="0" w:color="auto"/>
        <w:left w:val="none" w:sz="0" w:space="0" w:color="auto"/>
        <w:bottom w:val="none" w:sz="0" w:space="0" w:color="auto"/>
        <w:right w:val="none" w:sz="0" w:space="0" w:color="auto"/>
      </w:divBdr>
      <w:divsChild>
        <w:div w:id="19740495">
          <w:marLeft w:val="0"/>
          <w:marRight w:val="0"/>
          <w:marTop w:val="0"/>
          <w:marBottom w:val="0"/>
          <w:divBdr>
            <w:top w:val="none" w:sz="0" w:space="0" w:color="auto"/>
            <w:left w:val="none" w:sz="0" w:space="0" w:color="auto"/>
            <w:bottom w:val="none" w:sz="0" w:space="0" w:color="auto"/>
            <w:right w:val="none" w:sz="0" w:space="0" w:color="auto"/>
          </w:divBdr>
        </w:div>
        <w:div w:id="1104544308">
          <w:marLeft w:val="0"/>
          <w:marRight w:val="0"/>
          <w:marTop w:val="0"/>
          <w:marBottom w:val="0"/>
          <w:divBdr>
            <w:top w:val="none" w:sz="0" w:space="0" w:color="auto"/>
            <w:left w:val="none" w:sz="0" w:space="0" w:color="auto"/>
            <w:bottom w:val="none" w:sz="0" w:space="0" w:color="auto"/>
            <w:right w:val="none" w:sz="0" w:space="0" w:color="auto"/>
          </w:divBdr>
        </w:div>
        <w:div w:id="1670710821">
          <w:marLeft w:val="0"/>
          <w:marRight w:val="0"/>
          <w:marTop w:val="0"/>
          <w:marBottom w:val="0"/>
          <w:divBdr>
            <w:top w:val="none" w:sz="0" w:space="0" w:color="auto"/>
            <w:left w:val="none" w:sz="0" w:space="0" w:color="auto"/>
            <w:bottom w:val="none" w:sz="0" w:space="0" w:color="auto"/>
            <w:right w:val="none" w:sz="0" w:space="0" w:color="auto"/>
          </w:divBdr>
        </w:div>
      </w:divsChild>
    </w:div>
    <w:div w:id="1089740147">
      <w:bodyDiv w:val="1"/>
      <w:marLeft w:val="0"/>
      <w:marRight w:val="0"/>
      <w:marTop w:val="0"/>
      <w:marBottom w:val="0"/>
      <w:divBdr>
        <w:top w:val="none" w:sz="0" w:space="0" w:color="auto"/>
        <w:left w:val="none" w:sz="0" w:space="0" w:color="auto"/>
        <w:bottom w:val="none" w:sz="0" w:space="0" w:color="auto"/>
        <w:right w:val="none" w:sz="0" w:space="0" w:color="auto"/>
      </w:divBdr>
    </w:div>
    <w:div w:id="1091319433">
      <w:bodyDiv w:val="1"/>
      <w:marLeft w:val="0"/>
      <w:marRight w:val="0"/>
      <w:marTop w:val="0"/>
      <w:marBottom w:val="0"/>
      <w:divBdr>
        <w:top w:val="none" w:sz="0" w:space="0" w:color="auto"/>
        <w:left w:val="none" w:sz="0" w:space="0" w:color="auto"/>
        <w:bottom w:val="none" w:sz="0" w:space="0" w:color="auto"/>
        <w:right w:val="none" w:sz="0" w:space="0" w:color="auto"/>
      </w:divBdr>
    </w:div>
    <w:div w:id="1093667160">
      <w:bodyDiv w:val="1"/>
      <w:marLeft w:val="0"/>
      <w:marRight w:val="0"/>
      <w:marTop w:val="0"/>
      <w:marBottom w:val="0"/>
      <w:divBdr>
        <w:top w:val="none" w:sz="0" w:space="0" w:color="auto"/>
        <w:left w:val="none" w:sz="0" w:space="0" w:color="auto"/>
        <w:bottom w:val="none" w:sz="0" w:space="0" w:color="auto"/>
        <w:right w:val="none" w:sz="0" w:space="0" w:color="auto"/>
      </w:divBdr>
      <w:divsChild>
        <w:div w:id="88475792">
          <w:marLeft w:val="0"/>
          <w:marRight w:val="0"/>
          <w:marTop w:val="0"/>
          <w:marBottom w:val="0"/>
          <w:divBdr>
            <w:top w:val="none" w:sz="0" w:space="0" w:color="auto"/>
            <w:left w:val="none" w:sz="0" w:space="0" w:color="auto"/>
            <w:bottom w:val="none" w:sz="0" w:space="0" w:color="auto"/>
            <w:right w:val="none" w:sz="0" w:space="0" w:color="auto"/>
          </w:divBdr>
        </w:div>
        <w:div w:id="170532563">
          <w:marLeft w:val="0"/>
          <w:marRight w:val="0"/>
          <w:marTop w:val="0"/>
          <w:marBottom w:val="0"/>
          <w:divBdr>
            <w:top w:val="none" w:sz="0" w:space="0" w:color="auto"/>
            <w:left w:val="none" w:sz="0" w:space="0" w:color="auto"/>
            <w:bottom w:val="none" w:sz="0" w:space="0" w:color="auto"/>
            <w:right w:val="none" w:sz="0" w:space="0" w:color="auto"/>
          </w:divBdr>
        </w:div>
        <w:div w:id="524175874">
          <w:marLeft w:val="0"/>
          <w:marRight w:val="0"/>
          <w:marTop w:val="0"/>
          <w:marBottom w:val="0"/>
          <w:divBdr>
            <w:top w:val="none" w:sz="0" w:space="0" w:color="auto"/>
            <w:left w:val="none" w:sz="0" w:space="0" w:color="auto"/>
            <w:bottom w:val="none" w:sz="0" w:space="0" w:color="auto"/>
            <w:right w:val="none" w:sz="0" w:space="0" w:color="auto"/>
          </w:divBdr>
        </w:div>
      </w:divsChild>
    </w:div>
    <w:div w:id="1096831545">
      <w:bodyDiv w:val="1"/>
      <w:marLeft w:val="0"/>
      <w:marRight w:val="0"/>
      <w:marTop w:val="0"/>
      <w:marBottom w:val="0"/>
      <w:divBdr>
        <w:top w:val="none" w:sz="0" w:space="0" w:color="auto"/>
        <w:left w:val="none" w:sz="0" w:space="0" w:color="auto"/>
        <w:bottom w:val="none" w:sz="0" w:space="0" w:color="auto"/>
        <w:right w:val="none" w:sz="0" w:space="0" w:color="auto"/>
      </w:divBdr>
    </w:div>
    <w:div w:id="1100444364">
      <w:bodyDiv w:val="1"/>
      <w:marLeft w:val="0"/>
      <w:marRight w:val="0"/>
      <w:marTop w:val="0"/>
      <w:marBottom w:val="0"/>
      <w:divBdr>
        <w:top w:val="none" w:sz="0" w:space="0" w:color="auto"/>
        <w:left w:val="none" w:sz="0" w:space="0" w:color="auto"/>
        <w:bottom w:val="none" w:sz="0" w:space="0" w:color="auto"/>
        <w:right w:val="none" w:sz="0" w:space="0" w:color="auto"/>
      </w:divBdr>
    </w:div>
    <w:div w:id="1101339584">
      <w:bodyDiv w:val="1"/>
      <w:marLeft w:val="0"/>
      <w:marRight w:val="0"/>
      <w:marTop w:val="0"/>
      <w:marBottom w:val="0"/>
      <w:divBdr>
        <w:top w:val="none" w:sz="0" w:space="0" w:color="auto"/>
        <w:left w:val="none" w:sz="0" w:space="0" w:color="auto"/>
        <w:bottom w:val="none" w:sz="0" w:space="0" w:color="auto"/>
        <w:right w:val="none" w:sz="0" w:space="0" w:color="auto"/>
      </w:divBdr>
    </w:div>
    <w:div w:id="1101992386">
      <w:bodyDiv w:val="1"/>
      <w:marLeft w:val="0"/>
      <w:marRight w:val="0"/>
      <w:marTop w:val="0"/>
      <w:marBottom w:val="0"/>
      <w:divBdr>
        <w:top w:val="none" w:sz="0" w:space="0" w:color="auto"/>
        <w:left w:val="none" w:sz="0" w:space="0" w:color="auto"/>
        <w:bottom w:val="none" w:sz="0" w:space="0" w:color="auto"/>
        <w:right w:val="none" w:sz="0" w:space="0" w:color="auto"/>
      </w:divBdr>
      <w:divsChild>
        <w:div w:id="426124815">
          <w:marLeft w:val="0"/>
          <w:marRight w:val="0"/>
          <w:marTop w:val="0"/>
          <w:marBottom w:val="0"/>
          <w:divBdr>
            <w:top w:val="none" w:sz="0" w:space="0" w:color="auto"/>
            <w:left w:val="none" w:sz="0" w:space="0" w:color="auto"/>
            <w:bottom w:val="none" w:sz="0" w:space="0" w:color="auto"/>
            <w:right w:val="none" w:sz="0" w:space="0" w:color="auto"/>
          </w:divBdr>
          <w:divsChild>
            <w:div w:id="359553962">
              <w:marLeft w:val="0"/>
              <w:marRight w:val="0"/>
              <w:marTop w:val="0"/>
              <w:marBottom w:val="0"/>
              <w:divBdr>
                <w:top w:val="none" w:sz="0" w:space="0" w:color="auto"/>
                <w:left w:val="none" w:sz="0" w:space="0" w:color="auto"/>
                <w:bottom w:val="none" w:sz="0" w:space="0" w:color="auto"/>
                <w:right w:val="none" w:sz="0" w:space="0" w:color="auto"/>
              </w:divBdr>
            </w:div>
          </w:divsChild>
        </w:div>
        <w:div w:id="835799767">
          <w:marLeft w:val="0"/>
          <w:marRight w:val="0"/>
          <w:marTop w:val="0"/>
          <w:marBottom w:val="0"/>
          <w:divBdr>
            <w:top w:val="none" w:sz="0" w:space="0" w:color="auto"/>
            <w:left w:val="none" w:sz="0" w:space="0" w:color="auto"/>
            <w:bottom w:val="none" w:sz="0" w:space="0" w:color="auto"/>
            <w:right w:val="none" w:sz="0" w:space="0" w:color="auto"/>
          </w:divBdr>
        </w:div>
        <w:div w:id="879130884">
          <w:marLeft w:val="0"/>
          <w:marRight w:val="0"/>
          <w:marTop w:val="0"/>
          <w:marBottom w:val="0"/>
          <w:divBdr>
            <w:top w:val="none" w:sz="0" w:space="0" w:color="auto"/>
            <w:left w:val="none" w:sz="0" w:space="0" w:color="auto"/>
            <w:bottom w:val="none" w:sz="0" w:space="0" w:color="auto"/>
            <w:right w:val="none" w:sz="0" w:space="0" w:color="auto"/>
          </w:divBdr>
        </w:div>
      </w:divsChild>
    </w:div>
    <w:div w:id="1101998020">
      <w:bodyDiv w:val="1"/>
      <w:marLeft w:val="0"/>
      <w:marRight w:val="0"/>
      <w:marTop w:val="0"/>
      <w:marBottom w:val="0"/>
      <w:divBdr>
        <w:top w:val="none" w:sz="0" w:space="0" w:color="auto"/>
        <w:left w:val="none" w:sz="0" w:space="0" w:color="auto"/>
        <w:bottom w:val="none" w:sz="0" w:space="0" w:color="auto"/>
        <w:right w:val="none" w:sz="0" w:space="0" w:color="auto"/>
      </w:divBdr>
    </w:div>
    <w:div w:id="1104303690">
      <w:bodyDiv w:val="1"/>
      <w:marLeft w:val="0"/>
      <w:marRight w:val="0"/>
      <w:marTop w:val="0"/>
      <w:marBottom w:val="0"/>
      <w:divBdr>
        <w:top w:val="none" w:sz="0" w:space="0" w:color="auto"/>
        <w:left w:val="none" w:sz="0" w:space="0" w:color="auto"/>
        <w:bottom w:val="none" w:sz="0" w:space="0" w:color="auto"/>
        <w:right w:val="none" w:sz="0" w:space="0" w:color="auto"/>
      </w:divBdr>
    </w:div>
    <w:div w:id="1105493289">
      <w:bodyDiv w:val="1"/>
      <w:marLeft w:val="0"/>
      <w:marRight w:val="0"/>
      <w:marTop w:val="0"/>
      <w:marBottom w:val="0"/>
      <w:divBdr>
        <w:top w:val="none" w:sz="0" w:space="0" w:color="auto"/>
        <w:left w:val="none" w:sz="0" w:space="0" w:color="auto"/>
        <w:bottom w:val="none" w:sz="0" w:space="0" w:color="auto"/>
        <w:right w:val="none" w:sz="0" w:space="0" w:color="auto"/>
      </w:divBdr>
    </w:div>
    <w:div w:id="1106386583">
      <w:bodyDiv w:val="1"/>
      <w:marLeft w:val="0"/>
      <w:marRight w:val="0"/>
      <w:marTop w:val="0"/>
      <w:marBottom w:val="0"/>
      <w:divBdr>
        <w:top w:val="none" w:sz="0" w:space="0" w:color="auto"/>
        <w:left w:val="none" w:sz="0" w:space="0" w:color="auto"/>
        <w:bottom w:val="none" w:sz="0" w:space="0" w:color="auto"/>
        <w:right w:val="none" w:sz="0" w:space="0" w:color="auto"/>
      </w:divBdr>
    </w:div>
    <w:div w:id="1106928626">
      <w:bodyDiv w:val="1"/>
      <w:marLeft w:val="0"/>
      <w:marRight w:val="0"/>
      <w:marTop w:val="0"/>
      <w:marBottom w:val="0"/>
      <w:divBdr>
        <w:top w:val="none" w:sz="0" w:space="0" w:color="auto"/>
        <w:left w:val="none" w:sz="0" w:space="0" w:color="auto"/>
        <w:bottom w:val="none" w:sz="0" w:space="0" w:color="auto"/>
        <w:right w:val="none" w:sz="0" w:space="0" w:color="auto"/>
      </w:divBdr>
    </w:div>
    <w:div w:id="1109813035">
      <w:bodyDiv w:val="1"/>
      <w:marLeft w:val="0"/>
      <w:marRight w:val="0"/>
      <w:marTop w:val="0"/>
      <w:marBottom w:val="0"/>
      <w:divBdr>
        <w:top w:val="none" w:sz="0" w:space="0" w:color="auto"/>
        <w:left w:val="none" w:sz="0" w:space="0" w:color="auto"/>
        <w:bottom w:val="none" w:sz="0" w:space="0" w:color="auto"/>
        <w:right w:val="none" w:sz="0" w:space="0" w:color="auto"/>
      </w:divBdr>
    </w:div>
    <w:div w:id="1111238419">
      <w:bodyDiv w:val="1"/>
      <w:marLeft w:val="0"/>
      <w:marRight w:val="0"/>
      <w:marTop w:val="0"/>
      <w:marBottom w:val="0"/>
      <w:divBdr>
        <w:top w:val="none" w:sz="0" w:space="0" w:color="auto"/>
        <w:left w:val="none" w:sz="0" w:space="0" w:color="auto"/>
        <w:bottom w:val="none" w:sz="0" w:space="0" w:color="auto"/>
        <w:right w:val="none" w:sz="0" w:space="0" w:color="auto"/>
      </w:divBdr>
    </w:div>
    <w:div w:id="1126004578">
      <w:bodyDiv w:val="1"/>
      <w:marLeft w:val="0"/>
      <w:marRight w:val="0"/>
      <w:marTop w:val="0"/>
      <w:marBottom w:val="0"/>
      <w:divBdr>
        <w:top w:val="none" w:sz="0" w:space="0" w:color="auto"/>
        <w:left w:val="none" w:sz="0" w:space="0" w:color="auto"/>
        <w:bottom w:val="none" w:sz="0" w:space="0" w:color="auto"/>
        <w:right w:val="none" w:sz="0" w:space="0" w:color="auto"/>
      </w:divBdr>
    </w:div>
    <w:div w:id="1128662482">
      <w:bodyDiv w:val="1"/>
      <w:marLeft w:val="0"/>
      <w:marRight w:val="0"/>
      <w:marTop w:val="0"/>
      <w:marBottom w:val="0"/>
      <w:divBdr>
        <w:top w:val="none" w:sz="0" w:space="0" w:color="auto"/>
        <w:left w:val="none" w:sz="0" w:space="0" w:color="auto"/>
        <w:bottom w:val="none" w:sz="0" w:space="0" w:color="auto"/>
        <w:right w:val="none" w:sz="0" w:space="0" w:color="auto"/>
      </w:divBdr>
      <w:divsChild>
        <w:div w:id="465394679">
          <w:marLeft w:val="0"/>
          <w:marRight w:val="0"/>
          <w:marTop w:val="0"/>
          <w:marBottom w:val="0"/>
          <w:divBdr>
            <w:top w:val="none" w:sz="0" w:space="0" w:color="auto"/>
            <w:left w:val="none" w:sz="0" w:space="0" w:color="auto"/>
            <w:bottom w:val="none" w:sz="0" w:space="0" w:color="auto"/>
            <w:right w:val="none" w:sz="0" w:space="0" w:color="auto"/>
          </w:divBdr>
        </w:div>
        <w:div w:id="2105610619">
          <w:marLeft w:val="0"/>
          <w:marRight w:val="0"/>
          <w:marTop w:val="0"/>
          <w:marBottom w:val="0"/>
          <w:divBdr>
            <w:top w:val="none" w:sz="0" w:space="0" w:color="auto"/>
            <w:left w:val="none" w:sz="0" w:space="0" w:color="auto"/>
            <w:bottom w:val="none" w:sz="0" w:space="0" w:color="auto"/>
            <w:right w:val="none" w:sz="0" w:space="0" w:color="auto"/>
          </w:divBdr>
        </w:div>
      </w:divsChild>
    </w:div>
    <w:div w:id="1128861765">
      <w:bodyDiv w:val="1"/>
      <w:marLeft w:val="0"/>
      <w:marRight w:val="0"/>
      <w:marTop w:val="0"/>
      <w:marBottom w:val="0"/>
      <w:divBdr>
        <w:top w:val="none" w:sz="0" w:space="0" w:color="auto"/>
        <w:left w:val="none" w:sz="0" w:space="0" w:color="auto"/>
        <w:bottom w:val="none" w:sz="0" w:space="0" w:color="auto"/>
        <w:right w:val="none" w:sz="0" w:space="0" w:color="auto"/>
      </w:divBdr>
    </w:div>
    <w:div w:id="1131705177">
      <w:bodyDiv w:val="1"/>
      <w:marLeft w:val="0"/>
      <w:marRight w:val="0"/>
      <w:marTop w:val="0"/>
      <w:marBottom w:val="0"/>
      <w:divBdr>
        <w:top w:val="none" w:sz="0" w:space="0" w:color="auto"/>
        <w:left w:val="none" w:sz="0" w:space="0" w:color="auto"/>
        <w:bottom w:val="none" w:sz="0" w:space="0" w:color="auto"/>
        <w:right w:val="none" w:sz="0" w:space="0" w:color="auto"/>
      </w:divBdr>
      <w:divsChild>
        <w:div w:id="869220335">
          <w:marLeft w:val="0"/>
          <w:marRight w:val="0"/>
          <w:marTop w:val="0"/>
          <w:marBottom w:val="0"/>
          <w:divBdr>
            <w:top w:val="none" w:sz="0" w:space="0" w:color="auto"/>
            <w:left w:val="none" w:sz="0" w:space="0" w:color="auto"/>
            <w:bottom w:val="none" w:sz="0" w:space="0" w:color="auto"/>
            <w:right w:val="none" w:sz="0" w:space="0" w:color="auto"/>
          </w:divBdr>
        </w:div>
        <w:div w:id="1055009046">
          <w:marLeft w:val="0"/>
          <w:marRight w:val="0"/>
          <w:marTop w:val="0"/>
          <w:marBottom w:val="0"/>
          <w:divBdr>
            <w:top w:val="none" w:sz="0" w:space="0" w:color="auto"/>
            <w:left w:val="none" w:sz="0" w:space="0" w:color="auto"/>
            <w:bottom w:val="none" w:sz="0" w:space="0" w:color="auto"/>
            <w:right w:val="none" w:sz="0" w:space="0" w:color="auto"/>
          </w:divBdr>
        </w:div>
      </w:divsChild>
    </w:div>
    <w:div w:id="1132019838">
      <w:bodyDiv w:val="1"/>
      <w:marLeft w:val="0"/>
      <w:marRight w:val="0"/>
      <w:marTop w:val="0"/>
      <w:marBottom w:val="0"/>
      <w:divBdr>
        <w:top w:val="none" w:sz="0" w:space="0" w:color="auto"/>
        <w:left w:val="none" w:sz="0" w:space="0" w:color="auto"/>
        <w:bottom w:val="none" w:sz="0" w:space="0" w:color="auto"/>
        <w:right w:val="none" w:sz="0" w:space="0" w:color="auto"/>
      </w:divBdr>
      <w:divsChild>
        <w:div w:id="951203822">
          <w:marLeft w:val="0"/>
          <w:marRight w:val="0"/>
          <w:marTop w:val="0"/>
          <w:marBottom w:val="0"/>
          <w:divBdr>
            <w:top w:val="none" w:sz="0" w:space="0" w:color="auto"/>
            <w:left w:val="none" w:sz="0" w:space="0" w:color="auto"/>
            <w:bottom w:val="none" w:sz="0" w:space="0" w:color="auto"/>
            <w:right w:val="none" w:sz="0" w:space="0" w:color="auto"/>
          </w:divBdr>
        </w:div>
        <w:div w:id="1883981860">
          <w:marLeft w:val="0"/>
          <w:marRight w:val="0"/>
          <w:marTop w:val="0"/>
          <w:marBottom w:val="0"/>
          <w:divBdr>
            <w:top w:val="none" w:sz="0" w:space="0" w:color="auto"/>
            <w:left w:val="none" w:sz="0" w:space="0" w:color="auto"/>
            <w:bottom w:val="none" w:sz="0" w:space="0" w:color="auto"/>
            <w:right w:val="none" w:sz="0" w:space="0" w:color="auto"/>
          </w:divBdr>
        </w:div>
      </w:divsChild>
    </w:div>
    <w:div w:id="1132987185">
      <w:bodyDiv w:val="1"/>
      <w:marLeft w:val="0"/>
      <w:marRight w:val="0"/>
      <w:marTop w:val="0"/>
      <w:marBottom w:val="0"/>
      <w:divBdr>
        <w:top w:val="none" w:sz="0" w:space="0" w:color="auto"/>
        <w:left w:val="none" w:sz="0" w:space="0" w:color="auto"/>
        <w:bottom w:val="none" w:sz="0" w:space="0" w:color="auto"/>
        <w:right w:val="none" w:sz="0" w:space="0" w:color="auto"/>
      </w:divBdr>
    </w:div>
    <w:div w:id="1134102379">
      <w:bodyDiv w:val="1"/>
      <w:marLeft w:val="0"/>
      <w:marRight w:val="0"/>
      <w:marTop w:val="0"/>
      <w:marBottom w:val="0"/>
      <w:divBdr>
        <w:top w:val="none" w:sz="0" w:space="0" w:color="auto"/>
        <w:left w:val="none" w:sz="0" w:space="0" w:color="auto"/>
        <w:bottom w:val="none" w:sz="0" w:space="0" w:color="auto"/>
        <w:right w:val="none" w:sz="0" w:space="0" w:color="auto"/>
      </w:divBdr>
      <w:divsChild>
        <w:div w:id="852914152">
          <w:marLeft w:val="0"/>
          <w:marRight w:val="0"/>
          <w:marTop w:val="0"/>
          <w:marBottom w:val="0"/>
          <w:divBdr>
            <w:top w:val="none" w:sz="0" w:space="0" w:color="auto"/>
            <w:left w:val="none" w:sz="0" w:space="0" w:color="auto"/>
            <w:bottom w:val="none" w:sz="0" w:space="0" w:color="auto"/>
            <w:right w:val="none" w:sz="0" w:space="0" w:color="auto"/>
          </w:divBdr>
        </w:div>
        <w:div w:id="1990472685">
          <w:marLeft w:val="0"/>
          <w:marRight w:val="0"/>
          <w:marTop w:val="0"/>
          <w:marBottom w:val="0"/>
          <w:divBdr>
            <w:top w:val="none" w:sz="0" w:space="0" w:color="auto"/>
            <w:left w:val="none" w:sz="0" w:space="0" w:color="auto"/>
            <w:bottom w:val="none" w:sz="0" w:space="0" w:color="auto"/>
            <w:right w:val="none" w:sz="0" w:space="0" w:color="auto"/>
          </w:divBdr>
        </w:div>
      </w:divsChild>
    </w:div>
    <w:div w:id="1135374142">
      <w:bodyDiv w:val="1"/>
      <w:marLeft w:val="0"/>
      <w:marRight w:val="0"/>
      <w:marTop w:val="0"/>
      <w:marBottom w:val="0"/>
      <w:divBdr>
        <w:top w:val="none" w:sz="0" w:space="0" w:color="auto"/>
        <w:left w:val="none" w:sz="0" w:space="0" w:color="auto"/>
        <w:bottom w:val="none" w:sz="0" w:space="0" w:color="auto"/>
        <w:right w:val="none" w:sz="0" w:space="0" w:color="auto"/>
      </w:divBdr>
      <w:divsChild>
        <w:div w:id="1020933793">
          <w:marLeft w:val="0"/>
          <w:marRight w:val="0"/>
          <w:marTop w:val="0"/>
          <w:marBottom w:val="0"/>
          <w:divBdr>
            <w:top w:val="none" w:sz="0" w:space="0" w:color="auto"/>
            <w:left w:val="none" w:sz="0" w:space="0" w:color="auto"/>
            <w:bottom w:val="none" w:sz="0" w:space="0" w:color="auto"/>
            <w:right w:val="none" w:sz="0" w:space="0" w:color="auto"/>
          </w:divBdr>
        </w:div>
        <w:div w:id="1319533802">
          <w:marLeft w:val="0"/>
          <w:marRight w:val="0"/>
          <w:marTop w:val="0"/>
          <w:marBottom w:val="0"/>
          <w:divBdr>
            <w:top w:val="none" w:sz="0" w:space="0" w:color="auto"/>
            <w:left w:val="none" w:sz="0" w:space="0" w:color="auto"/>
            <w:bottom w:val="none" w:sz="0" w:space="0" w:color="auto"/>
            <w:right w:val="none" w:sz="0" w:space="0" w:color="auto"/>
          </w:divBdr>
        </w:div>
      </w:divsChild>
    </w:div>
    <w:div w:id="1135836720">
      <w:bodyDiv w:val="1"/>
      <w:marLeft w:val="0"/>
      <w:marRight w:val="0"/>
      <w:marTop w:val="0"/>
      <w:marBottom w:val="0"/>
      <w:divBdr>
        <w:top w:val="none" w:sz="0" w:space="0" w:color="auto"/>
        <w:left w:val="none" w:sz="0" w:space="0" w:color="auto"/>
        <w:bottom w:val="none" w:sz="0" w:space="0" w:color="auto"/>
        <w:right w:val="none" w:sz="0" w:space="0" w:color="auto"/>
      </w:divBdr>
      <w:divsChild>
        <w:div w:id="1461847089">
          <w:marLeft w:val="0"/>
          <w:marRight w:val="0"/>
          <w:marTop w:val="0"/>
          <w:marBottom w:val="0"/>
          <w:divBdr>
            <w:top w:val="none" w:sz="0" w:space="0" w:color="auto"/>
            <w:left w:val="none" w:sz="0" w:space="0" w:color="auto"/>
            <w:bottom w:val="none" w:sz="0" w:space="0" w:color="auto"/>
            <w:right w:val="none" w:sz="0" w:space="0" w:color="auto"/>
          </w:divBdr>
        </w:div>
        <w:div w:id="1662849411">
          <w:marLeft w:val="0"/>
          <w:marRight w:val="0"/>
          <w:marTop w:val="0"/>
          <w:marBottom w:val="0"/>
          <w:divBdr>
            <w:top w:val="none" w:sz="0" w:space="0" w:color="auto"/>
            <w:left w:val="none" w:sz="0" w:space="0" w:color="auto"/>
            <w:bottom w:val="none" w:sz="0" w:space="0" w:color="auto"/>
            <w:right w:val="none" w:sz="0" w:space="0" w:color="auto"/>
          </w:divBdr>
        </w:div>
      </w:divsChild>
    </w:div>
    <w:div w:id="1140614159">
      <w:bodyDiv w:val="1"/>
      <w:marLeft w:val="0"/>
      <w:marRight w:val="0"/>
      <w:marTop w:val="0"/>
      <w:marBottom w:val="0"/>
      <w:divBdr>
        <w:top w:val="none" w:sz="0" w:space="0" w:color="auto"/>
        <w:left w:val="none" w:sz="0" w:space="0" w:color="auto"/>
        <w:bottom w:val="none" w:sz="0" w:space="0" w:color="auto"/>
        <w:right w:val="none" w:sz="0" w:space="0" w:color="auto"/>
      </w:divBdr>
      <w:divsChild>
        <w:div w:id="675116022">
          <w:marLeft w:val="0"/>
          <w:marRight w:val="0"/>
          <w:marTop w:val="0"/>
          <w:marBottom w:val="0"/>
          <w:divBdr>
            <w:top w:val="none" w:sz="0" w:space="0" w:color="auto"/>
            <w:left w:val="none" w:sz="0" w:space="0" w:color="auto"/>
            <w:bottom w:val="none" w:sz="0" w:space="0" w:color="auto"/>
            <w:right w:val="none" w:sz="0" w:space="0" w:color="auto"/>
          </w:divBdr>
        </w:div>
        <w:div w:id="930283554">
          <w:marLeft w:val="0"/>
          <w:marRight w:val="0"/>
          <w:marTop w:val="0"/>
          <w:marBottom w:val="0"/>
          <w:divBdr>
            <w:top w:val="none" w:sz="0" w:space="0" w:color="auto"/>
            <w:left w:val="none" w:sz="0" w:space="0" w:color="auto"/>
            <w:bottom w:val="none" w:sz="0" w:space="0" w:color="auto"/>
            <w:right w:val="none" w:sz="0" w:space="0" w:color="auto"/>
          </w:divBdr>
        </w:div>
      </w:divsChild>
    </w:div>
    <w:div w:id="1144198839">
      <w:bodyDiv w:val="1"/>
      <w:marLeft w:val="0"/>
      <w:marRight w:val="0"/>
      <w:marTop w:val="0"/>
      <w:marBottom w:val="0"/>
      <w:divBdr>
        <w:top w:val="none" w:sz="0" w:space="0" w:color="auto"/>
        <w:left w:val="none" w:sz="0" w:space="0" w:color="auto"/>
        <w:bottom w:val="none" w:sz="0" w:space="0" w:color="auto"/>
        <w:right w:val="none" w:sz="0" w:space="0" w:color="auto"/>
      </w:divBdr>
      <w:divsChild>
        <w:div w:id="966087234">
          <w:marLeft w:val="0"/>
          <w:marRight w:val="0"/>
          <w:marTop w:val="0"/>
          <w:marBottom w:val="0"/>
          <w:divBdr>
            <w:top w:val="none" w:sz="0" w:space="0" w:color="auto"/>
            <w:left w:val="none" w:sz="0" w:space="0" w:color="auto"/>
            <w:bottom w:val="none" w:sz="0" w:space="0" w:color="auto"/>
            <w:right w:val="none" w:sz="0" w:space="0" w:color="auto"/>
          </w:divBdr>
        </w:div>
        <w:div w:id="1311246682">
          <w:marLeft w:val="0"/>
          <w:marRight w:val="0"/>
          <w:marTop w:val="0"/>
          <w:marBottom w:val="0"/>
          <w:divBdr>
            <w:top w:val="none" w:sz="0" w:space="0" w:color="auto"/>
            <w:left w:val="none" w:sz="0" w:space="0" w:color="auto"/>
            <w:bottom w:val="none" w:sz="0" w:space="0" w:color="auto"/>
            <w:right w:val="none" w:sz="0" w:space="0" w:color="auto"/>
          </w:divBdr>
        </w:div>
        <w:div w:id="1507132008">
          <w:marLeft w:val="0"/>
          <w:marRight w:val="0"/>
          <w:marTop w:val="0"/>
          <w:marBottom w:val="0"/>
          <w:divBdr>
            <w:top w:val="none" w:sz="0" w:space="0" w:color="auto"/>
            <w:left w:val="none" w:sz="0" w:space="0" w:color="auto"/>
            <w:bottom w:val="none" w:sz="0" w:space="0" w:color="auto"/>
            <w:right w:val="none" w:sz="0" w:space="0" w:color="auto"/>
          </w:divBdr>
        </w:div>
      </w:divsChild>
    </w:div>
    <w:div w:id="1144857671">
      <w:bodyDiv w:val="1"/>
      <w:marLeft w:val="0"/>
      <w:marRight w:val="0"/>
      <w:marTop w:val="0"/>
      <w:marBottom w:val="0"/>
      <w:divBdr>
        <w:top w:val="none" w:sz="0" w:space="0" w:color="auto"/>
        <w:left w:val="none" w:sz="0" w:space="0" w:color="auto"/>
        <w:bottom w:val="none" w:sz="0" w:space="0" w:color="auto"/>
        <w:right w:val="none" w:sz="0" w:space="0" w:color="auto"/>
      </w:divBdr>
    </w:div>
    <w:div w:id="1145970342">
      <w:bodyDiv w:val="1"/>
      <w:marLeft w:val="0"/>
      <w:marRight w:val="0"/>
      <w:marTop w:val="0"/>
      <w:marBottom w:val="0"/>
      <w:divBdr>
        <w:top w:val="none" w:sz="0" w:space="0" w:color="auto"/>
        <w:left w:val="none" w:sz="0" w:space="0" w:color="auto"/>
        <w:bottom w:val="none" w:sz="0" w:space="0" w:color="auto"/>
        <w:right w:val="none" w:sz="0" w:space="0" w:color="auto"/>
      </w:divBdr>
      <w:divsChild>
        <w:div w:id="938372619">
          <w:marLeft w:val="0"/>
          <w:marRight w:val="0"/>
          <w:marTop w:val="0"/>
          <w:marBottom w:val="0"/>
          <w:divBdr>
            <w:top w:val="none" w:sz="0" w:space="0" w:color="auto"/>
            <w:left w:val="none" w:sz="0" w:space="0" w:color="auto"/>
            <w:bottom w:val="none" w:sz="0" w:space="0" w:color="auto"/>
            <w:right w:val="none" w:sz="0" w:space="0" w:color="auto"/>
          </w:divBdr>
        </w:div>
        <w:div w:id="1253709934">
          <w:marLeft w:val="0"/>
          <w:marRight w:val="0"/>
          <w:marTop w:val="0"/>
          <w:marBottom w:val="0"/>
          <w:divBdr>
            <w:top w:val="none" w:sz="0" w:space="0" w:color="auto"/>
            <w:left w:val="none" w:sz="0" w:space="0" w:color="auto"/>
            <w:bottom w:val="none" w:sz="0" w:space="0" w:color="auto"/>
            <w:right w:val="none" w:sz="0" w:space="0" w:color="auto"/>
          </w:divBdr>
        </w:div>
        <w:div w:id="1334256037">
          <w:marLeft w:val="0"/>
          <w:marRight w:val="0"/>
          <w:marTop w:val="0"/>
          <w:marBottom w:val="0"/>
          <w:divBdr>
            <w:top w:val="none" w:sz="0" w:space="0" w:color="auto"/>
            <w:left w:val="none" w:sz="0" w:space="0" w:color="auto"/>
            <w:bottom w:val="none" w:sz="0" w:space="0" w:color="auto"/>
            <w:right w:val="none" w:sz="0" w:space="0" w:color="auto"/>
          </w:divBdr>
        </w:div>
      </w:divsChild>
    </w:div>
    <w:div w:id="1147747196">
      <w:bodyDiv w:val="1"/>
      <w:marLeft w:val="0"/>
      <w:marRight w:val="0"/>
      <w:marTop w:val="0"/>
      <w:marBottom w:val="0"/>
      <w:divBdr>
        <w:top w:val="none" w:sz="0" w:space="0" w:color="auto"/>
        <w:left w:val="none" w:sz="0" w:space="0" w:color="auto"/>
        <w:bottom w:val="none" w:sz="0" w:space="0" w:color="auto"/>
        <w:right w:val="none" w:sz="0" w:space="0" w:color="auto"/>
      </w:divBdr>
    </w:div>
    <w:div w:id="1149832098">
      <w:bodyDiv w:val="1"/>
      <w:marLeft w:val="0"/>
      <w:marRight w:val="0"/>
      <w:marTop w:val="0"/>
      <w:marBottom w:val="0"/>
      <w:divBdr>
        <w:top w:val="none" w:sz="0" w:space="0" w:color="auto"/>
        <w:left w:val="none" w:sz="0" w:space="0" w:color="auto"/>
        <w:bottom w:val="none" w:sz="0" w:space="0" w:color="auto"/>
        <w:right w:val="none" w:sz="0" w:space="0" w:color="auto"/>
      </w:divBdr>
      <w:divsChild>
        <w:div w:id="481384046">
          <w:marLeft w:val="0"/>
          <w:marRight w:val="0"/>
          <w:marTop w:val="0"/>
          <w:marBottom w:val="0"/>
          <w:divBdr>
            <w:top w:val="none" w:sz="0" w:space="0" w:color="auto"/>
            <w:left w:val="none" w:sz="0" w:space="0" w:color="auto"/>
            <w:bottom w:val="none" w:sz="0" w:space="0" w:color="auto"/>
            <w:right w:val="none" w:sz="0" w:space="0" w:color="auto"/>
          </w:divBdr>
        </w:div>
        <w:div w:id="663170489">
          <w:marLeft w:val="0"/>
          <w:marRight w:val="0"/>
          <w:marTop w:val="0"/>
          <w:marBottom w:val="0"/>
          <w:divBdr>
            <w:top w:val="none" w:sz="0" w:space="0" w:color="auto"/>
            <w:left w:val="none" w:sz="0" w:space="0" w:color="auto"/>
            <w:bottom w:val="none" w:sz="0" w:space="0" w:color="auto"/>
            <w:right w:val="none" w:sz="0" w:space="0" w:color="auto"/>
          </w:divBdr>
        </w:div>
        <w:div w:id="1218198438">
          <w:marLeft w:val="0"/>
          <w:marRight w:val="0"/>
          <w:marTop w:val="0"/>
          <w:marBottom w:val="0"/>
          <w:divBdr>
            <w:top w:val="none" w:sz="0" w:space="0" w:color="auto"/>
            <w:left w:val="none" w:sz="0" w:space="0" w:color="auto"/>
            <w:bottom w:val="none" w:sz="0" w:space="0" w:color="auto"/>
            <w:right w:val="none" w:sz="0" w:space="0" w:color="auto"/>
          </w:divBdr>
        </w:div>
        <w:div w:id="1637832778">
          <w:marLeft w:val="0"/>
          <w:marRight w:val="0"/>
          <w:marTop w:val="0"/>
          <w:marBottom w:val="0"/>
          <w:divBdr>
            <w:top w:val="none" w:sz="0" w:space="0" w:color="auto"/>
            <w:left w:val="none" w:sz="0" w:space="0" w:color="auto"/>
            <w:bottom w:val="none" w:sz="0" w:space="0" w:color="auto"/>
            <w:right w:val="none" w:sz="0" w:space="0" w:color="auto"/>
          </w:divBdr>
        </w:div>
        <w:div w:id="1844856628">
          <w:marLeft w:val="0"/>
          <w:marRight w:val="0"/>
          <w:marTop w:val="0"/>
          <w:marBottom w:val="0"/>
          <w:divBdr>
            <w:top w:val="none" w:sz="0" w:space="0" w:color="auto"/>
            <w:left w:val="none" w:sz="0" w:space="0" w:color="auto"/>
            <w:bottom w:val="none" w:sz="0" w:space="0" w:color="auto"/>
            <w:right w:val="none" w:sz="0" w:space="0" w:color="auto"/>
          </w:divBdr>
        </w:div>
      </w:divsChild>
    </w:div>
    <w:div w:id="1157303311">
      <w:bodyDiv w:val="1"/>
      <w:marLeft w:val="0"/>
      <w:marRight w:val="0"/>
      <w:marTop w:val="0"/>
      <w:marBottom w:val="0"/>
      <w:divBdr>
        <w:top w:val="none" w:sz="0" w:space="0" w:color="auto"/>
        <w:left w:val="none" w:sz="0" w:space="0" w:color="auto"/>
        <w:bottom w:val="none" w:sz="0" w:space="0" w:color="auto"/>
        <w:right w:val="none" w:sz="0" w:space="0" w:color="auto"/>
      </w:divBdr>
    </w:div>
    <w:div w:id="1157918761">
      <w:bodyDiv w:val="1"/>
      <w:marLeft w:val="0"/>
      <w:marRight w:val="0"/>
      <w:marTop w:val="0"/>
      <w:marBottom w:val="0"/>
      <w:divBdr>
        <w:top w:val="none" w:sz="0" w:space="0" w:color="auto"/>
        <w:left w:val="none" w:sz="0" w:space="0" w:color="auto"/>
        <w:bottom w:val="none" w:sz="0" w:space="0" w:color="auto"/>
        <w:right w:val="none" w:sz="0" w:space="0" w:color="auto"/>
      </w:divBdr>
    </w:div>
    <w:div w:id="1160924771">
      <w:bodyDiv w:val="1"/>
      <w:marLeft w:val="0"/>
      <w:marRight w:val="0"/>
      <w:marTop w:val="0"/>
      <w:marBottom w:val="0"/>
      <w:divBdr>
        <w:top w:val="none" w:sz="0" w:space="0" w:color="auto"/>
        <w:left w:val="none" w:sz="0" w:space="0" w:color="auto"/>
        <w:bottom w:val="none" w:sz="0" w:space="0" w:color="auto"/>
        <w:right w:val="none" w:sz="0" w:space="0" w:color="auto"/>
      </w:divBdr>
    </w:div>
    <w:div w:id="1172377289">
      <w:bodyDiv w:val="1"/>
      <w:marLeft w:val="0"/>
      <w:marRight w:val="0"/>
      <w:marTop w:val="0"/>
      <w:marBottom w:val="0"/>
      <w:divBdr>
        <w:top w:val="none" w:sz="0" w:space="0" w:color="auto"/>
        <w:left w:val="none" w:sz="0" w:space="0" w:color="auto"/>
        <w:bottom w:val="none" w:sz="0" w:space="0" w:color="auto"/>
        <w:right w:val="none" w:sz="0" w:space="0" w:color="auto"/>
      </w:divBdr>
      <w:divsChild>
        <w:div w:id="89935972">
          <w:marLeft w:val="0"/>
          <w:marRight w:val="0"/>
          <w:marTop w:val="0"/>
          <w:marBottom w:val="0"/>
          <w:divBdr>
            <w:top w:val="none" w:sz="0" w:space="0" w:color="auto"/>
            <w:left w:val="none" w:sz="0" w:space="0" w:color="auto"/>
            <w:bottom w:val="none" w:sz="0" w:space="0" w:color="auto"/>
            <w:right w:val="none" w:sz="0" w:space="0" w:color="auto"/>
          </w:divBdr>
        </w:div>
        <w:div w:id="586571764">
          <w:marLeft w:val="0"/>
          <w:marRight w:val="0"/>
          <w:marTop w:val="0"/>
          <w:marBottom w:val="0"/>
          <w:divBdr>
            <w:top w:val="none" w:sz="0" w:space="0" w:color="auto"/>
            <w:left w:val="none" w:sz="0" w:space="0" w:color="auto"/>
            <w:bottom w:val="none" w:sz="0" w:space="0" w:color="auto"/>
            <w:right w:val="none" w:sz="0" w:space="0" w:color="auto"/>
          </w:divBdr>
        </w:div>
      </w:divsChild>
    </w:div>
    <w:div w:id="1173686482">
      <w:bodyDiv w:val="1"/>
      <w:marLeft w:val="0"/>
      <w:marRight w:val="0"/>
      <w:marTop w:val="0"/>
      <w:marBottom w:val="0"/>
      <w:divBdr>
        <w:top w:val="none" w:sz="0" w:space="0" w:color="auto"/>
        <w:left w:val="none" w:sz="0" w:space="0" w:color="auto"/>
        <w:bottom w:val="none" w:sz="0" w:space="0" w:color="auto"/>
        <w:right w:val="none" w:sz="0" w:space="0" w:color="auto"/>
      </w:divBdr>
    </w:div>
    <w:div w:id="1174760879">
      <w:bodyDiv w:val="1"/>
      <w:marLeft w:val="0"/>
      <w:marRight w:val="0"/>
      <w:marTop w:val="0"/>
      <w:marBottom w:val="0"/>
      <w:divBdr>
        <w:top w:val="none" w:sz="0" w:space="0" w:color="auto"/>
        <w:left w:val="none" w:sz="0" w:space="0" w:color="auto"/>
        <w:bottom w:val="none" w:sz="0" w:space="0" w:color="auto"/>
        <w:right w:val="none" w:sz="0" w:space="0" w:color="auto"/>
      </w:divBdr>
    </w:div>
    <w:div w:id="1179155552">
      <w:bodyDiv w:val="1"/>
      <w:marLeft w:val="0"/>
      <w:marRight w:val="0"/>
      <w:marTop w:val="0"/>
      <w:marBottom w:val="0"/>
      <w:divBdr>
        <w:top w:val="none" w:sz="0" w:space="0" w:color="auto"/>
        <w:left w:val="none" w:sz="0" w:space="0" w:color="auto"/>
        <w:bottom w:val="none" w:sz="0" w:space="0" w:color="auto"/>
        <w:right w:val="none" w:sz="0" w:space="0" w:color="auto"/>
      </w:divBdr>
      <w:divsChild>
        <w:div w:id="85615441">
          <w:marLeft w:val="0"/>
          <w:marRight w:val="0"/>
          <w:marTop w:val="0"/>
          <w:marBottom w:val="0"/>
          <w:divBdr>
            <w:top w:val="none" w:sz="0" w:space="0" w:color="auto"/>
            <w:left w:val="none" w:sz="0" w:space="0" w:color="auto"/>
            <w:bottom w:val="none" w:sz="0" w:space="0" w:color="auto"/>
            <w:right w:val="none" w:sz="0" w:space="0" w:color="auto"/>
          </w:divBdr>
        </w:div>
        <w:div w:id="784498022">
          <w:marLeft w:val="0"/>
          <w:marRight w:val="0"/>
          <w:marTop w:val="0"/>
          <w:marBottom w:val="0"/>
          <w:divBdr>
            <w:top w:val="none" w:sz="0" w:space="0" w:color="auto"/>
            <w:left w:val="none" w:sz="0" w:space="0" w:color="auto"/>
            <w:bottom w:val="none" w:sz="0" w:space="0" w:color="auto"/>
            <w:right w:val="none" w:sz="0" w:space="0" w:color="auto"/>
          </w:divBdr>
        </w:div>
        <w:div w:id="1638410348">
          <w:marLeft w:val="0"/>
          <w:marRight w:val="0"/>
          <w:marTop w:val="0"/>
          <w:marBottom w:val="0"/>
          <w:divBdr>
            <w:top w:val="none" w:sz="0" w:space="0" w:color="auto"/>
            <w:left w:val="none" w:sz="0" w:space="0" w:color="auto"/>
            <w:bottom w:val="none" w:sz="0" w:space="0" w:color="auto"/>
            <w:right w:val="none" w:sz="0" w:space="0" w:color="auto"/>
          </w:divBdr>
        </w:div>
      </w:divsChild>
    </w:div>
    <w:div w:id="1179929811">
      <w:bodyDiv w:val="1"/>
      <w:marLeft w:val="0"/>
      <w:marRight w:val="0"/>
      <w:marTop w:val="0"/>
      <w:marBottom w:val="0"/>
      <w:divBdr>
        <w:top w:val="none" w:sz="0" w:space="0" w:color="auto"/>
        <w:left w:val="none" w:sz="0" w:space="0" w:color="auto"/>
        <w:bottom w:val="none" w:sz="0" w:space="0" w:color="auto"/>
        <w:right w:val="none" w:sz="0" w:space="0" w:color="auto"/>
      </w:divBdr>
    </w:div>
    <w:div w:id="1181703012">
      <w:bodyDiv w:val="1"/>
      <w:marLeft w:val="0"/>
      <w:marRight w:val="0"/>
      <w:marTop w:val="0"/>
      <w:marBottom w:val="0"/>
      <w:divBdr>
        <w:top w:val="none" w:sz="0" w:space="0" w:color="auto"/>
        <w:left w:val="none" w:sz="0" w:space="0" w:color="auto"/>
        <w:bottom w:val="none" w:sz="0" w:space="0" w:color="auto"/>
        <w:right w:val="none" w:sz="0" w:space="0" w:color="auto"/>
      </w:divBdr>
    </w:div>
    <w:div w:id="1184170918">
      <w:bodyDiv w:val="1"/>
      <w:marLeft w:val="0"/>
      <w:marRight w:val="0"/>
      <w:marTop w:val="0"/>
      <w:marBottom w:val="0"/>
      <w:divBdr>
        <w:top w:val="none" w:sz="0" w:space="0" w:color="auto"/>
        <w:left w:val="none" w:sz="0" w:space="0" w:color="auto"/>
        <w:bottom w:val="none" w:sz="0" w:space="0" w:color="auto"/>
        <w:right w:val="none" w:sz="0" w:space="0" w:color="auto"/>
      </w:divBdr>
      <w:divsChild>
        <w:div w:id="112284539">
          <w:marLeft w:val="0"/>
          <w:marRight w:val="0"/>
          <w:marTop w:val="0"/>
          <w:marBottom w:val="0"/>
          <w:divBdr>
            <w:top w:val="none" w:sz="0" w:space="0" w:color="auto"/>
            <w:left w:val="none" w:sz="0" w:space="0" w:color="auto"/>
            <w:bottom w:val="none" w:sz="0" w:space="0" w:color="auto"/>
            <w:right w:val="none" w:sz="0" w:space="0" w:color="auto"/>
          </w:divBdr>
        </w:div>
        <w:div w:id="626933638">
          <w:marLeft w:val="0"/>
          <w:marRight w:val="0"/>
          <w:marTop w:val="0"/>
          <w:marBottom w:val="0"/>
          <w:divBdr>
            <w:top w:val="none" w:sz="0" w:space="0" w:color="auto"/>
            <w:left w:val="none" w:sz="0" w:space="0" w:color="auto"/>
            <w:bottom w:val="none" w:sz="0" w:space="0" w:color="auto"/>
            <w:right w:val="none" w:sz="0" w:space="0" w:color="auto"/>
          </w:divBdr>
        </w:div>
      </w:divsChild>
    </w:div>
    <w:div w:id="1187792918">
      <w:bodyDiv w:val="1"/>
      <w:marLeft w:val="0"/>
      <w:marRight w:val="0"/>
      <w:marTop w:val="0"/>
      <w:marBottom w:val="0"/>
      <w:divBdr>
        <w:top w:val="none" w:sz="0" w:space="0" w:color="auto"/>
        <w:left w:val="none" w:sz="0" w:space="0" w:color="auto"/>
        <w:bottom w:val="none" w:sz="0" w:space="0" w:color="auto"/>
        <w:right w:val="none" w:sz="0" w:space="0" w:color="auto"/>
      </w:divBdr>
      <w:divsChild>
        <w:div w:id="609163838">
          <w:marLeft w:val="0"/>
          <w:marRight w:val="0"/>
          <w:marTop w:val="0"/>
          <w:marBottom w:val="0"/>
          <w:divBdr>
            <w:top w:val="none" w:sz="0" w:space="0" w:color="auto"/>
            <w:left w:val="none" w:sz="0" w:space="0" w:color="auto"/>
            <w:bottom w:val="none" w:sz="0" w:space="0" w:color="auto"/>
            <w:right w:val="none" w:sz="0" w:space="0" w:color="auto"/>
          </w:divBdr>
        </w:div>
        <w:div w:id="1803687461">
          <w:marLeft w:val="0"/>
          <w:marRight w:val="0"/>
          <w:marTop w:val="0"/>
          <w:marBottom w:val="0"/>
          <w:divBdr>
            <w:top w:val="none" w:sz="0" w:space="0" w:color="auto"/>
            <w:left w:val="none" w:sz="0" w:space="0" w:color="auto"/>
            <w:bottom w:val="none" w:sz="0" w:space="0" w:color="auto"/>
            <w:right w:val="none" w:sz="0" w:space="0" w:color="auto"/>
          </w:divBdr>
        </w:div>
      </w:divsChild>
    </w:div>
    <w:div w:id="1201092370">
      <w:bodyDiv w:val="1"/>
      <w:marLeft w:val="0"/>
      <w:marRight w:val="0"/>
      <w:marTop w:val="0"/>
      <w:marBottom w:val="0"/>
      <w:divBdr>
        <w:top w:val="none" w:sz="0" w:space="0" w:color="auto"/>
        <w:left w:val="none" w:sz="0" w:space="0" w:color="auto"/>
        <w:bottom w:val="none" w:sz="0" w:space="0" w:color="auto"/>
        <w:right w:val="none" w:sz="0" w:space="0" w:color="auto"/>
      </w:divBdr>
    </w:div>
    <w:div w:id="1205874436">
      <w:bodyDiv w:val="1"/>
      <w:marLeft w:val="0"/>
      <w:marRight w:val="0"/>
      <w:marTop w:val="0"/>
      <w:marBottom w:val="0"/>
      <w:divBdr>
        <w:top w:val="none" w:sz="0" w:space="0" w:color="auto"/>
        <w:left w:val="none" w:sz="0" w:space="0" w:color="auto"/>
        <w:bottom w:val="none" w:sz="0" w:space="0" w:color="auto"/>
        <w:right w:val="none" w:sz="0" w:space="0" w:color="auto"/>
      </w:divBdr>
    </w:div>
    <w:div w:id="1221478933">
      <w:bodyDiv w:val="1"/>
      <w:marLeft w:val="0"/>
      <w:marRight w:val="0"/>
      <w:marTop w:val="0"/>
      <w:marBottom w:val="0"/>
      <w:divBdr>
        <w:top w:val="none" w:sz="0" w:space="0" w:color="auto"/>
        <w:left w:val="none" w:sz="0" w:space="0" w:color="auto"/>
        <w:bottom w:val="none" w:sz="0" w:space="0" w:color="auto"/>
        <w:right w:val="none" w:sz="0" w:space="0" w:color="auto"/>
      </w:divBdr>
    </w:div>
    <w:div w:id="1227455071">
      <w:bodyDiv w:val="1"/>
      <w:marLeft w:val="0"/>
      <w:marRight w:val="0"/>
      <w:marTop w:val="0"/>
      <w:marBottom w:val="0"/>
      <w:divBdr>
        <w:top w:val="none" w:sz="0" w:space="0" w:color="auto"/>
        <w:left w:val="none" w:sz="0" w:space="0" w:color="auto"/>
        <w:bottom w:val="none" w:sz="0" w:space="0" w:color="auto"/>
        <w:right w:val="none" w:sz="0" w:space="0" w:color="auto"/>
      </w:divBdr>
      <w:divsChild>
        <w:div w:id="1608922224">
          <w:marLeft w:val="0"/>
          <w:marRight w:val="0"/>
          <w:marTop w:val="0"/>
          <w:marBottom w:val="0"/>
          <w:divBdr>
            <w:top w:val="none" w:sz="0" w:space="0" w:color="auto"/>
            <w:left w:val="none" w:sz="0" w:space="0" w:color="auto"/>
            <w:bottom w:val="none" w:sz="0" w:space="0" w:color="auto"/>
            <w:right w:val="none" w:sz="0" w:space="0" w:color="auto"/>
          </w:divBdr>
        </w:div>
        <w:div w:id="1800033245">
          <w:marLeft w:val="0"/>
          <w:marRight w:val="0"/>
          <w:marTop w:val="0"/>
          <w:marBottom w:val="0"/>
          <w:divBdr>
            <w:top w:val="none" w:sz="0" w:space="0" w:color="auto"/>
            <w:left w:val="none" w:sz="0" w:space="0" w:color="auto"/>
            <w:bottom w:val="none" w:sz="0" w:space="0" w:color="auto"/>
            <w:right w:val="none" w:sz="0" w:space="0" w:color="auto"/>
          </w:divBdr>
        </w:div>
      </w:divsChild>
    </w:div>
    <w:div w:id="1229654169">
      <w:bodyDiv w:val="1"/>
      <w:marLeft w:val="0"/>
      <w:marRight w:val="0"/>
      <w:marTop w:val="0"/>
      <w:marBottom w:val="0"/>
      <w:divBdr>
        <w:top w:val="none" w:sz="0" w:space="0" w:color="auto"/>
        <w:left w:val="none" w:sz="0" w:space="0" w:color="auto"/>
        <w:bottom w:val="none" w:sz="0" w:space="0" w:color="auto"/>
        <w:right w:val="none" w:sz="0" w:space="0" w:color="auto"/>
      </w:divBdr>
    </w:div>
    <w:div w:id="1229683130">
      <w:bodyDiv w:val="1"/>
      <w:marLeft w:val="0"/>
      <w:marRight w:val="0"/>
      <w:marTop w:val="0"/>
      <w:marBottom w:val="0"/>
      <w:divBdr>
        <w:top w:val="none" w:sz="0" w:space="0" w:color="auto"/>
        <w:left w:val="none" w:sz="0" w:space="0" w:color="auto"/>
        <w:bottom w:val="none" w:sz="0" w:space="0" w:color="auto"/>
        <w:right w:val="none" w:sz="0" w:space="0" w:color="auto"/>
      </w:divBdr>
      <w:divsChild>
        <w:div w:id="1223366407">
          <w:marLeft w:val="0"/>
          <w:marRight w:val="0"/>
          <w:marTop w:val="0"/>
          <w:marBottom w:val="0"/>
          <w:divBdr>
            <w:top w:val="none" w:sz="0" w:space="0" w:color="auto"/>
            <w:left w:val="none" w:sz="0" w:space="0" w:color="auto"/>
            <w:bottom w:val="none" w:sz="0" w:space="0" w:color="auto"/>
            <w:right w:val="none" w:sz="0" w:space="0" w:color="auto"/>
          </w:divBdr>
        </w:div>
        <w:div w:id="1452279777">
          <w:marLeft w:val="0"/>
          <w:marRight w:val="0"/>
          <w:marTop w:val="0"/>
          <w:marBottom w:val="0"/>
          <w:divBdr>
            <w:top w:val="none" w:sz="0" w:space="0" w:color="auto"/>
            <w:left w:val="none" w:sz="0" w:space="0" w:color="auto"/>
            <w:bottom w:val="none" w:sz="0" w:space="0" w:color="auto"/>
            <w:right w:val="none" w:sz="0" w:space="0" w:color="auto"/>
          </w:divBdr>
        </w:div>
        <w:div w:id="1672179011">
          <w:marLeft w:val="0"/>
          <w:marRight w:val="0"/>
          <w:marTop w:val="0"/>
          <w:marBottom w:val="0"/>
          <w:divBdr>
            <w:top w:val="none" w:sz="0" w:space="0" w:color="auto"/>
            <w:left w:val="none" w:sz="0" w:space="0" w:color="auto"/>
            <w:bottom w:val="none" w:sz="0" w:space="0" w:color="auto"/>
            <w:right w:val="none" w:sz="0" w:space="0" w:color="auto"/>
          </w:divBdr>
        </w:div>
        <w:div w:id="1889758912">
          <w:marLeft w:val="0"/>
          <w:marRight w:val="0"/>
          <w:marTop w:val="0"/>
          <w:marBottom w:val="0"/>
          <w:divBdr>
            <w:top w:val="none" w:sz="0" w:space="0" w:color="auto"/>
            <w:left w:val="none" w:sz="0" w:space="0" w:color="auto"/>
            <w:bottom w:val="none" w:sz="0" w:space="0" w:color="auto"/>
            <w:right w:val="none" w:sz="0" w:space="0" w:color="auto"/>
          </w:divBdr>
        </w:div>
      </w:divsChild>
    </w:div>
    <w:div w:id="1232039678">
      <w:bodyDiv w:val="1"/>
      <w:marLeft w:val="0"/>
      <w:marRight w:val="0"/>
      <w:marTop w:val="0"/>
      <w:marBottom w:val="0"/>
      <w:divBdr>
        <w:top w:val="none" w:sz="0" w:space="0" w:color="auto"/>
        <w:left w:val="none" w:sz="0" w:space="0" w:color="auto"/>
        <w:bottom w:val="none" w:sz="0" w:space="0" w:color="auto"/>
        <w:right w:val="none" w:sz="0" w:space="0" w:color="auto"/>
      </w:divBdr>
    </w:div>
    <w:div w:id="1232883136">
      <w:bodyDiv w:val="1"/>
      <w:marLeft w:val="0"/>
      <w:marRight w:val="0"/>
      <w:marTop w:val="0"/>
      <w:marBottom w:val="0"/>
      <w:divBdr>
        <w:top w:val="none" w:sz="0" w:space="0" w:color="auto"/>
        <w:left w:val="none" w:sz="0" w:space="0" w:color="auto"/>
        <w:bottom w:val="none" w:sz="0" w:space="0" w:color="auto"/>
        <w:right w:val="none" w:sz="0" w:space="0" w:color="auto"/>
      </w:divBdr>
    </w:div>
    <w:div w:id="1237783123">
      <w:bodyDiv w:val="1"/>
      <w:marLeft w:val="0"/>
      <w:marRight w:val="0"/>
      <w:marTop w:val="0"/>
      <w:marBottom w:val="0"/>
      <w:divBdr>
        <w:top w:val="none" w:sz="0" w:space="0" w:color="auto"/>
        <w:left w:val="none" w:sz="0" w:space="0" w:color="auto"/>
        <w:bottom w:val="none" w:sz="0" w:space="0" w:color="auto"/>
        <w:right w:val="none" w:sz="0" w:space="0" w:color="auto"/>
      </w:divBdr>
      <w:divsChild>
        <w:div w:id="590773521">
          <w:marLeft w:val="0"/>
          <w:marRight w:val="0"/>
          <w:marTop w:val="0"/>
          <w:marBottom w:val="0"/>
          <w:divBdr>
            <w:top w:val="none" w:sz="0" w:space="0" w:color="auto"/>
            <w:left w:val="none" w:sz="0" w:space="0" w:color="auto"/>
            <w:bottom w:val="none" w:sz="0" w:space="0" w:color="auto"/>
            <w:right w:val="none" w:sz="0" w:space="0" w:color="auto"/>
          </w:divBdr>
        </w:div>
        <w:div w:id="631326880">
          <w:marLeft w:val="0"/>
          <w:marRight w:val="0"/>
          <w:marTop w:val="0"/>
          <w:marBottom w:val="0"/>
          <w:divBdr>
            <w:top w:val="none" w:sz="0" w:space="0" w:color="auto"/>
            <w:left w:val="none" w:sz="0" w:space="0" w:color="auto"/>
            <w:bottom w:val="none" w:sz="0" w:space="0" w:color="auto"/>
            <w:right w:val="none" w:sz="0" w:space="0" w:color="auto"/>
          </w:divBdr>
        </w:div>
        <w:div w:id="1104308680">
          <w:marLeft w:val="0"/>
          <w:marRight w:val="0"/>
          <w:marTop w:val="0"/>
          <w:marBottom w:val="0"/>
          <w:divBdr>
            <w:top w:val="none" w:sz="0" w:space="0" w:color="auto"/>
            <w:left w:val="none" w:sz="0" w:space="0" w:color="auto"/>
            <w:bottom w:val="none" w:sz="0" w:space="0" w:color="auto"/>
            <w:right w:val="none" w:sz="0" w:space="0" w:color="auto"/>
          </w:divBdr>
        </w:div>
      </w:divsChild>
    </w:div>
    <w:div w:id="1238202614">
      <w:bodyDiv w:val="1"/>
      <w:marLeft w:val="0"/>
      <w:marRight w:val="0"/>
      <w:marTop w:val="0"/>
      <w:marBottom w:val="0"/>
      <w:divBdr>
        <w:top w:val="none" w:sz="0" w:space="0" w:color="auto"/>
        <w:left w:val="none" w:sz="0" w:space="0" w:color="auto"/>
        <w:bottom w:val="none" w:sz="0" w:space="0" w:color="auto"/>
        <w:right w:val="none" w:sz="0" w:space="0" w:color="auto"/>
      </w:divBdr>
    </w:div>
    <w:div w:id="1241134040">
      <w:bodyDiv w:val="1"/>
      <w:marLeft w:val="0"/>
      <w:marRight w:val="0"/>
      <w:marTop w:val="0"/>
      <w:marBottom w:val="0"/>
      <w:divBdr>
        <w:top w:val="none" w:sz="0" w:space="0" w:color="auto"/>
        <w:left w:val="none" w:sz="0" w:space="0" w:color="auto"/>
        <w:bottom w:val="none" w:sz="0" w:space="0" w:color="auto"/>
        <w:right w:val="none" w:sz="0" w:space="0" w:color="auto"/>
      </w:divBdr>
      <w:divsChild>
        <w:div w:id="295457683">
          <w:marLeft w:val="0"/>
          <w:marRight w:val="0"/>
          <w:marTop w:val="0"/>
          <w:marBottom w:val="0"/>
          <w:divBdr>
            <w:top w:val="none" w:sz="0" w:space="0" w:color="auto"/>
            <w:left w:val="none" w:sz="0" w:space="0" w:color="auto"/>
            <w:bottom w:val="none" w:sz="0" w:space="0" w:color="auto"/>
            <w:right w:val="none" w:sz="0" w:space="0" w:color="auto"/>
          </w:divBdr>
        </w:div>
        <w:div w:id="1019040335">
          <w:marLeft w:val="0"/>
          <w:marRight w:val="0"/>
          <w:marTop w:val="0"/>
          <w:marBottom w:val="0"/>
          <w:divBdr>
            <w:top w:val="none" w:sz="0" w:space="0" w:color="auto"/>
            <w:left w:val="none" w:sz="0" w:space="0" w:color="auto"/>
            <w:bottom w:val="none" w:sz="0" w:space="0" w:color="auto"/>
            <w:right w:val="none" w:sz="0" w:space="0" w:color="auto"/>
          </w:divBdr>
        </w:div>
      </w:divsChild>
    </w:div>
    <w:div w:id="1259219129">
      <w:bodyDiv w:val="1"/>
      <w:marLeft w:val="0"/>
      <w:marRight w:val="0"/>
      <w:marTop w:val="0"/>
      <w:marBottom w:val="0"/>
      <w:divBdr>
        <w:top w:val="none" w:sz="0" w:space="0" w:color="auto"/>
        <w:left w:val="none" w:sz="0" w:space="0" w:color="auto"/>
        <w:bottom w:val="none" w:sz="0" w:space="0" w:color="auto"/>
        <w:right w:val="none" w:sz="0" w:space="0" w:color="auto"/>
      </w:divBdr>
    </w:div>
    <w:div w:id="1261526833">
      <w:bodyDiv w:val="1"/>
      <w:marLeft w:val="0"/>
      <w:marRight w:val="0"/>
      <w:marTop w:val="0"/>
      <w:marBottom w:val="0"/>
      <w:divBdr>
        <w:top w:val="none" w:sz="0" w:space="0" w:color="auto"/>
        <w:left w:val="none" w:sz="0" w:space="0" w:color="auto"/>
        <w:bottom w:val="none" w:sz="0" w:space="0" w:color="auto"/>
        <w:right w:val="none" w:sz="0" w:space="0" w:color="auto"/>
      </w:divBdr>
      <w:divsChild>
        <w:div w:id="199513836">
          <w:marLeft w:val="0"/>
          <w:marRight w:val="0"/>
          <w:marTop w:val="0"/>
          <w:marBottom w:val="0"/>
          <w:divBdr>
            <w:top w:val="none" w:sz="0" w:space="0" w:color="auto"/>
            <w:left w:val="none" w:sz="0" w:space="0" w:color="auto"/>
            <w:bottom w:val="none" w:sz="0" w:space="0" w:color="auto"/>
            <w:right w:val="none" w:sz="0" w:space="0" w:color="auto"/>
          </w:divBdr>
        </w:div>
        <w:div w:id="779227459">
          <w:marLeft w:val="0"/>
          <w:marRight w:val="0"/>
          <w:marTop w:val="0"/>
          <w:marBottom w:val="0"/>
          <w:divBdr>
            <w:top w:val="none" w:sz="0" w:space="0" w:color="auto"/>
            <w:left w:val="none" w:sz="0" w:space="0" w:color="auto"/>
            <w:bottom w:val="none" w:sz="0" w:space="0" w:color="auto"/>
            <w:right w:val="none" w:sz="0" w:space="0" w:color="auto"/>
          </w:divBdr>
        </w:div>
        <w:div w:id="913706309">
          <w:marLeft w:val="0"/>
          <w:marRight w:val="0"/>
          <w:marTop w:val="0"/>
          <w:marBottom w:val="0"/>
          <w:divBdr>
            <w:top w:val="none" w:sz="0" w:space="0" w:color="auto"/>
            <w:left w:val="none" w:sz="0" w:space="0" w:color="auto"/>
            <w:bottom w:val="none" w:sz="0" w:space="0" w:color="auto"/>
            <w:right w:val="none" w:sz="0" w:space="0" w:color="auto"/>
          </w:divBdr>
        </w:div>
      </w:divsChild>
    </w:div>
    <w:div w:id="1263419994">
      <w:bodyDiv w:val="1"/>
      <w:marLeft w:val="0"/>
      <w:marRight w:val="0"/>
      <w:marTop w:val="0"/>
      <w:marBottom w:val="0"/>
      <w:divBdr>
        <w:top w:val="none" w:sz="0" w:space="0" w:color="auto"/>
        <w:left w:val="none" w:sz="0" w:space="0" w:color="auto"/>
        <w:bottom w:val="none" w:sz="0" w:space="0" w:color="auto"/>
        <w:right w:val="none" w:sz="0" w:space="0" w:color="auto"/>
      </w:divBdr>
    </w:div>
    <w:div w:id="1263873713">
      <w:bodyDiv w:val="1"/>
      <w:marLeft w:val="0"/>
      <w:marRight w:val="0"/>
      <w:marTop w:val="0"/>
      <w:marBottom w:val="0"/>
      <w:divBdr>
        <w:top w:val="none" w:sz="0" w:space="0" w:color="auto"/>
        <w:left w:val="none" w:sz="0" w:space="0" w:color="auto"/>
        <w:bottom w:val="none" w:sz="0" w:space="0" w:color="auto"/>
        <w:right w:val="none" w:sz="0" w:space="0" w:color="auto"/>
      </w:divBdr>
    </w:div>
    <w:div w:id="1265767664">
      <w:bodyDiv w:val="1"/>
      <w:marLeft w:val="0"/>
      <w:marRight w:val="0"/>
      <w:marTop w:val="0"/>
      <w:marBottom w:val="0"/>
      <w:divBdr>
        <w:top w:val="none" w:sz="0" w:space="0" w:color="auto"/>
        <w:left w:val="none" w:sz="0" w:space="0" w:color="auto"/>
        <w:bottom w:val="none" w:sz="0" w:space="0" w:color="auto"/>
        <w:right w:val="none" w:sz="0" w:space="0" w:color="auto"/>
      </w:divBdr>
      <w:divsChild>
        <w:div w:id="660350427">
          <w:marLeft w:val="0"/>
          <w:marRight w:val="0"/>
          <w:marTop w:val="0"/>
          <w:marBottom w:val="0"/>
          <w:divBdr>
            <w:top w:val="none" w:sz="0" w:space="0" w:color="auto"/>
            <w:left w:val="none" w:sz="0" w:space="0" w:color="auto"/>
            <w:bottom w:val="none" w:sz="0" w:space="0" w:color="auto"/>
            <w:right w:val="none" w:sz="0" w:space="0" w:color="auto"/>
          </w:divBdr>
          <w:divsChild>
            <w:div w:id="1361666564">
              <w:marLeft w:val="0"/>
              <w:marRight w:val="0"/>
              <w:marTop w:val="0"/>
              <w:marBottom w:val="0"/>
              <w:divBdr>
                <w:top w:val="none" w:sz="0" w:space="0" w:color="auto"/>
                <w:left w:val="none" w:sz="0" w:space="0" w:color="auto"/>
                <w:bottom w:val="none" w:sz="0" w:space="0" w:color="auto"/>
                <w:right w:val="none" w:sz="0" w:space="0" w:color="auto"/>
              </w:divBdr>
            </w:div>
            <w:div w:id="1461412505">
              <w:marLeft w:val="0"/>
              <w:marRight w:val="0"/>
              <w:marTop w:val="0"/>
              <w:marBottom w:val="0"/>
              <w:divBdr>
                <w:top w:val="none" w:sz="0" w:space="0" w:color="auto"/>
                <w:left w:val="none" w:sz="0" w:space="0" w:color="auto"/>
                <w:bottom w:val="none" w:sz="0" w:space="0" w:color="auto"/>
                <w:right w:val="none" w:sz="0" w:space="0" w:color="auto"/>
              </w:divBdr>
            </w:div>
          </w:divsChild>
        </w:div>
        <w:div w:id="1782214522">
          <w:marLeft w:val="0"/>
          <w:marRight w:val="0"/>
          <w:marTop w:val="0"/>
          <w:marBottom w:val="0"/>
          <w:divBdr>
            <w:top w:val="none" w:sz="0" w:space="0" w:color="auto"/>
            <w:left w:val="none" w:sz="0" w:space="0" w:color="auto"/>
            <w:bottom w:val="none" w:sz="0" w:space="0" w:color="auto"/>
            <w:right w:val="none" w:sz="0" w:space="0" w:color="auto"/>
          </w:divBdr>
        </w:div>
      </w:divsChild>
    </w:div>
    <w:div w:id="1270353939">
      <w:bodyDiv w:val="1"/>
      <w:marLeft w:val="0"/>
      <w:marRight w:val="0"/>
      <w:marTop w:val="0"/>
      <w:marBottom w:val="0"/>
      <w:divBdr>
        <w:top w:val="none" w:sz="0" w:space="0" w:color="auto"/>
        <w:left w:val="none" w:sz="0" w:space="0" w:color="auto"/>
        <w:bottom w:val="none" w:sz="0" w:space="0" w:color="auto"/>
        <w:right w:val="none" w:sz="0" w:space="0" w:color="auto"/>
      </w:divBdr>
      <w:divsChild>
        <w:div w:id="487944219">
          <w:marLeft w:val="0"/>
          <w:marRight w:val="0"/>
          <w:marTop w:val="0"/>
          <w:marBottom w:val="0"/>
          <w:divBdr>
            <w:top w:val="none" w:sz="0" w:space="0" w:color="auto"/>
            <w:left w:val="none" w:sz="0" w:space="0" w:color="auto"/>
            <w:bottom w:val="none" w:sz="0" w:space="0" w:color="auto"/>
            <w:right w:val="none" w:sz="0" w:space="0" w:color="auto"/>
          </w:divBdr>
        </w:div>
        <w:div w:id="1622960050">
          <w:marLeft w:val="0"/>
          <w:marRight w:val="0"/>
          <w:marTop w:val="0"/>
          <w:marBottom w:val="0"/>
          <w:divBdr>
            <w:top w:val="none" w:sz="0" w:space="0" w:color="auto"/>
            <w:left w:val="none" w:sz="0" w:space="0" w:color="auto"/>
            <w:bottom w:val="none" w:sz="0" w:space="0" w:color="auto"/>
            <w:right w:val="none" w:sz="0" w:space="0" w:color="auto"/>
          </w:divBdr>
        </w:div>
      </w:divsChild>
    </w:div>
    <w:div w:id="1271932495">
      <w:bodyDiv w:val="1"/>
      <w:marLeft w:val="0"/>
      <w:marRight w:val="0"/>
      <w:marTop w:val="0"/>
      <w:marBottom w:val="0"/>
      <w:divBdr>
        <w:top w:val="none" w:sz="0" w:space="0" w:color="auto"/>
        <w:left w:val="none" w:sz="0" w:space="0" w:color="auto"/>
        <w:bottom w:val="none" w:sz="0" w:space="0" w:color="auto"/>
        <w:right w:val="none" w:sz="0" w:space="0" w:color="auto"/>
      </w:divBdr>
    </w:div>
    <w:div w:id="1279021623">
      <w:bodyDiv w:val="1"/>
      <w:marLeft w:val="0"/>
      <w:marRight w:val="0"/>
      <w:marTop w:val="0"/>
      <w:marBottom w:val="0"/>
      <w:divBdr>
        <w:top w:val="none" w:sz="0" w:space="0" w:color="auto"/>
        <w:left w:val="none" w:sz="0" w:space="0" w:color="auto"/>
        <w:bottom w:val="none" w:sz="0" w:space="0" w:color="auto"/>
        <w:right w:val="none" w:sz="0" w:space="0" w:color="auto"/>
      </w:divBdr>
    </w:div>
    <w:div w:id="1280725175">
      <w:bodyDiv w:val="1"/>
      <w:marLeft w:val="0"/>
      <w:marRight w:val="0"/>
      <w:marTop w:val="0"/>
      <w:marBottom w:val="0"/>
      <w:divBdr>
        <w:top w:val="none" w:sz="0" w:space="0" w:color="auto"/>
        <w:left w:val="none" w:sz="0" w:space="0" w:color="auto"/>
        <w:bottom w:val="none" w:sz="0" w:space="0" w:color="auto"/>
        <w:right w:val="none" w:sz="0" w:space="0" w:color="auto"/>
      </w:divBdr>
    </w:div>
    <w:div w:id="1280989700">
      <w:bodyDiv w:val="1"/>
      <w:marLeft w:val="0"/>
      <w:marRight w:val="0"/>
      <w:marTop w:val="0"/>
      <w:marBottom w:val="0"/>
      <w:divBdr>
        <w:top w:val="none" w:sz="0" w:space="0" w:color="auto"/>
        <w:left w:val="none" w:sz="0" w:space="0" w:color="auto"/>
        <w:bottom w:val="none" w:sz="0" w:space="0" w:color="auto"/>
        <w:right w:val="none" w:sz="0" w:space="0" w:color="auto"/>
      </w:divBdr>
    </w:div>
    <w:div w:id="1282959145">
      <w:bodyDiv w:val="1"/>
      <w:marLeft w:val="0"/>
      <w:marRight w:val="0"/>
      <w:marTop w:val="0"/>
      <w:marBottom w:val="0"/>
      <w:divBdr>
        <w:top w:val="none" w:sz="0" w:space="0" w:color="auto"/>
        <w:left w:val="none" w:sz="0" w:space="0" w:color="auto"/>
        <w:bottom w:val="none" w:sz="0" w:space="0" w:color="auto"/>
        <w:right w:val="none" w:sz="0" w:space="0" w:color="auto"/>
      </w:divBdr>
      <w:divsChild>
        <w:div w:id="25064021">
          <w:marLeft w:val="0"/>
          <w:marRight w:val="0"/>
          <w:marTop w:val="0"/>
          <w:marBottom w:val="0"/>
          <w:divBdr>
            <w:top w:val="none" w:sz="0" w:space="0" w:color="auto"/>
            <w:left w:val="none" w:sz="0" w:space="0" w:color="auto"/>
            <w:bottom w:val="none" w:sz="0" w:space="0" w:color="auto"/>
            <w:right w:val="none" w:sz="0" w:space="0" w:color="auto"/>
          </w:divBdr>
        </w:div>
      </w:divsChild>
    </w:div>
    <w:div w:id="1284654002">
      <w:bodyDiv w:val="1"/>
      <w:marLeft w:val="0"/>
      <w:marRight w:val="0"/>
      <w:marTop w:val="0"/>
      <w:marBottom w:val="0"/>
      <w:divBdr>
        <w:top w:val="none" w:sz="0" w:space="0" w:color="auto"/>
        <w:left w:val="none" w:sz="0" w:space="0" w:color="auto"/>
        <w:bottom w:val="none" w:sz="0" w:space="0" w:color="auto"/>
        <w:right w:val="none" w:sz="0" w:space="0" w:color="auto"/>
      </w:divBdr>
      <w:divsChild>
        <w:div w:id="689331592">
          <w:marLeft w:val="0"/>
          <w:marRight w:val="0"/>
          <w:marTop w:val="0"/>
          <w:marBottom w:val="0"/>
          <w:divBdr>
            <w:top w:val="none" w:sz="0" w:space="0" w:color="auto"/>
            <w:left w:val="none" w:sz="0" w:space="0" w:color="auto"/>
            <w:bottom w:val="none" w:sz="0" w:space="0" w:color="auto"/>
            <w:right w:val="none" w:sz="0" w:space="0" w:color="auto"/>
          </w:divBdr>
        </w:div>
      </w:divsChild>
    </w:div>
    <w:div w:id="1286159572">
      <w:bodyDiv w:val="1"/>
      <w:marLeft w:val="0"/>
      <w:marRight w:val="0"/>
      <w:marTop w:val="0"/>
      <w:marBottom w:val="0"/>
      <w:divBdr>
        <w:top w:val="none" w:sz="0" w:space="0" w:color="auto"/>
        <w:left w:val="none" w:sz="0" w:space="0" w:color="auto"/>
        <w:bottom w:val="none" w:sz="0" w:space="0" w:color="auto"/>
        <w:right w:val="none" w:sz="0" w:space="0" w:color="auto"/>
      </w:divBdr>
    </w:div>
    <w:div w:id="1293711991">
      <w:bodyDiv w:val="1"/>
      <w:marLeft w:val="0"/>
      <w:marRight w:val="0"/>
      <w:marTop w:val="0"/>
      <w:marBottom w:val="0"/>
      <w:divBdr>
        <w:top w:val="none" w:sz="0" w:space="0" w:color="auto"/>
        <w:left w:val="none" w:sz="0" w:space="0" w:color="auto"/>
        <w:bottom w:val="none" w:sz="0" w:space="0" w:color="auto"/>
        <w:right w:val="none" w:sz="0" w:space="0" w:color="auto"/>
      </w:divBdr>
    </w:div>
    <w:div w:id="1297757320">
      <w:bodyDiv w:val="1"/>
      <w:marLeft w:val="0"/>
      <w:marRight w:val="0"/>
      <w:marTop w:val="0"/>
      <w:marBottom w:val="0"/>
      <w:divBdr>
        <w:top w:val="none" w:sz="0" w:space="0" w:color="auto"/>
        <w:left w:val="none" w:sz="0" w:space="0" w:color="auto"/>
        <w:bottom w:val="none" w:sz="0" w:space="0" w:color="auto"/>
        <w:right w:val="none" w:sz="0" w:space="0" w:color="auto"/>
      </w:divBdr>
      <w:divsChild>
        <w:div w:id="213006442">
          <w:marLeft w:val="0"/>
          <w:marRight w:val="0"/>
          <w:marTop w:val="0"/>
          <w:marBottom w:val="0"/>
          <w:divBdr>
            <w:top w:val="none" w:sz="0" w:space="0" w:color="auto"/>
            <w:left w:val="none" w:sz="0" w:space="0" w:color="auto"/>
            <w:bottom w:val="none" w:sz="0" w:space="0" w:color="auto"/>
            <w:right w:val="none" w:sz="0" w:space="0" w:color="auto"/>
          </w:divBdr>
        </w:div>
        <w:div w:id="444542132">
          <w:marLeft w:val="0"/>
          <w:marRight w:val="0"/>
          <w:marTop w:val="0"/>
          <w:marBottom w:val="0"/>
          <w:divBdr>
            <w:top w:val="none" w:sz="0" w:space="0" w:color="auto"/>
            <w:left w:val="none" w:sz="0" w:space="0" w:color="auto"/>
            <w:bottom w:val="none" w:sz="0" w:space="0" w:color="auto"/>
            <w:right w:val="none" w:sz="0" w:space="0" w:color="auto"/>
          </w:divBdr>
        </w:div>
        <w:div w:id="1124538904">
          <w:marLeft w:val="0"/>
          <w:marRight w:val="0"/>
          <w:marTop w:val="0"/>
          <w:marBottom w:val="0"/>
          <w:divBdr>
            <w:top w:val="none" w:sz="0" w:space="0" w:color="auto"/>
            <w:left w:val="none" w:sz="0" w:space="0" w:color="auto"/>
            <w:bottom w:val="none" w:sz="0" w:space="0" w:color="auto"/>
            <w:right w:val="none" w:sz="0" w:space="0" w:color="auto"/>
          </w:divBdr>
        </w:div>
      </w:divsChild>
    </w:div>
    <w:div w:id="1299412814">
      <w:bodyDiv w:val="1"/>
      <w:marLeft w:val="0"/>
      <w:marRight w:val="0"/>
      <w:marTop w:val="0"/>
      <w:marBottom w:val="0"/>
      <w:divBdr>
        <w:top w:val="none" w:sz="0" w:space="0" w:color="auto"/>
        <w:left w:val="none" w:sz="0" w:space="0" w:color="auto"/>
        <w:bottom w:val="none" w:sz="0" w:space="0" w:color="auto"/>
        <w:right w:val="none" w:sz="0" w:space="0" w:color="auto"/>
      </w:divBdr>
    </w:div>
    <w:div w:id="1301380857">
      <w:bodyDiv w:val="1"/>
      <w:marLeft w:val="0"/>
      <w:marRight w:val="0"/>
      <w:marTop w:val="0"/>
      <w:marBottom w:val="0"/>
      <w:divBdr>
        <w:top w:val="none" w:sz="0" w:space="0" w:color="auto"/>
        <w:left w:val="none" w:sz="0" w:space="0" w:color="auto"/>
        <w:bottom w:val="none" w:sz="0" w:space="0" w:color="auto"/>
        <w:right w:val="none" w:sz="0" w:space="0" w:color="auto"/>
      </w:divBdr>
    </w:div>
    <w:div w:id="1301494368">
      <w:bodyDiv w:val="1"/>
      <w:marLeft w:val="0"/>
      <w:marRight w:val="0"/>
      <w:marTop w:val="0"/>
      <w:marBottom w:val="0"/>
      <w:divBdr>
        <w:top w:val="none" w:sz="0" w:space="0" w:color="auto"/>
        <w:left w:val="none" w:sz="0" w:space="0" w:color="auto"/>
        <w:bottom w:val="none" w:sz="0" w:space="0" w:color="auto"/>
        <w:right w:val="none" w:sz="0" w:space="0" w:color="auto"/>
      </w:divBdr>
    </w:div>
    <w:div w:id="1302734139">
      <w:bodyDiv w:val="1"/>
      <w:marLeft w:val="0"/>
      <w:marRight w:val="0"/>
      <w:marTop w:val="0"/>
      <w:marBottom w:val="0"/>
      <w:divBdr>
        <w:top w:val="none" w:sz="0" w:space="0" w:color="auto"/>
        <w:left w:val="none" w:sz="0" w:space="0" w:color="auto"/>
        <w:bottom w:val="none" w:sz="0" w:space="0" w:color="auto"/>
        <w:right w:val="none" w:sz="0" w:space="0" w:color="auto"/>
      </w:divBdr>
    </w:div>
    <w:div w:id="1302882985">
      <w:bodyDiv w:val="1"/>
      <w:marLeft w:val="0"/>
      <w:marRight w:val="0"/>
      <w:marTop w:val="0"/>
      <w:marBottom w:val="0"/>
      <w:divBdr>
        <w:top w:val="none" w:sz="0" w:space="0" w:color="auto"/>
        <w:left w:val="none" w:sz="0" w:space="0" w:color="auto"/>
        <w:bottom w:val="none" w:sz="0" w:space="0" w:color="auto"/>
        <w:right w:val="none" w:sz="0" w:space="0" w:color="auto"/>
      </w:divBdr>
      <w:divsChild>
        <w:div w:id="395710770">
          <w:marLeft w:val="0"/>
          <w:marRight w:val="0"/>
          <w:marTop w:val="0"/>
          <w:marBottom w:val="0"/>
          <w:divBdr>
            <w:top w:val="none" w:sz="0" w:space="0" w:color="auto"/>
            <w:left w:val="none" w:sz="0" w:space="0" w:color="auto"/>
            <w:bottom w:val="none" w:sz="0" w:space="0" w:color="auto"/>
            <w:right w:val="none" w:sz="0" w:space="0" w:color="auto"/>
          </w:divBdr>
        </w:div>
        <w:div w:id="638340109">
          <w:marLeft w:val="0"/>
          <w:marRight w:val="0"/>
          <w:marTop w:val="0"/>
          <w:marBottom w:val="0"/>
          <w:divBdr>
            <w:top w:val="none" w:sz="0" w:space="0" w:color="auto"/>
            <w:left w:val="none" w:sz="0" w:space="0" w:color="auto"/>
            <w:bottom w:val="none" w:sz="0" w:space="0" w:color="auto"/>
            <w:right w:val="none" w:sz="0" w:space="0" w:color="auto"/>
          </w:divBdr>
        </w:div>
        <w:div w:id="968318751">
          <w:marLeft w:val="0"/>
          <w:marRight w:val="0"/>
          <w:marTop w:val="0"/>
          <w:marBottom w:val="0"/>
          <w:divBdr>
            <w:top w:val="none" w:sz="0" w:space="0" w:color="auto"/>
            <w:left w:val="none" w:sz="0" w:space="0" w:color="auto"/>
            <w:bottom w:val="none" w:sz="0" w:space="0" w:color="auto"/>
            <w:right w:val="none" w:sz="0" w:space="0" w:color="auto"/>
          </w:divBdr>
        </w:div>
      </w:divsChild>
    </w:div>
    <w:div w:id="1303080075">
      <w:bodyDiv w:val="1"/>
      <w:marLeft w:val="0"/>
      <w:marRight w:val="0"/>
      <w:marTop w:val="0"/>
      <w:marBottom w:val="0"/>
      <w:divBdr>
        <w:top w:val="none" w:sz="0" w:space="0" w:color="auto"/>
        <w:left w:val="none" w:sz="0" w:space="0" w:color="auto"/>
        <w:bottom w:val="none" w:sz="0" w:space="0" w:color="auto"/>
        <w:right w:val="none" w:sz="0" w:space="0" w:color="auto"/>
      </w:divBdr>
    </w:div>
    <w:div w:id="1305542893">
      <w:bodyDiv w:val="1"/>
      <w:marLeft w:val="0"/>
      <w:marRight w:val="0"/>
      <w:marTop w:val="0"/>
      <w:marBottom w:val="0"/>
      <w:divBdr>
        <w:top w:val="none" w:sz="0" w:space="0" w:color="auto"/>
        <w:left w:val="none" w:sz="0" w:space="0" w:color="auto"/>
        <w:bottom w:val="none" w:sz="0" w:space="0" w:color="auto"/>
        <w:right w:val="none" w:sz="0" w:space="0" w:color="auto"/>
      </w:divBdr>
      <w:divsChild>
        <w:div w:id="218174723">
          <w:marLeft w:val="0"/>
          <w:marRight w:val="0"/>
          <w:marTop w:val="0"/>
          <w:marBottom w:val="0"/>
          <w:divBdr>
            <w:top w:val="none" w:sz="0" w:space="0" w:color="auto"/>
            <w:left w:val="none" w:sz="0" w:space="0" w:color="auto"/>
            <w:bottom w:val="none" w:sz="0" w:space="0" w:color="auto"/>
            <w:right w:val="none" w:sz="0" w:space="0" w:color="auto"/>
          </w:divBdr>
        </w:div>
        <w:div w:id="728110460">
          <w:marLeft w:val="0"/>
          <w:marRight w:val="0"/>
          <w:marTop w:val="0"/>
          <w:marBottom w:val="0"/>
          <w:divBdr>
            <w:top w:val="none" w:sz="0" w:space="0" w:color="auto"/>
            <w:left w:val="none" w:sz="0" w:space="0" w:color="auto"/>
            <w:bottom w:val="none" w:sz="0" w:space="0" w:color="auto"/>
            <w:right w:val="none" w:sz="0" w:space="0" w:color="auto"/>
          </w:divBdr>
        </w:div>
      </w:divsChild>
    </w:div>
    <w:div w:id="1316296714">
      <w:bodyDiv w:val="1"/>
      <w:marLeft w:val="0"/>
      <w:marRight w:val="0"/>
      <w:marTop w:val="0"/>
      <w:marBottom w:val="0"/>
      <w:divBdr>
        <w:top w:val="none" w:sz="0" w:space="0" w:color="auto"/>
        <w:left w:val="none" w:sz="0" w:space="0" w:color="auto"/>
        <w:bottom w:val="none" w:sz="0" w:space="0" w:color="auto"/>
        <w:right w:val="none" w:sz="0" w:space="0" w:color="auto"/>
      </w:divBdr>
      <w:divsChild>
        <w:div w:id="1034886207">
          <w:marLeft w:val="0"/>
          <w:marRight w:val="0"/>
          <w:marTop w:val="0"/>
          <w:marBottom w:val="0"/>
          <w:divBdr>
            <w:top w:val="none" w:sz="0" w:space="0" w:color="auto"/>
            <w:left w:val="none" w:sz="0" w:space="0" w:color="auto"/>
            <w:bottom w:val="none" w:sz="0" w:space="0" w:color="auto"/>
            <w:right w:val="none" w:sz="0" w:space="0" w:color="auto"/>
          </w:divBdr>
        </w:div>
        <w:div w:id="1073235661">
          <w:marLeft w:val="0"/>
          <w:marRight w:val="0"/>
          <w:marTop w:val="0"/>
          <w:marBottom w:val="0"/>
          <w:divBdr>
            <w:top w:val="none" w:sz="0" w:space="0" w:color="auto"/>
            <w:left w:val="none" w:sz="0" w:space="0" w:color="auto"/>
            <w:bottom w:val="none" w:sz="0" w:space="0" w:color="auto"/>
            <w:right w:val="none" w:sz="0" w:space="0" w:color="auto"/>
          </w:divBdr>
        </w:div>
      </w:divsChild>
    </w:div>
    <w:div w:id="1317107025">
      <w:bodyDiv w:val="1"/>
      <w:marLeft w:val="0"/>
      <w:marRight w:val="0"/>
      <w:marTop w:val="0"/>
      <w:marBottom w:val="0"/>
      <w:divBdr>
        <w:top w:val="none" w:sz="0" w:space="0" w:color="auto"/>
        <w:left w:val="none" w:sz="0" w:space="0" w:color="auto"/>
        <w:bottom w:val="none" w:sz="0" w:space="0" w:color="auto"/>
        <w:right w:val="none" w:sz="0" w:space="0" w:color="auto"/>
      </w:divBdr>
    </w:div>
    <w:div w:id="1321689548">
      <w:bodyDiv w:val="1"/>
      <w:marLeft w:val="0"/>
      <w:marRight w:val="0"/>
      <w:marTop w:val="0"/>
      <w:marBottom w:val="0"/>
      <w:divBdr>
        <w:top w:val="none" w:sz="0" w:space="0" w:color="auto"/>
        <w:left w:val="none" w:sz="0" w:space="0" w:color="auto"/>
        <w:bottom w:val="none" w:sz="0" w:space="0" w:color="auto"/>
        <w:right w:val="none" w:sz="0" w:space="0" w:color="auto"/>
      </w:divBdr>
    </w:div>
    <w:div w:id="1322467437">
      <w:bodyDiv w:val="1"/>
      <w:marLeft w:val="0"/>
      <w:marRight w:val="0"/>
      <w:marTop w:val="0"/>
      <w:marBottom w:val="0"/>
      <w:divBdr>
        <w:top w:val="none" w:sz="0" w:space="0" w:color="auto"/>
        <w:left w:val="none" w:sz="0" w:space="0" w:color="auto"/>
        <w:bottom w:val="none" w:sz="0" w:space="0" w:color="auto"/>
        <w:right w:val="none" w:sz="0" w:space="0" w:color="auto"/>
      </w:divBdr>
      <w:divsChild>
        <w:div w:id="436751561">
          <w:marLeft w:val="0"/>
          <w:marRight w:val="0"/>
          <w:marTop w:val="0"/>
          <w:marBottom w:val="0"/>
          <w:divBdr>
            <w:top w:val="none" w:sz="0" w:space="0" w:color="auto"/>
            <w:left w:val="none" w:sz="0" w:space="0" w:color="auto"/>
            <w:bottom w:val="none" w:sz="0" w:space="0" w:color="auto"/>
            <w:right w:val="none" w:sz="0" w:space="0" w:color="auto"/>
          </w:divBdr>
        </w:div>
        <w:div w:id="529298271">
          <w:marLeft w:val="0"/>
          <w:marRight w:val="0"/>
          <w:marTop w:val="0"/>
          <w:marBottom w:val="0"/>
          <w:divBdr>
            <w:top w:val="none" w:sz="0" w:space="0" w:color="auto"/>
            <w:left w:val="none" w:sz="0" w:space="0" w:color="auto"/>
            <w:bottom w:val="none" w:sz="0" w:space="0" w:color="auto"/>
            <w:right w:val="none" w:sz="0" w:space="0" w:color="auto"/>
          </w:divBdr>
        </w:div>
        <w:div w:id="714307686">
          <w:marLeft w:val="0"/>
          <w:marRight w:val="0"/>
          <w:marTop w:val="0"/>
          <w:marBottom w:val="0"/>
          <w:divBdr>
            <w:top w:val="none" w:sz="0" w:space="0" w:color="auto"/>
            <w:left w:val="none" w:sz="0" w:space="0" w:color="auto"/>
            <w:bottom w:val="none" w:sz="0" w:space="0" w:color="auto"/>
            <w:right w:val="none" w:sz="0" w:space="0" w:color="auto"/>
          </w:divBdr>
        </w:div>
      </w:divsChild>
    </w:div>
    <w:div w:id="1326974599">
      <w:bodyDiv w:val="1"/>
      <w:marLeft w:val="0"/>
      <w:marRight w:val="0"/>
      <w:marTop w:val="0"/>
      <w:marBottom w:val="0"/>
      <w:divBdr>
        <w:top w:val="none" w:sz="0" w:space="0" w:color="auto"/>
        <w:left w:val="none" w:sz="0" w:space="0" w:color="auto"/>
        <w:bottom w:val="none" w:sz="0" w:space="0" w:color="auto"/>
        <w:right w:val="none" w:sz="0" w:space="0" w:color="auto"/>
      </w:divBdr>
    </w:div>
    <w:div w:id="1328748244">
      <w:bodyDiv w:val="1"/>
      <w:marLeft w:val="0"/>
      <w:marRight w:val="0"/>
      <w:marTop w:val="0"/>
      <w:marBottom w:val="0"/>
      <w:divBdr>
        <w:top w:val="none" w:sz="0" w:space="0" w:color="auto"/>
        <w:left w:val="none" w:sz="0" w:space="0" w:color="auto"/>
        <w:bottom w:val="none" w:sz="0" w:space="0" w:color="auto"/>
        <w:right w:val="none" w:sz="0" w:space="0" w:color="auto"/>
      </w:divBdr>
      <w:divsChild>
        <w:div w:id="548152705">
          <w:marLeft w:val="0"/>
          <w:marRight w:val="0"/>
          <w:marTop w:val="0"/>
          <w:marBottom w:val="0"/>
          <w:divBdr>
            <w:top w:val="none" w:sz="0" w:space="0" w:color="auto"/>
            <w:left w:val="none" w:sz="0" w:space="0" w:color="auto"/>
            <w:bottom w:val="none" w:sz="0" w:space="0" w:color="auto"/>
            <w:right w:val="none" w:sz="0" w:space="0" w:color="auto"/>
          </w:divBdr>
        </w:div>
        <w:div w:id="1231187726">
          <w:marLeft w:val="0"/>
          <w:marRight w:val="0"/>
          <w:marTop w:val="0"/>
          <w:marBottom w:val="0"/>
          <w:divBdr>
            <w:top w:val="none" w:sz="0" w:space="0" w:color="auto"/>
            <w:left w:val="none" w:sz="0" w:space="0" w:color="auto"/>
            <w:bottom w:val="none" w:sz="0" w:space="0" w:color="auto"/>
            <w:right w:val="none" w:sz="0" w:space="0" w:color="auto"/>
          </w:divBdr>
        </w:div>
      </w:divsChild>
    </w:div>
    <w:div w:id="1329475950">
      <w:bodyDiv w:val="1"/>
      <w:marLeft w:val="0"/>
      <w:marRight w:val="0"/>
      <w:marTop w:val="0"/>
      <w:marBottom w:val="0"/>
      <w:divBdr>
        <w:top w:val="none" w:sz="0" w:space="0" w:color="auto"/>
        <w:left w:val="none" w:sz="0" w:space="0" w:color="auto"/>
        <w:bottom w:val="none" w:sz="0" w:space="0" w:color="auto"/>
        <w:right w:val="none" w:sz="0" w:space="0" w:color="auto"/>
      </w:divBdr>
    </w:div>
    <w:div w:id="1330212700">
      <w:bodyDiv w:val="1"/>
      <w:marLeft w:val="0"/>
      <w:marRight w:val="0"/>
      <w:marTop w:val="0"/>
      <w:marBottom w:val="0"/>
      <w:divBdr>
        <w:top w:val="none" w:sz="0" w:space="0" w:color="auto"/>
        <w:left w:val="none" w:sz="0" w:space="0" w:color="auto"/>
        <w:bottom w:val="none" w:sz="0" w:space="0" w:color="auto"/>
        <w:right w:val="none" w:sz="0" w:space="0" w:color="auto"/>
      </w:divBdr>
      <w:divsChild>
        <w:div w:id="869495438">
          <w:marLeft w:val="0"/>
          <w:marRight w:val="0"/>
          <w:marTop w:val="0"/>
          <w:marBottom w:val="0"/>
          <w:divBdr>
            <w:top w:val="none" w:sz="0" w:space="0" w:color="auto"/>
            <w:left w:val="none" w:sz="0" w:space="0" w:color="auto"/>
            <w:bottom w:val="none" w:sz="0" w:space="0" w:color="auto"/>
            <w:right w:val="none" w:sz="0" w:space="0" w:color="auto"/>
          </w:divBdr>
        </w:div>
        <w:div w:id="1701978988">
          <w:marLeft w:val="0"/>
          <w:marRight w:val="0"/>
          <w:marTop w:val="0"/>
          <w:marBottom w:val="0"/>
          <w:divBdr>
            <w:top w:val="none" w:sz="0" w:space="0" w:color="auto"/>
            <w:left w:val="none" w:sz="0" w:space="0" w:color="auto"/>
            <w:bottom w:val="none" w:sz="0" w:space="0" w:color="auto"/>
            <w:right w:val="none" w:sz="0" w:space="0" w:color="auto"/>
          </w:divBdr>
        </w:div>
        <w:div w:id="1750346654">
          <w:marLeft w:val="0"/>
          <w:marRight w:val="0"/>
          <w:marTop w:val="0"/>
          <w:marBottom w:val="0"/>
          <w:divBdr>
            <w:top w:val="none" w:sz="0" w:space="0" w:color="auto"/>
            <w:left w:val="none" w:sz="0" w:space="0" w:color="auto"/>
            <w:bottom w:val="none" w:sz="0" w:space="0" w:color="auto"/>
            <w:right w:val="none" w:sz="0" w:space="0" w:color="auto"/>
          </w:divBdr>
        </w:div>
      </w:divsChild>
    </w:div>
    <w:div w:id="1333098657">
      <w:bodyDiv w:val="1"/>
      <w:marLeft w:val="0"/>
      <w:marRight w:val="0"/>
      <w:marTop w:val="0"/>
      <w:marBottom w:val="0"/>
      <w:divBdr>
        <w:top w:val="none" w:sz="0" w:space="0" w:color="auto"/>
        <w:left w:val="none" w:sz="0" w:space="0" w:color="auto"/>
        <w:bottom w:val="none" w:sz="0" w:space="0" w:color="auto"/>
        <w:right w:val="none" w:sz="0" w:space="0" w:color="auto"/>
      </w:divBdr>
    </w:div>
    <w:div w:id="1333140187">
      <w:bodyDiv w:val="1"/>
      <w:marLeft w:val="0"/>
      <w:marRight w:val="0"/>
      <w:marTop w:val="0"/>
      <w:marBottom w:val="0"/>
      <w:divBdr>
        <w:top w:val="none" w:sz="0" w:space="0" w:color="auto"/>
        <w:left w:val="none" w:sz="0" w:space="0" w:color="auto"/>
        <w:bottom w:val="none" w:sz="0" w:space="0" w:color="auto"/>
        <w:right w:val="none" w:sz="0" w:space="0" w:color="auto"/>
      </w:divBdr>
      <w:divsChild>
        <w:div w:id="1256742770">
          <w:marLeft w:val="0"/>
          <w:marRight w:val="0"/>
          <w:marTop w:val="0"/>
          <w:marBottom w:val="0"/>
          <w:divBdr>
            <w:top w:val="none" w:sz="0" w:space="0" w:color="auto"/>
            <w:left w:val="none" w:sz="0" w:space="0" w:color="auto"/>
            <w:bottom w:val="none" w:sz="0" w:space="0" w:color="auto"/>
            <w:right w:val="none" w:sz="0" w:space="0" w:color="auto"/>
          </w:divBdr>
        </w:div>
      </w:divsChild>
    </w:div>
    <w:div w:id="1335063461">
      <w:bodyDiv w:val="1"/>
      <w:marLeft w:val="0"/>
      <w:marRight w:val="0"/>
      <w:marTop w:val="0"/>
      <w:marBottom w:val="0"/>
      <w:divBdr>
        <w:top w:val="none" w:sz="0" w:space="0" w:color="auto"/>
        <w:left w:val="none" w:sz="0" w:space="0" w:color="auto"/>
        <w:bottom w:val="none" w:sz="0" w:space="0" w:color="auto"/>
        <w:right w:val="none" w:sz="0" w:space="0" w:color="auto"/>
      </w:divBdr>
    </w:div>
    <w:div w:id="1335842654">
      <w:bodyDiv w:val="1"/>
      <w:marLeft w:val="0"/>
      <w:marRight w:val="0"/>
      <w:marTop w:val="0"/>
      <w:marBottom w:val="0"/>
      <w:divBdr>
        <w:top w:val="none" w:sz="0" w:space="0" w:color="auto"/>
        <w:left w:val="none" w:sz="0" w:space="0" w:color="auto"/>
        <w:bottom w:val="none" w:sz="0" w:space="0" w:color="auto"/>
        <w:right w:val="none" w:sz="0" w:space="0" w:color="auto"/>
      </w:divBdr>
    </w:div>
    <w:div w:id="1346207638">
      <w:bodyDiv w:val="1"/>
      <w:marLeft w:val="0"/>
      <w:marRight w:val="0"/>
      <w:marTop w:val="0"/>
      <w:marBottom w:val="0"/>
      <w:divBdr>
        <w:top w:val="none" w:sz="0" w:space="0" w:color="auto"/>
        <w:left w:val="none" w:sz="0" w:space="0" w:color="auto"/>
        <w:bottom w:val="none" w:sz="0" w:space="0" w:color="auto"/>
        <w:right w:val="none" w:sz="0" w:space="0" w:color="auto"/>
      </w:divBdr>
    </w:div>
    <w:div w:id="1347949896">
      <w:bodyDiv w:val="1"/>
      <w:marLeft w:val="0"/>
      <w:marRight w:val="0"/>
      <w:marTop w:val="0"/>
      <w:marBottom w:val="0"/>
      <w:divBdr>
        <w:top w:val="none" w:sz="0" w:space="0" w:color="auto"/>
        <w:left w:val="none" w:sz="0" w:space="0" w:color="auto"/>
        <w:bottom w:val="none" w:sz="0" w:space="0" w:color="auto"/>
        <w:right w:val="none" w:sz="0" w:space="0" w:color="auto"/>
      </w:divBdr>
    </w:div>
    <w:div w:id="1348142289">
      <w:bodyDiv w:val="1"/>
      <w:marLeft w:val="0"/>
      <w:marRight w:val="0"/>
      <w:marTop w:val="0"/>
      <w:marBottom w:val="0"/>
      <w:divBdr>
        <w:top w:val="none" w:sz="0" w:space="0" w:color="auto"/>
        <w:left w:val="none" w:sz="0" w:space="0" w:color="auto"/>
        <w:bottom w:val="none" w:sz="0" w:space="0" w:color="auto"/>
        <w:right w:val="none" w:sz="0" w:space="0" w:color="auto"/>
      </w:divBdr>
    </w:div>
    <w:div w:id="1352335719">
      <w:bodyDiv w:val="1"/>
      <w:marLeft w:val="0"/>
      <w:marRight w:val="0"/>
      <w:marTop w:val="0"/>
      <w:marBottom w:val="0"/>
      <w:divBdr>
        <w:top w:val="none" w:sz="0" w:space="0" w:color="auto"/>
        <w:left w:val="none" w:sz="0" w:space="0" w:color="auto"/>
        <w:bottom w:val="none" w:sz="0" w:space="0" w:color="auto"/>
        <w:right w:val="none" w:sz="0" w:space="0" w:color="auto"/>
      </w:divBdr>
    </w:div>
    <w:div w:id="1361970719">
      <w:bodyDiv w:val="1"/>
      <w:marLeft w:val="0"/>
      <w:marRight w:val="0"/>
      <w:marTop w:val="0"/>
      <w:marBottom w:val="0"/>
      <w:divBdr>
        <w:top w:val="none" w:sz="0" w:space="0" w:color="auto"/>
        <w:left w:val="none" w:sz="0" w:space="0" w:color="auto"/>
        <w:bottom w:val="none" w:sz="0" w:space="0" w:color="auto"/>
        <w:right w:val="none" w:sz="0" w:space="0" w:color="auto"/>
      </w:divBdr>
    </w:div>
    <w:div w:id="1362783518">
      <w:bodyDiv w:val="1"/>
      <w:marLeft w:val="0"/>
      <w:marRight w:val="0"/>
      <w:marTop w:val="0"/>
      <w:marBottom w:val="0"/>
      <w:divBdr>
        <w:top w:val="none" w:sz="0" w:space="0" w:color="auto"/>
        <w:left w:val="none" w:sz="0" w:space="0" w:color="auto"/>
        <w:bottom w:val="none" w:sz="0" w:space="0" w:color="auto"/>
        <w:right w:val="none" w:sz="0" w:space="0" w:color="auto"/>
      </w:divBdr>
    </w:div>
    <w:div w:id="1367757879">
      <w:bodyDiv w:val="1"/>
      <w:marLeft w:val="0"/>
      <w:marRight w:val="0"/>
      <w:marTop w:val="0"/>
      <w:marBottom w:val="0"/>
      <w:divBdr>
        <w:top w:val="none" w:sz="0" w:space="0" w:color="auto"/>
        <w:left w:val="none" w:sz="0" w:space="0" w:color="auto"/>
        <w:bottom w:val="none" w:sz="0" w:space="0" w:color="auto"/>
        <w:right w:val="none" w:sz="0" w:space="0" w:color="auto"/>
      </w:divBdr>
    </w:div>
    <w:div w:id="1369994061">
      <w:bodyDiv w:val="1"/>
      <w:marLeft w:val="0"/>
      <w:marRight w:val="0"/>
      <w:marTop w:val="0"/>
      <w:marBottom w:val="0"/>
      <w:divBdr>
        <w:top w:val="none" w:sz="0" w:space="0" w:color="auto"/>
        <w:left w:val="none" w:sz="0" w:space="0" w:color="auto"/>
        <w:bottom w:val="none" w:sz="0" w:space="0" w:color="auto"/>
        <w:right w:val="none" w:sz="0" w:space="0" w:color="auto"/>
      </w:divBdr>
    </w:div>
    <w:div w:id="1372144880">
      <w:bodyDiv w:val="1"/>
      <w:marLeft w:val="0"/>
      <w:marRight w:val="0"/>
      <w:marTop w:val="0"/>
      <w:marBottom w:val="0"/>
      <w:divBdr>
        <w:top w:val="none" w:sz="0" w:space="0" w:color="auto"/>
        <w:left w:val="none" w:sz="0" w:space="0" w:color="auto"/>
        <w:bottom w:val="none" w:sz="0" w:space="0" w:color="auto"/>
        <w:right w:val="none" w:sz="0" w:space="0" w:color="auto"/>
      </w:divBdr>
    </w:div>
    <w:div w:id="1376154946">
      <w:bodyDiv w:val="1"/>
      <w:marLeft w:val="0"/>
      <w:marRight w:val="0"/>
      <w:marTop w:val="0"/>
      <w:marBottom w:val="0"/>
      <w:divBdr>
        <w:top w:val="none" w:sz="0" w:space="0" w:color="auto"/>
        <w:left w:val="none" w:sz="0" w:space="0" w:color="auto"/>
        <w:bottom w:val="none" w:sz="0" w:space="0" w:color="auto"/>
        <w:right w:val="none" w:sz="0" w:space="0" w:color="auto"/>
      </w:divBdr>
      <w:divsChild>
        <w:div w:id="1006638534">
          <w:marLeft w:val="0"/>
          <w:marRight w:val="0"/>
          <w:marTop w:val="0"/>
          <w:marBottom w:val="0"/>
          <w:divBdr>
            <w:top w:val="none" w:sz="0" w:space="0" w:color="auto"/>
            <w:left w:val="none" w:sz="0" w:space="0" w:color="auto"/>
            <w:bottom w:val="none" w:sz="0" w:space="0" w:color="auto"/>
            <w:right w:val="none" w:sz="0" w:space="0" w:color="auto"/>
          </w:divBdr>
        </w:div>
        <w:div w:id="1717122757">
          <w:marLeft w:val="0"/>
          <w:marRight w:val="0"/>
          <w:marTop w:val="0"/>
          <w:marBottom w:val="0"/>
          <w:divBdr>
            <w:top w:val="none" w:sz="0" w:space="0" w:color="auto"/>
            <w:left w:val="none" w:sz="0" w:space="0" w:color="auto"/>
            <w:bottom w:val="none" w:sz="0" w:space="0" w:color="auto"/>
            <w:right w:val="none" w:sz="0" w:space="0" w:color="auto"/>
          </w:divBdr>
        </w:div>
      </w:divsChild>
    </w:div>
    <w:div w:id="1378436344">
      <w:bodyDiv w:val="1"/>
      <w:marLeft w:val="0"/>
      <w:marRight w:val="0"/>
      <w:marTop w:val="0"/>
      <w:marBottom w:val="0"/>
      <w:divBdr>
        <w:top w:val="none" w:sz="0" w:space="0" w:color="auto"/>
        <w:left w:val="none" w:sz="0" w:space="0" w:color="auto"/>
        <w:bottom w:val="none" w:sz="0" w:space="0" w:color="auto"/>
        <w:right w:val="none" w:sz="0" w:space="0" w:color="auto"/>
      </w:divBdr>
    </w:div>
    <w:div w:id="1378776016">
      <w:bodyDiv w:val="1"/>
      <w:marLeft w:val="0"/>
      <w:marRight w:val="0"/>
      <w:marTop w:val="0"/>
      <w:marBottom w:val="0"/>
      <w:divBdr>
        <w:top w:val="none" w:sz="0" w:space="0" w:color="auto"/>
        <w:left w:val="none" w:sz="0" w:space="0" w:color="auto"/>
        <w:bottom w:val="none" w:sz="0" w:space="0" w:color="auto"/>
        <w:right w:val="none" w:sz="0" w:space="0" w:color="auto"/>
      </w:divBdr>
      <w:divsChild>
        <w:div w:id="996568027">
          <w:marLeft w:val="0"/>
          <w:marRight w:val="0"/>
          <w:marTop w:val="0"/>
          <w:marBottom w:val="0"/>
          <w:divBdr>
            <w:top w:val="none" w:sz="0" w:space="0" w:color="auto"/>
            <w:left w:val="none" w:sz="0" w:space="0" w:color="auto"/>
            <w:bottom w:val="none" w:sz="0" w:space="0" w:color="auto"/>
            <w:right w:val="none" w:sz="0" w:space="0" w:color="auto"/>
          </w:divBdr>
        </w:div>
        <w:div w:id="1241134282">
          <w:marLeft w:val="0"/>
          <w:marRight w:val="0"/>
          <w:marTop w:val="0"/>
          <w:marBottom w:val="0"/>
          <w:divBdr>
            <w:top w:val="none" w:sz="0" w:space="0" w:color="auto"/>
            <w:left w:val="none" w:sz="0" w:space="0" w:color="auto"/>
            <w:bottom w:val="none" w:sz="0" w:space="0" w:color="auto"/>
            <w:right w:val="none" w:sz="0" w:space="0" w:color="auto"/>
          </w:divBdr>
        </w:div>
      </w:divsChild>
    </w:div>
    <w:div w:id="1380857360">
      <w:bodyDiv w:val="1"/>
      <w:marLeft w:val="0"/>
      <w:marRight w:val="0"/>
      <w:marTop w:val="0"/>
      <w:marBottom w:val="0"/>
      <w:divBdr>
        <w:top w:val="none" w:sz="0" w:space="0" w:color="auto"/>
        <w:left w:val="none" w:sz="0" w:space="0" w:color="auto"/>
        <w:bottom w:val="none" w:sz="0" w:space="0" w:color="auto"/>
        <w:right w:val="none" w:sz="0" w:space="0" w:color="auto"/>
      </w:divBdr>
      <w:divsChild>
        <w:div w:id="742065231">
          <w:marLeft w:val="0"/>
          <w:marRight w:val="0"/>
          <w:marTop w:val="0"/>
          <w:marBottom w:val="0"/>
          <w:divBdr>
            <w:top w:val="none" w:sz="0" w:space="0" w:color="auto"/>
            <w:left w:val="none" w:sz="0" w:space="0" w:color="auto"/>
            <w:bottom w:val="none" w:sz="0" w:space="0" w:color="auto"/>
            <w:right w:val="none" w:sz="0" w:space="0" w:color="auto"/>
          </w:divBdr>
          <w:divsChild>
            <w:div w:id="1624801277">
              <w:marLeft w:val="0"/>
              <w:marRight w:val="0"/>
              <w:marTop w:val="0"/>
              <w:marBottom w:val="0"/>
              <w:divBdr>
                <w:top w:val="none" w:sz="0" w:space="0" w:color="auto"/>
                <w:left w:val="none" w:sz="0" w:space="0" w:color="auto"/>
                <w:bottom w:val="none" w:sz="0" w:space="0" w:color="auto"/>
                <w:right w:val="none" w:sz="0" w:space="0" w:color="auto"/>
              </w:divBdr>
            </w:div>
          </w:divsChild>
        </w:div>
        <w:div w:id="1342318657">
          <w:marLeft w:val="0"/>
          <w:marRight w:val="0"/>
          <w:marTop w:val="0"/>
          <w:marBottom w:val="0"/>
          <w:divBdr>
            <w:top w:val="none" w:sz="0" w:space="0" w:color="auto"/>
            <w:left w:val="none" w:sz="0" w:space="0" w:color="auto"/>
            <w:bottom w:val="none" w:sz="0" w:space="0" w:color="auto"/>
            <w:right w:val="none" w:sz="0" w:space="0" w:color="auto"/>
          </w:divBdr>
        </w:div>
      </w:divsChild>
    </w:div>
    <w:div w:id="1383210848">
      <w:bodyDiv w:val="1"/>
      <w:marLeft w:val="0"/>
      <w:marRight w:val="0"/>
      <w:marTop w:val="0"/>
      <w:marBottom w:val="0"/>
      <w:divBdr>
        <w:top w:val="none" w:sz="0" w:space="0" w:color="auto"/>
        <w:left w:val="none" w:sz="0" w:space="0" w:color="auto"/>
        <w:bottom w:val="none" w:sz="0" w:space="0" w:color="auto"/>
        <w:right w:val="none" w:sz="0" w:space="0" w:color="auto"/>
      </w:divBdr>
      <w:divsChild>
        <w:div w:id="587469487">
          <w:marLeft w:val="0"/>
          <w:marRight w:val="0"/>
          <w:marTop w:val="0"/>
          <w:marBottom w:val="0"/>
          <w:divBdr>
            <w:top w:val="none" w:sz="0" w:space="0" w:color="auto"/>
            <w:left w:val="none" w:sz="0" w:space="0" w:color="auto"/>
            <w:bottom w:val="none" w:sz="0" w:space="0" w:color="auto"/>
            <w:right w:val="none" w:sz="0" w:space="0" w:color="auto"/>
          </w:divBdr>
        </w:div>
        <w:div w:id="1428504165">
          <w:marLeft w:val="0"/>
          <w:marRight w:val="0"/>
          <w:marTop w:val="0"/>
          <w:marBottom w:val="0"/>
          <w:divBdr>
            <w:top w:val="none" w:sz="0" w:space="0" w:color="auto"/>
            <w:left w:val="none" w:sz="0" w:space="0" w:color="auto"/>
            <w:bottom w:val="none" w:sz="0" w:space="0" w:color="auto"/>
            <w:right w:val="none" w:sz="0" w:space="0" w:color="auto"/>
          </w:divBdr>
        </w:div>
        <w:div w:id="1457676642">
          <w:marLeft w:val="0"/>
          <w:marRight w:val="0"/>
          <w:marTop w:val="0"/>
          <w:marBottom w:val="0"/>
          <w:divBdr>
            <w:top w:val="none" w:sz="0" w:space="0" w:color="auto"/>
            <w:left w:val="none" w:sz="0" w:space="0" w:color="auto"/>
            <w:bottom w:val="none" w:sz="0" w:space="0" w:color="auto"/>
            <w:right w:val="none" w:sz="0" w:space="0" w:color="auto"/>
          </w:divBdr>
        </w:div>
      </w:divsChild>
    </w:div>
    <w:div w:id="1384451673">
      <w:bodyDiv w:val="1"/>
      <w:marLeft w:val="0"/>
      <w:marRight w:val="0"/>
      <w:marTop w:val="0"/>
      <w:marBottom w:val="0"/>
      <w:divBdr>
        <w:top w:val="none" w:sz="0" w:space="0" w:color="auto"/>
        <w:left w:val="none" w:sz="0" w:space="0" w:color="auto"/>
        <w:bottom w:val="none" w:sz="0" w:space="0" w:color="auto"/>
        <w:right w:val="none" w:sz="0" w:space="0" w:color="auto"/>
      </w:divBdr>
    </w:div>
    <w:div w:id="1384602356">
      <w:bodyDiv w:val="1"/>
      <w:marLeft w:val="0"/>
      <w:marRight w:val="0"/>
      <w:marTop w:val="0"/>
      <w:marBottom w:val="0"/>
      <w:divBdr>
        <w:top w:val="none" w:sz="0" w:space="0" w:color="auto"/>
        <w:left w:val="none" w:sz="0" w:space="0" w:color="auto"/>
        <w:bottom w:val="none" w:sz="0" w:space="0" w:color="auto"/>
        <w:right w:val="none" w:sz="0" w:space="0" w:color="auto"/>
      </w:divBdr>
    </w:div>
    <w:div w:id="1388144479">
      <w:bodyDiv w:val="1"/>
      <w:marLeft w:val="0"/>
      <w:marRight w:val="0"/>
      <w:marTop w:val="0"/>
      <w:marBottom w:val="0"/>
      <w:divBdr>
        <w:top w:val="none" w:sz="0" w:space="0" w:color="auto"/>
        <w:left w:val="none" w:sz="0" w:space="0" w:color="auto"/>
        <w:bottom w:val="none" w:sz="0" w:space="0" w:color="auto"/>
        <w:right w:val="none" w:sz="0" w:space="0" w:color="auto"/>
      </w:divBdr>
      <w:divsChild>
        <w:div w:id="737479996">
          <w:marLeft w:val="0"/>
          <w:marRight w:val="0"/>
          <w:marTop w:val="0"/>
          <w:marBottom w:val="0"/>
          <w:divBdr>
            <w:top w:val="none" w:sz="0" w:space="0" w:color="auto"/>
            <w:left w:val="none" w:sz="0" w:space="0" w:color="auto"/>
            <w:bottom w:val="none" w:sz="0" w:space="0" w:color="auto"/>
            <w:right w:val="none" w:sz="0" w:space="0" w:color="auto"/>
          </w:divBdr>
        </w:div>
        <w:div w:id="915633625">
          <w:marLeft w:val="0"/>
          <w:marRight w:val="0"/>
          <w:marTop w:val="0"/>
          <w:marBottom w:val="0"/>
          <w:divBdr>
            <w:top w:val="none" w:sz="0" w:space="0" w:color="auto"/>
            <w:left w:val="none" w:sz="0" w:space="0" w:color="auto"/>
            <w:bottom w:val="none" w:sz="0" w:space="0" w:color="auto"/>
            <w:right w:val="none" w:sz="0" w:space="0" w:color="auto"/>
          </w:divBdr>
        </w:div>
        <w:div w:id="1005396298">
          <w:marLeft w:val="0"/>
          <w:marRight w:val="0"/>
          <w:marTop w:val="0"/>
          <w:marBottom w:val="0"/>
          <w:divBdr>
            <w:top w:val="none" w:sz="0" w:space="0" w:color="auto"/>
            <w:left w:val="none" w:sz="0" w:space="0" w:color="auto"/>
            <w:bottom w:val="none" w:sz="0" w:space="0" w:color="auto"/>
            <w:right w:val="none" w:sz="0" w:space="0" w:color="auto"/>
          </w:divBdr>
        </w:div>
      </w:divsChild>
    </w:div>
    <w:div w:id="1389649892">
      <w:bodyDiv w:val="1"/>
      <w:marLeft w:val="0"/>
      <w:marRight w:val="0"/>
      <w:marTop w:val="0"/>
      <w:marBottom w:val="0"/>
      <w:divBdr>
        <w:top w:val="none" w:sz="0" w:space="0" w:color="auto"/>
        <w:left w:val="none" w:sz="0" w:space="0" w:color="auto"/>
        <w:bottom w:val="none" w:sz="0" w:space="0" w:color="auto"/>
        <w:right w:val="none" w:sz="0" w:space="0" w:color="auto"/>
      </w:divBdr>
      <w:divsChild>
        <w:div w:id="446966996">
          <w:marLeft w:val="0"/>
          <w:marRight w:val="0"/>
          <w:marTop w:val="0"/>
          <w:marBottom w:val="0"/>
          <w:divBdr>
            <w:top w:val="none" w:sz="0" w:space="0" w:color="auto"/>
            <w:left w:val="none" w:sz="0" w:space="0" w:color="auto"/>
            <w:bottom w:val="none" w:sz="0" w:space="0" w:color="auto"/>
            <w:right w:val="none" w:sz="0" w:space="0" w:color="auto"/>
          </w:divBdr>
        </w:div>
        <w:div w:id="1474636151">
          <w:marLeft w:val="0"/>
          <w:marRight w:val="0"/>
          <w:marTop w:val="0"/>
          <w:marBottom w:val="0"/>
          <w:divBdr>
            <w:top w:val="none" w:sz="0" w:space="0" w:color="auto"/>
            <w:left w:val="none" w:sz="0" w:space="0" w:color="auto"/>
            <w:bottom w:val="none" w:sz="0" w:space="0" w:color="auto"/>
            <w:right w:val="none" w:sz="0" w:space="0" w:color="auto"/>
          </w:divBdr>
        </w:div>
      </w:divsChild>
    </w:div>
    <w:div w:id="1392733712">
      <w:bodyDiv w:val="1"/>
      <w:marLeft w:val="0"/>
      <w:marRight w:val="0"/>
      <w:marTop w:val="0"/>
      <w:marBottom w:val="0"/>
      <w:divBdr>
        <w:top w:val="none" w:sz="0" w:space="0" w:color="auto"/>
        <w:left w:val="none" w:sz="0" w:space="0" w:color="auto"/>
        <w:bottom w:val="none" w:sz="0" w:space="0" w:color="auto"/>
        <w:right w:val="none" w:sz="0" w:space="0" w:color="auto"/>
      </w:divBdr>
    </w:div>
    <w:div w:id="1394426801">
      <w:bodyDiv w:val="1"/>
      <w:marLeft w:val="0"/>
      <w:marRight w:val="0"/>
      <w:marTop w:val="0"/>
      <w:marBottom w:val="0"/>
      <w:divBdr>
        <w:top w:val="none" w:sz="0" w:space="0" w:color="auto"/>
        <w:left w:val="none" w:sz="0" w:space="0" w:color="auto"/>
        <w:bottom w:val="none" w:sz="0" w:space="0" w:color="auto"/>
        <w:right w:val="none" w:sz="0" w:space="0" w:color="auto"/>
      </w:divBdr>
      <w:divsChild>
        <w:div w:id="1009019089">
          <w:marLeft w:val="0"/>
          <w:marRight w:val="0"/>
          <w:marTop w:val="0"/>
          <w:marBottom w:val="0"/>
          <w:divBdr>
            <w:top w:val="none" w:sz="0" w:space="0" w:color="auto"/>
            <w:left w:val="none" w:sz="0" w:space="0" w:color="auto"/>
            <w:bottom w:val="none" w:sz="0" w:space="0" w:color="auto"/>
            <w:right w:val="none" w:sz="0" w:space="0" w:color="auto"/>
          </w:divBdr>
        </w:div>
        <w:div w:id="1410885591">
          <w:marLeft w:val="0"/>
          <w:marRight w:val="0"/>
          <w:marTop w:val="0"/>
          <w:marBottom w:val="0"/>
          <w:divBdr>
            <w:top w:val="none" w:sz="0" w:space="0" w:color="auto"/>
            <w:left w:val="none" w:sz="0" w:space="0" w:color="auto"/>
            <w:bottom w:val="none" w:sz="0" w:space="0" w:color="auto"/>
            <w:right w:val="none" w:sz="0" w:space="0" w:color="auto"/>
          </w:divBdr>
        </w:div>
      </w:divsChild>
    </w:div>
    <w:div w:id="1394500321">
      <w:bodyDiv w:val="1"/>
      <w:marLeft w:val="0"/>
      <w:marRight w:val="0"/>
      <w:marTop w:val="0"/>
      <w:marBottom w:val="0"/>
      <w:divBdr>
        <w:top w:val="none" w:sz="0" w:space="0" w:color="auto"/>
        <w:left w:val="none" w:sz="0" w:space="0" w:color="auto"/>
        <w:bottom w:val="none" w:sz="0" w:space="0" w:color="auto"/>
        <w:right w:val="none" w:sz="0" w:space="0" w:color="auto"/>
      </w:divBdr>
    </w:div>
    <w:div w:id="1396969745">
      <w:bodyDiv w:val="1"/>
      <w:marLeft w:val="0"/>
      <w:marRight w:val="0"/>
      <w:marTop w:val="0"/>
      <w:marBottom w:val="0"/>
      <w:divBdr>
        <w:top w:val="none" w:sz="0" w:space="0" w:color="auto"/>
        <w:left w:val="none" w:sz="0" w:space="0" w:color="auto"/>
        <w:bottom w:val="none" w:sz="0" w:space="0" w:color="auto"/>
        <w:right w:val="none" w:sz="0" w:space="0" w:color="auto"/>
      </w:divBdr>
    </w:div>
    <w:div w:id="1399552353">
      <w:bodyDiv w:val="1"/>
      <w:marLeft w:val="0"/>
      <w:marRight w:val="0"/>
      <w:marTop w:val="0"/>
      <w:marBottom w:val="0"/>
      <w:divBdr>
        <w:top w:val="none" w:sz="0" w:space="0" w:color="auto"/>
        <w:left w:val="none" w:sz="0" w:space="0" w:color="auto"/>
        <w:bottom w:val="none" w:sz="0" w:space="0" w:color="auto"/>
        <w:right w:val="none" w:sz="0" w:space="0" w:color="auto"/>
      </w:divBdr>
    </w:div>
    <w:div w:id="1399749347">
      <w:bodyDiv w:val="1"/>
      <w:marLeft w:val="0"/>
      <w:marRight w:val="0"/>
      <w:marTop w:val="0"/>
      <w:marBottom w:val="0"/>
      <w:divBdr>
        <w:top w:val="none" w:sz="0" w:space="0" w:color="auto"/>
        <w:left w:val="none" w:sz="0" w:space="0" w:color="auto"/>
        <w:bottom w:val="none" w:sz="0" w:space="0" w:color="auto"/>
        <w:right w:val="none" w:sz="0" w:space="0" w:color="auto"/>
      </w:divBdr>
    </w:div>
    <w:div w:id="1401322333">
      <w:bodyDiv w:val="1"/>
      <w:marLeft w:val="0"/>
      <w:marRight w:val="0"/>
      <w:marTop w:val="0"/>
      <w:marBottom w:val="0"/>
      <w:divBdr>
        <w:top w:val="none" w:sz="0" w:space="0" w:color="auto"/>
        <w:left w:val="none" w:sz="0" w:space="0" w:color="auto"/>
        <w:bottom w:val="none" w:sz="0" w:space="0" w:color="auto"/>
        <w:right w:val="none" w:sz="0" w:space="0" w:color="auto"/>
      </w:divBdr>
    </w:div>
    <w:div w:id="1404179800">
      <w:bodyDiv w:val="1"/>
      <w:marLeft w:val="0"/>
      <w:marRight w:val="0"/>
      <w:marTop w:val="0"/>
      <w:marBottom w:val="0"/>
      <w:divBdr>
        <w:top w:val="none" w:sz="0" w:space="0" w:color="auto"/>
        <w:left w:val="none" w:sz="0" w:space="0" w:color="auto"/>
        <w:bottom w:val="none" w:sz="0" w:space="0" w:color="auto"/>
        <w:right w:val="none" w:sz="0" w:space="0" w:color="auto"/>
      </w:divBdr>
    </w:div>
    <w:div w:id="1405184328">
      <w:bodyDiv w:val="1"/>
      <w:marLeft w:val="0"/>
      <w:marRight w:val="0"/>
      <w:marTop w:val="0"/>
      <w:marBottom w:val="0"/>
      <w:divBdr>
        <w:top w:val="none" w:sz="0" w:space="0" w:color="auto"/>
        <w:left w:val="none" w:sz="0" w:space="0" w:color="auto"/>
        <w:bottom w:val="none" w:sz="0" w:space="0" w:color="auto"/>
        <w:right w:val="none" w:sz="0" w:space="0" w:color="auto"/>
      </w:divBdr>
    </w:div>
    <w:div w:id="1407071252">
      <w:bodyDiv w:val="1"/>
      <w:marLeft w:val="0"/>
      <w:marRight w:val="0"/>
      <w:marTop w:val="0"/>
      <w:marBottom w:val="0"/>
      <w:divBdr>
        <w:top w:val="none" w:sz="0" w:space="0" w:color="auto"/>
        <w:left w:val="none" w:sz="0" w:space="0" w:color="auto"/>
        <w:bottom w:val="none" w:sz="0" w:space="0" w:color="auto"/>
        <w:right w:val="none" w:sz="0" w:space="0" w:color="auto"/>
      </w:divBdr>
    </w:div>
    <w:div w:id="1408455645">
      <w:bodyDiv w:val="1"/>
      <w:marLeft w:val="0"/>
      <w:marRight w:val="0"/>
      <w:marTop w:val="0"/>
      <w:marBottom w:val="0"/>
      <w:divBdr>
        <w:top w:val="none" w:sz="0" w:space="0" w:color="auto"/>
        <w:left w:val="none" w:sz="0" w:space="0" w:color="auto"/>
        <w:bottom w:val="none" w:sz="0" w:space="0" w:color="auto"/>
        <w:right w:val="none" w:sz="0" w:space="0" w:color="auto"/>
      </w:divBdr>
      <w:divsChild>
        <w:div w:id="975797045">
          <w:marLeft w:val="0"/>
          <w:marRight w:val="0"/>
          <w:marTop w:val="0"/>
          <w:marBottom w:val="0"/>
          <w:divBdr>
            <w:top w:val="none" w:sz="0" w:space="0" w:color="auto"/>
            <w:left w:val="none" w:sz="0" w:space="0" w:color="auto"/>
            <w:bottom w:val="none" w:sz="0" w:space="0" w:color="auto"/>
            <w:right w:val="none" w:sz="0" w:space="0" w:color="auto"/>
          </w:divBdr>
        </w:div>
        <w:div w:id="1432582248">
          <w:marLeft w:val="0"/>
          <w:marRight w:val="0"/>
          <w:marTop w:val="0"/>
          <w:marBottom w:val="0"/>
          <w:divBdr>
            <w:top w:val="none" w:sz="0" w:space="0" w:color="auto"/>
            <w:left w:val="none" w:sz="0" w:space="0" w:color="auto"/>
            <w:bottom w:val="none" w:sz="0" w:space="0" w:color="auto"/>
            <w:right w:val="none" w:sz="0" w:space="0" w:color="auto"/>
          </w:divBdr>
        </w:div>
      </w:divsChild>
    </w:div>
    <w:div w:id="1408459377">
      <w:bodyDiv w:val="1"/>
      <w:marLeft w:val="0"/>
      <w:marRight w:val="0"/>
      <w:marTop w:val="0"/>
      <w:marBottom w:val="0"/>
      <w:divBdr>
        <w:top w:val="none" w:sz="0" w:space="0" w:color="auto"/>
        <w:left w:val="none" w:sz="0" w:space="0" w:color="auto"/>
        <w:bottom w:val="none" w:sz="0" w:space="0" w:color="auto"/>
        <w:right w:val="none" w:sz="0" w:space="0" w:color="auto"/>
      </w:divBdr>
      <w:divsChild>
        <w:div w:id="450133937">
          <w:marLeft w:val="0"/>
          <w:marRight w:val="0"/>
          <w:marTop w:val="0"/>
          <w:marBottom w:val="0"/>
          <w:divBdr>
            <w:top w:val="none" w:sz="0" w:space="0" w:color="auto"/>
            <w:left w:val="none" w:sz="0" w:space="0" w:color="auto"/>
            <w:bottom w:val="none" w:sz="0" w:space="0" w:color="auto"/>
            <w:right w:val="none" w:sz="0" w:space="0" w:color="auto"/>
          </w:divBdr>
        </w:div>
        <w:div w:id="1507861947">
          <w:marLeft w:val="0"/>
          <w:marRight w:val="0"/>
          <w:marTop w:val="0"/>
          <w:marBottom w:val="0"/>
          <w:divBdr>
            <w:top w:val="none" w:sz="0" w:space="0" w:color="auto"/>
            <w:left w:val="none" w:sz="0" w:space="0" w:color="auto"/>
            <w:bottom w:val="none" w:sz="0" w:space="0" w:color="auto"/>
            <w:right w:val="none" w:sz="0" w:space="0" w:color="auto"/>
          </w:divBdr>
        </w:div>
      </w:divsChild>
    </w:div>
    <w:div w:id="1408653181">
      <w:bodyDiv w:val="1"/>
      <w:marLeft w:val="0"/>
      <w:marRight w:val="0"/>
      <w:marTop w:val="0"/>
      <w:marBottom w:val="0"/>
      <w:divBdr>
        <w:top w:val="none" w:sz="0" w:space="0" w:color="auto"/>
        <w:left w:val="none" w:sz="0" w:space="0" w:color="auto"/>
        <w:bottom w:val="none" w:sz="0" w:space="0" w:color="auto"/>
        <w:right w:val="none" w:sz="0" w:space="0" w:color="auto"/>
      </w:divBdr>
    </w:div>
    <w:div w:id="1411197325">
      <w:bodyDiv w:val="1"/>
      <w:marLeft w:val="0"/>
      <w:marRight w:val="0"/>
      <w:marTop w:val="0"/>
      <w:marBottom w:val="0"/>
      <w:divBdr>
        <w:top w:val="none" w:sz="0" w:space="0" w:color="auto"/>
        <w:left w:val="none" w:sz="0" w:space="0" w:color="auto"/>
        <w:bottom w:val="none" w:sz="0" w:space="0" w:color="auto"/>
        <w:right w:val="none" w:sz="0" w:space="0" w:color="auto"/>
      </w:divBdr>
    </w:div>
    <w:div w:id="1412432172">
      <w:bodyDiv w:val="1"/>
      <w:marLeft w:val="0"/>
      <w:marRight w:val="0"/>
      <w:marTop w:val="0"/>
      <w:marBottom w:val="0"/>
      <w:divBdr>
        <w:top w:val="none" w:sz="0" w:space="0" w:color="auto"/>
        <w:left w:val="none" w:sz="0" w:space="0" w:color="auto"/>
        <w:bottom w:val="none" w:sz="0" w:space="0" w:color="auto"/>
        <w:right w:val="none" w:sz="0" w:space="0" w:color="auto"/>
      </w:divBdr>
      <w:divsChild>
        <w:div w:id="83036221">
          <w:marLeft w:val="0"/>
          <w:marRight w:val="0"/>
          <w:marTop w:val="0"/>
          <w:marBottom w:val="0"/>
          <w:divBdr>
            <w:top w:val="none" w:sz="0" w:space="0" w:color="auto"/>
            <w:left w:val="none" w:sz="0" w:space="0" w:color="auto"/>
            <w:bottom w:val="none" w:sz="0" w:space="0" w:color="auto"/>
            <w:right w:val="none" w:sz="0" w:space="0" w:color="auto"/>
          </w:divBdr>
        </w:div>
        <w:div w:id="685714516">
          <w:marLeft w:val="0"/>
          <w:marRight w:val="0"/>
          <w:marTop w:val="0"/>
          <w:marBottom w:val="0"/>
          <w:divBdr>
            <w:top w:val="none" w:sz="0" w:space="0" w:color="auto"/>
            <w:left w:val="none" w:sz="0" w:space="0" w:color="auto"/>
            <w:bottom w:val="none" w:sz="0" w:space="0" w:color="auto"/>
            <w:right w:val="none" w:sz="0" w:space="0" w:color="auto"/>
          </w:divBdr>
        </w:div>
        <w:div w:id="895169505">
          <w:marLeft w:val="0"/>
          <w:marRight w:val="0"/>
          <w:marTop w:val="0"/>
          <w:marBottom w:val="0"/>
          <w:divBdr>
            <w:top w:val="none" w:sz="0" w:space="0" w:color="auto"/>
            <w:left w:val="none" w:sz="0" w:space="0" w:color="auto"/>
            <w:bottom w:val="none" w:sz="0" w:space="0" w:color="auto"/>
            <w:right w:val="none" w:sz="0" w:space="0" w:color="auto"/>
          </w:divBdr>
        </w:div>
        <w:div w:id="1977102486">
          <w:marLeft w:val="0"/>
          <w:marRight w:val="0"/>
          <w:marTop w:val="0"/>
          <w:marBottom w:val="0"/>
          <w:divBdr>
            <w:top w:val="none" w:sz="0" w:space="0" w:color="auto"/>
            <w:left w:val="none" w:sz="0" w:space="0" w:color="auto"/>
            <w:bottom w:val="none" w:sz="0" w:space="0" w:color="auto"/>
            <w:right w:val="none" w:sz="0" w:space="0" w:color="auto"/>
          </w:divBdr>
        </w:div>
      </w:divsChild>
    </w:div>
    <w:div w:id="1415012773">
      <w:bodyDiv w:val="1"/>
      <w:marLeft w:val="0"/>
      <w:marRight w:val="0"/>
      <w:marTop w:val="0"/>
      <w:marBottom w:val="0"/>
      <w:divBdr>
        <w:top w:val="none" w:sz="0" w:space="0" w:color="auto"/>
        <w:left w:val="none" w:sz="0" w:space="0" w:color="auto"/>
        <w:bottom w:val="none" w:sz="0" w:space="0" w:color="auto"/>
        <w:right w:val="none" w:sz="0" w:space="0" w:color="auto"/>
      </w:divBdr>
      <w:divsChild>
        <w:div w:id="672147704">
          <w:marLeft w:val="0"/>
          <w:marRight w:val="0"/>
          <w:marTop w:val="0"/>
          <w:marBottom w:val="0"/>
          <w:divBdr>
            <w:top w:val="none" w:sz="0" w:space="0" w:color="auto"/>
            <w:left w:val="none" w:sz="0" w:space="0" w:color="auto"/>
            <w:bottom w:val="none" w:sz="0" w:space="0" w:color="auto"/>
            <w:right w:val="none" w:sz="0" w:space="0" w:color="auto"/>
          </w:divBdr>
        </w:div>
        <w:div w:id="1484353386">
          <w:marLeft w:val="0"/>
          <w:marRight w:val="0"/>
          <w:marTop w:val="0"/>
          <w:marBottom w:val="0"/>
          <w:divBdr>
            <w:top w:val="none" w:sz="0" w:space="0" w:color="auto"/>
            <w:left w:val="none" w:sz="0" w:space="0" w:color="auto"/>
            <w:bottom w:val="none" w:sz="0" w:space="0" w:color="auto"/>
            <w:right w:val="none" w:sz="0" w:space="0" w:color="auto"/>
          </w:divBdr>
        </w:div>
      </w:divsChild>
    </w:div>
    <w:div w:id="1419326469">
      <w:bodyDiv w:val="1"/>
      <w:marLeft w:val="0"/>
      <w:marRight w:val="0"/>
      <w:marTop w:val="0"/>
      <w:marBottom w:val="0"/>
      <w:divBdr>
        <w:top w:val="none" w:sz="0" w:space="0" w:color="auto"/>
        <w:left w:val="none" w:sz="0" w:space="0" w:color="auto"/>
        <w:bottom w:val="none" w:sz="0" w:space="0" w:color="auto"/>
        <w:right w:val="none" w:sz="0" w:space="0" w:color="auto"/>
      </w:divBdr>
    </w:div>
    <w:div w:id="1419326863">
      <w:bodyDiv w:val="1"/>
      <w:marLeft w:val="0"/>
      <w:marRight w:val="0"/>
      <w:marTop w:val="0"/>
      <w:marBottom w:val="0"/>
      <w:divBdr>
        <w:top w:val="none" w:sz="0" w:space="0" w:color="auto"/>
        <w:left w:val="none" w:sz="0" w:space="0" w:color="auto"/>
        <w:bottom w:val="none" w:sz="0" w:space="0" w:color="auto"/>
        <w:right w:val="none" w:sz="0" w:space="0" w:color="auto"/>
      </w:divBdr>
    </w:div>
    <w:div w:id="1425762641">
      <w:bodyDiv w:val="1"/>
      <w:marLeft w:val="0"/>
      <w:marRight w:val="0"/>
      <w:marTop w:val="0"/>
      <w:marBottom w:val="0"/>
      <w:divBdr>
        <w:top w:val="none" w:sz="0" w:space="0" w:color="auto"/>
        <w:left w:val="none" w:sz="0" w:space="0" w:color="auto"/>
        <w:bottom w:val="none" w:sz="0" w:space="0" w:color="auto"/>
        <w:right w:val="none" w:sz="0" w:space="0" w:color="auto"/>
      </w:divBdr>
      <w:divsChild>
        <w:div w:id="464468090">
          <w:marLeft w:val="0"/>
          <w:marRight w:val="0"/>
          <w:marTop w:val="0"/>
          <w:marBottom w:val="0"/>
          <w:divBdr>
            <w:top w:val="none" w:sz="0" w:space="0" w:color="auto"/>
            <w:left w:val="none" w:sz="0" w:space="0" w:color="auto"/>
            <w:bottom w:val="none" w:sz="0" w:space="0" w:color="auto"/>
            <w:right w:val="none" w:sz="0" w:space="0" w:color="auto"/>
          </w:divBdr>
        </w:div>
        <w:div w:id="833296618">
          <w:marLeft w:val="0"/>
          <w:marRight w:val="0"/>
          <w:marTop w:val="0"/>
          <w:marBottom w:val="0"/>
          <w:divBdr>
            <w:top w:val="none" w:sz="0" w:space="0" w:color="auto"/>
            <w:left w:val="none" w:sz="0" w:space="0" w:color="auto"/>
            <w:bottom w:val="none" w:sz="0" w:space="0" w:color="auto"/>
            <w:right w:val="none" w:sz="0" w:space="0" w:color="auto"/>
          </w:divBdr>
        </w:div>
      </w:divsChild>
    </w:div>
    <w:div w:id="1427574573">
      <w:bodyDiv w:val="1"/>
      <w:marLeft w:val="0"/>
      <w:marRight w:val="0"/>
      <w:marTop w:val="0"/>
      <w:marBottom w:val="0"/>
      <w:divBdr>
        <w:top w:val="none" w:sz="0" w:space="0" w:color="auto"/>
        <w:left w:val="none" w:sz="0" w:space="0" w:color="auto"/>
        <w:bottom w:val="none" w:sz="0" w:space="0" w:color="auto"/>
        <w:right w:val="none" w:sz="0" w:space="0" w:color="auto"/>
      </w:divBdr>
    </w:div>
    <w:div w:id="1428423032">
      <w:bodyDiv w:val="1"/>
      <w:marLeft w:val="0"/>
      <w:marRight w:val="0"/>
      <w:marTop w:val="0"/>
      <w:marBottom w:val="0"/>
      <w:divBdr>
        <w:top w:val="none" w:sz="0" w:space="0" w:color="auto"/>
        <w:left w:val="none" w:sz="0" w:space="0" w:color="auto"/>
        <w:bottom w:val="none" w:sz="0" w:space="0" w:color="auto"/>
        <w:right w:val="none" w:sz="0" w:space="0" w:color="auto"/>
      </w:divBdr>
      <w:divsChild>
        <w:div w:id="373119443">
          <w:marLeft w:val="0"/>
          <w:marRight w:val="0"/>
          <w:marTop w:val="0"/>
          <w:marBottom w:val="0"/>
          <w:divBdr>
            <w:top w:val="none" w:sz="0" w:space="0" w:color="auto"/>
            <w:left w:val="none" w:sz="0" w:space="0" w:color="auto"/>
            <w:bottom w:val="none" w:sz="0" w:space="0" w:color="auto"/>
            <w:right w:val="none" w:sz="0" w:space="0" w:color="auto"/>
          </w:divBdr>
        </w:div>
        <w:div w:id="501357228">
          <w:marLeft w:val="0"/>
          <w:marRight w:val="0"/>
          <w:marTop w:val="0"/>
          <w:marBottom w:val="0"/>
          <w:divBdr>
            <w:top w:val="none" w:sz="0" w:space="0" w:color="auto"/>
            <w:left w:val="none" w:sz="0" w:space="0" w:color="auto"/>
            <w:bottom w:val="none" w:sz="0" w:space="0" w:color="auto"/>
            <w:right w:val="none" w:sz="0" w:space="0" w:color="auto"/>
          </w:divBdr>
        </w:div>
        <w:div w:id="2098553476">
          <w:marLeft w:val="0"/>
          <w:marRight w:val="0"/>
          <w:marTop w:val="0"/>
          <w:marBottom w:val="0"/>
          <w:divBdr>
            <w:top w:val="none" w:sz="0" w:space="0" w:color="auto"/>
            <w:left w:val="none" w:sz="0" w:space="0" w:color="auto"/>
            <w:bottom w:val="none" w:sz="0" w:space="0" w:color="auto"/>
            <w:right w:val="none" w:sz="0" w:space="0" w:color="auto"/>
          </w:divBdr>
        </w:div>
      </w:divsChild>
    </w:div>
    <w:div w:id="1428890933">
      <w:bodyDiv w:val="1"/>
      <w:marLeft w:val="0"/>
      <w:marRight w:val="0"/>
      <w:marTop w:val="0"/>
      <w:marBottom w:val="0"/>
      <w:divBdr>
        <w:top w:val="none" w:sz="0" w:space="0" w:color="auto"/>
        <w:left w:val="none" w:sz="0" w:space="0" w:color="auto"/>
        <w:bottom w:val="none" w:sz="0" w:space="0" w:color="auto"/>
        <w:right w:val="none" w:sz="0" w:space="0" w:color="auto"/>
      </w:divBdr>
      <w:divsChild>
        <w:div w:id="24671319">
          <w:marLeft w:val="0"/>
          <w:marRight w:val="0"/>
          <w:marTop w:val="0"/>
          <w:marBottom w:val="0"/>
          <w:divBdr>
            <w:top w:val="none" w:sz="0" w:space="0" w:color="auto"/>
            <w:left w:val="none" w:sz="0" w:space="0" w:color="auto"/>
            <w:bottom w:val="none" w:sz="0" w:space="0" w:color="auto"/>
            <w:right w:val="none" w:sz="0" w:space="0" w:color="auto"/>
          </w:divBdr>
        </w:div>
        <w:div w:id="42949121">
          <w:marLeft w:val="0"/>
          <w:marRight w:val="0"/>
          <w:marTop w:val="0"/>
          <w:marBottom w:val="0"/>
          <w:divBdr>
            <w:top w:val="none" w:sz="0" w:space="0" w:color="auto"/>
            <w:left w:val="none" w:sz="0" w:space="0" w:color="auto"/>
            <w:bottom w:val="none" w:sz="0" w:space="0" w:color="auto"/>
            <w:right w:val="none" w:sz="0" w:space="0" w:color="auto"/>
          </w:divBdr>
        </w:div>
        <w:div w:id="891111696">
          <w:marLeft w:val="0"/>
          <w:marRight w:val="0"/>
          <w:marTop w:val="0"/>
          <w:marBottom w:val="0"/>
          <w:divBdr>
            <w:top w:val="none" w:sz="0" w:space="0" w:color="auto"/>
            <w:left w:val="none" w:sz="0" w:space="0" w:color="auto"/>
            <w:bottom w:val="none" w:sz="0" w:space="0" w:color="auto"/>
            <w:right w:val="none" w:sz="0" w:space="0" w:color="auto"/>
          </w:divBdr>
        </w:div>
        <w:div w:id="1620720358">
          <w:marLeft w:val="0"/>
          <w:marRight w:val="0"/>
          <w:marTop w:val="0"/>
          <w:marBottom w:val="0"/>
          <w:divBdr>
            <w:top w:val="none" w:sz="0" w:space="0" w:color="auto"/>
            <w:left w:val="none" w:sz="0" w:space="0" w:color="auto"/>
            <w:bottom w:val="none" w:sz="0" w:space="0" w:color="auto"/>
            <w:right w:val="none" w:sz="0" w:space="0" w:color="auto"/>
          </w:divBdr>
        </w:div>
        <w:div w:id="1812870520">
          <w:marLeft w:val="0"/>
          <w:marRight w:val="0"/>
          <w:marTop w:val="0"/>
          <w:marBottom w:val="0"/>
          <w:divBdr>
            <w:top w:val="none" w:sz="0" w:space="0" w:color="auto"/>
            <w:left w:val="none" w:sz="0" w:space="0" w:color="auto"/>
            <w:bottom w:val="none" w:sz="0" w:space="0" w:color="auto"/>
            <w:right w:val="none" w:sz="0" w:space="0" w:color="auto"/>
          </w:divBdr>
        </w:div>
      </w:divsChild>
    </w:div>
    <w:div w:id="1436094499">
      <w:bodyDiv w:val="1"/>
      <w:marLeft w:val="0"/>
      <w:marRight w:val="0"/>
      <w:marTop w:val="0"/>
      <w:marBottom w:val="0"/>
      <w:divBdr>
        <w:top w:val="none" w:sz="0" w:space="0" w:color="auto"/>
        <w:left w:val="none" w:sz="0" w:space="0" w:color="auto"/>
        <w:bottom w:val="none" w:sz="0" w:space="0" w:color="auto"/>
        <w:right w:val="none" w:sz="0" w:space="0" w:color="auto"/>
      </w:divBdr>
    </w:div>
    <w:div w:id="1441607221">
      <w:bodyDiv w:val="1"/>
      <w:marLeft w:val="0"/>
      <w:marRight w:val="0"/>
      <w:marTop w:val="0"/>
      <w:marBottom w:val="0"/>
      <w:divBdr>
        <w:top w:val="none" w:sz="0" w:space="0" w:color="auto"/>
        <w:left w:val="none" w:sz="0" w:space="0" w:color="auto"/>
        <w:bottom w:val="none" w:sz="0" w:space="0" w:color="auto"/>
        <w:right w:val="none" w:sz="0" w:space="0" w:color="auto"/>
      </w:divBdr>
    </w:div>
    <w:div w:id="1443453461">
      <w:bodyDiv w:val="1"/>
      <w:marLeft w:val="0"/>
      <w:marRight w:val="0"/>
      <w:marTop w:val="0"/>
      <w:marBottom w:val="0"/>
      <w:divBdr>
        <w:top w:val="none" w:sz="0" w:space="0" w:color="auto"/>
        <w:left w:val="none" w:sz="0" w:space="0" w:color="auto"/>
        <w:bottom w:val="none" w:sz="0" w:space="0" w:color="auto"/>
        <w:right w:val="none" w:sz="0" w:space="0" w:color="auto"/>
      </w:divBdr>
      <w:divsChild>
        <w:div w:id="1569609563">
          <w:marLeft w:val="0"/>
          <w:marRight w:val="0"/>
          <w:marTop w:val="0"/>
          <w:marBottom w:val="0"/>
          <w:divBdr>
            <w:top w:val="none" w:sz="0" w:space="0" w:color="auto"/>
            <w:left w:val="none" w:sz="0" w:space="0" w:color="auto"/>
            <w:bottom w:val="none" w:sz="0" w:space="0" w:color="auto"/>
            <w:right w:val="none" w:sz="0" w:space="0" w:color="auto"/>
          </w:divBdr>
        </w:div>
        <w:div w:id="2001031429">
          <w:marLeft w:val="0"/>
          <w:marRight w:val="0"/>
          <w:marTop w:val="0"/>
          <w:marBottom w:val="0"/>
          <w:divBdr>
            <w:top w:val="none" w:sz="0" w:space="0" w:color="auto"/>
            <w:left w:val="none" w:sz="0" w:space="0" w:color="auto"/>
            <w:bottom w:val="none" w:sz="0" w:space="0" w:color="auto"/>
            <w:right w:val="none" w:sz="0" w:space="0" w:color="auto"/>
          </w:divBdr>
        </w:div>
      </w:divsChild>
    </w:div>
    <w:div w:id="1446538514">
      <w:bodyDiv w:val="1"/>
      <w:marLeft w:val="0"/>
      <w:marRight w:val="0"/>
      <w:marTop w:val="0"/>
      <w:marBottom w:val="0"/>
      <w:divBdr>
        <w:top w:val="none" w:sz="0" w:space="0" w:color="auto"/>
        <w:left w:val="none" w:sz="0" w:space="0" w:color="auto"/>
        <w:bottom w:val="none" w:sz="0" w:space="0" w:color="auto"/>
        <w:right w:val="none" w:sz="0" w:space="0" w:color="auto"/>
      </w:divBdr>
      <w:divsChild>
        <w:div w:id="252859403">
          <w:marLeft w:val="0"/>
          <w:marRight w:val="0"/>
          <w:marTop w:val="0"/>
          <w:marBottom w:val="0"/>
          <w:divBdr>
            <w:top w:val="none" w:sz="0" w:space="0" w:color="auto"/>
            <w:left w:val="none" w:sz="0" w:space="0" w:color="auto"/>
            <w:bottom w:val="none" w:sz="0" w:space="0" w:color="auto"/>
            <w:right w:val="none" w:sz="0" w:space="0" w:color="auto"/>
          </w:divBdr>
        </w:div>
        <w:div w:id="1543399994">
          <w:marLeft w:val="0"/>
          <w:marRight w:val="0"/>
          <w:marTop w:val="0"/>
          <w:marBottom w:val="0"/>
          <w:divBdr>
            <w:top w:val="none" w:sz="0" w:space="0" w:color="auto"/>
            <w:left w:val="none" w:sz="0" w:space="0" w:color="auto"/>
            <w:bottom w:val="none" w:sz="0" w:space="0" w:color="auto"/>
            <w:right w:val="none" w:sz="0" w:space="0" w:color="auto"/>
          </w:divBdr>
        </w:div>
      </w:divsChild>
    </w:div>
    <w:div w:id="1447196369">
      <w:bodyDiv w:val="1"/>
      <w:marLeft w:val="0"/>
      <w:marRight w:val="0"/>
      <w:marTop w:val="0"/>
      <w:marBottom w:val="0"/>
      <w:divBdr>
        <w:top w:val="none" w:sz="0" w:space="0" w:color="auto"/>
        <w:left w:val="none" w:sz="0" w:space="0" w:color="auto"/>
        <w:bottom w:val="none" w:sz="0" w:space="0" w:color="auto"/>
        <w:right w:val="none" w:sz="0" w:space="0" w:color="auto"/>
      </w:divBdr>
      <w:divsChild>
        <w:div w:id="1825731648">
          <w:marLeft w:val="0"/>
          <w:marRight w:val="0"/>
          <w:marTop w:val="0"/>
          <w:marBottom w:val="0"/>
          <w:divBdr>
            <w:top w:val="none" w:sz="0" w:space="0" w:color="auto"/>
            <w:left w:val="none" w:sz="0" w:space="0" w:color="auto"/>
            <w:bottom w:val="none" w:sz="0" w:space="0" w:color="auto"/>
            <w:right w:val="none" w:sz="0" w:space="0" w:color="auto"/>
          </w:divBdr>
        </w:div>
        <w:div w:id="1838691634">
          <w:marLeft w:val="0"/>
          <w:marRight w:val="0"/>
          <w:marTop w:val="0"/>
          <w:marBottom w:val="0"/>
          <w:divBdr>
            <w:top w:val="none" w:sz="0" w:space="0" w:color="auto"/>
            <w:left w:val="none" w:sz="0" w:space="0" w:color="auto"/>
            <w:bottom w:val="none" w:sz="0" w:space="0" w:color="auto"/>
            <w:right w:val="none" w:sz="0" w:space="0" w:color="auto"/>
          </w:divBdr>
        </w:div>
      </w:divsChild>
    </w:div>
    <w:div w:id="1454637426">
      <w:bodyDiv w:val="1"/>
      <w:marLeft w:val="0"/>
      <w:marRight w:val="0"/>
      <w:marTop w:val="0"/>
      <w:marBottom w:val="0"/>
      <w:divBdr>
        <w:top w:val="none" w:sz="0" w:space="0" w:color="auto"/>
        <w:left w:val="none" w:sz="0" w:space="0" w:color="auto"/>
        <w:bottom w:val="none" w:sz="0" w:space="0" w:color="auto"/>
        <w:right w:val="none" w:sz="0" w:space="0" w:color="auto"/>
      </w:divBdr>
    </w:div>
    <w:div w:id="1454709357">
      <w:bodyDiv w:val="1"/>
      <w:marLeft w:val="0"/>
      <w:marRight w:val="0"/>
      <w:marTop w:val="0"/>
      <w:marBottom w:val="0"/>
      <w:divBdr>
        <w:top w:val="none" w:sz="0" w:space="0" w:color="auto"/>
        <w:left w:val="none" w:sz="0" w:space="0" w:color="auto"/>
        <w:bottom w:val="none" w:sz="0" w:space="0" w:color="auto"/>
        <w:right w:val="none" w:sz="0" w:space="0" w:color="auto"/>
      </w:divBdr>
      <w:divsChild>
        <w:div w:id="167058397">
          <w:marLeft w:val="0"/>
          <w:marRight w:val="0"/>
          <w:marTop w:val="0"/>
          <w:marBottom w:val="0"/>
          <w:divBdr>
            <w:top w:val="none" w:sz="0" w:space="0" w:color="auto"/>
            <w:left w:val="none" w:sz="0" w:space="0" w:color="auto"/>
            <w:bottom w:val="none" w:sz="0" w:space="0" w:color="auto"/>
            <w:right w:val="none" w:sz="0" w:space="0" w:color="auto"/>
          </w:divBdr>
          <w:divsChild>
            <w:div w:id="199249912">
              <w:marLeft w:val="0"/>
              <w:marRight w:val="0"/>
              <w:marTop w:val="0"/>
              <w:marBottom w:val="0"/>
              <w:divBdr>
                <w:top w:val="none" w:sz="0" w:space="0" w:color="auto"/>
                <w:left w:val="none" w:sz="0" w:space="0" w:color="auto"/>
                <w:bottom w:val="none" w:sz="0" w:space="0" w:color="auto"/>
                <w:right w:val="none" w:sz="0" w:space="0" w:color="auto"/>
              </w:divBdr>
              <w:divsChild>
                <w:div w:id="28796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4573504">
          <w:marLeft w:val="0"/>
          <w:marRight w:val="0"/>
          <w:marTop w:val="0"/>
          <w:marBottom w:val="0"/>
          <w:divBdr>
            <w:top w:val="none" w:sz="0" w:space="0" w:color="auto"/>
            <w:left w:val="none" w:sz="0" w:space="0" w:color="auto"/>
            <w:bottom w:val="none" w:sz="0" w:space="0" w:color="auto"/>
            <w:right w:val="none" w:sz="0" w:space="0" w:color="auto"/>
          </w:divBdr>
          <w:divsChild>
            <w:div w:id="2007509320">
              <w:marLeft w:val="0"/>
              <w:marRight w:val="0"/>
              <w:marTop w:val="0"/>
              <w:marBottom w:val="0"/>
              <w:divBdr>
                <w:top w:val="none" w:sz="0" w:space="0" w:color="auto"/>
                <w:left w:val="none" w:sz="0" w:space="0" w:color="auto"/>
                <w:bottom w:val="none" w:sz="0" w:space="0" w:color="auto"/>
                <w:right w:val="none" w:sz="0" w:space="0" w:color="auto"/>
              </w:divBdr>
              <w:divsChild>
                <w:div w:id="1242256006">
                  <w:marLeft w:val="0"/>
                  <w:marRight w:val="0"/>
                  <w:marTop w:val="0"/>
                  <w:marBottom w:val="0"/>
                  <w:divBdr>
                    <w:top w:val="none" w:sz="0" w:space="0" w:color="auto"/>
                    <w:left w:val="none" w:sz="0" w:space="0" w:color="auto"/>
                    <w:bottom w:val="none" w:sz="0" w:space="0" w:color="auto"/>
                    <w:right w:val="none" w:sz="0" w:space="0" w:color="auto"/>
                  </w:divBdr>
                </w:div>
                <w:div w:id="1586643232">
                  <w:marLeft w:val="0"/>
                  <w:marRight w:val="0"/>
                  <w:marTop w:val="0"/>
                  <w:marBottom w:val="0"/>
                  <w:divBdr>
                    <w:top w:val="none" w:sz="0" w:space="0" w:color="auto"/>
                    <w:left w:val="none" w:sz="0" w:space="0" w:color="auto"/>
                    <w:bottom w:val="none" w:sz="0" w:space="0" w:color="auto"/>
                    <w:right w:val="none" w:sz="0" w:space="0" w:color="auto"/>
                  </w:divBdr>
                  <w:divsChild>
                    <w:div w:id="439758683">
                      <w:marLeft w:val="0"/>
                      <w:marRight w:val="0"/>
                      <w:marTop w:val="0"/>
                      <w:marBottom w:val="0"/>
                      <w:divBdr>
                        <w:top w:val="none" w:sz="0" w:space="0" w:color="auto"/>
                        <w:left w:val="none" w:sz="0" w:space="0" w:color="auto"/>
                        <w:bottom w:val="none" w:sz="0" w:space="0" w:color="auto"/>
                        <w:right w:val="none" w:sz="0" w:space="0" w:color="auto"/>
                      </w:divBdr>
                    </w:div>
                    <w:div w:id="1832720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8205000">
          <w:marLeft w:val="0"/>
          <w:marRight w:val="0"/>
          <w:marTop w:val="0"/>
          <w:marBottom w:val="0"/>
          <w:divBdr>
            <w:top w:val="none" w:sz="0" w:space="0" w:color="auto"/>
            <w:left w:val="none" w:sz="0" w:space="0" w:color="auto"/>
            <w:bottom w:val="none" w:sz="0" w:space="0" w:color="auto"/>
            <w:right w:val="none" w:sz="0" w:space="0" w:color="auto"/>
          </w:divBdr>
          <w:divsChild>
            <w:div w:id="628895309">
              <w:marLeft w:val="0"/>
              <w:marRight w:val="0"/>
              <w:marTop w:val="0"/>
              <w:marBottom w:val="0"/>
              <w:divBdr>
                <w:top w:val="none" w:sz="0" w:space="0" w:color="auto"/>
                <w:left w:val="none" w:sz="0" w:space="0" w:color="auto"/>
                <w:bottom w:val="none" w:sz="0" w:space="0" w:color="auto"/>
                <w:right w:val="none" w:sz="0" w:space="0" w:color="auto"/>
              </w:divBdr>
              <w:divsChild>
                <w:div w:id="19544808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8790673">
      <w:bodyDiv w:val="1"/>
      <w:marLeft w:val="0"/>
      <w:marRight w:val="0"/>
      <w:marTop w:val="0"/>
      <w:marBottom w:val="0"/>
      <w:divBdr>
        <w:top w:val="none" w:sz="0" w:space="0" w:color="auto"/>
        <w:left w:val="none" w:sz="0" w:space="0" w:color="auto"/>
        <w:bottom w:val="none" w:sz="0" w:space="0" w:color="auto"/>
        <w:right w:val="none" w:sz="0" w:space="0" w:color="auto"/>
      </w:divBdr>
      <w:divsChild>
        <w:div w:id="42561148">
          <w:marLeft w:val="0"/>
          <w:marRight w:val="0"/>
          <w:marTop w:val="0"/>
          <w:marBottom w:val="0"/>
          <w:divBdr>
            <w:top w:val="none" w:sz="0" w:space="0" w:color="auto"/>
            <w:left w:val="none" w:sz="0" w:space="0" w:color="auto"/>
            <w:bottom w:val="none" w:sz="0" w:space="0" w:color="auto"/>
            <w:right w:val="none" w:sz="0" w:space="0" w:color="auto"/>
          </w:divBdr>
        </w:div>
        <w:div w:id="943920182">
          <w:marLeft w:val="0"/>
          <w:marRight w:val="0"/>
          <w:marTop w:val="0"/>
          <w:marBottom w:val="0"/>
          <w:divBdr>
            <w:top w:val="none" w:sz="0" w:space="0" w:color="auto"/>
            <w:left w:val="none" w:sz="0" w:space="0" w:color="auto"/>
            <w:bottom w:val="none" w:sz="0" w:space="0" w:color="auto"/>
            <w:right w:val="none" w:sz="0" w:space="0" w:color="auto"/>
          </w:divBdr>
        </w:div>
      </w:divsChild>
    </w:div>
    <w:div w:id="1462193693">
      <w:bodyDiv w:val="1"/>
      <w:marLeft w:val="0"/>
      <w:marRight w:val="0"/>
      <w:marTop w:val="0"/>
      <w:marBottom w:val="0"/>
      <w:divBdr>
        <w:top w:val="none" w:sz="0" w:space="0" w:color="auto"/>
        <w:left w:val="none" w:sz="0" w:space="0" w:color="auto"/>
        <w:bottom w:val="none" w:sz="0" w:space="0" w:color="auto"/>
        <w:right w:val="none" w:sz="0" w:space="0" w:color="auto"/>
      </w:divBdr>
    </w:div>
    <w:div w:id="1471291916">
      <w:bodyDiv w:val="1"/>
      <w:marLeft w:val="0"/>
      <w:marRight w:val="0"/>
      <w:marTop w:val="0"/>
      <w:marBottom w:val="0"/>
      <w:divBdr>
        <w:top w:val="none" w:sz="0" w:space="0" w:color="auto"/>
        <w:left w:val="none" w:sz="0" w:space="0" w:color="auto"/>
        <w:bottom w:val="none" w:sz="0" w:space="0" w:color="auto"/>
        <w:right w:val="none" w:sz="0" w:space="0" w:color="auto"/>
      </w:divBdr>
      <w:divsChild>
        <w:div w:id="521474007">
          <w:marLeft w:val="0"/>
          <w:marRight w:val="0"/>
          <w:marTop w:val="0"/>
          <w:marBottom w:val="0"/>
          <w:divBdr>
            <w:top w:val="none" w:sz="0" w:space="0" w:color="auto"/>
            <w:left w:val="none" w:sz="0" w:space="0" w:color="auto"/>
            <w:bottom w:val="none" w:sz="0" w:space="0" w:color="auto"/>
            <w:right w:val="none" w:sz="0" w:space="0" w:color="auto"/>
          </w:divBdr>
        </w:div>
        <w:div w:id="1240022116">
          <w:marLeft w:val="0"/>
          <w:marRight w:val="0"/>
          <w:marTop w:val="0"/>
          <w:marBottom w:val="0"/>
          <w:divBdr>
            <w:top w:val="none" w:sz="0" w:space="0" w:color="auto"/>
            <w:left w:val="none" w:sz="0" w:space="0" w:color="auto"/>
            <w:bottom w:val="none" w:sz="0" w:space="0" w:color="auto"/>
            <w:right w:val="none" w:sz="0" w:space="0" w:color="auto"/>
          </w:divBdr>
        </w:div>
      </w:divsChild>
    </w:div>
    <w:div w:id="1474060522">
      <w:bodyDiv w:val="1"/>
      <w:marLeft w:val="0"/>
      <w:marRight w:val="0"/>
      <w:marTop w:val="0"/>
      <w:marBottom w:val="0"/>
      <w:divBdr>
        <w:top w:val="none" w:sz="0" w:space="0" w:color="auto"/>
        <w:left w:val="none" w:sz="0" w:space="0" w:color="auto"/>
        <w:bottom w:val="none" w:sz="0" w:space="0" w:color="auto"/>
        <w:right w:val="none" w:sz="0" w:space="0" w:color="auto"/>
      </w:divBdr>
      <w:divsChild>
        <w:div w:id="1179927019">
          <w:marLeft w:val="0"/>
          <w:marRight w:val="0"/>
          <w:marTop w:val="0"/>
          <w:marBottom w:val="0"/>
          <w:divBdr>
            <w:top w:val="none" w:sz="0" w:space="0" w:color="auto"/>
            <w:left w:val="none" w:sz="0" w:space="0" w:color="auto"/>
            <w:bottom w:val="none" w:sz="0" w:space="0" w:color="auto"/>
            <w:right w:val="none" w:sz="0" w:space="0" w:color="auto"/>
          </w:divBdr>
        </w:div>
        <w:div w:id="1910573559">
          <w:marLeft w:val="0"/>
          <w:marRight w:val="0"/>
          <w:marTop w:val="0"/>
          <w:marBottom w:val="0"/>
          <w:divBdr>
            <w:top w:val="none" w:sz="0" w:space="0" w:color="auto"/>
            <w:left w:val="none" w:sz="0" w:space="0" w:color="auto"/>
            <w:bottom w:val="none" w:sz="0" w:space="0" w:color="auto"/>
            <w:right w:val="none" w:sz="0" w:space="0" w:color="auto"/>
          </w:divBdr>
        </w:div>
      </w:divsChild>
    </w:div>
    <w:div w:id="1474130643">
      <w:bodyDiv w:val="1"/>
      <w:marLeft w:val="0"/>
      <w:marRight w:val="0"/>
      <w:marTop w:val="0"/>
      <w:marBottom w:val="0"/>
      <w:divBdr>
        <w:top w:val="none" w:sz="0" w:space="0" w:color="auto"/>
        <w:left w:val="none" w:sz="0" w:space="0" w:color="auto"/>
        <w:bottom w:val="none" w:sz="0" w:space="0" w:color="auto"/>
        <w:right w:val="none" w:sz="0" w:space="0" w:color="auto"/>
      </w:divBdr>
    </w:div>
    <w:div w:id="1475181097">
      <w:bodyDiv w:val="1"/>
      <w:marLeft w:val="0"/>
      <w:marRight w:val="0"/>
      <w:marTop w:val="0"/>
      <w:marBottom w:val="0"/>
      <w:divBdr>
        <w:top w:val="none" w:sz="0" w:space="0" w:color="auto"/>
        <w:left w:val="none" w:sz="0" w:space="0" w:color="auto"/>
        <w:bottom w:val="none" w:sz="0" w:space="0" w:color="auto"/>
        <w:right w:val="none" w:sz="0" w:space="0" w:color="auto"/>
      </w:divBdr>
    </w:div>
    <w:div w:id="1483234279">
      <w:bodyDiv w:val="1"/>
      <w:marLeft w:val="0"/>
      <w:marRight w:val="0"/>
      <w:marTop w:val="0"/>
      <w:marBottom w:val="0"/>
      <w:divBdr>
        <w:top w:val="none" w:sz="0" w:space="0" w:color="auto"/>
        <w:left w:val="none" w:sz="0" w:space="0" w:color="auto"/>
        <w:bottom w:val="none" w:sz="0" w:space="0" w:color="auto"/>
        <w:right w:val="none" w:sz="0" w:space="0" w:color="auto"/>
      </w:divBdr>
    </w:div>
    <w:div w:id="1483307667">
      <w:bodyDiv w:val="1"/>
      <w:marLeft w:val="0"/>
      <w:marRight w:val="0"/>
      <w:marTop w:val="0"/>
      <w:marBottom w:val="0"/>
      <w:divBdr>
        <w:top w:val="none" w:sz="0" w:space="0" w:color="auto"/>
        <w:left w:val="none" w:sz="0" w:space="0" w:color="auto"/>
        <w:bottom w:val="none" w:sz="0" w:space="0" w:color="auto"/>
        <w:right w:val="none" w:sz="0" w:space="0" w:color="auto"/>
      </w:divBdr>
    </w:div>
    <w:div w:id="1486431995">
      <w:bodyDiv w:val="1"/>
      <w:marLeft w:val="0"/>
      <w:marRight w:val="0"/>
      <w:marTop w:val="0"/>
      <w:marBottom w:val="0"/>
      <w:divBdr>
        <w:top w:val="none" w:sz="0" w:space="0" w:color="auto"/>
        <w:left w:val="none" w:sz="0" w:space="0" w:color="auto"/>
        <w:bottom w:val="none" w:sz="0" w:space="0" w:color="auto"/>
        <w:right w:val="none" w:sz="0" w:space="0" w:color="auto"/>
      </w:divBdr>
      <w:divsChild>
        <w:div w:id="122584405">
          <w:marLeft w:val="0"/>
          <w:marRight w:val="0"/>
          <w:marTop w:val="0"/>
          <w:marBottom w:val="0"/>
          <w:divBdr>
            <w:top w:val="none" w:sz="0" w:space="0" w:color="auto"/>
            <w:left w:val="none" w:sz="0" w:space="0" w:color="auto"/>
            <w:bottom w:val="none" w:sz="0" w:space="0" w:color="auto"/>
            <w:right w:val="none" w:sz="0" w:space="0" w:color="auto"/>
          </w:divBdr>
        </w:div>
      </w:divsChild>
    </w:div>
    <w:div w:id="1486976110">
      <w:bodyDiv w:val="1"/>
      <w:marLeft w:val="0"/>
      <w:marRight w:val="0"/>
      <w:marTop w:val="0"/>
      <w:marBottom w:val="0"/>
      <w:divBdr>
        <w:top w:val="none" w:sz="0" w:space="0" w:color="auto"/>
        <w:left w:val="none" w:sz="0" w:space="0" w:color="auto"/>
        <w:bottom w:val="none" w:sz="0" w:space="0" w:color="auto"/>
        <w:right w:val="none" w:sz="0" w:space="0" w:color="auto"/>
      </w:divBdr>
      <w:divsChild>
        <w:div w:id="492137332">
          <w:marLeft w:val="0"/>
          <w:marRight w:val="0"/>
          <w:marTop w:val="0"/>
          <w:marBottom w:val="0"/>
          <w:divBdr>
            <w:top w:val="none" w:sz="0" w:space="0" w:color="auto"/>
            <w:left w:val="none" w:sz="0" w:space="0" w:color="auto"/>
            <w:bottom w:val="none" w:sz="0" w:space="0" w:color="auto"/>
            <w:right w:val="none" w:sz="0" w:space="0" w:color="auto"/>
          </w:divBdr>
        </w:div>
        <w:div w:id="1573587809">
          <w:marLeft w:val="0"/>
          <w:marRight w:val="0"/>
          <w:marTop w:val="0"/>
          <w:marBottom w:val="0"/>
          <w:divBdr>
            <w:top w:val="none" w:sz="0" w:space="0" w:color="auto"/>
            <w:left w:val="none" w:sz="0" w:space="0" w:color="auto"/>
            <w:bottom w:val="none" w:sz="0" w:space="0" w:color="auto"/>
            <w:right w:val="none" w:sz="0" w:space="0" w:color="auto"/>
          </w:divBdr>
        </w:div>
      </w:divsChild>
    </w:div>
    <w:div w:id="1487479177">
      <w:bodyDiv w:val="1"/>
      <w:marLeft w:val="0"/>
      <w:marRight w:val="0"/>
      <w:marTop w:val="0"/>
      <w:marBottom w:val="0"/>
      <w:divBdr>
        <w:top w:val="none" w:sz="0" w:space="0" w:color="auto"/>
        <w:left w:val="none" w:sz="0" w:space="0" w:color="auto"/>
        <w:bottom w:val="none" w:sz="0" w:space="0" w:color="auto"/>
        <w:right w:val="none" w:sz="0" w:space="0" w:color="auto"/>
      </w:divBdr>
      <w:divsChild>
        <w:div w:id="905338995">
          <w:marLeft w:val="0"/>
          <w:marRight w:val="0"/>
          <w:marTop w:val="0"/>
          <w:marBottom w:val="0"/>
          <w:divBdr>
            <w:top w:val="none" w:sz="0" w:space="0" w:color="auto"/>
            <w:left w:val="none" w:sz="0" w:space="0" w:color="auto"/>
            <w:bottom w:val="none" w:sz="0" w:space="0" w:color="auto"/>
            <w:right w:val="none" w:sz="0" w:space="0" w:color="auto"/>
          </w:divBdr>
        </w:div>
        <w:div w:id="977615685">
          <w:marLeft w:val="0"/>
          <w:marRight w:val="0"/>
          <w:marTop w:val="0"/>
          <w:marBottom w:val="0"/>
          <w:divBdr>
            <w:top w:val="none" w:sz="0" w:space="0" w:color="auto"/>
            <w:left w:val="none" w:sz="0" w:space="0" w:color="auto"/>
            <w:bottom w:val="none" w:sz="0" w:space="0" w:color="auto"/>
            <w:right w:val="none" w:sz="0" w:space="0" w:color="auto"/>
          </w:divBdr>
        </w:div>
      </w:divsChild>
    </w:div>
    <w:div w:id="1488354956">
      <w:bodyDiv w:val="1"/>
      <w:marLeft w:val="0"/>
      <w:marRight w:val="0"/>
      <w:marTop w:val="0"/>
      <w:marBottom w:val="0"/>
      <w:divBdr>
        <w:top w:val="none" w:sz="0" w:space="0" w:color="auto"/>
        <w:left w:val="none" w:sz="0" w:space="0" w:color="auto"/>
        <w:bottom w:val="none" w:sz="0" w:space="0" w:color="auto"/>
        <w:right w:val="none" w:sz="0" w:space="0" w:color="auto"/>
      </w:divBdr>
      <w:divsChild>
        <w:div w:id="1537698479">
          <w:marLeft w:val="0"/>
          <w:marRight w:val="0"/>
          <w:marTop w:val="0"/>
          <w:marBottom w:val="0"/>
          <w:divBdr>
            <w:top w:val="none" w:sz="0" w:space="0" w:color="auto"/>
            <w:left w:val="none" w:sz="0" w:space="0" w:color="auto"/>
            <w:bottom w:val="none" w:sz="0" w:space="0" w:color="auto"/>
            <w:right w:val="none" w:sz="0" w:space="0" w:color="auto"/>
          </w:divBdr>
        </w:div>
      </w:divsChild>
    </w:div>
    <w:div w:id="1489058158">
      <w:bodyDiv w:val="1"/>
      <w:marLeft w:val="0"/>
      <w:marRight w:val="0"/>
      <w:marTop w:val="0"/>
      <w:marBottom w:val="0"/>
      <w:divBdr>
        <w:top w:val="none" w:sz="0" w:space="0" w:color="auto"/>
        <w:left w:val="none" w:sz="0" w:space="0" w:color="auto"/>
        <w:bottom w:val="none" w:sz="0" w:space="0" w:color="auto"/>
        <w:right w:val="none" w:sz="0" w:space="0" w:color="auto"/>
      </w:divBdr>
    </w:div>
    <w:div w:id="1492717111">
      <w:bodyDiv w:val="1"/>
      <w:marLeft w:val="0"/>
      <w:marRight w:val="0"/>
      <w:marTop w:val="0"/>
      <w:marBottom w:val="0"/>
      <w:divBdr>
        <w:top w:val="none" w:sz="0" w:space="0" w:color="auto"/>
        <w:left w:val="none" w:sz="0" w:space="0" w:color="auto"/>
        <w:bottom w:val="none" w:sz="0" w:space="0" w:color="auto"/>
        <w:right w:val="none" w:sz="0" w:space="0" w:color="auto"/>
      </w:divBdr>
    </w:div>
    <w:div w:id="1493178257">
      <w:bodyDiv w:val="1"/>
      <w:marLeft w:val="0"/>
      <w:marRight w:val="0"/>
      <w:marTop w:val="0"/>
      <w:marBottom w:val="0"/>
      <w:divBdr>
        <w:top w:val="none" w:sz="0" w:space="0" w:color="auto"/>
        <w:left w:val="none" w:sz="0" w:space="0" w:color="auto"/>
        <w:bottom w:val="none" w:sz="0" w:space="0" w:color="auto"/>
        <w:right w:val="none" w:sz="0" w:space="0" w:color="auto"/>
      </w:divBdr>
    </w:div>
    <w:div w:id="1494222435">
      <w:bodyDiv w:val="1"/>
      <w:marLeft w:val="0"/>
      <w:marRight w:val="0"/>
      <w:marTop w:val="0"/>
      <w:marBottom w:val="0"/>
      <w:divBdr>
        <w:top w:val="none" w:sz="0" w:space="0" w:color="auto"/>
        <w:left w:val="none" w:sz="0" w:space="0" w:color="auto"/>
        <w:bottom w:val="none" w:sz="0" w:space="0" w:color="auto"/>
        <w:right w:val="none" w:sz="0" w:space="0" w:color="auto"/>
      </w:divBdr>
    </w:div>
    <w:div w:id="1495606030">
      <w:bodyDiv w:val="1"/>
      <w:marLeft w:val="0"/>
      <w:marRight w:val="0"/>
      <w:marTop w:val="0"/>
      <w:marBottom w:val="0"/>
      <w:divBdr>
        <w:top w:val="none" w:sz="0" w:space="0" w:color="auto"/>
        <w:left w:val="none" w:sz="0" w:space="0" w:color="auto"/>
        <w:bottom w:val="none" w:sz="0" w:space="0" w:color="auto"/>
        <w:right w:val="none" w:sz="0" w:space="0" w:color="auto"/>
      </w:divBdr>
    </w:div>
    <w:div w:id="1496922440">
      <w:bodyDiv w:val="1"/>
      <w:marLeft w:val="0"/>
      <w:marRight w:val="0"/>
      <w:marTop w:val="0"/>
      <w:marBottom w:val="0"/>
      <w:divBdr>
        <w:top w:val="none" w:sz="0" w:space="0" w:color="auto"/>
        <w:left w:val="none" w:sz="0" w:space="0" w:color="auto"/>
        <w:bottom w:val="none" w:sz="0" w:space="0" w:color="auto"/>
        <w:right w:val="none" w:sz="0" w:space="0" w:color="auto"/>
      </w:divBdr>
    </w:div>
    <w:div w:id="1508863948">
      <w:bodyDiv w:val="1"/>
      <w:marLeft w:val="0"/>
      <w:marRight w:val="0"/>
      <w:marTop w:val="0"/>
      <w:marBottom w:val="0"/>
      <w:divBdr>
        <w:top w:val="none" w:sz="0" w:space="0" w:color="auto"/>
        <w:left w:val="none" w:sz="0" w:space="0" w:color="auto"/>
        <w:bottom w:val="none" w:sz="0" w:space="0" w:color="auto"/>
        <w:right w:val="none" w:sz="0" w:space="0" w:color="auto"/>
      </w:divBdr>
      <w:divsChild>
        <w:div w:id="635642612">
          <w:marLeft w:val="0"/>
          <w:marRight w:val="0"/>
          <w:marTop w:val="0"/>
          <w:marBottom w:val="0"/>
          <w:divBdr>
            <w:top w:val="none" w:sz="0" w:space="0" w:color="auto"/>
            <w:left w:val="none" w:sz="0" w:space="0" w:color="auto"/>
            <w:bottom w:val="none" w:sz="0" w:space="0" w:color="auto"/>
            <w:right w:val="none" w:sz="0" w:space="0" w:color="auto"/>
          </w:divBdr>
        </w:div>
        <w:div w:id="2111007577">
          <w:marLeft w:val="0"/>
          <w:marRight w:val="0"/>
          <w:marTop w:val="0"/>
          <w:marBottom w:val="0"/>
          <w:divBdr>
            <w:top w:val="none" w:sz="0" w:space="0" w:color="auto"/>
            <w:left w:val="none" w:sz="0" w:space="0" w:color="auto"/>
            <w:bottom w:val="none" w:sz="0" w:space="0" w:color="auto"/>
            <w:right w:val="none" w:sz="0" w:space="0" w:color="auto"/>
          </w:divBdr>
        </w:div>
      </w:divsChild>
    </w:div>
    <w:div w:id="1509245982">
      <w:bodyDiv w:val="1"/>
      <w:marLeft w:val="0"/>
      <w:marRight w:val="0"/>
      <w:marTop w:val="0"/>
      <w:marBottom w:val="0"/>
      <w:divBdr>
        <w:top w:val="none" w:sz="0" w:space="0" w:color="auto"/>
        <w:left w:val="none" w:sz="0" w:space="0" w:color="auto"/>
        <w:bottom w:val="none" w:sz="0" w:space="0" w:color="auto"/>
        <w:right w:val="none" w:sz="0" w:space="0" w:color="auto"/>
      </w:divBdr>
      <w:divsChild>
        <w:div w:id="505753092">
          <w:marLeft w:val="0"/>
          <w:marRight w:val="0"/>
          <w:marTop w:val="0"/>
          <w:marBottom w:val="0"/>
          <w:divBdr>
            <w:top w:val="none" w:sz="0" w:space="0" w:color="auto"/>
            <w:left w:val="none" w:sz="0" w:space="0" w:color="auto"/>
            <w:bottom w:val="none" w:sz="0" w:space="0" w:color="auto"/>
            <w:right w:val="none" w:sz="0" w:space="0" w:color="auto"/>
          </w:divBdr>
        </w:div>
        <w:div w:id="1771778617">
          <w:marLeft w:val="0"/>
          <w:marRight w:val="0"/>
          <w:marTop w:val="0"/>
          <w:marBottom w:val="0"/>
          <w:divBdr>
            <w:top w:val="none" w:sz="0" w:space="0" w:color="auto"/>
            <w:left w:val="none" w:sz="0" w:space="0" w:color="auto"/>
            <w:bottom w:val="none" w:sz="0" w:space="0" w:color="auto"/>
            <w:right w:val="none" w:sz="0" w:space="0" w:color="auto"/>
          </w:divBdr>
        </w:div>
      </w:divsChild>
    </w:div>
    <w:div w:id="1512833458">
      <w:bodyDiv w:val="1"/>
      <w:marLeft w:val="0"/>
      <w:marRight w:val="0"/>
      <w:marTop w:val="0"/>
      <w:marBottom w:val="0"/>
      <w:divBdr>
        <w:top w:val="none" w:sz="0" w:space="0" w:color="auto"/>
        <w:left w:val="none" w:sz="0" w:space="0" w:color="auto"/>
        <w:bottom w:val="none" w:sz="0" w:space="0" w:color="auto"/>
        <w:right w:val="none" w:sz="0" w:space="0" w:color="auto"/>
      </w:divBdr>
    </w:div>
    <w:div w:id="1519731408">
      <w:bodyDiv w:val="1"/>
      <w:marLeft w:val="0"/>
      <w:marRight w:val="0"/>
      <w:marTop w:val="0"/>
      <w:marBottom w:val="0"/>
      <w:divBdr>
        <w:top w:val="none" w:sz="0" w:space="0" w:color="auto"/>
        <w:left w:val="none" w:sz="0" w:space="0" w:color="auto"/>
        <w:bottom w:val="none" w:sz="0" w:space="0" w:color="auto"/>
        <w:right w:val="none" w:sz="0" w:space="0" w:color="auto"/>
      </w:divBdr>
      <w:divsChild>
        <w:div w:id="724648480">
          <w:marLeft w:val="0"/>
          <w:marRight w:val="0"/>
          <w:marTop w:val="0"/>
          <w:marBottom w:val="0"/>
          <w:divBdr>
            <w:top w:val="none" w:sz="0" w:space="0" w:color="auto"/>
            <w:left w:val="none" w:sz="0" w:space="0" w:color="auto"/>
            <w:bottom w:val="none" w:sz="0" w:space="0" w:color="auto"/>
            <w:right w:val="none" w:sz="0" w:space="0" w:color="auto"/>
          </w:divBdr>
        </w:div>
        <w:div w:id="757018839">
          <w:marLeft w:val="0"/>
          <w:marRight w:val="0"/>
          <w:marTop w:val="0"/>
          <w:marBottom w:val="0"/>
          <w:divBdr>
            <w:top w:val="none" w:sz="0" w:space="0" w:color="auto"/>
            <w:left w:val="none" w:sz="0" w:space="0" w:color="auto"/>
            <w:bottom w:val="none" w:sz="0" w:space="0" w:color="auto"/>
            <w:right w:val="none" w:sz="0" w:space="0" w:color="auto"/>
          </w:divBdr>
        </w:div>
        <w:div w:id="994181905">
          <w:marLeft w:val="0"/>
          <w:marRight w:val="0"/>
          <w:marTop w:val="0"/>
          <w:marBottom w:val="0"/>
          <w:divBdr>
            <w:top w:val="none" w:sz="0" w:space="0" w:color="auto"/>
            <w:left w:val="none" w:sz="0" w:space="0" w:color="auto"/>
            <w:bottom w:val="none" w:sz="0" w:space="0" w:color="auto"/>
            <w:right w:val="none" w:sz="0" w:space="0" w:color="auto"/>
          </w:divBdr>
        </w:div>
      </w:divsChild>
    </w:div>
    <w:div w:id="1521973377">
      <w:bodyDiv w:val="1"/>
      <w:marLeft w:val="0"/>
      <w:marRight w:val="0"/>
      <w:marTop w:val="0"/>
      <w:marBottom w:val="0"/>
      <w:divBdr>
        <w:top w:val="none" w:sz="0" w:space="0" w:color="auto"/>
        <w:left w:val="none" w:sz="0" w:space="0" w:color="auto"/>
        <w:bottom w:val="none" w:sz="0" w:space="0" w:color="auto"/>
        <w:right w:val="none" w:sz="0" w:space="0" w:color="auto"/>
      </w:divBdr>
    </w:div>
    <w:div w:id="1524629937">
      <w:bodyDiv w:val="1"/>
      <w:marLeft w:val="0"/>
      <w:marRight w:val="0"/>
      <w:marTop w:val="0"/>
      <w:marBottom w:val="0"/>
      <w:divBdr>
        <w:top w:val="none" w:sz="0" w:space="0" w:color="auto"/>
        <w:left w:val="none" w:sz="0" w:space="0" w:color="auto"/>
        <w:bottom w:val="none" w:sz="0" w:space="0" w:color="auto"/>
        <w:right w:val="none" w:sz="0" w:space="0" w:color="auto"/>
      </w:divBdr>
    </w:div>
    <w:div w:id="1525436358">
      <w:bodyDiv w:val="1"/>
      <w:marLeft w:val="0"/>
      <w:marRight w:val="0"/>
      <w:marTop w:val="0"/>
      <w:marBottom w:val="0"/>
      <w:divBdr>
        <w:top w:val="none" w:sz="0" w:space="0" w:color="auto"/>
        <w:left w:val="none" w:sz="0" w:space="0" w:color="auto"/>
        <w:bottom w:val="none" w:sz="0" w:space="0" w:color="auto"/>
        <w:right w:val="none" w:sz="0" w:space="0" w:color="auto"/>
      </w:divBdr>
      <w:divsChild>
        <w:div w:id="149560815">
          <w:marLeft w:val="0"/>
          <w:marRight w:val="0"/>
          <w:marTop w:val="0"/>
          <w:marBottom w:val="0"/>
          <w:divBdr>
            <w:top w:val="none" w:sz="0" w:space="0" w:color="auto"/>
            <w:left w:val="none" w:sz="0" w:space="0" w:color="auto"/>
            <w:bottom w:val="none" w:sz="0" w:space="0" w:color="auto"/>
            <w:right w:val="none" w:sz="0" w:space="0" w:color="auto"/>
          </w:divBdr>
        </w:div>
        <w:div w:id="834103974">
          <w:marLeft w:val="0"/>
          <w:marRight w:val="0"/>
          <w:marTop w:val="0"/>
          <w:marBottom w:val="0"/>
          <w:divBdr>
            <w:top w:val="none" w:sz="0" w:space="0" w:color="auto"/>
            <w:left w:val="none" w:sz="0" w:space="0" w:color="auto"/>
            <w:bottom w:val="none" w:sz="0" w:space="0" w:color="auto"/>
            <w:right w:val="none" w:sz="0" w:space="0" w:color="auto"/>
          </w:divBdr>
        </w:div>
      </w:divsChild>
    </w:div>
    <w:div w:id="1525552440">
      <w:bodyDiv w:val="1"/>
      <w:marLeft w:val="0"/>
      <w:marRight w:val="0"/>
      <w:marTop w:val="0"/>
      <w:marBottom w:val="0"/>
      <w:divBdr>
        <w:top w:val="none" w:sz="0" w:space="0" w:color="auto"/>
        <w:left w:val="none" w:sz="0" w:space="0" w:color="auto"/>
        <w:bottom w:val="none" w:sz="0" w:space="0" w:color="auto"/>
        <w:right w:val="none" w:sz="0" w:space="0" w:color="auto"/>
      </w:divBdr>
    </w:div>
    <w:div w:id="1529641040">
      <w:bodyDiv w:val="1"/>
      <w:marLeft w:val="0"/>
      <w:marRight w:val="0"/>
      <w:marTop w:val="0"/>
      <w:marBottom w:val="0"/>
      <w:divBdr>
        <w:top w:val="none" w:sz="0" w:space="0" w:color="auto"/>
        <w:left w:val="none" w:sz="0" w:space="0" w:color="auto"/>
        <w:bottom w:val="none" w:sz="0" w:space="0" w:color="auto"/>
        <w:right w:val="none" w:sz="0" w:space="0" w:color="auto"/>
      </w:divBdr>
    </w:div>
    <w:div w:id="1531260291">
      <w:bodyDiv w:val="1"/>
      <w:marLeft w:val="0"/>
      <w:marRight w:val="0"/>
      <w:marTop w:val="0"/>
      <w:marBottom w:val="0"/>
      <w:divBdr>
        <w:top w:val="none" w:sz="0" w:space="0" w:color="auto"/>
        <w:left w:val="none" w:sz="0" w:space="0" w:color="auto"/>
        <w:bottom w:val="none" w:sz="0" w:space="0" w:color="auto"/>
        <w:right w:val="none" w:sz="0" w:space="0" w:color="auto"/>
      </w:divBdr>
      <w:divsChild>
        <w:div w:id="971516062">
          <w:marLeft w:val="0"/>
          <w:marRight w:val="0"/>
          <w:marTop w:val="0"/>
          <w:marBottom w:val="0"/>
          <w:divBdr>
            <w:top w:val="none" w:sz="0" w:space="0" w:color="auto"/>
            <w:left w:val="none" w:sz="0" w:space="0" w:color="auto"/>
            <w:bottom w:val="none" w:sz="0" w:space="0" w:color="auto"/>
            <w:right w:val="none" w:sz="0" w:space="0" w:color="auto"/>
          </w:divBdr>
        </w:div>
        <w:div w:id="1966345335">
          <w:marLeft w:val="0"/>
          <w:marRight w:val="0"/>
          <w:marTop w:val="0"/>
          <w:marBottom w:val="0"/>
          <w:divBdr>
            <w:top w:val="none" w:sz="0" w:space="0" w:color="auto"/>
            <w:left w:val="none" w:sz="0" w:space="0" w:color="auto"/>
            <w:bottom w:val="none" w:sz="0" w:space="0" w:color="auto"/>
            <w:right w:val="none" w:sz="0" w:space="0" w:color="auto"/>
          </w:divBdr>
        </w:div>
      </w:divsChild>
    </w:div>
    <w:div w:id="1532957564">
      <w:bodyDiv w:val="1"/>
      <w:marLeft w:val="0"/>
      <w:marRight w:val="0"/>
      <w:marTop w:val="0"/>
      <w:marBottom w:val="0"/>
      <w:divBdr>
        <w:top w:val="none" w:sz="0" w:space="0" w:color="auto"/>
        <w:left w:val="none" w:sz="0" w:space="0" w:color="auto"/>
        <w:bottom w:val="none" w:sz="0" w:space="0" w:color="auto"/>
        <w:right w:val="none" w:sz="0" w:space="0" w:color="auto"/>
      </w:divBdr>
      <w:divsChild>
        <w:div w:id="431702129">
          <w:marLeft w:val="0"/>
          <w:marRight w:val="0"/>
          <w:marTop w:val="0"/>
          <w:marBottom w:val="0"/>
          <w:divBdr>
            <w:top w:val="none" w:sz="0" w:space="0" w:color="auto"/>
            <w:left w:val="none" w:sz="0" w:space="0" w:color="auto"/>
            <w:bottom w:val="none" w:sz="0" w:space="0" w:color="auto"/>
            <w:right w:val="none" w:sz="0" w:space="0" w:color="auto"/>
          </w:divBdr>
        </w:div>
        <w:div w:id="1341201152">
          <w:marLeft w:val="0"/>
          <w:marRight w:val="0"/>
          <w:marTop w:val="0"/>
          <w:marBottom w:val="0"/>
          <w:divBdr>
            <w:top w:val="none" w:sz="0" w:space="0" w:color="auto"/>
            <w:left w:val="none" w:sz="0" w:space="0" w:color="auto"/>
            <w:bottom w:val="none" w:sz="0" w:space="0" w:color="auto"/>
            <w:right w:val="none" w:sz="0" w:space="0" w:color="auto"/>
          </w:divBdr>
        </w:div>
      </w:divsChild>
    </w:div>
    <w:div w:id="1543708429">
      <w:bodyDiv w:val="1"/>
      <w:marLeft w:val="0"/>
      <w:marRight w:val="0"/>
      <w:marTop w:val="0"/>
      <w:marBottom w:val="0"/>
      <w:divBdr>
        <w:top w:val="none" w:sz="0" w:space="0" w:color="auto"/>
        <w:left w:val="none" w:sz="0" w:space="0" w:color="auto"/>
        <w:bottom w:val="none" w:sz="0" w:space="0" w:color="auto"/>
        <w:right w:val="none" w:sz="0" w:space="0" w:color="auto"/>
      </w:divBdr>
      <w:divsChild>
        <w:div w:id="419063761">
          <w:marLeft w:val="0"/>
          <w:marRight w:val="0"/>
          <w:marTop w:val="0"/>
          <w:marBottom w:val="0"/>
          <w:divBdr>
            <w:top w:val="none" w:sz="0" w:space="0" w:color="auto"/>
            <w:left w:val="none" w:sz="0" w:space="0" w:color="auto"/>
            <w:bottom w:val="none" w:sz="0" w:space="0" w:color="auto"/>
            <w:right w:val="none" w:sz="0" w:space="0" w:color="auto"/>
          </w:divBdr>
        </w:div>
        <w:div w:id="1318798377">
          <w:marLeft w:val="0"/>
          <w:marRight w:val="0"/>
          <w:marTop w:val="0"/>
          <w:marBottom w:val="0"/>
          <w:divBdr>
            <w:top w:val="none" w:sz="0" w:space="0" w:color="auto"/>
            <w:left w:val="none" w:sz="0" w:space="0" w:color="auto"/>
            <w:bottom w:val="none" w:sz="0" w:space="0" w:color="auto"/>
            <w:right w:val="none" w:sz="0" w:space="0" w:color="auto"/>
          </w:divBdr>
        </w:div>
        <w:div w:id="1477144056">
          <w:marLeft w:val="0"/>
          <w:marRight w:val="0"/>
          <w:marTop w:val="0"/>
          <w:marBottom w:val="0"/>
          <w:divBdr>
            <w:top w:val="none" w:sz="0" w:space="0" w:color="auto"/>
            <w:left w:val="none" w:sz="0" w:space="0" w:color="auto"/>
            <w:bottom w:val="none" w:sz="0" w:space="0" w:color="auto"/>
            <w:right w:val="none" w:sz="0" w:space="0" w:color="auto"/>
          </w:divBdr>
        </w:div>
        <w:div w:id="1918594737">
          <w:marLeft w:val="0"/>
          <w:marRight w:val="0"/>
          <w:marTop w:val="0"/>
          <w:marBottom w:val="0"/>
          <w:divBdr>
            <w:top w:val="none" w:sz="0" w:space="0" w:color="auto"/>
            <w:left w:val="none" w:sz="0" w:space="0" w:color="auto"/>
            <w:bottom w:val="none" w:sz="0" w:space="0" w:color="auto"/>
            <w:right w:val="none" w:sz="0" w:space="0" w:color="auto"/>
          </w:divBdr>
        </w:div>
        <w:div w:id="2071687832">
          <w:marLeft w:val="0"/>
          <w:marRight w:val="0"/>
          <w:marTop w:val="0"/>
          <w:marBottom w:val="0"/>
          <w:divBdr>
            <w:top w:val="none" w:sz="0" w:space="0" w:color="auto"/>
            <w:left w:val="none" w:sz="0" w:space="0" w:color="auto"/>
            <w:bottom w:val="none" w:sz="0" w:space="0" w:color="auto"/>
            <w:right w:val="none" w:sz="0" w:space="0" w:color="auto"/>
          </w:divBdr>
        </w:div>
      </w:divsChild>
    </w:div>
    <w:div w:id="1544170465">
      <w:bodyDiv w:val="1"/>
      <w:marLeft w:val="0"/>
      <w:marRight w:val="0"/>
      <w:marTop w:val="0"/>
      <w:marBottom w:val="0"/>
      <w:divBdr>
        <w:top w:val="none" w:sz="0" w:space="0" w:color="auto"/>
        <w:left w:val="none" w:sz="0" w:space="0" w:color="auto"/>
        <w:bottom w:val="none" w:sz="0" w:space="0" w:color="auto"/>
        <w:right w:val="none" w:sz="0" w:space="0" w:color="auto"/>
      </w:divBdr>
      <w:divsChild>
        <w:div w:id="1611010795">
          <w:marLeft w:val="0"/>
          <w:marRight w:val="0"/>
          <w:marTop w:val="0"/>
          <w:marBottom w:val="0"/>
          <w:divBdr>
            <w:top w:val="none" w:sz="0" w:space="0" w:color="auto"/>
            <w:left w:val="none" w:sz="0" w:space="0" w:color="auto"/>
            <w:bottom w:val="none" w:sz="0" w:space="0" w:color="auto"/>
            <w:right w:val="none" w:sz="0" w:space="0" w:color="auto"/>
          </w:divBdr>
          <w:divsChild>
            <w:div w:id="751656689">
              <w:marLeft w:val="0"/>
              <w:marRight w:val="0"/>
              <w:marTop w:val="0"/>
              <w:marBottom w:val="0"/>
              <w:divBdr>
                <w:top w:val="none" w:sz="0" w:space="0" w:color="auto"/>
                <w:left w:val="none" w:sz="0" w:space="0" w:color="auto"/>
                <w:bottom w:val="none" w:sz="0" w:space="0" w:color="auto"/>
                <w:right w:val="none" w:sz="0" w:space="0" w:color="auto"/>
              </w:divBdr>
            </w:div>
            <w:div w:id="1775705431">
              <w:marLeft w:val="0"/>
              <w:marRight w:val="0"/>
              <w:marTop w:val="0"/>
              <w:marBottom w:val="0"/>
              <w:divBdr>
                <w:top w:val="none" w:sz="0" w:space="0" w:color="auto"/>
                <w:left w:val="none" w:sz="0" w:space="0" w:color="auto"/>
                <w:bottom w:val="none" w:sz="0" w:space="0" w:color="auto"/>
                <w:right w:val="none" w:sz="0" w:space="0" w:color="auto"/>
              </w:divBdr>
            </w:div>
          </w:divsChild>
        </w:div>
        <w:div w:id="1627851926">
          <w:marLeft w:val="0"/>
          <w:marRight w:val="0"/>
          <w:marTop w:val="0"/>
          <w:marBottom w:val="0"/>
          <w:divBdr>
            <w:top w:val="none" w:sz="0" w:space="0" w:color="auto"/>
            <w:left w:val="none" w:sz="0" w:space="0" w:color="auto"/>
            <w:bottom w:val="none" w:sz="0" w:space="0" w:color="auto"/>
            <w:right w:val="none" w:sz="0" w:space="0" w:color="auto"/>
          </w:divBdr>
        </w:div>
      </w:divsChild>
    </w:div>
    <w:div w:id="1544904797">
      <w:bodyDiv w:val="1"/>
      <w:marLeft w:val="0"/>
      <w:marRight w:val="0"/>
      <w:marTop w:val="0"/>
      <w:marBottom w:val="0"/>
      <w:divBdr>
        <w:top w:val="none" w:sz="0" w:space="0" w:color="auto"/>
        <w:left w:val="none" w:sz="0" w:space="0" w:color="auto"/>
        <w:bottom w:val="none" w:sz="0" w:space="0" w:color="auto"/>
        <w:right w:val="none" w:sz="0" w:space="0" w:color="auto"/>
      </w:divBdr>
      <w:divsChild>
        <w:div w:id="897400399">
          <w:marLeft w:val="0"/>
          <w:marRight w:val="0"/>
          <w:marTop w:val="0"/>
          <w:marBottom w:val="0"/>
          <w:divBdr>
            <w:top w:val="none" w:sz="0" w:space="0" w:color="auto"/>
            <w:left w:val="none" w:sz="0" w:space="0" w:color="auto"/>
            <w:bottom w:val="none" w:sz="0" w:space="0" w:color="auto"/>
            <w:right w:val="none" w:sz="0" w:space="0" w:color="auto"/>
          </w:divBdr>
        </w:div>
        <w:div w:id="974602837">
          <w:marLeft w:val="0"/>
          <w:marRight w:val="0"/>
          <w:marTop w:val="0"/>
          <w:marBottom w:val="0"/>
          <w:divBdr>
            <w:top w:val="none" w:sz="0" w:space="0" w:color="auto"/>
            <w:left w:val="none" w:sz="0" w:space="0" w:color="auto"/>
            <w:bottom w:val="none" w:sz="0" w:space="0" w:color="auto"/>
            <w:right w:val="none" w:sz="0" w:space="0" w:color="auto"/>
          </w:divBdr>
        </w:div>
        <w:div w:id="1199664649">
          <w:marLeft w:val="0"/>
          <w:marRight w:val="0"/>
          <w:marTop w:val="0"/>
          <w:marBottom w:val="0"/>
          <w:divBdr>
            <w:top w:val="none" w:sz="0" w:space="0" w:color="auto"/>
            <w:left w:val="none" w:sz="0" w:space="0" w:color="auto"/>
            <w:bottom w:val="none" w:sz="0" w:space="0" w:color="auto"/>
            <w:right w:val="none" w:sz="0" w:space="0" w:color="auto"/>
          </w:divBdr>
        </w:div>
        <w:div w:id="1846632784">
          <w:marLeft w:val="0"/>
          <w:marRight w:val="0"/>
          <w:marTop w:val="0"/>
          <w:marBottom w:val="0"/>
          <w:divBdr>
            <w:top w:val="none" w:sz="0" w:space="0" w:color="auto"/>
            <w:left w:val="none" w:sz="0" w:space="0" w:color="auto"/>
            <w:bottom w:val="none" w:sz="0" w:space="0" w:color="auto"/>
            <w:right w:val="none" w:sz="0" w:space="0" w:color="auto"/>
          </w:divBdr>
        </w:div>
        <w:div w:id="1857117913">
          <w:marLeft w:val="0"/>
          <w:marRight w:val="0"/>
          <w:marTop w:val="0"/>
          <w:marBottom w:val="0"/>
          <w:divBdr>
            <w:top w:val="none" w:sz="0" w:space="0" w:color="auto"/>
            <w:left w:val="none" w:sz="0" w:space="0" w:color="auto"/>
            <w:bottom w:val="none" w:sz="0" w:space="0" w:color="auto"/>
            <w:right w:val="none" w:sz="0" w:space="0" w:color="auto"/>
          </w:divBdr>
        </w:div>
        <w:div w:id="2101832776">
          <w:marLeft w:val="0"/>
          <w:marRight w:val="0"/>
          <w:marTop w:val="0"/>
          <w:marBottom w:val="0"/>
          <w:divBdr>
            <w:top w:val="none" w:sz="0" w:space="0" w:color="auto"/>
            <w:left w:val="none" w:sz="0" w:space="0" w:color="auto"/>
            <w:bottom w:val="none" w:sz="0" w:space="0" w:color="auto"/>
            <w:right w:val="none" w:sz="0" w:space="0" w:color="auto"/>
          </w:divBdr>
        </w:div>
      </w:divsChild>
    </w:div>
    <w:div w:id="1546024116">
      <w:bodyDiv w:val="1"/>
      <w:marLeft w:val="0"/>
      <w:marRight w:val="0"/>
      <w:marTop w:val="0"/>
      <w:marBottom w:val="0"/>
      <w:divBdr>
        <w:top w:val="none" w:sz="0" w:space="0" w:color="auto"/>
        <w:left w:val="none" w:sz="0" w:space="0" w:color="auto"/>
        <w:bottom w:val="none" w:sz="0" w:space="0" w:color="auto"/>
        <w:right w:val="none" w:sz="0" w:space="0" w:color="auto"/>
      </w:divBdr>
      <w:divsChild>
        <w:div w:id="651953328">
          <w:marLeft w:val="0"/>
          <w:marRight w:val="0"/>
          <w:marTop w:val="0"/>
          <w:marBottom w:val="0"/>
          <w:divBdr>
            <w:top w:val="none" w:sz="0" w:space="0" w:color="auto"/>
            <w:left w:val="none" w:sz="0" w:space="0" w:color="auto"/>
            <w:bottom w:val="none" w:sz="0" w:space="0" w:color="auto"/>
            <w:right w:val="none" w:sz="0" w:space="0" w:color="auto"/>
          </w:divBdr>
        </w:div>
        <w:div w:id="766775765">
          <w:marLeft w:val="0"/>
          <w:marRight w:val="0"/>
          <w:marTop w:val="0"/>
          <w:marBottom w:val="0"/>
          <w:divBdr>
            <w:top w:val="none" w:sz="0" w:space="0" w:color="auto"/>
            <w:left w:val="none" w:sz="0" w:space="0" w:color="auto"/>
            <w:bottom w:val="none" w:sz="0" w:space="0" w:color="auto"/>
            <w:right w:val="none" w:sz="0" w:space="0" w:color="auto"/>
          </w:divBdr>
        </w:div>
      </w:divsChild>
    </w:div>
    <w:div w:id="1546672327">
      <w:bodyDiv w:val="1"/>
      <w:marLeft w:val="0"/>
      <w:marRight w:val="0"/>
      <w:marTop w:val="0"/>
      <w:marBottom w:val="0"/>
      <w:divBdr>
        <w:top w:val="none" w:sz="0" w:space="0" w:color="auto"/>
        <w:left w:val="none" w:sz="0" w:space="0" w:color="auto"/>
        <w:bottom w:val="none" w:sz="0" w:space="0" w:color="auto"/>
        <w:right w:val="none" w:sz="0" w:space="0" w:color="auto"/>
      </w:divBdr>
    </w:div>
    <w:div w:id="1549877837">
      <w:bodyDiv w:val="1"/>
      <w:marLeft w:val="0"/>
      <w:marRight w:val="0"/>
      <w:marTop w:val="0"/>
      <w:marBottom w:val="0"/>
      <w:divBdr>
        <w:top w:val="none" w:sz="0" w:space="0" w:color="auto"/>
        <w:left w:val="none" w:sz="0" w:space="0" w:color="auto"/>
        <w:bottom w:val="none" w:sz="0" w:space="0" w:color="auto"/>
        <w:right w:val="none" w:sz="0" w:space="0" w:color="auto"/>
      </w:divBdr>
    </w:div>
    <w:div w:id="1553687703">
      <w:bodyDiv w:val="1"/>
      <w:marLeft w:val="0"/>
      <w:marRight w:val="0"/>
      <w:marTop w:val="0"/>
      <w:marBottom w:val="0"/>
      <w:divBdr>
        <w:top w:val="none" w:sz="0" w:space="0" w:color="auto"/>
        <w:left w:val="none" w:sz="0" w:space="0" w:color="auto"/>
        <w:bottom w:val="none" w:sz="0" w:space="0" w:color="auto"/>
        <w:right w:val="none" w:sz="0" w:space="0" w:color="auto"/>
      </w:divBdr>
      <w:divsChild>
        <w:div w:id="766655308">
          <w:marLeft w:val="0"/>
          <w:marRight w:val="0"/>
          <w:marTop w:val="0"/>
          <w:marBottom w:val="0"/>
          <w:divBdr>
            <w:top w:val="none" w:sz="0" w:space="0" w:color="auto"/>
            <w:left w:val="none" w:sz="0" w:space="0" w:color="auto"/>
            <w:bottom w:val="none" w:sz="0" w:space="0" w:color="auto"/>
            <w:right w:val="none" w:sz="0" w:space="0" w:color="auto"/>
          </w:divBdr>
        </w:div>
        <w:div w:id="1845976763">
          <w:marLeft w:val="0"/>
          <w:marRight w:val="0"/>
          <w:marTop w:val="0"/>
          <w:marBottom w:val="0"/>
          <w:divBdr>
            <w:top w:val="none" w:sz="0" w:space="0" w:color="auto"/>
            <w:left w:val="none" w:sz="0" w:space="0" w:color="auto"/>
            <w:bottom w:val="none" w:sz="0" w:space="0" w:color="auto"/>
            <w:right w:val="none" w:sz="0" w:space="0" w:color="auto"/>
          </w:divBdr>
        </w:div>
      </w:divsChild>
    </w:div>
    <w:div w:id="1554194251">
      <w:bodyDiv w:val="1"/>
      <w:marLeft w:val="0"/>
      <w:marRight w:val="0"/>
      <w:marTop w:val="0"/>
      <w:marBottom w:val="0"/>
      <w:divBdr>
        <w:top w:val="none" w:sz="0" w:space="0" w:color="auto"/>
        <w:left w:val="none" w:sz="0" w:space="0" w:color="auto"/>
        <w:bottom w:val="none" w:sz="0" w:space="0" w:color="auto"/>
        <w:right w:val="none" w:sz="0" w:space="0" w:color="auto"/>
      </w:divBdr>
      <w:divsChild>
        <w:div w:id="326792036">
          <w:marLeft w:val="0"/>
          <w:marRight w:val="0"/>
          <w:marTop w:val="0"/>
          <w:marBottom w:val="0"/>
          <w:divBdr>
            <w:top w:val="none" w:sz="0" w:space="0" w:color="auto"/>
            <w:left w:val="none" w:sz="0" w:space="0" w:color="auto"/>
            <w:bottom w:val="none" w:sz="0" w:space="0" w:color="auto"/>
            <w:right w:val="none" w:sz="0" w:space="0" w:color="auto"/>
          </w:divBdr>
        </w:div>
        <w:div w:id="1663662324">
          <w:marLeft w:val="0"/>
          <w:marRight w:val="0"/>
          <w:marTop w:val="0"/>
          <w:marBottom w:val="0"/>
          <w:divBdr>
            <w:top w:val="none" w:sz="0" w:space="0" w:color="auto"/>
            <w:left w:val="none" w:sz="0" w:space="0" w:color="auto"/>
            <w:bottom w:val="none" w:sz="0" w:space="0" w:color="auto"/>
            <w:right w:val="none" w:sz="0" w:space="0" w:color="auto"/>
          </w:divBdr>
        </w:div>
      </w:divsChild>
    </w:div>
    <w:div w:id="1555504657">
      <w:bodyDiv w:val="1"/>
      <w:marLeft w:val="0"/>
      <w:marRight w:val="0"/>
      <w:marTop w:val="0"/>
      <w:marBottom w:val="0"/>
      <w:divBdr>
        <w:top w:val="none" w:sz="0" w:space="0" w:color="auto"/>
        <w:left w:val="none" w:sz="0" w:space="0" w:color="auto"/>
        <w:bottom w:val="none" w:sz="0" w:space="0" w:color="auto"/>
        <w:right w:val="none" w:sz="0" w:space="0" w:color="auto"/>
      </w:divBdr>
    </w:div>
    <w:div w:id="1556041477">
      <w:bodyDiv w:val="1"/>
      <w:marLeft w:val="0"/>
      <w:marRight w:val="0"/>
      <w:marTop w:val="0"/>
      <w:marBottom w:val="0"/>
      <w:divBdr>
        <w:top w:val="none" w:sz="0" w:space="0" w:color="auto"/>
        <w:left w:val="none" w:sz="0" w:space="0" w:color="auto"/>
        <w:bottom w:val="none" w:sz="0" w:space="0" w:color="auto"/>
        <w:right w:val="none" w:sz="0" w:space="0" w:color="auto"/>
      </w:divBdr>
      <w:divsChild>
        <w:div w:id="735854565">
          <w:marLeft w:val="0"/>
          <w:marRight w:val="0"/>
          <w:marTop w:val="0"/>
          <w:marBottom w:val="0"/>
          <w:divBdr>
            <w:top w:val="none" w:sz="0" w:space="0" w:color="auto"/>
            <w:left w:val="none" w:sz="0" w:space="0" w:color="auto"/>
            <w:bottom w:val="none" w:sz="0" w:space="0" w:color="auto"/>
            <w:right w:val="none" w:sz="0" w:space="0" w:color="auto"/>
          </w:divBdr>
        </w:div>
        <w:div w:id="971053956">
          <w:marLeft w:val="0"/>
          <w:marRight w:val="0"/>
          <w:marTop w:val="0"/>
          <w:marBottom w:val="0"/>
          <w:divBdr>
            <w:top w:val="none" w:sz="0" w:space="0" w:color="auto"/>
            <w:left w:val="none" w:sz="0" w:space="0" w:color="auto"/>
            <w:bottom w:val="none" w:sz="0" w:space="0" w:color="auto"/>
            <w:right w:val="none" w:sz="0" w:space="0" w:color="auto"/>
          </w:divBdr>
        </w:div>
      </w:divsChild>
    </w:div>
    <w:div w:id="1560094377">
      <w:bodyDiv w:val="1"/>
      <w:marLeft w:val="0"/>
      <w:marRight w:val="0"/>
      <w:marTop w:val="0"/>
      <w:marBottom w:val="0"/>
      <w:divBdr>
        <w:top w:val="none" w:sz="0" w:space="0" w:color="auto"/>
        <w:left w:val="none" w:sz="0" w:space="0" w:color="auto"/>
        <w:bottom w:val="none" w:sz="0" w:space="0" w:color="auto"/>
        <w:right w:val="none" w:sz="0" w:space="0" w:color="auto"/>
      </w:divBdr>
      <w:divsChild>
        <w:div w:id="632490858">
          <w:marLeft w:val="0"/>
          <w:marRight w:val="0"/>
          <w:marTop w:val="0"/>
          <w:marBottom w:val="0"/>
          <w:divBdr>
            <w:top w:val="none" w:sz="0" w:space="0" w:color="auto"/>
            <w:left w:val="none" w:sz="0" w:space="0" w:color="auto"/>
            <w:bottom w:val="none" w:sz="0" w:space="0" w:color="auto"/>
            <w:right w:val="none" w:sz="0" w:space="0" w:color="auto"/>
          </w:divBdr>
        </w:div>
        <w:div w:id="1167790831">
          <w:marLeft w:val="0"/>
          <w:marRight w:val="0"/>
          <w:marTop w:val="0"/>
          <w:marBottom w:val="0"/>
          <w:divBdr>
            <w:top w:val="none" w:sz="0" w:space="0" w:color="auto"/>
            <w:left w:val="none" w:sz="0" w:space="0" w:color="auto"/>
            <w:bottom w:val="none" w:sz="0" w:space="0" w:color="auto"/>
            <w:right w:val="none" w:sz="0" w:space="0" w:color="auto"/>
          </w:divBdr>
          <w:divsChild>
            <w:div w:id="136607894">
              <w:marLeft w:val="0"/>
              <w:marRight w:val="0"/>
              <w:marTop w:val="0"/>
              <w:marBottom w:val="0"/>
              <w:divBdr>
                <w:top w:val="none" w:sz="0" w:space="0" w:color="auto"/>
                <w:left w:val="none" w:sz="0" w:space="0" w:color="auto"/>
                <w:bottom w:val="none" w:sz="0" w:space="0" w:color="auto"/>
                <w:right w:val="none" w:sz="0" w:space="0" w:color="auto"/>
              </w:divBdr>
            </w:div>
            <w:div w:id="1674992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1163036">
      <w:bodyDiv w:val="1"/>
      <w:marLeft w:val="0"/>
      <w:marRight w:val="0"/>
      <w:marTop w:val="0"/>
      <w:marBottom w:val="0"/>
      <w:divBdr>
        <w:top w:val="none" w:sz="0" w:space="0" w:color="auto"/>
        <w:left w:val="none" w:sz="0" w:space="0" w:color="auto"/>
        <w:bottom w:val="none" w:sz="0" w:space="0" w:color="auto"/>
        <w:right w:val="none" w:sz="0" w:space="0" w:color="auto"/>
      </w:divBdr>
    </w:div>
    <w:div w:id="1565949179">
      <w:bodyDiv w:val="1"/>
      <w:marLeft w:val="0"/>
      <w:marRight w:val="0"/>
      <w:marTop w:val="0"/>
      <w:marBottom w:val="0"/>
      <w:divBdr>
        <w:top w:val="none" w:sz="0" w:space="0" w:color="auto"/>
        <w:left w:val="none" w:sz="0" w:space="0" w:color="auto"/>
        <w:bottom w:val="none" w:sz="0" w:space="0" w:color="auto"/>
        <w:right w:val="none" w:sz="0" w:space="0" w:color="auto"/>
      </w:divBdr>
      <w:divsChild>
        <w:div w:id="390353007">
          <w:marLeft w:val="0"/>
          <w:marRight w:val="0"/>
          <w:marTop w:val="0"/>
          <w:marBottom w:val="0"/>
          <w:divBdr>
            <w:top w:val="none" w:sz="0" w:space="0" w:color="auto"/>
            <w:left w:val="none" w:sz="0" w:space="0" w:color="auto"/>
            <w:bottom w:val="none" w:sz="0" w:space="0" w:color="auto"/>
            <w:right w:val="none" w:sz="0" w:space="0" w:color="auto"/>
          </w:divBdr>
        </w:div>
        <w:div w:id="1119683631">
          <w:marLeft w:val="0"/>
          <w:marRight w:val="0"/>
          <w:marTop w:val="0"/>
          <w:marBottom w:val="0"/>
          <w:divBdr>
            <w:top w:val="none" w:sz="0" w:space="0" w:color="auto"/>
            <w:left w:val="none" w:sz="0" w:space="0" w:color="auto"/>
            <w:bottom w:val="none" w:sz="0" w:space="0" w:color="auto"/>
            <w:right w:val="none" w:sz="0" w:space="0" w:color="auto"/>
          </w:divBdr>
        </w:div>
      </w:divsChild>
    </w:div>
    <w:div w:id="1566447516">
      <w:bodyDiv w:val="1"/>
      <w:marLeft w:val="0"/>
      <w:marRight w:val="0"/>
      <w:marTop w:val="0"/>
      <w:marBottom w:val="0"/>
      <w:divBdr>
        <w:top w:val="none" w:sz="0" w:space="0" w:color="auto"/>
        <w:left w:val="none" w:sz="0" w:space="0" w:color="auto"/>
        <w:bottom w:val="none" w:sz="0" w:space="0" w:color="auto"/>
        <w:right w:val="none" w:sz="0" w:space="0" w:color="auto"/>
      </w:divBdr>
      <w:divsChild>
        <w:div w:id="51195211">
          <w:marLeft w:val="0"/>
          <w:marRight w:val="0"/>
          <w:marTop w:val="0"/>
          <w:marBottom w:val="0"/>
          <w:divBdr>
            <w:top w:val="none" w:sz="0" w:space="0" w:color="auto"/>
            <w:left w:val="none" w:sz="0" w:space="0" w:color="auto"/>
            <w:bottom w:val="none" w:sz="0" w:space="0" w:color="auto"/>
            <w:right w:val="none" w:sz="0" w:space="0" w:color="auto"/>
          </w:divBdr>
        </w:div>
        <w:div w:id="227109914">
          <w:marLeft w:val="0"/>
          <w:marRight w:val="0"/>
          <w:marTop w:val="0"/>
          <w:marBottom w:val="0"/>
          <w:divBdr>
            <w:top w:val="none" w:sz="0" w:space="0" w:color="auto"/>
            <w:left w:val="none" w:sz="0" w:space="0" w:color="auto"/>
            <w:bottom w:val="none" w:sz="0" w:space="0" w:color="auto"/>
            <w:right w:val="none" w:sz="0" w:space="0" w:color="auto"/>
          </w:divBdr>
        </w:div>
        <w:div w:id="657808978">
          <w:marLeft w:val="0"/>
          <w:marRight w:val="0"/>
          <w:marTop w:val="0"/>
          <w:marBottom w:val="0"/>
          <w:divBdr>
            <w:top w:val="none" w:sz="0" w:space="0" w:color="auto"/>
            <w:left w:val="none" w:sz="0" w:space="0" w:color="auto"/>
            <w:bottom w:val="none" w:sz="0" w:space="0" w:color="auto"/>
            <w:right w:val="none" w:sz="0" w:space="0" w:color="auto"/>
          </w:divBdr>
        </w:div>
        <w:div w:id="820149192">
          <w:marLeft w:val="0"/>
          <w:marRight w:val="0"/>
          <w:marTop w:val="0"/>
          <w:marBottom w:val="0"/>
          <w:divBdr>
            <w:top w:val="none" w:sz="0" w:space="0" w:color="auto"/>
            <w:left w:val="none" w:sz="0" w:space="0" w:color="auto"/>
            <w:bottom w:val="none" w:sz="0" w:space="0" w:color="auto"/>
            <w:right w:val="none" w:sz="0" w:space="0" w:color="auto"/>
          </w:divBdr>
        </w:div>
        <w:div w:id="1155495178">
          <w:marLeft w:val="0"/>
          <w:marRight w:val="0"/>
          <w:marTop w:val="0"/>
          <w:marBottom w:val="0"/>
          <w:divBdr>
            <w:top w:val="none" w:sz="0" w:space="0" w:color="auto"/>
            <w:left w:val="none" w:sz="0" w:space="0" w:color="auto"/>
            <w:bottom w:val="none" w:sz="0" w:space="0" w:color="auto"/>
            <w:right w:val="none" w:sz="0" w:space="0" w:color="auto"/>
          </w:divBdr>
        </w:div>
      </w:divsChild>
    </w:div>
    <w:div w:id="1567760042">
      <w:bodyDiv w:val="1"/>
      <w:marLeft w:val="0"/>
      <w:marRight w:val="0"/>
      <w:marTop w:val="0"/>
      <w:marBottom w:val="0"/>
      <w:divBdr>
        <w:top w:val="none" w:sz="0" w:space="0" w:color="auto"/>
        <w:left w:val="none" w:sz="0" w:space="0" w:color="auto"/>
        <w:bottom w:val="none" w:sz="0" w:space="0" w:color="auto"/>
        <w:right w:val="none" w:sz="0" w:space="0" w:color="auto"/>
      </w:divBdr>
    </w:div>
    <w:div w:id="1583753072">
      <w:bodyDiv w:val="1"/>
      <w:marLeft w:val="0"/>
      <w:marRight w:val="0"/>
      <w:marTop w:val="0"/>
      <w:marBottom w:val="0"/>
      <w:divBdr>
        <w:top w:val="none" w:sz="0" w:space="0" w:color="auto"/>
        <w:left w:val="none" w:sz="0" w:space="0" w:color="auto"/>
        <w:bottom w:val="none" w:sz="0" w:space="0" w:color="auto"/>
        <w:right w:val="none" w:sz="0" w:space="0" w:color="auto"/>
      </w:divBdr>
      <w:divsChild>
        <w:div w:id="263194162">
          <w:marLeft w:val="0"/>
          <w:marRight w:val="0"/>
          <w:marTop w:val="0"/>
          <w:marBottom w:val="0"/>
          <w:divBdr>
            <w:top w:val="none" w:sz="0" w:space="0" w:color="auto"/>
            <w:left w:val="none" w:sz="0" w:space="0" w:color="auto"/>
            <w:bottom w:val="none" w:sz="0" w:space="0" w:color="auto"/>
            <w:right w:val="none" w:sz="0" w:space="0" w:color="auto"/>
          </w:divBdr>
        </w:div>
        <w:div w:id="857233537">
          <w:marLeft w:val="0"/>
          <w:marRight w:val="0"/>
          <w:marTop w:val="0"/>
          <w:marBottom w:val="0"/>
          <w:divBdr>
            <w:top w:val="none" w:sz="0" w:space="0" w:color="auto"/>
            <w:left w:val="none" w:sz="0" w:space="0" w:color="auto"/>
            <w:bottom w:val="none" w:sz="0" w:space="0" w:color="auto"/>
            <w:right w:val="none" w:sz="0" w:space="0" w:color="auto"/>
          </w:divBdr>
        </w:div>
      </w:divsChild>
    </w:div>
    <w:div w:id="1588811248">
      <w:bodyDiv w:val="1"/>
      <w:marLeft w:val="0"/>
      <w:marRight w:val="0"/>
      <w:marTop w:val="0"/>
      <w:marBottom w:val="0"/>
      <w:divBdr>
        <w:top w:val="none" w:sz="0" w:space="0" w:color="auto"/>
        <w:left w:val="none" w:sz="0" w:space="0" w:color="auto"/>
        <w:bottom w:val="none" w:sz="0" w:space="0" w:color="auto"/>
        <w:right w:val="none" w:sz="0" w:space="0" w:color="auto"/>
      </w:divBdr>
      <w:divsChild>
        <w:div w:id="99767703">
          <w:marLeft w:val="0"/>
          <w:marRight w:val="0"/>
          <w:marTop w:val="0"/>
          <w:marBottom w:val="0"/>
          <w:divBdr>
            <w:top w:val="none" w:sz="0" w:space="0" w:color="auto"/>
            <w:left w:val="none" w:sz="0" w:space="0" w:color="auto"/>
            <w:bottom w:val="none" w:sz="0" w:space="0" w:color="auto"/>
            <w:right w:val="none" w:sz="0" w:space="0" w:color="auto"/>
          </w:divBdr>
        </w:div>
        <w:div w:id="694233964">
          <w:marLeft w:val="0"/>
          <w:marRight w:val="0"/>
          <w:marTop w:val="0"/>
          <w:marBottom w:val="0"/>
          <w:divBdr>
            <w:top w:val="none" w:sz="0" w:space="0" w:color="auto"/>
            <w:left w:val="none" w:sz="0" w:space="0" w:color="auto"/>
            <w:bottom w:val="none" w:sz="0" w:space="0" w:color="auto"/>
            <w:right w:val="none" w:sz="0" w:space="0" w:color="auto"/>
          </w:divBdr>
        </w:div>
      </w:divsChild>
    </w:div>
    <w:div w:id="1591812683">
      <w:bodyDiv w:val="1"/>
      <w:marLeft w:val="0"/>
      <w:marRight w:val="0"/>
      <w:marTop w:val="0"/>
      <w:marBottom w:val="0"/>
      <w:divBdr>
        <w:top w:val="none" w:sz="0" w:space="0" w:color="auto"/>
        <w:left w:val="none" w:sz="0" w:space="0" w:color="auto"/>
        <w:bottom w:val="none" w:sz="0" w:space="0" w:color="auto"/>
        <w:right w:val="none" w:sz="0" w:space="0" w:color="auto"/>
      </w:divBdr>
      <w:divsChild>
        <w:div w:id="67506963">
          <w:marLeft w:val="0"/>
          <w:marRight w:val="0"/>
          <w:marTop w:val="0"/>
          <w:marBottom w:val="0"/>
          <w:divBdr>
            <w:top w:val="none" w:sz="0" w:space="0" w:color="auto"/>
            <w:left w:val="none" w:sz="0" w:space="0" w:color="auto"/>
            <w:bottom w:val="none" w:sz="0" w:space="0" w:color="auto"/>
            <w:right w:val="none" w:sz="0" w:space="0" w:color="auto"/>
          </w:divBdr>
        </w:div>
        <w:div w:id="731662111">
          <w:marLeft w:val="0"/>
          <w:marRight w:val="0"/>
          <w:marTop w:val="0"/>
          <w:marBottom w:val="0"/>
          <w:divBdr>
            <w:top w:val="none" w:sz="0" w:space="0" w:color="auto"/>
            <w:left w:val="none" w:sz="0" w:space="0" w:color="auto"/>
            <w:bottom w:val="none" w:sz="0" w:space="0" w:color="auto"/>
            <w:right w:val="none" w:sz="0" w:space="0" w:color="auto"/>
          </w:divBdr>
        </w:div>
      </w:divsChild>
    </w:div>
    <w:div w:id="1593735514">
      <w:bodyDiv w:val="1"/>
      <w:marLeft w:val="0"/>
      <w:marRight w:val="0"/>
      <w:marTop w:val="0"/>
      <w:marBottom w:val="0"/>
      <w:divBdr>
        <w:top w:val="none" w:sz="0" w:space="0" w:color="auto"/>
        <w:left w:val="none" w:sz="0" w:space="0" w:color="auto"/>
        <w:bottom w:val="none" w:sz="0" w:space="0" w:color="auto"/>
        <w:right w:val="none" w:sz="0" w:space="0" w:color="auto"/>
      </w:divBdr>
    </w:div>
    <w:div w:id="1596592605">
      <w:bodyDiv w:val="1"/>
      <w:marLeft w:val="0"/>
      <w:marRight w:val="0"/>
      <w:marTop w:val="0"/>
      <w:marBottom w:val="0"/>
      <w:divBdr>
        <w:top w:val="none" w:sz="0" w:space="0" w:color="auto"/>
        <w:left w:val="none" w:sz="0" w:space="0" w:color="auto"/>
        <w:bottom w:val="none" w:sz="0" w:space="0" w:color="auto"/>
        <w:right w:val="none" w:sz="0" w:space="0" w:color="auto"/>
      </w:divBdr>
    </w:div>
    <w:div w:id="1596669063">
      <w:bodyDiv w:val="1"/>
      <w:marLeft w:val="0"/>
      <w:marRight w:val="0"/>
      <w:marTop w:val="0"/>
      <w:marBottom w:val="0"/>
      <w:divBdr>
        <w:top w:val="none" w:sz="0" w:space="0" w:color="auto"/>
        <w:left w:val="none" w:sz="0" w:space="0" w:color="auto"/>
        <w:bottom w:val="none" w:sz="0" w:space="0" w:color="auto"/>
        <w:right w:val="none" w:sz="0" w:space="0" w:color="auto"/>
      </w:divBdr>
    </w:div>
    <w:div w:id="1599144685">
      <w:bodyDiv w:val="1"/>
      <w:marLeft w:val="0"/>
      <w:marRight w:val="0"/>
      <w:marTop w:val="0"/>
      <w:marBottom w:val="0"/>
      <w:divBdr>
        <w:top w:val="none" w:sz="0" w:space="0" w:color="auto"/>
        <w:left w:val="none" w:sz="0" w:space="0" w:color="auto"/>
        <w:bottom w:val="none" w:sz="0" w:space="0" w:color="auto"/>
        <w:right w:val="none" w:sz="0" w:space="0" w:color="auto"/>
      </w:divBdr>
      <w:divsChild>
        <w:div w:id="512839550">
          <w:marLeft w:val="0"/>
          <w:marRight w:val="0"/>
          <w:marTop w:val="0"/>
          <w:marBottom w:val="0"/>
          <w:divBdr>
            <w:top w:val="none" w:sz="0" w:space="0" w:color="auto"/>
            <w:left w:val="none" w:sz="0" w:space="0" w:color="auto"/>
            <w:bottom w:val="none" w:sz="0" w:space="0" w:color="auto"/>
            <w:right w:val="none" w:sz="0" w:space="0" w:color="auto"/>
          </w:divBdr>
        </w:div>
        <w:div w:id="645553258">
          <w:marLeft w:val="0"/>
          <w:marRight w:val="0"/>
          <w:marTop w:val="0"/>
          <w:marBottom w:val="0"/>
          <w:divBdr>
            <w:top w:val="none" w:sz="0" w:space="0" w:color="auto"/>
            <w:left w:val="none" w:sz="0" w:space="0" w:color="auto"/>
            <w:bottom w:val="none" w:sz="0" w:space="0" w:color="auto"/>
            <w:right w:val="none" w:sz="0" w:space="0" w:color="auto"/>
          </w:divBdr>
        </w:div>
        <w:div w:id="1422798365">
          <w:marLeft w:val="0"/>
          <w:marRight w:val="0"/>
          <w:marTop w:val="0"/>
          <w:marBottom w:val="0"/>
          <w:divBdr>
            <w:top w:val="none" w:sz="0" w:space="0" w:color="auto"/>
            <w:left w:val="none" w:sz="0" w:space="0" w:color="auto"/>
            <w:bottom w:val="none" w:sz="0" w:space="0" w:color="auto"/>
            <w:right w:val="none" w:sz="0" w:space="0" w:color="auto"/>
          </w:divBdr>
        </w:div>
      </w:divsChild>
    </w:div>
    <w:div w:id="1599799789">
      <w:bodyDiv w:val="1"/>
      <w:marLeft w:val="0"/>
      <w:marRight w:val="0"/>
      <w:marTop w:val="0"/>
      <w:marBottom w:val="0"/>
      <w:divBdr>
        <w:top w:val="none" w:sz="0" w:space="0" w:color="auto"/>
        <w:left w:val="none" w:sz="0" w:space="0" w:color="auto"/>
        <w:bottom w:val="none" w:sz="0" w:space="0" w:color="auto"/>
        <w:right w:val="none" w:sz="0" w:space="0" w:color="auto"/>
      </w:divBdr>
    </w:div>
    <w:div w:id="1601378167">
      <w:bodyDiv w:val="1"/>
      <w:marLeft w:val="0"/>
      <w:marRight w:val="0"/>
      <w:marTop w:val="0"/>
      <w:marBottom w:val="0"/>
      <w:divBdr>
        <w:top w:val="none" w:sz="0" w:space="0" w:color="auto"/>
        <w:left w:val="none" w:sz="0" w:space="0" w:color="auto"/>
        <w:bottom w:val="none" w:sz="0" w:space="0" w:color="auto"/>
        <w:right w:val="none" w:sz="0" w:space="0" w:color="auto"/>
      </w:divBdr>
    </w:div>
    <w:div w:id="1608929161">
      <w:bodyDiv w:val="1"/>
      <w:marLeft w:val="0"/>
      <w:marRight w:val="0"/>
      <w:marTop w:val="0"/>
      <w:marBottom w:val="0"/>
      <w:divBdr>
        <w:top w:val="none" w:sz="0" w:space="0" w:color="auto"/>
        <w:left w:val="none" w:sz="0" w:space="0" w:color="auto"/>
        <w:bottom w:val="none" w:sz="0" w:space="0" w:color="auto"/>
        <w:right w:val="none" w:sz="0" w:space="0" w:color="auto"/>
      </w:divBdr>
      <w:divsChild>
        <w:div w:id="714037347">
          <w:marLeft w:val="0"/>
          <w:marRight w:val="0"/>
          <w:marTop w:val="0"/>
          <w:marBottom w:val="0"/>
          <w:divBdr>
            <w:top w:val="none" w:sz="0" w:space="0" w:color="auto"/>
            <w:left w:val="none" w:sz="0" w:space="0" w:color="auto"/>
            <w:bottom w:val="none" w:sz="0" w:space="0" w:color="auto"/>
            <w:right w:val="none" w:sz="0" w:space="0" w:color="auto"/>
          </w:divBdr>
        </w:div>
        <w:div w:id="1573659026">
          <w:marLeft w:val="0"/>
          <w:marRight w:val="0"/>
          <w:marTop w:val="0"/>
          <w:marBottom w:val="0"/>
          <w:divBdr>
            <w:top w:val="none" w:sz="0" w:space="0" w:color="auto"/>
            <w:left w:val="none" w:sz="0" w:space="0" w:color="auto"/>
            <w:bottom w:val="none" w:sz="0" w:space="0" w:color="auto"/>
            <w:right w:val="none" w:sz="0" w:space="0" w:color="auto"/>
          </w:divBdr>
        </w:div>
      </w:divsChild>
    </w:div>
    <w:div w:id="1612123676">
      <w:bodyDiv w:val="1"/>
      <w:marLeft w:val="0"/>
      <w:marRight w:val="0"/>
      <w:marTop w:val="0"/>
      <w:marBottom w:val="0"/>
      <w:divBdr>
        <w:top w:val="none" w:sz="0" w:space="0" w:color="auto"/>
        <w:left w:val="none" w:sz="0" w:space="0" w:color="auto"/>
        <w:bottom w:val="none" w:sz="0" w:space="0" w:color="auto"/>
        <w:right w:val="none" w:sz="0" w:space="0" w:color="auto"/>
      </w:divBdr>
    </w:div>
    <w:div w:id="1618487693">
      <w:bodyDiv w:val="1"/>
      <w:marLeft w:val="0"/>
      <w:marRight w:val="0"/>
      <w:marTop w:val="0"/>
      <w:marBottom w:val="0"/>
      <w:divBdr>
        <w:top w:val="none" w:sz="0" w:space="0" w:color="auto"/>
        <w:left w:val="none" w:sz="0" w:space="0" w:color="auto"/>
        <w:bottom w:val="none" w:sz="0" w:space="0" w:color="auto"/>
        <w:right w:val="none" w:sz="0" w:space="0" w:color="auto"/>
      </w:divBdr>
    </w:div>
    <w:div w:id="1619212986">
      <w:bodyDiv w:val="1"/>
      <w:marLeft w:val="0"/>
      <w:marRight w:val="0"/>
      <w:marTop w:val="0"/>
      <w:marBottom w:val="0"/>
      <w:divBdr>
        <w:top w:val="none" w:sz="0" w:space="0" w:color="auto"/>
        <w:left w:val="none" w:sz="0" w:space="0" w:color="auto"/>
        <w:bottom w:val="none" w:sz="0" w:space="0" w:color="auto"/>
        <w:right w:val="none" w:sz="0" w:space="0" w:color="auto"/>
      </w:divBdr>
    </w:div>
    <w:div w:id="1620141814">
      <w:bodyDiv w:val="1"/>
      <w:marLeft w:val="0"/>
      <w:marRight w:val="0"/>
      <w:marTop w:val="0"/>
      <w:marBottom w:val="0"/>
      <w:divBdr>
        <w:top w:val="none" w:sz="0" w:space="0" w:color="auto"/>
        <w:left w:val="none" w:sz="0" w:space="0" w:color="auto"/>
        <w:bottom w:val="none" w:sz="0" w:space="0" w:color="auto"/>
        <w:right w:val="none" w:sz="0" w:space="0" w:color="auto"/>
      </w:divBdr>
    </w:div>
    <w:div w:id="1622834578">
      <w:bodyDiv w:val="1"/>
      <w:marLeft w:val="0"/>
      <w:marRight w:val="0"/>
      <w:marTop w:val="0"/>
      <w:marBottom w:val="0"/>
      <w:divBdr>
        <w:top w:val="none" w:sz="0" w:space="0" w:color="auto"/>
        <w:left w:val="none" w:sz="0" w:space="0" w:color="auto"/>
        <w:bottom w:val="none" w:sz="0" w:space="0" w:color="auto"/>
        <w:right w:val="none" w:sz="0" w:space="0" w:color="auto"/>
      </w:divBdr>
      <w:divsChild>
        <w:div w:id="465440388">
          <w:marLeft w:val="0"/>
          <w:marRight w:val="0"/>
          <w:marTop w:val="0"/>
          <w:marBottom w:val="0"/>
          <w:divBdr>
            <w:top w:val="none" w:sz="0" w:space="0" w:color="auto"/>
            <w:left w:val="none" w:sz="0" w:space="0" w:color="auto"/>
            <w:bottom w:val="none" w:sz="0" w:space="0" w:color="auto"/>
            <w:right w:val="none" w:sz="0" w:space="0" w:color="auto"/>
          </w:divBdr>
        </w:div>
        <w:div w:id="1050613836">
          <w:marLeft w:val="0"/>
          <w:marRight w:val="0"/>
          <w:marTop w:val="0"/>
          <w:marBottom w:val="0"/>
          <w:divBdr>
            <w:top w:val="none" w:sz="0" w:space="0" w:color="auto"/>
            <w:left w:val="none" w:sz="0" w:space="0" w:color="auto"/>
            <w:bottom w:val="none" w:sz="0" w:space="0" w:color="auto"/>
            <w:right w:val="none" w:sz="0" w:space="0" w:color="auto"/>
          </w:divBdr>
        </w:div>
      </w:divsChild>
    </w:div>
    <w:div w:id="1623030013">
      <w:bodyDiv w:val="1"/>
      <w:marLeft w:val="0"/>
      <w:marRight w:val="0"/>
      <w:marTop w:val="0"/>
      <w:marBottom w:val="0"/>
      <w:divBdr>
        <w:top w:val="none" w:sz="0" w:space="0" w:color="auto"/>
        <w:left w:val="none" w:sz="0" w:space="0" w:color="auto"/>
        <w:bottom w:val="none" w:sz="0" w:space="0" w:color="auto"/>
        <w:right w:val="none" w:sz="0" w:space="0" w:color="auto"/>
      </w:divBdr>
    </w:div>
    <w:div w:id="1625311952">
      <w:bodyDiv w:val="1"/>
      <w:marLeft w:val="0"/>
      <w:marRight w:val="0"/>
      <w:marTop w:val="0"/>
      <w:marBottom w:val="0"/>
      <w:divBdr>
        <w:top w:val="none" w:sz="0" w:space="0" w:color="auto"/>
        <w:left w:val="none" w:sz="0" w:space="0" w:color="auto"/>
        <w:bottom w:val="none" w:sz="0" w:space="0" w:color="auto"/>
        <w:right w:val="none" w:sz="0" w:space="0" w:color="auto"/>
      </w:divBdr>
    </w:div>
    <w:div w:id="1629697026">
      <w:bodyDiv w:val="1"/>
      <w:marLeft w:val="0"/>
      <w:marRight w:val="0"/>
      <w:marTop w:val="0"/>
      <w:marBottom w:val="0"/>
      <w:divBdr>
        <w:top w:val="none" w:sz="0" w:space="0" w:color="auto"/>
        <w:left w:val="none" w:sz="0" w:space="0" w:color="auto"/>
        <w:bottom w:val="none" w:sz="0" w:space="0" w:color="auto"/>
        <w:right w:val="none" w:sz="0" w:space="0" w:color="auto"/>
      </w:divBdr>
      <w:divsChild>
        <w:div w:id="102385655">
          <w:marLeft w:val="0"/>
          <w:marRight w:val="0"/>
          <w:marTop w:val="0"/>
          <w:marBottom w:val="0"/>
          <w:divBdr>
            <w:top w:val="none" w:sz="0" w:space="0" w:color="auto"/>
            <w:left w:val="none" w:sz="0" w:space="0" w:color="auto"/>
            <w:bottom w:val="none" w:sz="0" w:space="0" w:color="auto"/>
            <w:right w:val="none" w:sz="0" w:space="0" w:color="auto"/>
          </w:divBdr>
        </w:div>
        <w:div w:id="416245821">
          <w:marLeft w:val="0"/>
          <w:marRight w:val="0"/>
          <w:marTop w:val="0"/>
          <w:marBottom w:val="0"/>
          <w:divBdr>
            <w:top w:val="none" w:sz="0" w:space="0" w:color="auto"/>
            <w:left w:val="none" w:sz="0" w:space="0" w:color="auto"/>
            <w:bottom w:val="none" w:sz="0" w:space="0" w:color="auto"/>
            <w:right w:val="none" w:sz="0" w:space="0" w:color="auto"/>
          </w:divBdr>
        </w:div>
        <w:div w:id="1144618460">
          <w:marLeft w:val="0"/>
          <w:marRight w:val="0"/>
          <w:marTop w:val="0"/>
          <w:marBottom w:val="0"/>
          <w:divBdr>
            <w:top w:val="none" w:sz="0" w:space="0" w:color="auto"/>
            <w:left w:val="none" w:sz="0" w:space="0" w:color="auto"/>
            <w:bottom w:val="none" w:sz="0" w:space="0" w:color="auto"/>
            <w:right w:val="none" w:sz="0" w:space="0" w:color="auto"/>
          </w:divBdr>
        </w:div>
      </w:divsChild>
    </w:div>
    <w:div w:id="1635524906">
      <w:bodyDiv w:val="1"/>
      <w:marLeft w:val="0"/>
      <w:marRight w:val="0"/>
      <w:marTop w:val="0"/>
      <w:marBottom w:val="0"/>
      <w:divBdr>
        <w:top w:val="none" w:sz="0" w:space="0" w:color="auto"/>
        <w:left w:val="none" w:sz="0" w:space="0" w:color="auto"/>
        <w:bottom w:val="none" w:sz="0" w:space="0" w:color="auto"/>
        <w:right w:val="none" w:sz="0" w:space="0" w:color="auto"/>
      </w:divBdr>
    </w:div>
    <w:div w:id="1646813393">
      <w:bodyDiv w:val="1"/>
      <w:marLeft w:val="0"/>
      <w:marRight w:val="0"/>
      <w:marTop w:val="0"/>
      <w:marBottom w:val="0"/>
      <w:divBdr>
        <w:top w:val="none" w:sz="0" w:space="0" w:color="auto"/>
        <w:left w:val="none" w:sz="0" w:space="0" w:color="auto"/>
        <w:bottom w:val="none" w:sz="0" w:space="0" w:color="auto"/>
        <w:right w:val="none" w:sz="0" w:space="0" w:color="auto"/>
      </w:divBdr>
    </w:div>
    <w:div w:id="1647006059">
      <w:bodyDiv w:val="1"/>
      <w:marLeft w:val="0"/>
      <w:marRight w:val="0"/>
      <w:marTop w:val="0"/>
      <w:marBottom w:val="0"/>
      <w:divBdr>
        <w:top w:val="none" w:sz="0" w:space="0" w:color="auto"/>
        <w:left w:val="none" w:sz="0" w:space="0" w:color="auto"/>
        <w:bottom w:val="none" w:sz="0" w:space="0" w:color="auto"/>
        <w:right w:val="none" w:sz="0" w:space="0" w:color="auto"/>
      </w:divBdr>
      <w:divsChild>
        <w:div w:id="4939032">
          <w:marLeft w:val="0"/>
          <w:marRight w:val="0"/>
          <w:marTop w:val="0"/>
          <w:marBottom w:val="0"/>
          <w:divBdr>
            <w:top w:val="none" w:sz="0" w:space="0" w:color="auto"/>
            <w:left w:val="none" w:sz="0" w:space="0" w:color="auto"/>
            <w:bottom w:val="none" w:sz="0" w:space="0" w:color="auto"/>
            <w:right w:val="none" w:sz="0" w:space="0" w:color="auto"/>
          </w:divBdr>
        </w:div>
        <w:div w:id="323169325">
          <w:marLeft w:val="0"/>
          <w:marRight w:val="0"/>
          <w:marTop w:val="0"/>
          <w:marBottom w:val="0"/>
          <w:divBdr>
            <w:top w:val="none" w:sz="0" w:space="0" w:color="auto"/>
            <w:left w:val="none" w:sz="0" w:space="0" w:color="auto"/>
            <w:bottom w:val="none" w:sz="0" w:space="0" w:color="auto"/>
            <w:right w:val="none" w:sz="0" w:space="0" w:color="auto"/>
          </w:divBdr>
        </w:div>
      </w:divsChild>
    </w:div>
    <w:div w:id="1647274237">
      <w:bodyDiv w:val="1"/>
      <w:marLeft w:val="0"/>
      <w:marRight w:val="0"/>
      <w:marTop w:val="0"/>
      <w:marBottom w:val="0"/>
      <w:divBdr>
        <w:top w:val="none" w:sz="0" w:space="0" w:color="auto"/>
        <w:left w:val="none" w:sz="0" w:space="0" w:color="auto"/>
        <w:bottom w:val="none" w:sz="0" w:space="0" w:color="auto"/>
        <w:right w:val="none" w:sz="0" w:space="0" w:color="auto"/>
      </w:divBdr>
    </w:div>
    <w:div w:id="1652513777">
      <w:bodyDiv w:val="1"/>
      <w:marLeft w:val="0"/>
      <w:marRight w:val="0"/>
      <w:marTop w:val="0"/>
      <w:marBottom w:val="0"/>
      <w:divBdr>
        <w:top w:val="none" w:sz="0" w:space="0" w:color="auto"/>
        <w:left w:val="none" w:sz="0" w:space="0" w:color="auto"/>
        <w:bottom w:val="none" w:sz="0" w:space="0" w:color="auto"/>
        <w:right w:val="none" w:sz="0" w:space="0" w:color="auto"/>
      </w:divBdr>
    </w:div>
    <w:div w:id="1653100682">
      <w:bodyDiv w:val="1"/>
      <w:marLeft w:val="0"/>
      <w:marRight w:val="0"/>
      <w:marTop w:val="0"/>
      <w:marBottom w:val="0"/>
      <w:divBdr>
        <w:top w:val="none" w:sz="0" w:space="0" w:color="auto"/>
        <w:left w:val="none" w:sz="0" w:space="0" w:color="auto"/>
        <w:bottom w:val="none" w:sz="0" w:space="0" w:color="auto"/>
        <w:right w:val="none" w:sz="0" w:space="0" w:color="auto"/>
      </w:divBdr>
    </w:div>
    <w:div w:id="1655912486">
      <w:bodyDiv w:val="1"/>
      <w:marLeft w:val="0"/>
      <w:marRight w:val="0"/>
      <w:marTop w:val="0"/>
      <w:marBottom w:val="0"/>
      <w:divBdr>
        <w:top w:val="none" w:sz="0" w:space="0" w:color="auto"/>
        <w:left w:val="none" w:sz="0" w:space="0" w:color="auto"/>
        <w:bottom w:val="none" w:sz="0" w:space="0" w:color="auto"/>
        <w:right w:val="none" w:sz="0" w:space="0" w:color="auto"/>
      </w:divBdr>
      <w:divsChild>
        <w:div w:id="309403723">
          <w:marLeft w:val="0"/>
          <w:marRight w:val="0"/>
          <w:marTop w:val="0"/>
          <w:marBottom w:val="0"/>
          <w:divBdr>
            <w:top w:val="none" w:sz="0" w:space="0" w:color="auto"/>
            <w:left w:val="none" w:sz="0" w:space="0" w:color="auto"/>
            <w:bottom w:val="none" w:sz="0" w:space="0" w:color="auto"/>
            <w:right w:val="none" w:sz="0" w:space="0" w:color="auto"/>
          </w:divBdr>
        </w:div>
      </w:divsChild>
    </w:div>
    <w:div w:id="1662272382">
      <w:bodyDiv w:val="1"/>
      <w:marLeft w:val="0"/>
      <w:marRight w:val="0"/>
      <w:marTop w:val="0"/>
      <w:marBottom w:val="0"/>
      <w:divBdr>
        <w:top w:val="none" w:sz="0" w:space="0" w:color="auto"/>
        <w:left w:val="none" w:sz="0" w:space="0" w:color="auto"/>
        <w:bottom w:val="none" w:sz="0" w:space="0" w:color="auto"/>
        <w:right w:val="none" w:sz="0" w:space="0" w:color="auto"/>
      </w:divBdr>
    </w:div>
    <w:div w:id="1662733407">
      <w:bodyDiv w:val="1"/>
      <w:marLeft w:val="0"/>
      <w:marRight w:val="0"/>
      <w:marTop w:val="0"/>
      <w:marBottom w:val="0"/>
      <w:divBdr>
        <w:top w:val="none" w:sz="0" w:space="0" w:color="auto"/>
        <w:left w:val="none" w:sz="0" w:space="0" w:color="auto"/>
        <w:bottom w:val="none" w:sz="0" w:space="0" w:color="auto"/>
        <w:right w:val="none" w:sz="0" w:space="0" w:color="auto"/>
      </w:divBdr>
    </w:div>
    <w:div w:id="1666858295">
      <w:bodyDiv w:val="1"/>
      <w:marLeft w:val="0"/>
      <w:marRight w:val="0"/>
      <w:marTop w:val="0"/>
      <w:marBottom w:val="0"/>
      <w:divBdr>
        <w:top w:val="none" w:sz="0" w:space="0" w:color="auto"/>
        <w:left w:val="none" w:sz="0" w:space="0" w:color="auto"/>
        <w:bottom w:val="none" w:sz="0" w:space="0" w:color="auto"/>
        <w:right w:val="none" w:sz="0" w:space="0" w:color="auto"/>
      </w:divBdr>
    </w:div>
    <w:div w:id="1675690610">
      <w:bodyDiv w:val="1"/>
      <w:marLeft w:val="0"/>
      <w:marRight w:val="0"/>
      <w:marTop w:val="0"/>
      <w:marBottom w:val="0"/>
      <w:divBdr>
        <w:top w:val="none" w:sz="0" w:space="0" w:color="auto"/>
        <w:left w:val="none" w:sz="0" w:space="0" w:color="auto"/>
        <w:bottom w:val="none" w:sz="0" w:space="0" w:color="auto"/>
        <w:right w:val="none" w:sz="0" w:space="0" w:color="auto"/>
      </w:divBdr>
    </w:div>
    <w:div w:id="1678455928">
      <w:bodyDiv w:val="1"/>
      <w:marLeft w:val="0"/>
      <w:marRight w:val="0"/>
      <w:marTop w:val="0"/>
      <w:marBottom w:val="0"/>
      <w:divBdr>
        <w:top w:val="none" w:sz="0" w:space="0" w:color="auto"/>
        <w:left w:val="none" w:sz="0" w:space="0" w:color="auto"/>
        <w:bottom w:val="none" w:sz="0" w:space="0" w:color="auto"/>
        <w:right w:val="none" w:sz="0" w:space="0" w:color="auto"/>
      </w:divBdr>
    </w:div>
    <w:div w:id="1679768513">
      <w:bodyDiv w:val="1"/>
      <w:marLeft w:val="0"/>
      <w:marRight w:val="0"/>
      <w:marTop w:val="0"/>
      <w:marBottom w:val="0"/>
      <w:divBdr>
        <w:top w:val="none" w:sz="0" w:space="0" w:color="auto"/>
        <w:left w:val="none" w:sz="0" w:space="0" w:color="auto"/>
        <w:bottom w:val="none" w:sz="0" w:space="0" w:color="auto"/>
        <w:right w:val="none" w:sz="0" w:space="0" w:color="auto"/>
      </w:divBdr>
      <w:divsChild>
        <w:div w:id="1638449">
          <w:marLeft w:val="0"/>
          <w:marRight w:val="0"/>
          <w:marTop w:val="0"/>
          <w:marBottom w:val="0"/>
          <w:divBdr>
            <w:top w:val="none" w:sz="0" w:space="0" w:color="auto"/>
            <w:left w:val="none" w:sz="0" w:space="0" w:color="auto"/>
            <w:bottom w:val="none" w:sz="0" w:space="0" w:color="auto"/>
            <w:right w:val="none" w:sz="0" w:space="0" w:color="auto"/>
          </w:divBdr>
        </w:div>
        <w:div w:id="1852525173">
          <w:marLeft w:val="0"/>
          <w:marRight w:val="0"/>
          <w:marTop w:val="0"/>
          <w:marBottom w:val="0"/>
          <w:divBdr>
            <w:top w:val="none" w:sz="0" w:space="0" w:color="auto"/>
            <w:left w:val="none" w:sz="0" w:space="0" w:color="auto"/>
            <w:bottom w:val="none" w:sz="0" w:space="0" w:color="auto"/>
            <w:right w:val="none" w:sz="0" w:space="0" w:color="auto"/>
          </w:divBdr>
        </w:div>
      </w:divsChild>
    </w:div>
    <w:div w:id="1680814958">
      <w:bodyDiv w:val="1"/>
      <w:marLeft w:val="0"/>
      <w:marRight w:val="0"/>
      <w:marTop w:val="0"/>
      <w:marBottom w:val="0"/>
      <w:divBdr>
        <w:top w:val="none" w:sz="0" w:space="0" w:color="auto"/>
        <w:left w:val="none" w:sz="0" w:space="0" w:color="auto"/>
        <w:bottom w:val="none" w:sz="0" w:space="0" w:color="auto"/>
        <w:right w:val="none" w:sz="0" w:space="0" w:color="auto"/>
      </w:divBdr>
      <w:divsChild>
        <w:div w:id="1063406009">
          <w:marLeft w:val="0"/>
          <w:marRight w:val="0"/>
          <w:marTop w:val="0"/>
          <w:marBottom w:val="0"/>
          <w:divBdr>
            <w:top w:val="none" w:sz="0" w:space="0" w:color="auto"/>
            <w:left w:val="none" w:sz="0" w:space="0" w:color="auto"/>
            <w:bottom w:val="none" w:sz="0" w:space="0" w:color="auto"/>
            <w:right w:val="none" w:sz="0" w:space="0" w:color="auto"/>
          </w:divBdr>
        </w:div>
        <w:div w:id="2141456022">
          <w:marLeft w:val="0"/>
          <w:marRight w:val="0"/>
          <w:marTop w:val="0"/>
          <w:marBottom w:val="0"/>
          <w:divBdr>
            <w:top w:val="none" w:sz="0" w:space="0" w:color="auto"/>
            <w:left w:val="none" w:sz="0" w:space="0" w:color="auto"/>
            <w:bottom w:val="none" w:sz="0" w:space="0" w:color="auto"/>
            <w:right w:val="none" w:sz="0" w:space="0" w:color="auto"/>
          </w:divBdr>
        </w:div>
      </w:divsChild>
    </w:div>
    <w:div w:id="1685086169">
      <w:bodyDiv w:val="1"/>
      <w:marLeft w:val="0"/>
      <w:marRight w:val="0"/>
      <w:marTop w:val="0"/>
      <w:marBottom w:val="0"/>
      <w:divBdr>
        <w:top w:val="none" w:sz="0" w:space="0" w:color="auto"/>
        <w:left w:val="none" w:sz="0" w:space="0" w:color="auto"/>
        <w:bottom w:val="none" w:sz="0" w:space="0" w:color="auto"/>
        <w:right w:val="none" w:sz="0" w:space="0" w:color="auto"/>
      </w:divBdr>
    </w:div>
    <w:div w:id="1692488030">
      <w:bodyDiv w:val="1"/>
      <w:marLeft w:val="0"/>
      <w:marRight w:val="0"/>
      <w:marTop w:val="0"/>
      <w:marBottom w:val="0"/>
      <w:divBdr>
        <w:top w:val="none" w:sz="0" w:space="0" w:color="auto"/>
        <w:left w:val="none" w:sz="0" w:space="0" w:color="auto"/>
        <w:bottom w:val="none" w:sz="0" w:space="0" w:color="auto"/>
        <w:right w:val="none" w:sz="0" w:space="0" w:color="auto"/>
      </w:divBdr>
      <w:divsChild>
        <w:div w:id="47385222">
          <w:marLeft w:val="0"/>
          <w:marRight w:val="0"/>
          <w:marTop w:val="0"/>
          <w:marBottom w:val="0"/>
          <w:divBdr>
            <w:top w:val="none" w:sz="0" w:space="0" w:color="auto"/>
            <w:left w:val="none" w:sz="0" w:space="0" w:color="auto"/>
            <w:bottom w:val="none" w:sz="0" w:space="0" w:color="auto"/>
            <w:right w:val="none" w:sz="0" w:space="0" w:color="auto"/>
          </w:divBdr>
        </w:div>
        <w:div w:id="805129311">
          <w:marLeft w:val="0"/>
          <w:marRight w:val="0"/>
          <w:marTop w:val="0"/>
          <w:marBottom w:val="0"/>
          <w:divBdr>
            <w:top w:val="none" w:sz="0" w:space="0" w:color="auto"/>
            <w:left w:val="none" w:sz="0" w:space="0" w:color="auto"/>
            <w:bottom w:val="none" w:sz="0" w:space="0" w:color="auto"/>
            <w:right w:val="none" w:sz="0" w:space="0" w:color="auto"/>
          </w:divBdr>
        </w:div>
        <w:div w:id="845098821">
          <w:marLeft w:val="0"/>
          <w:marRight w:val="0"/>
          <w:marTop w:val="0"/>
          <w:marBottom w:val="0"/>
          <w:divBdr>
            <w:top w:val="none" w:sz="0" w:space="0" w:color="auto"/>
            <w:left w:val="none" w:sz="0" w:space="0" w:color="auto"/>
            <w:bottom w:val="none" w:sz="0" w:space="0" w:color="auto"/>
            <w:right w:val="none" w:sz="0" w:space="0" w:color="auto"/>
          </w:divBdr>
        </w:div>
      </w:divsChild>
    </w:div>
    <w:div w:id="1694382692">
      <w:bodyDiv w:val="1"/>
      <w:marLeft w:val="0"/>
      <w:marRight w:val="0"/>
      <w:marTop w:val="0"/>
      <w:marBottom w:val="0"/>
      <w:divBdr>
        <w:top w:val="none" w:sz="0" w:space="0" w:color="auto"/>
        <w:left w:val="none" w:sz="0" w:space="0" w:color="auto"/>
        <w:bottom w:val="none" w:sz="0" w:space="0" w:color="auto"/>
        <w:right w:val="none" w:sz="0" w:space="0" w:color="auto"/>
      </w:divBdr>
    </w:div>
    <w:div w:id="1697541888">
      <w:bodyDiv w:val="1"/>
      <w:marLeft w:val="0"/>
      <w:marRight w:val="0"/>
      <w:marTop w:val="0"/>
      <w:marBottom w:val="0"/>
      <w:divBdr>
        <w:top w:val="none" w:sz="0" w:space="0" w:color="auto"/>
        <w:left w:val="none" w:sz="0" w:space="0" w:color="auto"/>
        <w:bottom w:val="none" w:sz="0" w:space="0" w:color="auto"/>
        <w:right w:val="none" w:sz="0" w:space="0" w:color="auto"/>
      </w:divBdr>
    </w:div>
    <w:div w:id="1697656666">
      <w:bodyDiv w:val="1"/>
      <w:marLeft w:val="0"/>
      <w:marRight w:val="0"/>
      <w:marTop w:val="0"/>
      <w:marBottom w:val="0"/>
      <w:divBdr>
        <w:top w:val="none" w:sz="0" w:space="0" w:color="auto"/>
        <w:left w:val="none" w:sz="0" w:space="0" w:color="auto"/>
        <w:bottom w:val="none" w:sz="0" w:space="0" w:color="auto"/>
        <w:right w:val="none" w:sz="0" w:space="0" w:color="auto"/>
      </w:divBdr>
    </w:div>
    <w:div w:id="1701970619">
      <w:bodyDiv w:val="1"/>
      <w:marLeft w:val="0"/>
      <w:marRight w:val="0"/>
      <w:marTop w:val="0"/>
      <w:marBottom w:val="0"/>
      <w:divBdr>
        <w:top w:val="none" w:sz="0" w:space="0" w:color="auto"/>
        <w:left w:val="none" w:sz="0" w:space="0" w:color="auto"/>
        <w:bottom w:val="none" w:sz="0" w:space="0" w:color="auto"/>
        <w:right w:val="none" w:sz="0" w:space="0" w:color="auto"/>
      </w:divBdr>
    </w:div>
    <w:div w:id="1702198375">
      <w:bodyDiv w:val="1"/>
      <w:marLeft w:val="0"/>
      <w:marRight w:val="0"/>
      <w:marTop w:val="0"/>
      <w:marBottom w:val="0"/>
      <w:divBdr>
        <w:top w:val="none" w:sz="0" w:space="0" w:color="auto"/>
        <w:left w:val="none" w:sz="0" w:space="0" w:color="auto"/>
        <w:bottom w:val="none" w:sz="0" w:space="0" w:color="auto"/>
        <w:right w:val="none" w:sz="0" w:space="0" w:color="auto"/>
      </w:divBdr>
    </w:div>
    <w:div w:id="1703700364">
      <w:bodyDiv w:val="1"/>
      <w:marLeft w:val="0"/>
      <w:marRight w:val="0"/>
      <w:marTop w:val="0"/>
      <w:marBottom w:val="0"/>
      <w:divBdr>
        <w:top w:val="none" w:sz="0" w:space="0" w:color="auto"/>
        <w:left w:val="none" w:sz="0" w:space="0" w:color="auto"/>
        <w:bottom w:val="none" w:sz="0" w:space="0" w:color="auto"/>
        <w:right w:val="none" w:sz="0" w:space="0" w:color="auto"/>
      </w:divBdr>
    </w:div>
    <w:div w:id="1703938427">
      <w:bodyDiv w:val="1"/>
      <w:marLeft w:val="0"/>
      <w:marRight w:val="0"/>
      <w:marTop w:val="0"/>
      <w:marBottom w:val="0"/>
      <w:divBdr>
        <w:top w:val="none" w:sz="0" w:space="0" w:color="auto"/>
        <w:left w:val="none" w:sz="0" w:space="0" w:color="auto"/>
        <w:bottom w:val="none" w:sz="0" w:space="0" w:color="auto"/>
        <w:right w:val="none" w:sz="0" w:space="0" w:color="auto"/>
      </w:divBdr>
      <w:divsChild>
        <w:div w:id="610820222">
          <w:marLeft w:val="0"/>
          <w:marRight w:val="0"/>
          <w:marTop w:val="0"/>
          <w:marBottom w:val="0"/>
          <w:divBdr>
            <w:top w:val="none" w:sz="0" w:space="0" w:color="auto"/>
            <w:left w:val="none" w:sz="0" w:space="0" w:color="auto"/>
            <w:bottom w:val="none" w:sz="0" w:space="0" w:color="auto"/>
            <w:right w:val="none" w:sz="0" w:space="0" w:color="auto"/>
          </w:divBdr>
        </w:div>
        <w:div w:id="1970937749">
          <w:marLeft w:val="0"/>
          <w:marRight w:val="0"/>
          <w:marTop w:val="0"/>
          <w:marBottom w:val="0"/>
          <w:divBdr>
            <w:top w:val="none" w:sz="0" w:space="0" w:color="auto"/>
            <w:left w:val="none" w:sz="0" w:space="0" w:color="auto"/>
            <w:bottom w:val="none" w:sz="0" w:space="0" w:color="auto"/>
            <w:right w:val="none" w:sz="0" w:space="0" w:color="auto"/>
          </w:divBdr>
        </w:div>
      </w:divsChild>
    </w:div>
    <w:div w:id="1705207825">
      <w:bodyDiv w:val="1"/>
      <w:marLeft w:val="0"/>
      <w:marRight w:val="0"/>
      <w:marTop w:val="0"/>
      <w:marBottom w:val="0"/>
      <w:divBdr>
        <w:top w:val="none" w:sz="0" w:space="0" w:color="auto"/>
        <w:left w:val="none" w:sz="0" w:space="0" w:color="auto"/>
        <w:bottom w:val="none" w:sz="0" w:space="0" w:color="auto"/>
        <w:right w:val="none" w:sz="0" w:space="0" w:color="auto"/>
      </w:divBdr>
    </w:div>
    <w:div w:id="1705211196">
      <w:bodyDiv w:val="1"/>
      <w:marLeft w:val="0"/>
      <w:marRight w:val="0"/>
      <w:marTop w:val="0"/>
      <w:marBottom w:val="0"/>
      <w:divBdr>
        <w:top w:val="none" w:sz="0" w:space="0" w:color="auto"/>
        <w:left w:val="none" w:sz="0" w:space="0" w:color="auto"/>
        <w:bottom w:val="none" w:sz="0" w:space="0" w:color="auto"/>
        <w:right w:val="none" w:sz="0" w:space="0" w:color="auto"/>
      </w:divBdr>
    </w:div>
    <w:div w:id="1711804328">
      <w:bodyDiv w:val="1"/>
      <w:marLeft w:val="0"/>
      <w:marRight w:val="0"/>
      <w:marTop w:val="0"/>
      <w:marBottom w:val="0"/>
      <w:divBdr>
        <w:top w:val="none" w:sz="0" w:space="0" w:color="auto"/>
        <w:left w:val="none" w:sz="0" w:space="0" w:color="auto"/>
        <w:bottom w:val="none" w:sz="0" w:space="0" w:color="auto"/>
        <w:right w:val="none" w:sz="0" w:space="0" w:color="auto"/>
      </w:divBdr>
      <w:divsChild>
        <w:div w:id="922955011">
          <w:marLeft w:val="0"/>
          <w:marRight w:val="0"/>
          <w:marTop w:val="0"/>
          <w:marBottom w:val="0"/>
          <w:divBdr>
            <w:top w:val="none" w:sz="0" w:space="0" w:color="auto"/>
            <w:left w:val="none" w:sz="0" w:space="0" w:color="auto"/>
            <w:bottom w:val="none" w:sz="0" w:space="0" w:color="auto"/>
            <w:right w:val="none" w:sz="0" w:space="0" w:color="auto"/>
          </w:divBdr>
          <w:divsChild>
            <w:div w:id="1782265162">
              <w:marLeft w:val="0"/>
              <w:marRight w:val="0"/>
              <w:marTop w:val="0"/>
              <w:marBottom w:val="0"/>
              <w:divBdr>
                <w:top w:val="none" w:sz="0" w:space="0" w:color="auto"/>
                <w:left w:val="none" w:sz="0" w:space="0" w:color="auto"/>
                <w:bottom w:val="none" w:sz="0" w:space="0" w:color="auto"/>
                <w:right w:val="none" w:sz="0" w:space="0" w:color="auto"/>
              </w:divBdr>
            </w:div>
            <w:div w:id="1934586035">
              <w:marLeft w:val="0"/>
              <w:marRight w:val="0"/>
              <w:marTop w:val="0"/>
              <w:marBottom w:val="0"/>
              <w:divBdr>
                <w:top w:val="none" w:sz="0" w:space="0" w:color="auto"/>
                <w:left w:val="none" w:sz="0" w:space="0" w:color="auto"/>
                <w:bottom w:val="none" w:sz="0" w:space="0" w:color="auto"/>
                <w:right w:val="none" w:sz="0" w:space="0" w:color="auto"/>
              </w:divBdr>
            </w:div>
          </w:divsChild>
        </w:div>
        <w:div w:id="1682317133">
          <w:marLeft w:val="0"/>
          <w:marRight w:val="0"/>
          <w:marTop w:val="0"/>
          <w:marBottom w:val="0"/>
          <w:divBdr>
            <w:top w:val="none" w:sz="0" w:space="0" w:color="auto"/>
            <w:left w:val="none" w:sz="0" w:space="0" w:color="auto"/>
            <w:bottom w:val="none" w:sz="0" w:space="0" w:color="auto"/>
            <w:right w:val="none" w:sz="0" w:space="0" w:color="auto"/>
          </w:divBdr>
        </w:div>
      </w:divsChild>
    </w:div>
    <w:div w:id="1714036409">
      <w:bodyDiv w:val="1"/>
      <w:marLeft w:val="0"/>
      <w:marRight w:val="0"/>
      <w:marTop w:val="0"/>
      <w:marBottom w:val="0"/>
      <w:divBdr>
        <w:top w:val="none" w:sz="0" w:space="0" w:color="auto"/>
        <w:left w:val="none" w:sz="0" w:space="0" w:color="auto"/>
        <w:bottom w:val="none" w:sz="0" w:space="0" w:color="auto"/>
        <w:right w:val="none" w:sz="0" w:space="0" w:color="auto"/>
      </w:divBdr>
    </w:div>
    <w:div w:id="1717730343">
      <w:bodyDiv w:val="1"/>
      <w:marLeft w:val="0"/>
      <w:marRight w:val="0"/>
      <w:marTop w:val="0"/>
      <w:marBottom w:val="0"/>
      <w:divBdr>
        <w:top w:val="none" w:sz="0" w:space="0" w:color="auto"/>
        <w:left w:val="none" w:sz="0" w:space="0" w:color="auto"/>
        <w:bottom w:val="none" w:sz="0" w:space="0" w:color="auto"/>
        <w:right w:val="none" w:sz="0" w:space="0" w:color="auto"/>
      </w:divBdr>
      <w:divsChild>
        <w:div w:id="86967765">
          <w:marLeft w:val="0"/>
          <w:marRight w:val="0"/>
          <w:marTop w:val="0"/>
          <w:marBottom w:val="0"/>
          <w:divBdr>
            <w:top w:val="none" w:sz="0" w:space="0" w:color="auto"/>
            <w:left w:val="none" w:sz="0" w:space="0" w:color="auto"/>
            <w:bottom w:val="none" w:sz="0" w:space="0" w:color="auto"/>
            <w:right w:val="none" w:sz="0" w:space="0" w:color="auto"/>
          </w:divBdr>
        </w:div>
        <w:div w:id="1226331331">
          <w:marLeft w:val="0"/>
          <w:marRight w:val="0"/>
          <w:marTop w:val="0"/>
          <w:marBottom w:val="0"/>
          <w:divBdr>
            <w:top w:val="none" w:sz="0" w:space="0" w:color="auto"/>
            <w:left w:val="none" w:sz="0" w:space="0" w:color="auto"/>
            <w:bottom w:val="none" w:sz="0" w:space="0" w:color="auto"/>
            <w:right w:val="none" w:sz="0" w:space="0" w:color="auto"/>
          </w:divBdr>
        </w:div>
        <w:div w:id="1399207605">
          <w:marLeft w:val="0"/>
          <w:marRight w:val="0"/>
          <w:marTop w:val="0"/>
          <w:marBottom w:val="0"/>
          <w:divBdr>
            <w:top w:val="none" w:sz="0" w:space="0" w:color="auto"/>
            <w:left w:val="none" w:sz="0" w:space="0" w:color="auto"/>
            <w:bottom w:val="none" w:sz="0" w:space="0" w:color="auto"/>
            <w:right w:val="none" w:sz="0" w:space="0" w:color="auto"/>
          </w:divBdr>
        </w:div>
        <w:div w:id="1421639108">
          <w:marLeft w:val="0"/>
          <w:marRight w:val="0"/>
          <w:marTop w:val="0"/>
          <w:marBottom w:val="0"/>
          <w:divBdr>
            <w:top w:val="none" w:sz="0" w:space="0" w:color="auto"/>
            <w:left w:val="none" w:sz="0" w:space="0" w:color="auto"/>
            <w:bottom w:val="none" w:sz="0" w:space="0" w:color="auto"/>
            <w:right w:val="none" w:sz="0" w:space="0" w:color="auto"/>
          </w:divBdr>
        </w:div>
        <w:div w:id="1863975412">
          <w:marLeft w:val="0"/>
          <w:marRight w:val="0"/>
          <w:marTop w:val="0"/>
          <w:marBottom w:val="0"/>
          <w:divBdr>
            <w:top w:val="none" w:sz="0" w:space="0" w:color="auto"/>
            <w:left w:val="none" w:sz="0" w:space="0" w:color="auto"/>
            <w:bottom w:val="none" w:sz="0" w:space="0" w:color="auto"/>
            <w:right w:val="none" w:sz="0" w:space="0" w:color="auto"/>
          </w:divBdr>
        </w:div>
      </w:divsChild>
    </w:div>
    <w:div w:id="1722099228">
      <w:bodyDiv w:val="1"/>
      <w:marLeft w:val="0"/>
      <w:marRight w:val="0"/>
      <w:marTop w:val="0"/>
      <w:marBottom w:val="0"/>
      <w:divBdr>
        <w:top w:val="none" w:sz="0" w:space="0" w:color="auto"/>
        <w:left w:val="none" w:sz="0" w:space="0" w:color="auto"/>
        <w:bottom w:val="none" w:sz="0" w:space="0" w:color="auto"/>
        <w:right w:val="none" w:sz="0" w:space="0" w:color="auto"/>
      </w:divBdr>
    </w:div>
    <w:div w:id="1724135589">
      <w:bodyDiv w:val="1"/>
      <w:marLeft w:val="0"/>
      <w:marRight w:val="0"/>
      <w:marTop w:val="0"/>
      <w:marBottom w:val="0"/>
      <w:divBdr>
        <w:top w:val="none" w:sz="0" w:space="0" w:color="auto"/>
        <w:left w:val="none" w:sz="0" w:space="0" w:color="auto"/>
        <w:bottom w:val="none" w:sz="0" w:space="0" w:color="auto"/>
        <w:right w:val="none" w:sz="0" w:space="0" w:color="auto"/>
      </w:divBdr>
      <w:divsChild>
        <w:div w:id="206989742">
          <w:marLeft w:val="0"/>
          <w:marRight w:val="0"/>
          <w:marTop w:val="0"/>
          <w:marBottom w:val="0"/>
          <w:divBdr>
            <w:top w:val="none" w:sz="0" w:space="0" w:color="auto"/>
            <w:left w:val="none" w:sz="0" w:space="0" w:color="auto"/>
            <w:bottom w:val="none" w:sz="0" w:space="0" w:color="auto"/>
            <w:right w:val="none" w:sz="0" w:space="0" w:color="auto"/>
          </w:divBdr>
        </w:div>
        <w:div w:id="1048526641">
          <w:marLeft w:val="0"/>
          <w:marRight w:val="0"/>
          <w:marTop w:val="0"/>
          <w:marBottom w:val="0"/>
          <w:divBdr>
            <w:top w:val="none" w:sz="0" w:space="0" w:color="auto"/>
            <w:left w:val="none" w:sz="0" w:space="0" w:color="auto"/>
            <w:bottom w:val="none" w:sz="0" w:space="0" w:color="auto"/>
            <w:right w:val="none" w:sz="0" w:space="0" w:color="auto"/>
          </w:divBdr>
        </w:div>
        <w:div w:id="1287738976">
          <w:marLeft w:val="0"/>
          <w:marRight w:val="0"/>
          <w:marTop w:val="0"/>
          <w:marBottom w:val="0"/>
          <w:divBdr>
            <w:top w:val="none" w:sz="0" w:space="0" w:color="auto"/>
            <w:left w:val="none" w:sz="0" w:space="0" w:color="auto"/>
            <w:bottom w:val="none" w:sz="0" w:space="0" w:color="auto"/>
            <w:right w:val="none" w:sz="0" w:space="0" w:color="auto"/>
          </w:divBdr>
        </w:div>
        <w:div w:id="1387560695">
          <w:marLeft w:val="0"/>
          <w:marRight w:val="0"/>
          <w:marTop w:val="0"/>
          <w:marBottom w:val="0"/>
          <w:divBdr>
            <w:top w:val="none" w:sz="0" w:space="0" w:color="auto"/>
            <w:left w:val="none" w:sz="0" w:space="0" w:color="auto"/>
            <w:bottom w:val="none" w:sz="0" w:space="0" w:color="auto"/>
            <w:right w:val="none" w:sz="0" w:space="0" w:color="auto"/>
          </w:divBdr>
        </w:div>
      </w:divsChild>
    </w:div>
    <w:div w:id="1726029139">
      <w:bodyDiv w:val="1"/>
      <w:marLeft w:val="0"/>
      <w:marRight w:val="0"/>
      <w:marTop w:val="0"/>
      <w:marBottom w:val="0"/>
      <w:divBdr>
        <w:top w:val="none" w:sz="0" w:space="0" w:color="auto"/>
        <w:left w:val="none" w:sz="0" w:space="0" w:color="auto"/>
        <w:bottom w:val="none" w:sz="0" w:space="0" w:color="auto"/>
        <w:right w:val="none" w:sz="0" w:space="0" w:color="auto"/>
      </w:divBdr>
    </w:div>
    <w:div w:id="1726174574">
      <w:bodyDiv w:val="1"/>
      <w:marLeft w:val="0"/>
      <w:marRight w:val="0"/>
      <w:marTop w:val="0"/>
      <w:marBottom w:val="0"/>
      <w:divBdr>
        <w:top w:val="none" w:sz="0" w:space="0" w:color="auto"/>
        <w:left w:val="none" w:sz="0" w:space="0" w:color="auto"/>
        <w:bottom w:val="none" w:sz="0" w:space="0" w:color="auto"/>
        <w:right w:val="none" w:sz="0" w:space="0" w:color="auto"/>
      </w:divBdr>
      <w:divsChild>
        <w:div w:id="6686024">
          <w:marLeft w:val="0"/>
          <w:marRight w:val="0"/>
          <w:marTop w:val="0"/>
          <w:marBottom w:val="0"/>
          <w:divBdr>
            <w:top w:val="none" w:sz="0" w:space="0" w:color="auto"/>
            <w:left w:val="none" w:sz="0" w:space="0" w:color="auto"/>
            <w:bottom w:val="none" w:sz="0" w:space="0" w:color="auto"/>
            <w:right w:val="none" w:sz="0" w:space="0" w:color="auto"/>
          </w:divBdr>
        </w:div>
        <w:div w:id="811826598">
          <w:marLeft w:val="0"/>
          <w:marRight w:val="0"/>
          <w:marTop w:val="0"/>
          <w:marBottom w:val="0"/>
          <w:divBdr>
            <w:top w:val="none" w:sz="0" w:space="0" w:color="auto"/>
            <w:left w:val="none" w:sz="0" w:space="0" w:color="auto"/>
            <w:bottom w:val="none" w:sz="0" w:space="0" w:color="auto"/>
            <w:right w:val="none" w:sz="0" w:space="0" w:color="auto"/>
          </w:divBdr>
        </w:div>
        <w:div w:id="1998219504">
          <w:marLeft w:val="0"/>
          <w:marRight w:val="0"/>
          <w:marTop w:val="0"/>
          <w:marBottom w:val="0"/>
          <w:divBdr>
            <w:top w:val="none" w:sz="0" w:space="0" w:color="auto"/>
            <w:left w:val="none" w:sz="0" w:space="0" w:color="auto"/>
            <w:bottom w:val="none" w:sz="0" w:space="0" w:color="auto"/>
            <w:right w:val="none" w:sz="0" w:space="0" w:color="auto"/>
          </w:divBdr>
        </w:div>
      </w:divsChild>
    </w:div>
    <w:div w:id="1729303490">
      <w:bodyDiv w:val="1"/>
      <w:marLeft w:val="0"/>
      <w:marRight w:val="0"/>
      <w:marTop w:val="0"/>
      <w:marBottom w:val="0"/>
      <w:divBdr>
        <w:top w:val="none" w:sz="0" w:space="0" w:color="auto"/>
        <w:left w:val="none" w:sz="0" w:space="0" w:color="auto"/>
        <w:bottom w:val="none" w:sz="0" w:space="0" w:color="auto"/>
        <w:right w:val="none" w:sz="0" w:space="0" w:color="auto"/>
      </w:divBdr>
    </w:div>
    <w:div w:id="1731922435">
      <w:bodyDiv w:val="1"/>
      <w:marLeft w:val="0"/>
      <w:marRight w:val="0"/>
      <w:marTop w:val="0"/>
      <w:marBottom w:val="0"/>
      <w:divBdr>
        <w:top w:val="none" w:sz="0" w:space="0" w:color="auto"/>
        <w:left w:val="none" w:sz="0" w:space="0" w:color="auto"/>
        <w:bottom w:val="none" w:sz="0" w:space="0" w:color="auto"/>
        <w:right w:val="none" w:sz="0" w:space="0" w:color="auto"/>
      </w:divBdr>
    </w:div>
    <w:div w:id="1735661005">
      <w:bodyDiv w:val="1"/>
      <w:marLeft w:val="0"/>
      <w:marRight w:val="0"/>
      <w:marTop w:val="0"/>
      <w:marBottom w:val="0"/>
      <w:divBdr>
        <w:top w:val="none" w:sz="0" w:space="0" w:color="auto"/>
        <w:left w:val="none" w:sz="0" w:space="0" w:color="auto"/>
        <w:bottom w:val="none" w:sz="0" w:space="0" w:color="auto"/>
        <w:right w:val="none" w:sz="0" w:space="0" w:color="auto"/>
      </w:divBdr>
      <w:divsChild>
        <w:div w:id="501313481">
          <w:marLeft w:val="0"/>
          <w:marRight w:val="0"/>
          <w:marTop w:val="0"/>
          <w:marBottom w:val="0"/>
          <w:divBdr>
            <w:top w:val="none" w:sz="0" w:space="0" w:color="auto"/>
            <w:left w:val="none" w:sz="0" w:space="0" w:color="auto"/>
            <w:bottom w:val="none" w:sz="0" w:space="0" w:color="auto"/>
            <w:right w:val="none" w:sz="0" w:space="0" w:color="auto"/>
          </w:divBdr>
        </w:div>
        <w:div w:id="686907837">
          <w:marLeft w:val="0"/>
          <w:marRight w:val="0"/>
          <w:marTop w:val="0"/>
          <w:marBottom w:val="0"/>
          <w:divBdr>
            <w:top w:val="none" w:sz="0" w:space="0" w:color="auto"/>
            <w:left w:val="none" w:sz="0" w:space="0" w:color="auto"/>
            <w:bottom w:val="none" w:sz="0" w:space="0" w:color="auto"/>
            <w:right w:val="none" w:sz="0" w:space="0" w:color="auto"/>
          </w:divBdr>
        </w:div>
        <w:div w:id="810294874">
          <w:marLeft w:val="0"/>
          <w:marRight w:val="0"/>
          <w:marTop w:val="0"/>
          <w:marBottom w:val="0"/>
          <w:divBdr>
            <w:top w:val="none" w:sz="0" w:space="0" w:color="auto"/>
            <w:left w:val="none" w:sz="0" w:space="0" w:color="auto"/>
            <w:bottom w:val="none" w:sz="0" w:space="0" w:color="auto"/>
            <w:right w:val="none" w:sz="0" w:space="0" w:color="auto"/>
          </w:divBdr>
        </w:div>
      </w:divsChild>
    </w:div>
    <w:div w:id="1738670208">
      <w:bodyDiv w:val="1"/>
      <w:marLeft w:val="0"/>
      <w:marRight w:val="0"/>
      <w:marTop w:val="0"/>
      <w:marBottom w:val="0"/>
      <w:divBdr>
        <w:top w:val="none" w:sz="0" w:space="0" w:color="auto"/>
        <w:left w:val="none" w:sz="0" w:space="0" w:color="auto"/>
        <w:bottom w:val="none" w:sz="0" w:space="0" w:color="auto"/>
        <w:right w:val="none" w:sz="0" w:space="0" w:color="auto"/>
      </w:divBdr>
      <w:divsChild>
        <w:div w:id="914632103">
          <w:marLeft w:val="0"/>
          <w:marRight w:val="0"/>
          <w:marTop w:val="0"/>
          <w:marBottom w:val="0"/>
          <w:divBdr>
            <w:top w:val="none" w:sz="0" w:space="0" w:color="auto"/>
            <w:left w:val="none" w:sz="0" w:space="0" w:color="auto"/>
            <w:bottom w:val="none" w:sz="0" w:space="0" w:color="auto"/>
            <w:right w:val="none" w:sz="0" w:space="0" w:color="auto"/>
          </w:divBdr>
        </w:div>
        <w:div w:id="1464423545">
          <w:marLeft w:val="0"/>
          <w:marRight w:val="0"/>
          <w:marTop w:val="0"/>
          <w:marBottom w:val="0"/>
          <w:divBdr>
            <w:top w:val="none" w:sz="0" w:space="0" w:color="auto"/>
            <w:left w:val="none" w:sz="0" w:space="0" w:color="auto"/>
            <w:bottom w:val="none" w:sz="0" w:space="0" w:color="auto"/>
            <w:right w:val="none" w:sz="0" w:space="0" w:color="auto"/>
          </w:divBdr>
        </w:div>
      </w:divsChild>
    </w:div>
    <w:div w:id="1742094307">
      <w:bodyDiv w:val="1"/>
      <w:marLeft w:val="0"/>
      <w:marRight w:val="0"/>
      <w:marTop w:val="0"/>
      <w:marBottom w:val="0"/>
      <w:divBdr>
        <w:top w:val="none" w:sz="0" w:space="0" w:color="auto"/>
        <w:left w:val="none" w:sz="0" w:space="0" w:color="auto"/>
        <w:bottom w:val="none" w:sz="0" w:space="0" w:color="auto"/>
        <w:right w:val="none" w:sz="0" w:space="0" w:color="auto"/>
      </w:divBdr>
    </w:div>
    <w:div w:id="1744178514">
      <w:bodyDiv w:val="1"/>
      <w:marLeft w:val="0"/>
      <w:marRight w:val="0"/>
      <w:marTop w:val="0"/>
      <w:marBottom w:val="0"/>
      <w:divBdr>
        <w:top w:val="none" w:sz="0" w:space="0" w:color="auto"/>
        <w:left w:val="none" w:sz="0" w:space="0" w:color="auto"/>
        <w:bottom w:val="none" w:sz="0" w:space="0" w:color="auto"/>
        <w:right w:val="none" w:sz="0" w:space="0" w:color="auto"/>
      </w:divBdr>
    </w:div>
    <w:div w:id="1747145785">
      <w:bodyDiv w:val="1"/>
      <w:marLeft w:val="0"/>
      <w:marRight w:val="0"/>
      <w:marTop w:val="0"/>
      <w:marBottom w:val="0"/>
      <w:divBdr>
        <w:top w:val="none" w:sz="0" w:space="0" w:color="auto"/>
        <w:left w:val="none" w:sz="0" w:space="0" w:color="auto"/>
        <w:bottom w:val="none" w:sz="0" w:space="0" w:color="auto"/>
        <w:right w:val="none" w:sz="0" w:space="0" w:color="auto"/>
      </w:divBdr>
      <w:divsChild>
        <w:div w:id="448165785">
          <w:marLeft w:val="0"/>
          <w:marRight w:val="0"/>
          <w:marTop w:val="0"/>
          <w:marBottom w:val="0"/>
          <w:divBdr>
            <w:top w:val="none" w:sz="0" w:space="0" w:color="auto"/>
            <w:left w:val="none" w:sz="0" w:space="0" w:color="auto"/>
            <w:bottom w:val="none" w:sz="0" w:space="0" w:color="auto"/>
            <w:right w:val="none" w:sz="0" w:space="0" w:color="auto"/>
          </w:divBdr>
        </w:div>
        <w:div w:id="1098597854">
          <w:marLeft w:val="0"/>
          <w:marRight w:val="0"/>
          <w:marTop w:val="0"/>
          <w:marBottom w:val="0"/>
          <w:divBdr>
            <w:top w:val="none" w:sz="0" w:space="0" w:color="auto"/>
            <w:left w:val="none" w:sz="0" w:space="0" w:color="auto"/>
            <w:bottom w:val="none" w:sz="0" w:space="0" w:color="auto"/>
            <w:right w:val="none" w:sz="0" w:space="0" w:color="auto"/>
          </w:divBdr>
        </w:div>
        <w:div w:id="1712343697">
          <w:marLeft w:val="0"/>
          <w:marRight w:val="0"/>
          <w:marTop w:val="0"/>
          <w:marBottom w:val="0"/>
          <w:divBdr>
            <w:top w:val="none" w:sz="0" w:space="0" w:color="auto"/>
            <w:left w:val="none" w:sz="0" w:space="0" w:color="auto"/>
            <w:bottom w:val="none" w:sz="0" w:space="0" w:color="auto"/>
            <w:right w:val="none" w:sz="0" w:space="0" w:color="auto"/>
          </w:divBdr>
        </w:div>
      </w:divsChild>
    </w:div>
    <w:div w:id="1748260407">
      <w:bodyDiv w:val="1"/>
      <w:marLeft w:val="0"/>
      <w:marRight w:val="0"/>
      <w:marTop w:val="0"/>
      <w:marBottom w:val="0"/>
      <w:divBdr>
        <w:top w:val="none" w:sz="0" w:space="0" w:color="auto"/>
        <w:left w:val="none" w:sz="0" w:space="0" w:color="auto"/>
        <w:bottom w:val="none" w:sz="0" w:space="0" w:color="auto"/>
        <w:right w:val="none" w:sz="0" w:space="0" w:color="auto"/>
      </w:divBdr>
      <w:divsChild>
        <w:div w:id="1981685771">
          <w:marLeft w:val="0"/>
          <w:marRight w:val="0"/>
          <w:marTop w:val="0"/>
          <w:marBottom w:val="0"/>
          <w:divBdr>
            <w:top w:val="none" w:sz="0" w:space="0" w:color="auto"/>
            <w:left w:val="none" w:sz="0" w:space="0" w:color="auto"/>
            <w:bottom w:val="none" w:sz="0" w:space="0" w:color="auto"/>
            <w:right w:val="none" w:sz="0" w:space="0" w:color="auto"/>
          </w:divBdr>
        </w:div>
      </w:divsChild>
    </w:div>
    <w:div w:id="1748649078">
      <w:bodyDiv w:val="1"/>
      <w:marLeft w:val="0"/>
      <w:marRight w:val="0"/>
      <w:marTop w:val="0"/>
      <w:marBottom w:val="0"/>
      <w:divBdr>
        <w:top w:val="none" w:sz="0" w:space="0" w:color="auto"/>
        <w:left w:val="none" w:sz="0" w:space="0" w:color="auto"/>
        <w:bottom w:val="none" w:sz="0" w:space="0" w:color="auto"/>
        <w:right w:val="none" w:sz="0" w:space="0" w:color="auto"/>
      </w:divBdr>
      <w:divsChild>
        <w:div w:id="1203708095">
          <w:marLeft w:val="0"/>
          <w:marRight w:val="0"/>
          <w:marTop w:val="0"/>
          <w:marBottom w:val="0"/>
          <w:divBdr>
            <w:top w:val="none" w:sz="0" w:space="0" w:color="auto"/>
            <w:left w:val="none" w:sz="0" w:space="0" w:color="auto"/>
            <w:bottom w:val="none" w:sz="0" w:space="0" w:color="auto"/>
            <w:right w:val="none" w:sz="0" w:space="0" w:color="auto"/>
          </w:divBdr>
        </w:div>
        <w:div w:id="1464038174">
          <w:marLeft w:val="0"/>
          <w:marRight w:val="0"/>
          <w:marTop w:val="0"/>
          <w:marBottom w:val="0"/>
          <w:divBdr>
            <w:top w:val="none" w:sz="0" w:space="0" w:color="auto"/>
            <w:left w:val="none" w:sz="0" w:space="0" w:color="auto"/>
            <w:bottom w:val="none" w:sz="0" w:space="0" w:color="auto"/>
            <w:right w:val="none" w:sz="0" w:space="0" w:color="auto"/>
          </w:divBdr>
        </w:div>
      </w:divsChild>
    </w:div>
    <w:div w:id="1748922218">
      <w:bodyDiv w:val="1"/>
      <w:marLeft w:val="0"/>
      <w:marRight w:val="0"/>
      <w:marTop w:val="0"/>
      <w:marBottom w:val="0"/>
      <w:divBdr>
        <w:top w:val="none" w:sz="0" w:space="0" w:color="auto"/>
        <w:left w:val="none" w:sz="0" w:space="0" w:color="auto"/>
        <w:bottom w:val="none" w:sz="0" w:space="0" w:color="auto"/>
        <w:right w:val="none" w:sz="0" w:space="0" w:color="auto"/>
      </w:divBdr>
    </w:div>
    <w:div w:id="1749497440">
      <w:bodyDiv w:val="1"/>
      <w:marLeft w:val="0"/>
      <w:marRight w:val="0"/>
      <w:marTop w:val="0"/>
      <w:marBottom w:val="0"/>
      <w:divBdr>
        <w:top w:val="none" w:sz="0" w:space="0" w:color="auto"/>
        <w:left w:val="none" w:sz="0" w:space="0" w:color="auto"/>
        <w:bottom w:val="none" w:sz="0" w:space="0" w:color="auto"/>
        <w:right w:val="none" w:sz="0" w:space="0" w:color="auto"/>
      </w:divBdr>
    </w:div>
    <w:div w:id="1755273572">
      <w:bodyDiv w:val="1"/>
      <w:marLeft w:val="0"/>
      <w:marRight w:val="0"/>
      <w:marTop w:val="0"/>
      <w:marBottom w:val="0"/>
      <w:divBdr>
        <w:top w:val="none" w:sz="0" w:space="0" w:color="auto"/>
        <w:left w:val="none" w:sz="0" w:space="0" w:color="auto"/>
        <w:bottom w:val="none" w:sz="0" w:space="0" w:color="auto"/>
        <w:right w:val="none" w:sz="0" w:space="0" w:color="auto"/>
      </w:divBdr>
    </w:div>
    <w:div w:id="1756896033">
      <w:bodyDiv w:val="1"/>
      <w:marLeft w:val="0"/>
      <w:marRight w:val="0"/>
      <w:marTop w:val="0"/>
      <w:marBottom w:val="0"/>
      <w:divBdr>
        <w:top w:val="none" w:sz="0" w:space="0" w:color="auto"/>
        <w:left w:val="none" w:sz="0" w:space="0" w:color="auto"/>
        <w:bottom w:val="none" w:sz="0" w:space="0" w:color="auto"/>
        <w:right w:val="none" w:sz="0" w:space="0" w:color="auto"/>
      </w:divBdr>
      <w:divsChild>
        <w:div w:id="1040938699">
          <w:marLeft w:val="0"/>
          <w:marRight w:val="0"/>
          <w:marTop w:val="0"/>
          <w:marBottom w:val="0"/>
          <w:divBdr>
            <w:top w:val="none" w:sz="0" w:space="0" w:color="auto"/>
            <w:left w:val="none" w:sz="0" w:space="0" w:color="auto"/>
            <w:bottom w:val="none" w:sz="0" w:space="0" w:color="auto"/>
            <w:right w:val="none" w:sz="0" w:space="0" w:color="auto"/>
          </w:divBdr>
        </w:div>
        <w:div w:id="1128429863">
          <w:marLeft w:val="0"/>
          <w:marRight w:val="0"/>
          <w:marTop w:val="0"/>
          <w:marBottom w:val="0"/>
          <w:divBdr>
            <w:top w:val="none" w:sz="0" w:space="0" w:color="auto"/>
            <w:left w:val="none" w:sz="0" w:space="0" w:color="auto"/>
            <w:bottom w:val="none" w:sz="0" w:space="0" w:color="auto"/>
            <w:right w:val="none" w:sz="0" w:space="0" w:color="auto"/>
          </w:divBdr>
        </w:div>
        <w:div w:id="1977371782">
          <w:marLeft w:val="0"/>
          <w:marRight w:val="0"/>
          <w:marTop w:val="0"/>
          <w:marBottom w:val="0"/>
          <w:divBdr>
            <w:top w:val="none" w:sz="0" w:space="0" w:color="auto"/>
            <w:left w:val="none" w:sz="0" w:space="0" w:color="auto"/>
            <w:bottom w:val="none" w:sz="0" w:space="0" w:color="auto"/>
            <w:right w:val="none" w:sz="0" w:space="0" w:color="auto"/>
          </w:divBdr>
        </w:div>
      </w:divsChild>
    </w:div>
    <w:div w:id="1761440463">
      <w:bodyDiv w:val="1"/>
      <w:marLeft w:val="0"/>
      <w:marRight w:val="0"/>
      <w:marTop w:val="0"/>
      <w:marBottom w:val="0"/>
      <w:divBdr>
        <w:top w:val="none" w:sz="0" w:space="0" w:color="auto"/>
        <w:left w:val="none" w:sz="0" w:space="0" w:color="auto"/>
        <w:bottom w:val="none" w:sz="0" w:space="0" w:color="auto"/>
        <w:right w:val="none" w:sz="0" w:space="0" w:color="auto"/>
      </w:divBdr>
    </w:div>
    <w:div w:id="1764646673">
      <w:bodyDiv w:val="1"/>
      <w:marLeft w:val="0"/>
      <w:marRight w:val="0"/>
      <w:marTop w:val="0"/>
      <w:marBottom w:val="0"/>
      <w:divBdr>
        <w:top w:val="none" w:sz="0" w:space="0" w:color="auto"/>
        <w:left w:val="none" w:sz="0" w:space="0" w:color="auto"/>
        <w:bottom w:val="none" w:sz="0" w:space="0" w:color="auto"/>
        <w:right w:val="none" w:sz="0" w:space="0" w:color="auto"/>
      </w:divBdr>
    </w:div>
    <w:div w:id="1765033348">
      <w:bodyDiv w:val="1"/>
      <w:marLeft w:val="0"/>
      <w:marRight w:val="0"/>
      <w:marTop w:val="0"/>
      <w:marBottom w:val="0"/>
      <w:divBdr>
        <w:top w:val="none" w:sz="0" w:space="0" w:color="auto"/>
        <w:left w:val="none" w:sz="0" w:space="0" w:color="auto"/>
        <w:bottom w:val="none" w:sz="0" w:space="0" w:color="auto"/>
        <w:right w:val="none" w:sz="0" w:space="0" w:color="auto"/>
      </w:divBdr>
    </w:div>
    <w:div w:id="1770421924">
      <w:bodyDiv w:val="1"/>
      <w:marLeft w:val="0"/>
      <w:marRight w:val="0"/>
      <w:marTop w:val="0"/>
      <w:marBottom w:val="0"/>
      <w:divBdr>
        <w:top w:val="none" w:sz="0" w:space="0" w:color="auto"/>
        <w:left w:val="none" w:sz="0" w:space="0" w:color="auto"/>
        <w:bottom w:val="none" w:sz="0" w:space="0" w:color="auto"/>
        <w:right w:val="none" w:sz="0" w:space="0" w:color="auto"/>
      </w:divBdr>
      <w:divsChild>
        <w:div w:id="470636133">
          <w:marLeft w:val="0"/>
          <w:marRight w:val="0"/>
          <w:marTop w:val="0"/>
          <w:marBottom w:val="0"/>
          <w:divBdr>
            <w:top w:val="none" w:sz="0" w:space="0" w:color="auto"/>
            <w:left w:val="none" w:sz="0" w:space="0" w:color="auto"/>
            <w:bottom w:val="none" w:sz="0" w:space="0" w:color="auto"/>
            <w:right w:val="none" w:sz="0" w:space="0" w:color="auto"/>
          </w:divBdr>
        </w:div>
        <w:div w:id="1445231661">
          <w:marLeft w:val="0"/>
          <w:marRight w:val="0"/>
          <w:marTop w:val="0"/>
          <w:marBottom w:val="0"/>
          <w:divBdr>
            <w:top w:val="none" w:sz="0" w:space="0" w:color="auto"/>
            <w:left w:val="none" w:sz="0" w:space="0" w:color="auto"/>
            <w:bottom w:val="none" w:sz="0" w:space="0" w:color="auto"/>
            <w:right w:val="none" w:sz="0" w:space="0" w:color="auto"/>
          </w:divBdr>
        </w:div>
        <w:div w:id="2104570652">
          <w:marLeft w:val="0"/>
          <w:marRight w:val="0"/>
          <w:marTop w:val="0"/>
          <w:marBottom w:val="0"/>
          <w:divBdr>
            <w:top w:val="none" w:sz="0" w:space="0" w:color="auto"/>
            <w:left w:val="none" w:sz="0" w:space="0" w:color="auto"/>
            <w:bottom w:val="none" w:sz="0" w:space="0" w:color="auto"/>
            <w:right w:val="none" w:sz="0" w:space="0" w:color="auto"/>
          </w:divBdr>
        </w:div>
      </w:divsChild>
    </w:div>
    <w:div w:id="1770663970">
      <w:bodyDiv w:val="1"/>
      <w:marLeft w:val="0"/>
      <w:marRight w:val="0"/>
      <w:marTop w:val="0"/>
      <w:marBottom w:val="0"/>
      <w:divBdr>
        <w:top w:val="none" w:sz="0" w:space="0" w:color="auto"/>
        <w:left w:val="none" w:sz="0" w:space="0" w:color="auto"/>
        <w:bottom w:val="none" w:sz="0" w:space="0" w:color="auto"/>
        <w:right w:val="none" w:sz="0" w:space="0" w:color="auto"/>
      </w:divBdr>
      <w:divsChild>
        <w:div w:id="80880071">
          <w:marLeft w:val="0"/>
          <w:marRight w:val="0"/>
          <w:marTop w:val="0"/>
          <w:marBottom w:val="0"/>
          <w:divBdr>
            <w:top w:val="none" w:sz="0" w:space="0" w:color="auto"/>
            <w:left w:val="none" w:sz="0" w:space="0" w:color="auto"/>
            <w:bottom w:val="none" w:sz="0" w:space="0" w:color="auto"/>
            <w:right w:val="none" w:sz="0" w:space="0" w:color="auto"/>
          </w:divBdr>
        </w:div>
        <w:div w:id="1624582586">
          <w:marLeft w:val="0"/>
          <w:marRight w:val="0"/>
          <w:marTop w:val="0"/>
          <w:marBottom w:val="0"/>
          <w:divBdr>
            <w:top w:val="none" w:sz="0" w:space="0" w:color="auto"/>
            <w:left w:val="none" w:sz="0" w:space="0" w:color="auto"/>
            <w:bottom w:val="none" w:sz="0" w:space="0" w:color="auto"/>
            <w:right w:val="none" w:sz="0" w:space="0" w:color="auto"/>
          </w:divBdr>
        </w:div>
      </w:divsChild>
    </w:div>
    <w:div w:id="1772699671">
      <w:bodyDiv w:val="1"/>
      <w:marLeft w:val="0"/>
      <w:marRight w:val="0"/>
      <w:marTop w:val="0"/>
      <w:marBottom w:val="0"/>
      <w:divBdr>
        <w:top w:val="none" w:sz="0" w:space="0" w:color="auto"/>
        <w:left w:val="none" w:sz="0" w:space="0" w:color="auto"/>
        <w:bottom w:val="none" w:sz="0" w:space="0" w:color="auto"/>
        <w:right w:val="none" w:sz="0" w:space="0" w:color="auto"/>
      </w:divBdr>
    </w:div>
    <w:div w:id="1775900800">
      <w:bodyDiv w:val="1"/>
      <w:marLeft w:val="0"/>
      <w:marRight w:val="0"/>
      <w:marTop w:val="0"/>
      <w:marBottom w:val="0"/>
      <w:divBdr>
        <w:top w:val="none" w:sz="0" w:space="0" w:color="auto"/>
        <w:left w:val="none" w:sz="0" w:space="0" w:color="auto"/>
        <w:bottom w:val="none" w:sz="0" w:space="0" w:color="auto"/>
        <w:right w:val="none" w:sz="0" w:space="0" w:color="auto"/>
      </w:divBdr>
      <w:divsChild>
        <w:div w:id="1613659925">
          <w:marLeft w:val="0"/>
          <w:marRight w:val="0"/>
          <w:marTop w:val="0"/>
          <w:marBottom w:val="0"/>
          <w:divBdr>
            <w:top w:val="none" w:sz="0" w:space="0" w:color="auto"/>
            <w:left w:val="none" w:sz="0" w:space="0" w:color="auto"/>
            <w:bottom w:val="none" w:sz="0" w:space="0" w:color="auto"/>
            <w:right w:val="none" w:sz="0" w:space="0" w:color="auto"/>
          </w:divBdr>
        </w:div>
      </w:divsChild>
    </w:div>
    <w:div w:id="1775979852">
      <w:bodyDiv w:val="1"/>
      <w:marLeft w:val="0"/>
      <w:marRight w:val="0"/>
      <w:marTop w:val="0"/>
      <w:marBottom w:val="0"/>
      <w:divBdr>
        <w:top w:val="none" w:sz="0" w:space="0" w:color="auto"/>
        <w:left w:val="none" w:sz="0" w:space="0" w:color="auto"/>
        <w:bottom w:val="none" w:sz="0" w:space="0" w:color="auto"/>
        <w:right w:val="none" w:sz="0" w:space="0" w:color="auto"/>
      </w:divBdr>
    </w:div>
    <w:div w:id="1776486175">
      <w:bodyDiv w:val="1"/>
      <w:marLeft w:val="0"/>
      <w:marRight w:val="0"/>
      <w:marTop w:val="0"/>
      <w:marBottom w:val="0"/>
      <w:divBdr>
        <w:top w:val="none" w:sz="0" w:space="0" w:color="auto"/>
        <w:left w:val="none" w:sz="0" w:space="0" w:color="auto"/>
        <w:bottom w:val="none" w:sz="0" w:space="0" w:color="auto"/>
        <w:right w:val="none" w:sz="0" w:space="0" w:color="auto"/>
      </w:divBdr>
      <w:divsChild>
        <w:div w:id="1274551394">
          <w:marLeft w:val="0"/>
          <w:marRight w:val="0"/>
          <w:marTop w:val="0"/>
          <w:marBottom w:val="0"/>
          <w:divBdr>
            <w:top w:val="none" w:sz="0" w:space="0" w:color="auto"/>
            <w:left w:val="none" w:sz="0" w:space="0" w:color="auto"/>
            <w:bottom w:val="none" w:sz="0" w:space="0" w:color="auto"/>
            <w:right w:val="none" w:sz="0" w:space="0" w:color="auto"/>
          </w:divBdr>
        </w:div>
        <w:div w:id="1714885673">
          <w:marLeft w:val="0"/>
          <w:marRight w:val="0"/>
          <w:marTop w:val="0"/>
          <w:marBottom w:val="0"/>
          <w:divBdr>
            <w:top w:val="none" w:sz="0" w:space="0" w:color="auto"/>
            <w:left w:val="none" w:sz="0" w:space="0" w:color="auto"/>
            <w:bottom w:val="none" w:sz="0" w:space="0" w:color="auto"/>
            <w:right w:val="none" w:sz="0" w:space="0" w:color="auto"/>
          </w:divBdr>
        </w:div>
      </w:divsChild>
    </w:div>
    <w:div w:id="1780684617">
      <w:bodyDiv w:val="1"/>
      <w:marLeft w:val="0"/>
      <w:marRight w:val="0"/>
      <w:marTop w:val="0"/>
      <w:marBottom w:val="0"/>
      <w:divBdr>
        <w:top w:val="none" w:sz="0" w:space="0" w:color="auto"/>
        <w:left w:val="none" w:sz="0" w:space="0" w:color="auto"/>
        <w:bottom w:val="none" w:sz="0" w:space="0" w:color="auto"/>
        <w:right w:val="none" w:sz="0" w:space="0" w:color="auto"/>
      </w:divBdr>
    </w:div>
    <w:div w:id="1780947334">
      <w:bodyDiv w:val="1"/>
      <w:marLeft w:val="0"/>
      <w:marRight w:val="0"/>
      <w:marTop w:val="0"/>
      <w:marBottom w:val="0"/>
      <w:divBdr>
        <w:top w:val="none" w:sz="0" w:space="0" w:color="auto"/>
        <w:left w:val="none" w:sz="0" w:space="0" w:color="auto"/>
        <w:bottom w:val="none" w:sz="0" w:space="0" w:color="auto"/>
        <w:right w:val="none" w:sz="0" w:space="0" w:color="auto"/>
      </w:divBdr>
      <w:divsChild>
        <w:div w:id="287782565">
          <w:marLeft w:val="0"/>
          <w:marRight w:val="0"/>
          <w:marTop w:val="0"/>
          <w:marBottom w:val="0"/>
          <w:divBdr>
            <w:top w:val="none" w:sz="0" w:space="0" w:color="auto"/>
            <w:left w:val="none" w:sz="0" w:space="0" w:color="auto"/>
            <w:bottom w:val="none" w:sz="0" w:space="0" w:color="auto"/>
            <w:right w:val="none" w:sz="0" w:space="0" w:color="auto"/>
          </w:divBdr>
        </w:div>
        <w:div w:id="1792359725">
          <w:marLeft w:val="0"/>
          <w:marRight w:val="0"/>
          <w:marTop w:val="0"/>
          <w:marBottom w:val="0"/>
          <w:divBdr>
            <w:top w:val="none" w:sz="0" w:space="0" w:color="auto"/>
            <w:left w:val="none" w:sz="0" w:space="0" w:color="auto"/>
            <w:bottom w:val="none" w:sz="0" w:space="0" w:color="auto"/>
            <w:right w:val="none" w:sz="0" w:space="0" w:color="auto"/>
          </w:divBdr>
        </w:div>
      </w:divsChild>
    </w:div>
    <w:div w:id="1781679238">
      <w:bodyDiv w:val="1"/>
      <w:marLeft w:val="0"/>
      <w:marRight w:val="0"/>
      <w:marTop w:val="0"/>
      <w:marBottom w:val="0"/>
      <w:divBdr>
        <w:top w:val="none" w:sz="0" w:space="0" w:color="auto"/>
        <w:left w:val="none" w:sz="0" w:space="0" w:color="auto"/>
        <w:bottom w:val="none" w:sz="0" w:space="0" w:color="auto"/>
        <w:right w:val="none" w:sz="0" w:space="0" w:color="auto"/>
      </w:divBdr>
    </w:div>
    <w:div w:id="1783650684">
      <w:bodyDiv w:val="1"/>
      <w:marLeft w:val="0"/>
      <w:marRight w:val="0"/>
      <w:marTop w:val="0"/>
      <w:marBottom w:val="0"/>
      <w:divBdr>
        <w:top w:val="none" w:sz="0" w:space="0" w:color="auto"/>
        <w:left w:val="none" w:sz="0" w:space="0" w:color="auto"/>
        <w:bottom w:val="none" w:sz="0" w:space="0" w:color="auto"/>
        <w:right w:val="none" w:sz="0" w:space="0" w:color="auto"/>
      </w:divBdr>
    </w:div>
    <w:div w:id="1786315942">
      <w:bodyDiv w:val="1"/>
      <w:marLeft w:val="0"/>
      <w:marRight w:val="0"/>
      <w:marTop w:val="0"/>
      <w:marBottom w:val="0"/>
      <w:divBdr>
        <w:top w:val="none" w:sz="0" w:space="0" w:color="auto"/>
        <w:left w:val="none" w:sz="0" w:space="0" w:color="auto"/>
        <w:bottom w:val="none" w:sz="0" w:space="0" w:color="auto"/>
        <w:right w:val="none" w:sz="0" w:space="0" w:color="auto"/>
      </w:divBdr>
    </w:div>
    <w:div w:id="1787238291">
      <w:bodyDiv w:val="1"/>
      <w:marLeft w:val="0"/>
      <w:marRight w:val="0"/>
      <w:marTop w:val="0"/>
      <w:marBottom w:val="0"/>
      <w:divBdr>
        <w:top w:val="none" w:sz="0" w:space="0" w:color="auto"/>
        <w:left w:val="none" w:sz="0" w:space="0" w:color="auto"/>
        <w:bottom w:val="none" w:sz="0" w:space="0" w:color="auto"/>
        <w:right w:val="none" w:sz="0" w:space="0" w:color="auto"/>
      </w:divBdr>
    </w:div>
    <w:div w:id="1788310598">
      <w:bodyDiv w:val="1"/>
      <w:marLeft w:val="0"/>
      <w:marRight w:val="0"/>
      <w:marTop w:val="0"/>
      <w:marBottom w:val="0"/>
      <w:divBdr>
        <w:top w:val="none" w:sz="0" w:space="0" w:color="auto"/>
        <w:left w:val="none" w:sz="0" w:space="0" w:color="auto"/>
        <w:bottom w:val="none" w:sz="0" w:space="0" w:color="auto"/>
        <w:right w:val="none" w:sz="0" w:space="0" w:color="auto"/>
      </w:divBdr>
    </w:div>
    <w:div w:id="1789276878">
      <w:bodyDiv w:val="1"/>
      <w:marLeft w:val="0"/>
      <w:marRight w:val="0"/>
      <w:marTop w:val="0"/>
      <w:marBottom w:val="0"/>
      <w:divBdr>
        <w:top w:val="none" w:sz="0" w:space="0" w:color="auto"/>
        <w:left w:val="none" w:sz="0" w:space="0" w:color="auto"/>
        <w:bottom w:val="none" w:sz="0" w:space="0" w:color="auto"/>
        <w:right w:val="none" w:sz="0" w:space="0" w:color="auto"/>
      </w:divBdr>
      <w:divsChild>
        <w:div w:id="659970477">
          <w:marLeft w:val="0"/>
          <w:marRight w:val="0"/>
          <w:marTop w:val="0"/>
          <w:marBottom w:val="0"/>
          <w:divBdr>
            <w:top w:val="none" w:sz="0" w:space="0" w:color="auto"/>
            <w:left w:val="none" w:sz="0" w:space="0" w:color="auto"/>
            <w:bottom w:val="none" w:sz="0" w:space="0" w:color="auto"/>
            <w:right w:val="none" w:sz="0" w:space="0" w:color="auto"/>
          </w:divBdr>
        </w:div>
        <w:div w:id="1174371161">
          <w:marLeft w:val="0"/>
          <w:marRight w:val="0"/>
          <w:marTop w:val="0"/>
          <w:marBottom w:val="0"/>
          <w:divBdr>
            <w:top w:val="none" w:sz="0" w:space="0" w:color="auto"/>
            <w:left w:val="none" w:sz="0" w:space="0" w:color="auto"/>
            <w:bottom w:val="none" w:sz="0" w:space="0" w:color="auto"/>
            <w:right w:val="none" w:sz="0" w:space="0" w:color="auto"/>
          </w:divBdr>
        </w:div>
        <w:div w:id="1745176247">
          <w:marLeft w:val="0"/>
          <w:marRight w:val="0"/>
          <w:marTop w:val="0"/>
          <w:marBottom w:val="0"/>
          <w:divBdr>
            <w:top w:val="none" w:sz="0" w:space="0" w:color="auto"/>
            <w:left w:val="none" w:sz="0" w:space="0" w:color="auto"/>
            <w:bottom w:val="none" w:sz="0" w:space="0" w:color="auto"/>
            <w:right w:val="none" w:sz="0" w:space="0" w:color="auto"/>
          </w:divBdr>
        </w:div>
      </w:divsChild>
    </w:div>
    <w:div w:id="1793523985">
      <w:bodyDiv w:val="1"/>
      <w:marLeft w:val="0"/>
      <w:marRight w:val="0"/>
      <w:marTop w:val="0"/>
      <w:marBottom w:val="0"/>
      <w:divBdr>
        <w:top w:val="none" w:sz="0" w:space="0" w:color="auto"/>
        <w:left w:val="none" w:sz="0" w:space="0" w:color="auto"/>
        <w:bottom w:val="none" w:sz="0" w:space="0" w:color="auto"/>
        <w:right w:val="none" w:sz="0" w:space="0" w:color="auto"/>
      </w:divBdr>
    </w:div>
    <w:div w:id="1793549590">
      <w:bodyDiv w:val="1"/>
      <w:marLeft w:val="0"/>
      <w:marRight w:val="0"/>
      <w:marTop w:val="0"/>
      <w:marBottom w:val="0"/>
      <w:divBdr>
        <w:top w:val="none" w:sz="0" w:space="0" w:color="auto"/>
        <w:left w:val="none" w:sz="0" w:space="0" w:color="auto"/>
        <w:bottom w:val="none" w:sz="0" w:space="0" w:color="auto"/>
        <w:right w:val="none" w:sz="0" w:space="0" w:color="auto"/>
      </w:divBdr>
    </w:div>
    <w:div w:id="1793668614">
      <w:bodyDiv w:val="1"/>
      <w:marLeft w:val="0"/>
      <w:marRight w:val="0"/>
      <w:marTop w:val="0"/>
      <w:marBottom w:val="0"/>
      <w:divBdr>
        <w:top w:val="none" w:sz="0" w:space="0" w:color="auto"/>
        <w:left w:val="none" w:sz="0" w:space="0" w:color="auto"/>
        <w:bottom w:val="none" w:sz="0" w:space="0" w:color="auto"/>
        <w:right w:val="none" w:sz="0" w:space="0" w:color="auto"/>
      </w:divBdr>
    </w:div>
    <w:div w:id="1803385741">
      <w:bodyDiv w:val="1"/>
      <w:marLeft w:val="0"/>
      <w:marRight w:val="0"/>
      <w:marTop w:val="0"/>
      <w:marBottom w:val="0"/>
      <w:divBdr>
        <w:top w:val="none" w:sz="0" w:space="0" w:color="auto"/>
        <w:left w:val="none" w:sz="0" w:space="0" w:color="auto"/>
        <w:bottom w:val="none" w:sz="0" w:space="0" w:color="auto"/>
        <w:right w:val="none" w:sz="0" w:space="0" w:color="auto"/>
      </w:divBdr>
      <w:divsChild>
        <w:div w:id="916791274">
          <w:marLeft w:val="0"/>
          <w:marRight w:val="0"/>
          <w:marTop w:val="0"/>
          <w:marBottom w:val="0"/>
          <w:divBdr>
            <w:top w:val="none" w:sz="0" w:space="0" w:color="auto"/>
            <w:left w:val="none" w:sz="0" w:space="0" w:color="auto"/>
            <w:bottom w:val="none" w:sz="0" w:space="0" w:color="auto"/>
            <w:right w:val="none" w:sz="0" w:space="0" w:color="auto"/>
          </w:divBdr>
        </w:div>
      </w:divsChild>
    </w:div>
    <w:div w:id="1804538361">
      <w:bodyDiv w:val="1"/>
      <w:marLeft w:val="0"/>
      <w:marRight w:val="0"/>
      <w:marTop w:val="0"/>
      <w:marBottom w:val="0"/>
      <w:divBdr>
        <w:top w:val="none" w:sz="0" w:space="0" w:color="auto"/>
        <w:left w:val="none" w:sz="0" w:space="0" w:color="auto"/>
        <w:bottom w:val="none" w:sz="0" w:space="0" w:color="auto"/>
        <w:right w:val="none" w:sz="0" w:space="0" w:color="auto"/>
      </w:divBdr>
    </w:div>
    <w:div w:id="1804881827">
      <w:bodyDiv w:val="1"/>
      <w:marLeft w:val="0"/>
      <w:marRight w:val="0"/>
      <w:marTop w:val="0"/>
      <w:marBottom w:val="0"/>
      <w:divBdr>
        <w:top w:val="none" w:sz="0" w:space="0" w:color="auto"/>
        <w:left w:val="none" w:sz="0" w:space="0" w:color="auto"/>
        <w:bottom w:val="none" w:sz="0" w:space="0" w:color="auto"/>
        <w:right w:val="none" w:sz="0" w:space="0" w:color="auto"/>
      </w:divBdr>
    </w:div>
    <w:div w:id="1805123965">
      <w:bodyDiv w:val="1"/>
      <w:marLeft w:val="0"/>
      <w:marRight w:val="0"/>
      <w:marTop w:val="0"/>
      <w:marBottom w:val="0"/>
      <w:divBdr>
        <w:top w:val="none" w:sz="0" w:space="0" w:color="auto"/>
        <w:left w:val="none" w:sz="0" w:space="0" w:color="auto"/>
        <w:bottom w:val="none" w:sz="0" w:space="0" w:color="auto"/>
        <w:right w:val="none" w:sz="0" w:space="0" w:color="auto"/>
      </w:divBdr>
    </w:div>
    <w:div w:id="1806581228">
      <w:bodyDiv w:val="1"/>
      <w:marLeft w:val="0"/>
      <w:marRight w:val="0"/>
      <w:marTop w:val="0"/>
      <w:marBottom w:val="0"/>
      <w:divBdr>
        <w:top w:val="none" w:sz="0" w:space="0" w:color="auto"/>
        <w:left w:val="none" w:sz="0" w:space="0" w:color="auto"/>
        <w:bottom w:val="none" w:sz="0" w:space="0" w:color="auto"/>
        <w:right w:val="none" w:sz="0" w:space="0" w:color="auto"/>
      </w:divBdr>
    </w:div>
    <w:div w:id="1809980944">
      <w:bodyDiv w:val="1"/>
      <w:marLeft w:val="0"/>
      <w:marRight w:val="0"/>
      <w:marTop w:val="0"/>
      <w:marBottom w:val="0"/>
      <w:divBdr>
        <w:top w:val="none" w:sz="0" w:space="0" w:color="auto"/>
        <w:left w:val="none" w:sz="0" w:space="0" w:color="auto"/>
        <w:bottom w:val="none" w:sz="0" w:space="0" w:color="auto"/>
        <w:right w:val="none" w:sz="0" w:space="0" w:color="auto"/>
      </w:divBdr>
      <w:divsChild>
        <w:div w:id="801270583">
          <w:marLeft w:val="0"/>
          <w:marRight w:val="0"/>
          <w:marTop w:val="0"/>
          <w:marBottom w:val="0"/>
          <w:divBdr>
            <w:top w:val="none" w:sz="0" w:space="0" w:color="auto"/>
            <w:left w:val="none" w:sz="0" w:space="0" w:color="auto"/>
            <w:bottom w:val="none" w:sz="0" w:space="0" w:color="auto"/>
            <w:right w:val="none" w:sz="0" w:space="0" w:color="auto"/>
          </w:divBdr>
        </w:div>
        <w:div w:id="1018196285">
          <w:marLeft w:val="0"/>
          <w:marRight w:val="0"/>
          <w:marTop w:val="0"/>
          <w:marBottom w:val="0"/>
          <w:divBdr>
            <w:top w:val="none" w:sz="0" w:space="0" w:color="auto"/>
            <w:left w:val="none" w:sz="0" w:space="0" w:color="auto"/>
            <w:bottom w:val="none" w:sz="0" w:space="0" w:color="auto"/>
            <w:right w:val="none" w:sz="0" w:space="0" w:color="auto"/>
          </w:divBdr>
        </w:div>
      </w:divsChild>
    </w:div>
    <w:div w:id="1810170186">
      <w:bodyDiv w:val="1"/>
      <w:marLeft w:val="0"/>
      <w:marRight w:val="0"/>
      <w:marTop w:val="0"/>
      <w:marBottom w:val="0"/>
      <w:divBdr>
        <w:top w:val="none" w:sz="0" w:space="0" w:color="auto"/>
        <w:left w:val="none" w:sz="0" w:space="0" w:color="auto"/>
        <w:bottom w:val="none" w:sz="0" w:space="0" w:color="auto"/>
        <w:right w:val="none" w:sz="0" w:space="0" w:color="auto"/>
      </w:divBdr>
    </w:div>
    <w:div w:id="1810322057">
      <w:bodyDiv w:val="1"/>
      <w:marLeft w:val="0"/>
      <w:marRight w:val="0"/>
      <w:marTop w:val="0"/>
      <w:marBottom w:val="0"/>
      <w:divBdr>
        <w:top w:val="none" w:sz="0" w:space="0" w:color="auto"/>
        <w:left w:val="none" w:sz="0" w:space="0" w:color="auto"/>
        <w:bottom w:val="none" w:sz="0" w:space="0" w:color="auto"/>
        <w:right w:val="none" w:sz="0" w:space="0" w:color="auto"/>
      </w:divBdr>
    </w:div>
    <w:div w:id="1810708640">
      <w:bodyDiv w:val="1"/>
      <w:marLeft w:val="0"/>
      <w:marRight w:val="0"/>
      <w:marTop w:val="0"/>
      <w:marBottom w:val="0"/>
      <w:divBdr>
        <w:top w:val="none" w:sz="0" w:space="0" w:color="auto"/>
        <w:left w:val="none" w:sz="0" w:space="0" w:color="auto"/>
        <w:bottom w:val="none" w:sz="0" w:space="0" w:color="auto"/>
        <w:right w:val="none" w:sz="0" w:space="0" w:color="auto"/>
      </w:divBdr>
    </w:div>
    <w:div w:id="1815104101">
      <w:bodyDiv w:val="1"/>
      <w:marLeft w:val="0"/>
      <w:marRight w:val="0"/>
      <w:marTop w:val="0"/>
      <w:marBottom w:val="0"/>
      <w:divBdr>
        <w:top w:val="none" w:sz="0" w:space="0" w:color="auto"/>
        <w:left w:val="none" w:sz="0" w:space="0" w:color="auto"/>
        <w:bottom w:val="none" w:sz="0" w:space="0" w:color="auto"/>
        <w:right w:val="none" w:sz="0" w:space="0" w:color="auto"/>
      </w:divBdr>
    </w:div>
    <w:div w:id="1816800676">
      <w:bodyDiv w:val="1"/>
      <w:marLeft w:val="0"/>
      <w:marRight w:val="0"/>
      <w:marTop w:val="0"/>
      <w:marBottom w:val="0"/>
      <w:divBdr>
        <w:top w:val="none" w:sz="0" w:space="0" w:color="auto"/>
        <w:left w:val="none" w:sz="0" w:space="0" w:color="auto"/>
        <w:bottom w:val="none" w:sz="0" w:space="0" w:color="auto"/>
        <w:right w:val="none" w:sz="0" w:space="0" w:color="auto"/>
      </w:divBdr>
      <w:divsChild>
        <w:div w:id="258879283">
          <w:marLeft w:val="0"/>
          <w:marRight w:val="0"/>
          <w:marTop w:val="0"/>
          <w:marBottom w:val="0"/>
          <w:divBdr>
            <w:top w:val="none" w:sz="0" w:space="0" w:color="auto"/>
            <w:left w:val="none" w:sz="0" w:space="0" w:color="auto"/>
            <w:bottom w:val="none" w:sz="0" w:space="0" w:color="auto"/>
            <w:right w:val="none" w:sz="0" w:space="0" w:color="auto"/>
          </w:divBdr>
        </w:div>
        <w:div w:id="1385956475">
          <w:marLeft w:val="0"/>
          <w:marRight w:val="0"/>
          <w:marTop w:val="0"/>
          <w:marBottom w:val="0"/>
          <w:divBdr>
            <w:top w:val="none" w:sz="0" w:space="0" w:color="auto"/>
            <w:left w:val="none" w:sz="0" w:space="0" w:color="auto"/>
            <w:bottom w:val="none" w:sz="0" w:space="0" w:color="auto"/>
            <w:right w:val="none" w:sz="0" w:space="0" w:color="auto"/>
          </w:divBdr>
        </w:div>
        <w:div w:id="1534347315">
          <w:marLeft w:val="0"/>
          <w:marRight w:val="0"/>
          <w:marTop w:val="0"/>
          <w:marBottom w:val="0"/>
          <w:divBdr>
            <w:top w:val="none" w:sz="0" w:space="0" w:color="auto"/>
            <w:left w:val="none" w:sz="0" w:space="0" w:color="auto"/>
            <w:bottom w:val="none" w:sz="0" w:space="0" w:color="auto"/>
            <w:right w:val="none" w:sz="0" w:space="0" w:color="auto"/>
          </w:divBdr>
        </w:div>
      </w:divsChild>
    </w:div>
    <w:div w:id="1818065750">
      <w:bodyDiv w:val="1"/>
      <w:marLeft w:val="0"/>
      <w:marRight w:val="0"/>
      <w:marTop w:val="0"/>
      <w:marBottom w:val="0"/>
      <w:divBdr>
        <w:top w:val="none" w:sz="0" w:space="0" w:color="auto"/>
        <w:left w:val="none" w:sz="0" w:space="0" w:color="auto"/>
        <w:bottom w:val="none" w:sz="0" w:space="0" w:color="auto"/>
        <w:right w:val="none" w:sz="0" w:space="0" w:color="auto"/>
      </w:divBdr>
      <w:divsChild>
        <w:div w:id="522784545">
          <w:marLeft w:val="0"/>
          <w:marRight w:val="0"/>
          <w:marTop w:val="0"/>
          <w:marBottom w:val="0"/>
          <w:divBdr>
            <w:top w:val="none" w:sz="0" w:space="0" w:color="auto"/>
            <w:left w:val="none" w:sz="0" w:space="0" w:color="auto"/>
            <w:bottom w:val="none" w:sz="0" w:space="0" w:color="auto"/>
            <w:right w:val="none" w:sz="0" w:space="0" w:color="auto"/>
          </w:divBdr>
        </w:div>
        <w:div w:id="1546329631">
          <w:marLeft w:val="0"/>
          <w:marRight w:val="0"/>
          <w:marTop w:val="0"/>
          <w:marBottom w:val="0"/>
          <w:divBdr>
            <w:top w:val="none" w:sz="0" w:space="0" w:color="auto"/>
            <w:left w:val="none" w:sz="0" w:space="0" w:color="auto"/>
            <w:bottom w:val="none" w:sz="0" w:space="0" w:color="auto"/>
            <w:right w:val="none" w:sz="0" w:space="0" w:color="auto"/>
          </w:divBdr>
        </w:div>
      </w:divsChild>
    </w:div>
    <w:div w:id="1820612495">
      <w:bodyDiv w:val="1"/>
      <w:marLeft w:val="0"/>
      <w:marRight w:val="0"/>
      <w:marTop w:val="0"/>
      <w:marBottom w:val="0"/>
      <w:divBdr>
        <w:top w:val="none" w:sz="0" w:space="0" w:color="auto"/>
        <w:left w:val="none" w:sz="0" w:space="0" w:color="auto"/>
        <w:bottom w:val="none" w:sz="0" w:space="0" w:color="auto"/>
        <w:right w:val="none" w:sz="0" w:space="0" w:color="auto"/>
      </w:divBdr>
    </w:div>
    <w:div w:id="1820802816">
      <w:bodyDiv w:val="1"/>
      <w:marLeft w:val="0"/>
      <w:marRight w:val="0"/>
      <w:marTop w:val="0"/>
      <w:marBottom w:val="0"/>
      <w:divBdr>
        <w:top w:val="none" w:sz="0" w:space="0" w:color="auto"/>
        <w:left w:val="none" w:sz="0" w:space="0" w:color="auto"/>
        <w:bottom w:val="none" w:sz="0" w:space="0" w:color="auto"/>
        <w:right w:val="none" w:sz="0" w:space="0" w:color="auto"/>
      </w:divBdr>
    </w:div>
    <w:div w:id="1821076491">
      <w:bodyDiv w:val="1"/>
      <w:marLeft w:val="0"/>
      <w:marRight w:val="0"/>
      <w:marTop w:val="0"/>
      <w:marBottom w:val="0"/>
      <w:divBdr>
        <w:top w:val="none" w:sz="0" w:space="0" w:color="auto"/>
        <w:left w:val="none" w:sz="0" w:space="0" w:color="auto"/>
        <w:bottom w:val="none" w:sz="0" w:space="0" w:color="auto"/>
        <w:right w:val="none" w:sz="0" w:space="0" w:color="auto"/>
      </w:divBdr>
    </w:div>
    <w:div w:id="1821188832">
      <w:bodyDiv w:val="1"/>
      <w:marLeft w:val="0"/>
      <w:marRight w:val="0"/>
      <w:marTop w:val="0"/>
      <w:marBottom w:val="0"/>
      <w:divBdr>
        <w:top w:val="none" w:sz="0" w:space="0" w:color="auto"/>
        <w:left w:val="none" w:sz="0" w:space="0" w:color="auto"/>
        <w:bottom w:val="none" w:sz="0" w:space="0" w:color="auto"/>
        <w:right w:val="none" w:sz="0" w:space="0" w:color="auto"/>
      </w:divBdr>
      <w:divsChild>
        <w:div w:id="1499232895">
          <w:marLeft w:val="0"/>
          <w:marRight w:val="0"/>
          <w:marTop w:val="0"/>
          <w:marBottom w:val="0"/>
          <w:divBdr>
            <w:top w:val="none" w:sz="0" w:space="0" w:color="auto"/>
            <w:left w:val="none" w:sz="0" w:space="0" w:color="auto"/>
            <w:bottom w:val="none" w:sz="0" w:space="0" w:color="auto"/>
            <w:right w:val="none" w:sz="0" w:space="0" w:color="auto"/>
          </w:divBdr>
        </w:div>
        <w:div w:id="2107918861">
          <w:marLeft w:val="0"/>
          <w:marRight w:val="0"/>
          <w:marTop w:val="0"/>
          <w:marBottom w:val="0"/>
          <w:divBdr>
            <w:top w:val="none" w:sz="0" w:space="0" w:color="auto"/>
            <w:left w:val="none" w:sz="0" w:space="0" w:color="auto"/>
            <w:bottom w:val="none" w:sz="0" w:space="0" w:color="auto"/>
            <w:right w:val="none" w:sz="0" w:space="0" w:color="auto"/>
          </w:divBdr>
        </w:div>
      </w:divsChild>
    </w:div>
    <w:div w:id="1821530772">
      <w:bodyDiv w:val="1"/>
      <w:marLeft w:val="0"/>
      <w:marRight w:val="0"/>
      <w:marTop w:val="0"/>
      <w:marBottom w:val="0"/>
      <w:divBdr>
        <w:top w:val="none" w:sz="0" w:space="0" w:color="auto"/>
        <w:left w:val="none" w:sz="0" w:space="0" w:color="auto"/>
        <w:bottom w:val="none" w:sz="0" w:space="0" w:color="auto"/>
        <w:right w:val="none" w:sz="0" w:space="0" w:color="auto"/>
      </w:divBdr>
      <w:divsChild>
        <w:div w:id="428283441">
          <w:marLeft w:val="0"/>
          <w:marRight w:val="0"/>
          <w:marTop w:val="0"/>
          <w:marBottom w:val="0"/>
          <w:divBdr>
            <w:top w:val="none" w:sz="0" w:space="0" w:color="auto"/>
            <w:left w:val="none" w:sz="0" w:space="0" w:color="auto"/>
            <w:bottom w:val="none" w:sz="0" w:space="0" w:color="auto"/>
            <w:right w:val="none" w:sz="0" w:space="0" w:color="auto"/>
          </w:divBdr>
        </w:div>
        <w:div w:id="518550026">
          <w:marLeft w:val="0"/>
          <w:marRight w:val="0"/>
          <w:marTop w:val="0"/>
          <w:marBottom w:val="0"/>
          <w:divBdr>
            <w:top w:val="none" w:sz="0" w:space="0" w:color="auto"/>
            <w:left w:val="none" w:sz="0" w:space="0" w:color="auto"/>
            <w:bottom w:val="none" w:sz="0" w:space="0" w:color="auto"/>
            <w:right w:val="none" w:sz="0" w:space="0" w:color="auto"/>
          </w:divBdr>
        </w:div>
        <w:div w:id="1942880774">
          <w:marLeft w:val="0"/>
          <w:marRight w:val="0"/>
          <w:marTop w:val="0"/>
          <w:marBottom w:val="0"/>
          <w:divBdr>
            <w:top w:val="none" w:sz="0" w:space="0" w:color="auto"/>
            <w:left w:val="none" w:sz="0" w:space="0" w:color="auto"/>
            <w:bottom w:val="none" w:sz="0" w:space="0" w:color="auto"/>
            <w:right w:val="none" w:sz="0" w:space="0" w:color="auto"/>
          </w:divBdr>
        </w:div>
      </w:divsChild>
    </w:div>
    <w:div w:id="1822115663">
      <w:bodyDiv w:val="1"/>
      <w:marLeft w:val="0"/>
      <w:marRight w:val="0"/>
      <w:marTop w:val="0"/>
      <w:marBottom w:val="0"/>
      <w:divBdr>
        <w:top w:val="none" w:sz="0" w:space="0" w:color="auto"/>
        <w:left w:val="none" w:sz="0" w:space="0" w:color="auto"/>
        <w:bottom w:val="none" w:sz="0" w:space="0" w:color="auto"/>
        <w:right w:val="none" w:sz="0" w:space="0" w:color="auto"/>
      </w:divBdr>
      <w:divsChild>
        <w:div w:id="852960007">
          <w:marLeft w:val="0"/>
          <w:marRight w:val="0"/>
          <w:marTop w:val="0"/>
          <w:marBottom w:val="0"/>
          <w:divBdr>
            <w:top w:val="none" w:sz="0" w:space="0" w:color="auto"/>
            <w:left w:val="none" w:sz="0" w:space="0" w:color="auto"/>
            <w:bottom w:val="none" w:sz="0" w:space="0" w:color="auto"/>
            <w:right w:val="none" w:sz="0" w:space="0" w:color="auto"/>
          </w:divBdr>
        </w:div>
        <w:div w:id="1236159284">
          <w:marLeft w:val="0"/>
          <w:marRight w:val="0"/>
          <w:marTop w:val="0"/>
          <w:marBottom w:val="0"/>
          <w:divBdr>
            <w:top w:val="none" w:sz="0" w:space="0" w:color="auto"/>
            <w:left w:val="none" w:sz="0" w:space="0" w:color="auto"/>
            <w:bottom w:val="none" w:sz="0" w:space="0" w:color="auto"/>
            <w:right w:val="none" w:sz="0" w:space="0" w:color="auto"/>
          </w:divBdr>
        </w:div>
        <w:div w:id="1308781611">
          <w:marLeft w:val="0"/>
          <w:marRight w:val="0"/>
          <w:marTop w:val="0"/>
          <w:marBottom w:val="0"/>
          <w:divBdr>
            <w:top w:val="none" w:sz="0" w:space="0" w:color="auto"/>
            <w:left w:val="none" w:sz="0" w:space="0" w:color="auto"/>
            <w:bottom w:val="none" w:sz="0" w:space="0" w:color="auto"/>
            <w:right w:val="none" w:sz="0" w:space="0" w:color="auto"/>
          </w:divBdr>
        </w:div>
        <w:div w:id="1606494220">
          <w:marLeft w:val="0"/>
          <w:marRight w:val="0"/>
          <w:marTop w:val="0"/>
          <w:marBottom w:val="0"/>
          <w:divBdr>
            <w:top w:val="none" w:sz="0" w:space="0" w:color="auto"/>
            <w:left w:val="none" w:sz="0" w:space="0" w:color="auto"/>
            <w:bottom w:val="none" w:sz="0" w:space="0" w:color="auto"/>
            <w:right w:val="none" w:sz="0" w:space="0" w:color="auto"/>
          </w:divBdr>
        </w:div>
        <w:div w:id="1619678714">
          <w:marLeft w:val="0"/>
          <w:marRight w:val="0"/>
          <w:marTop w:val="0"/>
          <w:marBottom w:val="0"/>
          <w:divBdr>
            <w:top w:val="none" w:sz="0" w:space="0" w:color="auto"/>
            <w:left w:val="none" w:sz="0" w:space="0" w:color="auto"/>
            <w:bottom w:val="none" w:sz="0" w:space="0" w:color="auto"/>
            <w:right w:val="none" w:sz="0" w:space="0" w:color="auto"/>
          </w:divBdr>
        </w:div>
      </w:divsChild>
    </w:div>
    <w:div w:id="1823887947">
      <w:bodyDiv w:val="1"/>
      <w:marLeft w:val="0"/>
      <w:marRight w:val="0"/>
      <w:marTop w:val="0"/>
      <w:marBottom w:val="0"/>
      <w:divBdr>
        <w:top w:val="none" w:sz="0" w:space="0" w:color="auto"/>
        <w:left w:val="none" w:sz="0" w:space="0" w:color="auto"/>
        <w:bottom w:val="none" w:sz="0" w:space="0" w:color="auto"/>
        <w:right w:val="none" w:sz="0" w:space="0" w:color="auto"/>
      </w:divBdr>
    </w:div>
    <w:div w:id="1825853177">
      <w:bodyDiv w:val="1"/>
      <w:marLeft w:val="0"/>
      <w:marRight w:val="0"/>
      <w:marTop w:val="0"/>
      <w:marBottom w:val="0"/>
      <w:divBdr>
        <w:top w:val="none" w:sz="0" w:space="0" w:color="auto"/>
        <w:left w:val="none" w:sz="0" w:space="0" w:color="auto"/>
        <w:bottom w:val="none" w:sz="0" w:space="0" w:color="auto"/>
        <w:right w:val="none" w:sz="0" w:space="0" w:color="auto"/>
      </w:divBdr>
    </w:div>
    <w:div w:id="1827427816">
      <w:bodyDiv w:val="1"/>
      <w:marLeft w:val="0"/>
      <w:marRight w:val="0"/>
      <w:marTop w:val="0"/>
      <w:marBottom w:val="0"/>
      <w:divBdr>
        <w:top w:val="none" w:sz="0" w:space="0" w:color="auto"/>
        <w:left w:val="none" w:sz="0" w:space="0" w:color="auto"/>
        <w:bottom w:val="none" w:sz="0" w:space="0" w:color="auto"/>
        <w:right w:val="none" w:sz="0" w:space="0" w:color="auto"/>
      </w:divBdr>
    </w:div>
    <w:div w:id="1829128934">
      <w:bodyDiv w:val="1"/>
      <w:marLeft w:val="0"/>
      <w:marRight w:val="0"/>
      <w:marTop w:val="0"/>
      <w:marBottom w:val="0"/>
      <w:divBdr>
        <w:top w:val="none" w:sz="0" w:space="0" w:color="auto"/>
        <w:left w:val="none" w:sz="0" w:space="0" w:color="auto"/>
        <w:bottom w:val="none" w:sz="0" w:space="0" w:color="auto"/>
        <w:right w:val="none" w:sz="0" w:space="0" w:color="auto"/>
      </w:divBdr>
    </w:div>
    <w:div w:id="1830636058">
      <w:bodyDiv w:val="1"/>
      <w:marLeft w:val="0"/>
      <w:marRight w:val="0"/>
      <w:marTop w:val="0"/>
      <w:marBottom w:val="0"/>
      <w:divBdr>
        <w:top w:val="none" w:sz="0" w:space="0" w:color="auto"/>
        <w:left w:val="none" w:sz="0" w:space="0" w:color="auto"/>
        <w:bottom w:val="none" w:sz="0" w:space="0" w:color="auto"/>
        <w:right w:val="none" w:sz="0" w:space="0" w:color="auto"/>
      </w:divBdr>
      <w:divsChild>
        <w:div w:id="202518314">
          <w:marLeft w:val="0"/>
          <w:marRight w:val="0"/>
          <w:marTop w:val="0"/>
          <w:marBottom w:val="0"/>
          <w:divBdr>
            <w:top w:val="none" w:sz="0" w:space="0" w:color="auto"/>
            <w:left w:val="none" w:sz="0" w:space="0" w:color="auto"/>
            <w:bottom w:val="none" w:sz="0" w:space="0" w:color="auto"/>
            <w:right w:val="none" w:sz="0" w:space="0" w:color="auto"/>
          </w:divBdr>
        </w:div>
        <w:div w:id="695347423">
          <w:marLeft w:val="0"/>
          <w:marRight w:val="0"/>
          <w:marTop w:val="0"/>
          <w:marBottom w:val="0"/>
          <w:divBdr>
            <w:top w:val="none" w:sz="0" w:space="0" w:color="auto"/>
            <w:left w:val="none" w:sz="0" w:space="0" w:color="auto"/>
            <w:bottom w:val="none" w:sz="0" w:space="0" w:color="auto"/>
            <w:right w:val="none" w:sz="0" w:space="0" w:color="auto"/>
          </w:divBdr>
        </w:div>
      </w:divsChild>
    </w:div>
    <w:div w:id="1830754621">
      <w:bodyDiv w:val="1"/>
      <w:marLeft w:val="0"/>
      <w:marRight w:val="0"/>
      <w:marTop w:val="0"/>
      <w:marBottom w:val="0"/>
      <w:divBdr>
        <w:top w:val="none" w:sz="0" w:space="0" w:color="auto"/>
        <w:left w:val="none" w:sz="0" w:space="0" w:color="auto"/>
        <w:bottom w:val="none" w:sz="0" w:space="0" w:color="auto"/>
        <w:right w:val="none" w:sz="0" w:space="0" w:color="auto"/>
      </w:divBdr>
    </w:div>
    <w:div w:id="1832063550">
      <w:bodyDiv w:val="1"/>
      <w:marLeft w:val="0"/>
      <w:marRight w:val="0"/>
      <w:marTop w:val="0"/>
      <w:marBottom w:val="0"/>
      <w:divBdr>
        <w:top w:val="none" w:sz="0" w:space="0" w:color="auto"/>
        <w:left w:val="none" w:sz="0" w:space="0" w:color="auto"/>
        <w:bottom w:val="none" w:sz="0" w:space="0" w:color="auto"/>
        <w:right w:val="none" w:sz="0" w:space="0" w:color="auto"/>
      </w:divBdr>
      <w:divsChild>
        <w:div w:id="1172573190">
          <w:marLeft w:val="0"/>
          <w:marRight w:val="0"/>
          <w:marTop w:val="0"/>
          <w:marBottom w:val="0"/>
          <w:divBdr>
            <w:top w:val="none" w:sz="0" w:space="0" w:color="auto"/>
            <w:left w:val="none" w:sz="0" w:space="0" w:color="auto"/>
            <w:bottom w:val="none" w:sz="0" w:space="0" w:color="auto"/>
            <w:right w:val="none" w:sz="0" w:space="0" w:color="auto"/>
          </w:divBdr>
        </w:div>
        <w:div w:id="1590236384">
          <w:marLeft w:val="0"/>
          <w:marRight w:val="0"/>
          <w:marTop w:val="0"/>
          <w:marBottom w:val="0"/>
          <w:divBdr>
            <w:top w:val="none" w:sz="0" w:space="0" w:color="auto"/>
            <w:left w:val="none" w:sz="0" w:space="0" w:color="auto"/>
            <w:bottom w:val="none" w:sz="0" w:space="0" w:color="auto"/>
            <w:right w:val="none" w:sz="0" w:space="0" w:color="auto"/>
          </w:divBdr>
        </w:div>
      </w:divsChild>
    </w:div>
    <w:div w:id="1833830118">
      <w:bodyDiv w:val="1"/>
      <w:marLeft w:val="0"/>
      <w:marRight w:val="0"/>
      <w:marTop w:val="0"/>
      <w:marBottom w:val="0"/>
      <w:divBdr>
        <w:top w:val="none" w:sz="0" w:space="0" w:color="auto"/>
        <w:left w:val="none" w:sz="0" w:space="0" w:color="auto"/>
        <w:bottom w:val="none" w:sz="0" w:space="0" w:color="auto"/>
        <w:right w:val="none" w:sz="0" w:space="0" w:color="auto"/>
      </w:divBdr>
    </w:div>
    <w:div w:id="1838228095">
      <w:bodyDiv w:val="1"/>
      <w:marLeft w:val="0"/>
      <w:marRight w:val="0"/>
      <w:marTop w:val="0"/>
      <w:marBottom w:val="0"/>
      <w:divBdr>
        <w:top w:val="none" w:sz="0" w:space="0" w:color="auto"/>
        <w:left w:val="none" w:sz="0" w:space="0" w:color="auto"/>
        <w:bottom w:val="none" w:sz="0" w:space="0" w:color="auto"/>
        <w:right w:val="none" w:sz="0" w:space="0" w:color="auto"/>
      </w:divBdr>
      <w:divsChild>
        <w:div w:id="1975140970">
          <w:marLeft w:val="0"/>
          <w:marRight w:val="0"/>
          <w:marTop w:val="0"/>
          <w:marBottom w:val="0"/>
          <w:divBdr>
            <w:top w:val="none" w:sz="0" w:space="0" w:color="auto"/>
            <w:left w:val="none" w:sz="0" w:space="0" w:color="auto"/>
            <w:bottom w:val="none" w:sz="0" w:space="0" w:color="auto"/>
            <w:right w:val="none" w:sz="0" w:space="0" w:color="auto"/>
          </w:divBdr>
        </w:div>
        <w:div w:id="2133358840">
          <w:marLeft w:val="0"/>
          <w:marRight w:val="0"/>
          <w:marTop w:val="0"/>
          <w:marBottom w:val="0"/>
          <w:divBdr>
            <w:top w:val="none" w:sz="0" w:space="0" w:color="auto"/>
            <w:left w:val="none" w:sz="0" w:space="0" w:color="auto"/>
            <w:bottom w:val="none" w:sz="0" w:space="0" w:color="auto"/>
            <w:right w:val="none" w:sz="0" w:space="0" w:color="auto"/>
          </w:divBdr>
        </w:div>
      </w:divsChild>
    </w:div>
    <w:div w:id="1841307833">
      <w:bodyDiv w:val="1"/>
      <w:marLeft w:val="0"/>
      <w:marRight w:val="0"/>
      <w:marTop w:val="0"/>
      <w:marBottom w:val="0"/>
      <w:divBdr>
        <w:top w:val="none" w:sz="0" w:space="0" w:color="auto"/>
        <w:left w:val="none" w:sz="0" w:space="0" w:color="auto"/>
        <w:bottom w:val="none" w:sz="0" w:space="0" w:color="auto"/>
        <w:right w:val="none" w:sz="0" w:space="0" w:color="auto"/>
      </w:divBdr>
    </w:div>
    <w:div w:id="1844314215">
      <w:bodyDiv w:val="1"/>
      <w:marLeft w:val="0"/>
      <w:marRight w:val="0"/>
      <w:marTop w:val="0"/>
      <w:marBottom w:val="0"/>
      <w:divBdr>
        <w:top w:val="none" w:sz="0" w:space="0" w:color="auto"/>
        <w:left w:val="none" w:sz="0" w:space="0" w:color="auto"/>
        <w:bottom w:val="none" w:sz="0" w:space="0" w:color="auto"/>
        <w:right w:val="none" w:sz="0" w:space="0" w:color="auto"/>
      </w:divBdr>
    </w:div>
    <w:div w:id="1844323530">
      <w:bodyDiv w:val="1"/>
      <w:marLeft w:val="0"/>
      <w:marRight w:val="0"/>
      <w:marTop w:val="0"/>
      <w:marBottom w:val="0"/>
      <w:divBdr>
        <w:top w:val="none" w:sz="0" w:space="0" w:color="auto"/>
        <w:left w:val="none" w:sz="0" w:space="0" w:color="auto"/>
        <w:bottom w:val="none" w:sz="0" w:space="0" w:color="auto"/>
        <w:right w:val="none" w:sz="0" w:space="0" w:color="auto"/>
      </w:divBdr>
    </w:div>
    <w:div w:id="1849171262">
      <w:bodyDiv w:val="1"/>
      <w:marLeft w:val="0"/>
      <w:marRight w:val="0"/>
      <w:marTop w:val="0"/>
      <w:marBottom w:val="0"/>
      <w:divBdr>
        <w:top w:val="none" w:sz="0" w:space="0" w:color="auto"/>
        <w:left w:val="none" w:sz="0" w:space="0" w:color="auto"/>
        <w:bottom w:val="none" w:sz="0" w:space="0" w:color="auto"/>
        <w:right w:val="none" w:sz="0" w:space="0" w:color="auto"/>
      </w:divBdr>
      <w:divsChild>
        <w:div w:id="434910508">
          <w:marLeft w:val="0"/>
          <w:marRight w:val="0"/>
          <w:marTop w:val="0"/>
          <w:marBottom w:val="0"/>
          <w:divBdr>
            <w:top w:val="none" w:sz="0" w:space="0" w:color="auto"/>
            <w:left w:val="none" w:sz="0" w:space="0" w:color="auto"/>
            <w:bottom w:val="none" w:sz="0" w:space="0" w:color="auto"/>
            <w:right w:val="none" w:sz="0" w:space="0" w:color="auto"/>
          </w:divBdr>
        </w:div>
        <w:div w:id="1261840291">
          <w:marLeft w:val="0"/>
          <w:marRight w:val="0"/>
          <w:marTop w:val="0"/>
          <w:marBottom w:val="0"/>
          <w:divBdr>
            <w:top w:val="none" w:sz="0" w:space="0" w:color="auto"/>
            <w:left w:val="none" w:sz="0" w:space="0" w:color="auto"/>
            <w:bottom w:val="none" w:sz="0" w:space="0" w:color="auto"/>
            <w:right w:val="none" w:sz="0" w:space="0" w:color="auto"/>
          </w:divBdr>
        </w:div>
        <w:div w:id="1933389636">
          <w:marLeft w:val="0"/>
          <w:marRight w:val="0"/>
          <w:marTop w:val="0"/>
          <w:marBottom w:val="0"/>
          <w:divBdr>
            <w:top w:val="none" w:sz="0" w:space="0" w:color="auto"/>
            <w:left w:val="none" w:sz="0" w:space="0" w:color="auto"/>
            <w:bottom w:val="none" w:sz="0" w:space="0" w:color="auto"/>
            <w:right w:val="none" w:sz="0" w:space="0" w:color="auto"/>
          </w:divBdr>
        </w:div>
      </w:divsChild>
    </w:div>
    <w:div w:id="1850757241">
      <w:bodyDiv w:val="1"/>
      <w:marLeft w:val="0"/>
      <w:marRight w:val="0"/>
      <w:marTop w:val="0"/>
      <w:marBottom w:val="0"/>
      <w:divBdr>
        <w:top w:val="none" w:sz="0" w:space="0" w:color="auto"/>
        <w:left w:val="none" w:sz="0" w:space="0" w:color="auto"/>
        <w:bottom w:val="none" w:sz="0" w:space="0" w:color="auto"/>
        <w:right w:val="none" w:sz="0" w:space="0" w:color="auto"/>
      </w:divBdr>
      <w:divsChild>
        <w:div w:id="1107852002">
          <w:marLeft w:val="0"/>
          <w:marRight w:val="0"/>
          <w:marTop w:val="0"/>
          <w:marBottom w:val="0"/>
          <w:divBdr>
            <w:top w:val="none" w:sz="0" w:space="0" w:color="auto"/>
            <w:left w:val="none" w:sz="0" w:space="0" w:color="auto"/>
            <w:bottom w:val="none" w:sz="0" w:space="0" w:color="auto"/>
            <w:right w:val="none" w:sz="0" w:space="0" w:color="auto"/>
          </w:divBdr>
          <w:divsChild>
            <w:div w:id="29498655">
              <w:marLeft w:val="0"/>
              <w:marRight w:val="0"/>
              <w:marTop w:val="0"/>
              <w:marBottom w:val="0"/>
              <w:divBdr>
                <w:top w:val="none" w:sz="0" w:space="0" w:color="auto"/>
                <w:left w:val="none" w:sz="0" w:space="0" w:color="auto"/>
                <w:bottom w:val="none" w:sz="0" w:space="0" w:color="auto"/>
                <w:right w:val="none" w:sz="0" w:space="0" w:color="auto"/>
              </w:divBdr>
            </w:div>
            <w:div w:id="254098947">
              <w:marLeft w:val="0"/>
              <w:marRight w:val="0"/>
              <w:marTop w:val="0"/>
              <w:marBottom w:val="0"/>
              <w:divBdr>
                <w:top w:val="none" w:sz="0" w:space="0" w:color="auto"/>
                <w:left w:val="none" w:sz="0" w:space="0" w:color="auto"/>
                <w:bottom w:val="none" w:sz="0" w:space="0" w:color="auto"/>
                <w:right w:val="none" w:sz="0" w:space="0" w:color="auto"/>
              </w:divBdr>
            </w:div>
          </w:divsChild>
        </w:div>
        <w:div w:id="1465922537">
          <w:marLeft w:val="0"/>
          <w:marRight w:val="0"/>
          <w:marTop w:val="0"/>
          <w:marBottom w:val="0"/>
          <w:divBdr>
            <w:top w:val="none" w:sz="0" w:space="0" w:color="auto"/>
            <w:left w:val="none" w:sz="0" w:space="0" w:color="auto"/>
            <w:bottom w:val="none" w:sz="0" w:space="0" w:color="auto"/>
            <w:right w:val="none" w:sz="0" w:space="0" w:color="auto"/>
          </w:divBdr>
          <w:divsChild>
            <w:div w:id="414667497">
              <w:marLeft w:val="0"/>
              <w:marRight w:val="0"/>
              <w:marTop w:val="0"/>
              <w:marBottom w:val="0"/>
              <w:divBdr>
                <w:top w:val="none" w:sz="0" w:space="0" w:color="auto"/>
                <w:left w:val="none" w:sz="0" w:space="0" w:color="auto"/>
                <w:bottom w:val="none" w:sz="0" w:space="0" w:color="auto"/>
                <w:right w:val="none" w:sz="0" w:space="0" w:color="auto"/>
              </w:divBdr>
              <w:divsChild>
                <w:div w:id="708649790">
                  <w:marLeft w:val="0"/>
                  <w:marRight w:val="0"/>
                  <w:marTop w:val="0"/>
                  <w:marBottom w:val="0"/>
                  <w:divBdr>
                    <w:top w:val="none" w:sz="0" w:space="0" w:color="auto"/>
                    <w:left w:val="none" w:sz="0" w:space="0" w:color="auto"/>
                    <w:bottom w:val="none" w:sz="0" w:space="0" w:color="auto"/>
                    <w:right w:val="none" w:sz="0" w:space="0" w:color="auto"/>
                  </w:divBdr>
                </w:div>
                <w:div w:id="1579024819">
                  <w:marLeft w:val="0"/>
                  <w:marRight w:val="0"/>
                  <w:marTop w:val="0"/>
                  <w:marBottom w:val="0"/>
                  <w:divBdr>
                    <w:top w:val="none" w:sz="0" w:space="0" w:color="auto"/>
                    <w:left w:val="none" w:sz="0" w:space="0" w:color="auto"/>
                    <w:bottom w:val="none" w:sz="0" w:space="0" w:color="auto"/>
                    <w:right w:val="none" w:sz="0" w:space="0" w:color="auto"/>
                  </w:divBdr>
                </w:div>
              </w:divsChild>
            </w:div>
            <w:div w:id="986132048">
              <w:marLeft w:val="0"/>
              <w:marRight w:val="0"/>
              <w:marTop w:val="0"/>
              <w:marBottom w:val="0"/>
              <w:divBdr>
                <w:top w:val="none" w:sz="0" w:space="0" w:color="auto"/>
                <w:left w:val="none" w:sz="0" w:space="0" w:color="auto"/>
                <w:bottom w:val="none" w:sz="0" w:space="0" w:color="auto"/>
                <w:right w:val="none" w:sz="0" w:space="0" w:color="auto"/>
              </w:divBdr>
              <w:divsChild>
                <w:div w:id="78799103">
                  <w:marLeft w:val="0"/>
                  <w:marRight w:val="0"/>
                  <w:marTop w:val="0"/>
                  <w:marBottom w:val="0"/>
                  <w:divBdr>
                    <w:top w:val="none" w:sz="0" w:space="0" w:color="auto"/>
                    <w:left w:val="none" w:sz="0" w:space="0" w:color="auto"/>
                    <w:bottom w:val="none" w:sz="0" w:space="0" w:color="auto"/>
                    <w:right w:val="none" w:sz="0" w:space="0" w:color="auto"/>
                  </w:divBdr>
                </w:div>
                <w:div w:id="1191837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4028649">
      <w:bodyDiv w:val="1"/>
      <w:marLeft w:val="0"/>
      <w:marRight w:val="0"/>
      <w:marTop w:val="0"/>
      <w:marBottom w:val="0"/>
      <w:divBdr>
        <w:top w:val="none" w:sz="0" w:space="0" w:color="auto"/>
        <w:left w:val="none" w:sz="0" w:space="0" w:color="auto"/>
        <w:bottom w:val="none" w:sz="0" w:space="0" w:color="auto"/>
        <w:right w:val="none" w:sz="0" w:space="0" w:color="auto"/>
      </w:divBdr>
    </w:div>
    <w:div w:id="1856190316">
      <w:bodyDiv w:val="1"/>
      <w:marLeft w:val="0"/>
      <w:marRight w:val="0"/>
      <w:marTop w:val="0"/>
      <w:marBottom w:val="0"/>
      <w:divBdr>
        <w:top w:val="none" w:sz="0" w:space="0" w:color="auto"/>
        <w:left w:val="none" w:sz="0" w:space="0" w:color="auto"/>
        <w:bottom w:val="none" w:sz="0" w:space="0" w:color="auto"/>
        <w:right w:val="none" w:sz="0" w:space="0" w:color="auto"/>
      </w:divBdr>
    </w:div>
    <w:div w:id="1863669882">
      <w:bodyDiv w:val="1"/>
      <w:marLeft w:val="0"/>
      <w:marRight w:val="0"/>
      <w:marTop w:val="0"/>
      <w:marBottom w:val="0"/>
      <w:divBdr>
        <w:top w:val="none" w:sz="0" w:space="0" w:color="auto"/>
        <w:left w:val="none" w:sz="0" w:space="0" w:color="auto"/>
        <w:bottom w:val="none" w:sz="0" w:space="0" w:color="auto"/>
        <w:right w:val="none" w:sz="0" w:space="0" w:color="auto"/>
      </w:divBdr>
      <w:divsChild>
        <w:div w:id="714278925">
          <w:marLeft w:val="0"/>
          <w:marRight w:val="0"/>
          <w:marTop w:val="0"/>
          <w:marBottom w:val="0"/>
          <w:divBdr>
            <w:top w:val="none" w:sz="0" w:space="0" w:color="auto"/>
            <w:left w:val="none" w:sz="0" w:space="0" w:color="auto"/>
            <w:bottom w:val="none" w:sz="0" w:space="0" w:color="auto"/>
            <w:right w:val="none" w:sz="0" w:space="0" w:color="auto"/>
          </w:divBdr>
        </w:div>
        <w:div w:id="1423063992">
          <w:marLeft w:val="0"/>
          <w:marRight w:val="0"/>
          <w:marTop w:val="0"/>
          <w:marBottom w:val="0"/>
          <w:divBdr>
            <w:top w:val="none" w:sz="0" w:space="0" w:color="auto"/>
            <w:left w:val="none" w:sz="0" w:space="0" w:color="auto"/>
            <w:bottom w:val="none" w:sz="0" w:space="0" w:color="auto"/>
            <w:right w:val="none" w:sz="0" w:space="0" w:color="auto"/>
          </w:divBdr>
        </w:div>
        <w:div w:id="1906716237">
          <w:marLeft w:val="0"/>
          <w:marRight w:val="0"/>
          <w:marTop w:val="0"/>
          <w:marBottom w:val="0"/>
          <w:divBdr>
            <w:top w:val="none" w:sz="0" w:space="0" w:color="auto"/>
            <w:left w:val="none" w:sz="0" w:space="0" w:color="auto"/>
            <w:bottom w:val="none" w:sz="0" w:space="0" w:color="auto"/>
            <w:right w:val="none" w:sz="0" w:space="0" w:color="auto"/>
          </w:divBdr>
        </w:div>
      </w:divsChild>
    </w:div>
    <w:div w:id="1866334244">
      <w:bodyDiv w:val="1"/>
      <w:marLeft w:val="0"/>
      <w:marRight w:val="0"/>
      <w:marTop w:val="0"/>
      <w:marBottom w:val="0"/>
      <w:divBdr>
        <w:top w:val="none" w:sz="0" w:space="0" w:color="auto"/>
        <w:left w:val="none" w:sz="0" w:space="0" w:color="auto"/>
        <w:bottom w:val="none" w:sz="0" w:space="0" w:color="auto"/>
        <w:right w:val="none" w:sz="0" w:space="0" w:color="auto"/>
      </w:divBdr>
    </w:div>
    <w:div w:id="1867449384">
      <w:bodyDiv w:val="1"/>
      <w:marLeft w:val="0"/>
      <w:marRight w:val="0"/>
      <w:marTop w:val="0"/>
      <w:marBottom w:val="0"/>
      <w:divBdr>
        <w:top w:val="none" w:sz="0" w:space="0" w:color="auto"/>
        <w:left w:val="none" w:sz="0" w:space="0" w:color="auto"/>
        <w:bottom w:val="none" w:sz="0" w:space="0" w:color="auto"/>
        <w:right w:val="none" w:sz="0" w:space="0" w:color="auto"/>
      </w:divBdr>
    </w:div>
    <w:div w:id="1868594896">
      <w:bodyDiv w:val="1"/>
      <w:marLeft w:val="0"/>
      <w:marRight w:val="0"/>
      <w:marTop w:val="0"/>
      <w:marBottom w:val="0"/>
      <w:divBdr>
        <w:top w:val="none" w:sz="0" w:space="0" w:color="auto"/>
        <w:left w:val="none" w:sz="0" w:space="0" w:color="auto"/>
        <w:bottom w:val="none" w:sz="0" w:space="0" w:color="auto"/>
        <w:right w:val="none" w:sz="0" w:space="0" w:color="auto"/>
      </w:divBdr>
      <w:divsChild>
        <w:div w:id="82721731">
          <w:marLeft w:val="0"/>
          <w:marRight w:val="0"/>
          <w:marTop w:val="0"/>
          <w:marBottom w:val="0"/>
          <w:divBdr>
            <w:top w:val="none" w:sz="0" w:space="0" w:color="auto"/>
            <w:left w:val="none" w:sz="0" w:space="0" w:color="auto"/>
            <w:bottom w:val="none" w:sz="0" w:space="0" w:color="auto"/>
            <w:right w:val="none" w:sz="0" w:space="0" w:color="auto"/>
          </w:divBdr>
        </w:div>
        <w:div w:id="957301890">
          <w:marLeft w:val="0"/>
          <w:marRight w:val="0"/>
          <w:marTop w:val="0"/>
          <w:marBottom w:val="0"/>
          <w:divBdr>
            <w:top w:val="none" w:sz="0" w:space="0" w:color="auto"/>
            <w:left w:val="none" w:sz="0" w:space="0" w:color="auto"/>
            <w:bottom w:val="none" w:sz="0" w:space="0" w:color="auto"/>
            <w:right w:val="none" w:sz="0" w:space="0" w:color="auto"/>
          </w:divBdr>
        </w:div>
        <w:div w:id="1042286011">
          <w:marLeft w:val="0"/>
          <w:marRight w:val="0"/>
          <w:marTop w:val="0"/>
          <w:marBottom w:val="0"/>
          <w:divBdr>
            <w:top w:val="none" w:sz="0" w:space="0" w:color="auto"/>
            <w:left w:val="none" w:sz="0" w:space="0" w:color="auto"/>
            <w:bottom w:val="none" w:sz="0" w:space="0" w:color="auto"/>
            <w:right w:val="none" w:sz="0" w:space="0" w:color="auto"/>
          </w:divBdr>
        </w:div>
      </w:divsChild>
    </w:div>
    <w:div w:id="1868983434">
      <w:bodyDiv w:val="1"/>
      <w:marLeft w:val="0"/>
      <w:marRight w:val="0"/>
      <w:marTop w:val="0"/>
      <w:marBottom w:val="0"/>
      <w:divBdr>
        <w:top w:val="none" w:sz="0" w:space="0" w:color="auto"/>
        <w:left w:val="none" w:sz="0" w:space="0" w:color="auto"/>
        <w:bottom w:val="none" w:sz="0" w:space="0" w:color="auto"/>
        <w:right w:val="none" w:sz="0" w:space="0" w:color="auto"/>
      </w:divBdr>
      <w:divsChild>
        <w:div w:id="786579492">
          <w:marLeft w:val="0"/>
          <w:marRight w:val="0"/>
          <w:marTop w:val="0"/>
          <w:marBottom w:val="0"/>
          <w:divBdr>
            <w:top w:val="none" w:sz="0" w:space="0" w:color="auto"/>
            <w:left w:val="none" w:sz="0" w:space="0" w:color="auto"/>
            <w:bottom w:val="none" w:sz="0" w:space="0" w:color="auto"/>
            <w:right w:val="none" w:sz="0" w:space="0" w:color="auto"/>
          </w:divBdr>
        </w:div>
        <w:div w:id="934485591">
          <w:marLeft w:val="0"/>
          <w:marRight w:val="0"/>
          <w:marTop w:val="0"/>
          <w:marBottom w:val="0"/>
          <w:divBdr>
            <w:top w:val="none" w:sz="0" w:space="0" w:color="auto"/>
            <w:left w:val="none" w:sz="0" w:space="0" w:color="auto"/>
            <w:bottom w:val="none" w:sz="0" w:space="0" w:color="auto"/>
            <w:right w:val="none" w:sz="0" w:space="0" w:color="auto"/>
          </w:divBdr>
        </w:div>
      </w:divsChild>
    </w:div>
    <w:div w:id="1869484267">
      <w:bodyDiv w:val="1"/>
      <w:marLeft w:val="0"/>
      <w:marRight w:val="0"/>
      <w:marTop w:val="0"/>
      <w:marBottom w:val="0"/>
      <w:divBdr>
        <w:top w:val="none" w:sz="0" w:space="0" w:color="auto"/>
        <w:left w:val="none" w:sz="0" w:space="0" w:color="auto"/>
        <w:bottom w:val="none" w:sz="0" w:space="0" w:color="auto"/>
        <w:right w:val="none" w:sz="0" w:space="0" w:color="auto"/>
      </w:divBdr>
    </w:div>
    <w:div w:id="1869685468">
      <w:bodyDiv w:val="1"/>
      <w:marLeft w:val="0"/>
      <w:marRight w:val="0"/>
      <w:marTop w:val="0"/>
      <w:marBottom w:val="0"/>
      <w:divBdr>
        <w:top w:val="none" w:sz="0" w:space="0" w:color="auto"/>
        <w:left w:val="none" w:sz="0" w:space="0" w:color="auto"/>
        <w:bottom w:val="none" w:sz="0" w:space="0" w:color="auto"/>
        <w:right w:val="none" w:sz="0" w:space="0" w:color="auto"/>
      </w:divBdr>
      <w:divsChild>
        <w:div w:id="920725039">
          <w:marLeft w:val="0"/>
          <w:marRight w:val="0"/>
          <w:marTop w:val="0"/>
          <w:marBottom w:val="0"/>
          <w:divBdr>
            <w:top w:val="none" w:sz="0" w:space="0" w:color="auto"/>
            <w:left w:val="none" w:sz="0" w:space="0" w:color="auto"/>
            <w:bottom w:val="none" w:sz="0" w:space="0" w:color="auto"/>
            <w:right w:val="none" w:sz="0" w:space="0" w:color="auto"/>
          </w:divBdr>
          <w:divsChild>
            <w:div w:id="20809019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0601660">
      <w:bodyDiv w:val="1"/>
      <w:marLeft w:val="0"/>
      <w:marRight w:val="0"/>
      <w:marTop w:val="0"/>
      <w:marBottom w:val="0"/>
      <w:divBdr>
        <w:top w:val="none" w:sz="0" w:space="0" w:color="auto"/>
        <w:left w:val="none" w:sz="0" w:space="0" w:color="auto"/>
        <w:bottom w:val="none" w:sz="0" w:space="0" w:color="auto"/>
        <w:right w:val="none" w:sz="0" w:space="0" w:color="auto"/>
      </w:divBdr>
    </w:div>
    <w:div w:id="1871644232">
      <w:bodyDiv w:val="1"/>
      <w:marLeft w:val="0"/>
      <w:marRight w:val="0"/>
      <w:marTop w:val="0"/>
      <w:marBottom w:val="0"/>
      <w:divBdr>
        <w:top w:val="none" w:sz="0" w:space="0" w:color="auto"/>
        <w:left w:val="none" w:sz="0" w:space="0" w:color="auto"/>
        <w:bottom w:val="none" w:sz="0" w:space="0" w:color="auto"/>
        <w:right w:val="none" w:sz="0" w:space="0" w:color="auto"/>
      </w:divBdr>
    </w:div>
    <w:div w:id="1872916621">
      <w:bodyDiv w:val="1"/>
      <w:marLeft w:val="0"/>
      <w:marRight w:val="0"/>
      <w:marTop w:val="0"/>
      <w:marBottom w:val="0"/>
      <w:divBdr>
        <w:top w:val="none" w:sz="0" w:space="0" w:color="auto"/>
        <w:left w:val="none" w:sz="0" w:space="0" w:color="auto"/>
        <w:bottom w:val="none" w:sz="0" w:space="0" w:color="auto"/>
        <w:right w:val="none" w:sz="0" w:space="0" w:color="auto"/>
      </w:divBdr>
    </w:div>
    <w:div w:id="1878618250">
      <w:bodyDiv w:val="1"/>
      <w:marLeft w:val="0"/>
      <w:marRight w:val="0"/>
      <w:marTop w:val="0"/>
      <w:marBottom w:val="0"/>
      <w:divBdr>
        <w:top w:val="none" w:sz="0" w:space="0" w:color="auto"/>
        <w:left w:val="none" w:sz="0" w:space="0" w:color="auto"/>
        <w:bottom w:val="none" w:sz="0" w:space="0" w:color="auto"/>
        <w:right w:val="none" w:sz="0" w:space="0" w:color="auto"/>
      </w:divBdr>
      <w:divsChild>
        <w:div w:id="1328094830">
          <w:marLeft w:val="0"/>
          <w:marRight w:val="0"/>
          <w:marTop w:val="0"/>
          <w:marBottom w:val="0"/>
          <w:divBdr>
            <w:top w:val="none" w:sz="0" w:space="0" w:color="auto"/>
            <w:left w:val="none" w:sz="0" w:space="0" w:color="auto"/>
            <w:bottom w:val="none" w:sz="0" w:space="0" w:color="auto"/>
            <w:right w:val="none" w:sz="0" w:space="0" w:color="auto"/>
          </w:divBdr>
        </w:div>
        <w:div w:id="1876038520">
          <w:marLeft w:val="0"/>
          <w:marRight w:val="0"/>
          <w:marTop w:val="0"/>
          <w:marBottom w:val="0"/>
          <w:divBdr>
            <w:top w:val="none" w:sz="0" w:space="0" w:color="auto"/>
            <w:left w:val="none" w:sz="0" w:space="0" w:color="auto"/>
            <w:bottom w:val="none" w:sz="0" w:space="0" w:color="auto"/>
            <w:right w:val="none" w:sz="0" w:space="0" w:color="auto"/>
          </w:divBdr>
        </w:div>
      </w:divsChild>
    </w:div>
    <w:div w:id="1885368194">
      <w:bodyDiv w:val="1"/>
      <w:marLeft w:val="0"/>
      <w:marRight w:val="0"/>
      <w:marTop w:val="0"/>
      <w:marBottom w:val="0"/>
      <w:divBdr>
        <w:top w:val="none" w:sz="0" w:space="0" w:color="auto"/>
        <w:left w:val="none" w:sz="0" w:space="0" w:color="auto"/>
        <w:bottom w:val="none" w:sz="0" w:space="0" w:color="auto"/>
        <w:right w:val="none" w:sz="0" w:space="0" w:color="auto"/>
      </w:divBdr>
      <w:divsChild>
        <w:div w:id="4326340">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886481250">
      <w:bodyDiv w:val="1"/>
      <w:marLeft w:val="0"/>
      <w:marRight w:val="0"/>
      <w:marTop w:val="0"/>
      <w:marBottom w:val="0"/>
      <w:divBdr>
        <w:top w:val="none" w:sz="0" w:space="0" w:color="auto"/>
        <w:left w:val="none" w:sz="0" w:space="0" w:color="auto"/>
        <w:bottom w:val="none" w:sz="0" w:space="0" w:color="auto"/>
        <w:right w:val="none" w:sz="0" w:space="0" w:color="auto"/>
      </w:divBdr>
      <w:divsChild>
        <w:div w:id="1256745229">
          <w:marLeft w:val="0"/>
          <w:marRight w:val="0"/>
          <w:marTop w:val="0"/>
          <w:marBottom w:val="0"/>
          <w:divBdr>
            <w:top w:val="none" w:sz="0" w:space="0" w:color="auto"/>
            <w:left w:val="none" w:sz="0" w:space="0" w:color="auto"/>
            <w:bottom w:val="none" w:sz="0" w:space="0" w:color="auto"/>
            <w:right w:val="none" w:sz="0" w:space="0" w:color="auto"/>
          </w:divBdr>
        </w:div>
        <w:div w:id="1307707075">
          <w:marLeft w:val="0"/>
          <w:marRight w:val="0"/>
          <w:marTop w:val="0"/>
          <w:marBottom w:val="0"/>
          <w:divBdr>
            <w:top w:val="none" w:sz="0" w:space="0" w:color="auto"/>
            <w:left w:val="none" w:sz="0" w:space="0" w:color="auto"/>
            <w:bottom w:val="none" w:sz="0" w:space="0" w:color="auto"/>
            <w:right w:val="none" w:sz="0" w:space="0" w:color="auto"/>
          </w:divBdr>
        </w:div>
        <w:div w:id="2088384896">
          <w:marLeft w:val="0"/>
          <w:marRight w:val="0"/>
          <w:marTop w:val="0"/>
          <w:marBottom w:val="0"/>
          <w:divBdr>
            <w:top w:val="none" w:sz="0" w:space="0" w:color="auto"/>
            <w:left w:val="none" w:sz="0" w:space="0" w:color="auto"/>
            <w:bottom w:val="none" w:sz="0" w:space="0" w:color="auto"/>
            <w:right w:val="none" w:sz="0" w:space="0" w:color="auto"/>
          </w:divBdr>
        </w:div>
      </w:divsChild>
    </w:div>
    <w:div w:id="1892502312">
      <w:bodyDiv w:val="1"/>
      <w:marLeft w:val="0"/>
      <w:marRight w:val="0"/>
      <w:marTop w:val="0"/>
      <w:marBottom w:val="0"/>
      <w:divBdr>
        <w:top w:val="none" w:sz="0" w:space="0" w:color="auto"/>
        <w:left w:val="none" w:sz="0" w:space="0" w:color="auto"/>
        <w:bottom w:val="none" w:sz="0" w:space="0" w:color="auto"/>
        <w:right w:val="none" w:sz="0" w:space="0" w:color="auto"/>
      </w:divBdr>
    </w:div>
    <w:div w:id="1892571654">
      <w:bodyDiv w:val="1"/>
      <w:marLeft w:val="0"/>
      <w:marRight w:val="0"/>
      <w:marTop w:val="0"/>
      <w:marBottom w:val="0"/>
      <w:divBdr>
        <w:top w:val="none" w:sz="0" w:space="0" w:color="auto"/>
        <w:left w:val="none" w:sz="0" w:space="0" w:color="auto"/>
        <w:bottom w:val="none" w:sz="0" w:space="0" w:color="auto"/>
        <w:right w:val="none" w:sz="0" w:space="0" w:color="auto"/>
      </w:divBdr>
    </w:div>
    <w:div w:id="1893691130">
      <w:bodyDiv w:val="1"/>
      <w:marLeft w:val="0"/>
      <w:marRight w:val="0"/>
      <w:marTop w:val="0"/>
      <w:marBottom w:val="0"/>
      <w:divBdr>
        <w:top w:val="none" w:sz="0" w:space="0" w:color="auto"/>
        <w:left w:val="none" w:sz="0" w:space="0" w:color="auto"/>
        <w:bottom w:val="none" w:sz="0" w:space="0" w:color="auto"/>
        <w:right w:val="none" w:sz="0" w:space="0" w:color="auto"/>
      </w:divBdr>
    </w:div>
    <w:div w:id="1894807242">
      <w:bodyDiv w:val="1"/>
      <w:marLeft w:val="0"/>
      <w:marRight w:val="0"/>
      <w:marTop w:val="0"/>
      <w:marBottom w:val="0"/>
      <w:divBdr>
        <w:top w:val="none" w:sz="0" w:space="0" w:color="auto"/>
        <w:left w:val="none" w:sz="0" w:space="0" w:color="auto"/>
        <w:bottom w:val="none" w:sz="0" w:space="0" w:color="auto"/>
        <w:right w:val="none" w:sz="0" w:space="0" w:color="auto"/>
      </w:divBdr>
    </w:div>
    <w:div w:id="1899590670">
      <w:bodyDiv w:val="1"/>
      <w:marLeft w:val="0"/>
      <w:marRight w:val="0"/>
      <w:marTop w:val="0"/>
      <w:marBottom w:val="0"/>
      <w:divBdr>
        <w:top w:val="none" w:sz="0" w:space="0" w:color="auto"/>
        <w:left w:val="none" w:sz="0" w:space="0" w:color="auto"/>
        <w:bottom w:val="none" w:sz="0" w:space="0" w:color="auto"/>
        <w:right w:val="none" w:sz="0" w:space="0" w:color="auto"/>
      </w:divBdr>
      <w:divsChild>
        <w:div w:id="949825208">
          <w:marLeft w:val="0"/>
          <w:marRight w:val="0"/>
          <w:marTop w:val="0"/>
          <w:marBottom w:val="0"/>
          <w:divBdr>
            <w:top w:val="none" w:sz="0" w:space="0" w:color="auto"/>
            <w:left w:val="none" w:sz="0" w:space="0" w:color="auto"/>
            <w:bottom w:val="none" w:sz="0" w:space="0" w:color="auto"/>
            <w:right w:val="none" w:sz="0" w:space="0" w:color="auto"/>
          </w:divBdr>
        </w:div>
        <w:div w:id="1281449075">
          <w:marLeft w:val="0"/>
          <w:marRight w:val="0"/>
          <w:marTop w:val="0"/>
          <w:marBottom w:val="0"/>
          <w:divBdr>
            <w:top w:val="none" w:sz="0" w:space="0" w:color="auto"/>
            <w:left w:val="none" w:sz="0" w:space="0" w:color="auto"/>
            <w:bottom w:val="none" w:sz="0" w:space="0" w:color="auto"/>
            <w:right w:val="none" w:sz="0" w:space="0" w:color="auto"/>
          </w:divBdr>
        </w:div>
        <w:div w:id="1708482669">
          <w:marLeft w:val="0"/>
          <w:marRight w:val="0"/>
          <w:marTop w:val="0"/>
          <w:marBottom w:val="0"/>
          <w:divBdr>
            <w:top w:val="none" w:sz="0" w:space="0" w:color="auto"/>
            <w:left w:val="none" w:sz="0" w:space="0" w:color="auto"/>
            <w:bottom w:val="none" w:sz="0" w:space="0" w:color="auto"/>
            <w:right w:val="none" w:sz="0" w:space="0" w:color="auto"/>
          </w:divBdr>
        </w:div>
      </w:divsChild>
    </w:div>
    <w:div w:id="1902017547">
      <w:bodyDiv w:val="1"/>
      <w:marLeft w:val="0"/>
      <w:marRight w:val="0"/>
      <w:marTop w:val="0"/>
      <w:marBottom w:val="0"/>
      <w:divBdr>
        <w:top w:val="none" w:sz="0" w:space="0" w:color="auto"/>
        <w:left w:val="none" w:sz="0" w:space="0" w:color="auto"/>
        <w:bottom w:val="none" w:sz="0" w:space="0" w:color="auto"/>
        <w:right w:val="none" w:sz="0" w:space="0" w:color="auto"/>
      </w:divBdr>
      <w:divsChild>
        <w:div w:id="569540396">
          <w:marLeft w:val="0"/>
          <w:marRight w:val="0"/>
          <w:marTop w:val="0"/>
          <w:marBottom w:val="0"/>
          <w:divBdr>
            <w:top w:val="none" w:sz="0" w:space="0" w:color="auto"/>
            <w:left w:val="none" w:sz="0" w:space="0" w:color="auto"/>
            <w:bottom w:val="none" w:sz="0" w:space="0" w:color="auto"/>
            <w:right w:val="none" w:sz="0" w:space="0" w:color="auto"/>
          </w:divBdr>
        </w:div>
        <w:div w:id="1356883297">
          <w:marLeft w:val="0"/>
          <w:marRight w:val="0"/>
          <w:marTop w:val="0"/>
          <w:marBottom w:val="0"/>
          <w:divBdr>
            <w:top w:val="none" w:sz="0" w:space="0" w:color="auto"/>
            <w:left w:val="none" w:sz="0" w:space="0" w:color="auto"/>
            <w:bottom w:val="none" w:sz="0" w:space="0" w:color="auto"/>
            <w:right w:val="none" w:sz="0" w:space="0" w:color="auto"/>
          </w:divBdr>
        </w:div>
        <w:div w:id="1597322241">
          <w:marLeft w:val="0"/>
          <w:marRight w:val="0"/>
          <w:marTop w:val="0"/>
          <w:marBottom w:val="0"/>
          <w:divBdr>
            <w:top w:val="none" w:sz="0" w:space="0" w:color="auto"/>
            <w:left w:val="none" w:sz="0" w:space="0" w:color="auto"/>
            <w:bottom w:val="none" w:sz="0" w:space="0" w:color="auto"/>
            <w:right w:val="none" w:sz="0" w:space="0" w:color="auto"/>
          </w:divBdr>
        </w:div>
        <w:div w:id="1863588528">
          <w:marLeft w:val="0"/>
          <w:marRight w:val="0"/>
          <w:marTop w:val="0"/>
          <w:marBottom w:val="0"/>
          <w:divBdr>
            <w:top w:val="none" w:sz="0" w:space="0" w:color="auto"/>
            <w:left w:val="none" w:sz="0" w:space="0" w:color="auto"/>
            <w:bottom w:val="none" w:sz="0" w:space="0" w:color="auto"/>
            <w:right w:val="none" w:sz="0" w:space="0" w:color="auto"/>
          </w:divBdr>
        </w:div>
      </w:divsChild>
    </w:div>
    <w:div w:id="1905288926">
      <w:bodyDiv w:val="1"/>
      <w:marLeft w:val="0"/>
      <w:marRight w:val="0"/>
      <w:marTop w:val="0"/>
      <w:marBottom w:val="0"/>
      <w:divBdr>
        <w:top w:val="none" w:sz="0" w:space="0" w:color="auto"/>
        <w:left w:val="none" w:sz="0" w:space="0" w:color="auto"/>
        <w:bottom w:val="none" w:sz="0" w:space="0" w:color="auto"/>
        <w:right w:val="none" w:sz="0" w:space="0" w:color="auto"/>
      </w:divBdr>
    </w:div>
    <w:div w:id="1906597930">
      <w:bodyDiv w:val="1"/>
      <w:marLeft w:val="0"/>
      <w:marRight w:val="0"/>
      <w:marTop w:val="0"/>
      <w:marBottom w:val="0"/>
      <w:divBdr>
        <w:top w:val="none" w:sz="0" w:space="0" w:color="auto"/>
        <w:left w:val="none" w:sz="0" w:space="0" w:color="auto"/>
        <w:bottom w:val="none" w:sz="0" w:space="0" w:color="auto"/>
        <w:right w:val="none" w:sz="0" w:space="0" w:color="auto"/>
      </w:divBdr>
    </w:div>
    <w:div w:id="1908831771">
      <w:bodyDiv w:val="1"/>
      <w:marLeft w:val="0"/>
      <w:marRight w:val="0"/>
      <w:marTop w:val="0"/>
      <w:marBottom w:val="0"/>
      <w:divBdr>
        <w:top w:val="none" w:sz="0" w:space="0" w:color="auto"/>
        <w:left w:val="none" w:sz="0" w:space="0" w:color="auto"/>
        <w:bottom w:val="none" w:sz="0" w:space="0" w:color="auto"/>
        <w:right w:val="none" w:sz="0" w:space="0" w:color="auto"/>
      </w:divBdr>
    </w:div>
    <w:div w:id="1909532828">
      <w:bodyDiv w:val="1"/>
      <w:marLeft w:val="0"/>
      <w:marRight w:val="0"/>
      <w:marTop w:val="0"/>
      <w:marBottom w:val="0"/>
      <w:divBdr>
        <w:top w:val="none" w:sz="0" w:space="0" w:color="auto"/>
        <w:left w:val="none" w:sz="0" w:space="0" w:color="auto"/>
        <w:bottom w:val="none" w:sz="0" w:space="0" w:color="auto"/>
        <w:right w:val="none" w:sz="0" w:space="0" w:color="auto"/>
      </w:divBdr>
    </w:div>
    <w:div w:id="1912081008">
      <w:bodyDiv w:val="1"/>
      <w:marLeft w:val="0"/>
      <w:marRight w:val="0"/>
      <w:marTop w:val="0"/>
      <w:marBottom w:val="0"/>
      <w:divBdr>
        <w:top w:val="none" w:sz="0" w:space="0" w:color="auto"/>
        <w:left w:val="none" w:sz="0" w:space="0" w:color="auto"/>
        <w:bottom w:val="none" w:sz="0" w:space="0" w:color="auto"/>
        <w:right w:val="none" w:sz="0" w:space="0" w:color="auto"/>
      </w:divBdr>
      <w:divsChild>
        <w:div w:id="275135268">
          <w:marLeft w:val="0"/>
          <w:marRight w:val="0"/>
          <w:marTop w:val="0"/>
          <w:marBottom w:val="0"/>
          <w:divBdr>
            <w:top w:val="none" w:sz="0" w:space="0" w:color="auto"/>
            <w:left w:val="none" w:sz="0" w:space="0" w:color="auto"/>
            <w:bottom w:val="none" w:sz="0" w:space="0" w:color="auto"/>
            <w:right w:val="none" w:sz="0" w:space="0" w:color="auto"/>
          </w:divBdr>
        </w:div>
        <w:div w:id="277832147">
          <w:marLeft w:val="0"/>
          <w:marRight w:val="0"/>
          <w:marTop w:val="0"/>
          <w:marBottom w:val="0"/>
          <w:divBdr>
            <w:top w:val="none" w:sz="0" w:space="0" w:color="auto"/>
            <w:left w:val="none" w:sz="0" w:space="0" w:color="auto"/>
            <w:bottom w:val="none" w:sz="0" w:space="0" w:color="auto"/>
            <w:right w:val="none" w:sz="0" w:space="0" w:color="auto"/>
          </w:divBdr>
        </w:div>
        <w:div w:id="463817527">
          <w:marLeft w:val="0"/>
          <w:marRight w:val="0"/>
          <w:marTop w:val="0"/>
          <w:marBottom w:val="0"/>
          <w:divBdr>
            <w:top w:val="none" w:sz="0" w:space="0" w:color="auto"/>
            <w:left w:val="none" w:sz="0" w:space="0" w:color="auto"/>
            <w:bottom w:val="none" w:sz="0" w:space="0" w:color="auto"/>
            <w:right w:val="none" w:sz="0" w:space="0" w:color="auto"/>
          </w:divBdr>
        </w:div>
        <w:div w:id="996154868">
          <w:marLeft w:val="0"/>
          <w:marRight w:val="0"/>
          <w:marTop w:val="0"/>
          <w:marBottom w:val="0"/>
          <w:divBdr>
            <w:top w:val="none" w:sz="0" w:space="0" w:color="auto"/>
            <w:left w:val="none" w:sz="0" w:space="0" w:color="auto"/>
            <w:bottom w:val="none" w:sz="0" w:space="0" w:color="auto"/>
            <w:right w:val="none" w:sz="0" w:space="0" w:color="auto"/>
          </w:divBdr>
        </w:div>
      </w:divsChild>
    </w:div>
    <w:div w:id="1914465131">
      <w:bodyDiv w:val="1"/>
      <w:marLeft w:val="0"/>
      <w:marRight w:val="0"/>
      <w:marTop w:val="0"/>
      <w:marBottom w:val="0"/>
      <w:divBdr>
        <w:top w:val="none" w:sz="0" w:space="0" w:color="auto"/>
        <w:left w:val="none" w:sz="0" w:space="0" w:color="auto"/>
        <w:bottom w:val="none" w:sz="0" w:space="0" w:color="auto"/>
        <w:right w:val="none" w:sz="0" w:space="0" w:color="auto"/>
      </w:divBdr>
    </w:div>
    <w:div w:id="1915048509">
      <w:bodyDiv w:val="1"/>
      <w:marLeft w:val="0"/>
      <w:marRight w:val="0"/>
      <w:marTop w:val="0"/>
      <w:marBottom w:val="0"/>
      <w:divBdr>
        <w:top w:val="none" w:sz="0" w:space="0" w:color="auto"/>
        <w:left w:val="none" w:sz="0" w:space="0" w:color="auto"/>
        <w:bottom w:val="none" w:sz="0" w:space="0" w:color="auto"/>
        <w:right w:val="none" w:sz="0" w:space="0" w:color="auto"/>
      </w:divBdr>
    </w:div>
    <w:div w:id="1915627112">
      <w:bodyDiv w:val="1"/>
      <w:marLeft w:val="0"/>
      <w:marRight w:val="0"/>
      <w:marTop w:val="0"/>
      <w:marBottom w:val="0"/>
      <w:divBdr>
        <w:top w:val="none" w:sz="0" w:space="0" w:color="auto"/>
        <w:left w:val="none" w:sz="0" w:space="0" w:color="auto"/>
        <w:bottom w:val="none" w:sz="0" w:space="0" w:color="auto"/>
        <w:right w:val="none" w:sz="0" w:space="0" w:color="auto"/>
      </w:divBdr>
    </w:div>
    <w:div w:id="1916890980">
      <w:bodyDiv w:val="1"/>
      <w:marLeft w:val="0"/>
      <w:marRight w:val="0"/>
      <w:marTop w:val="0"/>
      <w:marBottom w:val="0"/>
      <w:divBdr>
        <w:top w:val="none" w:sz="0" w:space="0" w:color="auto"/>
        <w:left w:val="none" w:sz="0" w:space="0" w:color="auto"/>
        <w:bottom w:val="none" w:sz="0" w:space="0" w:color="auto"/>
        <w:right w:val="none" w:sz="0" w:space="0" w:color="auto"/>
      </w:divBdr>
    </w:div>
    <w:div w:id="1919243865">
      <w:bodyDiv w:val="1"/>
      <w:marLeft w:val="0"/>
      <w:marRight w:val="0"/>
      <w:marTop w:val="0"/>
      <w:marBottom w:val="0"/>
      <w:divBdr>
        <w:top w:val="none" w:sz="0" w:space="0" w:color="auto"/>
        <w:left w:val="none" w:sz="0" w:space="0" w:color="auto"/>
        <w:bottom w:val="none" w:sz="0" w:space="0" w:color="auto"/>
        <w:right w:val="none" w:sz="0" w:space="0" w:color="auto"/>
      </w:divBdr>
    </w:div>
    <w:div w:id="1924072016">
      <w:bodyDiv w:val="1"/>
      <w:marLeft w:val="0"/>
      <w:marRight w:val="0"/>
      <w:marTop w:val="0"/>
      <w:marBottom w:val="0"/>
      <w:divBdr>
        <w:top w:val="none" w:sz="0" w:space="0" w:color="auto"/>
        <w:left w:val="none" w:sz="0" w:space="0" w:color="auto"/>
        <w:bottom w:val="none" w:sz="0" w:space="0" w:color="auto"/>
        <w:right w:val="none" w:sz="0" w:space="0" w:color="auto"/>
      </w:divBdr>
      <w:divsChild>
        <w:div w:id="338704591">
          <w:marLeft w:val="0"/>
          <w:marRight w:val="0"/>
          <w:marTop w:val="0"/>
          <w:marBottom w:val="0"/>
          <w:divBdr>
            <w:top w:val="none" w:sz="0" w:space="0" w:color="auto"/>
            <w:left w:val="none" w:sz="0" w:space="0" w:color="auto"/>
            <w:bottom w:val="none" w:sz="0" w:space="0" w:color="auto"/>
            <w:right w:val="none" w:sz="0" w:space="0" w:color="auto"/>
          </w:divBdr>
          <w:divsChild>
            <w:div w:id="111747271">
              <w:marLeft w:val="0"/>
              <w:marRight w:val="0"/>
              <w:marTop w:val="0"/>
              <w:marBottom w:val="0"/>
              <w:divBdr>
                <w:top w:val="none" w:sz="0" w:space="0" w:color="auto"/>
                <w:left w:val="none" w:sz="0" w:space="0" w:color="auto"/>
                <w:bottom w:val="none" w:sz="0" w:space="0" w:color="auto"/>
                <w:right w:val="none" w:sz="0" w:space="0" w:color="auto"/>
              </w:divBdr>
            </w:div>
            <w:div w:id="1126587642">
              <w:marLeft w:val="0"/>
              <w:marRight w:val="0"/>
              <w:marTop w:val="0"/>
              <w:marBottom w:val="0"/>
              <w:divBdr>
                <w:top w:val="none" w:sz="0" w:space="0" w:color="auto"/>
                <w:left w:val="none" w:sz="0" w:space="0" w:color="auto"/>
                <w:bottom w:val="none" w:sz="0" w:space="0" w:color="auto"/>
                <w:right w:val="none" w:sz="0" w:space="0" w:color="auto"/>
              </w:divBdr>
            </w:div>
          </w:divsChild>
        </w:div>
        <w:div w:id="1958945946">
          <w:marLeft w:val="0"/>
          <w:marRight w:val="0"/>
          <w:marTop w:val="0"/>
          <w:marBottom w:val="0"/>
          <w:divBdr>
            <w:top w:val="none" w:sz="0" w:space="0" w:color="auto"/>
            <w:left w:val="none" w:sz="0" w:space="0" w:color="auto"/>
            <w:bottom w:val="none" w:sz="0" w:space="0" w:color="auto"/>
            <w:right w:val="none" w:sz="0" w:space="0" w:color="auto"/>
          </w:divBdr>
        </w:div>
      </w:divsChild>
    </w:div>
    <w:div w:id="1926382836">
      <w:bodyDiv w:val="1"/>
      <w:marLeft w:val="0"/>
      <w:marRight w:val="0"/>
      <w:marTop w:val="0"/>
      <w:marBottom w:val="0"/>
      <w:divBdr>
        <w:top w:val="none" w:sz="0" w:space="0" w:color="auto"/>
        <w:left w:val="none" w:sz="0" w:space="0" w:color="auto"/>
        <w:bottom w:val="none" w:sz="0" w:space="0" w:color="auto"/>
        <w:right w:val="none" w:sz="0" w:space="0" w:color="auto"/>
      </w:divBdr>
      <w:divsChild>
        <w:div w:id="865093199">
          <w:marLeft w:val="0"/>
          <w:marRight w:val="0"/>
          <w:marTop w:val="0"/>
          <w:marBottom w:val="0"/>
          <w:divBdr>
            <w:top w:val="none" w:sz="0" w:space="0" w:color="auto"/>
            <w:left w:val="none" w:sz="0" w:space="0" w:color="auto"/>
            <w:bottom w:val="none" w:sz="0" w:space="0" w:color="auto"/>
            <w:right w:val="none" w:sz="0" w:space="0" w:color="auto"/>
          </w:divBdr>
        </w:div>
      </w:divsChild>
    </w:div>
    <w:div w:id="1926962089">
      <w:bodyDiv w:val="1"/>
      <w:marLeft w:val="0"/>
      <w:marRight w:val="0"/>
      <w:marTop w:val="0"/>
      <w:marBottom w:val="0"/>
      <w:divBdr>
        <w:top w:val="none" w:sz="0" w:space="0" w:color="auto"/>
        <w:left w:val="none" w:sz="0" w:space="0" w:color="auto"/>
        <w:bottom w:val="none" w:sz="0" w:space="0" w:color="auto"/>
        <w:right w:val="none" w:sz="0" w:space="0" w:color="auto"/>
      </w:divBdr>
    </w:div>
    <w:div w:id="1935431760">
      <w:bodyDiv w:val="1"/>
      <w:marLeft w:val="0"/>
      <w:marRight w:val="0"/>
      <w:marTop w:val="0"/>
      <w:marBottom w:val="0"/>
      <w:divBdr>
        <w:top w:val="none" w:sz="0" w:space="0" w:color="auto"/>
        <w:left w:val="none" w:sz="0" w:space="0" w:color="auto"/>
        <w:bottom w:val="none" w:sz="0" w:space="0" w:color="auto"/>
        <w:right w:val="none" w:sz="0" w:space="0" w:color="auto"/>
      </w:divBdr>
      <w:divsChild>
        <w:div w:id="424621108">
          <w:marLeft w:val="0"/>
          <w:marRight w:val="0"/>
          <w:marTop w:val="0"/>
          <w:marBottom w:val="0"/>
          <w:divBdr>
            <w:top w:val="none" w:sz="0" w:space="0" w:color="auto"/>
            <w:left w:val="none" w:sz="0" w:space="0" w:color="auto"/>
            <w:bottom w:val="none" w:sz="0" w:space="0" w:color="auto"/>
            <w:right w:val="none" w:sz="0" w:space="0" w:color="auto"/>
          </w:divBdr>
        </w:div>
        <w:div w:id="1220290646">
          <w:marLeft w:val="0"/>
          <w:marRight w:val="0"/>
          <w:marTop w:val="0"/>
          <w:marBottom w:val="0"/>
          <w:divBdr>
            <w:top w:val="none" w:sz="0" w:space="0" w:color="auto"/>
            <w:left w:val="none" w:sz="0" w:space="0" w:color="auto"/>
            <w:bottom w:val="none" w:sz="0" w:space="0" w:color="auto"/>
            <w:right w:val="none" w:sz="0" w:space="0" w:color="auto"/>
          </w:divBdr>
        </w:div>
      </w:divsChild>
    </w:div>
    <w:div w:id="1935674126">
      <w:bodyDiv w:val="1"/>
      <w:marLeft w:val="0"/>
      <w:marRight w:val="0"/>
      <w:marTop w:val="0"/>
      <w:marBottom w:val="0"/>
      <w:divBdr>
        <w:top w:val="none" w:sz="0" w:space="0" w:color="auto"/>
        <w:left w:val="none" w:sz="0" w:space="0" w:color="auto"/>
        <w:bottom w:val="none" w:sz="0" w:space="0" w:color="auto"/>
        <w:right w:val="none" w:sz="0" w:space="0" w:color="auto"/>
      </w:divBdr>
    </w:div>
    <w:div w:id="1937900910">
      <w:bodyDiv w:val="1"/>
      <w:marLeft w:val="0"/>
      <w:marRight w:val="0"/>
      <w:marTop w:val="0"/>
      <w:marBottom w:val="0"/>
      <w:divBdr>
        <w:top w:val="none" w:sz="0" w:space="0" w:color="auto"/>
        <w:left w:val="none" w:sz="0" w:space="0" w:color="auto"/>
        <w:bottom w:val="none" w:sz="0" w:space="0" w:color="auto"/>
        <w:right w:val="none" w:sz="0" w:space="0" w:color="auto"/>
      </w:divBdr>
      <w:divsChild>
        <w:div w:id="1402365575">
          <w:marLeft w:val="0"/>
          <w:marRight w:val="0"/>
          <w:marTop w:val="0"/>
          <w:marBottom w:val="0"/>
          <w:divBdr>
            <w:top w:val="none" w:sz="0" w:space="0" w:color="auto"/>
            <w:left w:val="none" w:sz="0" w:space="0" w:color="auto"/>
            <w:bottom w:val="none" w:sz="0" w:space="0" w:color="auto"/>
            <w:right w:val="none" w:sz="0" w:space="0" w:color="auto"/>
          </w:divBdr>
        </w:div>
        <w:div w:id="1816868660">
          <w:marLeft w:val="0"/>
          <w:marRight w:val="0"/>
          <w:marTop w:val="0"/>
          <w:marBottom w:val="0"/>
          <w:divBdr>
            <w:top w:val="none" w:sz="0" w:space="0" w:color="auto"/>
            <w:left w:val="none" w:sz="0" w:space="0" w:color="auto"/>
            <w:bottom w:val="none" w:sz="0" w:space="0" w:color="auto"/>
            <w:right w:val="none" w:sz="0" w:space="0" w:color="auto"/>
          </w:divBdr>
        </w:div>
      </w:divsChild>
    </w:div>
    <w:div w:id="1938243723">
      <w:bodyDiv w:val="1"/>
      <w:marLeft w:val="0"/>
      <w:marRight w:val="0"/>
      <w:marTop w:val="0"/>
      <w:marBottom w:val="0"/>
      <w:divBdr>
        <w:top w:val="none" w:sz="0" w:space="0" w:color="auto"/>
        <w:left w:val="none" w:sz="0" w:space="0" w:color="auto"/>
        <w:bottom w:val="none" w:sz="0" w:space="0" w:color="auto"/>
        <w:right w:val="none" w:sz="0" w:space="0" w:color="auto"/>
      </w:divBdr>
    </w:div>
    <w:div w:id="1939215054">
      <w:bodyDiv w:val="1"/>
      <w:marLeft w:val="0"/>
      <w:marRight w:val="0"/>
      <w:marTop w:val="0"/>
      <w:marBottom w:val="0"/>
      <w:divBdr>
        <w:top w:val="none" w:sz="0" w:space="0" w:color="auto"/>
        <w:left w:val="none" w:sz="0" w:space="0" w:color="auto"/>
        <w:bottom w:val="none" w:sz="0" w:space="0" w:color="auto"/>
        <w:right w:val="none" w:sz="0" w:space="0" w:color="auto"/>
      </w:divBdr>
      <w:divsChild>
        <w:div w:id="597522352">
          <w:marLeft w:val="0"/>
          <w:marRight w:val="0"/>
          <w:marTop w:val="0"/>
          <w:marBottom w:val="0"/>
          <w:divBdr>
            <w:top w:val="none" w:sz="0" w:space="0" w:color="auto"/>
            <w:left w:val="none" w:sz="0" w:space="0" w:color="auto"/>
            <w:bottom w:val="none" w:sz="0" w:space="0" w:color="auto"/>
            <w:right w:val="none" w:sz="0" w:space="0" w:color="auto"/>
          </w:divBdr>
        </w:div>
        <w:div w:id="1343976659">
          <w:marLeft w:val="0"/>
          <w:marRight w:val="0"/>
          <w:marTop w:val="0"/>
          <w:marBottom w:val="0"/>
          <w:divBdr>
            <w:top w:val="none" w:sz="0" w:space="0" w:color="auto"/>
            <w:left w:val="none" w:sz="0" w:space="0" w:color="auto"/>
            <w:bottom w:val="none" w:sz="0" w:space="0" w:color="auto"/>
            <w:right w:val="none" w:sz="0" w:space="0" w:color="auto"/>
          </w:divBdr>
        </w:div>
      </w:divsChild>
    </w:div>
    <w:div w:id="1939290837">
      <w:bodyDiv w:val="1"/>
      <w:marLeft w:val="0"/>
      <w:marRight w:val="0"/>
      <w:marTop w:val="0"/>
      <w:marBottom w:val="0"/>
      <w:divBdr>
        <w:top w:val="none" w:sz="0" w:space="0" w:color="auto"/>
        <w:left w:val="none" w:sz="0" w:space="0" w:color="auto"/>
        <w:bottom w:val="none" w:sz="0" w:space="0" w:color="auto"/>
        <w:right w:val="none" w:sz="0" w:space="0" w:color="auto"/>
      </w:divBdr>
    </w:div>
    <w:div w:id="1941138647">
      <w:bodyDiv w:val="1"/>
      <w:marLeft w:val="0"/>
      <w:marRight w:val="0"/>
      <w:marTop w:val="0"/>
      <w:marBottom w:val="0"/>
      <w:divBdr>
        <w:top w:val="none" w:sz="0" w:space="0" w:color="auto"/>
        <w:left w:val="none" w:sz="0" w:space="0" w:color="auto"/>
        <w:bottom w:val="none" w:sz="0" w:space="0" w:color="auto"/>
        <w:right w:val="none" w:sz="0" w:space="0" w:color="auto"/>
      </w:divBdr>
      <w:divsChild>
        <w:div w:id="1734893481">
          <w:marLeft w:val="0"/>
          <w:marRight w:val="0"/>
          <w:marTop w:val="0"/>
          <w:marBottom w:val="0"/>
          <w:divBdr>
            <w:top w:val="none" w:sz="0" w:space="0" w:color="auto"/>
            <w:left w:val="none" w:sz="0" w:space="0" w:color="auto"/>
            <w:bottom w:val="none" w:sz="0" w:space="0" w:color="auto"/>
            <w:right w:val="none" w:sz="0" w:space="0" w:color="auto"/>
          </w:divBdr>
        </w:div>
        <w:div w:id="1987663537">
          <w:marLeft w:val="0"/>
          <w:marRight w:val="0"/>
          <w:marTop w:val="0"/>
          <w:marBottom w:val="0"/>
          <w:divBdr>
            <w:top w:val="none" w:sz="0" w:space="0" w:color="auto"/>
            <w:left w:val="none" w:sz="0" w:space="0" w:color="auto"/>
            <w:bottom w:val="none" w:sz="0" w:space="0" w:color="auto"/>
            <w:right w:val="none" w:sz="0" w:space="0" w:color="auto"/>
          </w:divBdr>
        </w:div>
      </w:divsChild>
    </w:div>
    <w:div w:id="1944455968">
      <w:bodyDiv w:val="1"/>
      <w:marLeft w:val="0"/>
      <w:marRight w:val="0"/>
      <w:marTop w:val="0"/>
      <w:marBottom w:val="0"/>
      <w:divBdr>
        <w:top w:val="none" w:sz="0" w:space="0" w:color="auto"/>
        <w:left w:val="none" w:sz="0" w:space="0" w:color="auto"/>
        <w:bottom w:val="none" w:sz="0" w:space="0" w:color="auto"/>
        <w:right w:val="none" w:sz="0" w:space="0" w:color="auto"/>
      </w:divBdr>
      <w:divsChild>
        <w:div w:id="468287288">
          <w:marLeft w:val="0"/>
          <w:marRight w:val="0"/>
          <w:marTop w:val="0"/>
          <w:marBottom w:val="0"/>
          <w:divBdr>
            <w:top w:val="none" w:sz="0" w:space="0" w:color="auto"/>
            <w:left w:val="none" w:sz="0" w:space="0" w:color="auto"/>
            <w:bottom w:val="none" w:sz="0" w:space="0" w:color="auto"/>
            <w:right w:val="none" w:sz="0" w:space="0" w:color="auto"/>
          </w:divBdr>
        </w:div>
        <w:div w:id="848907632">
          <w:marLeft w:val="0"/>
          <w:marRight w:val="0"/>
          <w:marTop w:val="0"/>
          <w:marBottom w:val="0"/>
          <w:divBdr>
            <w:top w:val="none" w:sz="0" w:space="0" w:color="auto"/>
            <w:left w:val="none" w:sz="0" w:space="0" w:color="auto"/>
            <w:bottom w:val="none" w:sz="0" w:space="0" w:color="auto"/>
            <w:right w:val="none" w:sz="0" w:space="0" w:color="auto"/>
          </w:divBdr>
        </w:div>
      </w:divsChild>
    </w:div>
    <w:div w:id="1946577808">
      <w:bodyDiv w:val="1"/>
      <w:marLeft w:val="0"/>
      <w:marRight w:val="0"/>
      <w:marTop w:val="0"/>
      <w:marBottom w:val="0"/>
      <w:divBdr>
        <w:top w:val="none" w:sz="0" w:space="0" w:color="auto"/>
        <w:left w:val="none" w:sz="0" w:space="0" w:color="auto"/>
        <w:bottom w:val="none" w:sz="0" w:space="0" w:color="auto"/>
        <w:right w:val="none" w:sz="0" w:space="0" w:color="auto"/>
      </w:divBdr>
      <w:divsChild>
        <w:div w:id="489833466">
          <w:marLeft w:val="0"/>
          <w:marRight w:val="0"/>
          <w:marTop w:val="0"/>
          <w:marBottom w:val="0"/>
          <w:divBdr>
            <w:top w:val="none" w:sz="0" w:space="0" w:color="auto"/>
            <w:left w:val="none" w:sz="0" w:space="0" w:color="auto"/>
            <w:bottom w:val="none" w:sz="0" w:space="0" w:color="auto"/>
            <w:right w:val="none" w:sz="0" w:space="0" w:color="auto"/>
          </w:divBdr>
        </w:div>
        <w:div w:id="1006177151">
          <w:marLeft w:val="0"/>
          <w:marRight w:val="0"/>
          <w:marTop w:val="0"/>
          <w:marBottom w:val="0"/>
          <w:divBdr>
            <w:top w:val="none" w:sz="0" w:space="0" w:color="auto"/>
            <w:left w:val="none" w:sz="0" w:space="0" w:color="auto"/>
            <w:bottom w:val="none" w:sz="0" w:space="0" w:color="auto"/>
            <w:right w:val="none" w:sz="0" w:space="0" w:color="auto"/>
          </w:divBdr>
        </w:div>
        <w:div w:id="2033414587">
          <w:marLeft w:val="0"/>
          <w:marRight w:val="0"/>
          <w:marTop w:val="0"/>
          <w:marBottom w:val="0"/>
          <w:divBdr>
            <w:top w:val="none" w:sz="0" w:space="0" w:color="auto"/>
            <w:left w:val="none" w:sz="0" w:space="0" w:color="auto"/>
            <w:bottom w:val="none" w:sz="0" w:space="0" w:color="auto"/>
            <w:right w:val="none" w:sz="0" w:space="0" w:color="auto"/>
          </w:divBdr>
        </w:div>
      </w:divsChild>
    </w:div>
    <w:div w:id="1952391846">
      <w:bodyDiv w:val="1"/>
      <w:marLeft w:val="0"/>
      <w:marRight w:val="0"/>
      <w:marTop w:val="0"/>
      <w:marBottom w:val="0"/>
      <w:divBdr>
        <w:top w:val="none" w:sz="0" w:space="0" w:color="auto"/>
        <w:left w:val="none" w:sz="0" w:space="0" w:color="auto"/>
        <w:bottom w:val="none" w:sz="0" w:space="0" w:color="auto"/>
        <w:right w:val="none" w:sz="0" w:space="0" w:color="auto"/>
      </w:divBdr>
      <w:divsChild>
        <w:div w:id="863904474">
          <w:marLeft w:val="0"/>
          <w:marRight w:val="0"/>
          <w:marTop w:val="0"/>
          <w:marBottom w:val="0"/>
          <w:divBdr>
            <w:top w:val="none" w:sz="0" w:space="0" w:color="auto"/>
            <w:left w:val="none" w:sz="0" w:space="0" w:color="auto"/>
            <w:bottom w:val="none" w:sz="0" w:space="0" w:color="auto"/>
            <w:right w:val="none" w:sz="0" w:space="0" w:color="auto"/>
          </w:divBdr>
        </w:div>
        <w:div w:id="1205411201">
          <w:marLeft w:val="0"/>
          <w:marRight w:val="0"/>
          <w:marTop w:val="0"/>
          <w:marBottom w:val="0"/>
          <w:divBdr>
            <w:top w:val="none" w:sz="0" w:space="0" w:color="auto"/>
            <w:left w:val="none" w:sz="0" w:space="0" w:color="auto"/>
            <w:bottom w:val="none" w:sz="0" w:space="0" w:color="auto"/>
            <w:right w:val="none" w:sz="0" w:space="0" w:color="auto"/>
          </w:divBdr>
          <w:divsChild>
            <w:div w:id="335620494">
              <w:marLeft w:val="0"/>
              <w:marRight w:val="0"/>
              <w:marTop w:val="0"/>
              <w:marBottom w:val="0"/>
              <w:divBdr>
                <w:top w:val="none" w:sz="0" w:space="0" w:color="auto"/>
                <w:left w:val="none" w:sz="0" w:space="0" w:color="auto"/>
                <w:bottom w:val="none" w:sz="0" w:space="0" w:color="auto"/>
                <w:right w:val="none" w:sz="0" w:space="0" w:color="auto"/>
              </w:divBdr>
            </w:div>
            <w:div w:id="428158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1063813">
      <w:bodyDiv w:val="1"/>
      <w:marLeft w:val="0"/>
      <w:marRight w:val="0"/>
      <w:marTop w:val="0"/>
      <w:marBottom w:val="0"/>
      <w:divBdr>
        <w:top w:val="none" w:sz="0" w:space="0" w:color="auto"/>
        <w:left w:val="none" w:sz="0" w:space="0" w:color="auto"/>
        <w:bottom w:val="none" w:sz="0" w:space="0" w:color="auto"/>
        <w:right w:val="none" w:sz="0" w:space="0" w:color="auto"/>
      </w:divBdr>
    </w:div>
    <w:div w:id="1962373886">
      <w:bodyDiv w:val="1"/>
      <w:marLeft w:val="0"/>
      <w:marRight w:val="0"/>
      <w:marTop w:val="0"/>
      <w:marBottom w:val="0"/>
      <w:divBdr>
        <w:top w:val="none" w:sz="0" w:space="0" w:color="auto"/>
        <w:left w:val="none" w:sz="0" w:space="0" w:color="auto"/>
        <w:bottom w:val="none" w:sz="0" w:space="0" w:color="auto"/>
        <w:right w:val="none" w:sz="0" w:space="0" w:color="auto"/>
      </w:divBdr>
    </w:div>
    <w:div w:id="1963337280">
      <w:bodyDiv w:val="1"/>
      <w:marLeft w:val="0"/>
      <w:marRight w:val="0"/>
      <w:marTop w:val="0"/>
      <w:marBottom w:val="0"/>
      <w:divBdr>
        <w:top w:val="none" w:sz="0" w:space="0" w:color="auto"/>
        <w:left w:val="none" w:sz="0" w:space="0" w:color="auto"/>
        <w:bottom w:val="none" w:sz="0" w:space="0" w:color="auto"/>
        <w:right w:val="none" w:sz="0" w:space="0" w:color="auto"/>
      </w:divBdr>
    </w:div>
    <w:div w:id="1963488673">
      <w:bodyDiv w:val="1"/>
      <w:marLeft w:val="0"/>
      <w:marRight w:val="0"/>
      <w:marTop w:val="0"/>
      <w:marBottom w:val="0"/>
      <w:divBdr>
        <w:top w:val="none" w:sz="0" w:space="0" w:color="auto"/>
        <w:left w:val="none" w:sz="0" w:space="0" w:color="auto"/>
        <w:bottom w:val="none" w:sz="0" w:space="0" w:color="auto"/>
        <w:right w:val="none" w:sz="0" w:space="0" w:color="auto"/>
      </w:divBdr>
      <w:divsChild>
        <w:div w:id="3020131">
          <w:marLeft w:val="0"/>
          <w:marRight w:val="0"/>
          <w:marTop w:val="0"/>
          <w:marBottom w:val="0"/>
          <w:divBdr>
            <w:top w:val="none" w:sz="0" w:space="0" w:color="auto"/>
            <w:left w:val="none" w:sz="0" w:space="0" w:color="auto"/>
            <w:bottom w:val="none" w:sz="0" w:space="0" w:color="auto"/>
            <w:right w:val="none" w:sz="0" w:space="0" w:color="auto"/>
          </w:divBdr>
        </w:div>
        <w:div w:id="2142962998">
          <w:marLeft w:val="0"/>
          <w:marRight w:val="0"/>
          <w:marTop w:val="0"/>
          <w:marBottom w:val="0"/>
          <w:divBdr>
            <w:top w:val="none" w:sz="0" w:space="0" w:color="auto"/>
            <w:left w:val="none" w:sz="0" w:space="0" w:color="auto"/>
            <w:bottom w:val="none" w:sz="0" w:space="0" w:color="auto"/>
            <w:right w:val="none" w:sz="0" w:space="0" w:color="auto"/>
          </w:divBdr>
        </w:div>
      </w:divsChild>
    </w:div>
    <w:div w:id="1964385321">
      <w:bodyDiv w:val="1"/>
      <w:marLeft w:val="0"/>
      <w:marRight w:val="0"/>
      <w:marTop w:val="0"/>
      <w:marBottom w:val="0"/>
      <w:divBdr>
        <w:top w:val="none" w:sz="0" w:space="0" w:color="auto"/>
        <w:left w:val="none" w:sz="0" w:space="0" w:color="auto"/>
        <w:bottom w:val="none" w:sz="0" w:space="0" w:color="auto"/>
        <w:right w:val="none" w:sz="0" w:space="0" w:color="auto"/>
      </w:divBdr>
    </w:div>
    <w:div w:id="1965890724">
      <w:bodyDiv w:val="1"/>
      <w:marLeft w:val="0"/>
      <w:marRight w:val="0"/>
      <w:marTop w:val="0"/>
      <w:marBottom w:val="0"/>
      <w:divBdr>
        <w:top w:val="none" w:sz="0" w:space="0" w:color="auto"/>
        <w:left w:val="none" w:sz="0" w:space="0" w:color="auto"/>
        <w:bottom w:val="none" w:sz="0" w:space="0" w:color="auto"/>
        <w:right w:val="none" w:sz="0" w:space="0" w:color="auto"/>
      </w:divBdr>
    </w:div>
    <w:div w:id="1965962885">
      <w:bodyDiv w:val="1"/>
      <w:marLeft w:val="0"/>
      <w:marRight w:val="0"/>
      <w:marTop w:val="0"/>
      <w:marBottom w:val="0"/>
      <w:divBdr>
        <w:top w:val="none" w:sz="0" w:space="0" w:color="auto"/>
        <w:left w:val="none" w:sz="0" w:space="0" w:color="auto"/>
        <w:bottom w:val="none" w:sz="0" w:space="0" w:color="auto"/>
        <w:right w:val="none" w:sz="0" w:space="0" w:color="auto"/>
      </w:divBdr>
      <w:divsChild>
        <w:div w:id="369963221">
          <w:marLeft w:val="0"/>
          <w:marRight w:val="0"/>
          <w:marTop w:val="0"/>
          <w:marBottom w:val="0"/>
          <w:divBdr>
            <w:top w:val="none" w:sz="0" w:space="0" w:color="auto"/>
            <w:left w:val="none" w:sz="0" w:space="0" w:color="auto"/>
            <w:bottom w:val="none" w:sz="0" w:space="0" w:color="auto"/>
            <w:right w:val="none" w:sz="0" w:space="0" w:color="auto"/>
          </w:divBdr>
        </w:div>
        <w:div w:id="1144354658">
          <w:marLeft w:val="0"/>
          <w:marRight w:val="0"/>
          <w:marTop w:val="0"/>
          <w:marBottom w:val="0"/>
          <w:divBdr>
            <w:top w:val="none" w:sz="0" w:space="0" w:color="auto"/>
            <w:left w:val="none" w:sz="0" w:space="0" w:color="auto"/>
            <w:bottom w:val="none" w:sz="0" w:space="0" w:color="auto"/>
            <w:right w:val="none" w:sz="0" w:space="0" w:color="auto"/>
          </w:divBdr>
        </w:div>
      </w:divsChild>
    </w:div>
    <w:div w:id="1971552098">
      <w:bodyDiv w:val="1"/>
      <w:marLeft w:val="0"/>
      <w:marRight w:val="0"/>
      <w:marTop w:val="0"/>
      <w:marBottom w:val="0"/>
      <w:divBdr>
        <w:top w:val="none" w:sz="0" w:space="0" w:color="auto"/>
        <w:left w:val="none" w:sz="0" w:space="0" w:color="auto"/>
        <w:bottom w:val="none" w:sz="0" w:space="0" w:color="auto"/>
        <w:right w:val="none" w:sz="0" w:space="0" w:color="auto"/>
      </w:divBdr>
    </w:div>
    <w:div w:id="1975671132">
      <w:bodyDiv w:val="1"/>
      <w:marLeft w:val="0"/>
      <w:marRight w:val="0"/>
      <w:marTop w:val="0"/>
      <w:marBottom w:val="0"/>
      <w:divBdr>
        <w:top w:val="none" w:sz="0" w:space="0" w:color="auto"/>
        <w:left w:val="none" w:sz="0" w:space="0" w:color="auto"/>
        <w:bottom w:val="none" w:sz="0" w:space="0" w:color="auto"/>
        <w:right w:val="none" w:sz="0" w:space="0" w:color="auto"/>
      </w:divBdr>
      <w:divsChild>
        <w:div w:id="1504315345">
          <w:marLeft w:val="0"/>
          <w:marRight w:val="0"/>
          <w:marTop w:val="0"/>
          <w:marBottom w:val="0"/>
          <w:divBdr>
            <w:top w:val="none" w:sz="0" w:space="0" w:color="auto"/>
            <w:left w:val="none" w:sz="0" w:space="0" w:color="auto"/>
            <w:bottom w:val="none" w:sz="0" w:space="0" w:color="auto"/>
            <w:right w:val="none" w:sz="0" w:space="0" w:color="auto"/>
          </w:divBdr>
        </w:div>
        <w:div w:id="1532721309">
          <w:marLeft w:val="0"/>
          <w:marRight w:val="0"/>
          <w:marTop w:val="0"/>
          <w:marBottom w:val="0"/>
          <w:divBdr>
            <w:top w:val="none" w:sz="0" w:space="0" w:color="auto"/>
            <w:left w:val="none" w:sz="0" w:space="0" w:color="auto"/>
            <w:bottom w:val="none" w:sz="0" w:space="0" w:color="auto"/>
            <w:right w:val="none" w:sz="0" w:space="0" w:color="auto"/>
          </w:divBdr>
        </w:div>
      </w:divsChild>
    </w:div>
    <w:div w:id="1975790446">
      <w:bodyDiv w:val="1"/>
      <w:marLeft w:val="0"/>
      <w:marRight w:val="0"/>
      <w:marTop w:val="0"/>
      <w:marBottom w:val="0"/>
      <w:divBdr>
        <w:top w:val="none" w:sz="0" w:space="0" w:color="auto"/>
        <w:left w:val="none" w:sz="0" w:space="0" w:color="auto"/>
        <w:bottom w:val="none" w:sz="0" w:space="0" w:color="auto"/>
        <w:right w:val="none" w:sz="0" w:space="0" w:color="auto"/>
      </w:divBdr>
      <w:divsChild>
        <w:div w:id="31137501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980762836">
      <w:bodyDiv w:val="1"/>
      <w:marLeft w:val="0"/>
      <w:marRight w:val="0"/>
      <w:marTop w:val="0"/>
      <w:marBottom w:val="0"/>
      <w:divBdr>
        <w:top w:val="none" w:sz="0" w:space="0" w:color="auto"/>
        <w:left w:val="none" w:sz="0" w:space="0" w:color="auto"/>
        <w:bottom w:val="none" w:sz="0" w:space="0" w:color="auto"/>
        <w:right w:val="none" w:sz="0" w:space="0" w:color="auto"/>
      </w:divBdr>
    </w:div>
    <w:div w:id="1988321240">
      <w:bodyDiv w:val="1"/>
      <w:marLeft w:val="4"/>
      <w:marRight w:val="4"/>
      <w:marTop w:val="67"/>
      <w:marBottom w:val="67"/>
      <w:divBdr>
        <w:top w:val="none" w:sz="0" w:space="0" w:color="auto"/>
        <w:left w:val="none" w:sz="0" w:space="0" w:color="auto"/>
        <w:bottom w:val="none" w:sz="0" w:space="0" w:color="auto"/>
        <w:right w:val="none" w:sz="0" w:space="0" w:color="auto"/>
      </w:divBdr>
    </w:div>
    <w:div w:id="1988434895">
      <w:bodyDiv w:val="1"/>
      <w:marLeft w:val="0"/>
      <w:marRight w:val="0"/>
      <w:marTop w:val="0"/>
      <w:marBottom w:val="0"/>
      <w:divBdr>
        <w:top w:val="none" w:sz="0" w:space="0" w:color="auto"/>
        <w:left w:val="none" w:sz="0" w:space="0" w:color="auto"/>
        <w:bottom w:val="none" w:sz="0" w:space="0" w:color="auto"/>
        <w:right w:val="none" w:sz="0" w:space="0" w:color="auto"/>
      </w:divBdr>
      <w:divsChild>
        <w:div w:id="2704556">
          <w:marLeft w:val="0"/>
          <w:marRight w:val="0"/>
          <w:marTop w:val="0"/>
          <w:marBottom w:val="0"/>
          <w:divBdr>
            <w:top w:val="none" w:sz="0" w:space="0" w:color="auto"/>
            <w:left w:val="none" w:sz="0" w:space="0" w:color="auto"/>
            <w:bottom w:val="none" w:sz="0" w:space="0" w:color="auto"/>
            <w:right w:val="none" w:sz="0" w:space="0" w:color="auto"/>
          </w:divBdr>
        </w:div>
        <w:div w:id="521822061">
          <w:marLeft w:val="0"/>
          <w:marRight w:val="0"/>
          <w:marTop w:val="0"/>
          <w:marBottom w:val="0"/>
          <w:divBdr>
            <w:top w:val="none" w:sz="0" w:space="0" w:color="auto"/>
            <w:left w:val="none" w:sz="0" w:space="0" w:color="auto"/>
            <w:bottom w:val="none" w:sz="0" w:space="0" w:color="auto"/>
            <w:right w:val="none" w:sz="0" w:space="0" w:color="auto"/>
          </w:divBdr>
        </w:div>
        <w:div w:id="655575847">
          <w:marLeft w:val="0"/>
          <w:marRight w:val="0"/>
          <w:marTop w:val="0"/>
          <w:marBottom w:val="0"/>
          <w:divBdr>
            <w:top w:val="none" w:sz="0" w:space="0" w:color="auto"/>
            <w:left w:val="none" w:sz="0" w:space="0" w:color="auto"/>
            <w:bottom w:val="none" w:sz="0" w:space="0" w:color="auto"/>
            <w:right w:val="none" w:sz="0" w:space="0" w:color="auto"/>
          </w:divBdr>
        </w:div>
        <w:div w:id="910654277">
          <w:marLeft w:val="0"/>
          <w:marRight w:val="0"/>
          <w:marTop w:val="0"/>
          <w:marBottom w:val="0"/>
          <w:divBdr>
            <w:top w:val="none" w:sz="0" w:space="0" w:color="auto"/>
            <w:left w:val="none" w:sz="0" w:space="0" w:color="auto"/>
            <w:bottom w:val="none" w:sz="0" w:space="0" w:color="auto"/>
            <w:right w:val="none" w:sz="0" w:space="0" w:color="auto"/>
          </w:divBdr>
        </w:div>
        <w:div w:id="915894697">
          <w:marLeft w:val="0"/>
          <w:marRight w:val="0"/>
          <w:marTop w:val="0"/>
          <w:marBottom w:val="0"/>
          <w:divBdr>
            <w:top w:val="none" w:sz="0" w:space="0" w:color="auto"/>
            <w:left w:val="none" w:sz="0" w:space="0" w:color="auto"/>
            <w:bottom w:val="none" w:sz="0" w:space="0" w:color="auto"/>
            <w:right w:val="none" w:sz="0" w:space="0" w:color="auto"/>
          </w:divBdr>
        </w:div>
        <w:div w:id="1802075012">
          <w:marLeft w:val="0"/>
          <w:marRight w:val="0"/>
          <w:marTop w:val="0"/>
          <w:marBottom w:val="0"/>
          <w:divBdr>
            <w:top w:val="none" w:sz="0" w:space="0" w:color="auto"/>
            <w:left w:val="none" w:sz="0" w:space="0" w:color="auto"/>
            <w:bottom w:val="none" w:sz="0" w:space="0" w:color="auto"/>
            <w:right w:val="none" w:sz="0" w:space="0" w:color="auto"/>
          </w:divBdr>
        </w:div>
      </w:divsChild>
    </w:div>
    <w:div w:id="1990085960">
      <w:bodyDiv w:val="1"/>
      <w:marLeft w:val="0"/>
      <w:marRight w:val="0"/>
      <w:marTop w:val="0"/>
      <w:marBottom w:val="0"/>
      <w:divBdr>
        <w:top w:val="none" w:sz="0" w:space="0" w:color="auto"/>
        <w:left w:val="none" w:sz="0" w:space="0" w:color="auto"/>
        <w:bottom w:val="none" w:sz="0" w:space="0" w:color="auto"/>
        <w:right w:val="none" w:sz="0" w:space="0" w:color="auto"/>
      </w:divBdr>
    </w:div>
    <w:div w:id="1990942831">
      <w:bodyDiv w:val="1"/>
      <w:marLeft w:val="0"/>
      <w:marRight w:val="0"/>
      <w:marTop w:val="0"/>
      <w:marBottom w:val="0"/>
      <w:divBdr>
        <w:top w:val="none" w:sz="0" w:space="0" w:color="auto"/>
        <w:left w:val="none" w:sz="0" w:space="0" w:color="auto"/>
        <w:bottom w:val="none" w:sz="0" w:space="0" w:color="auto"/>
        <w:right w:val="none" w:sz="0" w:space="0" w:color="auto"/>
      </w:divBdr>
      <w:divsChild>
        <w:div w:id="336201206">
          <w:marLeft w:val="0"/>
          <w:marRight w:val="0"/>
          <w:marTop w:val="0"/>
          <w:marBottom w:val="0"/>
          <w:divBdr>
            <w:top w:val="none" w:sz="0" w:space="0" w:color="auto"/>
            <w:left w:val="none" w:sz="0" w:space="0" w:color="auto"/>
            <w:bottom w:val="none" w:sz="0" w:space="0" w:color="auto"/>
            <w:right w:val="none" w:sz="0" w:space="0" w:color="auto"/>
          </w:divBdr>
        </w:div>
        <w:div w:id="1219509108">
          <w:marLeft w:val="0"/>
          <w:marRight w:val="0"/>
          <w:marTop w:val="0"/>
          <w:marBottom w:val="0"/>
          <w:divBdr>
            <w:top w:val="none" w:sz="0" w:space="0" w:color="auto"/>
            <w:left w:val="none" w:sz="0" w:space="0" w:color="auto"/>
            <w:bottom w:val="none" w:sz="0" w:space="0" w:color="auto"/>
            <w:right w:val="none" w:sz="0" w:space="0" w:color="auto"/>
          </w:divBdr>
        </w:div>
        <w:div w:id="1771780484">
          <w:marLeft w:val="0"/>
          <w:marRight w:val="0"/>
          <w:marTop w:val="0"/>
          <w:marBottom w:val="0"/>
          <w:divBdr>
            <w:top w:val="none" w:sz="0" w:space="0" w:color="auto"/>
            <w:left w:val="none" w:sz="0" w:space="0" w:color="auto"/>
            <w:bottom w:val="none" w:sz="0" w:space="0" w:color="auto"/>
            <w:right w:val="none" w:sz="0" w:space="0" w:color="auto"/>
          </w:divBdr>
        </w:div>
      </w:divsChild>
    </w:div>
    <w:div w:id="1995790346">
      <w:bodyDiv w:val="1"/>
      <w:marLeft w:val="0"/>
      <w:marRight w:val="0"/>
      <w:marTop w:val="0"/>
      <w:marBottom w:val="0"/>
      <w:divBdr>
        <w:top w:val="none" w:sz="0" w:space="0" w:color="auto"/>
        <w:left w:val="none" w:sz="0" w:space="0" w:color="auto"/>
        <w:bottom w:val="none" w:sz="0" w:space="0" w:color="auto"/>
        <w:right w:val="none" w:sz="0" w:space="0" w:color="auto"/>
      </w:divBdr>
      <w:divsChild>
        <w:div w:id="117533121">
          <w:marLeft w:val="0"/>
          <w:marRight w:val="0"/>
          <w:marTop w:val="0"/>
          <w:marBottom w:val="0"/>
          <w:divBdr>
            <w:top w:val="none" w:sz="0" w:space="0" w:color="auto"/>
            <w:left w:val="none" w:sz="0" w:space="0" w:color="auto"/>
            <w:bottom w:val="none" w:sz="0" w:space="0" w:color="auto"/>
            <w:right w:val="none" w:sz="0" w:space="0" w:color="auto"/>
          </w:divBdr>
        </w:div>
        <w:div w:id="887375716">
          <w:marLeft w:val="0"/>
          <w:marRight w:val="0"/>
          <w:marTop w:val="0"/>
          <w:marBottom w:val="0"/>
          <w:divBdr>
            <w:top w:val="none" w:sz="0" w:space="0" w:color="auto"/>
            <w:left w:val="none" w:sz="0" w:space="0" w:color="auto"/>
            <w:bottom w:val="none" w:sz="0" w:space="0" w:color="auto"/>
            <w:right w:val="none" w:sz="0" w:space="0" w:color="auto"/>
          </w:divBdr>
        </w:div>
      </w:divsChild>
    </w:div>
    <w:div w:id="1997881833">
      <w:bodyDiv w:val="1"/>
      <w:marLeft w:val="0"/>
      <w:marRight w:val="0"/>
      <w:marTop w:val="0"/>
      <w:marBottom w:val="0"/>
      <w:divBdr>
        <w:top w:val="none" w:sz="0" w:space="0" w:color="auto"/>
        <w:left w:val="none" w:sz="0" w:space="0" w:color="auto"/>
        <w:bottom w:val="none" w:sz="0" w:space="0" w:color="auto"/>
        <w:right w:val="none" w:sz="0" w:space="0" w:color="auto"/>
      </w:divBdr>
      <w:divsChild>
        <w:div w:id="960455023">
          <w:marLeft w:val="0"/>
          <w:marRight w:val="0"/>
          <w:marTop w:val="0"/>
          <w:marBottom w:val="0"/>
          <w:divBdr>
            <w:top w:val="none" w:sz="0" w:space="0" w:color="auto"/>
            <w:left w:val="none" w:sz="0" w:space="0" w:color="auto"/>
            <w:bottom w:val="none" w:sz="0" w:space="0" w:color="auto"/>
            <w:right w:val="none" w:sz="0" w:space="0" w:color="auto"/>
          </w:divBdr>
          <w:divsChild>
            <w:div w:id="30230119">
              <w:marLeft w:val="0"/>
              <w:marRight w:val="0"/>
              <w:marTop w:val="0"/>
              <w:marBottom w:val="0"/>
              <w:divBdr>
                <w:top w:val="none" w:sz="0" w:space="0" w:color="auto"/>
                <w:left w:val="none" w:sz="0" w:space="0" w:color="auto"/>
                <w:bottom w:val="none" w:sz="0" w:space="0" w:color="auto"/>
                <w:right w:val="none" w:sz="0" w:space="0" w:color="auto"/>
              </w:divBdr>
            </w:div>
            <w:div w:id="20781629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9654747">
      <w:bodyDiv w:val="1"/>
      <w:marLeft w:val="0"/>
      <w:marRight w:val="0"/>
      <w:marTop w:val="0"/>
      <w:marBottom w:val="0"/>
      <w:divBdr>
        <w:top w:val="none" w:sz="0" w:space="0" w:color="auto"/>
        <w:left w:val="none" w:sz="0" w:space="0" w:color="auto"/>
        <w:bottom w:val="none" w:sz="0" w:space="0" w:color="auto"/>
        <w:right w:val="none" w:sz="0" w:space="0" w:color="auto"/>
      </w:divBdr>
    </w:div>
    <w:div w:id="2005039666">
      <w:bodyDiv w:val="1"/>
      <w:marLeft w:val="0"/>
      <w:marRight w:val="0"/>
      <w:marTop w:val="0"/>
      <w:marBottom w:val="0"/>
      <w:divBdr>
        <w:top w:val="none" w:sz="0" w:space="0" w:color="auto"/>
        <w:left w:val="none" w:sz="0" w:space="0" w:color="auto"/>
        <w:bottom w:val="none" w:sz="0" w:space="0" w:color="auto"/>
        <w:right w:val="none" w:sz="0" w:space="0" w:color="auto"/>
      </w:divBdr>
      <w:divsChild>
        <w:div w:id="1819489227">
          <w:marLeft w:val="0"/>
          <w:marRight w:val="0"/>
          <w:marTop w:val="0"/>
          <w:marBottom w:val="0"/>
          <w:divBdr>
            <w:top w:val="none" w:sz="0" w:space="0" w:color="auto"/>
            <w:left w:val="none" w:sz="0" w:space="0" w:color="auto"/>
            <w:bottom w:val="none" w:sz="0" w:space="0" w:color="auto"/>
            <w:right w:val="none" w:sz="0" w:space="0" w:color="auto"/>
          </w:divBdr>
        </w:div>
        <w:div w:id="2047489437">
          <w:marLeft w:val="0"/>
          <w:marRight w:val="0"/>
          <w:marTop w:val="0"/>
          <w:marBottom w:val="0"/>
          <w:divBdr>
            <w:top w:val="none" w:sz="0" w:space="0" w:color="auto"/>
            <w:left w:val="none" w:sz="0" w:space="0" w:color="auto"/>
            <w:bottom w:val="none" w:sz="0" w:space="0" w:color="auto"/>
            <w:right w:val="none" w:sz="0" w:space="0" w:color="auto"/>
          </w:divBdr>
        </w:div>
      </w:divsChild>
    </w:div>
    <w:div w:id="2009794365">
      <w:bodyDiv w:val="1"/>
      <w:marLeft w:val="0"/>
      <w:marRight w:val="0"/>
      <w:marTop w:val="0"/>
      <w:marBottom w:val="0"/>
      <w:divBdr>
        <w:top w:val="none" w:sz="0" w:space="0" w:color="auto"/>
        <w:left w:val="none" w:sz="0" w:space="0" w:color="auto"/>
        <w:bottom w:val="none" w:sz="0" w:space="0" w:color="auto"/>
        <w:right w:val="none" w:sz="0" w:space="0" w:color="auto"/>
      </w:divBdr>
    </w:div>
    <w:div w:id="2010524912">
      <w:bodyDiv w:val="1"/>
      <w:marLeft w:val="0"/>
      <w:marRight w:val="0"/>
      <w:marTop w:val="0"/>
      <w:marBottom w:val="0"/>
      <w:divBdr>
        <w:top w:val="none" w:sz="0" w:space="0" w:color="auto"/>
        <w:left w:val="none" w:sz="0" w:space="0" w:color="auto"/>
        <w:bottom w:val="none" w:sz="0" w:space="0" w:color="auto"/>
        <w:right w:val="none" w:sz="0" w:space="0" w:color="auto"/>
      </w:divBdr>
    </w:div>
    <w:div w:id="2020621950">
      <w:bodyDiv w:val="1"/>
      <w:marLeft w:val="0"/>
      <w:marRight w:val="0"/>
      <w:marTop w:val="0"/>
      <w:marBottom w:val="0"/>
      <w:divBdr>
        <w:top w:val="none" w:sz="0" w:space="0" w:color="auto"/>
        <w:left w:val="none" w:sz="0" w:space="0" w:color="auto"/>
        <w:bottom w:val="none" w:sz="0" w:space="0" w:color="auto"/>
        <w:right w:val="none" w:sz="0" w:space="0" w:color="auto"/>
      </w:divBdr>
    </w:div>
    <w:div w:id="2022853207">
      <w:bodyDiv w:val="1"/>
      <w:marLeft w:val="0"/>
      <w:marRight w:val="0"/>
      <w:marTop w:val="0"/>
      <w:marBottom w:val="0"/>
      <w:divBdr>
        <w:top w:val="none" w:sz="0" w:space="0" w:color="auto"/>
        <w:left w:val="none" w:sz="0" w:space="0" w:color="auto"/>
        <w:bottom w:val="none" w:sz="0" w:space="0" w:color="auto"/>
        <w:right w:val="none" w:sz="0" w:space="0" w:color="auto"/>
      </w:divBdr>
      <w:divsChild>
        <w:div w:id="579409789">
          <w:marLeft w:val="0"/>
          <w:marRight w:val="0"/>
          <w:marTop w:val="0"/>
          <w:marBottom w:val="0"/>
          <w:divBdr>
            <w:top w:val="none" w:sz="0" w:space="0" w:color="auto"/>
            <w:left w:val="none" w:sz="0" w:space="0" w:color="auto"/>
            <w:bottom w:val="none" w:sz="0" w:space="0" w:color="auto"/>
            <w:right w:val="none" w:sz="0" w:space="0" w:color="auto"/>
          </w:divBdr>
        </w:div>
        <w:div w:id="811873307">
          <w:marLeft w:val="0"/>
          <w:marRight w:val="0"/>
          <w:marTop w:val="0"/>
          <w:marBottom w:val="0"/>
          <w:divBdr>
            <w:top w:val="none" w:sz="0" w:space="0" w:color="auto"/>
            <w:left w:val="none" w:sz="0" w:space="0" w:color="auto"/>
            <w:bottom w:val="none" w:sz="0" w:space="0" w:color="auto"/>
            <w:right w:val="none" w:sz="0" w:space="0" w:color="auto"/>
          </w:divBdr>
        </w:div>
      </w:divsChild>
    </w:div>
    <w:div w:id="2026011928">
      <w:bodyDiv w:val="1"/>
      <w:marLeft w:val="0"/>
      <w:marRight w:val="0"/>
      <w:marTop w:val="0"/>
      <w:marBottom w:val="0"/>
      <w:divBdr>
        <w:top w:val="none" w:sz="0" w:space="0" w:color="auto"/>
        <w:left w:val="none" w:sz="0" w:space="0" w:color="auto"/>
        <w:bottom w:val="none" w:sz="0" w:space="0" w:color="auto"/>
        <w:right w:val="none" w:sz="0" w:space="0" w:color="auto"/>
      </w:divBdr>
      <w:divsChild>
        <w:div w:id="1711854">
          <w:marLeft w:val="0"/>
          <w:marRight w:val="0"/>
          <w:marTop w:val="0"/>
          <w:marBottom w:val="0"/>
          <w:divBdr>
            <w:top w:val="none" w:sz="0" w:space="0" w:color="auto"/>
            <w:left w:val="none" w:sz="0" w:space="0" w:color="auto"/>
            <w:bottom w:val="none" w:sz="0" w:space="0" w:color="auto"/>
            <w:right w:val="none" w:sz="0" w:space="0" w:color="auto"/>
          </w:divBdr>
        </w:div>
        <w:div w:id="735861976">
          <w:marLeft w:val="0"/>
          <w:marRight w:val="0"/>
          <w:marTop w:val="0"/>
          <w:marBottom w:val="0"/>
          <w:divBdr>
            <w:top w:val="none" w:sz="0" w:space="0" w:color="auto"/>
            <w:left w:val="none" w:sz="0" w:space="0" w:color="auto"/>
            <w:bottom w:val="none" w:sz="0" w:space="0" w:color="auto"/>
            <w:right w:val="none" w:sz="0" w:space="0" w:color="auto"/>
          </w:divBdr>
        </w:div>
        <w:div w:id="1434864739">
          <w:marLeft w:val="0"/>
          <w:marRight w:val="0"/>
          <w:marTop w:val="0"/>
          <w:marBottom w:val="0"/>
          <w:divBdr>
            <w:top w:val="none" w:sz="0" w:space="0" w:color="auto"/>
            <w:left w:val="none" w:sz="0" w:space="0" w:color="auto"/>
            <w:bottom w:val="none" w:sz="0" w:space="0" w:color="auto"/>
            <w:right w:val="none" w:sz="0" w:space="0" w:color="auto"/>
          </w:divBdr>
        </w:div>
      </w:divsChild>
    </w:div>
    <w:div w:id="2027519957">
      <w:bodyDiv w:val="1"/>
      <w:marLeft w:val="0"/>
      <w:marRight w:val="0"/>
      <w:marTop w:val="0"/>
      <w:marBottom w:val="0"/>
      <w:divBdr>
        <w:top w:val="none" w:sz="0" w:space="0" w:color="auto"/>
        <w:left w:val="none" w:sz="0" w:space="0" w:color="auto"/>
        <w:bottom w:val="none" w:sz="0" w:space="0" w:color="auto"/>
        <w:right w:val="none" w:sz="0" w:space="0" w:color="auto"/>
      </w:divBdr>
    </w:div>
    <w:div w:id="2032486411">
      <w:bodyDiv w:val="1"/>
      <w:marLeft w:val="0"/>
      <w:marRight w:val="0"/>
      <w:marTop w:val="0"/>
      <w:marBottom w:val="0"/>
      <w:divBdr>
        <w:top w:val="none" w:sz="0" w:space="0" w:color="auto"/>
        <w:left w:val="none" w:sz="0" w:space="0" w:color="auto"/>
        <w:bottom w:val="none" w:sz="0" w:space="0" w:color="auto"/>
        <w:right w:val="none" w:sz="0" w:space="0" w:color="auto"/>
      </w:divBdr>
    </w:div>
    <w:div w:id="2033802171">
      <w:bodyDiv w:val="1"/>
      <w:marLeft w:val="0"/>
      <w:marRight w:val="0"/>
      <w:marTop w:val="0"/>
      <w:marBottom w:val="0"/>
      <w:divBdr>
        <w:top w:val="none" w:sz="0" w:space="0" w:color="auto"/>
        <w:left w:val="none" w:sz="0" w:space="0" w:color="auto"/>
        <w:bottom w:val="none" w:sz="0" w:space="0" w:color="auto"/>
        <w:right w:val="none" w:sz="0" w:space="0" w:color="auto"/>
      </w:divBdr>
      <w:divsChild>
        <w:div w:id="263659303">
          <w:marLeft w:val="0"/>
          <w:marRight w:val="0"/>
          <w:marTop w:val="0"/>
          <w:marBottom w:val="0"/>
          <w:divBdr>
            <w:top w:val="none" w:sz="0" w:space="0" w:color="auto"/>
            <w:left w:val="none" w:sz="0" w:space="0" w:color="auto"/>
            <w:bottom w:val="none" w:sz="0" w:space="0" w:color="auto"/>
            <w:right w:val="none" w:sz="0" w:space="0" w:color="auto"/>
          </w:divBdr>
        </w:div>
        <w:div w:id="573047871">
          <w:marLeft w:val="0"/>
          <w:marRight w:val="0"/>
          <w:marTop w:val="0"/>
          <w:marBottom w:val="0"/>
          <w:divBdr>
            <w:top w:val="none" w:sz="0" w:space="0" w:color="auto"/>
            <w:left w:val="none" w:sz="0" w:space="0" w:color="auto"/>
            <w:bottom w:val="none" w:sz="0" w:space="0" w:color="auto"/>
            <w:right w:val="none" w:sz="0" w:space="0" w:color="auto"/>
          </w:divBdr>
        </w:div>
        <w:div w:id="1523320996">
          <w:marLeft w:val="0"/>
          <w:marRight w:val="0"/>
          <w:marTop w:val="0"/>
          <w:marBottom w:val="0"/>
          <w:divBdr>
            <w:top w:val="none" w:sz="0" w:space="0" w:color="auto"/>
            <w:left w:val="none" w:sz="0" w:space="0" w:color="auto"/>
            <w:bottom w:val="none" w:sz="0" w:space="0" w:color="auto"/>
            <w:right w:val="none" w:sz="0" w:space="0" w:color="auto"/>
          </w:divBdr>
        </w:div>
      </w:divsChild>
    </w:div>
    <w:div w:id="2037149323">
      <w:bodyDiv w:val="1"/>
      <w:marLeft w:val="0"/>
      <w:marRight w:val="0"/>
      <w:marTop w:val="0"/>
      <w:marBottom w:val="0"/>
      <w:divBdr>
        <w:top w:val="none" w:sz="0" w:space="0" w:color="auto"/>
        <w:left w:val="none" w:sz="0" w:space="0" w:color="auto"/>
        <w:bottom w:val="none" w:sz="0" w:space="0" w:color="auto"/>
        <w:right w:val="none" w:sz="0" w:space="0" w:color="auto"/>
      </w:divBdr>
      <w:divsChild>
        <w:div w:id="546913125">
          <w:marLeft w:val="0"/>
          <w:marRight w:val="0"/>
          <w:marTop w:val="0"/>
          <w:marBottom w:val="0"/>
          <w:divBdr>
            <w:top w:val="none" w:sz="0" w:space="0" w:color="auto"/>
            <w:left w:val="none" w:sz="0" w:space="0" w:color="auto"/>
            <w:bottom w:val="none" w:sz="0" w:space="0" w:color="auto"/>
            <w:right w:val="none" w:sz="0" w:space="0" w:color="auto"/>
          </w:divBdr>
        </w:div>
        <w:div w:id="1010988190">
          <w:marLeft w:val="0"/>
          <w:marRight w:val="0"/>
          <w:marTop w:val="0"/>
          <w:marBottom w:val="0"/>
          <w:divBdr>
            <w:top w:val="none" w:sz="0" w:space="0" w:color="auto"/>
            <w:left w:val="none" w:sz="0" w:space="0" w:color="auto"/>
            <w:bottom w:val="none" w:sz="0" w:space="0" w:color="auto"/>
            <w:right w:val="none" w:sz="0" w:space="0" w:color="auto"/>
          </w:divBdr>
        </w:div>
      </w:divsChild>
    </w:div>
    <w:div w:id="2041855289">
      <w:bodyDiv w:val="1"/>
      <w:marLeft w:val="0"/>
      <w:marRight w:val="0"/>
      <w:marTop w:val="0"/>
      <w:marBottom w:val="0"/>
      <w:divBdr>
        <w:top w:val="none" w:sz="0" w:space="0" w:color="auto"/>
        <w:left w:val="none" w:sz="0" w:space="0" w:color="auto"/>
        <w:bottom w:val="none" w:sz="0" w:space="0" w:color="auto"/>
        <w:right w:val="none" w:sz="0" w:space="0" w:color="auto"/>
      </w:divBdr>
    </w:div>
    <w:div w:id="2043241273">
      <w:bodyDiv w:val="1"/>
      <w:marLeft w:val="0"/>
      <w:marRight w:val="0"/>
      <w:marTop w:val="0"/>
      <w:marBottom w:val="0"/>
      <w:divBdr>
        <w:top w:val="none" w:sz="0" w:space="0" w:color="auto"/>
        <w:left w:val="none" w:sz="0" w:space="0" w:color="auto"/>
        <w:bottom w:val="none" w:sz="0" w:space="0" w:color="auto"/>
        <w:right w:val="none" w:sz="0" w:space="0" w:color="auto"/>
      </w:divBdr>
    </w:div>
    <w:div w:id="2045866624">
      <w:bodyDiv w:val="1"/>
      <w:marLeft w:val="0"/>
      <w:marRight w:val="0"/>
      <w:marTop w:val="0"/>
      <w:marBottom w:val="0"/>
      <w:divBdr>
        <w:top w:val="none" w:sz="0" w:space="0" w:color="auto"/>
        <w:left w:val="none" w:sz="0" w:space="0" w:color="auto"/>
        <w:bottom w:val="none" w:sz="0" w:space="0" w:color="auto"/>
        <w:right w:val="none" w:sz="0" w:space="0" w:color="auto"/>
      </w:divBdr>
      <w:divsChild>
        <w:div w:id="1405058123">
          <w:marLeft w:val="0"/>
          <w:marRight w:val="0"/>
          <w:marTop w:val="0"/>
          <w:marBottom w:val="0"/>
          <w:divBdr>
            <w:top w:val="none" w:sz="0" w:space="0" w:color="auto"/>
            <w:left w:val="none" w:sz="0" w:space="0" w:color="auto"/>
            <w:bottom w:val="none" w:sz="0" w:space="0" w:color="auto"/>
            <w:right w:val="none" w:sz="0" w:space="0" w:color="auto"/>
          </w:divBdr>
        </w:div>
        <w:div w:id="1683430225">
          <w:marLeft w:val="0"/>
          <w:marRight w:val="0"/>
          <w:marTop w:val="0"/>
          <w:marBottom w:val="0"/>
          <w:divBdr>
            <w:top w:val="none" w:sz="0" w:space="0" w:color="auto"/>
            <w:left w:val="none" w:sz="0" w:space="0" w:color="auto"/>
            <w:bottom w:val="none" w:sz="0" w:space="0" w:color="auto"/>
            <w:right w:val="none" w:sz="0" w:space="0" w:color="auto"/>
          </w:divBdr>
        </w:div>
        <w:div w:id="2019307158">
          <w:marLeft w:val="0"/>
          <w:marRight w:val="0"/>
          <w:marTop w:val="0"/>
          <w:marBottom w:val="0"/>
          <w:divBdr>
            <w:top w:val="none" w:sz="0" w:space="0" w:color="auto"/>
            <w:left w:val="none" w:sz="0" w:space="0" w:color="auto"/>
            <w:bottom w:val="none" w:sz="0" w:space="0" w:color="auto"/>
            <w:right w:val="none" w:sz="0" w:space="0" w:color="auto"/>
          </w:divBdr>
        </w:div>
      </w:divsChild>
    </w:div>
    <w:div w:id="2048605173">
      <w:bodyDiv w:val="1"/>
      <w:marLeft w:val="0"/>
      <w:marRight w:val="0"/>
      <w:marTop w:val="0"/>
      <w:marBottom w:val="0"/>
      <w:divBdr>
        <w:top w:val="none" w:sz="0" w:space="0" w:color="auto"/>
        <w:left w:val="none" w:sz="0" w:space="0" w:color="auto"/>
        <w:bottom w:val="none" w:sz="0" w:space="0" w:color="auto"/>
        <w:right w:val="none" w:sz="0" w:space="0" w:color="auto"/>
      </w:divBdr>
    </w:div>
    <w:div w:id="2049448941">
      <w:bodyDiv w:val="1"/>
      <w:marLeft w:val="0"/>
      <w:marRight w:val="0"/>
      <w:marTop w:val="0"/>
      <w:marBottom w:val="0"/>
      <w:divBdr>
        <w:top w:val="none" w:sz="0" w:space="0" w:color="auto"/>
        <w:left w:val="none" w:sz="0" w:space="0" w:color="auto"/>
        <w:bottom w:val="none" w:sz="0" w:space="0" w:color="auto"/>
        <w:right w:val="none" w:sz="0" w:space="0" w:color="auto"/>
      </w:divBdr>
    </w:div>
    <w:div w:id="2052226593">
      <w:bodyDiv w:val="1"/>
      <w:marLeft w:val="0"/>
      <w:marRight w:val="0"/>
      <w:marTop w:val="0"/>
      <w:marBottom w:val="0"/>
      <w:divBdr>
        <w:top w:val="none" w:sz="0" w:space="0" w:color="auto"/>
        <w:left w:val="none" w:sz="0" w:space="0" w:color="auto"/>
        <w:bottom w:val="none" w:sz="0" w:space="0" w:color="auto"/>
        <w:right w:val="none" w:sz="0" w:space="0" w:color="auto"/>
      </w:divBdr>
    </w:div>
    <w:div w:id="2054694851">
      <w:bodyDiv w:val="1"/>
      <w:marLeft w:val="0"/>
      <w:marRight w:val="0"/>
      <w:marTop w:val="0"/>
      <w:marBottom w:val="0"/>
      <w:divBdr>
        <w:top w:val="none" w:sz="0" w:space="0" w:color="auto"/>
        <w:left w:val="none" w:sz="0" w:space="0" w:color="auto"/>
        <w:bottom w:val="none" w:sz="0" w:space="0" w:color="auto"/>
        <w:right w:val="none" w:sz="0" w:space="0" w:color="auto"/>
      </w:divBdr>
    </w:div>
    <w:div w:id="2062947278">
      <w:bodyDiv w:val="1"/>
      <w:marLeft w:val="0"/>
      <w:marRight w:val="0"/>
      <w:marTop w:val="0"/>
      <w:marBottom w:val="0"/>
      <w:divBdr>
        <w:top w:val="none" w:sz="0" w:space="0" w:color="auto"/>
        <w:left w:val="none" w:sz="0" w:space="0" w:color="auto"/>
        <w:bottom w:val="none" w:sz="0" w:space="0" w:color="auto"/>
        <w:right w:val="none" w:sz="0" w:space="0" w:color="auto"/>
      </w:divBdr>
    </w:div>
    <w:div w:id="2064060713">
      <w:bodyDiv w:val="1"/>
      <w:marLeft w:val="0"/>
      <w:marRight w:val="0"/>
      <w:marTop w:val="0"/>
      <w:marBottom w:val="0"/>
      <w:divBdr>
        <w:top w:val="none" w:sz="0" w:space="0" w:color="auto"/>
        <w:left w:val="none" w:sz="0" w:space="0" w:color="auto"/>
        <w:bottom w:val="none" w:sz="0" w:space="0" w:color="auto"/>
        <w:right w:val="none" w:sz="0" w:space="0" w:color="auto"/>
      </w:divBdr>
    </w:div>
    <w:div w:id="2064790905">
      <w:bodyDiv w:val="1"/>
      <w:marLeft w:val="0"/>
      <w:marRight w:val="0"/>
      <w:marTop w:val="0"/>
      <w:marBottom w:val="0"/>
      <w:divBdr>
        <w:top w:val="none" w:sz="0" w:space="0" w:color="auto"/>
        <w:left w:val="none" w:sz="0" w:space="0" w:color="auto"/>
        <w:bottom w:val="none" w:sz="0" w:space="0" w:color="auto"/>
        <w:right w:val="none" w:sz="0" w:space="0" w:color="auto"/>
      </w:divBdr>
      <w:divsChild>
        <w:div w:id="344744159">
          <w:marLeft w:val="0"/>
          <w:marRight w:val="0"/>
          <w:marTop w:val="0"/>
          <w:marBottom w:val="0"/>
          <w:divBdr>
            <w:top w:val="none" w:sz="0" w:space="0" w:color="auto"/>
            <w:left w:val="none" w:sz="0" w:space="0" w:color="auto"/>
            <w:bottom w:val="none" w:sz="0" w:space="0" w:color="auto"/>
            <w:right w:val="none" w:sz="0" w:space="0" w:color="auto"/>
          </w:divBdr>
        </w:div>
        <w:div w:id="866333159">
          <w:marLeft w:val="0"/>
          <w:marRight w:val="0"/>
          <w:marTop w:val="0"/>
          <w:marBottom w:val="0"/>
          <w:divBdr>
            <w:top w:val="none" w:sz="0" w:space="0" w:color="auto"/>
            <w:left w:val="none" w:sz="0" w:space="0" w:color="auto"/>
            <w:bottom w:val="none" w:sz="0" w:space="0" w:color="auto"/>
            <w:right w:val="none" w:sz="0" w:space="0" w:color="auto"/>
          </w:divBdr>
        </w:div>
        <w:div w:id="2121022745">
          <w:marLeft w:val="0"/>
          <w:marRight w:val="0"/>
          <w:marTop w:val="0"/>
          <w:marBottom w:val="0"/>
          <w:divBdr>
            <w:top w:val="none" w:sz="0" w:space="0" w:color="auto"/>
            <w:left w:val="none" w:sz="0" w:space="0" w:color="auto"/>
            <w:bottom w:val="none" w:sz="0" w:space="0" w:color="auto"/>
            <w:right w:val="none" w:sz="0" w:space="0" w:color="auto"/>
          </w:divBdr>
        </w:div>
      </w:divsChild>
    </w:div>
    <w:div w:id="2065831123">
      <w:bodyDiv w:val="1"/>
      <w:marLeft w:val="0"/>
      <w:marRight w:val="0"/>
      <w:marTop w:val="0"/>
      <w:marBottom w:val="0"/>
      <w:divBdr>
        <w:top w:val="none" w:sz="0" w:space="0" w:color="auto"/>
        <w:left w:val="none" w:sz="0" w:space="0" w:color="auto"/>
        <w:bottom w:val="none" w:sz="0" w:space="0" w:color="auto"/>
        <w:right w:val="none" w:sz="0" w:space="0" w:color="auto"/>
      </w:divBdr>
    </w:div>
    <w:div w:id="2068644911">
      <w:bodyDiv w:val="1"/>
      <w:marLeft w:val="0"/>
      <w:marRight w:val="0"/>
      <w:marTop w:val="0"/>
      <w:marBottom w:val="0"/>
      <w:divBdr>
        <w:top w:val="none" w:sz="0" w:space="0" w:color="auto"/>
        <w:left w:val="none" w:sz="0" w:space="0" w:color="auto"/>
        <w:bottom w:val="none" w:sz="0" w:space="0" w:color="auto"/>
        <w:right w:val="none" w:sz="0" w:space="0" w:color="auto"/>
      </w:divBdr>
      <w:divsChild>
        <w:div w:id="1275554686">
          <w:marLeft w:val="0"/>
          <w:marRight w:val="0"/>
          <w:marTop w:val="0"/>
          <w:marBottom w:val="0"/>
          <w:divBdr>
            <w:top w:val="none" w:sz="0" w:space="0" w:color="auto"/>
            <w:left w:val="none" w:sz="0" w:space="0" w:color="auto"/>
            <w:bottom w:val="none" w:sz="0" w:space="0" w:color="auto"/>
            <w:right w:val="none" w:sz="0" w:space="0" w:color="auto"/>
          </w:divBdr>
        </w:div>
        <w:div w:id="1295018480">
          <w:marLeft w:val="0"/>
          <w:marRight w:val="0"/>
          <w:marTop w:val="0"/>
          <w:marBottom w:val="0"/>
          <w:divBdr>
            <w:top w:val="none" w:sz="0" w:space="0" w:color="auto"/>
            <w:left w:val="none" w:sz="0" w:space="0" w:color="auto"/>
            <w:bottom w:val="none" w:sz="0" w:space="0" w:color="auto"/>
            <w:right w:val="none" w:sz="0" w:space="0" w:color="auto"/>
          </w:divBdr>
        </w:div>
      </w:divsChild>
    </w:div>
    <w:div w:id="2069113153">
      <w:bodyDiv w:val="1"/>
      <w:marLeft w:val="0"/>
      <w:marRight w:val="0"/>
      <w:marTop w:val="0"/>
      <w:marBottom w:val="0"/>
      <w:divBdr>
        <w:top w:val="none" w:sz="0" w:space="0" w:color="auto"/>
        <w:left w:val="none" w:sz="0" w:space="0" w:color="auto"/>
        <w:bottom w:val="none" w:sz="0" w:space="0" w:color="auto"/>
        <w:right w:val="none" w:sz="0" w:space="0" w:color="auto"/>
      </w:divBdr>
    </w:div>
    <w:div w:id="2070641545">
      <w:bodyDiv w:val="1"/>
      <w:marLeft w:val="0"/>
      <w:marRight w:val="0"/>
      <w:marTop w:val="0"/>
      <w:marBottom w:val="0"/>
      <w:divBdr>
        <w:top w:val="none" w:sz="0" w:space="0" w:color="auto"/>
        <w:left w:val="none" w:sz="0" w:space="0" w:color="auto"/>
        <w:bottom w:val="none" w:sz="0" w:space="0" w:color="auto"/>
        <w:right w:val="none" w:sz="0" w:space="0" w:color="auto"/>
      </w:divBdr>
    </w:div>
    <w:div w:id="2071419793">
      <w:bodyDiv w:val="1"/>
      <w:marLeft w:val="0"/>
      <w:marRight w:val="0"/>
      <w:marTop w:val="0"/>
      <w:marBottom w:val="0"/>
      <w:divBdr>
        <w:top w:val="none" w:sz="0" w:space="0" w:color="auto"/>
        <w:left w:val="none" w:sz="0" w:space="0" w:color="auto"/>
        <w:bottom w:val="none" w:sz="0" w:space="0" w:color="auto"/>
        <w:right w:val="none" w:sz="0" w:space="0" w:color="auto"/>
      </w:divBdr>
    </w:div>
    <w:div w:id="2074962416">
      <w:bodyDiv w:val="1"/>
      <w:marLeft w:val="0"/>
      <w:marRight w:val="0"/>
      <w:marTop w:val="0"/>
      <w:marBottom w:val="0"/>
      <w:divBdr>
        <w:top w:val="none" w:sz="0" w:space="0" w:color="auto"/>
        <w:left w:val="none" w:sz="0" w:space="0" w:color="auto"/>
        <w:bottom w:val="none" w:sz="0" w:space="0" w:color="auto"/>
        <w:right w:val="none" w:sz="0" w:space="0" w:color="auto"/>
      </w:divBdr>
    </w:div>
    <w:div w:id="2077704167">
      <w:bodyDiv w:val="1"/>
      <w:marLeft w:val="0"/>
      <w:marRight w:val="0"/>
      <w:marTop w:val="0"/>
      <w:marBottom w:val="0"/>
      <w:divBdr>
        <w:top w:val="none" w:sz="0" w:space="0" w:color="auto"/>
        <w:left w:val="none" w:sz="0" w:space="0" w:color="auto"/>
        <w:bottom w:val="none" w:sz="0" w:space="0" w:color="auto"/>
        <w:right w:val="none" w:sz="0" w:space="0" w:color="auto"/>
      </w:divBdr>
      <w:divsChild>
        <w:div w:id="168369024">
          <w:marLeft w:val="0"/>
          <w:marRight w:val="0"/>
          <w:marTop w:val="0"/>
          <w:marBottom w:val="0"/>
          <w:divBdr>
            <w:top w:val="none" w:sz="0" w:space="0" w:color="auto"/>
            <w:left w:val="none" w:sz="0" w:space="0" w:color="auto"/>
            <w:bottom w:val="none" w:sz="0" w:space="0" w:color="auto"/>
            <w:right w:val="none" w:sz="0" w:space="0" w:color="auto"/>
          </w:divBdr>
          <w:divsChild>
            <w:div w:id="587468720">
              <w:marLeft w:val="0"/>
              <w:marRight w:val="0"/>
              <w:marTop w:val="0"/>
              <w:marBottom w:val="0"/>
              <w:divBdr>
                <w:top w:val="none" w:sz="0" w:space="0" w:color="auto"/>
                <w:left w:val="none" w:sz="0" w:space="0" w:color="auto"/>
                <w:bottom w:val="none" w:sz="0" w:space="0" w:color="auto"/>
                <w:right w:val="none" w:sz="0" w:space="0" w:color="auto"/>
              </w:divBdr>
            </w:div>
            <w:div w:id="1723670267">
              <w:marLeft w:val="0"/>
              <w:marRight w:val="0"/>
              <w:marTop w:val="0"/>
              <w:marBottom w:val="0"/>
              <w:divBdr>
                <w:top w:val="none" w:sz="0" w:space="0" w:color="auto"/>
                <w:left w:val="none" w:sz="0" w:space="0" w:color="auto"/>
                <w:bottom w:val="none" w:sz="0" w:space="0" w:color="auto"/>
                <w:right w:val="none" w:sz="0" w:space="0" w:color="auto"/>
              </w:divBdr>
            </w:div>
          </w:divsChild>
        </w:div>
        <w:div w:id="2002200383">
          <w:marLeft w:val="0"/>
          <w:marRight w:val="0"/>
          <w:marTop w:val="0"/>
          <w:marBottom w:val="0"/>
          <w:divBdr>
            <w:top w:val="none" w:sz="0" w:space="0" w:color="auto"/>
            <w:left w:val="none" w:sz="0" w:space="0" w:color="auto"/>
            <w:bottom w:val="none" w:sz="0" w:space="0" w:color="auto"/>
            <w:right w:val="none" w:sz="0" w:space="0" w:color="auto"/>
          </w:divBdr>
        </w:div>
      </w:divsChild>
    </w:div>
    <w:div w:id="2079400312">
      <w:bodyDiv w:val="1"/>
      <w:marLeft w:val="0"/>
      <w:marRight w:val="0"/>
      <w:marTop w:val="0"/>
      <w:marBottom w:val="0"/>
      <w:divBdr>
        <w:top w:val="none" w:sz="0" w:space="0" w:color="auto"/>
        <w:left w:val="none" w:sz="0" w:space="0" w:color="auto"/>
        <w:bottom w:val="none" w:sz="0" w:space="0" w:color="auto"/>
        <w:right w:val="none" w:sz="0" w:space="0" w:color="auto"/>
      </w:divBdr>
    </w:div>
    <w:div w:id="2081319958">
      <w:bodyDiv w:val="1"/>
      <w:marLeft w:val="0"/>
      <w:marRight w:val="0"/>
      <w:marTop w:val="0"/>
      <w:marBottom w:val="0"/>
      <w:divBdr>
        <w:top w:val="none" w:sz="0" w:space="0" w:color="auto"/>
        <w:left w:val="none" w:sz="0" w:space="0" w:color="auto"/>
        <w:bottom w:val="none" w:sz="0" w:space="0" w:color="auto"/>
        <w:right w:val="none" w:sz="0" w:space="0" w:color="auto"/>
      </w:divBdr>
    </w:div>
    <w:div w:id="2083135368">
      <w:bodyDiv w:val="1"/>
      <w:marLeft w:val="0"/>
      <w:marRight w:val="0"/>
      <w:marTop w:val="0"/>
      <w:marBottom w:val="0"/>
      <w:divBdr>
        <w:top w:val="none" w:sz="0" w:space="0" w:color="auto"/>
        <w:left w:val="none" w:sz="0" w:space="0" w:color="auto"/>
        <w:bottom w:val="none" w:sz="0" w:space="0" w:color="auto"/>
        <w:right w:val="none" w:sz="0" w:space="0" w:color="auto"/>
      </w:divBdr>
    </w:div>
    <w:div w:id="2085835300">
      <w:bodyDiv w:val="1"/>
      <w:marLeft w:val="0"/>
      <w:marRight w:val="0"/>
      <w:marTop w:val="0"/>
      <w:marBottom w:val="0"/>
      <w:divBdr>
        <w:top w:val="none" w:sz="0" w:space="0" w:color="auto"/>
        <w:left w:val="none" w:sz="0" w:space="0" w:color="auto"/>
        <w:bottom w:val="none" w:sz="0" w:space="0" w:color="auto"/>
        <w:right w:val="none" w:sz="0" w:space="0" w:color="auto"/>
      </w:divBdr>
      <w:divsChild>
        <w:div w:id="538318454">
          <w:marLeft w:val="0"/>
          <w:marRight w:val="0"/>
          <w:marTop w:val="0"/>
          <w:marBottom w:val="0"/>
          <w:divBdr>
            <w:top w:val="none" w:sz="0" w:space="0" w:color="auto"/>
            <w:left w:val="none" w:sz="0" w:space="0" w:color="auto"/>
            <w:bottom w:val="none" w:sz="0" w:space="0" w:color="auto"/>
            <w:right w:val="none" w:sz="0" w:space="0" w:color="auto"/>
          </w:divBdr>
        </w:div>
        <w:div w:id="1210846923">
          <w:marLeft w:val="0"/>
          <w:marRight w:val="0"/>
          <w:marTop w:val="0"/>
          <w:marBottom w:val="0"/>
          <w:divBdr>
            <w:top w:val="none" w:sz="0" w:space="0" w:color="auto"/>
            <w:left w:val="none" w:sz="0" w:space="0" w:color="auto"/>
            <w:bottom w:val="none" w:sz="0" w:space="0" w:color="auto"/>
            <w:right w:val="none" w:sz="0" w:space="0" w:color="auto"/>
          </w:divBdr>
        </w:div>
        <w:div w:id="1290936739">
          <w:marLeft w:val="0"/>
          <w:marRight w:val="0"/>
          <w:marTop w:val="0"/>
          <w:marBottom w:val="0"/>
          <w:divBdr>
            <w:top w:val="none" w:sz="0" w:space="0" w:color="auto"/>
            <w:left w:val="none" w:sz="0" w:space="0" w:color="auto"/>
            <w:bottom w:val="none" w:sz="0" w:space="0" w:color="auto"/>
            <w:right w:val="none" w:sz="0" w:space="0" w:color="auto"/>
          </w:divBdr>
        </w:div>
      </w:divsChild>
    </w:div>
    <w:div w:id="2089616679">
      <w:bodyDiv w:val="1"/>
      <w:marLeft w:val="0"/>
      <w:marRight w:val="0"/>
      <w:marTop w:val="0"/>
      <w:marBottom w:val="0"/>
      <w:divBdr>
        <w:top w:val="none" w:sz="0" w:space="0" w:color="auto"/>
        <w:left w:val="none" w:sz="0" w:space="0" w:color="auto"/>
        <w:bottom w:val="none" w:sz="0" w:space="0" w:color="auto"/>
        <w:right w:val="none" w:sz="0" w:space="0" w:color="auto"/>
      </w:divBdr>
      <w:divsChild>
        <w:div w:id="13461779">
          <w:marLeft w:val="0"/>
          <w:marRight w:val="0"/>
          <w:marTop w:val="0"/>
          <w:marBottom w:val="0"/>
          <w:divBdr>
            <w:top w:val="none" w:sz="0" w:space="0" w:color="auto"/>
            <w:left w:val="none" w:sz="0" w:space="0" w:color="auto"/>
            <w:bottom w:val="none" w:sz="0" w:space="0" w:color="auto"/>
            <w:right w:val="none" w:sz="0" w:space="0" w:color="auto"/>
          </w:divBdr>
        </w:div>
        <w:div w:id="782654060">
          <w:marLeft w:val="0"/>
          <w:marRight w:val="0"/>
          <w:marTop w:val="0"/>
          <w:marBottom w:val="0"/>
          <w:divBdr>
            <w:top w:val="none" w:sz="0" w:space="0" w:color="auto"/>
            <w:left w:val="none" w:sz="0" w:space="0" w:color="auto"/>
            <w:bottom w:val="none" w:sz="0" w:space="0" w:color="auto"/>
            <w:right w:val="none" w:sz="0" w:space="0" w:color="auto"/>
          </w:divBdr>
        </w:div>
        <w:div w:id="1174881655">
          <w:marLeft w:val="0"/>
          <w:marRight w:val="0"/>
          <w:marTop w:val="0"/>
          <w:marBottom w:val="0"/>
          <w:divBdr>
            <w:top w:val="none" w:sz="0" w:space="0" w:color="auto"/>
            <w:left w:val="none" w:sz="0" w:space="0" w:color="auto"/>
            <w:bottom w:val="none" w:sz="0" w:space="0" w:color="auto"/>
            <w:right w:val="none" w:sz="0" w:space="0" w:color="auto"/>
          </w:divBdr>
        </w:div>
      </w:divsChild>
    </w:div>
    <w:div w:id="2102137992">
      <w:bodyDiv w:val="1"/>
      <w:marLeft w:val="0"/>
      <w:marRight w:val="0"/>
      <w:marTop w:val="0"/>
      <w:marBottom w:val="0"/>
      <w:divBdr>
        <w:top w:val="none" w:sz="0" w:space="0" w:color="auto"/>
        <w:left w:val="none" w:sz="0" w:space="0" w:color="auto"/>
        <w:bottom w:val="none" w:sz="0" w:space="0" w:color="auto"/>
        <w:right w:val="none" w:sz="0" w:space="0" w:color="auto"/>
      </w:divBdr>
    </w:div>
    <w:div w:id="2104644540">
      <w:bodyDiv w:val="1"/>
      <w:marLeft w:val="0"/>
      <w:marRight w:val="0"/>
      <w:marTop w:val="0"/>
      <w:marBottom w:val="0"/>
      <w:divBdr>
        <w:top w:val="none" w:sz="0" w:space="0" w:color="auto"/>
        <w:left w:val="none" w:sz="0" w:space="0" w:color="auto"/>
        <w:bottom w:val="none" w:sz="0" w:space="0" w:color="auto"/>
        <w:right w:val="none" w:sz="0" w:space="0" w:color="auto"/>
      </w:divBdr>
    </w:div>
    <w:div w:id="2105149572">
      <w:bodyDiv w:val="1"/>
      <w:marLeft w:val="0"/>
      <w:marRight w:val="0"/>
      <w:marTop w:val="0"/>
      <w:marBottom w:val="0"/>
      <w:divBdr>
        <w:top w:val="none" w:sz="0" w:space="0" w:color="auto"/>
        <w:left w:val="none" w:sz="0" w:space="0" w:color="auto"/>
        <w:bottom w:val="none" w:sz="0" w:space="0" w:color="auto"/>
        <w:right w:val="none" w:sz="0" w:space="0" w:color="auto"/>
      </w:divBdr>
      <w:divsChild>
        <w:div w:id="893589345">
          <w:marLeft w:val="0"/>
          <w:marRight w:val="0"/>
          <w:marTop w:val="0"/>
          <w:marBottom w:val="0"/>
          <w:divBdr>
            <w:top w:val="none" w:sz="0" w:space="0" w:color="auto"/>
            <w:left w:val="none" w:sz="0" w:space="0" w:color="auto"/>
            <w:bottom w:val="none" w:sz="0" w:space="0" w:color="auto"/>
            <w:right w:val="none" w:sz="0" w:space="0" w:color="auto"/>
          </w:divBdr>
        </w:div>
        <w:div w:id="2048021740">
          <w:marLeft w:val="0"/>
          <w:marRight w:val="0"/>
          <w:marTop w:val="0"/>
          <w:marBottom w:val="0"/>
          <w:divBdr>
            <w:top w:val="none" w:sz="0" w:space="0" w:color="auto"/>
            <w:left w:val="none" w:sz="0" w:space="0" w:color="auto"/>
            <w:bottom w:val="none" w:sz="0" w:space="0" w:color="auto"/>
            <w:right w:val="none" w:sz="0" w:space="0" w:color="auto"/>
          </w:divBdr>
        </w:div>
      </w:divsChild>
    </w:div>
    <w:div w:id="2110276743">
      <w:bodyDiv w:val="1"/>
      <w:marLeft w:val="0"/>
      <w:marRight w:val="0"/>
      <w:marTop w:val="0"/>
      <w:marBottom w:val="0"/>
      <w:divBdr>
        <w:top w:val="none" w:sz="0" w:space="0" w:color="auto"/>
        <w:left w:val="none" w:sz="0" w:space="0" w:color="auto"/>
        <w:bottom w:val="none" w:sz="0" w:space="0" w:color="auto"/>
        <w:right w:val="none" w:sz="0" w:space="0" w:color="auto"/>
      </w:divBdr>
    </w:div>
    <w:div w:id="2112309665">
      <w:bodyDiv w:val="1"/>
      <w:marLeft w:val="0"/>
      <w:marRight w:val="0"/>
      <w:marTop w:val="0"/>
      <w:marBottom w:val="0"/>
      <w:divBdr>
        <w:top w:val="none" w:sz="0" w:space="0" w:color="auto"/>
        <w:left w:val="none" w:sz="0" w:space="0" w:color="auto"/>
        <w:bottom w:val="none" w:sz="0" w:space="0" w:color="auto"/>
        <w:right w:val="none" w:sz="0" w:space="0" w:color="auto"/>
      </w:divBdr>
    </w:div>
    <w:div w:id="2115443129">
      <w:bodyDiv w:val="1"/>
      <w:marLeft w:val="0"/>
      <w:marRight w:val="0"/>
      <w:marTop w:val="0"/>
      <w:marBottom w:val="0"/>
      <w:divBdr>
        <w:top w:val="none" w:sz="0" w:space="0" w:color="auto"/>
        <w:left w:val="none" w:sz="0" w:space="0" w:color="auto"/>
        <w:bottom w:val="none" w:sz="0" w:space="0" w:color="auto"/>
        <w:right w:val="none" w:sz="0" w:space="0" w:color="auto"/>
      </w:divBdr>
    </w:div>
    <w:div w:id="2120906853">
      <w:bodyDiv w:val="1"/>
      <w:marLeft w:val="0"/>
      <w:marRight w:val="0"/>
      <w:marTop w:val="0"/>
      <w:marBottom w:val="0"/>
      <w:divBdr>
        <w:top w:val="none" w:sz="0" w:space="0" w:color="auto"/>
        <w:left w:val="none" w:sz="0" w:space="0" w:color="auto"/>
        <w:bottom w:val="none" w:sz="0" w:space="0" w:color="auto"/>
        <w:right w:val="none" w:sz="0" w:space="0" w:color="auto"/>
      </w:divBdr>
      <w:divsChild>
        <w:div w:id="71590121">
          <w:marLeft w:val="0"/>
          <w:marRight w:val="0"/>
          <w:marTop w:val="0"/>
          <w:marBottom w:val="0"/>
          <w:divBdr>
            <w:top w:val="none" w:sz="0" w:space="0" w:color="auto"/>
            <w:left w:val="none" w:sz="0" w:space="0" w:color="auto"/>
            <w:bottom w:val="none" w:sz="0" w:space="0" w:color="auto"/>
            <w:right w:val="none" w:sz="0" w:space="0" w:color="auto"/>
          </w:divBdr>
        </w:div>
      </w:divsChild>
    </w:div>
    <w:div w:id="2122260519">
      <w:bodyDiv w:val="1"/>
      <w:marLeft w:val="0"/>
      <w:marRight w:val="0"/>
      <w:marTop w:val="0"/>
      <w:marBottom w:val="0"/>
      <w:divBdr>
        <w:top w:val="none" w:sz="0" w:space="0" w:color="auto"/>
        <w:left w:val="none" w:sz="0" w:space="0" w:color="auto"/>
        <w:bottom w:val="none" w:sz="0" w:space="0" w:color="auto"/>
        <w:right w:val="none" w:sz="0" w:space="0" w:color="auto"/>
      </w:divBdr>
      <w:divsChild>
        <w:div w:id="897588779">
          <w:marLeft w:val="0"/>
          <w:marRight w:val="0"/>
          <w:marTop w:val="0"/>
          <w:marBottom w:val="0"/>
          <w:divBdr>
            <w:top w:val="none" w:sz="0" w:space="0" w:color="auto"/>
            <w:left w:val="none" w:sz="0" w:space="0" w:color="auto"/>
            <w:bottom w:val="none" w:sz="0" w:space="0" w:color="auto"/>
            <w:right w:val="none" w:sz="0" w:space="0" w:color="auto"/>
          </w:divBdr>
        </w:div>
        <w:div w:id="1295719643">
          <w:marLeft w:val="0"/>
          <w:marRight w:val="0"/>
          <w:marTop w:val="0"/>
          <w:marBottom w:val="0"/>
          <w:divBdr>
            <w:top w:val="none" w:sz="0" w:space="0" w:color="auto"/>
            <w:left w:val="none" w:sz="0" w:space="0" w:color="auto"/>
            <w:bottom w:val="none" w:sz="0" w:space="0" w:color="auto"/>
            <w:right w:val="none" w:sz="0" w:space="0" w:color="auto"/>
          </w:divBdr>
        </w:div>
        <w:div w:id="1656377638">
          <w:marLeft w:val="0"/>
          <w:marRight w:val="0"/>
          <w:marTop w:val="0"/>
          <w:marBottom w:val="0"/>
          <w:divBdr>
            <w:top w:val="none" w:sz="0" w:space="0" w:color="auto"/>
            <w:left w:val="none" w:sz="0" w:space="0" w:color="auto"/>
            <w:bottom w:val="none" w:sz="0" w:space="0" w:color="auto"/>
            <w:right w:val="none" w:sz="0" w:space="0" w:color="auto"/>
          </w:divBdr>
        </w:div>
        <w:div w:id="1820883278">
          <w:marLeft w:val="0"/>
          <w:marRight w:val="0"/>
          <w:marTop w:val="0"/>
          <w:marBottom w:val="0"/>
          <w:divBdr>
            <w:top w:val="none" w:sz="0" w:space="0" w:color="auto"/>
            <w:left w:val="none" w:sz="0" w:space="0" w:color="auto"/>
            <w:bottom w:val="none" w:sz="0" w:space="0" w:color="auto"/>
            <w:right w:val="none" w:sz="0" w:space="0" w:color="auto"/>
          </w:divBdr>
        </w:div>
      </w:divsChild>
    </w:div>
    <w:div w:id="2122795189">
      <w:bodyDiv w:val="1"/>
      <w:marLeft w:val="0"/>
      <w:marRight w:val="0"/>
      <w:marTop w:val="0"/>
      <w:marBottom w:val="0"/>
      <w:divBdr>
        <w:top w:val="none" w:sz="0" w:space="0" w:color="auto"/>
        <w:left w:val="none" w:sz="0" w:space="0" w:color="auto"/>
        <w:bottom w:val="none" w:sz="0" w:space="0" w:color="auto"/>
        <w:right w:val="none" w:sz="0" w:space="0" w:color="auto"/>
      </w:divBdr>
    </w:div>
    <w:div w:id="2123647141">
      <w:bodyDiv w:val="1"/>
      <w:marLeft w:val="0"/>
      <w:marRight w:val="0"/>
      <w:marTop w:val="0"/>
      <w:marBottom w:val="0"/>
      <w:divBdr>
        <w:top w:val="none" w:sz="0" w:space="0" w:color="auto"/>
        <w:left w:val="none" w:sz="0" w:space="0" w:color="auto"/>
        <w:bottom w:val="none" w:sz="0" w:space="0" w:color="auto"/>
        <w:right w:val="none" w:sz="0" w:space="0" w:color="auto"/>
      </w:divBdr>
    </w:div>
    <w:div w:id="2125077965">
      <w:bodyDiv w:val="1"/>
      <w:marLeft w:val="0"/>
      <w:marRight w:val="0"/>
      <w:marTop w:val="0"/>
      <w:marBottom w:val="0"/>
      <w:divBdr>
        <w:top w:val="none" w:sz="0" w:space="0" w:color="auto"/>
        <w:left w:val="none" w:sz="0" w:space="0" w:color="auto"/>
        <w:bottom w:val="none" w:sz="0" w:space="0" w:color="auto"/>
        <w:right w:val="none" w:sz="0" w:space="0" w:color="auto"/>
      </w:divBdr>
    </w:div>
    <w:div w:id="2126851582">
      <w:bodyDiv w:val="1"/>
      <w:marLeft w:val="0"/>
      <w:marRight w:val="0"/>
      <w:marTop w:val="0"/>
      <w:marBottom w:val="0"/>
      <w:divBdr>
        <w:top w:val="none" w:sz="0" w:space="0" w:color="auto"/>
        <w:left w:val="none" w:sz="0" w:space="0" w:color="auto"/>
        <w:bottom w:val="none" w:sz="0" w:space="0" w:color="auto"/>
        <w:right w:val="none" w:sz="0" w:space="0" w:color="auto"/>
      </w:divBdr>
    </w:div>
    <w:div w:id="2126998215">
      <w:bodyDiv w:val="1"/>
      <w:marLeft w:val="0"/>
      <w:marRight w:val="0"/>
      <w:marTop w:val="0"/>
      <w:marBottom w:val="0"/>
      <w:divBdr>
        <w:top w:val="none" w:sz="0" w:space="0" w:color="auto"/>
        <w:left w:val="none" w:sz="0" w:space="0" w:color="auto"/>
        <w:bottom w:val="none" w:sz="0" w:space="0" w:color="auto"/>
        <w:right w:val="none" w:sz="0" w:space="0" w:color="auto"/>
      </w:divBdr>
    </w:div>
    <w:div w:id="2128886461">
      <w:bodyDiv w:val="1"/>
      <w:marLeft w:val="0"/>
      <w:marRight w:val="0"/>
      <w:marTop w:val="0"/>
      <w:marBottom w:val="0"/>
      <w:divBdr>
        <w:top w:val="none" w:sz="0" w:space="0" w:color="auto"/>
        <w:left w:val="none" w:sz="0" w:space="0" w:color="auto"/>
        <w:bottom w:val="none" w:sz="0" w:space="0" w:color="auto"/>
        <w:right w:val="none" w:sz="0" w:space="0" w:color="auto"/>
      </w:divBdr>
      <w:divsChild>
        <w:div w:id="248316624">
          <w:marLeft w:val="0"/>
          <w:marRight w:val="0"/>
          <w:marTop w:val="0"/>
          <w:marBottom w:val="0"/>
          <w:divBdr>
            <w:top w:val="none" w:sz="0" w:space="0" w:color="auto"/>
            <w:left w:val="none" w:sz="0" w:space="0" w:color="auto"/>
            <w:bottom w:val="none" w:sz="0" w:space="0" w:color="auto"/>
            <w:right w:val="none" w:sz="0" w:space="0" w:color="auto"/>
          </w:divBdr>
        </w:div>
        <w:div w:id="601303563">
          <w:marLeft w:val="0"/>
          <w:marRight w:val="0"/>
          <w:marTop w:val="0"/>
          <w:marBottom w:val="0"/>
          <w:divBdr>
            <w:top w:val="none" w:sz="0" w:space="0" w:color="auto"/>
            <w:left w:val="none" w:sz="0" w:space="0" w:color="auto"/>
            <w:bottom w:val="none" w:sz="0" w:space="0" w:color="auto"/>
            <w:right w:val="none" w:sz="0" w:space="0" w:color="auto"/>
          </w:divBdr>
        </w:div>
        <w:div w:id="1447311325">
          <w:marLeft w:val="0"/>
          <w:marRight w:val="0"/>
          <w:marTop w:val="0"/>
          <w:marBottom w:val="0"/>
          <w:divBdr>
            <w:top w:val="none" w:sz="0" w:space="0" w:color="auto"/>
            <w:left w:val="none" w:sz="0" w:space="0" w:color="auto"/>
            <w:bottom w:val="none" w:sz="0" w:space="0" w:color="auto"/>
            <w:right w:val="none" w:sz="0" w:space="0" w:color="auto"/>
          </w:divBdr>
        </w:div>
        <w:div w:id="1767916718">
          <w:marLeft w:val="0"/>
          <w:marRight w:val="0"/>
          <w:marTop w:val="0"/>
          <w:marBottom w:val="0"/>
          <w:divBdr>
            <w:top w:val="none" w:sz="0" w:space="0" w:color="auto"/>
            <w:left w:val="none" w:sz="0" w:space="0" w:color="auto"/>
            <w:bottom w:val="none" w:sz="0" w:space="0" w:color="auto"/>
            <w:right w:val="none" w:sz="0" w:space="0" w:color="auto"/>
          </w:divBdr>
        </w:div>
      </w:divsChild>
    </w:div>
    <w:div w:id="2129617111">
      <w:bodyDiv w:val="1"/>
      <w:marLeft w:val="0"/>
      <w:marRight w:val="0"/>
      <w:marTop w:val="0"/>
      <w:marBottom w:val="0"/>
      <w:divBdr>
        <w:top w:val="none" w:sz="0" w:space="0" w:color="auto"/>
        <w:left w:val="none" w:sz="0" w:space="0" w:color="auto"/>
        <w:bottom w:val="none" w:sz="0" w:space="0" w:color="auto"/>
        <w:right w:val="none" w:sz="0" w:space="0" w:color="auto"/>
      </w:divBdr>
    </w:div>
    <w:div w:id="2133092491">
      <w:bodyDiv w:val="1"/>
      <w:marLeft w:val="0"/>
      <w:marRight w:val="0"/>
      <w:marTop w:val="0"/>
      <w:marBottom w:val="0"/>
      <w:divBdr>
        <w:top w:val="none" w:sz="0" w:space="0" w:color="auto"/>
        <w:left w:val="none" w:sz="0" w:space="0" w:color="auto"/>
        <w:bottom w:val="none" w:sz="0" w:space="0" w:color="auto"/>
        <w:right w:val="none" w:sz="0" w:space="0" w:color="auto"/>
      </w:divBdr>
      <w:divsChild>
        <w:div w:id="685131023">
          <w:marLeft w:val="0"/>
          <w:marRight w:val="0"/>
          <w:marTop w:val="0"/>
          <w:marBottom w:val="0"/>
          <w:divBdr>
            <w:top w:val="none" w:sz="0" w:space="0" w:color="auto"/>
            <w:left w:val="none" w:sz="0" w:space="0" w:color="auto"/>
            <w:bottom w:val="none" w:sz="0" w:space="0" w:color="auto"/>
            <w:right w:val="none" w:sz="0" w:space="0" w:color="auto"/>
          </w:divBdr>
          <w:divsChild>
            <w:div w:id="530845101">
              <w:marLeft w:val="0"/>
              <w:marRight w:val="0"/>
              <w:marTop w:val="0"/>
              <w:marBottom w:val="0"/>
              <w:divBdr>
                <w:top w:val="none" w:sz="0" w:space="0" w:color="auto"/>
                <w:left w:val="none" w:sz="0" w:space="0" w:color="auto"/>
                <w:bottom w:val="none" w:sz="0" w:space="0" w:color="auto"/>
                <w:right w:val="none" w:sz="0" w:space="0" w:color="auto"/>
              </w:divBdr>
            </w:div>
          </w:divsChild>
        </w:div>
        <w:div w:id="1998340782">
          <w:marLeft w:val="0"/>
          <w:marRight w:val="0"/>
          <w:marTop w:val="0"/>
          <w:marBottom w:val="0"/>
          <w:divBdr>
            <w:top w:val="none" w:sz="0" w:space="0" w:color="auto"/>
            <w:left w:val="none" w:sz="0" w:space="0" w:color="auto"/>
            <w:bottom w:val="none" w:sz="0" w:space="0" w:color="auto"/>
            <w:right w:val="none" w:sz="0" w:space="0" w:color="auto"/>
          </w:divBdr>
        </w:div>
      </w:divsChild>
    </w:div>
    <w:div w:id="2138450591">
      <w:bodyDiv w:val="1"/>
      <w:marLeft w:val="0"/>
      <w:marRight w:val="0"/>
      <w:marTop w:val="0"/>
      <w:marBottom w:val="0"/>
      <w:divBdr>
        <w:top w:val="none" w:sz="0" w:space="0" w:color="auto"/>
        <w:left w:val="none" w:sz="0" w:space="0" w:color="auto"/>
        <w:bottom w:val="none" w:sz="0" w:space="0" w:color="auto"/>
        <w:right w:val="none" w:sz="0" w:space="0" w:color="auto"/>
      </w:divBdr>
    </w:div>
    <w:div w:id="2141798237">
      <w:bodyDiv w:val="1"/>
      <w:marLeft w:val="0"/>
      <w:marRight w:val="0"/>
      <w:marTop w:val="0"/>
      <w:marBottom w:val="0"/>
      <w:divBdr>
        <w:top w:val="none" w:sz="0" w:space="0" w:color="auto"/>
        <w:left w:val="none" w:sz="0" w:space="0" w:color="auto"/>
        <w:bottom w:val="none" w:sz="0" w:space="0" w:color="auto"/>
        <w:right w:val="none" w:sz="0" w:space="0" w:color="auto"/>
      </w:divBdr>
    </w:div>
    <w:div w:id="2141917955">
      <w:bodyDiv w:val="1"/>
      <w:marLeft w:val="0"/>
      <w:marRight w:val="0"/>
      <w:marTop w:val="0"/>
      <w:marBottom w:val="0"/>
      <w:divBdr>
        <w:top w:val="none" w:sz="0" w:space="0" w:color="auto"/>
        <w:left w:val="none" w:sz="0" w:space="0" w:color="auto"/>
        <w:bottom w:val="none" w:sz="0" w:space="0" w:color="auto"/>
        <w:right w:val="none" w:sz="0" w:space="0" w:color="auto"/>
      </w:divBdr>
    </w:div>
    <w:div w:id="2142337503">
      <w:bodyDiv w:val="1"/>
      <w:marLeft w:val="0"/>
      <w:marRight w:val="0"/>
      <w:marTop w:val="0"/>
      <w:marBottom w:val="0"/>
      <w:divBdr>
        <w:top w:val="none" w:sz="0" w:space="0" w:color="auto"/>
        <w:left w:val="none" w:sz="0" w:space="0" w:color="auto"/>
        <w:bottom w:val="none" w:sz="0" w:space="0" w:color="auto"/>
        <w:right w:val="none" w:sz="0" w:space="0" w:color="auto"/>
      </w:divBdr>
    </w:div>
    <w:div w:id="2142652435">
      <w:bodyDiv w:val="1"/>
      <w:marLeft w:val="0"/>
      <w:marRight w:val="0"/>
      <w:marTop w:val="0"/>
      <w:marBottom w:val="0"/>
      <w:divBdr>
        <w:top w:val="none" w:sz="0" w:space="0" w:color="auto"/>
        <w:left w:val="none" w:sz="0" w:space="0" w:color="auto"/>
        <w:bottom w:val="none" w:sz="0" w:space="0" w:color="auto"/>
        <w:right w:val="none" w:sz="0" w:space="0" w:color="auto"/>
      </w:divBdr>
      <w:divsChild>
        <w:div w:id="1479223165">
          <w:marLeft w:val="0"/>
          <w:marRight w:val="0"/>
          <w:marTop w:val="0"/>
          <w:marBottom w:val="0"/>
          <w:divBdr>
            <w:top w:val="none" w:sz="0" w:space="0" w:color="auto"/>
            <w:left w:val="none" w:sz="0" w:space="0" w:color="auto"/>
            <w:bottom w:val="none" w:sz="0" w:space="0" w:color="auto"/>
            <w:right w:val="none" w:sz="0" w:space="0" w:color="auto"/>
          </w:divBdr>
          <w:divsChild>
            <w:div w:id="757403695">
              <w:marLeft w:val="0"/>
              <w:marRight w:val="0"/>
              <w:marTop w:val="0"/>
              <w:marBottom w:val="0"/>
              <w:divBdr>
                <w:top w:val="none" w:sz="0" w:space="0" w:color="auto"/>
                <w:left w:val="none" w:sz="0" w:space="0" w:color="auto"/>
                <w:bottom w:val="none" w:sz="0" w:space="0" w:color="auto"/>
                <w:right w:val="none" w:sz="0" w:space="0" w:color="auto"/>
              </w:divBdr>
            </w:div>
            <w:div w:id="10185792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2727253">
      <w:bodyDiv w:val="1"/>
      <w:marLeft w:val="0"/>
      <w:marRight w:val="0"/>
      <w:marTop w:val="0"/>
      <w:marBottom w:val="0"/>
      <w:divBdr>
        <w:top w:val="none" w:sz="0" w:space="0" w:color="auto"/>
        <w:left w:val="none" w:sz="0" w:space="0" w:color="auto"/>
        <w:bottom w:val="none" w:sz="0" w:space="0" w:color="auto"/>
        <w:right w:val="none" w:sz="0" w:space="0" w:color="auto"/>
      </w:divBdr>
      <w:divsChild>
        <w:div w:id="41945469">
          <w:marLeft w:val="0"/>
          <w:marRight w:val="0"/>
          <w:marTop w:val="0"/>
          <w:marBottom w:val="0"/>
          <w:divBdr>
            <w:top w:val="none" w:sz="0" w:space="0" w:color="auto"/>
            <w:left w:val="none" w:sz="0" w:space="0" w:color="auto"/>
            <w:bottom w:val="none" w:sz="0" w:space="0" w:color="auto"/>
            <w:right w:val="none" w:sz="0" w:space="0" w:color="auto"/>
          </w:divBdr>
        </w:div>
        <w:div w:id="291206859">
          <w:marLeft w:val="0"/>
          <w:marRight w:val="0"/>
          <w:marTop w:val="0"/>
          <w:marBottom w:val="0"/>
          <w:divBdr>
            <w:top w:val="none" w:sz="0" w:space="0" w:color="auto"/>
            <w:left w:val="none" w:sz="0" w:space="0" w:color="auto"/>
            <w:bottom w:val="none" w:sz="0" w:space="0" w:color="auto"/>
            <w:right w:val="none" w:sz="0" w:space="0" w:color="auto"/>
          </w:divBdr>
        </w:div>
        <w:div w:id="587160028">
          <w:marLeft w:val="0"/>
          <w:marRight w:val="0"/>
          <w:marTop w:val="0"/>
          <w:marBottom w:val="0"/>
          <w:divBdr>
            <w:top w:val="none" w:sz="0" w:space="0" w:color="auto"/>
            <w:left w:val="none" w:sz="0" w:space="0" w:color="auto"/>
            <w:bottom w:val="none" w:sz="0" w:space="0" w:color="auto"/>
            <w:right w:val="none" w:sz="0" w:space="0" w:color="auto"/>
          </w:divBdr>
        </w:div>
        <w:div w:id="1428385544">
          <w:marLeft w:val="0"/>
          <w:marRight w:val="0"/>
          <w:marTop w:val="0"/>
          <w:marBottom w:val="0"/>
          <w:divBdr>
            <w:top w:val="none" w:sz="0" w:space="0" w:color="auto"/>
            <w:left w:val="none" w:sz="0" w:space="0" w:color="auto"/>
            <w:bottom w:val="none" w:sz="0" w:space="0" w:color="auto"/>
            <w:right w:val="none" w:sz="0" w:space="0" w:color="auto"/>
          </w:divBdr>
        </w:div>
      </w:divsChild>
    </w:div>
    <w:div w:id="2142844167">
      <w:bodyDiv w:val="1"/>
      <w:marLeft w:val="0"/>
      <w:marRight w:val="0"/>
      <w:marTop w:val="0"/>
      <w:marBottom w:val="0"/>
      <w:divBdr>
        <w:top w:val="none" w:sz="0" w:space="0" w:color="auto"/>
        <w:left w:val="none" w:sz="0" w:space="0" w:color="auto"/>
        <w:bottom w:val="none" w:sz="0" w:space="0" w:color="auto"/>
        <w:right w:val="none" w:sz="0" w:space="0" w:color="auto"/>
      </w:divBdr>
    </w:div>
    <w:div w:id="2143690051">
      <w:bodyDiv w:val="1"/>
      <w:marLeft w:val="0"/>
      <w:marRight w:val="0"/>
      <w:marTop w:val="0"/>
      <w:marBottom w:val="0"/>
      <w:divBdr>
        <w:top w:val="none" w:sz="0" w:space="0" w:color="auto"/>
        <w:left w:val="none" w:sz="0" w:space="0" w:color="auto"/>
        <w:bottom w:val="none" w:sz="0" w:space="0" w:color="auto"/>
        <w:right w:val="none" w:sz="0" w:space="0" w:color="auto"/>
      </w:divBdr>
    </w:div>
    <w:div w:id="2144035729">
      <w:bodyDiv w:val="1"/>
      <w:marLeft w:val="0"/>
      <w:marRight w:val="0"/>
      <w:marTop w:val="0"/>
      <w:marBottom w:val="0"/>
      <w:divBdr>
        <w:top w:val="none" w:sz="0" w:space="0" w:color="auto"/>
        <w:left w:val="none" w:sz="0" w:space="0" w:color="auto"/>
        <w:bottom w:val="none" w:sz="0" w:space="0" w:color="auto"/>
        <w:right w:val="none" w:sz="0" w:space="0" w:color="auto"/>
      </w:divBdr>
      <w:divsChild>
        <w:div w:id="382291156">
          <w:marLeft w:val="0"/>
          <w:marRight w:val="0"/>
          <w:marTop w:val="0"/>
          <w:marBottom w:val="0"/>
          <w:divBdr>
            <w:top w:val="none" w:sz="0" w:space="0" w:color="auto"/>
            <w:left w:val="none" w:sz="0" w:space="0" w:color="auto"/>
            <w:bottom w:val="none" w:sz="0" w:space="0" w:color="auto"/>
            <w:right w:val="none" w:sz="0" w:space="0" w:color="auto"/>
          </w:divBdr>
        </w:div>
        <w:div w:id="124676969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hyperlink" Target="http://en.wikipedia.org/wiki/Hugo_Grotius" TargetMode="Externa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fontTable" Target="fontTable.xm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684B8A7-5AB1-48BA-970F-694F428076C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47943</TotalTime>
  <Pages>998</Pages>
  <Words>355407</Words>
  <Characters>2096905</Characters>
  <Application>Microsoft Office Word</Application>
  <DocSecurity>0</DocSecurity>
  <Lines>17474</Lines>
  <Paragraphs>4894</Paragraphs>
  <ScaleCrop>false</ScaleCrop>
  <HeadingPairs>
    <vt:vector size="2" baseType="variant">
      <vt:variant>
        <vt:lpstr>Název</vt:lpstr>
      </vt:variant>
      <vt:variant>
        <vt:i4>1</vt:i4>
      </vt:variant>
    </vt:vector>
  </HeadingPairs>
  <TitlesOfParts>
    <vt:vector size="1" baseType="lpstr">
      <vt:lpstr>Hermeneutika objektivity. K dějinnosti jednoho produktivního pochybení</vt:lpstr>
    </vt:vector>
  </TitlesOfParts>
  <Company/>
  <LinksUpToDate>false</LinksUpToDate>
  <CharactersWithSpaces>2447418</CharactersWithSpaces>
  <SharedDoc>false</SharedDoc>
  <HLinks>
    <vt:vector size="324" baseType="variant">
      <vt:variant>
        <vt:i4>1310782</vt:i4>
      </vt:variant>
      <vt:variant>
        <vt:i4>314</vt:i4>
      </vt:variant>
      <vt:variant>
        <vt:i4>0</vt:i4>
      </vt:variant>
      <vt:variant>
        <vt:i4>5</vt:i4>
      </vt:variant>
      <vt:variant>
        <vt:lpwstr/>
      </vt:variant>
      <vt:variant>
        <vt:lpwstr>_Toc36144180</vt:lpwstr>
      </vt:variant>
      <vt:variant>
        <vt:i4>1900593</vt:i4>
      </vt:variant>
      <vt:variant>
        <vt:i4>308</vt:i4>
      </vt:variant>
      <vt:variant>
        <vt:i4>0</vt:i4>
      </vt:variant>
      <vt:variant>
        <vt:i4>5</vt:i4>
      </vt:variant>
      <vt:variant>
        <vt:lpwstr/>
      </vt:variant>
      <vt:variant>
        <vt:lpwstr>_Toc36144179</vt:lpwstr>
      </vt:variant>
      <vt:variant>
        <vt:i4>1835057</vt:i4>
      </vt:variant>
      <vt:variant>
        <vt:i4>302</vt:i4>
      </vt:variant>
      <vt:variant>
        <vt:i4>0</vt:i4>
      </vt:variant>
      <vt:variant>
        <vt:i4>5</vt:i4>
      </vt:variant>
      <vt:variant>
        <vt:lpwstr/>
      </vt:variant>
      <vt:variant>
        <vt:lpwstr>_Toc36144178</vt:lpwstr>
      </vt:variant>
      <vt:variant>
        <vt:i4>1245233</vt:i4>
      </vt:variant>
      <vt:variant>
        <vt:i4>296</vt:i4>
      </vt:variant>
      <vt:variant>
        <vt:i4>0</vt:i4>
      </vt:variant>
      <vt:variant>
        <vt:i4>5</vt:i4>
      </vt:variant>
      <vt:variant>
        <vt:lpwstr/>
      </vt:variant>
      <vt:variant>
        <vt:lpwstr>_Toc36144177</vt:lpwstr>
      </vt:variant>
      <vt:variant>
        <vt:i4>1179697</vt:i4>
      </vt:variant>
      <vt:variant>
        <vt:i4>290</vt:i4>
      </vt:variant>
      <vt:variant>
        <vt:i4>0</vt:i4>
      </vt:variant>
      <vt:variant>
        <vt:i4>5</vt:i4>
      </vt:variant>
      <vt:variant>
        <vt:lpwstr/>
      </vt:variant>
      <vt:variant>
        <vt:lpwstr>_Toc36144176</vt:lpwstr>
      </vt:variant>
      <vt:variant>
        <vt:i4>1114161</vt:i4>
      </vt:variant>
      <vt:variant>
        <vt:i4>284</vt:i4>
      </vt:variant>
      <vt:variant>
        <vt:i4>0</vt:i4>
      </vt:variant>
      <vt:variant>
        <vt:i4>5</vt:i4>
      </vt:variant>
      <vt:variant>
        <vt:lpwstr/>
      </vt:variant>
      <vt:variant>
        <vt:lpwstr>_Toc36144175</vt:lpwstr>
      </vt:variant>
      <vt:variant>
        <vt:i4>1048625</vt:i4>
      </vt:variant>
      <vt:variant>
        <vt:i4>278</vt:i4>
      </vt:variant>
      <vt:variant>
        <vt:i4>0</vt:i4>
      </vt:variant>
      <vt:variant>
        <vt:i4>5</vt:i4>
      </vt:variant>
      <vt:variant>
        <vt:lpwstr/>
      </vt:variant>
      <vt:variant>
        <vt:lpwstr>_Toc36144174</vt:lpwstr>
      </vt:variant>
      <vt:variant>
        <vt:i4>1507377</vt:i4>
      </vt:variant>
      <vt:variant>
        <vt:i4>272</vt:i4>
      </vt:variant>
      <vt:variant>
        <vt:i4>0</vt:i4>
      </vt:variant>
      <vt:variant>
        <vt:i4>5</vt:i4>
      </vt:variant>
      <vt:variant>
        <vt:lpwstr/>
      </vt:variant>
      <vt:variant>
        <vt:lpwstr>_Toc36144173</vt:lpwstr>
      </vt:variant>
      <vt:variant>
        <vt:i4>1441841</vt:i4>
      </vt:variant>
      <vt:variant>
        <vt:i4>266</vt:i4>
      </vt:variant>
      <vt:variant>
        <vt:i4>0</vt:i4>
      </vt:variant>
      <vt:variant>
        <vt:i4>5</vt:i4>
      </vt:variant>
      <vt:variant>
        <vt:lpwstr/>
      </vt:variant>
      <vt:variant>
        <vt:lpwstr>_Toc36144172</vt:lpwstr>
      </vt:variant>
      <vt:variant>
        <vt:i4>1376305</vt:i4>
      </vt:variant>
      <vt:variant>
        <vt:i4>260</vt:i4>
      </vt:variant>
      <vt:variant>
        <vt:i4>0</vt:i4>
      </vt:variant>
      <vt:variant>
        <vt:i4>5</vt:i4>
      </vt:variant>
      <vt:variant>
        <vt:lpwstr/>
      </vt:variant>
      <vt:variant>
        <vt:lpwstr>_Toc36144171</vt:lpwstr>
      </vt:variant>
      <vt:variant>
        <vt:i4>1310769</vt:i4>
      </vt:variant>
      <vt:variant>
        <vt:i4>254</vt:i4>
      </vt:variant>
      <vt:variant>
        <vt:i4>0</vt:i4>
      </vt:variant>
      <vt:variant>
        <vt:i4>5</vt:i4>
      </vt:variant>
      <vt:variant>
        <vt:lpwstr/>
      </vt:variant>
      <vt:variant>
        <vt:lpwstr>_Toc36144170</vt:lpwstr>
      </vt:variant>
      <vt:variant>
        <vt:i4>1900592</vt:i4>
      </vt:variant>
      <vt:variant>
        <vt:i4>248</vt:i4>
      </vt:variant>
      <vt:variant>
        <vt:i4>0</vt:i4>
      </vt:variant>
      <vt:variant>
        <vt:i4>5</vt:i4>
      </vt:variant>
      <vt:variant>
        <vt:lpwstr/>
      </vt:variant>
      <vt:variant>
        <vt:lpwstr>_Toc36144169</vt:lpwstr>
      </vt:variant>
      <vt:variant>
        <vt:i4>1835056</vt:i4>
      </vt:variant>
      <vt:variant>
        <vt:i4>242</vt:i4>
      </vt:variant>
      <vt:variant>
        <vt:i4>0</vt:i4>
      </vt:variant>
      <vt:variant>
        <vt:i4>5</vt:i4>
      </vt:variant>
      <vt:variant>
        <vt:lpwstr/>
      </vt:variant>
      <vt:variant>
        <vt:lpwstr>_Toc36144168</vt:lpwstr>
      </vt:variant>
      <vt:variant>
        <vt:i4>1245232</vt:i4>
      </vt:variant>
      <vt:variant>
        <vt:i4>236</vt:i4>
      </vt:variant>
      <vt:variant>
        <vt:i4>0</vt:i4>
      </vt:variant>
      <vt:variant>
        <vt:i4>5</vt:i4>
      </vt:variant>
      <vt:variant>
        <vt:lpwstr/>
      </vt:variant>
      <vt:variant>
        <vt:lpwstr>_Toc36144167</vt:lpwstr>
      </vt:variant>
      <vt:variant>
        <vt:i4>1179696</vt:i4>
      </vt:variant>
      <vt:variant>
        <vt:i4>230</vt:i4>
      </vt:variant>
      <vt:variant>
        <vt:i4>0</vt:i4>
      </vt:variant>
      <vt:variant>
        <vt:i4>5</vt:i4>
      </vt:variant>
      <vt:variant>
        <vt:lpwstr/>
      </vt:variant>
      <vt:variant>
        <vt:lpwstr>_Toc36144166</vt:lpwstr>
      </vt:variant>
      <vt:variant>
        <vt:i4>1114160</vt:i4>
      </vt:variant>
      <vt:variant>
        <vt:i4>224</vt:i4>
      </vt:variant>
      <vt:variant>
        <vt:i4>0</vt:i4>
      </vt:variant>
      <vt:variant>
        <vt:i4>5</vt:i4>
      </vt:variant>
      <vt:variant>
        <vt:lpwstr/>
      </vt:variant>
      <vt:variant>
        <vt:lpwstr>_Toc36144165</vt:lpwstr>
      </vt:variant>
      <vt:variant>
        <vt:i4>1048624</vt:i4>
      </vt:variant>
      <vt:variant>
        <vt:i4>218</vt:i4>
      </vt:variant>
      <vt:variant>
        <vt:i4>0</vt:i4>
      </vt:variant>
      <vt:variant>
        <vt:i4>5</vt:i4>
      </vt:variant>
      <vt:variant>
        <vt:lpwstr/>
      </vt:variant>
      <vt:variant>
        <vt:lpwstr>_Toc36144164</vt:lpwstr>
      </vt:variant>
      <vt:variant>
        <vt:i4>1507376</vt:i4>
      </vt:variant>
      <vt:variant>
        <vt:i4>212</vt:i4>
      </vt:variant>
      <vt:variant>
        <vt:i4>0</vt:i4>
      </vt:variant>
      <vt:variant>
        <vt:i4>5</vt:i4>
      </vt:variant>
      <vt:variant>
        <vt:lpwstr/>
      </vt:variant>
      <vt:variant>
        <vt:lpwstr>_Toc36144163</vt:lpwstr>
      </vt:variant>
      <vt:variant>
        <vt:i4>1441840</vt:i4>
      </vt:variant>
      <vt:variant>
        <vt:i4>206</vt:i4>
      </vt:variant>
      <vt:variant>
        <vt:i4>0</vt:i4>
      </vt:variant>
      <vt:variant>
        <vt:i4>5</vt:i4>
      </vt:variant>
      <vt:variant>
        <vt:lpwstr/>
      </vt:variant>
      <vt:variant>
        <vt:lpwstr>_Toc36144162</vt:lpwstr>
      </vt:variant>
      <vt:variant>
        <vt:i4>1376304</vt:i4>
      </vt:variant>
      <vt:variant>
        <vt:i4>200</vt:i4>
      </vt:variant>
      <vt:variant>
        <vt:i4>0</vt:i4>
      </vt:variant>
      <vt:variant>
        <vt:i4>5</vt:i4>
      </vt:variant>
      <vt:variant>
        <vt:lpwstr/>
      </vt:variant>
      <vt:variant>
        <vt:lpwstr>_Toc36144161</vt:lpwstr>
      </vt:variant>
      <vt:variant>
        <vt:i4>1310768</vt:i4>
      </vt:variant>
      <vt:variant>
        <vt:i4>194</vt:i4>
      </vt:variant>
      <vt:variant>
        <vt:i4>0</vt:i4>
      </vt:variant>
      <vt:variant>
        <vt:i4>5</vt:i4>
      </vt:variant>
      <vt:variant>
        <vt:lpwstr/>
      </vt:variant>
      <vt:variant>
        <vt:lpwstr>_Toc36144160</vt:lpwstr>
      </vt:variant>
      <vt:variant>
        <vt:i4>1900595</vt:i4>
      </vt:variant>
      <vt:variant>
        <vt:i4>188</vt:i4>
      </vt:variant>
      <vt:variant>
        <vt:i4>0</vt:i4>
      </vt:variant>
      <vt:variant>
        <vt:i4>5</vt:i4>
      </vt:variant>
      <vt:variant>
        <vt:lpwstr/>
      </vt:variant>
      <vt:variant>
        <vt:lpwstr>_Toc36144159</vt:lpwstr>
      </vt:variant>
      <vt:variant>
        <vt:i4>1835059</vt:i4>
      </vt:variant>
      <vt:variant>
        <vt:i4>182</vt:i4>
      </vt:variant>
      <vt:variant>
        <vt:i4>0</vt:i4>
      </vt:variant>
      <vt:variant>
        <vt:i4>5</vt:i4>
      </vt:variant>
      <vt:variant>
        <vt:lpwstr/>
      </vt:variant>
      <vt:variant>
        <vt:lpwstr>_Toc36144158</vt:lpwstr>
      </vt:variant>
      <vt:variant>
        <vt:i4>1245235</vt:i4>
      </vt:variant>
      <vt:variant>
        <vt:i4>176</vt:i4>
      </vt:variant>
      <vt:variant>
        <vt:i4>0</vt:i4>
      </vt:variant>
      <vt:variant>
        <vt:i4>5</vt:i4>
      </vt:variant>
      <vt:variant>
        <vt:lpwstr/>
      </vt:variant>
      <vt:variant>
        <vt:lpwstr>_Toc36144157</vt:lpwstr>
      </vt:variant>
      <vt:variant>
        <vt:i4>1179699</vt:i4>
      </vt:variant>
      <vt:variant>
        <vt:i4>170</vt:i4>
      </vt:variant>
      <vt:variant>
        <vt:i4>0</vt:i4>
      </vt:variant>
      <vt:variant>
        <vt:i4>5</vt:i4>
      </vt:variant>
      <vt:variant>
        <vt:lpwstr/>
      </vt:variant>
      <vt:variant>
        <vt:lpwstr>_Toc36144156</vt:lpwstr>
      </vt:variant>
      <vt:variant>
        <vt:i4>1114163</vt:i4>
      </vt:variant>
      <vt:variant>
        <vt:i4>164</vt:i4>
      </vt:variant>
      <vt:variant>
        <vt:i4>0</vt:i4>
      </vt:variant>
      <vt:variant>
        <vt:i4>5</vt:i4>
      </vt:variant>
      <vt:variant>
        <vt:lpwstr/>
      </vt:variant>
      <vt:variant>
        <vt:lpwstr>_Toc36144155</vt:lpwstr>
      </vt:variant>
      <vt:variant>
        <vt:i4>1048627</vt:i4>
      </vt:variant>
      <vt:variant>
        <vt:i4>158</vt:i4>
      </vt:variant>
      <vt:variant>
        <vt:i4>0</vt:i4>
      </vt:variant>
      <vt:variant>
        <vt:i4>5</vt:i4>
      </vt:variant>
      <vt:variant>
        <vt:lpwstr/>
      </vt:variant>
      <vt:variant>
        <vt:lpwstr>_Toc36144154</vt:lpwstr>
      </vt:variant>
      <vt:variant>
        <vt:i4>1507379</vt:i4>
      </vt:variant>
      <vt:variant>
        <vt:i4>152</vt:i4>
      </vt:variant>
      <vt:variant>
        <vt:i4>0</vt:i4>
      </vt:variant>
      <vt:variant>
        <vt:i4>5</vt:i4>
      </vt:variant>
      <vt:variant>
        <vt:lpwstr/>
      </vt:variant>
      <vt:variant>
        <vt:lpwstr>_Toc36144153</vt:lpwstr>
      </vt:variant>
      <vt:variant>
        <vt:i4>1441843</vt:i4>
      </vt:variant>
      <vt:variant>
        <vt:i4>146</vt:i4>
      </vt:variant>
      <vt:variant>
        <vt:i4>0</vt:i4>
      </vt:variant>
      <vt:variant>
        <vt:i4>5</vt:i4>
      </vt:variant>
      <vt:variant>
        <vt:lpwstr/>
      </vt:variant>
      <vt:variant>
        <vt:lpwstr>_Toc36144152</vt:lpwstr>
      </vt:variant>
      <vt:variant>
        <vt:i4>1376307</vt:i4>
      </vt:variant>
      <vt:variant>
        <vt:i4>140</vt:i4>
      </vt:variant>
      <vt:variant>
        <vt:i4>0</vt:i4>
      </vt:variant>
      <vt:variant>
        <vt:i4>5</vt:i4>
      </vt:variant>
      <vt:variant>
        <vt:lpwstr/>
      </vt:variant>
      <vt:variant>
        <vt:lpwstr>_Toc36144151</vt:lpwstr>
      </vt:variant>
      <vt:variant>
        <vt:i4>1310771</vt:i4>
      </vt:variant>
      <vt:variant>
        <vt:i4>134</vt:i4>
      </vt:variant>
      <vt:variant>
        <vt:i4>0</vt:i4>
      </vt:variant>
      <vt:variant>
        <vt:i4>5</vt:i4>
      </vt:variant>
      <vt:variant>
        <vt:lpwstr/>
      </vt:variant>
      <vt:variant>
        <vt:lpwstr>_Toc36144150</vt:lpwstr>
      </vt:variant>
      <vt:variant>
        <vt:i4>1900594</vt:i4>
      </vt:variant>
      <vt:variant>
        <vt:i4>128</vt:i4>
      </vt:variant>
      <vt:variant>
        <vt:i4>0</vt:i4>
      </vt:variant>
      <vt:variant>
        <vt:i4>5</vt:i4>
      </vt:variant>
      <vt:variant>
        <vt:lpwstr/>
      </vt:variant>
      <vt:variant>
        <vt:lpwstr>_Toc36144149</vt:lpwstr>
      </vt:variant>
      <vt:variant>
        <vt:i4>1835058</vt:i4>
      </vt:variant>
      <vt:variant>
        <vt:i4>122</vt:i4>
      </vt:variant>
      <vt:variant>
        <vt:i4>0</vt:i4>
      </vt:variant>
      <vt:variant>
        <vt:i4>5</vt:i4>
      </vt:variant>
      <vt:variant>
        <vt:lpwstr/>
      </vt:variant>
      <vt:variant>
        <vt:lpwstr>_Toc36144148</vt:lpwstr>
      </vt:variant>
      <vt:variant>
        <vt:i4>1245234</vt:i4>
      </vt:variant>
      <vt:variant>
        <vt:i4>116</vt:i4>
      </vt:variant>
      <vt:variant>
        <vt:i4>0</vt:i4>
      </vt:variant>
      <vt:variant>
        <vt:i4>5</vt:i4>
      </vt:variant>
      <vt:variant>
        <vt:lpwstr/>
      </vt:variant>
      <vt:variant>
        <vt:lpwstr>_Toc36144147</vt:lpwstr>
      </vt:variant>
      <vt:variant>
        <vt:i4>1179698</vt:i4>
      </vt:variant>
      <vt:variant>
        <vt:i4>110</vt:i4>
      </vt:variant>
      <vt:variant>
        <vt:i4>0</vt:i4>
      </vt:variant>
      <vt:variant>
        <vt:i4>5</vt:i4>
      </vt:variant>
      <vt:variant>
        <vt:lpwstr/>
      </vt:variant>
      <vt:variant>
        <vt:lpwstr>_Toc36144146</vt:lpwstr>
      </vt:variant>
      <vt:variant>
        <vt:i4>1114162</vt:i4>
      </vt:variant>
      <vt:variant>
        <vt:i4>104</vt:i4>
      </vt:variant>
      <vt:variant>
        <vt:i4>0</vt:i4>
      </vt:variant>
      <vt:variant>
        <vt:i4>5</vt:i4>
      </vt:variant>
      <vt:variant>
        <vt:lpwstr/>
      </vt:variant>
      <vt:variant>
        <vt:lpwstr>_Toc36144145</vt:lpwstr>
      </vt:variant>
      <vt:variant>
        <vt:i4>1048626</vt:i4>
      </vt:variant>
      <vt:variant>
        <vt:i4>98</vt:i4>
      </vt:variant>
      <vt:variant>
        <vt:i4>0</vt:i4>
      </vt:variant>
      <vt:variant>
        <vt:i4>5</vt:i4>
      </vt:variant>
      <vt:variant>
        <vt:lpwstr/>
      </vt:variant>
      <vt:variant>
        <vt:lpwstr>_Toc36144144</vt:lpwstr>
      </vt:variant>
      <vt:variant>
        <vt:i4>1507378</vt:i4>
      </vt:variant>
      <vt:variant>
        <vt:i4>92</vt:i4>
      </vt:variant>
      <vt:variant>
        <vt:i4>0</vt:i4>
      </vt:variant>
      <vt:variant>
        <vt:i4>5</vt:i4>
      </vt:variant>
      <vt:variant>
        <vt:lpwstr/>
      </vt:variant>
      <vt:variant>
        <vt:lpwstr>_Toc36144143</vt:lpwstr>
      </vt:variant>
      <vt:variant>
        <vt:i4>1441842</vt:i4>
      </vt:variant>
      <vt:variant>
        <vt:i4>86</vt:i4>
      </vt:variant>
      <vt:variant>
        <vt:i4>0</vt:i4>
      </vt:variant>
      <vt:variant>
        <vt:i4>5</vt:i4>
      </vt:variant>
      <vt:variant>
        <vt:lpwstr/>
      </vt:variant>
      <vt:variant>
        <vt:lpwstr>_Toc36144142</vt:lpwstr>
      </vt:variant>
      <vt:variant>
        <vt:i4>1376306</vt:i4>
      </vt:variant>
      <vt:variant>
        <vt:i4>80</vt:i4>
      </vt:variant>
      <vt:variant>
        <vt:i4>0</vt:i4>
      </vt:variant>
      <vt:variant>
        <vt:i4>5</vt:i4>
      </vt:variant>
      <vt:variant>
        <vt:lpwstr/>
      </vt:variant>
      <vt:variant>
        <vt:lpwstr>_Toc36144141</vt:lpwstr>
      </vt:variant>
      <vt:variant>
        <vt:i4>1310770</vt:i4>
      </vt:variant>
      <vt:variant>
        <vt:i4>74</vt:i4>
      </vt:variant>
      <vt:variant>
        <vt:i4>0</vt:i4>
      </vt:variant>
      <vt:variant>
        <vt:i4>5</vt:i4>
      </vt:variant>
      <vt:variant>
        <vt:lpwstr/>
      </vt:variant>
      <vt:variant>
        <vt:lpwstr>_Toc36144140</vt:lpwstr>
      </vt:variant>
      <vt:variant>
        <vt:i4>1900597</vt:i4>
      </vt:variant>
      <vt:variant>
        <vt:i4>68</vt:i4>
      </vt:variant>
      <vt:variant>
        <vt:i4>0</vt:i4>
      </vt:variant>
      <vt:variant>
        <vt:i4>5</vt:i4>
      </vt:variant>
      <vt:variant>
        <vt:lpwstr/>
      </vt:variant>
      <vt:variant>
        <vt:lpwstr>_Toc36144139</vt:lpwstr>
      </vt:variant>
      <vt:variant>
        <vt:i4>1835061</vt:i4>
      </vt:variant>
      <vt:variant>
        <vt:i4>62</vt:i4>
      </vt:variant>
      <vt:variant>
        <vt:i4>0</vt:i4>
      </vt:variant>
      <vt:variant>
        <vt:i4>5</vt:i4>
      </vt:variant>
      <vt:variant>
        <vt:lpwstr/>
      </vt:variant>
      <vt:variant>
        <vt:lpwstr>_Toc36144138</vt:lpwstr>
      </vt:variant>
      <vt:variant>
        <vt:i4>1245237</vt:i4>
      </vt:variant>
      <vt:variant>
        <vt:i4>56</vt:i4>
      </vt:variant>
      <vt:variant>
        <vt:i4>0</vt:i4>
      </vt:variant>
      <vt:variant>
        <vt:i4>5</vt:i4>
      </vt:variant>
      <vt:variant>
        <vt:lpwstr/>
      </vt:variant>
      <vt:variant>
        <vt:lpwstr>_Toc36144137</vt:lpwstr>
      </vt:variant>
      <vt:variant>
        <vt:i4>1179701</vt:i4>
      </vt:variant>
      <vt:variant>
        <vt:i4>50</vt:i4>
      </vt:variant>
      <vt:variant>
        <vt:i4>0</vt:i4>
      </vt:variant>
      <vt:variant>
        <vt:i4>5</vt:i4>
      </vt:variant>
      <vt:variant>
        <vt:lpwstr/>
      </vt:variant>
      <vt:variant>
        <vt:lpwstr>_Toc36144136</vt:lpwstr>
      </vt:variant>
      <vt:variant>
        <vt:i4>1114165</vt:i4>
      </vt:variant>
      <vt:variant>
        <vt:i4>44</vt:i4>
      </vt:variant>
      <vt:variant>
        <vt:i4>0</vt:i4>
      </vt:variant>
      <vt:variant>
        <vt:i4>5</vt:i4>
      </vt:variant>
      <vt:variant>
        <vt:lpwstr/>
      </vt:variant>
      <vt:variant>
        <vt:lpwstr>_Toc36144135</vt:lpwstr>
      </vt:variant>
      <vt:variant>
        <vt:i4>1048629</vt:i4>
      </vt:variant>
      <vt:variant>
        <vt:i4>38</vt:i4>
      </vt:variant>
      <vt:variant>
        <vt:i4>0</vt:i4>
      </vt:variant>
      <vt:variant>
        <vt:i4>5</vt:i4>
      </vt:variant>
      <vt:variant>
        <vt:lpwstr/>
      </vt:variant>
      <vt:variant>
        <vt:lpwstr>_Toc36144134</vt:lpwstr>
      </vt:variant>
      <vt:variant>
        <vt:i4>1507381</vt:i4>
      </vt:variant>
      <vt:variant>
        <vt:i4>32</vt:i4>
      </vt:variant>
      <vt:variant>
        <vt:i4>0</vt:i4>
      </vt:variant>
      <vt:variant>
        <vt:i4>5</vt:i4>
      </vt:variant>
      <vt:variant>
        <vt:lpwstr/>
      </vt:variant>
      <vt:variant>
        <vt:lpwstr>_Toc36144133</vt:lpwstr>
      </vt:variant>
      <vt:variant>
        <vt:i4>1441845</vt:i4>
      </vt:variant>
      <vt:variant>
        <vt:i4>26</vt:i4>
      </vt:variant>
      <vt:variant>
        <vt:i4>0</vt:i4>
      </vt:variant>
      <vt:variant>
        <vt:i4>5</vt:i4>
      </vt:variant>
      <vt:variant>
        <vt:lpwstr/>
      </vt:variant>
      <vt:variant>
        <vt:lpwstr>_Toc36144132</vt:lpwstr>
      </vt:variant>
      <vt:variant>
        <vt:i4>1376309</vt:i4>
      </vt:variant>
      <vt:variant>
        <vt:i4>20</vt:i4>
      </vt:variant>
      <vt:variant>
        <vt:i4>0</vt:i4>
      </vt:variant>
      <vt:variant>
        <vt:i4>5</vt:i4>
      </vt:variant>
      <vt:variant>
        <vt:lpwstr/>
      </vt:variant>
      <vt:variant>
        <vt:lpwstr>_Toc36144131</vt:lpwstr>
      </vt:variant>
      <vt:variant>
        <vt:i4>1310773</vt:i4>
      </vt:variant>
      <vt:variant>
        <vt:i4>14</vt:i4>
      </vt:variant>
      <vt:variant>
        <vt:i4>0</vt:i4>
      </vt:variant>
      <vt:variant>
        <vt:i4>5</vt:i4>
      </vt:variant>
      <vt:variant>
        <vt:lpwstr/>
      </vt:variant>
      <vt:variant>
        <vt:lpwstr>_Toc36144130</vt:lpwstr>
      </vt:variant>
      <vt:variant>
        <vt:i4>1900596</vt:i4>
      </vt:variant>
      <vt:variant>
        <vt:i4>8</vt:i4>
      </vt:variant>
      <vt:variant>
        <vt:i4>0</vt:i4>
      </vt:variant>
      <vt:variant>
        <vt:i4>5</vt:i4>
      </vt:variant>
      <vt:variant>
        <vt:lpwstr/>
      </vt:variant>
      <vt:variant>
        <vt:lpwstr>_Toc36144129</vt:lpwstr>
      </vt:variant>
      <vt:variant>
        <vt:i4>4849748</vt:i4>
      </vt:variant>
      <vt:variant>
        <vt:i4>3</vt:i4>
      </vt:variant>
      <vt:variant>
        <vt:i4>0</vt:i4>
      </vt:variant>
      <vt:variant>
        <vt:i4>5</vt:i4>
      </vt:variant>
      <vt:variant>
        <vt:lpwstr>http://rrp.stanford.edu/</vt:lpwstr>
      </vt:variant>
      <vt:variant>
        <vt:lpwstr/>
      </vt:variant>
      <vt:variant>
        <vt:i4>3932238</vt:i4>
      </vt:variant>
      <vt:variant>
        <vt:i4>0</vt:i4>
      </vt:variant>
      <vt:variant>
        <vt:i4>0</vt:i4>
      </vt:variant>
      <vt:variant>
        <vt:i4>5</vt:i4>
      </vt:variant>
      <vt:variant>
        <vt:lpwstr>http://en.wikipedia.org/wiki/Hugo_Grotius</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Hermeneutika objektivity. K dějinnosti jednoho produktivního pochybení</dc:title>
  <dc:creator>Václav Umlauf</dc:creator>
  <dc:description>Tento file není dovoleno šířit, kopírovat, publikovat atd, bez výslovného souhlasu autora. Text je chráněněn autorskými právy.</dc:description>
  <cp:lastModifiedBy>Matrix</cp:lastModifiedBy>
  <cp:revision>10120</cp:revision>
  <cp:lastPrinted>2017-07-06T19:35:00Z</cp:lastPrinted>
  <dcterms:created xsi:type="dcterms:W3CDTF">2024-03-24T19:08:00Z</dcterms:created>
  <dcterms:modified xsi:type="dcterms:W3CDTF">2024-11-16T12:44:00Z</dcterms:modified>
</cp:coreProperties>
</file>